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26D69F" w14:textId="77777777" w:rsidR="00CD045B" w:rsidRPr="00C41483" w:rsidRDefault="00CD045B" w:rsidP="00CD045B">
      <w:pPr>
        <w:pStyle w:val="TOCNaslov"/>
        <w:spacing w:before="0" w:line="240" w:lineRule="auto"/>
        <w:jc w:val="right"/>
        <w:rPr>
          <w:rFonts w:ascii="Times New Roman" w:eastAsiaTheme="minorHAnsi" w:hAnsi="Times New Roman" w:cs="Times New Roman"/>
          <w:b/>
          <w:bCs/>
          <w:i/>
          <w:iCs/>
          <w:color w:val="auto"/>
          <w:sz w:val="24"/>
          <w:szCs w:val="24"/>
          <w:lang w:eastAsia="en-US"/>
        </w:rPr>
      </w:pPr>
      <w:r w:rsidRPr="00C41483">
        <w:rPr>
          <w:rFonts w:ascii="Times New Roman" w:eastAsiaTheme="minorHAnsi" w:hAnsi="Times New Roman" w:cs="Times New Roman"/>
          <w:b/>
          <w:bCs/>
          <w:i/>
          <w:iCs/>
          <w:color w:val="auto"/>
          <w:sz w:val="24"/>
          <w:szCs w:val="24"/>
          <w:lang w:eastAsia="en-US"/>
        </w:rPr>
        <w:t>PRIJEDLOG</w:t>
      </w:r>
    </w:p>
    <w:p w14:paraId="55CCD4D1" w14:textId="77777777" w:rsidR="00CD045B" w:rsidRPr="00C41483" w:rsidRDefault="00CD045B" w:rsidP="006B5133">
      <w:pPr>
        <w:pStyle w:val="TOCNaslov"/>
        <w:spacing w:before="0" w:line="240" w:lineRule="auto"/>
        <w:jc w:val="center"/>
        <w:rPr>
          <w:rFonts w:ascii="Times New Roman" w:eastAsiaTheme="minorHAnsi" w:hAnsi="Times New Roman" w:cs="Times New Roman"/>
          <w:b/>
          <w:bCs/>
          <w:color w:val="auto"/>
          <w:sz w:val="24"/>
          <w:szCs w:val="24"/>
          <w:lang w:eastAsia="en-US"/>
        </w:rPr>
      </w:pPr>
    </w:p>
    <w:p w14:paraId="4EF35593" w14:textId="77777777" w:rsidR="00CD045B" w:rsidRPr="00C41483" w:rsidRDefault="00CD045B" w:rsidP="006B5133">
      <w:pPr>
        <w:pStyle w:val="TOCNaslov"/>
        <w:spacing w:before="0" w:line="240" w:lineRule="auto"/>
        <w:jc w:val="center"/>
        <w:rPr>
          <w:rFonts w:ascii="Times New Roman" w:eastAsiaTheme="minorHAnsi" w:hAnsi="Times New Roman" w:cs="Times New Roman"/>
          <w:b/>
          <w:bCs/>
          <w:color w:val="auto"/>
          <w:sz w:val="24"/>
          <w:szCs w:val="24"/>
          <w:lang w:eastAsia="en-US"/>
        </w:rPr>
      </w:pPr>
    </w:p>
    <w:p w14:paraId="04C8F962" w14:textId="2E0D4A97" w:rsidR="0005491F" w:rsidRPr="00C41483" w:rsidRDefault="0005491F" w:rsidP="006B5133">
      <w:pPr>
        <w:pStyle w:val="TOCNaslov"/>
        <w:spacing w:before="0" w:line="240" w:lineRule="auto"/>
        <w:jc w:val="center"/>
        <w:rPr>
          <w:rFonts w:ascii="Times New Roman" w:eastAsiaTheme="minorHAnsi" w:hAnsi="Times New Roman" w:cs="Times New Roman"/>
          <w:b/>
          <w:bCs/>
          <w:color w:val="auto"/>
          <w:sz w:val="24"/>
          <w:szCs w:val="24"/>
          <w:lang w:eastAsia="en-US"/>
        </w:rPr>
      </w:pPr>
      <w:r w:rsidRPr="00C41483">
        <w:rPr>
          <w:rFonts w:ascii="Times New Roman" w:eastAsiaTheme="minorHAnsi" w:hAnsi="Times New Roman" w:cs="Times New Roman"/>
          <w:b/>
          <w:bCs/>
          <w:color w:val="auto"/>
          <w:sz w:val="24"/>
          <w:szCs w:val="24"/>
          <w:lang w:eastAsia="en-US"/>
        </w:rPr>
        <w:t>Ministarstvo rada, mirovinskoga sustava, obitelji i socijalne politike</w:t>
      </w:r>
    </w:p>
    <w:p w14:paraId="4CF514E1" w14:textId="712EE05D" w:rsidR="0005491F" w:rsidRPr="00C41483" w:rsidRDefault="0005491F" w:rsidP="006B5133">
      <w:pPr>
        <w:spacing w:after="0" w:line="240" w:lineRule="auto"/>
      </w:pPr>
    </w:p>
    <w:p w14:paraId="2E624DD1" w14:textId="0C50127C" w:rsidR="0005491F" w:rsidRPr="00C41483" w:rsidRDefault="0005491F" w:rsidP="006B5133">
      <w:pPr>
        <w:spacing w:after="0" w:line="240" w:lineRule="auto"/>
      </w:pPr>
    </w:p>
    <w:p w14:paraId="76E1E46D" w14:textId="77777777" w:rsidR="0005491F" w:rsidRPr="00C41483" w:rsidRDefault="0005491F" w:rsidP="006B5133">
      <w:pPr>
        <w:spacing w:after="0" w:line="240" w:lineRule="auto"/>
      </w:pPr>
    </w:p>
    <w:p w14:paraId="48C2C90C" w14:textId="77777777" w:rsidR="0005491F" w:rsidRPr="00C41483" w:rsidRDefault="0005491F" w:rsidP="006B5133">
      <w:pPr>
        <w:pStyle w:val="TOCNaslov"/>
        <w:spacing w:before="0" w:line="240" w:lineRule="auto"/>
        <w:jc w:val="center"/>
        <w:rPr>
          <w:rFonts w:asciiTheme="minorHAnsi" w:eastAsiaTheme="minorHAnsi" w:hAnsiTheme="minorHAnsi" w:cstheme="minorBidi"/>
          <w:b/>
          <w:bCs/>
          <w:i/>
          <w:iCs/>
          <w:color w:val="auto"/>
          <w:sz w:val="24"/>
          <w:szCs w:val="24"/>
          <w:lang w:eastAsia="en-US"/>
        </w:rPr>
      </w:pPr>
    </w:p>
    <w:p w14:paraId="01851F08" w14:textId="77777777" w:rsidR="0005491F" w:rsidRPr="00C41483" w:rsidRDefault="0005491F" w:rsidP="006B5133">
      <w:pPr>
        <w:pStyle w:val="TOCNaslov"/>
        <w:spacing w:before="0" w:line="240" w:lineRule="auto"/>
        <w:jc w:val="center"/>
        <w:rPr>
          <w:rFonts w:asciiTheme="minorHAnsi" w:eastAsiaTheme="minorHAnsi" w:hAnsiTheme="minorHAnsi" w:cstheme="minorBidi"/>
          <w:b/>
          <w:bCs/>
          <w:i/>
          <w:iCs/>
          <w:color w:val="auto"/>
          <w:sz w:val="24"/>
          <w:szCs w:val="24"/>
          <w:lang w:eastAsia="en-US"/>
        </w:rPr>
      </w:pPr>
    </w:p>
    <w:p w14:paraId="1A9A5BEE" w14:textId="77777777" w:rsidR="0005491F" w:rsidRPr="00C41483" w:rsidRDefault="0005491F" w:rsidP="006B5133">
      <w:pPr>
        <w:pStyle w:val="TOCNaslov"/>
        <w:spacing w:before="0" w:line="240" w:lineRule="auto"/>
        <w:jc w:val="center"/>
        <w:rPr>
          <w:rFonts w:asciiTheme="minorHAnsi" w:eastAsiaTheme="minorHAnsi" w:hAnsiTheme="minorHAnsi" w:cstheme="minorBidi"/>
          <w:b/>
          <w:bCs/>
          <w:i/>
          <w:iCs/>
          <w:color w:val="auto"/>
          <w:sz w:val="24"/>
          <w:szCs w:val="24"/>
          <w:lang w:eastAsia="en-US"/>
        </w:rPr>
      </w:pPr>
    </w:p>
    <w:p w14:paraId="6AF056D1" w14:textId="2B481EF7" w:rsidR="0005491F" w:rsidRPr="00C41483" w:rsidRDefault="0005491F" w:rsidP="006B5133">
      <w:pPr>
        <w:pStyle w:val="TOCNaslov"/>
        <w:spacing w:before="0" w:line="240" w:lineRule="auto"/>
        <w:jc w:val="center"/>
        <w:rPr>
          <w:rFonts w:asciiTheme="minorHAnsi" w:eastAsiaTheme="minorHAnsi" w:hAnsiTheme="minorHAnsi" w:cstheme="minorBidi"/>
          <w:b/>
          <w:bCs/>
          <w:i/>
          <w:iCs/>
          <w:color w:val="auto"/>
          <w:sz w:val="24"/>
          <w:szCs w:val="24"/>
          <w:lang w:eastAsia="en-US"/>
        </w:rPr>
      </w:pPr>
    </w:p>
    <w:p w14:paraId="08D8B75C" w14:textId="77777777" w:rsidR="00C064E4" w:rsidRPr="00C41483" w:rsidRDefault="00C064E4" w:rsidP="00C064E4"/>
    <w:p w14:paraId="1D13648D" w14:textId="77777777" w:rsidR="0005491F" w:rsidRPr="00C41483" w:rsidRDefault="0005491F" w:rsidP="00C064E4">
      <w:pPr>
        <w:pStyle w:val="TOCNaslov"/>
        <w:spacing w:before="0" w:after="60" w:line="240" w:lineRule="auto"/>
        <w:jc w:val="center"/>
        <w:rPr>
          <w:rFonts w:asciiTheme="minorHAnsi" w:eastAsiaTheme="minorHAnsi" w:hAnsiTheme="minorHAnsi" w:cstheme="minorBidi"/>
          <w:b/>
          <w:bCs/>
          <w:i/>
          <w:iCs/>
          <w:color w:val="auto"/>
          <w:sz w:val="24"/>
          <w:szCs w:val="24"/>
          <w:lang w:eastAsia="en-US"/>
        </w:rPr>
      </w:pPr>
    </w:p>
    <w:p w14:paraId="69ACF537" w14:textId="77777777" w:rsidR="00C064E4" w:rsidRPr="00C41483" w:rsidRDefault="0005491F" w:rsidP="00C064E4">
      <w:pPr>
        <w:pStyle w:val="TOCNaslov"/>
        <w:spacing w:before="0" w:after="60" w:line="240" w:lineRule="auto"/>
        <w:jc w:val="center"/>
        <w:rPr>
          <w:rFonts w:ascii="Times New Roman" w:eastAsiaTheme="minorHAnsi" w:hAnsi="Times New Roman" w:cs="Times New Roman"/>
          <w:b/>
          <w:bCs/>
          <w:color w:val="auto"/>
          <w:sz w:val="28"/>
          <w:szCs w:val="28"/>
          <w:lang w:eastAsia="en-US"/>
        </w:rPr>
      </w:pPr>
      <w:r w:rsidRPr="00C41483">
        <w:rPr>
          <w:rFonts w:ascii="Times New Roman" w:eastAsiaTheme="minorHAnsi" w:hAnsi="Times New Roman" w:cs="Times New Roman"/>
          <w:b/>
          <w:bCs/>
          <w:color w:val="auto"/>
          <w:sz w:val="28"/>
          <w:szCs w:val="28"/>
          <w:lang w:eastAsia="en-US"/>
        </w:rPr>
        <w:t xml:space="preserve">DRUGO, TREĆE I ČETVRTO PERIODIČKO IZVJEŠĆE </w:t>
      </w:r>
    </w:p>
    <w:p w14:paraId="050A7656" w14:textId="1BC6CAF0" w:rsidR="0005491F" w:rsidRPr="00C41483" w:rsidRDefault="0005491F" w:rsidP="00CD045B">
      <w:pPr>
        <w:pStyle w:val="TOCNaslov"/>
        <w:spacing w:before="0" w:line="240" w:lineRule="auto"/>
        <w:jc w:val="center"/>
        <w:rPr>
          <w:rFonts w:ascii="Times New Roman" w:eastAsiaTheme="minorHAnsi" w:hAnsi="Times New Roman" w:cs="Times New Roman"/>
          <w:b/>
          <w:bCs/>
          <w:color w:val="auto"/>
          <w:sz w:val="28"/>
          <w:szCs w:val="28"/>
          <w:lang w:eastAsia="en-US"/>
        </w:rPr>
      </w:pPr>
      <w:r w:rsidRPr="00C41483">
        <w:rPr>
          <w:rFonts w:ascii="Times New Roman" w:eastAsiaTheme="minorHAnsi" w:hAnsi="Times New Roman" w:cs="Times New Roman"/>
          <w:b/>
          <w:bCs/>
          <w:color w:val="auto"/>
          <w:sz w:val="28"/>
          <w:szCs w:val="28"/>
          <w:lang w:eastAsia="en-US"/>
        </w:rPr>
        <w:t>REPUBLIKE HRVATS</w:t>
      </w:r>
      <w:r w:rsidR="00CD045B" w:rsidRPr="00C41483">
        <w:rPr>
          <w:rFonts w:ascii="Times New Roman" w:eastAsiaTheme="minorHAnsi" w:hAnsi="Times New Roman" w:cs="Times New Roman"/>
          <w:b/>
          <w:bCs/>
          <w:color w:val="auto"/>
          <w:sz w:val="28"/>
          <w:szCs w:val="28"/>
          <w:lang w:eastAsia="en-US"/>
        </w:rPr>
        <w:t xml:space="preserve">KE </w:t>
      </w:r>
      <w:r w:rsidRPr="00C41483">
        <w:rPr>
          <w:rFonts w:ascii="Times New Roman" w:eastAsiaTheme="minorHAnsi" w:hAnsi="Times New Roman" w:cs="Times New Roman"/>
          <w:b/>
          <w:bCs/>
          <w:color w:val="auto"/>
          <w:sz w:val="28"/>
          <w:szCs w:val="28"/>
          <w:lang w:eastAsia="en-US"/>
        </w:rPr>
        <w:t>PREMA</w:t>
      </w:r>
      <w:r w:rsidR="00C064E4" w:rsidRPr="00C41483">
        <w:rPr>
          <w:rFonts w:ascii="Times New Roman" w:eastAsiaTheme="minorHAnsi" w:hAnsi="Times New Roman" w:cs="Times New Roman"/>
          <w:b/>
          <w:bCs/>
          <w:color w:val="auto"/>
          <w:sz w:val="28"/>
          <w:szCs w:val="28"/>
          <w:lang w:eastAsia="en-US"/>
        </w:rPr>
        <w:br/>
      </w:r>
      <w:r w:rsidRPr="00C41483">
        <w:rPr>
          <w:rFonts w:ascii="Times New Roman" w:eastAsiaTheme="minorHAnsi" w:hAnsi="Times New Roman" w:cs="Times New Roman"/>
          <w:b/>
          <w:bCs/>
          <w:color w:val="auto"/>
          <w:sz w:val="28"/>
          <w:szCs w:val="28"/>
          <w:lang w:eastAsia="en-US"/>
        </w:rPr>
        <w:t>KONVENCIJI O PRAVIMA OSOBA S INVALIDITETOM</w:t>
      </w:r>
    </w:p>
    <w:p w14:paraId="5F5892BA" w14:textId="6401CF52" w:rsidR="0005491F" w:rsidRPr="00C41483" w:rsidRDefault="0005491F" w:rsidP="006B5133">
      <w:pPr>
        <w:spacing w:after="0" w:line="240" w:lineRule="auto"/>
        <w:rPr>
          <w:rFonts w:ascii="Times New Roman" w:hAnsi="Times New Roman" w:cs="Times New Roman"/>
          <w:sz w:val="28"/>
          <w:szCs w:val="28"/>
        </w:rPr>
      </w:pPr>
    </w:p>
    <w:p w14:paraId="19AEB428" w14:textId="77777777" w:rsidR="0005491F" w:rsidRPr="00C41483" w:rsidRDefault="0005491F" w:rsidP="006B5133">
      <w:pPr>
        <w:pStyle w:val="TOCNaslov"/>
        <w:spacing w:before="0" w:line="240" w:lineRule="auto"/>
        <w:jc w:val="center"/>
        <w:rPr>
          <w:rFonts w:ascii="Times New Roman" w:eastAsiaTheme="minorHAnsi" w:hAnsi="Times New Roman" w:cs="Times New Roman"/>
          <w:color w:val="auto"/>
          <w:sz w:val="28"/>
          <w:szCs w:val="28"/>
          <w:lang w:eastAsia="en-US"/>
        </w:rPr>
      </w:pPr>
    </w:p>
    <w:p w14:paraId="2B8097CD" w14:textId="77777777" w:rsidR="0005491F" w:rsidRPr="00C41483" w:rsidRDefault="0005491F" w:rsidP="006B5133">
      <w:pPr>
        <w:pStyle w:val="TOCNaslov"/>
        <w:spacing w:before="0" w:line="240" w:lineRule="auto"/>
        <w:jc w:val="center"/>
        <w:rPr>
          <w:rFonts w:ascii="Times New Roman" w:eastAsiaTheme="minorHAnsi" w:hAnsi="Times New Roman" w:cs="Times New Roman"/>
          <w:color w:val="auto"/>
          <w:sz w:val="28"/>
          <w:szCs w:val="28"/>
          <w:lang w:eastAsia="en-US"/>
        </w:rPr>
      </w:pPr>
    </w:p>
    <w:p w14:paraId="2FABE306" w14:textId="77777777" w:rsidR="0005491F" w:rsidRPr="00C41483" w:rsidRDefault="0005491F" w:rsidP="006B5133">
      <w:pPr>
        <w:pStyle w:val="TOCNaslov"/>
        <w:spacing w:before="0" w:line="240" w:lineRule="auto"/>
        <w:jc w:val="center"/>
        <w:rPr>
          <w:rFonts w:asciiTheme="minorHAnsi" w:eastAsiaTheme="minorHAnsi" w:hAnsiTheme="minorHAnsi" w:cstheme="minorBidi"/>
          <w:color w:val="auto"/>
          <w:sz w:val="22"/>
          <w:szCs w:val="22"/>
          <w:lang w:eastAsia="en-US"/>
        </w:rPr>
      </w:pPr>
    </w:p>
    <w:p w14:paraId="291EA340" w14:textId="77777777" w:rsidR="0005491F" w:rsidRPr="00C41483" w:rsidRDefault="0005491F" w:rsidP="006B5133">
      <w:pPr>
        <w:pStyle w:val="TOCNaslov"/>
        <w:spacing w:before="0" w:line="240" w:lineRule="auto"/>
        <w:jc w:val="center"/>
        <w:rPr>
          <w:rFonts w:asciiTheme="minorHAnsi" w:eastAsiaTheme="minorHAnsi" w:hAnsiTheme="minorHAnsi" w:cstheme="minorBidi"/>
          <w:color w:val="auto"/>
          <w:sz w:val="22"/>
          <w:szCs w:val="22"/>
          <w:lang w:eastAsia="en-US"/>
        </w:rPr>
      </w:pPr>
    </w:p>
    <w:p w14:paraId="4ACCD2C0" w14:textId="77777777" w:rsidR="0005491F" w:rsidRPr="00C41483" w:rsidRDefault="0005491F" w:rsidP="006B5133">
      <w:pPr>
        <w:pStyle w:val="TOCNaslov"/>
        <w:spacing w:before="0" w:line="240" w:lineRule="auto"/>
        <w:jc w:val="center"/>
        <w:rPr>
          <w:rFonts w:asciiTheme="minorHAnsi" w:eastAsiaTheme="minorHAnsi" w:hAnsiTheme="minorHAnsi" w:cstheme="minorBidi"/>
          <w:color w:val="auto"/>
          <w:sz w:val="22"/>
          <w:szCs w:val="22"/>
          <w:lang w:eastAsia="en-US"/>
        </w:rPr>
      </w:pPr>
    </w:p>
    <w:p w14:paraId="4A043181" w14:textId="77777777" w:rsidR="0005491F" w:rsidRPr="00C41483" w:rsidRDefault="0005491F" w:rsidP="006B5133">
      <w:pPr>
        <w:pStyle w:val="TOCNaslov"/>
        <w:spacing w:before="0" w:line="240" w:lineRule="auto"/>
        <w:jc w:val="center"/>
        <w:rPr>
          <w:rFonts w:asciiTheme="minorHAnsi" w:eastAsiaTheme="minorHAnsi" w:hAnsiTheme="minorHAnsi" w:cstheme="minorBidi"/>
          <w:color w:val="auto"/>
          <w:sz w:val="22"/>
          <w:szCs w:val="22"/>
          <w:lang w:eastAsia="en-US"/>
        </w:rPr>
      </w:pPr>
    </w:p>
    <w:p w14:paraId="0379DF2B" w14:textId="77777777" w:rsidR="0005491F" w:rsidRPr="00C41483" w:rsidRDefault="0005491F" w:rsidP="006B5133">
      <w:pPr>
        <w:pStyle w:val="TOCNaslov"/>
        <w:spacing w:before="0" w:line="240" w:lineRule="auto"/>
        <w:jc w:val="center"/>
        <w:rPr>
          <w:rFonts w:asciiTheme="minorHAnsi" w:eastAsiaTheme="minorHAnsi" w:hAnsiTheme="minorHAnsi" w:cstheme="minorBidi"/>
          <w:color w:val="auto"/>
          <w:sz w:val="22"/>
          <w:szCs w:val="22"/>
          <w:lang w:eastAsia="en-US"/>
        </w:rPr>
      </w:pPr>
    </w:p>
    <w:p w14:paraId="5BCAF04A" w14:textId="77777777" w:rsidR="0005491F" w:rsidRPr="00C41483" w:rsidRDefault="0005491F" w:rsidP="006B5133">
      <w:pPr>
        <w:pStyle w:val="TOCNaslov"/>
        <w:spacing w:before="0" w:line="240" w:lineRule="auto"/>
        <w:jc w:val="center"/>
        <w:rPr>
          <w:rFonts w:asciiTheme="minorHAnsi" w:eastAsiaTheme="minorHAnsi" w:hAnsiTheme="minorHAnsi" w:cstheme="minorBidi"/>
          <w:color w:val="auto"/>
          <w:sz w:val="22"/>
          <w:szCs w:val="22"/>
          <w:lang w:eastAsia="en-US"/>
        </w:rPr>
      </w:pPr>
    </w:p>
    <w:p w14:paraId="791A872F" w14:textId="77777777" w:rsidR="0005491F" w:rsidRPr="00C41483" w:rsidRDefault="0005491F" w:rsidP="006B5133">
      <w:pPr>
        <w:pStyle w:val="TOCNaslov"/>
        <w:spacing w:before="0" w:line="240" w:lineRule="auto"/>
        <w:jc w:val="center"/>
        <w:rPr>
          <w:rFonts w:asciiTheme="minorHAnsi" w:eastAsiaTheme="minorHAnsi" w:hAnsiTheme="minorHAnsi" w:cstheme="minorBidi"/>
          <w:color w:val="auto"/>
          <w:sz w:val="22"/>
          <w:szCs w:val="22"/>
          <w:lang w:eastAsia="en-US"/>
        </w:rPr>
      </w:pPr>
    </w:p>
    <w:p w14:paraId="4BB4DF40" w14:textId="77777777" w:rsidR="0005491F" w:rsidRPr="00C41483" w:rsidRDefault="0005491F" w:rsidP="006B5133">
      <w:pPr>
        <w:pStyle w:val="TOCNaslov"/>
        <w:spacing w:before="0" w:line="240" w:lineRule="auto"/>
        <w:jc w:val="center"/>
        <w:rPr>
          <w:rFonts w:asciiTheme="minorHAnsi" w:eastAsiaTheme="minorHAnsi" w:hAnsiTheme="minorHAnsi" w:cstheme="minorBidi"/>
          <w:color w:val="auto"/>
          <w:sz w:val="22"/>
          <w:szCs w:val="22"/>
          <w:lang w:eastAsia="en-US"/>
        </w:rPr>
      </w:pPr>
    </w:p>
    <w:p w14:paraId="2463A858" w14:textId="77777777" w:rsidR="0005491F" w:rsidRPr="00C41483" w:rsidRDefault="0005491F" w:rsidP="006B5133">
      <w:pPr>
        <w:pStyle w:val="TOCNaslov"/>
        <w:spacing w:before="0" w:line="240" w:lineRule="auto"/>
        <w:jc w:val="center"/>
        <w:rPr>
          <w:rFonts w:asciiTheme="minorHAnsi" w:eastAsiaTheme="minorHAnsi" w:hAnsiTheme="minorHAnsi" w:cstheme="minorBidi"/>
          <w:color w:val="auto"/>
          <w:sz w:val="22"/>
          <w:szCs w:val="22"/>
          <w:lang w:eastAsia="en-US"/>
        </w:rPr>
      </w:pPr>
    </w:p>
    <w:p w14:paraId="4C5B1999" w14:textId="77777777" w:rsidR="0005491F" w:rsidRPr="00C41483" w:rsidRDefault="0005491F" w:rsidP="006B5133">
      <w:pPr>
        <w:pStyle w:val="TOCNaslov"/>
        <w:spacing w:before="0" w:line="240" w:lineRule="auto"/>
        <w:jc w:val="center"/>
        <w:rPr>
          <w:rFonts w:asciiTheme="minorHAnsi" w:eastAsiaTheme="minorHAnsi" w:hAnsiTheme="minorHAnsi" w:cstheme="minorBidi"/>
          <w:color w:val="auto"/>
          <w:sz w:val="22"/>
          <w:szCs w:val="22"/>
          <w:lang w:eastAsia="en-US"/>
        </w:rPr>
      </w:pPr>
    </w:p>
    <w:p w14:paraId="22D5AA95" w14:textId="77777777" w:rsidR="0005491F" w:rsidRPr="00C41483" w:rsidRDefault="0005491F" w:rsidP="006B5133">
      <w:pPr>
        <w:pStyle w:val="TOCNaslov"/>
        <w:spacing w:before="0" w:line="240" w:lineRule="auto"/>
        <w:jc w:val="center"/>
        <w:rPr>
          <w:rFonts w:asciiTheme="minorHAnsi" w:eastAsiaTheme="minorHAnsi" w:hAnsiTheme="minorHAnsi" w:cstheme="minorBidi"/>
          <w:color w:val="auto"/>
          <w:sz w:val="22"/>
          <w:szCs w:val="22"/>
          <w:lang w:eastAsia="en-US"/>
        </w:rPr>
      </w:pPr>
    </w:p>
    <w:p w14:paraId="3DD2368B" w14:textId="77777777" w:rsidR="00C064E4" w:rsidRPr="00C41483" w:rsidRDefault="00C064E4" w:rsidP="006B5133">
      <w:pPr>
        <w:pStyle w:val="TOCNaslov"/>
        <w:spacing w:before="0" w:line="240" w:lineRule="auto"/>
        <w:jc w:val="center"/>
        <w:rPr>
          <w:rFonts w:asciiTheme="minorHAnsi" w:eastAsiaTheme="minorHAnsi" w:hAnsiTheme="minorHAnsi" w:cstheme="minorBidi"/>
          <w:color w:val="auto"/>
          <w:sz w:val="22"/>
          <w:szCs w:val="22"/>
          <w:lang w:eastAsia="en-US"/>
        </w:rPr>
      </w:pPr>
    </w:p>
    <w:p w14:paraId="7AB8808F" w14:textId="77777777" w:rsidR="00C064E4" w:rsidRPr="00C41483" w:rsidRDefault="00C064E4" w:rsidP="006B5133">
      <w:pPr>
        <w:pStyle w:val="TOCNaslov"/>
        <w:spacing w:before="0" w:line="240" w:lineRule="auto"/>
        <w:jc w:val="center"/>
        <w:rPr>
          <w:rFonts w:asciiTheme="minorHAnsi" w:eastAsiaTheme="minorHAnsi" w:hAnsiTheme="minorHAnsi" w:cstheme="minorBidi"/>
          <w:color w:val="auto"/>
          <w:sz w:val="22"/>
          <w:szCs w:val="22"/>
          <w:lang w:eastAsia="en-US"/>
        </w:rPr>
      </w:pPr>
    </w:p>
    <w:p w14:paraId="243100BF" w14:textId="77777777" w:rsidR="00C064E4" w:rsidRPr="00C41483" w:rsidRDefault="00C064E4" w:rsidP="006B5133">
      <w:pPr>
        <w:pStyle w:val="TOCNaslov"/>
        <w:spacing w:before="0" w:line="240" w:lineRule="auto"/>
        <w:jc w:val="center"/>
        <w:rPr>
          <w:rFonts w:asciiTheme="minorHAnsi" w:eastAsiaTheme="minorHAnsi" w:hAnsiTheme="minorHAnsi" w:cstheme="minorBidi"/>
          <w:color w:val="auto"/>
          <w:sz w:val="22"/>
          <w:szCs w:val="22"/>
          <w:lang w:eastAsia="en-US"/>
        </w:rPr>
      </w:pPr>
    </w:p>
    <w:p w14:paraId="371728F2" w14:textId="77777777" w:rsidR="00C064E4" w:rsidRPr="00C41483" w:rsidRDefault="00C064E4" w:rsidP="006B5133">
      <w:pPr>
        <w:pStyle w:val="TOCNaslov"/>
        <w:spacing w:before="0" w:line="240" w:lineRule="auto"/>
        <w:jc w:val="center"/>
        <w:rPr>
          <w:rFonts w:asciiTheme="minorHAnsi" w:eastAsiaTheme="minorHAnsi" w:hAnsiTheme="minorHAnsi" w:cstheme="minorBidi"/>
          <w:color w:val="auto"/>
          <w:sz w:val="22"/>
          <w:szCs w:val="22"/>
          <w:lang w:eastAsia="en-US"/>
        </w:rPr>
      </w:pPr>
    </w:p>
    <w:p w14:paraId="73DB3EC3" w14:textId="77777777" w:rsidR="00C064E4" w:rsidRPr="00C41483" w:rsidRDefault="00C064E4" w:rsidP="006B5133">
      <w:pPr>
        <w:pStyle w:val="TOCNaslov"/>
        <w:spacing w:before="0" w:line="240" w:lineRule="auto"/>
        <w:jc w:val="center"/>
        <w:rPr>
          <w:rFonts w:asciiTheme="minorHAnsi" w:eastAsiaTheme="minorHAnsi" w:hAnsiTheme="minorHAnsi" w:cstheme="minorBidi"/>
          <w:color w:val="auto"/>
          <w:sz w:val="22"/>
          <w:szCs w:val="22"/>
          <w:lang w:eastAsia="en-US"/>
        </w:rPr>
      </w:pPr>
    </w:p>
    <w:p w14:paraId="52DC054B" w14:textId="77777777" w:rsidR="00C064E4" w:rsidRPr="00C41483" w:rsidRDefault="00C064E4" w:rsidP="006B5133">
      <w:pPr>
        <w:pStyle w:val="TOCNaslov"/>
        <w:spacing w:before="0" w:line="240" w:lineRule="auto"/>
        <w:jc w:val="center"/>
        <w:rPr>
          <w:rFonts w:asciiTheme="minorHAnsi" w:eastAsiaTheme="minorHAnsi" w:hAnsiTheme="minorHAnsi" w:cstheme="minorBidi"/>
          <w:color w:val="auto"/>
          <w:sz w:val="22"/>
          <w:szCs w:val="22"/>
          <w:lang w:eastAsia="en-US"/>
        </w:rPr>
      </w:pPr>
    </w:p>
    <w:p w14:paraId="3FF9022C" w14:textId="77777777" w:rsidR="00C064E4" w:rsidRPr="00C41483" w:rsidRDefault="00C064E4" w:rsidP="006B5133">
      <w:pPr>
        <w:pStyle w:val="TOCNaslov"/>
        <w:spacing w:before="0" w:line="240" w:lineRule="auto"/>
        <w:jc w:val="center"/>
        <w:rPr>
          <w:rFonts w:asciiTheme="minorHAnsi" w:eastAsiaTheme="minorHAnsi" w:hAnsiTheme="minorHAnsi" w:cstheme="minorBidi"/>
          <w:color w:val="auto"/>
          <w:sz w:val="22"/>
          <w:szCs w:val="22"/>
          <w:lang w:eastAsia="en-US"/>
        </w:rPr>
      </w:pPr>
    </w:p>
    <w:p w14:paraId="63806981" w14:textId="77777777" w:rsidR="00C064E4" w:rsidRPr="00C41483" w:rsidRDefault="00C064E4" w:rsidP="006B5133">
      <w:pPr>
        <w:pStyle w:val="TOCNaslov"/>
        <w:spacing w:before="0" w:line="240" w:lineRule="auto"/>
        <w:jc w:val="center"/>
        <w:rPr>
          <w:rFonts w:asciiTheme="minorHAnsi" w:eastAsiaTheme="minorHAnsi" w:hAnsiTheme="minorHAnsi" w:cstheme="minorBidi"/>
          <w:color w:val="auto"/>
          <w:sz w:val="22"/>
          <w:szCs w:val="22"/>
          <w:lang w:eastAsia="en-US"/>
        </w:rPr>
      </w:pPr>
    </w:p>
    <w:p w14:paraId="01E707DA" w14:textId="77777777" w:rsidR="00C064E4" w:rsidRPr="00C41483" w:rsidRDefault="00C064E4" w:rsidP="006B5133">
      <w:pPr>
        <w:pStyle w:val="TOCNaslov"/>
        <w:spacing w:before="0" w:line="240" w:lineRule="auto"/>
        <w:jc w:val="center"/>
        <w:rPr>
          <w:rFonts w:asciiTheme="minorHAnsi" w:eastAsiaTheme="minorHAnsi" w:hAnsiTheme="minorHAnsi" w:cstheme="minorBidi"/>
          <w:color w:val="auto"/>
          <w:sz w:val="22"/>
          <w:szCs w:val="22"/>
          <w:lang w:eastAsia="en-US"/>
        </w:rPr>
      </w:pPr>
    </w:p>
    <w:p w14:paraId="7B483E22" w14:textId="77777777" w:rsidR="00C064E4" w:rsidRPr="00C41483" w:rsidRDefault="00C064E4" w:rsidP="006B5133">
      <w:pPr>
        <w:pStyle w:val="TOCNaslov"/>
        <w:spacing w:before="0" w:line="240" w:lineRule="auto"/>
        <w:jc w:val="center"/>
        <w:rPr>
          <w:rFonts w:asciiTheme="minorHAnsi" w:eastAsiaTheme="minorHAnsi" w:hAnsiTheme="minorHAnsi" w:cstheme="minorBidi"/>
          <w:color w:val="auto"/>
          <w:sz w:val="22"/>
          <w:szCs w:val="22"/>
          <w:lang w:eastAsia="en-US"/>
        </w:rPr>
      </w:pPr>
    </w:p>
    <w:p w14:paraId="03A6C0A1" w14:textId="77777777" w:rsidR="00C064E4" w:rsidRPr="00C41483" w:rsidRDefault="00C064E4" w:rsidP="006B5133">
      <w:pPr>
        <w:pStyle w:val="TOCNaslov"/>
        <w:spacing w:before="0" w:line="240" w:lineRule="auto"/>
        <w:jc w:val="center"/>
        <w:rPr>
          <w:rFonts w:asciiTheme="minorHAnsi" w:eastAsiaTheme="minorHAnsi" w:hAnsiTheme="minorHAnsi" w:cstheme="minorBidi"/>
          <w:color w:val="auto"/>
          <w:sz w:val="22"/>
          <w:szCs w:val="22"/>
          <w:lang w:eastAsia="en-US"/>
        </w:rPr>
      </w:pPr>
    </w:p>
    <w:p w14:paraId="4436FFFA" w14:textId="77777777" w:rsidR="00C064E4" w:rsidRPr="00C41483" w:rsidRDefault="00C064E4" w:rsidP="006B5133">
      <w:pPr>
        <w:pStyle w:val="TOCNaslov"/>
        <w:spacing w:before="0" w:line="240" w:lineRule="auto"/>
        <w:jc w:val="center"/>
        <w:rPr>
          <w:rFonts w:asciiTheme="minorHAnsi" w:eastAsiaTheme="minorHAnsi" w:hAnsiTheme="minorHAnsi" w:cstheme="minorBidi"/>
          <w:color w:val="auto"/>
          <w:sz w:val="22"/>
          <w:szCs w:val="22"/>
          <w:lang w:eastAsia="en-US"/>
        </w:rPr>
      </w:pPr>
    </w:p>
    <w:p w14:paraId="6064F90E" w14:textId="77777777" w:rsidR="00C064E4" w:rsidRPr="00C41483" w:rsidRDefault="00C064E4" w:rsidP="006B5133">
      <w:pPr>
        <w:pStyle w:val="TOCNaslov"/>
        <w:spacing w:before="0" w:line="240" w:lineRule="auto"/>
        <w:jc w:val="center"/>
        <w:rPr>
          <w:rFonts w:asciiTheme="minorHAnsi" w:eastAsiaTheme="minorHAnsi" w:hAnsiTheme="minorHAnsi" w:cstheme="minorBidi"/>
          <w:color w:val="auto"/>
          <w:sz w:val="22"/>
          <w:szCs w:val="22"/>
          <w:lang w:eastAsia="en-US"/>
        </w:rPr>
      </w:pPr>
    </w:p>
    <w:p w14:paraId="2AC913B6" w14:textId="77777777" w:rsidR="00C064E4" w:rsidRPr="00C41483" w:rsidRDefault="00C064E4" w:rsidP="006B5133">
      <w:pPr>
        <w:pStyle w:val="TOCNaslov"/>
        <w:spacing w:before="0" w:line="240" w:lineRule="auto"/>
        <w:jc w:val="center"/>
        <w:rPr>
          <w:rFonts w:asciiTheme="minorHAnsi" w:eastAsiaTheme="minorHAnsi" w:hAnsiTheme="minorHAnsi" w:cstheme="minorBidi"/>
          <w:color w:val="auto"/>
          <w:sz w:val="22"/>
          <w:szCs w:val="22"/>
          <w:lang w:eastAsia="en-US"/>
        </w:rPr>
      </w:pPr>
    </w:p>
    <w:p w14:paraId="4014FA62" w14:textId="6CA19E22" w:rsidR="0005491F" w:rsidRPr="00C41483" w:rsidRDefault="009B3855" w:rsidP="006B5133">
      <w:pPr>
        <w:pStyle w:val="TOCNaslov"/>
        <w:spacing w:before="0" w:line="240" w:lineRule="auto"/>
        <w:jc w:val="center"/>
        <w:rPr>
          <w:rFonts w:ascii="Times New Roman" w:eastAsiaTheme="minorHAnsi" w:hAnsi="Times New Roman" w:cs="Times New Roman"/>
          <w:color w:val="auto"/>
          <w:sz w:val="22"/>
          <w:szCs w:val="22"/>
          <w:lang w:eastAsia="en-US"/>
        </w:rPr>
      </w:pPr>
      <w:r w:rsidRPr="00C41483">
        <w:rPr>
          <w:rFonts w:ascii="Times New Roman" w:eastAsiaTheme="minorHAnsi" w:hAnsi="Times New Roman" w:cs="Times New Roman"/>
          <w:color w:val="auto"/>
          <w:sz w:val="22"/>
          <w:szCs w:val="22"/>
          <w:lang w:eastAsia="en-US"/>
        </w:rPr>
        <w:t>rujan</w:t>
      </w:r>
      <w:r w:rsidR="0005491F" w:rsidRPr="00C41483">
        <w:rPr>
          <w:rFonts w:ascii="Times New Roman" w:eastAsiaTheme="minorHAnsi" w:hAnsi="Times New Roman" w:cs="Times New Roman"/>
          <w:color w:val="auto"/>
          <w:sz w:val="22"/>
          <w:szCs w:val="22"/>
          <w:lang w:eastAsia="en-US"/>
        </w:rPr>
        <w:t xml:space="preserve"> 2021.</w:t>
      </w:r>
    </w:p>
    <w:p w14:paraId="5F815892" w14:textId="03A45DD3" w:rsidR="0005491F" w:rsidRPr="00C41483" w:rsidRDefault="0005491F" w:rsidP="006B5133">
      <w:pPr>
        <w:spacing w:after="0" w:line="240" w:lineRule="auto"/>
      </w:pPr>
      <w:r w:rsidRPr="00C41483">
        <w:br w:type="page"/>
      </w:r>
    </w:p>
    <w:sdt>
      <w:sdtPr>
        <w:rPr>
          <w:rFonts w:asciiTheme="minorHAnsi" w:eastAsiaTheme="minorHAnsi" w:hAnsiTheme="minorHAnsi" w:cstheme="minorBidi"/>
          <w:color w:val="auto"/>
          <w:sz w:val="22"/>
          <w:szCs w:val="22"/>
          <w:lang w:eastAsia="en-US"/>
        </w:rPr>
        <w:id w:val="-276569304"/>
        <w:docPartObj>
          <w:docPartGallery w:val="Table of Contents"/>
          <w:docPartUnique/>
        </w:docPartObj>
      </w:sdtPr>
      <w:sdtContent>
        <w:p w14:paraId="47E5A997" w14:textId="56BE1358" w:rsidR="007E2D03" w:rsidRPr="00C41483" w:rsidRDefault="007E2D03" w:rsidP="006B5133">
          <w:pPr>
            <w:pStyle w:val="TOCNaslov"/>
            <w:spacing w:before="0" w:line="240" w:lineRule="auto"/>
            <w:rPr>
              <w:rFonts w:ascii="Times New Roman" w:hAnsi="Times New Roman" w:cs="Times New Roman"/>
              <w:color w:val="000000" w:themeColor="text1"/>
              <w:sz w:val="24"/>
              <w:szCs w:val="24"/>
            </w:rPr>
          </w:pPr>
          <w:r w:rsidRPr="00C41483">
            <w:rPr>
              <w:rFonts w:ascii="Times New Roman" w:hAnsi="Times New Roman" w:cs="Times New Roman"/>
              <w:color w:val="000000" w:themeColor="text1"/>
              <w:sz w:val="24"/>
              <w:szCs w:val="24"/>
            </w:rPr>
            <w:t>Sadržaj</w:t>
          </w:r>
        </w:p>
        <w:p w14:paraId="54F8E7F7" w14:textId="77777777" w:rsidR="00C064E4" w:rsidRPr="00C41483" w:rsidRDefault="00C064E4" w:rsidP="00C064E4">
          <w:pPr>
            <w:rPr>
              <w:sz w:val="6"/>
              <w:szCs w:val="6"/>
              <w:lang w:eastAsia="hr-HR"/>
            </w:rPr>
          </w:pPr>
        </w:p>
        <w:p w14:paraId="78EE0239" w14:textId="230C230F" w:rsidR="00F71415" w:rsidRDefault="007E2D03">
          <w:pPr>
            <w:pStyle w:val="Sadraj1"/>
            <w:tabs>
              <w:tab w:val="right" w:leader="dot" w:pos="9062"/>
            </w:tabs>
            <w:rPr>
              <w:rFonts w:eastAsiaTheme="minorEastAsia"/>
              <w:noProof/>
              <w:lang w:eastAsia="hr-HR"/>
            </w:rPr>
          </w:pPr>
          <w:r w:rsidRPr="00C41483">
            <w:rPr>
              <w:rFonts w:ascii="Times New Roman" w:hAnsi="Times New Roman" w:cs="Times New Roman"/>
              <w:sz w:val="24"/>
              <w:szCs w:val="24"/>
            </w:rPr>
            <w:fldChar w:fldCharType="begin"/>
          </w:r>
          <w:r w:rsidRPr="00C41483">
            <w:rPr>
              <w:rFonts w:ascii="Times New Roman" w:hAnsi="Times New Roman" w:cs="Times New Roman"/>
              <w:sz w:val="24"/>
              <w:szCs w:val="24"/>
            </w:rPr>
            <w:instrText xml:space="preserve"> TOC \o "1-3" \h \z \u </w:instrText>
          </w:r>
          <w:r w:rsidRPr="00C41483">
            <w:rPr>
              <w:rFonts w:ascii="Times New Roman" w:hAnsi="Times New Roman" w:cs="Times New Roman"/>
              <w:sz w:val="24"/>
              <w:szCs w:val="24"/>
            </w:rPr>
            <w:fldChar w:fldCharType="separate"/>
          </w:r>
          <w:hyperlink w:anchor="_Toc88031183" w:history="1">
            <w:r w:rsidR="00F71415" w:rsidRPr="005F0723">
              <w:rPr>
                <w:rStyle w:val="Hiperveza"/>
                <w:rFonts w:ascii="Times New Roman" w:hAnsi="Times New Roman" w:cs="Times New Roman"/>
                <w:b/>
                <w:bCs/>
                <w:noProof/>
              </w:rPr>
              <w:t>Kratice</w:t>
            </w:r>
            <w:r w:rsidR="00F71415">
              <w:rPr>
                <w:noProof/>
                <w:webHidden/>
              </w:rPr>
              <w:tab/>
            </w:r>
            <w:r w:rsidR="00F71415">
              <w:rPr>
                <w:noProof/>
                <w:webHidden/>
              </w:rPr>
              <w:fldChar w:fldCharType="begin"/>
            </w:r>
            <w:r w:rsidR="00F71415">
              <w:rPr>
                <w:noProof/>
                <w:webHidden/>
              </w:rPr>
              <w:instrText xml:space="preserve"> PAGEREF _Toc88031183 \h </w:instrText>
            </w:r>
            <w:r w:rsidR="00F71415">
              <w:rPr>
                <w:noProof/>
                <w:webHidden/>
              </w:rPr>
            </w:r>
            <w:r w:rsidR="00F71415">
              <w:rPr>
                <w:noProof/>
                <w:webHidden/>
              </w:rPr>
              <w:fldChar w:fldCharType="separate"/>
            </w:r>
            <w:r w:rsidR="00F71415">
              <w:rPr>
                <w:noProof/>
                <w:webHidden/>
              </w:rPr>
              <w:t>2</w:t>
            </w:r>
            <w:r w:rsidR="00F71415">
              <w:rPr>
                <w:noProof/>
                <w:webHidden/>
              </w:rPr>
              <w:fldChar w:fldCharType="end"/>
            </w:r>
          </w:hyperlink>
        </w:p>
        <w:p w14:paraId="5DD83C97" w14:textId="5A7969E7" w:rsidR="00F71415" w:rsidRDefault="00F71415">
          <w:pPr>
            <w:pStyle w:val="Sadraj1"/>
            <w:tabs>
              <w:tab w:val="right" w:leader="dot" w:pos="9062"/>
            </w:tabs>
            <w:rPr>
              <w:rFonts w:eastAsiaTheme="minorEastAsia"/>
              <w:noProof/>
              <w:lang w:eastAsia="hr-HR"/>
            </w:rPr>
          </w:pPr>
          <w:hyperlink w:anchor="_Toc88031184" w:history="1">
            <w:r w:rsidRPr="005F0723">
              <w:rPr>
                <w:rStyle w:val="Hiperveza"/>
                <w:rFonts w:ascii="Times New Roman" w:eastAsia="Times New Roman" w:hAnsi="Times New Roman" w:cs="Times New Roman"/>
                <w:b/>
                <w:bCs/>
                <w:noProof/>
                <w:lang w:eastAsia="hr-HR"/>
              </w:rPr>
              <w:t>Uvod</w:t>
            </w:r>
            <w:r>
              <w:rPr>
                <w:noProof/>
                <w:webHidden/>
              </w:rPr>
              <w:tab/>
            </w:r>
            <w:r>
              <w:rPr>
                <w:noProof/>
                <w:webHidden/>
              </w:rPr>
              <w:fldChar w:fldCharType="begin"/>
            </w:r>
            <w:r>
              <w:rPr>
                <w:noProof/>
                <w:webHidden/>
              </w:rPr>
              <w:instrText xml:space="preserve"> PAGEREF _Toc88031184 \h </w:instrText>
            </w:r>
            <w:r>
              <w:rPr>
                <w:noProof/>
                <w:webHidden/>
              </w:rPr>
            </w:r>
            <w:r>
              <w:rPr>
                <w:noProof/>
                <w:webHidden/>
              </w:rPr>
              <w:fldChar w:fldCharType="separate"/>
            </w:r>
            <w:r>
              <w:rPr>
                <w:noProof/>
                <w:webHidden/>
              </w:rPr>
              <w:t>3</w:t>
            </w:r>
            <w:r>
              <w:rPr>
                <w:noProof/>
                <w:webHidden/>
              </w:rPr>
              <w:fldChar w:fldCharType="end"/>
            </w:r>
          </w:hyperlink>
        </w:p>
        <w:p w14:paraId="4B995EAC" w14:textId="63637FE9" w:rsidR="00F71415" w:rsidRDefault="00F71415">
          <w:pPr>
            <w:pStyle w:val="Sadraj1"/>
            <w:tabs>
              <w:tab w:val="right" w:leader="dot" w:pos="9062"/>
            </w:tabs>
            <w:rPr>
              <w:rFonts w:eastAsiaTheme="minorEastAsia"/>
              <w:noProof/>
              <w:lang w:eastAsia="hr-HR"/>
            </w:rPr>
          </w:pPr>
          <w:hyperlink w:anchor="_Toc88031185" w:history="1">
            <w:r w:rsidRPr="005F0723">
              <w:rPr>
                <w:rStyle w:val="Hiperveza"/>
                <w:rFonts w:ascii="Times New Roman" w:eastAsia="Times New Roman" w:hAnsi="Times New Roman" w:cs="Times New Roman"/>
                <w:b/>
                <w:bCs/>
                <w:noProof/>
                <w:lang w:eastAsia="hr-HR"/>
              </w:rPr>
              <w:t>Svrha i opće obveze (članci 1. - 4.)</w:t>
            </w:r>
            <w:r>
              <w:rPr>
                <w:noProof/>
                <w:webHidden/>
              </w:rPr>
              <w:tab/>
            </w:r>
            <w:r>
              <w:rPr>
                <w:noProof/>
                <w:webHidden/>
              </w:rPr>
              <w:fldChar w:fldCharType="begin"/>
            </w:r>
            <w:r>
              <w:rPr>
                <w:noProof/>
                <w:webHidden/>
              </w:rPr>
              <w:instrText xml:space="preserve"> PAGEREF _Toc88031185 \h </w:instrText>
            </w:r>
            <w:r>
              <w:rPr>
                <w:noProof/>
                <w:webHidden/>
              </w:rPr>
            </w:r>
            <w:r>
              <w:rPr>
                <w:noProof/>
                <w:webHidden/>
              </w:rPr>
              <w:fldChar w:fldCharType="separate"/>
            </w:r>
            <w:r>
              <w:rPr>
                <w:noProof/>
                <w:webHidden/>
              </w:rPr>
              <w:t>3</w:t>
            </w:r>
            <w:r>
              <w:rPr>
                <w:noProof/>
                <w:webHidden/>
              </w:rPr>
              <w:fldChar w:fldCharType="end"/>
            </w:r>
          </w:hyperlink>
        </w:p>
        <w:p w14:paraId="55D1C2F3" w14:textId="45F2CA78" w:rsidR="00F71415" w:rsidRDefault="00F71415">
          <w:pPr>
            <w:pStyle w:val="Sadraj1"/>
            <w:tabs>
              <w:tab w:val="right" w:leader="dot" w:pos="9062"/>
            </w:tabs>
            <w:rPr>
              <w:rFonts w:eastAsiaTheme="minorEastAsia"/>
              <w:noProof/>
              <w:lang w:eastAsia="hr-HR"/>
            </w:rPr>
          </w:pPr>
          <w:hyperlink w:anchor="_Toc88031186" w:history="1">
            <w:r w:rsidRPr="005F0723">
              <w:rPr>
                <w:rStyle w:val="Hiperveza"/>
                <w:rFonts w:ascii="Times New Roman" w:eastAsia="Times New Roman" w:hAnsi="Times New Roman" w:cs="Times New Roman"/>
                <w:b/>
                <w:bCs/>
                <w:noProof/>
                <w:lang w:eastAsia="hr-HR"/>
              </w:rPr>
              <w:t>Specifična prava (članci 5. - 30.)</w:t>
            </w:r>
            <w:r>
              <w:rPr>
                <w:noProof/>
                <w:webHidden/>
              </w:rPr>
              <w:tab/>
            </w:r>
            <w:r>
              <w:rPr>
                <w:noProof/>
                <w:webHidden/>
              </w:rPr>
              <w:fldChar w:fldCharType="begin"/>
            </w:r>
            <w:r>
              <w:rPr>
                <w:noProof/>
                <w:webHidden/>
              </w:rPr>
              <w:instrText xml:space="preserve"> PAGEREF _Toc88031186 \h </w:instrText>
            </w:r>
            <w:r>
              <w:rPr>
                <w:noProof/>
                <w:webHidden/>
              </w:rPr>
            </w:r>
            <w:r>
              <w:rPr>
                <w:noProof/>
                <w:webHidden/>
              </w:rPr>
              <w:fldChar w:fldCharType="separate"/>
            </w:r>
            <w:r>
              <w:rPr>
                <w:noProof/>
                <w:webHidden/>
              </w:rPr>
              <w:t>6</w:t>
            </w:r>
            <w:r>
              <w:rPr>
                <w:noProof/>
                <w:webHidden/>
              </w:rPr>
              <w:fldChar w:fldCharType="end"/>
            </w:r>
          </w:hyperlink>
        </w:p>
        <w:p w14:paraId="6B30D5A4" w14:textId="5B3BB278" w:rsidR="00F71415" w:rsidRDefault="00F71415">
          <w:pPr>
            <w:pStyle w:val="Sadraj1"/>
            <w:tabs>
              <w:tab w:val="right" w:leader="dot" w:pos="9062"/>
            </w:tabs>
            <w:rPr>
              <w:rFonts w:eastAsiaTheme="minorEastAsia"/>
              <w:noProof/>
              <w:lang w:eastAsia="hr-HR"/>
            </w:rPr>
          </w:pPr>
          <w:hyperlink w:anchor="_Toc88031187" w:history="1">
            <w:r w:rsidRPr="005F0723">
              <w:rPr>
                <w:rStyle w:val="Hiperveza"/>
                <w:rFonts w:ascii="Times New Roman" w:eastAsia="Times New Roman" w:hAnsi="Times New Roman" w:cs="Times New Roman"/>
                <w:b/>
                <w:bCs/>
                <w:noProof/>
                <w:lang w:eastAsia="hr-HR"/>
              </w:rPr>
              <w:t>Jednakost i nediskriminacija (čl. 5.)</w:t>
            </w:r>
            <w:r>
              <w:rPr>
                <w:noProof/>
                <w:webHidden/>
              </w:rPr>
              <w:tab/>
            </w:r>
            <w:r>
              <w:rPr>
                <w:noProof/>
                <w:webHidden/>
              </w:rPr>
              <w:fldChar w:fldCharType="begin"/>
            </w:r>
            <w:r>
              <w:rPr>
                <w:noProof/>
                <w:webHidden/>
              </w:rPr>
              <w:instrText xml:space="preserve"> PAGEREF _Toc88031187 \h </w:instrText>
            </w:r>
            <w:r>
              <w:rPr>
                <w:noProof/>
                <w:webHidden/>
              </w:rPr>
            </w:r>
            <w:r>
              <w:rPr>
                <w:noProof/>
                <w:webHidden/>
              </w:rPr>
              <w:fldChar w:fldCharType="separate"/>
            </w:r>
            <w:r>
              <w:rPr>
                <w:noProof/>
                <w:webHidden/>
              </w:rPr>
              <w:t>6</w:t>
            </w:r>
            <w:r>
              <w:rPr>
                <w:noProof/>
                <w:webHidden/>
              </w:rPr>
              <w:fldChar w:fldCharType="end"/>
            </w:r>
          </w:hyperlink>
        </w:p>
        <w:p w14:paraId="4B80EDF6" w14:textId="6264F298" w:rsidR="00F71415" w:rsidRDefault="00F71415">
          <w:pPr>
            <w:pStyle w:val="Sadraj1"/>
            <w:tabs>
              <w:tab w:val="right" w:leader="dot" w:pos="9062"/>
            </w:tabs>
            <w:rPr>
              <w:rFonts w:eastAsiaTheme="minorEastAsia"/>
              <w:noProof/>
              <w:lang w:eastAsia="hr-HR"/>
            </w:rPr>
          </w:pPr>
          <w:hyperlink w:anchor="_Toc88031188" w:history="1">
            <w:r w:rsidRPr="005F0723">
              <w:rPr>
                <w:rStyle w:val="Hiperveza"/>
                <w:rFonts w:ascii="Times New Roman" w:eastAsia="Times New Roman" w:hAnsi="Times New Roman" w:cs="Times New Roman"/>
                <w:b/>
                <w:bCs/>
                <w:noProof/>
                <w:lang w:eastAsia="hr-HR"/>
              </w:rPr>
              <w:t>Žene s invaliditetom (čl. 6)</w:t>
            </w:r>
            <w:r>
              <w:rPr>
                <w:noProof/>
                <w:webHidden/>
              </w:rPr>
              <w:tab/>
            </w:r>
            <w:r>
              <w:rPr>
                <w:noProof/>
                <w:webHidden/>
              </w:rPr>
              <w:fldChar w:fldCharType="begin"/>
            </w:r>
            <w:r>
              <w:rPr>
                <w:noProof/>
                <w:webHidden/>
              </w:rPr>
              <w:instrText xml:space="preserve"> PAGEREF _Toc88031188 \h </w:instrText>
            </w:r>
            <w:r>
              <w:rPr>
                <w:noProof/>
                <w:webHidden/>
              </w:rPr>
            </w:r>
            <w:r>
              <w:rPr>
                <w:noProof/>
                <w:webHidden/>
              </w:rPr>
              <w:fldChar w:fldCharType="separate"/>
            </w:r>
            <w:r>
              <w:rPr>
                <w:noProof/>
                <w:webHidden/>
              </w:rPr>
              <w:t>6</w:t>
            </w:r>
            <w:r>
              <w:rPr>
                <w:noProof/>
                <w:webHidden/>
              </w:rPr>
              <w:fldChar w:fldCharType="end"/>
            </w:r>
          </w:hyperlink>
        </w:p>
        <w:p w14:paraId="2C35DA19" w14:textId="3B12C3C3" w:rsidR="00F71415" w:rsidRDefault="00F71415">
          <w:pPr>
            <w:pStyle w:val="Sadraj1"/>
            <w:tabs>
              <w:tab w:val="right" w:leader="dot" w:pos="9062"/>
            </w:tabs>
            <w:rPr>
              <w:rFonts w:eastAsiaTheme="minorEastAsia"/>
              <w:noProof/>
              <w:lang w:eastAsia="hr-HR"/>
            </w:rPr>
          </w:pPr>
          <w:hyperlink w:anchor="_Toc88031189" w:history="1">
            <w:r w:rsidRPr="005F0723">
              <w:rPr>
                <w:rStyle w:val="Hiperveza"/>
                <w:rFonts w:ascii="Times New Roman" w:eastAsia="Times New Roman" w:hAnsi="Times New Roman" w:cs="Times New Roman"/>
                <w:b/>
                <w:bCs/>
                <w:noProof/>
                <w:lang w:eastAsia="hr-HR"/>
              </w:rPr>
              <w:t>Djeca s teškoćama u razvoju (čl. 7.)</w:t>
            </w:r>
            <w:r>
              <w:rPr>
                <w:noProof/>
                <w:webHidden/>
              </w:rPr>
              <w:tab/>
            </w:r>
            <w:r>
              <w:rPr>
                <w:noProof/>
                <w:webHidden/>
              </w:rPr>
              <w:fldChar w:fldCharType="begin"/>
            </w:r>
            <w:r>
              <w:rPr>
                <w:noProof/>
                <w:webHidden/>
              </w:rPr>
              <w:instrText xml:space="preserve"> PAGEREF _Toc88031189 \h </w:instrText>
            </w:r>
            <w:r>
              <w:rPr>
                <w:noProof/>
                <w:webHidden/>
              </w:rPr>
            </w:r>
            <w:r>
              <w:rPr>
                <w:noProof/>
                <w:webHidden/>
              </w:rPr>
              <w:fldChar w:fldCharType="separate"/>
            </w:r>
            <w:r>
              <w:rPr>
                <w:noProof/>
                <w:webHidden/>
              </w:rPr>
              <w:t>7</w:t>
            </w:r>
            <w:r>
              <w:rPr>
                <w:noProof/>
                <w:webHidden/>
              </w:rPr>
              <w:fldChar w:fldCharType="end"/>
            </w:r>
          </w:hyperlink>
        </w:p>
        <w:p w14:paraId="28FCC1DB" w14:textId="22420B53" w:rsidR="00F71415" w:rsidRDefault="00F71415">
          <w:pPr>
            <w:pStyle w:val="Sadraj1"/>
            <w:tabs>
              <w:tab w:val="right" w:leader="dot" w:pos="9062"/>
            </w:tabs>
            <w:rPr>
              <w:rFonts w:eastAsiaTheme="minorEastAsia"/>
              <w:noProof/>
              <w:lang w:eastAsia="hr-HR"/>
            </w:rPr>
          </w:pPr>
          <w:hyperlink w:anchor="_Toc88031190" w:history="1">
            <w:r w:rsidRPr="005F0723">
              <w:rPr>
                <w:rStyle w:val="Hiperveza"/>
                <w:rFonts w:ascii="Times New Roman" w:eastAsia="Times New Roman" w:hAnsi="Times New Roman" w:cs="Times New Roman"/>
                <w:b/>
                <w:bCs/>
                <w:noProof/>
                <w:lang w:eastAsia="hr-HR"/>
              </w:rPr>
              <w:t>Podizanje svijesti (čl. 8.)</w:t>
            </w:r>
            <w:r>
              <w:rPr>
                <w:noProof/>
                <w:webHidden/>
              </w:rPr>
              <w:tab/>
            </w:r>
            <w:r>
              <w:rPr>
                <w:noProof/>
                <w:webHidden/>
              </w:rPr>
              <w:fldChar w:fldCharType="begin"/>
            </w:r>
            <w:r>
              <w:rPr>
                <w:noProof/>
                <w:webHidden/>
              </w:rPr>
              <w:instrText xml:space="preserve"> PAGEREF _Toc88031190 \h </w:instrText>
            </w:r>
            <w:r>
              <w:rPr>
                <w:noProof/>
                <w:webHidden/>
              </w:rPr>
            </w:r>
            <w:r>
              <w:rPr>
                <w:noProof/>
                <w:webHidden/>
              </w:rPr>
              <w:fldChar w:fldCharType="separate"/>
            </w:r>
            <w:r>
              <w:rPr>
                <w:noProof/>
                <w:webHidden/>
              </w:rPr>
              <w:t>9</w:t>
            </w:r>
            <w:r>
              <w:rPr>
                <w:noProof/>
                <w:webHidden/>
              </w:rPr>
              <w:fldChar w:fldCharType="end"/>
            </w:r>
          </w:hyperlink>
        </w:p>
        <w:p w14:paraId="03A5C10F" w14:textId="25F24BAE" w:rsidR="00F71415" w:rsidRDefault="00F71415">
          <w:pPr>
            <w:pStyle w:val="Sadraj1"/>
            <w:tabs>
              <w:tab w:val="right" w:leader="dot" w:pos="9062"/>
            </w:tabs>
            <w:rPr>
              <w:rFonts w:eastAsiaTheme="minorEastAsia"/>
              <w:noProof/>
              <w:lang w:eastAsia="hr-HR"/>
            </w:rPr>
          </w:pPr>
          <w:hyperlink w:anchor="_Toc88031191" w:history="1">
            <w:r w:rsidRPr="005F0723">
              <w:rPr>
                <w:rStyle w:val="Hiperveza"/>
                <w:rFonts w:ascii="Times New Roman" w:eastAsia="Times New Roman" w:hAnsi="Times New Roman" w:cs="Times New Roman"/>
                <w:b/>
                <w:bCs/>
                <w:noProof/>
                <w:lang w:eastAsia="hr-HR"/>
              </w:rPr>
              <w:t>Pristupačnost (čl. 9.)</w:t>
            </w:r>
            <w:r>
              <w:rPr>
                <w:noProof/>
                <w:webHidden/>
              </w:rPr>
              <w:tab/>
            </w:r>
            <w:r>
              <w:rPr>
                <w:noProof/>
                <w:webHidden/>
              </w:rPr>
              <w:fldChar w:fldCharType="begin"/>
            </w:r>
            <w:r>
              <w:rPr>
                <w:noProof/>
                <w:webHidden/>
              </w:rPr>
              <w:instrText xml:space="preserve"> PAGEREF _Toc88031191 \h </w:instrText>
            </w:r>
            <w:r>
              <w:rPr>
                <w:noProof/>
                <w:webHidden/>
              </w:rPr>
            </w:r>
            <w:r>
              <w:rPr>
                <w:noProof/>
                <w:webHidden/>
              </w:rPr>
              <w:fldChar w:fldCharType="separate"/>
            </w:r>
            <w:r>
              <w:rPr>
                <w:noProof/>
                <w:webHidden/>
              </w:rPr>
              <w:t>10</w:t>
            </w:r>
            <w:r>
              <w:rPr>
                <w:noProof/>
                <w:webHidden/>
              </w:rPr>
              <w:fldChar w:fldCharType="end"/>
            </w:r>
          </w:hyperlink>
        </w:p>
        <w:p w14:paraId="08EC0F67" w14:textId="07CF04B2" w:rsidR="00F71415" w:rsidRDefault="00F71415">
          <w:pPr>
            <w:pStyle w:val="Sadraj1"/>
            <w:tabs>
              <w:tab w:val="right" w:leader="dot" w:pos="9062"/>
            </w:tabs>
            <w:rPr>
              <w:rFonts w:eastAsiaTheme="minorEastAsia"/>
              <w:noProof/>
              <w:lang w:eastAsia="hr-HR"/>
            </w:rPr>
          </w:pPr>
          <w:hyperlink w:anchor="_Toc88031192" w:history="1">
            <w:r w:rsidRPr="005F0723">
              <w:rPr>
                <w:rStyle w:val="Hiperveza"/>
                <w:rFonts w:ascii="Times New Roman" w:eastAsia="Times New Roman" w:hAnsi="Times New Roman" w:cs="Times New Roman"/>
                <w:b/>
                <w:bCs/>
                <w:noProof/>
                <w:lang w:eastAsia="hr-HR"/>
              </w:rPr>
              <w:t>Rizične situacije i humanitarna krizna stanja (čl. 11.)</w:t>
            </w:r>
            <w:r>
              <w:rPr>
                <w:noProof/>
                <w:webHidden/>
              </w:rPr>
              <w:tab/>
            </w:r>
            <w:r>
              <w:rPr>
                <w:noProof/>
                <w:webHidden/>
              </w:rPr>
              <w:fldChar w:fldCharType="begin"/>
            </w:r>
            <w:r>
              <w:rPr>
                <w:noProof/>
                <w:webHidden/>
              </w:rPr>
              <w:instrText xml:space="preserve"> PAGEREF _Toc88031192 \h </w:instrText>
            </w:r>
            <w:r>
              <w:rPr>
                <w:noProof/>
                <w:webHidden/>
              </w:rPr>
            </w:r>
            <w:r>
              <w:rPr>
                <w:noProof/>
                <w:webHidden/>
              </w:rPr>
              <w:fldChar w:fldCharType="separate"/>
            </w:r>
            <w:r>
              <w:rPr>
                <w:noProof/>
                <w:webHidden/>
              </w:rPr>
              <w:t>12</w:t>
            </w:r>
            <w:r>
              <w:rPr>
                <w:noProof/>
                <w:webHidden/>
              </w:rPr>
              <w:fldChar w:fldCharType="end"/>
            </w:r>
          </w:hyperlink>
        </w:p>
        <w:p w14:paraId="6317A9AC" w14:textId="2D518E2A" w:rsidR="00F71415" w:rsidRDefault="00F71415">
          <w:pPr>
            <w:pStyle w:val="Sadraj1"/>
            <w:tabs>
              <w:tab w:val="right" w:leader="dot" w:pos="9062"/>
            </w:tabs>
            <w:rPr>
              <w:rFonts w:eastAsiaTheme="minorEastAsia"/>
              <w:noProof/>
              <w:lang w:eastAsia="hr-HR"/>
            </w:rPr>
          </w:pPr>
          <w:hyperlink w:anchor="_Toc88031193" w:history="1">
            <w:r w:rsidRPr="005F0723">
              <w:rPr>
                <w:rStyle w:val="Hiperveza"/>
                <w:rFonts w:ascii="Times New Roman" w:eastAsia="Times New Roman" w:hAnsi="Times New Roman" w:cs="Times New Roman"/>
                <w:b/>
                <w:bCs/>
                <w:noProof/>
                <w:lang w:eastAsia="hr-HR"/>
              </w:rPr>
              <w:t>Jednakost pred zakonom (čl. 12.)</w:t>
            </w:r>
            <w:r>
              <w:rPr>
                <w:noProof/>
                <w:webHidden/>
              </w:rPr>
              <w:tab/>
            </w:r>
            <w:r>
              <w:rPr>
                <w:noProof/>
                <w:webHidden/>
              </w:rPr>
              <w:fldChar w:fldCharType="begin"/>
            </w:r>
            <w:r>
              <w:rPr>
                <w:noProof/>
                <w:webHidden/>
              </w:rPr>
              <w:instrText xml:space="preserve"> PAGEREF _Toc88031193 \h </w:instrText>
            </w:r>
            <w:r>
              <w:rPr>
                <w:noProof/>
                <w:webHidden/>
              </w:rPr>
            </w:r>
            <w:r>
              <w:rPr>
                <w:noProof/>
                <w:webHidden/>
              </w:rPr>
              <w:fldChar w:fldCharType="separate"/>
            </w:r>
            <w:r>
              <w:rPr>
                <w:noProof/>
                <w:webHidden/>
              </w:rPr>
              <w:t>14</w:t>
            </w:r>
            <w:r>
              <w:rPr>
                <w:noProof/>
                <w:webHidden/>
              </w:rPr>
              <w:fldChar w:fldCharType="end"/>
            </w:r>
          </w:hyperlink>
        </w:p>
        <w:p w14:paraId="1DD521B9" w14:textId="16513F96" w:rsidR="00F71415" w:rsidRDefault="00F71415">
          <w:pPr>
            <w:pStyle w:val="Sadraj1"/>
            <w:tabs>
              <w:tab w:val="right" w:leader="dot" w:pos="9062"/>
            </w:tabs>
            <w:rPr>
              <w:rFonts w:eastAsiaTheme="minorEastAsia"/>
              <w:noProof/>
              <w:lang w:eastAsia="hr-HR"/>
            </w:rPr>
          </w:pPr>
          <w:hyperlink w:anchor="_Toc88031194" w:history="1">
            <w:r w:rsidRPr="005F0723">
              <w:rPr>
                <w:rStyle w:val="Hiperveza"/>
                <w:rFonts w:ascii="Times New Roman" w:eastAsia="Times New Roman" w:hAnsi="Times New Roman" w:cs="Times New Roman"/>
                <w:b/>
                <w:bCs/>
                <w:noProof/>
                <w:lang w:eastAsia="hr-HR"/>
              </w:rPr>
              <w:t>Pristup pravosuđu (čl. 13.)</w:t>
            </w:r>
            <w:r>
              <w:rPr>
                <w:noProof/>
                <w:webHidden/>
              </w:rPr>
              <w:tab/>
            </w:r>
            <w:r>
              <w:rPr>
                <w:noProof/>
                <w:webHidden/>
              </w:rPr>
              <w:fldChar w:fldCharType="begin"/>
            </w:r>
            <w:r>
              <w:rPr>
                <w:noProof/>
                <w:webHidden/>
              </w:rPr>
              <w:instrText xml:space="preserve"> PAGEREF _Toc88031194 \h </w:instrText>
            </w:r>
            <w:r>
              <w:rPr>
                <w:noProof/>
                <w:webHidden/>
              </w:rPr>
            </w:r>
            <w:r>
              <w:rPr>
                <w:noProof/>
                <w:webHidden/>
              </w:rPr>
              <w:fldChar w:fldCharType="separate"/>
            </w:r>
            <w:r>
              <w:rPr>
                <w:noProof/>
                <w:webHidden/>
              </w:rPr>
              <w:t>17</w:t>
            </w:r>
            <w:r>
              <w:rPr>
                <w:noProof/>
                <w:webHidden/>
              </w:rPr>
              <w:fldChar w:fldCharType="end"/>
            </w:r>
          </w:hyperlink>
        </w:p>
        <w:p w14:paraId="147B81D0" w14:textId="4111992A" w:rsidR="00F71415" w:rsidRDefault="00F71415">
          <w:pPr>
            <w:pStyle w:val="Sadraj1"/>
            <w:tabs>
              <w:tab w:val="right" w:leader="dot" w:pos="9062"/>
            </w:tabs>
            <w:rPr>
              <w:rFonts w:eastAsiaTheme="minorEastAsia"/>
              <w:noProof/>
              <w:lang w:eastAsia="hr-HR"/>
            </w:rPr>
          </w:pPr>
          <w:hyperlink w:anchor="_Toc88031195" w:history="1">
            <w:r w:rsidRPr="005F0723">
              <w:rPr>
                <w:rStyle w:val="Hiperveza"/>
                <w:rFonts w:ascii="Times New Roman" w:eastAsia="Times New Roman" w:hAnsi="Times New Roman" w:cs="Times New Roman"/>
                <w:b/>
                <w:bCs/>
                <w:noProof/>
                <w:lang w:eastAsia="hr-HR"/>
              </w:rPr>
              <w:t>Osobna sloboda i sigurnost (čl. 14.)</w:t>
            </w:r>
            <w:r>
              <w:rPr>
                <w:noProof/>
                <w:webHidden/>
              </w:rPr>
              <w:tab/>
            </w:r>
            <w:r>
              <w:rPr>
                <w:noProof/>
                <w:webHidden/>
              </w:rPr>
              <w:fldChar w:fldCharType="begin"/>
            </w:r>
            <w:r>
              <w:rPr>
                <w:noProof/>
                <w:webHidden/>
              </w:rPr>
              <w:instrText xml:space="preserve"> PAGEREF _Toc88031195 \h </w:instrText>
            </w:r>
            <w:r>
              <w:rPr>
                <w:noProof/>
                <w:webHidden/>
              </w:rPr>
            </w:r>
            <w:r>
              <w:rPr>
                <w:noProof/>
                <w:webHidden/>
              </w:rPr>
              <w:fldChar w:fldCharType="separate"/>
            </w:r>
            <w:r>
              <w:rPr>
                <w:noProof/>
                <w:webHidden/>
              </w:rPr>
              <w:t>18</w:t>
            </w:r>
            <w:r>
              <w:rPr>
                <w:noProof/>
                <w:webHidden/>
              </w:rPr>
              <w:fldChar w:fldCharType="end"/>
            </w:r>
          </w:hyperlink>
        </w:p>
        <w:p w14:paraId="612FC69A" w14:textId="580DC7D3" w:rsidR="00F71415" w:rsidRDefault="00F71415">
          <w:pPr>
            <w:pStyle w:val="Sadraj1"/>
            <w:tabs>
              <w:tab w:val="right" w:leader="dot" w:pos="9062"/>
            </w:tabs>
            <w:rPr>
              <w:rFonts w:eastAsiaTheme="minorEastAsia"/>
              <w:noProof/>
              <w:lang w:eastAsia="hr-HR"/>
            </w:rPr>
          </w:pPr>
          <w:hyperlink w:anchor="_Toc88031196" w:history="1">
            <w:r w:rsidRPr="005F0723">
              <w:rPr>
                <w:rStyle w:val="Hiperveza"/>
                <w:rFonts w:ascii="Times New Roman" w:eastAsia="Times New Roman" w:hAnsi="Times New Roman" w:cs="Times New Roman"/>
                <w:b/>
                <w:bCs/>
                <w:noProof/>
                <w:lang w:eastAsia="hr-HR"/>
              </w:rPr>
              <w:t>Sloboda od mučenja ili okrutnog, nečovječnog ili ponižavajućeg ponašanja ili kažnjavanja (čl. 15.)</w:t>
            </w:r>
            <w:r>
              <w:rPr>
                <w:noProof/>
                <w:webHidden/>
              </w:rPr>
              <w:tab/>
            </w:r>
            <w:r>
              <w:rPr>
                <w:noProof/>
                <w:webHidden/>
              </w:rPr>
              <w:fldChar w:fldCharType="begin"/>
            </w:r>
            <w:r>
              <w:rPr>
                <w:noProof/>
                <w:webHidden/>
              </w:rPr>
              <w:instrText xml:space="preserve"> PAGEREF _Toc88031196 \h </w:instrText>
            </w:r>
            <w:r>
              <w:rPr>
                <w:noProof/>
                <w:webHidden/>
              </w:rPr>
            </w:r>
            <w:r>
              <w:rPr>
                <w:noProof/>
                <w:webHidden/>
              </w:rPr>
              <w:fldChar w:fldCharType="separate"/>
            </w:r>
            <w:r>
              <w:rPr>
                <w:noProof/>
                <w:webHidden/>
              </w:rPr>
              <w:t>19</w:t>
            </w:r>
            <w:r>
              <w:rPr>
                <w:noProof/>
                <w:webHidden/>
              </w:rPr>
              <w:fldChar w:fldCharType="end"/>
            </w:r>
          </w:hyperlink>
        </w:p>
        <w:p w14:paraId="00E2EB13" w14:textId="12EF2926" w:rsidR="00F71415" w:rsidRDefault="00F71415">
          <w:pPr>
            <w:pStyle w:val="Sadraj1"/>
            <w:tabs>
              <w:tab w:val="right" w:leader="dot" w:pos="9062"/>
            </w:tabs>
            <w:rPr>
              <w:rFonts w:eastAsiaTheme="minorEastAsia"/>
              <w:noProof/>
              <w:lang w:eastAsia="hr-HR"/>
            </w:rPr>
          </w:pPr>
          <w:hyperlink w:anchor="_Toc88031197" w:history="1">
            <w:r w:rsidRPr="005F0723">
              <w:rPr>
                <w:rStyle w:val="Hiperveza"/>
                <w:rFonts w:ascii="Times New Roman" w:eastAsia="Times New Roman" w:hAnsi="Times New Roman" w:cs="Times New Roman"/>
                <w:b/>
                <w:bCs/>
                <w:noProof/>
                <w:lang w:eastAsia="hr-HR"/>
              </w:rPr>
              <w:t>Sloboda od izrabljivanja, nasilja i zlostavljanja (čl. 16.)</w:t>
            </w:r>
            <w:r>
              <w:rPr>
                <w:noProof/>
                <w:webHidden/>
              </w:rPr>
              <w:tab/>
            </w:r>
            <w:r>
              <w:rPr>
                <w:noProof/>
                <w:webHidden/>
              </w:rPr>
              <w:fldChar w:fldCharType="begin"/>
            </w:r>
            <w:r>
              <w:rPr>
                <w:noProof/>
                <w:webHidden/>
              </w:rPr>
              <w:instrText xml:space="preserve"> PAGEREF _Toc88031197 \h </w:instrText>
            </w:r>
            <w:r>
              <w:rPr>
                <w:noProof/>
                <w:webHidden/>
              </w:rPr>
            </w:r>
            <w:r>
              <w:rPr>
                <w:noProof/>
                <w:webHidden/>
              </w:rPr>
              <w:fldChar w:fldCharType="separate"/>
            </w:r>
            <w:r>
              <w:rPr>
                <w:noProof/>
                <w:webHidden/>
              </w:rPr>
              <w:t>20</w:t>
            </w:r>
            <w:r>
              <w:rPr>
                <w:noProof/>
                <w:webHidden/>
              </w:rPr>
              <w:fldChar w:fldCharType="end"/>
            </w:r>
          </w:hyperlink>
        </w:p>
        <w:p w14:paraId="1C60E550" w14:textId="0CF74877" w:rsidR="00F71415" w:rsidRDefault="00F71415">
          <w:pPr>
            <w:pStyle w:val="Sadraj1"/>
            <w:tabs>
              <w:tab w:val="right" w:leader="dot" w:pos="9062"/>
            </w:tabs>
            <w:rPr>
              <w:rFonts w:eastAsiaTheme="minorEastAsia"/>
              <w:noProof/>
              <w:lang w:eastAsia="hr-HR"/>
            </w:rPr>
          </w:pPr>
          <w:hyperlink w:anchor="_Toc88031198" w:history="1">
            <w:r w:rsidRPr="005F0723">
              <w:rPr>
                <w:rStyle w:val="Hiperveza"/>
                <w:rFonts w:ascii="Times New Roman" w:eastAsia="Times New Roman" w:hAnsi="Times New Roman" w:cs="Times New Roman"/>
                <w:b/>
                <w:bCs/>
                <w:noProof/>
                <w:lang w:eastAsia="hr-HR"/>
              </w:rPr>
              <w:t>Zaštita osobnog integriteta osobe (čl. 17.)</w:t>
            </w:r>
            <w:r>
              <w:rPr>
                <w:noProof/>
                <w:webHidden/>
              </w:rPr>
              <w:tab/>
            </w:r>
            <w:r>
              <w:rPr>
                <w:noProof/>
                <w:webHidden/>
              </w:rPr>
              <w:fldChar w:fldCharType="begin"/>
            </w:r>
            <w:r>
              <w:rPr>
                <w:noProof/>
                <w:webHidden/>
              </w:rPr>
              <w:instrText xml:space="preserve"> PAGEREF _Toc88031198 \h </w:instrText>
            </w:r>
            <w:r>
              <w:rPr>
                <w:noProof/>
                <w:webHidden/>
              </w:rPr>
            </w:r>
            <w:r>
              <w:rPr>
                <w:noProof/>
                <w:webHidden/>
              </w:rPr>
              <w:fldChar w:fldCharType="separate"/>
            </w:r>
            <w:r>
              <w:rPr>
                <w:noProof/>
                <w:webHidden/>
              </w:rPr>
              <w:t>22</w:t>
            </w:r>
            <w:r>
              <w:rPr>
                <w:noProof/>
                <w:webHidden/>
              </w:rPr>
              <w:fldChar w:fldCharType="end"/>
            </w:r>
          </w:hyperlink>
        </w:p>
        <w:p w14:paraId="4C49E463" w14:textId="339DA793" w:rsidR="00F71415" w:rsidRDefault="00F71415">
          <w:pPr>
            <w:pStyle w:val="Sadraj1"/>
            <w:tabs>
              <w:tab w:val="right" w:leader="dot" w:pos="9062"/>
            </w:tabs>
            <w:rPr>
              <w:rFonts w:eastAsiaTheme="minorEastAsia"/>
              <w:noProof/>
              <w:lang w:eastAsia="hr-HR"/>
            </w:rPr>
          </w:pPr>
          <w:hyperlink w:anchor="_Toc88031199" w:history="1">
            <w:r w:rsidRPr="005F0723">
              <w:rPr>
                <w:rStyle w:val="Hiperveza"/>
                <w:rFonts w:ascii="Times New Roman" w:eastAsia="Times New Roman" w:hAnsi="Times New Roman" w:cs="Times New Roman"/>
                <w:b/>
                <w:bCs/>
                <w:noProof/>
                <w:lang w:eastAsia="hr-HR"/>
              </w:rPr>
              <w:t>Neovisno življenje i uključenost u zajednicu (čl. 19.)</w:t>
            </w:r>
            <w:r>
              <w:rPr>
                <w:noProof/>
                <w:webHidden/>
              </w:rPr>
              <w:tab/>
            </w:r>
            <w:r>
              <w:rPr>
                <w:noProof/>
                <w:webHidden/>
              </w:rPr>
              <w:fldChar w:fldCharType="begin"/>
            </w:r>
            <w:r>
              <w:rPr>
                <w:noProof/>
                <w:webHidden/>
              </w:rPr>
              <w:instrText xml:space="preserve"> PAGEREF _Toc88031199 \h </w:instrText>
            </w:r>
            <w:r>
              <w:rPr>
                <w:noProof/>
                <w:webHidden/>
              </w:rPr>
            </w:r>
            <w:r>
              <w:rPr>
                <w:noProof/>
                <w:webHidden/>
              </w:rPr>
              <w:fldChar w:fldCharType="separate"/>
            </w:r>
            <w:r>
              <w:rPr>
                <w:noProof/>
                <w:webHidden/>
              </w:rPr>
              <w:t>22</w:t>
            </w:r>
            <w:r>
              <w:rPr>
                <w:noProof/>
                <w:webHidden/>
              </w:rPr>
              <w:fldChar w:fldCharType="end"/>
            </w:r>
          </w:hyperlink>
        </w:p>
        <w:p w14:paraId="49CB8364" w14:textId="6AA279C5" w:rsidR="00F71415" w:rsidRDefault="00F71415">
          <w:pPr>
            <w:pStyle w:val="Sadraj1"/>
            <w:tabs>
              <w:tab w:val="right" w:leader="dot" w:pos="9062"/>
            </w:tabs>
            <w:rPr>
              <w:rFonts w:eastAsiaTheme="minorEastAsia"/>
              <w:noProof/>
              <w:lang w:eastAsia="hr-HR"/>
            </w:rPr>
          </w:pPr>
          <w:hyperlink w:anchor="_Toc88031200" w:history="1">
            <w:r w:rsidRPr="005F0723">
              <w:rPr>
                <w:rStyle w:val="Hiperveza"/>
                <w:rFonts w:ascii="Times New Roman" w:eastAsia="Times New Roman" w:hAnsi="Times New Roman" w:cs="Times New Roman"/>
                <w:b/>
                <w:bCs/>
                <w:noProof/>
                <w:lang w:eastAsia="hr-HR"/>
              </w:rPr>
              <w:t>Poštivanje doma i obitelji (čl. 23.)</w:t>
            </w:r>
            <w:r>
              <w:rPr>
                <w:noProof/>
                <w:webHidden/>
              </w:rPr>
              <w:tab/>
            </w:r>
            <w:r>
              <w:rPr>
                <w:noProof/>
                <w:webHidden/>
              </w:rPr>
              <w:fldChar w:fldCharType="begin"/>
            </w:r>
            <w:r>
              <w:rPr>
                <w:noProof/>
                <w:webHidden/>
              </w:rPr>
              <w:instrText xml:space="preserve"> PAGEREF _Toc88031200 \h </w:instrText>
            </w:r>
            <w:r>
              <w:rPr>
                <w:noProof/>
                <w:webHidden/>
              </w:rPr>
            </w:r>
            <w:r>
              <w:rPr>
                <w:noProof/>
                <w:webHidden/>
              </w:rPr>
              <w:fldChar w:fldCharType="separate"/>
            </w:r>
            <w:r>
              <w:rPr>
                <w:noProof/>
                <w:webHidden/>
              </w:rPr>
              <w:t>26</w:t>
            </w:r>
            <w:r>
              <w:rPr>
                <w:noProof/>
                <w:webHidden/>
              </w:rPr>
              <w:fldChar w:fldCharType="end"/>
            </w:r>
          </w:hyperlink>
        </w:p>
        <w:p w14:paraId="1F7C782F" w14:textId="6E31C8BD" w:rsidR="00F71415" w:rsidRDefault="00F71415">
          <w:pPr>
            <w:pStyle w:val="Sadraj1"/>
            <w:tabs>
              <w:tab w:val="right" w:leader="dot" w:pos="9062"/>
            </w:tabs>
            <w:rPr>
              <w:rFonts w:eastAsiaTheme="minorEastAsia"/>
              <w:noProof/>
              <w:lang w:eastAsia="hr-HR"/>
            </w:rPr>
          </w:pPr>
          <w:hyperlink w:anchor="_Toc88031201" w:history="1">
            <w:r w:rsidRPr="005F0723">
              <w:rPr>
                <w:rStyle w:val="Hiperveza"/>
                <w:rFonts w:ascii="Times New Roman" w:eastAsia="Times New Roman" w:hAnsi="Times New Roman" w:cs="Times New Roman"/>
                <w:b/>
                <w:bCs/>
                <w:noProof/>
                <w:lang w:eastAsia="hr-HR"/>
              </w:rPr>
              <w:t>Obrazovanje (čl. 24.)</w:t>
            </w:r>
            <w:r>
              <w:rPr>
                <w:noProof/>
                <w:webHidden/>
              </w:rPr>
              <w:tab/>
            </w:r>
            <w:r>
              <w:rPr>
                <w:noProof/>
                <w:webHidden/>
              </w:rPr>
              <w:fldChar w:fldCharType="begin"/>
            </w:r>
            <w:r>
              <w:rPr>
                <w:noProof/>
                <w:webHidden/>
              </w:rPr>
              <w:instrText xml:space="preserve"> PAGEREF _Toc88031201 \h </w:instrText>
            </w:r>
            <w:r>
              <w:rPr>
                <w:noProof/>
                <w:webHidden/>
              </w:rPr>
            </w:r>
            <w:r>
              <w:rPr>
                <w:noProof/>
                <w:webHidden/>
              </w:rPr>
              <w:fldChar w:fldCharType="separate"/>
            </w:r>
            <w:r>
              <w:rPr>
                <w:noProof/>
                <w:webHidden/>
              </w:rPr>
              <w:t>27</w:t>
            </w:r>
            <w:r>
              <w:rPr>
                <w:noProof/>
                <w:webHidden/>
              </w:rPr>
              <w:fldChar w:fldCharType="end"/>
            </w:r>
          </w:hyperlink>
        </w:p>
        <w:p w14:paraId="051B6949" w14:textId="7CCE1C11" w:rsidR="00F71415" w:rsidRDefault="00F71415">
          <w:pPr>
            <w:pStyle w:val="Sadraj1"/>
            <w:tabs>
              <w:tab w:val="right" w:leader="dot" w:pos="9062"/>
            </w:tabs>
            <w:rPr>
              <w:rFonts w:eastAsiaTheme="minorEastAsia"/>
              <w:noProof/>
              <w:lang w:eastAsia="hr-HR"/>
            </w:rPr>
          </w:pPr>
          <w:hyperlink w:anchor="_Toc88031202" w:history="1">
            <w:r w:rsidRPr="005F0723">
              <w:rPr>
                <w:rStyle w:val="Hiperveza"/>
                <w:rFonts w:ascii="Times New Roman" w:eastAsia="Times New Roman" w:hAnsi="Times New Roman" w:cs="Times New Roman"/>
                <w:b/>
                <w:bCs/>
                <w:noProof/>
                <w:lang w:eastAsia="hr-HR"/>
              </w:rPr>
              <w:t>Zdravlje, osposobljavanje i rehabilitacija (čl.25.)</w:t>
            </w:r>
            <w:r>
              <w:rPr>
                <w:noProof/>
                <w:webHidden/>
              </w:rPr>
              <w:tab/>
            </w:r>
            <w:r>
              <w:rPr>
                <w:noProof/>
                <w:webHidden/>
              </w:rPr>
              <w:fldChar w:fldCharType="begin"/>
            </w:r>
            <w:r>
              <w:rPr>
                <w:noProof/>
                <w:webHidden/>
              </w:rPr>
              <w:instrText xml:space="preserve"> PAGEREF _Toc88031202 \h </w:instrText>
            </w:r>
            <w:r>
              <w:rPr>
                <w:noProof/>
                <w:webHidden/>
              </w:rPr>
            </w:r>
            <w:r>
              <w:rPr>
                <w:noProof/>
                <w:webHidden/>
              </w:rPr>
              <w:fldChar w:fldCharType="separate"/>
            </w:r>
            <w:r>
              <w:rPr>
                <w:noProof/>
                <w:webHidden/>
              </w:rPr>
              <w:t>29</w:t>
            </w:r>
            <w:r>
              <w:rPr>
                <w:noProof/>
                <w:webHidden/>
              </w:rPr>
              <w:fldChar w:fldCharType="end"/>
            </w:r>
          </w:hyperlink>
        </w:p>
        <w:p w14:paraId="07A2D091" w14:textId="4CBC79A0" w:rsidR="00F71415" w:rsidRDefault="00F71415">
          <w:pPr>
            <w:pStyle w:val="Sadraj1"/>
            <w:tabs>
              <w:tab w:val="right" w:leader="dot" w:pos="9062"/>
            </w:tabs>
            <w:rPr>
              <w:rFonts w:eastAsiaTheme="minorEastAsia"/>
              <w:noProof/>
              <w:lang w:eastAsia="hr-HR"/>
            </w:rPr>
          </w:pPr>
          <w:hyperlink w:anchor="_Toc88031203" w:history="1">
            <w:r w:rsidRPr="005F0723">
              <w:rPr>
                <w:rStyle w:val="Hiperveza"/>
                <w:rFonts w:ascii="Times New Roman" w:eastAsia="Times New Roman" w:hAnsi="Times New Roman" w:cs="Times New Roman"/>
                <w:b/>
                <w:bCs/>
                <w:noProof/>
                <w:lang w:eastAsia="hr-HR"/>
              </w:rPr>
              <w:t>Rad i zapošljavanje (čl. 27.)</w:t>
            </w:r>
            <w:r>
              <w:rPr>
                <w:noProof/>
                <w:webHidden/>
              </w:rPr>
              <w:tab/>
            </w:r>
            <w:r>
              <w:rPr>
                <w:noProof/>
                <w:webHidden/>
              </w:rPr>
              <w:fldChar w:fldCharType="begin"/>
            </w:r>
            <w:r>
              <w:rPr>
                <w:noProof/>
                <w:webHidden/>
              </w:rPr>
              <w:instrText xml:space="preserve"> PAGEREF _Toc88031203 \h </w:instrText>
            </w:r>
            <w:r>
              <w:rPr>
                <w:noProof/>
                <w:webHidden/>
              </w:rPr>
            </w:r>
            <w:r>
              <w:rPr>
                <w:noProof/>
                <w:webHidden/>
              </w:rPr>
              <w:fldChar w:fldCharType="separate"/>
            </w:r>
            <w:r>
              <w:rPr>
                <w:noProof/>
                <w:webHidden/>
              </w:rPr>
              <w:t>30</w:t>
            </w:r>
            <w:r>
              <w:rPr>
                <w:noProof/>
                <w:webHidden/>
              </w:rPr>
              <w:fldChar w:fldCharType="end"/>
            </w:r>
          </w:hyperlink>
        </w:p>
        <w:p w14:paraId="0C280340" w14:textId="5C544BD9" w:rsidR="00F71415" w:rsidRDefault="00F71415">
          <w:pPr>
            <w:pStyle w:val="Sadraj1"/>
            <w:tabs>
              <w:tab w:val="right" w:leader="dot" w:pos="9062"/>
            </w:tabs>
            <w:rPr>
              <w:rFonts w:eastAsiaTheme="minorEastAsia"/>
              <w:noProof/>
              <w:lang w:eastAsia="hr-HR"/>
            </w:rPr>
          </w:pPr>
          <w:hyperlink w:anchor="_Toc88031204" w:history="1">
            <w:r w:rsidRPr="005F0723">
              <w:rPr>
                <w:rStyle w:val="Hiperveza"/>
                <w:rFonts w:ascii="Times New Roman" w:eastAsia="Times New Roman" w:hAnsi="Times New Roman" w:cs="Times New Roman"/>
                <w:b/>
                <w:bCs/>
                <w:noProof/>
                <w:lang w:eastAsia="hr-HR"/>
              </w:rPr>
              <w:t>Primjereni životni standardi i socijalna zaštita (čl. 28.)</w:t>
            </w:r>
            <w:r>
              <w:rPr>
                <w:noProof/>
                <w:webHidden/>
              </w:rPr>
              <w:tab/>
            </w:r>
            <w:r>
              <w:rPr>
                <w:noProof/>
                <w:webHidden/>
              </w:rPr>
              <w:fldChar w:fldCharType="begin"/>
            </w:r>
            <w:r>
              <w:rPr>
                <w:noProof/>
                <w:webHidden/>
              </w:rPr>
              <w:instrText xml:space="preserve"> PAGEREF _Toc88031204 \h </w:instrText>
            </w:r>
            <w:r>
              <w:rPr>
                <w:noProof/>
                <w:webHidden/>
              </w:rPr>
            </w:r>
            <w:r>
              <w:rPr>
                <w:noProof/>
                <w:webHidden/>
              </w:rPr>
              <w:fldChar w:fldCharType="separate"/>
            </w:r>
            <w:r>
              <w:rPr>
                <w:noProof/>
                <w:webHidden/>
              </w:rPr>
              <w:t>33</w:t>
            </w:r>
            <w:r>
              <w:rPr>
                <w:noProof/>
                <w:webHidden/>
              </w:rPr>
              <w:fldChar w:fldCharType="end"/>
            </w:r>
          </w:hyperlink>
        </w:p>
        <w:p w14:paraId="7611670B" w14:textId="2430B604" w:rsidR="00F71415" w:rsidRDefault="00F71415">
          <w:pPr>
            <w:pStyle w:val="Sadraj1"/>
            <w:tabs>
              <w:tab w:val="right" w:leader="dot" w:pos="9062"/>
            </w:tabs>
            <w:rPr>
              <w:rFonts w:eastAsiaTheme="minorEastAsia"/>
              <w:noProof/>
              <w:lang w:eastAsia="hr-HR"/>
            </w:rPr>
          </w:pPr>
          <w:hyperlink w:anchor="_Toc88031205" w:history="1">
            <w:r w:rsidRPr="005F0723">
              <w:rPr>
                <w:rStyle w:val="Hiperveza"/>
                <w:rFonts w:ascii="Times New Roman" w:eastAsia="Times New Roman" w:hAnsi="Times New Roman" w:cs="Times New Roman"/>
                <w:b/>
                <w:bCs/>
                <w:noProof/>
                <w:lang w:eastAsia="hr-HR"/>
              </w:rPr>
              <w:t>Sudjelovanje u političkom i javnom životu (čl. 29.)</w:t>
            </w:r>
            <w:r>
              <w:rPr>
                <w:noProof/>
                <w:webHidden/>
              </w:rPr>
              <w:tab/>
            </w:r>
            <w:r>
              <w:rPr>
                <w:noProof/>
                <w:webHidden/>
              </w:rPr>
              <w:fldChar w:fldCharType="begin"/>
            </w:r>
            <w:r>
              <w:rPr>
                <w:noProof/>
                <w:webHidden/>
              </w:rPr>
              <w:instrText xml:space="preserve"> PAGEREF _Toc88031205 \h </w:instrText>
            </w:r>
            <w:r>
              <w:rPr>
                <w:noProof/>
                <w:webHidden/>
              </w:rPr>
            </w:r>
            <w:r>
              <w:rPr>
                <w:noProof/>
                <w:webHidden/>
              </w:rPr>
              <w:fldChar w:fldCharType="separate"/>
            </w:r>
            <w:r>
              <w:rPr>
                <w:noProof/>
                <w:webHidden/>
              </w:rPr>
              <w:t>36</w:t>
            </w:r>
            <w:r>
              <w:rPr>
                <w:noProof/>
                <w:webHidden/>
              </w:rPr>
              <w:fldChar w:fldCharType="end"/>
            </w:r>
          </w:hyperlink>
        </w:p>
        <w:p w14:paraId="14AB0510" w14:textId="1C9CE005" w:rsidR="00F71415" w:rsidRDefault="00F71415">
          <w:pPr>
            <w:pStyle w:val="Sadraj1"/>
            <w:tabs>
              <w:tab w:val="right" w:leader="dot" w:pos="9062"/>
            </w:tabs>
            <w:rPr>
              <w:rFonts w:eastAsiaTheme="minorEastAsia"/>
              <w:noProof/>
              <w:lang w:eastAsia="hr-HR"/>
            </w:rPr>
          </w:pPr>
          <w:hyperlink w:anchor="_Toc88031206" w:history="1">
            <w:r w:rsidRPr="005F0723">
              <w:rPr>
                <w:rStyle w:val="Hiperveza"/>
                <w:rFonts w:ascii="Times New Roman" w:eastAsia="Times New Roman" w:hAnsi="Times New Roman" w:cs="Times New Roman"/>
                <w:b/>
                <w:bCs/>
                <w:noProof/>
                <w:lang w:eastAsia="hr-HR"/>
              </w:rPr>
              <w:t>Sudjelovanje u kulturnom životu, rekreaciji, razonodi i sportu (čl. 30.)</w:t>
            </w:r>
            <w:r>
              <w:rPr>
                <w:noProof/>
                <w:webHidden/>
              </w:rPr>
              <w:tab/>
            </w:r>
            <w:r>
              <w:rPr>
                <w:noProof/>
                <w:webHidden/>
              </w:rPr>
              <w:fldChar w:fldCharType="begin"/>
            </w:r>
            <w:r>
              <w:rPr>
                <w:noProof/>
                <w:webHidden/>
              </w:rPr>
              <w:instrText xml:space="preserve"> PAGEREF _Toc88031206 \h </w:instrText>
            </w:r>
            <w:r>
              <w:rPr>
                <w:noProof/>
                <w:webHidden/>
              </w:rPr>
            </w:r>
            <w:r>
              <w:rPr>
                <w:noProof/>
                <w:webHidden/>
              </w:rPr>
              <w:fldChar w:fldCharType="separate"/>
            </w:r>
            <w:r>
              <w:rPr>
                <w:noProof/>
                <w:webHidden/>
              </w:rPr>
              <w:t>37</w:t>
            </w:r>
            <w:r>
              <w:rPr>
                <w:noProof/>
                <w:webHidden/>
              </w:rPr>
              <w:fldChar w:fldCharType="end"/>
            </w:r>
          </w:hyperlink>
        </w:p>
        <w:p w14:paraId="7FEDF839" w14:textId="70C671A8" w:rsidR="00F71415" w:rsidRDefault="00F71415">
          <w:pPr>
            <w:pStyle w:val="Sadraj1"/>
            <w:tabs>
              <w:tab w:val="right" w:leader="dot" w:pos="9062"/>
            </w:tabs>
            <w:rPr>
              <w:rFonts w:eastAsiaTheme="minorEastAsia"/>
              <w:noProof/>
              <w:lang w:eastAsia="hr-HR"/>
            </w:rPr>
          </w:pPr>
          <w:hyperlink w:anchor="_Toc88031207" w:history="1">
            <w:r w:rsidRPr="005F0723">
              <w:rPr>
                <w:rStyle w:val="Hiperveza"/>
                <w:rFonts w:ascii="Times New Roman" w:eastAsia="Times New Roman" w:hAnsi="Times New Roman" w:cs="Times New Roman"/>
                <w:b/>
                <w:bCs/>
                <w:noProof/>
                <w:lang w:eastAsia="hr-HR"/>
              </w:rPr>
              <w:t>Specifične obaveze (članci 31.-33.)</w:t>
            </w:r>
            <w:r>
              <w:rPr>
                <w:noProof/>
                <w:webHidden/>
              </w:rPr>
              <w:tab/>
            </w:r>
            <w:r>
              <w:rPr>
                <w:noProof/>
                <w:webHidden/>
              </w:rPr>
              <w:fldChar w:fldCharType="begin"/>
            </w:r>
            <w:r>
              <w:rPr>
                <w:noProof/>
                <w:webHidden/>
              </w:rPr>
              <w:instrText xml:space="preserve"> PAGEREF _Toc88031207 \h </w:instrText>
            </w:r>
            <w:r>
              <w:rPr>
                <w:noProof/>
                <w:webHidden/>
              </w:rPr>
            </w:r>
            <w:r>
              <w:rPr>
                <w:noProof/>
                <w:webHidden/>
              </w:rPr>
              <w:fldChar w:fldCharType="separate"/>
            </w:r>
            <w:r>
              <w:rPr>
                <w:noProof/>
                <w:webHidden/>
              </w:rPr>
              <w:t>39</w:t>
            </w:r>
            <w:r>
              <w:rPr>
                <w:noProof/>
                <w:webHidden/>
              </w:rPr>
              <w:fldChar w:fldCharType="end"/>
            </w:r>
          </w:hyperlink>
        </w:p>
        <w:p w14:paraId="6758927F" w14:textId="57A68099" w:rsidR="00F71415" w:rsidRDefault="00F71415">
          <w:pPr>
            <w:pStyle w:val="Sadraj1"/>
            <w:tabs>
              <w:tab w:val="right" w:leader="dot" w:pos="9062"/>
            </w:tabs>
            <w:rPr>
              <w:rFonts w:eastAsiaTheme="minorEastAsia"/>
              <w:noProof/>
              <w:lang w:eastAsia="hr-HR"/>
            </w:rPr>
          </w:pPr>
          <w:hyperlink w:anchor="_Toc88031208" w:history="1">
            <w:r w:rsidRPr="005F0723">
              <w:rPr>
                <w:rStyle w:val="Hiperveza"/>
                <w:rFonts w:ascii="Times New Roman" w:eastAsia="Times New Roman" w:hAnsi="Times New Roman" w:cs="Times New Roman"/>
                <w:b/>
                <w:bCs/>
                <w:noProof/>
                <w:lang w:eastAsia="hr-HR"/>
              </w:rPr>
              <w:t>Statistika i prikupljanje podataka (čl.31.)</w:t>
            </w:r>
            <w:r>
              <w:rPr>
                <w:noProof/>
                <w:webHidden/>
              </w:rPr>
              <w:tab/>
            </w:r>
            <w:r>
              <w:rPr>
                <w:noProof/>
                <w:webHidden/>
              </w:rPr>
              <w:fldChar w:fldCharType="begin"/>
            </w:r>
            <w:r>
              <w:rPr>
                <w:noProof/>
                <w:webHidden/>
              </w:rPr>
              <w:instrText xml:space="preserve"> PAGEREF _Toc88031208 \h </w:instrText>
            </w:r>
            <w:r>
              <w:rPr>
                <w:noProof/>
                <w:webHidden/>
              </w:rPr>
            </w:r>
            <w:r>
              <w:rPr>
                <w:noProof/>
                <w:webHidden/>
              </w:rPr>
              <w:fldChar w:fldCharType="separate"/>
            </w:r>
            <w:r>
              <w:rPr>
                <w:noProof/>
                <w:webHidden/>
              </w:rPr>
              <w:t>39</w:t>
            </w:r>
            <w:r>
              <w:rPr>
                <w:noProof/>
                <w:webHidden/>
              </w:rPr>
              <w:fldChar w:fldCharType="end"/>
            </w:r>
          </w:hyperlink>
        </w:p>
        <w:p w14:paraId="4BF912A3" w14:textId="2158401F" w:rsidR="00F71415" w:rsidRDefault="00F71415">
          <w:pPr>
            <w:pStyle w:val="Sadraj1"/>
            <w:tabs>
              <w:tab w:val="right" w:leader="dot" w:pos="9062"/>
            </w:tabs>
            <w:rPr>
              <w:rFonts w:eastAsiaTheme="minorEastAsia"/>
              <w:noProof/>
              <w:lang w:eastAsia="hr-HR"/>
            </w:rPr>
          </w:pPr>
          <w:hyperlink w:anchor="_Toc88031209" w:history="1">
            <w:r w:rsidRPr="005F0723">
              <w:rPr>
                <w:rStyle w:val="Hiperveza"/>
                <w:rFonts w:ascii="Times New Roman" w:eastAsia="Times New Roman" w:hAnsi="Times New Roman" w:cs="Times New Roman"/>
                <w:b/>
                <w:bCs/>
                <w:noProof/>
                <w:lang w:eastAsia="hr-HR"/>
              </w:rPr>
              <w:t>Međunarodna suradnja (čl. 32.)</w:t>
            </w:r>
            <w:r>
              <w:rPr>
                <w:noProof/>
                <w:webHidden/>
              </w:rPr>
              <w:tab/>
            </w:r>
            <w:r>
              <w:rPr>
                <w:noProof/>
                <w:webHidden/>
              </w:rPr>
              <w:fldChar w:fldCharType="begin"/>
            </w:r>
            <w:r>
              <w:rPr>
                <w:noProof/>
                <w:webHidden/>
              </w:rPr>
              <w:instrText xml:space="preserve"> PAGEREF _Toc88031209 \h </w:instrText>
            </w:r>
            <w:r>
              <w:rPr>
                <w:noProof/>
                <w:webHidden/>
              </w:rPr>
            </w:r>
            <w:r>
              <w:rPr>
                <w:noProof/>
                <w:webHidden/>
              </w:rPr>
              <w:fldChar w:fldCharType="separate"/>
            </w:r>
            <w:r>
              <w:rPr>
                <w:noProof/>
                <w:webHidden/>
              </w:rPr>
              <w:t>39</w:t>
            </w:r>
            <w:r>
              <w:rPr>
                <w:noProof/>
                <w:webHidden/>
              </w:rPr>
              <w:fldChar w:fldCharType="end"/>
            </w:r>
          </w:hyperlink>
        </w:p>
        <w:p w14:paraId="2D4CE4C3" w14:textId="1099CC6C" w:rsidR="00F71415" w:rsidRDefault="00F71415">
          <w:pPr>
            <w:pStyle w:val="Sadraj1"/>
            <w:tabs>
              <w:tab w:val="right" w:leader="dot" w:pos="9062"/>
            </w:tabs>
            <w:rPr>
              <w:rFonts w:eastAsiaTheme="minorEastAsia"/>
              <w:noProof/>
              <w:lang w:eastAsia="hr-HR"/>
            </w:rPr>
          </w:pPr>
          <w:hyperlink w:anchor="_Toc88031210" w:history="1">
            <w:r w:rsidRPr="005F0723">
              <w:rPr>
                <w:rStyle w:val="Hiperveza"/>
                <w:rFonts w:ascii="Times New Roman" w:eastAsia="Times New Roman" w:hAnsi="Times New Roman" w:cs="Times New Roman"/>
                <w:b/>
                <w:bCs/>
                <w:noProof/>
                <w:lang w:eastAsia="hr-HR"/>
              </w:rPr>
              <w:t>Nacionalna provedba i praćenje (čl. 33.)</w:t>
            </w:r>
            <w:r>
              <w:rPr>
                <w:noProof/>
                <w:webHidden/>
              </w:rPr>
              <w:tab/>
            </w:r>
            <w:r>
              <w:rPr>
                <w:noProof/>
                <w:webHidden/>
              </w:rPr>
              <w:fldChar w:fldCharType="begin"/>
            </w:r>
            <w:r>
              <w:rPr>
                <w:noProof/>
                <w:webHidden/>
              </w:rPr>
              <w:instrText xml:space="preserve"> PAGEREF _Toc88031210 \h </w:instrText>
            </w:r>
            <w:r>
              <w:rPr>
                <w:noProof/>
                <w:webHidden/>
              </w:rPr>
            </w:r>
            <w:r>
              <w:rPr>
                <w:noProof/>
                <w:webHidden/>
              </w:rPr>
              <w:fldChar w:fldCharType="separate"/>
            </w:r>
            <w:r>
              <w:rPr>
                <w:noProof/>
                <w:webHidden/>
              </w:rPr>
              <w:t>40</w:t>
            </w:r>
            <w:r>
              <w:rPr>
                <w:noProof/>
                <w:webHidden/>
              </w:rPr>
              <w:fldChar w:fldCharType="end"/>
            </w:r>
          </w:hyperlink>
        </w:p>
        <w:p w14:paraId="79F0D5BE" w14:textId="7F32436F" w:rsidR="00F71415" w:rsidRDefault="00F71415">
          <w:pPr>
            <w:pStyle w:val="Sadraj1"/>
            <w:tabs>
              <w:tab w:val="right" w:leader="dot" w:pos="9062"/>
            </w:tabs>
            <w:rPr>
              <w:rFonts w:eastAsiaTheme="minorEastAsia"/>
              <w:noProof/>
              <w:lang w:eastAsia="hr-HR"/>
            </w:rPr>
          </w:pPr>
          <w:hyperlink w:anchor="_Toc88031211" w:history="1">
            <w:r w:rsidRPr="005F0723">
              <w:rPr>
                <w:rStyle w:val="Hiperveza"/>
                <w:rFonts w:ascii="Times New Roman" w:eastAsia="MS Mincho" w:hAnsi="Times New Roman" w:cs="Times New Roman"/>
                <w:b/>
                <w:bCs/>
                <w:noProof/>
                <w:lang w:val="en-US" w:eastAsia="ja-JP"/>
              </w:rPr>
              <w:t>Prilozi</w:t>
            </w:r>
            <w:r>
              <w:rPr>
                <w:noProof/>
                <w:webHidden/>
              </w:rPr>
              <w:tab/>
            </w:r>
            <w:r>
              <w:rPr>
                <w:noProof/>
                <w:webHidden/>
              </w:rPr>
              <w:fldChar w:fldCharType="begin"/>
            </w:r>
            <w:r>
              <w:rPr>
                <w:noProof/>
                <w:webHidden/>
              </w:rPr>
              <w:instrText xml:space="preserve"> PAGEREF _Toc88031211 \h </w:instrText>
            </w:r>
            <w:r>
              <w:rPr>
                <w:noProof/>
                <w:webHidden/>
              </w:rPr>
            </w:r>
            <w:r>
              <w:rPr>
                <w:noProof/>
                <w:webHidden/>
              </w:rPr>
              <w:fldChar w:fldCharType="separate"/>
            </w:r>
            <w:r>
              <w:rPr>
                <w:noProof/>
                <w:webHidden/>
              </w:rPr>
              <w:t>41</w:t>
            </w:r>
            <w:r>
              <w:rPr>
                <w:noProof/>
                <w:webHidden/>
              </w:rPr>
              <w:fldChar w:fldCharType="end"/>
            </w:r>
          </w:hyperlink>
        </w:p>
        <w:p w14:paraId="2744D01D" w14:textId="0C423A01" w:rsidR="00F71415" w:rsidRDefault="00F71415">
          <w:pPr>
            <w:pStyle w:val="Sadraj1"/>
            <w:tabs>
              <w:tab w:val="right" w:leader="dot" w:pos="9062"/>
            </w:tabs>
            <w:rPr>
              <w:rFonts w:eastAsiaTheme="minorEastAsia"/>
              <w:noProof/>
              <w:lang w:eastAsia="hr-HR"/>
            </w:rPr>
          </w:pPr>
          <w:hyperlink w:anchor="_Toc88031212" w:history="1">
            <w:r w:rsidRPr="005F0723">
              <w:rPr>
                <w:rStyle w:val="Hiperveza"/>
                <w:rFonts w:ascii="Times New Roman" w:hAnsi="Times New Roman" w:cs="Times New Roman"/>
                <w:b/>
                <w:bCs/>
                <w:noProof/>
              </w:rPr>
              <w:t>Dodatak: Pitanja odbora za prava osoba s invaliditetom ujedinjenih naroda</w:t>
            </w:r>
            <w:r>
              <w:rPr>
                <w:noProof/>
                <w:webHidden/>
              </w:rPr>
              <w:tab/>
            </w:r>
            <w:r>
              <w:rPr>
                <w:noProof/>
                <w:webHidden/>
              </w:rPr>
              <w:fldChar w:fldCharType="begin"/>
            </w:r>
            <w:r>
              <w:rPr>
                <w:noProof/>
                <w:webHidden/>
              </w:rPr>
              <w:instrText xml:space="preserve"> PAGEREF _Toc88031212 \h </w:instrText>
            </w:r>
            <w:r>
              <w:rPr>
                <w:noProof/>
                <w:webHidden/>
              </w:rPr>
            </w:r>
            <w:r>
              <w:rPr>
                <w:noProof/>
                <w:webHidden/>
              </w:rPr>
              <w:fldChar w:fldCharType="separate"/>
            </w:r>
            <w:r>
              <w:rPr>
                <w:noProof/>
                <w:webHidden/>
              </w:rPr>
              <w:t>155</w:t>
            </w:r>
            <w:r>
              <w:rPr>
                <w:noProof/>
                <w:webHidden/>
              </w:rPr>
              <w:fldChar w:fldCharType="end"/>
            </w:r>
          </w:hyperlink>
        </w:p>
        <w:p w14:paraId="482F91F0" w14:textId="15F0A634" w:rsidR="008847F9" w:rsidRPr="00C41483" w:rsidRDefault="007E2D03" w:rsidP="002854A8">
          <w:pPr>
            <w:spacing w:after="0" w:line="240" w:lineRule="auto"/>
          </w:pPr>
          <w:r w:rsidRPr="00C41483">
            <w:rPr>
              <w:rFonts w:ascii="Times New Roman" w:hAnsi="Times New Roman" w:cs="Times New Roman"/>
              <w:sz w:val="24"/>
              <w:szCs w:val="24"/>
            </w:rPr>
            <w:fldChar w:fldCharType="end"/>
          </w:r>
        </w:p>
      </w:sdtContent>
    </w:sdt>
    <w:p w14:paraId="335BA639" w14:textId="64205A28" w:rsidR="00F76E70" w:rsidRPr="00C41483" w:rsidRDefault="00EB3DA0" w:rsidP="002854A8">
      <w:pPr>
        <w:spacing w:after="0" w:line="240" w:lineRule="auto"/>
        <w:rPr>
          <w:lang w:eastAsia="hr-HR"/>
        </w:rPr>
      </w:pPr>
      <w:r w:rsidRPr="00C41483">
        <w:rPr>
          <w:lang w:eastAsia="hr-HR"/>
        </w:rPr>
        <w:tab/>
      </w:r>
    </w:p>
    <w:p w14:paraId="4A652A09" w14:textId="77777777" w:rsidR="00F76E70" w:rsidRPr="00C41483" w:rsidRDefault="00F76E70">
      <w:pPr>
        <w:rPr>
          <w:lang w:eastAsia="hr-HR"/>
        </w:rPr>
      </w:pPr>
      <w:r w:rsidRPr="00C41483">
        <w:rPr>
          <w:lang w:eastAsia="hr-HR"/>
        </w:rPr>
        <w:br w:type="page"/>
      </w:r>
    </w:p>
    <w:p w14:paraId="4FC9A35E" w14:textId="458D6DBA" w:rsidR="002A43F0" w:rsidRPr="00C41483" w:rsidRDefault="002A43F0" w:rsidP="00CD045B">
      <w:pPr>
        <w:pStyle w:val="Naslov1"/>
        <w:rPr>
          <w:rFonts w:ascii="Times New Roman" w:hAnsi="Times New Roman" w:cs="Times New Roman"/>
          <w:b/>
          <w:bCs/>
          <w:color w:val="auto"/>
          <w:sz w:val="24"/>
          <w:szCs w:val="24"/>
        </w:rPr>
      </w:pPr>
      <w:bookmarkStart w:id="0" w:name="_Toc88031183"/>
      <w:r w:rsidRPr="00C41483">
        <w:rPr>
          <w:rFonts w:ascii="Times New Roman" w:hAnsi="Times New Roman" w:cs="Times New Roman"/>
          <w:b/>
          <w:bCs/>
          <w:color w:val="auto"/>
          <w:sz w:val="24"/>
          <w:szCs w:val="24"/>
        </w:rPr>
        <w:lastRenderedPageBreak/>
        <w:t>K</w:t>
      </w:r>
      <w:r w:rsidR="00CD045B" w:rsidRPr="00C41483">
        <w:rPr>
          <w:rFonts w:ascii="Times New Roman" w:hAnsi="Times New Roman" w:cs="Times New Roman"/>
          <w:b/>
          <w:bCs/>
          <w:color w:val="auto"/>
          <w:sz w:val="24"/>
          <w:szCs w:val="24"/>
        </w:rPr>
        <w:t>ratice</w:t>
      </w:r>
      <w:bookmarkEnd w:id="0"/>
    </w:p>
    <w:p w14:paraId="13862B50" w14:textId="77777777" w:rsidR="00CD045B" w:rsidRPr="00C41483" w:rsidRDefault="00CD045B" w:rsidP="00CD045B"/>
    <w:tbl>
      <w:tblPr>
        <w:tblW w:w="4925" w:type="pct"/>
        <w:jc w:val="center"/>
        <w:tblCellMar>
          <w:left w:w="0" w:type="dxa"/>
          <w:right w:w="0" w:type="dxa"/>
        </w:tblCellMar>
        <w:tblLook w:val="04A0" w:firstRow="1" w:lastRow="0" w:firstColumn="1" w:lastColumn="0" w:noHBand="0" w:noVBand="1"/>
      </w:tblPr>
      <w:tblGrid>
        <w:gridCol w:w="2264"/>
        <w:gridCol w:w="6662"/>
      </w:tblGrid>
      <w:tr w:rsidR="00CE33DB" w:rsidRPr="00C41483" w14:paraId="573AD838" w14:textId="77777777" w:rsidTr="00CD045B">
        <w:trPr>
          <w:jc w:val="center"/>
        </w:trPr>
        <w:tc>
          <w:tcPr>
            <w:tcW w:w="1268" w:type="pct"/>
            <w:tcBorders>
              <w:top w:val="single" w:sz="4" w:space="0" w:color="auto"/>
              <w:left w:val="single" w:sz="4" w:space="0" w:color="auto"/>
              <w:bottom w:val="single" w:sz="4" w:space="0" w:color="auto"/>
              <w:right w:val="single" w:sz="4" w:space="0" w:color="auto"/>
            </w:tcBorders>
            <w:tcMar>
              <w:top w:w="48" w:type="dxa"/>
              <w:left w:w="48" w:type="dxa"/>
              <w:bottom w:w="48" w:type="dxa"/>
              <w:right w:w="48" w:type="dxa"/>
            </w:tcMar>
            <w:vAlign w:val="bottom"/>
          </w:tcPr>
          <w:p w14:paraId="6E856A06" w14:textId="64337D46" w:rsidR="00CE33DB" w:rsidRPr="00C41483" w:rsidRDefault="00CE33DB">
            <w:pPr>
              <w:rPr>
                <w:rFonts w:ascii="Times New Roman" w:hAnsi="Times New Roman" w:cs="Times New Roman"/>
                <w:sz w:val="24"/>
                <w:szCs w:val="24"/>
                <w:lang w:eastAsia="hr-HR"/>
              </w:rPr>
            </w:pPr>
            <w:bookmarkStart w:id="1" w:name="_Hlk57987205"/>
            <w:r w:rsidRPr="00C41483">
              <w:rPr>
                <w:rFonts w:ascii="Times New Roman" w:hAnsi="Times New Roman" w:cs="Times New Roman"/>
                <w:sz w:val="24"/>
                <w:szCs w:val="24"/>
                <w:lang w:eastAsia="hr-HR"/>
              </w:rPr>
              <w:t>DIP</w:t>
            </w:r>
          </w:p>
        </w:tc>
        <w:tc>
          <w:tcPr>
            <w:tcW w:w="3732" w:type="pct"/>
            <w:tcBorders>
              <w:top w:val="single" w:sz="4" w:space="0" w:color="auto"/>
              <w:left w:val="single" w:sz="4" w:space="0" w:color="auto"/>
              <w:bottom w:val="single" w:sz="4" w:space="0" w:color="auto"/>
              <w:right w:val="single" w:sz="4" w:space="0" w:color="auto"/>
            </w:tcBorders>
            <w:tcMar>
              <w:top w:w="48" w:type="dxa"/>
              <w:left w:w="48" w:type="dxa"/>
              <w:bottom w:w="48" w:type="dxa"/>
              <w:right w:w="48" w:type="dxa"/>
            </w:tcMar>
            <w:vAlign w:val="bottom"/>
          </w:tcPr>
          <w:p w14:paraId="0F414D30" w14:textId="108D08A6" w:rsidR="00CE33DB" w:rsidRPr="00C41483" w:rsidRDefault="00CE33DB">
            <w:pPr>
              <w:rPr>
                <w:rFonts w:ascii="Times New Roman" w:hAnsi="Times New Roman" w:cs="Times New Roman"/>
                <w:sz w:val="24"/>
                <w:szCs w:val="24"/>
                <w:lang w:eastAsia="hr-HR"/>
              </w:rPr>
            </w:pPr>
            <w:r w:rsidRPr="00C41483">
              <w:rPr>
                <w:rFonts w:ascii="Times New Roman" w:eastAsia="Calibri" w:hAnsi="Times New Roman" w:cs="Times New Roman"/>
                <w:sz w:val="24"/>
                <w:szCs w:val="24"/>
              </w:rPr>
              <w:t>Državno izborno povjerenstvo Republike Hrvatske</w:t>
            </w:r>
          </w:p>
        </w:tc>
      </w:tr>
      <w:tr w:rsidR="0079429B" w:rsidRPr="00C41483" w14:paraId="2F6B4F3A" w14:textId="77777777" w:rsidTr="00CD045B">
        <w:trPr>
          <w:jc w:val="center"/>
        </w:trPr>
        <w:tc>
          <w:tcPr>
            <w:tcW w:w="1268" w:type="pct"/>
            <w:tcBorders>
              <w:top w:val="single" w:sz="4" w:space="0" w:color="auto"/>
              <w:left w:val="single" w:sz="4" w:space="0" w:color="auto"/>
              <w:bottom w:val="single" w:sz="4" w:space="0" w:color="auto"/>
              <w:right w:val="single" w:sz="4" w:space="0" w:color="auto"/>
            </w:tcBorders>
            <w:tcMar>
              <w:top w:w="48" w:type="dxa"/>
              <w:left w:w="48" w:type="dxa"/>
              <w:bottom w:w="48" w:type="dxa"/>
              <w:right w:w="48" w:type="dxa"/>
            </w:tcMar>
            <w:vAlign w:val="bottom"/>
          </w:tcPr>
          <w:p w14:paraId="4FBB7CEC" w14:textId="69926933" w:rsidR="0079429B" w:rsidRPr="00C41483" w:rsidRDefault="0079429B">
            <w:pPr>
              <w:rPr>
                <w:rFonts w:ascii="Times New Roman" w:hAnsi="Times New Roman" w:cs="Times New Roman"/>
                <w:sz w:val="24"/>
                <w:szCs w:val="24"/>
                <w:lang w:eastAsia="hr-HR"/>
              </w:rPr>
            </w:pPr>
            <w:r w:rsidRPr="00C41483">
              <w:rPr>
                <w:rFonts w:ascii="Times New Roman" w:hAnsi="Times New Roman" w:cs="Times New Roman"/>
                <w:sz w:val="24"/>
                <w:szCs w:val="24"/>
                <w:lang w:eastAsia="hr-HR"/>
              </w:rPr>
              <w:t>ESI fondovi</w:t>
            </w:r>
          </w:p>
        </w:tc>
        <w:tc>
          <w:tcPr>
            <w:tcW w:w="3732" w:type="pct"/>
            <w:tcBorders>
              <w:top w:val="single" w:sz="4" w:space="0" w:color="auto"/>
              <w:left w:val="single" w:sz="4" w:space="0" w:color="auto"/>
              <w:bottom w:val="single" w:sz="4" w:space="0" w:color="auto"/>
              <w:right w:val="single" w:sz="4" w:space="0" w:color="auto"/>
            </w:tcBorders>
            <w:tcMar>
              <w:top w:w="48" w:type="dxa"/>
              <w:left w:w="48" w:type="dxa"/>
              <w:bottom w:w="48" w:type="dxa"/>
              <w:right w:w="48" w:type="dxa"/>
            </w:tcMar>
            <w:vAlign w:val="bottom"/>
          </w:tcPr>
          <w:p w14:paraId="66B4569A" w14:textId="3D91FFD0" w:rsidR="0079429B" w:rsidRPr="00C41483" w:rsidRDefault="0079429B">
            <w:pPr>
              <w:rPr>
                <w:rFonts w:ascii="Times New Roman" w:eastAsia="Calibri" w:hAnsi="Times New Roman" w:cs="Times New Roman"/>
                <w:sz w:val="24"/>
                <w:szCs w:val="24"/>
              </w:rPr>
            </w:pPr>
            <w:r w:rsidRPr="00C41483">
              <w:rPr>
                <w:rFonts w:ascii="Times New Roman" w:eastAsia="Calibri" w:hAnsi="Times New Roman" w:cs="Times New Roman"/>
                <w:sz w:val="24"/>
                <w:szCs w:val="24"/>
              </w:rPr>
              <w:t>Europski strukturni investicijski fondovi</w:t>
            </w:r>
          </w:p>
        </w:tc>
      </w:tr>
      <w:tr w:rsidR="009F6295" w:rsidRPr="00C41483" w14:paraId="287F056D" w14:textId="77777777" w:rsidTr="00CD045B">
        <w:trPr>
          <w:jc w:val="center"/>
        </w:trPr>
        <w:tc>
          <w:tcPr>
            <w:tcW w:w="1268" w:type="pct"/>
            <w:tcBorders>
              <w:top w:val="single" w:sz="4" w:space="0" w:color="auto"/>
              <w:left w:val="single" w:sz="4" w:space="0" w:color="auto"/>
              <w:bottom w:val="single" w:sz="4" w:space="0" w:color="auto"/>
              <w:right w:val="single" w:sz="4" w:space="0" w:color="auto"/>
            </w:tcBorders>
            <w:tcMar>
              <w:top w:w="48" w:type="dxa"/>
              <w:left w:w="48" w:type="dxa"/>
              <w:bottom w:w="48" w:type="dxa"/>
              <w:right w:w="48" w:type="dxa"/>
            </w:tcMar>
            <w:vAlign w:val="bottom"/>
          </w:tcPr>
          <w:p w14:paraId="3731C817" w14:textId="290E5F56" w:rsidR="009F6295" w:rsidRPr="00C41483" w:rsidRDefault="009F6295">
            <w:pPr>
              <w:rPr>
                <w:rFonts w:ascii="Times New Roman" w:hAnsi="Times New Roman" w:cs="Times New Roman"/>
                <w:sz w:val="24"/>
                <w:szCs w:val="24"/>
                <w:lang w:eastAsia="hr-HR"/>
              </w:rPr>
            </w:pPr>
            <w:r w:rsidRPr="00C41483">
              <w:rPr>
                <w:rFonts w:ascii="Times New Roman" w:hAnsi="Times New Roman" w:cs="Times New Roman"/>
                <w:sz w:val="24"/>
                <w:szCs w:val="24"/>
                <w:lang w:eastAsia="hr-HR"/>
              </w:rPr>
              <w:t>ESF</w:t>
            </w:r>
          </w:p>
        </w:tc>
        <w:tc>
          <w:tcPr>
            <w:tcW w:w="3732" w:type="pct"/>
            <w:tcBorders>
              <w:top w:val="single" w:sz="4" w:space="0" w:color="auto"/>
              <w:left w:val="single" w:sz="4" w:space="0" w:color="auto"/>
              <w:bottom w:val="single" w:sz="4" w:space="0" w:color="auto"/>
              <w:right w:val="single" w:sz="4" w:space="0" w:color="auto"/>
            </w:tcBorders>
            <w:tcMar>
              <w:top w:w="48" w:type="dxa"/>
              <w:left w:w="48" w:type="dxa"/>
              <w:bottom w:w="48" w:type="dxa"/>
              <w:right w:w="48" w:type="dxa"/>
            </w:tcMar>
            <w:vAlign w:val="bottom"/>
          </w:tcPr>
          <w:p w14:paraId="0BD5EA02" w14:textId="18BD9787" w:rsidR="009F6295" w:rsidRPr="00C41483" w:rsidRDefault="009F6295">
            <w:pPr>
              <w:rPr>
                <w:rFonts w:ascii="Times New Roman" w:eastAsia="Calibri" w:hAnsi="Times New Roman" w:cs="Times New Roman"/>
                <w:sz w:val="24"/>
                <w:szCs w:val="24"/>
              </w:rPr>
            </w:pPr>
            <w:r w:rsidRPr="00C41483">
              <w:rPr>
                <w:rFonts w:ascii="Times New Roman" w:eastAsia="Calibri" w:hAnsi="Times New Roman" w:cs="Times New Roman"/>
                <w:sz w:val="24"/>
                <w:szCs w:val="24"/>
              </w:rPr>
              <w:t>Europski socijalni fond</w:t>
            </w:r>
          </w:p>
        </w:tc>
      </w:tr>
      <w:tr w:rsidR="0079429B" w:rsidRPr="00C41483" w14:paraId="097EB744" w14:textId="77777777" w:rsidTr="00CD045B">
        <w:trPr>
          <w:jc w:val="center"/>
        </w:trPr>
        <w:tc>
          <w:tcPr>
            <w:tcW w:w="1268" w:type="pct"/>
            <w:tcBorders>
              <w:top w:val="single" w:sz="4" w:space="0" w:color="auto"/>
              <w:left w:val="single" w:sz="8" w:space="0" w:color="auto"/>
              <w:bottom w:val="single" w:sz="8" w:space="0" w:color="auto"/>
              <w:right w:val="single" w:sz="8" w:space="0" w:color="auto"/>
            </w:tcBorders>
            <w:tcMar>
              <w:top w:w="48" w:type="dxa"/>
              <w:left w:w="48" w:type="dxa"/>
              <w:bottom w:w="48" w:type="dxa"/>
              <w:right w:w="48" w:type="dxa"/>
            </w:tcMar>
            <w:vAlign w:val="center"/>
          </w:tcPr>
          <w:p w14:paraId="03C74934" w14:textId="014CB5B7" w:rsidR="0079429B" w:rsidRPr="00C41483" w:rsidRDefault="0079429B" w:rsidP="00CE33DB">
            <w:pPr>
              <w:rPr>
                <w:rFonts w:ascii="Times New Roman" w:hAnsi="Times New Roman" w:cs="Times New Roman"/>
                <w:sz w:val="24"/>
                <w:szCs w:val="24"/>
                <w:lang w:eastAsia="hr-HR"/>
              </w:rPr>
            </w:pPr>
            <w:r w:rsidRPr="00C41483">
              <w:rPr>
                <w:rFonts w:ascii="Times New Roman" w:hAnsi="Times New Roman" w:cs="Times New Roman"/>
                <w:sz w:val="24"/>
                <w:szCs w:val="24"/>
                <w:lang w:eastAsia="hr-HR"/>
              </w:rPr>
              <w:t>HRT</w:t>
            </w:r>
          </w:p>
        </w:tc>
        <w:tc>
          <w:tcPr>
            <w:tcW w:w="3732" w:type="pct"/>
            <w:tcBorders>
              <w:top w:val="single" w:sz="4" w:space="0" w:color="auto"/>
              <w:left w:val="nil"/>
              <w:bottom w:val="single" w:sz="8" w:space="0" w:color="auto"/>
              <w:right w:val="single" w:sz="8" w:space="0" w:color="auto"/>
            </w:tcBorders>
            <w:tcMar>
              <w:top w:w="48" w:type="dxa"/>
              <w:left w:w="48" w:type="dxa"/>
              <w:bottom w:w="48" w:type="dxa"/>
              <w:right w:w="48" w:type="dxa"/>
            </w:tcMar>
            <w:vAlign w:val="center"/>
          </w:tcPr>
          <w:p w14:paraId="0F4FF535" w14:textId="5D496A57" w:rsidR="0079429B" w:rsidRPr="00C41483" w:rsidRDefault="0079429B" w:rsidP="00CE33DB">
            <w:pPr>
              <w:rPr>
                <w:rFonts w:ascii="Times New Roman" w:hAnsi="Times New Roman" w:cs="Times New Roman"/>
                <w:sz w:val="24"/>
                <w:szCs w:val="24"/>
                <w:lang w:eastAsia="hr-HR"/>
              </w:rPr>
            </w:pPr>
            <w:r w:rsidRPr="00C41483">
              <w:rPr>
                <w:rFonts w:ascii="Times New Roman" w:hAnsi="Times New Roman" w:cs="Times New Roman"/>
                <w:sz w:val="24"/>
                <w:szCs w:val="24"/>
              </w:rPr>
              <w:t>Hrvatska radiotelevizija</w:t>
            </w:r>
          </w:p>
        </w:tc>
      </w:tr>
      <w:tr w:rsidR="00CE33DB" w:rsidRPr="00C41483" w14:paraId="3D4E1F8B" w14:textId="77777777" w:rsidTr="00CD045B">
        <w:trPr>
          <w:jc w:val="center"/>
        </w:trPr>
        <w:tc>
          <w:tcPr>
            <w:tcW w:w="1268" w:type="pct"/>
            <w:tcBorders>
              <w:top w:val="nil"/>
              <w:left w:val="single" w:sz="8" w:space="0" w:color="auto"/>
              <w:bottom w:val="single" w:sz="8" w:space="0" w:color="auto"/>
              <w:right w:val="single" w:sz="8" w:space="0" w:color="auto"/>
            </w:tcBorders>
            <w:tcMar>
              <w:top w:w="48" w:type="dxa"/>
              <w:left w:w="48" w:type="dxa"/>
              <w:bottom w:w="48" w:type="dxa"/>
              <w:right w:w="48" w:type="dxa"/>
            </w:tcMar>
            <w:vAlign w:val="bottom"/>
            <w:hideMark/>
          </w:tcPr>
          <w:p w14:paraId="56C1DEB3" w14:textId="77777777" w:rsidR="00CE33DB" w:rsidRPr="00C41483" w:rsidRDefault="00CE33DB" w:rsidP="00CE33DB">
            <w:pPr>
              <w:rPr>
                <w:rFonts w:ascii="Times New Roman" w:hAnsi="Times New Roman" w:cs="Times New Roman"/>
                <w:sz w:val="24"/>
                <w:szCs w:val="24"/>
                <w:lang w:eastAsia="hr-HR"/>
              </w:rPr>
            </w:pPr>
            <w:r w:rsidRPr="00C41483">
              <w:rPr>
                <w:rFonts w:ascii="Times New Roman" w:hAnsi="Times New Roman" w:cs="Times New Roman"/>
                <w:sz w:val="24"/>
                <w:szCs w:val="24"/>
                <w:lang w:eastAsia="hr-HR"/>
              </w:rPr>
              <w:t>HRVI</w:t>
            </w:r>
          </w:p>
        </w:tc>
        <w:tc>
          <w:tcPr>
            <w:tcW w:w="3732" w:type="pct"/>
            <w:tcBorders>
              <w:top w:val="nil"/>
              <w:left w:val="nil"/>
              <w:bottom w:val="single" w:sz="8" w:space="0" w:color="auto"/>
              <w:right w:val="single" w:sz="8" w:space="0" w:color="auto"/>
            </w:tcBorders>
            <w:tcMar>
              <w:top w:w="48" w:type="dxa"/>
              <w:left w:w="48" w:type="dxa"/>
              <w:bottom w:w="48" w:type="dxa"/>
              <w:right w:w="48" w:type="dxa"/>
            </w:tcMar>
            <w:vAlign w:val="bottom"/>
            <w:hideMark/>
          </w:tcPr>
          <w:p w14:paraId="66895350" w14:textId="77777777" w:rsidR="00CE33DB" w:rsidRPr="00C41483" w:rsidRDefault="00CE33DB" w:rsidP="00CE33DB">
            <w:pPr>
              <w:rPr>
                <w:rFonts w:ascii="Times New Roman" w:hAnsi="Times New Roman" w:cs="Times New Roman"/>
                <w:sz w:val="24"/>
                <w:szCs w:val="24"/>
                <w:lang w:eastAsia="hr-HR"/>
              </w:rPr>
            </w:pPr>
            <w:r w:rsidRPr="00C41483">
              <w:rPr>
                <w:rFonts w:ascii="Times New Roman" w:hAnsi="Times New Roman" w:cs="Times New Roman"/>
                <w:sz w:val="24"/>
                <w:szCs w:val="24"/>
                <w:lang w:eastAsia="hr-HR"/>
              </w:rPr>
              <w:t>Hrvatski ratni vojni invalidi iz Domovinskog rata</w:t>
            </w:r>
          </w:p>
        </w:tc>
      </w:tr>
      <w:tr w:rsidR="002D4058" w:rsidRPr="00C41483" w14:paraId="10C12CAE" w14:textId="77777777" w:rsidTr="00CD045B">
        <w:trPr>
          <w:jc w:val="center"/>
        </w:trPr>
        <w:tc>
          <w:tcPr>
            <w:tcW w:w="1268" w:type="pct"/>
            <w:tcBorders>
              <w:top w:val="nil"/>
              <w:left w:val="single" w:sz="8" w:space="0" w:color="auto"/>
              <w:bottom w:val="single" w:sz="8" w:space="0" w:color="auto"/>
              <w:right w:val="single" w:sz="8" w:space="0" w:color="auto"/>
            </w:tcBorders>
            <w:tcMar>
              <w:top w:w="48" w:type="dxa"/>
              <w:left w:w="48" w:type="dxa"/>
              <w:bottom w:w="48" w:type="dxa"/>
              <w:right w:w="48" w:type="dxa"/>
            </w:tcMar>
            <w:vAlign w:val="bottom"/>
          </w:tcPr>
          <w:p w14:paraId="03CEAE69" w14:textId="039B4A5C" w:rsidR="002D4058" w:rsidRPr="00C41483" w:rsidRDefault="002D4058" w:rsidP="00CE33DB">
            <w:pPr>
              <w:rPr>
                <w:rFonts w:ascii="Times New Roman" w:hAnsi="Times New Roman" w:cs="Times New Roman"/>
                <w:sz w:val="24"/>
                <w:szCs w:val="24"/>
                <w:lang w:eastAsia="hr-HR"/>
              </w:rPr>
            </w:pPr>
            <w:r w:rsidRPr="00C41483">
              <w:rPr>
                <w:rFonts w:ascii="Times New Roman" w:hAnsi="Times New Roman" w:cs="Times New Roman"/>
                <w:sz w:val="24"/>
                <w:szCs w:val="24"/>
                <w:lang w:eastAsia="hr-HR"/>
              </w:rPr>
              <w:t>HZZ</w:t>
            </w:r>
          </w:p>
        </w:tc>
        <w:tc>
          <w:tcPr>
            <w:tcW w:w="3732" w:type="pct"/>
            <w:tcBorders>
              <w:top w:val="nil"/>
              <w:left w:val="nil"/>
              <w:bottom w:val="single" w:sz="8" w:space="0" w:color="auto"/>
              <w:right w:val="single" w:sz="8" w:space="0" w:color="auto"/>
            </w:tcBorders>
            <w:tcMar>
              <w:top w:w="48" w:type="dxa"/>
              <w:left w:w="48" w:type="dxa"/>
              <w:bottom w:w="48" w:type="dxa"/>
              <w:right w:w="48" w:type="dxa"/>
            </w:tcMar>
            <w:vAlign w:val="bottom"/>
          </w:tcPr>
          <w:p w14:paraId="2B0598BC" w14:textId="583276EA" w:rsidR="002D4058" w:rsidRPr="00C41483" w:rsidRDefault="002D4058" w:rsidP="00CE33DB">
            <w:pPr>
              <w:rPr>
                <w:rFonts w:ascii="Times New Roman" w:hAnsi="Times New Roman" w:cs="Times New Roman"/>
                <w:sz w:val="24"/>
                <w:szCs w:val="24"/>
                <w:lang w:eastAsia="hr-HR"/>
              </w:rPr>
            </w:pPr>
            <w:r w:rsidRPr="00C41483">
              <w:rPr>
                <w:rFonts w:ascii="Times New Roman" w:hAnsi="Times New Roman" w:cs="Times New Roman"/>
                <w:sz w:val="24"/>
                <w:szCs w:val="24"/>
                <w:lang w:eastAsia="hr-HR"/>
              </w:rPr>
              <w:t>Hrvatski zavod za zapošljavanje</w:t>
            </w:r>
          </w:p>
        </w:tc>
      </w:tr>
      <w:tr w:rsidR="001549BB" w:rsidRPr="00C41483" w14:paraId="26FEC973" w14:textId="77777777" w:rsidTr="00CD045B">
        <w:trPr>
          <w:jc w:val="center"/>
        </w:trPr>
        <w:tc>
          <w:tcPr>
            <w:tcW w:w="1268" w:type="pct"/>
            <w:tcBorders>
              <w:top w:val="nil"/>
              <w:left w:val="single" w:sz="8" w:space="0" w:color="auto"/>
              <w:bottom w:val="single" w:sz="8" w:space="0" w:color="auto"/>
              <w:right w:val="single" w:sz="8" w:space="0" w:color="auto"/>
            </w:tcBorders>
            <w:tcMar>
              <w:top w:w="48" w:type="dxa"/>
              <w:left w:w="48" w:type="dxa"/>
              <w:bottom w:w="48" w:type="dxa"/>
              <w:right w:w="48" w:type="dxa"/>
            </w:tcMar>
            <w:vAlign w:val="bottom"/>
          </w:tcPr>
          <w:p w14:paraId="6A2DAB33" w14:textId="307CE2E6" w:rsidR="001549BB" w:rsidRPr="00C41483" w:rsidRDefault="001549BB" w:rsidP="00CE33DB">
            <w:pPr>
              <w:rPr>
                <w:rFonts w:ascii="Times New Roman" w:hAnsi="Times New Roman" w:cs="Times New Roman"/>
                <w:sz w:val="24"/>
                <w:szCs w:val="24"/>
                <w:lang w:eastAsia="hr-HR"/>
              </w:rPr>
            </w:pPr>
            <w:r w:rsidRPr="00C41483">
              <w:rPr>
                <w:rFonts w:ascii="Times New Roman" w:hAnsi="Times New Roman" w:cs="Times New Roman"/>
                <w:sz w:val="24"/>
                <w:szCs w:val="24"/>
                <w:lang w:eastAsia="hr-HR"/>
              </w:rPr>
              <w:t>HZJZ</w:t>
            </w:r>
          </w:p>
        </w:tc>
        <w:tc>
          <w:tcPr>
            <w:tcW w:w="3732" w:type="pct"/>
            <w:tcBorders>
              <w:top w:val="nil"/>
              <w:left w:val="nil"/>
              <w:bottom w:val="single" w:sz="8" w:space="0" w:color="auto"/>
              <w:right w:val="single" w:sz="8" w:space="0" w:color="auto"/>
            </w:tcBorders>
            <w:tcMar>
              <w:top w:w="48" w:type="dxa"/>
              <w:left w:w="48" w:type="dxa"/>
              <w:bottom w:w="48" w:type="dxa"/>
              <w:right w:w="48" w:type="dxa"/>
            </w:tcMar>
            <w:vAlign w:val="bottom"/>
          </w:tcPr>
          <w:p w14:paraId="750DA1A2" w14:textId="67C9B830" w:rsidR="001549BB" w:rsidRPr="00C41483" w:rsidRDefault="001549BB" w:rsidP="00CE33DB">
            <w:pPr>
              <w:rPr>
                <w:rFonts w:ascii="Times New Roman" w:hAnsi="Times New Roman" w:cs="Times New Roman"/>
                <w:sz w:val="24"/>
                <w:szCs w:val="24"/>
                <w:lang w:eastAsia="hr-HR"/>
              </w:rPr>
            </w:pPr>
            <w:r w:rsidRPr="00C41483">
              <w:rPr>
                <w:rFonts w:ascii="Times New Roman" w:hAnsi="Times New Roman" w:cs="Times New Roman"/>
                <w:sz w:val="24"/>
                <w:szCs w:val="24"/>
                <w:lang w:eastAsia="hr-HR"/>
              </w:rPr>
              <w:t>Hrvatski zavod za javno zdravstvo</w:t>
            </w:r>
          </w:p>
        </w:tc>
      </w:tr>
      <w:tr w:rsidR="00CE33DB" w:rsidRPr="00C41483" w14:paraId="1166D506" w14:textId="77777777" w:rsidTr="00CD045B">
        <w:trPr>
          <w:jc w:val="center"/>
        </w:trPr>
        <w:tc>
          <w:tcPr>
            <w:tcW w:w="1268" w:type="pct"/>
            <w:tcBorders>
              <w:top w:val="nil"/>
              <w:left w:val="single" w:sz="8" w:space="0" w:color="auto"/>
              <w:bottom w:val="single" w:sz="8" w:space="0" w:color="auto"/>
              <w:right w:val="single" w:sz="8" w:space="0" w:color="auto"/>
            </w:tcBorders>
            <w:tcMar>
              <w:top w:w="48" w:type="dxa"/>
              <w:left w:w="48" w:type="dxa"/>
              <w:bottom w:w="48" w:type="dxa"/>
              <w:right w:w="48" w:type="dxa"/>
            </w:tcMar>
            <w:vAlign w:val="bottom"/>
            <w:hideMark/>
          </w:tcPr>
          <w:p w14:paraId="73598325" w14:textId="77777777" w:rsidR="00CE33DB" w:rsidRPr="00C41483" w:rsidRDefault="00CE33DB" w:rsidP="00CE33DB">
            <w:pPr>
              <w:rPr>
                <w:rFonts w:ascii="Times New Roman" w:hAnsi="Times New Roman" w:cs="Times New Roman"/>
                <w:sz w:val="24"/>
                <w:szCs w:val="24"/>
                <w:lang w:eastAsia="hr-HR"/>
              </w:rPr>
            </w:pPr>
            <w:r w:rsidRPr="00C41483">
              <w:rPr>
                <w:rFonts w:ascii="Times New Roman" w:hAnsi="Times New Roman" w:cs="Times New Roman"/>
                <w:sz w:val="24"/>
                <w:szCs w:val="24"/>
                <w:lang w:eastAsia="hr-HR"/>
              </w:rPr>
              <w:t>JLP(R)S</w:t>
            </w:r>
          </w:p>
        </w:tc>
        <w:tc>
          <w:tcPr>
            <w:tcW w:w="3732" w:type="pct"/>
            <w:tcBorders>
              <w:top w:val="nil"/>
              <w:left w:val="nil"/>
              <w:bottom w:val="single" w:sz="8" w:space="0" w:color="auto"/>
              <w:right w:val="single" w:sz="8" w:space="0" w:color="auto"/>
            </w:tcBorders>
            <w:tcMar>
              <w:top w:w="48" w:type="dxa"/>
              <w:left w:w="48" w:type="dxa"/>
              <w:bottom w:w="48" w:type="dxa"/>
              <w:right w:w="48" w:type="dxa"/>
            </w:tcMar>
            <w:vAlign w:val="bottom"/>
            <w:hideMark/>
          </w:tcPr>
          <w:p w14:paraId="4C090738" w14:textId="77777777" w:rsidR="00CE33DB" w:rsidRPr="00C41483" w:rsidRDefault="00CE33DB" w:rsidP="00CE33DB">
            <w:pPr>
              <w:rPr>
                <w:rFonts w:ascii="Times New Roman" w:hAnsi="Times New Roman" w:cs="Times New Roman"/>
                <w:sz w:val="24"/>
                <w:szCs w:val="24"/>
                <w:lang w:eastAsia="hr-HR"/>
              </w:rPr>
            </w:pPr>
            <w:r w:rsidRPr="00C41483">
              <w:rPr>
                <w:rFonts w:ascii="Times New Roman" w:hAnsi="Times New Roman" w:cs="Times New Roman"/>
                <w:sz w:val="24"/>
                <w:szCs w:val="24"/>
                <w:lang w:eastAsia="hr-HR"/>
              </w:rPr>
              <w:t>Jedinice lokalne i područne (regionalne) samouprave</w:t>
            </w:r>
          </w:p>
        </w:tc>
      </w:tr>
      <w:tr w:rsidR="001E4158" w:rsidRPr="00C41483" w14:paraId="2D885D34" w14:textId="77777777" w:rsidTr="00CD045B">
        <w:trPr>
          <w:jc w:val="center"/>
        </w:trPr>
        <w:tc>
          <w:tcPr>
            <w:tcW w:w="1268" w:type="pct"/>
            <w:tcBorders>
              <w:top w:val="nil"/>
              <w:left w:val="single" w:sz="8" w:space="0" w:color="auto"/>
              <w:bottom w:val="single" w:sz="8" w:space="0" w:color="auto"/>
              <w:right w:val="single" w:sz="8" w:space="0" w:color="auto"/>
            </w:tcBorders>
            <w:tcMar>
              <w:top w:w="48" w:type="dxa"/>
              <w:left w:w="48" w:type="dxa"/>
              <w:bottom w:w="48" w:type="dxa"/>
              <w:right w:w="48" w:type="dxa"/>
            </w:tcMar>
            <w:vAlign w:val="bottom"/>
          </w:tcPr>
          <w:p w14:paraId="06937092" w14:textId="5C664CC0" w:rsidR="001E4158" w:rsidRPr="00C41483" w:rsidRDefault="001E4158" w:rsidP="00CE33DB">
            <w:pPr>
              <w:rPr>
                <w:rFonts w:ascii="Times New Roman" w:hAnsi="Times New Roman" w:cs="Times New Roman"/>
                <w:sz w:val="24"/>
                <w:szCs w:val="24"/>
                <w:lang w:eastAsia="hr-HR"/>
              </w:rPr>
            </w:pPr>
            <w:r w:rsidRPr="00C41483">
              <w:rPr>
                <w:rFonts w:ascii="Times New Roman" w:hAnsi="Times New Roman" w:cs="Times New Roman"/>
                <w:sz w:val="24"/>
                <w:szCs w:val="24"/>
                <w:lang w:eastAsia="hr-HR"/>
              </w:rPr>
              <w:t>KPOSI</w:t>
            </w:r>
          </w:p>
        </w:tc>
        <w:tc>
          <w:tcPr>
            <w:tcW w:w="3732" w:type="pct"/>
            <w:tcBorders>
              <w:top w:val="nil"/>
              <w:left w:val="nil"/>
              <w:bottom w:val="single" w:sz="8" w:space="0" w:color="auto"/>
              <w:right w:val="single" w:sz="8" w:space="0" w:color="auto"/>
            </w:tcBorders>
            <w:tcMar>
              <w:top w:w="48" w:type="dxa"/>
              <w:left w:w="48" w:type="dxa"/>
              <w:bottom w:w="48" w:type="dxa"/>
              <w:right w:w="48" w:type="dxa"/>
            </w:tcMar>
            <w:vAlign w:val="bottom"/>
          </w:tcPr>
          <w:p w14:paraId="61524E07" w14:textId="1BFBCEEB" w:rsidR="001E4158" w:rsidRPr="00C41483" w:rsidRDefault="001E4158" w:rsidP="00CE33DB">
            <w:pPr>
              <w:rPr>
                <w:rFonts w:ascii="Times New Roman" w:hAnsi="Times New Roman" w:cs="Times New Roman"/>
                <w:sz w:val="24"/>
                <w:szCs w:val="24"/>
                <w:lang w:eastAsia="hr-HR"/>
              </w:rPr>
            </w:pPr>
            <w:r w:rsidRPr="00C41483">
              <w:rPr>
                <w:rFonts w:ascii="Times New Roman" w:hAnsi="Times New Roman" w:cs="Times New Roman"/>
                <w:sz w:val="24"/>
                <w:szCs w:val="24"/>
                <w:lang w:eastAsia="hr-HR"/>
              </w:rPr>
              <w:t>Konvencija o pravima osoba s invaliditetom</w:t>
            </w:r>
          </w:p>
        </w:tc>
      </w:tr>
      <w:tr w:rsidR="00663EB2" w:rsidRPr="00C41483" w14:paraId="6943AD18" w14:textId="77777777" w:rsidTr="00CD045B">
        <w:trPr>
          <w:jc w:val="center"/>
        </w:trPr>
        <w:tc>
          <w:tcPr>
            <w:tcW w:w="1268" w:type="pct"/>
            <w:tcBorders>
              <w:top w:val="nil"/>
              <w:left w:val="single" w:sz="8" w:space="0" w:color="auto"/>
              <w:bottom w:val="single" w:sz="8" w:space="0" w:color="auto"/>
              <w:right w:val="single" w:sz="8" w:space="0" w:color="auto"/>
            </w:tcBorders>
            <w:tcMar>
              <w:top w:w="48" w:type="dxa"/>
              <w:left w:w="48" w:type="dxa"/>
              <w:bottom w:w="48" w:type="dxa"/>
              <w:right w:w="48" w:type="dxa"/>
            </w:tcMar>
            <w:vAlign w:val="bottom"/>
          </w:tcPr>
          <w:p w14:paraId="5376F0E6" w14:textId="13700144" w:rsidR="00663EB2" w:rsidRPr="00C41483" w:rsidRDefault="00663EB2" w:rsidP="00CE33DB">
            <w:pPr>
              <w:rPr>
                <w:rFonts w:ascii="Times New Roman" w:hAnsi="Times New Roman" w:cs="Times New Roman"/>
                <w:sz w:val="24"/>
                <w:szCs w:val="24"/>
                <w:lang w:eastAsia="hr-HR"/>
              </w:rPr>
            </w:pPr>
            <w:r w:rsidRPr="00C41483">
              <w:rPr>
                <w:rFonts w:ascii="Times New Roman" w:hAnsi="Times New Roman" w:cs="Times New Roman"/>
                <w:sz w:val="24"/>
                <w:szCs w:val="24"/>
                <w:lang w:eastAsia="hr-HR"/>
              </w:rPr>
              <w:t>KZ</w:t>
            </w:r>
          </w:p>
        </w:tc>
        <w:tc>
          <w:tcPr>
            <w:tcW w:w="3732" w:type="pct"/>
            <w:tcBorders>
              <w:top w:val="nil"/>
              <w:left w:val="nil"/>
              <w:bottom w:val="single" w:sz="8" w:space="0" w:color="auto"/>
              <w:right w:val="single" w:sz="8" w:space="0" w:color="auto"/>
            </w:tcBorders>
            <w:tcMar>
              <w:top w:w="48" w:type="dxa"/>
              <w:left w:w="48" w:type="dxa"/>
              <w:bottom w:w="48" w:type="dxa"/>
              <w:right w:w="48" w:type="dxa"/>
            </w:tcMar>
            <w:vAlign w:val="bottom"/>
          </w:tcPr>
          <w:p w14:paraId="150483DF" w14:textId="48F76E81" w:rsidR="00663EB2" w:rsidRPr="00C41483" w:rsidRDefault="00663EB2" w:rsidP="00CE33DB">
            <w:pPr>
              <w:rPr>
                <w:rFonts w:ascii="Times New Roman" w:hAnsi="Times New Roman" w:cs="Times New Roman"/>
                <w:sz w:val="24"/>
                <w:szCs w:val="24"/>
                <w:lang w:eastAsia="hr-HR"/>
              </w:rPr>
            </w:pPr>
            <w:r w:rsidRPr="00C41483">
              <w:rPr>
                <w:rFonts w:ascii="Times New Roman" w:hAnsi="Times New Roman" w:cs="Times New Roman"/>
                <w:sz w:val="24"/>
                <w:szCs w:val="24"/>
                <w:lang w:eastAsia="hr-HR"/>
              </w:rPr>
              <w:t>Kazneni zakon</w:t>
            </w:r>
          </w:p>
        </w:tc>
      </w:tr>
      <w:tr w:rsidR="00CE33DB" w:rsidRPr="00C41483" w14:paraId="3FE89821" w14:textId="77777777" w:rsidTr="00CD045B">
        <w:trPr>
          <w:trHeight w:val="639"/>
          <w:jc w:val="center"/>
        </w:trPr>
        <w:tc>
          <w:tcPr>
            <w:tcW w:w="1268" w:type="pct"/>
            <w:tcBorders>
              <w:top w:val="nil"/>
              <w:left w:val="single" w:sz="8" w:space="0" w:color="auto"/>
              <w:bottom w:val="single" w:sz="8" w:space="0" w:color="auto"/>
              <w:right w:val="single" w:sz="8" w:space="0" w:color="auto"/>
            </w:tcBorders>
            <w:tcMar>
              <w:top w:w="48" w:type="dxa"/>
              <w:left w:w="48" w:type="dxa"/>
              <w:bottom w:w="48" w:type="dxa"/>
              <w:right w:w="48" w:type="dxa"/>
            </w:tcMar>
            <w:vAlign w:val="bottom"/>
          </w:tcPr>
          <w:p w14:paraId="7CBAA972" w14:textId="3DB42D6A" w:rsidR="00CE33DB" w:rsidRPr="00C41483" w:rsidRDefault="00CE33DB" w:rsidP="00CE33DB">
            <w:pPr>
              <w:rPr>
                <w:rFonts w:ascii="Times New Roman" w:hAnsi="Times New Roman" w:cs="Times New Roman"/>
                <w:sz w:val="24"/>
                <w:szCs w:val="24"/>
                <w:lang w:eastAsia="hr-HR"/>
              </w:rPr>
            </w:pPr>
            <w:r w:rsidRPr="00C41483">
              <w:rPr>
                <w:rFonts w:ascii="Times New Roman" w:hAnsi="Times New Roman" w:cs="Times New Roman"/>
                <w:sz w:val="24"/>
                <w:szCs w:val="24"/>
                <w:lang w:eastAsia="hr-HR"/>
              </w:rPr>
              <w:t>Nacionalna strategija 2017.-2020.</w:t>
            </w:r>
          </w:p>
        </w:tc>
        <w:tc>
          <w:tcPr>
            <w:tcW w:w="3732" w:type="pct"/>
            <w:tcBorders>
              <w:top w:val="nil"/>
              <w:left w:val="nil"/>
              <w:bottom w:val="single" w:sz="8" w:space="0" w:color="auto"/>
              <w:right w:val="single" w:sz="8" w:space="0" w:color="auto"/>
            </w:tcBorders>
            <w:tcMar>
              <w:top w:w="48" w:type="dxa"/>
              <w:left w:w="48" w:type="dxa"/>
              <w:bottom w:w="48" w:type="dxa"/>
              <w:right w:w="48" w:type="dxa"/>
            </w:tcMar>
            <w:vAlign w:val="bottom"/>
          </w:tcPr>
          <w:p w14:paraId="20037693" w14:textId="308C4198" w:rsidR="00CE33DB" w:rsidRPr="00C41483" w:rsidRDefault="00CE33DB" w:rsidP="00CE33DB">
            <w:pPr>
              <w:rPr>
                <w:rFonts w:ascii="Times New Roman" w:hAnsi="Times New Roman" w:cs="Times New Roman"/>
                <w:sz w:val="24"/>
                <w:szCs w:val="24"/>
                <w:lang w:eastAsia="hr-HR"/>
              </w:rPr>
            </w:pPr>
            <w:r w:rsidRPr="00C41483">
              <w:rPr>
                <w:rFonts w:ascii="Times New Roman" w:hAnsi="Times New Roman" w:cs="Times New Roman"/>
                <w:color w:val="231F20"/>
                <w:sz w:val="24"/>
                <w:szCs w:val="24"/>
                <w:shd w:val="clear" w:color="auto" w:fill="FFFFFF"/>
              </w:rPr>
              <w:t>Nacionalna strategija izjednačavanja mogućnosti za osobe s invaliditetom 2017.-2020.</w:t>
            </w:r>
          </w:p>
        </w:tc>
      </w:tr>
      <w:tr w:rsidR="00A60CB2" w:rsidRPr="00C41483" w14:paraId="071D9CE1" w14:textId="77777777" w:rsidTr="00CD045B">
        <w:trPr>
          <w:trHeight w:val="541"/>
          <w:jc w:val="center"/>
        </w:trPr>
        <w:tc>
          <w:tcPr>
            <w:tcW w:w="1268" w:type="pct"/>
            <w:tcBorders>
              <w:top w:val="nil"/>
              <w:left w:val="single" w:sz="8" w:space="0" w:color="auto"/>
              <w:bottom w:val="single" w:sz="8" w:space="0" w:color="auto"/>
              <w:right w:val="single" w:sz="8" w:space="0" w:color="auto"/>
            </w:tcBorders>
            <w:tcMar>
              <w:top w:w="48" w:type="dxa"/>
              <w:left w:w="48" w:type="dxa"/>
              <w:bottom w:w="48" w:type="dxa"/>
              <w:right w:w="48" w:type="dxa"/>
            </w:tcMar>
            <w:vAlign w:val="center"/>
          </w:tcPr>
          <w:p w14:paraId="42E3FE7E" w14:textId="16182527" w:rsidR="00A60CB2" w:rsidRPr="00C41483" w:rsidRDefault="00A60CB2" w:rsidP="00CE33DB">
            <w:pPr>
              <w:rPr>
                <w:rFonts w:ascii="Times New Roman" w:hAnsi="Times New Roman" w:cs="Times New Roman"/>
                <w:sz w:val="24"/>
                <w:szCs w:val="24"/>
                <w:lang w:eastAsia="hr-HR"/>
              </w:rPr>
            </w:pPr>
            <w:r w:rsidRPr="00C41483">
              <w:rPr>
                <w:rFonts w:ascii="Times New Roman" w:eastAsia="Times New Roman" w:hAnsi="Times New Roman" w:cs="Times New Roman"/>
                <w:sz w:val="24"/>
                <w:szCs w:val="24"/>
                <w:lang w:eastAsia="hr-HR"/>
              </w:rPr>
              <w:t>OPKK</w:t>
            </w:r>
          </w:p>
        </w:tc>
        <w:tc>
          <w:tcPr>
            <w:tcW w:w="3732" w:type="pct"/>
            <w:tcBorders>
              <w:top w:val="nil"/>
              <w:left w:val="nil"/>
              <w:bottom w:val="single" w:sz="8" w:space="0" w:color="auto"/>
              <w:right w:val="single" w:sz="8" w:space="0" w:color="auto"/>
            </w:tcBorders>
            <w:tcMar>
              <w:top w:w="48" w:type="dxa"/>
              <w:left w:w="48" w:type="dxa"/>
              <w:bottom w:w="48" w:type="dxa"/>
              <w:right w:w="48" w:type="dxa"/>
            </w:tcMar>
            <w:vAlign w:val="center"/>
          </w:tcPr>
          <w:p w14:paraId="3FA71000" w14:textId="1087FDD4" w:rsidR="00A60CB2" w:rsidRPr="00C41483" w:rsidRDefault="00A60CB2" w:rsidP="00CE33DB">
            <w:pPr>
              <w:rPr>
                <w:rFonts w:ascii="Times New Roman" w:hAnsi="Times New Roman" w:cs="Times New Roman"/>
                <w:color w:val="231F20"/>
                <w:sz w:val="24"/>
                <w:szCs w:val="24"/>
                <w:shd w:val="clear" w:color="auto" w:fill="FFFFFF"/>
              </w:rPr>
            </w:pPr>
            <w:r w:rsidRPr="00C41483">
              <w:rPr>
                <w:rFonts w:ascii="Times New Roman" w:hAnsi="Times New Roman" w:cs="Times New Roman"/>
                <w:color w:val="231F20"/>
                <w:sz w:val="24"/>
                <w:szCs w:val="24"/>
                <w:shd w:val="clear" w:color="auto" w:fill="FFFFFF"/>
              </w:rPr>
              <w:t>Operativni program</w:t>
            </w:r>
            <w:r w:rsidR="002D4058" w:rsidRPr="00C41483">
              <w:rPr>
                <w:rFonts w:ascii="Times New Roman" w:hAnsi="Times New Roman" w:cs="Times New Roman"/>
                <w:color w:val="231F20"/>
                <w:sz w:val="24"/>
                <w:szCs w:val="24"/>
                <w:shd w:val="clear" w:color="auto" w:fill="FFFFFF"/>
              </w:rPr>
              <w:t xml:space="preserve"> K</w:t>
            </w:r>
            <w:r w:rsidRPr="00C41483">
              <w:rPr>
                <w:rFonts w:ascii="Times New Roman" w:hAnsi="Times New Roman" w:cs="Times New Roman"/>
                <w:color w:val="231F20"/>
                <w:sz w:val="24"/>
                <w:szCs w:val="24"/>
                <w:shd w:val="clear" w:color="auto" w:fill="FFFFFF"/>
              </w:rPr>
              <w:t>onkurentnost i kohezija</w:t>
            </w:r>
          </w:p>
        </w:tc>
      </w:tr>
      <w:tr w:rsidR="00A60CB2" w:rsidRPr="00C41483" w14:paraId="5B6A3343" w14:textId="77777777" w:rsidTr="00CD045B">
        <w:trPr>
          <w:trHeight w:val="479"/>
          <w:jc w:val="center"/>
        </w:trPr>
        <w:tc>
          <w:tcPr>
            <w:tcW w:w="1268" w:type="pct"/>
            <w:tcBorders>
              <w:top w:val="nil"/>
              <w:left w:val="single" w:sz="8" w:space="0" w:color="auto"/>
              <w:bottom w:val="single" w:sz="4" w:space="0" w:color="auto"/>
              <w:right w:val="single" w:sz="8" w:space="0" w:color="auto"/>
            </w:tcBorders>
            <w:tcMar>
              <w:top w:w="48" w:type="dxa"/>
              <w:left w:w="48" w:type="dxa"/>
              <w:bottom w:w="48" w:type="dxa"/>
              <w:right w:w="48" w:type="dxa"/>
            </w:tcMar>
            <w:vAlign w:val="center"/>
          </w:tcPr>
          <w:p w14:paraId="328FED64" w14:textId="1694C229" w:rsidR="00A60CB2" w:rsidRPr="00C41483" w:rsidRDefault="00A60CB2" w:rsidP="00CE33DB">
            <w:pPr>
              <w:rPr>
                <w:rFonts w:ascii="Times New Roman" w:eastAsia="Times New Roman" w:hAnsi="Times New Roman" w:cs="Times New Roman"/>
                <w:sz w:val="24"/>
                <w:szCs w:val="24"/>
                <w:lang w:eastAsia="hr-HR"/>
              </w:rPr>
            </w:pPr>
            <w:r w:rsidRPr="00C41483">
              <w:rPr>
                <w:rFonts w:ascii="Times New Roman" w:eastAsia="Times New Roman" w:hAnsi="Times New Roman" w:cs="Times New Roman"/>
                <w:sz w:val="24"/>
                <w:szCs w:val="24"/>
                <w:lang w:eastAsia="hr-HR"/>
              </w:rPr>
              <w:t>OPULJP</w:t>
            </w:r>
          </w:p>
        </w:tc>
        <w:tc>
          <w:tcPr>
            <w:tcW w:w="3732" w:type="pct"/>
            <w:tcBorders>
              <w:top w:val="nil"/>
              <w:left w:val="nil"/>
              <w:bottom w:val="single" w:sz="4" w:space="0" w:color="auto"/>
              <w:right w:val="single" w:sz="8" w:space="0" w:color="auto"/>
            </w:tcBorders>
            <w:tcMar>
              <w:top w:w="48" w:type="dxa"/>
              <w:left w:w="48" w:type="dxa"/>
              <w:bottom w:w="48" w:type="dxa"/>
              <w:right w:w="48" w:type="dxa"/>
            </w:tcMar>
            <w:vAlign w:val="center"/>
          </w:tcPr>
          <w:p w14:paraId="5692DE62" w14:textId="3E7F3028" w:rsidR="00A60CB2" w:rsidRPr="00C41483" w:rsidRDefault="00A60CB2" w:rsidP="00CE33DB">
            <w:pPr>
              <w:rPr>
                <w:rFonts w:ascii="Times New Roman" w:hAnsi="Times New Roman" w:cs="Times New Roman"/>
                <w:color w:val="231F20"/>
                <w:sz w:val="24"/>
                <w:szCs w:val="24"/>
                <w:shd w:val="clear" w:color="auto" w:fill="FFFFFF"/>
              </w:rPr>
            </w:pPr>
            <w:r w:rsidRPr="00C41483">
              <w:rPr>
                <w:rFonts w:ascii="Times New Roman" w:hAnsi="Times New Roman" w:cs="Times New Roman"/>
                <w:sz w:val="24"/>
                <w:szCs w:val="24"/>
                <w:lang w:eastAsia="hr-HR"/>
              </w:rPr>
              <w:t xml:space="preserve">Operativni program </w:t>
            </w:r>
            <w:r w:rsidR="002D4058" w:rsidRPr="00C41483">
              <w:rPr>
                <w:rFonts w:ascii="Times New Roman" w:hAnsi="Times New Roman" w:cs="Times New Roman"/>
                <w:sz w:val="24"/>
                <w:szCs w:val="24"/>
                <w:lang w:eastAsia="hr-HR"/>
              </w:rPr>
              <w:t>Učinkoviti ljudski potencijali</w:t>
            </w:r>
          </w:p>
        </w:tc>
      </w:tr>
      <w:tr w:rsidR="00CE33DB" w:rsidRPr="00C41483" w14:paraId="07318BE4" w14:textId="77777777" w:rsidTr="00CD045B">
        <w:trPr>
          <w:trHeight w:val="331"/>
          <w:jc w:val="center"/>
        </w:trPr>
        <w:tc>
          <w:tcPr>
            <w:tcW w:w="1268" w:type="pct"/>
            <w:tcBorders>
              <w:top w:val="single" w:sz="4" w:space="0" w:color="auto"/>
              <w:left w:val="single" w:sz="4" w:space="0" w:color="auto"/>
              <w:bottom w:val="single" w:sz="4" w:space="0" w:color="auto"/>
              <w:right w:val="single" w:sz="4" w:space="0" w:color="auto"/>
            </w:tcBorders>
            <w:tcMar>
              <w:top w:w="48" w:type="dxa"/>
              <w:left w:w="48" w:type="dxa"/>
              <w:bottom w:w="48" w:type="dxa"/>
              <w:right w:w="48" w:type="dxa"/>
            </w:tcMar>
            <w:vAlign w:val="center"/>
          </w:tcPr>
          <w:p w14:paraId="69A07BDE" w14:textId="3AC599A0" w:rsidR="00CE33DB" w:rsidRPr="00C41483" w:rsidRDefault="00CE33DB" w:rsidP="00CE33DB">
            <w:pPr>
              <w:rPr>
                <w:rFonts w:ascii="Times New Roman" w:hAnsi="Times New Roman" w:cs="Times New Roman"/>
                <w:sz w:val="24"/>
                <w:szCs w:val="24"/>
                <w:lang w:eastAsia="hr-HR"/>
              </w:rPr>
            </w:pPr>
            <w:r w:rsidRPr="00C41483">
              <w:rPr>
                <w:rFonts w:ascii="Times New Roman" w:hAnsi="Times New Roman" w:cs="Times New Roman"/>
                <w:sz w:val="24"/>
                <w:szCs w:val="24"/>
                <w:lang w:eastAsia="hr-HR"/>
              </w:rPr>
              <w:t>PZ</w:t>
            </w:r>
          </w:p>
        </w:tc>
        <w:tc>
          <w:tcPr>
            <w:tcW w:w="3732" w:type="pct"/>
            <w:tcBorders>
              <w:top w:val="single" w:sz="4" w:space="0" w:color="auto"/>
              <w:left w:val="single" w:sz="4" w:space="0" w:color="auto"/>
              <w:bottom w:val="single" w:sz="4" w:space="0" w:color="auto"/>
              <w:right w:val="single" w:sz="4" w:space="0" w:color="auto"/>
            </w:tcBorders>
            <w:tcMar>
              <w:top w:w="48" w:type="dxa"/>
              <w:left w:w="48" w:type="dxa"/>
              <w:bottom w:w="48" w:type="dxa"/>
              <w:right w:w="48" w:type="dxa"/>
            </w:tcMar>
            <w:vAlign w:val="center"/>
          </w:tcPr>
          <w:p w14:paraId="4CBCEF34" w14:textId="725623F9" w:rsidR="00CE33DB" w:rsidRPr="00C41483" w:rsidRDefault="00CE33DB" w:rsidP="00CE33DB">
            <w:pPr>
              <w:rPr>
                <w:rFonts w:ascii="Times New Roman" w:hAnsi="Times New Roman" w:cs="Times New Roman"/>
                <w:sz w:val="24"/>
                <w:szCs w:val="24"/>
                <w:lang w:eastAsia="hr-HR"/>
              </w:rPr>
            </w:pPr>
            <w:r w:rsidRPr="00C41483">
              <w:rPr>
                <w:rFonts w:ascii="Times New Roman" w:hAnsi="Times New Roman" w:cs="Times New Roman"/>
                <w:sz w:val="24"/>
                <w:szCs w:val="24"/>
                <w:lang w:eastAsia="hr-HR"/>
              </w:rPr>
              <w:t>Prekršajni zakon</w:t>
            </w:r>
          </w:p>
        </w:tc>
      </w:tr>
      <w:tr w:rsidR="006D2708" w:rsidRPr="00C41483" w14:paraId="780CF547" w14:textId="77777777" w:rsidTr="00CD045B">
        <w:trPr>
          <w:trHeight w:val="331"/>
          <w:jc w:val="center"/>
        </w:trPr>
        <w:tc>
          <w:tcPr>
            <w:tcW w:w="1268" w:type="pct"/>
            <w:tcBorders>
              <w:top w:val="single" w:sz="4" w:space="0" w:color="auto"/>
              <w:left w:val="single" w:sz="4" w:space="0" w:color="auto"/>
              <w:bottom w:val="single" w:sz="4" w:space="0" w:color="auto"/>
              <w:right w:val="single" w:sz="4" w:space="0" w:color="auto"/>
            </w:tcBorders>
            <w:tcMar>
              <w:top w:w="48" w:type="dxa"/>
              <w:left w:w="48" w:type="dxa"/>
              <w:bottom w:w="48" w:type="dxa"/>
              <w:right w:w="48" w:type="dxa"/>
            </w:tcMar>
            <w:vAlign w:val="center"/>
          </w:tcPr>
          <w:p w14:paraId="21A3143F" w14:textId="145BCD20" w:rsidR="006D2708" w:rsidRPr="00C41483" w:rsidRDefault="006D2708" w:rsidP="00CE33DB">
            <w:pPr>
              <w:rPr>
                <w:rFonts w:ascii="Times New Roman" w:hAnsi="Times New Roman" w:cs="Times New Roman"/>
                <w:sz w:val="24"/>
                <w:szCs w:val="24"/>
                <w:lang w:eastAsia="hr-HR"/>
              </w:rPr>
            </w:pPr>
            <w:r w:rsidRPr="00C41483">
              <w:rPr>
                <w:rFonts w:ascii="Times New Roman" w:hAnsi="Times New Roman" w:cs="Times New Roman"/>
                <w:sz w:val="24"/>
                <w:szCs w:val="24"/>
                <w:lang w:eastAsia="hr-HR"/>
              </w:rPr>
              <w:t>RH</w:t>
            </w:r>
          </w:p>
        </w:tc>
        <w:tc>
          <w:tcPr>
            <w:tcW w:w="3732" w:type="pct"/>
            <w:tcBorders>
              <w:top w:val="single" w:sz="4" w:space="0" w:color="auto"/>
              <w:left w:val="single" w:sz="4" w:space="0" w:color="auto"/>
              <w:bottom w:val="single" w:sz="4" w:space="0" w:color="auto"/>
              <w:right w:val="single" w:sz="4" w:space="0" w:color="auto"/>
            </w:tcBorders>
            <w:tcMar>
              <w:top w:w="48" w:type="dxa"/>
              <w:left w:w="48" w:type="dxa"/>
              <w:bottom w:w="48" w:type="dxa"/>
              <w:right w:w="48" w:type="dxa"/>
            </w:tcMar>
            <w:vAlign w:val="center"/>
          </w:tcPr>
          <w:p w14:paraId="084C740E" w14:textId="7185E72F" w:rsidR="006D2708" w:rsidRPr="00C41483" w:rsidRDefault="006D2708" w:rsidP="00CE33DB">
            <w:pPr>
              <w:rPr>
                <w:rFonts w:ascii="Times New Roman" w:hAnsi="Times New Roman" w:cs="Times New Roman"/>
                <w:sz w:val="24"/>
                <w:szCs w:val="24"/>
                <w:lang w:eastAsia="hr-HR"/>
              </w:rPr>
            </w:pPr>
            <w:r w:rsidRPr="00C41483">
              <w:rPr>
                <w:rFonts w:ascii="Times New Roman" w:hAnsi="Times New Roman" w:cs="Times New Roman"/>
                <w:sz w:val="24"/>
                <w:szCs w:val="24"/>
                <w:lang w:eastAsia="hr-HR"/>
              </w:rPr>
              <w:t>Republika Hrvatska</w:t>
            </w:r>
          </w:p>
        </w:tc>
      </w:tr>
      <w:tr w:rsidR="008C714A" w:rsidRPr="00C41483" w14:paraId="54FC4CA0" w14:textId="77777777" w:rsidTr="00CD045B">
        <w:trPr>
          <w:trHeight w:val="331"/>
          <w:jc w:val="center"/>
        </w:trPr>
        <w:tc>
          <w:tcPr>
            <w:tcW w:w="1268" w:type="pct"/>
            <w:tcBorders>
              <w:top w:val="single" w:sz="4" w:space="0" w:color="auto"/>
              <w:left w:val="single" w:sz="4" w:space="0" w:color="auto"/>
              <w:bottom w:val="single" w:sz="4" w:space="0" w:color="auto"/>
              <w:right w:val="single" w:sz="4" w:space="0" w:color="auto"/>
            </w:tcBorders>
            <w:tcMar>
              <w:top w:w="48" w:type="dxa"/>
              <w:left w:w="48" w:type="dxa"/>
              <w:bottom w:w="48" w:type="dxa"/>
              <w:right w:w="48" w:type="dxa"/>
            </w:tcMar>
            <w:vAlign w:val="center"/>
          </w:tcPr>
          <w:p w14:paraId="76813691" w14:textId="206C0012" w:rsidR="008C714A" w:rsidRPr="00C41483" w:rsidRDefault="008C714A" w:rsidP="00CE33DB">
            <w:pPr>
              <w:rPr>
                <w:rFonts w:ascii="Times New Roman" w:hAnsi="Times New Roman" w:cs="Times New Roman"/>
                <w:sz w:val="24"/>
                <w:szCs w:val="24"/>
                <w:lang w:eastAsia="hr-HR"/>
              </w:rPr>
            </w:pPr>
            <w:r w:rsidRPr="00C41483">
              <w:rPr>
                <w:rFonts w:ascii="Times New Roman" w:hAnsi="Times New Roman" w:cs="Times New Roman"/>
                <w:sz w:val="24"/>
                <w:szCs w:val="24"/>
                <w:lang w:eastAsia="hr-HR"/>
              </w:rPr>
              <w:t>UOSI</w:t>
            </w:r>
          </w:p>
        </w:tc>
        <w:tc>
          <w:tcPr>
            <w:tcW w:w="3732" w:type="pct"/>
            <w:tcBorders>
              <w:top w:val="single" w:sz="4" w:space="0" w:color="auto"/>
              <w:left w:val="single" w:sz="4" w:space="0" w:color="auto"/>
              <w:bottom w:val="single" w:sz="4" w:space="0" w:color="auto"/>
              <w:right w:val="single" w:sz="4" w:space="0" w:color="auto"/>
            </w:tcBorders>
            <w:tcMar>
              <w:top w:w="48" w:type="dxa"/>
              <w:left w:w="48" w:type="dxa"/>
              <w:bottom w:w="48" w:type="dxa"/>
              <w:right w:w="48" w:type="dxa"/>
            </w:tcMar>
            <w:vAlign w:val="center"/>
          </w:tcPr>
          <w:p w14:paraId="56173FED" w14:textId="454B333C" w:rsidR="008C714A" w:rsidRPr="00C41483" w:rsidRDefault="008C714A" w:rsidP="00CE33DB">
            <w:pPr>
              <w:rPr>
                <w:rFonts w:ascii="Times New Roman" w:hAnsi="Times New Roman" w:cs="Times New Roman"/>
                <w:sz w:val="24"/>
                <w:szCs w:val="24"/>
                <w:lang w:eastAsia="hr-HR"/>
              </w:rPr>
            </w:pPr>
            <w:r w:rsidRPr="00C41483">
              <w:rPr>
                <w:rFonts w:ascii="Times New Roman" w:hAnsi="Times New Roman" w:cs="Times New Roman"/>
                <w:sz w:val="24"/>
                <w:szCs w:val="24"/>
                <w:lang w:eastAsia="hr-HR"/>
              </w:rPr>
              <w:t>Udruga osoba s invaliditetom</w:t>
            </w:r>
          </w:p>
        </w:tc>
      </w:tr>
      <w:tr w:rsidR="005F17B9" w:rsidRPr="00C41483" w14:paraId="73B77D6B" w14:textId="77777777" w:rsidTr="00CD045B">
        <w:trPr>
          <w:trHeight w:val="331"/>
          <w:jc w:val="center"/>
        </w:trPr>
        <w:tc>
          <w:tcPr>
            <w:tcW w:w="1268" w:type="pct"/>
            <w:tcBorders>
              <w:top w:val="single" w:sz="4" w:space="0" w:color="auto"/>
              <w:left w:val="single" w:sz="4" w:space="0" w:color="auto"/>
              <w:bottom w:val="single" w:sz="4" w:space="0" w:color="auto"/>
              <w:right w:val="single" w:sz="4" w:space="0" w:color="auto"/>
            </w:tcBorders>
            <w:tcMar>
              <w:top w:w="48" w:type="dxa"/>
              <w:left w:w="48" w:type="dxa"/>
              <w:bottom w:w="48" w:type="dxa"/>
              <w:right w:w="48" w:type="dxa"/>
            </w:tcMar>
            <w:vAlign w:val="center"/>
          </w:tcPr>
          <w:p w14:paraId="60BCFFC2" w14:textId="2DD76678" w:rsidR="005F17B9" w:rsidRPr="00C41483" w:rsidRDefault="005F17B9" w:rsidP="00CE33DB">
            <w:pPr>
              <w:rPr>
                <w:rFonts w:ascii="Times New Roman" w:hAnsi="Times New Roman" w:cs="Times New Roman"/>
                <w:sz w:val="24"/>
                <w:szCs w:val="24"/>
                <w:lang w:eastAsia="hr-HR"/>
              </w:rPr>
            </w:pPr>
            <w:r w:rsidRPr="00C41483">
              <w:rPr>
                <w:rFonts w:ascii="Times New Roman" w:hAnsi="Times New Roman" w:cs="Times New Roman"/>
                <w:sz w:val="24"/>
                <w:szCs w:val="24"/>
                <w:lang w:eastAsia="hr-HR"/>
              </w:rPr>
              <w:t>ZKP</w:t>
            </w:r>
          </w:p>
        </w:tc>
        <w:tc>
          <w:tcPr>
            <w:tcW w:w="3732" w:type="pct"/>
            <w:tcBorders>
              <w:top w:val="single" w:sz="4" w:space="0" w:color="auto"/>
              <w:left w:val="single" w:sz="4" w:space="0" w:color="auto"/>
              <w:bottom w:val="single" w:sz="4" w:space="0" w:color="auto"/>
              <w:right w:val="single" w:sz="4" w:space="0" w:color="auto"/>
            </w:tcBorders>
            <w:tcMar>
              <w:top w:w="48" w:type="dxa"/>
              <w:left w:w="48" w:type="dxa"/>
              <w:bottom w:w="48" w:type="dxa"/>
              <w:right w:w="48" w:type="dxa"/>
            </w:tcMar>
            <w:vAlign w:val="center"/>
          </w:tcPr>
          <w:p w14:paraId="4DACA80B" w14:textId="62CA6D56" w:rsidR="005F17B9" w:rsidRPr="00C41483" w:rsidRDefault="005F17B9" w:rsidP="00CE33DB">
            <w:pPr>
              <w:rPr>
                <w:rFonts w:ascii="Times New Roman" w:hAnsi="Times New Roman" w:cs="Times New Roman"/>
                <w:sz w:val="24"/>
                <w:szCs w:val="24"/>
                <w:lang w:eastAsia="hr-HR"/>
              </w:rPr>
            </w:pPr>
            <w:r w:rsidRPr="00C41483">
              <w:rPr>
                <w:rFonts w:ascii="Times New Roman" w:hAnsi="Times New Roman" w:cs="Times New Roman"/>
                <w:sz w:val="24"/>
                <w:szCs w:val="24"/>
                <w:lang w:eastAsia="hr-HR"/>
              </w:rPr>
              <w:t>Zakon o kaznenom postupku</w:t>
            </w:r>
          </w:p>
        </w:tc>
      </w:tr>
      <w:tr w:rsidR="002D4058" w:rsidRPr="00C41483" w14:paraId="198C1A04" w14:textId="77777777" w:rsidTr="00F90F6F">
        <w:trPr>
          <w:trHeight w:val="500"/>
          <w:jc w:val="center"/>
        </w:trPr>
        <w:tc>
          <w:tcPr>
            <w:tcW w:w="1268" w:type="pct"/>
            <w:tcBorders>
              <w:top w:val="single" w:sz="4" w:space="0" w:color="auto"/>
              <w:left w:val="single" w:sz="4" w:space="0" w:color="auto"/>
              <w:bottom w:val="single" w:sz="4" w:space="0" w:color="auto"/>
              <w:right w:val="single" w:sz="4" w:space="0" w:color="auto"/>
            </w:tcBorders>
            <w:tcMar>
              <w:top w:w="48" w:type="dxa"/>
              <w:left w:w="48" w:type="dxa"/>
              <w:bottom w:w="48" w:type="dxa"/>
              <w:right w:w="48" w:type="dxa"/>
            </w:tcMar>
            <w:vAlign w:val="center"/>
          </w:tcPr>
          <w:p w14:paraId="7833B612" w14:textId="30D820A4" w:rsidR="002D4058" w:rsidRPr="00C41483" w:rsidRDefault="002D4058" w:rsidP="00CE33DB">
            <w:pPr>
              <w:rPr>
                <w:rFonts w:ascii="Times New Roman" w:hAnsi="Times New Roman" w:cs="Times New Roman"/>
                <w:sz w:val="24"/>
                <w:szCs w:val="24"/>
                <w:lang w:eastAsia="hr-HR"/>
              </w:rPr>
            </w:pPr>
            <w:r w:rsidRPr="00C41483">
              <w:rPr>
                <w:rFonts w:ascii="Times New Roman" w:hAnsi="Times New Roman" w:cs="Times New Roman"/>
                <w:sz w:val="24"/>
                <w:szCs w:val="24"/>
                <w:lang w:eastAsia="hr-HR"/>
              </w:rPr>
              <w:t>ZOSI</w:t>
            </w:r>
          </w:p>
        </w:tc>
        <w:tc>
          <w:tcPr>
            <w:tcW w:w="3732" w:type="pct"/>
            <w:tcBorders>
              <w:top w:val="single" w:sz="4" w:space="0" w:color="auto"/>
              <w:left w:val="single" w:sz="4" w:space="0" w:color="auto"/>
              <w:bottom w:val="single" w:sz="4" w:space="0" w:color="auto"/>
              <w:right w:val="single" w:sz="4" w:space="0" w:color="auto"/>
            </w:tcBorders>
            <w:tcMar>
              <w:top w:w="48" w:type="dxa"/>
              <w:left w:w="48" w:type="dxa"/>
              <w:bottom w:w="48" w:type="dxa"/>
              <w:right w:w="48" w:type="dxa"/>
            </w:tcMar>
            <w:vAlign w:val="center"/>
          </w:tcPr>
          <w:p w14:paraId="72DCBEAE" w14:textId="2ECEC839" w:rsidR="002D4058" w:rsidRPr="00C41483" w:rsidRDefault="002D4058" w:rsidP="00CE33DB">
            <w:pPr>
              <w:rPr>
                <w:rFonts w:ascii="Times New Roman" w:hAnsi="Times New Roman" w:cs="Times New Roman"/>
                <w:sz w:val="24"/>
                <w:szCs w:val="24"/>
                <w:lang w:eastAsia="hr-HR"/>
              </w:rPr>
            </w:pPr>
            <w:bookmarkStart w:id="2" w:name="_Hlk83193895"/>
            <w:r w:rsidRPr="00C41483">
              <w:rPr>
                <w:rFonts w:ascii="Times New Roman" w:hAnsi="Times New Roman" w:cs="Times New Roman"/>
                <w:sz w:val="24"/>
                <w:szCs w:val="24"/>
              </w:rPr>
              <w:t>Zavod za vještačenje, profesionalnu rehabilitaciju i zapošljavanje osoba s invaliditetom</w:t>
            </w:r>
            <w:bookmarkEnd w:id="2"/>
          </w:p>
        </w:tc>
      </w:tr>
      <w:tr w:rsidR="001853AF" w:rsidRPr="00C41483" w14:paraId="51A9E6E2" w14:textId="77777777" w:rsidTr="00CD045B">
        <w:trPr>
          <w:trHeight w:val="331"/>
          <w:jc w:val="center"/>
        </w:trPr>
        <w:tc>
          <w:tcPr>
            <w:tcW w:w="1268" w:type="pct"/>
            <w:tcBorders>
              <w:top w:val="single" w:sz="4" w:space="0" w:color="auto"/>
              <w:left w:val="single" w:sz="4" w:space="0" w:color="auto"/>
              <w:bottom w:val="single" w:sz="4" w:space="0" w:color="auto"/>
              <w:right w:val="single" w:sz="4" w:space="0" w:color="auto"/>
            </w:tcBorders>
            <w:tcMar>
              <w:top w:w="48" w:type="dxa"/>
              <w:left w:w="48" w:type="dxa"/>
              <w:bottom w:w="48" w:type="dxa"/>
              <w:right w:w="48" w:type="dxa"/>
            </w:tcMar>
            <w:vAlign w:val="center"/>
          </w:tcPr>
          <w:p w14:paraId="723D1AEA" w14:textId="12B53553" w:rsidR="001853AF" w:rsidRPr="00C41483" w:rsidRDefault="001853AF" w:rsidP="00CE33DB">
            <w:pPr>
              <w:rPr>
                <w:rFonts w:ascii="Times New Roman" w:hAnsi="Times New Roman" w:cs="Times New Roman"/>
                <w:sz w:val="24"/>
                <w:szCs w:val="24"/>
                <w:lang w:eastAsia="hr-HR"/>
              </w:rPr>
            </w:pPr>
            <w:r w:rsidRPr="00C41483">
              <w:rPr>
                <w:rFonts w:ascii="Times New Roman" w:hAnsi="Times New Roman" w:cs="Times New Roman"/>
                <w:sz w:val="24"/>
                <w:szCs w:val="24"/>
                <w:lang w:eastAsia="hr-HR"/>
              </w:rPr>
              <w:t>ZZ</w:t>
            </w:r>
            <w:r w:rsidR="00222BD9" w:rsidRPr="00C41483">
              <w:rPr>
                <w:rFonts w:ascii="Times New Roman" w:hAnsi="Times New Roman" w:cs="Times New Roman"/>
                <w:sz w:val="24"/>
                <w:szCs w:val="24"/>
                <w:lang w:eastAsia="hr-HR"/>
              </w:rPr>
              <w:t>O</w:t>
            </w:r>
            <w:r w:rsidRPr="00C41483">
              <w:rPr>
                <w:rFonts w:ascii="Times New Roman" w:hAnsi="Times New Roman" w:cs="Times New Roman"/>
                <w:sz w:val="24"/>
                <w:szCs w:val="24"/>
                <w:lang w:eastAsia="hr-HR"/>
              </w:rPr>
              <w:t>DS</w:t>
            </w:r>
          </w:p>
        </w:tc>
        <w:tc>
          <w:tcPr>
            <w:tcW w:w="3732" w:type="pct"/>
            <w:tcBorders>
              <w:top w:val="single" w:sz="4" w:space="0" w:color="auto"/>
              <w:left w:val="single" w:sz="4" w:space="0" w:color="auto"/>
              <w:bottom w:val="single" w:sz="4" w:space="0" w:color="auto"/>
              <w:right w:val="single" w:sz="4" w:space="0" w:color="auto"/>
            </w:tcBorders>
            <w:tcMar>
              <w:top w:w="48" w:type="dxa"/>
              <w:left w:w="48" w:type="dxa"/>
              <w:bottom w:w="48" w:type="dxa"/>
              <w:right w:w="48" w:type="dxa"/>
            </w:tcMar>
            <w:vAlign w:val="center"/>
          </w:tcPr>
          <w:p w14:paraId="2D3E7F64" w14:textId="7E3A03EA" w:rsidR="001853AF" w:rsidRPr="00C41483" w:rsidRDefault="00222BD9" w:rsidP="00CE33DB">
            <w:pPr>
              <w:rPr>
                <w:rFonts w:ascii="Times New Roman" w:hAnsi="Times New Roman" w:cs="Times New Roman"/>
                <w:sz w:val="24"/>
                <w:szCs w:val="24"/>
              </w:rPr>
            </w:pPr>
            <w:r w:rsidRPr="00C41483">
              <w:rPr>
                <w:rFonts w:ascii="Times New Roman" w:hAnsi="Times New Roman" w:cs="Times New Roman"/>
                <w:sz w:val="24"/>
                <w:szCs w:val="24"/>
              </w:rPr>
              <w:t>Zakon o zaštiti osoba s duševnim smetnjama</w:t>
            </w:r>
          </w:p>
        </w:tc>
      </w:tr>
      <w:bookmarkEnd w:id="1"/>
    </w:tbl>
    <w:p w14:paraId="4185C669" w14:textId="77777777" w:rsidR="00170665" w:rsidRPr="00C41483" w:rsidRDefault="00170665" w:rsidP="002854A8">
      <w:pPr>
        <w:spacing w:after="0" w:line="240" w:lineRule="auto"/>
        <w:rPr>
          <w:rFonts w:ascii="Times New Roman" w:eastAsia="Times New Roman" w:hAnsi="Times New Roman" w:cs="Times New Roman"/>
          <w:b/>
          <w:bCs/>
          <w:iCs/>
          <w:sz w:val="24"/>
          <w:szCs w:val="24"/>
          <w:lang w:eastAsia="hr-HR"/>
        </w:rPr>
      </w:pPr>
    </w:p>
    <w:p w14:paraId="246D0F40" w14:textId="77777777" w:rsidR="00170665" w:rsidRPr="00C41483" w:rsidRDefault="00170665" w:rsidP="002854A8">
      <w:pPr>
        <w:spacing w:after="0" w:line="240" w:lineRule="auto"/>
        <w:rPr>
          <w:rFonts w:ascii="Times New Roman" w:eastAsia="Times New Roman" w:hAnsi="Times New Roman" w:cs="Times New Roman"/>
          <w:b/>
          <w:bCs/>
          <w:iCs/>
          <w:sz w:val="24"/>
          <w:szCs w:val="24"/>
          <w:lang w:eastAsia="hr-HR"/>
        </w:rPr>
      </w:pPr>
    </w:p>
    <w:p w14:paraId="1543DCF2" w14:textId="77777777" w:rsidR="00170665" w:rsidRPr="00C41483" w:rsidRDefault="00170665">
      <w:pPr>
        <w:rPr>
          <w:rFonts w:ascii="Times New Roman" w:eastAsia="Times New Roman" w:hAnsi="Times New Roman" w:cs="Times New Roman"/>
          <w:b/>
          <w:bCs/>
          <w:iCs/>
          <w:sz w:val="24"/>
          <w:szCs w:val="24"/>
          <w:lang w:eastAsia="hr-HR"/>
        </w:rPr>
      </w:pPr>
      <w:r w:rsidRPr="00C41483">
        <w:rPr>
          <w:rFonts w:ascii="Times New Roman" w:eastAsia="Times New Roman" w:hAnsi="Times New Roman" w:cs="Times New Roman"/>
          <w:b/>
          <w:bCs/>
          <w:iCs/>
          <w:sz w:val="24"/>
          <w:szCs w:val="24"/>
          <w:lang w:eastAsia="hr-HR"/>
        </w:rPr>
        <w:br w:type="page"/>
      </w:r>
    </w:p>
    <w:p w14:paraId="0A3B49DF" w14:textId="06EEE13F" w:rsidR="00B403C7" w:rsidRPr="00C41483" w:rsidRDefault="00B403C7" w:rsidP="00197F8E">
      <w:pPr>
        <w:pStyle w:val="Naslov1"/>
        <w:spacing w:before="0" w:line="240" w:lineRule="auto"/>
        <w:rPr>
          <w:rFonts w:ascii="Times New Roman" w:eastAsia="Times New Roman" w:hAnsi="Times New Roman" w:cs="Times New Roman"/>
          <w:b/>
          <w:bCs/>
          <w:color w:val="auto"/>
          <w:sz w:val="24"/>
          <w:szCs w:val="24"/>
          <w:lang w:eastAsia="hr-HR"/>
        </w:rPr>
      </w:pPr>
      <w:bookmarkStart w:id="3" w:name="_Toc88031184"/>
      <w:r w:rsidRPr="00C41483">
        <w:rPr>
          <w:rFonts w:ascii="Times New Roman" w:eastAsia="Times New Roman" w:hAnsi="Times New Roman" w:cs="Times New Roman"/>
          <w:b/>
          <w:bCs/>
          <w:color w:val="auto"/>
          <w:sz w:val="24"/>
          <w:szCs w:val="24"/>
          <w:lang w:eastAsia="hr-HR"/>
        </w:rPr>
        <w:lastRenderedPageBreak/>
        <w:t>Uvod</w:t>
      </w:r>
      <w:bookmarkEnd w:id="3"/>
    </w:p>
    <w:p w14:paraId="45E51952" w14:textId="0109490B" w:rsidR="00B403C7" w:rsidRPr="00C41483" w:rsidRDefault="00B403C7" w:rsidP="00B403C7">
      <w:pPr>
        <w:spacing w:after="0" w:line="240" w:lineRule="auto"/>
        <w:jc w:val="both"/>
        <w:rPr>
          <w:rFonts w:ascii="Times New Roman" w:hAnsi="Times New Roman" w:cs="Times New Roman"/>
          <w:i/>
          <w:iCs/>
          <w:sz w:val="24"/>
          <w:szCs w:val="24"/>
          <w:lang w:eastAsia="hr-HR"/>
        </w:rPr>
      </w:pPr>
    </w:p>
    <w:p w14:paraId="5ECCC20E" w14:textId="22A4FD4E" w:rsidR="00C57871" w:rsidRPr="00C41483" w:rsidRDefault="0082049D" w:rsidP="00FB05F1">
      <w:pPr>
        <w:pStyle w:val="Odlomakpopisa"/>
        <w:numPr>
          <w:ilvl w:val="0"/>
          <w:numId w:val="8"/>
        </w:numPr>
        <w:tabs>
          <w:tab w:val="left" w:pos="426"/>
        </w:tabs>
        <w:spacing w:after="0" w:line="240" w:lineRule="auto"/>
        <w:ind w:left="0" w:firstLine="0"/>
        <w:jc w:val="both"/>
        <w:rPr>
          <w:rFonts w:ascii="Times New Roman" w:hAnsi="Times New Roman" w:cs="Times New Roman"/>
          <w:sz w:val="24"/>
          <w:szCs w:val="24"/>
          <w:lang w:eastAsia="hr-HR"/>
        </w:rPr>
      </w:pPr>
      <w:r w:rsidRPr="00C41483">
        <w:rPr>
          <w:rFonts w:ascii="Times New Roman" w:hAnsi="Times New Roman" w:cs="Times New Roman"/>
          <w:sz w:val="24"/>
          <w:szCs w:val="24"/>
          <w:lang w:eastAsia="hr-HR"/>
        </w:rPr>
        <w:t xml:space="preserve">Republika Hrvatska kao država stranka </w:t>
      </w:r>
      <w:r w:rsidR="00D91AB4" w:rsidRPr="00C41483">
        <w:rPr>
          <w:rFonts w:ascii="Times New Roman" w:hAnsi="Times New Roman" w:cs="Times New Roman"/>
          <w:sz w:val="24"/>
          <w:szCs w:val="24"/>
          <w:lang w:eastAsia="hr-HR"/>
        </w:rPr>
        <w:t>KP</w:t>
      </w:r>
      <w:r w:rsidR="00D949ED" w:rsidRPr="00C41483">
        <w:rPr>
          <w:rFonts w:ascii="Times New Roman" w:hAnsi="Times New Roman" w:cs="Times New Roman"/>
          <w:sz w:val="24"/>
          <w:szCs w:val="24"/>
          <w:lang w:eastAsia="hr-HR"/>
        </w:rPr>
        <w:t>O</w:t>
      </w:r>
      <w:r w:rsidR="00D91AB4" w:rsidRPr="00C41483">
        <w:rPr>
          <w:rFonts w:ascii="Times New Roman" w:hAnsi="Times New Roman" w:cs="Times New Roman"/>
          <w:sz w:val="24"/>
          <w:szCs w:val="24"/>
          <w:lang w:eastAsia="hr-HR"/>
        </w:rPr>
        <w:t>SI</w:t>
      </w:r>
      <w:r w:rsidRPr="00C41483">
        <w:rPr>
          <w:rFonts w:ascii="Times New Roman" w:hAnsi="Times New Roman" w:cs="Times New Roman"/>
          <w:sz w:val="24"/>
          <w:szCs w:val="24"/>
          <w:lang w:eastAsia="hr-HR"/>
        </w:rPr>
        <w:t xml:space="preserve">, </w:t>
      </w:r>
      <w:r w:rsidR="00D949ED" w:rsidRPr="00C41483">
        <w:rPr>
          <w:rFonts w:ascii="Times New Roman" w:hAnsi="Times New Roman" w:cs="Times New Roman"/>
          <w:sz w:val="24"/>
          <w:szCs w:val="24"/>
          <w:lang w:eastAsia="hr-HR"/>
        </w:rPr>
        <w:t xml:space="preserve">podnijela je </w:t>
      </w:r>
      <w:r w:rsidRPr="00C41483">
        <w:rPr>
          <w:rFonts w:ascii="Times New Roman" w:hAnsi="Times New Roman" w:cs="Times New Roman"/>
          <w:sz w:val="24"/>
          <w:szCs w:val="24"/>
          <w:lang w:eastAsia="hr-HR"/>
        </w:rPr>
        <w:t>2011. godine Odboru za prava osoba s invaliditetom UN-a</w:t>
      </w:r>
      <w:r w:rsidR="00EE0FDE" w:rsidRPr="00C41483">
        <w:rPr>
          <w:rFonts w:ascii="Times New Roman" w:hAnsi="Times New Roman" w:cs="Times New Roman"/>
          <w:sz w:val="24"/>
          <w:szCs w:val="24"/>
          <w:lang w:eastAsia="hr-HR"/>
        </w:rPr>
        <w:t xml:space="preserve"> (dalje Odbor)</w:t>
      </w:r>
      <w:r w:rsidRPr="00C41483">
        <w:rPr>
          <w:rFonts w:ascii="Times New Roman" w:hAnsi="Times New Roman" w:cs="Times New Roman"/>
          <w:sz w:val="24"/>
          <w:szCs w:val="24"/>
          <w:lang w:eastAsia="hr-HR"/>
        </w:rPr>
        <w:t xml:space="preserve"> Inicijalno izvješće o provedbi K</w:t>
      </w:r>
      <w:r w:rsidR="00D949ED" w:rsidRPr="00C41483">
        <w:rPr>
          <w:rFonts w:ascii="Times New Roman" w:hAnsi="Times New Roman" w:cs="Times New Roman"/>
          <w:sz w:val="24"/>
          <w:szCs w:val="24"/>
          <w:lang w:eastAsia="hr-HR"/>
        </w:rPr>
        <w:t>POSI</w:t>
      </w:r>
      <w:r w:rsidRPr="00C41483">
        <w:rPr>
          <w:rFonts w:ascii="Times New Roman" w:hAnsi="Times New Roman" w:cs="Times New Roman"/>
          <w:sz w:val="24"/>
          <w:szCs w:val="24"/>
          <w:lang w:eastAsia="hr-HR"/>
        </w:rPr>
        <w:t xml:space="preserve">, </w:t>
      </w:r>
      <w:r w:rsidR="00A02BE2" w:rsidRPr="00C41483">
        <w:rPr>
          <w:rFonts w:ascii="Times New Roman" w:hAnsi="Times New Roman" w:cs="Times New Roman"/>
          <w:sz w:val="24"/>
          <w:szCs w:val="24"/>
          <w:lang w:eastAsia="hr-HR"/>
        </w:rPr>
        <w:t xml:space="preserve">te je dostavila odgovore </w:t>
      </w:r>
      <w:r w:rsidR="00C57871" w:rsidRPr="00C41483">
        <w:rPr>
          <w:rFonts w:ascii="Times New Roman" w:hAnsi="Times New Roman" w:cs="Times New Roman"/>
          <w:sz w:val="24"/>
          <w:szCs w:val="24"/>
          <w:lang w:eastAsia="hr-HR"/>
        </w:rPr>
        <w:t>i</w:t>
      </w:r>
      <w:r w:rsidR="00A02BE2" w:rsidRPr="00C41483">
        <w:rPr>
          <w:rFonts w:ascii="Times New Roman" w:hAnsi="Times New Roman" w:cs="Times New Roman"/>
          <w:sz w:val="24"/>
          <w:szCs w:val="24"/>
          <w:lang w:eastAsia="hr-HR"/>
        </w:rPr>
        <w:t xml:space="preserve"> na dodatna pitanja Odbora</w:t>
      </w:r>
      <w:r w:rsidRPr="00C41483">
        <w:rPr>
          <w:rFonts w:ascii="Times New Roman" w:hAnsi="Times New Roman" w:cs="Times New Roman"/>
          <w:sz w:val="24"/>
          <w:szCs w:val="24"/>
          <w:lang w:eastAsia="hr-HR"/>
        </w:rPr>
        <w:t xml:space="preserve"> u studenom 2014. godine</w:t>
      </w:r>
      <w:r w:rsidR="00C57871" w:rsidRPr="00C41483">
        <w:rPr>
          <w:rFonts w:ascii="Times New Roman" w:hAnsi="Times New Roman" w:cs="Times New Roman"/>
          <w:sz w:val="24"/>
          <w:szCs w:val="24"/>
          <w:lang w:eastAsia="hr-HR"/>
        </w:rPr>
        <w:t>. I</w:t>
      </w:r>
      <w:r w:rsidRPr="00C41483">
        <w:rPr>
          <w:rFonts w:ascii="Times New Roman" w:hAnsi="Times New Roman" w:cs="Times New Roman"/>
          <w:sz w:val="24"/>
          <w:szCs w:val="24"/>
          <w:lang w:eastAsia="hr-HR"/>
        </w:rPr>
        <w:t xml:space="preserve">zaslanstvo </w:t>
      </w:r>
      <w:r w:rsidR="00A02BE2" w:rsidRPr="00C41483">
        <w:rPr>
          <w:rFonts w:ascii="Times New Roman" w:hAnsi="Times New Roman" w:cs="Times New Roman"/>
          <w:sz w:val="24"/>
          <w:szCs w:val="24"/>
          <w:lang w:eastAsia="hr-HR"/>
        </w:rPr>
        <w:t>RH</w:t>
      </w:r>
      <w:r w:rsidRPr="00C41483">
        <w:rPr>
          <w:rFonts w:ascii="Times New Roman" w:hAnsi="Times New Roman" w:cs="Times New Roman"/>
          <w:sz w:val="24"/>
          <w:szCs w:val="24"/>
          <w:lang w:eastAsia="hr-HR"/>
        </w:rPr>
        <w:t xml:space="preserve"> je </w:t>
      </w:r>
      <w:r w:rsidR="00A02BE2" w:rsidRPr="00C41483">
        <w:rPr>
          <w:rFonts w:ascii="Times New Roman" w:hAnsi="Times New Roman" w:cs="Times New Roman"/>
          <w:sz w:val="24"/>
          <w:szCs w:val="24"/>
          <w:lang w:eastAsia="hr-HR"/>
        </w:rPr>
        <w:t>u</w:t>
      </w:r>
      <w:r w:rsidRPr="00C41483">
        <w:rPr>
          <w:rFonts w:ascii="Times New Roman" w:hAnsi="Times New Roman" w:cs="Times New Roman"/>
          <w:sz w:val="24"/>
          <w:szCs w:val="24"/>
          <w:lang w:eastAsia="hr-HR"/>
        </w:rPr>
        <w:t xml:space="preserve"> ožujk</w:t>
      </w:r>
      <w:r w:rsidR="00A02BE2" w:rsidRPr="00C41483">
        <w:rPr>
          <w:rFonts w:ascii="Times New Roman" w:hAnsi="Times New Roman" w:cs="Times New Roman"/>
          <w:sz w:val="24"/>
          <w:szCs w:val="24"/>
          <w:lang w:eastAsia="hr-HR"/>
        </w:rPr>
        <w:t>u</w:t>
      </w:r>
      <w:r w:rsidRPr="00C41483">
        <w:rPr>
          <w:rFonts w:ascii="Times New Roman" w:hAnsi="Times New Roman" w:cs="Times New Roman"/>
          <w:sz w:val="24"/>
          <w:szCs w:val="24"/>
          <w:lang w:eastAsia="hr-HR"/>
        </w:rPr>
        <w:t xml:space="preserve"> 2015. godine predstavilo Inicijalno izvješće o provedbi </w:t>
      </w:r>
      <w:r w:rsidR="00D91AB4" w:rsidRPr="00C41483">
        <w:rPr>
          <w:rFonts w:ascii="Times New Roman" w:hAnsi="Times New Roman" w:cs="Times New Roman"/>
          <w:sz w:val="24"/>
          <w:szCs w:val="24"/>
          <w:lang w:eastAsia="hr-HR"/>
        </w:rPr>
        <w:t>KP</w:t>
      </w:r>
      <w:r w:rsidR="00D949ED" w:rsidRPr="00C41483">
        <w:rPr>
          <w:rFonts w:ascii="Times New Roman" w:hAnsi="Times New Roman" w:cs="Times New Roman"/>
          <w:sz w:val="24"/>
          <w:szCs w:val="24"/>
          <w:lang w:eastAsia="hr-HR"/>
        </w:rPr>
        <w:t>O</w:t>
      </w:r>
      <w:r w:rsidR="00D91AB4" w:rsidRPr="00C41483">
        <w:rPr>
          <w:rFonts w:ascii="Times New Roman" w:hAnsi="Times New Roman" w:cs="Times New Roman"/>
          <w:sz w:val="24"/>
          <w:szCs w:val="24"/>
          <w:lang w:eastAsia="hr-HR"/>
        </w:rPr>
        <w:t>SI-e</w:t>
      </w:r>
      <w:r w:rsidRPr="00C41483">
        <w:rPr>
          <w:rFonts w:ascii="Times New Roman" w:hAnsi="Times New Roman" w:cs="Times New Roman"/>
          <w:sz w:val="24"/>
          <w:szCs w:val="24"/>
          <w:lang w:eastAsia="hr-HR"/>
        </w:rPr>
        <w:t xml:space="preserve"> pred </w:t>
      </w:r>
      <w:r w:rsidR="00EE0FDE" w:rsidRPr="00C41483">
        <w:rPr>
          <w:rFonts w:ascii="Times New Roman" w:hAnsi="Times New Roman" w:cs="Times New Roman"/>
          <w:sz w:val="24"/>
          <w:szCs w:val="24"/>
          <w:lang w:eastAsia="hr-HR"/>
        </w:rPr>
        <w:t>Odborom</w:t>
      </w:r>
      <w:r w:rsidRPr="00C41483">
        <w:rPr>
          <w:rFonts w:ascii="Times New Roman" w:hAnsi="Times New Roman" w:cs="Times New Roman"/>
          <w:sz w:val="24"/>
          <w:szCs w:val="24"/>
          <w:lang w:eastAsia="hr-HR"/>
        </w:rPr>
        <w:t xml:space="preserve"> u Ženevi</w:t>
      </w:r>
      <w:r w:rsidR="00C57871" w:rsidRPr="00C41483">
        <w:rPr>
          <w:rFonts w:ascii="Times New Roman" w:hAnsi="Times New Roman" w:cs="Times New Roman"/>
          <w:sz w:val="24"/>
          <w:szCs w:val="24"/>
          <w:lang w:eastAsia="hr-HR"/>
        </w:rPr>
        <w:t xml:space="preserve"> kojom prilikom su razmotreni izazov</w:t>
      </w:r>
      <w:r w:rsidR="00CE2A4F" w:rsidRPr="00C41483">
        <w:rPr>
          <w:rFonts w:ascii="Times New Roman" w:hAnsi="Times New Roman" w:cs="Times New Roman"/>
          <w:sz w:val="24"/>
          <w:szCs w:val="24"/>
          <w:lang w:eastAsia="hr-HR"/>
        </w:rPr>
        <w:t>i</w:t>
      </w:r>
      <w:r w:rsidR="00C57871" w:rsidRPr="00C41483">
        <w:rPr>
          <w:rFonts w:ascii="Times New Roman" w:hAnsi="Times New Roman" w:cs="Times New Roman"/>
          <w:sz w:val="24"/>
          <w:szCs w:val="24"/>
          <w:lang w:eastAsia="hr-HR"/>
        </w:rPr>
        <w:t xml:space="preserve"> na području ostvarivanja zaštite prava osoba s invaliditetom </w:t>
      </w:r>
      <w:r w:rsidR="00CE2A4F" w:rsidRPr="00C41483">
        <w:rPr>
          <w:rFonts w:ascii="Times New Roman" w:hAnsi="Times New Roman" w:cs="Times New Roman"/>
          <w:sz w:val="24"/>
          <w:szCs w:val="24"/>
          <w:lang w:eastAsia="hr-HR"/>
        </w:rPr>
        <w:t>ali</w:t>
      </w:r>
      <w:r w:rsidR="00C57871" w:rsidRPr="00C41483">
        <w:rPr>
          <w:rFonts w:ascii="Times New Roman" w:hAnsi="Times New Roman" w:cs="Times New Roman"/>
          <w:sz w:val="24"/>
          <w:szCs w:val="24"/>
          <w:lang w:eastAsia="hr-HR"/>
        </w:rPr>
        <w:t xml:space="preserve"> i postignuća.</w:t>
      </w:r>
    </w:p>
    <w:p w14:paraId="392AE6B7" w14:textId="77777777" w:rsidR="00C57871" w:rsidRPr="00C41483" w:rsidRDefault="00C57871" w:rsidP="0082049D">
      <w:pPr>
        <w:spacing w:after="0" w:line="240" w:lineRule="auto"/>
        <w:jc w:val="both"/>
        <w:rPr>
          <w:rFonts w:ascii="Times New Roman" w:hAnsi="Times New Roman" w:cs="Times New Roman"/>
          <w:sz w:val="24"/>
          <w:szCs w:val="24"/>
          <w:lang w:eastAsia="hr-HR"/>
        </w:rPr>
      </w:pPr>
    </w:p>
    <w:p w14:paraId="21EA8C97" w14:textId="2CECC1A8" w:rsidR="0082049D" w:rsidRPr="00C41483" w:rsidRDefault="00F361C7" w:rsidP="00FB05F1">
      <w:pPr>
        <w:pStyle w:val="Odlomakpopisa"/>
        <w:numPr>
          <w:ilvl w:val="0"/>
          <w:numId w:val="8"/>
        </w:numPr>
        <w:tabs>
          <w:tab w:val="left" w:pos="284"/>
        </w:tabs>
        <w:spacing w:after="0" w:line="240" w:lineRule="auto"/>
        <w:ind w:left="0" w:firstLine="0"/>
        <w:jc w:val="both"/>
        <w:rPr>
          <w:rFonts w:ascii="Times New Roman" w:hAnsi="Times New Roman" w:cs="Times New Roman"/>
          <w:sz w:val="24"/>
          <w:szCs w:val="24"/>
          <w:lang w:eastAsia="hr-HR"/>
        </w:rPr>
      </w:pPr>
      <w:r w:rsidRPr="00C41483">
        <w:rPr>
          <w:rFonts w:ascii="Times New Roman" w:hAnsi="Times New Roman" w:cs="Times New Roman"/>
          <w:sz w:val="24"/>
          <w:szCs w:val="24"/>
          <w:lang w:eastAsia="hr-HR"/>
        </w:rPr>
        <w:t xml:space="preserve"> </w:t>
      </w:r>
      <w:r w:rsidR="0082049D" w:rsidRPr="00C41483">
        <w:rPr>
          <w:rFonts w:ascii="Times New Roman" w:hAnsi="Times New Roman" w:cs="Times New Roman"/>
          <w:sz w:val="24"/>
          <w:szCs w:val="24"/>
          <w:lang w:eastAsia="hr-HR"/>
        </w:rPr>
        <w:t>Uzimajući u obzir navedeno, odgovori</w:t>
      </w:r>
      <w:r w:rsidR="00D91AB4" w:rsidRPr="00C41483">
        <w:rPr>
          <w:rFonts w:ascii="Times New Roman" w:hAnsi="Times New Roman" w:cs="Times New Roman"/>
          <w:sz w:val="24"/>
          <w:szCs w:val="24"/>
          <w:lang w:eastAsia="hr-HR"/>
        </w:rPr>
        <w:t xml:space="preserve"> n</w:t>
      </w:r>
      <w:r w:rsidR="00C57871" w:rsidRPr="00C41483">
        <w:rPr>
          <w:rFonts w:ascii="Times New Roman" w:hAnsi="Times New Roman" w:cs="Times New Roman"/>
          <w:sz w:val="24"/>
          <w:szCs w:val="24"/>
          <w:lang w:eastAsia="hr-HR"/>
        </w:rPr>
        <w:t>a</w:t>
      </w:r>
      <w:r w:rsidR="00D91AB4" w:rsidRPr="00C41483">
        <w:rPr>
          <w:rFonts w:ascii="Times New Roman" w:hAnsi="Times New Roman" w:cs="Times New Roman"/>
          <w:sz w:val="24"/>
          <w:szCs w:val="24"/>
          <w:lang w:eastAsia="hr-HR"/>
        </w:rPr>
        <w:t xml:space="preserve"> </w:t>
      </w:r>
      <w:r w:rsidR="00A02BE2" w:rsidRPr="00C41483">
        <w:rPr>
          <w:rFonts w:ascii="Times New Roman" w:hAnsi="Times New Roman" w:cs="Times New Roman"/>
          <w:sz w:val="24"/>
          <w:szCs w:val="24"/>
          <w:lang w:eastAsia="hr-HR"/>
        </w:rPr>
        <w:t xml:space="preserve">dostavljenu </w:t>
      </w:r>
      <w:r w:rsidR="00D91AB4" w:rsidRPr="00C41483">
        <w:rPr>
          <w:rFonts w:ascii="Times New Roman" w:hAnsi="Times New Roman" w:cs="Times New Roman"/>
          <w:sz w:val="24"/>
          <w:szCs w:val="24"/>
          <w:lang w:eastAsia="hr-HR"/>
        </w:rPr>
        <w:t>listu pitanja</w:t>
      </w:r>
      <w:r w:rsidR="0082049D" w:rsidRPr="00C41483">
        <w:rPr>
          <w:rFonts w:ascii="Times New Roman" w:hAnsi="Times New Roman" w:cs="Times New Roman"/>
          <w:sz w:val="24"/>
          <w:szCs w:val="24"/>
          <w:lang w:eastAsia="hr-HR"/>
        </w:rPr>
        <w:t xml:space="preserve"> obuhvaćaju vremensko razdoblje od 2015.</w:t>
      </w:r>
      <w:r w:rsidR="00D91AB4" w:rsidRPr="00C41483">
        <w:rPr>
          <w:rFonts w:ascii="Times New Roman" w:hAnsi="Times New Roman" w:cs="Times New Roman"/>
          <w:sz w:val="24"/>
          <w:szCs w:val="24"/>
          <w:lang w:eastAsia="hr-HR"/>
        </w:rPr>
        <w:t xml:space="preserve"> do 202</w:t>
      </w:r>
      <w:r w:rsidR="00E15B2F" w:rsidRPr="00C41483">
        <w:rPr>
          <w:rFonts w:ascii="Times New Roman" w:hAnsi="Times New Roman" w:cs="Times New Roman"/>
          <w:sz w:val="24"/>
          <w:szCs w:val="24"/>
          <w:lang w:eastAsia="hr-HR"/>
        </w:rPr>
        <w:t>1</w:t>
      </w:r>
      <w:r w:rsidR="00D91AB4" w:rsidRPr="00C41483">
        <w:rPr>
          <w:rFonts w:ascii="Times New Roman" w:hAnsi="Times New Roman" w:cs="Times New Roman"/>
          <w:sz w:val="24"/>
          <w:szCs w:val="24"/>
          <w:lang w:eastAsia="hr-HR"/>
        </w:rPr>
        <w:t>.</w:t>
      </w:r>
      <w:r w:rsidR="0082049D" w:rsidRPr="00C41483">
        <w:rPr>
          <w:rFonts w:ascii="Times New Roman" w:hAnsi="Times New Roman" w:cs="Times New Roman"/>
          <w:sz w:val="24"/>
          <w:szCs w:val="24"/>
          <w:lang w:eastAsia="hr-HR"/>
        </w:rPr>
        <w:t xml:space="preserve"> godine</w:t>
      </w:r>
      <w:r w:rsidR="00D91AB4" w:rsidRPr="00C41483">
        <w:rPr>
          <w:rFonts w:ascii="Times New Roman" w:hAnsi="Times New Roman" w:cs="Times New Roman"/>
          <w:sz w:val="24"/>
          <w:szCs w:val="24"/>
          <w:lang w:eastAsia="hr-HR"/>
        </w:rPr>
        <w:t>.</w:t>
      </w:r>
    </w:p>
    <w:p w14:paraId="2B6FAB4A" w14:textId="77777777" w:rsidR="00EE0FDE" w:rsidRPr="00C41483" w:rsidRDefault="00EE0FDE" w:rsidP="00EE0FDE">
      <w:pPr>
        <w:pStyle w:val="Odlomakpopisa"/>
        <w:rPr>
          <w:rFonts w:ascii="Times New Roman" w:hAnsi="Times New Roman" w:cs="Times New Roman"/>
          <w:sz w:val="24"/>
          <w:szCs w:val="24"/>
          <w:lang w:eastAsia="hr-HR"/>
        </w:rPr>
      </w:pPr>
    </w:p>
    <w:p w14:paraId="6222E97B" w14:textId="3CE4E2A2" w:rsidR="00C57871" w:rsidRPr="00C41483" w:rsidRDefault="00F361C7" w:rsidP="00FB05F1">
      <w:pPr>
        <w:pStyle w:val="Odlomakpopisa"/>
        <w:numPr>
          <w:ilvl w:val="0"/>
          <w:numId w:val="8"/>
        </w:numPr>
        <w:tabs>
          <w:tab w:val="left" w:pos="284"/>
        </w:tabs>
        <w:spacing w:after="0" w:line="240" w:lineRule="auto"/>
        <w:ind w:left="0" w:firstLine="0"/>
        <w:jc w:val="both"/>
        <w:rPr>
          <w:rFonts w:ascii="Times New Roman" w:hAnsi="Times New Roman" w:cs="Times New Roman"/>
          <w:sz w:val="24"/>
          <w:szCs w:val="24"/>
          <w:lang w:eastAsia="hr-HR"/>
        </w:rPr>
      </w:pPr>
      <w:r w:rsidRPr="00C41483">
        <w:rPr>
          <w:rFonts w:ascii="Times New Roman" w:hAnsi="Times New Roman" w:cs="Times New Roman"/>
          <w:sz w:val="24"/>
          <w:szCs w:val="24"/>
          <w:lang w:eastAsia="hr-HR"/>
        </w:rPr>
        <w:t xml:space="preserve"> </w:t>
      </w:r>
      <w:r w:rsidR="00C57871" w:rsidRPr="00C41483">
        <w:rPr>
          <w:rFonts w:ascii="Times New Roman" w:hAnsi="Times New Roman" w:cs="Times New Roman"/>
          <w:sz w:val="24"/>
          <w:szCs w:val="24"/>
          <w:lang w:eastAsia="hr-HR"/>
        </w:rPr>
        <w:t>Za navedeni period važno je istaknuti da je Vlada R</w:t>
      </w:r>
      <w:r w:rsidR="00EE0FDE" w:rsidRPr="00C41483">
        <w:rPr>
          <w:rFonts w:ascii="Times New Roman" w:hAnsi="Times New Roman" w:cs="Times New Roman"/>
          <w:sz w:val="24"/>
          <w:szCs w:val="24"/>
          <w:lang w:eastAsia="hr-HR"/>
        </w:rPr>
        <w:t>H</w:t>
      </w:r>
      <w:r w:rsidR="00C57871" w:rsidRPr="00C41483">
        <w:rPr>
          <w:rFonts w:ascii="Times New Roman" w:hAnsi="Times New Roman" w:cs="Times New Roman"/>
          <w:sz w:val="24"/>
          <w:szCs w:val="24"/>
          <w:lang w:eastAsia="hr-HR"/>
        </w:rPr>
        <w:t xml:space="preserve"> donijela Nacionalnu strategiju izjednačavanja mogućnosti za osobe s invaliditetom od 2017. do 2020. godine - </w:t>
      </w:r>
      <w:r w:rsidR="00A02BE2" w:rsidRPr="00C41483">
        <w:rPr>
          <w:rFonts w:ascii="Times New Roman" w:hAnsi="Times New Roman" w:cs="Times New Roman"/>
          <w:sz w:val="24"/>
          <w:szCs w:val="24"/>
          <w:lang w:eastAsia="hr-HR"/>
        </w:rPr>
        <w:t xml:space="preserve">nacionalni strateški dokument </w:t>
      </w:r>
      <w:r w:rsidR="00CE2A4F" w:rsidRPr="00C41483">
        <w:rPr>
          <w:rFonts w:ascii="Times New Roman" w:hAnsi="Times New Roman" w:cs="Times New Roman"/>
          <w:sz w:val="24"/>
          <w:szCs w:val="24"/>
          <w:lang w:eastAsia="hr-HR"/>
        </w:rPr>
        <w:t xml:space="preserve">u kojem je kroz </w:t>
      </w:r>
      <w:r w:rsidR="00A02BE2" w:rsidRPr="00C41483">
        <w:rPr>
          <w:rFonts w:ascii="Times New Roman" w:hAnsi="Times New Roman" w:cs="Times New Roman"/>
          <w:sz w:val="24"/>
          <w:szCs w:val="24"/>
          <w:lang w:eastAsia="hr-HR"/>
        </w:rPr>
        <w:t xml:space="preserve">16 područja </w:t>
      </w:r>
      <w:r w:rsidR="00CE2A4F" w:rsidRPr="00C41483">
        <w:rPr>
          <w:rFonts w:ascii="Times New Roman" w:hAnsi="Times New Roman" w:cs="Times New Roman"/>
          <w:sz w:val="24"/>
          <w:szCs w:val="24"/>
          <w:lang w:eastAsia="hr-HR"/>
        </w:rPr>
        <w:t>djelovanja</w:t>
      </w:r>
      <w:r w:rsidR="00A02BE2" w:rsidRPr="00C41483">
        <w:rPr>
          <w:rFonts w:ascii="Times New Roman" w:hAnsi="Times New Roman" w:cs="Times New Roman"/>
          <w:sz w:val="24"/>
          <w:szCs w:val="24"/>
          <w:lang w:eastAsia="hr-HR"/>
        </w:rPr>
        <w:t xml:space="preserve"> </w:t>
      </w:r>
      <w:r w:rsidR="0082049D" w:rsidRPr="00C41483">
        <w:rPr>
          <w:rFonts w:ascii="Times New Roman" w:hAnsi="Times New Roman" w:cs="Times New Roman"/>
          <w:sz w:val="24"/>
          <w:szCs w:val="24"/>
          <w:lang w:eastAsia="hr-HR"/>
        </w:rPr>
        <w:t xml:space="preserve">u najvećoj mogućoj mjeri implementirana </w:t>
      </w:r>
      <w:r w:rsidR="00A02BE2" w:rsidRPr="00C41483">
        <w:rPr>
          <w:rFonts w:ascii="Times New Roman" w:hAnsi="Times New Roman" w:cs="Times New Roman"/>
          <w:sz w:val="24"/>
          <w:szCs w:val="24"/>
          <w:lang w:eastAsia="hr-HR"/>
        </w:rPr>
        <w:t>KP</w:t>
      </w:r>
      <w:r w:rsidR="00D949ED" w:rsidRPr="00C41483">
        <w:rPr>
          <w:rFonts w:ascii="Times New Roman" w:hAnsi="Times New Roman" w:cs="Times New Roman"/>
          <w:sz w:val="24"/>
          <w:szCs w:val="24"/>
          <w:lang w:eastAsia="hr-HR"/>
        </w:rPr>
        <w:t>O</w:t>
      </w:r>
      <w:r w:rsidR="00A02BE2" w:rsidRPr="00C41483">
        <w:rPr>
          <w:rFonts w:ascii="Times New Roman" w:hAnsi="Times New Roman" w:cs="Times New Roman"/>
          <w:sz w:val="24"/>
          <w:szCs w:val="24"/>
          <w:lang w:eastAsia="hr-HR"/>
        </w:rPr>
        <w:t>SI</w:t>
      </w:r>
      <w:r w:rsidR="00D949ED" w:rsidRPr="00C41483">
        <w:rPr>
          <w:rFonts w:ascii="Times New Roman" w:hAnsi="Times New Roman" w:cs="Times New Roman"/>
          <w:sz w:val="24"/>
          <w:szCs w:val="24"/>
          <w:lang w:eastAsia="hr-HR"/>
        </w:rPr>
        <w:t xml:space="preserve">. </w:t>
      </w:r>
      <w:r w:rsidR="00C57871" w:rsidRPr="00C41483">
        <w:rPr>
          <w:rFonts w:ascii="Times New Roman" w:hAnsi="Times New Roman" w:cs="Times New Roman"/>
          <w:sz w:val="24"/>
          <w:szCs w:val="24"/>
          <w:lang w:eastAsia="hr-HR"/>
        </w:rPr>
        <w:t>U svrhu provedbe i praćenja provedbe mjera navedene strategije u t</w:t>
      </w:r>
      <w:r w:rsidR="00A02BE2" w:rsidRPr="00C41483">
        <w:rPr>
          <w:rFonts w:ascii="Times New Roman" w:hAnsi="Times New Roman" w:cs="Times New Roman"/>
          <w:sz w:val="24"/>
          <w:szCs w:val="24"/>
          <w:lang w:eastAsia="hr-HR"/>
        </w:rPr>
        <w:t>ijel</w:t>
      </w:r>
      <w:r w:rsidR="00C57871" w:rsidRPr="00C41483">
        <w:rPr>
          <w:rFonts w:ascii="Times New Roman" w:hAnsi="Times New Roman" w:cs="Times New Roman"/>
          <w:sz w:val="24"/>
          <w:szCs w:val="24"/>
          <w:lang w:eastAsia="hr-HR"/>
        </w:rPr>
        <w:t>ima</w:t>
      </w:r>
      <w:r w:rsidR="00A02BE2" w:rsidRPr="00C41483">
        <w:rPr>
          <w:rFonts w:ascii="Times New Roman" w:hAnsi="Times New Roman" w:cs="Times New Roman"/>
          <w:sz w:val="24"/>
          <w:szCs w:val="24"/>
          <w:lang w:eastAsia="hr-HR"/>
        </w:rPr>
        <w:t xml:space="preserve"> državne uprave i JLP(R)S </w:t>
      </w:r>
      <w:r w:rsidR="0082049D" w:rsidRPr="00C41483">
        <w:rPr>
          <w:rFonts w:ascii="Times New Roman" w:hAnsi="Times New Roman" w:cs="Times New Roman"/>
          <w:sz w:val="24"/>
          <w:szCs w:val="24"/>
          <w:lang w:eastAsia="hr-HR"/>
        </w:rPr>
        <w:t>imenovan</w:t>
      </w:r>
      <w:r w:rsidR="00C57871" w:rsidRPr="00C41483">
        <w:rPr>
          <w:rFonts w:ascii="Times New Roman" w:hAnsi="Times New Roman" w:cs="Times New Roman"/>
          <w:sz w:val="24"/>
          <w:szCs w:val="24"/>
          <w:lang w:eastAsia="hr-HR"/>
        </w:rPr>
        <w:t>i su</w:t>
      </w:r>
      <w:r w:rsidR="0082049D" w:rsidRPr="00C41483">
        <w:rPr>
          <w:rFonts w:ascii="Times New Roman" w:hAnsi="Times New Roman" w:cs="Times New Roman"/>
          <w:sz w:val="24"/>
          <w:szCs w:val="24"/>
          <w:lang w:eastAsia="hr-HR"/>
        </w:rPr>
        <w:t xml:space="preserve"> koordinator</w:t>
      </w:r>
      <w:r w:rsidR="00C57871" w:rsidRPr="00C41483">
        <w:rPr>
          <w:rFonts w:ascii="Times New Roman" w:hAnsi="Times New Roman" w:cs="Times New Roman"/>
          <w:sz w:val="24"/>
          <w:szCs w:val="24"/>
          <w:lang w:eastAsia="hr-HR"/>
        </w:rPr>
        <w:t xml:space="preserve">i. </w:t>
      </w:r>
      <w:r w:rsidR="00CE2A4F" w:rsidRPr="00C41483">
        <w:rPr>
          <w:rFonts w:ascii="Times New Roman" w:hAnsi="Times New Roman" w:cs="Times New Roman"/>
          <w:sz w:val="24"/>
          <w:szCs w:val="24"/>
          <w:lang w:eastAsia="hr-HR"/>
        </w:rPr>
        <w:t>Redovito su se izrađivala godišnja izvješća o provedbi mjera navedenog strateškog dokumenta, temeljem kojeg je 2021. godine izrađena i sveobuhvatna analiza za razdoblje od 2017. do 2020. Analizom su utvrđene</w:t>
      </w:r>
      <w:r w:rsidR="00CE2A4F" w:rsidRPr="00C41483">
        <w:t xml:space="preserve"> </w:t>
      </w:r>
      <w:r w:rsidR="00CE2A4F" w:rsidRPr="00C41483">
        <w:rPr>
          <w:rFonts w:ascii="Times New Roman" w:hAnsi="Times New Roman" w:cs="Times New Roman"/>
          <w:sz w:val="24"/>
          <w:szCs w:val="24"/>
          <w:lang w:eastAsia="hr-HR"/>
        </w:rPr>
        <w:t>srednjoročne razvojne potrebe i potencijali, što je činilo osnovu za izradu novog strateškog okvira za izjednačavanje mogućnosti za osobe s invaliditetom za razdoblje od 2021</w:t>
      </w:r>
      <w:r w:rsidR="00E15B2F" w:rsidRPr="00C41483">
        <w:rPr>
          <w:rFonts w:ascii="Times New Roman" w:hAnsi="Times New Roman" w:cs="Times New Roman"/>
          <w:sz w:val="24"/>
          <w:szCs w:val="24"/>
          <w:lang w:eastAsia="hr-HR"/>
        </w:rPr>
        <w:t>.</w:t>
      </w:r>
      <w:r w:rsidR="00CE2A4F" w:rsidRPr="00C41483">
        <w:rPr>
          <w:rFonts w:ascii="Times New Roman" w:hAnsi="Times New Roman" w:cs="Times New Roman"/>
          <w:sz w:val="24"/>
          <w:szCs w:val="24"/>
          <w:lang w:eastAsia="hr-HR"/>
        </w:rPr>
        <w:t xml:space="preserve"> do 2027</w:t>
      </w:r>
      <w:r w:rsidR="00E15B2F" w:rsidRPr="00C41483">
        <w:rPr>
          <w:rFonts w:ascii="Times New Roman" w:hAnsi="Times New Roman" w:cs="Times New Roman"/>
          <w:sz w:val="24"/>
          <w:szCs w:val="24"/>
          <w:lang w:eastAsia="hr-HR"/>
        </w:rPr>
        <w:t>.</w:t>
      </w:r>
      <w:r w:rsidR="00CE2A4F" w:rsidRPr="00C41483">
        <w:rPr>
          <w:rFonts w:ascii="Times New Roman" w:hAnsi="Times New Roman" w:cs="Times New Roman"/>
          <w:sz w:val="24"/>
          <w:szCs w:val="24"/>
          <w:lang w:eastAsia="hr-HR"/>
        </w:rPr>
        <w:t xml:space="preserve"> godine koji je u završnoj fazi izrade, a kojim je cilj i nadalje poticati stvaranje uvjeta za </w:t>
      </w:r>
      <w:r w:rsidR="002C2CF2" w:rsidRPr="00C41483">
        <w:rPr>
          <w:rFonts w:ascii="Times New Roman" w:hAnsi="Times New Roman" w:cs="Times New Roman"/>
          <w:sz w:val="24"/>
          <w:szCs w:val="24"/>
          <w:lang w:eastAsia="hr-HR"/>
        </w:rPr>
        <w:t>stvaranj</w:t>
      </w:r>
      <w:r w:rsidR="00170665" w:rsidRPr="00C41483">
        <w:rPr>
          <w:rFonts w:ascii="Times New Roman" w:hAnsi="Times New Roman" w:cs="Times New Roman"/>
          <w:sz w:val="24"/>
          <w:szCs w:val="24"/>
          <w:lang w:eastAsia="hr-HR"/>
        </w:rPr>
        <w:t>e</w:t>
      </w:r>
      <w:r w:rsidR="00CE2A4F" w:rsidRPr="00C41483">
        <w:rPr>
          <w:rFonts w:ascii="Times New Roman" w:hAnsi="Times New Roman" w:cs="Times New Roman"/>
          <w:sz w:val="24"/>
          <w:szCs w:val="24"/>
          <w:lang w:eastAsia="hr-HR"/>
        </w:rPr>
        <w:t xml:space="preserve"> inkluzivn</w:t>
      </w:r>
      <w:r w:rsidR="002C2CF2" w:rsidRPr="00C41483">
        <w:rPr>
          <w:rFonts w:ascii="Times New Roman" w:hAnsi="Times New Roman" w:cs="Times New Roman"/>
          <w:sz w:val="24"/>
          <w:szCs w:val="24"/>
          <w:lang w:eastAsia="hr-HR"/>
        </w:rPr>
        <w:t xml:space="preserve">e </w:t>
      </w:r>
      <w:r w:rsidR="00CE2A4F" w:rsidRPr="00C41483">
        <w:rPr>
          <w:rFonts w:ascii="Times New Roman" w:hAnsi="Times New Roman" w:cs="Times New Roman"/>
          <w:sz w:val="24"/>
          <w:szCs w:val="24"/>
          <w:lang w:eastAsia="hr-HR"/>
        </w:rPr>
        <w:t>zajednic</w:t>
      </w:r>
      <w:r w:rsidR="002C2CF2" w:rsidRPr="00C41483">
        <w:rPr>
          <w:rFonts w:ascii="Times New Roman" w:hAnsi="Times New Roman" w:cs="Times New Roman"/>
          <w:sz w:val="24"/>
          <w:szCs w:val="24"/>
          <w:lang w:eastAsia="hr-HR"/>
        </w:rPr>
        <w:t>e</w:t>
      </w:r>
      <w:r w:rsidR="00CE2A4F" w:rsidRPr="00C41483">
        <w:rPr>
          <w:rFonts w:ascii="Times New Roman" w:hAnsi="Times New Roman" w:cs="Times New Roman"/>
          <w:sz w:val="24"/>
          <w:szCs w:val="24"/>
          <w:lang w:eastAsia="hr-HR"/>
        </w:rPr>
        <w:t>.</w:t>
      </w:r>
    </w:p>
    <w:p w14:paraId="52F08036" w14:textId="77777777" w:rsidR="00C57871" w:rsidRPr="00C41483" w:rsidRDefault="00C57871" w:rsidP="0082049D">
      <w:pPr>
        <w:spacing w:after="0" w:line="240" w:lineRule="auto"/>
        <w:jc w:val="both"/>
        <w:rPr>
          <w:rFonts w:ascii="Times New Roman" w:hAnsi="Times New Roman" w:cs="Times New Roman"/>
          <w:sz w:val="24"/>
          <w:szCs w:val="24"/>
          <w:lang w:eastAsia="hr-HR"/>
        </w:rPr>
      </w:pPr>
    </w:p>
    <w:p w14:paraId="2070AAF6" w14:textId="77777777" w:rsidR="00B403C7" w:rsidRPr="00C41483" w:rsidRDefault="00B403C7" w:rsidP="00B403C7">
      <w:pPr>
        <w:spacing w:after="0" w:line="240" w:lineRule="auto"/>
        <w:jc w:val="both"/>
        <w:rPr>
          <w:rFonts w:ascii="Times New Roman" w:hAnsi="Times New Roman" w:cs="Times New Roman"/>
          <w:i/>
          <w:iCs/>
          <w:sz w:val="24"/>
          <w:szCs w:val="24"/>
          <w:lang w:eastAsia="hr-HR"/>
        </w:rPr>
      </w:pPr>
      <w:bookmarkStart w:id="4" w:name="_Toc76630945"/>
    </w:p>
    <w:p w14:paraId="26A08E38" w14:textId="6300E814" w:rsidR="00D542B4" w:rsidRPr="00C41483" w:rsidRDefault="00D542B4" w:rsidP="006B5133">
      <w:pPr>
        <w:pStyle w:val="Naslov1"/>
        <w:spacing w:before="0" w:line="240" w:lineRule="auto"/>
        <w:rPr>
          <w:rFonts w:ascii="Times New Roman" w:eastAsia="Times New Roman" w:hAnsi="Times New Roman" w:cs="Times New Roman"/>
          <w:b/>
          <w:bCs/>
          <w:i/>
          <w:color w:val="auto"/>
          <w:sz w:val="24"/>
          <w:szCs w:val="24"/>
          <w:lang w:eastAsia="hr-HR"/>
        </w:rPr>
      </w:pPr>
      <w:bookmarkStart w:id="5" w:name="_Hlk81834788"/>
      <w:bookmarkStart w:id="6" w:name="_Toc88031185"/>
      <w:r w:rsidRPr="00C41483">
        <w:rPr>
          <w:rFonts w:ascii="Times New Roman" w:eastAsia="Times New Roman" w:hAnsi="Times New Roman" w:cs="Times New Roman"/>
          <w:b/>
          <w:bCs/>
          <w:color w:val="auto"/>
          <w:sz w:val="24"/>
          <w:szCs w:val="24"/>
          <w:lang w:eastAsia="hr-HR"/>
        </w:rPr>
        <w:t>Svrha i opće obveze (članci 1. - 4.)</w:t>
      </w:r>
      <w:bookmarkEnd w:id="4"/>
      <w:bookmarkEnd w:id="6"/>
    </w:p>
    <w:bookmarkEnd w:id="5"/>
    <w:p w14:paraId="7E8B896B" w14:textId="77777777" w:rsidR="00165D3A" w:rsidRPr="00C41483" w:rsidRDefault="00165D3A" w:rsidP="006B5133">
      <w:pPr>
        <w:spacing w:after="0" w:line="240" w:lineRule="auto"/>
        <w:rPr>
          <w:rFonts w:ascii="Times New Roman" w:hAnsi="Times New Roman" w:cs="Times New Roman"/>
          <w:sz w:val="24"/>
          <w:szCs w:val="24"/>
          <w:lang w:eastAsia="hr-HR"/>
        </w:rPr>
      </w:pPr>
    </w:p>
    <w:p w14:paraId="711962FF" w14:textId="2A259CF6" w:rsidR="00790AD0" w:rsidRPr="00C41483" w:rsidRDefault="00F361C7" w:rsidP="00F361C7">
      <w:pPr>
        <w:spacing w:after="0" w:line="240" w:lineRule="auto"/>
        <w:jc w:val="both"/>
        <w:rPr>
          <w:rStyle w:val="Naslov3Char"/>
          <w:rFonts w:ascii="Times New Roman" w:hAnsi="Times New Roman" w:cs="Times New Roman"/>
          <w:i/>
          <w:iCs/>
        </w:rPr>
      </w:pPr>
      <w:bookmarkStart w:id="7" w:name="_Hlk81834744"/>
      <w:bookmarkStart w:id="8" w:name="_Hlk83813329"/>
      <w:r w:rsidRPr="00C41483">
        <w:rPr>
          <w:rFonts w:ascii="Times New Roman" w:hAnsi="Times New Roman" w:cs="Times New Roman"/>
          <w:i/>
          <w:iCs/>
          <w:sz w:val="24"/>
          <w:szCs w:val="24"/>
          <w:lang w:eastAsia="hr-HR"/>
        </w:rPr>
        <w:t xml:space="preserve">Pitanje </w:t>
      </w:r>
      <w:r w:rsidR="00D542B4" w:rsidRPr="00C41483">
        <w:rPr>
          <w:rFonts w:ascii="Times New Roman" w:hAnsi="Times New Roman" w:cs="Times New Roman"/>
          <w:i/>
          <w:iCs/>
          <w:sz w:val="24"/>
          <w:szCs w:val="24"/>
          <w:lang w:eastAsia="hr-HR"/>
        </w:rPr>
        <w:t>1</w:t>
      </w:r>
      <w:r w:rsidRPr="00C41483">
        <w:rPr>
          <w:rFonts w:ascii="Times New Roman" w:hAnsi="Times New Roman" w:cs="Times New Roman"/>
          <w:i/>
          <w:iCs/>
          <w:sz w:val="24"/>
          <w:szCs w:val="24"/>
          <w:lang w:eastAsia="hr-HR"/>
        </w:rPr>
        <w:t>a)</w:t>
      </w:r>
      <w:bookmarkEnd w:id="7"/>
    </w:p>
    <w:bookmarkEnd w:id="8"/>
    <w:p w14:paraId="7C05A40B" w14:textId="77777777" w:rsidR="006B381E" w:rsidRPr="00C41483" w:rsidRDefault="006B381E" w:rsidP="006B5133">
      <w:pPr>
        <w:spacing w:after="0" w:line="240" w:lineRule="auto"/>
        <w:ind w:left="851" w:hanging="284"/>
        <w:rPr>
          <w:rFonts w:ascii="Times New Roman" w:eastAsia="Times New Roman" w:hAnsi="Times New Roman" w:cs="Times New Roman"/>
          <w:bCs/>
          <w:i/>
          <w:iCs/>
          <w:sz w:val="24"/>
          <w:szCs w:val="24"/>
          <w:lang w:eastAsia="hr-HR"/>
        </w:rPr>
      </w:pPr>
    </w:p>
    <w:p w14:paraId="3FFD8227" w14:textId="3DA70A75" w:rsidR="0008667D" w:rsidRPr="00C41483" w:rsidRDefault="00636078" w:rsidP="006B5133">
      <w:pPr>
        <w:spacing w:after="0" w:line="240" w:lineRule="auto"/>
        <w:jc w:val="both"/>
        <w:rPr>
          <w:rFonts w:ascii="Times New Roman" w:eastAsia="Times New Roman" w:hAnsi="Times New Roman" w:cs="Times New Roman"/>
          <w:bCs/>
          <w:sz w:val="24"/>
          <w:szCs w:val="24"/>
          <w:lang w:eastAsia="hr-HR"/>
        </w:rPr>
      </w:pPr>
      <w:r w:rsidRPr="00C41483">
        <w:rPr>
          <w:rFonts w:ascii="Times New Roman" w:eastAsia="Times New Roman" w:hAnsi="Times New Roman" w:cs="Times New Roman"/>
          <w:bCs/>
          <w:sz w:val="24"/>
          <w:szCs w:val="24"/>
          <w:lang w:eastAsia="hr-HR"/>
        </w:rPr>
        <w:t>(</w:t>
      </w:r>
      <w:r w:rsidR="00EE0FDE" w:rsidRPr="00C41483">
        <w:rPr>
          <w:rFonts w:ascii="Times New Roman" w:eastAsia="Times New Roman" w:hAnsi="Times New Roman" w:cs="Times New Roman"/>
          <w:bCs/>
          <w:sz w:val="24"/>
          <w:szCs w:val="24"/>
          <w:lang w:eastAsia="hr-HR"/>
        </w:rPr>
        <w:t>4</w:t>
      </w:r>
      <w:r w:rsidRPr="00C41483">
        <w:rPr>
          <w:rFonts w:ascii="Times New Roman" w:eastAsia="Times New Roman" w:hAnsi="Times New Roman" w:cs="Times New Roman"/>
          <w:bCs/>
          <w:sz w:val="24"/>
          <w:szCs w:val="24"/>
          <w:lang w:eastAsia="hr-HR"/>
        </w:rPr>
        <w:t xml:space="preserve">) </w:t>
      </w:r>
      <w:r w:rsidR="00D9310D" w:rsidRPr="00C41483">
        <w:rPr>
          <w:rFonts w:ascii="Times New Roman" w:eastAsia="Times New Roman" w:hAnsi="Times New Roman" w:cs="Times New Roman"/>
          <w:bCs/>
          <w:sz w:val="24"/>
          <w:szCs w:val="24"/>
          <w:lang w:eastAsia="hr-HR"/>
        </w:rPr>
        <w:t xml:space="preserve">S ciljem implementacije odredbi </w:t>
      </w:r>
      <w:bookmarkStart w:id="9" w:name="_Hlk81580170"/>
      <w:r w:rsidR="00D9310D" w:rsidRPr="00C41483">
        <w:rPr>
          <w:rFonts w:ascii="Times New Roman" w:eastAsia="Times New Roman" w:hAnsi="Times New Roman" w:cs="Times New Roman"/>
          <w:bCs/>
          <w:sz w:val="24"/>
          <w:szCs w:val="24"/>
          <w:lang w:eastAsia="hr-HR"/>
        </w:rPr>
        <w:t xml:space="preserve">Ugovora iz </w:t>
      </w:r>
      <w:proofErr w:type="spellStart"/>
      <w:r w:rsidR="00D9310D" w:rsidRPr="00C41483">
        <w:rPr>
          <w:rFonts w:ascii="Times New Roman" w:eastAsia="Times New Roman" w:hAnsi="Times New Roman" w:cs="Times New Roman"/>
          <w:bCs/>
          <w:sz w:val="24"/>
          <w:szCs w:val="24"/>
          <w:lang w:eastAsia="hr-HR"/>
        </w:rPr>
        <w:t>Marakeša</w:t>
      </w:r>
      <w:proofErr w:type="spellEnd"/>
      <w:r w:rsidR="00D9310D" w:rsidRPr="00C41483">
        <w:rPr>
          <w:rFonts w:ascii="Times New Roman" w:eastAsia="Times New Roman" w:hAnsi="Times New Roman" w:cs="Times New Roman"/>
          <w:bCs/>
          <w:sz w:val="24"/>
          <w:szCs w:val="24"/>
          <w:lang w:eastAsia="hr-HR"/>
        </w:rPr>
        <w:t>, odnosno</w:t>
      </w:r>
      <w:r w:rsidR="00D73610" w:rsidRPr="00C41483">
        <w:rPr>
          <w:rFonts w:ascii="Times New Roman" w:eastAsia="Times New Roman" w:hAnsi="Times New Roman" w:cs="Times New Roman"/>
          <w:bCs/>
          <w:sz w:val="24"/>
          <w:szCs w:val="24"/>
          <w:lang w:eastAsia="hr-HR"/>
        </w:rPr>
        <w:t xml:space="preserve"> sukladno</w:t>
      </w:r>
      <w:r w:rsidR="00D9310D" w:rsidRPr="00C41483">
        <w:rPr>
          <w:rFonts w:ascii="Times New Roman" w:eastAsia="Times New Roman" w:hAnsi="Times New Roman" w:cs="Times New Roman"/>
          <w:bCs/>
          <w:sz w:val="24"/>
          <w:szCs w:val="24"/>
          <w:lang w:eastAsia="hr-HR"/>
        </w:rPr>
        <w:t xml:space="preserve"> Direktiv</w:t>
      </w:r>
      <w:r w:rsidR="00D73610" w:rsidRPr="00C41483">
        <w:rPr>
          <w:rFonts w:ascii="Times New Roman" w:eastAsia="Times New Roman" w:hAnsi="Times New Roman" w:cs="Times New Roman"/>
          <w:bCs/>
          <w:sz w:val="24"/>
          <w:szCs w:val="24"/>
          <w:lang w:eastAsia="hr-HR"/>
        </w:rPr>
        <w:t>i</w:t>
      </w:r>
      <w:r w:rsidR="00D9310D" w:rsidRPr="00C41483">
        <w:rPr>
          <w:rFonts w:ascii="Times New Roman" w:eastAsia="Times New Roman" w:hAnsi="Times New Roman" w:cs="Times New Roman"/>
          <w:bCs/>
          <w:sz w:val="24"/>
          <w:szCs w:val="24"/>
          <w:lang w:eastAsia="hr-HR"/>
        </w:rPr>
        <w:t xml:space="preserve"> (EU) 2017/1564 Europskog parlamenta i Vijeća od 13. rujna 2017. o određenim dopuštenim upotrebama određenih djela i drugih predmeta zaštite koji su zaštićeni autorskim pravom i srodnim pravima u korist osoba koje su slijepe, koje imaju oštećenje vida ili drugih poteškoća u korištenju tiskanim materijalima i izmjeni Direktive 2001/29/EZ o usklađivanju određenih aspekata autorskog i srodnih prava u informacijskom društvu (SL L 242, 20.09.2017.)</w:t>
      </w:r>
      <w:r w:rsidR="00124557" w:rsidRPr="00C41483">
        <w:rPr>
          <w:rFonts w:ascii="Times New Roman" w:eastAsia="Times New Roman" w:hAnsi="Times New Roman" w:cs="Times New Roman"/>
          <w:bCs/>
          <w:sz w:val="24"/>
          <w:szCs w:val="24"/>
          <w:lang w:eastAsia="hr-HR"/>
        </w:rPr>
        <w:t xml:space="preserve">, </w:t>
      </w:r>
      <w:bookmarkEnd w:id="9"/>
      <w:r w:rsidR="00C85122" w:rsidRPr="00C41483">
        <w:rPr>
          <w:rFonts w:ascii="Times New Roman" w:eastAsia="Times New Roman" w:hAnsi="Times New Roman" w:cs="Times New Roman"/>
          <w:bCs/>
          <w:sz w:val="24"/>
          <w:szCs w:val="24"/>
          <w:lang w:eastAsia="hr-HR"/>
        </w:rPr>
        <w:t xml:space="preserve">2018. godine </w:t>
      </w:r>
      <w:r w:rsidR="00124557" w:rsidRPr="00C41483">
        <w:rPr>
          <w:rFonts w:ascii="Times New Roman" w:eastAsia="Times New Roman" w:hAnsi="Times New Roman" w:cs="Times New Roman"/>
          <w:bCs/>
          <w:sz w:val="24"/>
          <w:szCs w:val="24"/>
          <w:lang w:eastAsia="hr-HR"/>
        </w:rPr>
        <w:t>donesen</w:t>
      </w:r>
      <w:r w:rsidR="00E87D95" w:rsidRPr="00C41483">
        <w:rPr>
          <w:rFonts w:ascii="Times New Roman" w:eastAsia="Times New Roman" w:hAnsi="Times New Roman" w:cs="Times New Roman"/>
          <w:bCs/>
          <w:sz w:val="24"/>
          <w:szCs w:val="24"/>
          <w:lang w:eastAsia="hr-HR"/>
        </w:rPr>
        <w:t>e su</w:t>
      </w:r>
      <w:r w:rsidR="00170665" w:rsidRPr="00C41483">
        <w:rPr>
          <w:rFonts w:ascii="Times New Roman" w:eastAsia="Times New Roman" w:hAnsi="Times New Roman" w:cs="Times New Roman"/>
          <w:bCs/>
          <w:sz w:val="24"/>
          <w:szCs w:val="24"/>
          <w:lang w:eastAsia="hr-HR"/>
        </w:rPr>
        <w:t xml:space="preserve"> </w:t>
      </w:r>
      <w:r w:rsidR="00D9310D" w:rsidRPr="00C41483">
        <w:rPr>
          <w:rFonts w:ascii="Times New Roman" w:eastAsia="Times New Roman" w:hAnsi="Times New Roman" w:cs="Times New Roman"/>
          <w:bCs/>
          <w:sz w:val="24"/>
          <w:szCs w:val="24"/>
          <w:lang w:eastAsia="hr-HR"/>
        </w:rPr>
        <w:t>izmjen</w:t>
      </w:r>
      <w:r w:rsidR="00E87D95" w:rsidRPr="00C41483">
        <w:rPr>
          <w:rFonts w:ascii="Times New Roman" w:eastAsia="Times New Roman" w:hAnsi="Times New Roman" w:cs="Times New Roman"/>
          <w:bCs/>
          <w:sz w:val="24"/>
          <w:szCs w:val="24"/>
          <w:lang w:eastAsia="hr-HR"/>
        </w:rPr>
        <w:t>e</w:t>
      </w:r>
      <w:r w:rsidR="00D9310D" w:rsidRPr="00C41483">
        <w:rPr>
          <w:rFonts w:ascii="Times New Roman" w:eastAsia="Times New Roman" w:hAnsi="Times New Roman" w:cs="Times New Roman"/>
          <w:bCs/>
          <w:sz w:val="24"/>
          <w:szCs w:val="24"/>
          <w:lang w:eastAsia="hr-HR"/>
        </w:rPr>
        <w:t xml:space="preserve"> Zakona o </w:t>
      </w:r>
      <w:r w:rsidR="00080174" w:rsidRPr="00C41483">
        <w:rPr>
          <w:rFonts w:ascii="Times New Roman" w:eastAsia="Times New Roman" w:hAnsi="Times New Roman" w:cs="Times New Roman"/>
          <w:bCs/>
          <w:sz w:val="24"/>
          <w:szCs w:val="24"/>
          <w:lang w:eastAsia="hr-HR"/>
        </w:rPr>
        <w:t>autorskom pravu</w:t>
      </w:r>
      <w:r w:rsidR="00D9310D" w:rsidRPr="00C41483">
        <w:rPr>
          <w:rFonts w:ascii="Times New Roman" w:eastAsia="Times New Roman" w:hAnsi="Times New Roman" w:cs="Times New Roman"/>
          <w:bCs/>
          <w:sz w:val="24"/>
          <w:szCs w:val="24"/>
          <w:lang w:eastAsia="hr-HR"/>
        </w:rPr>
        <w:t xml:space="preserve"> i srodnim pravima</w:t>
      </w:r>
      <w:r w:rsidR="00C85122" w:rsidRPr="00C41483">
        <w:rPr>
          <w:rFonts w:ascii="Times New Roman" w:eastAsia="Times New Roman" w:hAnsi="Times New Roman" w:cs="Times New Roman"/>
          <w:bCs/>
          <w:sz w:val="24"/>
          <w:szCs w:val="24"/>
          <w:lang w:eastAsia="hr-HR"/>
        </w:rPr>
        <w:t>.</w:t>
      </w:r>
      <w:r w:rsidR="00D9310D" w:rsidRPr="00C41483">
        <w:rPr>
          <w:rFonts w:ascii="Times New Roman" w:eastAsia="Times New Roman" w:hAnsi="Times New Roman" w:cs="Times New Roman"/>
          <w:bCs/>
          <w:sz w:val="24"/>
          <w:szCs w:val="24"/>
          <w:lang w:eastAsia="hr-HR"/>
        </w:rPr>
        <w:t xml:space="preserve"> </w:t>
      </w:r>
      <w:r w:rsidR="00E87D95" w:rsidRPr="00C41483">
        <w:rPr>
          <w:rFonts w:ascii="Times New Roman" w:eastAsia="Times New Roman" w:hAnsi="Times New Roman" w:cs="Times New Roman"/>
          <w:bCs/>
          <w:sz w:val="24"/>
          <w:szCs w:val="24"/>
          <w:lang w:eastAsia="hr-HR"/>
        </w:rPr>
        <w:t>U</w:t>
      </w:r>
      <w:r w:rsidR="0008667D" w:rsidRPr="00C41483">
        <w:rPr>
          <w:rFonts w:ascii="Times New Roman" w:eastAsia="Times New Roman" w:hAnsi="Times New Roman" w:cs="Times New Roman"/>
          <w:bCs/>
          <w:sz w:val="24"/>
          <w:szCs w:val="24"/>
          <w:lang w:eastAsia="hr-HR"/>
        </w:rPr>
        <w:t xml:space="preserve">z postojeću iznimku o korištenju autorskih djela za potrebe osoba s invaliditetom, uvedena </w:t>
      </w:r>
      <w:r w:rsidR="00E87D95" w:rsidRPr="00C41483">
        <w:rPr>
          <w:rFonts w:ascii="Times New Roman" w:eastAsia="Times New Roman" w:hAnsi="Times New Roman" w:cs="Times New Roman"/>
          <w:bCs/>
          <w:sz w:val="24"/>
          <w:szCs w:val="24"/>
          <w:lang w:eastAsia="hr-HR"/>
        </w:rPr>
        <w:t xml:space="preserve">je </w:t>
      </w:r>
      <w:r w:rsidR="0008667D" w:rsidRPr="00C41483">
        <w:rPr>
          <w:rFonts w:ascii="Times New Roman" w:eastAsia="Times New Roman" w:hAnsi="Times New Roman" w:cs="Times New Roman"/>
          <w:bCs/>
          <w:sz w:val="24"/>
          <w:szCs w:val="24"/>
          <w:lang w:eastAsia="hr-HR"/>
        </w:rPr>
        <w:t>posebna iznimka s ciljem olakšanja prilagodbe tiskanih djela i drugih sadržaja zaštićenih autorskim pravom i srodnim pravima u formate prilagođene potrebama slijepih osoba, osoba s oštećenjem vida ili drugim poteškoćama zbog kojih se ne mogu služiti tiskom.</w:t>
      </w:r>
    </w:p>
    <w:p w14:paraId="25824ACA" w14:textId="77777777" w:rsidR="00EE0FDE" w:rsidRPr="00C41483" w:rsidRDefault="00EE0FDE" w:rsidP="006B5133">
      <w:pPr>
        <w:spacing w:after="0" w:line="240" w:lineRule="auto"/>
        <w:jc w:val="both"/>
        <w:rPr>
          <w:rFonts w:ascii="Times New Roman" w:hAnsi="Times New Roman" w:cs="Times New Roman"/>
          <w:color w:val="231F20"/>
          <w:sz w:val="24"/>
          <w:szCs w:val="24"/>
          <w:shd w:val="clear" w:color="auto" w:fill="FFFFFF"/>
        </w:rPr>
      </w:pPr>
    </w:p>
    <w:p w14:paraId="41B9993E" w14:textId="1C899CAE" w:rsidR="00A973F7" w:rsidRPr="00C41483" w:rsidRDefault="00170665" w:rsidP="006B5133">
      <w:pPr>
        <w:spacing w:after="0" w:line="240" w:lineRule="auto"/>
        <w:jc w:val="both"/>
        <w:rPr>
          <w:rFonts w:ascii="Times New Roman" w:eastAsia="Times New Roman" w:hAnsi="Times New Roman" w:cs="Times New Roman"/>
          <w:bCs/>
          <w:sz w:val="24"/>
          <w:szCs w:val="24"/>
          <w:lang w:eastAsia="hr-HR"/>
        </w:rPr>
      </w:pPr>
      <w:r w:rsidRPr="00C41483">
        <w:rPr>
          <w:rFonts w:ascii="Times New Roman" w:hAnsi="Times New Roman" w:cs="Times New Roman"/>
          <w:color w:val="231F20"/>
          <w:sz w:val="24"/>
          <w:szCs w:val="24"/>
          <w:shd w:val="clear" w:color="auto" w:fill="FFFFFF"/>
        </w:rPr>
        <w:t>(</w:t>
      </w:r>
      <w:r w:rsidR="00EE0FDE" w:rsidRPr="00C41483">
        <w:rPr>
          <w:rFonts w:ascii="Times New Roman" w:hAnsi="Times New Roman" w:cs="Times New Roman"/>
          <w:color w:val="231F20"/>
          <w:sz w:val="24"/>
          <w:szCs w:val="24"/>
          <w:shd w:val="clear" w:color="auto" w:fill="FFFFFF"/>
        </w:rPr>
        <w:t>5</w:t>
      </w:r>
      <w:r w:rsidR="00636078" w:rsidRPr="00C41483">
        <w:rPr>
          <w:rFonts w:ascii="Times New Roman" w:hAnsi="Times New Roman" w:cs="Times New Roman"/>
          <w:color w:val="231F20"/>
          <w:sz w:val="24"/>
          <w:szCs w:val="24"/>
          <w:shd w:val="clear" w:color="auto" w:fill="FFFFFF"/>
        </w:rPr>
        <w:t xml:space="preserve">) </w:t>
      </w:r>
      <w:r w:rsidR="00D33C3F" w:rsidRPr="00C41483">
        <w:rPr>
          <w:rFonts w:ascii="Times New Roman" w:hAnsi="Times New Roman" w:cs="Times New Roman"/>
          <w:color w:val="231F20"/>
          <w:sz w:val="24"/>
          <w:szCs w:val="24"/>
          <w:shd w:val="clear" w:color="auto" w:fill="FFFFFF"/>
        </w:rPr>
        <w:t>T</w:t>
      </w:r>
      <w:r w:rsidR="00DE515B" w:rsidRPr="00C41483">
        <w:rPr>
          <w:rFonts w:ascii="Times New Roman" w:hAnsi="Times New Roman" w:cs="Times New Roman"/>
          <w:color w:val="231F20"/>
          <w:sz w:val="24"/>
          <w:szCs w:val="24"/>
          <w:shd w:val="clear" w:color="auto" w:fill="FFFFFF"/>
        </w:rPr>
        <w:t xml:space="preserve">ijekom 2019. godine izvršeno je </w:t>
      </w:r>
      <w:r w:rsidR="00DE515B" w:rsidRPr="00C41483">
        <w:rPr>
          <w:rFonts w:ascii="Times New Roman" w:eastAsia="Times New Roman" w:hAnsi="Times New Roman" w:cs="Times New Roman"/>
          <w:bCs/>
          <w:sz w:val="24"/>
          <w:szCs w:val="24"/>
          <w:lang w:eastAsia="hr-HR"/>
        </w:rPr>
        <w:t xml:space="preserve">mapiranje usklađenosti nacionalnih propisa s </w:t>
      </w:r>
      <w:r w:rsidR="001E4158" w:rsidRPr="00C41483">
        <w:rPr>
          <w:rFonts w:ascii="Times New Roman" w:hAnsi="Times New Roman" w:cs="Times New Roman"/>
          <w:sz w:val="24"/>
          <w:szCs w:val="24"/>
          <w:lang w:eastAsia="hr-HR"/>
        </w:rPr>
        <w:t>KPOSI</w:t>
      </w:r>
      <w:r w:rsidR="002E532D" w:rsidRPr="00C41483">
        <w:rPr>
          <w:rFonts w:ascii="Times New Roman" w:eastAsia="Times New Roman" w:hAnsi="Times New Roman" w:cs="Times New Roman"/>
          <w:bCs/>
          <w:sz w:val="24"/>
          <w:szCs w:val="24"/>
          <w:lang w:eastAsia="hr-HR"/>
        </w:rPr>
        <w:t>, a isto je javno dostupno u okvir</w:t>
      </w:r>
      <w:r w:rsidR="006366FE" w:rsidRPr="00C41483">
        <w:rPr>
          <w:rFonts w:ascii="Times New Roman" w:eastAsia="Times New Roman" w:hAnsi="Times New Roman" w:cs="Times New Roman"/>
          <w:bCs/>
          <w:sz w:val="24"/>
          <w:szCs w:val="24"/>
          <w:lang w:eastAsia="hr-HR"/>
        </w:rPr>
        <w:t>u</w:t>
      </w:r>
      <w:r w:rsidR="002E532D" w:rsidRPr="00C41483">
        <w:rPr>
          <w:rFonts w:ascii="Times New Roman" w:eastAsia="Times New Roman" w:hAnsi="Times New Roman" w:cs="Times New Roman"/>
          <w:bCs/>
          <w:sz w:val="24"/>
          <w:szCs w:val="24"/>
          <w:lang w:eastAsia="hr-HR"/>
        </w:rPr>
        <w:t xml:space="preserve"> Izvješ</w:t>
      </w:r>
      <w:r w:rsidR="006366FE" w:rsidRPr="00C41483">
        <w:rPr>
          <w:rFonts w:ascii="Times New Roman" w:eastAsia="Times New Roman" w:hAnsi="Times New Roman" w:cs="Times New Roman"/>
          <w:bCs/>
          <w:sz w:val="24"/>
          <w:szCs w:val="24"/>
          <w:lang w:eastAsia="hr-HR"/>
        </w:rPr>
        <w:t>ć</w:t>
      </w:r>
      <w:r w:rsidR="002E532D" w:rsidRPr="00C41483">
        <w:rPr>
          <w:rFonts w:ascii="Times New Roman" w:eastAsia="Times New Roman" w:hAnsi="Times New Roman" w:cs="Times New Roman"/>
          <w:bCs/>
          <w:sz w:val="24"/>
          <w:szCs w:val="24"/>
          <w:lang w:eastAsia="hr-HR"/>
        </w:rPr>
        <w:t>a o provedbi Nacionalne strategije izjednačavanja mogućnosti za osobe s invaliditetom od 2017. do 2020. godine</w:t>
      </w:r>
      <w:r w:rsidR="007E4494" w:rsidRPr="00C41483">
        <w:rPr>
          <w:rFonts w:ascii="Times New Roman" w:eastAsia="Times New Roman" w:hAnsi="Times New Roman" w:cs="Times New Roman"/>
          <w:bCs/>
          <w:sz w:val="24"/>
          <w:szCs w:val="24"/>
          <w:lang w:eastAsia="hr-HR"/>
        </w:rPr>
        <w:t xml:space="preserve"> za 2019. godinu</w:t>
      </w:r>
      <w:r w:rsidRPr="00C41483">
        <w:rPr>
          <w:rFonts w:ascii="Times New Roman" w:eastAsia="Times New Roman" w:hAnsi="Times New Roman" w:cs="Times New Roman"/>
          <w:bCs/>
          <w:sz w:val="24"/>
          <w:szCs w:val="24"/>
          <w:lang w:eastAsia="hr-HR"/>
        </w:rPr>
        <w:t>.</w:t>
      </w:r>
      <w:r w:rsidR="00FC522D" w:rsidRPr="00C41483">
        <w:rPr>
          <w:rFonts w:ascii="Times New Roman" w:eastAsia="Times New Roman" w:hAnsi="Times New Roman" w:cs="Times New Roman"/>
          <w:bCs/>
          <w:sz w:val="24"/>
          <w:szCs w:val="24"/>
          <w:lang w:eastAsia="hr-HR"/>
        </w:rPr>
        <w:t xml:space="preserve"> Više u prilogu 1</w:t>
      </w:r>
      <w:r w:rsidR="005F3233">
        <w:rPr>
          <w:rFonts w:ascii="Times New Roman" w:eastAsia="Times New Roman" w:hAnsi="Times New Roman" w:cs="Times New Roman"/>
          <w:bCs/>
          <w:sz w:val="24"/>
          <w:szCs w:val="24"/>
          <w:lang w:eastAsia="hr-HR"/>
        </w:rPr>
        <w:t>.</w:t>
      </w:r>
    </w:p>
    <w:p w14:paraId="1903EFB2" w14:textId="77777777" w:rsidR="00021374" w:rsidRPr="00C41483" w:rsidRDefault="00021374" w:rsidP="009B4025">
      <w:pPr>
        <w:spacing w:after="0" w:line="240" w:lineRule="auto"/>
        <w:jc w:val="both"/>
        <w:rPr>
          <w:rFonts w:ascii="Times New Roman" w:hAnsi="Times New Roman" w:cs="Times New Roman"/>
          <w:color w:val="231F20"/>
          <w:sz w:val="24"/>
          <w:szCs w:val="24"/>
          <w:shd w:val="clear" w:color="auto" w:fill="FFFFFF"/>
        </w:rPr>
      </w:pPr>
    </w:p>
    <w:p w14:paraId="6B4DD120" w14:textId="62E2247C" w:rsidR="00746D2C" w:rsidRPr="00C41483" w:rsidRDefault="00636078" w:rsidP="009B4025">
      <w:pPr>
        <w:spacing w:after="0" w:line="240" w:lineRule="auto"/>
        <w:jc w:val="both"/>
        <w:rPr>
          <w:rFonts w:ascii="Times New Roman" w:hAnsi="Times New Roman" w:cs="Times New Roman"/>
          <w:strike/>
          <w:color w:val="231F20"/>
          <w:sz w:val="24"/>
          <w:szCs w:val="24"/>
          <w:shd w:val="clear" w:color="auto" w:fill="FFFFFF"/>
        </w:rPr>
      </w:pPr>
      <w:r w:rsidRPr="00C41483">
        <w:rPr>
          <w:rFonts w:ascii="Times New Roman" w:hAnsi="Times New Roman" w:cs="Times New Roman"/>
          <w:color w:val="231F20"/>
          <w:sz w:val="24"/>
          <w:szCs w:val="24"/>
          <w:shd w:val="clear" w:color="auto" w:fill="FFFFFF"/>
        </w:rPr>
        <w:t>(</w:t>
      </w:r>
      <w:r w:rsidR="00EE0FDE" w:rsidRPr="00C41483">
        <w:rPr>
          <w:rFonts w:ascii="Times New Roman" w:hAnsi="Times New Roman" w:cs="Times New Roman"/>
          <w:color w:val="231F20"/>
          <w:sz w:val="24"/>
          <w:szCs w:val="24"/>
          <w:shd w:val="clear" w:color="auto" w:fill="FFFFFF"/>
        </w:rPr>
        <w:t>6</w:t>
      </w:r>
      <w:r w:rsidRPr="00C41483">
        <w:rPr>
          <w:rFonts w:ascii="Times New Roman" w:hAnsi="Times New Roman" w:cs="Times New Roman"/>
          <w:color w:val="231F20"/>
          <w:sz w:val="24"/>
          <w:szCs w:val="24"/>
          <w:shd w:val="clear" w:color="auto" w:fill="FFFFFF"/>
        </w:rPr>
        <w:t xml:space="preserve">) </w:t>
      </w:r>
      <w:r w:rsidR="00170665" w:rsidRPr="00C41483">
        <w:rPr>
          <w:rFonts w:ascii="Times New Roman" w:hAnsi="Times New Roman" w:cs="Times New Roman"/>
          <w:color w:val="231F20"/>
          <w:sz w:val="24"/>
          <w:szCs w:val="24"/>
          <w:shd w:val="clear" w:color="auto" w:fill="FFFFFF"/>
        </w:rPr>
        <w:t>S</w:t>
      </w:r>
      <w:r w:rsidR="009B4025" w:rsidRPr="00C41483">
        <w:rPr>
          <w:rFonts w:ascii="Times New Roman" w:hAnsi="Times New Roman" w:cs="Times New Roman"/>
          <w:color w:val="231F20"/>
          <w:sz w:val="24"/>
          <w:szCs w:val="24"/>
          <w:shd w:val="clear" w:color="auto" w:fill="FFFFFF"/>
        </w:rPr>
        <w:t xml:space="preserve"> ciljem</w:t>
      </w:r>
      <w:r w:rsidR="00021374" w:rsidRPr="00C41483">
        <w:rPr>
          <w:rFonts w:ascii="Times New Roman" w:hAnsi="Times New Roman" w:cs="Times New Roman"/>
          <w:color w:val="231F20"/>
          <w:sz w:val="24"/>
          <w:szCs w:val="24"/>
          <w:shd w:val="clear" w:color="auto" w:fill="FFFFFF"/>
        </w:rPr>
        <w:t xml:space="preserve"> jačanja kapaciteta za praćenje i provedbu mjera </w:t>
      </w:r>
      <w:r w:rsidR="009B4025" w:rsidRPr="00C41483">
        <w:rPr>
          <w:rFonts w:ascii="Times New Roman" w:hAnsi="Times New Roman" w:cs="Times New Roman"/>
          <w:color w:val="231F20"/>
          <w:sz w:val="24"/>
          <w:szCs w:val="24"/>
          <w:shd w:val="clear" w:color="auto" w:fill="FFFFFF"/>
        </w:rPr>
        <w:t>Nacionalne strategije 2017.-2020.</w:t>
      </w:r>
      <w:r w:rsidR="00170665" w:rsidRPr="00C41483">
        <w:rPr>
          <w:rFonts w:ascii="Times New Roman" w:hAnsi="Times New Roman" w:cs="Times New Roman"/>
          <w:color w:val="231F20"/>
          <w:sz w:val="24"/>
          <w:szCs w:val="24"/>
          <w:shd w:val="clear" w:color="auto" w:fill="FFFFFF"/>
        </w:rPr>
        <w:t>, 2019</w:t>
      </w:r>
      <w:r w:rsidR="00E15B2F" w:rsidRPr="00C41483">
        <w:rPr>
          <w:rFonts w:ascii="Times New Roman" w:hAnsi="Times New Roman" w:cs="Times New Roman"/>
          <w:color w:val="231F20"/>
          <w:sz w:val="24"/>
          <w:szCs w:val="24"/>
          <w:shd w:val="clear" w:color="auto" w:fill="FFFFFF"/>
        </w:rPr>
        <w:t>.</w:t>
      </w:r>
      <w:r w:rsidR="00170665" w:rsidRPr="00C41483">
        <w:rPr>
          <w:rFonts w:ascii="Times New Roman" w:hAnsi="Times New Roman" w:cs="Times New Roman"/>
          <w:color w:val="231F20"/>
          <w:sz w:val="24"/>
          <w:szCs w:val="24"/>
          <w:shd w:val="clear" w:color="auto" w:fill="FFFFFF"/>
        </w:rPr>
        <w:t xml:space="preserve"> godine je</w:t>
      </w:r>
      <w:r w:rsidR="009B4025" w:rsidRPr="00C41483">
        <w:rPr>
          <w:rFonts w:ascii="Times New Roman" w:hAnsi="Times New Roman" w:cs="Times New Roman"/>
          <w:color w:val="231F20"/>
          <w:sz w:val="24"/>
          <w:szCs w:val="24"/>
          <w:shd w:val="clear" w:color="auto" w:fill="FFFFFF"/>
        </w:rPr>
        <w:t xml:space="preserve"> organizira</w:t>
      </w:r>
      <w:r w:rsidR="00170665" w:rsidRPr="00C41483">
        <w:rPr>
          <w:rFonts w:ascii="Times New Roman" w:hAnsi="Times New Roman" w:cs="Times New Roman"/>
          <w:color w:val="231F20"/>
          <w:sz w:val="24"/>
          <w:szCs w:val="24"/>
          <w:shd w:val="clear" w:color="auto" w:fill="FFFFFF"/>
        </w:rPr>
        <w:t>n</w:t>
      </w:r>
      <w:r w:rsidR="009B4025" w:rsidRPr="00C41483">
        <w:rPr>
          <w:rFonts w:ascii="Times New Roman" w:hAnsi="Times New Roman" w:cs="Times New Roman"/>
          <w:color w:val="231F20"/>
          <w:sz w:val="24"/>
          <w:szCs w:val="24"/>
          <w:shd w:val="clear" w:color="auto" w:fill="FFFFFF"/>
        </w:rPr>
        <w:t>o</w:t>
      </w:r>
      <w:r w:rsidR="00170665" w:rsidRPr="00C41483">
        <w:rPr>
          <w:rFonts w:ascii="Times New Roman" w:hAnsi="Times New Roman" w:cs="Times New Roman"/>
          <w:color w:val="231F20"/>
          <w:sz w:val="24"/>
          <w:szCs w:val="24"/>
          <w:shd w:val="clear" w:color="auto" w:fill="FFFFFF"/>
        </w:rPr>
        <w:t xml:space="preserve"> </w:t>
      </w:r>
      <w:r w:rsidR="009B4025" w:rsidRPr="00C41483">
        <w:rPr>
          <w:rFonts w:ascii="Times New Roman" w:hAnsi="Times New Roman" w:cs="Times New Roman"/>
          <w:color w:val="231F20"/>
          <w:sz w:val="24"/>
          <w:szCs w:val="24"/>
          <w:shd w:val="clear" w:color="auto" w:fill="FFFFFF"/>
        </w:rPr>
        <w:t>5 regionalnih radionica s predstavnicima općina, gradova i županija, te ustanovama, udrugama i</w:t>
      </w:r>
      <w:r w:rsidR="009B4025" w:rsidRPr="00C41483">
        <w:rPr>
          <w:rFonts w:ascii="Times New Roman" w:hAnsi="Times New Roman" w:cs="Times New Roman"/>
          <w:sz w:val="24"/>
          <w:szCs w:val="24"/>
          <w:lang w:eastAsia="hr-HR"/>
        </w:rPr>
        <w:t xml:space="preserve"> drugim dionicima koji rade </w:t>
      </w:r>
      <w:r w:rsidR="00170665" w:rsidRPr="00C41483">
        <w:rPr>
          <w:rFonts w:ascii="Times New Roman" w:hAnsi="Times New Roman" w:cs="Times New Roman"/>
          <w:sz w:val="24"/>
          <w:szCs w:val="24"/>
          <w:lang w:eastAsia="hr-HR"/>
        </w:rPr>
        <w:t>u</w:t>
      </w:r>
      <w:r w:rsidR="009B4025" w:rsidRPr="00C41483">
        <w:rPr>
          <w:rFonts w:ascii="Times New Roman" w:hAnsi="Times New Roman" w:cs="Times New Roman"/>
          <w:sz w:val="24"/>
          <w:szCs w:val="24"/>
          <w:lang w:eastAsia="hr-HR"/>
        </w:rPr>
        <w:t xml:space="preserve"> području zaštite i unapređenja prava osoba s invaliditetom. </w:t>
      </w:r>
    </w:p>
    <w:p w14:paraId="305F2D34" w14:textId="77777777" w:rsidR="009B4025" w:rsidRPr="00C41483" w:rsidRDefault="009B4025" w:rsidP="006B5133">
      <w:pPr>
        <w:spacing w:after="0" w:line="240" w:lineRule="auto"/>
        <w:rPr>
          <w:rFonts w:ascii="Times New Roman" w:hAnsi="Times New Roman" w:cs="Times New Roman"/>
          <w:strike/>
          <w:sz w:val="24"/>
          <w:szCs w:val="24"/>
          <w:lang w:eastAsia="hr-HR"/>
        </w:rPr>
      </w:pPr>
    </w:p>
    <w:p w14:paraId="4A3317CC" w14:textId="4EE50B3C" w:rsidR="00D542B4" w:rsidRPr="00C41483" w:rsidRDefault="00F361C7" w:rsidP="006B5133">
      <w:pPr>
        <w:spacing w:after="0" w:line="240" w:lineRule="auto"/>
        <w:jc w:val="both"/>
        <w:rPr>
          <w:rFonts w:ascii="Times New Roman" w:hAnsi="Times New Roman" w:cs="Times New Roman"/>
          <w:i/>
          <w:iCs/>
          <w:sz w:val="24"/>
          <w:szCs w:val="24"/>
          <w:lang w:eastAsia="hr-HR"/>
        </w:rPr>
      </w:pPr>
      <w:bookmarkStart w:id="10" w:name="_Hlk83813418"/>
      <w:r w:rsidRPr="00C41483">
        <w:rPr>
          <w:rFonts w:ascii="Times New Roman" w:hAnsi="Times New Roman" w:cs="Times New Roman"/>
          <w:i/>
          <w:iCs/>
          <w:sz w:val="24"/>
          <w:szCs w:val="24"/>
          <w:lang w:eastAsia="hr-HR"/>
        </w:rPr>
        <w:t>Pitanje 1b)</w:t>
      </w:r>
    </w:p>
    <w:bookmarkEnd w:id="10"/>
    <w:p w14:paraId="0A6E1F81" w14:textId="77777777" w:rsidR="00EE0FDE" w:rsidRPr="00C41483" w:rsidRDefault="00EE0FDE" w:rsidP="006B5133">
      <w:pPr>
        <w:spacing w:after="0" w:line="240" w:lineRule="auto"/>
        <w:jc w:val="both"/>
        <w:rPr>
          <w:rFonts w:ascii="Times New Roman" w:hAnsi="Times New Roman" w:cs="Times New Roman"/>
          <w:i/>
          <w:iCs/>
          <w:sz w:val="24"/>
          <w:szCs w:val="24"/>
          <w:lang w:eastAsia="hr-HR"/>
        </w:rPr>
      </w:pPr>
    </w:p>
    <w:p w14:paraId="3B037151" w14:textId="56994B04" w:rsidR="00676B78" w:rsidRPr="00C41483" w:rsidRDefault="00636078" w:rsidP="006B5133">
      <w:pPr>
        <w:spacing w:after="0" w:line="240" w:lineRule="auto"/>
        <w:jc w:val="both"/>
        <w:rPr>
          <w:rFonts w:ascii="Times New Roman" w:hAnsi="Times New Roman" w:cs="Times New Roman"/>
          <w:sz w:val="24"/>
          <w:szCs w:val="24"/>
          <w:lang w:eastAsia="hr-HR"/>
        </w:rPr>
      </w:pPr>
      <w:r w:rsidRPr="00C41483">
        <w:rPr>
          <w:rFonts w:ascii="Times New Roman" w:hAnsi="Times New Roman" w:cs="Times New Roman"/>
          <w:sz w:val="24"/>
          <w:szCs w:val="24"/>
          <w:lang w:eastAsia="hr-HR"/>
        </w:rPr>
        <w:t>(</w:t>
      </w:r>
      <w:r w:rsidR="00EE0FDE" w:rsidRPr="00C41483">
        <w:rPr>
          <w:rFonts w:ascii="Times New Roman" w:hAnsi="Times New Roman" w:cs="Times New Roman"/>
          <w:sz w:val="24"/>
          <w:szCs w:val="24"/>
          <w:lang w:eastAsia="hr-HR"/>
        </w:rPr>
        <w:t>7</w:t>
      </w:r>
      <w:r w:rsidRPr="00C41483">
        <w:rPr>
          <w:rFonts w:ascii="Times New Roman" w:hAnsi="Times New Roman" w:cs="Times New Roman"/>
          <w:sz w:val="24"/>
          <w:szCs w:val="24"/>
          <w:lang w:eastAsia="hr-HR"/>
        </w:rPr>
        <w:t xml:space="preserve">) </w:t>
      </w:r>
      <w:r w:rsidR="00935920" w:rsidRPr="00C41483">
        <w:rPr>
          <w:rFonts w:ascii="Times New Roman" w:hAnsi="Times New Roman" w:cs="Times New Roman"/>
          <w:sz w:val="24"/>
          <w:szCs w:val="24"/>
          <w:lang w:eastAsia="hr-HR"/>
        </w:rPr>
        <w:t>S ciljem educiranja stručnjaka o važnosti uklanjanja građevinskih i drugih prepreka, uzimajući u obzir uvođenje i primjenu načela Univerzalnog dizajna, predstavnici ministarstva nadležnog za graditeljstvo održali su od 2015. godine do danas niz prezentacija, radionica i izlaganja kako bi doprinijeli podizanju svijesti o potrebi osiguranja pristupačnosti građevina, prostorima, informacijskim i komunikacijskim uslugama.</w:t>
      </w:r>
      <w:r w:rsidR="000E6B09" w:rsidRPr="00C41483">
        <w:rPr>
          <w:rFonts w:ascii="Times New Roman" w:hAnsi="Times New Roman" w:cs="Times New Roman"/>
          <w:sz w:val="24"/>
          <w:szCs w:val="24"/>
          <w:lang w:eastAsia="hr-HR"/>
        </w:rPr>
        <w:t xml:space="preserve"> </w:t>
      </w:r>
    </w:p>
    <w:p w14:paraId="62ECF46D" w14:textId="77777777" w:rsidR="00676B78" w:rsidRPr="00C41483" w:rsidRDefault="00676B78" w:rsidP="006B5133">
      <w:pPr>
        <w:spacing w:after="0" w:line="240" w:lineRule="auto"/>
        <w:jc w:val="both"/>
        <w:rPr>
          <w:rFonts w:ascii="Times New Roman" w:hAnsi="Times New Roman" w:cs="Times New Roman"/>
          <w:sz w:val="24"/>
          <w:szCs w:val="24"/>
          <w:lang w:eastAsia="hr-HR"/>
        </w:rPr>
      </w:pPr>
    </w:p>
    <w:p w14:paraId="76538E25" w14:textId="0F93A43B" w:rsidR="00676B78" w:rsidRPr="00C41483" w:rsidRDefault="00676B78" w:rsidP="006B5133">
      <w:pPr>
        <w:spacing w:after="0" w:line="240" w:lineRule="auto"/>
        <w:jc w:val="both"/>
        <w:rPr>
          <w:rFonts w:ascii="Times New Roman" w:hAnsi="Times New Roman" w:cs="Times New Roman"/>
          <w:sz w:val="24"/>
          <w:szCs w:val="24"/>
          <w:lang w:eastAsia="hr-HR"/>
        </w:rPr>
      </w:pPr>
      <w:r w:rsidRPr="00C41483">
        <w:rPr>
          <w:rFonts w:ascii="Times New Roman" w:hAnsi="Times New Roman" w:cs="Times New Roman"/>
          <w:sz w:val="24"/>
          <w:szCs w:val="24"/>
          <w:lang w:eastAsia="hr-HR"/>
        </w:rPr>
        <w:t>(</w:t>
      </w:r>
      <w:r w:rsidR="00EE0FDE" w:rsidRPr="00C41483">
        <w:rPr>
          <w:rFonts w:ascii="Times New Roman" w:hAnsi="Times New Roman" w:cs="Times New Roman"/>
          <w:sz w:val="24"/>
          <w:szCs w:val="24"/>
          <w:lang w:eastAsia="hr-HR"/>
        </w:rPr>
        <w:t>8</w:t>
      </w:r>
      <w:r w:rsidRPr="00C41483">
        <w:rPr>
          <w:rFonts w:ascii="Times New Roman" w:hAnsi="Times New Roman" w:cs="Times New Roman"/>
          <w:sz w:val="24"/>
          <w:szCs w:val="24"/>
          <w:lang w:eastAsia="hr-HR"/>
        </w:rPr>
        <w:t>)</w:t>
      </w:r>
      <w:r w:rsidR="00197F8E" w:rsidRPr="00C41483">
        <w:rPr>
          <w:rFonts w:ascii="Times New Roman" w:hAnsi="Times New Roman" w:cs="Times New Roman"/>
          <w:sz w:val="24"/>
          <w:szCs w:val="24"/>
          <w:lang w:eastAsia="hr-HR"/>
        </w:rPr>
        <w:t xml:space="preserve"> </w:t>
      </w:r>
      <w:r w:rsidR="00EC02FD" w:rsidRPr="00C41483">
        <w:rPr>
          <w:rFonts w:ascii="Times New Roman" w:hAnsi="Times New Roman" w:cs="Times New Roman"/>
          <w:sz w:val="24"/>
          <w:szCs w:val="24"/>
          <w:lang w:eastAsia="hr-HR"/>
        </w:rPr>
        <w:t>Zdravstvene ustanove kontinuirano, sukladno potrebama i mogućnostima investiraju sredstva i poduzimaju mjere radi uklanjanja građevinskih prepreka, za osiguravanje informacijske podrške te za nabavu medicinske opreme za potrebe osoba s invaliditetom. O istom, zdravstvene ustanove podnose godišnja izvješća Ministarstvu zdravstva</w:t>
      </w:r>
      <w:r w:rsidR="00A973F7" w:rsidRPr="00C41483">
        <w:rPr>
          <w:rFonts w:ascii="Times New Roman" w:hAnsi="Times New Roman" w:cs="Times New Roman"/>
          <w:sz w:val="24"/>
          <w:szCs w:val="24"/>
          <w:lang w:eastAsia="hr-HR"/>
        </w:rPr>
        <w:t>.</w:t>
      </w:r>
    </w:p>
    <w:p w14:paraId="4EE60F49" w14:textId="77777777" w:rsidR="00F4167E" w:rsidRPr="00C41483" w:rsidRDefault="00F4167E" w:rsidP="006B5133">
      <w:pPr>
        <w:spacing w:after="0" w:line="240" w:lineRule="auto"/>
        <w:jc w:val="both"/>
        <w:rPr>
          <w:rFonts w:ascii="Times New Roman" w:hAnsi="Times New Roman" w:cs="Times New Roman"/>
          <w:sz w:val="24"/>
          <w:szCs w:val="24"/>
        </w:rPr>
      </w:pPr>
    </w:p>
    <w:p w14:paraId="7D36DD20" w14:textId="3A596F82" w:rsidR="00021374" w:rsidRPr="00C41483" w:rsidRDefault="000E6B09" w:rsidP="006B5133">
      <w:pPr>
        <w:spacing w:after="0" w:line="240" w:lineRule="auto"/>
        <w:jc w:val="both"/>
        <w:rPr>
          <w:rFonts w:ascii="Times New Roman" w:hAnsi="Times New Roman" w:cs="Times New Roman"/>
          <w:sz w:val="24"/>
          <w:szCs w:val="24"/>
          <w:lang w:eastAsia="hr-HR"/>
        </w:rPr>
      </w:pPr>
      <w:r w:rsidRPr="00C41483">
        <w:rPr>
          <w:rFonts w:ascii="Times New Roman" w:hAnsi="Times New Roman" w:cs="Times New Roman"/>
          <w:sz w:val="24"/>
          <w:szCs w:val="24"/>
        </w:rPr>
        <w:t>(</w:t>
      </w:r>
      <w:r w:rsidR="00EE0FDE" w:rsidRPr="00C41483">
        <w:rPr>
          <w:rFonts w:ascii="Times New Roman" w:hAnsi="Times New Roman" w:cs="Times New Roman"/>
          <w:sz w:val="24"/>
          <w:szCs w:val="24"/>
        </w:rPr>
        <w:t>9</w:t>
      </w:r>
      <w:r w:rsidRPr="00C41483">
        <w:rPr>
          <w:rFonts w:ascii="Times New Roman" w:hAnsi="Times New Roman" w:cs="Times New Roman"/>
          <w:sz w:val="24"/>
          <w:szCs w:val="24"/>
        </w:rPr>
        <w:t xml:space="preserve">) </w:t>
      </w:r>
      <w:r w:rsidR="00021374" w:rsidRPr="00C41483">
        <w:rPr>
          <w:rFonts w:ascii="Times New Roman" w:hAnsi="Times New Roman" w:cs="Times New Roman"/>
          <w:sz w:val="24"/>
          <w:szCs w:val="24"/>
        </w:rPr>
        <w:t>J</w:t>
      </w:r>
      <w:r w:rsidR="002A43F0" w:rsidRPr="00C41483">
        <w:rPr>
          <w:rFonts w:ascii="Times New Roman" w:hAnsi="Times New Roman" w:cs="Times New Roman"/>
          <w:sz w:val="24"/>
          <w:szCs w:val="24"/>
        </w:rPr>
        <w:t>LP(R)S</w:t>
      </w:r>
      <w:r w:rsidR="00021374" w:rsidRPr="00C41483">
        <w:rPr>
          <w:rFonts w:ascii="Times New Roman" w:hAnsi="Times New Roman" w:cs="Times New Roman"/>
          <w:sz w:val="24"/>
          <w:szCs w:val="24"/>
        </w:rPr>
        <w:t xml:space="preserve"> u okviru izvještavanja o provedbi mjera Nacionalne </w:t>
      </w:r>
      <w:r w:rsidR="00021374" w:rsidRPr="00C41483">
        <w:rPr>
          <w:rFonts w:ascii="Times New Roman" w:hAnsi="Times New Roman" w:cs="Times New Roman"/>
          <w:color w:val="231F20"/>
          <w:sz w:val="24"/>
          <w:szCs w:val="24"/>
          <w:shd w:val="clear" w:color="auto" w:fill="FFFFFF"/>
        </w:rPr>
        <w:t xml:space="preserve">strategije 2017.-2020., izvještavaju o </w:t>
      </w:r>
      <w:r w:rsidR="00021374" w:rsidRPr="00C41483">
        <w:rPr>
          <w:rFonts w:ascii="Times New Roman" w:hAnsi="Times New Roman" w:cs="Times New Roman"/>
          <w:sz w:val="24"/>
          <w:szCs w:val="24"/>
        </w:rPr>
        <w:t>poduzetim radnjama za osiguravanje pristupačnosti odgojno-obrazovnih ustanova, igrališta i sportskih terena te prilagodbi prijevoza</w:t>
      </w:r>
      <w:r w:rsidR="00D20935" w:rsidRPr="00C41483">
        <w:rPr>
          <w:rFonts w:ascii="Times New Roman" w:hAnsi="Times New Roman" w:cs="Times New Roman"/>
          <w:sz w:val="24"/>
          <w:szCs w:val="24"/>
        </w:rPr>
        <w:t>, a</w:t>
      </w:r>
      <w:r w:rsidR="00021374" w:rsidRPr="00C41483">
        <w:rPr>
          <w:rFonts w:ascii="Times New Roman" w:hAnsi="Times New Roman" w:cs="Times New Roman"/>
          <w:sz w:val="24"/>
          <w:szCs w:val="24"/>
        </w:rPr>
        <w:t xml:space="preserve"> </w:t>
      </w:r>
      <w:r w:rsidR="00D20935" w:rsidRPr="00C41483">
        <w:rPr>
          <w:rFonts w:ascii="Times New Roman" w:hAnsi="Times New Roman" w:cs="Times New Roman"/>
          <w:sz w:val="24"/>
          <w:szCs w:val="24"/>
        </w:rPr>
        <w:t>g</w:t>
      </w:r>
      <w:r w:rsidR="00021374" w:rsidRPr="00C41483">
        <w:rPr>
          <w:rFonts w:ascii="Times New Roman" w:hAnsi="Times New Roman" w:cs="Times New Roman"/>
          <w:sz w:val="24"/>
          <w:szCs w:val="24"/>
        </w:rPr>
        <w:t>odišnja izvješća javno su objavljena.</w:t>
      </w:r>
    </w:p>
    <w:p w14:paraId="58F6F300" w14:textId="77777777" w:rsidR="00EC02FD" w:rsidRPr="00C41483" w:rsidRDefault="00EC02FD" w:rsidP="006B5133">
      <w:pPr>
        <w:spacing w:after="0" w:line="240" w:lineRule="auto"/>
        <w:rPr>
          <w:rFonts w:ascii="Times New Roman" w:hAnsi="Times New Roman" w:cs="Times New Roman"/>
          <w:sz w:val="24"/>
          <w:szCs w:val="24"/>
          <w:lang w:eastAsia="hr-HR"/>
        </w:rPr>
      </w:pPr>
    </w:p>
    <w:p w14:paraId="0D5BDC30" w14:textId="7FA245B0" w:rsidR="00D542B4" w:rsidRPr="00C41483" w:rsidRDefault="00F361C7" w:rsidP="006B5133">
      <w:pPr>
        <w:spacing w:after="0" w:line="240" w:lineRule="auto"/>
        <w:jc w:val="both"/>
        <w:rPr>
          <w:rFonts w:ascii="Times New Roman" w:hAnsi="Times New Roman" w:cs="Times New Roman"/>
          <w:i/>
          <w:iCs/>
          <w:sz w:val="24"/>
          <w:szCs w:val="24"/>
          <w:lang w:eastAsia="hr-HR"/>
        </w:rPr>
      </w:pPr>
      <w:bookmarkStart w:id="11" w:name="_Hlk83813439"/>
      <w:r w:rsidRPr="00C41483">
        <w:rPr>
          <w:rFonts w:ascii="Times New Roman" w:hAnsi="Times New Roman" w:cs="Times New Roman"/>
          <w:i/>
          <w:iCs/>
          <w:sz w:val="24"/>
          <w:szCs w:val="24"/>
          <w:lang w:eastAsia="hr-HR"/>
        </w:rPr>
        <w:t>Pitanje 1</w:t>
      </w:r>
      <w:r w:rsidR="006B381E" w:rsidRPr="00C41483">
        <w:rPr>
          <w:rFonts w:ascii="Times New Roman" w:hAnsi="Times New Roman" w:cs="Times New Roman"/>
          <w:i/>
          <w:iCs/>
          <w:sz w:val="24"/>
          <w:szCs w:val="24"/>
          <w:lang w:eastAsia="hr-HR"/>
        </w:rPr>
        <w:t>c)</w:t>
      </w:r>
    </w:p>
    <w:p w14:paraId="1AF32B14" w14:textId="77777777" w:rsidR="00A973F7" w:rsidRPr="00C41483" w:rsidRDefault="00A973F7" w:rsidP="006B5133">
      <w:pPr>
        <w:widowControl w:val="0"/>
        <w:adjustRightInd w:val="0"/>
        <w:spacing w:after="0" w:line="240" w:lineRule="auto"/>
        <w:jc w:val="both"/>
        <w:textAlignment w:val="baseline"/>
        <w:rPr>
          <w:rFonts w:ascii="Times New Roman" w:eastAsia="Times New Roman" w:hAnsi="Times New Roman" w:cs="Times New Roman"/>
          <w:sz w:val="24"/>
          <w:szCs w:val="24"/>
        </w:rPr>
      </w:pPr>
    </w:p>
    <w:bookmarkEnd w:id="11"/>
    <w:p w14:paraId="22601A00" w14:textId="2F311929" w:rsidR="00DE6084" w:rsidRPr="00C41483" w:rsidRDefault="00636078">
      <w:pPr>
        <w:spacing w:after="0" w:line="240" w:lineRule="auto"/>
        <w:jc w:val="both"/>
        <w:rPr>
          <w:rFonts w:ascii="Times New Roman" w:hAnsi="Times New Roman" w:cs="Times New Roman"/>
          <w:sz w:val="24"/>
          <w:szCs w:val="24"/>
        </w:rPr>
      </w:pPr>
      <w:r w:rsidRPr="00C41483">
        <w:rPr>
          <w:rFonts w:ascii="Times New Roman" w:hAnsi="Times New Roman" w:cs="Times New Roman"/>
          <w:sz w:val="24"/>
          <w:szCs w:val="24"/>
        </w:rPr>
        <w:t>(</w:t>
      </w:r>
      <w:r w:rsidR="00EE0FDE" w:rsidRPr="00C41483">
        <w:rPr>
          <w:rFonts w:ascii="Times New Roman" w:hAnsi="Times New Roman" w:cs="Times New Roman"/>
          <w:sz w:val="24"/>
          <w:szCs w:val="24"/>
        </w:rPr>
        <w:t>10</w:t>
      </w:r>
      <w:r w:rsidRPr="00C41483">
        <w:rPr>
          <w:rFonts w:ascii="Times New Roman" w:hAnsi="Times New Roman" w:cs="Times New Roman"/>
          <w:sz w:val="24"/>
          <w:szCs w:val="24"/>
        </w:rPr>
        <w:t xml:space="preserve">) </w:t>
      </w:r>
      <w:r w:rsidR="008E3BE6" w:rsidRPr="00C41483">
        <w:rPr>
          <w:rFonts w:ascii="Times New Roman" w:hAnsi="Times New Roman" w:cs="Times New Roman"/>
          <w:sz w:val="24"/>
          <w:szCs w:val="24"/>
        </w:rPr>
        <w:t>Ured za udruge V</w:t>
      </w:r>
      <w:r w:rsidR="00D20935" w:rsidRPr="00C41483">
        <w:rPr>
          <w:rFonts w:ascii="Times New Roman" w:hAnsi="Times New Roman" w:cs="Times New Roman"/>
          <w:sz w:val="24"/>
          <w:szCs w:val="24"/>
        </w:rPr>
        <w:t xml:space="preserve">lade </w:t>
      </w:r>
      <w:r w:rsidR="00D0055C" w:rsidRPr="00C41483">
        <w:rPr>
          <w:rFonts w:ascii="Times New Roman" w:hAnsi="Times New Roman" w:cs="Times New Roman"/>
          <w:sz w:val="24"/>
          <w:szCs w:val="24"/>
        </w:rPr>
        <w:t>RH</w:t>
      </w:r>
      <w:r w:rsidR="00D20935" w:rsidRPr="00C41483">
        <w:rPr>
          <w:rFonts w:ascii="Times New Roman" w:hAnsi="Times New Roman" w:cs="Times New Roman"/>
          <w:sz w:val="24"/>
          <w:szCs w:val="24"/>
        </w:rPr>
        <w:t xml:space="preserve"> </w:t>
      </w:r>
      <w:r w:rsidR="008E3BE6" w:rsidRPr="00C41483">
        <w:rPr>
          <w:rFonts w:ascii="Times New Roman" w:hAnsi="Times New Roman" w:cs="Times New Roman"/>
          <w:sz w:val="24"/>
          <w:szCs w:val="24"/>
        </w:rPr>
        <w:t xml:space="preserve">je od 2015. do 2020. objavio ukupno četiri Izvješća o financiranju projekata i programa organizacija civilnog društva. Prema navedenim izvješćima u razdoblju od 2015. do 2018. godine za programe i projekte </w:t>
      </w:r>
      <w:r w:rsidR="008C714A" w:rsidRPr="00C41483">
        <w:rPr>
          <w:rFonts w:ascii="Times New Roman" w:hAnsi="Times New Roman" w:cs="Times New Roman"/>
          <w:sz w:val="24"/>
          <w:szCs w:val="24"/>
        </w:rPr>
        <w:t>UOSI</w:t>
      </w:r>
      <w:r w:rsidR="008E3BE6" w:rsidRPr="00C41483">
        <w:rPr>
          <w:rFonts w:ascii="Times New Roman" w:hAnsi="Times New Roman" w:cs="Times New Roman"/>
          <w:sz w:val="24"/>
          <w:szCs w:val="24"/>
        </w:rPr>
        <w:t xml:space="preserve"> osigurano je i utrošeno ukupno 420.373.216,56 kn (cca 55.312.265,30 EUR) od čega 332.244.412,44 kn za programe i projekte </w:t>
      </w:r>
      <w:r w:rsidR="008C714A" w:rsidRPr="00C41483">
        <w:rPr>
          <w:rFonts w:ascii="Times New Roman" w:hAnsi="Times New Roman" w:cs="Times New Roman"/>
          <w:sz w:val="24"/>
          <w:szCs w:val="24"/>
        </w:rPr>
        <w:t>UOSI</w:t>
      </w:r>
      <w:r w:rsidR="008E3BE6" w:rsidRPr="00C41483">
        <w:rPr>
          <w:rFonts w:ascii="Times New Roman" w:hAnsi="Times New Roman" w:cs="Times New Roman"/>
          <w:sz w:val="24"/>
          <w:szCs w:val="24"/>
        </w:rPr>
        <w:t xml:space="preserve"> gdje su osobe s invaliditetom sudjelovale kao izravna korisnička skupine</w:t>
      </w:r>
      <w:r w:rsidR="00005A91" w:rsidRPr="00C41483">
        <w:rPr>
          <w:rFonts w:ascii="Times New Roman" w:hAnsi="Times New Roman" w:cs="Times New Roman"/>
          <w:sz w:val="24"/>
          <w:szCs w:val="24"/>
        </w:rPr>
        <w:t>,</w:t>
      </w:r>
      <w:r w:rsidR="008E3BE6" w:rsidRPr="00C41483">
        <w:rPr>
          <w:rFonts w:ascii="Times New Roman" w:hAnsi="Times New Roman" w:cs="Times New Roman"/>
          <w:sz w:val="24"/>
          <w:szCs w:val="24"/>
        </w:rPr>
        <w:t xml:space="preserve"> te 88.128.804,12 kn za programe i projekte </w:t>
      </w:r>
      <w:r w:rsidR="008C714A" w:rsidRPr="00C41483">
        <w:rPr>
          <w:rFonts w:ascii="Times New Roman" w:hAnsi="Times New Roman" w:cs="Times New Roman"/>
          <w:sz w:val="24"/>
          <w:szCs w:val="24"/>
        </w:rPr>
        <w:t>UOSI</w:t>
      </w:r>
      <w:r w:rsidR="008E3BE6" w:rsidRPr="00C41483">
        <w:rPr>
          <w:rFonts w:ascii="Times New Roman" w:hAnsi="Times New Roman" w:cs="Times New Roman"/>
          <w:sz w:val="24"/>
          <w:szCs w:val="24"/>
        </w:rPr>
        <w:t xml:space="preserve"> gdje su osobe s invaliditetom sudjelovale kao neizravna korisnička skupina. </w:t>
      </w:r>
      <w:bookmarkStart w:id="12" w:name="_Hlk81827629"/>
      <w:r w:rsidR="008E3BE6" w:rsidRPr="00C41483">
        <w:rPr>
          <w:rFonts w:ascii="Times New Roman" w:hAnsi="Times New Roman" w:cs="Times New Roman"/>
          <w:sz w:val="24"/>
          <w:szCs w:val="24"/>
        </w:rPr>
        <w:t xml:space="preserve">Navedeni programi i projekti udruga osoba s invaliditetom financirali su se iz različitih izvora što uključuje: </w:t>
      </w:r>
      <w:r w:rsidR="008E3BE6" w:rsidRPr="00C41483">
        <w:rPr>
          <w:rFonts w:ascii="Times New Roman" w:eastAsia="Times New Roman" w:hAnsi="Times New Roman" w:cs="Times New Roman"/>
          <w:color w:val="000000"/>
          <w:sz w:val="24"/>
          <w:szCs w:val="24"/>
          <w:lang w:eastAsia="hr-HR"/>
        </w:rPr>
        <w:t xml:space="preserve">sredstva iz proračuna općina, gradova i županija, </w:t>
      </w:r>
      <w:r w:rsidR="007E4494" w:rsidRPr="00C41483">
        <w:rPr>
          <w:rFonts w:ascii="Times New Roman" w:eastAsia="Times New Roman" w:hAnsi="Times New Roman" w:cs="Times New Roman"/>
          <w:color w:val="000000"/>
          <w:sz w:val="24"/>
          <w:szCs w:val="24"/>
          <w:lang w:eastAsia="hr-HR"/>
        </w:rPr>
        <w:t xml:space="preserve">iz državnog proračuna, </w:t>
      </w:r>
      <w:r w:rsidR="008E3BE6" w:rsidRPr="00C41483">
        <w:rPr>
          <w:rFonts w:ascii="Times New Roman" w:eastAsia="Times New Roman" w:hAnsi="Times New Roman" w:cs="Times New Roman"/>
          <w:color w:val="000000"/>
          <w:sz w:val="24"/>
          <w:szCs w:val="24"/>
          <w:lang w:eastAsia="hr-HR"/>
        </w:rPr>
        <w:t xml:space="preserve">iz dijela prihoda od igara na sreću, iz EU fondova, iz prihoda trgovačkih društava u vlasništvu RH i jedinica lokalne samouprave, iz dijela prihoda turističkih zajednica, iz prihoda </w:t>
      </w:r>
      <w:r w:rsidR="007D0DA2" w:rsidRPr="00C41483">
        <w:rPr>
          <w:rFonts w:ascii="Times New Roman" w:eastAsia="Times New Roman" w:hAnsi="Times New Roman" w:cs="Times New Roman"/>
          <w:color w:val="000000"/>
          <w:sz w:val="24"/>
          <w:szCs w:val="24"/>
          <w:lang w:eastAsia="hr-HR"/>
        </w:rPr>
        <w:t>javnog visokog učilišta</w:t>
      </w:r>
      <w:r w:rsidR="008E3BE6" w:rsidRPr="00C41483">
        <w:rPr>
          <w:rFonts w:ascii="Times New Roman" w:eastAsia="Times New Roman" w:hAnsi="Times New Roman" w:cs="Times New Roman"/>
          <w:color w:val="000000"/>
          <w:sz w:val="24"/>
          <w:szCs w:val="24"/>
          <w:lang w:eastAsia="hr-HR"/>
        </w:rPr>
        <w:t xml:space="preserve">, ostali prihodi za posebne namjene, iz dijela prihoda od HRT pristojbe, sredstva javnih ustanova i zaklada, iz prihoda lučkih uprava, iz naknade za zaštitu </w:t>
      </w:r>
      <w:r w:rsidR="008E3BE6" w:rsidRPr="00C41483">
        <w:rPr>
          <w:rFonts w:ascii="Times New Roman" w:hAnsi="Times New Roman" w:cs="Times New Roman"/>
          <w:sz w:val="24"/>
          <w:szCs w:val="24"/>
        </w:rPr>
        <w:t>okoliša, iz naknade za uporabu javnih cesta.</w:t>
      </w:r>
      <w:bookmarkEnd w:id="12"/>
      <w:r w:rsidR="00E206AF" w:rsidRPr="00C41483">
        <w:rPr>
          <w:rFonts w:ascii="Times New Roman" w:hAnsi="Times New Roman" w:cs="Times New Roman"/>
          <w:sz w:val="24"/>
          <w:szCs w:val="24"/>
        </w:rPr>
        <w:t xml:space="preserve"> </w:t>
      </w:r>
      <w:r w:rsidR="00676B78" w:rsidRPr="00C41483">
        <w:rPr>
          <w:rFonts w:ascii="Times New Roman" w:hAnsi="Times New Roman" w:cs="Times New Roman"/>
          <w:sz w:val="24"/>
          <w:szCs w:val="24"/>
        </w:rPr>
        <w:t>I</w:t>
      </w:r>
      <w:r w:rsidR="00DE6084" w:rsidRPr="00C41483">
        <w:rPr>
          <w:rFonts w:ascii="Times New Roman" w:hAnsi="Times New Roman" w:cs="Times New Roman"/>
          <w:sz w:val="24"/>
          <w:szCs w:val="24"/>
        </w:rPr>
        <w:t xml:space="preserve">zvješća o financiranju projekata i programa organizacija civilnog društva u kojima su navedeni i podaci o financiranju projekata i programa organizacija civilnoga društva osoba s invaliditetom koje djeluju na nacionalnoj i lokalnoj razini, </w:t>
      </w:r>
      <w:r w:rsidR="00676B78" w:rsidRPr="00C41483">
        <w:rPr>
          <w:rFonts w:ascii="Times New Roman" w:hAnsi="Times New Roman" w:cs="Times New Roman"/>
          <w:sz w:val="24"/>
          <w:szCs w:val="24"/>
        </w:rPr>
        <w:t>objavljena su n</w:t>
      </w:r>
      <w:r w:rsidR="00DE6084" w:rsidRPr="00C41483">
        <w:rPr>
          <w:rFonts w:ascii="Times New Roman" w:hAnsi="Times New Roman" w:cs="Times New Roman"/>
          <w:sz w:val="24"/>
          <w:szCs w:val="24"/>
        </w:rPr>
        <w:t>a mrežnoj stranici</w:t>
      </w:r>
      <w:r w:rsidR="00676B78" w:rsidRPr="00C41483">
        <w:rPr>
          <w:rFonts w:ascii="Times New Roman" w:hAnsi="Times New Roman" w:cs="Times New Roman"/>
          <w:sz w:val="24"/>
          <w:szCs w:val="24"/>
        </w:rPr>
        <w:t xml:space="preserve"> Ureda</w:t>
      </w:r>
      <w:r w:rsidR="00DE6084" w:rsidRPr="00C41483">
        <w:rPr>
          <w:rFonts w:ascii="Times New Roman" w:hAnsi="Times New Roman" w:cs="Times New Roman"/>
          <w:sz w:val="24"/>
          <w:szCs w:val="24"/>
        </w:rPr>
        <w:t xml:space="preserve">: </w:t>
      </w:r>
      <w:hyperlink r:id="rId12" w:history="1">
        <w:r w:rsidR="00DE6084" w:rsidRPr="00C41483">
          <w:rPr>
            <w:rStyle w:val="Hiperveza"/>
            <w:rFonts w:ascii="Times New Roman" w:hAnsi="Times New Roman" w:cs="Times New Roman"/>
            <w:sz w:val="24"/>
            <w:szCs w:val="24"/>
          </w:rPr>
          <w:t>https://udruge.gov.hr/financiranje-programa-i-projekata-udruga-iz-javnih-izvora/2772</w:t>
        </w:r>
      </w:hyperlink>
      <w:r w:rsidR="00DE6084" w:rsidRPr="00C41483">
        <w:rPr>
          <w:rFonts w:ascii="Times New Roman" w:hAnsi="Times New Roman" w:cs="Times New Roman"/>
          <w:sz w:val="24"/>
          <w:szCs w:val="24"/>
        </w:rPr>
        <w:t>.</w:t>
      </w:r>
    </w:p>
    <w:p w14:paraId="3459B0D0" w14:textId="77777777" w:rsidR="000E6B09" w:rsidRPr="00C41483" w:rsidRDefault="000E6B09" w:rsidP="00D20935">
      <w:pPr>
        <w:spacing w:after="0" w:line="240" w:lineRule="auto"/>
        <w:jc w:val="both"/>
        <w:rPr>
          <w:rFonts w:ascii="Times New Roman" w:eastAsia="Times New Roman" w:hAnsi="Times New Roman" w:cs="Times New Roman"/>
          <w:sz w:val="24"/>
          <w:szCs w:val="24"/>
        </w:rPr>
      </w:pPr>
    </w:p>
    <w:p w14:paraId="585C28E8" w14:textId="588D0BC5" w:rsidR="003928C4" w:rsidRPr="00C41483" w:rsidRDefault="00636078" w:rsidP="00D20935">
      <w:pPr>
        <w:spacing w:after="0" w:line="240" w:lineRule="auto"/>
        <w:jc w:val="both"/>
        <w:rPr>
          <w:rFonts w:ascii="Times New Roman" w:eastAsia="Times New Roman" w:hAnsi="Times New Roman" w:cs="Times New Roman"/>
          <w:sz w:val="24"/>
          <w:szCs w:val="24"/>
        </w:rPr>
      </w:pPr>
      <w:r w:rsidRPr="00C41483">
        <w:rPr>
          <w:rFonts w:ascii="Times New Roman" w:eastAsia="Times New Roman" w:hAnsi="Times New Roman" w:cs="Times New Roman"/>
          <w:sz w:val="24"/>
          <w:szCs w:val="24"/>
        </w:rPr>
        <w:t>(</w:t>
      </w:r>
      <w:r w:rsidR="00EE0FDE" w:rsidRPr="00C41483">
        <w:rPr>
          <w:rFonts w:ascii="Times New Roman" w:eastAsia="Times New Roman" w:hAnsi="Times New Roman" w:cs="Times New Roman"/>
          <w:sz w:val="24"/>
          <w:szCs w:val="24"/>
        </w:rPr>
        <w:t>11)</w:t>
      </w:r>
      <w:r w:rsidRPr="00C41483">
        <w:rPr>
          <w:rFonts w:ascii="Times New Roman" w:eastAsia="Times New Roman" w:hAnsi="Times New Roman" w:cs="Times New Roman"/>
          <w:sz w:val="24"/>
          <w:szCs w:val="24"/>
        </w:rPr>
        <w:t xml:space="preserve"> </w:t>
      </w:r>
      <w:r w:rsidR="003928C4" w:rsidRPr="00C41483">
        <w:rPr>
          <w:rFonts w:ascii="Times New Roman" w:eastAsia="Times New Roman" w:hAnsi="Times New Roman" w:cs="Times New Roman"/>
          <w:sz w:val="24"/>
          <w:szCs w:val="24"/>
        </w:rPr>
        <w:t>U</w:t>
      </w:r>
      <w:r w:rsidR="00D20935" w:rsidRPr="00C41483">
        <w:rPr>
          <w:rFonts w:ascii="Times New Roman" w:eastAsia="Times New Roman" w:hAnsi="Times New Roman" w:cs="Times New Roman"/>
          <w:sz w:val="24"/>
          <w:szCs w:val="24"/>
        </w:rPr>
        <w:t xml:space="preserve">red </w:t>
      </w:r>
      <w:r w:rsidR="00E206AF" w:rsidRPr="00C41483">
        <w:rPr>
          <w:rFonts w:ascii="Times New Roman" w:eastAsia="Times New Roman" w:hAnsi="Times New Roman" w:cs="Times New Roman"/>
          <w:sz w:val="24"/>
          <w:szCs w:val="24"/>
        </w:rPr>
        <w:t xml:space="preserve">za udruge </w:t>
      </w:r>
      <w:r w:rsidR="003928C4" w:rsidRPr="00C41483">
        <w:rPr>
          <w:rFonts w:ascii="Times New Roman" w:eastAsia="Times New Roman" w:hAnsi="Times New Roman" w:cs="Times New Roman"/>
          <w:sz w:val="24"/>
          <w:szCs w:val="24"/>
        </w:rPr>
        <w:t xml:space="preserve">je od 2015. do 2020. godine objavio sedam poziva na dodjelu bespovratnih sredstava iz </w:t>
      </w:r>
      <w:r w:rsidR="009F6295" w:rsidRPr="00C41483">
        <w:rPr>
          <w:rFonts w:ascii="Times New Roman" w:eastAsia="Times New Roman" w:hAnsi="Times New Roman" w:cs="Times New Roman"/>
          <w:sz w:val="24"/>
          <w:szCs w:val="24"/>
        </w:rPr>
        <w:t>ESF-a</w:t>
      </w:r>
      <w:r w:rsidR="003928C4" w:rsidRPr="00C41483">
        <w:rPr>
          <w:rFonts w:ascii="Times New Roman" w:eastAsia="Times New Roman" w:hAnsi="Times New Roman" w:cs="Times New Roman"/>
          <w:sz w:val="24"/>
          <w:szCs w:val="24"/>
        </w:rPr>
        <w:t xml:space="preserve"> te dva poziva iz Švicarsko-hrvatskog programa suradnje. Na </w:t>
      </w:r>
      <w:r w:rsidR="00A973F7" w:rsidRPr="00C41483">
        <w:rPr>
          <w:rFonts w:ascii="Times New Roman" w:eastAsia="Times New Roman" w:hAnsi="Times New Roman" w:cs="Times New Roman"/>
          <w:sz w:val="24"/>
          <w:szCs w:val="24"/>
        </w:rPr>
        <w:t xml:space="preserve">navedene </w:t>
      </w:r>
      <w:r w:rsidR="003928C4" w:rsidRPr="00C41483">
        <w:rPr>
          <w:rFonts w:ascii="Times New Roman" w:eastAsia="Times New Roman" w:hAnsi="Times New Roman" w:cs="Times New Roman"/>
          <w:sz w:val="24"/>
          <w:szCs w:val="24"/>
        </w:rPr>
        <w:t xml:space="preserve">pozive mogle su se prijaviti i </w:t>
      </w:r>
      <w:r w:rsidR="004C76C3" w:rsidRPr="00C41483">
        <w:rPr>
          <w:rFonts w:ascii="Times New Roman" w:eastAsia="Times New Roman" w:hAnsi="Times New Roman" w:cs="Times New Roman"/>
          <w:sz w:val="24"/>
          <w:szCs w:val="24"/>
        </w:rPr>
        <w:t>UOSI</w:t>
      </w:r>
      <w:r w:rsidR="003928C4" w:rsidRPr="00C41483">
        <w:rPr>
          <w:rFonts w:ascii="Times New Roman" w:eastAsia="Times New Roman" w:hAnsi="Times New Roman" w:cs="Times New Roman"/>
          <w:sz w:val="24"/>
          <w:szCs w:val="24"/>
        </w:rPr>
        <w:t>.</w:t>
      </w:r>
      <w:r w:rsidR="002A43F0" w:rsidRPr="00C41483">
        <w:rPr>
          <w:rFonts w:ascii="Times New Roman" w:eastAsia="Times New Roman" w:hAnsi="Times New Roman" w:cs="Times New Roman"/>
          <w:sz w:val="24"/>
          <w:szCs w:val="24"/>
        </w:rPr>
        <w:t xml:space="preserve"> </w:t>
      </w:r>
      <w:r w:rsidR="003928C4" w:rsidRPr="00C41483">
        <w:rPr>
          <w:rFonts w:ascii="Times New Roman" w:eastAsia="Times New Roman" w:hAnsi="Times New Roman" w:cs="Times New Roman"/>
          <w:sz w:val="24"/>
          <w:szCs w:val="24"/>
        </w:rPr>
        <w:t xml:space="preserve">Također, Ured </w:t>
      </w:r>
      <w:r w:rsidR="008E3BE6" w:rsidRPr="00C41483">
        <w:rPr>
          <w:rFonts w:ascii="Times New Roman" w:eastAsia="Times New Roman" w:hAnsi="Times New Roman" w:cs="Times New Roman"/>
          <w:sz w:val="24"/>
          <w:szCs w:val="24"/>
        </w:rPr>
        <w:t>od</w:t>
      </w:r>
      <w:r w:rsidR="003928C4" w:rsidRPr="00C41483">
        <w:rPr>
          <w:rFonts w:ascii="Times New Roman" w:eastAsia="Times New Roman" w:hAnsi="Times New Roman" w:cs="Times New Roman"/>
          <w:sz w:val="24"/>
          <w:szCs w:val="24"/>
        </w:rPr>
        <w:t xml:space="preserve"> 2011. godine raspisuje Javni poziv za podnošenje prijava za sufinanciranje projekata organizacija civilnoga društva ugovorenih u okviru programa EU</w:t>
      </w:r>
      <w:r w:rsidR="008E3BE6" w:rsidRPr="00C41483">
        <w:rPr>
          <w:rFonts w:ascii="Times New Roman" w:eastAsia="Times New Roman" w:hAnsi="Times New Roman" w:cs="Times New Roman"/>
          <w:sz w:val="24"/>
          <w:szCs w:val="24"/>
        </w:rPr>
        <w:t xml:space="preserve"> s ciljem </w:t>
      </w:r>
      <w:r w:rsidR="003928C4" w:rsidRPr="00C41483">
        <w:rPr>
          <w:rFonts w:ascii="Times New Roman" w:eastAsia="Times New Roman" w:hAnsi="Times New Roman" w:cs="Times New Roman"/>
          <w:sz w:val="24"/>
          <w:szCs w:val="24"/>
        </w:rPr>
        <w:t xml:space="preserve">pomoći korisnicima EU projekata u sufinanciranju vlastitog financijskog udjela koje udruge zbog svog neprofitnog djelovanja često ne mogu podmiriti. </w:t>
      </w:r>
      <w:r w:rsidR="008E3BE6" w:rsidRPr="00C41483">
        <w:rPr>
          <w:rFonts w:ascii="Times New Roman" w:eastAsia="Times New Roman" w:hAnsi="Times New Roman" w:cs="Times New Roman"/>
          <w:sz w:val="24"/>
          <w:szCs w:val="24"/>
        </w:rPr>
        <w:t>O</w:t>
      </w:r>
      <w:r w:rsidR="003928C4" w:rsidRPr="00C41483">
        <w:rPr>
          <w:rFonts w:ascii="Times New Roman" w:eastAsia="Times New Roman" w:hAnsi="Times New Roman" w:cs="Times New Roman"/>
          <w:sz w:val="24"/>
          <w:szCs w:val="24"/>
        </w:rPr>
        <w:t>vaj Poziv je i vrlo važan instrument za povlačenje sredstava iz EU fondova na razini cijele R</w:t>
      </w:r>
      <w:r w:rsidR="00905964" w:rsidRPr="00C41483">
        <w:rPr>
          <w:rFonts w:ascii="Times New Roman" w:eastAsia="Times New Roman" w:hAnsi="Times New Roman" w:cs="Times New Roman"/>
          <w:sz w:val="24"/>
          <w:szCs w:val="24"/>
        </w:rPr>
        <w:t>H</w:t>
      </w:r>
      <w:r w:rsidR="003928C4" w:rsidRPr="00C41483">
        <w:rPr>
          <w:rFonts w:ascii="Times New Roman" w:eastAsia="Times New Roman" w:hAnsi="Times New Roman" w:cs="Times New Roman"/>
          <w:sz w:val="24"/>
          <w:szCs w:val="24"/>
        </w:rPr>
        <w:t xml:space="preserve">. Ovim aktivnostima nastoji se doprinijeti i nesmetanom djelovanju </w:t>
      </w:r>
      <w:r w:rsidR="00A973F7" w:rsidRPr="00C41483">
        <w:rPr>
          <w:rFonts w:ascii="Times New Roman" w:eastAsia="Times New Roman" w:hAnsi="Times New Roman" w:cs="Times New Roman"/>
          <w:sz w:val="24"/>
          <w:szCs w:val="24"/>
        </w:rPr>
        <w:t>organizacija civilnog društva</w:t>
      </w:r>
      <w:r w:rsidR="003928C4" w:rsidRPr="00C41483">
        <w:rPr>
          <w:rFonts w:ascii="Times New Roman" w:eastAsia="Times New Roman" w:hAnsi="Times New Roman" w:cs="Times New Roman"/>
          <w:sz w:val="24"/>
          <w:szCs w:val="24"/>
        </w:rPr>
        <w:t xml:space="preserve">, uključujući i djelovanje </w:t>
      </w:r>
      <w:r w:rsidR="00E206AF" w:rsidRPr="00C41483">
        <w:rPr>
          <w:rFonts w:ascii="Times New Roman" w:eastAsia="Times New Roman" w:hAnsi="Times New Roman" w:cs="Times New Roman"/>
          <w:sz w:val="24"/>
          <w:szCs w:val="24"/>
        </w:rPr>
        <w:t>UOSI</w:t>
      </w:r>
      <w:r w:rsidR="003928C4" w:rsidRPr="00C41483">
        <w:rPr>
          <w:rFonts w:ascii="Times New Roman" w:eastAsia="Times New Roman" w:hAnsi="Times New Roman" w:cs="Times New Roman"/>
          <w:sz w:val="24"/>
          <w:szCs w:val="24"/>
        </w:rPr>
        <w:t xml:space="preserve">. Naime, jedna od najvećih prepreka s kojom se brojne organizacije civilnoga društva susreću u provedbi EU projekata vezana je uz sufinanciranje </w:t>
      </w:r>
      <w:r w:rsidR="00E206AF" w:rsidRPr="00C41483">
        <w:rPr>
          <w:rFonts w:ascii="Times New Roman" w:eastAsia="Times New Roman" w:hAnsi="Times New Roman" w:cs="Times New Roman"/>
          <w:sz w:val="24"/>
          <w:szCs w:val="24"/>
        </w:rPr>
        <w:t>jer</w:t>
      </w:r>
      <w:r w:rsidR="003928C4" w:rsidRPr="00C41483">
        <w:rPr>
          <w:rFonts w:ascii="Times New Roman" w:eastAsia="Times New Roman" w:hAnsi="Times New Roman" w:cs="Times New Roman"/>
          <w:sz w:val="24"/>
          <w:szCs w:val="24"/>
        </w:rPr>
        <w:t xml:space="preserve"> </w:t>
      </w:r>
      <w:r w:rsidR="003928C4" w:rsidRPr="00C41483">
        <w:rPr>
          <w:rFonts w:ascii="Times New Roman" w:eastAsia="Times New Roman" w:hAnsi="Times New Roman" w:cs="Times New Roman"/>
          <w:sz w:val="24"/>
          <w:szCs w:val="24"/>
        </w:rPr>
        <w:lastRenderedPageBreak/>
        <w:t>dio sredstava na pojedinom projektu treba osigurati korisnik. U razdoblju od 2015.</w:t>
      </w:r>
      <w:r w:rsidR="00102C9B" w:rsidRPr="00C41483">
        <w:rPr>
          <w:rFonts w:ascii="Times New Roman" w:eastAsia="Times New Roman" w:hAnsi="Times New Roman" w:cs="Times New Roman"/>
          <w:sz w:val="24"/>
          <w:szCs w:val="24"/>
        </w:rPr>
        <w:t xml:space="preserve"> do </w:t>
      </w:r>
      <w:r w:rsidR="003928C4" w:rsidRPr="00C41483">
        <w:rPr>
          <w:rFonts w:ascii="Times New Roman" w:eastAsia="Times New Roman" w:hAnsi="Times New Roman" w:cs="Times New Roman"/>
          <w:sz w:val="24"/>
          <w:szCs w:val="24"/>
        </w:rPr>
        <w:t xml:space="preserve">2020. godine ukupno je 13 </w:t>
      </w:r>
      <w:r w:rsidR="008C714A" w:rsidRPr="00C41483">
        <w:rPr>
          <w:rFonts w:ascii="Times New Roman" w:eastAsia="Times New Roman" w:hAnsi="Times New Roman" w:cs="Times New Roman"/>
          <w:sz w:val="24"/>
          <w:szCs w:val="24"/>
        </w:rPr>
        <w:t>UOSI</w:t>
      </w:r>
      <w:r w:rsidR="003928C4" w:rsidRPr="00C41483">
        <w:rPr>
          <w:rFonts w:ascii="Times New Roman" w:eastAsia="Times New Roman" w:hAnsi="Times New Roman" w:cs="Times New Roman"/>
          <w:sz w:val="24"/>
          <w:szCs w:val="24"/>
        </w:rPr>
        <w:t xml:space="preserve"> ostvarilo sufinanciranje u ukupnom iznosu od 163.808,41 EUR</w:t>
      </w:r>
      <w:r w:rsidR="00C44850" w:rsidRPr="00C41483">
        <w:rPr>
          <w:rFonts w:ascii="Times New Roman" w:eastAsia="Times New Roman" w:hAnsi="Times New Roman" w:cs="Times New Roman"/>
          <w:sz w:val="24"/>
          <w:szCs w:val="24"/>
        </w:rPr>
        <w:t>.</w:t>
      </w:r>
    </w:p>
    <w:p w14:paraId="15D5ACE2" w14:textId="77777777" w:rsidR="00C44850" w:rsidRPr="00C41483" w:rsidRDefault="00C44850" w:rsidP="00DE6084">
      <w:pPr>
        <w:spacing w:after="0" w:line="240" w:lineRule="auto"/>
        <w:jc w:val="both"/>
        <w:rPr>
          <w:rFonts w:ascii="Times New Roman" w:eastAsia="Times New Roman" w:hAnsi="Times New Roman" w:cs="Times New Roman"/>
          <w:sz w:val="24"/>
          <w:szCs w:val="24"/>
        </w:rPr>
      </w:pPr>
    </w:p>
    <w:p w14:paraId="29F0844F" w14:textId="189E9D30" w:rsidR="00DE6084" w:rsidRPr="00C41483" w:rsidRDefault="00636078" w:rsidP="00DE6084">
      <w:pPr>
        <w:spacing w:after="0" w:line="240" w:lineRule="auto"/>
        <w:jc w:val="both"/>
        <w:rPr>
          <w:rFonts w:ascii="Times New Roman" w:eastAsia="Times New Roman" w:hAnsi="Times New Roman" w:cs="Times New Roman"/>
          <w:bCs/>
          <w:i/>
          <w:iCs/>
          <w:sz w:val="24"/>
          <w:szCs w:val="24"/>
          <w:lang w:eastAsia="hr-HR"/>
        </w:rPr>
      </w:pPr>
      <w:r w:rsidRPr="00C41483">
        <w:rPr>
          <w:rFonts w:ascii="Times New Roman" w:eastAsia="Times New Roman" w:hAnsi="Times New Roman" w:cs="Times New Roman"/>
          <w:sz w:val="24"/>
          <w:szCs w:val="24"/>
        </w:rPr>
        <w:t>(</w:t>
      </w:r>
      <w:r w:rsidR="00EE0FDE" w:rsidRPr="00C41483">
        <w:rPr>
          <w:rFonts w:ascii="Times New Roman" w:eastAsia="Times New Roman" w:hAnsi="Times New Roman" w:cs="Times New Roman"/>
          <w:sz w:val="24"/>
          <w:szCs w:val="24"/>
        </w:rPr>
        <w:t>12</w:t>
      </w:r>
      <w:r w:rsidRPr="00C41483">
        <w:rPr>
          <w:rFonts w:ascii="Times New Roman" w:eastAsia="Times New Roman" w:hAnsi="Times New Roman" w:cs="Times New Roman"/>
          <w:sz w:val="24"/>
          <w:szCs w:val="24"/>
        </w:rPr>
        <w:t xml:space="preserve">) </w:t>
      </w:r>
      <w:r w:rsidR="00DE6084" w:rsidRPr="00C41483">
        <w:rPr>
          <w:rFonts w:ascii="Times New Roman" w:eastAsia="Times New Roman" w:hAnsi="Times New Roman" w:cs="Times New Roman"/>
          <w:sz w:val="24"/>
          <w:szCs w:val="24"/>
        </w:rPr>
        <w:t xml:space="preserve">Nacionalna zaklada za razvoj civilnog društva svake godine raspisuje natječaj za dodjelu institucionalne podrške stabilizaciji i/ili razvoju </w:t>
      </w:r>
      <w:r w:rsidR="008C714A" w:rsidRPr="00C41483">
        <w:rPr>
          <w:rFonts w:ascii="Times New Roman" w:eastAsia="Times New Roman" w:hAnsi="Times New Roman" w:cs="Times New Roman"/>
          <w:sz w:val="24"/>
          <w:szCs w:val="24"/>
        </w:rPr>
        <w:t>UOSI</w:t>
      </w:r>
      <w:r w:rsidR="00DE6084" w:rsidRPr="00C41483">
        <w:rPr>
          <w:rFonts w:ascii="Times New Roman" w:eastAsia="Times New Roman" w:hAnsi="Times New Roman" w:cs="Times New Roman"/>
          <w:sz w:val="24"/>
          <w:szCs w:val="24"/>
        </w:rPr>
        <w:t xml:space="preserve"> koje djeluju na lokalnoj razini. Pored navedenog, tijela državne uprave </w:t>
      </w:r>
      <w:r w:rsidR="00CE0612" w:rsidRPr="00C41483">
        <w:rPr>
          <w:rFonts w:ascii="Times New Roman" w:eastAsia="Times New Roman" w:hAnsi="Times New Roman" w:cs="Times New Roman"/>
          <w:sz w:val="24"/>
          <w:szCs w:val="24"/>
        </w:rPr>
        <w:t>u okviru d</w:t>
      </w:r>
      <w:r w:rsidR="00DE6084" w:rsidRPr="00C41483">
        <w:rPr>
          <w:rFonts w:ascii="Times New Roman" w:eastAsia="Times New Roman" w:hAnsi="Times New Roman" w:cs="Times New Roman"/>
          <w:sz w:val="24"/>
          <w:szCs w:val="24"/>
        </w:rPr>
        <w:t xml:space="preserve">odjele </w:t>
      </w:r>
      <w:r w:rsidR="00CE0612" w:rsidRPr="00C41483">
        <w:rPr>
          <w:rFonts w:ascii="Times New Roman" w:eastAsia="Times New Roman" w:hAnsi="Times New Roman" w:cs="Times New Roman"/>
          <w:sz w:val="24"/>
          <w:szCs w:val="24"/>
        </w:rPr>
        <w:t xml:space="preserve">financijskih </w:t>
      </w:r>
      <w:r w:rsidR="00DE6084" w:rsidRPr="00C41483">
        <w:rPr>
          <w:rFonts w:ascii="Times New Roman" w:eastAsia="Times New Roman" w:hAnsi="Times New Roman" w:cs="Times New Roman"/>
          <w:sz w:val="24"/>
          <w:szCs w:val="24"/>
        </w:rPr>
        <w:t>sredstva za projekte i programe udruga</w:t>
      </w:r>
      <w:r w:rsidR="00CE0612" w:rsidRPr="00C41483">
        <w:rPr>
          <w:rFonts w:ascii="Times New Roman" w:eastAsia="Times New Roman" w:hAnsi="Times New Roman" w:cs="Times New Roman"/>
          <w:sz w:val="24"/>
          <w:szCs w:val="24"/>
        </w:rPr>
        <w:t xml:space="preserve"> putem javnih poziva, pored sredst</w:t>
      </w:r>
      <w:r w:rsidR="00E15B2F" w:rsidRPr="00C41483">
        <w:rPr>
          <w:rFonts w:ascii="Times New Roman" w:eastAsia="Times New Roman" w:hAnsi="Times New Roman" w:cs="Times New Roman"/>
          <w:sz w:val="24"/>
          <w:szCs w:val="24"/>
        </w:rPr>
        <w:t>a</w:t>
      </w:r>
      <w:r w:rsidR="00CE0612" w:rsidRPr="00C41483">
        <w:rPr>
          <w:rFonts w:ascii="Times New Roman" w:eastAsia="Times New Roman" w:hAnsi="Times New Roman" w:cs="Times New Roman"/>
          <w:sz w:val="24"/>
          <w:szCs w:val="24"/>
        </w:rPr>
        <w:t xml:space="preserve">va za aktivnosti, u određenom udjelu osiguravaju i sredstva </w:t>
      </w:r>
      <w:r w:rsidR="00DE6084" w:rsidRPr="00C41483">
        <w:rPr>
          <w:rFonts w:ascii="Times New Roman" w:eastAsia="Times New Roman" w:hAnsi="Times New Roman" w:cs="Times New Roman"/>
          <w:sz w:val="24"/>
          <w:szCs w:val="24"/>
        </w:rPr>
        <w:t>za institucionalnu potporu</w:t>
      </w:r>
      <w:r w:rsidR="00CE0612" w:rsidRPr="00C41483">
        <w:rPr>
          <w:rFonts w:ascii="Times New Roman" w:eastAsia="Times New Roman" w:hAnsi="Times New Roman" w:cs="Times New Roman"/>
          <w:sz w:val="24"/>
          <w:szCs w:val="24"/>
        </w:rPr>
        <w:t xml:space="preserve"> udruga.</w:t>
      </w:r>
    </w:p>
    <w:p w14:paraId="181AD616" w14:textId="23AAB97E" w:rsidR="00D542B4" w:rsidRPr="00C41483" w:rsidRDefault="00D542B4" w:rsidP="006B5133">
      <w:pPr>
        <w:spacing w:after="0" w:line="240" w:lineRule="auto"/>
        <w:jc w:val="both"/>
        <w:rPr>
          <w:rFonts w:ascii="Times New Roman" w:eastAsia="Times New Roman" w:hAnsi="Times New Roman" w:cs="Times New Roman"/>
          <w:bCs/>
          <w:sz w:val="24"/>
          <w:szCs w:val="24"/>
          <w:lang w:eastAsia="hr-HR"/>
        </w:rPr>
      </w:pPr>
    </w:p>
    <w:p w14:paraId="5893C9C1" w14:textId="1573C6E6" w:rsidR="00D542B4" w:rsidRPr="00C41483" w:rsidRDefault="00F361C7" w:rsidP="006B5133">
      <w:pPr>
        <w:spacing w:after="0" w:line="240" w:lineRule="auto"/>
        <w:jc w:val="both"/>
        <w:rPr>
          <w:rFonts w:ascii="Times New Roman" w:eastAsia="Times New Roman" w:hAnsi="Times New Roman" w:cs="Times New Roman"/>
          <w:i/>
          <w:iCs/>
          <w:sz w:val="24"/>
          <w:szCs w:val="24"/>
          <w:lang w:eastAsia="hr-HR"/>
        </w:rPr>
      </w:pPr>
      <w:bookmarkStart w:id="13" w:name="_Hlk83813459"/>
      <w:r w:rsidRPr="00C41483">
        <w:rPr>
          <w:rFonts w:ascii="Times New Roman" w:eastAsia="Times New Roman" w:hAnsi="Times New Roman" w:cs="Times New Roman"/>
          <w:bCs/>
          <w:i/>
          <w:iCs/>
          <w:sz w:val="24"/>
          <w:szCs w:val="24"/>
          <w:lang w:eastAsia="hr-HR"/>
        </w:rPr>
        <w:t xml:space="preserve">Pitanje </w:t>
      </w:r>
      <w:r w:rsidR="00D542B4" w:rsidRPr="00C41483">
        <w:rPr>
          <w:rFonts w:ascii="Times New Roman" w:eastAsia="Times New Roman" w:hAnsi="Times New Roman" w:cs="Times New Roman"/>
          <w:bCs/>
          <w:i/>
          <w:iCs/>
          <w:sz w:val="24"/>
          <w:szCs w:val="24"/>
          <w:lang w:eastAsia="hr-HR"/>
        </w:rPr>
        <w:t>2</w:t>
      </w:r>
      <w:bookmarkStart w:id="14" w:name="_Hlk83211164"/>
    </w:p>
    <w:p w14:paraId="710BF122" w14:textId="6904CACA" w:rsidR="008720D4" w:rsidRPr="00C41483" w:rsidRDefault="008720D4" w:rsidP="006B5133">
      <w:pPr>
        <w:spacing w:after="0" w:line="240" w:lineRule="auto"/>
        <w:jc w:val="both"/>
        <w:rPr>
          <w:rFonts w:ascii="Times New Roman" w:eastAsia="Times New Roman" w:hAnsi="Times New Roman" w:cs="Times New Roman"/>
          <w:sz w:val="24"/>
          <w:szCs w:val="24"/>
          <w:lang w:eastAsia="hr-HR"/>
        </w:rPr>
      </w:pPr>
    </w:p>
    <w:bookmarkEnd w:id="13"/>
    <w:p w14:paraId="175893D1" w14:textId="362F1FA5" w:rsidR="00AA445A" w:rsidRPr="00C41483" w:rsidRDefault="00F76E70" w:rsidP="00AA445A">
      <w:pPr>
        <w:spacing w:after="0" w:line="240" w:lineRule="auto"/>
        <w:jc w:val="both"/>
        <w:rPr>
          <w:rFonts w:ascii="Times New Roman" w:eastAsia="Times New Roman" w:hAnsi="Times New Roman" w:cs="Times New Roman"/>
          <w:sz w:val="24"/>
          <w:szCs w:val="24"/>
          <w:lang w:eastAsia="hr-HR"/>
        </w:rPr>
      </w:pPr>
      <w:r w:rsidRPr="00C41483">
        <w:rPr>
          <w:rFonts w:ascii="Times New Roman" w:eastAsia="Times New Roman" w:hAnsi="Times New Roman" w:cs="Times New Roman"/>
          <w:sz w:val="24"/>
          <w:szCs w:val="24"/>
          <w:lang w:eastAsia="hr-HR"/>
        </w:rPr>
        <w:t>(1</w:t>
      </w:r>
      <w:r w:rsidR="00EE0FDE" w:rsidRPr="00C41483">
        <w:rPr>
          <w:rFonts w:ascii="Times New Roman" w:eastAsia="Times New Roman" w:hAnsi="Times New Roman" w:cs="Times New Roman"/>
          <w:sz w:val="24"/>
          <w:szCs w:val="24"/>
          <w:lang w:eastAsia="hr-HR"/>
        </w:rPr>
        <w:t>3</w:t>
      </w:r>
      <w:r w:rsidRPr="00C41483">
        <w:rPr>
          <w:rFonts w:ascii="Times New Roman" w:eastAsia="Times New Roman" w:hAnsi="Times New Roman" w:cs="Times New Roman"/>
          <w:sz w:val="24"/>
          <w:szCs w:val="24"/>
          <w:lang w:eastAsia="hr-HR"/>
        </w:rPr>
        <w:t xml:space="preserve">) </w:t>
      </w:r>
      <w:r w:rsidR="00AA445A" w:rsidRPr="00C41483">
        <w:rPr>
          <w:rFonts w:ascii="Times New Roman" w:eastAsia="Times New Roman" w:hAnsi="Times New Roman" w:cs="Times New Roman"/>
          <w:sz w:val="24"/>
          <w:szCs w:val="24"/>
          <w:lang w:eastAsia="hr-HR"/>
        </w:rPr>
        <w:t xml:space="preserve">Najveći pomaci na ovom području su napravljeni na području </w:t>
      </w:r>
      <w:proofErr w:type="spellStart"/>
      <w:r w:rsidR="00AA445A" w:rsidRPr="00C41483">
        <w:rPr>
          <w:rFonts w:ascii="Times New Roman" w:eastAsia="Times New Roman" w:hAnsi="Times New Roman" w:cs="Times New Roman"/>
          <w:sz w:val="24"/>
          <w:szCs w:val="24"/>
          <w:lang w:eastAsia="hr-HR"/>
        </w:rPr>
        <w:t>dis</w:t>
      </w:r>
      <w:r w:rsidR="00123F11" w:rsidRPr="00C41483">
        <w:rPr>
          <w:rFonts w:ascii="Times New Roman" w:eastAsia="Times New Roman" w:hAnsi="Times New Roman" w:cs="Times New Roman"/>
          <w:sz w:val="24"/>
          <w:szCs w:val="24"/>
          <w:lang w:eastAsia="hr-HR"/>
        </w:rPr>
        <w:t>a</w:t>
      </w:r>
      <w:r w:rsidR="00AA445A" w:rsidRPr="00C41483">
        <w:rPr>
          <w:rFonts w:ascii="Times New Roman" w:eastAsia="Times New Roman" w:hAnsi="Times New Roman" w:cs="Times New Roman"/>
          <w:sz w:val="24"/>
          <w:szCs w:val="24"/>
          <w:lang w:eastAsia="hr-HR"/>
        </w:rPr>
        <w:t>gregiranog</w:t>
      </w:r>
      <w:proofErr w:type="spellEnd"/>
      <w:r w:rsidR="00AA445A" w:rsidRPr="00C41483">
        <w:rPr>
          <w:rFonts w:ascii="Times New Roman" w:eastAsia="Times New Roman" w:hAnsi="Times New Roman" w:cs="Times New Roman"/>
          <w:sz w:val="24"/>
          <w:szCs w:val="24"/>
          <w:lang w:eastAsia="hr-HR"/>
        </w:rPr>
        <w:t xml:space="preserve"> prikupljanja podataka, a aktivnosti koje provodi Ured za ljudska prava i prava nacionalnih manjina pokazale su se kao primjer dobre prakse Vijeća Europe i Agencije EU za ljudska prava (FRA). </w:t>
      </w:r>
    </w:p>
    <w:p w14:paraId="3C2B65A9" w14:textId="77777777" w:rsidR="00AA445A" w:rsidRPr="00C41483" w:rsidRDefault="00AA445A" w:rsidP="00AA445A">
      <w:pPr>
        <w:spacing w:after="0" w:line="240" w:lineRule="auto"/>
        <w:jc w:val="both"/>
        <w:rPr>
          <w:rFonts w:ascii="Times New Roman" w:eastAsia="Times New Roman" w:hAnsi="Times New Roman" w:cs="Times New Roman"/>
          <w:sz w:val="24"/>
          <w:szCs w:val="24"/>
          <w:lang w:eastAsia="hr-HR"/>
        </w:rPr>
      </w:pPr>
    </w:p>
    <w:p w14:paraId="67E7C8BA" w14:textId="08E5CD7B" w:rsidR="00AA445A" w:rsidRPr="00C41483" w:rsidRDefault="00AA445A" w:rsidP="00AA445A">
      <w:pPr>
        <w:spacing w:after="0" w:line="240" w:lineRule="auto"/>
        <w:jc w:val="both"/>
        <w:rPr>
          <w:rFonts w:ascii="Times New Roman" w:eastAsia="Times New Roman" w:hAnsi="Times New Roman" w:cs="Times New Roman"/>
          <w:sz w:val="24"/>
          <w:szCs w:val="24"/>
          <w:lang w:eastAsia="hr-HR"/>
        </w:rPr>
      </w:pPr>
      <w:r w:rsidRPr="00C41483">
        <w:rPr>
          <w:rFonts w:ascii="Times New Roman" w:eastAsia="Times New Roman" w:hAnsi="Times New Roman" w:cs="Times New Roman"/>
          <w:sz w:val="24"/>
          <w:szCs w:val="24"/>
          <w:lang w:eastAsia="hr-HR"/>
        </w:rPr>
        <w:t>(1</w:t>
      </w:r>
      <w:r w:rsidR="00EE0FDE" w:rsidRPr="00C41483">
        <w:rPr>
          <w:rFonts w:ascii="Times New Roman" w:eastAsia="Times New Roman" w:hAnsi="Times New Roman" w:cs="Times New Roman"/>
          <w:sz w:val="24"/>
          <w:szCs w:val="24"/>
          <w:lang w:eastAsia="hr-HR"/>
        </w:rPr>
        <w:t>4</w:t>
      </w:r>
      <w:r w:rsidRPr="00C41483">
        <w:rPr>
          <w:rFonts w:ascii="Times New Roman" w:eastAsia="Times New Roman" w:hAnsi="Times New Roman" w:cs="Times New Roman"/>
          <w:sz w:val="24"/>
          <w:szCs w:val="24"/>
          <w:lang w:eastAsia="hr-HR"/>
        </w:rPr>
        <w:t>) Važan iskorak je napravio HZJZ izradom publikacije „Javnozdravstveni pokazatelji zdravlja Roma u Republici Hrvatskoj temeljem podataka javnozdravstvenih baza i registara“. Prema podacima Hrvatskog registra osoba s invaliditetom, svibanj 2019. godine, ukupno je u RH 3.322 osobe (51,5% muškaraca, 49,5% žena) pripadnika romske manjine što čini 0,6% u populaciji osoba s invaliditetom. Najčešći uzroci tjelesnih oštećenja organizma kod pripadnika romske manjine pripadaju skupini oštećenja središnjeg živčanog i lokomotornog sustava (57%).</w:t>
      </w:r>
    </w:p>
    <w:p w14:paraId="420C7A96" w14:textId="77777777" w:rsidR="00AA445A" w:rsidRPr="00C41483" w:rsidRDefault="00AA445A" w:rsidP="00AA445A">
      <w:pPr>
        <w:spacing w:after="0" w:line="240" w:lineRule="auto"/>
        <w:jc w:val="both"/>
        <w:rPr>
          <w:rFonts w:ascii="Times New Roman" w:eastAsia="Times New Roman" w:hAnsi="Times New Roman" w:cs="Times New Roman"/>
          <w:sz w:val="24"/>
          <w:szCs w:val="24"/>
          <w:lang w:eastAsia="hr-HR"/>
        </w:rPr>
      </w:pPr>
    </w:p>
    <w:p w14:paraId="7C26F007" w14:textId="75F6844A" w:rsidR="00AA445A" w:rsidRPr="00C41483" w:rsidRDefault="00AA445A" w:rsidP="00AA445A">
      <w:pPr>
        <w:spacing w:after="0" w:line="240" w:lineRule="auto"/>
        <w:jc w:val="both"/>
        <w:rPr>
          <w:rFonts w:ascii="Times New Roman" w:eastAsia="Times New Roman" w:hAnsi="Times New Roman" w:cs="Times New Roman"/>
          <w:sz w:val="24"/>
          <w:szCs w:val="24"/>
          <w:lang w:eastAsia="hr-HR"/>
        </w:rPr>
      </w:pPr>
      <w:r w:rsidRPr="00C41483">
        <w:rPr>
          <w:rFonts w:ascii="Times New Roman" w:eastAsia="Times New Roman" w:hAnsi="Times New Roman" w:cs="Times New Roman"/>
          <w:sz w:val="24"/>
          <w:szCs w:val="24"/>
          <w:lang w:eastAsia="hr-HR"/>
        </w:rPr>
        <w:t>(1</w:t>
      </w:r>
      <w:r w:rsidR="00EE0FDE" w:rsidRPr="00C41483">
        <w:rPr>
          <w:rFonts w:ascii="Times New Roman" w:eastAsia="Times New Roman" w:hAnsi="Times New Roman" w:cs="Times New Roman"/>
          <w:sz w:val="24"/>
          <w:szCs w:val="24"/>
          <w:lang w:eastAsia="hr-HR"/>
        </w:rPr>
        <w:t>5</w:t>
      </w:r>
      <w:r w:rsidRPr="00C41483">
        <w:rPr>
          <w:rFonts w:ascii="Times New Roman" w:eastAsia="Times New Roman" w:hAnsi="Times New Roman" w:cs="Times New Roman"/>
          <w:sz w:val="24"/>
          <w:szCs w:val="24"/>
          <w:lang w:eastAsia="hr-HR"/>
        </w:rPr>
        <w:t>) Nacionalna strategija za uključivanje Roma od 2013. do 2020. godine posvetila je posebnu pozornost pripadnicima romske nacionalne manjine s invaliditetom kroz dva posebna cilja usmjerena na zdravstvenu zaštitu i socijalnu skrb. Postignuti rezultati prate se kroz izvješća o provedbi Nacionalne strategije, a detaljnije u prilogu</w:t>
      </w:r>
      <w:r w:rsidR="00FC522D" w:rsidRPr="00C41483">
        <w:rPr>
          <w:rFonts w:ascii="Times New Roman" w:eastAsia="Times New Roman" w:hAnsi="Times New Roman" w:cs="Times New Roman"/>
          <w:sz w:val="24"/>
          <w:szCs w:val="24"/>
          <w:lang w:eastAsia="hr-HR"/>
        </w:rPr>
        <w:t xml:space="preserve"> 2</w:t>
      </w:r>
      <w:r w:rsidR="005F3233">
        <w:rPr>
          <w:rFonts w:ascii="Times New Roman" w:eastAsia="Times New Roman" w:hAnsi="Times New Roman" w:cs="Times New Roman"/>
          <w:sz w:val="24"/>
          <w:szCs w:val="24"/>
          <w:lang w:eastAsia="hr-HR"/>
        </w:rPr>
        <w:t>.</w:t>
      </w:r>
    </w:p>
    <w:p w14:paraId="28A279CA" w14:textId="5D785DBB" w:rsidR="00AA445A" w:rsidRPr="00C41483" w:rsidRDefault="00AA445A" w:rsidP="00AA445A">
      <w:pPr>
        <w:spacing w:after="0" w:line="240" w:lineRule="auto"/>
        <w:jc w:val="both"/>
        <w:rPr>
          <w:rFonts w:ascii="Times New Roman" w:eastAsia="Times New Roman" w:hAnsi="Times New Roman" w:cs="Times New Roman"/>
          <w:sz w:val="24"/>
          <w:szCs w:val="24"/>
          <w:lang w:eastAsia="hr-HR"/>
        </w:rPr>
      </w:pPr>
    </w:p>
    <w:p w14:paraId="0C02547C" w14:textId="532E118D" w:rsidR="00F4167E" w:rsidRPr="00C41483" w:rsidRDefault="00F76E70" w:rsidP="00F4167E">
      <w:pPr>
        <w:spacing w:after="0" w:line="240" w:lineRule="auto"/>
        <w:jc w:val="both"/>
        <w:rPr>
          <w:rFonts w:ascii="Times New Roman" w:eastAsia="Times New Roman" w:hAnsi="Times New Roman" w:cs="Times New Roman"/>
          <w:sz w:val="24"/>
          <w:szCs w:val="24"/>
          <w:lang w:eastAsia="hr-HR"/>
        </w:rPr>
      </w:pPr>
      <w:r w:rsidRPr="00C41483">
        <w:rPr>
          <w:rFonts w:ascii="Times New Roman" w:eastAsia="Times New Roman" w:hAnsi="Times New Roman" w:cs="Times New Roman"/>
          <w:sz w:val="24"/>
          <w:szCs w:val="24"/>
          <w:lang w:eastAsia="hr-HR"/>
        </w:rPr>
        <w:t>(1</w:t>
      </w:r>
      <w:r w:rsidR="00EE0FDE" w:rsidRPr="00C41483">
        <w:rPr>
          <w:rFonts w:ascii="Times New Roman" w:eastAsia="Times New Roman" w:hAnsi="Times New Roman" w:cs="Times New Roman"/>
          <w:sz w:val="24"/>
          <w:szCs w:val="24"/>
          <w:lang w:eastAsia="hr-HR"/>
        </w:rPr>
        <w:t>6</w:t>
      </w:r>
      <w:r w:rsidRPr="00C41483">
        <w:rPr>
          <w:rFonts w:ascii="Times New Roman" w:eastAsia="Times New Roman" w:hAnsi="Times New Roman" w:cs="Times New Roman"/>
          <w:sz w:val="24"/>
          <w:szCs w:val="24"/>
          <w:lang w:eastAsia="hr-HR"/>
        </w:rPr>
        <w:t xml:space="preserve">) </w:t>
      </w:r>
      <w:r w:rsidR="00F4167E" w:rsidRPr="00C41483">
        <w:rPr>
          <w:rFonts w:ascii="Times New Roman" w:eastAsia="Times New Roman" w:hAnsi="Times New Roman" w:cs="Times New Roman"/>
          <w:sz w:val="24"/>
          <w:szCs w:val="24"/>
          <w:lang w:eastAsia="hr-HR"/>
        </w:rPr>
        <w:t>Evaluacija navedene Nacionalne strategije (2014.) bila je temelj za istraživanje baznih podataka projekta „Prikupljanje i praćenje baznih podataka za učinkovitu provedbu Nacionalne strategije za uključivanje Roma“ Više o istraživanju u prilogu</w:t>
      </w:r>
      <w:r w:rsidR="00FC522D" w:rsidRPr="00C41483">
        <w:rPr>
          <w:rFonts w:ascii="Times New Roman" w:eastAsia="Times New Roman" w:hAnsi="Times New Roman" w:cs="Times New Roman"/>
          <w:sz w:val="24"/>
          <w:szCs w:val="24"/>
          <w:lang w:eastAsia="hr-HR"/>
        </w:rPr>
        <w:t xml:space="preserve"> 3</w:t>
      </w:r>
      <w:r w:rsidR="005F3233">
        <w:rPr>
          <w:rFonts w:ascii="Times New Roman" w:eastAsia="Times New Roman" w:hAnsi="Times New Roman" w:cs="Times New Roman"/>
          <w:sz w:val="24"/>
          <w:szCs w:val="24"/>
          <w:lang w:eastAsia="hr-HR"/>
        </w:rPr>
        <w:t>.</w:t>
      </w:r>
    </w:p>
    <w:p w14:paraId="6FB39628" w14:textId="77777777" w:rsidR="00F41461" w:rsidRPr="00C41483" w:rsidRDefault="00F41461" w:rsidP="00F4167E">
      <w:pPr>
        <w:spacing w:after="0" w:line="240" w:lineRule="auto"/>
        <w:jc w:val="both"/>
        <w:rPr>
          <w:rFonts w:ascii="Times New Roman" w:eastAsia="Times New Roman" w:hAnsi="Times New Roman" w:cs="Times New Roman"/>
          <w:sz w:val="24"/>
          <w:szCs w:val="24"/>
          <w:lang w:eastAsia="hr-HR"/>
        </w:rPr>
      </w:pPr>
    </w:p>
    <w:p w14:paraId="5D380838" w14:textId="1ECF7B90" w:rsidR="00B20B07" w:rsidRPr="00C41483" w:rsidRDefault="00636078" w:rsidP="006B5133">
      <w:pPr>
        <w:spacing w:after="0" w:line="240" w:lineRule="auto"/>
        <w:jc w:val="both"/>
        <w:rPr>
          <w:rFonts w:ascii="Times New Roman" w:eastAsia="Times New Roman" w:hAnsi="Times New Roman" w:cs="Times New Roman"/>
          <w:sz w:val="24"/>
          <w:szCs w:val="24"/>
          <w:lang w:eastAsia="hr-HR"/>
        </w:rPr>
      </w:pPr>
      <w:r w:rsidRPr="00C41483">
        <w:rPr>
          <w:rFonts w:ascii="Times New Roman" w:eastAsia="Times New Roman" w:hAnsi="Times New Roman" w:cs="Times New Roman"/>
          <w:sz w:val="24"/>
          <w:szCs w:val="24"/>
          <w:lang w:eastAsia="hr-HR"/>
        </w:rPr>
        <w:t>(1</w:t>
      </w:r>
      <w:r w:rsidR="00EE0FDE" w:rsidRPr="00C41483">
        <w:rPr>
          <w:rFonts w:ascii="Times New Roman" w:eastAsia="Times New Roman" w:hAnsi="Times New Roman" w:cs="Times New Roman"/>
          <w:sz w:val="24"/>
          <w:szCs w:val="24"/>
          <w:lang w:eastAsia="hr-HR"/>
        </w:rPr>
        <w:t>7</w:t>
      </w:r>
      <w:r w:rsidRPr="00C41483">
        <w:rPr>
          <w:rFonts w:ascii="Times New Roman" w:eastAsia="Times New Roman" w:hAnsi="Times New Roman" w:cs="Times New Roman"/>
          <w:sz w:val="24"/>
          <w:szCs w:val="24"/>
          <w:lang w:eastAsia="hr-HR"/>
        </w:rPr>
        <w:t xml:space="preserve">) </w:t>
      </w:r>
      <w:r w:rsidR="00B20B07" w:rsidRPr="00C41483">
        <w:rPr>
          <w:rFonts w:ascii="Times New Roman" w:eastAsia="Times New Roman" w:hAnsi="Times New Roman" w:cs="Times New Roman"/>
          <w:sz w:val="24"/>
          <w:szCs w:val="24"/>
          <w:lang w:eastAsia="hr-HR"/>
        </w:rPr>
        <w:t>Primjeri aktivnosti civilnog društva su natječaj U</w:t>
      </w:r>
      <w:r w:rsidR="00853B60" w:rsidRPr="00C41483">
        <w:rPr>
          <w:rFonts w:ascii="Times New Roman" w:eastAsia="Times New Roman" w:hAnsi="Times New Roman" w:cs="Times New Roman"/>
          <w:sz w:val="24"/>
          <w:szCs w:val="24"/>
          <w:lang w:eastAsia="hr-HR"/>
        </w:rPr>
        <w:t>ZUVRH</w:t>
      </w:r>
      <w:r w:rsidR="00B20B07" w:rsidRPr="00C41483">
        <w:rPr>
          <w:rFonts w:ascii="Times New Roman" w:eastAsia="Times New Roman" w:hAnsi="Times New Roman" w:cs="Times New Roman"/>
          <w:sz w:val="24"/>
          <w:szCs w:val="24"/>
          <w:lang w:eastAsia="hr-HR"/>
        </w:rPr>
        <w:t xml:space="preserve"> „Podrška programima OCD-a u području zagovaranja i motivacije za društveno isključene skupine“ IV. Komponente IPA-a programa “Razvoj ljudskih potencijala“ u sklopu kojeg je 11 organizacija civilnoga društva potpisalo ugovore o dodjeli bespovratnih sredstava za projekte čije su aktivnosti bile usmjerene na poticanje zapošljavanja mladih i osoba s invaliditetom te sudjelovanje ranjivih skupina u procesima odlučivanja i promicanje društvene uključenosti, s posebnim naglaskom na slabije razvijena područja te otoke. Vrijednost ugovorenih projekata </w:t>
      </w:r>
      <w:r w:rsidR="00853B60" w:rsidRPr="00C41483">
        <w:rPr>
          <w:rFonts w:ascii="Times New Roman" w:eastAsia="Times New Roman" w:hAnsi="Times New Roman" w:cs="Times New Roman"/>
          <w:sz w:val="24"/>
          <w:szCs w:val="24"/>
          <w:lang w:eastAsia="hr-HR"/>
        </w:rPr>
        <w:t xml:space="preserve">koji su provođeni tijekom 2016. godine </w:t>
      </w:r>
      <w:r w:rsidR="00B20B07" w:rsidRPr="00C41483">
        <w:rPr>
          <w:rFonts w:ascii="Times New Roman" w:eastAsia="Times New Roman" w:hAnsi="Times New Roman" w:cs="Times New Roman"/>
          <w:sz w:val="24"/>
          <w:szCs w:val="24"/>
          <w:lang w:eastAsia="hr-HR"/>
        </w:rPr>
        <w:t>bila je veća od 10 milijuna kuna.</w:t>
      </w:r>
    </w:p>
    <w:p w14:paraId="60CA7EA2" w14:textId="77777777" w:rsidR="000E6B09" w:rsidRPr="00C41483" w:rsidRDefault="000E6B09" w:rsidP="006B5133">
      <w:pPr>
        <w:spacing w:after="0" w:line="240" w:lineRule="auto"/>
        <w:jc w:val="both"/>
        <w:rPr>
          <w:rFonts w:ascii="Times New Roman" w:eastAsia="Times New Roman" w:hAnsi="Times New Roman" w:cs="Times New Roman"/>
          <w:sz w:val="24"/>
          <w:szCs w:val="24"/>
          <w:lang w:eastAsia="hr-HR"/>
        </w:rPr>
      </w:pPr>
    </w:p>
    <w:p w14:paraId="49A02AAE" w14:textId="31219215" w:rsidR="00B20B07" w:rsidRPr="00C41483" w:rsidRDefault="00636078" w:rsidP="006B5133">
      <w:pPr>
        <w:spacing w:after="0" w:line="240" w:lineRule="auto"/>
        <w:jc w:val="both"/>
        <w:rPr>
          <w:rFonts w:ascii="Times New Roman" w:eastAsia="Times New Roman" w:hAnsi="Times New Roman" w:cs="Times New Roman"/>
          <w:sz w:val="24"/>
          <w:szCs w:val="24"/>
          <w:lang w:eastAsia="hr-HR"/>
        </w:rPr>
      </w:pPr>
      <w:r w:rsidRPr="00C41483">
        <w:rPr>
          <w:rFonts w:ascii="Times New Roman" w:eastAsia="Times New Roman" w:hAnsi="Times New Roman" w:cs="Times New Roman"/>
          <w:sz w:val="24"/>
          <w:szCs w:val="24"/>
          <w:lang w:eastAsia="hr-HR"/>
        </w:rPr>
        <w:t>(</w:t>
      </w:r>
      <w:r w:rsidR="00F76E70" w:rsidRPr="00C41483">
        <w:rPr>
          <w:rFonts w:ascii="Times New Roman" w:eastAsia="Times New Roman" w:hAnsi="Times New Roman" w:cs="Times New Roman"/>
          <w:sz w:val="24"/>
          <w:szCs w:val="24"/>
          <w:lang w:eastAsia="hr-HR"/>
        </w:rPr>
        <w:t>1</w:t>
      </w:r>
      <w:r w:rsidR="00EE0FDE" w:rsidRPr="00C41483">
        <w:rPr>
          <w:rFonts w:ascii="Times New Roman" w:eastAsia="Times New Roman" w:hAnsi="Times New Roman" w:cs="Times New Roman"/>
          <w:sz w:val="24"/>
          <w:szCs w:val="24"/>
          <w:lang w:eastAsia="hr-HR"/>
        </w:rPr>
        <w:t>8</w:t>
      </w:r>
      <w:r w:rsidRPr="00C41483">
        <w:rPr>
          <w:rFonts w:ascii="Times New Roman" w:eastAsia="Times New Roman" w:hAnsi="Times New Roman" w:cs="Times New Roman"/>
          <w:sz w:val="24"/>
          <w:szCs w:val="24"/>
          <w:lang w:eastAsia="hr-HR"/>
        </w:rPr>
        <w:t xml:space="preserve">) </w:t>
      </w:r>
      <w:r w:rsidR="00B20B07" w:rsidRPr="00C41483">
        <w:rPr>
          <w:rFonts w:ascii="Times New Roman" w:eastAsia="Times New Roman" w:hAnsi="Times New Roman" w:cs="Times New Roman"/>
          <w:sz w:val="24"/>
          <w:szCs w:val="24"/>
          <w:lang w:eastAsia="hr-HR"/>
        </w:rPr>
        <w:t xml:space="preserve">Tijekom 2018. godine u provedbi je bilo pet otvorenih Poziva financiranih sredstvima ESF-a osobito relevantnih za pripadnike romske nacionalne manjine: Širenje usluge osobne asistencije; Podrška socijalnom uključivanju i zapošljavanju marginaliziranih skupina; Podrška programima usmjerenim mladima – faza I; Uključivanje djece i mladih u riziku od socijalne isključenosti te osoba s invaliditetom i djece s teškoćama u razvoju kroz šport te Unaprjeđenje usluga za djecu u sustavu ranog i predškolskog odgoja i obrazovanja. </w:t>
      </w:r>
    </w:p>
    <w:p w14:paraId="54736600" w14:textId="77777777" w:rsidR="005329A6" w:rsidRPr="00C41483" w:rsidRDefault="005329A6" w:rsidP="006B5133">
      <w:pPr>
        <w:spacing w:after="0" w:line="240" w:lineRule="auto"/>
        <w:jc w:val="both"/>
        <w:rPr>
          <w:rFonts w:ascii="Times New Roman" w:eastAsia="Times New Roman" w:hAnsi="Times New Roman" w:cs="Times New Roman"/>
          <w:sz w:val="24"/>
          <w:szCs w:val="24"/>
          <w:lang w:eastAsia="hr-HR"/>
        </w:rPr>
      </w:pPr>
    </w:p>
    <w:p w14:paraId="3CC4213F" w14:textId="17281236" w:rsidR="005329A6" w:rsidRPr="00C41483" w:rsidRDefault="005329A6" w:rsidP="005329A6">
      <w:pPr>
        <w:spacing w:after="0" w:line="240" w:lineRule="auto"/>
        <w:jc w:val="both"/>
        <w:rPr>
          <w:rFonts w:ascii="Times New Roman" w:eastAsia="Times New Roman" w:hAnsi="Times New Roman" w:cs="Times New Roman"/>
          <w:sz w:val="24"/>
          <w:szCs w:val="24"/>
          <w:lang w:eastAsia="hr-HR"/>
        </w:rPr>
      </w:pPr>
      <w:r w:rsidRPr="00C41483">
        <w:rPr>
          <w:rFonts w:ascii="Times New Roman" w:eastAsia="Times New Roman" w:hAnsi="Times New Roman" w:cs="Times New Roman"/>
          <w:sz w:val="24"/>
          <w:szCs w:val="24"/>
          <w:lang w:eastAsia="hr-HR"/>
        </w:rPr>
        <w:t>(1</w:t>
      </w:r>
      <w:r w:rsidR="00EE0FDE" w:rsidRPr="00C41483">
        <w:rPr>
          <w:rFonts w:ascii="Times New Roman" w:eastAsia="Times New Roman" w:hAnsi="Times New Roman" w:cs="Times New Roman"/>
          <w:sz w:val="24"/>
          <w:szCs w:val="24"/>
          <w:lang w:eastAsia="hr-HR"/>
        </w:rPr>
        <w:t>9</w:t>
      </w:r>
      <w:r w:rsidRPr="00C41483">
        <w:rPr>
          <w:rFonts w:ascii="Times New Roman" w:eastAsia="Times New Roman" w:hAnsi="Times New Roman" w:cs="Times New Roman"/>
          <w:sz w:val="24"/>
          <w:szCs w:val="24"/>
          <w:lang w:eastAsia="hr-HR"/>
        </w:rPr>
        <w:t xml:space="preserve">) Radi provođenja mjera za osposobljavanje osoblja uključenog u upravljanje i kontrolu ESI fondova na području zakonodavstva Europske unije koje se odnosi na </w:t>
      </w:r>
      <w:proofErr w:type="spellStart"/>
      <w:r w:rsidRPr="00C41483">
        <w:rPr>
          <w:rFonts w:ascii="Times New Roman" w:eastAsia="Times New Roman" w:hAnsi="Times New Roman" w:cs="Times New Roman"/>
          <w:sz w:val="24"/>
          <w:szCs w:val="24"/>
          <w:lang w:eastAsia="hr-HR"/>
        </w:rPr>
        <w:t>antidiskriminaciju</w:t>
      </w:r>
      <w:proofErr w:type="spellEnd"/>
      <w:r w:rsidRPr="00C41483">
        <w:rPr>
          <w:rFonts w:ascii="Times New Roman" w:eastAsia="Times New Roman" w:hAnsi="Times New Roman" w:cs="Times New Roman"/>
          <w:sz w:val="24"/>
          <w:szCs w:val="24"/>
          <w:lang w:eastAsia="hr-HR"/>
        </w:rPr>
        <w:t xml:space="preserve">, ravnopravnost spolova i prava osoba s invaliditetom, Radna skupina je osmislila edukaciju pod </w:t>
      </w:r>
      <w:r w:rsidRPr="00C41483">
        <w:rPr>
          <w:rFonts w:ascii="Times New Roman" w:eastAsia="Times New Roman" w:hAnsi="Times New Roman" w:cs="Times New Roman"/>
          <w:sz w:val="24"/>
          <w:szCs w:val="24"/>
          <w:lang w:eastAsia="hr-HR"/>
        </w:rPr>
        <w:lastRenderedPageBreak/>
        <w:t>nazivom „</w:t>
      </w:r>
      <w:proofErr w:type="spellStart"/>
      <w:r w:rsidRPr="00C41483">
        <w:rPr>
          <w:rFonts w:ascii="Times New Roman" w:eastAsia="Times New Roman" w:hAnsi="Times New Roman" w:cs="Times New Roman"/>
          <w:sz w:val="24"/>
          <w:szCs w:val="24"/>
          <w:lang w:eastAsia="hr-HR"/>
        </w:rPr>
        <w:t>Antidiskriminacija</w:t>
      </w:r>
      <w:proofErr w:type="spellEnd"/>
      <w:r w:rsidRPr="00C41483">
        <w:rPr>
          <w:rFonts w:ascii="Times New Roman" w:eastAsia="Times New Roman" w:hAnsi="Times New Roman" w:cs="Times New Roman"/>
          <w:sz w:val="24"/>
          <w:szCs w:val="24"/>
          <w:lang w:eastAsia="hr-HR"/>
        </w:rPr>
        <w:t>, ravnopravnost spolova i primjena KPOSI u ESI fondovima“</w:t>
      </w:r>
      <w:r w:rsidRPr="00C41483">
        <w:rPr>
          <w:rFonts w:ascii="Times New Roman" w:eastAsia="Times New Roman" w:hAnsi="Times New Roman" w:cs="Times New Roman"/>
          <w:b/>
          <w:bCs/>
          <w:sz w:val="24"/>
          <w:szCs w:val="24"/>
          <w:lang w:eastAsia="hr-HR"/>
        </w:rPr>
        <w:t xml:space="preserve"> </w:t>
      </w:r>
      <w:r w:rsidRPr="00C41483" w:rsidDel="00B12863">
        <w:rPr>
          <w:rFonts w:ascii="Times New Roman" w:eastAsia="Times New Roman" w:hAnsi="Times New Roman" w:cs="Times New Roman"/>
          <w:sz w:val="24"/>
          <w:szCs w:val="24"/>
          <w:lang w:eastAsia="hr-HR"/>
        </w:rPr>
        <w:t>koja obuhvaća osnovne principe ovih triju općih ex-</w:t>
      </w:r>
      <w:proofErr w:type="spellStart"/>
      <w:r w:rsidRPr="00C41483" w:rsidDel="00B12863">
        <w:rPr>
          <w:rFonts w:ascii="Times New Roman" w:eastAsia="Times New Roman" w:hAnsi="Times New Roman" w:cs="Times New Roman"/>
          <w:sz w:val="24"/>
          <w:szCs w:val="24"/>
          <w:lang w:eastAsia="hr-HR"/>
        </w:rPr>
        <w:t>ante</w:t>
      </w:r>
      <w:proofErr w:type="spellEnd"/>
      <w:r w:rsidRPr="00C41483" w:rsidDel="00B12863">
        <w:rPr>
          <w:rFonts w:ascii="Times New Roman" w:eastAsia="Times New Roman" w:hAnsi="Times New Roman" w:cs="Times New Roman"/>
          <w:sz w:val="24"/>
          <w:szCs w:val="24"/>
          <w:lang w:eastAsia="hr-HR"/>
        </w:rPr>
        <w:t xml:space="preserve"> uvjeta, kao i praktične primjere kako prepoznati i boriti se protiv diskriminacije. U provedbi edukacije sudjeluju predstavnici Ureda za ljudska prava i prava nacionalnih manjina, Ureda pučke pravobraniteljice, Ureda za ravnopravnost spolova i ministarstva nadležnog za socijalnu skrb, dok su uvod i poveznicu s ESI fondovima izradili i predaju predstavnici upravljačkih tijela OPKK-a i OPULJP-a. Planiranje i provedba edukacija organizirani su u suradnji s Državnom školom za javnu upravu s kojom je Sporazum o suradnji sklopljen 2015. godine te se od tada redovito provodi ovaj program.</w:t>
      </w:r>
    </w:p>
    <w:p w14:paraId="4F563891" w14:textId="39C4F25C" w:rsidR="005329A6" w:rsidRPr="00C41483" w:rsidRDefault="005329A6" w:rsidP="006B5133">
      <w:pPr>
        <w:spacing w:after="0" w:line="240" w:lineRule="auto"/>
        <w:rPr>
          <w:rFonts w:ascii="Times New Roman" w:eastAsia="Times New Roman" w:hAnsi="Times New Roman" w:cs="Times New Roman"/>
          <w:sz w:val="24"/>
          <w:szCs w:val="24"/>
          <w:lang w:eastAsia="hr-HR"/>
        </w:rPr>
      </w:pPr>
    </w:p>
    <w:bookmarkEnd w:id="14"/>
    <w:p w14:paraId="53928B89" w14:textId="77777777" w:rsidR="005329A6" w:rsidRPr="00C41483" w:rsidRDefault="005329A6" w:rsidP="006B5133">
      <w:pPr>
        <w:spacing w:after="0" w:line="240" w:lineRule="auto"/>
        <w:rPr>
          <w:rFonts w:ascii="Times New Roman" w:eastAsia="Times New Roman" w:hAnsi="Times New Roman" w:cs="Times New Roman"/>
          <w:sz w:val="24"/>
          <w:szCs w:val="24"/>
          <w:lang w:eastAsia="hr-HR"/>
        </w:rPr>
      </w:pPr>
    </w:p>
    <w:p w14:paraId="3F9187B7" w14:textId="77777777" w:rsidR="00D542B4" w:rsidRPr="00C41483" w:rsidRDefault="00D542B4" w:rsidP="006B5133">
      <w:pPr>
        <w:pStyle w:val="Naslov1"/>
        <w:spacing w:before="0" w:line="240" w:lineRule="auto"/>
        <w:rPr>
          <w:rFonts w:ascii="Times New Roman" w:eastAsia="Times New Roman" w:hAnsi="Times New Roman" w:cs="Times New Roman"/>
          <w:b/>
          <w:bCs/>
          <w:i/>
          <w:color w:val="auto"/>
          <w:sz w:val="24"/>
          <w:szCs w:val="24"/>
          <w:lang w:eastAsia="hr-HR"/>
        </w:rPr>
      </w:pPr>
      <w:bookmarkStart w:id="15" w:name="_Toc76630946"/>
      <w:bookmarkStart w:id="16" w:name="_Toc88031186"/>
      <w:r w:rsidRPr="00C41483">
        <w:rPr>
          <w:rFonts w:ascii="Times New Roman" w:eastAsia="Times New Roman" w:hAnsi="Times New Roman" w:cs="Times New Roman"/>
          <w:b/>
          <w:bCs/>
          <w:color w:val="auto"/>
          <w:sz w:val="24"/>
          <w:szCs w:val="24"/>
          <w:lang w:eastAsia="hr-HR"/>
        </w:rPr>
        <w:t>Specifična prava (članci 5. - 30.)</w:t>
      </w:r>
      <w:bookmarkEnd w:id="15"/>
      <w:bookmarkEnd w:id="16"/>
    </w:p>
    <w:p w14:paraId="4D10439B" w14:textId="3AB8B44F" w:rsidR="00D542B4" w:rsidRPr="00C41483" w:rsidRDefault="00D542B4" w:rsidP="006B5133">
      <w:pPr>
        <w:pStyle w:val="Naslov1"/>
        <w:spacing w:before="0" w:line="240" w:lineRule="auto"/>
        <w:rPr>
          <w:rFonts w:ascii="Times New Roman" w:eastAsia="Times New Roman" w:hAnsi="Times New Roman" w:cs="Times New Roman"/>
          <w:b/>
          <w:bCs/>
          <w:color w:val="auto"/>
          <w:sz w:val="24"/>
          <w:szCs w:val="24"/>
          <w:lang w:eastAsia="hr-HR"/>
        </w:rPr>
      </w:pPr>
      <w:bookmarkStart w:id="17" w:name="_Toc76630947"/>
      <w:bookmarkStart w:id="18" w:name="_Toc88031187"/>
      <w:r w:rsidRPr="00C41483">
        <w:rPr>
          <w:rFonts w:ascii="Times New Roman" w:eastAsia="Times New Roman" w:hAnsi="Times New Roman" w:cs="Times New Roman"/>
          <w:b/>
          <w:bCs/>
          <w:color w:val="auto"/>
          <w:sz w:val="24"/>
          <w:szCs w:val="24"/>
          <w:lang w:eastAsia="hr-HR"/>
        </w:rPr>
        <w:t>Jednakost i nediskriminacija (čl. 5.)</w:t>
      </w:r>
      <w:bookmarkEnd w:id="17"/>
      <w:bookmarkEnd w:id="18"/>
    </w:p>
    <w:p w14:paraId="39AF8964" w14:textId="1E369B3F" w:rsidR="007843FE" w:rsidRPr="00C41483" w:rsidRDefault="007843FE" w:rsidP="006B5133">
      <w:pPr>
        <w:spacing w:after="0" w:line="240" w:lineRule="auto"/>
        <w:jc w:val="both"/>
        <w:rPr>
          <w:rFonts w:ascii="Times New Roman" w:eastAsia="Times New Roman" w:hAnsi="Times New Roman" w:cs="Times New Roman"/>
          <w:bCs/>
          <w:i/>
          <w:iCs/>
          <w:sz w:val="24"/>
          <w:szCs w:val="24"/>
          <w:lang w:eastAsia="hr-HR"/>
        </w:rPr>
      </w:pPr>
    </w:p>
    <w:p w14:paraId="2FEE722A" w14:textId="3306CD20" w:rsidR="007843FE" w:rsidRPr="00C41483" w:rsidRDefault="00F361C7" w:rsidP="006B5133">
      <w:pPr>
        <w:spacing w:after="0" w:line="240" w:lineRule="auto"/>
        <w:jc w:val="both"/>
        <w:rPr>
          <w:rFonts w:ascii="Times New Roman" w:eastAsia="Times New Roman" w:hAnsi="Times New Roman" w:cs="Times New Roman"/>
          <w:bCs/>
          <w:i/>
          <w:iCs/>
          <w:sz w:val="24"/>
          <w:szCs w:val="24"/>
          <w:lang w:eastAsia="hr-HR"/>
        </w:rPr>
      </w:pPr>
      <w:bookmarkStart w:id="19" w:name="_Hlk83813510"/>
      <w:r w:rsidRPr="00C41483">
        <w:rPr>
          <w:rFonts w:ascii="Times New Roman" w:eastAsia="Times New Roman" w:hAnsi="Times New Roman" w:cs="Times New Roman"/>
          <w:bCs/>
          <w:i/>
          <w:iCs/>
          <w:sz w:val="24"/>
          <w:szCs w:val="24"/>
          <w:lang w:eastAsia="hr-HR"/>
        </w:rPr>
        <w:t xml:space="preserve">Pitanje </w:t>
      </w:r>
      <w:r w:rsidR="007843FE" w:rsidRPr="00C41483">
        <w:rPr>
          <w:rFonts w:ascii="Times New Roman" w:eastAsia="Times New Roman" w:hAnsi="Times New Roman" w:cs="Times New Roman"/>
          <w:bCs/>
          <w:i/>
          <w:iCs/>
          <w:sz w:val="24"/>
          <w:szCs w:val="24"/>
          <w:lang w:eastAsia="hr-HR"/>
        </w:rPr>
        <w:t>3</w:t>
      </w:r>
    </w:p>
    <w:bookmarkEnd w:id="19"/>
    <w:p w14:paraId="61E94086" w14:textId="77777777" w:rsidR="007843FE" w:rsidRPr="00C41483" w:rsidRDefault="007843FE" w:rsidP="006B5133">
      <w:pPr>
        <w:spacing w:after="0" w:line="240" w:lineRule="auto"/>
        <w:jc w:val="both"/>
        <w:rPr>
          <w:rFonts w:ascii="Times New Roman" w:eastAsia="Times New Roman" w:hAnsi="Times New Roman" w:cs="Times New Roman"/>
          <w:bCs/>
          <w:i/>
          <w:iCs/>
          <w:sz w:val="24"/>
          <w:szCs w:val="24"/>
          <w:lang w:eastAsia="hr-HR"/>
        </w:rPr>
      </w:pPr>
    </w:p>
    <w:p w14:paraId="2521918E" w14:textId="62BBF935" w:rsidR="00C031A9" w:rsidRPr="00C41483" w:rsidRDefault="00636078" w:rsidP="006B5133">
      <w:pPr>
        <w:spacing w:after="0" w:line="240" w:lineRule="auto"/>
        <w:jc w:val="both"/>
        <w:rPr>
          <w:rFonts w:ascii="Times New Roman" w:eastAsia="Times New Roman" w:hAnsi="Times New Roman" w:cs="Times New Roman"/>
          <w:bCs/>
          <w:sz w:val="24"/>
          <w:szCs w:val="24"/>
          <w:lang w:eastAsia="hr-HR"/>
        </w:rPr>
      </w:pPr>
      <w:r w:rsidRPr="00C41483">
        <w:rPr>
          <w:rFonts w:ascii="Times New Roman" w:eastAsia="Times New Roman" w:hAnsi="Times New Roman" w:cs="Times New Roman"/>
          <w:bCs/>
          <w:sz w:val="24"/>
          <w:szCs w:val="24"/>
          <w:lang w:eastAsia="hr-HR"/>
        </w:rPr>
        <w:t>(</w:t>
      </w:r>
      <w:r w:rsidR="00EE0FDE" w:rsidRPr="00C41483">
        <w:rPr>
          <w:rFonts w:ascii="Times New Roman" w:eastAsia="Times New Roman" w:hAnsi="Times New Roman" w:cs="Times New Roman"/>
          <w:bCs/>
          <w:sz w:val="24"/>
          <w:szCs w:val="24"/>
          <w:lang w:eastAsia="hr-HR"/>
        </w:rPr>
        <w:t>20</w:t>
      </w:r>
      <w:r w:rsidRPr="00C41483">
        <w:rPr>
          <w:rFonts w:ascii="Times New Roman" w:eastAsia="Times New Roman" w:hAnsi="Times New Roman" w:cs="Times New Roman"/>
          <w:bCs/>
          <w:sz w:val="24"/>
          <w:szCs w:val="24"/>
          <w:lang w:eastAsia="hr-HR"/>
        </w:rPr>
        <w:t xml:space="preserve">) </w:t>
      </w:r>
      <w:r w:rsidR="00CC5E8B" w:rsidRPr="00C41483">
        <w:rPr>
          <w:rFonts w:ascii="Times New Roman" w:eastAsia="Times New Roman" w:hAnsi="Times New Roman" w:cs="Times New Roman"/>
          <w:bCs/>
          <w:sz w:val="24"/>
          <w:szCs w:val="24"/>
          <w:lang w:eastAsia="hr-HR"/>
        </w:rPr>
        <w:t xml:space="preserve">Podaci </w:t>
      </w:r>
      <w:r w:rsidR="00687FE4" w:rsidRPr="00C41483">
        <w:rPr>
          <w:rFonts w:ascii="Times New Roman" w:eastAsia="Times New Roman" w:hAnsi="Times New Roman" w:cs="Times New Roman"/>
          <w:bCs/>
          <w:sz w:val="24"/>
          <w:szCs w:val="24"/>
          <w:lang w:eastAsia="hr-HR"/>
        </w:rPr>
        <w:t xml:space="preserve">Ministarstva pravosuđa i uprave </w:t>
      </w:r>
      <w:r w:rsidR="00CC5E8B" w:rsidRPr="00C41483">
        <w:rPr>
          <w:rFonts w:ascii="Times New Roman" w:eastAsia="Times New Roman" w:hAnsi="Times New Roman" w:cs="Times New Roman"/>
          <w:bCs/>
          <w:sz w:val="24"/>
          <w:szCs w:val="24"/>
          <w:lang w:eastAsia="hr-HR"/>
        </w:rPr>
        <w:t xml:space="preserve">o slučajevima diskriminacije na osnovi invaliditeta te po područjima javnog života u kojima je došlo do diskriminacije na osnovi invaliditeta nalaze se u </w:t>
      </w:r>
      <w:r w:rsidR="00687FE4" w:rsidRPr="00C41483">
        <w:rPr>
          <w:rFonts w:ascii="Times New Roman" w:eastAsia="Times New Roman" w:hAnsi="Times New Roman" w:cs="Times New Roman"/>
          <w:bCs/>
          <w:sz w:val="24"/>
          <w:szCs w:val="24"/>
          <w:lang w:eastAsia="hr-HR"/>
        </w:rPr>
        <w:t xml:space="preserve">tablicama u </w:t>
      </w:r>
      <w:r w:rsidR="00CC5E8B" w:rsidRPr="00C41483">
        <w:rPr>
          <w:rFonts w:ascii="Times New Roman" w:eastAsia="Times New Roman" w:hAnsi="Times New Roman" w:cs="Times New Roman"/>
          <w:bCs/>
          <w:sz w:val="24"/>
          <w:szCs w:val="24"/>
          <w:lang w:eastAsia="hr-HR"/>
        </w:rPr>
        <w:t>prilo</w:t>
      </w:r>
      <w:r w:rsidR="00A00364" w:rsidRPr="00C41483">
        <w:rPr>
          <w:rFonts w:ascii="Times New Roman" w:eastAsia="Times New Roman" w:hAnsi="Times New Roman" w:cs="Times New Roman"/>
          <w:bCs/>
          <w:sz w:val="24"/>
          <w:szCs w:val="24"/>
          <w:lang w:eastAsia="hr-HR"/>
        </w:rPr>
        <w:t>zima</w:t>
      </w:r>
      <w:r w:rsidR="00FC522D" w:rsidRPr="00C41483">
        <w:rPr>
          <w:rFonts w:ascii="Times New Roman" w:eastAsia="Times New Roman" w:hAnsi="Times New Roman" w:cs="Times New Roman"/>
          <w:bCs/>
          <w:sz w:val="24"/>
          <w:szCs w:val="24"/>
          <w:lang w:eastAsia="hr-HR"/>
        </w:rPr>
        <w:t xml:space="preserve"> 4-8</w:t>
      </w:r>
      <w:r w:rsidR="00DC7201">
        <w:rPr>
          <w:rFonts w:ascii="Times New Roman" w:eastAsia="Times New Roman" w:hAnsi="Times New Roman" w:cs="Times New Roman"/>
          <w:bCs/>
          <w:sz w:val="24"/>
          <w:szCs w:val="24"/>
          <w:lang w:eastAsia="hr-HR"/>
        </w:rPr>
        <w:t>.</w:t>
      </w:r>
    </w:p>
    <w:p w14:paraId="1536EC96" w14:textId="3E045FCA" w:rsidR="0049430C" w:rsidRPr="00C41483" w:rsidRDefault="0049430C" w:rsidP="006B5133">
      <w:pPr>
        <w:spacing w:after="0" w:line="240" w:lineRule="auto"/>
        <w:jc w:val="both"/>
        <w:rPr>
          <w:rFonts w:ascii="Times New Roman" w:eastAsia="Times New Roman" w:hAnsi="Times New Roman" w:cs="Times New Roman"/>
          <w:bCs/>
          <w:sz w:val="24"/>
          <w:szCs w:val="24"/>
          <w:lang w:eastAsia="hr-HR"/>
        </w:rPr>
      </w:pPr>
    </w:p>
    <w:p w14:paraId="3676C764" w14:textId="51B2C14E" w:rsidR="00C031A9" w:rsidRPr="00C41483" w:rsidRDefault="00636078" w:rsidP="006B5133">
      <w:pPr>
        <w:spacing w:after="0" w:line="240" w:lineRule="auto"/>
        <w:jc w:val="both"/>
        <w:rPr>
          <w:rFonts w:ascii="Times New Roman" w:eastAsia="Times New Roman" w:hAnsi="Times New Roman" w:cs="Times New Roman"/>
          <w:bCs/>
          <w:sz w:val="24"/>
          <w:szCs w:val="24"/>
          <w:lang w:eastAsia="hr-HR"/>
        </w:rPr>
      </w:pPr>
      <w:r w:rsidRPr="00C41483">
        <w:rPr>
          <w:rFonts w:ascii="Times New Roman" w:eastAsia="Times New Roman" w:hAnsi="Times New Roman" w:cs="Times New Roman"/>
          <w:bCs/>
          <w:sz w:val="24"/>
          <w:szCs w:val="24"/>
          <w:lang w:eastAsia="hr-HR"/>
        </w:rPr>
        <w:t>(</w:t>
      </w:r>
      <w:r w:rsidR="00EE0FDE" w:rsidRPr="00C41483">
        <w:rPr>
          <w:rFonts w:ascii="Times New Roman" w:eastAsia="Times New Roman" w:hAnsi="Times New Roman" w:cs="Times New Roman"/>
          <w:bCs/>
          <w:sz w:val="24"/>
          <w:szCs w:val="24"/>
          <w:lang w:eastAsia="hr-HR"/>
        </w:rPr>
        <w:t>2</w:t>
      </w:r>
      <w:r w:rsidR="00F76E70" w:rsidRPr="00C41483">
        <w:rPr>
          <w:rFonts w:ascii="Times New Roman" w:eastAsia="Times New Roman" w:hAnsi="Times New Roman" w:cs="Times New Roman"/>
          <w:bCs/>
          <w:sz w:val="24"/>
          <w:szCs w:val="24"/>
          <w:lang w:eastAsia="hr-HR"/>
        </w:rPr>
        <w:t>1</w:t>
      </w:r>
      <w:r w:rsidRPr="00C41483">
        <w:rPr>
          <w:rFonts w:ascii="Times New Roman" w:eastAsia="Times New Roman" w:hAnsi="Times New Roman" w:cs="Times New Roman"/>
          <w:bCs/>
          <w:sz w:val="24"/>
          <w:szCs w:val="24"/>
          <w:lang w:eastAsia="hr-HR"/>
        </w:rPr>
        <w:t xml:space="preserve">) </w:t>
      </w:r>
      <w:r w:rsidR="00C031A9" w:rsidRPr="00C41483">
        <w:rPr>
          <w:rFonts w:ascii="Times New Roman" w:eastAsia="Times New Roman" w:hAnsi="Times New Roman" w:cs="Times New Roman"/>
          <w:bCs/>
          <w:sz w:val="24"/>
          <w:szCs w:val="24"/>
          <w:lang w:eastAsia="hr-HR"/>
        </w:rPr>
        <w:t xml:space="preserve">U odnosu na kazneno djelo povrede ravnopravnosti (čl. 125. </w:t>
      </w:r>
      <w:r w:rsidR="00663EB2" w:rsidRPr="00C41483">
        <w:rPr>
          <w:rFonts w:ascii="Times New Roman" w:eastAsia="Times New Roman" w:hAnsi="Times New Roman" w:cs="Times New Roman"/>
          <w:bCs/>
          <w:sz w:val="24"/>
          <w:szCs w:val="24"/>
          <w:lang w:eastAsia="hr-HR"/>
        </w:rPr>
        <w:t>KZ</w:t>
      </w:r>
      <w:r w:rsidR="00C031A9" w:rsidRPr="00C41483">
        <w:rPr>
          <w:rFonts w:ascii="Times New Roman" w:eastAsia="Times New Roman" w:hAnsi="Times New Roman" w:cs="Times New Roman"/>
          <w:bCs/>
          <w:sz w:val="24"/>
          <w:szCs w:val="24"/>
          <w:lang w:eastAsia="hr-HR"/>
        </w:rPr>
        <w:t>) zbog invaliditeta nije bilo riješenih predmeta.</w:t>
      </w:r>
    </w:p>
    <w:p w14:paraId="31C9766D" w14:textId="18D0FEAE" w:rsidR="00F46DE2" w:rsidRPr="00C41483" w:rsidRDefault="00F46DE2" w:rsidP="006B5133">
      <w:pPr>
        <w:spacing w:after="0" w:line="240" w:lineRule="auto"/>
        <w:jc w:val="both"/>
        <w:rPr>
          <w:rFonts w:ascii="Times New Roman" w:eastAsia="Times New Roman" w:hAnsi="Times New Roman" w:cs="Times New Roman"/>
          <w:bCs/>
          <w:sz w:val="24"/>
          <w:szCs w:val="24"/>
          <w:lang w:eastAsia="hr-HR"/>
        </w:rPr>
      </w:pPr>
    </w:p>
    <w:p w14:paraId="655E084D" w14:textId="0D6F1078" w:rsidR="00F46DE2" w:rsidRPr="00C41483" w:rsidRDefault="00636078" w:rsidP="006B5133">
      <w:pPr>
        <w:spacing w:after="0" w:line="240" w:lineRule="auto"/>
        <w:jc w:val="both"/>
        <w:rPr>
          <w:rFonts w:ascii="Times New Roman" w:hAnsi="Times New Roman" w:cs="Times New Roman"/>
          <w:sz w:val="24"/>
          <w:szCs w:val="24"/>
        </w:rPr>
      </w:pPr>
      <w:r w:rsidRPr="00C41483">
        <w:rPr>
          <w:rFonts w:ascii="Times New Roman" w:hAnsi="Times New Roman" w:cs="Times New Roman"/>
          <w:sz w:val="24"/>
          <w:szCs w:val="24"/>
        </w:rPr>
        <w:t>(</w:t>
      </w:r>
      <w:r w:rsidR="00EE0FDE" w:rsidRPr="00C41483">
        <w:rPr>
          <w:rFonts w:ascii="Times New Roman" w:hAnsi="Times New Roman" w:cs="Times New Roman"/>
          <w:sz w:val="24"/>
          <w:szCs w:val="24"/>
        </w:rPr>
        <w:t>22</w:t>
      </w:r>
      <w:r w:rsidRPr="00C41483">
        <w:rPr>
          <w:rFonts w:ascii="Times New Roman" w:hAnsi="Times New Roman" w:cs="Times New Roman"/>
          <w:sz w:val="24"/>
          <w:szCs w:val="24"/>
        </w:rPr>
        <w:t xml:space="preserve">) </w:t>
      </w:r>
      <w:r w:rsidR="00F46DE2" w:rsidRPr="00C41483">
        <w:rPr>
          <w:rFonts w:ascii="Times New Roman" w:hAnsi="Times New Roman" w:cs="Times New Roman"/>
          <w:sz w:val="24"/>
          <w:szCs w:val="24"/>
        </w:rPr>
        <w:t xml:space="preserve">Zločin iz mržnje, </w:t>
      </w:r>
      <w:r w:rsidR="00CC5E8B" w:rsidRPr="00C41483">
        <w:rPr>
          <w:rFonts w:ascii="Times New Roman" w:hAnsi="Times New Roman" w:cs="Times New Roman"/>
          <w:sz w:val="24"/>
          <w:szCs w:val="24"/>
        </w:rPr>
        <w:t xml:space="preserve">sukladno </w:t>
      </w:r>
      <w:r w:rsidR="00F46DE2" w:rsidRPr="00C41483">
        <w:rPr>
          <w:rFonts w:ascii="Times New Roman" w:hAnsi="Times New Roman" w:cs="Times New Roman"/>
          <w:sz w:val="24"/>
          <w:szCs w:val="24"/>
        </w:rPr>
        <w:t xml:space="preserve">Kaznenom zakonu, predstavlja kazneno djelo počinjeno </w:t>
      </w:r>
      <w:r w:rsidR="007F4C71" w:rsidRPr="00C41483">
        <w:rPr>
          <w:rFonts w:ascii="Times New Roman" w:hAnsi="Times New Roman" w:cs="Times New Roman"/>
          <w:sz w:val="24"/>
          <w:szCs w:val="24"/>
        </w:rPr>
        <w:t xml:space="preserve">između ostalog </w:t>
      </w:r>
      <w:r w:rsidR="00C975DE" w:rsidRPr="00C41483">
        <w:rPr>
          <w:rFonts w:ascii="Times New Roman" w:hAnsi="Times New Roman" w:cs="Times New Roman"/>
          <w:sz w:val="24"/>
          <w:szCs w:val="24"/>
        </w:rPr>
        <w:t xml:space="preserve">i </w:t>
      </w:r>
      <w:r w:rsidR="00F46DE2" w:rsidRPr="00C41483">
        <w:rPr>
          <w:rFonts w:ascii="Times New Roman" w:hAnsi="Times New Roman" w:cs="Times New Roman"/>
          <w:sz w:val="24"/>
          <w:szCs w:val="24"/>
        </w:rPr>
        <w:t xml:space="preserve">zbog invaliditeta. </w:t>
      </w:r>
      <w:r w:rsidR="00DC0940" w:rsidRPr="00C41483">
        <w:rPr>
          <w:rFonts w:ascii="Times New Roman" w:hAnsi="Times New Roman" w:cs="Times New Roman"/>
          <w:sz w:val="24"/>
          <w:szCs w:val="24"/>
        </w:rPr>
        <w:t>G</w:t>
      </w:r>
      <w:r w:rsidR="00F46DE2" w:rsidRPr="00C41483">
        <w:rPr>
          <w:rFonts w:ascii="Times New Roman" w:hAnsi="Times New Roman" w:cs="Times New Roman"/>
          <w:sz w:val="24"/>
          <w:szCs w:val="24"/>
        </w:rPr>
        <w:t xml:space="preserve">odine </w:t>
      </w:r>
      <w:r w:rsidR="00DC0940" w:rsidRPr="00C41483">
        <w:rPr>
          <w:rFonts w:ascii="Times New Roman" w:hAnsi="Times New Roman" w:cs="Times New Roman"/>
          <w:sz w:val="24"/>
          <w:szCs w:val="24"/>
        </w:rPr>
        <w:t xml:space="preserve">2019. </w:t>
      </w:r>
      <w:r w:rsidR="00F46DE2" w:rsidRPr="00C41483">
        <w:rPr>
          <w:rFonts w:ascii="Times New Roman" w:hAnsi="Times New Roman" w:cs="Times New Roman"/>
          <w:sz w:val="24"/>
          <w:szCs w:val="24"/>
        </w:rPr>
        <w:t>registrirana su dva slučaja zločina iz mržnje nad osobama s invaliditetom koje je počinio isti počinitelj</w:t>
      </w:r>
      <w:r w:rsidR="00823A52" w:rsidRPr="00C41483">
        <w:rPr>
          <w:rFonts w:ascii="Times New Roman" w:hAnsi="Times New Roman" w:cs="Times New Roman"/>
          <w:sz w:val="24"/>
          <w:szCs w:val="24"/>
        </w:rPr>
        <w:t xml:space="preserve"> (</w:t>
      </w:r>
      <w:r w:rsidR="00F46DE2" w:rsidRPr="00C41483">
        <w:rPr>
          <w:rFonts w:ascii="Times New Roman" w:hAnsi="Times New Roman" w:cs="Times New Roman"/>
          <w:sz w:val="24"/>
          <w:szCs w:val="24"/>
        </w:rPr>
        <w:t xml:space="preserve">u više navrata </w:t>
      </w:r>
      <w:r w:rsidR="00823A52" w:rsidRPr="00C41483">
        <w:rPr>
          <w:rFonts w:ascii="Times New Roman" w:hAnsi="Times New Roman" w:cs="Times New Roman"/>
          <w:sz w:val="24"/>
          <w:szCs w:val="24"/>
        </w:rPr>
        <w:t xml:space="preserve">je </w:t>
      </w:r>
      <w:r w:rsidR="00F46DE2" w:rsidRPr="00C41483">
        <w:rPr>
          <w:rFonts w:ascii="Times New Roman" w:hAnsi="Times New Roman" w:cs="Times New Roman"/>
          <w:sz w:val="24"/>
          <w:szCs w:val="24"/>
        </w:rPr>
        <w:t>podnosio neutemeljena izvješća državnim tijelima, inspekcijskim službama</w:t>
      </w:r>
      <w:r w:rsidR="00823A52" w:rsidRPr="00C41483">
        <w:rPr>
          <w:rFonts w:ascii="Times New Roman" w:hAnsi="Times New Roman" w:cs="Times New Roman"/>
          <w:sz w:val="24"/>
          <w:szCs w:val="24"/>
        </w:rPr>
        <w:t xml:space="preserve"> i</w:t>
      </w:r>
      <w:r w:rsidR="00F46DE2" w:rsidRPr="00C41483">
        <w:rPr>
          <w:rFonts w:ascii="Times New Roman" w:hAnsi="Times New Roman" w:cs="Times New Roman"/>
          <w:sz w:val="24"/>
          <w:szCs w:val="24"/>
        </w:rPr>
        <w:t xml:space="preserve"> tijelima lokalne samouprave te </w:t>
      </w:r>
      <w:r w:rsidR="00CC5E8B" w:rsidRPr="00C41483">
        <w:rPr>
          <w:rFonts w:ascii="Times New Roman" w:hAnsi="Times New Roman" w:cs="Times New Roman"/>
          <w:sz w:val="24"/>
          <w:szCs w:val="24"/>
        </w:rPr>
        <w:t xml:space="preserve">iskazivao </w:t>
      </w:r>
      <w:r w:rsidR="00F46DE2" w:rsidRPr="00C41483">
        <w:rPr>
          <w:rFonts w:ascii="Times New Roman" w:hAnsi="Times New Roman" w:cs="Times New Roman"/>
          <w:sz w:val="24"/>
          <w:szCs w:val="24"/>
        </w:rPr>
        <w:t>nasilno ponašanje i prijetnje s ciljem poricanja prava</w:t>
      </w:r>
      <w:r w:rsidR="00CC5E8B" w:rsidRPr="00C41483">
        <w:rPr>
          <w:rFonts w:ascii="Times New Roman" w:hAnsi="Times New Roman" w:cs="Times New Roman"/>
          <w:sz w:val="24"/>
          <w:szCs w:val="24"/>
        </w:rPr>
        <w:t xml:space="preserve"> osoba s mentalnim oštećenjem</w:t>
      </w:r>
      <w:r w:rsidR="00F46DE2" w:rsidRPr="00C41483">
        <w:rPr>
          <w:rFonts w:ascii="Times New Roman" w:hAnsi="Times New Roman" w:cs="Times New Roman"/>
          <w:sz w:val="24"/>
          <w:szCs w:val="24"/>
        </w:rPr>
        <w:t xml:space="preserve"> na život u zajednici</w:t>
      </w:r>
      <w:r w:rsidR="00823A52" w:rsidRPr="00C41483">
        <w:rPr>
          <w:rFonts w:ascii="Times New Roman" w:hAnsi="Times New Roman" w:cs="Times New Roman"/>
          <w:sz w:val="24"/>
          <w:szCs w:val="24"/>
        </w:rPr>
        <w:t>)</w:t>
      </w:r>
      <w:r w:rsidR="00F46DE2" w:rsidRPr="00C41483">
        <w:rPr>
          <w:rFonts w:ascii="Times New Roman" w:hAnsi="Times New Roman" w:cs="Times New Roman"/>
          <w:sz w:val="24"/>
          <w:szCs w:val="24"/>
        </w:rPr>
        <w:t xml:space="preserve">. Također </w:t>
      </w:r>
      <w:r w:rsidR="00E91075" w:rsidRPr="00C41483">
        <w:rPr>
          <w:rFonts w:ascii="Times New Roman" w:hAnsi="Times New Roman" w:cs="Times New Roman"/>
          <w:sz w:val="24"/>
          <w:szCs w:val="24"/>
        </w:rPr>
        <w:t xml:space="preserve">je </w:t>
      </w:r>
      <w:r w:rsidR="00F46DE2" w:rsidRPr="00C41483">
        <w:rPr>
          <w:rFonts w:ascii="Times New Roman" w:hAnsi="Times New Roman" w:cs="Times New Roman"/>
          <w:sz w:val="24"/>
          <w:szCs w:val="24"/>
        </w:rPr>
        <w:t xml:space="preserve">prijavljen za kazneno djelo javnog poticanja na nasilje i </w:t>
      </w:r>
      <w:r w:rsidR="00472CB4" w:rsidRPr="00C41483">
        <w:rPr>
          <w:rFonts w:ascii="Times New Roman" w:hAnsi="Times New Roman" w:cs="Times New Roman"/>
          <w:sz w:val="24"/>
          <w:szCs w:val="24"/>
        </w:rPr>
        <w:t>mržnju</w:t>
      </w:r>
      <w:r w:rsidR="00F46DE2" w:rsidRPr="00C41483">
        <w:rPr>
          <w:rFonts w:ascii="Times New Roman" w:hAnsi="Times New Roman" w:cs="Times New Roman"/>
          <w:sz w:val="24"/>
          <w:szCs w:val="24"/>
        </w:rPr>
        <w:t xml:space="preserve"> iz Kaznenog zakona jer je osobno i putem tiska u više navrata poticao na mržnju i netrpeljivost prema osobama s mentalnim oštećenjem.</w:t>
      </w:r>
      <w:r w:rsidR="00E91075" w:rsidRPr="00C41483">
        <w:rPr>
          <w:rFonts w:ascii="Times New Roman" w:hAnsi="Times New Roman" w:cs="Times New Roman"/>
          <w:sz w:val="24"/>
          <w:szCs w:val="24"/>
        </w:rPr>
        <w:t xml:space="preserve"> </w:t>
      </w:r>
    </w:p>
    <w:p w14:paraId="09EE24EF" w14:textId="77777777" w:rsidR="00687FE4" w:rsidRPr="00C41483" w:rsidRDefault="00687FE4" w:rsidP="006B5133">
      <w:pPr>
        <w:spacing w:after="0" w:line="240" w:lineRule="auto"/>
        <w:jc w:val="both"/>
        <w:rPr>
          <w:rFonts w:ascii="Times New Roman" w:hAnsi="Times New Roman" w:cs="Times New Roman"/>
          <w:sz w:val="24"/>
          <w:szCs w:val="24"/>
        </w:rPr>
      </w:pPr>
    </w:p>
    <w:p w14:paraId="63716882" w14:textId="3618C27C" w:rsidR="00F46DE2" w:rsidRPr="00C41483" w:rsidRDefault="00636078" w:rsidP="006B5133">
      <w:pPr>
        <w:spacing w:after="0" w:line="240" w:lineRule="auto"/>
        <w:jc w:val="both"/>
        <w:rPr>
          <w:rFonts w:ascii="Times New Roman" w:hAnsi="Times New Roman" w:cs="Times New Roman"/>
          <w:sz w:val="24"/>
          <w:szCs w:val="24"/>
        </w:rPr>
      </w:pPr>
      <w:r w:rsidRPr="00C41483">
        <w:rPr>
          <w:rFonts w:ascii="Times New Roman" w:hAnsi="Times New Roman" w:cs="Times New Roman"/>
          <w:sz w:val="24"/>
          <w:szCs w:val="24"/>
        </w:rPr>
        <w:t>(2</w:t>
      </w:r>
      <w:r w:rsidR="00EE0FDE" w:rsidRPr="00C41483">
        <w:rPr>
          <w:rFonts w:ascii="Times New Roman" w:hAnsi="Times New Roman" w:cs="Times New Roman"/>
          <w:sz w:val="24"/>
          <w:szCs w:val="24"/>
        </w:rPr>
        <w:t>3</w:t>
      </w:r>
      <w:r w:rsidRPr="00C41483">
        <w:rPr>
          <w:rFonts w:ascii="Times New Roman" w:hAnsi="Times New Roman" w:cs="Times New Roman"/>
          <w:sz w:val="24"/>
          <w:szCs w:val="24"/>
        </w:rPr>
        <w:t>)</w:t>
      </w:r>
      <w:r w:rsidR="00DC0C59" w:rsidRPr="00C41483">
        <w:rPr>
          <w:rFonts w:ascii="Times New Roman" w:hAnsi="Times New Roman" w:cs="Times New Roman"/>
          <w:sz w:val="24"/>
          <w:szCs w:val="24"/>
        </w:rPr>
        <w:t xml:space="preserve"> U sklopu obuka na Policijskoj akademiji, policijski službenici kroz redovite programe na svim obrazovnim razinama (temeljnoj, visokoškolskoj i cjeloživotnoj) stječu znanja i vještine o primjeni policijskih ovlasti i vođenju kriminalističkih istraga u vezi s diskriminacijom osoba s invaliditetom, pravilnoj komunikaciji s osobama s invaliditetom i primjeni policijskih ovlasti u odnosu na sve ranjive i manjinske skupine</w:t>
      </w:r>
      <w:r w:rsidR="00E91075" w:rsidRPr="00C41483">
        <w:rPr>
          <w:rFonts w:ascii="Times New Roman" w:hAnsi="Times New Roman" w:cs="Times New Roman"/>
          <w:sz w:val="24"/>
          <w:szCs w:val="24"/>
        </w:rPr>
        <w:t>.</w:t>
      </w:r>
    </w:p>
    <w:p w14:paraId="674E2809" w14:textId="77777777" w:rsidR="00C031A9" w:rsidRPr="00C41483" w:rsidRDefault="00C031A9" w:rsidP="006B5133">
      <w:pPr>
        <w:spacing w:after="0" w:line="240" w:lineRule="auto"/>
        <w:jc w:val="both"/>
        <w:rPr>
          <w:rFonts w:ascii="Times New Roman" w:eastAsia="Times New Roman" w:hAnsi="Times New Roman" w:cs="Times New Roman"/>
          <w:bCs/>
          <w:i/>
          <w:iCs/>
          <w:sz w:val="24"/>
          <w:szCs w:val="24"/>
          <w:lang w:eastAsia="hr-HR"/>
        </w:rPr>
      </w:pPr>
    </w:p>
    <w:p w14:paraId="55863E44" w14:textId="6F435C26" w:rsidR="00D542B4" w:rsidRPr="00C41483" w:rsidRDefault="00D542B4" w:rsidP="006B5133">
      <w:pPr>
        <w:pStyle w:val="Naslov1"/>
        <w:spacing w:before="0" w:line="240" w:lineRule="auto"/>
        <w:rPr>
          <w:rFonts w:ascii="Times New Roman" w:eastAsia="Times New Roman" w:hAnsi="Times New Roman" w:cs="Times New Roman"/>
          <w:b/>
          <w:bCs/>
          <w:color w:val="auto"/>
          <w:sz w:val="24"/>
          <w:szCs w:val="24"/>
          <w:lang w:eastAsia="hr-HR"/>
        </w:rPr>
      </w:pPr>
      <w:bookmarkStart w:id="20" w:name="_Toc76630948"/>
      <w:bookmarkStart w:id="21" w:name="_Toc88031188"/>
      <w:r w:rsidRPr="00C41483">
        <w:rPr>
          <w:rFonts w:ascii="Times New Roman" w:eastAsia="Times New Roman" w:hAnsi="Times New Roman" w:cs="Times New Roman"/>
          <w:b/>
          <w:bCs/>
          <w:color w:val="auto"/>
          <w:sz w:val="24"/>
          <w:szCs w:val="24"/>
          <w:lang w:eastAsia="hr-HR"/>
        </w:rPr>
        <w:t>Žene s invaliditetom (čl. 6)</w:t>
      </w:r>
      <w:bookmarkEnd w:id="20"/>
      <w:bookmarkEnd w:id="21"/>
    </w:p>
    <w:p w14:paraId="063319AA" w14:textId="77777777" w:rsidR="00165D3A" w:rsidRPr="00C41483" w:rsidRDefault="00165D3A" w:rsidP="006B5133">
      <w:pPr>
        <w:spacing w:after="0" w:line="240" w:lineRule="auto"/>
        <w:rPr>
          <w:rFonts w:ascii="Times New Roman" w:hAnsi="Times New Roman" w:cs="Times New Roman"/>
          <w:sz w:val="24"/>
          <w:szCs w:val="24"/>
          <w:lang w:eastAsia="hr-HR"/>
        </w:rPr>
      </w:pPr>
    </w:p>
    <w:p w14:paraId="1A0F8D19" w14:textId="13A05CC1" w:rsidR="00D542B4" w:rsidRPr="00C41483" w:rsidRDefault="00F361C7" w:rsidP="006B5133">
      <w:pPr>
        <w:spacing w:after="0" w:line="240" w:lineRule="auto"/>
        <w:jc w:val="both"/>
        <w:rPr>
          <w:rFonts w:ascii="Times New Roman" w:eastAsia="Times New Roman" w:hAnsi="Times New Roman" w:cs="Times New Roman"/>
          <w:bCs/>
          <w:i/>
          <w:iCs/>
          <w:sz w:val="24"/>
          <w:szCs w:val="24"/>
          <w:lang w:eastAsia="hr-HR"/>
        </w:rPr>
      </w:pPr>
      <w:bookmarkStart w:id="22" w:name="_Hlk83813644"/>
      <w:r w:rsidRPr="00C41483">
        <w:rPr>
          <w:rFonts w:ascii="Times New Roman" w:eastAsia="Times New Roman" w:hAnsi="Times New Roman" w:cs="Times New Roman"/>
          <w:bCs/>
          <w:i/>
          <w:iCs/>
          <w:sz w:val="24"/>
          <w:szCs w:val="24"/>
          <w:lang w:eastAsia="hr-HR"/>
        </w:rPr>
        <w:t xml:space="preserve">Pitanje </w:t>
      </w:r>
      <w:r w:rsidR="00D542B4" w:rsidRPr="00C41483">
        <w:rPr>
          <w:rFonts w:ascii="Times New Roman" w:eastAsia="Times New Roman" w:hAnsi="Times New Roman" w:cs="Times New Roman"/>
          <w:bCs/>
          <w:i/>
          <w:iCs/>
          <w:sz w:val="24"/>
          <w:szCs w:val="24"/>
          <w:lang w:eastAsia="hr-HR"/>
        </w:rPr>
        <w:t>4</w:t>
      </w:r>
    </w:p>
    <w:bookmarkEnd w:id="22"/>
    <w:p w14:paraId="6485F3C4" w14:textId="3BE983A4" w:rsidR="00662AB4" w:rsidRPr="00C41483" w:rsidRDefault="00662AB4" w:rsidP="006B5133">
      <w:pPr>
        <w:spacing w:after="0" w:line="240" w:lineRule="auto"/>
        <w:jc w:val="both"/>
        <w:rPr>
          <w:rFonts w:ascii="Times New Roman" w:hAnsi="Times New Roman" w:cs="Times New Roman"/>
          <w:sz w:val="24"/>
          <w:szCs w:val="24"/>
        </w:rPr>
      </w:pPr>
    </w:p>
    <w:p w14:paraId="1D84CD30" w14:textId="1D481214" w:rsidR="00E662E9" w:rsidRPr="00C41483" w:rsidRDefault="00636078" w:rsidP="006B5133">
      <w:pPr>
        <w:spacing w:after="0" w:line="240" w:lineRule="auto"/>
        <w:jc w:val="both"/>
        <w:rPr>
          <w:rFonts w:ascii="Times New Roman" w:hAnsi="Times New Roman" w:cs="Times New Roman"/>
          <w:sz w:val="24"/>
          <w:szCs w:val="24"/>
        </w:rPr>
      </w:pPr>
      <w:r w:rsidRPr="00C41483">
        <w:rPr>
          <w:rFonts w:ascii="Times New Roman" w:hAnsi="Times New Roman" w:cs="Times New Roman"/>
          <w:sz w:val="24"/>
          <w:szCs w:val="24"/>
        </w:rPr>
        <w:t>(2</w:t>
      </w:r>
      <w:r w:rsidR="00EE0FDE" w:rsidRPr="00C41483">
        <w:rPr>
          <w:rFonts w:ascii="Times New Roman" w:hAnsi="Times New Roman" w:cs="Times New Roman"/>
          <w:sz w:val="24"/>
          <w:szCs w:val="24"/>
        </w:rPr>
        <w:t>4</w:t>
      </w:r>
      <w:r w:rsidRPr="00C41483">
        <w:rPr>
          <w:rFonts w:ascii="Times New Roman" w:hAnsi="Times New Roman" w:cs="Times New Roman"/>
          <w:sz w:val="24"/>
          <w:szCs w:val="24"/>
        </w:rPr>
        <w:t xml:space="preserve">) </w:t>
      </w:r>
      <w:r w:rsidR="00373958" w:rsidRPr="00C41483">
        <w:rPr>
          <w:rFonts w:ascii="Times New Roman" w:hAnsi="Times New Roman" w:cs="Times New Roman"/>
          <w:sz w:val="24"/>
          <w:szCs w:val="24"/>
        </w:rPr>
        <w:t xml:space="preserve">U tijeku je postupak izrade Nacionalnog plana za ravnopravnost spolova za razdoblje od 2021. do 2027. godine i pripadajućeg Akcijskog plana za razdoblje od 2021. do 2024. godine. Razdoblje koje obuhvaća </w:t>
      </w:r>
      <w:r w:rsidR="000F5353" w:rsidRPr="00C41483">
        <w:rPr>
          <w:rFonts w:ascii="Times New Roman" w:hAnsi="Times New Roman" w:cs="Times New Roman"/>
          <w:sz w:val="24"/>
          <w:szCs w:val="24"/>
        </w:rPr>
        <w:t xml:space="preserve">plan </w:t>
      </w:r>
      <w:r w:rsidR="00373958" w:rsidRPr="00C41483">
        <w:rPr>
          <w:rFonts w:ascii="Times New Roman" w:hAnsi="Times New Roman" w:cs="Times New Roman"/>
          <w:sz w:val="24"/>
          <w:szCs w:val="24"/>
        </w:rPr>
        <w:t xml:space="preserve">podudara se s Europskim semestrom, a </w:t>
      </w:r>
      <w:r w:rsidR="00DC0940" w:rsidRPr="00C41483">
        <w:rPr>
          <w:rFonts w:ascii="Times New Roman" w:hAnsi="Times New Roman" w:cs="Times New Roman"/>
          <w:sz w:val="24"/>
          <w:szCs w:val="24"/>
        </w:rPr>
        <w:t xml:space="preserve">pripadajući </w:t>
      </w:r>
      <w:r w:rsidR="00373958" w:rsidRPr="00C41483">
        <w:rPr>
          <w:rFonts w:ascii="Times New Roman" w:hAnsi="Times New Roman" w:cs="Times New Roman"/>
          <w:sz w:val="24"/>
          <w:szCs w:val="24"/>
        </w:rPr>
        <w:t>akcijsk</w:t>
      </w:r>
      <w:r w:rsidR="00DC0940" w:rsidRPr="00C41483">
        <w:rPr>
          <w:rFonts w:ascii="Times New Roman" w:hAnsi="Times New Roman" w:cs="Times New Roman"/>
          <w:sz w:val="24"/>
          <w:szCs w:val="24"/>
        </w:rPr>
        <w:t>i</w:t>
      </w:r>
      <w:r w:rsidR="00373958" w:rsidRPr="00C41483">
        <w:rPr>
          <w:rFonts w:ascii="Times New Roman" w:hAnsi="Times New Roman" w:cs="Times New Roman"/>
          <w:sz w:val="24"/>
          <w:szCs w:val="24"/>
        </w:rPr>
        <w:t xml:space="preserve"> plan</w:t>
      </w:r>
      <w:r w:rsidR="00DC0940" w:rsidRPr="00C41483">
        <w:rPr>
          <w:rFonts w:ascii="Times New Roman" w:hAnsi="Times New Roman" w:cs="Times New Roman"/>
          <w:sz w:val="24"/>
          <w:szCs w:val="24"/>
        </w:rPr>
        <w:t>ovi</w:t>
      </w:r>
      <w:r w:rsidR="00373958" w:rsidRPr="00C41483">
        <w:rPr>
          <w:rFonts w:ascii="Times New Roman" w:hAnsi="Times New Roman" w:cs="Times New Roman"/>
          <w:sz w:val="24"/>
          <w:szCs w:val="24"/>
        </w:rPr>
        <w:t xml:space="preserve"> bit će usklađen</w:t>
      </w:r>
      <w:r w:rsidR="00DC0940" w:rsidRPr="00C41483">
        <w:rPr>
          <w:rFonts w:ascii="Times New Roman" w:hAnsi="Times New Roman" w:cs="Times New Roman"/>
          <w:sz w:val="24"/>
          <w:szCs w:val="24"/>
        </w:rPr>
        <w:t>i</w:t>
      </w:r>
      <w:r w:rsidR="00373958" w:rsidRPr="00C41483">
        <w:rPr>
          <w:rFonts w:ascii="Times New Roman" w:hAnsi="Times New Roman" w:cs="Times New Roman"/>
          <w:sz w:val="24"/>
          <w:szCs w:val="24"/>
        </w:rPr>
        <w:t xml:space="preserve"> s nacionalnim izbornim ciklusima.</w:t>
      </w:r>
      <w:r w:rsidR="00E662E9" w:rsidRPr="00C41483">
        <w:rPr>
          <w:rFonts w:ascii="Times New Roman" w:hAnsi="Times New Roman" w:cs="Times New Roman"/>
          <w:sz w:val="24"/>
          <w:szCs w:val="24"/>
        </w:rPr>
        <w:t xml:space="preserve"> Nacionalni plan će sadržavati dio koji prepoznaje ranjive skupine žena i druge ranjive skupine u društvu, uključujući žene s invaliditetom. </w:t>
      </w:r>
      <w:r w:rsidR="00F41461" w:rsidRPr="00C41483">
        <w:rPr>
          <w:rFonts w:ascii="Times New Roman" w:hAnsi="Times New Roman" w:cs="Times New Roman"/>
          <w:sz w:val="24"/>
          <w:szCs w:val="24"/>
        </w:rPr>
        <w:t>Više o prethodnom dokumentu u prilogu</w:t>
      </w:r>
      <w:r w:rsidR="00FC522D" w:rsidRPr="00C41483">
        <w:rPr>
          <w:rFonts w:ascii="Times New Roman" w:hAnsi="Times New Roman" w:cs="Times New Roman"/>
          <w:sz w:val="24"/>
          <w:szCs w:val="24"/>
        </w:rPr>
        <w:t xml:space="preserve"> 9</w:t>
      </w:r>
      <w:r w:rsidR="00DC7201">
        <w:rPr>
          <w:rFonts w:ascii="Times New Roman" w:hAnsi="Times New Roman" w:cs="Times New Roman"/>
          <w:sz w:val="24"/>
          <w:szCs w:val="24"/>
        </w:rPr>
        <w:t>.</w:t>
      </w:r>
    </w:p>
    <w:p w14:paraId="7E89B22B" w14:textId="77777777" w:rsidR="00F41461" w:rsidRPr="00C41483" w:rsidRDefault="00F41461" w:rsidP="006B5133">
      <w:pPr>
        <w:spacing w:after="0" w:line="240" w:lineRule="auto"/>
        <w:jc w:val="both"/>
        <w:rPr>
          <w:rFonts w:ascii="Times New Roman" w:hAnsi="Times New Roman" w:cs="Times New Roman"/>
          <w:sz w:val="24"/>
          <w:szCs w:val="24"/>
        </w:rPr>
      </w:pPr>
    </w:p>
    <w:p w14:paraId="6EC85A2D" w14:textId="764EE861" w:rsidR="0061290F" w:rsidRPr="00C41483" w:rsidRDefault="00636078" w:rsidP="006B5133">
      <w:pPr>
        <w:spacing w:after="0" w:line="240" w:lineRule="auto"/>
        <w:jc w:val="both"/>
        <w:rPr>
          <w:rFonts w:ascii="Times New Roman" w:hAnsi="Times New Roman" w:cs="Times New Roman"/>
          <w:sz w:val="24"/>
          <w:szCs w:val="24"/>
        </w:rPr>
      </w:pPr>
      <w:r w:rsidRPr="00C41483">
        <w:rPr>
          <w:rFonts w:ascii="Times New Roman" w:hAnsi="Times New Roman" w:cs="Times New Roman"/>
          <w:sz w:val="24"/>
          <w:szCs w:val="24"/>
        </w:rPr>
        <w:lastRenderedPageBreak/>
        <w:t>(</w:t>
      </w:r>
      <w:r w:rsidR="00F76E70" w:rsidRPr="00C41483">
        <w:rPr>
          <w:rFonts w:ascii="Times New Roman" w:hAnsi="Times New Roman" w:cs="Times New Roman"/>
          <w:sz w:val="24"/>
          <w:szCs w:val="24"/>
        </w:rPr>
        <w:t>2</w:t>
      </w:r>
      <w:r w:rsidR="00F361C7" w:rsidRPr="00C41483">
        <w:rPr>
          <w:rFonts w:ascii="Times New Roman" w:hAnsi="Times New Roman" w:cs="Times New Roman"/>
          <w:sz w:val="24"/>
          <w:szCs w:val="24"/>
        </w:rPr>
        <w:t>5</w:t>
      </w:r>
      <w:r w:rsidRPr="00C41483">
        <w:rPr>
          <w:rFonts w:ascii="Times New Roman" w:hAnsi="Times New Roman" w:cs="Times New Roman"/>
          <w:sz w:val="24"/>
          <w:szCs w:val="24"/>
        </w:rPr>
        <w:t xml:space="preserve">) </w:t>
      </w:r>
      <w:r w:rsidR="00DE7F18" w:rsidRPr="00C41483">
        <w:rPr>
          <w:rFonts w:ascii="Times New Roman" w:hAnsi="Times New Roman" w:cs="Times New Roman"/>
          <w:sz w:val="24"/>
          <w:szCs w:val="24"/>
        </w:rPr>
        <w:t>Ured za ravnopravnost spolova je od 2012. do 2016. godine sudjelovao s Mrežom žena s invaliditetom Saveza osoba s invaliditetom Hrvatske u Kampanj</w:t>
      </w:r>
      <w:r w:rsidR="000F5353" w:rsidRPr="00C41483">
        <w:rPr>
          <w:rFonts w:ascii="Times New Roman" w:hAnsi="Times New Roman" w:cs="Times New Roman"/>
          <w:sz w:val="24"/>
          <w:szCs w:val="24"/>
        </w:rPr>
        <w:t>i</w:t>
      </w:r>
      <w:r w:rsidR="00DE7F18" w:rsidRPr="00C41483">
        <w:rPr>
          <w:rFonts w:ascii="Times New Roman" w:hAnsi="Times New Roman" w:cs="Times New Roman"/>
          <w:sz w:val="24"/>
          <w:szCs w:val="24"/>
        </w:rPr>
        <w:t xml:space="preserve"> „Bijele vrpce“ - „16 dana ženskog aktivizma protiv rodno uvjetovanog nasilja“</w:t>
      </w:r>
      <w:r w:rsidR="00733552" w:rsidRPr="00C41483">
        <w:rPr>
          <w:rFonts w:ascii="Times New Roman" w:hAnsi="Times New Roman" w:cs="Times New Roman"/>
          <w:sz w:val="24"/>
          <w:szCs w:val="24"/>
        </w:rPr>
        <w:t xml:space="preserve"> koja je </w:t>
      </w:r>
      <w:r w:rsidR="00DE7F18" w:rsidRPr="00C41483">
        <w:rPr>
          <w:rFonts w:ascii="Times New Roman" w:hAnsi="Times New Roman" w:cs="Times New Roman"/>
          <w:sz w:val="24"/>
          <w:szCs w:val="24"/>
        </w:rPr>
        <w:t>uključila niz aktivnosti osvještavanja građanstva.</w:t>
      </w:r>
      <w:r w:rsidR="000F5353" w:rsidRPr="00C41483">
        <w:rPr>
          <w:rFonts w:ascii="Times New Roman" w:hAnsi="Times New Roman" w:cs="Times New Roman"/>
          <w:sz w:val="24"/>
          <w:szCs w:val="24"/>
        </w:rPr>
        <w:t xml:space="preserve"> </w:t>
      </w:r>
    </w:p>
    <w:p w14:paraId="69401A0B" w14:textId="77777777" w:rsidR="0061290F" w:rsidRPr="00C41483" w:rsidRDefault="0061290F" w:rsidP="006B5133">
      <w:pPr>
        <w:spacing w:after="0" w:line="240" w:lineRule="auto"/>
        <w:jc w:val="both"/>
        <w:rPr>
          <w:rFonts w:ascii="Times New Roman" w:hAnsi="Times New Roman" w:cs="Times New Roman"/>
          <w:sz w:val="24"/>
          <w:szCs w:val="24"/>
        </w:rPr>
      </w:pPr>
    </w:p>
    <w:p w14:paraId="308D1B25" w14:textId="580473A9" w:rsidR="0061290F" w:rsidRPr="00C41483" w:rsidRDefault="0061290F" w:rsidP="006B5133">
      <w:pPr>
        <w:spacing w:after="0" w:line="240" w:lineRule="auto"/>
        <w:jc w:val="both"/>
        <w:rPr>
          <w:rFonts w:ascii="Times New Roman" w:hAnsi="Times New Roman" w:cs="Times New Roman"/>
          <w:sz w:val="24"/>
          <w:szCs w:val="24"/>
        </w:rPr>
      </w:pPr>
      <w:r w:rsidRPr="00C41483">
        <w:rPr>
          <w:rFonts w:ascii="Times New Roman" w:hAnsi="Times New Roman" w:cs="Times New Roman"/>
          <w:sz w:val="24"/>
          <w:szCs w:val="24"/>
        </w:rPr>
        <w:t>(2</w:t>
      </w:r>
      <w:r w:rsidR="00F361C7" w:rsidRPr="00C41483">
        <w:rPr>
          <w:rFonts w:ascii="Times New Roman" w:hAnsi="Times New Roman" w:cs="Times New Roman"/>
          <w:sz w:val="24"/>
          <w:szCs w:val="24"/>
        </w:rPr>
        <w:t>6</w:t>
      </w:r>
      <w:r w:rsidRPr="00C41483">
        <w:rPr>
          <w:rFonts w:ascii="Times New Roman" w:hAnsi="Times New Roman" w:cs="Times New Roman"/>
          <w:sz w:val="24"/>
          <w:szCs w:val="24"/>
        </w:rPr>
        <w:t>) U cjelokupnom izvještajnom razdoblju Ured za ravnopravnost spolova je s ciljem informiranja, Savezu osoba s invaliditetom Hrvatske dostavio oko 600 raznih publikacija u izdanju Ureda. Više u prilogu</w:t>
      </w:r>
      <w:r w:rsidR="00FC522D" w:rsidRPr="00C41483">
        <w:rPr>
          <w:rFonts w:ascii="Times New Roman" w:hAnsi="Times New Roman" w:cs="Times New Roman"/>
          <w:sz w:val="24"/>
          <w:szCs w:val="24"/>
        </w:rPr>
        <w:t xml:space="preserve"> 10</w:t>
      </w:r>
      <w:r w:rsidR="00DC7201">
        <w:rPr>
          <w:rFonts w:ascii="Times New Roman" w:hAnsi="Times New Roman" w:cs="Times New Roman"/>
          <w:sz w:val="24"/>
          <w:szCs w:val="24"/>
        </w:rPr>
        <w:t>.</w:t>
      </w:r>
    </w:p>
    <w:p w14:paraId="049E53B0" w14:textId="3DD60DA2" w:rsidR="00F41461" w:rsidRDefault="00F41461" w:rsidP="006B5133">
      <w:pPr>
        <w:spacing w:after="0" w:line="240" w:lineRule="auto"/>
        <w:jc w:val="both"/>
        <w:rPr>
          <w:rFonts w:ascii="Times New Roman" w:hAnsi="Times New Roman" w:cs="Times New Roman"/>
          <w:sz w:val="24"/>
          <w:szCs w:val="24"/>
        </w:rPr>
      </w:pPr>
    </w:p>
    <w:p w14:paraId="1A814C23" w14:textId="218D9B5F" w:rsidR="00DE7F18" w:rsidRPr="00C41483" w:rsidRDefault="00636078" w:rsidP="006B5133">
      <w:pPr>
        <w:spacing w:after="0" w:line="240" w:lineRule="auto"/>
        <w:jc w:val="both"/>
        <w:rPr>
          <w:rFonts w:ascii="Times New Roman" w:hAnsi="Times New Roman" w:cs="Times New Roman"/>
          <w:sz w:val="24"/>
          <w:szCs w:val="24"/>
        </w:rPr>
      </w:pPr>
      <w:r w:rsidRPr="00C41483">
        <w:rPr>
          <w:rFonts w:ascii="Times New Roman" w:hAnsi="Times New Roman" w:cs="Times New Roman"/>
          <w:sz w:val="24"/>
          <w:szCs w:val="24"/>
        </w:rPr>
        <w:t>(</w:t>
      </w:r>
      <w:r w:rsidR="00F41461" w:rsidRPr="00C41483">
        <w:rPr>
          <w:rFonts w:ascii="Times New Roman" w:hAnsi="Times New Roman" w:cs="Times New Roman"/>
          <w:sz w:val="24"/>
          <w:szCs w:val="24"/>
        </w:rPr>
        <w:t>2</w:t>
      </w:r>
      <w:r w:rsidR="00F361C7" w:rsidRPr="00C41483">
        <w:rPr>
          <w:rFonts w:ascii="Times New Roman" w:hAnsi="Times New Roman" w:cs="Times New Roman"/>
          <w:sz w:val="24"/>
          <w:szCs w:val="24"/>
        </w:rPr>
        <w:t>7</w:t>
      </w:r>
      <w:r w:rsidRPr="00C41483">
        <w:rPr>
          <w:rFonts w:ascii="Times New Roman" w:hAnsi="Times New Roman" w:cs="Times New Roman"/>
          <w:sz w:val="24"/>
          <w:szCs w:val="24"/>
        </w:rPr>
        <w:t xml:space="preserve">) </w:t>
      </w:r>
      <w:r w:rsidR="00364A79" w:rsidRPr="00C41483">
        <w:rPr>
          <w:rFonts w:ascii="Times New Roman" w:hAnsi="Times New Roman" w:cs="Times New Roman"/>
          <w:sz w:val="24"/>
          <w:szCs w:val="24"/>
        </w:rPr>
        <w:t xml:space="preserve">U </w:t>
      </w:r>
      <w:r w:rsidR="008903B8" w:rsidRPr="00C41483">
        <w:rPr>
          <w:rFonts w:ascii="Times New Roman" w:hAnsi="Times New Roman" w:cs="Times New Roman"/>
          <w:sz w:val="24"/>
          <w:szCs w:val="24"/>
        </w:rPr>
        <w:t xml:space="preserve">18 Akcijskih planova </w:t>
      </w:r>
      <w:r w:rsidR="00364A79" w:rsidRPr="00C41483">
        <w:rPr>
          <w:rFonts w:ascii="Times New Roman" w:hAnsi="Times New Roman" w:cs="Times New Roman"/>
          <w:sz w:val="24"/>
          <w:szCs w:val="24"/>
        </w:rPr>
        <w:t>županijskih povjerenstava za ravnopravnost spolova uvr</w:t>
      </w:r>
      <w:r w:rsidR="008903B8" w:rsidRPr="00C41483">
        <w:rPr>
          <w:rFonts w:ascii="Times New Roman" w:hAnsi="Times New Roman" w:cs="Times New Roman"/>
          <w:sz w:val="24"/>
          <w:szCs w:val="24"/>
        </w:rPr>
        <w:t xml:space="preserve">štene su </w:t>
      </w:r>
      <w:r w:rsidR="00364A79" w:rsidRPr="00C41483">
        <w:rPr>
          <w:rFonts w:ascii="Times New Roman" w:hAnsi="Times New Roman" w:cs="Times New Roman"/>
          <w:sz w:val="24"/>
          <w:szCs w:val="24"/>
        </w:rPr>
        <w:t xml:space="preserve">mjere za unapređenje položaja žena s invaliditetom na lokalnoj razini. </w:t>
      </w:r>
    </w:p>
    <w:p w14:paraId="69B61815" w14:textId="77777777" w:rsidR="000E6B09" w:rsidRPr="00C41483" w:rsidRDefault="000E6B09" w:rsidP="006B5133">
      <w:pPr>
        <w:spacing w:after="0" w:line="240" w:lineRule="auto"/>
        <w:jc w:val="both"/>
        <w:rPr>
          <w:rFonts w:ascii="Times New Roman" w:hAnsi="Times New Roman" w:cs="Times New Roman"/>
          <w:sz w:val="24"/>
          <w:szCs w:val="24"/>
        </w:rPr>
      </w:pPr>
    </w:p>
    <w:p w14:paraId="174D4FA0" w14:textId="010CA84B" w:rsidR="00DE7F18" w:rsidRPr="00C41483" w:rsidRDefault="00636078" w:rsidP="006B5133">
      <w:pPr>
        <w:spacing w:after="0" w:line="240" w:lineRule="auto"/>
        <w:jc w:val="both"/>
        <w:rPr>
          <w:rFonts w:ascii="Times New Roman" w:hAnsi="Times New Roman" w:cs="Times New Roman"/>
          <w:sz w:val="24"/>
          <w:szCs w:val="24"/>
        </w:rPr>
      </w:pPr>
      <w:r w:rsidRPr="00C41483">
        <w:rPr>
          <w:rFonts w:ascii="Times New Roman" w:hAnsi="Times New Roman" w:cs="Times New Roman"/>
          <w:sz w:val="24"/>
          <w:szCs w:val="24"/>
        </w:rPr>
        <w:t>(2</w:t>
      </w:r>
      <w:r w:rsidR="00F361C7" w:rsidRPr="00C41483">
        <w:rPr>
          <w:rFonts w:ascii="Times New Roman" w:hAnsi="Times New Roman" w:cs="Times New Roman"/>
          <w:sz w:val="24"/>
          <w:szCs w:val="24"/>
        </w:rPr>
        <w:t>8</w:t>
      </w:r>
      <w:r w:rsidRPr="00C41483">
        <w:rPr>
          <w:rFonts w:ascii="Times New Roman" w:hAnsi="Times New Roman" w:cs="Times New Roman"/>
          <w:sz w:val="24"/>
          <w:szCs w:val="24"/>
        </w:rPr>
        <w:t xml:space="preserve">) </w:t>
      </w:r>
      <w:r w:rsidR="00C46A6D" w:rsidRPr="00C41483">
        <w:rPr>
          <w:rFonts w:ascii="Times New Roman" w:hAnsi="Times New Roman" w:cs="Times New Roman"/>
          <w:sz w:val="24"/>
          <w:szCs w:val="24"/>
        </w:rPr>
        <w:t>U no</w:t>
      </w:r>
      <w:r w:rsidR="00DE7F18" w:rsidRPr="00C41483">
        <w:rPr>
          <w:rFonts w:ascii="Times New Roman" w:hAnsi="Times New Roman" w:cs="Times New Roman"/>
          <w:sz w:val="24"/>
          <w:szCs w:val="24"/>
        </w:rPr>
        <w:t>v</w:t>
      </w:r>
      <w:r w:rsidR="00C46A6D" w:rsidRPr="00C41483">
        <w:rPr>
          <w:rFonts w:ascii="Times New Roman" w:hAnsi="Times New Roman" w:cs="Times New Roman"/>
          <w:sz w:val="24"/>
          <w:szCs w:val="24"/>
        </w:rPr>
        <w:t>om</w:t>
      </w:r>
      <w:r w:rsidR="00DE7F18" w:rsidRPr="00C41483">
        <w:rPr>
          <w:rFonts w:ascii="Times New Roman" w:hAnsi="Times New Roman" w:cs="Times New Roman"/>
          <w:sz w:val="24"/>
          <w:szCs w:val="24"/>
        </w:rPr>
        <w:t xml:space="preserve"> Protokol</w:t>
      </w:r>
      <w:r w:rsidR="00C46A6D" w:rsidRPr="00C41483">
        <w:rPr>
          <w:rFonts w:ascii="Times New Roman" w:hAnsi="Times New Roman" w:cs="Times New Roman"/>
          <w:sz w:val="24"/>
          <w:szCs w:val="24"/>
        </w:rPr>
        <w:t>u</w:t>
      </w:r>
      <w:r w:rsidR="00DE7F18" w:rsidRPr="00C41483">
        <w:rPr>
          <w:rFonts w:ascii="Times New Roman" w:hAnsi="Times New Roman" w:cs="Times New Roman"/>
          <w:sz w:val="24"/>
          <w:szCs w:val="24"/>
        </w:rPr>
        <w:t xml:space="preserve"> o postupanju u slučaju seksualnog nasilja</w:t>
      </w:r>
      <w:r w:rsidR="00E662E9" w:rsidRPr="00C41483">
        <w:rPr>
          <w:rFonts w:ascii="Times New Roman" w:hAnsi="Times New Roman" w:cs="Times New Roman"/>
          <w:sz w:val="24"/>
          <w:szCs w:val="24"/>
        </w:rPr>
        <w:t xml:space="preserve"> </w:t>
      </w:r>
      <w:r w:rsidR="00C46A6D" w:rsidRPr="00C41483">
        <w:rPr>
          <w:rFonts w:ascii="Times New Roman" w:hAnsi="Times New Roman" w:cs="Times New Roman"/>
          <w:sz w:val="24"/>
          <w:szCs w:val="24"/>
        </w:rPr>
        <w:t xml:space="preserve">koji </w:t>
      </w:r>
      <w:r w:rsidR="00E662E9" w:rsidRPr="00C41483">
        <w:rPr>
          <w:rFonts w:ascii="Times New Roman" w:hAnsi="Times New Roman" w:cs="Times New Roman"/>
          <w:sz w:val="24"/>
          <w:szCs w:val="24"/>
        </w:rPr>
        <w:t>usvojen 2018. godine</w:t>
      </w:r>
      <w:r w:rsidR="00DE7F18" w:rsidRPr="00C41483">
        <w:rPr>
          <w:rFonts w:ascii="Times New Roman" w:hAnsi="Times New Roman" w:cs="Times New Roman"/>
          <w:sz w:val="24"/>
          <w:szCs w:val="24"/>
        </w:rPr>
        <w:t xml:space="preserve"> posebna pozornost se posvetila pitanju prilagođenosti sustava zdravstva specifičnim potrebama žena s invaliditetom, kao i specifičnostima u protokolu postupanja koji obuhvaćaju osobe s mentalnim o</w:t>
      </w:r>
      <w:r w:rsidR="00C46A6D" w:rsidRPr="00C41483">
        <w:rPr>
          <w:rFonts w:ascii="Times New Roman" w:hAnsi="Times New Roman" w:cs="Times New Roman"/>
          <w:sz w:val="24"/>
          <w:szCs w:val="24"/>
        </w:rPr>
        <w:t>štećenjima</w:t>
      </w:r>
      <w:r w:rsidR="00DE7F18" w:rsidRPr="00C41483">
        <w:rPr>
          <w:rFonts w:ascii="Times New Roman" w:hAnsi="Times New Roman" w:cs="Times New Roman"/>
          <w:sz w:val="24"/>
          <w:szCs w:val="24"/>
        </w:rPr>
        <w:t>.</w:t>
      </w:r>
    </w:p>
    <w:p w14:paraId="5D41DE73" w14:textId="77777777" w:rsidR="000E6B09" w:rsidRPr="00C41483" w:rsidRDefault="000E6B09" w:rsidP="006B5133">
      <w:pPr>
        <w:spacing w:after="0" w:line="240" w:lineRule="auto"/>
        <w:jc w:val="both"/>
        <w:rPr>
          <w:rFonts w:ascii="Times New Roman" w:hAnsi="Times New Roman" w:cs="Times New Roman"/>
          <w:sz w:val="24"/>
          <w:szCs w:val="24"/>
        </w:rPr>
      </w:pPr>
    </w:p>
    <w:p w14:paraId="369DAA75" w14:textId="05BFE85F" w:rsidR="00F46DE2" w:rsidRPr="00C41483" w:rsidRDefault="00636078" w:rsidP="006B5133">
      <w:pPr>
        <w:spacing w:after="0" w:line="240" w:lineRule="auto"/>
        <w:jc w:val="both"/>
        <w:rPr>
          <w:rFonts w:ascii="Times New Roman" w:hAnsi="Times New Roman" w:cs="Times New Roman"/>
          <w:sz w:val="24"/>
          <w:szCs w:val="24"/>
        </w:rPr>
      </w:pPr>
      <w:r w:rsidRPr="00C41483">
        <w:rPr>
          <w:rFonts w:ascii="Times New Roman" w:hAnsi="Times New Roman" w:cs="Times New Roman"/>
          <w:sz w:val="24"/>
          <w:szCs w:val="24"/>
        </w:rPr>
        <w:t>(</w:t>
      </w:r>
      <w:r w:rsidR="00F41461" w:rsidRPr="00C41483">
        <w:rPr>
          <w:rFonts w:ascii="Times New Roman" w:hAnsi="Times New Roman" w:cs="Times New Roman"/>
          <w:sz w:val="24"/>
          <w:szCs w:val="24"/>
        </w:rPr>
        <w:t>2</w:t>
      </w:r>
      <w:r w:rsidR="00F361C7" w:rsidRPr="00C41483">
        <w:rPr>
          <w:rFonts w:ascii="Times New Roman" w:hAnsi="Times New Roman" w:cs="Times New Roman"/>
          <w:sz w:val="24"/>
          <w:szCs w:val="24"/>
        </w:rPr>
        <w:t>9</w:t>
      </w:r>
      <w:r w:rsidRPr="00C41483">
        <w:rPr>
          <w:rFonts w:ascii="Times New Roman" w:hAnsi="Times New Roman" w:cs="Times New Roman"/>
          <w:sz w:val="24"/>
          <w:szCs w:val="24"/>
        </w:rPr>
        <w:t xml:space="preserve">) </w:t>
      </w:r>
      <w:r w:rsidR="00E662E9" w:rsidRPr="00C41483">
        <w:rPr>
          <w:rFonts w:ascii="Times New Roman" w:hAnsi="Times New Roman" w:cs="Times New Roman"/>
          <w:sz w:val="24"/>
          <w:szCs w:val="24"/>
        </w:rPr>
        <w:t>Radi</w:t>
      </w:r>
      <w:r w:rsidR="00F46DE2" w:rsidRPr="00C41483">
        <w:rPr>
          <w:rFonts w:ascii="Times New Roman" w:hAnsi="Times New Roman" w:cs="Times New Roman"/>
          <w:sz w:val="24"/>
          <w:szCs w:val="24"/>
        </w:rPr>
        <w:t xml:space="preserve"> cjelovit</w:t>
      </w:r>
      <w:r w:rsidR="00E662E9" w:rsidRPr="00C41483">
        <w:rPr>
          <w:rFonts w:ascii="Times New Roman" w:hAnsi="Times New Roman" w:cs="Times New Roman"/>
          <w:sz w:val="24"/>
          <w:szCs w:val="24"/>
        </w:rPr>
        <w:t>og</w:t>
      </w:r>
      <w:r w:rsidR="00F46DE2" w:rsidRPr="00C41483">
        <w:rPr>
          <w:rFonts w:ascii="Times New Roman" w:hAnsi="Times New Roman" w:cs="Times New Roman"/>
          <w:sz w:val="24"/>
          <w:szCs w:val="24"/>
        </w:rPr>
        <w:t xml:space="preserve"> pristup</w:t>
      </w:r>
      <w:r w:rsidR="00E662E9" w:rsidRPr="00C41483">
        <w:rPr>
          <w:rFonts w:ascii="Times New Roman" w:hAnsi="Times New Roman" w:cs="Times New Roman"/>
          <w:sz w:val="24"/>
          <w:szCs w:val="24"/>
        </w:rPr>
        <w:t>a</w:t>
      </w:r>
      <w:r w:rsidR="00F46DE2" w:rsidRPr="00C41483">
        <w:rPr>
          <w:rFonts w:ascii="Times New Roman" w:hAnsi="Times New Roman" w:cs="Times New Roman"/>
          <w:sz w:val="24"/>
          <w:szCs w:val="24"/>
        </w:rPr>
        <w:t xml:space="preserve"> prevenciji i rješavanju nasilja nad ženama s invaliditetom</w:t>
      </w:r>
      <w:r w:rsidR="003018F7" w:rsidRPr="00C41483">
        <w:rPr>
          <w:rFonts w:ascii="Times New Roman" w:hAnsi="Times New Roman" w:cs="Times New Roman"/>
          <w:sz w:val="24"/>
          <w:szCs w:val="24"/>
        </w:rPr>
        <w:t>,</w:t>
      </w:r>
      <w:r w:rsidR="00F46DE2" w:rsidRPr="00C41483">
        <w:rPr>
          <w:rFonts w:ascii="Times New Roman" w:hAnsi="Times New Roman" w:cs="Times New Roman"/>
          <w:sz w:val="24"/>
          <w:szCs w:val="24"/>
        </w:rPr>
        <w:t xml:space="preserve"> te identificiranju ranjivih grupa i njihovih specifičnih potreba, Ministarstvo unutarnjih poslova je pronašlo dodatna informatička rješenja za praćenje pojav</w:t>
      </w:r>
      <w:r w:rsidR="00DC0940" w:rsidRPr="00C41483">
        <w:rPr>
          <w:rFonts w:ascii="Times New Roman" w:hAnsi="Times New Roman" w:cs="Times New Roman"/>
          <w:sz w:val="24"/>
          <w:szCs w:val="24"/>
        </w:rPr>
        <w:t>e</w:t>
      </w:r>
      <w:r w:rsidR="00F46DE2" w:rsidRPr="00C41483">
        <w:rPr>
          <w:rFonts w:ascii="Times New Roman" w:hAnsi="Times New Roman" w:cs="Times New Roman"/>
          <w:sz w:val="24"/>
          <w:szCs w:val="24"/>
        </w:rPr>
        <w:t xml:space="preserve"> nasilja u obitelji nad ženama s invaliditetom kao žrtvama kažnjivih djela.</w:t>
      </w:r>
      <w:r w:rsidR="00E662E9" w:rsidRPr="00C41483">
        <w:rPr>
          <w:rFonts w:ascii="Times New Roman" w:hAnsi="Times New Roman" w:cs="Times New Roman"/>
          <w:sz w:val="24"/>
          <w:szCs w:val="24"/>
        </w:rPr>
        <w:t xml:space="preserve"> </w:t>
      </w:r>
      <w:r w:rsidR="00F46DE2" w:rsidRPr="00C41483">
        <w:rPr>
          <w:rFonts w:ascii="Times New Roman" w:hAnsi="Times New Roman" w:cs="Times New Roman"/>
          <w:sz w:val="24"/>
          <w:szCs w:val="24"/>
        </w:rPr>
        <w:t xml:space="preserve">Na temelju odredbi Pravilnika o načinu provedbe pojedinačne procjene žrtve, policija je dužna provoditi pojedinačne procjene potreba osoba koje su žrtve kaznenog djela. </w:t>
      </w:r>
      <w:r w:rsidR="00E662E9" w:rsidRPr="00C41483">
        <w:rPr>
          <w:rFonts w:ascii="Times New Roman" w:hAnsi="Times New Roman" w:cs="Times New Roman"/>
          <w:sz w:val="24"/>
          <w:szCs w:val="24"/>
        </w:rPr>
        <w:t>I</w:t>
      </w:r>
      <w:r w:rsidR="00F46DE2" w:rsidRPr="00C41483">
        <w:rPr>
          <w:rFonts w:ascii="Times New Roman" w:hAnsi="Times New Roman" w:cs="Times New Roman"/>
          <w:sz w:val="24"/>
          <w:szCs w:val="24"/>
        </w:rPr>
        <w:t>stičemo da procjena žrtava uzima u obzir osobne aspekte ranjivosti žrtava</w:t>
      </w:r>
      <w:r w:rsidR="00E662E9" w:rsidRPr="00C41483">
        <w:rPr>
          <w:rFonts w:ascii="Times New Roman" w:hAnsi="Times New Roman" w:cs="Times New Roman"/>
          <w:sz w:val="24"/>
          <w:szCs w:val="24"/>
        </w:rPr>
        <w:t xml:space="preserve"> te se </w:t>
      </w:r>
      <w:r w:rsidR="00F46DE2" w:rsidRPr="00C41483">
        <w:rPr>
          <w:rFonts w:ascii="Times New Roman" w:hAnsi="Times New Roman" w:cs="Times New Roman"/>
          <w:sz w:val="24"/>
          <w:szCs w:val="24"/>
        </w:rPr>
        <w:t>posebna pažnja usmjerava na identificiranje specifičnih potreba žrtve - osobe s invaliditetom i ostvarivanje njihovih prava.</w:t>
      </w:r>
    </w:p>
    <w:p w14:paraId="2AF44EF3" w14:textId="77777777" w:rsidR="00DE7F18" w:rsidRPr="00C41483" w:rsidRDefault="00DE7F18" w:rsidP="006B5133">
      <w:pPr>
        <w:spacing w:after="0" w:line="240" w:lineRule="auto"/>
        <w:jc w:val="both"/>
        <w:rPr>
          <w:rFonts w:ascii="Times New Roman" w:hAnsi="Times New Roman" w:cs="Times New Roman"/>
          <w:sz w:val="24"/>
          <w:szCs w:val="24"/>
        </w:rPr>
      </w:pPr>
    </w:p>
    <w:p w14:paraId="61A4BC1D" w14:textId="21297007" w:rsidR="00D542B4" w:rsidRPr="00C41483" w:rsidRDefault="00D542B4" w:rsidP="006B5133">
      <w:pPr>
        <w:pStyle w:val="Naslov1"/>
        <w:spacing w:before="0" w:line="240" w:lineRule="auto"/>
        <w:rPr>
          <w:rFonts w:ascii="Times New Roman" w:eastAsia="Times New Roman" w:hAnsi="Times New Roman" w:cs="Times New Roman"/>
          <w:b/>
          <w:bCs/>
          <w:color w:val="auto"/>
          <w:sz w:val="24"/>
          <w:szCs w:val="24"/>
          <w:lang w:eastAsia="hr-HR"/>
        </w:rPr>
      </w:pPr>
      <w:bookmarkStart w:id="23" w:name="_Toc76630949"/>
      <w:bookmarkStart w:id="24" w:name="_Toc88031189"/>
      <w:r w:rsidRPr="00C41483">
        <w:rPr>
          <w:rFonts w:ascii="Times New Roman" w:eastAsia="Times New Roman" w:hAnsi="Times New Roman" w:cs="Times New Roman"/>
          <w:b/>
          <w:bCs/>
          <w:color w:val="auto"/>
          <w:sz w:val="24"/>
          <w:szCs w:val="24"/>
          <w:lang w:eastAsia="hr-HR"/>
        </w:rPr>
        <w:t>Djeca s teškoćama u razvoju (čl. 7.)</w:t>
      </w:r>
      <w:bookmarkEnd w:id="23"/>
      <w:bookmarkEnd w:id="24"/>
    </w:p>
    <w:p w14:paraId="4DBB85BF" w14:textId="77777777" w:rsidR="00165D3A" w:rsidRPr="00C41483" w:rsidRDefault="00165D3A" w:rsidP="006B5133">
      <w:pPr>
        <w:spacing w:after="0" w:line="240" w:lineRule="auto"/>
        <w:rPr>
          <w:lang w:eastAsia="hr-HR"/>
        </w:rPr>
      </w:pPr>
      <w:bookmarkStart w:id="25" w:name="_Hlk83813662"/>
    </w:p>
    <w:p w14:paraId="43AECBEB" w14:textId="13F262AF" w:rsidR="00EC1CBD" w:rsidRPr="00C41483" w:rsidRDefault="00F361C7" w:rsidP="006B5133">
      <w:pPr>
        <w:spacing w:after="0" w:line="240" w:lineRule="auto"/>
        <w:jc w:val="both"/>
        <w:rPr>
          <w:rFonts w:ascii="Times New Roman" w:eastAsia="Times New Roman" w:hAnsi="Times New Roman" w:cs="Times New Roman"/>
          <w:bCs/>
          <w:i/>
          <w:iCs/>
          <w:sz w:val="24"/>
          <w:szCs w:val="24"/>
          <w:lang w:eastAsia="hr-HR"/>
        </w:rPr>
      </w:pPr>
      <w:r w:rsidRPr="00C41483">
        <w:rPr>
          <w:rFonts w:ascii="Times New Roman" w:eastAsia="Times New Roman" w:hAnsi="Times New Roman" w:cs="Times New Roman"/>
          <w:bCs/>
          <w:i/>
          <w:iCs/>
          <w:sz w:val="24"/>
          <w:szCs w:val="24"/>
          <w:lang w:eastAsia="hr-HR"/>
        </w:rPr>
        <w:t xml:space="preserve">Pitanje </w:t>
      </w:r>
      <w:r w:rsidR="00EC1CBD" w:rsidRPr="00C41483">
        <w:rPr>
          <w:rFonts w:ascii="Times New Roman" w:eastAsia="Times New Roman" w:hAnsi="Times New Roman" w:cs="Times New Roman"/>
          <w:bCs/>
          <w:i/>
          <w:iCs/>
          <w:sz w:val="24"/>
          <w:szCs w:val="24"/>
          <w:lang w:eastAsia="hr-HR"/>
        </w:rPr>
        <w:t xml:space="preserve">5 </w:t>
      </w:r>
    </w:p>
    <w:bookmarkEnd w:id="25"/>
    <w:p w14:paraId="713AB79D" w14:textId="77777777" w:rsidR="00E662E9" w:rsidRPr="00C41483" w:rsidRDefault="00E662E9" w:rsidP="006B5133">
      <w:pPr>
        <w:spacing w:after="0" w:line="240" w:lineRule="auto"/>
        <w:jc w:val="both"/>
        <w:rPr>
          <w:rFonts w:ascii="Times New Roman" w:eastAsia="Times New Roman" w:hAnsi="Times New Roman" w:cs="Times New Roman"/>
          <w:bCs/>
          <w:sz w:val="24"/>
          <w:szCs w:val="24"/>
          <w:lang w:eastAsia="hr-HR"/>
        </w:rPr>
      </w:pPr>
    </w:p>
    <w:p w14:paraId="0355904D" w14:textId="57FDB9D5" w:rsidR="00A00364" w:rsidRPr="00C41483" w:rsidRDefault="007C222B" w:rsidP="009A64CF">
      <w:pPr>
        <w:tabs>
          <w:tab w:val="left" w:pos="1418"/>
        </w:tabs>
        <w:spacing w:after="0" w:line="240" w:lineRule="auto"/>
        <w:jc w:val="both"/>
        <w:rPr>
          <w:rFonts w:ascii="Times New Roman" w:hAnsi="Times New Roman" w:cs="Times New Roman"/>
          <w:sz w:val="24"/>
          <w:szCs w:val="24"/>
        </w:rPr>
      </w:pPr>
      <w:r w:rsidRPr="00C41483">
        <w:rPr>
          <w:rFonts w:ascii="Times New Roman" w:hAnsi="Times New Roman" w:cs="Times New Roman"/>
          <w:sz w:val="24"/>
          <w:szCs w:val="24"/>
        </w:rPr>
        <w:t>(</w:t>
      </w:r>
      <w:r w:rsidR="00F361C7" w:rsidRPr="00C41483">
        <w:rPr>
          <w:rFonts w:ascii="Times New Roman" w:hAnsi="Times New Roman" w:cs="Times New Roman"/>
          <w:sz w:val="24"/>
          <w:szCs w:val="24"/>
        </w:rPr>
        <w:t>30</w:t>
      </w:r>
      <w:r w:rsidRPr="00C41483">
        <w:rPr>
          <w:rFonts w:ascii="Times New Roman" w:hAnsi="Times New Roman" w:cs="Times New Roman"/>
          <w:sz w:val="24"/>
          <w:szCs w:val="24"/>
        </w:rPr>
        <w:t xml:space="preserve">) </w:t>
      </w:r>
      <w:r w:rsidR="00BF54E6" w:rsidRPr="00C41483">
        <w:rPr>
          <w:rFonts w:ascii="Times New Roman" w:hAnsi="Times New Roman" w:cs="Times New Roman"/>
          <w:sz w:val="24"/>
          <w:szCs w:val="24"/>
        </w:rPr>
        <w:t>B</w:t>
      </w:r>
      <w:r w:rsidR="009A64CF" w:rsidRPr="00C41483">
        <w:rPr>
          <w:rFonts w:ascii="Times New Roman" w:hAnsi="Times New Roman" w:cs="Times New Roman"/>
          <w:sz w:val="24"/>
          <w:szCs w:val="24"/>
        </w:rPr>
        <w:t xml:space="preserve">roj djece do 18 godina koja koriste socijalnu uslugu smještaja </w:t>
      </w:r>
      <w:r w:rsidR="00BF54E6" w:rsidRPr="00C41483">
        <w:rPr>
          <w:rFonts w:ascii="Times New Roman" w:hAnsi="Times New Roman" w:cs="Times New Roman"/>
          <w:sz w:val="24"/>
          <w:szCs w:val="24"/>
        </w:rPr>
        <w:t xml:space="preserve">je </w:t>
      </w:r>
      <w:r w:rsidR="00822E2D" w:rsidRPr="00C41483">
        <w:rPr>
          <w:rFonts w:ascii="Times New Roman" w:hAnsi="Times New Roman" w:cs="Times New Roman"/>
          <w:sz w:val="24"/>
          <w:szCs w:val="24"/>
        </w:rPr>
        <w:t xml:space="preserve">u </w:t>
      </w:r>
      <w:r w:rsidR="00BF54E6" w:rsidRPr="00C41483">
        <w:rPr>
          <w:rFonts w:ascii="Times New Roman" w:hAnsi="Times New Roman" w:cs="Times New Roman"/>
          <w:sz w:val="24"/>
          <w:szCs w:val="24"/>
        </w:rPr>
        <w:t>2019. godin</w:t>
      </w:r>
      <w:r w:rsidR="00822E2D" w:rsidRPr="00C41483">
        <w:rPr>
          <w:rFonts w:ascii="Times New Roman" w:hAnsi="Times New Roman" w:cs="Times New Roman"/>
          <w:sz w:val="24"/>
          <w:szCs w:val="24"/>
        </w:rPr>
        <w:t>i</w:t>
      </w:r>
      <w:r w:rsidR="00BF54E6" w:rsidRPr="00C41483">
        <w:rPr>
          <w:rFonts w:ascii="Times New Roman" w:hAnsi="Times New Roman" w:cs="Times New Roman"/>
          <w:sz w:val="24"/>
          <w:szCs w:val="24"/>
        </w:rPr>
        <w:t xml:space="preserve"> </w:t>
      </w:r>
      <w:r w:rsidR="009A64CF" w:rsidRPr="00C41483">
        <w:rPr>
          <w:rFonts w:ascii="Times New Roman" w:hAnsi="Times New Roman" w:cs="Times New Roman"/>
          <w:sz w:val="24"/>
          <w:szCs w:val="24"/>
        </w:rPr>
        <w:t xml:space="preserve">smanjen za 46,71% u </w:t>
      </w:r>
      <w:r w:rsidR="00BF54E6" w:rsidRPr="00C41483">
        <w:rPr>
          <w:rFonts w:ascii="Times New Roman" w:hAnsi="Times New Roman" w:cs="Times New Roman"/>
          <w:sz w:val="24"/>
          <w:szCs w:val="24"/>
        </w:rPr>
        <w:t xml:space="preserve">odnosu na 2015. godinu, </w:t>
      </w:r>
      <w:r w:rsidR="009A64CF" w:rsidRPr="00C41483">
        <w:rPr>
          <w:rFonts w:ascii="Times New Roman" w:hAnsi="Times New Roman" w:cs="Times New Roman"/>
          <w:sz w:val="24"/>
          <w:szCs w:val="24"/>
        </w:rPr>
        <w:t xml:space="preserve">dok je privremeni smještaj u navedenom razdoblju smanjen za 21,38%. Podaci o broju djece s teškoćama u razvoju, korisnika ostalih usluga iz sustava socijalne skrbi namijenjenih prevenciji institucionalizacije </w:t>
      </w:r>
      <w:r w:rsidR="00BF54E6" w:rsidRPr="00C41483">
        <w:rPr>
          <w:rFonts w:ascii="Times New Roman" w:hAnsi="Times New Roman" w:cs="Times New Roman"/>
          <w:sz w:val="24"/>
          <w:szCs w:val="24"/>
        </w:rPr>
        <w:t>na</w:t>
      </w:r>
      <w:r w:rsidR="009A64CF" w:rsidRPr="00C41483">
        <w:rPr>
          <w:rFonts w:ascii="Times New Roman" w:hAnsi="Times New Roman" w:cs="Times New Roman"/>
          <w:sz w:val="24"/>
          <w:szCs w:val="24"/>
        </w:rPr>
        <w:t xml:space="preserve">laze </w:t>
      </w:r>
      <w:r w:rsidR="000F5353" w:rsidRPr="00C41483">
        <w:rPr>
          <w:rFonts w:ascii="Times New Roman" w:hAnsi="Times New Roman" w:cs="Times New Roman"/>
          <w:sz w:val="24"/>
          <w:szCs w:val="24"/>
        </w:rPr>
        <w:t xml:space="preserve">se </w:t>
      </w:r>
      <w:r w:rsidR="009A64CF" w:rsidRPr="00C41483">
        <w:rPr>
          <w:rFonts w:ascii="Times New Roman" w:hAnsi="Times New Roman" w:cs="Times New Roman"/>
          <w:sz w:val="24"/>
          <w:szCs w:val="24"/>
        </w:rPr>
        <w:t>u prilogu</w:t>
      </w:r>
      <w:r w:rsidR="00FC522D" w:rsidRPr="00C41483">
        <w:rPr>
          <w:rFonts w:ascii="Times New Roman" w:hAnsi="Times New Roman" w:cs="Times New Roman"/>
          <w:sz w:val="24"/>
          <w:szCs w:val="24"/>
        </w:rPr>
        <w:t xml:space="preserve"> 11</w:t>
      </w:r>
      <w:r w:rsidR="00DC7201">
        <w:rPr>
          <w:rFonts w:ascii="Times New Roman" w:hAnsi="Times New Roman" w:cs="Times New Roman"/>
          <w:sz w:val="24"/>
          <w:szCs w:val="24"/>
        </w:rPr>
        <w:t>.</w:t>
      </w:r>
    </w:p>
    <w:p w14:paraId="5D173FD5" w14:textId="77777777" w:rsidR="0049430C" w:rsidRPr="00C41483" w:rsidRDefault="0049430C" w:rsidP="009A64CF">
      <w:pPr>
        <w:tabs>
          <w:tab w:val="left" w:pos="1418"/>
        </w:tabs>
        <w:spacing w:after="0" w:line="240" w:lineRule="auto"/>
        <w:jc w:val="both"/>
        <w:rPr>
          <w:rFonts w:ascii="Times New Roman" w:hAnsi="Times New Roman" w:cs="Times New Roman"/>
          <w:sz w:val="24"/>
          <w:szCs w:val="24"/>
        </w:rPr>
      </w:pPr>
    </w:p>
    <w:p w14:paraId="7A182589" w14:textId="722052BB" w:rsidR="009A4D9A" w:rsidRPr="00C41483" w:rsidRDefault="007C222B" w:rsidP="000F5353">
      <w:pPr>
        <w:spacing w:after="0" w:line="240" w:lineRule="auto"/>
        <w:jc w:val="both"/>
        <w:rPr>
          <w:rFonts w:ascii="Times New Roman" w:hAnsi="Times New Roman" w:cs="Times New Roman"/>
          <w:sz w:val="24"/>
          <w:szCs w:val="24"/>
        </w:rPr>
      </w:pPr>
      <w:r w:rsidRPr="00C41483">
        <w:rPr>
          <w:rFonts w:ascii="Times New Roman" w:eastAsia="Times New Roman" w:hAnsi="Times New Roman" w:cs="Times New Roman"/>
          <w:bCs/>
          <w:sz w:val="24"/>
          <w:szCs w:val="24"/>
          <w:lang w:eastAsia="hr-HR"/>
        </w:rPr>
        <w:t>(</w:t>
      </w:r>
      <w:r w:rsidR="000F3ADF" w:rsidRPr="00C41483">
        <w:rPr>
          <w:rFonts w:ascii="Times New Roman" w:eastAsia="Times New Roman" w:hAnsi="Times New Roman" w:cs="Times New Roman"/>
          <w:bCs/>
          <w:sz w:val="24"/>
          <w:szCs w:val="24"/>
          <w:lang w:eastAsia="hr-HR"/>
        </w:rPr>
        <w:t>31</w:t>
      </w:r>
      <w:r w:rsidRPr="00C41483">
        <w:rPr>
          <w:rFonts w:ascii="Times New Roman" w:eastAsia="Times New Roman" w:hAnsi="Times New Roman" w:cs="Times New Roman"/>
          <w:bCs/>
          <w:sz w:val="24"/>
          <w:szCs w:val="24"/>
          <w:lang w:eastAsia="hr-HR"/>
        </w:rPr>
        <w:t xml:space="preserve">) </w:t>
      </w:r>
      <w:r w:rsidR="007973A7" w:rsidRPr="00C41483">
        <w:rPr>
          <w:rFonts w:ascii="Times New Roman" w:eastAsia="Times New Roman" w:hAnsi="Times New Roman" w:cs="Times New Roman"/>
          <w:bCs/>
          <w:sz w:val="24"/>
          <w:szCs w:val="24"/>
          <w:lang w:eastAsia="hr-HR"/>
        </w:rPr>
        <w:t xml:space="preserve">Razvijanje mreže </w:t>
      </w:r>
      <w:proofErr w:type="spellStart"/>
      <w:r w:rsidR="007973A7" w:rsidRPr="00C41483">
        <w:rPr>
          <w:rFonts w:ascii="Times New Roman" w:eastAsia="Times New Roman" w:hAnsi="Times New Roman" w:cs="Times New Roman"/>
          <w:bCs/>
          <w:sz w:val="24"/>
          <w:szCs w:val="24"/>
          <w:lang w:eastAsia="hr-HR"/>
        </w:rPr>
        <w:t>izvaninstituci</w:t>
      </w:r>
      <w:r w:rsidR="000F5353" w:rsidRPr="00C41483">
        <w:rPr>
          <w:rFonts w:ascii="Times New Roman" w:eastAsia="Times New Roman" w:hAnsi="Times New Roman" w:cs="Times New Roman"/>
          <w:bCs/>
          <w:sz w:val="24"/>
          <w:szCs w:val="24"/>
          <w:lang w:eastAsia="hr-HR"/>
        </w:rPr>
        <w:t>jskih</w:t>
      </w:r>
      <w:proofErr w:type="spellEnd"/>
      <w:r w:rsidR="007973A7" w:rsidRPr="00C41483">
        <w:rPr>
          <w:rFonts w:ascii="Times New Roman" w:eastAsia="Times New Roman" w:hAnsi="Times New Roman" w:cs="Times New Roman"/>
          <w:bCs/>
          <w:sz w:val="24"/>
          <w:szCs w:val="24"/>
          <w:lang w:eastAsia="hr-HR"/>
        </w:rPr>
        <w:t xml:space="preserve"> usluga za djecu s teškoćama u razvoju i osobe s invaliditetom</w:t>
      </w:r>
      <w:r w:rsidR="00B04900" w:rsidRPr="00C41483">
        <w:rPr>
          <w:rFonts w:ascii="Times New Roman" w:eastAsia="Times New Roman" w:hAnsi="Times New Roman" w:cs="Times New Roman"/>
          <w:bCs/>
          <w:sz w:val="24"/>
          <w:szCs w:val="24"/>
          <w:lang w:eastAsia="hr-HR"/>
        </w:rPr>
        <w:t>,</w:t>
      </w:r>
      <w:r w:rsidR="007973A7" w:rsidRPr="00C41483">
        <w:rPr>
          <w:rFonts w:ascii="Times New Roman" w:eastAsia="Times New Roman" w:hAnsi="Times New Roman" w:cs="Times New Roman"/>
          <w:bCs/>
          <w:sz w:val="24"/>
          <w:szCs w:val="24"/>
          <w:lang w:eastAsia="hr-HR"/>
        </w:rPr>
        <w:t xml:space="preserve"> </w:t>
      </w:r>
      <w:r w:rsidR="009A4D9A" w:rsidRPr="00C41483">
        <w:rPr>
          <w:rFonts w:ascii="Times New Roman" w:eastAsia="Times New Roman" w:hAnsi="Times New Roman" w:cs="Times New Roman"/>
          <w:bCs/>
          <w:sz w:val="24"/>
          <w:szCs w:val="24"/>
          <w:lang w:eastAsia="hr-HR"/>
        </w:rPr>
        <w:t xml:space="preserve">uzima u obzir </w:t>
      </w:r>
      <w:r w:rsidR="00BC4093" w:rsidRPr="00C41483">
        <w:rPr>
          <w:rFonts w:ascii="Times New Roman" w:eastAsia="Times New Roman" w:hAnsi="Times New Roman" w:cs="Times New Roman"/>
          <w:bCs/>
          <w:sz w:val="24"/>
          <w:szCs w:val="24"/>
          <w:lang w:eastAsia="hr-HR"/>
        </w:rPr>
        <w:t xml:space="preserve">potrebu osiguranja </w:t>
      </w:r>
      <w:r w:rsidR="007973A7" w:rsidRPr="00C41483">
        <w:rPr>
          <w:rFonts w:ascii="Times New Roman" w:eastAsia="Times New Roman" w:hAnsi="Times New Roman" w:cs="Times New Roman"/>
          <w:bCs/>
          <w:sz w:val="24"/>
          <w:szCs w:val="24"/>
          <w:lang w:eastAsia="hr-HR"/>
        </w:rPr>
        <w:t>regionaln</w:t>
      </w:r>
      <w:r w:rsidR="00BC4093" w:rsidRPr="00C41483">
        <w:rPr>
          <w:rFonts w:ascii="Times New Roman" w:eastAsia="Times New Roman" w:hAnsi="Times New Roman" w:cs="Times New Roman"/>
          <w:bCs/>
          <w:sz w:val="24"/>
          <w:szCs w:val="24"/>
          <w:lang w:eastAsia="hr-HR"/>
        </w:rPr>
        <w:t>e</w:t>
      </w:r>
      <w:r w:rsidR="009A4D9A" w:rsidRPr="00C41483">
        <w:rPr>
          <w:rFonts w:ascii="Times New Roman" w:eastAsia="Times New Roman" w:hAnsi="Times New Roman" w:cs="Times New Roman"/>
          <w:bCs/>
          <w:sz w:val="24"/>
          <w:szCs w:val="24"/>
          <w:lang w:eastAsia="hr-HR"/>
        </w:rPr>
        <w:t xml:space="preserve"> dostupnost</w:t>
      </w:r>
      <w:r w:rsidR="00BC4093" w:rsidRPr="00C41483">
        <w:rPr>
          <w:rFonts w:ascii="Times New Roman" w:eastAsia="Times New Roman" w:hAnsi="Times New Roman" w:cs="Times New Roman"/>
          <w:bCs/>
          <w:sz w:val="24"/>
          <w:szCs w:val="24"/>
          <w:lang w:eastAsia="hr-HR"/>
        </w:rPr>
        <w:t>i</w:t>
      </w:r>
      <w:r w:rsidR="009A4D9A" w:rsidRPr="00C41483">
        <w:rPr>
          <w:rFonts w:ascii="Times New Roman" w:eastAsia="Times New Roman" w:hAnsi="Times New Roman" w:cs="Times New Roman"/>
          <w:bCs/>
          <w:sz w:val="24"/>
          <w:szCs w:val="24"/>
          <w:lang w:eastAsia="hr-HR"/>
        </w:rPr>
        <w:t>,</w:t>
      </w:r>
      <w:r w:rsidR="007973A7" w:rsidRPr="00C41483">
        <w:rPr>
          <w:rFonts w:ascii="Times New Roman" w:eastAsia="Times New Roman" w:hAnsi="Times New Roman" w:cs="Times New Roman"/>
          <w:bCs/>
          <w:sz w:val="24"/>
          <w:szCs w:val="24"/>
          <w:lang w:eastAsia="hr-HR"/>
        </w:rPr>
        <w:t xml:space="preserve"> </w:t>
      </w:r>
      <w:r w:rsidR="00BC4093" w:rsidRPr="00C41483">
        <w:rPr>
          <w:rFonts w:ascii="Times New Roman" w:eastAsia="Times New Roman" w:hAnsi="Times New Roman" w:cs="Times New Roman"/>
          <w:bCs/>
          <w:sz w:val="24"/>
          <w:szCs w:val="24"/>
          <w:lang w:eastAsia="hr-HR"/>
        </w:rPr>
        <w:t xml:space="preserve">a </w:t>
      </w:r>
      <w:r w:rsidR="007973A7" w:rsidRPr="00C41483">
        <w:rPr>
          <w:rFonts w:ascii="Times New Roman" w:eastAsia="Times New Roman" w:hAnsi="Times New Roman" w:cs="Times New Roman"/>
          <w:bCs/>
          <w:sz w:val="24"/>
          <w:szCs w:val="24"/>
          <w:lang w:eastAsia="hr-HR"/>
        </w:rPr>
        <w:t xml:space="preserve">osigurava se </w:t>
      </w:r>
      <w:r w:rsidR="00626773" w:rsidRPr="00C41483">
        <w:rPr>
          <w:rFonts w:ascii="Times New Roman" w:eastAsia="Times New Roman" w:hAnsi="Times New Roman" w:cs="Times New Roman"/>
          <w:bCs/>
          <w:sz w:val="24"/>
          <w:szCs w:val="24"/>
          <w:lang w:eastAsia="hr-HR"/>
        </w:rPr>
        <w:t xml:space="preserve">i </w:t>
      </w:r>
      <w:r w:rsidR="007973A7" w:rsidRPr="00C41483">
        <w:rPr>
          <w:rFonts w:ascii="Times New Roman" w:eastAsia="Times New Roman" w:hAnsi="Times New Roman" w:cs="Times New Roman"/>
          <w:bCs/>
          <w:sz w:val="24"/>
          <w:szCs w:val="24"/>
          <w:lang w:eastAsia="hr-HR"/>
        </w:rPr>
        <w:t>u partnerstvu s organizacijama civilnog društva.</w:t>
      </w:r>
      <w:r w:rsidR="003859A3" w:rsidRPr="00C41483">
        <w:rPr>
          <w:rFonts w:ascii="Times New Roman" w:eastAsia="Times New Roman" w:hAnsi="Times New Roman" w:cs="Times New Roman"/>
          <w:bCs/>
          <w:sz w:val="24"/>
          <w:szCs w:val="24"/>
          <w:lang w:eastAsia="hr-HR"/>
        </w:rPr>
        <w:t xml:space="preserve"> </w:t>
      </w:r>
      <w:r w:rsidR="00822E2D" w:rsidRPr="00C41483">
        <w:rPr>
          <w:rFonts w:ascii="Times New Roman" w:eastAsia="Times New Roman" w:hAnsi="Times New Roman" w:cs="Times New Roman"/>
          <w:bCs/>
          <w:sz w:val="24"/>
          <w:szCs w:val="24"/>
          <w:lang w:eastAsia="hr-HR"/>
        </w:rPr>
        <w:t>Više p</w:t>
      </w:r>
      <w:r w:rsidR="003859A3" w:rsidRPr="00C41483">
        <w:rPr>
          <w:rFonts w:ascii="Times New Roman" w:eastAsia="Times New Roman" w:hAnsi="Times New Roman" w:cs="Times New Roman"/>
          <w:bCs/>
          <w:sz w:val="24"/>
          <w:szCs w:val="24"/>
          <w:lang w:eastAsia="hr-HR"/>
        </w:rPr>
        <w:t>oda</w:t>
      </w:r>
      <w:r w:rsidR="00822E2D" w:rsidRPr="00C41483">
        <w:rPr>
          <w:rFonts w:ascii="Times New Roman" w:eastAsia="Times New Roman" w:hAnsi="Times New Roman" w:cs="Times New Roman"/>
          <w:bCs/>
          <w:sz w:val="24"/>
          <w:szCs w:val="24"/>
          <w:lang w:eastAsia="hr-HR"/>
        </w:rPr>
        <w:t xml:space="preserve">taka </w:t>
      </w:r>
      <w:r w:rsidR="003859A3" w:rsidRPr="00C41483">
        <w:rPr>
          <w:rFonts w:ascii="Times New Roman" w:eastAsia="Times New Roman" w:hAnsi="Times New Roman" w:cs="Times New Roman"/>
          <w:bCs/>
          <w:sz w:val="24"/>
          <w:szCs w:val="24"/>
          <w:lang w:eastAsia="hr-HR"/>
        </w:rPr>
        <w:t xml:space="preserve">o financiranju </w:t>
      </w:r>
      <w:r w:rsidR="007973A7" w:rsidRPr="00C41483">
        <w:rPr>
          <w:rFonts w:ascii="Times New Roman" w:eastAsia="Times New Roman" w:hAnsi="Times New Roman" w:cs="Times New Roman"/>
          <w:bCs/>
          <w:sz w:val="24"/>
          <w:szCs w:val="24"/>
          <w:lang w:eastAsia="hr-HR"/>
        </w:rPr>
        <w:t>trogodišnji</w:t>
      </w:r>
      <w:r w:rsidR="003859A3" w:rsidRPr="00C41483">
        <w:rPr>
          <w:rFonts w:ascii="Times New Roman" w:eastAsia="Times New Roman" w:hAnsi="Times New Roman" w:cs="Times New Roman"/>
          <w:bCs/>
          <w:sz w:val="24"/>
          <w:szCs w:val="24"/>
          <w:lang w:eastAsia="hr-HR"/>
        </w:rPr>
        <w:t>h</w:t>
      </w:r>
      <w:r w:rsidR="007973A7" w:rsidRPr="00C41483">
        <w:rPr>
          <w:rFonts w:ascii="Times New Roman" w:eastAsia="Times New Roman" w:hAnsi="Times New Roman" w:cs="Times New Roman"/>
          <w:bCs/>
          <w:sz w:val="24"/>
          <w:szCs w:val="24"/>
          <w:lang w:eastAsia="hr-HR"/>
        </w:rPr>
        <w:t xml:space="preserve"> programa </w:t>
      </w:r>
      <w:r w:rsidR="003859A3" w:rsidRPr="00C41483">
        <w:rPr>
          <w:rFonts w:ascii="Times New Roman" w:eastAsia="Times New Roman" w:hAnsi="Times New Roman" w:cs="Times New Roman"/>
          <w:bCs/>
          <w:sz w:val="24"/>
          <w:szCs w:val="24"/>
          <w:lang w:eastAsia="hr-HR"/>
        </w:rPr>
        <w:t>u okviru javnog poziva „</w:t>
      </w:r>
      <w:r w:rsidR="007973A7" w:rsidRPr="00C41483">
        <w:rPr>
          <w:rFonts w:ascii="Times New Roman" w:eastAsia="Times New Roman" w:hAnsi="Times New Roman" w:cs="Times New Roman"/>
          <w:bCs/>
          <w:sz w:val="24"/>
          <w:szCs w:val="24"/>
          <w:lang w:eastAsia="hr-HR"/>
        </w:rPr>
        <w:t xml:space="preserve">Razvoj i širenje mreže socijalnih usluga koje pružaju udruge“ </w:t>
      </w:r>
      <w:r w:rsidR="00822E2D" w:rsidRPr="00C41483">
        <w:rPr>
          <w:rFonts w:ascii="Times New Roman" w:eastAsia="Times New Roman" w:hAnsi="Times New Roman" w:cs="Times New Roman"/>
          <w:bCs/>
          <w:sz w:val="24"/>
          <w:szCs w:val="24"/>
          <w:lang w:eastAsia="hr-HR"/>
        </w:rPr>
        <w:t>je</w:t>
      </w:r>
      <w:r w:rsidR="003859A3" w:rsidRPr="00C41483">
        <w:rPr>
          <w:rFonts w:ascii="Times New Roman" w:eastAsia="Times New Roman" w:hAnsi="Times New Roman" w:cs="Times New Roman"/>
          <w:bCs/>
          <w:sz w:val="24"/>
          <w:szCs w:val="24"/>
          <w:lang w:eastAsia="hr-HR"/>
        </w:rPr>
        <w:t xml:space="preserve"> u odgovoru na pitanje 20c)</w:t>
      </w:r>
      <w:r w:rsidR="00427215" w:rsidRPr="00C41483">
        <w:rPr>
          <w:rFonts w:ascii="Times New Roman" w:eastAsia="Times New Roman" w:hAnsi="Times New Roman" w:cs="Times New Roman"/>
          <w:bCs/>
          <w:sz w:val="24"/>
          <w:szCs w:val="24"/>
          <w:lang w:eastAsia="hr-HR"/>
        </w:rPr>
        <w:t>.</w:t>
      </w:r>
    </w:p>
    <w:p w14:paraId="232E2DA6" w14:textId="77777777" w:rsidR="009A64CF" w:rsidRPr="00C41483" w:rsidRDefault="009A64CF" w:rsidP="006B5133">
      <w:pPr>
        <w:tabs>
          <w:tab w:val="left" w:pos="1418"/>
        </w:tabs>
        <w:spacing w:after="0" w:line="240" w:lineRule="auto"/>
        <w:jc w:val="both"/>
        <w:rPr>
          <w:rFonts w:ascii="Times New Roman" w:hAnsi="Times New Roman" w:cs="Times New Roman"/>
          <w:sz w:val="24"/>
          <w:szCs w:val="24"/>
        </w:rPr>
      </w:pPr>
    </w:p>
    <w:p w14:paraId="2CE42AB0" w14:textId="129DB743" w:rsidR="00BF0336" w:rsidRPr="00C41483" w:rsidRDefault="007C222B" w:rsidP="00BF0336">
      <w:pPr>
        <w:pStyle w:val="pt-000020"/>
        <w:shd w:val="clear" w:color="auto" w:fill="FFFFFF"/>
        <w:spacing w:before="0" w:beforeAutospacing="0" w:after="0" w:afterAutospacing="0"/>
        <w:jc w:val="both"/>
        <w:rPr>
          <w:color w:val="000000"/>
        </w:rPr>
      </w:pPr>
      <w:r w:rsidRPr="00C41483">
        <w:t>(</w:t>
      </w:r>
      <w:r w:rsidR="000F3ADF" w:rsidRPr="00C41483">
        <w:t>3</w:t>
      </w:r>
      <w:r w:rsidR="0049430C" w:rsidRPr="00C41483">
        <w:t>2</w:t>
      </w:r>
      <w:r w:rsidRPr="00C41483">
        <w:t xml:space="preserve">) </w:t>
      </w:r>
      <w:r w:rsidR="003B5A98" w:rsidRPr="00C41483">
        <w:t xml:space="preserve">Zakon o </w:t>
      </w:r>
      <w:proofErr w:type="spellStart"/>
      <w:r w:rsidR="003B5A98" w:rsidRPr="00C41483">
        <w:t>udomiteljstvu</w:t>
      </w:r>
      <w:proofErr w:type="spellEnd"/>
      <w:r w:rsidR="003B5A98" w:rsidRPr="00C41483">
        <w:t xml:space="preserve"> (2019) </w:t>
      </w:r>
      <w:r w:rsidR="007843FE" w:rsidRPr="00C41483">
        <w:t xml:space="preserve">donesen je s ciljem poboljšanja kvalitete usluge skrbi u udomiteljskim obiteljima te povećanja broja udomiteljskih obitelji i regionalne ravnomjernosti usluge </w:t>
      </w:r>
      <w:r w:rsidR="00822E2D" w:rsidRPr="00C41483">
        <w:t>što</w:t>
      </w:r>
      <w:r w:rsidR="007843FE" w:rsidRPr="00C41483">
        <w:t xml:space="preserve"> pridonosi </w:t>
      </w:r>
      <w:proofErr w:type="spellStart"/>
      <w:r w:rsidR="007843FE" w:rsidRPr="00C41483">
        <w:t>deinstitucionalizaciji</w:t>
      </w:r>
      <w:proofErr w:type="spellEnd"/>
      <w:r w:rsidR="007843FE" w:rsidRPr="00C41483">
        <w:t xml:space="preserve"> i prevenciji institucionalizacije djece i odraslih osoba.</w:t>
      </w:r>
      <w:r w:rsidR="00BF0336" w:rsidRPr="00C41483">
        <w:t xml:space="preserve"> </w:t>
      </w:r>
      <w:r w:rsidR="00BF0336" w:rsidRPr="00C41483">
        <w:rPr>
          <w:color w:val="000000"/>
        </w:rPr>
        <w:t>Više o Zakonu</w:t>
      </w:r>
      <w:r w:rsidR="00822E2D" w:rsidRPr="00C41483">
        <w:rPr>
          <w:color w:val="000000"/>
        </w:rPr>
        <w:t xml:space="preserve"> te</w:t>
      </w:r>
      <w:r w:rsidR="00BF0336" w:rsidRPr="00C41483">
        <w:rPr>
          <w:color w:val="000000"/>
        </w:rPr>
        <w:t xml:space="preserve"> izmjenama </w:t>
      </w:r>
      <w:r w:rsidR="00673A59" w:rsidRPr="00C41483">
        <w:rPr>
          <w:color w:val="000000"/>
        </w:rPr>
        <w:t xml:space="preserve">i </w:t>
      </w:r>
      <w:r w:rsidR="00BF0336" w:rsidRPr="00C41483">
        <w:rPr>
          <w:color w:val="000000"/>
        </w:rPr>
        <w:t>dopunama Zakona koje su u pripremi u prilogu</w:t>
      </w:r>
      <w:r w:rsidR="00FC522D" w:rsidRPr="00C41483">
        <w:rPr>
          <w:color w:val="000000"/>
        </w:rPr>
        <w:t xml:space="preserve"> 12</w:t>
      </w:r>
      <w:r w:rsidR="00DC7201">
        <w:rPr>
          <w:color w:val="000000"/>
        </w:rPr>
        <w:t>.</w:t>
      </w:r>
    </w:p>
    <w:p w14:paraId="58355DA4" w14:textId="0DDBE66C" w:rsidR="00B77D39" w:rsidRPr="00C41483" w:rsidRDefault="00B77D39" w:rsidP="00BF0336">
      <w:pPr>
        <w:pStyle w:val="pt-000020"/>
        <w:shd w:val="clear" w:color="auto" w:fill="FFFFFF"/>
        <w:spacing w:before="0" w:beforeAutospacing="0" w:after="0" w:afterAutospacing="0"/>
        <w:jc w:val="both"/>
        <w:rPr>
          <w:color w:val="000000"/>
        </w:rPr>
      </w:pPr>
    </w:p>
    <w:p w14:paraId="10D49D81" w14:textId="7D329648" w:rsidR="007843FE" w:rsidRPr="00C41483" w:rsidRDefault="007C222B" w:rsidP="00E825B8">
      <w:pPr>
        <w:pStyle w:val="Tekstkomentara"/>
        <w:jc w:val="both"/>
        <w:rPr>
          <w:bCs/>
          <w:sz w:val="24"/>
          <w:szCs w:val="24"/>
        </w:rPr>
      </w:pPr>
      <w:r w:rsidRPr="00C41483">
        <w:rPr>
          <w:bCs/>
          <w:sz w:val="24"/>
          <w:szCs w:val="24"/>
        </w:rPr>
        <w:t>(3</w:t>
      </w:r>
      <w:r w:rsidR="000F3ADF" w:rsidRPr="00C41483">
        <w:rPr>
          <w:bCs/>
          <w:sz w:val="24"/>
          <w:szCs w:val="24"/>
        </w:rPr>
        <w:t>3</w:t>
      </w:r>
      <w:r w:rsidRPr="00C41483">
        <w:rPr>
          <w:bCs/>
          <w:sz w:val="24"/>
          <w:szCs w:val="24"/>
        </w:rPr>
        <w:t xml:space="preserve">) </w:t>
      </w:r>
      <w:r w:rsidR="007843FE" w:rsidRPr="00C41483">
        <w:rPr>
          <w:bCs/>
          <w:sz w:val="24"/>
          <w:szCs w:val="24"/>
        </w:rPr>
        <w:t xml:space="preserve">U svrhu promicanja </w:t>
      </w:r>
      <w:proofErr w:type="spellStart"/>
      <w:r w:rsidR="007843FE" w:rsidRPr="00C41483">
        <w:rPr>
          <w:bCs/>
          <w:sz w:val="24"/>
          <w:szCs w:val="24"/>
        </w:rPr>
        <w:t>udomiteljstva</w:t>
      </w:r>
      <w:proofErr w:type="spellEnd"/>
      <w:r w:rsidR="007843FE" w:rsidRPr="00C41483">
        <w:rPr>
          <w:bCs/>
          <w:sz w:val="24"/>
          <w:szCs w:val="24"/>
        </w:rPr>
        <w:t xml:space="preserve"> </w:t>
      </w:r>
      <w:r w:rsidR="00DC0940" w:rsidRPr="00C41483">
        <w:rPr>
          <w:bCs/>
          <w:sz w:val="24"/>
          <w:szCs w:val="24"/>
        </w:rPr>
        <w:t>provodila</w:t>
      </w:r>
      <w:r w:rsidR="007843FE" w:rsidRPr="00C41483">
        <w:rPr>
          <w:bCs/>
          <w:sz w:val="24"/>
          <w:szCs w:val="24"/>
        </w:rPr>
        <w:t xml:space="preserve"> </w:t>
      </w:r>
      <w:r w:rsidR="00DC0940" w:rsidRPr="00C41483">
        <w:rPr>
          <w:bCs/>
          <w:sz w:val="24"/>
          <w:szCs w:val="24"/>
        </w:rPr>
        <w:t>s</w:t>
      </w:r>
      <w:r w:rsidR="00E825B8" w:rsidRPr="00C41483">
        <w:rPr>
          <w:bCs/>
          <w:sz w:val="24"/>
          <w:szCs w:val="24"/>
        </w:rPr>
        <w:t xml:space="preserve">e </w:t>
      </w:r>
      <w:r w:rsidR="007843FE" w:rsidRPr="00C41483">
        <w:rPr>
          <w:bCs/>
          <w:sz w:val="24"/>
          <w:szCs w:val="24"/>
        </w:rPr>
        <w:t>kampanja „Svako dijete treba obitelj“ u suradnji s Uredom UNICEF-a za Hrvatsku</w:t>
      </w:r>
      <w:r w:rsidR="00E825B8" w:rsidRPr="00C41483">
        <w:rPr>
          <w:bCs/>
          <w:sz w:val="24"/>
          <w:szCs w:val="24"/>
        </w:rPr>
        <w:t xml:space="preserve">, za čijeg je </w:t>
      </w:r>
      <w:r w:rsidR="007843FE" w:rsidRPr="00C41483">
        <w:rPr>
          <w:bCs/>
          <w:sz w:val="24"/>
          <w:szCs w:val="24"/>
        </w:rPr>
        <w:t>trajanja od kolovoza 2018. godine do listopada 2019. godine ostvaren kontakt s 151 potencijalnom udomiteljskom obitelji.</w:t>
      </w:r>
      <w:r w:rsidR="0049430C" w:rsidRPr="00C41483">
        <w:rPr>
          <w:bCs/>
          <w:sz w:val="24"/>
          <w:szCs w:val="24"/>
        </w:rPr>
        <w:t xml:space="preserve"> U suradnji s Uredom UNICEF-a za Hrvatsku i Zakladom „Hrvatska za djecu“ kroz Humanitarnu akciju </w:t>
      </w:r>
      <w:r w:rsidR="0049430C" w:rsidRPr="00C41483">
        <w:rPr>
          <w:bCs/>
          <w:sz w:val="24"/>
          <w:szCs w:val="24"/>
        </w:rPr>
        <w:lastRenderedPageBreak/>
        <w:t>„Mliječna staza“, 2019. godine prikupljena su sredstva za nabavku dječje opreme za 123 djece do 3. godine života koja žive u udomiteljskim obiteljima.</w:t>
      </w:r>
    </w:p>
    <w:p w14:paraId="1F169EC6" w14:textId="41D5C6D4" w:rsidR="007843FE" w:rsidRPr="00C41483" w:rsidRDefault="007843FE" w:rsidP="006B5133">
      <w:pPr>
        <w:spacing w:after="0" w:line="240" w:lineRule="auto"/>
        <w:jc w:val="both"/>
        <w:rPr>
          <w:rFonts w:ascii="Times New Roman" w:eastAsia="Times New Roman" w:hAnsi="Times New Roman" w:cs="Times New Roman"/>
          <w:bCs/>
          <w:sz w:val="24"/>
          <w:szCs w:val="24"/>
          <w:lang w:eastAsia="hr-HR"/>
        </w:rPr>
      </w:pPr>
    </w:p>
    <w:p w14:paraId="31CB44CA" w14:textId="2977039B" w:rsidR="00361CE7" w:rsidRPr="00C41483" w:rsidRDefault="00F361C7" w:rsidP="006B5133">
      <w:pPr>
        <w:spacing w:after="0" w:line="240" w:lineRule="auto"/>
        <w:jc w:val="both"/>
        <w:rPr>
          <w:rFonts w:ascii="Times New Roman" w:eastAsia="Times New Roman" w:hAnsi="Times New Roman" w:cs="Times New Roman"/>
          <w:bCs/>
          <w:i/>
          <w:iCs/>
          <w:sz w:val="24"/>
          <w:szCs w:val="24"/>
          <w:lang w:eastAsia="hr-HR"/>
        </w:rPr>
      </w:pPr>
      <w:bookmarkStart w:id="26" w:name="_Hlk83813682"/>
      <w:r w:rsidRPr="00C41483">
        <w:rPr>
          <w:rFonts w:ascii="Times New Roman" w:eastAsia="Times New Roman" w:hAnsi="Times New Roman" w:cs="Times New Roman"/>
          <w:bCs/>
          <w:i/>
          <w:iCs/>
          <w:sz w:val="24"/>
          <w:szCs w:val="24"/>
          <w:lang w:eastAsia="hr-HR"/>
        </w:rPr>
        <w:t xml:space="preserve">Pitanje </w:t>
      </w:r>
      <w:r w:rsidR="004F7B6D" w:rsidRPr="00C41483">
        <w:rPr>
          <w:rFonts w:ascii="Times New Roman" w:eastAsia="Times New Roman" w:hAnsi="Times New Roman" w:cs="Times New Roman"/>
          <w:bCs/>
          <w:i/>
          <w:iCs/>
          <w:sz w:val="24"/>
          <w:szCs w:val="24"/>
          <w:lang w:eastAsia="hr-HR"/>
        </w:rPr>
        <w:t>6</w:t>
      </w:r>
    </w:p>
    <w:bookmarkEnd w:id="26"/>
    <w:p w14:paraId="18B0FB73" w14:textId="3AAAAAD9" w:rsidR="009A4D9A" w:rsidRPr="00C41483" w:rsidRDefault="009A4D9A" w:rsidP="006B5133">
      <w:pPr>
        <w:spacing w:after="0" w:line="240" w:lineRule="auto"/>
        <w:jc w:val="both"/>
        <w:rPr>
          <w:rFonts w:ascii="Times New Roman" w:eastAsia="Times New Roman" w:hAnsi="Times New Roman" w:cs="Times New Roman"/>
          <w:bCs/>
          <w:sz w:val="24"/>
          <w:szCs w:val="24"/>
          <w:lang w:eastAsia="hr-HR"/>
        </w:rPr>
      </w:pPr>
    </w:p>
    <w:p w14:paraId="7E63B9E4" w14:textId="20D84888" w:rsidR="009F12FB" w:rsidRPr="00C41483" w:rsidRDefault="007C222B" w:rsidP="009F12FB">
      <w:pPr>
        <w:spacing w:after="0" w:line="240" w:lineRule="auto"/>
        <w:jc w:val="both"/>
        <w:rPr>
          <w:rFonts w:ascii="Times New Roman" w:eastAsia="Times New Roman" w:hAnsi="Times New Roman" w:cs="Times New Roman"/>
          <w:bCs/>
          <w:sz w:val="24"/>
          <w:szCs w:val="24"/>
          <w:lang w:eastAsia="hr-HR"/>
        </w:rPr>
      </w:pPr>
      <w:r w:rsidRPr="00C41483">
        <w:rPr>
          <w:rFonts w:ascii="Times New Roman" w:eastAsia="Calibri" w:hAnsi="Times New Roman" w:cs="Times New Roman"/>
          <w:sz w:val="24"/>
          <w:szCs w:val="24"/>
          <w:lang w:eastAsia="hr-HR"/>
        </w:rPr>
        <w:t>(3</w:t>
      </w:r>
      <w:r w:rsidR="000F3ADF" w:rsidRPr="00C41483">
        <w:rPr>
          <w:rFonts w:ascii="Times New Roman" w:eastAsia="Calibri" w:hAnsi="Times New Roman" w:cs="Times New Roman"/>
          <w:sz w:val="24"/>
          <w:szCs w:val="24"/>
          <w:lang w:eastAsia="hr-HR"/>
        </w:rPr>
        <w:t>4</w:t>
      </w:r>
      <w:r w:rsidRPr="00C41483">
        <w:rPr>
          <w:rFonts w:ascii="Times New Roman" w:eastAsia="Calibri" w:hAnsi="Times New Roman" w:cs="Times New Roman"/>
          <w:sz w:val="24"/>
          <w:szCs w:val="24"/>
          <w:lang w:eastAsia="hr-HR"/>
        </w:rPr>
        <w:t xml:space="preserve">) </w:t>
      </w:r>
      <w:r w:rsidR="00F963F4" w:rsidRPr="00C41483">
        <w:rPr>
          <w:rFonts w:ascii="Times New Roman" w:eastAsia="Calibri" w:hAnsi="Times New Roman" w:cs="Times New Roman"/>
          <w:sz w:val="24"/>
          <w:szCs w:val="24"/>
          <w:lang w:eastAsia="hr-HR"/>
        </w:rPr>
        <w:t xml:space="preserve">Postupanje nadležnih tijela u zaštiti djeteta temelji se na načelima propisanim Obiteljskim zakonom: solidarnosti, uzajamnoga poštovanja i pomaganja svih članova obitelji, prvenstvene zaštite dobrobiti i prava djeteta, prvenstvenoga prava roditelja da skrbe o djetetu, dužnosti nadležnih tijela da im se pruža pomoć i intervenira samo u slučaju potrebe te razmjerne i najblaže intervencije u obiteljski život. </w:t>
      </w:r>
      <w:r w:rsidR="001640AC" w:rsidRPr="00C41483">
        <w:rPr>
          <w:rFonts w:ascii="Times New Roman" w:eastAsia="Calibri" w:hAnsi="Times New Roman" w:cs="Times New Roman"/>
          <w:sz w:val="24"/>
          <w:szCs w:val="24"/>
          <w:lang w:eastAsia="hr-HR"/>
        </w:rPr>
        <w:t xml:space="preserve">Sukladno Zakonu o socijalnoj skrbi pored socijalnih usluga koje su pojašnjenje u odgovoru na pitanje 22, djeca s teškoćama u razvoju imaju pravo i na usluge rane intervencije, psihosocijalne podrške, pomoći pri uključivanju u programe odgoja i redovitog obrazovanja (integracije) i boravka. </w:t>
      </w:r>
      <w:r w:rsidR="009F12FB" w:rsidRPr="00C41483">
        <w:rPr>
          <w:rFonts w:ascii="Times New Roman" w:eastAsia="Calibri" w:hAnsi="Times New Roman" w:cs="Times New Roman"/>
          <w:sz w:val="24"/>
          <w:szCs w:val="24"/>
          <w:lang w:eastAsia="hr-HR"/>
        </w:rPr>
        <w:t xml:space="preserve">Kroz navedene usluge </w:t>
      </w:r>
      <w:r w:rsidR="007F47D7" w:rsidRPr="00C41483">
        <w:rPr>
          <w:rFonts w:ascii="Times New Roman" w:eastAsia="Calibri" w:hAnsi="Times New Roman" w:cs="Times New Roman"/>
          <w:sz w:val="24"/>
          <w:szCs w:val="24"/>
          <w:lang w:eastAsia="hr-HR"/>
        </w:rPr>
        <w:t>rodite</w:t>
      </w:r>
      <w:r w:rsidR="009F12FB" w:rsidRPr="00C41483">
        <w:rPr>
          <w:rFonts w:ascii="Times New Roman" w:eastAsia="Calibri" w:hAnsi="Times New Roman" w:cs="Times New Roman"/>
          <w:sz w:val="24"/>
          <w:szCs w:val="24"/>
          <w:lang w:eastAsia="hr-HR"/>
        </w:rPr>
        <w:t xml:space="preserve">ljima se osigurava podrška u skrbi za </w:t>
      </w:r>
      <w:r w:rsidR="007F47D7" w:rsidRPr="00C41483">
        <w:rPr>
          <w:rFonts w:ascii="Times New Roman" w:eastAsia="Calibri" w:hAnsi="Times New Roman" w:cs="Times New Roman"/>
          <w:sz w:val="24"/>
          <w:szCs w:val="24"/>
          <w:lang w:eastAsia="hr-HR"/>
        </w:rPr>
        <w:t>djecu</w:t>
      </w:r>
      <w:r w:rsidR="00F963F4" w:rsidRPr="00C41483">
        <w:rPr>
          <w:rFonts w:ascii="Times New Roman" w:eastAsia="Calibri" w:hAnsi="Times New Roman" w:cs="Times New Roman"/>
          <w:sz w:val="24"/>
          <w:szCs w:val="24"/>
          <w:lang w:eastAsia="hr-HR"/>
        </w:rPr>
        <w:t xml:space="preserve">. </w:t>
      </w:r>
      <w:r w:rsidR="009F12FB" w:rsidRPr="00C41483">
        <w:rPr>
          <w:rFonts w:ascii="Times New Roman" w:eastAsia="Times New Roman" w:hAnsi="Times New Roman" w:cs="Times New Roman"/>
          <w:bCs/>
          <w:sz w:val="24"/>
          <w:szCs w:val="24"/>
          <w:lang w:eastAsia="hr-HR"/>
        </w:rPr>
        <w:t>Detaljniji podaci o pružanju usluge rane intervencije u sustavu socijalne skrbi se nalaze u prilogu</w:t>
      </w:r>
      <w:r w:rsidR="00FC522D" w:rsidRPr="00C41483">
        <w:rPr>
          <w:rFonts w:ascii="Times New Roman" w:eastAsia="Times New Roman" w:hAnsi="Times New Roman" w:cs="Times New Roman"/>
          <w:bCs/>
          <w:sz w:val="24"/>
          <w:szCs w:val="24"/>
          <w:lang w:eastAsia="hr-HR"/>
        </w:rPr>
        <w:t xml:space="preserve"> 13</w:t>
      </w:r>
      <w:r w:rsidR="00DC7201">
        <w:rPr>
          <w:rFonts w:ascii="Times New Roman" w:eastAsia="Times New Roman" w:hAnsi="Times New Roman" w:cs="Times New Roman"/>
          <w:bCs/>
          <w:sz w:val="24"/>
          <w:szCs w:val="24"/>
          <w:lang w:eastAsia="hr-HR"/>
        </w:rPr>
        <w:t>.</w:t>
      </w:r>
    </w:p>
    <w:p w14:paraId="4D86B36E" w14:textId="3F37A403" w:rsidR="0049430C" w:rsidRDefault="0049430C" w:rsidP="009F12FB">
      <w:pPr>
        <w:spacing w:after="0" w:line="240" w:lineRule="auto"/>
        <w:jc w:val="both"/>
      </w:pPr>
    </w:p>
    <w:p w14:paraId="4F6947A8" w14:textId="06822EE2" w:rsidR="007F47D7" w:rsidRPr="00C41483" w:rsidRDefault="007C222B" w:rsidP="003379F5">
      <w:pPr>
        <w:spacing w:after="0" w:line="240" w:lineRule="auto"/>
        <w:jc w:val="both"/>
        <w:rPr>
          <w:rFonts w:ascii="Times New Roman" w:eastAsia="Calibri" w:hAnsi="Times New Roman" w:cs="Times New Roman"/>
          <w:sz w:val="24"/>
          <w:szCs w:val="24"/>
        </w:rPr>
      </w:pPr>
      <w:r w:rsidRPr="00C41483">
        <w:rPr>
          <w:rFonts w:ascii="Times New Roman" w:eastAsia="Calibri" w:hAnsi="Times New Roman" w:cs="Times New Roman"/>
          <w:sz w:val="24"/>
          <w:szCs w:val="24"/>
          <w:lang w:eastAsia="hr-HR"/>
        </w:rPr>
        <w:t>(3</w:t>
      </w:r>
      <w:r w:rsidR="000F3ADF" w:rsidRPr="00C41483">
        <w:rPr>
          <w:rFonts w:ascii="Times New Roman" w:eastAsia="Calibri" w:hAnsi="Times New Roman" w:cs="Times New Roman"/>
          <w:sz w:val="24"/>
          <w:szCs w:val="24"/>
          <w:lang w:eastAsia="hr-HR"/>
        </w:rPr>
        <w:t>5</w:t>
      </w:r>
      <w:r w:rsidRPr="00C41483">
        <w:rPr>
          <w:rFonts w:ascii="Times New Roman" w:eastAsia="Calibri" w:hAnsi="Times New Roman" w:cs="Times New Roman"/>
          <w:sz w:val="24"/>
          <w:szCs w:val="24"/>
          <w:lang w:eastAsia="hr-HR"/>
        </w:rPr>
        <w:t xml:space="preserve">) </w:t>
      </w:r>
      <w:r w:rsidR="009F12FB" w:rsidRPr="00C41483">
        <w:rPr>
          <w:rFonts w:ascii="Times New Roman" w:eastAsia="Calibri" w:hAnsi="Times New Roman" w:cs="Times New Roman"/>
          <w:sz w:val="24"/>
          <w:szCs w:val="24"/>
          <w:lang w:eastAsia="hr-HR"/>
        </w:rPr>
        <w:t>S</w:t>
      </w:r>
      <w:r w:rsidR="002F0F97" w:rsidRPr="00C41483">
        <w:rPr>
          <w:rFonts w:ascii="Times New Roman" w:eastAsia="Calibri" w:hAnsi="Times New Roman" w:cs="Times New Roman"/>
          <w:sz w:val="24"/>
          <w:szCs w:val="24"/>
          <w:lang w:eastAsia="hr-HR"/>
        </w:rPr>
        <w:t xml:space="preserve"> ciljem donošenja nacionalnog strateškog plana za ranu intervenciju u djetinjstvu te praćenja njegove provedbe</w:t>
      </w:r>
      <w:r w:rsidR="009F12FB" w:rsidRPr="00C41483">
        <w:rPr>
          <w:rFonts w:ascii="Times New Roman" w:eastAsia="Calibri" w:hAnsi="Times New Roman" w:cs="Times New Roman"/>
          <w:sz w:val="24"/>
          <w:szCs w:val="24"/>
          <w:lang w:eastAsia="hr-HR"/>
        </w:rPr>
        <w:t xml:space="preserve"> Vlada </w:t>
      </w:r>
      <w:r w:rsidR="00DB6820" w:rsidRPr="00C41483">
        <w:rPr>
          <w:rFonts w:ascii="Times New Roman" w:eastAsia="Calibri" w:hAnsi="Times New Roman" w:cs="Times New Roman"/>
          <w:sz w:val="24"/>
          <w:szCs w:val="24"/>
          <w:lang w:eastAsia="hr-HR"/>
        </w:rPr>
        <w:t>RH</w:t>
      </w:r>
      <w:r w:rsidR="009F12FB" w:rsidRPr="00C41483">
        <w:rPr>
          <w:rFonts w:ascii="Times New Roman" w:eastAsia="Calibri" w:hAnsi="Times New Roman" w:cs="Times New Roman"/>
          <w:sz w:val="24"/>
          <w:szCs w:val="24"/>
          <w:lang w:eastAsia="hr-HR"/>
        </w:rPr>
        <w:t xml:space="preserve"> je 2019. godine osnovala Povjerenstvo za ranu intervenciju u djetinjstvu</w:t>
      </w:r>
      <w:r w:rsidR="00663EB2" w:rsidRPr="00C41483">
        <w:rPr>
          <w:rFonts w:ascii="Times New Roman" w:eastAsia="Calibri" w:hAnsi="Times New Roman" w:cs="Times New Roman"/>
          <w:sz w:val="24"/>
          <w:szCs w:val="24"/>
          <w:lang w:eastAsia="hr-HR"/>
        </w:rPr>
        <w:t xml:space="preserve">, a s </w:t>
      </w:r>
      <w:r w:rsidR="007934F8" w:rsidRPr="00C41483">
        <w:rPr>
          <w:rFonts w:ascii="Times New Roman" w:eastAsia="Calibri" w:hAnsi="Times New Roman" w:cs="Times New Roman"/>
          <w:sz w:val="24"/>
          <w:szCs w:val="24"/>
        </w:rPr>
        <w:t>ciljem osiguranja informacija o potrebama djece s teškoćama i njihovih obitelji, kvaliteti i dostupnosti usluga rane intervencije te identificiranja postojeće politike i zakonodavnog okvira te donošenja preporuka</w:t>
      </w:r>
      <w:r w:rsidR="00822E2D" w:rsidRPr="00C41483">
        <w:rPr>
          <w:rFonts w:ascii="Times New Roman" w:eastAsia="Calibri" w:hAnsi="Times New Roman" w:cs="Times New Roman"/>
          <w:sz w:val="24"/>
          <w:szCs w:val="24"/>
        </w:rPr>
        <w:t>,</w:t>
      </w:r>
      <w:r w:rsidR="007F47D7" w:rsidRPr="00C41483">
        <w:rPr>
          <w:rFonts w:ascii="Times New Roman" w:eastAsia="Calibri" w:hAnsi="Times New Roman" w:cs="Times New Roman"/>
          <w:sz w:val="24"/>
          <w:szCs w:val="24"/>
        </w:rPr>
        <w:t xml:space="preserve"> UNICEF je izradio sveobuhvatnu „Analizu usluga rane intervencije u Hrvatskoj“.</w:t>
      </w:r>
    </w:p>
    <w:p w14:paraId="4E2FA995" w14:textId="77777777" w:rsidR="000E6B09" w:rsidRPr="00C41483" w:rsidRDefault="000E6B09" w:rsidP="003379F5">
      <w:pPr>
        <w:spacing w:after="0" w:line="240" w:lineRule="auto"/>
        <w:jc w:val="both"/>
        <w:rPr>
          <w:rFonts w:ascii="Times New Roman" w:eastAsia="Times New Roman" w:hAnsi="Times New Roman" w:cs="Times New Roman"/>
          <w:bCs/>
          <w:sz w:val="24"/>
          <w:szCs w:val="24"/>
          <w:lang w:eastAsia="hr-HR"/>
        </w:rPr>
      </w:pPr>
    </w:p>
    <w:p w14:paraId="1683F0F6" w14:textId="2FE9271F" w:rsidR="002B2FDF" w:rsidRPr="00C41483" w:rsidRDefault="007C222B" w:rsidP="003379F5">
      <w:pPr>
        <w:pStyle w:val="StandardWeb"/>
        <w:spacing w:before="0" w:beforeAutospacing="0" w:after="0" w:afterAutospacing="0"/>
        <w:jc w:val="both"/>
        <w:rPr>
          <w:rFonts w:ascii="Times New Roman" w:eastAsia="Times New Roman" w:hAnsi="Times New Roman" w:cs="Times New Roman"/>
          <w:bCs/>
          <w:sz w:val="24"/>
          <w:szCs w:val="24"/>
        </w:rPr>
      </w:pPr>
      <w:r w:rsidRPr="00C41483">
        <w:rPr>
          <w:rFonts w:ascii="Times New Roman" w:eastAsia="Times New Roman" w:hAnsi="Times New Roman" w:cs="Times New Roman"/>
          <w:bCs/>
          <w:sz w:val="24"/>
          <w:szCs w:val="24"/>
        </w:rPr>
        <w:t>(</w:t>
      </w:r>
      <w:r w:rsidR="009B2810" w:rsidRPr="00C41483">
        <w:rPr>
          <w:rFonts w:ascii="Times New Roman" w:eastAsia="Times New Roman" w:hAnsi="Times New Roman" w:cs="Times New Roman"/>
          <w:bCs/>
          <w:sz w:val="24"/>
          <w:szCs w:val="24"/>
        </w:rPr>
        <w:t>3</w:t>
      </w:r>
      <w:r w:rsidR="000F3ADF" w:rsidRPr="00C41483">
        <w:rPr>
          <w:rFonts w:ascii="Times New Roman" w:eastAsia="Times New Roman" w:hAnsi="Times New Roman" w:cs="Times New Roman"/>
          <w:bCs/>
          <w:sz w:val="24"/>
          <w:szCs w:val="24"/>
        </w:rPr>
        <w:t>6</w:t>
      </w:r>
      <w:r w:rsidR="009B2810" w:rsidRPr="00C41483">
        <w:rPr>
          <w:rFonts w:ascii="Times New Roman" w:eastAsia="Times New Roman" w:hAnsi="Times New Roman" w:cs="Times New Roman"/>
          <w:bCs/>
          <w:sz w:val="24"/>
          <w:szCs w:val="24"/>
        </w:rPr>
        <w:t>)</w:t>
      </w:r>
      <w:r w:rsidRPr="00C41483">
        <w:rPr>
          <w:rFonts w:ascii="Times New Roman" w:eastAsia="Times New Roman" w:hAnsi="Times New Roman" w:cs="Times New Roman"/>
          <w:bCs/>
          <w:sz w:val="24"/>
          <w:szCs w:val="24"/>
        </w:rPr>
        <w:t xml:space="preserve"> </w:t>
      </w:r>
      <w:r w:rsidR="00E82BC3" w:rsidRPr="00C41483">
        <w:rPr>
          <w:rFonts w:ascii="Times New Roman" w:eastAsia="Times New Roman" w:hAnsi="Times New Roman" w:cs="Times New Roman"/>
          <w:bCs/>
          <w:sz w:val="24"/>
          <w:szCs w:val="24"/>
        </w:rPr>
        <w:t xml:space="preserve">Ministarstvo </w:t>
      </w:r>
      <w:bookmarkStart w:id="27" w:name="_Hlk83286074"/>
      <w:r w:rsidR="00E82BC3" w:rsidRPr="00C41483">
        <w:rPr>
          <w:rFonts w:ascii="Times New Roman" w:eastAsia="Times New Roman" w:hAnsi="Times New Roman" w:cs="Times New Roman"/>
          <w:bCs/>
          <w:sz w:val="24"/>
          <w:szCs w:val="24"/>
        </w:rPr>
        <w:t>nadležno za socijalnu skrb i Ured UNICEF-a za Hrvatsku su 2020.</w:t>
      </w:r>
      <w:r w:rsidR="002B2FDF" w:rsidRPr="00C41483">
        <w:rPr>
          <w:rFonts w:ascii="Times New Roman" w:eastAsia="Times New Roman" w:hAnsi="Times New Roman" w:cs="Times New Roman"/>
          <w:bCs/>
          <w:sz w:val="24"/>
          <w:szCs w:val="24"/>
        </w:rPr>
        <w:t xml:space="preserve"> godine potpisali </w:t>
      </w:r>
      <w:r w:rsidR="00E82BC3" w:rsidRPr="00C41483">
        <w:rPr>
          <w:rFonts w:ascii="Times New Roman" w:eastAsia="Times New Roman" w:hAnsi="Times New Roman" w:cs="Times New Roman"/>
          <w:bCs/>
          <w:sz w:val="24"/>
          <w:szCs w:val="24"/>
        </w:rPr>
        <w:t xml:space="preserve">Memorandum o razumijevanju na </w:t>
      </w:r>
      <w:proofErr w:type="spellStart"/>
      <w:r w:rsidR="00E82BC3" w:rsidRPr="00C41483">
        <w:rPr>
          <w:rFonts w:ascii="Times New Roman" w:eastAsia="Times New Roman" w:hAnsi="Times New Roman" w:cs="Times New Roman"/>
          <w:bCs/>
          <w:sz w:val="24"/>
          <w:szCs w:val="24"/>
        </w:rPr>
        <w:t>pilotiranju</w:t>
      </w:r>
      <w:proofErr w:type="spellEnd"/>
      <w:r w:rsidR="00E82BC3" w:rsidRPr="00C41483">
        <w:rPr>
          <w:rFonts w:ascii="Times New Roman" w:eastAsia="Times New Roman" w:hAnsi="Times New Roman" w:cs="Times New Roman"/>
          <w:bCs/>
          <w:sz w:val="24"/>
          <w:szCs w:val="24"/>
        </w:rPr>
        <w:t xml:space="preserve"> Programa „Ostvarenje jamstva za svako dijete“</w:t>
      </w:r>
      <w:r w:rsidR="002B2FDF" w:rsidRPr="00C41483">
        <w:rPr>
          <w:rFonts w:ascii="Times New Roman" w:eastAsia="Times New Roman" w:hAnsi="Times New Roman" w:cs="Times New Roman"/>
          <w:bCs/>
          <w:sz w:val="24"/>
          <w:szCs w:val="24"/>
        </w:rPr>
        <w:t xml:space="preserve"> s ciljem</w:t>
      </w:r>
      <w:r w:rsidR="002B2FDF" w:rsidRPr="00C41483">
        <w:rPr>
          <w:rFonts w:ascii="Times New Roman" w:hAnsi="Times New Roman" w:cs="Times New Roman"/>
          <w:color w:val="0C64C0"/>
          <w:sz w:val="27"/>
          <w:szCs w:val="27"/>
        </w:rPr>
        <w:t xml:space="preserve"> </w:t>
      </w:r>
      <w:r w:rsidR="003379F5" w:rsidRPr="00C41483">
        <w:rPr>
          <w:rFonts w:ascii="Times New Roman" w:eastAsia="Times New Roman" w:hAnsi="Times New Roman" w:cs="Times New Roman"/>
          <w:bCs/>
          <w:sz w:val="24"/>
          <w:szCs w:val="24"/>
        </w:rPr>
        <w:t>osigura</w:t>
      </w:r>
      <w:r w:rsidR="009B2810" w:rsidRPr="00C41483">
        <w:rPr>
          <w:rFonts w:ascii="Times New Roman" w:eastAsia="Times New Roman" w:hAnsi="Times New Roman" w:cs="Times New Roman"/>
          <w:bCs/>
          <w:sz w:val="24"/>
          <w:szCs w:val="24"/>
        </w:rPr>
        <w:t>nja</w:t>
      </w:r>
      <w:r w:rsidR="002B2FDF" w:rsidRPr="00C41483">
        <w:rPr>
          <w:rFonts w:ascii="Times New Roman" w:eastAsia="Times New Roman" w:hAnsi="Times New Roman" w:cs="Times New Roman"/>
          <w:bCs/>
          <w:sz w:val="24"/>
          <w:szCs w:val="24"/>
        </w:rPr>
        <w:t xml:space="preserve"> pristup</w:t>
      </w:r>
      <w:r w:rsidR="009B2810" w:rsidRPr="00C41483">
        <w:rPr>
          <w:rFonts w:ascii="Times New Roman" w:eastAsia="Times New Roman" w:hAnsi="Times New Roman" w:cs="Times New Roman"/>
          <w:bCs/>
          <w:sz w:val="24"/>
          <w:szCs w:val="24"/>
        </w:rPr>
        <w:t>a</w:t>
      </w:r>
      <w:r w:rsidR="002B2FDF" w:rsidRPr="00C41483">
        <w:rPr>
          <w:rFonts w:ascii="Times New Roman" w:eastAsia="Times New Roman" w:hAnsi="Times New Roman" w:cs="Times New Roman"/>
          <w:bCs/>
          <w:sz w:val="24"/>
          <w:szCs w:val="24"/>
        </w:rPr>
        <w:t xml:space="preserve"> integriranim multidisciplinarnim, adekvatno financiranim uslugama podrške </w:t>
      </w:r>
      <w:r w:rsidR="009B2810" w:rsidRPr="00C41483">
        <w:rPr>
          <w:rFonts w:ascii="Times New Roman" w:eastAsia="Times New Roman" w:hAnsi="Times New Roman" w:cs="Times New Roman"/>
          <w:bCs/>
          <w:sz w:val="24"/>
          <w:szCs w:val="24"/>
        </w:rPr>
        <w:t>djeci iz Međimurske županije</w:t>
      </w:r>
      <w:r w:rsidR="003379F5" w:rsidRPr="00C41483">
        <w:rPr>
          <w:rFonts w:ascii="Times New Roman" w:eastAsia="Times New Roman" w:hAnsi="Times New Roman" w:cs="Times New Roman"/>
          <w:bCs/>
          <w:sz w:val="24"/>
          <w:szCs w:val="24"/>
        </w:rPr>
        <w:t>.</w:t>
      </w:r>
      <w:r w:rsidR="002F2333" w:rsidRPr="00C41483">
        <w:rPr>
          <w:rFonts w:ascii="Times New Roman" w:eastAsia="Times New Roman" w:hAnsi="Times New Roman" w:cs="Times New Roman"/>
          <w:bCs/>
          <w:sz w:val="24"/>
          <w:szCs w:val="24"/>
        </w:rPr>
        <w:t xml:space="preserve"> </w:t>
      </w:r>
      <w:r w:rsidR="00BF0336" w:rsidRPr="00C41483">
        <w:rPr>
          <w:rFonts w:ascii="Times New Roman" w:eastAsia="Times New Roman" w:hAnsi="Times New Roman" w:cs="Times New Roman"/>
          <w:bCs/>
          <w:sz w:val="24"/>
          <w:szCs w:val="24"/>
        </w:rPr>
        <w:t>Više</w:t>
      </w:r>
      <w:r w:rsidR="002F2333" w:rsidRPr="00C41483">
        <w:rPr>
          <w:rFonts w:ascii="Times New Roman" w:eastAsia="Times New Roman" w:hAnsi="Times New Roman" w:cs="Times New Roman"/>
          <w:bCs/>
          <w:sz w:val="24"/>
          <w:szCs w:val="24"/>
        </w:rPr>
        <w:t xml:space="preserve"> u prilogu</w:t>
      </w:r>
      <w:r w:rsidR="00FC522D" w:rsidRPr="00C41483">
        <w:rPr>
          <w:rFonts w:ascii="Times New Roman" w:eastAsia="Times New Roman" w:hAnsi="Times New Roman" w:cs="Times New Roman"/>
          <w:bCs/>
          <w:sz w:val="24"/>
          <w:szCs w:val="24"/>
        </w:rPr>
        <w:t xml:space="preserve"> 14</w:t>
      </w:r>
      <w:r w:rsidR="00DC7201">
        <w:rPr>
          <w:rFonts w:ascii="Times New Roman" w:eastAsia="Times New Roman" w:hAnsi="Times New Roman" w:cs="Times New Roman"/>
          <w:bCs/>
          <w:sz w:val="24"/>
          <w:szCs w:val="24"/>
        </w:rPr>
        <w:t>.</w:t>
      </w:r>
    </w:p>
    <w:p w14:paraId="2F9A083F" w14:textId="433B12F5" w:rsidR="009B2810" w:rsidRPr="00C41483" w:rsidRDefault="009B2810" w:rsidP="003379F5">
      <w:pPr>
        <w:pStyle w:val="StandardWeb"/>
        <w:spacing w:before="0" w:beforeAutospacing="0" w:after="0" w:afterAutospacing="0"/>
        <w:jc w:val="both"/>
        <w:rPr>
          <w:rFonts w:ascii="Times New Roman" w:eastAsia="Times New Roman" w:hAnsi="Times New Roman" w:cs="Times New Roman"/>
          <w:bCs/>
          <w:sz w:val="24"/>
          <w:szCs w:val="24"/>
        </w:rPr>
      </w:pPr>
    </w:p>
    <w:p w14:paraId="15226ADA" w14:textId="7499CD39" w:rsidR="004F7B6D" w:rsidRPr="00C41483" w:rsidRDefault="00F361C7" w:rsidP="006B5133">
      <w:pPr>
        <w:spacing w:after="0" w:line="240" w:lineRule="auto"/>
        <w:jc w:val="both"/>
        <w:rPr>
          <w:rFonts w:ascii="Times New Roman" w:eastAsia="Times New Roman" w:hAnsi="Times New Roman" w:cs="Times New Roman"/>
          <w:bCs/>
          <w:i/>
          <w:iCs/>
          <w:sz w:val="24"/>
          <w:szCs w:val="24"/>
          <w:lang w:eastAsia="hr-HR"/>
        </w:rPr>
      </w:pPr>
      <w:bookmarkStart w:id="28" w:name="_Hlk83813700"/>
      <w:bookmarkEnd w:id="27"/>
      <w:r w:rsidRPr="00C41483">
        <w:rPr>
          <w:rFonts w:ascii="Times New Roman" w:eastAsia="Times New Roman" w:hAnsi="Times New Roman" w:cs="Times New Roman"/>
          <w:bCs/>
          <w:i/>
          <w:iCs/>
          <w:sz w:val="24"/>
          <w:szCs w:val="24"/>
          <w:lang w:eastAsia="hr-HR"/>
        </w:rPr>
        <w:t>Pitanje 6</w:t>
      </w:r>
      <w:r w:rsidR="004F7B6D" w:rsidRPr="00C41483">
        <w:rPr>
          <w:rFonts w:ascii="Times New Roman" w:eastAsia="Times New Roman" w:hAnsi="Times New Roman" w:cs="Times New Roman"/>
          <w:bCs/>
          <w:i/>
          <w:iCs/>
          <w:sz w:val="24"/>
          <w:szCs w:val="24"/>
          <w:lang w:eastAsia="hr-HR"/>
        </w:rPr>
        <w:t>a)</w:t>
      </w:r>
    </w:p>
    <w:bookmarkEnd w:id="28"/>
    <w:p w14:paraId="5FAACE65" w14:textId="77777777" w:rsidR="00364A79" w:rsidRPr="00C41483" w:rsidRDefault="00364A79" w:rsidP="006B5133">
      <w:pPr>
        <w:spacing w:after="0" w:line="240" w:lineRule="auto"/>
        <w:jc w:val="both"/>
        <w:rPr>
          <w:rFonts w:ascii="Times New Roman" w:hAnsi="Times New Roman" w:cs="Times New Roman"/>
          <w:sz w:val="24"/>
          <w:szCs w:val="24"/>
        </w:rPr>
      </w:pPr>
    </w:p>
    <w:p w14:paraId="7F90037A" w14:textId="0DB9132E" w:rsidR="00EC02FD" w:rsidRPr="00C41483" w:rsidRDefault="007C222B" w:rsidP="006B5133">
      <w:pPr>
        <w:spacing w:after="0" w:line="240" w:lineRule="auto"/>
        <w:jc w:val="both"/>
        <w:rPr>
          <w:rFonts w:ascii="Times New Roman" w:hAnsi="Times New Roman" w:cs="Times New Roman"/>
          <w:sz w:val="24"/>
          <w:szCs w:val="24"/>
        </w:rPr>
      </w:pPr>
      <w:r w:rsidRPr="00C41483">
        <w:rPr>
          <w:rFonts w:ascii="Times New Roman" w:hAnsi="Times New Roman" w:cs="Times New Roman"/>
          <w:sz w:val="24"/>
          <w:szCs w:val="24"/>
        </w:rPr>
        <w:t>(</w:t>
      </w:r>
      <w:r w:rsidR="009B2810" w:rsidRPr="00C41483">
        <w:rPr>
          <w:rFonts w:ascii="Times New Roman" w:hAnsi="Times New Roman" w:cs="Times New Roman"/>
          <w:sz w:val="24"/>
          <w:szCs w:val="24"/>
        </w:rPr>
        <w:t>3</w:t>
      </w:r>
      <w:r w:rsidR="000F3ADF" w:rsidRPr="00C41483">
        <w:rPr>
          <w:rFonts w:ascii="Times New Roman" w:hAnsi="Times New Roman" w:cs="Times New Roman"/>
          <w:sz w:val="24"/>
          <w:szCs w:val="24"/>
        </w:rPr>
        <w:t>7</w:t>
      </w:r>
      <w:r w:rsidRPr="00C41483">
        <w:rPr>
          <w:rFonts w:ascii="Times New Roman" w:hAnsi="Times New Roman" w:cs="Times New Roman"/>
          <w:sz w:val="24"/>
          <w:szCs w:val="24"/>
        </w:rPr>
        <w:t xml:space="preserve">) </w:t>
      </w:r>
      <w:r w:rsidR="00EC02FD" w:rsidRPr="00C41483">
        <w:rPr>
          <w:rFonts w:ascii="Times New Roman" w:hAnsi="Times New Roman" w:cs="Times New Roman"/>
          <w:sz w:val="24"/>
          <w:szCs w:val="24"/>
        </w:rPr>
        <w:t xml:space="preserve">U okviru </w:t>
      </w:r>
      <w:r w:rsidR="00681844" w:rsidRPr="00C41483">
        <w:rPr>
          <w:rFonts w:ascii="Times New Roman" w:hAnsi="Times New Roman" w:cs="Times New Roman"/>
          <w:sz w:val="24"/>
          <w:szCs w:val="24"/>
        </w:rPr>
        <w:t>Hrvatskog r</w:t>
      </w:r>
      <w:r w:rsidR="00EC02FD" w:rsidRPr="00C41483">
        <w:rPr>
          <w:rFonts w:ascii="Times New Roman" w:hAnsi="Times New Roman" w:cs="Times New Roman"/>
          <w:sz w:val="24"/>
          <w:szCs w:val="24"/>
        </w:rPr>
        <w:t>egistra osoba s invaliditetom</w:t>
      </w:r>
      <w:r w:rsidR="00681844" w:rsidRPr="00C41483">
        <w:rPr>
          <w:rFonts w:ascii="Times New Roman" w:hAnsi="Times New Roman" w:cs="Times New Roman"/>
          <w:sz w:val="24"/>
          <w:szCs w:val="24"/>
        </w:rPr>
        <w:t xml:space="preserve"> kojega vodi</w:t>
      </w:r>
      <w:r w:rsidR="00681844" w:rsidRPr="00C41483">
        <w:rPr>
          <w:rFonts w:ascii="Times New Roman" w:hAnsi="Times New Roman" w:cs="Times New Roman"/>
          <w:color w:val="414145"/>
          <w:sz w:val="24"/>
          <w:szCs w:val="24"/>
        </w:rPr>
        <w:t xml:space="preserve"> </w:t>
      </w:r>
      <w:r w:rsidR="00E12AEC" w:rsidRPr="00C41483">
        <w:rPr>
          <w:rFonts w:ascii="Times New Roman" w:hAnsi="Times New Roman" w:cs="Times New Roman"/>
          <w:color w:val="414145"/>
          <w:sz w:val="24"/>
          <w:szCs w:val="24"/>
        </w:rPr>
        <w:t>HZJZ</w:t>
      </w:r>
      <w:r w:rsidR="00681844" w:rsidRPr="00C41483">
        <w:rPr>
          <w:rFonts w:ascii="Times New Roman" w:hAnsi="Times New Roman" w:cs="Times New Roman"/>
          <w:color w:val="414145"/>
          <w:sz w:val="24"/>
          <w:szCs w:val="24"/>
        </w:rPr>
        <w:t xml:space="preserve"> </w:t>
      </w:r>
      <w:r w:rsidR="00EC02FD" w:rsidRPr="00C41483">
        <w:rPr>
          <w:rFonts w:ascii="Times New Roman" w:hAnsi="Times New Roman" w:cs="Times New Roman"/>
          <w:sz w:val="24"/>
          <w:szCs w:val="24"/>
        </w:rPr>
        <w:t>rutinski se prate podaci o djeci s teškoćama u razvoju, pri čemu su obrade podataka moguće prema vrsti oštećenja, spolu i dobi. Redovit</w:t>
      </w:r>
      <w:r w:rsidR="00681844" w:rsidRPr="00C41483">
        <w:rPr>
          <w:rFonts w:ascii="Times New Roman" w:hAnsi="Times New Roman" w:cs="Times New Roman"/>
          <w:sz w:val="24"/>
          <w:szCs w:val="24"/>
        </w:rPr>
        <w:t>o</w:t>
      </w:r>
      <w:r w:rsidR="00EC02FD" w:rsidRPr="00C41483">
        <w:rPr>
          <w:rFonts w:ascii="Times New Roman" w:hAnsi="Times New Roman" w:cs="Times New Roman"/>
          <w:sz w:val="24"/>
          <w:szCs w:val="24"/>
        </w:rPr>
        <w:t xml:space="preserve"> se godišnje podnosi izvješće Pravobraniteljici za djecu.</w:t>
      </w:r>
      <w:r w:rsidR="004C24B4" w:rsidRPr="00C41483">
        <w:rPr>
          <w:rFonts w:ascii="Times New Roman" w:hAnsi="Times New Roman" w:cs="Times New Roman"/>
          <w:sz w:val="24"/>
          <w:szCs w:val="24"/>
        </w:rPr>
        <w:t xml:space="preserve"> Godišnja statistička izvješća ministarstva nadležnog za socijalnu skrb sadrže podatke o korisnicima u sustavu socijalne skrbi razvrstane po spolu i dobi, te vrsti oštećenja. Izvješća su javno dostupna.</w:t>
      </w:r>
    </w:p>
    <w:p w14:paraId="20873F31" w14:textId="77777777" w:rsidR="00EC02FD" w:rsidRPr="00C41483" w:rsidRDefault="00EC02FD" w:rsidP="006B5133">
      <w:pPr>
        <w:spacing w:after="0" w:line="240" w:lineRule="auto"/>
        <w:jc w:val="both"/>
        <w:rPr>
          <w:rFonts w:ascii="Times New Roman" w:eastAsia="Times New Roman" w:hAnsi="Times New Roman" w:cs="Times New Roman"/>
          <w:bCs/>
          <w:i/>
          <w:iCs/>
          <w:sz w:val="24"/>
          <w:szCs w:val="24"/>
          <w:lang w:eastAsia="hr-HR"/>
        </w:rPr>
      </w:pPr>
    </w:p>
    <w:p w14:paraId="1973A97C" w14:textId="7DCAF797" w:rsidR="004F7B6D" w:rsidRPr="00C41483" w:rsidRDefault="00F361C7" w:rsidP="006B5133">
      <w:pPr>
        <w:spacing w:after="0" w:line="240" w:lineRule="auto"/>
        <w:jc w:val="both"/>
        <w:rPr>
          <w:rFonts w:ascii="Times New Roman" w:eastAsia="Times New Roman" w:hAnsi="Times New Roman" w:cs="Times New Roman"/>
          <w:bCs/>
          <w:i/>
          <w:iCs/>
          <w:sz w:val="24"/>
          <w:szCs w:val="24"/>
          <w:lang w:eastAsia="hr-HR"/>
        </w:rPr>
      </w:pPr>
      <w:bookmarkStart w:id="29" w:name="_Hlk83813726"/>
      <w:r w:rsidRPr="00C41483">
        <w:rPr>
          <w:rFonts w:ascii="Times New Roman" w:eastAsia="Times New Roman" w:hAnsi="Times New Roman" w:cs="Times New Roman"/>
          <w:bCs/>
          <w:i/>
          <w:iCs/>
          <w:sz w:val="24"/>
          <w:szCs w:val="24"/>
          <w:lang w:eastAsia="hr-HR"/>
        </w:rPr>
        <w:t>Pitanje 6</w:t>
      </w:r>
      <w:r w:rsidR="004F7B6D" w:rsidRPr="00C41483">
        <w:rPr>
          <w:rFonts w:ascii="Times New Roman" w:eastAsia="Times New Roman" w:hAnsi="Times New Roman" w:cs="Times New Roman"/>
          <w:bCs/>
          <w:i/>
          <w:iCs/>
          <w:sz w:val="24"/>
          <w:szCs w:val="24"/>
          <w:lang w:eastAsia="hr-HR"/>
        </w:rPr>
        <w:t>b)</w:t>
      </w:r>
    </w:p>
    <w:bookmarkEnd w:id="29"/>
    <w:p w14:paraId="006917F4" w14:textId="5AC89E97" w:rsidR="00681844" w:rsidRPr="00C41483" w:rsidRDefault="00681844" w:rsidP="006B5133">
      <w:pPr>
        <w:spacing w:after="0" w:line="240" w:lineRule="auto"/>
        <w:jc w:val="both"/>
        <w:rPr>
          <w:rFonts w:ascii="Times New Roman" w:eastAsia="Times New Roman" w:hAnsi="Times New Roman" w:cs="Times New Roman"/>
          <w:bCs/>
          <w:i/>
          <w:iCs/>
          <w:sz w:val="24"/>
          <w:szCs w:val="24"/>
          <w:lang w:eastAsia="hr-HR"/>
        </w:rPr>
      </w:pPr>
    </w:p>
    <w:p w14:paraId="7443D3A2" w14:textId="64FA844C" w:rsidR="004C24B4" w:rsidRPr="00C41483" w:rsidRDefault="007C222B" w:rsidP="004C24B4">
      <w:pPr>
        <w:spacing w:after="0" w:line="240" w:lineRule="auto"/>
        <w:jc w:val="both"/>
        <w:rPr>
          <w:rFonts w:ascii="Times New Roman" w:eastAsia="Times New Roman" w:hAnsi="Times New Roman" w:cs="Times New Roman"/>
          <w:bCs/>
          <w:sz w:val="24"/>
          <w:szCs w:val="24"/>
          <w:lang w:eastAsia="hr-HR"/>
        </w:rPr>
      </w:pPr>
      <w:r w:rsidRPr="00C41483">
        <w:rPr>
          <w:rFonts w:ascii="Times New Roman" w:eastAsia="Times New Roman" w:hAnsi="Times New Roman" w:cs="Times New Roman"/>
          <w:bCs/>
          <w:sz w:val="24"/>
          <w:szCs w:val="24"/>
          <w:lang w:eastAsia="hr-HR"/>
        </w:rPr>
        <w:t>(</w:t>
      </w:r>
      <w:r w:rsidR="009B2810" w:rsidRPr="00C41483">
        <w:rPr>
          <w:rFonts w:ascii="Times New Roman" w:eastAsia="Times New Roman" w:hAnsi="Times New Roman" w:cs="Times New Roman"/>
          <w:bCs/>
          <w:sz w:val="24"/>
          <w:szCs w:val="24"/>
          <w:lang w:eastAsia="hr-HR"/>
        </w:rPr>
        <w:t>3</w:t>
      </w:r>
      <w:r w:rsidR="000F3ADF" w:rsidRPr="00C41483">
        <w:rPr>
          <w:rFonts w:ascii="Times New Roman" w:eastAsia="Times New Roman" w:hAnsi="Times New Roman" w:cs="Times New Roman"/>
          <w:bCs/>
          <w:sz w:val="24"/>
          <w:szCs w:val="24"/>
          <w:lang w:eastAsia="hr-HR"/>
        </w:rPr>
        <w:t>8</w:t>
      </w:r>
      <w:r w:rsidRPr="00C41483">
        <w:rPr>
          <w:rFonts w:ascii="Times New Roman" w:eastAsia="Times New Roman" w:hAnsi="Times New Roman" w:cs="Times New Roman"/>
          <w:bCs/>
          <w:sz w:val="24"/>
          <w:szCs w:val="24"/>
          <w:lang w:eastAsia="hr-HR"/>
        </w:rPr>
        <w:t xml:space="preserve">) </w:t>
      </w:r>
      <w:r w:rsidR="00DF25CB" w:rsidRPr="00C41483">
        <w:rPr>
          <w:rFonts w:ascii="Times New Roman" w:eastAsia="Times New Roman" w:hAnsi="Times New Roman" w:cs="Times New Roman"/>
          <w:bCs/>
          <w:sz w:val="24"/>
          <w:szCs w:val="24"/>
          <w:lang w:eastAsia="hr-HR"/>
        </w:rPr>
        <w:t>R</w:t>
      </w:r>
      <w:r w:rsidR="00905964" w:rsidRPr="00C41483">
        <w:rPr>
          <w:rFonts w:ascii="Times New Roman" w:eastAsia="Times New Roman" w:hAnsi="Times New Roman" w:cs="Times New Roman"/>
          <w:bCs/>
          <w:sz w:val="24"/>
          <w:szCs w:val="24"/>
          <w:lang w:eastAsia="hr-HR"/>
        </w:rPr>
        <w:t>H</w:t>
      </w:r>
      <w:r w:rsidR="00DF25CB" w:rsidRPr="00C41483">
        <w:rPr>
          <w:rFonts w:ascii="Times New Roman" w:eastAsia="Times New Roman" w:hAnsi="Times New Roman" w:cs="Times New Roman"/>
          <w:bCs/>
          <w:sz w:val="24"/>
          <w:szCs w:val="24"/>
          <w:lang w:eastAsia="hr-HR"/>
        </w:rPr>
        <w:t xml:space="preserve"> je </w:t>
      </w:r>
      <w:r w:rsidR="00FB62EB" w:rsidRPr="00C41483">
        <w:rPr>
          <w:rFonts w:ascii="Times New Roman" w:eastAsia="Times New Roman" w:hAnsi="Times New Roman" w:cs="Times New Roman"/>
          <w:bCs/>
          <w:sz w:val="24"/>
          <w:szCs w:val="24"/>
          <w:lang w:eastAsia="hr-HR"/>
        </w:rPr>
        <w:t xml:space="preserve">prihvaćanjem </w:t>
      </w:r>
      <w:r w:rsidR="00663EB2" w:rsidRPr="00C41483">
        <w:rPr>
          <w:rFonts w:ascii="Times New Roman" w:eastAsia="Times New Roman" w:hAnsi="Times New Roman" w:cs="Times New Roman"/>
          <w:bCs/>
          <w:sz w:val="24"/>
          <w:szCs w:val="24"/>
          <w:lang w:eastAsia="hr-HR"/>
        </w:rPr>
        <w:t xml:space="preserve">UN </w:t>
      </w:r>
      <w:r w:rsidR="00DF25CB" w:rsidRPr="00C41483">
        <w:rPr>
          <w:rFonts w:ascii="Times New Roman" w:eastAsia="Times New Roman" w:hAnsi="Times New Roman" w:cs="Times New Roman"/>
          <w:bCs/>
          <w:sz w:val="24"/>
          <w:szCs w:val="24"/>
          <w:lang w:eastAsia="hr-HR"/>
        </w:rPr>
        <w:t xml:space="preserve">Konvencije o pravima djeteta preuzela obvezu da svakom djetetu jamči prava </w:t>
      </w:r>
      <w:r w:rsidR="00FB62EB" w:rsidRPr="00C41483">
        <w:rPr>
          <w:rFonts w:ascii="Times New Roman" w:eastAsia="Times New Roman" w:hAnsi="Times New Roman" w:cs="Times New Roman"/>
          <w:bCs/>
          <w:sz w:val="24"/>
          <w:szCs w:val="24"/>
          <w:lang w:eastAsia="hr-HR"/>
        </w:rPr>
        <w:t xml:space="preserve">propisana </w:t>
      </w:r>
      <w:r w:rsidR="00DF25CB" w:rsidRPr="00C41483">
        <w:rPr>
          <w:rFonts w:ascii="Times New Roman" w:eastAsia="Times New Roman" w:hAnsi="Times New Roman" w:cs="Times New Roman"/>
          <w:bCs/>
          <w:sz w:val="24"/>
          <w:szCs w:val="24"/>
          <w:lang w:eastAsia="hr-HR"/>
        </w:rPr>
        <w:t>Konvencij</w:t>
      </w:r>
      <w:r w:rsidR="00FB62EB" w:rsidRPr="00C41483">
        <w:rPr>
          <w:rFonts w:ascii="Times New Roman" w:eastAsia="Times New Roman" w:hAnsi="Times New Roman" w:cs="Times New Roman"/>
          <w:bCs/>
          <w:sz w:val="24"/>
          <w:szCs w:val="24"/>
          <w:lang w:eastAsia="hr-HR"/>
        </w:rPr>
        <w:t>om, a t</w:t>
      </w:r>
      <w:r w:rsidR="00DF25CB" w:rsidRPr="00C41483">
        <w:rPr>
          <w:rFonts w:ascii="Times New Roman" w:eastAsia="Times New Roman" w:hAnsi="Times New Roman" w:cs="Times New Roman"/>
          <w:bCs/>
          <w:sz w:val="24"/>
          <w:szCs w:val="24"/>
          <w:lang w:eastAsia="hr-HR"/>
        </w:rPr>
        <w:t>akođer ratificirala</w:t>
      </w:r>
      <w:r w:rsidR="00FB62EB" w:rsidRPr="00C41483">
        <w:rPr>
          <w:rFonts w:ascii="Times New Roman" w:eastAsia="Times New Roman" w:hAnsi="Times New Roman" w:cs="Times New Roman"/>
          <w:bCs/>
          <w:sz w:val="24"/>
          <w:szCs w:val="24"/>
          <w:lang w:eastAsia="hr-HR"/>
        </w:rPr>
        <w:t xml:space="preserve"> je</w:t>
      </w:r>
      <w:r w:rsidR="00DF25CB" w:rsidRPr="00C41483">
        <w:rPr>
          <w:rFonts w:ascii="Times New Roman" w:eastAsia="Times New Roman" w:hAnsi="Times New Roman" w:cs="Times New Roman"/>
          <w:bCs/>
          <w:sz w:val="24"/>
          <w:szCs w:val="24"/>
          <w:lang w:eastAsia="hr-HR"/>
        </w:rPr>
        <w:t xml:space="preserve"> Europsku konvenciju o ostvarivanju dječjih prava.</w:t>
      </w:r>
      <w:r w:rsidR="00364A79" w:rsidRPr="00C41483">
        <w:rPr>
          <w:rFonts w:ascii="Times New Roman" w:eastAsia="Times New Roman" w:hAnsi="Times New Roman" w:cs="Times New Roman"/>
          <w:bCs/>
          <w:sz w:val="24"/>
          <w:szCs w:val="24"/>
          <w:lang w:eastAsia="hr-HR"/>
        </w:rPr>
        <w:t xml:space="preserve"> Djeca s teškoćama u razvoju prepoznata su kao posebna skupina i u Nacionalnoj strategiji za prava djece u Republici Hrvatskoj za razdoblje od 2014. do 2020. godine.</w:t>
      </w:r>
      <w:r w:rsidR="004C24B4" w:rsidRPr="00C41483">
        <w:rPr>
          <w:rFonts w:ascii="Times New Roman" w:eastAsia="Times New Roman" w:hAnsi="Times New Roman" w:cs="Times New Roman"/>
          <w:bCs/>
          <w:sz w:val="24"/>
          <w:szCs w:val="24"/>
          <w:lang w:eastAsia="hr-HR"/>
        </w:rPr>
        <w:t xml:space="preserve"> U tijeku je izrada novog Nacionalnog plana za prava djece u RH za razdoblje od 2021</w:t>
      </w:r>
      <w:r w:rsidR="00663EB2" w:rsidRPr="00C41483">
        <w:rPr>
          <w:rFonts w:ascii="Times New Roman" w:eastAsia="Times New Roman" w:hAnsi="Times New Roman" w:cs="Times New Roman"/>
          <w:bCs/>
          <w:sz w:val="24"/>
          <w:szCs w:val="24"/>
          <w:lang w:eastAsia="hr-HR"/>
        </w:rPr>
        <w:t>.</w:t>
      </w:r>
      <w:r w:rsidR="004C24B4" w:rsidRPr="00C41483">
        <w:rPr>
          <w:rFonts w:ascii="Times New Roman" w:eastAsia="Times New Roman" w:hAnsi="Times New Roman" w:cs="Times New Roman"/>
          <w:bCs/>
          <w:sz w:val="24"/>
          <w:szCs w:val="24"/>
          <w:lang w:eastAsia="hr-HR"/>
        </w:rPr>
        <w:t xml:space="preserve"> do 2026. godine.</w:t>
      </w:r>
    </w:p>
    <w:p w14:paraId="3968108B" w14:textId="77777777" w:rsidR="000E6B09" w:rsidRPr="00C41483" w:rsidRDefault="000E6B09" w:rsidP="00E82BC3">
      <w:pPr>
        <w:pStyle w:val="Tekstkomentara"/>
        <w:jc w:val="both"/>
        <w:rPr>
          <w:sz w:val="24"/>
          <w:szCs w:val="24"/>
        </w:rPr>
      </w:pPr>
    </w:p>
    <w:p w14:paraId="1FAD08AB" w14:textId="03CCDB02" w:rsidR="00E82BC3" w:rsidRPr="00C41483" w:rsidRDefault="007C222B" w:rsidP="00E82BC3">
      <w:pPr>
        <w:pStyle w:val="Tekstkomentara"/>
        <w:jc w:val="both"/>
        <w:rPr>
          <w:sz w:val="24"/>
          <w:szCs w:val="24"/>
        </w:rPr>
      </w:pPr>
      <w:r w:rsidRPr="00C41483">
        <w:rPr>
          <w:sz w:val="24"/>
          <w:szCs w:val="24"/>
        </w:rPr>
        <w:t>(3</w:t>
      </w:r>
      <w:r w:rsidR="000F3ADF" w:rsidRPr="00C41483">
        <w:rPr>
          <w:sz w:val="24"/>
          <w:szCs w:val="24"/>
        </w:rPr>
        <w:t>9</w:t>
      </w:r>
      <w:r w:rsidRPr="00C41483">
        <w:rPr>
          <w:sz w:val="24"/>
          <w:szCs w:val="24"/>
        </w:rPr>
        <w:t xml:space="preserve">) </w:t>
      </w:r>
      <w:r w:rsidR="00E82BC3" w:rsidRPr="00C41483">
        <w:rPr>
          <w:sz w:val="24"/>
          <w:szCs w:val="24"/>
        </w:rPr>
        <w:t xml:space="preserve">U organizaciji Saveza društava </w:t>
      </w:r>
      <w:r w:rsidR="00905964" w:rsidRPr="00C41483">
        <w:rPr>
          <w:sz w:val="24"/>
          <w:szCs w:val="24"/>
        </w:rPr>
        <w:t>„</w:t>
      </w:r>
      <w:r w:rsidR="00E82BC3" w:rsidRPr="00C41483">
        <w:rPr>
          <w:sz w:val="24"/>
          <w:szCs w:val="24"/>
        </w:rPr>
        <w:t>Naša djeca</w:t>
      </w:r>
      <w:r w:rsidR="007615F0" w:rsidRPr="00C41483">
        <w:rPr>
          <w:sz w:val="24"/>
          <w:szCs w:val="24"/>
        </w:rPr>
        <w:t>“</w:t>
      </w:r>
      <w:r w:rsidR="00E82BC3" w:rsidRPr="00C41483">
        <w:rPr>
          <w:sz w:val="24"/>
          <w:szCs w:val="24"/>
        </w:rPr>
        <w:t xml:space="preserve"> Hrvatske u razdoblju 2015.-2020. proglašeni su novi gradov</w:t>
      </w:r>
      <w:r w:rsidR="007615F0" w:rsidRPr="00C41483">
        <w:rPr>
          <w:sz w:val="24"/>
          <w:szCs w:val="24"/>
        </w:rPr>
        <w:t>i</w:t>
      </w:r>
      <w:r w:rsidR="00E82BC3" w:rsidRPr="00C41483">
        <w:rPr>
          <w:sz w:val="24"/>
          <w:szCs w:val="24"/>
        </w:rPr>
        <w:t>/općin</w:t>
      </w:r>
      <w:r w:rsidR="007615F0" w:rsidRPr="00C41483">
        <w:rPr>
          <w:sz w:val="24"/>
          <w:szCs w:val="24"/>
        </w:rPr>
        <w:t>e</w:t>
      </w:r>
      <w:r w:rsidR="00E82BC3" w:rsidRPr="00C41483">
        <w:rPr>
          <w:sz w:val="24"/>
          <w:szCs w:val="24"/>
        </w:rPr>
        <w:t>-prijatelj</w:t>
      </w:r>
      <w:r w:rsidR="007615F0" w:rsidRPr="00C41483">
        <w:rPr>
          <w:sz w:val="24"/>
          <w:szCs w:val="24"/>
        </w:rPr>
        <w:t>i djece</w:t>
      </w:r>
      <w:r w:rsidR="00A57C12" w:rsidRPr="00C41483">
        <w:rPr>
          <w:sz w:val="24"/>
          <w:szCs w:val="24"/>
        </w:rPr>
        <w:t xml:space="preserve"> čime se odrasle u gradovima i općinama motivira da potpunije ostvaruju prava i potrebe djece priznata u </w:t>
      </w:r>
      <w:r w:rsidR="00663EB2" w:rsidRPr="00C41483">
        <w:rPr>
          <w:sz w:val="24"/>
          <w:szCs w:val="24"/>
        </w:rPr>
        <w:t xml:space="preserve">UN </w:t>
      </w:r>
      <w:r w:rsidR="00A57C12" w:rsidRPr="00C41483">
        <w:rPr>
          <w:sz w:val="24"/>
          <w:szCs w:val="24"/>
        </w:rPr>
        <w:t>Konvenciji o pravima djeteta</w:t>
      </w:r>
      <w:r w:rsidR="00E82BC3" w:rsidRPr="00C41483">
        <w:rPr>
          <w:sz w:val="24"/>
          <w:szCs w:val="24"/>
        </w:rPr>
        <w:t xml:space="preserve">. Ministarstvo nadležno za socijalnu skrb pruža podršku inicijativama i aktivnostima koje </w:t>
      </w:r>
      <w:r w:rsidR="00E82BC3" w:rsidRPr="00C41483">
        <w:rPr>
          <w:sz w:val="24"/>
          <w:szCs w:val="24"/>
        </w:rPr>
        <w:lastRenderedPageBreak/>
        <w:t>pridonose zaštiti i promociji prava djece, kao što je podupiranje dječje participacije kroz redovito objavljivanje Poziva za prijavu projekata i programa udruga usmjerenih podršci obitelji i promicanju i zaštiti prava djece.</w:t>
      </w:r>
    </w:p>
    <w:p w14:paraId="4C324B2E" w14:textId="77777777" w:rsidR="00E82BC3" w:rsidRPr="00C41483" w:rsidRDefault="00E82BC3" w:rsidP="00E82BC3">
      <w:pPr>
        <w:pStyle w:val="Tekstkomentara"/>
      </w:pPr>
    </w:p>
    <w:p w14:paraId="3418DC13" w14:textId="1C354335" w:rsidR="004F7B6D" w:rsidRPr="00C41483" w:rsidRDefault="00F361C7" w:rsidP="006B5133">
      <w:pPr>
        <w:spacing w:after="0" w:line="240" w:lineRule="auto"/>
        <w:jc w:val="both"/>
        <w:rPr>
          <w:rFonts w:ascii="Times New Roman" w:eastAsia="Times New Roman" w:hAnsi="Times New Roman" w:cs="Times New Roman"/>
          <w:bCs/>
          <w:i/>
          <w:iCs/>
          <w:sz w:val="24"/>
          <w:szCs w:val="24"/>
          <w:lang w:eastAsia="hr-HR"/>
        </w:rPr>
      </w:pPr>
      <w:bookmarkStart w:id="30" w:name="_Hlk83813748"/>
      <w:r w:rsidRPr="00C41483">
        <w:rPr>
          <w:rFonts w:ascii="Times New Roman" w:eastAsia="Times New Roman" w:hAnsi="Times New Roman" w:cs="Times New Roman"/>
          <w:bCs/>
          <w:i/>
          <w:iCs/>
          <w:sz w:val="24"/>
          <w:szCs w:val="24"/>
          <w:lang w:eastAsia="hr-HR"/>
        </w:rPr>
        <w:t>Pitanje 6</w:t>
      </w:r>
      <w:r w:rsidR="004F7B6D" w:rsidRPr="00C41483">
        <w:rPr>
          <w:rFonts w:ascii="Times New Roman" w:eastAsia="Times New Roman" w:hAnsi="Times New Roman" w:cs="Times New Roman"/>
          <w:bCs/>
          <w:i/>
          <w:iCs/>
          <w:sz w:val="24"/>
          <w:szCs w:val="24"/>
          <w:lang w:eastAsia="hr-HR"/>
        </w:rPr>
        <w:t>c)</w:t>
      </w:r>
    </w:p>
    <w:p w14:paraId="0B5ACF93" w14:textId="35D9EE8E" w:rsidR="00681844" w:rsidRPr="00C41483" w:rsidRDefault="00681844" w:rsidP="006B5133">
      <w:pPr>
        <w:spacing w:after="0" w:line="240" w:lineRule="auto"/>
        <w:jc w:val="both"/>
        <w:rPr>
          <w:rFonts w:ascii="Times New Roman" w:eastAsia="Times New Roman" w:hAnsi="Times New Roman" w:cs="Times New Roman"/>
          <w:bCs/>
          <w:i/>
          <w:iCs/>
          <w:sz w:val="24"/>
          <w:szCs w:val="24"/>
          <w:lang w:eastAsia="hr-HR"/>
        </w:rPr>
      </w:pPr>
    </w:p>
    <w:bookmarkEnd w:id="30"/>
    <w:p w14:paraId="268F4027" w14:textId="6DE453B7" w:rsidR="002058DC" w:rsidRPr="00C41483" w:rsidRDefault="007C222B" w:rsidP="006B5133">
      <w:pPr>
        <w:spacing w:after="0" w:line="240" w:lineRule="auto"/>
        <w:jc w:val="both"/>
        <w:rPr>
          <w:rFonts w:ascii="Times New Roman" w:eastAsia="Times New Roman" w:hAnsi="Times New Roman" w:cs="Times New Roman"/>
          <w:bCs/>
          <w:sz w:val="24"/>
          <w:szCs w:val="24"/>
          <w:lang w:eastAsia="hr-HR"/>
        </w:rPr>
      </w:pPr>
      <w:r w:rsidRPr="00C41483">
        <w:rPr>
          <w:rFonts w:ascii="Times New Roman" w:eastAsia="Times New Roman" w:hAnsi="Times New Roman" w:cs="Times New Roman"/>
          <w:bCs/>
          <w:sz w:val="24"/>
          <w:szCs w:val="24"/>
          <w:lang w:eastAsia="hr-HR"/>
        </w:rPr>
        <w:t>(</w:t>
      </w:r>
      <w:r w:rsidR="000F3ADF" w:rsidRPr="00C41483">
        <w:rPr>
          <w:rFonts w:ascii="Times New Roman" w:eastAsia="Times New Roman" w:hAnsi="Times New Roman" w:cs="Times New Roman"/>
          <w:bCs/>
          <w:sz w:val="24"/>
          <w:szCs w:val="24"/>
          <w:lang w:eastAsia="hr-HR"/>
        </w:rPr>
        <w:t>40</w:t>
      </w:r>
      <w:r w:rsidR="009B2810" w:rsidRPr="00C41483">
        <w:rPr>
          <w:rFonts w:ascii="Times New Roman" w:eastAsia="Times New Roman" w:hAnsi="Times New Roman" w:cs="Times New Roman"/>
          <w:bCs/>
          <w:sz w:val="24"/>
          <w:szCs w:val="24"/>
          <w:lang w:eastAsia="hr-HR"/>
        </w:rPr>
        <w:t>)</w:t>
      </w:r>
      <w:r w:rsidRPr="00C41483">
        <w:rPr>
          <w:rFonts w:ascii="Times New Roman" w:eastAsia="Times New Roman" w:hAnsi="Times New Roman" w:cs="Times New Roman"/>
          <w:bCs/>
          <w:sz w:val="24"/>
          <w:szCs w:val="24"/>
          <w:lang w:eastAsia="hr-HR"/>
        </w:rPr>
        <w:t xml:space="preserve"> </w:t>
      </w:r>
      <w:r w:rsidR="00A928C6" w:rsidRPr="00C41483">
        <w:rPr>
          <w:rFonts w:ascii="Times New Roman" w:eastAsia="Times New Roman" w:hAnsi="Times New Roman" w:cs="Times New Roman"/>
          <w:bCs/>
          <w:sz w:val="24"/>
          <w:szCs w:val="24"/>
          <w:lang w:eastAsia="hr-HR"/>
        </w:rPr>
        <w:t xml:space="preserve">Godine </w:t>
      </w:r>
      <w:r w:rsidR="00681844" w:rsidRPr="00C41483">
        <w:rPr>
          <w:rFonts w:ascii="Times New Roman" w:eastAsia="Times New Roman" w:hAnsi="Times New Roman" w:cs="Times New Roman"/>
          <w:bCs/>
          <w:sz w:val="24"/>
          <w:szCs w:val="24"/>
          <w:lang w:eastAsia="hr-HR"/>
        </w:rPr>
        <w:t>2003. don</w:t>
      </w:r>
      <w:r w:rsidR="00822E2D" w:rsidRPr="00C41483">
        <w:rPr>
          <w:rFonts w:ascii="Times New Roman" w:eastAsia="Times New Roman" w:hAnsi="Times New Roman" w:cs="Times New Roman"/>
          <w:bCs/>
          <w:sz w:val="24"/>
          <w:szCs w:val="24"/>
          <w:lang w:eastAsia="hr-HR"/>
        </w:rPr>
        <w:t xml:space="preserve">esena </w:t>
      </w:r>
      <w:r w:rsidR="00681844" w:rsidRPr="00C41483">
        <w:rPr>
          <w:rFonts w:ascii="Times New Roman" w:eastAsia="Times New Roman" w:hAnsi="Times New Roman" w:cs="Times New Roman"/>
          <w:bCs/>
          <w:sz w:val="24"/>
          <w:szCs w:val="24"/>
          <w:lang w:eastAsia="hr-HR"/>
        </w:rPr>
        <w:t xml:space="preserve">je </w:t>
      </w:r>
      <w:r w:rsidR="00DF25CB" w:rsidRPr="00C41483">
        <w:rPr>
          <w:rFonts w:ascii="Times New Roman" w:eastAsia="Times New Roman" w:hAnsi="Times New Roman" w:cs="Times New Roman"/>
          <w:bCs/>
          <w:sz w:val="24"/>
          <w:szCs w:val="24"/>
          <w:lang w:eastAsia="hr-HR"/>
        </w:rPr>
        <w:t xml:space="preserve">tzv. </w:t>
      </w:r>
      <w:r w:rsidR="00822E2D" w:rsidRPr="00C41483">
        <w:rPr>
          <w:rFonts w:ascii="Times New Roman" w:eastAsia="Times New Roman" w:hAnsi="Times New Roman" w:cs="Times New Roman"/>
          <w:bCs/>
          <w:sz w:val="24"/>
          <w:szCs w:val="24"/>
          <w:lang w:eastAsia="hr-HR"/>
        </w:rPr>
        <w:t>„</w:t>
      </w:r>
      <w:proofErr w:type="spellStart"/>
      <w:r w:rsidR="00681844" w:rsidRPr="00C41483">
        <w:rPr>
          <w:rFonts w:ascii="Times New Roman" w:eastAsia="Times New Roman" w:hAnsi="Times New Roman" w:cs="Times New Roman"/>
          <w:bCs/>
          <w:sz w:val="24"/>
          <w:szCs w:val="24"/>
          <w:lang w:eastAsia="hr-HR"/>
        </w:rPr>
        <w:t>Sheratonska</w:t>
      </w:r>
      <w:proofErr w:type="spellEnd"/>
      <w:r w:rsidR="00681844" w:rsidRPr="00C41483">
        <w:rPr>
          <w:rFonts w:ascii="Times New Roman" w:eastAsia="Times New Roman" w:hAnsi="Times New Roman" w:cs="Times New Roman"/>
          <w:bCs/>
          <w:sz w:val="24"/>
          <w:szCs w:val="24"/>
          <w:lang w:eastAsia="hr-HR"/>
        </w:rPr>
        <w:t xml:space="preserve"> deklaracija</w:t>
      </w:r>
      <w:r w:rsidR="00822E2D" w:rsidRPr="00C41483">
        <w:rPr>
          <w:rFonts w:ascii="Times New Roman" w:eastAsia="Times New Roman" w:hAnsi="Times New Roman" w:cs="Times New Roman"/>
          <w:bCs/>
          <w:sz w:val="24"/>
          <w:szCs w:val="24"/>
          <w:lang w:eastAsia="hr-HR"/>
        </w:rPr>
        <w:t>“</w:t>
      </w:r>
      <w:r w:rsidR="00681844" w:rsidRPr="00C41483">
        <w:rPr>
          <w:rFonts w:ascii="Times New Roman" w:eastAsia="Times New Roman" w:hAnsi="Times New Roman" w:cs="Times New Roman"/>
          <w:bCs/>
          <w:sz w:val="24"/>
          <w:szCs w:val="24"/>
          <w:lang w:eastAsia="hr-HR"/>
        </w:rPr>
        <w:t xml:space="preserve"> </w:t>
      </w:r>
      <w:r w:rsidR="00DF25CB" w:rsidRPr="00C41483">
        <w:rPr>
          <w:rFonts w:ascii="Times New Roman" w:eastAsia="Times New Roman" w:hAnsi="Times New Roman" w:cs="Times New Roman"/>
          <w:bCs/>
          <w:sz w:val="24"/>
          <w:szCs w:val="24"/>
          <w:lang w:eastAsia="hr-HR"/>
        </w:rPr>
        <w:t>koja podržava</w:t>
      </w:r>
      <w:r w:rsidR="002058DC" w:rsidRPr="00C41483">
        <w:rPr>
          <w:rFonts w:ascii="Times New Roman" w:eastAsia="Times New Roman" w:hAnsi="Times New Roman" w:cs="Times New Roman"/>
          <w:bCs/>
          <w:sz w:val="24"/>
          <w:szCs w:val="24"/>
          <w:lang w:eastAsia="hr-HR"/>
        </w:rPr>
        <w:t xml:space="preserve"> korištenje</w:t>
      </w:r>
      <w:r w:rsidR="00DF25CB" w:rsidRPr="00C41483">
        <w:rPr>
          <w:rFonts w:ascii="Times New Roman" w:eastAsia="Times New Roman" w:hAnsi="Times New Roman" w:cs="Times New Roman"/>
          <w:bCs/>
          <w:sz w:val="24"/>
          <w:szCs w:val="24"/>
          <w:lang w:eastAsia="hr-HR"/>
        </w:rPr>
        <w:t xml:space="preserve"> termin</w:t>
      </w:r>
      <w:r w:rsidR="002058DC" w:rsidRPr="00C41483">
        <w:rPr>
          <w:rFonts w:ascii="Times New Roman" w:eastAsia="Times New Roman" w:hAnsi="Times New Roman" w:cs="Times New Roman"/>
          <w:bCs/>
          <w:sz w:val="24"/>
          <w:szCs w:val="24"/>
          <w:lang w:eastAsia="hr-HR"/>
        </w:rPr>
        <w:t>a</w:t>
      </w:r>
      <w:r w:rsidR="00681844" w:rsidRPr="00C41483">
        <w:rPr>
          <w:rFonts w:ascii="Times New Roman" w:eastAsia="Times New Roman" w:hAnsi="Times New Roman" w:cs="Times New Roman"/>
          <w:bCs/>
          <w:sz w:val="24"/>
          <w:szCs w:val="24"/>
          <w:lang w:eastAsia="hr-HR"/>
        </w:rPr>
        <w:t xml:space="preserve"> „osoba s invaliditetom“ i „dijete s teškoćama u razvoju“.</w:t>
      </w:r>
      <w:r w:rsidR="002058DC" w:rsidRPr="00C41483">
        <w:rPr>
          <w:rFonts w:ascii="Times New Roman" w:eastAsia="Times New Roman" w:hAnsi="Times New Roman" w:cs="Times New Roman"/>
          <w:bCs/>
          <w:sz w:val="24"/>
          <w:szCs w:val="24"/>
          <w:lang w:eastAsia="hr-HR"/>
        </w:rPr>
        <w:t xml:space="preserve"> </w:t>
      </w:r>
      <w:r w:rsidR="008D1681" w:rsidRPr="00C41483">
        <w:rPr>
          <w:rFonts w:ascii="Times New Roman" w:eastAsia="Times New Roman" w:hAnsi="Times New Roman" w:cs="Times New Roman"/>
          <w:bCs/>
          <w:sz w:val="24"/>
          <w:szCs w:val="24"/>
          <w:lang w:eastAsia="hr-HR"/>
        </w:rPr>
        <w:t>Sam pojam „teškoća u razvoju</w:t>
      </w:r>
      <w:r w:rsidR="00822E2D" w:rsidRPr="00C41483">
        <w:rPr>
          <w:rFonts w:ascii="Times New Roman" w:eastAsia="Times New Roman" w:hAnsi="Times New Roman" w:cs="Times New Roman"/>
          <w:bCs/>
          <w:sz w:val="24"/>
          <w:szCs w:val="24"/>
          <w:lang w:eastAsia="hr-HR"/>
        </w:rPr>
        <w:t>“</w:t>
      </w:r>
      <w:r w:rsidR="008D1681" w:rsidRPr="00C41483">
        <w:rPr>
          <w:rFonts w:ascii="Times New Roman" w:eastAsia="Times New Roman" w:hAnsi="Times New Roman" w:cs="Times New Roman"/>
          <w:bCs/>
          <w:sz w:val="24"/>
          <w:szCs w:val="24"/>
          <w:lang w:eastAsia="hr-HR"/>
        </w:rPr>
        <w:t xml:space="preserve"> povez</w:t>
      </w:r>
      <w:r w:rsidR="00822E2D" w:rsidRPr="00C41483">
        <w:rPr>
          <w:rFonts w:ascii="Times New Roman" w:eastAsia="Times New Roman" w:hAnsi="Times New Roman" w:cs="Times New Roman"/>
          <w:bCs/>
          <w:sz w:val="24"/>
          <w:szCs w:val="24"/>
          <w:lang w:eastAsia="hr-HR"/>
        </w:rPr>
        <w:t>uje</w:t>
      </w:r>
      <w:r w:rsidR="008D1681" w:rsidRPr="00C41483">
        <w:rPr>
          <w:rFonts w:ascii="Times New Roman" w:eastAsia="Times New Roman" w:hAnsi="Times New Roman" w:cs="Times New Roman"/>
          <w:bCs/>
          <w:sz w:val="24"/>
          <w:szCs w:val="24"/>
          <w:lang w:eastAsia="hr-HR"/>
        </w:rPr>
        <w:t xml:space="preserve"> teškoć</w:t>
      </w:r>
      <w:r w:rsidR="00822E2D" w:rsidRPr="00C41483">
        <w:rPr>
          <w:rFonts w:ascii="Times New Roman" w:eastAsia="Times New Roman" w:hAnsi="Times New Roman" w:cs="Times New Roman"/>
          <w:bCs/>
          <w:sz w:val="24"/>
          <w:szCs w:val="24"/>
          <w:lang w:eastAsia="hr-HR"/>
        </w:rPr>
        <w:t>e</w:t>
      </w:r>
      <w:r w:rsidR="008D1681" w:rsidRPr="00C41483">
        <w:rPr>
          <w:rFonts w:ascii="Times New Roman" w:eastAsia="Times New Roman" w:hAnsi="Times New Roman" w:cs="Times New Roman"/>
          <w:bCs/>
          <w:sz w:val="24"/>
          <w:szCs w:val="24"/>
          <w:lang w:eastAsia="hr-HR"/>
        </w:rPr>
        <w:t xml:space="preserve"> i funkcionalne sposobnosti djeteta</w:t>
      </w:r>
      <w:r w:rsidR="002058DC" w:rsidRPr="00C41483">
        <w:rPr>
          <w:rFonts w:ascii="Times New Roman" w:eastAsia="Times New Roman" w:hAnsi="Times New Roman" w:cs="Times New Roman"/>
          <w:bCs/>
          <w:sz w:val="24"/>
          <w:szCs w:val="24"/>
          <w:lang w:eastAsia="hr-HR"/>
        </w:rPr>
        <w:t>, odnosno pojam zbog interdisciplinarne povezanosti omogućuje da se ostvari najbolji mogući razvojni ishod djece s teškoćama</w:t>
      </w:r>
      <w:r w:rsidR="00FB62EB" w:rsidRPr="00C41483">
        <w:rPr>
          <w:rFonts w:ascii="Times New Roman" w:eastAsia="Times New Roman" w:hAnsi="Times New Roman" w:cs="Times New Roman"/>
          <w:bCs/>
          <w:sz w:val="24"/>
          <w:szCs w:val="24"/>
          <w:lang w:eastAsia="hr-HR"/>
        </w:rPr>
        <w:t xml:space="preserve"> u razvoju s obzirom da </w:t>
      </w:r>
      <w:r w:rsidR="002058DC" w:rsidRPr="00C41483">
        <w:rPr>
          <w:rFonts w:ascii="Times New Roman" w:eastAsia="Times New Roman" w:hAnsi="Times New Roman" w:cs="Times New Roman"/>
          <w:bCs/>
          <w:sz w:val="24"/>
          <w:szCs w:val="24"/>
          <w:lang w:eastAsia="hr-HR"/>
        </w:rPr>
        <w:t>se radi o urođenim ili stečenim stanjima kojima je potreban stručni pristup kako bi se omogućio razvoj sačuvanih sposobnosti djeteta.</w:t>
      </w:r>
    </w:p>
    <w:p w14:paraId="1E54C477" w14:textId="000622A0" w:rsidR="00681844" w:rsidRPr="00C41483" w:rsidRDefault="00681844" w:rsidP="006B5133">
      <w:pPr>
        <w:spacing w:after="0" w:line="240" w:lineRule="auto"/>
        <w:jc w:val="both"/>
        <w:rPr>
          <w:rFonts w:ascii="Times New Roman" w:eastAsia="Times New Roman" w:hAnsi="Times New Roman" w:cs="Times New Roman"/>
          <w:bCs/>
          <w:sz w:val="24"/>
          <w:szCs w:val="24"/>
          <w:lang w:eastAsia="hr-HR"/>
        </w:rPr>
      </w:pPr>
    </w:p>
    <w:p w14:paraId="07D1A20B" w14:textId="2E948A33" w:rsidR="00D542B4" w:rsidRPr="00C41483" w:rsidRDefault="00D542B4" w:rsidP="006B5133">
      <w:pPr>
        <w:pStyle w:val="Naslov1"/>
        <w:spacing w:before="0" w:line="240" w:lineRule="auto"/>
        <w:rPr>
          <w:rFonts w:ascii="Times New Roman" w:eastAsia="Times New Roman" w:hAnsi="Times New Roman" w:cs="Times New Roman"/>
          <w:b/>
          <w:bCs/>
          <w:color w:val="auto"/>
          <w:sz w:val="24"/>
          <w:szCs w:val="24"/>
          <w:lang w:eastAsia="hr-HR"/>
        </w:rPr>
      </w:pPr>
      <w:bookmarkStart w:id="31" w:name="_Toc76630950"/>
      <w:bookmarkStart w:id="32" w:name="_Toc88031190"/>
      <w:r w:rsidRPr="00C41483">
        <w:rPr>
          <w:rFonts w:ascii="Times New Roman" w:eastAsia="Times New Roman" w:hAnsi="Times New Roman" w:cs="Times New Roman"/>
          <w:b/>
          <w:bCs/>
          <w:color w:val="auto"/>
          <w:sz w:val="24"/>
          <w:szCs w:val="24"/>
          <w:lang w:eastAsia="hr-HR"/>
        </w:rPr>
        <w:t>Podizanje svijesti (čl. 8.)</w:t>
      </w:r>
      <w:bookmarkEnd w:id="31"/>
      <w:bookmarkEnd w:id="32"/>
    </w:p>
    <w:p w14:paraId="1386943B" w14:textId="77777777" w:rsidR="000668E0" w:rsidRPr="00C41483" w:rsidRDefault="000668E0" w:rsidP="006B5133">
      <w:pPr>
        <w:spacing w:after="0" w:line="240" w:lineRule="auto"/>
        <w:rPr>
          <w:lang w:eastAsia="hr-HR"/>
        </w:rPr>
      </w:pPr>
    </w:p>
    <w:p w14:paraId="37FF1E79" w14:textId="7639573D" w:rsidR="00F361C7" w:rsidRPr="00C41483" w:rsidRDefault="00F361C7" w:rsidP="00F361C7">
      <w:pPr>
        <w:spacing w:after="0" w:line="240" w:lineRule="auto"/>
        <w:jc w:val="both"/>
        <w:rPr>
          <w:rFonts w:ascii="Times New Roman" w:eastAsia="Times New Roman" w:hAnsi="Times New Roman" w:cs="Times New Roman"/>
          <w:bCs/>
          <w:i/>
          <w:iCs/>
          <w:sz w:val="24"/>
          <w:szCs w:val="24"/>
          <w:lang w:eastAsia="hr-HR"/>
        </w:rPr>
      </w:pPr>
      <w:bookmarkStart w:id="33" w:name="_Hlk83813766"/>
      <w:r w:rsidRPr="00C41483">
        <w:rPr>
          <w:rFonts w:ascii="Times New Roman" w:eastAsia="Times New Roman" w:hAnsi="Times New Roman" w:cs="Times New Roman"/>
          <w:bCs/>
          <w:i/>
          <w:iCs/>
          <w:sz w:val="24"/>
          <w:szCs w:val="24"/>
          <w:lang w:eastAsia="hr-HR"/>
        </w:rPr>
        <w:t xml:space="preserve">Pitanje </w:t>
      </w:r>
      <w:r w:rsidR="000A056C" w:rsidRPr="00C41483">
        <w:rPr>
          <w:rFonts w:ascii="Times New Roman" w:eastAsia="Times New Roman" w:hAnsi="Times New Roman" w:cs="Times New Roman"/>
          <w:bCs/>
          <w:i/>
          <w:iCs/>
          <w:sz w:val="24"/>
          <w:szCs w:val="24"/>
          <w:lang w:eastAsia="hr-HR"/>
        </w:rPr>
        <w:t>7</w:t>
      </w:r>
      <w:bookmarkEnd w:id="33"/>
      <w:r w:rsidR="00771A3F" w:rsidRPr="00C41483">
        <w:rPr>
          <w:rFonts w:ascii="Times New Roman" w:eastAsia="Times New Roman" w:hAnsi="Times New Roman" w:cs="Times New Roman"/>
          <w:bCs/>
          <w:i/>
          <w:iCs/>
          <w:sz w:val="24"/>
          <w:szCs w:val="24"/>
          <w:lang w:eastAsia="hr-HR"/>
        </w:rPr>
        <w:t>a)</w:t>
      </w:r>
    </w:p>
    <w:p w14:paraId="4D2C1D2A" w14:textId="3067AC4D" w:rsidR="00537F88" w:rsidRPr="00C41483" w:rsidRDefault="00537F88" w:rsidP="006B5133">
      <w:pPr>
        <w:spacing w:after="0" w:line="240" w:lineRule="auto"/>
        <w:jc w:val="both"/>
        <w:rPr>
          <w:rFonts w:ascii="Times New Roman" w:eastAsia="Times New Roman" w:hAnsi="Times New Roman" w:cs="Times New Roman"/>
          <w:bCs/>
          <w:i/>
          <w:iCs/>
          <w:sz w:val="24"/>
          <w:szCs w:val="24"/>
          <w:lang w:eastAsia="hr-HR"/>
        </w:rPr>
      </w:pPr>
    </w:p>
    <w:p w14:paraId="5AB2F1FA" w14:textId="1FA332FB" w:rsidR="00622306" w:rsidRPr="00C41483" w:rsidRDefault="007C222B" w:rsidP="006B5133">
      <w:pPr>
        <w:spacing w:after="0" w:line="240" w:lineRule="auto"/>
        <w:jc w:val="both"/>
        <w:rPr>
          <w:rFonts w:ascii="Times New Roman" w:eastAsia="Times New Roman" w:hAnsi="Times New Roman" w:cs="Times New Roman"/>
          <w:bCs/>
          <w:sz w:val="24"/>
          <w:szCs w:val="24"/>
          <w:lang w:eastAsia="hr-HR"/>
        </w:rPr>
      </w:pPr>
      <w:r w:rsidRPr="00C41483">
        <w:rPr>
          <w:rFonts w:ascii="Times New Roman" w:eastAsia="Times New Roman" w:hAnsi="Times New Roman" w:cs="Times New Roman"/>
          <w:bCs/>
          <w:sz w:val="24"/>
          <w:szCs w:val="24"/>
          <w:lang w:eastAsia="hr-HR"/>
        </w:rPr>
        <w:t>(</w:t>
      </w:r>
      <w:r w:rsidR="000F3ADF" w:rsidRPr="00C41483">
        <w:rPr>
          <w:rFonts w:ascii="Times New Roman" w:eastAsia="Times New Roman" w:hAnsi="Times New Roman" w:cs="Times New Roman"/>
          <w:bCs/>
          <w:sz w:val="24"/>
          <w:szCs w:val="24"/>
          <w:lang w:eastAsia="hr-HR"/>
        </w:rPr>
        <w:t>41</w:t>
      </w:r>
      <w:r w:rsidRPr="00C41483">
        <w:rPr>
          <w:rFonts w:ascii="Times New Roman" w:eastAsia="Times New Roman" w:hAnsi="Times New Roman" w:cs="Times New Roman"/>
          <w:bCs/>
          <w:sz w:val="24"/>
          <w:szCs w:val="24"/>
          <w:lang w:eastAsia="hr-HR"/>
        </w:rPr>
        <w:t xml:space="preserve">) </w:t>
      </w:r>
      <w:r w:rsidR="00537F88" w:rsidRPr="00C41483">
        <w:rPr>
          <w:rFonts w:ascii="Times New Roman" w:eastAsia="Times New Roman" w:hAnsi="Times New Roman" w:cs="Times New Roman"/>
          <w:bCs/>
          <w:sz w:val="24"/>
          <w:szCs w:val="24"/>
          <w:lang w:eastAsia="hr-HR"/>
        </w:rPr>
        <w:t xml:space="preserve">U organizaciji Međunarodne organizacije socijalnog turizma - ISTO u Zagrebu je 2016. održan Svjetski kongres socijalnog turizma. Glavna tema Kongresa bila je Pokretanje turizma kroz </w:t>
      </w:r>
      <w:proofErr w:type="spellStart"/>
      <w:r w:rsidR="00537F88" w:rsidRPr="00C41483">
        <w:rPr>
          <w:rFonts w:ascii="Times New Roman" w:eastAsia="Times New Roman" w:hAnsi="Times New Roman" w:cs="Times New Roman"/>
          <w:bCs/>
          <w:sz w:val="24"/>
          <w:szCs w:val="24"/>
          <w:lang w:eastAsia="hr-HR"/>
        </w:rPr>
        <w:t>uključivost</w:t>
      </w:r>
      <w:proofErr w:type="spellEnd"/>
      <w:r w:rsidR="00537F88" w:rsidRPr="00C41483">
        <w:rPr>
          <w:rFonts w:ascii="Times New Roman" w:eastAsia="Times New Roman" w:hAnsi="Times New Roman" w:cs="Times New Roman"/>
          <w:bCs/>
          <w:sz w:val="24"/>
          <w:szCs w:val="24"/>
          <w:lang w:eastAsia="hr-HR"/>
        </w:rPr>
        <w:t xml:space="preserve"> u okviru koje se raspravljalo o pristupačnosti, socijalnoj politici kao pokretaču rasta domaćeg turizma, razvoja regije i održivog razvoja. Na Kongresu </w:t>
      </w:r>
      <w:r w:rsidR="004C24B4" w:rsidRPr="00C41483">
        <w:rPr>
          <w:rFonts w:ascii="Times New Roman" w:eastAsia="Times New Roman" w:hAnsi="Times New Roman" w:cs="Times New Roman"/>
          <w:bCs/>
          <w:sz w:val="24"/>
          <w:szCs w:val="24"/>
          <w:lang w:eastAsia="hr-HR"/>
        </w:rPr>
        <w:t>su</w:t>
      </w:r>
      <w:r w:rsidR="00537F88" w:rsidRPr="00C41483">
        <w:rPr>
          <w:rFonts w:ascii="Times New Roman" w:eastAsia="Times New Roman" w:hAnsi="Times New Roman" w:cs="Times New Roman"/>
          <w:bCs/>
          <w:sz w:val="24"/>
          <w:szCs w:val="24"/>
          <w:lang w:eastAsia="hr-HR"/>
        </w:rPr>
        <w:t xml:space="preserve"> sudjeloval</w:t>
      </w:r>
      <w:r w:rsidR="004C24B4" w:rsidRPr="00C41483">
        <w:rPr>
          <w:rFonts w:ascii="Times New Roman" w:eastAsia="Times New Roman" w:hAnsi="Times New Roman" w:cs="Times New Roman"/>
          <w:bCs/>
          <w:sz w:val="24"/>
          <w:szCs w:val="24"/>
          <w:lang w:eastAsia="hr-HR"/>
        </w:rPr>
        <w:t>i</w:t>
      </w:r>
      <w:r w:rsidR="00537F88" w:rsidRPr="00C41483">
        <w:rPr>
          <w:rFonts w:ascii="Times New Roman" w:eastAsia="Times New Roman" w:hAnsi="Times New Roman" w:cs="Times New Roman"/>
          <w:bCs/>
          <w:sz w:val="24"/>
          <w:szCs w:val="24"/>
          <w:lang w:eastAsia="hr-HR"/>
        </w:rPr>
        <w:t xml:space="preserve"> predstavni</w:t>
      </w:r>
      <w:r w:rsidR="004C24B4" w:rsidRPr="00C41483">
        <w:rPr>
          <w:rFonts w:ascii="Times New Roman" w:eastAsia="Times New Roman" w:hAnsi="Times New Roman" w:cs="Times New Roman"/>
          <w:bCs/>
          <w:sz w:val="24"/>
          <w:szCs w:val="24"/>
          <w:lang w:eastAsia="hr-HR"/>
        </w:rPr>
        <w:t>ci</w:t>
      </w:r>
      <w:r w:rsidR="00537F88" w:rsidRPr="00C41483">
        <w:rPr>
          <w:rFonts w:ascii="Times New Roman" w:eastAsia="Times New Roman" w:hAnsi="Times New Roman" w:cs="Times New Roman"/>
          <w:bCs/>
          <w:sz w:val="24"/>
          <w:szCs w:val="24"/>
          <w:lang w:eastAsia="hr-HR"/>
        </w:rPr>
        <w:t xml:space="preserve"> javnog i privatnog sektora, sveučilišta i međunarodnih organizacija iz 22 države s područja Sjeverne i Južne Amerike, Afrike i Europe. </w:t>
      </w:r>
    </w:p>
    <w:p w14:paraId="62DB924D" w14:textId="77777777" w:rsidR="000E6B09" w:rsidRPr="00C41483" w:rsidRDefault="000E6B09" w:rsidP="006B5133">
      <w:pPr>
        <w:spacing w:after="0" w:line="240" w:lineRule="auto"/>
        <w:jc w:val="both"/>
        <w:rPr>
          <w:rFonts w:ascii="Times New Roman" w:eastAsia="Times New Roman" w:hAnsi="Times New Roman" w:cs="Times New Roman"/>
          <w:bCs/>
          <w:sz w:val="24"/>
          <w:szCs w:val="24"/>
          <w:lang w:eastAsia="hr-HR"/>
        </w:rPr>
      </w:pPr>
    </w:p>
    <w:p w14:paraId="49A0D4B0" w14:textId="1B75C484" w:rsidR="00E20F08" w:rsidRPr="00C41483" w:rsidRDefault="007C222B" w:rsidP="006B5133">
      <w:pPr>
        <w:spacing w:after="0" w:line="240" w:lineRule="auto"/>
        <w:jc w:val="both"/>
        <w:rPr>
          <w:rFonts w:ascii="Times New Roman" w:eastAsia="Times New Roman" w:hAnsi="Times New Roman" w:cs="Times New Roman"/>
          <w:bCs/>
          <w:sz w:val="24"/>
          <w:szCs w:val="24"/>
          <w:lang w:eastAsia="hr-HR"/>
        </w:rPr>
      </w:pPr>
      <w:r w:rsidRPr="00C41483">
        <w:rPr>
          <w:rFonts w:ascii="Times New Roman" w:eastAsia="Times New Roman" w:hAnsi="Times New Roman" w:cs="Times New Roman"/>
          <w:bCs/>
          <w:sz w:val="24"/>
          <w:szCs w:val="24"/>
          <w:lang w:eastAsia="hr-HR"/>
        </w:rPr>
        <w:t>(</w:t>
      </w:r>
      <w:r w:rsidR="000F3ADF" w:rsidRPr="00C41483">
        <w:rPr>
          <w:rFonts w:ascii="Times New Roman" w:eastAsia="Times New Roman" w:hAnsi="Times New Roman" w:cs="Times New Roman"/>
          <w:bCs/>
          <w:sz w:val="24"/>
          <w:szCs w:val="24"/>
          <w:lang w:eastAsia="hr-HR"/>
        </w:rPr>
        <w:t>42</w:t>
      </w:r>
      <w:r w:rsidRPr="00C41483">
        <w:rPr>
          <w:rFonts w:ascii="Times New Roman" w:eastAsia="Times New Roman" w:hAnsi="Times New Roman" w:cs="Times New Roman"/>
          <w:bCs/>
          <w:sz w:val="24"/>
          <w:szCs w:val="24"/>
          <w:lang w:eastAsia="hr-HR"/>
        </w:rPr>
        <w:t xml:space="preserve">) </w:t>
      </w:r>
      <w:r w:rsidR="007E61FB" w:rsidRPr="00C41483">
        <w:rPr>
          <w:rFonts w:ascii="Times New Roman" w:eastAsia="Times New Roman" w:hAnsi="Times New Roman" w:cs="Times New Roman"/>
          <w:bCs/>
          <w:sz w:val="24"/>
          <w:szCs w:val="24"/>
          <w:lang w:eastAsia="hr-HR"/>
        </w:rPr>
        <w:t xml:space="preserve">U cilju </w:t>
      </w:r>
      <w:r w:rsidR="00537F88" w:rsidRPr="00C41483">
        <w:rPr>
          <w:rFonts w:ascii="Times New Roman" w:eastAsia="Times New Roman" w:hAnsi="Times New Roman" w:cs="Times New Roman"/>
          <w:bCs/>
          <w:sz w:val="24"/>
          <w:szCs w:val="24"/>
          <w:lang w:eastAsia="hr-HR"/>
        </w:rPr>
        <w:t>podizanja svijesti o socijalnoj inkluziji osoba s invaliditetom u turizmu</w:t>
      </w:r>
      <w:r w:rsidR="007E61FB" w:rsidRPr="00C41483">
        <w:rPr>
          <w:rFonts w:ascii="Times New Roman" w:eastAsia="Times New Roman" w:hAnsi="Times New Roman" w:cs="Times New Roman"/>
          <w:bCs/>
          <w:sz w:val="24"/>
          <w:szCs w:val="24"/>
          <w:lang w:eastAsia="hr-HR"/>
        </w:rPr>
        <w:t xml:space="preserve">, nadležno ministarstvo </w:t>
      </w:r>
      <w:r w:rsidR="00675F7B" w:rsidRPr="00C41483">
        <w:rPr>
          <w:rFonts w:ascii="Times New Roman" w:eastAsia="Times New Roman" w:hAnsi="Times New Roman" w:cs="Times New Roman"/>
          <w:bCs/>
          <w:sz w:val="24"/>
          <w:szCs w:val="24"/>
          <w:lang w:eastAsia="hr-HR"/>
        </w:rPr>
        <w:t>na</w:t>
      </w:r>
      <w:r w:rsidR="00537F88" w:rsidRPr="00C41483">
        <w:rPr>
          <w:rFonts w:ascii="Times New Roman" w:eastAsia="Times New Roman" w:hAnsi="Times New Roman" w:cs="Times New Roman"/>
          <w:bCs/>
          <w:sz w:val="24"/>
          <w:szCs w:val="24"/>
          <w:lang w:eastAsia="hr-HR"/>
        </w:rPr>
        <w:t xml:space="preserve"> natječajima za sufinanciranje projekata u turizmu dodatn</w:t>
      </w:r>
      <w:r w:rsidR="007E61FB" w:rsidRPr="00C41483">
        <w:rPr>
          <w:rFonts w:ascii="Times New Roman" w:eastAsia="Times New Roman" w:hAnsi="Times New Roman" w:cs="Times New Roman"/>
          <w:bCs/>
          <w:sz w:val="24"/>
          <w:szCs w:val="24"/>
          <w:lang w:eastAsia="hr-HR"/>
        </w:rPr>
        <w:t>o</w:t>
      </w:r>
      <w:r w:rsidR="00537F88" w:rsidRPr="00C41483">
        <w:rPr>
          <w:rFonts w:ascii="Times New Roman" w:eastAsia="Times New Roman" w:hAnsi="Times New Roman" w:cs="Times New Roman"/>
          <w:bCs/>
          <w:sz w:val="24"/>
          <w:szCs w:val="24"/>
          <w:lang w:eastAsia="hr-HR"/>
        </w:rPr>
        <w:t xml:space="preserve"> bod</w:t>
      </w:r>
      <w:r w:rsidR="007E61FB" w:rsidRPr="00C41483">
        <w:rPr>
          <w:rFonts w:ascii="Times New Roman" w:eastAsia="Times New Roman" w:hAnsi="Times New Roman" w:cs="Times New Roman"/>
          <w:bCs/>
          <w:sz w:val="24"/>
          <w:szCs w:val="24"/>
          <w:lang w:eastAsia="hr-HR"/>
        </w:rPr>
        <w:t>uje</w:t>
      </w:r>
      <w:r w:rsidR="00537F88" w:rsidRPr="00C41483">
        <w:rPr>
          <w:rFonts w:ascii="Times New Roman" w:eastAsia="Times New Roman" w:hAnsi="Times New Roman" w:cs="Times New Roman"/>
          <w:bCs/>
          <w:sz w:val="24"/>
          <w:szCs w:val="24"/>
          <w:lang w:eastAsia="hr-HR"/>
        </w:rPr>
        <w:t xml:space="preserve"> projekte koji uključuju elemente pristupačnosti, zapošljavaju osobe s invaliditetom, koji su usmjereni na osposobljavanje osoba s invaliditetom za rad u turizmu i</w:t>
      </w:r>
      <w:r w:rsidR="007E61FB" w:rsidRPr="00C41483">
        <w:rPr>
          <w:rFonts w:ascii="Times New Roman" w:eastAsia="Times New Roman" w:hAnsi="Times New Roman" w:cs="Times New Roman"/>
          <w:bCs/>
          <w:sz w:val="24"/>
          <w:szCs w:val="24"/>
          <w:lang w:eastAsia="hr-HR"/>
        </w:rPr>
        <w:t xml:space="preserve"> slično, a kroz </w:t>
      </w:r>
      <w:r w:rsidR="00537F88" w:rsidRPr="00C41483">
        <w:rPr>
          <w:rFonts w:ascii="Times New Roman" w:eastAsia="Times New Roman" w:hAnsi="Times New Roman" w:cs="Times New Roman"/>
          <w:bCs/>
          <w:sz w:val="24"/>
          <w:szCs w:val="24"/>
          <w:lang w:eastAsia="hr-HR"/>
        </w:rPr>
        <w:t>medijsk</w:t>
      </w:r>
      <w:r w:rsidR="007E61FB" w:rsidRPr="00C41483">
        <w:rPr>
          <w:rFonts w:ascii="Times New Roman" w:eastAsia="Times New Roman" w:hAnsi="Times New Roman" w:cs="Times New Roman"/>
          <w:bCs/>
          <w:sz w:val="24"/>
          <w:szCs w:val="24"/>
          <w:lang w:eastAsia="hr-HR"/>
        </w:rPr>
        <w:t>e</w:t>
      </w:r>
      <w:r w:rsidR="00537F88" w:rsidRPr="00C41483">
        <w:rPr>
          <w:rFonts w:ascii="Times New Roman" w:eastAsia="Times New Roman" w:hAnsi="Times New Roman" w:cs="Times New Roman"/>
          <w:bCs/>
          <w:sz w:val="24"/>
          <w:szCs w:val="24"/>
          <w:lang w:eastAsia="hr-HR"/>
        </w:rPr>
        <w:t xml:space="preserve"> istup</w:t>
      </w:r>
      <w:r w:rsidR="007E61FB" w:rsidRPr="00C41483">
        <w:rPr>
          <w:rFonts w:ascii="Times New Roman" w:eastAsia="Times New Roman" w:hAnsi="Times New Roman" w:cs="Times New Roman"/>
          <w:bCs/>
          <w:sz w:val="24"/>
          <w:szCs w:val="24"/>
          <w:lang w:eastAsia="hr-HR"/>
        </w:rPr>
        <w:t>e</w:t>
      </w:r>
      <w:r w:rsidR="00537F88" w:rsidRPr="00C41483">
        <w:rPr>
          <w:rFonts w:ascii="Times New Roman" w:eastAsia="Times New Roman" w:hAnsi="Times New Roman" w:cs="Times New Roman"/>
          <w:bCs/>
          <w:sz w:val="24"/>
          <w:szCs w:val="24"/>
          <w:lang w:eastAsia="hr-HR"/>
        </w:rPr>
        <w:t xml:space="preserve"> prezentira takve projekte/nositelje projekata</w:t>
      </w:r>
      <w:r w:rsidR="00675F7B" w:rsidRPr="00C41483">
        <w:rPr>
          <w:rFonts w:ascii="Times New Roman" w:eastAsia="Times New Roman" w:hAnsi="Times New Roman" w:cs="Times New Roman"/>
          <w:bCs/>
          <w:sz w:val="24"/>
          <w:szCs w:val="24"/>
          <w:lang w:eastAsia="hr-HR"/>
        </w:rPr>
        <w:t>.</w:t>
      </w:r>
      <w:r w:rsidR="00130CD9" w:rsidRPr="00C41483">
        <w:rPr>
          <w:rFonts w:ascii="Times New Roman" w:eastAsia="Times New Roman" w:hAnsi="Times New Roman" w:cs="Times New Roman"/>
          <w:bCs/>
          <w:sz w:val="24"/>
          <w:szCs w:val="24"/>
          <w:lang w:eastAsia="hr-HR"/>
        </w:rPr>
        <w:t xml:space="preserve"> </w:t>
      </w:r>
      <w:r w:rsidR="008C2A02" w:rsidRPr="00C41483">
        <w:rPr>
          <w:rFonts w:ascii="Times New Roman" w:eastAsia="Times New Roman" w:hAnsi="Times New Roman" w:cs="Times New Roman"/>
          <w:bCs/>
          <w:sz w:val="24"/>
          <w:szCs w:val="24"/>
          <w:lang w:eastAsia="hr-HR"/>
        </w:rPr>
        <w:t xml:space="preserve">Isto </w:t>
      </w:r>
      <w:r w:rsidR="00E20F08" w:rsidRPr="00C41483">
        <w:rPr>
          <w:rFonts w:ascii="Times New Roman" w:eastAsia="Times New Roman" w:hAnsi="Times New Roman" w:cs="Times New Roman"/>
          <w:bCs/>
          <w:sz w:val="24"/>
          <w:szCs w:val="24"/>
          <w:lang w:eastAsia="hr-HR"/>
        </w:rPr>
        <w:t>Ministarstvo je uključeno u aktivnosti podizanja svijesti o socijalnom uključivanju osoba s invaliditetom i u svojstvu Posredničkog tijela razine 1 za O</w:t>
      </w:r>
      <w:r w:rsidR="002D4058" w:rsidRPr="00C41483">
        <w:rPr>
          <w:rFonts w:ascii="Times New Roman" w:eastAsia="Times New Roman" w:hAnsi="Times New Roman" w:cs="Times New Roman"/>
          <w:bCs/>
          <w:sz w:val="24"/>
          <w:szCs w:val="24"/>
          <w:lang w:eastAsia="hr-HR"/>
        </w:rPr>
        <w:t xml:space="preserve">PULJP </w:t>
      </w:r>
      <w:r w:rsidR="00E20F08" w:rsidRPr="00C41483">
        <w:rPr>
          <w:rFonts w:ascii="Times New Roman" w:eastAsia="Times New Roman" w:hAnsi="Times New Roman" w:cs="Times New Roman"/>
          <w:bCs/>
          <w:sz w:val="24"/>
          <w:szCs w:val="24"/>
          <w:lang w:eastAsia="hr-HR"/>
        </w:rPr>
        <w:t xml:space="preserve">2014.-2020. kroz promociju poziva koje raspisuje navedeno Ministarstvo. U razdoblju od 2016. do 2019. godine Ministarstvo je predstavilo svoje Pozive u okviru više različitih događanja na kojima su sudjelovala ukupno 883 sudionika. </w:t>
      </w:r>
    </w:p>
    <w:p w14:paraId="466375F8" w14:textId="77777777" w:rsidR="000E6B09" w:rsidRPr="00C41483" w:rsidRDefault="000E6B09" w:rsidP="006B5133">
      <w:pPr>
        <w:spacing w:after="0" w:line="240" w:lineRule="auto"/>
        <w:jc w:val="both"/>
        <w:rPr>
          <w:rFonts w:ascii="Times New Roman" w:eastAsia="Times New Roman" w:hAnsi="Times New Roman" w:cs="Times New Roman"/>
          <w:bCs/>
          <w:sz w:val="24"/>
          <w:szCs w:val="24"/>
          <w:lang w:eastAsia="hr-HR"/>
        </w:rPr>
      </w:pPr>
    </w:p>
    <w:p w14:paraId="5468A687" w14:textId="090B75F5" w:rsidR="00E55321" w:rsidRPr="00C41483" w:rsidRDefault="007C222B" w:rsidP="006B5133">
      <w:pPr>
        <w:spacing w:after="0" w:line="240" w:lineRule="auto"/>
        <w:jc w:val="both"/>
        <w:rPr>
          <w:rFonts w:ascii="Times New Roman" w:eastAsia="Times New Roman" w:hAnsi="Times New Roman" w:cs="Times New Roman"/>
          <w:bCs/>
          <w:sz w:val="24"/>
          <w:szCs w:val="24"/>
          <w:lang w:eastAsia="hr-HR"/>
        </w:rPr>
      </w:pPr>
      <w:r w:rsidRPr="00C41483">
        <w:rPr>
          <w:rFonts w:ascii="Times New Roman" w:eastAsia="Times New Roman" w:hAnsi="Times New Roman" w:cs="Times New Roman"/>
          <w:bCs/>
          <w:sz w:val="24"/>
          <w:szCs w:val="24"/>
          <w:lang w:eastAsia="hr-HR"/>
        </w:rPr>
        <w:t>(4</w:t>
      </w:r>
      <w:r w:rsidR="000F3ADF" w:rsidRPr="00C41483">
        <w:rPr>
          <w:rFonts w:ascii="Times New Roman" w:eastAsia="Times New Roman" w:hAnsi="Times New Roman" w:cs="Times New Roman"/>
          <w:bCs/>
          <w:sz w:val="24"/>
          <w:szCs w:val="24"/>
          <w:lang w:eastAsia="hr-HR"/>
        </w:rPr>
        <w:t>3</w:t>
      </w:r>
      <w:r w:rsidRPr="00C41483">
        <w:rPr>
          <w:rFonts w:ascii="Times New Roman" w:eastAsia="Times New Roman" w:hAnsi="Times New Roman" w:cs="Times New Roman"/>
          <w:bCs/>
          <w:sz w:val="24"/>
          <w:szCs w:val="24"/>
          <w:lang w:eastAsia="hr-HR"/>
        </w:rPr>
        <w:t xml:space="preserve">) </w:t>
      </w:r>
      <w:r w:rsidR="00E55321" w:rsidRPr="00C41483">
        <w:rPr>
          <w:rFonts w:ascii="Times New Roman" w:eastAsia="Times New Roman" w:hAnsi="Times New Roman" w:cs="Times New Roman"/>
          <w:bCs/>
          <w:sz w:val="24"/>
          <w:szCs w:val="24"/>
          <w:lang w:eastAsia="hr-HR"/>
        </w:rPr>
        <w:t>U 2017. godini objavljen je Poziv „Poboljšanje pristupa ranjivih skupina tržištu rada u sektoru turizma i ugostiteljstva“ kroz koji je planirano uključivanje 189 osoba s invaliditetom,</w:t>
      </w:r>
      <w:r w:rsidR="00E55321" w:rsidRPr="00C41483">
        <w:t xml:space="preserve"> te </w:t>
      </w:r>
      <w:r w:rsidR="00E55321" w:rsidRPr="00C41483">
        <w:rPr>
          <w:rFonts w:ascii="Times New Roman" w:eastAsia="Times New Roman" w:hAnsi="Times New Roman" w:cs="Times New Roman"/>
          <w:bCs/>
          <w:sz w:val="24"/>
          <w:szCs w:val="24"/>
          <w:lang w:eastAsia="hr-HR"/>
        </w:rPr>
        <w:t>usavršavanje njihovih mentora/edukatora. Dodatno su bodovani prijavitelji koji u projekte uključuju osobe s invaliditetom. Druga faza navedenog Poziva planirana je u 2021. godini. U 2019. godini objavljen je Poziv “Uspostava regionalnih centara kompetentnosti u sektoru turizma i ugostiteljstva” koji obuhvaća i promovira  sudjelovanje osoba s invaliditetom i učenika s teškoćama u posebno pripremljenim i prilagođenim programima osposobljavanja</w:t>
      </w:r>
      <w:r w:rsidR="00324253" w:rsidRPr="00C41483">
        <w:rPr>
          <w:rFonts w:ascii="Times New Roman" w:eastAsia="Times New Roman" w:hAnsi="Times New Roman" w:cs="Times New Roman"/>
          <w:bCs/>
          <w:sz w:val="24"/>
          <w:szCs w:val="24"/>
          <w:lang w:eastAsia="hr-HR"/>
        </w:rPr>
        <w:t>.</w:t>
      </w:r>
    </w:p>
    <w:p w14:paraId="5581E1F2" w14:textId="77777777" w:rsidR="009B2810" w:rsidRPr="00C41483" w:rsidRDefault="009B2810" w:rsidP="006B5133">
      <w:pPr>
        <w:spacing w:after="0" w:line="240" w:lineRule="auto"/>
        <w:jc w:val="both"/>
        <w:rPr>
          <w:rFonts w:ascii="Times New Roman" w:hAnsi="Times New Roman" w:cs="Times New Roman"/>
          <w:sz w:val="24"/>
          <w:szCs w:val="24"/>
        </w:rPr>
      </w:pPr>
    </w:p>
    <w:p w14:paraId="4B691DB3" w14:textId="2F47FBAA" w:rsidR="00547798" w:rsidRPr="00C41483" w:rsidRDefault="007C222B" w:rsidP="006B5133">
      <w:pPr>
        <w:spacing w:after="0" w:line="240" w:lineRule="auto"/>
        <w:jc w:val="both"/>
        <w:rPr>
          <w:rFonts w:ascii="Times New Roman" w:eastAsia="Times New Roman" w:hAnsi="Times New Roman" w:cs="Times New Roman"/>
          <w:bCs/>
          <w:iCs/>
          <w:sz w:val="24"/>
          <w:szCs w:val="24"/>
          <w:lang w:eastAsia="hr-HR"/>
        </w:rPr>
      </w:pPr>
      <w:r w:rsidRPr="00C41483">
        <w:rPr>
          <w:rFonts w:ascii="Times New Roman" w:hAnsi="Times New Roman" w:cs="Times New Roman"/>
          <w:sz w:val="24"/>
          <w:szCs w:val="24"/>
        </w:rPr>
        <w:t>(4</w:t>
      </w:r>
      <w:r w:rsidR="000F3ADF" w:rsidRPr="00C41483">
        <w:rPr>
          <w:rFonts w:ascii="Times New Roman" w:hAnsi="Times New Roman" w:cs="Times New Roman"/>
          <w:sz w:val="24"/>
          <w:szCs w:val="24"/>
        </w:rPr>
        <w:t>4</w:t>
      </w:r>
      <w:r w:rsidRPr="00C41483">
        <w:rPr>
          <w:rFonts w:ascii="Times New Roman" w:hAnsi="Times New Roman" w:cs="Times New Roman"/>
          <w:sz w:val="24"/>
          <w:szCs w:val="24"/>
        </w:rPr>
        <w:t xml:space="preserve">) </w:t>
      </w:r>
      <w:r w:rsidR="002A43F0" w:rsidRPr="00C41483">
        <w:rPr>
          <w:rFonts w:ascii="Times New Roman" w:hAnsi="Times New Roman" w:cs="Times New Roman"/>
          <w:sz w:val="24"/>
          <w:szCs w:val="24"/>
        </w:rPr>
        <w:t>JLP(R)S</w:t>
      </w:r>
      <w:r w:rsidR="002A43F0" w:rsidRPr="00C41483">
        <w:rPr>
          <w:rFonts w:ascii="Times New Roman" w:eastAsia="Times New Roman" w:hAnsi="Times New Roman" w:cs="Times New Roman"/>
          <w:bCs/>
          <w:sz w:val="24"/>
          <w:szCs w:val="24"/>
          <w:lang w:eastAsia="hr-HR"/>
        </w:rPr>
        <w:t xml:space="preserve"> </w:t>
      </w:r>
      <w:r w:rsidR="000B2898" w:rsidRPr="00C41483">
        <w:rPr>
          <w:rFonts w:ascii="Times New Roman" w:eastAsia="Times New Roman" w:hAnsi="Times New Roman" w:cs="Times New Roman"/>
          <w:bCs/>
          <w:sz w:val="24"/>
          <w:szCs w:val="24"/>
          <w:lang w:eastAsia="hr-HR"/>
        </w:rPr>
        <w:t xml:space="preserve">provode </w:t>
      </w:r>
      <w:r w:rsidR="00547798" w:rsidRPr="00C41483">
        <w:rPr>
          <w:rFonts w:ascii="Times New Roman" w:eastAsia="Times New Roman" w:hAnsi="Times New Roman" w:cs="Times New Roman"/>
          <w:bCs/>
          <w:sz w:val="24"/>
          <w:szCs w:val="24"/>
          <w:lang w:eastAsia="hr-HR"/>
        </w:rPr>
        <w:t xml:space="preserve">niz aktivnosti koje </w:t>
      </w:r>
      <w:r w:rsidR="00547798" w:rsidRPr="00C41483">
        <w:rPr>
          <w:rFonts w:ascii="Times New Roman" w:eastAsia="Times New Roman" w:hAnsi="Times New Roman" w:cs="Times New Roman"/>
          <w:bCs/>
          <w:iCs/>
          <w:sz w:val="24"/>
          <w:szCs w:val="24"/>
          <w:lang w:eastAsia="hr-HR"/>
        </w:rPr>
        <w:t>pridonose općoj toleranciji</w:t>
      </w:r>
      <w:r w:rsidR="00F25926" w:rsidRPr="00C41483">
        <w:rPr>
          <w:rFonts w:ascii="Times New Roman" w:eastAsia="Times New Roman" w:hAnsi="Times New Roman" w:cs="Times New Roman"/>
          <w:bCs/>
          <w:iCs/>
          <w:sz w:val="24"/>
          <w:szCs w:val="24"/>
          <w:lang w:eastAsia="hr-HR"/>
        </w:rPr>
        <w:t>,</w:t>
      </w:r>
      <w:r w:rsidR="00547798" w:rsidRPr="00C41483">
        <w:rPr>
          <w:rFonts w:ascii="Times New Roman" w:eastAsia="Times New Roman" w:hAnsi="Times New Roman" w:cs="Times New Roman"/>
          <w:bCs/>
          <w:iCs/>
          <w:sz w:val="24"/>
          <w:szCs w:val="24"/>
          <w:lang w:eastAsia="hr-HR"/>
        </w:rPr>
        <w:t xml:space="preserve"> suzbijanju stereotipa i diskriminacije osoba s invaliditetom. Podaci su dostupni u izvješćima o provedbi Nacionalne </w:t>
      </w:r>
      <w:r w:rsidR="00B04900" w:rsidRPr="00C41483">
        <w:rPr>
          <w:rFonts w:ascii="Times New Roman" w:eastAsia="Times New Roman" w:hAnsi="Times New Roman" w:cs="Times New Roman"/>
          <w:bCs/>
          <w:iCs/>
          <w:sz w:val="24"/>
          <w:szCs w:val="24"/>
          <w:lang w:eastAsia="hr-HR"/>
        </w:rPr>
        <w:t xml:space="preserve">strategije </w:t>
      </w:r>
      <w:r w:rsidR="00547798" w:rsidRPr="00C41483">
        <w:rPr>
          <w:rFonts w:ascii="Times New Roman" w:eastAsia="Times New Roman" w:hAnsi="Times New Roman" w:cs="Times New Roman"/>
          <w:bCs/>
          <w:iCs/>
          <w:sz w:val="24"/>
          <w:szCs w:val="24"/>
          <w:lang w:eastAsia="hr-HR"/>
        </w:rPr>
        <w:t>2017. do 2020. godine</w:t>
      </w:r>
      <w:r w:rsidR="00675F7B" w:rsidRPr="00C41483">
        <w:rPr>
          <w:rFonts w:ascii="Times New Roman" w:eastAsia="Times New Roman" w:hAnsi="Times New Roman" w:cs="Times New Roman"/>
          <w:bCs/>
          <w:iCs/>
          <w:sz w:val="24"/>
          <w:szCs w:val="24"/>
          <w:lang w:eastAsia="hr-HR"/>
        </w:rPr>
        <w:t xml:space="preserve"> koja su javno dostupna</w:t>
      </w:r>
      <w:r w:rsidR="00547798" w:rsidRPr="00C41483">
        <w:rPr>
          <w:rFonts w:ascii="Times New Roman" w:eastAsia="Times New Roman" w:hAnsi="Times New Roman" w:cs="Times New Roman"/>
          <w:bCs/>
          <w:iCs/>
          <w:sz w:val="24"/>
          <w:szCs w:val="24"/>
          <w:lang w:eastAsia="hr-HR"/>
        </w:rPr>
        <w:t>.</w:t>
      </w:r>
    </w:p>
    <w:p w14:paraId="625BF024" w14:textId="77777777" w:rsidR="000E6B09" w:rsidRPr="00C41483" w:rsidRDefault="000E6B09" w:rsidP="006B5133">
      <w:pPr>
        <w:spacing w:after="0" w:line="240" w:lineRule="auto"/>
        <w:jc w:val="both"/>
        <w:rPr>
          <w:rFonts w:ascii="Times New Roman" w:eastAsia="Times New Roman" w:hAnsi="Times New Roman" w:cs="Times New Roman"/>
          <w:bCs/>
          <w:iCs/>
          <w:sz w:val="24"/>
          <w:szCs w:val="24"/>
          <w:lang w:eastAsia="hr-HR"/>
        </w:rPr>
      </w:pPr>
    </w:p>
    <w:p w14:paraId="6BBA2BAF" w14:textId="2D6964F8" w:rsidR="00275A12" w:rsidRPr="00C41483" w:rsidRDefault="007C222B" w:rsidP="006B5133">
      <w:pPr>
        <w:spacing w:after="0" w:line="240" w:lineRule="auto"/>
        <w:jc w:val="both"/>
        <w:rPr>
          <w:rFonts w:ascii="Times New Roman" w:eastAsia="Times New Roman" w:hAnsi="Times New Roman" w:cs="Times New Roman"/>
          <w:bCs/>
          <w:iCs/>
          <w:sz w:val="24"/>
          <w:szCs w:val="24"/>
          <w:lang w:eastAsia="hr-HR"/>
        </w:rPr>
      </w:pPr>
      <w:bookmarkStart w:id="34" w:name="_Hlk78456114"/>
      <w:r w:rsidRPr="00C41483">
        <w:rPr>
          <w:rFonts w:ascii="Times New Roman" w:eastAsia="Times New Roman" w:hAnsi="Times New Roman" w:cs="Times New Roman"/>
          <w:bCs/>
          <w:iCs/>
          <w:sz w:val="24"/>
          <w:szCs w:val="24"/>
          <w:lang w:eastAsia="hr-HR"/>
        </w:rPr>
        <w:t>(4</w:t>
      </w:r>
      <w:r w:rsidR="000F3ADF" w:rsidRPr="00C41483">
        <w:rPr>
          <w:rFonts w:ascii="Times New Roman" w:eastAsia="Times New Roman" w:hAnsi="Times New Roman" w:cs="Times New Roman"/>
          <w:bCs/>
          <w:iCs/>
          <w:sz w:val="24"/>
          <w:szCs w:val="24"/>
          <w:lang w:eastAsia="hr-HR"/>
        </w:rPr>
        <w:t>5</w:t>
      </w:r>
      <w:r w:rsidRPr="00C41483">
        <w:rPr>
          <w:rFonts w:ascii="Times New Roman" w:eastAsia="Times New Roman" w:hAnsi="Times New Roman" w:cs="Times New Roman"/>
          <w:bCs/>
          <w:iCs/>
          <w:sz w:val="24"/>
          <w:szCs w:val="24"/>
          <w:lang w:eastAsia="hr-HR"/>
        </w:rPr>
        <w:t xml:space="preserve">) </w:t>
      </w:r>
      <w:r w:rsidR="00275A12" w:rsidRPr="00C41483">
        <w:rPr>
          <w:rFonts w:ascii="Times New Roman" w:eastAsia="Times New Roman" w:hAnsi="Times New Roman" w:cs="Times New Roman"/>
          <w:bCs/>
          <w:iCs/>
          <w:sz w:val="24"/>
          <w:szCs w:val="24"/>
          <w:lang w:eastAsia="hr-HR"/>
        </w:rPr>
        <w:t>U okviru održanih radionica opisanih u odgovoru na pitanje 1a) poseban naglasak stavljan je na važnost vertikalne i horizontalne koordinacije u provedbi mjera kao važnom preduvjetu uspostave modela ljudskih prava</w:t>
      </w:r>
      <w:bookmarkEnd w:id="34"/>
      <w:r w:rsidR="00275A12" w:rsidRPr="00C41483">
        <w:rPr>
          <w:rFonts w:ascii="Times New Roman" w:eastAsia="Times New Roman" w:hAnsi="Times New Roman" w:cs="Times New Roman"/>
          <w:bCs/>
          <w:iCs/>
          <w:sz w:val="24"/>
          <w:szCs w:val="24"/>
          <w:lang w:eastAsia="hr-HR"/>
        </w:rPr>
        <w:t>.</w:t>
      </w:r>
    </w:p>
    <w:p w14:paraId="249FD7F0" w14:textId="77777777" w:rsidR="000E6B09" w:rsidRPr="00C41483" w:rsidRDefault="000E6B09" w:rsidP="00673A59">
      <w:pPr>
        <w:spacing w:after="0" w:line="240" w:lineRule="auto"/>
        <w:jc w:val="both"/>
        <w:rPr>
          <w:rFonts w:ascii="Times New Roman" w:eastAsia="Times New Roman" w:hAnsi="Times New Roman" w:cs="Times New Roman"/>
          <w:bCs/>
          <w:iCs/>
          <w:sz w:val="24"/>
          <w:szCs w:val="24"/>
          <w:lang w:eastAsia="hr-HR"/>
        </w:rPr>
      </w:pPr>
    </w:p>
    <w:p w14:paraId="6364D448" w14:textId="77566C0D" w:rsidR="00673A59" w:rsidRPr="00C41483" w:rsidRDefault="007C222B" w:rsidP="00673A59">
      <w:pPr>
        <w:spacing w:after="0" w:line="240" w:lineRule="auto"/>
        <w:jc w:val="both"/>
        <w:rPr>
          <w:rFonts w:ascii="Times New Roman" w:eastAsia="Times New Roman" w:hAnsi="Times New Roman" w:cs="Times New Roman"/>
          <w:bCs/>
          <w:iCs/>
          <w:sz w:val="24"/>
          <w:szCs w:val="24"/>
          <w:lang w:eastAsia="hr-HR"/>
        </w:rPr>
      </w:pPr>
      <w:r w:rsidRPr="00C41483">
        <w:rPr>
          <w:rFonts w:ascii="Times New Roman" w:eastAsia="Times New Roman" w:hAnsi="Times New Roman" w:cs="Times New Roman"/>
          <w:bCs/>
          <w:iCs/>
          <w:sz w:val="24"/>
          <w:szCs w:val="24"/>
          <w:lang w:eastAsia="hr-HR"/>
        </w:rPr>
        <w:lastRenderedPageBreak/>
        <w:t>(</w:t>
      </w:r>
      <w:r w:rsidR="00324253" w:rsidRPr="00C41483">
        <w:rPr>
          <w:rFonts w:ascii="Times New Roman" w:eastAsia="Times New Roman" w:hAnsi="Times New Roman" w:cs="Times New Roman"/>
          <w:bCs/>
          <w:iCs/>
          <w:sz w:val="24"/>
          <w:szCs w:val="24"/>
          <w:lang w:eastAsia="hr-HR"/>
        </w:rPr>
        <w:t>4</w:t>
      </w:r>
      <w:r w:rsidR="000F3ADF" w:rsidRPr="00C41483">
        <w:rPr>
          <w:rFonts w:ascii="Times New Roman" w:eastAsia="Times New Roman" w:hAnsi="Times New Roman" w:cs="Times New Roman"/>
          <w:bCs/>
          <w:iCs/>
          <w:sz w:val="24"/>
          <w:szCs w:val="24"/>
          <w:lang w:eastAsia="hr-HR"/>
        </w:rPr>
        <w:t>6</w:t>
      </w:r>
      <w:r w:rsidRPr="00C41483">
        <w:rPr>
          <w:rFonts w:ascii="Times New Roman" w:eastAsia="Times New Roman" w:hAnsi="Times New Roman" w:cs="Times New Roman"/>
          <w:bCs/>
          <w:iCs/>
          <w:sz w:val="24"/>
          <w:szCs w:val="24"/>
          <w:lang w:eastAsia="hr-HR"/>
        </w:rPr>
        <w:t xml:space="preserve">) </w:t>
      </w:r>
      <w:r w:rsidR="00673A59" w:rsidRPr="00C41483">
        <w:rPr>
          <w:rFonts w:ascii="Times New Roman" w:eastAsia="Times New Roman" w:hAnsi="Times New Roman" w:cs="Times New Roman"/>
          <w:bCs/>
          <w:iCs/>
          <w:sz w:val="24"/>
          <w:szCs w:val="24"/>
          <w:lang w:eastAsia="hr-HR"/>
        </w:rPr>
        <w:t>Naglašavamo da provoditelji svih projekata i programa odobrenih kroz korištenje sredstava fondova EU imaju obvezu informira</w:t>
      </w:r>
      <w:r w:rsidR="001D4F08" w:rsidRPr="00C41483">
        <w:rPr>
          <w:rFonts w:ascii="Times New Roman" w:eastAsia="Times New Roman" w:hAnsi="Times New Roman" w:cs="Times New Roman"/>
          <w:bCs/>
          <w:iCs/>
          <w:sz w:val="24"/>
          <w:szCs w:val="24"/>
          <w:lang w:eastAsia="hr-HR"/>
        </w:rPr>
        <w:t xml:space="preserve">ti </w:t>
      </w:r>
      <w:r w:rsidR="00673A59" w:rsidRPr="00C41483">
        <w:rPr>
          <w:rFonts w:ascii="Times New Roman" w:eastAsia="Times New Roman" w:hAnsi="Times New Roman" w:cs="Times New Roman"/>
          <w:bCs/>
          <w:iCs/>
          <w:sz w:val="24"/>
          <w:szCs w:val="24"/>
          <w:lang w:eastAsia="hr-HR"/>
        </w:rPr>
        <w:t xml:space="preserve">javnosti o projektima (operacijama), odnosno osigurati vidljivosti tih programa i projekata koja uključuje kampanje, ali i sve druge oblike vidljivosti. </w:t>
      </w:r>
    </w:p>
    <w:p w14:paraId="5E89B154" w14:textId="77777777" w:rsidR="00673A59" w:rsidRPr="00C41483" w:rsidRDefault="00673A59" w:rsidP="006B5133">
      <w:pPr>
        <w:spacing w:after="0" w:line="240" w:lineRule="auto"/>
        <w:jc w:val="both"/>
        <w:rPr>
          <w:rFonts w:ascii="Times New Roman" w:eastAsia="Times New Roman" w:hAnsi="Times New Roman" w:cs="Times New Roman"/>
          <w:bCs/>
          <w:iCs/>
          <w:sz w:val="24"/>
          <w:szCs w:val="24"/>
          <w:lang w:eastAsia="hr-HR"/>
        </w:rPr>
      </w:pPr>
    </w:p>
    <w:p w14:paraId="13BEC0ED" w14:textId="419B3483" w:rsidR="00E63BC2" w:rsidRPr="00C41483" w:rsidRDefault="00F361C7" w:rsidP="006B5133">
      <w:pPr>
        <w:spacing w:after="0" w:line="240" w:lineRule="auto"/>
        <w:jc w:val="both"/>
        <w:rPr>
          <w:rFonts w:ascii="Times New Roman" w:eastAsia="Times New Roman" w:hAnsi="Times New Roman" w:cs="Times New Roman"/>
          <w:bCs/>
          <w:i/>
          <w:iCs/>
          <w:sz w:val="24"/>
          <w:szCs w:val="24"/>
          <w:lang w:eastAsia="hr-HR"/>
        </w:rPr>
      </w:pPr>
      <w:r w:rsidRPr="00C41483">
        <w:rPr>
          <w:rFonts w:ascii="Times New Roman" w:eastAsia="Times New Roman" w:hAnsi="Times New Roman" w:cs="Times New Roman"/>
          <w:bCs/>
          <w:i/>
          <w:iCs/>
          <w:sz w:val="24"/>
          <w:szCs w:val="24"/>
          <w:lang w:eastAsia="hr-HR"/>
        </w:rPr>
        <w:t>Pitanje 7</w:t>
      </w:r>
      <w:bookmarkStart w:id="35" w:name="_Hlk83813792"/>
      <w:r w:rsidR="00E63BC2" w:rsidRPr="00C41483">
        <w:rPr>
          <w:rFonts w:ascii="Times New Roman" w:eastAsia="Times New Roman" w:hAnsi="Times New Roman" w:cs="Times New Roman"/>
          <w:bCs/>
          <w:i/>
          <w:iCs/>
          <w:sz w:val="24"/>
          <w:szCs w:val="24"/>
          <w:lang w:eastAsia="hr-HR"/>
        </w:rPr>
        <w:t xml:space="preserve">b) </w:t>
      </w:r>
    </w:p>
    <w:bookmarkEnd w:id="35"/>
    <w:p w14:paraId="3CF62C64" w14:textId="4B11BC23" w:rsidR="008C18B4" w:rsidRPr="00C41483" w:rsidRDefault="008C18B4" w:rsidP="006B5133">
      <w:pPr>
        <w:spacing w:after="0" w:line="240" w:lineRule="auto"/>
        <w:jc w:val="both"/>
        <w:rPr>
          <w:rFonts w:ascii="Times New Roman" w:eastAsia="Times New Roman" w:hAnsi="Times New Roman" w:cs="Times New Roman"/>
          <w:bCs/>
          <w:i/>
          <w:iCs/>
          <w:sz w:val="24"/>
          <w:szCs w:val="24"/>
          <w:lang w:eastAsia="hr-HR"/>
        </w:rPr>
      </w:pPr>
    </w:p>
    <w:p w14:paraId="3829849F" w14:textId="490F31A6" w:rsidR="00E01004" w:rsidRPr="00C41483" w:rsidRDefault="007C222B" w:rsidP="006B5133">
      <w:pPr>
        <w:spacing w:after="0" w:line="240" w:lineRule="auto"/>
        <w:jc w:val="both"/>
        <w:rPr>
          <w:rFonts w:ascii="Times New Roman" w:eastAsia="Times New Roman" w:hAnsi="Times New Roman" w:cs="Times New Roman"/>
          <w:bCs/>
          <w:sz w:val="24"/>
          <w:szCs w:val="24"/>
          <w:lang w:eastAsia="hr-HR"/>
        </w:rPr>
      </w:pPr>
      <w:r w:rsidRPr="00C41483">
        <w:rPr>
          <w:rFonts w:ascii="Times New Roman" w:eastAsia="Times New Roman" w:hAnsi="Times New Roman" w:cs="Times New Roman"/>
          <w:bCs/>
          <w:sz w:val="24"/>
          <w:szCs w:val="24"/>
          <w:lang w:eastAsia="hr-HR"/>
        </w:rPr>
        <w:t>(</w:t>
      </w:r>
      <w:r w:rsidR="00324253" w:rsidRPr="00C41483">
        <w:rPr>
          <w:rFonts w:ascii="Times New Roman" w:eastAsia="Times New Roman" w:hAnsi="Times New Roman" w:cs="Times New Roman"/>
          <w:bCs/>
          <w:sz w:val="24"/>
          <w:szCs w:val="24"/>
          <w:lang w:eastAsia="hr-HR"/>
        </w:rPr>
        <w:t>4</w:t>
      </w:r>
      <w:r w:rsidR="000F3ADF" w:rsidRPr="00C41483">
        <w:rPr>
          <w:rFonts w:ascii="Times New Roman" w:eastAsia="Times New Roman" w:hAnsi="Times New Roman" w:cs="Times New Roman"/>
          <w:bCs/>
          <w:sz w:val="24"/>
          <w:szCs w:val="24"/>
          <w:lang w:eastAsia="hr-HR"/>
        </w:rPr>
        <w:t>7</w:t>
      </w:r>
      <w:r w:rsidR="00324253" w:rsidRPr="00C41483">
        <w:rPr>
          <w:rFonts w:ascii="Times New Roman" w:eastAsia="Times New Roman" w:hAnsi="Times New Roman" w:cs="Times New Roman"/>
          <w:bCs/>
          <w:sz w:val="24"/>
          <w:szCs w:val="24"/>
          <w:lang w:eastAsia="hr-HR"/>
        </w:rPr>
        <w:t>)</w:t>
      </w:r>
      <w:r w:rsidRPr="00C41483">
        <w:rPr>
          <w:rFonts w:ascii="Times New Roman" w:eastAsia="Times New Roman" w:hAnsi="Times New Roman" w:cs="Times New Roman"/>
          <w:bCs/>
          <w:sz w:val="24"/>
          <w:szCs w:val="24"/>
          <w:lang w:eastAsia="hr-HR"/>
        </w:rPr>
        <w:t xml:space="preserve"> </w:t>
      </w:r>
      <w:r w:rsidR="00E12AEC" w:rsidRPr="00C41483">
        <w:rPr>
          <w:rFonts w:ascii="Times New Roman" w:eastAsia="Times New Roman" w:hAnsi="Times New Roman" w:cs="Times New Roman"/>
          <w:bCs/>
          <w:sz w:val="24"/>
          <w:szCs w:val="24"/>
          <w:lang w:eastAsia="hr-HR"/>
        </w:rPr>
        <w:t>HZJZ</w:t>
      </w:r>
      <w:r w:rsidR="00974820" w:rsidRPr="00C41483">
        <w:rPr>
          <w:rFonts w:ascii="Times New Roman" w:eastAsia="Times New Roman" w:hAnsi="Times New Roman" w:cs="Times New Roman"/>
          <w:bCs/>
          <w:sz w:val="24"/>
          <w:szCs w:val="24"/>
          <w:lang w:eastAsia="hr-HR"/>
        </w:rPr>
        <w:t xml:space="preserve"> organizira edukacije o načinima ostvarivanja primjerenog kontakta s osobama s invaliditetom. Predavači su predstavnici udruga svih vrsta invaliditeta. Edukacije su do sada održane za djelatnike svih bolnica i Kliničkih bolničkih centara u Gradu Zagrebu, Kliničkog bolničkog centra Rijeka i </w:t>
      </w:r>
      <w:r w:rsidR="001549BB" w:rsidRPr="00C41483">
        <w:rPr>
          <w:rFonts w:ascii="Times New Roman" w:eastAsia="Times New Roman" w:hAnsi="Times New Roman"/>
          <w:sz w:val="24"/>
          <w:szCs w:val="24"/>
          <w:lang w:eastAsia="hr-HR"/>
        </w:rPr>
        <w:t>ZOSI-a</w:t>
      </w:r>
      <w:r w:rsidR="00974820" w:rsidRPr="00C41483">
        <w:rPr>
          <w:rFonts w:ascii="Times New Roman" w:eastAsia="Times New Roman" w:hAnsi="Times New Roman" w:cs="Times New Roman"/>
          <w:bCs/>
          <w:sz w:val="24"/>
          <w:szCs w:val="24"/>
          <w:lang w:eastAsia="hr-HR"/>
        </w:rPr>
        <w:t>. Ovaj sadržaj je dio i nastavnog kurikuluma studija Sestrinstva u Zagrebu.</w:t>
      </w:r>
      <w:r w:rsidR="00BC4093" w:rsidRPr="00C41483">
        <w:rPr>
          <w:rFonts w:ascii="Times New Roman" w:eastAsia="Times New Roman" w:hAnsi="Times New Roman" w:cs="Times New Roman"/>
          <w:bCs/>
          <w:sz w:val="24"/>
          <w:szCs w:val="24"/>
          <w:lang w:eastAsia="hr-HR"/>
        </w:rPr>
        <w:t xml:space="preserve"> </w:t>
      </w:r>
      <w:r w:rsidR="00D85C91" w:rsidRPr="00C41483">
        <w:rPr>
          <w:rFonts w:ascii="Times New Roman" w:eastAsia="Times New Roman" w:hAnsi="Times New Roman" w:cs="Times New Roman"/>
          <w:bCs/>
          <w:sz w:val="24"/>
          <w:szCs w:val="24"/>
          <w:lang w:eastAsia="hr-HR"/>
        </w:rPr>
        <w:t xml:space="preserve">HZJZ </w:t>
      </w:r>
      <w:r w:rsidR="00974820" w:rsidRPr="00C41483">
        <w:rPr>
          <w:rFonts w:ascii="Times New Roman" w:eastAsia="Times New Roman" w:hAnsi="Times New Roman"/>
          <w:sz w:val="24"/>
          <w:szCs w:val="24"/>
          <w:lang w:eastAsia="hr-HR"/>
        </w:rPr>
        <w:t xml:space="preserve">je u suradnji s Pravobraniteljicom za osobe s invaliditetom i udrugama koje skrbe za osobe s pojedinim vrstama invaliditeta objavio brošuru „Načini ostvarivanja primjerenog kontakta i specifičnosti zdravstvene skrbi za osobe s invaliditetom“, </w:t>
      </w:r>
      <w:r w:rsidR="00324253" w:rsidRPr="00C41483">
        <w:rPr>
          <w:rFonts w:ascii="Times New Roman" w:eastAsia="Times New Roman" w:hAnsi="Times New Roman"/>
          <w:sz w:val="24"/>
          <w:szCs w:val="24"/>
          <w:lang w:eastAsia="hr-HR"/>
        </w:rPr>
        <w:t>koja j</w:t>
      </w:r>
      <w:r w:rsidR="00974820" w:rsidRPr="00C41483">
        <w:rPr>
          <w:rFonts w:ascii="Times New Roman" w:eastAsia="Times New Roman" w:hAnsi="Times New Roman"/>
          <w:sz w:val="24"/>
          <w:szCs w:val="24"/>
          <w:lang w:eastAsia="hr-HR"/>
        </w:rPr>
        <w:t>e dostupna na internetskim stranicama.</w:t>
      </w:r>
      <w:r w:rsidR="00663EB2" w:rsidRPr="00C41483">
        <w:rPr>
          <w:rFonts w:ascii="Times New Roman" w:eastAsia="Times New Roman" w:hAnsi="Times New Roman"/>
          <w:sz w:val="24"/>
          <w:szCs w:val="24"/>
          <w:lang w:eastAsia="hr-HR"/>
        </w:rPr>
        <w:t xml:space="preserve"> </w:t>
      </w:r>
      <w:r w:rsidR="00E23907" w:rsidRPr="00C41483">
        <w:rPr>
          <w:rFonts w:ascii="Times New Roman" w:eastAsia="Times New Roman" w:hAnsi="Times New Roman" w:cs="Times New Roman"/>
          <w:bCs/>
          <w:sz w:val="24"/>
          <w:szCs w:val="24"/>
          <w:lang w:eastAsia="hr-HR"/>
        </w:rPr>
        <w:t>St</w:t>
      </w:r>
      <w:r w:rsidR="00EC02FD" w:rsidRPr="00C41483">
        <w:rPr>
          <w:rFonts w:ascii="Times New Roman" w:eastAsia="Times New Roman" w:hAnsi="Times New Roman" w:cs="Times New Roman"/>
          <w:bCs/>
          <w:sz w:val="24"/>
          <w:szCs w:val="24"/>
          <w:lang w:eastAsia="hr-HR"/>
        </w:rPr>
        <w:t xml:space="preserve">ručno usavršavanje </w:t>
      </w:r>
      <w:r w:rsidR="00E23907" w:rsidRPr="00C41483">
        <w:rPr>
          <w:rFonts w:ascii="Times New Roman" w:eastAsia="Times New Roman" w:hAnsi="Times New Roman" w:cs="Times New Roman"/>
          <w:bCs/>
          <w:sz w:val="24"/>
          <w:szCs w:val="24"/>
          <w:lang w:eastAsia="hr-HR"/>
        </w:rPr>
        <w:t xml:space="preserve">zdravstvenih radnika </w:t>
      </w:r>
      <w:r w:rsidR="00EC02FD" w:rsidRPr="00C41483">
        <w:rPr>
          <w:rFonts w:ascii="Times New Roman" w:eastAsia="Times New Roman" w:hAnsi="Times New Roman" w:cs="Times New Roman"/>
          <w:bCs/>
          <w:sz w:val="24"/>
          <w:szCs w:val="24"/>
          <w:lang w:eastAsia="hr-HR"/>
        </w:rPr>
        <w:t>obavlja se sukladno propisima o stručnom usavršavanju, kao i odredbama stručnih komora u vezi kontinuirane edukacije za svaku pojedinu djelatnost.</w:t>
      </w:r>
      <w:r w:rsidR="00E23907" w:rsidRPr="00C41483">
        <w:rPr>
          <w:rFonts w:ascii="Times New Roman" w:eastAsia="Times New Roman" w:hAnsi="Times New Roman" w:cs="Times New Roman"/>
          <w:bCs/>
          <w:sz w:val="24"/>
          <w:szCs w:val="24"/>
          <w:lang w:eastAsia="hr-HR"/>
        </w:rPr>
        <w:t xml:space="preserve"> </w:t>
      </w:r>
      <w:r w:rsidR="00EC02FD" w:rsidRPr="00C41483">
        <w:rPr>
          <w:rFonts w:ascii="Times New Roman" w:eastAsia="Times New Roman" w:hAnsi="Times New Roman" w:cs="Times New Roman"/>
          <w:bCs/>
          <w:sz w:val="24"/>
          <w:szCs w:val="24"/>
          <w:lang w:eastAsia="hr-HR"/>
        </w:rPr>
        <w:t>Kontinuirana edukacija zdravstvenih radnika se provodi putem nadležnih komora, stručnih društava, zdravstvenih ustanova ili bilo kojeg drugog organizatora</w:t>
      </w:r>
      <w:r w:rsidR="00E01004" w:rsidRPr="00C41483">
        <w:rPr>
          <w:rFonts w:ascii="Times New Roman" w:eastAsia="Times New Roman" w:hAnsi="Times New Roman" w:cs="Times New Roman"/>
          <w:bCs/>
          <w:sz w:val="24"/>
          <w:szCs w:val="24"/>
          <w:lang w:eastAsia="hr-HR"/>
        </w:rPr>
        <w:t>.</w:t>
      </w:r>
    </w:p>
    <w:p w14:paraId="73697313" w14:textId="77777777" w:rsidR="00324253" w:rsidRPr="00C41483" w:rsidRDefault="00324253" w:rsidP="006B5133">
      <w:pPr>
        <w:spacing w:after="0" w:line="240" w:lineRule="auto"/>
        <w:jc w:val="both"/>
        <w:rPr>
          <w:rFonts w:ascii="Times New Roman" w:eastAsia="Times New Roman" w:hAnsi="Times New Roman" w:cs="Times New Roman"/>
          <w:bCs/>
          <w:sz w:val="24"/>
          <w:szCs w:val="24"/>
          <w:lang w:eastAsia="hr-HR"/>
        </w:rPr>
      </w:pPr>
      <w:bookmarkStart w:id="36" w:name="_Hlk78894928"/>
    </w:p>
    <w:p w14:paraId="4FAFDAD8" w14:textId="781EB1FC" w:rsidR="00ED799C" w:rsidRPr="00C41483" w:rsidRDefault="007C222B" w:rsidP="006B5133">
      <w:pPr>
        <w:spacing w:after="0" w:line="240" w:lineRule="auto"/>
        <w:jc w:val="both"/>
        <w:rPr>
          <w:rFonts w:ascii="Times New Roman" w:eastAsia="Times New Roman" w:hAnsi="Times New Roman" w:cs="Times New Roman"/>
          <w:bCs/>
          <w:sz w:val="24"/>
          <w:szCs w:val="24"/>
          <w:lang w:eastAsia="hr-HR"/>
        </w:rPr>
      </w:pPr>
      <w:r w:rsidRPr="00C41483">
        <w:rPr>
          <w:rFonts w:ascii="Times New Roman" w:eastAsia="Times New Roman" w:hAnsi="Times New Roman" w:cs="Times New Roman"/>
          <w:bCs/>
          <w:sz w:val="24"/>
          <w:szCs w:val="24"/>
          <w:lang w:eastAsia="hr-HR"/>
        </w:rPr>
        <w:t>(</w:t>
      </w:r>
      <w:r w:rsidR="00324253" w:rsidRPr="00C41483">
        <w:rPr>
          <w:rFonts w:ascii="Times New Roman" w:eastAsia="Times New Roman" w:hAnsi="Times New Roman" w:cs="Times New Roman"/>
          <w:bCs/>
          <w:sz w:val="24"/>
          <w:szCs w:val="24"/>
          <w:lang w:eastAsia="hr-HR"/>
        </w:rPr>
        <w:t>4</w:t>
      </w:r>
      <w:r w:rsidR="000F3ADF" w:rsidRPr="00C41483">
        <w:rPr>
          <w:rFonts w:ascii="Times New Roman" w:eastAsia="Times New Roman" w:hAnsi="Times New Roman" w:cs="Times New Roman"/>
          <w:bCs/>
          <w:sz w:val="24"/>
          <w:szCs w:val="24"/>
          <w:lang w:eastAsia="hr-HR"/>
        </w:rPr>
        <w:t>8</w:t>
      </w:r>
      <w:r w:rsidRPr="00C41483">
        <w:rPr>
          <w:rFonts w:ascii="Times New Roman" w:eastAsia="Times New Roman" w:hAnsi="Times New Roman" w:cs="Times New Roman"/>
          <w:bCs/>
          <w:sz w:val="24"/>
          <w:szCs w:val="24"/>
          <w:lang w:eastAsia="hr-HR"/>
        </w:rPr>
        <w:t xml:space="preserve">) </w:t>
      </w:r>
      <w:r w:rsidR="00601E8F" w:rsidRPr="00C41483">
        <w:rPr>
          <w:rFonts w:ascii="Times New Roman" w:eastAsia="Times New Roman" w:hAnsi="Times New Roman" w:cs="Times New Roman"/>
          <w:bCs/>
          <w:sz w:val="24"/>
          <w:szCs w:val="24"/>
          <w:lang w:eastAsia="hr-HR"/>
        </w:rPr>
        <w:t>Ministarstvo nadležno za socijaln</w:t>
      </w:r>
      <w:r w:rsidR="00193086" w:rsidRPr="00C41483">
        <w:rPr>
          <w:rFonts w:ascii="Times New Roman" w:eastAsia="Times New Roman" w:hAnsi="Times New Roman" w:cs="Times New Roman"/>
          <w:bCs/>
          <w:sz w:val="24"/>
          <w:szCs w:val="24"/>
          <w:lang w:eastAsia="hr-HR"/>
        </w:rPr>
        <w:t>u</w:t>
      </w:r>
      <w:r w:rsidR="00601E8F" w:rsidRPr="00C41483">
        <w:rPr>
          <w:rFonts w:ascii="Times New Roman" w:eastAsia="Times New Roman" w:hAnsi="Times New Roman" w:cs="Times New Roman"/>
          <w:bCs/>
          <w:sz w:val="24"/>
          <w:szCs w:val="24"/>
          <w:lang w:eastAsia="hr-HR"/>
        </w:rPr>
        <w:t xml:space="preserve"> skrb </w:t>
      </w:r>
      <w:r w:rsidR="00ED799C" w:rsidRPr="00C41483">
        <w:rPr>
          <w:rFonts w:ascii="Times New Roman" w:eastAsia="Times New Roman" w:hAnsi="Times New Roman" w:cs="Times New Roman"/>
          <w:bCs/>
          <w:sz w:val="24"/>
          <w:szCs w:val="24"/>
          <w:lang w:eastAsia="hr-HR"/>
        </w:rPr>
        <w:t>kontinuirano održava edukacije stručnih radnika u sustavu socijalne skrbi s c</w:t>
      </w:r>
      <w:r w:rsidR="00601E8F" w:rsidRPr="00C41483">
        <w:rPr>
          <w:rFonts w:ascii="Times New Roman" w:eastAsia="Times New Roman" w:hAnsi="Times New Roman" w:cs="Times New Roman"/>
          <w:bCs/>
          <w:sz w:val="24"/>
          <w:szCs w:val="24"/>
          <w:lang w:eastAsia="hr-HR"/>
        </w:rPr>
        <w:t>ilj</w:t>
      </w:r>
      <w:r w:rsidR="00ED799C" w:rsidRPr="00C41483">
        <w:rPr>
          <w:rFonts w:ascii="Times New Roman" w:eastAsia="Times New Roman" w:hAnsi="Times New Roman" w:cs="Times New Roman"/>
          <w:bCs/>
          <w:sz w:val="24"/>
          <w:szCs w:val="24"/>
          <w:lang w:eastAsia="hr-HR"/>
        </w:rPr>
        <w:t>em</w:t>
      </w:r>
      <w:r w:rsidR="00601E8F" w:rsidRPr="00C41483">
        <w:rPr>
          <w:rFonts w:ascii="Times New Roman" w:eastAsia="Times New Roman" w:hAnsi="Times New Roman" w:cs="Times New Roman"/>
          <w:bCs/>
          <w:sz w:val="24"/>
          <w:szCs w:val="24"/>
          <w:lang w:eastAsia="hr-HR"/>
        </w:rPr>
        <w:t xml:space="preserve"> </w:t>
      </w:r>
      <w:r w:rsidR="00ED799C" w:rsidRPr="00C41483">
        <w:rPr>
          <w:rFonts w:ascii="Times New Roman" w:eastAsia="Times New Roman" w:hAnsi="Times New Roman" w:cs="Times New Roman"/>
          <w:bCs/>
          <w:sz w:val="24"/>
          <w:szCs w:val="24"/>
          <w:lang w:eastAsia="hr-HR"/>
        </w:rPr>
        <w:t xml:space="preserve">unapređenja rada </w:t>
      </w:r>
      <w:r w:rsidR="00601E8F" w:rsidRPr="00C41483">
        <w:rPr>
          <w:rFonts w:ascii="Times New Roman" w:eastAsia="Times New Roman" w:hAnsi="Times New Roman" w:cs="Times New Roman"/>
          <w:bCs/>
          <w:sz w:val="24"/>
          <w:szCs w:val="24"/>
          <w:lang w:eastAsia="hr-HR"/>
        </w:rPr>
        <w:t>s osobama s invaliditetom</w:t>
      </w:r>
      <w:r w:rsidR="00ED799C" w:rsidRPr="00C41483">
        <w:rPr>
          <w:rFonts w:ascii="Times New Roman" w:eastAsia="Times New Roman" w:hAnsi="Times New Roman" w:cs="Times New Roman"/>
          <w:bCs/>
          <w:sz w:val="24"/>
          <w:szCs w:val="24"/>
          <w:lang w:eastAsia="hr-HR"/>
        </w:rPr>
        <w:t>. Više u prilogu</w:t>
      </w:r>
      <w:r w:rsidR="00FC522D" w:rsidRPr="00C41483">
        <w:rPr>
          <w:rFonts w:ascii="Times New Roman" w:eastAsia="Times New Roman" w:hAnsi="Times New Roman" w:cs="Times New Roman"/>
          <w:bCs/>
          <w:sz w:val="24"/>
          <w:szCs w:val="24"/>
          <w:lang w:eastAsia="hr-HR"/>
        </w:rPr>
        <w:t xml:space="preserve"> 15</w:t>
      </w:r>
      <w:r w:rsidR="001A2F17">
        <w:rPr>
          <w:rFonts w:ascii="Times New Roman" w:eastAsia="Times New Roman" w:hAnsi="Times New Roman" w:cs="Times New Roman"/>
          <w:bCs/>
          <w:sz w:val="24"/>
          <w:szCs w:val="24"/>
          <w:lang w:eastAsia="hr-HR"/>
        </w:rPr>
        <w:t>.</w:t>
      </w:r>
    </w:p>
    <w:p w14:paraId="645F9E29" w14:textId="23C93C0C" w:rsidR="00B77D39" w:rsidRPr="00C41483" w:rsidRDefault="00B77D39" w:rsidP="006B5133">
      <w:pPr>
        <w:spacing w:after="0" w:line="240" w:lineRule="auto"/>
        <w:jc w:val="both"/>
        <w:rPr>
          <w:rFonts w:ascii="Times New Roman" w:eastAsia="Times New Roman" w:hAnsi="Times New Roman" w:cs="Times New Roman"/>
          <w:bCs/>
          <w:sz w:val="24"/>
          <w:szCs w:val="24"/>
          <w:lang w:eastAsia="hr-HR"/>
        </w:rPr>
      </w:pPr>
    </w:p>
    <w:bookmarkEnd w:id="36"/>
    <w:p w14:paraId="1DB1E2BF" w14:textId="2A5EF668" w:rsidR="0094394A" w:rsidRPr="00C41483" w:rsidRDefault="007C222B" w:rsidP="006B5133">
      <w:pPr>
        <w:spacing w:after="0" w:line="240" w:lineRule="auto"/>
        <w:jc w:val="both"/>
        <w:rPr>
          <w:rFonts w:ascii="Times New Roman" w:eastAsia="Times New Roman" w:hAnsi="Times New Roman" w:cs="Times New Roman"/>
          <w:bCs/>
          <w:sz w:val="24"/>
          <w:szCs w:val="24"/>
          <w:lang w:eastAsia="hr-HR"/>
        </w:rPr>
      </w:pPr>
      <w:r w:rsidRPr="00C41483">
        <w:rPr>
          <w:rFonts w:ascii="Times New Roman" w:eastAsia="Times New Roman" w:hAnsi="Times New Roman" w:cs="Times New Roman"/>
          <w:bCs/>
          <w:sz w:val="24"/>
          <w:szCs w:val="24"/>
          <w:lang w:eastAsia="hr-HR"/>
        </w:rPr>
        <w:t>(</w:t>
      </w:r>
      <w:r w:rsidR="00324253" w:rsidRPr="00C41483">
        <w:rPr>
          <w:rFonts w:ascii="Times New Roman" w:eastAsia="Times New Roman" w:hAnsi="Times New Roman" w:cs="Times New Roman"/>
          <w:bCs/>
          <w:sz w:val="24"/>
          <w:szCs w:val="24"/>
          <w:lang w:eastAsia="hr-HR"/>
        </w:rPr>
        <w:t>4</w:t>
      </w:r>
      <w:r w:rsidR="000F3ADF" w:rsidRPr="00C41483">
        <w:rPr>
          <w:rFonts w:ascii="Times New Roman" w:eastAsia="Times New Roman" w:hAnsi="Times New Roman" w:cs="Times New Roman"/>
          <w:bCs/>
          <w:sz w:val="24"/>
          <w:szCs w:val="24"/>
          <w:lang w:eastAsia="hr-HR"/>
        </w:rPr>
        <w:t>9</w:t>
      </w:r>
      <w:r w:rsidRPr="00C41483">
        <w:rPr>
          <w:rFonts w:ascii="Times New Roman" w:eastAsia="Times New Roman" w:hAnsi="Times New Roman" w:cs="Times New Roman"/>
          <w:bCs/>
          <w:sz w:val="24"/>
          <w:szCs w:val="24"/>
          <w:lang w:eastAsia="hr-HR"/>
        </w:rPr>
        <w:t xml:space="preserve">) </w:t>
      </w:r>
      <w:r w:rsidR="00B77D39" w:rsidRPr="00C41483">
        <w:rPr>
          <w:rFonts w:ascii="Times New Roman" w:eastAsia="Times New Roman" w:hAnsi="Times New Roman" w:cs="Times New Roman"/>
          <w:bCs/>
          <w:sz w:val="24"/>
          <w:szCs w:val="24"/>
          <w:lang w:eastAsia="hr-HR"/>
        </w:rPr>
        <w:t xml:space="preserve">Godine </w:t>
      </w:r>
      <w:r w:rsidR="0094394A" w:rsidRPr="00C41483">
        <w:rPr>
          <w:rFonts w:ascii="Times New Roman" w:eastAsia="Times New Roman" w:hAnsi="Times New Roman" w:cs="Times New Roman"/>
          <w:bCs/>
          <w:sz w:val="24"/>
          <w:szCs w:val="24"/>
          <w:lang w:eastAsia="hr-HR"/>
        </w:rPr>
        <w:t>2015. ravnateljstvo policije je usvojilo program prevencije imovinskog kriminala koji je predstavio projekt „Dan kao san“ kao model prevencije kriminala protiv starijih osoba i osoba s invaliditetom na području cijele RH.</w:t>
      </w:r>
      <w:r w:rsidR="007312BC" w:rsidRPr="00C41483">
        <w:rPr>
          <w:rFonts w:ascii="Times New Roman" w:eastAsia="Times New Roman" w:hAnsi="Times New Roman" w:cs="Times New Roman"/>
          <w:bCs/>
          <w:sz w:val="24"/>
          <w:szCs w:val="24"/>
          <w:lang w:eastAsia="hr-HR"/>
        </w:rPr>
        <w:t xml:space="preserve"> </w:t>
      </w:r>
      <w:r w:rsidR="0094394A" w:rsidRPr="00C41483">
        <w:rPr>
          <w:rFonts w:ascii="Times New Roman" w:eastAsia="Times New Roman" w:hAnsi="Times New Roman" w:cs="Times New Roman"/>
          <w:bCs/>
          <w:sz w:val="24"/>
          <w:szCs w:val="24"/>
          <w:lang w:eastAsia="hr-HR"/>
        </w:rPr>
        <w:t xml:space="preserve">Navedeni projekt predstavlja inovativan i </w:t>
      </w:r>
      <w:proofErr w:type="spellStart"/>
      <w:r w:rsidR="0094394A" w:rsidRPr="00C41483">
        <w:rPr>
          <w:rFonts w:ascii="Times New Roman" w:eastAsia="Times New Roman" w:hAnsi="Times New Roman" w:cs="Times New Roman"/>
          <w:bCs/>
          <w:sz w:val="24"/>
          <w:szCs w:val="24"/>
          <w:lang w:eastAsia="hr-HR"/>
        </w:rPr>
        <w:t>proaktivan</w:t>
      </w:r>
      <w:proofErr w:type="spellEnd"/>
      <w:r w:rsidR="0094394A" w:rsidRPr="00C41483">
        <w:rPr>
          <w:rFonts w:ascii="Times New Roman" w:eastAsia="Times New Roman" w:hAnsi="Times New Roman" w:cs="Times New Roman"/>
          <w:bCs/>
          <w:sz w:val="24"/>
          <w:szCs w:val="24"/>
          <w:lang w:eastAsia="hr-HR"/>
        </w:rPr>
        <w:t xml:space="preserve"> pristup jačanju starijih osoba i osoba s invaliditetom</w:t>
      </w:r>
      <w:r w:rsidR="00EF2FDC" w:rsidRPr="00C41483">
        <w:rPr>
          <w:rFonts w:ascii="Times New Roman" w:eastAsia="Times New Roman" w:hAnsi="Times New Roman" w:cs="Times New Roman"/>
          <w:bCs/>
          <w:sz w:val="24"/>
          <w:szCs w:val="24"/>
          <w:lang w:eastAsia="hr-HR"/>
        </w:rPr>
        <w:t xml:space="preserve"> kroz njihovu edukaciju o samozaštiti, a i sami su </w:t>
      </w:r>
      <w:r w:rsidR="0094394A" w:rsidRPr="00C41483">
        <w:rPr>
          <w:rFonts w:ascii="Times New Roman" w:eastAsia="Times New Roman" w:hAnsi="Times New Roman" w:cs="Times New Roman"/>
          <w:bCs/>
          <w:sz w:val="24"/>
          <w:szCs w:val="24"/>
          <w:lang w:eastAsia="hr-HR"/>
        </w:rPr>
        <w:t xml:space="preserve">postavljeni u ulogu trenera koji obrazuju policijske službenike. Specifični ciljevi projekta su pomoći osobama s invaliditetom i starijim osobama da prepoznaju potencijalnu prijetnju </w:t>
      </w:r>
      <w:r w:rsidR="007312BC" w:rsidRPr="00C41483">
        <w:rPr>
          <w:rFonts w:ascii="Times New Roman" w:eastAsia="Times New Roman" w:hAnsi="Times New Roman" w:cs="Times New Roman"/>
          <w:bCs/>
          <w:sz w:val="24"/>
          <w:szCs w:val="24"/>
          <w:lang w:eastAsia="hr-HR"/>
        </w:rPr>
        <w:t>te</w:t>
      </w:r>
      <w:r w:rsidR="0094394A" w:rsidRPr="00C41483">
        <w:rPr>
          <w:rFonts w:ascii="Times New Roman" w:eastAsia="Times New Roman" w:hAnsi="Times New Roman" w:cs="Times New Roman"/>
          <w:bCs/>
          <w:sz w:val="24"/>
          <w:szCs w:val="24"/>
          <w:lang w:eastAsia="hr-HR"/>
        </w:rPr>
        <w:t xml:space="preserve"> ih naučiti kako na </w:t>
      </w:r>
      <w:r w:rsidR="00EF2FDC" w:rsidRPr="00C41483">
        <w:rPr>
          <w:rFonts w:ascii="Times New Roman" w:eastAsia="Times New Roman" w:hAnsi="Times New Roman" w:cs="Times New Roman"/>
          <w:bCs/>
          <w:sz w:val="24"/>
          <w:szCs w:val="24"/>
          <w:lang w:eastAsia="hr-HR"/>
        </w:rPr>
        <w:t>nju</w:t>
      </w:r>
      <w:r w:rsidR="0094394A" w:rsidRPr="00C41483">
        <w:rPr>
          <w:rFonts w:ascii="Times New Roman" w:eastAsia="Times New Roman" w:hAnsi="Times New Roman" w:cs="Times New Roman"/>
          <w:bCs/>
          <w:sz w:val="24"/>
          <w:szCs w:val="24"/>
          <w:lang w:eastAsia="hr-HR"/>
        </w:rPr>
        <w:t xml:space="preserve"> odgovoriti, razvijati toleranciju kod djece i poboljšati </w:t>
      </w:r>
      <w:r w:rsidR="007312BC" w:rsidRPr="00C41483">
        <w:rPr>
          <w:rFonts w:ascii="Times New Roman" w:eastAsia="Times New Roman" w:hAnsi="Times New Roman" w:cs="Times New Roman"/>
          <w:bCs/>
          <w:sz w:val="24"/>
          <w:szCs w:val="24"/>
          <w:lang w:eastAsia="hr-HR"/>
        </w:rPr>
        <w:t xml:space="preserve">informiranost </w:t>
      </w:r>
      <w:r w:rsidR="0094394A" w:rsidRPr="00C41483">
        <w:rPr>
          <w:rFonts w:ascii="Times New Roman" w:eastAsia="Times New Roman" w:hAnsi="Times New Roman" w:cs="Times New Roman"/>
          <w:bCs/>
          <w:sz w:val="24"/>
          <w:szCs w:val="24"/>
          <w:lang w:eastAsia="hr-HR"/>
        </w:rPr>
        <w:t>policijskih službenika koji rade sa starijim osobama i osobama s invaliditetom</w:t>
      </w:r>
      <w:r w:rsidR="007312BC" w:rsidRPr="00C41483">
        <w:rPr>
          <w:rFonts w:ascii="Times New Roman" w:eastAsia="Times New Roman" w:hAnsi="Times New Roman" w:cs="Times New Roman"/>
          <w:bCs/>
          <w:sz w:val="24"/>
          <w:szCs w:val="24"/>
          <w:lang w:eastAsia="hr-HR"/>
        </w:rPr>
        <w:t>.</w:t>
      </w:r>
    </w:p>
    <w:p w14:paraId="6EBF0943" w14:textId="77777777" w:rsidR="00BC4518" w:rsidRPr="00C41483" w:rsidRDefault="00BC4518" w:rsidP="006B5133">
      <w:pPr>
        <w:spacing w:after="0" w:line="240" w:lineRule="auto"/>
        <w:jc w:val="both"/>
        <w:rPr>
          <w:rFonts w:ascii="Times New Roman" w:eastAsia="Times New Roman" w:hAnsi="Times New Roman" w:cs="Times New Roman"/>
          <w:bCs/>
          <w:sz w:val="24"/>
          <w:szCs w:val="24"/>
          <w:lang w:eastAsia="hr-HR"/>
        </w:rPr>
      </w:pPr>
    </w:p>
    <w:p w14:paraId="6A9285E2" w14:textId="7DDB0001" w:rsidR="00E63BC2" w:rsidRPr="00C41483" w:rsidRDefault="00515050" w:rsidP="006B5133">
      <w:pPr>
        <w:spacing w:after="0" w:line="240" w:lineRule="auto"/>
        <w:jc w:val="both"/>
        <w:rPr>
          <w:rFonts w:ascii="Times New Roman" w:eastAsia="Times New Roman" w:hAnsi="Times New Roman" w:cs="Times New Roman"/>
          <w:bCs/>
          <w:i/>
          <w:iCs/>
          <w:sz w:val="24"/>
          <w:szCs w:val="24"/>
          <w:lang w:eastAsia="hr-HR"/>
        </w:rPr>
      </w:pPr>
      <w:r w:rsidRPr="00C41483">
        <w:rPr>
          <w:rFonts w:ascii="Times New Roman" w:eastAsia="Times New Roman" w:hAnsi="Times New Roman" w:cs="Times New Roman"/>
          <w:bCs/>
          <w:i/>
          <w:iCs/>
          <w:sz w:val="24"/>
          <w:szCs w:val="24"/>
          <w:lang w:eastAsia="hr-HR"/>
        </w:rPr>
        <w:t>Pitanje 7c)</w:t>
      </w:r>
    </w:p>
    <w:p w14:paraId="3311A3D3" w14:textId="77777777" w:rsidR="006B5133" w:rsidRPr="00C41483" w:rsidRDefault="006B5133" w:rsidP="006B5133">
      <w:pPr>
        <w:spacing w:after="0" w:line="240" w:lineRule="auto"/>
        <w:jc w:val="both"/>
        <w:rPr>
          <w:rFonts w:ascii="Times New Roman" w:hAnsi="Times New Roman" w:cs="Times New Roman"/>
          <w:sz w:val="24"/>
          <w:szCs w:val="24"/>
        </w:rPr>
      </w:pPr>
    </w:p>
    <w:p w14:paraId="49DED0CD" w14:textId="35D861D4" w:rsidR="006B5133" w:rsidRPr="00C41483" w:rsidRDefault="007C222B" w:rsidP="00356EB7">
      <w:pPr>
        <w:spacing w:after="0" w:line="240" w:lineRule="auto"/>
        <w:jc w:val="both"/>
        <w:rPr>
          <w:rFonts w:ascii="Times New Roman" w:hAnsi="Times New Roman" w:cs="Times New Roman"/>
          <w:sz w:val="24"/>
          <w:szCs w:val="24"/>
        </w:rPr>
      </w:pPr>
      <w:r w:rsidRPr="00C41483">
        <w:rPr>
          <w:rFonts w:ascii="Times New Roman" w:hAnsi="Times New Roman" w:cs="Times New Roman"/>
          <w:sz w:val="24"/>
          <w:szCs w:val="24"/>
        </w:rPr>
        <w:t>(</w:t>
      </w:r>
      <w:r w:rsidR="000F3ADF" w:rsidRPr="00C41483">
        <w:rPr>
          <w:rFonts w:ascii="Times New Roman" w:hAnsi="Times New Roman" w:cs="Times New Roman"/>
          <w:sz w:val="24"/>
          <w:szCs w:val="24"/>
        </w:rPr>
        <w:t>50</w:t>
      </w:r>
      <w:r w:rsidRPr="00C41483">
        <w:rPr>
          <w:rFonts w:ascii="Times New Roman" w:hAnsi="Times New Roman" w:cs="Times New Roman"/>
          <w:sz w:val="24"/>
          <w:szCs w:val="24"/>
        </w:rPr>
        <w:t xml:space="preserve">) </w:t>
      </w:r>
      <w:r w:rsidR="006B5133" w:rsidRPr="00C41483">
        <w:rPr>
          <w:rFonts w:ascii="Times New Roman" w:hAnsi="Times New Roman" w:cs="Times New Roman"/>
          <w:sz w:val="24"/>
          <w:szCs w:val="24"/>
        </w:rPr>
        <w:t xml:space="preserve">HRT kao javni medijski servis ima obavezu prilagođavati, proizvoditi, </w:t>
      </w:r>
      <w:proofErr w:type="spellStart"/>
      <w:r w:rsidR="006B5133" w:rsidRPr="00C41483">
        <w:rPr>
          <w:rFonts w:ascii="Times New Roman" w:hAnsi="Times New Roman" w:cs="Times New Roman"/>
          <w:sz w:val="24"/>
          <w:szCs w:val="24"/>
        </w:rPr>
        <w:t>suproizvoditi</w:t>
      </w:r>
      <w:proofErr w:type="spellEnd"/>
      <w:r w:rsidR="006B5133" w:rsidRPr="00C41483">
        <w:rPr>
          <w:rFonts w:ascii="Times New Roman" w:hAnsi="Times New Roman" w:cs="Times New Roman"/>
          <w:sz w:val="24"/>
          <w:szCs w:val="24"/>
        </w:rPr>
        <w:t xml:space="preserve"> i objavljivati programe osobama s invaliditetom i djeci s teškoćama u razvoju te poticati prevođenje programa na hrvatski znakovni jezik. Detaljnije o prilagodbi programa je izvješteno u odgovoru na pitanje 31a). </w:t>
      </w:r>
    </w:p>
    <w:p w14:paraId="6B29D1F3" w14:textId="319E19E1" w:rsidR="00356EB7" w:rsidRPr="00C41483" w:rsidRDefault="00356EB7" w:rsidP="00356EB7">
      <w:pPr>
        <w:spacing w:after="0" w:line="240" w:lineRule="auto"/>
        <w:jc w:val="both"/>
        <w:rPr>
          <w:rFonts w:ascii="Times New Roman" w:hAnsi="Times New Roman" w:cs="Times New Roman"/>
          <w:sz w:val="24"/>
          <w:szCs w:val="24"/>
        </w:rPr>
      </w:pPr>
    </w:p>
    <w:p w14:paraId="1953A6BB" w14:textId="77777777" w:rsidR="00356EB7" w:rsidRPr="00C41483" w:rsidRDefault="00356EB7" w:rsidP="00356EB7">
      <w:pPr>
        <w:spacing w:after="0" w:line="240" w:lineRule="auto"/>
        <w:jc w:val="both"/>
        <w:rPr>
          <w:lang w:eastAsia="hr-HR"/>
        </w:rPr>
      </w:pPr>
    </w:p>
    <w:p w14:paraId="10423CFE" w14:textId="27F08D32" w:rsidR="00D542B4" w:rsidRPr="00C41483" w:rsidRDefault="00D542B4" w:rsidP="006B5133">
      <w:pPr>
        <w:pStyle w:val="Naslov1"/>
        <w:spacing w:before="0" w:line="240" w:lineRule="auto"/>
        <w:rPr>
          <w:rFonts w:ascii="Times New Roman" w:eastAsia="Times New Roman" w:hAnsi="Times New Roman" w:cs="Times New Roman"/>
          <w:b/>
          <w:bCs/>
          <w:color w:val="auto"/>
          <w:sz w:val="24"/>
          <w:szCs w:val="24"/>
          <w:lang w:eastAsia="hr-HR"/>
        </w:rPr>
      </w:pPr>
      <w:bookmarkStart w:id="37" w:name="_Toc76630951"/>
      <w:bookmarkStart w:id="38" w:name="_Toc88031191"/>
      <w:r w:rsidRPr="00C41483">
        <w:rPr>
          <w:rFonts w:ascii="Times New Roman" w:eastAsia="Times New Roman" w:hAnsi="Times New Roman" w:cs="Times New Roman"/>
          <w:b/>
          <w:bCs/>
          <w:color w:val="auto"/>
          <w:sz w:val="24"/>
          <w:szCs w:val="24"/>
          <w:lang w:eastAsia="hr-HR"/>
        </w:rPr>
        <w:t>Pristupačnost (čl. 9.)</w:t>
      </w:r>
      <w:bookmarkEnd w:id="37"/>
      <w:bookmarkEnd w:id="38"/>
    </w:p>
    <w:p w14:paraId="016B9A61" w14:textId="77777777" w:rsidR="000668E0" w:rsidRPr="00C41483" w:rsidRDefault="000668E0" w:rsidP="006B5133">
      <w:pPr>
        <w:spacing w:after="0" w:line="240" w:lineRule="auto"/>
        <w:jc w:val="both"/>
        <w:rPr>
          <w:rFonts w:ascii="Times New Roman" w:eastAsia="Times New Roman" w:hAnsi="Times New Roman" w:cs="Times New Roman"/>
          <w:bCs/>
          <w:i/>
          <w:iCs/>
          <w:sz w:val="24"/>
          <w:szCs w:val="24"/>
          <w:lang w:eastAsia="hr-HR"/>
        </w:rPr>
      </w:pPr>
    </w:p>
    <w:p w14:paraId="101504D7" w14:textId="5AB5887E" w:rsidR="002F3481" w:rsidRPr="00C41483" w:rsidRDefault="00515050" w:rsidP="00515050">
      <w:pPr>
        <w:spacing w:after="0" w:line="240" w:lineRule="auto"/>
        <w:jc w:val="both"/>
        <w:rPr>
          <w:rFonts w:ascii="Times New Roman" w:eastAsia="Times New Roman" w:hAnsi="Times New Roman" w:cs="Times New Roman"/>
          <w:bCs/>
          <w:i/>
          <w:iCs/>
          <w:sz w:val="24"/>
          <w:szCs w:val="24"/>
          <w:lang w:eastAsia="hr-HR"/>
        </w:rPr>
      </w:pPr>
      <w:bookmarkStart w:id="39" w:name="_Hlk83813839"/>
      <w:r w:rsidRPr="00C41483">
        <w:rPr>
          <w:rFonts w:ascii="Times New Roman" w:eastAsia="Times New Roman" w:hAnsi="Times New Roman" w:cs="Times New Roman"/>
          <w:bCs/>
          <w:i/>
          <w:iCs/>
          <w:sz w:val="24"/>
          <w:szCs w:val="24"/>
          <w:lang w:eastAsia="hr-HR"/>
        </w:rPr>
        <w:t xml:space="preserve">Pitanje </w:t>
      </w:r>
      <w:r w:rsidR="002F3481" w:rsidRPr="00C41483">
        <w:rPr>
          <w:rFonts w:ascii="Times New Roman" w:eastAsia="Times New Roman" w:hAnsi="Times New Roman" w:cs="Times New Roman"/>
          <w:bCs/>
          <w:i/>
          <w:iCs/>
          <w:sz w:val="24"/>
          <w:szCs w:val="24"/>
          <w:lang w:eastAsia="hr-HR"/>
        </w:rPr>
        <w:t>8</w:t>
      </w:r>
      <w:r w:rsidRPr="00C41483">
        <w:rPr>
          <w:rFonts w:ascii="Times New Roman" w:eastAsia="Times New Roman" w:hAnsi="Times New Roman" w:cs="Times New Roman"/>
          <w:bCs/>
          <w:i/>
          <w:iCs/>
          <w:sz w:val="24"/>
          <w:szCs w:val="24"/>
          <w:lang w:eastAsia="hr-HR"/>
        </w:rPr>
        <w:t>a)</w:t>
      </w:r>
    </w:p>
    <w:p w14:paraId="33BECB1E" w14:textId="6C76BF4F" w:rsidR="00481715" w:rsidRPr="00C41483" w:rsidRDefault="00481715" w:rsidP="006B5133">
      <w:pPr>
        <w:spacing w:after="0" w:line="240" w:lineRule="auto"/>
        <w:jc w:val="both"/>
        <w:rPr>
          <w:rFonts w:ascii="Times New Roman" w:eastAsia="Times New Roman" w:hAnsi="Times New Roman" w:cs="Times New Roman"/>
          <w:bCs/>
          <w:i/>
          <w:iCs/>
          <w:sz w:val="24"/>
          <w:szCs w:val="24"/>
          <w:lang w:eastAsia="hr-HR"/>
        </w:rPr>
      </w:pPr>
    </w:p>
    <w:bookmarkEnd w:id="39"/>
    <w:p w14:paraId="785EE5D3" w14:textId="71B03EFB" w:rsidR="00356EB7" w:rsidRPr="00C41483" w:rsidRDefault="007C222B" w:rsidP="00123F11">
      <w:pPr>
        <w:spacing w:after="0" w:line="240" w:lineRule="auto"/>
        <w:jc w:val="both"/>
        <w:rPr>
          <w:rFonts w:ascii="Times New Roman" w:eastAsia="Times New Roman" w:hAnsi="Times New Roman" w:cs="Times New Roman"/>
          <w:bCs/>
          <w:sz w:val="24"/>
          <w:szCs w:val="24"/>
          <w:lang w:eastAsia="hr-HR"/>
        </w:rPr>
      </w:pPr>
      <w:r w:rsidRPr="00C41483">
        <w:rPr>
          <w:rFonts w:ascii="Times New Roman" w:eastAsia="Times New Roman" w:hAnsi="Times New Roman" w:cs="Times New Roman"/>
          <w:bCs/>
          <w:sz w:val="24"/>
          <w:szCs w:val="24"/>
          <w:lang w:eastAsia="hr-HR"/>
        </w:rPr>
        <w:t>(</w:t>
      </w:r>
      <w:r w:rsidR="000F3ADF" w:rsidRPr="00C41483">
        <w:rPr>
          <w:rFonts w:ascii="Times New Roman" w:eastAsia="Times New Roman" w:hAnsi="Times New Roman" w:cs="Times New Roman"/>
          <w:bCs/>
          <w:sz w:val="24"/>
          <w:szCs w:val="24"/>
          <w:lang w:eastAsia="hr-HR"/>
        </w:rPr>
        <w:t>51</w:t>
      </w:r>
      <w:r w:rsidRPr="00C41483">
        <w:rPr>
          <w:rFonts w:ascii="Times New Roman" w:eastAsia="Times New Roman" w:hAnsi="Times New Roman" w:cs="Times New Roman"/>
          <w:bCs/>
          <w:sz w:val="24"/>
          <w:szCs w:val="24"/>
          <w:lang w:eastAsia="hr-HR"/>
        </w:rPr>
        <w:t xml:space="preserve">) </w:t>
      </w:r>
      <w:r w:rsidR="00481715" w:rsidRPr="00C41483">
        <w:rPr>
          <w:rFonts w:ascii="Times New Roman" w:eastAsia="Times New Roman" w:hAnsi="Times New Roman" w:cs="Times New Roman"/>
          <w:bCs/>
          <w:sz w:val="24"/>
          <w:szCs w:val="24"/>
          <w:lang w:eastAsia="hr-HR"/>
        </w:rPr>
        <w:t>Zakon o pristupačnosti stranica i programskih rješenja za pokretne uređaje tijela javnog sektora</w:t>
      </w:r>
      <w:r w:rsidR="00130CD9" w:rsidRPr="00C41483">
        <w:rPr>
          <w:rFonts w:ascii="Times New Roman" w:eastAsia="Times New Roman" w:hAnsi="Times New Roman" w:cs="Times New Roman"/>
          <w:bCs/>
          <w:sz w:val="24"/>
          <w:szCs w:val="24"/>
          <w:lang w:eastAsia="hr-HR"/>
        </w:rPr>
        <w:t xml:space="preserve"> (2019.)</w:t>
      </w:r>
      <w:r w:rsidR="00481715" w:rsidRPr="00C41483">
        <w:rPr>
          <w:rFonts w:ascii="Times New Roman" w:eastAsia="Times New Roman" w:hAnsi="Times New Roman" w:cs="Times New Roman"/>
          <w:bCs/>
          <w:sz w:val="24"/>
          <w:szCs w:val="24"/>
          <w:lang w:eastAsia="hr-HR"/>
        </w:rPr>
        <w:t xml:space="preserve"> predstavlja ispunjenje obveze transpozicije Direktive (EU) 2016/2102 Europskog parlamenta i Vijeća o pristupačnosti internetskih stranica i mobilnih aplikacija tijela javnog sektora (OJ L 327/1, 2. prosinca 2016.) kojom je definiran krug obveznika (tijela javnog sektora), njihove obveze u smislu ispunjavanja zahtjeva pristupačnosti i rok za prilagodbu. </w:t>
      </w:r>
      <w:r w:rsidR="00481715" w:rsidRPr="00C41483">
        <w:rPr>
          <w:rFonts w:ascii="Times New Roman" w:eastAsia="Times New Roman" w:hAnsi="Times New Roman" w:cs="Times New Roman"/>
          <w:bCs/>
          <w:sz w:val="24"/>
          <w:szCs w:val="24"/>
          <w:lang w:eastAsia="hr-HR"/>
        </w:rPr>
        <w:lastRenderedPageBreak/>
        <w:t>Zakonom se utvrđuje obveza primjen</w:t>
      </w:r>
      <w:r w:rsidR="006B5133" w:rsidRPr="00C41483">
        <w:rPr>
          <w:rFonts w:ascii="Times New Roman" w:eastAsia="Times New Roman" w:hAnsi="Times New Roman" w:cs="Times New Roman"/>
          <w:bCs/>
          <w:sz w:val="24"/>
          <w:szCs w:val="24"/>
          <w:lang w:eastAsia="hr-HR"/>
        </w:rPr>
        <w:t>e</w:t>
      </w:r>
      <w:r w:rsidR="00481715" w:rsidRPr="00C41483">
        <w:rPr>
          <w:rFonts w:ascii="Times New Roman" w:eastAsia="Times New Roman" w:hAnsi="Times New Roman" w:cs="Times New Roman"/>
          <w:bCs/>
          <w:sz w:val="24"/>
          <w:szCs w:val="24"/>
          <w:lang w:eastAsia="hr-HR"/>
        </w:rPr>
        <w:t xml:space="preserve"> zahtjeva pristupačnosti kroz 4 načela: mogućnost opažanja, </w:t>
      </w:r>
      <w:proofErr w:type="spellStart"/>
      <w:r w:rsidR="00481715" w:rsidRPr="00C41483">
        <w:rPr>
          <w:rFonts w:ascii="Times New Roman" w:eastAsia="Times New Roman" w:hAnsi="Times New Roman" w:cs="Times New Roman"/>
          <w:bCs/>
          <w:sz w:val="24"/>
          <w:szCs w:val="24"/>
          <w:lang w:eastAsia="hr-HR"/>
        </w:rPr>
        <w:t>operabilnost</w:t>
      </w:r>
      <w:proofErr w:type="spellEnd"/>
      <w:r w:rsidR="00481715" w:rsidRPr="00C41483">
        <w:rPr>
          <w:rFonts w:ascii="Times New Roman" w:eastAsia="Times New Roman" w:hAnsi="Times New Roman" w:cs="Times New Roman"/>
          <w:bCs/>
          <w:sz w:val="24"/>
          <w:szCs w:val="24"/>
          <w:lang w:eastAsia="hr-HR"/>
        </w:rPr>
        <w:t xml:space="preserve">, razumljivost i stabilnost. </w:t>
      </w:r>
      <w:r w:rsidR="00123F11" w:rsidRPr="00C41483">
        <w:rPr>
          <w:rFonts w:ascii="Times New Roman" w:eastAsia="Times New Roman" w:hAnsi="Times New Roman" w:cs="Times New Roman"/>
          <w:bCs/>
          <w:sz w:val="24"/>
          <w:szCs w:val="24"/>
          <w:lang w:eastAsia="hr-HR"/>
        </w:rPr>
        <w:t>Izrađene su Smjernice za osiguravanje digitalne pristupačnosti Hrvatske akademske i istraživačke mreže – CARNET.</w:t>
      </w:r>
    </w:p>
    <w:p w14:paraId="054D430A" w14:textId="77777777" w:rsidR="00356EB7" w:rsidRPr="00C41483" w:rsidRDefault="00356EB7" w:rsidP="006B5133">
      <w:pPr>
        <w:spacing w:after="0" w:line="240" w:lineRule="auto"/>
        <w:jc w:val="both"/>
        <w:rPr>
          <w:rFonts w:ascii="Times New Roman" w:eastAsia="Times New Roman" w:hAnsi="Times New Roman" w:cs="Times New Roman"/>
          <w:bCs/>
          <w:sz w:val="24"/>
          <w:szCs w:val="24"/>
          <w:lang w:eastAsia="hr-HR"/>
        </w:rPr>
      </w:pPr>
    </w:p>
    <w:p w14:paraId="50B0F6BE" w14:textId="3EC89092" w:rsidR="00481715" w:rsidRPr="00C41483" w:rsidRDefault="007C222B" w:rsidP="00123F11">
      <w:pPr>
        <w:spacing w:after="0" w:line="240" w:lineRule="auto"/>
        <w:jc w:val="both"/>
        <w:rPr>
          <w:rFonts w:ascii="Times New Roman" w:eastAsia="Times New Roman" w:hAnsi="Times New Roman" w:cs="Times New Roman"/>
          <w:bCs/>
          <w:sz w:val="24"/>
          <w:szCs w:val="24"/>
          <w:lang w:eastAsia="hr-HR"/>
        </w:rPr>
      </w:pPr>
      <w:r w:rsidRPr="00C41483">
        <w:rPr>
          <w:rFonts w:ascii="Times New Roman" w:eastAsia="Times New Roman" w:hAnsi="Times New Roman" w:cs="Times New Roman"/>
          <w:bCs/>
          <w:sz w:val="24"/>
          <w:szCs w:val="24"/>
          <w:lang w:eastAsia="hr-HR"/>
        </w:rPr>
        <w:t>(</w:t>
      </w:r>
      <w:r w:rsidR="000F3ADF" w:rsidRPr="00C41483">
        <w:rPr>
          <w:rFonts w:ascii="Times New Roman" w:eastAsia="Times New Roman" w:hAnsi="Times New Roman" w:cs="Times New Roman"/>
          <w:bCs/>
          <w:sz w:val="24"/>
          <w:szCs w:val="24"/>
          <w:lang w:eastAsia="hr-HR"/>
        </w:rPr>
        <w:t>52</w:t>
      </w:r>
      <w:r w:rsidRPr="00C41483">
        <w:rPr>
          <w:rFonts w:ascii="Times New Roman" w:eastAsia="Times New Roman" w:hAnsi="Times New Roman" w:cs="Times New Roman"/>
          <w:bCs/>
          <w:sz w:val="24"/>
          <w:szCs w:val="24"/>
          <w:lang w:eastAsia="hr-HR"/>
        </w:rPr>
        <w:t xml:space="preserve">) </w:t>
      </w:r>
      <w:r w:rsidR="00481715" w:rsidRPr="00C41483">
        <w:rPr>
          <w:rFonts w:ascii="Times New Roman" w:eastAsia="Times New Roman" w:hAnsi="Times New Roman" w:cs="Times New Roman"/>
          <w:bCs/>
          <w:sz w:val="24"/>
          <w:szCs w:val="24"/>
          <w:lang w:eastAsia="hr-HR"/>
        </w:rPr>
        <w:t>Središnji državni ured za razvoj digitalnog društva, Povjerenik za informiranje, krovna nacionalna organizacija osoba s invalidite</w:t>
      </w:r>
      <w:r w:rsidR="00136EBA" w:rsidRPr="00C41483">
        <w:rPr>
          <w:rFonts w:ascii="Times New Roman" w:eastAsia="Times New Roman" w:hAnsi="Times New Roman" w:cs="Times New Roman"/>
          <w:bCs/>
          <w:sz w:val="24"/>
          <w:szCs w:val="24"/>
          <w:lang w:eastAsia="hr-HR"/>
        </w:rPr>
        <w:t>t</w:t>
      </w:r>
      <w:r w:rsidR="00481715" w:rsidRPr="00C41483">
        <w:rPr>
          <w:rFonts w:ascii="Times New Roman" w:eastAsia="Times New Roman" w:hAnsi="Times New Roman" w:cs="Times New Roman"/>
          <w:bCs/>
          <w:sz w:val="24"/>
          <w:szCs w:val="24"/>
          <w:lang w:eastAsia="hr-HR"/>
        </w:rPr>
        <w:t>om i Državna škola za javnu upravu poduzimaju mjere kako bi se olakšala primjena zahtjeva pristupačnosti</w:t>
      </w:r>
      <w:r w:rsidR="00136EBA" w:rsidRPr="00C41483">
        <w:rPr>
          <w:rFonts w:ascii="Times New Roman" w:eastAsia="Times New Roman" w:hAnsi="Times New Roman" w:cs="Times New Roman"/>
          <w:bCs/>
          <w:sz w:val="24"/>
          <w:szCs w:val="24"/>
          <w:lang w:eastAsia="hr-HR"/>
        </w:rPr>
        <w:t>, kontinuirano poduzimaju mjere aktivnosti kako bi se podigla svijest o važnosti objave digitalno pristupačnih sadržaja te provode edukativne programe za tijela javnog sektora radi učinkovite implementacije navedenih zahtjeva.</w:t>
      </w:r>
      <w:r w:rsidR="00123F11" w:rsidRPr="00C41483">
        <w:rPr>
          <w:rFonts w:ascii="Times New Roman" w:eastAsia="Times New Roman" w:hAnsi="Times New Roman" w:cs="Times New Roman"/>
          <w:bCs/>
          <w:sz w:val="24"/>
          <w:szCs w:val="24"/>
          <w:lang w:eastAsia="hr-HR"/>
        </w:rPr>
        <w:t xml:space="preserve"> Raspored tečajeva za pristupačnost Državne škole za javnu upravu na https://www.dsju.hr/workshop-details/2453.</w:t>
      </w:r>
    </w:p>
    <w:p w14:paraId="1C97D93A" w14:textId="7E445F37" w:rsidR="009807C8" w:rsidRPr="00C41483" w:rsidRDefault="009807C8" w:rsidP="006B5133">
      <w:pPr>
        <w:spacing w:after="0" w:line="240" w:lineRule="auto"/>
        <w:jc w:val="both"/>
        <w:rPr>
          <w:rFonts w:ascii="Times New Roman" w:eastAsia="Times New Roman" w:hAnsi="Times New Roman" w:cs="Times New Roman"/>
          <w:bCs/>
          <w:sz w:val="24"/>
          <w:szCs w:val="24"/>
          <w:lang w:eastAsia="hr-HR"/>
        </w:rPr>
      </w:pPr>
    </w:p>
    <w:p w14:paraId="6573C02D" w14:textId="1B206A3F" w:rsidR="002F3481" w:rsidRPr="00C41483" w:rsidRDefault="00515050" w:rsidP="00515050">
      <w:pPr>
        <w:spacing w:after="0" w:line="240" w:lineRule="auto"/>
        <w:jc w:val="both"/>
        <w:rPr>
          <w:rFonts w:ascii="Times New Roman" w:eastAsia="Times New Roman" w:hAnsi="Times New Roman" w:cs="Times New Roman"/>
          <w:bCs/>
          <w:i/>
          <w:iCs/>
          <w:sz w:val="24"/>
          <w:szCs w:val="24"/>
          <w:lang w:eastAsia="hr-HR"/>
        </w:rPr>
      </w:pPr>
      <w:bookmarkStart w:id="40" w:name="_Hlk83813905"/>
      <w:r w:rsidRPr="00C41483">
        <w:rPr>
          <w:rFonts w:ascii="Times New Roman" w:eastAsia="Times New Roman" w:hAnsi="Times New Roman" w:cs="Times New Roman"/>
          <w:bCs/>
          <w:i/>
          <w:iCs/>
          <w:sz w:val="24"/>
          <w:szCs w:val="24"/>
          <w:lang w:eastAsia="hr-HR"/>
        </w:rPr>
        <w:t>Pitanje 8b)</w:t>
      </w:r>
    </w:p>
    <w:bookmarkEnd w:id="40"/>
    <w:p w14:paraId="29A1669B" w14:textId="77777777" w:rsidR="00B81189" w:rsidRPr="00C41483" w:rsidRDefault="00B81189" w:rsidP="006B5133">
      <w:pPr>
        <w:pStyle w:val="Odlomakpopisa"/>
        <w:spacing w:after="0" w:line="240" w:lineRule="auto"/>
        <w:ind w:left="1068"/>
        <w:jc w:val="both"/>
        <w:rPr>
          <w:rFonts w:ascii="Times New Roman" w:eastAsia="Times New Roman" w:hAnsi="Times New Roman" w:cs="Times New Roman"/>
          <w:bCs/>
          <w:i/>
          <w:iCs/>
          <w:sz w:val="24"/>
          <w:szCs w:val="24"/>
          <w:lang w:eastAsia="hr-HR"/>
        </w:rPr>
      </w:pPr>
    </w:p>
    <w:p w14:paraId="10530E3D" w14:textId="2C3D4256" w:rsidR="00775A3C" w:rsidRPr="00C41483" w:rsidRDefault="00C9492D" w:rsidP="006B5133">
      <w:pPr>
        <w:spacing w:after="0" w:line="240" w:lineRule="auto"/>
        <w:jc w:val="both"/>
        <w:rPr>
          <w:rFonts w:ascii="Times New Roman" w:eastAsia="Times New Roman" w:hAnsi="Times New Roman" w:cs="Times New Roman"/>
          <w:bCs/>
          <w:sz w:val="24"/>
          <w:szCs w:val="24"/>
          <w:lang w:eastAsia="hr-HR"/>
        </w:rPr>
      </w:pPr>
      <w:r w:rsidRPr="00C41483">
        <w:rPr>
          <w:rFonts w:ascii="Times New Roman" w:eastAsia="Times New Roman" w:hAnsi="Times New Roman" w:cs="Times New Roman"/>
          <w:bCs/>
          <w:sz w:val="24"/>
          <w:szCs w:val="24"/>
          <w:lang w:eastAsia="hr-HR"/>
        </w:rPr>
        <w:t>(5</w:t>
      </w:r>
      <w:r w:rsidR="000F3ADF" w:rsidRPr="00C41483">
        <w:rPr>
          <w:rFonts w:ascii="Times New Roman" w:eastAsia="Times New Roman" w:hAnsi="Times New Roman" w:cs="Times New Roman"/>
          <w:bCs/>
          <w:sz w:val="24"/>
          <w:szCs w:val="24"/>
          <w:lang w:eastAsia="hr-HR"/>
        </w:rPr>
        <w:t>3</w:t>
      </w:r>
      <w:r w:rsidRPr="00C41483">
        <w:rPr>
          <w:rFonts w:ascii="Times New Roman" w:eastAsia="Times New Roman" w:hAnsi="Times New Roman" w:cs="Times New Roman"/>
          <w:bCs/>
          <w:sz w:val="24"/>
          <w:szCs w:val="24"/>
          <w:lang w:eastAsia="hr-HR"/>
        </w:rPr>
        <w:t xml:space="preserve">) </w:t>
      </w:r>
      <w:r w:rsidR="00935920" w:rsidRPr="00C41483">
        <w:rPr>
          <w:rFonts w:ascii="Times New Roman" w:eastAsia="Times New Roman" w:hAnsi="Times New Roman" w:cs="Times New Roman"/>
          <w:bCs/>
          <w:sz w:val="24"/>
          <w:szCs w:val="24"/>
          <w:lang w:eastAsia="hr-HR"/>
        </w:rPr>
        <w:t>P</w:t>
      </w:r>
      <w:r w:rsidR="008A4C36" w:rsidRPr="00C41483">
        <w:rPr>
          <w:rFonts w:ascii="Times New Roman" w:eastAsia="Times New Roman" w:hAnsi="Times New Roman" w:cs="Times New Roman"/>
          <w:bCs/>
          <w:sz w:val="24"/>
          <w:szCs w:val="24"/>
          <w:lang w:eastAsia="hr-HR"/>
        </w:rPr>
        <w:t>oboljšanje pristupačnosti građevinama, prostoru, prijevozu, informacijskim i komunikacijskim uslugama za osobe s invaliditetom</w:t>
      </w:r>
      <w:r w:rsidR="00935920" w:rsidRPr="00C41483">
        <w:rPr>
          <w:rFonts w:ascii="Times New Roman" w:eastAsia="Times New Roman" w:hAnsi="Times New Roman" w:cs="Times New Roman"/>
          <w:bCs/>
          <w:sz w:val="24"/>
          <w:szCs w:val="24"/>
          <w:lang w:eastAsia="hr-HR"/>
        </w:rPr>
        <w:t xml:space="preserve"> (horizontalna načela)</w:t>
      </w:r>
      <w:r w:rsidR="008A4C36" w:rsidRPr="00C41483">
        <w:rPr>
          <w:rFonts w:ascii="Times New Roman" w:eastAsia="Times New Roman" w:hAnsi="Times New Roman" w:cs="Times New Roman"/>
          <w:bCs/>
          <w:sz w:val="24"/>
          <w:szCs w:val="24"/>
          <w:lang w:eastAsia="hr-HR"/>
        </w:rPr>
        <w:t xml:space="preserve"> integralni su dio Operativnog programa „Konkurentnost i kohezija“.</w:t>
      </w:r>
      <w:r w:rsidR="00935920" w:rsidRPr="00C41483">
        <w:rPr>
          <w:rFonts w:ascii="Times New Roman" w:eastAsia="Times New Roman" w:hAnsi="Times New Roman" w:cs="Times New Roman"/>
          <w:bCs/>
          <w:sz w:val="24"/>
          <w:szCs w:val="24"/>
          <w:lang w:eastAsia="hr-HR"/>
        </w:rPr>
        <w:t xml:space="preserve"> </w:t>
      </w:r>
      <w:r w:rsidR="006A7EAC" w:rsidRPr="00C41483">
        <w:rPr>
          <w:rFonts w:ascii="Times New Roman" w:eastAsia="Times New Roman" w:hAnsi="Times New Roman" w:cs="Times New Roman"/>
          <w:bCs/>
          <w:sz w:val="24"/>
          <w:szCs w:val="24"/>
          <w:lang w:eastAsia="hr-HR"/>
        </w:rPr>
        <w:t>P</w:t>
      </w:r>
      <w:r w:rsidR="008A4C36" w:rsidRPr="00C41483">
        <w:rPr>
          <w:rFonts w:ascii="Times New Roman" w:eastAsia="Times New Roman" w:hAnsi="Times New Roman" w:cs="Times New Roman"/>
          <w:bCs/>
          <w:sz w:val="24"/>
          <w:szCs w:val="24"/>
          <w:lang w:eastAsia="hr-HR"/>
        </w:rPr>
        <w:t>rojektne aktivnosti moraju sadržavati specifične mjere kojima se pridonosi poboljšanju fizičke pristupačnosti osobama s invaliditetom</w:t>
      </w:r>
      <w:r w:rsidR="00775A3C" w:rsidRPr="00C41483">
        <w:rPr>
          <w:rFonts w:ascii="Times New Roman" w:eastAsia="Times New Roman" w:hAnsi="Times New Roman" w:cs="Times New Roman"/>
          <w:bCs/>
          <w:sz w:val="24"/>
          <w:szCs w:val="24"/>
          <w:lang w:eastAsia="hr-HR"/>
        </w:rPr>
        <w:t xml:space="preserve"> u</w:t>
      </w:r>
      <w:r w:rsidR="008A4C36" w:rsidRPr="00C41483">
        <w:rPr>
          <w:rFonts w:ascii="Times New Roman" w:eastAsia="Times New Roman" w:hAnsi="Times New Roman" w:cs="Times New Roman"/>
          <w:bCs/>
          <w:sz w:val="24"/>
          <w:szCs w:val="24"/>
          <w:lang w:eastAsia="hr-HR"/>
        </w:rPr>
        <w:t xml:space="preserve"> izgrađenim i rekonstruiranim objektima i nabavljenim vozilima</w:t>
      </w:r>
      <w:r w:rsidR="00775A3C" w:rsidRPr="00C41483">
        <w:rPr>
          <w:rFonts w:ascii="Times New Roman" w:eastAsia="Times New Roman" w:hAnsi="Times New Roman" w:cs="Times New Roman"/>
          <w:bCs/>
          <w:sz w:val="24"/>
          <w:szCs w:val="24"/>
          <w:lang w:eastAsia="hr-HR"/>
        </w:rPr>
        <w:t>.</w:t>
      </w:r>
    </w:p>
    <w:p w14:paraId="3F9E85DB" w14:textId="77777777" w:rsidR="000E6B09" w:rsidRPr="00C41483" w:rsidRDefault="000E6B09" w:rsidP="006B5133">
      <w:pPr>
        <w:spacing w:after="0" w:line="240" w:lineRule="auto"/>
        <w:jc w:val="both"/>
        <w:rPr>
          <w:rFonts w:ascii="Times New Roman" w:eastAsia="Times New Roman" w:hAnsi="Times New Roman" w:cs="Times New Roman"/>
          <w:sz w:val="24"/>
          <w:szCs w:val="24"/>
          <w:lang w:eastAsia="hr-HR"/>
        </w:rPr>
      </w:pPr>
    </w:p>
    <w:p w14:paraId="0B3E3B22" w14:textId="7528A1E4" w:rsidR="00A1721E" w:rsidRPr="00C41483" w:rsidRDefault="00C9492D" w:rsidP="006B5133">
      <w:pPr>
        <w:spacing w:after="0" w:line="240" w:lineRule="auto"/>
        <w:jc w:val="both"/>
        <w:rPr>
          <w:rFonts w:ascii="Times New Roman" w:eastAsia="Times New Roman" w:hAnsi="Times New Roman" w:cs="Times New Roman"/>
          <w:sz w:val="24"/>
          <w:szCs w:val="24"/>
          <w:lang w:eastAsia="hr-HR"/>
        </w:rPr>
      </w:pPr>
      <w:r w:rsidRPr="00C41483">
        <w:rPr>
          <w:rFonts w:ascii="Times New Roman" w:eastAsia="Times New Roman" w:hAnsi="Times New Roman" w:cs="Times New Roman"/>
          <w:sz w:val="24"/>
          <w:szCs w:val="24"/>
          <w:lang w:eastAsia="hr-HR"/>
        </w:rPr>
        <w:t>(5</w:t>
      </w:r>
      <w:r w:rsidR="000F3ADF" w:rsidRPr="00C41483">
        <w:rPr>
          <w:rFonts w:ascii="Times New Roman" w:eastAsia="Times New Roman" w:hAnsi="Times New Roman" w:cs="Times New Roman"/>
          <w:sz w:val="24"/>
          <w:szCs w:val="24"/>
          <w:lang w:eastAsia="hr-HR"/>
        </w:rPr>
        <w:t>4</w:t>
      </w:r>
      <w:r w:rsidRPr="00C41483">
        <w:rPr>
          <w:rFonts w:ascii="Times New Roman" w:eastAsia="Times New Roman" w:hAnsi="Times New Roman" w:cs="Times New Roman"/>
          <w:sz w:val="24"/>
          <w:szCs w:val="24"/>
          <w:lang w:eastAsia="hr-HR"/>
        </w:rPr>
        <w:t xml:space="preserve">) </w:t>
      </w:r>
      <w:r w:rsidR="00C46A0C" w:rsidRPr="00C41483">
        <w:rPr>
          <w:rFonts w:ascii="Times New Roman" w:eastAsia="Times New Roman" w:hAnsi="Times New Roman" w:cs="Times New Roman"/>
          <w:sz w:val="24"/>
          <w:szCs w:val="24"/>
          <w:lang w:eastAsia="hr-HR"/>
        </w:rPr>
        <w:t xml:space="preserve">S ciljem uspješnije implementacije </w:t>
      </w:r>
      <w:r w:rsidR="001E4158" w:rsidRPr="00C41483">
        <w:rPr>
          <w:rFonts w:ascii="Times New Roman" w:hAnsi="Times New Roman" w:cs="Times New Roman"/>
          <w:sz w:val="24"/>
          <w:szCs w:val="24"/>
          <w:lang w:eastAsia="hr-HR"/>
        </w:rPr>
        <w:t>KPOSI</w:t>
      </w:r>
      <w:r w:rsidR="001E4158" w:rsidRPr="00C41483">
        <w:rPr>
          <w:rFonts w:ascii="Times New Roman" w:eastAsia="Times New Roman" w:hAnsi="Times New Roman" w:cs="Times New Roman"/>
          <w:sz w:val="24"/>
          <w:szCs w:val="24"/>
          <w:lang w:eastAsia="hr-HR"/>
        </w:rPr>
        <w:t xml:space="preserve"> </w:t>
      </w:r>
      <w:r w:rsidR="00C46A0C" w:rsidRPr="00C41483">
        <w:rPr>
          <w:rFonts w:ascii="Times New Roman" w:eastAsia="Times New Roman" w:hAnsi="Times New Roman" w:cs="Times New Roman"/>
          <w:sz w:val="24"/>
          <w:szCs w:val="24"/>
          <w:lang w:eastAsia="hr-HR"/>
        </w:rPr>
        <w:t>u području pristupačnosti, pristupilo se izradi Nacrta prijedloga tehničkog propisa o pristupačnosti građevina osobama s invaliditetom i smanjene pokretljivosti kao i izmjenama pojedinih odredbi zakona kojima se uređuje prostorno uređenje i gradnja</w:t>
      </w:r>
      <w:r w:rsidR="00C76022" w:rsidRPr="00C41483">
        <w:rPr>
          <w:rFonts w:ascii="Times New Roman" w:eastAsia="Times New Roman" w:hAnsi="Times New Roman" w:cs="Times New Roman"/>
          <w:sz w:val="24"/>
          <w:szCs w:val="24"/>
          <w:lang w:eastAsia="hr-HR"/>
        </w:rPr>
        <w:t>,</w:t>
      </w:r>
      <w:r w:rsidR="00C46A0C" w:rsidRPr="00C41483">
        <w:rPr>
          <w:rFonts w:ascii="Times New Roman" w:eastAsia="Times New Roman" w:hAnsi="Times New Roman" w:cs="Times New Roman"/>
          <w:sz w:val="24"/>
          <w:szCs w:val="24"/>
          <w:lang w:eastAsia="hr-HR"/>
        </w:rPr>
        <w:t xml:space="preserve"> te podzakonskog propisa kojim se omogućuje gradnja bez građevinske dozvole</w:t>
      </w:r>
      <w:r w:rsidR="00B60DB7" w:rsidRPr="00C41483">
        <w:rPr>
          <w:rFonts w:ascii="Times New Roman" w:eastAsia="Times New Roman" w:hAnsi="Times New Roman" w:cs="Times New Roman"/>
          <w:sz w:val="24"/>
          <w:szCs w:val="24"/>
          <w:lang w:eastAsia="hr-HR"/>
        </w:rPr>
        <w:t>, a u skladu s glavnim projektom.</w:t>
      </w:r>
      <w:r w:rsidR="00C46A0C" w:rsidRPr="00C41483">
        <w:rPr>
          <w:rFonts w:ascii="Times New Roman" w:eastAsia="Times New Roman" w:hAnsi="Times New Roman" w:cs="Times New Roman"/>
          <w:sz w:val="24"/>
          <w:szCs w:val="24"/>
          <w:lang w:eastAsia="hr-HR"/>
        </w:rPr>
        <w:t xml:space="preserve"> </w:t>
      </w:r>
    </w:p>
    <w:p w14:paraId="7E34A446" w14:textId="77777777" w:rsidR="000E6B09" w:rsidRPr="00C41483" w:rsidRDefault="000E6B09" w:rsidP="00A1721E">
      <w:pPr>
        <w:spacing w:after="0" w:line="240" w:lineRule="auto"/>
        <w:jc w:val="both"/>
        <w:rPr>
          <w:rFonts w:ascii="Times New Roman" w:eastAsia="Times New Roman" w:hAnsi="Times New Roman" w:cs="Times New Roman"/>
          <w:sz w:val="24"/>
          <w:szCs w:val="24"/>
          <w:lang w:eastAsia="hr-HR"/>
        </w:rPr>
      </w:pPr>
    </w:p>
    <w:p w14:paraId="5B749757" w14:textId="1392EC78" w:rsidR="00A1721E" w:rsidRPr="00C41483" w:rsidRDefault="00C9492D" w:rsidP="00A1721E">
      <w:pPr>
        <w:spacing w:after="0" w:line="240" w:lineRule="auto"/>
        <w:jc w:val="both"/>
        <w:rPr>
          <w:rFonts w:ascii="Times New Roman" w:eastAsia="Times New Roman" w:hAnsi="Times New Roman" w:cs="Times New Roman"/>
          <w:sz w:val="24"/>
          <w:szCs w:val="24"/>
          <w:lang w:eastAsia="hr-HR"/>
        </w:rPr>
      </w:pPr>
      <w:r w:rsidRPr="00C41483">
        <w:rPr>
          <w:rFonts w:ascii="Times New Roman" w:eastAsia="Times New Roman" w:hAnsi="Times New Roman" w:cs="Times New Roman"/>
          <w:sz w:val="24"/>
          <w:szCs w:val="24"/>
          <w:lang w:eastAsia="hr-HR"/>
        </w:rPr>
        <w:t>(5</w:t>
      </w:r>
      <w:r w:rsidR="000F3ADF" w:rsidRPr="00C41483">
        <w:rPr>
          <w:rFonts w:ascii="Times New Roman" w:eastAsia="Times New Roman" w:hAnsi="Times New Roman" w:cs="Times New Roman"/>
          <w:sz w:val="24"/>
          <w:szCs w:val="24"/>
          <w:lang w:eastAsia="hr-HR"/>
        </w:rPr>
        <w:t>5</w:t>
      </w:r>
      <w:r w:rsidRPr="00C41483">
        <w:rPr>
          <w:rFonts w:ascii="Times New Roman" w:eastAsia="Times New Roman" w:hAnsi="Times New Roman" w:cs="Times New Roman"/>
          <w:sz w:val="24"/>
          <w:szCs w:val="24"/>
          <w:lang w:eastAsia="hr-HR"/>
        </w:rPr>
        <w:t xml:space="preserve">) </w:t>
      </w:r>
      <w:r w:rsidR="00A1721E" w:rsidRPr="00C41483">
        <w:rPr>
          <w:rFonts w:ascii="Times New Roman" w:eastAsia="Times New Roman" w:hAnsi="Times New Roman" w:cs="Times New Roman"/>
          <w:sz w:val="24"/>
          <w:szCs w:val="24"/>
          <w:lang w:eastAsia="hr-HR"/>
        </w:rPr>
        <w:t>Od 2017. godine na temelju Zakona o gradnji i Zakona o prostornom uređenju</w:t>
      </w:r>
      <w:r w:rsidR="00A1721E" w:rsidRPr="00C41483">
        <w:rPr>
          <w:rFonts w:ascii="Times New Roman" w:hAnsi="Times New Roman" w:cs="Times New Roman"/>
          <w:sz w:val="24"/>
          <w:szCs w:val="24"/>
        </w:rPr>
        <w:t xml:space="preserve"> </w:t>
      </w:r>
      <w:r w:rsidR="00A1721E" w:rsidRPr="00C41483">
        <w:rPr>
          <w:rFonts w:ascii="Times New Roman" w:eastAsia="Times New Roman" w:hAnsi="Times New Roman" w:cs="Times New Roman"/>
          <w:sz w:val="24"/>
          <w:szCs w:val="24"/>
          <w:lang w:eastAsia="hr-HR"/>
        </w:rPr>
        <w:t xml:space="preserve">omogućena je dogradnja vanjskog dizala na postojećoj zgradi neovisno o odredbama prostornog plana, te se površina tako izgrađenog vanjskog dizala ne uračunava u građevinsku (bruto) površinu. </w:t>
      </w:r>
    </w:p>
    <w:p w14:paraId="4EFCCF81" w14:textId="77777777" w:rsidR="000E6B09" w:rsidRPr="00C41483" w:rsidRDefault="000E6B09" w:rsidP="006B5133">
      <w:pPr>
        <w:spacing w:after="0" w:line="240" w:lineRule="auto"/>
        <w:jc w:val="both"/>
        <w:rPr>
          <w:rFonts w:ascii="Times New Roman" w:eastAsia="Times New Roman" w:hAnsi="Times New Roman" w:cs="Times New Roman"/>
          <w:sz w:val="24"/>
          <w:szCs w:val="24"/>
          <w:lang w:eastAsia="hr-HR"/>
        </w:rPr>
      </w:pPr>
    </w:p>
    <w:p w14:paraId="4CA5C298" w14:textId="71331BC4" w:rsidR="00C46A0C" w:rsidRPr="00C41483" w:rsidRDefault="00C9492D" w:rsidP="006B5133">
      <w:pPr>
        <w:spacing w:after="0" w:line="240" w:lineRule="auto"/>
        <w:jc w:val="both"/>
        <w:rPr>
          <w:rFonts w:ascii="Times New Roman" w:eastAsia="Times New Roman" w:hAnsi="Times New Roman" w:cs="Times New Roman"/>
          <w:sz w:val="24"/>
          <w:szCs w:val="24"/>
          <w:lang w:eastAsia="hr-HR"/>
        </w:rPr>
      </w:pPr>
      <w:r w:rsidRPr="00C41483">
        <w:rPr>
          <w:rFonts w:ascii="Times New Roman" w:eastAsia="Times New Roman" w:hAnsi="Times New Roman" w:cs="Times New Roman"/>
          <w:sz w:val="24"/>
          <w:szCs w:val="24"/>
          <w:lang w:eastAsia="hr-HR"/>
        </w:rPr>
        <w:t>(</w:t>
      </w:r>
      <w:r w:rsidR="00356EB7" w:rsidRPr="00C41483">
        <w:rPr>
          <w:rFonts w:ascii="Times New Roman" w:eastAsia="Times New Roman" w:hAnsi="Times New Roman" w:cs="Times New Roman"/>
          <w:sz w:val="24"/>
          <w:szCs w:val="24"/>
          <w:lang w:eastAsia="hr-HR"/>
        </w:rPr>
        <w:t>5</w:t>
      </w:r>
      <w:r w:rsidR="000F3ADF" w:rsidRPr="00C41483">
        <w:rPr>
          <w:rFonts w:ascii="Times New Roman" w:eastAsia="Times New Roman" w:hAnsi="Times New Roman" w:cs="Times New Roman"/>
          <w:sz w:val="24"/>
          <w:szCs w:val="24"/>
          <w:lang w:eastAsia="hr-HR"/>
        </w:rPr>
        <w:t>6</w:t>
      </w:r>
      <w:r w:rsidRPr="00C41483">
        <w:rPr>
          <w:rFonts w:ascii="Times New Roman" w:eastAsia="Times New Roman" w:hAnsi="Times New Roman" w:cs="Times New Roman"/>
          <w:sz w:val="24"/>
          <w:szCs w:val="24"/>
          <w:lang w:eastAsia="hr-HR"/>
        </w:rPr>
        <w:t>)</w:t>
      </w:r>
      <w:r w:rsidR="00C46A0C" w:rsidRPr="00C41483">
        <w:rPr>
          <w:rFonts w:ascii="Times New Roman" w:eastAsia="Times New Roman" w:hAnsi="Times New Roman" w:cs="Times New Roman"/>
          <w:sz w:val="24"/>
          <w:szCs w:val="24"/>
          <w:lang w:eastAsia="hr-HR"/>
        </w:rPr>
        <w:t xml:space="preserve"> Pravilnik</w:t>
      </w:r>
      <w:r w:rsidR="00C76022" w:rsidRPr="00C41483">
        <w:rPr>
          <w:rFonts w:ascii="Times New Roman" w:eastAsia="Times New Roman" w:hAnsi="Times New Roman" w:cs="Times New Roman"/>
          <w:sz w:val="24"/>
          <w:szCs w:val="24"/>
          <w:lang w:eastAsia="hr-HR"/>
        </w:rPr>
        <w:t>om</w:t>
      </w:r>
      <w:r w:rsidR="00C46A0C" w:rsidRPr="00C41483">
        <w:rPr>
          <w:rFonts w:ascii="Times New Roman" w:eastAsia="Times New Roman" w:hAnsi="Times New Roman" w:cs="Times New Roman"/>
          <w:sz w:val="24"/>
          <w:szCs w:val="24"/>
          <w:lang w:eastAsia="hr-HR"/>
        </w:rPr>
        <w:t xml:space="preserve"> o jednostavnim i dugim građevinama i radovima</w:t>
      </w:r>
      <w:r w:rsidR="00C76022" w:rsidRPr="00C41483">
        <w:rPr>
          <w:rFonts w:ascii="Times New Roman" w:eastAsia="Times New Roman" w:hAnsi="Times New Roman" w:cs="Times New Roman"/>
          <w:sz w:val="24"/>
          <w:szCs w:val="24"/>
          <w:lang w:eastAsia="hr-HR"/>
        </w:rPr>
        <w:t xml:space="preserve"> o</w:t>
      </w:r>
      <w:r w:rsidR="00C46A0C" w:rsidRPr="00C41483">
        <w:rPr>
          <w:rFonts w:ascii="Times New Roman" w:eastAsia="Times New Roman" w:hAnsi="Times New Roman" w:cs="Times New Roman"/>
          <w:sz w:val="24"/>
          <w:szCs w:val="24"/>
          <w:lang w:eastAsia="hr-HR"/>
        </w:rPr>
        <w:t xml:space="preserve">mogućeno je da se glavni projekt za ugradnju, odnosno izgradnju dizala na postojećoj zgradi ili građevnoj čestici postojeće zgrade može izraditi protivno prostornom planu. </w:t>
      </w:r>
      <w:r w:rsidRPr="00C41483">
        <w:rPr>
          <w:rFonts w:ascii="Times New Roman" w:eastAsia="Times New Roman" w:hAnsi="Times New Roman" w:cs="Times New Roman"/>
          <w:sz w:val="24"/>
          <w:szCs w:val="24"/>
          <w:lang w:eastAsia="hr-HR"/>
        </w:rPr>
        <w:t>P</w:t>
      </w:r>
      <w:r w:rsidR="00C46A0C" w:rsidRPr="00C41483">
        <w:rPr>
          <w:rFonts w:ascii="Times New Roman" w:eastAsia="Times New Roman" w:hAnsi="Times New Roman" w:cs="Times New Roman"/>
          <w:sz w:val="24"/>
          <w:szCs w:val="24"/>
          <w:lang w:eastAsia="hr-HR"/>
        </w:rPr>
        <w:t xml:space="preserve">rema </w:t>
      </w:r>
      <w:r w:rsidR="00C76022" w:rsidRPr="00C41483">
        <w:rPr>
          <w:rFonts w:ascii="Times New Roman" w:eastAsia="Times New Roman" w:hAnsi="Times New Roman" w:cs="Times New Roman"/>
          <w:sz w:val="24"/>
          <w:szCs w:val="24"/>
          <w:lang w:eastAsia="hr-HR"/>
        </w:rPr>
        <w:t>istom Pravilniku</w:t>
      </w:r>
      <w:r w:rsidR="00C46A0C" w:rsidRPr="00C41483">
        <w:rPr>
          <w:rFonts w:ascii="Times New Roman" w:eastAsia="Times New Roman" w:hAnsi="Times New Roman" w:cs="Times New Roman"/>
          <w:sz w:val="24"/>
          <w:szCs w:val="24"/>
          <w:lang w:eastAsia="hr-HR"/>
        </w:rPr>
        <w:t xml:space="preserve">, radovi na postojećoj zgradi ili građevnoj čestici postojeće zgrade kojima se ugrađuje, odnosno gradi dizalo </w:t>
      </w:r>
      <w:r w:rsidR="00C76022" w:rsidRPr="00C41483">
        <w:rPr>
          <w:rFonts w:ascii="Times New Roman" w:eastAsia="Times New Roman" w:hAnsi="Times New Roman" w:cs="Times New Roman"/>
          <w:sz w:val="24"/>
          <w:szCs w:val="24"/>
          <w:lang w:eastAsia="hr-HR"/>
        </w:rPr>
        <w:t xml:space="preserve">mogu se </w:t>
      </w:r>
      <w:r w:rsidR="00C46A0C" w:rsidRPr="00C41483">
        <w:rPr>
          <w:rFonts w:ascii="Times New Roman" w:eastAsia="Times New Roman" w:hAnsi="Times New Roman" w:cs="Times New Roman"/>
          <w:sz w:val="24"/>
          <w:szCs w:val="24"/>
          <w:lang w:eastAsia="hr-HR"/>
        </w:rPr>
        <w:t>izvoditi bez građevinske dozvole, a u skladu s glavnim projektom.</w:t>
      </w:r>
    </w:p>
    <w:p w14:paraId="0034F0F3" w14:textId="77777777" w:rsidR="000F3ADF" w:rsidRPr="00C41483" w:rsidRDefault="000F3ADF" w:rsidP="006B5133">
      <w:pPr>
        <w:spacing w:after="0" w:line="240" w:lineRule="auto"/>
        <w:jc w:val="both"/>
        <w:rPr>
          <w:rFonts w:ascii="Times New Roman" w:eastAsia="Times New Roman" w:hAnsi="Times New Roman" w:cs="Times New Roman"/>
          <w:sz w:val="24"/>
          <w:szCs w:val="24"/>
          <w:lang w:eastAsia="hr-HR"/>
        </w:rPr>
      </w:pPr>
    </w:p>
    <w:p w14:paraId="3F59E51D" w14:textId="48A971EB" w:rsidR="00935920" w:rsidRPr="00C41483" w:rsidRDefault="00C9492D" w:rsidP="006B5133">
      <w:pPr>
        <w:spacing w:after="0" w:line="240" w:lineRule="auto"/>
        <w:jc w:val="both"/>
        <w:rPr>
          <w:rFonts w:ascii="Times New Roman" w:eastAsia="Times New Roman" w:hAnsi="Times New Roman" w:cs="Times New Roman"/>
          <w:sz w:val="24"/>
          <w:szCs w:val="24"/>
          <w:lang w:eastAsia="hr-HR"/>
        </w:rPr>
      </w:pPr>
      <w:r w:rsidRPr="00C41483">
        <w:rPr>
          <w:rFonts w:ascii="Times New Roman" w:eastAsia="Times New Roman" w:hAnsi="Times New Roman" w:cs="Times New Roman"/>
          <w:sz w:val="24"/>
          <w:szCs w:val="24"/>
          <w:lang w:eastAsia="hr-HR"/>
        </w:rPr>
        <w:t>(</w:t>
      </w:r>
      <w:r w:rsidR="00356EB7" w:rsidRPr="00C41483">
        <w:rPr>
          <w:rFonts w:ascii="Times New Roman" w:eastAsia="Times New Roman" w:hAnsi="Times New Roman" w:cs="Times New Roman"/>
          <w:sz w:val="24"/>
          <w:szCs w:val="24"/>
          <w:lang w:eastAsia="hr-HR"/>
        </w:rPr>
        <w:t>5</w:t>
      </w:r>
      <w:r w:rsidR="000F3ADF" w:rsidRPr="00C41483">
        <w:rPr>
          <w:rFonts w:ascii="Times New Roman" w:eastAsia="Times New Roman" w:hAnsi="Times New Roman" w:cs="Times New Roman"/>
          <w:sz w:val="24"/>
          <w:szCs w:val="24"/>
          <w:lang w:eastAsia="hr-HR"/>
        </w:rPr>
        <w:t>7</w:t>
      </w:r>
      <w:r w:rsidRPr="00C41483">
        <w:rPr>
          <w:rFonts w:ascii="Times New Roman" w:eastAsia="Times New Roman" w:hAnsi="Times New Roman" w:cs="Times New Roman"/>
          <w:sz w:val="24"/>
          <w:szCs w:val="24"/>
          <w:lang w:eastAsia="hr-HR"/>
        </w:rPr>
        <w:t xml:space="preserve">) </w:t>
      </w:r>
      <w:r w:rsidR="00C76022" w:rsidRPr="00C41483">
        <w:rPr>
          <w:rFonts w:ascii="Times New Roman" w:eastAsia="Times New Roman" w:hAnsi="Times New Roman" w:cs="Times New Roman"/>
          <w:sz w:val="24"/>
          <w:szCs w:val="24"/>
          <w:lang w:eastAsia="hr-HR"/>
        </w:rPr>
        <w:t>M</w:t>
      </w:r>
      <w:r w:rsidR="00C82117" w:rsidRPr="00C41483">
        <w:rPr>
          <w:rFonts w:ascii="Times New Roman" w:eastAsia="Times New Roman" w:hAnsi="Times New Roman" w:cs="Times New Roman"/>
          <w:sz w:val="24"/>
          <w:szCs w:val="24"/>
          <w:lang w:eastAsia="hr-HR"/>
        </w:rPr>
        <w:t xml:space="preserve">inistarstvo </w:t>
      </w:r>
      <w:r w:rsidR="00935920" w:rsidRPr="00C41483">
        <w:rPr>
          <w:rFonts w:ascii="Times New Roman" w:eastAsia="Times New Roman" w:hAnsi="Times New Roman" w:cs="Times New Roman"/>
          <w:sz w:val="24"/>
          <w:szCs w:val="24"/>
          <w:lang w:eastAsia="hr-HR"/>
        </w:rPr>
        <w:t xml:space="preserve">nadležno za graditeljstvo </w:t>
      </w:r>
      <w:r w:rsidR="00C82117" w:rsidRPr="00C41483">
        <w:rPr>
          <w:rFonts w:ascii="Times New Roman" w:eastAsia="Times New Roman" w:hAnsi="Times New Roman" w:cs="Times New Roman"/>
          <w:sz w:val="24"/>
          <w:szCs w:val="24"/>
          <w:lang w:eastAsia="hr-HR"/>
        </w:rPr>
        <w:t>nadzire provedbu propisa za osiguravanje pristupačnosti građevina osobama s invaliditetom i smanjenom pokretljivosti kod gradnje novih</w:t>
      </w:r>
      <w:r w:rsidR="00530DEB" w:rsidRPr="00C41483">
        <w:rPr>
          <w:rFonts w:ascii="Times New Roman" w:eastAsia="Times New Roman" w:hAnsi="Times New Roman" w:cs="Times New Roman"/>
          <w:sz w:val="24"/>
          <w:szCs w:val="24"/>
          <w:lang w:eastAsia="hr-HR"/>
        </w:rPr>
        <w:t xml:space="preserve"> i k</w:t>
      </w:r>
      <w:r w:rsidR="00C82117" w:rsidRPr="00C41483">
        <w:rPr>
          <w:rFonts w:ascii="Times New Roman" w:eastAsia="Times New Roman" w:hAnsi="Times New Roman" w:cs="Times New Roman"/>
          <w:sz w:val="24"/>
          <w:szCs w:val="24"/>
          <w:lang w:eastAsia="hr-HR"/>
        </w:rPr>
        <w:t xml:space="preserve">od rekonstrukcije postojećih građevina te prikuplja podatke o implementaciji mjera pristupačnosti u postupcima izdavanja građevinskih i uporabnih dozvola. </w:t>
      </w:r>
      <w:bookmarkStart w:id="41" w:name="_Hlk80971438"/>
      <w:r w:rsidR="00C82117" w:rsidRPr="00C41483">
        <w:rPr>
          <w:rFonts w:ascii="Times New Roman" w:eastAsia="Times New Roman" w:hAnsi="Times New Roman" w:cs="Times New Roman"/>
          <w:sz w:val="24"/>
          <w:szCs w:val="24"/>
          <w:lang w:eastAsia="hr-HR"/>
        </w:rPr>
        <w:t xml:space="preserve">Zbog bržeg i jednostavnijeg praćenja i prikupljanja podataka pristupilo se novom načinu prikupljanja podataka putem </w:t>
      </w:r>
      <w:r w:rsidR="003527D7" w:rsidRPr="00C41483">
        <w:rPr>
          <w:rFonts w:ascii="Times New Roman" w:eastAsia="Times New Roman" w:hAnsi="Times New Roman" w:cs="Times New Roman"/>
          <w:sz w:val="24"/>
          <w:szCs w:val="24"/>
          <w:lang w:eastAsia="hr-HR"/>
        </w:rPr>
        <w:t xml:space="preserve">jedinstvenog informatičkog </w:t>
      </w:r>
      <w:r w:rsidR="00C82117" w:rsidRPr="00C41483">
        <w:rPr>
          <w:rFonts w:ascii="Times New Roman" w:eastAsia="Times New Roman" w:hAnsi="Times New Roman" w:cs="Times New Roman"/>
          <w:sz w:val="24"/>
          <w:szCs w:val="24"/>
          <w:lang w:eastAsia="hr-HR"/>
        </w:rPr>
        <w:t>sustava „</w:t>
      </w:r>
      <w:proofErr w:type="spellStart"/>
      <w:r w:rsidR="00C82117" w:rsidRPr="00C41483">
        <w:rPr>
          <w:rFonts w:ascii="Times New Roman" w:eastAsia="Times New Roman" w:hAnsi="Times New Roman" w:cs="Times New Roman"/>
          <w:sz w:val="24"/>
          <w:szCs w:val="24"/>
          <w:lang w:eastAsia="hr-HR"/>
        </w:rPr>
        <w:t>eDozvola</w:t>
      </w:r>
      <w:proofErr w:type="spellEnd"/>
      <w:r w:rsidR="00C82117" w:rsidRPr="00C41483">
        <w:rPr>
          <w:rFonts w:ascii="Times New Roman" w:eastAsia="Times New Roman" w:hAnsi="Times New Roman" w:cs="Times New Roman"/>
          <w:sz w:val="24"/>
          <w:szCs w:val="24"/>
          <w:lang w:eastAsia="hr-HR"/>
        </w:rPr>
        <w:t>“</w:t>
      </w:r>
      <w:r w:rsidR="003527D7" w:rsidRPr="00C41483">
        <w:rPr>
          <w:rFonts w:ascii="Times New Roman" w:eastAsia="Times New Roman" w:hAnsi="Times New Roman" w:cs="Times New Roman"/>
          <w:sz w:val="24"/>
          <w:szCs w:val="24"/>
          <w:lang w:eastAsia="hr-HR"/>
        </w:rPr>
        <w:t xml:space="preserve"> </w:t>
      </w:r>
      <w:bookmarkStart w:id="42" w:name="_Hlk80971406"/>
      <w:r w:rsidR="003527D7" w:rsidRPr="00C41483">
        <w:rPr>
          <w:rFonts w:ascii="Times New Roman" w:eastAsia="Times New Roman" w:hAnsi="Times New Roman" w:cs="Times New Roman"/>
          <w:sz w:val="24"/>
          <w:szCs w:val="24"/>
          <w:lang w:eastAsia="hr-HR"/>
        </w:rPr>
        <w:t>čij</w:t>
      </w:r>
      <w:r w:rsidRPr="00C41483">
        <w:rPr>
          <w:rFonts w:ascii="Times New Roman" w:eastAsia="Times New Roman" w:hAnsi="Times New Roman" w:cs="Times New Roman"/>
          <w:sz w:val="24"/>
          <w:szCs w:val="24"/>
          <w:lang w:eastAsia="hr-HR"/>
        </w:rPr>
        <w:t>a</w:t>
      </w:r>
      <w:r w:rsidR="003527D7" w:rsidRPr="00C41483">
        <w:rPr>
          <w:rFonts w:ascii="Times New Roman" w:eastAsia="Times New Roman" w:hAnsi="Times New Roman" w:cs="Times New Roman"/>
          <w:sz w:val="24"/>
          <w:szCs w:val="24"/>
          <w:lang w:eastAsia="hr-HR"/>
        </w:rPr>
        <w:t xml:space="preserve"> je p</w:t>
      </w:r>
      <w:r w:rsidR="00C82117" w:rsidRPr="00C41483">
        <w:rPr>
          <w:rFonts w:ascii="Times New Roman" w:eastAsia="Times New Roman" w:hAnsi="Times New Roman" w:cs="Times New Roman"/>
          <w:sz w:val="24"/>
          <w:szCs w:val="24"/>
          <w:lang w:eastAsia="hr-HR"/>
        </w:rPr>
        <w:t xml:space="preserve">rimjena </w:t>
      </w:r>
      <w:r w:rsidR="003527D7" w:rsidRPr="00C41483">
        <w:rPr>
          <w:rFonts w:ascii="Times New Roman" w:eastAsia="Times New Roman" w:hAnsi="Times New Roman" w:cs="Times New Roman"/>
          <w:sz w:val="24"/>
          <w:szCs w:val="24"/>
          <w:lang w:eastAsia="hr-HR"/>
        </w:rPr>
        <w:t>omoguće</w:t>
      </w:r>
      <w:r w:rsidRPr="00C41483">
        <w:rPr>
          <w:rFonts w:ascii="Times New Roman" w:eastAsia="Times New Roman" w:hAnsi="Times New Roman" w:cs="Times New Roman"/>
          <w:sz w:val="24"/>
          <w:szCs w:val="24"/>
          <w:lang w:eastAsia="hr-HR"/>
        </w:rPr>
        <w:t>na</w:t>
      </w:r>
      <w:r w:rsidR="00C82117" w:rsidRPr="00C41483">
        <w:rPr>
          <w:rFonts w:ascii="Times New Roman" w:eastAsia="Times New Roman" w:hAnsi="Times New Roman" w:cs="Times New Roman"/>
          <w:sz w:val="24"/>
          <w:szCs w:val="24"/>
          <w:lang w:eastAsia="hr-HR"/>
        </w:rPr>
        <w:t xml:space="preserve"> u upravnim odjelima županija, velikih gradova i gradova sjedišta županija, izuzev Grada Zagreba, </w:t>
      </w:r>
      <w:r w:rsidR="001A2F17">
        <w:rPr>
          <w:rFonts w:ascii="Times New Roman" w:eastAsia="Times New Roman" w:hAnsi="Times New Roman" w:cs="Times New Roman"/>
          <w:sz w:val="24"/>
          <w:szCs w:val="24"/>
          <w:lang w:eastAsia="hr-HR"/>
        </w:rPr>
        <w:t>k</w:t>
      </w:r>
      <w:r w:rsidR="00C82117" w:rsidRPr="00C41483">
        <w:rPr>
          <w:rFonts w:ascii="Times New Roman" w:eastAsia="Times New Roman" w:hAnsi="Times New Roman" w:cs="Times New Roman"/>
          <w:sz w:val="24"/>
          <w:szCs w:val="24"/>
          <w:lang w:eastAsia="hr-HR"/>
        </w:rPr>
        <w:t>oji koristi sustav „</w:t>
      </w:r>
      <w:proofErr w:type="spellStart"/>
      <w:r w:rsidR="00C82117" w:rsidRPr="00C41483">
        <w:rPr>
          <w:rFonts w:ascii="Times New Roman" w:eastAsia="Times New Roman" w:hAnsi="Times New Roman" w:cs="Times New Roman"/>
          <w:sz w:val="24"/>
          <w:szCs w:val="24"/>
          <w:lang w:eastAsia="hr-HR"/>
        </w:rPr>
        <w:t>eDozvolaZG</w:t>
      </w:r>
      <w:proofErr w:type="spellEnd"/>
      <w:r w:rsidR="00C82117" w:rsidRPr="00C41483">
        <w:rPr>
          <w:rFonts w:ascii="Times New Roman" w:eastAsia="Times New Roman" w:hAnsi="Times New Roman" w:cs="Times New Roman"/>
          <w:sz w:val="24"/>
          <w:szCs w:val="24"/>
          <w:lang w:eastAsia="hr-HR"/>
        </w:rPr>
        <w:t>“</w:t>
      </w:r>
      <w:bookmarkEnd w:id="41"/>
      <w:bookmarkEnd w:id="42"/>
      <w:r w:rsidR="00C82117" w:rsidRPr="00C41483">
        <w:rPr>
          <w:rFonts w:ascii="Times New Roman" w:eastAsia="Times New Roman" w:hAnsi="Times New Roman" w:cs="Times New Roman"/>
          <w:sz w:val="24"/>
          <w:szCs w:val="24"/>
          <w:lang w:eastAsia="hr-HR"/>
        </w:rPr>
        <w:t xml:space="preserve">. </w:t>
      </w:r>
      <w:r w:rsidR="00935920" w:rsidRPr="00C41483">
        <w:rPr>
          <w:rFonts w:ascii="Times New Roman" w:eastAsia="Times New Roman" w:hAnsi="Times New Roman" w:cs="Times New Roman"/>
          <w:sz w:val="24"/>
          <w:szCs w:val="24"/>
          <w:lang w:eastAsia="hr-HR"/>
        </w:rPr>
        <w:t xml:space="preserve">Više </w:t>
      </w:r>
      <w:r w:rsidR="0074637B" w:rsidRPr="00C41483">
        <w:rPr>
          <w:rFonts w:ascii="Times New Roman" w:eastAsia="Times New Roman" w:hAnsi="Times New Roman" w:cs="Times New Roman"/>
          <w:sz w:val="24"/>
          <w:szCs w:val="24"/>
          <w:lang w:eastAsia="hr-HR"/>
        </w:rPr>
        <w:t>o</w:t>
      </w:r>
      <w:r w:rsidR="00935920" w:rsidRPr="00C41483">
        <w:rPr>
          <w:rFonts w:ascii="Times New Roman" w:eastAsia="Times New Roman" w:hAnsi="Times New Roman" w:cs="Times New Roman"/>
          <w:sz w:val="24"/>
          <w:szCs w:val="24"/>
          <w:lang w:eastAsia="hr-HR"/>
        </w:rPr>
        <w:t xml:space="preserve"> sustavu </w:t>
      </w:r>
      <w:r w:rsidR="00722A67" w:rsidRPr="00C41483">
        <w:rPr>
          <w:rFonts w:ascii="Times New Roman" w:eastAsia="Times New Roman" w:hAnsi="Times New Roman" w:cs="Times New Roman"/>
          <w:sz w:val="24"/>
          <w:szCs w:val="24"/>
          <w:lang w:eastAsia="hr-HR"/>
        </w:rPr>
        <w:t>„</w:t>
      </w:r>
      <w:proofErr w:type="spellStart"/>
      <w:r w:rsidR="00935920" w:rsidRPr="00C41483">
        <w:rPr>
          <w:rFonts w:ascii="Times New Roman" w:eastAsia="Times New Roman" w:hAnsi="Times New Roman" w:cs="Times New Roman"/>
          <w:sz w:val="24"/>
          <w:szCs w:val="24"/>
          <w:lang w:eastAsia="hr-HR"/>
        </w:rPr>
        <w:t>eDozvola</w:t>
      </w:r>
      <w:proofErr w:type="spellEnd"/>
      <w:r w:rsidR="00722A67" w:rsidRPr="00C41483">
        <w:rPr>
          <w:rFonts w:ascii="Times New Roman" w:eastAsia="Times New Roman" w:hAnsi="Times New Roman" w:cs="Times New Roman"/>
          <w:sz w:val="24"/>
          <w:szCs w:val="24"/>
          <w:lang w:eastAsia="hr-HR"/>
        </w:rPr>
        <w:t>“</w:t>
      </w:r>
      <w:r w:rsidR="00935920" w:rsidRPr="00C41483">
        <w:rPr>
          <w:rFonts w:ascii="Times New Roman" w:eastAsia="Times New Roman" w:hAnsi="Times New Roman" w:cs="Times New Roman"/>
          <w:sz w:val="24"/>
          <w:szCs w:val="24"/>
          <w:lang w:eastAsia="hr-HR"/>
        </w:rPr>
        <w:t xml:space="preserve"> u prilogu</w:t>
      </w:r>
      <w:r w:rsidR="00FC522D" w:rsidRPr="00C41483">
        <w:rPr>
          <w:rFonts w:ascii="Times New Roman" w:eastAsia="Times New Roman" w:hAnsi="Times New Roman" w:cs="Times New Roman"/>
          <w:sz w:val="24"/>
          <w:szCs w:val="24"/>
          <w:lang w:eastAsia="hr-HR"/>
        </w:rPr>
        <w:t xml:space="preserve"> 16</w:t>
      </w:r>
      <w:r w:rsidR="001A2F17">
        <w:rPr>
          <w:rFonts w:ascii="Times New Roman" w:eastAsia="Times New Roman" w:hAnsi="Times New Roman" w:cs="Times New Roman"/>
          <w:sz w:val="24"/>
          <w:szCs w:val="24"/>
          <w:lang w:eastAsia="hr-HR"/>
        </w:rPr>
        <w:t>.</w:t>
      </w:r>
    </w:p>
    <w:p w14:paraId="720D9E68" w14:textId="7B0FD968" w:rsidR="00D1328B" w:rsidRPr="00C41483" w:rsidRDefault="00CD1AA1" w:rsidP="006B5133">
      <w:pPr>
        <w:spacing w:after="0" w:line="240" w:lineRule="auto"/>
        <w:jc w:val="both"/>
        <w:rPr>
          <w:rFonts w:ascii="Times New Roman" w:eastAsia="Times New Roman" w:hAnsi="Times New Roman" w:cs="Times New Roman"/>
          <w:sz w:val="24"/>
          <w:szCs w:val="24"/>
          <w:lang w:eastAsia="hr-HR"/>
        </w:rPr>
      </w:pPr>
      <w:r w:rsidRPr="00C41483">
        <w:rPr>
          <w:rFonts w:ascii="Times New Roman" w:eastAsia="Times New Roman" w:hAnsi="Times New Roman" w:cs="Times New Roman"/>
          <w:sz w:val="24"/>
          <w:szCs w:val="24"/>
          <w:lang w:eastAsia="hr-HR"/>
        </w:rPr>
        <w:t>V</w:t>
      </w:r>
      <w:r w:rsidR="00D1328B" w:rsidRPr="00C41483">
        <w:rPr>
          <w:rFonts w:ascii="Times New Roman" w:eastAsia="Times New Roman" w:hAnsi="Times New Roman" w:cs="Times New Roman"/>
          <w:sz w:val="24"/>
          <w:szCs w:val="24"/>
          <w:lang w:eastAsia="hr-HR"/>
        </w:rPr>
        <w:t xml:space="preserve">iše o </w:t>
      </w:r>
      <w:bookmarkStart w:id="43" w:name="_Hlk83105760"/>
      <w:r w:rsidR="00D1328B" w:rsidRPr="00C41483">
        <w:rPr>
          <w:rFonts w:ascii="Times New Roman" w:eastAsia="Times New Roman" w:hAnsi="Times New Roman" w:cs="Times New Roman"/>
          <w:sz w:val="24"/>
          <w:szCs w:val="24"/>
          <w:lang w:eastAsia="hr-HR"/>
        </w:rPr>
        <w:t xml:space="preserve">poduzetim aktivnostima usmjerenim poboljšanju pristupačnosti građevinama iz područja nadležnosti Ministarstva turizma i sporta, Ministarstva hrvatskih branitelja i Ministarstva rada, mirovinskoga sustava, obitelji i socijalne politike </w:t>
      </w:r>
      <w:bookmarkEnd w:id="43"/>
      <w:r w:rsidR="00D1328B" w:rsidRPr="00C41483">
        <w:rPr>
          <w:rFonts w:ascii="Times New Roman" w:eastAsia="Times New Roman" w:hAnsi="Times New Roman" w:cs="Times New Roman"/>
          <w:sz w:val="24"/>
          <w:szCs w:val="24"/>
          <w:lang w:eastAsia="hr-HR"/>
        </w:rPr>
        <w:t>u prilogu</w:t>
      </w:r>
      <w:r w:rsidR="00FC522D" w:rsidRPr="00C41483">
        <w:rPr>
          <w:rFonts w:ascii="Times New Roman" w:eastAsia="Times New Roman" w:hAnsi="Times New Roman" w:cs="Times New Roman"/>
          <w:sz w:val="24"/>
          <w:szCs w:val="24"/>
          <w:lang w:eastAsia="hr-HR"/>
        </w:rPr>
        <w:t xml:space="preserve"> 17</w:t>
      </w:r>
      <w:r w:rsidRPr="00C41483">
        <w:rPr>
          <w:rFonts w:ascii="Times New Roman" w:eastAsia="Times New Roman" w:hAnsi="Times New Roman" w:cs="Times New Roman"/>
          <w:sz w:val="24"/>
          <w:szCs w:val="24"/>
          <w:lang w:eastAsia="hr-HR"/>
        </w:rPr>
        <w:t>:</w:t>
      </w:r>
    </w:p>
    <w:p w14:paraId="2A146D4F" w14:textId="77777777" w:rsidR="00852CE4" w:rsidRPr="00C41483" w:rsidRDefault="00852CE4" w:rsidP="006B5133">
      <w:pPr>
        <w:spacing w:after="0" w:line="240" w:lineRule="auto"/>
        <w:jc w:val="both"/>
        <w:rPr>
          <w:rFonts w:ascii="Times New Roman" w:eastAsia="Times New Roman" w:hAnsi="Times New Roman" w:cs="Times New Roman"/>
          <w:sz w:val="24"/>
          <w:szCs w:val="24"/>
          <w:lang w:eastAsia="hr-HR"/>
        </w:rPr>
      </w:pPr>
    </w:p>
    <w:p w14:paraId="1CE00035" w14:textId="711736E9" w:rsidR="002F3481" w:rsidRPr="00C41483" w:rsidRDefault="00515050" w:rsidP="00515050">
      <w:pPr>
        <w:spacing w:after="0" w:line="240" w:lineRule="auto"/>
        <w:jc w:val="both"/>
        <w:rPr>
          <w:rFonts w:ascii="Times New Roman" w:eastAsia="Times New Roman" w:hAnsi="Times New Roman" w:cs="Times New Roman"/>
          <w:bCs/>
          <w:i/>
          <w:iCs/>
          <w:sz w:val="24"/>
          <w:szCs w:val="24"/>
          <w:lang w:eastAsia="hr-HR"/>
        </w:rPr>
      </w:pPr>
      <w:bookmarkStart w:id="44" w:name="_Hlk83814151"/>
      <w:r w:rsidRPr="00C41483">
        <w:rPr>
          <w:rFonts w:ascii="Times New Roman" w:eastAsia="Times New Roman" w:hAnsi="Times New Roman" w:cs="Times New Roman"/>
          <w:bCs/>
          <w:i/>
          <w:iCs/>
          <w:sz w:val="24"/>
          <w:szCs w:val="24"/>
          <w:lang w:eastAsia="hr-HR"/>
        </w:rPr>
        <w:t>Pitanje 8c)</w:t>
      </w:r>
    </w:p>
    <w:bookmarkEnd w:id="44"/>
    <w:p w14:paraId="053EF138" w14:textId="46D1AB3C" w:rsidR="00E20363" w:rsidRPr="00C41483" w:rsidRDefault="00E20363" w:rsidP="006B5133">
      <w:pPr>
        <w:spacing w:after="0" w:line="240" w:lineRule="auto"/>
        <w:jc w:val="both"/>
        <w:rPr>
          <w:rFonts w:ascii="Times New Roman" w:eastAsia="Times New Roman" w:hAnsi="Times New Roman" w:cs="Times New Roman"/>
          <w:bCs/>
          <w:i/>
          <w:iCs/>
          <w:sz w:val="24"/>
          <w:szCs w:val="24"/>
          <w:lang w:eastAsia="hr-HR"/>
        </w:rPr>
      </w:pPr>
    </w:p>
    <w:p w14:paraId="4B4AAC5E" w14:textId="4617C35D" w:rsidR="00E85F1B" w:rsidRPr="00C41483" w:rsidDel="00422F7A" w:rsidRDefault="00C9492D" w:rsidP="006B5133">
      <w:pPr>
        <w:spacing w:after="0" w:line="240" w:lineRule="auto"/>
        <w:jc w:val="both"/>
        <w:rPr>
          <w:rFonts w:ascii="Times New Roman" w:hAnsi="Times New Roman" w:cs="Times New Roman"/>
          <w:sz w:val="24"/>
          <w:szCs w:val="24"/>
        </w:rPr>
      </w:pPr>
      <w:r w:rsidRPr="00C41483">
        <w:rPr>
          <w:rFonts w:ascii="Times New Roman" w:hAnsi="Times New Roman" w:cs="Times New Roman"/>
          <w:sz w:val="24"/>
          <w:szCs w:val="24"/>
        </w:rPr>
        <w:lastRenderedPageBreak/>
        <w:t>(</w:t>
      </w:r>
      <w:r w:rsidR="00CD1AA1" w:rsidRPr="00C41483">
        <w:rPr>
          <w:rFonts w:ascii="Times New Roman" w:hAnsi="Times New Roman" w:cs="Times New Roman"/>
          <w:sz w:val="24"/>
          <w:szCs w:val="24"/>
        </w:rPr>
        <w:t>5</w:t>
      </w:r>
      <w:r w:rsidR="000F3ADF" w:rsidRPr="00C41483">
        <w:rPr>
          <w:rFonts w:ascii="Times New Roman" w:hAnsi="Times New Roman" w:cs="Times New Roman"/>
          <w:sz w:val="24"/>
          <w:szCs w:val="24"/>
        </w:rPr>
        <w:t>8</w:t>
      </w:r>
      <w:r w:rsidRPr="00C41483">
        <w:rPr>
          <w:rFonts w:ascii="Times New Roman" w:hAnsi="Times New Roman" w:cs="Times New Roman"/>
          <w:sz w:val="24"/>
          <w:szCs w:val="24"/>
        </w:rPr>
        <w:t xml:space="preserve">) </w:t>
      </w:r>
      <w:r w:rsidR="00E85F1B" w:rsidRPr="00C41483">
        <w:rPr>
          <w:rFonts w:ascii="Times New Roman" w:hAnsi="Times New Roman" w:cs="Times New Roman"/>
          <w:sz w:val="24"/>
          <w:szCs w:val="24"/>
        </w:rPr>
        <w:t xml:space="preserve">S obzirom da su vremenom nastupile okolnosti koje su nadišle normativna rješenja iz Zakona o kretanju slijepe osobe uz pomoć psa vodiča </w:t>
      </w:r>
      <w:r w:rsidR="00722A67" w:rsidRPr="00C41483">
        <w:rPr>
          <w:rFonts w:ascii="Times New Roman" w:hAnsi="Times New Roman" w:cs="Times New Roman"/>
          <w:sz w:val="24"/>
          <w:szCs w:val="24"/>
        </w:rPr>
        <w:t>(</w:t>
      </w:r>
      <w:r w:rsidR="00E85F1B" w:rsidRPr="00C41483">
        <w:rPr>
          <w:rFonts w:ascii="Times New Roman" w:hAnsi="Times New Roman" w:cs="Times New Roman"/>
          <w:sz w:val="24"/>
          <w:szCs w:val="24"/>
        </w:rPr>
        <w:t>1998.</w:t>
      </w:r>
      <w:r w:rsidR="00722A67" w:rsidRPr="00C41483">
        <w:rPr>
          <w:rFonts w:ascii="Times New Roman" w:hAnsi="Times New Roman" w:cs="Times New Roman"/>
          <w:sz w:val="24"/>
          <w:szCs w:val="24"/>
        </w:rPr>
        <w:t>)</w:t>
      </w:r>
      <w:r w:rsidR="00E85F1B" w:rsidRPr="00C41483">
        <w:rPr>
          <w:rFonts w:ascii="Times New Roman" w:hAnsi="Times New Roman" w:cs="Times New Roman"/>
          <w:sz w:val="24"/>
          <w:szCs w:val="24"/>
        </w:rPr>
        <w:t xml:space="preserve"> te pripadajućeg Pravilnika, 2019. godine je donesen </w:t>
      </w:r>
      <w:r w:rsidR="00E85F1B" w:rsidRPr="00C41483">
        <w:rPr>
          <w:rFonts w:ascii="Times New Roman" w:eastAsia="Times New Roman" w:hAnsi="Times New Roman" w:cs="Times New Roman"/>
          <w:bCs/>
          <w:sz w:val="24"/>
          <w:szCs w:val="24"/>
          <w:lang w:eastAsia="hr-HR"/>
        </w:rPr>
        <w:t>Zakon o korištenju psa pomagača.</w:t>
      </w:r>
      <w:r w:rsidR="00BE0E0E" w:rsidRPr="00C41483">
        <w:rPr>
          <w:rFonts w:ascii="Times New Roman" w:eastAsia="Times New Roman" w:hAnsi="Times New Roman" w:cs="Times New Roman"/>
          <w:bCs/>
          <w:sz w:val="24"/>
          <w:szCs w:val="24"/>
          <w:lang w:eastAsia="hr-HR"/>
        </w:rPr>
        <w:t xml:space="preserve"> </w:t>
      </w:r>
      <w:r w:rsidR="00E85F1B" w:rsidRPr="00C41483">
        <w:rPr>
          <w:rFonts w:ascii="Times New Roman" w:hAnsi="Times New Roman" w:cs="Times New Roman"/>
          <w:sz w:val="24"/>
          <w:szCs w:val="24"/>
        </w:rPr>
        <w:t xml:space="preserve">Cilj Zakona bio je proširiti mogućnost pružanja definiranih usluga od strane drugih pravnih osoba čime će se korisnicima omogućiti lakša dostupnost u ostvarivanju usluge korištenja psa pomagača kroz bolju regionalnu zastupljenost pružatelja usluga te proširiti krug korisnika (uključiti i djecu s teškoćama u razvoju), a definiranjem procesa školovanja pasa i osposobljavanja korisnika, posebnom edukacijom osoba koje sudjeluju u procesu školovanja i njihovih prava za vrijeme školovanja pasa i osposobljavanja korisnika, posebice prava na posebne oznake kojima se dokazuje status, osigurati zaštitu osoba kojima se uključivanjem pasa pomagača i terapijskog psa olakšava svakodnevni život a terapijski i/ili rehabilitacijski postupci čine kvalitetnijima. </w:t>
      </w:r>
      <w:r w:rsidR="00E85F1B" w:rsidRPr="00C41483" w:rsidDel="00422F7A">
        <w:rPr>
          <w:rFonts w:ascii="Times New Roman" w:hAnsi="Times New Roman" w:cs="Times New Roman"/>
          <w:sz w:val="24"/>
          <w:szCs w:val="24"/>
        </w:rPr>
        <w:t xml:space="preserve">Stupanjem na snagu Zakona uspostavljen je zakonodavni okvir obavljanja djelatnosti čiji je cilj </w:t>
      </w:r>
      <w:r w:rsidR="00BE0E0E" w:rsidRPr="00C41483" w:rsidDel="00422F7A">
        <w:rPr>
          <w:rFonts w:ascii="Times New Roman" w:hAnsi="Times New Roman" w:cs="Times New Roman"/>
          <w:sz w:val="24"/>
          <w:szCs w:val="24"/>
        </w:rPr>
        <w:t xml:space="preserve">bio </w:t>
      </w:r>
      <w:r w:rsidR="00E85F1B" w:rsidRPr="00C41483" w:rsidDel="00422F7A">
        <w:rPr>
          <w:rFonts w:ascii="Times New Roman" w:hAnsi="Times New Roman" w:cs="Times New Roman"/>
          <w:sz w:val="24"/>
          <w:szCs w:val="24"/>
        </w:rPr>
        <w:t xml:space="preserve">ostvariv u vremenu od jedne godine od </w:t>
      </w:r>
      <w:r w:rsidR="00BE0E0E" w:rsidRPr="00C41483" w:rsidDel="00422F7A">
        <w:rPr>
          <w:rFonts w:ascii="Times New Roman" w:hAnsi="Times New Roman" w:cs="Times New Roman"/>
          <w:sz w:val="24"/>
          <w:szCs w:val="24"/>
        </w:rPr>
        <w:t xml:space="preserve">njegovog </w:t>
      </w:r>
      <w:r w:rsidR="00E85F1B" w:rsidRPr="00C41483" w:rsidDel="00422F7A">
        <w:rPr>
          <w:rFonts w:ascii="Times New Roman" w:hAnsi="Times New Roman" w:cs="Times New Roman"/>
          <w:sz w:val="24"/>
          <w:szCs w:val="24"/>
        </w:rPr>
        <w:t>stupanja na snagu</w:t>
      </w:r>
      <w:r w:rsidR="00BE0E0E" w:rsidRPr="00C41483" w:rsidDel="00422F7A">
        <w:rPr>
          <w:rFonts w:ascii="Times New Roman" w:hAnsi="Times New Roman" w:cs="Times New Roman"/>
          <w:sz w:val="24"/>
          <w:szCs w:val="24"/>
        </w:rPr>
        <w:t>.</w:t>
      </w:r>
    </w:p>
    <w:p w14:paraId="0815A301" w14:textId="77777777" w:rsidR="00422F7A" w:rsidRPr="00C41483" w:rsidRDefault="00422F7A" w:rsidP="006B5133">
      <w:pPr>
        <w:spacing w:after="0" w:line="240" w:lineRule="auto"/>
        <w:jc w:val="both"/>
        <w:rPr>
          <w:rFonts w:ascii="Times New Roman" w:eastAsia="Times New Roman" w:hAnsi="Times New Roman" w:cs="Times New Roman"/>
          <w:bCs/>
          <w:i/>
          <w:iCs/>
          <w:sz w:val="24"/>
          <w:szCs w:val="24"/>
          <w:lang w:eastAsia="hr-HR"/>
        </w:rPr>
      </w:pPr>
    </w:p>
    <w:p w14:paraId="424B2AAC" w14:textId="51C6F468" w:rsidR="000668E0" w:rsidRPr="00C41483" w:rsidRDefault="00515050" w:rsidP="00625703">
      <w:pPr>
        <w:spacing w:after="0" w:line="240" w:lineRule="auto"/>
        <w:jc w:val="both"/>
        <w:rPr>
          <w:rFonts w:ascii="Times New Roman" w:eastAsia="Times New Roman" w:hAnsi="Times New Roman" w:cs="Times New Roman"/>
          <w:bCs/>
          <w:i/>
          <w:iCs/>
          <w:sz w:val="24"/>
          <w:szCs w:val="24"/>
          <w:lang w:eastAsia="hr-HR"/>
        </w:rPr>
      </w:pPr>
      <w:bookmarkStart w:id="45" w:name="_Hlk83814179"/>
      <w:r w:rsidRPr="00C41483">
        <w:rPr>
          <w:rFonts w:ascii="Times New Roman" w:eastAsia="Times New Roman" w:hAnsi="Times New Roman" w:cs="Times New Roman"/>
          <w:bCs/>
          <w:i/>
          <w:iCs/>
          <w:sz w:val="24"/>
          <w:szCs w:val="24"/>
          <w:lang w:eastAsia="hr-HR"/>
        </w:rPr>
        <w:t xml:space="preserve">Pitanje </w:t>
      </w:r>
      <w:r w:rsidR="00625BDF" w:rsidRPr="00C41483">
        <w:rPr>
          <w:rFonts w:ascii="Times New Roman" w:eastAsia="Times New Roman" w:hAnsi="Times New Roman" w:cs="Times New Roman"/>
          <w:bCs/>
          <w:i/>
          <w:iCs/>
          <w:sz w:val="24"/>
          <w:szCs w:val="24"/>
          <w:lang w:eastAsia="hr-HR"/>
        </w:rPr>
        <w:t>9</w:t>
      </w:r>
    </w:p>
    <w:bookmarkEnd w:id="45"/>
    <w:p w14:paraId="6C69042C" w14:textId="77777777" w:rsidR="00CD1AA1" w:rsidRPr="00C41483" w:rsidRDefault="00CD1AA1" w:rsidP="00625703">
      <w:pPr>
        <w:spacing w:after="0" w:line="240" w:lineRule="auto"/>
        <w:jc w:val="both"/>
        <w:rPr>
          <w:lang w:eastAsia="hr-HR"/>
        </w:rPr>
      </w:pPr>
    </w:p>
    <w:p w14:paraId="4549E927" w14:textId="77D73D03" w:rsidR="006B51CB" w:rsidRPr="00C41483" w:rsidRDefault="00C9492D" w:rsidP="006B5133">
      <w:pPr>
        <w:spacing w:after="0" w:line="240" w:lineRule="auto"/>
        <w:jc w:val="both"/>
        <w:rPr>
          <w:rFonts w:ascii="Times New Roman" w:hAnsi="Times New Roman" w:cs="Times New Roman"/>
          <w:sz w:val="24"/>
          <w:szCs w:val="24"/>
        </w:rPr>
      </w:pPr>
      <w:r w:rsidRPr="00C41483">
        <w:rPr>
          <w:rFonts w:ascii="Times New Roman" w:hAnsi="Times New Roman" w:cs="Times New Roman"/>
          <w:sz w:val="24"/>
          <w:szCs w:val="24"/>
        </w:rPr>
        <w:t>(</w:t>
      </w:r>
      <w:r w:rsidR="00CD1AA1" w:rsidRPr="00C41483">
        <w:rPr>
          <w:rFonts w:ascii="Times New Roman" w:hAnsi="Times New Roman" w:cs="Times New Roman"/>
          <w:sz w:val="24"/>
          <w:szCs w:val="24"/>
        </w:rPr>
        <w:t>5</w:t>
      </w:r>
      <w:r w:rsidR="000F3ADF" w:rsidRPr="00C41483">
        <w:rPr>
          <w:rFonts w:ascii="Times New Roman" w:hAnsi="Times New Roman" w:cs="Times New Roman"/>
          <w:sz w:val="24"/>
          <w:szCs w:val="24"/>
        </w:rPr>
        <w:t>9</w:t>
      </w:r>
      <w:r w:rsidRPr="00C41483">
        <w:rPr>
          <w:rFonts w:ascii="Times New Roman" w:hAnsi="Times New Roman" w:cs="Times New Roman"/>
          <w:sz w:val="24"/>
          <w:szCs w:val="24"/>
        </w:rPr>
        <w:t xml:space="preserve">) </w:t>
      </w:r>
      <w:r w:rsidR="006B51CB" w:rsidRPr="00C41483">
        <w:rPr>
          <w:rFonts w:ascii="Times New Roman" w:hAnsi="Times New Roman" w:cs="Times New Roman"/>
          <w:sz w:val="24"/>
          <w:szCs w:val="24"/>
        </w:rPr>
        <w:t xml:space="preserve">Temeljem Odluke o prijevozu putnika u javnom prometu te u skladu s Pravilnikom o obavljanju prijevoza osoba s invaliditetom i Pravilnikom o obavljanju prijevoza djece s teškoćama u razvoju, </w:t>
      </w:r>
      <w:r w:rsidR="00722A67" w:rsidRPr="00C41483">
        <w:rPr>
          <w:rFonts w:ascii="Times New Roman" w:hAnsi="Times New Roman" w:cs="Times New Roman"/>
          <w:sz w:val="24"/>
          <w:szCs w:val="24"/>
        </w:rPr>
        <w:t xml:space="preserve">koje je donio Grad Zagreb, </w:t>
      </w:r>
      <w:r w:rsidR="006B51CB" w:rsidRPr="00C41483">
        <w:rPr>
          <w:rFonts w:ascii="Times New Roman" w:hAnsi="Times New Roman" w:cs="Times New Roman"/>
          <w:sz w:val="24"/>
          <w:szCs w:val="24"/>
        </w:rPr>
        <w:t xml:space="preserve">pravo na korištenje usluge prijevoza specijaliziranim kombi vozilom </w:t>
      </w:r>
      <w:r w:rsidR="00722A67" w:rsidRPr="00C41483">
        <w:rPr>
          <w:rFonts w:ascii="Times New Roman" w:eastAsia="Times New Roman" w:hAnsi="Times New Roman" w:cs="Times New Roman"/>
          <w:bCs/>
          <w:sz w:val="24"/>
          <w:szCs w:val="24"/>
          <w:lang w:eastAsia="hr-HR"/>
        </w:rPr>
        <w:t>Zagrebačkog električnog tramvaja</w:t>
      </w:r>
      <w:r w:rsidR="00722A67" w:rsidRPr="00C41483">
        <w:rPr>
          <w:rFonts w:ascii="Times New Roman" w:eastAsia="Times New Roman" w:hAnsi="Times New Roman" w:cs="Times New Roman"/>
          <w:bCs/>
          <w:i/>
          <w:iCs/>
          <w:sz w:val="24"/>
          <w:szCs w:val="24"/>
          <w:lang w:eastAsia="hr-HR"/>
        </w:rPr>
        <w:t xml:space="preserve"> </w:t>
      </w:r>
      <w:r w:rsidR="006B51CB" w:rsidRPr="00C41483">
        <w:rPr>
          <w:rFonts w:ascii="Times New Roman" w:hAnsi="Times New Roman" w:cs="Times New Roman"/>
          <w:sz w:val="24"/>
          <w:szCs w:val="24"/>
        </w:rPr>
        <w:t>ostvaruju korisnici koji se kreću pomoću invalidskih kolica i koji imaju prebivalište na području Grada Zagreba</w:t>
      </w:r>
      <w:r w:rsidR="00722A67" w:rsidRPr="00C41483">
        <w:rPr>
          <w:rFonts w:ascii="Times New Roman" w:hAnsi="Times New Roman" w:cs="Times New Roman"/>
          <w:sz w:val="24"/>
          <w:szCs w:val="24"/>
        </w:rPr>
        <w:t>,</w:t>
      </w:r>
      <w:r w:rsidR="006B51CB" w:rsidRPr="00C41483">
        <w:rPr>
          <w:rFonts w:ascii="Times New Roman" w:hAnsi="Times New Roman" w:cs="Times New Roman"/>
          <w:sz w:val="24"/>
          <w:szCs w:val="24"/>
        </w:rPr>
        <w:t xml:space="preserve"> a uz odobrenje Gradskog ureda za socijalnu zaštitu i osobe s invaliditetom</w:t>
      </w:r>
      <w:r w:rsidR="00682594" w:rsidRPr="00C41483">
        <w:rPr>
          <w:rFonts w:ascii="Times New Roman" w:hAnsi="Times New Roman" w:cs="Times New Roman"/>
          <w:sz w:val="24"/>
          <w:szCs w:val="24"/>
        </w:rPr>
        <w:t>. Trenutno prijevoz obavlja 31 vozilo</w:t>
      </w:r>
      <w:r w:rsidR="00965289" w:rsidRPr="00C41483">
        <w:rPr>
          <w:rFonts w:ascii="Times New Roman" w:hAnsi="Times New Roman" w:cs="Times New Roman"/>
          <w:sz w:val="24"/>
          <w:szCs w:val="24"/>
        </w:rPr>
        <w:t xml:space="preserve"> </w:t>
      </w:r>
      <w:r w:rsidR="00682594" w:rsidRPr="00C41483">
        <w:rPr>
          <w:rFonts w:ascii="Times New Roman" w:hAnsi="Times New Roman" w:cs="Times New Roman"/>
          <w:sz w:val="24"/>
          <w:szCs w:val="24"/>
        </w:rPr>
        <w:t xml:space="preserve">(18 za prijevoz </w:t>
      </w:r>
      <w:r w:rsidR="00965289" w:rsidRPr="00C41483">
        <w:rPr>
          <w:rFonts w:ascii="Times New Roman" w:hAnsi="Times New Roman" w:cs="Times New Roman"/>
          <w:sz w:val="24"/>
          <w:szCs w:val="24"/>
        </w:rPr>
        <w:t xml:space="preserve">odraslih </w:t>
      </w:r>
      <w:r w:rsidR="00682594" w:rsidRPr="00C41483">
        <w:rPr>
          <w:rFonts w:ascii="Times New Roman" w:hAnsi="Times New Roman" w:cs="Times New Roman"/>
          <w:sz w:val="24"/>
          <w:szCs w:val="24"/>
        </w:rPr>
        <w:t>osoba</w:t>
      </w:r>
      <w:r w:rsidR="00965289" w:rsidRPr="00C41483">
        <w:rPr>
          <w:rFonts w:ascii="Times New Roman" w:hAnsi="Times New Roman" w:cs="Times New Roman"/>
          <w:sz w:val="24"/>
          <w:szCs w:val="24"/>
        </w:rPr>
        <w:t xml:space="preserve"> </w:t>
      </w:r>
      <w:r w:rsidR="00682594" w:rsidRPr="00C41483">
        <w:rPr>
          <w:rFonts w:ascii="Times New Roman" w:hAnsi="Times New Roman" w:cs="Times New Roman"/>
          <w:sz w:val="24"/>
          <w:szCs w:val="24"/>
        </w:rPr>
        <w:t>i 13 za djecu). U registru korisnika nalazi se ukupno 1.500 aktivnih korisnika koji ostvaruju pravo na specijalizirani stalni ili privremeni prijevoz.</w:t>
      </w:r>
    </w:p>
    <w:p w14:paraId="0553C4C8" w14:textId="77777777" w:rsidR="006B51CB" w:rsidRPr="00C41483" w:rsidRDefault="006B51CB" w:rsidP="006B5133">
      <w:pPr>
        <w:spacing w:after="0" w:line="240" w:lineRule="auto"/>
        <w:rPr>
          <w:lang w:eastAsia="hr-HR"/>
        </w:rPr>
      </w:pPr>
    </w:p>
    <w:p w14:paraId="582A8A34" w14:textId="3EEDC27E" w:rsidR="00D542B4" w:rsidRPr="00C41483" w:rsidRDefault="00D542B4" w:rsidP="006B5133">
      <w:pPr>
        <w:pStyle w:val="Naslov1"/>
        <w:spacing w:before="0" w:line="240" w:lineRule="auto"/>
        <w:rPr>
          <w:rFonts w:ascii="Times New Roman" w:eastAsia="Times New Roman" w:hAnsi="Times New Roman" w:cs="Times New Roman"/>
          <w:b/>
          <w:bCs/>
          <w:color w:val="auto"/>
          <w:sz w:val="24"/>
          <w:szCs w:val="24"/>
          <w:lang w:eastAsia="hr-HR"/>
        </w:rPr>
      </w:pPr>
      <w:bookmarkStart w:id="46" w:name="_Toc76630952"/>
      <w:bookmarkStart w:id="47" w:name="_Toc88031192"/>
      <w:r w:rsidRPr="00C41483">
        <w:rPr>
          <w:rFonts w:ascii="Times New Roman" w:eastAsia="Times New Roman" w:hAnsi="Times New Roman" w:cs="Times New Roman"/>
          <w:b/>
          <w:bCs/>
          <w:color w:val="auto"/>
          <w:sz w:val="24"/>
          <w:szCs w:val="24"/>
          <w:lang w:eastAsia="hr-HR"/>
        </w:rPr>
        <w:t>Rizične situacije i humanitarna krizna stanja (čl. 11.)</w:t>
      </w:r>
      <w:bookmarkEnd w:id="46"/>
      <w:bookmarkEnd w:id="47"/>
    </w:p>
    <w:p w14:paraId="09CE004A" w14:textId="77777777" w:rsidR="000668E0" w:rsidRPr="00C41483" w:rsidRDefault="000668E0" w:rsidP="006B5133">
      <w:pPr>
        <w:spacing w:after="0" w:line="240" w:lineRule="auto"/>
        <w:rPr>
          <w:lang w:eastAsia="hr-HR"/>
        </w:rPr>
      </w:pPr>
    </w:p>
    <w:p w14:paraId="61FF7662" w14:textId="54990222" w:rsidR="00341760" w:rsidRPr="00C41483" w:rsidRDefault="00515050" w:rsidP="006B5133">
      <w:pPr>
        <w:spacing w:after="0" w:line="240" w:lineRule="auto"/>
        <w:jc w:val="both"/>
        <w:rPr>
          <w:rFonts w:ascii="Times New Roman" w:eastAsia="Times New Roman" w:hAnsi="Times New Roman" w:cs="Times New Roman"/>
          <w:bCs/>
          <w:i/>
          <w:iCs/>
          <w:sz w:val="24"/>
          <w:szCs w:val="24"/>
          <w:lang w:eastAsia="hr-HR"/>
        </w:rPr>
      </w:pPr>
      <w:bookmarkStart w:id="48" w:name="_Hlk83814197"/>
      <w:r w:rsidRPr="00C41483">
        <w:rPr>
          <w:rFonts w:ascii="Times New Roman" w:eastAsia="Times New Roman" w:hAnsi="Times New Roman" w:cs="Times New Roman"/>
          <w:bCs/>
          <w:i/>
          <w:iCs/>
          <w:sz w:val="24"/>
          <w:szCs w:val="24"/>
          <w:lang w:eastAsia="hr-HR"/>
        </w:rPr>
        <w:t xml:space="preserve">Pitanje </w:t>
      </w:r>
      <w:r w:rsidR="00341760" w:rsidRPr="00C41483">
        <w:rPr>
          <w:rFonts w:ascii="Times New Roman" w:eastAsia="Times New Roman" w:hAnsi="Times New Roman" w:cs="Times New Roman"/>
          <w:bCs/>
          <w:i/>
          <w:iCs/>
          <w:sz w:val="24"/>
          <w:szCs w:val="24"/>
          <w:lang w:eastAsia="hr-HR"/>
        </w:rPr>
        <w:t>10a)</w:t>
      </w:r>
    </w:p>
    <w:bookmarkEnd w:id="48"/>
    <w:p w14:paraId="22F896B1" w14:textId="77777777" w:rsidR="0094394A" w:rsidRPr="00C41483" w:rsidRDefault="0094394A" w:rsidP="006B5133">
      <w:pPr>
        <w:spacing w:after="0" w:line="240" w:lineRule="auto"/>
        <w:jc w:val="both"/>
        <w:rPr>
          <w:rFonts w:ascii="Times New Roman" w:eastAsia="Times New Roman" w:hAnsi="Times New Roman" w:cs="Times New Roman"/>
          <w:bCs/>
          <w:sz w:val="24"/>
          <w:szCs w:val="24"/>
          <w:lang w:eastAsia="hr-HR"/>
        </w:rPr>
      </w:pPr>
    </w:p>
    <w:p w14:paraId="08A56AD9" w14:textId="74D340A7" w:rsidR="000B40BF" w:rsidRPr="00C41483" w:rsidRDefault="00C9492D" w:rsidP="006B5133">
      <w:pPr>
        <w:spacing w:after="0" w:line="240" w:lineRule="auto"/>
        <w:jc w:val="both"/>
        <w:rPr>
          <w:rFonts w:ascii="Times New Roman" w:eastAsia="Times New Roman" w:hAnsi="Times New Roman" w:cs="Times New Roman"/>
          <w:bCs/>
          <w:sz w:val="24"/>
          <w:szCs w:val="24"/>
          <w:lang w:eastAsia="hr-HR"/>
        </w:rPr>
      </w:pPr>
      <w:r w:rsidRPr="00C41483">
        <w:rPr>
          <w:rFonts w:ascii="Times New Roman" w:eastAsia="Times New Roman" w:hAnsi="Times New Roman" w:cs="Times New Roman"/>
          <w:bCs/>
          <w:sz w:val="24"/>
          <w:szCs w:val="24"/>
          <w:lang w:eastAsia="hr-HR"/>
        </w:rPr>
        <w:t>(</w:t>
      </w:r>
      <w:r w:rsidR="000F3ADF" w:rsidRPr="00C41483">
        <w:rPr>
          <w:rFonts w:ascii="Times New Roman" w:eastAsia="Times New Roman" w:hAnsi="Times New Roman" w:cs="Times New Roman"/>
          <w:bCs/>
          <w:sz w:val="24"/>
          <w:szCs w:val="24"/>
          <w:lang w:eastAsia="hr-HR"/>
        </w:rPr>
        <w:t>60</w:t>
      </w:r>
      <w:r w:rsidRPr="00C41483">
        <w:rPr>
          <w:rFonts w:ascii="Times New Roman" w:eastAsia="Times New Roman" w:hAnsi="Times New Roman" w:cs="Times New Roman"/>
          <w:bCs/>
          <w:sz w:val="24"/>
          <w:szCs w:val="24"/>
          <w:lang w:eastAsia="hr-HR"/>
        </w:rPr>
        <w:t xml:space="preserve">) </w:t>
      </w:r>
      <w:r w:rsidR="00CA4B5C" w:rsidRPr="00C41483">
        <w:rPr>
          <w:rFonts w:ascii="Times New Roman" w:eastAsia="Times New Roman" w:hAnsi="Times New Roman" w:cs="Times New Roman"/>
          <w:bCs/>
          <w:sz w:val="24"/>
          <w:szCs w:val="24"/>
          <w:lang w:eastAsia="hr-HR"/>
        </w:rPr>
        <w:t>O</w:t>
      </w:r>
      <w:r w:rsidR="000B40BF" w:rsidRPr="00C41483">
        <w:rPr>
          <w:rFonts w:ascii="Times New Roman" w:eastAsia="Times New Roman" w:hAnsi="Times New Roman" w:cs="Times New Roman"/>
          <w:bCs/>
          <w:sz w:val="24"/>
          <w:szCs w:val="24"/>
          <w:lang w:eastAsia="hr-HR"/>
        </w:rPr>
        <w:t>sob</w:t>
      </w:r>
      <w:r w:rsidR="00CA4B5C" w:rsidRPr="00C41483">
        <w:rPr>
          <w:rFonts w:ascii="Times New Roman" w:eastAsia="Times New Roman" w:hAnsi="Times New Roman" w:cs="Times New Roman"/>
          <w:bCs/>
          <w:sz w:val="24"/>
          <w:szCs w:val="24"/>
          <w:lang w:eastAsia="hr-HR"/>
        </w:rPr>
        <w:t>e</w:t>
      </w:r>
      <w:r w:rsidR="000B40BF" w:rsidRPr="00C41483">
        <w:rPr>
          <w:rFonts w:ascii="Times New Roman" w:eastAsia="Times New Roman" w:hAnsi="Times New Roman" w:cs="Times New Roman"/>
          <w:bCs/>
          <w:sz w:val="24"/>
          <w:szCs w:val="24"/>
          <w:lang w:eastAsia="hr-HR"/>
        </w:rPr>
        <w:t xml:space="preserve"> s invaliditetom</w:t>
      </w:r>
      <w:r w:rsidR="00CA4B5C" w:rsidRPr="00C41483">
        <w:rPr>
          <w:rFonts w:ascii="Times New Roman" w:eastAsia="Times New Roman" w:hAnsi="Times New Roman" w:cs="Times New Roman"/>
          <w:bCs/>
          <w:sz w:val="24"/>
          <w:szCs w:val="24"/>
          <w:lang w:eastAsia="hr-HR"/>
        </w:rPr>
        <w:t xml:space="preserve"> u kriznim situacijama</w:t>
      </w:r>
      <w:r w:rsidR="000B40BF" w:rsidRPr="00C41483">
        <w:rPr>
          <w:rFonts w:ascii="Times New Roman" w:eastAsia="Times New Roman" w:hAnsi="Times New Roman" w:cs="Times New Roman"/>
          <w:bCs/>
          <w:sz w:val="24"/>
          <w:szCs w:val="24"/>
          <w:lang w:eastAsia="hr-HR"/>
        </w:rPr>
        <w:t xml:space="preserve"> </w:t>
      </w:r>
      <w:r w:rsidR="00CA4B5C" w:rsidRPr="00C41483">
        <w:rPr>
          <w:rFonts w:ascii="Times New Roman" w:eastAsia="Times New Roman" w:hAnsi="Times New Roman" w:cs="Times New Roman"/>
          <w:bCs/>
          <w:sz w:val="24"/>
          <w:szCs w:val="24"/>
          <w:lang w:eastAsia="hr-HR"/>
        </w:rPr>
        <w:t xml:space="preserve">prepoznate su kao ranjiva skupina u </w:t>
      </w:r>
      <w:r w:rsidR="000B40BF" w:rsidRPr="00C41483">
        <w:rPr>
          <w:rFonts w:ascii="Times New Roman" w:eastAsia="Times New Roman" w:hAnsi="Times New Roman" w:cs="Times New Roman"/>
          <w:bCs/>
          <w:sz w:val="24"/>
          <w:szCs w:val="24"/>
          <w:lang w:eastAsia="hr-HR"/>
        </w:rPr>
        <w:t>Zakon</w:t>
      </w:r>
      <w:r w:rsidR="00CA4B5C" w:rsidRPr="00C41483">
        <w:rPr>
          <w:rFonts w:ascii="Times New Roman" w:eastAsia="Times New Roman" w:hAnsi="Times New Roman" w:cs="Times New Roman"/>
          <w:bCs/>
          <w:sz w:val="24"/>
          <w:szCs w:val="24"/>
          <w:lang w:eastAsia="hr-HR"/>
        </w:rPr>
        <w:t>u</w:t>
      </w:r>
      <w:r w:rsidR="000B40BF" w:rsidRPr="00C41483">
        <w:rPr>
          <w:rFonts w:ascii="Times New Roman" w:eastAsia="Times New Roman" w:hAnsi="Times New Roman" w:cs="Times New Roman"/>
          <w:bCs/>
          <w:sz w:val="24"/>
          <w:szCs w:val="24"/>
          <w:lang w:eastAsia="hr-HR"/>
        </w:rPr>
        <w:t xml:space="preserve"> o sustavu civilne zaštite i Pravilnik</w:t>
      </w:r>
      <w:r w:rsidR="00CA4B5C" w:rsidRPr="00C41483">
        <w:rPr>
          <w:rFonts w:ascii="Times New Roman" w:eastAsia="Times New Roman" w:hAnsi="Times New Roman" w:cs="Times New Roman"/>
          <w:bCs/>
          <w:sz w:val="24"/>
          <w:szCs w:val="24"/>
          <w:lang w:eastAsia="hr-HR"/>
        </w:rPr>
        <w:t>u</w:t>
      </w:r>
      <w:r w:rsidR="000B40BF" w:rsidRPr="00C41483">
        <w:rPr>
          <w:rFonts w:ascii="Times New Roman" w:eastAsia="Times New Roman" w:hAnsi="Times New Roman" w:cs="Times New Roman"/>
          <w:bCs/>
          <w:sz w:val="24"/>
          <w:szCs w:val="24"/>
          <w:lang w:eastAsia="hr-HR"/>
        </w:rPr>
        <w:t xml:space="preserve"> o nositeljima, sadržaju i postupcima izrade planskih dokumenata u civilnoj zaštiti te načinu informiranja javnosti u postupku njihovog donošenja. </w:t>
      </w:r>
      <w:r w:rsidR="00CA4B5C" w:rsidRPr="00C41483">
        <w:rPr>
          <w:rFonts w:ascii="Times New Roman" w:eastAsia="Times New Roman" w:hAnsi="Times New Roman" w:cs="Times New Roman"/>
          <w:bCs/>
          <w:sz w:val="24"/>
          <w:szCs w:val="24"/>
          <w:lang w:eastAsia="hr-HR"/>
        </w:rPr>
        <w:t>U</w:t>
      </w:r>
      <w:r w:rsidR="000B40BF" w:rsidRPr="00C41483">
        <w:rPr>
          <w:rFonts w:ascii="Times New Roman" w:eastAsia="Times New Roman" w:hAnsi="Times New Roman" w:cs="Times New Roman"/>
          <w:bCs/>
          <w:sz w:val="24"/>
          <w:szCs w:val="24"/>
          <w:lang w:eastAsia="hr-HR"/>
        </w:rPr>
        <w:t xml:space="preserve"> tijeku je izmjena i dopuna akta koja regulira </w:t>
      </w:r>
      <w:proofErr w:type="spellStart"/>
      <w:r w:rsidR="000B40BF" w:rsidRPr="00C41483">
        <w:rPr>
          <w:rFonts w:ascii="Times New Roman" w:eastAsia="Times New Roman" w:hAnsi="Times New Roman" w:cs="Times New Roman"/>
          <w:bCs/>
          <w:sz w:val="24"/>
          <w:szCs w:val="24"/>
          <w:lang w:eastAsia="hr-HR"/>
        </w:rPr>
        <w:t>multisektorske</w:t>
      </w:r>
      <w:proofErr w:type="spellEnd"/>
      <w:r w:rsidR="000B40BF" w:rsidRPr="00C41483">
        <w:rPr>
          <w:rFonts w:ascii="Times New Roman" w:eastAsia="Times New Roman" w:hAnsi="Times New Roman" w:cs="Times New Roman"/>
          <w:bCs/>
          <w:sz w:val="24"/>
          <w:szCs w:val="24"/>
          <w:lang w:eastAsia="hr-HR"/>
        </w:rPr>
        <w:t xml:space="preserve"> oblike pomoći osobama s invaliditetom </w:t>
      </w:r>
      <w:r w:rsidR="00CA4B5C" w:rsidRPr="00C41483">
        <w:rPr>
          <w:rFonts w:ascii="Times New Roman" w:eastAsia="Times New Roman" w:hAnsi="Times New Roman" w:cs="Times New Roman"/>
          <w:bCs/>
          <w:sz w:val="24"/>
          <w:szCs w:val="24"/>
          <w:lang w:eastAsia="hr-HR"/>
        </w:rPr>
        <w:t>n</w:t>
      </w:r>
      <w:r w:rsidR="000B40BF" w:rsidRPr="00C41483">
        <w:rPr>
          <w:rFonts w:ascii="Times New Roman" w:eastAsia="Times New Roman" w:hAnsi="Times New Roman" w:cs="Times New Roman"/>
          <w:bCs/>
          <w:sz w:val="24"/>
          <w:szCs w:val="24"/>
          <w:lang w:eastAsia="hr-HR"/>
        </w:rPr>
        <w:t>a još detaljniji i sveobuhvatniji način.</w:t>
      </w:r>
      <w:r w:rsidR="00D90FF5" w:rsidRPr="00C41483">
        <w:rPr>
          <w:rFonts w:ascii="Times New Roman" w:eastAsia="Times New Roman" w:hAnsi="Times New Roman" w:cs="Times New Roman"/>
          <w:bCs/>
          <w:sz w:val="24"/>
          <w:szCs w:val="24"/>
          <w:lang w:eastAsia="hr-HR"/>
        </w:rPr>
        <w:t xml:space="preserve"> </w:t>
      </w:r>
      <w:r w:rsidR="00CA4B5C" w:rsidRPr="00C41483">
        <w:rPr>
          <w:rFonts w:ascii="Times New Roman" w:eastAsia="Times New Roman" w:hAnsi="Times New Roman" w:cs="Times New Roman"/>
          <w:bCs/>
          <w:sz w:val="24"/>
          <w:szCs w:val="24"/>
          <w:lang w:eastAsia="hr-HR"/>
        </w:rPr>
        <w:t xml:space="preserve">Sve </w:t>
      </w:r>
      <w:r w:rsidR="00D90FF5" w:rsidRPr="00C41483">
        <w:rPr>
          <w:rFonts w:ascii="Times New Roman" w:eastAsia="Times New Roman" w:hAnsi="Times New Roman" w:cs="Times New Roman"/>
          <w:bCs/>
          <w:sz w:val="24"/>
          <w:szCs w:val="24"/>
          <w:lang w:eastAsia="hr-HR"/>
        </w:rPr>
        <w:t xml:space="preserve">aktivnosti </w:t>
      </w:r>
      <w:r w:rsidR="000B40BF" w:rsidRPr="00C41483">
        <w:rPr>
          <w:rFonts w:ascii="Times New Roman" w:eastAsia="Times New Roman" w:hAnsi="Times New Roman" w:cs="Times New Roman"/>
          <w:bCs/>
          <w:sz w:val="24"/>
          <w:szCs w:val="24"/>
          <w:lang w:eastAsia="hr-HR"/>
        </w:rPr>
        <w:t>osiguravaju</w:t>
      </w:r>
      <w:r w:rsidR="00520874" w:rsidRPr="00C41483">
        <w:rPr>
          <w:rFonts w:ascii="Times New Roman" w:eastAsia="Times New Roman" w:hAnsi="Times New Roman" w:cs="Times New Roman"/>
          <w:bCs/>
          <w:sz w:val="24"/>
          <w:szCs w:val="24"/>
          <w:lang w:eastAsia="hr-HR"/>
        </w:rPr>
        <w:t xml:space="preserve"> nediskriminacijski tretman prema osobama s invaliditetom od strane sudionika i operativnih snaga sustava civilne zaštite </w:t>
      </w:r>
      <w:r w:rsidR="00D90FF5" w:rsidRPr="00C41483">
        <w:rPr>
          <w:rFonts w:ascii="Times New Roman" w:eastAsia="Times New Roman" w:hAnsi="Times New Roman" w:cs="Times New Roman"/>
          <w:bCs/>
          <w:sz w:val="24"/>
          <w:szCs w:val="24"/>
          <w:lang w:eastAsia="hr-HR"/>
        </w:rPr>
        <w:t xml:space="preserve">u postupcima </w:t>
      </w:r>
      <w:r w:rsidR="00520874" w:rsidRPr="00C41483">
        <w:rPr>
          <w:rFonts w:ascii="Times New Roman" w:eastAsia="Times New Roman" w:hAnsi="Times New Roman" w:cs="Times New Roman"/>
          <w:bCs/>
          <w:sz w:val="24"/>
          <w:szCs w:val="24"/>
          <w:lang w:eastAsia="hr-HR"/>
        </w:rPr>
        <w:t>u slučajevima katastrofa</w:t>
      </w:r>
      <w:r w:rsidR="00D90FF5" w:rsidRPr="00C41483">
        <w:rPr>
          <w:rFonts w:ascii="Times New Roman" w:eastAsia="Times New Roman" w:hAnsi="Times New Roman" w:cs="Times New Roman"/>
          <w:bCs/>
          <w:sz w:val="24"/>
          <w:szCs w:val="24"/>
          <w:lang w:eastAsia="hr-HR"/>
        </w:rPr>
        <w:t xml:space="preserve"> (</w:t>
      </w:r>
      <w:r w:rsidR="00520874" w:rsidRPr="00C41483">
        <w:rPr>
          <w:rFonts w:ascii="Times New Roman" w:eastAsia="Times New Roman" w:hAnsi="Times New Roman" w:cs="Times New Roman"/>
          <w:bCs/>
          <w:sz w:val="24"/>
          <w:szCs w:val="24"/>
          <w:lang w:eastAsia="hr-HR"/>
        </w:rPr>
        <w:t>prirodnih</w:t>
      </w:r>
      <w:r w:rsidR="00D90FF5" w:rsidRPr="00C41483">
        <w:rPr>
          <w:rFonts w:ascii="Times New Roman" w:eastAsia="Times New Roman" w:hAnsi="Times New Roman" w:cs="Times New Roman"/>
          <w:bCs/>
          <w:sz w:val="24"/>
          <w:szCs w:val="24"/>
          <w:lang w:eastAsia="hr-HR"/>
        </w:rPr>
        <w:t xml:space="preserve">, </w:t>
      </w:r>
      <w:r w:rsidR="00520874" w:rsidRPr="00C41483">
        <w:rPr>
          <w:rFonts w:ascii="Times New Roman" w:eastAsia="Times New Roman" w:hAnsi="Times New Roman" w:cs="Times New Roman"/>
          <w:bCs/>
          <w:sz w:val="24"/>
          <w:szCs w:val="24"/>
          <w:lang w:eastAsia="hr-HR"/>
        </w:rPr>
        <w:t xml:space="preserve">tehničko-tehnoloških </w:t>
      </w:r>
      <w:r w:rsidR="00D90FF5" w:rsidRPr="00C41483">
        <w:rPr>
          <w:rFonts w:ascii="Times New Roman" w:eastAsia="Times New Roman" w:hAnsi="Times New Roman" w:cs="Times New Roman"/>
          <w:bCs/>
          <w:sz w:val="24"/>
          <w:szCs w:val="24"/>
          <w:lang w:eastAsia="hr-HR"/>
        </w:rPr>
        <w:t>i</w:t>
      </w:r>
      <w:r w:rsidR="00520874" w:rsidRPr="00C41483">
        <w:rPr>
          <w:rFonts w:ascii="Times New Roman" w:eastAsia="Times New Roman" w:hAnsi="Times New Roman" w:cs="Times New Roman"/>
          <w:bCs/>
          <w:sz w:val="24"/>
          <w:szCs w:val="24"/>
          <w:lang w:eastAsia="hr-HR"/>
        </w:rPr>
        <w:t xml:space="preserve"> u slučaju vojnih sukoba i humanitarnih kriza</w:t>
      </w:r>
      <w:r w:rsidR="00D90FF5" w:rsidRPr="00C41483">
        <w:rPr>
          <w:rFonts w:ascii="Times New Roman" w:eastAsia="Times New Roman" w:hAnsi="Times New Roman" w:cs="Times New Roman"/>
          <w:bCs/>
          <w:sz w:val="24"/>
          <w:szCs w:val="24"/>
          <w:lang w:eastAsia="hr-HR"/>
        </w:rPr>
        <w:t>)</w:t>
      </w:r>
      <w:r w:rsidR="00520874" w:rsidRPr="00C41483">
        <w:rPr>
          <w:rFonts w:ascii="Times New Roman" w:eastAsia="Times New Roman" w:hAnsi="Times New Roman" w:cs="Times New Roman"/>
          <w:bCs/>
          <w:sz w:val="24"/>
          <w:szCs w:val="24"/>
          <w:lang w:eastAsia="hr-HR"/>
        </w:rPr>
        <w:t>.</w:t>
      </w:r>
    </w:p>
    <w:p w14:paraId="08127160" w14:textId="77777777" w:rsidR="000E6B09" w:rsidRPr="00C41483" w:rsidRDefault="000E6B09" w:rsidP="006B5133">
      <w:pPr>
        <w:spacing w:after="0" w:line="240" w:lineRule="auto"/>
        <w:jc w:val="both"/>
        <w:rPr>
          <w:rFonts w:ascii="Times New Roman" w:hAnsi="Times New Roman" w:cs="Times New Roman"/>
          <w:sz w:val="24"/>
          <w:szCs w:val="24"/>
        </w:rPr>
      </w:pPr>
    </w:p>
    <w:p w14:paraId="0C74BC9C" w14:textId="6DD152F8" w:rsidR="006F68A1" w:rsidRPr="00C41483" w:rsidRDefault="00C9492D" w:rsidP="006B5133">
      <w:pPr>
        <w:spacing w:after="0" w:line="240" w:lineRule="auto"/>
        <w:jc w:val="both"/>
        <w:rPr>
          <w:rFonts w:ascii="Times New Roman" w:eastAsia="Times New Roman" w:hAnsi="Times New Roman" w:cs="Times New Roman"/>
          <w:bCs/>
          <w:sz w:val="24"/>
          <w:szCs w:val="24"/>
          <w:lang w:eastAsia="hr-HR"/>
        </w:rPr>
      </w:pPr>
      <w:r w:rsidRPr="00C41483">
        <w:rPr>
          <w:rFonts w:ascii="Times New Roman" w:hAnsi="Times New Roman" w:cs="Times New Roman"/>
          <w:sz w:val="24"/>
          <w:szCs w:val="24"/>
        </w:rPr>
        <w:t>(</w:t>
      </w:r>
      <w:r w:rsidR="000F3ADF" w:rsidRPr="00C41483">
        <w:rPr>
          <w:rFonts w:ascii="Times New Roman" w:hAnsi="Times New Roman" w:cs="Times New Roman"/>
          <w:sz w:val="24"/>
          <w:szCs w:val="24"/>
        </w:rPr>
        <w:t>61</w:t>
      </w:r>
      <w:r w:rsidRPr="00C41483">
        <w:rPr>
          <w:rFonts w:ascii="Times New Roman" w:hAnsi="Times New Roman" w:cs="Times New Roman"/>
          <w:sz w:val="24"/>
          <w:szCs w:val="24"/>
        </w:rPr>
        <w:t xml:space="preserve">) </w:t>
      </w:r>
      <w:r w:rsidR="002A43F0" w:rsidRPr="00C41483">
        <w:rPr>
          <w:rFonts w:ascii="Times New Roman" w:hAnsi="Times New Roman" w:cs="Times New Roman"/>
          <w:sz w:val="24"/>
          <w:szCs w:val="24"/>
        </w:rPr>
        <w:t>JLP(R)S</w:t>
      </w:r>
      <w:r w:rsidR="002A43F0" w:rsidRPr="00C41483">
        <w:rPr>
          <w:rFonts w:ascii="Times New Roman" w:eastAsia="Times New Roman" w:hAnsi="Times New Roman" w:cs="Times New Roman"/>
          <w:bCs/>
          <w:sz w:val="24"/>
          <w:szCs w:val="24"/>
          <w:lang w:eastAsia="hr-HR"/>
        </w:rPr>
        <w:t xml:space="preserve"> </w:t>
      </w:r>
      <w:r w:rsidR="00D95742" w:rsidRPr="00C41483">
        <w:rPr>
          <w:rFonts w:ascii="Times New Roman" w:eastAsia="Times New Roman" w:hAnsi="Times New Roman" w:cs="Times New Roman"/>
          <w:bCs/>
          <w:sz w:val="24"/>
          <w:szCs w:val="24"/>
          <w:lang w:eastAsia="hr-HR"/>
        </w:rPr>
        <w:t>su za procjenu rizika od većih nesreća predvidjeli broj</w:t>
      </w:r>
      <w:r w:rsidR="00FF1AD7" w:rsidRPr="00C41483">
        <w:rPr>
          <w:rFonts w:ascii="Times New Roman" w:eastAsia="Times New Roman" w:hAnsi="Times New Roman" w:cs="Times New Roman"/>
          <w:bCs/>
          <w:sz w:val="24"/>
          <w:szCs w:val="24"/>
          <w:lang w:eastAsia="hr-HR"/>
        </w:rPr>
        <w:t xml:space="preserve"> ili</w:t>
      </w:r>
      <w:r w:rsidR="00D95742" w:rsidRPr="00C41483">
        <w:rPr>
          <w:rFonts w:ascii="Times New Roman" w:eastAsia="Times New Roman" w:hAnsi="Times New Roman" w:cs="Times New Roman"/>
          <w:bCs/>
          <w:sz w:val="24"/>
          <w:szCs w:val="24"/>
          <w:lang w:eastAsia="hr-HR"/>
        </w:rPr>
        <w:t xml:space="preserve"> postotak osoba koje će se evakuirati s područja i razradili broj </w:t>
      </w:r>
      <w:r w:rsidR="00FF1AD7" w:rsidRPr="00C41483">
        <w:rPr>
          <w:rFonts w:ascii="Times New Roman" w:eastAsia="Times New Roman" w:hAnsi="Times New Roman" w:cs="Times New Roman"/>
          <w:bCs/>
          <w:sz w:val="24"/>
          <w:szCs w:val="24"/>
          <w:lang w:eastAsia="hr-HR"/>
        </w:rPr>
        <w:t xml:space="preserve">ili </w:t>
      </w:r>
      <w:r w:rsidR="00D95742" w:rsidRPr="00C41483">
        <w:rPr>
          <w:rFonts w:ascii="Times New Roman" w:eastAsia="Times New Roman" w:hAnsi="Times New Roman" w:cs="Times New Roman"/>
          <w:bCs/>
          <w:sz w:val="24"/>
          <w:szCs w:val="24"/>
          <w:lang w:eastAsia="hr-HR"/>
        </w:rPr>
        <w:t xml:space="preserve">postotak osoba u kategoriji ranjivih skupina, uključujući i osobe s invaliditetom u svojim planovima civilne zaštite. </w:t>
      </w:r>
      <w:r w:rsidR="00E44A8E" w:rsidRPr="00C41483">
        <w:rPr>
          <w:rFonts w:ascii="Times New Roman" w:eastAsia="Times New Roman" w:hAnsi="Times New Roman" w:cs="Times New Roman"/>
          <w:bCs/>
          <w:sz w:val="24"/>
          <w:szCs w:val="24"/>
          <w:lang w:eastAsia="hr-HR"/>
        </w:rPr>
        <w:t>Planski dokumenti sadrže uglavnom numeričke statističke pokazatelje o kategorijama stanovništva u svrhu planiranja evakuacije i zbrinjavanja u kriznim situacijama</w:t>
      </w:r>
      <w:r w:rsidR="00CF54DB" w:rsidRPr="00C41483">
        <w:rPr>
          <w:rFonts w:ascii="Times New Roman" w:eastAsia="Times New Roman" w:hAnsi="Times New Roman" w:cs="Times New Roman"/>
          <w:bCs/>
          <w:sz w:val="24"/>
          <w:szCs w:val="24"/>
          <w:lang w:eastAsia="hr-HR"/>
        </w:rPr>
        <w:t xml:space="preserve">. </w:t>
      </w:r>
      <w:r w:rsidR="006F68A1" w:rsidRPr="00C41483">
        <w:rPr>
          <w:rFonts w:ascii="Times New Roman" w:eastAsia="Times New Roman" w:hAnsi="Times New Roman" w:cs="Times New Roman"/>
          <w:bCs/>
          <w:sz w:val="24"/>
          <w:szCs w:val="24"/>
          <w:lang w:eastAsia="hr-HR"/>
        </w:rPr>
        <w:t xml:space="preserve">Općine i gradovi </w:t>
      </w:r>
      <w:r w:rsidR="00D90FF5" w:rsidRPr="00C41483">
        <w:rPr>
          <w:rFonts w:ascii="Times New Roman" w:eastAsia="Times New Roman" w:hAnsi="Times New Roman" w:cs="Times New Roman"/>
          <w:bCs/>
          <w:sz w:val="24"/>
          <w:szCs w:val="24"/>
          <w:lang w:eastAsia="hr-HR"/>
        </w:rPr>
        <w:t xml:space="preserve">su </w:t>
      </w:r>
      <w:r w:rsidR="006F68A1" w:rsidRPr="00C41483">
        <w:rPr>
          <w:rFonts w:ascii="Times New Roman" w:eastAsia="Times New Roman" w:hAnsi="Times New Roman" w:cs="Times New Roman"/>
          <w:bCs/>
          <w:sz w:val="24"/>
          <w:szCs w:val="24"/>
          <w:lang w:eastAsia="hr-HR"/>
        </w:rPr>
        <w:t xml:space="preserve">u planskim dokumentima razradili protokol koji sadrži evakuaciju i spašavanje određenih kategorija građana u riziku: starije i nemoćne osobe kao i osobe s invaliditetom i djecu s teškoćama u razvoju. Akcijski planovi civilne zaštite uzimaju u </w:t>
      </w:r>
      <w:r w:rsidR="00B4401E" w:rsidRPr="00C41483">
        <w:rPr>
          <w:rFonts w:ascii="Times New Roman" w:eastAsia="Times New Roman" w:hAnsi="Times New Roman" w:cs="Times New Roman"/>
          <w:bCs/>
          <w:sz w:val="24"/>
          <w:szCs w:val="24"/>
          <w:lang w:eastAsia="hr-HR"/>
        </w:rPr>
        <w:t xml:space="preserve">obzir </w:t>
      </w:r>
      <w:r w:rsidR="006F68A1" w:rsidRPr="00C41483">
        <w:rPr>
          <w:rFonts w:ascii="Times New Roman" w:eastAsia="Times New Roman" w:hAnsi="Times New Roman" w:cs="Times New Roman"/>
          <w:bCs/>
          <w:sz w:val="24"/>
          <w:szCs w:val="24"/>
          <w:lang w:eastAsia="hr-HR"/>
        </w:rPr>
        <w:t>svak</w:t>
      </w:r>
      <w:r w:rsidR="00B4401E" w:rsidRPr="00C41483">
        <w:rPr>
          <w:rFonts w:ascii="Times New Roman" w:eastAsia="Times New Roman" w:hAnsi="Times New Roman" w:cs="Times New Roman"/>
          <w:bCs/>
          <w:sz w:val="24"/>
          <w:szCs w:val="24"/>
          <w:lang w:eastAsia="hr-HR"/>
        </w:rPr>
        <w:t>u</w:t>
      </w:r>
      <w:r w:rsidR="006F68A1" w:rsidRPr="00C41483">
        <w:rPr>
          <w:rFonts w:ascii="Times New Roman" w:eastAsia="Times New Roman" w:hAnsi="Times New Roman" w:cs="Times New Roman"/>
          <w:bCs/>
          <w:sz w:val="24"/>
          <w:szCs w:val="24"/>
          <w:lang w:eastAsia="hr-HR"/>
        </w:rPr>
        <w:t xml:space="preserve"> osob</w:t>
      </w:r>
      <w:r w:rsidR="00FF1AD7" w:rsidRPr="00C41483">
        <w:rPr>
          <w:rFonts w:ascii="Times New Roman" w:eastAsia="Times New Roman" w:hAnsi="Times New Roman" w:cs="Times New Roman"/>
          <w:bCs/>
          <w:sz w:val="24"/>
          <w:szCs w:val="24"/>
          <w:lang w:eastAsia="hr-HR"/>
        </w:rPr>
        <w:t>u</w:t>
      </w:r>
      <w:r w:rsidR="006F68A1" w:rsidRPr="00C41483">
        <w:rPr>
          <w:rFonts w:ascii="Times New Roman" w:eastAsia="Times New Roman" w:hAnsi="Times New Roman" w:cs="Times New Roman"/>
          <w:bCs/>
          <w:sz w:val="24"/>
          <w:szCs w:val="24"/>
          <w:lang w:eastAsia="hr-HR"/>
        </w:rPr>
        <w:t xml:space="preserve"> s invaliditetom, ne grupe ili kategorije osoba s invaliditetom. Planovi također </w:t>
      </w:r>
      <w:r w:rsidR="000C26EB" w:rsidRPr="00C41483">
        <w:rPr>
          <w:rFonts w:ascii="Times New Roman" w:eastAsia="Times New Roman" w:hAnsi="Times New Roman" w:cs="Times New Roman"/>
          <w:bCs/>
          <w:sz w:val="24"/>
          <w:szCs w:val="24"/>
          <w:lang w:eastAsia="hr-HR"/>
        </w:rPr>
        <w:t xml:space="preserve">predviđaju </w:t>
      </w:r>
      <w:r w:rsidR="006F68A1" w:rsidRPr="00C41483">
        <w:rPr>
          <w:rFonts w:ascii="Times New Roman" w:eastAsia="Times New Roman" w:hAnsi="Times New Roman" w:cs="Times New Roman"/>
          <w:bCs/>
          <w:sz w:val="24"/>
          <w:szCs w:val="24"/>
          <w:lang w:eastAsia="hr-HR"/>
        </w:rPr>
        <w:t xml:space="preserve">evidenciju </w:t>
      </w:r>
      <w:r w:rsidR="000C26EB" w:rsidRPr="00C41483">
        <w:rPr>
          <w:rFonts w:ascii="Times New Roman" w:eastAsia="Times New Roman" w:hAnsi="Times New Roman" w:cs="Times New Roman"/>
          <w:bCs/>
          <w:sz w:val="24"/>
          <w:szCs w:val="24"/>
          <w:lang w:eastAsia="hr-HR"/>
        </w:rPr>
        <w:t xml:space="preserve">evakuiranih osoba </w:t>
      </w:r>
      <w:r w:rsidR="006F68A1" w:rsidRPr="00C41483">
        <w:rPr>
          <w:rFonts w:ascii="Times New Roman" w:eastAsia="Times New Roman" w:hAnsi="Times New Roman" w:cs="Times New Roman"/>
          <w:bCs/>
          <w:sz w:val="24"/>
          <w:szCs w:val="24"/>
          <w:lang w:eastAsia="hr-HR"/>
        </w:rPr>
        <w:t xml:space="preserve">kao i mjesta prijema i </w:t>
      </w:r>
      <w:r w:rsidR="000C26EB" w:rsidRPr="00C41483">
        <w:rPr>
          <w:rFonts w:ascii="Times New Roman" w:eastAsia="Times New Roman" w:hAnsi="Times New Roman" w:cs="Times New Roman"/>
          <w:bCs/>
          <w:sz w:val="24"/>
          <w:szCs w:val="24"/>
          <w:lang w:eastAsia="hr-HR"/>
        </w:rPr>
        <w:t>skrbi.</w:t>
      </w:r>
    </w:p>
    <w:p w14:paraId="50F5AAAE" w14:textId="77777777" w:rsidR="000E6B09" w:rsidRPr="00C41483" w:rsidRDefault="000E6B09" w:rsidP="006B5133">
      <w:pPr>
        <w:spacing w:after="0" w:line="240" w:lineRule="auto"/>
        <w:jc w:val="both"/>
        <w:rPr>
          <w:rFonts w:ascii="Times New Roman" w:eastAsia="Times New Roman" w:hAnsi="Times New Roman" w:cs="Times New Roman"/>
          <w:bCs/>
          <w:sz w:val="24"/>
          <w:szCs w:val="24"/>
          <w:lang w:eastAsia="hr-HR"/>
        </w:rPr>
      </w:pPr>
    </w:p>
    <w:p w14:paraId="1F455D00" w14:textId="5927BFF1" w:rsidR="000C26EB" w:rsidRPr="00C41483" w:rsidRDefault="00C9492D" w:rsidP="006B5133">
      <w:pPr>
        <w:spacing w:after="0" w:line="240" w:lineRule="auto"/>
        <w:jc w:val="both"/>
        <w:rPr>
          <w:rFonts w:ascii="Times New Roman" w:eastAsia="Times New Roman" w:hAnsi="Times New Roman" w:cs="Times New Roman"/>
          <w:bCs/>
          <w:sz w:val="24"/>
          <w:szCs w:val="24"/>
          <w:lang w:eastAsia="hr-HR"/>
        </w:rPr>
      </w:pPr>
      <w:r w:rsidRPr="00C41483">
        <w:rPr>
          <w:rFonts w:ascii="Times New Roman" w:eastAsia="Times New Roman" w:hAnsi="Times New Roman" w:cs="Times New Roman"/>
          <w:bCs/>
          <w:sz w:val="24"/>
          <w:szCs w:val="24"/>
          <w:lang w:eastAsia="hr-HR"/>
        </w:rPr>
        <w:lastRenderedPageBreak/>
        <w:t>(</w:t>
      </w:r>
      <w:r w:rsidR="000F3ADF" w:rsidRPr="00C41483">
        <w:rPr>
          <w:rFonts w:ascii="Times New Roman" w:eastAsia="Times New Roman" w:hAnsi="Times New Roman" w:cs="Times New Roman"/>
          <w:bCs/>
          <w:sz w:val="24"/>
          <w:szCs w:val="24"/>
          <w:lang w:eastAsia="hr-HR"/>
        </w:rPr>
        <w:t>62</w:t>
      </w:r>
      <w:r w:rsidRPr="00C41483">
        <w:rPr>
          <w:rFonts w:ascii="Times New Roman" w:eastAsia="Times New Roman" w:hAnsi="Times New Roman" w:cs="Times New Roman"/>
          <w:bCs/>
          <w:sz w:val="24"/>
          <w:szCs w:val="24"/>
          <w:lang w:eastAsia="hr-HR"/>
        </w:rPr>
        <w:t xml:space="preserve">) </w:t>
      </w:r>
      <w:r w:rsidR="000C26EB" w:rsidRPr="00C41483">
        <w:rPr>
          <w:rFonts w:ascii="Times New Roman" w:eastAsia="Times New Roman" w:hAnsi="Times New Roman" w:cs="Times New Roman"/>
          <w:bCs/>
          <w:sz w:val="24"/>
          <w:szCs w:val="24"/>
          <w:lang w:eastAsia="hr-HR"/>
        </w:rPr>
        <w:t xml:space="preserve">Povjerenici civilne zaštite i koordinatori </w:t>
      </w:r>
      <w:r w:rsidR="00B4401E" w:rsidRPr="00C41483">
        <w:rPr>
          <w:rFonts w:ascii="Times New Roman" w:eastAsia="Times New Roman" w:hAnsi="Times New Roman" w:cs="Times New Roman"/>
          <w:bCs/>
          <w:sz w:val="24"/>
          <w:szCs w:val="24"/>
          <w:lang w:eastAsia="hr-HR"/>
        </w:rPr>
        <w:t>dio su</w:t>
      </w:r>
      <w:r w:rsidR="000C26EB" w:rsidRPr="00C41483">
        <w:rPr>
          <w:rFonts w:ascii="Times New Roman" w:eastAsia="Times New Roman" w:hAnsi="Times New Roman" w:cs="Times New Roman"/>
          <w:bCs/>
          <w:sz w:val="24"/>
          <w:szCs w:val="24"/>
          <w:lang w:eastAsia="hr-HR"/>
        </w:rPr>
        <w:t xml:space="preserve"> operativni</w:t>
      </w:r>
      <w:r w:rsidR="00B4401E" w:rsidRPr="00C41483">
        <w:rPr>
          <w:rFonts w:ascii="Times New Roman" w:eastAsia="Times New Roman" w:hAnsi="Times New Roman" w:cs="Times New Roman"/>
          <w:bCs/>
          <w:sz w:val="24"/>
          <w:szCs w:val="24"/>
          <w:lang w:eastAsia="hr-HR"/>
        </w:rPr>
        <w:t>h</w:t>
      </w:r>
      <w:r w:rsidR="000C26EB" w:rsidRPr="00C41483">
        <w:rPr>
          <w:rFonts w:ascii="Times New Roman" w:eastAsia="Times New Roman" w:hAnsi="Times New Roman" w:cs="Times New Roman"/>
          <w:bCs/>
          <w:sz w:val="24"/>
          <w:szCs w:val="24"/>
          <w:lang w:eastAsia="hr-HR"/>
        </w:rPr>
        <w:t xml:space="preserve"> snaga sustava civilne zaštite koj</w:t>
      </w:r>
      <w:r w:rsidR="00B4401E" w:rsidRPr="00C41483">
        <w:rPr>
          <w:rFonts w:ascii="Times New Roman" w:eastAsia="Times New Roman" w:hAnsi="Times New Roman" w:cs="Times New Roman"/>
          <w:bCs/>
          <w:sz w:val="24"/>
          <w:szCs w:val="24"/>
          <w:lang w:eastAsia="hr-HR"/>
        </w:rPr>
        <w:t>i</w:t>
      </w:r>
      <w:r w:rsidR="00663EB2" w:rsidRPr="00C41483">
        <w:rPr>
          <w:rFonts w:ascii="Times New Roman" w:eastAsia="Times New Roman" w:hAnsi="Times New Roman" w:cs="Times New Roman"/>
          <w:bCs/>
          <w:sz w:val="24"/>
          <w:szCs w:val="24"/>
          <w:lang w:eastAsia="hr-HR"/>
        </w:rPr>
        <w:t xml:space="preserve"> </w:t>
      </w:r>
      <w:r w:rsidR="000C26EB" w:rsidRPr="00C41483">
        <w:rPr>
          <w:rFonts w:ascii="Times New Roman" w:eastAsia="Times New Roman" w:hAnsi="Times New Roman" w:cs="Times New Roman"/>
          <w:bCs/>
          <w:sz w:val="24"/>
          <w:szCs w:val="24"/>
          <w:lang w:eastAsia="hr-HR"/>
        </w:rPr>
        <w:t xml:space="preserve">organiziraju zaštitu i spašavanje pripadnika </w:t>
      </w:r>
      <w:r w:rsidR="00B4401E" w:rsidRPr="00C41483">
        <w:rPr>
          <w:rFonts w:ascii="Times New Roman" w:eastAsia="Times New Roman" w:hAnsi="Times New Roman" w:cs="Times New Roman"/>
          <w:bCs/>
          <w:sz w:val="24"/>
          <w:szCs w:val="24"/>
          <w:lang w:eastAsia="hr-HR"/>
        </w:rPr>
        <w:t>osoba u riziku.</w:t>
      </w:r>
    </w:p>
    <w:p w14:paraId="29A81ABE" w14:textId="77777777" w:rsidR="000E6B09" w:rsidRPr="00C41483" w:rsidRDefault="000E6B09" w:rsidP="006B5133">
      <w:pPr>
        <w:spacing w:after="0" w:line="240" w:lineRule="auto"/>
        <w:jc w:val="both"/>
        <w:rPr>
          <w:rFonts w:ascii="Times New Roman" w:eastAsia="Times New Roman" w:hAnsi="Times New Roman" w:cs="Times New Roman"/>
          <w:bCs/>
          <w:sz w:val="24"/>
          <w:szCs w:val="24"/>
          <w:lang w:eastAsia="hr-HR"/>
        </w:rPr>
      </w:pPr>
    </w:p>
    <w:p w14:paraId="6BCE8C60" w14:textId="798D90EB" w:rsidR="004C4588" w:rsidRPr="00C41483" w:rsidRDefault="00C9492D" w:rsidP="006B5133">
      <w:pPr>
        <w:spacing w:after="0" w:line="240" w:lineRule="auto"/>
        <w:jc w:val="both"/>
        <w:rPr>
          <w:rFonts w:ascii="Times New Roman" w:eastAsia="Times New Roman" w:hAnsi="Times New Roman" w:cs="Times New Roman"/>
          <w:bCs/>
          <w:sz w:val="24"/>
          <w:szCs w:val="24"/>
          <w:lang w:eastAsia="hr-HR"/>
        </w:rPr>
      </w:pPr>
      <w:r w:rsidRPr="00C41483">
        <w:rPr>
          <w:rFonts w:ascii="Times New Roman" w:eastAsia="Times New Roman" w:hAnsi="Times New Roman" w:cs="Times New Roman"/>
          <w:bCs/>
          <w:sz w:val="24"/>
          <w:szCs w:val="24"/>
          <w:lang w:eastAsia="hr-HR"/>
        </w:rPr>
        <w:t>(</w:t>
      </w:r>
      <w:r w:rsidR="00CD1AA1" w:rsidRPr="00C41483">
        <w:rPr>
          <w:rFonts w:ascii="Times New Roman" w:eastAsia="Times New Roman" w:hAnsi="Times New Roman" w:cs="Times New Roman"/>
          <w:bCs/>
          <w:sz w:val="24"/>
          <w:szCs w:val="24"/>
          <w:lang w:eastAsia="hr-HR"/>
        </w:rPr>
        <w:t>6</w:t>
      </w:r>
      <w:r w:rsidR="000F3ADF" w:rsidRPr="00C41483">
        <w:rPr>
          <w:rFonts w:ascii="Times New Roman" w:eastAsia="Times New Roman" w:hAnsi="Times New Roman" w:cs="Times New Roman"/>
          <w:bCs/>
          <w:sz w:val="24"/>
          <w:szCs w:val="24"/>
          <w:lang w:eastAsia="hr-HR"/>
        </w:rPr>
        <w:t>3</w:t>
      </w:r>
      <w:r w:rsidRPr="00C41483">
        <w:rPr>
          <w:rFonts w:ascii="Times New Roman" w:eastAsia="Times New Roman" w:hAnsi="Times New Roman" w:cs="Times New Roman"/>
          <w:bCs/>
          <w:sz w:val="24"/>
          <w:szCs w:val="24"/>
          <w:lang w:eastAsia="hr-HR"/>
        </w:rPr>
        <w:t xml:space="preserve">) </w:t>
      </w:r>
      <w:r w:rsidR="004C4588" w:rsidRPr="00C41483">
        <w:rPr>
          <w:rFonts w:ascii="Times New Roman" w:eastAsia="Times New Roman" w:hAnsi="Times New Roman" w:cs="Times New Roman"/>
          <w:bCs/>
          <w:sz w:val="24"/>
          <w:szCs w:val="24"/>
          <w:lang w:eastAsia="hr-HR"/>
        </w:rPr>
        <w:t xml:space="preserve">O </w:t>
      </w:r>
      <w:bookmarkStart w:id="49" w:name="_Hlk78457148"/>
      <w:r w:rsidR="004C4588" w:rsidRPr="00C41483">
        <w:rPr>
          <w:rFonts w:ascii="Times New Roman" w:eastAsia="Times New Roman" w:hAnsi="Times New Roman" w:cs="Times New Roman"/>
          <w:bCs/>
          <w:sz w:val="24"/>
          <w:szCs w:val="24"/>
          <w:lang w:eastAsia="hr-HR"/>
        </w:rPr>
        <w:t xml:space="preserve">poduzetim aktivnostima ministarstva nadležnog za socijalnu skrb nakon potresa koji je pogodio </w:t>
      </w:r>
      <w:r w:rsidR="00905964" w:rsidRPr="00C41483">
        <w:rPr>
          <w:rFonts w:ascii="Times New Roman" w:eastAsia="Times New Roman" w:hAnsi="Times New Roman" w:cs="Times New Roman"/>
          <w:bCs/>
          <w:sz w:val="24"/>
          <w:szCs w:val="24"/>
          <w:lang w:eastAsia="hr-HR"/>
        </w:rPr>
        <w:t>RH</w:t>
      </w:r>
      <w:r w:rsidR="004C4588" w:rsidRPr="00C41483">
        <w:rPr>
          <w:rFonts w:ascii="Times New Roman" w:eastAsia="Times New Roman" w:hAnsi="Times New Roman" w:cs="Times New Roman"/>
          <w:bCs/>
          <w:sz w:val="24"/>
          <w:szCs w:val="24"/>
          <w:lang w:eastAsia="hr-HR"/>
        </w:rPr>
        <w:t xml:space="preserve"> 29. prosinca 2020. godine </w:t>
      </w:r>
      <w:bookmarkEnd w:id="49"/>
      <w:r w:rsidR="004C4588" w:rsidRPr="00C41483">
        <w:rPr>
          <w:rFonts w:ascii="Times New Roman" w:eastAsia="Times New Roman" w:hAnsi="Times New Roman" w:cs="Times New Roman"/>
          <w:bCs/>
          <w:sz w:val="24"/>
          <w:szCs w:val="24"/>
          <w:lang w:eastAsia="hr-HR"/>
        </w:rPr>
        <w:t>detaljnije u prilogu</w:t>
      </w:r>
      <w:r w:rsidR="00FC522D" w:rsidRPr="00C41483">
        <w:rPr>
          <w:rFonts w:ascii="Times New Roman" w:eastAsia="Times New Roman" w:hAnsi="Times New Roman" w:cs="Times New Roman"/>
          <w:bCs/>
          <w:sz w:val="24"/>
          <w:szCs w:val="24"/>
          <w:lang w:eastAsia="hr-HR"/>
        </w:rPr>
        <w:t xml:space="preserve"> 18</w:t>
      </w:r>
      <w:r w:rsidR="001A2F17">
        <w:rPr>
          <w:rFonts w:ascii="Times New Roman" w:eastAsia="Times New Roman" w:hAnsi="Times New Roman" w:cs="Times New Roman"/>
          <w:bCs/>
          <w:sz w:val="24"/>
          <w:szCs w:val="24"/>
          <w:lang w:eastAsia="hr-HR"/>
        </w:rPr>
        <w:t>.</w:t>
      </w:r>
    </w:p>
    <w:p w14:paraId="2D6E18F9" w14:textId="77777777" w:rsidR="00852CE4" w:rsidRPr="00C41483" w:rsidRDefault="00852CE4" w:rsidP="006B5133">
      <w:pPr>
        <w:spacing w:after="0" w:line="240" w:lineRule="auto"/>
        <w:jc w:val="both"/>
        <w:rPr>
          <w:rFonts w:ascii="Times New Roman" w:eastAsia="Times New Roman" w:hAnsi="Times New Roman" w:cs="Times New Roman"/>
          <w:bCs/>
          <w:sz w:val="24"/>
          <w:szCs w:val="24"/>
          <w:lang w:eastAsia="hr-HR"/>
        </w:rPr>
      </w:pPr>
    </w:p>
    <w:p w14:paraId="08A6365C" w14:textId="09E77819" w:rsidR="00CD1AA1" w:rsidRPr="00C41483" w:rsidRDefault="00515050" w:rsidP="006B5133">
      <w:pPr>
        <w:spacing w:after="0" w:line="240" w:lineRule="auto"/>
        <w:jc w:val="both"/>
        <w:rPr>
          <w:rFonts w:ascii="Times New Roman" w:eastAsia="Times New Roman" w:hAnsi="Times New Roman" w:cs="Times New Roman"/>
          <w:bCs/>
          <w:i/>
          <w:iCs/>
          <w:sz w:val="24"/>
          <w:szCs w:val="24"/>
          <w:lang w:eastAsia="hr-HR"/>
        </w:rPr>
      </w:pPr>
      <w:bookmarkStart w:id="50" w:name="_Hlk83814209"/>
      <w:r w:rsidRPr="00C41483">
        <w:rPr>
          <w:rFonts w:ascii="Times New Roman" w:eastAsia="Times New Roman" w:hAnsi="Times New Roman" w:cs="Times New Roman"/>
          <w:bCs/>
          <w:i/>
          <w:iCs/>
          <w:sz w:val="24"/>
          <w:szCs w:val="24"/>
          <w:lang w:eastAsia="hr-HR"/>
        </w:rPr>
        <w:t>Pitanje 10</w:t>
      </w:r>
      <w:r w:rsidR="00341760" w:rsidRPr="00C41483">
        <w:rPr>
          <w:rFonts w:ascii="Times New Roman" w:eastAsia="Times New Roman" w:hAnsi="Times New Roman" w:cs="Times New Roman"/>
          <w:bCs/>
          <w:i/>
          <w:iCs/>
          <w:sz w:val="24"/>
          <w:szCs w:val="24"/>
          <w:lang w:eastAsia="hr-HR"/>
        </w:rPr>
        <w:t>b)</w:t>
      </w:r>
      <w:bookmarkEnd w:id="50"/>
    </w:p>
    <w:p w14:paraId="7175143A" w14:textId="77777777" w:rsidR="00CD1AA1" w:rsidRPr="00C41483" w:rsidRDefault="00CD1AA1" w:rsidP="006B5133">
      <w:pPr>
        <w:spacing w:after="0" w:line="240" w:lineRule="auto"/>
        <w:jc w:val="both"/>
        <w:rPr>
          <w:rFonts w:ascii="Times New Roman" w:eastAsia="Times New Roman" w:hAnsi="Times New Roman" w:cs="Times New Roman"/>
          <w:bCs/>
          <w:sz w:val="24"/>
          <w:szCs w:val="24"/>
          <w:lang w:eastAsia="hr-HR"/>
        </w:rPr>
      </w:pPr>
    </w:p>
    <w:p w14:paraId="6D852F47" w14:textId="3E5D3E4C" w:rsidR="00C9492D" w:rsidRPr="00C41483" w:rsidRDefault="00C9492D" w:rsidP="006B5133">
      <w:pPr>
        <w:spacing w:after="0" w:line="240" w:lineRule="auto"/>
        <w:jc w:val="both"/>
        <w:rPr>
          <w:rFonts w:ascii="Times New Roman" w:eastAsia="Times New Roman" w:hAnsi="Times New Roman" w:cs="Times New Roman"/>
          <w:bCs/>
          <w:sz w:val="24"/>
          <w:szCs w:val="24"/>
          <w:lang w:eastAsia="hr-HR"/>
        </w:rPr>
      </w:pPr>
      <w:r w:rsidRPr="00C41483">
        <w:rPr>
          <w:rFonts w:ascii="Times New Roman" w:eastAsia="Times New Roman" w:hAnsi="Times New Roman" w:cs="Times New Roman"/>
          <w:bCs/>
          <w:sz w:val="24"/>
          <w:szCs w:val="24"/>
          <w:lang w:eastAsia="hr-HR"/>
        </w:rPr>
        <w:t>(</w:t>
      </w:r>
      <w:r w:rsidR="00CD1AA1" w:rsidRPr="00C41483">
        <w:rPr>
          <w:rFonts w:ascii="Times New Roman" w:eastAsia="Times New Roman" w:hAnsi="Times New Roman" w:cs="Times New Roman"/>
          <w:bCs/>
          <w:sz w:val="24"/>
          <w:szCs w:val="24"/>
          <w:lang w:eastAsia="hr-HR"/>
        </w:rPr>
        <w:t>6</w:t>
      </w:r>
      <w:r w:rsidR="000F3ADF" w:rsidRPr="00C41483">
        <w:rPr>
          <w:rFonts w:ascii="Times New Roman" w:eastAsia="Times New Roman" w:hAnsi="Times New Roman" w:cs="Times New Roman"/>
          <w:bCs/>
          <w:sz w:val="24"/>
          <w:szCs w:val="24"/>
          <w:lang w:eastAsia="hr-HR"/>
        </w:rPr>
        <w:t>4</w:t>
      </w:r>
      <w:r w:rsidRPr="00C41483">
        <w:rPr>
          <w:rFonts w:ascii="Times New Roman" w:eastAsia="Times New Roman" w:hAnsi="Times New Roman" w:cs="Times New Roman"/>
          <w:bCs/>
          <w:sz w:val="24"/>
          <w:szCs w:val="24"/>
          <w:lang w:eastAsia="hr-HR"/>
        </w:rPr>
        <w:t xml:space="preserve">) Godine </w:t>
      </w:r>
      <w:r w:rsidR="009A09AB" w:rsidRPr="00C41483">
        <w:rPr>
          <w:rFonts w:ascii="Times New Roman" w:eastAsia="Times New Roman" w:hAnsi="Times New Roman" w:cs="Times New Roman"/>
          <w:bCs/>
          <w:sz w:val="24"/>
          <w:szCs w:val="24"/>
          <w:lang w:eastAsia="hr-HR"/>
        </w:rPr>
        <w:t>2016. uve</w:t>
      </w:r>
      <w:r w:rsidR="006125EA" w:rsidRPr="00C41483">
        <w:rPr>
          <w:rFonts w:ascii="Times New Roman" w:eastAsia="Times New Roman" w:hAnsi="Times New Roman" w:cs="Times New Roman"/>
          <w:bCs/>
          <w:sz w:val="24"/>
          <w:szCs w:val="24"/>
          <w:lang w:eastAsia="hr-HR"/>
        </w:rPr>
        <w:t>dena je</w:t>
      </w:r>
      <w:r w:rsidR="009A09AB" w:rsidRPr="00C41483">
        <w:rPr>
          <w:rFonts w:ascii="Times New Roman" w:eastAsia="Times New Roman" w:hAnsi="Times New Roman" w:cs="Times New Roman"/>
          <w:bCs/>
          <w:sz w:val="24"/>
          <w:szCs w:val="24"/>
          <w:lang w:eastAsia="hr-HR"/>
        </w:rPr>
        <w:t xml:space="preserve"> mogućnost slanja SMS poruke direktno na jedinstveni europski broj za hitne slučajeve 112</w:t>
      </w:r>
      <w:r w:rsidR="006125EA" w:rsidRPr="00C41483">
        <w:rPr>
          <w:rFonts w:ascii="Times New Roman" w:eastAsia="Times New Roman" w:hAnsi="Times New Roman" w:cs="Times New Roman"/>
          <w:b/>
          <w:sz w:val="24"/>
          <w:szCs w:val="24"/>
          <w:lang w:eastAsia="hr-HR"/>
        </w:rPr>
        <w:t>,</w:t>
      </w:r>
      <w:r w:rsidR="009A09AB" w:rsidRPr="00C41483">
        <w:rPr>
          <w:rFonts w:ascii="Times New Roman" w:eastAsia="Times New Roman" w:hAnsi="Times New Roman" w:cs="Times New Roman"/>
          <w:b/>
          <w:sz w:val="24"/>
          <w:szCs w:val="24"/>
          <w:lang w:eastAsia="hr-HR"/>
        </w:rPr>
        <w:t xml:space="preserve"> </w:t>
      </w:r>
      <w:r w:rsidR="009A09AB" w:rsidRPr="00C41483">
        <w:rPr>
          <w:rFonts w:ascii="Times New Roman" w:eastAsia="Times New Roman" w:hAnsi="Times New Roman" w:cs="Times New Roman"/>
          <w:bCs/>
          <w:sz w:val="24"/>
          <w:szCs w:val="24"/>
          <w:lang w:eastAsia="hr-HR"/>
        </w:rPr>
        <w:t>ispunjavajući na taj način obveze u provedbi Direktive o univerzalnoj usluzi 2002/22/EC i Direktiv</w:t>
      </w:r>
      <w:r w:rsidR="00CF54DB" w:rsidRPr="00C41483">
        <w:rPr>
          <w:rFonts w:ascii="Times New Roman" w:eastAsia="Times New Roman" w:hAnsi="Times New Roman" w:cs="Times New Roman"/>
          <w:bCs/>
          <w:sz w:val="24"/>
          <w:szCs w:val="24"/>
          <w:lang w:eastAsia="hr-HR"/>
        </w:rPr>
        <w:t>e</w:t>
      </w:r>
      <w:r w:rsidR="009A09AB" w:rsidRPr="00C41483">
        <w:rPr>
          <w:rFonts w:ascii="Times New Roman" w:eastAsia="Times New Roman" w:hAnsi="Times New Roman" w:cs="Times New Roman"/>
          <w:bCs/>
          <w:sz w:val="24"/>
          <w:szCs w:val="24"/>
          <w:lang w:eastAsia="hr-HR"/>
        </w:rPr>
        <w:t xml:space="preserve"> o pravima građana 2009/136/EC.</w:t>
      </w:r>
      <w:r w:rsidR="009A09AB" w:rsidRPr="00C41483">
        <w:rPr>
          <w:rFonts w:ascii="Times New Roman" w:eastAsia="Times New Roman" w:hAnsi="Times New Roman" w:cs="Times New Roman"/>
          <w:b/>
          <w:sz w:val="24"/>
          <w:szCs w:val="24"/>
          <w:lang w:eastAsia="hr-HR"/>
        </w:rPr>
        <w:t xml:space="preserve"> </w:t>
      </w:r>
      <w:r w:rsidR="009A09AB" w:rsidRPr="00C41483">
        <w:rPr>
          <w:rFonts w:ascii="Times New Roman" w:eastAsia="Times New Roman" w:hAnsi="Times New Roman" w:cs="Times New Roman"/>
          <w:bCs/>
          <w:sz w:val="24"/>
          <w:szCs w:val="24"/>
          <w:lang w:eastAsia="hr-HR"/>
        </w:rPr>
        <w:t xml:space="preserve">U </w:t>
      </w:r>
      <w:r w:rsidR="00905964" w:rsidRPr="00C41483">
        <w:rPr>
          <w:rFonts w:ascii="Times New Roman" w:eastAsia="Times New Roman" w:hAnsi="Times New Roman" w:cs="Times New Roman"/>
          <w:bCs/>
          <w:sz w:val="24"/>
          <w:szCs w:val="24"/>
          <w:lang w:eastAsia="hr-HR"/>
        </w:rPr>
        <w:t>RH</w:t>
      </w:r>
      <w:r w:rsidR="009A09AB" w:rsidRPr="00C41483">
        <w:rPr>
          <w:rFonts w:ascii="Times New Roman" w:eastAsia="Times New Roman" w:hAnsi="Times New Roman" w:cs="Times New Roman"/>
          <w:bCs/>
          <w:sz w:val="24"/>
          <w:szCs w:val="24"/>
          <w:lang w:eastAsia="hr-HR"/>
        </w:rPr>
        <w:t xml:space="preserve"> </w:t>
      </w:r>
      <w:r w:rsidR="006125EA" w:rsidRPr="00C41483">
        <w:rPr>
          <w:rFonts w:ascii="Times New Roman" w:eastAsia="Times New Roman" w:hAnsi="Times New Roman" w:cs="Times New Roman"/>
          <w:bCs/>
          <w:sz w:val="24"/>
          <w:szCs w:val="24"/>
          <w:lang w:eastAsia="hr-HR"/>
        </w:rPr>
        <w:t xml:space="preserve">je </w:t>
      </w:r>
      <w:r w:rsidR="009A09AB" w:rsidRPr="00C41483">
        <w:rPr>
          <w:rFonts w:ascii="Times New Roman" w:eastAsia="Times New Roman" w:hAnsi="Times New Roman" w:cs="Times New Roman"/>
          <w:bCs/>
          <w:sz w:val="24"/>
          <w:szCs w:val="24"/>
          <w:lang w:eastAsia="hr-HR"/>
        </w:rPr>
        <w:t xml:space="preserve">dostupna i usluga e-poziva. To je usluga automatskog obavještavanja o prometnoj nesreći na </w:t>
      </w:r>
      <w:r w:rsidR="006125EA" w:rsidRPr="00C41483">
        <w:rPr>
          <w:rFonts w:ascii="Times New Roman" w:eastAsia="Times New Roman" w:hAnsi="Times New Roman" w:cs="Times New Roman"/>
          <w:bCs/>
          <w:sz w:val="24"/>
          <w:szCs w:val="24"/>
          <w:lang w:eastAsia="hr-HR"/>
        </w:rPr>
        <w:t>b</w:t>
      </w:r>
      <w:r w:rsidR="009A09AB" w:rsidRPr="00C41483">
        <w:rPr>
          <w:rFonts w:ascii="Times New Roman" w:eastAsia="Times New Roman" w:hAnsi="Times New Roman" w:cs="Times New Roman"/>
          <w:bCs/>
          <w:sz w:val="24"/>
          <w:szCs w:val="24"/>
          <w:lang w:eastAsia="hr-HR"/>
        </w:rPr>
        <w:t xml:space="preserve">roj 112 od </w:t>
      </w:r>
      <w:r w:rsidR="00BC7AD9" w:rsidRPr="00C41483">
        <w:rPr>
          <w:rFonts w:ascii="Times New Roman" w:eastAsia="Times New Roman" w:hAnsi="Times New Roman" w:cs="Times New Roman"/>
          <w:bCs/>
          <w:sz w:val="24"/>
          <w:szCs w:val="24"/>
          <w:lang w:eastAsia="hr-HR"/>
        </w:rPr>
        <w:t xml:space="preserve">strane </w:t>
      </w:r>
      <w:r w:rsidR="009A09AB" w:rsidRPr="00C41483">
        <w:rPr>
          <w:rFonts w:ascii="Times New Roman" w:eastAsia="Times New Roman" w:hAnsi="Times New Roman" w:cs="Times New Roman"/>
          <w:bCs/>
          <w:sz w:val="24"/>
          <w:szCs w:val="24"/>
          <w:lang w:eastAsia="hr-HR"/>
        </w:rPr>
        <w:t xml:space="preserve">vozila </w:t>
      </w:r>
      <w:r w:rsidR="00BC7AD9" w:rsidRPr="00C41483">
        <w:rPr>
          <w:rFonts w:ascii="Times New Roman" w:eastAsia="Times New Roman" w:hAnsi="Times New Roman" w:cs="Times New Roman"/>
          <w:bCs/>
          <w:sz w:val="24"/>
          <w:szCs w:val="24"/>
          <w:lang w:eastAsia="hr-HR"/>
        </w:rPr>
        <w:t xml:space="preserve">koja </w:t>
      </w:r>
      <w:r w:rsidR="009A09AB" w:rsidRPr="00C41483">
        <w:rPr>
          <w:rFonts w:ascii="Times New Roman" w:eastAsia="Times New Roman" w:hAnsi="Times New Roman" w:cs="Times New Roman"/>
          <w:bCs/>
          <w:sz w:val="24"/>
          <w:szCs w:val="24"/>
          <w:lang w:eastAsia="hr-HR"/>
        </w:rPr>
        <w:t xml:space="preserve">su opremljena s takvim sustavom. U prvoj polovici 2019. uvedena je mogućnost lociranja uređaja korisnika mobitela s kojeg je poslana SMS poruka na broj </w:t>
      </w:r>
      <w:r w:rsidR="006125EA" w:rsidRPr="00C41483">
        <w:rPr>
          <w:rFonts w:ascii="Times New Roman" w:eastAsia="Times New Roman" w:hAnsi="Times New Roman" w:cs="Times New Roman"/>
          <w:bCs/>
          <w:sz w:val="24"/>
          <w:szCs w:val="24"/>
          <w:lang w:eastAsia="hr-HR"/>
        </w:rPr>
        <w:t>112</w:t>
      </w:r>
      <w:r w:rsidR="009A09AB" w:rsidRPr="00C41483">
        <w:rPr>
          <w:rFonts w:ascii="Times New Roman" w:eastAsia="Times New Roman" w:hAnsi="Times New Roman" w:cs="Times New Roman"/>
          <w:bCs/>
          <w:sz w:val="24"/>
          <w:szCs w:val="24"/>
          <w:lang w:eastAsia="hr-HR"/>
        </w:rPr>
        <w:t>, kao i mogućnost SMS chata putem kojeg operater 112 i SMS pošiljatelj mo</w:t>
      </w:r>
      <w:r w:rsidR="00BC7AD9" w:rsidRPr="00C41483">
        <w:rPr>
          <w:rFonts w:ascii="Times New Roman" w:eastAsia="Times New Roman" w:hAnsi="Times New Roman" w:cs="Times New Roman"/>
          <w:bCs/>
          <w:sz w:val="24"/>
          <w:szCs w:val="24"/>
          <w:lang w:eastAsia="hr-HR"/>
        </w:rPr>
        <w:t>gu</w:t>
      </w:r>
      <w:r w:rsidR="009A09AB" w:rsidRPr="00C41483">
        <w:rPr>
          <w:rFonts w:ascii="Times New Roman" w:eastAsia="Times New Roman" w:hAnsi="Times New Roman" w:cs="Times New Roman"/>
          <w:bCs/>
          <w:sz w:val="24"/>
          <w:szCs w:val="24"/>
          <w:lang w:eastAsia="hr-HR"/>
        </w:rPr>
        <w:t xml:space="preserve"> uspostaviti komunikaciju.</w:t>
      </w:r>
    </w:p>
    <w:p w14:paraId="3F998594" w14:textId="77777777" w:rsidR="000E6B09" w:rsidRPr="00C41483" w:rsidRDefault="000E6B09" w:rsidP="006B5133">
      <w:pPr>
        <w:spacing w:after="0" w:line="240" w:lineRule="auto"/>
        <w:jc w:val="both"/>
        <w:rPr>
          <w:rFonts w:ascii="Times New Roman" w:eastAsia="Times New Roman" w:hAnsi="Times New Roman" w:cs="Times New Roman"/>
          <w:bCs/>
          <w:sz w:val="24"/>
          <w:szCs w:val="24"/>
          <w:lang w:eastAsia="hr-HR"/>
        </w:rPr>
      </w:pPr>
    </w:p>
    <w:p w14:paraId="1908C8F5" w14:textId="1A0D3A70" w:rsidR="009A09AB" w:rsidRPr="00C41483" w:rsidRDefault="00C9492D" w:rsidP="006B5133">
      <w:pPr>
        <w:spacing w:after="0" w:line="240" w:lineRule="auto"/>
        <w:jc w:val="both"/>
        <w:rPr>
          <w:rFonts w:ascii="Times New Roman" w:eastAsia="Times New Roman" w:hAnsi="Times New Roman" w:cs="Times New Roman"/>
          <w:bCs/>
          <w:sz w:val="24"/>
          <w:szCs w:val="24"/>
          <w:lang w:eastAsia="hr-HR"/>
        </w:rPr>
      </w:pPr>
      <w:r w:rsidRPr="00C41483">
        <w:rPr>
          <w:rFonts w:ascii="Times New Roman" w:eastAsia="Times New Roman" w:hAnsi="Times New Roman" w:cs="Times New Roman"/>
          <w:bCs/>
          <w:sz w:val="24"/>
          <w:szCs w:val="24"/>
          <w:lang w:eastAsia="hr-HR"/>
        </w:rPr>
        <w:t>(</w:t>
      </w:r>
      <w:r w:rsidR="00CD1AA1" w:rsidRPr="00C41483">
        <w:rPr>
          <w:rFonts w:ascii="Times New Roman" w:eastAsia="Times New Roman" w:hAnsi="Times New Roman" w:cs="Times New Roman"/>
          <w:bCs/>
          <w:sz w:val="24"/>
          <w:szCs w:val="24"/>
          <w:lang w:eastAsia="hr-HR"/>
        </w:rPr>
        <w:t>6</w:t>
      </w:r>
      <w:r w:rsidR="000F3ADF" w:rsidRPr="00C41483">
        <w:rPr>
          <w:rFonts w:ascii="Times New Roman" w:eastAsia="Times New Roman" w:hAnsi="Times New Roman" w:cs="Times New Roman"/>
          <w:bCs/>
          <w:sz w:val="24"/>
          <w:szCs w:val="24"/>
          <w:lang w:eastAsia="hr-HR"/>
        </w:rPr>
        <w:t>5</w:t>
      </w:r>
      <w:r w:rsidRPr="00C41483">
        <w:rPr>
          <w:rFonts w:ascii="Times New Roman" w:eastAsia="Times New Roman" w:hAnsi="Times New Roman" w:cs="Times New Roman"/>
          <w:bCs/>
          <w:sz w:val="24"/>
          <w:szCs w:val="24"/>
          <w:lang w:eastAsia="hr-HR"/>
        </w:rPr>
        <w:t xml:space="preserve">) Godine </w:t>
      </w:r>
      <w:r w:rsidR="00616D30" w:rsidRPr="00C41483">
        <w:rPr>
          <w:rFonts w:ascii="Times New Roman" w:eastAsia="Times New Roman" w:hAnsi="Times New Roman" w:cs="Times New Roman"/>
          <w:bCs/>
          <w:sz w:val="24"/>
          <w:szCs w:val="24"/>
          <w:lang w:eastAsia="hr-HR"/>
        </w:rPr>
        <w:t xml:space="preserve">2020. </w:t>
      </w:r>
      <w:r w:rsidR="009A09AB" w:rsidRPr="00C41483">
        <w:rPr>
          <w:rFonts w:ascii="Times New Roman" w:eastAsia="Times New Roman" w:hAnsi="Times New Roman" w:cs="Times New Roman"/>
          <w:bCs/>
          <w:sz w:val="24"/>
          <w:szCs w:val="24"/>
          <w:lang w:eastAsia="hr-HR"/>
        </w:rPr>
        <w:t xml:space="preserve">Ministarstvo unutarnjih poslova pokrenulo </w:t>
      </w:r>
      <w:r w:rsidRPr="00C41483">
        <w:rPr>
          <w:rFonts w:ascii="Times New Roman" w:eastAsia="Times New Roman" w:hAnsi="Times New Roman" w:cs="Times New Roman"/>
          <w:bCs/>
          <w:sz w:val="24"/>
          <w:szCs w:val="24"/>
          <w:lang w:eastAsia="hr-HR"/>
        </w:rPr>
        <w:t xml:space="preserve">je </w:t>
      </w:r>
      <w:r w:rsidR="009A09AB" w:rsidRPr="00C41483">
        <w:rPr>
          <w:rFonts w:ascii="Times New Roman" w:eastAsia="Times New Roman" w:hAnsi="Times New Roman" w:cs="Times New Roman"/>
          <w:bCs/>
          <w:sz w:val="24"/>
          <w:szCs w:val="24"/>
          <w:lang w:eastAsia="hr-HR"/>
        </w:rPr>
        <w:t>projekt „Sustav ranog upozoravanja i upravljanja krizama“.</w:t>
      </w:r>
      <w:r w:rsidRPr="00C41483">
        <w:rPr>
          <w:rFonts w:ascii="Times New Roman" w:eastAsia="Times New Roman" w:hAnsi="Times New Roman" w:cs="Times New Roman"/>
          <w:bCs/>
          <w:sz w:val="24"/>
          <w:szCs w:val="24"/>
          <w:lang w:eastAsia="hr-HR"/>
        </w:rPr>
        <w:t xml:space="preserve"> </w:t>
      </w:r>
      <w:r w:rsidR="009A09AB" w:rsidRPr="00C41483">
        <w:rPr>
          <w:rFonts w:ascii="Times New Roman" w:eastAsia="Times New Roman" w:hAnsi="Times New Roman" w:cs="Times New Roman"/>
          <w:bCs/>
          <w:sz w:val="24"/>
          <w:szCs w:val="24"/>
          <w:lang w:eastAsia="hr-HR"/>
        </w:rPr>
        <w:t>Cilj projekta je osnaživanje sustava upravljanja katastrofama</w:t>
      </w:r>
      <w:r w:rsidR="00A74BE1" w:rsidRPr="00C41483">
        <w:rPr>
          <w:rFonts w:ascii="Times New Roman" w:eastAsia="Times New Roman" w:hAnsi="Times New Roman" w:cs="Times New Roman"/>
          <w:bCs/>
          <w:sz w:val="24"/>
          <w:szCs w:val="24"/>
          <w:lang w:eastAsia="hr-HR"/>
        </w:rPr>
        <w:t xml:space="preserve"> na način</w:t>
      </w:r>
      <w:r w:rsidR="009A09AB" w:rsidRPr="00C41483">
        <w:rPr>
          <w:rFonts w:ascii="Times New Roman" w:eastAsia="Times New Roman" w:hAnsi="Times New Roman" w:cs="Times New Roman"/>
          <w:bCs/>
          <w:sz w:val="24"/>
          <w:szCs w:val="24"/>
          <w:lang w:eastAsia="hr-HR"/>
        </w:rPr>
        <w:t xml:space="preserve"> da korisnici mobilnih uređaja u </w:t>
      </w:r>
      <w:r w:rsidR="00A74BE1" w:rsidRPr="00C41483">
        <w:rPr>
          <w:rFonts w:ascii="Times New Roman" w:eastAsia="Times New Roman" w:hAnsi="Times New Roman" w:cs="Times New Roman"/>
          <w:bCs/>
          <w:sz w:val="24"/>
          <w:szCs w:val="24"/>
          <w:lang w:eastAsia="hr-HR"/>
        </w:rPr>
        <w:t>u</w:t>
      </w:r>
      <w:r w:rsidR="009A09AB" w:rsidRPr="00C41483">
        <w:rPr>
          <w:rFonts w:ascii="Times New Roman" w:eastAsia="Times New Roman" w:hAnsi="Times New Roman" w:cs="Times New Roman"/>
          <w:bCs/>
          <w:sz w:val="24"/>
          <w:szCs w:val="24"/>
          <w:lang w:eastAsia="hr-HR"/>
        </w:rPr>
        <w:t>groženom području (uzrokovan</w:t>
      </w:r>
      <w:r w:rsidR="00A74BE1" w:rsidRPr="00C41483">
        <w:rPr>
          <w:rFonts w:ascii="Times New Roman" w:eastAsia="Times New Roman" w:hAnsi="Times New Roman" w:cs="Times New Roman"/>
          <w:bCs/>
          <w:sz w:val="24"/>
          <w:szCs w:val="24"/>
          <w:lang w:eastAsia="hr-HR"/>
        </w:rPr>
        <w:t>o</w:t>
      </w:r>
      <w:r w:rsidR="009A09AB" w:rsidRPr="00C41483">
        <w:rPr>
          <w:rFonts w:ascii="Times New Roman" w:eastAsia="Times New Roman" w:hAnsi="Times New Roman" w:cs="Times New Roman"/>
          <w:bCs/>
          <w:sz w:val="24"/>
          <w:szCs w:val="24"/>
          <w:lang w:eastAsia="hr-HR"/>
        </w:rPr>
        <w:t xml:space="preserve"> potresima, poplavama, požarima itd.) dobiju SMS poruku o opasnostima koje im prijete i preporukama za djelovanje</w:t>
      </w:r>
      <w:r w:rsidR="00A74BE1" w:rsidRPr="00C41483">
        <w:rPr>
          <w:rFonts w:ascii="Times New Roman" w:eastAsia="Times New Roman" w:hAnsi="Times New Roman" w:cs="Times New Roman"/>
          <w:bCs/>
          <w:sz w:val="24"/>
          <w:szCs w:val="24"/>
          <w:lang w:eastAsia="hr-HR"/>
        </w:rPr>
        <w:t>. P</w:t>
      </w:r>
      <w:r w:rsidR="009A09AB" w:rsidRPr="00C41483">
        <w:rPr>
          <w:rFonts w:ascii="Times New Roman" w:eastAsia="Times New Roman" w:hAnsi="Times New Roman" w:cs="Times New Roman"/>
          <w:bCs/>
          <w:sz w:val="24"/>
          <w:szCs w:val="24"/>
          <w:lang w:eastAsia="hr-HR"/>
        </w:rPr>
        <w:t xml:space="preserve">rojekt </w:t>
      </w:r>
      <w:r w:rsidR="00A74BE1" w:rsidRPr="00C41483">
        <w:rPr>
          <w:rFonts w:ascii="Times New Roman" w:eastAsia="Times New Roman" w:hAnsi="Times New Roman" w:cs="Times New Roman"/>
          <w:bCs/>
          <w:sz w:val="24"/>
          <w:szCs w:val="24"/>
          <w:lang w:eastAsia="hr-HR"/>
        </w:rPr>
        <w:t xml:space="preserve">će osigurati </w:t>
      </w:r>
      <w:r w:rsidR="009A09AB" w:rsidRPr="00C41483">
        <w:rPr>
          <w:rFonts w:ascii="Times New Roman" w:eastAsia="Times New Roman" w:hAnsi="Times New Roman" w:cs="Times New Roman"/>
          <w:bCs/>
          <w:sz w:val="24"/>
          <w:szCs w:val="24"/>
          <w:lang w:eastAsia="hr-HR"/>
        </w:rPr>
        <w:t xml:space="preserve">osobama s invaliditetom </w:t>
      </w:r>
      <w:r w:rsidR="00A74BE1" w:rsidRPr="00C41483">
        <w:rPr>
          <w:rFonts w:ascii="Times New Roman" w:eastAsia="Times New Roman" w:hAnsi="Times New Roman" w:cs="Times New Roman"/>
          <w:bCs/>
          <w:sz w:val="24"/>
          <w:szCs w:val="24"/>
          <w:lang w:eastAsia="hr-HR"/>
        </w:rPr>
        <w:t>m</w:t>
      </w:r>
      <w:r w:rsidR="009A09AB" w:rsidRPr="00C41483">
        <w:rPr>
          <w:rFonts w:ascii="Times New Roman" w:eastAsia="Times New Roman" w:hAnsi="Times New Roman" w:cs="Times New Roman"/>
          <w:bCs/>
          <w:sz w:val="24"/>
          <w:szCs w:val="24"/>
          <w:lang w:eastAsia="hr-HR"/>
        </w:rPr>
        <w:t>ogućnost p</w:t>
      </w:r>
      <w:r w:rsidR="00A74BE1" w:rsidRPr="00C41483">
        <w:rPr>
          <w:rFonts w:ascii="Times New Roman" w:eastAsia="Times New Roman" w:hAnsi="Times New Roman" w:cs="Times New Roman"/>
          <w:bCs/>
          <w:sz w:val="24"/>
          <w:szCs w:val="24"/>
          <w:lang w:eastAsia="hr-HR"/>
        </w:rPr>
        <w:t xml:space="preserve">ravovremenog </w:t>
      </w:r>
      <w:r w:rsidR="009A09AB" w:rsidRPr="00C41483">
        <w:rPr>
          <w:rFonts w:ascii="Times New Roman" w:eastAsia="Times New Roman" w:hAnsi="Times New Roman" w:cs="Times New Roman"/>
          <w:bCs/>
          <w:sz w:val="24"/>
          <w:szCs w:val="24"/>
          <w:lang w:eastAsia="hr-HR"/>
        </w:rPr>
        <w:t>odgovor</w:t>
      </w:r>
      <w:r w:rsidR="00A74BE1" w:rsidRPr="00C41483">
        <w:rPr>
          <w:rFonts w:ascii="Times New Roman" w:eastAsia="Times New Roman" w:hAnsi="Times New Roman" w:cs="Times New Roman"/>
          <w:bCs/>
          <w:sz w:val="24"/>
          <w:szCs w:val="24"/>
          <w:lang w:eastAsia="hr-HR"/>
        </w:rPr>
        <w:t>a</w:t>
      </w:r>
      <w:r w:rsidR="009A09AB" w:rsidRPr="00C41483">
        <w:rPr>
          <w:rFonts w:ascii="Times New Roman" w:eastAsia="Times New Roman" w:hAnsi="Times New Roman" w:cs="Times New Roman"/>
          <w:bCs/>
          <w:sz w:val="24"/>
          <w:szCs w:val="24"/>
          <w:lang w:eastAsia="hr-HR"/>
        </w:rPr>
        <w:t xml:space="preserve"> na krizn</w:t>
      </w:r>
      <w:r w:rsidR="00A74BE1" w:rsidRPr="00C41483">
        <w:rPr>
          <w:rFonts w:ascii="Times New Roman" w:eastAsia="Times New Roman" w:hAnsi="Times New Roman" w:cs="Times New Roman"/>
          <w:bCs/>
          <w:sz w:val="24"/>
          <w:szCs w:val="24"/>
          <w:lang w:eastAsia="hr-HR"/>
        </w:rPr>
        <w:t>u</w:t>
      </w:r>
      <w:r w:rsidR="009A09AB" w:rsidRPr="00C41483">
        <w:rPr>
          <w:rFonts w:ascii="Times New Roman" w:eastAsia="Times New Roman" w:hAnsi="Times New Roman" w:cs="Times New Roman"/>
          <w:bCs/>
          <w:sz w:val="24"/>
          <w:szCs w:val="24"/>
          <w:lang w:eastAsia="hr-HR"/>
        </w:rPr>
        <w:t xml:space="preserve"> situacij</w:t>
      </w:r>
      <w:r w:rsidR="00A74BE1" w:rsidRPr="00C41483">
        <w:rPr>
          <w:rFonts w:ascii="Times New Roman" w:eastAsia="Times New Roman" w:hAnsi="Times New Roman" w:cs="Times New Roman"/>
          <w:bCs/>
          <w:sz w:val="24"/>
          <w:szCs w:val="24"/>
          <w:lang w:eastAsia="hr-HR"/>
        </w:rPr>
        <w:t>u</w:t>
      </w:r>
      <w:r w:rsidR="009A09AB" w:rsidRPr="00C41483">
        <w:rPr>
          <w:rFonts w:ascii="Times New Roman" w:eastAsia="Times New Roman" w:hAnsi="Times New Roman" w:cs="Times New Roman"/>
          <w:bCs/>
          <w:sz w:val="24"/>
          <w:szCs w:val="24"/>
          <w:lang w:eastAsia="hr-HR"/>
        </w:rPr>
        <w:t>.</w:t>
      </w:r>
    </w:p>
    <w:p w14:paraId="4F410024" w14:textId="77777777" w:rsidR="009A09AB" w:rsidRPr="00C41483" w:rsidRDefault="009A09AB" w:rsidP="006B5133">
      <w:pPr>
        <w:spacing w:after="0" w:line="240" w:lineRule="auto"/>
        <w:jc w:val="both"/>
        <w:rPr>
          <w:rFonts w:ascii="Times New Roman" w:eastAsia="Times New Roman" w:hAnsi="Times New Roman" w:cs="Times New Roman"/>
          <w:bCs/>
          <w:i/>
          <w:iCs/>
          <w:sz w:val="24"/>
          <w:szCs w:val="24"/>
          <w:lang w:eastAsia="hr-HR"/>
        </w:rPr>
      </w:pPr>
    </w:p>
    <w:p w14:paraId="22ED08E7" w14:textId="0C15AE9B" w:rsidR="00341760" w:rsidRPr="00C41483" w:rsidRDefault="00515050" w:rsidP="006B5133">
      <w:pPr>
        <w:spacing w:after="0" w:line="240" w:lineRule="auto"/>
        <w:jc w:val="both"/>
        <w:rPr>
          <w:rFonts w:ascii="Times New Roman" w:eastAsia="Times New Roman" w:hAnsi="Times New Roman" w:cs="Times New Roman"/>
          <w:bCs/>
          <w:i/>
          <w:iCs/>
          <w:sz w:val="24"/>
          <w:szCs w:val="24"/>
          <w:lang w:eastAsia="hr-HR"/>
        </w:rPr>
      </w:pPr>
      <w:bookmarkStart w:id="51" w:name="_Hlk83814217"/>
      <w:r w:rsidRPr="00C41483">
        <w:rPr>
          <w:rFonts w:ascii="Times New Roman" w:eastAsia="Times New Roman" w:hAnsi="Times New Roman" w:cs="Times New Roman"/>
          <w:bCs/>
          <w:i/>
          <w:iCs/>
          <w:sz w:val="24"/>
          <w:szCs w:val="24"/>
          <w:lang w:eastAsia="hr-HR"/>
        </w:rPr>
        <w:t>Pitanje 10</w:t>
      </w:r>
      <w:r w:rsidR="00341760" w:rsidRPr="00C41483">
        <w:rPr>
          <w:rFonts w:ascii="Times New Roman" w:eastAsia="Times New Roman" w:hAnsi="Times New Roman" w:cs="Times New Roman"/>
          <w:bCs/>
          <w:i/>
          <w:iCs/>
          <w:sz w:val="24"/>
          <w:szCs w:val="24"/>
          <w:lang w:eastAsia="hr-HR"/>
        </w:rPr>
        <w:t>c)</w:t>
      </w:r>
      <w:bookmarkEnd w:id="51"/>
    </w:p>
    <w:p w14:paraId="1F118B3E" w14:textId="77777777" w:rsidR="003E441B" w:rsidRPr="00C41483" w:rsidRDefault="003E441B" w:rsidP="006B5133">
      <w:pPr>
        <w:spacing w:after="0" w:line="240" w:lineRule="auto"/>
        <w:jc w:val="both"/>
        <w:rPr>
          <w:rFonts w:ascii="Times New Roman" w:eastAsia="Times New Roman" w:hAnsi="Times New Roman" w:cs="Times New Roman"/>
          <w:bCs/>
          <w:i/>
          <w:iCs/>
          <w:sz w:val="24"/>
          <w:szCs w:val="24"/>
          <w:lang w:eastAsia="hr-HR"/>
        </w:rPr>
      </w:pPr>
    </w:p>
    <w:p w14:paraId="35105836" w14:textId="54D5A260" w:rsidR="009A09AB" w:rsidRPr="00C41483" w:rsidRDefault="00C9492D" w:rsidP="006B5133">
      <w:pPr>
        <w:spacing w:after="0" w:line="240" w:lineRule="auto"/>
        <w:jc w:val="both"/>
        <w:rPr>
          <w:rFonts w:ascii="Times New Roman" w:eastAsia="Times New Roman" w:hAnsi="Times New Roman" w:cs="Times New Roman"/>
          <w:bCs/>
          <w:sz w:val="24"/>
          <w:szCs w:val="24"/>
          <w:lang w:eastAsia="hr-HR"/>
        </w:rPr>
      </w:pPr>
      <w:r w:rsidRPr="00C41483">
        <w:rPr>
          <w:rFonts w:ascii="Times New Roman" w:eastAsia="Times New Roman" w:hAnsi="Times New Roman" w:cs="Times New Roman"/>
          <w:bCs/>
          <w:sz w:val="24"/>
          <w:szCs w:val="24"/>
          <w:lang w:eastAsia="hr-HR"/>
        </w:rPr>
        <w:t>(</w:t>
      </w:r>
      <w:r w:rsidR="00CD1AA1" w:rsidRPr="00C41483">
        <w:rPr>
          <w:rFonts w:ascii="Times New Roman" w:eastAsia="Times New Roman" w:hAnsi="Times New Roman" w:cs="Times New Roman"/>
          <w:bCs/>
          <w:sz w:val="24"/>
          <w:szCs w:val="24"/>
          <w:lang w:eastAsia="hr-HR"/>
        </w:rPr>
        <w:t>6</w:t>
      </w:r>
      <w:r w:rsidR="000F3ADF" w:rsidRPr="00C41483">
        <w:rPr>
          <w:rFonts w:ascii="Times New Roman" w:eastAsia="Times New Roman" w:hAnsi="Times New Roman" w:cs="Times New Roman"/>
          <w:bCs/>
          <w:sz w:val="24"/>
          <w:szCs w:val="24"/>
          <w:lang w:eastAsia="hr-HR"/>
        </w:rPr>
        <w:t>6</w:t>
      </w:r>
      <w:r w:rsidRPr="00C41483">
        <w:rPr>
          <w:rFonts w:ascii="Times New Roman" w:eastAsia="Times New Roman" w:hAnsi="Times New Roman" w:cs="Times New Roman"/>
          <w:bCs/>
          <w:sz w:val="24"/>
          <w:szCs w:val="24"/>
          <w:lang w:eastAsia="hr-HR"/>
        </w:rPr>
        <w:t xml:space="preserve">) </w:t>
      </w:r>
      <w:r w:rsidR="009A09AB" w:rsidRPr="00C41483">
        <w:rPr>
          <w:rFonts w:ascii="Times New Roman" w:eastAsia="Times New Roman" w:hAnsi="Times New Roman" w:cs="Times New Roman"/>
          <w:bCs/>
          <w:sz w:val="24"/>
          <w:szCs w:val="24"/>
          <w:lang w:eastAsia="hr-HR"/>
        </w:rPr>
        <w:t>Svake godine usvaja se Godišnji plan vježbi civilne zaštite</w:t>
      </w:r>
      <w:r w:rsidR="008B5E87" w:rsidRPr="00C41483">
        <w:rPr>
          <w:rFonts w:ascii="Times New Roman" w:eastAsia="Times New Roman" w:hAnsi="Times New Roman" w:cs="Times New Roman"/>
          <w:bCs/>
          <w:sz w:val="24"/>
          <w:szCs w:val="24"/>
          <w:lang w:eastAsia="hr-HR"/>
        </w:rPr>
        <w:t xml:space="preserve">. Vježbe </w:t>
      </w:r>
      <w:r w:rsidR="009A09AB" w:rsidRPr="00C41483">
        <w:rPr>
          <w:rFonts w:ascii="Times New Roman" w:eastAsia="Times New Roman" w:hAnsi="Times New Roman" w:cs="Times New Roman"/>
          <w:bCs/>
          <w:sz w:val="24"/>
          <w:szCs w:val="24"/>
          <w:lang w:eastAsia="hr-HR"/>
        </w:rPr>
        <w:t>su koncipirane na način da se obučavaju operativne snage sustava civilne zaštite kao i svi zaposlenici, rukovodeće osoblje i korisnici uključenih pravnih osoba i institucija.</w:t>
      </w:r>
      <w:r w:rsidR="00A406BA" w:rsidRPr="00C41483">
        <w:rPr>
          <w:rFonts w:ascii="Times New Roman" w:eastAsia="Times New Roman" w:hAnsi="Times New Roman" w:cs="Times New Roman"/>
          <w:bCs/>
          <w:sz w:val="24"/>
          <w:szCs w:val="24"/>
          <w:lang w:eastAsia="hr-HR"/>
        </w:rPr>
        <w:t xml:space="preserve"> </w:t>
      </w:r>
      <w:r w:rsidR="009A09AB" w:rsidRPr="00C41483">
        <w:rPr>
          <w:rFonts w:ascii="Times New Roman" w:eastAsia="Times New Roman" w:hAnsi="Times New Roman" w:cs="Times New Roman"/>
          <w:bCs/>
          <w:sz w:val="24"/>
          <w:szCs w:val="24"/>
          <w:lang w:eastAsia="hr-HR"/>
        </w:rPr>
        <w:t>Operativne snage sustava civilne zaštite i hitne službe tijekom planiranja, provedbe i analize vježbi također uključuju osobe s invaliditetom</w:t>
      </w:r>
      <w:r w:rsidR="00A406BA" w:rsidRPr="00C41483">
        <w:rPr>
          <w:rFonts w:ascii="Times New Roman" w:eastAsia="Times New Roman" w:hAnsi="Times New Roman" w:cs="Times New Roman"/>
          <w:bCs/>
          <w:sz w:val="24"/>
          <w:szCs w:val="24"/>
          <w:lang w:eastAsia="hr-HR"/>
        </w:rPr>
        <w:t>. U</w:t>
      </w:r>
      <w:r w:rsidR="009A09AB" w:rsidRPr="00C41483">
        <w:rPr>
          <w:rFonts w:ascii="Times New Roman" w:eastAsia="Times New Roman" w:hAnsi="Times New Roman" w:cs="Times New Roman"/>
          <w:bCs/>
          <w:sz w:val="24"/>
          <w:szCs w:val="24"/>
          <w:lang w:eastAsia="hr-HR"/>
        </w:rPr>
        <w:t xml:space="preserve"> srpnju 2020. godine poslane su preporuke pripadnicima operativnih snaga civilne zaštite o</w:t>
      </w:r>
      <w:r w:rsidR="00A406BA" w:rsidRPr="00C41483">
        <w:rPr>
          <w:rFonts w:ascii="Times New Roman" w:eastAsia="Times New Roman" w:hAnsi="Times New Roman" w:cs="Times New Roman"/>
          <w:bCs/>
          <w:sz w:val="24"/>
          <w:szCs w:val="24"/>
          <w:lang w:eastAsia="hr-HR"/>
        </w:rPr>
        <w:t xml:space="preserve"> potrebi</w:t>
      </w:r>
      <w:r w:rsidR="009A09AB" w:rsidRPr="00C41483">
        <w:rPr>
          <w:rFonts w:ascii="Times New Roman" w:eastAsia="Times New Roman" w:hAnsi="Times New Roman" w:cs="Times New Roman"/>
          <w:bCs/>
          <w:sz w:val="24"/>
          <w:szCs w:val="24"/>
          <w:lang w:eastAsia="hr-HR"/>
        </w:rPr>
        <w:t xml:space="preserve"> suradnj</w:t>
      </w:r>
      <w:r w:rsidR="00A406BA" w:rsidRPr="00C41483">
        <w:rPr>
          <w:rFonts w:ascii="Times New Roman" w:eastAsia="Times New Roman" w:hAnsi="Times New Roman" w:cs="Times New Roman"/>
          <w:bCs/>
          <w:sz w:val="24"/>
          <w:szCs w:val="24"/>
          <w:lang w:eastAsia="hr-HR"/>
        </w:rPr>
        <w:t>e</w:t>
      </w:r>
      <w:r w:rsidR="009A09AB" w:rsidRPr="00C41483">
        <w:rPr>
          <w:rFonts w:ascii="Times New Roman" w:eastAsia="Times New Roman" w:hAnsi="Times New Roman" w:cs="Times New Roman"/>
          <w:bCs/>
          <w:sz w:val="24"/>
          <w:szCs w:val="24"/>
          <w:lang w:eastAsia="hr-HR"/>
        </w:rPr>
        <w:t xml:space="preserve"> s organizacijama osoba s invaliditetom </w:t>
      </w:r>
      <w:r w:rsidR="00A406BA" w:rsidRPr="00C41483">
        <w:rPr>
          <w:rFonts w:ascii="Times New Roman" w:eastAsia="Times New Roman" w:hAnsi="Times New Roman" w:cs="Times New Roman"/>
          <w:bCs/>
          <w:sz w:val="24"/>
          <w:szCs w:val="24"/>
          <w:lang w:eastAsia="hr-HR"/>
        </w:rPr>
        <w:t>pr</w:t>
      </w:r>
      <w:r w:rsidR="009A09AB" w:rsidRPr="00C41483">
        <w:rPr>
          <w:rFonts w:ascii="Times New Roman" w:eastAsia="Times New Roman" w:hAnsi="Times New Roman" w:cs="Times New Roman"/>
          <w:bCs/>
          <w:sz w:val="24"/>
          <w:szCs w:val="24"/>
          <w:lang w:eastAsia="hr-HR"/>
        </w:rPr>
        <w:t>i oblik</w:t>
      </w:r>
      <w:r w:rsidR="00A406BA" w:rsidRPr="00C41483">
        <w:rPr>
          <w:rFonts w:ascii="Times New Roman" w:eastAsia="Times New Roman" w:hAnsi="Times New Roman" w:cs="Times New Roman"/>
          <w:bCs/>
          <w:sz w:val="24"/>
          <w:szCs w:val="24"/>
          <w:lang w:eastAsia="hr-HR"/>
        </w:rPr>
        <w:t>ovanju</w:t>
      </w:r>
      <w:r w:rsidR="009A09AB" w:rsidRPr="00C41483">
        <w:rPr>
          <w:rFonts w:ascii="Times New Roman" w:eastAsia="Times New Roman" w:hAnsi="Times New Roman" w:cs="Times New Roman"/>
          <w:bCs/>
          <w:sz w:val="24"/>
          <w:szCs w:val="24"/>
          <w:lang w:eastAsia="hr-HR"/>
        </w:rPr>
        <w:t xml:space="preserve"> i proved</w:t>
      </w:r>
      <w:r w:rsidR="00A406BA" w:rsidRPr="00C41483">
        <w:rPr>
          <w:rFonts w:ascii="Times New Roman" w:eastAsia="Times New Roman" w:hAnsi="Times New Roman" w:cs="Times New Roman"/>
          <w:bCs/>
          <w:sz w:val="24"/>
          <w:szCs w:val="24"/>
          <w:lang w:eastAsia="hr-HR"/>
        </w:rPr>
        <w:t>i</w:t>
      </w:r>
      <w:r w:rsidR="009A09AB" w:rsidRPr="00C41483">
        <w:rPr>
          <w:rFonts w:ascii="Times New Roman" w:eastAsia="Times New Roman" w:hAnsi="Times New Roman" w:cs="Times New Roman"/>
          <w:bCs/>
          <w:sz w:val="24"/>
          <w:szCs w:val="24"/>
          <w:lang w:eastAsia="hr-HR"/>
        </w:rPr>
        <w:t xml:space="preserve"> edukacije </w:t>
      </w:r>
      <w:r w:rsidR="00A406BA" w:rsidRPr="00C41483">
        <w:rPr>
          <w:rFonts w:ascii="Times New Roman" w:eastAsia="Times New Roman" w:hAnsi="Times New Roman" w:cs="Times New Roman"/>
          <w:bCs/>
          <w:sz w:val="24"/>
          <w:szCs w:val="24"/>
          <w:lang w:eastAsia="hr-HR"/>
        </w:rPr>
        <w:t xml:space="preserve">svojih zaposlenika </w:t>
      </w:r>
      <w:r w:rsidR="009A09AB" w:rsidRPr="00C41483">
        <w:rPr>
          <w:rFonts w:ascii="Times New Roman" w:eastAsia="Times New Roman" w:hAnsi="Times New Roman" w:cs="Times New Roman"/>
          <w:bCs/>
          <w:sz w:val="24"/>
          <w:szCs w:val="24"/>
          <w:lang w:eastAsia="hr-HR"/>
        </w:rPr>
        <w:t>o tretmanu osoba s invaliditetom.</w:t>
      </w:r>
      <w:r w:rsidR="00A406BA" w:rsidRPr="00C41483">
        <w:rPr>
          <w:rFonts w:ascii="Times New Roman" w:eastAsia="Times New Roman" w:hAnsi="Times New Roman" w:cs="Times New Roman"/>
          <w:bCs/>
          <w:sz w:val="24"/>
          <w:szCs w:val="24"/>
          <w:lang w:eastAsia="hr-HR"/>
        </w:rPr>
        <w:t xml:space="preserve"> </w:t>
      </w:r>
    </w:p>
    <w:p w14:paraId="6689EF97" w14:textId="77777777" w:rsidR="009A09AB" w:rsidRPr="00C41483" w:rsidRDefault="009A09AB" w:rsidP="006B5133">
      <w:pPr>
        <w:spacing w:after="0" w:line="240" w:lineRule="auto"/>
        <w:jc w:val="both"/>
        <w:rPr>
          <w:rFonts w:ascii="Times New Roman" w:eastAsia="Times New Roman" w:hAnsi="Times New Roman" w:cs="Times New Roman"/>
          <w:bCs/>
          <w:i/>
          <w:iCs/>
          <w:sz w:val="24"/>
          <w:szCs w:val="24"/>
          <w:lang w:eastAsia="hr-HR"/>
        </w:rPr>
      </w:pPr>
    </w:p>
    <w:p w14:paraId="138EE25C" w14:textId="31B75A91" w:rsidR="00341760" w:rsidRPr="00C41483" w:rsidRDefault="00515050" w:rsidP="006B5133">
      <w:pPr>
        <w:spacing w:after="0" w:line="240" w:lineRule="auto"/>
        <w:jc w:val="both"/>
        <w:rPr>
          <w:rFonts w:ascii="Times New Roman" w:eastAsia="Times New Roman" w:hAnsi="Times New Roman" w:cs="Times New Roman"/>
          <w:bCs/>
          <w:i/>
          <w:iCs/>
          <w:sz w:val="24"/>
          <w:szCs w:val="24"/>
          <w:lang w:eastAsia="hr-HR"/>
        </w:rPr>
      </w:pPr>
      <w:bookmarkStart w:id="52" w:name="_Hlk83814225"/>
      <w:r w:rsidRPr="00C41483">
        <w:rPr>
          <w:rFonts w:ascii="Times New Roman" w:eastAsia="Times New Roman" w:hAnsi="Times New Roman" w:cs="Times New Roman"/>
          <w:bCs/>
          <w:i/>
          <w:iCs/>
          <w:sz w:val="24"/>
          <w:szCs w:val="24"/>
          <w:lang w:eastAsia="hr-HR"/>
        </w:rPr>
        <w:t xml:space="preserve">Pitanje </w:t>
      </w:r>
      <w:r w:rsidR="00341760" w:rsidRPr="00C41483">
        <w:rPr>
          <w:rFonts w:ascii="Times New Roman" w:eastAsia="Times New Roman" w:hAnsi="Times New Roman" w:cs="Times New Roman"/>
          <w:bCs/>
          <w:i/>
          <w:iCs/>
          <w:sz w:val="24"/>
          <w:szCs w:val="24"/>
          <w:lang w:eastAsia="hr-HR"/>
        </w:rPr>
        <w:t>11</w:t>
      </w:r>
    </w:p>
    <w:bookmarkEnd w:id="52"/>
    <w:p w14:paraId="41157F75" w14:textId="3F6B9340" w:rsidR="003E441B" w:rsidRPr="00C41483" w:rsidRDefault="003E441B" w:rsidP="006B5133">
      <w:pPr>
        <w:spacing w:after="0" w:line="240" w:lineRule="auto"/>
        <w:jc w:val="both"/>
        <w:rPr>
          <w:rFonts w:ascii="Times New Roman" w:eastAsia="Times New Roman" w:hAnsi="Times New Roman" w:cs="Times New Roman"/>
          <w:bCs/>
          <w:sz w:val="24"/>
          <w:szCs w:val="24"/>
          <w:lang w:eastAsia="hr-HR"/>
        </w:rPr>
      </w:pPr>
    </w:p>
    <w:p w14:paraId="3632CB59" w14:textId="22D0EB9C" w:rsidR="00383A62" w:rsidRPr="00C41483" w:rsidRDefault="00C9492D" w:rsidP="00383A62">
      <w:pPr>
        <w:spacing w:after="0" w:line="240" w:lineRule="auto"/>
        <w:jc w:val="both"/>
        <w:rPr>
          <w:rFonts w:ascii="Times New Roman" w:hAnsi="Times New Roman"/>
          <w:color w:val="000000"/>
          <w:sz w:val="24"/>
          <w:szCs w:val="24"/>
          <w:lang w:val="fr-FR"/>
        </w:rPr>
      </w:pPr>
      <w:r w:rsidRPr="00C41483">
        <w:rPr>
          <w:rFonts w:ascii="Times New Roman" w:hAnsi="Times New Roman"/>
          <w:color w:val="000000"/>
          <w:sz w:val="24"/>
          <w:szCs w:val="24"/>
          <w:lang w:val="fr-FR"/>
        </w:rPr>
        <w:t>(6</w:t>
      </w:r>
      <w:r w:rsidR="000F3ADF" w:rsidRPr="00C41483">
        <w:rPr>
          <w:rFonts w:ascii="Times New Roman" w:hAnsi="Times New Roman"/>
          <w:color w:val="000000"/>
          <w:sz w:val="24"/>
          <w:szCs w:val="24"/>
          <w:lang w:val="fr-FR"/>
        </w:rPr>
        <w:t>7</w:t>
      </w:r>
      <w:r w:rsidRPr="00C41483">
        <w:rPr>
          <w:rFonts w:ascii="Times New Roman" w:hAnsi="Times New Roman"/>
          <w:color w:val="000000"/>
          <w:sz w:val="24"/>
          <w:szCs w:val="24"/>
          <w:lang w:val="fr-FR"/>
        </w:rPr>
        <w:t xml:space="preserve">) </w:t>
      </w:r>
      <w:bookmarkStart w:id="53" w:name="_Hlk83194275"/>
      <w:r w:rsidR="00063C6C" w:rsidRPr="00C41483">
        <w:rPr>
          <w:rFonts w:ascii="Times New Roman" w:hAnsi="Times New Roman"/>
          <w:color w:val="000000"/>
          <w:sz w:val="24"/>
          <w:szCs w:val="24"/>
          <w:lang w:val="fr-FR"/>
        </w:rPr>
        <w:t xml:space="preserve">U cilju zaštite starijih osoba i osoba </w:t>
      </w:r>
      <w:r w:rsidR="00A63E0E" w:rsidRPr="00C41483">
        <w:rPr>
          <w:rFonts w:ascii="Times New Roman" w:hAnsi="Times New Roman"/>
          <w:color w:val="000000"/>
          <w:sz w:val="24"/>
          <w:szCs w:val="24"/>
          <w:lang w:val="fr-FR"/>
        </w:rPr>
        <w:t>s invaliditetom,</w:t>
      </w:r>
      <w:r w:rsidR="00063C6C" w:rsidRPr="00C41483">
        <w:rPr>
          <w:rFonts w:ascii="Times New Roman" w:hAnsi="Times New Roman"/>
          <w:color w:val="000000"/>
          <w:sz w:val="24"/>
          <w:szCs w:val="24"/>
          <w:lang w:val="fr-FR"/>
        </w:rPr>
        <w:t xml:space="preserve"> ministarstvo nadležno za poslove socijalne skrbi u suradnji s </w:t>
      </w:r>
      <w:r w:rsidR="00422F7A" w:rsidRPr="00C41483">
        <w:rPr>
          <w:rFonts w:ascii="Times New Roman" w:hAnsi="Times New Roman"/>
          <w:color w:val="000000"/>
          <w:sz w:val="24"/>
          <w:szCs w:val="24"/>
          <w:lang w:val="fr-FR"/>
        </w:rPr>
        <w:t>HZJZ-om</w:t>
      </w:r>
      <w:r w:rsidR="00063C6C" w:rsidRPr="00C41483">
        <w:rPr>
          <w:rFonts w:ascii="Times New Roman" w:hAnsi="Times New Roman"/>
          <w:color w:val="000000"/>
          <w:sz w:val="24"/>
          <w:szCs w:val="24"/>
          <w:lang w:val="fr-FR"/>
        </w:rPr>
        <w:t xml:space="preserve"> i Nastavnim zavodom za javno zdravstvo </w:t>
      </w:r>
      <w:r w:rsidR="001718DE" w:rsidRPr="00C41483">
        <w:rPr>
          <w:rFonts w:ascii="Times New Roman" w:hAnsi="Times New Roman"/>
          <w:color w:val="000000"/>
          <w:sz w:val="24"/>
          <w:szCs w:val="24"/>
          <w:lang w:val="fr-FR"/>
        </w:rPr>
        <w:t>«</w:t>
      </w:r>
      <w:r w:rsidR="00063C6C" w:rsidRPr="00C41483">
        <w:rPr>
          <w:rFonts w:ascii="Times New Roman" w:hAnsi="Times New Roman"/>
          <w:color w:val="000000"/>
          <w:sz w:val="24"/>
          <w:szCs w:val="24"/>
          <w:lang w:val="fr-FR"/>
        </w:rPr>
        <w:t>Dr. Andrija Štampar</w:t>
      </w:r>
      <w:r w:rsidR="001718DE" w:rsidRPr="00C41483">
        <w:rPr>
          <w:rFonts w:ascii="Times New Roman" w:hAnsi="Times New Roman"/>
          <w:color w:val="000000"/>
          <w:sz w:val="24"/>
          <w:szCs w:val="24"/>
          <w:lang w:val="fr-FR"/>
        </w:rPr>
        <w:t>»</w:t>
      </w:r>
      <w:r w:rsidR="00063C6C" w:rsidRPr="00C41483">
        <w:rPr>
          <w:rFonts w:ascii="Times New Roman" w:hAnsi="Times New Roman"/>
          <w:color w:val="000000"/>
          <w:sz w:val="24"/>
          <w:szCs w:val="24"/>
          <w:lang w:val="fr-FR"/>
        </w:rPr>
        <w:t xml:space="preserve">, od početka epidemije, suklano </w:t>
      </w:r>
      <w:r w:rsidR="00646BF6" w:rsidRPr="00C41483">
        <w:rPr>
          <w:rFonts w:ascii="Times New Roman" w:hAnsi="Times New Roman"/>
          <w:color w:val="000000"/>
          <w:sz w:val="24"/>
          <w:szCs w:val="24"/>
          <w:lang w:val="fr-FR"/>
        </w:rPr>
        <w:t>trenutno</w:t>
      </w:r>
      <w:r w:rsidR="00625703" w:rsidRPr="00C41483">
        <w:rPr>
          <w:rFonts w:ascii="Times New Roman" w:hAnsi="Times New Roman"/>
          <w:color w:val="000000"/>
          <w:sz w:val="24"/>
          <w:szCs w:val="24"/>
          <w:lang w:val="fr-FR"/>
        </w:rPr>
        <w:t>j</w:t>
      </w:r>
      <w:r w:rsidR="00646BF6" w:rsidRPr="00C41483">
        <w:rPr>
          <w:rFonts w:ascii="Times New Roman" w:hAnsi="Times New Roman"/>
          <w:color w:val="000000"/>
          <w:sz w:val="24"/>
          <w:szCs w:val="24"/>
          <w:lang w:val="fr-FR"/>
        </w:rPr>
        <w:t xml:space="preserve"> </w:t>
      </w:r>
      <w:r w:rsidR="00063C6C" w:rsidRPr="00C41483">
        <w:rPr>
          <w:rFonts w:ascii="Times New Roman" w:hAnsi="Times New Roman"/>
          <w:color w:val="000000"/>
          <w:sz w:val="24"/>
          <w:szCs w:val="24"/>
          <w:lang w:val="fr-FR"/>
        </w:rPr>
        <w:t>epidemiološkoj situaciji</w:t>
      </w:r>
      <w:r w:rsidR="00646BF6" w:rsidRPr="00C41483">
        <w:rPr>
          <w:rFonts w:ascii="Times New Roman" w:hAnsi="Times New Roman"/>
          <w:color w:val="000000"/>
          <w:sz w:val="24"/>
          <w:szCs w:val="24"/>
          <w:lang w:val="fr-FR"/>
        </w:rPr>
        <w:t>,</w:t>
      </w:r>
      <w:r w:rsidR="00063C6C" w:rsidRPr="00C41483">
        <w:rPr>
          <w:rFonts w:ascii="Times New Roman" w:hAnsi="Times New Roman"/>
          <w:color w:val="000000"/>
          <w:sz w:val="24"/>
          <w:szCs w:val="24"/>
          <w:lang w:val="fr-FR"/>
        </w:rPr>
        <w:t xml:space="preserve"> izrađuje upute za sprječavanje i suzbijanje epidemije COVID-19 za pružatelje socijalnih usluga u sustavu socijalne skrbi</w:t>
      </w:r>
      <w:r w:rsidR="00D249BC" w:rsidRPr="00C41483">
        <w:rPr>
          <w:rFonts w:ascii="Times New Roman" w:hAnsi="Times New Roman"/>
          <w:color w:val="000000"/>
          <w:sz w:val="24"/>
          <w:szCs w:val="24"/>
          <w:lang w:val="fr-FR"/>
        </w:rPr>
        <w:t>.</w:t>
      </w:r>
      <w:r w:rsidR="00063C6C" w:rsidRPr="00C41483">
        <w:rPr>
          <w:rFonts w:ascii="Times New Roman" w:hAnsi="Times New Roman"/>
          <w:b/>
          <w:bCs/>
          <w:color w:val="000000"/>
          <w:sz w:val="24"/>
          <w:szCs w:val="24"/>
          <w:lang w:val="fr-FR"/>
        </w:rPr>
        <w:t xml:space="preserve"> </w:t>
      </w:r>
      <w:bookmarkEnd w:id="53"/>
      <w:r w:rsidR="00383A62" w:rsidRPr="00C41483">
        <w:rPr>
          <w:rFonts w:ascii="Times New Roman" w:hAnsi="Times New Roman"/>
          <w:color w:val="000000"/>
          <w:sz w:val="24"/>
          <w:szCs w:val="24"/>
          <w:lang w:val="fr-FR"/>
        </w:rPr>
        <w:t>Detaljnije informacije o poduzetim aktivnostima u sustavu socijalne skrbi u cilju zaštite korisnika i zaposlenika za vrijeme trajanja pandemije COVID-19 i tzv. C</w:t>
      </w:r>
      <w:r w:rsidR="00663EB2" w:rsidRPr="00C41483">
        <w:rPr>
          <w:rFonts w:ascii="Times New Roman" w:hAnsi="Times New Roman"/>
          <w:color w:val="000000"/>
          <w:sz w:val="24"/>
          <w:szCs w:val="24"/>
          <w:lang w:val="fr-FR"/>
        </w:rPr>
        <w:t>OVID</w:t>
      </w:r>
      <w:r w:rsidR="00383A62" w:rsidRPr="00C41483">
        <w:rPr>
          <w:rFonts w:ascii="Times New Roman" w:hAnsi="Times New Roman"/>
          <w:color w:val="000000"/>
          <w:sz w:val="24"/>
          <w:szCs w:val="24"/>
          <w:lang w:val="fr-FR"/>
        </w:rPr>
        <w:t xml:space="preserve"> dodatku za umirovljenike u prilogu 1</w:t>
      </w:r>
      <w:r w:rsidR="00FC522D" w:rsidRPr="00C41483">
        <w:rPr>
          <w:rFonts w:ascii="Times New Roman" w:hAnsi="Times New Roman"/>
          <w:color w:val="000000"/>
          <w:sz w:val="24"/>
          <w:szCs w:val="24"/>
          <w:lang w:val="fr-FR"/>
        </w:rPr>
        <w:t>9</w:t>
      </w:r>
      <w:r w:rsidR="001A2F17">
        <w:rPr>
          <w:rFonts w:ascii="Times New Roman" w:hAnsi="Times New Roman"/>
          <w:color w:val="000000"/>
          <w:sz w:val="24"/>
          <w:szCs w:val="24"/>
          <w:lang w:val="fr-FR"/>
        </w:rPr>
        <w:t>.</w:t>
      </w:r>
    </w:p>
    <w:p w14:paraId="55AFE50E" w14:textId="40B5E864" w:rsidR="00383A62" w:rsidRPr="00C41483" w:rsidRDefault="00383A62" w:rsidP="00383A62">
      <w:pPr>
        <w:spacing w:after="0" w:line="240" w:lineRule="auto"/>
        <w:jc w:val="both"/>
        <w:rPr>
          <w:rFonts w:ascii="Times New Roman" w:hAnsi="Times New Roman"/>
          <w:color w:val="000000"/>
          <w:sz w:val="24"/>
          <w:szCs w:val="24"/>
          <w:lang w:val="fr-FR"/>
        </w:rPr>
      </w:pPr>
    </w:p>
    <w:p w14:paraId="6517B6D8" w14:textId="4CEEDDE9" w:rsidR="00646BF6" w:rsidRPr="00C41483" w:rsidRDefault="00C9492D" w:rsidP="006B5133">
      <w:pPr>
        <w:spacing w:after="0" w:line="240" w:lineRule="auto"/>
        <w:jc w:val="both"/>
        <w:rPr>
          <w:rFonts w:ascii="Times New Roman" w:hAnsi="Times New Roman"/>
          <w:color w:val="000000"/>
          <w:sz w:val="24"/>
          <w:szCs w:val="24"/>
          <w:lang w:val="fr-FR"/>
        </w:rPr>
      </w:pPr>
      <w:r w:rsidRPr="00C41483">
        <w:rPr>
          <w:rFonts w:ascii="Times New Roman" w:hAnsi="Times New Roman"/>
          <w:color w:val="000000"/>
          <w:sz w:val="24"/>
          <w:szCs w:val="24"/>
          <w:lang w:val="fr-FR"/>
        </w:rPr>
        <w:t>(</w:t>
      </w:r>
      <w:r w:rsidR="00CD1AA1" w:rsidRPr="00C41483">
        <w:rPr>
          <w:rFonts w:ascii="Times New Roman" w:hAnsi="Times New Roman"/>
          <w:color w:val="000000"/>
          <w:sz w:val="24"/>
          <w:szCs w:val="24"/>
          <w:lang w:val="fr-FR"/>
        </w:rPr>
        <w:t>6</w:t>
      </w:r>
      <w:r w:rsidR="000F3ADF" w:rsidRPr="00C41483">
        <w:rPr>
          <w:rFonts w:ascii="Times New Roman" w:hAnsi="Times New Roman"/>
          <w:color w:val="000000"/>
          <w:sz w:val="24"/>
          <w:szCs w:val="24"/>
          <w:lang w:val="fr-FR"/>
        </w:rPr>
        <w:t>8</w:t>
      </w:r>
      <w:r w:rsidRPr="00C41483">
        <w:rPr>
          <w:rFonts w:ascii="Times New Roman" w:hAnsi="Times New Roman"/>
          <w:color w:val="000000"/>
          <w:sz w:val="24"/>
          <w:szCs w:val="24"/>
          <w:lang w:val="fr-FR"/>
        </w:rPr>
        <w:t xml:space="preserve">) </w:t>
      </w:r>
      <w:r w:rsidR="00EC02FD" w:rsidRPr="00C41483">
        <w:rPr>
          <w:rFonts w:ascii="Times New Roman" w:hAnsi="Times New Roman"/>
          <w:color w:val="000000"/>
          <w:sz w:val="24"/>
          <w:szCs w:val="24"/>
          <w:lang w:val="fr-FR"/>
        </w:rPr>
        <w:t>Intenzivno rade i liječnici stručnih društava Hrvatskog liječničkog zbora</w:t>
      </w:r>
      <w:r w:rsidR="00646BF6" w:rsidRPr="00C41483">
        <w:rPr>
          <w:rFonts w:ascii="Times New Roman" w:hAnsi="Times New Roman"/>
          <w:color w:val="000000"/>
          <w:sz w:val="24"/>
          <w:szCs w:val="24"/>
          <w:lang w:val="fr-FR"/>
        </w:rPr>
        <w:t xml:space="preserve"> </w:t>
      </w:r>
      <w:r w:rsidRPr="00C41483">
        <w:rPr>
          <w:rFonts w:ascii="Times New Roman" w:hAnsi="Times New Roman"/>
          <w:color w:val="000000"/>
          <w:sz w:val="24"/>
          <w:szCs w:val="24"/>
          <w:lang w:val="fr-FR"/>
        </w:rPr>
        <w:t xml:space="preserve">koji </w:t>
      </w:r>
      <w:r w:rsidR="00646BF6" w:rsidRPr="00C41483">
        <w:rPr>
          <w:rFonts w:ascii="Times New Roman" w:hAnsi="Times New Roman"/>
          <w:color w:val="000000"/>
          <w:sz w:val="24"/>
          <w:szCs w:val="24"/>
          <w:lang w:val="fr-FR"/>
        </w:rPr>
        <w:t>na svojim mrežnim stranicama objavljuju</w:t>
      </w:r>
      <w:r w:rsidR="00EC02FD" w:rsidRPr="00C41483">
        <w:rPr>
          <w:rFonts w:ascii="Times New Roman" w:hAnsi="Times New Roman"/>
          <w:color w:val="000000"/>
          <w:sz w:val="24"/>
          <w:szCs w:val="24"/>
          <w:lang w:val="fr-FR"/>
        </w:rPr>
        <w:t xml:space="preserve"> preporuke, mišljenja i smjernice</w:t>
      </w:r>
      <w:r w:rsidR="00646BF6" w:rsidRPr="00C41483">
        <w:rPr>
          <w:rFonts w:ascii="Times New Roman" w:hAnsi="Times New Roman"/>
          <w:color w:val="000000"/>
          <w:sz w:val="24"/>
          <w:szCs w:val="24"/>
          <w:lang w:val="fr-FR"/>
        </w:rPr>
        <w:t>.</w:t>
      </w:r>
    </w:p>
    <w:p w14:paraId="077BB025" w14:textId="2F214180" w:rsidR="006035C9" w:rsidRPr="00C41483" w:rsidRDefault="006035C9" w:rsidP="006B5133">
      <w:pPr>
        <w:spacing w:after="0" w:line="240" w:lineRule="auto"/>
        <w:jc w:val="both"/>
        <w:rPr>
          <w:rFonts w:ascii="Times New Roman" w:hAnsi="Times New Roman"/>
          <w:color w:val="000000"/>
          <w:sz w:val="24"/>
          <w:szCs w:val="24"/>
          <w:lang w:val="fr-FR"/>
        </w:rPr>
      </w:pPr>
    </w:p>
    <w:p w14:paraId="06ED814F" w14:textId="38C44302" w:rsidR="00476AFF" w:rsidRPr="00C41483" w:rsidRDefault="00C9492D" w:rsidP="00B5293D">
      <w:pPr>
        <w:spacing w:after="0" w:line="240" w:lineRule="auto"/>
        <w:jc w:val="both"/>
        <w:rPr>
          <w:rFonts w:ascii="Times New Roman" w:eastAsia="Times New Roman" w:hAnsi="Times New Roman" w:cs="Times New Roman"/>
          <w:bCs/>
          <w:sz w:val="24"/>
          <w:szCs w:val="24"/>
          <w:lang w:eastAsia="hr-HR"/>
        </w:rPr>
      </w:pPr>
      <w:r w:rsidRPr="00C41483">
        <w:rPr>
          <w:rFonts w:ascii="Times New Roman" w:hAnsi="Times New Roman"/>
          <w:color w:val="000000"/>
          <w:sz w:val="24"/>
          <w:szCs w:val="24"/>
          <w:lang w:val="fr-FR"/>
        </w:rPr>
        <w:t>(</w:t>
      </w:r>
      <w:r w:rsidR="00CD1AA1" w:rsidRPr="00C41483">
        <w:rPr>
          <w:rFonts w:ascii="Times New Roman" w:hAnsi="Times New Roman"/>
          <w:color w:val="000000"/>
          <w:sz w:val="24"/>
          <w:szCs w:val="24"/>
          <w:lang w:val="fr-FR"/>
        </w:rPr>
        <w:t>6</w:t>
      </w:r>
      <w:r w:rsidR="000F3ADF" w:rsidRPr="00C41483">
        <w:rPr>
          <w:rFonts w:ascii="Times New Roman" w:hAnsi="Times New Roman"/>
          <w:color w:val="000000"/>
          <w:sz w:val="24"/>
          <w:szCs w:val="24"/>
          <w:lang w:val="fr-FR"/>
        </w:rPr>
        <w:t>9</w:t>
      </w:r>
      <w:r w:rsidRPr="00C41483">
        <w:rPr>
          <w:rFonts w:ascii="Times New Roman" w:hAnsi="Times New Roman"/>
          <w:color w:val="000000"/>
          <w:sz w:val="24"/>
          <w:szCs w:val="24"/>
          <w:lang w:val="fr-FR"/>
        </w:rPr>
        <w:t xml:space="preserve">) </w:t>
      </w:r>
      <w:r w:rsidR="008613AE" w:rsidRPr="00C41483">
        <w:rPr>
          <w:rFonts w:ascii="Times New Roman" w:hAnsi="Times New Roman"/>
          <w:color w:val="000000"/>
          <w:sz w:val="24"/>
          <w:szCs w:val="24"/>
          <w:lang w:val="fr-FR"/>
        </w:rPr>
        <w:t xml:space="preserve">Invalidske mirovine i druga davanja koja ostvaruju </w:t>
      </w:r>
      <w:r w:rsidR="003D6D2D" w:rsidRPr="00C41483">
        <w:rPr>
          <w:rFonts w:ascii="Times New Roman" w:hAnsi="Times New Roman"/>
          <w:color w:val="000000"/>
          <w:sz w:val="24"/>
          <w:szCs w:val="24"/>
          <w:lang w:val="fr-FR"/>
        </w:rPr>
        <w:t>HRVI</w:t>
      </w:r>
      <w:r w:rsidR="0060179E" w:rsidRPr="00C41483">
        <w:rPr>
          <w:rFonts w:ascii="Times New Roman" w:hAnsi="Times New Roman"/>
          <w:color w:val="000000"/>
          <w:sz w:val="24"/>
          <w:szCs w:val="24"/>
          <w:lang w:val="fr-FR"/>
        </w:rPr>
        <w:t xml:space="preserve"> s navedene osnove planirani su proračunom i na istima nisu iskazane uštede uslijed pandemije bolesti COVID-19. Kako bi se dodatno pružila psihološka i socijalna podrška između ostalog i </w:t>
      </w:r>
      <w:r w:rsidR="003D6D2D" w:rsidRPr="00C41483">
        <w:rPr>
          <w:rFonts w:ascii="Times New Roman" w:hAnsi="Times New Roman"/>
          <w:color w:val="000000"/>
          <w:sz w:val="24"/>
          <w:szCs w:val="24"/>
          <w:lang w:val="fr-FR"/>
        </w:rPr>
        <w:t>HRVI</w:t>
      </w:r>
      <w:r w:rsidR="003949CD" w:rsidRPr="00C41483">
        <w:rPr>
          <w:rFonts w:ascii="Times New Roman" w:hAnsi="Times New Roman"/>
          <w:color w:val="000000"/>
          <w:sz w:val="24"/>
          <w:szCs w:val="24"/>
          <w:lang w:val="fr-FR"/>
        </w:rPr>
        <w:t xml:space="preserve">, </w:t>
      </w:r>
      <w:r w:rsidR="0060179E" w:rsidRPr="00C41483">
        <w:rPr>
          <w:rFonts w:ascii="Times New Roman" w:hAnsi="Times New Roman"/>
          <w:color w:val="000000"/>
          <w:sz w:val="24"/>
          <w:szCs w:val="24"/>
          <w:lang w:val="fr-FR"/>
        </w:rPr>
        <w:t xml:space="preserve">u 2020. godini proveden </w:t>
      </w:r>
      <w:r w:rsidR="0060179E" w:rsidRPr="00C41483">
        <w:rPr>
          <w:rFonts w:ascii="Times New Roman" w:hAnsi="Times New Roman"/>
          <w:color w:val="000000"/>
          <w:sz w:val="24"/>
          <w:szCs w:val="24"/>
          <w:lang w:val="fr-FR"/>
        </w:rPr>
        <w:lastRenderedPageBreak/>
        <w:t>je javni poziv za udruge iz Domovinskog rata za aktivnosti usmjerene prevenciji i oporavku od posljedica pandemije. Prihvatljive aktivnosti za financiranje bile su između ostalih pružanje podrške, individualno i grupno savjetovanje, grupe podrške, informiranje vezano uz bolest COVID-19, pomoć u nabavci hrane i lijekova, prijevoz liječniku, edukacije o suočavanju</w:t>
      </w:r>
      <w:r w:rsidR="0060179E" w:rsidRPr="00C41483">
        <w:rPr>
          <w:rFonts w:ascii="Times New Roman" w:eastAsia="Times New Roman" w:hAnsi="Times New Roman" w:cs="Times New Roman"/>
          <w:bCs/>
          <w:sz w:val="24"/>
          <w:szCs w:val="24"/>
          <w:lang w:eastAsia="hr-HR"/>
        </w:rPr>
        <w:t xml:space="preserve"> sa stresom, stručna i edukativna predavanja u području zdravstvene skrbi i sl.</w:t>
      </w:r>
    </w:p>
    <w:p w14:paraId="37D98F2B" w14:textId="77777777" w:rsidR="00B5293D" w:rsidRPr="00C41483" w:rsidRDefault="00B5293D" w:rsidP="00B5293D">
      <w:pPr>
        <w:spacing w:after="0" w:line="240" w:lineRule="auto"/>
        <w:jc w:val="both"/>
        <w:rPr>
          <w:lang w:eastAsia="hr-HR"/>
        </w:rPr>
      </w:pPr>
    </w:p>
    <w:p w14:paraId="10453E3B" w14:textId="57EC030A" w:rsidR="0094394A" w:rsidRPr="00C41483" w:rsidRDefault="00135293" w:rsidP="00625703">
      <w:pPr>
        <w:spacing w:after="0" w:line="240" w:lineRule="auto"/>
        <w:jc w:val="both"/>
        <w:rPr>
          <w:rFonts w:ascii="Times New Roman" w:hAnsi="Times New Roman"/>
          <w:color w:val="000000"/>
          <w:sz w:val="24"/>
          <w:szCs w:val="24"/>
          <w:lang w:val="fr-FR"/>
        </w:rPr>
      </w:pPr>
      <w:r w:rsidRPr="00C41483">
        <w:rPr>
          <w:lang w:eastAsia="hr-HR"/>
        </w:rPr>
        <w:t>(</w:t>
      </w:r>
      <w:r w:rsidR="00CD1AA1" w:rsidRPr="00C41483">
        <w:rPr>
          <w:rFonts w:ascii="Times New Roman" w:hAnsi="Times New Roman"/>
          <w:color w:val="000000"/>
          <w:sz w:val="24"/>
          <w:szCs w:val="24"/>
          <w:lang w:val="fr-FR"/>
        </w:rPr>
        <w:t>7</w:t>
      </w:r>
      <w:r w:rsidR="000F3ADF" w:rsidRPr="00C41483">
        <w:rPr>
          <w:rFonts w:ascii="Times New Roman" w:hAnsi="Times New Roman"/>
          <w:color w:val="000000"/>
          <w:sz w:val="24"/>
          <w:szCs w:val="24"/>
          <w:lang w:val="fr-FR"/>
        </w:rPr>
        <w:t>0</w:t>
      </w:r>
      <w:r w:rsidRPr="00C41483">
        <w:rPr>
          <w:rFonts w:ascii="Times New Roman" w:hAnsi="Times New Roman"/>
          <w:color w:val="000000"/>
          <w:sz w:val="24"/>
          <w:szCs w:val="24"/>
          <w:lang w:val="fr-FR"/>
        </w:rPr>
        <w:t xml:space="preserve">) </w:t>
      </w:r>
      <w:r w:rsidR="00747B61" w:rsidRPr="00C41483">
        <w:rPr>
          <w:rFonts w:ascii="Times New Roman" w:hAnsi="Times New Roman"/>
          <w:color w:val="000000"/>
          <w:sz w:val="24"/>
          <w:szCs w:val="24"/>
          <w:lang w:val="fr-FR"/>
        </w:rPr>
        <w:t>P</w:t>
      </w:r>
      <w:r w:rsidR="0094394A" w:rsidRPr="00C41483">
        <w:rPr>
          <w:rFonts w:ascii="Times New Roman" w:hAnsi="Times New Roman"/>
          <w:color w:val="000000"/>
          <w:sz w:val="24"/>
          <w:szCs w:val="24"/>
          <w:lang w:val="fr-FR"/>
        </w:rPr>
        <w:t>olicija je identificirala određene rizike u pojavi novih oblika kriminala izravno povezani</w:t>
      </w:r>
      <w:r w:rsidR="00646BF6" w:rsidRPr="00C41483">
        <w:rPr>
          <w:rFonts w:ascii="Times New Roman" w:hAnsi="Times New Roman"/>
          <w:color w:val="000000"/>
          <w:sz w:val="24"/>
          <w:szCs w:val="24"/>
          <w:lang w:val="fr-FR"/>
        </w:rPr>
        <w:t>h</w:t>
      </w:r>
      <w:r w:rsidR="0094394A" w:rsidRPr="00C41483">
        <w:rPr>
          <w:rFonts w:ascii="Times New Roman" w:hAnsi="Times New Roman"/>
          <w:color w:val="000000"/>
          <w:sz w:val="24"/>
          <w:szCs w:val="24"/>
          <w:lang w:val="fr-FR"/>
        </w:rPr>
        <w:t xml:space="preserve"> sa situacijom izazvanom pandemijom</w:t>
      </w:r>
      <w:r w:rsidR="00747B61" w:rsidRPr="00C41483">
        <w:rPr>
          <w:rFonts w:ascii="Times New Roman" w:hAnsi="Times New Roman"/>
          <w:color w:val="000000"/>
          <w:sz w:val="24"/>
          <w:szCs w:val="24"/>
          <w:lang w:val="fr-FR"/>
        </w:rPr>
        <w:t>, stoga je M</w:t>
      </w:r>
      <w:r w:rsidR="0094394A" w:rsidRPr="00C41483">
        <w:rPr>
          <w:rFonts w:ascii="Times New Roman" w:hAnsi="Times New Roman"/>
          <w:color w:val="000000"/>
          <w:sz w:val="24"/>
          <w:szCs w:val="24"/>
          <w:lang w:val="fr-FR"/>
        </w:rPr>
        <w:t>inistarstvo unutarnjih poslova pripremilo niz smjernica za ponašanje policijskih službenika u svakodnevnim aktivnostima.</w:t>
      </w:r>
      <w:r w:rsidR="00747B61" w:rsidRPr="00C41483">
        <w:rPr>
          <w:rFonts w:ascii="Times New Roman" w:hAnsi="Times New Roman"/>
          <w:color w:val="000000"/>
          <w:sz w:val="24"/>
          <w:szCs w:val="24"/>
          <w:lang w:val="fr-FR"/>
        </w:rPr>
        <w:t xml:space="preserve"> </w:t>
      </w:r>
      <w:r w:rsidR="0094394A" w:rsidRPr="00C41483">
        <w:rPr>
          <w:rFonts w:ascii="Times New Roman" w:hAnsi="Times New Roman"/>
          <w:color w:val="000000"/>
          <w:sz w:val="24"/>
          <w:szCs w:val="24"/>
          <w:lang w:val="fr-FR"/>
        </w:rPr>
        <w:t>Između ostalih izda</w:t>
      </w:r>
      <w:r w:rsidR="00747B61" w:rsidRPr="00C41483">
        <w:rPr>
          <w:rFonts w:ascii="Times New Roman" w:hAnsi="Times New Roman"/>
          <w:color w:val="000000"/>
          <w:sz w:val="24"/>
          <w:szCs w:val="24"/>
          <w:lang w:val="fr-FR"/>
        </w:rPr>
        <w:t>n</w:t>
      </w:r>
      <w:r w:rsidR="0094394A" w:rsidRPr="00C41483">
        <w:rPr>
          <w:rFonts w:ascii="Times New Roman" w:hAnsi="Times New Roman"/>
          <w:color w:val="000000"/>
          <w:sz w:val="24"/>
          <w:szCs w:val="24"/>
          <w:lang w:val="fr-FR"/>
        </w:rPr>
        <w:t xml:space="preserve">a </w:t>
      </w:r>
      <w:r w:rsidR="00747B61" w:rsidRPr="00C41483">
        <w:rPr>
          <w:rFonts w:ascii="Times New Roman" w:hAnsi="Times New Roman"/>
          <w:color w:val="000000"/>
          <w:sz w:val="24"/>
          <w:szCs w:val="24"/>
          <w:lang w:val="fr-FR"/>
        </w:rPr>
        <w:t xml:space="preserve">je </w:t>
      </w:r>
      <w:r w:rsidR="0094394A" w:rsidRPr="00C41483">
        <w:rPr>
          <w:rFonts w:ascii="Times New Roman" w:hAnsi="Times New Roman"/>
          <w:color w:val="000000"/>
          <w:sz w:val="24"/>
          <w:szCs w:val="24"/>
          <w:lang w:val="fr-FR"/>
        </w:rPr>
        <w:t>uput</w:t>
      </w:r>
      <w:r w:rsidR="00747B61" w:rsidRPr="00C41483">
        <w:rPr>
          <w:rFonts w:ascii="Times New Roman" w:hAnsi="Times New Roman"/>
          <w:color w:val="000000"/>
          <w:sz w:val="24"/>
          <w:szCs w:val="24"/>
          <w:lang w:val="fr-FR"/>
        </w:rPr>
        <w:t>a</w:t>
      </w:r>
      <w:r w:rsidR="0094394A" w:rsidRPr="00C41483">
        <w:rPr>
          <w:rFonts w:ascii="Times New Roman" w:hAnsi="Times New Roman"/>
          <w:color w:val="000000"/>
          <w:sz w:val="24"/>
          <w:szCs w:val="24"/>
          <w:lang w:val="fr-FR"/>
        </w:rPr>
        <w:t xml:space="preserve"> za usmjeravanje veće pozornosti na područja u kojima žive starije osobe, ali i uput</w:t>
      </w:r>
      <w:r w:rsidR="00747B61" w:rsidRPr="00C41483">
        <w:rPr>
          <w:rFonts w:ascii="Times New Roman" w:hAnsi="Times New Roman"/>
          <w:color w:val="000000"/>
          <w:sz w:val="24"/>
          <w:szCs w:val="24"/>
          <w:lang w:val="fr-FR"/>
        </w:rPr>
        <w:t>a</w:t>
      </w:r>
      <w:r w:rsidR="0094394A" w:rsidRPr="00C41483">
        <w:rPr>
          <w:rFonts w:ascii="Times New Roman" w:hAnsi="Times New Roman"/>
          <w:color w:val="000000"/>
          <w:sz w:val="24"/>
          <w:szCs w:val="24"/>
          <w:lang w:val="fr-FR"/>
        </w:rPr>
        <w:t xml:space="preserve"> koja naglašava da u situacijama kada su poremećeni obiteljski odnosi, takva situacija favorizira pojavu i eskalaciju obiteljskog nasilja, posebno nasilja nad</w:t>
      </w:r>
      <w:r w:rsidR="00646BF6" w:rsidRPr="00C41483">
        <w:rPr>
          <w:rFonts w:ascii="Times New Roman" w:hAnsi="Times New Roman"/>
          <w:color w:val="000000"/>
          <w:sz w:val="24"/>
          <w:szCs w:val="24"/>
          <w:lang w:val="fr-FR"/>
        </w:rPr>
        <w:t xml:space="preserve"> </w:t>
      </w:r>
      <w:r w:rsidR="0094394A" w:rsidRPr="00C41483">
        <w:rPr>
          <w:rFonts w:ascii="Times New Roman" w:hAnsi="Times New Roman"/>
          <w:color w:val="000000"/>
          <w:sz w:val="24"/>
          <w:szCs w:val="24"/>
          <w:lang w:val="fr-FR"/>
        </w:rPr>
        <w:t>djecom, starijim osobama i osobama s invaliditetom.</w:t>
      </w:r>
      <w:r w:rsidR="00747B61" w:rsidRPr="00C41483">
        <w:rPr>
          <w:rFonts w:ascii="Times New Roman" w:hAnsi="Times New Roman"/>
          <w:color w:val="000000"/>
          <w:sz w:val="24"/>
          <w:szCs w:val="24"/>
          <w:lang w:val="fr-FR"/>
        </w:rPr>
        <w:t xml:space="preserve"> </w:t>
      </w:r>
      <w:r w:rsidR="0094394A" w:rsidRPr="00C41483">
        <w:rPr>
          <w:rFonts w:ascii="Times New Roman" w:hAnsi="Times New Roman"/>
          <w:color w:val="000000"/>
          <w:sz w:val="24"/>
          <w:szCs w:val="24"/>
          <w:lang w:val="fr-FR"/>
        </w:rPr>
        <w:t xml:space="preserve">Upute i smjernice ističu </w:t>
      </w:r>
      <w:r w:rsidR="00747B61" w:rsidRPr="00C41483">
        <w:rPr>
          <w:rFonts w:ascii="Times New Roman" w:hAnsi="Times New Roman"/>
          <w:color w:val="000000"/>
          <w:sz w:val="24"/>
          <w:szCs w:val="24"/>
          <w:lang w:val="fr-FR"/>
        </w:rPr>
        <w:t xml:space="preserve">da su </w:t>
      </w:r>
      <w:r w:rsidR="0094394A" w:rsidRPr="00C41483">
        <w:rPr>
          <w:rFonts w:ascii="Times New Roman" w:hAnsi="Times New Roman"/>
          <w:color w:val="000000"/>
          <w:sz w:val="24"/>
          <w:szCs w:val="24"/>
          <w:lang w:val="fr-FR"/>
        </w:rPr>
        <w:t>radnje na prijavama ili saznanjima o izloženosti djece fizičkom, seksualnom zlostavljanju ili drugom prijetećem ponašanju i prijave o trenutnoj izloženosti nasilju u obitelji prioriteti, koji uz preventivne mjere samozaštite zahtijevaju hitne mjere za sprečavanje daljnjeg zlostavljanja i pružanje zaštite žrtvama.</w:t>
      </w:r>
      <w:r w:rsidR="00747B61" w:rsidRPr="00C41483">
        <w:rPr>
          <w:rFonts w:ascii="Times New Roman" w:hAnsi="Times New Roman"/>
          <w:color w:val="000000"/>
          <w:sz w:val="24"/>
          <w:szCs w:val="24"/>
          <w:lang w:val="fr-FR"/>
        </w:rPr>
        <w:t xml:space="preserve"> </w:t>
      </w:r>
      <w:r w:rsidR="0094394A" w:rsidRPr="00C41483">
        <w:rPr>
          <w:rFonts w:ascii="Times New Roman" w:hAnsi="Times New Roman"/>
          <w:color w:val="000000"/>
          <w:sz w:val="24"/>
          <w:szCs w:val="24"/>
          <w:lang w:val="fr-FR"/>
        </w:rPr>
        <w:t>Građani</w:t>
      </w:r>
      <w:r w:rsidR="00646BF6" w:rsidRPr="00C41483">
        <w:rPr>
          <w:rFonts w:ascii="Times New Roman" w:hAnsi="Times New Roman"/>
          <w:color w:val="000000"/>
          <w:sz w:val="24"/>
          <w:szCs w:val="24"/>
          <w:lang w:val="fr-FR"/>
        </w:rPr>
        <w:t xml:space="preserve"> </w:t>
      </w:r>
      <w:r w:rsidR="0094394A" w:rsidRPr="00C41483">
        <w:rPr>
          <w:rFonts w:ascii="Times New Roman" w:hAnsi="Times New Roman"/>
          <w:color w:val="000000"/>
          <w:sz w:val="24"/>
          <w:szCs w:val="24"/>
          <w:lang w:val="fr-FR"/>
        </w:rPr>
        <w:t xml:space="preserve">mogu prijaviti bilo koju informaciju koju imaju o zlostavljanju djece i obiteljskom nasilju </w:t>
      </w:r>
      <w:r w:rsidR="00936B59" w:rsidRPr="00C41483">
        <w:rPr>
          <w:rFonts w:ascii="Times New Roman" w:hAnsi="Times New Roman"/>
          <w:color w:val="000000"/>
          <w:sz w:val="24"/>
          <w:szCs w:val="24"/>
          <w:lang w:val="fr-FR"/>
        </w:rPr>
        <w:t xml:space="preserve">i </w:t>
      </w:r>
      <w:r w:rsidR="0094394A" w:rsidRPr="00C41483">
        <w:rPr>
          <w:rFonts w:ascii="Times New Roman" w:hAnsi="Times New Roman"/>
          <w:color w:val="000000"/>
          <w:sz w:val="24"/>
          <w:szCs w:val="24"/>
          <w:lang w:val="fr-FR"/>
        </w:rPr>
        <w:t>preko online aplikacije Crveni gumb</w:t>
      </w:r>
      <w:r w:rsidR="00936B59" w:rsidRPr="00C41483">
        <w:rPr>
          <w:rFonts w:ascii="Times New Roman" w:hAnsi="Times New Roman"/>
          <w:color w:val="000000"/>
          <w:sz w:val="24"/>
          <w:szCs w:val="24"/>
          <w:lang w:val="fr-FR"/>
        </w:rPr>
        <w:t>.</w:t>
      </w:r>
    </w:p>
    <w:p w14:paraId="5D5385CB" w14:textId="77777777" w:rsidR="00630F1A" w:rsidRPr="00C41483" w:rsidRDefault="00630F1A" w:rsidP="006B5133">
      <w:pPr>
        <w:spacing w:after="0" w:line="240" w:lineRule="auto"/>
        <w:jc w:val="both"/>
        <w:rPr>
          <w:rFonts w:ascii="Times New Roman" w:hAnsi="Times New Roman" w:cs="Times New Roman"/>
          <w:sz w:val="24"/>
          <w:szCs w:val="24"/>
          <w:lang w:eastAsia="hr-HR"/>
        </w:rPr>
      </w:pPr>
    </w:p>
    <w:p w14:paraId="7304D3FD" w14:textId="0EED33EF" w:rsidR="00D542B4" w:rsidRPr="00C41483" w:rsidRDefault="00D542B4" w:rsidP="006B5133">
      <w:pPr>
        <w:pStyle w:val="Naslov1"/>
        <w:spacing w:before="0" w:line="240" w:lineRule="auto"/>
        <w:rPr>
          <w:rFonts w:ascii="Times New Roman" w:eastAsia="Times New Roman" w:hAnsi="Times New Roman" w:cs="Times New Roman"/>
          <w:b/>
          <w:bCs/>
          <w:color w:val="auto"/>
          <w:sz w:val="24"/>
          <w:szCs w:val="24"/>
          <w:lang w:eastAsia="hr-HR"/>
        </w:rPr>
      </w:pPr>
      <w:bookmarkStart w:id="54" w:name="_Toc76630953"/>
      <w:bookmarkStart w:id="55" w:name="_Toc88031193"/>
      <w:r w:rsidRPr="00C41483">
        <w:rPr>
          <w:rFonts w:ascii="Times New Roman" w:eastAsia="Times New Roman" w:hAnsi="Times New Roman" w:cs="Times New Roman"/>
          <w:b/>
          <w:bCs/>
          <w:color w:val="auto"/>
          <w:sz w:val="24"/>
          <w:szCs w:val="24"/>
          <w:lang w:eastAsia="hr-HR"/>
        </w:rPr>
        <w:t>Jednakost pred zakonom (čl. 12.)</w:t>
      </w:r>
      <w:bookmarkEnd w:id="54"/>
      <w:bookmarkEnd w:id="55"/>
    </w:p>
    <w:p w14:paraId="79CE5219" w14:textId="77777777" w:rsidR="000668E0" w:rsidRPr="00C41483" w:rsidRDefault="000668E0" w:rsidP="006B5133">
      <w:pPr>
        <w:spacing w:after="0" w:line="240" w:lineRule="auto"/>
        <w:jc w:val="both"/>
        <w:rPr>
          <w:rFonts w:ascii="Times New Roman" w:eastAsia="Times New Roman" w:hAnsi="Times New Roman" w:cs="Times New Roman"/>
          <w:bCs/>
          <w:i/>
          <w:iCs/>
          <w:sz w:val="24"/>
          <w:szCs w:val="24"/>
          <w:lang w:eastAsia="hr-HR"/>
        </w:rPr>
      </w:pPr>
    </w:p>
    <w:p w14:paraId="0346615D" w14:textId="5F515A43" w:rsidR="00A222FF" w:rsidRPr="00C41483" w:rsidRDefault="00515050" w:rsidP="006B5133">
      <w:pPr>
        <w:spacing w:after="0" w:line="240" w:lineRule="auto"/>
        <w:jc w:val="both"/>
        <w:rPr>
          <w:rFonts w:ascii="Times New Roman" w:eastAsia="Times New Roman" w:hAnsi="Times New Roman" w:cs="Times New Roman"/>
          <w:bCs/>
          <w:i/>
          <w:iCs/>
          <w:sz w:val="24"/>
          <w:szCs w:val="24"/>
          <w:lang w:eastAsia="hr-HR"/>
        </w:rPr>
      </w:pPr>
      <w:bookmarkStart w:id="56" w:name="_Hlk83814235"/>
      <w:r w:rsidRPr="00C41483">
        <w:rPr>
          <w:rFonts w:ascii="Times New Roman" w:eastAsia="Times New Roman" w:hAnsi="Times New Roman" w:cs="Times New Roman"/>
          <w:bCs/>
          <w:i/>
          <w:iCs/>
          <w:sz w:val="24"/>
          <w:szCs w:val="24"/>
          <w:lang w:eastAsia="hr-HR"/>
        </w:rPr>
        <w:t xml:space="preserve">Pitanje </w:t>
      </w:r>
      <w:r w:rsidR="00A222FF" w:rsidRPr="00C41483">
        <w:rPr>
          <w:rFonts w:ascii="Times New Roman" w:eastAsia="Times New Roman" w:hAnsi="Times New Roman" w:cs="Times New Roman"/>
          <w:bCs/>
          <w:i/>
          <w:iCs/>
          <w:sz w:val="24"/>
          <w:szCs w:val="24"/>
          <w:lang w:eastAsia="hr-HR"/>
        </w:rPr>
        <w:t>12</w:t>
      </w:r>
      <w:r w:rsidRPr="00C41483">
        <w:rPr>
          <w:rFonts w:ascii="Times New Roman" w:eastAsia="Times New Roman" w:hAnsi="Times New Roman" w:cs="Times New Roman"/>
          <w:bCs/>
          <w:i/>
          <w:iCs/>
          <w:sz w:val="24"/>
          <w:szCs w:val="24"/>
          <w:lang w:eastAsia="hr-HR"/>
        </w:rPr>
        <w:t>a), b) i c)</w:t>
      </w:r>
    </w:p>
    <w:bookmarkEnd w:id="56"/>
    <w:p w14:paraId="54B7932D" w14:textId="77777777" w:rsidR="00425F40" w:rsidRPr="00C41483" w:rsidRDefault="00425F40" w:rsidP="006B5133">
      <w:pPr>
        <w:spacing w:after="0" w:line="240" w:lineRule="auto"/>
        <w:jc w:val="both"/>
        <w:rPr>
          <w:rFonts w:ascii="Times New Roman" w:hAnsi="Times New Roman" w:cs="Times New Roman"/>
          <w:sz w:val="24"/>
          <w:szCs w:val="24"/>
        </w:rPr>
      </w:pPr>
    </w:p>
    <w:p w14:paraId="08F94D9A" w14:textId="38A8C7CA" w:rsidR="00D66B93" w:rsidRPr="00C41483" w:rsidRDefault="00135293" w:rsidP="006B5133">
      <w:pPr>
        <w:spacing w:after="0" w:line="240" w:lineRule="auto"/>
        <w:jc w:val="both"/>
        <w:rPr>
          <w:rFonts w:ascii="Times New Roman" w:hAnsi="Times New Roman" w:cs="Times New Roman"/>
          <w:sz w:val="24"/>
          <w:szCs w:val="24"/>
        </w:rPr>
      </w:pPr>
      <w:r w:rsidRPr="00C41483">
        <w:rPr>
          <w:rFonts w:ascii="Times New Roman" w:hAnsi="Times New Roman" w:cs="Times New Roman"/>
          <w:sz w:val="24"/>
          <w:szCs w:val="24"/>
        </w:rPr>
        <w:t>(</w:t>
      </w:r>
      <w:r w:rsidR="000F3ADF" w:rsidRPr="00C41483">
        <w:rPr>
          <w:rFonts w:ascii="Times New Roman" w:hAnsi="Times New Roman" w:cs="Times New Roman"/>
          <w:sz w:val="24"/>
          <w:szCs w:val="24"/>
        </w:rPr>
        <w:t>71</w:t>
      </w:r>
      <w:r w:rsidRPr="00C41483">
        <w:rPr>
          <w:rFonts w:ascii="Times New Roman" w:hAnsi="Times New Roman" w:cs="Times New Roman"/>
          <w:sz w:val="24"/>
          <w:szCs w:val="24"/>
        </w:rPr>
        <w:t xml:space="preserve">) </w:t>
      </w:r>
      <w:r w:rsidR="00D66B93" w:rsidRPr="00C41483">
        <w:rPr>
          <w:rFonts w:ascii="Times New Roman" w:hAnsi="Times New Roman" w:cs="Times New Roman"/>
          <w:sz w:val="24"/>
          <w:szCs w:val="24"/>
        </w:rPr>
        <w:t xml:space="preserve">Obiteljski zakon propisuje da je zaštitu osoba s invaliditetom, ako je to moguće, potrebno osigurati drugim sredstvima i mjerama prije nego što se donese odluka o skrbničkoj zaštiti. Propisana je potreba poticanja samostalnog donošenja odluka od strane štićenika i pružanje podrške u donošenju odluka, kao i sudjelovanju u životu zajednice. </w:t>
      </w:r>
      <w:r w:rsidR="00425F40" w:rsidRPr="00C41483">
        <w:rPr>
          <w:rFonts w:ascii="Times New Roman" w:hAnsi="Times New Roman" w:cs="Times New Roman"/>
          <w:sz w:val="24"/>
          <w:szCs w:val="24"/>
        </w:rPr>
        <w:t>I</w:t>
      </w:r>
      <w:r w:rsidR="00D66B93" w:rsidRPr="00C41483">
        <w:rPr>
          <w:rFonts w:ascii="Times New Roman" w:hAnsi="Times New Roman" w:cs="Times New Roman"/>
          <w:sz w:val="24"/>
          <w:szCs w:val="24"/>
        </w:rPr>
        <w:t xml:space="preserve">nstitut potpunoga lišenja poslovne sposobnosti </w:t>
      </w:r>
      <w:r w:rsidR="00425F40" w:rsidRPr="00C41483">
        <w:rPr>
          <w:rFonts w:ascii="Times New Roman" w:hAnsi="Times New Roman" w:cs="Times New Roman"/>
          <w:sz w:val="24"/>
          <w:szCs w:val="24"/>
        </w:rPr>
        <w:t xml:space="preserve">je napušten, </w:t>
      </w:r>
      <w:r w:rsidR="00D66B93" w:rsidRPr="00C41483">
        <w:rPr>
          <w:rFonts w:ascii="Times New Roman" w:hAnsi="Times New Roman" w:cs="Times New Roman"/>
          <w:sz w:val="24"/>
          <w:szCs w:val="24"/>
        </w:rPr>
        <w:t xml:space="preserve">te je lišenje moguće samo u dijelu koji je potreban za zaštitu prava štićenika i sa što manjim ograničenjima prava. </w:t>
      </w:r>
      <w:r w:rsidR="00E40889" w:rsidRPr="00C41483">
        <w:rPr>
          <w:rFonts w:ascii="Times New Roman" w:hAnsi="Times New Roman" w:cs="Times New Roman"/>
          <w:sz w:val="24"/>
          <w:szCs w:val="24"/>
        </w:rPr>
        <w:t>N</w:t>
      </w:r>
      <w:r w:rsidR="00D66B93" w:rsidRPr="00C41483">
        <w:rPr>
          <w:rFonts w:ascii="Times New Roman" w:hAnsi="Times New Roman" w:cs="Times New Roman"/>
          <w:sz w:val="24"/>
          <w:szCs w:val="24"/>
        </w:rPr>
        <w:t xml:space="preserve">apušten je i institut </w:t>
      </w:r>
      <w:r w:rsidR="009127C2" w:rsidRPr="00C41483">
        <w:rPr>
          <w:rFonts w:ascii="Times New Roman" w:hAnsi="Times New Roman" w:cs="Times New Roman"/>
          <w:sz w:val="24"/>
          <w:szCs w:val="24"/>
        </w:rPr>
        <w:t>„</w:t>
      </w:r>
      <w:r w:rsidR="00D66B93" w:rsidRPr="00C41483">
        <w:rPr>
          <w:rFonts w:ascii="Times New Roman" w:hAnsi="Times New Roman" w:cs="Times New Roman"/>
          <w:sz w:val="24"/>
          <w:szCs w:val="24"/>
        </w:rPr>
        <w:t>roditeljske skrbi nakon punoljetnosti</w:t>
      </w:r>
      <w:r w:rsidR="009127C2" w:rsidRPr="00C41483">
        <w:rPr>
          <w:rFonts w:ascii="Times New Roman" w:hAnsi="Times New Roman" w:cs="Times New Roman"/>
          <w:sz w:val="24"/>
          <w:szCs w:val="24"/>
        </w:rPr>
        <w:t>“</w:t>
      </w:r>
      <w:r w:rsidR="00E40889" w:rsidRPr="00C41483">
        <w:rPr>
          <w:rFonts w:ascii="Times New Roman" w:hAnsi="Times New Roman" w:cs="Times New Roman"/>
          <w:sz w:val="24"/>
          <w:szCs w:val="24"/>
        </w:rPr>
        <w:t xml:space="preserve"> te je u pravni sustav uveden institut anticipiranih naredbi</w:t>
      </w:r>
      <w:r w:rsidR="00D66B93" w:rsidRPr="00C41483">
        <w:rPr>
          <w:rFonts w:ascii="Times New Roman" w:hAnsi="Times New Roman" w:cs="Times New Roman"/>
          <w:sz w:val="24"/>
          <w:szCs w:val="24"/>
        </w:rPr>
        <w:t xml:space="preserve"> </w:t>
      </w:r>
      <w:r w:rsidR="00E40889" w:rsidRPr="00C41483">
        <w:rPr>
          <w:rFonts w:ascii="Times New Roman" w:hAnsi="Times New Roman" w:cs="Times New Roman"/>
          <w:sz w:val="24"/>
          <w:szCs w:val="24"/>
        </w:rPr>
        <w:t xml:space="preserve">(osobama je </w:t>
      </w:r>
      <w:r w:rsidR="00D66B93" w:rsidRPr="00C41483">
        <w:rPr>
          <w:rFonts w:ascii="Times New Roman" w:hAnsi="Times New Roman" w:cs="Times New Roman"/>
          <w:sz w:val="24"/>
          <w:szCs w:val="24"/>
        </w:rPr>
        <w:t xml:space="preserve">omogućeno </w:t>
      </w:r>
      <w:r w:rsidR="00E40889" w:rsidRPr="00C41483">
        <w:rPr>
          <w:rFonts w:ascii="Times New Roman" w:hAnsi="Times New Roman" w:cs="Times New Roman"/>
          <w:sz w:val="24"/>
          <w:szCs w:val="24"/>
        </w:rPr>
        <w:t>da u</w:t>
      </w:r>
      <w:r w:rsidR="00D66B93" w:rsidRPr="00C41483">
        <w:rPr>
          <w:rFonts w:ascii="Times New Roman" w:hAnsi="Times New Roman" w:cs="Times New Roman"/>
          <w:sz w:val="24"/>
          <w:szCs w:val="24"/>
        </w:rPr>
        <w:t xml:space="preserve"> vrijeme postojanja poslovne sposobnosti imenuj</w:t>
      </w:r>
      <w:r w:rsidR="00E40889" w:rsidRPr="00C41483">
        <w:rPr>
          <w:rFonts w:ascii="Times New Roman" w:hAnsi="Times New Roman" w:cs="Times New Roman"/>
          <w:sz w:val="24"/>
          <w:szCs w:val="24"/>
        </w:rPr>
        <w:t>u</w:t>
      </w:r>
      <w:r w:rsidR="00D66B93" w:rsidRPr="00C41483">
        <w:rPr>
          <w:rFonts w:ascii="Times New Roman" w:hAnsi="Times New Roman" w:cs="Times New Roman"/>
          <w:sz w:val="24"/>
          <w:szCs w:val="24"/>
        </w:rPr>
        <w:t xml:space="preserve"> osobu koju </w:t>
      </w:r>
      <w:r w:rsidR="00E40889" w:rsidRPr="00C41483">
        <w:rPr>
          <w:rFonts w:ascii="Times New Roman" w:hAnsi="Times New Roman" w:cs="Times New Roman"/>
          <w:sz w:val="24"/>
          <w:szCs w:val="24"/>
        </w:rPr>
        <w:t>ž</w:t>
      </w:r>
      <w:r w:rsidR="00D66B93" w:rsidRPr="00C41483">
        <w:rPr>
          <w:rFonts w:ascii="Times New Roman" w:hAnsi="Times New Roman" w:cs="Times New Roman"/>
          <w:sz w:val="24"/>
          <w:szCs w:val="24"/>
        </w:rPr>
        <w:t>el</w:t>
      </w:r>
      <w:r w:rsidR="00E40889" w:rsidRPr="00C41483">
        <w:rPr>
          <w:rFonts w:ascii="Times New Roman" w:hAnsi="Times New Roman" w:cs="Times New Roman"/>
          <w:sz w:val="24"/>
          <w:szCs w:val="24"/>
        </w:rPr>
        <w:t>e</w:t>
      </w:r>
      <w:r w:rsidR="00D66B93" w:rsidRPr="00C41483">
        <w:rPr>
          <w:rFonts w:ascii="Times New Roman" w:hAnsi="Times New Roman" w:cs="Times New Roman"/>
          <w:sz w:val="24"/>
          <w:szCs w:val="24"/>
        </w:rPr>
        <w:t xml:space="preserve"> imati za skrbnika</w:t>
      </w:r>
      <w:r w:rsidR="00E40889" w:rsidRPr="00C41483">
        <w:rPr>
          <w:rFonts w:ascii="Times New Roman" w:hAnsi="Times New Roman" w:cs="Times New Roman"/>
          <w:sz w:val="24"/>
          <w:szCs w:val="24"/>
        </w:rPr>
        <w:t>)</w:t>
      </w:r>
      <w:r w:rsidR="00D66B93" w:rsidRPr="00C41483">
        <w:rPr>
          <w:rFonts w:ascii="Times New Roman" w:hAnsi="Times New Roman" w:cs="Times New Roman"/>
          <w:sz w:val="24"/>
          <w:szCs w:val="24"/>
        </w:rPr>
        <w:t xml:space="preserve">. </w:t>
      </w:r>
      <w:r w:rsidR="00D978B1" w:rsidRPr="00C41483">
        <w:rPr>
          <w:rFonts w:ascii="Times New Roman" w:hAnsi="Times New Roman" w:cs="Times New Roman"/>
          <w:sz w:val="24"/>
          <w:szCs w:val="24"/>
        </w:rPr>
        <w:t xml:space="preserve">Navedenim Zakonom </w:t>
      </w:r>
      <w:r w:rsidR="00D66B93" w:rsidRPr="00C41483">
        <w:rPr>
          <w:rFonts w:ascii="Times New Roman" w:hAnsi="Times New Roman" w:cs="Times New Roman"/>
          <w:sz w:val="24"/>
          <w:szCs w:val="24"/>
        </w:rPr>
        <w:t xml:space="preserve">propisano je da </w:t>
      </w:r>
      <w:r w:rsidR="001E7571" w:rsidRPr="00C41483">
        <w:rPr>
          <w:rFonts w:ascii="Times New Roman" w:hAnsi="Times New Roman" w:cs="Times New Roman"/>
          <w:sz w:val="24"/>
          <w:szCs w:val="24"/>
        </w:rPr>
        <w:t>centri za socijalnu skrb pokreću postup</w:t>
      </w:r>
      <w:r w:rsidR="00F85061" w:rsidRPr="00C41483">
        <w:rPr>
          <w:rFonts w:ascii="Times New Roman" w:hAnsi="Times New Roman" w:cs="Times New Roman"/>
          <w:sz w:val="24"/>
          <w:szCs w:val="24"/>
        </w:rPr>
        <w:t>ke</w:t>
      </w:r>
      <w:r w:rsidR="001E7571" w:rsidRPr="00C41483">
        <w:rPr>
          <w:rFonts w:ascii="Times New Roman" w:hAnsi="Times New Roman" w:cs="Times New Roman"/>
          <w:sz w:val="24"/>
          <w:szCs w:val="24"/>
        </w:rPr>
        <w:t xml:space="preserve"> preispitivanja </w:t>
      </w:r>
      <w:r w:rsidR="00D66B93" w:rsidRPr="00C41483">
        <w:rPr>
          <w:rFonts w:ascii="Times New Roman" w:hAnsi="Times New Roman" w:cs="Times New Roman"/>
          <w:sz w:val="24"/>
          <w:szCs w:val="24"/>
        </w:rPr>
        <w:t>odluk</w:t>
      </w:r>
      <w:r w:rsidR="00F85061" w:rsidRPr="00C41483">
        <w:rPr>
          <w:rFonts w:ascii="Times New Roman" w:hAnsi="Times New Roman" w:cs="Times New Roman"/>
          <w:sz w:val="24"/>
          <w:szCs w:val="24"/>
        </w:rPr>
        <w:t>a</w:t>
      </w:r>
      <w:r w:rsidR="00D66B93" w:rsidRPr="00C41483">
        <w:rPr>
          <w:rFonts w:ascii="Times New Roman" w:hAnsi="Times New Roman" w:cs="Times New Roman"/>
          <w:sz w:val="24"/>
          <w:szCs w:val="24"/>
        </w:rPr>
        <w:t xml:space="preserve"> o lišenju poslovne sposobnosti </w:t>
      </w:r>
      <w:r w:rsidR="001E7571" w:rsidRPr="00C41483">
        <w:rPr>
          <w:rFonts w:ascii="Times New Roman" w:hAnsi="Times New Roman" w:cs="Times New Roman"/>
          <w:sz w:val="24"/>
          <w:szCs w:val="24"/>
        </w:rPr>
        <w:t xml:space="preserve">koje su donesene </w:t>
      </w:r>
      <w:r w:rsidR="00D66B93" w:rsidRPr="00C41483">
        <w:rPr>
          <w:rFonts w:ascii="Times New Roman" w:hAnsi="Times New Roman" w:cs="Times New Roman"/>
          <w:sz w:val="24"/>
          <w:szCs w:val="24"/>
        </w:rPr>
        <w:t>prema prijašnjim propisima</w:t>
      </w:r>
      <w:r w:rsidR="001E7571" w:rsidRPr="00C41483">
        <w:rPr>
          <w:rFonts w:ascii="Times New Roman" w:hAnsi="Times New Roman" w:cs="Times New Roman"/>
          <w:sz w:val="24"/>
          <w:szCs w:val="24"/>
        </w:rPr>
        <w:t xml:space="preserve"> u svrhu </w:t>
      </w:r>
      <w:r w:rsidR="00D66B93" w:rsidRPr="00C41483">
        <w:rPr>
          <w:rFonts w:ascii="Times New Roman" w:hAnsi="Times New Roman" w:cs="Times New Roman"/>
          <w:sz w:val="24"/>
          <w:szCs w:val="24"/>
        </w:rPr>
        <w:t>vraćanja poslovne sposobnost</w:t>
      </w:r>
      <w:r w:rsidR="001E7571" w:rsidRPr="00C41483">
        <w:rPr>
          <w:rFonts w:ascii="Times New Roman" w:hAnsi="Times New Roman" w:cs="Times New Roman"/>
          <w:sz w:val="24"/>
          <w:szCs w:val="24"/>
        </w:rPr>
        <w:t xml:space="preserve">, </w:t>
      </w:r>
      <w:r w:rsidR="00F67FA6" w:rsidRPr="00C41483">
        <w:rPr>
          <w:rFonts w:ascii="Times New Roman" w:hAnsi="Times New Roman" w:cs="Times New Roman"/>
          <w:sz w:val="24"/>
          <w:szCs w:val="24"/>
        </w:rPr>
        <w:t xml:space="preserve">isti su pokrenuti ali nisu još </w:t>
      </w:r>
      <w:r w:rsidR="006A7F11" w:rsidRPr="00C41483">
        <w:rPr>
          <w:rFonts w:ascii="Times New Roman" w:hAnsi="Times New Roman" w:cs="Times New Roman"/>
          <w:sz w:val="24"/>
          <w:szCs w:val="24"/>
        </w:rPr>
        <w:t xml:space="preserve">svi </w:t>
      </w:r>
      <w:r w:rsidR="00F67FA6" w:rsidRPr="00C41483">
        <w:rPr>
          <w:rFonts w:ascii="Times New Roman" w:hAnsi="Times New Roman" w:cs="Times New Roman"/>
          <w:sz w:val="24"/>
          <w:szCs w:val="24"/>
        </w:rPr>
        <w:t>završeni.</w:t>
      </w:r>
    </w:p>
    <w:p w14:paraId="0D84C657" w14:textId="77777777" w:rsidR="00D66B93" w:rsidRPr="00C41483" w:rsidRDefault="00D66B93" w:rsidP="006B5133">
      <w:pPr>
        <w:spacing w:after="0" w:line="240" w:lineRule="auto"/>
        <w:jc w:val="both"/>
        <w:rPr>
          <w:rFonts w:ascii="Times New Roman" w:eastAsia="Times New Roman" w:hAnsi="Times New Roman" w:cs="Times New Roman"/>
          <w:bCs/>
          <w:sz w:val="24"/>
          <w:szCs w:val="24"/>
          <w:lang w:val="en-GB"/>
        </w:rPr>
      </w:pPr>
    </w:p>
    <w:p w14:paraId="61A1DB3F" w14:textId="36056F97" w:rsidR="009813BB" w:rsidRPr="00C41483" w:rsidRDefault="00135293" w:rsidP="006B5133">
      <w:pPr>
        <w:spacing w:after="0" w:line="240" w:lineRule="auto"/>
        <w:jc w:val="both"/>
        <w:rPr>
          <w:rFonts w:ascii="Times New Roman" w:eastAsia="Times New Roman" w:hAnsi="Times New Roman" w:cs="Times New Roman"/>
          <w:sz w:val="24"/>
          <w:szCs w:val="24"/>
        </w:rPr>
      </w:pPr>
      <w:r w:rsidRPr="00C41483">
        <w:rPr>
          <w:rFonts w:ascii="Times New Roman" w:eastAsia="Times New Roman" w:hAnsi="Times New Roman" w:cs="Times New Roman"/>
          <w:bCs/>
          <w:sz w:val="24"/>
          <w:szCs w:val="24"/>
        </w:rPr>
        <w:t>(</w:t>
      </w:r>
      <w:r w:rsidR="000F3ADF" w:rsidRPr="00C41483">
        <w:rPr>
          <w:rFonts w:ascii="Times New Roman" w:eastAsia="Times New Roman" w:hAnsi="Times New Roman" w:cs="Times New Roman"/>
          <w:bCs/>
          <w:sz w:val="24"/>
          <w:szCs w:val="24"/>
        </w:rPr>
        <w:t>72)</w:t>
      </w:r>
      <w:r w:rsidRPr="00C41483">
        <w:rPr>
          <w:rFonts w:ascii="Times New Roman" w:eastAsia="Times New Roman" w:hAnsi="Times New Roman" w:cs="Times New Roman"/>
          <w:bCs/>
          <w:sz w:val="24"/>
          <w:szCs w:val="24"/>
        </w:rPr>
        <w:t xml:space="preserve"> </w:t>
      </w:r>
      <w:r w:rsidR="009813BB" w:rsidRPr="00C41483">
        <w:rPr>
          <w:rFonts w:ascii="Times New Roman" w:eastAsia="Times New Roman" w:hAnsi="Times New Roman" w:cs="Times New Roman"/>
          <w:bCs/>
          <w:sz w:val="24"/>
          <w:szCs w:val="24"/>
        </w:rPr>
        <w:t>O</w:t>
      </w:r>
      <w:r w:rsidR="009813BB" w:rsidRPr="00C41483">
        <w:rPr>
          <w:rFonts w:ascii="Times New Roman" w:eastAsia="Calibri" w:hAnsi="Times New Roman" w:cs="Times New Roman"/>
          <w:bCs/>
          <w:sz w:val="24"/>
          <w:szCs w:val="24"/>
        </w:rPr>
        <w:t xml:space="preserve">snovna prava koja regulira Zakon o zaštiti prava pacijenata </w:t>
      </w:r>
      <w:r w:rsidR="009813BB" w:rsidRPr="00C41483">
        <w:rPr>
          <w:rFonts w:ascii="Times New Roman" w:eastAsia="Times New Roman" w:hAnsi="Times New Roman" w:cs="Times New Roman"/>
          <w:bCs/>
          <w:sz w:val="24"/>
          <w:szCs w:val="24"/>
        </w:rPr>
        <w:t>su</w:t>
      </w:r>
      <w:r w:rsidR="009813BB" w:rsidRPr="00C41483">
        <w:rPr>
          <w:rFonts w:ascii="Times New Roman" w:eastAsia="Calibri" w:hAnsi="Times New Roman" w:cs="Times New Roman"/>
          <w:bCs/>
          <w:sz w:val="24"/>
          <w:szCs w:val="24"/>
        </w:rPr>
        <w:t xml:space="preserve"> </w:t>
      </w:r>
      <w:r w:rsidR="009813BB" w:rsidRPr="00C41483">
        <w:rPr>
          <w:rFonts w:ascii="Times New Roman" w:eastAsia="Calibri" w:hAnsi="Times New Roman" w:cs="Times New Roman"/>
          <w:sz w:val="24"/>
          <w:szCs w:val="24"/>
        </w:rPr>
        <w:t>pravo na</w:t>
      </w:r>
      <w:r w:rsidR="00D62F0A" w:rsidRPr="00C41483">
        <w:rPr>
          <w:rFonts w:ascii="Times New Roman" w:eastAsia="Calibri" w:hAnsi="Times New Roman" w:cs="Times New Roman"/>
          <w:sz w:val="24"/>
          <w:szCs w:val="24"/>
        </w:rPr>
        <w:t>:</w:t>
      </w:r>
      <w:r w:rsidR="009813BB" w:rsidRPr="00C41483">
        <w:rPr>
          <w:rFonts w:ascii="Times New Roman" w:eastAsia="Calibri" w:hAnsi="Times New Roman" w:cs="Times New Roman"/>
          <w:sz w:val="24"/>
          <w:szCs w:val="24"/>
        </w:rPr>
        <w:t xml:space="preserve"> suodlučivanje i obaviještenost, prihvaćanje, odnosno odbijanje medicinskoga postupka ili zahvata, povjerljivost, </w:t>
      </w:r>
      <w:r w:rsidR="00D62F0A" w:rsidRPr="00C41483">
        <w:rPr>
          <w:rFonts w:ascii="Times New Roman" w:eastAsia="Calibri" w:hAnsi="Times New Roman" w:cs="Times New Roman"/>
          <w:sz w:val="24"/>
          <w:szCs w:val="24"/>
        </w:rPr>
        <w:t>p</w:t>
      </w:r>
      <w:r w:rsidR="009813BB" w:rsidRPr="00C41483">
        <w:rPr>
          <w:rFonts w:ascii="Times New Roman" w:eastAsia="Calibri" w:hAnsi="Times New Roman" w:cs="Times New Roman"/>
          <w:sz w:val="24"/>
          <w:szCs w:val="24"/>
        </w:rPr>
        <w:t xml:space="preserve">rivatnost, održavanje osobnih kontakata, samovoljno napuštanje zdravstvene ustanove, pristup medicinskoj dokumentaciji, zaštitu pri sudjelovanju u kliničkim ispitivanjima i naknadu štete. </w:t>
      </w:r>
      <w:r w:rsidR="00663EB2" w:rsidRPr="00C41483">
        <w:rPr>
          <w:rFonts w:ascii="Times New Roman" w:eastAsia="Calibri" w:hAnsi="Times New Roman" w:cs="Times New Roman"/>
          <w:sz w:val="24"/>
          <w:szCs w:val="24"/>
        </w:rPr>
        <w:t>P</w:t>
      </w:r>
      <w:r w:rsidR="009813BB" w:rsidRPr="00C41483">
        <w:rPr>
          <w:rFonts w:ascii="Times New Roman" w:eastAsia="Times New Roman" w:hAnsi="Times New Roman" w:cs="Times New Roman"/>
          <w:sz w:val="24"/>
          <w:szCs w:val="24"/>
        </w:rPr>
        <w:t xml:space="preserve">acijent ima pravo prihvatiti ili odbiti pojedini dijagnostički, odnosno terapijski postupak, osim u slučaju neodgodive medicinske intervencije čije bi nepoduzimanje ugrozilo život i zdravlje pacijenta ili izazvalo trajna oštećenja njegovoga zdravlja (isto se u potpunosti odnosi i na postupak sterilizacije). Prihvaćanje pojedinoga dijagnostičkog ili terapijskog postupka pacijent izražava potpisivanjem suglasnosti. Slijepa osoba, gluha osoba koja ne zna čitati, nijema osoba koja ne zna pisati i </w:t>
      </w:r>
      <w:proofErr w:type="spellStart"/>
      <w:r w:rsidR="009813BB" w:rsidRPr="00C41483">
        <w:rPr>
          <w:rFonts w:ascii="Times New Roman" w:eastAsia="Times New Roman" w:hAnsi="Times New Roman" w:cs="Times New Roman"/>
          <w:sz w:val="24"/>
          <w:szCs w:val="24"/>
        </w:rPr>
        <w:t>gluhoslijepa</w:t>
      </w:r>
      <w:proofErr w:type="spellEnd"/>
      <w:r w:rsidR="009813BB" w:rsidRPr="00C41483">
        <w:rPr>
          <w:rFonts w:ascii="Times New Roman" w:eastAsia="Times New Roman" w:hAnsi="Times New Roman" w:cs="Times New Roman"/>
          <w:sz w:val="24"/>
          <w:szCs w:val="24"/>
        </w:rPr>
        <w:t xml:space="preserve"> osoba, </w:t>
      </w:r>
      <w:r w:rsidR="00663EB2" w:rsidRPr="00C41483">
        <w:rPr>
          <w:rFonts w:ascii="Times New Roman" w:eastAsia="Times New Roman" w:hAnsi="Times New Roman" w:cs="Times New Roman"/>
          <w:sz w:val="24"/>
          <w:szCs w:val="24"/>
        </w:rPr>
        <w:t xml:space="preserve">isti </w:t>
      </w:r>
      <w:r w:rsidR="009813BB" w:rsidRPr="00C41483">
        <w:rPr>
          <w:rFonts w:ascii="Times New Roman" w:eastAsia="Times New Roman" w:hAnsi="Times New Roman" w:cs="Times New Roman"/>
          <w:sz w:val="24"/>
          <w:szCs w:val="24"/>
        </w:rPr>
        <w:t>prihvaća izjavom u obliku javnobilježničkog akta ili pred dva svjedoka iskazanom izjavom o imenovanju poslovno sposobne osobe koja će u njeno ime prihvaćati ili odbijati pojedini takav postupak.</w:t>
      </w:r>
      <w:r w:rsidR="00B5293D" w:rsidRPr="00C41483">
        <w:rPr>
          <w:rFonts w:ascii="Times New Roman" w:eastAsia="Times New Roman" w:hAnsi="Times New Roman" w:cs="Times New Roman"/>
          <w:sz w:val="24"/>
          <w:szCs w:val="24"/>
        </w:rPr>
        <w:t xml:space="preserve"> </w:t>
      </w:r>
      <w:r w:rsidR="009813BB" w:rsidRPr="00C41483">
        <w:rPr>
          <w:rFonts w:ascii="Times New Roman" w:eastAsia="Times New Roman" w:hAnsi="Times New Roman" w:cs="Times New Roman"/>
          <w:sz w:val="24"/>
          <w:szCs w:val="24"/>
        </w:rPr>
        <w:t xml:space="preserve">Za pacijenta koji nije pri svijesti, za pacijenta s težim mentalnim oštećenjem te za poslovno nesposobnog ili maloljetnog pacijenta, osim u slučaju neodgodive medicinske intervencije, suglasnost potpisuje zakonski zastupnik, odnosno skrbnik pacijenta. U interesu pacijenta suglasnost </w:t>
      </w:r>
      <w:r w:rsidR="005F17B9" w:rsidRPr="00C41483">
        <w:rPr>
          <w:rFonts w:ascii="Times New Roman" w:eastAsia="Times New Roman" w:hAnsi="Times New Roman" w:cs="Times New Roman"/>
          <w:sz w:val="24"/>
          <w:szCs w:val="24"/>
        </w:rPr>
        <w:t xml:space="preserve">se </w:t>
      </w:r>
      <w:r w:rsidR="009813BB" w:rsidRPr="00C41483">
        <w:rPr>
          <w:rFonts w:ascii="Times New Roman" w:eastAsia="Times New Roman" w:hAnsi="Times New Roman" w:cs="Times New Roman"/>
          <w:sz w:val="24"/>
          <w:szCs w:val="24"/>
        </w:rPr>
        <w:t xml:space="preserve">može u bilo </w:t>
      </w:r>
      <w:r w:rsidR="009813BB" w:rsidRPr="00C41483">
        <w:rPr>
          <w:rFonts w:ascii="Times New Roman" w:eastAsia="Times New Roman" w:hAnsi="Times New Roman" w:cs="Times New Roman"/>
          <w:sz w:val="24"/>
          <w:szCs w:val="24"/>
        </w:rPr>
        <w:lastRenderedPageBreak/>
        <w:t xml:space="preserve">koje vrijeme povući potpisivanjem izjave o odbijanju pojedinoga dijagnostičkog, odnosno terapijskog postupka. Ukoliko su interesi pacijenata i njihovih zakonskih zastupnika, odnosno skrbnika suprotstavljeni, zdravstveni radnik je dužan odmah o tome obavijestiti nadležni centar za socijalnu skrb. </w:t>
      </w:r>
    </w:p>
    <w:p w14:paraId="03871E82" w14:textId="77777777" w:rsidR="00A676F3" w:rsidRPr="00C41483" w:rsidRDefault="00A676F3" w:rsidP="006B5133">
      <w:pPr>
        <w:spacing w:after="0" w:line="240" w:lineRule="auto"/>
        <w:jc w:val="both"/>
        <w:rPr>
          <w:rFonts w:ascii="Times New Roman" w:eastAsia="Calibri" w:hAnsi="Times New Roman" w:cs="Times New Roman"/>
          <w:sz w:val="24"/>
          <w:szCs w:val="24"/>
        </w:rPr>
      </w:pPr>
    </w:p>
    <w:p w14:paraId="292CF653" w14:textId="65860150" w:rsidR="00D249BC" w:rsidRPr="00C41483" w:rsidRDefault="00135293" w:rsidP="006B5133">
      <w:pPr>
        <w:spacing w:after="0" w:line="240" w:lineRule="auto"/>
        <w:jc w:val="both"/>
        <w:rPr>
          <w:rFonts w:ascii="Times New Roman" w:eastAsia="Calibri" w:hAnsi="Times New Roman" w:cs="Times New Roman"/>
          <w:sz w:val="24"/>
          <w:szCs w:val="24"/>
        </w:rPr>
      </w:pPr>
      <w:r w:rsidRPr="00C41483">
        <w:rPr>
          <w:rFonts w:ascii="Times New Roman" w:hAnsi="Times New Roman" w:cs="Times New Roman"/>
          <w:sz w:val="24"/>
          <w:szCs w:val="24"/>
          <w:lang w:eastAsia="hr-HR"/>
        </w:rPr>
        <w:t>(</w:t>
      </w:r>
      <w:r w:rsidR="00B5293D" w:rsidRPr="00C41483">
        <w:rPr>
          <w:rFonts w:ascii="Times New Roman" w:hAnsi="Times New Roman" w:cs="Times New Roman"/>
          <w:sz w:val="24"/>
          <w:szCs w:val="24"/>
          <w:lang w:eastAsia="hr-HR"/>
        </w:rPr>
        <w:t>7</w:t>
      </w:r>
      <w:r w:rsidR="000F3ADF" w:rsidRPr="00C41483">
        <w:rPr>
          <w:rFonts w:ascii="Times New Roman" w:hAnsi="Times New Roman" w:cs="Times New Roman"/>
          <w:sz w:val="24"/>
          <w:szCs w:val="24"/>
          <w:lang w:eastAsia="hr-HR"/>
        </w:rPr>
        <w:t>3</w:t>
      </w:r>
      <w:r w:rsidRPr="00C41483">
        <w:rPr>
          <w:rFonts w:ascii="Times New Roman" w:hAnsi="Times New Roman" w:cs="Times New Roman"/>
          <w:sz w:val="24"/>
          <w:szCs w:val="24"/>
          <w:lang w:eastAsia="hr-HR"/>
        </w:rPr>
        <w:t xml:space="preserve">) </w:t>
      </w:r>
      <w:r w:rsidR="00222BD9" w:rsidRPr="00C41483">
        <w:rPr>
          <w:rFonts w:ascii="Times New Roman" w:hAnsi="Times New Roman" w:cs="Times New Roman"/>
          <w:sz w:val="24"/>
          <w:szCs w:val="24"/>
          <w:lang w:eastAsia="hr-HR"/>
        </w:rPr>
        <w:t>ZZODS</w:t>
      </w:r>
      <w:r w:rsidR="00222BD9" w:rsidRPr="00C41483">
        <w:rPr>
          <w:rFonts w:ascii="Times New Roman" w:eastAsia="Calibri" w:hAnsi="Times New Roman" w:cs="Times New Roman"/>
          <w:sz w:val="24"/>
          <w:szCs w:val="24"/>
        </w:rPr>
        <w:t xml:space="preserve"> </w:t>
      </w:r>
      <w:r w:rsidR="008F1379" w:rsidRPr="00C41483">
        <w:rPr>
          <w:rFonts w:ascii="Times New Roman" w:eastAsia="Calibri" w:hAnsi="Times New Roman" w:cs="Times New Roman"/>
          <w:sz w:val="24"/>
          <w:szCs w:val="24"/>
        </w:rPr>
        <w:t>(2015) propisuje da osoba s duševnim smetnjama ima pravo na zaštitu i unapređivanje svoga zdravlja te kada je smještena u psihijatrijsku ustanovu ima pravo na jednake uvjete i standarde liječenja kao i osobe smještene u druge zdravstvene ustanove, a njezine slobode i prava mogu se ograničiti pod uvjetima i u postupku propisanim zakonom, i u mjeri u kojoj je to nužno radi njezine zaštite ili zaštite drugih osoba</w:t>
      </w:r>
      <w:r w:rsidR="00561F9D" w:rsidRPr="00C41483">
        <w:rPr>
          <w:rFonts w:ascii="Times New Roman" w:eastAsia="Calibri" w:hAnsi="Times New Roman" w:cs="Times New Roman"/>
          <w:sz w:val="24"/>
          <w:szCs w:val="24"/>
        </w:rPr>
        <w:t>.</w:t>
      </w:r>
      <w:r w:rsidR="00383A62" w:rsidRPr="00C41483">
        <w:rPr>
          <w:rFonts w:ascii="Times New Roman" w:eastAsia="Calibri" w:hAnsi="Times New Roman" w:cs="Times New Roman"/>
          <w:sz w:val="24"/>
          <w:szCs w:val="24"/>
        </w:rPr>
        <w:t xml:space="preserve"> </w:t>
      </w:r>
      <w:r w:rsidR="00D249BC" w:rsidRPr="00C41483">
        <w:rPr>
          <w:rFonts w:ascii="Times New Roman" w:eastAsia="Calibri" w:hAnsi="Times New Roman" w:cs="Times New Roman"/>
          <w:sz w:val="24"/>
          <w:szCs w:val="24"/>
        </w:rPr>
        <w:t xml:space="preserve">Detaljnije o </w:t>
      </w:r>
      <w:bookmarkStart w:id="57" w:name="_Hlk83107274"/>
      <w:r w:rsidR="00D249BC" w:rsidRPr="00C41483">
        <w:rPr>
          <w:rFonts w:ascii="Times New Roman" w:eastAsia="Calibri" w:hAnsi="Times New Roman" w:cs="Times New Roman"/>
          <w:sz w:val="24"/>
          <w:szCs w:val="24"/>
        </w:rPr>
        <w:t xml:space="preserve">primjeni medicinskih postupaka, </w:t>
      </w:r>
      <w:proofErr w:type="spellStart"/>
      <w:r w:rsidR="00D249BC" w:rsidRPr="00C41483">
        <w:rPr>
          <w:rFonts w:ascii="Times New Roman" w:eastAsia="Calibri" w:hAnsi="Times New Roman" w:cs="Times New Roman"/>
          <w:sz w:val="24"/>
          <w:szCs w:val="24"/>
        </w:rPr>
        <w:t>elektrokonvulzivnom</w:t>
      </w:r>
      <w:proofErr w:type="spellEnd"/>
      <w:r w:rsidR="00D249BC" w:rsidRPr="00C41483">
        <w:rPr>
          <w:rFonts w:ascii="Times New Roman" w:eastAsia="Calibri" w:hAnsi="Times New Roman" w:cs="Times New Roman"/>
          <w:sz w:val="24"/>
          <w:szCs w:val="24"/>
        </w:rPr>
        <w:t xml:space="preserve"> liječenju i biomedicinskog istraživanja </w:t>
      </w:r>
      <w:bookmarkEnd w:id="57"/>
      <w:r w:rsidR="00D249BC" w:rsidRPr="00C41483">
        <w:rPr>
          <w:rFonts w:ascii="Times New Roman" w:eastAsia="Calibri" w:hAnsi="Times New Roman" w:cs="Times New Roman"/>
          <w:sz w:val="24"/>
          <w:szCs w:val="24"/>
        </w:rPr>
        <w:t>u prilogu</w:t>
      </w:r>
      <w:r w:rsidR="00FC522D" w:rsidRPr="00C41483">
        <w:rPr>
          <w:rFonts w:ascii="Times New Roman" w:eastAsia="Calibri" w:hAnsi="Times New Roman" w:cs="Times New Roman"/>
          <w:sz w:val="24"/>
          <w:szCs w:val="24"/>
        </w:rPr>
        <w:t xml:space="preserve"> 20</w:t>
      </w:r>
      <w:r w:rsidR="001A2F17">
        <w:rPr>
          <w:rFonts w:ascii="Times New Roman" w:eastAsia="Calibri" w:hAnsi="Times New Roman" w:cs="Times New Roman"/>
          <w:sz w:val="24"/>
          <w:szCs w:val="24"/>
        </w:rPr>
        <w:t>.</w:t>
      </w:r>
    </w:p>
    <w:p w14:paraId="3CB39BF2" w14:textId="6E5BDD7B" w:rsidR="00427CC4" w:rsidRPr="00C41483" w:rsidRDefault="00427CC4" w:rsidP="006B5133">
      <w:pPr>
        <w:spacing w:after="0" w:line="240" w:lineRule="auto"/>
        <w:jc w:val="both"/>
        <w:rPr>
          <w:rFonts w:ascii="Times New Roman" w:eastAsia="Calibri" w:hAnsi="Times New Roman" w:cs="Times New Roman"/>
          <w:sz w:val="24"/>
          <w:szCs w:val="24"/>
        </w:rPr>
      </w:pPr>
    </w:p>
    <w:p w14:paraId="53C2E267" w14:textId="323177C1" w:rsidR="00561F9D" w:rsidRPr="00C41483" w:rsidRDefault="00135293" w:rsidP="006B5133">
      <w:pPr>
        <w:spacing w:after="0" w:line="240" w:lineRule="auto"/>
        <w:jc w:val="both"/>
        <w:rPr>
          <w:rFonts w:ascii="Times New Roman" w:eastAsia="Calibri" w:hAnsi="Times New Roman" w:cs="Times New Roman"/>
          <w:sz w:val="24"/>
          <w:szCs w:val="24"/>
        </w:rPr>
      </w:pPr>
      <w:r w:rsidRPr="00C41483">
        <w:rPr>
          <w:rFonts w:ascii="Times New Roman" w:eastAsia="Calibri" w:hAnsi="Times New Roman" w:cs="Times New Roman"/>
          <w:sz w:val="24"/>
          <w:szCs w:val="24"/>
        </w:rPr>
        <w:t>(</w:t>
      </w:r>
      <w:r w:rsidR="00B5293D" w:rsidRPr="00C41483">
        <w:rPr>
          <w:rFonts w:ascii="Times New Roman" w:eastAsia="Calibri" w:hAnsi="Times New Roman" w:cs="Times New Roman"/>
          <w:sz w:val="24"/>
          <w:szCs w:val="24"/>
        </w:rPr>
        <w:t>7</w:t>
      </w:r>
      <w:r w:rsidR="000F3ADF" w:rsidRPr="00C41483">
        <w:rPr>
          <w:rFonts w:ascii="Times New Roman" w:eastAsia="Calibri" w:hAnsi="Times New Roman" w:cs="Times New Roman"/>
          <w:sz w:val="24"/>
          <w:szCs w:val="24"/>
        </w:rPr>
        <w:t>4</w:t>
      </w:r>
      <w:r w:rsidRPr="00C41483">
        <w:rPr>
          <w:rFonts w:ascii="Times New Roman" w:eastAsia="Calibri" w:hAnsi="Times New Roman" w:cs="Times New Roman"/>
          <w:sz w:val="24"/>
          <w:szCs w:val="24"/>
        </w:rPr>
        <w:t xml:space="preserve">) </w:t>
      </w:r>
      <w:r w:rsidR="008F1379" w:rsidRPr="00C41483">
        <w:rPr>
          <w:rFonts w:ascii="Times New Roman" w:eastAsia="Calibri" w:hAnsi="Times New Roman" w:cs="Times New Roman"/>
          <w:sz w:val="24"/>
          <w:szCs w:val="24"/>
        </w:rPr>
        <w:t xml:space="preserve">U sudskim postupcima propisanim </w:t>
      </w:r>
      <w:r w:rsidR="000C105D" w:rsidRPr="00C41483">
        <w:rPr>
          <w:rFonts w:ascii="Times New Roman" w:eastAsia="Calibri" w:hAnsi="Times New Roman" w:cs="Times New Roman"/>
          <w:sz w:val="24"/>
          <w:szCs w:val="24"/>
        </w:rPr>
        <w:t>ZZODS-om</w:t>
      </w:r>
      <w:r w:rsidR="008F1379" w:rsidRPr="00C41483">
        <w:rPr>
          <w:rFonts w:ascii="Times New Roman" w:eastAsia="Calibri" w:hAnsi="Times New Roman" w:cs="Times New Roman"/>
          <w:sz w:val="24"/>
          <w:szCs w:val="24"/>
        </w:rPr>
        <w:t>, osoba s duševnim smetnjama mora imati odvjetnika</w:t>
      </w:r>
      <w:r w:rsidR="009B7057" w:rsidRPr="00C41483">
        <w:rPr>
          <w:rFonts w:ascii="Times New Roman" w:eastAsia="Calibri" w:hAnsi="Times New Roman" w:cs="Times New Roman"/>
          <w:sz w:val="24"/>
          <w:szCs w:val="24"/>
        </w:rPr>
        <w:t xml:space="preserve"> a a</w:t>
      </w:r>
      <w:r w:rsidR="00561F9D" w:rsidRPr="00C41483">
        <w:rPr>
          <w:rFonts w:ascii="Times New Roman" w:eastAsia="Calibri" w:hAnsi="Times New Roman" w:cs="Times New Roman"/>
          <w:sz w:val="24"/>
          <w:szCs w:val="24"/>
        </w:rPr>
        <w:t>ko ga ona, osoba od povjerenja ili zakonski zastupnik sam ne izabere, sud će po službenoj dužnosti postaviti odvjetnika vodeći računa o njegovoj stručnosti iz područja forenzičke psihijatrije.</w:t>
      </w:r>
    </w:p>
    <w:p w14:paraId="4B4DE9FD" w14:textId="77777777" w:rsidR="000E6B09" w:rsidRPr="00C41483" w:rsidRDefault="000E6B09" w:rsidP="006B5133">
      <w:pPr>
        <w:spacing w:after="0" w:line="240" w:lineRule="auto"/>
        <w:jc w:val="both"/>
        <w:rPr>
          <w:rFonts w:ascii="Times New Roman" w:eastAsia="Calibri" w:hAnsi="Times New Roman" w:cs="Times New Roman"/>
          <w:sz w:val="24"/>
          <w:szCs w:val="24"/>
        </w:rPr>
      </w:pPr>
    </w:p>
    <w:p w14:paraId="145E0D3C" w14:textId="4C68E002" w:rsidR="000E6B09" w:rsidRPr="00C41483" w:rsidRDefault="00C1711E" w:rsidP="006B5133">
      <w:pPr>
        <w:spacing w:after="0" w:line="240" w:lineRule="auto"/>
        <w:jc w:val="both"/>
        <w:rPr>
          <w:rFonts w:ascii="Times New Roman" w:eastAsia="Calibri" w:hAnsi="Times New Roman" w:cs="Times New Roman"/>
          <w:sz w:val="24"/>
          <w:szCs w:val="24"/>
        </w:rPr>
      </w:pPr>
      <w:r w:rsidRPr="00C41483">
        <w:rPr>
          <w:rFonts w:ascii="Times New Roman" w:eastAsia="Calibri" w:hAnsi="Times New Roman" w:cs="Times New Roman"/>
          <w:sz w:val="24"/>
          <w:szCs w:val="24"/>
        </w:rPr>
        <w:t>(7</w:t>
      </w:r>
      <w:r w:rsidR="000F3ADF" w:rsidRPr="00C41483">
        <w:rPr>
          <w:rFonts w:ascii="Times New Roman" w:eastAsia="Calibri" w:hAnsi="Times New Roman" w:cs="Times New Roman"/>
          <w:sz w:val="24"/>
          <w:szCs w:val="24"/>
        </w:rPr>
        <w:t>5</w:t>
      </w:r>
      <w:r w:rsidRPr="00C41483">
        <w:rPr>
          <w:rFonts w:ascii="Times New Roman" w:eastAsia="Calibri" w:hAnsi="Times New Roman" w:cs="Times New Roman"/>
          <w:sz w:val="24"/>
          <w:szCs w:val="24"/>
        </w:rPr>
        <w:t xml:space="preserve">) </w:t>
      </w:r>
      <w:r w:rsidR="00887911" w:rsidRPr="00C41483">
        <w:rPr>
          <w:rFonts w:ascii="Times New Roman" w:eastAsia="Calibri" w:hAnsi="Times New Roman" w:cs="Times New Roman"/>
          <w:sz w:val="24"/>
          <w:szCs w:val="24"/>
        </w:rPr>
        <w:t>Smještaj osobe s duševnim smetnjama u psihijatrijsku ustanovu je moguć uz njezin pisani pristanak, samo ako se njezino liječenje ne može provesti izvan takve ustanove.</w:t>
      </w:r>
      <w:r w:rsidR="00561F9D" w:rsidRPr="00C41483">
        <w:rPr>
          <w:rFonts w:ascii="Times New Roman" w:eastAsia="Calibri" w:hAnsi="Times New Roman" w:cs="Times New Roman"/>
          <w:sz w:val="24"/>
          <w:szCs w:val="24"/>
        </w:rPr>
        <w:t xml:space="preserve"> Pristanak za dobrovoljni smještaj osoba može opozvati u bilo kojem trenutku. Osobi koja opozove pristanak moraju se objasniti posljedice prestanka primjenjivanja određenog medicinskog postupka.</w:t>
      </w:r>
      <w:r w:rsidR="0074637B" w:rsidRPr="00C41483">
        <w:rPr>
          <w:rFonts w:ascii="Times New Roman" w:eastAsia="Calibri" w:hAnsi="Times New Roman" w:cs="Times New Roman"/>
          <w:sz w:val="24"/>
          <w:szCs w:val="24"/>
        </w:rPr>
        <w:t xml:space="preserve"> </w:t>
      </w:r>
      <w:r w:rsidR="000C105D" w:rsidRPr="00C41483">
        <w:rPr>
          <w:rFonts w:ascii="Times New Roman" w:eastAsia="Calibri" w:hAnsi="Times New Roman" w:cs="Times New Roman"/>
          <w:sz w:val="24"/>
          <w:szCs w:val="24"/>
        </w:rPr>
        <w:t>ZZODS</w:t>
      </w:r>
      <w:r w:rsidR="00887911" w:rsidRPr="00C41483">
        <w:rPr>
          <w:rFonts w:ascii="Times New Roman" w:eastAsia="Calibri" w:hAnsi="Times New Roman" w:cs="Times New Roman"/>
          <w:sz w:val="24"/>
          <w:szCs w:val="24"/>
        </w:rPr>
        <w:t xml:space="preserve"> </w:t>
      </w:r>
      <w:r w:rsidR="004C76C3" w:rsidRPr="00C41483">
        <w:rPr>
          <w:rFonts w:ascii="Times New Roman" w:eastAsia="Calibri" w:hAnsi="Times New Roman" w:cs="Times New Roman"/>
          <w:sz w:val="24"/>
          <w:szCs w:val="24"/>
        </w:rPr>
        <w:t>sadržava odredbe o smještaju u psihijatrijsku ustanovu bez pristanka, odnosno smještaju osobe s težim duševnim smetnjama koja nije sposobna dati pristanak</w:t>
      </w:r>
      <w:r w:rsidR="00252AFF" w:rsidRPr="00C41483">
        <w:rPr>
          <w:rFonts w:ascii="Times New Roman" w:eastAsia="Calibri" w:hAnsi="Times New Roman" w:cs="Times New Roman"/>
          <w:sz w:val="24"/>
          <w:szCs w:val="24"/>
        </w:rPr>
        <w:t>.</w:t>
      </w:r>
      <w:r w:rsidR="004C76C3" w:rsidRPr="00C41483">
        <w:rPr>
          <w:rFonts w:ascii="Times New Roman" w:eastAsia="Calibri" w:hAnsi="Times New Roman" w:cs="Times New Roman"/>
          <w:sz w:val="24"/>
          <w:szCs w:val="24"/>
        </w:rPr>
        <w:t xml:space="preserve"> </w:t>
      </w:r>
      <w:r w:rsidR="00561F9D" w:rsidRPr="00C41483">
        <w:rPr>
          <w:rFonts w:ascii="Times New Roman" w:eastAsia="Calibri" w:hAnsi="Times New Roman" w:cs="Times New Roman"/>
          <w:sz w:val="24"/>
          <w:szCs w:val="24"/>
        </w:rPr>
        <w:t>Psihijatrijska ustanova obvezna je o smještaju bez pristanka, bez odgode, a najkasnije u roku od 48 sati od dobivanja pisanog pristanka osobe od povjerenja ili zakonskog zastupnika, obavijestiti pravobranitelja za osobe s invaliditetom</w:t>
      </w:r>
      <w:r w:rsidR="005B2251" w:rsidRPr="00C41483">
        <w:rPr>
          <w:rFonts w:ascii="Times New Roman" w:eastAsia="Calibri" w:hAnsi="Times New Roman" w:cs="Times New Roman"/>
          <w:sz w:val="24"/>
          <w:szCs w:val="24"/>
        </w:rPr>
        <w:t xml:space="preserve"> koji će </w:t>
      </w:r>
      <w:r w:rsidR="00561F9D" w:rsidRPr="00C41483">
        <w:rPr>
          <w:rFonts w:ascii="Times New Roman" w:eastAsia="Calibri" w:hAnsi="Times New Roman" w:cs="Times New Roman"/>
          <w:sz w:val="24"/>
          <w:szCs w:val="24"/>
        </w:rPr>
        <w:t>provjerit</w:t>
      </w:r>
      <w:r w:rsidR="005B2251" w:rsidRPr="00C41483">
        <w:rPr>
          <w:rFonts w:ascii="Times New Roman" w:eastAsia="Calibri" w:hAnsi="Times New Roman" w:cs="Times New Roman"/>
          <w:sz w:val="24"/>
          <w:szCs w:val="24"/>
        </w:rPr>
        <w:t xml:space="preserve">i </w:t>
      </w:r>
      <w:r w:rsidR="00561F9D" w:rsidRPr="00C41483">
        <w:rPr>
          <w:rFonts w:ascii="Times New Roman" w:eastAsia="Calibri" w:hAnsi="Times New Roman" w:cs="Times New Roman"/>
          <w:sz w:val="24"/>
          <w:szCs w:val="24"/>
        </w:rPr>
        <w:t>opravdanost smještaja bez pristanka ako je pisani pristanak dao zakonski zastupnik i o tome sastaviti pisanu bilješku koja se unosi u medicinsku dokumentaciju osobe s duševnim smetnjama. Ako pravobranitelj posumnja u opravdanost smještaja bez pristanka bez odgode će o tome obavijestiti nadležan sud koji će na odgovarajući način primijeniti odredbe ovoga</w:t>
      </w:r>
      <w:r w:rsidR="00B5293D" w:rsidRPr="00C41483">
        <w:rPr>
          <w:rFonts w:ascii="Times New Roman" w:eastAsia="Calibri" w:hAnsi="Times New Roman" w:cs="Times New Roman"/>
          <w:sz w:val="24"/>
          <w:szCs w:val="24"/>
        </w:rPr>
        <w:t xml:space="preserve"> </w:t>
      </w:r>
      <w:r w:rsidR="00561F9D" w:rsidRPr="00C41483">
        <w:rPr>
          <w:rFonts w:ascii="Times New Roman" w:eastAsia="Calibri" w:hAnsi="Times New Roman" w:cs="Times New Roman"/>
          <w:sz w:val="24"/>
          <w:szCs w:val="24"/>
        </w:rPr>
        <w:t>Zakona o postupku prisilnog smještaja. Ako se osoba smještena bez pristanka u bilo kojem trenutku usprotivi pristanku zakonskog zastupnika, psihijatrijska ustanova obvezna je bez odgode, a najkasnije u roku od 12 sati od protivljenja, neposredno ili telekomunikacijskim sredstvima dostaviti nadležnom sudu obavijest o prisilnom zadržavanju zajedno s medicinskom dokumentacijom.</w:t>
      </w:r>
      <w:r w:rsidR="0074637B" w:rsidRPr="00C41483">
        <w:rPr>
          <w:rFonts w:ascii="Times New Roman" w:eastAsia="Calibri" w:hAnsi="Times New Roman" w:cs="Times New Roman"/>
          <w:sz w:val="24"/>
          <w:szCs w:val="24"/>
        </w:rPr>
        <w:t xml:space="preserve"> </w:t>
      </w:r>
      <w:r w:rsidR="00105A79" w:rsidRPr="00C41483">
        <w:rPr>
          <w:rFonts w:ascii="Times New Roman" w:eastAsia="Calibri" w:hAnsi="Times New Roman" w:cs="Times New Roman"/>
          <w:sz w:val="24"/>
          <w:szCs w:val="24"/>
        </w:rPr>
        <w:t>Osoba s težim duševnim smetnjama koja zbog tih smetnji ozbiljno i izravno ugrožava vlastiti ili tuđi život, zdravlje ili sigurnost, smjestit</w:t>
      </w:r>
      <w:r w:rsidR="0074637B" w:rsidRPr="00C41483">
        <w:rPr>
          <w:rFonts w:ascii="Times New Roman" w:eastAsia="Calibri" w:hAnsi="Times New Roman" w:cs="Times New Roman"/>
          <w:sz w:val="24"/>
          <w:szCs w:val="24"/>
        </w:rPr>
        <w:t>i</w:t>
      </w:r>
      <w:r w:rsidR="00105A79" w:rsidRPr="00C41483">
        <w:rPr>
          <w:rFonts w:ascii="Times New Roman" w:eastAsia="Calibri" w:hAnsi="Times New Roman" w:cs="Times New Roman"/>
          <w:sz w:val="24"/>
          <w:szCs w:val="24"/>
        </w:rPr>
        <w:t xml:space="preserve"> će se u psihijatrijsku ustanovu po postupku za prisilno zadržavanje i prisilni smještaj, a sukladno </w:t>
      </w:r>
      <w:r w:rsidR="000C105D" w:rsidRPr="00C41483">
        <w:rPr>
          <w:rFonts w:ascii="Times New Roman" w:eastAsia="Calibri" w:hAnsi="Times New Roman" w:cs="Times New Roman"/>
          <w:sz w:val="24"/>
          <w:szCs w:val="24"/>
        </w:rPr>
        <w:t>ZZODS-u</w:t>
      </w:r>
      <w:r w:rsidR="00105A79" w:rsidRPr="00C41483">
        <w:rPr>
          <w:rFonts w:ascii="Times New Roman" w:eastAsia="Calibri" w:hAnsi="Times New Roman" w:cs="Times New Roman"/>
          <w:sz w:val="24"/>
          <w:szCs w:val="24"/>
        </w:rPr>
        <w:t xml:space="preserve"> psihijatar koji primi osobu</w:t>
      </w:r>
      <w:r w:rsidR="00561F9D" w:rsidRPr="00C41483">
        <w:rPr>
          <w:rFonts w:ascii="Times New Roman" w:eastAsia="Calibri" w:hAnsi="Times New Roman" w:cs="Times New Roman"/>
          <w:sz w:val="24"/>
          <w:szCs w:val="24"/>
        </w:rPr>
        <w:t xml:space="preserve"> obvezan je bez odgode, a najkasnije u roku od 48 sati od prijema, utvrditi postoje li razlozi za prisilno zadržavanje</w:t>
      </w:r>
      <w:r w:rsidR="0093024D" w:rsidRPr="00C41483">
        <w:rPr>
          <w:rFonts w:ascii="Times New Roman" w:eastAsia="Calibri" w:hAnsi="Times New Roman" w:cs="Times New Roman"/>
          <w:sz w:val="24"/>
          <w:szCs w:val="24"/>
        </w:rPr>
        <w:t>,</w:t>
      </w:r>
      <w:r w:rsidR="00561F9D" w:rsidRPr="00C41483">
        <w:rPr>
          <w:rFonts w:ascii="Times New Roman" w:eastAsia="Calibri" w:hAnsi="Times New Roman" w:cs="Times New Roman"/>
          <w:sz w:val="24"/>
          <w:szCs w:val="24"/>
        </w:rPr>
        <w:t xml:space="preserve"> a psihijatrijska ustanova u kojoj je osoba prisilno zadržana obvezna je bez odgode, a najkasnije u roku od 12 sati od donošenja odluke o prisilnom zadržavanju, neposredno ili telekomunikacijskim sredstvima, dostaviti nadležnom županijskom sudu obavijest o prisilnom zadržavanju zajedno s medicinskom dokumentacijom.</w:t>
      </w:r>
      <w:r w:rsidR="00671891" w:rsidRPr="00C41483">
        <w:rPr>
          <w:rFonts w:ascii="Times New Roman" w:eastAsia="Calibri" w:hAnsi="Times New Roman" w:cs="Times New Roman"/>
          <w:sz w:val="24"/>
          <w:szCs w:val="24"/>
        </w:rPr>
        <w:t xml:space="preserve"> </w:t>
      </w:r>
    </w:p>
    <w:p w14:paraId="452F9550" w14:textId="77777777" w:rsidR="00B5293D" w:rsidRPr="00C41483" w:rsidRDefault="00B5293D" w:rsidP="006B5133">
      <w:pPr>
        <w:spacing w:after="0" w:line="240" w:lineRule="auto"/>
        <w:jc w:val="both"/>
        <w:rPr>
          <w:rFonts w:ascii="Times New Roman" w:eastAsia="Calibri" w:hAnsi="Times New Roman" w:cs="Times New Roman"/>
          <w:sz w:val="24"/>
          <w:szCs w:val="24"/>
        </w:rPr>
      </w:pPr>
    </w:p>
    <w:p w14:paraId="5F7AE278" w14:textId="22E93628" w:rsidR="00561F9D" w:rsidRPr="00C41483" w:rsidRDefault="005B2251" w:rsidP="006B5133">
      <w:pPr>
        <w:spacing w:after="0" w:line="240" w:lineRule="auto"/>
        <w:jc w:val="both"/>
        <w:rPr>
          <w:rFonts w:ascii="Times New Roman" w:eastAsia="Calibri" w:hAnsi="Times New Roman" w:cs="Times New Roman"/>
          <w:sz w:val="24"/>
          <w:szCs w:val="24"/>
        </w:rPr>
      </w:pPr>
      <w:r w:rsidRPr="00C41483">
        <w:rPr>
          <w:rFonts w:ascii="Times New Roman" w:eastAsia="Calibri" w:hAnsi="Times New Roman" w:cs="Times New Roman"/>
          <w:sz w:val="24"/>
          <w:szCs w:val="24"/>
        </w:rPr>
        <w:t>(</w:t>
      </w:r>
      <w:r w:rsidR="00B5293D" w:rsidRPr="00C41483">
        <w:rPr>
          <w:rFonts w:ascii="Times New Roman" w:eastAsia="Calibri" w:hAnsi="Times New Roman" w:cs="Times New Roman"/>
          <w:sz w:val="24"/>
          <w:szCs w:val="24"/>
        </w:rPr>
        <w:t>7</w:t>
      </w:r>
      <w:r w:rsidR="000F3ADF" w:rsidRPr="00C41483">
        <w:rPr>
          <w:rFonts w:ascii="Times New Roman" w:eastAsia="Calibri" w:hAnsi="Times New Roman" w:cs="Times New Roman"/>
          <w:sz w:val="24"/>
          <w:szCs w:val="24"/>
        </w:rPr>
        <w:t>6</w:t>
      </w:r>
      <w:r w:rsidRPr="00C41483">
        <w:rPr>
          <w:rFonts w:ascii="Times New Roman" w:eastAsia="Calibri" w:hAnsi="Times New Roman" w:cs="Times New Roman"/>
          <w:sz w:val="24"/>
          <w:szCs w:val="24"/>
        </w:rPr>
        <w:t xml:space="preserve">) </w:t>
      </w:r>
      <w:r w:rsidR="000C105D" w:rsidRPr="00C41483">
        <w:rPr>
          <w:rFonts w:ascii="Times New Roman" w:eastAsia="Calibri" w:hAnsi="Times New Roman" w:cs="Times New Roman"/>
          <w:sz w:val="24"/>
          <w:szCs w:val="24"/>
        </w:rPr>
        <w:t>ZZODS</w:t>
      </w:r>
      <w:r w:rsidR="00105A79" w:rsidRPr="00C41483">
        <w:rPr>
          <w:rFonts w:ascii="Times New Roman" w:eastAsia="Calibri" w:hAnsi="Times New Roman" w:cs="Times New Roman"/>
          <w:sz w:val="24"/>
          <w:szCs w:val="24"/>
        </w:rPr>
        <w:t xml:space="preserve"> </w:t>
      </w:r>
      <w:r w:rsidR="00561F9D" w:rsidRPr="00C41483">
        <w:rPr>
          <w:rFonts w:ascii="Times New Roman" w:eastAsia="Calibri" w:hAnsi="Times New Roman" w:cs="Times New Roman"/>
          <w:sz w:val="24"/>
          <w:szCs w:val="24"/>
        </w:rPr>
        <w:t>definira osobu od povjerenja, kao osobu koja je ovlaštena za davanje ili uskratu pristanka na određene medicinske postupke umjesto osobe koja ju je na to ovlastila obvezujućom izjavom.</w:t>
      </w:r>
      <w:r w:rsidR="00A92791" w:rsidRPr="00C41483">
        <w:rPr>
          <w:rFonts w:ascii="Times New Roman" w:eastAsia="Calibri" w:hAnsi="Times New Roman" w:cs="Times New Roman"/>
          <w:sz w:val="24"/>
          <w:szCs w:val="24"/>
        </w:rPr>
        <w:t xml:space="preserve"> S</w:t>
      </w:r>
      <w:r w:rsidR="00561F9D" w:rsidRPr="00C41483">
        <w:rPr>
          <w:rFonts w:ascii="Times New Roman" w:eastAsia="Calibri" w:hAnsi="Times New Roman" w:cs="Times New Roman"/>
          <w:sz w:val="24"/>
          <w:szCs w:val="24"/>
        </w:rPr>
        <w:t>vaka osoba može ovlastiti samo jednu osobu, koja na to pristane, da kao osoba od povjerenja umjesto nje, nakon što se ispune zakonske pretpostavke, dade ili uskrati pristanak na određene medicinske postupke propisane tim Zakonom (</w:t>
      </w:r>
      <w:r w:rsidR="00837E76" w:rsidRPr="00C41483">
        <w:rPr>
          <w:rFonts w:ascii="Times New Roman" w:eastAsia="Calibri" w:hAnsi="Times New Roman" w:cs="Times New Roman"/>
          <w:sz w:val="24"/>
          <w:szCs w:val="24"/>
        </w:rPr>
        <w:t xml:space="preserve">dalje </w:t>
      </w:r>
      <w:r w:rsidR="00561F9D" w:rsidRPr="00C41483">
        <w:rPr>
          <w:rFonts w:ascii="Times New Roman" w:eastAsia="Calibri" w:hAnsi="Times New Roman" w:cs="Times New Roman"/>
          <w:sz w:val="24"/>
          <w:szCs w:val="24"/>
        </w:rPr>
        <w:t xml:space="preserve">u tekstu: obvezujuća izjava). Obvezujuća izjava je pravovaljana ako je sastavljena u obliku </w:t>
      </w:r>
      <w:r w:rsidR="00561F9D" w:rsidRPr="00C41483">
        <w:rPr>
          <w:rFonts w:ascii="Times New Roman" w:eastAsia="Calibri" w:hAnsi="Times New Roman" w:cs="Times New Roman"/>
          <w:sz w:val="24"/>
          <w:szCs w:val="24"/>
        </w:rPr>
        <w:lastRenderedPageBreak/>
        <w:t>javnobilježničkog akta</w:t>
      </w:r>
      <w:r w:rsidR="00A92791" w:rsidRPr="00C41483">
        <w:rPr>
          <w:rFonts w:ascii="Times New Roman" w:eastAsia="Calibri" w:hAnsi="Times New Roman" w:cs="Times New Roman"/>
          <w:sz w:val="24"/>
          <w:szCs w:val="24"/>
        </w:rPr>
        <w:t xml:space="preserve"> a</w:t>
      </w:r>
      <w:r w:rsidR="00561F9D" w:rsidRPr="00C41483">
        <w:rPr>
          <w:rFonts w:ascii="Times New Roman" w:eastAsia="Calibri" w:hAnsi="Times New Roman" w:cs="Times New Roman"/>
          <w:sz w:val="24"/>
          <w:szCs w:val="24"/>
        </w:rPr>
        <w:t xml:space="preserve"> primjenjuje se samo onda ako osoba koja ju je dala nije sposobna dati pristanak za medicinske postupke određene tom izjavom, pri čemu ista obvezuje sve pružatelje medicinskih usluga koji primjenjuju medicinske postupke propisane tim zakonom. </w:t>
      </w:r>
      <w:r w:rsidR="00A92791" w:rsidRPr="00C41483">
        <w:rPr>
          <w:rFonts w:ascii="Times New Roman" w:eastAsia="Calibri" w:hAnsi="Times New Roman" w:cs="Times New Roman"/>
          <w:sz w:val="24"/>
          <w:szCs w:val="24"/>
        </w:rPr>
        <w:t>D</w:t>
      </w:r>
      <w:r w:rsidR="00561F9D" w:rsidRPr="00C41483">
        <w:rPr>
          <w:rFonts w:ascii="Times New Roman" w:eastAsia="Calibri" w:hAnsi="Times New Roman" w:cs="Times New Roman"/>
          <w:sz w:val="24"/>
          <w:szCs w:val="24"/>
        </w:rPr>
        <w:t xml:space="preserve">avatelj obvezujuće izjave može biti osoba koja je navršila 18 godina života ili je stekla poslovnu sposobnost prije punoljetnosti, a nije lišena poslovne sposobnosti za donošenje odluka o medicinskim postupcima. Osoba od povjerenja može biti osoba koja je navršila 18 godina života i koja nije lišena poslovne sposobnosti. Osoba od povjerenja ne može ovlaštenje iz obvezujuće izjave prenijeti na drugu osobu. </w:t>
      </w:r>
      <w:r w:rsidR="00A92791" w:rsidRPr="00C41483">
        <w:rPr>
          <w:rFonts w:ascii="Times New Roman" w:eastAsia="Calibri" w:hAnsi="Times New Roman" w:cs="Times New Roman"/>
          <w:sz w:val="24"/>
          <w:szCs w:val="24"/>
        </w:rPr>
        <w:t>D</w:t>
      </w:r>
      <w:r w:rsidR="00561F9D" w:rsidRPr="00C41483">
        <w:rPr>
          <w:rFonts w:ascii="Times New Roman" w:eastAsia="Calibri" w:hAnsi="Times New Roman" w:cs="Times New Roman"/>
          <w:sz w:val="24"/>
          <w:szCs w:val="24"/>
        </w:rPr>
        <w:t>avatelj obvezujuće izjave i osoba od povjerenja mogu u svakom trenutku opozvati obvezujuću izjavu</w:t>
      </w:r>
      <w:r w:rsidR="00A92791" w:rsidRPr="00C41483">
        <w:rPr>
          <w:rFonts w:ascii="Times New Roman" w:eastAsia="Calibri" w:hAnsi="Times New Roman" w:cs="Times New Roman"/>
          <w:sz w:val="24"/>
          <w:szCs w:val="24"/>
        </w:rPr>
        <w:t xml:space="preserve"> a</w:t>
      </w:r>
      <w:r w:rsidR="00561F9D" w:rsidRPr="00C41483">
        <w:rPr>
          <w:rFonts w:ascii="Times New Roman" w:eastAsia="Calibri" w:hAnsi="Times New Roman" w:cs="Times New Roman"/>
          <w:sz w:val="24"/>
          <w:szCs w:val="24"/>
        </w:rPr>
        <w:t xml:space="preserve"> opoziv obvezujuće izjave pravovaljan </w:t>
      </w:r>
      <w:r w:rsidR="00A92791" w:rsidRPr="00C41483">
        <w:rPr>
          <w:rFonts w:ascii="Times New Roman" w:eastAsia="Calibri" w:hAnsi="Times New Roman" w:cs="Times New Roman"/>
          <w:sz w:val="24"/>
          <w:szCs w:val="24"/>
        </w:rPr>
        <w:t xml:space="preserve">je </w:t>
      </w:r>
      <w:r w:rsidR="00561F9D" w:rsidRPr="00C41483">
        <w:rPr>
          <w:rFonts w:ascii="Times New Roman" w:eastAsia="Calibri" w:hAnsi="Times New Roman" w:cs="Times New Roman"/>
          <w:sz w:val="24"/>
          <w:szCs w:val="24"/>
        </w:rPr>
        <w:t xml:space="preserve">ako je sastavljen u obliku javnobilježničkog akta. </w:t>
      </w:r>
      <w:r w:rsidR="00A92791" w:rsidRPr="00C41483">
        <w:rPr>
          <w:rFonts w:ascii="Times New Roman" w:eastAsia="Calibri" w:hAnsi="Times New Roman" w:cs="Times New Roman"/>
          <w:sz w:val="24"/>
          <w:szCs w:val="24"/>
        </w:rPr>
        <w:t>O</w:t>
      </w:r>
      <w:r w:rsidR="00561F9D" w:rsidRPr="00C41483">
        <w:rPr>
          <w:rFonts w:ascii="Times New Roman" w:eastAsia="Calibri" w:hAnsi="Times New Roman" w:cs="Times New Roman"/>
          <w:sz w:val="24"/>
          <w:szCs w:val="24"/>
        </w:rPr>
        <w:t>bvezujuća izjava ima prednost pred odlukama zakonskoga zastupnika. Ako psihijatrijska ustanova smatra da je odluka osobe od povjerenja štetna za osobu s duševnim smetnjama, obavijestit će o tome nadležni centar za socijalnu skrb koji je ovlašten pokrenuti postupak opoziva obvezujuće izjave pred općinskim sudom mjesno nadležnim prema prebivalištu odnosno boravištu osobe s duševnim smetnjama. Do pravomoćnosti odluke sud može privremenom mjerom zaštititi interese osobe s duševnim smetnjama.</w:t>
      </w:r>
    </w:p>
    <w:p w14:paraId="262785F5" w14:textId="77777777" w:rsidR="00B5293D" w:rsidRPr="00C41483" w:rsidRDefault="00B5293D" w:rsidP="006B5133">
      <w:pPr>
        <w:spacing w:after="0" w:line="240" w:lineRule="auto"/>
        <w:jc w:val="both"/>
        <w:rPr>
          <w:rFonts w:ascii="Times New Roman" w:eastAsia="Calibri" w:hAnsi="Times New Roman" w:cs="Times New Roman"/>
          <w:sz w:val="24"/>
          <w:szCs w:val="24"/>
        </w:rPr>
      </w:pPr>
    </w:p>
    <w:p w14:paraId="71FF537C" w14:textId="2FC61F2D" w:rsidR="00671891" w:rsidRPr="00C41483" w:rsidRDefault="005B2251" w:rsidP="006B5133">
      <w:pPr>
        <w:spacing w:after="0" w:line="240" w:lineRule="auto"/>
        <w:jc w:val="both"/>
        <w:rPr>
          <w:rFonts w:ascii="Times New Roman" w:eastAsia="Calibri" w:hAnsi="Times New Roman" w:cs="Times New Roman"/>
          <w:sz w:val="24"/>
          <w:szCs w:val="24"/>
        </w:rPr>
      </w:pPr>
      <w:r w:rsidRPr="00C41483">
        <w:rPr>
          <w:rFonts w:ascii="Times New Roman" w:eastAsia="Calibri" w:hAnsi="Times New Roman" w:cs="Times New Roman"/>
          <w:sz w:val="24"/>
          <w:szCs w:val="24"/>
        </w:rPr>
        <w:t>(</w:t>
      </w:r>
      <w:r w:rsidR="00B5293D" w:rsidRPr="00C41483">
        <w:rPr>
          <w:rFonts w:ascii="Times New Roman" w:eastAsia="Calibri" w:hAnsi="Times New Roman" w:cs="Times New Roman"/>
          <w:sz w:val="24"/>
          <w:szCs w:val="24"/>
        </w:rPr>
        <w:t>7</w:t>
      </w:r>
      <w:r w:rsidR="000F3ADF" w:rsidRPr="00C41483">
        <w:rPr>
          <w:rFonts w:ascii="Times New Roman" w:eastAsia="Calibri" w:hAnsi="Times New Roman" w:cs="Times New Roman"/>
          <w:sz w:val="24"/>
          <w:szCs w:val="24"/>
        </w:rPr>
        <w:t>7</w:t>
      </w:r>
      <w:r w:rsidRPr="00C41483">
        <w:rPr>
          <w:rFonts w:ascii="Times New Roman" w:eastAsia="Calibri" w:hAnsi="Times New Roman" w:cs="Times New Roman"/>
          <w:sz w:val="24"/>
          <w:szCs w:val="24"/>
        </w:rPr>
        <w:t xml:space="preserve">) </w:t>
      </w:r>
      <w:r w:rsidR="005F17B9" w:rsidRPr="00C41483">
        <w:rPr>
          <w:rFonts w:ascii="Times New Roman" w:eastAsia="Calibri" w:hAnsi="Times New Roman" w:cs="Times New Roman"/>
          <w:sz w:val="24"/>
          <w:szCs w:val="24"/>
        </w:rPr>
        <w:t>ZKP-om</w:t>
      </w:r>
      <w:r w:rsidR="00665817" w:rsidRPr="00C41483">
        <w:rPr>
          <w:rFonts w:ascii="Times New Roman" w:eastAsia="Calibri" w:hAnsi="Times New Roman" w:cs="Times New Roman"/>
          <w:sz w:val="24"/>
          <w:szCs w:val="24"/>
        </w:rPr>
        <w:t xml:space="preserve"> </w:t>
      </w:r>
      <w:r w:rsidR="009D041E" w:rsidRPr="00C41483">
        <w:rPr>
          <w:rFonts w:ascii="Times New Roman" w:eastAsia="Calibri" w:hAnsi="Times New Roman" w:cs="Times New Roman"/>
          <w:sz w:val="24"/>
          <w:szCs w:val="24"/>
        </w:rPr>
        <w:t xml:space="preserve">je </w:t>
      </w:r>
      <w:r w:rsidR="00561F9D" w:rsidRPr="00C41483">
        <w:rPr>
          <w:rFonts w:ascii="Times New Roman" w:eastAsia="Calibri" w:hAnsi="Times New Roman" w:cs="Times New Roman"/>
          <w:sz w:val="24"/>
          <w:szCs w:val="24"/>
        </w:rPr>
        <w:t xml:space="preserve">propisano da stranke i ostali sudionici u postupku, </w:t>
      </w:r>
      <w:r w:rsidR="00837E76" w:rsidRPr="00C41483">
        <w:rPr>
          <w:rFonts w:ascii="Times New Roman" w:eastAsia="Calibri" w:hAnsi="Times New Roman" w:cs="Times New Roman"/>
          <w:sz w:val="24"/>
          <w:szCs w:val="24"/>
        </w:rPr>
        <w:t xml:space="preserve">dakle i </w:t>
      </w:r>
      <w:r w:rsidR="00561F9D" w:rsidRPr="00C41483">
        <w:rPr>
          <w:rFonts w:ascii="Times New Roman" w:eastAsia="Calibri" w:hAnsi="Times New Roman" w:cs="Times New Roman"/>
          <w:sz w:val="24"/>
          <w:szCs w:val="24"/>
        </w:rPr>
        <w:t>žrtve, imaju pravo služiti se svojim jezikom, uključujući i znakovni jezik</w:t>
      </w:r>
      <w:r w:rsidR="00B04900" w:rsidRPr="00C41483">
        <w:rPr>
          <w:rFonts w:ascii="Times New Roman" w:eastAsia="Calibri" w:hAnsi="Times New Roman" w:cs="Times New Roman"/>
          <w:sz w:val="24"/>
          <w:szCs w:val="24"/>
        </w:rPr>
        <w:t>. G</w:t>
      </w:r>
      <w:r w:rsidR="00F56691" w:rsidRPr="00C41483">
        <w:rPr>
          <w:rFonts w:ascii="Times New Roman" w:eastAsia="Calibri" w:hAnsi="Times New Roman" w:cs="Times New Roman"/>
          <w:sz w:val="24"/>
          <w:szCs w:val="24"/>
        </w:rPr>
        <w:t xml:space="preserve">luha ili </w:t>
      </w:r>
      <w:proofErr w:type="spellStart"/>
      <w:r w:rsidR="00F56691" w:rsidRPr="00C41483">
        <w:rPr>
          <w:rFonts w:ascii="Times New Roman" w:eastAsia="Calibri" w:hAnsi="Times New Roman" w:cs="Times New Roman"/>
          <w:sz w:val="24"/>
          <w:szCs w:val="24"/>
        </w:rPr>
        <w:t>gluhoslijepa</w:t>
      </w:r>
      <w:proofErr w:type="spellEnd"/>
      <w:r w:rsidR="00F56691" w:rsidRPr="00C41483">
        <w:rPr>
          <w:rFonts w:ascii="Times New Roman" w:eastAsia="Calibri" w:hAnsi="Times New Roman" w:cs="Times New Roman"/>
          <w:sz w:val="24"/>
          <w:szCs w:val="24"/>
        </w:rPr>
        <w:t xml:space="preserve"> </w:t>
      </w:r>
      <w:r w:rsidR="00B04900" w:rsidRPr="00C41483">
        <w:rPr>
          <w:rFonts w:ascii="Times New Roman" w:eastAsia="Calibri" w:hAnsi="Times New Roman" w:cs="Times New Roman"/>
          <w:sz w:val="24"/>
          <w:szCs w:val="24"/>
        </w:rPr>
        <w:t xml:space="preserve">osoba </w:t>
      </w:r>
      <w:r w:rsidR="00F56691" w:rsidRPr="00C41483">
        <w:rPr>
          <w:rFonts w:ascii="Times New Roman" w:eastAsia="Calibri" w:hAnsi="Times New Roman" w:cs="Times New Roman"/>
          <w:sz w:val="24"/>
          <w:szCs w:val="24"/>
        </w:rPr>
        <w:t xml:space="preserve">ima pravo na prevođenje </w:t>
      </w:r>
      <w:r w:rsidR="00561F9D" w:rsidRPr="00C41483">
        <w:rPr>
          <w:rFonts w:ascii="Times New Roman" w:eastAsia="Calibri" w:hAnsi="Times New Roman" w:cs="Times New Roman"/>
          <w:sz w:val="24"/>
          <w:szCs w:val="24"/>
        </w:rPr>
        <w:t xml:space="preserve">ili tumačenje znakovnim jezikom </w:t>
      </w:r>
      <w:r w:rsidR="00F56691" w:rsidRPr="00C41483">
        <w:rPr>
          <w:rFonts w:ascii="Times New Roman" w:eastAsia="Calibri" w:hAnsi="Times New Roman" w:cs="Times New Roman"/>
          <w:sz w:val="24"/>
          <w:szCs w:val="24"/>
        </w:rPr>
        <w:t xml:space="preserve">usmene komunikacije </w:t>
      </w:r>
      <w:r w:rsidR="00561F9D" w:rsidRPr="00C41483">
        <w:rPr>
          <w:rFonts w:ascii="Times New Roman" w:eastAsia="Calibri" w:hAnsi="Times New Roman" w:cs="Times New Roman"/>
          <w:sz w:val="24"/>
          <w:szCs w:val="24"/>
        </w:rPr>
        <w:t xml:space="preserve">te isprava i drugog pisanog dokaznog materijala koji se izvodi. </w:t>
      </w:r>
      <w:r w:rsidR="005F17B9" w:rsidRPr="00C41483">
        <w:rPr>
          <w:rFonts w:ascii="Times New Roman" w:eastAsia="Calibri" w:hAnsi="Times New Roman" w:cs="Times New Roman"/>
          <w:sz w:val="24"/>
          <w:szCs w:val="24"/>
        </w:rPr>
        <w:t>S</w:t>
      </w:r>
      <w:r w:rsidR="00561F9D" w:rsidRPr="00C41483">
        <w:rPr>
          <w:rFonts w:ascii="Times New Roman" w:eastAsia="Calibri" w:hAnsi="Times New Roman" w:cs="Times New Roman"/>
          <w:sz w:val="24"/>
          <w:szCs w:val="24"/>
        </w:rPr>
        <w:t xml:space="preserve">vaka žrtva, uključujući i osobe invaliditetom, uz ostala prava, ima pravo na pristup službama za potporu žrtvama kaznenih djela, na djelotvornu psihološku i drugu stručnu pomoć i potporu tijela, organizacije ili ustanove za pomoć žrtvama kaznenih djela u skladu sa zakonom, na zaštitu od zastrašivanja i odmazde, na zaštitu dostojanstva tijekom ispitivanja žrtve kao svjedoka, da bude saslušana bez neopravdane odgode nakon podnošenja kaznene prijave te da se daljnja saslušanja provode samo u mjeri u kojoj je to nužno za potrebe kaznenog postupka, na pratnju osobe od povjerenja pri poduzimanju radnji u kojima sudjeluje, da se medicinski zahvati prema žrtvi poduzimaju u najmanjoj mjeri i samo ako su krajnje nužni za potrebe kaznenog postupka te da na njezin zahtjev bez nepotrebne odgode bude obaviještena o ukidanju pritvora ili istražnog zatvora, bijegu okrivljenika i otpuštanju osuđenika s izdržavanja kazne zatvora te mjerama koje su poduzete radi njezine zaštite. </w:t>
      </w:r>
      <w:r w:rsidR="00671891" w:rsidRPr="00C41483">
        <w:rPr>
          <w:rFonts w:ascii="Times New Roman" w:eastAsia="Calibri" w:hAnsi="Times New Roman" w:cs="Times New Roman"/>
          <w:sz w:val="24"/>
          <w:szCs w:val="24"/>
        </w:rPr>
        <w:t>Detaljnije u prilogu</w:t>
      </w:r>
      <w:r w:rsidR="00FC522D" w:rsidRPr="00C41483">
        <w:rPr>
          <w:rFonts w:ascii="Times New Roman" w:eastAsia="Calibri" w:hAnsi="Times New Roman" w:cs="Times New Roman"/>
          <w:sz w:val="24"/>
          <w:szCs w:val="24"/>
        </w:rPr>
        <w:t xml:space="preserve"> 21</w:t>
      </w:r>
      <w:r w:rsidR="001A2F17">
        <w:rPr>
          <w:rFonts w:ascii="Times New Roman" w:eastAsia="Calibri" w:hAnsi="Times New Roman" w:cs="Times New Roman"/>
          <w:sz w:val="24"/>
          <w:szCs w:val="24"/>
        </w:rPr>
        <w:t>.</w:t>
      </w:r>
    </w:p>
    <w:p w14:paraId="5D10F6C3" w14:textId="77777777" w:rsidR="00852CE4" w:rsidRPr="00C41483" w:rsidRDefault="00852CE4" w:rsidP="006B5133">
      <w:pPr>
        <w:spacing w:after="0" w:line="240" w:lineRule="auto"/>
        <w:jc w:val="both"/>
        <w:rPr>
          <w:rFonts w:ascii="Times New Roman" w:eastAsia="Calibri" w:hAnsi="Times New Roman" w:cs="Times New Roman"/>
          <w:sz w:val="24"/>
          <w:szCs w:val="24"/>
        </w:rPr>
      </w:pPr>
    </w:p>
    <w:p w14:paraId="33787A51" w14:textId="6C6E7BF7" w:rsidR="00A542B9" w:rsidRPr="00C41483" w:rsidRDefault="005B2251" w:rsidP="00A542B9">
      <w:pPr>
        <w:spacing w:after="0" w:line="240" w:lineRule="auto"/>
        <w:jc w:val="both"/>
        <w:rPr>
          <w:rFonts w:ascii="Arial" w:eastAsia="Times New Roman" w:hAnsi="Arial" w:cs="Arial"/>
          <w:sz w:val="24"/>
          <w:szCs w:val="24"/>
          <w:lang w:eastAsia="hr-HR"/>
        </w:rPr>
      </w:pPr>
      <w:r w:rsidRPr="00C41483">
        <w:rPr>
          <w:rFonts w:ascii="Times New Roman" w:eastAsia="Calibri" w:hAnsi="Times New Roman" w:cs="Times New Roman"/>
          <w:sz w:val="24"/>
          <w:szCs w:val="24"/>
        </w:rPr>
        <w:t>(</w:t>
      </w:r>
      <w:r w:rsidR="00B5293D" w:rsidRPr="00C41483">
        <w:rPr>
          <w:rFonts w:ascii="Times New Roman" w:eastAsia="Calibri" w:hAnsi="Times New Roman" w:cs="Times New Roman"/>
          <w:sz w:val="24"/>
          <w:szCs w:val="24"/>
        </w:rPr>
        <w:t>7</w:t>
      </w:r>
      <w:r w:rsidR="000F3ADF" w:rsidRPr="00C41483">
        <w:rPr>
          <w:rFonts w:ascii="Times New Roman" w:eastAsia="Calibri" w:hAnsi="Times New Roman" w:cs="Times New Roman"/>
          <w:sz w:val="24"/>
          <w:szCs w:val="24"/>
        </w:rPr>
        <w:t>8</w:t>
      </w:r>
      <w:r w:rsidRPr="00C41483">
        <w:rPr>
          <w:rFonts w:ascii="Times New Roman" w:eastAsia="Calibri" w:hAnsi="Times New Roman" w:cs="Times New Roman"/>
          <w:sz w:val="24"/>
          <w:szCs w:val="24"/>
        </w:rPr>
        <w:t xml:space="preserve">) </w:t>
      </w:r>
      <w:r w:rsidR="00561F9D" w:rsidRPr="00C41483">
        <w:rPr>
          <w:rFonts w:ascii="Times New Roman" w:eastAsia="Calibri" w:hAnsi="Times New Roman" w:cs="Times New Roman"/>
          <w:sz w:val="24"/>
          <w:szCs w:val="24"/>
        </w:rPr>
        <w:t>Zakon o zaštiti od nasilja u obitelji</w:t>
      </w:r>
      <w:r w:rsidR="00DA2948" w:rsidRPr="00C41483">
        <w:rPr>
          <w:rFonts w:ascii="Times New Roman" w:eastAsia="Calibri" w:hAnsi="Times New Roman" w:cs="Times New Roman"/>
          <w:sz w:val="24"/>
          <w:szCs w:val="24"/>
        </w:rPr>
        <w:t xml:space="preserve"> (2018.)</w:t>
      </w:r>
      <w:r w:rsidR="00290E7D" w:rsidRPr="00C41483">
        <w:rPr>
          <w:rFonts w:ascii="Times New Roman" w:eastAsia="Calibri" w:hAnsi="Times New Roman" w:cs="Times New Roman"/>
          <w:sz w:val="24"/>
          <w:szCs w:val="24"/>
        </w:rPr>
        <w:t xml:space="preserve"> prop</w:t>
      </w:r>
      <w:r w:rsidR="00561F9D" w:rsidRPr="00C41483">
        <w:rPr>
          <w:rFonts w:ascii="Times New Roman" w:eastAsia="Calibri" w:hAnsi="Times New Roman" w:cs="Times New Roman"/>
          <w:sz w:val="24"/>
          <w:szCs w:val="24"/>
        </w:rPr>
        <w:t>isuje da žrtva nasilja u obitelji, uključujući osobe s invaliditetom, ima, uz ostala prava i pravo na</w:t>
      </w:r>
      <w:r w:rsidR="00DA2948" w:rsidRPr="00C41483">
        <w:rPr>
          <w:rFonts w:ascii="Times New Roman" w:eastAsia="Calibri" w:hAnsi="Times New Roman" w:cs="Times New Roman"/>
          <w:sz w:val="24"/>
          <w:szCs w:val="24"/>
        </w:rPr>
        <w:t>:</w:t>
      </w:r>
      <w:r w:rsidR="00561F9D" w:rsidRPr="00C41483">
        <w:rPr>
          <w:rFonts w:ascii="Times New Roman" w:eastAsia="Calibri" w:hAnsi="Times New Roman" w:cs="Times New Roman"/>
          <w:sz w:val="24"/>
          <w:szCs w:val="24"/>
        </w:rPr>
        <w:t xml:space="preserve"> pristup službama za potporu žrtvama nasilja u obitelji, djelotvornu psihološku i drugu stručnu pomoć i potporu tijela, organizacije ili ustanove za pomoć žrtvama nasilja u obitelji, zaštitu od zastrašivanja i odmazde, zaštitu dostojanstva tijekom ispitivanja žrtve kao svjedoka, pratnju osobe od povjerenja pri poduzimanju svih radnji u kojima sudjeluje, da na njezin zahtjev, bez nepotrebne odgode, bude obaviještena o ukidanju zadržavanja ili bijegu okrivljenika te stavljanju izvan snage odluke o izricanju zaštitnih mjera i ukidanju mjera opreza koje su određene radi njezine zaštite ili otpuštanju osuđenika s izdržavanja kazne zatvora, pravo na tajnost podataka čijim bi se otkrivanjem mogla ugroziti njezina sigurnost ili sigurnost osoba iz članka 8</w:t>
      </w:r>
      <w:r w:rsidR="009813BB" w:rsidRPr="00C41483">
        <w:rPr>
          <w:rFonts w:ascii="Times New Roman" w:eastAsia="Calibri" w:hAnsi="Times New Roman" w:cs="Times New Roman"/>
          <w:sz w:val="24"/>
          <w:szCs w:val="24"/>
        </w:rPr>
        <w:t>.</w:t>
      </w:r>
      <w:r w:rsidR="00561F9D" w:rsidRPr="00C41483">
        <w:rPr>
          <w:rFonts w:ascii="Times New Roman" w:eastAsia="Calibri" w:hAnsi="Times New Roman" w:cs="Times New Roman"/>
          <w:sz w:val="24"/>
          <w:szCs w:val="24"/>
        </w:rPr>
        <w:t xml:space="preserve"> Zakona te pravo zahtijevati isključenje javnosti u postupku pred sudom, pravo na opunomoćenika u postupku, pravo biti ispitana bez neopravdane odgode nakon podnošenja prijave, pravo zahtijevati da bude ispitana u postupku pred sudom te pravo da se daljnja ispitivanja provode samo u mjeri u kojoj je to nužno za potrebe prekršajnog postupka, pravo biti ispitana na policiji od strane osobe istog spola, pravo na izbjegavanje kontakta s počiniteljem prije i tijekom postupka, osim ako prekršajni postupak zahtijeva takav kontakt, pravo na privremeni smještaj u odgovarajuću ustanovu sukladno posebnom zakonu, pravo na policijsku zaštitu i osiguranje, po nalogu suda, </w:t>
      </w:r>
      <w:r w:rsidR="00561F9D" w:rsidRPr="00C41483">
        <w:rPr>
          <w:rFonts w:ascii="Times New Roman" w:eastAsia="Calibri" w:hAnsi="Times New Roman" w:cs="Times New Roman"/>
          <w:sz w:val="24"/>
          <w:szCs w:val="24"/>
        </w:rPr>
        <w:lastRenderedPageBreak/>
        <w:t xml:space="preserve">u svrhu neometanog uzimanja osobnih stvari prilikom napuštanja zajedničkog kućanstva te druga prava propisana zakonom kojim se uređuje kazneni postupak, osim onih prava koja po naravi stvari može imati samo žrtva kaznenog djela. </w:t>
      </w:r>
      <w:r w:rsidR="00DA2948" w:rsidRPr="00C41483">
        <w:rPr>
          <w:rFonts w:ascii="Times New Roman" w:eastAsia="Calibri" w:hAnsi="Times New Roman" w:cs="Times New Roman"/>
          <w:sz w:val="24"/>
          <w:szCs w:val="24"/>
        </w:rPr>
        <w:t>T</w:t>
      </w:r>
      <w:r w:rsidR="00561F9D" w:rsidRPr="00C41483">
        <w:rPr>
          <w:rFonts w:ascii="Times New Roman" w:eastAsia="Calibri" w:hAnsi="Times New Roman" w:cs="Times New Roman"/>
          <w:sz w:val="24"/>
          <w:szCs w:val="24"/>
        </w:rPr>
        <w:t xml:space="preserve">ijela koja postupaju povodom nasilja u obitelji dužna su već pri poduzimanju prve radnje u kojoj žrtva sudjeluje obavijestiti žrtvu na njoj razumljiv način o svim pravima koja ima sukladno odredbama </w:t>
      </w:r>
      <w:r w:rsidR="00DA2948" w:rsidRPr="00C41483">
        <w:rPr>
          <w:rFonts w:ascii="Times New Roman" w:eastAsia="Calibri" w:hAnsi="Times New Roman" w:cs="Times New Roman"/>
          <w:sz w:val="24"/>
          <w:szCs w:val="24"/>
        </w:rPr>
        <w:t xml:space="preserve">ovog </w:t>
      </w:r>
      <w:r w:rsidR="00561F9D" w:rsidRPr="00C41483">
        <w:rPr>
          <w:rFonts w:ascii="Times New Roman" w:eastAsia="Calibri" w:hAnsi="Times New Roman" w:cs="Times New Roman"/>
          <w:sz w:val="24"/>
          <w:szCs w:val="24"/>
        </w:rPr>
        <w:t>Zakona te zakona kojim se uređuje kazneni postupak te su se ta tijela dužna uvjeriti da je žrtva danu obavijest o pravima razumjela.</w:t>
      </w:r>
      <w:r w:rsidR="00A542B9" w:rsidRPr="00C41483">
        <w:rPr>
          <w:rFonts w:ascii="Times New Roman" w:eastAsia="Calibri" w:hAnsi="Times New Roman" w:cs="Times New Roman"/>
          <w:sz w:val="24"/>
          <w:szCs w:val="24"/>
        </w:rPr>
        <w:t xml:space="preserve"> </w:t>
      </w:r>
      <w:r w:rsidR="00A542B9" w:rsidRPr="00C41483">
        <w:rPr>
          <w:rFonts w:ascii="Times New Roman" w:eastAsia="Times New Roman" w:hAnsi="Times New Roman" w:cs="Times New Roman"/>
          <w:sz w:val="24"/>
          <w:szCs w:val="24"/>
          <w:shd w:val="clear" w:color="auto" w:fill="FFFFFF"/>
          <w:lang w:eastAsia="hr-HR"/>
        </w:rPr>
        <w:t xml:space="preserve">Zakon o dopuni Zakona o zaštiti od nasilja u obitelji (2021.) je među osobe na koje se Zakon primjenjuje uvrstio i sadašnjeg ili bivšeg partnera u intimnoj vezi, čime se izvršila </w:t>
      </w:r>
      <w:r w:rsidR="00A542B9" w:rsidRPr="00C41483">
        <w:rPr>
          <w:rFonts w:ascii="Times New Roman" w:eastAsia="Times New Roman" w:hAnsi="Times New Roman" w:cs="Times New Roman"/>
          <w:sz w:val="24"/>
          <w:szCs w:val="24"/>
          <w:lang w:eastAsia="hr-HR"/>
        </w:rPr>
        <w:t xml:space="preserve">harmonizacija prekršajnog zakonodavstva s kaznenim zakonodavstvom budući da je </w:t>
      </w:r>
      <w:r w:rsidR="00423475" w:rsidRPr="00C41483">
        <w:rPr>
          <w:rFonts w:ascii="Times New Roman" w:eastAsia="Times New Roman" w:hAnsi="Times New Roman" w:cs="Times New Roman"/>
          <w:sz w:val="24"/>
          <w:szCs w:val="24"/>
          <w:lang w:eastAsia="hr-HR"/>
        </w:rPr>
        <w:t xml:space="preserve">Zakonom o izmjenama i dopunama Kaznenog zakona </w:t>
      </w:r>
      <w:r w:rsidR="00A542B9" w:rsidRPr="00C41483">
        <w:rPr>
          <w:rFonts w:ascii="Times New Roman" w:eastAsia="Times New Roman" w:hAnsi="Times New Roman" w:cs="Times New Roman"/>
          <w:sz w:val="24"/>
          <w:szCs w:val="24"/>
          <w:lang w:eastAsia="hr-HR"/>
        </w:rPr>
        <w:t>(2021.) dopunjeno značenje izraza bliske osobe koje sada obuhvaća sadašnje ili bivše partere u intimnoj vezi.</w:t>
      </w:r>
    </w:p>
    <w:p w14:paraId="1882D249" w14:textId="77777777" w:rsidR="000E6B09" w:rsidRPr="00C41483" w:rsidRDefault="000E6B09" w:rsidP="006B5133">
      <w:pPr>
        <w:spacing w:after="0" w:line="240" w:lineRule="auto"/>
        <w:jc w:val="both"/>
        <w:rPr>
          <w:rFonts w:ascii="Times New Roman" w:hAnsi="Times New Roman" w:cs="Times New Roman"/>
          <w:sz w:val="24"/>
          <w:szCs w:val="24"/>
        </w:rPr>
      </w:pPr>
      <w:bookmarkStart w:id="58" w:name="_Hlk48423669"/>
    </w:p>
    <w:p w14:paraId="6F3B0925" w14:textId="1EABF51A" w:rsidR="009363FB" w:rsidRPr="00C41483" w:rsidRDefault="00FA646C" w:rsidP="006B5133">
      <w:pPr>
        <w:spacing w:after="0" w:line="240" w:lineRule="auto"/>
        <w:jc w:val="both"/>
        <w:rPr>
          <w:rFonts w:ascii="Times New Roman" w:hAnsi="Times New Roman" w:cs="Times New Roman"/>
          <w:sz w:val="24"/>
          <w:szCs w:val="24"/>
        </w:rPr>
      </w:pPr>
      <w:r w:rsidRPr="00C41483">
        <w:rPr>
          <w:rFonts w:ascii="Times New Roman" w:hAnsi="Times New Roman" w:cs="Times New Roman"/>
          <w:sz w:val="24"/>
          <w:szCs w:val="24"/>
        </w:rPr>
        <w:t>(</w:t>
      </w:r>
      <w:r w:rsidR="00B5293D" w:rsidRPr="00C41483">
        <w:rPr>
          <w:rFonts w:ascii="Times New Roman" w:hAnsi="Times New Roman" w:cs="Times New Roman"/>
          <w:sz w:val="24"/>
          <w:szCs w:val="24"/>
        </w:rPr>
        <w:t>7</w:t>
      </w:r>
      <w:r w:rsidR="000F3ADF" w:rsidRPr="00C41483">
        <w:rPr>
          <w:rFonts w:ascii="Times New Roman" w:hAnsi="Times New Roman" w:cs="Times New Roman"/>
          <w:sz w:val="24"/>
          <w:szCs w:val="24"/>
        </w:rPr>
        <w:t>9</w:t>
      </w:r>
      <w:r w:rsidRPr="00C41483">
        <w:rPr>
          <w:rFonts w:ascii="Times New Roman" w:hAnsi="Times New Roman" w:cs="Times New Roman"/>
          <w:sz w:val="24"/>
          <w:szCs w:val="24"/>
        </w:rPr>
        <w:t xml:space="preserve">) </w:t>
      </w:r>
      <w:r w:rsidR="00D66B93" w:rsidRPr="00C41483">
        <w:rPr>
          <w:rFonts w:ascii="Times New Roman" w:hAnsi="Times New Roman" w:cs="Times New Roman"/>
          <w:sz w:val="24"/>
          <w:szCs w:val="24"/>
        </w:rPr>
        <w:t xml:space="preserve">Ministarstvo nadležno za poslove socijalne skrbi je u 2019. godini </w:t>
      </w:r>
      <w:bookmarkEnd w:id="58"/>
      <w:r w:rsidR="00D66B93" w:rsidRPr="00C41483">
        <w:rPr>
          <w:rFonts w:ascii="Times New Roman" w:hAnsi="Times New Roman" w:cs="Times New Roman"/>
          <w:sz w:val="24"/>
          <w:szCs w:val="24"/>
        </w:rPr>
        <w:t xml:space="preserve">održalo regionalni stručni sastanak sa stručnim radnicima centara za socijalnu skrb s područja 4 županije koji je obuhvatio predavanja i raspravu u pogledu određenih tema iz područja skrbništva, zaštite prava osoba s invaliditetom, nasilja u obitelji, zaštite drugih ranjivih skupina, a u svrhu unaprjeđenja </w:t>
      </w:r>
      <w:r w:rsidR="005F17B9" w:rsidRPr="00C41483">
        <w:rPr>
          <w:rFonts w:ascii="Times New Roman" w:hAnsi="Times New Roman" w:cs="Times New Roman"/>
          <w:sz w:val="24"/>
          <w:szCs w:val="24"/>
        </w:rPr>
        <w:t>i</w:t>
      </w:r>
      <w:r w:rsidR="00D66B93" w:rsidRPr="00C41483">
        <w:rPr>
          <w:rFonts w:ascii="Times New Roman" w:hAnsi="Times New Roman" w:cs="Times New Roman"/>
          <w:sz w:val="24"/>
          <w:szCs w:val="24"/>
        </w:rPr>
        <w:t xml:space="preserve"> razvoja njihovih vještina i znanja.</w:t>
      </w:r>
      <w:r w:rsidR="009363FB" w:rsidRPr="00C41483">
        <w:rPr>
          <w:rFonts w:ascii="Times New Roman" w:hAnsi="Times New Roman" w:cs="Times New Roman"/>
          <w:sz w:val="24"/>
          <w:szCs w:val="24"/>
        </w:rPr>
        <w:t xml:space="preserve"> Isto ministarstvo također prilikom svakih izbora, a u svrhu osiguravanja glasanja osoba smještenih u ustanovama socijalne skrbi, svim pružateljima usluge smještaja i organiziranog stanovanja te centrima za socijalnu skrb dostavlja uputu vezanu uz pojašnjenje procedure privremenog upisa u registar birača, te o potrebi obavještavanja korisnika o njihovom pravu na glasovanje na izborima.</w:t>
      </w:r>
    </w:p>
    <w:p w14:paraId="3352B45F" w14:textId="77777777" w:rsidR="009363FB" w:rsidRPr="00C41483" w:rsidRDefault="009363FB" w:rsidP="006B5133">
      <w:pPr>
        <w:spacing w:after="0" w:line="240" w:lineRule="auto"/>
        <w:jc w:val="both"/>
        <w:rPr>
          <w:rFonts w:ascii="Times New Roman" w:eastAsia="Times New Roman" w:hAnsi="Times New Roman" w:cs="Times New Roman"/>
          <w:bCs/>
          <w:i/>
          <w:iCs/>
          <w:sz w:val="24"/>
          <w:szCs w:val="24"/>
          <w:lang w:eastAsia="hr-HR"/>
        </w:rPr>
      </w:pPr>
    </w:p>
    <w:p w14:paraId="1B458EB8" w14:textId="24366797" w:rsidR="00D542B4" w:rsidRPr="00C41483" w:rsidRDefault="00D542B4" w:rsidP="006B5133">
      <w:pPr>
        <w:pStyle w:val="Naslov1"/>
        <w:spacing w:before="0" w:line="240" w:lineRule="auto"/>
        <w:rPr>
          <w:rFonts w:ascii="Times New Roman" w:eastAsia="Times New Roman" w:hAnsi="Times New Roman" w:cs="Times New Roman"/>
          <w:b/>
          <w:bCs/>
          <w:color w:val="auto"/>
          <w:sz w:val="24"/>
          <w:szCs w:val="24"/>
          <w:lang w:eastAsia="hr-HR"/>
        </w:rPr>
      </w:pPr>
      <w:bookmarkStart w:id="59" w:name="_Toc76630954"/>
      <w:bookmarkStart w:id="60" w:name="_Toc88031194"/>
      <w:r w:rsidRPr="00C41483">
        <w:rPr>
          <w:rFonts w:ascii="Times New Roman" w:eastAsia="Times New Roman" w:hAnsi="Times New Roman" w:cs="Times New Roman"/>
          <w:b/>
          <w:bCs/>
          <w:color w:val="auto"/>
          <w:sz w:val="24"/>
          <w:szCs w:val="24"/>
          <w:lang w:eastAsia="hr-HR"/>
        </w:rPr>
        <w:t>Pristup pravosuđu (čl. 13.)</w:t>
      </w:r>
      <w:bookmarkEnd w:id="59"/>
      <w:bookmarkEnd w:id="60"/>
    </w:p>
    <w:p w14:paraId="5630C58D" w14:textId="77777777" w:rsidR="000668E0" w:rsidRPr="00C41483" w:rsidRDefault="000668E0" w:rsidP="006B5133">
      <w:pPr>
        <w:spacing w:after="0" w:line="240" w:lineRule="auto"/>
        <w:rPr>
          <w:lang w:eastAsia="hr-HR"/>
        </w:rPr>
      </w:pPr>
    </w:p>
    <w:p w14:paraId="7945559B" w14:textId="522E1257" w:rsidR="005E7625" w:rsidRPr="00C41483" w:rsidRDefault="00515050" w:rsidP="006B5133">
      <w:pPr>
        <w:spacing w:after="0" w:line="240" w:lineRule="auto"/>
        <w:jc w:val="both"/>
        <w:rPr>
          <w:rFonts w:ascii="Times New Roman" w:eastAsia="Times New Roman" w:hAnsi="Times New Roman" w:cs="Times New Roman"/>
          <w:bCs/>
          <w:i/>
          <w:iCs/>
          <w:sz w:val="24"/>
          <w:szCs w:val="24"/>
          <w:lang w:eastAsia="hr-HR"/>
        </w:rPr>
      </w:pPr>
      <w:bookmarkStart w:id="61" w:name="_Hlk83814354"/>
      <w:r w:rsidRPr="00C41483">
        <w:rPr>
          <w:rFonts w:ascii="Times New Roman" w:eastAsia="Times New Roman" w:hAnsi="Times New Roman" w:cs="Times New Roman"/>
          <w:bCs/>
          <w:i/>
          <w:iCs/>
          <w:sz w:val="24"/>
          <w:szCs w:val="24"/>
          <w:lang w:eastAsia="hr-HR"/>
        </w:rPr>
        <w:t xml:space="preserve">Pitanje </w:t>
      </w:r>
      <w:r w:rsidR="005E7625" w:rsidRPr="00C41483">
        <w:rPr>
          <w:rFonts w:ascii="Times New Roman" w:eastAsia="Times New Roman" w:hAnsi="Times New Roman" w:cs="Times New Roman"/>
          <w:bCs/>
          <w:i/>
          <w:iCs/>
          <w:sz w:val="24"/>
          <w:szCs w:val="24"/>
          <w:lang w:eastAsia="hr-HR"/>
        </w:rPr>
        <w:t xml:space="preserve">13a) </w:t>
      </w:r>
    </w:p>
    <w:bookmarkEnd w:id="61"/>
    <w:p w14:paraId="0DCC0201" w14:textId="66758A65" w:rsidR="00561F9D" w:rsidRPr="00C41483" w:rsidRDefault="00561F9D" w:rsidP="006B5133">
      <w:pPr>
        <w:spacing w:after="0" w:line="240" w:lineRule="auto"/>
        <w:jc w:val="both"/>
        <w:rPr>
          <w:rFonts w:ascii="Times New Roman" w:eastAsia="Times New Roman" w:hAnsi="Times New Roman" w:cs="Times New Roman"/>
          <w:bCs/>
          <w:i/>
          <w:iCs/>
          <w:sz w:val="24"/>
          <w:szCs w:val="24"/>
          <w:lang w:eastAsia="hr-HR"/>
        </w:rPr>
      </w:pPr>
    </w:p>
    <w:p w14:paraId="0E383C8F" w14:textId="655DCB1E" w:rsidR="00491E3C" w:rsidRPr="00C41483" w:rsidRDefault="00FA646C" w:rsidP="006B5133">
      <w:pPr>
        <w:spacing w:after="0" w:line="240" w:lineRule="auto"/>
        <w:jc w:val="both"/>
        <w:rPr>
          <w:rFonts w:ascii="Times New Roman" w:eastAsia="Calibri" w:hAnsi="Times New Roman" w:cs="Times New Roman"/>
          <w:sz w:val="24"/>
          <w:szCs w:val="24"/>
        </w:rPr>
      </w:pPr>
      <w:r w:rsidRPr="00C41483">
        <w:rPr>
          <w:rFonts w:ascii="Times New Roman" w:eastAsia="Calibri" w:hAnsi="Times New Roman" w:cs="Times New Roman"/>
          <w:sz w:val="24"/>
          <w:szCs w:val="24"/>
        </w:rPr>
        <w:t>(</w:t>
      </w:r>
      <w:r w:rsidR="000F3ADF" w:rsidRPr="00C41483">
        <w:rPr>
          <w:rFonts w:ascii="Times New Roman" w:eastAsia="Calibri" w:hAnsi="Times New Roman" w:cs="Times New Roman"/>
          <w:sz w:val="24"/>
          <w:szCs w:val="24"/>
        </w:rPr>
        <w:t>80</w:t>
      </w:r>
      <w:r w:rsidRPr="00C41483">
        <w:rPr>
          <w:rFonts w:ascii="Times New Roman" w:eastAsia="Calibri" w:hAnsi="Times New Roman" w:cs="Times New Roman"/>
          <w:sz w:val="24"/>
          <w:szCs w:val="24"/>
        </w:rPr>
        <w:t xml:space="preserve">) </w:t>
      </w:r>
      <w:r w:rsidR="00561F9D" w:rsidRPr="00C41483">
        <w:rPr>
          <w:rFonts w:ascii="Times New Roman" w:eastAsia="Calibri" w:hAnsi="Times New Roman" w:cs="Times New Roman"/>
          <w:sz w:val="24"/>
          <w:szCs w:val="24"/>
        </w:rPr>
        <w:t xml:space="preserve">Zatvorski sustav u okviru Ministarstva pravosuđa i uprave kontinuirano poduzima radnje za poboljšanje smještajnih uvjeta i osiguravanje pristupačnosti kaznenih tijela osobama s invaliditetom, a </w:t>
      </w:r>
      <w:r w:rsidR="00082083" w:rsidRPr="00C41483">
        <w:rPr>
          <w:rFonts w:ascii="Times New Roman" w:eastAsia="Calibri" w:hAnsi="Times New Roman" w:cs="Times New Roman"/>
          <w:sz w:val="24"/>
          <w:szCs w:val="24"/>
        </w:rPr>
        <w:t>isti</w:t>
      </w:r>
      <w:r w:rsidR="00561F9D" w:rsidRPr="00C41483">
        <w:rPr>
          <w:rFonts w:ascii="Times New Roman" w:eastAsia="Calibri" w:hAnsi="Times New Roman" w:cs="Times New Roman"/>
          <w:sz w:val="24"/>
          <w:szCs w:val="24"/>
        </w:rPr>
        <w:t xml:space="preserve"> su značajno poboljšani u odnosu na prethodne godine. Zatvorenicima s invaliditetom i smanjenom pokretljivošću osigurava se smještaj primjeren vrsti i stupnju njihov</w:t>
      </w:r>
      <w:r w:rsidR="00E13E40" w:rsidRPr="00C41483">
        <w:rPr>
          <w:rFonts w:ascii="Times New Roman" w:eastAsia="Calibri" w:hAnsi="Times New Roman" w:cs="Times New Roman"/>
          <w:sz w:val="24"/>
          <w:szCs w:val="24"/>
        </w:rPr>
        <w:t>og</w:t>
      </w:r>
      <w:r w:rsidR="00561F9D" w:rsidRPr="00C41483">
        <w:rPr>
          <w:rFonts w:ascii="Times New Roman" w:eastAsia="Calibri" w:hAnsi="Times New Roman" w:cs="Times New Roman"/>
          <w:sz w:val="24"/>
          <w:szCs w:val="24"/>
        </w:rPr>
        <w:t xml:space="preserve"> invalid</w:t>
      </w:r>
      <w:r w:rsidR="00E13E40" w:rsidRPr="00C41483">
        <w:rPr>
          <w:rFonts w:ascii="Times New Roman" w:eastAsia="Calibri" w:hAnsi="Times New Roman" w:cs="Times New Roman"/>
          <w:sz w:val="24"/>
          <w:szCs w:val="24"/>
        </w:rPr>
        <w:t>iteta</w:t>
      </w:r>
      <w:r w:rsidR="00561F9D" w:rsidRPr="00C41483">
        <w:rPr>
          <w:rFonts w:ascii="Times New Roman" w:eastAsia="Calibri" w:hAnsi="Times New Roman" w:cs="Times New Roman"/>
          <w:sz w:val="24"/>
          <w:szCs w:val="24"/>
        </w:rPr>
        <w:t xml:space="preserve"> pri čemu se osigurava da uživaju jednaka prava kao i ostale osobe. </w:t>
      </w:r>
      <w:r w:rsidR="00491E3C" w:rsidRPr="00C41483">
        <w:rPr>
          <w:rFonts w:ascii="Times New Roman" w:eastAsia="Calibri" w:hAnsi="Times New Roman" w:cs="Times New Roman"/>
          <w:sz w:val="24"/>
          <w:szCs w:val="24"/>
        </w:rPr>
        <w:t>Prilikom obnove objekata zatvorskog sustava, vodi se računa da se osigura njihova dostupnost osobama s invaliditetom.</w:t>
      </w:r>
      <w:r w:rsidR="00193086" w:rsidRPr="00C41483">
        <w:rPr>
          <w:rFonts w:ascii="Times New Roman" w:eastAsia="Calibri" w:hAnsi="Times New Roman" w:cs="Times New Roman"/>
          <w:sz w:val="24"/>
          <w:szCs w:val="24"/>
        </w:rPr>
        <w:t xml:space="preserve"> </w:t>
      </w:r>
      <w:bookmarkStart w:id="62" w:name="_Hlk78283669"/>
      <w:r w:rsidR="00E13E40" w:rsidRPr="00C41483">
        <w:rPr>
          <w:rFonts w:ascii="Times New Roman" w:eastAsia="Calibri" w:hAnsi="Times New Roman" w:cs="Times New Roman"/>
          <w:sz w:val="24"/>
          <w:szCs w:val="24"/>
        </w:rPr>
        <w:t>Detaljnije o p</w:t>
      </w:r>
      <w:r w:rsidR="00491E3C" w:rsidRPr="00C41483">
        <w:rPr>
          <w:rFonts w:ascii="Times New Roman" w:eastAsia="Calibri" w:hAnsi="Times New Roman" w:cs="Times New Roman"/>
          <w:sz w:val="24"/>
          <w:szCs w:val="24"/>
        </w:rPr>
        <w:t>ristupačnosti kaznenih tijela u prilogu</w:t>
      </w:r>
      <w:r w:rsidR="008051D6" w:rsidRPr="00C41483">
        <w:rPr>
          <w:rFonts w:ascii="Times New Roman" w:eastAsia="Calibri" w:hAnsi="Times New Roman" w:cs="Times New Roman"/>
          <w:sz w:val="24"/>
          <w:szCs w:val="24"/>
        </w:rPr>
        <w:t xml:space="preserve"> </w:t>
      </w:r>
      <w:r w:rsidR="007C1BCA" w:rsidRPr="00C41483">
        <w:rPr>
          <w:rFonts w:ascii="Times New Roman" w:eastAsia="Calibri" w:hAnsi="Times New Roman" w:cs="Times New Roman"/>
          <w:sz w:val="24"/>
          <w:szCs w:val="24"/>
        </w:rPr>
        <w:t>22</w:t>
      </w:r>
      <w:r w:rsidR="001A2F17">
        <w:rPr>
          <w:rFonts w:ascii="Times New Roman" w:eastAsia="Calibri" w:hAnsi="Times New Roman" w:cs="Times New Roman"/>
          <w:sz w:val="24"/>
          <w:szCs w:val="24"/>
        </w:rPr>
        <w:t>.</w:t>
      </w:r>
    </w:p>
    <w:p w14:paraId="0A9322BE" w14:textId="23462168" w:rsidR="008051D6" w:rsidRPr="00C41483" w:rsidRDefault="008051D6" w:rsidP="006B5133">
      <w:pPr>
        <w:spacing w:after="0" w:line="240" w:lineRule="auto"/>
        <w:jc w:val="both"/>
        <w:rPr>
          <w:rFonts w:ascii="Times New Roman" w:eastAsia="Calibri" w:hAnsi="Times New Roman" w:cs="Times New Roman"/>
          <w:sz w:val="24"/>
          <w:szCs w:val="24"/>
        </w:rPr>
      </w:pPr>
    </w:p>
    <w:p w14:paraId="09BE3641" w14:textId="6CC43C18" w:rsidR="00621E7F" w:rsidRPr="00C41483" w:rsidRDefault="00515050" w:rsidP="00515050">
      <w:pPr>
        <w:spacing w:after="0" w:line="240" w:lineRule="auto"/>
        <w:jc w:val="both"/>
        <w:rPr>
          <w:rFonts w:ascii="Times New Roman" w:eastAsia="Times New Roman" w:hAnsi="Times New Roman" w:cs="Times New Roman"/>
          <w:bCs/>
          <w:i/>
          <w:iCs/>
          <w:sz w:val="24"/>
          <w:szCs w:val="24"/>
          <w:lang w:eastAsia="hr-HR"/>
        </w:rPr>
      </w:pPr>
      <w:bookmarkStart w:id="63" w:name="_Hlk83814361"/>
      <w:bookmarkEnd w:id="62"/>
      <w:r w:rsidRPr="00C41483">
        <w:rPr>
          <w:rFonts w:ascii="Times New Roman" w:eastAsia="Times New Roman" w:hAnsi="Times New Roman" w:cs="Times New Roman"/>
          <w:bCs/>
          <w:i/>
          <w:iCs/>
          <w:sz w:val="24"/>
          <w:szCs w:val="24"/>
          <w:lang w:eastAsia="hr-HR"/>
        </w:rPr>
        <w:t>Pitanje 13 b)</w:t>
      </w:r>
    </w:p>
    <w:bookmarkEnd w:id="63"/>
    <w:p w14:paraId="22B8C47E" w14:textId="6E4C9C54" w:rsidR="00561F9D" w:rsidRPr="00C41483" w:rsidRDefault="00561F9D" w:rsidP="006B5133">
      <w:pPr>
        <w:spacing w:after="0" w:line="240" w:lineRule="auto"/>
        <w:jc w:val="both"/>
        <w:rPr>
          <w:rFonts w:ascii="Times New Roman" w:eastAsia="Times New Roman" w:hAnsi="Times New Roman" w:cs="Times New Roman"/>
          <w:bCs/>
          <w:i/>
          <w:iCs/>
          <w:sz w:val="24"/>
          <w:szCs w:val="24"/>
          <w:lang w:eastAsia="hr-HR"/>
        </w:rPr>
      </w:pPr>
    </w:p>
    <w:p w14:paraId="38015FE1" w14:textId="3C0D5480" w:rsidR="00561F9D" w:rsidRPr="00C41483" w:rsidRDefault="00B5293D" w:rsidP="006B5133">
      <w:pPr>
        <w:spacing w:after="0" w:line="240" w:lineRule="auto"/>
        <w:jc w:val="both"/>
        <w:rPr>
          <w:rFonts w:ascii="Times New Roman" w:hAnsi="Times New Roman" w:cs="Times New Roman"/>
          <w:color w:val="201F1E"/>
          <w:sz w:val="24"/>
          <w:szCs w:val="24"/>
          <w:lang w:eastAsia="en-GB"/>
        </w:rPr>
      </w:pPr>
      <w:r w:rsidRPr="00C41483">
        <w:rPr>
          <w:rFonts w:ascii="Times New Roman" w:hAnsi="Times New Roman" w:cs="Times New Roman"/>
          <w:color w:val="201F1E"/>
          <w:sz w:val="24"/>
          <w:szCs w:val="24"/>
          <w:lang w:eastAsia="en-GB"/>
        </w:rPr>
        <w:t>(8</w:t>
      </w:r>
      <w:r w:rsidR="000F3ADF" w:rsidRPr="00C41483">
        <w:rPr>
          <w:rFonts w:ascii="Times New Roman" w:hAnsi="Times New Roman" w:cs="Times New Roman"/>
          <w:color w:val="201F1E"/>
          <w:sz w:val="24"/>
          <w:szCs w:val="24"/>
          <w:lang w:eastAsia="en-GB"/>
        </w:rPr>
        <w:t>1</w:t>
      </w:r>
      <w:r w:rsidR="00FA646C" w:rsidRPr="00C41483">
        <w:rPr>
          <w:rFonts w:ascii="Times New Roman" w:hAnsi="Times New Roman" w:cs="Times New Roman"/>
          <w:color w:val="201F1E"/>
          <w:sz w:val="24"/>
          <w:szCs w:val="24"/>
          <w:lang w:eastAsia="en-GB"/>
        </w:rPr>
        <w:t xml:space="preserve">) </w:t>
      </w:r>
      <w:r w:rsidR="00295D9C" w:rsidRPr="00C41483">
        <w:rPr>
          <w:rFonts w:ascii="Times New Roman" w:hAnsi="Times New Roman" w:cs="Times New Roman"/>
          <w:color w:val="201F1E"/>
          <w:sz w:val="24"/>
          <w:szCs w:val="24"/>
          <w:lang w:eastAsia="en-GB"/>
        </w:rPr>
        <w:t>PZ</w:t>
      </w:r>
      <w:r w:rsidR="00FA646C" w:rsidRPr="00C41483">
        <w:rPr>
          <w:rFonts w:ascii="Times New Roman" w:hAnsi="Times New Roman" w:cs="Times New Roman"/>
          <w:color w:val="201F1E"/>
          <w:sz w:val="24"/>
          <w:szCs w:val="24"/>
          <w:lang w:eastAsia="en-GB"/>
        </w:rPr>
        <w:t xml:space="preserve"> </w:t>
      </w:r>
      <w:r w:rsidR="00561F9D" w:rsidRPr="00C41483">
        <w:rPr>
          <w:rFonts w:ascii="Times New Roman" w:hAnsi="Times New Roman" w:cs="Times New Roman"/>
          <w:color w:val="201F1E"/>
          <w:sz w:val="24"/>
          <w:szCs w:val="24"/>
          <w:lang w:eastAsia="en-GB"/>
        </w:rPr>
        <w:t xml:space="preserve">propisuje da osim stranaka i sudionika u postupku koji nakon pokretanja postupka imaju pravo razgledati, prepisivati i preslikavati pojedine dijelove spisa, sud to može dopustiti i svakomu drugom u čijem je to opravdanom interesu. </w:t>
      </w:r>
      <w:r w:rsidR="00671891" w:rsidRPr="00C41483">
        <w:rPr>
          <w:rFonts w:ascii="Times New Roman" w:hAnsi="Times New Roman" w:cs="Times New Roman"/>
          <w:color w:val="201F1E"/>
          <w:sz w:val="24"/>
          <w:szCs w:val="24"/>
          <w:lang w:eastAsia="en-GB"/>
        </w:rPr>
        <w:t>Str</w:t>
      </w:r>
      <w:r w:rsidR="00561F9D" w:rsidRPr="00C41483">
        <w:rPr>
          <w:rFonts w:ascii="Times New Roman" w:hAnsi="Times New Roman" w:cs="Times New Roman"/>
          <w:color w:val="201F1E"/>
          <w:sz w:val="24"/>
          <w:szCs w:val="24"/>
          <w:lang w:eastAsia="en-GB"/>
        </w:rPr>
        <w:t>anke u prekršajnom postupku su ovlašteni tužitelj i okrivljenik, a sudionici u prekršajnom postupku uključuju branitelja okrivljenika, zakonskog zastupnika ili opunomoćenika, oštećenika te drugu osobu koje se tiče vođenje određenog prekršajnog postupka.</w:t>
      </w:r>
      <w:r w:rsidRPr="00C41483">
        <w:rPr>
          <w:rFonts w:ascii="Times New Roman" w:hAnsi="Times New Roman" w:cs="Times New Roman"/>
          <w:color w:val="201F1E"/>
          <w:sz w:val="24"/>
          <w:szCs w:val="24"/>
          <w:lang w:eastAsia="en-GB"/>
        </w:rPr>
        <w:t xml:space="preserve"> </w:t>
      </w:r>
      <w:proofErr w:type="spellStart"/>
      <w:r w:rsidR="00847112" w:rsidRPr="00C41483">
        <w:rPr>
          <w:rFonts w:ascii="Times New Roman" w:hAnsi="Times New Roman" w:cs="Times New Roman"/>
          <w:color w:val="201F1E"/>
          <w:sz w:val="24"/>
          <w:szCs w:val="24"/>
          <w:lang w:eastAsia="en-GB"/>
        </w:rPr>
        <w:t>P</w:t>
      </w:r>
      <w:r w:rsidR="00561F9D" w:rsidRPr="00C41483">
        <w:rPr>
          <w:rFonts w:ascii="Times New Roman" w:hAnsi="Times New Roman" w:cs="Times New Roman"/>
          <w:color w:val="201F1E"/>
          <w:sz w:val="24"/>
          <w:szCs w:val="24"/>
          <w:lang w:eastAsia="en-GB"/>
        </w:rPr>
        <w:t>ostupovnim</w:t>
      </w:r>
      <w:proofErr w:type="spellEnd"/>
      <w:r w:rsidR="00561F9D" w:rsidRPr="00C41483">
        <w:rPr>
          <w:rFonts w:ascii="Times New Roman" w:hAnsi="Times New Roman" w:cs="Times New Roman"/>
          <w:color w:val="201F1E"/>
          <w:sz w:val="24"/>
          <w:szCs w:val="24"/>
          <w:lang w:eastAsia="en-GB"/>
        </w:rPr>
        <w:t xml:space="preserve"> odredbama </w:t>
      </w:r>
      <w:r w:rsidR="00671891" w:rsidRPr="00C41483">
        <w:rPr>
          <w:rFonts w:ascii="Times New Roman" w:hAnsi="Times New Roman" w:cs="Times New Roman"/>
          <w:color w:val="201F1E"/>
          <w:sz w:val="24"/>
          <w:szCs w:val="24"/>
          <w:lang w:eastAsia="en-GB"/>
        </w:rPr>
        <w:t>PZ</w:t>
      </w:r>
      <w:r w:rsidR="00FA646C" w:rsidRPr="00C41483">
        <w:rPr>
          <w:rFonts w:ascii="Times New Roman" w:hAnsi="Times New Roman" w:cs="Times New Roman"/>
          <w:color w:val="201F1E"/>
          <w:sz w:val="24"/>
          <w:szCs w:val="24"/>
          <w:lang w:eastAsia="en-GB"/>
        </w:rPr>
        <w:t>-a</w:t>
      </w:r>
      <w:r w:rsidR="00383A62" w:rsidRPr="00C41483">
        <w:rPr>
          <w:rFonts w:ascii="Times New Roman" w:hAnsi="Times New Roman" w:cs="Times New Roman"/>
          <w:color w:val="201F1E"/>
          <w:sz w:val="24"/>
          <w:szCs w:val="24"/>
          <w:lang w:eastAsia="en-GB"/>
        </w:rPr>
        <w:t xml:space="preserve"> </w:t>
      </w:r>
      <w:r w:rsidR="00671891" w:rsidRPr="00C41483">
        <w:rPr>
          <w:rFonts w:ascii="Times New Roman" w:hAnsi="Times New Roman" w:cs="Times New Roman"/>
          <w:color w:val="201F1E"/>
          <w:sz w:val="24"/>
          <w:szCs w:val="24"/>
          <w:lang w:eastAsia="en-GB"/>
        </w:rPr>
        <w:t xml:space="preserve">su </w:t>
      </w:r>
      <w:r w:rsidR="00561F9D" w:rsidRPr="00C41483">
        <w:rPr>
          <w:rFonts w:ascii="Times New Roman" w:hAnsi="Times New Roman" w:cs="Times New Roman"/>
          <w:color w:val="201F1E"/>
          <w:sz w:val="24"/>
          <w:szCs w:val="24"/>
          <w:lang w:eastAsia="en-GB"/>
        </w:rPr>
        <w:t>utvrđ</w:t>
      </w:r>
      <w:r w:rsidR="00671891" w:rsidRPr="00C41483">
        <w:rPr>
          <w:rFonts w:ascii="Times New Roman" w:hAnsi="Times New Roman" w:cs="Times New Roman"/>
          <w:color w:val="201F1E"/>
          <w:sz w:val="24"/>
          <w:szCs w:val="24"/>
          <w:lang w:eastAsia="en-GB"/>
        </w:rPr>
        <w:t xml:space="preserve">ena </w:t>
      </w:r>
      <w:r w:rsidR="00561F9D" w:rsidRPr="00C41483">
        <w:rPr>
          <w:rFonts w:ascii="Times New Roman" w:hAnsi="Times New Roman" w:cs="Times New Roman"/>
          <w:color w:val="201F1E"/>
          <w:sz w:val="24"/>
          <w:szCs w:val="24"/>
          <w:lang w:eastAsia="en-GB"/>
        </w:rPr>
        <w:t xml:space="preserve">pravila kojima se pred općinskim sudovima i svim drugim tijelima koja vode prekršajni postupak, osigurava pravično vođenje prekršajnog postupka, zaštita ljudskih prava, pravilno utvrđivanje činjenica i zakonito odlučivanje o prekršajnoj odgovornosti tako da nitko nedužan ne bude osuđen, a da se počinitelju prekršaja izrekne kazna ili primijeni druga </w:t>
      </w:r>
      <w:proofErr w:type="spellStart"/>
      <w:r w:rsidR="00561F9D" w:rsidRPr="00C41483">
        <w:rPr>
          <w:rFonts w:ascii="Times New Roman" w:hAnsi="Times New Roman" w:cs="Times New Roman"/>
          <w:color w:val="201F1E"/>
          <w:sz w:val="24"/>
          <w:szCs w:val="24"/>
          <w:lang w:eastAsia="en-GB"/>
        </w:rPr>
        <w:t>prekršajnopravna</w:t>
      </w:r>
      <w:proofErr w:type="spellEnd"/>
      <w:r w:rsidR="00561F9D" w:rsidRPr="00C41483">
        <w:rPr>
          <w:rFonts w:ascii="Times New Roman" w:hAnsi="Times New Roman" w:cs="Times New Roman"/>
          <w:color w:val="201F1E"/>
          <w:sz w:val="24"/>
          <w:szCs w:val="24"/>
          <w:lang w:eastAsia="en-GB"/>
        </w:rPr>
        <w:t xml:space="preserve"> sankcija</w:t>
      </w:r>
      <w:r w:rsidR="00671891" w:rsidRPr="00C41483">
        <w:rPr>
          <w:rFonts w:ascii="Times New Roman" w:hAnsi="Times New Roman" w:cs="Times New Roman"/>
          <w:color w:val="201F1E"/>
          <w:sz w:val="24"/>
          <w:szCs w:val="24"/>
          <w:lang w:eastAsia="en-GB"/>
        </w:rPr>
        <w:t xml:space="preserve">, a </w:t>
      </w:r>
      <w:r w:rsidR="00561F9D" w:rsidRPr="00C41483">
        <w:rPr>
          <w:rFonts w:ascii="Times New Roman" w:hAnsi="Times New Roman" w:cs="Times New Roman"/>
          <w:color w:val="201F1E"/>
          <w:sz w:val="24"/>
          <w:szCs w:val="24"/>
          <w:lang w:eastAsia="en-GB"/>
        </w:rPr>
        <w:t xml:space="preserve">ako </w:t>
      </w:r>
      <w:r w:rsidR="00B60243" w:rsidRPr="00C41483">
        <w:rPr>
          <w:rFonts w:ascii="Times New Roman" w:hAnsi="Times New Roman" w:cs="Times New Roman"/>
          <w:color w:val="201F1E"/>
          <w:sz w:val="24"/>
          <w:szCs w:val="24"/>
          <w:lang w:eastAsia="en-GB"/>
        </w:rPr>
        <w:t>PZ</w:t>
      </w:r>
      <w:r w:rsidR="00561F9D" w:rsidRPr="00C41483">
        <w:rPr>
          <w:rFonts w:ascii="Times New Roman" w:hAnsi="Times New Roman" w:cs="Times New Roman"/>
          <w:color w:val="201F1E"/>
          <w:sz w:val="24"/>
          <w:szCs w:val="24"/>
          <w:lang w:eastAsia="en-GB"/>
        </w:rPr>
        <w:t xml:space="preserve"> ne sadrži odredbe o pojedinim pitanjima postupka, na odgovarajući način, kada to bude primjereno svrsi prekršajnog postupka, primje</w:t>
      </w:r>
      <w:r w:rsidR="00671891" w:rsidRPr="00C41483">
        <w:rPr>
          <w:rFonts w:ascii="Times New Roman" w:hAnsi="Times New Roman" w:cs="Times New Roman"/>
          <w:color w:val="201F1E"/>
          <w:sz w:val="24"/>
          <w:szCs w:val="24"/>
          <w:lang w:eastAsia="en-GB"/>
        </w:rPr>
        <w:t xml:space="preserve">njuju se </w:t>
      </w:r>
      <w:r w:rsidR="00561F9D" w:rsidRPr="00C41483">
        <w:rPr>
          <w:rFonts w:ascii="Times New Roman" w:hAnsi="Times New Roman" w:cs="Times New Roman"/>
          <w:color w:val="201F1E"/>
          <w:sz w:val="24"/>
          <w:szCs w:val="24"/>
          <w:lang w:eastAsia="en-GB"/>
        </w:rPr>
        <w:t>odredbe Z</w:t>
      </w:r>
      <w:r w:rsidR="00671891" w:rsidRPr="00C41483">
        <w:rPr>
          <w:rFonts w:ascii="Times New Roman" w:hAnsi="Times New Roman" w:cs="Times New Roman"/>
          <w:color w:val="201F1E"/>
          <w:sz w:val="24"/>
          <w:szCs w:val="24"/>
          <w:lang w:eastAsia="en-GB"/>
        </w:rPr>
        <w:t xml:space="preserve">akona o kaznenom postupku </w:t>
      </w:r>
      <w:r w:rsidR="00561F9D" w:rsidRPr="00C41483">
        <w:rPr>
          <w:rFonts w:ascii="Times New Roman" w:hAnsi="Times New Roman" w:cs="Times New Roman"/>
          <w:color w:val="201F1E"/>
          <w:sz w:val="24"/>
          <w:szCs w:val="24"/>
          <w:lang w:eastAsia="en-GB"/>
        </w:rPr>
        <w:t>i Zakona o sudovima za mladež.</w:t>
      </w:r>
    </w:p>
    <w:p w14:paraId="6687222E" w14:textId="77777777" w:rsidR="000E6B09" w:rsidRPr="00C41483" w:rsidRDefault="000E6B09" w:rsidP="006B5133">
      <w:pPr>
        <w:spacing w:after="0" w:line="240" w:lineRule="auto"/>
        <w:jc w:val="both"/>
        <w:rPr>
          <w:rFonts w:ascii="Times New Roman" w:hAnsi="Times New Roman" w:cs="Times New Roman"/>
          <w:sz w:val="24"/>
          <w:szCs w:val="24"/>
          <w:lang w:eastAsia="en-GB"/>
        </w:rPr>
      </w:pPr>
    </w:p>
    <w:p w14:paraId="55E9B439" w14:textId="07AC35E2" w:rsidR="00C22FC3" w:rsidRPr="00C41483" w:rsidRDefault="00FA646C" w:rsidP="006B5133">
      <w:pPr>
        <w:spacing w:after="0" w:line="240" w:lineRule="auto"/>
        <w:jc w:val="both"/>
        <w:rPr>
          <w:rFonts w:ascii="Times New Roman" w:eastAsia="Times New Roman" w:hAnsi="Times New Roman" w:cs="Times New Roman"/>
          <w:bCs/>
          <w:i/>
          <w:iCs/>
          <w:sz w:val="24"/>
          <w:szCs w:val="24"/>
          <w:lang w:eastAsia="hr-HR"/>
        </w:rPr>
      </w:pPr>
      <w:r w:rsidRPr="00C41483">
        <w:rPr>
          <w:rFonts w:ascii="Times New Roman" w:hAnsi="Times New Roman" w:cs="Times New Roman"/>
          <w:sz w:val="24"/>
          <w:szCs w:val="24"/>
          <w:lang w:eastAsia="en-GB"/>
        </w:rPr>
        <w:lastRenderedPageBreak/>
        <w:t>(</w:t>
      </w:r>
      <w:r w:rsidR="000F3ADF" w:rsidRPr="00C41483">
        <w:rPr>
          <w:rFonts w:ascii="Times New Roman" w:hAnsi="Times New Roman" w:cs="Times New Roman"/>
          <w:sz w:val="24"/>
          <w:szCs w:val="24"/>
          <w:lang w:eastAsia="en-GB"/>
        </w:rPr>
        <w:t>82</w:t>
      </w:r>
      <w:r w:rsidRPr="00C41483">
        <w:rPr>
          <w:rFonts w:ascii="Times New Roman" w:hAnsi="Times New Roman" w:cs="Times New Roman"/>
          <w:sz w:val="24"/>
          <w:szCs w:val="24"/>
          <w:lang w:eastAsia="en-GB"/>
        </w:rPr>
        <w:t>)</w:t>
      </w:r>
      <w:r w:rsidR="00DD5363" w:rsidRPr="00C41483">
        <w:rPr>
          <w:rFonts w:ascii="Times New Roman" w:hAnsi="Times New Roman" w:cs="Times New Roman"/>
          <w:sz w:val="24"/>
          <w:szCs w:val="24"/>
          <w:lang w:eastAsia="en-GB"/>
        </w:rPr>
        <w:t xml:space="preserve"> </w:t>
      </w:r>
      <w:r w:rsidR="00C22FC3" w:rsidRPr="00C41483">
        <w:rPr>
          <w:rFonts w:ascii="Times New Roman" w:hAnsi="Times New Roman" w:cs="Times New Roman"/>
          <w:sz w:val="24"/>
          <w:szCs w:val="24"/>
          <w:lang w:eastAsia="en-GB"/>
        </w:rPr>
        <w:t xml:space="preserve">U skladu </w:t>
      </w:r>
      <w:r w:rsidR="00671891" w:rsidRPr="00C41483">
        <w:rPr>
          <w:rFonts w:ascii="Times New Roman" w:hAnsi="Times New Roman" w:cs="Times New Roman"/>
          <w:sz w:val="24"/>
          <w:szCs w:val="24"/>
          <w:lang w:eastAsia="en-GB"/>
        </w:rPr>
        <w:t xml:space="preserve">sa </w:t>
      </w:r>
      <w:r w:rsidR="00C22FC3" w:rsidRPr="00C41483">
        <w:rPr>
          <w:rFonts w:ascii="Times New Roman" w:hAnsi="Times New Roman" w:cs="Times New Roman"/>
          <w:sz w:val="24"/>
          <w:szCs w:val="24"/>
          <w:lang w:eastAsia="en-GB"/>
        </w:rPr>
        <w:t>sredstvima osiguranim proračunom te procedurama javne nabave, Ministarstvo pravosuđa i uprave osigurava pristupačnost zgradama pravosudnih tijela. U svim projektima to je jedan od prioriteta</w:t>
      </w:r>
      <w:r w:rsidR="00671891" w:rsidRPr="00C41483">
        <w:rPr>
          <w:rFonts w:ascii="Times New Roman" w:hAnsi="Times New Roman" w:cs="Times New Roman"/>
          <w:sz w:val="24"/>
          <w:szCs w:val="24"/>
          <w:lang w:eastAsia="en-GB"/>
        </w:rPr>
        <w:t xml:space="preserve"> te se </w:t>
      </w:r>
      <w:r w:rsidR="00C22FC3" w:rsidRPr="00C41483">
        <w:rPr>
          <w:rFonts w:ascii="Times New Roman" w:hAnsi="Times New Roman" w:cs="Times New Roman"/>
          <w:sz w:val="24"/>
          <w:szCs w:val="24"/>
          <w:lang w:eastAsia="en-GB"/>
        </w:rPr>
        <w:t>obavezno uključuje kod pripreme projektne dokumentacije i izvođenja radova na izgradnji novih zgrada i rekonstrukciji postojećih zgrada pravosudnih tijela.</w:t>
      </w:r>
      <w:r w:rsidRPr="00C41483">
        <w:rPr>
          <w:rFonts w:ascii="Times New Roman" w:hAnsi="Times New Roman" w:cs="Times New Roman"/>
          <w:color w:val="201F1E"/>
          <w:sz w:val="24"/>
          <w:szCs w:val="24"/>
          <w:lang w:eastAsia="en-GB"/>
        </w:rPr>
        <w:t xml:space="preserve"> Pristupačnost pravosudnih tijela u prilogu </w:t>
      </w:r>
      <w:r w:rsidR="007C1BCA" w:rsidRPr="00C41483">
        <w:rPr>
          <w:rFonts w:ascii="Times New Roman" w:hAnsi="Times New Roman" w:cs="Times New Roman"/>
          <w:color w:val="201F1E"/>
          <w:sz w:val="24"/>
          <w:szCs w:val="24"/>
          <w:lang w:eastAsia="en-GB"/>
        </w:rPr>
        <w:t>23</w:t>
      </w:r>
      <w:r w:rsidR="001A2F17">
        <w:rPr>
          <w:rFonts w:ascii="Times New Roman" w:hAnsi="Times New Roman" w:cs="Times New Roman"/>
          <w:color w:val="201F1E"/>
          <w:sz w:val="24"/>
          <w:szCs w:val="24"/>
          <w:lang w:eastAsia="en-GB"/>
        </w:rPr>
        <w:t>.</w:t>
      </w:r>
    </w:p>
    <w:p w14:paraId="3B34694F" w14:textId="79A34F29" w:rsidR="008051D6" w:rsidRPr="00C41483" w:rsidRDefault="008051D6" w:rsidP="006B5133">
      <w:pPr>
        <w:spacing w:after="0" w:line="240" w:lineRule="auto"/>
        <w:jc w:val="both"/>
        <w:rPr>
          <w:rFonts w:ascii="Times New Roman" w:hAnsi="Times New Roman" w:cs="Times New Roman"/>
          <w:color w:val="201F1E"/>
          <w:sz w:val="24"/>
          <w:szCs w:val="24"/>
          <w:lang w:eastAsia="en-GB"/>
        </w:rPr>
      </w:pPr>
      <w:bookmarkStart w:id="64" w:name="_Hlk78284668"/>
    </w:p>
    <w:p w14:paraId="439E59F7" w14:textId="4BF975FB" w:rsidR="00621E7F" w:rsidRPr="00C41483" w:rsidRDefault="00515050" w:rsidP="006B5133">
      <w:pPr>
        <w:spacing w:after="0" w:line="240" w:lineRule="auto"/>
        <w:jc w:val="both"/>
        <w:rPr>
          <w:rFonts w:ascii="Times New Roman" w:eastAsia="Times New Roman" w:hAnsi="Times New Roman" w:cs="Times New Roman"/>
          <w:bCs/>
          <w:i/>
          <w:iCs/>
          <w:sz w:val="24"/>
          <w:szCs w:val="24"/>
          <w:lang w:eastAsia="hr-HR"/>
        </w:rPr>
      </w:pPr>
      <w:bookmarkStart w:id="65" w:name="_Hlk83814370"/>
      <w:bookmarkEnd w:id="64"/>
      <w:r w:rsidRPr="00C41483">
        <w:rPr>
          <w:rFonts w:ascii="Times New Roman" w:eastAsia="Times New Roman" w:hAnsi="Times New Roman" w:cs="Times New Roman"/>
          <w:bCs/>
          <w:i/>
          <w:iCs/>
          <w:sz w:val="24"/>
          <w:szCs w:val="24"/>
          <w:lang w:eastAsia="hr-HR"/>
        </w:rPr>
        <w:t>Pitanje 13</w:t>
      </w:r>
      <w:r w:rsidR="00621E7F" w:rsidRPr="00C41483">
        <w:rPr>
          <w:rFonts w:ascii="Times New Roman" w:eastAsia="Times New Roman" w:hAnsi="Times New Roman" w:cs="Times New Roman"/>
          <w:bCs/>
          <w:i/>
          <w:iCs/>
          <w:sz w:val="24"/>
          <w:szCs w:val="24"/>
          <w:lang w:eastAsia="hr-HR"/>
        </w:rPr>
        <w:t>c</w:t>
      </w:r>
      <w:r w:rsidR="004C1233" w:rsidRPr="00C41483">
        <w:rPr>
          <w:rFonts w:ascii="Times New Roman" w:eastAsia="Times New Roman" w:hAnsi="Times New Roman" w:cs="Times New Roman"/>
          <w:bCs/>
          <w:i/>
          <w:iCs/>
          <w:sz w:val="24"/>
          <w:szCs w:val="24"/>
          <w:lang w:eastAsia="hr-HR"/>
        </w:rPr>
        <w:t>)</w:t>
      </w:r>
    </w:p>
    <w:bookmarkEnd w:id="65"/>
    <w:p w14:paraId="5A9D8719" w14:textId="21C8F290" w:rsidR="005E7625" w:rsidRPr="00C41483" w:rsidRDefault="005E7625" w:rsidP="006B5133">
      <w:pPr>
        <w:spacing w:after="0" w:line="240" w:lineRule="auto"/>
        <w:jc w:val="both"/>
        <w:rPr>
          <w:rFonts w:ascii="Times New Roman" w:eastAsia="Times New Roman" w:hAnsi="Times New Roman" w:cs="Times New Roman"/>
          <w:bCs/>
          <w:i/>
          <w:iCs/>
          <w:sz w:val="24"/>
          <w:szCs w:val="24"/>
          <w:lang w:eastAsia="hr-HR"/>
        </w:rPr>
      </w:pPr>
    </w:p>
    <w:p w14:paraId="397A81C8" w14:textId="38C36654" w:rsidR="00561F9D" w:rsidRPr="00C41483" w:rsidRDefault="00DD5363" w:rsidP="006B5133">
      <w:pPr>
        <w:spacing w:after="0" w:line="240" w:lineRule="auto"/>
        <w:jc w:val="both"/>
        <w:rPr>
          <w:rFonts w:ascii="Times New Roman" w:hAnsi="Times New Roman" w:cs="Times New Roman"/>
          <w:color w:val="201F1E"/>
          <w:sz w:val="24"/>
          <w:szCs w:val="24"/>
          <w:lang w:eastAsia="en-GB"/>
        </w:rPr>
      </w:pPr>
      <w:r w:rsidRPr="00C41483">
        <w:rPr>
          <w:rFonts w:ascii="Times New Roman" w:hAnsi="Times New Roman" w:cs="Times New Roman"/>
          <w:color w:val="201F1E"/>
          <w:sz w:val="24"/>
          <w:szCs w:val="24"/>
          <w:lang w:eastAsia="en-GB"/>
        </w:rPr>
        <w:t>(</w:t>
      </w:r>
      <w:r w:rsidR="00B5293D" w:rsidRPr="00C41483">
        <w:rPr>
          <w:rFonts w:ascii="Times New Roman" w:hAnsi="Times New Roman" w:cs="Times New Roman"/>
          <w:color w:val="201F1E"/>
          <w:sz w:val="24"/>
          <w:szCs w:val="24"/>
          <w:lang w:eastAsia="en-GB"/>
        </w:rPr>
        <w:t>8</w:t>
      </w:r>
      <w:r w:rsidR="000F3ADF" w:rsidRPr="00C41483">
        <w:rPr>
          <w:rFonts w:ascii="Times New Roman" w:hAnsi="Times New Roman" w:cs="Times New Roman"/>
          <w:color w:val="201F1E"/>
          <w:sz w:val="24"/>
          <w:szCs w:val="24"/>
          <w:lang w:eastAsia="en-GB"/>
        </w:rPr>
        <w:t>3</w:t>
      </w:r>
      <w:r w:rsidRPr="00C41483">
        <w:rPr>
          <w:rFonts w:ascii="Times New Roman" w:hAnsi="Times New Roman" w:cs="Times New Roman"/>
          <w:color w:val="201F1E"/>
          <w:sz w:val="24"/>
          <w:szCs w:val="24"/>
          <w:lang w:eastAsia="en-GB"/>
        </w:rPr>
        <w:t xml:space="preserve">) </w:t>
      </w:r>
      <w:r w:rsidR="00561F9D" w:rsidRPr="00C41483">
        <w:rPr>
          <w:rFonts w:ascii="Times New Roman" w:hAnsi="Times New Roman" w:cs="Times New Roman"/>
          <w:color w:val="201F1E"/>
          <w:sz w:val="24"/>
          <w:szCs w:val="24"/>
          <w:lang w:eastAsia="en-GB"/>
        </w:rPr>
        <w:t>U cilju osiguranja odgovarajuće edukacije zaposlenika u zatvorskom sustavu o pravima osoba s invaliditetom Centar za izobrazbu</w:t>
      </w:r>
      <w:r w:rsidR="00B5704B" w:rsidRPr="00C41483">
        <w:rPr>
          <w:rFonts w:ascii="Times New Roman" w:hAnsi="Times New Roman" w:cs="Times New Roman"/>
          <w:color w:val="201F1E"/>
          <w:sz w:val="24"/>
          <w:szCs w:val="24"/>
          <w:lang w:eastAsia="en-GB"/>
        </w:rPr>
        <w:t xml:space="preserve"> službenika </w:t>
      </w:r>
      <w:r w:rsidR="00346FB3" w:rsidRPr="00C41483">
        <w:rPr>
          <w:rFonts w:ascii="Times New Roman" w:hAnsi="Times New Roman" w:cs="Times New Roman"/>
          <w:color w:val="201F1E"/>
          <w:sz w:val="24"/>
          <w:szCs w:val="24"/>
          <w:lang w:eastAsia="en-GB"/>
        </w:rPr>
        <w:t>pri ministarstvu nadležnom za pravosuđe k</w:t>
      </w:r>
      <w:r w:rsidR="00561F9D" w:rsidRPr="00C41483">
        <w:rPr>
          <w:rFonts w:ascii="Times New Roman" w:hAnsi="Times New Roman" w:cs="Times New Roman"/>
          <w:color w:val="201F1E"/>
          <w:sz w:val="24"/>
          <w:szCs w:val="24"/>
          <w:lang w:eastAsia="en-GB"/>
        </w:rPr>
        <w:t>ontinuirano provodi izobrazbu svih kategorija državnih službenika zatvorskog sustava.</w:t>
      </w:r>
      <w:r w:rsidR="005F17B9" w:rsidRPr="00C41483">
        <w:rPr>
          <w:rFonts w:ascii="Times New Roman" w:hAnsi="Times New Roman" w:cs="Times New Roman"/>
          <w:color w:val="201F1E"/>
          <w:sz w:val="24"/>
          <w:szCs w:val="24"/>
          <w:lang w:eastAsia="en-GB"/>
        </w:rPr>
        <w:t xml:space="preserve"> </w:t>
      </w:r>
      <w:r w:rsidR="00561F9D" w:rsidRPr="00C41483">
        <w:rPr>
          <w:rFonts w:ascii="Times New Roman" w:hAnsi="Times New Roman" w:cs="Times New Roman"/>
          <w:color w:val="201F1E"/>
          <w:sz w:val="24"/>
          <w:szCs w:val="24"/>
          <w:lang w:eastAsia="en-GB"/>
        </w:rPr>
        <w:t xml:space="preserve">U zadnjih nekoliko godina Centar </w:t>
      </w:r>
      <w:r w:rsidR="00B5704B" w:rsidRPr="00C41483">
        <w:rPr>
          <w:rFonts w:ascii="Times New Roman" w:hAnsi="Times New Roman" w:cs="Times New Roman"/>
          <w:color w:val="201F1E"/>
          <w:sz w:val="24"/>
          <w:szCs w:val="24"/>
          <w:lang w:eastAsia="en-GB"/>
        </w:rPr>
        <w:t xml:space="preserve">je </w:t>
      </w:r>
      <w:r w:rsidR="00561F9D" w:rsidRPr="00C41483">
        <w:rPr>
          <w:rFonts w:ascii="Times New Roman" w:hAnsi="Times New Roman" w:cs="Times New Roman"/>
          <w:color w:val="201F1E"/>
          <w:sz w:val="24"/>
          <w:szCs w:val="24"/>
          <w:lang w:eastAsia="en-GB"/>
        </w:rPr>
        <w:t xml:space="preserve">uspostavio kontinuiranu suradnju sa Savezom udruga osoba s invaliditetom Hrvatske u području izobrazbe službenika o potrebama i specifičnostima postupanja prema osobama s invaliditetom u zatvorskom sustavu. </w:t>
      </w:r>
      <w:r w:rsidR="00885B0C" w:rsidRPr="00C41483">
        <w:rPr>
          <w:rFonts w:ascii="Times New Roman" w:hAnsi="Times New Roman" w:cs="Times New Roman"/>
          <w:color w:val="201F1E"/>
          <w:sz w:val="24"/>
          <w:szCs w:val="24"/>
          <w:lang w:eastAsia="en-GB"/>
        </w:rPr>
        <w:t>O</w:t>
      </w:r>
      <w:r w:rsidR="00561F9D" w:rsidRPr="00C41483">
        <w:rPr>
          <w:rFonts w:ascii="Times New Roman" w:hAnsi="Times New Roman" w:cs="Times New Roman"/>
          <w:color w:val="201F1E"/>
          <w:sz w:val="24"/>
          <w:szCs w:val="24"/>
          <w:lang w:eastAsia="en-GB"/>
        </w:rPr>
        <w:t>držano</w:t>
      </w:r>
      <w:r w:rsidR="00885B0C" w:rsidRPr="00C41483">
        <w:rPr>
          <w:rFonts w:ascii="Times New Roman" w:hAnsi="Times New Roman" w:cs="Times New Roman"/>
          <w:color w:val="201F1E"/>
          <w:sz w:val="24"/>
          <w:szCs w:val="24"/>
          <w:lang w:eastAsia="en-GB"/>
        </w:rPr>
        <w:t xml:space="preserve"> je </w:t>
      </w:r>
      <w:r w:rsidR="00561F9D" w:rsidRPr="00C41483">
        <w:rPr>
          <w:rFonts w:ascii="Times New Roman" w:hAnsi="Times New Roman" w:cs="Times New Roman"/>
          <w:color w:val="201F1E"/>
          <w:sz w:val="24"/>
          <w:szCs w:val="24"/>
          <w:lang w:eastAsia="en-GB"/>
        </w:rPr>
        <w:t>nekoliko predavanja za službenike svih kaznenih tijela, a također je i u program temeljnog tečaja za pravosudnu policiju kojeg pohađaju svi novoprimljeni službenici pravosudne policije uveden takav modul. Centar je uspostavio uspješnu suradnju i s</w:t>
      </w:r>
      <w:r w:rsidR="005F17B9" w:rsidRPr="00C41483">
        <w:rPr>
          <w:rFonts w:ascii="Times New Roman" w:hAnsi="Times New Roman" w:cs="Times New Roman"/>
          <w:color w:val="201F1E"/>
          <w:sz w:val="24"/>
          <w:szCs w:val="24"/>
          <w:lang w:eastAsia="en-GB"/>
        </w:rPr>
        <w:t xml:space="preserve"> p</w:t>
      </w:r>
      <w:r w:rsidR="00561F9D" w:rsidRPr="00C41483">
        <w:rPr>
          <w:rFonts w:ascii="Times New Roman" w:hAnsi="Times New Roman" w:cs="Times New Roman"/>
          <w:color w:val="201F1E"/>
          <w:sz w:val="24"/>
          <w:szCs w:val="24"/>
          <w:lang w:eastAsia="en-GB"/>
        </w:rPr>
        <w:t xml:space="preserve">ravobraniteljicom za osobe s invaliditetom. Zamjenik </w:t>
      </w:r>
      <w:r w:rsidR="005512A2" w:rsidRPr="00C41483">
        <w:rPr>
          <w:rFonts w:ascii="Times New Roman" w:hAnsi="Times New Roman" w:cs="Times New Roman"/>
          <w:color w:val="201F1E"/>
          <w:sz w:val="24"/>
          <w:szCs w:val="24"/>
          <w:lang w:eastAsia="en-GB"/>
        </w:rPr>
        <w:t>p</w:t>
      </w:r>
      <w:r w:rsidR="00561F9D" w:rsidRPr="00C41483">
        <w:rPr>
          <w:rFonts w:ascii="Times New Roman" w:hAnsi="Times New Roman" w:cs="Times New Roman"/>
          <w:color w:val="201F1E"/>
          <w:sz w:val="24"/>
          <w:szCs w:val="24"/>
          <w:lang w:eastAsia="en-GB"/>
        </w:rPr>
        <w:t xml:space="preserve">ravobraniteljice drži predavanja o pravnom okviru vezano uz osobe s invaliditetom te </w:t>
      </w:r>
      <w:r w:rsidR="00885B0C" w:rsidRPr="00C41483">
        <w:rPr>
          <w:rFonts w:ascii="Times New Roman" w:hAnsi="Times New Roman" w:cs="Times New Roman"/>
          <w:color w:val="201F1E"/>
          <w:sz w:val="24"/>
          <w:szCs w:val="24"/>
          <w:lang w:eastAsia="en-GB"/>
        </w:rPr>
        <w:t>i</w:t>
      </w:r>
      <w:r w:rsidR="00561F9D" w:rsidRPr="00C41483">
        <w:rPr>
          <w:rFonts w:ascii="Times New Roman" w:hAnsi="Times New Roman" w:cs="Times New Roman"/>
          <w:color w:val="201F1E"/>
          <w:sz w:val="24"/>
          <w:szCs w:val="24"/>
          <w:lang w:eastAsia="en-GB"/>
        </w:rPr>
        <w:t xml:space="preserve">zazovima s kojima se osobe s invaliditetom susreću u svakodnevici. </w:t>
      </w:r>
      <w:r w:rsidR="00885B0C" w:rsidRPr="00C41483">
        <w:rPr>
          <w:rFonts w:ascii="Times New Roman" w:hAnsi="Times New Roman" w:cs="Times New Roman"/>
          <w:color w:val="201F1E"/>
          <w:sz w:val="24"/>
          <w:szCs w:val="24"/>
          <w:lang w:eastAsia="en-GB"/>
        </w:rPr>
        <w:t>N</w:t>
      </w:r>
      <w:r w:rsidR="00561F9D" w:rsidRPr="00C41483">
        <w:rPr>
          <w:rFonts w:ascii="Times New Roman" w:hAnsi="Times New Roman" w:cs="Times New Roman"/>
          <w:color w:val="201F1E"/>
          <w:sz w:val="24"/>
          <w:szCs w:val="24"/>
          <w:lang w:eastAsia="en-GB"/>
        </w:rPr>
        <w:t>eka kaznena tijela su sama, nezavisno od Centra za izobrazbu, organizirala izobrazbe s ovom tematikom</w:t>
      </w:r>
      <w:r w:rsidR="00E13E40" w:rsidRPr="00C41483">
        <w:rPr>
          <w:rFonts w:ascii="Times New Roman" w:hAnsi="Times New Roman" w:cs="Times New Roman"/>
          <w:color w:val="201F1E"/>
          <w:sz w:val="24"/>
          <w:szCs w:val="24"/>
          <w:lang w:eastAsia="en-GB"/>
        </w:rPr>
        <w:t>.</w:t>
      </w:r>
    </w:p>
    <w:p w14:paraId="69242F0A" w14:textId="77777777" w:rsidR="00561F9D" w:rsidRPr="00C41483" w:rsidRDefault="00561F9D" w:rsidP="006B5133">
      <w:pPr>
        <w:spacing w:after="0" w:line="240" w:lineRule="auto"/>
        <w:jc w:val="both"/>
        <w:rPr>
          <w:rFonts w:ascii="Times New Roman" w:eastAsia="Times New Roman" w:hAnsi="Times New Roman" w:cs="Times New Roman"/>
          <w:bCs/>
          <w:i/>
          <w:iCs/>
          <w:sz w:val="24"/>
          <w:szCs w:val="24"/>
          <w:lang w:eastAsia="hr-HR"/>
        </w:rPr>
      </w:pPr>
    </w:p>
    <w:p w14:paraId="5680DB6B" w14:textId="2832A966" w:rsidR="00D542B4" w:rsidRPr="00C41483" w:rsidRDefault="00D542B4" w:rsidP="006B5133">
      <w:pPr>
        <w:pStyle w:val="Naslov1"/>
        <w:spacing w:before="0" w:line="240" w:lineRule="auto"/>
        <w:rPr>
          <w:rFonts w:ascii="Times New Roman" w:eastAsia="Times New Roman" w:hAnsi="Times New Roman" w:cs="Times New Roman"/>
          <w:b/>
          <w:bCs/>
          <w:color w:val="auto"/>
          <w:sz w:val="24"/>
          <w:szCs w:val="24"/>
          <w:lang w:eastAsia="hr-HR"/>
        </w:rPr>
      </w:pPr>
      <w:bookmarkStart w:id="66" w:name="_Toc76630955"/>
      <w:bookmarkStart w:id="67" w:name="_Toc88031195"/>
      <w:r w:rsidRPr="00C41483">
        <w:rPr>
          <w:rFonts w:ascii="Times New Roman" w:eastAsia="Times New Roman" w:hAnsi="Times New Roman" w:cs="Times New Roman"/>
          <w:b/>
          <w:bCs/>
          <w:color w:val="auto"/>
          <w:sz w:val="24"/>
          <w:szCs w:val="24"/>
          <w:lang w:eastAsia="hr-HR"/>
        </w:rPr>
        <w:t>Osobna sloboda i sigurnost (čl. 14.)</w:t>
      </w:r>
      <w:bookmarkEnd w:id="66"/>
      <w:bookmarkEnd w:id="67"/>
    </w:p>
    <w:p w14:paraId="0F5D4F4A" w14:textId="77777777" w:rsidR="000668E0" w:rsidRPr="00C41483" w:rsidRDefault="000668E0" w:rsidP="006B5133">
      <w:pPr>
        <w:spacing w:after="0" w:line="240" w:lineRule="auto"/>
        <w:jc w:val="both"/>
        <w:rPr>
          <w:rFonts w:ascii="Times New Roman" w:eastAsia="Times New Roman" w:hAnsi="Times New Roman" w:cs="Times New Roman"/>
          <w:bCs/>
          <w:i/>
          <w:iCs/>
          <w:sz w:val="24"/>
          <w:szCs w:val="24"/>
          <w:lang w:eastAsia="hr-HR"/>
        </w:rPr>
      </w:pPr>
    </w:p>
    <w:p w14:paraId="3A996906" w14:textId="15F1DF60" w:rsidR="00A06468" w:rsidRPr="00C41483" w:rsidRDefault="000807E9" w:rsidP="006B5133">
      <w:pPr>
        <w:spacing w:after="0" w:line="240" w:lineRule="auto"/>
        <w:jc w:val="both"/>
        <w:rPr>
          <w:rFonts w:ascii="Times New Roman" w:eastAsia="Times New Roman" w:hAnsi="Times New Roman" w:cs="Times New Roman"/>
          <w:bCs/>
          <w:i/>
          <w:iCs/>
          <w:sz w:val="24"/>
          <w:szCs w:val="24"/>
          <w:lang w:eastAsia="hr-HR"/>
        </w:rPr>
      </w:pPr>
      <w:bookmarkStart w:id="68" w:name="_Hlk83814442"/>
      <w:r w:rsidRPr="00C41483">
        <w:rPr>
          <w:rFonts w:ascii="Times New Roman" w:eastAsia="Times New Roman" w:hAnsi="Times New Roman" w:cs="Times New Roman"/>
          <w:bCs/>
          <w:i/>
          <w:iCs/>
          <w:sz w:val="24"/>
          <w:szCs w:val="24"/>
          <w:lang w:eastAsia="hr-HR"/>
        </w:rPr>
        <w:t xml:space="preserve">Pitanje </w:t>
      </w:r>
      <w:r w:rsidR="00A06468" w:rsidRPr="00C41483">
        <w:rPr>
          <w:rFonts w:ascii="Times New Roman" w:eastAsia="Times New Roman" w:hAnsi="Times New Roman" w:cs="Times New Roman"/>
          <w:bCs/>
          <w:i/>
          <w:iCs/>
          <w:sz w:val="24"/>
          <w:szCs w:val="24"/>
          <w:lang w:eastAsia="hr-HR"/>
        </w:rPr>
        <w:t>14</w:t>
      </w:r>
    </w:p>
    <w:p w14:paraId="446E2073" w14:textId="4FDFC401" w:rsidR="00563A51" w:rsidRPr="00C41483" w:rsidRDefault="00563A51" w:rsidP="006B5133">
      <w:pPr>
        <w:spacing w:after="0" w:line="240" w:lineRule="auto"/>
        <w:jc w:val="both"/>
        <w:rPr>
          <w:rFonts w:ascii="Times New Roman" w:eastAsia="Times New Roman" w:hAnsi="Times New Roman" w:cs="Times New Roman"/>
          <w:bCs/>
          <w:i/>
          <w:iCs/>
          <w:sz w:val="24"/>
          <w:szCs w:val="24"/>
          <w:lang w:eastAsia="hr-HR"/>
        </w:rPr>
      </w:pPr>
    </w:p>
    <w:bookmarkEnd w:id="68"/>
    <w:p w14:paraId="6F3554BD" w14:textId="28E1ED06" w:rsidR="00563A51" w:rsidRPr="00C41483" w:rsidRDefault="00F15476" w:rsidP="00563A51">
      <w:pPr>
        <w:spacing w:after="0" w:line="240" w:lineRule="auto"/>
        <w:jc w:val="both"/>
        <w:rPr>
          <w:rFonts w:ascii="Times New Roman" w:eastAsia="Calibri" w:hAnsi="Times New Roman" w:cs="Times New Roman"/>
          <w:sz w:val="24"/>
          <w:szCs w:val="24"/>
        </w:rPr>
      </w:pPr>
      <w:r w:rsidRPr="00C41483">
        <w:rPr>
          <w:rFonts w:ascii="Times New Roman" w:eastAsia="Calibri" w:hAnsi="Times New Roman" w:cs="Times New Roman"/>
          <w:sz w:val="24"/>
          <w:szCs w:val="24"/>
        </w:rPr>
        <w:t>(</w:t>
      </w:r>
      <w:r w:rsidR="00F83BEE" w:rsidRPr="00C41483">
        <w:rPr>
          <w:rFonts w:ascii="Times New Roman" w:eastAsia="Calibri" w:hAnsi="Times New Roman" w:cs="Times New Roman"/>
          <w:sz w:val="24"/>
          <w:szCs w:val="24"/>
        </w:rPr>
        <w:t>8</w:t>
      </w:r>
      <w:r w:rsidR="000F3ADF" w:rsidRPr="00C41483">
        <w:rPr>
          <w:rFonts w:ascii="Times New Roman" w:eastAsia="Calibri" w:hAnsi="Times New Roman" w:cs="Times New Roman"/>
          <w:sz w:val="24"/>
          <w:szCs w:val="24"/>
        </w:rPr>
        <w:t>4</w:t>
      </w:r>
      <w:r w:rsidRPr="00C41483">
        <w:rPr>
          <w:rFonts w:ascii="Times New Roman" w:eastAsia="Calibri" w:hAnsi="Times New Roman" w:cs="Times New Roman"/>
          <w:sz w:val="24"/>
          <w:szCs w:val="24"/>
        </w:rPr>
        <w:t xml:space="preserve">) </w:t>
      </w:r>
      <w:r w:rsidR="00B60243" w:rsidRPr="00C41483">
        <w:rPr>
          <w:rFonts w:ascii="Times New Roman" w:eastAsia="Calibri" w:hAnsi="Times New Roman" w:cs="Times New Roman"/>
          <w:sz w:val="24"/>
          <w:szCs w:val="24"/>
        </w:rPr>
        <w:t xml:space="preserve">Pri Ministarstvu pravosuđa i uprave na temelju </w:t>
      </w:r>
      <w:r w:rsidR="00222BD9" w:rsidRPr="00C41483">
        <w:rPr>
          <w:rFonts w:ascii="Times New Roman" w:hAnsi="Times New Roman" w:cs="Times New Roman"/>
          <w:sz w:val="24"/>
          <w:szCs w:val="24"/>
          <w:lang w:eastAsia="hr-HR"/>
        </w:rPr>
        <w:t>ZZODS</w:t>
      </w:r>
      <w:r w:rsidR="00F83BEE" w:rsidRPr="00C41483">
        <w:rPr>
          <w:rFonts w:ascii="Times New Roman" w:hAnsi="Times New Roman" w:cs="Times New Roman"/>
          <w:sz w:val="24"/>
          <w:szCs w:val="24"/>
          <w:lang w:eastAsia="hr-HR"/>
        </w:rPr>
        <w:t>-a</w:t>
      </w:r>
      <w:r w:rsidR="00222BD9" w:rsidRPr="00C41483">
        <w:rPr>
          <w:rFonts w:ascii="Times New Roman" w:eastAsia="Calibri" w:hAnsi="Times New Roman" w:cs="Times New Roman"/>
          <w:sz w:val="24"/>
          <w:szCs w:val="24"/>
        </w:rPr>
        <w:t xml:space="preserve"> </w:t>
      </w:r>
      <w:r w:rsidR="00B60243" w:rsidRPr="00C41483">
        <w:rPr>
          <w:rFonts w:ascii="Times New Roman" w:eastAsia="Calibri" w:hAnsi="Times New Roman" w:cs="Times New Roman"/>
          <w:sz w:val="24"/>
          <w:szCs w:val="24"/>
        </w:rPr>
        <w:t>djeluje Povjerenstvo za zaštitu osoba s duševnim smetnjama, koje je, uz ostalo, nadležno iznositi nadležnim tijelima prijedloge i mišljenja u vezi s primjenom Zakona, kao i raspravljati o pitanjima od važnosti za zaštitu osoba s duševnim smetnjama te predlagati i poticati donošenje mjera za njezino unapređivanje, pratiti pošt</w:t>
      </w:r>
      <w:r w:rsidR="005512A2" w:rsidRPr="00C41483">
        <w:rPr>
          <w:rFonts w:ascii="Times New Roman" w:eastAsia="Calibri" w:hAnsi="Times New Roman" w:cs="Times New Roman"/>
          <w:sz w:val="24"/>
          <w:szCs w:val="24"/>
        </w:rPr>
        <w:t>i</w:t>
      </w:r>
      <w:r w:rsidR="00B60243" w:rsidRPr="00C41483">
        <w:rPr>
          <w:rFonts w:ascii="Times New Roman" w:eastAsia="Calibri" w:hAnsi="Times New Roman" w:cs="Times New Roman"/>
          <w:sz w:val="24"/>
          <w:szCs w:val="24"/>
        </w:rPr>
        <w:t>vanje ljudskih prava i sloboda te dostojanstva osoba s duševnim smetnjama te razmatrati i davati mišljenje o drugim pitanjima važnima za njihovu zaštitu i unapređivanje zdravlja.</w:t>
      </w:r>
    </w:p>
    <w:p w14:paraId="6EF045B5" w14:textId="77777777" w:rsidR="000E6B09" w:rsidRPr="00C41483" w:rsidRDefault="000E6B09" w:rsidP="00563A51">
      <w:pPr>
        <w:spacing w:after="0" w:line="240" w:lineRule="auto"/>
        <w:jc w:val="both"/>
        <w:rPr>
          <w:rFonts w:ascii="Times New Roman" w:eastAsia="Calibri" w:hAnsi="Times New Roman" w:cs="Times New Roman"/>
          <w:sz w:val="24"/>
          <w:szCs w:val="24"/>
        </w:rPr>
      </w:pPr>
    </w:p>
    <w:p w14:paraId="6C00B957" w14:textId="562045A6" w:rsidR="00563A51" w:rsidRPr="00C41483" w:rsidRDefault="00F15476" w:rsidP="00563A51">
      <w:pPr>
        <w:spacing w:after="0" w:line="240" w:lineRule="auto"/>
        <w:jc w:val="both"/>
        <w:rPr>
          <w:rFonts w:ascii="Times New Roman" w:eastAsia="Calibri" w:hAnsi="Times New Roman" w:cs="Times New Roman"/>
          <w:sz w:val="24"/>
          <w:szCs w:val="24"/>
        </w:rPr>
      </w:pPr>
      <w:r w:rsidRPr="00C41483">
        <w:rPr>
          <w:rFonts w:ascii="Times New Roman" w:eastAsia="Calibri" w:hAnsi="Times New Roman" w:cs="Times New Roman"/>
          <w:sz w:val="24"/>
          <w:szCs w:val="24"/>
        </w:rPr>
        <w:t>(</w:t>
      </w:r>
      <w:r w:rsidR="00F83BEE" w:rsidRPr="00C41483">
        <w:rPr>
          <w:rFonts w:ascii="Times New Roman" w:eastAsia="Calibri" w:hAnsi="Times New Roman" w:cs="Times New Roman"/>
          <w:sz w:val="24"/>
          <w:szCs w:val="24"/>
        </w:rPr>
        <w:t>8</w:t>
      </w:r>
      <w:r w:rsidR="000F3ADF" w:rsidRPr="00C41483">
        <w:rPr>
          <w:rFonts w:ascii="Times New Roman" w:eastAsia="Calibri" w:hAnsi="Times New Roman" w:cs="Times New Roman"/>
          <w:sz w:val="24"/>
          <w:szCs w:val="24"/>
        </w:rPr>
        <w:t>5</w:t>
      </w:r>
      <w:r w:rsidRPr="00C41483">
        <w:rPr>
          <w:rFonts w:ascii="Times New Roman" w:eastAsia="Calibri" w:hAnsi="Times New Roman" w:cs="Times New Roman"/>
          <w:sz w:val="24"/>
          <w:szCs w:val="24"/>
        </w:rPr>
        <w:t xml:space="preserve">) </w:t>
      </w:r>
      <w:r w:rsidR="00563A51" w:rsidRPr="00C41483">
        <w:rPr>
          <w:rFonts w:ascii="Times New Roman" w:eastAsia="Calibri" w:hAnsi="Times New Roman" w:cs="Times New Roman"/>
          <w:sz w:val="24"/>
          <w:szCs w:val="24"/>
        </w:rPr>
        <w:t xml:space="preserve">Također, pri </w:t>
      </w:r>
      <w:r w:rsidR="002A590A" w:rsidRPr="00C41483">
        <w:rPr>
          <w:rFonts w:ascii="Times New Roman" w:eastAsia="Calibri" w:hAnsi="Times New Roman" w:cs="Times New Roman"/>
          <w:sz w:val="24"/>
          <w:szCs w:val="24"/>
        </w:rPr>
        <w:t>istom m</w:t>
      </w:r>
      <w:r w:rsidR="00563A51" w:rsidRPr="00C41483">
        <w:rPr>
          <w:rFonts w:ascii="Times New Roman" w:eastAsia="Calibri" w:hAnsi="Times New Roman" w:cs="Times New Roman"/>
          <w:sz w:val="24"/>
          <w:szCs w:val="24"/>
        </w:rPr>
        <w:t xml:space="preserve">inistarstvu djeluje i Povjerenstvo za praćenje primjene </w:t>
      </w:r>
      <w:r w:rsidR="00222BD9" w:rsidRPr="00C41483">
        <w:rPr>
          <w:rFonts w:ascii="Times New Roman" w:hAnsi="Times New Roman" w:cs="Times New Roman"/>
          <w:sz w:val="24"/>
          <w:szCs w:val="24"/>
          <w:lang w:eastAsia="hr-HR"/>
        </w:rPr>
        <w:t>ZZODS</w:t>
      </w:r>
      <w:r w:rsidR="00F83BEE" w:rsidRPr="00C41483">
        <w:rPr>
          <w:rFonts w:ascii="Times New Roman" w:hAnsi="Times New Roman" w:cs="Times New Roman"/>
          <w:sz w:val="24"/>
          <w:szCs w:val="24"/>
          <w:lang w:eastAsia="hr-HR"/>
        </w:rPr>
        <w:t>-a</w:t>
      </w:r>
      <w:r w:rsidR="00222BD9" w:rsidRPr="00C41483">
        <w:rPr>
          <w:rFonts w:ascii="Times New Roman" w:eastAsia="Calibri" w:hAnsi="Times New Roman" w:cs="Times New Roman"/>
          <w:sz w:val="24"/>
          <w:szCs w:val="24"/>
        </w:rPr>
        <w:t xml:space="preserve"> </w:t>
      </w:r>
      <w:r w:rsidR="00563A51" w:rsidRPr="00C41483">
        <w:rPr>
          <w:rFonts w:ascii="Times New Roman" w:eastAsia="Calibri" w:hAnsi="Times New Roman" w:cs="Times New Roman"/>
          <w:sz w:val="24"/>
          <w:szCs w:val="24"/>
        </w:rPr>
        <w:t>čiji je cilj razmatranje potrebe izmjena i dopuna pojedinih odredbi Zakona, u ispunjenju kojeg cilja Povjerenstvo prati pravnu praksu županijskih sudova u predmetima iz nadležnosti predmetnog Zakona, kao i praksu Europskog suda za ljudska prava i rad Povjerenstva za zaštitu osoba s duševnim smetnjama.</w:t>
      </w:r>
    </w:p>
    <w:p w14:paraId="0074612B" w14:textId="77777777" w:rsidR="000E6B09" w:rsidRPr="00C41483" w:rsidRDefault="000E6B09" w:rsidP="00295D36">
      <w:pPr>
        <w:spacing w:after="0" w:line="240" w:lineRule="auto"/>
        <w:jc w:val="both"/>
        <w:rPr>
          <w:rFonts w:ascii="Times New Roman" w:hAnsi="Times New Roman" w:cs="Times New Roman"/>
          <w:sz w:val="24"/>
          <w:szCs w:val="24"/>
        </w:rPr>
      </w:pPr>
    </w:p>
    <w:p w14:paraId="690AEFDC" w14:textId="7E0083BD" w:rsidR="00563A51" w:rsidRPr="00C41483" w:rsidRDefault="00F15476" w:rsidP="00295D36">
      <w:pPr>
        <w:spacing w:after="0" w:line="240" w:lineRule="auto"/>
        <w:jc w:val="both"/>
        <w:rPr>
          <w:rFonts w:ascii="Times New Roman" w:hAnsi="Times New Roman" w:cs="Times New Roman"/>
          <w:sz w:val="24"/>
          <w:szCs w:val="24"/>
        </w:rPr>
      </w:pPr>
      <w:r w:rsidRPr="00C41483">
        <w:rPr>
          <w:rFonts w:ascii="Times New Roman" w:hAnsi="Times New Roman" w:cs="Times New Roman"/>
          <w:sz w:val="24"/>
          <w:szCs w:val="24"/>
        </w:rPr>
        <w:t>(</w:t>
      </w:r>
      <w:r w:rsidR="00F83BEE" w:rsidRPr="00C41483">
        <w:rPr>
          <w:rFonts w:ascii="Times New Roman" w:hAnsi="Times New Roman" w:cs="Times New Roman"/>
          <w:sz w:val="24"/>
          <w:szCs w:val="24"/>
        </w:rPr>
        <w:t>8</w:t>
      </w:r>
      <w:r w:rsidR="000F3ADF" w:rsidRPr="00C41483">
        <w:rPr>
          <w:rFonts w:ascii="Times New Roman" w:hAnsi="Times New Roman" w:cs="Times New Roman"/>
          <w:sz w:val="24"/>
          <w:szCs w:val="24"/>
        </w:rPr>
        <w:t>6</w:t>
      </w:r>
      <w:r w:rsidRPr="00C41483">
        <w:rPr>
          <w:rFonts w:ascii="Times New Roman" w:hAnsi="Times New Roman" w:cs="Times New Roman"/>
          <w:sz w:val="24"/>
          <w:szCs w:val="24"/>
        </w:rPr>
        <w:t xml:space="preserve">) </w:t>
      </w:r>
      <w:r w:rsidR="00563A51" w:rsidRPr="00C41483">
        <w:rPr>
          <w:rFonts w:ascii="Times New Roman" w:hAnsi="Times New Roman" w:cs="Times New Roman"/>
          <w:sz w:val="24"/>
          <w:szCs w:val="24"/>
        </w:rPr>
        <w:t xml:space="preserve">U skladu s odredbama </w:t>
      </w:r>
      <w:r w:rsidR="00222BD9" w:rsidRPr="00C41483">
        <w:rPr>
          <w:rFonts w:ascii="Times New Roman" w:hAnsi="Times New Roman" w:cs="Times New Roman"/>
          <w:sz w:val="24"/>
          <w:szCs w:val="24"/>
          <w:lang w:eastAsia="hr-HR"/>
        </w:rPr>
        <w:t>ZZODS</w:t>
      </w:r>
      <w:r w:rsidR="00222BD9" w:rsidRPr="00C41483">
        <w:rPr>
          <w:rFonts w:ascii="Times New Roman" w:hAnsi="Times New Roman" w:cs="Times New Roman"/>
          <w:sz w:val="24"/>
          <w:szCs w:val="24"/>
        </w:rPr>
        <w:t xml:space="preserve"> </w:t>
      </w:r>
      <w:r w:rsidR="00B60243" w:rsidRPr="00C41483">
        <w:rPr>
          <w:rFonts w:ascii="Times New Roman" w:hAnsi="Times New Roman" w:cs="Times New Roman"/>
          <w:sz w:val="24"/>
          <w:szCs w:val="24"/>
        </w:rPr>
        <w:t>(</w:t>
      </w:r>
      <w:r w:rsidR="00563A51" w:rsidRPr="00C41483">
        <w:rPr>
          <w:rFonts w:ascii="Times New Roman" w:hAnsi="Times New Roman" w:cs="Times New Roman"/>
          <w:sz w:val="24"/>
          <w:szCs w:val="24"/>
        </w:rPr>
        <w:t>201</w:t>
      </w:r>
      <w:r w:rsidR="00B60243" w:rsidRPr="00C41483">
        <w:rPr>
          <w:rFonts w:ascii="Times New Roman" w:hAnsi="Times New Roman" w:cs="Times New Roman"/>
          <w:sz w:val="24"/>
          <w:szCs w:val="24"/>
        </w:rPr>
        <w:t>5.)</w:t>
      </w:r>
      <w:r w:rsidR="00563A51" w:rsidRPr="00C41483">
        <w:rPr>
          <w:rFonts w:ascii="Times New Roman" w:hAnsi="Times New Roman" w:cs="Times New Roman"/>
          <w:sz w:val="24"/>
          <w:szCs w:val="24"/>
        </w:rPr>
        <w:t>, zaštita i unapređenje zdravlja osoba s mentalnim oštećenjima, u odnosu na raniji zakon, ostvaruje se posebice u dijelu skraćenog vremena prijema u psihijatrijsku ustanovu, omogućavanju psihijatrijskog liječenja neubrojivih osoba na slobodi i zamjenu prisilnog smještaja psihijatrijskim liječenjem na slobodi, ograničenje primjene mjera prisile prema osobi s težim duševnim smetnjama kao i određivanju osobe od povjerenja koja će za osobu donositi odluke u trenutku kada ona sama ne bude mogla donositi takve odluke. O navedenom Zakonu detaljnije u odgovoru na pitanje broj 12.</w:t>
      </w:r>
    </w:p>
    <w:p w14:paraId="566F273D" w14:textId="77777777" w:rsidR="00563A51" w:rsidRPr="00C41483" w:rsidRDefault="00563A51" w:rsidP="00295D36">
      <w:pPr>
        <w:spacing w:after="0" w:line="240" w:lineRule="auto"/>
        <w:jc w:val="both"/>
        <w:rPr>
          <w:rFonts w:ascii="Times New Roman" w:eastAsia="Times New Roman" w:hAnsi="Times New Roman" w:cs="Times New Roman"/>
          <w:bCs/>
          <w:i/>
          <w:iCs/>
          <w:sz w:val="24"/>
          <w:szCs w:val="24"/>
          <w:lang w:eastAsia="hr-HR"/>
        </w:rPr>
      </w:pPr>
      <w:bookmarkStart w:id="69" w:name="_Hlk83814571"/>
    </w:p>
    <w:p w14:paraId="39B00995" w14:textId="3C2FEF08" w:rsidR="00A06468" w:rsidRPr="00C41483" w:rsidRDefault="000807E9" w:rsidP="00295D36">
      <w:pPr>
        <w:spacing w:after="0" w:line="240" w:lineRule="auto"/>
        <w:jc w:val="both"/>
        <w:rPr>
          <w:rFonts w:ascii="Times New Roman" w:eastAsia="Times New Roman" w:hAnsi="Times New Roman" w:cs="Times New Roman"/>
          <w:bCs/>
          <w:i/>
          <w:iCs/>
          <w:sz w:val="24"/>
          <w:szCs w:val="24"/>
          <w:lang w:eastAsia="hr-HR"/>
        </w:rPr>
      </w:pPr>
      <w:bookmarkStart w:id="70" w:name="_Hlk78462492"/>
      <w:bookmarkStart w:id="71" w:name="_Hlk83814546"/>
      <w:r w:rsidRPr="00C41483">
        <w:rPr>
          <w:rFonts w:ascii="Times New Roman" w:eastAsia="Times New Roman" w:hAnsi="Times New Roman" w:cs="Times New Roman"/>
          <w:bCs/>
          <w:i/>
          <w:iCs/>
          <w:sz w:val="24"/>
          <w:szCs w:val="24"/>
          <w:lang w:eastAsia="hr-HR"/>
        </w:rPr>
        <w:t xml:space="preserve">Pitanje </w:t>
      </w:r>
      <w:r w:rsidR="00A06468" w:rsidRPr="00C41483">
        <w:rPr>
          <w:rFonts w:ascii="Times New Roman" w:eastAsia="Times New Roman" w:hAnsi="Times New Roman" w:cs="Times New Roman"/>
          <w:bCs/>
          <w:i/>
          <w:iCs/>
          <w:sz w:val="24"/>
          <w:szCs w:val="24"/>
          <w:lang w:eastAsia="hr-HR"/>
        </w:rPr>
        <w:t>15</w:t>
      </w:r>
      <w:bookmarkEnd w:id="69"/>
    </w:p>
    <w:bookmarkEnd w:id="70"/>
    <w:p w14:paraId="6F7339D6" w14:textId="327EB21E" w:rsidR="00295D36" w:rsidRPr="00C41483" w:rsidRDefault="00295D36" w:rsidP="00295D36">
      <w:pPr>
        <w:spacing w:after="0" w:line="240" w:lineRule="auto"/>
        <w:rPr>
          <w:lang w:eastAsia="hr-HR"/>
        </w:rPr>
      </w:pPr>
    </w:p>
    <w:bookmarkEnd w:id="71"/>
    <w:p w14:paraId="6D29B50E" w14:textId="295A9F83" w:rsidR="00295D36" w:rsidRPr="00C41483" w:rsidRDefault="00F15476" w:rsidP="00427CC4">
      <w:pPr>
        <w:pStyle w:val="xt-9-8"/>
        <w:jc w:val="both"/>
      </w:pPr>
      <w:r w:rsidRPr="00C41483">
        <w:lastRenderedPageBreak/>
        <w:t>(</w:t>
      </w:r>
      <w:r w:rsidR="00F83BEE" w:rsidRPr="00C41483">
        <w:t>8</w:t>
      </w:r>
      <w:r w:rsidR="000F3ADF" w:rsidRPr="00C41483">
        <w:t>7</w:t>
      </w:r>
      <w:r w:rsidRPr="00C41483">
        <w:t xml:space="preserve">) </w:t>
      </w:r>
      <w:r w:rsidR="00295D36" w:rsidRPr="00C41483">
        <w:t xml:space="preserve">Sukladno Zakonu o presađivanju ljudskih organa u svrhu liječenja (2012.) pacijent ima pravo prihvatiti ili odbiti pojedini terapijski postupak. Organi za presađivanje se mogu uzeti od živog darivatelja te s umrle osobe kojoj je dijagnosticirana smrt mozga. </w:t>
      </w:r>
      <w:r w:rsidR="00295D36" w:rsidRPr="00C41483">
        <w:rPr>
          <w:color w:val="000000"/>
        </w:rPr>
        <w:t>Informirani pristanak (suglasnost) živog darivatelja ili primatelja organa mora se odnositi samo na predviđeni zahvat. Informirani pristanak daje se u pisanom obliku, te mora biti izraz slobodne volje darivatelja odnosno primatelja organa, utemeljene na odgovarajućoj obavijesti o prirodi, svrsi i tijeku zahvata, vjerojatnosti njegove uspješnosti i uobičajenim rizicima. Darivatelj odnosno primatelj može slobodno i u bilo koje vrijeme do početka postupka uzimanja odnosno presađivanja opozvati svoj pristanak.</w:t>
      </w:r>
      <w:r w:rsidR="00F83BEE" w:rsidRPr="00C41483">
        <w:rPr>
          <w:color w:val="000000"/>
        </w:rPr>
        <w:t xml:space="preserve"> </w:t>
      </w:r>
      <w:r w:rsidR="00295D36" w:rsidRPr="00C41483">
        <w:rPr>
          <w:color w:val="000000"/>
        </w:rPr>
        <w:t xml:space="preserve">Organi s umrle osobe smiju se uzeti radi presađivanja samo ako se darivatelj organa za života nije u pisanom obliku protivio darivanju. Pisanu izjavu o </w:t>
      </w:r>
      <w:proofErr w:type="spellStart"/>
      <w:r w:rsidR="00295D36" w:rsidRPr="00C41483">
        <w:rPr>
          <w:color w:val="000000"/>
        </w:rPr>
        <w:t>nedarivanju</w:t>
      </w:r>
      <w:proofErr w:type="spellEnd"/>
      <w:r w:rsidR="00295D36" w:rsidRPr="00C41483">
        <w:rPr>
          <w:color w:val="000000"/>
        </w:rPr>
        <w:t xml:space="preserve"> organa punoljetna poslovno sposobna osoba daje izabranom doktoru medicine primarne zdravstvene zaštite ili ministarstvu nadležnom za zdravstvo gdje se upisuje u Registar </w:t>
      </w:r>
      <w:proofErr w:type="spellStart"/>
      <w:r w:rsidR="00295D36" w:rsidRPr="00C41483">
        <w:rPr>
          <w:color w:val="000000"/>
        </w:rPr>
        <w:t>nedarivatelja</w:t>
      </w:r>
      <w:proofErr w:type="spellEnd"/>
      <w:r w:rsidR="00295D36" w:rsidRPr="00C41483">
        <w:rPr>
          <w:color w:val="000000"/>
        </w:rPr>
        <w:t xml:space="preserve">. Iznimno, za punoljetne osobe koje nisu poslovno sposobne, pisanu izjavu </w:t>
      </w:r>
      <w:proofErr w:type="spellStart"/>
      <w:r w:rsidR="00295D36" w:rsidRPr="00C41483">
        <w:rPr>
          <w:color w:val="000000"/>
        </w:rPr>
        <w:t>solemniziranu</w:t>
      </w:r>
      <w:proofErr w:type="spellEnd"/>
      <w:r w:rsidR="00295D36" w:rsidRPr="00C41483">
        <w:rPr>
          <w:color w:val="000000"/>
        </w:rPr>
        <w:t xml:space="preserve"> od strane javnog bilježnika, daje zakonski zastupnik, odnosno skrbnik. Slijepa osoba, gluha osoba koja ne zna čitati, nijema osoba koja ne zna pisati i </w:t>
      </w:r>
      <w:proofErr w:type="spellStart"/>
      <w:r w:rsidR="00295D36" w:rsidRPr="00C41483">
        <w:rPr>
          <w:color w:val="000000"/>
        </w:rPr>
        <w:t>gluhoslijepa</w:t>
      </w:r>
      <w:proofErr w:type="spellEnd"/>
      <w:r w:rsidR="00295D36" w:rsidRPr="00C41483">
        <w:rPr>
          <w:color w:val="000000"/>
        </w:rPr>
        <w:t xml:space="preserve"> osoba daje izjavu u obliku javnobilježničkog akta ili pred dva svjedoka iskazanom izjavom o imenovanju poslovno sposobne osobe koja će u njeno ime dati pisanu izjavu.</w:t>
      </w:r>
      <w:r w:rsidR="00F83BEE" w:rsidRPr="00C41483">
        <w:rPr>
          <w:color w:val="000000"/>
        </w:rPr>
        <w:t xml:space="preserve"> </w:t>
      </w:r>
      <w:r w:rsidR="00295D36" w:rsidRPr="00C41483">
        <w:rPr>
          <w:color w:val="000000"/>
        </w:rPr>
        <w:t>Dijelovi tijela umrle osobe koja nije državljanin RH, odnosno nema u RH stalni boravak, mogu se uzeti radi presađivanja kada na to u pisanom obliku pristane bračni ili izvanbračni drug, roditelj, punoljetni brat, sestra ili punoljetno dijete umrle osobe.</w:t>
      </w:r>
      <w:r w:rsidR="00295D36" w:rsidRPr="00C41483">
        <w:rPr>
          <w:color w:val="1F497D"/>
        </w:rPr>
        <w:t xml:space="preserve"> </w:t>
      </w:r>
      <w:r w:rsidR="00295D36" w:rsidRPr="00C41483">
        <w:rPr>
          <w:color w:val="000000"/>
        </w:rPr>
        <w:t>Dijelovi tijela umrlog djeteta, te umrle punoljetne osobe koja nije bila poslovno sposobna mogu se uzeti zbog presađivanja samo ako na to u pisanom obliku pristanu oba roditelja, ako su živi ili njegov zakonski zastupnik, odnosno skrbnik.</w:t>
      </w:r>
    </w:p>
    <w:p w14:paraId="7501CE54" w14:textId="77777777" w:rsidR="00561F9D" w:rsidRPr="00C41483" w:rsidRDefault="00561F9D" w:rsidP="006B5133">
      <w:pPr>
        <w:spacing w:after="0" w:line="240" w:lineRule="auto"/>
        <w:rPr>
          <w:lang w:eastAsia="hr-HR"/>
        </w:rPr>
      </w:pPr>
    </w:p>
    <w:p w14:paraId="286E8904" w14:textId="09B776EB" w:rsidR="00D542B4" w:rsidRPr="00C41483" w:rsidRDefault="00D542B4" w:rsidP="006B5133">
      <w:pPr>
        <w:pStyle w:val="Naslov1"/>
        <w:spacing w:before="0" w:line="240" w:lineRule="auto"/>
        <w:rPr>
          <w:rFonts w:ascii="Times New Roman" w:eastAsia="Times New Roman" w:hAnsi="Times New Roman" w:cs="Times New Roman"/>
          <w:b/>
          <w:bCs/>
          <w:color w:val="auto"/>
          <w:sz w:val="24"/>
          <w:szCs w:val="24"/>
          <w:lang w:eastAsia="hr-HR"/>
        </w:rPr>
      </w:pPr>
      <w:bookmarkStart w:id="72" w:name="_Toc76630956"/>
      <w:bookmarkStart w:id="73" w:name="_Toc88031196"/>
      <w:r w:rsidRPr="00C41483">
        <w:rPr>
          <w:rFonts w:ascii="Times New Roman" w:eastAsia="Times New Roman" w:hAnsi="Times New Roman" w:cs="Times New Roman"/>
          <w:b/>
          <w:bCs/>
          <w:color w:val="auto"/>
          <w:sz w:val="24"/>
          <w:szCs w:val="24"/>
          <w:lang w:eastAsia="hr-HR"/>
        </w:rPr>
        <w:t>Sloboda od mučenja ili okrutnog, nečovječnog ili ponižavajućeg ponašanja ili kažnjavanja (čl. 15.)</w:t>
      </w:r>
      <w:bookmarkEnd w:id="72"/>
      <w:bookmarkEnd w:id="73"/>
    </w:p>
    <w:p w14:paraId="670F59BB" w14:textId="77777777" w:rsidR="000668E0" w:rsidRPr="00C41483" w:rsidRDefault="000668E0" w:rsidP="006B5133">
      <w:pPr>
        <w:spacing w:after="0" w:line="240" w:lineRule="auto"/>
        <w:rPr>
          <w:lang w:eastAsia="hr-HR"/>
        </w:rPr>
      </w:pPr>
    </w:p>
    <w:p w14:paraId="7ADC70E7" w14:textId="175A5524" w:rsidR="00E9103A" w:rsidRPr="00C41483" w:rsidRDefault="000807E9" w:rsidP="006B5133">
      <w:pPr>
        <w:spacing w:after="0" w:line="240" w:lineRule="auto"/>
        <w:jc w:val="both"/>
        <w:rPr>
          <w:rFonts w:ascii="Times New Roman" w:eastAsia="Times New Roman" w:hAnsi="Times New Roman" w:cs="Times New Roman"/>
          <w:bCs/>
          <w:i/>
          <w:iCs/>
          <w:sz w:val="24"/>
          <w:szCs w:val="24"/>
          <w:lang w:eastAsia="hr-HR"/>
        </w:rPr>
      </w:pPr>
      <w:bookmarkStart w:id="74" w:name="_Hlk83814580"/>
      <w:r w:rsidRPr="00C41483">
        <w:rPr>
          <w:rFonts w:ascii="Times New Roman" w:eastAsia="Times New Roman" w:hAnsi="Times New Roman" w:cs="Times New Roman"/>
          <w:bCs/>
          <w:i/>
          <w:iCs/>
          <w:sz w:val="24"/>
          <w:szCs w:val="24"/>
          <w:lang w:eastAsia="hr-HR"/>
        </w:rPr>
        <w:t xml:space="preserve">Pitanje </w:t>
      </w:r>
      <w:r w:rsidR="00E9103A" w:rsidRPr="00C41483">
        <w:rPr>
          <w:rFonts w:ascii="Times New Roman" w:eastAsia="Times New Roman" w:hAnsi="Times New Roman" w:cs="Times New Roman"/>
          <w:bCs/>
          <w:i/>
          <w:iCs/>
          <w:sz w:val="24"/>
          <w:szCs w:val="24"/>
          <w:lang w:eastAsia="hr-HR"/>
        </w:rPr>
        <w:t xml:space="preserve">16a) </w:t>
      </w:r>
      <w:r w:rsidRPr="00C41483">
        <w:rPr>
          <w:rFonts w:ascii="Times New Roman" w:eastAsia="Times New Roman" w:hAnsi="Times New Roman" w:cs="Times New Roman"/>
          <w:bCs/>
          <w:i/>
          <w:iCs/>
          <w:sz w:val="24"/>
          <w:szCs w:val="24"/>
          <w:lang w:eastAsia="hr-HR"/>
        </w:rPr>
        <w:t>i b)</w:t>
      </w:r>
    </w:p>
    <w:bookmarkEnd w:id="74"/>
    <w:p w14:paraId="77C8D634" w14:textId="7C21C9DF" w:rsidR="00EC02FD" w:rsidRPr="00C41483" w:rsidRDefault="00EC02FD" w:rsidP="006B5133">
      <w:pPr>
        <w:spacing w:after="0" w:line="240" w:lineRule="auto"/>
        <w:jc w:val="both"/>
        <w:rPr>
          <w:rFonts w:ascii="Times New Roman" w:eastAsia="Times New Roman" w:hAnsi="Times New Roman" w:cs="Times New Roman"/>
          <w:bCs/>
          <w:i/>
          <w:iCs/>
          <w:sz w:val="24"/>
          <w:szCs w:val="24"/>
          <w:lang w:eastAsia="hr-HR"/>
        </w:rPr>
      </w:pPr>
    </w:p>
    <w:p w14:paraId="55D9B247" w14:textId="2F9E00DF" w:rsidR="002F2333" w:rsidRPr="00C41483" w:rsidRDefault="00F15476" w:rsidP="002F2333">
      <w:pPr>
        <w:spacing w:after="0" w:line="240" w:lineRule="auto"/>
        <w:jc w:val="both"/>
        <w:rPr>
          <w:rFonts w:ascii="Times New Roman" w:hAnsi="Times New Roman" w:cs="Times New Roman"/>
          <w:sz w:val="24"/>
          <w:szCs w:val="24"/>
          <w:lang w:eastAsia="hr-HR"/>
        </w:rPr>
      </w:pPr>
      <w:r w:rsidRPr="00C41483">
        <w:rPr>
          <w:rFonts w:ascii="Times New Roman" w:eastAsia="Times New Roman" w:hAnsi="Times New Roman" w:cs="Times New Roman"/>
          <w:bCs/>
          <w:sz w:val="24"/>
          <w:szCs w:val="24"/>
          <w:lang w:eastAsia="hr-HR"/>
        </w:rPr>
        <w:t>(</w:t>
      </w:r>
      <w:r w:rsidR="00F83BEE" w:rsidRPr="00C41483">
        <w:rPr>
          <w:rFonts w:ascii="Times New Roman" w:eastAsia="Times New Roman" w:hAnsi="Times New Roman" w:cs="Times New Roman"/>
          <w:bCs/>
          <w:sz w:val="24"/>
          <w:szCs w:val="24"/>
          <w:lang w:eastAsia="hr-HR"/>
        </w:rPr>
        <w:t>8</w:t>
      </w:r>
      <w:r w:rsidR="000F3ADF" w:rsidRPr="00C41483">
        <w:rPr>
          <w:rFonts w:ascii="Times New Roman" w:eastAsia="Times New Roman" w:hAnsi="Times New Roman" w:cs="Times New Roman"/>
          <w:bCs/>
          <w:sz w:val="24"/>
          <w:szCs w:val="24"/>
          <w:lang w:eastAsia="hr-HR"/>
        </w:rPr>
        <w:t>8</w:t>
      </w:r>
      <w:r w:rsidRPr="00C41483">
        <w:rPr>
          <w:rFonts w:ascii="Times New Roman" w:eastAsia="Times New Roman" w:hAnsi="Times New Roman" w:cs="Times New Roman"/>
          <w:bCs/>
          <w:sz w:val="24"/>
          <w:szCs w:val="24"/>
          <w:lang w:eastAsia="hr-HR"/>
        </w:rPr>
        <w:t xml:space="preserve">) </w:t>
      </w:r>
      <w:r w:rsidR="00E928A2" w:rsidRPr="00C41483">
        <w:rPr>
          <w:rFonts w:ascii="Times New Roman" w:eastAsia="Times New Roman" w:hAnsi="Times New Roman" w:cs="Times New Roman"/>
          <w:bCs/>
          <w:sz w:val="24"/>
          <w:szCs w:val="24"/>
          <w:lang w:eastAsia="hr-HR"/>
        </w:rPr>
        <w:t>Pravilnikom o standardima kvalitete socijalnih usluga (2013</w:t>
      </w:r>
      <w:r w:rsidR="005512A2" w:rsidRPr="00C41483">
        <w:rPr>
          <w:rFonts w:ascii="Times New Roman" w:eastAsia="Times New Roman" w:hAnsi="Times New Roman" w:cs="Times New Roman"/>
          <w:bCs/>
          <w:sz w:val="24"/>
          <w:szCs w:val="24"/>
          <w:lang w:eastAsia="hr-HR"/>
        </w:rPr>
        <w:t>.</w:t>
      </w:r>
      <w:r w:rsidR="00E928A2" w:rsidRPr="00C41483">
        <w:rPr>
          <w:rFonts w:ascii="Times New Roman" w:eastAsia="Times New Roman" w:hAnsi="Times New Roman" w:cs="Times New Roman"/>
          <w:bCs/>
          <w:sz w:val="24"/>
          <w:szCs w:val="24"/>
          <w:lang w:eastAsia="hr-HR"/>
        </w:rPr>
        <w:t>) se pored standarda propisuju i smjernice za njihovo uvođenje te mjerila za utvrđivanje usklađenosti sa standardima kvalitete socijalnih usluga</w:t>
      </w:r>
      <w:r w:rsidR="00EB03C6" w:rsidRPr="00C41483">
        <w:rPr>
          <w:rFonts w:ascii="Times New Roman" w:eastAsia="Times New Roman" w:hAnsi="Times New Roman" w:cs="Times New Roman"/>
          <w:bCs/>
          <w:sz w:val="24"/>
          <w:szCs w:val="24"/>
          <w:lang w:eastAsia="hr-HR"/>
        </w:rPr>
        <w:t xml:space="preserve">. </w:t>
      </w:r>
      <w:r w:rsidR="002F2333" w:rsidRPr="00C41483">
        <w:rPr>
          <w:rFonts w:ascii="Times New Roman" w:hAnsi="Times New Roman" w:cs="Times New Roman"/>
          <w:sz w:val="24"/>
          <w:szCs w:val="24"/>
          <w:lang w:eastAsia="hr-HR"/>
        </w:rPr>
        <w:t xml:space="preserve">Uzimajući u obzir da je dosadašnji način utvrđivanja potreba za pružanjem socijalnih usluga parcijalan, za dugoročno razdoblje planiranja socijalnih usluga pristupilo se provedbi projekta </w:t>
      </w:r>
      <w:r w:rsidR="000669FC" w:rsidRPr="00C41483">
        <w:rPr>
          <w:rFonts w:ascii="Times New Roman" w:hAnsi="Times New Roman" w:cs="Times New Roman"/>
          <w:sz w:val="24"/>
          <w:szCs w:val="24"/>
          <w:lang w:eastAsia="hr-HR"/>
        </w:rPr>
        <w:t>„</w:t>
      </w:r>
      <w:r w:rsidR="002F2333" w:rsidRPr="00C41483">
        <w:rPr>
          <w:rFonts w:ascii="Times New Roman" w:hAnsi="Times New Roman" w:cs="Times New Roman"/>
          <w:sz w:val="24"/>
          <w:szCs w:val="24"/>
          <w:lang w:eastAsia="hr-HR"/>
        </w:rPr>
        <w:t>Potpora poboljšanju socijalnih usluga u Hrvatskoj</w:t>
      </w:r>
      <w:r w:rsidR="000669FC" w:rsidRPr="00C41483">
        <w:rPr>
          <w:rFonts w:ascii="Times New Roman" w:hAnsi="Times New Roman" w:cs="Times New Roman"/>
          <w:sz w:val="24"/>
          <w:szCs w:val="24"/>
          <w:lang w:eastAsia="hr-HR"/>
        </w:rPr>
        <w:t>“</w:t>
      </w:r>
      <w:r w:rsidR="002F2333" w:rsidRPr="00C41483">
        <w:rPr>
          <w:rFonts w:ascii="Times New Roman" w:hAnsi="Times New Roman" w:cs="Times New Roman"/>
          <w:sz w:val="24"/>
          <w:szCs w:val="24"/>
          <w:lang w:eastAsia="hr-HR"/>
        </w:rPr>
        <w:t xml:space="preserve"> (SRSP, 2020</w:t>
      </w:r>
      <w:r w:rsidR="005512A2" w:rsidRPr="00C41483">
        <w:rPr>
          <w:rFonts w:ascii="Times New Roman" w:hAnsi="Times New Roman" w:cs="Times New Roman"/>
          <w:sz w:val="24"/>
          <w:szCs w:val="24"/>
          <w:lang w:eastAsia="hr-HR"/>
        </w:rPr>
        <w:t>.</w:t>
      </w:r>
      <w:r w:rsidR="002F2333" w:rsidRPr="00C41483">
        <w:rPr>
          <w:rFonts w:ascii="Times New Roman" w:hAnsi="Times New Roman" w:cs="Times New Roman"/>
          <w:sz w:val="24"/>
          <w:szCs w:val="24"/>
          <w:lang w:eastAsia="hr-HR"/>
        </w:rPr>
        <w:t>) čiji je cilj razvoj nove metodologije za procjenu potreba u području socijalnih usluga kojim će se stvoriti sveobuhvatan okvir za daljnji razvoj usluga te razvoj standarda kvalitete. Cilj je osigurati ujednačen pristup u procjeni potreba uzimajući u obzir sve značajne elemente.</w:t>
      </w:r>
    </w:p>
    <w:p w14:paraId="478956BD" w14:textId="7AD16733" w:rsidR="002F2333" w:rsidRPr="00C41483" w:rsidRDefault="002F2333" w:rsidP="00EB03C6">
      <w:pPr>
        <w:spacing w:after="0" w:line="240" w:lineRule="auto"/>
        <w:jc w:val="both"/>
        <w:rPr>
          <w:rFonts w:ascii="Times New Roman" w:eastAsia="Times New Roman" w:hAnsi="Times New Roman" w:cs="Times New Roman"/>
          <w:bCs/>
          <w:sz w:val="24"/>
          <w:szCs w:val="24"/>
          <w:lang w:eastAsia="hr-HR"/>
        </w:rPr>
      </w:pPr>
    </w:p>
    <w:p w14:paraId="690F3827" w14:textId="5D6E66EB" w:rsidR="00B80DE5" w:rsidRPr="00C41483" w:rsidRDefault="00F15476" w:rsidP="000F7A1B">
      <w:pPr>
        <w:spacing w:after="0" w:line="240" w:lineRule="auto"/>
        <w:jc w:val="both"/>
        <w:rPr>
          <w:rFonts w:ascii="Times New Roman" w:eastAsia="Times New Roman" w:hAnsi="Times New Roman" w:cs="Times New Roman"/>
          <w:bCs/>
          <w:sz w:val="24"/>
          <w:szCs w:val="24"/>
          <w:lang w:eastAsia="hr-HR"/>
        </w:rPr>
      </w:pPr>
      <w:r w:rsidRPr="00C41483">
        <w:rPr>
          <w:rFonts w:ascii="Times New Roman" w:eastAsia="Times New Roman" w:hAnsi="Times New Roman" w:cs="Times New Roman"/>
          <w:bCs/>
          <w:sz w:val="24"/>
          <w:szCs w:val="24"/>
          <w:lang w:eastAsia="hr-HR"/>
        </w:rPr>
        <w:t>(</w:t>
      </w:r>
      <w:r w:rsidR="00F83BEE" w:rsidRPr="00C41483">
        <w:rPr>
          <w:rFonts w:ascii="Times New Roman" w:eastAsia="Times New Roman" w:hAnsi="Times New Roman" w:cs="Times New Roman"/>
          <w:bCs/>
          <w:sz w:val="24"/>
          <w:szCs w:val="24"/>
          <w:lang w:eastAsia="hr-HR"/>
        </w:rPr>
        <w:t>8</w:t>
      </w:r>
      <w:r w:rsidR="000F3ADF" w:rsidRPr="00C41483">
        <w:rPr>
          <w:rFonts w:ascii="Times New Roman" w:eastAsia="Times New Roman" w:hAnsi="Times New Roman" w:cs="Times New Roman"/>
          <w:bCs/>
          <w:sz w:val="24"/>
          <w:szCs w:val="24"/>
          <w:lang w:eastAsia="hr-HR"/>
        </w:rPr>
        <w:t>9</w:t>
      </w:r>
      <w:r w:rsidRPr="00C41483">
        <w:rPr>
          <w:rFonts w:ascii="Times New Roman" w:eastAsia="Times New Roman" w:hAnsi="Times New Roman" w:cs="Times New Roman"/>
          <w:bCs/>
          <w:sz w:val="24"/>
          <w:szCs w:val="24"/>
          <w:lang w:eastAsia="hr-HR"/>
        </w:rPr>
        <w:t xml:space="preserve">) </w:t>
      </w:r>
      <w:r w:rsidR="00E928A2" w:rsidRPr="00C41483">
        <w:rPr>
          <w:rFonts w:ascii="Times New Roman" w:eastAsia="Times New Roman" w:hAnsi="Times New Roman" w:cs="Times New Roman"/>
          <w:bCs/>
          <w:sz w:val="24"/>
          <w:szCs w:val="24"/>
          <w:lang w:eastAsia="hr-HR"/>
        </w:rPr>
        <w:t xml:space="preserve">U okviru ministarstva nadležnog za socijalnu skrb djeluje </w:t>
      </w:r>
      <w:r w:rsidR="00F85061" w:rsidRPr="00C41483">
        <w:rPr>
          <w:rFonts w:ascii="Times New Roman" w:eastAsia="Times New Roman" w:hAnsi="Times New Roman" w:cs="Times New Roman"/>
          <w:bCs/>
          <w:sz w:val="24"/>
          <w:szCs w:val="24"/>
          <w:lang w:eastAsia="hr-HR"/>
        </w:rPr>
        <w:t>S</w:t>
      </w:r>
      <w:r w:rsidR="00E928A2" w:rsidRPr="00C41483">
        <w:rPr>
          <w:rFonts w:ascii="Times New Roman" w:eastAsia="Times New Roman" w:hAnsi="Times New Roman" w:cs="Times New Roman"/>
          <w:bCs/>
          <w:sz w:val="24"/>
          <w:szCs w:val="24"/>
          <w:lang w:eastAsia="hr-HR"/>
        </w:rPr>
        <w:t>amostalni sektor za upravni i inspekcijski nadzor u socijalnoj skrbi koji provodi inspekcijski nadzor nad radom ustanova socijalne skrbi u primjeni i izvršavanju zakona i drugih propisa</w:t>
      </w:r>
      <w:r w:rsidR="000F7A1B" w:rsidRPr="00C41483">
        <w:rPr>
          <w:rFonts w:ascii="Times New Roman" w:eastAsia="Times New Roman" w:hAnsi="Times New Roman" w:cs="Times New Roman"/>
          <w:bCs/>
          <w:sz w:val="24"/>
          <w:szCs w:val="24"/>
          <w:lang w:eastAsia="hr-HR"/>
        </w:rPr>
        <w:t>. Pored redovnog</w:t>
      </w:r>
      <w:r w:rsidR="002851D9" w:rsidRPr="00C41483">
        <w:rPr>
          <w:rFonts w:ascii="Times New Roman" w:eastAsia="Times New Roman" w:hAnsi="Times New Roman" w:cs="Times New Roman"/>
          <w:bCs/>
          <w:sz w:val="24"/>
          <w:szCs w:val="24"/>
          <w:lang w:eastAsia="hr-HR"/>
        </w:rPr>
        <w:t xml:space="preserve"> </w:t>
      </w:r>
      <w:r w:rsidR="000F7A1B" w:rsidRPr="00C41483">
        <w:rPr>
          <w:rFonts w:ascii="Times New Roman" w:eastAsia="Times New Roman" w:hAnsi="Times New Roman" w:cs="Times New Roman"/>
          <w:bCs/>
          <w:sz w:val="24"/>
          <w:szCs w:val="24"/>
          <w:lang w:eastAsia="hr-HR"/>
        </w:rPr>
        <w:t>nadzora provodi se i izvanredni inspekcijski nadzor</w:t>
      </w:r>
      <w:r w:rsidR="00F85061" w:rsidRPr="00C41483">
        <w:rPr>
          <w:rFonts w:ascii="Times New Roman" w:eastAsia="Times New Roman" w:hAnsi="Times New Roman" w:cs="Times New Roman"/>
          <w:bCs/>
          <w:sz w:val="24"/>
          <w:szCs w:val="24"/>
          <w:lang w:eastAsia="hr-HR"/>
        </w:rPr>
        <w:t>i</w:t>
      </w:r>
      <w:r w:rsidR="000F7A1B" w:rsidRPr="00C41483">
        <w:rPr>
          <w:rFonts w:ascii="Times New Roman" w:eastAsia="Times New Roman" w:hAnsi="Times New Roman" w:cs="Times New Roman"/>
          <w:bCs/>
          <w:sz w:val="24"/>
          <w:szCs w:val="24"/>
          <w:lang w:eastAsia="hr-HR"/>
        </w:rPr>
        <w:t xml:space="preserve"> povodom zahtjeva drugih državnih tijela, prigovora pravnih i fizičkih osoba ili u slučaju saznanja o nekim važnim činjenicama zbog kojih je opravdano provođenje inspekcijskog nadzora.</w:t>
      </w:r>
      <w:r w:rsidR="00B80DE5" w:rsidRPr="00C41483">
        <w:rPr>
          <w:rFonts w:ascii="Times New Roman" w:eastAsia="Times New Roman" w:hAnsi="Times New Roman" w:cs="Times New Roman"/>
          <w:bCs/>
          <w:sz w:val="24"/>
          <w:szCs w:val="24"/>
          <w:lang w:eastAsia="hr-HR"/>
        </w:rPr>
        <w:t xml:space="preserve"> Isto ministarstvo je za stručne radnike koji rade u domovima socijalne skrbi organiziralo jednodnevne edukacije „Primjena restriktivnih mjera i zaštita od ponižavajućeg postupanja prema korisnicima socijalnih usluga u djelatnosti socijalne skrbi“. </w:t>
      </w:r>
      <w:r w:rsidR="00B80DE5" w:rsidRPr="00C41483" w:rsidDel="002A590A">
        <w:rPr>
          <w:rFonts w:ascii="Times New Roman" w:eastAsia="Times New Roman" w:hAnsi="Times New Roman" w:cs="Times New Roman"/>
          <w:bCs/>
          <w:sz w:val="24"/>
          <w:szCs w:val="24"/>
          <w:lang w:eastAsia="hr-HR"/>
        </w:rPr>
        <w:t>Edukacija sadržajno obrađuje: probleme mentalnog zdravlja osoba s invaliditetom te postupke prevencije, međunarodni i nacionalni okvir zaštite osoba s mentalnim oštećenjem, etiku u psihijatrijskoj praksi, smjernice Europskog odbora za sprečavanje mučenja i neljudskog ponižavajućeg postupanja ili kažnjavanja, primjenu najmanje restriktivnih mjera ograničavanja i sputavanja u skladu s navedenim smjernicama i dr.</w:t>
      </w:r>
    </w:p>
    <w:p w14:paraId="126E7821" w14:textId="77777777" w:rsidR="00E928A2" w:rsidRPr="00C41483" w:rsidRDefault="00E928A2" w:rsidP="006B5133">
      <w:pPr>
        <w:spacing w:after="0" w:line="240" w:lineRule="auto"/>
        <w:jc w:val="both"/>
        <w:rPr>
          <w:rFonts w:ascii="Times New Roman" w:eastAsia="Times New Roman" w:hAnsi="Times New Roman" w:cs="Times New Roman"/>
          <w:bCs/>
          <w:i/>
          <w:iCs/>
          <w:sz w:val="24"/>
          <w:szCs w:val="24"/>
          <w:lang w:eastAsia="hr-HR"/>
        </w:rPr>
      </w:pPr>
    </w:p>
    <w:p w14:paraId="7E603161" w14:textId="377E593E" w:rsidR="00EC02FD" w:rsidRPr="00C41483" w:rsidRDefault="00F15476" w:rsidP="006B5133">
      <w:pPr>
        <w:spacing w:after="0" w:line="240" w:lineRule="auto"/>
        <w:jc w:val="both"/>
        <w:rPr>
          <w:rFonts w:ascii="Times New Roman" w:hAnsi="Times New Roman" w:cs="Times New Roman"/>
          <w:sz w:val="24"/>
          <w:szCs w:val="24"/>
        </w:rPr>
      </w:pPr>
      <w:r w:rsidRPr="00C41483">
        <w:rPr>
          <w:rFonts w:ascii="Times New Roman" w:hAnsi="Times New Roman" w:cs="Times New Roman"/>
          <w:sz w:val="24"/>
          <w:szCs w:val="24"/>
        </w:rPr>
        <w:t>(</w:t>
      </w:r>
      <w:r w:rsidR="000F3ADF" w:rsidRPr="00C41483">
        <w:rPr>
          <w:rFonts w:ascii="Times New Roman" w:hAnsi="Times New Roman" w:cs="Times New Roman"/>
          <w:sz w:val="24"/>
          <w:szCs w:val="24"/>
        </w:rPr>
        <w:t>90</w:t>
      </w:r>
      <w:r w:rsidRPr="00C41483">
        <w:rPr>
          <w:rFonts w:ascii="Times New Roman" w:hAnsi="Times New Roman" w:cs="Times New Roman"/>
          <w:sz w:val="24"/>
          <w:szCs w:val="24"/>
        </w:rPr>
        <w:t xml:space="preserve">) </w:t>
      </w:r>
      <w:r w:rsidR="00EC02FD" w:rsidRPr="00C41483">
        <w:rPr>
          <w:rFonts w:ascii="Times New Roman" w:hAnsi="Times New Roman" w:cs="Times New Roman"/>
          <w:sz w:val="24"/>
          <w:szCs w:val="24"/>
        </w:rPr>
        <w:t xml:space="preserve">Mjere prisile prema osobi s težim </w:t>
      </w:r>
      <w:r w:rsidR="00E10BBE" w:rsidRPr="00C41483">
        <w:rPr>
          <w:rFonts w:ascii="Times New Roman" w:hAnsi="Times New Roman" w:cs="Times New Roman"/>
          <w:sz w:val="24"/>
          <w:szCs w:val="24"/>
        </w:rPr>
        <w:t xml:space="preserve">mentalnim oštećenjem </w:t>
      </w:r>
      <w:r w:rsidR="00EC02FD" w:rsidRPr="00C41483">
        <w:rPr>
          <w:rFonts w:ascii="Times New Roman" w:hAnsi="Times New Roman" w:cs="Times New Roman"/>
          <w:sz w:val="24"/>
          <w:szCs w:val="24"/>
        </w:rPr>
        <w:t xml:space="preserve">smiju se primijeniti samo ako je to jedino sredstvo da se otkloni neposredna opasnost koja proizlazi iz ponašanja te osobe, a kojom ozbiljno i izravno ugrožava vlastiti ili tuđi život ili zdravlje i sigurnost, i to na način propisan Pravilnikom o vrstama i načinu primjene mjera prisile prema osobi s težim duševnim smetnjama, a smiju trajati samo dok je to nužno da se otkloni opasnost. </w:t>
      </w:r>
    </w:p>
    <w:p w14:paraId="5905700E" w14:textId="77777777" w:rsidR="000D4976" w:rsidRPr="00C41483" w:rsidRDefault="000D4976" w:rsidP="006B5133">
      <w:pPr>
        <w:spacing w:after="0" w:line="240" w:lineRule="auto"/>
        <w:jc w:val="both"/>
        <w:rPr>
          <w:rFonts w:ascii="Times New Roman" w:hAnsi="Times New Roman" w:cs="Times New Roman"/>
          <w:sz w:val="24"/>
          <w:szCs w:val="24"/>
        </w:rPr>
      </w:pPr>
    </w:p>
    <w:p w14:paraId="5786DA74" w14:textId="61983713" w:rsidR="00EC02FD" w:rsidRPr="00C41483" w:rsidRDefault="00F15476" w:rsidP="006B5133">
      <w:pPr>
        <w:spacing w:after="0" w:line="240" w:lineRule="auto"/>
        <w:jc w:val="both"/>
        <w:rPr>
          <w:rFonts w:ascii="Times New Roman" w:hAnsi="Times New Roman" w:cs="Times New Roman"/>
          <w:sz w:val="24"/>
          <w:szCs w:val="24"/>
        </w:rPr>
      </w:pPr>
      <w:r w:rsidRPr="00C41483">
        <w:rPr>
          <w:rFonts w:ascii="Times New Roman" w:hAnsi="Times New Roman" w:cs="Times New Roman"/>
          <w:sz w:val="24"/>
          <w:szCs w:val="24"/>
        </w:rPr>
        <w:t>(</w:t>
      </w:r>
      <w:r w:rsidR="000F3ADF" w:rsidRPr="00C41483">
        <w:rPr>
          <w:rFonts w:ascii="Times New Roman" w:hAnsi="Times New Roman" w:cs="Times New Roman"/>
          <w:sz w:val="24"/>
          <w:szCs w:val="24"/>
        </w:rPr>
        <w:t>91</w:t>
      </w:r>
      <w:r w:rsidRPr="00C41483">
        <w:rPr>
          <w:rFonts w:ascii="Times New Roman" w:hAnsi="Times New Roman" w:cs="Times New Roman"/>
          <w:sz w:val="24"/>
          <w:szCs w:val="24"/>
        </w:rPr>
        <w:t xml:space="preserve">) </w:t>
      </w:r>
      <w:r w:rsidR="00EC02FD" w:rsidRPr="00C41483">
        <w:rPr>
          <w:rFonts w:ascii="Times New Roman" w:hAnsi="Times New Roman" w:cs="Times New Roman"/>
          <w:sz w:val="24"/>
          <w:szCs w:val="24"/>
        </w:rPr>
        <w:t>Također je predviđeno da se osoba s težim duševnim smetnjama prema kojoj su primijenjene mjere prisile, osoba od povjerenja i zakonski zastupnik mogu obratiti Povjerenstvu za zaštitu osoba s duševnim smetnjama sa zahtjevom da se ispita primjena mjera prisile.</w:t>
      </w:r>
      <w:r w:rsidR="005512A2" w:rsidRPr="00C41483">
        <w:rPr>
          <w:rFonts w:ascii="Times New Roman" w:hAnsi="Times New Roman" w:cs="Times New Roman"/>
          <w:sz w:val="24"/>
          <w:szCs w:val="24"/>
        </w:rPr>
        <w:t xml:space="preserve"> </w:t>
      </w:r>
      <w:r w:rsidR="00EC02FD" w:rsidRPr="00C41483">
        <w:rPr>
          <w:rFonts w:ascii="Times New Roman" w:hAnsi="Times New Roman" w:cs="Times New Roman"/>
          <w:sz w:val="24"/>
          <w:szCs w:val="24"/>
        </w:rPr>
        <w:t>Svaka psihijatrijska ustanova obvezna je donijeti detaljne pisane upute o pravilima postupanja radnika ustanove u situacijama agresivnog ponašanja pacijenta prije, u tijeku i nakon primjena mjera prisile. Osim toga obvezna je o primjeni mjera prisile obavijestiti nadležni sud ako se to zatraži</w:t>
      </w:r>
      <w:r w:rsidR="00E10BBE" w:rsidRPr="00C41483">
        <w:rPr>
          <w:rFonts w:ascii="Times New Roman" w:hAnsi="Times New Roman" w:cs="Times New Roman"/>
          <w:sz w:val="24"/>
          <w:szCs w:val="24"/>
        </w:rPr>
        <w:t xml:space="preserve"> te </w:t>
      </w:r>
      <w:r w:rsidR="00EC02FD" w:rsidRPr="00C41483">
        <w:rPr>
          <w:rFonts w:ascii="Times New Roman" w:hAnsi="Times New Roman" w:cs="Times New Roman"/>
          <w:sz w:val="24"/>
          <w:szCs w:val="24"/>
        </w:rPr>
        <w:t xml:space="preserve">dva puta godišnje izvješćivati Povjerenstvo za zaštitu osoba s duševnim smetnjama o primijenjenim mjerama prisile </w:t>
      </w:r>
      <w:r w:rsidR="00E10BBE" w:rsidRPr="00C41483">
        <w:rPr>
          <w:rFonts w:ascii="Times New Roman" w:hAnsi="Times New Roman" w:cs="Times New Roman"/>
          <w:sz w:val="24"/>
          <w:szCs w:val="24"/>
        </w:rPr>
        <w:t xml:space="preserve">kao i </w:t>
      </w:r>
      <w:r w:rsidR="00EC02FD" w:rsidRPr="00C41483">
        <w:rPr>
          <w:rFonts w:ascii="Times New Roman" w:hAnsi="Times New Roman" w:cs="Times New Roman"/>
          <w:sz w:val="24"/>
          <w:szCs w:val="24"/>
        </w:rPr>
        <w:t>voditi evidenciju primjene mjera prisile za svakog pacijenta u medicinskoj i sestrinskoj dokumentaciji.</w:t>
      </w:r>
    </w:p>
    <w:p w14:paraId="75D88DF1" w14:textId="77777777" w:rsidR="00D0055C" w:rsidRPr="00C41483" w:rsidRDefault="00D0055C" w:rsidP="006B5133">
      <w:pPr>
        <w:spacing w:after="0" w:line="240" w:lineRule="auto"/>
        <w:jc w:val="both"/>
        <w:rPr>
          <w:rFonts w:ascii="Times New Roman" w:hAnsi="Times New Roman" w:cs="Times New Roman"/>
          <w:sz w:val="24"/>
          <w:szCs w:val="24"/>
        </w:rPr>
      </w:pPr>
    </w:p>
    <w:p w14:paraId="04C46B97" w14:textId="2FB18F7D" w:rsidR="00EC02FD" w:rsidRPr="00C41483" w:rsidRDefault="00962CD9" w:rsidP="006B5133">
      <w:pPr>
        <w:spacing w:after="0" w:line="240" w:lineRule="auto"/>
        <w:jc w:val="both"/>
        <w:rPr>
          <w:rFonts w:ascii="Times New Roman" w:eastAsia="Times New Roman" w:hAnsi="Times New Roman" w:cs="Times New Roman"/>
          <w:sz w:val="24"/>
          <w:szCs w:val="24"/>
          <w:lang w:eastAsia="hr-HR"/>
        </w:rPr>
      </w:pPr>
      <w:r w:rsidRPr="00C41483">
        <w:rPr>
          <w:rFonts w:ascii="Times New Roman" w:hAnsi="Times New Roman" w:cs="Times New Roman"/>
          <w:sz w:val="24"/>
          <w:szCs w:val="24"/>
        </w:rPr>
        <w:t>(</w:t>
      </w:r>
      <w:r w:rsidR="00F83BEE" w:rsidRPr="00C41483">
        <w:rPr>
          <w:rFonts w:ascii="Times New Roman" w:hAnsi="Times New Roman" w:cs="Times New Roman"/>
          <w:sz w:val="24"/>
          <w:szCs w:val="24"/>
        </w:rPr>
        <w:t>9</w:t>
      </w:r>
      <w:r w:rsidR="000F3ADF" w:rsidRPr="00C41483">
        <w:rPr>
          <w:rFonts w:ascii="Times New Roman" w:hAnsi="Times New Roman" w:cs="Times New Roman"/>
          <w:sz w:val="24"/>
          <w:szCs w:val="24"/>
        </w:rPr>
        <w:t>2</w:t>
      </w:r>
      <w:r w:rsidRPr="00C41483">
        <w:rPr>
          <w:rFonts w:ascii="Times New Roman" w:hAnsi="Times New Roman" w:cs="Times New Roman"/>
          <w:sz w:val="24"/>
          <w:szCs w:val="24"/>
        </w:rPr>
        <w:t xml:space="preserve">) </w:t>
      </w:r>
      <w:r w:rsidR="00EC02FD" w:rsidRPr="00C41483">
        <w:rPr>
          <w:rFonts w:ascii="Times New Roman" w:hAnsi="Times New Roman" w:cs="Times New Roman"/>
          <w:sz w:val="24"/>
          <w:szCs w:val="24"/>
        </w:rPr>
        <w:t xml:space="preserve">Nadalje, psihijatrijska ustanova donosi strategiju prevencije nasilja na radnom mjestu i kontinuirano educira zdravstvene radnike u svrhu ranog prepoznavanja eskalacije ponašanja pacijenta i stjecanja vještina brzog postupanja u slučaju incidenta. To znači da organizira edukacije za medicinske sestre/medicinske tehničare i druge zdravstvene radnike iz komunikacijskih vještina i primjene </w:t>
      </w:r>
      <w:proofErr w:type="spellStart"/>
      <w:r w:rsidR="00EC02FD" w:rsidRPr="00C41483">
        <w:rPr>
          <w:rFonts w:ascii="Times New Roman" w:hAnsi="Times New Roman" w:cs="Times New Roman"/>
          <w:sz w:val="24"/>
          <w:szCs w:val="24"/>
        </w:rPr>
        <w:t>deeskalacijskih</w:t>
      </w:r>
      <w:proofErr w:type="spellEnd"/>
      <w:r w:rsidR="00EC02FD" w:rsidRPr="00C41483">
        <w:rPr>
          <w:rFonts w:ascii="Times New Roman" w:hAnsi="Times New Roman" w:cs="Times New Roman"/>
          <w:sz w:val="24"/>
          <w:szCs w:val="24"/>
        </w:rPr>
        <w:t xml:space="preserve"> tehnika za postupanje u kriznim situacijama. Također organizira</w:t>
      </w:r>
      <w:r w:rsidR="003379F5" w:rsidRPr="00C41483">
        <w:rPr>
          <w:rFonts w:ascii="Times New Roman" w:hAnsi="Times New Roman" w:cs="Times New Roman"/>
          <w:sz w:val="24"/>
          <w:szCs w:val="24"/>
        </w:rPr>
        <w:t xml:space="preserve"> „</w:t>
      </w:r>
      <w:r w:rsidR="00EC02FD" w:rsidRPr="00C41483">
        <w:rPr>
          <w:rFonts w:ascii="Times New Roman" w:hAnsi="Times New Roman" w:cs="Times New Roman"/>
          <w:sz w:val="24"/>
          <w:szCs w:val="24"/>
        </w:rPr>
        <w:t>interventne</w:t>
      </w:r>
      <w:r w:rsidR="003379F5" w:rsidRPr="00C41483">
        <w:rPr>
          <w:rFonts w:ascii="Times New Roman" w:hAnsi="Times New Roman" w:cs="Times New Roman"/>
          <w:sz w:val="24"/>
          <w:szCs w:val="24"/>
        </w:rPr>
        <w:t>“</w:t>
      </w:r>
      <w:r w:rsidR="00EC02FD" w:rsidRPr="00C41483">
        <w:rPr>
          <w:rFonts w:ascii="Times New Roman" w:hAnsi="Times New Roman" w:cs="Times New Roman"/>
          <w:sz w:val="24"/>
          <w:szCs w:val="24"/>
        </w:rPr>
        <w:t xml:space="preserve"> timove za postupanje u kriznim situacijama te dogovara sustav poziva u pomoć od tehnologije do kompetencija. Ministarstvo zdravstva prati provođenje navedenih aktivnosti </w:t>
      </w:r>
      <w:r w:rsidR="00EC02FD" w:rsidRPr="00C41483">
        <w:rPr>
          <w:rFonts w:ascii="Times New Roman" w:eastAsia="Times New Roman" w:hAnsi="Times New Roman" w:cs="Times New Roman"/>
          <w:sz w:val="24"/>
          <w:szCs w:val="24"/>
          <w:lang w:eastAsia="hr-HR"/>
        </w:rPr>
        <w:t>na način da bolničke zdravstvene ustanove koje imaju ugovorenu djelatnost psihijatrije, dostavljaju Ministarstvu zdravstva godišnja izvješća o broju radnika educiranih za primjenu mjera prisile te vrstama provedenih programa edukacije.</w:t>
      </w:r>
    </w:p>
    <w:p w14:paraId="20811B35" w14:textId="77777777" w:rsidR="00EC02FD" w:rsidRPr="00C41483" w:rsidRDefault="00EC02FD" w:rsidP="006B5133">
      <w:pPr>
        <w:spacing w:after="0" w:line="240" w:lineRule="auto"/>
        <w:jc w:val="both"/>
        <w:rPr>
          <w:rFonts w:ascii="Times New Roman" w:eastAsia="Times New Roman" w:hAnsi="Times New Roman" w:cs="Times New Roman"/>
          <w:bCs/>
          <w:i/>
          <w:iCs/>
          <w:sz w:val="24"/>
          <w:szCs w:val="24"/>
          <w:lang w:eastAsia="hr-HR"/>
        </w:rPr>
      </w:pPr>
    </w:p>
    <w:p w14:paraId="36A6B1F3" w14:textId="7F81113A" w:rsidR="00795842" w:rsidRPr="00C41483" w:rsidRDefault="000807E9" w:rsidP="00193086">
      <w:pPr>
        <w:spacing w:after="0" w:line="240" w:lineRule="auto"/>
        <w:rPr>
          <w:rFonts w:ascii="Times New Roman" w:eastAsia="Times New Roman" w:hAnsi="Times New Roman" w:cs="Times New Roman"/>
          <w:bCs/>
          <w:i/>
          <w:iCs/>
          <w:sz w:val="24"/>
          <w:szCs w:val="24"/>
          <w:lang w:eastAsia="hr-HR"/>
        </w:rPr>
      </w:pPr>
      <w:bookmarkStart w:id="75" w:name="_Hlk83814588"/>
      <w:r w:rsidRPr="00C41483">
        <w:rPr>
          <w:rFonts w:ascii="Times New Roman" w:eastAsia="Times New Roman" w:hAnsi="Times New Roman" w:cs="Times New Roman"/>
          <w:bCs/>
          <w:i/>
          <w:iCs/>
          <w:sz w:val="24"/>
          <w:szCs w:val="24"/>
          <w:lang w:eastAsia="hr-HR"/>
        </w:rPr>
        <w:t>Pitanje 16</w:t>
      </w:r>
      <w:r w:rsidR="00795842" w:rsidRPr="00C41483">
        <w:rPr>
          <w:rFonts w:ascii="Times New Roman" w:eastAsia="Times New Roman" w:hAnsi="Times New Roman" w:cs="Times New Roman"/>
          <w:bCs/>
          <w:i/>
          <w:iCs/>
          <w:sz w:val="24"/>
          <w:szCs w:val="24"/>
          <w:lang w:eastAsia="hr-HR"/>
        </w:rPr>
        <w:t xml:space="preserve">c) </w:t>
      </w:r>
    </w:p>
    <w:bookmarkEnd w:id="75"/>
    <w:p w14:paraId="38936A09" w14:textId="77777777" w:rsidR="00E10BBE" w:rsidRPr="00C41483" w:rsidRDefault="00E10BBE" w:rsidP="006B5133">
      <w:pPr>
        <w:autoSpaceDE w:val="0"/>
        <w:adjustRightInd w:val="0"/>
        <w:spacing w:after="0" w:line="240" w:lineRule="auto"/>
        <w:jc w:val="both"/>
        <w:rPr>
          <w:rFonts w:cs="Times New Roman"/>
        </w:rPr>
      </w:pPr>
    </w:p>
    <w:p w14:paraId="4753AD7B" w14:textId="5D486C56" w:rsidR="00EC02FD" w:rsidRPr="00C41483" w:rsidRDefault="00962CD9" w:rsidP="006B5133">
      <w:pPr>
        <w:autoSpaceDE w:val="0"/>
        <w:adjustRightInd w:val="0"/>
        <w:spacing w:after="0" w:line="240" w:lineRule="auto"/>
        <w:jc w:val="both"/>
        <w:rPr>
          <w:rFonts w:ascii="Times New Roman" w:hAnsi="Times New Roman" w:cs="Times New Roman"/>
          <w:sz w:val="24"/>
          <w:szCs w:val="24"/>
        </w:rPr>
      </w:pPr>
      <w:r w:rsidRPr="00C41483">
        <w:rPr>
          <w:rFonts w:ascii="Times New Roman" w:eastAsia="Times New Roman" w:hAnsi="Times New Roman" w:cs="Times New Roman"/>
          <w:bCs/>
          <w:sz w:val="24"/>
          <w:szCs w:val="24"/>
          <w:lang w:eastAsia="hr-HR"/>
        </w:rPr>
        <w:t>(</w:t>
      </w:r>
      <w:r w:rsidR="00F83BEE" w:rsidRPr="00C41483">
        <w:rPr>
          <w:rFonts w:ascii="Times New Roman" w:eastAsia="Times New Roman" w:hAnsi="Times New Roman" w:cs="Times New Roman"/>
          <w:bCs/>
          <w:sz w:val="24"/>
          <w:szCs w:val="24"/>
          <w:lang w:eastAsia="hr-HR"/>
        </w:rPr>
        <w:t>9</w:t>
      </w:r>
      <w:r w:rsidR="000F3ADF" w:rsidRPr="00C41483">
        <w:rPr>
          <w:rFonts w:ascii="Times New Roman" w:eastAsia="Times New Roman" w:hAnsi="Times New Roman" w:cs="Times New Roman"/>
          <w:bCs/>
          <w:sz w:val="24"/>
          <w:szCs w:val="24"/>
          <w:lang w:eastAsia="hr-HR"/>
        </w:rPr>
        <w:t>3</w:t>
      </w:r>
      <w:r w:rsidRPr="00C41483">
        <w:rPr>
          <w:rFonts w:ascii="Times New Roman" w:eastAsia="Times New Roman" w:hAnsi="Times New Roman" w:cs="Times New Roman"/>
          <w:bCs/>
          <w:sz w:val="24"/>
          <w:szCs w:val="24"/>
          <w:lang w:eastAsia="hr-HR"/>
        </w:rPr>
        <w:t xml:space="preserve">) </w:t>
      </w:r>
      <w:r w:rsidR="00E82801" w:rsidRPr="00C41483">
        <w:rPr>
          <w:rFonts w:ascii="Times New Roman" w:eastAsia="Times New Roman" w:hAnsi="Times New Roman" w:cs="Times New Roman"/>
          <w:bCs/>
          <w:sz w:val="24"/>
          <w:szCs w:val="24"/>
          <w:lang w:eastAsia="hr-HR"/>
        </w:rPr>
        <w:t>O poduzetim koracima za zabranu prisilnog zatvaranja i hospitalizacije</w:t>
      </w:r>
      <w:r w:rsidR="00E82801" w:rsidRPr="00C41483">
        <w:rPr>
          <w:rFonts w:ascii="Times New Roman" w:eastAsia="Times New Roman" w:hAnsi="Times New Roman" w:cs="Times New Roman"/>
          <w:bCs/>
          <w:i/>
          <w:iCs/>
          <w:sz w:val="24"/>
          <w:szCs w:val="24"/>
          <w:lang w:eastAsia="hr-HR"/>
        </w:rPr>
        <w:t xml:space="preserve"> </w:t>
      </w:r>
      <w:r w:rsidR="00E82801" w:rsidRPr="00C41483">
        <w:rPr>
          <w:rFonts w:ascii="Times New Roman" w:eastAsia="Times New Roman" w:hAnsi="Times New Roman" w:cs="Times New Roman"/>
          <w:bCs/>
          <w:sz w:val="24"/>
          <w:szCs w:val="24"/>
          <w:lang w:eastAsia="hr-HR"/>
        </w:rPr>
        <w:t>v</w:t>
      </w:r>
      <w:r w:rsidR="00EC02FD" w:rsidRPr="00C41483">
        <w:rPr>
          <w:rFonts w:ascii="Times New Roman" w:hAnsi="Times New Roman" w:cs="Times New Roman"/>
          <w:sz w:val="24"/>
          <w:szCs w:val="24"/>
        </w:rPr>
        <w:t xml:space="preserve">idjeti odgovor </w:t>
      </w:r>
      <w:r w:rsidR="00E82801" w:rsidRPr="00C41483">
        <w:rPr>
          <w:rFonts w:ascii="Times New Roman" w:hAnsi="Times New Roman" w:cs="Times New Roman"/>
          <w:sz w:val="24"/>
          <w:szCs w:val="24"/>
        </w:rPr>
        <w:t>na pitanje</w:t>
      </w:r>
      <w:r w:rsidR="00EC02FD" w:rsidRPr="00C41483">
        <w:rPr>
          <w:rFonts w:ascii="Times New Roman" w:hAnsi="Times New Roman" w:cs="Times New Roman"/>
          <w:sz w:val="24"/>
          <w:szCs w:val="24"/>
        </w:rPr>
        <w:t xml:space="preserve"> 12b</w:t>
      </w:r>
      <w:r w:rsidR="008B5EDD" w:rsidRPr="00C41483">
        <w:rPr>
          <w:rFonts w:ascii="Times New Roman" w:hAnsi="Times New Roman" w:cs="Times New Roman"/>
          <w:sz w:val="24"/>
          <w:szCs w:val="24"/>
        </w:rPr>
        <w:t>)</w:t>
      </w:r>
      <w:r w:rsidR="00EC02FD" w:rsidRPr="00C41483">
        <w:rPr>
          <w:rFonts w:ascii="Times New Roman" w:hAnsi="Times New Roman" w:cs="Times New Roman"/>
          <w:sz w:val="24"/>
          <w:szCs w:val="24"/>
        </w:rPr>
        <w:t>.</w:t>
      </w:r>
    </w:p>
    <w:p w14:paraId="5C370F52" w14:textId="77777777" w:rsidR="00EC02FD" w:rsidRPr="00C41483" w:rsidRDefault="00EC02FD" w:rsidP="006B5133">
      <w:pPr>
        <w:spacing w:after="0" w:line="240" w:lineRule="auto"/>
        <w:jc w:val="both"/>
        <w:rPr>
          <w:rFonts w:ascii="Times New Roman" w:eastAsia="Times New Roman" w:hAnsi="Times New Roman" w:cs="Times New Roman"/>
          <w:bCs/>
          <w:i/>
          <w:iCs/>
          <w:sz w:val="24"/>
          <w:szCs w:val="24"/>
          <w:lang w:eastAsia="hr-HR"/>
        </w:rPr>
      </w:pPr>
    </w:p>
    <w:p w14:paraId="338B1C92" w14:textId="366F5383" w:rsidR="00D542B4" w:rsidRPr="00C41483" w:rsidRDefault="00D542B4" w:rsidP="006B5133">
      <w:pPr>
        <w:pStyle w:val="Naslov1"/>
        <w:spacing w:before="0" w:line="240" w:lineRule="auto"/>
        <w:rPr>
          <w:rFonts w:ascii="Times New Roman" w:eastAsia="Times New Roman" w:hAnsi="Times New Roman" w:cs="Times New Roman"/>
          <w:b/>
          <w:bCs/>
          <w:color w:val="auto"/>
          <w:sz w:val="24"/>
          <w:szCs w:val="24"/>
          <w:lang w:eastAsia="hr-HR"/>
        </w:rPr>
      </w:pPr>
      <w:bookmarkStart w:id="76" w:name="_Toc76630957"/>
      <w:bookmarkStart w:id="77" w:name="_Toc88031197"/>
      <w:r w:rsidRPr="00C41483">
        <w:rPr>
          <w:rFonts w:ascii="Times New Roman" w:eastAsia="Times New Roman" w:hAnsi="Times New Roman" w:cs="Times New Roman"/>
          <w:b/>
          <w:bCs/>
          <w:color w:val="auto"/>
          <w:sz w:val="24"/>
          <w:szCs w:val="24"/>
          <w:lang w:eastAsia="hr-HR"/>
        </w:rPr>
        <w:t>Sloboda od izrabljivanja, nasilja i zlostavljanja (čl. 16.)</w:t>
      </w:r>
      <w:bookmarkEnd w:id="76"/>
      <w:bookmarkEnd w:id="77"/>
    </w:p>
    <w:p w14:paraId="67E39CF5" w14:textId="77777777" w:rsidR="000668E0" w:rsidRPr="00C41483" w:rsidRDefault="000668E0" w:rsidP="006B5133">
      <w:pPr>
        <w:spacing w:after="0" w:line="240" w:lineRule="auto"/>
        <w:rPr>
          <w:lang w:eastAsia="hr-HR"/>
        </w:rPr>
      </w:pPr>
    </w:p>
    <w:p w14:paraId="2578BEA4" w14:textId="09AB8459" w:rsidR="00B65498" w:rsidRPr="00C41483" w:rsidRDefault="000807E9" w:rsidP="006B5133">
      <w:pPr>
        <w:spacing w:after="0" w:line="240" w:lineRule="auto"/>
        <w:jc w:val="both"/>
        <w:rPr>
          <w:rFonts w:ascii="Times New Roman" w:eastAsia="Times New Roman" w:hAnsi="Times New Roman" w:cs="Times New Roman"/>
          <w:bCs/>
          <w:i/>
          <w:iCs/>
          <w:sz w:val="24"/>
          <w:szCs w:val="24"/>
          <w:lang w:eastAsia="hr-HR"/>
        </w:rPr>
      </w:pPr>
      <w:bookmarkStart w:id="78" w:name="_Hlk83814601"/>
      <w:r w:rsidRPr="00C41483">
        <w:rPr>
          <w:rFonts w:ascii="Times New Roman" w:eastAsia="Times New Roman" w:hAnsi="Times New Roman" w:cs="Times New Roman"/>
          <w:bCs/>
          <w:i/>
          <w:iCs/>
          <w:sz w:val="24"/>
          <w:szCs w:val="24"/>
          <w:lang w:eastAsia="hr-HR"/>
        </w:rPr>
        <w:t xml:space="preserve">Pitanje </w:t>
      </w:r>
      <w:r w:rsidR="00813E1C" w:rsidRPr="00C41483">
        <w:rPr>
          <w:rFonts w:ascii="Times New Roman" w:eastAsia="Times New Roman" w:hAnsi="Times New Roman" w:cs="Times New Roman"/>
          <w:bCs/>
          <w:i/>
          <w:iCs/>
          <w:sz w:val="24"/>
          <w:szCs w:val="24"/>
          <w:lang w:eastAsia="hr-HR"/>
        </w:rPr>
        <w:t>17</w:t>
      </w:r>
      <w:r w:rsidRPr="00C41483">
        <w:rPr>
          <w:rFonts w:ascii="Times New Roman" w:eastAsia="Times New Roman" w:hAnsi="Times New Roman" w:cs="Times New Roman"/>
          <w:bCs/>
          <w:i/>
          <w:iCs/>
          <w:sz w:val="24"/>
          <w:szCs w:val="24"/>
          <w:lang w:eastAsia="hr-HR"/>
        </w:rPr>
        <w:t>a) i b)</w:t>
      </w:r>
    </w:p>
    <w:bookmarkEnd w:id="78"/>
    <w:p w14:paraId="01C059A7" w14:textId="77777777" w:rsidR="00C12D24" w:rsidRPr="00C41483" w:rsidRDefault="00C12D24" w:rsidP="006B5133">
      <w:pPr>
        <w:spacing w:after="0" w:line="240" w:lineRule="auto"/>
        <w:jc w:val="both"/>
        <w:rPr>
          <w:rFonts w:ascii="Times New Roman" w:eastAsia="Calibri" w:hAnsi="Times New Roman" w:cs="Times New Roman"/>
          <w:sz w:val="24"/>
          <w:szCs w:val="24"/>
        </w:rPr>
      </w:pPr>
    </w:p>
    <w:p w14:paraId="579EFD42" w14:textId="137179DE" w:rsidR="00A603FC" w:rsidRPr="00C41483" w:rsidRDefault="00962CD9" w:rsidP="006B5133">
      <w:pPr>
        <w:spacing w:after="0" w:line="240" w:lineRule="auto"/>
        <w:jc w:val="both"/>
        <w:rPr>
          <w:rFonts w:ascii="Times New Roman" w:eastAsia="Calibri" w:hAnsi="Times New Roman" w:cs="Times New Roman"/>
          <w:sz w:val="24"/>
          <w:szCs w:val="24"/>
        </w:rPr>
      </w:pPr>
      <w:r w:rsidRPr="00C41483">
        <w:rPr>
          <w:rFonts w:ascii="Times New Roman" w:eastAsia="Calibri" w:hAnsi="Times New Roman" w:cs="Times New Roman"/>
          <w:sz w:val="24"/>
          <w:szCs w:val="24"/>
        </w:rPr>
        <w:t>(</w:t>
      </w:r>
      <w:r w:rsidR="00F83BEE" w:rsidRPr="00C41483">
        <w:rPr>
          <w:rFonts w:ascii="Times New Roman" w:eastAsia="Calibri" w:hAnsi="Times New Roman" w:cs="Times New Roman"/>
          <w:sz w:val="24"/>
          <w:szCs w:val="24"/>
        </w:rPr>
        <w:t>9</w:t>
      </w:r>
      <w:r w:rsidR="000F3ADF" w:rsidRPr="00C41483">
        <w:rPr>
          <w:rFonts w:ascii="Times New Roman" w:eastAsia="Calibri" w:hAnsi="Times New Roman" w:cs="Times New Roman"/>
          <w:sz w:val="24"/>
          <w:szCs w:val="24"/>
        </w:rPr>
        <w:t>4</w:t>
      </w:r>
      <w:r w:rsidRPr="00C41483">
        <w:rPr>
          <w:rFonts w:ascii="Times New Roman" w:eastAsia="Calibri" w:hAnsi="Times New Roman" w:cs="Times New Roman"/>
          <w:sz w:val="24"/>
          <w:szCs w:val="24"/>
        </w:rPr>
        <w:t xml:space="preserve">) </w:t>
      </w:r>
      <w:r w:rsidR="00A603FC" w:rsidRPr="00C41483">
        <w:rPr>
          <w:rFonts w:ascii="Times New Roman" w:eastAsia="Calibri" w:hAnsi="Times New Roman" w:cs="Times New Roman"/>
          <w:sz w:val="24"/>
          <w:szCs w:val="24"/>
        </w:rPr>
        <w:t>Vidjeti odgovor na pitanje 12b</w:t>
      </w:r>
      <w:r w:rsidR="0006777C" w:rsidRPr="00C41483">
        <w:rPr>
          <w:rFonts w:ascii="Times New Roman" w:eastAsia="Calibri" w:hAnsi="Times New Roman" w:cs="Times New Roman"/>
          <w:sz w:val="24"/>
          <w:szCs w:val="24"/>
        </w:rPr>
        <w:t>)</w:t>
      </w:r>
      <w:r w:rsidR="00A603FC" w:rsidRPr="00C41483">
        <w:rPr>
          <w:rFonts w:ascii="Times New Roman" w:eastAsia="Calibri" w:hAnsi="Times New Roman" w:cs="Times New Roman"/>
          <w:sz w:val="24"/>
          <w:szCs w:val="24"/>
        </w:rPr>
        <w:t xml:space="preserve"> u dijelu u kojem upućuje na prava žrtve kaznenog djela, pojedinačnu procjenu žrtve, dodatna prava žrtve u odnosu na koju su utvrđene posebne potrebe zaštite te prava žrtve nasilja u obitelji. </w:t>
      </w:r>
    </w:p>
    <w:p w14:paraId="73C436B5" w14:textId="77777777" w:rsidR="00D0055C" w:rsidRPr="00C41483" w:rsidRDefault="00D0055C" w:rsidP="006B5133">
      <w:pPr>
        <w:spacing w:after="0" w:line="240" w:lineRule="auto"/>
        <w:jc w:val="both"/>
        <w:rPr>
          <w:rFonts w:ascii="Times New Roman" w:eastAsia="Calibri" w:hAnsi="Times New Roman" w:cs="Times New Roman"/>
          <w:sz w:val="24"/>
          <w:szCs w:val="24"/>
        </w:rPr>
      </w:pPr>
    </w:p>
    <w:p w14:paraId="5ACA1418" w14:textId="550BC845" w:rsidR="00B65498" w:rsidRPr="00C41483" w:rsidRDefault="00962CD9" w:rsidP="006B5133">
      <w:pPr>
        <w:spacing w:after="0" w:line="240" w:lineRule="auto"/>
        <w:jc w:val="both"/>
        <w:rPr>
          <w:rFonts w:ascii="Times New Roman" w:eastAsia="Calibri" w:hAnsi="Times New Roman" w:cs="Times New Roman"/>
          <w:sz w:val="24"/>
          <w:szCs w:val="24"/>
        </w:rPr>
      </w:pPr>
      <w:r w:rsidRPr="00C41483">
        <w:rPr>
          <w:rFonts w:ascii="Times New Roman" w:eastAsia="Calibri" w:hAnsi="Times New Roman" w:cs="Times New Roman"/>
          <w:sz w:val="24"/>
          <w:szCs w:val="24"/>
        </w:rPr>
        <w:t>(</w:t>
      </w:r>
      <w:r w:rsidR="00F83BEE" w:rsidRPr="00C41483">
        <w:rPr>
          <w:rFonts w:ascii="Times New Roman" w:eastAsia="Calibri" w:hAnsi="Times New Roman" w:cs="Times New Roman"/>
          <w:sz w:val="24"/>
          <w:szCs w:val="24"/>
        </w:rPr>
        <w:t>9</w:t>
      </w:r>
      <w:r w:rsidR="000F3ADF" w:rsidRPr="00C41483">
        <w:rPr>
          <w:rFonts w:ascii="Times New Roman" w:eastAsia="Calibri" w:hAnsi="Times New Roman" w:cs="Times New Roman"/>
          <w:sz w:val="24"/>
          <w:szCs w:val="24"/>
        </w:rPr>
        <w:t>5</w:t>
      </w:r>
      <w:r w:rsidRPr="00C41483">
        <w:rPr>
          <w:rFonts w:ascii="Times New Roman" w:eastAsia="Calibri" w:hAnsi="Times New Roman" w:cs="Times New Roman"/>
          <w:sz w:val="24"/>
          <w:szCs w:val="24"/>
        </w:rPr>
        <w:t xml:space="preserve">) </w:t>
      </w:r>
      <w:r w:rsidR="00B65498" w:rsidRPr="00C41483">
        <w:rPr>
          <w:rFonts w:ascii="Times New Roman" w:eastAsia="Calibri" w:hAnsi="Times New Roman" w:cs="Times New Roman"/>
          <w:sz w:val="24"/>
          <w:szCs w:val="24"/>
        </w:rPr>
        <w:t xml:space="preserve">Zakonom o kaznenom postupku, odnosno njegovim izmjenama i dopunama propisano je da žrtva kaznenog djela protiv spolne slobode i žrtva kaznenog djela trgovanja ljudima ima pravo prije ispitivanja razgovarati sa savjetnikom, na teret proračunskih sredstava, pravo na opunomoćenika na teret proračunskih sredstava, pravo da ju u policiji i državnom odvjetništvu ispituje osoba istog spola te da ju, ako je to moguće, u slučaju ponovnog ispitivanja ispituje ta ista osoba, pravo uskratiti odgovor na pitanja koja nisu u vezi s kaznenim djelom, a odnose se na strogo osobni život žrtve, pravo zahtijevati da bude ispitana putem audio-video uređaja, pravo na tajnost osobnih podataka te pravo zahtijevati isključenje javnosti s rasprave. </w:t>
      </w:r>
    </w:p>
    <w:p w14:paraId="3014BE0D" w14:textId="77777777" w:rsidR="00D0055C" w:rsidRPr="00C41483" w:rsidRDefault="00D0055C" w:rsidP="006B5133">
      <w:pPr>
        <w:spacing w:after="0" w:line="240" w:lineRule="auto"/>
        <w:jc w:val="both"/>
        <w:rPr>
          <w:rFonts w:ascii="Times New Roman" w:eastAsia="Calibri" w:hAnsi="Times New Roman" w:cs="Times New Roman"/>
          <w:sz w:val="24"/>
          <w:szCs w:val="24"/>
        </w:rPr>
      </w:pPr>
    </w:p>
    <w:p w14:paraId="22B6AEDD" w14:textId="0FEDE6F6" w:rsidR="00962CD9" w:rsidRPr="00C41483" w:rsidRDefault="00962CD9" w:rsidP="006B5133">
      <w:pPr>
        <w:spacing w:after="0" w:line="240" w:lineRule="auto"/>
        <w:jc w:val="both"/>
        <w:rPr>
          <w:rFonts w:ascii="Times New Roman" w:eastAsia="Calibri" w:hAnsi="Times New Roman" w:cs="Times New Roman"/>
          <w:sz w:val="24"/>
          <w:szCs w:val="24"/>
        </w:rPr>
      </w:pPr>
      <w:r w:rsidRPr="00C41483">
        <w:rPr>
          <w:rFonts w:ascii="Times New Roman" w:eastAsia="Calibri" w:hAnsi="Times New Roman" w:cs="Times New Roman"/>
          <w:sz w:val="24"/>
          <w:szCs w:val="24"/>
        </w:rPr>
        <w:lastRenderedPageBreak/>
        <w:t>(</w:t>
      </w:r>
      <w:r w:rsidR="00F83BEE" w:rsidRPr="00C41483">
        <w:rPr>
          <w:rFonts w:ascii="Times New Roman" w:eastAsia="Calibri" w:hAnsi="Times New Roman" w:cs="Times New Roman"/>
          <w:sz w:val="24"/>
          <w:szCs w:val="24"/>
        </w:rPr>
        <w:t>9</w:t>
      </w:r>
      <w:r w:rsidR="000F3ADF" w:rsidRPr="00C41483">
        <w:rPr>
          <w:rFonts w:ascii="Times New Roman" w:eastAsia="Calibri" w:hAnsi="Times New Roman" w:cs="Times New Roman"/>
          <w:sz w:val="24"/>
          <w:szCs w:val="24"/>
        </w:rPr>
        <w:t>6</w:t>
      </w:r>
      <w:r w:rsidRPr="00C41483">
        <w:rPr>
          <w:rFonts w:ascii="Times New Roman" w:eastAsia="Calibri" w:hAnsi="Times New Roman" w:cs="Times New Roman"/>
          <w:sz w:val="24"/>
          <w:szCs w:val="24"/>
        </w:rPr>
        <w:t xml:space="preserve">) </w:t>
      </w:r>
      <w:r w:rsidR="00A603FC" w:rsidRPr="00C41483">
        <w:rPr>
          <w:rFonts w:ascii="Times New Roman" w:eastAsia="Calibri" w:hAnsi="Times New Roman" w:cs="Times New Roman"/>
          <w:sz w:val="24"/>
          <w:szCs w:val="24"/>
        </w:rPr>
        <w:t>Zakonom o izmjenama i dopunama Zakona o kaznenom postupku (2019.) dopunjen je popis mjera opreza koje je moguće izreći u kaznenom predmetu</w:t>
      </w:r>
      <w:r w:rsidR="00B65498" w:rsidRPr="00C41483">
        <w:rPr>
          <w:rFonts w:ascii="Times New Roman" w:eastAsia="Calibri" w:hAnsi="Times New Roman" w:cs="Times New Roman"/>
          <w:sz w:val="24"/>
          <w:szCs w:val="24"/>
        </w:rPr>
        <w:t xml:space="preserve">, na način da je propisana mogućnost izricanja mjere opreza zabrane pristupa internetu, odnosno kada je moguće rješenjem odrediti mjere opreza i kao samostalne mjere opreza. Pritom će sud okrivljenika upozoriti da je nepridržavanje izrečene samostalne mjere opreza kazneno djelo. </w:t>
      </w:r>
    </w:p>
    <w:p w14:paraId="1F4CA4D8" w14:textId="77777777" w:rsidR="00D0055C" w:rsidRPr="00C41483" w:rsidRDefault="00D0055C" w:rsidP="006B5133">
      <w:pPr>
        <w:spacing w:after="0" w:line="240" w:lineRule="auto"/>
        <w:jc w:val="both"/>
        <w:rPr>
          <w:rFonts w:ascii="Times New Roman" w:eastAsia="Calibri" w:hAnsi="Times New Roman" w:cs="Times New Roman"/>
          <w:sz w:val="24"/>
          <w:szCs w:val="24"/>
        </w:rPr>
      </w:pPr>
    </w:p>
    <w:p w14:paraId="0EBC0323" w14:textId="08C2A4EB" w:rsidR="00F83BEE" w:rsidRPr="00C41483" w:rsidRDefault="00962CD9" w:rsidP="006B5133">
      <w:pPr>
        <w:spacing w:after="0" w:line="240" w:lineRule="auto"/>
        <w:jc w:val="both"/>
        <w:rPr>
          <w:rFonts w:ascii="Times New Roman" w:eastAsia="Calibri" w:hAnsi="Times New Roman" w:cs="Times New Roman"/>
          <w:sz w:val="24"/>
          <w:szCs w:val="24"/>
        </w:rPr>
      </w:pPr>
      <w:r w:rsidRPr="00C41483">
        <w:rPr>
          <w:rFonts w:ascii="Times New Roman" w:eastAsia="Calibri" w:hAnsi="Times New Roman" w:cs="Times New Roman"/>
          <w:sz w:val="24"/>
          <w:szCs w:val="24"/>
        </w:rPr>
        <w:t>(</w:t>
      </w:r>
      <w:r w:rsidR="00F83BEE" w:rsidRPr="00C41483">
        <w:rPr>
          <w:rFonts w:ascii="Times New Roman" w:eastAsia="Calibri" w:hAnsi="Times New Roman" w:cs="Times New Roman"/>
          <w:sz w:val="24"/>
          <w:szCs w:val="24"/>
        </w:rPr>
        <w:t>9</w:t>
      </w:r>
      <w:r w:rsidR="000F3ADF" w:rsidRPr="00C41483">
        <w:rPr>
          <w:rFonts w:ascii="Times New Roman" w:eastAsia="Calibri" w:hAnsi="Times New Roman" w:cs="Times New Roman"/>
          <w:sz w:val="24"/>
          <w:szCs w:val="24"/>
        </w:rPr>
        <w:t>7</w:t>
      </w:r>
      <w:r w:rsidRPr="00C41483">
        <w:rPr>
          <w:rFonts w:ascii="Times New Roman" w:eastAsia="Calibri" w:hAnsi="Times New Roman" w:cs="Times New Roman"/>
          <w:sz w:val="24"/>
          <w:szCs w:val="24"/>
        </w:rPr>
        <w:t xml:space="preserve">) </w:t>
      </w:r>
      <w:r w:rsidR="00F83BEE" w:rsidRPr="00C41483">
        <w:rPr>
          <w:rFonts w:ascii="Times New Roman" w:eastAsia="Calibri" w:hAnsi="Times New Roman" w:cs="Times New Roman"/>
          <w:sz w:val="24"/>
          <w:szCs w:val="24"/>
        </w:rPr>
        <w:t xml:space="preserve">O </w:t>
      </w:r>
      <w:bookmarkStart w:id="79" w:name="_Hlk83289281"/>
      <w:r w:rsidR="00F83BEE" w:rsidRPr="00C41483">
        <w:rPr>
          <w:rFonts w:ascii="Times New Roman" w:eastAsia="Calibri" w:hAnsi="Times New Roman" w:cs="Times New Roman"/>
          <w:sz w:val="24"/>
          <w:szCs w:val="24"/>
        </w:rPr>
        <w:t xml:space="preserve">izmjenama i dopunama Kaznenog zakona </w:t>
      </w:r>
      <w:bookmarkEnd w:id="79"/>
      <w:r w:rsidR="00F83BEE" w:rsidRPr="00C41483">
        <w:rPr>
          <w:rFonts w:ascii="Times New Roman" w:eastAsia="Calibri" w:hAnsi="Times New Roman" w:cs="Times New Roman"/>
          <w:sz w:val="24"/>
          <w:szCs w:val="24"/>
        </w:rPr>
        <w:t>u prilogu</w:t>
      </w:r>
      <w:r w:rsidR="007C1BCA" w:rsidRPr="00C41483">
        <w:rPr>
          <w:rFonts w:ascii="Times New Roman" w:eastAsia="Calibri" w:hAnsi="Times New Roman" w:cs="Times New Roman"/>
          <w:sz w:val="24"/>
          <w:szCs w:val="24"/>
        </w:rPr>
        <w:t xml:space="preserve"> 24</w:t>
      </w:r>
      <w:r w:rsidR="001A2F17">
        <w:rPr>
          <w:rFonts w:ascii="Times New Roman" w:eastAsia="Calibri" w:hAnsi="Times New Roman" w:cs="Times New Roman"/>
          <w:sz w:val="24"/>
          <w:szCs w:val="24"/>
        </w:rPr>
        <w:t>.</w:t>
      </w:r>
    </w:p>
    <w:p w14:paraId="7E100597" w14:textId="77777777" w:rsidR="005D1F13" w:rsidRPr="00C41483" w:rsidRDefault="005D1F13" w:rsidP="006B5133">
      <w:pPr>
        <w:spacing w:after="0" w:line="240" w:lineRule="auto"/>
        <w:jc w:val="both"/>
        <w:rPr>
          <w:rFonts w:ascii="Times New Roman" w:eastAsia="Calibri" w:hAnsi="Times New Roman" w:cs="Times New Roman"/>
          <w:sz w:val="24"/>
          <w:szCs w:val="24"/>
        </w:rPr>
      </w:pPr>
    </w:p>
    <w:p w14:paraId="25BE671B" w14:textId="10ACED58" w:rsidR="00BC4560" w:rsidRPr="00C41483" w:rsidRDefault="006910F9" w:rsidP="006B5133">
      <w:pPr>
        <w:spacing w:after="0" w:line="240" w:lineRule="auto"/>
        <w:jc w:val="both"/>
        <w:rPr>
          <w:rFonts w:ascii="Times New Roman" w:eastAsia="Calibri" w:hAnsi="Times New Roman" w:cs="Times New Roman"/>
          <w:sz w:val="24"/>
          <w:szCs w:val="24"/>
        </w:rPr>
      </w:pPr>
      <w:r w:rsidRPr="00C41483">
        <w:rPr>
          <w:rFonts w:ascii="Times New Roman" w:eastAsia="Calibri" w:hAnsi="Times New Roman" w:cs="Times New Roman"/>
          <w:sz w:val="24"/>
          <w:szCs w:val="24"/>
        </w:rPr>
        <w:t>(</w:t>
      </w:r>
      <w:r w:rsidR="005D1F13" w:rsidRPr="00C41483">
        <w:rPr>
          <w:rFonts w:ascii="Times New Roman" w:eastAsia="Calibri" w:hAnsi="Times New Roman" w:cs="Times New Roman"/>
          <w:sz w:val="24"/>
          <w:szCs w:val="24"/>
        </w:rPr>
        <w:t>9</w:t>
      </w:r>
      <w:r w:rsidR="000F3ADF" w:rsidRPr="00C41483">
        <w:rPr>
          <w:rFonts w:ascii="Times New Roman" w:eastAsia="Calibri" w:hAnsi="Times New Roman" w:cs="Times New Roman"/>
          <w:sz w:val="24"/>
          <w:szCs w:val="24"/>
        </w:rPr>
        <w:t>8</w:t>
      </w:r>
      <w:r w:rsidRPr="00C41483">
        <w:rPr>
          <w:rFonts w:ascii="Times New Roman" w:eastAsia="Calibri" w:hAnsi="Times New Roman" w:cs="Times New Roman"/>
          <w:sz w:val="24"/>
          <w:szCs w:val="24"/>
        </w:rPr>
        <w:t xml:space="preserve">) </w:t>
      </w:r>
      <w:r w:rsidR="00BC4560" w:rsidRPr="00C41483">
        <w:rPr>
          <w:rFonts w:ascii="Times New Roman" w:eastAsia="Calibri" w:hAnsi="Times New Roman" w:cs="Times New Roman"/>
          <w:sz w:val="24"/>
          <w:szCs w:val="24"/>
        </w:rPr>
        <w:t>Zakonom o izmjenama i dopunama Prekršajnog zakona (2015) dodana je odredba naslovljena „Zabrana posjećivanja određenog mjesta ili područja“ kojom je propisano da se zaštitna mjera zabrane posjećivanja određenog mjesta ili područja može izreći počinitelju prekršaja kada postoji opasnost da će u određenom razdoblju posjećivanjem tog mjesta ili područja ponovno počiniti isti prekršaj. Zakonom o zaštiti od nasilja u obitelji propisano je da se odredbe kojima se uređuju prekršaji i kazneni postupak primjenjuju na odgovarajući način, ako tim zakonom nije drukčije propisano.</w:t>
      </w:r>
    </w:p>
    <w:p w14:paraId="23842D1B" w14:textId="77777777" w:rsidR="00D0055C" w:rsidRPr="00C41483" w:rsidRDefault="00D0055C" w:rsidP="006B5133">
      <w:pPr>
        <w:spacing w:after="0" w:line="240" w:lineRule="auto"/>
        <w:jc w:val="both"/>
        <w:rPr>
          <w:rFonts w:ascii="Times New Roman" w:eastAsia="Calibri" w:hAnsi="Times New Roman" w:cs="Times New Roman"/>
          <w:sz w:val="24"/>
          <w:szCs w:val="24"/>
        </w:rPr>
      </w:pPr>
    </w:p>
    <w:p w14:paraId="419221E4" w14:textId="2F5418D3" w:rsidR="00B65498" w:rsidRPr="00C41483" w:rsidRDefault="006910F9" w:rsidP="006B5133">
      <w:pPr>
        <w:spacing w:after="0" w:line="240" w:lineRule="auto"/>
        <w:jc w:val="both"/>
        <w:rPr>
          <w:rFonts w:ascii="Times New Roman" w:eastAsia="Calibri" w:hAnsi="Times New Roman" w:cs="Times New Roman"/>
          <w:sz w:val="24"/>
          <w:szCs w:val="24"/>
        </w:rPr>
      </w:pPr>
      <w:r w:rsidRPr="00C41483">
        <w:rPr>
          <w:rFonts w:ascii="Times New Roman" w:eastAsia="Calibri" w:hAnsi="Times New Roman" w:cs="Times New Roman"/>
          <w:sz w:val="24"/>
          <w:szCs w:val="24"/>
        </w:rPr>
        <w:t>(</w:t>
      </w:r>
      <w:r w:rsidR="005D1F13" w:rsidRPr="00C41483">
        <w:rPr>
          <w:rFonts w:ascii="Times New Roman" w:eastAsia="Calibri" w:hAnsi="Times New Roman" w:cs="Times New Roman"/>
          <w:sz w:val="24"/>
          <w:szCs w:val="24"/>
        </w:rPr>
        <w:t>9</w:t>
      </w:r>
      <w:r w:rsidR="000F3ADF" w:rsidRPr="00C41483">
        <w:rPr>
          <w:rFonts w:ascii="Times New Roman" w:eastAsia="Calibri" w:hAnsi="Times New Roman" w:cs="Times New Roman"/>
          <w:sz w:val="24"/>
          <w:szCs w:val="24"/>
        </w:rPr>
        <w:t>9</w:t>
      </w:r>
      <w:r w:rsidRPr="00C41483">
        <w:rPr>
          <w:rFonts w:ascii="Times New Roman" w:eastAsia="Calibri" w:hAnsi="Times New Roman" w:cs="Times New Roman"/>
          <w:sz w:val="24"/>
          <w:szCs w:val="24"/>
        </w:rPr>
        <w:t xml:space="preserve">) </w:t>
      </w:r>
      <w:r w:rsidR="00B65498" w:rsidRPr="00C41483">
        <w:rPr>
          <w:rFonts w:ascii="Times New Roman" w:eastAsia="Calibri" w:hAnsi="Times New Roman" w:cs="Times New Roman"/>
          <w:sz w:val="24"/>
          <w:szCs w:val="24"/>
        </w:rPr>
        <w:t xml:space="preserve">Zakon o zaštiti od nasilja u obitelji propisuje pojavne oblike nasilja u obitelji te ističe da je nasilje u obitelji i zanemarivanje potreba osobe s invaliditetom ili osobe starije životne dobi koje dovodi do njezine uznemirenosti ili vrijeđa njezino dostojanstvo i time joj nanosi tjelesne ili duševne patnje. Svrha zaštitnih mjera je spriječiti nasilje u obitelji, osigurati zaštitu zdravlja i sigurnosti žrtve nasilja u obitelji te otkloniti okolnosti koje pogoduju ili poticajno djeluju na počinjenje novog prekršaja, a izriču se radi otklanjanja ugroženosti žrtve nasilja u obitelji. </w:t>
      </w:r>
      <w:r w:rsidR="005512A2" w:rsidRPr="00C41483">
        <w:rPr>
          <w:rFonts w:ascii="Times New Roman" w:eastAsia="Calibri" w:hAnsi="Times New Roman" w:cs="Times New Roman"/>
          <w:sz w:val="24"/>
          <w:szCs w:val="24"/>
        </w:rPr>
        <w:t>P</w:t>
      </w:r>
      <w:r w:rsidR="00B65498" w:rsidRPr="00C41483">
        <w:rPr>
          <w:rFonts w:ascii="Times New Roman" w:eastAsia="Calibri" w:hAnsi="Times New Roman" w:cs="Times New Roman"/>
          <w:sz w:val="24"/>
          <w:szCs w:val="24"/>
        </w:rPr>
        <w:t>ropisano</w:t>
      </w:r>
      <w:r w:rsidR="005512A2" w:rsidRPr="00C41483">
        <w:rPr>
          <w:rFonts w:ascii="Times New Roman" w:eastAsia="Calibri" w:hAnsi="Times New Roman" w:cs="Times New Roman"/>
          <w:sz w:val="24"/>
          <w:szCs w:val="24"/>
        </w:rPr>
        <w:t xml:space="preserve"> je</w:t>
      </w:r>
      <w:r w:rsidR="00B65498" w:rsidRPr="00C41483">
        <w:rPr>
          <w:rFonts w:ascii="Times New Roman" w:eastAsia="Calibri" w:hAnsi="Times New Roman" w:cs="Times New Roman"/>
          <w:sz w:val="24"/>
          <w:szCs w:val="24"/>
        </w:rPr>
        <w:t xml:space="preserve"> da se zaštitne mjere mogu izreći samostalno i bez izricanja kazne odnosno druge </w:t>
      </w:r>
      <w:proofErr w:type="spellStart"/>
      <w:r w:rsidR="00B65498" w:rsidRPr="00C41483">
        <w:rPr>
          <w:rFonts w:ascii="Times New Roman" w:eastAsia="Calibri" w:hAnsi="Times New Roman" w:cs="Times New Roman"/>
          <w:sz w:val="24"/>
          <w:szCs w:val="24"/>
        </w:rPr>
        <w:t>prekršajnopravne</w:t>
      </w:r>
      <w:proofErr w:type="spellEnd"/>
      <w:r w:rsidR="00B65498" w:rsidRPr="00C41483">
        <w:rPr>
          <w:rFonts w:ascii="Times New Roman" w:eastAsia="Calibri" w:hAnsi="Times New Roman" w:cs="Times New Roman"/>
          <w:sz w:val="24"/>
          <w:szCs w:val="24"/>
        </w:rPr>
        <w:t xml:space="preserve"> sankcije, a zaštitne mjere mogu se izreći po službenoj dužnosti, na prijedlog ovlaštenog tužitelja, žrtve ili centra za socijalnu skrb. Sud može počinitelju nasilja u obitelji, osim zaštitnih mjera propisanih </w:t>
      </w:r>
      <w:r w:rsidR="00295D9C" w:rsidRPr="00C41483">
        <w:rPr>
          <w:rFonts w:ascii="Times New Roman" w:eastAsia="Calibri" w:hAnsi="Times New Roman" w:cs="Times New Roman"/>
          <w:sz w:val="24"/>
          <w:szCs w:val="24"/>
        </w:rPr>
        <w:t>PZ-om</w:t>
      </w:r>
      <w:r w:rsidR="00B65498" w:rsidRPr="00C41483">
        <w:rPr>
          <w:rFonts w:ascii="Times New Roman" w:eastAsia="Calibri" w:hAnsi="Times New Roman" w:cs="Times New Roman"/>
          <w:sz w:val="24"/>
          <w:szCs w:val="24"/>
        </w:rPr>
        <w:t xml:space="preserve">, izreći i zaštitne mjere obveznog psihosocijalnog tretmana, zabrane približavanja, uznemiravanja ili uhođenja žrtve nasilja u obitelji, udaljenja iz zajedničkog kućanstva te obveznog liječenja od ovisnosti. Zaštitne mjere zabrane približavanja te uznemiravanja ili uhođenja žrtve nasilja u obitelji, udaljenja iz zajedničkog kućanstva sud može izreći prije pokretanja prekršajnog postupka na prijedlog žrtve ili drugog ovlaštenog tužitelja ako postoji izravna opasnost za sigurnost žrtve ili članova njezine obitelji odnosno člana zajedničkog kućanstva. Predmetnu odluku sud će donijeti bez odgode, a najkasnije u roku od dvadeset četiri sata od podnošenja prijedloga. Sud će odluku donijeti nakon saslušanja žrtve i osobe protiv koje se traži izricanje zaštitne mjere. Žalba ne odgađa izvršenje odluke te će tu odluku bez odgode dostaviti nadležnoj policijskoj postaji radi provedbe izrečene zaštitne mjere. </w:t>
      </w:r>
      <w:r w:rsidR="00687656" w:rsidRPr="00C41483">
        <w:rPr>
          <w:rFonts w:ascii="Times New Roman" w:eastAsia="Calibri" w:hAnsi="Times New Roman" w:cs="Times New Roman"/>
          <w:sz w:val="24"/>
          <w:szCs w:val="24"/>
        </w:rPr>
        <w:t>S</w:t>
      </w:r>
      <w:r w:rsidR="00B65498" w:rsidRPr="00C41483">
        <w:rPr>
          <w:rFonts w:ascii="Times New Roman" w:eastAsia="Calibri" w:hAnsi="Times New Roman" w:cs="Times New Roman"/>
          <w:sz w:val="24"/>
          <w:szCs w:val="24"/>
        </w:rPr>
        <w:t xml:space="preserve">ud će ukinuti </w:t>
      </w:r>
      <w:r w:rsidR="00687656" w:rsidRPr="00C41483">
        <w:rPr>
          <w:rFonts w:ascii="Times New Roman" w:eastAsia="Calibri" w:hAnsi="Times New Roman" w:cs="Times New Roman"/>
          <w:sz w:val="24"/>
          <w:szCs w:val="24"/>
        </w:rPr>
        <w:t xml:space="preserve">odluku </w:t>
      </w:r>
      <w:r w:rsidR="00B65498" w:rsidRPr="00C41483">
        <w:rPr>
          <w:rFonts w:ascii="Times New Roman" w:eastAsia="Calibri" w:hAnsi="Times New Roman" w:cs="Times New Roman"/>
          <w:sz w:val="24"/>
          <w:szCs w:val="24"/>
        </w:rPr>
        <w:t>ako žrtva ili drugi ovlašteni tužitelj u roku od osam dana od dana donošenja odluke ne podnese optužni prijedlog, o čemu je dužan upozoriti žrtvu. O ukidanju zaštitne mjere sud će bez odgode obavijestiti policiju.</w:t>
      </w:r>
    </w:p>
    <w:p w14:paraId="648D7B8B" w14:textId="77777777" w:rsidR="00D0055C" w:rsidRPr="00C41483" w:rsidRDefault="00D0055C" w:rsidP="006B5133">
      <w:pPr>
        <w:spacing w:after="0" w:line="240" w:lineRule="auto"/>
        <w:jc w:val="both"/>
        <w:rPr>
          <w:rFonts w:ascii="Times New Roman" w:eastAsia="Calibri" w:hAnsi="Times New Roman" w:cs="Times New Roman"/>
          <w:sz w:val="24"/>
          <w:szCs w:val="24"/>
        </w:rPr>
      </w:pPr>
    </w:p>
    <w:p w14:paraId="1E2AEEF0" w14:textId="48491FEF" w:rsidR="00B65498" w:rsidRPr="00C41483" w:rsidRDefault="006910F9" w:rsidP="006B5133">
      <w:pPr>
        <w:spacing w:after="0" w:line="240" w:lineRule="auto"/>
        <w:jc w:val="both"/>
        <w:rPr>
          <w:rFonts w:ascii="Times New Roman" w:eastAsia="Calibri" w:hAnsi="Times New Roman" w:cs="Times New Roman"/>
          <w:sz w:val="24"/>
          <w:szCs w:val="24"/>
        </w:rPr>
      </w:pPr>
      <w:r w:rsidRPr="00C41483">
        <w:rPr>
          <w:rFonts w:ascii="Times New Roman" w:eastAsia="Calibri" w:hAnsi="Times New Roman" w:cs="Times New Roman"/>
          <w:sz w:val="24"/>
          <w:szCs w:val="24"/>
        </w:rPr>
        <w:t>(</w:t>
      </w:r>
      <w:r w:rsidR="000F3ADF" w:rsidRPr="00C41483">
        <w:rPr>
          <w:rFonts w:ascii="Times New Roman" w:eastAsia="Calibri" w:hAnsi="Times New Roman" w:cs="Times New Roman"/>
          <w:sz w:val="24"/>
          <w:szCs w:val="24"/>
        </w:rPr>
        <w:t>100</w:t>
      </w:r>
      <w:r w:rsidRPr="00C41483">
        <w:rPr>
          <w:rFonts w:ascii="Times New Roman" w:eastAsia="Calibri" w:hAnsi="Times New Roman" w:cs="Times New Roman"/>
          <w:sz w:val="24"/>
          <w:szCs w:val="24"/>
        </w:rPr>
        <w:t xml:space="preserve">) </w:t>
      </w:r>
      <w:r w:rsidR="00BC4560" w:rsidRPr="00C41483">
        <w:rPr>
          <w:rFonts w:ascii="Times New Roman" w:eastAsia="Calibri" w:hAnsi="Times New Roman" w:cs="Times New Roman"/>
          <w:sz w:val="24"/>
          <w:szCs w:val="24"/>
        </w:rPr>
        <w:t>Zakonom o izmjenama i dopunama Zakona o zaštiti od nasilja u obitelji (2019</w:t>
      </w:r>
      <w:r w:rsidR="00687656" w:rsidRPr="00C41483">
        <w:rPr>
          <w:rFonts w:ascii="Times New Roman" w:eastAsia="Calibri" w:hAnsi="Times New Roman" w:cs="Times New Roman"/>
          <w:sz w:val="24"/>
          <w:szCs w:val="24"/>
        </w:rPr>
        <w:t>.</w:t>
      </w:r>
      <w:r w:rsidR="00BC4560" w:rsidRPr="00C41483">
        <w:rPr>
          <w:rFonts w:ascii="Times New Roman" w:eastAsia="Calibri" w:hAnsi="Times New Roman" w:cs="Times New Roman"/>
          <w:sz w:val="24"/>
          <w:szCs w:val="24"/>
        </w:rPr>
        <w:t xml:space="preserve">) pooštrene su </w:t>
      </w:r>
      <w:proofErr w:type="spellStart"/>
      <w:r w:rsidR="00BC4560" w:rsidRPr="00C41483">
        <w:rPr>
          <w:rFonts w:ascii="Times New Roman" w:eastAsia="Calibri" w:hAnsi="Times New Roman" w:cs="Times New Roman"/>
          <w:sz w:val="24"/>
          <w:szCs w:val="24"/>
        </w:rPr>
        <w:t>prekršajnopravne</w:t>
      </w:r>
      <w:proofErr w:type="spellEnd"/>
      <w:r w:rsidR="00BC4560" w:rsidRPr="00C41483">
        <w:rPr>
          <w:rFonts w:ascii="Times New Roman" w:eastAsia="Calibri" w:hAnsi="Times New Roman" w:cs="Times New Roman"/>
          <w:sz w:val="24"/>
          <w:szCs w:val="24"/>
        </w:rPr>
        <w:t xml:space="preserve"> sankcije u odnosu na prekršajne odredbe iz članka 22. i 23. </w:t>
      </w:r>
      <w:r w:rsidR="00987457" w:rsidRPr="00C41483">
        <w:rPr>
          <w:rFonts w:ascii="Times New Roman" w:eastAsia="Calibri" w:hAnsi="Times New Roman" w:cs="Times New Roman"/>
          <w:sz w:val="24"/>
          <w:szCs w:val="24"/>
        </w:rPr>
        <w:t>navedenog Zakona</w:t>
      </w:r>
      <w:r w:rsidRPr="00C41483">
        <w:rPr>
          <w:rFonts w:ascii="Times New Roman" w:eastAsia="Calibri" w:hAnsi="Times New Roman" w:cs="Times New Roman"/>
          <w:sz w:val="24"/>
          <w:szCs w:val="24"/>
        </w:rPr>
        <w:t xml:space="preserve">. </w:t>
      </w:r>
      <w:r w:rsidR="00B65498" w:rsidRPr="00C41483">
        <w:rPr>
          <w:rFonts w:ascii="Times New Roman" w:eastAsia="Calibri" w:hAnsi="Times New Roman" w:cs="Times New Roman"/>
          <w:sz w:val="24"/>
          <w:szCs w:val="24"/>
        </w:rPr>
        <w:t>Počinitelj nasilja u obitelji dužan je postupati u skladu s izrečenim zaštitnim mjerama. Zdravstveni radnici, djelatnici u ustanovama socijalne skrbi, osobe zaposlene u odgojno-obrazovnim ustanovama, stručni radnici zaposleni u vjerskim ustanovama, humanitarnim organizacijama ili organizacijama civilnog društva te sve druge stručne osobe koje u svom radu dolaze u kontakt sa žrtvama nasilja u obitelji su dužni prijaviti policiji ili državnom odvjetništvu počinjenje nasilja u obitelji za koje su saznali u obavljanju svojih poslova, a kad saznaju da počinitelj nasilja u obitelji ne postupa u skladu s izrečenom zaštitnom mjerom dužni su o tome obavijestiti policiju.</w:t>
      </w:r>
    </w:p>
    <w:p w14:paraId="42A0EF74" w14:textId="77777777" w:rsidR="00D0055C" w:rsidRPr="00C41483" w:rsidRDefault="00D0055C" w:rsidP="00DD1B1C">
      <w:pPr>
        <w:spacing w:after="0" w:line="240" w:lineRule="auto"/>
        <w:jc w:val="both"/>
        <w:rPr>
          <w:rFonts w:ascii="Times New Roman" w:eastAsia="Times New Roman" w:hAnsi="Times New Roman" w:cs="Times New Roman"/>
          <w:bCs/>
          <w:sz w:val="24"/>
          <w:szCs w:val="24"/>
          <w:lang w:eastAsia="hr-HR"/>
        </w:rPr>
      </w:pPr>
    </w:p>
    <w:p w14:paraId="2230C9B6" w14:textId="385AE007" w:rsidR="00DD1B1C" w:rsidRPr="00C41483" w:rsidRDefault="006910F9" w:rsidP="00DD1B1C">
      <w:pPr>
        <w:spacing w:after="0" w:line="240" w:lineRule="auto"/>
        <w:jc w:val="both"/>
        <w:rPr>
          <w:rFonts w:ascii="Times New Roman" w:eastAsia="Times New Roman" w:hAnsi="Times New Roman" w:cs="Times New Roman"/>
          <w:bCs/>
          <w:sz w:val="24"/>
          <w:szCs w:val="24"/>
          <w:lang w:eastAsia="hr-HR"/>
        </w:rPr>
      </w:pPr>
      <w:r w:rsidRPr="00C41483">
        <w:rPr>
          <w:rFonts w:ascii="Times New Roman" w:eastAsia="Times New Roman" w:hAnsi="Times New Roman" w:cs="Times New Roman"/>
          <w:bCs/>
          <w:sz w:val="24"/>
          <w:szCs w:val="24"/>
          <w:lang w:eastAsia="hr-HR"/>
        </w:rPr>
        <w:lastRenderedPageBreak/>
        <w:t>(</w:t>
      </w:r>
      <w:r w:rsidR="000F3ADF" w:rsidRPr="00C41483">
        <w:rPr>
          <w:rFonts w:ascii="Times New Roman" w:eastAsia="Times New Roman" w:hAnsi="Times New Roman" w:cs="Times New Roman"/>
          <w:bCs/>
          <w:sz w:val="24"/>
          <w:szCs w:val="24"/>
          <w:lang w:eastAsia="hr-HR"/>
        </w:rPr>
        <w:t>101</w:t>
      </w:r>
      <w:r w:rsidRPr="00C41483">
        <w:rPr>
          <w:rFonts w:ascii="Times New Roman" w:eastAsia="Times New Roman" w:hAnsi="Times New Roman" w:cs="Times New Roman"/>
          <w:bCs/>
          <w:sz w:val="24"/>
          <w:szCs w:val="24"/>
          <w:lang w:eastAsia="hr-HR"/>
        </w:rPr>
        <w:t xml:space="preserve">) </w:t>
      </w:r>
      <w:r w:rsidR="00DD1B1C" w:rsidRPr="00C41483">
        <w:rPr>
          <w:rFonts w:ascii="Times New Roman" w:eastAsia="Times New Roman" w:hAnsi="Times New Roman" w:cs="Times New Roman"/>
          <w:bCs/>
          <w:sz w:val="24"/>
          <w:szCs w:val="24"/>
          <w:lang w:eastAsia="hr-HR"/>
        </w:rPr>
        <w:t>U Protokolu o postupanju u slučaju seksualnog nasilja (2018</w:t>
      </w:r>
      <w:r w:rsidR="00687656" w:rsidRPr="00C41483">
        <w:rPr>
          <w:rFonts w:ascii="Times New Roman" w:eastAsia="Times New Roman" w:hAnsi="Times New Roman" w:cs="Times New Roman"/>
          <w:bCs/>
          <w:sz w:val="24"/>
          <w:szCs w:val="24"/>
          <w:lang w:eastAsia="hr-HR"/>
        </w:rPr>
        <w:t>.</w:t>
      </w:r>
      <w:r w:rsidR="00DD1B1C" w:rsidRPr="00C41483">
        <w:rPr>
          <w:rFonts w:ascii="Times New Roman" w:eastAsia="Times New Roman" w:hAnsi="Times New Roman" w:cs="Times New Roman"/>
          <w:bCs/>
          <w:sz w:val="24"/>
          <w:szCs w:val="24"/>
          <w:lang w:eastAsia="hr-HR"/>
        </w:rPr>
        <w:t>), osobita je pažnja posvećena postupanju u slučaju kada je žrtva seksualnog nasilja osoba s invaliditetom, u vidu posebne podrške žrtvama s mentalnim, intelektualnim, osjetilnim ili tjelesnim oštećenjem.</w:t>
      </w:r>
    </w:p>
    <w:p w14:paraId="06C977CC" w14:textId="77777777" w:rsidR="00D0055C" w:rsidRPr="00C41483" w:rsidRDefault="00D0055C" w:rsidP="00DD1B1C">
      <w:pPr>
        <w:spacing w:after="0" w:line="240" w:lineRule="auto"/>
        <w:jc w:val="both"/>
        <w:rPr>
          <w:rFonts w:ascii="Times New Roman" w:eastAsia="Times New Roman" w:hAnsi="Times New Roman" w:cs="Times New Roman"/>
          <w:bCs/>
          <w:sz w:val="24"/>
          <w:szCs w:val="24"/>
          <w:lang w:eastAsia="hr-HR"/>
        </w:rPr>
      </w:pPr>
    </w:p>
    <w:p w14:paraId="739AC0FF" w14:textId="6B9C2895" w:rsidR="00DD1B1C" w:rsidRPr="00C41483" w:rsidRDefault="006910F9" w:rsidP="00DD1B1C">
      <w:pPr>
        <w:spacing w:after="0" w:line="240" w:lineRule="auto"/>
        <w:jc w:val="both"/>
        <w:rPr>
          <w:rFonts w:ascii="Times New Roman" w:eastAsia="Times New Roman" w:hAnsi="Times New Roman" w:cs="Times New Roman"/>
          <w:bCs/>
          <w:sz w:val="24"/>
          <w:szCs w:val="24"/>
          <w:lang w:eastAsia="hr-HR"/>
        </w:rPr>
      </w:pPr>
      <w:r w:rsidRPr="00C41483">
        <w:rPr>
          <w:rFonts w:ascii="Times New Roman" w:eastAsia="Times New Roman" w:hAnsi="Times New Roman" w:cs="Times New Roman"/>
          <w:bCs/>
          <w:sz w:val="24"/>
          <w:szCs w:val="24"/>
          <w:lang w:eastAsia="hr-HR"/>
        </w:rPr>
        <w:t>(</w:t>
      </w:r>
      <w:r w:rsidR="000F3ADF" w:rsidRPr="00C41483">
        <w:rPr>
          <w:rFonts w:ascii="Times New Roman" w:eastAsia="Times New Roman" w:hAnsi="Times New Roman" w:cs="Times New Roman"/>
          <w:bCs/>
          <w:sz w:val="24"/>
          <w:szCs w:val="24"/>
          <w:lang w:eastAsia="hr-HR"/>
        </w:rPr>
        <w:t>102</w:t>
      </w:r>
      <w:r w:rsidRPr="00C41483">
        <w:rPr>
          <w:rFonts w:ascii="Times New Roman" w:eastAsia="Times New Roman" w:hAnsi="Times New Roman" w:cs="Times New Roman"/>
          <w:bCs/>
          <w:sz w:val="24"/>
          <w:szCs w:val="24"/>
          <w:lang w:eastAsia="hr-HR"/>
        </w:rPr>
        <w:t xml:space="preserve">) </w:t>
      </w:r>
      <w:r w:rsidR="00DD1B1C" w:rsidRPr="00C41483">
        <w:rPr>
          <w:rFonts w:ascii="Times New Roman" w:eastAsia="Times New Roman" w:hAnsi="Times New Roman" w:cs="Times New Roman"/>
          <w:bCs/>
          <w:sz w:val="24"/>
          <w:szCs w:val="24"/>
          <w:lang w:eastAsia="hr-HR"/>
        </w:rPr>
        <w:t>Novi Protokol o postupanju u slučaju nasilja u obitelji (2019.) osigurava integrirani pristup uz međuresorno djelovanje svih dionika koji sudjeluju u zaštiti žrtava nasilja.</w:t>
      </w:r>
    </w:p>
    <w:p w14:paraId="5FCD0031" w14:textId="77777777" w:rsidR="00D0055C" w:rsidRPr="00C41483" w:rsidRDefault="00D0055C" w:rsidP="00DD1B1C">
      <w:pPr>
        <w:spacing w:after="0" w:line="240" w:lineRule="auto"/>
        <w:jc w:val="both"/>
        <w:rPr>
          <w:rFonts w:ascii="Times New Roman" w:eastAsia="Times New Roman" w:hAnsi="Times New Roman" w:cs="Times New Roman"/>
          <w:bCs/>
          <w:sz w:val="24"/>
          <w:szCs w:val="24"/>
          <w:lang w:eastAsia="hr-HR"/>
        </w:rPr>
      </w:pPr>
    </w:p>
    <w:p w14:paraId="46C04C04" w14:textId="67110247" w:rsidR="002746D0" w:rsidRPr="00C41483" w:rsidRDefault="006910F9" w:rsidP="00DD1B1C">
      <w:pPr>
        <w:spacing w:after="0" w:line="240" w:lineRule="auto"/>
        <w:jc w:val="both"/>
        <w:rPr>
          <w:rFonts w:ascii="Times New Roman" w:eastAsia="Times New Roman" w:hAnsi="Times New Roman" w:cs="Times New Roman"/>
          <w:bCs/>
          <w:sz w:val="24"/>
          <w:szCs w:val="24"/>
          <w:lang w:eastAsia="hr-HR"/>
        </w:rPr>
      </w:pPr>
      <w:r w:rsidRPr="00C41483">
        <w:rPr>
          <w:rFonts w:ascii="Times New Roman" w:eastAsia="Times New Roman" w:hAnsi="Times New Roman" w:cs="Times New Roman"/>
          <w:bCs/>
          <w:sz w:val="24"/>
          <w:szCs w:val="24"/>
          <w:lang w:eastAsia="hr-HR"/>
        </w:rPr>
        <w:t>(1</w:t>
      </w:r>
      <w:r w:rsidR="000375CF" w:rsidRPr="00C41483">
        <w:rPr>
          <w:rFonts w:ascii="Times New Roman" w:eastAsia="Times New Roman" w:hAnsi="Times New Roman" w:cs="Times New Roman"/>
          <w:bCs/>
          <w:sz w:val="24"/>
          <w:szCs w:val="24"/>
          <w:lang w:eastAsia="hr-HR"/>
        </w:rPr>
        <w:t>0</w:t>
      </w:r>
      <w:r w:rsidR="00E8616D" w:rsidRPr="00C41483">
        <w:rPr>
          <w:rFonts w:ascii="Times New Roman" w:eastAsia="Times New Roman" w:hAnsi="Times New Roman" w:cs="Times New Roman"/>
          <w:bCs/>
          <w:sz w:val="24"/>
          <w:szCs w:val="24"/>
          <w:lang w:eastAsia="hr-HR"/>
        </w:rPr>
        <w:t>3</w:t>
      </w:r>
      <w:r w:rsidRPr="00C41483">
        <w:rPr>
          <w:rFonts w:ascii="Times New Roman" w:eastAsia="Times New Roman" w:hAnsi="Times New Roman" w:cs="Times New Roman"/>
          <w:bCs/>
          <w:sz w:val="24"/>
          <w:szCs w:val="24"/>
          <w:lang w:eastAsia="hr-HR"/>
        </w:rPr>
        <w:t xml:space="preserve">) </w:t>
      </w:r>
      <w:r w:rsidR="002746D0" w:rsidRPr="00C41483">
        <w:rPr>
          <w:rFonts w:ascii="Times New Roman" w:eastAsia="Times New Roman" w:hAnsi="Times New Roman" w:cs="Times New Roman"/>
          <w:bCs/>
          <w:sz w:val="24"/>
          <w:szCs w:val="24"/>
          <w:lang w:eastAsia="hr-HR"/>
        </w:rPr>
        <w:t>Izvješća o provedbi Nacionalne strategije zaštite od nasilja u obitelji, za razdoblje od 2017. do 2022. godine javno su objavljena</w:t>
      </w:r>
      <w:r w:rsidR="008B5EE0" w:rsidRPr="00C41483">
        <w:rPr>
          <w:rFonts w:ascii="Times New Roman" w:eastAsia="Times New Roman" w:hAnsi="Times New Roman" w:cs="Times New Roman"/>
          <w:bCs/>
          <w:sz w:val="24"/>
          <w:szCs w:val="24"/>
          <w:lang w:eastAsia="hr-HR"/>
        </w:rPr>
        <w:t xml:space="preserve"> na stranicama ministarstva nadležnog za socijalnu skrb.</w:t>
      </w:r>
    </w:p>
    <w:p w14:paraId="420398A2" w14:textId="77777777" w:rsidR="00D0055C" w:rsidRPr="00C41483" w:rsidRDefault="00D0055C" w:rsidP="00DD1B1C">
      <w:pPr>
        <w:spacing w:after="0" w:line="240" w:lineRule="auto"/>
        <w:jc w:val="both"/>
        <w:rPr>
          <w:rFonts w:ascii="Times New Roman" w:eastAsia="Times New Roman" w:hAnsi="Times New Roman" w:cs="Times New Roman"/>
          <w:bCs/>
          <w:sz w:val="24"/>
          <w:szCs w:val="24"/>
          <w:lang w:eastAsia="hr-HR"/>
        </w:rPr>
      </w:pPr>
    </w:p>
    <w:p w14:paraId="19D69C6E" w14:textId="69634443" w:rsidR="009B2C21" w:rsidRPr="00C41483" w:rsidRDefault="006910F9" w:rsidP="00DD1B1C">
      <w:pPr>
        <w:spacing w:after="0" w:line="240" w:lineRule="auto"/>
        <w:jc w:val="both"/>
        <w:rPr>
          <w:rFonts w:ascii="Times New Roman" w:eastAsia="Times New Roman" w:hAnsi="Times New Roman" w:cs="Times New Roman"/>
          <w:bCs/>
          <w:sz w:val="24"/>
          <w:szCs w:val="24"/>
          <w:lang w:eastAsia="hr-HR"/>
        </w:rPr>
      </w:pPr>
      <w:r w:rsidRPr="00C41483">
        <w:rPr>
          <w:rFonts w:ascii="Times New Roman" w:eastAsia="Times New Roman" w:hAnsi="Times New Roman" w:cs="Times New Roman"/>
          <w:bCs/>
          <w:sz w:val="24"/>
          <w:szCs w:val="24"/>
          <w:lang w:eastAsia="hr-HR"/>
        </w:rPr>
        <w:t>(1</w:t>
      </w:r>
      <w:r w:rsidR="005D1F13" w:rsidRPr="00C41483">
        <w:rPr>
          <w:rFonts w:ascii="Times New Roman" w:eastAsia="Times New Roman" w:hAnsi="Times New Roman" w:cs="Times New Roman"/>
          <w:bCs/>
          <w:sz w:val="24"/>
          <w:szCs w:val="24"/>
          <w:lang w:eastAsia="hr-HR"/>
        </w:rPr>
        <w:t>0</w:t>
      </w:r>
      <w:r w:rsidR="00E8616D" w:rsidRPr="00C41483">
        <w:rPr>
          <w:rFonts w:ascii="Times New Roman" w:eastAsia="Times New Roman" w:hAnsi="Times New Roman" w:cs="Times New Roman"/>
          <w:bCs/>
          <w:sz w:val="24"/>
          <w:szCs w:val="24"/>
          <w:lang w:eastAsia="hr-HR"/>
        </w:rPr>
        <w:t>4</w:t>
      </w:r>
      <w:r w:rsidRPr="00C41483">
        <w:rPr>
          <w:rFonts w:ascii="Times New Roman" w:eastAsia="Times New Roman" w:hAnsi="Times New Roman" w:cs="Times New Roman"/>
          <w:bCs/>
          <w:sz w:val="24"/>
          <w:szCs w:val="24"/>
          <w:lang w:eastAsia="hr-HR"/>
        </w:rPr>
        <w:t xml:space="preserve">) </w:t>
      </w:r>
      <w:r w:rsidR="009B2C21" w:rsidRPr="00C41483">
        <w:rPr>
          <w:rFonts w:ascii="Times New Roman" w:eastAsia="Times New Roman" w:hAnsi="Times New Roman" w:cs="Times New Roman"/>
          <w:bCs/>
          <w:sz w:val="24"/>
          <w:szCs w:val="24"/>
          <w:lang w:eastAsia="hr-HR"/>
        </w:rPr>
        <w:t xml:space="preserve">Ured za ravnopravnost spolova je 2015. godine financirao tiskanje hrvatskog izdanja brošure „Što učiniti ako te netko povrijedi ili ti učini nešto loše“ namijenjena prevenciji i suzbijanju nasilja nad osobama s invaliditetom. </w:t>
      </w:r>
    </w:p>
    <w:p w14:paraId="2E6A435F" w14:textId="3DA75B38" w:rsidR="00DD1B1C" w:rsidRPr="00C41483" w:rsidRDefault="00DD1B1C" w:rsidP="006B5133">
      <w:pPr>
        <w:spacing w:after="0" w:line="240" w:lineRule="auto"/>
        <w:jc w:val="both"/>
        <w:rPr>
          <w:rFonts w:ascii="Times New Roman" w:eastAsia="Times New Roman" w:hAnsi="Times New Roman" w:cs="Times New Roman"/>
          <w:bCs/>
          <w:i/>
          <w:iCs/>
          <w:sz w:val="24"/>
          <w:szCs w:val="24"/>
          <w:lang w:eastAsia="hr-HR"/>
        </w:rPr>
      </w:pPr>
    </w:p>
    <w:p w14:paraId="02A9B336" w14:textId="44EF5CC0" w:rsidR="00813E1C" w:rsidRPr="00C41483" w:rsidRDefault="000807E9" w:rsidP="006B5133">
      <w:pPr>
        <w:spacing w:after="0" w:line="240" w:lineRule="auto"/>
        <w:jc w:val="both"/>
        <w:rPr>
          <w:rFonts w:ascii="Times New Roman" w:eastAsia="Times New Roman" w:hAnsi="Times New Roman" w:cs="Times New Roman"/>
          <w:bCs/>
          <w:i/>
          <w:iCs/>
          <w:sz w:val="24"/>
          <w:szCs w:val="24"/>
          <w:lang w:eastAsia="hr-HR"/>
        </w:rPr>
      </w:pPr>
      <w:bookmarkStart w:id="80" w:name="_Hlk83814619"/>
      <w:r w:rsidRPr="00C41483">
        <w:rPr>
          <w:rFonts w:ascii="Times New Roman" w:eastAsia="Times New Roman" w:hAnsi="Times New Roman" w:cs="Times New Roman"/>
          <w:bCs/>
          <w:i/>
          <w:iCs/>
          <w:sz w:val="24"/>
          <w:szCs w:val="24"/>
          <w:lang w:eastAsia="hr-HR"/>
        </w:rPr>
        <w:t>Pitanje 17</w:t>
      </w:r>
      <w:r w:rsidR="00813E1C" w:rsidRPr="00C41483">
        <w:rPr>
          <w:rFonts w:ascii="Times New Roman" w:eastAsia="Times New Roman" w:hAnsi="Times New Roman" w:cs="Times New Roman"/>
          <w:bCs/>
          <w:i/>
          <w:iCs/>
          <w:sz w:val="24"/>
          <w:szCs w:val="24"/>
          <w:lang w:eastAsia="hr-HR"/>
        </w:rPr>
        <w:t>c)</w:t>
      </w:r>
      <w:bookmarkEnd w:id="80"/>
    </w:p>
    <w:p w14:paraId="31956CEB" w14:textId="6591CFAE" w:rsidR="0094394A" w:rsidRPr="00C41483" w:rsidRDefault="0094394A" w:rsidP="006B5133">
      <w:pPr>
        <w:spacing w:after="0" w:line="240" w:lineRule="auto"/>
        <w:jc w:val="both"/>
        <w:rPr>
          <w:rFonts w:ascii="Times New Roman" w:eastAsia="Times New Roman" w:hAnsi="Times New Roman" w:cs="Times New Roman"/>
          <w:bCs/>
          <w:i/>
          <w:iCs/>
          <w:sz w:val="24"/>
          <w:szCs w:val="24"/>
          <w:lang w:eastAsia="hr-HR"/>
        </w:rPr>
      </w:pPr>
    </w:p>
    <w:p w14:paraId="19C64B25" w14:textId="46ADA14A" w:rsidR="00847112" w:rsidRPr="00C41483" w:rsidRDefault="006910F9" w:rsidP="00847112">
      <w:pPr>
        <w:spacing w:after="0" w:line="240" w:lineRule="auto"/>
        <w:jc w:val="both"/>
        <w:rPr>
          <w:rFonts w:ascii="Times New Roman" w:eastAsia="Times New Roman" w:hAnsi="Times New Roman" w:cs="Times New Roman"/>
          <w:bCs/>
          <w:sz w:val="24"/>
          <w:szCs w:val="24"/>
          <w:lang w:eastAsia="hr-HR"/>
        </w:rPr>
      </w:pPr>
      <w:r w:rsidRPr="00C41483">
        <w:rPr>
          <w:rFonts w:ascii="Times New Roman" w:eastAsia="Times New Roman" w:hAnsi="Times New Roman" w:cs="Times New Roman"/>
          <w:bCs/>
          <w:sz w:val="24"/>
          <w:szCs w:val="24"/>
          <w:lang w:eastAsia="hr-HR"/>
        </w:rPr>
        <w:t>(1</w:t>
      </w:r>
      <w:r w:rsidR="005D1F13" w:rsidRPr="00C41483">
        <w:rPr>
          <w:rFonts w:ascii="Times New Roman" w:eastAsia="Times New Roman" w:hAnsi="Times New Roman" w:cs="Times New Roman"/>
          <w:bCs/>
          <w:sz w:val="24"/>
          <w:szCs w:val="24"/>
          <w:lang w:eastAsia="hr-HR"/>
        </w:rPr>
        <w:t>0</w:t>
      </w:r>
      <w:r w:rsidR="00E8616D" w:rsidRPr="00C41483">
        <w:rPr>
          <w:rFonts w:ascii="Times New Roman" w:eastAsia="Times New Roman" w:hAnsi="Times New Roman" w:cs="Times New Roman"/>
          <w:bCs/>
          <w:sz w:val="24"/>
          <w:szCs w:val="24"/>
          <w:lang w:eastAsia="hr-HR"/>
        </w:rPr>
        <w:t>5</w:t>
      </w:r>
      <w:r w:rsidRPr="00C41483">
        <w:rPr>
          <w:rFonts w:ascii="Times New Roman" w:eastAsia="Times New Roman" w:hAnsi="Times New Roman" w:cs="Times New Roman"/>
          <w:bCs/>
          <w:sz w:val="24"/>
          <w:szCs w:val="24"/>
          <w:lang w:eastAsia="hr-HR"/>
        </w:rPr>
        <w:t xml:space="preserve">) </w:t>
      </w:r>
      <w:r w:rsidR="00847112" w:rsidRPr="00C41483">
        <w:rPr>
          <w:rFonts w:ascii="Times New Roman" w:eastAsia="Times New Roman" w:hAnsi="Times New Roman" w:cs="Times New Roman"/>
          <w:bCs/>
          <w:sz w:val="24"/>
          <w:szCs w:val="24"/>
          <w:lang w:eastAsia="hr-HR"/>
        </w:rPr>
        <w:t>Trenutno djeluje 25 skloništa za žrtve nasilja u obitelji. Više o skloništima u prilogu</w:t>
      </w:r>
      <w:r w:rsidR="007C1BCA" w:rsidRPr="00C41483">
        <w:rPr>
          <w:rFonts w:ascii="Times New Roman" w:eastAsia="Times New Roman" w:hAnsi="Times New Roman" w:cs="Times New Roman"/>
          <w:bCs/>
          <w:sz w:val="24"/>
          <w:szCs w:val="24"/>
          <w:lang w:eastAsia="hr-HR"/>
        </w:rPr>
        <w:t xml:space="preserve"> 25</w:t>
      </w:r>
      <w:r w:rsidR="001A2F17">
        <w:rPr>
          <w:rFonts w:ascii="Times New Roman" w:eastAsia="Times New Roman" w:hAnsi="Times New Roman" w:cs="Times New Roman"/>
          <w:bCs/>
          <w:sz w:val="24"/>
          <w:szCs w:val="24"/>
          <w:lang w:eastAsia="hr-HR"/>
        </w:rPr>
        <w:t>.</w:t>
      </w:r>
    </w:p>
    <w:p w14:paraId="0AE96087" w14:textId="544874CA" w:rsidR="008051D6" w:rsidRPr="00C41483" w:rsidRDefault="008051D6" w:rsidP="00847112">
      <w:pPr>
        <w:spacing w:after="0" w:line="240" w:lineRule="auto"/>
        <w:jc w:val="both"/>
        <w:rPr>
          <w:rFonts w:ascii="Times New Roman" w:eastAsia="Times New Roman" w:hAnsi="Times New Roman" w:cs="Times New Roman"/>
          <w:bCs/>
          <w:sz w:val="24"/>
          <w:szCs w:val="24"/>
          <w:lang w:eastAsia="hr-HR"/>
        </w:rPr>
      </w:pPr>
    </w:p>
    <w:p w14:paraId="7AD3D6C4" w14:textId="1DD702B4" w:rsidR="00D542B4" w:rsidRPr="00C41483" w:rsidRDefault="00D542B4" w:rsidP="006B5133">
      <w:pPr>
        <w:pStyle w:val="Naslov1"/>
        <w:spacing w:before="0" w:line="240" w:lineRule="auto"/>
        <w:rPr>
          <w:rFonts w:ascii="Times New Roman" w:eastAsia="Times New Roman" w:hAnsi="Times New Roman" w:cs="Times New Roman"/>
          <w:b/>
          <w:bCs/>
          <w:color w:val="auto"/>
          <w:sz w:val="24"/>
          <w:szCs w:val="24"/>
          <w:lang w:eastAsia="hr-HR"/>
        </w:rPr>
      </w:pPr>
      <w:bookmarkStart w:id="81" w:name="_Toc76630958"/>
      <w:bookmarkStart w:id="82" w:name="_Toc88031198"/>
      <w:r w:rsidRPr="00C41483">
        <w:rPr>
          <w:rFonts w:ascii="Times New Roman" w:eastAsia="Times New Roman" w:hAnsi="Times New Roman" w:cs="Times New Roman"/>
          <w:b/>
          <w:bCs/>
          <w:color w:val="auto"/>
          <w:sz w:val="24"/>
          <w:szCs w:val="24"/>
          <w:lang w:eastAsia="hr-HR"/>
        </w:rPr>
        <w:t>Zaštita osobnog integriteta osobe (čl. 17.)</w:t>
      </w:r>
      <w:bookmarkEnd w:id="81"/>
      <w:bookmarkEnd w:id="82"/>
    </w:p>
    <w:p w14:paraId="5E556EA8" w14:textId="77777777" w:rsidR="000668E0" w:rsidRPr="00C41483" w:rsidRDefault="000668E0" w:rsidP="006B5133">
      <w:pPr>
        <w:spacing w:after="0" w:line="240" w:lineRule="auto"/>
        <w:jc w:val="both"/>
        <w:rPr>
          <w:rFonts w:ascii="Times New Roman" w:eastAsia="Times New Roman" w:hAnsi="Times New Roman" w:cs="Times New Roman"/>
          <w:bCs/>
          <w:i/>
          <w:iCs/>
          <w:sz w:val="24"/>
          <w:szCs w:val="24"/>
          <w:lang w:eastAsia="hr-HR"/>
        </w:rPr>
      </w:pPr>
    </w:p>
    <w:p w14:paraId="4D3D3770" w14:textId="5807F241" w:rsidR="00EC528D" w:rsidRPr="00C41483" w:rsidRDefault="000807E9" w:rsidP="006B5133">
      <w:pPr>
        <w:spacing w:after="0" w:line="240" w:lineRule="auto"/>
        <w:jc w:val="both"/>
        <w:rPr>
          <w:rFonts w:ascii="Times New Roman" w:eastAsia="Times New Roman" w:hAnsi="Times New Roman" w:cs="Times New Roman"/>
          <w:bCs/>
          <w:i/>
          <w:iCs/>
          <w:sz w:val="24"/>
          <w:szCs w:val="24"/>
          <w:lang w:eastAsia="hr-HR"/>
        </w:rPr>
      </w:pPr>
      <w:bookmarkStart w:id="83" w:name="_Hlk83814831"/>
      <w:r w:rsidRPr="00C41483">
        <w:rPr>
          <w:rFonts w:ascii="Times New Roman" w:eastAsia="Times New Roman" w:hAnsi="Times New Roman" w:cs="Times New Roman"/>
          <w:bCs/>
          <w:i/>
          <w:iCs/>
          <w:sz w:val="24"/>
          <w:szCs w:val="24"/>
          <w:lang w:eastAsia="hr-HR"/>
        </w:rPr>
        <w:t xml:space="preserve">Pitanje </w:t>
      </w:r>
      <w:r w:rsidR="00DE205C" w:rsidRPr="00C41483">
        <w:rPr>
          <w:rFonts w:ascii="Times New Roman" w:eastAsia="Times New Roman" w:hAnsi="Times New Roman" w:cs="Times New Roman"/>
          <w:bCs/>
          <w:i/>
          <w:iCs/>
          <w:sz w:val="24"/>
          <w:szCs w:val="24"/>
          <w:lang w:eastAsia="hr-HR"/>
        </w:rPr>
        <w:t>18</w:t>
      </w:r>
      <w:r w:rsidRPr="00C41483">
        <w:rPr>
          <w:rFonts w:ascii="Times New Roman" w:eastAsia="Times New Roman" w:hAnsi="Times New Roman" w:cs="Times New Roman"/>
          <w:bCs/>
          <w:i/>
          <w:iCs/>
          <w:sz w:val="24"/>
          <w:szCs w:val="24"/>
          <w:lang w:eastAsia="hr-HR"/>
        </w:rPr>
        <w:t>a), b) i c)</w:t>
      </w:r>
      <w:bookmarkStart w:id="84" w:name="_Hlk83814820"/>
      <w:bookmarkEnd w:id="83"/>
    </w:p>
    <w:bookmarkEnd w:id="84"/>
    <w:p w14:paraId="38D45DC9" w14:textId="78C16648" w:rsidR="003E2C7F" w:rsidRPr="00C41483" w:rsidRDefault="003E2C7F" w:rsidP="006B5133">
      <w:pPr>
        <w:spacing w:after="0" w:line="240" w:lineRule="auto"/>
        <w:jc w:val="both"/>
      </w:pPr>
    </w:p>
    <w:p w14:paraId="14EFE7D7" w14:textId="03E644F2" w:rsidR="001D480C" w:rsidRPr="00C41483" w:rsidRDefault="006910F9" w:rsidP="006B5133">
      <w:pPr>
        <w:spacing w:after="0" w:line="240" w:lineRule="auto"/>
        <w:jc w:val="both"/>
        <w:rPr>
          <w:rFonts w:ascii="Times New Roman" w:hAnsi="Times New Roman" w:cs="Times New Roman"/>
          <w:sz w:val="24"/>
          <w:szCs w:val="24"/>
        </w:rPr>
      </w:pPr>
      <w:r w:rsidRPr="00C41483">
        <w:rPr>
          <w:rFonts w:ascii="Times New Roman" w:hAnsi="Times New Roman" w:cs="Times New Roman"/>
          <w:sz w:val="24"/>
          <w:szCs w:val="24"/>
        </w:rPr>
        <w:t>(10</w:t>
      </w:r>
      <w:r w:rsidR="00E8616D" w:rsidRPr="00C41483">
        <w:rPr>
          <w:rFonts w:ascii="Times New Roman" w:hAnsi="Times New Roman" w:cs="Times New Roman"/>
          <w:sz w:val="24"/>
          <w:szCs w:val="24"/>
        </w:rPr>
        <w:t>6</w:t>
      </w:r>
      <w:r w:rsidRPr="00C41483">
        <w:rPr>
          <w:rFonts w:ascii="Times New Roman" w:hAnsi="Times New Roman" w:cs="Times New Roman"/>
          <w:sz w:val="24"/>
          <w:szCs w:val="24"/>
        </w:rPr>
        <w:t xml:space="preserve">) </w:t>
      </w:r>
      <w:r w:rsidR="00C12D24" w:rsidRPr="00C41483">
        <w:rPr>
          <w:rFonts w:ascii="Times New Roman" w:hAnsi="Times New Roman" w:cs="Times New Roman"/>
          <w:sz w:val="24"/>
          <w:szCs w:val="24"/>
        </w:rPr>
        <w:t>Sterilizacija osobe, koja je u tom dijelu lišena poslovne sposobnosti, uređena je Obiteljskim zakonom te samo sud može u izvanparničnom postupku na prijedlog štićenika donijeti rješenje o sterilizaciji. Rješenje suda nije potrebno ako je štićenik u vrijeme dok je bio poslovno sposoban u obliku javnobilježničke isprave odlučio o istom (anticipirana naredba).</w:t>
      </w:r>
    </w:p>
    <w:p w14:paraId="6FA8EE96" w14:textId="77777777" w:rsidR="000375CF" w:rsidRPr="00C41483" w:rsidRDefault="000375CF" w:rsidP="006B5133">
      <w:pPr>
        <w:spacing w:after="0" w:line="240" w:lineRule="auto"/>
        <w:jc w:val="both"/>
        <w:rPr>
          <w:rFonts w:ascii="Times New Roman" w:hAnsi="Times New Roman" w:cs="Times New Roman"/>
          <w:sz w:val="24"/>
          <w:szCs w:val="24"/>
        </w:rPr>
      </w:pPr>
    </w:p>
    <w:p w14:paraId="4AB0F4A1" w14:textId="48D689D4" w:rsidR="00950F8C" w:rsidRPr="00C41483" w:rsidRDefault="006910F9" w:rsidP="006B5133">
      <w:pPr>
        <w:spacing w:after="0" w:line="240" w:lineRule="auto"/>
        <w:jc w:val="both"/>
        <w:rPr>
          <w:rFonts w:ascii="Open Sans" w:hAnsi="Open Sans" w:cs="Open Sans"/>
          <w:sz w:val="21"/>
          <w:szCs w:val="21"/>
        </w:rPr>
      </w:pPr>
      <w:r w:rsidRPr="00C41483">
        <w:rPr>
          <w:rFonts w:ascii="Times New Roman" w:hAnsi="Times New Roman" w:cs="Times New Roman"/>
          <w:sz w:val="24"/>
          <w:szCs w:val="24"/>
        </w:rPr>
        <w:t>(1</w:t>
      </w:r>
      <w:r w:rsidR="005D1F13" w:rsidRPr="00C41483">
        <w:rPr>
          <w:rFonts w:ascii="Times New Roman" w:hAnsi="Times New Roman" w:cs="Times New Roman"/>
          <w:sz w:val="24"/>
          <w:szCs w:val="24"/>
        </w:rPr>
        <w:t>0</w:t>
      </w:r>
      <w:r w:rsidR="00E8616D" w:rsidRPr="00C41483">
        <w:rPr>
          <w:rFonts w:ascii="Times New Roman" w:hAnsi="Times New Roman" w:cs="Times New Roman"/>
          <w:sz w:val="24"/>
          <w:szCs w:val="24"/>
        </w:rPr>
        <w:t>7</w:t>
      </w:r>
      <w:r w:rsidRPr="00C41483">
        <w:rPr>
          <w:rFonts w:ascii="Times New Roman" w:hAnsi="Times New Roman" w:cs="Times New Roman"/>
          <w:sz w:val="24"/>
          <w:szCs w:val="24"/>
        </w:rPr>
        <w:t xml:space="preserve">) </w:t>
      </w:r>
      <w:r w:rsidR="00D54A5F" w:rsidRPr="00C41483" w:rsidDel="006910F9">
        <w:rPr>
          <w:rFonts w:ascii="Times New Roman" w:hAnsi="Times New Roman" w:cs="Times New Roman"/>
          <w:sz w:val="24"/>
          <w:szCs w:val="24"/>
        </w:rPr>
        <w:t>Trenutno važeći Obiteljski zakon (2015.) usklađen je s Direktivama Europskog parlamenta i Vijeća, osigurana je implementacija stavova i uputa Europskog suda za ljudska prava, normativne pretpostavke za ispunjavanje međunarodno preuzetih dokumenata te primjena međunarodnih pravnih standarda.</w:t>
      </w:r>
      <w:r w:rsidR="005D1F13" w:rsidRPr="00C41483">
        <w:rPr>
          <w:rFonts w:ascii="Times New Roman" w:hAnsi="Times New Roman" w:cs="Times New Roman"/>
          <w:sz w:val="24"/>
          <w:szCs w:val="24"/>
        </w:rPr>
        <w:t xml:space="preserve"> </w:t>
      </w:r>
      <w:r w:rsidR="00C12D24" w:rsidRPr="00C41483">
        <w:rPr>
          <w:rFonts w:ascii="Times New Roman" w:hAnsi="Times New Roman" w:cs="Times New Roman"/>
          <w:sz w:val="24"/>
          <w:szCs w:val="24"/>
        </w:rPr>
        <w:t xml:space="preserve">Pravo na slobodno danu suglasnost osobe s mentalnim oštećenjem za primjenu određenoga medicinskog postupka </w:t>
      </w:r>
      <w:r w:rsidR="001C53E0" w:rsidRPr="00C41483">
        <w:rPr>
          <w:rFonts w:ascii="Times New Roman" w:hAnsi="Times New Roman" w:cs="Times New Roman"/>
          <w:sz w:val="24"/>
          <w:szCs w:val="24"/>
        </w:rPr>
        <w:t>p</w:t>
      </w:r>
      <w:r w:rsidR="00C12D24" w:rsidRPr="00C41483">
        <w:rPr>
          <w:rFonts w:ascii="Times New Roman" w:hAnsi="Times New Roman" w:cs="Times New Roman"/>
          <w:sz w:val="24"/>
          <w:szCs w:val="24"/>
        </w:rPr>
        <w:t>ropisan</w:t>
      </w:r>
      <w:r w:rsidR="001C53E0" w:rsidRPr="00C41483">
        <w:rPr>
          <w:rFonts w:ascii="Times New Roman" w:hAnsi="Times New Roman" w:cs="Times New Roman"/>
          <w:sz w:val="24"/>
          <w:szCs w:val="24"/>
        </w:rPr>
        <w:t>a</w:t>
      </w:r>
      <w:r w:rsidR="00C12D24" w:rsidRPr="00C41483">
        <w:rPr>
          <w:rFonts w:ascii="Times New Roman" w:hAnsi="Times New Roman" w:cs="Times New Roman"/>
          <w:sz w:val="24"/>
          <w:szCs w:val="24"/>
        </w:rPr>
        <w:t xml:space="preserve"> je </w:t>
      </w:r>
      <w:r w:rsidR="00222BD9" w:rsidRPr="00C41483">
        <w:rPr>
          <w:rFonts w:ascii="Times New Roman" w:hAnsi="Times New Roman" w:cs="Times New Roman"/>
          <w:sz w:val="24"/>
          <w:szCs w:val="24"/>
          <w:lang w:eastAsia="hr-HR"/>
        </w:rPr>
        <w:t>ZZODS</w:t>
      </w:r>
      <w:r w:rsidR="00222BD9" w:rsidRPr="00C41483">
        <w:rPr>
          <w:rFonts w:ascii="Times New Roman" w:hAnsi="Times New Roman" w:cs="Times New Roman"/>
          <w:sz w:val="24"/>
          <w:szCs w:val="24"/>
        </w:rPr>
        <w:t xml:space="preserve"> </w:t>
      </w:r>
      <w:r w:rsidR="00C12D24" w:rsidRPr="00C41483">
        <w:rPr>
          <w:rFonts w:ascii="Times New Roman" w:hAnsi="Times New Roman" w:cs="Times New Roman"/>
          <w:sz w:val="24"/>
          <w:szCs w:val="24"/>
        </w:rPr>
        <w:t>o čemu je detaljnije izvješteno u odgovoru na pitanje 12b</w:t>
      </w:r>
      <w:r w:rsidR="007213AB" w:rsidRPr="00C41483">
        <w:rPr>
          <w:rFonts w:ascii="Times New Roman" w:hAnsi="Times New Roman" w:cs="Times New Roman"/>
          <w:sz w:val="24"/>
          <w:szCs w:val="24"/>
        </w:rPr>
        <w:t>)</w:t>
      </w:r>
      <w:r w:rsidR="00C12D24" w:rsidRPr="00C41483">
        <w:rPr>
          <w:rFonts w:ascii="Times New Roman" w:hAnsi="Times New Roman" w:cs="Times New Roman"/>
          <w:sz w:val="24"/>
          <w:szCs w:val="24"/>
        </w:rPr>
        <w:t>.</w:t>
      </w:r>
    </w:p>
    <w:p w14:paraId="339C8760" w14:textId="77777777" w:rsidR="00EC02FD" w:rsidRPr="00C41483" w:rsidRDefault="00EC02FD" w:rsidP="006B5133">
      <w:pPr>
        <w:spacing w:after="0" w:line="240" w:lineRule="auto"/>
        <w:jc w:val="both"/>
        <w:rPr>
          <w:rFonts w:ascii="Times New Roman" w:eastAsia="Times New Roman" w:hAnsi="Times New Roman" w:cs="Times New Roman"/>
          <w:bCs/>
          <w:i/>
          <w:iCs/>
          <w:sz w:val="24"/>
          <w:szCs w:val="24"/>
          <w:lang w:eastAsia="hr-HR"/>
        </w:rPr>
      </w:pPr>
    </w:p>
    <w:p w14:paraId="2BE31337" w14:textId="5B058235" w:rsidR="00D542B4" w:rsidRPr="00C41483" w:rsidRDefault="00D542B4" w:rsidP="006B5133">
      <w:pPr>
        <w:pStyle w:val="Naslov1"/>
        <w:spacing w:before="0" w:line="240" w:lineRule="auto"/>
        <w:rPr>
          <w:rFonts w:ascii="Times New Roman" w:eastAsia="Times New Roman" w:hAnsi="Times New Roman" w:cs="Times New Roman"/>
          <w:b/>
          <w:bCs/>
          <w:color w:val="auto"/>
          <w:sz w:val="24"/>
          <w:szCs w:val="24"/>
          <w:lang w:eastAsia="hr-HR"/>
        </w:rPr>
      </w:pPr>
      <w:bookmarkStart w:id="85" w:name="_Toc76630959"/>
      <w:bookmarkStart w:id="86" w:name="_Toc88031199"/>
      <w:r w:rsidRPr="00C41483">
        <w:rPr>
          <w:rFonts w:ascii="Times New Roman" w:eastAsia="Times New Roman" w:hAnsi="Times New Roman" w:cs="Times New Roman"/>
          <w:b/>
          <w:bCs/>
          <w:color w:val="auto"/>
          <w:sz w:val="24"/>
          <w:szCs w:val="24"/>
          <w:lang w:eastAsia="hr-HR"/>
        </w:rPr>
        <w:t>Neovisno življenje i uključenost u zajednicu (čl. 19.)</w:t>
      </w:r>
      <w:bookmarkEnd w:id="85"/>
      <w:bookmarkEnd w:id="86"/>
    </w:p>
    <w:p w14:paraId="42DBAE64" w14:textId="77777777" w:rsidR="000668E0" w:rsidRPr="00C41483" w:rsidRDefault="000668E0" w:rsidP="006B5133">
      <w:pPr>
        <w:spacing w:after="0" w:line="240" w:lineRule="auto"/>
        <w:jc w:val="both"/>
        <w:rPr>
          <w:rFonts w:ascii="Times New Roman" w:eastAsia="Times New Roman" w:hAnsi="Times New Roman" w:cs="Times New Roman"/>
          <w:bCs/>
          <w:i/>
          <w:iCs/>
          <w:sz w:val="24"/>
          <w:szCs w:val="24"/>
          <w:lang w:eastAsia="hr-HR"/>
        </w:rPr>
      </w:pPr>
      <w:bookmarkStart w:id="87" w:name="_Hlk83814862"/>
    </w:p>
    <w:p w14:paraId="534CCE49" w14:textId="0A5FAFFB" w:rsidR="00434B5C" w:rsidRPr="00C41483" w:rsidRDefault="000807E9" w:rsidP="006B5133">
      <w:pPr>
        <w:spacing w:after="0" w:line="240" w:lineRule="auto"/>
        <w:jc w:val="both"/>
        <w:rPr>
          <w:rFonts w:ascii="Times New Roman" w:eastAsia="Times New Roman" w:hAnsi="Times New Roman" w:cs="Times New Roman"/>
          <w:bCs/>
          <w:i/>
          <w:iCs/>
          <w:sz w:val="24"/>
          <w:szCs w:val="24"/>
          <w:lang w:eastAsia="hr-HR"/>
        </w:rPr>
      </w:pPr>
      <w:r w:rsidRPr="00C41483">
        <w:rPr>
          <w:rFonts w:ascii="Times New Roman" w:eastAsia="Times New Roman" w:hAnsi="Times New Roman" w:cs="Times New Roman"/>
          <w:bCs/>
          <w:i/>
          <w:iCs/>
          <w:sz w:val="24"/>
          <w:szCs w:val="24"/>
          <w:lang w:eastAsia="hr-HR"/>
        </w:rPr>
        <w:t xml:space="preserve">Pitanje </w:t>
      </w:r>
      <w:r w:rsidR="00434B5C" w:rsidRPr="00C41483">
        <w:rPr>
          <w:rFonts w:ascii="Times New Roman" w:eastAsia="Times New Roman" w:hAnsi="Times New Roman" w:cs="Times New Roman"/>
          <w:bCs/>
          <w:i/>
          <w:iCs/>
          <w:sz w:val="24"/>
          <w:szCs w:val="24"/>
          <w:lang w:eastAsia="hr-HR"/>
        </w:rPr>
        <w:t>19a)</w:t>
      </w:r>
    </w:p>
    <w:bookmarkEnd w:id="87"/>
    <w:p w14:paraId="37637733" w14:textId="732AF03D" w:rsidR="00EC5F1E" w:rsidRPr="00C41483" w:rsidRDefault="00EC5F1E" w:rsidP="006B5133">
      <w:pPr>
        <w:spacing w:after="0" w:line="240" w:lineRule="auto"/>
        <w:jc w:val="both"/>
        <w:rPr>
          <w:rFonts w:ascii="Times New Roman" w:eastAsia="Times New Roman" w:hAnsi="Times New Roman" w:cs="Times New Roman"/>
          <w:bCs/>
          <w:i/>
          <w:iCs/>
          <w:sz w:val="24"/>
          <w:szCs w:val="24"/>
          <w:lang w:eastAsia="hr-HR"/>
        </w:rPr>
      </w:pPr>
    </w:p>
    <w:p w14:paraId="0C6C3C80" w14:textId="6275E653" w:rsidR="00EC5F1E" w:rsidRPr="00C41483" w:rsidRDefault="006910F9" w:rsidP="006B5133">
      <w:pPr>
        <w:spacing w:after="0" w:line="240" w:lineRule="auto"/>
        <w:jc w:val="both"/>
        <w:rPr>
          <w:rFonts w:ascii="Times New Roman" w:hAnsi="Times New Roman" w:cs="Times New Roman"/>
          <w:sz w:val="24"/>
          <w:szCs w:val="24"/>
        </w:rPr>
      </w:pPr>
      <w:r w:rsidRPr="00C41483">
        <w:rPr>
          <w:rFonts w:ascii="Times New Roman" w:hAnsi="Times New Roman" w:cs="Times New Roman"/>
          <w:sz w:val="24"/>
          <w:szCs w:val="24"/>
        </w:rPr>
        <w:t>(1</w:t>
      </w:r>
      <w:r w:rsidR="005D1F13" w:rsidRPr="00C41483">
        <w:rPr>
          <w:rFonts w:ascii="Times New Roman" w:hAnsi="Times New Roman" w:cs="Times New Roman"/>
          <w:sz w:val="24"/>
          <w:szCs w:val="24"/>
        </w:rPr>
        <w:t>0</w:t>
      </w:r>
      <w:r w:rsidR="00E8616D" w:rsidRPr="00C41483">
        <w:rPr>
          <w:rFonts w:ascii="Times New Roman" w:hAnsi="Times New Roman" w:cs="Times New Roman"/>
          <w:sz w:val="24"/>
          <w:szCs w:val="24"/>
        </w:rPr>
        <w:t>8</w:t>
      </w:r>
      <w:r w:rsidRPr="00C41483">
        <w:rPr>
          <w:rFonts w:ascii="Times New Roman" w:hAnsi="Times New Roman" w:cs="Times New Roman"/>
          <w:sz w:val="24"/>
          <w:szCs w:val="24"/>
        </w:rPr>
        <w:t xml:space="preserve">) </w:t>
      </w:r>
      <w:r w:rsidR="00EC5F1E" w:rsidRPr="00C41483">
        <w:rPr>
          <w:rFonts w:ascii="Times New Roman" w:hAnsi="Times New Roman" w:cs="Times New Roman"/>
          <w:sz w:val="24"/>
          <w:szCs w:val="24"/>
        </w:rPr>
        <w:t xml:space="preserve">Projekti </w:t>
      </w:r>
      <w:r w:rsidR="00C12D24" w:rsidRPr="00C41483">
        <w:rPr>
          <w:rFonts w:ascii="Times New Roman" w:hAnsi="Times New Roman" w:cs="Times New Roman"/>
          <w:sz w:val="24"/>
          <w:szCs w:val="24"/>
        </w:rPr>
        <w:t xml:space="preserve">kroz koje se osigurava usluga </w:t>
      </w:r>
      <w:r w:rsidR="00EC5F1E" w:rsidRPr="00C41483">
        <w:rPr>
          <w:rFonts w:ascii="Times New Roman" w:hAnsi="Times New Roman" w:cs="Times New Roman"/>
          <w:sz w:val="24"/>
          <w:szCs w:val="24"/>
        </w:rPr>
        <w:t xml:space="preserve">osobne asistencije osobama s najtežom vrstom i stupnjem invaliditeta kontinuirano se financiraju, a od 2015. godine usluga se osigurava i za osobe s intelektualnim oštećenjem, </w:t>
      </w:r>
      <w:r w:rsidR="00C12D24" w:rsidRPr="00C41483">
        <w:rPr>
          <w:rFonts w:ascii="Times New Roman" w:hAnsi="Times New Roman" w:cs="Times New Roman"/>
          <w:sz w:val="24"/>
          <w:szCs w:val="24"/>
        </w:rPr>
        <w:t xml:space="preserve">mentalnim oštećenjem te </w:t>
      </w:r>
      <w:r w:rsidR="00EC5F1E" w:rsidRPr="00C41483">
        <w:rPr>
          <w:rFonts w:ascii="Times New Roman" w:hAnsi="Times New Roman" w:cs="Times New Roman"/>
          <w:sz w:val="24"/>
          <w:szCs w:val="24"/>
        </w:rPr>
        <w:t>osobama s poremećajem iz autističnog spektr</w:t>
      </w:r>
      <w:r w:rsidR="00C12D24" w:rsidRPr="00C41483">
        <w:rPr>
          <w:rFonts w:ascii="Times New Roman" w:hAnsi="Times New Roman" w:cs="Times New Roman"/>
          <w:sz w:val="24"/>
          <w:szCs w:val="24"/>
        </w:rPr>
        <w:t>a.</w:t>
      </w:r>
      <w:r w:rsidR="00EC5F1E" w:rsidRPr="00C41483">
        <w:rPr>
          <w:rFonts w:ascii="Times New Roman" w:hAnsi="Times New Roman" w:cs="Times New Roman"/>
          <w:sz w:val="24"/>
          <w:szCs w:val="24"/>
        </w:rPr>
        <w:t xml:space="preserve"> Usluga se osigurava sredstvima iz državnog proračuna i dijela prihoda od igara na sreću, te iz sredstva </w:t>
      </w:r>
      <w:r w:rsidR="009F6295" w:rsidRPr="00C41483">
        <w:rPr>
          <w:rFonts w:ascii="Times New Roman" w:hAnsi="Times New Roman" w:cs="Times New Roman"/>
          <w:sz w:val="24"/>
          <w:szCs w:val="24"/>
        </w:rPr>
        <w:t>ESF-a</w:t>
      </w:r>
      <w:r w:rsidR="00EC5F1E" w:rsidRPr="00C41483">
        <w:rPr>
          <w:rFonts w:ascii="Times New Roman" w:hAnsi="Times New Roman" w:cs="Times New Roman"/>
          <w:sz w:val="24"/>
          <w:szCs w:val="24"/>
        </w:rPr>
        <w:t>.</w:t>
      </w:r>
      <w:r w:rsidRPr="00C41483">
        <w:rPr>
          <w:rFonts w:ascii="Times New Roman" w:hAnsi="Times New Roman" w:cs="Times New Roman"/>
          <w:sz w:val="24"/>
          <w:szCs w:val="24"/>
        </w:rPr>
        <w:t xml:space="preserve"> Više u </w:t>
      </w:r>
      <w:r w:rsidR="004870E5" w:rsidRPr="00C41483">
        <w:rPr>
          <w:rFonts w:ascii="Times New Roman" w:hAnsi="Times New Roman" w:cs="Times New Roman"/>
          <w:sz w:val="24"/>
          <w:szCs w:val="24"/>
        </w:rPr>
        <w:t xml:space="preserve">prilogu </w:t>
      </w:r>
      <w:r w:rsidR="008051D6" w:rsidRPr="00C41483">
        <w:rPr>
          <w:rFonts w:ascii="Times New Roman" w:hAnsi="Times New Roman" w:cs="Times New Roman"/>
          <w:sz w:val="24"/>
          <w:szCs w:val="24"/>
        </w:rPr>
        <w:t>2</w:t>
      </w:r>
      <w:r w:rsidR="007C1BCA" w:rsidRPr="00C41483">
        <w:rPr>
          <w:rFonts w:ascii="Times New Roman" w:hAnsi="Times New Roman" w:cs="Times New Roman"/>
          <w:sz w:val="24"/>
          <w:szCs w:val="24"/>
        </w:rPr>
        <w:t>6</w:t>
      </w:r>
      <w:r w:rsidR="001A2F17">
        <w:rPr>
          <w:rFonts w:ascii="Times New Roman" w:hAnsi="Times New Roman" w:cs="Times New Roman"/>
          <w:sz w:val="24"/>
          <w:szCs w:val="24"/>
        </w:rPr>
        <w:t>.</w:t>
      </w:r>
    </w:p>
    <w:p w14:paraId="7836124D" w14:textId="2C7FC226" w:rsidR="008051D6" w:rsidRPr="00C41483" w:rsidRDefault="008051D6" w:rsidP="006B5133">
      <w:pPr>
        <w:spacing w:after="0" w:line="240" w:lineRule="auto"/>
        <w:jc w:val="both"/>
        <w:rPr>
          <w:rFonts w:ascii="Times New Roman" w:hAnsi="Times New Roman" w:cs="Times New Roman"/>
          <w:sz w:val="24"/>
          <w:szCs w:val="24"/>
        </w:rPr>
      </w:pPr>
    </w:p>
    <w:p w14:paraId="23141539" w14:textId="7476613F" w:rsidR="004870E5" w:rsidRPr="00C41483" w:rsidRDefault="006910F9" w:rsidP="006B5133">
      <w:pPr>
        <w:spacing w:after="0" w:line="240" w:lineRule="auto"/>
        <w:jc w:val="both"/>
        <w:rPr>
          <w:rFonts w:ascii="Times New Roman" w:hAnsi="Times New Roman" w:cs="Times New Roman"/>
          <w:sz w:val="24"/>
          <w:szCs w:val="24"/>
        </w:rPr>
      </w:pPr>
      <w:r w:rsidRPr="00C41483">
        <w:rPr>
          <w:rFonts w:ascii="Times New Roman" w:hAnsi="Times New Roman" w:cs="Times New Roman"/>
          <w:sz w:val="24"/>
          <w:szCs w:val="24"/>
        </w:rPr>
        <w:t>(1</w:t>
      </w:r>
      <w:r w:rsidR="005D1F13" w:rsidRPr="00C41483">
        <w:rPr>
          <w:rFonts w:ascii="Times New Roman" w:hAnsi="Times New Roman" w:cs="Times New Roman"/>
          <w:sz w:val="24"/>
          <w:szCs w:val="24"/>
        </w:rPr>
        <w:t>0</w:t>
      </w:r>
      <w:r w:rsidR="00E8616D" w:rsidRPr="00C41483">
        <w:rPr>
          <w:rFonts w:ascii="Times New Roman" w:hAnsi="Times New Roman" w:cs="Times New Roman"/>
          <w:sz w:val="24"/>
          <w:szCs w:val="24"/>
        </w:rPr>
        <w:t>9</w:t>
      </w:r>
      <w:r w:rsidRPr="00C41483">
        <w:rPr>
          <w:rFonts w:ascii="Times New Roman" w:hAnsi="Times New Roman" w:cs="Times New Roman"/>
          <w:sz w:val="24"/>
          <w:szCs w:val="24"/>
        </w:rPr>
        <w:t xml:space="preserve">) </w:t>
      </w:r>
      <w:r w:rsidR="007406E2" w:rsidRPr="00C41483">
        <w:rPr>
          <w:rFonts w:ascii="Times New Roman" w:hAnsi="Times New Roman" w:cs="Times New Roman"/>
          <w:sz w:val="24"/>
          <w:szCs w:val="24"/>
        </w:rPr>
        <w:t xml:space="preserve">Tijekom 2019. i 2020. godine provedena je „Evaluacija pružanja usluge osobne asistencije u Republici Hrvatskoj“ sa svrhom procjene relevantnosti, djelotvornosti, učinkovitosti i učinka pružanja usluge, a uz uslugu osobne asistencije, obuhvaćene su i usluga tumača/prevoditelja hrvatskog znakovnog jezika, te </w:t>
      </w:r>
      <w:proofErr w:type="spellStart"/>
      <w:r w:rsidR="007406E2" w:rsidRPr="00C41483">
        <w:rPr>
          <w:rFonts w:ascii="Times New Roman" w:hAnsi="Times New Roman" w:cs="Times New Roman"/>
          <w:sz w:val="24"/>
          <w:szCs w:val="24"/>
        </w:rPr>
        <w:t>videćeg</w:t>
      </w:r>
      <w:proofErr w:type="spellEnd"/>
      <w:r w:rsidR="007406E2" w:rsidRPr="00C41483">
        <w:rPr>
          <w:rFonts w:ascii="Times New Roman" w:hAnsi="Times New Roman" w:cs="Times New Roman"/>
          <w:sz w:val="24"/>
          <w:szCs w:val="24"/>
        </w:rPr>
        <w:t xml:space="preserve"> pratitelja koje se pružaju kroz projekte </w:t>
      </w:r>
      <w:r w:rsidR="008C714A" w:rsidRPr="00C41483">
        <w:rPr>
          <w:rFonts w:ascii="Times New Roman" w:hAnsi="Times New Roman" w:cs="Times New Roman"/>
          <w:sz w:val="24"/>
          <w:szCs w:val="24"/>
        </w:rPr>
        <w:t>UOSI</w:t>
      </w:r>
      <w:r w:rsidR="007406E2" w:rsidRPr="00C41483">
        <w:rPr>
          <w:rFonts w:ascii="Times New Roman" w:hAnsi="Times New Roman" w:cs="Times New Roman"/>
          <w:sz w:val="24"/>
          <w:szCs w:val="24"/>
        </w:rPr>
        <w:t xml:space="preserve"> i udruga koje djeluju u korist osoba s invaliditetom. Rezultati evaluacije koriste </w:t>
      </w:r>
      <w:r w:rsidR="007406E2" w:rsidRPr="00C41483">
        <w:rPr>
          <w:rFonts w:ascii="Times New Roman" w:hAnsi="Times New Roman" w:cs="Times New Roman"/>
          <w:sz w:val="24"/>
          <w:szCs w:val="24"/>
        </w:rPr>
        <w:lastRenderedPageBreak/>
        <w:t xml:space="preserve">se i kao podloga za izradu Zakona o osobnoj asistenciji. Cilj je standardiziranje usluge osobne asistencije, kao i usluge komunikacijskog posrednika i </w:t>
      </w:r>
      <w:proofErr w:type="spellStart"/>
      <w:r w:rsidR="007406E2" w:rsidRPr="00C41483">
        <w:rPr>
          <w:rFonts w:ascii="Times New Roman" w:hAnsi="Times New Roman" w:cs="Times New Roman"/>
          <w:sz w:val="24"/>
          <w:szCs w:val="24"/>
        </w:rPr>
        <w:t>videćeg</w:t>
      </w:r>
      <w:proofErr w:type="spellEnd"/>
      <w:r w:rsidR="007406E2" w:rsidRPr="00C41483">
        <w:rPr>
          <w:rFonts w:ascii="Times New Roman" w:hAnsi="Times New Roman" w:cs="Times New Roman"/>
          <w:sz w:val="24"/>
          <w:szCs w:val="24"/>
        </w:rPr>
        <w:t xml:space="preserve"> pratitelja. </w:t>
      </w:r>
    </w:p>
    <w:p w14:paraId="22C5EEBC" w14:textId="77777777" w:rsidR="007F47D7" w:rsidRPr="00C41483" w:rsidRDefault="007F47D7" w:rsidP="006B5133">
      <w:pPr>
        <w:spacing w:after="0" w:line="240" w:lineRule="auto"/>
        <w:jc w:val="both"/>
        <w:rPr>
          <w:rFonts w:ascii="Times New Roman" w:hAnsi="Times New Roman" w:cs="Times New Roman"/>
          <w:sz w:val="24"/>
          <w:szCs w:val="24"/>
        </w:rPr>
      </w:pPr>
    </w:p>
    <w:p w14:paraId="3D42E130" w14:textId="57B0E252" w:rsidR="004870E5" w:rsidRPr="00C41483" w:rsidRDefault="000807E9" w:rsidP="006B5133">
      <w:pPr>
        <w:spacing w:after="0" w:line="240" w:lineRule="auto"/>
        <w:jc w:val="both"/>
        <w:rPr>
          <w:rFonts w:ascii="Times New Roman" w:eastAsia="Times New Roman" w:hAnsi="Times New Roman" w:cs="Times New Roman"/>
          <w:bCs/>
          <w:i/>
          <w:iCs/>
          <w:sz w:val="24"/>
          <w:szCs w:val="24"/>
          <w:lang w:eastAsia="hr-HR"/>
        </w:rPr>
      </w:pPr>
      <w:bookmarkStart w:id="88" w:name="_Hlk83814870"/>
      <w:r w:rsidRPr="00C41483">
        <w:rPr>
          <w:rFonts w:ascii="Times New Roman" w:eastAsia="Times New Roman" w:hAnsi="Times New Roman" w:cs="Times New Roman"/>
          <w:bCs/>
          <w:i/>
          <w:iCs/>
          <w:sz w:val="24"/>
          <w:szCs w:val="24"/>
          <w:lang w:eastAsia="hr-HR"/>
        </w:rPr>
        <w:t>Pitanje 19</w:t>
      </w:r>
      <w:r w:rsidR="004870E5" w:rsidRPr="00C41483">
        <w:rPr>
          <w:rFonts w:ascii="Times New Roman" w:eastAsia="Times New Roman" w:hAnsi="Times New Roman" w:cs="Times New Roman"/>
          <w:bCs/>
          <w:i/>
          <w:iCs/>
          <w:sz w:val="24"/>
          <w:szCs w:val="24"/>
          <w:lang w:eastAsia="hr-HR"/>
        </w:rPr>
        <w:t xml:space="preserve">b) </w:t>
      </w:r>
    </w:p>
    <w:p w14:paraId="37E751B6" w14:textId="77777777" w:rsidR="000807E9" w:rsidRPr="00C41483" w:rsidRDefault="000807E9" w:rsidP="006B5133">
      <w:pPr>
        <w:spacing w:after="0" w:line="240" w:lineRule="auto"/>
        <w:jc w:val="both"/>
        <w:rPr>
          <w:rFonts w:ascii="Times New Roman" w:eastAsia="Times New Roman" w:hAnsi="Times New Roman" w:cs="Times New Roman"/>
          <w:bCs/>
          <w:i/>
          <w:iCs/>
          <w:sz w:val="24"/>
          <w:szCs w:val="24"/>
          <w:lang w:eastAsia="hr-HR"/>
        </w:rPr>
      </w:pPr>
    </w:p>
    <w:bookmarkEnd w:id="88"/>
    <w:p w14:paraId="0A3EF859" w14:textId="0AF1023C" w:rsidR="004870E5" w:rsidRPr="00C41483" w:rsidRDefault="006910F9" w:rsidP="006B5133">
      <w:pPr>
        <w:spacing w:after="0" w:line="240" w:lineRule="auto"/>
        <w:jc w:val="both"/>
        <w:rPr>
          <w:rFonts w:ascii="Times New Roman" w:hAnsi="Times New Roman" w:cs="Times New Roman"/>
          <w:sz w:val="24"/>
          <w:szCs w:val="24"/>
        </w:rPr>
      </w:pPr>
      <w:r w:rsidRPr="00C41483">
        <w:rPr>
          <w:rFonts w:ascii="Times New Roman" w:hAnsi="Times New Roman" w:cs="Times New Roman"/>
          <w:sz w:val="24"/>
          <w:szCs w:val="24"/>
        </w:rPr>
        <w:t>(1</w:t>
      </w:r>
      <w:r w:rsidR="00E8616D" w:rsidRPr="00C41483">
        <w:rPr>
          <w:rFonts w:ascii="Times New Roman" w:hAnsi="Times New Roman" w:cs="Times New Roman"/>
          <w:sz w:val="24"/>
          <w:szCs w:val="24"/>
        </w:rPr>
        <w:t>1</w:t>
      </w:r>
      <w:r w:rsidR="005D1F13" w:rsidRPr="00C41483">
        <w:rPr>
          <w:rFonts w:ascii="Times New Roman" w:hAnsi="Times New Roman" w:cs="Times New Roman"/>
          <w:sz w:val="24"/>
          <w:szCs w:val="24"/>
        </w:rPr>
        <w:t>0</w:t>
      </w:r>
      <w:r w:rsidRPr="00C41483">
        <w:rPr>
          <w:rFonts w:ascii="Times New Roman" w:hAnsi="Times New Roman" w:cs="Times New Roman"/>
          <w:sz w:val="24"/>
          <w:szCs w:val="24"/>
        </w:rPr>
        <w:t xml:space="preserve">) </w:t>
      </w:r>
      <w:r w:rsidR="004870E5" w:rsidRPr="00C41483">
        <w:rPr>
          <w:rFonts w:ascii="Times New Roman" w:hAnsi="Times New Roman" w:cs="Times New Roman"/>
          <w:sz w:val="24"/>
          <w:szCs w:val="24"/>
        </w:rPr>
        <w:t xml:space="preserve">Premda su u razdoblju od 2018. do 2020. godine provođene mjere i aktivnosti sukladno Planu </w:t>
      </w:r>
      <w:bookmarkStart w:id="89" w:name="_Hlk43381271"/>
      <w:r w:rsidR="004870E5" w:rsidRPr="00C41483">
        <w:rPr>
          <w:rFonts w:ascii="Times New Roman" w:hAnsi="Times New Roman" w:cs="Times New Roman"/>
          <w:sz w:val="24"/>
          <w:szCs w:val="24"/>
        </w:rPr>
        <w:t xml:space="preserve">deinstitucionalizacije, transformacije te prevencije institucionalizacije </w:t>
      </w:r>
      <w:bookmarkEnd w:id="89"/>
      <w:r w:rsidR="004870E5" w:rsidRPr="00C41483">
        <w:rPr>
          <w:rFonts w:ascii="Times New Roman" w:hAnsi="Times New Roman" w:cs="Times New Roman"/>
          <w:sz w:val="24"/>
          <w:szCs w:val="24"/>
        </w:rPr>
        <w:t>koji je donijelo ministarstvo nadležno za socijaln</w:t>
      </w:r>
      <w:r w:rsidR="003A4E5C" w:rsidRPr="00C41483">
        <w:rPr>
          <w:rFonts w:ascii="Times New Roman" w:hAnsi="Times New Roman" w:cs="Times New Roman"/>
          <w:sz w:val="24"/>
          <w:szCs w:val="24"/>
        </w:rPr>
        <w:t>u</w:t>
      </w:r>
      <w:r w:rsidR="004870E5" w:rsidRPr="00C41483">
        <w:rPr>
          <w:rFonts w:ascii="Times New Roman" w:hAnsi="Times New Roman" w:cs="Times New Roman"/>
          <w:sz w:val="24"/>
          <w:szCs w:val="24"/>
        </w:rPr>
        <w:t xml:space="preserve"> skrb, najvažniji razvojni izazov u području osiguranja prava na život u zajednici predstavlja nedovoljan broj pružatelja </w:t>
      </w:r>
      <w:proofErr w:type="spellStart"/>
      <w:r w:rsidR="004870E5" w:rsidRPr="00C41483">
        <w:rPr>
          <w:rFonts w:ascii="Times New Roman" w:hAnsi="Times New Roman" w:cs="Times New Roman"/>
          <w:sz w:val="24"/>
          <w:szCs w:val="24"/>
        </w:rPr>
        <w:t>izvaninstutucijskih</w:t>
      </w:r>
      <w:proofErr w:type="spellEnd"/>
      <w:r w:rsidR="004870E5" w:rsidRPr="00C41483">
        <w:rPr>
          <w:rFonts w:ascii="Times New Roman" w:hAnsi="Times New Roman" w:cs="Times New Roman"/>
          <w:sz w:val="24"/>
          <w:szCs w:val="24"/>
        </w:rPr>
        <w:t xml:space="preserve"> socijalnih usluga i nedovoljn</w:t>
      </w:r>
      <w:r w:rsidR="001C53E0" w:rsidRPr="00C41483">
        <w:rPr>
          <w:rFonts w:ascii="Times New Roman" w:hAnsi="Times New Roman" w:cs="Times New Roman"/>
          <w:sz w:val="24"/>
          <w:szCs w:val="24"/>
        </w:rPr>
        <w:t>a</w:t>
      </w:r>
      <w:r w:rsidR="004870E5" w:rsidRPr="00C41483">
        <w:rPr>
          <w:rFonts w:ascii="Times New Roman" w:hAnsi="Times New Roman" w:cs="Times New Roman"/>
          <w:sz w:val="24"/>
          <w:szCs w:val="24"/>
        </w:rPr>
        <w:t xml:space="preserve"> regionalna pokrivenost istima.</w:t>
      </w:r>
      <w:bookmarkStart w:id="90" w:name="_Hlk17880146"/>
      <w:r w:rsidR="004870E5" w:rsidRPr="00C41483">
        <w:rPr>
          <w:rFonts w:ascii="Times New Roman" w:hAnsi="Times New Roman" w:cs="Times New Roman"/>
          <w:sz w:val="24"/>
          <w:szCs w:val="24"/>
        </w:rPr>
        <w:t xml:space="preserve"> </w:t>
      </w:r>
      <w:bookmarkEnd w:id="90"/>
      <w:r w:rsidR="004870E5" w:rsidRPr="00C41483">
        <w:rPr>
          <w:rFonts w:ascii="Times New Roman" w:hAnsi="Times New Roman" w:cs="Times New Roman"/>
          <w:sz w:val="24"/>
          <w:szCs w:val="24"/>
        </w:rPr>
        <w:t xml:space="preserve">U okviru poziva Podrška procesu deinstitucionalizacije i transformacije domova socijalne skrbi za osobe s invaliditetom u 2020. godini u provedbi je bilo 8 projekata u vrijednosti 90.309.648,47 kuna koje provode ustanove socijalne skrbi za provedbu procesa </w:t>
      </w:r>
      <w:proofErr w:type="spellStart"/>
      <w:r w:rsidR="004870E5" w:rsidRPr="00C41483">
        <w:rPr>
          <w:rFonts w:ascii="Times New Roman" w:hAnsi="Times New Roman" w:cs="Times New Roman"/>
          <w:sz w:val="24"/>
          <w:szCs w:val="24"/>
        </w:rPr>
        <w:t>deinstitucionalizcije</w:t>
      </w:r>
      <w:proofErr w:type="spellEnd"/>
      <w:r w:rsidR="004870E5" w:rsidRPr="00C41483">
        <w:rPr>
          <w:rFonts w:ascii="Times New Roman" w:hAnsi="Times New Roman" w:cs="Times New Roman"/>
          <w:sz w:val="24"/>
          <w:szCs w:val="24"/>
        </w:rPr>
        <w:t xml:space="preserve"> te razvoja socijalnih usluga u zajednici za osobe s invaliditetom. </w:t>
      </w:r>
      <w:r w:rsidR="00687656" w:rsidRPr="00C41483">
        <w:rPr>
          <w:rFonts w:ascii="Times New Roman" w:hAnsi="Times New Roman" w:cs="Times New Roman"/>
          <w:sz w:val="24"/>
          <w:szCs w:val="24"/>
        </w:rPr>
        <w:t>P</w:t>
      </w:r>
      <w:r w:rsidR="004870E5" w:rsidRPr="00C41483">
        <w:rPr>
          <w:rFonts w:ascii="Times New Roman" w:hAnsi="Times New Roman" w:cs="Times New Roman"/>
          <w:sz w:val="24"/>
          <w:szCs w:val="24"/>
        </w:rPr>
        <w:t>lanira se uključiti 950 osoba s invaliditetom, a kako projekti traju i do 36 mjeseci, do kraja 2020. uključilo ih se 398, od čega 193 žena s invaliditetom.</w:t>
      </w:r>
    </w:p>
    <w:p w14:paraId="53DA42ED" w14:textId="77777777" w:rsidR="00D0055C" w:rsidRPr="00C41483" w:rsidRDefault="00D0055C" w:rsidP="006B5133">
      <w:pPr>
        <w:spacing w:after="0" w:line="240" w:lineRule="auto"/>
        <w:jc w:val="both"/>
        <w:rPr>
          <w:rFonts w:ascii="Times New Roman" w:hAnsi="Times New Roman" w:cs="Times New Roman"/>
          <w:sz w:val="24"/>
          <w:szCs w:val="24"/>
        </w:rPr>
      </w:pPr>
    </w:p>
    <w:p w14:paraId="076C5E8E" w14:textId="2F7A1C84" w:rsidR="004870E5" w:rsidRPr="00C41483" w:rsidRDefault="006910F9" w:rsidP="006B5133">
      <w:pPr>
        <w:spacing w:after="0" w:line="240" w:lineRule="auto"/>
        <w:jc w:val="both"/>
        <w:rPr>
          <w:rFonts w:ascii="Times New Roman" w:hAnsi="Times New Roman" w:cs="Times New Roman"/>
          <w:sz w:val="24"/>
          <w:szCs w:val="24"/>
        </w:rPr>
      </w:pPr>
      <w:r w:rsidRPr="00C41483">
        <w:rPr>
          <w:rFonts w:ascii="Times New Roman" w:hAnsi="Times New Roman" w:cs="Times New Roman"/>
          <w:sz w:val="24"/>
          <w:szCs w:val="24"/>
        </w:rPr>
        <w:t>(1</w:t>
      </w:r>
      <w:r w:rsidR="00E8616D" w:rsidRPr="00C41483">
        <w:rPr>
          <w:rFonts w:ascii="Times New Roman" w:hAnsi="Times New Roman" w:cs="Times New Roman"/>
          <w:sz w:val="24"/>
          <w:szCs w:val="24"/>
        </w:rPr>
        <w:t>11</w:t>
      </w:r>
      <w:r w:rsidRPr="00C41483">
        <w:rPr>
          <w:rFonts w:ascii="Times New Roman" w:hAnsi="Times New Roman" w:cs="Times New Roman"/>
          <w:sz w:val="24"/>
          <w:szCs w:val="24"/>
        </w:rPr>
        <w:t xml:space="preserve">) </w:t>
      </w:r>
      <w:r w:rsidR="004870E5" w:rsidRPr="00C41483">
        <w:rPr>
          <w:rFonts w:ascii="Times New Roman" w:hAnsi="Times New Roman" w:cs="Times New Roman"/>
          <w:sz w:val="24"/>
          <w:szCs w:val="24"/>
        </w:rPr>
        <w:t xml:space="preserve">Prema statističkim podacima </w:t>
      </w:r>
      <w:r w:rsidR="00687656" w:rsidRPr="00C41483">
        <w:rPr>
          <w:rFonts w:ascii="Times New Roman" w:hAnsi="Times New Roman" w:cs="Times New Roman"/>
          <w:sz w:val="24"/>
          <w:szCs w:val="24"/>
        </w:rPr>
        <w:t>m</w:t>
      </w:r>
      <w:r w:rsidR="004870E5" w:rsidRPr="00C41483">
        <w:rPr>
          <w:rFonts w:ascii="Times New Roman" w:hAnsi="Times New Roman" w:cs="Times New Roman"/>
          <w:sz w:val="24"/>
          <w:szCs w:val="24"/>
        </w:rPr>
        <w:t xml:space="preserve">inistarstva </w:t>
      </w:r>
      <w:r w:rsidR="00C03790" w:rsidRPr="00C41483">
        <w:rPr>
          <w:rFonts w:ascii="Times New Roman" w:hAnsi="Times New Roman" w:cs="Times New Roman"/>
          <w:sz w:val="24"/>
          <w:szCs w:val="24"/>
        </w:rPr>
        <w:t xml:space="preserve">nadležnog za socijalnu skrb </w:t>
      </w:r>
      <w:r w:rsidR="004870E5" w:rsidRPr="00C41483">
        <w:rPr>
          <w:rFonts w:ascii="Times New Roman" w:hAnsi="Times New Roman" w:cs="Times New Roman"/>
          <w:sz w:val="24"/>
          <w:szCs w:val="24"/>
        </w:rPr>
        <w:t xml:space="preserve">vidljivo je da je u državnim domovima kao i kod drugih pravnih osoba koje obavljaju djelatnost socijalne skrbi u razdoblju od 2017. do 2020. godine došlo </w:t>
      </w:r>
      <w:r w:rsidR="00C03790" w:rsidRPr="00C41483">
        <w:rPr>
          <w:rFonts w:ascii="Times New Roman" w:hAnsi="Times New Roman" w:cs="Times New Roman"/>
          <w:sz w:val="24"/>
          <w:szCs w:val="24"/>
        </w:rPr>
        <w:t xml:space="preserve">do </w:t>
      </w:r>
      <w:r w:rsidR="004870E5" w:rsidRPr="00C41483">
        <w:rPr>
          <w:rFonts w:ascii="Times New Roman" w:hAnsi="Times New Roman" w:cs="Times New Roman"/>
          <w:sz w:val="24"/>
          <w:szCs w:val="24"/>
        </w:rPr>
        <w:t>povećanja broja korisnika usluge organiziranog stanovanja.</w:t>
      </w:r>
    </w:p>
    <w:p w14:paraId="647F77A1" w14:textId="77777777" w:rsidR="00D0055C" w:rsidRPr="00C41483" w:rsidRDefault="00D0055C" w:rsidP="004E6F1B">
      <w:pPr>
        <w:spacing w:after="0" w:line="240" w:lineRule="auto"/>
        <w:jc w:val="both"/>
        <w:rPr>
          <w:rFonts w:ascii="Times New Roman" w:hAnsi="Times New Roman" w:cs="Times New Roman"/>
          <w:sz w:val="24"/>
          <w:szCs w:val="24"/>
        </w:rPr>
      </w:pPr>
    </w:p>
    <w:p w14:paraId="72C89729" w14:textId="47A8F43E" w:rsidR="004E6F1B" w:rsidRPr="00C41483" w:rsidRDefault="006910F9" w:rsidP="004E6F1B">
      <w:pPr>
        <w:spacing w:after="0" w:line="240" w:lineRule="auto"/>
        <w:jc w:val="both"/>
        <w:rPr>
          <w:rFonts w:ascii="Times New Roman" w:hAnsi="Times New Roman" w:cs="Times New Roman"/>
          <w:sz w:val="24"/>
          <w:szCs w:val="24"/>
        </w:rPr>
      </w:pPr>
      <w:r w:rsidRPr="00C41483">
        <w:rPr>
          <w:rFonts w:ascii="Times New Roman" w:hAnsi="Times New Roman" w:cs="Times New Roman"/>
          <w:sz w:val="24"/>
          <w:szCs w:val="24"/>
        </w:rPr>
        <w:t>(1</w:t>
      </w:r>
      <w:r w:rsidR="00E8616D" w:rsidRPr="00C41483">
        <w:rPr>
          <w:rFonts w:ascii="Times New Roman" w:hAnsi="Times New Roman" w:cs="Times New Roman"/>
          <w:sz w:val="24"/>
          <w:szCs w:val="24"/>
        </w:rPr>
        <w:t>12</w:t>
      </w:r>
      <w:r w:rsidRPr="00C41483">
        <w:rPr>
          <w:rFonts w:ascii="Times New Roman" w:hAnsi="Times New Roman" w:cs="Times New Roman"/>
          <w:sz w:val="24"/>
          <w:szCs w:val="24"/>
        </w:rPr>
        <w:t xml:space="preserve">) </w:t>
      </w:r>
      <w:r w:rsidR="004E6F1B" w:rsidRPr="00C41483">
        <w:rPr>
          <w:rFonts w:ascii="Times New Roman" w:hAnsi="Times New Roman" w:cs="Times New Roman"/>
          <w:sz w:val="24"/>
          <w:szCs w:val="24"/>
        </w:rPr>
        <w:t>S</w:t>
      </w:r>
      <w:r w:rsidR="00C12D24" w:rsidRPr="00C41483">
        <w:rPr>
          <w:rFonts w:ascii="Times New Roman" w:hAnsi="Times New Roman" w:cs="Times New Roman"/>
          <w:sz w:val="24"/>
          <w:szCs w:val="24"/>
        </w:rPr>
        <w:t xml:space="preserve">ukladno Zakonu o socijalnoj skrbi u </w:t>
      </w:r>
      <w:r w:rsidR="00427CC4" w:rsidRPr="00C41483">
        <w:rPr>
          <w:rFonts w:ascii="Times New Roman" w:hAnsi="Times New Roman" w:cs="Times New Roman"/>
          <w:sz w:val="24"/>
          <w:szCs w:val="24"/>
        </w:rPr>
        <w:t>o</w:t>
      </w:r>
      <w:r w:rsidRPr="00C41483">
        <w:rPr>
          <w:rFonts w:ascii="Times New Roman" w:hAnsi="Times New Roman" w:cs="Times New Roman"/>
          <w:sz w:val="24"/>
          <w:szCs w:val="24"/>
        </w:rPr>
        <w:t>biteljskom domu</w:t>
      </w:r>
      <w:r w:rsidR="00C12D24" w:rsidRPr="00C41483">
        <w:rPr>
          <w:rFonts w:ascii="Times New Roman" w:hAnsi="Times New Roman" w:cs="Times New Roman"/>
          <w:sz w:val="24"/>
          <w:szCs w:val="24"/>
        </w:rPr>
        <w:t xml:space="preserve"> može biti </w:t>
      </w:r>
      <w:r w:rsidR="003A4E5C" w:rsidRPr="00C41483">
        <w:rPr>
          <w:rFonts w:ascii="Times New Roman" w:hAnsi="Times New Roman" w:cs="Times New Roman"/>
          <w:sz w:val="24"/>
          <w:szCs w:val="24"/>
        </w:rPr>
        <w:t>najviše</w:t>
      </w:r>
      <w:r w:rsidR="00C12D24" w:rsidRPr="00C41483">
        <w:rPr>
          <w:rFonts w:ascii="Times New Roman" w:hAnsi="Times New Roman" w:cs="Times New Roman"/>
          <w:sz w:val="24"/>
          <w:szCs w:val="24"/>
        </w:rPr>
        <w:t xml:space="preserve"> 20 odraslih korisnika, odn</w:t>
      </w:r>
      <w:r w:rsidR="003A4E5C" w:rsidRPr="00C41483">
        <w:rPr>
          <w:rFonts w:ascii="Times New Roman" w:hAnsi="Times New Roman" w:cs="Times New Roman"/>
          <w:sz w:val="24"/>
          <w:szCs w:val="24"/>
        </w:rPr>
        <w:t>o</w:t>
      </w:r>
      <w:r w:rsidR="00C12D24" w:rsidRPr="00C41483">
        <w:rPr>
          <w:rFonts w:ascii="Times New Roman" w:hAnsi="Times New Roman" w:cs="Times New Roman"/>
          <w:sz w:val="24"/>
          <w:szCs w:val="24"/>
        </w:rPr>
        <w:t xml:space="preserve">sno 10 djece. </w:t>
      </w:r>
      <w:r w:rsidR="000D4976" w:rsidRPr="00C41483">
        <w:rPr>
          <w:rFonts w:ascii="Times New Roman" w:hAnsi="Times New Roman" w:cs="Times New Roman"/>
          <w:sz w:val="24"/>
          <w:szCs w:val="24"/>
        </w:rPr>
        <w:t>P</w:t>
      </w:r>
      <w:r w:rsidR="004E6F1B" w:rsidRPr="00C41483">
        <w:rPr>
          <w:rFonts w:ascii="Times New Roman" w:hAnsi="Times New Roman" w:cs="Times New Roman"/>
          <w:sz w:val="24"/>
          <w:szCs w:val="24"/>
        </w:rPr>
        <w:t>odizanj</w:t>
      </w:r>
      <w:r w:rsidR="000D4976" w:rsidRPr="00C41483">
        <w:rPr>
          <w:rFonts w:ascii="Times New Roman" w:hAnsi="Times New Roman" w:cs="Times New Roman"/>
          <w:sz w:val="24"/>
          <w:szCs w:val="24"/>
        </w:rPr>
        <w:t xml:space="preserve">e </w:t>
      </w:r>
      <w:r w:rsidR="004E6F1B" w:rsidRPr="00C41483">
        <w:rPr>
          <w:rFonts w:ascii="Times New Roman" w:hAnsi="Times New Roman" w:cs="Times New Roman"/>
          <w:sz w:val="24"/>
          <w:szCs w:val="24"/>
        </w:rPr>
        <w:t xml:space="preserve">razine kvalitete usluga u obiteljskim domovima </w:t>
      </w:r>
      <w:r w:rsidR="000D4976" w:rsidRPr="00C41483">
        <w:rPr>
          <w:rFonts w:ascii="Times New Roman" w:hAnsi="Times New Roman" w:cs="Times New Roman"/>
          <w:sz w:val="24"/>
          <w:szCs w:val="24"/>
        </w:rPr>
        <w:t xml:space="preserve">osigurao je </w:t>
      </w:r>
      <w:r w:rsidR="004E6F1B" w:rsidRPr="00C41483">
        <w:rPr>
          <w:rFonts w:ascii="Times New Roman" w:hAnsi="Times New Roman" w:cs="Times New Roman"/>
          <w:sz w:val="24"/>
          <w:szCs w:val="24"/>
        </w:rPr>
        <w:t>izmjen</w:t>
      </w:r>
      <w:r w:rsidR="000D4976" w:rsidRPr="00C41483">
        <w:rPr>
          <w:rFonts w:ascii="Times New Roman" w:hAnsi="Times New Roman" w:cs="Times New Roman"/>
          <w:sz w:val="24"/>
          <w:szCs w:val="24"/>
        </w:rPr>
        <w:t>om</w:t>
      </w:r>
      <w:r w:rsidR="004E6F1B" w:rsidRPr="00C41483">
        <w:rPr>
          <w:rFonts w:ascii="Times New Roman" w:hAnsi="Times New Roman" w:cs="Times New Roman"/>
          <w:sz w:val="24"/>
          <w:szCs w:val="24"/>
        </w:rPr>
        <w:t xml:space="preserve"> Pravilnika o minimalnim uvjetima za pružanje socijalnih usluga (primjerice povećanje</w:t>
      </w:r>
      <w:r w:rsidR="000D4976" w:rsidRPr="00C41483">
        <w:rPr>
          <w:rFonts w:ascii="Times New Roman" w:hAnsi="Times New Roman" w:cs="Times New Roman"/>
          <w:sz w:val="24"/>
          <w:szCs w:val="24"/>
        </w:rPr>
        <w:t>m</w:t>
      </w:r>
      <w:r w:rsidR="004E6F1B" w:rsidRPr="00C41483">
        <w:rPr>
          <w:rFonts w:ascii="Times New Roman" w:hAnsi="Times New Roman" w:cs="Times New Roman"/>
          <w:sz w:val="24"/>
          <w:szCs w:val="24"/>
        </w:rPr>
        <w:t xml:space="preserve"> broja potrebnih radnika i osiguravanje</w:t>
      </w:r>
      <w:r w:rsidR="000D4976" w:rsidRPr="00C41483">
        <w:rPr>
          <w:rFonts w:ascii="Times New Roman" w:hAnsi="Times New Roman" w:cs="Times New Roman"/>
          <w:sz w:val="24"/>
          <w:szCs w:val="24"/>
        </w:rPr>
        <w:t>m</w:t>
      </w:r>
      <w:r w:rsidR="004E6F1B" w:rsidRPr="00C41483">
        <w:rPr>
          <w:rFonts w:ascii="Times New Roman" w:hAnsi="Times New Roman" w:cs="Times New Roman"/>
          <w:sz w:val="24"/>
          <w:szCs w:val="24"/>
        </w:rPr>
        <w:t xml:space="preserve"> zaštite od požara). Novim Zakonom o socijalnoj skrbi planirano je da se obiteljski domovi u roku od 5 godina registriraju kao ustanove u sustavu socijalne skrbi ili imaju status udomiteljske obitelji, </w:t>
      </w:r>
      <w:proofErr w:type="spellStart"/>
      <w:r w:rsidR="004E6F1B" w:rsidRPr="00C41483">
        <w:rPr>
          <w:rFonts w:ascii="Times New Roman" w:hAnsi="Times New Roman" w:cs="Times New Roman"/>
          <w:sz w:val="24"/>
          <w:szCs w:val="24"/>
        </w:rPr>
        <w:t>relicenciranje</w:t>
      </w:r>
      <w:proofErr w:type="spellEnd"/>
      <w:r w:rsidR="004E6F1B" w:rsidRPr="00C41483">
        <w:rPr>
          <w:rFonts w:ascii="Times New Roman" w:hAnsi="Times New Roman" w:cs="Times New Roman"/>
          <w:sz w:val="24"/>
          <w:szCs w:val="24"/>
        </w:rPr>
        <w:t xml:space="preserve"> svake tri godine za sve pružatelje socijalnih usluga, praćenje kvalitete pružene usluge od strane JLP(R)S i dr.</w:t>
      </w:r>
    </w:p>
    <w:p w14:paraId="3223032C" w14:textId="77777777" w:rsidR="00D0055C" w:rsidRPr="00C41483" w:rsidRDefault="00D0055C" w:rsidP="006B5133">
      <w:pPr>
        <w:spacing w:after="0" w:line="240" w:lineRule="auto"/>
        <w:jc w:val="both"/>
        <w:rPr>
          <w:color w:val="000000"/>
          <w:lang w:val="es-ES"/>
        </w:rPr>
      </w:pPr>
    </w:p>
    <w:p w14:paraId="700D318D" w14:textId="7B161331" w:rsidR="004870E5" w:rsidRPr="00C41483" w:rsidRDefault="004E6F1B" w:rsidP="00427CC4">
      <w:pPr>
        <w:spacing w:after="0" w:line="240" w:lineRule="auto"/>
        <w:jc w:val="both"/>
        <w:rPr>
          <w:rFonts w:ascii="Times New Roman" w:hAnsi="Times New Roman" w:cs="Times New Roman"/>
          <w:sz w:val="24"/>
          <w:szCs w:val="24"/>
        </w:rPr>
      </w:pPr>
      <w:r w:rsidRPr="00C41483">
        <w:rPr>
          <w:rFonts w:ascii="Times New Roman" w:hAnsi="Times New Roman" w:cs="Times New Roman"/>
          <w:sz w:val="24"/>
          <w:szCs w:val="24"/>
        </w:rPr>
        <w:t>(1</w:t>
      </w:r>
      <w:r w:rsidR="00423475" w:rsidRPr="00C41483">
        <w:rPr>
          <w:rFonts w:ascii="Times New Roman" w:hAnsi="Times New Roman" w:cs="Times New Roman"/>
          <w:sz w:val="24"/>
          <w:szCs w:val="24"/>
        </w:rPr>
        <w:t>1</w:t>
      </w:r>
      <w:r w:rsidR="00E8616D" w:rsidRPr="00C41483">
        <w:rPr>
          <w:rFonts w:ascii="Times New Roman" w:hAnsi="Times New Roman" w:cs="Times New Roman"/>
          <w:sz w:val="24"/>
          <w:szCs w:val="24"/>
        </w:rPr>
        <w:t>3</w:t>
      </w:r>
      <w:r w:rsidRPr="00C41483">
        <w:rPr>
          <w:rFonts w:ascii="Times New Roman" w:hAnsi="Times New Roman" w:cs="Times New Roman"/>
          <w:sz w:val="24"/>
          <w:szCs w:val="24"/>
        </w:rPr>
        <w:t xml:space="preserve">) </w:t>
      </w:r>
      <w:r w:rsidR="000D4976" w:rsidRPr="00C41483">
        <w:rPr>
          <w:rFonts w:ascii="Times New Roman" w:hAnsi="Times New Roman" w:cs="Times New Roman"/>
          <w:sz w:val="24"/>
          <w:szCs w:val="24"/>
        </w:rPr>
        <w:t>T</w:t>
      </w:r>
      <w:r w:rsidR="004870E5" w:rsidRPr="00C41483">
        <w:rPr>
          <w:rFonts w:ascii="Times New Roman" w:hAnsi="Times New Roman" w:cs="Times New Roman"/>
          <w:sz w:val="24"/>
          <w:szCs w:val="24"/>
        </w:rPr>
        <w:t xml:space="preserve">ablični prikaz broja korisnika socijalne usluge smještaja, </w:t>
      </w:r>
      <w:r w:rsidRPr="00C41483">
        <w:rPr>
          <w:rFonts w:ascii="Times New Roman" w:hAnsi="Times New Roman" w:cs="Times New Roman"/>
          <w:sz w:val="24"/>
          <w:szCs w:val="24"/>
        </w:rPr>
        <w:t>o</w:t>
      </w:r>
      <w:r w:rsidR="004870E5" w:rsidRPr="00C41483">
        <w:rPr>
          <w:rFonts w:ascii="Times New Roman" w:hAnsi="Times New Roman" w:cs="Times New Roman"/>
          <w:sz w:val="24"/>
          <w:szCs w:val="24"/>
        </w:rPr>
        <w:t xml:space="preserve">rganiziranog stanovanja i </w:t>
      </w:r>
      <w:proofErr w:type="spellStart"/>
      <w:r w:rsidR="004870E5" w:rsidRPr="00C41483">
        <w:rPr>
          <w:rFonts w:ascii="Times New Roman" w:hAnsi="Times New Roman" w:cs="Times New Roman"/>
          <w:sz w:val="24"/>
          <w:szCs w:val="24"/>
        </w:rPr>
        <w:t>izvaninstitucijskih</w:t>
      </w:r>
      <w:proofErr w:type="spellEnd"/>
      <w:r w:rsidR="004870E5" w:rsidRPr="00C41483">
        <w:rPr>
          <w:rFonts w:ascii="Times New Roman" w:hAnsi="Times New Roman" w:cs="Times New Roman"/>
          <w:sz w:val="24"/>
          <w:szCs w:val="24"/>
        </w:rPr>
        <w:t xml:space="preserve"> usluga</w:t>
      </w:r>
      <w:r w:rsidR="000D4976" w:rsidRPr="00C41483">
        <w:rPr>
          <w:rFonts w:ascii="Times New Roman" w:hAnsi="Times New Roman" w:cs="Times New Roman"/>
          <w:sz w:val="24"/>
          <w:szCs w:val="24"/>
        </w:rPr>
        <w:t xml:space="preserve"> u prilogu</w:t>
      </w:r>
      <w:r w:rsidR="007C1BCA" w:rsidRPr="00C41483">
        <w:rPr>
          <w:rFonts w:ascii="Times New Roman" w:hAnsi="Times New Roman" w:cs="Times New Roman"/>
          <w:sz w:val="24"/>
          <w:szCs w:val="24"/>
        </w:rPr>
        <w:t xml:space="preserve"> 27</w:t>
      </w:r>
      <w:r w:rsidR="001A2F17">
        <w:rPr>
          <w:rFonts w:ascii="Times New Roman" w:hAnsi="Times New Roman" w:cs="Times New Roman"/>
          <w:sz w:val="24"/>
          <w:szCs w:val="24"/>
        </w:rPr>
        <w:t>.</w:t>
      </w:r>
    </w:p>
    <w:p w14:paraId="37BFDDD4" w14:textId="122DAE83" w:rsidR="00E066F6" w:rsidRPr="00C41483" w:rsidRDefault="00E066F6" w:rsidP="001A2F17">
      <w:pPr>
        <w:spacing w:after="0" w:line="240" w:lineRule="auto"/>
        <w:rPr>
          <w:rFonts w:ascii="Times New Roman" w:hAnsi="Times New Roman" w:cs="Times New Roman"/>
          <w:sz w:val="24"/>
          <w:szCs w:val="24"/>
        </w:rPr>
      </w:pPr>
    </w:p>
    <w:p w14:paraId="795CDA06" w14:textId="2BA18F9B" w:rsidR="00EE5AD7" w:rsidRPr="00C41483" w:rsidRDefault="000807E9" w:rsidP="000807E9">
      <w:pPr>
        <w:spacing w:after="0" w:line="240" w:lineRule="auto"/>
        <w:jc w:val="both"/>
        <w:rPr>
          <w:rFonts w:ascii="Times New Roman" w:eastAsia="Times New Roman" w:hAnsi="Times New Roman" w:cs="Times New Roman"/>
          <w:bCs/>
          <w:i/>
          <w:iCs/>
          <w:sz w:val="24"/>
          <w:szCs w:val="24"/>
          <w:lang w:eastAsia="hr-HR"/>
        </w:rPr>
      </w:pPr>
      <w:bookmarkStart w:id="91" w:name="_Hlk83814879"/>
      <w:r w:rsidRPr="00C41483">
        <w:rPr>
          <w:rFonts w:ascii="Times New Roman" w:eastAsia="Times New Roman" w:hAnsi="Times New Roman" w:cs="Times New Roman"/>
          <w:bCs/>
          <w:i/>
          <w:iCs/>
          <w:sz w:val="24"/>
          <w:szCs w:val="24"/>
          <w:lang w:eastAsia="hr-HR"/>
        </w:rPr>
        <w:t xml:space="preserve">Pitanje </w:t>
      </w:r>
      <w:r w:rsidR="005A5609" w:rsidRPr="00C41483">
        <w:rPr>
          <w:rFonts w:ascii="Times New Roman" w:eastAsia="Times New Roman" w:hAnsi="Times New Roman" w:cs="Times New Roman"/>
          <w:bCs/>
          <w:i/>
          <w:iCs/>
          <w:sz w:val="24"/>
          <w:szCs w:val="24"/>
          <w:lang w:eastAsia="hr-HR"/>
        </w:rPr>
        <w:t>20</w:t>
      </w:r>
      <w:r w:rsidRPr="00C41483">
        <w:rPr>
          <w:rFonts w:ascii="Times New Roman" w:eastAsia="Times New Roman" w:hAnsi="Times New Roman" w:cs="Times New Roman"/>
          <w:bCs/>
          <w:i/>
          <w:iCs/>
          <w:sz w:val="24"/>
          <w:szCs w:val="24"/>
          <w:lang w:eastAsia="hr-HR"/>
        </w:rPr>
        <w:t>a) i b)</w:t>
      </w:r>
    </w:p>
    <w:p w14:paraId="4AECCC0D" w14:textId="77777777" w:rsidR="00EE5AD7" w:rsidRPr="00C41483" w:rsidRDefault="00EE5AD7" w:rsidP="006B5133">
      <w:pPr>
        <w:spacing w:after="0" w:line="240" w:lineRule="auto"/>
        <w:jc w:val="both"/>
        <w:rPr>
          <w:rFonts w:ascii="Times New Roman" w:eastAsia="Times New Roman" w:hAnsi="Times New Roman" w:cs="Times New Roman"/>
          <w:bCs/>
          <w:i/>
          <w:iCs/>
          <w:sz w:val="24"/>
          <w:szCs w:val="24"/>
          <w:lang w:eastAsia="hr-HR"/>
        </w:rPr>
      </w:pPr>
    </w:p>
    <w:bookmarkEnd w:id="91"/>
    <w:p w14:paraId="44B89708" w14:textId="2DC06017" w:rsidR="003A4E5C" w:rsidRPr="00C41483" w:rsidRDefault="004E6F1B" w:rsidP="006B5133">
      <w:pPr>
        <w:pStyle w:val="StandardWeb"/>
        <w:shd w:val="clear" w:color="auto" w:fill="FFFFFF"/>
        <w:spacing w:before="0" w:beforeAutospacing="0" w:after="0" w:afterAutospacing="0"/>
        <w:jc w:val="both"/>
        <w:rPr>
          <w:rFonts w:ascii="Times New Roman" w:hAnsi="Times New Roman" w:cs="Times New Roman"/>
          <w:sz w:val="24"/>
          <w:szCs w:val="24"/>
        </w:rPr>
      </w:pPr>
      <w:r w:rsidRPr="00C41483">
        <w:rPr>
          <w:rFonts w:ascii="Times New Roman" w:hAnsi="Times New Roman" w:cs="Times New Roman"/>
          <w:sz w:val="24"/>
          <w:szCs w:val="24"/>
        </w:rPr>
        <w:t>(1</w:t>
      </w:r>
      <w:r w:rsidR="00423475" w:rsidRPr="00C41483">
        <w:rPr>
          <w:rFonts w:ascii="Times New Roman" w:hAnsi="Times New Roman" w:cs="Times New Roman"/>
          <w:sz w:val="24"/>
          <w:szCs w:val="24"/>
        </w:rPr>
        <w:t>1</w:t>
      </w:r>
      <w:r w:rsidR="00E8616D" w:rsidRPr="00C41483">
        <w:rPr>
          <w:rFonts w:ascii="Times New Roman" w:hAnsi="Times New Roman" w:cs="Times New Roman"/>
          <w:sz w:val="24"/>
          <w:szCs w:val="24"/>
        </w:rPr>
        <w:t>4</w:t>
      </w:r>
      <w:r w:rsidRPr="00C41483">
        <w:rPr>
          <w:rFonts w:ascii="Times New Roman" w:hAnsi="Times New Roman" w:cs="Times New Roman"/>
          <w:sz w:val="24"/>
          <w:szCs w:val="24"/>
        </w:rPr>
        <w:t xml:space="preserve">) </w:t>
      </w:r>
      <w:r w:rsidR="00EE5AD7" w:rsidRPr="00C41483">
        <w:rPr>
          <w:rFonts w:ascii="Times New Roman" w:hAnsi="Times New Roman" w:cs="Times New Roman"/>
          <w:sz w:val="24"/>
          <w:szCs w:val="24"/>
        </w:rPr>
        <w:t>Jedno od načela Zakona o socijalnoj skrbi, je načelo su</w:t>
      </w:r>
      <w:r w:rsidR="00EE5AD7" w:rsidRPr="00C41483">
        <w:rPr>
          <w:rFonts w:ascii="Times New Roman" w:hAnsi="Times New Roman" w:cs="Times New Roman"/>
          <w:bCs/>
          <w:sz w:val="24"/>
          <w:szCs w:val="24"/>
          <w:lang w:eastAsia="en-US"/>
        </w:rPr>
        <w:t>djelovanja u donošenju odluka</w:t>
      </w:r>
      <w:r w:rsidR="00EE5AD7" w:rsidRPr="00C41483">
        <w:rPr>
          <w:rFonts w:ascii="Times New Roman" w:hAnsi="Times New Roman" w:cs="Times New Roman"/>
          <w:bCs/>
          <w:sz w:val="24"/>
          <w:szCs w:val="24"/>
        </w:rPr>
        <w:t xml:space="preserve"> što znači da o</w:t>
      </w:r>
      <w:r w:rsidR="00EE5AD7" w:rsidRPr="00C41483">
        <w:rPr>
          <w:rFonts w:ascii="Times New Roman" w:hAnsi="Times New Roman" w:cs="Times New Roman"/>
          <w:sz w:val="24"/>
          <w:szCs w:val="24"/>
          <w:lang w:eastAsia="en-US"/>
        </w:rPr>
        <w:t>soba lišena poslovne sposobnosti, sukladno svojim mogućnostima, ima pravo sudjelovati i dati mišljenje u postupcima u kojima se odlučuje o njezinim pravima i interesima</w:t>
      </w:r>
      <w:r w:rsidR="00EE5AD7" w:rsidRPr="00C41483">
        <w:rPr>
          <w:rFonts w:ascii="Times New Roman" w:hAnsi="Times New Roman" w:cs="Times New Roman"/>
          <w:sz w:val="24"/>
          <w:szCs w:val="24"/>
        </w:rPr>
        <w:t xml:space="preserve">. </w:t>
      </w:r>
    </w:p>
    <w:p w14:paraId="00401041" w14:textId="77777777" w:rsidR="00D0055C" w:rsidRPr="00C41483" w:rsidRDefault="00D0055C" w:rsidP="006B5133">
      <w:pPr>
        <w:pStyle w:val="StandardWeb"/>
        <w:shd w:val="clear" w:color="auto" w:fill="FFFFFF"/>
        <w:spacing w:before="0" w:beforeAutospacing="0" w:after="0" w:afterAutospacing="0"/>
        <w:jc w:val="both"/>
        <w:rPr>
          <w:rFonts w:ascii="Times New Roman" w:hAnsi="Times New Roman" w:cs="Times New Roman"/>
          <w:sz w:val="24"/>
          <w:szCs w:val="24"/>
        </w:rPr>
      </w:pPr>
    </w:p>
    <w:p w14:paraId="62825C51" w14:textId="6DD4701A" w:rsidR="00EE5AD7" w:rsidRPr="00C41483" w:rsidRDefault="004E6F1B" w:rsidP="006B5133">
      <w:pPr>
        <w:pStyle w:val="StandardWeb"/>
        <w:shd w:val="clear" w:color="auto" w:fill="FFFFFF"/>
        <w:spacing w:before="0" w:beforeAutospacing="0" w:after="0" w:afterAutospacing="0"/>
        <w:jc w:val="both"/>
        <w:rPr>
          <w:shd w:val="clear" w:color="auto" w:fill="FFFFFF"/>
        </w:rPr>
      </w:pPr>
      <w:r w:rsidRPr="00C41483">
        <w:rPr>
          <w:rFonts w:ascii="Times New Roman" w:hAnsi="Times New Roman" w:cs="Times New Roman"/>
          <w:sz w:val="24"/>
          <w:szCs w:val="24"/>
        </w:rPr>
        <w:t>(1</w:t>
      </w:r>
      <w:r w:rsidR="00423475" w:rsidRPr="00C41483">
        <w:rPr>
          <w:rFonts w:ascii="Times New Roman" w:hAnsi="Times New Roman" w:cs="Times New Roman"/>
          <w:sz w:val="24"/>
          <w:szCs w:val="24"/>
        </w:rPr>
        <w:t>1</w:t>
      </w:r>
      <w:r w:rsidR="00E8616D" w:rsidRPr="00C41483">
        <w:rPr>
          <w:rFonts w:ascii="Times New Roman" w:hAnsi="Times New Roman" w:cs="Times New Roman"/>
          <w:sz w:val="24"/>
          <w:szCs w:val="24"/>
        </w:rPr>
        <w:t>5</w:t>
      </w:r>
      <w:r w:rsidRPr="00C41483">
        <w:rPr>
          <w:rFonts w:ascii="Times New Roman" w:hAnsi="Times New Roman" w:cs="Times New Roman"/>
          <w:sz w:val="24"/>
          <w:szCs w:val="24"/>
        </w:rPr>
        <w:t xml:space="preserve">) </w:t>
      </w:r>
      <w:r w:rsidR="00EE5AD7" w:rsidRPr="00C41483">
        <w:rPr>
          <w:rFonts w:ascii="Times New Roman" w:hAnsi="Times New Roman" w:cs="Times New Roman"/>
          <w:sz w:val="24"/>
          <w:szCs w:val="24"/>
        </w:rPr>
        <w:t>I</w:t>
      </w:r>
      <w:r w:rsidR="00EE5AD7" w:rsidRPr="00C41483">
        <w:rPr>
          <w:rFonts w:ascii="Times New Roman" w:hAnsi="Times New Roman" w:cs="Times New Roman"/>
          <w:sz w:val="24"/>
          <w:szCs w:val="24"/>
          <w:shd w:val="clear" w:color="auto" w:fill="FFFFFF"/>
        </w:rPr>
        <w:t>nstitut skrbništva uređen je Obiteljskim zakonom</w:t>
      </w:r>
      <w:r w:rsidR="003A4E5C" w:rsidRPr="00C41483">
        <w:rPr>
          <w:rFonts w:ascii="Times New Roman" w:hAnsi="Times New Roman" w:cs="Times New Roman"/>
          <w:sz w:val="24"/>
          <w:szCs w:val="24"/>
          <w:shd w:val="clear" w:color="auto" w:fill="FFFFFF"/>
        </w:rPr>
        <w:t xml:space="preserve"> </w:t>
      </w:r>
      <w:r w:rsidR="00EE5AD7" w:rsidRPr="00C41483">
        <w:rPr>
          <w:rFonts w:ascii="Times New Roman" w:hAnsi="Times New Roman" w:cs="Times New Roman"/>
          <w:sz w:val="24"/>
          <w:szCs w:val="24"/>
          <w:shd w:val="clear" w:color="auto" w:fill="FFFFFF"/>
        </w:rPr>
        <w:t>koji propis</w:t>
      </w:r>
      <w:r w:rsidR="005773C9" w:rsidRPr="00C41483">
        <w:rPr>
          <w:rFonts w:ascii="Times New Roman" w:hAnsi="Times New Roman" w:cs="Times New Roman"/>
          <w:sz w:val="24"/>
          <w:szCs w:val="24"/>
          <w:shd w:val="clear" w:color="auto" w:fill="FFFFFF"/>
        </w:rPr>
        <w:t>uje</w:t>
      </w:r>
      <w:r w:rsidR="00EE5AD7" w:rsidRPr="00C41483">
        <w:rPr>
          <w:rFonts w:ascii="Times New Roman" w:hAnsi="Times New Roman" w:cs="Times New Roman"/>
          <w:sz w:val="24"/>
          <w:szCs w:val="24"/>
          <w:shd w:val="clear" w:color="auto" w:fill="FFFFFF"/>
        </w:rPr>
        <w:t xml:space="preserve"> da se </w:t>
      </w:r>
      <w:r w:rsidR="00EE5AD7" w:rsidRPr="00C41483">
        <w:rPr>
          <w:rFonts w:ascii="Times New Roman" w:hAnsi="Times New Roman" w:cs="Times New Roman"/>
          <w:sz w:val="24"/>
          <w:szCs w:val="24"/>
        </w:rPr>
        <w:t xml:space="preserve">štićeniku, kada postoji sukob interesa između njega i njegovog skrbnika, u imovinskim postupcima ili sporovima, odnosno pri sklapanju pojedinih pravnih poslova kao i u drugim slučajevima kad je to potrebno radi zaštite prava i interesa osobe, osobi imenuje poseban skrbnik. </w:t>
      </w:r>
      <w:r w:rsidR="00EE5AD7" w:rsidRPr="00C41483">
        <w:rPr>
          <w:rFonts w:ascii="Times New Roman" w:hAnsi="Times New Roman" w:cs="Times New Roman"/>
          <w:sz w:val="24"/>
          <w:szCs w:val="24"/>
          <w:shd w:val="clear" w:color="auto" w:fill="FFFFFF"/>
        </w:rPr>
        <w:t xml:space="preserve">Nadzor nad odnosom skrbnika i štićenika provodi </w:t>
      </w:r>
      <w:r w:rsidR="00E537D4" w:rsidRPr="00C41483">
        <w:rPr>
          <w:rFonts w:ascii="Times New Roman" w:hAnsi="Times New Roman" w:cs="Times New Roman"/>
          <w:sz w:val="24"/>
          <w:szCs w:val="24"/>
          <w:shd w:val="clear" w:color="auto" w:fill="FFFFFF"/>
        </w:rPr>
        <w:t>c</w:t>
      </w:r>
      <w:r w:rsidR="00EE5AD7" w:rsidRPr="00C41483">
        <w:rPr>
          <w:rFonts w:ascii="Times New Roman" w:hAnsi="Times New Roman" w:cs="Times New Roman"/>
          <w:sz w:val="24"/>
          <w:szCs w:val="24"/>
          <w:shd w:val="clear" w:color="auto" w:fill="FFFFFF"/>
        </w:rPr>
        <w:t xml:space="preserve">entar za socijalnu skrb. Zakonska obveza skrbnika je da svakih šest </w:t>
      </w:r>
      <w:r w:rsidR="00EE5AD7" w:rsidRPr="00C41483">
        <w:rPr>
          <w:rFonts w:ascii="Times New Roman" w:hAnsi="Times New Roman" w:cs="Times New Roman"/>
          <w:sz w:val="24"/>
          <w:szCs w:val="24"/>
        </w:rPr>
        <w:t>mjeseci, kao i kad to centar zatraži</w:t>
      </w:r>
      <w:r w:rsidR="00E537D4" w:rsidRPr="00C41483">
        <w:rPr>
          <w:rFonts w:ascii="Times New Roman" w:hAnsi="Times New Roman" w:cs="Times New Roman"/>
          <w:sz w:val="24"/>
          <w:szCs w:val="24"/>
        </w:rPr>
        <w:t xml:space="preserve">, </w:t>
      </w:r>
      <w:r w:rsidR="00EE5AD7" w:rsidRPr="00C41483">
        <w:rPr>
          <w:rFonts w:ascii="Times New Roman" w:hAnsi="Times New Roman" w:cs="Times New Roman"/>
          <w:sz w:val="24"/>
          <w:szCs w:val="24"/>
        </w:rPr>
        <w:t xml:space="preserve">podnosi izvješće o svojem radu i stanju štićenikove imovine. </w:t>
      </w:r>
      <w:r w:rsidR="005773C9" w:rsidRPr="00C41483">
        <w:rPr>
          <w:rFonts w:ascii="Times New Roman" w:hAnsi="Times New Roman" w:cs="Times New Roman"/>
          <w:sz w:val="24"/>
          <w:szCs w:val="24"/>
        </w:rPr>
        <w:t>Z</w:t>
      </w:r>
      <w:r w:rsidR="00EE5AD7" w:rsidRPr="00C41483">
        <w:rPr>
          <w:rFonts w:ascii="Times New Roman" w:hAnsi="Times New Roman" w:cs="Times New Roman"/>
          <w:sz w:val="24"/>
          <w:szCs w:val="24"/>
        </w:rPr>
        <w:t>a poduzimanje važnijih mjera</w:t>
      </w:r>
      <w:r w:rsidR="00E537D4" w:rsidRPr="00C41483">
        <w:rPr>
          <w:rFonts w:ascii="Times New Roman" w:hAnsi="Times New Roman" w:cs="Times New Roman"/>
          <w:sz w:val="24"/>
          <w:szCs w:val="24"/>
        </w:rPr>
        <w:t>, primjerice kod smještaja u dom</w:t>
      </w:r>
      <w:r w:rsidR="005773C9" w:rsidRPr="00C41483">
        <w:rPr>
          <w:rFonts w:ascii="Times New Roman" w:hAnsi="Times New Roman" w:cs="Times New Roman"/>
          <w:sz w:val="24"/>
          <w:szCs w:val="24"/>
        </w:rPr>
        <w:t xml:space="preserve"> ili</w:t>
      </w:r>
      <w:r w:rsidR="00E537D4" w:rsidRPr="00C41483">
        <w:rPr>
          <w:rFonts w:ascii="Times New Roman" w:hAnsi="Times New Roman" w:cs="Times New Roman"/>
          <w:sz w:val="24"/>
          <w:szCs w:val="24"/>
        </w:rPr>
        <w:t xml:space="preserve"> udomiteljsku obitelj</w:t>
      </w:r>
      <w:r w:rsidR="00EE5AD7" w:rsidRPr="00C41483">
        <w:rPr>
          <w:rFonts w:ascii="Times New Roman" w:hAnsi="Times New Roman" w:cs="Times New Roman"/>
          <w:sz w:val="24"/>
          <w:szCs w:val="24"/>
        </w:rPr>
        <w:t xml:space="preserve"> skrbnik</w:t>
      </w:r>
      <w:r w:rsidR="005773C9" w:rsidRPr="00C41483">
        <w:rPr>
          <w:rFonts w:ascii="Times New Roman" w:hAnsi="Times New Roman" w:cs="Times New Roman"/>
          <w:sz w:val="24"/>
          <w:szCs w:val="24"/>
        </w:rPr>
        <w:t xml:space="preserve"> </w:t>
      </w:r>
      <w:r w:rsidR="005D72CB" w:rsidRPr="00C41483">
        <w:rPr>
          <w:rFonts w:ascii="Times New Roman" w:hAnsi="Times New Roman" w:cs="Times New Roman"/>
          <w:sz w:val="24"/>
          <w:szCs w:val="24"/>
        </w:rPr>
        <w:t xml:space="preserve">mora dobiti odobrenje </w:t>
      </w:r>
      <w:r w:rsidR="00EE5AD7" w:rsidRPr="00C41483">
        <w:rPr>
          <w:rFonts w:ascii="Times New Roman" w:hAnsi="Times New Roman" w:cs="Times New Roman"/>
          <w:sz w:val="24"/>
          <w:szCs w:val="24"/>
        </w:rPr>
        <w:t>centra za socijalnu skrb</w:t>
      </w:r>
      <w:r w:rsidR="005D72CB" w:rsidRPr="00C41483">
        <w:rPr>
          <w:rFonts w:ascii="Times New Roman" w:hAnsi="Times New Roman" w:cs="Times New Roman"/>
          <w:sz w:val="24"/>
          <w:szCs w:val="24"/>
        </w:rPr>
        <w:t>.</w:t>
      </w:r>
    </w:p>
    <w:p w14:paraId="26E6CF92" w14:textId="77777777" w:rsidR="00D0055C" w:rsidRPr="00C41483" w:rsidRDefault="00D0055C" w:rsidP="006B5133">
      <w:pPr>
        <w:spacing w:after="0" w:line="240" w:lineRule="auto"/>
        <w:jc w:val="both"/>
        <w:rPr>
          <w:rFonts w:ascii="Times New Roman" w:hAnsi="Times New Roman" w:cs="Times New Roman"/>
          <w:sz w:val="24"/>
          <w:szCs w:val="24"/>
          <w:shd w:val="clear" w:color="auto" w:fill="FFFFFF"/>
          <w:lang w:eastAsia="hr-HR"/>
        </w:rPr>
      </w:pPr>
    </w:p>
    <w:p w14:paraId="390C1D4E" w14:textId="1213D1E3" w:rsidR="00EE5AD7" w:rsidRPr="00C41483" w:rsidRDefault="004E6F1B" w:rsidP="006B5133">
      <w:pPr>
        <w:spacing w:after="0" w:line="240" w:lineRule="auto"/>
        <w:jc w:val="both"/>
        <w:rPr>
          <w:rFonts w:ascii="Times New Roman" w:hAnsi="Times New Roman" w:cs="Times New Roman"/>
          <w:sz w:val="24"/>
          <w:szCs w:val="24"/>
          <w:shd w:val="clear" w:color="auto" w:fill="FFFFFF"/>
          <w:lang w:eastAsia="hr-HR"/>
        </w:rPr>
      </w:pPr>
      <w:r w:rsidRPr="00C41483">
        <w:rPr>
          <w:rFonts w:ascii="Times New Roman" w:hAnsi="Times New Roman" w:cs="Times New Roman"/>
          <w:sz w:val="24"/>
          <w:szCs w:val="24"/>
          <w:shd w:val="clear" w:color="auto" w:fill="FFFFFF"/>
          <w:lang w:eastAsia="hr-HR"/>
        </w:rPr>
        <w:t>(1</w:t>
      </w:r>
      <w:r w:rsidR="00423475" w:rsidRPr="00C41483">
        <w:rPr>
          <w:rFonts w:ascii="Times New Roman" w:hAnsi="Times New Roman" w:cs="Times New Roman"/>
          <w:sz w:val="24"/>
          <w:szCs w:val="24"/>
          <w:shd w:val="clear" w:color="auto" w:fill="FFFFFF"/>
          <w:lang w:eastAsia="hr-HR"/>
        </w:rPr>
        <w:t>1</w:t>
      </w:r>
      <w:r w:rsidR="00E8616D" w:rsidRPr="00C41483">
        <w:rPr>
          <w:rFonts w:ascii="Times New Roman" w:hAnsi="Times New Roman" w:cs="Times New Roman"/>
          <w:sz w:val="24"/>
          <w:szCs w:val="24"/>
          <w:shd w:val="clear" w:color="auto" w:fill="FFFFFF"/>
          <w:lang w:eastAsia="hr-HR"/>
        </w:rPr>
        <w:t>6</w:t>
      </w:r>
      <w:r w:rsidRPr="00C41483">
        <w:rPr>
          <w:rFonts w:ascii="Times New Roman" w:hAnsi="Times New Roman" w:cs="Times New Roman"/>
          <w:sz w:val="24"/>
          <w:szCs w:val="24"/>
          <w:shd w:val="clear" w:color="auto" w:fill="FFFFFF"/>
          <w:lang w:eastAsia="hr-HR"/>
        </w:rPr>
        <w:t xml:space="preserve">) </w:t>
      </w:r>
      <w:r w:rsidR="00A7362D" w:rsidRPr="00C41483">
        <w:rPr>
          <w:rFonts w:ascii="Times New Roman" w:hAnsi="Times New Roman" w:cs="Times New Roman"/>
          <w:sz w:val="24"/>
          <w:szCs w:val="24"/>
          <w:shd w:val="clear" w:color="auto" w:fill="FFFFFF"/>
          <w:lang w:eastAsia="hr-HR"/>
        </w:rPr>
        <w:t xml:space="preserve">Radi zaštite prava štićenika donesen je Zakon o Centru za posebno skrbništvo (2020.). Uvažavajući profesionalna znanja, temeljna uloga posebnog skrbnika, koji je pravnik s </w:t>
      </w:r>
      <w:r w:rsidR="00A7362D" w:rsidRPr="00C41483">
        <w:rPr>
          <w:rFonts w:ascii="Times New Roman" w:hAnsi="Times New Roman" w:cs="Times New Roman"/>
          <w:sz w:val="24"/>
          <w:szCs w:val="24"/>
          <w:shd w:val="clear" w:color="auto" w:fill="FFFFFF"/>
          <w:lang w:eastAsia="hr-HR"/>
        </w:rPr>
        <w:lastRenderedPageBreak/>
        <w:t xml:space="preserve">položenim pravosudnim ispitom, je zastupanje i zaštita interesa djece i odraslih osoba u sudskim postupcima sa ciljem jačanja procesnog položaja istih. U okviru navedenoga, a uvažavajući međunarodne standarde zaštite prava, postoji niz dodatnih radnji koje zahtijevaju razgovor s djecom i odraslim osobama. Dob djeteta ili funkcionalna sposobnost osobe zahtijeva kompetencije za pristup istima iz psihosocijalne perspektive. Uvažavajući sve prisutniju specifičnost sudskih postupaka u kojima se imenuje poseban skrbnik, posebno u odnosu na djecu što zahtjeva specifična stručna znanja, vještine i kompetencije, uočene poteškoće vezane za diferencijaciju prava djeteta na izražavanje mišljenja, interesa i želja djeteta kao i potrebu sprečavanja sekundarne </w:t>
      </w:r>
      <w:proofErr w:type="spellStart"/>
      <w:r w:rsidR="00A7362D" w:rsidRPr="00C41483">
        <w:rPr>
          <w:rFonts w:ascii="Times New Roman" w:hAnsi="Times New Roman" w:cs="Times New Roman"/>
          <w:sz w:val="24"/>
          <w:szCs w:val="24"/>
          <w:shd w:val="clear" w:color="auto" w:fill="FFFFFF"/>
          <w:lang w:eastAsia="hr-HR"/>
        </w:rPr>
        <w:t>traumatizacije</w:t>
      </w:r>
      <w:proofErr w:type="spellEnd"/>
      <w:r w:rsidR="00A7362D" w:rsidRPr="00C41483">
        <w:rPr>
          <w:rFonts w:ascii="Times New Roman" w:hAnsi="Times New Roman" w:cs="Times New Roman"/>
          <w:sz w:val="24"/>
          <w:szCs w:val="24"/>
          <w:shd w:val="clear" w:color="auto" w:fill="FFFFFF"/>
          <w:lang w:eastAsia="hr-HR"/>
        </w:rPr>
        <w:t>, zapošljavanjem drugih stručnih radnika specijaliziranih za vođenje razgovora s djecom i odraslim osobama kao stručnih pomagača posebnom skrbniku u značajnoj mjeri će se ojačati zaštita njihovih prava. Također su u istome jasnije propisani stručni poslovi posebnog skrbnika s time da se i u pogledu odraslih osoba taksativno navodi upoznavanje odrasle osobe sa sadržajem odluke i pravom na izjavljivanje žalbe kao i pribavljanje mišljenja odrasle osobe, a sve u cilju zaštite prava odraslih osoba.</w:t>
      </w:r>
    </w:p>
    <w:p w14:paraId="29F075CD" w14:textId="08E3F079" w:rsidR="00A7362D" w:rsidRPr="00C41483" w:rsidRDefault="00A7362D" w:rsidP="006B5133">
      <w:pPr>
        <w:spacing w:after="0" w:line="240" w:lineRule="auto"/>
        <w:jc w:val="both"/>
        <w:rPr>
          <w:rFonts w:ascii="Times New Roman" w:eastAsia="Times New Roman" w:hAnsi="Times New Roman" w:cs="Times New Roman"/>
          <w:bCs/>
          <w:i/>
          <w:iCs/>
          <w:sz w:val="24"/>
          <w:szCs w:val="24"/>
          <w:lang w:eastAsia="hr-HR"/>
        </w:rPr>
      </w:pPr>
    </w:p>
    <w:p w14:paraId="47AC2465" w14:textId="7AF53685" w:rsidR="005A5609" w:rsidRPr="00C41483" w:rsidRDefault="000807E9" w:rsidP="006B5133">
      <w:pPr>
        <w:spacing w:after="0" w:line="240" w:lineRule="auto"/>
        <w:jc w:val="both"/>
        <w:rPr>
          <w:rFonts w:ascii="Times New Roman" w:eastAsia="Times New Roman" w:hAnsi="Times New Roman" w:cs="Times New Roman"/>
          <w:bCs/>
          <w:i/>
          <w:iCs/>
          <w:sz w:val="24"/>
          <w:szCs w:val="24"/>
          <w:lang w:eastAsia="hr-HR"/>
        </w:rPr>
      </w:pPr>
      <w:bookmarkStart w:id="92" w:name="_Hlk83814924"/>
      <w:r w:rsidRPr="00C41483">
        <w:rPr>
          <w:rFonts w:ascii="Times New Roman" w:eastAsia="Times New Roman" w:hAnsi="Times New Roman" w:cs="Times New Roman"/>
          <w:bCs/>
          <w:i/>
          <w:iCs/>
          <w:sz w:val="24"/>
          <w:szCs w:val="24"/>
          <w:lang w:eastAsia="hr-HR"/>
        </w:rPr>
        <w:t>Pitanje 20</w:t>
      </w:r>
      <w:r w:rsidR="005A5609" w:rsidRPr="00C41483">
        <w:rPr>
          <w:rFonts w:ascii="Times New Roman" w:eastAsia="Times New Roman" w:hAnsi="Times New Roman" w:cs="Times New Roman"/>
          <w:bCs/>
          <w:i/>
          <w:iCs/>
          <w:sz w:val="24"/>
          <w:szCs w:val="24"/>
          <w:lang w:eastAsia="hr-HR"/>
        </w:rPr>
        <w:t>c)</w:t>
      </w:r>
    </w:p>
    <w:bookmarkEnd w:id="92"/>
    <w:p w14:paraId="187221F0" w14:textId="77777777" w:rsidR="000668E0" w:rsidRPr="00C41483" w:rsidRDefault="000668E0" w:rsidP="006B5133">
      <w:pPr>
        <w:spacing w:after="0" w:line="240" w:lineRule="auto"/>
        <w:jc w:val="both"/>
        <w:rPr>
          <w:rFonts w:ascii="Times New Roman" w:eastAsia="Times New Roman" w:hAnsi="Times New Roman" w:cs="Times New Roman"/>
          <w:bCs/>
          <w:sz w:val="24"/>
          <w:szCs w:val="24"/>
          <w:lang w:eastAsia="hr-HR"/>
        </w:rPr>
      </w:pPr>
    </w:p>
    <w:p w14:paraId="51A6E83E" w14:textId="2FFDF762" w:rsidR="003859A3" w:rsidRPr="00C41483" w:rsidRDefault="004E6F1B" w:rsidP="003859A3">
      <w:pPr>
        <w:spacing w:after="0" w:line="240" w:lineRule="auto"/>
        <w:jc w:val="both"/>
        <w:rPr>
          <w:rFonts w:ascii="Times New Roman" w:hAnsi="Times New Roman" w:cs="Times New Roman"/>
          <w:sz w:val="24"/>
          <w:szCs w:val="24"/>
        </w:rPr>
      </w:pPr>
      <w:r w:rsidRPr="00C41483">
        <w:rPr>
          <w:rFonts w:ascii="Times New Roman" w:hAnsi="Times New Roman" w:cs="Times New Roman"/>
          <w:sz w:val="24"/>
          <w:szCs w:val="24"/>
        </w:rPr>
        <w:t>(1</w:t>
      </w:r>
      <w:r w:rsidR="00423475" w:rsidRPr="00C41483">
        <w:rPr>
          <w:rFonts w:ascii="Times New Roman" w:hAnsi="Times New Roman" w:cs="Times New Roman"/>
          <w:sz w:val="24"/>
          <w:szCs w:val="24"/>
        </w:rPr>
        <w:t>1</w:t>
      </w:r>
      <w:r w:rsidR="00E8616D" w:rsidRPr="00C41483">
        <w:rPr>
          <w:rFonts w:ascii="Times New Roman" w:hAnsi="Times New Roman" w:cs="Times New Roman"/>
          <w:sz w:val="24"/>
          <w:szCs w:val="24"/>
        </w:rPr>
        <w:t>7</w:t>
      </w:r>
      <w:r w:rsidRPr="00C41483">
        <w:rPr>
          <w:rFonts w:ascii="Times New Roman" w:hAnsi="Times New Roman" w:cs="Times New Roman"/>
          <w:sz w:val="24"/>
          <w:szCs w:val="24"/>
        </w:rPr>
        <w:t xml:space="preserve">) </w:t>
      </w:r>
      <w:r w:rsidR="006E0E24" w:rsidRPr="00C41483">
        <w:rPr>
          <w:rFonts w:ascii="Times New Roman" w:hAnsi="Times New Roman" w:cs="Times New Roman"/>
          <w:sz w:val="24"/>
          <w:szCs w:val="24"/>
        </w:rPr>
        <w:t xml:space="preserve">Pozivom „Unapređivanje infrastrukture za pružanje socijalnih usluga u zajednici kao podrška procesu deinstitucionalizacije - druga faza“ koji se financira iz Europskog fonda za regionalni razvoj, s ciljem unapređenja infrastrukture za pružanje </w:t>
      </w:r>
      <w:proofErr w:type="spellStart"/>
      <w:r w:rsidR="006E0E24" w:rsidRPr="00C41483">
        <w:rPr>
          <w:rFonts w:ascii="Times New Roman" w:hAnsi="Times New Roman" w:cs="Times New Roman"/>
          <w:sz w:val="24"/>
          <w:szCs w:val="24"/>
        </w:rPr>
        <w:t>izvaninstitucijskih</w:t>
      </w:r>
      <w:proofErr w:type="spellEnd"/>
      <w:r w:rsidR="006E0E24" w:rsidRPr="00C41483">
        <w:rPr>
          <w:rFonts w:ascii="Times New Roman" w:hAnsi="Times New Roman" w:cs="Times New Roman"/>
          <w:sz w:val="24"/>
          <w:szCs w:val="24"/>
        </w:rPr>
        <w:t xml:space="preserve"> socijalnih usluga, omogućeno je apliciranje svim pružateljima socijalnih usluga za sve korisničke skupine.</w:t>
      </w:r>
      <w:r w:rsidR="003859A3" w:rsidRPr="00C41483">
        <w:rPr>
          <w:rFonts w:ascii="Times New Roman" w:hAnsi="Times New Roman" w:cs="Times New Roman"/>
          <w:sz w:val="24"/>
          <w:szCs w:val="24"/>
        </w:rPr>
        <w:t xml:space="preserve"> </w:t>
      </w:r>
    </w:p>
    <w:p w14:paraId="78056469" w14:textId="77777777" w:rsidR="00D0055C" w:rsidRPr="00C41483" w:rsidRDefault="00D0055C" w:rsidP="003859A3">
      <w:pPr>
        <w:spacing w:after="0" w:line="240" w:lineRule="auto"/>
        <w:jc w:val="both"/>
        <w:rPr>
          <w:rFonts w:ascii="Times New Roman" w:eastAsia="Times New Roman" w:hAnsi="Times New Roman" w:cs="Times New Roman"/>
          <w:bCs/>
          <w:sz w:val="24"/>
          <w:szCs w:val="24"/>
          <w:lang w:eastAsia="hr-HR"/>
        </w:rPr>
      </w:pPr>
    </w:p>
    <w:p w14:paraId="5E37E780" w14:textId="7EC0F10B" w:rsidR="005B3DE8" w:rsidRPr="00C41483" w:rsidRDefault="004E6F1B" w:rsidP="003859A3">
      <w:pPr>
        <w:spacing w:after="0" w:line="240" w:lineRule="auto"/>
        <w:jc w:val="both"/>
        <w:rPr>
          <w:rFonts w:ascii="Times New Roman" w:eastAsia="Times New Roman" w:hAnsi="Times New Roman" w:cs="Times New Roman"/>
          <w:bCs/>
          <w:sz w:val="24"/>
          <w:szCs w:val="24"/>
          <w:lang w:eastAsia="hr-HR"/>
        </w:rPr>
      </w:pPr>
      <w:r w:rsidRPr="00C41483">
        <w:rPr>
          <w:rFonts w:ascii="Times New Roman" w:eastAsia="Times New Roman" w:hAnsi="Times New Roman" w:cs="Times New Roman"/>
          <w:bCs/>
          <w:sz w:val="24"/>
          <w:szCs w:val="24"/>
          <w:lang w:eastAsia="hr-HR"/>
        </w:rPr>
        <w:t>(1</w:t>
      </w:r>
      <w:r w:rsidR="00423475" w:rsidRPr="00C41483">
        <w:rPr>
          <w:rFonts w:ascii="Times New Roman" w:eastAsia="Times New Roman" w:hAnsi="Times New Roman" w:cs="Times New Roman"/>
          <w:bCs/>
          <w:sz w:val="24"/>
          <w:szCs w:val="24"/>
          <w:lang w:eastAsia="hr-HR"/>
        </w:rPr>
        <w:t>1</w:t>
      </w:r>
      <w:r w:rsidR="00E8616D" w:rsidRPr="00C41483">
        <w:rPr>
          <w:rFonts w:ascii="Times New Roman" w:eastAsia="Times New Roman" w:hAnsi="Times New Roman" w:cs="Times New Roman"/>
          <w:bCs/>
          <w:sz w:val="24"/>
          <w:szCs w:val="24"/>
          <w:lang w:eastAsia="hr-HR"/>
        </w:rPr>
        <w:t>8</w:t>
      </w:r>
      <w:r w:rsidRPr="00C41483">
        <w:rPr>
          <w:rFonts w:ascii="Times New Roman" w:eastAsia="Times New Roman" w:hAnsi="Times New Roman" w:cs="Times New Roman"/>
          <w:bCs/>
          <w:sz w:val="24"/>
          <w:szCs w:val="24"/>
          <w:lang w:eastAsia="hr-HR"/>
        </w:rPr>
        <w:t xml:space="preserve">) </w:t>
      </w:r>
      <w:r w:rsidR="003859A3" w:rsidRPr="00C41483">
        <w:rPr>
          <w:rFonts w:ascii="Times New Roman" w:eastAsia="Times New Roman" w:hAnsi="Times New Roman" w:cs="Times New Roman"/>
          <w:bCs/>
          <w:sz w:val="24"/>
          <w:szCs w:val="24"/>
          <w:lang w:eastAsia="hr-HR"/>
        </w:rPr>
        <w:t xml:space="preserve">U okviru poziva ministarstva nadležnog za socijalnu skrb za prijavu prijedloga trogodišnjih programa pod nazivom „Razvoj i širenje mreže socijalnih usluga koje pružaju udruge“ za razdoblje od 2017. do 2020. godine </w:t>
      </w:r>
      <w:r w:rsidR="005B3DE8" w:rsidRPr="00C41483">
        <w:rPr>
          <w:rFonts w:ascii="Times New Roman" w:eastAsia="Times New Roman" w:hAnsi="Times New Roman" w:cs="Times New Roman"/>
          <w:bCs/>
          <w:sz w:val="24"/>
          <w:szCs w:val="24"/>
          <w:lang w:eastAsia="hr-HR"/>
        </w:rPr>
        <w:t xml:space="preserve">i razdoblje od 2020. do 2023. godine </w:t>
      </w:r>
      <w:r w:rsidR="003859A3" w:rsidRPr="00C41483">
        <w:rPr>
          <w:rFonts w:ascii="Times New Roman" w:eastAsia="Times New Roman" w:hAnsi="Times New Roman" w:cs="Times New Roman"/>
          <w:bCs/>
          <w:sz w:val="24"/>
          <w:szCs w:val="24"/>
          <w:lang w:eastAsia="hr-HR"/>
        </w:rPr>
        <w:t>udruga</w:t>
      </w:r>
      <w:r w:rsidR="005B3DE8" w:rsidRPr="00C41483">
        <w:rPr>
          <w:rFonts w:ascii="Times New Roman" w:eastAsia="Times New Roman" w:hAnsi="Times New Roman" w:cs="Times New Roman"/>
          <w:bCs/>
          <w:sz w:val="24"/>
          <w:szCs w:val="24"/>
          <w:lang w:eastAsia="hr-HR"/>
        </w:rPr>
        <w:t>ma</w:t>
      </w:r>
      <w:r w:rsidR="003859A3" w:rsidRPr="00C41483">
        <w:rPr>
          <w:rFonts w:ascii="Times New Roman" w:eastAsia="Times New Roman" w:hAnsi="Times New Roman" w:cs="Times New Roman"/>
          <w:bCs/>
          <w:sz w:val="24"/>
          <w:szCs w:val="24"/>
          <w:lang w:eastAsia="hr-HR"/>
        </w:rPr>
        <w:t xml:space="preserve"> osoba s invaliditetom i udruga</w:t>
      </w:r>
      <w:r w:rsidR="005B3DE8" w:rsidRPr="00C41483">
        <w:rPr>
          <w:rFonts w:ascii="Times New Roman" w:eastAsia="Times New Roman" w:hAnsi="Times New Roman" w:cs="Times New Roman"/>
          <w:bCs/>
          <w:sz w:val="24"/>
          <w:szCs w:val="24"/>
          <w:lang w:eastAsia="hr-HR"/>
        </w:rPr>
        <w:t>ma</w:t>
      </w:r>
      <w:r w:rsidR="003859A3" w:rsidRPr="00C41483">
        <w:rPr>
          <w:rFonts w:ascii="Times New Roman" w:eastAsia="Times New Roman" w:hAnsi="Times New Roman" w:cs="Times New Roman"/>
          <w:bCs/>
          <w:sz w:val="24"/>
          <w:szCs w:val="24"/>
          <w:lang w:eastAsia="hr-HR"/>
        </w:rPr>
        <w:t xml:space="preserve"> koje djeluju u korist osoba s invaliditetom</w:t>
      </w:r>
      <w:r w:rsidR="005B3DE8" w:rsidRPr="00C41483">
        <w:rPr>
          <w:rFonts w:ascii="Times New Roman" w:eastAsia="Times New Roman" w:hAnsi="Times New Roman" w:cs="Times New Roman"/>
          <w:bCs/>
          <w:sz w:val="24"/>
          <w:szCs w:val="24"/>
          <w:lang w:eastAsia="hr-HR"/>
        </w:rPr>
        <w:t xml:space="preserve"> dana je mogućnost prijave programa kojim se osigurava usluga organiziranog stanovanja. </w:t>
      </w:r>
      <w:bookmarkStart w:id="93" w:name="_Hlk33195810"/>
    </w:p>
    <w:bookmarkEnd w:id="93"/>
    <w:p w14:paraId="2ADAA2FE" w14:textId="77777777" w:rsidR="00D0055C" w:rsidRPr="00C41483" w:rsidRDefault="00D0055C" w:rsidP="006B5133">
      <w:pPr>
        <w:spacing w:after="0" w:line="240" w:lineRule="auto"/>
        <w:jc w:val="both"/>
        <w:rPr>
          <w:rFonts w:ascii="Times New Roman" w:eastAsia="Times New Roman" w:hAnsi="Times New Roman" w:cs="Times New Roman"/>
          <w:bCs/>
          <w:sz w:val="24"/>
          <w:szCs w:val="24"/>
          <w:lang w:eastAsia="hr-HR"/>
        </w:rPr>
      </w:pPr>
    </w:p>
    <w:p w14:paraId="5E9C64D1" w14:textId="5FA93D8D" w:rsidR="00423475" w:rsidRPr="00C41483" w:rsidRDefault="004E6F1B" w:rsidP="00423475">
      <w:pPr>
        <w:spacing w:after="0" w:line="240" w:lineRule="auto"/>
        <w:jc w:val="both"/>
        <w:rPr>
          <w:rFonts w:ascii="Times New Roman" w:eastAsia="Times New Roman" w:hAnsi="Times New Roman" w:cs="Times New Roman"/>
          <w:bCs/>
          <w:sz w:val="24"/>
          <w:szCs w:val="24"/>
          <w:lang w:eastAsia="hr-HR"/>
        </w:rPr>
      </w:pPr>
      <w:r w:rsidRPr="00C41483">
        <w:rPr>
          <w:rFonts w:ascii="Times New Roman" w:eastAsia="Times New Roman" w:hAnsi="Times New Roman" w:cs="Times New Roman"/>
          <w:bCs/>
          <w:sz w:val="24"/>
          <w:szCs w:val="24"/>
          <w:lang w:eastAsia="hr-HR"/>
        </w:rPr>
        <w:t>(1</w:t>
      </w:r>
      <w:r w:rsidR="00423475" w:rsidRPr="00C41483">
        <w:rPr>
          <w:rFonts w:ascii="Times New Roman" w:eastAsia="Times New Roman" w:hAnsi="Times New Roman" w:cs="Times New Roman"/>
          <w:bCs/>
          <w:sz w:val="24"/>
          <w:szCs w:val="24"/>
          <w:lang w:eastAsia="hr-HR"/>
        </w:rPr>
        <w:t>1</w:t>
      </w:r>
      <w:r w:rsidR="00E8616D" w:rsidRPr="00C41483">
        <w:rPr>
          <w:rFonts w:ascii="Times New Roman" w:eastAsia="Times New Roman" w:hAnsi="Times New Roman" w:cs="Times New Roman"/>
          <w:bCs/>
          <w:sz w:val="24"/>
          <w:szCs w:val="24"/>
          <w:lang w:eastAsia="hr-HR"/>
        </w:rPr>
        <w:t>9</w:t>
      </w:r>
      <w:r w:rsidRPr="00C41483">
        <w:rPr>
          <w:rFonts w:ascii="Times New Roman" w:eastAsia="Times New Roman" w:hAnsi="Times New Roman" w:cs="Times New Roman"/>
          <w:bCs/>
          <w:sz w:val="24"/>
          <w:szCs w:val="24"/>
          <w:lang w:eastAsia="hr-HR"/>
        </w:rPr>
        <w:t xml:space="preserve">) </w:t>
      </w:r>
      <w:r w:rsidR="00143E1F" w:rsidRPr="00C41483">
        <w:rPr>
          <w:rFonts w:ascii="Times New Roman" w:eastAsia="Times New Roman" w:hAnsi="Times New Roman" w:cs="Times New Roman"/>
          <w:bCs/>
          <w:sz w:val="24"/>
          <w:szCs w:val="24"/>
          <w:lang w:eastAsia="hr-HR"/>
        </w:rPr>
        <w:t xml:space="preserve">Poziv na dostavu projektnih prijedloga </w:t>
      </w:r>
      <w:r w:rsidR="005D72CB" w:rsidRPr="00C41483">
        <w:rPr>
          <w:rFonts w:ascii="Times New Roman" w:eastAsia="Times New Roman" w:hAnsi="Times New Roman" w:cs="Times New Roman"/>
          <w:bCs/>
          <w:sz w:val="24"/>
          <w:szCs w:val="24"/>
          <w:lang w:eastAsia="hr-HR"/>
        </w:rPr>
        <w:t>„</w:t>
      </w:r>
      <w:r w:rsidR="00143E1F" w:rsidRPr="00C41483">
        <w:rPr>
          <w:rFonts w:ascii="Times New Roman" w:eastAsia="Times New Roman" w:hAnsi="Times New Roman" w:cs="Times New Roman"/>
          <w:bCs/>
          <w:sz w:val="24"/>
          <w:szCs w:val="24"/>
          <w:lang w:eastAsia="hr-HR"/>
        </w:rPr>
        <w:t>Razvoj i širenje mreže izvaninstitucionalnih usluga za hrvatske branitelje i stradalnike Domovinskog rata</w:t>
      </w:r>
      <w:r w:rsidR="005D72CB" w:rsidRPr="00C41483">
        <w:rPr>
          <w:rFonts w:ascii="Times New Roman" w:eastAsia="Times New Roman" w:hAnsi="Times New Roman" w:cs="Times New Roman"/>
          <w:bCs/>
          <w:sz w:val="24"/>
          <w:szCs w:val="24"/>
          <w:lang w:eastAsia="hr-HR"/>
        </w:rPr>
        <w:t>“</w:t>
      </w:r>
      <w:r w:rsidR="00143E1F" w:rsidRPr="00C41483">
        <w:rPr>
          <w:rFonts w:ascii="Times New Roman" w:eastAsia="Times New Roman" w:hAnsi="Times New Roman" w:cs="Times New Roman"/>
          <w:bCs/>
          <w:sz w:val="24"/>
          <w:szCs w:val="24"/>
          <w:lang w:eastAsia="hr-HR"/>
        </w:rPr>
        <w:t xml:space="preserve"> provodi se u okviru O</w:t>
      </w:r>
      <w:r w:rsidR="002D4058" w:rsidRPr="00C41483">
        <w:rPr>
          <w:rFonts w:ascii="Times New Roman" w:eastAsia="Times New Roman" w:hAnsi="Times New Roman" w:cs="Times New Roman"/>
          <w:bCs/>
          <w:sz w:val="24"/>
          <w:szCs w:val="24"/>
          <w:lang w:eastAsia="hr-HR"/>
        </w:rPr>
        <w:t>PULJP</w:t>
      </w:r>
      <w:r w:rsidR="00143E1F" w:rsidRPr="00C41483">
        <w:rPr>
          <w:rFonts w:ascii="Times New Roman" w:eastAsia="Times New Roman" w:hAnsi="Times New Roman" w:cs="Times New Roman"/>
          <w:bCs/>
          <w:sz w:val="24"/>
          <w:szCs w:val="24"/>
          <w:lang w:eastAsia="hr-HR"/>
        </w:rPr>
        <w:t xml:space="preserve"> 2014.-2020., Prioritetna os 2: </w:t>
      </w:r>
      <w:r w:rsidR="00740797" w:rsidRPr="00C41483">
        <w:rPr>
          <w:rFonts w:ascii="Times New Roman" w:eastAsia="Times New Roman" w:hAnsi="Times New Roman" w:cs="Times New Roman"/>
          <w:bCs/>
          <w:sz w:val="24"/>
          <w:szCs w:val="24"/>
          <w:lang w:eastAsia="hr-HR"/>
        </w:rPr>
        <w:t>Socijalno</w:t>
      </w:r>
      <w:r w:rsidR="00143E1F" w:rsidRPr="00C41483">
        <w:rPr>
          <w:rFonts w:ascii="Times New Roman" w:eastAsia="Times New Roman" w:hAnsi="Times New Roman" w:cs="Times New Roman"/>
          <w:bCs/>
          <w:sz w:val="24"/>
          <w:szCs w:val="24"/>
          <w:lang w:eastAsia="hr-HR"/>
        </w:rPr>
        <w:t xml:space="preserve"> uključivanje, Specifični cilj 9.iv.2: Poboljšanje pristupa visokokvalitetnim socijalnim uslugama, uključujući podršku procesu deinstitucionalizacije. Poziv je </w:t>
      </w:r>
      <w:r w:rsidR="00740797" w:rsidRPr="00C41483">
        <w:rPr>
          <w:rFonts w:ascii="Times New Roman" w:eastAsia="Times New Roman" w:hAnsi="Times New Roman" w:cs="Times New Roman"/>
          <w:bCs/>
          <w:sz w:val="24"/>
          <w:szCs w:val="24"/>
          <w:lang w:eastAsia="hr-HR"/>
        </w:rPr>
        <w:t>namijenjen</w:t>
      </w:r>
      <w:r w:rsidR="00143E1F" w:rsidRPr="00C41483">
        <w:rPr>
          <w:rFonts w:ascii="Times New Roman" w:eastAsia="Times New Roman" w:hAnsi="Times New Roman" w:cs="Times New Roman"/>
          <w:bCs/>
          <w:sz w:val="24"/>
          <w:szCs w:val="24"/>
          <w:lang w:eastAsia="hr-HR"/>
        </w:rPr>
        <w:t xml:space="preserve"> udrugama iz Domovinskog ra</w:t>
      </w:r>
      <w:r w:rsidR="00E755CD" w:rsidRPr="00C41483">
        <w:rPr>
          <w:rFonts w:ascii="Times New Roman" w:eastAsia="Times New Roman" w:hAnsi="Times New Roman" w:cs="Times New Roman"/>
          <w:bCs/>
          <w:sz w:val="24"/>
          <w:szCs w:val="24"/>
          <w:lang w:eastAsia="hr-HR"/>
        </w:rPr>
        <w:t>t</w:t>
      </w:r>
      <w:r w:rsidR="00143E1F" w:rsidRPr="00C41483">
        <w:rPr>
          <w:rFonts w:ascii="Times New Roman" w:eastAsia="Times New Roman" w:hAnsi="Times New Roman" w:cs="Times New Roman"/>
          <w:bCs/>
          <w:sz w:val="24"/>
          <w:szCs w:val="24"/>
          <w:lang w:eastAsia="hr-HR"/>
        </w:rPr>
        <w:t xml:space="preserve">a, a objavljen je s ciljem povećanja socijalne uključenosti i </w:t>
      </w:r>
      <w:r w:rsidR="00740797" w:rsidRPr="00C41483">
        <w:rPr>
          <w:rFonts w:ascii="Times New Roman" w:eastAsia="Times New Roman" w:hAnsi="Times New Roman" w:cs="Times New Roman"/>
          <w:bCs/>
          <w:sz w:val="24"/>
          <w:szCs w:val="24"/>
          <w:lang w:eastAsia="hr-HR"/>
        </w:rPr>
        <w:t>unaprjeđenja</w:t>
      </w:r>
      <w:r w:rsidR="00143E1F" w:rsidRPr="00C41483">
        <w:rPr>
          <w:rFonts w:ascii="Times New Roman" w:eastAsia="Times New Roman" w:hAnsi="Times New Roman" w:cs="Times New Roman"/>
          <w:bCs/>
          <w:sz w:val="24"/>
          <w:szCs w:val="24"/>
          <w:lang w:eastAsia="hr-HR"/>
        </w:rPr>
        <w:t xml:space="preserve"> kvalitete življenja hrvatskih branitelj</w:t>
      </w:r>
      <w:r w:rsidR="00740797" w:rsidRPr="00C41483">
        <w:rPr>
          <w:rFonts w:ascii="Times New Roman" w:eastAsia="Times New Roman" w:hAnsi="Times New Roman" w:cs="Times New Roman"/>
          <w:bCs/>
          <w:sz w:val="24"/>
          <w:szCs w:val="24"/>
          <w:lang w:eastAsia="hr-HR"/>
        </w:rPr>
        <w:t xml:space="preserve">a i stradalnika Domovinskog rata pružanjem izvaninstitucionalnih usluga te širenjem mreže usluga u cijeloj RH. Ugovori o dodjeli bespovratnih sredstava potpisani su s udrugama za ukupno 46 projekata ukupne vrijednosti 80,5 milijuna kuna od čega je 10 udruga osnovanih s ciljem skrbi o </w:t>
      </w:r>
      <w:r w:rsidR="003D6D2D" w:rsidRPr="00C41483">
        <w:rPr>
          <w:rFonts w:ascii="Times New Roman" w:eastAsia="Times New Roman" w:hAnsi="Times New Roman" w:cs="Times New Roman"/>
          <w:bCs/>
          <w:sz w:val="24"/>
          <w:szCs w:val="24"/>
          <w:lang w:eastAsia="hr-HR"/>
        </w:rPr>
        <w:t>HRVI</w:t>
      </w:r>
      <w:r w:rsidR="00740797" w:rsidRPr="00C41483">
        <w:rPr>
          <w:rFonts w:ascii="Times New Roman" w:eastAsia="Times New Roman" w:hAnsi="Times New Roman" w:cs="Times New Roman"/>
          <w:bCs/>
          <w:sz w:val="24"/>
          <w:szCs w:val="24"/>
          <w:lang w:eastAsia="hr-HR"/>
        </w:rPr>
        <w:t>, a projekti ostalih udruga djelomično se odnose na hrvatske ratne vojne invalide kao korisnike.</w:t>
      </w:r>
      <w:r w:rsidR="00607EE6" w:rsidRPr="00C41483">
        <w:rPr>
          <w:rFonts w:ascii="Times New Roman" w:eastAsia="Times New Roman" w:hAnsi="Times New Roman" w:cs="Times New Roman"/>
          <w:bCs/>
          <w:sz w:val="24"/>
          <w:szCs w:val="24"/>
          <w:lang w:eastAsia="hr-HR"/>
        </w:rPr>
        <w:t xml:space="preserve"> Usluge koje se pružaju u okviru navedenih projekata </w:t>
      </w:r>
      <w:r w:rsidR="00DD1390" w:rsidRPr="00C41483">
        <w:rPr>
          <w:rFonts w:ascii="Times New Roman" w:eastAsia="Times New Roman" w:hAnsi="Times New Roman" w:cs="Times New Roman"/>
          <w:bCs/>
          <w:sz w:val="24"/>
          <w:szCs w:val="24"/>
          <w:lang w:eastAsia="hr-HR"/>
        </w:rPr>
        <w:t xml:space="preserve">obuhvaćaju uslugu psihosocijalne pomoći, usluge zdravstvene skrbi i pružanje usluga u kući u obavljanju svakodnevnih životnih aktivnosti. Osiguravanjem navedenih usluga doprinosi se </w:t>
      </w:r>
      <w:proofErr w:type="spellStart"/>
      <w:r w:rsidR="00DD1390" w:rsidRPr="00C41483">
        <w:rPr>
          <w:rFonts w:ascii="Times New Roman" w:eastAsia="Times New Roman" w:hAnsi="Times New Roman" w:cs="Times New Roman"/>
          <w:bCs/>
          <w:sz w:val="24"/>
          <w:szCs w:val="24"/>
          <w:lang w:eastAsia="hr-HR"/>
        </w:rPr>
        <w:t>deinsti</w:t>
      </w:r>
      <w:r w:rsidR="00672D95" w:rsidRPr="00C41483">
        <w:rPr>
          <w:rFonts w:ascii="Times New Roman" w:eastAsia="Times New Roman" w:hAnsi="Times New Roman" w:cs="Times New Roman"/>
          <w:bCs/>
          <w:sz w:val="24"/>
          <w:szCs w:val="24"/>
          <w:lang w:eastAsia="hr-HR"/>
        </w:rPr>
        <w:t>t</w:t>
      </w:r>
      <w:r w:rsidR="00DD1390" w:rsidRPr="00C41483">
        <w:rPr>
          <w:rFonts w:ascii="Times New Roman" w:eastAsia="Times New Roman" w:hAnsi="Times New Roman" w:cs="Times New Roman"/>
          <w:bCs/>
          <w:sz w:val="24"/>
          <w:szCs w:val="24"/>
          <w:lang w:eastAsia="hr-HR"/>
        </w:rPr>
        <w:t>ucionalizaciji</w:t>
      </w:r>
      <w:proofErr w:type="spellEnd"/>
      <w:r w:rsidR="00DD1390" w:rsidRPr="00C41483">
        <w:rPr>
          <w:rFonts w:ascii="Times New Roman" w:eastAsia="Times New Roman" w:hAnsi="Times New Roman" w:cs="Times New Roman"/>
          <w:bCs/>
          <w:sz w:val="24"/>
          <w:szCs w:val="24"/>
          <w:lang w:eastAsia="hr-HR"/>
        </w:rPr>
        <w:t xml:space="preserve"> te omogućava kvalitetna nadopuna postojećeg sustava skrbi.</w:t>
      </w:r>
      <w:bookmarkStart w:id="94" w:name="_Toc76630960"/>
    </w:p>
    <w:p w14:paraId="67160741" w14:textId="77777777" w:rsidR="00423475" w:rsidRPr="00C41483" w:rsidRDefault="00423475" w:rsidP="00423475">
      <w:pPr>
        <w:spacing w:after="0" w:line="240" w:lineRule="auto"/>
        <w:jc w:val="both"/>
        <w:rPr>
          <w:rFonts w:ascii="Times New Roman" w:eastAsia="Times New Roman" w:hAnsi="Times New Roman" w:cs="Times New Roman"/>
          <w:bCs/>
          <w:sz w:val="24"/>
          <w:szCs w:val="24"/>
          <w:lang w:eastAsia="hr-HR"/>
        </w:rPr>
      </w:pPr>
    </w:p>
    <w:p w14:paraId="3E88F062" w14:textId="77777777" w:rsidR="00423475" w:rsidRPr="00C41483" w:rsidRDefault="00423475" w:rsidP="00423475">
      <w:pPr>
        <w:spacing w:after="0" w:line="240" w:lineRule="auto"/>
        <w:jc w:val="both"/>
        <w:rPr>
          <w:rFonts w:ascii="Times New Roman" w:eastAsia="Times New Roman" w:hAnsi="Times New Roman" w:cs="Times New Roman"/>
          <w:bCs/>
          <w:sz w:val="24"/>
          <w:szCs w:val="24"/>
          <w:lang w:eastAsia="hr-HR"/>
        </w:rPr>
      </w:pPr>
    </w:p>
    <w:p w14:paraId="4165021E" w14:textId="5321460B" w:rsidR="00D542B4" w:rsidRPr="00C41483" w:rsidRDefault="00D542B4" w:rsidP="00423475">
      <w:pPr>
        <w:spacing w:after="0" w:line="240" w:lineRule="auto"/>
        <w:jc w:val="both"/>
        <w:rPr>
          <w:rFonts w:ascii="Times New Roman" w:eastAsia="Times New Roman" w:hAnsi="Times New Roman" w:cs="Times New Roman"/>
          <w:b/>
          <w:bCs/>
          <w:sz w:val="24"/>
          <w:szCs w:val="24"/>
          <w:lang w:eastAsia="hr-HR"/>
        </w:rPr>
      </w:pPr>
      <w:r w:rsidRPr="00C41483">
        <w:rPr>
          <w:rFonts w:ascii="Times New Roman" w:eastAsia="Times New Roman" w:hAnsi="Times New Roman" w:cs="Times New Roman"/>
          <w:b/>
          <w:bCs/>
          <w:sz w:val="24"/>
          <w:szCs w:val="24"/>
          <w:lang w:eastAsia="hr-HR"/>
        </w:rPr>
        <w:t>Sloboda izražavanja i mišljenja, te pristup informacijama (čl. 21.)</w:t>
      </w:r>
      <w:bookmarkEnd w:id="94"/>
    </w:p>
    <w:p w14:paraId="2060EE9A" w14:textId="77777777" w:rsidR="000668E0" w:rsidRPr="00C41483" w:rsidRDefault="000668E0" w:rsidP="006B5133">
      <w:pPr>
        <w:spacing w:after="0" w:line="240" w:lineRule="auto"/>
        <w:jc w:val="both"/>
        <w:rPr>
          <w:rFonts w:ascii="Times New Roman" w:eastAsia="Times New Roman" w:hAnsi="Times New Roman" w:cs="Times New Roman"/>
          <w:bCs/>
          <w:i/>
          <w:iCs/>
          <w:sz w:val="24"/>
          <w:szCs w:val="24"/>
          <w:lang w:eastAsia="hr-HR"/>
        </w:rPr>
      </w:pPr>
    </w:p>
    <w:p w14:paraId="2477672B" w14:textId="6C48A15E" w:rsidR="007B5A8D" w:rsidRPr="00C41483" w:rsidRDefault="000807E9" w:rsidP="006B5133">
      <w:pPr>
        <w:spacing w:after="0" w:line="240" w:lineRule="auto"/>
        <w:jc w:val="both"/>
        <w:rPr>
          <w:rFonts w:ascii="Times New Roman" w:eastAsia="Times New Roman" w:hAnsi="Times New Roman" w:cs="Times New Roman"/>
          <w:bCs/>
          <w:i/>
          <w:iCs/>
          <w:sz w:val="24"/>
          <w:szCs w:val="24"/>
          <w:lang w:eastAsia="hr-HR"/>
        </w:rPr>
      </w:pPr>
      <w:bookmarkStart w:id="95" w:name="_Hlk83814941"/>
      <w:r w:rsidRPr="00C41483">
        <w:rPr>
          <w:rFonts w:ascii="Times New Roman" w:eastAsia="Times New Roman" w:hAnsi="Times New Roman" w:cs="Times New Roman"/>
          <w:bCs/>
          <w:i/>
          <w:iCs/>
          <w:sz w:val="24"/>
          <w:szCs w:val="24"/>
          <w:lang w:eastAsia="hr-HR"/>
        </w:rPr>
        <w:t xml:space="preserve">Pitanje </w:t>
      </w:r>
      <w:r w:rsidR="00D32A56" w:rsidRPr="00C41483">
        <w:rPr>
          <w:rFonts w:ascii="Times New Roman" w:eastAsia="Times New Roman" w:hAnsi="Times New Roman" w:cs="Times New Roman"/>
          <w:bCs/>
          <w:i/>
          <w:iCs/>
          <w:sz w:val="24"/>
          <w:szCs w:val="24"/>
          <w:lang w:eastAsia="hr-HR"/>
        </w:rPr>
        <w:t>21</w:t>
      </w:r>
      <w:r w:rsidR="007B5A8D" w:rsidRPr="00C41483">
        <w:rPr>
          <w:rFonts w:ascii="Times New Roman" w:eastAsia="Times New Roman" w:hAnsi="Times New Roman" w:cs="Times New Roman"/>
          <w:bCs/>
          <w:i/>
          <w:iCs/>
          <w:sz w:val="24"/>
          <w:szCs w:val="24"/>
          <w:lang w:eastAsia="hr-HR"/>
        </w:rPr>
        <w:t>a)</w:t>
      </w:r>
    </w:p>
    <w:p w14:paraId="02035D08" w14:textId="5614AFC1" w:rsidR="00433D32" w:rsidRPr="00C41483" w:rsidRDefault="00433D32" w:rsidP="006B5133">
      <w:pPr>
        <w:spacing w:after="0" w:line="240" w:lineRule="auto"/>
        <w:jc w:val="both"/>
        <w:rPr>
          <w:rFonts w:ascii="Times New Roman" w:eastAsia="Times New Roman" w:hAnsi="Times New Roman" w:cs="Times New Roman"/>
          <w:bCs/>
          <w:i/>
          <w:iCs/>
          <w:sz w:val="24"/>
          <w:szCs w:val="24"/>
          <w:lang w:eastAsia="hr-HR"/>
        </w:rPr>
      </w:pPr>
    </w:p>
    <w:bookmarkEnd w:id="95"/>
    <w:p w14:paraId="3A56F9E6" w14:textId="11184A21" w:rsidR="0091469C" w:rsidRPr="00C41483" w:rsidRDefault="000E1927" w:rsidP="006B5133">
      <w:pPr>
        <w:spacing w:after="0" w:line="240" w:lineRule="auto"/>
        <w:jc w:val="both"/>
        <w:rPr>
          <w:rFonts w:ascii="Times New Roman" w:eastAsia="Times New Roman" w:hAnsi="Times New Roman" w:cs="Times New Roman"/>
          <w:bCs/>
          <w:sz w:val="24"/>
          <w:szCs w:val="24"/>
          <w:lang w:eastAsia="hr-HR"/>
        </w:rPr>
      </w:pPr>
      <w:r w:rsidRPr="00C41483">
        <w:rPr>
          <w:rFonts w:ascii="Times New Roman" w:eastAsia="Times New Roman" w:hAnsi="Times New Roman" w:cs="Times New Roman"/>
          <w:bCs/>
          <w:sz w:val="24"/>
          <w:szCs w:val="24"/>
          <w:lang w:eastAsia="hr-HR"/>
        </w:rPr>
        <w:t>(1</w:t>
      </w:r>
      <w:r w:rsidR="00E8616D" w:rsidRPr="00C41483">
        <w:rPr>
          <w:rFonts w:ascii="Times New Roman" w:eastAsia="Times New Roman" w:hAnsi="Times New Roman" w:cs="Times New Roman"/>
          <w:bCs/>
          <w:sz w:val="24"/>
          <w:szCs w:val="24"/>
          <w:lang w:eastAsia="hr-HR"/>
        </w:rPr>
        <w:t>20</w:t>
      </w:r>
      <w:r w:rsidRPr="00C41483">
        <w:rPr>
          <w:rFonts w:ascii="Times New Roman" w:eastAsia="Times New Roman" w:hAnsi="Times New Roman" w:cs="Times New Roman"/>
          <w:bCs/>
          <w:sz w:val="24"/>
          <w:szCs w:val="24"/>
          <w:lang w:eastAsia="hr-HR"/>
        </w:rPr>
        <w:t xml:space="preserve">) </w:t>
      </w:r>
      <w:r w:rsidR="00433D32" w:rsidRPr="00C41483">
        <w:rPr>
          <w:rFonts w:ascii="Times New Roman" w:eastAsia="Times New Roman" w:hAnsi="Times New Roman" w:cs="Times New Roman"/>
          <w:bCs/>
          <w:sz w:val="24"/>
          <w:szCs w:val="24"/>
          <w:lang w:eastAsia="hr-HR"/>
        </w:rPr>
        <w:t xml:space="preserve">Zakonom o hrvatskom znakovnom jeziku i ostalim sustavima komunikacije gluhih i </w:t>
      </w:r>
      <w:proofErr w:type="spellStart"/>
      <w:r w:rsidR="00433D32" w:rsidRPr="00C41483">
        <w:rPr>
          <w:rFonts w:ascii="Times New Roman" w:eastAsia="Times New Roman" w:hAnsi="Times New Roman" w:cs="Times New Roman"/>
          <w:bCs/>
          <w:sz w:val="24"/>
          <w:szCs w:val="24"/>
          <w:lang w:eastAsia="hr-HR"/>
        </w:rPr>
        <w:t>gluhoslijepih</w:t>
      </w:r>
      <w:proofErr w:type="spellEnd"/>
      <w:r w:rsidR="00433D32" w:rsidRPr="00C41483">
        <w:rPr>
          <w:rFonts w:ascii="Times New Roman" w:eastAsia="Times New Roman" w:hAnsi="Times New Roman" w:cs="Times New Roman"/>
          <w:bCs/>
          <w:sz w:val="24"/>
          <w:szCs w:val="24"/>
          <w:lang w:eastAsia="hr-HR"/>
        </w:rPr>
        <w:t xml:space="preserve"> osoba u Republici Hrvatskoj (2015.) propisano je pravo gluhih i </w:t>
      </w:r>
      <w:proofErr w:type="spellStart"/>
      <w:r w:rsidR="00433D32" w:rsidRPr="00C41483">
        <w:rPr>
          <w:rFonts w:ascii="Times New Roman" w:eastAsia="Times New Roman" w:hAnsi="Times New Roman" w:cs="Times New Roman"/>
          <w:bCs/>
          <w:sz w:val="24"/>
          <w:szCs w:val="24"/>
          <w:lang w:eastAsia="hr-HR"/>
        </w:rPr>
        <w:t>gluhoslijepih</w:t>
      </w:r>
      <w:proofErr w:type="spellEnd"/>
      <w:r w:rsidR="00433D32" w:rsidRPr="00C41483">
        <w:rPr>
          <w:rFonts w:ascii="Times New Roman" w:eastAsia="Times New Roman" w:hAnsi="Times New Roman" w:cs="Times New Roman"/>
          <w:bCs/>
          <w:sz w:val="24"/>
          <w:szCs w:val="24"/>
          <w:lang w:eastAsia="hr-HR"/>
        </w:rPr>
        <w:t xml:space="preserve"> </w:t>
      </w:r>
      <w:r w:rsidR="00433D32" w:rsidRPr="00C41483">
        <w:rPr>
          <w:rFonts w:ascii="Times New Roman" w:eastAsia="Times New Roman" w:hAnsi="Times New Roman" w:cs="Times New Roman"/>
          <w:bCs/>
          <w:sz w:val="24"/>
          <w:szCs w:val="24"/>
          <w:lang w:eastAsia="hr-HR"/>
        </w:rPr>
        <w:lastRenderedPageBreak/>
        <w:t>osoba te drugih osoba s komunikacijskim teškoćama na korištenje, informiranje i obrazovanje na hrvatskom znakovnom jeziku i ostalim sustavima komunikacije koji odgovaraju njihovim individualnim potrebama, a u svrhu izjednačavanja mogućnosti pristupa socijalnom, ekonomskom i kulturnom okruženju te omogućavanju ravnopravnog ostvarivanja svih ljudskih prava i temeljnih sloboda</w:t>
      </w:r>
      <w:r w:rsidR="00433D32" w:rsidRPr="00C41483">
        <w:rPr>
          <w:rFonts w:ascii="Times New Roman" w:eastAsia="Times New Roman" w:hAnsi="Times New Roman" w:cs="Times New Roman"/>
          <w:bCs/>
          <w:color w:val="00B050"/>
          <w:sz w:val="24"/>
          <w:szCs w:val="24"/>
          <w:lang w:eastAsia="hr-HR"/>
        </w:rPr>
        <w:t xml:space="preserve">. </w:t>
      </w:r>
      <w:r w:rsidR="00CB7778" w:rsidRPr="00C41483">
        <w:rPr>
          <w:rFonts w:ascii="Times New Roman" w:eastAsia="Times New Roman" w:hAnsi="Times New Roman" w:cs="Times New Roman"/>
          <w:bCs/>
          <w:sz w:val="24"/>
          <w:szCs w:val="24"/>
          <w:lang w:eastAsia="hr-HR"/>
        </w:rPr>
        <w:t xml:space="preserve">Gluhe i </w:t>
      </w:r>
      <w:proofErr w:type="spellStart"/>
      <w:r w:rsidR="00CB7778" w:rsidRPr="00C41483">
        <w:rPr>
          <w:rFonts w:ascii="Times New Roman" w:eastAsia="Times New Roman" w:hAnsi="Times New Roman" w:cs="Times New Roman"/>
          <w:bCs/>
          <w:sz w:val="24"/>
          <w:szCs w:val="24"/>
          <w:lang w:eastAsia="hr-HR"/>
        </w:rPr>
        <w:t>gluhoslijepe</w:t>
      </w:r>
      <w:proofErr w:type="spellEnd"/>
      <w:r w:rsidR="00CB7778" w:rsidRPr="00C41483">
        <w:rPr>
          <w:rFonts w:ascii="Times New Roman" w:eastAsia="Times New Roman" w:hAnsi="Times New Roman" w:cs="Times New Roman"/>
          <w:bCs/>
          <w:sz w:val="24"/>
          <w:szCs w:val="24"/>
          <w:lang w:eastAsia="hr-HR"/>
        </w:rPr>
        <w:t xml:space="preserve"> osobe imaju se pravo služiti svim oblicima sustava komunikacije gluhih i </w:t>
      </w:r>
      <w:proofErr w:type="spellStart"/>
      <w:r w:rsidR="00CB7778" w:rsidRPr="00C41483">
        <w:rPr>
          <w:rFonts w:ascii="Times New Roman" w:eastAsia="Times New Roman" w:hAnsi="Times New Roman" w:cs="Times New Roman"/>
          <w:bCs/>
          <w:sz w:val="24"/>
          <w:szCs w:val="24"/>
          <w:lang w:eastAsia="hr-HR"/>
        </w:rPr>
        <w:t>gluhoslijepih</w:t>
      </w:r>
      <w:proofErr w:type="spellEnd"/>
      <w:r w:rsidR="00CB7778" w:rsidRPr="00C41483">
        <w:rPr>
          <w:rFonts w:ascii="Times New Roman" w:eastAsia="Times New Roman" w:hAnsi="Times New Roman" w:cs="Times New Roman"/>
          <w:bCs/>
          <w:sz w:val="24"/>
          <w:szCs w:val="24"/>
          <w:lang w:eastAsia="hr-HR"/>
        </w:rPr>
        <w:t xml:space="preserve"> osoba, odnosno svim oblicima podrške u vidu komunikacijskog posrednika u svim životnim situacijama i pred tijelima državne uprave, tijelima </w:t>
      </w:r>
      <w:r w:rsidR="002A43F0" w:rsidRPr="00C41483">
        <w:rPr>
          <w:rFonts w:ascii="Times New Roman" w:hAnsi="Times New Roman" w:cs="Times New Roman"/>
          <w:sz w:val="24"/>
          <w:szCs w:val="24"/>
        </w:rPr>
        <w:t>JLP(R)S</w:t>
      </w:r>
      <w:r w:rsidR="00CB7778" w:rsidRPr="00C41483">
        <w:rPr>
          <w:rFonts w:ascii="Times New Roman" w:eastAsia="Times New Roman" w:hAnsi="Times New Roman" w:cs="Times New Roman"/>
          <w:bCs/>
          <w:sz w:val="24"/>
          <w:szCs w:val="24"/>
          <w:lang w:eastAsia="hr-HR"/>
        </w:rPr>
        <w:t xml:space="preserve"> te pravnim osobama s javnim ovlastima kada bi gluhoća i </w:t>
      </w:r>
      <w:proofErr w:type="spellStart"/>
      <w:r w:rsidR="00CB7778" w:rsidRPr="00C41483">
        <w:rPr>
          <w:rFonts w:ascii="Times New Roman" w:eastAsia="Times New Roman" w:hAnsi="Times New Roman" w:cs="Times New Roman"/>
          <w:bCs/>
          <w:sz w:val="24"/>
          <w:szCs w:val="24"/>
          <w:lang w:eastAsia="hr-HR"/>
        </w:rPr>
        <w:t>gluhosljepoća</w:t>
      </w:r>
      <w:proofErr w:type="spellEnd"/>
      <w:r w:rsidR="00CB7778" w:rsidRPr="00C41483">
        <w:rPr>
          <w:rFonts w:ascii="Times New Roman" w:eastAsia="Times New Roman" w:hAnsi="Times New Roman" w:cs="Times New Roman"/>
          <w:bCs/>
          <w:sz w:val="24"/>
          <w:szCs w:val="24"/>
          <w:lang w:eastAsia="hr-HR"/>
        </w:rPr>
        <w:t xml:space="preserve"> bile prepreke za izjednačavanje mogućnosti pristupa socijalnom, ekonomskom i kulturnom okruženju te omogućavanju ravnopravnog ostvarivanja svih ljudskih prava i temeljnih sloboda. </w:t>
      </w:r>
    </w:p>
    <w:p w14:paraId="0EEC3C9A" w14:textId="77777777" w:rsidR="00D0055C" w:rsidRPr="00C41483" w:rsidRDefault="00D0055C" w:rsidP="006B5133">
      <w:pPr>
        <w:spacing w:after="0" w:line="240" w:lineRule="auto"/>
        <w:jc w:val="both"/>
        <w:rPr>
          <w:rFonts w:ascii="Times New Roman" w:eastAsia="Times New Roman" w:hAnsi="Times New Roman" w:cs="Times New Roman"/>
          <w:bCs/>
          <w:i/>
          <w:iCs/>
          <w:sz w:val="24"/>
          <w:szCs w:val="24"/>
          <w:lang w:eastAsia="hr-HR"/>
        </w:rPr>
      </w:pPr>
    </w:p>
    <w:p w14:paraId="409D354E" w14:textId="1560AA19" w:rsidR="00E46CDC" w:rsidRPr="00C41483" w:rsidRDefault="000E1927">
      <w:pPr>
        <w:spacing w:after="0" w:line="240" w:lineRule="auto"/>
        <w:jc w:val="both"/>
        <w:rPr>
          <w:rFonts w:ascii="Times New Roman" w:hAnsi="Times New Roman" w:cs="Times New Roman"/>
          <w:sz w:val="24"/>
          <w:szCs w:val="24"/>
        </w:rPr>
      </w:pPr>
      <w:r w:rsidRPr="00C41483">
        <w:rPr>
          <w:rFonts w:ascii="Times New Roman" w:hAnsi="Times New Roman" w:cs="Times New Roman"/>
          <w:sz w:val="24"/>
          <w:szCs w:val="24"/>
        </w:rPr>
        <w:t>(1</w:t>
      </w:r>
      <w:bookmarkStart w:id="96" w:name="_Hlk83045144"/>
      <w:r w:rsidR="00E8616D" w:rsidRPr="00C41483">
        <w:rPr>
          <w:rFonts w:ascii="Times New Roman" w:hAnsi="Times New Roman" w:cs="Times New Roman"/>
          <w:sz w:val="24"/>
          <w:szCs w:val="24"/>
        </w:rPr>
        <w:t>2</w:t>
      </w:r>
      <w:r w:rsidR="00423475" w:rsidRPr="00C41483">
        <w:rPr>
          <w:rFonts w:ascii="Times New Roman" w:hAnsi="Times New Roman" w:cs="Times New Roman"/>
          <w:sz w:val="24"/>
          <w:szCs w:val="24"/>
        </w:rPr>
        <w:t>1</w:t>
      </w:r>
      <w:r w:rsidRPr="00C41483">
        <w:rPr>
          <w:rFonts w:ascii="Times New Roman" w:hAnsi="Times New Roman" w:cs="Times New Roman"/>
          <w:sz w:val="24"/>
          <w:szCs w:val="24"/>
        </w:rPr>
        <w:t xml:space="preserve">) </w:t>
      </w:r>
      <w:r w:rsidR="00FD1F62" w:rsidRPr="00C41483">
        <w:rPr>
          <w:rFonts w:ascii="Times New Roman" w:hAnsi="Times New Roman" w:cs="Times New Roman"/>
          <w:sz w:val="24"/>
          <w:szCs w:val="24"/>
        </w:rPr>
        <w:t>Agencija za elektroničke medije provodi postupak dodjele sredstava Fonda nakladni</w:t>
      </w:r>
      <w:r w:rsidR="00816ECB" w:rsidRPr="00C41483">
        <w:rPr>
          <w:rFonts w:ascii="Times New Roman" w:hAnsi="Times New Roman" w:cs="Times New Roman"/>
          <w:sz w:val="24"/>
          <w:szCs w:val="24"/>
        </w:rPr>
        <w:t>cima</w:t>
      </w:r>
      <w:r w:rsidR="00FD1F62" w:rsidRPr="00C41483">
        <w:rPr>
          <w:rFonts w:ascii="Times New Roman" w:hAnsi="Times New Roman" w:cs="Times New Roman"/>
          <w:sz w:val="24"/>
          <w:szCs w:val="24"/>
        </w:rPr>
        <w:t xml:space="preserve"> televizije i/ili radija na lokalnoj i regionalnoj razini, neprofitni</w:t>
      </w:r>
      <w:r w:rsidR="00816ECB" w:rsidRPr="00C41483">
        <w:rPr>
          <w:rFonts w:ascii="Times New Roman" w:hAnsi="Times New Roman" w:cs="Times New Roman"/>
          <w:sz w:val="24"/>
          <w:szCs w:val="24"/>
        </w:rPr>
        <w:t>m</w:t>
      </w:r>
      <w:r w:rsidR="00FD1F62" w:rsidRPr="00C41483">
        <w:rPr>
          <w:rFonts w:ascii="Times New Roman" w:hAnsi="Times New Roman" w:cs="Times New Roman"/>
          <w:sz w:val="24"/>
          <w:szCs w:val="24"/>
        </w:rPr>
        <w:t xml:space="preserve"> nakladni</w:t>
      </w:r>
      <w:r w:rsidR="00816ECB" w:rsidRPr="00C41483">
        <w:rPr>
          <w:rFonts w:ascii="Times New Roman" w:hAnsi="Times New Roman" w:cs="Times New Roman"/>
          <w:sz w:val="24"/>
          <w:szCs w:val="24"/>
        </w:rPr>
        <w:t>cima</w:t>
      </w:r>
      <w:r w:rsidR="00FD1F62" w:rsidRPr="00C41483">
        <w:rPr>
          <w:rFonts w:ascii="Times New Roman" w:hAnsi="Times New Roman" w:cs="Times New Roman"/>
          <w:sz w:val="24"/>
          <w:szCs w:val="24"/>
        </w:rPr>
        <w:t xml:space="preserve"> televizije i/ili radija, neprofitni</w:t>
      </w:r>
      <w:r w:rsidR="00816ECB" w:rsidRPr="00C41483">
        <w:rPr>
          <w:rFonts w:ascii="Times New Roman" w:hAnsi="Times New Roman" w:cs="Times New Roman"/>
          <w:sz w:val="24"/>
          <w:szCs w:val="24"/>
        </w:rPr>
        <w:t>m</w:t>
      </w:r>
      <w:r w:rsidR="00FD1F62" w:rsidRPr="00C41483">
        <w:rPr>
          <w:rFonts w:ascii="Times New Roman" w:hAnsi="Times New Roman" w:cs="Times New Roman"/>
          <w:sz w:val="24"/>
          <w:szCs w:val="24"/>
        </w:rPr>
        <w:t xml:space="preserve"> pružatelj</w:t>
      </w:r>
      <w:r w:rsidR="00816ECB" w:rsidRPr="00C41483">
        <w:rPr>
          <w:rFonts w:ascii="Times New Roman" w:hAnsi="Times New Roman" w:cs="Times New Roman"/>
          <w:sz w:val="24"/>
          <w:szCs w:val="24"/>
        </w:rPr>
        <w:t>im</w:t>
      </w:r>
      <w:r w:rsidR="00FD1F62" w:rsidRPr="00C41483">
        <w:rPr>
          <w:rFonts w:ascii="Times New Roman" w:hAnsi="Times New Roman" w:cs="Times New Roman"/>
          <w:sz w:val="24"/>
          <w:szCs w:val="24"/>
        </w:rPr>
        <w:t>a medijskih usluga, neprofitni</w:t>
      </w:r>
      <w:r w:rsidR="00816ECB" w:rsidRPr="00C41483">
        <w:rPr>
          <w:rFonts w:ascii="Times New Roman" w:hAnsi="Times New Roman" w:cs="Times New Roman"/>
          <w:sz w:val="24"/>
          <w:szCs w:val="24"/>
        </w:rPr>
        <w:t>m</w:t>
      </w:r>
      <w:r w:rsidR="00FD1F62" w:rsidRPr="00C41483">
        <w:rPr>
          <w:rFonts w:ascii="Times New Roman" w:hAnsi="Times New Roman" w:cs="Times New Roman"/>
          <w:sz w:val="24"/>
          <w:szCs w:val="24"/>
        </w:rPr>
        <w:t xml:space="preserve"> pružatelj</w:t>
      </w:r>
      <w:r w:rsidR="00816ECB" w:rsidRPr="00C41483">
        <w:rPr>
          <w:rFonts w:ascii="Times New Roman" w:hAnsi="Times New Roman" w:cs="Times New Roman"/>
          <w:sz w:val="24"/>
          <w:szCs w:val="24"/>
        </w:rPr>
        <w:t>im</w:t>
      </w:r>
      <w:r w:rsidR="00FD1F62" w:rsidRPr="00C41483">
        <w:rPr>
          <w:rFonts w:ascii="Times New Roman" w:hAnsi="Times New Roman" w:cs="Times New Roman"/>
          <w:sz w:val="24"/>
          <w:szCs w:val="24"/>
        </w:rPr>
        <w:t>a elektroničkih publikacija te neprofitni</w:t>
      </w:r>
      <w:r w:rsidR="00816ECB" w:rsidRPr="00C41483">
        <w:rPr>
          <w:rFonts w:ascii="Times New Roman" w:hAnsi="Times New Roman" w:cs="Times New Roman"/>
          <w:sz w:val="24"/>
          <w:szCs w:val="24"/>
        </w:rPr>
        <w:t>m</w:t>
      </w:r>
      <w:r w:rsidR="00FD1F62" w:rsidRPr="00C41483">
        <w:rPr>
          <w:rFonts w:ascii="Times New Roman" w:hAnsi="Times New Roman" w:cs="Times New Roman"/>
          <w:sz w:val="24"/>
          <w:szCs w:val="24"/>
        </w:rPr>
        <w:t xml:space="preserve"> proizvođača audiovizualnih i/ili radijskih programa. </w:t>
      </w:r>
      <w:r w:rsidR="00E46CDC" w:rsidRPr="00C41483">
        <w:rPr>
          <w:rFonts w:ascii="Times New Roman" w:hAnsi="Times New Roman" w:cs="Times New Roman"/>
          <w:sz w:val="24"/>
          <w:szCs w:val="24"/>
        </w:rPr>
        <w:t>Više u prilogu</w:t>
      </w:r>
      <w:r w:rsidR="007C1BCA" w:rsidRPr="00C41483">
        <w:rPr>
          <w:rFonts w:ascii="Times New Roman" w:hAnsi="Times New Roman" w:cs="Times New Roman"/>
          <w:sz w:val="24"/>
          <w:szCs w:val="24"/>
        </w:rPr>
        <w:t xml:space="preserve"> 28</w:t>
      </w:r>
      <w:r w:rsidR="001A2F17">
        <w:rPr>
          <w:rFonts w:ascii="Times New Roman" w:hAnsi="Times New Roman" w:cs="Times New Roman"/>
          <w:sz w:val="24"/>
          <w:szCs w:val="24"/>
        </w:rPr>
        <w:t>.</w:t>
      </w:r>
    </w:p>
    <w:bookmarkEnd w:id="96"/>
    <w:p w14:paraId="327CF179" w14:textId="77777777" w:rsidR="00D0055C" w:rsidRPr="00C41483" w:rsidRDefault="00D0055C" w:rsidP="006B5133">
      <w:pPr>
        <w:spacing w:after="0" w:line="240" w:lineRule="auto"/>
        <w:jc w:val="both"/>
        <w:rPr>
          <w:rStyle w:val="fontstyle01"/>
          <w:rFonts w:ascii="Times New Roman" w:hAnsi="Times New Roman" w:cs="Times New Roman"/>
          <w:sz w:val="24"/>
          <w:szCs w:val="24"/>
        </w:rPr>
      </w:pPr>
    </w:p>
    <w:p w14:paraId="6DD517BA" w14:textId="503A7A10" w:rsidR="00FD1F62" w:rsidRPr="00C41483" w:rsidRDefault="000E1927" w:rsidP="006B5133">
      <w:pPr>
        <w:spacing w:after="0" w:line="240" w:lineRule="auto"/>
        <w:jc w:val="both"/>
        <w:rPr>
          <w:rStyle w:val="fontstyle01"/>
          <w:rFonts w:ascii="Times New Roman" w:hAnsi="Times New Roman" w:cs="Times New Roman"/>
          <w:sz w:val="24"/>
          <w:szCs w:val="24"/>
        </w:rPr>
      </w:pPr>
      <w:r w:rsidRPr="00C41483">
        <w:rPr>
          <w:rStyle w:val="fontstyle01"/>
          <w:rFonts w:ascii="Times New Roman" w:hAnsi="Times New Roman" w:cs="Times New Roman"/>
          <w:sz w:val="24"/>
          <w:szCs w:val="24"/>
        </w:rPr>
        <w:t>(1</w:t>
      </w:r>
      <w:r w:rsidR="00E8616D" w:rsidRPr="00C41483">
        <w:rPr>
          <w:rStyle w:val="fontstyle01"/>
          <w:rFonts w:ascii="Times New Roman" w:hAnsi="Times New Roman" w:cs="Times New Roman"/>
          <w:sz w:val="24"/>
          <w:szCs w:val="24"/>
        </w:rPr>
        <w:t>22</w:t>
      </w:r>
      <w:r w:rsidRPr="00C41483">
        <w:rPr>
          <w:rStyle w:val="fontstyle01"/>
          <w:rFonts w:ascii="Times New Roman" w:hAnsi="Times New Roman" w:cs="Times New Roman"/>
          <w:sz w:val="24"/>
          <w:szCs w:val="24"/>
        </w:rPr>
        <w:t xml:space="preserve">) </w:t>
      </w:r>
      <w:r w:rsidR="00FD1F62" w:rsidRPr="00C41483">
        <w:rPr>
          <w:rStyle w:val="fontstyle01"/>
          <w:rFonts w:ascii="Times New Roman" w:hAnsi="Times New Roman" w:cs="Times New Roman"/>
          <w:sz w:val="24"/>
          <w:szCs w:val="24"/>
        </w:rPr>
        <w:t xml:space="preserve">Zakon o elektroničkim medijima propisuje da će „Vijeće za elektroničke medije poticati pružatelje audiovizualnih medijskih usluga da svoje usluge postupno učine dostupnima osobama s oštećenjem sluha ili vida“. Također, Zakon o HRT-u propisuje da je „HRT dužan postupno učiniti dostupnim svoje audiovizualne medijske usluge osobama s oštećenjem sluha i vida“. Osim kroz dodjelu sredstava Fonda, Agencija za elektroničke medije i na druge načine potiče nakladnike na prilagodbu svog programa navedenim zakonskim odredbama, i to kroz preporuke vezane uz provedbu Zakona koje se odnose na osiguranje pristupa audiovizualnim medijskim uslugama svim građanima, poticanje samoregulacije i </w:t>
      </w:r>
      <w:proofErr w:type="spellStart"/>
      <w:r w:rsidR="00FD1F62" w:rsidRPr="00C41483">
        <w:rPr>
          <w:rStyle w:val="fontstyle01"/>
          <w:rFonts w:ascii="Times New Roman" w:hAnsi="Times New Roman" w:cs="Times New Roman"/>
          <w:sz w:val="24"/>
          <w:szCs w:val="24"/>
        </w:rPr>
        <w:t>koregulacije</w:t>
      </w:r>
      <w:proofErr w:type="spellEnd"/>
      <w:r w:rsidR="00FD1F62" w:rsidRPr="00C41483">
        <w:rPr>
          <w:rStyle w:val="fontstyle01"/>
          <w:rFonts w:ascii="Times New Roman" w:hAnsi="Times New Roman" w:cs="Times New Roman"/>
          <w:sz w:val="24"/>
          <w:szCs w:val="24"/>
        </w:rPr>
        <w:t xml:space="preserve"> nakladnika te razmatrajući pritužbe građana na postupanje pružatelja medijskih usluga uz poduzimanje odgovarajućih mjera sukladno Zakonu.</w:t>
      </w:r>
    </w:p>
    <w:p w14:paraId="3CA51CB0" w14:textId="77777777" w:rsidR="00D0055C" w:rsidRPr="00C41483" w:rsidRDefault="00D0055C" w:rsidP="006B5133">
      <w:pPr>
        <w:spacing w:after="0" w:line="240" w:lineRule="auto"/>
        <w:jc w:val="both"/>
        <w:rPr>
          <w:rStyle w:val="fontstyle01"/>
          <w:rFonts w:ascii="Times New Roman" w:hAnsi="Times New Roman" w:cs="Times New Roman"/>
          <w:sz w:val="24"/>
          <w:szCs w:val="24"/>
        </w:rPr>
      </w:pPr>
    </w:p>
    <w:p w14:paraId="3F034B4C" w14:textId="638F7F21" w:rsidR="00FD1F62" w:rsidRPr="00C41483" w:rsidRDefault="001425EC" w:rsidP="006B5133">
      <w:pPr>
        <w:spacing w:after="0" w:line="240" w:lineRule="auto"/>
        <w:jc w:val="both"/>
        <w:rPr>
          <w:rStyle w:val="fontstyle01"/>
          <w:rFonts w:ascii="Times New Roman" w:hAnsi="Times New Roman" w:cs="Times New Roman"/>
          <w:sz w:val="24"/>
          <w:szCs w:val="24"/>
        </w:rPr>
      </w:pPr>
      <w:r w:rsidRPr="00C41483">
        <w:rPr>
          <w:rStyle w:val="fontstyle01"/>
          <w:rFonts w:ascii="Times New Roman" w:hAnsi="Times New Roman" w:cs="Times New Roman"/>
          <w:sz w:val="24"/>
          <w:szCs w:val="24"/>
        </w:rPr>
        <w:t>(1</w:t>
      </w:r>
      <w:r w:rsidR="00423475" w:rsidRPr="00C41483">
        <w:rPr>
          <w:rStyle w:val="fontstyle01"/>
          <w:rFonts w:ascii="Times New Roman" w:hAnsi="Times New Roman" w:cs="Times New Roman"/>
          <w:sz w:val="24"/>
          <w:szCs w:val="24"/>
        </w:rPr>
        <w:t>2</w:t>
      </w:r>
      <w:r w:rsidR="00E8616D" w:rsidRPr="00C41483">
        <w:rPr>
          <w:rStyle w:val="fontstyle01"/>
          <w:rFonts w:ascii="Times New Roman" w:hAnsi="Times New Roman" w:cs="Times New Roman"/>
          <w:sz w:val="24"/>
          <w:szCs w:val="24"/>
        </w:rPr>
        <w:t>3</w:t>
      </w:r>
      <w:r w:rsidRPr="00C41483">
        <w:rPr>
          <w:rStyle w:val="fontstyle01"/>
          <w:rFonts w:ascii="Times New Roman" w:hAnsi="Times New Roman" w:cs="Times New Roman"/>
          <w:sz w:val="24"/>
          <w:szCs w:val="24"/>
        </w:rPr>
        <w:t xml:space="preserve">) </w:t>
      </w:r>
      <w:r w:rsidR="00FD1F62" w:rsidRPr="00C41483">
        <w:rPr>
          <w:rStyle w:val="fontstyle01"/>
          <w:rFonts w:ascii="Times New Roman" w:hAnsi="Times New Roman" w:cs="Times New Roman"/>
          <w:sz w:val="24"/>
          <w:szCs w:val="24"/>
        </w:rPr>
        <w:t xml:space="preserve">S ciljem utvrđivanja udjela sadržaja prilagođenih osobama s invaliditetom, Agencija za elektroničke medije periodično provodi analize </w:t>
      </w:r>
      <w:r w:rsidR="00FD1F62" w:rsidRPr="00C41483">
        <w:rPr>
          <w:rFonts w:ascii="Times New Roman" w:hAnsi="Times New Roman" w:cs="Times New Roman"/>
          <w:sz w:val="24"/>
          <w:szCs w:val="24"/>
        </w:rPr>
        <w:t xml:space="preserve">prilagodbe audiovizualnih sadržaja osobama s invaliditetom. </w:t>
      </w:r>
      <w:r w:rsidR="00FD1F62" w:rsidRPr="00C41483">
        <w:rPr>
          <w:rStyle w:val="fontstyle01"/>
          <w:rFonts w:ascii="Times New Roman" w:hAnsi="Times New Roman" w:cs="Times New Roman"/>
          <w:sz w:val="24"/>
          <w:szCs w:val="24"/>
        </w:rPr>
        <w:t>Kako Zakonom o elektroničkim medijima nije propisana obaveza izvještavanja nakladnika o udjelima prilagođenih programskih sadržaja, podaci za nakladnike s nacionalnim koncesijama prikupljaju se analizom programa nakladnika, dok se podaci o programskim sadržajima prilagođenim osobama s oštećenjima sluha i vida u programima lokalnih televizija prikupljaju iz dokumentacije pristigle na natječaj za Fond za poticanje pluralizama i raznovrsnosti elektroničkih medija. Rezultati dobiveni u analiziranom razdoblju 2016.</w:t>
      </w:r>
      <w:r w:rsidR="00A07478" w:rsidRPr="00C41483">
        <w:rPr>
          <w:rStyle w:val="fontstyle01"/>
          <w:rFonts w:ascii="Times New Roman" w:hAnsi="Times New Roman" w:cs="Times New Roman"/>
          <w:sz w:val="24"/>
          <w:szCs w:val="24"/>
        </w:rPr>
        <w:t xml:space="preserve"> i </w:t>
      </w:r>
      <w:r w:rsidR="00FD1F62" w:rsidRPr="00C41483">
        <w:rPr>
          <w:rStyle w:val="fontstyle01"/>
          <w:rFonts w:ascii="Times New Roman" w:hAnsi="Times New Roman" w:cs="Times New Roman"/>
          <w:sz w:val="24"/>
          <w:szCs w:val="24"/>
        </w:rPr>
        <w:t>2019. su komparirani kako bi se utvrdilo u kolikoj mjeri se javna televizija pridržava zakonom propisanih obaveza, kao i kakav učinak imaju mjere koje poduzima Vijeće za elektroničke medije kako bi potaknulo nakladnike da prilagode svoje sadržaje. Prije svega, treba istaknuti da su sadržaji prilagođeni osobama s oštećenjima vida i dalje rijetkost. Pri tome se izdvaja H</w:t>
      </w:r>
      <w:r w:rsidR="00905964" w:rsidRPr="00C41483">
        <w:rPr>
          <w:rStyle w:val="fontstyle01"/>
          <w:rFonts w:ascii="Times New Roman" w:hAnsi="Times New Roman" w:cs="Times New Roman"/>
          <w:sz w:val="24"/>
          <w:szCs w:val="24"/>
        </w:rPr>
        <w:t>RT</w:t>
      </w:r>
      <w:r w:rsidR="00FD1F62" w:rsidRPr="00C41483">
        <w:rPr>
          <w:rStyle w:val="fontstyle01"/>
          <w:rFonts w:ascii="Times New Roman" w:hAnsi="Times New Roman" w:cs="Times New Roman"/>
          <w:sz w:val="24"/>
          <w:szCs w:val="24"/>
        </w:rPr>
        <w:t xml:space="preserve">, koja je, sukladno svojim zakonskim obvezama, napravila određeni iskorak te postupno raste broj sadržaja s dostupnom audio deskripcijom. Detalji o navedenoj analizi dostupni su na </w:t>
      </w:r>
      <w:r w:rsidR="00423475" w:rsidRPr="00C41483">
        <w:rPr>
          <w:rStyle w:val="fontstyle01"/>
          <w:rFonts w:ascii="Times New Roman" w:hAnsi="Times New Roman" w:cs="Times New Roman"/>
          <w:sz w:val="24"/>
          <w:szCs w:val="24"/>
        </w:rPr>
        <w:t xml:space="preserve">hrvatskom jeziku </w:t>
      </w:r>
      <w:r w:rsidR="00B726BA" w:rsidRPr="00C41483">
        <w:rPr>
          <w:rStyle w:val="fontstyle01"/>
          <w:rFonts w:ascii="Times New Roman" w:hAnsi="Times New Roman" w:cs="Times New Roman"/>
          <w:sz w:val="24"/>
          <w:szCs w:val="24"/>
        </w:rPr>
        <w:t xml:space="preserve">na </w:t>
      </w:r>
      <w:r w:rsidR="00FD1F62" w:rsidRPr="00C41483">
        <w:rPr>
          <w:rStyle w:val="fontstyle01"/>
          <w:rFonts w:ascii="Times New Roman" w:hAnsi="Times New Roman" w:cs="Times New Roman"/>
          <w:sz w:val="24"/>
          <w:szCs w:val="24"/>
        </w:rPr>
        <w:t xml:space="preserve">internetskoj stranici na poveznici </w:t>
      </w:r>
      <w:hyperlink r:id="rId13" w:history="1">
        <w:r w:rsidR="00FD1F62" w:rsidRPr="00C41483">
          <w:rPr>
            <w:rStyle w:val="Hiperveza"/>
            <w:rFonts w:ascii="Times New Roman" w:hAnsi="Times New Roman" w:cs="Times New Roman"/>
            <w:sz w:val="24"/>
            <w:szCs w:val="24"/>
          </w:rPr>
          <w:t>https://www.aem.hr/wp-content/uploads/2020/02/Komparativna-analiza-prilagodbe-audiovizualnih-sadr%C5%BEaja-osobama-s-osjetilnim-invaliditetom.pdf</w:t>
        </w:r>
      </w:hyperlink>
      <w:r w:rsidR="003859A3" w:rsidRPr="00C41483">
        <w:rPr>
          <w:rStyle w:val="Hiperveza"/>
          <w:rFonts w:ascii="Times New Roman" w:hAnsi="Times New Roman" w:cs="Times New Roman"/>
          <w:sz w:val="24"/>
          <w:szCs w:val="24"/>
        </w:rPr>
        <w:t>.</w:t>
      </w:r>
    </w:p>
    <w:p w14:paraId="7F0E4B5E" w14:textId="77777777" w:rsidR="00D0055C" w:rsidRPr="00C41483" w:rsidRDefault="00D0055C" w:rsidP="006B5133">
      <w:pPr>
        <w:spacing w:after="0" w:line="240" w:lineRule="auto"/>
        <w:jc w:val="both"/>
        <w:rPr>
          <w:rFonts w:ascii="Times New Roman" w:hAnsi="Times New Roman" w:cs="Times New Roman"/>
          <w:sz w:val="24"/>
          <w:szCs w:val="24"/>
        </w:rPr>
      </w:pPr>
    </w:p>
    <w:p w14:paraId="62141771" w14:textId="28607AF5" w:rsidR="003D0DF7" w:rsidRPr="00C41483" w:rsidRDefault="001425EC" w:rsidP="00127C14">
      <w:pPr>
        <w:spacing w:after="0" w:line="240" w:lineRule="auto"/>
        <w:jc w:val="both"/>
        <w:rPr>
          <w:rFonts w:ascii="Times New Roman" w:hAnsi="Times New Roman" w:cs="Times New Roman"/>
          <w:sz w:val="24"/>
          <w:szCs w:val="24"/>
        </w:rPr>
      </w:pPr>
      <w:r w:rsidRPr="00C41483">
        <w:rPr>
          <w:rFonts w:ascii="Times New Roman" w:hAnsi="Times New Roman" w:cs="Times New Roman"/>
          <w:sz w:val="24"/>
          <w:szCs w:val="24"/>
        </w:rPr>
        <w:t>(1</w:t>
      </w:r>
      <w:r w:rsidR="00423475" w:rsidRPr="00C41483">
        <w:rPr>
          <w:rFonts w:ascii="Times New Roman" w:hAnsi="Times New Roman" w:cs="Times New Roman"/>
          <w:sz w:val="24"/>
          <w:szCs w:val="24"/>
        </w:rPr>
        <w:t>2</w:t>
      </w:r>
      <w:r w:rsidR="00E8616D" w:rsidRPr="00C41483">
        <w:rPr>
          <w:rFonts w:ascii="Times New Roman" w:hAnsi="Times New Roman" w:cs="Times New Roman"/>
          <w:sz w:val="24"/>
          <w:szCs w:val="24"/>
        </w:rPr>
        <w:t>4</w:t>
      </w:r>
      <w:r w:rsidRPr="00C41483">
        <w:rPr>
          <w:rFonts w:ascii="Times New Roman" w:hAnsi="Times New Roman" w:cs="Times New Roman"/>
          <w:sz w:val="24"/>
          <w:szCs w:val="24"/>
        </w:rPr>
        <w:t xml:space="preserve">) </w:t>
      </w:r>
      <w:r w:rsidR="00B42AF2" w:rsidRPr="00C41483">
        <w:rPr>
          <w:rFonts w:ascii="Times New Roman" w:hAnsi="Times New Roman" w:cs="Times New Roman"/>
          <w:sz w:val="24"/>
          <w:szCs w:val="24"/>
        </w:rPr>
        <w:t>H</w:t>
      </w:r>
      <w:r w:rsidR="003859A3" w:rsidRPr="00C41483">
        <w:rPr>
          <w:rFonts w:ascii="Times New Roman" w:hAnsi="Times New Roman" w:cs="Times New Roman"/>
          <w:sz w:val="24"/>
          <w:szCs w:val="24"/>
        </w:rPr>
        <w:t>RT</w:t>
      </w:r>
      <w:r w:rsidR="00B42AF2" w:rsidRPr="00C41483">
        <w:rPr>
          <w:rFonts w:ascii="Times New Roman" w:hAnsi="Times New Roman" w:cs="Times New Roman"/>
          <w:sz w:val="24"/>
          <w:szCs w:val="24"/>
        </w:rPr>
        <w:t xml:space="preserve"> u cilju educiranja društva o ponašanju prema osoba s invaliditetom i senzibiliziranja društva na njihove probleme, proizvodi i emitira razne programske sadržaje</w:t>
      </w:r>
      <w:r w:rsidR="00E012B3" w:rsidRPr="00C41483">
        <w:rPr>
          <w:rFonts w:ascii="Times New Roman" w:hAnsi="Times New Roman" w:cs="Times New Roman"/>
          <w:sz w:val="24"/>
          <w:szCs w:val="24"/>
        </w:rPr>
        <w:t xml:space="preserve"> te</w:t>
      </w:r>
      <w:r w:rsidR="00E012B3" w:rsidRPr="00C41483">
        <w:rPr>
          <w:rFonts w:ascii="Times New Roman" w:hAnsi="Times New Roman" w:cs="Times New Roman"/>
          <w:color w:val="FF0000"/>
          <w:sz w:val="24"/>
          <w:szCs w:val="24"/>
        </w:rPr>
        <w:t xml:space="preserve"> </w:t>
      </w:r>
      <w:r w:rsidR="00E012B3" w:rsidRPr="00C41483">
        <w:rPr>
          <w:rFonts w:ascii="Times New Roman" w:hAnsi="Times New Roman" w:cs="Times New Roman"/>
          <w:sz w:val="24"/>
          <w:szCs w:val="24"/>
        </w:rPr>
        <w:t xml:space="preserve">svake godine značajno proširuje količine i vrste programskih sadržaja koji se prilagođavaju za gluhe i nagluhe osobe. </w:t>
      </w:r>
      <w:bookmarkStart w:id="97" w:name="_Hlk78363950"/>
      <w:r w:rsidR="00CA2F50" w:rsidRPr="00C41483">
        <w:rPr>
          <w:rFonts w:ascii="Times New Roman" w:hAnsi="Times New Roman" w:cs="Times New Roman"/>
          <w:sz w:val="24"/>
          <w:szCs w:val="24"/>
        </w:rPr>
        <w:t>Detaljnij</w:t>
      </w:r>
      <w:r w:rsidR="00127C14" w:rsidRPr="00C41483">
        <w:rPr>
          <w:rFonts w:ascii="Times New Roman" w:hAnsi="Times New Roman" w:cs="Times New Roman"/>
          <w:sz w:val="24"/>
          <w:szCs w:val="24"/>
        </w:rPr>
        <w:t>e</w:t>
      </w:r>
      <w:r w:rsidR="00CA2F50" w:rsidRPr="00C41483">
        <w:rPr>
          <w:rFonts w:ascii="Times New Roman" w:hAnsi="Times New Roman" w:cs="Times New Roman"/>
          <w:sz w:val="24"/>
          <w:szCs w:val="24"/>
        </w:rPr>
        <w:t xml:space="preserve"> </w:t>
      </w:r>
      <w:r w:rsidR="00127C14" w:rsidRPr="00C41483">
        <w:rPr>
          <w:rFonts w:ascii="Times New Roman" w:hAnsi="Times New Roman" w:cs="Times New Roman"/>
          <w:sz w:val="24"/>
          <w:szCs w:val="24"/>
        </w:rPr>
        <w:t xml:space="preserve">o prilagodbi programa za osobe s invaliditetom </w:t>
      </w:r>
      <w:r w:rsidR="009A1F3B" w:rsidRPr="00C41483">
        <w:rPr>
          <w:rFonts w:ascii="Times New Roman" w:hAnsi="Times New Roman" w:cs="Times New Roman"/>
          <w:sz w:val="24"/>
          <w:szCs w:val="24"/>
        </w:rPr>
        <w:t>u prilogu</w:t>
      </w:r>
      <w:r w:rsidR="007C1BCA" w:rsidRPr="00C41483">
        <w:rPr>
          <w:rFonts w:ascii="Times New Roman" w:hAnsi="Times New Roman" w:cs="Times New Roman"/>
          <w:sz w:val="24"/>
          <w:szCs w:val="24"/>
        </w:rPr>
        <w:t xml:space="preserve"> 29</w:t>
      </w:r>
      <w:r w:rsidR="001A2F17">
        <w:rPr>
          <w:rFonts w:ascii="Times New Roman" w:hAnsi="Times New Roman" w:cs="Times New Roman"/>
          <w:sz w:val="24"/>
          <w:szCs w:val="24"/>
        </w:rPr>
        <w:t>.</w:t>
      </w:r>
      <w:r w:rsidR="001A2F17" w:rsidRPr="00C41483">
        <w:rPr>
          <w:rFonts w:ascii="Times New Roman" w:hAnsi="Times New Roman" w:cs="Times New Roman"/>
          <w:sz w:val="24"/>
          <w:szCs w:val="24"/>
        </w:rPr>
        <w:t xml:space="preserve"> </w:t>
      </w:r>
    </w:p>
    <w:p w14:paraId="771886C9" w14:textId="5F723859" w:rsidR="00B726BA" w:rsidRPr="00C41483" w:rsidRDefault="00B726BA" w:rsidP="00127C14">
      <w:pPr>
        <w:spacing w:after="0" w:line="240" w:lineRule="auto"/>
        <w:jc w:val="both"/>
        <w:rPr>
          <w:rFonts w:ascii="Times New Roman" w:hAnsi="Times New Roman" w:cs="Times New Roman"/>
          <w:sz w:val="24"/>
          <w:szCs w:val="24"/>
        </w:rPr>
      </w:pPr>
    </w:p>
    <w:p w14:paraId="3BE89356" w14:textId="09C62706" w:rsidR="000807E9" w:rsidRPr="00C41483" w:rsidRDefault="000807E9" w:rsidP="00127C14">
      <w:pPr>
        <w:spacing w:after="0" w:line="240" w:lineRule="auto"/>
        <w:jc w:val="both"/>
        <w:rPr>
          <w:rFonts w:ascii="Times New Roman" w:hAnsi="Times New Roman" w:cs="Times New Roman"/>
          <w:i/>
          <w:iCs/>
          <w:sz w:val="24"/>
          <w:szCs w:val="24"/>
        </w:rPr>
      </w:pPr>
      <w:r w:rsidRPr="00C41483">
        <w:rPr>
          <w:rFonts w:ascii="Times New Roman" w:hAnsi="Times New Roman" w:cs="Times New Roman"/>
          <w:i/>
          <w:iCs/>
          <w:sz w:val="24"/>
          <w:szCs w:val="24"/>
        </w:rPr>
        <w:t>Pitanje 21b)</w:t>
      </w:r>
    </w:p>
    <w:p w14:paraId="72123997" w14:textId="4E1D40CA" w:rsidR="008C18B4" w:rsidRPr="00C41483" w:rsidRDefault="008C18B4" w:rsidP="006B5133">
      <w:pPr>
        <w:spacing w:after="0" w:line="240" w:lineRule="auto"/>
        <w:jc w:val="both"/>
        <w:rPr>
          <w:rFonts w:ascii="Times New Roman" w:eastAsia="Times New Roman" w:hAnsi="Times New Roman" w:cs="Times New Roman"/>
          <w:bCs/>
          <w:i/>
          <w:iCs/>
          <w:sz w:val="24"/>
          <w:szCs w:val="24"/>
          <w:lang w:eastAsia="hr-HR"/>
        </w:rPr>
      </w:pPr>
      <w:bookmarkStart w:id="98" w:name="_Hlk83814964"/>
      <w:bookmarkEnd w:id="97"/>
    </w:p>
    <w:bookmarkEnd w:id="98"/>
    <w:p w14:paraId="6DB4E800" w14:textId="1859D1D6" w:rsidR="00816ECB" w:rsidRPr="00C41483" w:rsidRDefault="001425EC" w:rsidP="006B5133">
      <w:pPr>
        <w:spacing w:after="0" w:line="240" w:lineRule="auto"/>
        <w:jc w:val="both"/>
        <w:rPr>
          <w:rFonts w:ascii="Times New Roman" w:eastAsia="Calibri" w:hAnsi="Times New Roman" w:cs="Times New Roman"/>
          <w:sz w:val="24"/>
          <w:szCs w:val="24"/>
        </w:rPr>
      </w:pPr>
      <w:r w:rsidRPr="00C41483">
        <w:rPr>
          <w:rFonts w:ascii="Times New Roman" w:eastAsia="Calibri" w:hAnsi="Times New Roman" w:cs="Times New Roman"/>
          <w:sz w:val="24"/>
          <w:szCs w:val="24"/>
        </w:rPr>
        <w:t>(1</w:t>
      </w:r>
      <w:r w:rsidR="00B726BA" w:rsidRPr="00C41483">
        <w:rPr>
          <w:rFonts w:ascii="Times New Roman" w:eastAsia="Calibri" w:hAnsi="Times New Roman" w:cs="Times New Roman"/>
          <w:sz w:val="24"/>
          <w:szCs w:val="24"/>
        </w:rPr>
        <w:t>2</w:t>
      </w:r>
      <w:r w:rsidR="00E8616D" w:rsidRPr="00C41483">
        <w:rPr>
          <w:rFonts w:ascii="Times New Roman" w:eastAsia="Calibri" w:hAnsi="Times New Roman" w:cs="Times New Roman"/>
          <w:sz w:val="24"/>
          <w:szCs w:val="24"/>
        </w:rPr>
        <w:t>5</w:t>
      </w:r>
      <w:r w:rsidRPr="00C41483">
        <w:rPr>
          <w:rFonts w:ascii="Times New Roman" w:eastAsia="Calibri" w:hAnsi="Times New Roman" w:cs="Times New Roman"/>
          <w:sz w:val="24"/>
          <w:szCs w:val="24"/>
        </w:rPr>
        <w:t xml:space="preserve">) </w:t>
      </w:r>
      <w:bookmarkStart w:id="99" w:name="_Hlk85794532"/>
      <w:r w:rsidR="00DC0C59" w:rsidRPr="00C41483">
        <w:rPr>
          <w:rFonts w:ascii="Times New Roman" w:eastAsia="Calibri" w:hAnsi="Times New Roman" w:cs="Times New Roman"/>
          <w:sz w:val="24"/>
          <w:szCs w:val="24"/>
        </w:rPr>
        <w:t>Portal e-Građani s datumom 4.10.2021. sadrži 95 usluga, dok korisnici u svoj korisnički pretinac mogu zaprimati 135 e-poruka. Ukupni broj e-Građana s današnjim datumom iznosi 1.504.716. Na stranicama portala e-Građani https:</w:t>
      </w:r>
      <w:r w:rsidR="00EE591F" w:rsidRPr="00C41483">
        <w:rPr>
          <w:rFonts w:ascii="Times New Roman" w:eastAsia="Calibri" w:hAnsi="Times New Roman" w:cs="Times New Roman"/>
          <w:sz w:val="24"/>
          <w:szCs w:val="24"/>
        </w:rPr>
        <w:t>//</w:t>
      </w:r>
      <w:r w:rsidR="00DC0C59" w:rsidRPr="00C41483">
        <w:rPr>
          <w:rFonts w:ascii="Times New Roman" w:eastAsia="Calibri" w:hAnsi="Times New Roman" w:cs="Times New Roman"/>
          <w:sz w:val="24"/>
          <w:szCs w:val="24"/>
        </w:rPr>
        <w:t>gov.hr omogućena je prilagodba pristupačnosti slabovidnim osobama (prilagodba slabovidnosti, disleksiji i veličine pisma). Od 95 usluga na portalu e-Građani, 51 usluga ima implementirane elemente pristupačnosti u navigacijskoj traci, dok je uvođenje elemenata pristupačnosti kod preostalih usluga u tijeku. Sve nove usluge koje se objavljuju na portalu e-Građani obavezno sadržavaju elemente pristupačnosti u navigacijskoj traci. Djelatnici Središnjeg državnog ureda za razvoj digitalnog društva i Ureda povjerenika za informiranje provode e-tečaj "Digitalna pristupačnost", koji ima za cilj upoznati tijela javnog sektora s obvezama koje proizlaze iz Zakona o pristupačnosti stranica i programskih rješenja za pokretne uređaje tijela javnog sektora te potrebom da mrežne stranice usklade s propisanim standardima prilikom njihove izrade, izgleda, načina navigacije kroz sadržaj, pretraživanja i strukture. Na temelju navedenog operativno se planiraju i odrađuju aktivnosti prilagodbe digitalnih sadržaja portala e-Građani s ciljem osiguranja digitalne pristupačnosti.</w:t>
      </w:r>
    </w:p>
    <w:bookmarkEnd w:id="99"/>
    <w:p w14:paraId="3E79432C" w14:textId="77777777" w:rsidR="00816ECB" w:rsidRPr="00C41483" w:rsidRDefault="00816ECB" w:rsidP="006B5133">
      <w:pPr>
        <w:spacing w:after="0" w:line="240" w:lineRule="auto"/>
        <w:jc w:val="both"/>
        <w:rPr>
          <w:rFonts w:ascii="Times New Roman" w:eastAsia="Times New Roman" w:hAnsi="Times New Roman" w:cs="Times New Roman"/>
          <w:bCs/>
          <w:sz w:val="24"/>
          <w:szCs w:val="24"/>
          <w:lang w:eastAsia="hr-HR"/>
        </w:rPr>
      </w:pPr>
    </w:p>
    <w:p w14:paraId="443C5396" w14:textId="277DB079" w:rsidR="008C18B4" w:rsidRPr="00C41483" w:rsidRDefault="00A31FD2" w:rsidP="006B5133">
      <w:pPr>
        <w:spacing w:after="0" w:line="240" w:lineRule="auto"/>
        <w:jc w:val="both"/>
        <w:rPr>
          <w:rFonts w:ascii="Times New Roman" w:eastAsia="Times New Roman" w:hAnsi="Times New Roman" w:cs="Times New Roman"/>
          <w:bCs/>
          <w:sz w:val="24"/>
          <w:szCs w:val="24"/>
          <w:lang w:eastAsia="hr-HR"/>
        </w:rPr>
      </w:pPr>
      <w:r w:rsidRPr="00C41483">
        <w:rPr>
          <w:rFonts w:ascii="Times New Roman" w:eastAsia="Times New Roman" w:hAnsi="Times New Roman" w:cs="Times New Roman"/>
          <w:bCs/>
          <w:sz w:val="24"/>
          <w:szCs w:val="24"/>
          <w:lang w:eastAsia="hr-HR"/>
        </w:rPr>
        <w:t>(1</w:t>
      </w:r>
      <w:r w:rsidR="00B726BA" w:rsidRPr="00C41483">
        <w:rPr>
          <w:rFonts w:ascii="Times New Roman" w:eastAsia="Times New Roman" w:hAnsi="Times New Roman" w:cs="Times New Roman"/>
          <w:bCs/>
          <w:sz w:val="24"/>
          <w:szCs w:val="24"/>
          <w:lang w:eastAsia="hr-HR"/>
        </w:rPr>
        <w:t>2</w:t>
      </w:r>
      <w:r w:rsidR="00E8616D" w:rsidRPr="00C41483">
        <w:rPr>
          <w:rFonts w:ascii="Times New Roman" w:eastAsia="Times New Roman" w:hAnsi="Times New Roman" w:cs="Times New Roman"/>
          <w:bCs/>
          <w:sz w:val="24"/>
          <w:szCs w:val="24"/>
          <w:lang w:eastAsia="hr-HR"/>
        </w:rPr>
        <w:t>6</w:t>
      </w:r>
      <w:r w:rsidRPr="00C41483">
        <w:rPr>
          <w:rFonts w:ascii="Times New Roman" w:eastAsia="Times New Roman" w:hAnsi="Times New Roman" w:cs="Times New Roman"/>
          <w:bCs/>
          <w:sz w:val="24"/>
          <w:szCs w:val="24"/>
          <w:lang w:eastAsia="hr-HR"/>
        </w:rPr>
        <w:t xml:space="preserve">) </w:t>
      </w:r>
      <w:r w:rsidR="008C18B4" w:rsidRPr="00C41483">
        <w:rPr>
          <w:rFonts w:ascii="Times New Roman" w:eastAsia="Times New Roman" w:hAnsi="Times New Roman" w:cs="Times New Roman"/>
          <w:bCs/>
          <w:sz w:val="24"/>
          <w:szCs w:val="24"/>
          <w:lang w:eastAsia="hr-HR"/>
        </w:rPr>
        <w:t xml:space="preserve">Ministarstvo </w:t>
      </w:r>
      <w:r w:rsidR="00543648" w:rsidRPr="00C41483">
        <w:rPr>
          <w:rFonts w:ascii="Times New Roman" w:eastAsia="Times New Roman" w:hAnsi="Times New Roman" w:cs="Times New Roman"/>
          <w:bCs/>
          <w:sz w:val="24"/>
          <w:szCs w:val="24"/>
          <w:lang w:eastAsia="hr-HR"/>
        </w:rPr>
        <w:t xml:space="preserve">nadležno za </w:t>
      </w:r>
      <w:r w:rsidR="008C18B4" w:rsidRPr="00C41483">
        <w:rPr>
          <w:rFonts w:ascii="Times New Roman" w:eastAsia="Times New Roman" w:hAnsi="Times New Roman" w:cs="Times New Roman"/>
          <w:bCs/>
          <w:sz w:val="24"/>
          <w:szCs w:val="24"/>
          <w:lang w:eastAsia="hr-HR"/>
        </w:rPr>
        <w:t>turiz</w:t>
      </w:r>
      <w:r w:rsidR="00543648" w:rsidRPr="00C41483">
        <w:rPr>
          <w:rFonts w:ascii="Times New Roman" w:eastAsia="Times New Roman" w:hAnsi="Times New Roman" w:cs="Times New Roman"/>
          <w:bCs/>
          <w:sz w:val="24"/>
          <w:szCs w:val="24"/>
          <w:lang w:eastAsia="hr-HR"/>
        </w:rPr>
        <w:t>a</w:t>
      </w:r>
      <w:r w:rsidR="008C18B4" w:rsidRPr="00C41483">
        <w:rPr>
          <w:rFonts w:ascii="Times New Roman" w:eastAsia="Times New Roman" w:hAnsi="Times New Roman" w:cs="Times New Roman"/>
          <w:bCs/>
          <w:sz w:val="24"/>
          <w:szCs w:val="24"/>
          <w:lang w:eastAsia="hr-HR"/>
        </w:rPr>
        <w:t xml:space="preserve">m nositelj je projekta Hrvatski digitalni turizam - e-Turizam, koji se provodi u razdoblju 2017. </w:t>
      </w:r>
      <w:r w:rsidR="00543648" w:rsidRPr="00C41483">
        <w:rPr>
          <w:rFonts w:ascii="Times New Roman" w:eastAsia="Times New Roman" w:hAnsi="Times New Roman" w:cs="Times New Roman"/>
          <w:bCs/>
          <w:sz w:val="24"/>
          <w:szCs w:val="24"/>
          <w:lang w:eastAsia="hr-HR"/>
        </w:rPr>
        <w:t>-</w:t>
      </w:r>
      <w:r w:rsidR="008C18B4" w:rsidRPr="00C41483">
        <w:rPr>
          <w:rFonts w:ascii="Times New Roman" w:eastAsia="Times New Roman" w:hAnsi="Times New Roman" w:cs="Times New Roman"/>
          <w:bCs/>
          <w:sz w:val="24"/>
          <w:szCs w:val="24"/>
          <w:lang w:eastAsia="hr-HR"/>
        </w:rPr>
        <w:t xml:space="preserve"> 2021. godin</w:t>
      </w:r>
      <w:r w:rsidR="00543648" w:rsidRPr="00C41483">
        <w:rPr>
          <w:rFonts w:ascii="Times New Roman" w:eastAsia="Times New Roman" w:hAnsi="Times New Roman" w:cs="Times New Roman"/>
          <w:bCs/>
          <w:sz w:val="24"/>
          <w:szCs w:val="24"/>
          <w:lang w:eastAsia="hr-HR"/>
        </w:rPr>
        <w:t>a</w:t>
      </w:r>
      <w:r w:rsidR="008C18B4" w:rsidRPr="00C41483">
        <w:rPr>
          <w:rFonts w:ascii="Times New Roman" w:eastAsia="Times New Roman" w:hAnsi="Times New Roman" w:cs="Times New Roman"/>
          <w:bCs/>
          <w:sz w:val="24"/>
          <w:szCs w:val="24"/>
          <w:lang w:eastAsia="hr-HR"/>
        </w:rPr>
        <w:t xml:space="preserve"> i financiran je sredstvima ESI fondova. Projekt teži povećati učinkovitost i transparentnost javne uprave u pružanju javnih usluga u turizmu prema građanima tako što će sve elektroničke javne usluge povezati u jednu turističku platformu. Javne usluge bit</w:t>
      </w:r>
      <w:r w:rsidR="00543648" w:rsidRPr="00C41483">
        <w:rPr>
          <w:rFonts w:ascii="Times New Roman" w:eastAsia="Times New Roman" w:hAnsi="Times New Roman" w:cs="Times New Roman"/>
          <w:bCs/>
          <w:sz w:val="24"/>
          <w:szCs w:val="24"/>
          <w:lang w:eastAsia="hr-HR"/>
        </w:rPr>
        <w:t xml:space="preserve"> će </w:t>
      </w:r>
      <w:r w:rsidR="008C18B4" w:rsidRPr="00C41483">
        <w:rPr>
          <w:rFonts w:ascii="Times New Roman" w:eastAsia="Times New Roman" w:hAnsi="Times New Roman" w:cs="Times New Roman"/>
          <w:bCs/>
          <w:sz w:val="24"/>
          <w:szCs w:val="24"/>
          <w:lang w:eastAsia="hr-HR"/>
        </w:rPr>
        <w:t>prilagođene potrebama osoba s invaliditetom te će nuditi informacije o pristupačnosti destinacija, objekata, turističkih usluga i proizvoda</w:t>
      </w:r>
      <w:r w:rsidR="00687656" w:rsidRPr="00C41483">
        <w:rPr>
          <w:rFonts w:ascii="Times New Roman" w:eastAsia="Times New Roman" w:hAnsi="Times New Roman" w:cs="Times New Roman"/>
          <w:bCs/>
          <w:sz w:val="24"/>
          <w:szCs w:val="24"/>
          <w:lang w:eastAsia="hr-HR"/>
        </w:rPr>
        <w:t xml:space="preserve"> te će se</w:t>
      </w:r>
      <w:r w:rsidR="008C18B4" w:rsidRPr="00C41483">
        <w:rPr>
          <w:rFonts w:ascii="Times New Roman" w:eastAsia="Times New Roman" w:hAnsi="Times New Roman" w:cs="Times New Roman"/>
          <w:bCs/>
          <w:sz w:val="24"/>
          <w:szCs w:val="24"/>
          <w:lang w:eastAsia="hr-HR"/>
        </w:rPr>
        <w:t xml:space="preserve"> surađivat</w:t>
      </w:r>
      <w:r w:rsidR="00687656" w:rsidRPr="00C41483">
        <w:rPr>
          <w:rFonts w:ascii="Times New Roman" w:eastAsia="Times New Roman" w:hAnsi="Times New Roman" w:cs="Times New Roman"/>
          <w:bCs/>
          <w:sz w:val="24"/>
          <w:szCs w:val="24"/>
          <w:lang w:eastAsia="hr-HR"/>
        </w:rPr>
        <w:t>i</w:t>
      </w:r>
      <w:r w:rsidR="008C18B4" w:rsidRPr="00C41483">
        <w:rPr>
          <w:rFonts w:ascii="Times New Roman" w:eastAsia="Times New Roman" w:hAnsi="Times New Roman" w:cs="Times New Roman"/>
          <w:bCs/>
          <w:sz w:val="24"/>
          <w:szCs w:val="24"/>
          <w:lang w:eastAsia="hr-HR"/>
        </w:rPr>
        <w:t xml:space="preserve"> s predstavnicima </w:t>
      </w:r>
      <w:r w:rsidR="008C714A" w:rsidRPr="00C41483">
        <w:rPr>
          <w:rFonts w:ascii="Times New Roman" w:eastAsia="Times New Roman" w:hAnsi="Times New Roman" w:cs="Times New Roman"/>
          <w:bCs/>
          <w:sz w:val="24"/>
          <w:szCs w:val="24"/>
          <w:lang w:eastAsia="hr-HR"/>
        </w:rPr>
        <w:t>UOSI</w:t>
      </w:r>
      <w:r w:rsidR="008C18B4" w:rsidRPr="00C41483">
        <w:rPr>
          <w:rFonts w:ascii="Times New Roman" w:eastAsia="Times New Roman" w:hAnsi="Times New Roman" w:cs="Times New Roman"/>
          <w:bCs/>
          <w:sz w:val="24"/>
          <w:szCs w:val="24"/>
          <w:lang w:eastAsia="hr-HR"/>
        </w:rPr>
        <w:t xml:space="preserve">, za što su preduvjeti ostvareni u 2019. godini kroz održane pripremne sastanke. Sva aplikativna rješenja razvijena kroz ovaj projekt imat će prilagođen dizajn osobama s invaliditetom. </w:t>
      </w:r>
    </w:p>
    <w:p w14:paraId="40CAEEEA" w14:textId="77777777" w:rsidR="008C18B4" w:rsidRPr="00C41483" w:rsidRDefault="008C18B4" w:rsidP="006B5133">
      <w:pPr>
        <w:spacing w:after="0" w:line="240" w:lineRule="auto"/>
        <w:jc w:val="both"/>
        <w:rPr>
          <w:rFonts w:ascii="Times New Roman" w:eastAsia="Times New Roman" w:hAnsi="Times New Roman" w:cs="Times New Roman"/>
          <w:bCs/>
          <w:i/>
          <w:iCs/>
          <w:sz w:val="24"/>
          <w:szCs w:val="24"/>
          <w:lang w:eastAsia="hr-HR"/>
        </w:rPr>
      </w:pPr>
    </w:p>
    <w:p w14:paraId="1162E3F3" w14:textId="6076420E" w:rsidR="00B42AF2" w:rsidRPr="00C41483" w:rsidRDefault="00604E80" w:rsidP="006B5133">
      <w:pPr>
        <w:spacing w:after="0" w:line="240" w:lineRule="auto"/>
        <w:jc w:val="both"/>
        <w:rPr>
          <w:rFonts w:ascii="Times New Roman" w:eastAsia="Times New Roman" w:hAnsi="Times New Roman" w:cs="Times New Roman"/>
          <w:bCs/>
          <w:i/>
          <w:iCs/>
          <w:sz w:val="24"/>
          <w:szCs w:val="24"/>
          <w:lang w:eastAsia="hr-HR"/>
        </w:rPr>
      </w:pPr>
      <w:bookmarkStart w:id="100" w:name="_Hlk83815058"/>
      <w:r w:rsidRPr="00C41483">
        <w:rPr>
          <w:rFonts w:ascii="Times New Roman" w:eastAsia="Times New Roman" w:hAnsi="Times New Roman" w:cs="Times New Roman"/>
          <w:bCs/>
          <w:i/>
          <w:iCs/>
          <w:sz w:val="24"/>
          <w:szCs w:val="24"/>
          <w:lang w:eastAsia="hr-HR"/>
        </w:rPr>
        <w:t xml:space="preserve">Pitanje 21c) </w:t>
      </w:r>
    </w:p>
    <w:bookmarkEnd w:id="100"/>
    <w:p w14:paraId="7E475321" w14:textId="114D0869" w:rsidR="00FD1F62" w:rsidRPr="00C41483" w:rsidRDefault="00FD1F62" w:rsidP="006B5133">
      <w:pPr>
        <w:spacing w:after="0" w:line="240" w:lineRule="auto"/>
        <w:jc w:val="both"/>
        <w:rPr>
          <w:rFonts w:ascii="Times New Roman" w:eastAsia="Times New Roman" w:hAnsi="Times New Roman" w:cs="Times New Roman"/>
          <w:bCs/>
          <w:i/>
          <w:iCs/>
          <w:sz w:val="24"/>
          <w:szCs w:val="24"/>
          <w:lang w:eastAsia="hr-HR"/>
        </w:rPr>
      </w:pPr>
    </w:p>
    <w:p w14:paraId="53485B84" w14:textId="4A892341" w:rsidR="00FD1F62" w:rsidRPr="00C41483" w:rsidRDefault="006E7142" w:rsidP="006B5133">
      <w:pPr>
        <w:spacing w:after="0" w:line="240" w:lineRule="auto"/>
        <w:jc w:val="both"/>
        <w:rPr>
          <w:rFonts w:ascii="Times New Roman" w:eastAsia="Times New Roman" w:hAnsi="Times New Roman" w:cs="Times New Roman"/>
          <w:bCs/>
          <w:sz w:val="24"/>
          <w:szCs w:val="24"/>
          <w:lang w:eastAsia="hr-HR"/>
        </w:rPr>
      </w:pPr>
      <w:r w:rsidRPr="00C41483">
        <w:rPr>
          <w:rFonts w:ascii="Times New Roman" w:eastAsia="Times New Roman" w:hAnsi="Times New Roman" w:cs="Times New Roman"/>
          <w:bCs/>
          <w:sz w:val="24"/>
          <w:szCs w:val="24"/>
          <w:lang w:eastAsia="hr-HR"/>
        </w:rPr>
        <w:t>(1</w:t>
      </w:r>
      <w:r w:rsidR="00B726BA" w:rsidRPr="00C41483">
        <w:rPr>
          <w:rFonts w:ascii="Times New Roman" w:eastAsia="Times New Roman" w:hAnsi="Times New Roman" w:cs="Times New Roman"/>
          <w:bCs/>
          <w:sz w:val="24"/>
          <w:szCs w:val="24"/>
          <w:lang w:eastAsia="hr-HR"/>
        </w:rPr>
        <w:t>2</w:t>
      </w:r>
      <w:r w:rsidR="00E8616D" w:rsidRPr="00C41483">
        <w:rPr>
          <w:rFonts w:ascii="Times New Roman" w:eastAsia="Times New Roman" w:hAnsi="Times New Roman" w:cs="Times New Roman"/>
          <w:bCs/>
          <w:sz w:val="24"/>
          <w:szCs w:val="24"/>
          <w:lang w:eastAsia="hr-HR"/>
        </w:rPr>
        <w:t>7</w:t>
      </w:r>
      <w:r w:rsidRPr="00C41483">
        <w:rPr>
          <w:rFonts w:ascii="Times New Roman" w:eastAsia="Times New Roman" w:hAnsi="Times New Roman" w:cs="Times New Roman"/>
          <w:bCs/>
          <w:sz w:val="24"/>
          <w:szCs w:val="24"/>
          <w:lang w:eastAsia="hr-HR"/>
        </w:rPr>
        <w:t xml:space="preserve">) </w:t>
      </w:r>
      <w:r w:rsidR="00297AD3" w:rsidRPr="00C41483">
        <w:rPr>
          <w:rFonts w:ascii="Times New Roman" w:eastAsia="Times New Roman" w:hAnsi="Times New Roman" w:cs="Times New Roman"/>
          <w:bCs/>
          <w:sz w:val="24"/>
          <w:szCs w:val="24"/>
          <w:lang w:eastAsia="hr-HR"/>
        </w:rPr>
        <w:t>B</w:t>
      </w:r>
      <w:r w:rsidR="009A1F3B" w:rsidRPr="00C41483">
        <w:rPr>
          <w:rFonts w:ascii="Times New Roman" w:eastAsia="Times New Roman" w:hAnsi="Times New Roman" w:cs="Times New Roman"/>
          <w:bCs/>
          <w:sz w:val="24"/>
          <w:szCs w:val="24"/>
          <w:lang w:eastAsia="hr-HR"/>
        </w:rPr>
        <w:t xml:space="preserve">roj tumača nalazi se u tablici u prilogu odgovora na pitanje </w:t>
      </w:r>
      <w:r w:rsidR="00B726BA" w:rsidRPr="00C41483">
        <w:rPr>
          <w:rFonts w:ascii="Times New Roman" w:eastAsia="Times New Roman" w:hAnsi="Times New Roman" w:cs="Times New Roman"/>
          <w:bCs/>
          <w:sz w:val="24"/>
          <w:szCs w:val="24"/>
          <w:lang w:eastAsia="hr-HR"/>
        </w:rPr>
        <w:t xml:space="preserve">broj </w:t>
      </w:r>
      <w:r w:rsidR="009A1F3B" w:rsidRPr="00C41483">
        <w:rPr>
          <w:rFonts w:ascii="Times New Roman" w:eastAsia="Times New Roman" w:hAnsi="Times New Roman" w:cs="Times New Roman"/>
          <w:bCs/>
          <w:sz w:val="24"/>
          <w:szCs w:val="24"/>
          <w:lang w:eastAsia="hr-HR"/>
        </w:rPr>
        <w:t>19.</w:t>
      </w:r>
    </w:p>
    <w:p w14:paraId="03403E08" w14:textId="77777777" w:rsidR="00FD1F62" w:rsidRPr="00C41483" w:rsidRDefault="00FD1F62" w:rsidP="006B5133">
      <w:pPr>
        <w:spacing w:after="0" w:line="240" w:lineRule="auto"/>
        <w:jc w:val="both"/>
        <w:rPr>
          <w:rFonts w:ascii="Times New Roman" w:eastAsia="Times New Roman" w:hAnsi="Times New Roman" w:cs="Times New Roman"/>
          <w:bCs/>
          <w:i/>
          <w:iCs/>
          <w:sz w:val="24"/>
          <w:szCs w:val="24"/>
          <w:lang w:eastAsia="hr-HR"/>
        </w:rPr>
      </w:pPr>
    </w:p>
    <w:p w14:paraId="5B0F0A45" w14:textId="66CDE03E" w:rsidR="00D542B4" w:rsidRPr="00C41483" w:rsidRDefault="00D542B4" w:rsidP="006B5133">
      <w:pPr>
        <w:pStyle w:val="Naslov1"/>
        <w:spacing w:before="0" w:line="240" w:lineRule="auto"/>
        <w:rPr>
          <w:rFonts w:ascii="Times New Roman" w:eastAsia="Times New Roman" w:hAnsi="Times New Roman" w:cs="Times New Roman"/>
          <w:b/>
          <w:bCs/>
          <w:color w:val="auto"/>
          <w:sz w:val="24"/>
          <w:szCs w:val="24"/>
          <w:lang w:eastAsia="hr-HR"/>
        </w:rPr>
      </w:pPr>
      <w:bookmarkStart w:id="101" w:name="_Toc76630961"/>
      <w:bookmarkStart w:id="102" w:name="_Toc88031200"/>
      <w:r w:rsidRPr="00C41483">
        <w:rPr>
          <w:rFonts w:ascii="Times New Roman" w:eastAsia="Times New Roman" w:hAnsi="Times New Roman" w:cs="Times New Roman"/>
          <w:b/>
          <w:bCs/>
          <w:color w:val="auto"/>
          <w:sz w:val="24"/>
          <w:szCs w:val="24"/>
          <w:lang w:eastAsia="hr-HR"/>
        </w:rPr>
        <w:t>Poštivanje doma i obitelji (čl. 23.)</w:t>
      </w:r>
      <w:bookmarkEnd w:id="101"/>
      <w:bookmarkEnd w:id="102"/>
    </w:p>
    <w:p w14:paraId="537659CF" w14:textId="77777777" w:rsidR="000668E0" w:rsidRPr="00C41483" w:rsidRDefault="000668E0" w:rsidP="006B5133">
      <w:pPr>
        <w:spacing w:after="0" w:line="240" w:lineRule="auto"/>
        <w:jc w:val="both"/>
        <w:rPr>
          <w:rFonts w:ascii="Times New Roman" w:eastAsia="Times New Roman" w:hAnsi="Times New Roman" w:cs="Times New Roman"/>
          <w:bCs/>
          <w:i/>
          <w:iCs/>
          <w:sz w:val="24"/>
          <w:szCs w:val="24"/>
          <w:lang w:eastAsia="hr-HR"/>
        </w:rPr>
      </w:pPr>
    </w:p>
    <w:p w14:paraId="1E824BBB" w14:textId="621E0A6C" w:rsidR="007B5A8D" w:rsidRPr="00C41483" w:rsidRDefault="00604E80" w:rsidP="006B5133">
      <w:pPr>
        <w:spacing w:after="0" w:line="240" w:lineRule="auto"/>
        <w:jc w:val="both"/>
        <w:rPr>
          <w:rFonts w:ascii="Times New Roman" w:eastAsia="Times New Roman" w:hAnsi="Times New Roman" w:cs="Times New Roman"/>
          <w:bCs/>
          <w:i/>
          <w:iCs/>
          <w:sz w:val="24"/>
          <w:szCs w:val="24"/>
          <w:lang w:eastAsia="hr-HR"/>
        </w:rPr>
      </w:pPr>
      <w:bookmarkStart w:id="103" w:name="_Hlk83815087"/>
      <w:r w:rsidRPr="00C41483">
        <w:rPr>
          <w:rFonts w:ascii="Times New Roman" w:eastAsia="Times New Roman" w:hAnsi="Times New Roman" w:cs="Times New Roman"/>
          <w:bCs/>
          <w:i/>
          <w:iCs/>
          <w:sz w:val="24"/>
          <w:szCs w:val="24"/>
          <w:lang w:eastAsia="hr-HR"/>
        </w:rPr>
        <w:t xml:space="preserve">Pitanje </w:t>
      </w:r>
      <w:r w:rsidR="007B5A8D" w:rsidRPr="00C41483">
        <w:rPr>
          <w:rFonts w:ascii="Times New Roman" w:eastAsia="Times New Roman" w:hAnsi="Times New Roman" w:cs="Times New Roman"/>
          <w:bCs/>
          <w:i/>
          <w:iCs/>
          <w:sz w:val="24"/>
          <w:szCs w:val="24"/>
          <w:lang w:eastAsia="hr-HR"/>
        </w:rPr>
        <w:t>22a)</w:t>
      </w:r>
      <w:r w:rsidRPr="00C41483">
        <w:rPr>
          <w:rFonts w:ascii="Times New Roman" w:eastAsia="Times New Roman" w:hAnsi="Times New Roman" w:cs="Times New Roman"/>
          <w:bCs/>
          <w:i/>
          <w:iCs/>
          <w:sz w:val="24"/>
          <w:szCs w:val="24"/>
          <w:lang w:eastAsia="hr-HR"/>
        </w:rPr>
        <w:t xml:space="preserve">, </w:t>
      </w:r>
      <w:r w:rsidR="007B5A8D" w:rsidRPr="00C41483">
        <w:rPr>
          <w:rFonts w:ascii="Times New Roman" w:eastAsia="Times New Roman" w:hAnsi="Times New Roman" w:cs="Times New Roman"/>
          <w:bCs/>
          <w:i/>
          <w:iCs/>
          <w:sz w:val="24"/>
          <w:szCs w:val="24"/>
          <w:lang w:eastAsia="hr-HR"/>
        </w:rPr>
        <w:t>b)</w:t>
      </w:r>
      <w:r w:rsidRPr="00C41483">
        <w:rPr>
          <w:rFonts w:ascii="Times New Roman" w:eastAsia="Times New Roman" w:hAnsi="Times New Roman" w:cs="Times New Roman"/>
          <w:bCs/>
          <w:i/>
          <w:iCs/>
          <w:sz w:val="24"/>
          <w:szCs w:val="24"/>
          <w:lang w:eastAsia="hr-HR"/>
        </w:rPr>
        <w:t xml:space="preserve"> i </w:t>
      </w:r>
      <w:r w:rsidR="007B5A8D" w:rsidRPr="00C41483">
        <w:rPr>
          <w:rFonts w:ascii="Times New Roman" w:eastAsia="Times New Roman" w:hAnsi="Times New Roman" w:cs="Times New Roman"/>
          <w:bCs/>
          <w:i/>
          <w:iCs/>
          <w:sz w:val="24"/>
          <w:szCs w:val="24"/>
          <w:lang w:eastAsia="hr-HR"/>
        </w:rPr>
        <w:t>c).</w:t>
      </w:r>
    </w:p>
    <w:p w14:paraId="06698BA6" w14:textId="0905F9CA" w:rsidR="000668E0" w:rsidRPr="00C41483" w:rsidRDefault="000668E0" w:rsidP="006B5133">
      <w:pPr>
        <w:spacing w:after="0" w:line="240" w:lineRule="auto"/>
        <w:rPr>
          <w:lang w:eastAsia="hr-HR"/>
        </w:rPr>
      </w:pPr>
    </w:p>
    <w:p w14:paraId="75F1713A" w14:textId="7F993B49" w:rsidR="009A1F3B" w:rsidRPr="00C41483" w:rsidRDefault="006E7142" w:rsidP="006B5133">
      <w:pPr>
        <w:pStyle w:val="NormalNormalHZZO1"/>
        <w:spacing w:after="0"/>
        <w:jc w:val="both"/>
        <w:rPr>
          <w:sz w:val="24"/>
          <w:szCs w:val="24"/>
          <w:lang w:eastAsia="en-US"/>
        </w:rPr>
      </w:pPr>
      <w:bookmarkStart w:id="104" w:name="_Hlk78370473"/>
      <w:bookmarkEnd w:id="103"/>
      <w:r w:rsidRPr="00C41483">
        <w:rPr>
          <w:sz w:val="24"/>
          <w:szCs w:val="24"/>
          <w:lang w:eastAsia="en-US"/>
        </w:rPr>
        <w:t>(1</w:t>
      </w:r>
      <w:r w:rsidR="00B726BA" w:rsidRPr="00C41483">
        <w:rPr>
          <w:sz w:val="24"/>
          <w:szCs w:val="24"/>
          <w:lang w:eastAsia="en-US"/>
        </w:rPr>
        <w:t>2</w:t>
      </w:r>
      <w:r w:rsidR="00E8616D" w:rsidRPr="00C41483">
        <w:rPr>
          <w:sz w:val="24"/>
          <w:szCs w:val="24"/>
          <w:lang w:eastAsia="en-US"/>
        </w:rPr>
        <w:t>8</w:t>
      </w:r>
      <w:r w:rsidRPr="00C41483">
        <w:rPr>
          <w:sz w:val="24"/>
          <w:szCs w:val="24"/>
          <w:lang w:eastAsia="en-US"/>
        </w:rPr>
        <w:t xml:space="preserve">) </w:t>
      </w:r>
      <w:r w:rsidR="009A757D" w:rsidRPr="00C41483">
        <w:rPr>
          <w:sz w:val="24"/>
          <w:szCs w:val="24"/>
          <w:lang w:eastAsia="en-US"/>
        </w:rPr>
        <w:t>Pravo roditelja na smještaj uz dijete na bolničkom liječenju regulirano</w:t>
      </w:r>
      <w:r w:rsidR="009A1F3B" w:rsidRPr="00C41483">
        <w:rPr>
          <w:sz w:val="24"/>
          <w:szCs w:val="24"/>
          <w:lang w:eastAsia="en-US"/>
        </w:rPr>
        <w:t xml:space="preserve"> je </w:t>
      </w:r>
      <w:r w:rsidR="009A757D" w:rsidRPr="00C41483">
        <w:rPr>
          <w:sz w:val="24"/>
          <w:szCs w:val="24"/>
          <w:lang w:eastAsia="en-US"/>
        </w:rPr>
        <w:t>Pravilnik</w:t>
      </w:r>
      <w:r w:rsidR="009A1F3B" w:rsidRPr="00C41483">
        <w:rPr>
          <w:sz w:val="24"/>
          <w:szCs w:val="24"/>
          <w:lang w:eastAsia="en-US"/>
        </w:rPr>
        <w:t>om</w:t>
      </w:r>
      <w:r w:rsidR="009A757D" w:rsidRPr="00C41483">
        <w:rPr>
          <w:sz w:val="24"/>
          <w:szCs w:val="24"/>
          <w:lang w:eastAsia="en-US"/>
        </w:rPr>
        <w:t xml:space="preserve"> o uvjetima i načinu ostvarivanja prava iz obveznog zdravstvenog osiguranja.</w:t>
      </w:r>
      <w:r w:rsidR="004A452C" w:rsidRPr="00C41483">
        <w:rPr>
          <w:sz w:val="24"/>
          <w:szCs w:val="24"/>
          <w:lang w:eastAsia="en-US"/>
        </w:rPr>
        <w:t xml:space="preserve"> </w:t>
      </w:r>
      <w:r w:rsidR="009A1F3B" w:rsidRPr="00C41483">
        <w:rPr>
          <w:sz w:val="24"/>
          <w:szCs w:val="24"/>
          <w:lang w:eastAsia="en-US"/>
        </w:rPr>
        <w:t>Detaljniji podaci o pravu u prilogu</w:t>
      </w:r>
      <w:r w:rsidR="007C1BCA" w:rsidRPr="00C41483">
        <w:rPr>
          <w:sz w:val="24"/>
          <w:szCs w:val="24"/>
          <w:lang w:eastAsia="en-US"/>
        </w:rPr>
        <w:t xml:space="preserve"> 30</w:t>
      </w:r>
      <w:r w:rsidR="001A2F17">
        <w:rPr>
          <w:sz w:val="24"/>
          <w:szCs w:val="24"/>
          <w:lang w:eastAsia="en-US"/>
        </w:rPr>
        <w:t>.</w:t>
      </w:r>
    </w:p>
    <w:p w14:paraId="494A9E6B" w14:textId="77777777" w:rsidR="00733B69" w:rsidRPr="00C41483" w:rsidRDefault="00733B69" w:rsidP="006B5133">
      <w:pPr>
        <w:pStyle w:val="NormalNormalHZZO1"/>
        <w:spacing w:after="0"/>
        <w:jc w:val="both"/>
        <w:rPr>
          <w:sz w:val="24"/>
          <w:szCs w:val="24"/>
          <w:lang w:eastAsia="en-US"/>
        </w:rPr>
      </w:pPr>
    </w:p>
    <w:p w14:paraId="6FEAB515" w14:textId="0EB66BC9" w:rsidR="0068196D" w:rsidRDefault="006E7142" w:rsidP="005B0217">
      <w:pPr>
        <w:spacing w:after="0" w:line="240" w:lineRule="auto"/>
        <w:jc w:val="both"/>
        <w:rPr>
          <w:rFonts w:ascii="Times New Roman" w:hAnsi="Times New Roman" w:cs="Times New Roman"/>
          <w:sz w:val="24"/>
          <w:szCs w:val="24"/>
        </w:rPr>
      </w:pPr>
      <w:r w:rsidRPr="00C41483">
        <w:rPr>
          <w:rFonts w:ascii="Times New Roman" w:eastAsia="Times New Roman" w:hAnsi="Times New Roman" w:cs="Times New Roman"/>
          <w:noProof/>
          <w:sz w:val="24"/>
          <w:szCs w:val="24"/>
        </w:rPr>
        <w:t>(1</w:t>
      </w:r>
      <w:r w:rsidR="00B726BA" w:rsidRPr="00C41483">
        <w:rPr>
          <w:rFonts w:ascii="Times New Roman" w:eastAsia="Times New Roman" w:hAnsi="Times New Roman" w:cs="Times New Roman"/>
          <w:noProof/>
          <w:sz w:val="24"/>
          <w:szCs w:val="24"/>
        </w:rPr>
        <w:t>2</w:t>
      </w:r>
      <w:r w:rsidR="00E8616D" w:rsidRPr="00C41483">
        <w:rPr>
          <w:rFonts w:ascii="Times New Roman" w:eastAsia="Times New Roman" w:hAnsi="Times New Roman" w:cs="Times New Roman"/>
          <w:noProof/>
          <w:sz w:val="24"/>
          <w:szCs w:val="24"/>
        </w:rPr>
        <w:t>9</w:t>
      </w:r>
      <w:r w:rsidRPr="00C41483">
        <w:rPr>
          <w:rFonts w:ascii="Times New Roman" w:eastAsia="Times New Roman" w:hAnsi="Times New Roman" w:cs="Times New Roman"/>
          <w:noProof/>
          <w:sz w:val="24"/>
          <w:szCs w:val="24"/>
        </w:rPr>
        <w:t xml:space="preserve">) </w:t>
      </w:r>
      <w:r w:rsidR="005B3DE8" w:rsidRPr="00C41483">
        <w:rPr>
          <w:rFonts w:ascii="Times New Roman" w:eastAsia="Times New Roman" w:hAnsi="Times New Roman" w:cs="Times New Roman"/>
          <w:noProof/>
          <w:sz w:val="24"/>
          <w:szCs w:val="24"/>
        </w:rPr>
        <w:t xml:space="preserve">Sukladno Zakonu o socijalnoj skrbi </w:t>
      </w:r>
      <w:r w:rsidR="00597F9F" w:rsidRPr="00C41483">
        <w:rPr>
          <w:rFonts w:ascii="Times New Roman" w:eastAsia="Times New Roman" w:hAnsi="Times New Roman" w:cs="Times New Roman"/>
          <w:noProof/>
          <w:sz w:val="24"/>
          <w:szCs w:val="24"/>
        </w:rPr>
        <w:t>roditelji djece s teškoćama u razvoju pri nadležnom centru za s</w:t>
      </w:r>
      <w:r w:rsidR="004A452C" w:rsidRPr="00C41483">
        <w:rPr>
          <w:rFonts w:ascii="Times New Roman" w:eastAsia="Times New Roman" w:hAnsi="Times New Roman" w:cs="Times New Roman"/>
          <w:noProof/>
          <w:sz w:val="24"/>
          <w:szCs w:val="24"/>
        </w:rPr>
        <w:t>o</w:t>
      </w:r>
      <w:r w:rsidR="00597F9F" w:rsidRPr="00C41483">
        <w:rPr>
          <w:rFonts w:ascii="Times New Roman" w:eastAsia="Times New Roman" w:hAnsi="Times New Roman" w:cs="Times New Roman"/>
          <w:noProof/>
          <w:sz w:val="24"/>
          <w:szCs w:val="24"/>
        </w:rPr>
        <w:t xml:space="preserve">cijalnu skrb </w:t>
      </w:r>
      <w:r w:rsidR="005B3DE8" w:rsidRPr="00C41483">
        <w:rPr>
          <w:rFonts w:ascii="Times New Roman" w:eastAsia="Times New Roman" w:hAnsi="Times New Roman" w:cs="Times New Roman"/>
          <w:noProof/>
          <w:sz w:val="24"/>
          <w:szCs w:val="24"/>
        </w:rPr>
        <w:t xml:space="preserve">imaju </w:t>
      </w:r>
      <w:r w:rsidR="00597F9F" w:rsidRPr="00C41483">
        <w:rPr>
          <w:rFonts w:ascii="Times New Roman" w:eastAsia="Times New Roman" w:hAnsi="Times New Roman" w:cs="Times New Roman"/>
          <w:noProof/>
          <w:sz w:val="24"/>
          <w:szCs w:val="24"/>
        </w:rPr>
        <w:t>pravo</w:t>
      </w:r>
      <w:r w:rsidR="005B3DE8" w:rsidRPr="00C41483">
        <w:rPr>
          <w:rFonts w:ascii="Times New Roman" w:eastAsia="Times New Roman" w:hAnsi="Times New Roman" w:cs="Times New Roman"/>
          <w:noProof/>
          <w:sz w:val="24"/>
          <w:szCs w:val="24"/>
        </w:rPr>
        <w:t xml:space="preserve"> </w:t>
      </w:r>
      <w:r w:rsidR="00597F9F" w:rsidRPr="00C41483">
        <w:rPr>
          <w:rFonts w:ascii="Times New Roman" w:eastAsia="Times New Roman" w:hAnsi="Times New Roman" w:cs="Times New Roman"/>
          <w:noProof/>
          <w:sz w:val="24"/>
          <w:szCs w:val="24"/>
        </w:rPr>
        <w:t>na uslugu koja obuhvaća informiranje korisnika o socijalnim uslugama i pružateljima usluga, pomoć pri utvrđivanju potreba, početnu procjenu mogućnosti korisnika te podršku i pomoć pri izboru prava u sustavu socijalne skrbi. Također imaju pravo i na uslugu savjetovanja i pomaganja obitelji koja obuhvaća sve oblike stručne pomoći pri prevladavanju obiteljskih poteškoća i poteškoća roditelja u odgoju i skrbi za djecu, te osposobljavanje obitelji za funkcioniranje u svakodnevnom životu.</w:t>
      </w:r>
      <w:r w:rsidR="00B726BA" w:rsidRPr="00C41483">
        <w:rPr>
          <w:rFonts w:ascii="Times New Roman" w:eastAsia="Times New Roman" w:hAnsi="Times New Roman" w:cs="Times New Roman"/>
          <w:noProof/>
          <w:sz w:val="24"/>
          <w:szCs w:val="24"/>
        </w:rPr>
        <w:t xml:space="preserve"> </w:t>
      </w:r>
      <w:r w:rsidR="00884598" w:rsidRPr="00C41483">
        <w:rPr>
          <w:rFonts w:ascii="Times New Roman" w:hAnsi="Times New Roman" w:cs="Times New Roman"/>
          <w:sz w:val="24"/>
          <w:szCs w:val="24"/>
        </w:rPr>
        <w:t>Rod</w:t>
      </w:r>
      <w:r w:rsidR="0068196D" w:rsidRPr="00C41483">
        <w:rPr>
          <w:rFonts w:ascii="Times New Roman" w:hAnsi="Times New Roman" w:cs="Times New Roman"/>
          <w:sz w:val="24"/>
          <w:szCs w:val="24"/>
        </w:rPr>
        <w:t>itelj djeteta s teškoćama u razvoju koje je potpuno ovisno o pomoći i njezi druge osobe ima pravo na status roditelja njegovatelja.</w:t>
      </w:r>
      <w:r w:rsidR="005B0217" w:rsidRPr="00C41483">
        <w:rPr>
          <w:rFonts w:ascii="Times New Roman" w:hAnsi="Times New Roman" w:cs="Times New Roman"/>
          <w:sz w:val="24"/>
          <w:szCs w:val="24"/>
        </w:rPr>
        <w:t xml:space="preserve"> </w:t>
      </w:r>
      <w:r w:rsidR="0068196D" w:rsidRPr="00C41483">
        <w:rPr>
          <w:rFonts w:ascii="Times New Roman" w:hAnsi="Times New Roman" w:cs="Times New Roman"/>
          <w:sz w:val="24"/>
          <w:szCs w:val="24"/>
        </w:rPr>
        <w:t>Više o statusu u prilogu</w:t>
      </w:r>
      <w:r w:rsidR="00D268B0" w:rsidRPr="00C41483">
        <w:rPr>
          <w:rFonts w:ascii="Times New Roman" w:hAnsi="Times New Roman" w:cs="Times New Roman"/>
          <w:sz w:val="24"/>
          <w:szCs w:val="24"/>
        </w:rPr>
        <w:t xml:space="preserve"> </w:t>
      </w:r>
      <w:r w:rsidR="00822D16" w:rsidRPr="00C41483">
        <w:rPr>
          <w:rFonts w:ascii="Times New Roman" w:hAnsi="Times New Roman" w:cs="Times New Roman"/>
          <w:sz w:val="24"/>
          <w:szCs w:val="24"/>
        </w:rPr>
        <w:t>31</w:t>
      </w:r>
      <w:r w:rsidR="001A2F17">
        <w:rPr>
          <w:rFonts w:ascii="Times New Roman" w:hAnsi="Times New Roman" w:cs="Times New Roman"/>
          <w:sz w:val="24"/>
          <w:szCs w:val="24"/>
        </w:rPr>
        <w:t>.</w:t>
      </w:r>
    </w:p>
    <w:p w14:paraId="0751C189" w14:textId="77777777" w:rsidR="001A2F17" w:rsidRPr="00C41483" w:rsidRDefault="001A2F17" w:rsidP="005B0217">
      <w:pPr>
        <w:spacing w:after="0" w:line="240" w:lineRule="auto"/>
        <w:jc w:val="both"/>
        <w:rPr>
          <w:rFonts w:ascii="Times New Roman" w:hAnsi="Times New Roman" w:cs="Times New Roman"/>
          <w:sz w:val="24"/>
          <w:szCs w:val="24"/>
        </w:rPr>
      </w:pPr>
    </w:p>
    <w:p w14:paraId="6B09DCF2" w14:textId="2B235B12" w:rsidR="00D542B4" w:rsidRPr="00C41483" w:rsidRDefault="00D542B4" w:rsidP="006B5133">
      <w:pPr>
        <w:pStyle w:val="Naslov1"/>
        <w:spacing w:before="0" w:line="240" w:lineRule="auto"/>
        <w:rPr>
          <w:rFonts w:ascii="Times New Roman" w:eastAsia="Times New Roman" w:hAnsi="Times New Roman" w:cs="Times New Roman"/>
          <w:b/>
          <w:bCs/>
          <w:color w:val="auto"/>
          <w:sz w:val="24"/>
          <w:szCs w:val="24"/>
          <w:lang w:eastAsia="hr-HR"/>
        </w:rPr>
      </w:pPr>
      <w:bookmarkStart w:id="105" w:name="_Toc76630962"/>
      <w:bookmarkStart w:id="106" w:name="_Toc88031201"/>
      <w:bookmarkEnd w:id="104"/>
      <w:r w:rsidRPr="00C41483">
        <w:rPr>
          <w:rFonts w:ascii="Times New Roman" w:eastAsia="Times New Roman" w:hAnsi="Times New Roman" w:cs="Times New Roman"/>
          <w:b/>
          <w:bCs/>
          <w:color w:val="auto"/>
          <w:sz w:val="24"/>
          <w:szCs w:val="24"/>
          <w:lang w:eastAsia="hr-HR"/>
        </w:rPr>
        <w:t>Obrazovanje (čl. 24.)</w:t>
      </w:r>
      <w:bookmarkEnd w:id="105"/>
      <w:bookmarkEnd w:id="106"/>
    </w:p>
    <w:p w14:paraId="33124BFF" w14:textId="77777777" w:rsidR="000668E0" w:rsidRPr="00C41483" w:rsidRDefault="000668E0" w:rsidP="006B5133">
      <w:pPr>
        <w:spacing w:after="0" w:line="240" w:lineRule="auto"/>
        <w:jc w:val="both"/>
        <w:rPr>
          <w:rFonts w:ascii="Times New Roman" w:eastAsia="Times New Roman" w:hAnsi="Times New Roman" w:cs="Times New Roman"/>
          <w:bCs/>
          <w:i/>
          <w:iCs/>
          <w:sz w:val="24"/>
          <w:szCs w:val="24"/>
          <w:lang w:eastAsia="hr-HR"/>
        </w:rPr>
      </w:pPr>
    </w:p>
    <w:p w14:paraId="746E0E9F" w14:textId="27BAEC09" w:rsidR="00D542B4" w:rsidRPr="00C41483" w:rsidRDefault="00604E80" w:rsidP="006B5133">
      <w:pPr>
        <w:spacing w:after="0" w:line="240" w:lineRule="auto"/>
        <w:jc w:val="both"/>
        <w:rPr>
          <w:rFonts w:ascii="Times New Roman" w:eastAsia="Times New Roman" w:hAnsi="Times New Roman" w:cs="Times New Roman"/>
          <w:bCs/>
          <w:i/>
          <w:iCs/>
          <w:sz w:val="24"/>
          <w:szCs w:val="24"/>
          <w:lang w:eastAsia="hr-HR"/>
        </w:rPr>
      </w:pPr>
      <w:bookmarkStart w:id="107" w:name="_Hlk83815128"/>
      <w:r w:rsidRPr="00C41483">
        <w:rPr>
          <w:rFonts w:ascii="Times New Roman" w:eastAsia="Times New Roman" w:hAnsi="Times New Roman" w:cs="Times New Roman"/>
          <w:bCs/>
          <w:i/>
          <w:iCs/>
          <w:sz w:val="24"/>
          <w:szCs w:val="24"/>
          <w:lang w:eastAsia="hr-HR"/>
        </w:rPr>
        <w:t xml:space="preserve">Pitanje </w:t>
      </w:r>
      <w:r w:rsidR="00D542B4" w:rsidRPr="00C41483">
        <w:rPr>
          <w:rFonts w:ascii="Times New Roman" w:eastAsia="Times New Roman" w:hAnsi="Times New Roman" w:cs="Times New Roman"/>
          <w:bCs/>
          <w:i/>
          <w:iCs/>
          <w:sz w:val="24"/>
          <w:szCs w:val="24"/>
          <w:lang w:eastAsia="hr-HR"/>
        </w:rPr>
        <w:t>23</w:t>
      </w:r>
    </w:p>
    <w:p w14:paraId="39963336" w14:textId="77777777" w:rsidR="0068196D" w:rsidRPr="00C41483" w:rsidRDefault="0068196D" w:rsidP="006B5133">
      <w:pPr>
        <w:spacing w:after="0" w:line="240" w:lineRule="auto"/>
        <w:jc w:val="both"/>
        <w:rPr>
          <w:rFonts w:ascii="Times New Roman" w:eastAsia="Times New Roman" w:hAnsi="Times New Roman" w:cs="Times New Roman"/>
          <w:sz w:val="24"/>
          <w:szCs w:val="24"/>
          <w:lang w:eastAsia="hr-HR"/>
        </w:rPr>
      </w:pPr>
    </w:p>
    <w:bookmarkEnd w:id="107"/>
    <w:p w14:paraId="3D33DA61" w14:textId="6DE9C094" w:rsidR="00D542B4" w:rsidRPr="00C41483" w:rsidRDefault="006E7142" w:rsidP="006B5133">
      <w:pPr>
        <w:spacing w:after="0" w:line="240" w:lineRule="auto"/>
        <w:jc w:val="both"/>
        <w:rPr>
          <w:rFonts w:ascii="Times New Roman" w:eastAsia="Times New Roman" w:hAnsi="Times New Roman" w:cs="Times New Roman"/>
          <w:sz w:val="24"/>
          <w:szCs w:val="24"/>
          <w:lang w:eastAsia="hr-HR"/>
        </w:rPr>
      </w:pPr>
      <w:r w:rsidRPr="00C41483">
        <w:rPr>
          <w:rFonts w:ascii="Times New Roman" w:eastAsia="Times New Roman" w:hAnsi="Times New Roman" w:cs="Times New Roman"/>
          <w:sz w:val="24"/>
          <w:szCs w:val="24"/>
          <w:lang w:eastAsia="hr-HR"/>
        </w:rPr>
        <w:t>(1</w:t>
      </w:r>
      <w:r w:rsidR="00E8616D" w:rsidRPr="00C41483">
        <w:rPr>
          <w:rFonts w:ascii="Times New Roman" w:eastAsia="Times New Roman" w:hAnsi="Times New Roman" w:cs="Times New Roman"/>
          <w:sz w:val="24"/>
          <w:szCs w:val="24"/>
          <w:lang w:eastAsia="hr-HR"/>
        </w:rPr>
        <w:t>30</w:t>
      </w:r>
      <w:r w:rsidRPr="00C41483">
        <w:rPr>
          <w:rFonts w:ascii="Times New Roman" w:eastAsia="Times New Roman" w:hAnsi="Times New Roman" w:cs="Times New Roman"/>
          <w:sz w:val="24"/>
          <w:szCs w:val="24"/>
          <w:lang w:eastAsia="hr-HR"/>
        </w:rPr>
        <w:t xml:space="preserve">) </w:t>
      </w:r>
      <w:r w:rsidR="00D542B4" w:rsidRPr="00C41483">
        <w:rPr>
          <w:rFonts w:ascii="Times New Roman" w:eastAsia="Times New Roman" w:hAnsi="Times New Roman" w:cs="Times New Roman"/>
          <w:sz w:val="24"/>
          <w:szCs w:val="24"/>
          <w:lang w:eastAsia="hr-HR"/>
        </w:rPr>
        <w:t xml:space="preserve">Na javnim visokim učilištima </w:t>
      </w:r>
      <w:r w:rsidR="003A11B8" w:rsidRPr="00C41483">
        <w:rPr>
          <w:rFonts w:ascii="Times New Roman" w:eastAsia="Times New Roman" w:hAnsi="Times New Roman" w:cs="Times New Roman"/>
          <w:sz w:val="24"/>
          <w:szCs w:val="24"/>
          <w:lang w:eastAsia="hr-HR"/>
        </w:rPr>
        <w:t>svake</w:t>
      </w:r>
      <w:r w:rsidR="00D542B4" w:rsidRPr="00C41483">
        <w:rPr>
          <w:rFonts w:ascii="Times New Roman" w:eastAsia="Times New Roman" w:hAnsi="Times New Roman" w:cs="Times New Roman"/>
          <w:sz w:val="24"/>
          <w:szCs w:val="24"/>
          <w:lang w:eastAsia="hr-HR"/>
        </w:rPr>
        <w:t xml:space="preserve"> godin</w:t>
      </w:r>
      <w:r w:rsidR="003A11B8" w:rsidRPr="00C41483">
        <w:rPr>
          <w:rFonts w:ascii="Times New Roman" w:eastAsia="Times New Roman" w:hAnsi="Times New Roman" w:cs="Times New Roman"/>
          <w:sz w:val="24"/>
          <w:szCs w:val="24"/>
          <w:lang w:eastAsia="hr-HR"/>
        </w:rPr>
        <w:t xml:space="preserve">e </w:t>
      </w:r>
      <w:r w:rsidR="00D542B4" w:rsidRPr="00C41483">
        <w:rPr>
          <w:rFonts w:ascii="Times New Roman" w:eastAsia="Times New Roman" w:hAnsi="Times New Roman" w:cs="Times New Roman"/>
          <w:sz w:val="24"/>
          <w:szCs w:val="24"/>
          <w:lang w:eastAsia="hr-HR"/>
        </w:rPr>
        <w:t>obrazuje se sve više studenata s invaliditetom</w:t>
      </w:r>
      <w:r w:rsidR="003A11B8" w:rsidRPr="00C41483">
        <w:rPr>
          <w:rFonts w:ascii="Times New Roman" w:eastAsia="Times New Roman" w:hAnsi="Times New Roman" w:cs="Times New Roman"/>
          <w:sz w:val="24"/>
          <w:szCs w:val="24"/>
          <w:lang w:eastAsia="hr-HR"/>
        </w:rPr>
        <w:t xml:space="preserve"> koji sami </w:t>
      </w:r>
      <w:r w:rsidR="00D542B4" w:rsidRPr="00C41483">
        <w:rPr>
          <w:rFonts w:ascii="Times New Roman" w:eastAsia="Times New Roman" w:hAnsi="Times New Roman" w:cs="Times New Roman"/>
          <w:sz w:val="24"/>
          <w:szCs w:val="24"/>
          <w:lang w:eastAsia="hr-HR"/>
        </w:rPr>
        <w:t>ističu povećanje broja upisanih osoba s invaliditetom u programe u visokom obrazovanju kao pozitivnu promjenu koja pridonosi smanjivanju diskriminacije osoba s invaliditetom.</w:t>
      </w:r>
    </w:p>
    <w:p w14:paraId="7A8CD2D9" w14:textId="77777777" w:rsidR="00D0055C" w:rsidRPr="00C41483" w:rsidRDefault="00D0055C" w:rsidP="006B5133">
      <w:pPr>
        <w:spacing w:after="0" w:line="240" w:lineRule="auto"/>
        <w:jc w:val="both"/>
        <w:rPr>
          <w:rFonts w:ascii="Times New Roman" w:eastAsia="Times New Roman" w:hAnsi="Times New Roman" w:cs="Times New Roman"/>
          <w:sz w:val="24"/>
          <w:szCs w:val="24"/>
          <w:lang w:eastAsia="hr-HR"/>
        </w:rPr>
      </w:pPr>
    </w:p>
    <w:p w14:paraId="094D9561" w14:textId="088AC603" w:rsidR="00D542B4" w:rsidRPr="00C41483" w:rsidRDefault="006E7142" w:rsidP="006B5133">
      <w:pPr>
        <w:spacing w:after="0" w:line="240" w:lineRule="auto"/>
        <w:jc w:val="both"/>
        <w:rPr>
          <w:rFonts w:ascii="Times New Roman" w:eastAsia="Times New Roman" w:hAnsi="Times New Roman" w:cs="Times New Roman"/>
          <w:sz w:val="24"/>
          <w:szCs w:val="24"/>
          <w:lang w:eastAsia="hr-HR"/>
        </w:rPr>
      </w:pPr>
      <w:r w:rsidRPr="00C41483">
        <w:rPr>
          <w:rFonts w:ascii="Times New Roman" w:eastAsia="Times New Roman" w:hAnsi="Times New Roman" w:cs="Times New Roman"/>
          <w:sz w:val="24"/>
          <w:szCs w:val="24"/>
          <w:lang w:eastAsia="hr-HR"/>
        </w:rPr>
        <w:t>(1</w:t>
      </w:r>
      <w:r w:rsidR="00E8616D" w:rsidRPr="00C41483">
        <w:rPr>
          <w:rFonts w:ascii="Times New Roman" w:eastAsia="Times New Roman" w:hAnsi="Times New Roman" w:cs="Times New Roman"/>
          <w:sz w:val="24"/>
          <w:szCs w:val="24"/>
          <w:lang w:eastAsia="hr-HR"/>
        </w:rPr>
        <w:t>31</w:t>
      </w:r>
      <w:r w:rsidRPr="00C41483">
        <w:rPr>
          <w:rFonts w:ascii="Times New Roman" w:eastAsia="Times New Roman" w:hAnsi="Times New Roman" w:cs="Times New Roman"/>
          <w:sz w:val="24"/>
          <w:szCs w:val="24"/>
          <w:lang w:eastAsia="hr-HR"/>
        </w:rPr>
        <w:t xml:space="preserve">) </w:t>
      </w:r>
      <w:r w:rsidR="00D542B4" w:rsidRPr="00C41483">
        <w:rPr>
          <w:rFonts w:ascii="Times New Roman" w:eastAsia="Times New Roman" w:hAnsi="Times New Roman" w:cs="Times New Roman"/>
          <w:sz w:val="24"/>
          <w:szCs w:val="24"/>
          <w:lang w:eastAsia="hr-HR"/>
        </w:rPr>
        <w:t xml:space="preserve">Većina visokih učilišta osigurava kandidatima s invaliditetom pravo na prednost pri upisu na studij tako da se u natječajima za upis studenata u prvu godinu sveučilišnog preddiplomskog, integriranog preddiplomskog i diplomskog te stručnog studija, koji raspisuju svake akademske godine, navodi da kandidati koji imaju utvrđen postotak tjelesnoga oštećenja 60 % i više, studij mogu upisati pod uvjetom da prijeđu razredbeni prag i zadovolje na eventualnoj posebnoj provjeri dodatnih sposobnosti, koja također uključuje individualizirane prilagodbe. Ako nisu rangirani unutar odobrene kvote, upisuju se izvan kvote. Jednako tako prednost pri upisu imaju kandidati s invaliditetom i na nekim veleučilištima i visokim školama. Pravo izravnog upisa izvan upisne kvote ostvaruju pristupnici na temelju sporazuma </w:t>
      </w:r>
      <w:r w:rsidR="003A11B8" w:rsidRPr="00C41483">
        <w:rPr>
          <w:rFonts w:ascii="Times New Roman" w:eastAsia="Times New Roman" w:hAnsi="Times New Roman" w:cs="Times New Roman"/>
          <w:sz w:val="24"/>
          <w:szCs w:val="24"/>
          <w:lang w:eastAsia="hr-HR"/>
        </w:rPr>
        <w:t>iz</w:t>
      </w:r>
      <w:r w:rsidR="00D542B4" w:rsidRPr="00C41483">
        <w:rPr>
          <w:rFonts w:ascii="Times New Roman" w:eastAsia="Times New Roman" w:hAnsi="Times New Roman" w:cs="Times New Roman"/>
          <w:sz w:val="24"/>
          <w:szCs w:val="24"/>
          <w:lang w:eastAsia="hr-HR"/>
        </w:rPr>
        <w:t xml:space="preserve"> 2007. između Rektorskog zbora i Ministarstva </w:t>
      </w:r>
      <w:r w:rsidR="0068196D" w:rsidRPr="00C41483">
        <w:rPr>
          <w:rFonts w:ascii="Times New Roman" w:eastAsia="Times New Roman" w:hAnsi="Times New Roman" w:cs="Times New Roman"/>
          <w:sz w:val="24"/>
          <w:szCs w:val="24"/>
          <w:lang w:eastAsia="hr-HR"/>
        </w:rPr>
        <w:t xml:space="preserve">nadležnog za </w:t>
      </w:r>
      <w:r w:rsidR="00D542B4" w:rsidRPr="00C41483">
        <w:rPr>
          <w:rFonts w:ascii="Times New Roman" w:eastAsia="Times New Roman" w:hAnsi="Times New Roman" w:cs="Times New Roman"/>
          <w:sz w:val="24"/>
          <w:szCs w:val="24"/>
          <w:lang w:eastAsia="hr-HR"/>
        </w:rPr>
        <w:t>znanost</w:t>
      </w:r>
      <w:r w:rsidR="0068196D" w:rsidRPr="00C41483">
        <w:rPr>
          <w:rFonts w:ascii="Times New Roman" w:eastAsia="Times New Roman" w:hAnsi="Times New Roman" w:cs="Times New Roman"/>
          <w:sz w:val="24"/>
          <w:szCs w:val="24"/>
          <w:lang w:eastAsia="hr-HR"/>
        </w:rPr>
        <w:t xml:space="preserve"> i obrazovanje te Ministarstva nadležnog za socijalnu </w:t>
      </w:r>
      <w:r w:rsidR="006D2708" w:rsidRPr="00C41483">
        <w:rPr>
          <w:rFonts w:ascii="Times New Roman" w:eastAsia="Times New Roman" w:hAnsi="Times New Roman" w:cs="Times New Roman"/>
          <w:sz w:val="24"/>
          <w:szCs w:val="24"/>
          <w:lang w:eastAsia="hr-HR"/>
        </w:rPr>
        <w:t>skrb</w:t>
      </w:r>
      <w:r w:rsidR="0068196D" w:rsidRPr="00C41483">
        <w:rPr>
          <w:rFonts w:ascii="Times New Roman" w:eastAsia="Times New Roman" w:hAnsi="Times New Roman" w:cs="Times New Roman"/>
          <w:sz w:val="24"/>
          <w:szCs w:val="24"/>
          <w:lang w:eastAsia="hr-HR"/>
        </w:rPr>
        <w:t xml:space="preserve">. </w:t>
      </w:r>
    </w:p>
    <w:p w14:paraId="44A719AD" w14:textId="77777777" w:rsidR="00D0055C" w:rsidRPr="00C41483" w:rsidRDefault="00D0055C" w:rsidP="006B5133">
      <w:pPr>
        <w:spacing w:after="0" w:line="240" w:lineRule="auto"/>
        <w:jc w:val="both"/>
        <w:rPr>
          <w:rFonts w:ascii="Times New Roman" w:eastAsia="Times New Roman" w:hAnsi="Times New Roman" w:cs="Times New Roman"/>
          <w:sz w:val="24"/>
          <w:szCs w:val="24"/>
          <w:lang w:eastAsia="hr-HR"/>
        </w:rPr>
      </w:pPr>
    </w:p>
    <w:p w14:paraId="0068716D" w14:textId="67C4DC38" w:rsidR="00D542B4" w:rsidRPr="00C41483" w:rsidRDefault="006E7142" w:rsidP="006B5133">
      <w:pPr>
        <w:spacing w:after="0" w:line="240" w:lineRule="auto"/>
        <w:jc w:val="both"/>
        <w:rPr>
          <w:rFonts w:ascii="Times New Roman" w:eastAsia="Times New Roman" w:hAnsi="Times New Roman" w:cs="Times New Roman"/>
          <w:sz w:val="24"/>
          <w:szCs w:val="24"/>
          <w:lang w:eastAsia="hr-HR"/>
        </w:rPr>
      </w:pPr>
      <w:r w:rsidRPr="00C41483">
        <w:rPr>
          <w:rFonts w:ascii="Times New Roman" w:eastAsia="Times New Roman" w:hAnsi="Times New Roman" w:cs="Times New Roman"/>
          <w:sz w:val="24"/>
          <w:szCs w:val="24"/>
          <w:lang w:eastAsia="hr-HR"/>
        </w:rPr>
        <w:t>(1</w:t>
      </w:r>
      <w:r w:rsidR="00E8616D" w:rsidRPr="00C41483">
        <w:rPr>
          <w:rFonts w:ascii="Times New Roman" w:eastAsia="Times New Roman" w:hAnsi="Times New Roman" w:cs="Times New Roman"/>
          <w:sz w:val="24"/>
          <w:szCs w:val="24"/>
          <w:lang w:eastAsia="hr-HR"/>
        </w:rPr>
        <w:t>3</w:t>
      </w:r>
      <w:r w:rsidR="00822D16" w:rsidRPr="00C41483">
        <w:rPr>
          <w:rFonts w:ascii="Times New Roman" w:eastAsia="Times New Roman" w:hAnsi="Times New Roman" w:cs="Times New Roman"/>
          <w:sz w:val="24"/>
          <w:szCs w:val="24"/>
          <w:lang w:eastAsia="hr-HR"/>
        </w:rPr>
        <w:t>2</w:t>
      </w:r>
      <w:r w:rsidRPr="00C41483">
        <w:rPr>
          <w:rFonts w:ascii="Times New Roman" w:eastAsia="Times New Roman" w:hAnsi="Times New Roman" w:cs="Times New Roman"/>
          <w:sz w:val="24"/>
          <w:szCs w:val="24"/>
          <w:lang w:eastAsia="hr-HR"/>
        </w:rPr>
        <w:t xml:space="preserve">) </w:t>
      </w:r>
      <w:r w:rsidR="00D542B4" w:rsidRPr="00C41483">
        <w:rPr>
          <w:rFonts w:ascii="Times New Roman" w:eastAsia="Times New Roman" w:hAnsi="Times New Roman" w:cs="Times New Roman"/>
          <w:sz w:val="24"/>
          <w:szCs w:val="24"/>
          <w:lang w:eastAsia="hr-HR"/>
        </w:rPr>
        <w:t>Pravo na punu subvenciju troškova studija ostvaruju redoviti studenti akreditiranih preddiplomskih sveučilišnih, integriranih preddiplomskih i diplomskih sveučilišnih, diplomskih sveučilišnih, kratkih stručnih, preddiplomskih stručnih i specijalističkih diplomskih stručnih studija na javnim visokim učilištima u R</w:t>
      </w:r>
      <w:r w:rsidR="00905964" w:rsidRPr="00C41483">
        <w:rPr>
          <w:rFonts w:ascii="Times New Roman" w:eastAsia="Times New Roman" w:hAnsi="Times New Roman" w:cs="Times New Roman"/>
          <w:sz w:val="24"/>
          <w:szCs w:val="24"/>
          <w:lang w:eastAsia="hr-HR"/>
        </w:rPr>
        <w:t>H</w:t>
      </w:r>
      <w:r w:rsidR="00D542B4" w:rsidRPr="00C41483">
        <w:rPr>
          <w:rFonts w:ascii="Times New Roman" w:eastAsia="Times New Roman" w:hAnsi="Times New Roman" w:cs="Times New Roman"/>
          <w:sz w:val="24"/>
          <w:szCs w:val="24"/>
          <w:lang w:eastAsia="hr-HR"/>
        </w:rPr>
        <w:t xml:space="preserve"> koji prvi put upisuju prvu godinu studija te oni koji su ostvarili najmanje 30 ECTS bodova u prethodnoj akademskoj godini.</w:t>
      </w:r>
    </w:p>
    <w:p w14:paraId="31BF12C3" w14:textId="77777777" w:rsidR="00D0055C" w:rsidRPr="00C41483" w:rsidRDefault="00D0055C" w:rsidP="006B5133">
      <w:pPr>
        <w:spacing w:after="0" w:line="240" w:lineRule="auto"/>
        <w:jc w:val="both"/>
        <w:rPr>
          <w:rFonts w:ascii="Times New Roman" w:eastAsia="Times New Roman" w:hAnsi="Times New Roman" w:cs="Times New Roman"/>
          <w:sz w:val="24"/>
          <w:szCs w:val="24"/>
          <w:lang w:eastAsia="hr-HR"/>
        </w:rPr>
      </w:pPr>
    </w:p>
    <w:p w14:paraId="41D40524" w14:textId="116B8BAA" w:rsidR="00D542B4" w:rsidRPr="00C41483" w:rsidRDefault="006E7142" w:rsidP="006B5133">
      <w:pPr>
        <w:spacing w:after="0" w:line="240" w:lineRule="auto"/>
        <w:jc w:val="both"/>
        <w:rPr>
          <w:rFonts w:ascii="Times New Roman" w:eastAsia="Times New Roman" w:hAnsi="Times New Roman" w:cs="Times New Roman"/>
          <w:sz w:val="24"/>
          <w:szCs w:val="24"/>
          <w:lang w:eastAsia="hr-HR"/>
        </w:rPr>
      </w:pPr>
      <w:r w:rsidRPr="00C41483">
        <w:rPr>
          <w:rFonts w:ascii="Times New Roman" w:eastAsia="Times New Roman" w:hAnsi="Times New Roman" w:cs="Times New Roman"/>
          <w:sz w:val="24"/>
          <w:szCs w:val="24"/>
          <w:lang w:eastAsia="hr-HR"/>
        </w:rPr>
        <w:t>(1</w:t>
      </w:r>
      <w:r w:rsidR="00822D16" w:rsidRPr="00C41483">
        <w:rPr>
          <w:rFonts w:ascii="Times New Roman" w:eastAsia="Times New Roman" w:hAnsi="Times New Roman" w:cs="Times New Roman"/>
          <w:sz w:val="24"/>
          <w:szCs w:val="24"/>
          <w:lang w:eastAsia="hr-HR"/>
        </w:rPr>
        <w:t>3</w:t>
      </w:r>
      <w:r w:rsidR="00E8616D" w:rsidRPr="00C41483">
        <w:rPr>
          <w:rFonts w:ascii="Times New Roman" w:eastAsia="Times New Roman" w:hAnsi="Times New Roman" w:cs="Times New Roman"/>
          <w:sz w:val="24"/>
          <w:szCs w:val="24"/>
          <w:lang w:eastAsia="hr-HR"/>
        </w:rPr>
        <w:t>3</w:t>
      </w:r>
      <w:r w:rsidRPr="00C41483">
        <w:rPr>
          <w:rFonts w:ascii="Times New Roman" w:eastAsia="Times New Roman" w:hAnsi="Times New Roman" w:cs="Times New Roman"/>
          <w:sz w:val="24"/>
          <w:szCs w:val="24"/>
          <w:lang w:eastAsia="hr-HR"/>
        </w:rPr>
        <w:t xml:space="preserve">) </w:t>
      </w:r>
      <w:r w:rsidR="00D542B4" w:rsidRPr="00C41483">
        <w:rPr>
          <w:rFonts w:ascii="Times New Roman" w:eastAsia="Times New Roman" w:hAnsi="Times New Roman" w:cs="Times New Roman"/>
          <w:sz w:val="24"/>
          <w:szCs w:val="24"/>
          <w:lang w:eastAsia="hr-HR"/>
        </w:rPr>
        <w:t>Dodatno, studentima s invaliditetom osigurava se i smještaj u studentskim domovima. Studenti s invaliditetom od 1. do 5. kategorije invaliditeta (iznad 50 % tjelesnog oštećenja), uključujući i studente s invaliditetom na poslijediplomskome sveučilišnom studiju ostvaruju pravo na izravan smještaj uz uvjet da je student u tekućoj akademskoj godini ostvario najmanje 1 ECTS bod i najmanje 15 ECTS bodova prosječno u prethodnim godinama studiranja. Studenti s invaliditetom od 6. do 10. kategorije invaliditeta dobivaju dodatne bodove prema stupnju tjelesnog oštećenja</w:t>
      </w:r>
      <w:r w:rsidR="005867F3" w:rsidRPr="00C41483">
        <w:rPr>
          <w:rFonts w:ascii="Times New Roman" w:eastAsia="Times New Roman" w:hAnsi="Times New Roman" w:cs="Times New Roman"/>
          <w:sz w:val="24"/>
          <w:szCs w:val="24"/>
          <w:lang w:eastAsia="hr-HR"/>
        </w:rPr>
        <w:t>.</w:t>
      </w:r>
    </w:p>
    <w:p w14:paraId="4C62848D" w14:textId="77777777" w:rsidR="00D0055C" w:rsidRPr="00C41483" w:rsidRDefault="00D0055C" w:rsidP="006B5133">
      <w:pPr>
        <w:spacing w:after="0" w:line="240" w:lineRule="auto"/>
        <w:jc w:val="both"/>
        <w:rPr>
          <w:rFonts w:ascii="Times New Roman" w:eastAsia="Times New Roman" w:hAnsi="Times New Roman" w:cs="Times New Roman"/>
          <w:sz w:val="24"/>
          <w:szCs w:val="24"/>
          <w:lang w:eastAsia="hr-HR"/>
        </w:rPr>
      </w:pPr>
    </w:p>
    <w:p w14:paraId="7DD605CD" w14:textId="6DE4869C" w:rsidR="00D542B4" w:rsidRPr="00C41483" w:rsidRDefault="006E7142" w:rsidP="006B5133">
      <w:pPr>
        <w:spacing w:after="0" w:line="240" w:lineRule="auto"/>
        <w:jc w:val="both"/>
        <w:rPr>
          <w:rFonts w:ascii="Times New Roman" w:eastAsia="Times New Roman" w:hAnsi="Times New Roman" w:cs="Times New Roman"/>
          <w:sz w:val="24"/>
          <w:szCs w:val="24"/>
          <w:lang w:eastAsia="hr-HR"/>
        </w:rPr>
      </w:pPr>
      <w:r w:rsidRPr="00C41483">
        <w:rPr>
          <w:rFonts w:ascii="Times New Roman" w:eastAsia="Times New Roman" w:hAnsi="Times New Roman" w:cs="Times New Roman"/>
          <w:sz w:val="24"/>
          <w:szCs w:val="24"/>
          <w:lang w:eastAsia="hr-HR"/>
        </w:rPr>
        <w:t>(1</w:t>
      </w:r>
      <w:r w:rsidR="00822D16" w:rsidRPr="00C41483">
        <w:rPr>
          <w:rFonts w:ascii="Times New Roman" w:eastAsia="Times New Roman" w:hAnsi="Times New Roman" w:cs="Times New Roman"/>
          <w:sz w:val="24"/>
          <w:szCs w:val="24"/>
          <w:lang w:eastAsia="hr-HR"/>
        </w:rPr>
        <w:t>3</w:t>
      </w:r>
      <w:r w:rsidR="00E8616D" w:rsidRPr="00C41483">
        <w:rPr>
          <w:rFonts w:ascii="Times New Roman" w:eastAsia="Times New Roman" w:hAnsi="Times New Roman" w:cs="Times New Roman"/>
          <w:sz w:val="24"/>
          <w:szCs w:val="24"/>
          <w:lang w:eastAsia="hr-HR"/>
        </w:rPr>
        <w:t>4</w:t>
      </w:r>
      <w:r w:rsidRPr="00C41483">
        <w:rPr>
          <w:rFonts w:ascii="Times New Roman" w:eastAsia="Times New Roman" w:hAnsi="Times New Roman" w:cs="Times New Roman"/>
          <w:sz w:val="24"/>
          <w:szCs w:val="24"/>
          <w:lang w:eastAsia="hr-HR"/>
        </w:rPr>
        <w:t xml:space="preserve">) </w:t>
      </w:r>
      <w:r w:rsidR="00D542B4" w:rsidRPr="00C41483">
        <w:rPr>
          <w:rFonts w:ascii="Times New Roman" w:eastAsia="Times New Roman" w:hAnsi="Times New Roman" w:cs="Times New Roman"/>
          <w:sz w:val="24"/>
          <w:szCs w:val="24"/>
          <w:lang w:eastAsia="hr-HR"/>
        </w:rPr>
        <w:t xml:space="preserve">Navedenim su mjerama brojne osobe s invaliditetom uključene i imaju pristup kvalitetnom obrazovanju, u skladu s preporukama pravobraniteljice iz 2012. </w:t>
      </w:r>
      <w:r w:rsidR="003A11B8" w:rsidRPr="00C41483">
        <w:rPr>
          <w:rFonts w:ascii="Times New Roman" w:eastAsia="Times New Roman" w:hAnsi="Times New Roman" w:cs="Times New Roman"/>
          <w:sz w:val="24"/>
          <w:szCs w:val="24"/>
          <w:lang w:eastAsia="hr-HR"/>
        </w:rPr>
        <w:t>godine.</w:t>
      </w:r>
    </w:p>
    <w:p w14:paraId="16A97BE4" w14:textId="77777777" w:rsidR="00D542B4" w:rsidRPr="00C41483" w:rsidRDefault="00D542B4" w:rsidP="006B5133">
      <w:pPr>
        <w:spacing w:after="0" w:line="240" w:lineRule="auto"/>
        <w:ind w:left="1068"/>
        <w:jc w:val="both"/>
        <w:rPr>
          <w:rFonts w:ascii="Times New Roman" w:eastAsia="Times New Roman" w:hAnsi="Times New Roman" w:cs="Times New Roman"/>
          <w:sz w:val="24"/>
          <w:szCs w:val="24"/>
          <w:lang w:eastAsia="hr-HR"/>
        </w:rPr>
      </w:pPr>
    </w:p>
    <w:p w14:paraId="221022B2" w14:textId="5C0E4F82" w:rsidR="00D542B4" w:rsidRPr="00C41483" w:rsidRDefault="00604E80" w:rsidP="00604E80">
      <w:pPr>
        <w:spacing w:after="0" w:line="240" w:lineRule="auto"/>
        <w:jc w:val="both"/>
        <w:rPr>
          <w:rFonts w:ascii="Times New Roman" w:eastAsia="Times New Roman" w:hAnsi="Times New Roman" w:cs="Times New Roman"/>
          <w:bCs/>
          <w:i/>
          <w:iCs/>
          <w:sz w:val="24"/>
          <w:szCs w:val="24"/>
          <w:lang w:eastAsia="hr-HR"/>
        </w:rPr>
      </w:pPr>
      <w:r w:rsidRPr="00C41483">
        <w:rPr>
          <w:rFonts w:ascii="Times New Roman" w:eastAsia="Times New Roman" w:hAnsi="Times New Roman" w:cs="Times New Roman"/>
          <w:bCs/>
          <w:i/>
          <w:iCs/>
          <w:sz w:val="24"/>
          <w:szCs w:val="24"/>
          <w:lang w:eastAsia="hr-HR"/>
        </w:rPr>
        <w:t>Pitanje 23a)</w:t>
      </w:r>
    </w:p>
    <w:p w14:paraId="600FD8B5" w14:textId="4D095393" w:rsidR="00D542B4" w:rsidRPr="00C41483" w:rsidRDefault="00D542B4" w:rsidP="006B5133">
      <w:pPr>
        <w:spacing w:after="0" w:line="240" w:lineRule="auto"/>
        <w:jc w:val="both"/>
        <w:rPr>
          <w:rFonts w:ascii="Times New Roman" w:eastAsia="Times New Roman" w:hAnsi="Times New Roman" w:cs="Times New Roman"/>
          <w:bCs/>
          <w:i/>
          <w:iCs/>
          <w:sz w:val="24"/>
          <w:szCs w:val="24"/>
          <w:lang w:eastAsia="hr-HR"/>
        </w:rPr>
      </w:pPr>
    </w:p>
    <w:p w14:paraId="72CEE104" w14:textId="75732D15" w:rsidR="00DB0AA2" w:rsidRPr="00C41483" w:rsidRDefault="006E7142" w:rsidP="006B5133">
      <w:pPr>
        <w:spacing w:after="0" w:line="240" w:lineRule="auto"/>
        <w:jc w:val="both"/>
        <w:rPr>
          <w:rFonts w:ascii="Times New Roman" w:eastAsia="Times New Roman" w:hAnsi="Times New Roman" w:cs="Times New Roman"/>
          <w:sz w:val="24"/>
          <w:szCs w:val="24"/>
          <w:lang w:eastAsia="hr-HR"/>
        </w:rPr>
      </w:pPr>
      <w:r w:rsidRPr="00C41483">
        <w:rPr>
          <w:rFonts w:ascii="Times New Roman" w:eastAsia="Times New Roman" w:hAnsi="Times New Roman" w:cs="Times New Roman"/>
          <w:sz w:val="24"/>
          <w:szCs w:val="24"/>
          <w:lang w:eastAsia="hr-HR"/>
        </w:rPr>
        <w:t>(1</w:t>
      </w:r>
      <w:r w:rsidR="00822D16" w:rsidRPr="00C41483">
        <w:rPr>
          <w:rFonts w:ascii="Times New Roman" w:eastAsia="Times New Roman" w:hAnsi="Times New Roman" w:cs="Times New Roman"/>
          <w:sz w:val="24"/>
          <w:szCs w:val="24"/>
          <w:lang w:eastAsia="hr-HR"/>
        </w:rPr>
        <w:t>3</w:t>
      </w:r>
      <w:r w:rsidR="00E8616D" w:rsidRPr="00C41483">
        <w:rPr>
          <w:rFonts w:ascii="Times New Roman" w:eastAsia="Times New Roman" w:hAnsi="Times New Roman" w:cs="Times New Roman"/>
          <w:sz w:val="24"/>
          <w:szCs w:val="24"/>
          <w:lang w:eastAsia="hr-HR"/>
        </w:rPr>
        <w:t>5</w:t>
      </w:r>
      <w:r w:rsidRPr="00C41483">
        <w:rPr>
          <w:rFonts w:ascii="Times New Roman" w:eastAsia="Times New Roman" w:hAnsi="Times New Roman" w:cs="Times New Roman"/>
          <w:sz w:val="24"/>
          <w:szCs w:val="24"/>
          <w:lang w:eastAsia="hr-HR"/>
        </w:rPr>
        <w:t xml:space="preserve">) </w:t>
      </w:r>
      <w:r w:rsidR="00DB0AA2" w:rsidRPr="00C41483">
        <w:rPr>
          <w:rFonts w:ascii="Times New Roman" w:eastAsia="Times New Roman" w:hAnsi="Times New Roman" w:cs="Times New Roman"/>
          <w:sz w:val="24"/>
          <w:szCs w:val="24"/>
          <w:lang w:eastAsia="hr-HR"/>
        </w:rPr>
        <w:t xml:space="preserve">Inkluzivno obrazovanje od ranog i predškolskog odgoja, osnovnoškolskog i srednjoškolskog do </w:t>
      </w:r>
      <w:r w:rsidR="007D0DA2" w:rsidRPr="00C41483">
        <w:rPr>
          <w:rFonts w:ascii="Times New Roman" w:eastAsia="Times New Roman" w:hAnsi="Times New Roman" w:cs="Times New Roman"/>
          <w:sz w:val="24"/>
          <w:szCs w:val="24"/>
          <w:lang w:eastAsia="hr-HR"/>
        </w:rPr>
        <w:t xml:space="preserve">sustava visokog obrazovanja </w:t>
      </w:r>
      <w:r w:rsidR="00DB0AA2" w:rsidRPr="00C41483">
        <w:rPr>
          <w:rFonts w:ascii="Times New Roman" w:eastAsia="Times New Roman" w:hAnsi="Times New Roman" w:cs="Times New Roman"/>
          <w:sz w:val="24"/>
          <w:szCs w:val="24"/>
          <w:lang w:eastAsia="hr-HR"/>
        </w:rPr>
        <w:t>kontinuirano se unapređuje donošenjem zakonskih i podzakonskih akata te osiguravanjem uvjeta za njihovu provedbu sukladno zahtjevima i potrebama djece/učenika s teškoćama u razvoju te mladih osoba s invaliditetom</w:t>
      </w:r>
      <w:r w:rsidR="003A11B8" w:rsidRPr="00C41483">
        <w:rPr>
          <w:rFonts w:ascii="Times New Roman" w:eastAsia="Times New Roman" w:hAnsi="Times New Roman" w:cs="Times New Roman"/>
          <w:sz w:val="24"/>
          <w:szCs w:val="24"/>
          <w:lang w:eastAsia="hr-HR"/>
        </w:rPr>
        <w:t>.</w:t>
      </w:r>
    </w:p>
    <w:p w14:paraId="3762D5CD" w14:textId="77777777" w:rsidR="00D0055C" w:rsidRPr="00C41483" w:rsidRDefault="00D0055C" w:rsidP="006B5133">
      <w:pPr>
        <w:spacing w:after="0" w:line="240" w:lineRule="auto"/>
        <w:jc w:val="both"/>
        <w:rPr>
          <w:rFonts w:ascii="Times New Roman" w:eastAsia="Times New Roman" w:hAnsi="Times New Roman" w:cs="Times New Roman"/>
          <w:sz w:val="24"/>
          <w:szCs w:val="24"/>
          <w:lang w:eastAsia="hr-HR"/>
        </w:rPr>
      </w:pPr>
    </w:p>
    <w:p w14:paraId="059B4DF8" w14:textId="458CA88A" w:rsidR="00DB0AA2" w:rsidRPr="00C41483" w:rsidRDefault="006E7142" w:rsidP="006B5133">
      <w:pPr>
        <w:spacing w:after="0" w:line="240" w:lineRule="auto"/>
        <w:jc w:val="both"/>
        <w:rPr>
          <w:rFonts w:ascii="Times New Roman" w:eastAsia="Times New Roman" w:hAnsi="Times New Roman" w:cs="Times New Roman"/>
          <w:sz w:val="24"/>
          <w:szCs w:val="24"/>
          <w:lang w:eastAsia="hr-HR"/>
        </w:rPr>
      </w:pPr>
      <w:r w:rsidRPr="00C41483">
        <w:rPr>
          <w:rFonts w:ascii="Times New Roman" w:eastAsia="Times New Roman" w:hAnsi="Times New Roman" w:cs="Times New Roman"/>
          <w:sz w:val="24"/>
          <w:szCs w:val="24"/>
          <w:lang w:eastAsia="hr-HR"/>
        </w:rPr>
        <w:t>(1</w:t>
      </w:r>
      <w:r w:rsidR="00822D16" w:rsidRPr="00C41483">
        <w:rPr>
          <w:rFonts w:ascii="Times New Roman" w:eastAsia="Times New Roman" w:hAnsi="Times New Roman" w:cs="Times New Roman"/>
          <w:sz w:val="24"/>
          <w:szCs w:val="24"/>
          <w:lang w:eastAsia="hr-HR"/>
        </w:rPr>
        <w:t>3</w:t>
      </w:r>
      <w:r w:rsidR="00E8616D" w:rsidRPr="00C41483">
        <w:rPr>
          <w:rFonts w:ascii="Times New Roman" w:eastAsia="Times New Roman" w:hAnsi="Times New Roman" w:cs="Times New Roman"/>
          <w:sz w:val="24"/>
          <w:szCs w:val="24"/>
          <w:lang w:eastAsia="hr-HR"/>
        </w:rPr>
        <w:t>6</w:t>
      </w:r>
      <w:r w:rsidRPr="00C41483">
        <w:rPr>
          <w:rFonts w:ascii="Times New Roman" w:eastAsia="Times New Roman" w:hAnsi="Times New Roman" w:cs="Times New Roman"/>
          <w:sz w:val="24"/>
          <w:szCs w:val="24"/>
          <w:lang w:eastAsia="hr-HR"/>
        </w:rPr>
        <w:t xml:space="preserve">) </w:t>
      </w:r>
      <w:r w:rsidR="00DB0AA2" w:rsidRPr="00C41483">
        <w:rPr>
          <w:rFonts w:ascii="Times New Roman" w:eastAsia="Times New Roman" w:hAnsi="Times New Roman" w:cs="Times New Roman"/>
          <w:sz w:val="24"/>
          <w:szCs w:val="24"/>
          <w:lang w:eastAsia="hr-HR"/>
        </w:rPr>
        <w:t xml:space="preserve">Zakonodavni okvir regulira pravo svakog djeteta/učenika s teškoćama u razvoju i mlade osobe s invaliditetom na primjeren program i oblik odgoja i obrazovanja, uvijek kada je to moguće, u sredini u kojoj živi, osiguravajući potrebnu programsku i profesionalnu potporu te prostornu i pedagoško-didaktičku prilagodbu uz prihvaćanje njihovih potreba, interesa, </w:t>
      </w:r>
      <w:r w:rsidR="00DB0AA2" w:rsidRPr="00C41483">
        <w:rPr>
          <w:rFonts w:ascii="Times New Roman" w:eastAsia="Times New Roman" w:hAnsi="Times New Roman" w:cs="Times New Roman"/>
          <w:sz w:val="24"/>
          <w:szCs w:val="24"/>
          <w:lang w:eastAsia="hr-HR"/>
        </w:rPr>
        <w:lastRenderedPageBreak/>
        <w:t>sposobnosti i mogućnosti, a sukladno svim strategijskim dokumentima R</w:t>
      </w:r>
      <w:r w:rsidR="00905964" w:rsidRPr="00C41483">
        <w:rPr>
          <w:rFonts w:ascii="Times New Roman" w:eastAsia="Times New Roman" w:hAnsi="Times New Roman" w:cs="Times New Roman"/>
          <w:sz w:val="24"/>
          <w:szCs w:val="24"/>
          <w:lang w:eastAsia="hr-HR"/>
        </w:rPr>
        <w:t>H</w:t>
      </w:r>
      <w:r w:rsidR="00DB0AA2" w:rsidRPr="00C41483">
        <w:rPr>
          <w:rFonts w:ascii="Times New Roman" w:eastAsia="Times New Roman" w:hAnsi="Times New Roman" w:cs="Times New Roman"/>
          <w:sz w:val="24"/>
          <w:szCs w:val="24"/>
          <w:lang w:eastAsia="hr-HR"/>
        </w:rPr>
        <w:t xml:space="preserve"> i međunarodnim dokumentima kojima je RH pristupila. Time je dana prilika i djeci/učenicima koji imaju znatne razvojne teškoće da se uz rehabilitacijsku i stručnu profesionalnu potporu uspješno uključe u sustav odgoja i obrazovanja u sredini u kojoj žive, što podrazumijeva visoke standarde u pristupu problemu.</w:t>
      </w:r>
    </w:p>
    <w:p w14:paraId="320D916A" w14:textId="77777777" w:rsidR="00D0055C" w:rsidRPr="00C41483" w:rsidRDefault="00D0055C" w:rsidP="006B5133">
      <w:pPr>
        <w:spacing w:after="0" w:line="240" w:lineRule="auto"/>
        <w:jc w:val="both"/>
        <w:rPr>
          <w:rFonts w:ascii="Times New Roman" w:eastAsia="Times New Roman" w:hAnsi="Times New Roman" w:cs="Times New Roman"/>
          <w:bCs/>
          <w:i/>
          <w:iCs/>
          <w:sz w:val="24"/>
          <w:szCs w:val="24"/>
          <w:lang w:eastAsia="hr-HR"/>
        </w:rPr>
      </w:pPr>
    </w:p>
    <w:p w14:paraId="7646C9D9" w14:textId="0B2A394D" w:rsidR="00DB0AA2" w:rsidRPr="00C41483" w:rsidRDefault="006E7142" w:rsidP="006B5133">
      <w:pPr>
        <w:spacing w:after="0" w:line="240" w:lineRule="auto"/>
        <w:jc w:val="both"/>
        <w:rPr>
          <w:rFonts w:ascii="Times New Roman" w:eastAsia="Times New Roman" w:hAnsi="Times New Roman" w:cs="Times New Roman"/>
          <w:sz w:val="24"/>
          <w:szCs w:val="24"/>
          <w:lang w:eastAsia="hr-HR"/>
        </w:rPr>
      </w:pPr>
      <w:bookmarkStart w:id="108" w:name="_Hlk78372088"/>
      <w:r w:rsidRPr="00C41483">
        <w:rPr>
          <w:rFonts w:ascii="Times New Roman" w:eastAsia="Times New Roman" w:hAnsi="Times New Roman" w:cs="Times New Roman"/>
          <w:sz w:val="24"/>
          <w:szCs w:val="24"/>
          <w:lang w:eastAsia="hr-HR"/>
        </w:rPr>
        <w:t>(1</w:t>
      </w:r>
      <w:r w:rsidR="00822D16" w:rsidRPr="00C41483">
        <w:rPr>
          <w:rFonts w:ascii="Times New Roman" w:eastAsia="Times New Roman" w:hAnsi="Times New Roman" w:cs="Times New Roman"/>
          <w:sz w:val="24"/>
          <w:szCs w:val="24"/>
          <w:lang w:eastAsia="hr-HR"/>
        </w:rPr>
        <w:t>3</w:t>
      </w:r>
      <w:r w:rsidR="00E8616D" w:rsidRPr="00C41483">
        <w:rPr>
          <w:rFonts w:ascii="Times New Roman" w:eastAsia="Times New Roman" w:hAnsi="Times New Roman" w:cs="Times New Roman"/>
          <w:sz w:val="24"/>
          <w:szCs w:val="24"/>
          <w:lang w:eastAsia="hr-HR"/>
        </w:rPr>
        <w:t>7</w:t>
      </w:r>
      <w:r w:rsidRPr="00C41483">
        <w:rPr>
          <w:rFonts w:ascii="Times New Roman" w:eastAsia="Times New Roman" w:hAnsi="Times New Roman" w:cs="Times New Roman"/>
          <w:sz w:val="24"/>
          <w:szCs w:val="24"/>
          <w:lang w:eastAsia="hr-HR"/>
        </w:rPr>
        <w:t xml:space="preserve">) </w:t>
      </w:r>
      <w:r w:rsidR="00DB0AA2" w:rsidRPr="00C41483">
        <w:rPr>
          <w:rFonts w:ascii="Times New Roman" w:eastAsia="Times New Roman" w:hAnsi="Times New Roman" w:cs="Times New Roman"/>
          <w:sz w:val="24"/>
          <w:szCs w:val="24"/>
          <w:lang w:eastAsia="hr-HR"/>
        </w:rPr>
        <w:t>P</w:t>
      </w:r>
      <w:r w:rsidR="00D542B4" w:rsidRPr="00C41483">
        <w:rPr>
          <w:rFonts w:ascii="Times New Roman" w:eastAsia="Times New Roman" w:hAnsi="Times New Roman" w:cs="Times New Roman"/>
          <w:sz w:val="24"/>
          <w:szCs w:val="24"/>
          <w:lang w:eastAsia="hr-HR"/>
        </w:rPr>
        <w:t xml:space="preserve">odaci o broju učenika s </w:t>
      </w:r>
      <w:r w:rsidR="00DB0AA2" w:rsidRPr="00C41483">
        <w:rPr>
          <w:rFonts w:ascii="Times New Roman" w:eastAsia="Times New Roman" w:hAnsi="Times New Roman" w:cs="Times New Roman"/>
          <w:sz w:val="24"/>
          <w:szCs w:val="24"/>
          <w:lang w:eastAsia="hr-HR"/>
        </w:rPr>
        <w:t xml:space="preserve">teškoćama u razvoju </w:t>
      </w:r>
      <w:r w:rsidR="00D542B4" w:rsidRPr="00C41483">
        <w:rPr>
          <w:rFonts w:ascii="Times New Roman" w:eastAsia="Times New Roman" w:hAnsi="Times New Roman" w:cs="Times New Roman"/>
          <w:sz w:val="24"/>
          <w:szCs w:val="24"/>
          <w:lang w:eastAsia="hr-HR"/>
        </w:rPr>
        <w:t xml:space="preserve">upisanih u osnovnoškolske i srednjoškolske programe, podaci o broju učenika uključenih u redoviti sustav obrazovanja </w:t>
      </w:r>
      <w:r w:rsidR="00297AD3" w:rsidRPr="00C41483">
        <w:rPr>
          <w:rFonts w:ascii="Times New Roman" w:eastAsia="Times New Roman" w:hAnsi="Times New Roman" w:cs="Times New Roman"/>
          <w:sz w:val="24"/>
          <w:szCs w:val="24"/>
          <w:lang w:eastAsia="hr-HR"/>
        </w:rPr>
        <w:t>te</w:t>
      </w:r>
      <w:r w:rsidR="00D542B4" w:rsidRPr="00C41483">
        <w:rPr>
          <w:rFonts w:ascii="Times New Roman" w:eastAsia="Times New Roman" w:hAnsi="Times New Roman" w:cs="Times New Roman"/>
          <w:sz w:val="24"/>
          <w:szCs w:val="24"/>
          <w:lang w:eastAsia="hr-HR"/>
        </w:rPr>
        <w:t xml:space="preserve"> podaci o učenicima koji su uključeni u posebni sustav obrazovanja, prema godinama</w:t>
      </w:r>
      <w:r w:rsidR="002D4058" w:rsidRPr="00C41483">
        <w:rPr>
          <w:rFonts w:ascii="Times New Roman" w:eastAsia="Times New Roman" w:hAnsi="Times New Roman" w:cs="Times New Roman"/>
          <w:sz w:val="24"/>
          <w:szCs w:val="24"/>
          <w:lang w:eastAsia="hr-HR"/>
        </w:rPr>
        <w:t>,</w:t>
      </w:r>
      <w:r w:rsidR="00DB0AA2" w:rsidRPr="00C41483">
        <w:rPr>
          <w:rFonts w:ascii="Times New Roman" w:eastAsia="Times New Roman" w:hAnsi="Times New Roman" w:cs="Times New Roman"/>
          <w:sz w:val="24"/>
          <w:szCs w:val="24"/>
          <w:lang w:eastAsia="hr-HR"/>
        </w:rPr>
        <w:t xml:space="preserve"> nalaze se u prilogu</w:t>
      </w:r>
      <w:r w:rsidR="00D268B0" w:rsidRPr="00C41483">
        <w:rPr>
          <w:rFonts w:ascii="Times New Roman" w:eastAsia="Times New Roman" w:hAnsi="Times New Roman" w:cs="Times New Roman"/>
          <w:sz w:val="24"/>
          <w:szCs w:val="24"/>
          <w:lang w:eastAsia="hr-HR"/>
        </w:rPr>
        <w:t xml:space="preserve"> </w:t>
      </w:r>
      <w:r w:rsidR="00822D16" w:rsidRPr="00C41483">
        <w:rPr>
          <w:rFonts w:ascii="Times New Roman" w:eastAsia="Times New Roman" w:hAnsi="Times New Roman" w:cs="Times New Roman"/>
          <w:sz w:val="24"/>
          <w:szCs w:val="24"/>
          <w:lang w:eastAsia="hr-HR"/>
        </w:rPr>
        <w:t>32</w:t>
      </w:r>
      <w:r w:rsidR="001A2F17">
        <w:rPr>
          <w:rFonts w:ascii="Times New Roman" w:eastAsia="Times New Roman" w:hAnsi="Times New Roman" w:cs="Times New Roman"/>
          <w:sz w:val="24"/>
          <w:szCs w:val="24"/>
          <w:lang w:eastAsia="hr-HR"/>
        </w:rPr>
        <w:t>.</w:t>
      </w:r>
    </w:p>
    <w:p w14:paraId="057567E2" w14:textId="7492D0DD" w:rsidR="00822D16" w:rsidRPr="00C41483" w:rsidRDefault="00822D16" w:rsidP="006B5133">
      <w:pPr>
        <w:spacing w:after="0" w:line="240" w:lineRule="auto"/>
        <w:jc w:val="both"/>
        <w:rPr>
          <w:rFonts w:ascii="Times New Roman" w:eastAsia="Times New Roman" w:hAnsi="Times New Roman" w:cs="Times New Roman"/>
          <w:sz w:val="24"/>
          <w:szCs w:val="24"/>
          <w:lang w:eastAsia="hr-HR"/>
        </w:rPr>
      </w:pPr>
    </w:p>
    <w:p w14:paraId="62F26902" w14:textId="7BFA6343" w:rsidR="00D542B4" w:rsidRPr="00C41483" w:rsidRDefault="00604E80" w:rsidP="00C04F09">
      <w:pPr>
        <w:spacing w:after="0" w:line="240" w:lineRule="auto"/>
        <w:jc w:val="both"/>
        <w:rPr>
          <w:rFonts w:ascii="Times New Roman" w:eastAsia="Times New Roman" w:hAnsi="Times New Roman" w:cs="Times New Roman"/>
          <w:bCs/>
          <w:i/>
          <w:iCs/>
          <w:sz w:val="24"/>
          <w:szCs w:val="24"/>
          <w:lang w:eastAsia="hr-HR"/>
        </w:rPr>
      </w:pPr>
      <w:bookmarkStart w:id="109" w:name="_Hlk83815186"/>
      <w:bookmarkEnd w:id="108"/>
      <w:r w:rsidRPr="00C41483">
        <w:rPr>
          <w:rFonts w:ascii="Times New Roman" w:eastAsia="Times New Roman" w:hAnsi="Times New Roman" w:cs="Times New Roman"/>
          <w:bCs/>
          <w:i/>
          <w:iCs/>
          <w:sz w:val="24"/>
          <w:szCs w:val="24"/>
          <w:lang w:eastAsia="hr-HR"/>
        </w:rPr>
        <w:t>Pitanje 23</w:t>
      </w:r>
      <w:r w:rsidR="00D542B4" w:rsidRPr="00C41483">
        <w:rPr>
          <w:rFonts w:ascii="Times New Roman" w:eastAsia="Times New Roman" w:hAnsi="Times New Roman" w:cs="Times New Roman"/>
          <w:bCs/>
          <w:i/>
          <w:iCs/>
          <w:sz w:val="24"/>
          <w:szCs w:val="24"/>
          <w:lang w:eastAsia="hr-HR"/>
        </w:rPr>
        <w:t>b)</w:t>
      </w:r>
      <w:bookmarkEnd w:id="109"/>
    </w:p>
    <w:p w14:paraId="63388355" w14:textId="77777777" w:rsidR="00DB0AA2" w:rsidRPr="00C41483" w:rsidRDefault="00DB0AA2" w:rsidP="006B5133">
      <w:pPr>
        <w:spacing w:after="0" w:line="240" w:lineRule="auto"/>
        <w:jc w:val="both"/>
        <w:rPr>
          <w:rFonts w:ascii="Times New Roman" w:eastAsia="Times New Roman" w:hAnsi="Times New Roman" w:cs="Times New Roman"/>
          <w:sz w:val="24"/>
          <w:szCs w:val="24"/>
          <w:lang w:eastAsia="hr-HR"/>
        </w:rPr>
      </w:pPr>
    </w:p>
    <w:p w14:paraId="08B35C6E" w14:textId="7FF2711C" w:rsidR="00D542B4" w:rsidRPr="00C41483" w:rsidRDefault="006E7142" w:rsidP="006B5133">
      <w:pPr>
        <w:spacing w:after="0" w:line="240" w:lineRule="auto"/>
        <w:jc w:val="both"/>
        <w:rPr>
          <w:rFonts w:ascii="Times New Roman" w:eastAsia="Times New Roman" w:hAnsi="Times New Roman" w:cs="Times New Roman"/>
          <w:sz w:val="24"/>
          <w:szCs w:val="24"/>
          <w:lang w:eastAsia="hr-HR"/>
        </w:rPr>
      </w:pPr>
      <w:r w:rsidRPr="00C41483">
        <w:rPr>
          <w:rFonts w:ascii="Times New Roman" w:eastAsia="Times New Roman" w:hAnsi="Times New Roman" w:cs="Times New Roman"/>
          <w:sz w:val="24"/>
          <w:szCs w:val="24"/>
          <w:lang w:eastAsia="hr-HR"/>
        </w:rPr>
        <w:t>(1</w:t>
      </w:r>
      <w:r w:rsidR="00822D16" w:rsidRPr="00C41483">
        <w:rPr>
          <w:rFonts w:ascii="Times New Roman" w:eastAsia="Times New Roman" w:hAnsi="Times New Roman" w:cs="Times New Roman"/>
          <w:sz w:val="24"/>
          <w:szCs w:val="24"/>
          <w:lang w:eastAsia="hr-HR"/>
        </w:rPr>
        <w:t>3</w:t>
      </w:r>
      <w:r w:rsidR="00E8616D" w:rsidRPr="00C41483">
        <w:rPr>
          <w:rFonts w:ascii="Times New Roman" w:eastAsia="Times New Roman" w:hAnsi="Times New Roman" w:cs="Times New Roman"/>
          <w:sz w:val="24"/>
          <w:szCs w:val="24"/>
          <w:lang w:eastAsia="hr-HR"/>
        </w:rPr>
        <w:t>8</w:t>
      </w:r>
      <w:r w:rsidRPr="00C41483">
        <w:rPr>
          <w:rFonts w:ascii="Times New Roman" w:eastAsia="Times New Roman" w:hAnsi="Times New Roman" w:cs="Times New Roman"/>
          <w:sz w:val="24"/>
          <w:szCs w:val="24"/>
          <w:lang w:eastAsia="hr-HR"/>
        </w:rPr>
        <w:t xml:space="preserve">) </w:t>
      </w:r>
      <w:r w:rsidR="00D542B4" w:rsidRPr="00C41483">
        <w:rPr>
          <w:rFonts w:ascii="Times New Roman" w:eastAsia="Times New Roman" w:hAnsi="Times New Roman" w:cs="Times New Roman"/>
          <w:sz w:val="24"/>
          <w:szCs w:val="24"/>
          <w:lang w:eastAsia="hr-HR"/>
        </w:rPr>
        <w:t>U svrhu pružanja financijske potpore tijekom studiranja, studentima s invaliditetom dostupni su različiti izvori potpora. Na nacionalnoj razini Ministarstvo znanosti i obrazovanja svake godine dodjeljuje državne stipendije redovitim studentima sveučilišnih i stručnih studija te potporu za podmirenje dijela troškova prijevoza.</w:t>
      </w:r>
    </w:p>
    <w:p w14:paraId="1871EE15" w14:textId="77777777" w:rsidR="00D0055C" w:rsidRPr="00C41483" w:rsidRDefault="00D0055C" w:rsidP="006B5133">
      <w:pPr>
        <w:spacing w:after="0" w:line="240" w:lineRule="auto"/>
        <w:jc w:val="both"/>
        <w:rPr>
          <w:rFonts w:ascii="Times New Roman" w:eastAsia="Times New Roman" w:hAnsi="Times New Roman" w:cs="Times New Roman"/>
          <w:sz w:val="24"/>
          <w:szCs w:val="24"/>
          <w:lang w:eastAsia="hr-HR"/>
        </w:rPr>
      </w:pPr>
    </w:p>
    <w:p w14:paraId="73731034" w14:textId="5C72D0EF" w:rsidR="007D0DA2" w:rsidRPr="00C41483" w:rsidRDefault="006E7142" w:rsidP="006B5133">
      <w:pPr>
        <w:spacing w:after="0" w:line="240" w:lineRule="auto"/>
        <w:jc w:val="both"/>
        <w:rPr>
          <w:rFonts w:ascii="Times New Roman" w:eastAsia="Times New Roman" w:hAnsi="Times New Roman" w:cs="Times New Roman"/>
          <w:sz w:val="24"/>
          <w:szCs w:val="24"/>
          <w:lang w:eastAsia="hr-HR"/>
        </w:rPr>
      </w:pPr>
      <w:r w:rsidRPr="00C41483">
        <w:rPr>
          <w:rFonts w:ascii="Times New Roman" w:eastAsia="Times New Roman" w:hAnsi="Times New Roman" w:cs="Times New Roman"/>
          <w:sz w:val="24"/>
          <w:szCs w:val="24"/>
          <w:lang w:eastAsia="hr-HR"/>
        </w:rPr>
        <w:t>(1</w:t>
      </w:r>
      <w:r w:rsidR="00822D16" w:rsidRPr="00C41483">
        <w:rPr>
          <w:rFonts w:ascii="Times New Roman" w:eastAsia="Times New Roman" w:hAnsi="Times New Roman" w:cs="Times New Roman"/>
          <w:sz w:val="24"/>
          <w:szCs w:val="24"/>
          <w:lang w:eastAsia="hr-HR"/>
        </w:rPr>
        <w:t>3</w:t>
      </w:r>
      <w:r w:rsidR="00E8616D" w:rsidRPr="00C41483">
        <w:rPr>
          <w:rFonts w:ascii="Times New Roman" w:eastAsia="Times New Roman" w:hAnsi="Times New Roman" w:cs="Times New Roman"/>
          <w:sz w:val="24"/>
          <w:szCs w:val="24"/>
          <w:lang w:eastAsia="hr-HR"/>
        </w:rPr>
        <w:t>9</w:t>
      </w:r>
      <w:r w:rsidRPr="00C41483">
        <w:rPr>
          <w:rFonts w:ascii="Times New Roman" w:eastAsia="Times New Roman" w:hAnsi="Times New Roman" w:cs="Times New Roman"/>
          <w:sz w:val="24"/>
          <w:szCs w:val="24"/>
          <w:lang w:eastAsia="hr-HR"/>
        </w:rPr>
        <w:t xml:space="preserve">) </w:t>
      </w:r>
      <w:r w:rsidR="007D0DA2" w:rsidRPr="00C41483">
        <w:rPr>
          <w:rFonts w:ascii="Times New Roman" w:eastAsia="Times New Roman" w:hAnsi="Times New Roman" w:cs="Times New Roman"/>
          <w:sz w:val="24"/>
          <w:szCs w:val="24"/>
          <w:lang w:eastAsia="hr-HR"/>
        </w:rPr>
        <w:t>Pravo na novčanu potporu ostvaruju redoviti studenti s invaliditetom od najmanje 60% tjelesnog i osjetilnog oštećenja upisani na preddiplomske, diplomske, integrirane preddiplomske i diplomske te poslijediplomske studije</w:t>
      </w:r>
      <w:r w:rsidR="00D542B4" w:rsidRPr="00C41483">
        <w:rPr>
          <w:rFonts w:ascii="Times New Roman" w:eastAsia="Times New Roman" w:hAnsi="Times New Roman" w:cs="Times New Roman"/>
          <w:sz w:val="24"/>
          <w:szCs w:val="24"/>
          <w:lang w:eastAsia="hr-HR"/>
        </w:rPr>
        <w:t>. Visinu iznosa novčane potpore određuje ministar znanosti i obrazovanja odlukom koja se donosi prije početka akademske godine, sukladno osiguranim sredstvima u Državnome proračunu R</w:t>
      </w:r>
      <w:r w:rsidR="00905964" w:rsidRPr="00C41483">
        <w:rPr>
          <w:rFonts w:ascii="Times New Roman" w:eastAsia="Times New Roman" w:hAnsi="Times New Roman" w:cs="Times New Roman"/>
          <w:sz w:val="24"/>
          <w:szCs w:val="24"/>
          <w:lang w:eastAsia="hr-HR"/>
        </w:rPr>
        <w:t>H</w:t>
      </w:r>
      <w:r w:rsidR="00D542B4" w:rsidRPr="00C41483">
        <w:rPr>
          <w:rFonts w:ascii="Times New Roman" w:eastAsia="Times New Roman" w:hAnsi="Times New Roman" w:cs="Times New Roman"/>
          <w:sz w:val="24"/>
          <w:szCs w:val="24"/>
          <w:lang w:eastAsia="hr-HR"/>
        </w:rPr>
        <w:t xml:space="preserve">. </w:t>
      </w:r>
    </w:p>
    <w:p w14:paraId="2B77001F" w14:textId="2EAEDE4F" w:rsidR="00D542B4" w:rsidRPr="00C41483" w:rsidRDefault="00D542B4" w:rsidP="006B5133">
      <w:pPr>
        <w:spacing w:after="0" w:line="240" w:lineRule="auto"/>
        <w:jc w:val="both"/>
        <w:rPr>
          <w:rFonts w:ascii="Times New Roman" w:eastAsia="Times New Roman" w:hAnsi="Times New Roman" w:cs="Times New Roman"/>
          <w:sz w:val="24"/>
          <w:szCs w:val="24"/>
          <w:lang w:eastAsia="hr-HR"/>
        </w:rPr>
      </w:pPr>
    </w:p>
    <w:p w14:paraId="2CFB7069" w14:textId="77777777" w:rsidR="00D0055C" w:rsidRPr="00C41483" w:rsidRDefault="00D0055C" w:rsidP="006B5133">
      <w:pPr>
        <w:spacing w:after="0" w:line="240" w:lineRule="auto"/>
        <w:jc w:val="both"/>
        <w:rPr>
          <w:rFonts w:ascii="Times New Roman" w:eastAsia="Times New Roman" w:hAnsi="Times New Roman" w:cs="Times New Roman"/>
          <w:sz w:val="24"/>
          <w:szCs w:val="24"/>
          <w:lang w:eastAsia="hr-HR"/>
        </w:rPr>
      </w:pPr>
    </w:p>
    <w:p w14:paraId="080F4EAB" w14:textId="773F54C4" w:rsidR="00DB0AA2" w:rsidRPr="00C41483" w:rsidRDefault="006E7142" w:rsidP="006B5133">
      <w:pPr>
        <w:spacing w:after="0" w:line="240" w:lineRule="auto"/>
        <w:jc w:val="both"/>
        <w:rPr>
          <w:rFonts w:ascii="Times New Roman" w:eastAsia="Times New Roman" w:hAnsi="Times New Roman" w:cs="Times New Roman"/>
          <w:sz w:val="24"/>
          <w:szCs w:val="24"/>
          <w:lang w:eastAsia="hr-HR"/>
        </w:rPr>
      </w:pPr>
      <w:r w:rsidRPr="00C41483">
        <w:rPr>
          <w:rFonts w:ascii="Times New Roman" w:eastAsia="Times New Roman" w:hAnsi="Times New Roman" w:cs="Times New Roman"/>
          <w:sz w:val="24"/>
          <w:szCs w:val="24"/>
          <w:lang w:eastAsia="hr-HR"/>
        </w:rPr>
        <w:t>(1</w:t>
      </w:r>
      <w:r w:rsidR="00E8616D" w:rsidRPr="00C41483">
        <w:rPr>
          <w:rFonts w:ascii="Times New Roman" w:eastAsia="Times New Roman" w:hAnsi="Times New Roman" w:cs="Times New Roman"/>
          <w:sz w:val="24"/>
          <w:szCs w:val="24"/>
          <w:lang w:eastAsia="hr-HR"/>
        </w:rPr>
        <w:t>40</w:t>
      </w:r>
      <w:r w:rsidRPr="00C41483">
        <w:rPr>
          <w:rFonts w:ascii="Times New Roman" w:eastAsia="Times New Roman" w:hAnsi="Times New Roman" w:cs="Times New Roman"/>
          <w:sz w:val="24"/>
          <w:szCs w:val="24"/>
          <w:lang w:eastAsia="hr-HR"/>
        </w:rPr>
        <w:t xml:space="preserve">) </w:t>
      </w:r>
      <w:bookmarkStart w:id="110" w:name="_Hlk83191941"/>
      <w:bookmarkStart w:id="111" w:name="_Hlk78372399"/>
      <w:r w:rsidR="007D0DA2" w:rsidRPr="00C41483">
        <w:rPr>
          <w:rFonts w:ascii="Times New Roman" w:eastAsia="Times New Roman" w:hAnsi="Times New Roman" w:cs="Times New Roman"/>
          <w:sz w:val="24"/>
          <w:szCs w:val="24"/>
          <w:lang w:eastAsia="hr-HR"/>
        </w:rPr>
        <w:t>Uz potporu prijevoza, Ministarstvo znanosti i obrazovanja dodjeljuje tri vrste državnih stipendija pri čemu unutar jedne postoji posebna kategorija namijenjena samo studentima s invaliditetom dok u druge dvije studenti s invaliditetom ostvaruju dodatne bodove, s ciljem pružanja individualne podrške studentima s invaliditetom te osiguravanja jednakog pristupa obrazovnom okruženju</w:t>
      </w:r>
      <w:r w:rsidR="00D000DE" w:rsidRPr="00C41483">
        <w:rPr>
          <w:rFonts w:ascii="Times New Roman" w:eastAsia="Times New Roman" w:hAnsi="Times New Roman" w:cs="Times New Roman"/>
          <w:sz w:val="24"/>
          <w:szCs w:val="24"/>
          <w:lang w:eastAsia="hr-HR"/>
        </w:rPr>
        <w:t xml:space="preserve">. </w:t>
      </w:r>
      <w:bookmarkStart w:id="112" w:name="_Hlk78372379"/>
      <w:bookmarkEnd w:id="110"/>
      <w:bookmarkEnd w:id="111"/>
      <w:r w:rsidR="00DB0AA2" w:rsidRPr="00C41483">
        <w:rPr>
          <w:rFonts w:ascii="Times New Roman" w:eastAsia="Times New Roman" w:hAnsi="Times New Roman" w:cs="Times New Roman"/>
          <w:sz w:val="24"/>
          <w:szCs w:val="24"/>
          <w:lang w:eastAsia="hr-HR"/>
        </w:rPr>
        <w:t>Više o stipendijama u prilogu</w:t>
      </w:r>
      <w:r w:rsidR="00D268B0" w:rsidRPr="00C41483">
        <w:rPr>
          <w:rFonts w:ascii="Times New Roman" w:eastAsia="Times New Roman" w:hAnsi="Times New Roman" w:cs="Times New Roman"/>
          <w:sz w:val="24"/>
          <w:szCs w:val="24"/>
          <w:lang w:eastAsia="hr-HR"/>
        </w:rPr>
        <w:t xml:space="preserve"> </w:t>
      </w:r>
      <w:r w:rsidR="00822D16" w:rsidRPr="00C41483">
        <w:rPr>
          <w:rFonts w:ascii="Times New Roman" w:eastAsia="Times New Roman" w:hAnsi="Times New Roman" w:cs="Times New Roman"/>
          <w:sz w:val="24"/>
          <w:szCs w:val="24"/>
          <w:lang w:eastAsia="hr-HR"/>
        </w:rPr>
        <w:t>33</w:t>
      </w:r>
      <w:r w:rsidR="001A2F17">
        <w:rPr>
          <w:rFonts w:ascii="Times New Roman" w:eastAsia="Times New Roman" w:hAnsi="Times New Roman" w:cs="Times New Roman"/>
          <w:sz w:val="24"/>
          <w:szCs w:val="24"/>
          <w:lang w:eastAsia="hr-HR"/>
        </w:rPr>
        <w:t>.</w:t>
      </w:r>
    </w:p>
    <w:p w14:paraId="466DC7C3" w14:textId="77777777" w:rsidR="00C04F09" w:rsidRPr="00C41483" w:rsidRDefault="00C04F09" w:rsidP="006B5133">
      <w:pPr>
        <w:spacing w:after="0" w:line="240" w:lineRule="auto"/>
        <w:jc w:val="both"/>
        <w:rPr>
          <w:rFonts w:ascii="Times New Roman" w:eastAsia="Times New Roman" w:hAnsi="Times New Roman" w:cs="Times New Roman"/>
          <w:sz w:val="24"/>
          <w:szCs w:val="24"/>
          <w:lang w:eastAsia="hr-HR"/>
        </w:rPr>
      </w:pPr>
    </w:p>
    <w:bookmarkEnd w:id="112"/>
    <w:p w14:paraId="182126C5" w14:textId="07F62233" w:rsidR="00D542B4" w:rsidRPr="00C41483" w:rsidRDefault="006E7142" w:rsidP="006B5133">
      <w:pPr>
        <w:spacing w:after="0" w:line="240" w:lineRule="auto"/>
        <w:jc w:val="both"/>
        <w:rPr>
          <w:rFonts w:ascii="Times New Roman" w:eastAsia="Times New Roman" w:hAnsi="Times New Roman" w:cs="Times New Roman"/>
          <w:sz w:val="24"/>
          <w:szCs w:val="24"/>
          <w:lang w:eastAsia="hr-HR"/>
        </w:rPr>
      </w:pPr>
      <w:r w:rsidRPr="00C41483">
        <w:rPr>
          <w:rFonts w:ascii="Times New Roman" w:eastAsia="Times New Roman" w:hAnsi="Times New Roman" w:cs="Times New Roman"/>
          <w:sz w:val="24"/>
          <w:szCs w:val="24"/>
          <w:lang w:eastAsia="hr-HR"/>
        </w:rPr>
        <w:t>(1</w:t>
      </w:r>
      <w:r w:rsidR="00E8616D" w:rsidRPr="00C41483">
        <w:rPr>
          <w:rFonts w:ascii="Times New Roman" w:eastAsia="Times New Roman" w:hAnsi="Times New Roman" w:cs="Times New Roman"/>
          <w:sz w:val="24"/>
          <w:szCs w:val="24"/>
          <w:lang w:eastAsia="hr-HR"/>
        </w:rPr>
        <w:t>41</w:t>
      </w:r>
      <w:r w:rsidRPr="00C41483">
        <w:rPr>
          <w:rFonts w:ascii="Times New Roman" w:eastAsia="Times New Roman" w:hAnsi="Times New Roman" w:cs="Times New Roman"/>
          <w:sz w:val="24"/>
          <w:szCs w:val="24"/>
          <w:lang w:eastAsia="hr-HR"/>
        </w:rPr>
        <w:t xml:space="preserve">) </w:t>
      </w:r>
      <w:r w:rsidR="00D542B4" w:rsidRPr="00C41483">
        <w:rPr>
          <w:rFonts w:ascii="Times New Roman" w:eastAsia="Times New Roman" w:hAnsi="Times New Roman" w:cs="Times New Roman"/>
          <w:sz w:val="24"/>
          <w:szCs w:val="24"/>
          <w:lang w:eastAsia="hr-HR"/>
        </w:rPr>
        <w:t xml:space="preserve">S obzirom na to </w:t>
      </w:r>
      <w:r w:rsidRPr="00C41483">
        <w:rPr>
          <w:rFonts w:ascii="Times New Roman" w:eastAsia="Times New Roman" w:hAnsi="Times New Roman" w:cs="Times New Roman"/>
          <w:sz w:val="24"/>
          <w:szCs w:val="24"/>
          <w:lang w:eastAsia="hr-HR"/>
        </w:rPr>
        <w:t>d</w:t>
      </w:r>
      <w:r w:rsidR="00D542B4" w:rsidRPr="00C41483">
        <w:rPr>
          <w:rFonts w:ascii="Times New Roman" w:eastAsia="Times New Roman" w:hAnsi="Times New Roman" w:cs="Times New Roman"/>
          <w:sz w:val="24"/>
          <w:szCs w:val="24"/>
          <w:lang w:eastAsia="hr-HR"/>
        </w:rPr>
        <w:t>a se visoko obrazovanje u R</w:t>
      </w:r>
      <w:r w:rsidR="00905964" w:rsidRPr="00C41483">
        <w:rPr>
          <w:rFonts w:ascii="Times New Roman" w:eastAsia="Times New Roman" w:hAnsi="Times New Roman" w:cs="Times New Roman"/>
          <w:sz w:val="24"/>
          <w:szCs w:val="24"/>
          <w:lang w:eastAsia="hr-HR"/>
        </w:rPr>
        <w:t>H</w:t>
      </w:r>
      <w:r w:rsidR="00D542B4" w:rsidRPr="00C41483">
        <w:rPr>
          <w:rFonts w:ascii="Times New Roman" w:eastAsia="Times New Roman" w:hAnsi="Times New Roman" w:cs="Times New Roman"/>
          <w:sz w:val="24"/>
          <w:szCs w:val="24"/>
          <w:lang w:eastAsia="hr-HR"/>
        </w:rPr>
        <w:t xml:space="preserve"> temelji na akademskim slobodama, akademskoj samoupravi i autonomiji sveučilišta, raspoređivanje ljudskih, tehničkih i financijskih sredstva za studente s invaliditetom uvelike je u nadležnosti visokih učilišta te ovisi o njihovim dostupnim resursima. Na većini visokih učilišta prijavne i upisne procedure prilagođene su osobama s invaliditetom. Isto tako, izvođenje nastave i provjera znanja, vještina i sposobnosti prilagođena je studentima s invaliditetom i omogućuje im da na pravedan način dokažu postizanje definiranih ishoda učenja. Osiguran je i rad institucionalnih službi i stručnih tijela za potporu studentima s invaliditetom. </w:t>
      </w:r>
      <w:r w:rsidR="007D0DA2" w:rsidRPr="00C41483">
        <w:rPr>
          <w:rFonts w:ascii="Times New Roman" w:eastAsia="Times New Roman" w:hAnsi="Times New Roman" w:cs="Times New Roman"/>
          <w:sz w:val="24"/>
          <w:szCs w:val="24"/>
          <w:lang w:eastAsia="hr-HR"/>
        </w:rPr>
        <w:t xml:space="preserve">U okviru osiguravanja kvalitete visokih učilišta i provođenja vanjskih vrednovanja koja provodi Agencija za znanost i visoko obrazovanje provjerava se je li i u kojoj mjeri visoko učilište uspostavilo funkcionalne postupke za podršku studentima s invaliditetom te uzimaju li se u obzir posebne okolnosti studiranja za pojedine grupe studenata iz ranjivih i podzastupljenih skupina. </w:t>
      </w:r>
      <w:r w:rsidR="00D542B4" w:rsidRPr="00C41483">
        <w:rPr>
          <w:rFonts w:ascii="Times New Roman" w:eastAsia="Times New Roman" w:hAnsi="Times New Roman" w:cs="Times New Roman"/>
          <w:sz w:val="24"/>
          <w:szCs w:val="24"/>
          <w:lang w:eastAsia="hr-HR"/>
        </w:rPr>
        <w:t>Kako skupinu studenata s invaliditetom čini izrazito heterogena populacija tako su i njihove teškoće i potrebe u sustavu visokog obrazovanja raznolike i individualizirane</w:t>
      </w:r>
      <w:r w:rsidR="00D542B4" w:rsidRPr="00C41483">
        <w:rPr>
          <w:rFonts w:ascii="Times New Roman" w:eastAsia="Times New Roman" w:hAnsi="Times New Roman" w:cs="Times New Roman"/>
          <w:b/>
          <w:bCs/>
          <w:sz w:val="24"/>
          <w:szCs w:val="24"/>
          <w:lang w:eastAsia="hr-HR"/>
        </w:rPr>
        <w:t>.</w:t>
      </w:r>
      <w:r w:rsidR="00D542B4" w:rsidRPr="00C41483">
        <w:rPr>
          <w:rFonts w:ascii="Times New Roman" w:eastAsia="Times New Roman" w:hAnsi="Times New Roman" w:cs="Times New Roman"/>
          <w:sz w:val="24"/>
          <w:szCs w:val="24"/>
          <w:lang w:eastAsia="hr-HR"/>
        </w:rPr>
        <w:t xml:space="preserve"> </w:t>
      </w:r>
      <w:r w:rsidR="00D542B4" w:rsidRPr="00C41483" w:rsidDel="00B5473E">
        <w:rPr>
          <w:rFonts w:ascii="Times New Roman" w:eastAsia="Times New Roman" w:hAnsi="Times New Roman" w:cs="Times New Roman"/>
          <w:sz w:val="24"/>
          <w:szCs w:val="24"/>
          <w:lang w:eastAsia="hr-HR"/>
        </w:rPr>
        <w:t>Kreću se od potrebe za</w:t>
      </w:r>
      <w:r w:rsidR="00C04F09" w:rsidRPr="00C41483" w:rsidDel="00B5473E">
        <w:rPr>
          <w:rFonts w:ascii="Times New Roman" w:eastAsia="Times New Roman" w:hAnsi="Times New Roman" w:cs="Times New Roman"/>
          <w:sz w:val="24"/>
          <w:szCs w:val="24"/>
          <w:lang w:eastAsia="hr-HR"/>
        </w:rPr>
        <w:t>:</w:t>
      </w:r>
      <w:r w:rsidR="00D542B4" w:rsidRPr="00C41483" w:rsidDel="00B5473E">
        <w:rPr>
          <w:rFonts w:ascii="Times New Roman" w:eastAsia="Times New Roman" w:hAnsi="Times New Roman" w:cs="Times New Roman"/>
          <w:sz w:val="24"/>
          <w:szCs w:val="24"/>
          <w:lang w:eastAsia="hr-HR"/>
        </w:rPr>
        <w:t xml:space="preserve"> prostornom pristupačnošću,  prilagođenim pristupom literaturi</w:t>
      </w:r>
      <w:r w:rsidR="00C04F09" w:rsidRPr="00C41483" w:rsidDel="00B5473E">
        <w:rPr>
          <w:rFonts w:ascii="Times New Roman" w:eastAsia="Times New Roman" w:hAnsi="Times New Roman" w:cs="Times New Roman"/>
          <w:sz w:val="24"/>
          <w:szCs w:val="24"/>
          <w:lang w:eastAsia="hr-HR"/>
        </w:rPr>
        <w:t xml:space="preserve">, </w:t>
      </w:r>
      <w:r w:rsidR="00D542B4" w:rsidRPr="00C41483" w:rsidDel="00B5473E">
        <w:rPr>
          <w:rFonts w:ascii="Times New Roman" w:eastAsia="Times New Roman" w:hAnsi="Times New Roman" w:cs="Times New Roman"/>
          <w:sz w:val="24"/>
          <w:szCs w:val="24"/>
          <w:lang w:eastAsia="hr-HR"/>
        </w:rPr>
        <w:t>osiguravanjem komunikacijskog posrednika, fleksibilnošću u postavljenim rokovima ispunjavanja studentskih obveza i katkad dnevnom ritmu aktivnosti do prilagođenih nastavnih materijala i načina provjere znanja.</w:t>
      </w:r>
    </w:p>
    <w:p w14:paraId="20FBF2CE" w14:textId="77777777" w:rsidR="00822D16" w:rsidRPr="00C41483" w:rsidRDefault="00822D16" w:rsidP="006B5133">
      <w:pPr>
        <w:spacing w:after="0" w:line="240" w:lineRule="auto"/>
        <w:jc w:val="both"/>
        <w:rPr>
          <w:rFonts w:ascii="Times New Roman" w:eastAsia="Times New Roman" w:hAnsi="Times New Roman" w:cs="Times New Roman"/>
          <w:bCs/>
          <w:i/>
          <w:iCs/>
          <w:sz w:val="24"/>
          <w:szCs w:val="24"/>
          <w:lang w:eastAsia="hr-HR"/>
        </w:rPr>
      </w:pPr>
    </w:p>
    <w:p w14:paraId="03771C98" w14:textId="565A2A1C" w:rsidR="00D542B4" w:rsidRPr="00C41483" w:rsidRDefault="00604E80" w:rsidP="006B5133">
      <w:pPr>
        <w:spacing w:after="0" w:line="240" w:lineRule="auto"/>
        <w:jc w:val="both"/>
        <w:rPr>
          <w:rFonts w:ascii="Times New Roman" w:eastAsia="Times New Roman" w:hAnsi="Times New Roman" w:cs="Times New Roman"/>
          <w:bCs/>
          <w:i/>
          <w:iCs/>
          <w:sz w:val="24"/>
          <w:szCs w:val="24"/>
          <w:lang w:eastAsia="hr-HR"/>
        </w:rPr>
      </w:pPr>
      <w:bookmarkStart w:id="113" w:name="_Hlk83815198"/>
      <w:r w:rsidRPr="00C41483">
        <w:rPr>
          <w:rFonts w:ascii="Times New Roman" w:eastAsia="Times New Roman" w:hAnsi="Times New Roman" w:cs="Times New Roman"/>
          <w:bCs/>
          <w:i/>
          <w:iCs/>
          <w:sz w:val="24"/>
          <w:szCs w:val="24"/>
          <w:lang w:eastAsia="hr-HR"/>
        </w:rPr>
        <w:t>Pitanje 23</w:t>
      </w:r>
      <w:r w:rsidR="00D542B4" w:rsidRPr="00C41483">
        <w:rPr>
          <w:rFonts w:ascii="Times New Roman" w:eastAsia="Times New Roman" w:hAnsi="Times New Roman" w:cs="Times New Roman"/>
          <w:bCs/>
          <w:i/>
          <w:iCs/>
          <w:sz w:val="24"/>
          <w:szCs w:val="24"/>
          <w:lang w:eastAsia="hr-HR"/>
        </w:rPr>
        <w:t xml:space="preserve">c) </w:t>
      </w:r>
    </w:p>
    <w:bookmarkEnd w:id="113"/>
    <w:p w14:paraId="0B90A460" w14:textId="77777777" w:rsidR="00D542B4" w:rsidRPr="00C41483" w:rsidRDefault="00D542B4" w:rsidP="006B5133">
      <w:pPr>
        <w:spacing w:after="0" w:line="240" w:lineRule="auto"/>
        <w:ind w:left="1068"/>
        <w:jc w:val="both"/>
        <w:rPr>
          <w:rFonts w:ascii="Times New Roman" w:eastAsia="Times New Roman" w:hAnsi="Times New Roman" w:cs="Times New Roman"/>
          <w:bCs/>
          <w:i/>
          <w:iCs/>
          <w:sz w:val="24"/>
          <w:szCs w:val="24"/>
          <w:lang w:eastAsia="hr-HR"/>
        </w:rPr>
      </w:pPr>
    </w:p>
    <w:p w14:paraId="4F536C1C" w14:textId="7D436CC6" w:rsidR="00476AFF" w:rsidRPr="00C41483" w:rsidRDefault="006E7142" w:rsidP="006B5133">
      <w:pPr>
        <w:spacing w:after="0" w:line="240" w:lineRule="auto"/>
        <w:jc w:val="both"/>
        <w:rPr>
          <w:rFonts w:ascii="Times New Roman" w:eastAsia="Times New Roman" w:hAnsi="Times New Roman" w:cs="Times New Roman"/>
          <w:sz w:val="24"/>
          <w:szCs w:val="24"/>
          <w:lang w:eastAsia="hr-HR"/>
        </w:rPr>
      </w:pPr>
      <w:r w:rsidRPr="00C41483">
        <w:rPr>
          <w:rFonts w:ascii="Times New Roman" w:eastAsia="Times New Roman" w:hAnsi="Times New Roman" w:cs="Times New Roman"/>
          <w:sz w:val="24"/>
          <w:szCs w:val="24"/>
          <w:lang w:eastAsia="hr-HR"/>
        </w:rPr>
        <w:t>(1</w:t>
      </w:r>
      <w:r w:rsidR="00E8616D" w:rsidRPr="00C41483">
        <w:rPr>
          <w:rFonts w:ascii="Times New Roman" w:eastAsia="Times New Roman" w:hAnsi="Times New Roman" w:cs="Times New Roman"/>
          <w:sz w:val="24"/>
          <w:szCs w:val="24"/>
          <w:lang w:eastAsia="hr-HR"/>
        </w:rPr>
        <w:t>42</w:t>
      </w:r>
      <w:r w:rsidRPr="00C41483">
        <w:rPr>
          <w:rFonts w:ascii="Times New Roman" w:eastAsia="Times New Roman" w:hAnsi="Times New Roman" w:cs="Times New Roman"/>
          <w:sz w:val="24"/>
          <w:szCs w:val="24"/>
          <w:lang w:eastAsia="hr-HR"/>
        </w:rPr>
        <w:t xml:space="preserve">) </w:t>
      </w:r>
      <w:r w:rsidR="00D542B4" w:rsidRPr="00C41483">
        <w:rPr>
          <w:rFonts w:ascii="Times New Roman" w:eastAsia="Times New Roman" w:hAnsi="Times New Roman" w:cs="Times New Roman"/>
          <w:sz w:val="24"/>
          <w:szCs w:val="24"/>
          <w:lang w:eastAsia="hr-HR"/>
        </w:rPr>
        <w:t xml:space="preserve">Zapošljavanje i edukacija nastavnika je u nadležnosti visokih učilišta te ovisi o njihovim potrebama i dostupnim resursima. Na većini visokih učilišta razvijena je edukacija nastavnog, stručnog i administrativnog sveučilišnog osoblja o mogućnostima studenata s različitim oblicima invaliditeta te načinima prilagodbe akademskih sadržaja njihovim mogućnostima kojima se pritom ne kompromitiraju akademski standardi. Nacionalnim dokumentom </w:t>
      </w:r>
      <w:r w:rsidR="00905964" w:rsidRPr="00C41483">
        <w:rPr>
          <w:rFonts w:ascii="Times New Roman" w:eastAsia="Times New Roman" w:hAnsi="Times New Roman" w:cs="Times New Roman"/>
          <w:sz w:val="24"/>
          <w:szCs w:val="24"/>
          <w:lang w:eastAsia="hr-HR"/>
        </w:rPr>
        <w:t>„</w:t>
      </w:r>
      <w:r w:rsidR="00D542B4" w:rsidRPr="00C41483">
        <w:rPr>
          <w:rFonts w:ascii="Times New Roman" w:eastAsia="Times New Roman" w:hAnsi="Times New Roman" w:cs="Times New Roman"/>
          <w:sz w:val="24"/>
          <w:szCs w:val="24"/>
          <w:lang w:eastAsia="hr-HR"/>
        </w:rPr>
        <w:t>Osiguravanje minimalnih standarda pristupačnosti visokog obrazovanja studentima s invaliditetom u Republici Hrvatskoj</w:t>
      </w:r>
      <w:r w:rsidR="00905964" w:rsidRPr="00C41483">
        <w:rPr>
          <w:rFonts w:ascii="Times New Roman" w:eastAsia="Times New Roman" w:hAnsi="Times New Roman" w:cs="Times New Roman"/>
          <w:sz w:val="24"/>
          <w:szCs w:val="24"/>
          <w:lang w:eastAsia="hr-HR"/>
        </w:rPr>
        <w:t>“</w:t>
      </w:r>
      <w:r w:rsidR="00D542B4" w:rsidRPr="00C41483">
        <w:rPr>
          <w:rFonts w:ascii="Times New Roman" w:eastAsia="Times New Roman" w:hAnsi="Times New Roman" w:cs="Times New Roman"/>
          <w:sz w:val="24"/>
          <w:szCs w:val="24"/>
          <w:lang w:eastAsia="hr-HR"/>
        </w:rPr>
        <w:t xml:space="preserve"> (2012.) propisani su minimalni standardi pristupačnosti.</w:t>
      </w:r>
    </w:p>
    <w:p w14:paraId="5D7CAE0E" w14:textId="77777777" w:rsidR="00822D16" w:rsidRPr="00C41483" w:rsidRDefault="00822D16" w:rsidP="006B5133">
      <w:pPr>
        <w:spacing w:after="0" w:line="240" w:lineRule="auto"/>
        <w:jc w:val="both"/>
        <w:rPr>
          <w:rFonts w:ascii="Times New Roman" w:eastAsia="Times New Roman" w:hAnsi="Times New Roman" w:cs="Times New Roman"/>
          <w:sz w:val="24"/>
          <w:szCs w:val="24"/>
          <w:lang w:eastAsia="hr-HR"/>
        </w:rPr>
      </w:pPr>
    </w:p>
    <w:p w14:paraId="5ACF6F97" w14:textId="2BC26E5B" w:rsidR="00B074E3" w:rsidRPr="00C41483" w:rsidRDefault="00B074E3" w:rsidP="006B5133">
      <w:pPr>
        <w:pStyle w:val="Naslov1"/>
        <w:spacing w:before="0" w:line="240" w:lineRule="auto"/>
        <w:rPr>
          <w:rFonts w:ascii="Times New Roman" w:eastAsia="Times New Roman" w:hAnsi="Times New Roman" w:cs="Times New Roman"/>
          <w:b/>
          <w:bCs/>
          <w:color w:val="auto"/>
          <w:sz w:val="24"/>
          <w:szCs w:val="24"/>
          <w:lang w:eastAsia="hr-HR"/>
        </w:rPr>
      </w:pPr>
      <w:bookmarkStart w:id="114" w:name="_Toc76630963"/>
      <w:bookmarkStart w:id="115" w:name="_Toc88031202"/>
      <w:r w:rsidRPr="00C41483">
        <w:rPr>
          <w:rFonts w:ascii="Times New Roman" w:eastAsia="Times New Roman" w:hAnsi="Times New Roman" w:cs="Times New Roman"/>
          <w:b/>
          <w:bCs/>
          <w:color w:val="auto"/>
          <w:sz w:val="24"/>
          <w:szCs w:val="24"/>
          <w:lang w:eastAsia="hr-HR"/>
        </w:rPr>
        <w:t>Zdravlje, osposobljavanje i rehabilitacija (čl.25.)</w:t>
      </w:r>
      <w:bookmarkEnd w:id="114"/>
      <w:bookmarkEnd w:id="115"/>
    </w:p>
    <w:p w14:paraId="6C3E0953" w14:textId="77777777" w:rsidR="00165D3A" w:rsidRPr="00C41483" w:rsidRDefault="00165D3A" w:rsidP="006B5133">
      <w:pPr>
        <w:spacing w:after="0" w:line="240" w:lineRule="auto"/>
        <w:jc w:val="both"/>
        <w:rPr>
          <w:rFonts w:ascii="Times New Roman" w:eastAsia="Times New Roman" w:hAnsi="Times New Roman" w:cs="Times New Roman"/>
          <w:i/>
          <w:iCs/>
          <w:sz w:val="24"/>
          <w:szCs w:val="24"/>
          <w:lang w:eastAsia="hr-HR"/>
        </w:rPr>
      </w:pPr>
      <w:bookmarkStart w:id="116" w:name="_Hlk83815244"/>
    </w:p>
    <w:p w14:paraId="1662593E" w14:textId="2DC5FF4D" w:rsidR="00B074E3" w:rsidRPr="00C41483" w:rsidRDefault="00604E80" w:rsidP="006B5133">
      <w:pPr>
        <w:spacing w:after="0" w:line="240" w:lineRule="auto"/>
        <w:jc w:val="both"/>
        <w:rPr>
          <w:rFonts w:ascii="Times New Roman" w:eastAsia="Times New Roman" w:hAnsi="Times New Roman" w:cs="Times New Roman"/>
          <w:i/>
          <w:iCs/>
          <w:sz w:val="24"/>
          <w:szCs w:val="24"/>
          <w:lang w:eastAsia="hr-HR"/>
        </w:rPr>
      </w:pPr>
      <w:r w:rsidRPr="00C41483">
        <w:rPr>
          <w:rFonts w:ascii="Times New Roman" w:eastAsia="Times New Roman" w:hAnsi="Times New Roman" w:cs="Times New Roman"/>
          <w:i/>
          <w:iCs/>
          <w:sz w:val="24"/>
          <w:szCs w:val="24"/>
          <w:lang w:eastAsia="hr-HR"/>
        </w:rPr>
        <w:t xml:space="preserve">Pitanje </w:t>
      </w:r>
      <w:r w:rsidR="00B074E3" w:rsidRPr="00C41483">
        <w:rPr>
          <w:rFonts w:ascii="Times New Roman" w:eastAsia="Times New Roman" w:hAnsi="Times New Roman" w:cs="Times New Roman"/>
          <w:i/>
          <w:iCs/>
          <w:sz w:val="24"/>
          <w:szCs w:val="24"/>
          <w:lang w:eastAsia="hr-HR"/>
        </w:rPr>
        <w:t xml:space="preserve">24a) </w:t>
      </w:r>
    </w:p>
    <w:p w14:paraId="63FE202A" w14:textId="2091DD11" w:rsidR="00D67FE2" w:rsidRPr="00C41483" w:rsidRDefault="00D67FE2" w:rsidP="00143D70">
      <w:pPr>
        <w:spacing w:after="0" w:line="240" w:lineRule="auto"/>
        <w:jc w:val="both"/>
        <w:rPr>
          <w:rFonts w:ascii="Times New Roman" w:eastAsia="Times New Roman" w:hAnsi="Times New Roman" w:cs="Times New Roman"/>
          <w:sz w:val="24"/>
          <w:szCs w:val="24"/>
          <w:lang w:eastAsia="hr-HR"/>
        </w:rPr>
      </w:pPr>
    </w:p>
    <w:bookmarkEnd w:id="116"/>
    <w:p w14:paraId="05E34597" w14:textId="017EAC48" w:rsidR="00143D70" w:rsidRPr="00C41483" w:rsidRDefault="006E7142" w:rsidP="00143D70">
      <w:pPr>
        <w:spacing w:after="0" w:line="240" w:lineRule="auto"/>
        <w:jc w:val="both"/>
        <w:rPr>
          <w:rFonts w:ascii="Times New Roman" w:eastAsia="Times New Roman" w:hAnsi="Times New Roman" w:cs="Times New Roman"/>
          <w:sz w:val="24"/>
          <w:szCs w:val="24"/>
          <w:lang w:eastAsia="hr-HR"/>
        </w:rPr>
      </w:pPr>
      <w:r w:rsidRPr="00C41483">
        <w:rPr>
          <w:rFonts w:ascii="Times New Roman" w:eastAsia="Times New Roman" w:hAnsi="Times New Roman" w:cs="Times New Roman"/>
          <w:sz w:val="24"/>
          <w:szCs w:val="24"/>
          <w:lang w:eastAsia="hr-HR"/>
        </w:rPr>
        <w:t>(1</w:t>
      </w:r>
      <w:r w:rsidR="00822D16" w:rsidRPr="00C41483">
        <w:rPr>
          <w:rFonts w:ascii="Times New Roman" w:eastAsia="Times New Roman" w:hAnsi="Times New Roman" w:cs="Times New Roman"/>
          <w:sz w:val="24"/>
          <w:szCs w:val="24"/>
          <w:lang w:eastAsia="hr-HR"/>
        </w:rPr>
        <w:t>4</w:t>
      </w:r>
      <w:r w:rsidR="00E8616D" w:rsidRPr="00C41483">
        <w:rPr>
          <w:rFonts w:ascii="Times New Roman" w:eastAsia="Times New Roman" w:hAnsi="Times New Roman" w:cs="Times New Roman"/>
          <w:sz w:val="24"/>
          <w:szCs w:val="24"/>
          <w:lang w:eastAsia="hr-HR"/>
        </w:rPr>
        <w:t>3</w:t>
      </w:r>
      <w:r w:rsidRPr="00C41483">
        <w:rPr>
          <w:rFonts w:ascii="Times New Roman" w:eastAsia="Times New Roman" w:hAnsi="Times New Roman" w:cs="Times New Roman"/>
          <w:sz w:val="24"/>
          <w:szCs w:val="24"/>
          <w:lang w:eastAsia="hr-HR"/>
        </w:rPr>
        <w:t xml:space="preserve">) </w:t>
      </w:r>
      <w:r w:rsidR="00143D70" w:rsidRPr="00C41483">
        <w:rPr>
          <w:rFonts w:ascii="Times New Roman" w:eastAsia="Times New Roman" w:hAnsi="Times New Roman" w:cs="Times New Roman"/>
          <w:sz w:val="24"/>
          <w:szCs w:val="24"/>
          <w:lang w:eastAsia="hr-HR"/>
        </w:rPr>
        <w:t>Svaka osoba ima pravo na zdravstvenu zaštitu i na mogućnost ostvarenja najviše moguće razine zdravlja, u skladu s odredbama Zakona o zdravstvenoj zaštiti, Zakona o obveznom zdravstvenom osiguranju, Zakona o zaštiti prava pacijenata te brojnim drugim zakonima i podzakonskim aktima. Sveobuhvatnost zdravstvene zaštite uključuje cjelokupno stanovništvo R</w:t>
      </w:r>
      <w:r w:rsidR="00905964" w:rsidRPr="00C41483">
        <w:rPr>
          <w:rFonts w:ascii="Times New Roman" w:eastAsia="Times New Roman" w:hAnsi="Times New Roman" w:cs="Times New Roman"/>
          <w:sz w:val="24"/>
          <w:szCs w:val="24"/>
          <w:lang w:eastAsia="hr-HR"/>
        </w:rPr>
        <w:t>H</w:t>
      </w:r>
      <w:r w:rsidR="00143D70" w:rsidRPr="00C41483">
        <w:rPr>
          <w:rFonts w:ascii="Times New Roman" w:eastAsia="Times New Roman" w:hAnsi="Times New Roman" w:cs="Times New Roman"/>
          <w:sz w:val="24"/>
          <w:szCs w:val="24"/>
          <w:lang w:eastAsia="hr-HR"/>
        </w:rPr>
        <w:t xml:space="preserve"> u provedbi odgovarajućih mjera zdravstvene zaštite. </w:t>
      </w:r>
      <w:r w:rsidR="002B1DFD" w:rsidRPr="00C41483">
        <w:rPr>
          <w:rFonts w:ascii="Times New Roman" w:eastAsia="Times New Roman" w:hAnsi="Times New Roman" w:cs="Times New Roman"/>
          <w:sz w:val="24"/>
          <w:szCs w:val="24"/>
          <w:lang w:eastAsia="hr-HR"/>
        </w:rPr>
        <w:t>Osobe s invaliditetom, koje su osigurane osobe u obveznom zdravstvenom osiguranju i</w:t>
      </w:r>
      <w:r w:rsidR="00143D70" w:rsidRPr="00C41483">
        <w:rPr>
          <w:rFonts w:ascii="Times New Roman" w:eastAsia="Times New Roman" w:hAnsi="Times New Roman" w:cs="Times New Roman"/>
          <w:sz w:val="24"/>
          <w:szCs w:val="24"/>
          <w:lang w:eastAsia="hr-HR"/>
        </w:rPr>
        <w:t xml:space="preserve"> koje imaju 100% oštećenje organizma ili tjelesno oštećenje prema posebnim propisima, osobe kod kojih je utvrđeno više vrsta oštećenja i osobe s tjelesnim/intelektualnim/mentalnim oštećenjem zbog kojih ne mogu samostalno izvoditi aktivnosti primjerene životnoj dobi sukladno propisima iz sustava socijalne skrbi imaju pravo na policu dopunskog zdravstvenog osiguranja na teret sredstava iz državnog proračuna.</w:t>
      </w:r>
    </w:p>
    <w:p w14:paraId="029BEDEC" w14:textId="77777777" w:rsidR="00D0055C" w:rsidRPr="00C41483" w:rsidRDefault="00D0055C" w:rsidP="006B5133">
      <w:pPr>
        <w:spacing w:after="0" w:line="240" w:lineRule="auto"/>
        <w:jc w:val="both"/>
        <w:rPr>
          <w:rFonts w:ascii="Times New Roman" w:eastAsia="Times New Roman" w:hAnsi="Times New Roman" w:cs="Times New Roman"/>
          <w:sz w:val="24"/>
          <w:szCs w:val="24"/>
          <w:lang w:eastAsia="hr-HR"/>
        </w:rPr>
      </w:pPr>
    </w:p>
    <w:p w14:paraId="4D40CE5D" w14:textId="737EBB1A" w:rsidR="0056357E" w:rsidRPr="00C41483" w:rsidRDefault="006E7142" w:rsidP="006B5133">
      <w:pPr>
        <w:spacing w:after="0" w:line="240" w:lineRule="auto"/>
        <w:jc w:val="both"/>
        <w:rPr>
          <w:rFonts w:ascii="Times New Roman" w:eastAsia="Times New Roman" w:hAnsi="Times New Roman" w:cs="Times New Roman"/>
          <w:sz w:val="24"/>
          <w:szCs w:val="24"/>
          <w:lang w:eastAsia="hr-HR"/>
        </w:rPr>
      </w:pPr>
      <w:r w:rsidRPr="00C41483">
        <w:rPr>
          <w:rFonts w:ascii="Times New Roman" w:eastAsia="Times New Roman" w:hAnsi="Times New Roman" w:cs="Times New Roman"/>
          <w:sz w:val="24"/>
          <w:szCs w:val="24"/>
          <w:lang w:eastAsia="hr-HR"/>
        </w:rPr>
        <w:t>(1</w:t>
      </w:r>
      <w:r w:rsidR="00822D16" w:rsidRPr="00C41483">
        <w:rPr>
          <w:rFonts w:ascii="Times New Roman" w:eastAsia="Times New Roman" w:hAnsi="Times New Roman" w:cs="Times New Roman"/>
          <w:sz w:val="24"/>
          <w:szCs w:val="24"/>
          <w:lang w:eastAsia="hr-HR"/>
        </w:rPr>
        <w:t>4</w:t>
      </w:r>
      <w:r w:rsidR="00E8616D" w:rsidRPr="00C41483">
        <w:rPr>
          <w:rFonts w:ascii="Times New Roman" w:eastAsia="Times New Roman" w:hAnsi="Times New Roman" w:cs="Times New Roman"/>
          <w:sz w:val="24"/>
          <w:szCs w:val="24"/>
          <w:lang w:eastAsia="hr-HR"/>
        </w:rPr>
        <w:t>4</w:t>
      </w:r>
      <w:r w:rsidRPr="00C41483">
        <w:rPr>
          <w:rFonts w:ascii="Times New Roman" w:eastAsia="Times New Roman" w:hAnsi="Times New Roman" w:cs="Times New Roman"/>
          <w:sz w:val="24"/>
          <w:szCs w:val="24"/>
          <w:lang w:eastAsia="hr-HR"/>
        </w:rPr>
        <w:t xml:space="preserve">) </w:t>
      </w:r>
      <w:r w:rsidR="00352416" w:rsidRPr="00C41483">
        <w:rPr>
          <w:rFonts w:ascii="Times New Roman" w:eastAsia="Times New Roman" w:hAnsi="Times New Roman" w:cs="Times New Roman"/>
          <w:sz w:val="24"/>
          <w:szCs w:val="24"/>
          <w:lang w:eastAsia="hr-HR"/>
        </w:rPr>
        <w:t>Od sudjelovanja u pokriću dijela troškova zdravstvene zaštite iz obveznog zdravstvenog osiguranja oslobođeni su</w:t>
      </w:r>
      <w:r w:rsidR="003D6D2D" w:rsidRPr="00C41483">
        <w:rPr>
          <w:rFonts w:ascii="Times New Roman" w:eastAsia="Times New Roman" w:hAnsi="Times New Roman" w:cs="Times New Roman"/>
          <w:sz w:val="24"/>
          <w:szCs w:val="24"/>
          <w:lang w:eastAsia="hr-HR"/>
        </w:rPr>
        <w:t xml:space="preserve"> HRVI</w:t>
      </w:r>
      <w:r w:rsidR="00352416" w:rsidRPr="00C41483">
        <w:rPr>
          <w:rFonts w:ascii="Times New Roman" w:eastAsia="Times New Roman" w:hAnsi="Times New Roman" w:cs="Times New Roman"/>
          <w:sz w:val="24"/>
          <w:szCs w:val="24"/>
          <w:lang w:eastAsia="hr-HR"/>
        </w:rPr>
        <w:t xml:space="preserve"> i </w:t>
      </w:r>
      <w:r w:rsidR="00CC548E" w:rsidRPr="00C41483">
        <w:rPr>
          <w:rFonts w:ascii="Times New Roman" w:eastAsia="Times New Roman" w:hAnsi="Times New Roman" w:cs="Times New Roman"/>
          <w:sz w:val="24"/>
          <w:szCs w:val="24"/>
          <w:lang w:eastAsia="hr-HR"/>
        </w:rPr>
        <w:t xml:space="preserve">hrvatski branitelji iz Domovinskog rata s utvrđenim oštećenjem organizma najmanje 30%. </w:t>
      </w:r>
      <w:r w:rsidR="0056357E" w:rsidRPr="00C41483">
        <w:rPr>
          <w:rFonts w:ascii="Times New Roman" w:eastAsia="Times New Roman" w:hAnsi="Times New Roman" w:cs="Times New Roman"/>
          <w:sz w:val="24"/>
          <w:szCs w:val="24"/>
          <w:lang w:eastAsia="hr-HR"/>
        </w:rPr>
        <w:t>Sustav skrbi za hrvatske ratne vojne invalide kontinuirano prati potrebe populacije te u skladu s time kreira, planira i prilagođava sustav skrbi te uvodi nove mjere i aktivnosti usmjerene na sve složenije i  izraženije zdravstvene potrebe odnosno pogoršanja zdravstvenog stanja</w:t>
      </w:r>
      <w:r w:rsidR="00905964" w:rsidRPr="00C41483">
        <w:rPr>
          <w:rFonts w:ascii="Times New Roman" w:eastAsia="Times New Roman" w:hAnsi="Times New Roman" w:cs="Times New Roman"/>
          <w:sz w:val="24"/>
          <w:szCs w:val="24"/>
          <w:lang w:eastAsia="hr-HR"/>
        </w:rPr>
        <w:t xml:space="preserve"> </w:t>
      </w:r>
      <w:r w:rsidR="003D6D2D" w:rsidRPr="00C41483">
        <w:rPr>
          <w:rFonts w:ascii="Times New Roman" w:eastAsia="Times New Roman" w:hAnsi="Times New Roman" w:cs="Times New Roman"/>
          <w:sz w:val="24"/>
          <w:szCs w:val="24"/>
          <w:lang w:eastAsia="hr-HR"/>
        </w:rPr>
        <w:t>HRVI</w:t>
      </w:r>
      <w:r w:rsidR="0056357E" w:rsidRPr="00C41483">
        <w:rPr>
          <w:rFonts w:ascii="Times New Roman" w:eastAsia="Times New Roman" w:hAnsi="Times New Roman" w:cs="Times New Roman"/>
          <w:sz w:val="24"/>
          <w:szCs w:val="24"/>
          <w:lang w:eastAsia="hr-HR"/>
        </w:rPr>
        <w:t>.</w:t>
      </w:r>
      <w:r w:rsidR="00CB5AA2" w:rsidRPr="00C41483">
        <w:rPr>
          <w:rFonts w:ascii="Times New Roman" w:eastAsia="Times New Roman" w:hAnsi="Times New Roman" w:cs="Times New Roman"/>
          <w:sz w:val="24"/>
          <w:szCs w:val="24"/>
          <w:lang w:eastAsia="hr-HR"/>
        </w:rPr>
        <w:t xml:space="preserve"> </w:t>
      </w:r>
      <w:r w:rsidR="0056357E" w:rsidRPr="00C41483">
        <w:rPr>
          <w:rFonts w:ascii="Times New Roman" w:eastAsia="Times New Roman" w:hAnsi="Times New Roman" w:cs="Times New Roman"/>
          <w:sz w:val="24"/>
          <w:szCs w:val="24"/>
          <w:lang w:eastAsia="hr-HR"/>
        </w:rPr>
        <w:t>S ciljem prevencije prijevremenih smrti i onesposobljenosti od kroničnih nezaraznih i onkoloških bolesti provode se preventivni sistematski pregledi. Uz preventivne sistematske preglede</w:t>
      </w:r>
      <w:r w:rsidR="00CB5AA2" w:rsidRPr="00C41483">
        <w:rPr>
          <w:rFonts w:ascii="Times New Roman" w:eastAsia="Times New Roman" w:hAnsi="Times New Roman" w:cs="Times New Roman"/>
          <w:sz w:val="24"/>
          <w:szCs w:val="24"/>
          <w:lang w:eastAsia="hr-HR"/>
        </w:rPr>
        <w:t>,</w:t>
      </w:r>
      <w:r w:rsidR="0056357E" w:rsidRPr="00C41483">
        <w:rPr>
          <w:rFonts w:ascii="Times New Roman" w:eastAsia="Times New Roman" w:hAnsi="Times New Roman" w:cs="Times New Roman"/>
          <w:sz w:val="24"/>
          <w:szCs w:val="24"/>
          <w:lang w:eastAsia="hr-HR"/>
        </w:rPr>
        <w:t xml:space="preserve"> što većem broju osoba nastoji se osigurati odgovarajuće ortopedsko i drugo medicinsko pomagalo te usluge </w:t>
      </w:r>
      <w:proofErr w:type="spellStart"/>
      <w:r w:rsidR="0056357E" w:rsidRPr="00C41483">
        <w:rPr>
          <w:rFonts w:ascii="Times New Roman" w:eastAsia="Times New Roman" w:hAnsi="Times New Roman" w:cs="Times New Roman"/>
          <w:sz w:val="24"/>
          <w:szCs w:val="24"/>
          <w:lang w:eastAsia="hr-HR"/>
        </w:rPr>
        <w:t>održavajuće</w:t>
      </w:r>
      <w:proofErr w:type="spellEnd"/>
      <w:r w:rsidR="0056357E" w:rsidRPr="00C41483">
        <w:rPr>
          <w:rFonts w:ascii="Times New Roman" w:eastAsia="Times New Roman" w:hAnsi="Times New Roman" w:cs="Times New Roman"/>
          <w:sz w:val="24"/>
          <w:szCs w:val="24"/>
          <w:lang w:eastAsia="hr-HR"/>
        </w:rPr>
        <w:t xml:space="preserve"> medicinske rehabilitacije i liječenja u </w:t>
      </w:r>
      <w:proofErr w:type="spellStart"/>
      <w:r w:rsidR="0056357E" w:rsidRPr="00C41483">
        <w:rPr>
          <w:rFonts w:ascii="Times New Roman" w:eastAsia="Times New Roman" w:hAnsi="Times New Roman" w:cs="Times New Roman"/>
          <w:sz w:val="24"/>
          <w:szCs w:val="24"/>
          <w:lang w:eastAsia="hr-HR"/>
        </w:rPr>
        <w:t>barkomori</w:t>
      </w:r>
      <w:proofErr w:type="spellEnd"/>
      <w:r w:rsidR="0056357E" w:rsidRPr="00C41483">
        <w:rPr>
          <w:rFonts w:ascii="Times New Roman" w:eastAsia="Times New Roman" w:hAnsi="Times New Roman" w:cs="Times New Roman"/>
          <w:sz w:val="24"/>
          <w:szCs w:val="24"/>
          <w:lang w:eastAsia="hr-HR"/>
        </w:rPr>
        <w:t xml:space="preserve">. </w:t>
      </w:r>
      <w:r w:rsidR="00065EE4" w:rsidRPr="00C41483">
        <w:rPr>
          <w:rFonts w:ascii="Times New Roman" w:eastAsia="Times New Roman" w:hAnsi="Times New Roman" w:cs="Times New Roman"/>
          <w:sz w:val="24"/>
          <w:szCs w:val="24"/>
          <w:lang w:eastAsia="hr-HR"/>
        </w:rPr>
        <w:t>U nastojanju da se osigura odgovarajuća zdravstvena skrb za najranjivije hrvatske ratne vojne invalide obzirom na njihove potrebe i zdravstveno stanje, definiran je okvir za pružanje usluge dugotrajnog liječenja s pojačanom skrbi i razvoj sustava podrške osobama u potrebi za palijativnom skrbi.</w:t>
      </w:r>
    </w:p>
    <w:p w14:paraId="27BFAA9D" w14:textId="77777777" w:rsidR="00822D16" w:rsidRPr="00C41483" w:rsidRDefault="00822D16" w:rsidP="006B5133">
      <w:pPr>
        <w:spacing w:after="0" w:line="240" w:lineRule="auto"/>
        <w:jc w:val="both"/>
        <w:rPr>
          <w:rFonts w:ascii="Times New Roman" w:eastAsia="Times New Roman" w:hAnsi="Times New Roman" w:cs="Times New Roman"/>
          <w:sz w:val="24"/>
          <w:szCs w:val="24"/>
          <w:lang w:eastAsia="hr-HR"/>
        </w:rPr>
      </w:pPr>
    </w:p>
    <w:p w14:paraId="53F00ACA" w14:textId="335E5281" w:rsidR="00065EE4" w:rsidRPr="00C41483" w:rsidRDefault="006E7142" w:rsidP="006B5133">
      <w:pPr>
        <w:spacing w:after="0" w:line="240" w:lineRule="auto"/>
        <w:jc w:val="both"/>
        <w:rPr>
          <w:rFonts w:ascii="Times New Roman" w:eastAsia="Times New Roman" w:hAnsi="Times New Roman" w:cs="Times New Roman"/>
          <w:sz w:val="24"/>
          <w:szCs w:val="24"/>
          <w:lang w:eastAsia="hr-HR"/>
        </w:rPr>
      </w:pPr>
      <w:r w:rsidRPr="00C41483">
        <w:rPr>
          <w:rFonts w:ascii="Times New Roman" w:eastAsia="Times New Roman" w:hAnsi="Times New Roman" w:cs="Times New Roman"/>
          <w:sz w:val="24"/>
          <w:szCs w:val="24"/>
          <w:lang w:eastAsia="hr-HR"/>
        </w:rPr>
        <w:t>(1</w:t>
      </w:r>
      <w:r w:rsidR="00822D16" w:rsidRPr="00C41483">
        <w:rPr>
          <w:rFonts w:ascii="Times New Roman" w:eastAsia="Times New Roman" w:hAnsi="Times New Roman" w:cs="Times New Roman"/>
          <w:sz w:val="24"/>
          <w:szCs w:val="24"/>
          <w:lang w:eastAsia="hr-HR"/>
        </w:rPr>
        <w:t>4</w:t>
      </w:r>
      <w:r w:rsidR="00E8616D" w:rsidRPr="00C41483">
        <w:rPr>
          <w:rFonts w:ascii="Times New Roman" w:eastAsia="Times New Roman" w:hAnsi="Times New Roman" w:cs="Times New Roman"/>
          <w:sz w:val="24"/>
          <w:szCs w:val="24"/>
          <w:lang w:eastAsia="hr-HR"/>
        </w:rPr>
        <w:t>5</w:t>
      </w:r>
      <w:r w:rsidRPr="00C41483">
        <w:rPr>
          <w:rFonts w:ascii="Times New Roman" w:eastAsia="Times New Roman" w:hAnsi="Times New Roman" w:cs="Times New Roman"/>
          <w:sz w:val="24"/>
          <w:szCs w:val="24"/>
          <w:lang w:eastAsia="hr-HR"/>
        </w:rPr>
        <w:t xml:space="preserve">) </w:t>
      </w:r>
      <w:r w:rsidR="00065EE4" w:rsidRPr="00C41483">
        <w:rPr>
          <w:rFonts w:ascii="Times New Roman" w:eastAsia="Times New Roman" w:hAnsi="Times New Roman" w:cs="Times New Roman"/>
          <w:sz w:val="24"/>
          <w:szCs w:val="24"/>
          <w:lang w:eastAsia="hr-HR"/>
        </w:rPr>
        <w:t xml:space="preserve">Kroz suradnju s udrugama iz Domovinskog rata </w:t>
      </w:r>
      <w:r w:rsidR="00804A9F" w:rsidRPr="00C41483">
        <w:rPr>
          <w:rFonts w:ascii="Times New Roman" w:eastAsia="Times New Roman" w:hAnsi="Times New Roman" w:cs="Times New Roman"/>
          <w:sz w:val="24"/>
          <w:szCs w:val="24"/>
          <w:lang w:eastAsia="hr-HR"/>
        </w:rPr>
        <w:t>financiraju</w:t>
      </w:r>
      <w:r w:rsidR="00065EE4" w:rsidRPr="00C41483">
        <w:rPr>
          <w:rFonts w:ascii="Times New Roman" w:eastAsia="Times New Roman" w:hAnsi="Times New Roman" w:cs="Times New Roman"/>
          <w:sz w:val="24"/>
          <w:szCs w:val="24"/>
          <w:lang w:eastAsia="hr-HR"/>
        </w:rPr>
        <w:t xml:space="preserve"> se </w:t>
      </w:r>
      <w:r w:rsidR="00804A9F" w:rsidRPr="00C41483">
        <w:rPr>
          <w:rFonts w:ascii="Times New Roman" w:eastAsia="Times New Roman" w:hAnsi="Times New Roman" w:cs="Times New Roman"/>
          <w:sz w:val="24"/>
          <w:szCs w:val="24"/>
          <w:lang w:eastAsia="hr-HR"/>
        </w:rPr>
        <w:t>projekti</w:t>
      </w:r>
      <w:r w:rsidR="00065EE4" w:rsidRPr="00C41483">
        <w:rPr>
          <w:rFonts w:ascii="Times New Roman" w:eastAsia="Times New Roman" w:hAnsi="Times New Roman" w:cs="Times New Roman"/>
          <w:sz w:val="24"/>
          <w:szCs w:val="24"/>
          <w:lang w:eastAsia="hr-HR"/>
        </w:rPr>
        <w:t xml:space="preserve"> koji su </w:t>
      </w:r>
      <w:r w:rsidR="00804A9F" w:rsidRPr="00C41483">
        <w:rPr>
          <w:rFonts w:ascii="Times New Roman" w:eastAsia="Times New Roman" w:hAnsi="Times New Roman" w:cs="Times New Roman"/>
          <w:sz w:val="24"/>
          <w:szCs w:val="24"/>
          <w:lang w:eastAsia="hr-HR"/>
        </w:rPr>
        <w:t>usmjereni</w:t>
      </w:r>
      <w:r w:rsidR="00065EE4" w:rsidRPr="00C41483">
        <w:rPr>
          <w:rFonts w:ascii="Times New Roman" w:eastAsia="Times New Roman" w:hAnsi="Times New Roman" w:cs="Times New Roman"/>
          <w:sz w:val="24"/>
          <w:szCs w:val="24"/>
          <w:lang w:eastAsia="hr-HR"/>
        </w:rPr>
        <w:t xml:space="preserve"> upravo na </w:t>
      </w:r>
      <w:r w:rsidR="00804A9F" w:rsidRPr="00C41483">
        <w:rPr>
          <w:rFonts w:ascii="Times New Roman" w:eastAsia="Times New Roman" w:hAnsi="Times New Roman" w:cs="Times New Roman"/>
          <w:sz w:val="24"/>
          <w:szCs w:val="24"/>
          <w:lang w:eastAsia="hr-HR"/>
        </w:rPr>
        <w:t>prevenciju</w:t>
      </w:r>
      <w:r w:rsidR="00065EE4" w:rsidRPr="00C41483">
        <w:rPr>
          <w:rFonts w:ascii="Times New Roman" w:eastAsia="Times New Roman" w:hAnsi="Times New Roman" w:cs="Times New Roman"/>
          <w:sz w:val="24"/>
          <w:szCs w:val="24"/>
          <w:lang w:eastAsia="hr-HR"/>
        </w:rPr>
        <w:t xml:space="preserve"> i </w:t>
      </w:r>
      <w:r w:rsidR="00804A9F" w:rsidRPr="00C41483">
        <w:rPr>
          <w:rFonts w:ascii="Times New Roman" w:eastAsia="Times New Roman" w:hAnsi="Times New Roman" w:cs="Times New Roman"/>
          <w:sz w:val="24"/>
          <w:szCs w:val="24"/>
          <w:lang w:eastAsia="hr-HR"/>
        </w:rPr>
        <w:t xml:space="preserve">očuvanje </w:t>
      </w:r>
      <w:r w:rsidR="00065EE4" w:rsidRPr="00C41483">
        <w:rPr>
          <w:rFonts w:ascii="Times New Roman" w:eastAsia="Times New Roman" w:hAnsi="Times New Roman" w:cs="Times New Roman"/>
          <w:sz w:val="24"/>
          <w:szCs w:val="24"/>
          <w:lang w:eastAsia="hr-HR"/>
        </w:rPr>
        <w:t xml:space="preserve">zdravlja, </w:t>
      </w:r>
      <w:r w:rsidR="00804A9F" w:rsidRPr="00C41483">
        <w:rPr>
          <w:rFonts w:ascii="Times New Roman" w:eastAsia="Times New Roman" w:hAnsi="Times New Roman" w:cs="Times New Roman"/>
          <w:sz w:val="24"/>
          <w:szCs w:val="24"/>
          <w:lang w:eastAsia="hr-HR"/>
        </w:rPr>
        <w:t>povećanje</w:t>
      </w:r>
      <w:r w:rsidR="00065EE4" w:rsidRPr="00C41483">
        <w:rPr>
          <w:rFonts w:ascii="Times New Roman" w:eastAsia="Times New Roman" w:hAnsi="Times New Roman" w:cs="Times New Roman"/>
          <w:sz w:val="24"/>
          <w:szCs w:val="24"/>
          <w:lang w:eastAsia="hr-HR"/>
        </w:rPr>
        <w:t xml:space="preserve"> dostupnosti zdravstvenih usluga te psihosocijalnoj potpori i edukaciji. </w:t>
      </w:r>
    </w:p>
    <w:p w14:paraId="4C111A91" w14:textId="77777777" w:rsidR="00D67FE2" w:rsidRPr="00C41483" w:rsidRDefault="00D67FE2" w:rsidP="006B5133">
      <w:pPr>
        <w:spacing w:after="0" w:line="240" w:lineRule="auto"/>
        <w:jc w:val="both"/>
        <w:rPr>
          <w:rFonts w:ascii="Times New Roman" w:eastAsia="Times New Roman" w:hAnsi="Times New Roman" w:cs="Times New Roman"/>
          <w:sz w:val="24"/>
          <w:szCs w:val="24"/>
          <w:lang w:eastAsia="hr-HR"/>
        </w:rPr>
      </w:pPr>
    </w:p>
    <w:p w14:paraId="3B03CA05" w14:textId="706F4B5C" w:rsidR="00B074E3" w:rsidRPr="00C41483" w:rsidRDefault="00604E80" w:rsidP="00604E80">
      <w:pPr>
        <w:spacing w:after="0" w:line="240" w:lineRule="auto"/>
        <w:jc w:val="both"/>
        <w:rPr>
          <w:rFonts w:ascii="Times New Roman" w:eastAsia="Times New Roman" w:hAnsi="Times New Roman" w:cs="Times New Roman"/>
          <w:i/>
          <w:iCs/>
          <w:sz w:val="24"/>
          <w:szCs w:val="24"/>
          <w:lang w:eastAsia="hr-HR"/>
        </w:rPr>
      </w:pPr>
      <w:bookmarkStart w:id="117" w:name="_Hlk83815252"/>
      <w:r w:rsidRPr="00C41483">
        <w:rPr>
          <w:rFonts w:ascii="Times New Roman" w:eastAsia="Times New Roman" w:hAnsi="Times New Roman" w:cs="Times New Roman"/>
          <w:i/>
          <w:iCs/>
          <w:sz w:val="24"/>
          <w:szCs w:val="24"/>
          <w:lang w:eastAsia="hr-HR"/>
        </w:rPr>
        <w:t>Pitanj</w:t>
      </w:r>
      <w:r w:rsidR="004C1233" w:rsidRPr="00C41483">
        <w:rPr>
          <w:rFonts w:ascii="Times New Roman" w:eastAsia="Times New Roman" w:hAnsi="Times New Roman" w:cs="Times New Roman"/>
          <w:i/>
          <w:iCs/>
          <w:sz w:val="24"/>
          <w:szCs w:val="24"/>
          <w:lang w:eastAsia="hr-HR"/>
        </w:rPr>
        <w:t>e</w:t>
      </w:r>
      <w:r w:rsidRPr="00C41483">
        <w:rPr>
          <w:rFonts w:ascii="Times New Roman" w:eastAsia="Times New Roman" w:hAnsi="Times New Roman" w:cs="Times New Roman"/>
          <w:i/>
          <w:iCs/>
          <w:sz w:val="24"/>
          <w:szCs w:val="24"/>
          <w:lang w:eastAsia="hr-HR"/>
        </w:rPr>
        <w:t xml:space="preserve"> 24b)</w:t>
      </w:r>
      <w:bookmarkEnd w:id="117"/>
    </w:p>
    <w:p w14:paraId="67961D32" w14:textId="70131E2E" w:rsidR="00EC02FD" w:rsidRPr="00C41483" w:rsidRDefault="00EC02FD" w:rsidP="006B5133">
      <w:pPr>
        <w:spacing w:after="0" w:line="240" w:lineRule="auto"/>
        <w:jc w:val="both"/>
        <w:rPr>
          <w:rFonts w:ascii="Times New Roman" w:eastAsia="Times New Roman" w:hAnsi="Times New Roman" w:cs="Times New Roman"/>
          <w:i/>
          <w:iCs/>
          <w:sz w:val="24"/>
          <w:szCs w:val="24"/>
          <w:lang w:eastAsia="hr-HR"/>
        </w:rPr>
      </w:pPr>
    </w:p>
    <w:p w14:paraId="195881AE" w14:textId="6122901F" w:rsidR="00EC02FD" w:rsidRPr="00C41483" w:rsidRDefault="006E7142" w:rsidP="006B5133">
      <w:pPr>
        <w:spacing w:after="0" w:line="240" w:lineRule="auto"/>
        <w:jc w:val="both"/>
        <w:rPr>
          <w:rFonts w:ascii="Times New Roman" w:hAnsi="Times New Roman" w:cs="Times New Roman"/>
          <w:sz w:val="24"/>
          <w:szCs w:val="24"/>
        </w:rPr>
      </w:pPr>
      <w:r w:rsidRPr="00C41483">
        <w:rPr>
          <w:rFonts w:ascii="Times New Roman" w:hAnsi="Times New Roman" w:cs="Times New Roman"/>
          <w:sz w:val="24"/>
          <w:szCs w:val="24"/>
        </w:rPr>
        <w:t>(1</w:t>
      </w:r>
      <w:r w:rsidR="00822D16" w:rsidRPr="00C41483">
        <w:rPr>
          <w:rFonts w:ascii="Times New Roman" w:hAnsi="Times New Roman" w:cs="Times New Roman"/>
          <w:sz w:val="24"/>
          <w:szCs w:val="24"/>
        </w:rPr>
        <w:t>4</w:t>
      </w:r>
      <w:r w:rsidR="00E8616D" w:rsidRPr="00C41483">
        <w:rPr>
          <w:rFonts w:ascii="Times New Roman" w:hAnsi="Times New Roman" w:cs="Times New Roman"/>
          <w:sz w:val="24"/>
          <w:szCs w:val="24"/>
        </w:rPr>
        <w:t>6</w:t>
      </w:r>
      <w:r w:rsidRPr="00C41483">
        <w:rPr>
          <w:rFonts w:ascii="Times New Roman" w:hAnsi="Times New Roman" w:cs="Times New Roman"/>
          <w:sz w:val="24"/>
          <w:szCs w:val="24"/>
        </w:rPr>
        <w:t xml:space="preserve">) </w:t>
      </w:r>
      <w:r w:rsidR="00EC02FD" w:rsidRPr="00C41483">
        <w:rPr>
          <w:rFonts w:ascii="Times New Roman" w:hAnsi="Times New Roman" w:cs="Times New Roman"/>
          <w:sz w:val="24"/>
          <w:szCs w:val="24"/>
        </w:rPr>
        <w:t xml:space="preserve">Vidjeti odgovor </w:t>
      </w:r>
      <w:r w:rsidR="00D67FE2" w:rsidRPr="00C41483">
        <w:rPr>
          <w:rFonts w:ascii="Times New Roman" w:hAnsi="Times New Roman" w:cs="Times New Roman"/>
          <w:sz w:val="24"/>
          <w:szCs w:val="24"/>
        </w:rPr>
        <w:t xml:space="preserve">na pitanje </w:t>
      </w:r>
      <w:r w:rsidR="00EC02FD" w:rsidRPr="00C41483">
        <w:rPr>
          <w:rFonts w:ascii="Times New Roman" w:hAnsi="Times New Roman" w:cs="Times New Roman"/>
          <w:sz w:val="24"/>
          <w:szCs w:val="24"/>
        </w:rPr>
        <w:t>7b)</w:t>
      </w:r>
    </w:p>
    <w:p w14:paraId="4DF3B44B" w14:textId="77777777" w:rsidR="00EC02FD" w:rsidRPr="00C41483" w:rsidRDefault="00EC02FD" w:rsidP="006B5133">
      <w:pPr>
        <w:spacing w:after="0" w:line="240" w:lineRule="auto"/>
        <w:jc w:val="both"/>
        <w:rPr>
          <w:rFonts w:ascii="Times New Roman" w:eastAsia="Times New Roman" w:hAnsi="Times New Roman" w:cs="Times New Roman"/>
          <w:i/>
          <w:iCs/>
          <w:sz w:val="24"/>
          <w:szCs w:val="24"/>
          <w:lang w:eastAsia="hr-HR"/>
        </w:rPr>
      </w:pPr>
    </w:p>
    <w:p w14:paraId="047F182C" w14:textId="4F5A3D79" w:rsidR="00B074E3" w:rsidRPr="00C41483" w:rsidRDefault="00604E80" w:rsidP="006B5133">
      <w:pPr>
        <w:spacing w:after="0" w:line="240" w:lineRule="auto"/>
        <w:jc w:val="both"/>
        <w:rPr>
          <w:rFonts w:ascii="Times New Roman" w:eastAsia="Times New Roman" w:hAnsi="Times New Roman" w:cs="Times New Roman"/>
          <w:i/>
          <w:iCs/>
          <w:sz w:val="24"/>
          <w:szCs w:val="24"/>
          <w:lang w:eastAsia="hr-HR"/>
        </w:rPr>
      </w:pPr>
      <w:r w:rsidRPr="00C41483">
        <w:rPr>
          <w:rFonts w:ascii="Times New Roman" w:eastAsia="Times New Roman" w:hAnsi="Times New Roman" w:cs="Times New Roman"/>
          <w:i/>
          <w:iCs/>
          <w:sz w:val="24"/>
          <w:szCs w:val="24"/>
          <w:lang w:eastAsia="hr-HR"/>
        </w:rPr>
        <w:t>Pitanje 24</w:t>
      </w:r>
      <w:r w:rsidR="00B074E3" w:rsidRPr="00C41483">
        <w:rPr>
          <w:rFonts w:ascii="Times New Roman" w:eastAsia="Times New Roman" w:hAnsi="Times New Roman" w:cs="Times New Roman"/>
          <w:i/>
          <w:iCs/>
          <w:sz w:val="24"/>
          <w:szCs w:val="24"/>
          <w:lang w:eastAsia="hr-HR"/>
        </w:rPr>
        <w:t xml:space="preserve">c) </w:t>
      </w:r>
    </w:p>
    <w:p w14:paraId="620F3B56" w14:textId="77777777" w:rsidR="00476AFF" w:rsidRPr="00C41483" w:rsidRDefault="00476AFF" w:rsidP="006B5133">
      <w:pPr>
        <w:pStyle w:val="NormalNormalHZZO1"/>
        <w:spacing w:after="0"/>
        <w:jc w:val="both"/>
        <w:rPr>
          <w:sz w:val="24"/>
          <w:szCs w:val="24"/>
        </w:rPr>
      </w:pPr>
    </w:p>
    <w:p w14:paraId="0969D431" w14:textId="468A12A3" w:rsidR="00EC02FD" w:rsidRPr="00C41483" w:rsidRDefault="006E7142" w:rsidP="006B5133">
      <w:pPr>
        <w:pStyle w:val="NormalNormalHZZO1"/>
        <w:spacing w:after="0"/>
        <w:jc w:val="both"/>
        <w:rPr>
          <w:sz w:val="24"/>
          <w:szCs w:val="24"/>
        </w:rPr>
      </w:pPr>
      <w:r w:rsidRPr="00C41483">
        <w:rPr>
          <w:sz w:val="24"/>
          <w:szCs w:val="24"/>
        </w:rPr>
        <w:lastRenderedPageBreak/>
        <w:t>(1</w:t>
      </w:r>
      <w:r w:rsidR="00822D16" w:rsidRPr="00C41483">
        <w:rPr>
          <w:sz w:val="24"/>
          <w:szCs w:val="24"/>
        </w:rPr>
        <w:t>4</w:t>
      </w:r>
      <w:r w:rsidR="00E8616D" w:rsidRPr="00C41483">
        <w:rPr>
          <w:sz w:val="24"/>
          <w:szCs w:val="24"/>
        </w:rPr>
        <w:t>7</w:t>
      </w:r>
      <w:r w:rsidRPr="00C41483">
        <w:rPr>
          <w:sz w:val="24"/>
          <w:szCs w:val="24"/>
        </w:rPr>
        <w:t>)</w:t>
      </w:r>
      <w:r w:rsidR="000D4272" w:rsidRPr="00C41483">
        <w:rPr>
          <w:sz w:val="24"/>
          <w:szCs w:val="24"/>
        </w:rPr>
        <w:t xml:space="preserve"> </w:t>
      </w:r>
      <w:r w:rsidR="00D67FE2" w:rsidRPr="00C41483">
        <w:rPr>
          <w:sz w:val="24"/>
          <w:szCs w:val="24"/>
        </w:rPr>
        <w:t>O</w:t>
      </w:r>
      <w:r w:rsidR="00EC02FD" w:rsidRPr="00C41483">
        <w:rPr>
          <w:sz w:val="24"/>
          <w:szCs w:val="24"/>
        </w:rPr>
        <w:t>sobe s invaliditetom, koje su osigurane osobe u obveznom zdravstvenom osiguranju</w:t>
      </w:r>
      <w:r w:rsidR="00D67FE2" w:rsidRPr="00C41483">
        <w:rPr>
          <w:sz w:val="24"/>
          <w:szCs w:val="24"/>
        </w:rPr>
        <w:t xml:space="preserve">, </w:t>
      </w:r>
      <w:r w:rsidR="00EC02FD" w:rsidRPr="00C41483">
        <w:rPr>
          <w:sz w:val="24"/>
          <w:szCs w:val="24"/>
        </w:rPr>
        <w:t xml:space="preserve">ostvaruju sva prava iz obveznoga zdravstvenog osiguranja, u istom opsegu, kvaliteti i standardu kao i druge osigurane osobe, bez diskriminacije po bilo kojoj osnovi. </w:t>
      </w:r>
    </w:p>
    <w:p w14:paraId="21A44586" w14:textId="77777777" w:rsidR="00D0055C" w:rsidRPr="00C41483" w:rsidRDefault="00D0055C" w:rsidP="006B5133">
      <w:pPr>
        <w:spacing w:after="0" w:line="240" w:lineRule="auto"/>
        <w:jc w:val="both"/>
        <w:rPr>
          <w:rFonts w:ascii="Times New Roman" w:eastAsia="Times New Roman" w:hAnsi="Times New Roman" w:cs="Times New Roman"/>
          <w:noProof/>
          <w:sz w:val="24"/>
          <w:szCs w:val="24"/>
          <w:lang w:eastAsia="hr-HR"/>
        </w:rPr>
      </w:pPr>
    </w:p>
    <w:p w14:paraId="48C35A3E" w14:textId="3F48FE18" w:rsidR="00EC02FD" w:rsidRPr="00C41483" w:rsidRDefault="000D4272" w:rsidP="006B5133">
      <w:pPr>
        <w:spacing w:after="0" w:line="240" w:lineRule="auto"/>
        <w:jc w:val="both"/>
        <w:rPr>
          <w:rFonts w:ascii="Times New Roman" w:eastAsia="Times New Roman" w:hAnsi="Times New Roman" w:cs="Times New Roman"/>
          <w:noProof/>
          <w:sz w:val="24"/>
          <w:szCs w:val="24"/>
          <w:lang w:eastAsia="hr-HR"/>
        </w:rPr>
      </w:pPr>
      <w:r w:rsidRPr="00C41483">
        <w:rPr>
          <w:rFonts w:ascii="Times New Roman" w:eastAsia="Times New Roman" w:hAnsi="Times New Roman" w:cs="Times New Roman"/>
          <w:noProof/>
          <w:sz w:val="24"/>
          <w:szCs w:val="24"/>
          <w:lang w:eastAsia="hr-HR"/>
        </w:rPr>
        <w:t>(1</w:t>
      </w:r>
      <w:r w:rsidR="00822D16" w:rsidRPr="00C41483">
        <w:rPr>
          <w:rFonts w:ascii="Times New Roman" w:eastAsia="Times New Roman" w:hAnsi="Times New Roman" w:cs="Times New Roman"/>
          <w:noProof/>
          <w:sz w:val="24"/>
          <w:szCs w:val="24"/>
          <w:lang w:eastAsia="hr-HR"/>
        </w:rPr>
        <w:t>4</w:t>
      </w:r>
      <w:r w:rsidR="00E8616D" w:rsidRPr="00C41483">
        <w:rPr>
          <w:rFonts w:ascii="Times New Roman" w:eastAsia="Times New Roman" w:hAnsi="Times New Roman" w:cs="Times New Roman"/>
          <w:noProof/>
          <w:sz w:val="24"/>
          <w:szCs w:val="24"/>
          <w:lang w:eastAsia="hr-HR"/>
        </w:rPr>
        <w:t>8</w:t>
      </w:r>
      <w:r w:rsidRPr="00C41483">
        <w:rPr>
          <w:rFonts w:ascii="Times New Roman" w:eastAsia="Times New Roman" w:hAnsi="Times New Roman" w:cs="Times New Roman"/>
          <w:noProof/>
          <w:sz w:val="24"/>
          <w:szCs w:val="24"/>
          <w:lang w:eastAsia="hr-HR"/>
        </w:rPr>
        <w:t xml:space="preserve">) </w:t>
      </w:r>
      <w:r w:rsidR="00D67FE2" w:rsidRPr="00C41483">
        <w:rPr>
          <w:rFonts w:ascii="Times New Roman" w:eastAsia="Times New Roman" w:hAnsi="Times New Roman" w:cs="Times New Roman"/>
          <w:noProof/>
          <w:sz w:val="24"/>
          <w:szCs w:val="24"/>
          <w:lang w:eastAsia="hr-HR"/>
        </w:rPr>
        <w:t>O</w:t>
      </w:r>
      <w:r w:rsidR="00EC02FD" w:rsidRPr="00C41483">
        <w:rPr>
          <w:rFonts w:ascii="Times New Roman" w:eastAsia="Times New Roman" w:hAnsi="Times New Roman" w:cs="Times New Roman"/>
          <w:noProof/>
          <w:sz w:val="24"/>
          <w:szCs w:val="24"/>
          <w:lang w:eastAsia="hr-HR"/>
        </w:rPr>
        <w:t>sobe koje žive u ruralnim i područjima udaljenim od većih gradova primarnu zdravstvenu zaštitu (posredstvom izabranih doktora primarne zdravstvene zaštite opće (obiteljske) medicine, ginekologije, pedijatrije i dentalne medicine) mogu nesmetano obavljati s obzirom na dobro postavljenu mrežu primarne zdravstvene zaštite. S druge strane, u slučaju potrebe za specijalističko-konzilijarnom te bolničkom zdravstvenom zaštitom, svaka osigurana osoba, pa tako i osoba s invaliditetom, ovisno o svojim zdravstvenim potrebama te medicinskim indikacijama može biti upućena na liječenje, odnosno na obavljanje određene zdravstvene usluge u mjesto gdje se nalazi zdravstvena ustanova odnosno zdravstveni radnik privatne prakse koji sa Zavodom ima sklopljen ugovor o provođenju zdravstvene zaštite i koji joj mogu pružiti potrebno liječenje odnosno obavljanje odgovarajuće zdravstvene usluge, pri čemu Zavod, na teret sredstava obveznog zdravstvenog osiguranja, osigurava pravo na naknadu za troškove prijevoza ili sanitetski prijevoz.</w:t>
      </w:r>
    </w:p>
    <w:p w14:paraId="2943D557" w14:textId="77777777" w:rsidR="00EC02FD" w:rsidRPr="00C41483" w:rsidRDefault="00EC02FD" w:rsidP="006B5133">
      <w:pPr>
        <w:spacing w:after="0" w:line="240" w:lineRule="auto"/>
        <w:rPr>
          <w:lang w:eastAsia="hr-HR"/>
        </w:rPr>
      </w:pPr>
    </w:p>
    <w:p w14:paraId="7A4BA5DC" w14:textId="3B07D292" w:rsidR="003A2E30" w:rsidRPr="00C41483" w:rsidRDefault="003A2E30" w:rsidP="006B5133">
      <w:pPr>
        <w:pStyle w:val="Naslov1"/>
        <w:spacing w:before="0" w:line="240" w:lineRule="auto"/>
        <w:rPr>
          <w:rFonts w:ascii="Times New Roman" w:eastAsia="Times New Roman" w:hAnsi="Times New Roman" w:cs="Times New Roman"/>
          <w:b/>
          <w:bCs/>
          <w:color w:val="auto"/>
          <w:sz w:val="24"/>
          <w:szCs w:val="24"/>
          <w:lang w:eastAsia="hr-HR"/>
        </w:rPr>
      </w:pPr>
      <w:bookmarkStart w:id="118" w:name="_Toc76630964"/>
      <w:bookmarkStart w:id="119" w:name="_Toc88031203"/>
      <w:r w:rsidRPr="00C41483">
        <w:rPr>
          <w:rFonts w:ascii="Times New Roman" w:eastAsia="Times New Roman" w:hAnsi="Times New Roman" w:cs="Times New Roman"/>
          <w:b/>
          <w:bCs/>
          <w:color w:val="auto"/>
          <w:sz w:val="24"/>
          <w:szCs w:val="24"/>
          <w:lang w:eastAsia="hr-HR"/>
        </w:rPr>
        <w:t>Rad i zapošljavanje (čl. 27.)</w:t>
      </w:r>
      <w:bookmarkEnd w:id="118"/>
      <w:bookmarkEnd w:id="119"/>
    </w:p>
    <w:p w14:paraId="62AC22A3" w14:textId="77777777" w:rsidR="002A0CF6" w:rsidRPr="00C41483" w:rsidRDefault="002A0CF6" w:rsidP="006B5133">
      <w:pPr>
        <w:spacing w:after="0" w:line="240" w:lineRule="auto"/>
        <w:jc w:val="both"/>
        <w:rPr>
          <w:rFonts w:ascii="Times New Roman" w:eastAsia="Times New Roman" w:hAnsi="Times New Roman" w:cs="Times New Roman"/>
          <w:i/>
          <w:iCs/>
          <w:sz w:val="24"/>
          <w:szCs w:val="24"/>
          <w:lang w:eastAsia="hr-HR"/>
        </w:rPr>
      </w:pPr>
    </w:p>
    <w:p w14:paraId="032B9279" w14:textId="13A020F8" w:rsidR="00B074E3" w:rsidRPr="00C41483" w:rsidRDefault="00604E80" w:rsidP="006B5133">
      <w:pPr>
        <w:spacing w:after="0" w:line="240" w:lineRule="auto"/>
        <w:jc w:val="both"/>
        <w:rPr>
          <w:rFonts w:ascii="Times New Roman" w:eastAsia="Times New Roman" w:hAnsi="Times New Roman" w:cs="Times New Roman"/>
          <w:i/>
          <w:iCs/>
          <w:sz w:val="24"/>
          <w:szCs w:val="24"/>
          <w:lang w:eastAsia="hr-HR"/>
        </w:rPr>
      </w:pPr>
      <w:bookmarkStart w:id="120" w:name="_Hlk83815441"/>
      <w:r w:rsidRPr="00C41483">
        <w:rPr>
          <w:rFonts w:ascii="Times New Roman" w:eastAsia="Times New Roman" w:hAnsi="Times New Roman" w:cs="Times New Roman"/>
          <w:i/>
          <w:iCs/>
          <w:sz w:val="24"/>
          <w:szCs w:val="24"/>
          <w:lang w:eastAsia="hr-HR"/>
        </w:rPr>
        <w:t xml:space="preserve">Pitanje </w:t>
      </w:r>
      <w:r w:rsidR="00B074E3" w:rsidRPr="00C41483">
        <w:rPr>
          <w:rFonts w:ascii="Times New Roman" w:eastAsia="Times New Roman" w:hAnsi="Times New Roman" w:cs="Times New Roman"/>
          <w:i/>
          <w:iCs/>
          <w:sz w:val="24"/>
          <w:szCs w:val="24"/>
          <w:lang w:eastAsia="hr-HR"/>
        </w:rPr>
        <w:t>25 a)</w:t>
      </w:r>
      <w:r w:rsidRPr="00C41483">
        <w:rPr>
          <w:rFonts w:ascii="Times New Roman" w:eastAsia="Times New Roman" w:hAnsi="Times New Roman" w:cs="Times New Roman"/>
          <w:i/>
          <w:iCs/>
          <w:sz w:val="24"/>
          <w:szCs w:val="24"/>
          <w:lang w:eastAsia="hr-HR"/>
        </w:rPr>
        <w:t xml:space="preserve">, </w:t>
      </w:r>
      <w:r w:rsidR="00B074E3" w:rsidRPr="00C41483">
        <w:rPr>
          <w:rFonts w:ascii="Times New Roman" w:eastAsia="Times New Roman" w:hAnsi="Times New Roman" w:cs="Times New Roman"/>
          <w:i/>
          <w:iCs/>
          <w:sz w:val="24"/>
          <w:szCs w:val="24"/>
          <w:lang w:eastAsia="hr-HR"/>
        </w:rPr>
        <w:t>b)</w:t>
      </w:r>
      <w:r w:rsidRPr="00C41483">
        <w:rPr>
          <w:rFonts w:ascii="Times New Roman" w:eastAsia="Times New Roman" w:hAnsi="Times New Roman" w:cs="Times New Roman"/>
          <w:i/>
          <w:iCs/>
          <w:sz w:val="24"/>
          <w:szCs w:val="24"/>
          <w:lang w:eastAsia="hr-HR"/>
        </w:rPr>
        <w:t xml:space="preserve"> i </w:t>
      </w:r>
      <w:r w:rsidR="00B074E3" w:rsidRPr="00C41483">
        <w:rPr>
          <w:rFonts w:ascii="Times New Roman" w:eastAsia="Times New Roman" w:hAnsi="Times New Roman" w:cs="Times New Roman"/>
          <w:i/>
          <w:iCs/>
          <w:sz w:val="24"/>
          <w:szCs w:val="24"/>
          <w:lang w:eastAsia="hr-HR"/>
        </w:rPr>
        <w:t>c).</w:t>
      </w:r>
    </w:p>
    <w:p w14:paraId="68DC90B2" w14:textId="70A7DC32" w:rsidR="00EF7CFF" w:rsidRPr="00C41483" w:rsidRDefault="00EF7CFF" w:rsidP="0059046C">
      <w:pPr>
        <w:spacing w:after="0" w:line="240" w:lineRule="auto"/>
        <w:rPr>
          <w:lang w:eastAsia="hr-HR"/>
        </w:rPr>
      </w:pPr>
    </w:p>
    <w:bookmarkEnd w:id="120"/>
    <w:p w14:paraId="78F4F8DC" w14:textId="784FE6EF" w:rsidR="00EF7CFF" w:rsidRPr="00C41483" w:rsidRDefault="000D4272" w:rsidP="0059046C">
      <w:pPr>
        <w:spacing w:after="0" w:line="240" w:lineRule="auto"/>
        <w:jc w:val="both"/>
        <w:rPr>
          <w:rFonts w:ascii="Times New Roman" w:eastAsia="Calibri" w:hAnsi="Times New Roman" w:cs="Times New Roman"/>
          <w:i/>
          <w:iCs/>
          <w:sz w:val="24"/>
          <w:szCs w:val="24"/>
          <w:lang w:eastAsia="hr-HR"/>
        </w:rPr>
      </w:pPr>
      <w:r w:rsidRPr="00C41483">
        <w:rPr>
          <w:rFonts w:ascii="Times New Roman" w:hAnsi="Times New Roman" w:cs="Times New Roman"/>
          <w:sz w:val="24"/>
          <w:szCs w:val="24"/>
        </w:rPr>
        <w:t>(1</w:t>
      </w:r>
      <w:r w:rsidR="00822D16" w:rsidRPr="00C41483">
        <w:rPr>
          <w:rFonts w:ascii="Times New Roman" w:hAnsi="Times New Roman" w:cs="Times New Roman"/>
          <w:sz w:val="24"/>
          <w:szCs w:val="24"/>
        </w:rPr>
        <w:t>4</w:t>
      </w:r>
      <w:r w:rsidR="00E8616D" w:rsidRPr="00C41483">
        <w:rPr>
          <w:rFonts w:ascii="Times New Roman" w:hAnsi="Times New Roman" w:cs="Times New Roman"/>
          <w:sz w:val="24"/>
          <w:szCs w:val="24"/>
        </w:rPr>
        <w:t>9</w:t>
      </w:r>
      <w:r w:rsidR="00822D16" w:rsidRPr="00C41483">
        <w:rPr>
          <w:rFonts w:ascii="Times New Roman" w:hAnsi="Times New Roman" w:cs="Times New Roman"/>
          <w:sz w:val="24"/>
          <w:szCs w:val="24"/>
        </w:rPr>
        <w:t xml:space="preserve">) </w:t>
      </w:r>
      <w:r w:rsidR="00EF7CFF" w:rsidRPr="00C41483">
        <w:rPr>
          <w:rFonts w:ascii="Times New Roman" w:hAnsi="Times New Roman" w:cs="Times New Roman"/>
          <w:sz w:val="24"/>
          <w:szCs w:val="24"/>
        </w:rPr>
        <w:t>Zahvaljujući uvođenju kvotnog sustava zapošljavanja, implementaciji novog modela profesionalne rehabilitacije, kao i provođenju mjera za poticanje zapošljavanja osoba s invaliditetom, zabilježeni su pozitivni trendovi na tržištu rada. P</w:t>
      </w:r>
      <w:r w:rsidR="00EF7CFF" w:rsidRPr="00C41483">
        <w:rPr>
          <w:rFonts w:ascii="Times New Roman" w:eastAsia="Calibri" w:hAnsi="Times New Roman" w:cs="Times New Roman"/>
          <w:sz w:val="24"/>
          <w:szCs w:val="24"/>
          <w:lang w:eastAsia="hr-HR"/>
        </w:rPr>
        <w:t>rema podacima H</w:t>
      </w:r>
      <w:r w:rsidR="002D4058" w:rsidRPr="00C41483">
        <w:rPr>
          <w:rFonts w:ascii="Times New Roman" w:eastAsia="Calibri" w:hAnsi="Times New Roman" w:cs="Times New Roman"/>
          <w:sz w:val="24"/>
          <w:szCs w:val="24"/>
          <w:lang w:eastAsia="hr-HR"/>
        </w:rPr>
        <w:t>ZZ-a</w:t>
      </w:r>
      <w:r w:rsidR="00EF7CFF" w:rsidRPr="00C41483">
        <w:rPr>
          <w:rFonts w:ascii="Times New Roman" w:eastAsia="Calibri" w:hAnsi="Times New Roman" w:cs="Times New Roman"/>
          <w:sz w:val="24"/>
          <w:szCs w:val="24"/>
          <w:lang w:eastAsia="hr-HR"/>
        </w:rPr>
        <w:t xml:space="preserve">, u razdoblju od 2015. do 2018. godine, vidljiv je kontinuirani rast broja zaposlenih osoba s invaliditetom. U razdoblju od 2018. do 2020. godine, zabilježeno je smanjenje broja zaposlenih osoba s invaliditetom, međutim u tom razdoblju smanjio se i ukupan broj nezaposlenih osoba s invaliditetom prijavljenih u evidenciju HZZ-a </w:t>
      </w:r>
      <w:r w:rsidR="00EF7CFF" w:rsidRPr="00C41483">
        <w:rPr>
          <w:rFonts w:ascii="Times New Roman" w:eastAsia="Calibri" w:hAnsi="Times New Roman" w:cs="Times New Roman"/>
          <w:i/>
          <w:iCs/>
          <w:sz w:val="24"/>
          <w:szCs w:val="24"/>
          <w:lang w:eastAsia="hr-HR"/>
        </w:rPr>
        <w:t>(</w:t>
      </w:r>
      <w:r w:rsidR="0093379F" w:rsidRPr="00C41483">
        <w:rPr>
          <w:rFonts w:ascii="Times New Roman" w:eastAsia="Calibri" w:hAnsi="Times New Roman" w:cs="Times New Roman"/>
          <w:i/>
          <w:iCs/>
          <w:sz w:val="24"/>
          <w:szCs w:val="24"/>
          <w:lang w:eastAsia="hr-HR"/>
        </w:rPr>
        <w:t>detaljnije u prilogu</w:t>
      </w:r>
      <w:r w:rsidR="00D268B0" w:rsidRPr="00C41483">
        <w:rPr>
          <w:rFonts w:ascii="Times New Roman" w:eastAsia="Calibri" w:hAnsi="Times New Roman" w:cs="Times New Roman"/>
          <w:i/>
          <w:iCs/>
          <w:sz w:val="24"/>
          <w:szCs w:val="24"/>
          <w:lang w:eastAsia="hr-HR"/>
        </w:rPr>
        <w:t xml:space="preserve"> </w:t>
      </w:r>
      <w:r w:rsidR="00822D16" w:rsidRPr="00C41483">
        <w:rPr>
          <w:rFonts w:ascii="Times New Roman" w:eastAsia="Calibri" w:hAnsi="Times New Roman" w:cs="Times New Roman"/>
          <w:i/>
          <w:iCs/>
          <w:sz w:val="24"/>
          <w:szCs w:val="24"/>
          <w:lang w:eastAsia="hr-HR"/>
        </w:rPr>
        <w:t>34</w:t>
      </w:r>
      <w:r w:rsidR="00EF7CFF" w:rsidRPr="00C41483">
        <w:rPr>
          <w:rFonts w:ascii="Times New Roman" w:eastAsia="Calibri" w:hAnsi="Times New Roman" w:cs="Times New Roman"/>
          <w:i/>
          <w:iCs/>
          <w:sz w:val="24"/>
          <w:szCs w:val="24"/>
          <w:lang w:eastAsia="hr-HR"/>
        </w:rPr>
        <w:t>).</w:t>
      </w:r>
    </w:p>
    <w:p w14:paraId="69F53FDD" w14:textId="77777777" w:rsidR="00822D16" w:rsidRPr="00C41483" w:rsidRDefault="00822D16" w:rsidP="0059046C">
      <w:pPr>
        <w:spacing w:after="0" w:line="240" w:lineRule="auto"/>
        <w:jc w:val="both"/>
        <w:rPr>
          <w:rFonts w:ascii="Times New Roman" w:eastAsia="Calibri" w:hAnsi="Times New Roman" w:cs="Times New Roman"/>
          <w:i/>
          <w:iCs/>
          <w:sz w:val="24"/>
          <w:szCs w:val="24"/>
          <w:lang w:eastAsia="hr-HR"/>
        </w:rPr>
      </w:pPr>
    </w:p>
    <w:p w14:paraId="16743FE6" w14:textId="274B8F5D" w:rsidR="0093379F" w:rsidRPr="00C41483" w:rsidRDefault="000D4272" w:rsidP="00D04382">
      <w:pPr>
        <w:spacing w:after="0" w:line="240" w:lineRule="auto"/>
        <w:jc w:val="both"/>
        <w:rPr>
          <w:rFonts w:ascii="Times New Roman" w:hAnsi="Times New Roman" w:cs="Times New Roman"/>
          <w:i/>
          <w:iCs/>
          <w:sz w:val="24"/>
          <w:szCs w:val="24"/>
        </w:rPr>
      </w:pPr>
      <w:r w:rsidRPr="00C41483">
        <w:rPr>
          <w:rFonts w:ascii="Times New Roman" w:hAnsi="Times New Roman" w:cs="Times New Roman"/>
          <w:sz w:val="24"/>
          <w:szCs w:val="24"/>
        </w:rPr>
        <w:t>(1</w:t>
      </w:r>
      <w:r w:rsidR="00E8616D" w:rsidRPr="00C41483">
        <w:rPr>
          <w:rFonts w:ascii="Times New Roman" w:hAnsi="Times New Roman" w:cs="Times New Roman"/>
          <w:sz w:val="24"/>
          <w:szCs w:val="24"/>
        </w:rPr>
        <w:t>50)</w:t>
      </w:r>
      <w:r w:rsidRPr="00C41483">
        <w:rPr>
          <w:rFonts w:ascii="Times New Roman" w:hAnsi="Times New Roman" w:cs="Times New Roman"/>
          <w:sz w:val="24"/>
          <w:szCs w:val="24"/>
        </w:rPr>
        <w:t xml:space="preserve"> </w:t>
      </w:r>
      <w:r w:rsidR="00EF7CFF" w:rsidRPr="00C41483">
        <w:rPr>
          <w:rFonts w:ascii="Times New Roman" w:hAnsi="Times New Roman" w:cs="Times New Roman"/>
          <w:sz w:val="24"/>
          <w:szCs w:val="24"/>
        </w:rPr>
        <w:t xml:space="preserve">Povećanju broja zaposlenih osoba s invaliditetom doprinijele su mjere </w:t>
      </w:r>
      <w:bookmarkStart w:id="121" w:name="_Hlk78958803"/>
      <w:r w:rsidR="00EF7CFF" w:rsidRPr="00C41483">
        <w:rPr>
          <w:rFonts w:ascii="Times New Roman" w:hAnsi="Times New Roman" w:cs="Times New Roman"/>
          <w:sz w:val="24"/>
          <w:szCs w:val="24"/>
        </w:rPr>
        <w:t>aktivne politike zapošljavanja</w:t>
      </w:r>
      <w:bookmarkEnd w:id="121"/>
      <w:r w:rsidR="00EF7CFF" w:rsidRPr="00C41483">
        <w:rPr>
          <w:rFonts w:ascii="Times New Roman" w:hAnsi="Times New Roman" w:cs="Times New Roman"/>
          <w:sz w:val="24"/>
          <w:szCs w:val="24"/>
        </w:rPr>
        <w:t xml:space="preserve"> iz nadležnosti HZZ-a</w:t>
      </w:r>
      <w:r w:rsidR="00EF7CFF" w:rsidRPr="00C41483">
        <w:t xml:space="preserve">: </w:t>
      </w:r>
      <w:r w:rsidR="00EF7CFF" w:rsidRPr="00C41483">
        <w:rPr>
          <w:rFonts w:ascii="Times New Roman" w:hAnsi="Times New Roman" w:cs="Times New Roman"/>
          <w:sz w:val="24"/>
          <w:szCs w:val="24"/>
        </w:rPr>
        <w:t>potpore za zapošljavanje, usavršavanje i samozapošljavanje; obrazovanje nezaposlenih; stručno osposobljavanje za rad bez zasnivanja radnog odnosa; javni radovi te potpore za očuvanje radnih mjesta (</w:t>
      </w:r>
      <w:r w:rsidR="00EF7CFF" w:rsidRPr="00C41483">
        <w:rPr>
          <w:rFonts w:ascii="Times New Roman" w:hAnsi="Times New Roman" w:cs="Times New Roman"/>
          <w:i/>
          <w:iCs/>
          <w:sz w:val="24"/>
          <w:szCs w:val="24"/>
        </w:rPr>
        <w:t xml:space="preserve">prilog </w:t>
      </w:r>
      <w:r w:rsidR="00531C6F" w:rsidRPr="00C41483">
        <w:rPr>
          <w:rFonts w:ascii="Times New Roman" w:hAnsi="Times New Roman" w:cs="Times New Roman"/>
          <w:i/>
          <w:iCs/>
          <w:sz w:val="24"/>
          <w:szCs w:val="24"/>
        </w:rPr>
        <w:t>35</w:t>
      </w:r>
      <w:r w:rsidR="00EF7CFF" w:rsidRPr="00C41483">
        <w:rPr>
          <w:rFonts w:ascii="Times New Roman" w:hAnsi="Times New Roman" w:cs="Times New Roman"/>
          <w:sz w:val="24"/>
          <w:szCs w:val="24"/>
        </w:rPr>
        <w:t xml:space="preserve">). </w:t>
      </w:r>
    </w:p>
    <w:p w14:paraId="51482CD9" w14:textId="0C193EE1" w:rsidR="0092021D" w:rsidRPr="00C41483" w:rsidRDefault="0092021D" w:rsidP="00D04382">
      <w:pPr>
        <w:spacing w:after="0" w:line="240" w:lineRule="auto"/>
        <w:jc w:val="both"/>
        <w:rPr>
          <w:rFonts w:ascii="Times New Roman" w:hAnsi="Times New Roman" w:cs="Times New Roman"/>
          <w:sz w:val="24"/>
          <w:szCs w:val="24"/>
        </w:rPr>
      </w:pPr>
    </w:p>
    <w:p w14:paraId="68FC0FAC" w14:textId="67DA5C20" w:rsidR="00EF7CFF" w:rsidRPr="00C41483" w:rsidRDefault="000D4272" w:rsidP="003D0DF7">
      <w:pPr>
        <w:spacing w:after="0" w:line="240" w:lineRule="auto"/>
        <w:jc w:val="both"/>
        <w:rPr>
          <w:rFonts w:ascii="Times New Roman" w:hAnsi="Times New Roman" w:cs="Times New Roman"/>
          <w:i/>
          <w:iCs/>
          <w:sz w:val="24"/>
          <w:szCs w:val="24"/>
        </w:rPr>
      </w:pPr>
      <w:r w:rsidRPr="00C41483">
        <w:rPr>
          <w:rFonts w:ascii="Times New Roman" w:hAnsi="Times New Roman" w:cs="Times New Roman"/>
          <w:sz w:val="24"/>
          <w:szCs w:val="24"/>
        </w:rPr>
        <w:t>(1</w:t>
      </w:r>
      <w:r w:rsidR="00E8616D" w:rsidRPr="00C41483">
        <w:rPr>
          <w:rFonts w:ascii="Times New Roman" w:hAnsi="Times New Roman" w:cs="Times New Roman"/>
          <w:sz w:val="24"/>
          <w:szCs w:val="24"/>
        </w:rPr>
        <w:t>51</w:t>
      </w:r>
      <w:r w:rsidRPr="00C41483">
        <w:rPr>
          <w:rFonts w:ascii="Times New Roman" w:hAnsi="Times New Roman" w:cs="Times New Roman"/>
          <w:sz w:val="24"/>
          <w:szCs w:val="24"/>
        </w:rPr>
        <w:t xml:space="preserve">) </w:t>
      </w:r>
      <w:r w:rsidR="00EF7CFF" w:rsidRPr="00C41483">
        <w:rPr>
          <w:rFonts w:ascii="Times New Roman" w:hAnsi="Times New Roman" w:cs="Times New Roman"/>
          <w:sz w:val="24"/>
          <w:szCs w:val="24"/>
        </w:rPr>
        <w:t xml:space="preserve">Mjere su se provodile u skladu s nacionalnim strateškim dokumentima: </w:t>
      </w:r>
      <w:r w:rsidR="00EF7CFF" w:rsidRPr="00C41483">
        <w:rPr>
          <w:rFonts w:ascii="Times New Roman" w:hAnsi="Times New Roman" w:cs="Times New Roman"/>
          <w:i/>
          <w:iCs/>
          <w:sz w:val="24"/>
          <w:szCs w:val="24"/>
        </w:rPr>
        <w:t xml:space="preserve">Smjernicama za razvoj i provedbu aktivne politike zapošljavanja u Republici Hrvatskoj za razdoblje od 2015. do 2017. godine  </w:t>
      </w:r>
      <w:r w:rsidR="00EF7CFF" w:rsidRPr="00C41483">
        <w:rPr>
          <w:rFonts w:ascii="Times New Roman" w:hAnsi="Times New Roman" w:cs="Times New Roman"/>
          <w:sz w:val="24"/>
          <w:szCs w:val="24"/>
        </w:rPr>
        <w:t xml:space="preserve">i </w:t>
      </w:r>
      <w:r w:rsidR="00EF7CFF" w:rsidRPr="00C41483">
        <w:rPr>
          <w:rFonts w:ascii="Times New Roman" w:hAnsi="Times New Roman" w:cs="Times New Roman"/>
          <w:i/>
          <w:iCs/>
          <w:sz w:val="24"/>
          <w:szCs w:val="24"/>
        </w:rPr>
        <w:t xml:space="preserve">Smjernicama za razvoj i provedbu aktivne politike zapošljavanja u Republici Hrvatskoj za razdoblje od 2018. do 2020. godine. </w:t>
      </w:r>
      <w:r w:rsidR="00EF7CFF" w:rsidRPr="00C41483">
        <w:rPr>
          <w:rFonts w:ascii="Times New Roman" w:hAnsi="Times New Roman" w:cs="Times New Roman"/>
          <w:sz w:val="24"/>
          <w:szCs w:val="24"/>
        </w:rPr>
        <w:t>Navedenim dokumentima definirani su prioriteti i ciljevi u području ukupne politike zapošljavanja u R</w:t>
      </w:r>
      <w:r w:rsidR="00905964" w:rsidRPr="00C41483">
        <w:rPr>
          <w:rFonts w:ascii="Times New Roman" w:hAnsi="Times New Roman" w:cs="Times New Roman"/>
          <w:sz w:val="24"/>
          <w:szCs w:val="24"/>
        </w:rPr>
        <w:t>H</w:t>
      </w:r>
      <w:r w:rsidR="00EF7CFF" w:rsidRPr="00C41483">
        <w:rPr>
          <w:rFonts w:ascii="Times New Roman" w:hAnsi="Times New Roman" w:cs="Times New Roman"/>
          <w:sz w:val="24"/>
          <w:szCs w:val="24"/>
        </w:rPr>
        <w:t xml:space="preserve">, </w:t>
      </w:r>
      <w:r w:rsidR="00A261FF" w:rsidRPr="00C41483">
        <w:rPr>
          <w:rFonts w:ascii="Times New Roman" w:hAnsi="Times New Roman" w:cs="Times New Roman"/>
          <w:sz w:val="24"/>
          <w:szCs w:val="24"/>
        </w:rPr>
        <w:t>a</w:t>
      </w:r>
      <w:r w:rsidR="00EF7CFF" w:rsidRPr="00C41483">
        <w:rPr>
          <w:rFonts w:ascii="Times New Roman" w:hAnsi="Times New Roman" w:cs="Times New Roman"/>
          <w:sz w:val="24"/>
          <w:szCs w:val="24"/>
        </w:rPr>
        <w:t xml:space="preserve"> posebna </w:t>
      </w:r>
      <w:r w:rsidR="00A261FF" w:rsidRPr="00C41483">
        <w:rPr>
          <w:rFonts w:ascii="Times New Roman" w:hAnsi="Times New Roman" w:cs="Times New Roman"/>
          <w:sz w:val="24"/>
          <w:szCs w:val="24"/>
        </w:rPr>
        <w:t xml:space="preserve">je </w:t>
      </w:r>
      <w:r w:rsidR="00EF7CFF" w:rsidRPr="00C41483">
        <w:rPr>
          <w:rFonts w:ascii="Times New Roman" w:hAnsi="Times New Roman" w:cs="Times New Roman"/>
          <w:sz w:val="24"/>
          <w:szCs w:val="24"/>
        </w:rPr>
        <w:t>pozornost posvećena povećanju participacije ranjivih skupina na tržištu rada, uključujući i osob</w:t>
      </w:r>
      <w:r w:rsidR="00A261FF" w:rsidRPr="00C41483">
        <w:rPr>
          <w:rFonts w:ascii="Times New Roman" w:hAnsi="Times New Roman" w:cs="Times New Roman"/>
          <w:sz w:val="24"/>
          <w:szCs w:val="24"/>
        </w:rPr>
        <w:t>e</w:t>
      </w:r>
      <w:r w:rsidR="00EF7CFF" w:rsidRPr="00C41483">
        <w:rPr>
          <w:rFonts w:ascii="Times New Roman" w:hAnsi="Times New Roman" w:cs="Times New Roman"/>
          <w:sz w:val="24"/>
          <w:szCs w:val="24"/>
        </w:rPr>
        <w:t xml:space="preserve"> s invaliditetom. Stoga su uvjeti i kriteriji za uključivanje osoba s invaliditetom u mjere aktivne politike zapošljavanja povoljniji u odnosu na ostale skupine nezaposlenih osoba, a omogućeni su i veći iznosi financiranja. Osim mjera aktivne politike zapošljavanja, HZZ je provodio individualna savjetovanja, konzultacije, profesionalna usmjeravanja te druge aktivnosti u svrhu uspješne integracije osoba s invaliditetom na tržište rada.</w:t>
      </w:r>
    </w:p>
    <w:p w14:paraId="3525A6F9" w14:textId="77777777" w:rsidR="00A261FF" w:rsidRPr="00C41483" w:rsidRDefault="00A261FF" w:rsidP="003D0DF7">
      <w:pPr>
        <w:spacing w:after="0" w:line="240" w:lineRule="auto"/>
        <w:jc w:val="both"/>
        <w:rPr>
          <w:rFonts w:ascii="Times New Roman" w:hAnsi="Times New Roman" w:cs="Times New Roman"/>
          <w:sz w:val="24"/>
          <w:szCs w:val="24"/>
        </w:rPr>
      </w:pPr>
    </w:p>
    <w:p w14:paraId="28F22E26" w14:textId="45D09A50" w:rsidR="00EF7CFF" w:rsidRPr="00C41483" w:rsidRDefault="000D4272" w:rsidP="003D0DF7">
      <w:pPr>
        <w:spacing w:after="0" w:line="240" w:lineRule="auto"/>
        <w:jc w:val="both"/>
        <w:rPr>
          <w:rFonts w:ascii="Times New Roman" w:hAnsi="Times New Roman" w:cs="Times New Roman"/>
          <w:sz w:val="24"/>
          <w:szCs w:val="24"/>
        </w:rPr>
      </w:pPr>
      <w:r w:rsidRPr="00C41483">
        <w:rPr>
          <w:rFonts w:ascii="Times New Roman" w:hAnsi="Times New Roman" w:cs="Times New Roman"/>
          <w:sz w:val="24"/>
          <w:szCs w:val="24"/>
        </w:rPr>
        <w:t>(1</w:t>
      </w:r>
      <w:r w:rsidR="00E8616D" w:rsidRPr="00C41483">
        <w:rPr>
          <w:rFonts w:ascii="Times New Roman" w:hAnsi="Times New Roman" w:cs="Times New Roman"/>
          <w:sz w:val="24"/>
          <w:szCs w:val="24"/>
        </w:rPr>
        <w:t>52</w:t>
      </w:r>
      <w:r w:rsidRPr="00C41483">
        <w:rPr>
          <w:rFonts w:ascii="Times New Roman" w:hAnsi="Times New Roman" w:cs="Times New Roman"/>
          <w:sz w:val="24"/>
          <w:szCs w:val="24"/>
        </w:rPr>
        <w:t xml:space="preserve">) </w:t>
      </w:r>
      <w:r w:rsidR="00A261FF" w:rsidRPr="00C41483">
        <w:rPr>
          <w:rFonts w:ascii="Times New Roman" w:hAnsi="Times New Roman" w:cs="Times New Roman"/>
          <w:sz w:val="24"/>
          <w:szCs w:val="24"/>
        </w:rPr>
        <w:t>ZOSI osigurava p</w:t>
      </w:r>
      <w:r w:rsidR="00EF7CFF" w:rsidRPr="00C41483">
        <w:rPr>
          <w:rFonts w:ascii="Times New Roman" w:hAnsi="Times New Roman" w:cs="Times New Roman"/>
          <w:sz w:val="24"/>
          <w:szCs w:val="24"/>
        </w:rPr>
        <w:t>oticaje u svrhu zapošljavanja osoba s invaliditetom,</w:t>
      </w:r>
      <w:r w:rsidR="00A261FF" w:rsidRPr="00C41483">
        <w:rPr>
          <w:rFonts w:ascii="Times New Roman" w:hAnsi="Times New Roman" w:cs="Times New Roman"/>
          <w:sz w:val="24"/>
          <w:szCs w:val="24"/>
        </w:rPr>
        <w:t xml:space="preserve"> a oni su </w:t>
      </w:r>
      <w:r w:rsidR="00EF7CFF" w:rsidRPr="00C41483">
        <w:rPr>
          <w:rFonts w:ascii="Times New Roman" w:hAnsi="Times New Roman" w:cs="Times New Roman"/>
          <w:sz w:val="24"/>
          <w:szCs w:val="24"/>
        </w:rPr>
        <w:t>između ostalog, namijenjeni</w:t>
      </w:r>
      <w:r w:rsidR="00EF7CFF" w:rsidRPr="00C41483">
        <w:t xml:space="preserve"> </w:t>
      </w:r>
      <w:r w:rsidR="00EF7CFF" w:rsidRPr="00C41483">
        <w:rPr>
          <w:rFonts w:ascii="Times New Roman" w:hAnsi="Times New Roman" w:cs="Times New Roman"/>
          <w:sz w:val="24"/>
          <w:szCs w:val="24"/>
        </w:rPr>
        <w:t xml:space="preserve">subvencioniranju troška: plaće, obrazovanja, stručne podrške, prilagodbe radnog mjesta, kao i uvjeta rada osobe s invaliditetom. Osim navedenih redovnih poticaja, svake godine se dodjeljuju i dodatna sredstva za zapošljavanje osoba s invaliditetom putem javnih </w:t>
      </w:r>
      <w:r w:rsidR="00EF7CFF" w:rsidRPr="00C41483">
        <w:rPr>
          <w:rFonts w:ascii="Times New Roman" w:hAnsi="Times New Roman" w:cs="Times New Roman"/>
          <w:sz w:val="24"/>
          <w:szCs w:val="24"/>
        </w:rPr>
        <w:lastRenderedPageBreak/>
        <w:t>natječaja. Dodjelom ovih sredstava poslodavcima se omogućuje nabava novih tehnologija i opreme, ulaganje u znanja osoba s invaliditetom, te izgradnja ili širenje poslovnog prostora.</w:t>
      </w:r>
      <w:r w:rsidR="00EF7CFF" w:rsidRPr="00C41483">
        <w:t xml:space="preserve"> </w:t>
      </w:r>
      <w:r w:rsidR="00EF7CFF" w:rsidRPr="00C41483">
        <w:rPr>
          <w:rFonts w:ascii="Times New Roman" w:hAnsi="Times New Roman" w:cs="Times New Roman"/>
          <w:sz w:val="24"/>
          <w:szCs w:val="24"/>
        </w:rPr>
        <w:t>U razdoblju od 2015. – 2020. godine, zabilježeno je povećanje broja korisnika poticaja ZOSI-a (</w:t>
      </w:r>
      <w:r w:rsidR="00EF7CFF" w:rsidRPr="00C41483">
        <w:rPr>
          <w:rFonts w:ascii="Times New Roman" w:hAnsi="Times New Roman" w:cs="Times New Roman"/>
          <w:i/>
          <w:iCs/>
          <w:sz w:val="24"/>
          <w:szCs w:val="24"/>
        </w:rPr>
        <w:t xml:space="preserve">prilog </w:t>
      </w:r>
      <w:r w:rsidR="00531C6F" w:rsidRPr="00C41483">
        <w:rPr>
          <w:rFonts w:ascii="Times New Roman" w:hAnsi="Times New Roman" w:cs="Times New Roman"/>
          <w:i/>
          <w:iCs/>
          <w:sz w:val="24"/>
          <w:szCs w:val="24"/>
        </w:rPr>
        <w:t>36</w:t>
      </w:r>
      <w:r w:rsidR="00EF7CFF" w:rsidRPr="00C41483">
        <w:rPr>
          <w:rFonts w:ascii="Times New Roman" w:hAnsi="Times New Roman" w:cs="Times New Roman"/>
          <w:sz w:val="24"/>
          <w:szCs w:val="24"/>
        </w:rPr>
        <w:t>)</w:t>
      </w:r>
      <w:r w:rsidR="001A2F17">
        <w:rPr>
          <w:rFonts w:ascii="Times New Roman" w:hAnsi="Times New Roman" w:cs="Times New Roman"/>
          <w:sz w:val="24"/>
          <w:szCs w:val="24"/>
        </w:rPr>
        <w:t>.</w:t>
      </w:r>
    </w:p>
    <w:p w14:paraId="6DFDAF01" w14:textId="1D0CB5E8" w:rsidR="0092021D" w:rsidRPr="00C41483" w:rsidRDefault="0092021D" w:rsidP="003D0DF7">
      <w:pPr>
        <w:spacing w:after="0" w:line="240" w:lineRule="auto"/>
        <w:jc w:val="both"/>
        <w:rPr>
          <w:rFonts w:ascii="Times New Roman" w:hAnsi="Times New Roman" w:cs="Times New Roman"/>
          <w:sz w:val="24"/>
          <w:szCs w:val="24"/>
        </w:rPr>
      </w:pPr>
    </w:p>
    <w:p w14:paraId="30219CE3" w14:textId="00E84F4A" w:rsidR="00EF7CFF" w:rsidRPr="00C41483" w:rsidRDefault="000D4272" w:rsidP="003D0DF7">
      <w:pPr>
        <w:pStyle w:val="Bezproreda"/>
        <w:jc w:val="both"/>
        <w:rPr>
          <w:rFonts w:ascii="Times New Roman" w:hAnsi="Times New Roman"/>
          <w:sz w:val="24"/>
          <w:szCs w:val="24"/>
        </w:rPr>
      </w:pPr>
      <w:r w:rsidRPr="00C41483">
        <w:rPr>
          <w:rFonts w:ascii="Times New Roman" w:hAnsi="Times New Roman"/>
          <w:sz w:val="24"/>
          <w:szCs w:val="24"/>
        </w:rPr>
        <w:t>(1</w:t>
      </w:r>
      <w:r w:rsidR="00531C6F" w:rsidRPr="00C41483">
        <w:rPr>
          <w:rFonts w:ascii="Times New Roman" w:hAnsi="Times New Roman"/>
          <w:sz w:val="24"/>
          <w:szCs w:val="24"/>
        </w:rPr>
        <w:t>5</w:t>
      </w:r>
      <w:r w:rsidR="00E8616D" w:rsidRPr="00C41483">
        <w:rPr>
          <w:rFonts w:ascii="Times New Roman" w:hAnsi="Times New Roman"/>
          <w:sz w:val="24"/>
          <w:szCs w:val="24"/>
        </w:rPr>
        <w:t>3</w:t>
      </w:r>
      <w:r w:rsidRPr="00C41483">
        <w:rPr>
          <w:rFonts w:ascii="Times New Roman" w:hAnsi="Times New Roman"/>
          <w:sz w:val="24"/>
          <w:szCs w:val="24"/>
        </w:rPr>
        <w:t xml:space="preserve">) </w:t>
      </w:r>
      <w:r w:rsidR="0092021D" w:rsidRPr="00C41483">
        <w:rPr>
          <w:rFonts w:ascii="Times New Roman" w:hAnsi="Times New Roman"/>
          <w:sz w:val="24"/>
          <w:szCs w:val="24"/>
        </w:rPr>
        <w:t>Z</w:t>
      </w:r>
      <w:r w:rsidR="00EF7CFF" w:rsidRPr="00C41483">
        <w:rPr>
          <w:rFonts w:ascii="Times New Roman" w:hAnsi="Times New Roman"/>
          <w:sz w:val="24"/>
          <w:szCs w:val="24"/>
        </w:rPr>
        <w:t xml:space="preserve">a poticanje zapošljavanja osoba s invaliditetom osobito se važnim pokazalo uvođenje kvotnog sustava zapošljavanja koji obvezuje sve poslodavce (iz javnog i iz privatnog sektora) koji zapošljavaju najmanje 20 radnika da zaposle određeni broj osoba invaliditetom. Kvota iznosi 3% u odnosu na ukupan broj zaposlenih. Osim zapošljavanjem osoba s invaliditetom, </w:t>
      </w:r>
      <w:proofErr w:type="spellStart"/>
      <w:r w:rsidR="00EF7CFF" w:rsidRPr="00C41483">
        <w:rPr>
          <w:rFonts w:ascii="Times New Roman" w:hAnsi="Times New Roman"/>
          <w:sz w:val="24"/>
          <w:szCs w:val="24"/>
        </w:rPr>
        <w:t>kvotna</w:t>
      </w:r>
      <w:proofErr w:type="spellEnd"/>
      <w:r w:rsidR="00EF7CFF" w:rsidRPr="00C41483">
        <w:rPr>
          <w:rFonts w:ascii="Times New Roman" w:hAnsi="Times New Roman"/>
          <w:sz w:val="24"/>
          <w:szCs w:val="24"/>
        </w:rPr>
        <w:t xml:space="preserve"> obveza se može ispuniti i na niz zamjenskih načina </w:t>
      </w:r>
      <w:bookmarkStart w:id="122" w:name="_Hlk81831147"/>
      <w:r w:rsidR="00EF7CFF" w:rsidRPr="00C41483">
        <w:rPr>
          <w:rFonts w:ascii="Times New Roman" w:hAnsi="Times New Roman"/>
          <w:sz w:val="24"/>
          <w:szCs w:val="24"/>
        </w:rPr>
        <w:t>koji uključuju:</w:t>
      </w:r>
      <w:r w:rsidR="00EF7CFF" w:rsidRPr="00C41483">
        <w:t xml:space="preserve"> </w:t>
      </w:r>
      <w:r w:rsidR="00EF7CFF" w:rsidRPr="00C41483">
        <w:rPr>
          <w:rFonts w:ascii="Times New Roman" w:hAnsi="Times New Roman"/>
          <w:sz w:val="24"/>
          <w:szCs w:val="24"/>
        </w:rPr>
        <w:t xml:space="preserve">primanje na praksu učenika s teškoćama, studenata, </w:t>
      </w:r>
      <w:proofErr w:type="spellStart"/>
      <w:r w:rsidR="00EF7CFF" w:rsidRPr="00C41483">
        <w:rPr>
          <w:rFonts w:ascii="Times New Roman" w:hAnsi="Times New Roman"/>
          <w:sz w:val="24"/>
          <w:szCs w:val="24"/>
        </w:rPr>
        <w:t>rehabilitanata</w:t>
      </w:r>
      <w:proofErr w:type="spellEnd"/>
      <w:r w:rsidR="00EF7CFF" w:rsidRPr="00C41483">
        <w:rPr>
          <w:rFonts w:ascii="Times New Roman" w:hAnsi="Times New Roman"/>
          <w:sz w:val="24"/>
          <w:szCs w:val="24"/>
        </w:rPr>
        <w:t>; zapošljavanje studenata s invaliditetom; primanje osoba s invaliditetom na stručno osposobljavanje za rad; stipendiranje redovnog školovanja osoba s invaliditetom; sklapanje ugovora o poslovnoj suradnji sa samozaposlenom osobom s  invaliditetom; sklapanje ugovora o poslovnoj suradnji sa zaštitnim i integrativnim radionicama, kao i trgovačkim društvima, zadrugama i udrugama u kojima više od polovine radnika čine osobe s invaliditetom.</w:t>
      </w:r>
      <w:bookmarkEnd w:id="122"/>
      <w:r w:rsidR="00EF7CFF" w:rsidRPr="00C41483">
        <w:t xml:space="preserve"> </w:t>
      </w:r>
      <w:r w:rsidR="00EF7CFF" w:rsidRPr="00C41483">
        <w:rPr>
          <w:rFonts w:ascii="Times New Roman" w:hAnsi="Times New Roman"/>
          <w:sz w:val="24"/>
          <w:szCs w:val="24"/>
        </w:rPr>
        <w:t xml:space="preserve">Poslodavci koji ne ispune kvotu niti zapošljavanjem niti na zamjenski način, obveznici su plaćanja novčane naknade. U slučaju da poslodavci sami ne ispune obvezu plaćanja novčane naknade, ZOSI donosi rješenje kojim im utvrđuje navedenu obvezu. Rješenje ZOSI-a je ovršna isprava na temelju koje se pokreće postupak prisilne naplate novčane naknade. S obzirom da se </w:t>
      </w:r>
      <w:proofErr w:type="spellStart"/>
      <w:r w:rsidR="00EF7CFF" w:rsidRPr="00C41483">
        <w:rPr>
          <w:rFonts w:ascii="Times New Roman" w:hAnsi="Times New Roman"/>
          <w:sz w:val="24"/>
          <w:szCs w:val="24"/>
        </w:rPr>
        <w:t>kvotna</w:t>
      </w:r>
      <w:proofErr w:type="spellEnd"/>
      <w:r w:rsidR="00EF7CFF" w:rsidRPr="00C41483">
        <w:rPr>
          <w:rFonts w:ascii="Times New Roman" w:hAnsi="Times New Roman"/>
          <w:sz w:val="24"/>
          <w:szCs w:val="24"/>
        </w:rPr>
        <w:t xml:space="preserve"> obveza utvrđuje mjesečno, sa stanjem na zadnji dan u mjesecu, broj obveznika varira. Prosječno se tijekom godine evidentira oko 9.000 poslodavaca – obveznika kvote. U razdoblju</w:t>
      </w:r>
      <w:r w:rsidR="00EF7CFF" w:rsidRPr="00C41483">
        <w:t xml:space="preserve"> </w:t>
      </w:r>
      <w:r w:rsidR="00EF7CFF" w:rsidRPr="00C41483">
        <w:rPr>
          <w:rFonts w:ascii="Times New Roman" w:hAnsi="Times New Roman"/>
          <w:sz w:val="24"/>
          <w:szCs w:val="24"/>
        </w:rPr>
        <w:t>od 2015. do 2020. godine, zabilježeno je značajno povećanje broja poslodavaca - korisnika zamjenske kvote, i to putem ugovora o poslovnoj suradnji sa zaštitnim i integrativnim radionicama, što je ujedno doprinijelo održivosti poslovanja ovih subjekata. Također, važno je istaknuti povećanje broja obveznika koji zapošljavaju osobe s invaliditetom iznad propisane kvote, kao i povećanje broja poslodavaca koji nisu obveznici, a ipak su se odlučili na zapošljavanje osoba s invaliditetom. Navedeno je rezultiralo kontinuiranim rastom broja zaposlenih osoba s invaliditetom prijavljenih u Očevidnik zaposlenih osoba s invaliditetom (</w:t>
      </w:r>
      <w:r w:rsidR="00EF7CFF" w:rsidRPr="00C41483">
        <w:rPr>
          <w:rFonts w:ascii="Times New Roman" w:hAnsi="Times New Roman"/>
          <w:i/>
          <w:iCs/>
          <w:sz w:val="24"/>
          <w:szCs w:val="24"/>
        </w:rPr>
        <w:t xml:space="preserve">prilog </w:t>
      </w:r>
      <w:r w:rsidR="0092021D" w:rsidRPr="00C41483">
        <w:rPr>
          <w:rFonts w:ascii="Times New Roman" w:hAnsi="Times New Roman"/>
          <w:i/>
          <w:iCs/>
          <w:sz w:val="24"/>
          <w:szCs w:val="24"/>
        </w:rPr>
        <w:t>3</w:t>
      </w:r>
      <w:r w:rsidR="0004763D" w:rsidRPr="00C41483">
        <w:rPr>
          <w:rFonts w:ascii="Times New Roman" w:hAnsi="Times New Roman"/>
          <w:i/>
          <w:iCs/>
          <w:sz w:val="24"/>
          <w:szCs w:val="24"/>
        </w:rPr>
        <w:t>7</w:t>
      </w:r>
      <w:r w:rsidR="00EF7CFF" w:rsidRPr="00C41483">
        <w:rPr>
          <w:rFonts w:ascii="Times New Roman" w:hAnsi="Times New Roman"/>
          <w:sz w:val="24"/>
          <w:szCs w:val="24"/>
        </w:rPr>
        <w:t>).</w:t>
      </w:r>
    </w:p>
    <w:p w14:paraId="52FB16F9" w14:textId="38757068" w:rsidR="00531C6F" w:rsidRPr="00C41483" w:rsidRDefault="00531C6F" w:rsidP="00EF7CFF">
      <w:pPr>
        <w:pStyle w:val="Bezproreda"/>
        <w:jc w:val="both"/>
        <w:rPr>
          <w:rFonts w:ascii="Times New Roman" w:hAnsi="Times New Roman"/>
          <w:sz w:val="24"/>
          <w:szCs w:val="24"/>
        </w:rPr>
      </w:pPr>
    </w:p>
    <w:p w14:paraId="6E5DA71C" w14:textId="3B1EEF27" w:rsidR="00EF7CFF" w:rsidRPr="00C41483" w:rsidRDefault="000D4272" w:rsidP="00531C6F">
      <w:pPr>
        <w:pStyle w:val="Bezproreda"/>
        <w:jc w:val="both"/>
        <w:rPr>
          <w:rFonts w:ascii="Times New Roman" w:hAnsi="Times New Roman"/>
          <w:sz w:val="24"/>
          <w:szCs w:val="24"/>
        </w:rPr>
      </w:pPr>
      <w:r w:rsidRPr="00C41483">
        <w:rPr>
          <w:rFonts w:ascii="Times New Roman" w:hAnsi="Times New Roman"/>
          <w:sz w:val="24"/>
          <w:szCs w:val="24"/>
        </w:rPr>
        <w:t>(1</w:t>
      </w:r>
      <w:r w:rsidR="00531C6F" w:rsidRPr="00C41483">
        <w:rPr>
          <w:rFonts w:ascii="Times New Roman" w:hAnsi="Times New Roman"/>
          <w:sz w:val="24"/>
          <w:szCs w:val="24"/>
        </w:rPr>
        <w:t>5</w:t>
      </w:r>
      <w:r w:rsidR="00E8616D" w:rsidRPr="00C41483">
        <w:rPr>
          <w:rFonts w:ascii="Times New Roman" w:hAnsi="Times New Roman"/>
          <w:sz w:val="24"/>
          <w:szCs w:val="24"/>
        </w:rPr>
        <w:t>4</w:t>
      </w:r>
      <w:r w:rsidRPr="00C41483">
        <w:rPr>
          <w:rFonts w:ascii="Times New Roman" w:hAnsi="Times New Roman"/>
          <w:sz w:val="24"/>
          <w:szCs w:val="24"/>
        </w:rPr>
        <w:t xml:space="preserve">) </w:t>
      </w:r>
      <w:r w:rsidR="00EF7CFF" w:rsidRPr="00C41483">
        <w:rPr>
          <w:rFonts w:ascii="Times New Roman" w:hAnsi="Times New Roman"/>
          <w:sz w:val="24"/>
          <w:szCs w:val="24"/>
        </w:rPr>
        <w:t>Imajući u vidu važnost senzibilizacije javnosti o mogućnostima i prednostima zapošljavanja osoba s invaliditetom, organizirana su brojna događanja među kojima treba istaknuti projekt „Poslodavac godine za osobe s invaliditetom“. U okviru projekta dodjeljuju se nagrade poslodavcima koji svoju kvotnu obvezu ispunjavaju isključivo zapošljavanjem osoba s invaliditetom. Nagrada se dodjeljuje u 5 kategorija: mikro, mali, srednji, veliki poslodavac i poslodavac iz javnog sektora, te u izdvojenoj kategoriji „Primjer dobre prakse“. Projekt provodi ZOSI u suradnji s partnerskim institucijama: HZZ-om, Hrvatskom udrugom poslodavaca, Institutom za razvoj tržišta rada, Portalom Moj posao te Zajednicom saveza osoba s invaliditetom Hrvatske – SOIH.</w:t>
      </w:r>
    </w:p>
    <w:p w14:paraId="19E0CCBE" w14:textId="77777777" w:rsidR="00EF7CFF" w:rsidRPr="00C41483" w:rsidRDefault="00EF7CFF" w:rsidP="00531C6F">
      <w:pPr>
        <w:pStyle w:val="Bezproreda"/>
        <w:jc w:val="both"/>
        <w:rPr>
          <w:rFonts w:ascii="Times New Roman" w:hAnsi="Times New Roman"/>
          <w:sz w:val="24"/>
          <w:szCs w:val="24"/>
        </w:rPr>
      </w:pPr>
    </w:p>
    <w:p w14:paraId="601B5A55" w14:textId="4857028A" w:rsidR="00EF7CFF" w:rsidRPr="00C41483" w:rsidRDefault="001549BB" w:rsidP="00531C6F">
      <w:pPr>
        <w:spacing w:after="0" w:line="240" w:lineRule="auto"/>
        <w:jc w:val="both"/>
        <w:rPr>
          <w:rFonts w:ascii="Times New Roman" w:hAnsi="Times New Roman" w:cs="Times New Roman"/>
          <w:sz w:val="24"/>
          <w:szCs w:val="24"/>
        </w:rPr>
      </w:pPr>
      <w:r w:rsidRPr="00C41483">
        <w:rPr>
          <w:rFonts w:ascii="Times New Roman" w:hAnsi="Times New Roman" w:cs="Times New Roman"/>
          <w:sz w:val="24"/>
          <w:szCs w:val="24"/>
        </w:rPr>
        <w:t>(1</w:t>
      </w:r>
      <w:r w:rsidR="00531C6F" w:rsidRPr="00C41483">
        <w:rPr>
          <w:rFonts w:ascii="Times New Roman" w:hAnsi="Times New Roman" w:cs="Times New Roman"/>
          <w:sz w:val="24"/>
          <w:szCs w:val="24"/>
        </w:rPr>
        <w:t>5</w:t>
      </w:r>
      <w:r w:rsidR="00E8616D" w:rsidRPr="00C41483">
        <w:rPr>
          <w:rFonts w:ascii="Times New Roman" w:hAnsi="Times New Roman" w:cs="Times New Roman"/>
          <w:sz w:val="24"/>
          <w:szCs w:val="24"/>
        </w:rPr>
        <w:t>5</w:t>
      </w:r>
      <w:r w:rsidRPr="00C41483">
        <w:rPr>
          <w:rFonts w:ascii="Times New Roman" w:hAnsi="Times New Roman" w:cs="Times New Roman"/>
          <w:sz w:val="24"/>
          <w:szCs w:val="24"/>
        </w:rPr>
        <w:t xml:space="preserve">) </w:t>
      </w:r>
      <w:r w:rsidR="00EF7CFF" w:rsidRPr="00C41483">
        <w:rPr>
          <w:rFonts w:ascii="Times New Roman" w:hAnsi="Times New Roman" w:cs="Times New Roman"/>
          <w:sz w:val="24"/>
          <w:szCs w:val="24"/>
        </w:rPr>
        <w:t>U razdoblju od 2015. do 2020. godine, uvedene su značajne izmjene u zakonskoj regulativi koja uređuje područje profesionalne rehabilitacije i zapošljavanja osoba s invaliditetom.</w:t>
      </w:r>
    </w:p>
    <w:p w14:paraId="6E20B212" w14:textId="77777777" w:rsidR="00531C6F" w:rsidRPr="00C41483" w:rsidRDefault="00531C6F" w:rsidP="00531C6F">
      <w:pPr>
        <w:spacing w:after="0" w:line="240" w:lineRule="auto"/>
        <w:jc w:val="both"/>
        <w:rPr>
          <w:rFonts w:ascii="Times New Roman" w:hAnsi="Times New Roman" w:cs="Times New Roman"/>
          <w:sz w:val="24"/>
          <w:szCs w:val="24"/>
        </w:rPr>
      </w:pPr>
    </w:p>
    <w:p w14:paraId="14654965" w14:textId="23CD4B99" w:rsidR="00EF7CFF" w:rsidRPr="00C41483" w:rsidRDefault="001549BB" w:rsidP="00531C6F">
      <w:pPr>
        <w:spacing w:after="0" w:line="240" w:lineRule="auto"/>
        <w:jc w:val="both"/>
        <w:rPr>
          <w:rFonts w:ascii="Times New Roman" w:hAnsi="Times New Roman" w:cs="Times New Roman"/>
          <w:sz w:val="24"/>
          <w:szCs w:val="24"/>
        </w:rPr>
      </w:pPr>
      <w:r w:rsidRPr="00C41483">
        <w:rPr>
          <w:rFonts w:ascii="Times New Roman" w:hAnsi="Times New Roman" w:cs="Times New Roman"/>
          <w:sz w:val="24"/>
          <w:szCs w:val="24"/>
        </w:rPr>
        <w:t>(15</w:t>
      </w:r>
      <w:r w:rsidR="00E8616D" w:rsidRPr="00C41483">
        <w:rPr>
          <w:rFonts w:ascii="Times New Roman" w:hAnsi="Times New Roman" w:cs="Times New Roman"/>
          <w:sz w:val="24"/>
          <w:szCs w:val="24"/>
        </w:rPr>
        <w:t>6</w:t>
      </w:r>
      <w:r w:rsidRPr="00C41483">
        <w:rPr>
          <w:rFonts w:ascii="Times New Roman" w:hAnsi="Times New Roman" w:cs="Times New Roman"/>
          <w:sz w:val="24"/>
          <w:szCs w:val="24"/>
        </w:rPr>
        <w:t xml:space="preserve">) </w:t>
      </w:r>
      <w:bookmarkStart w:id="123" w:name="_Hlk83111700"/>
      <w:r w:rsidR="00EF7CFF" w:rsidRPr="00C41483">
        <w:rPr>
          <w:rFonts w:ascii="Times New Roman" w:hAnsi="Times New Roman" w:cs="Times New Roman"/>
          <w:sz w:val="24"/>
          <w:szCs w:val="24"/>
        </w:rPr>
        <w:t>Izmjenama i dopunama Zakona o profesionalnoj rehabilitaciji i zapošljavanju osoba s invaliditetom (</w:t>
      </w:r>
      <w:r w:rsidR="0093379F" w:rsidRPr="00C41483">
        <w:rPr>
          <w:rFonts w:ascii="Times New Roman" w:hAnsi="Times New Roman" w:cs="Times New Roman"/>
          <w:sz w:val="24"/>
          <w:szCs w:val="24"/>
        </w:rPr>
        <w:t>2018.</w:t>
      </w:r>
      <w:r w:rsidR="00EF7CFF" w:rsidRPr="00C41483">
        <w:rPr>
          <w:rFonts w:ascii="Times New Roman" w:hAnsi="Times New Roman" w:cs="Times New Roman"/>
          <w:sz w:val="24"/>
          <w:szCs w:val="24"/>
        </w:rPr>
        <w:t>) omogućeno je znatno brže i lakše uključivanje nezaposlenih osoba s invaliditetom u postupak profesionalne rehabilitacije (</w:t>
      </w:r>
      <w:r w:rsidR="00EF7CFF" w:rsidRPr="00C41483">
        <w:rPr>
          <w:rFonts w:ascii="Times New Roman" w:hAnsi="Times New Roman" w:cs="Times New Roman"/>
          <w:i/>
          <w:iCs/>
          <w:sz w:val="24"/>
          <w:szCs w:val="24"/>
        </w:rPr>
        <w:t xml:space="preserve">prilog </w:t>
      </w:r>
      <w:r w:rsidR="0092021D" w:rsidRPr="00C41483">
        <w:rPr>
          <w:rFonts w:ascii="Times New Roman" w:hAnsi="Times New Roman" w:cs="Times New Roman"/>
          <w:i/>
          <w:iCs/>
          <w:sz w:val="24"/>
          <w:szCs w:val="24"/>
        </w:rPr>
        <w:t>3</w:t>
      </w:r>
      <w:r w:rsidR="0004763D" w:rsidRPr="00C41483">
        <w:rPr>
          <w:rFonts w:ascii="Times New Roman" w:hAnsi="Times New Roman" w:cs="Times New Roman"/>
          <w:i/>
          <w:iCs/>
          <w:sz w:val="24"/>
          <w:szCs w:val="24"/>
        </w:rPr>
        <w:t>8</w:t>
      </w:r>
      <w:r w:rsidR="00EF7CFF" w:rsidRPr="00C41483">
        <w:rPr>
          <w:rFonts w:ascii="Times New Roman" w:hAnsi="Times New Roman" w:cs="Times New Roman"/>
          <w:sz w:val="24"/>
          <w:szCs w:val="24"/>
        </w:rPr>
        <w:t xml:space="preserve">). </w:t>
      </w:r>
    </w:p>
    <w:p w14:paraId="6CE696B1" w14:textId="071447BE" w:rsidR="00531C6F" w:rsidRPr="00C41483" w:rsidRDefault="00531C6F" w:rsidP="00531C6F">
      <w:pPr>
        <w:spacing w:after="0" w:line="240" w:lineRule="auto"/>
        <w:jc w:val="both"/>
        <w:rPr>
          <w:rFonts w:ascii="Times New Roman" w:hAnsi="Times New Roman" w:cs="Times New Roman"/>
          <w:sz w:val="24"/>
          <w:szCs w:val="24"/>
        </w:rPr>
      </w:pPr>
    </w:p>
    <w:bookmarkEnd w:id="123"/>
    <w:p w14:paraId="0CBD6B5B" w14:textId="65720EB8" w:rsidR="00EF7CFF" w:rsidRPr="00C41483" w:rsidRDefault="001549BB" w:rsidP="00531C6F">
      <w:pPr>
        <w:spacing w:after="0" w:line="240" w:lineRule="auto"/>
        <w:jc w:val="both"/>
        <w:rPr>
          <w:rFonts w:ascii="Times New Roman" w:hAnsi="Times New Roman" w:cs="Times New Roman"/>
          <w:sz w:val="24"/>
          <w:szCs w:val="24"/>
        </w:rPr>
      </w:pPr>
      <w:r w:rsidRPr="00C41483">
        <w:rPr>
          <w:rFonts w:ascii="Times New Roman" w:hAnsi="Times New Roman" w:cs="Times New Roman"/>
          <w:sz w:val="24"/>
          <w:szCs w:val="24"/>
        </w:rPr>
        <w:t>(1</w:t>
      </w:r>
      <w:r w:rsidR="00531C6F" w:rsidRPr="00C41483">
        <w:rPr>
          <w:rFonts w:ascii="Times New Roman" w:hAnsi="Times New Roman" w:cs="Times New Roman"/>
          <w:sz w:val="24"/>
          <w:szCs w:val="24"/>
        </w:rPr>
        <w:t>5</w:t>
      </w:r>
      <w:r w:rsidR="00E8616D" w:rsidRPr="00C41483">
        <w:rPr>
          <w:rFonts w:ascii="Times New Roman" w:hAnsi="Times New Roman" w:cs="Times New Roman"/>
          <w:sz w:val="24"/>
          <w:szCs w:val="24"/>
        </w:rPr>
        <w:t>7</w:t>
      </w:r>
      <w:r w:rsidRPr="00C41483">
        <w:rPr>
          <w:rFonts w:ascii="Times New Roman" w:hAnsi="Times New Roman" w:cs="Times New Roman"/>
          <w:sz w:val="24"/>
          <w:szCs w:val="24"/>
        </w:rPr>
        <w:t xml:space="preserve">) </w:t>
      </w:r>
      <w:bookmarkStart w:id="124" w:name="_Hlk83111723"/>
      <w:r w:rsidR="00EF7CFF" w:rsidRPr="00C41483">
        <w:rPr>
          <w:rFonts w:ascii="Times New Roman" w:hAnsi="Times New Roman" w:cs="Times New Roman"/>
          <w:sz w:val="24"/>
          <w:szCs w:val="24"/>
        </w:rPr>
        <w:t xml:space="preserve">Osim toga, uvedena je obveza osiguranja razumne prilagodbe </w:t>
      </w:r>
      <w:bookmarkStart w:id="125" w:name="_Hlk78978731"/>
      <w:r w:rsidR="00EF7CFF" w:rsidRPr="00C41483">
        <w:rPr>
          <w:rFonts w:ascii="Times New Roman" w:hAnsi="Times New Roman" w:cs="Times New Roman"/>
          <w:sz w:val="24"/>
          <w:szCs w:val="24"/>
        </w:rPr>
        <w:t>prilikom provođenja natječajnog postupka</w:t>
      </w:r>
      <w:bookmarkEnd w:id="125"/>
      <w:r w:rsidR="00EF7CFF" w:rsidRPr="00C41483">
        <w:rPr>
          <w:rFonts w:ascii="Times New Roman" w:hAnsi="Times New Roman" w:cs="Times New Roman"/>
          <w:sz w:val="24"/>
          <w:szCs w:val="24"/>
        </w:rPr>
        <w:t xml:space="preserve">, odnosno testiranja i/ili intervjua jer se u praksi pokazalo da osobe s </w:t>
      </w:r>
      <w:r w:rsidR="00EF7CFF" w:rsidRPr="00C41483">
        <w:rPr>
          <w:rFonts w:ascii="Times New Roman" w:hAnsi="Times New Roman" w:cs="Times New Roman"/>
          <w:sz w:val="24"/>
          <w:szCs w:val="24"/>
        </w:rPr>
        <w:lastRenderedPageBreak/>
        <w:t xml:space="preserve">invaliditetom već u toj fazi nailaze na prepreke u pristupu tržištu rada. Kako bi informirali poslodavce o mogućim načinima prilagodbe radnog mjesta te poticajima koje u tu svrhu mogu ostvariti, izdan je </w:t>
      </w:r>
      <w:r w:rsidR="00EF7CFF" w:rsidRPr="00C41483">
        <w:rPr>
          <w:rFonts w:ascii="Times New Roman" w:hAnsi="Times New Roman" w:cs="Times New Roman"/>
          <w:i/>
          <w:iCs/>
          <w:sz w:val="24"/>
          <w:szCs w:val="24"/>
        </w:rPr>
        <w:t>Priručnik s preporukama za razumnu prilagodbu radnog mjesta</w:t>
      </w:r>
      <w:r w:rsidR="00EF7CFF" w:rsidRPr="00C41483">
        <w:rPr>
          <w:rFonts w:ascii="Times New Roman" w:hAnsi="Times New Roman" w:cs="Times New Roman"/>
          <w:sz w:val="24"/>
          <w:szCs w:val="24"/>
        </w:rPr>
        <w:t xml:space="preserve"> koji je dostupan u tiskanom i digitalnom obliku, na mrežnim stranicama ZOSI-a (</w:t>
      </w:r>
      <w:hyperlink r:id="rId14" w:history="1">
        <w:r w:rsidR="00EF7CFF" w:rsidRPr="00C41483">
          <w:rPr>
            <w:rStyle w:val="Hiperveza"/>
            <w:rFonts w:ascii="Times New Roman" w:hAnsi="Times New Roman" w:cs="Times New Roman"/>
            <w:sz w:val="24"/>
            <w:szCs w:val="24"/>
          </w:rPr>
          <w:t>www.zosi.hr</w:t>
        </w:r>
      </w:hyperlink>
      <w:r w:rsidR="00EF7CFF" w:rsidRPr="00C41483">
        <w:rPr>
          <w:rFonts w:ascii="Times New Roman" w:hAnsi="Times New Roman" w:cs="Times New Roman"/>
          <w:sz w:val="24"/>
          <w:szCs w:val="24"/>
        </w:rPr>
        <w:t>).</w:t>
      </w:r>
      <w:r w:rsidR="00EF7CFF" w:rsidRPr="00C41483">
        <w:t xml:space="preserve"> </w:t>
      </w:r>
      <w:r w:rsidR="00EF7CFF" w:rsidRPr="00C41483">
        <w:rPr>
          <w:rFonts w:ascii="Times New Roman" w:hAnsi="Times New Roman" w:cs="Times New Roman"/>
          <w:sz w:val="24"/>
          <w:szCs w:val="24"/>
        </w:rPr>
        <w:t>U slučaju da poslodavci propuste osigurati razumnu prilagodbu osobama s invaliditetom, predviđena je novčana kazna (</w:t>
      </w:r>
      <w:r w:rsidR="00EF7CFF" w:rsidRPr="00C41483">
        <w:rPr>
          <w:rFonts w:ascii="Times New Roman" w:hAnsi="Times New Roman" w:cs="Times New Roman"/>
          <w:i/>
          <w:iCs/>
          <w:sz w:val="24"/>
          <w:szCs w:val="24"/>
        </w:rPr>
        <w:t xml:space="preserve">prilog </w:t>
      </w:r>
      <w:r w:rsidR="0092021D" w:rsidRPr="00C41483">
        <w:rPr>
          <w:rFonts w:ascii="Times New Roman" w:hAnsi="Times New Roman" w:cs="Times New Roman"/>
          <w:i/>
          <w:iCs/>
          <w:sz w:val="24"/>
          <w:szCs w:val="24"/>
        </w:rPr>
        <w:t>3</w:t>
      </w:r>
      <w:r w:rsidR="0004763D" w:rsidRPr="00C41483">
        <w:rPr>
          <w:rFonts w:ascii="Times New Roman" w:hAnsi="Times New Roman" w:cs="Times New Roman"/>
          <w:i/>
          <w:iCs/>
          <w:sz w:val="24"/>
          <w:szCs w:val="24"/>
        </w:rPr>
        <w:t>9</w:t>
      </w:r>
      <w:r w:rsidR="00EF7CFF" w:rsidRPr="00C41483">
        <w:rPr>
          <w:rFonts w:ascii="Times New Roman" w:hAnsi="Times New Roman" w:cs="Times New Roman"/>
          <w:sz w:val="24"/>
          <w:szCs w:val="24"/>
        </w:rPr>
        <w:t xml:space="preserve">). </w:t>
      </w:r>
    </w:p>
    <w:p w14:paraId="4C648877" w14:textId="66A14C84" w:rsidR="00531C6F" w:rsidRPr="00C41483" w:rsidRDefault="00531C6F" w:rsidP="00531C6F">
      <w:pPr>
        <w:spacing w:after="0" w:line="240" w:lineRule="auto"/>
        <w:jc w:val="both"/>
        <w:rPr>
          <w:rFonts w:ascii="Times New Roman" w:hAnsi="Times New Roman" w:cs="Times New Roman"/>
          <w:sz w:val="24"/>
          <w:szCs w:val="24"/>
        </w:rPr>
      </w:pPr>
    </w:p>
    <w:bookmarkEnd w:id="124"/>
    <w:p w14:paraId="59CC365B" w14:textId="0A728CA8" w:rsidR="00EF7CFF" w:rsidRPr="00C41483" w:rsidRDefault="001549BB" w:rsidP="00531C6F">
      <w:pPr>
        <w:spacing w:after="0" w:line="240" w:lineRule="auto"/>
        <w:jc w:val="both"/>
        <w:rPr>
          <w:rFonts w:ascii="Times New Roman" w:hAnsi="Times New Roman" w:cs="Times New Roman"/>
          <w:sz w:val="24"/>
          <w:szCs w:val="24"/>
        </w:rPr>
      </w:pPr>
      <w:r w:rsidRPr="00C41483">
        <w:rPr>
          <w:rFonts w:ascii="Times New Roman" w:hAnsi="Times New Roman" w:cs="Times New Roman"/>
          <w:sz w:val="24"/>
          <w:szCs w:val="24"/>
        </w:rPr>
        <w:t>(1</w:t>
      </w:r>
      <w:r w:rsidR="00531C6F" w:rsidRPr="00C41483">
        <w:rPr>
          <w:rFonts w:ascii="Times New Roman" w:hAnsi="Times New Roman" w:cs="Times New Roman"/>
          <w:sz w:val="24"/>
          <w:szCs w:val="24"/>
        </w:rPr>
        <w:t>5</w:t>
      </w:r>
      <w:r w:rsidR="00E8616D" w:rsidRPr="00C41483">
        <w:rPr>
          <w:rFonts w:ascii="Times New Roman" w:hAnsi="Times New Roman" w:cs="Times New Roman"/>
          <w:sz w:val="24"/>
          <w:szCs w:val="24"/>
        </w:rPr>
        <w:t>8</w:t>
      </w:r>
      <w:r w:rsidRPr="00C41483">
        <w:rPr>
          <w:rFonts w:ascii="Times New Roman" w:hAnsi="Times New Roman" w:cs="Times New Roman"/>
          <w:sz w:val="24"/>
          <w:szCs w:val="24"/>
        </w:rPr>
        <w:t xml:space="preserve">) </w:t>
      </w:r>
      <w:bookmarkStart w:id="126" w:name="_Hlk83111765"/>
      <w:r w:rsidR="0093379F" w:rsidRPr="00C41483">
        <w:rPr>
          <w:rFonts w:ascii="Times New Roman" w:hAnsi="Times New Roman" w:cs="Times New Roman"/>
          <w:sz w:val="24"/>
          <w:szCs w:val="24"/>
        </w:rPr>
        <w:t>I</w:t>
      </w:r>
      <w:r w:rsidR="00EF7CFF" w:rsidRPr="00C41483">
        <w:rPr>
          <w:rFonts w:ascii="Times New Roman" w:hAnsi="Times New Roman" w:cs="Times New Roman"/>
          <w:sz w:val="24"/>
          <w:szCs w:val="24"/>
        </w:rPr>
        <w:t>zmjenama i dopunama Zakona proširena je namjena sredstava novčane naknade kako bi se ta sredstva mogla koristiti za razvoj sustava profesionalne rehabilitacije, kao i za poticaje, projekte i programe za zapošljavanje osoba s invaliditetom, koje osim ZOSI-a, provode i drugi proračunski i izvanproračunski korisnici. Sustav profesionalne rehabilitacije prepoznat je kao ključan faktor u osposobljavanju osoba s invaliditetom za rad, pa je stoga Vlada R</w:t>
      </w:r>
      <w:r w:rsidR="00DB6820" w:rsidRPr="00C41483">
        <w:rPr>
          <w:rFonts w:ascii="Times New Roman" w:hAnsi="Times New Roman" w:cs="Times New Roman"/>
          <w:sz w:val="24"/>
          <w:szCs w:val="24"/>
        </w:rPr>
        <w:t xml:space="preserve">H </w:t>
      </w:r>
      <w:r w:rsidR="00EF7CFF" w:rsidRPr="00C41483">
        <w:rPr>
          <w:rFonts w:ascii="Times New Roman" w:hAnsi="Times New Roman" w:cs="Times New Roman"/>
          <w:sz w:val="24"/>
          <w:szCs w:val="24"/>
        </w:rPr>
        <w:t xml:space="preserve">u siječnju 2019. godine u cijelosti preuzela osnivačka prava nad Centrima za profesionalnu rehabilitaciju Zagreb, Rijeka, Osijek i Split. Centri su postali korisnici državnog proračuna, čime su osigurani uvjeti za njihovu financijsku stabilnost i nesmetano funkcioniranje. </w:t>
      </w:r>
      <w:bookmarkEnd w:id="126"/>
    </w:p>
    <w:p w14:paraId="3DFE5C88" w14:textId="77777777" w:rsidR="00531C6F" w:rsidRPr="00C41483" w:rsidRDefault="00531C6F" w:rsidP="00531C6F">
      <w:pPr>
        <w:spacing w:after="0" w:line="240" w:lineRule="auto"/>
        <w:jc w:val="both"/>
        <w:rPr>
          <w:rFonts w:ascii="Times New Roman" w:hAnsi="Times New Roman" w:cs="Times New Roman"/>
          <w:sz w:val="24"/>
          <w:szCs w:val="24"/>
        </w:rPr>
      </w:pPr>
    </w:p>
    <w:p w14:paraId="0A4E3906" w14:textId="53543788" w:rsidR="00EF7CFF" w:rsidRPr="00C41483" w:rsidRDefault="001549BB" w:rsidP="00531C6F">
      <w:pPr>
        <w:spacing w:after="0" w:line="240" w:lineRule="auto"/>
        <w:jc w:val="both"/>
        <w:rPr>
          <w:rFonts w:ascii="Times New Roman" w:hAnsi="Times New Roman" w:cs="Times New Roman"/>
          <w:sz w:val="24"/>
          <w:szCs w:val="24"/>
        </w:rPr>
      </w:pPr>
      <w:r w:rsidRPr="00C41483">
        <w:rPr>
          <w:rFonts w:ascii="Times New Roman" w:hAnsi="Times New Roman" w:cs="Times New Roman"/>
          <w:sz w:val="24"/>
          <w:szCs w:val="24"/>
        </w:rPr>
        <w:t>(1</w:t>
      </w:r>
      <w:r w:rsidR="00531C6F" w:rsidRPr="00C41483">
        <w:rPr>
          <w:rFonts w:ascii="Times New Roman" w:hAnsi="Times New Roman" w:cs="Times New Roman"/>
          <w:sz w:val="24"/>
          <w:szCs w:val="24"/>
        </w:rPr>
        <w:t>5</w:t>
      </w:r>
      <w:r w:rsidR="00E8616D" w:rsidRPr="00C41483">
        <w:rPr>
          <w:rFonts w:ascii="Times New Roman" w:hAnsi="Times New Roman" w:cs="Times New Roman"/>
          <w:sz w:val="24"/>
          <w:szCs w:val="24"/>
        </w:rPr>
        <w:t>9</w:t>
      </w:r>
      <w:r w:rsidRPr="00C41483">
        <w:rPr>
          <w:rFonts w:ascii="Times New Roman" w:hAnsi="Times New Roman" w:cs="Times New Roman"/>
          <w:sz w:val="24"/>
          <w:szCs w:val="24"/>
        </w:rPr>
        <w:t xml:space="preserve">) </w:t>
      </w:r>
      <w:r w:rsidR="00EF7CFF" w:rsidRPr="00C41483">
        <w:rPr>
          <w:rFonts w:ascii="Times New Roman" w:hAnsi="Times New Roman" w:cs="Times New Roman"/>
          <w:sz w:val="24"/>
          <w:szCs w:val="24"/>
        </w:rPr>
        <w:t>Kvaliteta u pružanju usluga profesionalne rehabilitacije dodatno je unaprijeđena donošenjem novog Pravilnika o profesionalnoj rehabilitaciji i centrima za profesionalnu rehabilitaciju (</w:t>
      </w:r>
      <w:r w:rsidR="0093379F" w:rsidRPr="00C41483">
        <w:rPr>
          <w:rFonts w:ascii="Times New Roman" w:hAnsi="Times New Roman" w:cs="Times New Roman"/>
          <w:sz w:val="24"/>
          <w:szCs w:val="24"/>
        </w:rPr>
        <w:t>2018.</w:t>
      </w:r>
      <w:r w:rsidR="00EF7CFF" w:rsidRPr="00C41483">
        <w:rPr>
          <w:rFonts w:ascii="Times New Roman" w:hAnsi="Times New Roman" w:cs="Times New Roman"/>
          <w:sz w:val="24"/>
          <w:szCs w:val="24"/>
        </w:rPr>
        <w:t>), čiji su sastavni dio Standardi usluga profesionalne rehabilitacije. Standardima se jasnije opisuju i definiraju sve usluge, način njihova provođenja, kriteriji uključivanja i ciljane skupine. Uz postojećih 10 usluga, predviđene su i dvije nove usluge: radno osposobljavanje na konkretnom radnom mjestu te obrazovanje, osposobljavanje ili usavršavanje s kraćim obrazovnim programom.</w:t>
      </w:r>
    </w:p>
    <w:p w14:paraId="14C735EB" w14:textId="77777777" w:rsidR="00531C6F" w:rsidRPr="00C41483" w:rsidRDefault="00531C6F" w:rsidP="00531C6F">
      <w:pPr>
        <w:spacing w:after="0" w:line="240" w:lineRule="auto"/>
        <w:jc w:val="both"/>
        <w:rPr>
          <w:rFonts w:ascii="Times New Roman" w:hAnsi="Times New Roman" w:cs="Times New Roman"/>
          <w:sz w:val="24"/>
          <w:szCs w:val="24"/>
        </w:rPr>
      </w:pPr>
    </w:p>
    <w:p w14:paraId="75EE473C" w14:textId="34A75F38" w:rsidR="00EF7CFF" w:rsidRPr="00C41483" w:rsidRDefault="001549BB" w:rsidP="00531C6F">
      <w:pPr>
        <w:spacing w:after="0" w:line="240" w:lineRule="auto"/>
        <w:jc w:val="both"/>
        <w:rPr>
          <w:rFonts w:ascii="Times New Roman" w:hAnsi="Times New Roman" w:cs="Times New Roman"/>
          <w:sz w:val="24"/>
          <w:szCs w:val="24"/>
        </w:rPr>
      </w:pPr>
      <w:r w:rsidRPr="00C41483">
        <w:rPr>
          <w:rFonts w:ascii="Times New Roman" w:hAnsi="Times New Roman" w:cs="Times New Roman"/>
          <w:sz w:val="24"/>
          <w:szCs w:val="24"/>
        </w:rPr>
        <w:t>(1</w:t>
      </w:r>
      <w:r w:rsidR="00E8616D" w:rsidRPr="00C41483">
        <w:rPr>
          <w:rFonts w:ascii="Times New Roman" w:hAnsi="Times New Roman" w:cs="Times New Roman"/>
          <w:sz w:val="24"/>
          <w:szCs w:val="24"/>
        </w:rPr>
        <w:t>60</w:t>
      </w:r>
      <w:r w:rsidRPr="00C41483">
        <w:rPr>
          <w:rFonts w:ascii="Times New Roman" w:hAnsi="Times New Roman" w:cs="Times New Roman"/>
          <w:sz w:val="24"/>
          <w:szCs w:val="24"/>
        </w:rPr>
        <w:t xml:space="preserve">) </w:t>
      </w:r>
      <w:r w:rsidR="00EF7CFF" w:rsidRPr="00C41483">
        <w:rPr>
          <w:rFonts w:ascii="Times New Roman" w:hAnsi="Times New Roman" w:cs="Times New Roman"/>
          <w:sz w:val="24"/>
          <w:szCs w:val="24"/>
        </w:rPr>
        <w:t>Bitni pomaci učinjeni su i u području zapošljavanja osoba s invaliditetom. Kako bi potaknuli poslodavce da svoju kvotnu obvezu, umjesto plaćanjem novčane naknade, ispune na jedan od zamjenskih načina, omogućeno im je korištenje zamjenske kvote pod znatno povoljnijim uvjetima. Donošenjem Pravilnika o utvrđivanju kvote za zapošljavanje osoba s invaliditetom (</w:t>
      </w:r>
      <w:r w:rsidR="0093379F" w:rsidRPr="00C41483">
        <w:rPr>
          <w:rFonts w:ascii="Times New Roman" w:hAnsi="Times New Roman" w:cs="Times New Roman"/>
          <w:sz w:val="24"/>
          <w:szCs w:val="24"/>
        </w:rPr>
        <w:t>2018.</w:t>
      </w:r>
      <w:r w:rsidR="00EF7CFF" w:rsidRPr="00C41483">
        <w:rPr>
          <w:rFonts w:ascii="Times New Roman" w:hAnsi="Times New Roman" w:cs="Times New Roman"/>
          <w:sz w:val="24"/>
          <w:szCs w:val="24"/>
        </w:rPr>
        <w:t>), mjesečna vrijednost zamjenske kvote izjednačena je s iznosom novčane naknade, što je rezultiralo i značajnim povećanjem broja poslodavaca korisnika zamjenske kvote. Usporedbe radi, na dan 31. prosinca 2015. godine evidentiran</w:t>
      </w:r>
      <w:r w:rsidR="002D4058" w:rsidRPr="00C41483">
        <w:rPr>
          <w:rFonts w:ascii="Times New Roman" w:hAnsi="Times New Roman" w:cs="Times New Roman"/>
          <w:sz w:val="24"/>
          <w:szCs w:val="24"/>
        </w:rPr>
        <w:t>a su</w:t>
      </w:r>
      <w:r w:rsidR="00EF7CFF" w:rsidRPr="00C41483">
        <w:rPr>
          <w:rFonts w:ascii="Times New Roman" w:hAnsi="Times New Roman" w:cs="Times New Roman"/>
          <w:sz w:val="24"/>
          <w:szCs w:val="24"/>
        </w:rPr>
        <w:t xml:space="preserve"> 93 poslodavaca koji su najavili korištenje zamjenske kvote, dok je na dan 30. prosinca 2020. godine evidentirano njih 766. </w:t>
      </w:r>
    </w:p>
    <w:p w14:paraId="256BE4DF" w14:textId="77777777" w:rsidR="00531C6F" w:rsidRPr="00C41483" w:rsidRDefault="00531C6F" w:rsidP="00531C6F">
      <w:pPr>
        <w:spacing w:after="0" w:line="240" w:lineRule="auto"/>
        <w:jc w:val="both"/>
        <w:rPr>
          <w:rFonts w:ascii="Times New Roman" w:hAnsi="Times New Roman" w:cs="Times New Roman"/>
          <w:sz w:val="24"/>
          <w:szCs w:val="24"/>
        </w:rPr>
      </w:pPr>
    </w:p>
    <w:p w14:paraId="512FC181" w14:textId="0C6E0C00" w:rsidR="00EF7CFF" w:rsidRPr="00C41483" w:rsidRDefault="001549BB" w:rsidP="00531C6F">
      <w:pPr>
        <w:spacing w:after="0" w:line="240" w:lineRule="auto"/>
        <w:jc w:val="both"/>
        <w:rPr>
          <w:rFonts w:ascii="Times New Roman" w:hAnsi="Times New Roman" w:cs="Times New Roman"/>
          <w:sz w:val="24"/>
          <w:szCs w:val="24"/>
        </w:rPr>
      </w:pPr>
      <w:r w:rsidRPr="00C41483">
        <w:rPr>
          <w:rFonts w:ascii="Times New Roman" w:hAnsi="Times New Roman" w:cs="Times New Roman"/>
          <w:sz w:val="24"/>
          <w:szCs w:val="24"/>
        </w:rPr>
        <w:t>(1</w:t>
      </w:r>
      <w:r w:rsidR="00E8616D" w:rsidRPr="00C41483">
        <w:rPr>
          <w:rFonts w:ascii="Times New Roman" w:hAnsi="Times New Roman" w:cs="Times New Roman"/>
          <w:sz w:val="24"/>
          <w:szCs w:val="24"/>
        </w:rPr>
        <w:t>61)</w:t>
      </w:r>
      <w:r w:rsidRPr="00C41483">
        <w:rPr>
          <w:rFonts w:ascii="Times New Roman" w:hAnsi="Times New Roman" w:cs="Times New Roman"/>
          <w:sz w:val="24"/>
          <w:szCs w:val="24"/>
        </w:rPr>
        <w:t xml:space="preserve"> </w:t>
      </w:r>
      <w:r w:rsidR="00EF7CFF" w:rsidRPr="00C41483">
        <w:rPr>
          <w:rFonts w:ascii="Times New Roman" w:hAnsi="Times New Roman" w:cs="Times New Roman"/>
          <w:sz w:val="24"/>
          <w:szCs w:val="24"/>
        </w:rPr>
        <w:t>Kako bi se dodatno potaknulo poslodavce na zapošljavanje osoba s invaliditetom, navedenim Pravilnikom povećan je iznos i trajanje novčane nagrade za zapošljavanje osoba s invaliditetom. Nagrada je povećana sa iznosa od 15% minimalne plaće na iznos od 30% minimalne plaće, odnosno sa 6 mjeseci na 12 mjeseci trajanja, a mogu je ostvariti oni poslodavci koji nisu obveznici kvotnog zapošljavanja, a zaposlili su osobe s invaliditetom, kao i poslodavci koji zapošljavaju više osoba s invaliditetom od propisane kvote. Također, Pravilnikom o poticajima pri zapošljavanju osoba s invaliditetom (</w:t>
      </w:r>
      <w:r w:rsidR="0093379F" w:rsidRPr="00C41483">
        <w:rPr>
          <w:rFonts w:ascii="Times New Roman" w:hAnsi="Times New Roman" w:cs="Times New Roman"/>
          <w:sz w:val="24"/>
          <w:szCs w:val="24"/>
        </w:rPr>
        <w:t>2018.</w:t>
      </w:r>
      <w:r w:rsidR="00EF7CFF" w:rsidRPr="00C41483">
        <w:rPr>
          <w:rFonts w:ascii="Times New Roman" w:hAnsi="Times New Roman" w:cs="Times New Roman"/>
          <w:sz w:val="24"/>
          <w:szCs w:val="24"/>
        </w:rPr>
        <w:t>) uvedene su i dvije nove vrste poticaja: naknada u visini troška uplaćenih doprinosa za zdravstveno osiguranje za zaposlenu osobu s invaliditetom te potpora za održivost samozapošljavanja.</w:t>
      </w:r>
    </w:p>
    <w:p w14:paraId="7BF08DF4" w14:textId="77777777" w:rsidR="00531C6F" w:rsidRPr="00C41483" w:rsidRDefault="00531C6F" w:rsidP="00531C6F">
      <w:pPr>
        <w:spacing w:after="0" w:line="240" w:lineRule="auto"/>
        <w:jc w:val="both"/>
        <w:rPr>
          <w:rFonts w:ascii="Times New Roman" w:hAnsi="Times New Roman" w:cs="Times New Roman"/>
          <w:sz w:val="24"/>
          <w:szCs w:val="24"/>
        </w:rPr>
      </w:pPr>
    </w:p>
    <w:p w14:paraId="301F63AE" w14:textId="7A581B60" w:rsidR="00EF7CFF" w:rsidRPr="00C41483" w:rsidRDefault="001549BB" w:rsidP="00531C6F">
      <w:pPr>
        <w:spacing w:after="0" w:line="240" w:lineRule="auto"/>
        <w:jc w:val="both"/>
        <w:rPr>
          <w:rFonts w:ascii="Times New Roman" w:hAnsi="Times New Roman" w:cs="Times New Roman"/>
          <w:sz w:val="24"/>
          <w:szCs w:val="24"/>
        </w:rPr>
      </w:pPr>
      <w:r w:rsidRPr="00C41483">
        <w:rPr>
          <w:rFonts w:ascii="Times New Roman" w:hAnsi="Times New Roman" w:cs="Times New Roman"/>
          <w:sz w:val="24"/>
          <w:szCs w:val="24"/>
        </w:rPr>
        <w:t>(1</w:t>
      </w:r>
      <w:r w:rsidR="00E8616D" w:rsidRPr="00C41483">
        <w:rPr>
          <w:rFonts w:ascii="Times New Roman" w:hAnsi="Times New Roman" w:cs="Times New Roman"/>
          <w:sz w:val="24"/>
          <w:szCs w:val="24"/>
        </w:rPr>
        <w:t>62</w:t>
      </w:r>
      <w:r w:rsidRPr="00C41483">
        <w:rPr>
          <w:rFonts w:ascii="Times New Roman" w:hAnsi="Times New Roman" w:cs="Times New Roman"/>
          <w:sz w:val="24"/>
          <w:szCs w:val="24"/>
        </w:rPr>
        <w:t xml:space="preserve">) </w:t>
      </w:r>
      <w:r w:rsidR="00EF7CFF" w:rsidRPr="00C41483">
        <w:rPr>
          <w:rFonts w:ascii="Times New Roman" w:hAnsi="Times New Roman" w:cs="Times New Roman"/>
          <w:sz w:val="24"/>
          <w:szCs w:val="24"/>
        </w:rPr>
        <w:t>Uz navedeno, valja istaknuti kako su uvjeti za osnivanje i rad zaštitnih i integrativnih radionica pojednostavljeni donošenjem Pravilnika o zaštitnim radionicama i integrativnim radionicama za zapošljavanje osoba s invaliditetom (</w:t>
      </w:r>
      <w:r w:rsidR="0093379F" w:rsidRPr="00C41483">
        <w:rPr>
          <w:rFonts w:ascii="Times New Roman" w:hAnsi="Times New Roman" w:cs="Times New Roman"/>
          <w:sz w:val="24"/>
          <w:szCs w:val="24"/>
        </w:rPr>
        <w:t>2018.</w:t>
      </w:r>
      <w:r w:rsidR="00EF7CFF" w:rsidRPr="00C41483">
        <w:rPr>
          <w:rFonts w:ascii="Times New Roman" w:hAnsi="Times New Roman" w:cs="Times New Roman"/>
          <w:sz w:val="24"/>
          <w:szCs w:val="24"/>
        </w:rPr>
        <w:t>). Na taj način je 7 zaštitnih radionica zadržalo svoj status, a osnovane su i prve integrativne radionice u R</w:t>
      </w:r>
      <w:r w:rsidR="00905964" w:rsidRPr="00C41483">
        <w:rPr>
          <w:rFonts w:ascii="Times New Roman" w:hAnsi="Times New Roman" w:cs="Times New Roman"/>
          <w:sz w:val="24"/>
          <w:szCs w:val="24"/>
        </w:rPr>
        <w:t>H</w:t>
      </w:r>
      <w:r w:rsidR="00EF7CFF" w:rsidRPr="00C41483">
        <w:rPr>
          <w:rFonts w:ascii="Times New Roman" w:hAnsi="Times New Roman" w:cs="Times New Roman"/>
          <w:sz w:val="24"/>
          <w:szCs w:val="24"/>
        </w:rPr>
        <w:t>.</w:t>
      </w:r>
    </w:p>
    <w:p w14:paraId="71894098" w14:textId="77777777" w:rsidR="00531C6F" w:rsidRPr="00C41483" w:rsidRDefault="00531C6F" w:rsidP="006B5133">
      <w:pPr>
        <w:spacing w:after="0" w:line="240" w:lineRule="auto"/>
        <w:jc w:val="both"/>
        <w:rPr>
          <w:rFonts w:ascii="Times New Roman" w:hAnsi="Times New Roman" w:cs="Times New Roman"/>
          <w:sz w:val="24"/>
          <w:szCs w:val="24"/>
        </w:rPr>
      </w:pPr>
    </w:p>
    <w:p w14:paraId="6F195394" w14:textId="450A786D" w:rsidR="004C716D" w:rsidRPr="00C41483" w:rsidRDefault="001549BB" w:rsidP="006B5133">
      <w:pPr>
        <w:spacing w:after="0" w:line="240" w:lineRule="auto"/>
        <w:jc w:val="both"/>
        <w:rPr>
          <w:rFonts w:ascii="Times New Roman" w:hAnsi="Times New Roman" w:cs="Times New Roman"/>
          <w:sz w:val="24"/>
          <w:szCs w:val="24"/>
          <w:lang w:eastAsia="hr-HR"/>
        </w:rPr>
      </w:pPr>
      <w:r w:rsidRPr="00C41483">
        <w:rPr>
          <w:rFonts w:ascii="Times New Roman" w:hAnsi="Times New Roman" w:cs="Times New Roman"/>
          <w:sz w:val="24"/>
          <w:szCs w:val="24"/>
        </w:rPr>
        <w:lastRenderedPageBreak/>
        <w:t>(1</w:t>
      </w:r>
      <w:r w:rsidR="00531C6F" w:rsidRPr="00C41483">
        <w:rPr>
          <w:rFonts w:ascii="Times New Roman" w:hAnsi="Times New Roman" w:cs="Times New Roman"/>
          <w:sz w:val="24"/>
          <w:szCs w:val="24"/>
        </w:rPr>
        <w:t>6</w:t>
      </w:r>
      <w:r w:rsidR="00E8616D" w:rsidRPr="00C41483">
        <w:rPr>
          <w:rFonts w:ascii="Times New Roman" w:hAnsi="Times New Roman" w:cs="Times New Roman"/>
          <w:sz w:val="24"/>
          <w:szCs w:val="24"/>
        </w:rPr>
        <w:t>3</w:t>
      </w:r>
      <w:r w:rsidRPr="00C41483">
        <w:rPr>
          <w:rFonts w:ascii="Times New Roman" w:hAnsi="Times New Roman" w:cs="Times New Roman"/>
          <w:sz w:val="24"/>
          <w:szCs w:val="24"/>
        </w:rPr>
        <w:t xml:space="preserve">) </w:t>
      </w:r>
      <w:r w:rsidR="00637EE2" w:rsidRPr="00C41483">
        <w:rPr>
          <w:rFonts w:ascii="Times New Roman" w:hAnsi="Times New Roman" w:cs="Times New Roman"/>
          <w:sz w:val="24"/>
          <w:szCs w:val="24"/>
        </w:rPr>
        <w:t>Ministarstvo</w:t>
      </w:r>
      <w:r w:rsidR="00E91FD4" w:rsidRPr="00C41483">
        <w:rPr>
          <w:rFonts w:ascii="Times New Roman" w:hAnsi="Times New Roman" w:cs="Times New Roman"/>
          <w:sz w:val="24"/>
          <w:szCs w:val="24"/>
        </w:rPr>
        <w:t xml:space="preserve"> nadležno za</w:t>
      </w:r>
      <w:r w:rsidR="00637EE2" w:rsidRPr="00C41483">
        <w:rPr>
          <w:rFonts w:ascii="Times New Roman" w:hAnsi="Times New Roman" w:cs="Times New Roman"/>
          <w:sz w:val="24"/>
          <w:szCs w:val="24"/>
        </w:rPr>
        <w:t xml:space="preserve"> turiz</w:t>
      </w:r>
      <w:r w:rsidR="00E91FD4" w:rsidRPr="00C41483">
        <w:rPr>
          <w:rFonts w:ascii="Times New Roman" w:hAnsi="Times New Roman" w:cs="Times New Roman"/>
          <w:sz w:val="24"/>
          <w:szCs w:val="24"/>
        </w:rPr>
        <w:t>a</w:t>
      </w:r>
      <w:r w:rsidR="00637EE2" w:rsidRPr="00C41483">
        <w:rPr>
          <w:rFonts w:ascii="Times New Roman" w:hAnsi="Times New Roman" w:cs="Times New Roman"/>
          <w:sz w:val="24"/>
          <w:szCs w:val="24"/>
        </w:rPr>
        <w:t>m u okviru svoje nadležnosti kao Posredničko tijelo razine 1 za O</w:t>
      </w:r>
      <w:r w:rsidR="002D4058" w:rsidRPr="00C41483">
        <w:rPr>
          <w:rFonts w:ascii="Times New Roman" w:hAnsi="Times New Roman" w:cs="Times New Roman"/>
          <w:sz w:val="24"/>
          <w:szCs w:val="24"/>
        </w:rPr>
        <w:t>PULJP</w:t>
      </w:r>
      <w:r w:rsidR="00637EE2" w:rsidRPr="00C41483">
        <w:rPr>
          <w:rFonts w:ascii="Times New Roman" w:hAnsi="Times New Roman" w:cs="Times New Roman"/>
          <w:sz w:val="24"/>
          <w:szCs w:val="24"/>
        </w:rPr>
        <w:t xml:space="preserve"> 2014.-2020. raspisuje natječaje iz područja socijalnog uključivanja i obrazovanja u sektoru turizma i ugostiteljstva. U 2017. godini objavljen je Poziv „Poboljšanje pristupa ranjivih skupina tržištu rada u sektoru turizma i ugostiteljstva“ cilj kojega je poboljšanje zapošljivosti</w:t>
      </w:r>
      <w:r w:rsidR="00E91FD4" w:rsidRPr="00C41483">
        <w:rPr>
          <w:rFonts w:ascii="Times New Roman" w:hAnsi="Times New Roman" w:cs="Times New Roman"/>
          <w:sz w:val="24"/>
          <w:szCs w:val="24"/>
        </w:rPr>
        <w:t xml:space="preserve"> </w:t>
      </w:r>
      <w:r w:rsidR="00637EE2" w:rsidRPr="00C41483">
        <w:rPr>
          <w:rFonts w:ascii="Times New Roman" w:hAnsi="Times New Roman" w:cs="Times New Roman"/>
          <w:sz w:val="24"/>
          <w:szCs w:val="24"/>
        </w:rPr>
        <w:t xml:space="preserve">među ostalim i osoba s invaliditetom, </w:t>
      </w:r>
      <w:r w:rsidR="00CB5AA2" w:rsidRPr="00C41483">
        <w:rPr>
          <w:rFonts w:ascii="Times New Roman" w:hAnsi="Times New Roman" w:cs="Times New Roman"/>
          <w:sz w:val="24"/>
          <w:szCs w:val="24"/>
        </w:rPr>
        <w:t>i</w:t>
      </w:r>
      <w:r w:rsidR="00637EE2" w:rsidRPr="00C41483">
        <w:rPr>
          <w:rFonts w:ascii="Times New Roman" w:hAnsi="Times New Roman" w:cs="Times New Roman"/>
          <w:sz w:val="24"/>
          <w:szCs w:val="24"/>
        </w:rPr>
        <w:t xml:space="preserve"> za koji je ugovoren 41 projekt u vrijednosti od 61</w:t>
      </w:r>
      <w:r w:rsidR="00E91FD4" w:rsidRPr="00C41483">
        <w:rPr>
          <w:rFonts w:ascii="Times New Roman" w:hAnsi="Times New Roman" w:cs="Times New Roman"/>
          <w:sz w:val="24"/>
          <w:szCs w:val="24"/>
        </w:rPr>
        <w:t>.000.000,00</w:t>
      </w:r>
      <w:r w:rsidR="00637EE2" w:rsidRPr="00C41483">
        <w:rPr>
          <w:rFonts w:ascii="Times New Roman" w:hAnsi="Times New Roman" w:cs="Times New Roman"/>
          <w:sz w:val="24"/>
          <w:szCs w:val="24"/>
        </w:rPr>
        <w:t xml:space="preserve"> kuna. Do kraja ugovornog razdoblja u 2021. godini u projekt će se uključiti 189 osoba s invaliditetom. </w:t>
      </w:r>
      <w:r w:rsidR="00CB5AA2" w:rsidRPr="00C41483">
        <w:rPr>
          <w:rFonts w:ascii="Times New Roman" w:hAnsi="Times New Roman" w:cs="Times New Roman"/>
          <w:sz w:val="24"/>
          <w:szCs w:val="24"/>
        </w:rPr>
        <w:t>U d</w:t>
      </w:r>
      <w:r w:rsidR="00637EE2" w:rsidRPr="00C41483">
        <w:rPr>
          <w:rFonts w:ascii="Times New Roman" w:hAnsi="Times New Roman" w:cs="Times New Roman"/>
          <w:sz w:val="24"/>
          <w:szCs w:val="24"/>
        </w:rPr>
        <w:t>rug</w:t>
      </w:r>
      <w:r w:rsidR="00CB5AA2" w:rsidRPr="00C41483">
        <w:rPr>
          <w:rFonts w:ascii="Times New Roman" w:hAnsi="Times New Roman" w:cs="Times New Roman"/>
          <w:sz w:val="24"/>
          <w:szCs w:val="24"/>
        </w:rPr>
        <w:t>oj</w:t>
      </w:r>
      <w:r w:rsidR="00637EE2" w:rsidRPr="00C41483">
        <w:rPr>
          <w:rFonts w:ascii="Times New Roman" w:hAnsi="Times New Roman" w:cs="Times New Roman"/>
          <w:sz w:val="24"/>
          <w:szCs w:val="24"/>
        </w:rPr>
        <w:t xml:space="preserve"> faz</w:t>
      </w:r>
      <w:r w:rsidR="00CB5AA2" w:rsidRPr="00C41483">
        <w:rPr>
          <w:rFonts w:ascii="Times New Roman" w:hAnsi="Times New Roman" w:cs="Times New Roman"/>
          <w:sz w:val="24"/>
          <w:szCs w:val="24"/>
        </w:rPr>
        <w:t>i</w:t>
      </w:r>
      <w:r w:rsidR="00637EE2" w:rsidRPr="00C41483">
        <w:rPr>
          <w:rFonts w:ascii="Times New Roman" w:hAnsi="Times New Roman" w:cs="Times New Roman"/>
          <w:sz w:val="24"/>
          <w:szCs w:val="24"/>
        </w:rPr>
        <w:t xml:space="preserve"> Poziva u provedbi od 2021. godine u projekt uključiti dodatnih 1350 osoba s invaliditetom, a vrijednost projekta iznosi 27 milijuna kuna. U 2019. godini objavljen je Poziv „Uspostava regionalnih centara kompetentnosti u sektoru turizma i ugostiteljstva“. Osigurana financijska sredstva iznose 388 milijuna kuna, a projektne aktivnosti, među ostalim, uključuju obrazovne programe posebno prilagođene učenicima s teškoćama i osobama s invaliditetom. Previđeno je sudjelovanje 1630 učenika, odnosno 1930 osoba s </w:t>
      </w:r>
      <w:proofErr w:type="spellStart"/>
      <w:r w:rsidR="00637EE2" w:rsidRPr="00C41483">
        <w:rPr>
          <w:rFonts w:ascii="Times New Roman" w:hAnsi="Times New Roman" w:cs="Times New Roman"/>
          <w:sz w:val="24"/>
          <w:szCs w:val="24"/>
        </w:rPr>
        <w:t>predtercijarnim</w:t>
      </w:r>
      <w:proofErr w:type="spellEnd"/>
      <w:r w:rsidR="00637EE2" w:rsidRPr="00C41483">
        <w:rPr>
          <w:rFonts w:ascii="Times New Roman" w:hAnsi="Times New Roman" w:cs="Times New Roman"/>
          <w:sz w:val="24"/>
          <w:szCs w:val="24"/>
        </w:rPr>
        <w:t xml:space="preserve"> obrazovanjem</w:t>
      </w:r>
      <w:r w:rsidR="00FA4E76" w:rsidRPr="00C41483">
        <w:rPr>
          <w:rFonts w:ascii="Times New Roman" w:hAnsi="Times New Roman" w:cs="Times New Roman"/>
          <w:sz w:val="24"/>
          <w:szCs w:val="24"/>
        </w:rPr>
        <w:t>.</w:t>
      </w:r>
    </w:p>
    <w:p w14:paraId="4143C6CC" w14:textId="77777777" w:rsidR="004C716D" w:rsidRPr="00C41483" w:rsidRDefault="004C716D" w:rsidP="006B5133">
      <w:pPr>
        <w:spacing w:after="0" w:line="240" w:lineRule="auto"/>
        <w:rPr>
          <w:lang w:eastAsia="hr-HR"/>
        </w:rPr>
      </w:pPr>
    </w:p>
    <w:p w14:paraId="142C7416" w14:textId="5FFA41E9" w:rsidR="003A2E30" w:rsidRPr="00C41483" w:rsidRDefault="003A2E30" w:rsidP="006B5133">
      <w:pPr>
        <w:pStyle w:val="Naslov1"/>
        <w:spacing w:before="0" w:line="240" w:lineRule="auto"/>
        <w:rPr>
          <w:rFonts w:ascii="Times New Roman" w:eastAsia="Times New Roman" w:hAnsi="Times New Roman" w:cs="Times New Roman"/>
          <w:b/>
          <w:bCs/>
          <w:color w:val="auto"/>
          <w:sz w:val="24"/>
          <w:szCs w:val="24"/>
          <w:lang w:eastAsia="hr-HR"/>
        </w:rPr>
      </w:pPr>
      <w:bookmarkStart w:id="127" w:name="_Toc76630965"/>
      <w:bookmarkStart w:id="128" w:name="_Toc88031204"/>
      <w:r w:rsidRPr="00C41483">
        <w:rPr>
          <w:rFonts w:ascii="Times New Roman" w:eastAsia="Times New Roman" w:hAnsi="Times New Roman" w:cs="Times New Roman"/>
          <w:b/>
          <w:bCs/>
          <w:color w:val="auto"/>
          <w:sz w:val="24"/>
          <w:szCs w:val="24"/>
          <w:lang w:eastAsia="hr-HR"/>
        </w:rPr>
        <w:t>Primjereni životni standardi i socijalna zaštita (čl. 28.)</w:t>
      </w:r>
      <w:bookmarkEnd w:id="127"/>
      <w:bookmarkEnd w:id="128"/>
    </w:p>
    <w:p w14:paraId="25A1DABF" w14:textId="77777777" w:rsidR="00165D3A" w:rsidRPr="00C41483" w:rsidRDefault="00165D3A" w:rsidP="006B5133">
      <w:pPr>
        <w:spacing w:after="0" w:line="240" w:lineRule="auto"/>
        <w:rPr>
          <w:rFonts w:ascii="Times New Roman" w:hAnsi="Times New Roman" w:cs="Times New Roman"/>
          <w:sz w:val="24"/>
          <w:szCs w:val="24"/>
          <w:lang w:eastAsia="hr-HR"/>
        </w:rPr>
      </w:pPr>
    </w:p>
    <w:p w14:paraId="7BF52842" w14:textId="78510B5F" w:rsidR="005B6A44" w:rsidRPr="00C41483" w:rsidRDefault="00604E80" w:rsidP="006B5133">
      <w:pPr>
        <w:spacing w:after="0" w:line="240" w:lineRule="auto"/>
        <w:jc w:val="both"/>
        <w:rPr>
          <w:rFonts w:ascii="Times New Roman" w:eastAsia="Times New Roman" w:hAnsi="Times New Roman" w:cs="Times New Roman"/>
          <w:i/>
          <w:iCs/>
          <w:sz w:val="24"/>
          <w:szCs w:val="24"/>
          <w:lang w:eastAsia="hr-HR"/>
        </w:rPr>
      </w:pPr>
      <w:bookmarkStart w:id="129" w:name="_Hlk83815508"/>
      <w:r w:rsidRPr="00C41483">
        <w:rPr>
          <w:rFonts w:ascii="Times New Roman" w:eastAsia="Times New Roman" w:hAnsi="Times New Roman" w:cs="Times New Roman"/>
          <w:i/>
          <w:iCs/>
          <w:sz w:val="24"/>
          <w:szCs w:val="24"/>
          <w:lang w:eastAsia="hr-HR"/>
        </w:rPr>
        <w:t xml:space="preserve">Pitanje </w:t>
      </w:r>
      <w:r w:rsidR="005B6A44" w:rsidRPr="00C41483">
        <w:rPr>
          <w:rFonts w:ascii="Times New Roman" w:eastAsia="Times New Roman" w:hAnsi="Times New Roman" w:cs="Times New Roman"/>
          <w:i/>
          <w:iCs/>
          <w:sz w:val="24"/>
          <w:szCs w:val="24"/>
          <w:lang w:eastAsia="hr-HR"/>
        </w:rPr>
        <w:t xml:space="preserve">26. </w:t>
      </w:r>
    </w:p>
    <w:bookmarkEnd w:id="129"/>
    <w:p w14:paraId="627C25E3" w14:textId="67203F1B" w:rsidR="00005A91" w:rsidRPr="00C41483" w:rsidRDefault="00005A91" w:rsidP="006B5133">
      <w:pPr>
        <w:spacing w:after="0" w:line="240" w:lineRule="auto"/>
        <w:jc w:val="both"/>
        <w:rPr>
          <w:rFonts w:ascii="Times New Roman" w:eastAsia="Times New Roman" w:hAnsi="Times New Roman" w:cs="Times New Roman"/>
          <w:i/>
          <w:iCs/>
          <w:sz w:val="24"/>
          <w:szCs w:val="24"/>
          <w:lang w:eastAsia="hr-HR"/>
        </w:rPr>
      </w:pPr>
    </w:p>
    <w:p w14:paraId="1B1B6036" w14:textId="41A183F0" w:rsidR="00052F75" w:rsidRPr="00C41483" w:rsidRDefault="001549BB" w:rsidP="00052F75">
      <w:pPr>
        <w:pStyle w:val="Bezproreda1"/>
      </w:pPr>
      <w:r w:rsidRPr="00C41483">
        <w:t>(1</w:t>
      </w:r>
      <w:r w:rsidR="00531C6F" w:rsidRPr="00C41483">
        <w:t>6</w:t>
      </w:r>
      <w:r w:rsidR="00E8616D" w:rsidRPr="00C41483">
        <w:t>4</w:t>
      </w:r>
      <w:r w:rsidRPr="00C41483">
        <w:t xml:space="preserve">) </w:t>
      </w:r>
      <w:r w:rsidR="00052F75" w:rsidRPr="00C41483">
        <w:t>Međunarodna klasifikacija  funkcioniranja, invaliditeta i zdravlja u centrima za profesionalnu rehabilitaciju počet će se primjenjivati od 1. siječnja 2022. godine sukladno Pravilniku o profesionalnoj rehabilitaciji i centrima za profesionalnu rehabilitaciju osoba s invaliditetom</w:t>
      </w:r>
      <w:r w:rsidR="00645601" w:rsidRPr="00C41483">
        <w:t xml:space="preserve"> (2018.)</w:t>
      </w:r>
      <w:r w:rsidR="00052F75" w:rsidRPr="00C41483">
        <w:t xml:space="preserve">. Sukladno tome, obaveza </w:t>
      </w:r>
      <w:r w:rsidRPr="00C41483">
        <w:t>ZOSI-a</w:t>
      </w:r>
      <w:r w:rsidR="00052F75" w:rsidRPr="00C41483">
        <w:t xml:space="preserve"> je organiziranje edukacije o primjeni Međunarodne klasifikacije funkcioniranja, invaliditeta i zdravlja. Nastavno na pilot primjenu „Jedinstvene liste funkcionalnih sposobnosti“ u svim regionalnim i područnim uredima </w:t>
      </w:r>
      <w:r w:rsidRPr="00C41483">
        <w:t>HZZ-a</w:t>
      </w:r>
      <w:r w:rsidR="00052F75" w:rsidRPr="00C41483">
        <w:t xml:space="preserve">, savjetnici za profesionalno usmjeravanje tijekom </w:t>
      </w:r>
      <w:proofErr w:type="spellStart"/>
      <w:r w:rsidR="00052F75" w:rsidRPr="00C41483">
        <w:t>psihodijagnostičke</w:t>
      </w:r>
      <w:proofErr w:type="spellEnd"/>
      <w:r w:rsidR="00052F75" w:rsidRPr="00C41483">
        <w:t xml:space="preserve"> obrade učenika s teškoćama i osoba s invaliditetom primjenjuju odabrani </w:t>
      </w:r>
      <w:proofErr w:type="spellStart"/>
      <w:r w:rsidR="00052F75" w:rsidRPr="00C41483">
        <w:t>psihodijagnostički</w:t>
      </w:r>
      <w:proofErr w:type="spellEnd"/>
      <w:r w:rsidR="00052F75" w:rsidRPr="00C41483">
        <w:t xml:space="preserve"> instrumentarij za mjerenje niza funkcija definiranih Međunarodnom klasifikacijom funkcioniranja, invaliditeta i zdravlja (pretežito perceptivnih, kognitivnih i </w:t>
      </w:r>
      <w:proofErr w:type="spellStart"/>
      <w:r w:rsidR="00052F75" w:rsidRPr="00C41483">
        <w:t>psihomotoričkih</w:t>
      </w:r>
      <w:proofErr w:type="spellEnd"/>
      <w:r w:rsidR="00052F75" w:rsidRPr="00C41483">
        <w:t>). Prilikom izrade mišljenja o profesionalnom usmjeravanju za učenike s teškoćama, naglasak se stavlja na zdravstvene zahtjeve i očuvane funkcionalne sposobnosti učenika.</w:t>
      </w:r>
    </w:p>
    <w:p w14:paraId="2FC2A131" w14:textId="77777777" w:rsidR="00D0055C" w:rsidRPr="00C41483" w:rsidRDefault="00D0055C" w:rsidP="00FB078A">
      <w:pPr>
        <w:pStyle w:val="Bezproreda1"/>
      </w:pPr>
    </w:p>
    <w:p w14:paraId="0446AE18" w14:textId="0F3C7B8F" w:rsidR="00052F75" w:rsidRPr="00C41483" w:rsidRDefault="001549BB" w:rsidP="00FB078A">
      <w:pPr>
        <w:pStyle w:val="Bezproreda1"/>
      </w:pPr>
      <w:r w:rsidRPr="00C41483">
        <w:t>(1</w:t>
      </w:r>
      <w:r w:rsidR="00531C6F" w:rsidRPr="00C41483">
        <w:t>6</w:t>
      </w:r>
      <w:r w:rsidR="00E8616D" w:rsidRPr="00C41483">
        <w:t>5</w:t>
      </w:r>
      <w:r w:rsidRPr="00C41483">
        <w:t xml:space="preserve">) HZJZ </w:t>
      </w:r>
      <w:r w:rsidR="00052F75" w:rsidRPr="00C41483">
        <w:t>je 2019. godin</w:t>
      </w:r>
      <w:r w:rsidR="00645601" w:rsidRPr="00C41483">
        <w:t>e</w:t>
      </w:r>
      <w:r w:rsidR="00052F75" w:rsidRPr="00C41483">
        <w:t xml:space="preserve"> preveo International </w:t>
      </w:r>
      <w:proofErr w:type="spellStart"/>
      <w:r w:rsidR="00052F75" w:rsidRPr="00C41483">
        <w:t>Classification</w:t>
      </w:r>
      <w:proofErr w:type="spellEnd"/>
      <w:r w:rsidR="00052F75" w:rsidRPr="00C41483">
        <w:t xml:space="preserve"> </w:t>
      </w:r>
      <w:proofErr w:type="spellStart"/>
      <w:r w:rsidR="00052F75" w:rsidRPr="00C41483">
        <w:t>of</w:t>
      </w:r>
      <w:proofErr w:type="spellEnd"/>
      <w:r w:rsidR="00052F75" w:rsidRPr="00C41483">
        <w:t xml:space="preserve"> </w:t>
      </w:r>
      <w:proofErr w:type="spellStart"/>
      <w:r w:rsidR="00052F75" w:rsidRPr="00C41483">
        <w:t>Functioning</w:t>
      </w:r>
      <w:proofErr w:type="spellEnd"/>
      <w:r w:rsidR="00052F75" w:rsidRPr="00C41483">
        <w:t xml:space="preserve">, </w:t>
      </w:r>
      <w:proofErr w:type="spellStart"/>
      <w:r w:rsidR="00052F75" w:rsidRPr="00C41483">
        <w:t>Disability</w:t>
      </w:r>
      <w:proofErr w:type="spellEnd"/>
      <w:r w:rsidR="00052F75" w:rsidRPr="00C41483">
        <w:t xml:space="preserve"> </w:t>
      </w:r>
      <w:proofErr w:type="spellStart"/>
      <w:r w:rsidR="00052F75" w:rsidRPr="00C41483">
        <w:t>and</w:t>
      </w:r>
      <w:proofErr w:type="spellEnd"/>
      <w:r w:rsidR="00052F75" w:rsidRPr="00C41483">
        <w:t xml:space="preserve"> Health for </w:t>
      </w:r>
      <w:proofErr w:type="spellStart"/>
      <w:r w:rsidR="00052F75" w:rsidRPr="00C41483">
        <w:t>Children</w:t>
      </w:r>
      <w:proofErr w:type="spellEnd"/>
      <w:r w:rsidR="00052F75" w:rsidRPr="00C41483">
        <w:t xml:space="preserve"> </w:t>
      </w:r>
      <w:proofErr w:type="spellStart"/>
      <w:r w:rsidR="00052F75" w:rsidRPr="00C41483">
        <w:t>and</w:t>
      </w:r>
      <w:proofErr w:type="spellEnd"/>
      <w:r w:rsidR="00052F75" w:rsidRPr="00C41483">
        <w:t xml:space="preserve"> Youth koja je specijalna edicija Međunarodne klasifikacije funkcioniranja za djecu. Započeta je suradnja sa Svjetskom zdravstvenom organizacijom oko verifikacije prijevoda.</w:t>
      </w:r>
    </w:p>
    <w:p w14:paraId="7620E4D1" w14:textId="77777777" w:rsidR="00D0055C" w:rsidRPr="00C41483" w:rsidRDefault="00D0055C" w:rsidP="00FB078A">
      <w:pPr>
        <w:pStyle w:val="Bezproreda1"/>
      </w:pPr>
    </w:p>
    <w:p w14:paraId="26918438" w14:textId="48449789" w:rsidR="00052F75" w:rsidRPr="00C41483" w:rsidRDefault="001549BB" w:rsidP="00FB078A">
      <w:pPr>
        <w:pStyle w:val="Bezproreda1"/>
      </w:pPr>
      <w:r w:rsidRPr="00C41483">
        <w:t>(1</w:t>
      </w:r>
      <w:r w:rsidR="00531C6F" w:rsidRPr="00C41483">
        <w:t>6</w:t>
      </w:r>
      <w:r w:rsidR="00E8616D" w:rsidRPr="00C41483">
        <w:t>6</w:t>
      </w:r>
      <w:r w:rsidRPr="00C41483">
        <w:t xml:space="preserve">) </w:t>
      </w:r>
      <w:r w:rsidR="00645601" w:rsidRPr="00C41483">
        <w:t>M</w:t>
      </w:r>
      <w:r w:rsidR="00052F75" w:rsidRPr="00C41483">
        <w:t xml:space="preserve">inistarstvo </w:t>
      </w:r>
      <w:r w:rsidR="00645601" w:rsidRPr="00C41483">
        <w:t xml:space="preserve">nadležno za socijalnu skrb je </w:t>
      </w:r>
      <w:r w:rsidR="00052F75" w:rsidRPr="00C41483">
        <w:t xml:space="preserve">u suradnji sa </w:t>
      </w:r>
      <w:r w:rsidRPr="00C41483">
        <w:t>ZOSI-om</w:t>
      </w:r>
      <w:r w:rsidR="00052F75" w:rsidRPr="00C41483">
        <w:t xml:space="preserve"> 2019. godine </w:t>
      </w:r>
      <w:r w:rsidR="00645601" w:rsidRPr="00C41483">
        <w:t xml:space="preserve">organiziralo </w:t>
      </w:r>
      <w:r w:rsidR="00052F75" w:rsidRPr="00C41483">
        <w:t xml:space="preserve">9 regionalnih stručnih sastanaka sa stručnim radnicima svih centara za socijalnu skrb i vještacima svih područnih ureda </w:t>
      </w:r>
      <w:r w:rsidRPr="00C41483">
        <w:t>ZOSI-a.</w:t>
      </w:r>
      <w:r w:rsidR="00052F75" w:rsidRPr="00C41483">
        <w:t xml:space="preserve"> Svrha istoga je, putem predavanja i rasprave u pogledu vještačenja vezanih uz prava iz sustava socijalne skrbi, unaprijediti rad stručnih radnika zaposlenih u centrima za socijalnu skrb i vještaka </w:t>
      </w:r>
      <w:r w:rsidRPr="00C41483">
        <w:t>ZOSI-a</w:t>
      </w:r>
      <w:r w:rsidR="00052F75" w:rsidRPr="00C41483">
        <w:t xml:space="preserve">. Sastancima je prisustvovalo 254 stručna radnika centara za socijalnu skrb i 34 vještaka područnih ureda </w:t>
      </w:r>
      <w:r w:rsidRPr="00C41483">
        <w:t>ZOSI-a</w:t>
      </w:r>
      <w:r w:rsidR="00052F75" w:rsidRPr="00C41483">
        <w:t xml:space="preserve">, a na svim sastancima bio je prisutan jedan predstavnik Središnjeg ureda </w:t>
      </w:r>
      <w:r w:rsidRPr="00C41483">
        <w:t xml:space="preserve">ZOSI-a </w:t>
      </w:r>
      <w:r w:rsidR="00052F75" w:rsidRPr="00C41483">
        <w:t>i dva predstavnika navedenog Ministarstva.</w:t>
      </w:r>
    </w:p>
    <w:p w14:paraId="7EC3081E" w14:textId="77777777" w:rsidR="00052F75" w:rsidRPr="00C41483" w:rsidRDefault="00052F75" w:rsidP="006B5133">
      <w:pPr>
        <w:spacing w:after="0" w:line="240" w:lineRule="auto"/>
        <w:jc w:val="both"/>
        <w:rPr>
          <w:rFonts w:ascii="Times New Roman" w:eastAsia="Times New Roman" w:hAnsi="Times New Roman" w:cs="Times New Roman"/>
          <w:i/>
          <w:iCs/>
          <w:sz w:val="24"/>
          <w:szCs w:val="24"/>
          <w:lang w:eastAsia="hr-HR"/>
        </w:rPr>
      </w:pPr>
    </w:p>
    <w:p w14:paraId="14B9036E" w14:textId="65E93437" w:rsidR="00E83941" w:rsidRPr="00C41483" w:rsidRDefault="00604E80" w:rsidP="006B5133">
      <w:pPr>
        <w:spacing w:after="0" w:line="240" w:lineRule="auto"/>
        <w:jc w:val="both"/>
        <w:rPr>
          <w:rFonts w:ascii="Times New Roman" w:eastAsia="Times New Roman" w:hAnsi="Times New Roman" w:cs="Times New Roman"/>
          <w:i/>
          <w:iCs/>
          <w:sz w:val="24"/>
          <w:szCs w:val="24"/>
          <w:lang w:eastAsia="hr-HR"/>
        </w:rPr>
      </w:pPr>
      <w:bookmarkStart w:id="130" w:name="_Hlk83815554"/>
      <w:r w:rsidRPr="00C41483">
        <w:rPr>
          <w:rFonts w:ascii="Times New Roman" w:eastAsia="Times New Roman" w:hAnsi="Times New Roman" w:cs="Times New Roman"/>
          <w:i/>
          <w:iCs/>
          <w:sz w:val="24"/>
          <w:szCs w:val="24"/>
          <w:lang w:eastAsia="hr-HR"/>
        </w:rPr>
        <w:t xml:space="preserve">Pitanje </w:t>
      </w:r>
      <w:r w:rsidR="00E83941" w:rsidRPr="00C41483">
        <w:rPr>
          <w:rFonts w:ascii="Times New Roman" w:eastAsia="Times New Roman" w:hAnsi="Times New Roman" w:cs="Times New Roman"/>
          <w:i/>
          <w:iCs/>
          <w:sz w:val="24"/>
          <w:szCs w:val="24"/>
          <w:lang w:eastAsia="hr-HR"/>
        </w:rPr>
        <w:t>27</w:t>
      </w:r>
    </w:p>
    <w:p w14:paraId="61DBEFB2" w14:textId="3E5EBDA2" w:rsidR="004C716D" w:rsidRPr="00C41483" w:rsidRDefault="004C716D" w:rsidP="006B5133">
      <w:pPr>
        <w:spacing w:after="0" w:line="240" w:lineRule="auto"/>
        <w:jc w:val="both"/>
        <w:rPr>
          <w:rFonts w:ascii="Times New Roman" w:eastAsia="Times New Roman" w:hAnsi="Times New Roman" w:cs="Times New Roman"/>
          <w:i/>
          <w:iCs/>
          <w:sz w:val="24"/>
          <w:szCs w:val="24"/>
          <w:lang w:eastAsia="hr-HR"/>
        </w:rPr>
      </w:pPr>
    </w:p>
    <w:bookmarkEnd w:id="130"/>
    <w:p w14:paraId="7E2FF2E9" w14:textId="72C6D7F3" w:rsidR="005A3CBA" w:rsidRPr="00C41483" w:rsidRDefault="00E12AEC" w:rsidP="006B5133">
      <w:pPr>
        <w:spacing w:after="0" w:line="240" w:lineRule="auto"/>
        <w:jc w:val="both"/>
        <w:rPr>
          <w:rFonts w:ascii="Times New Roman" w:hAnsi="Times New Roman" w:cs="Times New Roman"/>
          <w:sz w:val="24"/>
          <w:szCs w:val="24"/>
        </w:rPr>
      </w:pPr>
      <w:r w:rsidRPr="00C41483">
        <w:rPr>
          <w:rFonts w:ascii="Times New Roman" w:hAnsi="Times New Roman" w:cs="Times New Roman"/>
          <w:sz w:val="24"/>
          <w:szCs w:val="24"/>
        </w:rPr>
        <w:t>(1</w:t>
      </w:r>
      <w:r w:rsidR="00531C6F" w:rsidRPr="00C41483">
        <w:rPr>
          <w:rFonts w:ascii="Times New Roman" w:hAnsi="Times New Roman" w:cs="Times New Roman"/>
          <w:sz w:val="24"/>
          <w:szCs w:val="24"/>
        </w:rPr>
        <w:t>6</w:t>
      </w:r>
      <w:r w:rsidR="00E8616D" w:rsidRPr="00C41483">
        <w:rPr>
          <w:rFonts w:ascii="Times New Roman" w:hAnsi="Times New Roman" w:cs="Times New Roman"/>
          <w:sz w:val="24"/>
          <w:szCs w:val="24"/>
        </w:rPr>
        <w:t>7</w:t>
      </w:r>
      <w:r w:rsidRPr="00C41483">
        <w:rPr>
          <w:rFonts w:ascii="Times New Roman" w:hAnsi="Times New Roman" w:cs="Times New Roman"/>
          <w:sz w:val="24"/>
          <w:szCs w:val="24"/>
        </w:rPr>
        <w:t xml:space="preserve">) </w:t>
      </w:r>
      <w:r w:rsidR="005A3CBA" w:rsidRPr="00C41483">
        <w:rPr>
          <w:rFonts w:ascii="Times New Roman" w:hAnsi="Times New Roman" w:cs="Times New Roman"/>
          <w:sz w:val="24"/>
          <w:szCs w:val="24"/>
        </w:rPr>
        <w:t xml:space="preserve">Osobe s invaliditetom prepoznate su kao jedna od četiri skupine u najvećem riziku od siromaštva u Strategiji borbe protiv siromaštva i socijalne isključenosti u RH (2014. - 2020.). Strategija je bila bazirana na osiguravanju uvjeta za ostvarenje tri glavna prioriteta: borba protiv </w:t>
      </w:r>
      <w:r w:rsidR="005A3CBA" w:rsidRPr="00C41483">
        <w:rPr>
          <w:rFonts w:ascii="Times New Roman" w:hAnsi="Times New Roman" w:cs="Times New Roman"/>
          <w:sz w:val="24"/>
          <w:szCs w:val="24"/>
        </w:rPr>
        <w:lastRenderedPageBreak/>
        <w:t>siromaštva i socijalne isključenosti te smanjenje nejednakosti u društvu; sprječavanje nastanka novih kategorija siromašnih, kao i smanjenja broja siromašnih i socijalno isključenih osoba; uspostava koordiniranog sustava potpore skupinama u riziku od siromaštva i socijalne isključenosti. U tijeku je izrada Nacionalnog plana borbe protiv siromaštva i socijalne isključenosti 2021.-2027.</w:t>
      </w:r>
    </w:p>
    <w:p w14:paraId="095F1FDC" w14:textId="77777777" w:rsidR="00D0055C" w:rsidRPr="00C41483" w:rsidRDefault="00D0055C" w:rsidP="006B5133">
      <w:pPr>
        <w:spacing w:after="0" w:line="240" w:lineRule="auto"/>
        <w:jc w:val="both"/>
        <w:rPr>
          <w:rFonts w:ascii="Times New Roman" w:hAnsi="Times New Roman" w:cs="Times New Roman"/>
          <w:sz w:val="24"/>
          <w:szCs w:val="24"/>
        </w:rPr>
      </w:pPr>
    </w:p>
    <w:p w14:paraId="5A79BCE9" w14:textId="21644294" w:rsidR="00663466" w:rsidRPr="00C41483" w:rsidRDefault="00E12AEC" w:rsidP="006B5133">
      <w:pPr>
        <w:spacing w:after="0" w:line="240" w:lineRule="auto"/>
        <w:jc w:val="both"/>
        <w:rPr>
          <w:rFonts w:ascii="Times New Roman" w:hAnsi="Times New Roman" w:cs="Times New Roman"/>
          <w:sz w:val="24"/>
          <w:szCs w:val="24"/>
        </w:rPr>
      </w:pPr>
      <w:r w:rsidRPr="00C41483">
        <w:rPr>
          <w:rFonts w:ascii="Times New Roman" w:hAnsi="Times New Roman" w:cs="Times New Roman"/>
          <w:sz w:val="24"/>
          <w:szCs w:val="24"/>
        </w:rPr>
        <w:t>(1</w:t>
      </w:r>
      <w:r w:rsidR="00531C6F" w:rsidRPr="00C41483">
        <w:rPr>
          <w:rFonts w:ascii="Times New Roman" w:hAnsi="Times New Roman" w:cs="Times New Roman"/>
          <w:sz w:val="24"/>
          <w:szCs w:val="24"/>
        </w:rPr>
        <w:t>6</w:t>
      </w:r>
      <w:r w:rsidR="00E8616D" w:rsidRPr="00C41483">
        <w:rPr>
          <w:rFonts w:ascii="Times New Roman" w:hAnsi="Times New Roman" w:cs="Times New Roman"/>
          <w:sz w:val="24"/>
          <w:szCs w:val="24"/>
        </w:rPr>
        <w:t>8</w:t>
      </w:r>
      <w:r w:rsidRPr="00C41483">
        <w:rPr>
          <w:rFonts w:ascii="Times New Roman" w:hAnsi="Times New Roman" w:cs="Times New Roman"/>
          <w:sz w:val="24"/>
          <w:szCs w:val="24"/>
        </w:rPr>
        <w:t xml:space="preserve">) </w:t>
      </w:r>
      <w:r w:rsidR="00052F75" w:rsidRPr="00C41483">
        <w:rPr>
          <w:rFonts w:ascii="Times New Roman" w:hAnsi="Times New Roman" w:cs="Times New Roman"/>
          <w:sz w:val="24"/>
          <w:szCs w:val="24"/>
        </w:rPr>
        <w:t>Također izmjenama i dopunama Zakona o socijalnoj skrbi unaprijeđena su materijalna prava koja mogu ostvariti osobe s invaliditetom</w:t>
      </w:r>
      <w:r w:rsidR="00FB078A" w:rsidRPr="00C41483">
        <w:rPr>
          <w:rFonts w:ascii="Times New Roman" w:hAnsi="Times New Roman" w:cs="Times New Roman"/>
          <w:sz w:val="24"/>
          <w:szCs w:val="24"/>
        </w:rPr>
        <w:t xml:space="preserve"> (</w:t>
      </w:r>
      <w:r w:rsidR="00052F75" w:rsidRPr="00C41483">
        <w:rPr>
          <w:rFonts w:ascii="Times New Roman" w:hAnsi="Times New Roman" w:cs="Times New Roman"/>
          <w:sz w:val="24"/>
          <w:szCs w:val="24"/>
        </w:rPr>
        <w:t>neovisno o nacionalnoj pripadnosti te mjestu stanovanja</w:t>
      </w:r>
      <w:r w:rsidR="00FB078A" w:rsidRPr="00C41483">
        <w:rPr>
          <w:rFonts w:ascii="Times New Roman" w:hAnsi="Times New Roman" w:cs="Times New Roman"/>
          <w:sz w:val="24"/>
          <w:szCs w:val="24"/>
        </w:rPr>
        <w:t>)</w:t>
      </w:r>
      <w:r w:rsidR="00663466" w:rsidRPr="00C41483">
        <w:rPr>
          <w:rFonts w:ascii="Times New Roman" w:hAnsi="Times New Roman" w:cs="Times New Roman"/>
          <w:sz w:val="24"/>
          <w:szCs w:val="24"/>
        </w:rPr>
        <w:t xml:space="preserve">: povećan je iznos doplatka za pomoć i njegu u punom opsegu sa 100 na 120 posto osnovice, a u smanjenom opsegu sa 70 na 84 posto osnovice za ostvarivanje prava u sustavu socijalne skrbi, povećan </w:t>
      </w:r>
      <w:r w:rsidR="00FB078A" w:rsidRPr="00C41483">
        <w:rPr>
          <w:rFonts w:ascii="Times New Roman" w:hAnsi="Times New Roman" w:cs="Times New Roman"/>
          <w:sz w:val="24"/>
          <w:szCs w:val="24"/>
        </w:rPr>
        <w:t xml:space="preserve">je </w:t>
      </w:r>
      <w:r w:rsidR="00663466" w:rsidRPr="00C41483">
        <w:rPr>
          <w:rFonts w:ascii="Times New Roman" w:hAnsi="Times New Roman" w:cs="Times New Roman"/>
          <w:sz w:val="24"/>
          <w:szCs w:val="24"/>
        </w:rPr>
        <w:t>iznos osobne invalidnine sa 250 na 300% osnovice</w:t>
      </w:r>
      <w:r w:rsidR="000B5AD8" w:rsidRPr="00C41483">
        <w:rPr>
          <w:rFonts w:ascii="Times New Roman" w:hAnsi="Times New Roman" w:cs="Times New Roman"/>
          <w:sz w:val="24"/>
          <w:szCs w:val="24"/>
        </w:rPr>
        <w:t xml:space="preserve">; izmijenjen je </w:t>
      </w:r>
      <w:r w:rsidR="00663466" w:rsidRPr="00C41483">
        <w:rPr>
          <w:rFonts w:ascii="Times New Roman" w:hAnsi="Times New Roman" w:cs="Times New Roman"/>
          <w:sz w:val="24"/>
          <w:szCs w:val="24"/>
        </w:rPr>
        <w:t>uvjet prihoda kod ostvarivanja prava na osobnu invalidninu</w:t>
      </w:r>
      <w:r w:rsidR="000B5AD8" w:rsidRPr="00C41483">
        <w:rPr>
          <w:rFonts w:ascii="Times New Roman" w:hAnsi="Times New Roman" w:cs="Times New Roman"/>
          <w:sz w:val="24"/>
          <w:szCs w:val="24"/>
        </w:rPr>
        <w:t xml:space="preserve"> te se u njega v</w:t>
      </w:r>
      <w:r w:rsidR="00663466" w:rsidRPr="00C41483">
        <w:rPr>
          <w:rFonts w:ascii="Times New Roman" w:hAnsi="Times New Roman" w:cs="Times New Roman"/>
          <w:sz w:val="24"/>
          <w:szCs w:val="24"/>
        </w:rPr>
        <w:t>iše ne uračunava</w:t>
      </w:r>
      <w:r w:rsidR="000B5AD8" w:rsidRPr="00C41483">
        <w:rPr>
          <w:rFonts w:ascii="Times New Roman" w:hAnsi="Times New Roman" w:cs="Times New Roman"/>
          <w:sz w:val="24"/>
          <w:szCs w:val="24"/>
        </w:rPr>
        <w:t>ju</w:t>
      </w:r>
      <w:r w:rsidR="00663466" w:rsidRPr="00C41483">
        <w:rPr>
          <w:rFonts w:ascii="Times New Roman" w:hAnsi="Times New Roman" w:cs="Times New Roman"/>
          <w:sz w:val="24"/>
          <w:szCs w:val="24"/>
        </w:rPr>
        <w:t xml:space="preserve"> plaća i autorski honorar</w:t>
      </w:r>
      <w:r w:rsidR="000B5AD8" w:rsidRPr="00C41483">
        <w:rPr>
          <w:rFonts w:ascii="Times New Roman" w:hAnsi="Times New Roman" w:cs="Times New Roman"/>
          <w:sz w:val="24"/>
          <w:szCs w:val="24"/>
        </w:rPr>
        <w:t xml:space="preserve">; </w:t>
      </w:r>
      <w:r w:rsidR="00663466" w:rsidRPr="00C41483">
        <w:rPr>
          <w:rFonts w:ascii="Times New Roman" w:hAnsi="Times New Roman" w:cs="Times New Roman"/>
          <w:sz w:val="24"/>
          <w:szCs w:val="24"/>
        </w:rPr>
        <w:t xml:space="preserve">povećana je visina naknade osobama kojima je priznat status roditelja njegovatelja/ njegovatelja s </w:t>
      </w:r>
      <w:r w:rsidR="000B5AD8" w:rsidRPr="00C41483">
        <w:rPr>
          <w:rFonts w:ascii="Times New Roman" w:hAnsi="Times New Roman" w:cs="Times New Roman"/>
          <w:sz w:val="24"/>
          <w:szCs w:val="24"/>
        </w:rPr>
        <w:t>5</w:t>
      </w:r>
      <w:r w:rsidR="00663466" w:rsidRPr="00C41483">
        <w:rPr>
          <w:rFonts w:ascii="Times New Roman" w:hAnsi="Times New Roman" w:cs="Times New Roman"/>
          <w:sz w:val="24"/>
          <w:szCs w:val="24"/>
        </w:rPr>
        <w:t xml:space="preserve"> na </w:t>
      </w:r>
      <w:r w:rsidR="000B5AD8" w:rsidRPr="00C41483">
        <w:rPr>
          <w:rFonts w:ascii="Times New Roman" w:hAnsi="Times New Roman" w:cs="Times New Roman"/>
          <w:sz w:val="24"/>
          <w:szCs w:val="24"/>
        </w:rPr>
        <w:t xml:space="preserve">8 </w:t>
      </w:r>
      <w:r w:rsidR="00663466" w:rsidRPr="00C41483">
        <w:rPr>
          <w:rFonts w:ascii="Times New Roman" w:hAnsi="Times New Roman" w:cs="Times New Roman"/>
          <w:sz w:val="24"/>
          <w:szCs w:val="24"/>
        </w:rPr>
        <w:t xml:space="preserve">osnovica za ostvarivanje prava po osnovi socijalne skrbi, te sada iznosi 4.000,00 kuna. </w:t>
      </w:r>
    </w:p>
    <w:p w14:paraId="7B442E4D" w14:textId="77777777" w:rsidR="00D0055C" w:rsidRPr="00C41483" w:rsidRDefault="00D0055C" w:rsidP="006B5133">
      <w:pPr>
        <w:spacing w:after="0" w:line="240" w:lineRule="auto"/>
        <w:jc w:val="both"/>
        <w:rPr>
          <w:rFonts w:ascii="Times New Roman" w:hAnsi="Times New Roman" w:cs="Times New Roman"/>
          <w:sz w:val="24"/>
          <w:szCs w:val="24"/>
        </w:rPr>
      </w:pPr>
    </w:p>
    <w:p w14:paraId="6F9CE717" w14:textId="1E8B4BD8" w:rsidR="005A3CBA" w:rsidRPr="00C41483" w:rsidRDefault="00E12AEC" w:rsidP="006B5133">
      <w:pPr>
        <w:spacing w:after="0" w:line="240" w:lineRule="auto"/>
        <w:jc w:val="both"/>
        <w:rPr>
          <w:rFonts w:ascii="Times New Roman" w:hAnsi="Times New Roman" w:cs="Times New Roman"/>
          <w:sz w:val="24"/>
          <w:szCs w:val="24"/>
        </w:rPr>
      </w:pPr>
      <w:r w:rsidRPr="00C41483">
        <w:rPr>
          <w:rFonts w:ascii="Times New Roman" w:hAnsi="Times New Roman" w:cs="Times New Roman"/>
          <w:sz w:val="24"/>
          <w:szCs w:val="24"/>
        </w:rPr>
        <w:t>(1</w:t>
      </w:r>
      <w:r w:rsidR="00531C6F" w:rsidRPr="00C41483">
        <w:rPr>
          <w:rFonts w:ascii="Times New Roman" w:hAnsi="Times New Roman" w:cs="Times New Roman"/>
          <w:sz w:val="24"/>
          <w:szCs w:val="24"/>
        </w:rPr>
        <w:t>6</w:t>
      </w:r>
      <w:r w:rsidR="00E8616D" w:rsidRPr="00C41483">
        <w:rPr>
          <w:rFonts w:ascii="Times New Roman" w:hAnsi="Times New Roman" w:cs="Times New Roman"/>
          <w:sz w:val="24"/>
          <w:szCs w:val="24"/>
        </w:rPr>
        <w:t>9</w:t>
      </w:r>
      <w:r w:rsidRPr="00C41483">
        <w:rPr>
          <w:rFonts w:ascii="Times New Roman" w:hAnsi="Times New Roman" w:cs="Times New Roman"/>
          <w:sz w:val="24"/>
          <w:szCs w:val="24"/>
        </w:rPr>
        <w:t xml:space="preserve">) </w:t>
      </w:r>
      <w:r w:rsidR="00A03774" w:rsidRPr="00C41483">
        <w:rPr>
          <w:rFonts w:ascii="Times New Roman" w:hAnsi="Times New Roman" w:cs="Times New Roman"/>
          <w:sz w:val="24"/>
          <w:szCs w:val="24"/>
        </w:rPr>
        <w:t>Više o rezultatima provedbe Nacionalne strategije za uključivanje Roma, za razdoblje od 2013. do 2020. godine je odgovorenu u pitanju broj 2.</w:t>
      </w:r>
    </w:p>
    <w:p w14:paraId="5BF05671" w14:textId="77777777" w:rsidR="000B5AD8" w:rsidRPr="00C41483" w:rsidRDefault="000B5AD8" w:rsidP="006B5133">
      <w:pPr>
        <w:spacing w:after="0" w:line="240" w:lineRule="auto"/>
        <w:jc w:val="both"/>
        <w:rPr>
          <w:rFonts w:ascii="Times New Roman" w:hAnsi="Times New Roman" w:cs="Times New Roman"/>
          <w:sz w:val="24"/>
          <w:szCs w:val="24"/>
        </w:rPr>
      </w:pPr>
    </w:p>
    <w:p w14:paraId="66620160" w14:textId="6E2F5000" w:rsidR="00E83941" w:rsidRPr="00C41483" w:rsidRDefault="00604E80" w:rsidP="006B5133">
      <w:pPr>
        <w:spacing w:after="0" w:line="240" w:lineRule="auto"/>
        <w:jc w:val="both"/>
        <w:rPr>
          <w:rFonts w:ascii="Times New Roman" w:eastAsia="Times New Roman" w:hAnsi="Times New Roman" w:cs="Times New Roman"/>
          <w:i/>
          <w:iCs/>
          <w:sz w:val="24"/>
          <w:szCs w:val="24"/>
          <w:lang w:eastAsia="hr-HR"/>
        </w:rPr>
      </w:pPr>
      <w:bookmarkStart w:id="131" w:name="_Hlk83815571"/>
      <w:r w:rsidRPr="00C41483">
        <w:rPr>
          <w:rFonts w:ascii="Times New Roman" w:eastAsia="Times New Roman" w:hAnsi="Times New Roman" w:cs="Times New Roman"/>
          <w:i/>
          <w:iCs/>
          <w:sz w:val="24"/>
          <w:szCs w:val="24"/>
          <w:lang w:eastAsia="hr-HR"/>
        </w:rPr>
        <w:t xml:space="preserve">Pitanje </w:t>
      </w:r>
      <w:r w:rsidR="00E83941" w:rsidRPr="00C41483">
        <w:rPr>
          <w:rFonts w:ascii="Times New Roman" w:eastAsia="Times New Roman" w:hAnsi="Times New Roman" w:cs="Times New Roman"/>
          <w:i/>
          <w:iCs/>
          <w:sz w:val="24"/>
          <w:szCs w:val="24"/>
          <w:lang w:eastAsia="hr-HR"/>
        </w:rPr>
        <w:t>28</w:t>
      </w:r>
      <w:r w:rsidRPr="00C41483">
        <w:rPr>
          <w:rFonts w:ascii="Times New Roman" w:eastAsia="Times New Roman" w:hAnsi="Times New Roman" w:cs="Times New Roman"/>
          <w:i/>
          <w:iCs/>
          <w:sz w:val="24"/>
          <w:szCs w:val="24"/>
          <w:lang w:eastAsia="hr-HR"/>
        </w:rPr>
        <w:t>a)</w:t>
      </w:r>
    </w:p>
    <w:bookmarkEnd w:id="131"/>
    <w:p w14:paraId="5258F230" w14:textId="77777777" w:rsidR="00A03774" w:rsidRPr="00C41483" w:rsidRDefault="00A03774" w:rsidP="006B5133">
      <w:pPr>
        <w:spacing w:after="0" w:line="240" w:lineRule="auto"/>
        <w:jc w:val="both"/>
      </w:pPr>
    </w:p>
    <w:p w14:paraId="015B9211" w14:textId="089F2706" w:rsidR="0064362A" w:rsidRPr="00C41483" w:rsidRDefault="00E12AEC" w:rsidP="0064362A">
      <w:pPr>
        <w:spacing w:after="0" w:line="240" w:lineRule="auto"/>
        <w:jc w:val="both"/>
        <w:rPr>
          <w:rFonts w:ascii="Times New Roman" w:eastAsia="Times New Roman" w:hAnsi="Times New Roman" w:cs="Times New Roman"/>
          <w:noProof/>
          <w:sz w:val="24"/>
          <w:szCs w:val="24"/>
          <w:lang w:eastAsia="hr-HR"/>
        </w:rPr>
      </w:pPr>
      <w:r w:rsidRPr="00C41483">
        <w:rPr>
          <w:rFonts w:ascii="Times New Roman" w:eastAsia="Times New Roman" w:hAnsi="Times New Roman" w:cs="Times New Roman"/>
          <w:noProof/>
          <w:sz w:val="24"/>
          <w:szCs w:val="24"/>
          <w:lang w:eastAsia="hr-HR"/>
        </w:rPr>
        <w:t>(1</w:t>
      </w:r>
      <w:r w:rsidR="00E8616D" w:rsidRPr="00C41483">
        <w:rPr>
          <w:rFonts w:ascii="Times New Roman" w:eastAsia="Times New Roman" w:hAnsi="Times New Roman" w:cs="Times New Roman"/>
          <w:noProof/>
          <w:sz w:val="24"/>
          <w:szCs w:val="24"/>
          <w:lang w:eastAsia="hr-HR"/>
        </w:rPr>
        <w:t>70</w:t>
      </w:r>
      <w:r w:rsidRPr="00C41483">
        <w:rPr>
          <w:rFonts w:ascii="Times New Roman" w:eastAsia="Times New Roman" w:hAnsi="Times New Roman" w:cs="Times New Roman"/>
          <w:noProof/>
          <w:sz w:val="24"/>
          <w:szCs w:val="24"/>
          <w:lang w:eastAsia="hr-HR"/>
        </w:rPr>
        <w:t xml:space="preserve">) </w:t>
      </w:r>
      <w:r w:rsidR="00A03774" w:rsidRPr="00C41483">
        <w:rPr>
          <w:rFonts w:ascii="Times New Roman" w:eastAsia="Times New Roman" w:hAnsi="Times New Roman" w:cs="Times New Roman"/>
          <w:noProof/>
          <w:sz w:val="24"/>
          <w:szCs w:val="24"/>
          <w:lang w:eastAsia="hr-HR"/>
        </w:rPr>
        <w:t>Mreža socijalnih usluga koju je izradilo ministarstvo nadležno za socijalnu skrb određuje potreban broj i vrste socijalnih usluga za područje cijele države sukladno stvarnim potrebama korisnika kojima se pravo na socijalne usluge priznaje rješenjem nadležnog centra za socijalnu skrb. U mrežu su uključeni svi državni pružatelji usluga i nedržavni s kojima Ministarstvo ima sklopljene ugovore za određeni kapacitet, a organizirana je prema korisničkim skupinama i županijama. Mreža je zamišljena kao instrument za planiranje teritorijalne dostupnosti socijalnih usluga prema utvrđenim potrebama i raspoloživim kapacitetima</w:t>
      </w:r>
      <w:r w:rsidR="005E4D6E" w:rsidRPr="00C41483">
        <w:rPr>
          <w:rFonts w:ascii="Times New Roman" w:eastAsia="Times New Roman" w:hAnsi="Times New Roman" w:cs="Times New Roman"/>
          <w:noProof/>
          <w:sz w:val="24"/>
          <w:szCs w:val="24"/>
          <w:lang w:eastAsia="hr-HR"/>
        </w:rPr>
        <w:t>.</w:t>
      </w:r>
      <w:r w:rsidR="0064362A" w:rsidRPr="00C41483">
        <w:rPr>
          <w:rFonts w:ascii="Times New Roman" w:eastAsia="Times New Roman" w:hAnsi="Times New Roman" w:cs="Times New Roman"/>
          <w:noProof/>
          <w:sz w:val="24"/>
          <w:szCs w:val="24"/>
          <w:lang w:eastAsia="hr-HR"/>
        </w:rPr>
        <w:t xml:space="preserve"> Ministarstvo je 2020. godine započelo s provedbom projekta „</w:t>
      </w:r>
      <w:r w:rsidR="002F2333" w:rsidRPr="00C41483">
        <w:rPr>
          <w:rFonts w:ascii="Times New Roman" w:eastAsia="Times New Roman" w:hAnsi="Times New Roman" w:cs="Times New Roman"/>
          <w:noProof/>
          <w:sz w:val="24"/>
          <w:szCs w:val="24"/>
          <w:lang w:eastAsia="hr-HR"/>
        </w:rPr>
        <w:t>Potpora</w:t>
      </w:r>
      <w:r w:rsidR="0064362A" w:rsidRPr="00C41483">
        <w:rPr>
          <w:rFonts w:ascii="Times New Roman" w:eastAsia="Times New Roman" w:hAnsi="Times New Roman" w:cs="Times New Roman"/>
          <w:noProof/>
          <w:sz w:val="24"/>
          <w:szCs w:val="24"/>
          <w:lang w:eastAsia="hr-HR"/>
        </w:rPr>
        <w:t xml:space="preserve"> p</w:t>
      </w:r>
      <w:r w:rsidR="002F2333" w:rsidRPr="00C41483">
        <w:rPr>
          <w:rFonts w:ascii="Times New Roman" w:eastAsia="Times New Roman" w:hAnsi="Times New Roman" w:cs="Times New Roman"/>
          <w:noProof/>
          <w:sz w:val="24"/>
          <w:szCs w:val="24"/>
          <w:lang w:eastAsia="hr-HR"/>
        </w:rPr>
        <w:t xml:space="preserve">oboljšanju </w:t>
      </w:r>
      <w:r w:rsidR="0064362A" w:rsidRPr="00C41483">
        <w:rPr>
          <w:rFonts w:ascii="Times New Roman" w:eastAsia="Times New Roman" w:hAnsi="Times New Roman" w:cs="Times New Roman"/>
          <w:noProof/>
          <w:sz w:val="24"/>
          <w:szCs w:val="24"/>
          <w:lang w:eastAsia="hr-HR"/>
        </w:rPr>
        <w:t>socijalnih usluga</w:t>
      </w:r>
      <w:r w:rsidR="002F2333" w:rsidRPr="00C41483">
        <w:rPr>
          <w:rFonts w:ascii="Times New Roman" w:eastAsia="Times New Roman" w:hAnsi="Times New Roman" w:cs="Times New Roman"/>
          <w:noProof/>
          <w:sz w:val="24"/>
          <w:szCs w:val="24"/>
          <w:lang w:eastAsia="hr-HR"/>
        </w:rPr>
        <w:t xml:space="preserve"> u Hrvatskoj</w:t>
      </w:r>
      <w:r w:rsidR="0064362A" w:rsidRPr="00C41483">
        <w:rPr>
          <w:rFonts w:ascii="Times New Roman" w:eastAsia="Times New Roman" w:hAnsi="Times New Roman" w:cs="Times New Roman"/>
          <w:noProof/>
          <w:sz w:val="24"/>
          <w:szCs w:val="24"/>
          <w:lang w:eastAsia="hr-HR"/>
        </w:rPr>
        <w:t xml:space="preserve">“ financiranog iz Programa podrške strukturnim reformama (SRSP 2020). Jedna od projektnih aktivnosti je razvoj metodologije procjene potreba za pojedinom socijalnom uslugom propisanom Zakonom o socijalnoj skrbi na razini jedinica područne (regionalne) samouprave. Nakon razvijene metodologije ista će se moći primijeniti na sve socijalne usluge, a potrebe za pojedinom socijalnom uslugom će se moći mapirati na razini jedinica područne (regionalne) samouprave te će se sukladno navedenom planirati daljnji razvoj socijalnih usluga. </w:t>
      </w:r>
    </w:p>
    <w:p w14:paraId="221C06D5" w14:textId="6A6712AB" w:rsidR="0064362A" w:rsidRPr="00C41483" w:rsidRDefault="0064362A" w:rsidP="006B5133">
      <w:pPr>
        <w:spacing w:after="0" w:line="240" w:lineRule="auto"/>
        <w:jc w:val="both"/>
        <w:rPr>
          <w:rFonts w:ascii="Times New Roman" w:hAnsi="Times New Roman" w:cs="Times New Roman"/>
          <w:sz w:val="24"/>
          <w:szCs w:val="24"/>
        </w:rPr>
      </w:pPr>
      <w:r w:rsidRPr="00C41483">
        <w:rPr>
          <w:rFonts w:ascii="Times New Roman" w:eastAsia="Times New Roman" w:hAnsi="Times New Roman" w:cs="Times New Roman"/>
          <w:noProof/>
          <w:sz w:val="24"/>
          <w:szCs w:val="24"/>
          <w:lang w:eastAsia="hr-HR"/>
        </w:rPr>
        <w:t xml:space="preserve">Također Ministarstvo redovno objavljuje javne pozive za dodjelu financijskih potpora, iz sredstava državnog proračuna i fondova EU, programima i projektima organizacija civilnog društva radi osiguranja regionalne pokrivenosti u pružanju usluga te razvoja inovativnih i alternativnih usluga u zajednici. U tijeku je izrada Nacionalnog plana razvoja socijalnih usluga za razdoblje od 2021. do 2027. godine s ciljem </w:t>
      </w:r>
      <w:r w:rsidRPr="00C41483">
        <w:rPr>
          <w:rFonts w:ascii="Times New Roman" w:hAnsi="Times New Roman" w:cs="Times New Roman"/>
          <w:sz w:val="24"/>
          <w:szCs w:val="24"/>
        </w:rPr>
        <w:t>osiguravanja regionalne ravnomjernosti i dostupnosti socijalnih usluga na cijelom području R</w:t>
      </w:r>
      <w:r w:rsidR="00905964" w:rsidRPr="00C41483">
        <w:rPr>
          <w:rFonts w:ascii="Times New Roman" w:hAnsi="Times New Roman" w:cs="Times New Roman"/>
          <w:sz w:val="24"/>
          <w:szCs w:val="24"/>
        </w:rPr>
        <w:t>H.</w:t>
      </w:r>
    </w:p>
    <w:p w14:paraId="3381E942" w14:textId="77777777" w:rsidR="00FB078A" w:rsidRPr="00C41483" w:rsidRDefault="00FB078A" w:rsidP="006B5133">
      <w:pPr>
        <w:spacing w:after="0" w:line="240" w:lineRule="auto"/>
        <w:jc w:val="both"/>
        <w:rPr>
          <w:rFonts w:ascii="Times New Roman" w:eastAsia="Times New Roman" w:hAnsi="Times New Roman" w:cs="Times New Roman"/>
          <w:i/>
          <w:iCs/>
          <w:sz w:val="24"/>
          <w:szCs w:val="24"/>
          <w:lang w:eastAsia="hr-HR"/>
        </w:rPr>
      </w:pPr>
    </w:p>
    <w:p w14:paraId="174350EB" w14:textId="4DE3EFFC" w:rsidR="00005A91" w:rsidRPr="00C41483" w:rsidRDefault="00604E80" w:rsidP="006B5133">
      <w:pPr>
        <w:spacing w:after="0" w:line="240" w:lineRule="auto"/>
        <w:jc w:val="both"/>
        <w:rPr>
          <w:rFonts w:ascii="Times New Roman" w:eastAsia="Times New Roman" w:hAnsi="Times New Roman" w:cs="Times New Roman"/>
          <w:i/>
          <w:iCs/>
          <w:sz w:val="24"/>
          <w:szCs w:val="24"/>
          <w:lang w:eastAsia="hr-HR"/>
        </w:rPr>
      </w:pPr>
      <w:bookmarkStart w:id="132" w:name="_Hlk83815578"/>
      <w:r w:rsidRPr="00C41483">
        <w:rPr>
          <w:rFonts w:ascii="Times New Roman" w:eastAsia="Times New Roman" w:hAnsi="Times New Roman" w:cs="Times New Roman"/>
          <w:i/>
          <w:iCs/>
          <w:sz w:val="24"/>
          <w:szCs w:val="24"/>
          <w:lang w:eastAsia="hr-HR"/>
        </w:rPr>
        <w:t>Pitanje 28</w:t>
      </w:r>
      <w:r w:rsidR="00C43DBE" w:rsidRPr="00C41483">
        <w:rPr>
          <w:rFonts w:ascii="Times New Roman" w:eastAsia="Times New Roman" w:hAnsi="Times New Roman" w:cs="Times New Roman"/>
          <w:i/>
          <w:iCs/>
          <w:sz w:val="24"/>
          <w:szCs w:val="24"/>
          <w:lang w:eastAsia="hr-HR"/>
        </w:rPr>
        <w:t xml:space="preserve">b) </w:t>
      </w:r>
      <w:bookmarkEnd w:id="132"/>
    </w:p>
    <w:p w14:paraId="3C7A87C4" w14:textId="77777777" w:rsidR="00604E80" w:rsidRPr="00C41483" w:rsidRDefault="00604E80" w:rsidP="006B5133">
      <w:pPr>
        <w:spacing w:after="0" w:line="240" w:lineRule="auto"/>
        <w:jc w:val="both"/>
        <w:rPr>
          <w:rFonts w:ascii="Times New Roman" w:eastAsia="Times New Roman" w:hAnsi="Times New Roman" w:cs="Times New Roman"/>
          <w:bCs/>
          <w:i/>
          <w:iCs/>
          <w:sz w:val="24"/>
          <w:szCs w:val="24"/>
          <w:lang w:eastAsia="hr-HR"/>
        </w:rPr>
      </w:pPr>
    </w:p>
    <w:p w14:paraId="2AA7D848" w14:textId="74C8E24F" w:rsidR="00EC02FD" w:rsidRPr="00C41483" w:rsidRDefault="00E12AEC" w:rsidP="006B5133">
      <w:pPr>
        <w:pStyle w:val="NormalNormalHZZO1"/>
        <w:spacing w:after="0"/>
        <w:jc w:val="both"/>
        <w:rPr>
          <w:sz w:val="24"/>
          <w:szCs w:val="24"/>
        </w:rPr>
      </w:pPr>
      <w:r w:rsidRPr="00C41483">
        <w:rPr>
          <w:bCs/>
          <w:sz w:val="24"/>
          <w:szCs w:val="24"/>
        </w:rPr>
        <w:t>(</w:t>
      </w:r>
      <w:r w:rsidR="00531C6F" w:rsidRPr="00C41483">
        <w:rPr>
          <w:bCs/>
          <w:sz w:val="24"/>
          <w:szCs w:val="24"/>
        </w:rPr>
        <w:t>1</w:t>
      </w:r>
      <w:r w:rsidR="00E8616D" w:rsidRPr="00C41483">
        <w:rPr>
          <w:bCs/>
          <w:sz w:val="24"/>
          <w:szCs w:val="24"/>
        </w:rPr>
        <w:t>71</w:t>
      </w:r>
      <w:r w:rsidRPr="00C41483">
        <w:rPr>
          <w:bCs/>
          <w:sz w:val="24"/>
          <w:szCs w:val="24"/>
        </w:rPr>
        <w:t xml:space="preserve">) </w:t>
      </w:r>
      <w:r w:rsidR="00812507" w:rsidRPr="00C41483">
        <w:rPr>
          <w:bCs/>
          <w:sz w:val="24"/>
          <w:szCs w:val="24"/>
        </w:rPr>
        <w:t>P</w:t>
      </w:r>
      <w:r w:rsidR="00EC02FD" w:rsidRPr="00C41483">
        <w:rPr>
          <w:bCs/>
          <w:sz w:val="24"/>
          <w:szCs w:val="24"/>
        </w:rPr>
        <w:t>ravo na ortopedsko i drugo pomagalo</w:t>
      </w:r>
      <w:r w:rsidR="00EC02FD" w:rsidRPr="00C41483">
        <w:rPr>
          <w:sz w:val="24"/>
          <w:szCs w:val="24"/>
        </w:rPr>
        <w:t xml:space="preserve"> na teret sredstava </w:t>
      </w:r>
      <w:r w:rsidRPr="00C41483">
        <w:rPr>
          <w:sz w:val="24"/>
          <w:szCs w:val="24"/>
        </w:rPr>
        <w:t>HZZO</w:t>
      </w:r>
      <w:r w:rsidR="00812507" w:rsidRPr="00C41483">
        <w:rPr>
          <w:sz w:val="24"/>
          <w:szCs w:val="24"/>
        </w:rPr>
        <w:t xml:space="preserve"> osigurava se </w:t>
      </w:r>
      <w:r w:rsidR="00EC02FD" w:rsidRPr="00C41483">
        <w:rPr>
          <w:sz w:val="24"/>
          <w:szCs w:val="24"/>
        </w:rPr>
        <w:t xml:space="preserve">u skladu sa Zakonom o obveznom zdravstvenom osiguranju i propisima donesenim osnovom toga Zakona te pod uvjetima i na način utvrđen Pravilnikom o ortopedskim i drugim pomagalima te drugim općim aktima </w:t>
      </w:r>
      <w:r w:rsidRPr="00C41483">
        <w:rPr>
          <w:sz w:val="24"/>
          <w:szCs w:val="24"/>
        </w:rPr>
        <w:t>HZZO-a</w:t>
      </w:r>
      <w:r w:rsidR="00EC02FD" w:rsidRPr="00C41483">
        <w:rPr>
          <w:sz w:val="24"/>
          <w:szCs w:val="24"/>
        </w:rPr>
        <w:t xml:space="preserve">. </w:t>
      </w:r>
      <w:r w:rsidR="00812507" w:rsidRPr="00C41483">
        <w:rPr>
          <w:sz w:val="24"/>
          <w:szCs w:val="24"/>
        </w:rPr>
        <w:t>S</w:t>
      </w:r>
      <w:r w:rsidR="00EC02FD" w:rsidRPr="00C41483">
        <w:rPr>
          <w:sz w:val="24"/>
          <w:szCs w:val="24"/>
        </w:rPr>
        <w:t>vaka osigurana osoba, neovisno o stupnj</w:t>
      </w:r>
      <w:r w:rsidR="002B1DFD" w:rsidRPr="00C41483">
        <w:rPr>
          <w:sz w:val="24"/>
          <w:szCs w:val="24"/>
        </w:rPr>
        <w:t>u</w:t>
      </w:r>
      <w:r w:rsidR="00EC02FD" w:rsidRPr="00C41483">
        <w:rPr>
          <w:sz w:val="24"/>
          <w:szCs w:val="24"/>
        </w:rPr>
        <w:t xml:space="preserve"> invaliditeta, ostvaruje pravo na pomagala koja su utvrđena osnovnom i </w:t>
      </w:r>
      <w:r w:rsidRPr="00C41483">
        <w:rPr>
          <w:sz w:val="24"/>
          <w:szCs w:val="24"/>
        </w:rPr>
        <w:t xml:space="preserve">dodatnom </w:t>
      </w:r>
      <w:r w:rsidR="00EC02FD" w:rsidRPr="00C41483">
        <w:rPr>
          <w:sz w:val="24"/>
          <w:szCs w:val="24"/>
        </w:rPr>
        <w:t xml:space="preserve">listom ortopedskih i drugih pomagala </w:t>
      </w:r>
      <w:r w:rsidRPr="00C41483">
        <w:rPr>
          <w:sz w:val="24"/>
          <w:szCs w:val="24"/>
        </w:rPr>
        <w:lastRenderedPageBreak/>
        <w:t>HZZO-a</w:t>
      </w:r>
      <w:r w:rsidR="00EC02FD" w:rsidRPr="00C41483">
        <w:rPr>
          <w:sz w:val="24"/>
          <w:szCs w:val="24"/>
        </w:rPr>
        <w:t>, a na osnovi medicinske indikacije utvrđene za svako pojedino pomagalo u navedenim listama</w:t>
      </w:r>
      <w:r w:rsidR="00B6391D" w:rsidRPr="00C41483">
        <w:rPr>
          <w:sz w:val="24"/>
          <w:szCs w:val="24"/>
        </w:rPr>
        <w:t>.</w:t>
      </w:r>
    </w:p>
    <w:p w14:paraId="2EA36E50" w14:textId="77777777" w:rsidR="00D0055C" w:rsidRPr="00C41483" w:rsidRDefault="00D0055C" w:rsidP="006B5133">
      <w:pPr>
        <w:pStyle w:val="NormalNormalHZZO1"/>
        <w:spacing w:after="0"/>
        <w:jc w:val="both"/>
        <w:rPr>
          <w:sz w:val="24"/>
          <w:szCs w:val="24"/>
        </w:rPr>
      </w:pPr>
    </w:p>
    <w:p w14:paraId="04211C60" w14:textId="2888945D" w:rsidR="00EC02FD" w:rsidRPr="00C41483" w:rsidRDefault="00E12AEC" w:rsidP="006B5133">
      <w:pPr>
        <w:pStyle w:val="NormalNormalHZZO1"/>
        <w:spacing w:after="0"/>
        <w:jc w:val="both"/>
        <w:rPr>
          <w:sz w:val="24"/>
          <w:szCs w:val="24"/>
        </w:rPr>
      </w:pPr>
      <w:r w:rsidRPr="00C41483">
        <w:rPr>
          <w:sz w:val="24"/>
          <w:szCs w:val="24"/>
        </w:rPr>
        <w:t>(</w:t>
      </w:r>
      <w:r w:rsidR="00531C6F" w:rsidRPr="00C41483">
        <w:rPr>
          <w:sz w:val="24"/>
          <w:szCs w:val="24"/>
        </w:rPr>
        <w:t>1</w:t>
      </w:r>
      <w:r w:rsidR="00E8616D" w:rsidRPr="00C41483">
        <w:rPr>
          <w:sz w:val="24"/>
          <w:szCs w:val="24"/>
        </w:rPr>
        <w:t>72</w:t>
      </w:r>
      <w:r w:rsidRPr="00C41483">
        <w:rPr>
          <w:sz w:val="24"/>
          <w:szCs w:val="24"/>
        </w:rPr>
        <w:t xml:space="preserve">) </w:t>
      </w:r>
      <w:r w:rsidR="00EC02FD" w:rsidRPr="00C41483">
        <w:rPr>
          <w:sz w:val="24"/>
          <w:szCs w:val="24"/>
        </w:rPr>
        <w:t xml:space="preserve">Osnovna i </w:t>
      </w:r>
      <w:r w:rsidR="009B30CB" w:rsidRPr="00C41483">
        <w:rPr>
          <w:sz w:val="24"/>
          <w:szCs w:val="24"/>
        </w:rPr>
        <w:t xml:space="preserve">dodatna </w:t>
      </w:r>
      <w:r w:rsidR="00EC02FD" w:rsidRPr="00C41483">
        <w:rPr>
          <w:sz w:val="24"/>
          <w:szCs w:val="24"/>
        </w:rPr>
        <w:t xml:space="preserve">lista pomagala </w:t>
      </w:r>
      <w:r w:rsidRPr="00C41483">
        <w:rPr>
          <w:sz w:val="24"/>
          <w:szCs w:val="24"/>
        </w:rPr>
        <w:t xml:space="preserve">HZZO-a </w:t>
      </w:r>
      <w:r w:rsidR="00EC02FD" w:rsidRPr="00C41483">
        <w:rPr>
          <w:sz w:val="24"/>
          <w:szCs w:val="24"/>
        </w:rPr>
        <w:t>sadrži pomagala koja su namijenjena omogućavanju poboljšanja oštećenih funkcija, ublažavanju ili otklanjanju tjelesnog oštećenja ili nedostatka organa i sustava organa ili nadomještanju anatomskih ili fizioloških funkcija organa, koji su nastali kao posljedica bolesti ili ozljede.</w:t>
      </w:r>
    </w:p>
    <w:p w14:paraId="2385FE61" w14:textId="77777777" w:rsidR="00EC02FD" w:rsidRPr="00C41483" w:rsidRDefault="00EC02FD" w:rsidP="006B5133">
      <w:pPr>
        <w:spacing w:after="0" w:line="240" w:lineRule="auto"/>
        <w:jc w:val="both"/>
        <w:rPr>
          <w:rFonts w:ascii="Times New Roman" w:eastAsia="Times New Roman" w:hAnsi="Times New Roman" w:cs="Times New Roman"/>
          <w:i/>
          <w:iCs/>
          <w:sz w:val="24"/>
          <w:szCs w:val="24"/>
          <w:lang w:eastAsia="hr-HR"/>
        </w:rPr>
      </w:pPr>
    </w:p>
    <w:p w14:paraId="79D824E0" w14:textId="622600CA" w:rsidR="00C43DBE" w:rsidRPr="00C41483" w:rsidRDefault="00604E80" w:rsidP="006B5133">
      <w:pPr>
        <w:spacing w:after="0" w:line="240" w:lineRule="auto"/>
        <w:jc w:val="both"/>
        <w:rPr>
          <w:rFonts w:ascii="Times New Roman" w:eastAsia="Times New Roman" w:hAnsi="Times New Roman" w:cs="Times New Roman"/>
          <w:i/>
          <w:iCs/>
          <w:sz w:val="24"/>
          <w:szCs w:val="24"/>
          <w:lang w:eastAsia="hr-HR"/>
        </w:rPr>
      </w:pPr>
      <w:bookmarkStart w:id="133" w:name="_Hlk83815588"/>
      <w:r w:rsidRPr="00C41483">
        <w:rPr>
          <w:rFonts w:ascii="Times New Roman" w:eastAsia="Times New Roman" w:hAnsi="Times New Roman" w:cs="Times New Roman"/>
          <w:i/>
          <w:iCs/>
          <w:sz w:val="24"/>
          <w:szCs w:val="24"/>
          <w:lang w:eastAsia="hr-HR"/>
        </w:rPr>
        <w:t>Pitanje 28</w:t>
      </w:r>
      <w:r w:rsidR="00C43DBE" w:rsidRPr="00C41483">
        <w:rPr>
          <w:rFonts w:ascii="Times New Roman" w:eastAsia="Times New Roman" w:hAnsi="Times New Roman" w:cs="Times New Roman"/>
          <w:i/>
          <w:iCs/>
          <w:sz w:val="24"/>
          <w:szCs w:val="24"/>
          <w:lang w:eastAsia="hr-HR"/>
        </w:rPr>
        <w:t xml:space="preserve">c) </w:t>
      </w:r>
    </w:p>
    <w:p w14:paraId="5F8CE28F" w14:textId="77777777" w:rsidR="00EC4E8A" w:rsidRPr="00C41483" w:rsidRDefault="00EC4E8A" w:rsidP="006B5133">
      <w:pPr>
        <w:spacing w:after="0" w:line="240" w:lineRule="auto"/>
        <w:jc w:val="both"/>
        <w:rPr>
          <w:rFonts w:ascii="Times New Roman" w:eastAsia="Times New Roman" w:hAnsi="Times New Roman" w:cs="Times New Roman"/>
          <w:sz w:val="24"/>
          <w:szCs w:val="24"/>
          <w:lang w:eastAsia="hr-HR"/>
        </w:rPr>
      </w:pPr>
    </w:p>
    <w:bookmarkEnd w:id="133"/>
    <w:p w14:paraId="021C0D21" w14:textId="10CCD5FF" w:rsidR="00A070E9" w:rsidRPr="00C41483" w:rsidRDefault="00E12AEC" w:rsidP="006B5133">
      <w:pPr>
        <w:spacing w:after="0" w:line="240" w:lineRule="auto"/>
        <w:jc w:val="both"/>
        <w:rPr>
          <w:rFonts w:ascii="Times New Roman" w:eastAsia="Times New Roman" w:hAnsi="Times New Roman" w:cs="Times New Roman"/>
          <w:sz w:val="24"/>
          <w:szCs w:val="24"/>
          <w:lang w:eastAsia="hr-HR"/>
        </w:rPr>
      </w:pPr>
      <w:r w:rsidRPr="00C41483">
        <w:rPr>
          <w:rFonts w:ascii="Times New Roman" w:eastAsia="Times New Roman" w:hAnsi="Times New Roman" w:cs="Times New Roman"/>
          <w:sz w:val="24"/>
          <w:szCs w:val="24"/>
          <w:lang w:eastAsia="hr-HR"/>
        </w:rPr>
        <w:t>(</w:t>
      </w:r>
      <w:r w:rsidR="00531C6F" w:rsidRPr="00C41483">
        <w:rPr>
          <w:rFonts w:ascii="Times New Roman" w:eastAsia="Times New Roman" w:hAnsi="Times New Roman" w:cs="Times New Roman"/>
          <w:sz w:val="24"/>
          <w:szCs w:val="24"/>
          <w:lang w:eastAsia="hr-HR"/>
        </w:rPr>
        <w:t>17</w:t>
      </w:r>
      <w:r w:rsidR="00E8616D" w:rsidRPr="00C41483">
        <w:rPr>
          <w:rFonts w:ascii="Times New Roman" w:eastAsia="Times New Roman" w:hAnsi="Times New Roman" w:cs="Times New Roman"/>
          <w:sz w:val="24"/>
          <w:szCs w:val="24"/>
          <w:lang w:eastAsia="hr-HR"/>
        </w:rPr>
        <w:t>3</w:t>
      </w:r>
      <w:r w:rsidRPr="00C41483">
        <w:rPr>
          <w:rFonts w:ascii="Times New Roman" w:eastAsia="Times New Roman" w:hAnsi="Times New Roman" w:cs="Times New Roman"/>
          <w:sz w:val="24"/>
          <w:szCs w:val="24"/>
          <w:lang w:eastAsia="hr-HR"/>
        </w:rPr>
        <w:t xml:space="preserve">) </w:t>
      </w:r>
      <w:r w:rsidR="00841E47" w:rsidRPr="00C41483">
        <w:rPr>
          <w:rFonts w:ascii="Times New Roman" w:eastAsia="Times New Roman" w:hAnsi="Times New Roman" w:cs="Times New Roman"/>
          <w:sz w:val="24"/>
          <w:szCs w:val="24"/>
          <w:lang w:eastAsia="hr-HR"/>
        </w:rPr>
        <w:t>S obzirom da je Zakon o pravima hrvatskih branitelja iz Domovinskog rata i članova njihovih obitelji mijenjan više od 10 puta te da je analiza stanja pokazala potrebu opsežnih promjena, 2017. godine donesen je novi</w:t>
      </w:r>
      <w:r w:rsidR="00E755CD" w:rsidRPr="00C41483">
        <w:rPr>
          <w:rFonts w:ascii="Times New Roman" w:eastAsia="Times New Roman" w:hAnsi="Times New Roman" w:cs="Times New Roman"/>
          <w:sz w:val="24"/>
          <w:szCs w:val="24"/>
          <w:lang w:eastAsia="hr-HR"/>
        </w:rPr>
        <w:t xml:space="preserve"> Z</w:t>
      </w:r>
      <w:r w:rsidR="00841E47" w:rsidRPr="00C41483">
        <w:rPr>
          <w:rFonts w:ascii="Times New Roman" w:eastAsia="Times New Roman" w:hAnsi="Times New Roman" w:cs="Times New Roman"/>
          <w:sz w:val="24"/>
          <w:szCs w:val="24"/>
          <w:lang w:eastAsia="hr-HR"/>
        </w:rPr>
        <w:t xml:space="preserve">akon o hrvatskim braniteljima iz Domovinskog rata i članovima njihovih obitelji kao jedinstveni zakon u kojem se sustavnim pristupom na sveobuhvatan način rješavaju pitanja braniteljsko-stradalničke populacije. Novim zakonom u dijelu koji se odnosi na hrvatske ratne vojne invalide iz Domovinskog rata uređeno je sljedeće: otvoren je rok za priznavanje statusa hrvatskog ratnoj vojnog invalida iz Domovinskog rata po osnovi bolesti koji je zatvoren 2006. godine, uvedena je naknada za nezaposlene hrvatske branitelje iz Domovinskog rata i članove njihovih obitelji, viši iznos najniže mirovine ovisno o duljini sudjelovanja u borbenom sektoru, intenziviranje stambenog zbrinjavanja u suradnji s tijelima državne uprave koja upravljaju stanovima i kućama u vlasništvu RH, omogućen je rad uz mirovinu, ostvarivanje prava iz obveznog zdravstvenog osiguranja i prava izvan standarda prava iz obveznog zdravstvenog osiguranja, prava iz mirovinskog osiguranja, prava na </w:t>
      </w:r>
      <w:r w:rsidR="00223969" w:rsidRPr="00C41483">
        <w:rPr>
          <w:rFonts w:ascii="Times New Roman" w:eastAsia="Times New Roman" w:hAnsi="Times New Roman" w:cs="Times New Roman"/>
          <w:sz w:val="24"/>
          <w:szCs w:val="24"/>
          <w:lang w:eastAsia="hr-HR"/>
        </w:rPr>
        <w:t>osnovi</w:t>
      </w:r>
      <w:r w:rsidR="00841E47" w:rsidRPr="00C41483">
        <w:rPr>
          <w:rFonts w:ascii="Times New Roman" w:eastAsia="Times New Roman" w:hAnsi="Times New Roman" w:cs="Times New Roman"/>
          <w:sz w:val="24"/>
          <w:szCs w:val="24"/>
          <w:lang w:eastAsia="hr-HR"/>
        </w:rPr>
        <w:t xml:space="preserve"> oštećenja organizma (osobna </w:t>
      </w:r>
      <w:r w:rsidR="00223969" w:rsidRPr="00C41483">
        <w:rPr>
          <w:rFonts w:ascii="Times New Roman" w:eastAsia="Times New Roman" w:hAnsi="Times New Roman" w:cs="Times New Roman"/>
          <w:sz w:val="24"/>
          <w:szCs w:val="24"/>
          <w:lang w:eastAsia="hr-HR"/>
        </w:rPr>
        <w:t>invalidnina</w:t>
      </w:r>
      <w:r w:rsidR="00841E47" w:rsidRPr="00C41483">
        <w:rPr>
          <w:rFonts w:ascii="Times New Roman" w:eastAsia="Times New Roman" w:hAnsi="Times New Roman" w:cs="Times New Roman"/>
          <w:sz w:val="24"/>
          <w:szCs w:val="24"/>
          <w:lang w:eastAsia="hr-HR"/>
        </w:rPr>
        <w:t>, doplatak za</w:t>
      </w:r>
      <w:r w:rsidR="0004763D" w:rsidRPr="00C41483">
        <w:rPr>
          <w:rFonts w:ascii="Times New Roman" w:eastAsia="Times New Roman" w:hAnsi="Times New Roman" w:cs="Times New Roman"/>
          <w:sz w:val="24"/>
          <w:szCs w:val="24"/>
          <w:lang w:eastAsia="hr-HR"/>
        </w:rPr>
        <w:t xml:space="preserve"> njegu i pom</w:t>
      </w:r>
      <w:r w:rsidR="00841E47" w:rsidRPr="00C41483">
        <w:rPr>
          <w:rFonts w:ascii="Times New Roman" w:eastAsia="Times New Roman" w:hAnsi="Times New Roman" w:cs="Times New Roman"/>
          <w:sz w:val="24"/>
          <w:szCs w:val="24"/>
          <w:lang w:eastAsia="hr-HR"/>
        </w:rPr>
        <w:t>oć</w:t>
      </w:r>
      <w:r w:rsidR="0004763D" w:rsidRPr="00C41483">
        <w:rPr>
          <w:rFonts w:ascii="Times New Roman" w:eastAsia="Times New Roman" w:hAnsi="Times New Roman" w:cs="Times New Roman"/>
          <w:sz w:val="24"/>
          <w:szCs w:val="24"/>
          <w:lang w:eastAsia="hr-HR"/>
        </w:rPr>
        <w:t xml:space="preserve"> druge osobe</w:t>
      </w:r>
      <w:r w:rsidR="00841E47" w:rsidRPr="00C41483">
        <w:rPr>
          <w:rFonts w:ascii="Times New Roman" w:eastAsia="Times New Roman" w:hAnsi="Times New Roman" w:cs="Times New Roman"/>
          <w:sz w:val="24"/>
          <w:szCs w:val="24"/>
          <w:lang w:eastAsia="hr-HR"/>
        </w:rPr>
        <w:t xml:space="preserve">, ortopedski doplatak, </w:t>
      </w:r>
      <w:r w:rsidR="00223969" w:rsidRPr="00C41483">
        <w:rPr>
          <w:rFonts w:ascii="Times New Roman" w:eastAsia="Times New Roman" w:hAnsi="Times New Roman" w:cs="Times New Roman"/>
          <w:sz w:val="24"/>
          <w:szCs w:val="24"/>
          <w:lang w:eastAsia="hr-HR"/>
        </w:rPr>
        <w:t>posebni</w:t>
      </w:r>
      <w:r w:rsidR="00841E47" w:rsidRPr="00C41483">
        <w:rPr>
          <w:rFonts w:ascii="Times New Roman" w:eastAsia="Times New Roman" w:hAnsi="Times New Roman" w:cs="Times New Roman"/>
          <w:sz w:val="24"/>
          <w:szCs w:val="24"/>
          <w:lang w:eastAsia="hr-HR"/>
        </w:rPr>
        <w:t xml:space="preserve"> doplatak, usluge osobe za pružanje njege i pomoći, pravo na prilagođeni osobni automobil i pravo </w:t>
      </w:r>
      <w:r w:rsidR="00223969" w:rsidRPr="00C41483">
        <w:rPr>
          <w:rFonts w:ascii="Times New Roman" w:eastAsia="Times New Roman" w:hAnsi="Times New Roman" w:cs="Times New Roman"/>
          <w:sz w:val="24"/>
          <w:szCs w:val="24"/>
          <w:lang w:eastAsia="hr-HR"/>
        </w:rPr>
        <w:t>na naknadu</w:t>
      </w:r>
      <w:r w:rsidR="00841E47" w:rsidRPr="00C41483">
        <w:rPr>
          <w:rFonts w:ascii="Times New Roman" w:eastAsia="Times New Roman" w:hAnsi="Times New Roman" w:cs="Times New Roman"/>
          <w:sz w:val="24"/>
          <w:szCs w:val="24"/>
          <w:lang w:eastAsia="hr-HR"/>
        </w:rPr>
        <w:t xml:space="preserve"> troška prilagodbe osobnog automobila), pravo na stambeno zbrinjavanje, pravo na prednost pri zapošljavanju pod jednakim uvjetima, doplatak za pripomoć u kući, </w:t>
      </w:r>
      <w:r w:rsidR="00223969" w:rsidRPr="00C41483">
        <w:rPr>
          <w:rFonts w:ascii="Times New Roman" w:eastAsia="Times New Roman" w:hAnsi="Times New Roman" w:cs="Times New Roman"/>
          <w:sz w:val="24"/>
          <w:szCs w:val="24"/>
          <w:lang w:eastAsia="hr-HR"/>
        </w:rPr>
        <w:t>jednokratna</w:t>
      </w:r>
      <w:r w:rsidR="00841E47" w:rsidRPr="00C41483">
        <w:rPr>
          <w:rFonts w:ascii="Times New Roman" w:eastAsia="Times New Roman" w:hAnsi="Times New Roman" w:cs="Times New Roman"/>
          <w:sz w:val="24"/>
          <w:szCs w:val="24"/>
          <w:lang w:eastAsia="hr-HR"/>
        </w:rPr>
        <w:t xml:space="preserve"> novčana pomoć, pravo na potporu za obrazovanje, pravo na besplatne udžbenike, prednosti pri smještaju u ustanove socijalne skrbi, pravo na psihosocijalnu pomoć, pravo na pravnu pomoć, pravo na dodjelu udjela u Fondu hrvatskih branitelja iz Domovinskog rata i članova njihovih obitelji, pravo na ustupanje dionica, </w:t>
      </w:r>
      <w:r w:rsidR="00223969" w:rsidRPr="00C41483">
        <w:rPr>
          <w:rFonts w:ascii="Times New Roman" w:eastAsia="Times New Roman" w:hAnsi="Times New Roman" w:cs="Times New Roman"/>
          <w:sz w:val="24"/>
          <w:szCs w:val="24"/>
          <w:lang w:eastAsia="hr-HR"/>
        </w:rPr>
        <w:t>prednost pri zakupu poslovnog prostora, oslobođenje od plaćanja naknade za prenamjenu poljoprivrednog zemljišta, oslobođenje od plaćanja sudskih, upravnih i javnobilježničkih pristojbi za ostvarivanje prava iz ovog Zakona te pravo na korištenje veteranskih centara.</w:t>
      </w:r>
    </w:p>
    <w:p w14:paraId="6B17D9D3" w14:textId="77777777" w:rsidR="00D0055C" w:rsidRPr="00C41483" w:rsidRDefault="00D0055C" w:rsidP="006B5133">
      <w:pPr>
        <w:spacing w:after="0" w:line="240" w:lineRule="auto"/>
        <w:jc w:val="both"/>
        <w:rPr>
          <w:rFonts w:ascii="Times New Roman" w:eastAsia="Times New Roman" w:hAnsi="Times New Roman" w:cs="Times New Roman"/>
          <w:sz w:val="24"/>
          <w:szCs w:val="24"/>
          <w:lang w:eastAsia="hr-HR"/>
        </w:rPr>
      </w:pPr>
    </w:p>
    <w:p w14:paraId="64958668" w14:textId="2892F706" w:rsidR="00290A71" w:rsidRPr="00C41483" w:rsidRDefault="00E12AEC" w:rsidP="006B5133">
      <w:pPr>
        <w:spacing w:after="0" w:line="240" w:lineRule="auto"/>
        <w:jc w:val="both"/>
        <w:rPr>
          <w:rFonts w:ascii="Times New Roman" w:eastAsia="Times New Roman" w:hAnsi="Times New Roman" w:cs="Times New Roman"/>
          <w:sz w:val="24"/>
          <w:szCs w:val="24"/>
          <w:lang w:eastAsia="hr-HR"/>
        </w:rPr>
      </w:pPr>
      <w:r w:rsidRPr="00C41483">
        <w:rPr>
          <w:rFonts w:ascii="Times New Roman" w:eastAsia="Times New Roman" w:hAnsi="Times New Roman" w:cs="Times New Roman"/>
          <w:sz w:val="24"/>
          <w:szCs w:val="24"/>
          <w:lang w:eastAsia="hr-HR"/>
        </w:rPr>
        <w:t>(</w:t>
      </w:r>
      <w:r w:rsidR="00531C6F" w:rsidRPr="00C41483">
        <w:rPr>
          <w:rFonts w:ascii="Times New Roman" w:eastAsia="Times New Roman" w:hAnsi="Times New Roman" w:cs="Times New Roman"/>
          <w:sz w:val="24"/>
          <w:szCs w:val="24"/>
          <w:lang w:eastAsia="hr-HR"/>
        </w:rPr>
        <w:t>17</w:t>
      </w:r>
      <w:r w:rsidR="00E8616D" w:rsidRPr="00C41483">
        <w:rPr>
          <w:rFonts w:ascii="Times New Roman" w:eastAsia="Times New Roman" w:hAnsi="Times New Roman" w:cs="Times New Roman"/>
          <w:sz w:val="24"/>
          <w:szCs w:val="24"/>
          <w:lang w:eastAsia="hr-HR"/>
        </w:rPr>
        <w:t>4</w:t>
      </w:r>
      <w:r w:rsidRPr="00C41483">
        <w:rPr>
          <w:rFonts w:ascii="Times New Roman" w:eastAsia="Times New Roman" w:hAnsi="Times New Roman" w:cs="Times New Roman"/>
          <w:sz w:val="24"/>
          <w:szCs w:val="24"/>
          <w:lang w:eastAsia="hr-HR"/>
        </w:rPr>
        <w:t xml:space="preserve">) </w:t>
      </w:r>
      <w:r w:rsidR="00290A71" w:rsidRPr="00C41483">
        <w:rPr>
          <w:rFonts w:ascii="Times New Roman" w:eastAsia="Times New Roman" w:hAnsi="Times New Roman" w:cs="Times New Roman"/>
          <w:sz w:val="24"/>
          <w:szCs w:val="24"/>
          <w:lang w:eastAsia="hr-HR"/>
        </w:rPr>
        <w:t>Nadalje, Vlada RH je 2017. godine donijela Odluku</w:t>
      </w:r>
      <w:r w:rsidR="008463B8" w:rsidRPr="00C41483">
        <w:rPr>
          <w:rFonts w:ascii="Times New Roman" w:eastAsia="Times New Roman" w:hAnsi="Times New Roman" w:cs="Times New Roman"/>
          <w:sz w:val="24"/>
          <w:szCs w:val="24"/>
          <w:lang w:eastAsia="hr-HR"/>
        </w:rPr>
        <w:t xml:space="preserve"> o prestanku smanjenja mirovina koja se odnosi na </w:t>
      </w:r>
      <w:r w:rsidR="0004763D" w:rsidRPr="00C41483">
        <w:rPr>
          <w:rFonts w:ascii="Times New Roman" w:eastAsia="Times New Roman" w:hAnsi="Times New Roman" w:cs="Times New Roman"/>
          <w:sz w:val="24"/>
          <w:szCs w:val="24"/>
          <w:lang w:eastAsia="hr-HR"/>
        </w:rPr>
        <w:t>Zakon o smanjenju mirovina određenih, odnosno ostvarenih prema posebnim propisima o mirovinskom osiguranju iz 2014. godine</w:t>
      </w:r>
      <w:r w:rsidR="008463B8" w:rsidRPr="00C41483">
        <w:rPr>
          <w:rFonts w:ascii="Times New Roman" w:eastAsia="Times New Roman" w:hAnsi="Times New Roman" w:cs="Times New Roman"/>
          <w:sz w:val="24"/>
          <w:szCs w:val="24"/>
          <w:lang w:eastAsia="hr-HR"/>
        </w:rPr>
        <w:t>. Ovo smanjenje koje se odnosilo na mirovine veće od 5.000,00 kn primjenjivalo se kao privremena mjera od 1. siječnja 2014. godine. Prestanak ovog smanjenja predviđen je kada porast B</w:t>
      </w:r>
      <w:r w:rsidR="00E755CD" w:rsidRPr="00C41483">
        <w:rPr>
          <w:rFonts w:ascii="Times New Roman" w:eastAsia="Times New Roman" w:hAnsi="Times New Roman" w:cs="Times New Roman"/>
          <w:sz w:val="24"/>
          <w:szCs w:val="24"/>
          <w:lang w:eastAsia="hr-HR"/>
        </w:rPr>
        <w:t>D</w:t>
      </w:r>
      <w:r w:rsidR="008463B8" w:rsidRPr="00C41483">
        <w:rPr>
          <w:rFonts w:ascii="Times New Roman" w:eastAsia="Times New Roman" w:hAnsi="Times New Roman" w:cs="Times New Roman"/>
          <w:sz w:val="24"/>
          <w:szCs w:val="24"/>
          <w:lang w:eastAsia="hr-HR"/>
        </w:rPr>
        <w:t>P-a u tri izvještajna razdoblja u odnosu na isto prošlogodišnje razdoblje bude najmanje 2%, a deficit DP u istom razdoblju bude manji od 3%. Obzirom na ispunjenje prethodno navedenih uvjeta, VRH donijela je Odluku kojom se prestaje primjenjivati smanjenje mirovina.</w:t>
      </w:r>
    </w:p>
    <w:p w14:paraId="444FCA0F" w14:textId="77777777" w:rsidR="00D0055C" w:rsidRPr="00C41483" w:rsidRDefault="00D0055C" w:rsidP="006B5133">
      <w:pPr>
        <w:spacing w:after="0" w:line="240" w:lineRule="auto"/>
        <w:jc w:val="both"/>
        <w:rPr>
          <w:rFonts w:ascii="Times New Roman" w:eastAsia="Times New Roman" w:hAnsi="Times New Roman" w:cs="Times New Roman"/>
          <w:sz w:val="24"/>
          <w:szCs w:val="24"/>
          <w:lang w:eastAsia="hr-HR"/>
        </w:rPr>
      </w:pPr>
    </w:p>
    <w:p w14:paraId="4732EA00" w14:textId="4D29F677" w:rsidR="00417016" w:rsidRPr="00C41483" w:rsidRDefault="00E12AEC" w:rsidP="006B5133">
      <w:pPr>
        <w:spacing w:after="0" w:line="240" w:lineRule="auto"/>
        <w:jc w:val="both"/>
        <w:rPr>
          <w:rFonts w:ascii="Times New Roman" w:eastAsia="Times New Roman" w:hAnsi="Times New Roman" w:cs="Times New Roman"/>
          <w:sz w:val="24"/>
          <w:szCs w:val="24"/>
          <w:lang w:eastAsia="hr-HR"/>
        </w:rPr>
      </w:pPr>
      <w:r w:rsidRPr="00C41483">
        <w:rPr>
          <w:rFonts w:ascii="Times New Roman" w:eastAsia="Times New Roman" w:hAnsi="Times New Roman" w:cs="Times New Roman"/>
          <w:sz w:val="24"/>
          <w:szCs w:val="24"/>
          <w:lang w:eastAsia="hr-HR"/>
        </w:rPr>
        <w:t>(</w:t>
      </w:r>
      <w:r w:rsidR="00531C6F" w:rsidRPr="00C41483">
        <w:rPr>
          <w:rFonts w:ascii="Times New Roman" w:eastAsia="Times New Roman" w:hAnsi="Times New Roman" w:cs="Times New Roman"/>
          <w:sz w:val="24"/>
          <w:szCs w:val="24"/>
          <w:lang w:eastAsia="hr-HR"/>
        </w:rPr>
        <w:t>17</w:t>
      </w:r>
      <w:r w:rsidR="00E8616D" w:rsidRPr="00C41483">
        <w:rPr>
          <w:rFonts w:ascii="Times New Roman" w:eastAsia="Times New Roman" w:hAnsi="Times New Roman" w:cs="Times New Roman"/>
          <w:sz w:val="24"/>
          <w:szCs w:val="24"/>
          <w:lang w:eastAsia="hr-HR"/>
        </w:rPr>
        <w:t>5</w:t>
      </w:r>
      <w:r w:rsidRPr="00C41483">
        <w:rPr>
          <w:rFonts w:ascii="Times New Roman" w:eastAsia="Times New Roman" w:hAnsi="Times New Roman" w:cs="Times New Roman"/>
          <w:sz w:val="24"/>
          <w:szCs w:val="24"/>
          <w:lang w:eastAsia="hr-HR"/>
        </w:rPr>
        <w:t xml:space="preserve">) </w:t>
      </w:r>
      <w:r w:rsidR="00417016" w:rsidRPr="00C41483">
        <w:rPr>
          <w:rFonts w:ascii="Times New Roman" w:eastAsia="Times New Roman" w:hAnsi="Times New Roman" w:cs="Times New Roman"/>
          <w:sz w:val="24"/>
          <w:szCs w:val="24"/>
          <w:lang w:eastAsia="hr-HR"/>
        </w:rPr>
        <w:t xml:space="preserve">Prava civilnih stradalnika Domovinskog rata </w:t>
      </w:r>
      <w:r w:rsidR="00E755CD" w:rsidRPr="00C41483">
        <w:rPr>
          <w:rFonts w:ascii="Times New Roman" w:eastAsia="Times New Roman" w:hAnsi="Times New Roman" w:cs="Times New Roman"/>
          <w:sz w:val="24"/>
          <w:szCs w:val="24"/>
          <w:lang w:eastAsia="hr-HR"/>
        </w:rPr>
        <w:t xml:space="preserve">bila su </w:t>
      </w:r>
      <w:r w:rsidR="00417016" w:rsidRPr="00C41483">
        <w:rPr>
          <w:rFonts w:ascii="Times New Roman" w:eastAsia="Times New Roman" w:hAnsi="Times New Roman" w:cs="Times New Roman"/>
          <w:sz w:val="24"/>
          <w:szCs w:val="24"/>
          <w:lang w:eastAsia="hr-HR"/>
        </w:rPr>
        <w:t xml:space="preserve">regulirana zakonom o zaštiti vojnih i civilnih invalida rata koji je donesen 1992. godine i od tada je mijenjan čak 12 puta. Unatoč brojnim izmjenama navedenim propisom i dalje nisu obuhvaćeni svi civilni stradalnici Domovinskog rata, </w:t>
      </w:r>
      <w:r w:rsidR="00E755CD" w:rsidRPr="00C41483">
        <w:rPr>
          <w:rFonts w:ascii="Times New Roman" w:eastAsia="Times New Roman" w:hAnsi="Times New Roman" w:cs="Times New Roman"/>
          <w:sz w:val="24"/>
          <w:szCs w:val="24"/>
          <w:lang w:eastAsia="hr-HR"/>
        </w:rPr>
        <w:t xml:space="preserve">a </w:t>
      </w:r>
      <w:r w:rsidR="00417016" w:rsidRPr="00C41483">
        <w:rPr>
          <w:rFonts w:ascii="Times New Roman" w:eastAsia="Times New Roman" w:hAnsi="Times New Roman" w:cs="Times New Roman"/>
          <w:sz w:val="24"/>
          <w:szCs w:val="24"/>
          <w:lang w:eastAsia="hr-HR"/>
        </w:rPr>
        <w:t xml:space="preserve">prava nisu prilagođena potrebama ove populacije. Kako bismo zaokružili normativni segment rješavanja problema braniteljsko-stradalničke populacije, a nastavno na donošenje Zakona o hrvatskim braniteljima iz Domovinskog rata i članovima njihovih obitelji </w:t>
      </w:r>
      <w:r w:rsidR="00417016" w:rsidRPr="00C41483">
        <w:rPr>
          <w:rFonts w:ascii="Times New Roman" w:eastAsia="Times New Roman" w:hAnsi="Times New Roman" w:cs="Times New Roman"/>
          <w:sz w:val="24"/>
          <w:szCs w:val="24"/>
          <w:lang w:eastAsia="hr-HR"/>
        </w:rPr>
        <w:lastRenderedPageBreak/>
        <w:t xml:space="preserve">2017. godine, započet </w:t>
      </w:r>
      <w:r w:rsidR="000E300E" w:rsidRPr="00C41483">
        <w:rPr>
          <w:rFonts w:ascii="Times New Roman" w:eastAsia="Times New Roman" w:hAnsi="Times New Roman" w:cs="Times New Roman"/>
          <w:sz w:val="24"/>
          <w:szCs w:val="24"/>
          <w:lang w:eastAsia="hr-HR"/>
        </w:rPr>
        <w:t>j</w:t>
      </w:r>
      <w:r w:rsidR="00417016" w:rsidRPr="00C41483">
        <w:rPr>
          <w:rFonts w:ascii="Times New Roman" w:eastAsia="Times New Roman" w:hAnsi="Times New Roman" w:cs="Times New Roman"/>
          <w:sz w:val="24"/>
          <w:szCs w:val="24"/>
          <w:lang w:eastAsia="hr-HR"/>
        </w:rPr>
        <w:t xml:space="preserve">e postupak donošenja novog Zakona o civilnim </w:t>
      </w:r>
      <w:r w:rsidR="000E300E" w:rsidRPr="00C41483">
        <w:rPr>
          <w:rFonts w:ascii="Times New Roman" w:eastAsia="Times New Roman" w:hAnsi="Times New Roman" w:cs="Times New Roman"/>
          <w:sz w:val="24"/>
          <w:szCs w:val="24"/>
          <w:lang w:eastAsia="hr-HR"/>
        </w:rPr>
        <w:t>stradalnicima</w:t>
      </w:r>
      <w:r w:rsidR="00417016" w:rsidRPr="00C41483">
        <w:rPr>
          <w:rFonts w:ascii="Times New Roman" w:eastAsia="Times New Roman" w:hAnsi="Times New Roman" w:cs="Times New Roman"/>
          <w:sz w:val="24"/>
          <w:szCs w:val="24"/>
          <w:lang w:eastAsia="hr-HR"/>
        </w:rPr>
        <w:t xml:space="preserve"> iz Domovinskog rata</w:t>
      </w:r>
      <w:r w:rsidR="00E755CD" w:rsidRPr="00C41483">
        <w:rPr>
          <w:rFonts w:ascii="Times New Roman" w:eastAsia="Times New Roman" w:hAnsi="Times New Roman" w:cs="Times New Roman"/>
          <w:sz w:val="24"/>
          <w:szCs w:val="24"/>
          <w:lang w:eastAsia="hr-HR"/>
        </w:rPr>
        <w:t xml:space="preserve"> koji će</w:t>
      </w:r>
      <w:r w:rsidR="00417016" w:rsidRPr="00C41483">
        <w:rPr>
          <w:rFonts w:ascii="Times New Roman" w:eastAsia="Times New Roman" w:hAnsi="Times New Roman" w:cs="Times New Roman"/>
          <w:sz w:val="24"/>
          <w:szCs w:val="24"/>
          <w:lang w:eastAsia="hr-HR"/>
        </w:rPr>
        <w:t xml:space="preserve"> omogućit</w:t>
      </w:r>
      <w:r w:rsidR="00E755CD" w:rsidRPr="00C41483">
        <w:rPr>
          <w:rFonts w:ascii="Times New Roman" w:eastAsia="Times New Roman" w:hAnsi="Times New Roman" w:cs="Times New Roman"/>
          <w:sz w:val="24"/>
          <w:szCs w:val="24"/>
          <w:lang w:eastAsia="hr-HR"/>
        </w:rPr>
        <w:t>i</w:t>
      </w:r>
      <w:r w:rsidR="00417016" w:rsidRPr="00C41483">
        <w:rPr>
          <w:rFonts w:ascii="Times New Roman" w:eastAsia="Times New Roman" w:hAnsi="Times New Roman" w:cs="Times New Roman"/>
          <w:sz w:val="24"/>
          <w:szCs w:val="24"/>
          <w:lang w:eastAsia="hr-HR"/>
        </w:rPr>
        <w:t xml:space="preserve"> ostvarivanj</w:t>
      </w:r>
      <w:r w:rsidR="00E755CD" w:rsidRPr="00C41483">
        <w:rPr>
          <w:rFonts w:ascii="Times New Roman" w:eastAsia="Times New Roman" w:hAnsi="Times New Roman" w:cs="Times New Roman"/>
          <w:sz w:val="24"/>
          <w:szCs w:val="24"/>
          <w:lang w:eastAsia="hr-HR"/>
        </w:rPr>
        <w:t>e</w:t>
      </w:r>
      <w:r w:rsidR="00417016" w:rsidRPr="00C41483">
        <w:rPr>
          <w:rFonts w:ascii="Times New Roman" w:eastAsia="Times New Roman" w:hAnsi="Times New Roman" w:cs="Times New Roman"/>
          <w:sz w:val="24"/>
          <w:szCs w:val="24"/>
          <w:lang w:eastAsia="hr-HR"/>
        </w:rPr>
        <w:t xml:space="preserve"> statusa i prava onim civilnim stradalnicima Domovinskog rata koji to nisu mogli po </w:t>
      </w:r>
      <w:r w:rsidR="00E755CD" w:rsidRPr="00C41483">
        <w:rPr>
          <w:rFonts w:ascii="Times New Roman" w:eastAsia="Times New Roman" w:hAnsi="Times New Roman" w:cs="Times New Roman"/>
          <w:sz w:val="24"/>
          <w:szCs w:val="24"/>
          <w:lang w:eastAsia="hr-HR"/>
        </w:rPr>
        <w:t>Zakonu o zaštiti vojnih i civilnih invalida rata te uvesti nova prava</w:t>
      </w:r>
      <w:r w:rsidR="00417016" w:rsidRPr="00C41483">
        <w:rPr>
          <w:rFonts w:ascii="Times New Roman" w:eastAsia="Times New Roman" w:hAnsi="Times New Roman" w:cs="Times New Roman"/>
          <w:sz w:val="24"/>
          <w:szCs w:val="24"/>
          <w:lang w:eastAsia="hr-HR"/>
        </w:rPr>
        <w:t xml:space="preserve">, odnosno </w:t>
      </w:r>
      <w:r w:rsidR="000E300E" w:rsidRPr="00C41483">
        <w:rPr>
          <w:rFonts w:ascii="Times New Roman" w:eastAsia="Times New Roman" w:hAnsi="Times New Roman" w:cs="Times New Roman"/>
          <w:sz w:val="24"/>
          <w:szCs w:val="24"/>
          <w:lang w:eastAsia="hr-HR"/>
        </w:rPr>
        <w:t>postojeća</w:t>
      </w:r>
      <w:r w:rsidR="00417016" w:rsidRPr="00C41483">
        <w:rPr>
          <w:rFonts w:ascii="Times New Roman" w:eastAsia="Times New Roman" w:hAnsi="Times New Roman" w:cs="Times New Roman"/>
          <w:sz w:val="24"/>
          <w:szCs w:val="24"/>
          <w:lang w:eastAsia="hr-HR"/>
        </w:rPr>
        <w:t xml:space="preserve"> prava dodatno prilagoditi potrebama korisnika.</w:t>
      </w:r>
      <w:r w:rsidR="00E755CD" w:rsidRPr="00C41483">
        <w:rPr>
          <w:rFonts w:ascii="Times New Roman" w:eastAsia="Times New Roman" w:hAnsi="Times New Roman" w:cs="Times New Roman"/>
          <w:sz w:val="24"/>
          <w:szCs w:val="24"/>
          <w:lang w:eastAsia="hr-HR"/>
        </w:rPr>
        <w:t xml:space="preserve"> Zakon o civilnim stradalnicima </w:t>
      </w:r>
      <w:r w:rsidR="003C6BFE" w:rsidRPr="00C41483">
        <w:rPr>
          <w:rFonts w:ascii="Times New Roman" w:eastAsia="Times New Roman" w:hAnsi="Times New Roman" w:cs="Times New Roman"/>
          <w:sz w:val="24"/>
          <w:szCs w:val="24"/>
          <w:lang w:eastAsia="hr-HR"/>
        </w:rPr>
        <w:t xml:space="preserve">iz </w:t>
      </w:r>
      <w:r w:rsidR="00E755CD" w:rsidRPr="00C41483">
        <w:rPr>
          <w:rFonts w:ascii="Times New Roman" w:eastAsia="Times New Roman" w:hAnsi="Times New Roman" w:cs="Times New Roman"/>
          <w:sz w:val="24"/>
          <w:szCs w:val="24"/>
          <w:lang w:eastAsia="hr-HR"/>
        </w:rPr>
        <w:t>Domovinskog</w:t>
      </w:r>
      <w:r w:rsidR="009B30CB" w:rsidRPr="00C41483">
        <w:rPr>
          <w:rFonts w:ascii="Times New Roman" w:eastAsia="Times New Roman" w:hAnsi="Times New Roman" w:cs="Times New Roman"/>
          <w:sz w:val="24"/>
          <w:szCs w:val="24"/>
          <w:lang w:eastAsia="hr-HR"/>
        </w:rPr>
        <w:t xml:space="preserve"> rata</w:t>
      </w:r>
      <w:r w:rsidR="00E755CD" w:rsidRPr="00C41483">
        <w:rPr>
          <w:rFonts w:ascii="Times New Roman" w:eastAsia="Times New Roman" w:hAnsi="Times New Roman" w:cs="Times New Roman"/>
          <w:sz w:val="24"/>
          <w:szCs w:val="24"/>
          <w:lang w:eastAsia="hr-HR"/>
        </w:rPr>
        <w:t xml:space="preserve"> stupio je na snagu 31. srpnja 2021. godine.</w:t>
      </w:r>
      <w:r w:rsidR="00417016" w:rsidRPr="00C41483">
        <w:rPr>
          <w:rFonts w:ascii="Times New Roman" w:eastAsia="Times New Roman" w:hAnsi="Times New Roman" w:cs="Times New Roman"/>
          <w:sz w:val="24"/>
          <w:szCs w:val="24"/>
          <w:lang w:eastAsia="hr-HR"/>
        </w:rPr>
        <w:t xml:space="preserve"> </w:t>
      </w:r>
    </w:p>
    <w:p w14:paraId="767C8579" w14:textId="77777777" w:rsidR="00D0055C" w:rsidRPr="00C41483" w:rsidRDefault="00D0055C" w:rsidP="006B5133">
      <w:pPr>
        <w:spacing w:after="0" w:line="240" w:lineRule="auto"/>
        <w:jc w:val="both"/>
        <w:rPr>
          <w:rFonts w:ascii="Times New Roman" w:eastAsia="Times New Roman" w:hAnsi="Times New Roman" w:cs="Times New Roman"/>
          <w:sz w:val="24"/>
          <w:szCs w:val="24"/>
          <w:lang w:eastAsia="hr-HR"/>
        </w:rPr>
      </w:pPr>
    </w:p>
    <w:p w14:paraId="56FEF7C1" w14:textId="4B8EE0FA" w:rsidR="00EC4E8A" w:rsidRPr="00C41483" w:rsidRDefault="00DB6820" w:rsidP="006B5133">
      <w:pPr>
        <w:spacing w:after="0" w:line="240" w:lineRule="auto"/>
        <w:jc w:val="both"/>
        <w:rPr>
          <w:rFonts w:ascii="Times New Roman" w:hAnsi="Times New Roman" w:cs="Times New Roman"/>
          <w:sz w:val="24"/>
          <w:szCs w:val="24"/>
        </w:rPr>
      </w:pPr>
      <w:r w:rsidRPr="00C41483">
        <w:rPr>
          <w:rFonts w:ascii="Times New Roman" w:eastAsia="Times New Roman" w:hAnsi="Times New Roman" w:cs="Times New Roman"/>
          <w:sz w:val="24"/>
          <w:szCs w:val="24"/>
          <w:lang w:eastAsia="hr-HR"/>
        </w:rPr>
        <w:t>(</w:t>
      </w:r>
      <w:r w:rsidR="00531C6F" w:rsidRPr="00C41483">
        <w:rPr>
          <w:rFonts w:ascii="Times New Roman" w:eastAsia="Times New Roman" w:hAnsi="Times New Roman" w:cs="Times New Roman"/>
          <w:sz w:val="24"/>
          <w:szCs w:val="24"/>
          <w:lang w:eastAsia="hr-HR"/>
        </w:rPr>
        <w:t>17</w:t>
      </w:r>
      <w:r w:rsidR="00E8616D" w:rsidRPr="00C41483">
        <w:rPr>
          <w:rFonts w:ascii="Times New Roman" w:eastAsia="Times New Roman" w:hAnsi="Times New Roman" w:cs="Times New Roman"/>
          <w:sz w:val="24"/>
          <w:szCs w:val="24"/>
          <w:lang w:eastAsia="hr-HR"/>
        </w:rPr>
        <w:t>6</w:t>
      </w:r>
      <w:r w:rsidRPr="00C41483">
        <w:rPr>
          <w:rFonts w:ascii="Times New Roman" w:eastAsia="Times New Roman" w:hAnsi="Times New Roman" w:cs="Times New Roman"/>
          <w:sz w:val="24"/>
          <w:szCs w:val="24"/>
          <w:lang w:eastAsia="hr-HR"/>
        </w:rPr>
        <w:t xml:space="preserve">) </w:t>
      </w:r>
      <w:r w:rsidR="00EC4E8A" w:rsidRPr="00C41483">
        <w:rPr>
          <w:rFonts w:ascii="Times New Roman" w:hAnsi="Times New Roman" w:cs="Times New Roman"/>
          <w:sz w:val="24"/>
          <w:szCs w:val="24"/>
        </w:rPr>
        <w:t>Analiza materijalnih prava temeljem Zakona o socijalnoj skrbi iz siječnja 2021. godine pokazuje povećanje utrošenih sredstava na godišnjim razinama:</w:t>
      </w:r>
    </w:p>
    <w:p w14:paraId="0E73920A" w14:textId="77777777" w:rsidR="00EC4E8A" w:rsidRPr="00C41483" w:rsidRDefault="00EC4E8A" w:rsidP="00FB05F1">
      <w:pPr>
        <w:pStyle w:val="Odlomakpopisa"/>
        <w:numPr>
          <w:ilvl w:val="0"/>
          <w:numId w:val="4"/>
        </w:numPr>
        <w:spacing w:after="0" w:line="240" w:lineRule="auto"/>
        <w:ind w:left="316" w:hanging="284"/>
        <w:jc w:val="both"/>
        <w:rPr>
          <w:rFonts w:ascii="Times New Roman" w:hAnsi="Times New Roman" w:cs="Times New Roman"/>
          <w:sz w:val="24"/>
          <w:szCs w:val="24"/>
        </w:rPr>
      </w:pPr>
      <w:r w:rsidRPr="00C41483">
        <w:rPr>
          <w:rFonts w:ascii="Times New Roman" w:hAnsi="Times New Roman" w:cs="Times New Roman"/>
          <w:sz w:val="24"/>
          <w:szCs w:val="24"/>
        </w:rPr>
        <w:t>Sredstva za isplatu doplatka za pomoć i njegu u odnosu na 2016. godinu povećana su za 50%: 2016. godine iznosila su 381 milijun kuna, 2020. godine 573 milijuna kuna, a u 2021. iznose 550 milijuna kuna.</w:t>
      </w:r>
    </w:p>
    <w:p w14:paraId="02B644D5" w14:textId="77777777" w:rsidR="00EC4E8A" w:rsidRPr="00C41483" w:rsidRDefault="00EC4E8A" w:rsidP="00FB05F1">
      <w:pPr>
        <w:pStyle w:val="Odlomakpopisa"/>
        <w:numPr>
          <w:ilvl w:val="0"/>
          <w:numId w:val="4"/>
        </w:numPr>
        <w:spacing w:after="0" w:line="240" w:lineRule="auto"/>
        <w:ind w:left="316" w:hanging="284"/>
        <w:jc w:val="both"/>
        <w:rPr>
          <w:rFonts w:ascii="Times New Roman" w:hAnsi="Times New Roman" w:cs="Times New Roman"/>
          <w:sz w:val="24"/>
          <w:szCs w:val="24"/>
        </w:rPr>
      </w:pPr>
      <w:r w:rsidRPr="00C41483">
        <w:rPr>
          <w:rFonts w:ascii="Times New Roman" w:hAnsi="Times New Roman" w:cs="Times New Roman"/>
          <w:sz w:val="24"/>
          <w:szCs w:val="24"/>
        </w:rPr>
        <w:t xml:space="preserve"> Sredstva za osobnu invalidninu povećana su za 75%: 2016. iznosila su 384 milijuna kuna, 2020. godine 672 milijuna kuna a u 2021.godini iznose 640 milijuna kuna.</w:t>
      </w:r>
    </w:p>
    <w:p w14:paraId="257B3F86" w14:textId="77777777" w:rsidR="00EC4E8A" w:rsidRPr="00C41483" w:rsidRDefault="00EC4E8A" w:rsidP="00FB05F1">
      <w:pPr>
        <w:pStyle w:val="Odlomakpopisa"/>
        <w:numPr>
          <w:ilvl w:val="0"/>
          <w:numId w:val="4"/>
        </w:numPr>
        <w:spacing w:after="0" w:line="240" w:lineRule="auto"/>
        <w:ind w:left="316" w:hanging="284"/>
        <w:jc w:val="both"/>
        <w:rPr>
          <w:rFonts w:ascii="Times New Roman" w:hAnsi="Times New Roman" w:cs="Times New Roman"/>
          <w:sz w:val="24"/>
          <w:szCs w:val="24"/>
        </w:rPr>
      </w:pPr>
      <w:r w:rsidRPr="00C41483">
        <w:rPr>
          <w:rFonts w:ascii="Times New Roman" w:hAnsi="Times New Roman" w:cs="Times New Roman"/>
          <w:sz w:val="24"/>
          <w:szCs w:val="24"/>
        </w:rPr>
        <w:t>Sredstva za status roditelja njegovatelja/njegovatelja povećana su za 58%: sa 165 milijuna kuna u 2016. povećana su na 261 milijuna kuna u 2020., a u 2021. godini iznose 311 milijuna kuna.</w:t>
      </w:r>
    </w:p>
    <w:p w14:paraId="28DDF722" w14:textId="77777777" w:rsidR="00EC4E8A" w:rsidRPr="00C41483" w:rsidRDefault="00EC4E8A" w:rsidP="006B5133">
      <w:pPr>
        <w:spacing w:after="0" w:line="240" w:lineRule="auto"/>
        <w:rPr>
          <w:lang w:eastAsia="hr-HR"/>
        </w:rPr>
      </w:pPr>
    </w:p>
    <w:p w14:paraId="7D1548FA" w14:textId="5CB9819E" w:rsidR="003A2E30" w:rsidRPr="00C41483" w:rsidRDefault="003A2E30" w:rsidP="006B5133">
      <w:pPr>
        <w:pStyle w:val="Naslov1"/>
        <w:spacing w:before="0" w:line="240" w:lineRule="auto"/>
        <w:rPr>
          <w:rFonts w:ascii="Times New Roman" w:eastAsia="Times New Roman" w:hAnsi="Times New Roman" w:cs="Times New Roman"/>
          <w:b/>
          <w:bCs/>
          <w:color w:val="auto"/>
          <w:sz w:val="24"/>
          <w:szCs w:val="24"/>
          <w:lang w:eastAsia="hr-HR"/>
        </w:rPr>
      </w:pPr>
      <w:bookmarkStart w:id="134" w:name="_Toc76630966"/>
      <w:bookmarkStart w:id="135" w:name="_Toc88031205"/>
      <w:r w:rsidRPr="00C41483">
        <w:rPr>
          <w:rFonts w:ascii="Times New Roman" w:eastAsia="Times New Roman" w:hAnsi="Times New Roman" w:cs="Times New Roman"/>
          <w:b/>
          <w:bCs/>
          <w:color w:val="auto"/>
          <w:sz w:val="24"/>
          <w:szCs w:val="24"/>
          <w:lang w:eastAsia="hr-HR"/>
        </w:rPr>
        <w:t>Sudjelovanje u političkom i javnom životu (čl. 29.)</w:t>
      </w:r>
      <w:bookmarkEnd w:id="134"/>
      <w:bookmarkEnd w:id="135"/>
    </w:p>
    <w:p w14:paraId="39E909B4" w14:textId="77777777" w:rsidR="008928F0" w:rsidRPr="00C41483" w:rsidRDefault="008928F0" w:rsidP="006B5133">
      <w:pPr>
        <w:spacing w:after="0" w:line="240" w:lineRule="auto"/>
        <w:jc w:val="both"/>
        <w:rPr>
          <w:rFonts w:ascii="Times New Roman" w:eastAsia="Times New Roman" w:hAnsi="Times New Roman" w:cs="Times New Roman"/>
          <w:i/>
          <w:iCs/>
          <w:sz w:val="24"/>
          <w:szCs w:val="24"/>
          <w:lang w:eastAsia="hr-HR"/>
        </w:rPr>
      </w:pPr>
    </w:p>
    <w:p w14:paraId="644EE1BB" w14:textId="481A4238" w:rsidR="00165ACF" w:rsidRPr="00C41483" w:rsidRDefault="00604E80" w:rsidP="006B5133">
      <w:pPr>
        <w:spacing w:after="0" w:line="240" w:lineRule="auto"/>
        <w:jc w:val="both"/>
        <w:rPr>
          <w:rFonts w:ascii="Times New Roman" w:eastAsia="Times New Roman" w:hAnsi="Times New Roman" w:cs="Times New Roman"/>
          <w:i/>
          <w:iCs/>
          <w:sz w:val="24"/>
          <w:szCs w:val="24"/>
          <w:lang w:eastAsia="hr-HR"/>
        </w:rPr>
      </w:pPr>
      <w:bookmarkStart w:id="136" w:name="_Hlk83815601"/>
      <w:r w:rsidRPr="00C41483">
        <w:rPr>
          <w:rFonts w:ascii="Times New Roman" w:eastAsia="Times New Roman" w:hAnsi="Times New Roman" w:cs="Times New Roman"/>
          <w:i/>
          <w:iCs/>
          <w:sz w:val="24"/>
          <w:szCs w:val="24"/>
          <w:lang w:eastAsia="hr-HR"/>
        </w:rPr>
        <w:t xml:space="preserve">Pitanje </w:t>
      </w:r>
      <w:r w:rsidR="00165ACF" w:rsidRPr="00C41483">
        <w:rPr>
          <w:rFonts w:ascii="Times New Roman" w:eastAsia="Times New Roman" w:hAnsi="Times New Roman" w:cs="Times New Roman"/>
          <w:i/>
          <w:iCs/>
          <w:sz w:val="24"/>
          <w:szCs w:val="24"/>
          <w:lang w:eastAsia="hr-HR"/>
        </w:rPr>
        <w:t xml:space="preserve">29a) </w:t>
      </w:r>
      <w:r w:rsidR="000003D7" w:rsidRPr="00C41483">
        <w:rPr>
          <w:rFonts w:ascii="Times New Roman" w:eastAsia="Times New Roman" w:hAnsi="Times New Roman" w:cs="Times New Roman"/>
          <w:i/>
          <w:iCs/>
          <w:sz w:val="24"/>
          <w:szCs w:val="24"/>
          <w:lang w:eastAsia="hr-HR"/>
        </w:rPr>
        <w:t xml:space="preserve">i </w:t>
      </w:r>
      <w:r w:rsidR="00165ACF" w:rsidRPr="00C41483">
        <w:rPr>
          <w:rFonts w:ascii="Times New Roman" w:eastAsia="Times New Roman" w:hAnsi="Times New Roman" w:cs="Times New Roman"/>
          <w:i/>
          <w:iCs/>
          <w:sz w:val="24"/>
          <w:szCs w:val="24"/>
          <w:lang w:eastAsia="hr-HR"/>
        </w:rPr>
        <w:t>b)</w:t>
      </w:r>
    </w:p>
    <w:bookmarkEnd w:id="136"/>
    <w:p w14:paraId="25BE6405" w14:textId="77777777" w:rsidR="00486C7D" w:rsidRPr="00C41483" w:rsidRDefault="00486C7D" w:rsidP="006B5133">
      <w:pPr>
        <w:widowControl w:val="0"/>
        <w:adjustRightInd w:val="0"/>
        <w:spacing w:after="0" w:line="240" w:lineRule="auto"/>
        <w:jc w:val="both"/>
        <w:textAlignment w:val="baseline"/>
        <w:rPr>
          <w:rFonts w:ascii="Times New Roman" w:eastAsia="Times New Roman" w:hAnsi="Times New Roman" w:cs="Times New Roman"/>
          <w:sz w:val="24"/>
          <w:szCs w:val="24"/>
        </w:rPr>
      </w:pPr>
    </w:p>
    <w:p w14:paraId="48F9E357" w14:textId="621D5D9A" w:rsidR="00486C7D" w:rsidRPr="00C41483" w:rsidRDefault="00DB6820" w:rsidP="006B5133">
      <w:pPr>
        <w:spacing w:after="0" w:line="240" w:lineRule="auto"/>
        <w:jc w:val="both"/>
        <w:rPr>
          <w:rFonts w:ascii="Times New Roman" w:eastAsia="Calibri" w:hAnsi="Times New Roman" w:cs="Times New Roman"/>
          <w:sz w:val="24"/>
          <w:szCs w:val="24"/>
        </w:rPr>
      </w:pPr>
      <w:r w:rsidRPr="00C41483">
        <w:rPr>
          <w:rFonts w:ascii="Times New Roman" w:eastAsia="Calibri" w:hAnsi="Times New Roman" w:cs="Times New Roman"/>
          <w:sz w:val="24"/>
          <w:szCs w:val="24"/>
        </w:rPr>
        <w:t>(</w:t>
      </w:r>
      <w:r w:rsidR="00531C6F" w:rsidRPr="00C41483">
        <w:rPr>
          <w:rFonts w:ascii="Times New Roman" w:eastAsia="Calibri" w:hAnsi="Times New Roman" w:cs="Times New Roman"/>
          <w:sz w:val="24"/>
          <w:szCs w:val="24"/>
        </w:rPr>
        <w:t>17</w:t>
      </w:r>
      <w:r w:rsidR="00E8616D" w:rsidRPr="00C41483">
        <w:rPr>
          <w:rFonts w:ascii="Times New Roman" w:eastAsia="Calibri" w:hAnsi="Times New Roman" w:cs="Times New Roman"/>
          <w:sz w:val="24"/>
          <w:szCs w:val="24"/>
        </w:rPr>
        <w:t>7</w:t>
      </w:r>
      <w:r w:rsidRPr="00C41483">
        <w:rPr>
          <w:rFonts w:ascii="Times New Roman" w:eastAsia="Calibri" w:hAnsi="Times New Roman" w:cs="Times New Roman"/>
          <w:sz w:val="24"/>
          <w:szCs w:val="24"/>
        </w:rPr>
        <w:t xml:space="preserve">) </w:t>
      </w:r>
      <w:r w:rsidR="00EC4E8A" w:rsidRPr="00C41483">
        <w:rPr>
          <w:rFonts w:ascii="Times New Roman" w:eastAsia="Calibri" w:hAnsi="Times New Roman" w:cs="Times New Roman"/>
          <w:sz w:val="24"/>
          <w:szCs w:val="24"/>
        </w:rPr>
        <w:t>I</w:t>
      </w:r>
      <w:r w:rsidR="00486C7D" w:rsidRPr="00C41483">
        <w:rPr>
          <w:rFonts w:ascii="Times New Roman" w:eastAsia="Calibri" w:hAnsi="Times New Roman" w:cs="Times New Roman"/>
          <w:sz w:val="24"/>
          <w:szCs w:val="24"/>
        </w:rPr>
        <w:t>zborn</w:t>
      </w:r>
      <w:r w:rsidR="008B5E80" w:rsidRPr="00C41483">
        <w:rPr>
          <w:rFonts w:ascii="Times New Roman" w:eastAsia="Calibri" w:hAnsi="Times New Roman" w:cs="Times New Roman"/>
          <w:sz w:val="24"/>
          <w:szCs w:val="24"/>
        </w:rPr>
        <w:t xml:space="preserve">o zakonodavstvo </w:t>
      </w:r>
      <w:r w:rsidR="00486C7D" w:rsidRPr="00C41483">
        <w:rPr>
          <w:rFonts w:ascii="Times New Roman" w:eastAsia="Calibri" w:hAnsi="Times New Roman" w:cs="Times New Roman"/>
          <w:sz w:val="24"/>
          <w:szCs w:val="24"/>
        </w:rPr>
        <w:t>sadrž</w:t>
      </w:r>
      <w:r w:rsidR="008B5E80" w:rsidRPr="00C41483">
        <w:rPr>
          <w:rFonts w:ascii="Times New Roman" w:eastAsia="Calibri" w:hAnsi="Times New Roman" w:cs="Times New Roman"/>
          <w:sz w:val="24"/>
          <w:szCs w:val="24"/>
        </w:rPr>
        <w:t>i</w:t>
      </w:r>
      <w:r w:rsidR="00486C7D" w:rsidRPr="00C41483">
        <w:rPr>
          <w:rFonts w:ascii="Times New Roman" w:eastAsia="Calibri" w:hAnsi="Times New Roman" w:cs="Times New Roman"/>
          <w:sz w:val="24"/>
          <w:szCs w:val="24"/>
        </w:rPr>
        <w:t xml:space="preserve"> odredbe kojima se </w:t>
      </w:r>
      <w:r w:rsidR="00B02A7A" w:rsidRPr="00C41483">
        <w:rPr>
          <w:rFonts w:ascii="Times New Roman" w:eastAsia="Calibri" w:hAnsi="Times New Roman" w:cs="Times New Roman"/>
          <w:sz w:val="24"/>
          <w:szCs w:val="24"/>
        </w:rPr>
        <w:t xml:space="preserve">osigurava </w:t>
      </w:r>
      <w:r w:rsidR="00486C7D" w:rsidRPr="00C41483">
        <w:rPr>
          <w:rFonts w:ascii="Times New Roman" w:eastAsia="Calibri" w:hAnsi="Times New Roman" w:cs="Times New Roman"/>
          <w:sz w:val="24"/>
          <w:szCs w:val="24"/>
        </w:rPr>
        <w:t>biračko prav</w:t>
      </w:r>
      <w:r w:rsidR="00B02A7A" w:rsidRPr="00C41483">
        <w:rPr>
          <w:rFonts w:ascii="Times New Roman" w:eastAsia="Calibri" w:hAnsi="Times New Roman" w:cs="Times New Roman"/>
          <w:sz w:val="24"/>
          <w:szCs w:val="24"/>
        </w:rPr>
        <w:t>o</w:t>
      </w:r>
      <w:r w:rsidR="00486C7D" w:rsidRPr="00C41483">
        <w:rPr>
          <w:rFonts w:ascii="Times New Roman" w:eastAsia="Calibri" w:hAnsi="Times New Roman" w:cs="Times New Roman"/>
          <w:sz w:val="24"/>
          <w:szCs w:val="24"/>
        </w:rPr>
        <w:t xml:space="preserve"> osoba</w:t>
      </w:r>
      <w:r w:rsidR="00B02A7A" w:rsidRPr="00C41483">
        <w:rPr>
          <w:rFonts w:ascii="Times New Roman" w:eastAsia="Calibri" w:hAnsi="Times New Roman" w:cs="Times New Roman"/>
          <w:sz w:val="24"/>
          <w:szCs w:val="24"/>
        </w:rPr>
        <w:t>ma s invaliditetom</w:t>
      </w:r>
      <w:r w:rsidR="008B5E80" w:rsidRPr="00C41483">
        <w:rPr>
          <w:rFonts w:ascii="Times New Roman" w:eastAsia="Calibri" w:hAnsi="Times New Roman" w:cs="Times New Roman"/>
          <w:sz w:val="24"/>
          <w:szCs w:val="24"/>
        </w:rPr>
        <w:t xml:space="preserve"> te </w:t>
      </w:r>
      <w:r w:rsidR="00486C7D" w:rsidRPr="00C41483">
        <w:rPr>
          <w:rFonts w:ascii="Times New Roman" w:eastAsia="Calibri" w:hAnsi="Times New Roman" w:cs="Times New Roman"/>
          <w:sz w:val="24"/>
          <w:szCs w:val="24"/>
        </w:rPr>
        <w:t>izjednačava pravo kandidiranja na izborima na svim razinama vlasti svih državljana koji ostvaruju biračko pravo bez obzira na invaliditet</w:t>
      </w:r>
      <w:r w:rsidR="0006272E" w:rsidRPr="00C41483">
        <w:rPr>
          <w:rFonts w:ascii="Times New Roman" w:eastAsia="Calibri" w:hAnsi="Times New Roman" w:cs="Times New Roman"/>
          <w:sz w:val="24"/>
          <w:szCs w:val="24"/>
        </w:rPr>
        <w:t>.</w:t>
      </w:r>
    </w:p>
    <w:p w14:paraId="42A5F93E" w14:textId="77777777" w:rsidR="00D0055C" w:rsidRPr="00C41483" w:rsidRDefault="00D0055C" w:rsidP="006B5133">
      <w:pPr>
        <w:spacing w:after="0" w:line="240" w:lineRule="auto"/>
        <w:jc w:val="both"/>
        <w:rPr>
          <w:rFonts w:ascii="Times New Roman" w:eastAsia="Calibri" w:hAnsi="Times New Roman" w:cs="Times New Roman"/>
          <w:sz w:val="24"/>
          <w:szCs w:val="24"/>
        </w:rPr>
      </w:pPr>
    </w:p>
    <w:p w14:paraId="6D2125DE" w14:textId="66900984" w:rsidR="00486C7D" w:rsidRPr="00C41483" w:rsidRDefault="00DB6820" w:rsidP="006B5133">
      <w:pPr>
        <w:spacing w:after="0" w:line="240" w:lineRule="auto"/>
        <w:jc w:val="both"/>
        <w:rPr>
          <w:rFonts w:ascii="Times New Roman" w:eastAsia="Calibri" w:hAnsi="Times New Roman" w:cs="Times New Roman"/>
          <w:sz w:val="24"/>
          <w:szCs w:val="24"/>
        </w:rPr>
      </w:pPr>
      <w:r w:rsidRPr="00C41483">
        <w:rPr>
          <w:rFonts w:ascii="Times New Roman" w:eastAsia="Calibri" w:hAnsi="Times New Roman" w:cs="Times New Roman"/>
          <w:sz w:val="24"/>
          <w:szCs w:val="24"/>
        </w:rPr>
        <w:t>(</w:t>
      </w:r>
      <w:r w:rsidR="00531C6F" w:rsidRPr="00C41483">
        <w:rPr>
          <w:rFonts w:ascii="Times New Roman" w:eastAsia="Calibri" w:hAnsi="Times New Roman" w:cs="Times New Roman"/>
          <w:sz w:val="24"/>
          <w:szCs w:val="24"/>
        </w:rPr>
        <w:t>17</w:t>
      </w:r>
      <w:r w:rsidR="00E8616D" w:rsidRPr="00C41483">
        <w:rPr>
          <w:rFonts w:ascii="Times New Roman" w:eastAsia="Calibri" w:hAnsi="Times New Roman" w:cs="Times New Roman"/>
          <w:sz w:val="24"/>
          <w:szCs w:val="24"/>
        </w:rPr>
        <w:t>8</w:t>
      </w:r>
      <w:r w:rsidRPr="00C41483">
        <w:rPr>
          <w:rFonts w:ascii="Times New Roman" w:eastAsia="Calibri" w:hAnsi="Times New Roman" w:cs="Times New Roman"/>
          <w:sz w:val="24"/>
          <w:szCs w:val="24"/>
        </w:rPr>
        <w:t xml:space="preserve">) </w:t>
      </w:r>
      <w:r w:rsidR="002B233F" w:rsidRPr="00C41483">
        <w:rPr>
          <w:rFonts w:ascii="Times New Roman" w:eastAsia="Calibri" w:hAnsi="Times New Roman" w:cs="Times New Roman"/>
          <w:sz w:val="24"/>
          <w:szCs w:val="24"/>
        </w:rPr>
        <w:t>O</w:t>
      </w:r>
      <w:r w:rsidR="00486C7D" w:rsidRPr="00C41483">
        <w:rPr>
          <w:rFonts w:ascii="Times New Roman" w:eastAsia="Calibri" w:hAnsi="Times New Roman" w:cs="Times New Roman"/>
          <w:sz w:val="24"/>
          <w:szCs w:val="24"/>
        </w:rPr>
        <w:t xml:space="preserve">snivanje političkih stranaka </w:t>
      </w:r>
      <w:r w:rsidR="002B233F" w:rsidRPr="00C41483">
        <w:rPr>
          <w:rFonts w:ascii="Times New Roman" w:eastAsia="Calibri" w:hAnsi="Times New Roman" w:cs="Times New Roman"/>
          <w:sz w:val="24"/>
          <w:szCs w:val="24"/>
        </w:rPr>
        <w:t xml:space="preserve">je </w:t>
      </w:r>
      <w:r w:rsidR="00486C7D" w:rsidRPr="00C41483">
        <w:rPr>
          <w:rFonts w:ascii="Times New Roman" w:eastAsia="Calibri" w:hAnsi="Times New Roman" w:cs="Times New Roman"/>
          <w:sz w:val="24"/>
          <w:szCs w:val="24"/>
        </w:rPr>
        <w:t>slobodno</w:t>
      </w:r>
      <w:r w:rsidR="002B233F" w:rsidRPr="00C41483">
        <w:rPr>
          <w:rFonts w:ascii="Times New Roman" w:eastAsia="Calibri" w:hAnsi="Times New Roman" w:cs="Times New Roman"/>
          <w:sz w:val="24"/>
          <w:szCs w:val="24"/>
        </w:rPr>
        <w:t>,</w:t>
      </w:r>
      <w:r w:rsidR="008B5E80" w:rsidRPr="00C41483">
        <w:rPr>
          <w:rFonts w:ascii="Times New Roman" w:eastAsia="Calibri" w:hAnsi="Times New Roman" w:cs="Times New Roman"/>
          <w:sz w:val="24"/>
          <w:szCs w:val="24"/>
        </w:rPr>
        <w:t xml:space="preserve"> u</w:t>
      </w:r>
      <w:r w:rsidR="00486C7D" w:rsidRPr="00C41483">
        <w:rPr>
          <w:rFonts w:ascii="Times New Roman" w:eastAsia="Calibri" w:hAnsi="Times New Roman" w:cs="Times New Roman"/>
          <w:sz w:val="24"/>
          <w:szCs w:val="24"/>
        </w:rPr>
        <w:t>članjenje u političku stranku</w:t>
      </w:r>
      <w:r w:rsidR="002B233F" w:rsidRPr="00C41483">
        <w:rPr>
          <w:rFonts w:ascii="Times New Roman" w:eastAsia="Calibri" w:hAnsi="Times New Roman" w:cs="Times New Roman"/>
          <w:sz w:val="24"/>
          <w:szCs w:val="24"/>
        </w:rPr>
        <w:t xml:space="preserve"> uređeno Statutom političke stranke, </w:t>
      </w:r>
      <w:r w:rsidR="001756D4" w:rsidRPr="00C41483">
        <w:rPr>
          <w:rFonts w:ascii="Times New Roman" w:eastAsia="Calibri" w:hAnsi="Times New Roman" w:cs="Times New Roman"/>
          <w:sz w:val="24"/>
          <w:szCs w:val="24"/>
        </w:rPr>
        <w:t>a</w:t>
      </w:r>
      <w:r w:rsidR="008B5E80" w:rsidRPr="00C41483">
        <w:rPr>
          <w:rFonts w:ascii="Times New Roman" w:eastAsia="Calibri" w:hAnsi="Times New Roman" w:cs="Times New Roman"/>
          <w:sz w:val="24"/>
          <w:szCs w:val="24"/>
        </w:rPr>
        <w:t xml:space="preserve"> </w:t>
      </w:r>
      <w:r w:rsidR="00486C7D" w:rsidRPr="00C41483">
        <w:rPr>
          <w:rFonts w:ascii="Times New Roman" w:eastAsia="Calibri" w:hAnsi="Times New Roman" w:cs="Times New Roman"/>
          <w:sz w:val="24"/>
          <w:szCs w:val="24"/>
        </w:rPr>
        <w:t xml:space="preserve">vodeći se najvišim vrednotama ustavnog poretka, </w:t>
      </w:r>
      <w:r w:rsidR="002B233F" w:rsidRPr="00C41483">
        <w:rPr>
          <w:rFonts w:ascii="Times New Roman" w:eastAsia="Calibri" w:hAnsi="Times New Roman" w:cs="Times New Roman"/>
          <w:sz w:val="24"/>
          <w:szCs w:val="24"/>
        </w:rPr>
        <w:t xml:space="preserve">uvjeti </w:t>
      </w:r>
      <w:r w:rsidR="00486C7D" w:rsidRPr="00C41483">
        <w:rPr>
          <w:rFonts w:ascii="Times New Roman" w:eastAsia="Calibri" w:hAnsi="Times New Roman" w:cs="Times New Roman"/>
          <w:sz w:val="24"/>
          <w:szCs w:val="24"/>
        </w:rPr>
        <w:t>ne smiju biti diskriminirajući po osnovi invaliditeta.</w:t>
      </w:r>
    </w:p>
    <w:p w14:paraId="5D281309" w14:textId="77777777" w:rsidR="00D0055C" w:rsidRPr="00C41483" w:rsidRDefault="00D0055C" w:rsidP="006B5133">
      <w:pPr>
        <w:spacing w:after="0" w:line="240" w:lineRule="auto"/>
        <w:jc w:val="both"/>
        <w:rPr>
          <w:rFonts w:ascii="Times New Roman" w:eastAsia="Calibri" w:hAnsi="Times New Roman" w:cs="Times New Roman"/>
          <w:sz w:val="24"/>
          <w:szCs w:val="24"/>
        </w:rPr>
      </w:pPr>
    </w:p>
    <w:p w14:paraId="2BB6AFA2" w14:textId="66A15DA2" w:rsidR="00486C7D" w:rsidRPr="00C41483" w:rsidRDefault="00DB6820" w:rsidP="006B5133">
      <w:pPr>
        <w:spacing w:after="0" w:line="240" w:lineRule="auto"/>
        <w:jc w:val="both"/>
        <w:rPr>
          <w:rFonts w:ascii="Times New Roman" w:eastAsia="Calibri" w:hAnsi="Times New Roman" w:cs="Times New Roman"/>
          <w:sz w:val="24"/>
          <w:szCs w:val="24"/>
        </w:rPr>
      </w:pPr>
      <w:r w:rsidRPr="00C41483">
        <w:rPr>
          <w:rFonts w:ascii="Times New Roman" w:eastAsia="Calibri" w:hAnsi="Times New Roman" w:cs="Times New Roman"/>
          <w:sz w:val="24"/>
          <w:szCs w:val="24"/>
        </w:rPr>
        <w:t>(</w:t>
      </w:r>
      <w:r w:rsidR="00531C6F" w:rsidRPr="00C41483">
        <w:rPr>
          <w:rFonts w:ascii="Times New Roman" w:eastAsia="Calibri" w:hAnsi="Times New Roman" w:cs="Times New Roman"/>
          <w:sz w:val="24"/>
          <w:szCs w:val="24"/>
        </w:rPr>
        <w:t>17</w:t>
      </w:r>
      <w:r w:rsidR="00E8616D" w:rsidRPr="00C41483">
        <w:rPr>
          <w:rFonts w:ascii="Times New Roman" w:eastAsia="Calibri" w:hAnsi="Times New Roman" w:cs="Times New Roman"/>
          <w:sz w:val="24"/>
          <w:szCs w:val="24"/>
        </w:rPr>
        <w:t>9</w:t>
      </w:r>
      <w:r w:rsidRPr="00C41483">
        <w:rPr>
          <w:rFonts w:ascii="Times New Roman" w:eastAsia="Calibri" w:hAnsi="Times New Roman" w:cs="Times New Roman"/>
          <w:sz w:val="24"/>
          <w:szCs w:val="24"/>
        </w:rPr>
        <w:t xml:space="preserve">) </w:t>
      </w:r>
      <w:r w:rsidR="00486C7D" w:rsidRPr="00C41483">
        <w:rPr>
          <w:rFonts w:ascii="Times New Roman" w:eastAsia="Calibri" w:hAnsi="Times New Roman" w:cs="Times New Roman"/>
          <w:sz w:val="24"/>
          <w:szCs w:val="24"/>
        </w:rPr>
        <w:t>Državno izborno povjerenstvo Republike Hrvatske provodi niz aktivnosti kojima se jamči pravo osoba s invaliditetom za sudjelovanje u političkom životu i kojima se osigurava da u potpunosti mogu uživati svoje pravo na glasovanje</w:t>
      </w:r>
      <w:r w:rsidR="009C30B0" w:rsidRPr="00C41483">
        <w:rPr>
          <w:rFonts w:ascii="Times New Roman" w:eastAsia="Calibri" w:hAnsi="Times New Roman" w:cs="Times New Roman"/>
          <w:sz w:val="24"/>
          <w:szCs w:val="24"/>
        </w:rPr>
        <w:t>.</w:t>
      </w:r>
    </w:p>
    <w:p w14:paraId="1A7CA89B" w14:textId="686B9FD9" w:rsidR="00486C7D" w:rsidRPr="00C41483" w:rsidDel="00615BCD" w:rsidRDefault="00486C7D" w:rsidP="00FB05F1">
      <w:pPr>
        <w:pStyle w:val="Odlomakpopisa"/>
        <w:numPr>
          <w:ilvl w:val="0"/>
          <w:numId w:val="5"/>
        </w:numPr>
        <w:spacing w:after="0" w:line="240" w:lineRule="auto"/>
        <w:ind w:left="426"/>
        <w:jc w:val="both"/>
        <w:rPr>
          <w:rFonts w:ascii="Times New Roman" w:eastAsia="Calibri" w:hAnsi="Times New Roman" w:cs="Times New Roman"/>
          <w:sz w:val="24"/>
          <w:szCs w:val="24"/>
        </w:rPr>
      </w:pPr>
      <w:r w:rsidRPr="00C41483" w:rsidDel="00615BCD">
        <w:rPr>
          <w:rFonts w:ascii="Times New Roman" w:eastAsia="Calibri" w:hAnsi="Times New Roman" w:cs="Times New Roman"/>
          <w:sz w:val="24"/>
          <w:szCs w:val="24"/>
        </w:rPr>
        <w:t>Izborna povjerenstva koja su nadležna za određivanje biračkih mjesta, prilikom njihovih određivanja vode računa o njihovoj dostupnosti te o pristupačnosti svim biračima,</w:t>
      </w:r>
    </w:p>
    <w:p w14:paraId="3B5CF21D" w14:textId="5FF93468" w:rsidR="00486C7D" w:rsidRPr="00C41483" w:rsidDel="00615BCD" w:rsidRDefault="00486C7D" w:rsidP="00FB05F1">
      <w:pPr>
        <w:pStyle w:val="Odlomakpopisa"/>
        <w:numPr>
          <w:ilvl w:val="0"/>
          <w:numId w:val="5"/>
        </w:numPr>
        <w:spacing w:after="0" w:line="240" w:lineRule="auto"/>
        <w:ind w:left="426"/>
        <w:jc w:val="both"/>
        <w:rPr>
          <w:rFonts w:ascii="Times New Roman" w:eastAsia="Calibri" w:hAnsi="Times New Roman" w:cs="Times New Roman"/>
          <w:sz w:val="24"/>
          <w:szCs w:val="24"/>
        </w:rPr>
      </w:pPr>
      <w:r w:rsidRPr="00C41483" w:rsidDel="00615BCD">
        <w:rPr>
          <w:rFonts w:ascii="Times New Roman" w:eastAsia="Calibri" w:hAnsi="Times New Roman" w:cs="Times New Roman"/>
          <w:sz w:val="24"/>
          <w:szCs w:val="24"/>
        </w:rPr>
        <w:t>Izbornim zakonima propisan je način postupanja biračkog odbora u slučajevima kada je biračima mjesto nedostupno, a pored navedenog, D</w:t>
      </w:r>
      <w:r w:rsidR="001756D4" w:rsidRPr="00C41483" w:rsidDel="00615BCD">
        <w:rPr>
          <w:rFonts w:ascii="Times New Roman" w:eastAsia="Calibri" w:hAnsi="Times New Roman" w:cs="Times New Roman"/>
          <w:sz w:val="24"/>
          <w:szCs w:val="24"/>
        </w:rPr>
        <w:t>IP</w:t>
      </w:r>
      <w:r w:rsidRPr="00C41483" w:rsidDel="00615BCD">
        <w:rPr>
          <w:rFonts w:ascii="Times New Roman" w:eastAsia="Calibri" w:hAnsi="Times New Roman" w:cs="Times New Roman"/>
          <w:sz w:val="24"/>
          <w:szCs w:val="24"/>
        </w:rPr>
        <w:t xml:space="preserve"> obvezatnim uputama propisuje način glasovanja birača s tjelesn</w:t>
      </w:r>
      <w:r w:rsidR="001756D4" w:rsidRPr="00C41483" w:rsidDel="00615BCD">
        <w:rPr>
          <w:rFonts w:ascii="Times New Roman" w:eastAsia="Calibri" w:hAnsi="Times New Roman" w:cs="Times New Roman"/>
          <w:sz w:val="24"/>
          <w:szCs w:val="24"/>
        </w:rPr>
        <w:t>im oštećenjem,</w:t>
      </w:r>
      <w:r w:rsidRPr="00C41483" w:rsidDel="00615BCD">
        <w:rPr>
          <w:rFonts w:ascii="Times New Roman" w:eastAsia="Calibri" w:hAnsi="Times New Roman" w:cs="Times New Roman"/>
          <w:sz w:val="24"/>
          <w:szCs w:val="24"/>
        </w:rPr>
        <w:t xml:space="preserve"> nepismenih birača</w:t>
      </w:r>
      <w:r w:rsidR="001756D4" w:rsidRPr="00C41483" w:rsidDel="00615BCD">
        <w:rPr>
          <w:rFonts w:ascii="Times New Roman" w:eastAsia="Calibri" w:hAnsi="Times New Roman" w:cs="Times New Roman"/>
          <w:sz w:val="24"/>
          <w:szCs w:val="24"/>
        </w:rPr>
        <w:t xml:space="preserve">, </w:t>
      </w:r>
      <w:r w:rsidRPr="00C41483" w:rsidDel="00615BCD">
        <w:rPr>
          <w:rFonts w:ascii="Times New Roman" w:eastAsia="Calibri" w:hAnsi="Times New Roman" w:cs="Times New Roman"/>
          <w:sz w:val="24"/>
          <w:szCs w:val="24"/>
        </w:rPr>
        <w:t>birača koji ne mogu pristupiti na biračko mjesto</w:t>
      </w:r>
      <w:r w:rsidR="001756D4" w:rsidRPr="00C41483" w:rsidDel="00615BCD">
        <w:rPr>
          <w:rFonts w:ascii="Times New Roman" w:eastAsia="Calibri" w:hAnsi="Times New Roman" w:cs="Times New Roman"/>
          <w:sz w:val="24"/>
          <w:szCs w:val="24"/>
        </w:rPr>
        <w:t xml:space="preserve"> i</w:t>
      </w:r>
      <w:r w:rsidRPr="00C41483" w:rsidDel="00615BCD">
        <w:rPr>
          <w:rFonts w:ascii="Times New Roman" w:eastAsia="Calibri" w:hAnsi="Times New Roman" w:cs="Times New Roman"/>
          <w:sz w:val="24"/>
          <w:szCs w:val="24"/>
        </w:rPr>
        <w:t xml:space="preserve"> birača kojima je biračko mjesto nedostupno,</w:t>
      </w:r>
    </w:p>
    <w:p w14:paraId="77C11806" w14:textId="7C01D8A7" w:rsidR="00486C7D" w:rsidRPr="00C41483" w:rsidDel="00615BCD" w:rsidRDefault="00486C7D" w:rsidP="00FB05F1">
      <w:pPr>
        <w:pStyle w:val="Odlomakpopisa"/>
        <w:numPr>
          <w:ilvl w:val="0"/>
          <w:numId w:val="5"/>
        </w:numPr>
        <w:spacing w:after="0" w:line="240" w:lineRule="auto"/>
        <w:ind w:left="426"/>
        <w:jc w:val="both"/>
        <w:rPr>
          <w:rFonts w:ascii="Times New Roman" w:eastAsia="Calibri" w:hAnsi="Times New Roman" w:cs="Times New Roman"/>
          <w:sz w:val="24"/>
          <w:szCs w:val="24"/>
        </w:rPr>
      </w:pPr>
      <w:r w:rsidRPr="00C41483" w:rsidDel="00615BCD">
        <w:rPr>
          <w:rFonts w:ascii="Times New Roman" w:eastAsia="Calibri" w:hAnsi="Times New Roman" w:cs="Times New Roman"/>
          <w:sz w:val="24"/>
          <w:szCs w:val="24"/>
        </w:rPr>
        <w:t>D</w:t>
      </w:r>
      <w:r w:rsidR="001756D4" w:rsidRPr="00C41483" w:rsidDel="00615BCD">
        <w:rPr>
          <w:rFonts w:ascii="Times New Roman" w:eastAsia="Calibri" w:hAnsi="Times New Roman" w:cs="Times New Roman"/>
          <w:sz w:val="24"/>
          <w:szCs w:val="24"/>
        </w:rPr>
        <w:t>IP</w:t>
      </w:r>
      <w:r w:rsidRPr="00C41483" w:rsidDel="00615BCD">
        <w:rPr>
          <w:rFonts w:ascii="Times New Roman" w:eastAsia="Calibri" w:hAnsi="Times New Roman" w:cs="Times New Roman"/>
          <w:sz w:val="24"/>
          <w:szCs w:val="24"/>
        </w:rPr>
        <w:t xml:space="preserve"> u provedbi izbora surađuje sa Hrvatskim savezom slijepih, pa je u posljednje dvije godine na izborima zastupnika u Europski parlament iz R</w:t>
      </w:r>
      <w:r w:rsidR="00905964" w:rsidRPr="00C41483" w:rsidDel="00615BCD">
        <w:rPr>
          <w:rFonts w:ascii="Times New Roman" w:eastAsia="Calibri" w:hAnsi="Times New Roman" w:cs="Times New Roman"/>
          <w:sz w:val="24"/>
          <w:szCs w:val="24"/>
        </w:rPr>
        <w:t>H</w:t>
      </w:r>
      <w:r w:rsidRPr="00C41483" w:rsidDel="00615BCD">
        <w:rPr>
          <w:rFonts w:ascii="Times New Roman" w:eastAsia="Calibri" w:hAnsi="Times New Roman" w:cs="Times New Roman"/>
          <w:sz w:val="24"/>
          <w:szCs w:val="24"/>
        </w:rPr>
        <w:t xml:space="preserve"> 2019., izborima za predsjednika RH 2019/2020 i izborima za zastupnike u Hrvatski sabor 2020., izradilo </w:t>
      </w:r>
      <w:r w:rsidR="00B72DF5" w:rsidRPr="00C41483" w:rsidDel="00615BCD">
        <w:rPr>
          <w:rFonts w:ascii="Times New Roman" w:eastAsia="Calibri" w:hAnsi="Times New Roman" w:cs="Times New Roman"/>
          <w:sz w:val="24"/>
          <w:szCs w:val="24"/>
        </w:rPr>
        <w:t xml:space="preserve">i objavilo </w:t>
      </w:r>
      <w:r w:rsidRPr="00C41483" w:rsidDel="00615BCD">
        <w:rPr>
          <w:rFonts w:ascii="Times New Roman" w:eastAsia="Calibri" w:hAnsi="Times New Roman" w:cs="Times New Roman"/>
          <w:sz w:val="24"/>
          <w:szCs w:val="24"/>
        </w:rPr>
        <w:t>zvučnu snimku liste kandidata na svojim mrežnim stranicama, a na izborima za predsjednika R</w:t>
      </w:r>
      <w:r w:rsidR="00905964" w:rsidRPr="00C41483" w:rsidDel="00615BCD">
        <w:rPr>
          <w:rFonts w:ascii="Times New Roman" w:eastAsia="Calibri" w:hAnsi="Times New Roman" w:cs="Times New Roman"/>
          <w:sz w:val="24"/>
          <w:szCs w:val="24"/>
        </w:rPr>
        <w:t>H</w:t>
      </w:r>
      <w:r w:rsidRPr="00C41483" w:rsidDel="00615BCD">
        <w:rPr>
          <w:rFonts w:ascii="Times New Roman" w:eastAsia="Calibri" w:hAnsi="Times New Roman" w:cs="Times New Roman"/>
          <w:sz w:val="24"/>
          <w:szCs w:val="24"/>
        </w:rPr>
        <w:t xml:space="preserve"> 2019/2020 slijepim biračima omogućilo </w:t>
      </w:r>
      <w:r w:rsidR="00B72DF5" w:rsidRPr="00C41483" w:rsidDel="00615BCD">
        <w:rPr>
          <w:rFonts w:ascii="Times New Roman" w:eastAsia="Calibri" w:hAnsi="Times New Roman" w:cs="Times New Roman"/>
          <w:sz w:val="24"/>
          <w:szCs w:val="24"/>
        </w:rPr>
        <w:t xml:space="preserve">se </w:t>
      </w:r>
      <w:r w:rsidRPr="00C41483" w:rsidDel="00615BCD">
        <w:rPr>
          <w:rFonts w:ascii="Times New Roman" w:eastAsia="Calibri" w:hAnsi="Times New Roman" w:cs="Times New Roman"/>
          <w:sz w:val="24"/>
          <w:szCs w:val="24"/>
        </w:rPr>
        <w:t xml:space="preserve">glasovanje uz pomoć matrice koja je, zajedno sa uputom na </w:t>
      </w:r>
      <w:proofErr w:type="spellStart"/>
      <w:r w:rsidRPr="00C41483" w:rsidDel="00615BCD">
        <w:rPr>
          <w:rFonts w:ascii="Times New Roman" w:eastAsia="Calibri" w:hAnsi="Times New Roman" w:cs="Times New Roman"/>
          <w:sz w:val="24"/>
          <w:szCs w:val="24"/>
        </w:rPr>
        <w:t>Braill</w:t>
      </w:r>
      <w:r w:rsidR="00B72DF5" w:rsidRPr="00C41483" w:rsidDel="00615BCD">
        <w:rPr>
          <w:rFonts w:ascii="Times New Roman" w:eastAsia="Calibri" w:hAnsi="Times New Roman" w:cs="Times New Roman"/>
          <w:sz w:val="24"/>
          <w:szCs w:val="24"/>
        </w:rPr>
        <w:t>e</w:t>
      </w:r>
      <w:r w:rsidRPr="00C41483" w:rsidDel="00615BCD">
        <w:rPr>
          <w:rFonts w:ascii="Times New Roman" w:eastAsia="Calibri" w:hAnsi="Times New Roman" w:cs="Times New Roman"/>
          <w:sz w:val="24"/>
          <w:szCs w:val="24"/>
        </w:rPr>
        <w:t>ovom</w:t>
      </w:r>
      <w:proofErr w:type="spellEnd"/>
      <w:r w:rsidRPr="00C41483" w:rsidDel="00615BCD">
        <w:rPr>
          <w:rFonts w:ascii="Times New Roman" w:eastAsia="Calibri" w:hAnsi="Times New Roman" w:cs="Times New Roman"/>
          <w:sz w:val="24"/>
          <w:szCs w:val="24"/>
        </w:rPr>
        <w:t xml:space="preserve"> pismu, bila dostupna na svakom biračkom mjestu, kao i objavljena na mrežnim stranicama D</w:t>
      </w:r>
      <w:r w:rsidR="001756D4" w:rsidRPr="00C41483" w:rsidDel="00615BCD">
        <w:rPr>
          <w:rFonts w:ascii="Times New Roman" w:eastAsia="Calibri" w:hAnsi="Times New Roman" w:cs="Times New Roman"/>
          <w:sz w:val="24"/>
          <w:szCs w:val="24"/>
        </w:rPr>
        <w:t>IP-a</w:t>
      </w:r>
      <w:r w:rsidRPr="00C41483" w:rsidDel="00615BCD">
        <w:rPr>
          <w:rFonts w:ascii="Times New Roman" w:eastAsia="Calibri" w:hAnsi="Times New Roman" w:cs="Times New Roman"/>
          <w:sz w:val="24"/>
          <w:szCs w:val="24"/>
        </w:rPr>
        <w:t>.</w:t>
      </w:r>
    </w:p>
    <w:p w14:paraId="48C467F2" w14:textId="77777777" w:rsidR="00D0055C" w:rsidRPr="00C41483" w:rsidRDefault="00D0055C" w:rsidP="00DB6820">
      <w:pPr>
        <w:spacing w:after="0" w:line="240" w:lineRule="auto"/>
        <w:jc w:val="both"/>
        <w:rPr>
          <w:rFonts w:ascii="Times New Roman" w:eastAsia="Calibri" w:hAnsi="Times New Roman" w:cs="Times New Roman"/>
          <w:sz w:val="24"/>
          <w:szCs w:val="24"/>
        </w:rPr>
      </w:pPr>
    </w:p>
    <w:p w14:paraId="6B1C0ABA" w14:textId="3F122A70" w:rsidR="00486C7D" w:rsidRPr="00C41483" w:rsidRDefault="00DB6820" w:rsidP="00635929">
      <w:pPr>
        <w:spacing w:after="0" w:line="240" w:lineRule="auto"/>
        <w:jc w:val="both"/>
        <w:rPr>
          <w:rFonts w:ascii="Times New Roman" w:eastAsia="Calibri" w:hAnsi="Times New Roman" w:cs="Times New Roman"/>
          <w:sz w:val="24"/>
          <w:szCs w:val="24"/>
        </w:rPr>
      </w:pPr>
      <w:r w:rsidRPr="00C41483">
        <w:rPr>
          <w:rFonts w:ascii="Times New Roman" w:eastAsia="Calibri" w:hAnsi="Times New Roman" w:cs="Times New Roman"/>
          <w:sz w:val="24"/>
          <w:szCs w:val="24"/>
        </w:rPr>
        <w:t>(</w:t>
      </w:r>
      <w:r w:rsidR="00531C6F" w:rsidRPr="00C41483">
        <w:rPr>
          <w:rFonts w:ascii="Times New Roman" w:eastAsia="Calibri" w:hAnsi="Times New Roman" w:cs="Times New Roman"/>
          <w:sz w:val="24"/>
          <w:szCs w:val="24"/>
        </w:rPr>
        <w:t>1</w:t>
      </w:r>
      <w:r w:rsidR="00E8616D" w:rsidRPr="00C41483">
        <w:rPr>
          <w:rFonts w:ascii="Times New Roman" w:eastAsia="Calibri" w:hAnsi="Times New Roman" w:cs="Times New Roman"/>
          <w:sz w:val="24"/>
          <w:szCs w:val="24"/>
        </w:rPr>
        <w:t>80</w:t>
      </w:r>
      <w:r w:rsidRPr="00C41483">
        <w:rPr>
          <w:rFonts w:ascii="Times New Roman" w:eastAsia="Calibri" w:hAnsi="Times New Roman" w:cs="Times New Roman"/>
          <w:sz w:val="24"/>
          <w:szCs w:val="24"/>
        </w:rPr>
        <w:t xml:space="preserve">) </w:t>
      </w:r>
      <w:r w:rsidR="008B5E80" w:rsidRPr="00C41483">
        <w:rPr>
          <w:rFonts w:ascii="Times New Roman" w:eastAsia="Calibri" w:hAnsi="Times New Roman" w:cs="Times New Roman"/>
          <w:sz w:val="24"/>
          <w:szCs w:val="24"/>
        </w:rPr>
        <w:t>Ministarstvo nadležno za poslove uprave je a</w:t>
      </w:r>
      <w:r w:rsidR="00486C7D" w:rsidRPr="00C41483">
        <w:rPr>
          <w:rFonts w:ascii="Times New Roman" w:eastAsia="Calibri" w:hAnsi="Times New Roman" w:cs="Times New Roman"/>
          <w:sz w:val="24"/>
          <w:szCs w:val="24"/>
        </w:rPr>
        <w:t>nalizom i komparacijom podataka i očitovanja JLP(R)S kroz izvještajna razdoblja za 2015., 2017. i 2018. godinu utvr</w:t>
      </w:r>
      <w:r w:rsidR="008B5E80" w:rsidRPr="00C41483">
        <w:rPr>
          <w:rFonts w:ascii="Times New Roman" w:eastAsia="Calibri" w:hAnsi="Times New Roman" w:cs="Times New Roman"/>
          <w:sz w:val="24"/>
          <w:szCs w:val="24"/>
        </w:rPr>
        <w:t>dilo</w:t>
      </w:r>
      <w:r w:rsidR="00486C7D" w:rsidRPr="00C41483">
        <w:rPr>
          <w:rFonts w:ascii="Times New Roman" w:eastAsia="Calibri" w:hAnsi="Times New Roman" w:cs="Times New Roman"/>
          <w:sz w:val="24"/>
          <w:szCs w:val="24"/>
        </w:rPr>
        <w:t xml:space="preserve"> kako se </w:t>
      </w:r>
      <w:bookmarkStart w:id="137" w:name="_Hlk83112217"/>
      <w:r w:rsidR="00486C7D" w:rsidRPr="00C41483">
        <w:rPr>
          <w:rFonts w:ascii="Times New Roman" w:eastAsia="Calibri" w:hAnsi="Times New Roman" w:cs="Times New Roman"/>
          <w:sz w:val="24"/>
          <w:szCs w:val="24"/>
        </w:rPr>
        <w:t xml:space="preserve">provedba mjera JLP(R)S </w:t>
      </w:r>
      <w:r w:rsidR="008B5E80" w:rsidRPr="00C41483">
        <w:rPr>
          <w:rFonts w:ascii="Times New Roman" w:eastAsia="Calibri" w:hAnsi="Times New Roman" w:cs="Times New Roman"/>
          <w:sz w:val="24"/>
          <w:szCs w:val="24"/>
        </w:rPr>
        <w:t>usmjerenih n</w:t>
      </w:r>
      <w:r w:rsidR="00486C7D" w:rsidRPr="00C41483">
        <w:rPr>
          <w:rFonts w:ascii="Times New Roman" w:eastAsia="Calibri" w:hAnsi="Times New Roman" w:cs="Times New Roman"/>
          <w:sz w:val="24"/>
          <w:szCs w:val="24"/>
        </w:rPr>
        <w:t xml:space="preserve">a </w:t>
      </w:r>
      <w:r w:rsidR="008B5E80" w:rsidRPr="00C41483">
        <w:rPr>
          <w:rFonts w:ascii="Times New Roman" w:eastAsia="Calibri" w:hAnsi="Times New Roman" w:cs="Times New Roman"/>
          <w:sz w:val="24"/>
          <w:szCs w:val="24"/>
        </w:rPr>
        <w:t xml:space="preserve">osiguranje </w:t>
      </w:r>
      <w:r w:rsidR="00486C7D" w:rsidRPr="00C41483">
        <w:rPr>
          <w:rFonts w:ascii="Times New Roman" w:eastAsia="Calibri" w:hAnsi="Times New Roman" w:cs="Times New Roman"/>
          <w:sz w:val="24"/>
          <w:szCs w:val="24"/>
        </w:rPr>
        <w:t>prava osoba s invaliditetom za sudjelovanje u političkom i javnom životu</w:t>
      </w:r>
      <w:bookmarkEnd w:id="137"/>
      <w:r w:rsidR="00486C7D" w:rsidRPr="00C41483">
        <w:rPr>
          <w:rFonts w:ascii="Times New Roman" w:eastAsia="Calibri" w:hAnsi="Times New Roman" w:cs="Times New Roman"/>
          <w:sz w:val="24"/>
          <w:szCs w:val="24"/>
        </w:rPr>
        <w:t xml:space="preserve"> povećavala svakim izvještajnim razdobljem. No, važno je </w:t>
      </w:r>
      <w:r w:rsidR="00486C7D" w:rsidRPr="00C41483">
        <w:rPr>
          <w:rFonts w:ascii="Times New Roman" w:eastAsia="Calibri" w:hAnsi="Times New Roman" w:cs="Times New Roman"/>
          <w:sz w:val="24"/>
          <w:szCs w:val="24"/>
        </w:rPr>
        <w:lastRenderedPageBreak/>
        <w:t>istaknuti kako se stupanj provedbe određenih aktivnost među JLP(R)S razlikuje, s obzirom da su se provedbene aktivnosti prilagođavale stvarnim potrebama osoba s invaliditetom.</w:t>
      </w:r>
      <w:r w:rsidR="00962195" w:rsidRPr="00C41483">
        <w:rPr>
          <w:rFonts w:ascii="Times New Roman" w:eastAsia="Calibri" w:hAnsi="Times New Roman" w:cs="Times New Roman"/>
          <w:sz w:val="24"/>
          <w:szCs w:val="24"/>
        </w:rPr>
        <w:t xml:space="preserve"> </w:t>
      </w:r>
      <w:bookmarkStart w:id="138" w:name="_Hlk83112199"/>
      <w:r w:rsidR="00635929" w:rsidRPr="00C41483">
        <w:rPr>
          <w:rFonts w:ascii="Times New Roman" w:eastAsia="Calibri" w:hAnsi="Times New Roman" w:cs="Times New Roman"/>
          <w:sz w:val="24"/>
          <w:szCs w:val="24"/>
        </w:rPr>
        <w:t>Detaljnije u prilogu</w:t>
      </w:r>
      <w:r w:rsidR="00531C6F" w:rsidRPr="00C41483">
        <w:rPr>
          <w:rFonts w:ascii="Times New Roman" w:eastAsia="Calibri" w:hAnsi="Times New Roman" w:cs="Times New Roman"/>
          <w:sz w:val="24"/>
          <w:szCs w:val="24"/>
        </w:rPr>
        <w:t xml:space="preserve"> 40</w:t>
      </w:r>
      <w:r w:rsidR="001A2F17">
        <w:rPr>
          <w:rFonts w:ascii="Times New Roman" w:eastAsia="Calibri" w:hAnsi="Times New Roman" w:cs="Times New Roman"/>
          <w:sz w:val="24"/>
          <w:szCs w:val="24"/>
        </w:rPr>
        <w:t>.</w:t>
      </w:r>
      <w:r w:rsidR="00635929" w:rsidRPr="00C41483">
        <w:rPr>
          <w:rFonts w:ascii="Times New Roman" w:eastAsia="Calibri" w:hAnsi="Times New Roman" w:cs="Times New Roman"/>
          <w:sz w:val="24"/>
          <w:szCs w:val="24"/>
        </w:rPr>
        <w:t xml:space="preserve"> </w:t>
      </w:r>
      <w:bookmarkEnd w:id="138"/>
    </w:p>
    <w:p w14:paraId="3C3CAE57" w14:textId="0EC5164E" w:rsidR="00531C6F" w:rsidRPr="00C41483" w:rsidRDefault="00531C6F" w:rsidP="00635929">
      <w:pPr>
        <w:spacing w:after="0" w:line="240" w:lineRule="auto"/>
        <w:jc w:val="both"/>
        <w:rPr>
          <w:rFonts w:ascii="Times New Roman" w:eastAsia="Calibri" w:hAnsi="Times New Roman" w:cs="Times New Roman"/>
          <w:sz w:val="24"/>
          <w:szCs w:val="24"/>
        </w:rPr>
      </w:pPr>
    </w:p>
    <w:p w14:paraId="3DB10972" w14:textId="3D7077B0" w:rsidR="003A2E30" w:rsidRPr="00C41483" w:rsidRDefault="00DB6820" w:rsidP="006B5133">
      <w:pPr>
        <w:widowControl w:val="0"/>
        <w:adjustRightInd w:val="0"/>
        <w:spacing w:after="0" w:line="240" w:lineRule="auto"/>
        <w:jc w:val="both"/>
        <w:textAlignment w:val="baseline"/>
        <w:rPr>
          <w:rFonts w:ascii="Times New Roman" w:eastAsia="Times New Roman" w:hAnsi="Times New Roman" w:cs="Times New Roman"/>
          <w:sz w:val="24"/>
          <w:szCs w:val="24"/>
        </w:rPr>
      </w:pPr>
      <w:r w:rsidRPr="00C41483">
        <w:rPr>
          <w:rFonts w:ascii="Times New Roman" w:eastAsia="Times New Roman" w:hAnsi="Times New Roman" w:cs="Times New Roman"/>
          <w:sz w:val="24"/>
          <w:szCs w:val="24"/>
        </w:rPr>
        <w:t>(</w:t>
      </w:r>
      <w:r w:rsidR="00531C6F" w:rsidRPr="00C41483">
        <w:rPr>
          <w:rFonts w:ascii="Times New Roman" w:eastAsia="Times New Roman" w:hAnsi="Times New Roman" w:cs="Times New Roman"/>
          <w:sz w:val="24"/>
          <w:szCs w:val="24"/>
        </w:rPr>
        <w:t>18</w:t>
      </w:r>
      <w:r w:rsidR="00E8616D" w:rsidRPr="00C41483">
        <w:rPr>
          <w:rFonts w:ascii="Times New Roman" w:eastAsia="Times New Roman" w:hAnsi="Times New Roman" w:cs="Times New Roman"/>
          <w:sz w:val="24"/>
          <w:szCs w:val="24"/>
        </w:rPr>
        <w:t>1</w:t>
      </w:r>
      <w:r w:rsidRPr="00C41483">
        <w:rPr>
          <w:rFonts w:ascii="Times New Roman" w:eastAsia="Times New Roman" w:hAnsi="Times New Roman" w:cs="Times New Roman"/>
          <w:sz w:val="24"/>
          <w:szCs w:val="24"/>
        </w:rPr>
        <w:t xml:space="preserve">) </w:t>
      </w:r>
      <w:r w:rsidR="003A2E30" w:rsidRPr="00C41483">
        <w:rPr>
          <w:rFonts w:ascii="Times New Roman" w:eastAsia="Times New Roman" w:hAnsi="Times New Roman" w:cs="Times New Roman"/>
          <w:sz w:val="24"/>
          <w:szCs w:val="24"/>
        </w:rPr>
        <w:t xml:space="preserve">Savjet za razvoj civilnoga društva djeluje u više od osamnaest godina kao savjetodavno tijelo Vlade </w:t>
      </w:r>
      <w:r w:rsidRPr="00C41483">
        <w:rPr>
          <w:rFonts w:ascii="Times New Roman" w:eastAsia="Times New Roman" w:hAnsi="Times New Roman" w:cs="Times New Roman"/>
          <w:sz w:val="24"/>
          <w:szCs w:val="24"/>
        </w:rPr>
        <w:t>RH</w:t>
      </w:r>
      <w:r w:rsidR="003A2E30" w:rsidRPr="00C41483">
        <w:rPr>
          <w:rFonts w:ascii="Times New Roman" w:eastAsia="Times New Roman" w:hAnsi="Times New Roman" w:cs="Times New Roman"/>
          <w:sz w:val="24"/>
          <w:szCs w:val="24"/>
        </w:rPr>
        <w:t xml:space="preserve"> i glavni forum za strukturirani dijalog između tijela državne uprave i predstavnika udruga i ostalih aktera organiziranog civilnog društva o svim pitanjima koja utječu na okruženje za razvoj civilnog društva</w:t>
      </w:r>
      <w:r w:rsidR="00687656" w:rsidRPr="00C41483">
        <w:rPr>
          <w:rFonts w:ascii="Times New Roman" w:eastAsia="Times New Roman" w:hAnsi="Times New Roman" w:cs="Times New Roman"/>
          <w:sz w:val="24"/>
          <w:szCs w:val="24"/>
        </w:rPr>
        <w:t>.</w:t>
      </w:r>
      <w:r w:rsidR="003A2E30" w:rsidRPr="00C41483">
        <w:rPr>
          <w:rFonts w:ascii="Times New Roman" w:eastAsia="Times New Roman" w:hAnsi="Times New Roman" w:cs="Times New Roman"/>
          <w:sz w:val="24"/>
          <w:szCs w:val="24"/>
        </w:rPr>
        <w:t xml:space="preserve"> Savjet ima važnu ulogu i u primjeni načela partnerstva u postupku programiranja projekata koji se financiraju iz </w:t>
      </w:r>
      <w:r w:rsidR="009F6295" w:rsidRPr="00C41483">
        <w:rPr>
          <w:rFonts w:ascii="Times New Roman" w:eastAsia="Times New Roman" w:hAnsi="Times New Roman" w:cs="Times New Roman"/>
          <w:sz w:val="24"/>
          <w:szCs w:val="24"/>
        </w:rPr>
        <w:t>ESF-a</w:t>
      </w:r>
      <w:r w:rsidR="003A2E30" w:rsidRPr="00C41483">
        <w:rPr>
          <w:rFonts w:ascii="Times New Roman" w:eastAsia="Times New Roman" w:hAnsi="Times New Roman" w:cs="Times New Roman"/>
          <w:sz w:val="24"/>
          <w:szCs w:val="24"/>
        </w:rPr>
        <w:t xml:space="preserve">. Europska komisija uvrstila je Savjet u </w:t>
      </w:r>
      <w:r w:rsidR="003A2E30" w:rsidRPr="00C41483">
        <w:rPr>
          <w:rFonts w:ascii="Times New Roman" w:eastAsia="Times New Roman" w:hAnsi="Times New Roman" w:cs="Times New Roman"/>
          <w:i/>
          <w:sz w:val="24"/>
          <w:szCs w:val="24"/>
        </w:rPr>
        <w:t>Priručnik o kvaliteti javne uprave</w:t>
      </w:r>
      <w:r w:rsidR="003A2E30" w:rsidRPr="00C41483">
        <w:rPr>
          <w:rFonts w:ascii="Times New Roman" w:eastAsia="Times New Roman" w:hAnsi="Times New Roman" w:cs="Times New Roman"/>
          <w:sz w:val="24"/>
          <w:szCs w:val="24"/>
        </w:rPr>
        <w:t xml:space="preserve"> kao primjer dobre prakse suradnje javne uprave i organizacija civilnog društva. Savjet ima 37 članova, i to: 17 predstavnika tijela javne vlasti – nadležnih ministarstava, ureda Vlade </w:t>
      </w:r>
      <w:r w:rsidRPr="00C41483">
        <w:rPr>
          <w:rFonts w:ascii="Times New Roman" w:eastAsia="Times New Roman" w:hAnsi="Times New Roman" w:cs="Times New Roman"/>
          <w:sz w:val="24"/>
          <w:szCs w:val="24"/>
        </w:rPr>
        <w:t>RH</w:t>
      </w:r>
      <w:r w:rsidR="00531C6F" w:rsidRPr="00C41483">
        <w:rPr>
          <w:rFonts w:ascii="Times New Roman" w:eastAsia="Times New Roman" w:hAnsi="Times New Roman" w:cs="Times New Roman"/>
          <w:sz w:val="24"/>
          <w:szCs w:val="24"/>
        </w:rPr>
        <w:t xml:space="preserve"> </w:t>
      </w:r>
      <w:r w:rsidR="003A2E30" w:rsidRPr="00C41483">
        <w:rPr>
          <w:rFonts w:ascii="Times New Roman" w:eastAsia="Times New Roman" w:hAnsi="Times New Roman" w:cs="Times New Roman"/>
          <w:sz w:val="24"/>
          <w:szCs w:val="24"/>
        </w:rPr>
        <w:t xml:space="preserve">i Nacionalne zaklade za razvoj civilnoga društva, 14 predstavnika udruga i drugih organizacija civilnoga društva, tri predstavnika civilnoga društva iz reda zaklada, sindikata i udruga poslodavaca te tri predstavnika udruga </w:t>
      </w:r>
      <w:r w:rsidR="002A43F0" w:rsidRPr="00C41483">
        <w:rPr>
          <w:rFonts w:ascii="Times New Roman" w:hAnsi="Times New Roman" w:cs="Times New Roman"/>
          <w:sz w:val="24"/>
          <w:szCs w:val="24"/>
        </w:rPr>
        <w:t>JLP(R)S</w:t>
      </w:r>
      <w:r w:rsidR="003A2E30" w:rsidRPr="00C41483">
        <w:rPr>
          <w:rFonts w:ascii="Times New Roman" w:eastAsia="Times New Roman" w:hAnsi="Times New Roman" w:cs="Times New Roman"/>
          <w:sz w:val="24"/>
          <w:szCs w:val="24"/>
        </w:rPr>
        <w:t xml:space="preserve">. Predstavnici </w:t>
      </w:r>
      <w:r w:rsidR="008C714A" w:rsidRPr="00C41483">
        <w:rPr>
          <w:rFonts w:ascii="Times New Roman" w:eastAsia="Times New Roman" w:hAnsi="Times New Roman" w:cs="Times New Roman"/>
          <w:sz w:val="24"/>
          <w:szCs w:val="24"/>
        </w:rPr>
        <w:t>UOSI</w:t>
      </w:r>
      <w:r w:rsidR="003A2E30" w:rsidRPr="00C41483">
        <w:rPr>
          <w:rFonts w:ascii="Times New Roman" w:eastAsia="Times New Roman" w:hAnsi="Times New Roman" w:cs="Times New Roman"/>
          <w:sz w:val="24"/>
          <w:szCs w:val="24"/>
        </w:rPr>
        <w:t xml:space="preserve"> </w:t>
      </w:r>
      <w:r w:rsidR="005D1AFE" w:rsidRPr="00C41483">
        <w:rPr>
          <w:rFonts w:ascii="Times New Roman" w:eastAsia="Times New Roman" w:hAnsi="Times New Roman" w:cs="Times New Roman"/>
          <w:sz w:val="24"/>
          <w:szCs w:val="24"/>
        </w:rPr>
        <w:t xml:space="preserve">(član i zamjena člana) </w:t>
      </w:r>
      <w:r w:rsidR="003A2E30" w:rsidRPr="00C41483">
        <w:rPr>
          <w:rFonts w:ascii="Times New Roman" w:eastAsia="Times New Roman" w:hAnsi="Times New Roman" w:cs="Times New Roman"/>
          <w:sz w:val="24"/>
          <w:szCs w:val="24"/>
        </w:rPr>
        <w:t>uključeni su u rad Savjeta od njegovog osnutka 2002. godine.</w:t>
      </w:r>
    </w:p>
    <w:p w14:paraId="4D082CB0" w14:textId="7D9380E6" w:rsidR="003A2E30" w:rsidRPr="00C41483" w:rsidRDefault="003A2E30" w:rsidP="006B5133">
      <w:pPr>
        <w:spacing w:after="0" w:line="240" w:lineRule="auto"/>
        <w:jc w:val="both"/>
        <w:rPr>
          <w:rFonts w:ascii="Times New Roman" w:eastAsia="Times New Roman" w:hAnsi="Times New Roman" w:cs="Times New Roman"/>
          <w:b/>
          <w:bCs/>
          <w:sz w:val="24"/>
          <w:szCs w:val="24"/>
          <w:lang w:eastAsia="hr-HR"/>
        </w:rPr>
      </w:pPr>
    </w:p>
    <w:p w14:paraId="261C515D" w14:textId="012AAF3D" w:rsidR="00B20B07" w:rsidRPr="00C41483" w:rsidRDefault="00D0055C" w:rsidP="006B5133">
      <w:pPr>
        <w:widowControl w:val="0"/>
        <w:snapToGrid w:val="0"/>
        <w:spacing w:after="0" w:line="240" w:lineRule="auto"/>
        <w:jc w:val="both"/>
        <w:rPr>
          <w:rFonts w:ascii="Times New Roman" w:eastAsia="Times New Roman" w:hAnsi="Times New Roman" w:cs="Times New Roman"/>
          <w:sz w:val="24"/>
          <w:szCs w:val="24"/>
        </w:rPr>
      </w:pPr>
      <w:r w:rsidRPr="00C41483">
        <w:rPr>
          <w:rFonts w:ascii="Times New Roman" w:eastAsia="Times New Roman" w:hAnsi="Times New Roman" w:cs="Times New Roman"/>
          <w:sz w:val="24"/>
          <w:szCs w:val="24"/>
        </w:rPr>
        <w:t>(</w:t>
      </w:r>
      <w:r w:rsidR="000230C6" w:rsidRPr="00C41483">
        <w:rPr>
          <w:rFonts w:ascii="Times New Roman" w:eastAsia="Times New Roman" w:hAnsi="Times New Roman" w:cs="Times New Roman"/>
          <w:sz w:val="24"/>
          <w:szCs w:val="24"/>
        </w:rPr>
        <w:t>1</w:t>
      </w:r>
      <w:r w:rsidR="00E8616D" w:rsidRPr="00C41483">
        <w:rPr>
          <w:rFonts w:ascii="Times New Roman" w:eastAsia="Times New Roman" w:hAnsi="Times New Roman" w:cs="Times New Roman"/>
          <w:sz w:val="24"/>
          <w:szCs w:val="24"/>
        </w:rPr>
        <w:t>82)</w:t>
      </w:r>
      <w:r w:rsidRPr="00C41483">
        <w:rPr>
          <w:rFonts w:ascii="Times New Roman" w:eastAsia="Times New Roman" w:hAnsi="Times New Roman" w:cs="Times New Roman"/>
          <w:sz w:val="24"/>
          <w:szCs w:val="24"/>
        </w:rPr>
        <w:t xml:space="preserve"> </w:t>
      </w:r>
      <w:r w:rsidR="00B20B07" w:rsidRPr="00C41483">
        <w:rPr>
          <w:rFonts w:ascii="Times New Roman" w:eastAsia="Times New Roman" w:hAnsi="Times New Roman" w:cs="Times New Roman"/>
          <w:sz w:val="24"/>
          <w:szCs w:val="24"/>
        </w:rPr>
        <w:t xml:space="preserve">U razdoblju od 2015. do 2020. Ured za ljudska prava i prava nacionalnih manjina financirao je provedbu tri projekta i jednog trogodišnjeg programa </w:t>
      </w:r>
      <w:r w:rsidR="008C714A" w:rsidRPr="00C41483">
        <w:rPr>
          <w:rFonts w:ascii="Times New Roman" w:eastAsia="Times New Roman" w:hAnsi="Times New Roman" w:cs="Times New Roman"/>
          <w:sz w:val="24"/>
          <w:szCs w:val="24"/>
        </w:rPr>
        <w:t>UOSI</w:t>
      </w:r>
      <w:r w:rsidR="00B20B07" w:rsidRPr="00C41483">
        <w:rPr>
          <w:rFonts w:ascii="Times New Roman" w:eastAsia="Times New Roman" w:hAnsi="Times New Roman" w:cs="Times New Roman"/>
          <w:sz w:val="24"/>
          <w:szCs w:val="24"/>
        </w:rPr>
        <w:t xml:space="preserve"> na temu poticanja uključenosti žena i mladih s invaliditetom u javni i politički život u sveukupnom iznosu od 145.000,00 kuna. Detaljniji prikaz u prilogu</w:t>
      </w:r>
      <w:r w:rsidR="00645601" w:rsidRPr="00C41483">
        <w:rPr>
          <w:rFonts w:ascii="Times New Roman" w:eastAsia="Times New Roman" w:hAnsi="Times New Roman" w:cs="Times New Roman"/>
          <w:sz w:val="24"/>
          <w:szCs w:val="24"/>
        </w:rPr>
        <w:t xml:space="preserve"> </w:t>
      </w:r>
      <w:r w:rsidR="000230C6" w:rsidRPr="00C41483">
        <w:rPr>
          <w:rFonts w:ascii="Times New Roman" w:eastAsia="Times New Roman" w:hAnsi="Times New Roman" w:cs="Times New Roman"/>
          <w:sz w:val="24"/>
          <w:szCs w:val="24"/>
        </w:rPr>
        <w:t>41</w:t>
      </w:r>
      <w:r w:rsidR="001A2F17">
        <w:rPr>
          <w:rFonts w:ascii="Times New Roman" w:eastAsia="Times New Roman" w:hAnsi="Times New Roman" w:cs="Times New Roman"/>
          <w:sz w:val="24"/>
          <w:szCs w:val="24"/>
        </w:rPr>
        <w:t>.</w:t>
      </w:r>
    </w:p>
    <w:p w14:paraId="4867F60F" w14:textId="3130044F" w:rsidR="000A71CC" w:rsidRPr="00C41483" w:rsidRDefault="000A71CC" w:rsidP="006B5133">
      <w:pPr>
        <w:widowControl w:val="0"/>
        <w:snapToGrid w:val="0"/>
        <w:spacing w:after="0" w:line="240" w:lineRule="auto"/>
        <w:jc w:val="both"/>
        <w:rPr>
          <w:rFonts w:ascii="Times New Roman" w:eastAsia="Times New Roman" w:hAnsi="Times New Roman" w:cs="Times New Roman"/>
          <w:sz w:val="24"/>
          <w:szCs w:val="24"/>
        </w:rPr>
      </w:pPr>
    </w:p>
    <w:p w14:paraId="1E8F52EA" w14:textId="2F70CC3A" w:rsidR="00B20B07" w:rsidRPr="00C41483" w:rsidRDefault="00D0055C" w:rsidP="006B5133">
      <w:pPr>
        <w:widowControl w:val="0"/>
        <w:snapToGrid w:val="0"/>
        <w:spacing w:after="0" w:line="240" w:lineRule="auto"/>
        <w:jc w:val="both"/>
        <w:rPr>
          <w:rFonts w:ascii="Times New Roman" w:hAnsi="Times New Roman" w:cs="Times New Roman"/>
          <w:sz w:val="24"/>
          <w:szCs w:val="24"/>
        </w:rPr>
      </w:pPr>
      <w:r w:rsidRPr="00C41483">
        <w:rPr>
          <w:rFonts w:ascii="Times New Roman" w:hAnsi="Times New Roman" w:cs="Times New Roman"/>
          <w:sz w:val="24"/>
          <w:szCs w:val="24"/>
        </w:rPr>
        <w:t>(</w:t>
      </w:r>
      <w:r w:rsidR="000230C6" w:rsidRPr="00C41483">
        <w:rPr>
          <w:rFonts w:ascii="Times New Roman" w:hAnsi="Times New Roman" w:cs="Times New Roman"/>
          <w:sz w:val="24"/>
          <w:szCs w:val="24"/>
        </w:rPr>
        <w:t>18</w:t>
      </w:r>
      <w:r w:rsidR="00E8616D" w:rsidRPr="00C41483">
        <w:rPr>
          <w:rFonts w:ascii="Times New Roman" w:hAnsi="Times New Roman" w:cs="Times New Roman"/>
          <w:sz w:val="24"/>
          <w:szCs w:val="24"/>
        </w:rPr>
        <w:t>3</w:t>
      </w:r>
      <w:r w:rsidRPr="00C41483">
        <w:rPr>
          <w:rFonts w:ascii="Times New Roman" w:hAnsi="Times New Roman" w:cs="Times New Roman"/>
          <w:sz w:val="24"/>
          <w:szCs w:val="24"/>
        </w:rPr>
        <w:t xml:space="preserve">) </w:t>
      </w:r>
      <w:r w:rsidR="00B20B07" w:rsidRPr="00C41483">
        <w:rPr>
          <w:rFonts w:ascii="Times New Roman" w:hAnsi="Times New Roman" w:cs="Times New Roman"/>
          <w:sz w:val="24"/>
          <w:szCs w:val="24"/>
        </w:rPr>
        <w:t xml:space="preserve">S ciljem zaštite od diskriminacije posebno ranjivih skupina, uključujući i osobe s invaliditetom, Vlada </w:t>
      </w:r>
      <w:r w:rsidR="00DB6820" w:rsidRPr="00C41483">
        <w:rPr>
          <w:rFonts w:ascii="Times New Roman" w:hAnsi="Times New Roman" w:cs="Times New Roman"/>
          <w:sz w:val="24"/>
          <w:szCs w:val="24"/>
        </w:rPr>
        <w:t>RH</w:t>
      </w:r>
      <w:r w:rsidR="00B20B07" w:rsidRPr="00C41483">
        <w:rPr>
          <w:rFonts w:ascii="Times New Roman" w:hAnsi="Times New Roman" w:cs="Times New Roman"/>
          <w:sz w:val="24"/>
          <w:szCs w:val="24"/>
        </w:rPr>
        <w:t xml:space="preserve"> 2017. usvojila Nacionalni plan za borbu protiv diskriminacije za razdoblje od 2017. do 2022. godine i Akcijski plan za provedbu Nacionalnog plana za borbu protiv diskriminacije za razdoblje od 2017. do 2019. godine. U dokumentima su razrađene posebne mjere za promicanje i unaprjeđenje prava na jednako postupanje i zaštitu od diskriminacije kroz devet prioritetnih područja (rad i zapošljavanje, obrazovanje, znanost i sport, socijalna skrb i obitelj, zdravstvena zaštita, uprava i pravosuđe, pristup stanovanju, javno informiranje i mediji, pristup dobrima i uslugama, </w:t>
      </w:r>
      <w:proofErr w:type="spellStart"/>
      <w:r w:rsidR="00B20B07" w:rsidRPr="00C41483">
        <w:rPr>
          <w:rFonts w:ascii="Times New Roman" w:hAnsi="Times New Roman" w:cs="Times New Roman"/>
          <w:sz w:val="24"/>
          <w:szCs w:val="24"/>
        </w:rPr>
        <w:t>antidiskriminacija</w:t>
      </w:r>
      <w:proofErr w:type="spellEnd"/>
      <w:r w:rsidR="00B20B07" w:rsidRPr="00C41483">
        <w:rPr>
          <w:rFonts w:ascii="Times New Roman" w:hAnsi="Times New Roman" w:cs="Times New Roman"/>
          <w:sz w:val="24"/>
          <w:szCs w:val="24"/>
        </w:rPr>
        <w:t xml:space="preserve"> i europski fondovi</w:t>
      </w:r>
      <w:r w:rsidR="00687656" w:rsidRPr="00C41483">
        <w:rPr>
          <w:rFonts w:ascii="Times New Roman" w:hAnsi="Times New Roman" w:cs="Times New Roman"/>
          <w:sz w:val="24"/>
          <w:szCs w:val="24"/>
        </w:rPr>
        <w:t>).</w:t>
      </w:r>
    </w:p>
    <w:p w14:paraId="45BD97C7" w14:textId="77777777" w:rsidR="00D0055C" w:rsidRPr="00C41483" w:rsidRDefault="00D0055C" w:rsidP="006B5133">
      <w:pPr>
        <w:widowControl w:val="0"/>
        <w:snapToGrid w:val="0"/>
        <w:spacing w:after="0" w:line="240" w:lineRule="auto"/>
        <w:jc w:val="both"/>
        <w:rPr>
          <w:rFonts w:ascii="Times New Roman" w:hAnsi="Times New Roman" w:cs="Times New Roman"/>
          <w:sz w:val="24"/>
          <w:szCs w:val="24"/>
        </w:rPr>
      </w:pPr>
    </w:p>
    <w:p w14:paraId="0FDF2E7F" w14:textId="42D95537" w:rsidR="00B20B07" w:rsidRPr="00C41483" w:rsidRDefault="00D0055C" w:rsidP="006B5133">
      <w:pPr>
        <w:widowControl w:val="0"/>
        <w:snapToGrid w:val="0"/>
        <w:spacing w:after="0" w:line="240" w:lineRule="auto"/>
        <w:jc w:val="both"/>
        <w:rPr>
          <w:rFonts w:ascii="Times New Roman" w:hAnsi="Times New Roman" w:cs="Times New Roman"/>
          <w:bCs/>
          <w:sz w:val="24"/>
          <w:szCs w:val="24"/>
        </w:rPr>
      </w:pPr>
      <w:r w:rsidRPr="00C41483">
        <w:rPr>
          <w:rFonts w:ascii="Times New Roman" w:hAnsi="Times New Roman" w:cs="Times New Roman"/>
          <w:sz w:val="24"/>
          <w:szCs w:val="24"/>
        </w:rPr>
        <w:t>(</w:t>
      </w:r>
      <w:r w:rsidR="000230C6" w:rsidRPr="00C41483">
        <w:rPr>
          <w:rFonts w:ascii="Times New Roman" w:hAnsi="Times New Roman" w:cs="Times New Roman"/>
          <w:sz w:val="24"/>
          <w:szCs w:val="24"/>
        </w:rPr>
        <w:t>18</w:t>
      </w:r>
      <w:r w:rsidR="00E8616D" w:rsidRPr="00C41483">
        <w:rPr>
          <w:rFonts w:ascii="Times New Roman" w:hAnsi="Times New Roman" w:cs="Times New Roman"/>
          <w:sz w:val="24"/>
          <w:szCs w:val="24"/>
        </w:rPr>
        <w:t>4</w:t>
      </w:r>
      <w:r w:rsidRPr="00C41483">
        <w:rPr>
          <w:rFonts w:ascii="Times New Roman" w:hAnsi="Times New Roman" w:cs="Times New Roman"/>
          <w:sz w:val="24"/>
          <w:szCs w:val="24"/>
        </w:rPr>
        <w:t xml:space="preserve">) </w:t>
      </w:r>
      <w:r w:rsidR="00B20B07" w:rsidRPr="00C41483">
        <w:rPr>
          <w:rFonts w:ascii="Times New Roman" w:hAnsi="Times New Roman" w:cs="Times New Roman"/>
          <w:sz w:val="24"/>
          <w:szCs w:val="24"/>
        </w:rPr>
        <w:t xml:space="preserve">U tijeku je izrada novog strateškog dokumenta i pripadajućih akcijskih planova: </w:t>
      </w:r>
      <w:r w:rsidR="00B20B07" w:rsidRPr="00C41483">
        <w:rPr>
          <w:rFonts w:ascii="Times New Roman" w:hAnsi="Times New Roman" w:cs="Times New Roman"/>
          <w:bCs/>
          <w:sz w:val="24"/>
          <w:szCs w:val="24"/>
        </w:rPr>
        <w:t xml:space="preserve">Nacionalnog plana zaštite i promicanja ljudskih prava i suzbijanja diskriminacije za razdoblje od 2021. do 2027. godine, Akcijskog plana zaštite i promicanja ljudskih prava za razdoblje od 2021. do 2023. i Akcijskog plana za suzbijanje diskriminacije za razdoblje od 2021. do 2023. </w:t>
      </w:r>
    </w:p>
    <w:p w14:paraId="312663E6" w14:textId="77777777" w:rsidR="00D0055C" w:rsidRPr="00C41483" w:rsidRDefault="00D0055C" w:rsidP="006B5133">
      <w:pPr>
        <w:spacing w:after="0" w:line="240" w:lineRule="auto"/>
        <w:jc w:val="both"/>
        <w:rPr>
          <w:rFonts w:ascii="Times New Roman" w:hAnsi="Times New Roman" w:cs="Times New Roman"/>
          <w:sz w:val="24"/>
          <w:szCs w:val="24"/>
        </w:rPr>
      </w:pPr>
    </w:p>
    <w:p w14:paraId="1EC4FC41" w14:textId="703F6F77" w:rsidR="00B20B07" w:rsidRPr="00C41483" w:rsidRDefault="00D0055C" w:rsidP="00A97F44">
      <w:pPr>
        <w:widowControl w:val="0"/>
        <w:snapToGrid w:val="0"/>
        <w:spacing w:after="0" w:line="240" w:lineRule="auto"/>
        <w:rPr>
          <w:rFonts w:ascii="Times New Roman" w:eastAsia="Times New Roman" w:hAnsi="Times New Roman" w:cs="Times New Roman"/>
          <w:b/>
          <w:bCs/>
          <w:sz w:val="24"/>
          <w:szCs w:val="24"/>
          <w:lang w:eastAsia="hr-HR"/>
        </w:rPr>
      </w:pPr>
      <w:r w:rsidRPr="00C41483">
        <w:rPr>
          <w:rFonts w:ascii="Times New Roman" w:hAnsi="Times New Roman" w:cs="Times New Roman"/>
          <w:sz w:val="24"/>
          <w:szCs w:val="24"/>
        </w:rPr>
        <w:t>(</w:t>
      </w:r>
      <w:r w:rsidR="000230C6" w:rsidRPr="00C41483">
        <w:rPr>
          <w:rFonts w:ascii="Times New Roman" w:hAnsi="Times New Roman" w:cs="Times New Roman"/>
          <w:sz w:val="24"/>
          <w:szCs w:val="24"/>
        </w:rPr>
        <w:t>18</w:t>
      </w:r>
      <w:r w:rsidR="00E8616D" w:rsidRPr="00C41483">
        <w:rPr>
          <w:rFonts w:ascii="Times New Roman" w:hAnsi="Times New Roman" w:cs="Times New Roman"/>
          <w:sz w:val="24"/>
          <w:szCs w:val="24"/>
        </w:rPr>
        <w:t>5</w:t>
      </w:r>
      <w:r w:rsidRPr="00C41483">
        <w:rPr>
          <w:rFonts w:ascii="Times New Roman" w:hAnsi="Times New Roman" w:cs="Times New Roman"/>
          <w:sz w:val="24"/>
          <w:szCs w:val="24"/>
        </w:rPr>
        <w:t xml:space="preserve">) </w:t>
      </w:r>
      <w:r w:rsidR="00B20B07" w:rsidRPr="00C41483">
        <w:rPr>
          <w:rFonts w:ascii="Times New Roman" w:hAnsi="Times New Roman" w:cs="Times New Roman"/>
          <w:sz w:val="24"/>
          <w:szCs w:val="24"/>
        </w:rPr>
        <w:t xml:space="preserve">Navedeni podaci i dokumenti dostupni su na https://ljudskaprava.gov.hr/ostvarivanje-prava-romske-nacionalne-manjine/584 i </w:t>
      </w:r>
      <w:r w:rsidR="00B20B07" w:rsidRPr="00C41483">
        <w:rPr>
          <w:rFonts w:ascii="Times New Roman" w:hAnsi="Times New Roman" w:cs="Times New Roman"/>
          <w:color w:val="0563C1"/>
          <w:sz w:val="24"/>
          <w:szCs w:val="24"/>
          <w:u w:val="single"/>
        </w:rPr>
        <w:t>https://ljudskaprava.gov.hr/suzbijanje-diskriminacije/571</w:t>
      </w:r>
    </w:p>
    <w:p w14:paraId="65A6FF81" w14:textId="69256AC9" w:rsidR="00B20B07" w:rsidRPr="00C41483" w:rsidRDefault="00B20B07" w:rsidP="006B5133">
      <w:pPr>
        <w:spacing w:after="0" w:line="240" w:lineRule="auto"/>
        <w:jc w:val="both"/>
        <w:rPr>
          <w:rFonts w:ascii="Times New Roman" w:eastAsia="Times New Roman" w:hAnsi="Times New Roman" w:cs="Times New Roman"/>
          <w:sz w:val="24"/>
          <w:szCs w:val="24"/>
          <w:lang w:eastAsia="hr-HR"/>
        </w:rPr>
      </w:pPr>
    </w:p>
    <w:p w14:paraId="692E4A8C" w14:textId="4E8AF4B2" w:rsidR="00CF7055" w:rsidRPr="00C41483" w:rsidRDefault="000230C6" w:rsidP="006B5133">
      <w:pPr>
        <w:spacing w:after="0" w:line="240" w:lineRule="auto"/>
        <w:jc w:val="both"/>
        <w:rPr>
          <w:rFonts w:ascii="Times New Roman" w:eastAsia="Times New Roman" w:hAnsi="Times New Roman" w:cs="Times New Roman"/>
          <w:sz w:val="24"/>
          <w:szCs w:val="24"/>
          <w:lang w:eastAsia="hr-HR"/>
        </w:rPr>
      </w:pPr>
      <w:r w:rsidRPr="00C41483">
        <w:rPr>
          <w:rFonts w:ascii="Times New Roman" w:eastAsia="Times New Roman" w:hAnsi="Times New Roman" w:cs="Times New Roman"/>
          <w:sz w:val="24"/>
          <w:szCs w:val="24"/>
          <w:lang w:eastAsia="hr-HR"/>
        </w:rPr>
        <w:t>(18</w:t>
      </w:r>
      <w:r w:rsidR="00E8616D" w:rsidRPr="00C41483">
        <w:rPr>
          <w:rFonts w:ascii="Times New Roman" w:eastAsia="Times New Roman" w:hAnsi="Times New Roman" w:cs="Times New Roman"/>
          <w:sz w:val="24"/>
          <w:szCs w:val="24"/>
          <w:lang w:eastAsia="hr-HR"/>
        </w:rPr>
        <w:t>6</w:t>
      </w:r>
      <w:r w:rsidRPr="00C41483">
        <w:rPr>
          <w:rFonts w:ascii="Times New Roman" w:eastAsia="Times New Roman" w:hAnsi="Times New Roman" w:cs="Times New Roman"/>
          <w:sz w:val="24"/>
          <w:szCs w:val="24"/>
          <w:lang w:eastAsia="hr-HR"/>
        </w:rPr>
        <w:t xml:space="preserve">) </w:t>
      </w:r>
      <w:r w:rsidR="00CF7055" w:rsidRPr="00C41483">
        <w:rPr>
          <w:rFonts w:ascii="Times New Roman" w:eastAsia="Times New Roman" w:hAnsi="Times New Roman" w:cs="Times New Roman"/>
          <w:sz w:val="24"/>
          <w:szCs w:val="24"/>
          <w:lang w:eastAsia="hr-HR"/>
        </w:rPr>
        <w:t xml:space="preserve">Ured za ravnopravnost spolova je tiskao na </w:t>
      </w:r>
      <w:proofErr w:type="spellStart"/>
      <w:r w:rsidR="00CF7055" w:rsidRPr="00C41483">
        <w:rPr>
          <w:rFonts w:ascii="Times New Roman" w:eastAsia="Times New Roman" w:hAnsi="Times New Roman" w:cs="Times New Roman"/>
          <w:sz w:val="24"/>
          <w:szCs w:val="24"/>
          <w:lang w:eastAsia="hr-HR"/>
        </w:rPr>
        <w:t>Brailleovom</w:t>
      </w:r>
      <w:proofErr w:type="spellEnd"/>
      <w:r w:rsidR="00CF7055" w:rsidRPr="00C41483">
        <w:rPr>
          <w:rFonts w:ascii="Times New Roman" w:eastAsia="Times New Roman" w:hAnsi="Times New Roman" w:cs="Times New Roman"/>
          <w:sz w:val="24"/>
          <w:szCs w:val="24"/>
          <w:lang w:eastAsia="hr-HR"/>
        </w:rPr>
        <w:t xml:space="preserve"> pismu Nacionalni plan za ravnopravnost spolova za razdoblje od 2011. do 2015.</w:t>
      </w:r>
    </w:p>
    <w:p w14:paraId="5B7E9814" w14:textId="44B386B6" w:rsidR="00CF7055" w:rsidRPr="00C41483" w:rsidRDefault="00CF7055" w:rsidP="006B5133">
      <w:pPr>
        <w:spacing w:after="0" w:line="240" w:lineRule="auto"/>
        <w:jc w:val="both"/>
        <w:rPr>
          <w:rFonts w:ascii="Times New Roman" w:eastAsia="Times New Roman" w:hAnsi="Times New Roman" w:cs="Times New Roman"/>
          <w:sz w:val="24"/>
          <w:szCs w:val="24"/>
          <w:lang w:eastAsia="hr-HR"/>
        </w:rPr>
      </w:pPr>
    </w:p>
    <w:p w14:paraId="37BB8054" w14:textId="682CDA31" w:rsidR="00CF7055" w:rsidRPr="00C41483" w:rsidRDefault="00CF7055" w:rsidP="006B5133">
      <w:pPr>
        <w:spacing w:after="0" w:line="240" w:lineRule="auto"/>
        <w:jc w:val="both"/>
        <w:rPr>
          <w:rFonts w:ascii="Times New Roman" w:eastAsia="Times New Roman" w:hAnsi="Times New Roman" w:cs="Times New Roman"/>
          <w:b/>
          <w:bCs/>
          <w:sz w:val="24"/>
          <w:szCs w:val="24"/>
          <w:lang w:eastAsia="hr-HR"/>
        </w:rPr>
      </w:pPr>
    </w:p>
    <w:p w14:paraId="6715986C" w14:textId="34472774" w:rsidR="003A2E30" w:rsidRPr="00C41483" w:rsidRDefault="003A2E30" w:rsidP="006B5133">
      <w:pPr>
        <w:pStyle w:val="Naslov1"/>
        <w:spacing w:before="0" w:line="240" w:lineRule="auto"/>
        <w:rPr>
          <w:rFonts w:ascii="Times New Roman" w:eastAsia="Times New Roman" w:hAnsi="Times New Roman" w:cs="Times New Roman"/>
          <w:b/>
          <w:bCs/>
          <w:color w:val="auto"/>
          <w:sz w:val="24"/>
          <w:szCs w:val="24"/>
          <w:lang w:eastAsia="hr-HR"/>
        </w:rPr>
      </w:pPr>
      <w:bookmarkStart w:id="139" w:name="_Toc76630967"/>
      <w:bookmarkStart w:id="140" w:name="_Toc88031206"/>
      <w:r w:rsidRPr="00C41483">
        <w:rPr>
          <w:rFonts w:ascii="Times New Roman" w:eastAsia="Times New Roman" w:hAnsi="Times New Roman" w:cs="Times New Roman"/>
          <w:b/>
          <w:bCs/>
          <w:color w:val="auto"/>
          <w:sz w:val="24"/>
          <w:szCs w:val="24"/>
          <w:lang w:eastAsia="hr-HR"/>
        </w:rPr>
        <w:t>Sudjelovanje u kulturnom životu, rekreaciji, razonodi i sportu (čl. 30.)</w:t>
      </w:r>
      <w:bookmarkEnd w:id="139"/>
      <w:bookmarkEnd w:id="140"/>
    </w:p>
    <w:p w14:paraId="28C16449" w14:textId="71AC79C1" w:rsidR="000668E0" w:rsidRPr="00C41483" w:rsidRDefault="000668E0" w:rsidP="006B5133">
      <w:pPr>
        <w:spacing w:after="0" w:line="240" w:lineRule="auto"/>
        <w:rPr>
          <w:lang w:eastAsia="hr-HR"/>
        </w:rPr>
      </w:pPr>
    </w:p>
    <w:p w14:paraId="7003FFC5" w14:textId="3A379910" w:rsidR="004D3E1A" w:rsidRPr="00C41483" w:rsidRDefault="00604E80" w:rsidP="00FD0783">
      <w:pPr>
        <w:spacing w:after="0" w:line="240" w:lineRule="auto"/>
        <w:jc w:val="both"/>
        <w:rPr>
          <w:rFonts w:ascii="Times New Roman" w:eastAsia="Times New Roman" w:hAnsi="Times New Roman" w:cs="Times New Roman"/>
          <w:i/>
          <w:iCs/>
          <w:sz w:val="24"/>
          <w:szCs w:val="24"/>
          <w:lang w:eastAsia="hr-HR"/>
        </w:rPr>
      </w:pPr>
      <w:bookmarkStart w:id="141" w:name="_Hlk83815622"/>
      <w:r w:rsidRPr="00C41483">
        <w:rPr>
          <w:rFonts w:ascii="Times New Roman" w:eastAsia="Times New Roman" w:hAnsi="Times New Roman" w:cs="Times New Roman"/>
          <w:i/>
          <w:iCs/>
          <w:sz w:val="24"/>
          <w:szCs w:val="24"/>
          <w:lang w:eastAsia="hr-HR"/>
        </w:rPr>
        <w:t xml:space="preserve">Pitanje </w:t>
      </w:r>
      <w:r w:rsidR="004D3E1A" w:rsidRPr="00C41483">
        <w:rPr>
          <w:rFonts w:ascii="Times New Roman" w:eastAsia="Times New Roman" w:hAnsi="Times New Roman" w:cs="Times New Roman"/>
          <w:i/>
          <w:iCs/>
          <w:sz w:val="24"/>
          <w:szCs w:val="24"/>
          <w:lang w:eastAsia="hr-HR"/>
        </w:rPr>
        <w:t xml:space="preserve">30a) </w:t>
      </w:r>
      <w:r w:rsidR="000003D7" w:rsidRPr="00C41483">
        <w:rPr>
          <w:rFonts w:ascii="Times New Roman" w:eastAsia="Times New Roman" w:hAnsi="Times New Roman" w:cs="Times New Roman"/>
          <w:i/>
          <w:iCs/>
          <w:sz w:val="24"/>
          <w:szCs w:val="24"/>
          <w:lang w:eastAsia="hr-HR"/>
        </w:rPr>
        <w:t>i b)</w:t>
      </w:r>
      <w:r w:rsidR="00E309E5" w:rsidRPr="00C41483">
        <w:rPr>
          <w:rFonts w:ascii="Times New Roman" w:eastAsia="Times New Roman" w:hAnsi="Times New Roman" w:cs="Times New Roman"/>
          <w:i/>
          <w:iCs/>
          <w:sz w:val="24"/>
          <w:szCs w:val="24"/>
          <w:lang w:eastAsia="hr-HR"/>
        </w:rPr>
        <w:t xml:space="preserve"> </w:t>
      </w:r>
    </w:p>
    <w:bookmarkEnd w:id="141"/>
    <w:p w14:paraId="7FDE0131" w14:textId="0739C745" w:rsidR="000668E0" w:rsidRPr="00C41483" w:rsidRDefault="000668E0" w:rsidP="006B5133">
      <w:pPr>
        <w:spacing w:after="0" w:line="240" w:lineRule="auto"/>
        <w:jc w:val="both"/>
        <w:rPr>
          <w:rFonts w:ascii="Times New Roman" w:eastAsia="Times New Roman" w:hAnsi="Times New Roman" w:cs="Times New Roman"/>
          <w:sz w:val="24"/>
          <w:szCs w:val="24"/>
          <w:lang w:eastAsia="hr-HR"/>
        </w:rPr>
      </w:pPr>
    </w:p>
    <w:p w14:paraId="298CBAF5" w14:textId="2685E70B" w:rsidR="009221C7" w:rsidRPr="00C41483" w:rsidRDefault="000E6B09" w:rsidP="009221C7">
      <w:pPr>
        <w:spacing w:after="0" w:line="240" w:lineRule="auto"/>
        <w:jc w:val="both"/>
        <w:rPr>
          <w:rFonts w:ascii="Times New Roman" w:hAnsi="Times New Roman" w:cs="Times New Roman"/>
          <w:sz w:val="24"/>
          <w:szCs w:val="24"/>
          <w:lang w:eastAsia="hr-HR"/>
        </w:rPr>
      </w:pPr>
      <w:r w:rsidRPr="00C41483">
        <w:rPr>
          <w:rFonts w:ascii="Times New Roman" w:hAnsi="Times New Roman" w:cs="Times New Roman"/>
          <w:sz w:val="24"/>
          <w:szCs w:val="24"/>
        </w:rPr>
        <w:t>(</w:t>
      </w:r>
      <w:r w:rsidR="000230C6" w:rsidRPr="00C41483">
        <w:rPr>
          <w:rFonts w:ascii="Times New Roman" w:hAnsi="Times New Roman" w:cs="Times New Roman"/>
          <w:sz w:val="24"/>
          <w:szCs w:val="24"/>
        </w:rPr>
        <w:t>18</w:t>
      </w:r>
      <w:r w:rsidR="00E8616D" w:rsidRPr="00C41483">
        <w:rPr>
          <w:rFonts w:ascii="Times New Roman" w:hAnsi="Times New Roman" w:cs="Times New Roman"/>
          <w:sz w:val="24"/>
          <w:szCs w:val="24"/>
        </w:rPr>
        <w:t>7</w:t>
      </w:r>
      <w:r w:rsidRPr="00C41483">
        <w:rPr>
          <w:rFonts w:ascii="Times New Roman" w:hAnsi="Times New Roman" w:cs="Times New Roman"/>
          <w:sz w:val="24"/>
          <w:szCs w:val="24"/>
        </w:rPr>
        <w:t xml:space="preserve">) </w:t>
      </w:r>
      <w:r w:rsidR="002A43F0" w:rsidRPr="00C41483">
        <w:rPr>
          <w:rFonts w:ascii="Times New Roman" w:hAnsi="Times New Roman" w:cs="Times New Roman"/>
          <w:sz w:val="24"/>
          <w:szCs w:val="24"/>
        </w:rPr>
        <w:t>JLP(R)S</w:t>
      </w:r>
      <w:r w:rsidR="009221C7" w:rsidRPr="00C41483">
        <w:rPr>
          <w:rFonts w:ascii="Times New Roman" w:hAnsi="Times New Roman" w:cs="Times New Roman"/>
          <w:sz w:val="24"/>
          <w:szCs w:val="24"/>
        </w:rPr>
        <w:t xml:space="preserve"> </w:t>
      </w:r>
      <w:r w:rsidR="00FA1579" w:rsidRPr="00C41483">
        <w:rPr>
          <w:rFonts w:ascii="Times New Roman" w:hAnsi="Times New Roman" w:cs="Times New Roman"/>
          <w:sz w:val="24"/>
          <w:szCs w:val="24"/>
        </w:rPr>
        <w:t xml:space="preserve">svake godine, </w:t>
      </w:r>
      <w:r w:rsidR="009221C7" w:rsidRPr="00C41483">
        <w:rPr>
          <w:rFonts w:ascii="Times New Roman" w:hAnsi="Times New Roman" w:cs="Times New Roman"/>
          <w:sz w:val="24"/>
          <w:szCs w:val="24"/>
        </w:rPr>
        <w:t xml:space="preserve">u okviru izvještavanja o provedbi mjera Nacionalne </w:t>
      </w:r>
      <w:r w:rsidR="009221C7" w:rsidRPr="00C41483">
        <w:rPr>
          <w:rFonts w:ascii="Times New Roman" w:hAnsi="Times New Roman" w:cs="Times New Roman"/>
          <w:color w:val="231F20"/>
          <w:sz w:val="24"/>
          <w:szCs w:val="24"/>
          <w:shd w:val="clear" w:color="auto" w:fill="FFFFFF"/>
        </w:rPr>
        <w:t xml:space="preserve">strategije 2017.-2020., izvještavaju o </w:t>
      </w:r>
      <w:r w:rsidR="009221C7" w:rsidRPr="00C41483">
        <w:rPr>
          <w:rFonts w:ascii="Times New Roman" w:hAnsi="Times New Roman" w:cs="Times New Roman"/>
          <w:sz w:val="24"/>
          <w:szCs w:val="24"/>
        </w:rPr>
        <w:t xml:space="preserve">poduzetim radnjama za osiguravanje pristupačnosti </w:t>
      </w:r>
      <w:r w:rsidR="001F249A" w:rsidRPr="00C41483">
        <w:rPr>
          <w:rFonts w:ascii="Times New Roman" w:hAnsi="Times New Roman" w:cs="Times New Roman"/>
          <w:sz w:val="24"/>
          <w:szCs w:val="24"/>
        </w:rPr>
        <w:t xml:space="preserve">informacija i </w:t>
      </w:r>
      <w:r w:rsidR="001F249A" w:rsidRPr="00C41483">
        <w:rPr>
          <w:rFonts w:ascii="Times New Roman" w:hAnsi="Times New Roman" w:cs="Times New Roman"/>
          <w:sz w:val="24"/>
          <w:szCs w:val="24"/>
        </w:rPr>
        <w:lastRenderedPageBreak/>
        <w:t>knjižnica te ostalih sadržaja kulturnog života</w:t>
      </w:r>
      <w:r w:rsidR="009221C7" w:rsidRPr="00C41483">
        <w:rPr>
          <w:rFonts w:ascii="Times New Roman" w:hAnsi="Times New Roman" w:cs="Times New Roman"/>
          <w:sz w:val="24"/>
          <w:szCs w:val="24"/>
        </w:rPr>
        <w:t>. Godišnja izvješća o provedbi Nacionalne strategije javno su objavljena.</w:t>
      </w:r>
    </w:p>
    <w:p w14:paraId="351FA169" w14:textId="77777777" w:rsidR="003F794C" w:rsidRPr="00C41483" w:rsidRDefault="003F794C" w:rsidP="006B5133">
      <w:pPr>
        <w:spacing w:after="0" w:line="240" w:lineRule="auto"/>
        <w:jc w:val="both"/>
        <w:rPr>
          <w:rFonts w:ascii="Times New Roman" w:eastAsia="Times New Roman" w:hAnsi="Times New Roman" w:cs="Times New Roman"/>
          <w:bCs/>
          <w:sz w:val="24"/>
          <w:szCs w:val="24"/>
          <w:lang w:eastAsia="hr-HR"/>
        </w:rPr>
      </w:pPr>
    </w:p>
    <w:p w14:paraId="7BD73C2E" w14:textId="2845B1CF" w:rsidR="00FE5311" w:rsidRPr="00C41483" w:rsidRDefault="000E6B09" w:rsidP="003F794C">
      <w:pPr>
        <w:spacing w:after="0" w:line="240" w:lineRule="auto"/>
        <w:jc w:val="both"/>
        <w:rPr>
          <w:rFonts w:ascii="Times New Roman" w:hAnsi="Times New Roman" w:cs="Times New Roman"/>
          <w:sz w:val="24"/>
          <w:szCs w:val="24"/>
        </w:rPr>
      </w:pPr>
      <w:r w:rsidRPr="00C41483">
        <w:rPr>
          <w:rFonts w:ascii="Times New Roman" w:hAnsi="Times New Roman" w:cs="Times New Roman"/>
          <w:sz w:val="24"/>
          <w:szCs w:val="24"/>
        </w:rPr>
        <w:t>(</w:t>
      </w:r>
      <w:r w:rsidR="000230C6" w:rsidRPr="00C41483">
        <w:rPr>
          <w:rFonts w:ascii="Times New Roman" w:hAnsi="Times New Roman" w:cs="Times New Roman"/>
          <w:sz w:val="24"/>
          <w:szCs w:val="24"/>
        </w:rPr>
        <w:t>18</w:t>
      </w:r>
      <w:r w:rsidR="00E8616D" w:rsidRPr="00C41483">
        <w:rPr>
          <w:rFonts w:ascii="Times New Roman" w:hAnsi="Times New Roman" w:cs="Times New Roman"/>
          <w:sz w:val="24"/>
          <w:szCs w:val="24"/>
        </w:rPr>
        <w:t>8</w:t>
      </w:r>
      <w:r w:rsidRPr="00C41483">
        <w:rPr>
          <w:rFonts w:ascii="Times New Roman" w:hAnsi="Times New Roman" w:cs="Times New Roman"/>
          <w:sz w:val="24"/>
          <w:szCs w:val="24"/>
        </w:rPr>
        <w:t xml:space="preserve">) </w:t>
      </w:r>
      <w:bookmarkStart w:id="142" w:name="_Hlk83121253"/>
      <w:bookmarkStart w:id="143" w:name="_Hlk83120813"/>
      <w:r w:rsidR="003F794C" w:rsidRPr="00C41483">
        <w:rPr>
          <w:rFonts w:ascii="Times New Roman" w:hAnsi="Times New Roman" w:cs="Times New Roman"/>
          <w:sz w:val="24"/>
          <w:szCs w:val="24"/>
        </w:rPr>
        <w:t>Ministarstvo kulture i medija kontinuirano</w:t>
      </w:r>
      <w:r w:rsidR="00166F10" w:rsidRPr="00C41483">
        <w:rPr>
          <w:rFonts w:ascii="Times New Roman" w:hAnsi="Times New Roman" w:cs="Times New Roman"/>
          <w:sz w:val="24"/>
          <w:szCs w:val="24"/>
        </w:rPr>
        <w:t xml:space="preserve"> podupire projekte koji afirmiraju kreativne i umjetničke mogućnosti osoba s invaliditetom, odnosno </w:t>
      </w:r>
      <w:r w:rsidR="003F794C" w:rsidRPr="00C41483">
        <w:rPr>
          <w:rFonts w:ascii="Times New Roman" w:hAnsi="Times New Roman" w:cs="Times New Roman"/>
          <w:sz w:val="24"/>
          <w:szCs w:val="24"/>
        </w:rPr>
        <w:t xml:space="preserve">sufinancira programe osoba s invaliditetom putem </w:t>
      </w:r>
      <w:r w:rsidR="003F794C" w:rsidRPr="00C41483">
        <w:rPr>
          <w:rFonts w:ascii="Times New Roman" w:hAnsi="Times New Roman" w:cs="Times New Roman"/>
          <w:bCs/>
          <w:sz w:val="24"/>
          <w:szCs w:val="24"/>
        </w:rPr>
        <w:t>Poziva za predlaganje javnih potreba u kulturi Republike Hrvatske</w:t>
      </w:r>
      <w:bookmarkEnd w:id="142"/>
      <w:r w:rsidR="00B965A0" w:rsidRPr="00C41483">
        <w:rPr>
          <w:rFonts w:ascii="Times New Roman" w:hAnsi="Times New Roman" w:cs="Times New Roman"/>
          <w:bCs/>
          <w:sz w:val="24"/>
          <w:szCs w:val="24"/>
        </w:rPr>
        <w:t>, Ja</w:t>
      </w:r>
      <w:r w:rsidR="00B965A0" w:rsidRPr="00C41483">
        <w:rPr>
          <w:rFonts w:ascii="Times New Roman" w:hAnsi="Times New Roman" w:cs="Times New Roman"/>
          <w:sz w:val="24"/>
          <w:szCs w:val="24"/>
        </w:rPr>
        <w:t>vnog poziva za dodjelu potpora programima koji potiču razvoj publike u kulturi u Republici Hrvatskoj</w:t>
      </w:r>
      <w:r w:rsidR="00166F10" w:rsidRPr="00C41483">
        <w:rPr>
          <w:rFonts w:ascii="Times New Roman" w:hAnsi="Times New Roman" w:cs="Times New Roman"/>
          <w:sz w:val="24"/>
          <w:szCs w:val="24"/>
        </w:rPr>
        <w:t xml:space="preserve"> i </w:t>
      </w:r>
      <w:r w:rsidR="00B965A0" w:rsidRPr="00C41483">
        <w:rPr>
          <w:rFonts w:ascii="Times New Roman" w:eastAsia="Times New Roman" w:hAnsi="Times New Roman" w:cs="Times New Roman"/>
          <w:color w:val="231F20"/>
          <w:sz w:val="24"/>
          <w:szCs w:val="24"/>
          <w:lang w:eastAsia="hr-HR"/>
        </w:rPr>
        <w:t>Poziv</w:t>
      </w:r>
      <w:r w:rsidR="00166F10" w:rsidRPr="00C41483">
        <w:rPr>
          <w:rFonts w:ascii="Times New Roman" w:eastAsia="Times New Roman" w:hAnsi="Times New Roman" w:cs="Times New Roman"/>
          <w:color w:val="231F20"/>
          <w:sz w:val="24"/>
          <w:szCs w:val="24"/>
          <w:lang w:eastAsia="hr-HR"/>
        </w:rPr>
        <w:t>a</w:t>
      </w:r>
      <w:r w:rsidR="00B965A0" w:rsidRPr="00C41483">
        <w:rPr>
          <w:rFonts w:ascii="Times New Roman" w:eastAsia="Times New Roman" w:hAnsi="Times New Roman" w:cs="Times New Roman"/>
          <w:color w:val="231F20"/>
          <w:sz w:val="24"/>
          <w:szCs w:val="24"/>
          <w:lang w:eastAsia="hr-HR"/>
        </w:rPr>
        <w:t xml:space="preserve"> za predlaganje programa koji omogućuju pristup i dostupnost kulturnih sadržaja za osobe s invaliditetom i djecu i mlade s teškoćama u razvoju u Republici Hrvatskoj</w:t>
      </w:r>
      <w:r w:rsidR="00166F10" w:rsidRPr="00C41483">
        <w:rPr>
          <w:rFonts w:ascii="Times New Roman" w:eastAsia="Times New Roman" w:hAnsi="Times New Roman" w:cs="Times New Roman"/>
          <w:color w:val="231F20"/>
          <w:sz w:val="24"/>
          <w:szCs w:val="24"/>
          <w:lang w:eastAsia="hr-HR"/>
        </w:rPr>
        <w:t>.</w:t>
      </w:r>
      <w:r w:rsidR="00B965A0" w:rsidRPr="00C41483">
        <w:rPr>
          <w:rFonts w:ascii="Times New Roman" w:hAnsi="Times New Roman" w:cs="Times New Roman"/>
          <w:sz w:val="24"/>
          <w:szCs w:val="24"/>
        </w:rPr>
        <w:t xml:space="preserve"> </w:t>
      </w:r>
      <w:r w:rsidR="00FE5311" w:rsidRPr="00C41483">
        <w:rPr>
          <w:rFonts w:ascii="Times New Roman" w:hAnsi="Times New Roman" w:cs="Times New Roman"/>
          <w:sz w:val="24"/>
          <w:szCs w:val="24"/>
        </w:rPr>
        <w:t>Detaljnije u prilogu</w:t>
      </w:r>
      <w:r w:rsidR="000230C6" w:rsidRPr="00C41483">
        <w:rPr>
          <w:rFonts w:ascii="Times New Roman" w:hAnsi="Times New Roman" w:cs="Times New Roman"/>
          <w:sz w:val="24"/>
          <w:szCs w:val="24"/>
        </w:rPr>
        <w:t xml:space="preserve"> 42</w:t>
      </w:r>
      <w:r w:rsidR="001A2F17">
        <w:rPr>
          <w:rFonts w:ascii="Times New Roman" w:hAnsi="Times New Roman" w:cs="Times New Roman"/>
          <w:sz w:val="24"/>
          <w:szCs w:val="24"/>
        </w:rPr>
        <w:t>.</w:t>
      </w:r>
    </w:p>
    <w:p w14:paraId="0E1AC63D" w14:textId="0AEE430F" w:rsidR="000230C6" w:rsidRPr="00C41483" w:rsidRDefault="000230C6" w:rsidP="003F794C">
      <w:pPr>
        <w:spacing w:after="0" w:line="240" w:lineRule="auto"/>
        <w:jc w:val="both"/>
        <w:rPr>
          <w:rFonts w:ascii="Times New Roman" w:hAnsi="Times New Roman" w:cs="Times New Roman"/>
          <w:sz w:val="24"/>
          <w:szCs w:val="24"/>
        </w:rPr>
      </w:pPr>
    </w:p>
    <w:p w14:paraId="300177BA" w14:textId="53807E4E" w:rsidR="00166F10" w:rsidRPr="00C41483" w:rsidRDefault="00166F10" w:rsidP="00166F10">
      <w:pPr>
        <w:spacing w:after="0" w:line="240" w:lineRule="auto"/>
        <w:jc w:val="both"/>
      </w:pPr>
      <w:r w:rsidRPr="00C41483">
        <w:rPr>
          <w:rFonts w:ascii="Times New Roman" w:hAnsi="Times New Roman" w:cs="Times New Roman"/>
          <w:sz w:val="24"/>
          <w:szCs w:val="24"/>
        </w:rPr>
        <w:t>(</w:t>
      </w:r>
      <w:r w:rsidR="000230C6" w:rsidRPr="00C41483">
        <w:rPr>
          <w:rFonts w:ascii="Times New Roman" w:hAnsi="Times New Roman" w:cs="Times New Roman"/>
          <w:sz w:val="24"/>
          <w:szCs w:val="24"/>
        </w:rPr>
        <w:t>18</w:t>
      </w:r>
      <w:r w:rsidR="00E8616D" w:rsidRPr="00C41483">
        <w:rPr>
          <w:rFonts w:ascii="Times New Roman" w:hAnsi="Times New Roman" w:cs="Times New Roman"/>
          <w:sz w:val="24"/>
          <w:szCs w:val="24"/>
        </w:rPr>
        <w:t>9</w:t>
      </w:r>
      <w:r w:rsidRPr="00C41483">
        <w:rPr>
          <w:rFonts w:ascii="Times New Roman" w:hAnsi="Times New Roman" w:cs="Times New Roman"/>
          <w:sz w:val="24"/>
          <w:szCs w:val="24"/>
        </w:rPr>
        <w:t xml:space="preserve">) Ministarstvo kulture i medija je od 2015. do 2020. godine za programe u kojima sudjeluju osobe s invaliditetom ili su namijenjeni osobama s invaliditetom izdvojilo </w:t>
      </w:r>
      <w:r w:rsidRPr="00C41483">
        <w:rPr>
          <w:rFonts w:ascii="Times New Roman" w:hAnsi="Times New Roman" w:cs="Times New Roman"/>
          <w:bCs/>
          <w:sz w:val="24"/>
          <w:szCs w:val="24"/>
        </w:rPr>
        <w:t>5.308.144,50</w:t>
      </w:r>
      <w:r w:rsidR="006A2397" w:rsidRPr="00C41483">
        <w:rPr>
          <w:rFonts w:ascii="Times New Roman" w:hAnsi="Times New Roman" w:cs="Times New Roman"/>
          <w:bCs/>
          <w:sz w:val="24"/>
          <w:szCs w:val="24"/>
        </w:rPr>
        <w:t xml:space="preserve"> </w:t>
      </w:r>
      <w:r w:rsidRPr="00C41483">
        <w:rPr>
          <w:rFonts w:ascii="Times New Roman" w:hAnsi="Times New Roman" w:cs="Times New Roman"/>
          <w:bCs/>
          <w:sz w:val="24"/>
          <w:szCs w:val="24"/>
        </w:rPr>
        <w:t>kn.</w:t>
      </w:r>
    </w:p>
    <w:p w14:paraId="1E7BCD96" w14:textId="0E8AB5F5" w:rsidR="00166F10" w:rsidRPr="00C41483" w:rsidRDefault="00166F10" w:rsidP="003F794C">
      <w:pPr>
        <w:spacing w:after="0" w:line="240" w:lineRule="auto"/>
        <w:jc w:val="both"/>
        <w:rPr>
          <w:rFonts w:ascii="Times New Roman" w:eastAsia="Times New Roman" w:hAnsi="Times New Roman" w:cs="Times New Roman"/>
          <w:sz w:val="24"/>
          <w:szCs w:val="24"/>
          <w:lang w:eastAsia="hr-HR"/>
        </w:rPr>
      </w:pPr>
    </w:p>
    <w:p w14:paraId="186A3B3B" w14:textId="119514DF" w:rsidR="003F794C" w:rsidRPr="00C41483" w:rsidRDefault="00684125" w:rsidP="003F794C">
      <w:pPr>
        <w:spacing w:after="0" w:line="240" w:lineRule="auto"/>
        <w:jc w:val="both"/>
        <w:rPr>
          <w:rFonts w:ascii="Times New Roman" w:hAnsi="Times New Roman" w:cs="Times New Roman"/>
          <w:sz w:val="24"/>
          <w:szCs w:val="24"/>
        </w:rPr>
      </w:pPr>
      <w:r w:rsidRPr="00C41483">
        <w:rPr>
          <w:rFonts w:ascii="Times New Roman" w:eastAsia="Times New Roman" w:hAnsi="Times New Roman" w:cs="Times New Roman"/>
          <w:sz w:val="24"/>
          <w:szCs w:val="24"/>
          <w:lang w:eastAsia="hr-HR"/>
        </w:rPr>
        <w:t>(</w:t>
      </w:r>
      <w:r w:rsidR="000230C6" w:rsidRPr="00C41483">
        <w:rPr>
          <w:rFonts w:ascii="Times New Roman" w:eastAsia="Times New Roman" w:hAnsi="Times New Roman" w:cs="Times New Roman"/>
          <w:sz w:val="24"/>
          <w:szCs w:val="24"/>
          <w:lang w:eastAsia="hr-HR"/>
        </w:rPr>
        <w:t>1</w:t>
      </w:r>
      <w:r w:rsidR="00E8616D" w:rsidRPr="00C41483">
        <w:rPr>
          <w:rFonts w:ascii="Times New Roman" w:eastAsia="Times New Roman" w:hAnsi="Times New Roman" w:cs="Times New Roman"/>
          <w:sz w:val="24"/>
          <w:szCs w:val="24"/>
          <w:lang w:eastAsia="hr-HR"/>
        </w:rPr>
        <w:t>90</w:t>
      </w:r>
      <w:r w:rsidRPr="00C41483">
        <w:rPr>
          <w:rFonts w:ascii="Times New Roman" w:eastAsia="Times New Roman" w:hAnsi="Times New Roman" w:cs="Times New Roman"/>
          <w:sz w:val="24"/>
          <w:szCs w:val="24"/>
          <w:lang w:eastAsia="hr-HR"/>
        </w:rPr>
        <w:t xml:space="preserve">) </w:t>
      </w:r>
      <w:r w:rsidR="003F794C" w:rsidRPr="00C41483">
        <w:rPr>
          <w:rFonts w:ascii="Times New Roman" w:eastAsia="Times New Roman" w:hAnsi="Times New Roman" w:cs="Times New Roman"/>
          <w:sz w:val="24"/>
          <w:szCs w:val="24"/>
          <w:lang w:eastAsia="hr-HR"/>
        </w:rPr>
        <w:t>Od 318 subjekata iz mreže narodnih knjižnica</w:t>
      </w:r>
      <w:r w:rsidR="00687656" w:rsidRPr="00C41483">
        <w:rPr>
          <w:rFonts w:ascii="Times New Roman" w:eastAsia="Times New Roman" w:hAnsi="Times New Roman" w:cs="Times New Roman"/>
          <w:sz w:val="24"/>
          <w:szCs w:val="24"/>
          <w:lang w:eastAsia="hr-HR"/>
        </w:rPr>
        <w:t>,</w:t>
      </w:r>
      <w:r w:rsidR="003F794C" w:rsidRPr="00C41483">
        <w:rPr>
          <w:rFonts w:ascii="Times New Roman" w:eastAsia="Times New Roman" w:hAnsi="Times New Roman" w:cs="Times New Roman"/>
          <w:sz w:val="24"/>
          <w:szCs w:val="24"/>
          <w:lang w:eastAsia="hr-HR"/>
        </w:rPr>
        <w:t xml:space="preserve"> osiguran pristup za osobe s invaliditetom ima 118, a djelomično osiguran 95 knjižnica. </w:t>
      </w:r>
      <w:r w:rsidR="00A97F44" w:rsidRPr="00C41483">
        <w:rPr>
          <w:rFonts w:ascii="Times New Roman" w:eastAsia="Times New Roman" w:hAnsi="Times New Roman" w:cs="Times New Roman"/>
          <w:sz w:val="24"/>
          <w:szCs w:val="24"/>
          <w:lang w:eastAsia="hr-HR"/>
        </w:rPr>
        <w:t>D</w:t>
      </w:r>
      <w:r w:rsidR="003F794C" w:rsidRPr="00C41483">
        <w:rPr>
          <w:rFonts w:ascii="Times New Roman" w:eastAsia="Times New Roman" w:hAnsi="Times New Roman" w:cs="Times New Roman"/>
          <w:sz w:val="24"/>
          <w:szCs w:val="24"/>
          <w:lang w:eastAsia="hr-HR"/>
        </w:rPr>
        <w:t>odatnu opremu za slijepe</w:t>
      </w:r>
      <w:r w:rsidR="00A97F44" w:rsidRPr="00C41483">
        <w:rPr>
          <w:rFonts w:ascii="Times New Roman" w:eastAsia="Times New Roman" w:hAnsi="Times New Roman" w:cs="Times New Roman"/>
          <w:sz w:val="24"/>
          <w:szCs w:val="24"/>
          <w:lang w:eastAsia="hr-HR"/>
        </w:rPr>
        <w:t xml:space="preserve"> ima 17 knjižnica</w:t>
      </w:r>
      <w:r w:rsidR="003F794C" w:rsidRPr="00C41483">
        <w:rPr>
          <w:rFonts w:ascii="Times New Roman" w:eastAsia="Times New Roman" w:hAnsi="Times New Roman" w:cs="Times New Roman"/>
          <w:sz w:val="24"/>
          <w:szCs w:val="24"/>
          <w:lang w:eastAsia="hr-HR"/>
        </w:rPr>
        <w:t xml:space="preserve">, </w:t>
      </w:r>
      <w:r w:rsidR="00BB0024" w:rsidRPr="00C41483">
        <w:rPr>
          <w:rFonts w:ascii="Times New Roman" w:eastAsia="Times New Roman" w:hAnsi="Times New Roman" w:cs="Times New Roman"/>
          <w:sz w:val="24"/>
          <w:szCs w:val="24"/>
          <w:lang w:eastAsia="hr-HR"/>
        </w:rPr>
        <w:t xml:space="preserve">dok </w:t>
      </w:r>
      <w:r w:rsidR="003F794C" w:rsidRPr="00C41483">
        <w:rPr>
          <w:rFonts w:ascii="Times New Roman" w:eastAsia="Times New Roman" w:hAnsi="Times New Roman" w:cs="Times New Roman"/>
          <w:sz w:val="24"/>
          <w:szCs w:val="24"/>
          <w:lang w:eastAsia="hr-HR"/>
        </w:rPr>
        <w:t xml:space="preserve">13 ima elektronička povećala za slabovidne, </w:t>
      </w:r>
      <w:r w:rsidR="00BB0024" w:rsidRPr="00C41483">
        <w:rPr>
          <w:rFonts w:ascii="Times New Roman" w:eastAsia="Times New Roman" w:hAnsi="Times New Roman" w:cs="Times New Roman"/>
          <w:sz w:val="24"/>
          <w:szCs w:val="24"/>
          <w:lang w:eastAsia="hr-HR"/>
        </w:rPr>
        <w:t>a</w:t>
      </w:r>
      <w:r w:rsidR="003F794C" w:rsidRPr="00C41483">
        <w:rPr>
          <w:rFonts w:ascii="Times New Roman" w:eastAsia="Times New Roman" w:hAnsi="Times New Roman" w:cs="Times New Roman"/>
          <w:sz w:val="24"/>
          <w:szCs w:val="24"/>
          <w:lang w:eastAsia="hr-HR"/>
        </w:rPr>
        <w:t xml:space="preserve"> osiguran pristup internetu 316.</w:t>
      </w:r>
    </w:p>
    <w:bookmarkEnd w:id="143"/>
    <w:p w14:paraId="3C2F3ED7" w14:textId="77777777" w:rsidR="003F794C" w:rsidRPr="00C41483" w:rsidRDefault="003F794C" w:rsidP="006B5133">
      <w:pPr>
        <w:spacing w:after="0" w:line="240" w:lineRule="auto"/>
        <w:jc w:val="both"/>
        <w:rPr>
          <w:rFonts w:ascii="Times New Roman" w:eastAsia="Times New Roman" w:hAnsi="Times New Roman" w:cs="Times New Roman"/>
          <w:bCs/>
          <w:sz w:val="24"/>
          <w:szCs w:val="24"/>
          <w:lang w:eastAsia="hr-HR"/>
        </w:rPr>
      </w:pPr>
    </w:p>
    <w:p w14:paraId="6482005D" w14:textId="79D71064" w:rsidR="00005A91" w:rsidRPr="00C41483" w:rsidRDefault="00684125" w:rsidP="006B5133">
      <w:pPr>
        <w:spacing w:after="0" w:line="240" w:lineRule="auto"/>
        <w:jc w:val="both"/>
        <w:rPr>
          <w:rFonts w:ascii="Times New Roman" w:eastAsia="Times New Roman" w:hAnsi="Times New Roman" w:cs="Times New Roman"/>
          <w:bCs/>
          <w:sz w:val="24"/>
          <w:szCs w:val="24"/>
          <w:lang w:eastAsia="hr-HR"/>
        </w:rPr>
      </w:pPr>
      <w:r w:rsidRPr="00C41483">
        <w:rPr>
          <w:rFonts w:ascii="Times New Roman" w:eastAsia="Times New Roman" w:hAnsi="Times New Roman" w:cs="Times New Roman"/>
          <w:bCs/>
          <w:sz w:val="24"/>
          <w:szCs w:val="24"/>
          <w:lang w:eastAsia="hr-HR"/>
        </w:rPr>
        <w:t>(</w:t>
      </w:r>
      <w:r w:rsidR="000230C6" w:rsidRPr="00C41483">
        <w:rPr>
          <w:rFonts w:ascii="Times New Roman" w:eastAsia="Times New Roman" w:hAnsi="Times New Roman" w:cs="Times New Roman"/>
          <w:bCs/>
          <w:sz w:val="24"/>
          <w:szCs w:val="24"/>
          <w:lang w:eastAsia="hr-HR"/>
        </w:rPr>
        <w:t>1</w:t>
      </w:r>
      <w:r w:rsidR="00E8616D" w:rsidRPr="00C41483">
        <w:rPr>
          <w:rFonts w:ascii="Times New Roman" w:eastAsia="Times New Roman" w:hAnsi="Times New Roman" w:cs="Times New Roman"/>
          <w:bCs/>
          <w:sz w:val="24"/>
          <w:szCs w:val="24"/>
          <w:lang w:eastAsia="hr-HR"/>
        </w:rPr>
        <w:t>91</w:t>
      </w:r>
      <w:r w:rsidRPr="00C41483">
        <w:rPr>
          <w:rFonts w:ascii="Times New Roman" w:eastAsia="Times New Roman" w:hAnsi="Times New Roman" w:cs="Times New Roman"/>
          <w:bCs/>
          <w:sz w:val="24"/>
          <w:szCs w:val="24"/>
          <w:lang w:eastAsia="hr-HR"/>
        </w:rPr>
        <w:t xml:space="preserve">) </w:t>
      </w:r>
      <w:r w:rsidR="00005A91" w:rsidRPr="00C41483">
        <w:rPr>
          <w:rFonts w:ascii="Times New Roman" w:eastAsia="Times New Roman" w:hAnsi="Times New Roman" w:cs="Times New Roman"/>
          <w:bCs/>
          <w:sz w:val="24"/>
          <w:szCs w:val="24"/>
          <w:lang w:eastAsia="hr-HR"/>
        </w:rPr>
        <w:t xml:space="preserve">Nacionalni program športa 2019. </w:t>
      </w:r>
      <w:r w:rsidR="003E11F7" w:rsidRPr="00C41483">
        <w:rPr>
          <w:rFonts w:ascii="Times New Roman" w:eastAsia="Times New Roman" w:hAnsi="Times New Roman" w:cs="Times New Roman"/>
          <w:bCs/>
          <w:sz w:val="24"/>
          <w:szCs w:val="24"/>
          <w:lang w:eastAsia="hr-HR"/>
        </w:rPr>
        <w:t>–</w:t>
      </w:r>
      <w:r w:rsidR="00005A91" w:rsidRPr="00C41483">
        <w:rPr>
          <w:rFonts w:ascii="Times New Roman" w:eastAsia="Times New Roman" w:hAnsi="Times New Roman" w:cs="Times New Roman"/>
          <w:bCs/>
          <w:sz w:val="24"/>
          <w:szCs w:val="24"/>
          <w:lang w:eastAsia="hr-HR"/>
        </w:rPr>
        <w:t xml:space="preserve"> 2026</w:t>
      </w:r>
      <w:r w:rsidR="003E11F7" w:rsidRPr="00C41483">
        <w:rPr>
          <w:rFonts w:ascii="Times New Roman" w:eastAsia="Times New Roman" w:hAnsi="Times New Roman" w:cs="Times New Roman"/>
          <w:bCs/>
          <w:sz w:val="24"/>
          <w:szCs w:val="24"/>
          <w:lang w:eastAsia="hr-HR"/>
        </w:rPr>
        <w:t>.</w:t>
      </w:r>
      <w:r w:rsidR="00005A91" w:rsidRPr="00C41483">
        <w:rPr>
          <w:rFonts w:ascii="Times New Roman" w:eastAsia="Times New Roman" w:hAnsi="Times New Roman" w:cs="Times New Roman"/>
          <w:bCs/>
          <w:sz w:val="24"/>
          <w:szCs w:val="24"/>
          <w:lang w:eastAsia="hr-HR"/>
        </w:rPr>
        <w:t xml:space="preserve">, prvi </w:t>
      </w:r>
      <w:r w:rsidR="00BF6434" w:rsidRPr="00C41483">
        <w:rPr>
          <w:rFonts w:ascii="Times New Roman" w:eastAsia="Times New Roman" w:hAnsi="Times New Roman" w:cs="Times New Roman"/>
          <w:bCs/>
          <w:sz w:val="24"/>
          <w:szCs w:val="24"/>
          <w:lang w:eastAsia="hr-HR"/>
        </w:rPr>
        <w:t xml:space="preserve">je </w:t>
      </w:r>
      <w:r w:rsidR="00005A91" w:rsidRPr="00C41483">
        <w:rPr>
          <w:rFonts w:ascii="Times New Roman" w:eastAsia="Times New Roman" w:hAnsi="Times New Roman" w:cs="Times New Roman"/>
          <w:bCs/>
          <w:sz w:val="24"/>
          <w:szCs w:val="24"/>
          <w:lang w:eastAsia="hr-HR"/>
        </w:rPr>
        <w:t xml:space="preserve">strateški dokument u povijesti hrvatskog sporta na nacionalnoj razini u kojem se posebno iskazuje skrb o omogućavanju jednakopravnih uvjeta za bavljenje sportom i sportskom rekreacijom sportašima s invaliditetom. </w:t>
      </w:r>
      <w:r w:rsidR="00005A91" w:rsidRPr="00C41483" w:rsidDel="00AA13B3">
        <w:rPr>
          <w:rFonts w:ascii="Times New Roman" w:eastAsia="Times New Roman" w:hAnsi="Times New Roman" w:cs="Times New Roman"/>
          <w:bCs/>
          <w:sz w:val="24"/>
          <w:szCs w:val="24"/>
          <w:lang w:eastAsia="hr-HR"/>
        </w:rPr>
        <w:t xml:space="preserve">Jedan od općih ciljeva „Unaprijediti skrb o športašima“ sadrži posebne ciljeve „Osigurati stabilan sustav stipendiranja te skrbi o vrhunskim športašima“ i „Poboljšati status manje zastupljenih skupina u sustavu športa“, a navedeno će se realizirati provedbom programa Hrvatskog </w:t>
      </w:r>
      <w:proofErr w:type="spellStart"/>
      <w:r w:rsidR="00005A91" w:rsidRPr="00C41483" w:rsidDel="00AA13B3">
        <w:rPr>
          <w:rFonts w:ascii="Times New Roman" w:eastAsia="Times New Roman" w:hAnsi="Times New Roman" w:cs="Times New Roman"/>
          <w:bCs/>
          <w:sz w:val="24"/>
          <w:szCs w:val="24"/>
          <w:lang w:eastAsia="hr-HR"/>
        </w:rPr>
        <w:t>paraolimpijskog</w:t>
      </w:r>
      <w:proofErr w:type="spellEnd"/>
      <w:r w:rsidR="00005A91" w:rsidRPr="00C41483" w:rsidDel="00AA13B3">
        <w:rPr>
          <w:rFonts w:ascii="Times New Roman" w:eastAsia="Times New Roman" w:hAnsi="Times New Roman" w:cs="Times New Roman"/>
          <w:bCs/>
          <w:sz w:val="24"/>
          <w:szCs w:val="24"/>
          <w:lang w:eastAsia="hr-HR"/>
        </w:rPr>
        <w:t xml:space="preserve"> odbora i Hrvatskog sportskog saveza gluhih.</w:t>
      </w:r>
    </w:p>
    <w:p w14:paraId="7B1C24C9" w14:textId="77777777" w:rsidR="00AA13B3" w:rsidRPr="00C41483" w:rsidRDefault="00AA13B3" w:rsidP="006B5133">
      <w:pPr>
        <w:spacing w:after="0" w:line="240" w:lineRule="auto"/>
        <w:jc w:val="both"/>
        <w:rPr>
          <w:rFonts w:ascii="Times New Roman" w:eastAsia="Times New Roman" w:hAnsi="Times New Roman" w:cs="Times New Roman"/>
          <w:bCs/>
          <w:sz w:val="24"/>
          <w:szCs w:val="24"/>
          <w:lang w:eastAsia="hr-HR"/>
        </w:rPr>
      </w:pPr>
    </w:p>
    <w:p w14:paraId="7B01C33B" w14:textId="77647BC0" w:rsidR="007F7030" w:rsidRPr="00C41483" w:rsidRDefault="00AA13B3" w:rsidP="00D06588">
      <w:pPr>
        <w:spacing w:after="0" w:line="240" w:lineRule="auto"/>
        <w:jc w:val="both"/>
        <w:rPr>
          <w:rFonts w:ascii="Times New Roman" w:eastAsia="Times New Roman" w:hAnsi="Times New Roman" w:cs="Times New Roman"/>
          <w:bCs/>
          <w:sz w:val="24"/>
          <w:szCs w:val="24"/>
          <w:lang w:eastAsia="hr-HR"/>
        </w:rPr>
      </w:pPr>
      <w:r w:rsidRPr="00C41483">
        <w:rPr>
          <w:rFonts w:ascii="Times New Roman" w:eastAsia="Times New Roman" w:hAnsi="Times New Roman" w:cs="Times New Roman"/>
          <w:bCs/>
          <w:sz w:val="24"/>
          <w:szCs w:val="24"/>
          <w:lang w:eastAsia="hr-HR"/>
        </w:rPr>
        <w:t>(</w:t>
      </w:r>
      <w:r w:rsidR="000230C6" w:rsidRPr="00C41483">
        <w:rPr>
          <w:rFonts w:ascii="Times New Roman" w:eastAsia="Times New Roman" w:hAnsi="Times New Roman" w:cs="Times New Roman"/>
          <w:bCs/>
          <w:sz w:val="24"/>
          <w:szCs w:val="24"/>
          <w:lang w:eastAsia="hr-HR"/>
        </w:rPr>
        <w:t>19</w:t>
      </w:r>
      <w:r w:rsidR="00E8616D" w:rsidRPr="00C41483">
        <w:rPr>
          <w:rFonts w:ascii="Times New Roman" w:eastAsia="Times New Roman" w:hAnsi="Times New Roman" w:cs="Times New Roman"/>
          <w:bCs/>
          <w:sz w:val="24"/>
          <w:szCs w:val="24"/>
          <w:lang w:eastAsia="hr-HR"/>
        </w:rPr>
        <w:t>2</w:t>
      </w:r>
      <w:r w:rsidRPr="00C41483">
        <w:rPr>
          <w:rFonts w:ascii="Times New Roman" w:eastAsia="Times New Roman" w:hAnsi="Times New Roman" w:cs="Times New Roman"/>
          <w:bCs/>
          <w:sz w:val="24"/>
          <w:szCs w:val="24"/>
          <w:lang w:eastAsia="hr-HR"/>
        </w:rPr>
        <w:t>)</w:t>
      </w:r>
      <w:r w:rsidR="00A97F44" w:rsidRPr="00C41483">
        <w:rPr>
          <w:rFonts w:ascii="Times New Roman" w:eastAsia="Times New Roman" w:hAnsi="Times New Roman" w:cs="Times New Roman"/>
          <w:bCs/>
          <w:sz w:val="24"/>
          <w:szCs w:val="24"/>
          <w:lang w:eastAsia="hr-HR"/>
        </w:rPr>
        <w:t xml:space="preserve"> </w:t>
      </w:r>
      <w:r w:rsidR="00005A91" w:rsidRPr="00C41483">
        <w:rPr>
          <w:rFonts w:ascii="Times New Roman" w:eastAsia="Times New Roman" w:hAnsi="Times New Roman" w:cs="Times New Roman"/>
          <w:bCs/>
          <w:sz w:val="24"/>
          <w:szCs w:val="24"/>
          <w:lang w:eastAsia="hr-HR"/>
        </w:rPr>
        <w:t xml:space="preserve">Tijelo nadležno za sport je u razdoblju od 2015. do 2019. godine između ostaloga financiralo programe koji se odnose na djelovanje Hrvatskog </w:t>
      </w:r>
      <w:proofErr w:type="spellStart"/>
      <w:r w:rsidR="00005A91" w:rsidRPr="00C41483">
        <w:rPr>
          <w:rFonts w:ascii="Times New Roman" w:eastAsia="Times New Roman" w:hAnsi="Times New Roman" w:cs="Times New Roman"/>
          <w:bCs/>
          <w:sz w:val="24"/>
          <w:szCs w:val="24"/>
          <w:lang w:eastAsia="hr-HR"/>
        </w:rPr>
        <w:t>paraolimpijskog</w:t>
      </w:r>
      <w:proofErr w:type="spellEnd"/>
      <w:r w:rsidR="00005A91" w:rsidRPr="00C41483">
        <w:rPr>
          <w:rFonts w:ascii="Times New Roman" w:eastAsia="Times New Roman" w:hAnsi="Times New Roman" w:cs="Times New Roman"/>
          <w:bCs/>
          <w:sz w:val="24"/>
          <w:szCs w:val="24"/>
          <w:lang w:eastAsia="hr-HR"/>
        </w:rPr>
        <w:t xml:space="preserve"> odbora i Hrvatskog sportskog saveza gluhih</w:t>
      </w:r>
      <w:r w:rsidR="003E11F7" w:rsidRPr="00C41483">
        <w:rPr>
          <w:rFonts w:ascii="Times New Roman" w:eastAsia="Times New Roman" w:hAnsi="Times New Roman" w:cs="Times New Roman"/>
          <w:bCs/>
          <w:sz w:val="24"/>
          <w:szCs w:val="24"/>
          <w:lang w:eastAsia="hr-HR"/>
        </w:rPr>
        <w:t xml:space="preserve"> Detaljnije o njihovom djelovanju i financijskoj potpori iz Državnog proračuna u prilogu</w:t>
      </w:r>
      <w:r w:rsidR="000230C6" w:rsidRPr="00C41483">
        <w:rPr>
          <w:rFonts w:ascii="Times New Roman" w:eastAsia="Times New Roman" w:hAnsi="Times New Roman" w:cs="Times New Roman"/>
          <w:bCs/>
          <w:sz w:val="24"/>
          <w:szCs w:val="24"/>
          <w:lang w:eastAsia="hr-HR"/>
        </w:rPr>
        <w:t xml:space="preserve"> 43</w:t>
      </w:r>
      <w:r w:rsidR="001A2F17">
        <w:rPr>
          <w:rFonts w:ascii="Times New Roman" w:eastAsia="Times New Roman" w:hAnsi="Times New Roman" w:cs="Times New Roman"/>
          <w:bCs/>
          <w:sz w:val="24"/>
          <w:szCs w:val="24"/>
          <w:lang w:eastAsia="hr-HR"/>
        </w:rPr>
        <w:t>.</w:t>
      </w:r>
    </w:p>
    <w:p w14:paraId="6BBE3F43" w14:textId="77777777" w:rsidR="000230C6" w:rsidRPr="00C41483" w:rsidRDefault="000230C6" w:rsidP="00D06588">
      <w:pPr>
        <w:spacing w:after="0" w:line="240" w:lineRule="auto"/>
        <w:jc w:val="both"/>
        <w:rPr>
          <w:rFonts w:ascii="Times New Roman" w:eastAsia="Times New Roman" w:hAnsi="Times New Roman" w:cs="Times New Roman"/>
          <w:bCs/>
          <w:sz w:val="24"/>
          <w:szCs w:val="24"/>
          <w:lang w:eastAsia="hr-HR"/>
        </w:rPr>
      </w:pPr>
    </w:p>
    <w:p w14:paraId="19FAE102" w14:textId="11F2963F" w:rsidR="00637EE2" w:rsidRPr="00C41483" w:rsidRDefault="00615BCD" w:rsidP="006B5133">
      <w:pPr>
        <w:spacing w:after="0" w:line="240" w:lineRule="auto"/>
        <w:jc w:val="both"/>
        <w:rPr>
          <w:rFonts w:ascii="Times New Roman" w:hAnsi="Times New Roman" w:cs="Times New Roman"/>
          <w:sz w:val="24"/>
          <w:szCs w:val="24"/>
        </w:rPr>
      </w:pPr>
      <w:r w:rsidRPr="00C41483">
        <w:rPr>
          <w:rFonts w:ascii="Times New Roman" w:hAnsi="Times New Roman" w:cs="Times New Roman"/>
          <w:sz w:val="24"/>
          <w:szCs w:val="24"/>
        </w:rPr>
        <w:t>(</w:t>
      </w:r>
      <w:r w:rsidR="000230C6" w:rsidRPr="00C41483">
        <w:rPr>
          <w:rFonts w:ascii="Times New Roman" w:hAnsi="Times New Roman" w:cs="Times New Roman"/>
          <w:sz w:val="24"/>
          <w:szCs w:val="24"/>
        </w:rPr>
        <w:t>19</w:t>
      </w:r>
      <w:r w:rsidR="00E8616D" w:rsidRPr="00C41483">
        <w:rPr>
          <w:rFonts w:ascii="Times New Roman" w:hAnsi="Times New Roman" w:cs="Times New Roman"/>
          <w:sz w:val="24"/>
          <w:szCs w:val="24"/>
        </w:rPr>
        <w:t>3</w:t>
      </w:r>
      <w:r w:rsidRPr="00C41483">
        <w:rPr>
          <w:rFonts w:ascii="Times New Roman" w:hAnsi="Times New Roman" w:cs="Times New Roman"/>
          <w:sz w:val="24"/>
          <w:szCs w:val="24"/>
        </w:rPr>
        <w:t xml:space="preserve">) </w:t>
      </w:r>
      <w:r w:rsidR="00D06588" w:rsidRPr="00C41483">
        <w:rPr>
          <w:rFonts w:ascii="Times New Roman" w:hAnsi="Times New Roman" w:cs="Times New Roman"/>
          <w:sz w:val="24"/>
          <w:szCs w:val="24"/>
        </w:rPr>
        <w:t>O</w:t>
      </w:r>
      <w:r w:rsidR="00637EE2" w:rsidRPr="00C41483">
        <w:rPr>
          <w:rFonts w:ascii="Times New Roman" w:hAnsi="Times New Roman" w:cs="Times New Roman"/>
          <w:sz w:val="24"/>
          <w:szCs w:val="24"/>
        </w:rPr>
        <w:t>d 2015. do 2019. sufinancira</w:t>
      </w:r>
      <w:r w:rsidR="00D06588" w:rsidRPr="00C41483">
        <w:rPr>
          <w:rFonts w:ascii="Times New Roman" w:hAnsi="Times New Roman" w:cs="Times New Roman"/>
          <w:sz w:val="24"/>
          <w:szCs w:val="24"/>
        </w:rPr>
        <w:t>ne su</w:t>
      </w:r>
      <w:r w:rsidR="00637EE2" w:rsidRPr="00C41483">
        <w:rPr>
          <w:rFonts w:ascii="Times New Roman" w:hAnsi="Times New Roman" w:cs="Times New Roman"/>
          <w:sz w:val="24"/>
          <w:szCs w:val="24"/>
        </w:rPr>
        <w:t xml:space="preserve"> </w:t>
      </w:r>
      <w:r w:rsidR="00D06588" w:rsidRPr="00C41483">
        <w:rPr>
          <w:rFonts w:ascii="Times New Roman" w:hAnsi="Times New Roman" w:cs="Times New Roman"/>
          <w:sz w:val="24"/>
          <w:szCs w:val="24"/>
        </w:rPr>
        <w:t xml:space="preserve">i </w:t>
      </w:r>
      <w:r w:rsidR="00637EE2" w:rsidRPr="00C41483">
        <w:rPr>
          <w:rFonts w:ascii="Times New Roman" w:hAnsi="Times New Roman" w:cs="Times New Roman"/>
          <w:sz w:val="24"/>
          <w:szCs w:val="24"/>
        </w:rPr>
        <w:t>programske aktivnosti koje je provodio Hrvatski školski sportski savez</w:t>
      </w:r>
      <w:r w:rsidR="00A0138F" w:rsidRPr="00C41483">
        <w:rPr>
          <w:rFonts w:ascii="Times New Roman" w:hAnsi="Times New Roman" w:cs="Times New Roman"/>
          <w:sz w:val="24"/>
          <w:szCs w:val="24"/>
        </w:rPr>
        <w:t xml:space="preserve"> </w:t>
      </w:r>
      <w:r w:rsidR="00D06588" w:rsidRPr="00C41483">
        <w:rPr>
          <w:rFonts w:ascii="Times New Roman" w:hAnsi="Times New Roman" w:cs="Times New Roman"/>
          <w:sz w:val="24"/>
          <w:szCs w:val="24"/>
        </w:rPr>
        <w:t xml:space="preserve">koji je </w:t>
      </w:r>
      <w:r w:rsidR="00637EE2" w:rsidRPr="00C41483">
        <w:rPr>
          <w:rFonts w:ascii="Times New Roman" w:hAnsi="Times New Roman" w:cs="Times New Roman"/>
          <w:sz w:val="24"/>
          <w:szCs w:val="24"/>
        </w:rPr>
        <w:t>svak</w:t>
      </w:r>
      <w:r w:rsidR="00A0138F" w:rsidRPr="00C41483">
        <w:rPr>
          <w:rFonts w:ascii="Times New Roman" w:hAnsi="Times New Roman" w:cs="Times New Roman"/>
          <w:sz w:val="24"/>
          <w:szCs w:val="24"/>
        </w:rPr>
        <w:t>e</w:t>
      </w:r>
      <w:r w:rsidR="00637EE2" w:rsidRPr="00C41483">
        <w:rPr>
          <w:rFonts w:ascii="Times New Roman" w:hAnsi="Times New Roman" w:cs="Times New Roman"/>
          <w:sz w:val="24"/>
          <w:szCs w:val="24"/>
        </w:rPr>
        <w:t xml:space="preserve"> godin</w:t>
      </w:r>
      <w:r w:rsidR="00A0138F" w:rsidRPr="00C41483">
        <w:rPr>
          <w:rFonts w:ascii="Times New Roman" w:hAnsi="Times New Roman" w:cs="Times New Roman"/>
          <w:sz w:val="24"/>
          <w:szCs w:val="24"/>
        </w:rPr>
        <w:t>e</w:t>
      </w:r>
      <w:r w:rsidR="00637EE2" w:rsidRPr="00C41483">
        <w:rPr>
          <w:rFonts w:ascii="Times New Roman" w:hAnsi="Times New Roman" w:cs="Times New Roman"/>
          <w:sz w:val="24"/>
          <w:szCs w:val="24"/>
        </w:rPr>
        <w:t xml:space="preserve"> organizirao Državno prvenstvo školskih sportskih društava za učenike s intelektualnim teškoćama</w:t>
      </w:r>
      <w:r w:rsidR="000230C6" w:rsidRPr="00C41483">
        <w:rPr>
          <w:rFonts w:ascii="Times New Roman" w:hAnsi="Times New Roman" w:cs="Times New Roman"/>
          <w:sz w:val="24"/>
          <w:szCs w:val="24"/>
        </w:rPr>
        <w:t xml:space="preserve"> </w:t>
      </w:r>
      <w:r w:rsidR="00637EE2" w:rsidRPr="00C41483">
        <w:rPr>
          <w:rFonts w:ascii="Times New Roman" w:hAnsi="Times New Roman" w:cs="Times New Roman"/>
          <w:sz w:val="24"/>
          <w:szCs w:val="24"/>
        </w:rPr>
        <w:t xml:space="preserve">i programe Univerzalne sportske škole za učenike s teškoćama u razvoju. </w:t>
      </w:r>
      <w:r w:rsidR="00A0138F" w:rsidRPr="00C41483" w:rsidDel="009F6295">
        <w:rPr>
          <w:rFonts w:ascii="Times New Roman" w:hAnsi="Times New Roman" w:cs="Times New Roman"/>
          <w:sz w:val="24"/>
          <w:szCs w:val="24"/>
        </w:rPr>
        <w:t xml:space="preserve">Na </w:t>
      </w:r>
      <w:r w:rsidR="00637EE2" w:rsidRPr="00C41483" w:rsidDel="009F6295">
        <w:rPr>
          <w:rFonts w:ascii="Times New Roman" w:hAnsi="Times New Roman" w:cs="Times New Roman"/>
          <w:sz w:val="24"/>
          <w:szCs w:val="24"/>
        </w:rPr>
        <w:t>Državno</w:t>
      </w:r>
      <w:r w:rsidR="00A0138F" w:rsidRPr="00C41483" w:rsidDel="009F6295">
        <w:rPr>
          <w:rFonts w:ascii="Times New Roman" w:hAnsi="Times New Roman" w:cs="Times New Roman"/>
          <w:sz w:val="24"/>
          <w:szCs w:val="24"/>
        </w:rPr>
        <w:t xml:space="preserve">m </w:t>
      </w:r>
      <w:r w:rsidR="00637EE2" w:rsidRPr="00C41483" w:rsidDel="009F6295">
        <w:rPr>
          <w:rFonts w:ascii="Times New Roman" w:hAnsi="Times New Roman" w:cs="Times New Roman"/>
          <w:sz w:val="24"/>
          <w:szCs w:val="24"/>
        </w:rPr>
        <w:t>prvenstv</w:t>
      </w:r>
      <w:r w:rsidR="00A0138F" w:rsidRPr="00C41483" w:rsidDel="009F6295">
        <w:rPr>
          <w:rFonts w:ascii="Times New Roman" w:hAnsi="Times New Roman" w:cs="Times New Roman"/>
          <w:sz w:val="24"/>
          <w:szCs w:val="24"/>
        </w:rPr>
        <w:t>u</w:t>
      </w:r>
      <w:r w:rsidR="00637EE2" w:rsidRPr="00C41483" w:rsidDel="009F6295">
        <w:rPr>
          <w:rFonts w:ascii="Times New Roman" w:hAnsi="Times New Roman" w:cs="Times New Roman"/>
          <w:sz w:val="24"/>
          <w:szCs w:val="24"/>
        </w:rPr>
        <w:t xml:space="preserve"> </w:t>
      </w:r>
      <w:r w:rsidR="00A0138F" w:rsidRPr="00C41483" w:rsidDel="009F6295">
        <w:rPr>
          <w:rFonts w:ascii="Times New Roman" w:hAnsi="Times New Roman" w:cs="Times New Roman"/>
          <w:sz w:val="24"/>
          <w:szCs w:val="24"/>
        </w:rPr>
        <w:t>s</w:t>
      </w:r>
      <w:r w:rsidR="00637EE2" w:rsidRPr="00C41483" w:rsidDel="009F6295">
        <w:rPr>
          <w:rFonts w:ascii="Times New Roman" w:hAnsi="Times New Roman" w:cs="Times New Roman"/>
          <w:sz w:val="24"/>
          <w:szCs w:val="24"/>
        </w:rPr>
        <w:t>udjeluju osnovne i srednje škole te centri za odgoj i obrazovanje koji obrazuju učenike s intelektualnim teškoćama</w:t>
      </w:r>
      <w:r w:rsidR="00A0138F" w:rsidRPr="00C41483" w:rsidDel="009F6295">
        <w:rPr>
          <w:rFonts w:ascii="Times New Roman" w:hAnsi="Times New Roman" w:cs="Times New Roman"/>
          <w:sz w:val="24"/>
          <w:szCs w:val="24"/>
        </w:rPr>
        <w:t>.</w:t>
      </w:r>
      <w:r w:rsidR="00637EE2" w:rsidRPr="00C41483" w:rsidDel="009F6295">
        <w:rPr>
          <w:rFonts w:ascii="Times New Roman" w:hAnsi="Times New Roman" w:cs="Times New Roman"/>
          <w:sz w:val="24"/>
          <w:szCs w:val="24"/>
        </w:rPr>
        <w:t xml:space="preserve"> Iz godine u godinu uključuje se sve veći broj škola i centara </w:t>
      </w:r>
      <w:r w:rsidR="00A0138F" w:rsidRPr="00C41483" w:rsidDel="009F6295">
        <w:rPr>
          <w:rFonts w:ascii="Times New Roman" w:hAnsi="Times New Roman" w:cs="Times New Roman"/>
          <w:sz w:val="24"/>
          <w:szCs w:val="24"/>
        </w:rPr>
        <w:t>te</w:t>
      </w:r>
      <w:r w:rsidR="00637EE2" w:rsidRPr="00C41483" w:rsidDel="009F6295">
        <w:rPr>
          <w:rFonts w:ascii="Times New Roman" w:hAnsi="Times New Roman" w:cs="Times New Roman"/>
          <w:sz w:val="24"/>
          <w:szCs w:val="24"/>
        </w:rPr>
        <w:t xml:space="preserve"> povećava broj sudionika</w:t>
      </w:r>
      <w:r w:rsidR="00A0138F" w:rsidRPr="00C41483" w:rsidDel="009F6295">
        <w:rPr>
          <w:rFonts w:ascii="Times New Roman" w:hAnsi="Times New Roman" w:cs="Times New Roman"/>
          <w:sz w:val="24"/>
          <w:szCs w:val="24"/>
        </w:rPr>
        <w:t>,</w:t>
      </w:r>
      <w:r w:rsidR="00637EE2" w:rsidRPr="00C41483" w:rsidDel="009F6295">
        <w:rPr>
          <w:rFonts w:ascii="Times New Roman" w:hAnsi="Times New Roman" w:cs="Times New Roman"/>
          <w:sz w:val="24"/>
          <w:szCs w:val="24"/>
        </w:rPr>
        <w:t xml:space="preserve"> pa tako i osigurana sredstva iz Državnog proračuna Republike Hrvatske. Svi programi koje provodi </w:t>
      </w:r>
      <w:r w:rsidR="00955CB6" w:rsidRPr="00C41483">
        <w:rPr>
          <w:rFonts w:ascii="Times New Roman" w:hAnsi="Times New Roman" w:cs="Times New Roman"/>
          <w:sz w:val="24"/>
          <w:szCs w:val="24"/>
        </w:rPr>
        <w:t>spomenuti Savez</w:t>
      </w:r>
      <w:r w:rsidR="00637EE2" w:rsidRPr="00C41483" w:rsidDel="009F6295">
        <w:rPr>
          <w:rFonts w:ascii="Times New Roman" w:hAnsi="Times New Roman" w:cs="Times New Roman"/>
          <w:sz w:val="24"/>
          <w:szCs w:val="24"/>
        </w:rPr>
        <w:t xml:space="preserve"> organizirani su na način da na njima mogu sudjelovati svi učenici neovisno o teškoćama koje imaju.</w:t>
      </w:r>
    </w:p>
    <w:p w14:paraId="20E010F9" w14:textId="77777777" w:rsidR="00615BCD" w:rsidRPr="00C41483" w:rsidRDefault="00615BCD" w:rsidP="006B5133">
      <w:pPr>
        <w:spacing w:after="0" w:line="240" w:lineRule="auto"/>
        <w:jc w:val="both"/>
        <w:rPr>
          <w:rFonts w:ascii="Times New Roman" w:hAnsi="Times New Roman" w:cs="Times New Roman"/>
          <w:sz w:val="24"/>
          <w:szCs w:val="24"/>
        </w:rPr>
      </w:pPr>
      <w:bookmarkStart w:id="144" w:name="_Hlk60211584"/>
    </w:p>
    <w:p w14:paraId="1769FDA3" w14:textId="1F4E64E3" w:rsidR="00637EE2" w:rsidRPr="00C41483" w:rsidRDefault="00615BCD" w:rsidP="006B5133">
      <w:pPr>
        <w:spacing w:after="0" w:line="240" w:lineRule="auto"/>
        <w:jc w:val="both"/>
        <w:rPr>
          <w:rFonts w:ascii="Times New Roman" w:hAnsi="Times New Roman" w:cs="Times New Roman"/>
          <w:sz w:val="24"/>
          <w:szCs w:val="24"/>
        </w:rPr>
      </w:pPr>
      <w:r w:rsidRPr="00C41483">
        <w:rPr>
          <w:rFonts w:ascii="Times New Roman" w:hAnsi="Times New Roman" w:cs="Times New Roman"/>
          <w:sz w:val="24"/>
          <w:szCs w:val="24"/>
        </w:rPr>
        <w:t>(</w:t>
      </w:r>
      <w:r w:rsidR="000230C6" w:rsidRPr="00C41483">
        <w:rPr>
          <w:rFonts w:ascii="Times New Roman" w:hAnsi="Times New Roman" w:cs="Times New Roman"/>
          <w:sz w:val="24"/>
          <w:szCs w:val="24"/>
        </w:rPr>
        <w:t>19</w:t>
      </w:r>
      <w:r w:rsidR="00E8616D" w:rsidRPr="00C41483">
        <w:rPr>
          <w:rFonts w:ascii="Times New Roman" w:hAnsi="Times New Roman" w:cs="Times New Roman"/>
          <w:sz w:val="24"/>
          <w:szCs w:val="24"/>
        </w:rPr>
        <w:t>4</w:t>
      </w:r>
      <w:r w:rsidRPr="00C41483">
        <w:rPr>
          <w:rFonts w:ascii="Times New Roman" w:hAnsi="Times New Roman" w:cs="Times New Roman"/>
          <w:sz w:val="24"/>
          <w:szCs w:val="24"/>
        </w:rPr>
        <w:t xml:space="preserve">) </w:t>
      </w:r>
      <w:r w:rsidR="00A0138F" w:rsidRPr="00C41483">
        <w:rPr>
          <w:rFonts w:ascii="Times New Roman" w:hAnsi="Times New Roman" w:cs="Times New Roman"/>
          <w:sz w:val="24"/>
          <w:szCs w:val="24"/>
        </w:rPr>
        <w:t>K</w:t>
      </w:r>
      <w:r w:rsidR="00637EE2" w:rsidRPr="00C41483">
        <w:rPr>
          <w:rFonts w:ascii="Times New Roman" w:hAnsi="Times New Roman" w:cs="Times New Roman"/>
          <w:sz w:val="24"/>
          <w:szCs w:val="24"/>
        </w:rPr>
        <w:t>roz O</w:t>
      </w:r>
      <w:r w:rsidR="002D4058" w:rsidRPr="00C41483">
        <w:rPr>
          <w:rFonts w:ascii="Times New Roman" w:hAnsi="Times New Roman" w:cs="Times New Roman"/>
          <w:sz w:val="24"/>
          <w:szCs w:val="24"/>
        </w:rPr>
        <w:t>PULJP</w:t>
      </w:r>
      <w:r w:rsidR="00637EE2" w:rsidRPr="00C41483">
        <w:rPr>
          <w:rFonts w:ascii="Times New Roman" w:hAnsi="Times New Roman" w:cs="Times New Roman"/>
          <w:sz w:val="24"/>
          <w:szCs w:val="24"/>
        </w:rPr>
        <w:t xml:space="preserve"> 2014. – 2020. u 2018. godini </w:t>
      </w:r>
      <w:r w:rsidR="00A0138F" w:rsidRPr="00C41483">
        <w:rPr>
          <w:rFonts w:ascii="Times New Roman" w:hAnsi="Times New Roman" w:cs="Times New Roman"/>
          <w:sz w:val="24"/>
          <w:szCs w:val="24"/>
        </w:rPr>
        <w:t xml:space="preserve">je </w:t>
      </w:r>
      <w:r w:rsidR="00637EE2" w:rsidRPr="00C41483">
        <w:rPr>
          <w:rFonts w:ascii="Times New Roman" w:hAnsi="Times New Roman" w:cs="Times New Roman"/>
          <w:sz w:val="24"/>
          <w:szCs w:val="24"/>
        </w:rPr>
        <w:t>priprem</w:t>
      </w:r>
      <w:r w:rsidR="00A0138F" w:rsidRPr="00C41483">
        <w:rPr>
          <w:rFonts w:ascii="Times New Roman" w:hAnsi="Times New Roman" w:cs="Times New Roman"/>
          <w:sz w:val="24"/>
          <w:szCs w:val="24"/>
        </w:rPr>
        <w:t xml:space="preserve">ljen </w:t>
      </w:r>
      <w:r w:rsidR="00637EE2" w:rsidRPr="00C41483">
        <w:rPr>
          <w:rFonts w:ascii="Times New Roman" w:hAnsi="Times New Roman" w:cs="Times New Roman"/>
          <w:sz w:val="24"/>
          <w:szCs w:val="24"/>
        </w:rPr>
        <w:t xml:space="preserve">poziv </w:t>
      </w:r>
      <w:r w:rsidRPr="00C41483">
        <w:rPr>
          <w:rFonts w:ascii="Times New Roman" w:hAnsi="Times New Roman" w:cs="Times New Roman"/>
          <w:sz w:val="24"/>
          <w:szCs w:val="24"/>
        </w:rPr>
        <w:t>ESF-a</w:t>
      </w:r>
      <w:r w:rsidR="00637EE2" w:rsidRPr="00C41483">
        <w:rPr>
          <w:rFonts w:ascii="Times New Roman" w:hAnsi="Times New Roman" w:cs="Times New Roman"/>
          <w:sz w:val="24"/>
          <w:szCs w:val="24"/>
        </w:rPr>
        <w:t>, „Uključivanje djece i mladih u riziku od socijalne isključenosti te osoba s invaliditetom i djece s teškoćama u razvoju u zajednicu kroz šport“</w:t>
      </w:r>
      <w:bookmarkEnd w:id="144"/>
      <w:r w:rsidR="00D000DE" w:rsidRPr="00C41483">
        <w:rPr>
          <w:rFonts w:ascii="Times New Roman" w:hAnsi="Times New Roman" w:cs="Times New Roman"/>
          <w:sz w:val="24"/>
          <w:szCs w:val="24"/>
        </w:rPr>
        <w:t xml:space="preserve">. </w:t>
      </w:r>
      <w:r w:rsidR="00637EE2" w:rsidRPr="00C41483">
        <w:rPr>
          <w:rFonts w:ascii="Times New Roman" w:hAnsi="Times New Roman" w:cs="Times New Roman"/>
          <w:sz w:val="24"/>
          <w:szCs w:val="24"/>
        </w:rPr>
        <w:t>Ciljevi Poziva odnosili su se na povećanje dostupnosti besplatnih sportskih sadržaja za djecu i mlade u riziku od socijalne isključenosti te poboljšanje pristupa i sudjelovanje u sportskim sadržajima za osobe s invaliditetom i djecu s teškoćama u razvoju.</w:t>
      </w:r>
      <w:r w:rsidR="00A0138F" w:rsidRPr="00C41483">
        <w:rPr>
          <w:rFonts w:ascii="Times New Roman" w:hAnsi="Times New Roman" w:cs="Times New Roman"/>
          <w:sz w:val="24"/>
          <w:szCs w:val="24"/>
        </w:rPr>
        <w:t xml:space="preserve"> </w:t>
      </w:r>
      <w:r w:rsidR="00637EE2" w:rsidRPr="00C41483" w:rsidDel="009F6295">
        <w:rPr>
          <w:rFonts w:ascii="Times New Roman" w:hAnsi="Times New Roman" w:cs="Times New Roman"/>
          <w:sz w:val="24"/>
          <w:szCs w:val="24"/>
        </w:rPr>
        <w:t>Odobreno je 57 projekata vrijednosti 62.917.921,00 kn, a u 2019. godini isplaćena su sredstva u iznosu od 30.424.109,95 kuna.</w:t>
      </w:r>
    </w:p>
    <w:p w14:paraId="289810BF" w14:textId="1CCDEF06" w:rsidR="00D74EA5" w:rsidRPr="00C41483" w:rsidRDefault="00D74EA5" w:rsidP="006B5133">
      <w:pPr>
        <w:spacing w:after="0" w:line="240" w:lineRule="auto"/>
        <w:jc w:val="both"/>
        <w:rPr>
          <w:rFonts w:ascii="Times New Roman" w:eastAsia="Times New Roman" w:hAnsi="Times New Roman" w:cs="Times New Roman"/>
          <w:sz w:val="24"/>
          <w:szCs w:val="24"/>
          <w:lang w:eastAsia="hr-HR"/>
        </w:rPr>
      </w:pPr>
    </w:p>
    <w:p w14:paraId="235769BD" w14:textId="77777777" w:rsidR="000003D7" w:rsidRPr="00C41483" w:rsidRDefault="000003D7" w:rsidP="006B5133">
      <w:pPr>
        <w:spacing w:after="0" w:line="240" w:lineRule="auto"/>
        <w:jc w:val="both"/>
        <w:rPr>
          <w:rFonts w:ascii="Times New Roman" w:eastAsia="Times New Roman" w:hAnsi="Times New Roman" w:cs="Times New Roman"/>
          <w:sz w:val="24"/>
          <w:szCs w:val="24"/>
          <w:lang w:eastAsia="hr-HR"/>
        </w:rPr>
      </w:pPr>
    </w:p>
    <w:p w14:paraId="73D2A5DB" w14:textId="1BE7998C" w:rsidR="003A2E30" w:rsidRPr="00C41483" w:rsidRDefault="003A2E30" w:rsidP="006B5133">
      <w:pPr>
        <w:pStyle w:val="Naslov1"/>
        <w:spacing w:before="0" w:line="240" w:lineRule="auto"/>
        <w:rPr>
          <w:rFonts w:ascii="Times New Roman" w:eastAsia="Times New Roman" w:hAnsi="Times New Roman" w:cs="Times New Roman"/>
          <w:b/>
          <w:bCs/>
          <w:color w:val="auto"/>
          <w:sz w:val="24"/>
          <w:szCs w:val="24"/>
          <w:lang w:eastAsia="hr-HR"/>
        </w:rPr>
      </w:pPr>
      <w:bookmarkStart w:id="145" w:name="_Toc76630968"/>
      <w:bookmarkStart w:id="146" w:name="_Toc88031207"/>
      <w:r w:rsidRPr="00C41483">
        <w:rPr>
          <w:rFonts w:ascii="Times New Roman" w:eastAsia="Times New Roman" w:hAnsi="Times New Roman" w:cs="Times New Roman"/>
          <w:b/>
          <w:bCs/>
          <w:color w:val="auto"/>
          <w:sz w:val="24"/>
          <w:szCs w:val="24"/>
          <w:lang w:eastAsia="hr-HR"/>
        </w:rPr>
        <w:lastRenderedPageBreak/>
        <w:t>Specifične obaveze (članci 31.-33.)</w:t>
      </w:r>
      <w:bookmarkEnd w:id="145"/>
      <w:bookmarkEnd w:id="146"/>
    </w:p>
    <w:p w14:paraId="1EFA503A" w14:textId="7E604C63" w:rsidR="003A2E30" w:rsidRPr="00C41483" w:rsidRDefault="003A2E30" w:rsidP="006B5133">
      <w:pPr>
        <w:pStyle w:val="Naslov1"/>
        <w:spacing w:before="0" w:line="240" w:lineRule="auto"/>
        <w:rPr>
          <w:rFonts w:ascii="Times New Roman" w:eastAsia="Times New Roman" w:hAnsi="Times New Roman" w:cs="Times New Roman"/>
          <w:b/>
          <w:bCs/>
          <w:color w:val="auto"/>
          <w:sz w:val="24"/>
          <w:szCs w:val="24"/>
          <w:lang w:eastAsia="hr-HR"/>
        </w:rPr>
      </w:pPr>
      <w:bookmarkStart w:id="147" w:name="_Toc76630969"/>
      <w:bookmarkStart w:id="148" w:name="_Toc88031208"/>
      <w:r w:rsidRPr="00C41483">
        <w:rPr>
          <w:rFonts w:ascii="Times New Roman" w:eastAsia="Times New Roman" w:hAnsi="Times New Roman" w:cs="Times New Roman"/>
          <w:b/>
          <w:bCs/>
          <w:color w:val="auto"/>
          <w:sz w:val="24"/>
          <w:szCs w:val="24"/>
          <w:lang w:eastAsia="hr-HR"/>
        </w:rPr>
        <w:t>Statistika i prikupljanje podataka (čl.31.)</w:t>
      </w:r>
      <w:bookmarkEnd w:id="147"/>
      <w:bookmarkEnd w:id="148"/>
    </w:p>
    <w:p w14:paraId="4F5F6B46" w14:textId="77777777" w:rsidR="000668E0" w:rsidRPr="00C41483" w:rsidRDefault="000668E0" w:rsidP="006B5133">
      <w:pPr>
        <w:spacing w:after="0" w:line="240" w:lineRule="auto"/>
        <w:rPr>
          <w:lang w:eastAsia="hr-HR"/>
        </w:rPr>
      </w:pPr>
    </w:p>
    <w:p w14:paraId="66A85E0E" w14:textId="55038D75" w:rsidR="009A757D" w:rsidRPr="00C41483" w:rsidRDefault="000003D7" w:rsidP="006B5133">
      <w:pPr>
        <w:spacing w:after="0" w:line="240" w:lineRule="auto"/>
        <w:jc w:val="both"/>
        <w:rPr>
          <w:rFonts w:ascii="Times New Roman" w:eastAsia="Times New Roman" w:hAnsi="Times New Roman" w:cs="Times New Roman"/>
          <w:i/>
          <w:iCs/>
          <w:sz w:val="24"/>
          <w:szCs w:val="24"/>
          <w:lang w:eastAsia="hr-HR"/>
        </w:rPr>
      </w:pPr>
      <w:bookmarkStart w:id="149" w:name="_Hlk83815910"/>
      <w:r w:rsidRPr="00C41483">
        <w:rPr>
          <w:rFonts w:ascii="Times New Roman" w:eastAsia="Times New Roman" w:hAnsi="Times New Roman" w:cs="Times New Roman"/>
          <w:i/>
          <w:iCs/>
          <w:sz w:val="24"/>
          <w:szCs w:val="24"/>
          <w:lang w:eastAsia="hr-HR"/>
        </w:rPr>
        <w:t xml:space="preserve">Pitanje </w:t>
      </w:r>
      <w:r w:rsidR="00AE5A67" w:rsidRPr="00C41483">
        <w:rPr>
          <w:rFonts w:ascii="Times New Roman" w:eastAsia="Times New Roman" w:hAnsi="Times New Roman" w:cs="Times New Roman"/>
          <w:i/>
          <w:iCs/>
          <w:sz w:val="24"/>
          <w:szCs w:val="24"/>
          <w:lang w:eastAsia="hr-HR"/>
        </w:rPr>
        <w:t>31</w:t>
      </w:r>
      <w:bookmarkEnd w:id="149"/>
    </w:p>
    <w:p w14:paraId="5E473F51" w14:textId="77777777" w:rsidR="000003D7" w:rsidRPr="00C41483" w:rsidRDefault="000003D7" w:rsidP="006B5133">
      <w:pPr>
        <w:spacing w:after="0" w:line="240" w:lineRule="auto"/>
        <w:jc w:val="both"/>
        <w:rPr>
          <w:rFonts w:ascii="Times New Roman" w:eastAsia="Times New Roman" w:hAnsi="Times New Roman" w:cs="Times New Roman"/>
          <w:i/>
          <w:iCs/>
          <w:sz w:val="24"/>
          <w:szCs w:val="24"/>
          <w:lang w:eastAsia="hr-HR"/>
        </w:rPr>
      </w:pPr>
    </w:p>
    <w:p w14:paraId="5FE36263" w14:textId="284609C2" w:rsidR="009A757D" w:rsidRPr="00C41483" w:rsidRDefault="00615BCD" w:rsidP="006B5133">
      <w:pPr>
        <w:pStyle w:val="Default"/>
        <w:jc w:val="both"/>
        <w:rPr>
          <w:color w:val="auto"/>
        </w:rPr>
      </w:pPr>
      <w:r w:rsidRPr="00C41483">
        <w:rPr>
          <w:color w:val="auto"/>
        </w:rPr>
        <w:t>(</w:t>
      </w:r>
      <w:r w:rsidR="000230C6" w:rsidRPr="00C41483">
        <w:rPr>
          <w:color w:val="auto"/>
        </w:rPr>
        <w:t>19</w:t>
      </w:r>
      <w:r w:rsidR="00E8616D" w:rsidRPr="00C41483">
        <w:rPr>
          <w:color w:val="auto"/>
        </w:rPr>
        <w:t>5</w:t>
      </w:r>
      <w:r w:rsidRPr="00C41483">
        <w:rPr>
          <w:color w:val="auto"/>
        </w:rPr>
        <w:t xml:space="preserve">) </w:t>
      </w:r>
      <w:r w:rsidR="009A757D" w:rsidRPr="00C41483">
        <w:rPr>
          <w:color w:val="auto"/>
        </w:rPr>
        <w:t>Hrvatska ima zakonski reguliran Registar osoba s invaliditetom, a u planu je da se njegovi podaci koriste i kod Popisa stanovništva 2021.</w:t>
      </w:r>
      <w:r w:rsidR="00430714" w:rsidRPr="00C41483">
        <w:rPr>
          <w:color w:val="auto"/>
        </w:rPr>
        <w:t xml:space="preserve"> godine.</w:t>
      </w:r>
      <w:r w:rsidR="009A757D" w:rsidRPr="00C41483">
        <w:rPr>
          <w:color w:val="auto"/>
        </w:rPr>
        <w:t xml:space="preserve"> Zbog navedenog, a i činjenice da Registar ima puni obuhvat podataka iz </w:t>
      </w:r>
      <w:r w:rsidR="001549BB" w:rsidRPr="00C41483">
        <w:rPr>
          <w:color w:val="auto"/>
        </w:rPr>
        <w:t>ZOSI-a</w:t>
      </w:r>
      <w:r w:rsidR="009A757D" w:rsidRPr="00C41483">
        <w:rPr>
          <w:color w:val="auto"/>
        </w:rPr>
        <w:t>, smatra</w:t>
      </w:r>
      <w:r w:rsidR="00430714" w:rsidRPr="00C41483">
        <w:rPr>
          <w:color w:val="auto"/>
        </w:rPr>
        <w:t xml:space="preserve">mo </w:t>
      </w:r>
      <w:r w:rsidR="009A757D" w:rsidRPr="00C41483">
        <w:rPr>
          <w:color w:val="auto"/>
        </w:rPr>
        <w:t>da je kratki set pitanja Washington grupe potencijalno primjenjiv jedino kod nekih znanstveno istraživačkih studija.</w:t>
      </w:r>
    </w:p>
    <w:p w14:paraId="36213438" w14:textId="77777777" w:rsidR="009A757D" w:rsidRPr="00C41483" w:rsidRDefault="009A757D" w:rsidP="006B5133">
      <w:pPr>
        <w:spacing w:after="0" w:line="240" w:lineRule="auto"/>
        <w:jc w:val="both"/>
        <w:rPr>
          <w:rFonts w:ascii="Times New Roman" w:eastAsia="Times New Roman" w:hAnsi="Times New Roman" w:cs="Times New Roman"/>
          <w:i/>
          <w:iCs/>
          <w:sz w:val="24"/>
          <w:szCs w:val="24"/>
          <w:lang w:eastAsia="hr-HR"/>
        </w:rPr>
      </w:pPr>
    </w:p>
    <w:p w14:paraId="6F9D14F2" w14:textId="0456B738" w:rsidR="00AE5A67" w:rsidRPr="00C41483" w:rsidRDefault="000003D7" w:rsidP="000003D7">
      <w:pPr>
        <w:spacing w:after="0" w:line="240" w:lineRule="auto"/>
        <w:jc w:val="both"/>
        <w:rPr>
          <w:rFonts w:ascii="Times New Roman" w:eastAsia="Times New Roman" w:hAnsi="Times New Roman" w:cs="Times New Roman"/>
          <w:i/>
          <w:iCs/>
          <w:sz w:val="24"/>
          <w:szCs w:val="24"/>
          <w:lang w:eastAsia="hr-HR"/>
        </w:rPr>
      </w:pPr>
      <w:bookmarkStart w:id="150" w:name="_Hlk83815928"/>
      <w:r w:rsidRPr="00C41483">
        <w:rPr>
          <w:rFonts w:ascii="Times New Roman" w:eastAsia="Times New Roman" w:hAnsi="Times New Roman" w:cs="Times New Roman"/>
          <w:i/>
          <w:iCs/>
          <w:sz w:val="24"/>
          <w:szCs w:val="24"/>
          <w:lang w:eastAsia="hr-HR"/>
        </w:rPr>
        <w:t>Pitanje 31a)</w:t>
      </w:r>
      <w:r w:rsidR="00AE5A67" w:rsidRPr="00C41483">
        <w:rPr>
          <w:rFonts w:ascii="Times New Roman" w:eastAsia="Times New Roman" w:hAnsi="Times New Roman" w:cs="Times New Roman"/>
          <w:i/>
          <w:iCs/>
          <w:sz w:val="24"/>
          <w:szCs w:val="24"/>
          <w:lang w:eastAsia="hr-HR"/>
        </w:rPr>
        <w:t xml:space="preserve"> </w:t>
      </w:r>
    </w:p>
    <w:bookmarkEnd w:id="150"/>
    <w:p w14:paraId="324FDD83" w14:textId="1B34AEFF" w:rsidR="009A757D" w:rsidRPr="00C41483" w:rsidRDefault="009A757D" w:rsidP="006B5133">
      <w:pPr>
        <w:pStyle w:val="Odlomakpopisa"/>
        <w:spacing w:after="0" w:line="240" w:lineRule="auto"/>
        <w:ind w:left="1065"/>
        <w:jc w:val="both"/>
        <w:rPr>
          <w:rFonts w:ascii="Times New Roman" w:eastAsia="Times New Roman" w:hAnsi="Times New Roman" w:cs="Times New Roman"/>
          <w:i/>
          <w:iCs/>
          <w:sz w:val="24"/>
          <w:szCs w:val="24"/>
          <w:lang w:eastAsia="hr-HR"/>
        </w:rPr>
      </w:pPr>
    </w:p>
    <w:p w14:paraId="5DC471A5" w14:textId="3CB5E555" w:rsidR="009A757D" w:rsidRPr="00C41483" w:rsidRDefault="00615BCD" w:rsidP="006B5133">
      <w:pPr>
        <w:pStyle w:val="Default"/>
        <w:jc w:val="both"/>
        <w:rPr>
          <w:color w:val="auto"/>
        </w:rPr>
      </w:pPr>
      <w:r w:rsidRPr="00C41483">
        <w:rPr>
          <w:color w:val="auto"/>
        </w:rPr>
        <w:t>(</w:t>
      </w:r>
      <w:r w:rsidR="000230C6" w:rsidRPr="00C41483">
        <w:rPr>
          <w:color w:val="auto"/>
        </w:rPr>
        <w:t>19</w:t>
      </w:r>
      <w:r w:rsidR="00E8616D" w:rsidRPr="00C41483">
        <w:rPr>
          <w:color w:val="auto"/>
        </w:rPr>
        <w:t>6</w:t>
      </w:r>
      <w:r w:rsidRPr="00C41483">
        <w:rPr>
          <w:color w:val="auto"/>
        </w:rPr>
        <w:t xml:space="preserve">) </w:t>
      </w:r>
      <w:r w:rsidR="009A757D" w:rsidRPr="00C41483">
        <w:rPr>
          <w:color w:val="auto"/>
        </w:rPr>
        <w:t>Podaci u Registru osoba s invaliditetom prikupljaju se između ostalog i prema spolu, dobi, stupnju obrazovanja, statusu na tržištu rada ali i podacima o nasilju ukoliko je takav događaj zabilježen u skladu sa MKB 10. Registar ne sadrži podatke o socioekonomskom statusu</w:t>
      </w:r>
      <w:r w:rsidR="00D803EA" w:rsidRPr="00C41483">
        <w:rPr>
          <w:color w:val="auto"/>
        </w:rPr>
        <w:t>.</w:t>
      </w:r>
      <w:r w:rsidR="009A757D" w:rsidRPr="00C41483">
        <w:rPr>
          <w:color w:val="auto"/>
        </w:rPr>
        <w:t xml:space="preserve"> </w:t>
      </w:r>
    </w:p>
    <w:p w14:paraId="5CEF634A" w14:textId="77777777" w:rsidR="009A757D" w:rsidRPr="00C41483" w:rsidRDefault="009A757D" w:rsidP="006B5133">
      <w:pPr>
        <w:pStyle w:val="Odlomakpopisa"/>
        <w:spacing w:after="0" w:line="240" w:lineRule="auto"/>
        <w:ind w:left="1065"/>
        <w:jc w:val="both"/>
        <w:rPr>
          <w:rFonts w:ascii="Times New Roman" w:eastAsia="Times New Roman" w:hAnsi="Times New Roman" w:cs="Times New Roman"/>
          <w:i/>
          <w:iCs/>
          <w:sz w:val="24"/>
          <w:szCs w:val="24"/>
          <w:lang w:eastAsia="hr-HR"/>
        </w:rPr>
      </w:pPr>
    </w:p>
    <w:p w14:paraId="09339C9F" w14:textId="6C54E90A" w:rsidR="00AE5A67" w:rsidRPr="00C41483" w:rsidRDefault="00AE5A67" w:rsidP="000003D7">
      <w:pPr>
        <w:spacing w:after="0" w:line="240" w:lineRule="auto"/>
        <w:jc w:val="both"/>
        <w:rPr>
          <w:rFonts w:ascii="Times New Roman" w:eastAsia="Times New Roman" w:hAnsi="Times New Roman" w:cs="Times New Roman"/>
          <w:i/>
          <w:iCs/>
          <w:sz w:val="24"/>
          <w:szCs w:val="24"/>
          <w:lang w:eastAsia="hr-HR"/>
        </w:rPr>
      </w:pPr>
      <w:bookmarkStart w:id="151" w:name="_Hlk83815938"/>
      <w:r w:rsidRPr="00C41483">
        <w:rPr>
          <w:rFonts w:ascii="Times New Roman" w:eastAsia="Times New Roman" w:hAnsi="Times New Roman" w:cs="Times New Roman"/>
          <w:i/>
          <w:iCs/>
          <w:sz w:val="24"/>
          <w:szCs w:val="24"/>
          <w:lang w:eastAsia="hr-HR"/>
        </w:rPr>
        <w:t>P</w:t>
      </w:r>
      <w:r w:rsidR="000003D7" w:rsidRPr="00C41483">
        <w:rPr>
          <w:rFonts w:ascii="Times New Roman" w:eastAsia="Times New Roman" w:hAnsi="Times New Roman" w:cs="Times New Roman"/>
          <w:i/>
          <w:iCs/>
          <w:sz w:val="24"/>
          <w:szCs w:val="24"/>
          <w:lang w:eastAsia="hr-HR"/>
        </w:rPr>
        <w:t>itanje 31b)</w:t>
      </w:r>
    </w:p>
    <w:p w14:paraId="50158F6B" w14:textId="77777777" w:rsidR="00D803EA" w:rsidRPr="00C41483" w:rsidRDefault="00D803EA" w:rsidP="006B5133">
      <w:pPr>
        <w:pStyle w:val="Default"/>
        <w:jc w:val="both"/>
        <w:rPr>
          <w:color w:val="auto"/>
        </w:rPr>
      </w:pPr>
    </w:p>
    <w:bookmarkEnd w:id="151"/>
    <w:p w14:paraId="69023945" w14:textId="0DB9A51E" w:rsidR="009A757D" w:rsidRPr="00C41483" w:rsidRDefault="00615BCD" w:rsidP="006B5133">
      <w:pPr>
        <w:pStyle w:val="Default"/>
        <w:jc w:val="both"/>
        <w:rPr>
          <w:color w:val="auto"/>
        </w:rPr>
      </w:pPr>
      <w:r w:rsidRPr="00C41483">
        <w:rPr>
          <w:color w:val="auto"/>
        </w:rPr>
        <w:t>(</w:t>
      </w:r>
      <w:r w:rsidR="000230C6" w:rsidRPr="00C41483">
        <w:rPr>
          <w:color w:val="auto"/>
        </w:rPr>
        <w:t>19</w:t>
      </w:r>
      <w:r w:rsidR="00E8616D" w:rsidRPr="00C41483">
        <w:rPr>
          <w:color w:val="auto"/>
        </w:rPr>
        <w:t>7</w:t>
      </w:r>
      <w:r w:rsidRPr="00C41483">
        <w:rPr>
          <w:color w:val="auto"/>
        </w:rPr>
        <w:t xml:space="preserve">) </w:t>
      </w:r>
      <w:r w:rsidR="009A757D" w:rsidRPr="00C41483">
        <w:rPr>
          <w:color w:val="auto"/>
        </w:rPr>
        <w:t>Podaci u Registru prikupljaju se prema spolu i dobnim skupinama, što je predviđeno i u izmjenama Zakona o registru osoba s invaliditetom, što ispunjava uvjet jednakosti i nediskriminacije kod bilježenja i obrade te prikaza podataka. U prijedlog Zakona o registru, koji će biti donesen u 2021. godini, korištena je i preporuka Svjetske zdravstvene organizacije da se u sustav ocjene invaliditeta koristi ICF (Međunarodna klasifikacija funkcioniranja).</w:t>
      </w:r>
      <w:r w:rsidR="00687A3A" w:rsidRPr="00C41483">
        <w:rPr>
          <w:color w:val="auto"/>
        </w:rPr>
        <w:t xml:space="preserve"> </w:t>
      </w:r>
      <w:r w:rsidR="009A757D" w:rsidRPr="00C41483">
        <w:rPr>
          <w:color w:val="auto"/>
        </w:rPr>
        <w:t>Navedena klasifikacija predstavlja osnovu nove jedinstvene metodologije utvrđivanja invaliditeta u RH.</w:t>
      </w:r>
    </w:p>
    <w:p w14:paraId="217A39A5" w14:textId="77777777" w:rsidR="009A757D" w:rsidRPr="00C41483" w:rsidRDefault="009A757D" w:rsidP="006B5133">
      <w:pPr>
        <w:spacing w:after="0" w:line="240" w:lineRule="auto"/>
        <w:jc w:val="both"/>
        <w:rPr>
          <w:rFonts w:ascii="Times New Roman" w:eastAsia="Times New Roman" w:hAnsi="Times New Roman" w:cs="Times New Roman"/>
          <w:i/>
          <w:iCs/>
          <w:sz w:val="24"/>
          <w:szCs w:val="24"/>
          <w:lang w:eastAsia="hr-HR"/>
        </w:rPr>
      </w:pPr>
    </w:p>
    <w:p w14:paraId="7A0C381E" w14:textId="23C548C5" w:rsidR="00AE5A67" w:rsidRPr="00C41483" w:rsidRDefault="000003D7" w:rsidP="006B5133">
      <w:pPr>
        <w:spacing w:after="0" w:line="240" w:lineRule="auto"/>
        <w:jc w:val="both"/>
        <w:rPr>
          <w:rFonts w:ascii="Times New Roman" w:eastAsia="Times New Roman" w:hAnsi="Times New Roman" w:cs="Times New Roman"/>
          <w:i/>
          <w:iCs/>
          <w:sz w:val="24"/>
          <w:szCs w:val="24"/>
          <w:lang w:eastAsia="hr-HR"/>
        </w:rPr>
      </w:pPr>
      <w:bookmarkStart w:id="152" w:name="_Hlk83815944"/>
      <w:r w:rsidRPr="00C41483">
        <w:rPr>
          <w:rFonts w:ascii="Times New Roman" w:eastAsia="Times New Roman" w:hAnsi="Times New Roman" w:cs="Times New Roman"/>
          <w:i/>
          <w:iCs/>
          <w:sz w:val="24"/>
          <w:szCs w:val="24"/>
          <w:lang w:eastAsia="hr-HR"/>
        </w:rPr>
        <w:t>Pitanje 31c)</w:t>
      </w:r>
    </w:p>
    <w:bookmarkEnd w:id="152"/>
    <w:p w14:paraId="6AA7DA99" w14:textId="77777777" w:rsidR="00476AFF" w:rsidRPr="00C41483" w:rsidRDefault="00476AFF" w:rsidP="006B5133">
      <w:pPr>
        <w:pStyle w:val="Default"/>
        <w:jc w:val="both"/>
        <w:rPr>
          <w:color w:val="auto"/>
        </w:rPr>
      </w:pPr>
    </w:p>
    <w:p w14:paraId="6547CB3B" w14:textId="6DEF9054" w:rsidR="009A757D" w:rsidRPr="00C41483" w:rsidRDefault="00615BCD" w:rsidP="006B5133">
      <w:pPr>
        <w:pStyle w:val="Default"/>
        <w:jc w:val="both"/>
        <w:rPr>
          <w:color w:val="auto"/>
        </w:rPr>
      </w:pPr>
      <w:r w:rsidRPr="00C41483">
        <w:rPr>
          <w:color w:val="auto"/>
        </w:rPr>
        <w:t>(</w:t>
      </w:r>
      <w:r w:rsidR="000230C6" w:rsidRPr="00C41483">
        <w:rPr>
          <w:color w:val="auto"/>
        </w:rPr>
        <w:t>19</w:t>
      </w:r>
      <w:r w:rsidR="00E8616D" w:rsidRPr="00C41483">
        <w:rPr>
          <w:color w:val="auto"/>
        </w:rPr>
        <w:t>8</w:t>
      </w:r>
      <w:r w:rsidRPr="00C41483">
        <w:rPr>
          <w:color w:val="auto"/>
        </w:rPr>
        <w:t xml:space="preserve">) </w:t>
      </w:r>
      <w:r w:rsidR="009A757D" w:rsidRPr="00C41483">
        <w:rPr>
          <w:color w:val="auto"/>
        </w:rPr>
        <w:t xml:space="preserve">Podaci Registra redovite se publiciraju jednom godišnje na službenim stranicama </w:t>
      </w:r>
      <w:r w:rsidR="001549BB" w:rsidRPr="00C41483">
        <w:rPr>
          <w:color w:val="auto"/>
        </w:rPr>
        <w:t>HZJZ-a:</w:t>
      </w:r>
      <w:r w:rsidR="009A757D" w:rsidRPr="00C41483">
        <w:rPr>
          <w:color w:val="auto"/>
        </w:rPr>
        <w:t xml:space="preserve"> </w:t>
      </w:r>
      <w:hyperlink r:id="rId15" w:history="1">
        <w:r w:rsidR="009A757D" w:rsidRPr="00C41483">
          <w:rPr>
            <w:rStyle w:val="Hiperveza"/>
            <w:color w:val="auto"/>
          </w:rPr>
          <w:t>https://www.hzjz.hr/periodicne-publikacije/hrvatski-zdravstveno-statisticki-ljetopis-za-2019-tablicni-podaci/</w:t>
        </w:r>
      </w:hyperlink>
      <w:r w:rsidR="009A757D" w:rsidRPr="00C41483">
        <w:rPr>
          <w:color w:val="auto"/>
        </w:rPr>
        <w:t xml:space="preserve">. Na navedenoj stranici su publicirani podaci iz rujna 2020. Osim ovih podataka na mrežnim stranicama, Registar zbirne statističke podatke dostavlja i na osnovu specifičnih upita </w:t>
      </w:r>
      <w:r w:rsidR="008C714A" w:rsidRPr="00C41483">
        <w:rPr>
          <w:color w:val="auto"/>
        </w:rPr>
        <w:t>UOSI</w:t>
      </w:r>
      <w:r w:rsidR="00D803EA" w:rsidRPr="00C41483">
        <w:rPr>
          <w:color w:val="auto"/>
        </w:rPr>
        <w:t xml:space="preserve">, </w:t>
      </w:r>
      <w:r w:rsidR="009A757D" w:rsidRPr="00C41483">
        <w:rPr>
          <w:color w:val="auto"/>
        </w:rPr>
        <w:t>tijela državne uprave te istraživača.</w:t>
      </w:r>
    </w:p>
    <w:p w14:paraId="613F19C4" w14:textId="037726B9" w:rsidR="009A757D" w:rsidRPr="00C41483" w:rsidRDefault="009A757D" w:rsidP="006B5133">
      <w:pPr>
        <w:spacing w:after="0" w:line="240" w:lineRule="auto"/>
        <w:rPr>
          <w:lang w:eastAsia="hr-HR"/>
        </w:rPr>
      </w:pPr>
    </w:p>
    <w:p w14:paraId="0D15415B" w14:textId="77777777" w:rsidR="000230C6" w:rsidRPr="00C41483" w:rsidRDefault="000230C6" w:rsidP="006B5133">
      <w:pPr>
        <w:spacing w:after="0" w:line="240" w:lineRule="auto"/>
        <w:rPr>
          <w:lang w:eastAsia="hr-HR"/>
        </w:rPr>
      </w:pPr>
    </w:p>
    <w:p w14:paraId="362B3230" w14:textId="6AD2E41F" w:rsidR="003A2E30" w:rsidRPr="00C41483" w:rsidRDefault="003A2E30" w:rsidP="006B5133">
      <w:pPr>
        <w:pStyle w:val="Naslov1"/>
        <w:spacing w:before="0" w:line="240" w:lineRule="auto"/>
        <w:rPr>
          <w:rFonts w:ascii="Times New Roman" w:eastAsia="Times New Roman" w:hAnsi="Times New Roman" w:cs="Times New Roman"/>
          <w:b/>
          <w:bCs/>
          <w:color w:val="auto"/>
          <w:sz w:val="24"/>
          <w:szCs w:val="24"/>
          <w:lang w:eastAsia="hr-HR"/>
        </w:rPr>
      </w:pPr>
      <w:bookmarkStart w:id="153" w:name="_Toc76630970"/>
      <w:bookmarkStart w:id="154" w:name="_Toc88031209"/>
      <w:r w:rsidRPr="00C41483">
        <w:rPr>
          <w:rFonts w:ascii="Times New Roman" w:eastAsia="Times New Roman" w:hAnsi="Times New Roman" w:cs="Times New Roman"/>
          <w:b/>
          <w:bCs/>
          <w:color w:val="auto"/>
          <w:sz w:val="24"/>
          <w:szCs w:val="24"/>
          <w:lang w:eastAsia="hr-HR"/>
        </w:rPr>
        <w:t>Međunarodna suradnja (čl. 32.)</w:t>
      </w:r>
      <w:bookmarkEnd w:id="153"/>
      <w:bookmarkEnd w:id="154"/>
    </w:p>
    <w:p w14:paraId="3B5C9A7D" w14:textId="77777777" w:rsidR="000668E0" w:rsidRPr="00C41483" w:rsidRDefault="000668E0" w:rsidP="006B5133">
      <w:pPr>
        <w:spacing w:after="0" w:line="240" w:lineRule="auto"/>
        <w:jc w:val="both"/>
        <w:rPr>
          <w:rFonts w:ascii="Times New Roman" w:eastAsia="Times New Roman" w:hAnsi="Times New Roman" w:cs="Times New Roman"/>
          <w:i/>
          <w:iCs/>
          <w:sz w:val="24"/>
          <w:szCs w:val="24"/>
          <w:lang w:eastAsia="hr-HR"/>
        </w:rPr>
      </w:pPr>
    </w:p>
    <w:p w14:paraId="0C00AAB0" w14:textId="0756B521" w:rsidR="00C21ED7" w:rsidRPr="00C41483" w:rsidRDefault="000003D7" w:rsidP="006B5133">
      <w:pPr>
        <w:spacing w:after="0" w:line="240" w:lineRule="auto"/>
        <w:jc w:val="both"/>
        <w:rPr>
          <w:rFonts w:ascii="Times New Roman" w:eastAsia="Times New Roman" w:hAnsi="Times New Roman" w:cs="Times New Roman"/>
          <w:i/>
          <w:iCs/>
          <w:sz w:val="24"/>
          <w:szCs w:val="24"/>
          <w:lang w:eastAsia="hr-HR"/>
        </w:rPr>
      </w:pPr>
      <w:bookmarkStart w:id="155" w:name="_Hlk83815955"/>
      <w:r w:rsidRPr="00C41483">
        <w:rPr>
          <w:rFonts w:ascii="Times New Roman" w:eastAsia="Times New Roman" w:hAnsi="Times New Roman" w:cs="Times New Roman"/>
          <w:i/>
          <w:iCs/>
          <w:sz w:val="24"/>
          <w:szCs w:val="24"/>
          <w:lang w:eastAsia="hr-HR"/>
        </w:rPr>
        <w:t xml:space="preserve">Pitanje </w:t>
      </w:r>
      <w:r w:rsidR="00C21ED7" w:rsidRPr="00C41483">
        <w:rPr>
          <w:rFonts w:ascii="Times New Roman" w:eastAsia="Times New Roman" w:hAnsi="Times New Roman" w:cs="Times New Roman"/>
          <w:i/>
          <w:iCs/>
          <w:sz w:val="24"/>
          <w:szCs w:val="24"/>
          <w:lang w:eastAsia="hr-HR"/>
        </w:rPr>
        <w:t xml:space="preserve">32a) </w:t>
      </w:r>
      <w:r w:rsidRPr="00C41483">
        <w:rPr>
          <w:rFonts w:ascii="Times New Roman" w:eastAsia="Times New Roman" w:hAnsi="Times New Roman" w:cs="Times New Roman"/>
          <w:i/>
          <w:iCs/>
          <w:sz w:val="24"/>
          <w:szCs w:val="24"/>
          <w:lang w:eastAsia="hr-HR"/>
        </w:rPr>
        <w:t xml:space="preserve">i </w:t>
      </w:r>
      <w:r w:rsidR="00C21ED7" w:rsidRPr="00C41483">
        <w:rPr>
          <w:rFonts w:ascii="Times New Roman" w:eastAsia="Times New Roman" w:hAnsi="Times New Roman" w:cs="Times New Roman"/>
          <w:i/>
          <w:iCs/>
          <w:sz w:val="24"/>
          <w:szCs w:val="24"/>
          <w:lang w:eastAsia="hr-HR"/>
        </w:rPr>
        <w:t xml:space="preserve">b) </w:t>
      </w:r>
    </w:p>
    <w:bookmarkEnd w:id="155"/>
    <w:p w14:paraId="11654120" w14:textId="74802670" w:rsidR="00596018" w:rsidRPr="00C41483" w:rsidRDefault="00596018" w:rsidP="006B5133">
      <w:pPr>
        <w:spacing w:after="0" w:line="240" w:lineRule="auto"/>
        <w:jc w:val="both"/>
        <w:rPr>
          <w:rFonts w:ascii="Times New Roman" w:eastAsia="Times New Roman" w:hAnsi="Times New Roman" w:cs="Times New Roman"/>
          <w:i/>
          <w:iCs/>
          <w:sz w:val="24"/>
          <w:szCs w:val="24"/>
          <w:lang w:eastAsia="hr-HR"/>
        </w:rPr>
      </w:pPr>
    </w:p>
    <w:p w14:paraId="24D32A2B" w14:textId="1D8122F2" w:rsidR="00C85647" w:rsidRPr="00C41483" w:rsidRDefault="00615BCD" w:rsidP="006B5133">
      <w:pPr>
        <w:spacing w:after="0" w:line="240" w:lineRule="auto"/>
        <w:jc w:val="both"/>
        <w:rPr>
          <w:rFonts w:ascii="Times New Roman" w:hAnsi="Times New Roman"/>
          <w:sz w:val="24"/>
          <w:szCs w:val="24"/>
        </w:rPr>
      </w:pPr>
      <w:r w:rsidRPr="00C41483">
        <w:rPr>
          <w:rFonts w:ascii="Times New Roman" w:eastAsia="Times New Roman" w:hAnsi="Times New Roman" w:cs="Times New Roman"/>
          <w:sz w:val="24"/>
          <w:szCs w:val="24"/>
          <w:lang w:eastAsia="hr-HR"/>
        </w:rPr>
        <w:t>(</w:t>
      </w:r>
      <w:r w:rsidR="000230C6" w:rsidRPr="00C41483">
        <w:rPr>
          <w:rFonts w:ascii="Times New Roman" w:eastAsia="Times New Roman" w:hAnsi="Times New Roman" w:cs="Times New Roman"/>
          <w:sz w:val="24"/>
          <w:szCs w:val="24"/>
          <w:lang w:eastAsia="hr-HR"/>
        </w:rPr>
        <w:t>19</w:t>
      </w:r>
      <w:r w:rsidR="00E8616D" w:rsidRPr="00C41483">
        <w:rPr>
          <w:rFonts w:ascii="Times New Roman" w:eastAsia="Times New Roman" w:hAnsi="Times New Roman" w:cs="Times New Roman"/>
          <w:sz w:val="24"/>
          <w:szCs w:val="24"/>
          <w:lang w:eastAsia="hr-HR"/>
        </w:rPr>
        <w:t>9</w:t>
      </w:r>
      <w:r w:rsidRPr="00C41483">
        <w:rPr>
          <w:rFonts w:ascii="Times New Roman" w:eastAsia="Times New Roman" w:hAnsi="Times New Roman" w:cs="Times New Roman"/>
          <w:sz w:val="24"/>
          <w:szCs w:val="24"/>
          <w:lang w:eastAsia="hr-HR"/>
        </w:rPr>
        <w:t xml:space="preserve">) </w:t>
      </w:r>
      <w:r w:rsidR="00C85647" w:rsidRPr="00C41483">
        <w:rPr>
          <w:rFonts w:ascii="Times New Roman" w:eastAsia="Times New Roman" w:hAnsi="Times New Roman" w:cs="Times New Roman"/>
          <w:sz w:val="24"/>
          <w:szCs w:val="24"/>
          <w:lang w:eastAsia="hr-HR"/>
        </w:rPr>
        <w:t>R</w:t>
      </w:r>
      <w:r w:rsidR="00905964" w:rsidRPr="00C41483">
        <w:rPr>
          <w:rFonts w:ascii="Times New Roman" w:eastAsia="Times New Roman" w:hAnsi="Times New Roman" w:cs="Times New Roman"/>
          <w:sz w:val="24"/>
          <w:szCs w:val="24"/>
          <w:lang w:eastAsia="hr-HR"/>
        </w:rPr>
        <w:t>H</w:t>
      </w:r>
      <w:r w:rsidR="00C85647" w:rsidRPr="00C41483">
        <w:rPr>
          <w:rFonts w:ascii="Times New Roman" w:eastAsia="Times New Roman" w:hAnsi="Times New Roman" w:cs="Times New Roman"/>
          <w:sz w:val="24"/>
          <w:szCs w:val="24"/>
          <w:lang w:eastAsia="hr-HR"/>
        </w:rPr>
        <w:t xml:space="preserve"> je u studenom 2020. godine predstavila </w:t>
      </w:r>
      <w:r w:rsidR="00C85647" w:rsidRPr="00C41483">
        <w:rPr>
          <w:rFonts w:ascii="Times New Roman" w:hAnsi="Times New Roman"/>
          <w:sz w:val="24"/>
          <w:szCs w:val="24"/>
        </w:rPr>
        <w:t>Treće izvješće prema Univerzalnom periodičkom pregledu UN-a</w:t>
      </w:r>
      <w:r w:rsidR="00E42368" w:rsidRPr="00C41483">
        <w:rPr>
          <w:rFonts w:ascii="Times New Roman" w:hAnsi="Times New Roman"/>
          <w:sz w:val="24"/>
          <w:szCs w:val="24"/>
        </w:rPr>
        <w:t>. Nakon rasprave</w:t>
      </w:r>
      <w:r w:rsidR="00BB0024" w:rsidRPr="00C41483">
        <w:rPr>
          <w:rFonts w:ascii="Times New Roman" w:hAnsi="Times New Roman"/>
          <w:sz w:val="24"/>
          <w:szCs w:val="24"/>
        </w:rPr>
        <w:t>,</w:t>
      </w:r>
      <w:r w:rsidR="00E42368" w:rsidRPr="00C41483">
        <w:rPr>
          <w:rFonts w:ascii="Times New Roman" w:hAnsi="Times New Roman"/>
          <w:sz w:val="24"/>
          <w:szCs w:val="24"/>
        </w:rPr>
        <w:t xml:space="preserve"> Hrvatskoj su upućene preporuke za snaženje prava osoba s invaliditetom posebno u područjima: zapošljavanja, sudjelovanja u izbornim procesima, obrazovanja, osiguranja usluga u zajednici, potpore udrugama te za djelovanja u situaciji pandemije COVID-19.</w:t>
      </w:r>
    </w:p>
    <w:p w14:paraId="16E46A70" w14:textId="77777777" w:rsidR="00516773" w:rsidRPr="00C41483" w:rsidRDefault="00516773" w:rsidP="006B5133">
      <w:pPr>
        <w:spacing w:after="0" w:line="240" w:lineRule="auto"/>
        <w:jc w:val="both"/>
        <w:rPr>
          <w:rFonts w:ascii="Times New Roman" w:eastAsia="Times New Roman" w:hAnsi="Times New Roman" w:cs="Times New Roman"/>
          <w:sz w:val="24"/>
          <w:szCs w:val="24"/>
          <w:lang w:eastAsia="hr-HR"/>
        </w:rPr>
      </w:pPr>
    </w:p>
    <w:p w14:paraId="734F9144" w14:textId="7E266684" w:rsidR="00596018" w:rsidRPr="00C41483" w:rsidRDefault="00516773" w:rsidP="006B5133">
      <w:pPr>
        <w:spacing w:after="0" w:line="240" w:lineRule="auto"/>
        <w:jc w:val="both"/>
        <w:rPr>
          <w:rFonts w:ascii="Times New Roman" w:eastAsia="Times New Roman" w:hAnsi="Times New Roman" w:cs="Times New Roman"/>
          <w:sz w:val="24"/>
          <w:szCs w:val="24"/>
          <w:lang w:eastAsia="hr-HR"/>
        </w:rPr>
      </w:pPr>
      <w:r w:rsidRPr="00C41483">
        <w:rPr>
          <w:rFonts w:ascii="Times New Roman" w:eastAsia="Times New Roman" w:hAnsi="Times New Roman" w:cs="Times New Roman"/>
          <w:sz w:val="24"/>
          <w:szCs w:val="24"/>
          <w:lang w:eastAsia="hr-HR"/>
        </w:rPr>
        <w:t>(</w:t>
      </w:r>
      <w:r w:rsidR="00E8616D" w:rsidRPr="00C41483">
        <w:rPr>
          <w:rFonts w:ascii="Times New Roman" w:eastAsia="Times New Roman" w:hAnsi="Times New Roman" w:cs="Times New Roman"/>
          <w:sz w:val="24"/>
          <w:szCs w:val="24"/>
          <w:lang w:eastAsia="hr-HR"/>
        </w:rPr>
        <w:t>200</w:t>
      </w:r>
      <w:r w:rsidRPr="00C41483">
        <w:rPr>
          <w:rFonts w:ascii="Times New Roman" w:eastAsia="Times New Roman" w:hAnsi="Times New Roman" w:cs="Times New Roman"/>
          <w:sz w:val="24"/>
          <w:szCs w:val="24"/>
          <w:lang w:eastAsia="hr-HR"/>
        </w:rPr>
        <w:t xml:space="preserve">) </w:t>
      </w:r>
      <w:r w:rsidR="00596018" w:rsidRPr="00C41483">
        <w:rPr>
          <w:rFonts w:ascii="Times New Roman" w:eastAsia="Times New Roman" w:hAnsi="Times New Roman" w:cs="Times New Roman"/>
          <w:sz w:val="24"/>
          <w:szCs w:val="24"/>
          <w:lang w:eastAsia="hr-HR"/>
        </w:rPr>
        <w:t>R</w:t>
      </w:r>
      <w:r w:rsidR="00905964" w:rsidRPr="00C41483">
        <w:rPr>
          <w:rFonts w:ascii="Times New Roman" w:eastAsia="Times New Roman" w:hAnsi="Times New Roman" w:cs="Times New Roman"/>
          <w:sz w:val="24"/>
          <w:szCs w:val="24"/>
          <w:lang w:eastAsia="hr-HR"/>
        </w:rPr>
        <w:t>H</w:t>
      </w:r>
      <w:r w:rsidR="00596018" w:rsidRPr="00C41483">
        <w:rPr>
          <w:rFonts w:ascii="Times New Roman" w:eastAsia="Times New Roman" w:hAnsi="Times New Roman" w:cs="Times New Roman"/>
          <w:sz w:val="24"/>
          <w:szCs w:val="24"/>
          <w:lang w:eastAsia="hr-HR"/>
        </w:rPr>
        <w:t xml:space="preserve"> sukladno svojim vanjskopolitičkim prioritetima kao država promatrač u Vijeću za ljudska prava UN-a daje aktivnu podršku inicijativama za promicanje ljudskih prava i zaštitu osoba s invaliditetom. Primjerice</w:t>
      </w:r>
      <w:r w:rsidR="00BB0024" w:rsidRPr="00C41483">
        <w:rPr>
          <w:rFonts w:ascii="Times New Roman" w:eastAsia="Times New Roman" w:hAnsi="Times New Roman" w:cs="Times New Roman"/>
          <w:sz w:val="24"/>
          <w:szCs w:val="24"/>
          <w:lang w:eastAsia="hr-HR"/>
        </w:rPr>
        <w:t>,</w:t>
      </w:r>
      <w:r w:rsidR="00596018" w:rsidRPr="00C41483">
        <w:rPr>
          <w:rFonts w:ascii="Times New Roman" w:eastAsia="Times New Roman" w:hAnsi="Times New Roman" w:cs="Times New Roman"/>
          <w:sz w:val="24"/>
          <w:szCs w:val="24"/>
          <w:lang w:eastAsia="hr-HR"/>
        </w:rPr>
        <w:t xml:space="preserve"> na 43. zasjedanju Vijeća (2020.) Hrvatska je </w:t>
      </w:r>
      <w:proofErr w:type="spellStart"/>
      <w:r w:rsidR="00596018" w:rsidRPr="00C41483">
        <w:rPr>
          <w:rFonts w:ascii="Times New Roman" w:eastAsia="Times New Roman" w:hAnsi="Times New Roman" w:cs="Times New Roman"/>
          <w:sz w:val="24"/>
          <w:szCs w:val="24"/>
          <w:lang w:eastAsia="hr-HR"/>
        </w:rPr>
        <w:t>kosponzorirala</w:t>
      </w:r>
      <w:proofErr w:type="spellEnd"/>
      <w:r w:rsidR="00596018" w:rsidRPr="00C41483">
        <w:rPr>
          <w:rFonts w:ascii="Times New Roman" w:eastAsia="Times New Roman" w:hAnsi="Times New Roman" w:cs="Times New Roman"/>
          <w:sz w:val="24"/>
          <w:szCs w:val="24"/>
          <w:lang w:eastAsia="hr-HR"/>
        </w:rPr>
        <w:t xml:space="preserve"> rezoluciju o podizanju svijesti o osobama s invaliditetom</w:t>
      </w:r>
      <w:r w:rsidR="00DD0983" w:rsidRPr="00C41483">
        <w:rPr>
          <w:rFonts w:ascii="Times New Roman" w:eastAsia="Times New Roman" w:hAnsi="Times New Roman" w:cs="Times New Roman"/>
          <w:sz w:val="24"/>
          <w:szCs w:val="24"/>
          <w:lang w:eastAsia="hr-HR"/>
        </w:rPr>
        <w:t xml:space="preserve">, </w:t>
      </w:r>
      <w:r w:rsidR="00596018" w:rsidRPr="00C41483">
        <w:rPr>
          <w:rFonts w:ascii="Times New Roman" w:eastAsia="Times New Roman" w:hAnsi="Times New Roman" w:cs="Times New Roman"/>
          <w:sz w:val="24"/>
          <w:szCs w:val="24"/>
          <w:lang w:eastAsia="hr-HR"/>
        </w:rPr>
        <w:t>kojom se država</w:t>
      </w:r>
      <w:r w:rsidR="00DD0983" w:rsidRPr="00C41483">
        <w:rPr>
          <w:rFonts w:ascii="Times New Roman" w:eastAsia="Times New Roman" w:hAnsi="Times New Roman" w:cs="Times New Roman"/>
          <w:sz w:val="24"/>
          <w:szCs w:val="24"/>
          <w:lang w:eastAsia="hr-HR"/>
        </w:rPr>
        <w:t>ma</w:t>
      </w:r>
      <w:r w:rsidR="00596018" w:rsidRPr="00C41483">
        <w:rPr>
          <w:rFonts w:ascii="Times New Roman" w:eastAsia="Times New Roman" w:hAnsi="Times New Roman" w:cs="Times New Roman"/>
          <w:sz w:val="24"/>
          <w:szCs w:val="24"/>
          <w:lang w:eastAsia="hr-HR"/>
        </w:rPr>
        <w:t xml:space="preserve"> preporučuje </w:t>
      </w:r>
      <w:r w:rsidR="00596018" w:rsidRPr="00C41483">
        <w:rPr>
          <w:rFonts w:ascii="Times New Roman" w:eastAsia="Times New Roman" w:hAnsi="Times New Roman" w:cs="Times New Roman"/>
          <w:sz w:val="24"/>
          <w:szCs w:val="24"/>
          <w:lang w:eastAsia="hr-HR"/>
        </w:rPr>
        <w:lastRenderedPageBreak/>
        <w:t xml:space="preserve">pokretanje kampanja za podizanje svijesti (vezano uz stereotipe i diskriminaciju), održavanje edukacija i treninga te jačanje uloge medija, kao i rezoluciju o mentalnom zdravlju i ljudskim pravima kojom se države potiču da usklade zakonodavstvo s međunarodnim standardima, razviju strategije protiv stigme, poštuju </w:t>
      </w:r>
      <w:proofErr w:type="spellStart"/>
      <w:r w:rsidR="00596018" w:rsidRPr="00C41483">
        <w:rPr>
          <w:rFonts w:ascii="Times New Roman" w:eastAsia="Times New Roman" w:hAnsi="Times New Roman" w:cs="Times New Roman"/>
          <w:sz w:val="24"/>
          <w:szCs w:val="24"/>
          <w:lang w:eastAsia="hr-HR"/>
        </w:rPr>
        <w:t>ljudskopravni</w:t>
      </w:r>
      <w:proofErr w:type="spellEnd"/>
      <w:r w:rsidR="00596018" w:rsidRPr="00C41483">
        <w:rPr>
          <w:rFonts w:ascii="Times New Roman" w:eastAsia="Times New Roman" w:hAnsi="Times New Roman" w:cs="Times New Roman"/>
          <w:sz w:val="24"/>
          <w:szCs w:val="24"/>
          <w:lang w:eastAsia="hr-HR"/>
        </w:rPr>
        <w:t xml:space="preserve"> pristup u području mentalnog zdravlja te provedu holistički pristup u svrhu iskoraka glede </w:t>
      </w:r>
      <w:proofErr w:type="spellStart"/>
      <w:r w:rsidR="00596018" w:rsidRPr="00C41483">
        <w:rPr>
          <w:rFonts w:ascii="Times New Roman" w:eastAsia="Times New Roman" w:hAnsi="Times New Roman" w:cs="Times New Roman"/>
          <w:sz w:val="24"/>
          <w:szCs w:val="24"/>
          <w:lang w:eastAsia="hr-HR"/>
        </w:rPr>
        <w:t>medikalizacije</w:t>
      </w:r>
      <w:proofErr w:type="spellEnd"/>
      <w:r w:rsidR="00596018" w:rsidRPr="00C41483">
        <w:rPr>
          <w:rFonts w:ascii="Times New Roman" w:eastAsia="Times New Roman" w:hAnsi="Times New Roman" w:cs="Times New Roman"/>
          <w:sz w:val="24"/>
          <w:szCs w:val="24"/>
          <w:lang w:eastAsia="hr-HR"/>
        </w:rPr>
        <w:t xml:space="preserve"> i institucionalizacije. Hrvatska redovito sudjeluje u izradi, usklađivanju i predstavljanju njenih stajališta o osobama s invaliditetom na Vijeću.</w:t>
      </w:r>
    </w:p>
    <w:p w14:paraId="1F445E8A" w14:textId="77777777" w:rsidR="00516773" w:rsidRPr="00C41483" w:rsidRDefault="00516773" w:rsidP="006B5133">
      <w:pPr>
        <w:shd w:val="clear" w:color="auto" w:fill="FFFFFF" w:themeFill="background1"/>
        <w:spacing w:after="0" w:line="240" w:lineRule="auto"/>
        <w:jc w:val="both"/>
        <w:rPr>
          <w:rFonts w:ascii="Times New Roman" w:hAnsi="Times New Roman"/>
          <w:sz w:val="24"/>
          <w:szCs w:val="24"/>
        </w:rPr>
      </w:pPr>
    </w:p>
    <w:p w14:paraId="5B21385A" w14:textId="69336C18" w:rsidR="000473BE" w:rsidRPr="00C41483" w:rsidRDefault="00516773" w:rsidP="006B5133">
      <w:pPr>
        <w:shd w:val="clear" w:color="auto" w:fill="FFFFFF" w:themeFill="background1"/>
        <w:spacing w:after="0" w:line="240" w:lineRule="auto"/>
        <w:jc w:val="both"/>
        <w:rPr>
          <w:rFonts w:ascii="Times New Roman" w:hAnsi="Times New Roman"/>
          <w:sz w:val="24"/>
          <w:szCs w:val="24"/>
        </w:rPr>
      </w:pPr>
      <w:r w:rsidRPr="00C41483">
        <w:rPr>
          <w:rFonts w:ascii="Times New Roman" w:hAnsi="Times New Roman"/>
          <w:sz w:val="24"/>
          <w:szCs w:val="24"/>
        </w:rPr>
        <w:t>(</w:t>
      </w:r>
      <w:r w:rsidR="00E8616D" w:rsidRPr="00C41483">
        <w:rPr>
          <w:rFonts w:ascii="Times New Roman" w:hAnsi="Times New Roman"/>
          <w:sz w:val="24"/>
          <w:szCs w:val="24"/>
        </w:rPr>
        <w:t>201</w:t>
      </w:r>
      <w:r w:rsidRPr="00C41483">
        <w:rPr>
          <w:rFonts w:ascii="Times New Roman" w:hAnsi="Times New Roman"/>
          <w:sz w:val="24"/>
          <w:szCs w:val="24"/>
        </w:rPr>
        <w:t xml:space="preserve">) </w:t>
      </w:r>
      <w:r w:rsidR="000473BE" w:rsidRPr="00C41483">
        <w:rPr>
          <w:rFonts w:ascii="Times New Roman" w:hAnsi="Times New Roman"/>
          <w:sz w:val="24"/>
          <w:szCs w:val="24"/>
        </w:rPr>
        <w:t xml:space="preserve">Predstavnici </w:t>
      </w:r>
      <w:r w:rsidR="008C714A" w:rsidRPr="00C41483">
        <w:rPr>
          <w:rFonts w:ascii="Times New Roman" w:hAnsi="Times New Roman"/>
          <w:sz w:val="24"/>
          <w:szCs w:val="24"/>
        </w:rPr>
        <w:t>UOSI</w:t>
      </w:r>
      <w:r w:rsidR="000473BE" w:rsidRPr="00C41483">
        <w:rPr>
          <w:rFonts w:ascii="Times New Roman" w:hAnsi="Times New Roman"/>
          <w:sz w:val="24"/>
          <w:szCs w:val="24"/>
        </w:rPr>
        <w:t xml:space="preserve"> članovi su Povjerenstva Vlade </w:t>
      </w:r>
      <w:r w:rsidR="00D0055C" w:rsidRPr="00C41483">
        <w:rPr>
          <w:rFonts w:ascii="Times New Roman" w:hAnsi="Times New Roman"/>
          <w:sz w:val="24"/>
          <w:szCs w:val="24"/>
        </w:rPr>
        <w:t>RH</w:t>
      </w:r>
      <w:r w:rsidR="000473BE" w:rsidRPr="00C41483">
        <w:rPr>
          <w:rFonts w:ascii="Times New Roman" w:hAnsi="Times New Roman"/>
          <w:sz w:val="24"/>
          <w:szCs w:val="24"/>
        </w:rPr>
        <w:t xml:space="preserve"> za osobe s invaliditetom, te Radne skupine za izradu novog strateškog dokumenta za osobe s invaliditetom za razdoblje od 2021. do 2027. godine, kao i niza drugih </w:t>
      </w:r>
      <w:r w:rsidR="008410E8" w:rsidRPr="00C41483">
        <w:rPr>
          <w:rFonts w:ascii="Times New Roman" w:hAnsi="Times New Roman"/>
          <w:sz w:val="24"/>
          <w:szCs w:val="24"/>
        </w:rPr>
        <w:t xml:space="preserve">radnih </w:t>
      </w:r>
      <w:r w:rsidR="000473BE" w:rsidRPr="00C41483">
        <w:rPr>
          <w:rFonts w:ascii="Times New Roman" w:hAnsi="Times New Roman"/>
          <w:sz w:val="24"/>
          <w:szCs w:val="24"/>
        </w:rPr>
        <w:t>skupina</w:t>
      </w:r>
      <w:r w:rsidR="008410E8" w:rsidRPr="00C41483">
        <w:rPr>
          <w:rFonts w:ascii="Times New Roman" w:hAnsi="Times New Roman"/>
          <w:sz w:val="24"/>
          <w:szCs w:val="24"/>
        </w:rPr>
        <w:t xml:space="preserve"> od značaja za kreiranje politika prema osobama s invaliditetom (primjerice radnoj skupini za izradu zakona o osobnoj asistenciji).</w:t>
      </w:r>
    </w:p>
    <w:p w14:paraId="15677EB2" w14:textId="77777777" w:rsidR="00516773" w:rsidRPr="00C41483" w:rsidRDefault="00516773" w:rsidP="006B5133">
      <w:pPr>
        <w:shd w:val="clear" w:color="auto" w:fill="FFFFFF" w:themeFill="background1"/>
        <w:spacing w:after="0" w:line="240" w:lineRule="auto"/>
        <w:jc w:val="both"/>
        <w:rPr>
          <w:rFonts w:ascii="Times New Roman" w:hAnsi="Times New Roman"/>
          <w:sz w:val="24"/>
          <w:szCs w:val="24"/>
        </w:rPr>
      </w:pPr>
    </w:p>
    <w:p w14:paraId="035688FF" w14:textId="022820A6" w:rsidR="00687A3A" w:rsidRPr="00C41483" w:rsidRDefault="00516773" w:rsidP="006B5133">
      <w:pPr>
        <w:shd w:val="clear" w:color="auto" w:fill="FFFFFF" w:themeFill="background1"/>
        <w:spacing w:after="0" w:line="240" w:lineRule="auto"/>
        <w:jc w:val="both"/>
        <w:rPr>
          <w:rFonts w:ascii="Times New Roman" w:hAnsi="Times New Roman"/>
          <w:sz w:val="24"/>
          <w:szCs w:val="24"/>
        </w:rPr>
      </w:pPr>
      <w:r w:rsidRPr="00C41483">
        <w:rPr>
          <w:rFonts w:ascii="Times New Roman" w:hAnsi="Times New Roman"/>
          <w:sz w:val="24"/>
          <w:szCs w:val="24"/>
        </w:rPr>
        <w:t>(</w:t>
      </w:r>
      <w:r w:rsidR="00E8616D" w:rsidRPr="00C41483">
        <w:rPr>
          <w:rFonts w:ascii="Times New Roman" w:hAnsi="Times New Roman"/>
          <w:sz w:val="24"/>
          <w:szCs w:val="24"/>
        </w:rPr>
        <w:t>202</w:t>
      </w:r>
      <w:r w:rsidRPr="00C41483">
        <w:rPr>
          <w:rFonts w:ascii="Times New Roman" w:hAnsi="Times New Roman"/>
          <w:sz w:val="24"/>
          <w:szCs w:val="24"/>
        </w:rPr>
        <w:t xml:space="preserve">) </w:t>
      </w:r>
      <w:r w:rsidR="00687A3A" w:rsidRPr="00C41483">
        <w:rPr>
          <w:rFonts w:ascii="Times New Roman" w:hAnsi="Times New Roman"/>
          <w:sz w:val="24"/>
          <w:szCs w:val="24"/>
        </w:rPr>
        <w:t xml:space="preserve">U okviru Novog nacionalnog plana izjednačavanja mogućnosti za osobe s invaliditetom 2021.-2027. čija je izrada u tijeku, za svaki posebni cilj naznačen je način njegov doprinosa ciljevima/ </w:t>
      </w:r>
      <w:proofErr w:type="spellStart"/>
      <w:r w:rsidR="00687A3A" w:rsidRPr="00C41483">
        <w:rPr>
          <w:rFonts w:ascii="Times New Roman" w:hAnsi="Times New Roman"/>
          <w:sz w:val="24"/>
          <w:szCs w:val="24"/>
        </w:rPr>
        <w:t>podciljevima</w:t>
      </w:r>
      <w:proofErr w:type="spellEnd"/>
      <w:r w:rsidR="00687A3A" w:rsidRPr="00C41483">
        <w:rPr>
          <w:rFonts w:ascii="Times New Roman" w:hAnsi="Times New Roman"/>
          <w:sz w:val="24"/>
          <w:szCs w:val="24"/>
        </w:rPr>
        <w:t xml:space="preserve"> održivog razvoja UN Agende 2030 (SDG).</w:t>
      </w:r>
    </w:p>
    <w:p w14:paraId="61828899" w14:textId="77777777" w:rsidR="000473BE" w:rsidRPr="00C41483" w:rsidRDefault="000473BE" w:rsidP="006B5133">
      <w:pPr>
        <w:spacing w:after="0" w:line="240" w:lineRule="auto"/>
        <w:jc w:val="both"/>
        <w:rPr>
          <w:rFonts w:ascii="Times New Roman" w:eastAsia="Times New Roman" w:hAnsi="Times New Roman" w:cs="Times New Roman"/>
          <w:sz w:val="24"/>
          <w:szCs w:val="24"/>
          <w:lang w:eastAsia="hr-HR"/>
        </w:rPr>
      </w:pPr>
    </w:p>
    <w:p w14:paraId="6E5257CA" w14:textId="02E0C3C5" w:rsidR="003A2E30" w:rsidRPr="00C41483" w:rsidRDefault="003A2E30" w:rsidP="006B5133">
      <w:pPr>
        <w:pStyle w:val="Naslov1"/>
        <w:spacing w:before="0" w:line="240" w:lineRule="auto"/>
        <w:rPr>
          <w:rFonts w:ascii="Times New Roman" w:eastAsia="Times New Roman" w:hAnsi="Times New Roman" w:cs="Times New Roman"/>
          <w:b/>
          <w:bCs/>
          <w:color w:val="auto"/>
          <w:sz w:val="24"/>
          <w:szCs w:val="24"/>
          <w:lang w:eastAsia="hr-HR"/>
        </w:rPr>
      </w:pPr>
      <w:bookmarkStart w:id="156" w:name="_Toc76630971"/>
      <w:bookmarkStart w:id="157" w:name="_Toc88031210"/>
      <w:r w:rsidRPr="00C41483">
        <w:rPr>
          <w:rFonts w:ascii="Times New Roman" w:eastAsia="Times New Roman" w:hAnsi="Times New Roman" w:cs="Times New Roman"/>
          <w:b/>
          <w:bCs/>
          <w:color w:val="auto"/>
          <w:sz w:val="24"/>
          <w:szCs w:val="24"/>
          <w:lang w:eastAsia="hr-HR"/>
        </w:rPr>
        <w:t>Nacionalna provedba i praćenje (čl. 33.)</w:t>
      </w:r>
      <w:bookmarkEnd w:id="156"/>
      <w:bookmarkEnd w:id="157"/>
    </w:p>
    <w:p w14:paraId="1A420CFF" w14:textId="77777777" w:rsidR="000003D7" w:rsidRPr="00C41483" w:rsidRDefault="000003D7" w:rsidP="006B5133">
      <w:pPr>
        <w:spacing w:after="0" w:line="240" w:lineRule="auto"/>
        <w:jc w:val="both"/>
        <w:rPr>
          <w:rFonts w:ascii="Times New Roman" w:eastAsia="Times New Roman" w:hAnsi="Times New Roman" w:cs="Arial"/>
          <w:i/>
          <w:iCs/>
          <w:szCs w:val="24"/>
          <w:lang w:eastAsia="hr-HR"/>
        </w:rPr>
      </w:pPr>
    </w:p>
    <w:p w14:paraId="34321817" w14:textId="31405195" w:rsidR="00891D34" w:rsidRPr="00C41483" w:rsidRDefault="000003D7" w:rsidP="000003D7">
      <w:pPr>
        <w:spacing w:after="0" w:line="240" w:lineRule="auto"/>
        <w:jc w:val="both"/>
        <w:rPr>
          <w:rFonts w:ascii="Times New Roman" w:eastAsia="Times New Roman" w:hAnsi="Times New Roman" w:cs="Arial"/>
          <w:i/>
          <w:iCs/>
          <w:szCs w:val="24"/>
          <w:lang w:eastAsia="hr-HR"/>
        </w:rPr>
      </w:pPr>
      <w:bookmarkStart w:id="158" w:name="_Hlk83815973"/>
      <w:r w:rsidRPr="00C41483">
        <w:rPr>
          <w:rFonts w:ascii="Times New Roman" w:eastAsia="Times New Roman" w:hAnsi="Times New Roman" w:cs="Arial"/>
          <w:i/>
          <w:iCs/>
          <w:szCs w:val="24"/>
          <w:lang w:eastAsia="hr-HR"/>
        </w:rPr>
        <w:t xml:space="preserve">Pitanje </w:t>
      </w:r>
      <w:r w:rsidR="00891D34" w:rsidRPr="00C41483">
        <w:rPr>
          <w:rFonts w:ascii="Times New Roman" w:eastAsia="Times New Roman" w:hAnsi="Times New Roman" w:cs="Arial"/>
          <w:i/>
          <w:iCs/>
          <w:szCs w:val="24"/>
          <w:lang w:eastAsia="hr-HR"/>
        </w:rPr>
        <w:t>33</w:t>
      </w:r>
      <w:r w:rsidRPr="00C41483">
        <w:rPr>
          <w:rFonts w:ascii="Times New Roman" w:eastAsia="Times New Roman" w:hAnsi="Times New Roman" w:cs="Arial"/>
          <w:i/>
          <w:iCs/>
          <w:szCs w:val="24"/>
          <w:lang w:eastAsia="hr-HR"/>
        </w:rPr>
        <w:t>a)</w:t>
      </w:r>
    </w:p>
    <w:p w14:paraId="0D7C0615" w14:textId="77777777" w:rsidR="00D352F8" w:rsidRPr="00C41483" w:rsidRDefault="00D352F8" w:rsidP="006B5133">
      <w:pPr>
        <w:spacing w:after="0" w:line="240" w:lineRule="auto"/>
        <w:jc w:val="both"/>
        <w:rPr>
          <w:rFonts w:ascii="Times New Roman" w:hAnsi="Times New Roman"/>
          <w:sz w:val="24"/>
          <w:szCs w:val="24"/>
        </w:rPr>
      </w:pPr>
    </w:p>
    <w:bookmarkEnd w:id="158"/>
    <w:p w14:paraId="46065A47" w14:textId="3EEC3880" w:rsidR="00D27B67" w:rsidRPr="00C41483" w:rsidRDefault="00516773" w:rsidP="006B5133">
      <w:pPr>
        <w:spacing w:after="0" w:line="240" w:lineRule="auto"/>
        <w:jc w:val="both"/>
        <w:rPr>
          <w:rFonts w:ascii="Times New Roman" w:hAnsi="Times New Roman"/>
          <w:sz w:val="24"/>
          <w:szCs w:val="24"/>
        </w:rPr>
      </w:pPr>
      <w:r w:rsidRPr="00C41483">
        <w:rPr>
          <w:rFonts w:ascii="Times New Roman" w:hAnsi="Times New Roman"/>
          <w:sz w:val="24"/>
          <w:szCs w:val="24"/>
        </w:rPr>
        <w:t>(2</w:t>
      </w:r>
      <w:r w:rsidR="000230C6" w:rsidRPr="00C41483">
        <w:rPr>
          <w:rFonts w:ascii="Times New Roman" w:hAnsi="Times New Roman"/>
          <w:sz w:val="24"/>
          <w:szCs w:val="24"/>
        </w:rPr>
        <w:t>0</w:t>
      </w:r>
      <w:r w:rsidR="00E8616D" w:rsidRPr="00C41483">
        <w:rPr>
          <w:rFonts w:ascii="Times New Roman" w:hAnsi="Times New Roman"/>
          <w:sz w:val="24"/>
          <w:szCs w:val="24"/>
        </w:rPr>
        <w:t>3</w:t>
      </w:r>
      <w:r w:rsidRPr="00C41483">
        <w:rPr>
          <w:rFonts w:ascii="Times New Roman" w:hAnsi="Times New Roman"/>
          <w:sz w:val="24"/>
          <w:szCs w:val="24"/>
        </w:rPr>
        <w:t xml:space="preserve">) </w:t>
      </w:r>
      <w:r w:rsidR="003E3406" w:rsidRPr="00C41483">
        <w:rPr>
          <w:rFonts w:ascii="Times New Roman" w:hAnsi="Times New Roman"/>
          <w:sz w:val="24"/>
          <w:szCs w:val="24"/>
        </w:rPr>
        <w:t>U provedbi javnih politika tijela javne vlasti surađuju s udrugama osiguravanjem različitih oblika financijske i nefinancijske podrške</w:t>
      </w:r>
      <w:r w:rsidR="00D27B67" w:rsidRPr="00C41483">
        <w:rPr>
          <w:rFonts w:ascii="Times New Roman" w:hAnsi="Times New Roman"/>
          <w:sz w:val="24"/>
          <w:szCs w:val="24"/>
        </w:rPr>
        <w:t>, a svako tijelo planira iznos za financiranje temeljem procjene prioritetnih potreba</w:t>
      </w:r>
      <w:r w:rsidR="003E3406" w:rsidRPr="00C41483">
        <w:rPr>
          <w:rFonts w:ascii="Times New Roman" w:hAnsi="Times New Roman"/>
          <w:sz w:val="24"/>
          <w:szCs w:val="24"/>
        </w:rPr>
        <w:t>.</w:t>
      </w:r>
      <w:r w:rsidR="00B66A7B" w:rsidRPr="00C41483">
        <w:rPr>
          <w:rFonts w:ascii="Times New Roman" w:hAnsi="Times New Roman"/>
          <w:sz w:val="24"/>
          <w:szCs w:val="24"/>
        </w:rPr>
        <w:t xml:space="preserve"> S ciljem osiguranja transparentnosti i odgovornosti pri trošenju sredstava poreznih obveznika, 2015. godine </w:t>
      </w:r>
      <w:r w:rsidR="00BC07A7" w:rsidRPr="00C41483">
        <w:rPr>
          <w:rFonts w:ascii="Times New Roman" w:hAnsi="Times New Roman"/>
          <w:sz w:val="24"/>
          <w:szCs w:val="24"/>
        </w:rPr>
        <w:t xml:space="preserve">je </w:t>
      </w:r>
      <w:r w:rsidR="00B66A7B" w:rsidRPr="00C41483">
        <w:rPr>
          <w:rFonts w:ascii="Times New Roman" w:hAnsi="Times New Roman"/>
          <w:sz w:val="24"/>
          <w:szCs w:val="24"/>
        </w:rPr>
        <w:t>don</w:t>
      </w:r>
      <w:r w:rsidR="00BC07A7" w:rsidRPr="00C41483">
        <w:rPr>
          <w:rFonts w:ascii="Times New Roman" w:hAnsi="Times New Roman"/>
          <w:sz w:val="24"/>
          <w:szCs w:val="24"/>
        </w:rPr>
        <w:t>esena</w:t>
      </w:r>
      <w:r w:rsidR="00B66A7B" w:rsidRPr="00C41483">
        <w:rPr>
          <w:rFonts w:ascii="Times New Roman" w:hAnsi="Times New Roman"/>
          <w:sz w:val="24"/>
          <w:szCs w:val="24"/>
        </w:rPr>
        <w:t xml:space="preserve"> Uredb</w:t>
      </w:r>
      <w:r w:rsidR="00BC07A7" w:rsidRPr="00C41483">
        <w:rPr>
          <w:rFonts w:ascii="Times New Roman" w:hAnsi="Times New Roman"/>
          <w:sz w:val="24"/>
          <w:szCs w:val="24"/>
        </w:rPr>
        <w:t>a</w:t>
      </w:r>
      <w:r w:rsidR="00B66A7B" w:rsidRPr="00C41483">
        <w:rPr>
          <w:rFonts w:ascii="Times New Roman" w:hAnsi="Times New Roman"/>
          <w:sz w:val="24"/>
          <w:szCs w:val="24"/>
        </w:rPr>
        <w:t xml:space="preserve"> o kriterijima, mjerilima i postupcima financiranja i ugovaranja programa i projekata od interesa za opće dobro koje provode udruge</w:t>
      </w:r>
      <w:r w:rsidR="00D27B67" w:rsidRPr="00C41483">
        <w:rPr>
          <w:rFonts w:ascii="Times New Roman" w:hAnsi="Times New Roman"/>
          <w:sz w:val="24"/>
          <w:szCs w:val="24"/>
        </w:rPr>
        <w:t xml:space="preserve">. </w:t>
      </w:r>
    </w:p>
    <w:p w14:paraId="67F30261" w14:textId="77777777" w:rsidR="00D352F8" w:rsidRPr="00C41483" w:rsidRDefault="00D352F8" w:rsidP="006B5133">
      <w:pPr>
        <w:spacing w:after="0" w:line="240" w:lineRule="auto"/>
        <w:jc w:val="both"/>
        <w:rPr>
          <w:rFonts w:ascii="Times New Roman" w:hAnsi="Times New Roman"/>
          <w:sz w:val="24"/>
          <w:szCs w:val="24"/>
        </w:rPr>
      </w:pPr>
    </w:p>
    <w:p w14:paraId="60F93240" w14:textId="23ECBA55" w:rsidR="00D352F8" w:rsidRPr="00C41483" w:rsidRDefault="000003D7" w:rsidP="000003D7">
      <w:pPr>
        <w:spacing w:after="0" w:line="240" w:lineRule="auto"/>
        <w:jc w:val="both"/>
        <w:rPr>
          <w:rFonts w:ascii="Times New Roman" w:eastAsia="Times New Roman" w:hAnsi="Times New Roman" w:cs="Arial"/>
          <w:i/>
          <w:iCs/>
          <w:szCs w:val="24"/>
          <w:lang w:eastAsia="hr-HR"/>
        </w:rPr>
      </w:pPr>
      <w:bookmarkStart w:id="159" w:name="_Hlk83815984"/>
      <w:r w:rsidRPr="00C41483">
        <w:rPr>
          <w:rFonts w:ascii="Times New Roman" w:eastAsia="Times New Roman" w:hAnsi="Times New Roman" w:cs="Arial"/>
          <w:i/>
          <w:iCs/>
          <w:szCs w:val="24"/>
          <w:lang w:eastAsia="hr-HR"/>
        </w:rPr>
        <w:t>Pitanje 33b)</w:t>
      </w:r>
    </w:p>
    <w:p w14:paraId="5309B2C4" w14:textId="77777777" w:rsidR="00D352F8" w:rsidRPr="00C41483" w:rsidRDefault="00D352F8" w:rsidP="00D352F8">
      <w:pPr>
        <w:spacing w:after="0" w:line="240" w:lineRule="auto"/>
        <w:jc w:val="both"/>
        <w:rPr>
          <w:rFonts w:ascii="Times New Roman" w:eastAsia="Times New Roman" w:hAnsi="Times New Roman" w:cs="Arial"/>
          <w:i/>
          <w:iCs/>
          <w:szCs w:val="24"/>
          <w:lang w:eastAsia="hr-HR"/>
        </w:rPr>
      </w:pPr>
    </w:p>
    <w:bookmarkEnd w:id="159"/>
    <w:p w14:paraId="76547525" w14:textId="4B861DBC" w:rsidR="00D352F8" w:rsidRPr="00C41483" w:rsidRDefault="00516773" w:rsidP="005E29E8">
      <w:pPr>
        <w:spacing w:after="0" w:line="240" w:lineRule="auto"/>
        <w:jc w:val="both"/>
        <w:rPr>
          <w:rFonts w:ascii="Times New Roman" w:hAnsi="Times New Roman" w:cs="Times New Roman"/>
          <w:sz w:val="24"/>
          <w:szCs w:val="24"/>
        </w:rPr>
      </w:pPr>
      <w:r w:rsidRPr="00C41483">
        <w:rPr>
          <w:rFonts w:ascii="Times New Roman" w:hAnsi="Times New Roman" w:cs="Times New Roman"/>
          <w:sz w:val="24"/>
          <w:szCs w:val="24"/>
        </w:rPr>
        <w:t>(2</w:t>
      </w:r>
      <w:r w:rsidR="000230C6" w:rsidRPr="00C41483">
        <w:rPr>
          <w:rFonts w:ascii="Times New Roman" w:hAnsi="Times New Roman" w:cs="Times New Roman"/>
          <w:sz w:val="24"/>
          <w:szCs w:val="24"/>
        </w:rPr>
        <w:t>0</w:t>
      </w:r>
      <w:r w:rsidR="00E8616D" w:rsidRPr="00C41483">
        <w:rPr>
          <w:rFonts w:ascii="Times New Roman" w:hAnsi="Times New Roman" w:cs="Times New Roman"/>
          <w:sz w:val="24"/>
          <w:szCs w:val="24"/>
        </w:rPr>
        <w:t>4</w:t>
      </w:r>
      <w:r w:rsidRPr="00C41483">
        <w:rPr>
          <w:rFonts w:ascii="Times New Roman" w:hAnsi="Times New Roman" w:cs="Times New Roman"/>
          <w:sz w:val="24"/>
          <w:szCs w:val="24"/>
        </w:rPr>
        <w:t xml:space="preserve">) </w:t>
      </w:r>
      <w:r w:rsidR="005E29E8" w:rsidRPr="00C41483">
        <w:rPr>
          <w:rFonts w:ascii="Times New Roman" w:hAnsi="Times New Roman" w:cs="Times New Roman"/>
          <w:sz w:val="24"/>
          <w:szCs w:val="24"/>
        </w:rPr>
        <w:t xml:space="preserve">Ministarstvo nadležno za socijalnu skrb ima ulogu i odgovornost koordinatora politika usmjerenih osobama s invaliditetom, s obzirom da je provedba </w:t>
      </w:r>
      <w:r w:rsidR="001E4158" w:rsidRPr="00C41483">
        <w:rPr>
          <w:rFonts w:ascii="Times New Roman" w:hAnsi="Times New Roman" w:cs="Times New Roman"/>
          <w:sz w:val="24"/>
          <w:szCs w:val="24"/>
          <w:lang w:eastAsia="hr-HR"/>
        </w:rPr>
        <w:t>KPOSI</w:t>
      </w:r>
      <w:r w:rsidR="005E29E8" w:rsidRPr="00C41483">
        <w:rPr>
          <w:rFonts w:ascii="Times New Roman" w:hAnsi="Times New Roman" w:cs="Times New Roman"/>
          <w:sz w:val="24"/>
          <w:szCs w:val="24"/>
        </w:rPr>
        <w:t xml:space="preserve"> u djelokrugu više središnjih tijela državne uprave, nadležnih za poslove zapošljavanja, rada, pravosuđa, kulture, zdravstva, socijalne skrbi, obrazovanja, znanosti, sporta, graditeljstva i obitelji. U </w:t>
      </w:r>
      <w:r w:rsidR="00D352F8" w:rsidRPr="00C41483">
        <w:rPr>
          <w:rFonts w:ascii="Times New Roman" w:hAnsi="Times New Roman" w:cs="Times New Roman"/>
          <w:sz w:val="24"/>
          <w:szCs w:val="24"/>
        </w:rPr>
        <w:t xml:space="preserve">cilju </w:t>
      </w:r>
      <w:r w:rsidR="005E29E8" w:rsidRPr="00C41483">
        <w:rPr>
          <w:rFonts w:ascii="Times New Roman" w:hAnsi="Times New Roman" w:cs="Times New Roman"/>
          <w:sz w:val="24"/>
          <w:szCs w:val="24"/>
        </w:rPr>
        <w:t>kvalitetne provedbe politika usmjerenih osobama s invaliditetom uspostav</w:t>
      </w:r>
      <w:r w:rsidR="00D352F8" w:rsidRPr="00C41483">
        <w:rPr>
          <w:rFonts w:ascii="Times New Roman" w:hAnsi="Times New Roman" w:cs="Times New Roman"/>
          <w:sz w:val="24"/>
          <w:szCs w:val="24"/>
        </w:rPr>
        <w:t xml:space="preserve">ljena </w:t>
      </w:r>
      <w:r w:rsidR="005E29E8" w:rsidRPr="00C41483">
        <w:rPr>
          <w:rFonts w:ascii="Times New Roman" w:hAnsi="Times New Roman" w:cs="Times New Roman"/>
          <w:sz w:val="24"/>
          <w:szCs w:val="24"/>
        </w:rPr>
        <w:t>je međuresorn</w:t>
      </w:r>
      <w:r w:rsidR="00D352F8" w:rsidRPr="00C41483">
        <w:rPr>
          <w:rFonts w:ascii="Times New Roman" w:hAnsi="Times New Roman" w:cs="Times New Roman"/>
          <w:sz w:val="24"/>
          <w:szCs w:val="24"/>
        </w:rPr>
        <w:t>a</w:t>
      </w:r>
      <w:r w:rsidR="005E29E8" w:rsidRPr="00C41483">
        <w:rPr>
          <w:rFonts w:ascii="Times New Roman" w:hAnsi="Times New Roman" w:cs="Times New Roman"/>
          <w:sz w:val="24"/>
          <w:szCs w:val="24"/>
        </w:rPr>
        <w:t xml:space="preserve"> suradnj</w:t>
      </w:r>
      <w:r w:rsidR="00D352F8" w:rsidRPr="00C41483">
        <w:rPr>
          <w:rFonts w:ascii="Times New Roman" w:hAnsi="Times New Roman" w:cs="Times New Roman"/>
          <w:sz w:val="24"/>
          <w:szCs w:val="24"/>
        </w:rPr>
        <w:t>a</w:t>
      </w:r>
      <w:r w:rsidR="005E29E8" w:rsidRPr="00C41483">
        <w:rPr>
          <w:rFonts w:ascii="Times New Roman" w:hAnsi="Times New Roman" w:cs="Times New Roman"/>
          <w:sz w:val="24"/>
          <w:szCs w:val="24"/>
        </w:rPr>
        <w:t>, te horizontaln</w:t>
      </w:r>
      <w:r w:rsidR="00D352F8" w:rsidRPr="00C41483">
        <w:rPr>
          <w:rFonts w:ascii="Times New Roman" w:hAnsi="Times New Roman" w:cs="Times New Roman"/>
          <w:sz w:val="24"/>
          <w:szCs w:val="24"/>
        </w:rPr>
        <w:t>a</w:t>
      </w:r>
      <w:r w:rsidR="005E29E8" w:rsidRPr="00C41483">
        <w:rPr>
          <w:rFonts w:ascii="Times New Roman" w:hAnsi="Times New Roman" w:cs="Times New Roman"/>
          <w:sz w:val="24"/>
          <w:szCs w:val="24"/>
        </w:rPr>
        <w:t xml:space="preserve"> i vertikaln</w:t>
      </w:r>
      <w:r w:rsidR="00D352F8" w:rsidRPr="00C41483">
        <w:rPr>
          <w:rFonts w:ascii="Times New Roman" w:hAnsi="Times New Roman" w:cs="Times New Roman"/>
          <w:sz w:val="24"/>
          <w:szCs w:val="24"/>
        </w:rPr>
        <w:t>a</w:t>
      </w:r>
      <w:r w:rsidR="005E29E8" w:rsidRPr="00C41483">
        <w:rPr>
          <w:rFonts w:ascii="Times New Roman" w:hAnsi="Times New Roman" w:cs="Times New Roman"/>
          <w:sz w:val="24"/>
          <w:szCs w:val="24"/>
        </w:rPr>
        <w:t xml:space="preserve"> koordinacij</w:t>
      </w:r>
      <w:r w:rsidR="00D352F8" w:rsidRPr="00C41483">
        <w:rPr>
          <w:rFonts w:ascii="Times New Roman" w:hAnsi="Times New Roman" w:cs="Times New Roman"/>
          <w:sz w:val="24"/>
          <w:szCs w:val="24"/>
        </w:rPr>
        <w:t>a</w:t>
      </w:r>
      <w:r w:rsidR="005E29E8" w:rsidRPr="00C41483">
        <w:rPr>
          <w:rFonts w:ascii="Times New Roman" w:hAnsi="Times New Roman" w:cs="Times New Roman"/>
          <w:sz w:val="24"/>
          <w:szCs w:val="24"/>
        </w:rPr>
        <w:t xml:space="preserve"> prilikom izrade, praćenja, provedbe i vrednovanja </w:t>
      </w:r>
      <w:r w:rsidR="00D352F8" w:rsidRPr="00C41483">
        <w:rPr>
          <w:rFonts w:ascii="Times New Roman" w:hAnsi="Times New Roman" w:cs="Times New Roman"/>
          <w:sz w:val="24"/>
          <w:szCs w:val="24"/>
        </w:rPr>
        <w:t>strateških dokumenata.</w:t>
      </w:r>
    </w:p>
    <w:p w14:paraId="68F6A81B" w14:textId="77777777" w:rsidR="00516773" w:rsidRPr="00C41483" w:rsidRDefault="00516773" w:rsidP="005E29E8">
      <w:pPr>
        <w:spacing w:after="0" w:line="240" w:lineRule="auto"/>
        <w:jc w:val="both"/>
        <w:rPr>
          <w:rFonts w:ascii="Times New Roman" w:hAnsi="Times New Roman" w:cs="Times New Roman"/>
          <w:sz w:val="24"/>
          <w:szCs w:val="24"/>
        </w:rPr>
      </w:pPr>
    </w:p>
    <w:p w14:paraId="5AAD38F8" w14:textId="02BE2173" w:rsidR="005E29E8" w:rsidRPr="00C41483" w:rsidRDefault="00516773" w:rsidP="005E29E8">
      <w:pPr>
        <w:spacing w:after="0" w:line="240" w:lineRule="auto"/>
        <w:jc w:val="both"/>
        <w:rPr>
          <w:rFonts w:ascii="Times New Roman" w:hAnsi="Times New Roman" w:cs="Times New Roman"/>
          <w:sz w:val="24"/>
          <w:szCs w:val="24"/>
        </w:rPr>
      </w:pPr>
      <w:r w:rsidRPr="00C41483">
        <w:rPr>
          <w:rFonts w:ascii="Times New Roman" w:hAnsi="Times New Roman" w:cs="Times New Roman"/>
          <w:sz w:val="24"/>
          <w:szCs w:val="24"/>
        </w:rPr>
        <w:t>(2</w:t>
      </w:r>
      <w:r w:rsidR="000230C6" w:rsidRPr="00C41483">
        <w:rPr>
          <w:rFonts w:ascii="Times New Roman" w:hAnsi="Times New Roman" w:cs="Times New Roman"/>
          <w:sz w:val="24"/>
          <w:szCs w:val="24"/>
        </w:rPr>
        <w:t>0</w:t>
      </w:r>
      <w:r w:rsidR="00E8616D" w:rsidRPr="00C41483">
        <w:rPr>
          <w:rFonts w:ascii="Times New Roman" w:hAnsi="Times New Roman" w:cs="Times New Roman"/>
          <w:sz w:val="24"/>
          <w:szCs w:val="24"/>
        </w:rPr>
        <w:t>5</w:t>
      </w:r>
      <w:r w:rsidRPr="00C41483">
        <w:rPr>
          <w:rFonts w:ascii="Times New Roman" w:hAnsi="Times New Roman" w:cs="Times New Roman"/>
          <w:sz w:val="24"/>
          <w:szCs w:val="24"/>
        </w:rPr>
        <w:t xml:space="preserve">) </w:t>
      </w:r>
      <w:r w:rsidR="005E29E8" w:rsidRPr="00C41483">
        <w:rPr>
          <w:rFonts w:ascii="Times New Roman" w:hAnsi="Times New Roman" w:cs="Times New Roman"/>
          <w:sz w:val="24"/>
          <w:szCs w:val="24"/>
        </w:rPr>
        <w:t xml:space="preserve">U provedbi </w:t>
      </w:r>
      <w:r w:rsidR="001E4158" w:rsidRPr="00C41483">
        <w:rPr>
          <w:rFonts w:ascii="Times New Roman" w:hAnsi="Times New Roman" w:cs="Times New Roman"/>
          <w:sz w:val="24"/>
          <w:szCs w:val="24"/>
          <w:lang w:eastAsia="hr-HR"/>
        </w:rPr>
        <w:t>KPOSI</w:t>
      </w:r>
      <w:r w:rsidR="001E4158" w:rsidRPr="00C41483">
        <w:rPr>
          <w:rFonts w:ascii="Times New Roman" w:hAnsi="Times New Roman" w:cs="Times New Roman"/>
          <w:sz w:val="24"/>
          <w:szCs w:val="24"/>
        </w:rPr>
        <w:t xml:space="preserve"> </w:t>
      </w:r>
      <w:r w:rsidR="005E29E8" w:rsidRPr="00C41483">
        <w:rPr>
          <w:rFonts w:ascii="Times New Roman" w:hAnsi="Times New Roman" w:cs="Times New Roman"/>
          <w:sz w:val="24"/>
          <w:szCs w:val="24"/>
        </w:rPr>
        <w:t xml:space="preserve">značajnu ulogu </w:t>
      </w:r>
      <w:r w:rsidR="00D352F8" w:rsidRPr="00C41483">
        <w:rPr>
          <w:rFonts w:ascii="Times New Roman" w:hAnsi="Times New Roman" w:cs="Times New Roman"/>
          <w:sz w:val="24"/>
          <w:szCs w:val="24"/>
        </w:rPr>
        <w:t xml:space="preserve">ima </w:t>
      </w:r>
      <w:r w:rsidR="005E29E8" w:rsidRPr="00C41483">
        <w:rPr>
          <w:rFonts w:ascii="Times New Roman" w:hAnsi="Times New Roman" w:cs="Times New Roman"/>
          <w:sz w:val="24"/>
          <w:szCs w:val="24"/>
        </w:rPr>
        <w:t>Povjerenstv</w:t>
      </w:r>
      <w:r w:rsidR="00D352F8" w:rsidRPr="00C41483">
        <w:rPr>
          <w:rFonts w:ascii="Times New Roman" w:hAnsi="Times New Roman" w:cs="Times New Roman"/>
          <w:sz w:val="24"/>
          <w:szCs w:val="24"/>
        </w:rPr>
        <w:t>o</w:t>
      </w:r>
      <w:r w:rsidR="005E29E8" w:rsidRPr="00C41483">
        <w:rPr>
          <w:rFonts w:ascii="Times New Roman" w:hAnsi="Times New Roman" w:cs="Times New Roman"/>
          <w:sz w:val="24"/>
          <w:szCs w:val="24"/>
        </w:rPr>
        <w:t xml:space="preserve"> Vlade </w:t>
      </w:r>
      <w:r w:rsidR="00D0055C" w:rsidRPr="00C41483">
        <w:rPr>
          <w:rFonts w:ascii="Times New Roman" w:hAnsi="Times New Roman" w:cs="Times New Roman"/>
          <w:sz w:val="24"/>
          <w:szCs w:val="24"/>
        </w:rPr>
        <w:t>RH</w:t>
      </w:r>
      <w:r w:rsidR="005E29E8" w:rsidRPr="00C41483">
        <w:rPr>
          <w:rFonts w:ascii="Times New Roman" w:hAnsi="Times New Roman" w:cs="Times New Roman"/>
          <w:sz w:val="24"/>
          <w:szCs w:val="24"/>
        </w:rPr>
        <w:t xml:space="preserve"> za osobe s invaliditetom koje kao savjetodavno i stručno tijelo Vlade </w:t>
      </w:r>
      <w:r w:rsidR="00D0055C" w:rsidRPr="00C41483">
        <w:rPr>
          <w:rFonts w:ascii="Times New Roman" w:hAnsi="Times New Roman" w:cs="Times New Roman"/>
          <w:sz w:val="24"/>
          <w:szCs w:val="24"/>
        </w:rPr>
        <w:t>RH</w:t>
      </w:r>
      <w:r w:rsidR="005E29E8" w:rsidRPr="00C41483">
        <w:rPr>
          <w:rFonts w:ascii="Times New Roman" w:hAnsi="Times New Roman" w:cs="Times New Roman"/>
          <w:sz w:val="24"/>
          <w:szCs w:val="24"/>
        </w:rPr>
        <w:t xml:space="preserve"> daje prijedloge, mišljenja i stručna obrazloženja iz područja položaja, zaštite i rehabilitacije osoba s invaliditetom i njihovih obitelji, te provodi aktivnosti usmjerene na njihovu dobrobit.</w:t>
      </w:r>
    </w:p>
    <w:p w14:paraId="5D445279" w14:textId="77777777" w:rsidR="00516773" w:rsidRPr="00C41483" w:rsidRDefault="00516773" w:rsidP="005E29E8">
      <w:pPr>
        <w:spacing w:after="0" w:line="240" w:lineRule="auto"/>
        <w:jc w:val="both"/>
        <w:rPr>
          <w:rFonts w:ascii="Times New Roman" w:hAnsi="Times New Roman" w:cs="Times New Roman"/>
          <w:sz w:val="24"/>
          <w:szCs w:val="24"/>
        </w:rPr>
      </w:pPr>
    </w:p>
    <w:p w14:paraId="426F5AE2" w14:textId="0D42F234" w:rsidR="005E29E8" w:rsidRPr="00C41483" w:rsidRDefault="00516773" w:rsidP="005E29E8">
      <w:pPr>
        <w:spacing w:after="0" w:line="240" w:lineRule="auto"/>
        <w:jc w:val="both"/>
        <w:rPr>
          <w:rFonts w:ascii="Times New Roman" w:hAnsi="Times New Roman" w:cs="Times New Roman"/>
          <w:sz w:val="24"/>
          <w:szCs w:val="24"/>
        </w:rPr>
      </w:pPr>
      <w:r w:rsidRPr="00C41483">
        <w:rPr>
          <w:rFonts w:ascii="Times New Roman" w:hAnsi="Times New Roman" w:cs="Times New Roman"/>
          <w:sz w:val="24"/>
          <w:szCs w:val="24"/>
        </w:rPr>
        <w:t>(2</w:t>
      </w:r>
      <w:r w:rsidR="000230C6" w:rsidRPr="00C41483">
        <w:rPr>
          <w:rFonts w:ascii="Times New Roman" w:hAnsi="Times New Roman" w:cs="Times New Roman"/>
          <w:sz w:val="24"/>
          <w:szCs w:val="24"/>
        </w:rPr>
        <w:t>0</w:t>
      </w:r>
      <w:r w:rsidR="00E8616D" w:rsidRPr="00C41483">
        <w:rPr>
          <w:rFonts w:ascii="Times New Roman" w:hAnsi="Times New Roman" w:cs="Times New Roman"/>
          <w:sz w:val="24"/>
          <w:szCs w:val="24"/>
        </w:rPr>
        <w:t>6</w:t>
      </w:r>
      <w:r w:rsidRPr="00C41483">
        <w:rPr>
          <w:rFonts w:ascii="Times New Roman" w:hAnsi="Times New Roman" w:cs="Times New Roman"/>
          <w:sz w:val="24"/>
          <w:szCs w:val="24"/>
        </w:rPr>
        <w:t xml:space="preserve">) </w:t>
      </w:r>
      <w:r w:rsidR="005E29E8" w:rsidRPr="00C41483">
        <w:rPr>
          <w:rFonts w:ascii="Times New Roman" w:hAnsi="Times New Roman" w:cs="Times New Roman"/>
          <w:sz w:val="24"/>
          <w:szCs w:val="24"/>
        </w:rPr>
        <w:t>Ured pravobraniteljice za osobe s invaliditetom kao nezavisni mehanizam ima značajnu ulogu u praćenju izvršavanja obveza R</w:t>
      </w:r>
      <w:r w:rsidR="00905964" w:rsidRPr="00C41483">
        <w:rPr>
          <w:rFonts w:ascii="Times New Roman" w:hAnsi="Times New Roman" w:cs="Times New Roman"/>
          <w:sz w:val="24"/>
          <w:szCs w:val="24"/>
        </w:rPr>
        <w:t>H</w:t>
      </w:r>
      <w:r w:rsidR="005E29E8" w:rsidRPr="00C41483">
        <w:rPr>
          <w:rFonts w:ascii="Times New Roman" w:hAnsi="Times New Roman" w:cs="Times New Roman"/>
          <w:sz w:val="24"/>
          <w:szCs w:val="24"/>
        </w:rPr>
        <w:t xml:space="preserve"> koje proizlaze iz međunarodnih dokumenata te praćenju primjene politika, nacionalnih strategija i programa RH koji se odnose na zaštitu prava i interesa osoba s invaliditetom. </w:t>
      </w:r>
    </w:p>
    <w:p w14:paraId="7B9E6F00" w14:textId="77777777" w:rsidR="00516773" w:rsidRPr="00C41483" w:rsidRDefault="00516773" w:rsidP="005E29E8">
      <w:pPr>
        <w:spacing w:after="0" w:line="240" w:lineRule="auto"/>
        <w:jc w:val="both"/>
        <w:rPr>
          <w:rFonts w:ascii="Times New Roman" w:hAnsi="Times New Roman" w:cs="Times New Roman"/>
          <w:sz w:val="24"/>
          <w:szCs w:val="24"/>
        </w:rPr>
      </w:pPr>
    </w:p>
    <w:p w14:paraId="44FE734F" w14:textId="5EAEC1E6" w:rsidR="001A2F17" w:rsidRDefault="00516773" w:rsidP="005E29E8">
      <w:pPr>
        <w:spacing w:after="0" w:line="240" w:lineRule="auto"/>
        <w:jc w:val="both"/>
        <w:rPr>
          <w:rFonts w:ascii="Times New Roman" w:hAnsi="Times New Roman" w:cs="Times New Roman"/>
          <w:sz w:val="24"/>
          <w:szCs w:val="24"/>
        </w:rPr>
      </w:pPr>
      <w:r w:rsidRPr="00C41483">
        <w:rPr>
          <w:rFonts w:ascii="Times New Roman" w:hAnsi="Times New Roman" w:cs="Times New Roman"/>
          <w:sz w:val="24"/>
          <w:szCs w:val="24"/>
        </w:rPr>
        <w:t>(2</w:t>
      </w:r>
      <w:r w:rsidR="000230C6" w:rsidRPr="00C41483">
        <w:rPr>
          <w:rFonts w:ascii="Times New Roman" w:hAnsi="Times New Roman" w:cs="Times New Roman"/>
          <w:sz w:val="24"/>
          <w:szCs w:val="24"/>
        </w:rPr>
        <w:t>0</w:t>
      </w:r>
      <w:r w:rsidR="00E8616D" w:rsidRPr="00C41483">
        <w:rPr>
          <w:rFonts w:ascii="Times New Roman" w:hAnsi="Times New Roman" w:cs="Times New Roman"/>
          <w:sz w:val="24"/>
          <w:szCs w:val="24"/>
        </w:rPr>
        <w:t>7</w:t>
      </w:r>
      <w:r w:rsidRPr="00C41483">
        <w:rPr>
          <w:rFonts w:ascii="Times New Roman" w:hAnsi="Times New Roman" w:cs="Times New Roman"/>
          <w:sz w:val="24"/>
          <w:szCs w:val="24"/>
        </w:rPr>
        <w:t xml:space="preserve">) </w:t>
      </w:r>
      <w:r w:rsidR="00D352F8" w:rsidRPr="00C41483">
        <w:rPr>
          <w:rFonts w:ascii="Times New Roman" w:hAnsi="Times New Roman" w:cs="Times New Roman"/>
          <w:sz w:val="24"/>
          <w:szCs w:val="24"/>
        </w:rPr>
        <w:t>O</w:t>
      </w:r>
      <w:r w:rsidR="005E29E8" w:rsidRPr="00C41483">
        <w:rPr>
          <w:rFonts w:ascii="Times New Roman" w:hAnsi="Times New Roman" w:cs="Times New Roman"/>
          <w:sz w:val="24"/>
          <w:szCs w:val="24"/>
        </w:rPr>
        <w:t>rganizacij</w:t>
      </w:r>
      <w:r w:rsidR="00D352F8" w:rsidRPr="00C41483">
        <w:rPr>
          <w:rFonts w:ascii="Times New Roman" w:hAnsi="Times New Roman" w:cs="Times New Roman"/>
          <w:sz w:val="24"/>
          <w:szCs w:val="24"/>
        </w:rPr>
        <w:t>e</w:t>
      </w:r>
      <w:r w:rsidR="005E29E8" w:rsidRPr="00C41483">
        <w:rPr>
          <w:rFonts w:ascii="Times New Roman" w:hAnsi="Times New Roman" w:cs="Times New Roman"/>
          <w:sz w:val="24"/>
          <w:szCs w:val="24"/>
        </w:rPr>
        <w:t xml:space="preserve"> osoba s invaliditetom i ostal</w:t>
      </w:r>
      <w:r w:rsidR="00D352F8" w:rsidRPr="00C41483">
        <w:rPr>
          <w:rFonts w:ascii="Times New Roman" w:hAnsi="Times New Roman" w:cs="Times New Roman"/>
          <w:sz w:val="24"/>
          <w:szCs w:val="24"/>
        </w:rPr>
        <w:t>e</w:t>
      </w:r>
      <w:r w:rsidR="005E29E8" w:rsidRPr="00C41483">
        <w:rPr>
          <w:rFonts w:ascii="Times New Roman" w:hAnsi="Times New Roman" w:cs="Times New Roman"/>
          <w:sz w:val="24"/>
          <w:szCs w:val="24"/>
        </w:rPr>
        <w:t xml:space="preserve"> organizacij</w:t>
      </w:r>
      <w:r w:rsidR="00D352F8" w:rsidRPr="00C41483">
        <w:rPr>
          <w:rFonts w:ascii="Times New Roman" w:hAnsi="Times New Roman" w:cs="Times New Roman"/>
          <w:sz w:val="24"/>
          <w:szCs w:val="24"/>
        </w:rPr>
        <w:t>e</w:t>
      </w:r>
      <w:r w:rsidR="005E29E8" w:rsidRPr="00C41483">
        <w:rPr>
          <w:rFonts w:ascii="Times New Roman" w:hAnsi="Times New Roman" w:cs="Times New Roman"/>
          <w:sz w:val="24"/>
          <w:szCs w:val="24"/>
        </w:rPr>
        <w:t xml:space="preserve"> civilnog društva važni</w:t>
      </w:r>
      <w:r w:rsidR="00D352F8" w:rsidRPr="00C41483">
        <w:rPr>
          <w:rFonts w:ascii="Times New Roman" w:hAnsi="Times New Roman" w:cs="Times New Roman"/>
          <w:sz w:val="24"/>
          <w:szCs w:val="24"/>
        </w:rPr>
        <w:t xml:space="preserve"> su </w:t>
      </w:r>
      <w:r w:rsidR="005E29E8" w:rsidRPr="00C41483">
        <w:rPr>
          <w:rFonts w:ascii="Times New Roman" w:hAnsi="Times New Roman" w:cs="Times New Roman"/>
          <w:sz w:val="24"/>
          <w:szCs w:val="24"/>
        </w:rPr>
        <w:t>partner</w:t>
      </w:r>
      <w:r w:rsidR="00D352F8" w:rsidRPr="00C41483">
        <w:rPr>
          <w:rFonts w:ascii="Times New Roman" w:hAnsi="Times New Roman" w:cs="Times New Roman"/>
          <w:sz w:val="24"/>
          <w:szCs w:val="24"/>
        </w:rPr>
        <w:t>i</w:t>
      </w:r>
      <w:r w:rsidR="005E29E8" w:rsidRPr="00C41483">
        <w:rPr>
          <w:rFonts w:ascii="Times New Roman" w:hAnsi="Times New Roman" w:cs="Times New Roman"/>
          <w:sz w:val="24"/>
          <w:szCs w:val="24"/>
        </w:rPr>
        <w:t xml:space="preserve"> u procesu kreiranja i praćenja politika usmjerenih prema osobama s invaliditetom i praćenju primjene </w:t>
      </w:r>
      <w:r w:rsidR="001E4158" w:rsidRPr="00C41483">
        <w:rPr>
          <w:rFonts w:ascii="Times New Roman" w:hAnsi="Times New Roman" w:cs="Times New Roman"/>
          <w:sz w:val="24"/>
          <w:szCs w:val="24"/>
          <w:lang w:eastAsia="hr-HR"/>
        </w:rPr>
        <w:t>K</w:t>
      </w:r>
      <w:r w:rsidR="006D30D3">
        <w:rPr>
          <w:rFonts w:ascii="Times New Roman" w:hAnsi="Times New Roman" w:cs="Times New Roman"/>
          <w:sz w:val="24"/>
          <w:szCs w:val="24"/>
          <w:lang w:eastAsia="hr-HR"/>
        </w:rPr>
        <w:t>P</w:t>
      </w:r>
      <w:r w:rsidR="001E4158" w:rsidRPr="00C41483">
        <w:rPr>
          <w:rFonts w:ascii="Times New Roman" w:hAnsi="Times New Roman" w:cs="Times New Roman"/>
          <w:sz w:val="24"/>
          <w:szCs w:val="24"/>
          <w:lang w:eastAsia="hr-HR"/>
        </w:rPr>
        <w:t>OSI</w:t>
      </w:r>
      <w:r w:rsidR="005E29E8" w:rsidRPr="00C41483">
        <w:rPr>
          <w:rFonts w:ascii="Times New Roman" w:hAnsi="Times New Roman" w:cs="Times New Roman"/>
          <w:sz w:val="24"/>
          <w:szCs w:val="24"/>
        </w:rPr>
        <w:t xml:space="preserve"> te izvještavanju o primjeni iste putem alternativnih/paralelnih izvješća.</w:t>
      </w:r>
    </w:p>
    <w:p w14:paraId="71516E2B" w14:textId="1B00335A" w:rsidR="001A2F17" w:rsidRDefault="001A2F17">
      <w:pPr>
        <w:rPr>
          <w:rFonts w:ascii="Times New Roman" w:hAnsi="Times New Roman" w:cs="Times New Roman"/>
          <w:sz w:val="24"/>
          <w:szCs w:val="24"/>
        </w:rPr>
      </w:pPr>
    </w:p>
    <w:p w14:paraId="59945E08" w14:textId="39FA6841" w:rsidR="005F3233" w:rsidRPr="001A2F17" w:rsidRDefault="005F3233" w:rsidP="001A2F17">
      <w:pPr>
        <w:pStyle w:val="Naslov1"/>
        <w:rPr>
          <w:rFonts w:ascii="Times New Roman" w:eastAsia="MS Mincho" w:hAnsi="Times New Roman" w:cs="Times New Roman"/>
          <w:b/>
          <w:bCs/>
          <w:color w:val="auto"/>
          <w:sz w:val="24"/>
          <w:szCs w:val="24"/>
          <w:lang w:val="en-US" w:eastAsia="ja-JP"/>
        </w:rPr>
      </w:pPr>
      <w:bookmarkStart w:id="160" w:name="_Toc88031211"/>
      <w:proofErr w:type="spellStart"/>
      <w:r w:rsidRPr="001A2F17">
        <w:rPr>
          <w:rFonts w:ascii="Times New Roman" w:eastAsia="MS Mincho" w:hAnsi="Times New Roman" w:cs="Times New Roman"/>
          <w:b/>
          <w:bCs/>
          <w:color w:val="auto"/>
          <w:sz w:val="24"/>
          <w:szCs w:val="24"/>
          <w:lang w:val="en-US" w:eastAsia="ja-JP"/>
        </w:rPr>
        <w:t>P</w:t>
      </w:r>
      <w:r w:rsidR="001A2F17">
        <w:rPr>
          <w:rFonts w:ascii="Times New Roman" w:eastAsia="MS Mincho" w:hAnsi="Times New Roman" w:cs="Times New Roman"/>
          <w:b/>
          <w:bCs/>
          <w:color w:val="auto"/>
          <w:sz w:val="24"/>
          <w:szCs w:val="24"/>
          <w:lang w:val="en-US" w:eastAsia="ja-JP"/>
        </w:rPr>
        <w:t>rilozi</w:t>
      </w:r>
      <w:bookmarkEnd w:id="160"/>
      <w:proofErr w:type="spellEnd"/>
    </w:p>
    <w:p w14:paraId="62BDB70D" w14:textId="77777777" w:rsidR="005F3233" w:rsidRDefault="005F3233" w:rsidP="005F3233">
      <w:pPr>
        <w:spacing w:after="0" w:line="240" w:lineRule="auto"/>
        <w:outlineLvl w:val="1"/>
        <w:rPr>
          <w:rFonts w:ascii="Times New Roman" w:eastAsia="MS Mincho" w:hAnsi="Times New Roman" w:cs="Times New Roman"/>
          <w:b/>
          <w:sz w:val="24"/>
          <w:szCs w:val="24"/>
          <w:u w:val="single"/>
          <w:lang w:val="en-US" w:eastAsia="ja-JP"/>
        </w:rPr>
      </w:pPr>
    </w:p>
    <w:p w14:paraId="19281DA3" w14:textId="70752835" w:rsidR="005F3233" w:rsidRPr="00816216" w:rsidRDefault="005F3233" w:rsidP="00816216">
      <w:pPr>
        <w:spacing w:after="0" w:line="240" w:lineRule="auto"/>
        <w:rPr>
          <w:rFonts w:ascii="Times New Roman" w:hAnsi="Times New Roman" w:cs="Times New Roman"/>
          <w:b/>
          <w:bCs/>
          <w:sz w:val="24"/>
          <w:szCs w:val="24"/>
          <w:u w:val="single"/>
        </w:rPr>
      </w:pPr>
      <w:r w:rsidRPr="00816216">
        <w:rPr>
          <w:rFonts w:ascii="Times New Roman" w:hAnsi="Times New Roman" w:cs="Times New Roman"/>
          <w:b/>
          <w:bCs/>
          <w:sz w:val="24"/>
          <w:szCs w:val="24"/>
          <w:u w:val="single"/>
        </w:rPr>
        <w:t>Prilog 1</w:t>
      </w:r>
    </w:p>
    <w:p w14:paraId="3305B0BD" w14:textId="77777777" w:rsidR="005F3233" w:rsidRPr="00057759" w:rsidRDefault="005F3233" w:rsidP="00816216">
      <w:pPr>
        <w:spacing w:after="0" w:line="240" w:lineRule="auto"/>
        <w:outlineLvl w:val="1"/>
        <w:rPr>
          <w:rFonts w:ascii="Times New Roman" w:eastAsia="MS Mincho" w:hAnsi="Times New Roman" w:cs="Times New Roman"/>
          <w:b/>
          <w:sz w:val="24"/>
          <w:szCs w:val="24"/>
          <w:u w:val="single"/>
          <w:lang w:val="en-US" w:eastAsia="ja-JP"/>
        </w:rPr>
      </w:pPr>
    </w:p>
    <w:p w14:paraId="7C5A07D1" w14:textId="77777777" w:rsidR="005F3233" w:rsidRPr="005F3233" w:rsidRDefault="005F3233" w:rsidP="00816216">
      <w:pPr>
        <w:spacing w:after="0" w:line="240" w:lineRule="auto"/>
        <w:jc w:val="center"/>
        <w:rPr>
          <w:rFonts w:ascii="Times New Roman" w:hAnsi="Times New Roman" w:cs="Times New Roman"/>
          <w:sz w:val="24"/>
          <w:szCs w:val="24"/>
        </w:rPr>
      </w:pPr>
      <w:r w:rsidRPr="005F3233">
        <w:rPr>
          <w:rFonts w:ascii="Times New Roman" w:hAnsi="Times New Roman" w:cs="Times New Roman"/>
          <w:sz w:val="24"/>
          <w:szCs w:val="24"/>
        </w:rPr>
        <w:t>MAPIRANJE PROPISA</w:t>
      </w:r>
    </w:p>
    <w:p w14:paraId="5F3543B3" w14:textId="77777777" w:rsidR="005F3233" w:rsidRPr="00057759" w:rsidRDefault="005F3233" w:rsidP="00816216">
      <w:pPr>
        <w:spacing w:after="0" w:line="240" w:lineRule="auto"/>
        <w:outlineLvl w:val="1"/>
        <w:rPr>
          <w:rFonts w:ascii="Times New Roman" w:eastAsia="MS Mincho" w:hAnsi="Times New Roman" w:cs="Times New Roman"/>
          <w:b/>
          <w:sz w:val="24"/>
          <w:szCs w:val="24"/>
          <w:u w:val="single"/>
          <w:lang w:val="en-US" w:eastAsia="ja-JP"/>
        </w:rPr>
      </w:pPr>
    </w:p>
    <w:p w14:paraId="197311E1" w14:textId="77777777" w:rsidR="005F3233" w:rsidRPr="00057759" w:rsidRDefault="005F3233" w:rsidP="00816216">
      <w:pPr>
        <w:spacing w:after="0" w:line="240" w:lineRule="auto"/>
        <w:rPr>
          <w:rFonts w:ascii="Times New Roman" w:hAnsi="Times New Roman" w:cs="Times New Roman"/>
          <w:sz w:val="24"/>
          <w:szCs w:val="24"/>
        </w:rPr>
      </w:pPr>
      <w:r w:rsidRPr="00057759">
        <w:rPr>
          <w:rFonts w:ascii="Times New Roman" w:hAnsi="Times New Roman" w:cs="Times New Roman"/>
          <w:sz w:val="24"/>
          <w:szCs w:val="24"/>
        </w:rPr>
        <w:t xml:space="preserve">Nositelj provedbe aktivnosti: Ministarstvo nadležno za područje socijalne skrbi i Povjerenstvo vlade Republike Hrvatske za osobe s invaliditetom </w:t>
      </w:r>
    </w:p>
    <w:p w14:paraId="6E81B522" w14:textId="77777777" w:rsidR="005F3233" w:rsidRPr="00057759" w:rsidRDefault="005F3233" w:rsidP="005F3233">
      <w:pPr>
        <w:spacing w:after="0"/>
        <w:rPr>
          <w:rFonts w:ascii="Times New Roman" w:hAnsi="Times New Roman" w:cs="Times New Roman"/>
          <w:sz w:val="24"/>
          <w:szCs w:val="24"/>
        </w:rPr>
      </w:pPr>
    </w:p>
    <w:p w14:paraId="010ED5BD" w14:textId="77777777" w:rsidR="005F3233" w:rsidRPr="00057759" w:rsidRDefault="005F3233" w:rsidP="005F3233">
      <w:pPr>
        <w:spacing w:after="0"/>
        <w:rPr>
          <w:rFonts w:ascii="Times New Roman" w:hAnsi="Times New Roman" w:cs="Times New Roman"/>
          <w:sz w:val="24"/>
          <w:szCs w:val="24"/>
        </w:rPr>
      </w:pPr>
      <w:proofErr w:type="spellStart"/>
      <w:r w:rsidRPr="00057759">
        <w:rPr>
          <w:rFonts w:ascii="Times New Roman" w:hAnsi="Times New Roman" w:cs="Times New Roman"/>
          <w:sz w:val="24"/>
          <w:szCs w:val="24"/>
        </w:rPr>
        <w:t>Sunositelji</w:t>
      </w:r>
      <w:proofErr w:type="spellEnd"/>
      <w:r w:rsidRPr="00057759">
        <w:rPr>
          <w:rFonts w:ascii="Times New Roman" w:hAnsi="Times New Roman" w:cs="Times New Roman"/>
          <w:sz w:val="24"/>
          <w:szCs w:val="24"/>
        </w:rPr>
        <w:t xml:space="preserve"> provedbe aktivnosti: nadležna tijela državne uprave i udruge osoba s invaliditetom</w:t>
      </w:r>
    </w:p>
    <w:p w14:paraId="312A54DB" w14:textId="77777777" w:rsidR="005F3233" w:rsidRPr="00057759" w:rsidRDefault="005F3233" w:rsidP="005F3233">
      <w:pPr>
        <w:spacing w:after="0"/>
        <w:rPr>
          <w:rFonts w:ascii="Times New Roman" w:hAnsi="Times New Roman" w:cs="Times New Roman"/>
          <w:sz w:val="24"/>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8"/>
        <w:gridCol w:w="36"/>
        <w:gridCol w:w="6662"/>
      </w:tblGrid>
      <w:tr w:rsidR="005F3233" w:rsidRPr="00057759" w14:paraId="6F6A61FE" w14:textId="77777777" w:rsidTr="00816216">
        <w:tc>
          <w:tcPr>
            <w:tcW w:w="3078" w:type="dxa"/>
            <w:shd w:val="clear" w:color="auto" w:fill="F2F2F2" w:themeFill="background1" w:themeFillShade="F2"/>
          </w:tcPr>
          <w:p w14:paraId="40061AF2" w14:textId="77777777"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t>Tijelo državne uprave koje dostavlja podatke</w:t>
            </w:r>
          </w:p>
        </w:tc>
        <w:tc>
          <w:tcPr>
            <w:tcW w:w="6698" w:type="dxa"/>
            <w:gridSpan w:val="2"/>
            <w:shd w:val="clear" w:color="auto" w:fill="E2EFD9" w:themeFill="accent6" w:themeFillTint="33"/>
            <w:vAlign w:val="center"/>
          </w:tcPr>
          <w:p w14:paraId="45447C89" w14:textId="77777777"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t xml:space="preserve">MINISTARSTVO TURIZMA </w:t>
            </w:r>
          </w:p>
        </w:tc>
      </w:tr>
      <w:tr w:rsidR="005F3233" w:rsidRPr="00057759" w14:paraId="51459017" w14:textId="77777777" w:rsidTr="005F3233">
        <w:tc>
          <w:tcPr>
            <w:tcW w:w="3078" w:type="dxa"/>
            <w:shd w:val="clear" w:color="auto" w:fill="F2F2F2" w:themeFill="background1" w:themeFillShade="F2"/>
          </w:tcPr>
          <w:p w14:paraId="5F3E3F63" w14:textId="77777777"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t>Ukupan broj propisa u  nadležnosti Ministarstva</w:t>
            </w:r>
          </w:p>
        </w:tc>
        <w:tc>
          <w:tcPr>
            <w:tcW w:w="6698" w:type="dxa"/>
            <w:gridSpan w:val="2"/>
          </w:tcPr>
          <w:p w14:paraId="7212AB61" w14:textId="77777777"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t>5 zakona s pripadajućim provedbenim propisima</w:t>
            </w:r>
          </w:p>
        </w:tc>
      </w:tr>
      <w:tr w:rsidR="005F3233" w:rsidRPr="00057759" w14:paraId="25EFCFD7" w14:textId="77777777" w:rsidTr="005F3233">
        <w:tc>
          <w:tcPr>
            <w:tcW w:w="3078" w:type="dxa"/>
            <w:shd w:val="clear" w:color="auto" w:fill="F2F2F2" w:themeFill="background1" w:themeFillShade="F2"/>
          </w:tcPr>
          <w:p w14:paraId="74B592E7" w14:textId="77777777"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t>Ukupan broj propisa iz Vaše nadležnosti koji je usklađen s UN Konvencijom o pravima osoba s invaliditetom</w:t>
            </w:r>
          </w:p>
        </w:tc>
        <w:tc>
          <w:tcPr>
            <w:tcW w:w="6698" w:type="dxa"/>
            <w:gridSpan w:val="2"/>
          </w:tcPr>
          <w:p w14:paraId="74D18BDF" w14:textId="77777777"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t>3</w:t>
            </w:r>
          </w:p>
        </w:tc>
      </w:tr>
      <w:tr w:rsidR="005F3233" w:rsidRPr="00057759" w14:paraId="407A5715" w14:textId="77777777" w:rsidTr="003B1D7E">
        <w:trPr>
          <w:trHeight w:val="865"/>
        </w:trPr>
        <w:tc>
          <w:tcPr>
            <w:tcW w:w="3078" w:type="dxa"/>
            <w:vMerge w:val="restart"/>
            <w:shd w:val="clear" w:color="auto" w:fill="F2F2F2" w:themeFill="background1" w:themeFillShade="F2"/>
          </w:tcPr>
          <w:p w14:paraId="7C053F3F" w14:textId="77777777" w:rsidR="005F3233" w:rsidRPr="00057759" w:rsidRDefault="005F3233" w:rsidP="005F3233">
            <w:pPr>
              <w:spacing w:after="0"/>
              <w:rPr>
                <w:rFonts w:ascii="Times New Roman" w:hAnsi="Times New Roman" w:cs="Times New Roman"/>
                <w:sz w:val="24"/>
                <w:szCs w:val="24"/>
              </w:rPr>
            </w:pPr>
            <w:bookmarkStart w:id="161" w:name="_Hlk29901530"/>
            <w:r w:rsidRPr="00057759">
              <w:rPr>
                <w:rFonts w:ascii="Times New Roman" w:hAnsi="Times New Roman" w:cs="Times New Roman"/>
                <w:sz w:val="24"/>
                <w:szCs w:val="24"/>
              </w:rPr>
              <w:t xml:space="preserve">Naziv nacionalnog propisa koji je usklađen s UN Konvencijom o pravima osoba s invaliditetom </w:t>
            </w:r>
          </w:p>
          <w:p w14:paraId="70585369" w14:textId="77777777" w:rsidR="005F3233" w:rsidRPr="00057759" w:rsidRDefault="005F3233" w:rsidP="005F3233">
            <w:pPr>
              <w:spacing w:after="0"/>
              <w:rPr>
                <w:rFonts w:ascii="Times New Roman" w:hAnsi="Times New Roman" w:cs="Times New Roman"/>
                <w:sz w:val="24"/>
                <w:szCs w:val="24"/>
              </w:rPr>
            </w:pPr>
          </w:p>
          <w:p w14:paraId="10F894BC" w14:textId="567E4FDE"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t>U kojem djelu se izvršilo usklađivanje</w:t>
            </w:r>
          </w:p>
        </w:tc>
        <w:tc>
          <w:tcPr>
            <w:tcW w:w="6698" w:type="dxa"/>
            <w:gridSpan w:val="2"/>
            <w:shd w:val="clear" w:color="auto" w:fill="D9E2F3" w:themeFill="accent1" w:themeFillTint="33"/>
          </w:tcPr>
          <w:p w14:paraId="2B6EB9E1" w14:textId="77777777"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t xml:space="preserve">Zakon turističkoj pristojbi </w:t>
            </w:r>
          </w:p>
          <w:p w14:paraId="51DDAE73" w14:textId="77777777"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t>(Narodne  novine, broj 52/19)</w:t>
            </w:r>
          </w:p>
        </w:tc>
      </w:tr>
      <w:bookmarkEnd w:id="161"/>
      <w:tr w:rsidR="005F3233" w:rsidRPr="00057759" w14:paraId="577A14B5" w14:textId="77777777" w:rsidTr="005F3233">
        <w:trPr>
          <w:trHeight w:val="810"/>
        </w:trPr>
        <w:tc>
          <w:tcPr>
            <w:tcW w:w="3078" w:type="dxa"/>
            <w:vMerge/>
            <w:shd w:val="clear" w:color="auto" w:fill="F2F2F2" w:themeFill="background1" w:themeFillShade="F2"/>
          </w:tcPr>
          <w:p w14:paraId="306B8A49" w14:textId="77777777" w:rsidR="005F3233" w:rsidRPr="00057759" w:rsidRDefault="005F3233" w:rsidP="005F3233">
            <w:pPr>
              <w:spacing w:after="0"/>
              <w:rPr>
                <w:rFonts w:ascii="Times New Roman" w:hAnsi="Times New Roman" w:cs="Times New Roman"/>
                <w:sz w:val="24"/>
                <w:szCs w:val="24"/>
              </w:rPr>
            </w:pPr>
          </w:p>
        </w:tc>
        <w:tc>
          <w:tcPr>
            <w:tcW w:w="6698" w:type="dxa"/>
            <w:gridSpan w:val="2"/>
          </w:tcPr>
          <w:p w14:paraId="28A4DB34" w14:textId="77777777"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t>Članak 5. stavak 1. točka 2.</w:t>
            </w:r>
          </w:p>
        </w:tc>
      </w:tr>
      <w:tr w:rsidR="005F3233" w:rsidRPr="00057759" w14:paraId="1AB7A014" w14:textId="77777777" w:rsidTr="005F3233">
        <w:trPr>
          <w:trHeight w:val="870"/>
        </w:trPr>
        <w:tc>
          <w:tcPr>
            <w:tcW w:w="3078" w:type="dxa"/>
            <w:vMerge w:val="restart"/>
            <w:shd w:val="clear" w:color="auto" w:fill="F2F2F2" w:themeFill="background1" w:themeFillShade="F2"/>
          </w:tcPr>
          <w:p w14:paraId="01795427" w14:textId="77777777"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t xml:space="preserve">Naziv nacionalnog propisa koji je usklađen s UN Konvencijom o pravima osoba s invaliditetom </w:t>
            </w:r>
          </w:p>
          <w:p w14:paraId="269DFAF7" w14:textId="77777777" w:rsidR="005F3233" w:rsidRPr="00057759" w:rsidRDefault="005F3233" w:rsidP="005F3233">
            <w:pPr>
              <w:spacing w:after="0"/>
              <w:rPr>
                <w:rFonts w:ascii="Times New Roman" w:hAnsi="Times New Roman" w:cs="Times New Roman"/>
                <w:sz w:val="24"/>
                <w:szCs w:val="24"/>
              </w:rPr>
            </w:pPr>
          </w:p>
          <w:p w14:paraId="15B1A250" w14:textId="77777777" w:rsidR="005F3233" w:rsidRPr="00057759" w:rsidRDefault="005F3233" w:rsidP="005F3233">
            <w:pPr>
              <w:spacing w:after="0"/>
              <w:rPr>
                <w:rFonts w:ascii="Times New Roman" w:hAnsi="Times New Roman" w:cs="Times New Roman"/>
                <w:sz w:val="24"/>
                <w:szCs w:val="24"/>
              </w:rPr>
            </w:pPr>
          </w:p>
          <w:p w14:paraId="5AAC881A" w14:textId="77777777" w:rsidR="005F3233" w:rsidRPr="00057759" w:rsidRDefault="005F3233" w:rsidP="005F3233">
            <w:pPr>
              <w:spacing w:after="0"/>
              <w:rPr>
                <w:rFonts w:ascii="Times New Roman" w:hAnsi="Times New Roman" w:cs="Times New Roman"/>
                <w:sz w:val="24"/>
                <w:szCs w:val="24"/>
              </w:rPr>
            </w:pPr>
          </w:p>
          <w:p w14:paraId="789AC3BD" w14:textId="778FC1A4"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t>U kojem djelu se izvršilo usklađivanje</w:t>
            </w:r>
          </w:p>
        </w:tc>
        <w:tc>
          <w:tcPr>
            <w:tcW w:w="6698" w:type="dxa"/>
            <w:gridSpan w:val="2"/>
            <w:shd w:val="clear" w:color="auto" w:fill="D9E2F3" w:themeFill="accent1" w:themeFillTint="33"/>
          </w:tcPr>
          <w:p w14:paraId="645421C5" w14:textId="77777777"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t xml:space="preserve">Zakon o ugostiteljskoj djelatnosti </w:t>
            </w:r>
          </w:p>
          <w:p w14:paraId="0AA06301" w14:textId="77777777"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t>(Narodne novine, br. 85/15, 121/16, 99/18, 25/19 i 98/19)</w:t>
            </w:r>
          </w:p>
          <w:p w14:paraId="4602C813" w14:textId="77777777" w:rsidR="005F3233" w:rsidRPr="00057759" w:rsidRDefault="005F3233" w:rsidP="005F3233">
            <w:pPr>
              <w:spacing w:after="0"/>
              <w:rPr>
                <w:rFonts w:ascii="Times New Roman" w:hAnsi="Times New Roman" w:cs="Times New Roman"/>
                <w:sz w:val="24"/>
                <w:szCs w:val="24"/>
              </w:rPr>
            </w:pPr>
          </w:p>
          <w:p w14:paraId="73C248E8" w14:textId="77777777"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t>Pravilnik o razvrstavanju i kategorizaciji ugostiteljskih objekata iz skupine Kampovi</w:t>
            </w:r>
          </w:p>
          <w:p w14:paraId="7F73DB79" w14:textId="77777777"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t xml:space="preserve"> (Narodne novine, br. 54/16, 68/19 i 120/19)</w:t>
            </w:r>
          </w:p>
        </w:tc>
      </w:tr>
      <w:tr w:rsidR="005F3233" w:rsidRPr="00057759" w14:paraId="063FF03F" w14:textId="77777777" w:rsidTr="005F3233">
        <w:trPr>
          <w:trHeight w:val="771"/>
        </w:trPr>
        <w:tc>
          <w:tcPr>
            <w:tcW w:w="3078" w:type="dxa"/>
            <w:vMerge/>
            <w:shd w:val="clear" w:color="auto" w:fill="F2F2F2" w:themeFill="background1" w:themeFillShade="F2"/>
          </w:tcPr>
          <w:p w14:paraId="1184E121" w14:textId="77777777" w:rsidR="005F3233" w:rsidRPr="00057759" w:rsidRDefault="005F3233" w:rsidP="005F3233">
            <w:pPr>
              <w:spacing w:after="0"/>
              <w:rPr>
                <w:rFonts w:ascii="Times New Roman" w:hAnsi="Times New Roman" w:cs="Times New Roman"/>
                <w:sz w:val="24"/>
                <w:szCs w:val="24"/>
              </w:rPr>
            </w:pPr>
          </w:p>
        </w:tc>
        <w:tc>
          <w:tcPr>
            <w:tcW w:w="6698" w:type="dxa"/>
            <w:gridSpan w:val="2"/>
          </w:tcPr>
          <w:p w14:paraId="31BD7BDE" w14:textId="77777777" w:rsidR="005F3233" w:rsidRPr="00057759" w:rsidRDefault="005F3233" w:rsidP="005F3233">
            <w:pPr>
              <w:spacing w:after="0"/>
              <w:rPr>
                <w:rFonts w:ascii="Times New Roman" w:hAnsi="Times New Roman" w:cs="Times New Roman"/>
                <w:sz w:val="24"/>
                <w:szCs w:val="24"/>
              </w:rPr>
            </w:pPr>
          </w:p>
          <w:p w14:paraId="4D45B50F" w14:textId="77777777"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t>Prilog I, točka 12</w:t>
            </w:r>
          </w:p>
        </w:tc>
      </w:tr>
      <w:tr w:rsidR="005F3233" w:rsidRPr="00057759" w14:paraId="210788E6" w14:textId="77777777" w:rsidTr="005F3233">
        <w:trPr>
          <w:trHeight w:val="1272"/>
        </w:trPr>
        <w:tc>
          <w:tcPr>
            <w:tcW w:w="3078" w:type="dxa"/>
            <w:vMerge w:val="restart"/>
            <w:shd w:val="clear" w:color="auto" w:fill="F2F2F2" w:themeFill="background1" w:themeFillShade="F2"/>
          </w:tcPr>
          <w:p w14:paraId="5DF054A9" w14:textId="77777777"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t xml:space="preserve">Naziv nacionalnog propisa koji je usklađen s UN Konvencijom o pravima osoba s invaliditetom </w:t>
            </w:r>
          </w:p>
          <w:p w14:paraId="67ECC4F0" w14:textId="77777777" w:rsidR="005F3233" w:rsidRPr="00057759" w:rsidRDefault="005F3233" w:rsidP="005F3233">
            <w:pPr>
              <w:spacing w:after="0"/>
              <w:rPr>
                <w:rFonts w:ascii="Times New Roman" w:hAnsi="Times New Roman" w:cs="Times New Roman"/>
                <w:sz w:val="24"/>
                <w:szCs w:val="24"/>
              </w:rPr>
            </w:pPr>
          </w:p>
          <w:p w14:paraId="014C1A76" w14:textId="77777777" w:rsidR="005F3233" w:rsidRPr="00057759" w:rsidRDefault="005F3233" w:rsidP="005F3233">
            <w:pPr>
              <w:spacing w:after="0"/>
              <w:rPr>
                <w:rFonts w:ascii="Times New Roman" w:hAnsi="Times New Roman" w:cs="Times New Roman"/>
                <w:sz w:val="24"/>
                <w:szCs w:val="24"/>
              </w:rPr>
            </w:pPr>
          </w:p>
          <w:p w14:paraId="5F9FCA3A" w14:textId="77777777" w:rsidR="005F3233" w:rsidRPr="00057759" w:rsidRDefault="005F3233" w:rsidP="005F3233">
            <w:pPr>
              <w:spacing w:after="0"/>
              <w:rPr>
                <w:rFonts w:ascii="Times New Roman" w:hAnsi="Times New Roman" w:cs="Times New Roman"/>
                <w:sz w:val="24"/>
                <w:szCs w:val="24"/>
              </w:rPr>
            </w:pPr>
          </w:p>
          <w:p w14:paraId="101DF71B" w14:textId="77777777"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t>U kojem djelu se izvršilo usklađivanje</w:t>
            </w:r>
          </w:p>
        </w:tc>
        <w:tc>
          <w:tcPr>
            <w:tcW w:w="6698" w:type="dxa"/>
            <w:gridSpan w:val="2"/>
            <w:shd w:val="clear" w:color="auto" w:fill="D9E2F3" w:themeFill="accent1" w:themeFillTint="33"/>
          </w:tcPr>
          <w:p w14:paraId="689D7231" w14:textId="77777777"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t xml:space="preserve">Zakon o ugostiteljskoj djelatnosti </w:t>
            </w:r>
          </w:p>
          <w:p w14:paraId="7B32A228" w14:textId="77777777"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t>(Narodne novine, br. 85/15, 121/16, 99/18, 25/19 i 98/19)</w:t>
            </w:r>
          </w:p>
          <w:p w14:paraId="6083C8FF" w14:textId="77777777" w:rsidR="005F3233" w:rsidRPr="00057759" w:rsidRDefault="005F3233" w:rsidP="005F3233">
            <w:pPr>
              <w:spacing w:after="0"/>
              <w:rPr>
                <w:rFonts w:ascii="Times New Roman" w:hAnsi="Times New Roman" w:cs="Times New Roman"/>
                <w:sz w:val="24"/>
                <w:szCs w:val="24"/>
              </w:rPr>
            </w:pPr>
          </w:p>
          <w:p w14:paraId="3AC2D134" w14:textId="77777777"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t xml:space="preserve">Pravilnik o razvrstavanju, kategorizaciji i posebnim standardima ugostiteljskih objekata iz skupine Hoteli </w:t>
            </w:r>
          </w:p>
          <w:p w14:paraId="66B3F694" w14:textId="0C8FD24E"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t xml:space="preserve">(Narodne novine, br. 56/16 i 120/19)   </w:t>
            </w:r>
          </w:p>
        </w:tc>
      </w:tr>
      <w:tr w:rsidR="005F3233" w:rsidRPr="00057759" w14:paraId="56DBDF21" w14:textId="77777777" w:rsidTr="005F3233">
        <w:trPr>
          <w:trHeight w:val="912"/>
        </w:trPr>
        <w:tc>
          <w:tcPr>
            <w:tcW w:w="3078" w:type="dxa"/>
            <w:vMerge/>
            <w:shd w:val="clear" w:color="auto" w:fill="F2F2F2" w:themeFill="background1" w:themeFillShade="F2"/>
          </w:tcPr>
          <w:p w14:paraId="391BA012" w14:textId="77777777" w:rsidR="005F3233" w:rsidRPr="00057759" w:rsidRDefault="005F3233" w:rsidP="005F3233">
            <w:pPr>
              <w:spacing w:after="0"/>
              <w:rPr>
                <w:rFonts w:ascii="Times New Roman" w:hAnsi="Times New Roman" w:cs="Times New Roman"/>
                <w:sz w:val="24"/>
                <w:szCs w:val="24"/>
              </w:rPr>
            </w:pPr>
          </w:p>
        </w:tc>
        <w:tc>
          <w:tcPr>
            <w:tcW w:w="6698" w:type="dxa"/>
            <w:gridSpan w:val="2"/>
          </w:tcPr>
          <w:p w14:paraId="73D89513" w14:textId="77777777"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t>Članak 27. i  Članak 46. stavak 2.</w:t>
            </w:r>
          </w:p>
        </w:tc>
      </w:tr>
      <w:tr w:rsidR="005F3233" w:rsidRPr="00057759" w14:paraId="70DA34A0" w14:textId="77777777" w:rsidTr="005F3233">
        <w:trPr>
          <w:trHeight w:val="801"/>
        </w:trPr>
        <w:tc>
          <w:tcPr>
            <w:tcW w:w="3078" w:type="dxa"/>
            <w:vMerge w:val="restart"/>
            <w:shd w:val="clear" w:color="auto" w:fill="F2F2F2" w:themeFill="background1" w:themeFillShade="F2"/>
          </w:tcPr>
          <w:p w14:paraId="4C0BDE1D" w14:textId="77777777"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lastRenderedPageBreak/>
              <w:t xml:space="preserve">Naziv nacionalnog propisa koji je usklađen s UN Konvencijom o pravima osoba s invaliditetom </w:t>
            </w:r>
          </w:p>
          <w:p w14:paraId="7E54D24D" w14:textId="77777777" w:rsidR="005F3233" w:rsidRPr="00057759" w:rsidRDefault="005F3233" w:rsidP="005F3233">
            <w:pPr>
              <w:spacing w:after="0"/>
              <w:rPr>
                <w:rFonts w:ascii="Times New Roman" w:hAnsi="Times New Roman" w:cs="Times New Roman"/>
                <w:sz w:val="24"/>
                <w:szCs w:val="24"/>
              </w:rPr>
            </w:pPr>
          </w:p>
          <w:p w14:paraId="1589CF2F" w14:textId="6104AEE8"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t>U kojem djelu se izvršilo usklađivanje</w:t>
            </w:r>
          </w:p>
        </w:tc>
        <w:tc>
          <w:tcPr>
            <w:tcW w:w="6698" w:type="dxa"/>
            <w:gridSpan w:val="2"/>
            <w:shd w:val="clear" w:color="auto" w:fill="D9E2F3" w:themeFill="accent1" w:themeFillTint="33"/>
          </w:tcPr>
          <w:p w14:paraId="7809DA12" w14:textId="77777777"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t xml:space="preserve">Zakon o pružanju usluga u turizmu </w:t>
            </w:r>
          </w:p>
          <w:p w14:paraId="2CFFEAAA" w14:textId="77777777"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t>(Narodne novine, br. 130/2017, 25/19 i 98/19)</w:t>
            </w:r>
          </w:p>
        </w:tc>
      </w:tr>
      <w:tr w:rsidR="005F3233" w:rsidRPr="00057759" w14:paraId="6AC248F9" w14:textId="77777777" w:rsidTr="005F3233">
        <w:trPr>
          <w:trHeight w:val="840"/>
        </w:trPr>
        <w:tc>
          <w:tcPr>
            <w:tcW w:w="3078" w:type="dxa"/>
            <w:vMerge/>
            <w:shd w:val="clear" w:color="auto" w:fill="F2F2F2" w:themeFill="background1" w:themeFillShade="F2"/>
          </w:tcPr>
          <w:p w14:paraId="7E21D927" w14:textId="77777777" w:rsidR="005F3233" w:rsidRPr="00057759" w:rsidRDefault="005F3233" w:rsidP="005F3233">
            <w:pPr>
              <w:spacing w:after="0"/>
              <w:rPr>
                <w:rFonts w:ascii="Times New Roman" w:hAnsi="Times New Roman" w:cs="Times New Roman"/>
                <w:sz w:val="24"/>
                <w:szCs w:val="24"/>
              </w:rPr>
            </w:pPr>
          </w:p>
        </w:tc>
        <w:tc>
          <w:tcPr>
            <w:tcW w:w="6698" w:type="dxa"/>
            <w:gridSpan w:val="2"/>
          </w:tcPr>
          <w:p w14:paraId="7394B742" w14:textId="77777777" w:rsidR="005F3233" w:rsidRPr="00057759" w:rsidRDefault="005F3233" w:rsidP="005F3233">
            <w:pPr>
              <w:spacing w:after="0"/>
              <w:rPr>
                <w:rFonts w:ascii="Times New Roman" w:hAnsi="Times New Roman" w:cs="Times New Roman"/>
                <w:sz w:val="24"/>
                <w:szCs w:val="24"/>
              </w:rPr>
            </w:pPr>
          </w:p>
          <w:p w14:paraId="2B475630" w14:textId="77777777"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t>Članak 42. stavak 2.</w:t>
            </w:r>
          </w:p>
        </w:tc>
      </w:tr>
      <w:tr w:rsidR="005F3233" w:rsidRPr="00057759" w14:paraId="618BE12D" w14:textId="77777777" w:rsidTr="00816216">
        <w:tc>
          <w:tcPr>
            <w:tcW w:w="3078" w:type="dxa"/>
            <w:shd w:val="clear" w:color="auto" w:fill="F2F2F2" w:themeFill="background1" w:themeFillShade="F2"/>
            <w:hideMark/>
          </w:tcPr>
          <w:p w14:paraId="3A767AFC" w14:textId="77777777" w:rsidR="005F3233" w:rsidRPr="00057759" w:rsidRDefault="005F3233" w:rsidP="005F3233">
            <w:pPr>
              <w:spacing w:after="0"/>
              <w:rPr>
                <w:rFonts w:ascii="Times New Roman" w:hAnsi="Times New Roman" w:cs="Times New Roman"/>
                <w:sz w:val="24"/>
                <w:szCs w:val="24"/>
              </w:rPr>
            </w:pPr>
            <w:bookmarkStart w:id="162" w:name="_Hlk37400096"/>
            <w:r w:rsidRPr="00057759">
              <w:rPr>
                <w:rFonts w:ascii="Times New Roman" w:hAnsi="Times New Roman" w:cs="Times New Roman"/>
                <w:sz w:val="24"/>
                <w:szCs w:val="24"/>
              </w:rPr>
              <w:t>Tijelo državne uprave koje dostavlja podatke</w:t>
            </w:r>
          </w:p>
        </w:tc>
        <w:tc>
          <w:tcPr>
            <w:tcW w:w="6698" w:type="dxa"/>
            <w:gridSpan w:val="2"/>
            <w:shd w:val="clear" w:color="auto" w:fill="E2EFD9" w:themeFill="accent6" w:themeFillTint="33"/>
            <w:vAlign w:val="center"/>
            <w:hideMark/>
          </w:tcPr>
          <w:p w14:paraId="6E58D90E" w14:textId="77777777"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t>MINISTARSTVO ZDRAVSTVA</w:t>
            </w:r>
          </w:p>
        </w:tc>
      </w:tr>
      <w:bookmarkEnd w:id="162"/>
      <w:tr w:rsidR="005F3233" w:rsidRPr="00057759" w14:paraId="2DE5DF90" w14:textId="77777777" w:rsidTr="005F3233">
        <w:tc>
          <w:tcPr>
            <w:tcW w:w="3078" w:type="dxa"/>
            <w:shd w:val="clear" w:color="auto" w:fill="F2F2F2" w:themeFill="background1" w:themeFillShade="F2"/>
            <w:hideMark/>
          </w:tcPr>
          <w:p w14:paraId="4E4A5530" w14:textId="77777777"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t>Ukupan broj propisa u  nadležnosti Ministarstva</w:t>
            </w:r>
          </w:p>
        </w:tc>
        <w:tc>
          <w:tcPr>
            <w:tcW w:w="6698" w:type="dxa"/>
            <w:gridSpan w:val="2"/>
          </w:tcPr>
          <w:p w14:paraId="14B2E41D" w14:textId="77777777" w:rsidR="005F3233" w:rsidRPr="00057759" w:rsidRDefault="005F3233" w:rsidP="005F3233">
            <w:pPr>
              <w:spacing w:after="0"/>
              <w:rPr>
                <w:rFonts w:ascii="Times New Roman" w:hAnsi="Times New Roman" w:cs="Times New Roman"/>
                <w:sz w:val="24"/>
                <w:szCs w:val="24"/>
              </w:rPr>
            </w:pPr>
          </w:p>
        </w:tc>
      </w:tr>
      <w:tr w:rsidR="005F3233" w:rsidRPr="00057759" w14:paraId="7E52FA57" w14:textId="77777777" w:rsidTr="005F3233">
        <w:tc>
          <w:tcPr>
            <w:tcW w:w="3078" w:type="dxa"/>
            <w:shd w:val="clear" w:color="auto" w:fill="F2F2F2" w:themeFill="background1" w:themeFillShade="F2"/>
            <w:hideMark/>
          </w:tcPr>
          <w:p w14:paraId="66BE6589" w14:textId="77777777"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t>Ukupan broj propisa iz Vaše nadležnosti koji je usklađen s UN Konvencijom o pravima osoba s invaliditetom</w:t>
            </w:r>
          </w:p>
        </w:tc>
        <w:tc>
          <w:tcPr>
            <w:tcW w:w="6698" w:type="dxa"/>
            <w:gridSpan w:val="2"/>
            <w:hideMark/>
          </w:tcPr>
          <w:p w14:paraId="314A2AE3" w14:textId="77777777"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t>Iz područja nadležnosti Sektora za javno zdravstvo:</w:t>
            </w:r>
          </w:p>
          <w:p w14:paraId="055C1272" w14:textId="77777777"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t>- 2 propisa donesena u 2019. godini koja se odnose na cjelokupno stanovništvo</w:t>
            </w:r>
          </w:p>
          <w:p w14:paraId="383C59EF" w14:textId="77777777"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t>- 3 propisa iz prethodnog razdoblja koja se odnose samo na osobe s invaliditetom</w:t>
            </w:r>
          </w:p>
        </w:tc>
      </w:tr>
      <w:tr w:rsidR="005F3233" w:rsidRPr="00057759" w14:paraId="609046EE" w14:textId="77777777" w:rsidTr="005F3233">
        <w:trPr>
          <w:trHeight w:val="840"/>
        </w:trPr>
        <w:tc>
          <w:tcPr>
            <w:tcW w:w="3078" w:type="dxa"/>
            <w:vMerge w:val="restart"/>
            <w:shd w:val="clear" w:color="auto" w:fill="F2F2F2" w:themeFill="background1" w:themeFillShade="F2"/>
          </w:tcPr>
          <w:p w14:paraId="505AD79C" w14:textId="77777777"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t xml:space="preserve">Naziv nacionalnog propisa koji je usklađen s UN Konvencijom o pravima osoba s invaliditetom </w:t>
            </w:r>
          </w:p>
          <w:p w14:paraId="480E6D30" w14:textId="77777777" w:rsidR="005F3233" w:rsidRPr="00057759" w:rsidRDefault="005F3233" w:rsidP="005F3233">
            <w:pPr>
              <w:spacing w:after="0"/>
              <w:rPr>
                <w:rFonts w:ascii="Times New Roman" w:hAnsi="Times New Roman" w:cs="Times New Roman"/>
                <w:sz w:val="24"/>
                <w:szCs w:val="24"/>
              </w:rPr>
            </w:pPr>
          </w:p>
          <w:p w14:paraId="6C7FAB64" w14:textId="77777777" w:rsidR="005F3233" w:rsidRPr="00057759" w:rsidRDefault="005F3233" w:rsidP="005F3233">
            <w:pPr>
              <w:spacing w:after="0"/>
              <w:rPr>
                <w:rFonts w:ascii="Times New Roman" w:hAnsi="Times New Roman" w:cs="Times New Roman"/>
                <w:sz w:val="24"/>
                <w:szCs w:val="24"/>
              </w:rPr>
            </w:pPr>
          </w:p>
          <w:p w14:paraId="78DF1D2D" w14:textId="77777777"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t>U kojem djelu se izvršilo usklađivanje</w:t>
            </w:r>
          </w:p>
          <w:p w14:paraId="226F3F4F" w14:textId="77777777" w:rsidR="005F3233" w:rsidRPr="00057759" w:rsidRDefault="005F3233" w:rsidP="005F3233">
            <w:pPr>
              <w:spacing w:after="0"/>
              <w:rPr>
                <w:rFonts w:ascii="Times New Roman" w:hAnsi="Times New Roman" w:cs="Times New Roman"/>
                <w:sz w:val="24"/>
                <w:szCs w:val="24"/>
              </w:rPr>
            </w:pPr>
          </w:p>
        </w:tc>
        <w:tc>
          <w:tcPr>
            <w:tcW w:w="6698" w:type="dxa"/>
            <w:gridSpan w:val="2"/>
            <w:shd w:val="clear" w:color="auto" w:fill="D9E2F3" w:themeFill="accent1" w:themeFillTint="33"/>
            <w:hideMark/>
          </w:tcPr>
          <w:p w14:paraId="47FB337A" w14:textId="77777777"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t xml:space="preserve">Zakon o podacima i informacijama u zdravstvu </w:t>
            </w:r>
          </w:p>
          <w:p w14:paraId="0AF2BCF2" w14:textId="77777777"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t xml:space="preserve">(Narodne novine, broj 14/19) </w:t>
            </w:r>
          </w:p>
          <w:p w14:paraId="5072D633" w14:textId="46CAD1B6"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t xml:space="preserve"> u daljnjem tekstu: Zakon</w:t>
            </w:r>
          </w:p>
        </w:tc>
      </w:tr>
      <w:tr w:rsidR="005F3233" w:rsidRPr="00057759" w14:paraId="2FB60878" w14:textId="77777777" w:rsidTr="005F3233">
        <w:trPr>
          <w:trHeight w:val="810"/>
        </w:trPr>
        <w:tc>
          <w:tcPr>
            <w:tcW w:w="0" w:type="auto"/>
            <w:vMerge/>
            <w:shd w:val="clear" w:color="auto" w:fill="F2F2F2" w:themeFill="background1" w:themeFillShade="F2"/>
            <w:hideMark/>
          </w:tcPr>
          <w:p w14:paraId="19FE0197" w14:textId="77777777" w:rsidR="005F3233" w:rsidRPr="00057759" w:rsidRDefault="005F3233" w:rsidP="005F3233">
            <w:pPr>
              <w:spacing w:after="0"/>
              <w:rPr>
                <w:rFonts w:ascii="Times New Roman" w:hAnsi="Times New Roman" w:cs="Times New Roman"/>
                <w:sz w:val="24"/>
                <w:szCs w:val="24"/>
              </w:rPr>
            </w:pPr>
          </w:p>
        </w:tc>
        <w:tc>
          <w:tcPr>
            <w:tcW w:w="6698" w:type="dxa"/>
            <w:gridSpan w:val="2"/>
          </w:tcPr>
          <w:p w14:paraId="408FAB43" w14:textId="77777777"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t>Ovim Zakonom utvrđuju se prava, obveze i odgovornosti pravnih i fizičkih osoba zdravstvenog sustava Republike Hrvatske u području upravljanja podacima i informacijama u zdravstvu, definiraju se pojmovi i temeljna načela prikupljanja, korištenja i obrade zdravstvenih podataka i informacija, nadležna tijela, kvaliteta i obrada zdravstvenih podataka, njihova zaštita te inspekcijski i stručni nadzor, radi sveobuhvatnog i djelotvornog korištenja zdravstvenih podataka i informacija u zdravstvenoj zaštiti radi unaprjeđenja i očuvanja zdravlja stanovništva u Republici Hrvatskoj.</w:t>
            </w:r>
          </w:p>
          <w:p w14:paraId="62AA0606" w14:textId="77777777"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t>Zakon se odnosi na cjelokupno stanovništvo pa tako i na osobe s invaliditetom te je stoga isti usklađen s odredbom članka 22. (Poštivanje privatnosti) točke 2. Zakona o potvrđivanju Konvencije o pravima osoba s invaliditetom i Fakultativnog protokola uz Konvenciju o pravima osoba s  invaliditetom (Narodne novine, broj 6/07) kojom je propisano: „2. Države stranke zaštitit će privatnost osobnih i zdravstvenih podataka te podataka o rehabilitaciji osoba s invaliditetom, na ravnopravnoj osnovi s drugima.“</w:t>
            </w:r>
          </w:p>
        </w:tc>
      </w:tr>
      <w:tr w:rsidR="005F3233" w:rsidRPr="00057759" w14:paraId="424C5589" w14:textId="77777777" w:rsidTr="005F3233">
        <w:trPr>
          <w:trHeight w:val="870"/>
        </w:trPr>
        <w:tc>
          <w:tcPr>
            <w:tcW w:w="3078" w:type="dxa"/>
            <w:vMerge w:val="restart"/>
            <w:shd w:val="clear" w:color="auto" w:fill="F2F2F2" w:themeFill="background1" w:themeFillShade="F2"/>
          </w:tcPr>
          <w:p w14:paraId="756FB9D5" w14:textId="77777777"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t xml:space="preserve">Naziv nacionalnog propisa koji je usklađen s UN Konvencijom o pravima osoba s invaliditetom </w:t>
            </w:r>
          </w:p>
          <w:p w14:paraId="5A392334" w14:textId="77777777" w:rsidR="005F3233" w:rsidRPr="00057759" w:rsidRDefault="005F3233" w:rsidP="005F3233">
            <w:pPr>
              <w:spacing w:after="0"/>
              <w:rPr>
                <w:rFonts w:ascii="Times New Roman" w:hAnsi="Times New Roman" w:cs="Times New Roman"/>
                <w:sz w:val="24"/>
                <w:szCs w:val="24"/>
              </w:rPr>
            </w:pPr>
          </w:p>
          <w:p w14:paraId="258E5CC7" w14:textId="77777777"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t>U kojem djelu se izvršilo usklađivanje</w:t>
            </w:r>
          </w:p>
          <w:p w14:paraId="618A1163" w14:textId="77777777" w:rsidR="005F3233" w:rsidRPr="00057759" w:rsidRDefault="005F3233" w:rsidP="005F3233">
            <w:pPr>
              <w:spacing w:after="0"/>
              <w:rPr>
                <w:rFonts w:ascii="Times New Roman" w:hAnsi="Times New Roman" w:cs="Times New Roman"/>
                <w:sz w:val="24"/>
                <w:szCs w:val="24"/>
              </w:rPr>
            </w:pPr>
          </w:p>
        </w:tc>
        <w:tc>
          <w:tcPr>
            <w:tcW w:w="6698" w:type="dxa"/>
            <w:gridSpan w:val="2"/>
            <w:shd w:val="clear" w:color="auto" w:fill="D9E2F3" w:themeFill="accent1" w:themeFillTint="33"/>
            <w:hideMark/>
          </w:tcPr>
          <w:p w14:paraId="08C9EDAB" w14:textId="77777777" w:rsidR="005F3233" w:rsidRPr="00057759" w:rsidRDefault="005F3233" w:rsidP="005F3233">
            <w:pPr>
              <w:spacing w:after="0"/>
              <w:rPr>
                <w:rFonts w:ascii="Times New Roman" w:hAnsi="Times New Roman" w:cs="Times New Roman"/>
                <w:sz w:val="24"/>
                <w:szCs w:val="24"/>
              </w:rPr>
            </w:pPr>
          </w:p>
          <w:p w14:paraId="45AF5F69" w14:textId="77777777"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t xml:space="preserve">Pravilnik o obrascima zdravstvene dokumentacije djece predškolske dobi i evidencije u dječjem vrtiću </w:t>
            </w:r>
          </w:p>
          <w:p w14:paraId="2915BEFA" w14:textId="1BF47742"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t>(Narodne novine, br. 114/02 i 63/19)</w:t>
            </w:r>
          </w:p>
        </w:tc>
      </w:tr>
      <w:tr w:rsidR="005F3233" w:rsidRPr="00057759" w14:paraId="7B8B0A0F" w14:textId="77777777" w:rsidTr="005F3233">
        <w:trPr>
          <w:trHeight w:val="771"/>
        </w:trPr>
        <w:tc>
          <w:tcPr>
            <w:tcW w:w="0" w:type="auto"/>
            <w:vMerge/>
            <w:shd w:val="clear" w:color="auto" w:fill="F2F2F2" w:themeFill="background1" w:themeFillShade="F2"/>
            <w:hideMark/>
          </w:tcPr>
          <w:p w14:paraId="057A4503" w14:textId="77777777" w:rsidR="005F3233" w:rsidRPr="00057759" w:rsidRDefault="005F3233" w:rsidP="005F3233">
            <w:pPr>
              <w:spacing w:after="0"/>
              <w:rPr>
                <w:rFonts w:ascii="Times New Roman" w:hAnsi="Times New Roman" w:cs="Times New Roman"/>
                <w:sz w:val="24"/>
                <w:szCs w:val="24"/>
              </w:rPr>
            </w:pPr>
          </w:p>
        </w:tc>
        <w:tc>
          <w:tcPr>
            <w:tcW w:w="6698" w:type="dxa"/>
            <w:gridSpan w:val="2"/>
          </w:tcPr>
          <w:p w14:paraId="3EB62835" w14:textId="77777777" w:rsidR="005F3233" w:rsidRPr="00057759" w:rsidRDefault="005F3233" w:rsidP="005F3233">
            <w:pPr>
              <w:spacing w:after="0"/>
              <w:rPr>
                <w:rFonts w:ascii="Times New Roman" w:hAnsi="Times New Roman" w:cs="Times New Roman"/>
                <w:sz w:val="24"/>
                <w:szCs w:val="24"/>
              </w:rPr>
            </w:pPr>
            <w:bookmarkStart w:id="163" w:name="_Toc50130149"/>
            <w:bookmarkStart w:id="164" w:name="_Toc51164956"/>
            <w:r w:rsidRPr="00057759">
              <w:rPr>
                <w:rFonts w:ascii="Times New Roman" w:hAnsi="Times New Roman" w:cs="Times New Roman"/>
                <w:sz w:val="24"/>
                <w:szCs w:val="24"/>
              </w:rPr>
              <w:t xml:space="preserve">Pravilnikom o obrascima zdravstvene dokumentacije djece predškolske dobi i evidencije u dječjem vrtiću (Narodne novine, br. 114/02 i 63/19 u daljnjem tekstu: Pravilnik), propisuju se obrasci: potvrde o obavljenom sistematskom zdravstvenom </w:t>
            </w:r>
            <w:r w:rsidRPr="00057759">
              <w:rPr>
                <w:rFonts w:ascii="Times New Roman" w:hAnsi="Times New Roman" w:cs="Times New Roman"/>
                <w:sz w:val="24"/>
                <w:szCs w:val="24"/>
              </w:rPr>
              <w:lastRenderedPageBreak/>
              <w:t>pregledu predškolskog djeteta prije upisa u dječji vrtić; potvrde o obavljenom zdravstvenom pregledu pred</w:t>
            </w:r>
            <w:r w:rsidRPr="00057759">
              <w:rPr>
                <w:rFonts w:ascii="Times New Roman" w:hAnsi="Times New Roman" w:cs="Times New Roman"/>
                <w:sz w:val="24"/>
                <w:szCs w:val="24"/>
              </w:rPr>
              <w:softHyphen/>
              <w:t>škol</w:t>
            </w:r>
            <w:r w:rsidRPr="00057759">
              <w:rPr>
                <w:rFonts w:ascii="Times New Roman" w:hAnsi="Times New Roman" w:cs="Times New Roman"/>
                <w:sz w:val="24"/>
                <w:szCs w:val="24"/>
              </w:rPr>
              <w:softHyphen/>
              <w:t>skog djeteta (izostanak zbog bolesti ili nekog drugog razloga); zdravstvenog kartona djeteta u dječjem vrtiću; evidencije o zdravstvenom odgoju; evidencije o higijensko-epidemiološkom nadzoru; evidencije o sanitarnom nadzoru; evidencije epidemioloških indikacija; evidencije ozljeda te evidencije antropometrijskih mjerenja.</w:t>
            </w:r>
            <w:bookmarkEnd w:id="163"/>
            <w:bookmarkEnd w:id="164"/>
          </w:p>
          <w:p w14:paraId="6D3141DB" w14:textId="77777777" w:rsidR="005F3233" w:rsidRPr="001A2F17" w:rsidRDefault="005F3233" w:rsidP="005F3233">
            <w:pPr>
              <w:spacing w:after="0"/>
              <w:rPr>
                <w:rFonts w:ascii="Times New Roman" w:hAnsi="Times New Roman" w:cs="Times New Roman"/>
                <w:sz w:val="10"/>
                <w:szCs w:val="10"/>
              </w:rPr>
            </w:pPr>
          </w:p>
          <w:p w14:paraId="15B86F23" w14:textId="403526DB"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t>Pravilnik se odnosi na svu djecu pa tako i na djecu s teškoćama u razvoju te je stoga isti usklađen s odredbama članka 7. (Djeca s teškoćama u razvoju) i članka 25. (Zdravlje) Zakona o potvrđivanju Konvencije o pravima osoba s invaliditetom i Fakultativnog protokola uz Konvenciju o pravima osoba s</w:t>
            </w:r>
            <w:r w:rsidR="001A2F17">
              <w:rPr>
                <w:rFonts w:ascii="Times New Roman" w:hAnsi="Times New Roman" w:cs="Times New Roman"/>
                <w:sz w:val="24"/>
                <w:szCs w:val="24"/>
              </w:rPr>
              <w:t xml:space="preserve"> </w:t>
            </w:r>
            <w:r w:rsidRPr="00057759">
              <w:rPr>
                <w:rFonts w:ascii="Times New Roman" w:hAnsi="Times New Roman" w:cs="Times New Roman"/>
                <w:sz w:val="24"/>
                <w:szCs w:val="24"/>
              </w:rPr>
              <w:t xml:space="preserve">invaliditetom (Narodne novine, broj 6/07) i to u širem smislu: </w:t>
            </w:r>
          </w:p>
          <w:p w14:paraId="5F8C5FDD" w14:textId="6DDC19B1"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t>- točkama 1. i 2. članka 7. (Djeca s teškoćama u razvoju), kojima je propisano: „1. Države stranke osigurat će sve potrebne mjere kako bi zajamčile djeci s teškoćama u razvoju puno uživanje ljudskih prava i temeljnih sloboda ravnopravno s drugom djecom.</w:t>
            </w:r>
          </w:p>
          <w:p w14:paraId="27468C6F" w14:textId="77777777"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t>2. U svim aktivnostima koje se odnose na djecu s teškoćama u razvoju prvenstveni će značaj biti pridan najboljim interesima djeteta.“</w:t>
            </w:r>
          </w:p>
          <w:p w14:paraId="58864E6C" w14:textId="77777777" w:rsidR="005F3233" w:rsidRPr="001A2F17" w:rsidRDefault="005F3233" w:rsidP="005F3233">
            <w:pPr>
              <w:spacing w:after="0"/>
              <w:rPr>
                <w:rFonts w:ascii="Times New Roman" w:hAnsi="Times New Roman" w:cs="Times New Roman"/>
                <w:sz w:val="10"/>
                <w:szCs w:val="10"/>
              </w:rPr>
            </w:pPr>
          </w:p>
          <w:p w14:paraId="1FFB0211" w14:textId="0BB6DDB7"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t>- točkom (b) članka 25. (Zdravlje) kojom je između ostaloga propisano da će države stranka osigurati „(b) …usluge čija je namjena smanjenje i prevencija daljnjeg invaliditeta, uključujući invaliditet kod djece i starijih osoba“</w:t>
            </w:r>
          </w:p>
        </w:tc>
      </w:tr>
      <w:tr w:rsidR="005F3233" w:rsidRPr="00057759" w14:paraId="3DC74138" w14:textId="77777777" w:rsidTr="005F3233">
        <w:trPr>
          <w:trHeight w:val="810"/>
        </w:trPr>
        <w:tc>
          <w:tcPr>
            <w:tcW w:w="3078" w:type="dxa"/>
            <w:shd w:val="clear" w:color="auto" w:fill="F2F2F2" w:themeFill="background1" w:themeFillShade="F2"/>
          </w:tcPr>
          <w:p w14:paraId="200DD105" w14:textId="77777777"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lastRenderedPageBreak/>
              <w:t xml:space="preserve">Naziv nacionalnog propisa koji je usklađen s UN Konvencijom o pravima osoba s invaliditetom </w:t>
            </w:r>
          </w:p>
          <w:p w14:paraId="4D187220" w14:textId="77777777" w:rsidR="005F3233" w:rsidRPr="00057759" w:rsidRDefault="005F3233" w:rsidP="005F3233">
            <w:pPr>
              <w:spacing w:after="0"/>
              <w:rPr>
                <w:rFonts w:ascii="Times New Roman" w:hAnsi="Times New Roman" w:cs="Times New Roman"/>
                <w:sz w:val="24"/>
                <w:szCs w:val="24"/>
              </w:rPr>
            </w:pPr>
          </w:p>
          <w:p w14:paraId="3DDF1024" w14:textId="77777777" w:rsidR="005F3233" w:rsidRPr="00057759" w:rsidRDefault="005F3233" w:rsidP="005F3233">
            <w:pPr>
              <w:spacing w:after="0"/>
              <w:rPr>
                <w:rFonts w:ascii="Times New Roman" w:hAnsi="Times New Roman" w:cs="Times New Roman"/>
                <w:sz w:val="24"/>
                <w:szCs w:val="24"/>
              </w:rPr>
            </w:pPr>
          </w:p>
          <w:p w14:paraId="55A54553" w14:textId="77777777"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t>U kojem djelu se izvršilo usklađivanje</w:t>
            </w:r>
          </w:p>
        </w:tc>
        <w:tc>
          <w:tcPr>
            <w:tcW w:w="6698" w:type="dxa"/>
            <w:gridSpan w:val="2"/>
          </w:tcPr>
          <w:p w14:paraId="406152C0" w14:textId="77777777"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t xml:space="preserve">Zakonom o zaštiti prava pacijenata </w:t>
            </w:r>
          </w:p>
          <w:p w14:paraId="70B0622B" w14:textId="77777777"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t>(Narodne novine, br. 169/04 i 37/08)</w:t>
            </w:r>
          </w:p>
          <w:p w14:paraId="39B30455" w14:textId="77777777"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t>u daljnjem tekstu: Zakon</w:t>
            </w:r>
          </w:p>
          <w:p w14:paraId="23B9FC55" w14:textId="77777777" w:rsidR="005F3233" w:rsidRPr="00057759" w:rsidRDefault="005F3233" w:rsidP="005F3233">
            <w:pPr>
              <w:spacing w:after="0"/>
              <w:rPr>
                <w:rFonts w:ascii="Times New Roman" w:hAnsi="Times New Roman" w:cs="Times New Roman"/>
                <w:sz w:val="24"/>
                <w:szCs w:val="24"/>
              </w:rPr>
            </w:pPr>
          </w:p>
          <w:p w14:paraId="1F496456" w14:textId="77777777" w:rsidR="005F3233" w:rsidRPr="00057759" w:rsidRDefault="005F3233" w:rsidP="005F3233">
            <w:pPr>
              <w:spacing w:after="0"/>
              <w:rPr>
                <w:rFonts w:ascii="Times New Roman" w:hAnsi="Times New Roman" w:cs="Times New Roman"/>
                <w:sz w:val="24"/>
                <w:szCs w:val="24"/>
              </w:rPr>
            </w:pPr>
          </w:p>
          <w:p w14:paraId="5D9B0A43" w14:textId="77777777"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t>Ovim Zakonom određuju se prava pacijenata prilikom koriš</w:t>
            </w:r>
            <w:r w:rsidRPr="00057759">
              <w:rPr>
                <w:rFonts w:ascii="Times New Roman" w:hAnsi="Times New Roman" w:cs="Times New Roman"/>
                <w:sz w:val="24"/>
                <w:szCs w:val="24"/>
              </w:rPr>
              <w:softHyphen/>
              <w:t>tenja zdravstvene zaštite te način zaštite i promicanja tih prava.</w:t>
            </w:r>
          </w:p>
          <w:p w14:paraId="1FE59012" w14:textId="77777777"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t>Pacijentom u smislu ovoga Zakona smatra se svaka osoba, bolesna ili zdrava, koja zatraži ili kojoj se pruža određena mjera ili usluga u cilju očuvanja i unaprjeđenja zdravlja, sprječavanja bolesti, liječenja ili zdravstvene njege i rehabilitacije.</w:t>
            </w:r>
          </w:p>
          <w:p w14:paraId="44D4D350" w14:textId="77777777" w:rsidR="005F3233" w:rsidRPr="001A2F17" w:rsidRDefault="005F3233" w:rsidP="005F3233">
            <w:pPr>
              <w:spacing w:after="0"/>
              <w:rPr>
                <w:rFonts w:ascii="Times New Roman" w:hAnsi="Times New Roman" w:cs="Times New Roman"/>
                <w:sz w:val="10"/>
                <w:szCs w:val="10"/>
              </w:rPr>
            </w:pPr>
          </w:p>
          <w:p w14:paraId="33BB768F" w14:textId="4CA9A3F2"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t>Zakon se odnosi na cjelokupno stanovništvo pa tako i na osobe s invaliditetom te je stoga isti usklađen s odredbama članka 25. (Zdravlje) i članka 21. (Sloboda izražavanja i mišljenja, te pristup informacijama) Zakona o potvrđivanju Konvencije o pravima osoba s invaliditetom i Fakultativnog protokola uz Konvenciju o pravima osoba s  invaliditetom (Narodne novine</w:t>
            </w:r>
            <w:r w:rsidR="00177CFE">
              <w:rPr>
                <w:rFonts w:ascii="Times New Roman" w:hAnsi="Times New Roman" w:cs="Times New Roman"/>
                <w:sz w:val="24"/>
                <w:szCs w:val="24"/>
              </w:rPr>
              <w:t>,</w:t>
            </w:r>
            <w:r w:rsidRPr="00057759">
              <w:rPr>
                <w:rFonts w:ascii="Times New Roman" w:hAnsi="Times New Roman" w:cs="Times New Roman"/>
                <w:sz w:val="24"/>
                <w:szCs w:val="24"/>
              </w:rPr>
              <w:t xml:space="preserve"> broj 6/07).</w:t>
            </w:r>
          </w:p>
          <w:p w14:paraId="39C02544" w14:textId="77777777" w:rsidR="005F3233" w:rsidRPr="001A2F17" w:rsidRDefault="005F3233" w:rsidP="005F3233">
            <w:pPr>
              <w:spacing w:after="0"/>
              <w:rPr>
                <w:rFonts w:ascii="Times New Roman" w:hAnsi="Times New Roman" w:cs="Times New Roman"/>
                <w:sz w:val="10"/>
                <w:szCs w:val="10"/>
              </w:rPr>
            </w:pPr>
          </w:p>
          <w:p w14:paraId="1B6268F6" w14:textId="77777777"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t>Posebne odredbe Zakona koje se odnose na osobe s invaliditetom:</w:t>
            </w:r>
          </w:p>
          <w:p w14:paraId="2961753E" w14:textId="77777777"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t>Svakom pacijentu jamči se opće i jednako pravo na kvalitetnu i kontinuiranu zdravstvenu zaštitu primjerenu njegovom zdrav</w:t>
            </w:r>
            <w:r w:rsidRPr="00057759">
              <w:rPr>
                <w:rFonts w:ascii="Times New Roman" w:hAnsi="Times New Roman" w:cs="Times New Roman"/>
                <w:sz w:val="24"/>
                <w:szCs w:val="24"/>
              </w:rPr>
              <w:softHyphen/>
            </w:r>
            <w:r w:rsidRPr="00057759">
              <w:rPr>
                <w:rFonts w:ascii="Times New Roman" w:hAnsi="Times New Roman" w:cs="Times New Roman"/>
                <w:sz w:val="24"/>
                <w:szCs w:val="24"/>
              </w:rPr>
              <w:lastRenderedPageBreak/>
              <w:t>stvenom stanju, sukladno općeprihvaćenim stručnim standardima i etičkim načelima, u najboljem interesu pacijenta uz pošti</w:t>
            </w:r>
            <w:r w:rsidRPr="00057759">
              <w:rPr>
                <w:rFonts w:ascii="Times New Roman" w:hAnsi="Times New Roman" w:cs="Times New Roman"/>
                <w:sz w:val="24"/>
                <w:szCs w:val="24"/>
              </w:rPr>
              <w:softHyphen/>
              <w:t>vanje nje</w:t>
            </w:r>
            <w:r w:rsidRPr="00057759">
              <w:rPr>
                <w:rFonts w:ascii="Times New Roman" w:hAnsi="Times New Roman" w:cs="Times New Roman"/>
                <w:sz w:val="24"/>
                <w:szCs w:val="24"/>
              </w:rPr>
              <w:softHyphen/>
            </w:r>
            <w:r w:rsidRPr="00057759">
              <w:rPr>
                <w:rFonts w:ascii="Times New Roman" w:hAnsi="Times New Roman" w:cs="Times New Roman"/>
                <w:sz w:val="24"/>
                <w:szCs w:val="24"/>
              </w:rPr>
              <w:softHyphen/>
            </w:r>
            <w:r w:rsidRPr="00057759">
              <w:rPr>
                <w:rFonts w:ascii="Times New Roman" w:hAnsi="Times New Roman" w:cs="Times New Roman"/>
                <w:sz w:val="24"/>
                <w:szCs w:val="24"/>
              </w:rPr>
              <w:softHyphen/>
              <w:t>go</w:t>
            </w:r>
            <w:r w:rsidRPr="00057759">
              <w:rPr>
                <w:rFonts w:ascii="Times New Roman" w:hAnsi="Times New Roman" w:cs="Times New Roman"/>
                <w:sz w:val="24"/>
                <w:szCs w:val="24"/>
              </w:rPr>
              <w:softHyphen/>
              <w:t>vih osobnih stavova.</w:t>
            </w:r>
          </w:p>
          <w:p w14:paraId="1ADB9721" w14:textId="77777777"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t>Načelo dostupnosti zaštite prava pacijenata podrazumijeva jednaku mogućnost zaštite prava svih pacijenata na području Republike Hrvatske.</w:t>
            </w:r>
          </w:p>
          <w:p w14:paraId="75418B07" w14:textId="77777777"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t>Vezano uz pravo na obaviještenost, ovim Zakonom propisano je da pacijent ima pravo dobiti obavijesti na način koji mu je razumljiv s obzirom na dob, obrazovanje i mentalne sposobnosti. Pacijenti s invaliditetom imaju pravo dobiti obavijesti u njima pristupačnom obliku.</w:t>
            </w:r>
          </w:p>
          <w:p w14:paraId="6E7F74AA" w14:textId="77777777"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t xml:space="preserve">Vezano uz  Pravo na prihvaćanje ili odbijanje pojedinoga dijagnostičkog, odnosno terapijskog postupka, ovim Zakonom posebno je predviđeno da slijepa osoba, gluha osoba koja ne zna čitati, nijema osoba koja ne zna pisati i </w:t>
            </w:r>
            <w:proofErr w:type="spellStart"/>
            <w:r w:rsidRPr="00057759">
              <w:rPr>
                <w:rFonts w:ascii="Times New Roman" w:hAnsi="Times New Roman" w:cs="Times New Roman"/>
                <w:sz w:val="24"/>
                <w:szCs w:val="24"/>
              </w:rPr>
              <w:t>gluhoslijepa</w:t>
            </w:r>
            <w:proofErr w:type="spellEnd"/>
            <w:r w:rsidRPr="00057759">
              <w:rPr>
                <w:rFonts w:ascii="Times New Roman" w:hAnsi="Times New Roman" w:cs="Times New Roman"/>
                <w:sz w:val="24"/>
                <w:szCs w:val="24"/>
              </w:rPr>
              <w:t xml:space="preserve"> osoba, prihvaća pojedini dijag</w:t>
            </w:r>
            <w:r w:rsidRPr="00057759">
              <w:rPr>
                <w:rFonts w:ascii="Times New Roman" w:hAnsi="Times New Roman" w:cs="Times New Roman"/>
                <w:sz w:val="24"/>
                <w:szCs w:val="24"/>
              </w:rPr>
              <w:softHyphen/>
              <w:t>nos</w:t>
            </w:r>
            <w:r w:rsidRPr="00057759">
              <w:rPr>
                <w:rFonts w:ascii="Times New Roman" w:hAnsi="Times New Roman" w:cs="Times New Roman"/>
                <w:sz w:val="24"/>
                <w:szCs w:val="24"/>
              </w:rPr>
              <w:softHyphen/>
              <w:t>tički, odnosno terapijski postupak izjavom u obliku javnobilježničkog akta ili pred dva svjedoka iskazanom izjavom o imenovanju poslovno sposobne osobe koja će u njeno ime prihvaćati ili odbijati pojedini takav postupak.</w:t>
            </w:r>
          </w:p>
          <w:p w14:paraId="2AAB97F8" w14:textId="77777777"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t>Nadalje, ovim zakonom posebno je predviđena i propisana Zaštita pacijenta koji nije sposoban dati pristanak.</w:t>
            </w:r>
          </w:p>
          <w:p w14:paraId="13F1C277" w14:textId="77777777"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t>Za pacijenta koji nije pri svijesti, za pacijenta s težom duševnom smetnjom te za poslovno nesposobnog ili maloljetnog pacijenta, osim u slučaju neodgodive medicinske intervencije, suglasnost iz članka 16. stavka 2. ovoga Zakona potpisuje zakonski zastupnik, odnosno skrbnik pacijenta.</w:t>
            </w:r>
          </w:p>
          <w:p w14:paraId="5F1EDB13" w14:textId="01646A62"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t>Ukoliko su interesi pacijenata iz stavka 1. ovoga članka i njihovih zakonskih zastupnika, odnosno skrbnika suprotstavljeni, zdravstveni radnik je dužan odmah o tome obavijestiti nadležni centar za socijalnu skrb.</w:t>
            </w:r>
          </w:p>
        </w:tc>
      </w:tr>
      <w:tr w:rsidR="005F3233" w:rsidRPr="00057759" w14:paraId="4BD792CB" w14:textId="77777777" w:rsidTr="005F3233">
        <w:trPr>
          <w:trHeight w:val="611"/>
        </w:trPr>
        <w:tc>
          <w:tcPr>
            <w:tcW w:w="3078" w:type="dxa"/>
            <w:vMerge w:val="restart"/>
            <w:shd w:val="clear" w:color="auto" w:fill="F2F2F2" w:themeFill="background1" w:themeFillShade="F2"/>
          </w:tcPr>
          <w:p w14:paraId="201DC89A" w14:textId="77777777"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lastRenderedPageBreak/>
              <w:t xml:space="preserve">Naziv nacionalnog propisa koji je usklađen s UN Konvencijom o pravima osoba s invaliditetom </w:t>
            </w:r>
          </w:p>
          <w:p w14:paraId="31A58BD2" w14:textId="77777777" w:rsidR="005F3233" w:rsidRPr="00057759" w:rsidRDefault="005F3233" w:rsidP="005F3233">
            <w:pPr>
              <w:spacing w:after="0"/>
              <w:rPr>
                <w:rFonts w:ascii="Times New Roman" w:hAnsi="Times New Roman" w:cs="Times New Roman"/>
                <w:sz w:val="24"/>
                <w:szCs w:val="24"/>
              </w:rPr>
            </w:pPr>
          </w:p>
          <w:p w14:paraId="36F1C2E5" w14:textId="77777777"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t>U kojem djelu se izvršilo usklađivanje</w:t>
            </w:r>
          </w:p>
          <w:p w14:paraId="73CE893B" w14:textId="77777777" w:rsidR="005F3233" w:rsidRPr="00057759" w:rsidRDefault="005F3233" w:rsidP="005F3233">
            <w:pPr>
              <w:spacing w:after="0"/>
              <w:rPr>
                <w:rFonts w:ascii="Times New Roman" w:hAnsi="Times New Roman" w:cs="Times New Roman"/>
                <w:sz w:val="24"/>
                <w:szCs w:val="24"/>
              </w:rPr>
            </w:pPr>
          </w:p>
        </w:tc>
        <w:tc>
          <w:tcPr>
            <w:tcW w:w="6698" w:type="dxa"/>
            <w:gridSpan w:val="2"/>
            <w:shd w:val="clear" w:color="auto" w:fill="D9E2F3" w:themeFill="accent1" w:themeFillTint="33"/>
            <w:hideMark/>
          </w:tcPr>
          <w:p w14:paraId="5573858F" w14:textId="77777777"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t>Zakon o Hrvatskom registru o osobama s invaliditetom (Narodne novine, broj 64/01)</w:t>
            </w:r>
          </w:p>
        </w:tc>
      </w:tr>
      <w:tr w:rsidR="005F3233" w:rsidRPr="00057759" w14:paraId="6B7FD77F" w14:textId="77777777" w:rsidTr="005F3233">
        <w:trPr>
          <w:trHeight w:val="840"/>
        </w:trPr>
        <w:tc>
          <w:tcPr>
            <w:tcW w:w="0" w:type="auto"/>
            <w:vMerge/>
            <w:shd w:val="clear" w:color="auto" w:fill="F2F2F2" w:themeFill="background1" w:themeFillShade="F2"/>
            <w:hideMark/>
          </w:tcPr>
          <w:p w14:paraId="28275967" w14:textId="77777777" w:rsidR="005F3233" w:rsidRPr="00057759" w:rsidRDefault="005F3233" w:rsidP="005F3233">
            <w:pPr>
              <w:spacing w:after="0"/>
              <w:rPr>
                <w:rFonts w:ascii="Times New Roman" w:hAnsi="Times New Roman" w:cs="Times New Roman"/>
                <w:sz w:val="24"/>
                <w:szCs w:val="24"/>
              </w:rPr>
            </w:pPr>
          </w:p>
        </w:tc>
        <w:tc>
          <w:tcPr>
            <w:tcW w:w="6698" w:type="dxa"/>
            <w:gridSpan w:val="2"/>
          </w:tcPr>
          <w:p w14:paraId="089D8E3A" w14:textId="77777777"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t>Zakonom se uređuje način prikupljanja podataka o uzroku, vrsti, stupnju i težini oštećenja zdravlja osoba s invaliditetom, način obrade i korištenja podataka te zaštita podataka o osobama s invaliditetom.</w:t>
            </w:r>
          </w:p>
          <w:p w14:paraId="1F65F754" w14:textId="33E0A5A3"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t>Zakon je usklađen s odredbama Zakona o potvrđivanju Konvencije o pravima osoba s invaliditetom i Fakultativnog protokola uz Konvenciju o pravima osoba s  invaliditetom (Narodne novine</w:t>
            </w:r>
            <w:r w:rsidR="00177CFE">
              <w:rPr>
                <w:rFonts w:ascii="Times New Roman" w:hAnsi="Times New Roman" w:cs="Times New Roman"/>
                <w:sz w:val="24"/>
                <w:szCs w:val="24"/>
              </w:rPr>
              <w:t>,</w:t>
            </w:r>
            <w:r w:rsidRPr="00057759">
              <w:rPr>
                <w:rFonts w:ascii="Times New Roman" w:hAnsi="Times New Roman" w:cs="Times New Roman"/>
                <w:sz w:val="24"/>
                <w:szCs w:val="24"/>
              </w:rPr>
              <w:t xml:space="preserve"> broj 6/07) i to:</w:t>
            </w:r>
          </w:p>
          <w:p w14:paraId="25CE0418" w14:textId="77777777"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t>članka 22. (Poštivanje privatnosti) točke 2. kojom je propisano: „2. Države stranke zaštitit će privatnost osobnih i zdravstvenih podataka te podataka o rehabilitaciji osoba s invaliditetom, na ravnopravnoj osnovi s drugima.“ i članka 31. (Statistika i prikupljanje podataka)</w:t>
            </w:r>
          </w:p>
        </w:tc>
      </w:tr>
      <w:tr w:rsidR="005F3233" w:rsidRPr="00057759" w14:paraId="661B8D2B" w14:textId="77777777" w:rsidTr="003B1D7E">
        <w:trPr>
          <w:trHeight w:val="616"/>
        </w:trPr>
        <w:tc>
          <w:tcPr>
            <w:tcW w:w="3078" w:type="dxa"/>
            <w:vMerge w:val="restart"/>
            <w:shd w:val="clear" w:color="auto" w:fill="F2F2F2" w:themeFill="background1" w:themeFillShade="F2"/>
          </w:tcPr>
          <w:p w14:paraId="227B079E" w14:textId="77777777"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lastRenderedPageBreak/>
              <w:t xml:space="preserve">Naziv nacionalnog propisa koji je usklađen s UN Konvencijom o pravima osoba s invaliditetom </w:t>
            </w:r>
          </w:p>
          <w:p w14:paraId="64E00233" w14:textId="77777777" w:rsidR="005F3233" w:rsidRPr="00057759" w:rsidRDefault="005F3233" w:rsidP="005F3233">
            <w:pPr>
              <w:spacing w:after="0"/>
              <w:rPr>
                <w:rFonts w:ascii="Times New Roman" w:hAnsi="Times New Roman" w:cs="Times New Roman"/>
                <w:sz w:val="24"/>
                <w:szCs w:val="24"/>
              </w:rPr>
            </w:pPr>
          </w:p>
          <w:p w14:paraId="00C15B83" w14:textId="77777777"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t>U kojem djelu se izvršilo usklađivanje</w:t>
            </w:r>
          </w:p>
          <w:p w14:paraId="14E0632B" w14:textId="77777777" w:rsidR="005F3233" w:rsidRPr="00057759" w:rsidRDefault="005F3233" w:rsidP="005F3233">
            <w:pPr>
              <w:spacing w:after="0"/>
              <w:rPr>
                <w:rFonts w:ascii="Times New Roman" w:hAnsi="Times New Roman" w:cs="Times New Roman"/>
                <w:sz w:val="24"/>
                <w:szCs w:val="24"/>
              </w:rPr>
            </w:pPr>
          </w:p>
        </w:tc>
        <w:tc>
          <w:tcPr>
            <w:tcW w:w="6698" w:type="dxa"/>
            <w:gridSpan w:val="2"/>
            <w:shd w:val="clear" w:color="auto" w:fill="D9E2F3" w:themeFill="accent1" w:themeFillTint="33"/>
            <w:hideMark/>
          </w:tcPr>
          <w:p w14:paraId="3645C009" w14:textId="77777777"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t xml:space="preserve">Pravilnik o znaku pristupačnosti </w:t>
            </w:r>
          </w:p>
          <w:p w14:paraId="2CE4F1C3" w14:textId="77777777"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t>(Narodne novine, br. 78/08 i 87/14)</w:t>
            </w:r>
          </w:p>
        </w:tc>
      </w:tr>
      <w:tr w:rsidR="005F3233" w:rsidRPr="00057759" w14:paraId="51B0E19C" w14:textId="77777777" w:rsidTr="005F3233">
        <w:trPr>
          <w:trHeight w:val="726"/>
        </w:trPr>
        <w:tc>
          <w:tcPr>
            <w:tcW w:w="0" w:type="auto"/>
            <w:vMerge/>
            <w:shd w:val="clear" w:color="auto" w:fill="F2F2F2" w:themeFill="background1" w:themeFillShade="F2"/>
            <w:hideMark/>
          </w:tcPr>
          <w:p w14:paraId="4A03A7D3" w14:textId="77777777" w:rsidR="005F3233" w:rsidRPr="00057759" w:rsidRDefault="005F3233" w:rsidP="005F3233">
            <w:pPr>
              <w:spacing w:after="0"/>
              <w:rPr>
                <w:rFonts w:ascii="Times New Roman" w:hAnsi="Times New Roman" w:cs="Times New Roman"/>
                <w:sz w:val="24"/>
                <w:szCs w:val="24"/>
              </w:rPr>
            </w:pPr>
          </w:p>
        </w:tc>
        <w:tc>
          <w:tcPr>
            <w:tcW w:w="6698" w:type="dxa"/>
            <w:gridSpan w:val="2"/>
          </w:tcPr>
          <w:p w14:paraId="094A3780" w14:textId="77777777"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t>Pravilnikom se propisuje izgled znaka, uvjeti za njegovo stjecanje, način obilježavanja parkirališnog mjesta te prava koja se na temelju njega mogu ostvariti.</w:t>
            </w:r>
          </w:p>
          <w:p w14:paraId="7F3FE7E9" w14:textId="44EAEA74"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t>Pravo na znak pristupačnosti ima osoba sa 80 ili više posto tjelesnog oštećenja, odnosno osobe koje imaju oštećenja donjih ekstremiteta 60 ili više posto.</w:t>
            </w:r>
            <w:r w:rsidRPr="00057759">
              <w:rPr>
                <w:rFonts w:ascii="Times New Roman" w:hAnsi="Times New Roman" w:cs="Times New Roman"/>
                <w:sz w:val="24"/>
                <w:szCs w:val="24"/>
              </w:rPr>
              <w:br/>
              <w:t>Pravo na znak pristupačnosti iz stavka 1. članka 2 ima i vozilo udruge osoba s invaliditetom.</w:t>
            </w:r>
            <w:r w:rsidRPr="00057759">
              <w:rPr>
                <w:rFonts w:ascii="Times New Roman" w:hAnsi="Times New Roman" w:cs="Times New Roman"/>
                <w:sz w:val="24"/>
                <w:szCs w:val="24"/>
              </w:rPr>
              <w:br/>
              <w:t>Pravo koje proizlazi iz znaka pristupačnosti ne može koristiti osoba koja nije osoba s invaliditetom. Znak pristupačnosti omogućava parkiranje vozila kojima se prevoze osobe s invaliditetom na parkirališna mjesta koja su za tu svrhu posebno obilježena. Pravilnik je usklađen s odredbama Zakona o potvrđivanju Konvencije o pravima osoba s invaliditetom i Fakultativnog protokola uz Konvenciju o pravima osoba s</w:t>
            </w:r>
            <w:r w:rsidR="00177CFE">
              <w:rPr>
                <w:rFonts w:ascii="Times New Roman" w:hAnsi="Times New Roman" w:cs="Times New Roman"/>
                <w:sz w:val="24"/>
                <w:szCs w:val="24"/>
              </w:rPr>
              <w:t xml:space="preserve"> </w:t>
            </w:r>
            <w:r w:rsidRPr="00057759">
              <w:rPr>
                <w:rFonts w:ascii="Times New Roman" w:hAnsi="Times New Roman" w:cs="Times New Roman"/>
                <w:sz w:val="24"/>
                <w:szCs w:val="24"/>
              </w:rPr>
              <w:t>invaliditetom (Narodne novine</w:t>
            </w:r>
            <w:r w:rsidR="00177CFE">
              <w:rPr>
                <w:rFonts w:ascii="Times New Roman" w:hAnsi="Times New Roman" w:cs="Times New Roman"/>
                <w:sz w:val="24"/>
                <w:szCs w:val="24"/>
              </w:rPr>
              <w:t>,</w:t>
            </w:r>
            <w:r w:rsidRPr="00057759">
              <w:rPr>
                <w:rFonts w:ascii="Times New Roman" w:hAnsi="Times New Roman" w:cs="Times New Roman"/>
                <w:sz w:val="24"/>
                <w:szCs w:val="24"/>
              </w:rPr>
              <w:t xml:space="preserve"> broj 6/07) i to: člankom 9. Pristupačnost, člankom 19. Neovisno življenje i uključenost u zajednicu i člankom 20. Osobna pokretljivost.</w:t>
            </w:r>
          </w:p>
        </w:tc>
      </w:tr>
      <w:tr w:rsidR="005F3233" w:rsidRPr="00057759" w14:paraId="095B20AD" w14:textId="77777777" w:rsidTr="00816216">
        <w:tc>
          <w:tcPr>
            <w:tcW w:w="3078" w:type="dxa"/>
            <w:shd w:val="clear" w:color="auto" w:fill="F2F2F2" w:themeFill="background1" w:themeFillShade="F2"/>
          </w:tcPr>
          <w:p w14:paraId="09CC0334" w14:textId="77777777"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t>Tijelo državne uprave koje dostavlja podatke</w:t>
            </w:r>
          </w:p>
        </w:tc>
        <w:tc>
          <w:tcPr>
            <w:tcW w:w="6698" w:type="dxa"/>
            <w:gridSpan w:val="2"/>
            <w:shd w:val="clear" w:color="auto" w:fill="E2EFD9" w:themeFill="accent6" w:themeFillTint="33"/>
            <w:vAlign w:val="center"/>
          </w:tcPr>
          <w:p w14:paraId="72A39A16" w14:textId="77777777"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t>MINISTARSTVO HRVATSKIH BRANITELJA</w:t>
            </w:r>
          </w:p>
        </w:tc>
      </w:tr>
      <w:tr w:rsidR="005F3233" w:rsidRPr="00057759" w14:paraId="43957C94" w14:textId="77777777" w:rsidTr="005F3233">
        <w:tc>
          <w:tcPr>
            <w:tcW w:w="3078" w:type="dxa"/>
            <w:shd w:val="clear" w:color="auto" w:fill="F2F2F2" w:themeFill="background1" w:themeFillShade="F2"/>
          </w:tcPr>
          <w:p w14:paraId="080148DE" w14:textId="77777777"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t>Ukupan broj propisa u  nadležnosti Ministarstva</w:t>
            </w:r>
          </w:p>
        </w:tc>
        <w:tc>
          <w:tcPr>
            <w:tcW w:w="6698" w:type="dxa"/>
            <w:gridSpan w:val="2"/>
          </w:tcPr>
          <w:p w14:paraId="34553315" w14:textId="77777777" w:rsidR="005F3233" w:rsidRPr="00057759" w:rsidRDefault="005F3233" w:rsidP="005F3233">
            <w:pPr>
              <w:spacing w:after="0"/>
              <w:rPr>
                <w:rFonts w:ascii="Times New Roman" w:hAnsi="Times New Roman" w:cs="Times New Roman"/>
                <w:sz w:val="24"/>
                <w:szCs w:val="24"/>
              </w:rPr>
            </w:pPr>
          </w:p>
        </w:tc>
      </w:tr>
      <w:tr w:rsidR="005F3233" w:rsidRPr="00057759" w14:paraId="569251F5" w14:textId="77777777" w:rsidTr="005F3233">
        <w:tc>
          <w:tcPr>
            <w:tcW w:w="3078" w:type="dxa"/>
            <w:shd w:val="clear" w:color="auto" w:fill="F2F2F2" w:themeFill="background1" w:themeFillShade="F2"/>
          </w:tcPr>
          <w:p w14:paraId="58D90C56" w14:textId="77777777"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t>Ukupan broj propisa iz Vaše nadležnosti koji je usklađen s UN Konvencijom o pravima osoba s invaliditetom</w:t>
            </w:r>
          </w:p>
        </w:tc>
        <w:tc>
          <w:tcPr>
            <w:tcW w:w="6698" w:type="dxa"/>
            <w:gridSpan w:val="2"/>
          </w:tcPr>
          <w:p w14:paraId="19BB1F87" w14:textId="77777777" w:rsidR="005F3233" w:rsidRPr="00057759" w:rsidRDefault="005F3233" w:rsidP="005F3233">
            <w:pPr>
              <w:spacing w:after="0"/>
              <w:rPr>
                <w:rFonts w:ascii="Times New Roman" w:hAnsi="Times New Roman" w:cs="Times New Roman"/>
                <w:sz w:val="24"/>
                <w:szCs w:val="24"/>
              </w:rPr>
            </w:pPr>
          </w:p>
          <w:p w14:paraId="3AB5412E" w14:textId="77777777"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t>1</w:t>
            </w:r>
            <w:r>
              <w:rPr>
                <w:rFonts w:ascii="Times New Roman" w:hAnsi="Times New Roman" w:cs="Times New Roman"/>
                <w:sz w:val="24"/>
                <w:szCs w:val="24"/>
              </w:rPr>
              <w:t>4</w:t>
            </w:r>
            <w:r w:rsidRPr="00057759">
              <w:rPr>
                <w:rFonts w:ascii="Times New Roman" w:hAnsi="Times New Roman" w:cs="Times New Roman"/>
                <w:sz w:val="24"/>
                <w:szCs w:val="24"/>
              </w:rPr>
              <w:t xml:space="preserve"> propisa koji se odnose na osobe s invaliditetom (</w:t>
            </w:r>
            <w:r>
              <w:rPr>
                <w:rFonts w:ascii="Times New Roman" w:hAnsi="Times New Roman" w:cs="Times New Roman"/>
                <w:sz w:val="24"/>
                <w:szCs w:val="24"/>
              </w:rPr>
              <w:t>2</w:t>
            </w:r>
            <w:r w:rsidRPr="00057759">
              <w:rPr>
                <w:rFonts w:ascii="Times New Roman" w:hAnsi="Times New Roman" w:cs="Times New Roman"/>
                <w:sz w:val="24"/>
                <w:szCs w:val="24"/>
              </w:rPr>
              <w:t xml:space="preserve"> zakona, 1 uredba i 1</w:t>
            </w:r>
            <w:r>
              <w:rPr>
                <w:rFonts w:ascii="Times New Roman" w:hAnsi="Times New Roman" w:cs="Times New Roman"/>
                <w:sz w:val="24"/>
                <w:szCs w:val="24"/>
              </w:rPr>
              <w:t>0</w:t>
            </w:r>
            <w:r w:rsidRPr="00057759">
              <w:rPr>
                <w:rFonts w:ascii="Times New Roman" w:hAnsi="Times New Roman" w:cs="Times New Roman"/>
                <w:sz w:val="24"/>
                <w:szCs w:val="24"/>
              </w:rPr>
              <w:t xml:space="preserve"> pravilnika)</w:t>
            </w:r>
          </w:p>
        </w:tc>
      </w:tr>
      <w:tr w:rsidR="005F3233" w:rsidRPr="00057759" w14:paraId="6C61753E" w14:textId="77777777" w:rsidTr="005F3233">
        <w:trPr>
          <w:trHeight w:val="1703"/>
        </w:trPr>
        <w:tc>
          <w:tcPr>
            <w:tcW w:w="3078" w:type="dxa"/>
            <w:shd w:val="clear" w:color="auto" w:fill="F2F2F2" w:themeFill="background1" w:themeFillShade="F2"/>
          </w:tcPr>
          <w:p w14:paraId="465F1273" w14:textId="77777777"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t xml:space="preserve">Naziv nacionalnog propisa koji je usklađen s UN Konvencijom o pravima osoba s invaliditetom </w:t>
            </w:r>
          </w:p>
          <w:p w14:paraId="48539593" w14:textId="77777777" w:rsidR="005F3233" w:rsidRPr="00057759" w:rsidRDefault="005F3233" w:rsidP="005F3233">
            <w:pPr>
              <w:spacing w:after="0"/>
              <w:rPr>
                <w:rFonts w:ascii="Times New Roman" w:hAnsi="Times New Roman" w:cs="Times New Roman"/>
                <w:sz w:val="24"/>
                <w:szCs w:val="24"/>
              </w:rPr>
            </w:pPr>
          </w:p>
          <w:p w14:paraId="499E1366" w14:textId="77777777"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t>U kojem djelu se izvršilo usklađivanje</w:t>
            </w:r>
          </w:p>
          <w:p w14:paraId="505B1894" w14:textId="77777777" w:rsidR="005F3233" w:rsidRPr="00057759" w:rsidRDefault="005F3233" w:rsidP="005F3233">
            <w:pPr>
              <w:spacing w:after="0"/>
              <w:rPr>
                <w:rFonts w:ascii="Times New Roman" w:hAnsi="Times New Roman" w:cs="Times New Roman"/>
                <w:sz w:val="24"/>
                <w:szCs w:val="24"/>
              </w:rPr>
            </w:pPr>
          </w:p>
        </w:tc>
        <w:tc>
          <w:tcPr>
            <w:tcW w:w="6698" w:type="dxa"/>
            <w:gridSpan w:val="2"/>
          </w:tcPr>
          <w:p w14:paraId="51CACE84" w14:textId="77777777" w:rsidR="005F3233" w:rsidRPr="00057759" w:rsidRDefault="005F3233" w:rsidP="005F3233">
            <w:pPr>
              <w:spacing w:after="0"/>
              <w:rPr>
                <w:rFonts w:ascii="Times New Roman" w:hAnsi="Times New Roman" w:cs="Times New Roman"/>
                <w:sz w:val="24"/>
                <w:szCs w:val="24"/>
              </w:rPr>
            </w:pPr>
            <w:r>
              <w:rPr>
                <w:rFonts w:ascii="Times New Roman" w:hAnsi="Times New Roman" w:cs="Times New Roman"/>
                <w:sz w:val="24"/>
                <w:szCs w:val="24"/>
              </w:rPr>
              <w:t>Prilikom donošenja/izmjena propisa kao i planiranja financijskih sredstava Ministarstvo se rukovodilo Konvencijom UN-a o pravima osoba s invaliditetom kao i preporukama iz Zaključne primjedbe UN-ovog Odbora za prava osoba s invaliditetom o Inicijalnom izvješću RH, počevši od uključenosti osoba s invaliditetom u proces donošenja propisa, proširivanjem prava osoba s invaliditetom kako bi odgovarali potrebama korisnika u području zdravlja, životnog standarda, rada i zapošljavanje, poboljšanju pristupačnosti i dr.</w:t>
            </w:r>
          </w:p>
        </w:tc>
      </w:tr>
      <w:tr w:rsidR="005F3233" w:rsidRPr="00057759" w14:paraId="69D983BE" w14:textId="77777777" w:rsidTr="00BB3A51">
        <w:tc>
          <w:tcPr>
            <w:tcW w:w="3078" w:type="dxa"/>
            <w:shd w:val="clear" w:color="auto" w:fill="F2F2F2" w:themeFill="background1" w:themeFillShade="F2"/>
          </w:tcPr>
          <w:p w14:paraId="71DBBCD0" w14:textId="77777777"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t>Tijelo državne uprave koje dostavlja podatke</w:t>
            </w:r>
          </w:p>
        </w:tc>
        <w:tc>
          <w:tcPr>
            <w:tcW w:w="6698" w:type="dxa"/>
            <w:gridSpan w:val="2"/>
            <w:shd w:val="clear" w:color="auto" w:fill="E2EFD9" w:themeFill="accent6" w:themeFillTint="33"/>
            <w:vAlign w:val="center"/>
          </w:tcPr>
          <w:p w14:paraId="15E769FB" w14:textId="77777777"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t>MINISTARSTVO KULTURE</w:t>
            </w:r>
          </w:p>
        </w:tc>
      </w:tr>
      <w:tr w:rsidR="005F3233" w:rsidRPr="00057759" w14:paraId="48F2860B" w14:textId="77777777" w:rsidTr="005F3233">
        <w:tc>
          <w:tcPr>
            <w:tcW w:w="3078" w:type="dxa"/>
            <w:shd w:val="clear" w:color="auto" w:fill="F2F2F2" w:themeFill="background1" w:themeFillShade="F2"/>
          </w:tcPr>
          <w:p w14:paraId="58A00DC0" w14:textId="77777777"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t>Ukupan broj propisa u  nadležnosti Ministarstva</w:t>
            </w:r>
          </w:p>
        </w:tc>
        <w:tc>
          <w:tcPr>
            <w:tcW w:w="6698" w:type="dxa"/>
            <w:gridSpan w:val="2"/>
          </w:tcPr>
          <w:p w14:paraId="0F3C7703" w14:textId="77777777"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t>100 Zakoni, Pravilnici, Uredbe</w:t>
            </w:r>
          </w:p>
          <w:p w14:paraId="1DAE7606" w14:textId="77777777" w:rsidR="005F3233" w:rsidRPr="00057759" w:rsidRDefault="005F3233" w:rsidP="005F3233">
            <w:pPr>
              <w:spacing w:after="0"/>
              <w:rPr>
                <w:rFonts w:ascii="Times New Roman" w:hAnsi="Times New Roman" w:cs="Times New Roman"/>
                <w:sz w:val="24"/>
                <w:szCs w:val="24"/>
              </w:rPr>
            </w:pPr>
          </w:p>
        </w:tc>
      </w:tr>
      <w:tr w:rsidR="005F3233" w:rsidRPr="00057759" w14:paraId="2918F8D0" w14:textId="77777777" w:rsidTr="005F3233">
        <w:tc>
          <w:tcPr>
            <w:tcW w:w="3078" w:type="dxa"/>
            <w:shd w:val="clear" w:color="auto" w:fill="F2F2F2" w:themeFill="background1" w:themeFillShade="F2"/>
          </w:tcPr>
          <w:p w14:paraId="1B0D20E0" w14:textId="77777777"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t>Ukupan broj propisa iz Vaše nadležnosti koji je usklađen s UN Konvencijom o pravima osoba s invaliditetom</w:t>
            </w:r>
          </w:p>
        </w:tc>
        <w:tc>
          <w:tcPr>
            <w:tcW w:w="6698" w:type="dxa"/>
            <w:gridSpan w:val="2"/>
          </w:tcPr>
          <w:p w14:paraId="61B2F2C9" w14:textId="77777777"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t>4</w:t>
            </w:r>
          </w:p>
        </w:tc>
      </w:tr>
      <w:tr w:rsidR="005F3233" w:rsidRPr="00057759" w14:paraId="2AEA13A0" w14:textId="77777777" w:rsidTr="003B1D7E">
        <w:trPr>
          <w:trHeight w:val="552"/>
        </w:trPr>
        <w:tc>
          <w:tcPr>
            <w:tcW w:w="3078" w:type="dxa"/>
            <w:vMerge w:val="restart"/>
            <w:shd w:val="clear" w:color="auto" w:fill="F2F2F2" w:themeFill="background1" w:themeFillShade="F2"/>
          </w:tcPr>
          <w:p w14:paraId="3E0E1DB4" w14:textId="77777777"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lastRenderedPageBreak/>
              <w:t xml:space="preserve">Naziv nacionalnog propisa koji je usklađen s UN Konvencijom o pravima osoba s invaliditetom </w:t>
            </w:r>
          </w:p>
          <w:p w14:paraId="3E964993" w14:textId="77777777" w:rsidR="005F3233" w:rsidRPr="00057759" w:rsidRDefault="005F3233" w:rsidP="005F3233">
            <w:pPr>
              <w:spacing w:after="0"/>
              <w:rPr>
                <w:rFonts w:ascii="Times New Roman" w:hAnsi="Times New Roman" w:cs="Times New Roman"/>
                <w:sz w:val="24"/>
                <w:szCs w:val="24"/>
              </w:rPr>
            </w:pPr>
          </w:p>
          <w:p w14:paraId="2691554F" w14:textId="77777777"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t>U kojem djelu se izvršilo usklađivanje</w:t>
            </w:r>
          </w:p>
          <w:p w14:paraId="3082876D" w14:textId="77777777" w:rsidR="005F3233" w:rsidRPr="00057759" w:rsidRDefault="005F3233" w:rsidP="005F3233">
            <w:pPr>
              <w:spacing w:after="0"/>
              <w:rPr>
                <w:rFonts w:ascii="Times New Roman" w:hAnsi="Times New Roman" w:cs="Times New Roman"/>
                <w:sz w:val="24"/>
                <w:szCs w:val="24"/>
              </w:rPr>
            </w:pPr>
          </w:p>
        </w:tc>
        <w:tc>
          <w:tcPr>
            <w:tcW w:w="6698" w:type="dxa"/>
            <w:gridSpan w:val="2"/>
            <w:shd w:val="clear" w:color="auto" w:fill="D9E2F3" w:themeFill="accent1" w:themeFillTint="33"/>
          </w:tcPr>
          <w:p w14:paraId="729FDCFC" w14:textId="77777777"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t xml:space="preserve">Zakon o audiovizualnoj djelatnosti </w:t>
            </w:r>
          </w:p>
          <w:p w14:paraId="79ED97EB" w14:textId="77777777"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t>(Narodne novine, broj 61/18)</w:t>
            </w:r>
          </w:p>
        </w:tc>
      </w:tr>
      <w:tr w:rsidR="005F3233" w:rsidRPr="00057759" w14:paraId="054F458C" w14:textId="77777777" w:rsidTr="005F3233">
        <w:trPr>
          <w:trHeight w:val="810"/>
        </w:trPr>
        <w:tc>
          <w:tcPr>
            <w:tcW w:w="3078" w:type="dxa"/>
            <w:vMerge/>
            <w:shd w:val="clear" w:color="auto" w:fill="F2F2F2" w:themeFill="background1" w:themeFillShade="F2"/>
          </w:tcPr>
          <w:p w14:paraId="70FFA156" w14:textId="77777777" w:rsidR="005F3233" w:rsidRPr="00057759" w:rsidRDefault="005F3233" w:rsidP="005F3233">
            <w:pPr>
              <w:spacing w:after="0"/>
              <w:rPr>
                <w:rFonts w:ascii="Times New Roman" w:hAnsi="Times New Roman" w:cs="Times New Roman"/>
                <w:sz w:val="24"/>
                <w:szCs w:val="24"/>
              </w:rPr>
            </w:pPr>
          </w:p>
        </w:tc>
        <w:tc>
          <w:tcPr>
            <w:tcW w:w="6698" w:type="dxa"/>
            <w:gridSpan w:val="2"/>
          </w:tcPr>
          <w:p w14:paraId="19DD53A2" w14:textId="77777777"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t>S člankom 5. UN-ove Konvencije o pravima osoba s invaliditetom, promicanje se jednakosti i ne diskriminacije osobe s invaliditetom.</w:t>
            </w:r>
          </w:p>
          <w:p w14:paraId="59AE0DAB" w14:textId="03E2D3AD" w:rsidR="005F3233" w:rsidRPr="00057759" w:rsidRDefault="005F3233" w:rsidP="00C84654">
            <w:pPr>
              <w:spacing w:after="0"/>
              <w:rPr>
                <w:rFonts w:ascii="Times New Roman" w:hAnsi="Times New Roman" w:cs="Times New Roman"/>
                <w:sz w:val="24"/>
                <w:szCs w:val="24"/>
              </w:rPr>
            </w:pPr>
            <w:r w:rsidRPr="00057759">
              <w:rPr>
                <w:rFonts w:ascii="Times New Roman" w:hAnsi="Times New Roman" w:cs="Times New Roman"/>
                <w:sz w:val="24"/>
                <w:szCs w:val="24"/>
              </w:rPr>
              <w:t>Nastavno na navedenu odredbu skrećemo pozornost na članak 27. Zakona o audiovizualnoj</w:t>
            </w:r>
            <w:r w:rsidR="00C84654">
              <w:rPr>
                <w:rFonts w:ascii="Times New Roman" w:hAnsi="Times New Roman" w:cs="Times New Roman"/>
                <w:sz w:val="24"/>
                <w:szCs w:val="24"/>
              </w:rPr>
              <w:t xml:space="preserve"> </w:t>
            </w:r>
            <w:r w:rsidRPr="00057759">
              <w:rPr>
                <w:rFonts w:ascii="Times New Roman" w:hAnsi="Times New Roman" w:cs="Times New Roman"/>
                <w:sz w:val="24"/>
                <w:szCs w:val="24"/>
              </w:rPr>
              <w:t>djelatnosti koji propisuje kako Hrvatski audiovizualni centar promiče vrijednosti i potiče mjere</w:t>
            </w:r>
            <w:r w:rsidR="00C84654">
              <w:rPr>
                <w:rFonts w:ascii="Times New Roman" w:hAnsi="Times New Roman" w:cs="Times New Roman"/>
                <w:sz w:val="24"/>
                <w:szCs w:val="24"/>
              </w:rPr>
              <w:t xml:space="preserve"> </w:t>
            </w:r>
            <w:r w:rsidRPr="00057759">
              <w:rPr>
                <w:rFonts w:ascii="Times New Roman" w:hAnsi="Times New Roman" w:cs="Times New Roman"/>
                <w:sz w:val="24"/>
                <w:szCs w:val="24"/>
              </w:rPr>
              <w:t>važne za zaštitu prava i interesa djece i mladeži, ravnopravnost spolova, rasa, nacionalnih</w:t>
            </w:r>
            <w:r w:rsidR="00C84654">
              <w:rPr>
                <w:rFonts w:ascii="Times New Roman" w:hAnsi="Times New Roman" w:cs="Times New Roman"/>
                <w:sz w:val="24"/>
                <w:szCs w:val="24"/>
              </w:rPr>
              <w:t xml:space="preserve"> </w:t>
            </w:r>
            <w:r w:rsidRPr="00057759">
              <w:rPr>
                <w:rFonts w:ascii="Times New Roman" w:hAnsi="Times New Roman" w:cs="Times New Roman"/>
                <w:sz w:val="24"/>
                <w:szCs w:val="24"/>
              </w:rPr>
              <w:t>manjina i osoba s invaliditetom</w:t>
            </w:r>
          </w:p>
        </w:tc>
      </w:tr>
      <w:tr w:rsidR="005F3233" w:rsidRPr="00057759" w14:paraId="380C5CB2" w14:textId="77777777" w:rsidTr="003B1D7E">
        <w:trPr>
          <w:trHeight w:val="670"/>
        </w:trPr>
        <w:tc>
          <w:tcPr>
            <w:tcW w:w="3078" w:type="dxa"/>
            <w:vMerge w:val="restart"/>
            <w:shd w:val="clear" w:color="auto" w:fill="F2F2F2" w:themeFill="background1" w:themeFillShade="F2"/>
          </w:tcPr>
          <w:p w14:paraId="4D2BB8F7" w14:textId="77777777"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t xml:space="preserve">Naziv nacionalnog propisa koji je usklađen s UN Konvencijom o pravima osoba s invaliditetom </w:t>
            </w:r>
          </w:p>
          <w:p w14:paraId="2163C2E9" w14:textId="77777777" w:rsidR="005F3233" w:rsidRPr="00057759" w:rsidRDefault="005F3233" w:rsidP="005F3233">
            <w:pPr>
              <w:spacing w:after="0"/>
              <w:rPr>
                <w:rFonts w:ascii="Times New Roman" w:hAnsi="Times New Roman" w:cs="Times New Roman"/>
                <w:sz w:val="24"/>
                <w:szCs w:val="24"/>
              </w:rPr>
            </w:pPr>
          </w:p>
          <w:p w14:paraId="0B391CB2" w14:textId="77777777"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t>U kojem djelu se izvršilo usklađivanje</w:t>
            </w:r>
          </w:p>
          <w:p w14:paraId="290E870C" w14:textId="77777777" w:rsidR="005F3233" w:rsidRPr="00057759" w:rsidRDefault="005F3233" w:rsidP="005F3233">
            <w:pPr>
              <w:spacing w:after="0"/>
              <w:rPr>
                <w:rFonts w:ascii="Times New Roman" w:hAnsi="Times New Roman" w:cs="Times New Roman"/>
                <w:sz w:val="24"/>
                <w:szCs w:val="24"/>
              </w:rPr>
            </w:pPr>
          </w:p>
        </w:tc>
        <w:tc>
          <w:tcPr>
            <w:tcW w:w="6698" w:type="dxa"/>
            <w:gridSpan w:val="2"/>
            <w:shd w:val="clear" w:color="auto" w:fill="D9E2F3" w:themeFill="accent1" w:themeFillTint="33"/>
          </w:tcPr>
          <w:p w14:paraId="47DF0893" w14:textId="77777777"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t xml:space="preserve">Zakon o Hrvatskoj radioteleviziji </w:t>
            </w:r>
          </w:p>
          <w:p w14:paraId="335DFEFF" w14:textId="2C107FD8"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t>(Narodne novine, br. 137/10, 76/12, 78/16, 46/17, 73/17 i 94/18)</w:t>
            </w:r>
          </w:p>
        </w:tc>
      </w:tr>
      <w:tr w:rsidR="005F3233" w:rsidRPr="00057759" w14:paraId="7465DBB8" w14:textId="77777777" w:rsidTr="005F3233">
        <w:trPr>
          <w:trHeight w:val="771"/>
        </w:trPr>
        <w:tc>
          <w:tcPr>
            <w:tcW w:w="3078" w:type="dxa"/>
            <w:vMerge/>
            <w:shd w:val="clear" w:color="auto" w:fill="F2F2F2" w:themeFill="background1" w:themeFillShade="F2"/>
          </w:tcPr>
          <w:p w14:paraId="4D4CED42" w14:textId="77777777" w:rsidR="005F3233" w:rsidRPr="00057759" w:rsidRDefault="005F3233" w:rsidP="005F3233">
            <w:pPr>
              <w:spacing w:after="0"/>
              <w:rPr>
                <w:rFonts w:ascii="Times New Roman" w:hAnsi="Times New Roman" w:cs="Times New Roman"/>
                <w:sz w:val="24"/>
                <w:szCs w:val="24"/>
              </w:rPr>
            </w:pPr>
          </w:p>
        </w:tc>
        <w:tc>
          <w:tcPr>
            <w:tcW w:w="6698" w:type="dxa"/>
            <w:gridSpan w:val="2"/>
          </w:tcPr>
          <w:p w14:paraId="5EBADBE6" w14:textId="530BC432"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t>S člankom 9. UN-ove Konvencije o pravima osoba s invaliditetom ureduje se pitanje</w:t>
            </w:r>
            <w:r w:rsidR="00C84654">
              <w:rPr>
                <w:rFonts w:ascii="Times New Roman" w:hAnsi="Times New Roman" w:cs="Times New Roman"/>
                <w:sz w:val="24"/>
                <w:szCs w:val="24"/>
              </w:rPr>
              <w:t xml:space="preserve"> </w:t>
            </w:r>
            <w:r w:rsidRPr="00057759">
              <w:rPr>
                <w:rFonts w:ascii="Times New Roman" w:hAnsi="Times New Roman" w:cs="Times New Roman"/>
                <w:sz w:val="24"/>
                <w:szCs w:val="24"/>
              </w:rPr>
              <w:t>pristupačnosti, odnosno mjere za osiguravanje pristupačnosti osobama s invaliditetom između ostalog u komunikacijama uključujući informacijske i komunikacijske tehnologije i usluge kao i drugim uslugama. Nadalje u članku 30. Konvencije stavku I . podstavku b., stoji kako države stranke priznaju osobama s invaliditetom pravo na sudjelovanje u kulturnom životu</w:t>
            </w:r>
            <w:r w:rsidR="00C84654">
              <w:rPr>
                <w:rFonts w:ascii="Times New Roman" w:hAnsi="Times New Roman" w:cs="Times New Roman"/>
                <w:sz w:val="24"/>
                <w:szCs w:val="24"/>
              </w:rPr>
              <w:t xml:space="preserve"> </w:t>
            </w:r>
            <w:r w:rsidRPr="00057759">
              <w:rPr>
                <w:rFonts w:ascii="Times New Roman" w:hAnsi="Times New Roman" w:cs="Times New Roman"/>
                <w:sz w:val="24"/>
                <w:szCs w:val="24"/>
              </w:rPr>
              <w:t>na ravnopravnoj osnovi s drugima, te će poduzeti sve odgovarajuće mjere kako bi osigurale</w:t>
            </w:r>
            <w:r w:rsidR="00C84654">
              <w:rPr>
                <w:rFonts w:ascii="Times New Roman" w:hAnsi="Times New Roman" w:cs="Times New Roman"/>
                <w:sz w:val="24"/>
                <w:szCs w:val="24"/>
              </w:rPr>
              <w:t xml:space="preserve"> </w:t>
            </w:r>
            <w:r w:rsidRPr="00057759">
              <w:rPr>
                <w:rFonts w:ascii="Times New Roman" w:hAnsi="Times New Roman" w:cs="Times New Roman"/>
                <w:sz w:val="24"/>
                <w:szCs w:val="24"/>
              </w:rPr>
              <w:t>da osobe s invaliditetom uživaju pristup televizijskim programima, filmovima, kazalištu i</w:t>
            </w:r>
            <w:r w:rsidR="00C84654">
              <w:rPr>
                <w:rFonts w:ascii="Times New Roman" w:hAnsi="Times New Roman" w:cs="Times New Roman"/>
                <w:sz w:val="24"/>
                <w:szCs w:val="24"/>
              </w:rPr>
              <w:t xml:space="preserve"> </w:t>
            </w:r>
            <w:r w:rsidRPr="00057759">
              <w:rPr>
                <w:rFonts w:ascii="Times New Roman" w:hAnsi="Times New Roman" w:cs="Times New Roman"/>
                <w:sz w:val="24"/>
                <w:szCs w:val="24"/>
              </w:rPr>
              <w:t>drugim kulturnim aktivnostima u svim dostupnim oblicima.</w:t>
            </w:r>
          </w:p>
          <w:p w14:paraId="6D540038" w14:textId="64549584"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t>U tom smislu, u članku 9. Zakona o Hrvatskoj radioteleviziji propisano je kako javne usluge</w:t>
            </w:r>
            <w:r w:rsidR="00C84654">
              <w:rPr>
                <w:rFonts w:ascii="Times New Roman" w:hAnsi="Times New Roman" w:cs="Times New Roman"/>
                <w:sz w:val="24"/>
                <w:szCs w:val="24"/>
              </w:rPr>
              <w:t xml:space="preserve"> </w:t>
            </w:r>
            <w:r w:rsidRPr="00057759">
              <w:rPr>
                <w:rFonts w:ascii="Times New Roman" w:hAnsi="Times New Roman" w:cs="Times New Roman"/>
                <w:sz w:val="24"/>
                <w:szCs w:val="24"/>
              </w:rPr>
              <w:t>HRT-a u smislu ovoga Zakona sadrže programske obveze HRT-a koje ispunjavaju</w:t>
            </w:r>
            <w:r w:rsidR="00C84654">
              <w:rPr>
                <w:rFonts w:ascii="Times New Roman" w:hAnsi="Times New Roman" w:cs="Times New Roman"/>
                <w:sz w:val="24"/>
                <w:szCs w:val="24"/>
              </w:rPr>
              <w:t xml:space="preserve"> </w:t>
            </w:r>
            <w:r w:rsidRPr="00057759">
              <w:rPr>
                <w:rFonts w:ascii="Times New Roman" w:hAnsi="Times New Roman" w:cs="Times New Roman"/>
                <w:sz w:val="24"/>
                <w:szCs w:val="24"/>
              </w:rPr>
              <w:t>demokratske, socijalne i kulturne potrebe hrvatskog društva, jamče pluralizam, uključujući</w:t>
            </w:r>
            <w:r w:rsidR="00C84654">
              <w:rPr>
                <w:rFonts w:ascii="Times New Roman" w:hAnsi="Times New Roman" w:cs="Times New Roman"/>
                <w:sz w:val="24"/>
                <w:szCs w:val="24"/>
              </w:rPr>
              <w:t xml:space="preserve"> </w:t>
            </w:r>
            <w:r w:rsidRPr="00057759">
              <w:rPr>
                <w:rFonts w:ascii="Times New Roman" w:hAnsi="Times New Roman" w:cs="Times New Roman"/>
                <w:sz w:val="24"/>
                <w:szCs w:val="24"/>
              </w:rPr>
              <w:t>kulturnu i jezičnu raznolikost, a u provedbi programskih obveza HRT je osobito prilagođavati,</w:t>
            </w:r>
            <w:r w:rsidR="00C84654">
              <w:rPr>
                <w:rFonts w:ascii="Times New Roman" w:hAnsi="Times New Roman" w:cs="Times New Roman"/>
                <w:sz w:val="24"/>
                <w:szCs w:val="24"/>
              </w:rPr>
              <w:t xml:space="preserve"> </w:t>
            </w:r>
            <w:r w:rsidRPr="00057759">
              <w:rPr>
                <w:rFonts w:ascii="Times New Roman" w:hAnsi="Times New Roman" w:cs="Times New Roman"/>
                <w:sz w:val="24"/>
                <w:szCs w:val="24"/>
              </w:rPr>
              <w:t xml:space="preserve">proizvoditi, </w:t>
            </w:r>
            <w:proofErr w:type="spellStart"/>
            <w:r w:rsidRPr="00057759">
              <w:rPr>
                <w:rFonts w:ascii="Times New Roman" w:hAnsi="Times New Roman" w:cs="Times New Roman"/>
                <w:sz w:val="24"/>
                <w:szCs w:val="24"/>
              </w:rPr>
              <w:t>suproizvoditi</w:t>
            </w:r>
            <w:proofErr w:type="spellEnd"/>
            <w:r w:rsidRPr="00057759">
              <w:rPr>
                <w:rFonts w:ascii="Times New Roman" w:hAnsi="Times New Roman" w:cs="Times New Roman"/>
                <w:sz w:val="24"/>
                <w:szCs w:val="24"/>
              </w:rPr>
              <w:t xml:space="preserve"> i objavljivati programe o osobama s invaliditetom i djeci s</w:t>
            </w:r>
            <w:r w:rsidR="00C84654">
              <w:rPr>
                <w:rFonts w:ascii="Times New Roman" w:hAnsi="Times New Roman" w:cs="Times New Roman"/>
                <w:sz w:val="24"/>
                <w:szCs w:val="24"/>
              </w:rPr>
              <w:t xml:space="preserve"> </w:t>
            </w:r>
            <w:r w:rsidRPr="00057759">
              <w:rPr>
                <w:rFonts w:ascii="Times New Roman" w:hAnsi="Times New Roman" w:cs="Times New Roman"/>
                <w:sz w:val="24"/>
                <w:szCs w:val="24"/>
              </w:rPr>
              <w:t>teškoćama u razvoju te poticati prevođenje programa na hrvatski znakovni jezik.</w:t>
            </w:r>
          </w:p>
          <w:p w14:paraId="55CEAA3D" w14:textId="052ECDAF" w:rsidR="005F3233" w:rsidRPr="00057759" w:rsidRDefault="005F3233" w:rsidP="00C84654">
            <w:pPr>
              <w:spacing w:after="0"/>
              <w:rPr>
                <w:rFonts w:ascii="Times New Roman" w:hAnsi="Times New Roman" w:cs="Times New Roman"/>
                <w:sz w:val="24"/>
                <w:szCs w:val="24"/>
              </w:rPr>
            </w:pPr>
            <w:r w:rsidRPr="00057759">
              <w:rPr>
                <w:rFonts w:ascii="Times New Roman" w:hAnsi="Times New Roman" w:cs="Times New Roman"/>
                <w:sz w:val="24"/>
                <w:szCs w:val="24"/>
              </w:rPr>
              <w:t>Također, u stavku 4. navedenog članka propisano je da ukoliko HRT pokrene specijalizirani</w:t>
            </w:r>
            <w:r w:rsidR="00C84654">
              <w:rPr>
                <w:rFonts w:ascii="Times New Roman" w:hAnsi="Times New Roman" w:cs="Times New Roman"/>
                <w:sz w:val="24"/>
                <w:szCs w:val="24"/>
              </w:rPr>
              <w:t xml:space="preserve"> </w:t>
            </w:r>
            <w:r w:rsidRPr="00057759">
              <w:rPr>
                <w:rFonts w:ascii="Times New Roman" w:hAnsi="Times New Roman" w:cs="Times New Roman"/>
                <w:sz w:val="24"/>
                <w:szCs w:val="24"/>
              </w:rPr>
              <w:t>Sportski televizijski programski kanal u skladu s ovim Zakonom i Ugovorom iz članka 13.</w:t>
            </w:r>
            <w:r w:rsidR="00C84654">
              <w:rPr>
                <w:rFonts w:ascii="Times New Roman" w:hAnsi="Times New Roman" w:cs="Times New Roman"/>
                <w:sz w:val="24"/>
                <w:szCs w:val="24"/>
              </w:rPr>
              <w:t xml:space="preserve"> </w:t>
            </w:r>
            <w:r w:rsidRPr="00057759">
              <w:rPr>
                <w:rFonts w:ascii="Times New Roman" w:hAnsi="Times New Roman" w:cs="Times New Roman"/>
                <w:sz w:val="24"/>
                <w:szCs w:val="24"/>
              </w:rPr>
              <w:t>ovoga Zakona on ne smije obuhvaćati prijenos športskih događaja premijskog sadržaja, već</w:t>
            </w:r>
            <w:r w:rsidR="00C84654">
              <w:rPr>
                <w:rFonts w:ascii="Times New Roman" w:hAnsi="Times New Roman" w:cs="Times New Roman"/>
                <w:sz w:val="24"/>
                <w:szCs w:val="24"/>
              </w:rPr>
              <w:t xml:space="preserve"> </w:t>
            </w:r>
            <w:r w:rsidRPr="00057759">
              <w:rPr>
                <w:rFonts w:ascii="Times New Roman" w:hAnsi="Times New Roman" w:cs="Times New Roman"/>
                <w:sz w:val="24"/>
                <w:szCs w:val="24"/>
              </w:rPr>
              <w:t>isključivo prijenos manje zastupljenih športova koji su od interesa za javnost, kao i</w:t>
            </w:r>
            <w:r w:rsidR="00C84654">
              <w:rPr>
                <w:rFonts w:ascii="Times New Roman" w:hAnsi="Times New Roman" w:cs="Times New Roman"/>
                <w:sz w:val="24"/>
                <w:szCs w:val="24"/>
              </w:rPr>
              <w:t xml:space="preserve"> </w:t>
            </w:r>
            <w:r w:rsidRPr="00057759">
              <w:rPr>
                <w:rFonts w:ascii="Times New Roman" w:hAnsi="Times New Roman" w:cs="Times New Roman"/>
                <w:sz w:val="24"/>
                <w:szCs w:val="24"/>
              </w:rPr>
              <w:t>informiranje o športu i športskim događajima te promociju športa i promociju športa osoba s invaliditetom.</w:t>
            </w:r>
          </w:p>
        </w:tc>
      </w:tr>
      <w:tr w:rsidR="005F3233" w:rsidRPr="00057759" w14:paraId="4101597B" w14:textId="77777777" w:rsidTr="005F3233">
        <w:trPr>
          <w:trHeight w:val="924"/>
        </w:trPr>
        <w:tc>
          <w:tcPr>
            <w:tcW w:w="3078" w:type="dxa"/>
            <w:vMerge w:val="restart"/>
            <w:shd w:val="clear" w:color="auto" w:fill="F2F2F2" w:themeFill="background1" w:themeFillShade="F2"/>
          </w:tcPr>
          <w:p w14:paraId="02AB21D3" w14:textId="77777777"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t xml:space="preserve">Naziv nacionalnog propisa koji je usklađen s UN Konvencijom o pravima osoba s invaliditetom </w:t>
            </w:r>
          </w:p>
          <w:p w14:paraId="7A3D586A" w14:textId="77777777" w:rsidR="005F3233" w:rsidRPr="00057759" w:rsidRDefault="005F3233" w:rsidP="005F3233">
            <w:pPr>
              <w:spacing w:after="0"/>
              <w:rPr>
                <w:rFonts w:ascii="Times New Roman" w:hAnsi="Times New Roman" w:cs="Times New Roman"/>
                <w:sz w:val="24"/>
                <w:szCs w:val="24"/>
              </w:rPr>
            </w:pPr>
          </w:p>
          <w:p w14:paraId="1E75E6A1" w14:textId="77777777" w:rsidR="005F3233" w:rsidRPr="00057759" w:rsidRDefault="005F3233" w:rsidP="005F3233">
            <w:pPr>
              <w:spacing w:after="0"/>
              <w:rPr>
                <w:rFonts w:ascii="Times New Roman" w:hAnsi="Times New Roman" w:cs="Times New Roman"/>
                <w:sz w:val="24"/>
                <w:szCs w:val="24"/>
              </w:rPr>
            </w:pPr>
          </w:p>
          <w:p w14:paraId="2C1D6C4E" w14:textId="77777777"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lastRenderedPageBreak/>
              <w:t>U kojem djelu se izvršilo usklađivanje</w:t>
            </w:r>
          </w:p>
        </w:tc>
        <w:tc>
          <w:tcPr>
            <w:tcW w:w="6698" w:type="dxa"/>
            <w:gridSpan w:val="2"/>
            <w:shd w:val="clear" w:color="auto" w:fill="D9E2F3" w:themeFill="accent1" w:themeFillTint="33"/>
          </w:tcPr>
          <w:p w14:paraId="7FD0C08D" w14:textId="77777777"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lastRenderedPageBreak/>
              <w:t xml:space="preserve">Zakon o elektroničkim medijima </w:t>
            </w:r>
          </w:p>
          <w:p w14:paraId="0677E7B9" w14:textId="77777777"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t>(Narodne novine, br. 153/09, 84/11,94/13 i 136/13)</w:t>
            </w:r>
          </w:p>
        </w:tc>
      </w:tr>
      <w:tr w:rsidR="005F3233" w:rsidRPr="00057759" w14:paraId="35A28515" w14:textId="77777777" w:rsidTr="005F3233">
        <w:trPr>
          <w:trHeight w:val="732"/>
        </w:trPr>
        <w:tc>
          <w:tcPr>
            <w:tcW w:w="3078" w:type="dxa"/>
            <w:vMerge/>
            <w:shd w:val="clear" w:color="auto" w:fill="F2F2F2" w:themeFill="background1" w:themeFillShade="F2"/>
          </w:tcPr>
          <w:p w14:paraId="6BD2A324" w14:textId="77777777" w:rsidR="005F3233" w:rsidRPr="00057759" w:rsidRDefault="005F3233" w:rsidP="005F3233">
            <w:pPr>
              <w:spacing w:after="0"/>
              <w:rPr>
                <w:rFonts w:ascii="Times New Roman" w:hAnsi="Times New Roman" w:cs="Times New Roman"/>
                <w:sz w:val="24"/>
                <w:szCs w:val="24"/>
              </w:rPr>
            </w:pPr>
          </w:p>
        </w:tc>
        <w:tc>
          <w:tcPr>
            <w:tcW w:w="6698" w:type="dxa"/>
            <w:gridSpan w:val="2"/>
          </w:tcPr>
          <w:p w14:paraId="112B5E4C" w14:textId="050F88D4"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t>UN-ova Konvencija o pravima osoba s invaliditetom u članku 8. govori o podizanju svijesti u</w:t>
            </w:r>
            <w:r w:rsidR="00C84654">
              <w:rPr>
                <w:rFonts w:ascii="Times New Roman" w:hAnsi="Times New Roman" w:cs="Times New Roman"/>
                <w:sz w:val="24"/>
                <w:szCs w:val="24"/>
              </w:rPr>
              <w:t xml:space="preserve"> </w:t>
            </w:r>
            <w:r w:rsidRPr="00057759">
              <w:rPr>
                <w:rFonts w:ascii="Times New Roman" w:hAnsi="Times New Roman" w:cs="Times New Roman"/>
                <w:sz w:val="24"/>
                <w:szCs w:val="24"/>
              </w:rPr>
              <w:t>vezi osoba s invaliditetom te kako su u navedenu svrhu države stranke obvezne usvojiti žurne,</w:t>
            </w:r>
            <w:r w:rsidR="00C84654">
              <w:rPr>
                <w:rFonts w:ascii="Times New Roman" w:hAnsi="Times New Roman" w:cs="Times New Roman"/>
                <w:sz w:val="24"/>
                <w:szCs w:val="24"/>
              </w:rPr>
              <w:t xml:space="preserve"> </w:t>
            </w:r>
            <w:r w:rsidRPr="00057759">
              <w:rPr>
                <w:rFonts w:ascii="Times New Roman" w:hAnsi="Times New Roman" w:cs="Times New Roman"/>
                <w:sz w:val="24"/>
                <w:szCs w:val="24"/>
              </w:rPr>
              <w:t>učinkovite i primjerene mjere.</w:t>
            </w:r>
          </w:p>
          <w:p w14:paraId="5DC4B8B9" w14:textId="5E61E658"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lastRenderedPageBreak/>
              <w:t>S tim u vezi u članku 9. Zakona o elektroničkim medijima propisano je kako je djelatnost</w:t>
            </w:r>
            <w:r w:rsidR="00C84654">
              <w:rPr>
                <w:rFonts w:ascii="Times New Roman" w:hAnsi="Times New Roman" w:cs="Times New Roman"/>
                <w:sz w:val="24"/>
                <w:szCs w:val="24"/>
              </w:rPr>
              <w:t xml:space="preserve"> </w:t>
            </w:r>
            <w:r w:rsidRPr="00057759">
              <w:rPr>
                <w:rFonts w:ascii="Times New Roman" w:hAnsi="Times New Roman" w:cs="Times New Roman"/>
                <w:sz w:val="24"/>
                <w:szCs w:val="24"/>
              </w:rPr>
              <w:t>objavljivanja audiovizualnog i radijskog programa od interesa za Republiku Hrvatsku kada se</w:t>
            </w:r>
            <w:r w:rsidR="00C84654">
              <w:rPr>
                <w:rFonts w:ascii="Times New Roman" w:hAnsi="Times New Roman" w:cs="Times New Roman"/>
                <w:sz w:val="24"/>
                <w:szCs w:val="24"/>
              </w:rPr>
              <w:t xml:space="preserve"> </w:t>
            </w:r>
            <w:r w:rsidRPr="00057759">
              <w:rPr>
                <w:rFonts w:ascii="Times New Roman" w:hAnsi="Times New Roman" w:cs="Times New Roman"/>
                <w:sz w:val="24"/>
                <w:szCs w:val="24"/>
              </w:rPr>
              <w:t>programi odnose između ostalih i na osobe s invaliditetom i posebnim potrebama.</w:t>
            </w:r>
            <w:r w:rsidR="00C84654">
              <w:rPr>
                <w:rFonts w:ascii="Times New Roman" w:hAnsi="Times New Roman" w:cs="Times New Roman"/>
                <w:sz w:val="24"/>
                <w:szCs w:val="24"/>
              </w:rPr>
              <w:t xml:space="preserve"> </w:t>
            </w:r>
            <w:r w:rsidRPr="00057759">
              <w:rPr>
                <w:rFonts w:ascii="Times New Roman" w:hAnsi="Times New Roman" w:cs="Times New Roman"/>
                <w:sz w:val="24"/>
                <w:szCs w:val="24"/>
              </w:rPr>
              <w:t>Konvencija u člancima 5. i 16. uređuje pitanja jednakosti i nediskriminacije te pitanje slobode</w:t>
            </w:r>
            <w:r w:rsidR="00C84654">
              <w:rPr>
                <w:rFonts w:ascii="Times New Roman" w:hAnsi="Times New Roman" w:cs="Times New Roman"/>
                <w:sz w:val="24"/>
                <w:szCs w:val="24"/>
              </w:rPr>
              <w:t xml:space="preserve"> </w:t>
            </w:r>
            <w:r w:rsidRPr="00057759">
              <w:rPr>
                <w:rFonts w:ascii="Times New Roman" w:hAnsi="Times New Roman" w:cs="Times New Roman"/>
                <w:sz w:val="24"/>
                <w:szCs w:val="24"/>
              </w:rPr>
              <w:t>od izrabljivanja, nasilja i zlostavljanja.</w:t>
            </w:r>
            <w:r w:rsidR="00C84654">
              <w:rPr>
                <w:rFonts w:ascii="Times New Roman" w:hAnsi="Times New Roman" w:cs="Times New Roman"/>
                <w:sz w:val="24"/>
                <w:szCs w:val="24"/>
              </w:rPr>
              <w:t xml:space="preserve"> </w:t>
            </w:r>
            <w:r w:rsidRPr="00057759">
              <w:rPr>
                <w:rFonts w:ascii="Times New Roman" w:hAnsi="Times New Roman" w:cs="Times New Roman"/>
                <w:sz w:val="24"/>
                <w:szCs w:val="24"/>
              </w:rPr>
              <w:t>Slijedom navedenog u članku 12. navedenog Zakona propisano je kako u audio i/ili</w:t>
            </w:r>
            <w:r w:rsidR="00C84654">
              <w:rPr>
                <w:rFonts w:ascii="Times New Roman" w:hAnsi="Times New Roman" w:cs="Times New Roman"/>
                <w:sz w:val="24"/>
                <w:szCs w:val="24"/>
              </w:rPr>
              <w:t xml:space="preserve"> </w:t>
            </w:r>
            <w:r w:rsidRPr="00057759">
              <w:rPr>
                <w:rFonts w:ascii="Times New Roman" w:hAnsi="Times New Roman" w:cs="Times New Roman"/>
                <w:sz w:val="24"/>
                <w:szCs w:val="24"/>
              </w:rPr>
              <w:t>audiovizualnim medijskim uslugama nije dopušteno poticati, pogodovati poticanju i širiti</w:t>
            </w:r>
            <w:r w:rsidR="00C84654">
              <w:rPr>
                <w:rFonts w:ascii="Times New Roman" w:hAnsi="Times New Roman" w:cs="Times New Roman"/>
                <w:sz w:val="24"/>
                <w:szCs w:val="24"/>
              </w:rPr>
              <w:t xml:space="preserve"> </w:t>
            </w:r>
            <w:r w:rsidRPr="00057759">
              <w:rPr>
                <w:rFonts w:ascii="Times New Roman" w:hAnsi="Times New Roman" w:cs="Times New Roman"/>
                <w:sz w:val="24"/>
                <w:szCs w:val="24"/>
              </w:rPr>
              <w:t>mržnju ili diskriminaciju na osnovi rase ili etničke pripadnosti ili boje kože, spola, jezika,</w:t>
            </w:r>
            <w:r w:rsidR="00C84654">
              <w:rPr>
                <w:rFonts w:ascii="Times New Roman" w:hAnsi="Times New Roman" w:cs="Times New Roman"/>
                <w:sz w:val="24"/>
                <w:szCs w:val="24"/>
              </w:rPr>
              <w:t xml:space="preserve"> </w:t>
            </w:r>
            <w:r w:rsidRPr="00057759">
              <w:rPr>
                <w:rFonts w:ascii="Times New Roman" w:hAnsi="Times New Roman" w:cs="Times New Roman"/>
                <w:sz w:val="24"/>
                <w:szCs w:val="24"/>
              </w:rPr>
              <w:t>vjere, političkog ili drugog uvjerenja, nacionalnog ili socijalnog podrijetla, imovnog stanja, članstva u sindikatu, obrazovanja, društvenog položaja, bračnog ili obiteljskog statusa, dobi,</w:t>
            </w:r>
            <w:r w:rsidR="00C84654">
              <w:rPr>
                <w:rFonts w:ascii="Times New Roman" w:hAnsi="Times New Roman" w:cs="Times New Roman"/>
                <w:sz w:val="24"/>
                <w:szCs w:val="24"/>
              </w:rPr>
              <w:t xml:space="preserve"> </w:t>
            </w:r>
            <w:r w:rsidRPr="00057759">
              <w:rPr>
                <w:rFonts w:ascii="Times New Roman" w:hAnsi="Times New Roman" w:cs="Times New Roman"/>
                <w:sz w:val="24"/>
                <w:szCs w:val="24"/>
              </w:rPr>
              <w:t>zdravstvenog stanja, invaliditeta, genetskog naslijeđa, rodnog identiteta, izražavanja ili spolne</w:t>
            </w:r>
            <w:r w:rsidR="00C84654">
              <w:rPr>
                <w:rFonts w:ascii="Times New Roman" w:hAnsi="Times New Roman" w:cs="Times New Roman"/>
                <w:sz w:val="24"/>
                <w:szCs w:val="24"/>
              </w:rPr>
              <w:t xml:space="preserve"> </w:t>
            </w:r>
            <w:r w:rsidRPr="00057759">
              <w:rPr>
                <w:rFonts w:ascii="Times New Roman" w:hAnsi="Times New Roman" w:cs="Times New Roman"/>
                <w:sz w:val="24"/>
                <w:szCs w:val="24"/>
              </w:rPr>
              <w:t>orijentacije, te antisemitizam i ksenofobiju, ideje fašističkih, nacionalističkih, komunističkih i</w:t>
            </w:r>
            <w:r w:rsidR="00C84654">
              <w:rPr>
                <w:rFonts w:ascii="Times New Roman" w:hAnsi="Times New Roman" w:cs="Times New Roman"/>
                <w:sz w:val="24"/>
                <w:szCs w:val="24"/>
              </w:rPr>
              <w:t xml:space="preserve"> </w:t>
            </w:r>
            <w:r w:rsidRPr="00057759">
              <w:rPr>
                <w:rFonts w:ascii="Times New Roman" w:hAnsi="Times New Roman" w:cs="Times New Roman"/>
                <w:sz w:val="24"/>
                <w:szCs w:val="24"/>
              </w:rPr>
              <w:t>drugih totalitarnih režima.</w:t>
            </w:r>
            <w:r w:rsidR="00C84654">
              <w:rPr>
                <w:rFonts w:ascii="Times New Roman" w:hAnsi="Times New Roman" w:cs="Times New Roman"/>
                <w:sz w:val="24"/>
                <w:szCs w:val="24"/>
              </w:rPr>
              <w:t xml:space="preserve"> </w:t>
            </w:r>
            <w:r w:rsidRPr="00057759">
              <w:rPr>
                <w:rFonts w:ascii="Times New Roman" w:hAnsi="Times New Roman" w:cs="Times New Roman"/>
                <w:sz w:val="24"/>
                <w:szCs w:val="24"/>
              </w:rPr>
              <w:t>Nadalje, u članku 16. stavku 4. navedenog Zakona propisano je kako audiovizualno</w:t>
            </w:r>
            <w:r w:rsidR="00C84654">
              <w:rPr>
                <w:rFonts w:ascii="Times New Roman" w:hAnsi="Times New Roman" w:cs="Times New Roman"/>
                <w:sz w:val="24"/>
                <w:szCs w:val="24"/>
              </w:rPr>
              <w:t xml:space="preserve"> </w:t>
            </w:r>
            <w:r w:rsidRPr="00057759">
              <w:rPr>
                <w:rFonts w:ascii="Times New Roman" w:hAnsi="Times New Roman" w:cs="Times New Roman"/>
                <w:sz w:val="24"/>
                <w:szCs w:val="24"/>
              </w:rPr>
              <w:t>komercijalne komunikacije ne smiju uključivati ili promicati bilo kakvu diskriminaciju na</w:t>
            </w:r>
            <w:r w:rsidR="00C84654">
              <w:rPr>
                <w:rFonts w:ascii="Times New Roman" w:hAnsi="Times New Roman" w:cs="Times New Roman"/>
                <w:sz w:val="24"/>
                <w:szCs w:val="24"/>
              </w:rPr>
              <w:t xml:space="preserve"> </w:t>
            </w:r>
            <w:r w:rsidRPr="00057759">
              <w:rPr>
                <w:rFonts w:ascii="Times New Roman" w:hAnsi="Times New Roman" w:cs="Times New Roman"/>
                <w:sz w:val="24"/>
                <w:szCs w:val="24"/>
              </w:rPr>
              <w:t>temelju spola, rase, etničkog podrijetla, nacionalnosti, vjere ili uvjerenja, invaliditeta, dobi ili</w:t>
            </w:r>
            <w:r w:rsidR="00C84654">
              <w:rPr>
                <w:rFonts w:ascii="Times New Roman" w:hAnsi="Times New Roman" w:cs="Times New Roman"/>
                <w:sz w:val="24"/>
                <w:szCs w:val="24"/>
              </w:rPr>
              <w:t xml:space="preserve"> </w:t>
            </w:r>
            <w:r w:rsidRPr="00057759">
              <w:rPr>
                <w:rFonts w:ascii="Times New Roman" w:hAnsi="Times New Roman" w:cs="Times New Roman"/>
                <w:sz w:val="24"/>
                <w:szCs w:val="24"/>
              </w:rPr>
              <w:t>spolne orijentacije.</w:t>
            </w:r>
          </w:p>
          <w:p w14:paraId="5EEF716A" w14:textId="77777777" w:rsidR="005F3233" w:rsidRPr="00C84654" w:rsidRDefault="005F3233" w:rsidP="005F3233">
            <w:pPr>
              <w:spacing w:after="0"/>
              <w:rPr>
                <w:rFonts w:ascii="Times New Roman" w:hAnsi="Times New Roman" w:cs="Times New Roman"/>
                <w:sz w:val="12"/>
                <w:szCs w:val="12"/>
              </w:rPr>
            </w:pPr>
          </w:p>
          <w:p w14:paraId="5DF25B39" w14:textId="58406023" w:rsidR="005F3233" w:rsidRPr="00057759" w:rsidRDefault="005F3233" w:rsidP="00C84654">
            <w:pPr>
              <w:spacing w:after="0"/>
              <w:rPr>
                <w:rFonts w:ascii="Times New Roman" w:hAnsi="Times New Roman" w:cs="Times New Roman"/>
                <w:sz w:val="24"/>
                <w:szCs w:val="24"/>
              </w:rPr>
            </w:pPr>
            <w:r w:rsidRPr="00057759">
              <w:rPr>
                <w:rFonts w:ascii="Times New Roman" w:hAnsi="Times New Roman" w:cs="Times New Roman"/>
                <w:sz w:val="24"/>
                <w:szCs w:val="24"/>
              </w:rPr>
              <w:t>Također, u članku 64. navedenog Zakona propisano je kako će se sredstvima Fonda za</w:t>
            </w:r>
            <w:r w:rsidR="00C84654">
              <w:rPr>
                <w:rFonts w:ascii="Times New Roman" w:hAnsi="Times New Roman" w:cs="Times New Roman"/>
                <w:sz w:val="24"/>
                <w:szCs w:val="24"/>
              </w:rPr>
              <w:t xml:space="preserve"> </w:t>
            </w:r>
            <w:r w:rsidRPr="00057759">
              <w:rPr>
                <w:rFonts w:ascii="Times New Roman" w:hAnsi="Times New Roman" w:cs="Times New Roman"/>
                <w:sz w:val="24"/>
                <w:szCs w:val="24"/>
              </w:rPr>
              <w:t>poticanje pluralizma poticati proizvodnja i objavljivanje audiovizualnih i radijskih programa</w:t>
            </w:r>
            <w:r w:rsidR="00C84654">
              <w:rPr>
                <w:rFonts w:ascii="Times New Roman" w:hAnsi="Times New Roman" w:cs="Times New Roman"/>
                <w:sz w:val="24"/>
                <w:szCs w:val="24"/>
              </w:rPr>
              <w:t xml:space="preserve"> </w:t>
            </w:r>
            <w:r w:rsidRPr="00057759">
              <w:rPr>
                <w:rFonts w:ascii="Times New Roman" w:hAnsi="Times New Roman" w:cs="Times New Roman"/>
                <w:sz w:val="24"/>
                <w:szCs w:val="24"/>
              </w:rPr>
              <w:t>i sadržaja nakladnika televizije i/ili radija na lokalnoj i regionalnoj razini, neprofitnih</w:t>
            </w:r>
            <w:r w:rsidR="00C84654">
              <w:rPr>
                <w:rFonts w:ascii="Times New Roman" w:hAnsi="Times New Roman" w:cs="Times New Roman"/>
                <w:sz w:val="24"/>
                <w:szCs w:val="24"/>
              </w:rPr>
              <w:t xml:space="preserve"> </w:t>
            </w:r>
            <w:r w:rsidRPr="00057759">
              <w:rPr>
                <w:rFonts w:ascii="Times New Roman" w:hAnsi="Times New Roman" w:cs="Times New Roman"/>
                <w:sz w:val="24"/>
                <w:szCs w:val="24"/>
              </w:rPr>
              <w:t>nakladnika televizije i/ili radija, neprofitnih pružatelja medijskih usluga iz članaka 19. i 79.</w:t>
            </w:r>
            <w:r w:rsidR="00C84654">
              <w:rPr>
                <w:rFonts w:ascii="Times New Roman" w:hAnsi="Times New Roman" w:cs="Times New Roman"/>
                <w:sz w:val="24"/>
                <w:szCs w:val="24"/>
              </w:rPr>
              <w:t xml:space="preserve"> </w:t>
            </w:r>
            <w:r w:rsidRPr="00057759">
              <w:rPr>
                <w:rFonts w:ascii="Times New Roman" w:hAnsi="Times New Roman" w:cs="Times New Roman"/>
                <w:sz w:val="24"/>
                <w:szCs w:val="24"/>
              </w:rPr>
              <w:t>ovoga Zakona, neprofitnih pružatelja elektroničkih publikacija, neprofitnih proizvođača</w:t>
            </w:r>
            <w:r w:rsidR="00C84654">
              <w:rPr>
                <w:rFonts w:ascii="Times New Roman" w:hAnsi="Times New Roman" w:cs="Times New Roman"/>
                <w:sz w:val="24"/>
                <w:szCs w:val="24"/>
              </w:rPr>
              <w:t xml:space="preserve"> </w:t>
            </w:r>
            <w:r w:rsidRPr="00057759">
              <w:rPr>
                <w:rFonts w:ascii="Times New Roman" w:hAnsi="Times New Roman" w:cs="Times New Roman"/>
                <w:sz w:val="24"/>
                <w:szCs w:val="24"/>
              </w:rPr>
              <w:t>audiovizualnih i/ili radijskih programa, koji su od javnog interesa i osobito su važni za</w:t>
            </w:r>
            <w:r w:rsidR="00C84654">
              <w:rPr>
                <w:rFonts w:ascii="Times New Roman" w:hAnsi="Times New Roman" w:cs="Times New Roman"/>
                <w:sz w:val="24"/>
                <w:szCs w:val="24"/>
              </w:rPr>
              <w:t xml:space="preserve"> </w:t>
            </w:r>
            <w:r w:rsidRPr="00057759">
              <w:rPr>
                <w:rFonts w:ascii="Times New Roman" w:hAnsi="Times New Roman" w:cs="Times New Roman"/>
                <w:sz w:val="24"/>
                <w:szCs w:val="24"/>
              </w:rPr>
              <w:t>podizanje svijesti javnosti o sposobnostima i doprinosu osoba s invaliditetom, kao i</w:t>
            </w:r>
            <w:r w:rsidR="00C84654">
              <w:rPr>
                <w:rFonts w:ascii="Times New Roman" w:hAnsi="Times New Roman" w:cs="Times New Roman"/>
                <w:sz w:val="24"/>
                <w:szCs w:val="24"/>
              </w:rPr>
              <w:t xml:space="preserve"> </w:t>
            </w:r>
            <w:r w:rsidRPr="00057759">
              <w:rPr>
                <w:rFonts w:ascii="Times New Roman" w:hAnsi="Times New Roman" w:cs="Times New Roman"/>
                <w:sz w:val="24"/>
                <w:szCs w:val="24"/>
              </w:rPr>
              <w:t>promicanje i poštovanje njihovih prava i dostojanstva, uključujući borbu protiv stereotipa,</w:t>
            </w:r>
            <w:r w:rsidR="00C84654">
              <w:rPr>
                <w:rFonts w:ascii="Times New Roman" w:hAnsi="Times New Roman" w:cs="Times New Roman"/>
                <w:sz w:val="24"/>
                <w:szCs w:val="24"/>
              </w:rPr>
              <w:t xml:space="preserve"> </w:t>
            </w:r>
            <w:r w:rsidRPr="00057759">
              <w:rPr>
                <w:rFonts w:ascii="Times New Roman" w:hAnsi="Times New Roman" w:cs="Times New Roman"/>
                <w:sz w:val="24"/>
                <w:szCs w:val="24"/>
              </w:rPr>
              <w:t>predrasuda i štetnih postupaka prema osobama s invaliditetom. Nadalje, u stavku 3. navedenog</w:t>
            </w:r>
            <w:r w:rsidR="00C84654">
              <w:rPr>
                <w:rFonts w:ascii="Times New Roman" w:hAnsi="Times New Roman" w:cs="Times New Roman"/>
                <w:sz w:val="24"/>
                <w:szCs w:val="24"/>
              </w:rPr>
              <w:t xml:space="preserve"> </w:t>
            </w:r>
            <w:r w:rsidRPr="00057759">
              <w:rPr>
                <w:rFonts w:ascii="Times New Roman" w:hAnsi="Times New Roman" w:cs="Times New Roman"/>
                <w:sz w:val="24"/>
                <w:szCs w:val="24"/>
              </w:rPr>
              <w:t>članka propisano je kako su kriteriji za dodjelu sredstava Fonda, između ostalih i dostupnost</w:t>
            </w:r>
            <w:r w:rsidR="00C84654">
              <w:rPr>
                <w:rFonts w:ascii="Times New Roman" w:hAnsi="Times New Roman" w:cs="Times New Roman"/>
                <w:sz w:val="24"/>
                <w:szCs w:val="24"/>
              </w:rPr>
              <w:t xml:space="preserve"> </w:t>
            </w:r>
            <w:r w:rsidRPr="00057759">
              <w:rPr>
                <w:rFonts w:ascii="Times New Roman" w:hAnsi="Times New Roman" w:cs="Times New Roman"/>
                <w:sz w:val="24"/>
                <w:szCs w:val="24"/>
              </w:rPr>
              <w:t>programa i sadržaja osobama s invaliditetom.</w:t>
            </w:r>
          </w:p>
        </w:tc>
      </w:tr>
      <w:tr w:rsidR="005F3233" w:rsidRPr="00057759" w14:paraId="1F499C51" w14:textId="77777777" w:rsidTr="005F3233">
        <w:trPr>
          <w:trHeight w:val="801"/>
        </w:trPr>
        <w:tc>
          <w:tcPr>
            <w:tcW w:w="3078" w:type="dxa"/>
            <w:vMerge w:val="restart"/>
            <w:shd w:val="clear" w:color="auto" w:fill="F2F2F2" w:themeFill="background1" w:themeFillShade="F2"/>
          </w:tcPr>
          <w:p w14:paraId="36D83545" w14:textId="77777777"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lastRenderedPageBreak/>
              <w:t xml:space="preserve">Naziv nacionalnog propisa koji je usklađen s UN </w:t>
            </w:r>
            <w:r w:rsidRPr="00057759">
              <w:rPr>
                <w:rFonts w:ascii="Times New Roman" w:hAnsi="Times New Roman" w:cs="Times New Roman"/>
                <w:sz w:val="24"/>
                <w:szCs w:val="24"/>
              </w:rPr>
              <w:lastRenderedPageBreak/>
              <w:t xml:space="preserve">Konvencijom o pravima osoba s invaliditetom </w:t>
            </w:r>
          </w:p>
          <w:p w14:paraId="1F806C37" w14:textId="77777777" w:rsidR="005F3233" w:rsidRPr="00057759" w:rsidRDefault="005F3233" w:rsidP="005F3233">
            <w:pPr>
              <w:spacing w:after="0"/>
              <w:rPr>
                <w:rFonts w:ascii="Times New Roman" w:hAnsi="Times New Roman" w:cs="Times New Roman"/>
                <w:sz w:val="24"/>
                <w:szCs w:val="24"/>
              </w:rPr>
            </w:pPr>
          </w:p>
          <w:p w14:paraId="1CC42CC9" w14:textId="77777777"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t>U kojem djelu se izvršilo usklađivanje</w:t>
            </w:r>
          </w:p>
          <w:p w14:paraId="2CF6D457" w14:textId="77777777" w:rsidR="005F3233" w:rsidRPr="00057759" w:rsidRDefault="005F3233" w:rsidP="005F3233">
            <w:pPr>
              <w:spacing w:after="0"/>
              <w:rPr>
                <w:rFonts w:ascii="Times New Roman" w:hAnsi="Times New Roman" w:cs="Times New Roman"/>
                <w:sz w:val="24"/>
                <w:szCs w:val="24"/>
              </w:rPr>
            </w:pPr>
          </w:p>
        </w:tc>
        <w:tc>
          <w:tcPr>
            <w:tcW w:w="6698" w:type="dxa"/>
            <w:gridSpan w:val="2"/>
            <w:shd w:val="clear" w:color="auto" w:fill="D9E2F3" w:themeFill="accent1" w:themeFillTint="33"/>
          </w:tcPr>
          <w:p w14:paraId="143CE5B9" w14:textId="77777777"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lastRenderedPageBreak/>
              <w:t xml:space="preserve">Pravilnik o Fondu za poticanje pluralizma i raznovrsnih elektroničkih medija </w:t>
            </w:r>
          </w:p>
          <w:p w14:paraId="303FEBE6" w14:textId="39B00091"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t>(Narodne novine, br. 150/13 i 2/l 7)</w:t>
            </w:r>
          </w:p>
        </w:tc>
      </w:tr>
      <w:tr w:rsidR="005F3233" w:rsidRPr="00057759" w14:paraId="261DB3EA" w14:textId="77777777" w:rsidTr="003B1D7E">
        <w:trPr>
          <w:trHeight w:val="5655"/>
        </w:trPr>
        <w:tc>
          <w:tcPr>
            <w:tcW w:w="3078" w:type="dxa"/>
            <w:vMerge/>
            <w:shd w:val="clear" w:color="auto" w:fill="F2F2F2" w:themeFill="background1" w:themeFillShade="F2"/>
          </w:tcPr>
          <w:p w14:paraId="65FE8705" w14:textId="77777777" w:rsidR="005F3233" w:rsidRPr="00057759" w:rsidRDefault="005F3233" w:rsidP="005F3233">
            <w:pPr>
              <w:spacing w:after="0"/>
              <w:rPr>
                <w:rFonts w:ascii="Times New Roman" w:hAnsi="Times New Roman" w:cs="Times New Roman"/>
                <w:sz w:val="24"/>
                <w:szCs w:val="24"/>
              </w:rPr>
            </w:pPr>
          </w:p>
        </w:tc>
        <w:tc>
          <w:tcPr>
            <w:tcW w:w="6698" w:type="dxa"/>
            <w:gridSpan w:val="2"/>
          </w:tcPr>
          <w:p w14:paraId="708EC279" w14:textId="77777777"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t>UN-ova Konvencija o pravima osoba s invaliditetom u članku 21. obrađuje pitanje slobode</w:t>
            </w:r>
          </w:p>
          <w:p w14:paraId="2FC79F3C" w14:textId="77777777"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t>izražavanja i mišljenja te pristupa informacijama pri čemu se odredbe odnose i na pružanje</w:t>
            </w:r>
          </w:p>
          <w:p w14:paraId="18347D44" w14:textId="77777777"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t>informacija te na pristupačnost sredstava javnog priopćavanja osobama s invaliditetom.</w:t>
            </w:r>
          </w:p>
          <w:p w14:paraId="30B66395" w14:textId="77777777" w:rsidR="005F3233" w:rsidRPr="00C84654" w:rsidRDefault="005F3233" w:rsidP="005F3233">
            <w:pPr>
              <w:spacing w:after="0"/>
              <w:rPr>
                <w:rFonts w:ascii="Times New Roman" w:hAnsi="Times New Roman" w:cs="Times New Roman"/>
                <w:sz w:val="12"/>
                <w:szCs w:val="12"/>
              </w:rPr>
            </w:pPr>
          </w:p>
          <w:p w14:paraId="601728B6" w14:textId="77777777"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t>U članku 5. Pravilnika navodi se kao su sredstva Fonda za poticanje pluralizma i raznovrsnih</w:t>
            </w:r>
          </w:p>
          <w:p w14:paraId="7381C94C" w14:textId="77777777"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t>elektroničkih medija državna potpora te kako se intenzitet potpore može povećati u</w:t>
            </w:r>
          </w:p>
          <w:p w14:paraId="55145A20" w14:textId="77777777"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t>slučajevima teških (složenih) ili nisko proračunskih djela koja nisu ekonomski opravdana i</w:t>
            </w:r>
          </w:p>
          <w:p w14:paraId="08D25EA9" w14:textId="77777777"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t>koja nisu privlačna za široku publiku ako je program/sadržaj namijenjen, između ostalih, i</w:t>
            </w:r>
          </w:p>
          <w:p w14:paraId="0986357E" w14:textId="77777777"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t xml:space="preserve">posebno ranjivim skupinama (osobama s invaliditetom, </w:t>
            </w:r>
            <w:proofErr w:type="spellStart"/>
            <w:r w:rsidRPr="00057759">
              <w:rPr>
                <w:rFonts w:ascii="Times New Roman" w:hAnsi="Times New Roman" w:cs="Times New Roman"/>
                <w:sz w:val="24"/>
                <w:szCs w:val="24"/>
              </w:rPr>
              <w:t>jednoroditeljskim</w:t>
            </w:r>
            <w:proofErr w:type="spellEnd"/>
            <w:r w:rsidRPr="00057759">
              <w:rPr>
                <w:rFonts w:ascii="Times New Roman" w:hAnsi="Times New Roman" w:cs="Times New Roman"/>
                <w:sz w:val="24"/>
                <w:szCs w:val="24"/>
              </w:rPr>
              <w:t xml:space="preserve"> obiteljima,</w:t>
            </w:r>
          </w:p>
          <w:p w14:paraId="7CBEC9CF" w14:textId="77777777"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t>nezaposlenim mladima, osobama starije životne dobi, ratnim veteranima, ženama žrtvama</w:t>
            </w:r>
          </w:p>
          <w:p w14:paraId="3E50FC64" w14:textId="77777777"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t>obiteljskog nasilja, Romima, ovisnicima o drogama, beskućnicima, prognanicima, izbjeglicama i povratnicima) do 30%</w:t>
            </w:r>
          </w:p>
          <w:p w14:paraId="43EF5B46" w14:textId="77777777" w:rsidR="005F3233" w:rsidRPr="00C84654" w:rsidRDefault="005F3233" w:rsidP="005F3233">
            <w:pPr>
              <w:spacing w:after="0"/>
              <w:rPr>
                <w:rFonts w:ascii="Times New Roman" w:hAnsi="Times New Roman" w:cs="Times New Roman"/>
                <w:sz w:val="12"/>
                <w:szCs w:val="12"/>
              </w:rPr>
            </w:pPr>
          </w:p>
          <w:p w14:paraId="508D6931" w14:textId="77777777"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t xml:space="preserve">UN-ova Konvencija o pravima osoba s </w:t>
            </w:r>
            <w:proofErr w:type="spellStart"/>
            <w:r w:rsidRPr="00057759">
              <w:rPr>
                <w:rFonts w:ascii="Times New Roman" w:hAnsi="Times New Roman" w:cs="Times New Roman"/>
                <w:sz w:val="24"/>
                <w:szCs w:val="24"/>
              </w:rPr>
              <w:t>invalidiletom</w:t>
            </w:r>
            <w:proofErr w:type="spellEnd"/>
            <w:r w:rsidRPr="00057759">
              <w:rPr>
                <w:rFonts w:ascii="Times New Roman" w:hAnsi="Times New Roman" w:cs="Times New Roman"/>
                <w:sz w:val="24"/>
                <w:szCs w:val="24"/>
              </w:rPr>
              <w:t xml:space="preserve"> u članku 8. govori o podizanju svijesti u</w:t>
            </w:r>
          </w:p>
          <w:p w14:paraId="5C0951B1" w14:textId="77777777"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t xml:space="preserve">vezi osoba s invaliditetom te kako su u </w:t>
            </w:r>
            <w:proofErr w:type="spellStart"/>
            <w:r w:rsidRPr="00057759">
              <w:rPr>
                <w:rFonts w:ascii="Times New Roman" w:hAnsi="Times New Roman" w:cs="Times New Roman"/>
                <w:sz w:val="24"/>
                <w:szCs w:val="24"/>
              </w:rPr>
              <w:t>navadenu</w:t>
            </w:r>
            <w:proofErr w:type="spellEnd"/>
            <w:r w:rsidRPr="00057759">
              <w:rPr>
                <w:rFonts w:ascii="Times New Roman" w:hAnsi="Times New Roman" w:cs="Times New Roman"/>
                <w:sz w:val="24"/>
                <w:szCs w:val="24"/>
              </w:rPr>
              <w:t xml:space="preserve"> svrhu države stranke obvezne usvojiti žurne,</w:t>
            </w:r>
          </w:p>
          <w:p w14:paraId="6C8FEBC8" w14:textId="77777777"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t>učinkovite i primjerene mjere.</w:t>
            </w:r>
          </w:p>
          <w:p w14:paraId="68555ADB" w14:textId="77777777" w:rsidR="005F3233" w:rsidRPr="00C84654" w:rsidRDefault="005F3233" w:rsidP="005F3233">
            <w:pPr>
              <w:spacing w:after="0"/>
              <w:rPr>
                <w:rFonts w:ascii="Times New Roman" w:hAnsi="Times New Roman" w:cs="Times New Roman"/>
                <w:sz w:val="12"/>
                <w:szCs w:val="12"/>
              </w:rPr>
            </w:pPr>
          </w:p>
          <w:p w14:paraId="2D8B5F7F" w14:textId="77777777"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t>U članku 6. Pravilnika stoji kako će se sredstvima Fonda poticati proizvodnja i objavljivanje</w:t>
            </w:r>
          </w:p>
          <w:p w14:paraId="56DB601B" w14:textId="77777777"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t>audiovizualnih i radijskih programa i sadržaja nakladnika televizije i/ili radija na lokalnoj i</w:t>
            </w:r>
          </w:p>
          <w:p w14:paraId="3902C4E6" w14:textId="77777777"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t>regionalnoj razini, neprofitnih nakladnika televizije i/ili radija, neprofitnih pružatelja</w:t>
            </w:r>
          </w:p>
          <w:p w14:paraId="3A488445" w14:textId="77777777"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t>medijskih usluga iz članaka 19. i 79. Zakona o elektroničkim medijima, neprofitnih pružatelja</w:t>
            </w:r>
          </w:p>
          <w:p w14:paraId="0B07274F" w14:textId="77777777"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t>elektroničkih publikacija, neprofitnih proizvođača audiovizualnih i/ili radijskih programa koji</w:t>
            </w:r>
          </w:p>
          <w:p w14:paraId="2C7BA5D1" w14:textId="77777777"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t>su od javnog interesa i osobito su važni i za podizanje svijesti javnosti o sposobnostima i</w:t>
            </w:r>
          </w:p>
          <w:p w14:paraId="1E950B89" w14:textId="77777777"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t>doprinosu osoba s invaliditetom, kao i promicanje i poštovanje njihovih prava i dostojanstva,</w:t>
            </w:r>
          </w:p>
          <w:p w14:paraId="56E83A9E" w14:textId="77777777"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t>uključujući borbu protiv stereotipa, predrasuda i štetnih postupaka prema osobama s invaliditetom.</w:t>
            </w:r>
          </w:p>
        </w:tc>
      </w:tr>
      <w:tr w:rsidR="005F3233" w:rsidRPr="00057759" w14:paraId="73DF69F9" w14:textId="77777777" w:rsidTr="00BB3A51">
        <w:tc>
          <w:tcPr>
            <w:tcW w:w="3078" w:type="dxa"/>
            <w:shd w:val="clear" w:color="auto" w:fill="F2F2F2" w:themeFill="background1" w:themeFillShade="F2"/>
          </w:tcPr>
          <w:p w14:paraId="5C8BDCCA" w14:textId="77777777"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t>Tijelo državne uprave koje dostavlja podatke</w:t>
            </w:r>
          </w:p>
        </w:tc>
        <w:tc>
          <w:tcPr>
            <w:tcW w:w="6698" w:type="dxa"/>
            <w:gridSpan w:val="2"/>
            <w:shd w:val="clear" w:color="auto" w:fill="E2EFD9" w:themeFill="accent6" w:themeFillTint="33"/>
            <w:vAlign w:val="center"/>
          </w:tcPr>
          <w:p w14:paraId="7CA227D7" w14:textId="77777777"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t>MINISTARSTVO DRŽAVNE IMOVINE</w:t>
            </w:r>
          </w:p>
        </w:tc>
      </w:tr>
      <w:tr w:rsidR="005F3233" w:rsidRPr="00057759" w14:paraId="7A421505" w14:textId="77777777" w:rsidTr="005F3233">
        <w:tc>
          <w:tcPr>
            <w:tcW w:w="3078" w:type="dxa"/>
            <w:shd w:val="clear" w:color="auto" w:fill="F2F2F2" w:themeFill="background1" w:themeFillShade="F2"/>
          </w:tcPr>
          <w:p w14:paraId="5CF173DC" w14:textId="77777777"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t>Ukupan broj propisa u  nadležnosti Ministarstva</w:t>
            </w:r>
          </w:p>
        </w:tc>
        <w:tc>
          <w:tcPr>
            <w:tcW w:w="6698" w:type="dxa"/>
            <w:gridSpan w:val="2"/>
            <w:shd w:val="clear" w:color="auto" w:fill="D9E2F3" w:themeFill="accent1" w:themeFillTint="33"/>
          </w:tcPr>
          <w:p w14:paraId="35F6A93F" w14:textId="77777777"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t xml:space="preserve">Zakon o upravljanju državnom imovinom </w:t>
            </w:r>
          </w:p>
          <w:p w14:paraId="52C7A60F" w14:textId="77777777"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t>(Narodne novine, broj 52/18)</w:t>
            </w:r>
          </w:p>
          <w:p w14:paraId="503A74ED" w14:textId="77777777"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lastRenderedPageBreak/>
              <w:t xml:space="preserve">Zakon o zakupu i kupoprodaji poslovnog prostora </w:t>
            </w:r>
          </w:p>
          <w:p w14:paraId="6DA47C04" w14:textId="77777777"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t>(Narodne novine, br. 125/11, 64/15 i 112/18)</w:t>
            </w:r>
          </w:p>
          <w:p w14:paraId="5A369013" w14:textId="77777777"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t>Zakon o neprocijenjenom građevinskom zemljištu (u proceduri donošenja)</w:t>
            </w:r>
          </w:p>
        </w:tc>
      </w:tr>
      <w:tr w:rsidR="005F3233" w:rsidRPr="00057759" w14:paraId="1AF7EA88" w14:textId="77777777" w:rsidTr="005F3233">
        <w:tc>
          <w:tcPr>
            <w:tcW w:w="3078" w:type="dxa"/>
            <w:shd w:val="clear" w:color="auto" w:fill="F2F2F2" w:themeFill="background1" w:themeFillShade="F2"/>
          </w:tcPr>
          <w:p w14:paraId="542D6524" w14:textId="77777777"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lastRenderedPageBreak/>
              <w:t>Ukupan broj propisa iz Vaše nadležnosti koji je usklađen s UN Konvencijom o pravima osoba s invaliditetom</w:t>
            </w:r>
          </w:p>
        </w:tc>
        <w:tc>
          <w:tcPr>
            <w:tcW w:w="6698" w:type="dxa"/>
            <w:gridSpan w:val="2"/>
          </w:tcPr>
          <w:p w14:paraId="6C8DE786" w14:textId="77777777"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t>Navedenim zakonima ne uređuju se prava osoba s invaliditetom, te stoga nisu vezani uz usklađivanje s UN Konvencijom o pravima osoba s invaliditetom</w:t>
            </w:r>
          </w:p>
        </w:tc>
      </w:tr>
      <w:tr w:rsidR="005F3233" w:rsidRPr="00057759" w14:paraId="4CCB5502" w14:textId="77777777" w:rsidTr="00BB3A51">
        <w:tc>
          <w:tcPr>
            <w:tcW w:w="3078" w:type="dxa"/>
            <w:shd w:val="clear" w:color="auto" w:fill="F2F2F2" w:themeFill="background1" w:themeFillShade="F2"/>
          </w:tcPr>
          <w:p w14:paraId="33ED17C8" w14:textId="77777777"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t>Tijelo državne uprave koje dostavlja podatke</w:t>
            </w:r>
          </w:p>
        </w:tc>
        <w:tc>
          <w:tcPr>
            <w:tcW w:w="6698" w:type="dxa"/>
            <w:gridSpan w:val="2"/>
            <w:shd w:val="clear" w:color="auto" w:fill="E2EFD9" w:themeFill="accent6" w:themeFillTint="33"/>
            <w:vAlign w:val="center"/>
          </w:tcPr>
          <w:p w14:paraId="29B62C39" w14:textId="77777777"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t>MINISTARSTVO UPRAVE</w:t>
            </w:r>
          </w:p>
        </w:tc>
      </w:tr>
      <w:tr w:rsidR="005F3233" w:rsidRPr="00057759" w14:paraId="610F3F1B" w14:textId="77777777" w:rsidTr="005F3233">
        <w:tc>
          <w:tcPr>
            <w:tcW w:w="3078" w:type="dxa"/>
            <w:shd w:val="clear" w:color="auto" w:fill="F2F2F2" w:themeFill="background1" w:themeFillShade="F2"/>
          </w:tcPr>
          <w:p w14:paraId="2F890073" w14:textId="77777777"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t>Ukupan broj propisa u  nadležnosti Ministarstva</w:t>
            </w:r>
          </w:p>
        </w:tc>
        <w:tc>
          <w:tcPr>
            <w:tcW w:w="6698" w:type="dxa"/>
            <w:gridSpan w:val="2"/>
          </w:tcPr>
          <w:p w14:paraId="35E303A2" w14:textId="77777777" w:rsidR="005F3233" w:rsidRPr="00057759" w:rsidRDefault="005F3233" w:rsidP="005F3233">
            <w:pPr>
              <w:spacing w:after="0"/>
              <w:rPr>
                <w:rFonts w:ascii="Times New Roman" w:hAnsi="Times New Roman" w:cs="Times New Roman"/>
                <w:sz w:val="24"/>
                <w:szCs w:val="24"/>
              </w:rPr>
            </w:pPr>
          </w:p>
        </w:tc>
      </w:tr>
      <w:tr w:rsidR="005F3233" w:rsidRPr="00057759" w14:paraId="73FC46CE" w14:textId="77777777" w:rsidTr="005F3233">
        <w:tc>
          <w:tcPr>
            <w:tcW w:w="3078" w:type="dxa"/>
            <w:shd w:val="clear" w:color="auto" w:fill="F2F2F2" w:themeFill="background1" w:themeFillShade="F2"/>
          </w:tcPr>
          <w:p w14:paraId="20F4E62C" w14:textId="77777777"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t>Ukupan broj propisa iz Vaše nadležnosti koji je usklađen s UN Konvencijom o pravima osoba s invaliditetom</w:t>
            </w:r>
          </w:p>
        </w:tc>
        <w:tc>
          <w:tcPr>
            <w:tcW w:w="6698" w:type="dxa"/>
            <w:gridSpan w:val="2"/>
            <w:shd w:val="clear" w:color="auto" w:fill="D9E2F3" w:themeFill="accent1" w:themeFillTint="33"/>
          </w:tcPr>
          <w:p w14:paraId="6E2EE705" w14:textId="77777777"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t xml:space="preserve">Zakon o registru birača </w:t>
            </w:r>
          </w:p>
          <w:p w14:paraId="18619E22" w14:textId="77777777"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t>(Narodne novine, br. 144/12, 105/15 i 98/19)</w:t>
            </w:r>
          </w:p>
        </w:tc>
      </w:tr>
      <w:tr w:rsidR="005F3233" w:rsidRPr="00057759" w14:paraId="6707FFEF" w14:textId="77777777" w:rsidTr="003B1D7E">
        <w:trPr>
          <w:trHeight w:val="553"/>
        </w:trPr>
        <w:tc>
          <w:tcPr>
            <w:tcW w:w="3078" w:type="dxa"/>
            <w:shd w:val="clear" w:color="auto" w:fill="F2F2F2" w:themeFill="background1" w:themeFillShade="F2"/>
          </w:tcPr>
          <w:p w14:paraId="30353F7A" w14:textId="77777777"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t xml:space="preserve">Naziv nacionalnog propisa koji je usklađen s UN Konvencijom o pravima osoba s invaliditetom </w:t>
            </w:r>
          </w:p>
          <w:p w14:paraId="05D101DE" w14:textId="77777777" w:rsidR="005F3233" w:rsidRPr="00057759" w:rsidRDefault="005F3233" w:rsidP="005F3233">
            <w:pPr>
              <w:spacing w:after="0"/>
              <w:rPr>
                <w:rFonts w:ascii="Times New Roman" w:hAnsi="Times New Roman" w:cs="Times New Roman"/>
                <w:sz w:val="24"/>
                <w:szCs w:val="24"/>
              </w:rPr>
            </w:pPr>
          </w:p>
          <w:p w14:paraId="6A3DABE0" w14:textId="1AFDABA4"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t>U kojem djelu se izvršilo usklađivanje</w:t>
            </w:r>
          </w:p>
        </w:tc>
        <w:tc>
          <w:tcPr>
            <w:tcW w:w="6698" w:type="dxa"/>
            <w:gridSpan w:val="2"/>
          </w:tcPr>
          <w:p w14:paraId="5AF7947A" w14:textId="10FC84D6"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t>2012 godine stupio je na Zakon o registru birača (Narodne novine</w:t>
            </w:r>
            <w:r w:rsidR="00177CFE">
              <w:rPr>
                <w:rFonts w:ascii="Times New Roman" w:hAnsi="Times New Roman" w:cs="Times New Roman"/>
                <w:sz w:val="24"/>
                <w:szCs w:val="24"/>
              </w:rPr>
              <w:t>,</w:t>
            </w:r>
            <w:r w:rsidRPr="00057759">
              <w:rPr>
                <w:rFonts w:ascii="Times New Roman" w:hAnsi="Times New Roman" w:cs="Times New Roman"/>
                <w:sz w:val="24"/>
                <w:szCs w:val="24"/>
              </w:rPr>
              <w:t xml:space="preserve"> broj 144/12), prema kojemu osobe koje su do stupanju na snagu navedenog Zakona pravomoćnim rješenjem nadležnog suda bile u potpunosti lišene poslovne sposobnosti, upisane su u registar birača čime je svim poslovno nesposobnim osobama osigurano ostvarivanje biračkog prava.</w:t>
            </w:r>
          </w:p>
        </w:tc>
      </w:tr>
      <w:tr w:rsidR="005F3233" w:rsidRPr="00057759" w14:paraId="137B8828" w14:textId="77777777" w:rsidTr="005F3233">
        <w:tc>
          <w:tcPr>
            <w:tcW w:w="3078" w:type="dxa"/>
            <w:shd w:val="clear" w:color="auto" w:fill="F2F2F2" w:themeFill="background1" w:themeFillShade="F2"/>
          </w:tcPr>
          <w:p w14:paraId="38F25814" w14:textId="77777777" w:rsidR="005F3233" w:rsidRPr="00057759" w:rsidRDefault="005F3233" w:rsidP="005F3233">
            <w:pPr>
              <w:spacing w:after="0"/>
              <w:rPr>
                <w:rFonts w:ascii="Times New Roman" w:hAnsi="Times New Roman" w:cs="Times New Roman"/>
                <w:sz w:val="24"/>
                <w:szCs w:val="24"/>
              </w:rPr>
            </w:pPr>
            <w:bookmarkStart w:id="165" w:name="_Hlk42853764"/>
            <w:r w:rsidRPr="00057759">
              <w:rPr>
                <w:rFonts w:ascii="Times New Roman" w:hAnsi="Times New Roman" w:cs="Times New Roman"/>
                <w:sz w:val="24"/>
                <w:szCs w:val="24"/>
              </w:rPr>
              <w:t>Tijelo državne uprave koje dostavlja podatke</w:t>
            </w:r>
          </w:p>
        </w:tc>
        <w:tc>
          <w:tcPr>
            <w:tcW w:w="6698" w:type="dxa"/>
            <w:gridSpan w:val="2"/>
            <w:shd w:val="clear" w:color="auto" w:fill="E2EFD9" w:themeFill="accent6" w:themeFillTint="33"/>
          </w:tcPr>
          <w:p w14:paraId="4429D274" w14:textId="77777777"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t xml:space="preserve">SREDIŠNJI DRŽAVNI URED ZA RAZVOJ DIGITALNOG DRUŠTVA </w:t>
            </w:r>
          </w:p>
        </w:tc>
      </w:tr>
      <w:bookmarkEnd w:id="165"/>
      <w:tr w:rsidR="005F3233" w:rsidRPr="00057759" w14:paraId="49C90762" w14:textId="77777777" w:rsidTr="005F3233">
        <w:tc>
          <w:tcPr>
            <w:tcW w:w="3078" w:type="dxa"/>
            <w:shd w:val="clear" w:color="auto" w:fill="F2F2F2" w:themeFill="background1" w:themeFillShade="F2"/>
          </w:tcPr>
          <w:p w14:paraId="05231C1C" w14:textId="77777777"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t>Ukupan broj propisa u  nadležnosti Ministarstva</w:t>
            </w:r>
          </w:p>
        </w:tc>
        <w:tc>
          <w:tcPr>
            <w:tcW w:w="6698" w:type="dxa"/>
            <w:gridSpan w:val="2"/>
          </w:tcPr>
          <w:p w14:paraId="2EFA0CC7" w14:textId="77777777" w:rsidR="005F3233" w:rsidRPr="00057759" w:rsidRDefault="005F3233" w:rsidP="005F3233">
            <w:pPr>
              <w:spacing w:after="0"/>
              <w:rPr>
                <w:rFonts w:ascii="Times New Roman" w:hAnsi="Times New Roman" w:cs="Times New Roman"/>
                <w:sz w:val="24"/>
                <w:szCs w:val="24"/>
              </w:rPr>
            </w:pPr>
          </w:p>
        </w:tc>
      </w:tr>
      <w:tr w:rsidR="005F3233" w:rsidRPr="00057759" w14:paraId="007FD23E" w14:textId="77777777" w:rsidTr="005F3233">
        <w:tc>
          <w:tcPr>
            <w:tcW w:w="3078" w:type="dxa"/>
            <w:shd w:val="clear" w:color="auto" w:fill="F2F2F2" w:themeFill="background1" w:themeFillShade="F2"/>
          </w:tcPr>
          <w:p w14:paraId="402D1351" w14:textId="77777777"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t>Ukupan broj propisa iz Vaše nadležnosti koji je usklađen s UN Konvencijom o pravima osoba s invaliditetom</w:t>
            </w:r>
          </w:p>
        </w:tc>
        <w:tc>
          <w:tcPr>
            <w:tcW w:w="6698" w:type="dxa"/>
            <w:gridSpan w:val="2"/>
          </w:tcPr>
          <w:p w14:paraId="1C4AE6AA" w14:textId="77777777"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t>1</w:t>
            </w:r>
          </w:p>
        </w:tc>
      </w:tr>
      <w:tr w:rsidR="005F3233" w:rsidRPr="00057759" w14:paraId="031F242E" w14:textId="77777777" w:rsidTr="005F3233">
        <w:trPr>
          <w:trHeight w:val="1225"/>
        </w:trPr>
        <w:tc>
          <w:tcPr>
            <w:tcW w:w="3078" w:type="dxa"/>
            <w:vMerge w:val="restart"/>
            <w:shd w:val="clear" w:color="auto" w:fill="F2F2F2" w:themeFill="background1" w:themeFillShade="F2"/>
          </w:tcPr>
          <w:p w14:paraId="42B136C4" w14:textId="77777777"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t xml:space="preserve">Naziv nacionalnog propisa koji je usklađen s UN Konvencijom o pravima osoba s invaliditetom </w:t>
            </w:r>
          </w:p>
          <w:p w14:paraId="238ED76C" w14:textId="77777777" w:rsidR="005F3233" w:rsidRPr="00057759" w:rsidRDefault="005F3233" w:rsidP="005F3233">
            <w:pPr>
              <w:spacing w:after="0"/>
              <w:rPr>
                <w:rFonts w:ascii="Times New Roman" w:hAnsi="Times New Roman" w:cs="Times New Roman"/>
                <w:sz w:val="24"/>
                <w:szCs w:val="24"/>
              </w:rPr>
            </w:pPr>
          </w:p>
          <w:p w14:paraId="39EAFD7C" w14:textId="77777777"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t>U kojem djelu se izvršilo usklađivanje</w:t>
            </w:r>
          </w:p>
          <w:p w14:paraId="070B612E" w14:textId="77777777" w:rsidR="005F3233" w:rsidRPr="00057759" w:rsidRDefault="005F3233" w:rsidP="005F3233">
            <w:pPr>
              <w:spacing w:after="0"/>
              <w:rPr>
                <w:rFonts w:ascii="Times New Roman" w:hAnsi="Times New Roman" w:cs="Times New Roman"/>
                <w:sz w:val="24"/>
                <w:szCs w:val="24"/>
              </w:rPr>
            </w:pPr>
          </w:p>
        </w:tc>
        <w:tc>
          <w:tcPr>
            <w:tcW w:w="6698" w:type="dxa"/>
            <w:gridSpan w:val="2"/>
            <w:shd w:val="clear" w:color="auto" w:fill="D9E2F3" w:themeFill="accent1" w:themeFillTint="33"/>
          </w:tcPr>
          <w:p w14:paraId="5A9BE119" w14:textId="77777777"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t xml:space="preserve">Zakon o pristupačnosti mrežnih stranica i programskih rješenja za pokretne uređaje tijela javnog sektora </w:t>
            </w:r>
          </w:p>
          <w:p w14:paraId="29176F8C" w14:textId="77777777"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t>(Narodne novine, broj 17/19)</w:t>
            </w:r>
          </w:p>
        </w:tc>
      </w:tr>
      <w:tr w:rsidR="005F3233" w:rsidRPr="00057759" w14:paraId="0FC0845D" w14:textId="77777777" w:rsidTr="00BB3A51">
        <w:trPr>
          <w:trHeight w:val="825"/>
        </w:trPr>
        <w:tc>
          <w:tcPr>
            <w:tcW w:w="3078" w:type="dxa"/>
            <w:vMerge/>
            <w:shd w:val="clear" w:color="auto" w:fill="F2F2F2" w:themeFill="background1" w:themeFillShade="F2"/>
          </w:tcPr>
          <w:p w14:paraId="5CBBB5C7" w14:textId="77777777" w:rsidR="005F3233" w:rsidRPr="00057759" w:rsidRDefault="005F3233" w:rsidP="005F3233">
            <w:pPr>
              <w:spacing w:after="0"/>
              <w:rPr>
                <w:rFonts w:ascii="Times New Roman" w:hAnsi="Times New Roman" w:cs="Times New Roman"/>
                <w:sz w:val="24"/>
                <w:szCs w:val="24"/>
              </w:rPr>
            </w:pPr>
          </w:p>
        </w:tc>
        <w:tc>
          <w:tcPr>
            <w:tcW w:w="6698" w:type="dxa"/>
            <w:gridSpan w:val="2"/>
            <w:vAlign w:val="center"/>
          </w:tcPr>
          <w:p w14:paraId="3E533792" w14:textId="77777777"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t>Nacionalni propis usklađen je s člankom 9. UN Konvencije o pravima osoba s invaliditetom – u smislu poduzimanja odgovarajućih mjera osiguravanja pristupačnosti osobama s invaliditetom, uključujući informacijske i komunikacijske  tehnologije i sustave, kao i druge usluge namijenjene javnosti, kako bi osobama s invaliditetom osigurale život neovisan o tuđoj pomoći i potpuno sudjelovanje u svim područjima života.</w:t>
            </w:r>
          </w:p>
          <w:p w14:paraId="1987AACB" w14:textId="77777777"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t xml:space="preserve">Propisom su posebno poduzete odgovarajuće mjere, propisane u UN Konvenciji u članku 9., stavku 2., točke (a), (c), (f), (g) radi: </w:t>
            </w:r>
          </w:p>
          <w:p w14:paraId="04AFDD8E" w14:textId="77777777"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lastRenderedPageBreak/>
              <w:t>(a) razvijanja, poticanja i praćenja provedbe minimalnih standarda i smjernica za pristupačnost prostora i usluga otvorenih ili namijenjenih javnosti – članak 7. Zakona;</w:t>
            </w:r>
          </w:p>
          <w:p w14:paraId="69D33FB7" w14:textId="77777777"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t>(c) pružanja obuke interesnim skupinama o pitanjima pristupačnosti s kojima se suočavaju osobe s invaliditetom – članak 10., stavak 2. Zakona;</w:t>
            </w:r>
          </w:p>
          <w:p w14:paraId="684032FC" w14:textId="77777777"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t>(f) promicanja drugih odgovarajućih oblika pomoći i potpore osobama s invaliditetom kako bi im se osigurao pristup informacijama – članak 10., stavak 3. Zakona;</w:t>
            </w:r>
          </w:p>
          <w:p w14:paraId="0E5FE428" w14:textId="67D70099"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t xml:space="preserve">(g) promicanja pristupačnosti novih informacijskih i komunikacijskih  tehnologija i sustava, uključujući internet – članak 10., stavak 3. Zakona; </w:t>
            </w:r>
          </w:p>
        </w:tc>
      </w:tr>
      <w:tr w:rsidR="005F3233" w:rsidRPr="00057759" w14:paraId="0F29819D" w14:textId="77777777" w:rsidTr="003B1D7E">
        <w:tc>
          <w:tcPr>
            <w:tcW w:w="3078" w:type="dxa"/>
            <w:shd w:val="clear" w:color="auto" w:fill="F2F2F2" w:themeFill="background1" w:themeFillShade="F2"/>
          </w:tcPr>
          <w:p w14:paraId="67A2A63F" w14:textId="77777777"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lastRenderedPageBreak/>
              <w:t>Tijelo državne uprave koje dostavlja podatke</w:t>
            </w:r>
          </w:p>
        </w:tc>
        <w:tc>
          <w:tcPr>
            <w:tcW w:w="6698" w:type="dxa"/>
            <w:gridSpan w:val="2"/>
            <w:shd w:val="clear" w:color="auto" w:fill="E2EFD9" w:themeFill="accent6" w:themeFillTint="33"/>
            <w:vAlign w:val="center"/>
          </w:tcPr>
          <w:p w14:paraId="65D09D25" w14:textId="77777777"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t>MINISTARSTVO PRAVOSUĐA</w:t>
            </w:r>
          </w:p>
        </w:tc>
      </w:tr>
      <w:tr w:rsidR="005F3233" w:rsidRPr="00057759" w14:paraId="18657753" w14:textId="77777777" w:rsidTr="005F3233">
        <w:tc>
          <w:tcPr>
            <w:tcW w:w="3078" w:type="dxa"/>
            <w:shd w:val="clear" w:color="auto" w:fill="F2F2F2" w:themeFill="background1" w:themeFillShade="F2"/>
          </w:tcPr>
          <w:p w14:paraId="465E3076" w14:textId="77777777"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t>Ukupan broj propisa u  nadležnosti Ministarstva</w:t>
            </w:r>
          </w:p>
        </w:tc>
        <w:tc>
          <w:tcPr>
            <w:tcW w:w="6698" w:type="dxa"/>
            <w:gridSpan w:val="2"/>
          </w:tcPr>
          <w:p w14:paraId="26760333" w14:textId="77777777"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t>21</w:t>
            </w:r>
          </w:p>
        </w:tc>
      </w:tr>
      <w:tr w:rsidR="005F3233" w:rsidRPr="00057759" w14:paraId="06CAF521" w14:textId="77777777" w:rsidTr="005F3233">
        <w:tc>
          <w:tcPr>
            <w:tcW w:w="3078" w:type="dxa"/>
            <w:shd w:val="clear" w:color="auto" w:fill="F2F2F2" w:themeFill="background1" w:themeFillShade="F2"/>
          </w:tcPr>
          <w:p w14:paraId="079F5CAF" w14:textId="77777777"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t>Ukupan broj propisa iz Vaše nadležnosti koji je usklađen s UN Konvencijom o pravima osoba s invaliditetom</w:t>
            </w:r>
          </w:p>
        </w:tc>
        <w:tc>
          <w:tcPr>
            <w:tcW w:w="6698" w:type="dxa"/>
            <w:gridSpan w:val="2"/>
          </w:tcPr>
          <w:p w14:paraId="07B35B87" w14:textId="77777777"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t>8</w:t>
            </w:r>
          </w:p>
        </w:tc>
      </w:tr>
      <w:tr w:rsidR="005F3233" w:rsidRPr="00057759" w14:paraId="0F34E3B7" w14:textId="77777777" w:rsidTr="005F3233">
        <w:trPr>
          <w:trHeight w:val="568"/>
        </w:trPr>
        <w:tc>
          <w:tcPr>
            <w:tcW w:w="3078" w:type="dxa"/>
            <w:vMerge w:val="restart"/>
            <w:shd w:val="clear" w:color="auto" w:fill="F2F2F2" w:themeFill="background1" w:themeFillShade="F2"/>
          </w:tcPr>
          <w:p w14:paraId="332AB779" w14:textId="77777777" w:rsidR="005F3233" w:rsidRPr="00057759" w:rsidRDefault="005F3233" w:rsidP="005F3233">
            <w:pPr>
              <w:spacing w:after="0"/>
              <w:rPr>
                <w:rFonts w:ascii="Times New Roman" w:hAnsi="Times New Roman" w:cs="Times New Roman"/>
                <w:sz w:val="24"/>
                <w:szCs w:val="24"/>
              </w:rPr>
            </w:pPr>
            <w:bookmarkStart w:id="166" w:name="_Hlk42846990"/>
            <w:r w:rsidRPr="00057759">
              <w:rPr>
                <w:rFonts w:ascii="Times New Roman" w:hAnsi="Times New Roman" w:cs="Times New Roman"/>
                <w:sz w:val="24"/>
                <w:szCs w:val="24"/>
              </w:rPr>
              <w:t xml:space="preserve">Naziv nacionalnog propisa koji je usklađen s UN Konvencijom o pravima osoba s invaliditetom </w:t>
            </w:r>
          </w:p>
          <w:p w14:paraId="08CD778D" w14:textId="77777777" w:rsidR="005F3233" w:rsidRPr="00057759" w:rsidRDefault="005F3233" w:rsidP="005F3233">
            <w:pPr>
              <w:spacing w:after="0"/>
              <w:rPr>
                <w:rFonts w:ascii="Times New Roman" w:hAnsi="Times New Roman" w:cs="Times New Roman"/>
                <w:sz w:val="24"/>
                <w:szCs w:val="24"/>
              </w:rPr>
            </w:pPr>
          </w:p>
          <w:p w14:paraId="4D70007D" w14:textId="77777777"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t>U kojem djelu se izvršilo usklađivanje</w:t>
            </w:r>
          </w:p>
          <w:p w14:paraId="5CCF91F3" w14:textId="77777777" w:rsidR="005F3233" w:rsidRPr="00057759" w:rsidRDefault="005F3233" w:rsidP="005F3233">
            <w:pPr>
              <w:spacing w:after="0"/>
              <w:rPr>
                <w:rFonts w:ascii="Times New Roman" w:hAnsi="Times New Roman" w:cs="Times New Roman"/>
                <w:sz w:val="24"/>
                <w:szCs w:val="24"/>
              </w:rPr>
            </w:pPr>
          </w:p>
        </w:tc>
        <w:tc>
          <w:tcPr>
            <w:tcW w:w="6698" w:type="dxa"/>
            <w:gridSpan w:val="2"/>
            <w:shd w:val="clear" w:color="auto" w:fill="D9E2F3" w:themeFill="accent1" w:themeFillTint="33"/>
          </w:tcPr>
          <w:p w14:paraId="221F0F9D" w14:textId="77777777"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t xml:space="preserve">Zakon o zaštiti osoba s duševnim smetnjama </w:t>
            </w:r>
          </w:p>
          <w:p w14:paraId="45775CEE" w14:textId="3E3EEE4F"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t>(Narodne novine, broj 76/14)</w:t>
            </w:r>
          </w:p>
        </w:tc>
      </w:tr>
      <w:tr w:rsidR="005F3233" w:rsidRPr="00057759" w14:paraId="2E8AF28F" w14:textId="77777777" w:rsidTr="005F3233">
        <w:trPr>
          <w:trHeight w:val="2070"/>
        </w:trPr>
        <w:tc>
          <w:tcPr>
            <w:tcW w:w="3078" w:type="dxa"/>
            <w:vMerge/>
            <w:shd w:val="clear" w:color="auto" w:fill="F2F2F2" w:themeFill="background1" w:themeFillShade="F2"/>
          </w:tcPr>
          <w:p w14:paraId="7B10A15E" w14:textId="77777777" w:rsidR="005F3233" w:rsidRPr="00057759" w:rsidRDefault="005F3233" w:rsidP="005F3233">
            <w:pPr>
              <w:spacing w:after="0"/>
              <w:rPr>
                <w:rFonts w:ascii="Times New Roman" w:hAnsi="Times New Roman" w:cs="Times New Roman"/>
                <w:sz w:val="24"/>
                <w:szCs w:val="24"/>
              </w:rPr>
            </w:pPr>
          </w:p>
        </w:tc>
        <w:tc>
          <w:tcPr>
            <w:tcW w:w="6698" w:type="dxa"/>
            <w:gridSpan w:val="2"/>
          </w:tcPr>
          <w:p w14:paraId="480B94B3" w14:textId="77777777"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t>Definicija pojmova, temeljna načela, prava osobe s duševnim smetnjama (definicije, opća načela, jednakost i nediskriminacija)</w:t>
            </w:r>
          </w:p>
          <w:p w14:paraId="7F54731C" w14:textId="77777777"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t>Prisilni smještaj i liječenje na slobodi neubrojive osobe, mjere prisile prema osobi s težim duševnim smetnjama (propisivanje samo iznimno, samo pod uvjetima i u vremenskom ograničenju) (jednakost pred zakonom, osobna sloboda i sigurnost)</w:t>
            </w:r>
          </w:p>
          <w:p w14:paraId="65D10270" w14:textId="77777777"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t>Psihijatrijsko liječenje neubrojive osobe na slobodi (jednakost pred zakonom, osobna sloboda i sigurnost)</w:t>
            </w:r>
          </w:p>
          <w:p w14:paraId="1E5779E7" w14:textId="77777777"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t>Zaštita tajnosti podataka i medicinska dokumentacija(osobna sloboda i sigurnost, zaštita osobnog integriteta osobe)</w:t>
            </w:r>
          </w:p>
          <w:p w14:paraId="1CEC4606" w14:textId="77777777"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t>Obvezujuća izjava (jednakost pred zakonom, osobna sloboda i sigurnost)</w:t>
            </w:r>
          </w:p>
          <w:p w14:paraId="524B51B8" w14:textId="10AE8334"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t>Povjerenstvo za zaštitu osoba s duševnim smetnjama</w:t>
            </w:r>
          </w:p>
        </w:tc>
      </w:tr>
      <w:bookmarkEnd w:id="166"/>
      <w:tr w:rsidR="005F3233" w:rsidRPr="00057759" w14:paraId="3B554C3B" w14:textId="77777777" w:rsidTr="005F3233">
        <w:trPr>
          <w:trHeight w:val="70"/>
        </w:trPr>
        <w:tc>
          <w:tcPr>
            <w:tcW w:w="3078" w:type="dxa"/>
            <w:vMerge w:val="restart"/>
            <w:shd w:val="clear" w:color="auto" w:fill="F2F2F2" w:themeFill="background1" w:themeFillShade="F2"/>
          </w:tcPr>
          <w:p w14:paraId="23883550" w14:textId="77777777"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t xml:space="preserve">Naziv nacionalnog propisa koji je usklađen s UN Konvencijom o pravima osoba s invaliditetom </w:t>
            </w:r>
          </w:p>
          <w:p w14:paraId="3B71FDFA" w14:textId="77777777" w:rsidR="005F3233" w:rsidRPr="00057759" w:rsidRDefault="005F3233" w:rsidP="005F3233">
            <w:pPr>
              <w:spacing w:after="0"/>
              <w:rPr>
                <w:rFonts w:ascii="Times New Roman" w:hAnsi="Times New Roman" w:cs="Times New Roman"/>
                <w:sz w:val="24"/>
                <w:szCs w:val="24"/>
              </w:rPr>
            </w:pPr>
          </w:p>
          <w:p w14:paraId="1F293757" w14:textId="77777777"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t>U kojem djelu se izvršilo usklađivanje</w:t>
            </w:r>
          </w:p>
          <w:p w14:paraId="0B3CBE14" w14:textId="77777777" w:rsidR="005F3233" w:rsidRPr="00057759" w:rsidRDefault="005F3233" w:rsidP="005F3233">
            <w:pPr>
              <w:spacing w:after="0"/>
              <w:rPr>
                <w:rFonts w:ascii="Times New Roman" w:hAnsi="Times New Roman" w:cs="Times New Roman"/>
                <w:sz w:val="24"/>
                <w:szCs w:val="24"/>
              </w:rPr>
            </w:pPr>
          </w:p>
        </w:tc>
        <w:tc>
          <w:tcPr>
            <w:tcW w:w="6698" w:type="dxa"/>
            <w:gridSpan w:val="2"/>
            <w:shd w:val="clear" w:color="auto" w:fill="D9E2F3" w:themeFill="accent1" w:themeFillTint="33"/>
          </w:tcPr>
          <w:p w14:paraId="3454C4F5" w14:textId="77777777"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t xml:space="preserve">Zakon o kaznenom postupku </w:t>
            </w:r>
          </w:p>
          <w:p w14:paraId="3314AD9E" w14:textId="77777777"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t>(Narodne novine, br. 152/08, 76/09, 80/11, 121/11, 91/12, 143/12, 56/13, 145/13, 152/14, 70/17 i 126/19)</w:t>
            </w:r>
          </w:p>
        </w:tc>
      </w:tr>
      <w:tr w:rsidR="005F3233" w:rsidRPr="00057759" w14:paraId="0A92BE60" w14:textId="77777777" w:rsidTr="005F3233">
        <w:trPr>
          <w:trHeight w:val="992"/>
        </w:trPr>
        <w:tc>
          <w:tcPr>
            <w:tcW w:w="3078" w:type="dxa"/>
            <w:vMerge/>
            <w:shd w:val="clear" w:color="auto" w:fill="F2F2F2" w:themeFill="background1" w:themeFillShade="F2"/>
          </w:tcPr>
          <w:p w14:paraId="525A585C" w14:textId="77777777" w:rsidR="005F3233" w:rsidRPr="00057759" w:rsidRDefault="005F3233" w:rsidP="005F3233">
            <w:pPr>
              <w:spacing w:after="0"/>
              <w:rPr>
                <w:rFonts w:ascii="Times New Roman" w:hAnsi="Times New Roman" w:cs="Times New Roman"/>
                <w:sz w:val="24"/>
                <w:szCs w:val="24"/>
              </w:rPr>
            </w:pPr>
          </w:p>
        </w:tc>
        <w:tc>
          <w:tcPr>
            <w:tcW w:w="6698" w:type="dxa"/>
            <w:gridSpan w:val="2"/>
          </w:tcPr>
          <w:p w14:paraId="6EFCB4F5" w14:textId="77777777"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t>Članak 6. Načelo zabrane diskriminacije (opća načela, jednakost pred zakonom)</w:t>
            </w:r>
          </w:p>
          <w:p w14:paraId="6FB71EA6" w14:textId="77777777"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t>Članak 8. pravo sudionika u postupku na tumačenje i prevođenje (opća načela jednakost i nediskriminacija, jednakost pred zakonom)</w:t>
            </w:r>
          </w:p>
          <w:p w14:paraId="5F1FCC0D" w14:textId="77777777"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t>Članak 43. Prava žrtve (jednakost pred zakonom i pristup pravosuđu)</w:t>
            </w:r>
          </w:p>
          <w:p w14:paraId="61E3F167" w14:textId="77777777"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lastRenderedPageBreak/>
              <w:t>Članak 43.a Pojedinačna procjena žrtve (jednakost pred zakonom i pristup pravosuđu)</w:t>
            </w:r>
          </w:p>
          <w:p w14:paraId="00B0DEBA" w14:textId="77777777"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t>Članak 51. Prava oštećenika (jednakost pred zakonom i pristup pravosuđu)</w:t>
            </w:r>
          </w:p>
          <w:p w14:paraId="1C5D4509" w14:textId="77777777"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t>Članak 66. Obvezna obrana (pristup pravosuđu)</w:t>
            </w:r>
          </w:p>
          <w:p w14:paraId="412E3E57" w14:textId="77777777"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t>Članak 85. Potpisivanje zapisnika (pristup pravosuđu)</w:t>
            </w:r>
          </w:p>
          <w:p w14:paraId="261A6D4E" w14:textId="77777777"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t>Članak 172. potpis na dostavnici prilikom uručenja pismena (pristup pravosuđu)</w:t>
            </w:r>
          </w:p>
          <w:p w14:paraId="5EE01576" w14:textId="77777777"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t>Članak 272. i članak 280.  Ispitivanje okrivljenika (pristup pravosuđu)</w:t>
            </w:r>
          </w:p>
          <w:p w14:paraId="55A43EAF" w14:textId="77777777"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t>Članak 290. Ispitivanje svjedoka (pristup pravosuđu)</w:t>
            </w:r>
          </w:p>
          <w:p w14:paraId="1905B238" w14:textId="77777777"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t>Članak 292. Ispitivanje svjedoka u posebnim okolnostima (pristup pravosuđu)</w:t>
            </w:r>
          </w:p>
        </w:tc>
      </w:tr>
      <w:tr w:rsidR="005F3233" w:rsidRPr="00057759" w14:paraId="0FF8CF3F" w14:textId="77777777" w:rsidTr="005F3233">
        <w:trPr>
          <w:trHeight w:val="978"/>
        </w:trPr>
        <w:tc>
          <w:tcPr>
            <w:tcW w:w="3078" w:type="dxa"/>
            <w:vMerge w:val="restart"/>
            <w:shd w:val="clear" w:color="auto" w:fill="F2F2F2" w:themeFill="background1" w:themeFillShade="F2"/>
          </w:tcPr>
          <w:p w14:paraId="3A9E2CE9" w14:textId="77777777"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lastRenderedPageBreak/>
              <w:t xml:space="preserve">Naziv nacionalnog propisa koji je usklađen s UN Konvencijom o pravima osoba s invaliditetom </w:t>
            </w:r>
          </w:p>
          <w:p w14:paraId="612DBDC9" w14:textId="77777777" w:rsidR="005F3233" w:rsidRPr="00057759" w:rsidRDefault="005F3233" w:rsidP="005F3233">
            <w:pPr>
              <w:spacing w:after="0"/>
              <w:rPr>
                <w:rFonts w:ascii="Times New Roman" w:hAnsi="Times New Roman" w:cs="Times New Roman"/>
                <w:sz w:val="24"/>
                <w:szCs w:val="24"/>
              </w:rPr>
            </w:pPr>
          </w:p>
          <w:p w14:paraId="32D6AB60" w14:textId="77777777"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t>U kojem djelu se izvršilo usklađivanje</w:t>
            </w:r>
          </w:p>
          <w:p w14:paraId="7079562B" w14:textId="77777777" w:rsidR="005F3233" w:rsidRPr="00057759" w:rsidRDefault="005F3233" w:rsidP="005F3233">
            <w:pPr>
              <w:spacing w:after="0"/>
              <w:rPr>
                <w:rFonts w:ascii="Times New Roman" w:hAnsi="Times New Roman" w:cs="Times New Roman"/>
                <w:sz w:val="24"/>
                <w:szCs w:val="24"/>
              </w:rPr>
            </w:pPr>
          </w:p>
        </w:tc>
        <w:tc>
          <w:tcPr>
            <w:tcW w:w="6698" w:type="dxa"/>
            <w:gridSpan w:val="2"/>
            <w:shd w:val="clear" w:color="auto" w:fill="D9E2F3" w:themeFill="accent1" w:themeFillTint="33"/>
          </w:tcPr>
          <w:p w14:paraId="79EB96B8" w14:textId="77777777"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t>Kazneni zakon</w:t>
            </w:r>
          </w:p>
          <w:p w14:paraId="5E020EA6" w14:textId="77777777"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t>(Narodne novine, br. 125/11, 144/12, 56/15, 61/15, 101/17, 118/18</w:t>
            </w:r>
            <w:r>
              <w:rPr>
                <w:rFonts w:ascii="Times New Roman" w:hAnsi="Times New Roman" w:cs="Times New Roman"/>
                <w:sz w:val="24"/>
                <w:szCs w:val="24"/>
              </w:rPr>
              <w:t xml:space="preserve">, </w:t>
            </w:r>
            <w:r w:rsidRPr="00057759">
              <w:rPr>
                <w:rFonts w:ascii="Times New Roman" w:hAnsi="Times New Roman" w:cs="Times New Roman"/>
                <w:sz w:val="24"/>
                <w:szCs w:val="24"/>
              </w:rPr>
              <w:t xml:space="preserve"> 126/19</w:t>
            </w:r>
            <w:r>
              <w:rPr>
                <w:rFonts w:ascii="Times New Roman" w:hAnsi="Times New Roman" w:cs="Times New Roman"/>
                <w:sz w:val="24"/>
                <w:szCs w:val="24"/>
              </w:rPr>
              <w:t xml:space="preserve"> i 84/21</w:t>
            </w:r>
            <w:r w:rsidRPr="00057759">
              <w:rPr>
                <w:rFonts w:ascii="Times New Roman" w:hAnsi="Times New Roman" w:cs="Times New Roman"/>
                <w:sz w:val="24"/>
                <w:szCs w:val="24"/>
              </w:rPr>
              <w:t>)</w:t>
            </w:r>
          </w:p>
        </w:tc>
      </w:tr>
      <w:tr w:rsidR="005F3233" w:rsidRPr="00057759" w14:paraId="49D67CCF" w14:textId="77777777" w:rsidTr="005F3233">
        <w:trPr>
          <w:trHeight w:val="1935"/>
        </w:trPr>
        <w:tc>
          <w:tcPr>
            <w:tcW w:w="3078" w:type="dxa"/>
            <w:vMerge/>
            <w:shd w:val="clear" w:color="auto" w:fill="F2F2F2" w:themeFill="background1" w:themeFillShade="F2"/>
          </w:tcPr>
          <w:p w14:paraId="57336EAA" w14:textId="77777777" w:rsidR="005F3233" w:rsidRPr="00057759" w:rsidRDefault="005F3233" w:rsidP="005F3233">
            <w:pPr>
              <w:spacing w:after="0"/>
              <w:rPr>
                <w:rFonts w:ascii="Times New Roman" w:hAnsi="Times New Roman" w:cs="Times New Roman"/>
                <w:sz w:val="24"/>
                <w:szCs w:val="24"/>
              </w:rPr>
            </w:pPr>
          </w:p>
        </w:tc>
        <w:tc>
          <w:tcPr>
            <w:tcW w:w="6698" w:type="dxa"/>
            <w:gridSpan w:val="2"/>
          </w:tcPr>
          <w:p w14:paraId="6B29543C" w14:textId="77777777"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t xml:space="preserve">Članak 87. stavak 21. – Zločin iz mržnje </w:t>
            </w:r>
          </w:p>
          <w:p w14:paraId="2B9171E4" w14:textId="77777777"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t>Članak 125. – Povreda ravnopravnosti</w:t>
            </w:r>
          </w:p>
          <w:p w14:paraId="05CB077B" w14:textId="77777777"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t>Članak 111. - Teško ubojstvo</w:t>
            </w:r>
          </w:p>
          <w:p w14:paraId="58EAB061" w14:textId="77777777"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t>Članak 117. st. 2.  - tjelesna ozljeda</w:t>
            </w:r>
          </w:p>
          <w:p w14:paraId="3E7D6A01" w14:textId="77777777"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t xml:space="preserve">Članak 118. st. 2 teška tjelesna ozljeda </w:t>
            </w:r>
          </w:p>
          <w:p w14:paraId="6C58905D" w14:textId="77777777"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t xml:space="preserve">Članak 119. st. 2. osobito teška tjelesna ozljeda </w:t>
            </w:r>
          </w:p>
          <w:p w14:paraId="1CA71E1F" w14:textId="77777777"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t>Članak 125. Povreda ravnopravnosti</w:t>
            </w:r>
          </w:p>
          <w:p w14:paraId="523B591D" w14:textId="77777777"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t xml:space="preserve">Niz kaznenih dijela u katalogu Kaznenog zakona kojima je </w:t>
            </w:r>
            <w:proofErr w:type="spellStart"/>
            <w:r w:rsidRPr="00057759">
              <w:rPr>
                <w:rFonts w:ascii="Times New Roman" w:hAnsi="Times New Roman" w:cs="Times New Roman"/>
                <w:sz w:val="24"/>
                <w:szCs w:val="24"/>
              </w:rPr>
              <w:t>učin</w:t>
            </w:r>
            <w:proofErr w:type="spellEnd"/>
            <w:r w:rsidRPr="00057759">
              <w:rPr>
                <w:rFonts w:ascii="Times New Roman" w:hAnsi="Times New Roman" w:cs="Times New Roman"/>
                <w:sz w:val="24"/>
                <w:szCs w:val="24"/>
              </w:rPr>
              <w:t xml:space="preserve"> djela prema osobi posebno ranjivoj zbog teže tjelesne ili duševne smetnje propisan kao kvalificiran oblik počinjenja kaznenog dijela (primjerice članak 117. stavak. 2 ili članak 118. stavak 2.)</w:t>
            </w:r>
          </w:p>
        </w:tc>
      </w:tr>
      <w:tr w:rsidR="005F3233" w:rsidRPr="00057759" w14:paraId="54ADAA1F" w14:textId="77777777" w:rsidTr="005F3233">
        <w:trPr>
          <w:trHeight w:val="917"/>
        </w:trPr>
        <w:tc>
          <w:tcPr>
            <w:tcW w:w="3078" w:type="dxa"/>
            <w:vMerge w:val="restart"/>
            <w:shd w:val="clear" w:color="auto" w:fill="F2F2F2" w:themeFill="background1" w:themeFillShade="F2"/>
          </w:tcPr>
          <w:p w14:paraId="447EF1C8" w14:textId="77777777"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t xml:space="preserve">Naziv nacionalnog propisa koji je usklađen s UN Konvencijom o pravima osoba s invaliditetom </w:t>
            </w:r>
          </w:p>
          <w:p w14:paraId="550E64AA" w14:textId="77777777" w:rsidR="005F3233" w:rsidRPr="00057759" w:rsidRDefault="005F3233" w:rsidP="005F3233">
            <w:pPr>
              <w:spacing w:after="0"/>
              <w:rPr>
                <w:rFonts w:ascii="Times New Roman" w:hAnsi="Times New Roman" w:cs="Times New Roman"/>
                <w:sz w:val="24"/>
                <w:szCs w:val="24"/>
              </w:rPr>
            </w:pPr>
          </w:p>
          <w:p w14:paraId="2E59D50C" w14:textId="0F4928CA"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t>U kojem djelu se izvršilo usklađivanje</w:t>
            </w:r>
          </w:p>
        </w:tc>
        <w:tc>
          <w:tcPr>
            <w:tcW w:w="6698" w:type="dxa"/>
            <w:gridSpan w:val="2"/>
            <w:shd w:val="clear" w:color="auto" w:fill="D9E2F3" w:themeFill="accent1" w:themeFillTint="33"/>
          </w:tcPr>
          <w:p w14:paraId="474EEF12" w14:textId="77777777"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t>Zakon o zaštiti od nasilja u obitelji</w:t>
            </w:r>
          </w:p>
          <w:p w14:paraId="3A366AD8" w14:textId="77777777"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t>(Narodne novine, br. 70/17</w:t>
            </w:r>
            <w:r>
              <w:rPr>
                <w:rFonts w:ascii="Times New Roman" w:hAnsi="Times New Roman" w:cs="Times New Roman"/>
                <w:sz w:val="24"/>
                <w:szCs w:val="24"/>
              </w:rPr>
              <w:t>,</w:t>
            </w:r>
            <w:r w:rsidRPr="00057759">
              <w:rPr>
                <w:rFonts w:ascii="Times New Roman" w:hAnsi="Times New Roman" w:cs="Times New Roman"/>
                <w:sz w:val="24"/>
                <w:szCs w:val="24"/>
              </w:rPr>
              <w:t xml:space="preserve"> 126/19</w:t>
            </w:r>
            <w:r>
              <w:rPr>
                <w:rFonts w:ascii="Times New Roman" w:hAnsi="Times New Roman" w:cs="Times New Roman"/>
                <w:sz w:val="24"/>
                <w:szCs w:val="24"/>
              </w:rPr>
              <w:t xml:space="preserve"> i 84/21</w:t>
            </w:r>
            <w:r w:rsidRPr="00057759">
              <w:rPr>
                <w:rFonts w:ascii="Times New Roman" w:hAnsi="Times New Roman" w:cs="Times New Roman"/>
                <w:sz w:val="24"/>
                <w:szCs w:val="24"/>
              </w:rPr>
              <w:t>)</w:t>
            </w:r>
          </w:p>
        </w:tc>
      </w:tr>
      <w:tr w:rsidR="005F3233" w:rsidRPr="00057759" w14:paraId="69C97A7D" w14:textId="77777777" w:rsidTr="005F3233">
        <w:trPr>
          <w:trHeight w:val="825"/>
        </w:trPr>
        <w:tc>
          <w:tcPr>
            <w:tcW w:w="3078" w:type="dxa"/>
            <w:vMerge/>
            <w:shd w:val="clear" w:color="auto" w:fill="F2F2F2" w:themeFill="background1" w:themeFillShade="F2"/>
          </w:tcPr>
          <w:p w14:paraId="2564564F" w14:textId="77777777" w:rsidR="005F3233" w:rsidRPr="00057759" w:rsidRDefault="005F3233" w:rsidP="005F3233">
            <w:pPr>
              <w:spacing w:after="0"/>
              <w:rPr>
                <w:rFonts w:ascii="Times New Roman" w:hAnsi="Times New Roman" w:cs="Times New Roman"/>
                <w:sz w:val="24"/>
                <w:szCs w:val="24"/>
              </w:rPr>
            </w:pPr>
          </w:p>
        </w:tc>
        <w:tc>
          <w:tcPr>
            <w:tcW w:w="6698" w:type="dxa"/>
            <w:gridSpan w:val="2"/>
          </w:tcPr>
          <w:p w14:paraId="154FCF85" w14:textId="77777777"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t>Članak 10. st.6 i članak 22. st. 5</w:t>
            </w:r>
          </w:p>
          <w:p w14:paraId="31D8EB59" w14:textId="77777777"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t>Članak 20. - prikupljanje podataka</w:t>
            </w:r>
          </w:p>
        </w:tc>
      </w:tr>
      <w:tr w:rsidR="005F3233" w:rsidRPr="00057759" w14:paraId="2BC64953" w14:textId="77777777" w:rsidTr="005F3233">
        <w:trPr>
          <w:trHeight w:val="825"/>
        </w:trPr>
        <w:tc>
          <w:tcPr>
            <w:tcW w:w="3078" w:type="dxa"/>
            <w:vMerge w:val="restart"/>
            <w:shd w:val="clear" w:color="auto" w:fill="F2F2F2" w:themeFill="background1" w:themeFillShade="F2"/>
          </w:tcPr>
          <w:p w14:paraId="716D0059" w14:textId="77777777"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t xml:space="preserve">Naziv nacionalnog propisa koji je usklađen s UN Konvencijom o pravima osoba s invaliditetom </w:t>
            </w:r>
          </w:p>
          <w:p w14:paraId="7DB34898" w14:textId="77777777" w:rsidR="005F3233" w:rsidRPr="003B1D7E" w:rsidRDefault="005F3233" w:rsidP="005F3233">
            <w:pPr>
              <w:spacing w:after="0"/>
              <w:rPr>
                <w:rFonts w:ascii="Times New Roman" w:hAnsi="Times New Roman" w:cs="Times New Roman"/>
                <w:sz w:val="18"/>
                <w:szCs w:val="18"/>
              </w:rPr>
            </w:pPr>
          </w:p>
          <w:p w14:paraId="0C9793BA" w14:textId="04AE89EE"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t>U kojem djelu se izvršilo usklađivanje</w:t>
            </w:r>
          </w:p>
        </w:tc>
        <w:tc>
          <w:tcPr>
            <w:tcW w:w="6698" w:type="dxa"/>
            <w:gridSpan w:val="2"/>
            <w:shd w:val="clear" w:color="auto" w:fill="D9E2F3" w:themeFill="accent1" w:themeFillTint="33"/>
          </w:tcPr>
          <w:p w14:paraId="2E0AF853" w14:textId="77777777"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t xml:space="preserve">Zakon o parničnom postupku </w:t>
            </w:r>
          </w:p>
          <w:p w14:paraId="79AE38CF" w14:textId="11EC2674"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t>(Narodne novine, br. 53/91, 91/92, 112/99, 88/01, 117/03, 88/05, 2/07, 96/08, 84/08, 123/08, 57/11, 25/13, 89/14 i 70/19)</w:t>
            </w:r>
          </w:p>
        </w:tc>
      </w:tr>
      <w:tr w:rsidR="005F3233" w:rsidRPr="00057759" w14:paraId="744CFA4F" w14:textId="77777777" w:rsidTr="005F3233">
        <w:trPr>
          <w:trHeight w:val="825"/>
        </w:trPr>
        <w:tc>
          <w:tcPr>
            <w:tcW w:w="3078" w:type="dxa"/>
            <w:vMerge/>
            <w:shd w:val="clear" w:color="auto" w:fill="F2F2F2" w:themeFill="background1" w:themeFillShade="F2"/>
          </w:tcPr>
          <w:p w14:paraId="70F7ACD2" w14:textId="77777777" w:rsidR="005F3233" w:rsidRPr="00057759" w:rsidRDefault="005F3233" w:rsidP="005F3233">
            <w:pPr>
              <w:spacing w:after="0"/>
              <w:rPr>
                <w:rFonts w:ascii="Times New Roman" w:hAnsi="Times New Roman" w:cs="Times New Roman"/>
                <w:sz w:val="24"/>
                <w:szCs w:val="24"/>
              </w:rPr>
            </w:pPr>
          </w:p>
        </w:tc>
        <w:tc>
          <w:tcPr>
            <w:tcW w:w="6698" w:type="dxa"/>
            <w:gridSpan w:val="2"/>
          </w:tcPr>
          <w:p w14:paraId="68ADF2EA" w14:textId="77777777"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t>Odredbama članka 245 i 246. propisana je mogućnost da gluhe i nagluhe osobe mogu koristiti tumača znakovnog jezika u parničnom postupku</w:t>
            </w:r>
          </w:p>
        </w:tc>
      </w:tr>
      <w:tr w:rsidR="005F3233" w:rsidRPr="00057759" w14:paraId="72D6DD92" w14:textId="77777777" w:rsidTr="005F3233">
        <w:trPr>
          <w:trHeight w:val="850"/>
        </w:trPr>
        <w:tc>
          <w:tcPr>
            <w:tcW w:w="3078" w:type="dxa"/>
            <w:vMerge w:val="restart"/>
            <w:shd w:val="clear" w:color="auto" w:fill="F2F2F2" w:themeFill="background1" w:themeFillShade="F2"/>
          </w:tcPr>
          <w:p w14:paraId="482B99D7" w14:textId="77777777" w:rsidR="005F3233" w:rsidRPr="00057759" w:rsidRDefault="005F3233" w:rsidP="005F3233">
            <w:pPr>
              <w:spacing w:after="0"/>
              <w:rPr>
                <w:rFonts w:ascii="Times New Roman" w:hAnsi="Times New Roman" w:cs="Times New Roman"/>
                <w:sz w:val="24"/>
                <w:szCs w:val="24"/>
              </w:rPr>
            </w:pPr>
            <w:bookmarkStart w:id="167" w:name="_Hlk42852036"/>
            <w:r w:rsidRPr="00057759">
              <w:rPr>
                <w:rFonts w:ascii="Times New Roman" w:hAnsi="Times New Roman" w:cs="Times New Roman"/>
                <w:sz w:val="24"/>
                <w:szCs w:val="24"/>
              </w:rPr>
              <w:t xml:space="preserve">Naziv nacionalnog propisa koji je usklađen s UN </w:t>
            </w:r>
            <w:r w:rsidRPr="00057759">
              <w:rPr>
                <w:rFonts w:ascii="Times New Roman" w:hAnsi="Times New Roman" w:cs="Times New Roman"/>
                <w:sz w:val="24"/>
                <w:szCs w:val="24"/>
              </w:rPr>
              <w:lastRenderedPageBreak/>
              <w:t xml:space="preserve">Konvencijom o pravima osoba s invaliditetom </w:t>
            </w:r>
          </w:p>
          <w:p w14:paraId="4BB9B1BC" w14:textId="77777777" w:rsidR="005F3233" w:rsidRPr="00057759" w:rsidRDefault="005F3233" w:rsidP="005F3233">
            <w:pPr>
              <w:spacing w:after="0"/>
              <w:rPr>
                <w:rFonts w:ascii="Times New Roman" w:hAnsi="Times New Roman" w:cs="Times New Roman"/>
                <w:sz w:val="24"/>
                <w:szCs w:val="24"/>
              </w:rPr>
            </w:pPr>
          </w:p>
          <w:p w14:paraId="2DE450F7" w14:textId="77777777"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t>U kojem djelu se izvršilo usklađivanje</w:t>
            </w:r>
          </w:p>
          <w:p w14:paraId="2B02DB24" w14:textId="77777777" w:rsidR="005F3233" w:rsidRPr="00057759" w:rsidRDefault="005F3233" w:rsidP="005F3233">
            <w:pPr>
              <w:spacing w:after="0"/>
              <w:rPr>
                <w:rFonts w:ascii="Times New Roman" w:hAnsi="Times New Roman" w:cs="Times New Roman"/>
                <w:sz w:val="24"/>
                <w:szCs w:val="24"/>
              </w:rPr>
            </w:pPr>
          </w:p>
        </w:tc>
        <w:tc>
          <w:tcPr>
            <w:tcW w:w="6698" w:type="dxa"/>
            <w:gridSpan w:val="2"/>
            <w:shd w:val="clear" w:color="auto" w:fill="D9E2F3" w:themeFill="accent1" w:themeFillTint="33"/>
          </w:tcPr>
          <w:p w14:paraId="279DAB87" w14:textId="77777777"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lastRenderedPageBreak/>
              <w:t>Zakon o vlasništvu i drugim stvarnim pravima</w:t>
            </w:r>
          </w:p>
          <w:p w14:paraId="66CA1D67" w14:textId="77777777"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t>(Narodne novine, br. 91/96, 68/98, 137/99, 22/00,73/00,114/01, 79/06, 141/06, 146/08, 38/09, 153/09, 143/12 i 152/14)</w:t>
            </w:r>
          </w:p>
        </w:tc>
      </w:tr>
      <w:tr w:rsidR="005F3233" w:rsidRPr="00057759" w14:paraId="531EDB2E" w14:textId="77777777" w:rsidTr="005F3233">
        <w:trPr>
          <w:trHeight w:val="1245"/>
        </w:trPr>
        <w:tc>
          <w:tcPr>
            <w:tcW w:w="3078" w:type="dxa"/>
            <w:vMerge/>
            <w:shd w:val="clear" w:color="auto" w:fill="F2F2F2" w:themeFill="background1" w:themeFillShade="F2"/>
          </w:tcPr>
          <w:p w14:paraId="37FF0C1F" w14:textId="77777777" w:rsidR="005F3233" w:rsidRPr="00057759" w:rsidRDefault="005F3233" w:rsidP="005F3233">
            <w:pPr>
              <w:spacing w:after="0"/>
              <w:rPr>
                <w:rFonts w:ascii="Times New Roman" w:hAnsi="Times New Roman" w:cs="Times New Roman"/>
                <w:sz w:val="24"/>
                <w:szCs w:val="24"/>
              </w:rPr>
            </w:pPr>
          </w:p>
        </w:tc>
        <w:tc>
          <w:tcPr>
            <w:tcW w:w="6698" w:type="dxa"/>
            <w:gridSpan w:val="2"/>
          </w:tcPr>
          <w:p w14:paraId="3F0F1561" w14:textId="77777777"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t>Zakonom o izmjenama i dopunama Zakona o vlasništvu i drugim stvarnim pravima(Narodne novine, broj 141/06), odredbama članka 82. st.1 podstavka 2 i članka 87. stavka 3. kojima je uređen nesmetan pristup, kretanje i rad osobama smanjene pokretljivosti izvršilo se usklađivanje navedenih odredbi  s UN Konvencijom o pravima osoba s invaliditetom.</w:t>
            </w:r>
          </w:p>
          <w:p w14:paraId="40B3F731" w14:textId="77777777"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t>Navedene odredbe stupile su na snagu 26.12.2006.</w:t>
            </w:r>
          </w:p>
        </w:tc>
      </w:tr>
      <w:bookmarkEnd w:id="167"/>
      <w:tr w:rsidR="005F3233" w:rsidRPr="00057759" w14:paraId="409ED0AC" w14:textId="77777777" w:rsidTr="003B1D7E">
        <w:trPr>
          <w:trHeight w:val="568"/>
        </w:trPr>
        <w:tc>
          <w:tcPr>
            <w:tcW w:w="3078" w:type="dxa"/>
            <w:vMerge w:val="restart"/>
            <w:shd w:val="clear" w:color="auto" w:fill="F2F2F2" w:themeFill="background1" w:themeFillShade="F2"/>
          </w:tcPr>
          <w:p w14:paraId="61CB5F62" w14:textId="77777777"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t xml:space="preserve">Naziv nacionalnog propisa koji je usklađen s UN Konvencijom o pravima osoba s invaliditetom </w:t>
            </w:r>
          </w:p>
          <w:p w14:paraId="52170D1D" w14:textId="77777777" w:rsidR="005F3233" w:rsidRPr="00057759" w:rsidRDefault="005F3233" w:rsidP="005F3233">
            <w:pPr>
              <w:spacing w:after="0"/>
              <w:rPr>
                <w:rFonts w:ascii="Times New Roman" w:hAnsi="Times New Roman" w:cs="Times New Roman"/>
                <w:sz w:val="24"/>
                <w:szCs w:val="24"/>
              </w:rPr>
            </w:pPr>
          </w:p>
          <w:p w14:paraId="2BE5779D" w14:textId="50AA6292"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t>U kojem djelu se izvršilo usklađivanje</w:t>
            </w:r>
          </w:p>
        </w:tc>
        <w:tc>
          <w:tcPr>
            <w:tcW w:w="6698" w:type="dxa"/>
            <w:gridSpan w:val="2"/>
            <w:shd w:val="clear" w:color="auto" w:fill="D9E2F3" w:themeFill="accent1" w:themeFillTint="33"/>
          </w:tcPr>
          <w:p w14:paraId="1D2A93A2" w14:textId="77777777"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t xml:space="preserve">Zakon o obveznim odnosima </w:t>
            </w:r>
          </w:p>
          <w:p w14:paraId="7B3BCFC6" w14:textId="14EC84AB"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t>(Narodne novine, br. 35/05, 41/08, 125/11, 78/15 i 29/18)</w:t>
            </w:r>
          </w:p>
        </w:tc>
      </w:tr>
      <w:tr w:rsidR="005F3233" w:rsidRPr="00057759" w14:paraId="7A6569A4" w14:textId="77777777" w:rsidTr="005F3233">
        <w:trPr>
          <w:trHeight w:val="967"/>
        </w:trPr>
        <w:tc>
          <w:tcPr>
            <w:tcW w:w="3078" w:type="dxa"/>
            <w:vMerge/>
            <w:shd w:val="clear" w:color="auto" w:fill="F2F2F2" w:themeFill="background1" w:themeFillShade="F2"/>
          </w:tcPr>
          <w:p w14:paraId="27B82623" w14:textId="77777777" w:rsidR="005F3233" w:rsidRPr="00057759" w:rsidRDefault="005F3233" w:rsidP="005F3233">
            <w:pPr>
              <w:spacing w:after="0"/>
              <w:rPr>
                <w:rFonts w:ascii="Times New Roman" w:hAnsi="Times New Roman" w:cs="Times New Roman"/>
                <w:sz w:val="24"/>
                <w:szCs w:val="24"/>
              </w:rPr>
            </w:pPr>
          </w:p>
        </w:tc>
        <w:tc>
          <w:tcPr>
            <w:tcW w:w="6698" w:type="dxa"/>
            <w:gridSpan w:val="2"/>
          </w:tcPr>
          <w:p w14:paraId="18A483EA" w14:textId="77777777"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t>Usklađivanje terminologije članka 1050. (osobe koje ne odgovaraju za štetu) i članka 1055. (osobe s mentalnim i intelektualnim oštećenjima) s terminologijom Konvencije, u dijelu koji se odnosi na osobe s mentalnim ili intelektualnim oštećenjima.</w:t>
            </w:r>
          </w:p>
        </w:tc>
      </w:tr>
      <w:tr w:rsidR="005F3233" w:rsidRPr="00057759" w14:paraId="36C0555B" w14:textId="77777777" w:rsidTr="005F3233">
        <w:trPr>
          <w:trHeight w:val="759"/>
        </w:trPr>
        <w:tc>
          <w:tcPr>
            <w:tcW w:w="3078" w:type="dxa"/>
            <w:vMerge w:val="restart"/>
            <w:shd w:val="clear" w:color="auto" w:fill="F2F2F2" w:themeFill="background1" w:themeFillShade="F2"/>
          </w:tcPr>
          <w:p w14:paraId="1F92BD47" w14:textId="77777777"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t xml:space="preserve">Naziv nacionalnog propisa koji je usklađen s UN Konvencijom o pravima osoba s invaliditetom </w:t>
            </w:r>
          </w:p>
          <w:p w14:paraId="5B741AA4" w14:textId="77777777" w:rsidR="005F3233" w:rsidRPr="00057759" w:rsidRDefault="005F3233" w:rsidP="005F3233">
            <w:pPr>
              <w:spacing w:after="0"/>
              <w:rPr>
                <w:rFonts w:ascii="Times New Roman" w:hAnsi="Times New Roman" w:cs="Times New Roman"/>
                <w:sz w:val="24"/>
                <w:szCs w:val="24"/>
              </w:rPr>
            </w:pPr>
          </w:p>
          <w:p w14:paraId="102EFB38" w14:textId="77777777"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t>U kojem djelu se izvršilo usklađivanje</w:t>
            </w:r>
          </w:p>
          <w:p w14:paraId="75684D8F" w14:textId="77777777" w:rsidR="005F3233" w:rsidRPr="00057759" w:rsidRDefault="005F3233" w:rsidP="005F3233">
            <w:pPr>
              <w:spacing w:after="0"/>
              <w:rPr>
                <w:rFonts w:ascii="Times New Roman" w:hAnsi="Times New Roman" w:cs="Times New Roman"/>
                <w:sz w:val="24"/>
                <w:szCs w:val="24"/>
              </w:rPr>
            </w:pPr>
          </w:p>
        </w:tc>
        <w:tc>
          <w:tcPr>
            <w:tcW w:w="6698" w:type="dxa"/>
            <w:gridSpan w:val="2"/>
            <w:shd w:val="clear" w:color="auto" w:fill="D9E2F3" w:themeFill="accent1" w:themeFillTint="33"/>
          </w:tcPr>
          <w:p w14:paraId="3D746C52" w14:textId="77777777"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t xml:space="preserve">Zakon o besplatnoj pravnoj pomoći </w:t>
            </w:r>
          </w:p>
          <w:p w14:paraId="7874DFF3" w14:textId="7030AD87"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t>(Narodne novine, br. 143/13 i 98/19)</w:t>
            </w:r>
          </w:p>
        </w:tc>
      </w:tr>
      <w:tr w:rsidR="005F3233" w:rsidRPr="00057759" w14:paraId="7882535E" w14:textId="77777777" w:rsidTr="003B1D7E">
        <w:trPr>
          <w:trHeight w:val="694"/>
        </w:trPr>
        <w:tc>
          <w:tcPr>
            <w:tcW w:w="3078" w:type="dxa"/>
            <w:vMerge/>
            <w:shd w:val="clear" w:color="auto" w:fill="F2F2F2" w:themeFill="background1" w:themeFillShade="F2"/>
          </w:tcPr>
          <w:p w14:paraId="0B974314" w14:textId="77777777" w:rsidR="005F3233" w:rsidRPr="00057759" w:rsidRDefault="005F3233" w:rsidP="005F3233">
            <w:pPr>
              <w:spacing w:after="0"/>
              <w:rPr>
                <w:rFonts w:ascii="Times New Roman" w:hAnsi="Times New Roman" w:cs="Times New Roman"/>
                <w:sz w:val="24"/>
                <w:szCs w:val="24"/>
              </w:rPr>
            </w:pPr>
          </w:p>
        </w:tc>
        <w:tc>
          <w:tcPr>
            <w:tcW w:w="6698" w:type="dxa"/>
            <w:gridSpan w:val="2"/>
          </w:tcPr>
          <w:p w14:paraId="0621FF9B" w14:textId="77777777"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t>Zakon o besplatnoj pravnoj pomoći propisuje uvijete i postupak u kojem osobe slabijeg imovnog stanja mogu ostvariti pravo na pravno savjetovanje, te pristup sudu i drugim javnopravnim tijelima u građanskim i upravnim stvarima.</w:t>
            </w:r>
          </w:p>
          <w:p w14:paraId="61579880" w14:textId="77777777"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t>Odredbe članka 14.st.3 i članka 15. st. 2 podstavka 6. Zakona omogućava se osobama s invaliditetom da pravo na besplatnu pravnu pomoć ostvare po posebnim uvjetima u pogledu prihodovnog cenzusa.</w:t>
            </w:r>
          </w:p>
        </w:tc>
      </w:tr>
      <w:tr w:rsidR="005F3233" w:rsidRPr="00057759" w14:paraId="546908CD" w14:textId="77777777" w:rsidTr="003B1D7E">
        <w:tc>
          <w:tcPr>
            <w:tcW w:w="3078" w:type="dxa"/>
            <w:shd w:val="clear" w:color="auto" w:fill="F2F2F2" w:themeFill="background1" w:themeFillShade="F2"/>
          </w:tcPr>
          <w:p w14:paraId="3AC53A6E" w14:textId="77777777" w:rsidR="005F3233" w:rsidRPr="00057759" w:rsidRDefault="005F3233" w:rsidP="005F3233">
            <w:pPr>
              <w:spacing w:after="0"/>
              <w:rPr>
                <w:rFonts w:ascii="Times New Roman" w:hAnsi="Times New Roman" w:cs="Times New Roman"/>
                <w:sz w:val="24"/>
                <w:szCs w:val="24"/>
              </w:rPr>
            </w:pPr>
            <w:bookmarkStart w:id="168" w:name="_Hlk42858573"/>
            <w:r w:rsidRPr="00057759">
              <w:rPr>
                <w:rFonts w:ascii="Times New Roman" w:hAnsi="Times New Roman" w:cs="Times New Roman"/>
                <w:sz w:val="24"/>
                <w:szCs w:val="24"/>
              </w:rPr>
              <w:t>Tijelo državne uprave koje dostavlja podatke</w:t>
            </w:r>
          </w:p>
        </w:tc>
        <w:tc>
          <w:tcPr>
            <w:tcW w:w="6698" w:type="dxa"/>
            <w:gridSpan w:val="2"/>
            <w:shd w:val="clear" w:color="auto" w:fill="E2EFD9" w:themeFill="accent6" w:themeFillTint="33"/>
            <w:vAlign w:val="center"/>
          </w:tcPr>
          <w:p w14:paraId="3B5F5C69" w14:textId="77777777"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t>MINISTARSTVO MORA, PROMETA I INFRASTRUKTURE</w:t>
            </w:r>
          </w:p>
        </w:tc>
      </w:tr>
      <w:bookmarkEnd w:id="168"/>
      <w:tr w:rsidR="005F3233" w:rsidRPr="00057759" w14:paraId="249BA7FA" w14:textId="77777777" w:rsidTr="005F3233">
        <w:tc>
          <w:tcPr>
            <w:tcW w:w="3078" w:type="dxa"/>
            <w:shd w:val="clear" w:color="auto" w:fill="F2F2F2" w:themeFill="background1" w:themeFillShade="F2"/>
          </w:tcPr>
          <w:p w14:paraId="5C838673" w14:textId="77777777"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t>Ukupan broj propisa u  nadležnosti Ministarstva</w:t>
            </w:r>
          </w:p>
        </w:tc>
        <w:tc>
          <w:tcPr>
            <w:tcW w:w="6698" w:type="dxa"/>
            <w:gridSpan w:val="2"/>
          </w:tcPr>
          <w:p w14:paraId="3CC9CBC9" w14:textId="77777777"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t>Okvirno 365 zakonskih i podzakonskih akata</w:t>
            </w:r>
          </w:p>
        </w:tc>
      </w:tr>
      <w:tr w:rsidR="005F3233" w:rsidRPr="00057759" w14:paraId="53FD47E9" w14:textId="77777777" w:rsidTr="005F3233">
        <w:tc>
          <w:tcPr>
            <w:tcW w:w="3078" w:type="dxa"/>
            <w:shd w:val="clear" w:color="auto" w:fill="F2F2F2" w:themeFill="background1" w:themeFillShade="F2"/>
          </w:tcPr>
          <w:p w14:paraId="0287E004" w14:textId="77777777"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t>Ukupan broj propisa iz Vaše nadležnosti koji je usklađen s UN Konvencijom o pravima osoba s invaliditetom</w:t>
            </w:r>
          </w:p>
        </w:tc>
        <w:tc>
          <w:tcPr>
            <w:tcW w:w="6698" w:type="dxa"/>
            <w:gridSpan w:val="2"/>
          </w:tcPr>
          <w:p w14:paraId="31A9A3CA" w14:textId="77777777"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t>12</w:t>
            </w:r>
          </w:p>
        </w:tc>
      </w:tr>
      <w:tr w:rsidR="005F3233" w:rsidRPr="00057759" w14:paraId="1B47B042" w14:textId="77777777" w:rsidTr="005F3233">
        <w:trPr>
          <w:trHeight w:val="552"/>
        </w:trPr>
        <w:tc>
          <w:tcPr>
            <w:tcW w:w="3078" w:type="dxa"/>
            <w:vMerge w:val="restart"/>
            <w:shd w:val="clear" w:color="auto" w:fill="F2F2F2" w:themeFill="background1" w:themeFillShade="F2"/>
          </w:tcPr>
          <w:p w14:paraId="36BCAA16" w14:textId="77777777" w:rsidR="005F3233" w:rsidRPr="00057759" w:rsidRDefault="005F3233" w:rsidP="005F3233">
            <w:pPr>
              <w:spacing w:after="0"/>
              <w:rPr>
                <w:rFonts w:ascii="Times New Roman" w:hAnsi="Times New Roman" w:cs="Times New Roman"/>
                <w:sz w:val="24"/>
                <w:szCs w:val="24"/>
              </w:rPr>
            </w:pPr>
            <w:bookmarkStart w:id="169" w:name="_Hlk42853917"/>
            <w:bookmarkStart w:id="170" w:name="_Hlk42853952"/>
            <w:r w:rsidRPr="00057759">
              <w:rPr>
                <w:rFonts w:ascii="Times New Roman" w:hAnsi="Times New Roman" w:cs="Times New Roman"/>
                <w:sz w:val="24"/>
                <w:szCs w:val="24"/>
              </w:rPr>
              <w:t xml:space="preserve">Naziv nacionalnog propisa koji je usklađen s UN Konvencijom o pravima osoba s invaliditetom </w:t>
            </w:r>
          </w:p>
          <w:p w14:paraId="7ED5CBCE" w14:textId="77777777" w:rsidR="005F3233" w:rsidRPr="00057759" w:rsidRDefault="005F3233" w:rsidP="005F3233">
            <w:pPr>
              <w:spacing w:after="0"/>
              <w:rPr>
                <w:rFonts w:ascii="Times New Roman" w:hAnsi="Times New Roman" w:cs="Times New Roman"/>
                <w:sz w:val="24"/>
                <w:szCs w:val="24"/>
              </w:rPr>
            </w:pPr>
          </w:p>
          <w:p w14:paraId="6AF8986B" w14:textId="77777777" w:rsidR="005F3233" w:rsidRPr="00057759" w:rsidRDefault="005F3233" w:rsidP="005F3233">
            <w:pPr>
              <w:spacing w:after="0"/>
              <w:rPr>
                <w:rFonts w:ascii="Times New Roman" w:hAnsi="Times New Roman" w:cs="Times New Roman"/>
                <w:sz w:val="24"/>
                <w:szCs w:val="24"/>
              </w:rPr>
            </w:pPr>
          </w:p>
          <w:p w14:paraId="5DFC2101" w14:textId="77777777" w:rsidR="005F3233" w:rsidRPr="00057759" w:rsidRDefault="005F3233" w:rsidP="005F3233">
            <w:pPr>
              <w:spacing w:after="0"/>
              <w:rPr>
                <w:rFonts w:ascii="Times New Roman" w:hAnsi="Times New Roman" w:cs="Times New Roman"/>
                <w:sz w:val="24"/>
                <w:szCs w:val="24"/>
              </w:rPr>
            </w:pPr>
          </w:p>
          <w:p w14:paraId="2C8AFF01" w14:textId="77777777" w:rsidR="005F3233" w:rsidRPr="00057759" w:rsidRDefault="005F3233" w:rsidP="005F3233">
            <w:pPr>
              <w:spacing w:after="0"/>
              <w:rPr>
                <w:rFonts w:ascii="Times New Roman" w:hAnsi="Times New Roman" w:cs="Times New Roman"/>
                <w:sz w:val="24"/>
                <w:szCs w:val="24"/>
              </w:rPr>
            </w:pPr>
          </w:p>
          <w:p w14:paraId="6B658275" w14:textId="77777777" w:rsidR="005F3233" w:rsidRPr="00057759" w:rsidRDefault="005F3233" w:rsidP="005F3233">
            <w:pPr>
              <w:spacing w:after="0"/>
              <w:rPr>
                <w:rFonts w:ascii="Times New Roman" w:hAnsi="Times New Roman" w:cs="Times New Roman"/>
                <w:sz w:val="24"/>
                <w:szCs w:val="24"/>
              </w:rPr>
            </w:pPr>
          </w:p>
          <w:p w14:paraId="304AAC14" w14:textId="77777777" w:rsidR="005F3233" w:rsidRPr="00057759" w:rsidRDefault="005F3233" w:rsidP="005F3233">
            <w:pPr>
              <w:spacing w:after="0"/>
              <w:rPr>
                <w:rFonts w:ascii="Times New Roman" w:hAnsi="Times New Roman" w:cs="Times New Roman"/>
                <w:sz w:val="24"/>
                <w:szCs w:val="24"/>
              </w:rPr>
            </w:pPr>
          </w:p>
          <w:p w14:paraId="3BB8528F" w14:textId="77777777"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t>U kojem djelu se izvršilo usklađivanje</w:t>
            </w:r>
          </w:p>
          <w:p w14:paraId="294402E1" w14:textId="77777777" w:rsidR="005F3233" w:rsidRPr="00057759" w:rsidRDefault="005F3233" w:rsidP="005F3233">
            <w:pPr>
              <w:spacing w:after="0"/>
              <w:rPr>
                <w:rFonts w:ascii="Times New Roman" w:hAnsi="Times New Roman" w:cs="Times New Roman"/>
                <w:sz w:val="24"/>
                <w:szCs w:val="24"/>
              </w:rPr>
            </w:pPr>
          </w:p>
        </w:tc>
        <w:tc>
          <w:tcPr>
            <w:tcW w:w="6698" w:type="dxa"/>
            <w:gridSpan w:val="2"/>
            <w:shd w:val="clear" w:color="auto" w:fill="D9E2F3" w:themeFill="accent1" w:themeFillTint="33"/>
          </w:tcPr>
          <w:p w14:paraId="312F3DCB" w14:textId="77777777"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t xml:space="preserve">Zakon o elektroničkim  komunikacijama </w:t>
            </w:r>
          </w:p>
          <w:p w14:paraId="7C62563B" w14:textId="77777777"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t>(Narodne novine, br. 73/08, 90/11, 133/123, 80/13, 71/14 i 72/17)</w:t>
            </w:r>
          </w:p>
          <w:p w14:paraId="63930C31" w14:textId="77777777"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t>Drugi izvori prava: Eu- Direktiva 2002/22/EZ Europskog parlamenta i Vijeća od 7 ožujka 2002.  o univerzalnoj usluzi i pravima korisnika u vezi s elektroničkim komunikacijskim mrežama i uslugama (Direktiva o univerzalnoj usluzi) i Direktiva 2009/136/EZ Europskog parlamenta i Vijeća od 25. studenog 2009 o izmjeni Direktive 2002/22/EZ o univerzalnim uslugama i pravima korisnika s obzirom na elektroničke komunikacijske mreže i usluge (Direktiva o univerzalnim uslugama)</w:t>
            </w:r>
          </w:p>
        </w:tc>
      </w:tr>
      <w:bookmarkEnd w:id="169"/>
      <w:tr w:rsidR="005F3233" w:rsidRPr="00057759" w14:paraId="271FDD7C" w14:textId="77777777" w:rsidTr="005F3233">
        <w:trPr>
          <w:trHeight w:val="910"/>
        </w:trPr>
        <w:tc>
          <w:tcPr>
            <w:tcW w:w="3078" w:type="dxa"/>
            <w:vMerge/>
            <w:shd w:val="clear" w:color="auto" w:fill="F2F2F2" w:themeFill="background1" w:themeFillShade="F2"/>
          </w:tcPr>
          <w:p w14:paraId="2841A281" w14:textId="77777777" w:rsidR="005F3233" w:rsidRPr="00057759" w:rsidRDefault="005F3233" w:rsidP="005F3233">
            <w:pPr>
              <w:spacing w:after="0"/>
              <w:rPr>
                <w:rFonts w:ascii="Times New Roman" w:hAnsi="Times New Roman" w:cs="Times New Roman"/>
                <w:sz w:val="24"/>
                <w:szCs w:val="24"/>
              </w:rPr>
            </w:pPr>
          </w:p>
        </w:tc>
        <w:tc>
          <w:tcPr>
            <w:tcW w:w="6698" w:type="dxa"/>
            <w:gridSpan w:val="2"/>
          </w:tcPr>
          <w:p w14:paraId="7903F01F" w14:textId="77777777"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t xml:space="preserve">Članak 5. st. 3 i 4., članak 24. st. 4, članak 34. st. 2., članak 35. st. 2., članak 43. st.1., članak 78a st.2., članak 96.st.3. i članak 119.st. 1. – promicanje interesa korisnika, opseg univerzalne usluge, zahtjevi za elektroničku komunikacijsku infrastrukturu i dr. </w:t>
            </w:r>
            <w:r w:rsidRPr="00057759">
              <w:rPr>
                <w:rFonts w:ascii="Times New Roman" w:hAnsi="Times New Roman" w:cs="Times New Roman"/>
                <w:sz w:val="24"/>
                <w:szCs w:val="24"/>
              </w:rPr>
              <w:lastRenderedPageBreak/>
              <w:t>povezanu opremu, dostupnost infrastrukturi, obavješćivanje korisnika, omogućavanje poziva prema tel. broju 116, osiguravanje usluga digitalne televizije i prekršajne odredbe.</w:t>
            </w:r>
          </w:p>
        </w:tc>
      </w:tr>
      <w:tr w:rsidR="005F3233" w:rsidRPr="00057759" w14:paraId="35C742F5" w14:textId="77777777" w:rsidTr="005F3233">
        <w:trPr>
          <w:trHeight w:val="911"/>
        </w:trPr>
        <w:tc>
          <w:tcPr>
            <w:tcW w:w="3078" w:type="dxa"/>
            <w:vMerge w:val="restart"/>
            <w:shd w:val="clear" w:color="auto" w:fill="F2F2F2" w:themeFill="background1" w:themeFillShade="F2"/>
          </w:tcPr>
          <w:p w14:paraId="0C809A38" w14:textId="77777777"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lastRenderedPageBreak/>
              <w:t xml:space="preserve">Naziv nacionalnog propisa koji je usklađen s UN Konvencijom o pravima osoba s invaliditetom </w:t>
            </w:r>
          </w:p>
          <w:p w14:paraId="3CA9045A" w14:textId="77777777" w:rsidR="005F3233" w:rsidRPr="00057759" w:rsidRDefault="005F3233" w:rsidP="005F3233">
            <w:pPr>
              <w:spacing w:after="0"/>
              <w:rPr>
                <w:rFonts w:ascii="Times New Roman" w:hAnsi="Times New Roman" w:cs="Times New Roman"/>
                <w:sz w:val="24"/>
                <w:szCs w:val="24"/>
              </w:rPr>
            </w:pPr>
          </w:p>
          <w:p w14:paraId="3B18B867" w14:textId="77777777" w:rsidR="005F3233" w:rsidRPr="00057759" w:rsidRDefault="005F3233" w:rsidP="005F3233">
            <w:pPr>
              <w:spacing w:after="0"/>
              <w:rPr>
                <w:rFonts w:ascii="Times New Roman" w:hAnsi="Times New Roman" w:cs="Times New Roman"/>
                <w:sz w:val="24"/>
                <w:szCs w:val="24"/>
              </w:rPr>
            </w:pPr>
          </w:p>
          <w:p w14:paraId="3E671ABD" w14:textId="77777777" w:rsidR="005F3233" w:rsidRPr="00057759" w:rsidRDefault="005F3233" w:rsidP="005F3233">
            <w:pPr>
              <w:spacing w:after="0"/>
              <w:rPr>
                <w:rFonts w:ascii="Times New Roman" w:hAnsi="Times New Roman" w:cs="Times New Roman"/>
                <w:sz w:val="24"/>
                <w:szCs w:val="24"/>
              </w:rPr>
            </w:pPr>
          </w:p>
          <w:p w14:paraId="14799DE7" w14:textId="77777777" w:rsidR="005F3233" w:rsidRPr="00057759" w:rsidRDefault="005F3233" w:rsidP="005F3233">
            <w:pPr>
              <w:spacing w:after="0"/>
              <w:rPr>
                <w:rFonts w:ascii="Times New Roman" w:hAnsi="Times New Roman" w:cs="Times New Roman"/>
                <w:sz w:val="24"/>
                <w:szCs w:val="24"/>
              </w:rPr>
            </w:pPr>
          </w:p>
          <w:p w14:paraId="18AB6736" w14:textId="77777777" w:rsidR="005F3233" w:rsidRPr="00057759" w:rsidRDefault="005F3233" w:rsidP="005F3233">
            <w:pPr>
              <w:spacing w:after="0"/>
              <w:rPr>
                <w:rFonts w:ascii="Times New Roman" w:hAnsi="Times New Roman" w:cs="Times New Roman"/>
                <w:sz w:val="24"/>
                <w:szCs w:val="24"/>
              </w:rPr>
            </w:pPr>
          </w:p>
          <w:p w14:paraId="02A33041" w14:textId="77777777"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t>U kojem djelu se izvršilo usklađivanje</w:t>
            </w:r>
          </w:p>
          <w:p w14:paraId="497ED27A" w14:textId="77777777" w:rsidR="005F3233" w:rsidRPr="00057759" w:rsidRDefault="005F3233" w:rsidP="005F3233">
            <w:pPr>
              <w:spacing w:after="0"/>
              <w:rPr>
                <w:rFonts w:ascii="Times New Roman" w:hAnsi="Times New Roman" w:cs="Times New Roman"/>
                <w:sz w:val="24"/>
                <w:szCs w:val="24"/>
              </w:rPr>
            </w:pPr>
          </w:p>
        </w:tc>
        <w:tc>
          <w:tcPr>
            <w:tcW w:w="6698" w:type="dxa"/>
            <w:gridSpan w:val="2"/>
            <w:shd w:val="clear" w:color="auto" w:fill="D9E2F3" w:themeFill="accent1" w:themeFillTint="33"/>
          </w:tcPr>
          <w:p w14:paraId="215D7A40" w14:textId="77777777"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t>Pravilnik o univerzalnim uslugama u elektroničkim komunikacijama</w:t>
            </w:r>
          </w:p>
          <w:p w14:paraId="1A27B142" w14:textId="77777777"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t>(Narodne novine, br. 146/12, 82/14, 41/16, 62/19 i 68/19)</w:t>
            </w:r>
          </w:p>
          <w:p w14:paraId="7FC7F9CE" w14:textId="77777777"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t>Drugi izvori prava: Eu- Direktiva 2002/22/EZ Europskog parlamenta i Vijeća od 7 ožujka 2002.  o univerzalnoj usluzi i pravima korisnika u vezi s elektroničkim komunikacijskim mrežama i uslugama (Direktiva o univerzalnoj usluzi) i Direktiva 2009/136/EZ Europskog parlamenta i Vijeća od 25. studenog 2009 o izmjeni Direktive 2002/22/EZ o univerzalnim uslugama i pravima korisnika s obzirom na elektroničke komunikacijske mreže i usluge (Direktiva o univerzalnim uslugama)</w:t>
            </w:r>
          </w:p>
        </w:tc>
      </w:tr>
      <w:tr w:rsidR="005F3233" w:rsidRPr="00057759" w14:paraId="5746AB74" w14:textId="77777777" w:rsidTr="005F3233">
        <w:trPr>
          <w:trHeight w:val="910"/>
        </w:trPr>
        <w:tc>
          <w:tcPr>
            <w:tcW w:w="3078" w:type="dxa"/>
            <w:vMerge/>
            <w:shd w:val="clear" w:color="auto" w:fill="F2F2F2" w:themeFill="background1" w:themeFillShade="F2"/>
          </w:tcPr>
          <w:p w14:paraId="386072DE" w14:textId="77777777" w:rsidR="005F3233" w:rsidRPr="00057759" w:rsidRDefault="005F3233" w:rsidP="005F3233">
            <w:pPr>
              <w:spacing w:after="0"/>
              <w:rPr>
                <w:rFonts w:ascii="Times New Roman" w:hAnsi="Times New Roman" w:cs="Times New Roman"/>
                <w:sz w:val="24"/>
                <w:szCs w:val="24"/>
              </w:rPr>
            </w:pPr>
          </w:p>
        </w:tc>
        <w:tc>
          <w:tcPr>
            <w:tcW w:w="6698" w:type="dxa"/>
            <w:gridSpan w:val="2"/>
          </w:tcPr>
          <w:p w14:paraId="67237B86" w14:textId="77777777"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t>Članak 18. stavak 4. , članak 20. stavak 2., članak 21. stavak 4. -pristup univerzalnim uslugama, postavljanje javnih govornica, pristup pozivima za hitne službe.</w:t>
            </w:r>
          </w:p>
        </w:tc>
      </w:tr>
      <w:tr w:rsidR="005F3233" w:rsidRPr="00057759" w14:paraId="5E6A347A" w14:textId="77777777" w:rsidTr="005F3233">
        <w:trPr>
          <w:trHeight w:val="694"/>
        </w:trPr>
        <w:tc>
          <w:tcPr>
            <w:tcW w:w="3078" w:type="dxa"/>
            <w:vMerge w:val="restart"/>
            <w:shd w:val="clear" w:color="auto" w:fill="F2F2F2" w:themeFill="background1" w:themeFillShade="F2"/>
          </w:tcPr>
          <w:p w14:paraId="4D2C70EF" w14:textId="77777777"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t xml:space="preserve">Naziv nacionalnog propisa koji je usklađen s UN Konvencijom o pravima osoba s invaliditetom </w:t>
            </w:r>
          </w:p>
          <w:p w14:paraId="3CF55AF7" w14:textId="77777777" w:rsidR="005F3233" w:rsidRPr="00057759" w:rsidRDefault="005F3233" w:rsidP="005F3233">
            <w:pPr>
              <w:spacing w:after="0"/>
              <w:rPr>
                <w:rFonts w:ascii="Times New Roman" w:hAnsi="Times New Roman" w:cs="Times New Roman"/>
                <w:sz w:val="24"/>
                <w:szCs w:val="24"/>
              </w:rPr>
            </w:pPr>
          </w:p>
          <w:p w14:paraId="2BAF7CEA" w14:textId="77777777" w:rsidR="005F3233" w:rsidRPr="00057759" w:rsidRDefault="005F3233" w:rsidP="005F3233">
            <w:pPr>
              <w:spacing w:after="0"/>
              <w:rPr>
                <w:rFonts w:ascii="Times New Roman" w:hAnsi="Times New Roman" w:cs="Times New Roman"/>
                <w:sz w:val="24"/>
                <w:szCs w:val="24"/>
              </w:rPr>
            </w:pPr>
          </w:p>
          <w:p w14:paraId="0657E5EB" w14:textId="77777777" w:rsidR="005F3233" w:rsidRPr="00057759" w:rsidRDefault="005F3233" w:rsidP="005F3233">
            <w:pPr>
              <w:spacing w:after="0"/>
              <w:rPr>
                <w:rFonts w:ascii="Times New Roman" w:hAnsi="Times New Roman" w:cs="Times New Roman"/>
                <w:sz w:val="24"/>
                <w:szCs w:val="24"/>
              </w:rPr>
            </w:pPr>
          </w:p>
          <w:p w14:paraId="751C11BB" w14:textId="77777777" w:rsidR="005F3233" w:rsidRPr="00057759" w:rsidRDefault="005F3233" w:rsidP="005F3233">
            <w:pPr>
              <w:spacing w:after="0"/>
              <w:rPr>
                <w:rFonts w:ascii="Times New Roman" w:hAnsi="Times New Roman" w:cs="Times New Roman"/>
                <w:sz w:val="24"/>
                <w:szCs w:val="24"/>
              </w:rPr>
            </w:pPr>
          </w:p>
          <w:p w14:paraId="50E116F6" w14:textId="77777777" w:rsidR="005F3233" w:rsidRPr="00057759" w:rsidRDefault="005F3233" w:rsidP="005F3233">
            <w:pPr>
              <w:spacing w:after="0"/>
              <w:rPr>
                <w:rFonts w:ascii="Times New Roman" w:hAnsi="Times New Roman" w:cs="Times New Roman"/>
                <w:sz w:val="24"/>
                <w:szCs w:val="24"/>
              </w:rPr>
            </w:pPr>
          </w:p>
          <w:p w14:paraId="663AC816" w14:textId="77777777" w:rsidR="005F3233" w:rsidRPr="00057759" w:rsidRDefault="005F3233" w:rsidP="005F3233">
            <w:pPr>
              <w:spacing w:after="0"/>
              <w:rPr>
                <w:rFonts w:ascii="Times New Roman" w:hAnsi="Times New Roman" w:cs="Times New Roman"/>
                <w:sz w:val="24"/>
                <w:szCs w:val="24"/>
              </w:rPr>
            </w:pPr>
          </w:p>
          <w:p w14:paraId="781AE355" w14:textId="77777777" w:rsidR="005F3233" w:rsidRPr="00057759" w:rsidRDefault="005F3233" w:rsidP="005F3233">
            <w:pPr>
              <w:spacing w:after="0"/>
              <w:rPr>
                <w:rFonts w:ascii="Times New Roman" w:hAnsi="Times New Roman" w:cs="Times New Roman"/>
                <w:sz w:val="24"/>
                <w:szCs w:val="24"/>
              </w:rPr>
            </w:pPr>
          </w:p>
          <w:p w14:paraId="3A9030EF" w14:textId="77777777"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t>U kojem djelu se izvršilo usklađivanje</w:t>
            </w:r>
          </w:p>
          <w:p w14:paraId="48B220CF" w14:textId="77777777" w:rsidR="005F3233" w:rsidRPr="00057759" w:rsidRDefault="005F3233" w:rsidP="005F3233">
            <w:pPr>
              <w:spacing w:after="0"/>
              <w:rPr>
                <w:rFonts w:ascii="Times New Roman" w:hAnsi="Times New Roman" w:cs="Times New Roman"/>
                <w:sz w:val="24"/>
                <w:szCs w:val="24"/>
              </w:rPr>
            </w:pPr>
          </w:p>
        </w:tc>
        <w:tc>
          <w:tcPr>
            <w:tcW w:w="6698" w:type="dxa"/>
            <w:gridSpan w:val="2"/>
            <w:shd w:val="clear" w:color="auto" w:fill="D9E2F3" w:themeFill="accent1" w:themeFillTint="33"/>
          </w:tcPr>
          <w:p w14:paraId="74A172D2" w14:textId="77777777"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t xml:space="preserve">Pravilnik o načinu i uvjetima obavljanja djelatnosti elektroničkih komunikacijskih mreža i usluga </w:t>
            </w:r>
          </w:p>
          <w:p w14:paraId="670C419F" w14:textId="38DBB584"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t>(Narodne novine, br. 154/11, 149/13, 82/14, 24/15,42/16 i 68/19)</w:t>
            </w:r>
          </w:p>
          <w:p w14:paraId="5C3E55B0" w14:textId="77777777"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t>Drugi izvori prava: Eu- Direktiva 2002/22/EZ Europskog parlamenta i Vijeća od 7 ožujka 2002.  o univerzalnoj usluzi i pravima korisnika u vezi s elektroničkim komunikacijskim mrežama i uslugama (Direktiva o univerzalnoj usluzi) i Direktiva 2009/136/EZ Europskog parlamenta i Vijeća od 25. studenog 2009 o izmjeni Direktive 2002/22/EZ o univerzalnim uslugama i pravima korisnika s obzirom na elektroničke komunikacijske mreže i usluge (Direktiva o univerzalnim uslugama)</w:t>
            </w:r>
          </w:p>
        </w:tc>
      </w:tr>
      <w:tr w:rsidR="005F3233" w:rsidRPr="00057759" w14:paraId="2B9ACBBB" w14:textId="77777777" w:rsidTr="005F3233">
        <w:trPr>
          <w:trHeight w:val="910"/>
        </w:trPr>
        <w:tc>
          <w:tcPr>
            <w:tcW w:w="3078" w:type="dxa"/>
            <w:vMerge/>
            <w:shd w:val="clear" w:color="auto" w:fill="F2F2F2" w:themeFill="background1" w:themeFillShade="F2"/>
          </w:tcPr>
          <w:p w14:paraId="2B6C099C" w14:textId="77777777" w:rsidR="005F3233" w:rsidRPr="00057759" w:rsidRDefault="005F3233" w:rsidP="005F3233">
            <w:pPr>
              <w:spacing w:after="0"/>
              <w:rPr>
                <w:rFonts w:ascii="Times New Roman" w:hAnsi="Times New Roman" w:cs="Times New Roman"/>
                <w:sz w:val="24"/>
                <w:szCs w:val="24"/>
              </w:rPr>
            </w:pPr>
          </w:p>
        </w:tc>
        <w:tc>
          <w:tcPr>
            <w:tcW w:w="6698" w:type="dxa"/>
            <w:gridSpan w:val="2"/>
          </w:tcPr>
          <w:p w14:paraId="646FAF09" w14:textId="77777777"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t>Članak 30., članak 31., članak 32., članak 35. i članak 42a – usluge prilagođene osobama s invaliditetom, javne telefonske govornice, prioritet kod uklanjanja kvarova</w:t>
            </w:r>
          </w:p>
        </w:tc>
      </w:tr>
      <w:tr w:rsidR="005F3233" w:rsidRPr="00057759" w14:paraId="6E61EFEB" w14:textId="77777777" w:rsidTr="005F3233">
        <w:trPr>
          <w:trHeight w:val="911"/>
        </w:trPr>
        <w:tc>
          <w:tcPr>
            <w:tcW w:w="3078" w:type="dxa"/>
            <w:vMerge w:val="restart"/>
            <w:shd w:val="clear" w:color="auto" w:fill="F2F2F2" w:themeFill="background1" w:themeFillShade="F2"/>
          </w:tcPr>
          <w:p w14:paraId="6C868824" w14:textId="77777777"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t xml:space="preserve">Naziv nacionalnog propisa koji je usklađen s UN Konvencijom o pravima osoba s invaliditetom </w:t>
            </w:r>
          </w:p>
          <w:p w14:paraId="0021CAAA" w14:textId="77777777" w:rsidR="005F3233" w:rsidRPr="00057759" w:rsidRDefault="005F3233" w:rsidP="005F3233">
            <w:pPr>
              <w:spacing w:after="0"/>
              <w:rPr>
                <w:rFonts w:ascii="Times New Roman" w:hAnsi="Times New Roman" w:cs="Times New Roman"/>
                <w:sz w:val="24"/>
                <w:szCs w:val="24"/>
              </w:rPr>
            </w:pPr>
          </w:p>
          <w:p w14:paraId="2B68795B" w14:textId="77777777" w:rsidR="005F3233" w:rsidRPr="00057759" w:rsidRDefault="005F3233" w:rsidP="005F3233">
            <w:pPr>
              <w:spacing w:after="0"/>
              <w:rPr>
                <w:rFonts w:ascii="Times New Roman" w:hAnsi="Times New Roman" w:cs="Times New Roman"/>
                <w:sz w:val="24"/>
                <w:szCs w:val="24"/>
              </w:rPr>
            </w:pPr>
          </w:p>
          <w:p w14:paraId="6204683B" w14:textId="77777777" w:rsidR="005F3233" w:rsidRPr="00057759" w:rsidRDefault="005F3233" w:rsidP="005F3233">
            <w:pPr>
              <w:spacing w:after="0"/>
              <w:rPr>
                <w:rFonts w:ascii="Times New Roman" w:hAnsi="Times New Roman" w:cs="Times New Roman"/>
                <w:sz w:val="24"/>
                <w:szCs w:val="24"/>
              </w:rPr>
            </w:pPr>
          </w:p>
          <w:p w14:paraId="5E1F954B" w14:textId="77777777" w:rsidR="005F3233" w:rsidRPr="00057759" w:rsidRDefault="005F3233" w:rsidP="005F3233">
            <w:pPr>
              <w:spacing w:after="0"/>
              <w:rPr>
                <w:rFonts w:ascii="Times New Roman" w:hAnsi="Times New Roman" w:cs="Times New Roman"/>
                <w:sz w:val="24"/>
                <w:szCs w:val="24"/>
              </w:rPr>
            </w:pPr>
          </w:p>
          <w:p w14:paraId="7CAF53BB" w14:textId="77777777" w:rsidR="005F3233" w:rsidRPr="00057759" w:rsidRDefault="005F3233" w:rsidP="005F3233">
            <w:pPr>
              <w:spacing w:after="0"/>
              <w:rPr>
                <w:rFonts w:ascii="Times New Roman" w:hAnsi="Times New Roman" w:cs="Times New Roman"/>
                <w:sz w:val="24"/>
                <w:szCs w:val="24"/>
              </w:rPr>
            </w:pPr>
          </w:p>
          <w:p w14:paraId="6D2C25F1" w14:textId="77777777" w:rsidR="005F3233" w:rsidRPr="00057759" w:rsidRDefault="005F3233" w:rsidP="005F3233">
            <w:pPr>
              <w:spacing w:after="0"/>
              <w:rPr>
                <w:rFonts w:ascii="Times New Roman" w:hAnsi="Times New Roman" w:cs="Times New Roman"/>
                <w:sz w:val="24"/>
                <w:szCs w:val="24"/>
              </w:rPr>
            </w:pPr>
          </w:p>
          <w:p w14:paraId="51B875E0" w14:textId="77777777" w:rsidR="005F3233" w:rsidRPr="00057759" w:rsidRDefault="005F3233" w:rsidP="005F3233">
            <w:pPr>
              <w:spacing w:after="0"/>
              <w:rPr>
                <w:rFonts w:ascii="Times New Roman" w:hAnsi="Times New Roman" w:cs="Times New Roman"/>
                <w:sz w:val="24"/>
                <w:szCs w:val="24"/>
              </w:rPr>
            </w:pPr>
          </w:p>
          <w:p w14:paraId="2C8EFECC" w14:textId="77777777"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t>U kojem djelu se izvršilo usklađivanje</w:t>
            </w:r>
          </w:p>
          <w:p w14:paraId="04D1AB95" w14:textId="77777777" w:rsidR="005F3233" w:rsidRPr="00057759" w:rsidRDefault="005F3233" w:rsidP="005F3233">
            <w:pPr>
              <w:spacing w:after="0"/>
              <w:rPr>
                <w:rFonts w:ascii="Times New Roman" w:hAnsi="Times New Roman" w:cs="Times New Roman"/>
                <w:sz w:val="24"/>
                <w:szCs w:val="24"/>
              </w:rPr>
            </w:pPr>
          </w:p>
        </w:tc>
        <w:tc>
          <w:tcPr>
            <w:tcW w:w="6698" w:type="dxa"/>
            <w:gridSpan w:val="2"/>
            <w:shd w:val="clear" w:color="auto" w:fill="D9E2F3" w:themeFill="accent1" w:themeFillTint="33"/>
          </w:tcPr>
          <w:p w14:paraId="7AB033F0" w14:textId="77777777"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t xml:space="preserve">Pravilnik o jedinstvenom europskom broju za hitne službe 112 </w:t>
            </w:r>
          </w:p>
          <w:p w14:paraId="383DEC1D" w14:textId="5FCF5561"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t>(Narodne novine, broj 138/15)</w:t>
            </w:r>
          </w:p>
          <w:p w14:paraId="3A97D8B8" w14:textId="77777777"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t>Drugi izvori prava: Eu- Direktiva 2002/22/EZ Europskog parlamenta i Vijeća od 7 ožujka 2002.  o univerzalnoj usluzi i pravima korisnika u vezi s elektroničkim komunikacijskim mrežama i uslugama (Direktiva o univerzalnoj usluzi) i Direktiva 2009/136/EZ Europskog parlamenta i Vijeća od 25. studenog 2009 o izmjeni Direktive 2002/22/EZ o univerzalnim uslugama i pravima korisnika s obzirom na elektroničke komunikacijske mreže i usluge (Direktiva o univerzalnim uslugama)</w:t>
            </w:r>
          </w:p>
        </w:tc>
      </w:tr>
      <w:tr w:rsidR="005F3233" w:rsidRPr="00057759" w14:paraId="17B36970" w14:textId="77777777" w:rsidTr="005F3233">
        <w:trPr>
          <w:trHeight w:val="910"/>
        </w:trPr>
        <w:tc>
          <w:tcPr>
            <w:tcW w:w="3078" w:type="dxa"/>
            <w:vMerge/>
            <w:shd w:val="clear" w:color="auto" w:fill="F2F2F2" w:themeFill="background1" w:themeFillShade="F2"/>
          </w:tcPr>
          <w:p w14:paraId="3E3E0BD9" w14:textId="77777777" w:rsidR="005F3233" w:rsidRPr="00057759" w:rsidRDefault="005F3233" w:rsidP="005F3233">
            <w:pPr>
              <w:spacing w:after="0"/>
              <w:rPr>
                <w:rFonts w:ascii="Times New Roman" w:hAnsi="Times New Roman" w:cs="Times New Roman"/>
                <w:sz w:val="24"/>
                <w:szCs w:val="24"/>
              </w:rPr>
            </w:pPr>
          </w:p>
        </w:tc>
        <w:tc>
          <w:tcPr>
            <w:tcW w:w="6698" w:type="dxa"/>
            <w:gridSpan w:val="2"/>
          </w:tcPr>
          <w:p w14:paraId="6D5958E0" w14:textId="77777777"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t>Članak 4. osiguravanje osobama s invaliditetom pristup telefonskom broju 112 na jednak način kakvim pristupaju drugi krajnji korisnici usluga (putem kratkih tekstualnih poruka (SMS), telefaksom ili na drugi prikladan način)</w:t>
            </w:r>
          </w:p>
        </w:tc>
      </w:tr>
      <w:tr w:rsidR="005F3233" w:rsidRPr="00057759" w14:paraId="5E06BACA" w14:textId="77777777" w:rsidTr="003B1D7E">
        <w:trPr>
          <w:trHeight w:val="593"/>
        </w:trPr>
        <w:tc>
          <w:tcPr>
            <w:tcW w:w="3078" w:type="dxa"/>
            <w:vMerge w:val="restart"/>
            <w:shd w:val="clear" w:color="auto" w:fill="F2F2F2" w:themeFill="background1" w:themeFillShade="F2"/>
          </w:tcPr>
          <w:p w14:paraId="58E09C11" w14:textId="77777777"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lastRenderedPageBreak/>
              <w:t xml:space="preserve">Naziv nacionalnog propisa koji je usklađen s UN Konvencijom o pravima osoba s invaliditetom </w:t>
            </w:r>
          </w:p>
          <w:p w14:paraId="3BD022B9" w14:textId="77777777" w:rsidR="005F3233" w:rsidRPr="00057759" w:rsidRDefault="005F3233" w:rsidP="005F3233">
            <w:pPr>
              <w:spacing w:after="0"/>
              <w:rPr>
                <w:rFonts w:ascii="Times New Roman" w:hAnsi="Times New Roman" w:cs="Times New Roman"/>
                <w:sz w:val="24"/>
                <w:szCs w:val="24"/>
              </w:rPr>
            </w:pPr>
          </w:p>
          <w:p w14:paraId="3AD0F849" w14:textId="77777777"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t>U kojem djelu se izvršilo usklađivanje</w:t>
            </w:r>
          </w:p>
          <w:p w14:paraId="7DD1E3A1" w14:textId="77777777" w:rsidR="005F3233" w:rsidRPr="00057759" w:rsidRDefault="005F3233" w:rsidP="005F3233">
            <w:pPr>
              <w:spacing w:after="0"/>
              <w:rPr>
                <w:rFonts w:ascii="Times New Roman" w:hAnsi="Times New Roman" w:cs="Times New Roman"/>
                <w:sz w:val="24"/>
                <w:szCs w:val="24"/>
              </w:rPr>
            </w:pPr>
          </w:p>
        </w:tc>
        <w:tc>
          <w:tcPr>
            <w:tcW w:w="6698" w:type="dxa"/>
            <w:gridSpan w:val="2"/>
            <w:shd w:val="clear" w:color="auto" w:fill="D9E2F3" w:themeFill="accent1" w:themeFillTint="33"/>
          </w:tcPr>
          <w:p w14:paraId="781692E4" w14:textId="77777777"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t xml:space="preserve">Zakon o obveznim i </w:t>
            </w:r>
            <w:proofErr w:type="spellStart"/>
            <w:r w:rsidRPr="00057759">
              <w:rPr>
                <w:rFonts w:ascii="Times New Roman" w:hAnsi="Times New Roman" w:cs="Times New Roman"/>
                <w:sz w:val="24"/>
                <w:szCs w:val="24"/>
              </w:rPr>
              <w:t>stvarnopravnim</w:t>
            </w:r>
            <w:proofErr w:type="spellEnd"/>
            <w:r w:rsidRPr="00057759">
              <w:rPr>
                <w:rFonts w:ascii="Times New Roman" w:hAnsi="Times New Roman" w:cs="Times New Roman"/>
                <w:sz w:val="24"/>
                <w:szCs w:val="24"/>
              </w:rPr>
              <w:t xml:space="preserve"> odnosima u zračnom prometu  </w:t>
            </w:r>
          </w:p>
          <w:p w14:paraId="150E3B54" w14:textId="77777777"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t>(Narodne novine, broj  132/98, 63/08, 134/09 i 94/13)</w:t>
            </w:r>
          </w:p>
        </w:tc>
      </w:tr>
      <w:tr w:rsidR="005F3233" w:rsidRPr="00057759" w14:paraId="1D56CD6E" w14:textId="77777777" w:rsidTr="005F3233">
        <w:trPr>
          <w:trHeight w:val="910"/>
        </w:trPr>
        <w:tc>
          <w:tcPr>
            <w:tcW w:w="3078" w:type="dxa"/>
            <w:vMerge/>
            <w:shd w:val="clear" w:color="auto" w:fill="F2F2F2" w:themeFill="background1" w:themeFillShade="F2"/>
          </w:tcPr>
          <w:p w14:paraId="4338B6D7" w14:textId="77777777" w:rsidR="005F3233" w:rsidRPr="00057759" w:rsidRDefault="005F3233" w:rsidP="005F3233">
            <w:pPr>
              <w:spacing w:after="0"/>
              <w:rPr>
                <w:rFonts w:ascii="Times New Roman" w:hAnsi="Times New Roman" w:cs="Times New Roman"/>
                <w:sz w:val="24"/>
                <w:szCs w:val="24"/>
              </w:rPr>
            </w:pPr>
          </w:p>
        </w:tc>
        <w:tc>
          <w:tcPr>
            <w:tcW w:w="6698" w:type="dxa"/>
            <w:gridSpan w:val="2"/>
          </w:tcPr>
          <w:p w14:paraId="71CB3FAD" w14:textId="77777777"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t>Glede pristupačnosti proklamirane člankom 3. točkom F. UN Konvencije o pravima osoba s invaliditetom, člankom 184.a stavkom 1 točkom 4 i člankom 184.b stavkom 1 navedenog zakona  regulirano je provođenje prekršajnog postupka u slučaju uskraćivanja propisanih prava i pomoći osobama s invaliditetom i osobama smanjene pokretljivosti  od strane zračnog prijevoznika ili operatora aerodroma ili druge pravne osobe, oprema Uredbi (EZ) 1107/2006 Europskog parlamenta i Vijeća od 5.srpnja 2006. godine o pravima osoba s invaliditetom i smanjenom pokretljivošću.</w:t>
            </w:r>
          </w:p>
        </w:tc>
      </w:tr>
      <w:tr w:rsidR="005F3233" w:rsidRPr="00057759" w14:paraId="649E9D29" w14:textId="77777777" w:rsidTr="003B1D7E">
        <w:trPr>
          <w:trHeight w:val="508"/>
        </w:trPr>
        <w:tc>
          <w:tcPr>
            <w:tcW w:w="3078" w:type="dxa"/>
            <w:vMerge w:val="restart"/>
            <w:shd w:val="clear" w:color="auto" w:fill="F2F2F2" w:themeFill="background1" w:themeFillShade="F2"/>
          </w:tcPr>
          <w:p w14:paraId="2613B8EC" w14:textId="77777777"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t xml:space="preserve">Naziv nacionalnog propisa koji je usklađen s UN Konvencijom o pravima osoba s invaliditetom </w:t>
            </w:r>
          </w:p>
          <w:p w14:paraId="5DAA05E8" w14:textId="77777777" w:rsidR="005F3233" w:rsidRPr="00057759" w:rsidRDefault="005F3233" w:rsidP="005F3233">
            <w:pPr>
              <w:spacing w:after="0"/>
              <w:rPr>
                <w:rFonts w:ascii="Times New Roman" w:hAnsi="Times New Roman" w:cs="Times New Roman"/>
                <w:sz w:val="24"/>
                <w:szCs w:val="24"/>
              </w:rPr>
            </w:pPr>
          </w:p>
          <w:p w14:paraId="5A0BF265" w14:textId="36EE19F2"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t>U kojem djelu se izvršilo usklađivanje</w:t>
            </w:r>
          </w:p>
        </w:tc>
        <w:tc>
          <w:tcPr>
            <w:tcW w:w="6698" w:type="dxa"/>
            <w:gridSpan w:val="2"/>
            <w:shd w:val="clear" w:color="auto" w:fill="D9E2F3" w:themeFill="accent1" w:themeFillTint="33"/>
          </w:tcPr>
          <w:p w14:paraId="175EF751" w14:textId="77777777"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t xml:space="preserve">Zakon o sigurnosti i interoperabilnosti željezničkog sustava </w:t>
            </w:r>
          </w:p>
          <w:p w14:paraId="3142A41C" w14:textId="77777777"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t xml:space="preserve">(Narodne novine br. 82/13, 18/15,110/15 i 70/17) </w:t>
            </w:r>
          </w:p>
        </w:tc>
      </w:tr>
      <w:tr w:rsidR="005F3233" w:rsidRPr="00057759" w14:paraId="436DCBF4" w14:textId="77777777" w:rsidTr="005F3233">
        <w:trPr>
          <w:trHeight w:val="910"/>
        </w:trPr>
        <w:tc>
          <w:tcPr>
            <w:tcW w:w="3078" w:type="dxa"/>
            <w:vMerge/>
            <w:shd w:val="clear" w:color="auto" w:fill="F2F2F2" w:themeFill="background1" w:themeFillShade="F2"/>
          </w:tcPr>
          <w:p w14:paraId="340029AD" w14:textId="77777777" w:rsidR="005F3233" w:rsidRPr="00057759" w:rsidRDefault="005F3233" w:rsidP="005F3233">
            <w:pPr>
              <w:spacing w:after="0"/>
              <w:rPr>
                <w:rFonts w:ascii="Times New Roman" w:hAnsi="Times New Roman" w:cs="Times New Roman"/>
                <w:sz w:val="24"/>
                <w:szCs w:val="24"/>
              </w:rPr>
            </w:pPr>
          </w:p>
        </w:tc>
        <w:tc>
          <w:tcPr>
            <w:tcW w:w="6698" w:type="dxa"/>
            <w:gridSpan w:val="2"/>
          </w:tcPr>
          <w:p w14:paraId="054BAE63" w14:textId="77777777"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t xml:space="preserve">Prilog 2. u kojemu je propisano da određeni željeznički podsustavi moraju biti pristupačni osobama s invaliditetom </w:t>
            </w:r>
          </w:p>
        </w:tc>
      </w:tr>
      <w:bookmarkEnd w:id="170"/>
      <w:tr w:rsidR="005F3233" w:rsidRPr="00057759" w14:paraId="117A6ABB" w14:textId="77777777" w:rsidTr="005F3233">
        <w:trPr>
          <w:trHeight w:val="552"/>
        </w:trPr>
        <w:tc>
          <w:tcPr>
            <w:tcW w:w="3078" w:type="dxa"/>
            <w:vMerge w:val="restart"/>
            <w:shd w:val="clear" w:color="auto" w:fill="F2F2F2" w:themeFill="background1" w:themeFillShade="F2"/>
          </w:tcPr>
          <w:p w14:paraId="66362E20" w14:textId="77777777"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t xml:space="preserve">Naziv nacionalnog propisa koji je usklađen s UN Konvencijom o pravima osoba s invaliditetom </w:t>
            </w:r>
          </w:p>
          <w:p w14:paraId="47945D56" w14:textId="77777777" w:rsidR="005F3233" w:rsidRPr="003B1D7E" w:rsidRDefault="005F3233" w:rsidP="005F3233">
            <w:pPr>
              <w:spacing w:after="0"/>
              <w:rPr>
                <w:rFonts w:ascii="Times New Roman" w:hAnsi="Times New Roman" w:cs="Times New Roman"/>
                <w:sz w:val="18"/>
                <w:szCs w:val="18"/>
              </w:rPr>
            </w:pPr>
          </w:p>
          <w:p w14:paraId="66808F92" w14:textId="67663260"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t>U kojem djelu se izvršilo usklađivanje</w:t>
            </w:r>
          </w:p>
        </w:tc>
        <w:tc>
          <w:tcPr>
            <w:tcW w:w="6698" w:type="dxa"/>
            <w:gridSpan w:val="2"/>
            <w:shd w:val="clear" w:color="auto" w:fill="D9E2F3" w:themeFill="accent1" w:themeFillTint="33"/>
          </w:tcPr>
          <w:p w14:paraId="6D10D1FE" w14:textId="77777777"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t xml:space="preserve">Zakon o cestama </w:t>
            </w:r>
          </w:p>
          <w:p w14:paraId="08BE8ED6" w14:textId="0A3DD8C9"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t>(Narodne novine, br. 84/11, 22/13, 54/13, 148/13, 92/14 i 110/19)</w:t>
            </w:r>
          </w:p>
        </w:tc>
      </w:tr>
      <w:tr w:rsidR="005F3233" w:rsidRPr="00057759" w14:paraId="3EFA74CD" w14:textId="77777777" w:rsidTr="005F3233">
        <w:trPr>
          <w:trHeight w:val="910"/>
        </w:trPr>
        <w:tc>
          <w:tcPr>
            <w:tcW w:w="3078" w:type="dxa"/>
            <w:vMerge/>
            <w:shd w:val="clear" w:color="auto" w:fill="F2F2F2" w:themeFill="background1" w:themeFillShade="F2"/>
          </w:tcPr>
          <w:p w14:paraId="205D4A3F" w14:textId="77777777" w:rsidR="005F3233" w:rsidRPr="00057759" w:rsidRDefault="005F3233" w:rsidP="005F3233">
            <w:pPr>
              <w:spacing w:after="0"/>
              <w:rPr>
                <w:rFonts w:ascii="Times New Roman" w:hAnsi="Times New Roman" w:cs="Times New Roman"/>
                <w:sz w:val="24"/>
                <w:szCs w:val="24"/>
              </w:rPr>
            </w:pPr>
          </w:p>
        </w:tc>
        <w:tc>
          <w:tcPr>
            <w:tcW w:w="6698" w:type="dxa"/>
            <w:gridSpan w:val="2"/>
          </w:tcPr>
          <w:p w14:paraId="35F62336" w14:textId="77777777" w:rsidR="005F3233" w:rsidRPr="00057759" w:rsidRDefault="005F3233" w:rsidP="005F3233">
            <w:pPr>
              <w:spacing w:after="0"/>
              <w:rPr>
                <w:rFonts w:ascii="Times New Roman" w:hAnsi="Times New Roman" w:cs="Times New Roman"/>
                <w:sz w:val="24"/>
                <w:szCs w:val="24"/>
              </w:rPr>
            </w:pPr>
          </w:p>
          <w:p w14:paraId="3EB19DAB" w14:textId="77777777"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t>Članak 88. stavak 1. i 2., članak 89., članak 115. (prekršajna odredba)</w:t>
            </w:r>
          </w:p>
        </w:tc>
      </w:tr>
      <w:tr w:rsidR="005F3233" w:rsidRPr="00057759" w14:paraId="49542B1E" w14:textId="77777777" w:rsidTr="003B1D7E">
        <w:trPr>
          <w:trHeight w:val="544"/>
        </w:trPr>
        <w:tc>
          <w:tcPr>
            <w:tcW w:w="3078" w:type="dxa"/>
            <w:vMerge w:val="restart"/>
            <w:shd w:val="clear" w:color="auto" w:fill="F2F2F2" w:themeFill="background1" w:themeFillShade="F2"/>
          </w:tcPr>
          <w:p w14:paraId="295FA17C" w14:textId="77777777"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t xml:space="preserve">Naziv nacionalnog propisa koji je usklađen s UN Konvencijom o pravima osoba s invaliditetom </w:t>
            </w:r>
          </w:p>
          <w:p w14:paraId="54C2D0B0" w14:textId="77777777" w:rsidR="005F3233" w:rsidRPr="00057759" w:rsidRDefault="005F3233" w:rsidP="005F3233">
            <w:pPr>
              <w:spacing w:after="0"/>
              <w:rPr>
                <w:rFonts w:ascii="Times New Roman" w:hAnsi="Times New Roman" w:cs="Times New Roman"/>
                <w:sz w:val="24"/>
                <w:szCs w:val="24"/>
              </w:rPr>
            </w:pPr>
          </w:p>
          <w:p w14:paraId="50CCC415" w14:textId="77777777"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t>U kojem djelu se izvršilo usklađivanje</w:t>
            </w:r>
          </w:p>
          <w:p w14:paraId="5A8B32CB" w14:textId="77777777" w:rsidR="005F3233" w:rsidRPr="00057759" w:rsidRDefault="005F3233" w:rsidP="005F3233">
            <w:pPr>
              <w:spacing w:after="0"/>
              <w:rPr>
                <w:rFonts w:ascii="Times New Roman" w:hAnsi="Times New Roman" w:cs="Times New Roman"/>
                <w:sz w:val="24"/>
                <w:szCs w:val="24"/>
              </w:rPr>
            </w:pPr>
          </w:p>
        </w:tc>
        <w:tc>
          <w:tcPr>
            <w:tcW w:w="6698" w:type="dxa"/>
            <w:gridSpan w:val="2"/>
            <w:shd w:val="clear" w:color="auto" w:fill="D9E2F3" w:themeFill="accent1" w:themeFillTint="33"/>
          </w:tcPr>
          <w:p w14:paraId="2928756E" w14:textId="77777777"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t>Pravilnik o autobusnim kolodvorima</w:t>
            </w:r>
          </w:p>
          <w:p w14:paraId="102DD514" w14:textId="77777777"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t>(Narodne novine, broj 57/18)</w:t>
            </w:r>
          </w:p>
        </w:tc>
      </w:tr>
      <w:tr w:rsidR="005F3233" w:rsidRPr="00057759" w14:paraId="26D9CD93" w14:textId="77777777" w:rsidTr="005F3233">
        <w:trPr>
          <w:trHeight w:val="910"/>
        </w:trPr>
        <w:tc>
          <w:tcPr>
            <w:tcW w:w="3078" w:type="dxa"/>
            <w:vMerge/>
            <w:shd w:val="clear" w:color="auto" w:fill="F2F2F2" w:themeFill="background1" w:themeFillShade="F2"/>
          </w:tcPr>
          <w:p w14:paraId="3D070959" w14:textId="77777777" w:rsidR="005F3233" w:rsidRPr="00057759" w:rsidRDefault="005F3233" w:rsidP="005F3233">
            <w:pPr>
              <w:spacing w:after="0"/>
              <w:rPr>
                <w:rFonts w:ascii="Times New Roman" w:hAnsi="Times New Roman" w:cs="Times New Roman"/>
                <w:sz w:val="24"/>
                <w:szCs w:val="24"/>
              </w:rPr>
            </w:pPr>
          </w:p>
        </w:tc>
        <w:tc>
          <w:tcPr>
            <w:tcW w:w="6698" w:type="dxa"/>
            <w:gridSpan w:val="2"/>
          </w:tcPr>
          <w:p w14:paraId="51FE60F1" w14:textId="77777777"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t>Članak 3 između ostalog određuje i da autobusni kolodvori moraju najmanje biti opremljeni sa cjelokupnim prostorom prilagođenim za pristup osobama s invaliditetom i osobama sa smanjenom pokretljivošću i organiziranim prometom u mirovanju (parkiranje i zaustavljanje vozila) sa posebno označenim i rezerviranim mjestima za osobe s invaliditetom i osobe sa smanjenom pokretljivošću</w:t>
            </w:r>
          </w:p>
        </w:tc>
      </w:tr>
      <w:tr w:rsidR="005F3233" w:rsidRPr="00057759" w14:paraId="104137B0" w14:textId="77777777" w:rsidTr="003B1D7E">
        <w:trPr>
          <w:trHeight w:val="681"/>
        </w:trPr>
        <w:tc>
          <w:tcPr>
            <w:tcW w:w="3078" w:type="dxa"/>
            <w:vMerge w:val="restart"/>
            <w:shd w:val="clear" w:color="auto" w:fill="F2F2F2" w:themeFill="background1" w:themeFillShade="F2"/>
          </w:tcPr>
          <w:p w14:paraId="0CB059F2" w14:textId="77777777"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t xml:space="preserve">Naziv nacionalnog propisa koji je usklađen s UN Konvencijom o pravima osoba s invaliditetom </w:t>
            </w:r>
          </w:p>
          <w:p w14:paraId="64774EB6" w14:textId="77777777" w:rsidR="005F3233" w:rsidRPr="003B1D7E" w:rsidRDefault="005F3233" w:rsidP="005F3233">
            <w:pPr>
              <w:spacing w:after="0"/>
              <w:rPr>
                <w:rFonts w:ascii="Times New Roman" w:hAnsi="Times New Roman" w:cs="Times New Roman"/>
                <w:sz w:val="16"/>
                <w:szCs w:val="16"/>
              </w:rPr>
            </w:pPr>
          </w:p>
          <w:p w14:paraId="18082E01" w14:textId="56A7886E"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t>U kojem djelu se izvršilo usklađivanje</w:t>
            </w:r>
          </w:p>
        </w:tc>
        <w:tc>
          <w:tcPr>
            <w:tcW w:w="6698" w:type="dxa"/>
            <w:gridSpan w:val="2"/>
            <w:shd w:val="clear" w:color="auto" w:fill="D9E2F3" w:themeFill="accent1" w:themeFillTint="33"/>
          </w:tcPr>
          <w:p w14:paraId="0CD98FD8" w14:textId="77777777"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t>Pravilnik o ispitivanju vozila</w:t>
            </w:r>
          </w:p>
          <w:p w14:paraId="116FFCC8" w14:textId="77777777"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t>(Narodne novine, br. 152/09 i 8/15)</w:t>
            </w:r>
          </w:p>
        </w:tc>
      </w:tr>
      <w:tr w:rsidR="005F3233" w:rsidRPr="00057759" w14:paraId="638A030C" w14:textId="77777777" w:rsidTr="005F3233">
        <w:trPr>
          <w:trHeight w:val="910"/>
        </w:trPr>
        <w:tc>
          <w:tcPr>
            <w:tcW w:w="3078" w:type="dxa"/>
            <w:vMerge/>
            <w:shd w:val="clear" w:color="auto" w:fill="F2F2F2" w:themeFill="background1" w:themeFillShade="F2"/>
          </w:tcPr>
          <w:p w14:paraId="310202CD" w14:textId="77777777" w:rsidR="005F3233" w:rsidRPr="00057759" w:rsidRDefault="005F3233" w:rsidP="005F3233">
            <w:pPr>
              <w:spacing w:after="0"/>
              <w:rPr>
                <w:rFonts w:ascii="Times New Roman" w:hAnsi="Times New Roman" w:cs="Times New Roman"/>
                <w:sz w:val="24"/>
                <w:szCs w:val="24"/>
              </w:rPr>
            </w:pPr>
          </w:p>
        </w:tc>
        <w:tc>
          <w:tcPr>
            <w:tcW w:w="6698" w:type="dxa"/>
            <w:gridSpan w:val="2"/>
          </w:tcPr>
          <w:p w14:paraId="35323E3A" w14:textId="77777777"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t xml:space="preserve">Članak 18. stavak 6. određuje da se za vozila koja su prepravljena tako da njima mogu upravljati osobe s invaliditetom, te za vozila koja su prepravljena za autoškole, uz potvrde o ispitivanju vozila, izdaje i certifikat.  </w:t>
            </w:r>
          </w:p>
        </w:tc>
      </w:tr>
      <w:tr w:rsidR="005F3233" w:rsidRPr="00057759" w14:paraId="26A780BF" w14:textId="77777777" w:rsidTr="003B1D7E">
        <w:trPr>
          <w:trHeight w:val="683"/>
        </w:trPr>
        <w:tc>
          <w:tcPr>
            <w:tcW w:w="3078" w:type="dxa"/>
            <w:vMerge w:val="restart"/>
            <w:shd w:val="clear" w:color="auto" w:fill="F2F2F2" w:themeFill="background1" w:themeFillShade="F2"/>
          </w:tcPr>
          <w:p w14:paraId="40A3C43E" w14:textId="77777777"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t xml:space="preserve">Naziv nacionalnog propisa koji je usklađen s UN </w:t>
            </w:r>
            <w:r w:rsidRPr="00057759">
              <w:rPr>
                <w:rFonts w:ascii="Times New Roman" w:hAnsi="Times New Roman" w:cs="Times New Roman"/>
                <w:sz w:val="24"/>
                <w:szCs w:val="24"/>
              </w:rPr>
              <w:lastRenderedPageBreak/>
              <w:t xml:space="preserve">Konvencijom o pravima osoba s invaliditetom </w:t>
            </w:r>
          </w:p>
          <w:p w14:paraId="65AC530A" w14:textId="77777777" w:rsidR="005F3233" w:rsidRPr="003B1D7E" w:rsidRDefault="005F3233" w:rsidP="005F3233">
            <w:pPr>
              <w:spacing w:after="0"/>
              <w:rPr>
                <w:rFonts w:ascii="Times New Roman" w:hAnsi="Times New Roman" w:cs="Times New Roman"/>
                <w:sz w:val="16"/>
                <w:szCs w:val="16"/>
              </w:rPr>
            </w:pPr>
          </w:p>
          <w:p w14:paraId="103E38A9" w14:textId="7429D1F4"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t>U kojem djelu se izvršilo usklađivanje</w:t>
            </w:r>
          </w:p>
        </w:tc>
        <w:tc>
          <w:tcPr>
            <w:tcW w:w="6698" w:type="dxa"/>
            <w:gridSpan w:val="2"/>
            <w:shd w:val="clear" w:color="auto" w:fill="D9E2F3" w:themeFill="accent1" w:themeFillTint="33"/>
          </w:tcPr>
          <w:p w14:paraId="3E105F05" w14:textId="77777777"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lastRenderedPageBreak/>
              <w:t xml:space="preserve">Pravilnik o znaku pristupačnosti </w:t>
            </w:r>
          </w:p>
          <w:p w14:paraId="151A226E" w14:textId="77777777"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t>(Narodne novine, br. 78/08 i 87/14)</w:t>
            </w:r>
          </w:p>
        </w:tc>
      </w:tr>
      <w:tr w:rsidR="005F3233" w:rsidRPr="00057759" w14:paraId="038E1346" w14:textId="77777777" w:rsidTr="005F3233">
        <w:trPr>
          <w:trHeight w:val="910"/>
        </w:trPr>
        <w:tc>
          <w:tcPr>
            <w:tcW w:w="3078" w:type="dxa"/>
            <w:vMerge/>
            <w:shd w:val="clear" w:color="auto" w:fill="F2F2F2" w:themeFill="background1" w:themeFillShade="F2"/>
          </w:tcPr>
          <w:p w14:paraId="0302EE5D" w14:textId="77777777" w:rsidR="005F3233" w:rsidRPr="00057759" w:rsidRDefault="005F3233" w:rsidP="005F3233">
            <w:pPr>
              <w:spacing w:after="0"/>
              <w:rPr>
                <w:rFonts w:ascii="Times New Roman" w:hAnsi="Times New Roman" w:cs="Times New Roman"/>
                <w:sz w:val="24"/>
                <w:szCs w:val="24"/>
              </w:rPr>
            </w:pPr>
          </w:p>
        </w:tc>
        <w:tc>
          <w:tcPr>
            <w:tcW w:w="6698" w:type="dxa"/>
            <w:gridSpan w:val="2"/>
          </w:tcPr>
          <w:p w14:paraId="227F2A7F" w14:textId="77777777"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t>Nacionalni propis je usklađen sa člankom 9. Konvencije o pravima osoba s invaliditetom – propisom su poduzete odgovarajuće mjere osiguravanja pristupačnosti osobama s invaliditetom – parkiranje na predviđenim mjestima</w:t>
            </w:r>
          </w:p>
        </w:tc>
      </w:tr>
      <w:tr w:rsidR="005F3233" w:rsidRPr="00057759" w14:paraId="468EEBD9" w14:textId="77777777" w:rsidTr="005F3233">
        <w:trPr>
          <w:trHeight w:val="911"/>
        </w:trPr>
        <w:tc>
          <w:tcPr>
            <w:tcW w:w="3078" w:type="dxa"/>
            <w:vMerge w:val="restart"/>
            <w:shd w:val="clear" w:color="auto" w:fill="F2F2F2" w:themeFill="background1" w:themeFillShade="F2"/>
          </w:tcPr>
          <w:p w14:paraId="7C861355" w14:textId="77777777"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t xml:space="preserve">Naziv nacionalnog propisa koji je usklađen s UN Konvencijom o pravima osoba s invaliditetom </w:t>
            </w:r>
          </w:p>
          <w:p w14:paraId="3EA098D8" w14:textId="77777777" w:rsidR="005F3233" w:rsidRPr="00C84654" w:rsidRDefault="005F3233" w:rsidP="005F3233">
            <w:pPr>
              <w:spacing w:after="0"/>
              <w:rPr>
                <w:rFonts w:ascii="Times New Roman" w:hAnsi="Times New Roman" w:cs="Times New Roman"/>
                <w:sz w:val="12"/>
                <w:szCs w:val="12"/>
              </w:rPr>
            </w:pPr>
          </w:p>
          <w:p w14:paraId="5284B6A2" w14:textId="0368705C"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t>U kojem djelu se izvršilo usklađivanje</w:t>
            </w:r>
          </w:p>
        </w:tc>
        <w:tc>
          <w:tcPr>
            <w:tcW w:w="6698" w:type="dxa"/>
            <w:gridSpan w:val="2"/>
            <w:shd w:val="clear" w:color="auto" w:fill="D9E2F3" w:themeFill="accent1" w:themeFillTint="33"/>
          </w:tcPr>
          <w:p w14:paraId="485F437C" w14:textId="77777777"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t xml:space="preserve">Zakon o izmjenama i dopunama Zakona o prijevozu u linijskom i povremenom obalnom pomorskom prometu </w:t>
            </w:r>
          </w:p>
          <w:p w14:paraId="09ACD5B3" w14:textId="77777777"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t xml:space="preserve">(Narodne novine, broj 121/19) </w:t>
            </w:r>
          </w:p>
        </w:tc>
      </w:tr>
      <w:tr w:rsidR="005F3233" w:rsidRPr="00057759" w14:paraId="205ACFFF" w14:textId="77777777" w:rsidTr="005F3233">
        <w:trPr>
          <w:trHeight w:val="910"/>
        </w:trPr>
        <w:tc>
          <w:tcPr>
            <w:tcW w:w="3078" w:type="dxa"/>
            <w:vMerge/>
            <w:shd w:val="clear" w:color="auto" w:fill="F2F2F2" w:themeFill="background1" w:themeFillShade="F2"/>
          </w:tcPr>
          <w:p w14:paraId="73FACA08" w14:textId="77777777" w:rsidR="005F3233" w:rsidRPr="00057759" w:rsidRDefault="005F3233" w:rsidP="005F3233">
            <w:pPr>
              <w:spacing w:after="0"/>
              <w:rPr>
                <w:rFonts w:ascii="Times New Roman" w:hAnsi="Times New Roman" w:cs="Times New Roman"/>
                <w:sz w:val="24"/>
                <w:szCs w:val="24"/>
              </w:rPr>
            </w:pPr>
          </w:p>
        </w:tc>
        <w:tc>
          <w:tcPr>
            <w:tcW w:w="6698" w:type="dxa"/>
            <w:gridSpan w:val="2"/>
          </w:tcPr>
          <w:p w14:paraId="77258BD0" w14:textId="77777777" w:rsidR="005F3233" w:rsidRPr="00057759" w:rsidRDefault="005F3233" w:rsidP="005F3233">
            <w:pPr>
              <w:spacing w:after="0"/>
              <w:rPr>
                <w:rFonts w:ascii="Times New Roman" w:hAnsi="Times New Roman" w:cs="Times New Roman"/>
                <w:sz w:val="24"/>
                <w:szCs w:val="24"/>
              </w:rPr>
            </w:pPr>
          </w:p>
          <w:p w14:paraId="11CD75D8" w14:textId="77777777"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t xml:space="preserve">Članak 7. stavci 1. i 2. </w:t>
            </w:r>
          </w:p>
          <w:p w14:paraId="122E96C5" w14:textId="77777777"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t>Članak 9.</w:t>
            </w:r>
          </w:p>
        </w:tc>
      </w:tr>
      <w:tr w:rsidR="005F3233" w:rsidRPr="00057759" w14:paraId="0348BA57" w14:textId="77777777" w:rsidTr="005F3233">
        <w:tc>
          <w:tcPr>
            <w:tcW w:w="3078" w:type="dxa"/>
            <w:shd w:val="clear" w:color="auto" w:fill="F2F2F2" w:themeFill="background1" w:themeFillShade="F2"/>
          </w:tcPr>
          <w:p w14:paraId="56EA279A" w14:textId="77777777" w:rsidR="005F3233" w:rsidRPr="00057759" w:rsidRDefault="005F3233" w:rsidP="005F3233">
            <w:pPr>
              <w:spacing w:after="0"/>
              <w:rPr>
                <w:rFonts w:ascii="Times New Roman" w:hAnsi="Times New Roman" w:cs="Times New Roman"/>
                <w:sz w:val="24"/>
                <w:szCs w:val="24"/>
              </w:rPr>
            </w:pPr>
            <w:bookmarkStart w:id="171" w:name="_Hlk42860005"/>
            <w:r w:rsidRPr="00057759">
              <w:rPr>
                <w:rFonts w:ascii="Times New Roman" w:hAnsi="Times New Roman" w:cs="Times New Roman"/>
                <w:sz w:val="24"/>
                <w:szCs w:val="24"/>
              </w:rPr>
              <w:t>Tijelo državne uprave koje dostavlja podatke</w:t>
            </w:r>
          </w:p>
        </w:tc>
        <w:tc>
          <w:tcPr>
            <w:tcW w:w="6698" w:type="dxa"/>
            <w:gridSpan w:val="2"/>
            <w:shd w:val="clear" w:color="auto" w:fill="E2EFD9" w:themeFill="accent6" w:themeFillTint="33"/>
          </w:tcPr>
          <w:p w14:paraId="6FFE2119" w14:textId="77777777"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t>MINISTARSTVO GRADITELJSTVA I PROSTORNOG UREĐENJA</w:t>
            </w:r>
          </w:p>
        </w:tc>
      </w:tr>
      <w:bookmarkEnd w:id="171"/>
      <w:tr w:rsidR="005F3233" w:rsidRPr="00057759" w14:paraId="6E634CA5" w14:textId="77777777" w:rsidTr="005F3233">
        <w:tc>
          <w:tcPr>
            <w:tcW w:w="3078" w:type="dxa"/>
            <w:shd w:val="clear" w:color="auto" w:fill="F2F2F2" w:themeFill="background1" w:themeFillShade="F2"/>
          </w:tcPr>
          <w:p w14:paraId="182151A2" w14:textId="77777777"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t>Ukupan broj propisa u  nadležnosti Ministarstva</w:t>
            </w:r>
          </w:p>
        </w:tc>
        <w:tc>
          <w:tcPr>
            <w:tcW w:w="6698" w:type="dxa"/>
            <w:gridSpan w:val="2"/>
          </w:tcPr>
          <w:p w14:paraId="514565E8" w14:textId="77777777"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t>16 Zakona i podzakonski propisi doneseni na temelju tih zakona</w:t>
            </w:r>
          </w:p>
        </w:tc>
      </w:tr>
      <w:tr w:rsidR="005F3233" w:rsidRPr="00057759" w14:paraId="51A78876" w14:textId="77777777" w:rsidTr="005F3233">
        <w:tc>
          <w:tcPr>
            <w:tcW w:w="3078" w:type="dxa"/>
            <w:shd w:val="clear" w:color="auto" w:fill="F2F2F2" w:themeFill="background1" w:themeFillShade="F2"/>
          </w:tcPr>
          <w:p w14:paraId="72804E33" w14:textId="77777777"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t>Ukupan broj propisa iz Vaše nadležnosti koji je usklađen s UN Konvencijom o pravima osoba s invaliditetom</w:t>
            </w:r>
          </w:p>
        </w:tc>
        <w:tc>
          <w:tcPr>
            <w:tcW w:w="6698" w:type="dxa"/>
            <w:gridSpan w:val="2"/>
          </w:tcPr>
          <w:p w14:paraId="3F44E8E6" w14:textId="77777777"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t>2 Zakona i 2 Pravilnika</w:t>
            </w:r>
          </w:p>
        </w:tc>
      </w:tr>
      <w:tr w:rsidR="005F3233" w:rsidRPr="00057759" w14:paraId="60AF4511" w14:textId="77777777" w:rsidTr="005F3233">
        <w:trPr>
          <w:trHeight w:val="552"/>
        </w:trPr>
        <w:tc>
          <w:tcPr>
            <w:tcW w:w="3078" w:type="dxa"/>
            <w:vMerge w:val="restart"/>
            <w:shd w:val="clear" w:color="auto" w:fill="F2F2F2" w:themeFill="background1" w:themeFillShade="F2"/>
          </w:tcPr>
          <w:p w14:paraId="232AE698" w14:textId="77777777" w:rsidR="005F3233" w:rsidRPr="00057759" w:rsidRDefault="005F3233" w:rsidP="005F3233">
            <w:pPr>
              <w:spacing w:after="0"/>
              <w:rPr>
                <w:rFonts w:ascii="Times New Roman" w:hAnsi="Times New Roman" w:cs="Times New Roman"/>
                <w:sz w:val="24"/>
                <w:szCs w:val="24"/>
              </w:rPr>
            </w:pPr>
            <w:bookmarkStart w:id="172" w:name="_Hlk42858867"/>
            <w:bookmarkStart w:id="173" w:name="_Hlk42858883"/>
            <w:r w:rsidRPr="00057759">
              <w:rPr>
                <w:rFonts w:ascii="Times New Roman" w:hAnsi="Times New Roman" w:cs="Times New Roman"/>
                <w:sz w:val="24"/>
                <w:szCs w:val="24"/>
              </w:rPr>
              <w:t xml:space="preserve">Naziv nacionalnog propisa koji je usklađen s UN Konvencijom o pravima osoba s invaliditetom </w:t>
            </w:r>
          </w:p>
          <w:p w14:paraId="3FDD12E3" w14:textId="77777777" w:rsidR="005F3233" w:rsidRPr="00057759" w:rsidRDefault="005F3233" w:rsidP="005F3233">
            <w:pPr>
              <w:spacing w:after="0"/>
              <w:rPr>
                <w:rFonts w:ascii="Times New Roman" w:hAnsi="Times New Roman" w:cs="Times New Roman"/>
                <w:sz w:val="24"/>
                <w:szCs w:val="24"/>
              </w:rPr>
            </w:pPr>
          </w:p>
          <w:p w14:paraId="36020BC3" w14:textId="58AB307E"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t>U kojem djelu se izvršilo usklađivanje</w:t>
            </w:r>
          </w:p>
        </w:tc>
        <w:tc>
          <w:tcPr>
            <w:tcW w:w="6698" w:type="dxa"/>
            <w:gridSpan w:val="2"/>
            <w:shd w:val="clear" w:color="auto" w:fill="D9E2F3" w:themeFill="accent1" w:themeFillTint="33"/>
          </w:tcPr>
          <w:p w14:paraId="078A12A8" w14:textId="77777777"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t xml:space="preserve">Zakon o gradnji </w:t>
            </w:r>
          </w:p>
          <w:p w14:paraId="56FA7033" w14:textId="77777777"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t>(Narodne novine, br. 153/13, 20/17, 39/19 i 125/19)</w:t>
            </w:r>
          </w:p>
        </w:tc>
      </w:tr>
      <w:tr w:rsidR="005F3233" w:rsidRPr="00057759" w14:paraId="18841AAF" w14:textId="77777777" w:rsidTr="005F3233">
        <w:trPr>
          <w:trHeight w:val="910"/>
        </w:trPr>
        <w:tc>
          <w:tcPr>
            <w:tcW w:w="3078" w:type="dxa"/>
            <w:vMerge/>
            <w:shd w:val="clear" w:color="auto" w:fill="F2F2F2" w:themeFill="background1" w:themeFillShade="F2"/>
          </w:tcPr>
          <w:p w14:paraId="3EF996A3" w14:textId="77777777" w:rsidR="005F3233" w:rsidRPr="00057759" w:rsidRDefault="005F3233" w:rsidP="005F3233">
            <w:pPr>
              <w:spacing w:after="0"/>
              <w:rPr>
                <w:rFonts w:ascii="Times New Roman" w:hAnsi="Times New Roman" w:cs="Times New Roman"/>
                <w:sz w:val="24"/>
                <w:szCs w:val="24"/>
              </w:rPr>
            </w:pPr>
          </w:p>
        </w:tc>
        <w:tc>
          <w:tcPr>
            <w:tcW w:w="6698" w:type="dxa"/>
            <w:gridSpan w:val="2"/>
          </w:tcPr>
          <w:p w14:paraId="1C9F80E0" w14:textId="77777777"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t>Članak 8 -temeljni zahtjev za građevinu  - 4. sigurnost i pristupačnost tijekom uporabe</w:t>
            </w:r>
          </w:p>
          <w:p w14:paraId="2E1FE43F" w14:textId="77777777"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t>Članak 12.- osiguravanje pristupačnosti i uporabi građevine od strane osoba smanjene pokretljivosti</w:t>
            </w:r>
          </w:p>
        </w:tc>
      </w:tr>
      <w:bookmarkEnd w:id="172"/>
      <w:tr w:rsidR="005F3233" w:rsidRPr="00057759" w14:paraId="2B58C725" w14:textId="77777777" w:rsidTr="005F3233">
        <w:trPr>
          <w:trHeight w:val="552"/>
        </w:trPr>
        <w:tc>
          <w:tcPr>
            <w:tcW w:w="3078" w:type="dxa"/>
            <w:vMerge w:val="restart"/>
            <w:shd w:val="clear" w:color="auto" w:fill="F2F2F2" w:themeFill="background1" w:themeFillShade="F2"/>
          </w:tcPr>
          <w:p w14:paraId="1F005E3A" w14:textId="77777777"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t xml:space="preserve">Naziv nacionalnog propisa koji je usklađen s UN Konvencijom o pravima osoba s invaliditetom </w:t>
            </w:r>
          </w:p>
          <w:p w14:paraId="6C2BA8D1" w14:textId="77777777" w:rsidR="005F3233" w:rsidRPr="00057759" w:rsidRDefault="005F3233" w:rsidP="005F3233">
            <w:pPr>
              <w:spacing w:after="0"/>
              <w:rPr>
                <w:rFonts w:ascii="Times New Roman" w:hAnsi="Times New Roman" w:cs="Times New Roman"/>
                <w:sz w:val="24"/>
                <w:szCs w:val="24"/>
              </w:rPr>
            </w:pPr>
          </w:p>
          <w:p w14:paraId="6D1CA1FE" w14:textId="77777777"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t>U kojem djelu se izvršilo usklađivanje</w:t>
            </w:r>
          </w:p>
          <w:p w14:paraId="7E7F73D9" w14:textId="77777777" w:rsidR="005F3233" w:rsidRPr="00057759" w:rsidRDefault="005F3233" w:rsidP="005F3233">
            <w:pPr>
              <w:spacing w:after="0"/>
              <w:rPr>
                <w:rFonts w:ascii="Times New Roman" w:hAnsi="Times New Roman" w:cs="Times New Roman"/>
                <w:sz w:val="24"/>
                <w:szCs w:val="24"/>
              </w:rPr>
            </w:pPr>
          </w:p>
        </w:tc>
        <w:tc>
          <w:tcPr>
            <w:tcW w:w="6698" w:type="dxa"/>
            <w:gridSpan w:val="2"/>
            <w:shd w:val="clear" w:color="auto" w:fill="D9E2F3" w:themeFill="accent1" w:themeFillTint="33"/>
          </w:tcPr>
          <w:p w14:paraId="7A8C3F4B" w14:textId="77777777"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t xml:space="preserve">Zakon o prostornom uređenju </w:t>
            </w:r>
          </w:p>
          <w:p w14:paraId="4F167379" w14:textId="7099BF14"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t>(Narodne novine, br. 153/13, 65/17, 114/18, 39/19 i 98/19)</w:t>
            </w:r>
          </w:p>
        </w:tc>
      </w:tr>
      <w:tr w:rsidR="005F3233" w:rsidRPr="00057759" w14:paraId="07317700" w14:textId="77777777" w:rsidTr="005F3233">
        <w:trPr>
          <w:trHeight w:val="1119"/>
        </w:trPr>
        <w:tc>
          <w:tcPr>
            <w:tcW w:w="3078" w:type="dxa"/>
            <w:vMerge/>
            <w:shd w:val="clear" w:color="auto" w:fill="F2F2F2" w:themeFill="background1" w:themeFillShade="F2"/>
          </w:tcPr>
          <w:p w14:paraId="07DC9649" w14:textId="77777777" w:rsidR="005F3233" w:rsidRPr="00057759" w:rsidRDefault="005F3233" w:rsidP="005F3233">
            <w:pPr>
              <w:spacing w:after="0"/>
              <w:rPr>
                <w:rFonts w:ascii="Times New Roman" w:hAnsi="Times New Roman" w:cs="Times New Roman"/>
                <w:sz w:val="24"/>
                <w:szCs w:val="24"/>
              </w:rPr>
            </w:pPr>
          </w:p>
        </w:tc>
        <w:tc>
          <w:tcPr>
            <w:tcW w:w="6698" w:type="dxa"/>
            <w:gridSpan w:val="2"/>
          </w:tcPr>
          <w:p w14:paraId="64869558" w14:textId="77777777"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t>Članak 3. stavak 1. podstavak 5. površina vanjskog dizala koje se dograđuje na postojeću zgradu više se ne uračunava u građevinsku (bruto) površinu zgrade:</w:t>
            </w:r>
          </w:p>
          <w:p w14:paraId="1A1C36A6" w14:textId="77777777"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t>(građevinska (bruto) površina zgrade je zbroj površina mjerenih u razini podova svih dijelova (etaža) zgrade (Po, S, Pr, K, PK) određenih prema vanjskim mjerama obodnih zidova s oblogama, osim površine vanjskog dizala koje se dograđuje na postojeću zgradu, a koja se izračunava na način propisan ovim Zakonom i propisom donesenim na temelju ovog Zakona)</w:t>
            </w:r>
          </w:p>
          <w:p w14:paraId="47694470" w14:textId="77777777"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t xml:space="preserve">Članak 122. stavak 5.: dogradnja vanjskog dizala na postojeću zgradu  neovisna je o odredbama prostornog plana </w:t>
            </w:r>
          </w:p>
          <w:p w14:paraId="2C735721" w14:textId="77777777"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t xml:space="preserve">Članak 6. stavak 1. podstavak 12.: u ciljeve prostornog uređenja uključena je: opskrba, funkcionalna pristupačnost i uporaba usluga i građevina za potrebe različitih skupina stanovništva osobito djece, starijih ljudi i osoba smanjenih sposobnosti i pokretljivosti </w:t>
            </w:r>
          </w:p>
          <w:p w14:paraId="5FE249AE" w14:textId="77777777"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t xml:space="preserve">Članak 140. stavak 1 podstavak 9: u lokacijske uvjete koji se određuju lokacijskom dozvolom uključeni su i: uvjeti za nesmetan pristup, kretanje, boravak i rad osoba smanjene pokretljivosti </w:t>
            </w:r>
          </w:p>
        </w:tc>
      </w:tr>
      <w:bookmarkEnd w:id="173"/>
      <w:tr w:rsidR="005F3233" w:rsidRPr="00057759" w14:paraId="20F47467" w14:textId="77777777" w:rsidTr="005F3233">
        <w:trPr>
          <w:trHeight w:val="552"/>
        </w:trPr>
        <w:tc>
          <w:tcPr>
            <w:tcW w:w="3078" w:type="dxa"/>
            <w:vMerge w:val="restart"/>
            <w:shd w:val="clear" w:color="auto" w:fill="F2F2F2" w:themeFill="background1" w:themeFillShade="F2"/>
          </w:tcPr>
          <w:p w14:paraId="0FAEE5DD" w14:textId="77777777"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lastRenderedPageBreak/>
              <w:t xml:space="preserve">Naziv nacionalnog propisa koji je usklađen s UN Konvencijom o pravima osoba s invaliditetom </w:t>
            </w:r>
          </w:p>
          <w:p w14:paraId="11A24B3D" w14:textId="77777777" w:rsidR="005F3233" w:rsidRPr="00057759" w:rsidRDefault="005F3233" w:rsidP="005F3233">
            <w:pPr>
              <w:spacing w:after="0"/>
              <w:rPr>
                <w:rFonts w:ascii="Times New Roman" w:hAnsi="Times New Roman" w:cs="Times New Roman"/>
                <w:sz w:val="24"/>
                <w:szCs w:val="24"/>
              </w:rPr>
            </w:pPr>
          </w:p>
          <w:p w14:paraId="521756DD" w14:textId="3A703F05"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t>U kojem djelu se izvršilo usklađivanje</w:t>
            </w:r>
          </w:p>
        </w:tc>
        <w:tc>
          <w:tcPr>
            <w:tcW w:w="6698" w:type="dxa"/>
            <w:gridSpan w:val="2"/>
            <w:shd w:val="clear" w:color="auto" w:fill="D9E2F3" w:themeFill="accent1" w:themeFillTint="33"/>
          </w:tcPr>
          <w:p w14:paraId="646C45B5" w14:textId="77777777"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t xml:space="preserve">Pravilnik o jednostavnim i drugim građevinama i radovima </w:t>
            </w:r>
          </w:p>
          <w:p w14:paraId="2DD6B542" w14:textId="554467C9"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t>(Narodne novine , br. 112/17, 34/18, 36/19 i  98/19)</w:t>
            </w:r>
          </w:p>
        </w:tc>
      </w:tr>
      <w:tr w:rsidR="005F3233" w:rsidRPr="00057759" w14:paraId="211E2F3E" w14:textId="77777777" w:rsidTr="005F3233">
        <w:trPr>
          <w:trHeight w:val="910"/>
        </w:trPr>
        <w:tc>
          <w:tcPr>
            <w:tcW w:w="3078" w:type="dxa"/>
            <w:vMerge/>
            <w:shd w:val="clear" w:color="auto" w:fill="F2F2F2" w:themeFill="background1" w:themeFillShade="F2"/>
          </w:tcPr>
          <w:p w14:paraId="5D225B93" w14:textId="77777777" w:rsidR="005F3233" w:rsidRPr="00057759" w:rsidRDefault="005F3233" w:rsidP="005F3233">
            <w:pPr>
              <w:spacing w:after="0"/>
              <w:rPr>
                <w:rFonts w:ascii="Times New Roman" w:hAnsi="Times New Roman" w:cs="Times New Roman"/>
                <w:sz w:val="24"/>
                <w:szCs w:val="24"/>
              </w:rPr>
            </w:pPr>
          </w:p>
        </w:tc>
        <w:tc>
          <w:tcPr>
            <w:tcW w:w="6698" w:type="dxa"/>
            <w:gridSpan w:val="2"/>
          </w:tcPr>
          <w:p w14:paraId="0A1FED2C" w14:textId="77777777" w:rsidR="005F3233" w:rsidRPr="00057759" w:rsidRDefault="005F3233" w:rsidP="005F3233">
            <w:pPr>
              <w:spacing w:after="0"/>
              <w:rPr>
                <w:rFonts w:ascii="Times New Roman" w:hAnsi="Times New Roman" w:cs="Times New Roman"/>
                <w:sz w:val="24"/>
                <w:szCs w:val="24"/>
              </w:rPr>
            </w:pPr>
          </w:p>
          <w:p w14:paraId="250DE530" w14:textId="77777777"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t xml:space="preserve">Pojednostavljenje izvođenja radova na građevini radi omogućavanja nesmetanog pristupa i kretanja osobama s teškoćama u kretanju </w:t>
            </w:r>
          </w:p>
        </w:tc>
      </w:tr>
      <w:tr w:rsidR="005F3233" w:rsidRPr="00057759" w14:paraId="63DD7F9C" w14:textId="77777777" w:rsidTr="005F3233">
        <w:trPr>
          <w:trHeight w:val="552"/>
        </w:trPr>
        <w:tc>
          <w:tcPr>
            <w:tcW w:w="3078" w:type="dxa"/>
            <w:vMerge w:val="restart"/>
            <w:shd w:val="clear" w:color="auto" w:fill="F2F2F2" w:themeFill="background1" w:themeFillShade="F2"/>
          </w:tcPr>
          <w:p w14:paraId="1E0717F8" w14:textId="77777777"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t>Naziv nacionalnog propisa koji je usklađen s UN Konvencijom o pravima osoba s invaliditetom</w:t>
            </w:r>
          </w:p>
          <w:p w14:paraId="112F52A6" w14:textId="77777777" w:rsidR="005F3233" w:rsidRPr="00057759" w:rsidRDefault="005F3233" w:rsidP="005F3233">
            <w:pPr>
              <w:spacing w:after="0"/>
              <w:rPr>
                <w:rFonts w:ascii="Times New Roman" w:hAnsi="Times New Roman" w:cs="Times New Roman"/>
                <w:sz w:val="24"/>
                <w:szCs w:val="24"/>
              </w:rPr>
            </w:pPr>
          </w:p>
          <w:p w14:paraId="2751B376" w14:textId="7F2E7635"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t>U kojem djelu se izvršilo usklađivanje</w:t>
            </w:r>
          </w:p>
        </w:tc>
        <w:tc>
          <w:tcPr>
            <w:tcW w:w="6698" w:type="dxa"/>
            <w:gridSpan w:val="2"/>
            <w:shd w:val="clear" w:color="auto" w:fill="D9E2F3" w:themeFill="accent1" w:themeFillTint="33"/>
          </w:tcPr>
          <w:p w14:paraId="045E6D05" w14:textId="77777777"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t>Pravilnik o osiguravanju pristupačnosti građevina osobama s invaliditetom i smanjenom pokretljivosti</w:t>
            </w:r>
          </w:p>
          <w:p w14:paraId="3589004E" w14:textId="77777777"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t>( Narodne novine, broj 78/13)</w:t>
            </w:r>
          </w:p>
        </w:tc>
      </w:tr>
      <w:tr w:rsidR="005F3233" w:rsidRPr="00057759" w14:paraId="47AD40DD" w14:textId="77777777" w:rsidTr="005F3233">
        <w:trPr>
          <w:trHeight w:val="910"/>
        </w:trPr>
        <w:tc>
          <w:tcPr>
            <w:tcW w:w="3078" w:type="dxa"/>
            <w:vMerge/>
            <w:shd w:val="clear" w:color="auto" w:fill="F2F2F2" w:themeFill="background1" w:themeFillShade="F2"/>
          </w:tcPr>
          <w:p w14:paraId="43756441" w14:textId="77777777" w:rsidR="005F3233" w:rsidRPr="00057759" w:rsidRDefault="005F3233" w:rsidP="005F3233">
            <w:pPr>
              <w:spacing w:after="0"/>
              <w:rPr>
                <w:rFonts w:ascii="Times New Roman" w:hAnsi="Times New Roman" w:cs="Times New Roman"/>
                <w:sz w:val="24"/>
                <w:szCs w:val="24"/>
              </w:rPr>
            </w:pPr>
          </w:p>
        </w:tc>
        <w:tc>
          <w:tcPr>
            <w:tcW w:w="6698" w:type="dxa"/>
            <w:gridSpan w:val="2"/>
          </w:tcPr>
          <w:p w14:paraId="0993F0A0" w14:textId="77777777" w:rsidR="005F3233" w:rsidRPr="00057759" w:rsidRDefault="005F3233" w:rsidP="005F3233">
            <w:pPr>
              <w:spacing w:after="0"/>
              <w:rPr>
                <w:rFonts w:ascii="Times New Roman" w:hAnsi="Times New Roman" w:cs="Times New Roman"/>
                <w:sz w:val="24"/>
                <w:szCs w:val="24"/>
              </w:rPr>
            </w:pPr>
          </w:p>
          <w:p w14:paraId="0B82E9E4" w14:textId="77777777" w:rsidR="005F3233" w:rsidRPr="00057759" w:rsidRDefault="005F3233" w:rsidP="005F3233">
            <w:pPr>
              <w:spacing w:after="0"/>
              <w:rPr>
                <w:rFonts w:ascii="Times New Roman" w:hAnsi="Times New Roman" w:cs="Times New Roman"/>
                <w:sz w:val="24"/>
                <w:szCs w:val="24"/>
              </w:rPr>
            </w:pPr>
          </w:p>
          <w:p w14:paraId="7A3112DA" w14:textId="77777777"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t xml:space="preserve">Pristupačnost građevini </w:t>
            </w:r>
          </w:p>
        </w:tc>
      </w:tr>
      <w:tr w:rsidR="005F3233" w:rsidRPr="00057759" w14:paraId="51F4E59D" w14:textId="77777777" w:rsidTr="003B1D7E">
        <w:tc>
          <w:tcPr>
            <w:tcW w:w="3078" w:type="dxa"/>
            <w:shd w:val="clear" w:color="auto" w:fill="F2F2F2" w:themeFill="background1" w:themeFillShade="F2"/>
          </w:tcPr>
          <w:p w14:paraId="5C9E27F0" w14:textId="77777777" w:rsidR="005F3233" w:rsidRPr="00057759" w:rsidRDefault="005F3233" w:rsidP="005F3233">
            <w:pPr>
              <w:spacing w:after="0"/>
              <w:rPr>
                <w:rFonts w:ascii="Times New Roman" w:hAnsi="Times New Roman" w:cs="Times New Roman"/>
                <w:sz w:val="24"/>
                <w:szCs w:val="24"/>
              </w:rPr>
            </w:pPr>
            <w:bookmarkStart w:id="174" w:name="_Hlk42860184"/>
            <w:r w:rsidRPr="00057759">
              <w:rPr>
                <w:rFonts w:ascii="Times New Roman" w:hAnsi="Times New Roman" w:cs="Times New Roman"/>
                <w:sz w:val="24"/>
                <w:szCs w:val="24"/>
              </w:rPr>
              <w:t>Tijelo državne uprave koje dostavlja podatke</w:t>
            </w:r>
          </w:p>
        </w:tc>
        <w:tc>
          <w:tcPr>
            <w:tcW w:w="6698" w:type="dxa"/>
            <w:gridSpan w:val="2"/>
            <w:shd w:val="clear" w:color="auto" w:fill="E2EFD9" w:themeFill="accent6" w:themeFillTint="33"/>
            <w:vAlign w:val="center"/>
          </w:tcPr>
          <w:p w14:paraId="3A6F113B" w14:textId="77777777"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t>MINISTARSTVO UNUTARNJIH POSLOVA</w:t>
            </w:r>
          </w:p>
        </w:tc>
      </w:tr>
      <w:tr w:rsidR="005F3233" w:rsidRPr="00057759" w14:paraId="7C84F6D6" w14:textId="77777777" w:rsidTr="005F3233">
        <w:tc>
          <w:tcPr>
            <w:tcW w:w="3078" w:type="dxa"/>
            <w:shd w:val="clear" w:color="auto" w:fill="F2F2F2" w:themeFill="background1" w:themeFillShade="F2"/>
          </w:tcPr>
          <w:p w14:paraId="3B19A86E" w14:textId="77777777"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t>Ukupan broj propisa u  nadležnosti Ministarstva</w:t>
            </w:r>
          </w:p>
        </w:tc>
        <w:tc>
          <w:tcPr>
            <w:tcW w:w="6698" w:type="dxa"/>
            <w:gridSpan w:val="2"/>
          </w:tcPr>
          <w:p w14:paraId="625F491E" w14:textId="77777777"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t>71</w:t>
            </w:r>
          </w:p>
        </w:tc>
      </w:tr>
      <w:tr w:rsidR="005F3233" w:rsidRPr="00057759" w14:paraId="01A80C18" w14:textId="77777777" w:rsidTr="005F3233">
        <w:tc>
          <w:tcPr>
            <w:tcW w:w="3078" w:type="dxa"/>
            <w:shd w:val="clear" w:color="auto" w:fill="F2F2F2" w:themeFill="background1" w:themeFillShade="F2"/>
          </w:tcPr>
          <w:p w14:paraId="13FE6203" w14:textId="77777777"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t>Ukupan broj propisa iz Vaše nadležnosti koji je usklađen s UN Konvencijom o pravima osoba s invaliditetom</w:t>
            </w:r>
          </w:p>
        </w:tc>
        <w:tc>
          <w:tcPr>
            <w:tcW w:w="6698" w:type="dxa"/>
            <w:gridSpan w:val="2"/>
          </w:tcPr>
          <w:p w14:paraId="2102C0B8" w14:textId="77777777"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t>1</w:t>
            </w:r>
          </w:p>
        </w:tc>
      </w:tr>
      <w:tr w:rsidR="005F3233" w:rsidRPr="00057759" w14:paraId="2ED5964A" w14:textId="77777777" w:rsidTr="005F3233">
        <w:trPr>
          <w:trHeight w:val="552"/>
        </w:trPr>
        <w:tc>
          <w:tcPr>
            <w:tcW w:w="3078" w:type="dxa"/>
            <w:vMerge w:val="restart"/>
            <w:shd w:val="clear" w:color="auto" w:fill="F2F2F2" w:themeFill="background1" w:themeFillShade="F2"/>
          </w:tcPr>
          <w:p w14:paraId="26E49F81" w14:textId="77777777"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t xml:space="preserve">Naziv nacionalnog propisa koji je usklađen s UN Konvencijom o pravima osoba s invaliditetom </w:t>
            </w:r>
          </w:p>
          <w:p w14:paraId="2BC7E6D7" w14:textId="77777777" w:rsidR="005F3233" w:rsidRPr="00057759" w:rsidRDefault="005F3233" w:rsidP="005F3233">
            <w:pPr>
              <w:spacing w:after="0"/>
              <w:rPr>
                <w:rFonts w:ascii="Times New Roman" w:hAnsi="Times New Roman" w:cs="Times New Roman"/>
                <w:sz w:val="24"/>
                <w:szCs w:val="24"/>
              </w:rPr>
            </w:pPr>
          </w:p>
          <w:p w14:paraId="38667934" w14:textId="410CE22F"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t>U kojem djelu se izvršilo usklađivanje</w:t>
            </w:r>
          </w:p>
        </w:tc>
        <w:tc>
          <w:tcPr>
            <w:tcW w:w="6698" w:type="dxa"/>
            <w:gridSpan w:val="2"/>
            <w:shd w:val="clear" w:color="auto" w:fill="D9E2F3" w:themeFill="accent1" w:themeFillTint="33"/>
          </w:tcPr>
          <w:p w14:paraId="4E44A4EE" w14:textId="77777777"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t>Zakon o sustavu civilne zaštite</w:t>
            </w:r>
          </w:p>
          <w:p w14:paraId="3A78294F" w14:textId="77777777"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t>(Narodne novine, br. 82/15, 118/18)</w:t>
            </w:r>
          </w:p>
        </w:tc>
      </w:tr>
      <w:tr w:rsidR="005F3233" w:rsidRPr="00057759" w14:paraId="7466540D" w14:textId="77777777" w:rsidTr="005F3233">
        <w:trPr>
          <w:trHeight w:val="910"/>
        </w:trPr>
        <w:tc>
          <w:tcPr>
            <w:tcW w:w="3078" w:type="dxa"/>
            <w:vMerge/>
            <w:shd w:val="clear" w:color="auto" w:fill="F2F2F2" w:themeFill="background1" w:themeFillShade="F2"/>
          </w:tcPr>
          <w:p w14:paraId="52F35F83" w14:textId="77777777" w:rsidR="005F3233" w:rsidRPr="00057759" w:rsidRDefault="005F3233" w:rsidP="005F3233">
            <w:pPr>
              <w:spacing w:after="0"/>
              <w:rPr>
                <w:rFonts w:ascii="Times New Roman" w:hAnsi="Times New Roman" w:cs="Times New Roman"/>
                <w:sz w:val="24"/>
                <w:szCs w:val="24"/>
              </w:rPr>
            </w:pPr>
          </w:p>
        </w:tc>
        <w:tc>
          <w:tcPr>
            <w:tcW w:w="6698" w:type="dxa"/>
            <w:gridSpan w:val="2"/>
          </w:tcPr>
          <w:p w14:paraId="5DA3FB21" w14:textId="77777777" w:rsidR="005F3233" w:rsidRPr="00057759" w:rsidRDefault="005F3233" w:rsidP="005F3233">
            <w:pPr>
              <w:spacing w:after="0"/>
              <w:rPr>
                <w:rFonts w:ascii="Times New Roman" w:hAnsi="Times New Roman" w:cs="Times New Roman"/>
                <w:sz w:val="24"/>
                <w:szCs w:val="24"/>
              </w:rPr>
            </w:pPr>
          </w:p>
          <w:p w14:paraId="76E61952" w14:textId="77777777"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t xml:space="preserve">Članak 7. Zakona usklađen je s člankom 5. i člankom 11. Konvencije o pravima osoba s invaliditetom </w:t>
            </w:r>
          </w:p>
        </w:tc>
      </w:tr>
      <w:bookmarkEnd w:id="174"/>
      <w:tr w:rsidR="005F3233" w:rsidRPr="00057759" w14:paraId="568112B8" w14:textId="77777777" w:rsidTr="005F3233">
        <w:tc>
          <w:tcPr>
            <w:tcW w:w="3078" w:type="dxa"/>
            <w:shd w:val="clear" w:color="auto" w:fill="F2F2F2" w:themeFill="background1" w:themeFillShade="F2"/>
          </w:tcPr>
          <w:p w14:paraId="14B35AE8" w14:textId="77777777"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t>Tijelo državne uprave koje dostavlja podatke</w:t>
            </w:r>
          </w:p>
        </w:tc>
        <w:tc>
          <w:tcPr>
            <w:tcW w:w="6698" w:type="dxa"/>
            <w:gridSpan w:val="2"/>
            <w:shd w:val="clear" w:color="auto" w:fill="E2EFD9" w:themeFill="accent6" w:themeFillTint="33"/>
          </w:tcPr>
          <w:p w14:paraId="3FB32436" w14:textId="77777777"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t>URED ZA RAVNOPRAVNOST SPOLOVA VLADE REPUBLIKE HRVATSKE</w:t>
            </w:r>
          </w:p>
        </w:tc>
      </w:tr>
      <w:tr w:rsidR="005F3233" w:rsidRPr="00057759" w14:paraId="162832C7" w14:textId="77777777" w:rsidTr="005F3233">
        <w:tc>
          <w:tcPr>
            <w:tcW w:w="3078" w:type="dxa"/>
            <w:shd w:val="clear" w:color="auto" w:fill="F2F2F2" w:themeFill="background1" w:themeFillShade="F2"/>
          </w:tcPr>
          <w:p w14:paraId="30B7F449" w14:textId="77777777"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t>Ukupan broj propisa u  nadležnosti Ureda</w:t>
            </w:r>
          </w:p>
        </w:tc>
        <w:tc>
          <w:tcPr>
            <w:tcW w:w="6698" w:type="dxa"/>
            <w:gridSpan w:val="2"/>
          </w:tcPr>
          <w:p w14:paraId="1C236D63" w14:textId="77777777"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t>2</w:t>
            </w:r>
          </w:p>
        </w:tc>
      </w:tr>
      <w:tr w:rsidR="005F3233" w:rsidRPr="00057759" w14:paraId="1DFD7C03" w14:textId="77777777" w:rsidTr="005F3233">
        <w:tc>
          <w:tcPr>
            <w:tcW w:w="3078" w:type="dxa"/>
            <w:shd w:val="clear" w:color="auto" w:fill="F2F2F2" w:themeFill="background1" w:themeFillShade="F2"/>
          </w:tcPr>
          <w:p w14:paraId="1F30BE88" w14:textId="77777777"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t>Ukupan broj propisa iz Vaše nadležnosti koji je usklađen s UN Konvencijom o pravima osoba s invaliditetom</w:t>
            </w:r>
          </w:p>
        </w:tc>
        <w:tc>
          <w:tcPr>
            <w:tcW w:w="6698" w:type="dxa"/>
            <w:gridSpan w:val="2"/>
          </w:tcPr>
          <w:p w14:paraId="2C0A30C3" w14:textId="77777777"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t>2</w:t>
            </w:r>
          </w:p>
        </w:tc>
      </w:tr>
      <w:tr w:rsidR="005F3233" w:rsidRPr="00057759" w14:paraId="279C7986" w14:textId="77777777" w:rsidTr="005F3233">
        <w:trPr>
          <w:trHeight w:val="552"/>
        </w:trPr>
        <w:tc>
          <w:tcPr>
            <w:tcW w:w="3078" w:type="dxa"/>
            <w:vMerge w:val="restart"/>
            <w:shd w:val="clear" w:color="auto" w:fill="F2F2F2" w:themeFill="background1" w:themeFillShade="F2"/>
          </w:tcPr>
          <w:p w14:paraId="208B4A65" w14:textId="77777777" w:rsidR="005F3233" w:rsidRPr="00057759" w:rsidRDefault="005F3233" w:rsidP="005F3233">
            <w:pPr>
              <w:spacing w:after="0"/>
              <w:rPr>
                <w:rFonts w:ascii="Times New Roman" w:hAnsi="Times New Roman" w:cs="Times New Roman"/>
                <w:sz w:val="24"/>
                <w:szCs w:val="24"/>
              </w:rPr>
            </w:pPr>
            <w:bookmarkStart w:id="175" w:name="_Hlk42860250"/>
            <w:r w:rsidRPr="00057759">
              <w:rPr>
                <w:rFonts w:ascii="Times New Roman" w:hAnsi="Times New Roman" w:cs="Times New Roman"/>
                <w:sz w:val="24"/>
                <w:szCs w:val="24"/>
              </w:rPr>
              <w:t xml:space="preserve">Naziv nacionalnog propisa koji je usklađen s UN Konvencijom o pravima osoba s invaliditetom </w:t>
            </w:r>
          </w:p>
          <w:p w14:paraId="1AB1CD39" w14:textId="77777777" w:rsidR="005F3233" w:rsidRPr="00057759" w:rsidRDefault="005F3233" w:rsidP="005F3233">
            <w:pPr>
              <w:spacing w:after="0"/>
              <w:rPr>
                <w:rFonts w:ascii="Times New Roman" w:hAnsi="Times New Roman" w:cs="Times New Roman"/>
                <w:sz w:val="24"/>
                <w:szCs w:val="24"/>
              </w:rPr>
            </w:pPr>
          </w:p>
          <w:p w14:paraId="321AD6F4" w14:textId="77777777"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t>U kojem djelu se izvršilo usklađivanje</w:t>
            </w:r>
          </w:p>
          <w:p w14:paraId="4AB520E9" w14:textId="77777777" w:rsidR="005F3233" w:rsidRPr="00057759" w:rsidRDefault="005F3233" w:rsidP="005F3233">
            <w:pPr>
              <w:spacing w:after="0"/>
              <w:rPr>
                <w:rFonts w:ascii="Times New Roman" w:hAnsi="Times New Roman" w:cs="Times New Roman"/>
                <w:sz w:val="24"/>
                <w:szCs w:val="24"/>
              </w:rPr>
            </w:pPr>
          </w:p>
        </w:tc>
        <w:tc>
          <w:tcPr>
            <w:tcW w:w="6698" w:type="dxa"/>
            <w:gridSpan w:val="2"/>
            <w:shd w:val="clear" w:color="auto" w:fill="D9E2F3" w:themeFill="accent1" w:themeFillTint="33"/>
          </w:tcPr>
          <w:p w14:paraId="21BC756B" w14:textId="77777777"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t>Zakon o ravnopravnosti spolova</w:t>
            </w:r>
          </w:p>
          <w:p w14:paraId="55F15D7D" w14:textId="77777777"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t>(Narodne novine, br. 82/08 i 69/17)</w:t>
            </w:r>
          </w:p>
        </w:tc>
      </w:tr>
      <w:tr w:rsidR="005F3233" w:rsidRPr="00057759" w14:paraId="359B3B43" w14:textId="77777777" w:rsidTr="005F3233">
        <w:trPr>
          <w:trHeight w:val="910"/>
        </w:trPr>
        <w:tc>
          <w:tcPr>
            <w:tcW w:w="3078" w:type="dxa"/>
            <w:vMerge/>
            <w:shd w:val="clear" w:color="auto" w:fill="F2F2F2" w:themeFill="background1" w:themeFillShade="F2"/>
          </w:tcPr>
          <w:p w14:paraId="38EEDFD9" w14:textId="77777777" w:rsidR="005F3233" w:rsidRPr="00057759" w:rsidRDefault="005F3233" w:rsidP="005F3233">
            <w:pPr>
              <w:spacing w:after="0"/>
              <w:rPr>
                <w:rFonts w:ascii="Times New Roman" w:hAnsi="Times New Roman" w:cs="Times New Roman"/>
                <w:sz w:val="24"/>
                <w:szCs w:val="24"/>
              </w:rPr>
            </w:pPr>
          </w:p>
        </w:tc>
        <w:tc>
          <w:tcPr>
            <w:tcW w:w="6698" w:type="dxa"/>
            <w:gridSpan w:val="2"/>
          </w:tcPr>
          <w:p w14:paraId="251F1CA9" w14:textId="264DF972"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t>Uredilo se pitanje sveobuhvatne zaštite od viktimizacije u cilju potpunog usklađivanja s članka 2. Zakona s odredbom Direktive 2006/54/EZ na način da se dodatno proširio krug osoba koje ulaze u okrilje zaštite jamstva i zabrane diskriminacije , a u svrhu jačanja pravne zaštite žrtava i zaštite svih onih koji su u dobroj vjeri upozorili javnost na slučaj diskriminacije. Zakon je tiskan u nakladi od 10 000 primjeraka.</w:t>
            </w:r>
          </w:p>
        </w:tc>
      </w:tr>
      <w:bookmarkEnd w:id="175"/>
      <w:tr w:rsidR="005F3233" w:rsidRPr="00057759" w14:paraId="7C422144" w14:textId="77777777" w:rsidTr="005F3233">
        <w:trPr>
          <w:trHeight w:val="552"/>
        </w:trPr>
        <w:tc>
          <w:tcPr>
            <w:tcW w:w="3078" w:type="dxa"/>
            <w:vMerge w:val="restart"/>
            <w:shd w:val="clear" w:color="auto" w:fill="F2F2F2" w:themeFill="background1" w:themeFillShade="F2"/>
          </w:tcPr>
          <w:p w14:paraId="1F3D5834" w14:textId="77777777"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lastRenderedPageBreak/>
              <w:t xml:space="preserve">Naziv nacionalnog propisa koji je usklađen s UN Konvencijom o pravima osoba s invaliditetom </w:t>
            </w:r>
          </w:p>
          <w:p w14:paraId="0F6D74B9" w14:textId="77777777" w:rsidR="005F3233" w:rsidRPr="00057759" w:rsidRDefault="005F3233" w:rsidP="005F3233">
            <w:pPr>
              <w:spacing w:after="0"/>
              <w:rPr>
                <w:rFonts w:ascii="Times New Roman" w:hAnsi="Times New Roman" w:cs="Times New Roman"/>
                <w:sz w:val="24"/>
                <w:szCs w:val="24"/>
              </w:rPr>
            </w:pPr>
          </w:p>
          <w:p w14:paraId="752388AA" w14:textId="77777777"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t>U kojem djelu se izvršilo usklađivanje</w:t>
            </w:r>
          </w:p>
          <w:p w14:paraId="6F3EC915" w14:textId="77777777" w:rsidR="005F3233" w:rsidRPr="00057759" w:rsidRDefault="005F3233" w:rsidP="005F3233">
            <w:pPr>
              <w:spacing w:after="0"/>
              <w:rPr>
                <w:rFonts w:ascii="Times New Roman" w:hAnsi="Times New Roman" w:cs="Times New Roman"/>
                <w:sz w:val="24"/>
                <w:szCs w:val="24"/>
              </w:rPr>
            </w:pPr>
          </w:p>
        </w:tc>
        <w:tc>
          <w:tcPr>
            <w:tcW w:w="6698" w:type="dxa"/>
            <w:gridSpan w:val="2"/>
            <w:shd w:val="clear" w:color="auto" w:fill="D9E2F3" w:themeFill="accent1" w:themeFillTint="33"/>
          </w:tcPr>
          <w:p w14:paraId="56B5170D" w14:textId="77777777"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t>Protokol o postupanju u slučaju seksualnog nasilja</w:t>
            </w:r>
          </w:p>
        </w:tc>
      </w:tr>
      <w:tr w:rsidR="005F3233" w:rsidRPr="00057759" w14:paraId="34930195" w14:textId="77777777" w:rsidTr="005F3233">
        <w:trPr>
          <w:trHeight w:val="910"/>
        </w:trPr>
        <w:tc>
          <w:tcPr>
            <w:tcW w:w="3078" w:type="dxa"/>
            <w:vMerge/>
            <w:shd w:val="clear" w:color="auto" w:fill="F2F2F2" w:themeFill="background1" w:themeFillShade="F2"/>
          </w:tcPr>
          <w:p w14:paraId="10031BDA" w14:textId="77777777" w:rsidR="005F3233" w:rsidRPr="00057759" w:rsidRDefault="005F3233" w:rsidP="005F3233">
            <w:pPr>
              <w:spacing w:after="0"/>
              <w:rPr>
                <w:rFonts w:ascii="Times New Roman" w:hAnsi="Times New Roman" w:cs="Times New Roman"/>
                <w:sz w:val="24"/>
                <w:szCs w:val="24"/>
              </w:rPr>
            </w:pPr>
          </w:p>
        </w:tc>
        <w:tc>
          <w:tcPr>
            <w:tcW w:w="6698" w:type="dxa"/>
            <w:gridSpan w:val="2"/>
          </w:tcPr>
          <w:p w14:paraId="1A07B40C" w14:textId="18675220"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t xml:space="preserve">U srpnju 2018 godine Vlada Republike Hrvatske je na prijedlog Ureda za ravnopravnost spolova donijela ažurirani Protokol o postupanju u slučaju seksualnog nasilja koji sadrži obveze nadležnih tijela i drugih čimbenika  koji sudjeluju u otkrivanju i suzbijanju seksualnog nasilja i pružanju pomoći i zaštite osobama izloženim seksualnom nasilju te regulira način i sadržaj suradnje između nadležnih tijela. Ciljevi Protokola su uvođenje standardiziranog postupka prema žrtvama seksualnog nasilja bez obzira na njihovu dob, mjesto u kojem im se nasilje dogodilo spol i /ili druge osobne karakteristike. </w:t>
            </w:r>
          </w:p>
        </w:tc>
      </w:tr>
      <w:tr w:rsidR="005F3233" w:rsidRPr="00057759" w14:paraId="0DC53F48" w14:textId="77777777" w:rsidTr="008C6E0A">
        <w:tc>
          <w:tcPr>
            <w:tcW w:w="3078" w:type="dxa"/>
            <w:shd w:val="clear" w:color="auto" w:fill="F2F2F2" w:themeFill="background1" w:themeFillShade="F2"/>
          </w:tcPr>
          <w:p w14:paraId="06B08713" w14:textId="77777777" w:rsidR="005F3233" w:rsidRPr="00057759" w:rsidRDefault="005F3233" w:rsidP="005F3233">
            <w:pPr>
              <w:spacing w:after="0"/>
              <w:rPr>
                <w:rFonts w:ascii="Times New Roman" w:hAnsi="Times New Roman" w:cs="Times New Roman"/>
                <w:sz w:val="24"/>
                <w:szCs w:val="24"/>
              </w:rPr>
            </w:pPr>
            <w:bookmarkStart w:id="176" w:name="_Hlk42865417"/>
            <w:r w:rsidRPr="00057759">
              <w:rPr>
                <w:rFonts w:ascii="Times New Roman" w:hAnsi="Times New Roman" w:cs="Times New Roman"/>
                <w:sz w:val="24"/>
                <w:szCs w:val="24"/>
              </w:rPr>
              <w:t>Tijelo državne uprave koje dostavlja podatke</w:t>
            </w:r>
          </w:p>
        </w:tc>
        <w:tc>
          <w:tcPr>
            <w:tcW w:w="6698" w:type="dxa"/>
            <w:gridSpan w:val="2"/>
            <w:shd w:val="clear" w:color="auto" w:fill="E2EFD9" w:themeFill="accent6" w:themeFillTint="33"/>
            <w:vAlign w:val="center"/>
          </w:tcPr>
          <w:p w14:paraId="3D3AA47E" w14:textId="77777777"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t>MINISTARSTVO RADA I MIROVINSKOGA SUSTAVA</w:t>
            </w:r>
          </w:p>
        </w:tc>
      </w:tr>
      <w:tr w:rsidR="005F3233" w:rsidRPr="00057759" w14:paraId="6CA52576" w14:textId="77777777" w:rsidTr="005F3233">
        <w:tc>
          <w:tcPr>
            <w:tcW w:w="3078" w:type="dxa"/>
            <w:shd w:val="clear" w:color="auto" w:fill="F2F2F2" w:themeFill="background1" w:themeFillShade="F2"/>
          </w:tcPr>
          <w:p w14:paraId="631967E6" w14:textId="77777777"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t>Ukupan broj propisa u  nadležnosti Ministarstva</w:t>
            </w:r>
          </w:p>
        </w:tc>
        <w:tc>
          <w:tcPr>
            <w:tcW w:w="6698" w:type="dxa"/>
            <w:gridSpan w:val="2"/>
          </w:tcPr>
          <w:p w14:paraId="60B3CBFA" w14:textId="77777777"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t>11 propisa od posebnog interesa za osobe s invaliditetom koji su usklađeni s Konvencijom</w:t>
            </w:r>
          </w:p>
        </w:tc>
      </w:tr>
      <w:tr w:rsidR="005F3233" w:rsidRPr="00057759" w14:paraId="7DAF9CC6" w14:textId="77777777" w:rsidTr="005F3233">
        <w:tc>
          <w:tcPr>
            <w:tcW w:w="3078" w:type="dxa"/>
            <w:shd w:val="clear" w:color="auto" w:fill="F2F2F2" w:themeFill="background1" w:themeFillShade="F2"/>
          </w:tcPr>
          <w:p w14:paraId="169B126F" w14:textId="77777777"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t>Ukupan broj propisa iz Vaše nadležnosti koji je usklađen s UN Konvencijom o pravima osoba s invaliditetom</w:t>
            </w:r>
          </w:p>
        </w:tc>
        <w:tc>
          <w:tcPr>
            <w:tcW w:w="6698" w:type="dxa"/>
            <w:gridSpan w:val="2"/>
          </w:tcPr>
          <w:p w14:paraId="561EFBD2" w14:textId="77777777"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t>11</w:t>
            </w:r>
          </w:p>
        </w:tc>
      </w:tr>
      <w:tr w:rsidR="005F3233" w:rsidRPr="00057759" w14:paraId="0AD3CDBC" w14:textId="77777777" w:rsidTr="005F3233">
        <w:trPr>
          <w:trHeight w:val="841"/>
        </w:trPr>
        <w:tc>
          <w:tcPr>
            <w:tcW w:w="3078" w:type="dxa"/>
            <w:vMerge w:val="restart"/>
            <w:shd w:val="clear" w:color="auto" w:fill="F2F2F2" w:themeFill="background1" w:themeFillShade="F2"/>
          </w:tcPr>
          <w:p w14:paraId="551E50F0" w14:textId="77777777" w:rsidR="005F3233" w:rsidRPr="00057759" w:rsidRDefault="005F3233" w:rsidP="005F3233">
            <w:pPr>
              <w:spacing w:after="0"/>
              <w:rPr>
                <w:rFonts w:ascii="Times New Roman" w:hAnsi="Times New Roman" w:cs="Times New Roman"/>
                <w:sz w:val="24"/>
                <w:szCs w:val="24"/>
              </w:rPr>
            </w:pPr>
            <w:bookmarkStart w:id="177" w:name="_Hlk42861405"/>
            <w:bookmarkStart w:id="178" w:name="_Hlk42861420"/>
            <w:r w:rsidRPr="00057759">
              <w:rPr>
                <w:rFonts w:ascii="Times New Roman" w:hAnsi="Times New Roman" w:cs="Times New Roman"/>
                <w:sz w:val="24"/>
                <w:szCs w:val="24"/>
              </w:rPr>
              <w:t xml:space="preserve">Naziv nacionalnog propisa koji je usklađen s UN Konvencijom o pravima osoba s invaliditetom </w:t>
            </w:r>
          </w:p>
          <w:p w14:paraId="0713EE84" w14:textId="77777777" w:rsidR="005F3233" w:rsidRPr="00057759" w:rsidRDefault="005F3233" w:rsidP="005F3233">
            <w:pPr>
              <w:spacing w:after="0"/>
              <w:rPr>
                <w:rFonts w:ascii="Times New Roman" w:hAnsi="Times New Roman" w:cs="Times New Roman"/>
                <w:sz w:val="24"/>
                <w:szCs w:val="24"/>
              </w:rPr>
            </w:pPr>
          </w:p>
          <w:p w14:paraId="22B203F0" w14:textId="77777777"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t>U kojem djelu se izvršilo usklađivanje</w:t>
            </w:r>
          </w:p>
          <w:p w14:paraId="224DDAB1" w14:textId="77777777" w:rsidR="005F3233" w:rsidRPr="00057759" w:rsidRDefault="005F3233" w:rsidP="005F3233">
            <w:pPr>
              <w:spacing w:after="0"/>
              <w:rPr>
                <w:rFonts w:ascii="Times New Roman" w:hAnsi="Times New Roman" w:cs="Times New Roman"/>
                <w:sz w:val="24"/>
                <w:szCs w:val="24"/>
              </w:rPr>
            </w:pPr>
          </w:p>
        </w:tc>
        <w:tc>
          <w:tcPr>
            <w:tcW w:w="6698" w:type="dxa"/>
            <w:gridSpan w:val="2"/>
            <w:shd w:val="clear" w:color="auto" w:fill="D9E2F3" w:themeFill="accent1" w:themeFillTint="33"/>
          </w:tcPr>
          <w:p w14:paraId="1FCB7D3D" w14:textId="77777777"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t xml:space="preserve">Zakon o radu </w:t>
            </w:r>
          </w:p>
          <w:p w14:paraId="25AD77A5" w14:textId="47077F6E"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t>(Narodne novine, br. 93/14, 127/17 i 98/19)</w:t>
            </w:r>
          </w:p>
        </w:tc>
      </w:tr>
      <w:tr w:rsidR="005F3233" w:rsidRPr="00057759" w14:paraId="0B565C02" w14:textId="77777777" w:rsidTr="005F3233">
        <w:trPr>
          <w:trHeight w:val="910"/>
        </w:trPr>
        <w:tc>
          <w:tcPr>
            <w:tcW w:w="3078" w:type="dxa"/>
            <w:vMerge/>
            <w:shd w:val="clear" w:color="auto" w:fill="F2F2F2" w:themeFill="background1" w:themeFillShade="F2"/>
          </w:tcPr>
          <w:p w14:paraId="7A886223" w14:textId="77777777" w:rsidR="005F3233" w:rsidRPr="00057759" w:rsidRDefault="005F3233" w:rsidP="005F3233">
            <w:pPr>
              <w:spacing w:after="0"/>
              <w:rPr>
                <w:rFonts w:ascii="Times New Roman" w:hAnsi="Times New Roman" w:cs="Times New Roman"/>
                <w:sz w:val="24"/>
                <w:szCs w:val="24"/>
              </w:rPr>
            </w:pPr>
          </w:p>
        </w:tc>
        <w:tc>
          <w:tcPr>
            <w:tcW w:w="6698" w:type="dxa"/>
            <w:gridSpan w:val="2"/>
          </w:tcPr>
          <w:p w14:paraId="5D29C56F" w14:textId="77777777"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t xml:space="preserve">Zabrana izravne i neizravne diskriminacije </w:t>
            </w:r>
          </w:p>
          <w:p w14:paraId="268822BF" w14:textId="77777777"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t>Jednakost plaća žena i muškaraca</w:t>
            </w:r>
          </w:p>
          <w:p w14:paraId="4FA9B0AF" w14:textId="77777777"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t>Zabrana štetnog utjecaja na napredovanje ili ostvarenje drugih prava ( u slučaju ozljede na radu, odnosno profesionalne bolesti)</w:t>
            </w:r>
          </w:p>
          <w:p w14:paraId="3BEC055D" w14:textId="77777777"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t>Prednost pri stručnom osposobljavanju i školovanju (radnik koji je pretrpio ozljedu na radu ili je obolio od profesionalne bolesti)</w:t>
            </w:r>
          </w:p>
          <w:p w14:paraId="689687D1" w14:textId="77777777"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t>Pravo zaposlenja na drugim poslovima (u slučaju smanjenja radne sposobnosti)</w:t>
            </w:r>
          </w:p>
          <w:p w14:paraId="71E53E41" w14:textId="77777777"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t>Otpremnina u slučaju ozljede na radu ili profesionalne bolesti</w:t>
            </w:r>
          </w:p>
          <w:p w14:paraId="029241F2" w14:textId="77777777"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t>Zabrana otkazivanja u slučaju privremene nesposobnosti uzrokovane ozljedom na radu ili profesionalnom bolešću</w:t>
            </w:r>
          </w:p>
          <w:p w14:paraId="3FF89DFB" w14:textId="77777777"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t>Pravo na izbor radničkog vijeća (svih radnika)</w:t>
            </w:r>
          </w:p>
          <w:p w14:paraId="3FD18173" w14:textId="77777777"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t>Suodlučivanje radničkog vijeća o otkazu radniku kod kojeg je zbog ozljede na radu ili profesionalne bolesti došlo do smanjenja radne sposobnosti uz preostalu radnu sposobnost ili do smanjenja radne sposobnosti uz djelomičan gubitak radne sposobnosti, odnosno otkazu radniku osobi s invaliditetom.</w:t>
            </w:r>
          </w:p>
          <w:p w14:paraId="71FCD3CD" w14:textId="05B0750F"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t>Sudska zaštita prava iz radnog odnosa</w:t>
            </w:r>
          </w:p>
        </w:tc>
      </w:tr>
      <w:bookmarkEnd w:id="176"/>
      <w:bookmarkEnd w:id="177"/>
      <w:tr w:rsidR="005F3233" w:rsidRPr="00057759" w14:paraId="129905B9" w14:textId="77777777" w:rsidTr="005F3233">
        <w:trPr>
          <w:trHeight w:val="552"/>
        </w:trPr>
        <w:tc>
          <w:tcPr>
            <w:tcW w:w="3078" w:type="dxa"/>
            <w:vMerge w:val="restart"/>
            <w:shd w:val="clear" w:color="auto" w:fill="F2F2F2" w:themeFill="background1" w:themeFillShade="F2"/>
          </w:tcPr>
          <w:p w14:paraId="0B146803" w14:textId="77777777"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t xml:space="preserve">Naziv nacionalnog propisa koji je usklađen s UN Konvencijom o pravima osoba s invaliditetom </w:t>
            </w:r>
          </w:p>
          <w:p w14:paraId="28E6DFCE" w14:textId="77777777" w:rsidR="005F3233" w:rsidRPr="00057759" w:rsidRDefault="005F3233" w:rsidP="005F3233">
            <w:pPr>
              <w:spacing w:after="0"/>
              <w:rPr>
                <w:rFonts w:ascii="Times New Roman" w:hAnsi="Times New Roman" w:cs="Times New Roman"/>
                <w:sz w:val="24"/>
                <w:szCs w:val="24"/>
              </w:rPr>
            </w:pPr>
          </w:p>
          <w:p w14:paraId="68466D42" w14:textId="4EC64295"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lastRenderedPageBreak/>
              <w:t>U kojem djelu se izvršilo usklađivanje</w:t>
            </w:r>
          </w:p>
        </w:tc>
        <w:tc>
          <w:tcPr>
            <w:tcW w:w="6698" w:type="dxa"/>
            <w:gridSpan w:val="2"/>
            <w:shd w:val="clear" w:color="auto" w:fill="D9E2F3" w:themeFill="accent1" w:themeFillTint="33"/>
          </w:tcPr>
          <w:p w14:paraId="70DA747C" w14:textId="77777777"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lastRenderedPageBreak/>
              <w:t>Zakon o zaštiti na radu</w:t>
            </w:r>
          </w:p>
          <w:p w14:paraId="1335D0D4" w14:textId="2FDF3857"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t>(Narodne novine, br. 71/14, 118/14, 154/14, 94/18 i 96/18)</w:t>
            </w:r>
          </w:p>
        </w:tc>
      </w:tr>
      <w:tr w:rsidR="005F3233" w:rsidRPr="00057759" w14:paraId="2F9F3E8F" w14:textId="77777777" w:rsidTr="005F3233">
        <w:trPr>
          <w:trHeight w:val="910"/>
        </w:trPr>
        <w:tc>
          <w:tcPr>
            <w:tcW w:w="3078" w:type="dxa"/>
            <w:vMerge/>
            <w:shd w:val="clear" w:color="auto" w:fill="F2F2F2" w:themeFill="background1" w:themeFillShade="F2"/>
          </w:tcPr>
          <w:p w14:paraId="137D403C" w14:textId="77777777" w:rsidR="005F3233" w:rsidRPr="00057759" w:rsidRDefault="005F3233" w:rsidP="005F3233">
            <w:pPr>
              <w:spacing w:after="0"/>
              <w:rPr>
                <w:rFonts w:ascii="Times New Roman" w:hAnsi="Times New Roman" w:cs="Times New Roman"/>
                <w:sz w:val="24"/>
                <w:szCs w:val="24"/>
              </w:rPr>
            </w:pPr>
          </w:p>
        </w:tc>
        <w:tc>
          <w:tcPr>
            <w:tcW w:w="6698" w:type="dxa"/>
            <w:gridSpan w:val="2"/>
          </w:tcPr>
          <w:p w14:paraId="72B619E8" w14:textId="77777777" w:rsidR="00C84654" w:rsidRDefault="00C84654" w:rsidP="005F3233">
            <w:pPr>
              <w:spacing w:after="0"/>
              <w:rPr>
                <w:rFonts w:ascii="Times New Roman" w:hAnsi="Times New Roman" w:cs="Times New Roman"/>
                <w:sz w:val="24"/>
                <w:szCs w:val="24"/>
              </w:rPr>
            </w:pPr>
          </w:p>
          <w:p w14:paraId="4715EFD9" w14:textId="218126B1"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t>Sigurni, zdravi i povoljni uvjeti rada te osiguranje prihvatljive prilagodbe okruženja na mjestu rada</w:t>
            </w:r>
          </w:p>
        </w:tc>
      </w:tr>
      <w:bookmarkEnd w:id="178"/>
      <w:tr w:rsidR="005F3233" w:rsidRPr="00057759" w14:paraId="32DB835D" w14:textId="77777777" w:rsidTr="005F3233">
        <w:trPr>
          <w:trHeight w:val="552"/>
        </w:trPr>
        <w:tc>
          <w:tcPr>
            <w:tcW w:w="3078" w:type="dxa"/>
            <w:vMerge w:val="restart"/>
            <w:shd w:val="clear" w:color="auto" w:fill="F2F2F2" w:themeFill="background1" w:themeFillShade="F2"/>
          </w:tcPr>
          <w:p w14:paraId="0B2FCEEA" w14:textId="77777777"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t xml:space="preserve">Naziv nacionalnog propisa koji je usklađen s UN Konvencijom o pravima osoba s invaliditetom </w:t>
            </w:r>
          </w:p>
          <w:p w14:paraId="4421AE1D" w14:textId="77777777" w:rsidR="005F3233" w:rsidRPr="00057759" w:rsidRDefault="005F3233" w:rsidP="005F3233">
            <w:pPr>
              <w:spacing w:after="0"/>
              <w:rPr>
                <w:rFonts w:ascii="Times New Roman" w:hAnsi="Times New Roman" w:cs="Times New Roman"/>
                <w:sz w:val="24"/>
                <w:szCs w:val="24"/>
              </w:rPr>
            </w:pPr>
          </w:p>
          <w:p w14:paraId="5B2176D6" w14:textId="77777777"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t>U kojem djelu se izvršilo usklađivanje</w:t>
            </w:r>
          </w:p>
          <w:p w14:paraId="2DD8C397" w14:textId="77777777" w:rsidR="005F3233" w:rsidRPr="00057759" w:rsidRDefault="005F3233" w:rsidP="005F3233">
            <w:pPr>
              <w:spacing w:after="0"/>
              <w:rPr>
                <w:rFonts w:ascii="Times New Roman" w:hAnsi="Times New Roman" w:cs="Times New Roman"/>
                <w:sz w:val="24"/>
                <w:szCs w:val="24"/>
              </w:rPr>
            </w:pPr>
          </w:p>
        </w:tc>
        <w:tc>
          <w:tcPr>
            <w:tcW w:w="6698" w:type="dxa"/>
            <w:gridSpan w:val="2"/>
            <w:shd w:val="clear" w:color="auto" w:fill="D9E2F3" w:themeFill="accent1" w:themeFillTint="33"/>
          </w:tcPr>
          <w:p w14:paraId="6FD43525" w14:textId="77777777"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t xml:space="preserve">Zakon o profesionalnoj rehabilitaciji i zapošljavanju osoba s invaliditetom </w:t>
            </w:r>
          </w:p>
          <w:p w14:paraId="3B07BC9C" w14:textId="77777777"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t>(Narodne novine, br. 157/13, 152/14 i 39/18)</w:t>
            </w:r>
          </w:p>
        </w:tc>
      </w:tr>
      <w:tr w:rsidR="005F3233" w:rsidRPr="00057759" w14:paraId="3C287F26" w14:textId="77777777" w:rsidTr="005F3233">
        <w:trPr>
          <w:trHeight w:val="910"/>
        </w:trPr>
        <w:tc>
          <w:tcPr>
            <w:tcW w:w="3078" w:type="dxa"/>
            <w:vMerge/>
            <w:shd w:val="clear" w:color="auto" w:fill="F2F2F2" w:themeFill="background1" w:themeFillShade="F2"/>
          </w:tcPr>
          <w:p w14:paraId="2A4B66B2" w14:textId="77777777" w:rsidR="005F3233" w:rsidRPr="00057759" w:rsidRDefault="005F3233" w:rsidP="005F3233">
            <w:pPr>
              <w:spacing w:after="0"/>
              <w:rPr>
                <w:rFonts w:ascii="Times New Roman" w:hAnsi="Times New Roman" w:cs="Times New Roman"/>
                <w:sz w:val="24"/>
                <w:szCs w:val="24"/>
              </w:rPr>
            </w:pPr>
          </w:p>
        </w:tc>
        <w:tc>
          <w:tcPr>
            <w:tcW w:w="6698" w:type="dxa"/>
            <w:gridSpan w:val="2"/>
          </w:tcPr>
          <w:p w14:paraId="4D010BA4" w14:textId="26F5275F"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t xml:space="preserve">Propisana je definicija osobe s invaliditetom, omogućeno je uključivanje osoba s invaliditetom u usluge profesionalne rehabilitacije, uvedeni su različiti modeli zapošljavanja osoba s invaliditetom na otvorenom tržištu rada te u zaštitnim i integrativnim radionicama, propisana je obveza poslodavca da osigura razumnu prilagodbu prilikom zapošljavanja osobe s invaliditetom, omogućena je prednost pri zapošljavanju osoba s invaliditetom u javnom sektoru, uveden je </w:t>
            </w:r>
            <w:proofErr w:type="spellStart"/>
            <w:r w:rsidRPr="00057759">
              <w:rPr>
                <w:rFonts w:ascii="Times New Roman" w:hAnsi="Times New Roman" w:cs="Times New Roman"/>
                <w:sz w:val="24"/>
                <w:szCs w:val="24"/>
              </w:rPr>
              <w:t>kvotni</w:t>
            </w:r>
            <w:proofErr w:type="spellEnd"/>
            <w:r w:rsidRPr="00057759">
              <w:rPr>
                <w:rFonts w:ascii="Times New Roman" w:hAnsi="Times New Roman" w:cs="Times New Roman"/>
                <w:sz w:val="24"/>
                <w:szCs w:val="24"/>
              </w:rPr>
              <w:t xml:space="preserve"> sustav zapošljavanja osoba s invaliditetom u javnom i u privatnom sektoru, te je dana mogućnost korištenja različitih vrsta poticaja prilikom njihovog zapošljavanja.</w:t>
            </w:r>
          </w:p>
        </w:tc>
      </w:tr>
      <w:tr w:rsidR="005F3233" w:rsidRPr="00057759" w14:paraId="6F25CD53" w14:textId="77777777" w:rsidTr="005F3233">
        <w:trPr>
          <w:trHeight w:val="552"/>
        </w:trPr>
        <w:tc>
          <w:tcPr>
            <w:tcW w:w="3078" w:type="dxa"/>
            <w:vMerge w:val="restart"/>
            <w:shd w:val="clear" w:color="auto" w:fill="F2F2F2" w:themeFill="background1" w:themeFillShade="F2"/>
          </w:tcPr>
          <w:p w14:paraId="78A2B635" w14:textId="77777777"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t xml:space="preserve">Naziv nacionalnog propisa koji je usklađen s UN Konvencijom o pravima osoba s invaliditetom </w:t>
            </w:r>
          </w:p>
          <w:p w14:paraId="1535148E" w14:textId="77777777" w:rsidR="005F3233" w:rsidRPr="00057759" w:rsidRDefault="005F3233" w:rsidP="005F3233">
            <w:pPr>
              <w:spacing w:after="0"/>
              <w:rPr>
                <w:rFonts w:ascii="Times New Roman" w:hAnsi="Times New Roman" w:cs="Times New Roman"/>
                <w:sz w:val="24"/>
                <w:szCs w:val="24"/>
              </w:rPr>
            </w:pPr>
          </w:p>
          <w:p w14:paraId="30624475" w14:textId="77777777"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t>U kojem djelu se izvršilo usklađivanje</w:t>
            </w:r>
          </w:p>
          <w:p w14:paraId="44E9112C" w14:textId="77777777" w:rsidR="005F3233" w:rsidRPr="00057759" w:rsidRDefault="005F3233" w:rsidP="005F3233">
            <w:pPr>
              <w:spacing w:after="0"/>
              <w:rPr>
                <w:rFonts w:ascii="Times New Roman" w:hAnsi="Times New Roman" w:cs="Times New Roman"/>
                <w:sz w:val="24"/>
                <w:szCs w:val="24"/>
              </w:rPr>
            </w:pPr>
          </w:p>
        </w:tc>
        <w:tc>
          <w:tcPr>
            <w:tcW w:w="6698" w:type="dxa"/>
            <w:gridSpan w:val="2"/>
            <w:shd w:val="clear" w:color="auto" w:fill="D9E2F3" w:themeFill="accent1" w:themeFillTint="33"/>
          </w:tcPr>
          <w:p w14:paraId="3C44A891" w14:textId="77777777"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t xml:space="preserve">Pravilnik o utvrđivanju kvote za zapošljavanje osoba s invaliditetom </w:t>
            </w:r>
          </w:p>
          <w:p w14:paraId="31038583" w14:textId="77777777"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t>(Narodne novine, br. 75/18 i 120/18)</w:t>
            </w:r>
          </w:p>
        </w:tc>
      </w:tr>
      <w:tr w:rsidR="005F3233" w:rsidRPr="00057759" w14:paraId="57E3ABEC" w14:textId="77777777" w:rsidTr="005F3233">
        <w:trPr>
          <w:trHeight w:val="910"/>
        </w:trPr>
        <w:tc>
          <w:tcPr>
            <w:tcW w:w="3078" w:type="dxa"/>
            <w:vMerge/>
            <w:shd w:val="clear" w:color="auto" w:fill="F2F2F2" w:themeFill="background1" w:themeFillShade="F2"/>
          </w:tcPr>
          <w:p w14:paraId="1842E815" w14:textId="77777777" w:rsidR="005F3233" w:rsidRPr="00057759" w:rsidRDefault="005F3233" w:rsidP="005F3233">
            <w:pPr>
              <w:spacing w:after="0"/>
              <w:rPr>
                <w:rFonts w:ascii="Times New Roman" w:hAnsi="Times New Roman" w:cs="Times New Roman"/>
                <w:sz w:val="24"/>
                <w:szCs w:val="24"/>
              </w:rPr>
            </w:pPr>
          </w:p>
        </w:tc>
        <w:tc>
          <w:tcPr>
            <w:tcW w:w="6698" w:type="dxa"/>
            <w:gridSpan w:val="2"/>
          </w:tcPr>
          <w:p w14:paraId="59CE3C14" w14:textId="77777777"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t xml:space="preserve">Uređen je </w:t>
            </w:r>
            <w:proofErr w:type="spellStart"/>
            <w:r w:rsidRPr="00057759">
              <w:rPr>
                <w:rFonts w:ascii="Times New Roman" w:hAnsi="Times New Roman" w:cs="Times New Roman"/>
                <w:sz w:val="24"/>
                <w:szCs w:val="24"/>
              </w:rPr>
              <w:t>kvotni</w:t>
            </w:r>
            <w:proofErr w:type="spellEnd"/>
            <w:r w:rsidRPr="00057759">
              <w:rPr>
                <w:rFonts w:ascii="Times New Roman" w:hAnsi="Times New Roman" w:cs="Times New Roman"/>
                <w:sz w:val="24"/>
                <w:szCs w:val="24"/>
              </w:rPr>
              <w:t xml:space="preserve"> sustav zapošljavanja osoba s invaliditetom u javnom i u privatnom sektoru koji, osim zapošljavanja osoba s invaliditetom, podrazumijeva i mogućnost korištenja niza različitih zamjenskih kvota (sklapanje ugovora o poslovnoj suradnji sa zaštitnim i integrativnim radionicama, sklapanje ugovora o poslovnoj suradnji s osobom s invaliditetom koja se </w:t>
            </w:r>
            <w:proofErr w:type="spellStart"/>
            <w:r w:rsidRPr="00057759">
              <w:rPr>
                <w:rFonts w:ascii="Times New Roman" w:hAnsi="Times New Roman" w:cs="Times New Roman"/>
                <w:sz w:val="24"/>
                <w:szCs w:val="24"/>
              </w:rPr>
              <w:t>samozapošljava</w:t>
            </w:r>
            <w:proofErr w:type="spellEnd"/>
            <w:r w:rsidRPr="00057759">
              <w:rPr>
                <w:rFonts w:ascii="Times New Roman" w:hAnsi="Times New Roman" w:cs="Times New Roman"/>
                <w:sz w:val="24"/>
                <w:szCs w:val="24"/>
              </w:rPr>
              <w:t>, primanje na praksu osoba s invaliditetom, stipendiranje njihovog obrazovanja i dr. )</w:t>
            </w:r>
          </w:p>
        </w:tc>
      </w:tr>
      <w:tr w:rsidR="005F3233" w:rsidRPr="00057759" w14:paraId="3B2F5968" w14:textId="77777777" w:rsidTr="005F3233">
        <w:trPr>
          <w:trHeight w:val="552"/>
        </w:trPr>
        <w:tc>
          <w:tcPr>
            <w:tcW w:w="3078" w:type="dxa"/>
            <w:vMerge w:val="restart"/>
            <w:shd w:val="clear" w:color="auto" w:fill="F2F2F2" w:themeFill="background1" w:themeFillShade="F2"/>
          </w:tcPr>
          <w:p w14:paraId="544762B6" w14:textId="77777777"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t xml:space="preserve">Naziv nacionalnog propisa koji je usklađen s UN Konvencijom o pravima osoba s invaliditetom </w:t>
            </w:r>
          </w:p>
          <w:p w14:paraId="51A2C21F" w14:textId="77777777" w:rsidR="005F3233" w:rsidRPr="00057759" w:rsidRDefault="005F3233" w:rsidP="005F3233">
            <w:pPr>
              <w:spacing w:after="0"/>
              <w:rPr>
                <w:rFonts w:ascii="Times New Roman" w:hAnsi="Times New Roman" w:cs="Times New Roman"/>
                <w:sz w:val="24"/>
                <w:szCs w:val="24"/>
              </w:rPr>
            </w:pPr>
          </w:p>
          <w:p w14:paraId="6BFE0F94" w14:textId="77777777"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t>U kojem djelu se izvršilo usklađivanje</w:t>
            </w:r>
          </w:p>
          <w:p w14:paraId="0CA88553" w14:textId="77777777" w:rsidR="005F3233" w:rsidRPr="00057759" w:rsidRDefault="005F3233" w:rsidP="005F3233">
            <w:pPr>
              <w:spacing w:after="0"/>
              <w:rPr>
                <w:rFonts w:ascii="Times New Roman" w:hAnsi="Times New Roman" w:cs="Times New Roman"/>
                <w:sz w:val="24"/>
                <w:szCs w:val="24"/>
              </w:rPr>
            </w:pPr>
          </w:p>
        </w:tc>
        <w:tc>
          <w:tcPr>
            <w:tcW w:w="6698" w:type="dxa"/>
            <w:gridSpan w:val="2"/>
            <w:shd w:val="clear" w:color="auto" w:fill="D9E2F3" w:themeFill="accent1" w:themeFillTint="33"/>
          </w:tcPr>
          <w:p w14:paraId="380F6BA3" w14:textId="77777777"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t xml:space="preserve">Pravilnik o poticajima pri zapošljavanju osoba s invaliditetom </w:t>
            </w:r>
          </w:p>
          <w:p w14:paraId="42A125AE" w14:textId="77777777"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t xml:space="preserve">(Narodne novine, br. 75/18 i 120/18) </w:t>
            </w:r>
          </w:p>
        </w:tc>
      </w:tr>
      <w:tr w:rsidR="005F3233" w:rsidRPr="00057759" w14:paraId="53CFCD48" w14:textId="77777777" w:rsidTr="005F3233">
        <w:trPr>
          <w:trHeight w:val="910"/>
        </w:trPr>
        <w:tc>
          <w:tcPr>
            <w:tcW w:w="3078" w:type="dxa"/>
            <w:vMerge/>
            <w:shd w:val="clear" w:color="auto" w:fill="F2F2F2" w:themeFill="background1" w:themeFillShade="F2"/>
          </w:tcPr>
          <w:p w14:paraId="2285B26A" w14:textId="77777777" w:rsidR="005F3233" w:rsidRPr="00057759" w:rsidRDefault="005F3233" w:rsidP="005F3233">
            <w:pPr>
              <w:spacing w:after="0"/>
              <w:rPr>
                <w:rFonts w:ascii="Times New Roman" w:hAnsi="Times New Roman" w:cs="Times New Roman"/>
                <w:sz w:val="24"/>
                <w:szCs w:val="24"/>
              </w:rPr>
            </w:pPr>
          </w:p>
        </w:tc>
        <w:tc>
          <w:tcPr>
            <w:tcW w:w="6698" w:type="dxa"/>
            <w:gridSpan w:val="2"/>
          </w:tcPr>
          <w:p w14:paraId="7E1A58DB" w14:textId="77777777"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t xml:space="preserve">Propisana je mogućnost korištenja različitih vrsta poticaja za zapošljavanje osoba s invaliditetom  kako za poslodavce na otvorenom tržištu rada tako i za osobe s invaliditetom koje se </w:t>
            </w:r>
            <w:proofErr w:type="spellStart"/>
            <w:r w:rsidRPr="00057759">
              <w:rPr>
                <w:rFonts w:ascii="Times New Roman" w:hAnsi="Times New Roman" w:cs="Times New Roman"/>
                <w:sz w:val="24"/>
                <w:szCs w:val="24"/>
              </w:rPr>
              <w:t>samozapošljavaju</w:t>
            </w:r>
            <w:proofErr w:type="spellEnd"/>
            <w:r w:rsidRPr="00057759">
              <w:rPr>
                <w:rFonts w:ascii="Times New Roman" w:hAnsi="Times New Roman" w:cs="Times New Roman"/>
                <w:sz w:val="24"/>
                <w:szCs w:val="24"/>
              </w:rPr>
              <w:t xml:space="preserve"> te za zaštitne i integrativne radionice (subvencija plaće, sufinanciranje troškova arhitektonske i /ili tehničke prilagodbe, stručna podrška na radnom mjestu i dr.)</w:t>
            </w:r>
          </w:p>
        </w:tc>
      </w:tr>
      <w:tr w:rsidR="005F3233" w:rsidRPr="00057759" w14:paraId="33C92719" w14:textId="77777777" w:rsidTr="005F3233">
        <w:trPr>
          <w:trHeight w:val="552"/>
        </w:trPr>
        <w:tc>
          <w:tcPr>
            <w:tcW w:w="3078" w:type="dxa"/>
            <w:vMerge w:val="restart"/>
            <w:shd w:val="clear" w:color="auto" w:fill="F2F2F2" w:themeFill="background1" w:themeFillShade="F2"/>
          </w:tcPr>
          <w:p w14:paraId="66032995" w14:textId="77777777"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t xml:space="preserve">Naziv nacionalnog propisa koji je usklađen s UN Konvencijom o pravima osoba s invaliditetom </w:t>
            </w:r>
          </w:p>
          <w:p w14:paraId="225F1E95" w14:textId="77777777" w:rsidR="005F3233" w:rsidRPr="00057759" w:rsidRDefault="005F3233" w:rsidP="005F3233">
            <w:pPr>
              <w:spacing w:after="0"/>
              <w:rPr>
                <w:rFonts w:ascii="Times New Roman" w:hAnsi="Times New Roman" w:cs="Times New Roman"/>
                <w:sz w:val="24"/>
                <w:szCs w:val="24"/>
              </w:rPr>
            </w:pPr>
          </w:p>
          <w:p w14:paraId="362511B9" w14:textId="77777777"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t>U kojem djelu se izvršilo usklađivanje</w:t>
            </w:r>
          </w:p>
          <w:p w14:paraId="4725A6A5" w14:textId="77777777" w:rsidR="005F3233" w:rsidRPr="00057759" w:rsidRDefault="005F3233" w:rsidP="005F3233">
            <w:pPr>
              <w:spacing w:after="0"/>
              <w:rPr>
                <w:rFonts w:ascii="Times New Roman" w:hAnsi="Times New Roman" w:cs="Times New Roman"/>
                <w:sz w:val="24"/>
                <w:szCs w:val="24"/>
              </w:rPr>
            </w:pPr>
          </w:p>
        </w:tc>
        <w:tc>
          <w:tcPr>
            <w:tcW w:w="6698" w:type="dxa"/>
            <w:gridSpan w:val="2"/>
            <w:shd w:val="clear" w:color="auto" w:fill="D9E2F3" w:themeFill="accent1" w:themeFillTint="33"/>
          </w:tcPr>
          <w:p w14:paraId="0A76E9E0" w14:textId="77777777"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t>Pravilnik o sadržaju i načinu vođenja očevidnika zaposlenih osoba s invaliditetom</w:t>
            </w:r>
          </w:p>
          <w:p w14:paraId="0EF6F95D" w14:textId="77777777"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t>(Narodne novine, broj 75/18)</w:t>
            </w:r>
          </w:p>
        </w:tc>
      </w:tr>
      <w:tr w:rsidR="005F3233" w:rsidRPr="00057759" w14:paraId="244E150F" w14:textId="77777777" w:rsidTr="005F3233">
        <w:trPr>
          <w:trHeight w:val="910"/>
        </w:trPr>
        <w:tc>
          <w:tcPr>
            <w:tcW w:w="3078" w:type="dxa"/>
            <w:vMerge/>
            <w:shd w:val="clear" w:color="auto" w:fill="F2F2F2" w:themeFill="background1" w:themeFillShade="F2"/>
          </w:tcPr>
          <w:p w14:paraId="46EDBA68" w14:textId="77777777" w:rsidR="005F3233" w:rsidRPr="00057759" w:rsidRDefault="005F3233" w:rsidP="005F3233">
            <w:pPr>
              <w:spacing w:after="0"/>
              <w:rPr>
                <w:rFonts w:ascii="Times New Roman" w:hAnsi="Times New Roman" w:cs="Times New Roman"/>
                <w:sz w:val="24"/>
                <w:szCs w:val="24"/>
              </w:rPr>
            </w:pPr>
          </w:p>
        </w:tc>
        <w:tc>
          <w:tcPr>
            <w:tcW w:w="6698" w:type="dxa"/>
            <w:gridSpan w:val="2"/>
          </w:tcPr>
          <w:p w14:paraId="2914F6D5" w14:textId="77777777"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t>Propisano je vođenje očevidnika zaposlenih osoba s invaliditetom pri Hrvatskom zavodu za mirovinsko osiguranje, a kako bi se utvrdilo stvarno stanje zaposlenosti osoba s invaliditetom te kako bi se mogle razvijati utemeljene politike i programi zapošljavanja ove kategorije osoba.</w:t>
            </w:r>
          </w:p>
        </w:tc>
      </w:tr>
      <w:tr w:rsidR="005F3233" w:rsidRPr="00057759" w14:paraId="1DF0FEBD" w14:textId="77777777" w:rsidTr="005F3233">
        <w:trPr>
          <w:trHeight w:val="552"/>
        </w:trPr>
        <w:tc>
          <w:tcPr>
            <w:tcW w:w="3078" w:type="dxa"/>
            <w:vMerge w:val="restart"/>
            <w:shd w:val="clear" w:color="auto" w:fill="F2F2F2" w:themeFill="background1" w:themeFillShade="F2"/>
          </w:tcPr>
          <w:p w14:paraId="628AA575" w14:textId="77777777"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t xml:space="preserve">Naziv nacionalnog propisa koji je usklađen s UN </w:t>
            </w:r>
            <w:r w:rsidRPr="00057759">
              <w:rPr>
                <w:rFonts w:ascii="Times New Roman" w:hAnsi="Times New Roman" w:cs="Times New Roman"/>
                <w:sz w:val="24"/>
                <w:szCs w:val="24"/>
              </w:rPr>
              <w:lastRenderedPageBreak/>
              <w:t xml:space="preserve">Konvencijom o pravima osoba s invaliditetom </w:t>
            </w:r>
          </w:p>
          <w:p w14:paraId="7BFA5E81" w14:textId="77777777" w:rsidR="005F3233" w:rsidRPr="00057759" w:rsidRDefault="005F3233" w:rsidP="005F3233">
            <w:pPr>
              <w:spacing w:after="0"/>
              <w:rPr>
                <w:rFonts w:ascii="Times New Roman" w:hAnsi="Times New Roman" w:cs="Times New Roman"/>
                <w:sz w:val="24"/>
                <w:szCs w:val="24"/>
              </w:rPr>
            </w:pPr>
          </w:p>
          <w:p w14:paraId="128B96C1" w14:textId="25F427CD"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t>U kojem djelu se izvršilo usklađivanje</w:t>
            </w:r>
          </w:p>
        </w:tc>
        <w:tc>
          <w:tcPr>
            <w:tcW w:w="6698" w:type="dxa"/>
            <w:gridSpan w:val="2"/>
            <w:shd w:val="clear" w:color="auto" w:fill="D9E2F3" w:themeFill="accent1" w:themeFillTint="33"/>
          </w:tcPr>
          <w:p w14:paraId="10232A68" w14:textId="77777777"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lastRenderedPageBreak/>
              <w:t xml:space="preserve">Pravilnik o profesionalnoj rehabilitaciji i centrima za profesionalnu rehabilitaciju osoba s invaliditetom </w:t>
            </w:r>
          </w:p>
          <w:p w14:paraId="301E856A" w14:textId="77777777"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lastRenderedPageBreak/>
              <w:t>(Narodne novine, broj 75/18)</w:t>
            </w:r>
          </w:p>
        </w:tc>
      </w:tr>
      <w:tr w:rsidR="005F3233" w:rsidRPr="00057759" w14:paraId="6789EECC" w14:textId="77777777" w:rsidTr="005F3233">
        <w:trPr>
          <w:trHeight w:val="910"/>
        </w:trPr>
        <w:tc>
          <w:tcPr>
            <w:tcW w:w="3078" w:type="dxa"/>
            <w:vMerge/>
            <w:shd w:val="clear" w:color="auto" w:fill="F2F2F2" w:themeFill="background1" w:themeFillShade="F2"/>
          </w:tcPr>
          <w:p w14:paraId="41695A39" w14:textId="77777777" w:rsidR="005F3233" w:rsidRPr="00057759" w:rsidRDefault="005F3233" w:rsidP="005F3233">
            <w:pPr>
              <w:spacing w:after="0"/>
              <w:rPr>
                <w:rFonts w:ascii="Times New Roman" w:hAnsi="Times New Roman" w:cs="Times New Roman"/>
                <w:sz w:val="24"/>
                <w:szCs w:val="24"/>
              </w:rPr>
            </w:pPr>
          </w:p>
        </w:tc>
        <w:tc>
          <w:tcPr>
            <w:tcW w:w="6698" w:type="dxa"/>
            <w:gridSpan w:val="2"/>
          </w:tcPr>
          <w:p w14:paraId="01B71414" w14:textId="77777777"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t xml:space="preserve">Uređuje se rad centara za profesionalnu rehabilitaciju, odnosno provedba različitih usluga profesionalne rehabilitacije koje se temelje na multidisciplinarnom pristupu, uz uvažavanje individualnih potreba i mogućnosti svake osobe s invaliditetom, kao i potreba lokalnog tržišta rada. </w:t>
            </w:r>
          </w:p>
        </w:tc>
      </w:tr>
      <w:tr w:rsidR="005F3233" w:rsidRPr="00057759" w14:paraId="768AAF91" w14:textId="77777777" w:rsidTr="005F3233">
        <w:trPr>
          <w:trHeight w:val="978"/>
        </w:trPr>
        <w:tc>
          <w:tcPr>
            <w:tcW w:w="3078" w:type="dxa"/>
            <w:vMerge w:val="restart"/>
            <w:shd w:val="clear" w:color="auto" w:fill="F2F2F2" w:themeFill="background1" w:themeFillShade="F2"/>
          </w:tcPr>
          <w:p w14:paraId="319AF668" w14:textId="77777777"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t xml:space="preserve">Naziv nacionalnog propisa koji je usklađen s UN Konvencijom o pravima osoba s invaliditetom </w:t>
            </w:r>
          </w:p>
          <w:p w14:paraId="20EBCCA6" w14:textId="77777777" w:rsidR="005F3233" w:rsidRPr="00057759" w:rsidRDefault="005F3233" w:rsidP="005F3233">
            <w:pPr>
              <w:spacing w:after="0"/>
              <w:rPr>
                <w:rFonts w:ascii="Times New Roman" w:hAnsi="Times New Roman" w:cs="Times New Roman"/>
                <w:sz w:val="24"/>
                <w:szCs w:val="24"/>
              </w:rPr>
            </w:pPr>
          </w:p>
          <w:p w14:paraId="30D50123" w14:textId="5D87689C"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t>U kojem djelu se izvršilo usklađivanje</w:t>
            </w:r>
          </w:p>
        </w:tc>
        <w:tc>
          <w:tcPr>
            <w:tcW w:w="6698" w:type="dxa"/>
            <w:gridSpan w:val="2"/>
            <w:shd w:val="clear" w:color="auto" w:fill="D9E2F3" w:themeFill="accent1" w:themeFillTint="33"/>
          </w:tcPr>
          <w:p w14:paraId="76996511" w14:textId="77777777"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t xml:space="preserve">Pravilnik o zaštitnim radionicama i integrativnim radionicama za zapošljavanje osoba s invaliditetom </w:t>
            </w:r>
          </w:p>
          <w:p w14:paraId="75C736B5" w14:textId="77777777"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t>(Narodne novine, broj 75/18)</w:t>
            </w:r>
          </w:p>
        </w:tc>
      </w:tr>
      <w:tr w:rsidR="005F3233" w:rsidRPr="00057759" w14:paraId="0D467C38" w14:textId="77777777" w:rsidTr="005F3233">
        <w:trPr>
          <w:trHeight w:val="978"/>
        </w:trPr>
        <w:tc>
          <w:tcPr>
            <w:tcW w:w="3078" w:type="dxa"/>
            <w:vMerge/>
            <w:shd w:val="clear" w:color="auto" w:fill="F2F2F2" w:themeFill="background1" w:themeFillShade="F2"/>
          </w:tcPr>
          <w:p w14:paraId="417E4A95" w14:textId="77777777" w:rsidR="005F3233" w:rsidRPr="00057759" w:rsidRDefault="005F3233" w:rsidP="005F3233">
            <w:pPr>
              <w:spacing w:after="0"/>
              <w:rPr>
                <w:rFonts w:ascii="Times New Roman" w:hAnsi="Times New Roman" w:cs="Times New Roman"/>
                <w:sz w:val="24"/>
                <w:szCs w:val="24"/>
              </w:rPr>
            </w:pPr>
          </w:p>
        </w:tc>
        <w:tc>
          <w:tcPr>
            <w:tcW w:w="6698" w:type="dxa"/>
            <w:gridSpan w:val="2"/>
            <w:shd w:val="clear" w:color="auto" w:fill="FFFFFF" w:themeFill="background1"/>
          </w:tcPr>
          <w:p w14:paraId="2500082D" w14:textId="77777777"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t xml:space="preserve">Uređuje se rad zaštitnih radionica i integrativnih radionica koje se osnivaju u svrhu zapošljavanja osoba s invaliditetom koje nisu </w:t>
            </w:r>
            <w:proofErr w:type="spellStart"/>
            <w:r w:rsidRPr="00057759">
              <w:rPr>
                <w:rFonts w:ascii="Times New Roman" w:hAnsi="Times New Roman" w:cs="Times New Roman"/>
                <w:sz w:val="24"/>
                <w:szCs w:val="24"/>
              </w:rPr>
              <w:t>zapošljive</w:t>
            </w:r>
            <w:proofErr w:type="spellEnd"/>
            <w:r w:rsidRPr="00057759">
              <w:rPr>
                <w:rFonts w:ascii="Times New Roman" w:hAnsi="Times New Roman" w:cs="Times New Roman"/>
                <w:sz w:val="24"/>
                <w:szCs w:val="24"/>
              </w:rPr>
              <w:t xml:space="preserve"> na otvorenom tržištu rada, odnosno kojima je potreban veći stupanj podrške</w:t>
            </w:r>
          </w:p>
        </w:tc>
      </w:tr>
      <w:tr w:rsidR="005F3233" w:rsidRPr="00057759" w14:paraId="7008B46B" w14:textId="77777777" w:rsidTr="005F3233">
        <w:trPr>
          <w:trHeight w:val="552"/>
        </w:trPr>
        <w:tc>
          <w:tcPr>
            <w:tcW w:w="3078" w:type="dxa"/>
            <w:vMerge w:val="restart"/>
            <w:shd w:val="clear" w:color="auto" w:fill="F2F2F2" w:themeFill="background1" w:themeFillShade="F2"/>
          </w:tcPr>
          <w:p w14:paraId="641829F6" w14:textId="77777777" w:rsidR="005F3233" w:rsidRPr="00057759" w:rsidRDefault="005F3233" w:rsidP="005F3233">
            <w:pPr>
              <w:spacing w:after="0"/>
              <w:rPr>
                <w:rFonts w:ascii="Times New Roman" w:hAnsi="Times New Roman" w:cs="Times New Roman"/>
                <w:sz w:val="24"/>
                <w:szCs w:val="24"/>
              </w:rPr>
            </w:pPr>
            <w:bookmarkStart w:id="179" w:name="_Hlk42863807"/>
            <w:r w:rsidRPr="00057759">
              <w:rPr>
                <w:rFonts w:ascii="Times New Roman" w:hAnsi="Times New Roman" w:cs="Times New Roman"/>
                <w:sz w:val="24"/>
                <w:szCs w:val="24"/>
              </w:rPr>
              <w:t xml:space="preserve">Naziv nacionalnog propisa koji je usklađen s UN Konvencijom o pravima osoba s invaliditetom </w:t>
            </w:r>
          </w:p>
          <w:p w14:paraId="0E0EB65C" w14:textId="77777777" w:rsidR="005F3233" w:rsidRPr="00057759" w:rsidRDefault="005F3233" w:rsidP="005F3233">
            <w:pPr>
              <w:spacing w:after="0"/>
              <w:rPr>
                <w:rFonts w:ascii="Times New Roman" w:hAnsi="Times New Roman" w:cs="Times New Roman"/>
                <w:sz w:val="24"/>
                <w:szCs w:val="24"/>
              </w:rPr>
            </w:pPr>
          </w:p>
          <w:p w14:paraId="6576A1CA" w14:textId="77777777"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t>U kojem djelu se izvršilo usklađivanje</w:t>
            </w:r>
          </w:p>
          <w:p w14:paraId="1329AF55" w14:textId="77777777" w:rsidR="005F3233" w:rsidRPr="00057759" w:rsidRDefault="005F3233" w:rsidP="005F3233">
            <w:pPr>
              <w:spacing w:after="0"/>
              <w:rPr>
                <w:rFonts w:ascii="Times New Roman" w:hAnsi="Times New Roman" w:cs="Times New Roman"/>
                <w:sz w:val="24"/>
                <w:szCs w:val="24"/>
              </w:rPr>
            </w:pPr>
          </w:p>
        </w:tc>
        <w:tc>
          <w:tcPr>
            <w:tcW w:w="6698" w:type="dxa"/>
            <w:gridSpan w:val="2"/>
            <w:shd w:val="clear" w:color="auto" w:fill="D9E2F3" w:themeFill="accent1" w:themeFillTint="33"/>
          </w:tcPr>
          <w:p w14:paraId="41380767" w14:textId="77777777"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t>Zakon o jedinstvenom tijelu vještačenja</w:t>
            </w:r>
          </w:p>
          <w:p w14:paraId="1D80C4C0" w14:textId="77777777"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t>(Narodne novine, broj 85/14)</w:t>
            </w:r>
          </w:p>
        </w:tc>
      </w:tr>
      <w:tr w:rsidR="005F3233" w:rsidRPr="00057759" w14:paraId="091FC0F2" w14:textId="77777777" w:rsidTr="005F3233">
        <w:trPr>
          <w:trHeight w:val="910"/>
        </w:trPr>
        <w:tc>
          <w:tcPr>
            <w:tcW w:w="3078" w:type="dxa"/>
            <w:vMerge/>
            <w:shd w:val="clear" w:color="auto" w:fill="F2F2F2" w:themeFill="background1" w:themeFillShade="F2"/>
          </w:tcPr>
          <w:p w14:paraId="18FE4F54" w14:textId="77777777" w:rsidR="005F3233" w:rsidRPr="00057759" w:rsidRDefault="005F3233" w:rsidP="005F3233">
            <w:pPr>
              <w:spacing w:after="0"/>
              <w:rPr>
                <w:rFonts w:ascii="Times New Roman" w:hAnsi="Times New Roman" w:cs="Times New Roman"/>
                <w:sz w:val="24"/>
                <w:szCs w:val="24"/>
              </w:rPr>
            </w:pPr>
          </w:p>
        </w:tc>
        <w:tc>
          <w:tcPr>
            <w:tcW w:w="6698" w:type="dxa"/>
            <w:gridSpan w:val="2"/>
          </w:tcPr>
          <w:p w14:paraId="6F361710" w14:textId="77777777"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t>Uspostavljeno je jedinstveno neovisno tijelo vještačenja (kao ustrojstvena jedinica Zavoda za vještačenje, profesionalnu rehabilitaciju i zapošljavanje osoba s invaliditetom) čime su znatno smanjene administrativne procedure koje su do tada postojale, a prema kojima je osoba s invaliditetom radi ostvarivanja prava u pojedinom sustavu morala svaki put biti ponovno vještačenja, što je osim dodatnih nepotrebnih troškova, stvaralo i dodatnu nepotrebnu obvezu samoj osobi s invaliditetom.</w:t>
            </w:r>
          </w:p>
        </w:tc>
      </w:tr>
      <w:bookmarkEnd w:id="179"/>
      <w:tr w:rsidR="005F3233" w:rsidRPr="00057759" w14:paraId="3735121F" w14:textId="77777777" w:rsidTr="005F3233">
        <w:trPr>
          <w:trHeight w:val="552"/>
        </w:trPr>
        <w:tc>
          <w:tcPr>
            <w:tcW w:w="3078" w:type="dxa"/>
            <w:vMerge w:val="restart"/>
            <w:shd w:val="clear" w:color="auto" w:fill="F2F2F2" w:themeFill="background1" w:themeFillShade="F2"/>
          </w:tcPr>
          <w:p w14:paraId="2239A868" w14:textId="77777777"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t xml:space="preserve">Naziv nacionalnog propisa koji je usklađen s UN Konvencijom o pravima osoba s invaliditetom </w:t>
            </w:r>
          </w:p>
          <w:p w14:paraId="18FE62DE" w14:textId="77777777" w:rsidR="005F3233" w:rsidRPr="00057759" w:rsidRDefault="005F3233" w:rsidP="005F3233">
            <w:pPr>
              <w:spacing w:after="0"/>
              <w:rPr>
                <w:rFonts w:ascii="Times New Roman" w:hAnsi="Times New Roman" w:cs="Times New Roman"/>
                <w:sz w:val="24"/>
                <w:szCs w:val="24"/>
              </w:rPr>
            </w:pPr>
          </w:p>
          <w:p w14:paraId="7223A441" w14:textId="77777777"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t>U kojem djelu se izvršilo usklađivanje</w:t>
            </w:r>
          </w:p>
          <w:p w14:paraId="5C614800" w14:textId="77777777" w:rsidR="005F3233" w:rsidRPr="00057759" w:rsidRDefault="005F3233" w:rsidP="005F3233">
            <w:pPr>
              <w:spacing w:after="0"/>
              <w:rPr>
                <w:rFonts w:ascii="Times New Roman" w:hAnsi="Times New Roman" w:cs="Times New Roman"/>
                <w:sz w:val="24"/>
                <w:szCs w:val="24"/>
              </w:rPr>
            </w:pPr>
          </w:p>
        </w:tc>
        <w:tc>
          <w:tcPr>
            <w:tcW w:w="6698" w:type="dxa"/>
            <w:gridSpan w:val="2"/>
            <w:shd w:val="clear" w:color="auto" w:fill="D9E2F3" w:themeFill="accent1" w:themeFillTint="33"/>
          </w:tcPr>
          <w:p w14:paraId="1B14018B" w14:textId="77777777"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t xml:space="preserve">Uredba o metodologijama vještačenja </w:t>
            </w:r>
          </w:p>
          <w:p w14:paraId="698BE74B" w14:textId="77777777"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t>(Narodne novine, br. 67/17 i 56/18)</w:t>
            </w:r>
          </w:p>
        </w:tc>
      </w:tr>
      <w:tr w:rsidR="005F3233" w:rsidRPr="00057759" w14:paraId="55C4816C" w14:textId="77777777" w:rsidTr="005F3233">
        <w:trPr>
          <w:trHeight w:val="910"/>
        </w:trPr>
        <w:tc>
          <w:tcPr>
            <w:tcW w:w="3078" w:type="dxa"/>
            <w:vMerge/>
            <w:shd w:val="clear" w:color="auto" w:fill="F2F2F2" w:themeFill="background1" w:themeFillShade="F2"/>
          </w:tcPr>
          <w:p w14:paraId="0A04FBFE" w14:textId="77777777" w:rsidR="005F3233" w:rsidRPr="00057759" w:rsidRDefault="005F3233" w:rsidP="005F3233">
            <w:pPr>
              <w:spacing w:after="0"/>
              <w:rPr>
                <w:rFonts w:ascii="Times New Roman" w:hAnsi="Times New Roman" w:cs="Times New Roman"/>
                <w:sz w:val="24"/>
                <w:szCs w:val="24"/>
              </w:rPr>
            </w:pPr>
          </w:p>
        </w:tc>
        <w:tc>
          <w:tcPr>
            <w:tcW w:w="6698" w:type="dxa"/>
            <w:gridSpan w:val="2"/>
          </w:tcPr>
          <w:p w14:paraId="7C43F2BF" w14:textId="77777777"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t>Uređuje se način i postupak vještačenja koji se temelji na interdisciplinarnom pristupu (u smislu sastava vijeća vještaka), a podrazumijeva utvrđivanje oštećenja organizma i funkcionalnih sposobnosti osobe s invaliditetom u svrhu ostvarivanja njezinih prava u različitim sustavima (socijalne skrbi, mirovinskog osiguranja, profesionalne rehabilitacije i zapošljavanja osoba s invaliditetom, obrazovanja, zaštite ratnih i civilnih žrtava rata i dr.)</w:t>
            </w:r>
          </w:p>
        </w:tc>
      </w:tr>
      <w:tr w:rsidR="005F3233" w:rsidRPr="00057759" w14:paraId="2286E3A9" w14:textId="77777777" w:rsidTr="005F3233">
        <w:trPr>
          <w:trHeight w:val="552"/>
        </w:trPr>
        <w:tc>
          <w:tcPr>
            <w:tcW w:w="3078" w:type="dxa"/>
            <w:vMerge w:val="restart"/>
            <w:shd w:val="clear" w:color="auto" w:fill="F2F2F2" w:themeFill="background1" w:themeFillShade="F2"/>
          </w:tcPr>
          <w:p w14:paraId="6EA5E5C5" w14:textId="77777777"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t xml:space="preserve">Naziv nacionalnog propisa koji je usklađen s UN Konvencijom o pravima osoba s invaliditetom </w:t>
            </w:r>
          </w:p>
          <w:p w14:paraId="7F059160" w14:textId="77777777" w:rsidR="005F3233" w:rsidRPr="00057759" w:rsidRDefault="005F3233" w:rsidP="005F3233">
            <w:pPr>
              <w:spacing w:after="0"/>
              <w:rPr>
                <w:rFonts w:ascii="Times New Roman" w:hAnsi="Times New Roman" w:cs="Times New Roman"/>
                <w:sz w:val="24"/>
                <w:szCs w:val="24"/>
              </w:rPr>
            </w:pPr>
          </w:p>
          <w:p w14:paraId="0B431F77" w14:textId="173641D3"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t>U kojem djelu se izvršilo usklađivanje</w:t>
            </w:r>
          </w:p>
        </w:tc>
        <w:tc>
          <w:tcPr>
            <w:tcW w:w="6698" w:type="dxa"/>
            <w:gridSpan w:val="2"/>
            <w:shd w:val="clear" w:color="auto" w:fill="D9E2F3" w:themeFill="accent1" w:themeFillTint="33"/>
          </w:tcPr>
          <w:p w14:paraId="291AC723" w14:textId="77777777"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t>Zakon o tržištu rada</w:t>
            </w:r>
          </w:p>
          <w:p w14:paraId="03565852" w14:textId="77777777"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t>(Narodne novine, broj 118/18)</w:t>
            </w:r>
          </w:p>
        </w:tc>
      </w:tr>
      <w:tr w:rsidR="005F3233" w:rsidRPr="00057759" w14:paraId="72C389F1" w14:textId="77777777" w:rsidTr="005F3233">
        <w:trPr>
          <w:trHeight w:val="910"/>
        </w:trPr>
        <w:tc>
          <w:tcPr>
            <w:tcW w:w="3078" w:type="dxa"/>
            <w:vMerge/>
            <w:shd w:val="clear" w:color="auto" w:fill="F2F2F2" w:themeFill="background1" w:themeFillShade="F2"/>
          </w:tcPr>
          <w:p w14:paraId="2BD881C5" w14:textId="77777777" w:rsidR="005F3233" w:rsidRPr="00057759" w:rsidRDefault="005F3233" w:rsidP="005F3233">
            <w:pPr>
              <w:spacing w:after="0"/>
              <w:rPr>
                <w:rFonts w:ascii="Times New Roman" w:hAnsi="Times New Roman" w:cs="Times New Roman"/>
                <w:sz w:val="24"/>
                <w:szCs w:val="24"/>
              </w:rPr>
            </w:pPr>
          </w:p>
        </w:tc>
        <w:tc>
          <w:tcPr>
            <w:tcW w:w="6698" w:type="dxa"/>
            <w:gridSpan w:val="2"/>
          </w:tcPr>
          <w:p w14:paraId="320B3380" w14:textId="22A7B778"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t>Propisuju se aktivnosti koje Hrvatski zavod za zapošljavanje provodi s ciljem uključivanja nezaposlenih osoba s invaliditetom na tržište rada (priprema za zapošljavanje koja uključuje i upućivanje na profesionalnu rehabilitaciju, posredovanje pri zapošljavanju, provedba mjera aktivne politike zapošljavanja )</w:t>
            </w:r>
          </w:p>
        </w:tc>
      </w:tr>
      <w:tr w:rsidR="005F3233" w:rsidRPr="00057759" w14:paraId="32B34C4C" w14:textId="77777777" w:rsidTr="005F3233">
        <w:trPr>
          <w:trHeight w:val="552"/>
        </w:trPr>
        <w:tc>
          <w:tcPr>
            <w:tcW w:w="3078" w:type="dxa"/>
            <w:vMerge w:val="restart"/>
            <w:shd w:val="clear" w:color="auto" w:fill="F2F2F2" w:themeFill="background1" w:themeFillShade="F2"/>
          </w:tcPr>
          <w:p w14:paraId="528FD797" w14:textId="77777777"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t xml:space="preserve">Naziv nacionalnog propisa koji je usklađen s UN Konvencijom o pravima osoba s invaliditetom </w:t>
            </w:r>
          </w:p>
          <w:p w14:paraId="734E8B34" w14:textId="77777777" w:rsidR="005F3233" w:rsidRPr="00057759" w:rsidRDefault="005F3233" w:rsidP="005F3233">
            <w:pPr>
              <w:spacing w:after="0"/>
              <w:rPr>
                <w:rFonts w:ascii="Times New Roman" w:hAnsi="Times New Roman" w:cs="Times New Roman"/>
                <w:sz w:val="24"/>
                <w:szCs w:val="24"/>
              </w:rPr>
            </w:pPr>
          </w:p>
          <w:p w14:paraId="273F3172" w14:textId="77777777"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lastRenderedPageBreak/>
              <w:t>U kojem djelu se izvršilo usklađivanje</w:t>
            </w:r>
          </w:p>
          <w:p w14:paraId="3E589717" w14:textId="77777777" w:rsidR="005F3233" w:rsidRPr="00057759" w:rsidRDefault="005F3233" w:rsidP="005F3233">
            <w:pPr>
              <w:spacing w:after="0"/>
              <w:rPr>
                <w:rFonts w:ascii="Times New Roman" w:hAnsi="Times New Roman" w:cs="Times New Roman"/>
                <w:sz w:val="24"/>
                <w:szCs w:val="24"/>
              </w:rPr>
            </w:pPr>
          </w:p>
        </w:tc>
        <w:tc>
          <w:tcPr>
            <w:tcW w:w="6698" w:type="dxa"/>
            <w:gridSpan w:val="2"/>
            <w:shd w:val="clear" w:color="auto" w:fill="D9E2F3" w:themeFill="accent1" w:themeFillTint="33"/>
          </w:tcPr>
          <w:p w14:paraId="67A91B6E" w14:textId="77777777"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lastRenderedPageBreak/>
              <w:t xml:space="preserve">Upute za prijavitelje i korisnike Operativnog programa učinkoviti ljudski potencijali  2014.-2020. o provedbi horizontalnih načela </w:t>
            </w:r>
          </w:p>
          <w:p w14:paraId="5D8E2F23" w14:textId="77777777" w:rsidR="005F3233" w:rsidRPr="00057759" w:rsidRDefault="005F3233" w:rsidP="005F3233">
            <w:pPr>
              <w:spacing w:after="0"/>
              <w:rPr>
                <w:rFonts w:ascii="Times New Roman" w:hAnsi="Times New Roman" w:cs="Times New Roman"/>
                <w:sz w:val="24"/>
                <w:szCs w:val="24"/>
              </w:rPr>
            </w:pPr>
          </w:p>
        </w:tc>
      </w:tr>
      <w:tr w:rsidR="005F3233" w:rsidRPr="00057759" w14:paraId="7D02EDFB" w14:textId="77777777" w:rsidTr="005F3233">
        <w:trPr>
          <w:trHeight w:val="910"/>
        </w:trPr>
        <w:tc>
          <w:tcPr>
            <w:tcW w:w="3078" w:type="dxa"/>
            <w:vMerge/>
            <w:shd w:val="clear" w:color="auto" w:fill="F2F2F2" w:themeFill="background1" w:themeFillShade="F2"/>
          </w:tcPr>
          <w:p w14:paraId="2382DFBF" w14:textId="77777777" w:rsidR="005F3233" w:rsidRPr="00057759" w:rsidRDefault="005F3233" w:rsidP="005F3233">
            <w:pPr>
              <w:spacing w:after="0"/>
              <w:rPr>
                <w:rFonts w:ascii="Times New Roman" w:hAnsi="Times New Roman" w:cs="Times New Roman"/>
                <w:sz w:val="24"/>
                <w:szCs w:val="24"/>
              </w:rPr>
            </w:pPr>
          </w:p>
        </w:tc>
        <w:tc>
          <w:tcPr>
            <w:tcW w:w="6698" w:type="dxa"/>
            <w:gridSpan w:val="2"/>
          </w:tcPr>
          <w:p w14:paraId="6ECE5795" w14:textId="77777777"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t xml:space="preserve">Dokument „Upute za prijavitelje i korisnike Operativnog programa učinkoviti ljudski potencijali  2014.-2020. o provedbi horizontalnih načela“ koji je donesen 28.ožujka 2019. godine daje smjernice </w:t>
            </w:r>
            <w:r w:rsidRPr="00057759">
              <w:rPr>
                <w:rFonts w:ascii="Times New Roman" w:hAnsi="Times New Roman" w:cs="Times New Roman"/>
                <w:sz w:val="24"/>
                <w:szCs w:val="24"/>
              </w:rPr>
              <w:lastRenderedPageBreak/>
              <w:t>prijaviteljima u pripremi projekata prilikom utvrđivanja primjenjivih zahtjeva u dijelu promicanja održivog razvoja, ravnopravnosti muškaraca i žena i jednakih mogućnosti (posebice pristupačnosti za osobe s invaliditetom) i nediskriminacije, koje treba uzeti u obzir prilikom pripreme i provedbe projekata.</w:t>
            </w:r>
          </w:p>
        </w:tc>
      </w:tr>
      <w:tr w:rsidR="005F3233" w:rsidRPr="00057759" w14:paraId="01985F40" w14:textId="77777777" w:rsidTr="005F3233">
        <w:trPr>
          <w:trHeight w:val="552"/>
        </w:trPr>
        <w:tc>
          <w:tcPr>
            <w:tcW w:w="3078" w:type="dxa"/>
            <w:vMerge w:val="restart"/>
            <w:shd w:val="clear" w:color="auto" w:fill="F2F2F2" w:themeFill="background1" w:themeFillShade="F2"/>
          </w:tcPr>
          <w:p w14:paraId="7470A3F3" w14:textId="77777777"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lastRenderedPageBreak/>
              <w:t xml:space="preserve">Naziv nacionalnog propisa koji je usklađen s UN Konvencijom o pravima osoba s invaliditetom </w:t>
            </w:r>
          </w:p>
          <w:p w14:paraId="204EA587" w14:textId="77777777" w:rsidR="005F3233" w:rsidRPr="00057759" w:rsidRDefault="005F3233" w:rsidP="005F3233">
            <w:pPr>
              <w:spacing w:after="0"/>
              <w:rPr>
                <w:rFonts w:ascii="Times New Roman" w:hAnsi="Times New Roman" w:cs="Times New Roman"/>
                <w:sz w:val="24"/>
                <w:szCs w:val="24"/>
              </w:rPr>
            </w:pPr>
          </w:p>
          <w:p w14:paraId="0430F673" w14:textId="77777777"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t>U kojem djelu se izvršilo usklađivanje</w:t>
            </w:r>
          </w:p>
          <w:p w14:paraId="656B5B6A" w14:textId="77777777" w:rsidR="005F3233" w:rsidRPr="00057759" w:rsidRDefault="005F3233" w:rsidP="005F3233">
            <w:pPr>
              <w:spacing w:after="0"/>
              <w:rPr>
                <w:rFonts w:ascii="Times New Roman" w:hAnsi="Times New Roman" w:cs="Times New Roman"/>
                <w:sz w:val="24"/>
                <w:szCs w:val="24"/>
              </w:rPr>
            </w:pPr>
          </w:p>
        </w:tc>
        <w:tc>
          <w:tcPr>
            <w:tcW w:w="6698" w:type="dxa"/>
            <w:gridSpan w:val="2"/>
            <w:shd w:val="clear" w:color="auto" w:fill="D9E2F3" w:themeFill="accent1" w:themeFillTint="33"/>
          </w:tcPr>
          <w:p w14:paraId="629ECFD7" w14:textId="77777777"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t>Smjernice o provedbi članka 9. Konvencije Ujedinjenih naroda o pravima osoba s invaliditetom za prijavitelje i korisnike Operativnog programa Učinkoviti ljudski potencijali 2014.- 2020.</w:t>
            </w:r>
          </w:p>
        </w:tc>
      </w:tr>
      <w:tr w:rsidR="005F3233" w:rsidRPr="00057759" w14:paraId="051BA6F7" w14:textId="77777777" w:rsidTr="005F3233">
        <w:trPr>
          <w:trHeight w:val="910"/>
        </w:trPr>
        <w:tc>
          <w:tcPr>
            <w:tcW w:w="3078" w:type="dxa"/>
            <w:vMerge/>
            <w:shd w:val="clear" w:color="auto" w:fill="F2F2F2" w:themeFill="background1" w:themeFillShade="F2"/>
          </w:tcPr>
          <w:p w14:paraId="4D8ABC31" w14:textId="77777777" w:rsidR="005F3233" w:rsidRPr="00057759" w:rsidRDefault="005F3233" w:rsidP="005F3233">
            <w:pPr>
              <w:spacing w:after="0"/>
              <w:rPr>
                <w:rFonts w:ascii="Times New Roman" w:hAnsi="Times New Roman" w:cs="Times New Roman"/>
                <w:sz w:val="24"/>
                <w:szCs w:val="24"/>
              </w:rPr>
            </w:pPr>
          </w:p>
        </w:tc>
        <w:tc>
          <w:tcPr>
            <w:tcW w:w="6698" w:type="dxa"/>
            <w:gridSpan w:val="2"/>
          </w:tcPr>
          <w:p w14:paraId="5E628881" w14:textId="77777777"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t>Dokument „Smjernice o provedbi članka 9. Konvencije Ujedinjenih naroda o pravima osoba s invaliditetom za prijavitelje i korisnike Operativnog programa Učinkoviti ljudski potencijali 2014.- 2020.“ koji je donesen u studenom 2016. godine služi kao pomoć prijaviteljima i korisnicima pri utvrđivanju primjenjivih zahtjeva za osiguravanje pristupačnosti za osobe s invaliditetom koje je potrebno uzeti u obzir prilikom pripreme i provedbe projekata, kao i radi razmatranja dodatnih prilika za njihovo promicanje</w:t>
            </w:r>
          </w:p>
        </w:tc>
      </w:tr>
      <w:tr w:rsidR="005F3233" w:rsidRPr="00057759" w14:paraId="6F7FC91D" w14:textId="77777777" w:rsidTr="005F3233">
        <w:tc>
          <w:tcPr>
            <w:tcW w:w="3114" w:type="dxa"/>
            <w:gridSpan w:val="2"/>
            <w:shd w:val="clear" w:color="auto" w:fill="F2F2F2" w:themeFill="background1" w:themeFillShade="F2"/>
          </w:tcPr>
          <w:p w14:paraId="10E10D00" w14:textId="77777777" w:rsidR="005F3233" w:rsidRPr="00057759" w:rsidRDefault="005F3233" w:rsidP="005F3233">
            <w:pPr>
              <w:spacing w:after="0"/>
              <w:rPr>
                <w:rFonts w:ascii="Times New Roman" w:hAnsi="Times New Roman" w:cs="Times New Roman"/>
                <w:sz w:val="24"/>
                <w:szCs w:val="24"/>
              </w:rPr>
            </w:pPr>
            <w:bookmarkStart w:id="180" w:name="_Hlk56081974"/>
            <w:bookmarkStart w:id="181" w:name="_Hlk56692786"/>
            <w:r w:rsidRPr="00057759">
              <w:rPr>
                <w:rFonts w:ascii="Times New Roman" w:hAnsi="Times New Roman" w:cs="Times New Roman"/>
                <w:sz w:val="24"/>
                <w:szCs w:val="24"/>
              </w:rPr>
              <w:t>Tijelo državne uprave koje dostavlja podatke</w:t>
            </w:r>
          </w:p>
        </w:tc>
        <w:tc>
          <w:tcPr>
            <w:tcW w:w="6662" w:type="dxa"/>
            <w:shd w:val="clear" w:color="auto" w:fill="E2EFD9" w:themeFill="accent6" w:themeFillTint="33"/>
          </w:tcPr>
          <w:p w14:paraId="24BC867A" w14:textId="77777777"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t>MINISTARSTVO ZA DEMOGRAFIJU, OBITELJ, MLADE I SOCIJALNU POLITIKU</w:t>
            </w:r>
          </w:p>
        </w:tc>
      </w:tr>
      <w:tr w:rsidR="005F3233" w:rsidRPr="00057759" w14:paraId="2611E158" w14:textId="77777777" w:rsidTr="005F3233">
        <w:tc>
          <w:tcPr>
            <w:tcW w:w="3114" w:type="dxa"/>
            <w:gridSpan w:val="2"/>
            <w:shd w:val="clear" w:color="auto" w:fill="F2F2F2" w:themeFill="background1" w:themeFillShade="F2"/>
          </w:tcPr>
          <w:p w14:paraId="145352BA" w14:textId="2EC5104D"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t>Ukupan broj propisa u nadležnosti ministarstva</w:t>
            </w:r>
          </w:p>
        </w:tc>
        <w:tc>
          <w:tcPr>
            <w:tcW w:w="6662" w:type="dxa"/>
          </w:tcPr>
          <w:p w14:paraId="5B996057" w14:textId="77777777"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t xml:space="preserve">23 ZAKONA </w:t>
            </w:r>
          </w:p>
        </w:tc>
      </w:tr>
      <w:tr w:rsidR="005F3233" w:rsidRPr="00057759" w14:paraId="081E1DBC" w14:textId="77777777" w:rsidTr="005F3233">
        <w:tc>
          <w:tcPr>
            <w:tcW w:w="3114" w:type="dxa"/>
            <w:gridSpan w:val="2"/>
            <w:shd w:val="clear" w:color="auto" w:fill="F2F2F2" w:themeFill="background1" w:themeFillShade="F2"/>
          </w:tcPr>
          <w:p w14:paraId="16FEAA7D" w14:textId="77777777"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t>Ukupan broj propisa iz Vaše nadležnosti koji je usklađen s UN Konvencijom o pravima osoba s invaliditetom</w:t>
            </w:r>
          </w:p>
        </w:tc>
        <w:tc>
          <w:tcPr>
            <w:tcW w:w="6662" w:type="dxa"/>
          </w:tcPr>
          <w:p w14:paraId="42DF35C2" w14:textId="77777777"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t xml:space="preserve">13 zakona </w:t>
            </w:r>
          </w:p>
        </w:tc>
      </w:tr>
      <w:tr w:rsidR="005F3233" w:rsidRPr="00057759" w14:paraId="792F23C8" w14:textId="77777777" w:rsidTr="005F3233">
        <w:trPr>
          <w:trHeight w:val="841"/>
        </w:trPr>
        <w:tc>
          <w:tcPr>
            <w:tcW w:w="3114" w:type="dxa"/>
            <w:gridSpan w:val="2"/>
            <w:vMerge w:val="restart"/>
            <w:shd w:val="clear" w:color="auto" w:fill="F2F2F2" w:themeFill="background1" w:themeFillShade="F2"/>
          </w:tcPr>
          <w:p w14:paraId="06676900" w14:textId="77777777" w:rsidR="005F3233" w:rsidRPr="00057759" w:rsidRDefault="005F3233" w:rsidP="005F3233">
            <w:pPr>
              <w:spacing w:after="0"/>
              <w:rPr>
                <w:rFonts w:ascii="Times New Roman" w:hAnsi="Times New Roman" w:cs="Times New Roman"/>
                <w:sz w:val="24"/>
                <w:szCs w:val="24"/>
              </w:rPr>
            </w:pPr>
            <w:bookmarkStart w:id="182" w:name="_Hlk42866126"/>
            <w:r w:rsidRPr="00057759">
              <w:rPr>
                <w:rFonts w:ascii="Times New Roman" w:hAnsi="Times New Roman" w:cs="Times New Roman"/>
                <w:sz w:val="24"/>
                <w:szCs w:val="24"/>
              </w:rPr>
              <w:t xml:space="preserve">Naziv nacionalnog propisa koji je usklađen s UN Konvencijom o pravima osoba s invaliditetom </w:t>
            </w:r>
          </w:p>
          <w:p w14:paraId="4833E537" w14:textId="77777777" w:rsidR="005F3233" w:rsidRPr="00057759" w:rsidRDefault="005F3233" w:rsidP="005F3233">
            <w:pPr>
              <w:spacing w:after="0"/>
              <w:rPr>
                <w:rFonts w:ascii="Times New Roman" w:hAnsi="Times New Roman" w:cs="Times New Roman"/>
                <w:sz w:val="24"/>
                <w:szCs w:val="24"/>
              </w:rPr>
            </w:pPr>
          </w:p>
          <w:p w14:paraId="09ED3C03" w14:textId="77777777"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t>U kojem djelu se izvršilo usklađivanje</w:t>
            </w:r>
          </w:p>
          <w:p w14:paraId="6D23E813" w14:textId="77777777" w:rsidR="005F3233" w:rsidRPr="00057759" w:rsidRDefault="005F3233" w:rsidP="005F3233">
            <w:pPr>
              <w:spacing w:after="0"/>
              <w:rPr>
                <w:rFonts w:ascii="Times New Roman" w:hAnsi="Times New Roman" w:cs="Times New Roman"/>
                <w:sz w:val="24"/>
                <w:szCs w:val="24"/>
              </w:rPr>
            </w:pPr>
          </w:p>
        </w:tc>
        <w:tc>
          <w:tcPr>
            <w:tcW w:w="6662" w:type="dxa"/>
            <w:shd w:val="clear" w:color="auto" w:fill="D9E2F3" w:themeFill="accent1" w:themeFillTint="33"/>
          </w:tcPr>
          <w:p w14:paraId="158B0875" w14:textId="77777777"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t>Zakon o socijalnoj skrbi</w:t>
            </w:r>
          </w:p>
          <w:p w14:paraId="11D0252F" w14:textId="77777777"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t>(Narodne novine, br. 157/13, 152/14, 99/15, 52/16, 16/17 i 130/17  i 98/19)</w:t>
            </w:r>
          </w:p>
        </w:tc>
      </w:tr>
      <w:bookmarkEnd w:id="180"/>
      <w:tr w:rsidR="005F3233" w:rsidRPr="00057759" w14:paraId="771298DA" w14:textId="77777777" w:rsidTr="005F3233">
        <w:trPr>
          <w:trHeight w:val="425"/>
        </w:trPr>
        <w:tc>
          <w:tcPr>
            <w:tcW w:w="3114" w:type="dxa"/>
            <w:gridSpan w:val="2"/>
            <w:vMerge/>
            <w:shd w:val="clear" w:color="auto" w:fill="F2F2F2" w:themeFill="background1" w:themeFillShade="F2"/>
          </w:tcPr>
          <w:p w14:paraId="207CBA33" w14:textId="77777777" w:rsidR="005F3233" w:rsidRPr="00057759" w:rsidRDefault="005F3233" w:rsidP="005F3233">
            <w:pPr>
              <w:spacing w:after="0"/>
              <w:rPr>
                <w:rFonts w:ascii="Times New Roman" w:hAnsi="Times New Roman" w:cs="Times New Roman"/>
                <w:sz w:val="24"/>
                <w:szCs w:val="24"/>
              </w:rPr>
            </w:pPr>
          </w:p>
        </w:tc>
        <w:tc>
          <w:tcPr>
            <w:tcW w:w="6662" w:type="dxa"/>
          </w:tcPr>
          <w:p w14:paraId="6C000AD2" w14:textId="77777777"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t>Definicija „osobe s invaliditetom“ i „djece s teškoćama u razvoju“ u skladu su s Konvencijom</w:t>
            </w:r>
          </w:p>
          <w:p w14:paraId="58AC0164" w14:textId="77777777"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t>Definiranje osnovnih životnih potrebe djece s teškoćama u razvoju i odraslih osoba s invaliditetom obuhvaćaju i dodatne potrebe koje proizlaze iz njihovog oštećenja zdravlja, odnosno invaliditeta.</w:t>
            </w:r>
          </w:p>
          <w:p w14:paraId="59BE30C5" w14:textId="77777777"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t xml:space="preserve">Načela u sustavu socijalne skrbi u skladu s načelima iz Konvencije (načelo zabrane diskriminacije, načelo uključenosti korisnika u zajednicu, načelo poštivanja ljudskih prava i integritet korisnika, načelo slobode izbora, načelo individualizacije, načelo sudjelovanja u donošenju odluka, načelo poštivanja privatnosti, načelo informiranosti o pravima i uslugama i </w:t>
            </w:r>
            <w:proofErr w:type="spellStart"/>
            <w:r w:rsidRPr="00057759">
              <w:rPr>
                <w:rFonts w:ascii="Times New Roman" w:hAnsi="Times New Roman" w:cs="Times New Roman"/>
                <w:sz w:val="24"/>
                <w:szCs w:val="24"/>
              </w:rPr>
              <w:t>dr</w:t>
            </w:r>
            <w:proofErr w:type="spellEnd"/>
            <w:r w:rsidRPr="00057759">
              <w:rPr>
                <w:rFonts w:ascii="Times New Roman" w:hAnsi="Times New Roman" w:cs="Times New Roman"/>
                <w:sz w:val="24"/>
                <w:szCs w:val="24"/>
              </w:rPr>
              <w:t>)</w:t>
            </w:r>
          </w:p>
          <w:p w14:paraId="7061CE6E" w14:textId="77777777"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t xml:space="preserve">Zakon se kontinuirano unapređuje uvođenjem novih oblika  </w:t>
            </w:r>
            <w:proofErr w:type="spellStart"/>
            <w:r w:rsidRPr="00057759">
              <w:rPr>
                <w:rFonts w:ascii="Times New Roman" w:hAnsi="Times New Roman" w:cs="Times New Roman"/>
                <w:sz w:val="24"/>
                <w:szCs w:val="24"/>
              </w:rPr>
              <w:t>izvaninstitucijskih</w:t>
            </w:r>
            <w:proofErr w:type="spellEnd"/>
            <w:r w:rsidRPr="00057759">
              <w:rPr>
                <w:rFonts w:ascii="Times New Roman" w:hAnsi="Times New Roman" w:cs="Times New Roman"/>
                <w:sz w:val="24"/>
                <w:szCs w:val="24"/>
              </w:rPr>
              <w:t xml:space="preserve"> socijalnih usluga (rana intervencija, psihosocijalna podrška, organizirano stanovanje, pomoć pri uključivanju u programe odgoja i redovitog obrazovanja (integracija), pomoć u kući, smještaj u udomiteljskoj obitelji) </w:t>
            </w:r>
          </w:p>
          <w:p w14:paraId="73393C22" w14:textId="77777777"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t>Također se kontinuirano radi na unapređenju prava u sustavu socijalne skrbi s tim u vezi  ističe se:</w:t>
            </w:r>
          </w:p>
          <w:p w14:paraId="75C4CD06" w14:textId="77777777"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lastRenderedPageBreak/>
              <w:t>povećanje naknade za doplatak za pomoć i njegu u punom i smanjenom iznosu</w:t>
            </w:r>
          </w:p>
          <w:p w14:paraId="19FA55F2" w14:textId="77777777"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t>povećanje iznosa osobne invalidnine i ublažavanje uvjeta za ostvarivanje prava (plaća i autorski honorar se ne smatraju prihodom koji bi utjecao na ostvarivanje prava na osobnu invalidninu)</w:t>
            </w:r>
          </w:p>
          <w:p w14:paraId="33BFD4A5" w14:textId="77777777"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t xml:space="preserve">uvođenje i kontinuirano unapređenje prava na status roditelja njegovatelja/status njegovatelja </w:t>
            </w:r>
          </w:p>
          <w:p w14:paraId="614D8C77" w14:textId="77777777"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t xml:space="preserve">Uvođenje mogućnosti osnivanja Centra za pružanje usluga u zajednici - javne ustanove za pružanje podrške korisnicima i pružateljima </w:t>
            </w:r>
            <w:proofErr w:type="spellStart"/>
            <w:r w:rsidRPr="00057759">
              <w:rPr>
                <w:rFonts w:ascii="Times New Roman" w:hAnsi="Times New Roman" w:cs="Times New Roman"/>
                <w:sz w:val="24"/>
                <w:szCs w:val="24"/>
              </w:rPr>
              <w:t>izvaninstitucijskih</w:t>
            </w:r>
            <w:proofErr w:type="spellEnd"/>
            <w:r w:rsidRPr="00057759">
              <w:rPr>
                <w:rFonts w:ascii="Times New Roman" w:hAnsi="Times New Roman" w:cs="Times New Roman"/>
                <w:sz w:val="24"/>
                <w:szCs w:val="24"/>
              </w:rPr>
              <w:t xml:space="preserve"> oblika smještaja, pružanje usluga boravka, usluge savjetovanja i pomaganja, usluge rane intervencije, usluge psihosocijalne podrške, usluge pomoći u kući, usluge pomoći pri uključivanju u programe odgoja i obrazovanja (integracija) i usluge organiziranog stanovanja, a iznimno i usluge smještaja.</w:t>
            </w:r>
          </w:p>
        </w:tc>
      </w:tr>
      <w:bookmarkEnd w:id="182"/>
      <w:tr w:rsidR="005F3233" w:rsidRPr="00057759" w14:paraId="34B75D70" w14:textId="77777777" w:rsidTr="005F3233">
        <w:trPr>
          <w:trHeight w:val="648"/>
        </w:trPr>
        <w:tc>
          <w:tcPr>
            <w:tcW w:w="3114" w:type="dxa"/>
            <w:gridSpan w:val="2"/>
            <w:vMerge w:val="restart"/>
            <w:shd w:val="clear" w:color="auto" w:fill="F2F2F2" w:themeFill="background1" w:themeFillShade="F2"/>
          </w:tcPr>
          <w:p w14:paraId="1F7EEB6B" w14:textId="77777777"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lastRenderedPageBreak/>
              <w:t xml:space="preserve">Naziv nacionalnog propisa koji je usklađen s UN Konvencijom o pravima osoba s invaliditetom </w:t>
            </w:r>
          </w:p>
          <w:p w14:paraId="631A2409" w14:textId="77777777" w:rsidR="005F3233" w:rsidRPr="00057759" w:rsidRDefault="005F3233" w:rsidP="005F3233">
            <w:pPr>
              <w:spacing w:after="0"/>
              <w:rPr>
                <w:rFonts w:ascii="Times New Roman" w:hAnsi="Times New Roman" w:cs="Times New Roman"/>
                <w:sz w:val="24"/>
                <w:szCs w:val="24"/>
              </w:rPr>
            </w:pPr>
          </w:p>
          <w:p w14:paraId="7CE56800" w14:textId="77777777"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t>U kojem djelu se izvršilo usklađivanje</w:t>
            </w:r>
          </w:p>
          <w:p w14:paraId="07D3B613" w14:textId="77777777" w:rsidR="005F3233" w:rsidRPr="00057759" w:rsidRDefault="005F3233" w:rsidP="005F3233">
            <w:pPr>
              <w:spacing w:after="0"/>
              <w:rPr>
                <w:rFonts w:ascii="Times New Roman" w:hAnsi="Times New Roman" w:cs="Times New Roman"/>
                <w:sz w:val="24"/>
                <w:szCs w:val="24"/>
              </w:rPr>
            </w:pPr>
          </w:p>
        </w:tc>
        <w:tc>
          <w:tcPr>
            <w:tcW w:w="6662" w:type="dxa"/>
            <w:shd w:val="clear" w:color="auto" w:fill="D9E2F3" w:themeFill="accent1" w:themeFillTint="33"/>
          </w:tcPr>
          <w:p w14:paraId="5FFCA3EF" w14:textId="77777777"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t xml:space="preserve">Obiteljski zakon </w:t>
            </w:r>
          </w:p>
          <w:p w14:paraId="7A29E807" w14:textId="77777777"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t>(Narodne novine, broj 103/15 i 98/19)</w:t>
            </w:r>
          </w:p>
        </w:tc>
      </w:tr>
      <w:tr w:rsidR="005F3233" w:rsidRPr="00057759" w14:paraId="3D180635" w14:textId="77777777" w:rsidTr="005F3233">
        <w:trPr>
          <w:trHeight w:val="910"/>
        </w:trPr>
        <w:tc>
          <w:tcPr>
            <w:tcW w:w="3114" w:type="dxa"/>
            <w:gridSpan w:val="2"/>
            <w:vMerge/>
            <w:shd w:val="clear" w:color="auto" w:fill="F2F2F2" w:themeFill="background1" w:themeFillShade="F2"/>
          </w:tcPr>
          <w:p w14:paraId="79886621" w14:textId="77777777" w:rsidR="005F3233" w:rsidRPr="00057759" w:rsidRDefault="005F3233" w:rsidP="005F3233">
            <w:pPr>
              <w:spacing w:after="0"/>
              <w:rPr>
                <w:rFonts w:ascii="Times New Roman" w:hAnsi="Times New Roman" w:cs="Times New Roman"/>
                <w:sz w:val="24"/>
                <w:szCs w:val="24"/>
              </w:rPr>
            </w:pPr>
          </w:p>
        </w:tc>
        <w:tc>
          <w:tcPr>
            <w:tcW w:w="6662" w:type="dxa"/>
          </w:tcPr>
          <w:p w14:paraId="00C2F508" w14:textId="77777777"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t>Temeljna načela (Članak 233) su u skladu s Konvencijom:</w:t>
            </w:r>
          </w:p>
          <w:p w14:paraId="523EDCE4" w14:textId="77777777"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t>(1) Zaštitu osobe s invaliditetom, ako je to moguće, potrebno je osigurati drugim sredstvima i mjerama predviđenima posebnim propisima prije nego što se donese odluka o lišenju poslovne sposobnosti i skrbničkoj zaštiti.</w:t>
            </w:r>
          </w:p>
          <w:p w14:paraId="50ACFE61" w14:textId="77777777"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t>(2) U provođenju skrbničke zaštite potrebno je težiti što je moguće manjim ograničenjima prava štićenika.</w:t>
            </w:r>
          </w:p>
          <w:p w14:paraId="17A7B598" w14:textId="77777777"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t>(3) U postupanju sa štićenikom moraju se uzeti u obzir osobnost te sadašnji ili ranije izraženi stavovi osobe, kao i zaštita njezina dostojanstva i dobrobiti.</w:t>
            </w:r>
          </w:p>
          <w:p w14:paraId="17EE4058" w14:textId="77777777"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t>(4) Potrebno je poticati samostalno donošenje odluka od strane štićenika te mu pružati podršku u donošenju odluka, kao i sudjelovanju u životu zajednice.</w:t>
            </w:r>
          </w:p>
          <w:p w14:paraId="2A272552" w14:textId="77777777"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t>(5) Skrbnik je dužan prihvatiti želje i osobne stavove štićenika osim ako je to u suprotnosti s njegovom dobrobiti.</w:t>
            </w:r>
          </w:p>
          <w:p w14:paraId="3ACF7ADA" w14:textId="77777777"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t>Uvođenje mogućnosti anticipirane naredbe koja se sastavlja u obliku javnobilježničke isprave, te obvezno sadrži: podatke o davatelju naredbe; izjavu kojom davatelj naredbe imenuje određenu osobu skrbnikom za slučaj lišenja poslovne sposobnosti; izjavu kojom pristaje da mu se ta osoba imenuje posebnim skrbnikom u smislu članka 236. stavka 5. Obiteljskog zakona; podatke o imenovanoj osobi</w:t>
            </w:r>
          </w:p>
          <w:p w14:paraId="44A8E2A6" w14:textId="77777777"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t>Ukidanje potpunog lišenja poslovne sposobnosti</w:t>
            </w:r>
          </w:p>
          <w:p w14:paraId="1E0BD1E6" w14:textId="77777777"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t>Uvođenje odredbe da se Odluke o lišenju poslovne sposobnosti donesene prema prijašnjim propisima trebaju preispitati u izvanparničnom postupku radi vraćanja poslovne sposobnosti u razdoblju od 1. studenog 2015. do 1. studenog 2020.</w:t>
            </w:r>
          </w:p>
          <w:p w14:paraId="468024FE" w14:textId="77777777"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lastRenderedPageBreak/>
              <w:t>Odredbe vezane uz posvojenje u skladu su s Konvencijom, (Posvojenje je poseban oblik obiteljsko-pravnog zbrinjavanja i zaštite djeteta bez odgovarajuće roditeljske skrbi kojim se stvara trajni odnos roditelja i djeteta; Posvojenje se može zasnovati samo ako je u skladu s dobrobiti djeteta)</w:t>
            </w:r>
          </w:p>
        </w:tc>
      </w:tr>
      <w:tr w:rsidR="005F3233" w:rsidRPr="00057759" w14:paraId="10B9363F" w14:textId="77777777" w:rsidTr="005F3233">
        <w:trPr>
          <w:trHeight w:val="591"/>
        </w:trPr>
        <w:tc>
          <w:tcPr>
            <w:tcW w:w="3114" w:type="dxa"/>
            <w:gridSpan w:val="2"/>
            <w:vMerge w:val="restart"/>
            <w:shd w:val="clear" w:color="auto" w:fill="F2F2F2" w:themeFill="background1" w:themeFillShade="F2"/>
          </w:tcPr>
          <w:p w14:paraId="5DB2E23D" w14:textId="77777777" w:rsidR="005F3233" w:rsidRPr="00057759" w:rsidRDefault="005F3233" w:rsidP="005F3233">
            <w:pPr>
              <w:spacing w:after="0"/>
              <w:rPr>
                <w:rFonts w:ascii="Times New Roman" w:hAnsi="Times New Roman" w:cs="Times New Roman"/>
                <w:sz w:val="24"/>
                <w:szCs w:val="24"/>
              </w:rPr>
            </w:pPr>
            <w:bookmarkStart w:id="183" w:name="_Hlk42867657"/>
            <w:r w:rsidRPr="00057759">
              <w:rPr>
                <w:rFonts w:ascii="Times New Roman" w:hAnsi="Times New Roman" w:cs="Times New Roman"/>
                <w:sz w:val="24"/>
                <w:szCs w:val="24"/>
              </w:rPr>
              <w:lastRenderedPageBreak/>
              <w:t xml:space="preserve">Naziv nacionalnog propisa koji je usklađen s UN Konvencijom o pravima osoba s invaliditetom </w:t>
            </w:r>
          </w:p>
          <w:p w14:paraId="329E26D6" w14:textId="77777777" w:rsidR="005F3233" w:rsidRPr="00057759" w:rsidRDefault="005F3233" w:rsidP="005F3233">
            <w:pPr>
              <w:spacing w:after="0"/>
              <w:rPr>
                <w:rFonts w:ascii="Times New Roman" w:hAnsi="Times New Roman" w:cs="Times New Roman"/>
                <w:sz w:val="24"/>
                <w:szCs w:val="24"/>
              </w:rPr>
            </w:pPr>
          </w:p>
          <w:p w14:paraId="7844B010" w14:textId="77777777"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t>U kojem djelu se izvršilo usklađivanje</w:t>
            </w:r>
          </w:p>
          <w:p w14:paraId="7E234B39" w14:textId="77777777" w:rsidR="005F3233" w:rsidRPr="00057759" w:rsidRDefault="005F3233" w:rsidP="005F3233">
            <w:pPr>
              <w:spacing w:after="0"/>
              <w:rPr>
                <w:rFonts w:ascii="Times New Roman" w:hAnsi="Times New Roman" w:cs="Times New Roman"/>
                <w:sz w:val="24"/>
                <w:szCs w:val="24"/>
              </w:rPr>
            </w:pPr>
          </w:p>
        </w:tc>
        <w:tc>
          <w:tcPr>
            <w:tcW w:w="6662" w:type="dxa"/>
            <w:shd w:val="clear" w:color="auto" w:fill="D9E2F3" w:themeFill="accent1" w:themeFillTint="33"/>
          </w:tcPr>
          <w:p w14:paraId="2B09BBD3" w14:textId="77777777"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t xml:space="preserve">Zakon o </w:t>
            </w:r>
            <w:proofErr w:type="spellStart"/>
            <w:r w:rsidRPr="00057759">
              <w:rPr>
                <w:rFonts w:ascii="Times New Roman" w:hAnsi="Times New Roman" w:cs="Times New Roman"/>
                <w:sz w:val="24"/>
                <w:szCs w:val="24"/>
              </w:rPr>
              <w:t>udomiteljstvu</w:t>
            </w:r>
            <w:proofErr w:type="spellEnd"/>
            <w:r w:rsidRPr="00057759">
              <w:rPr>
                <w:rFonts w:ascii="Times New Roman" w:hAnsi="Times New Roman" w:cs="Times New Roman"/>
                <w:sz w:val="24"/>
                <w:szCs w:val="24"/>
              </w:rPr>
              <w:t xml:space="preserve"> </w:t>
            </w:r>
          </w:p>
          <w:p w14:paraId="2F7759B5" w14:textId="77777777"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t>(Narodne novine, broj 115/18)</w:t>
            </w:r>
          </w:p>
        </w:tc>
      </w:tr>
      <w:tr w:rsidR="005F3233" w:rsidRPr="00057759" w14:paraId="116742E5" w14:textId="77777777" w:rsidTr="005F3233">
        <w:trPr>
          <w:trHeight w:val="910"/>
        </w:trPr>
        <w:tc>
          <w:tcPr>
            <w:tcW w:w="3114" w:type="dxa"/>
            <w:gridSpan w:val="2"/>
            <w:vMerge/>
            <w:shd w:val="clear" w:color="auto" w:fill="F2F2F2" w:themeFill="background1" w:themeFillShade="F2"/>
          </w:tcPr>
          <w:p w14:paraId="2C62B8EC" w14:textId="77777777" w:rsidR="005F3233" w:rsidRPr="00057759" w:rsidRDefault="005F3233" w:rsidP="005F3233">
            <w:pPr>
              <w:spacing w:after="0"/>
              <w:rPr>
                <w:rFonts w:ascii="Times New Roman" w:hAnsi="Times New Roman" w:cs="Times New Roman"/>
                <w:sz w:val="24"/>
                <w:szCs w:val="24"/>
              </w:rPr>
            </w:pPr>
          </w:p>
        </w:tc>
        <w:tc>
          <w:tcPr>
            <w:tcW w:w="6662" w:type="dxa"/>
          </w:tcPr>
          <w:p w14:paraId="625D0BC0" w14:textId="77777777"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t>Korištenje termina „osoba s invaliditetom“ i „djeca s teškoćama u razvoju“</w:t>
            </w:r>
          </w:p>
          <w:p w14:paraId="2698B2AC" w14:textId="77777777"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t>Načela su usklađena s načelima Konvencije o pravima osoba s invaliditetom</w:t>
            </w:r>
          </w:p>
          <w:p w14:paraId="4B0B35DE" w14:textId="77777777"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t xml:space="preserve">Prava odraslog korisnika </w:t>
            </w:r>
            <w:proofErr w:type="spellStart"/>
            <w:r w:rsidRPr="00057759">
              <w:rPr>
                <w:rFonts w:ascii="Times New Roman" w:hAnsi="Times New Roman" w:cs="Times New Roman"/>
                <w:sz w:val="24"/>
                <w:szCs w:val="24"/>
              </w:rPr>
              <w:t>udomiteljstva</w:t>
            </w:r>
            <w:proofErr w:type="spellEnd"/>
            <w:r w:rsidRPr="00057759">
              <w:rPr>
                <w:rFonts w:ascii="Times New Roman" w:hAnsi="Times New Roman" w:cs="Times New Roman"/>
                <w:sz w:val="24"/>
                <w:szCs w:val="24"/>
              </w:rPr>
              <w:t xml:space="preserve"> i udomljenog djeteta su u skladu s Konvencijom</w:t>
            </w:r>
          </w:p>
          <w:p w14:paraId="081E6722" w14:textId="77777777"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t xml:space="preserve">Uvođenje odredbi za obavljanje </w:t>
            </w:r>
            <w:proofErr w:type="spellStart"/>
            <w:r w:rsidRPr="00057759">
              <w:rPr>
                <w:rFonts w:ascii="Times New Roman" w:hAnsi="Times New Roman" w:cs="Times New Roman"/>
                <w:sz w:val="24"/>
                <w:szCs w:val="24"/>
              </w:rPr>
              <w:t>udomiteljstva</w:t>
            </w:r>
            <w:proofErr w:type="spellEnd"/>
            <w:r w:rsidRPr="00057759">
              <w:rPr>
                <w:rFonts w:ascii="Times New Roman" w:hAnsi="Times New Roman" w:cs="Times New Roman"/>
                <w:sz w:val="24"/>
                <w:szCs w:val="24"/>
              </w:rPr>
              <w:t xml:space="preserve"> kao zanimanja i odredbi specijaliziranog </w:t>
            </w:r>
            <w:proofErr w:type="spellStart"/>
            <w:r w:rsidRPr="00057759">
              <w:rPr>
                <w:rFonts w:ascii="Times New Roman" w:hAnsi="Times New Roman" w:cs="Times New Roman"/>
                <w:sz w:val="24"/>
                <w:szCs w:val="24"/>
              </w:rPr>
              <w:t>udomiteljstva</w:t>
            </w:r>
            <w:proofErr w:type="spellEnd"/>
            <w:r w:rsidRPr="00057759">
              <w:rPr>
                <w:rFonts w:ascii="Times New Roman" w:hAnsi="Times New Roman" w:cs="Times New Roman"/>
                <w:sz w:val="24"/>
                <w:szCs w:val="24"/>
              </w:rPr>
              <w:t xml:space="preserve"> za djecu.</w:t>
            </w:r>
          </w:p>
        </w:tc>
      </w:tr>
      <w:tr w:rsidR="005F3233" w:rsidRPr="00057759" w14:paraId="316992BC" w14:textId="77777777" w:rsidTr="005F3233">
        <w:trPr>
          <w:trHeight w:val="841"/>
        </w:trPr>
        <w:tc>
          <w:tcPr>
            <w:tcW w:w="3114" w:type="dxa"/>
            <w:gridSpan w:val="2"/>
            <w:vMerge w:val="restart"/>
            <w:shd w:val="clear" w:color="auto" w:fill="F2F2F2" w:themeFill="background1" w:themeFillShade="F2"/>
          </w:tcPr>
          <w:p w14:paraId="417DFFDE" w14:textId="77777777" w:rsidR="005F3233" w:rsidRPr="00057759" w:rsidRDefault="005F3233" w:rsidP="005F3233">
            <w:pPr>
              <w:spacing w:after="0"/>
              <w:rPr>
                <w:rFonts w:ascii="Times New Roman" w:hAnsi="Times New Roman" w:cs="Times New Roman"/>
                <w:sz w:val="24"/>
                <w:szCs w:val="24"/>
              </w:rPr>
            </w:pPr>
            <w:bookmarkStart w:id="184" w:name="_Hlk42870075"/>
            <w:bookmarkEnd w:id="183"/>
            <w:r w:rsidRPr="00057759">
              <w:rPr>
                <w:rFonts w:ascii="Times New Roman" w:hAnsi="Times New Roman" w:cs="Times New Roman"/>
                <w:sz w:val="24"/>
                <w:szCs w:val="24"/>
              </w:rPr>
              <w:t xml:space="preserve">Naziv nacionalnog propisa koji je usklađen s UN Konvencijom o pravima osoba s invaliditetom </w:t>
            </w:r>
          </w:p>
          <w:p w14:paraId="19CDB5BA" w14:textId="77777777" w:rsidR="005F3233" w:rsidRPr="00057759" w:rsidRDefault="005F3233" w:rsidP="005F3233">
            <w:pPr>
              <w:spacing w:after="0"/>
              <w:rPr>
                <w:rFonts w:ascii="Times New Roman" w:hAnsi="Times New Roman" w:cs="Times New Roman"/>
                <w:sz w:val="24"/>
                <w:szCs w:val="24"/>
              </w:rPr>
            </w:pPr>
          </w:p>
          <w:p w14:paraId="03C15E64" w14:textId="77777777"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t>U kojem djelu se izvršilo usklađivanje</w:t>
            </w:r>
          </w:p>
          <w:p w14:paraId="2C4ED030" w14:textId="77777777" w:rsidR="005F3233" w:rsidRPr="00057759" w:rsidRDefault="005F3233" w:rsidP="005F3233">
            <w:pPr>
              <w:spacing w:after="0"/>
              <w:rPr>
                <w:rFonts w:ascii="Times New Roman" w:hAnsi="Times New Roman" w:cs="Times New Roman"/>
                <w:sz w:val="24"/>
                <w:szCs w:val="24"/>
              </w:rPr>
            </w:pPr>
          </w:p>
        </w:tc>
        <w:tc>
          <w:tcPr>
            <w:tcW w:w="6662" w:type="dxa"/>
            <w:shd w:val="clear" w:color="auto" w:fill="D9E2F3" w:themeFill="accent1" w:themeFillTint="33"/>
          </w:tcPr>
          <w:p w14:paraId="66957B35" w14:textId="77777777"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t xml:space="preserve">Zakon o korištenju psa pomagača </w:t>
            </w:r>
          </w:p>
          <w:p w14:paraId="0FA47BD2" w14:textId="4F0CCFAB"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t xml:space="preserve">(Narodne novine, broj 39/19) </w:t>
            </w:r>
          </w:p>
          <w:p w14:paraId="0457A535" w14:textId="3987ACA9"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t>Stupanjem na snagu ovog Zakona, odnosno s danom 25.</w:t>
            </w:r>
            <w:r w:rsidR="00C84654">
              <w:rPr>
                <w:rFonts w:ascii="Times New Roman" w:hAnsi="Times New Roman" w:cs="Times New Roman"/>
                <w:sz w:val="24"/>
                <w:szCs w:val="24"/>
              </w:rPr>
              <w:t xml:space="preserve"> </w:t>
            </w:r>
            <w:r w:rsidRPr="00057759">
              <w:rPr>
                <w:rFonts w:ascii="Times New Roman" w:hAnsi="Times New Roman" w:cs="Times New Roman"/>
                <w:sz w:val="24"/>
                <w:szCs w:val="24"/>
              </w:rPr>
              <w:t>4. 2019. godine prestaje važiti Zakon o kretanju slijepe osobe uz pomoć psa vodiča (Narodne novine, broj 131/08).</w:t>
            </w:r>
          </w:p>
        </w:tc>
      </w:tr>
      <w:tr w:rsidR="005F3233" w:rsidRPr="00057759" w14:paraId="01218FB7" w14:textId="77777777" w:rsidTr="005F3233">
        <w:trPr>
          <w:trHeight w:val="910"/>
        </w:trPr>
        <w:tc>
          <w:tcPr>
            <w:tcW w:w="3114" w:type="dxa"/>
            <w:gridSpan w:val="2"/>
            <w:vMerge/>
            <w:shd w:val="clear" w:color="auto" w:fill="F2F2F2" w:themeFill="background1" w:themeFillShade="F2"/>
          </w:tcPr>
          <w:p w14:paraId="3A2EFDC7" w14:textId="77777777" w:rsidR="005F3233" w:rsidRPr="00057759" w:rsidRDefault="005F3233" w:rsidP="005F3233">
            <w:pPr>
              <w:spacing w:after="0"/>
              <w:rPr>
                <w:rFonts w:ascii="Times New Roman" w:hAnsi="Times New Roman" w:cs="Times New Roman"/>
                <w:sz w:val="24"/>
                <w:szCs w:val="24"/>
              </w:rPr>
            </w:pPr>
          </w:p>
        </w:tc>
        <w:tc>
          <w:tcPr>
            <w:tcW w:w="6662" w:type="dxa"/>
          </w:tcPr>
          <w:p w14:paraId="37CAA013" w14:textId="77777777"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t>Korištenje terminologije „djeca s teškoćama u razvoju“ i „osobe s invaliditetom“</w:t>
            </w:r>
          </w:p>
          <w:p w14:paraId="736BB824" w14:textId="77777777"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t>Ovim Zakonom se uređuje pružanje pomoći i podrške korištenjem psa pomagača ili terapijskog psa osobama s invaliditetom ili s kroničnom bolesti i djetetu s teškoćama u razvoju.</w:t>
            </w:r>
          </w:p>
          <w:p w14:paraId="0684229C" w14:textId="77777777"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t>Djelatnost pružanja pomoći i podrške korištenjem psa pomagača ili terapijskog psa je organizirana djelatnost koja se obavlja u svrhu stjecanja samostalnosti korisnika psa pomagača ili terapijskog psa u obavljanju svakodnevnih aktivnosti i povećanja kvalitete življenja te provođenja terapijskog i/ili rehabilitacijskog postupka</w:t>
            </w:r>
          </w:p>
          <w:p w14:paraId="5BB67133" w14:textId="5C06D3A4"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t>S tim u vezi omogućava se osobe s invaliditetom da s psom pomagačem ili terapijskim psom pristupe javnom prostoru i javnom prijevozu</w:t>
            </w:r>
          </w:p>
        </w:tc>
      </w:tr>
      <w:bookmarkEnd w:id="184"/>
      <w:tr w:rsidR="005F3233" w:rsidRPr="00057759" w14:paraId="0DA511BA" w14:textId="77777777" w:rsidTr="005F3233">
        <w:trPr>
          <w:trHeight w:val="841"/>
        </w:trPr>
        <w:tc>
          <w:tcPr>
            <w:tcW w:w="3114" w:type="dxa"/>
            <w:gridSpan w:val="2"/>
            <w:vMerge w:val="restart"/>
            <w:shd w:val="clear" w:color="auto" w:fill="F2F2F2" w:themeFill="background1" w:themeFillShade="F2"/>
          </w:tcPr>
          <w:p w14:paraId="7F931F51" w14:textId="77777777"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t xml:space="preserve">Naziv nacionalnog propisa koji je usklađen s UN Konvencijom o pravima osoba s invaliditetom </w:t>
            </w:r>
          </w:p>
          <w:p w14:paraId="4A255D56" w14:textId="77777777" w:rsidR="005F3233" w:rsidRPr="00057759" w:rsidRDefault="005F3233" w:rsidP="005F3233">
            <w:pPr>
              <w:spacing w:after="0"/>
              <w:rPr>
                <w:rFonts w:ascii="Times New Roman" w:hAnsi="Times New Roman" w:cs="Times New Roman"/>
                <w:sz w:val="24"/>
                <w:szCs w:val="24"/>
              </w:rPr>
            </w:pPr>
          </w:p>
          <w:p w14:paraId="167A9BD0" w14:textId="77777777"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t>U kojem djelu se izvršilo usklađivanje</w:t>
            </w:r>
          </w:p>
          <w:p w14:paraId="78B83FCB" w14:textId="77777777" w:rsidR="005F3233" w:rsidRPr="00057759" w:rsidRDefault="005F3233" w:rsidP="005F3233">
            <w:pPr>
              <w:spacing w:after="0"/>
              <w:rPr>
                <w:rFonts w:ascii="Times New Roman" w:hAnsi="Times New Roman" w:cs="Times New Roman"/>
                <w:sz w:val="24"/>
                <w:szCs w:val="24"/>
              </w:rPr>
            </w:pPr>
          </w:p>
        </w:tc>
        <w:tc>
          <w:tcPr>
            <w:tcW w:w="6662" w:type="dxa"/>
            <w:shd w:val="clear" w:color="auto" w:fill="D9E2F3" w:themeFill="accent1" w:themeFillTint="33"/>
          </w:tcPr>
          <w:p w14:paraId="4F7448A7" w14:textId="77777777"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t xml:space="preserve">Zakon o hrvatskom znakovnom jeziku i ostalim sustavima komunikacije gluhih i </w:t>
            </w:r>
            <w:proofErr w:type="spellStart"/>
            <w:r w:rsidRPr="00057759">
              <w:rPr>
                <w:rFonts w:ascii="Times New Roman" w:hAnsi="Times New Roman" w:cs="Times New Roman"/>
                <w:sz w:val="24"/>
                <w:szCs w:val="24"/>
              </w:rPr>
              <w:t>gluhoslijepih</w:t>
            </w:r>
            <w:proofErr w:type="spellEnd"/>
            <w:r w:rsidRPr="00057759">
              <w:rPr>
                <w:rFonts w:ascii="Times New Roman" w:hAnsi="Times New Roman" w:cs="Times New Roman"/>
                <w:sz w:val="24"/>
                <w:szCs w:val="24"/>
              </w:rPr>
              <w:t xml:space="preserve"> osoba u Republici Hrvatskoj </w:t>
            </w:r>
          </w:p>
          <w:p w14:paraId="3B141CE3" w14:textId="77777777"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t>(Narodne novine, broj 82/15)</w:t>
            </w:r>
          </w:p>
        </w:tc>
      </w:tr>
      <w:tr w:rsidR="005F3233" w:rsidRPr="00057759" w14:paraId="77406332" w14:textId="77777777" w:rsidTr="005F3233">
        <w:trPr>
          <w:trHeight w:val="910"/>
        </w:trPr>
        <w:tc>
          <w:tcPr>
            <w:tcW w:w="3114" w:type="dxa"/>
            <w:gridSpan w:val="2"/>
            <w:vMerge/>
            <w:shd w:val="clear" w:color="auto" w:fill="F2F2F2" w:themeFill="background1" w:themeFillShade="F2"/>
          </w:tcPr>
          <w:p w14:paraId="10A5B735" w14:textId="77777777" w:rsidR="005F3233" w:rsidRPr="00057759" w:rsidRDefault="005F3233" w:rsidP="005F3233">
            <w:pPr>
              <w:spacing w:after="0"/>
              <w:rPr>
                <w:rFonts w:ascii="Times New Roman" w:hAnsi="Times New Roman" w:cs="Times New Roman"/>
                <w:sz w:val="24"/>
                <w:szCs w:val="24"/>
              </w:rPr>
            </w:pPr>
          </w:p>
        </w:tc>
        <w:tc>
          <w:tcPr>
            <w:tcW w:w="6662" w:type="dxa"/>
          </w:tcPr>
          <w:p w14:paraId="40722D4B" w14:textId="77777777"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t xml:space="preserve">Ovim zakonom propisuje se pravo gluhih i </w:t>
            </w:r>
            <w:proofErr w:type="spellStart"/>
            <w:r w:rsidRPr="00057759">
              <w:rPr>
                <w:rFonts w:ascii="Times New Roman" w:hAnsi="Times New Roman" w:cs="Times New Roman"/>
                <w:sz w:val="24"/>
                <w:szCs w:val="24"/>
              </w:rPr>
              <w:t>gluhoslijepih</w:t>
            </w:r>
            <w:proofErr w:type="spellEnd"/>
            <w:r w:rsidRPr="00057759">
              <w:rPr>
                <w:rFonts w:ascii="Times New Roman" w:hAnsi="Times New Roman" w:cs="Times New Roman"/>
                <w:sz w:val="24"/>
                <w:szCs w:val="24"/>
              </w:rPr>
              <w:t xml:space="preserve"> osoba te drugih osoba s komunikacijskim teškoćama na korištenje, informiranje i obrazovanje na hrvatskom znakovnom jeziku i ostalim sustavima komunikacije koji odgovaraju njihovim individualnim potrebama, a u svrhu izjednačavanja mogućnosti pristupa socijalnom, ekonomskom i kulturnom okruženju te omogućavanju ravnopravnog ostvarivanja svih ljudskih prava i temeljnih sloboda</w:t>
            </w:r>
          </w:p>
        </w:tc>
      </w:tr>
      <w:tr w:rsidR="005F3233" w:rsidRPr="00057759" w14:paraId="5DF225A4" w14:textId="77777777" w:rsidTr="008C6E0A">
        <w:trPr>
          <w:trHeight w:val="1026"/>
        </w:trPr>
        <w:tc>
          <w:tcPr>
            <w:tcW w:w="3114" w:type="dxa"/>
            <w:gridSpan w:val="2"/>
            <w:vMerge w:val="restart"/>
            <w:shd w:val="clear" w:color="auto" w:fill="F2F2F2" w:themeFill="background1" w:themeFillShade="F2"/>
          </w:tcPr>
          <w:p w14:paraId="7C2A63E8" w14:textId="77777777"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lastRenderedPageBreak/>
              <w:t xml:space="preserve">Naziv nacionalnog propisa koji je usklađen s UN Konvencijom o pravima osoba s invaliditetom </w:t>
            </w:r>
          </w:p>
          <w:p w14:paraId="0147A71B" w14:textId="77777777" w:rsidR="005F3233" w:rsidRPr="00057759" w:rsidRDefault="005F3233" w:rsidP="005F3233">
            <w:pPr>
              <w:spacing w:after="0"/>
              <w:rPr>
                <w:rFonts w:ascii="Times New Roman" w:hAnsi="Times New Roman" w:cs="Times New Roman"/>
                <w:sz w:val="24"/>
                <w:szCs w:val="24"/>
              </w:rPr>
            </w:pPr>
          </w:p>
          <w:p w14:paraId="6F47AAD8" w14:textId="2ECB0398"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t>U kojem djelu se izvršilo usklađivanje</w:t>
            </w:r>
          </w:p>
        </w:tc>
        <w:tc>
          <w:tcPr>
            <w:tcW w:w="6662" w:type="dxa"/>
            <w:shd w:val="clear" w:color="auto" w:fill="D9E2F3" w:themeFill="accent1" w:themeFillTint="33"/>
          </w:tcPr>
          <w:p w14:paraId="2B720343" w14:textId="77777777"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t xml:space="preserve">Zakon o doplatku za djecu </w:t>
            </w:r>
          </w:p>
          <w:p w14:paraId="4FF3FB07" w14:textId="77777777"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t>(Narodne novine, br. 94/01, 138/06, 107/07, 37/08 - Odluka USRH, 61/11, 112/12, 82/15 i 58/18)</w:t>
            </w:r>
          </w:p>
        </w:tc>
      </w:tr>
      <w:tr w:rsidR="005F3233" w:rsidRPr="00057759" w14:paraId="6528C0C7" w14:textId="77777777" w:rsidTr="008C6E0A">
        <w:trPr>
          <w:trHeight w:val="608"/>
        </w:trPr>
        <w:tc>
          <w:tcPr>
            <w:tcW w:w="3114" w:type="dxa"/>
            <w:gridSpan w:val="2"/>
            <w:vMerge/>
            <w:shd w:val="clear" w:color="auto" w:fill="F2F2F2" w:themeFill="background1" w:themeFillShade="F2"/>
          </w:tcPr>
          <w:p w14:paraId="2D9AE636" w14:textId="77777777" w:rsidR="005F3233" w:rsidRPr="00057759" w:rsidRDefault="005F3233" w:rsidP="005F3233">
            <w:pPr>
              <w:spacing w:after="0"/>
              <w:rPr>
                <w:rFonts w:ascii="Times New Roman" w:hAnsi="Times New Roman" w:cs="Times New Roman"/>
                <w:sz w:val="24"/>
                <w:szCs w:val="24"/>
              </w:rPr>
            </w:pPr>
          </w:p>
        </w:tc>
        <w:tc>
          <w:tcPr>
            <w:tcW w:w="6662" w:type="dxa"/>
          </w:tcPr>
          <w:p w14:paraId="50123284" w14:textId="77777777"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t>Sadrži odredbe za ostvarivanje prava na uvećani doplatak za djecu s težim oštećenjem zdravlja (članak 22. Zakona)</w:t>
            </w:r>
          </w:p>
        </w:tc>
      </w:tr>
      <w:tr w:rsidR="005F3233" w:rsidRPr="00057759" w14:paraId="0BAC3E84" w14:textId="77777777" w:rsidTr="008C6E0A">
        <w:trPr>
          <w:trHeight w:val="901"/>
        </w:trPr>
        <w:tc>
          <w:tcPr>
            <w:tcW w:w="3114" w:type="dxa"/>
            <w:gridSpan w:val="2"/>
            <w:vMerge w:val="restart"/>
            <w:shd w:val="clear" w:color="auto" w:fill="F2F2F2" w:themeFill="background1" w:themeFillShade="F2"/>
          </w:tcPr>
          <w:p w14:paraId="67786F6D" w14:textId="77777777"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t xml:space="preserve">Naziv nacionalnog propisa koji je usklađen s UN Konvencijom o pravima osoba s invaliditetom </w:t>
            </w:r>
          </w:p>
          <w:p w14:paraId="1257A056" w14:textId="77777777" w:rsidR="005F3233" w:rsidRPr="00057759" w:rsidRDefault="005F3233" w:rsidP="005F3233">
            <w:pPr>
              <w:spacing w:after="0"/>
              <w:rPr>
                <w:rFonts w:ascii="Times New Roman" w:hAnsi="Times New Roman" w:cs="Times New Roman"/>
                <w:sz w:val="24"/>
                <w:szCs w:val="24"/>
              </w:rPr>
            </w:pPr>
          </w:p>
          <w:p w14:paraId="3925B130" w14:textId="4578D9D9"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t>U kojem djelu se izvršilo usklađivanje</w:t>
            </w:r>
          </w:p>
        </w:tc>
        <w:tc>
          <w:tcPr>
            <w:tcW w:w="6662" w:type="dxa"/>
            <w:shd w:val="clear" w:color="auto" w:fill="D9E2F3" w:themeFill="accent1" w:themeFillTint="33"/>
          </w:tcPr>
          <w:p w14:paraId="760B48B0" w14:textId="77777777"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t xml:space="preserve">Zakon o </w:t>
            </w:r>
            <w:proofErr w:type="spellStart"/>
            <w:r w:rsidRPr="00057759">
              <w:rPr>
                <w:rFonts w:ascii="Times New Roman" w:hAnsi="Times New Roman" w:cs="Times New Roman"/>
                <w:sz w:val="24"/>
                <w:szCs w:val="24"/>
              </w:rPr>
              <w:t>rodiljnim</w:t>
            </w:r>
            <w:proofErr w:type="spellEnd"/>
            <w:r w:rsidRPr="00057759">
              <w:rPr>
                <w:rFonts w:ascii="Times New Roman" w:hAnsi="Times New Roman" w:cs="Times New Roman"/>
                <w:sz w:val="24"/>
                <w:szCs w:val="24"/>
              </w:rPr>
              <w:t xml:space="preserve"> i roditeljskim potporama</w:t>
            </w:r>
          </w:p>
          <w:p w14:paraId="29F0885E" w14:textId="3DEC200F"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t>(Narodne novine, br. 85/08, 110/08,</w:t>
            </w:r>
            <w:r w:rsidR="00C84654">
              <w:rPr>
                <w:rFonts w:ascii="Times New Roman" w:hAnsi="Times New Roman" w:cs="Times New Roman"/>
                <w:sz w:val="24"/>
                <w:szCs w:val="24"/>
              </w:rPr>
              <w:t xml:space="preserve"> </w:t>
            </w:r>
            <w:r w:rsidRPr="00057759">
              <w:rPr>
                <w:rFonts w:ascii="Times New Roman" w:hAnsi="Times New Roman" w:cs="Times New Roman"/>
                <w:sz w:val="24"/>
                <w:szCs w:val="24"/>
              </w:rPr>
              <w:t>34/11,</w:t>
            </w:r>
            <w:r w:rsidR="00C84654">
              <w:rPr>
                <w:rFonts w:ascii="Times New Roman" w:hAnsi="Times New Roman" w:cs="Times New Roman"/>
                <w:sz w:val="24"/>
                <w:szCs w:val="24"/>
              </w:rPr>
              <w:t xml:space="preserve"> </w:t>
            </w:r>
            <w:r w:rsidRPr="00057759">
              <w:rPr>
                <w:rFonts w:ascii="Times New Roman" w:hAnsi="Times New Roman" w:cs="Times New Roman"/>
                <w:sz w:val="24"/>
                <w:szCs w:val="24"/>
              </w:rPr>
              <w:t>54/13, 152/14 i 59/17)</w:t>
            </w:r>
          </w:p>
        </w:tc>
      </w:tr>
      <w:tr w:rsidR="005F3233" w:rsidRPr="00057759" w14:paraId="67F0E5CA" w14:textId="77777777" w:rsidTr="005F3233">
        <w:trPr>
          <w:trHeight w:val="835"/>
        </w:trPr>
        <w:tc>
          <w:tcPr>
            <w:tcW w:w="3114" w:type="dxa"/>
            <w:gridSpan w:val="2"/>
            <w:vMerge/>
            <w:shd w:val="clear" w:color="auto" w:fill="F2F2F2" w:themeFill="background1" w:themeFillShade="F2"/>
          </w:tcPr>
          <w:p w14:paraId="69E7028D" w14:textId="77777777" w:rsidR="005F3233" w:rsidRPr="00057759" w:rsidRDefault="005F3233" w:rsidP="005F3233">
            <w:pPr>
              <w:spacing w:after="0"/>
              <w:rPr>
                <w:rFonts w:ascii="Times New Roman" w:hAnsi="Times New Roman" w:cs="Times New Roman"/>
                <w:sz w:val="24"/>
                <w:szCs w:val="24"/>
              </w:rPr>
            </w:pPr>
          </w:p>
        </w:tc>
        <w:tc>
          <w:tcPr>
            <w:tcW w:w="6662" w:type="dxa"/>
          </w:tcPr>
          <w:p w14:paraId="5E59C8B1" w14:textId="77777777"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t>Korištena terminologija „djeca s teškoćama u razvoju“</w:t>
            </w:r>
          </w:p>
          <w:p w14:paraId="3575169A" w14:textId="77777777"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t>Sadrži odredbe kojima se propisuju uvjeti za ostvarivanje prava roditelja djeteta s teškoćama u razvoju.</w:t>
            </w:r>
          </w:p>
        </w:tc>
      </w:tr>
      <w:tr w:rsidR="005F3233" w:rsidRPr="00057759" w14:paraId="5A10820B" w14:textId="77777777" w:rsidTr="005F3233">
        <w:trPr>
          <w:trHeight w:val="1458"/>
        </w:trPr>
        <w:tc>
          <w:tcPr>
            <w:tcW w:w="3114" w:type="dxa"/>
            <w:gridSpan w:val="2"/>
            <w:vMerge w:val="restart"/>
            <w:shd w:val="clear" w:color="auto" w:fill="F2F2F2" w:themeFill="background1" w:themeFillShade="F2"/>
          </w:tcPr>
          <w:p w14:paraId="1FAC5A0A" w14:textId="77777777"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t xml:space="preserve">Naziv nacionalnog propisa koji je usklađen s UN Konvencijom o pravima osoba s invaliditetom </w:t>
            </w:r>
          </w:p>
          <w:p w14:paraId="3206FB70" w14:textId="77777777" w:rsidR="005F3233" w:rsidRPr="00057759" w:rsidRDefault="005F3233" w:rsidP="005F3233">
            <w:pPr>
              <w:spacing w:after="0"/>
              <w:rPr>
                <w:rFonts w:ascii="Times New Roman" w:hAnsi="Times New Roman" w:cs="Times New Roman"/>
                <w:sz w:val="24"/>
                <w:szCs w:val="24"/>
              </w:rPr>
            </w:pPr>
          </w:p>
          <w:p w14:paraId="50E8CE4E" w14:textId="77777777"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t>U kojem djelu se izvršilo usklađivanje</w:t>
            </w:r>
          </w:p>
          <w:p w14:paraId="0E3F5F47" w14:textId="77777777" w:rsidR="005F3233" w:rsidRPr="00057759" w:rsidRDefault="005F3233" w:rsidP="005F3233">
            <w:pPr>
              <w:spacing w:after="0"/>
              <w:rPr>
                <w:rFonts w:ascii="Times New Roman" w:hAnsi="Times New Roman" w:cs="Times New Roman"/>
                <w:sz w:val="24"/>
                <w:szCs w:val="24"/>
              </w:rPr>
            </w:pPr>
          </w:p>
        </w:tc>
        <w:tc>
          <w:tcPr>
            <w:tcW w:w="6662" w:type="dxa"/>
            <w:shd w:val="clear" w:color="auto" w:fill="D9E2F3" w:themeFill="accent1" w:themeFillTint="33"/>
          </w:tcPr>
          <w:p w14:paraId="3036F193" w14:textId="77777777"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t>Zakon o humanitarnoj pomoć</w:t>
            </w:r>
          </w:p>
          <w:p w14:paraId="46DE5285" w14:textId="77777777"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t>(Narodne novine, br. 120/15 i 98/19)</w:t>
            </w:r>
          </w:p>
        </w:tc>
      </w:tr>
      <w:tr w:rsidR="005F3233" w:rsidRPr="00057759" w14:paraId="464C486B" w14:textId="77777777" w:rsidTr="005F3233">
        <w:trPr>
          <w:trHeight w:val="910"/>
        </w:trPr>
        <w:tc>
          <w:tcPr>
            <w:tcW w:w="3114" w:type="dxa"/>
            <w:gridSpan w:val="2"/>
            <w:vMerge/>
            <w:shd w:val="clear" w:color="auto" w:fill="F2F2F2" w:themeFill="background1" w:themeFillShade="F2"/>
          </w:tcPr>
          <w:p w14:paraId="4659D602" w14:textId="77777777" w:rsidR="005F3233" w:rsidRPr="00057759" w:rsidRDefault="005F3233" w:rsidP="005F3233">
            <w:pPr>
              <w:spacing w:after="0"/>
              <w:rPr>
                <w:rFonts w:ascii="Times New Roman" w:hAnsi="Times New Roman" w:cs="Times New Roman"/>
                <w:sz w:val="24"/>
                <w:szCs w:val="24"/>
              </w:rPr>
            </w:pPr>
          </w:p>
        </w:tc>
        <w:tc>
          <w:tcPr>
            <w:tcW w:w="6662" w:type="dxa"/>
          </w:tcPr>
          <w:p w14:paraId="7F73E7C9" w14:textId="77777777"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t>Humanitarna pomoć pruža se neovisno o rasi ili etničkoj pripadnosti ili boji kože, spolu, jeziku, vjeri, političkom ili drugom uvjerenju, nacionalnom ili socijalnom podrijetlu, imovnom stanju, članstvu u sindikatu, obrazovanju, društvenom položaju, bračnom ili obiteljskom statusu, dobi, zdravstvenom stanju, invaliditetu, genetskom nasljeđu, rodnom identitetu, izražavanju ili spolnoj orijentaciji</w:t>
            </w:r>
          </w:p>
          <w:p w14:paraId="1C8FFACA" w14:textId="77777777"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t>Sadrži odredbe o inspekcijskom nadzoru: Inspekcijski nadzor nad humanitarnim akcijama koje organiziraju neprofitne pravne osobe kojima nije odobreno stalno prikupljanje i pružanje humanitarne pomoći, profitne pravne osobe te fizičke osobe provodi se na način da nadzor nad humanitarnim akcijama usmjerenima:</w:t>
            </w:r>
          </w:p>
          <w:p w14:paraId="5A94D918" w14:textId="77777777" w:rsidR="005F3233" w:rsidRPr="008C6E0A" w:rsidRDefault="005F3233" w:rsidP="005F3233">
            <w:pPr>
              <w:spacing w:after="0"/>
              <w:rPr>
                <w:rFonts w:ascii="Times New Roman" w:hAnsi="Times New Roman" w:cs="Times New Roman"/>
                <w:sz w:val="10"/>
                <w:szCs w:val="10"/>
              </w:rPr>
            </w:pPr>
          </w:p>
          <w:p w14:paraId="1B595306" w14:textId="77777777"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t>– liječenju bolesti, liječenju djece, liječenju odraslih osoba, rehabilitaciji djece s teškoćama i osoba s invaliditetom, nabavi medicinskih uređaja i opreme te nabavi ortopedskih i drugih pomagala provode inspektori ministarstva nadležnog za zdravlje</w:t>
            </w:r>
          </w:p>
          <w:p w14:paraId="4CD2D6D5" w14:textId="77777777" w:rsidR="005F3233" w:rsidRPr="008C6E0A" w:rsidRDefault="005F3233" w:rsidP="005F3233">
            <w:pPr>
              <w:spacing w:after="0"/>
              <w:rPr>
                <w:rFonts w:ascii="Times New Roman" w:hAnsi="Times New Roman" w:cs="Times New Roman"/>
                <w:sz w:val="10"/>
                <w:szCs w:val="10"/>
              </w:rPr>
            </w:pPr>
          </w:p>
          <w:p w14:paraId="4F88986C" w14:textId="77777777"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t>– zadovoljavanju potreba za prehranom i odjećom, pomoći u obnovi, izgradnji i opremanju stambenih, javnih i drugih objekata, pomoći za umanjivanje posljedica nesreća, velikih nesreća i katastrofa na imovini fizičkih osoba te ublažavanja ili sprječavanja mogućih uzroka socijalne isključenosti provode inspektori ministarstva nadležnog za socijalnu skrb.</w:t>
            </w:r>
          </w:p>
        </w:tc>
      </w:tr>
      <w:tr w:rsidR="005F3233" w:rsidRPr="00057759" w14:paraId="00B3BB01" w14:textId="77777777" w:rsidTr="008C6E0A">
        <w:trPr>
          <w:trHeight w:val="549"/>
        </w:trPr>
        <w:tc>
          <w:tcPr>
            <w:tcW w:w="3114" w:type="dxa"/>
            <w:gridSpan w:val="2"/>
            <w:vMerge w:val="restart"/>
            <w:shd w:val="clear" w:color="auto" w:fill="F2F2F2" w:themeFill="background1" w:themeFillShade="F2"/>
          </w:tcPr>
          <w:p w14:paraId="7782FAE6" w14:textId="77777777"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t xml:space="preserve">Naziv nacionalnog propisa koji je usklađen s UN Konvencijom o pravima osoba s invaliditetom </w:t>
            </w:r>
          </w:p>
          <w:p w14:paraId="76E03513" w14:textId="77777777" w:rsidR="005F3233" w:rsidRPr="00057759" w:rsidRDefault="005F3233" w:rsidP="005F3233">
            <w:pPr>
              <w:spacing w:after="0"/>
              <w:rPr>
                <w:rFonts w:ascii="Times New Roman" w:hAnsi="Times New Roman" w:cs="Times New Roman"/>
                <w:sz w:val="24"/>
                <w:szCs w:val="24"/>
              </w:rPr>
            </w:pPr>
          </w:p>
          <w:p w14:paraId="12610CEC" w14:textId="77777777"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lastRenderedPageBreak/>
              <w:t>U kojem djelu se izvršilo usklađivanje</w:t>
            </w:r>
          </w:p>
          <w:p w14:paraId="30396651" w14:textId="77777777" w:rsidR="005F3233" w:rsidRPr="00057759" w:rsidRDefault="005F3233" w:rsidP="005F3233">
            <w:pPr>
              <w:spacing w:after="0"/>
              <w:rPr>
                <w:rFonts w:ascii="Times New Roman" w:hAnsi="Times New Roman" w:cs="Times New Roman"/>
                <w:sz w:val="24"/>
                <w:szCs w:val="24"/>
              </w:rPr>
            </w:pPr>
          </w:p>
        </w:tc>
        <w:tc>
          <w:tcPr>
            <w:tcW w:w="6662" w:type="dxa"/>
            <w:shd w:val="clear" w:color="auto" w:fill="D9E2F3" w:themeFill="accent1" w:themeFillTint="33"/>
          </w:tcPr>
          <w:p w14:paraId="25170E30" w14:textId="77777777"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lastRenderedPageBreak/>
              <w:t>Zakon o dadiljama</w:t>
            </w:r>
          </w:p>
          <w:p w14:paraId="00881C56" w14:textId="77777777"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t>(Narodne novine, br. 37/13 i 98/19)</w:t>
            </w:r>
          </w:p>
        </w:tc>
      </w:tr>
      <w:tr w:rsidR="005F3233" w:rsidRPr="00057759" w14:paraId="004AF9EF" w14:textId="77777777" w:rsidTr="005F3233">
        <w:trPr>
          <w:trHeight w:val="617"/>
        </w:trPr>
        <w:tc>
          <w:tcPr>
            <w:tcW w:w="3114" w:type="dxa"/>
            <w:gridSpan w:val="2"/>
            <w:vMerge/>
            <w:shd w:val="clear" w:color="auto" w:fill="F2F2F2" w:themeFill="background1" w:themeFillShade="F2"/>
          </w:tcPr>
          <w:p w14:paraId="0A19CBD7" w14:textId="77777777" w:rsidR="005F3233" w:rsidRPr="00057759" w:rsidRDefault="005F3233" w:rsidP="005F3233">
            <w:pPr>
              <w:spacing w:after="0"/>
              <w:rPr>
                <w:rFonts w:ascii="Times New Roman" w:hAnsi="Times New Roman" w:cs="Times New Roman"/>
                <w:sz w:val="24"/>
                <w:szCs w:val="24"/>
              </w:rPr>
            </w:pPr>
          </w:p>
        </w:tc>
        <w:tc>
          <w:tcPr>
            <w:tcW w:w="6662" w:type="dxa"/>
          </w:tcPr>
          <w:p w14:paraId="1AADB81B" w14:textId="77777777"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t>Korištena terminologija „djeca s teškoćama u razvoju“</w:t>
            </w:r>
          </w:p>
          <w:p w14:paraId="157CA977" w14:textId="77777777"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t>Definirane odredbe za brigu o djeci s teškoćama u razvoju</w:t>
            </w:r>
          </w:p>
          <w:p w14:paraId="6A7E09CD" w14:textId="77777777"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lastRenderedPageBreak/>
              <w:t>Pravilnikom o uvjetima prostora i opremljenosti prostora odgovarajućom opremom i ostalim uvjetima za obavljanje djelatnosti dadilje (Narodne novine, br. 74/13 i 27/20) propisuje se obveza nesmetanog pristupa, kretanja i boravak u prostoru teže pokretnoj djeci ili djeci u invalidskim kolicima</w:t>
            </w:r>
          </w:p>
        </w:tc>
      </w:tr>
      <w:tr w:rsidR="005F3233" w:rsidRPr="00057759" w14:paraId="4DB78A2E" w14:textId="77777777" w:rsidTr="008C6E0A">
        <w:trPr>
          <w:trHeight w:val="688"/>
        </w:trPr>
        <w:tc>
          <w:tcPr>
            <w:tcW w:w="3114" w:type="dxa"/>
            <w:gridSpan w:val="2"/>
            <w:vMerge w:val="restart"/>
            <w:shd w:val="clear" w:color="auto" w:fill="F2F2F2" w:themeFill="background1" w:themeFillShade="F2"/>
          </w:tcPr>
          <w:p w14:paraId="5762EDFC" w14:textId="77777777" w:rsidR="005F3233" w:rsidRPr="00057759" w:rsidRDefault="005F3233" w:rsidP="005F3233">
            <w:pPr>
              <w:spacing w:after="0"/>
              <w:rPr>
                <w:rFonts w:ascii="Times New Roman" w:hAnsi="Times New Roman" w:cs="Times New Roman"/>
                <w:sz w:val="24"/>
                <w:szCs w:val="24"/>
              </w:rPr>
            </w:pPr>
            <w:bookmarkStart w:id="185" w:name="_Hlk50550104"/>
            <w:r w:rsidRPr="00057759">
              <w:rPr>
                <w:rFonts w:ascii="Times New Roman" w:hAnsi="Times New Roman" w:cs="Times New Roman"/>
                <w:sz w:val="24"/>
                <w:szCs w:val="24"/>
              </w:rPr>
              <w:lastRenderedPageBreak/>
              <w:t xml:space="preserve">Naziv nacionalnog propisa koji je usklađen s UN Konvencijom o pravima osoba s invaliditetom </w:t>
            </w:r>
          </w:p>
          <w:p w14:paraId="0950C42E" w14:textId="77777777" w:rsidR="005F3233" w:rsidRPr="00057759" w:rsidRDefault="005F3233" w:rsidP="005F3233">
            <w:pPr>
              <w:spacing w:after="0"/>
              <w:rPr>
                <w:rFonts w:ascii="Times New Roman" w:hAnsi="Times New Roman" w:cs="Times New Roman"/>
                <w:sz w:val="24"/>
                <w:szCs w:val="24"/>
              </w:rPr>
            </w:pPr>
          </w:p>
          <w:p w14:paraId="7A82BC39" w14:textId="77777777"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t>U kojem djelu se izvršilo usklađivanje</w:t>
            </w:r>
          </w:p>
          <w:p w14:paraId="047BDAA9" w14:textId="77777777" w:rsidR="005F3233" w:rsidRPr="00057759" w:rsidRDefault="005F3233" w:rsidP="005F3233">
            <w:pPr>
              <w:spacing w:after="0"/>
              <w:rPr>
                <w:rFonts w:ascii="Times New Roman" w:hAnsi="Times New Roman" w:cs="Times New Roman"/>
                <w:sz w:val="24"/>
                <w:szCs w:val="24"/>
              </w:rPr>
            </w:pPr>
          </w:p>
        </w:tc>
        <w:tc>
          <w:tcPr>
            <w:tcW w:w="6662" w:type="dxa"/>
            <w:shd w:val="clear" w:color="auto" w:fill="D9E2F3" w:themeFill="accent1" w:themeFillTint="33"/>
          </w:tcPr>
          <w:p w14:paraId="1E8033ED" w14:textId="77777777"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t xml:space="preserve"> Zakon o edukacijsko-rehabilitacijskoj djelatnosti </w:t>
            </w:r>
          </w:p>
          <w:p w14:paraId="3754DD38" w14:textId="77777777"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t>(Narodne novine, br. 124/11 i 16/19)</w:t>
            </w:r>
          </w:p>
        </w:tc>
      </w:tr>
      <w:tr w:rsidR="005F3233" w:rsidRPr="00057759" w14:paraId="387713C6" w14:textId="77777777" w:rsidTr="005F3233">
        <w:trPr>
          <w:trHeight w:val="617"/>
        </w:trPr>
        <w:tc>
          <w:tcPr>
            <w:tcW w:w="3114" w:type="dxa"/>
            <w:gridSpan w:val="2"/>
            <w:vMerge/>
            <w:shd w:val="clear" w:color="auto" w:fill="F2F2F2" w:themeFill="background1" w:themeFillShade="F2"/>
          </w:tcPr>
          <w:p w14:paraId="153CE293" w14:textId="77777777" w:rsidR="005F3233" w:rsidRPr="00057759" w:rsidRDefault="005F3233" w:rsidP="005F3233">
            <w:pPr>
              <w:spacing w:after="0"/>
              <w:rPr>
                <w:rFonts w:ascii="Times New Roman" w:hAnsi="Times New Roman" w:cs="Times New Roman"/>
                <w:sz w:val="24"/>
                <w:szCs w:val="24"/>
              </w:rPr>
            </w:pPr>
          </w:p>
        </w:tc>
        <w:tc>
          <w:tcPr>
            <w:tcW w:w="6662" w:type="dxa"/>
          </w:tcPr>
          <w:p w14:paraId="5BCCEF67" w14:textId="77777777"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t>Korištena terminologija „djeca s teškoćama u razvoju“ i „osobe s invaliditetom“</w:t>
            </w:r>
          </w:p>
          <w:p w14:paraId="60091FA1" w14:textId="77777777"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t>Promicanje pristupačnosti uslugama, uklanjanju prostornih prepreka i pristupu informacijama.</w:t>
            </w:r>
          </w:p>
          <w:p w14:paraId="590F3BD4" w14:textId="77777777"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t>Edukacijsko-rehabilitacijsku djelatnost čine pojedinačno ili skupno usmjereni edukacijsko-rehabilitacijski postupci te mjere utemeljene na načelima i spoznajama edukacijsko-rehabilitacijskih znanosti i prakse (članak 2. Zakona)</w:t>
            </w:r>
          </w:p>
        </w:tc>
      </w:tr>
      <w:bookmarkEnd w:id="185"/>
      <w:tr w:rsidR="005F3233" w:rsidRPr="00057759" w14:paraId="6351424B" w14:textId="77777777" w:rsidTr="005F3233">
        <w:trPr>
          <w:trHeight w:val="841"/>
        </w:trPr>
        <w:tc>
          <w:tcPr>
            <w:tcW w:w="3114" w:type="dxa"/>
            <w:gridSpan w:val="2"/>
            <w:vMerge w:val="restart"/>
            <w:shd w:val="clear" w:color="auto" w:fill="F2F2F2" w:themeFill="background1" w:themeFillShade="F2"/>
          </w:tcPr>
          <w:p w14:paraId="4B3E7203" w14:textId="77777777"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t xml:space="preserve">Naziv nacionalnog propisa koji je usklađen s UN Konvencijom o pravima osoba s invaliditetom </w:t>
            </w:r>
          </w:p>
          <w:p w14:paraId="35A8CA30" w14:textId="77777777" w:rsidR="005F3233" w:rsidRPr="00057759" w:rsidRDefault="005F3233" w:rsidP="005F3233">
            <w:pPr>
              <w:spacing w:after="0"/>
              <w:rPr>
                <w:rFonts w:ascii="Times New Roman" w:hAnsi="Times New Roman" w:cs="Times New Roman"/>
                <w:sz w:val="24"/>
                <w:szCs w:val="24"/>
              </w:rPr>
            </w:pPr>
          </w:p>
          <w:p w14:paraId="276158E6" w14:textId="77777777"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t>U kojem djelu se izvršilo usklađivanje</w:t>
            </w:r>
          </w:p>
          <w:p w14:paraId="5C9C31A4" w14:textId="77777777" w:rsidR="005F3233" w:rsidRPr="00057759" w:rsidRDefault="005F3233" w:rsidP="005F3233">
            <w:pPr>
              <w:spacing w:after="0"/>
              <w:rPr>
                <w:rFonts w:ascii="Times New Roman" w:hAnsi="Times New Roman" w:cs="Times New Roman"/>
                <w:sz w:val="24"/>
                <w:szCs w:val="24"/>
              </w:rPr>
            </w:pPr>
          </w:p>
        </w:tc>
        <w:tc>
          <w:tcPr>
            <w:tcW w:w="6662" w:type="dxa"/>
            <w:shd w:val="clear" w:color="auto" w:fill="D9E2F3" w:themeFill="accent1" w:themeFillTint="33"/>
          </w:tcPr>
          <w:p w14:paraId="6F29425B" w14:textId="77777777"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t> Zakon o djelatnosti socijalnog rada</w:t>
            </w:r>
          </w:p>
          <w:p w14:paraId="1CE39ED6" w14:textId="77777777"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t xml:space="preserve"> (Narodne novine, broj 16/19)</w:t>
            </w:r>
          </w:p>
        </w:tc>
      </w:tr>
      <w:tr w:rsidR="005F3233" w:rsidRPr="00057759" w14:paraId="1E569709" w14:textId="77777777" w:rsidTr="005F3233">
        <w:trPr>
          <w:trHeight w:val="617"/>
        </w:trPr>
        <w:tc>
          <w:tcPr>
            <w:tcW w:w="3114" w:type="dxa"/>
            <w:gridSpan w:val="2"/>
            <w:vMerge/>
            <w:shd w:val="clear" w:color="auto" w:fill="F2F2F2" w:themeFill="background1" w:themeFillShade="F2"/>
          </w:tcPr>
          <w:p w14:paraId="3F692D2F" w14:textId="77777777" w:rsidR="005F3233" w:rsidRPr="00057759" w:rsidRDefault="005F3233" w:rsidP="005F3233">
            <w:pPr>
              <w:spacing w:after="0"/>
              <w:rPr>
                <w:rFonts w:ascii="Times New Roman" w:hAnsi="Times New Roman" w:cs="Times New Roman"/>
                <w:sz w:val="24"/>
                <w:szCs w:val="24"/>
              </w:rPr>
            </w:pPr>
          </w:p>
        </w:tc>
        <w:tc>
          <w:tcPr>
            <w:tcW w:w="6662" w:type="dxa"/>
          </w:tcPr>
          <w:p w14:paraId="40F73A2B" w14:textId="77777777"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t>Korištena terminologija „djeca s teškoćama u razvoju“ i „osobe s invaliditetom“.</w:t>
            </w:r>
          </w:p>
          <w:p w14:paraId="677F5225" w14:textId="77777777"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t>Ovim Zakonom uređuje se sadržaj, uvjeti i način obavljanja djelatnosti socijalnog rada, standard obrazovanja, stručni nadzor nad obavljanjem djelatnosti socijalnog rada u Republici Hrvatskoj kao djelatnosti od interesa za Republiku Hrvatsku.</w:t>
            </w:r>
          </w:p>
          <w:p w14:paraId="1A7F3D12" w14:textId="77777777"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t>Cilj je obavljanja djelatnosti socijalnog rada osnaživanje pojedinaca, obitelji, grupa i zajednice te razvoj njihovih sposobnosti za samopomoć, poticanje socijalnih promjena, razvoj kvalitetnih i dostupnih socijalnih usluga, promicanje socijalne kohezije, zastupanje osjetljivih i obesnaženih društvenih skupina te otklanjanje zapreka s kojima se ljudi susreću u ostvarivanju svoje socijalne sigurnosti, postizanje socijalno pravednog društva koje je zasnovano na humanizmu i ljudskim pravima koje svim svojim članovima omogućava dostojanstven život.</w:t>
            </w:r>
          </w:p>
        </w:tc>
      </w:tr>
      <w:tr w:rsidR="005F3233" w:rsidRPr="00057759" w14:paraId="044C25C1" w14:textId="77777777" w:rsidTr="005F3233">
        <w:trPr>
          <w:trHeight w:val="841"/>
        </w:trPr>
        <w:tc>
          <w:tcPr>
            <w:tcW w:w="3114" w:type="dxa"/>
            <w:gridSpan w:val="2"/>
            <w:vMerge w:val="restart"/>
            <w:shd w:val="clear" w:color="auto" w:fill="F2F2F2" w:themeFill="background1" w:themeFillShade="F2"/>
          </w:tcPr>
          <w:p w14:paraId="7AECF049" w14:textId="77777777" w:rsidR="005F3233" w:rsidRPr="00057759" w:rsidRDefault="005F3233" w:rsidP="005F3233">
            <w:pPr>
              <w:spacing w:after="0"/>
              <w:rPr>
                <w:rFonts w:ascii="Times New Roman" w:hAnsi="Times New Roman" w:cs="Times New Roman"/>
                <w:sz w:val="24"/>
                <w:szCs w:val="24"/>
              </w:rPr>
            </w:pPr>
            <w:bookmarkStart w:id="186" w:name="_Hlk50552505"/>
            <w:r w:rsidRPr="00057759">
              <w:rPr>
                <w:rFonts w:ascii="Times New Roman" w:hAnsi="Times New Roman" w:cs="Times New Roman"/>
                <w:sz w:val="24"/>
                <w:szCs w:val="24"/>
              </w:rPr>
              <w:t xml:space="preserve">Naziv nacionalnog propisa koji je usklađen s UN Konvencijom o pravima osoba s invaliditetom </w:t>
            </w:r>
          </w:p>
          <w:p w14:paraId="6ECB0D50" w14:textId="77777777" w:rsidR="005F3233" w:rsidRPr="00057759" w:rsidRDefault="005F3233" w:rsidP="005F3233">
            <w:pPr>
              <w:spacing w:after="0"/>
              <w:rPr>
                <w:rFonts w:ascii="Times New Roman" w:hAnsi="Times New Roman" w:cs="Times New Roman"/>
                <w:sz w:val="24"/>
                <w:szCs w:val="24"/>
              </w:rPr>
            </w:pPr>
          </w:p>
          <w:p w14:paraId="4043B185" w14:textId="2D2723AC"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t>U kojem djelu se izvršilo usklađivanje</w:t>
            </w:r>
          </w:p>
        </w:tc>
        <w:tc>
          <w:tcPr>
            <w:tcW w:w="6662" w:type="dxa"/>
            <w:shd w:val="clear" w:color="auto" w:fill="D9E2F3" w:themeFill="accent1" w:themeFillTint="33"/>
          </w:tcPr>
          <w:p w14:paraId="7FFE22A4" w14:textId="77777777"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t xml:space="preserve">Zakon o djelatnosti psihoterapije </w:t>
            </w:r>
          </w:p>
          <w:p w14:paraId="5383D9EC" w14:textId="77777777"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t>(Narodne novine, broj 64/18)</w:t>
            </w:r>
          </w:p>
        </w:tc>
      </w:tr>
      <w:bookmarkEnd w:id="186"/>
      <w:tr w:rsidR="005F3233" w:rsidRPr="00057759" w14:paraId="6ACE96AC" w14:textId="77777777" w:rsidTr="005F3233">
        <w:trPr>
          <w:trHeight w:val="617"/>
        </w:trPr>
        <w:tc>
          <w:tcPr>
            <w:tcW w:w="3114" w:type="dxa"/>
            <w:gridSpan w:val="2"/>
            <w:vMerge/>
            <w:shd w:val="clear" w:color="auto" w:fill="F2F2F2" w:themeFill="background1" w:themeFillShade="F2"/>
          </w:tcPr>
          <w:p w14:paraId="7851099E" w14:textId="77777777" w:rsidR="005F3233" w:rsidRPr="00057759" w:rsidRDefault="005F3233" w:rsidP="005F3233">
            <w:pPr>
              <w:spacing w:after="0"/>
              <w:rPr>
                <w:rFonts w:ascii="Times New Roman" w:hAnsi="Times New Roman" w:cs="Times New Roman"/>
                <w:sz w:val="24"/>
                <w:szCs w:val="24"/>
              </w:rPr>
            </w:pPr>
          </w:p>
        </w:tc>
        <w:tc>
          <w:tcPr>
            <w:tcW w:w="6662" w:type="dxa"/>
          </w:tcPr>
          <w:p w14:paraId="57EAEE8E" w14:textId="77777777"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t>Omogućen pristup psihoterapiji osobama koje zbog svojih teškoća nisu u mogućnosti doći u sjedište prakse (članak 8., stavak 5. Zakona)</w:t>
            </w:r>
          </w:p>
        </w:tc>
      </w:tr>
      <w:tr w:rsidR="005F3233" w:rsidRPr="00057759" w14:paraId="1A807B1E" w14:textId="77777777" w:rsidTr="005F3233">
        <w:trPr>
          <w:trHeight w:val="732"/>
        </w:trPr>
        <w:tc>
          <w:tcPr>
            <w:tcW w:w="3114" w:type="dxa"/>
            <w:gridSpan w:val="2"/>
            <w:vMerge w:val="restart"/>
            <w:shd w:val="clear" w:color="auto" w:fill="F2F2F2" w:themeFill="background1" w:themeFillShade="F2"/>
          </w:tcPr>
          <w:p w14:paraId="12774391" w14:textId="77777777"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t xml:space="preserve">Naziv nacionalnog propisa koji je usklađen s UN </w:t>
            </w:r>
            <w:r w:rsidRPr="00057759">
              <w:rPr>
                <w:rFonts w:ascii="Times New Roman" w:hAnsi="Times New Roman" w:cs="Times New Roman"/>
                <w:sz w:val="24"/>
                <w:szCs w:val="24"/>
              </w:rPr>
              <w:lastRenderedPageBreak/>
              <w:t xml:space="preserve">Konvencijom o pravima osoba s invaliditetom </w:t>
            </w:r>
          </w:p>
          <w:p w14:paraId="0467C78E" w14:textId="77777777" w:rsidR="005F3233" w:rsidRPr="00057759" w:rsidRDefault="005F3233" w:rsidP="005F3233">
            <w:pPr>
              <w:spacing w:after="0"/>
              <w:rPr>
                <w:rFonts w:ascii="Times New Roman" w:hAnsi="Times New Roman" w:cs="Times New Roman"/>
                <w:sz w:val="24"/>
                <w:szCs w:val="24"/>
              </w:rPr>
            </w:pPr>
          </w:p>
          <w:p w14:paraId="0BC26000" w14:textId="519048C9"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t>U kojem djelu se izvršilo usklađivanje</w:t>
            </w:r>
          </w:p>
        </w:tc>
        <w:tc>
          <w:tcPr>
            <w:tcW w:w="6662" w:type="dxa"/>
            <w:shd w:val="clear" w:color="auto" w:fill="D9E2F3" w:themeFill="accent1" w:themeFillTint="33"/>
          </w:tcPr>
          <w:p w14:paraId="3AE993DA" w14:textId="77777777"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lastRenderedPageBreak/>
              <w:t xml:space="preserve">Zakon o pravobranitelju za djecu </w:t>
            </w:r>
          </w:p>
          <w:p w14:paraId="2DD9E059" w14:textId="77777777"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t>(Narodne novine, broj 73/17)</w:t>
            </w:r>
          </w:p>
        </w:tc>
      </w:tr>
      <w:tr w:rsidR="005F3233" w:rsidRPr="00057759" w14:paraId="01ED2CE7" w14:textId="77777777" w:rsidTr="00BB3A51">
        <w:trPr>
          <w:trHeight w:val="1400"/>
        </w:trPr>
        <w:tc>
          <w:tcPr>
            <w:tcW w:w="3114" w:type="dxa"/>
            <w:gridSpan w:val="2"/>
            <w:vMerge/>
            <w:shd w:val="clear" w:color="auto" w:fill="F2F2F2" w:themeFill="background1" w:themeFillShade="F2"/>
          </w:tcPr>
          <w:p w14:paraId="4DFFFDFF" w14:textId="77777777" w:rsidR="005F3233" w:rsidRPr="00057759" w:rsidRDefault="005F3233" w:rsidP="005F3233">
            <w:pPr>
              <w:spacing w:after="0"/>
              <w:rPr>
                <w:rFonts w:ascii="Times New Roman" w:hAnsi="Times New Roman" w:cs="Times New Roman"/>
                <w:sz w:val="24"/>
                <w:szCs w:val="24"/>
              </w:rPr>
            </w:pPr>
          </w:p>
        </w:tc>
        <w:tc>
          <w:tcPr>
            <w:tcW w:w="6662" w:type="dxa"/>
          </w:tcPr>
          <w:p w14:paraId="70C00024" w14:textId="77777777"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t>Korištena terminologija „djeca s teškoćama u razvoju“</w:t>
            </w:r>
          </w:p>
          <w:p w14:paraId="10D2637C" w14:textId="77777777" w:rsidR="005F3233" w:rsidRPr="008C6E0A" w:rsidRDefault="005F3233" w:rsidP="005F3233">
            <w:pPr>
              <w:spacing w:after="0"/>
              <w:rPr>
                <w:rFonts w:ascii="Times New Roman" w:hAnsi="Times New Roman" w:cs="Times New Roman"/>
                <w:sz w:val="12"/>
                <w:szCs w:val="12"/>
              </w:rPr>
            </w:pPr>
          </w:p>
          <w:p w14:paraId="723F5001" w14:textId="77777777"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t>Pravobranitelj za djecu štiti, prati i promiče prava i interese djece na temelju Ustava Republike Hrvatske, međunarodnih ugovora, obvezujućih pravnih akata Europske unije i zakona.</w:t>
            </w:r>
          </w:p>
        </w:tc>
      </w:tr>
      <w:bookmarkEnd w:id="181"/>
      <w:tr w:rsidR="005F3233" w:rsidRPr="00057759" w14:paraId="2B0C150E" w14:textId="77777777" w:rsidTr="00BB3A51">
        <w:tc>
          <w:tcPr>
            <w:tcW w:w="3114" w:type="dxa"/>
            <w:gridSpan w:val="2"/>
            <w:shd w:val="clear" w:color="auto" w:fill="F2F2F2" w:themeFill="background1" w:themeFillShade="F2"/>
          </w:tcPr>
          <w:p w14:paraId="02E05B2F" w14:textId="77777777"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t>Tijelo državne uprave koje dostavlja podatke</w:t>
            </w:r>
          </w:p>
        </w:tc>
        <w:tc>
          <w:tcPr>
            <w:tcW w:w="6662" w:type="dxa"/>
            <w:shd w:val="clear" w:color="auto" w:fill="E2EFD9" w:themeFill="accent6" w:themeFillTint="33"/>
            <w:vAlign w:val="center"/>
          </w:tcPr>
          <w:p w14:paraId="7416D591" w14:textId="77777777"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t>SREDIŠNJI DRŽAVNI URED ZA ŠPORT</w:t>
            </w:r>
          </w:p>
        </w:tc>
      </w:tr>
      <w:tr w:rsidR="005F3233" w:rsidRPr="00057759" w14:paraId="5D2EE775" w14:textId="77777777" w:rsidTr="005F3233">
        <w:tc>
          <w:tcPr>
            <w:tcW w:w="3114" w:type="dxa"/>
            <w:gridSpan w:val="2"/>
            <w:shd w:val="clear" w:color="auto" w:fill="F2F2F2" w:themeFill="background1" w:themeFillShade="F2"/>
          </w:tcPr>
          <w:p w14:paraId="09909654" w14:textId="77777777"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t>Ukupan broj propisa u  nadležnosti ministarstva</w:t>
            </w:r>
          </w:p>
        </w:tc>
        <w:tc>
          <w:tcPr>
            <w:tcW w:w="6662" w:type="dxa"/>
          </w:tcPr>
          <w:p w14:paraId="0AE3B8A2" w14:textId="77777777" w:rsidR="005F3233" w:rsidRPr="00057759" w:rsidRDefault="005F3233" w:rsidP="005F3233">
            <w:pPr>
              <w:spacing w:after="0"/>
              <w:rPr>
                <w:rFonts w:ascii="Times New Roman" w:hAnsi="Times New Roman" w:cs="Times New Roman"/>
                <w:sz w:val="24"/>
                <w:szCs w:val="24"/>
              </w:rPr>
            </w:pPr>
          </w:p>
        </w:tc>
      </w:tr>
      <w:tr w:rsidR="005F3233" w:rsidRPr="00057759" w14:paraId="29B5507F" w14:textId="77777777" w:rsidTr="005F3233">
        <w:tc>
          <w:tcPr>
            <w:tcW w:w="3114" w:type="dxa"/>
            <w:gridSpan w:val="2"/>
            <w:shd w:val="clear" w:color="auto" w:fill="F2F2F2" w:themeFill="background1" w:themeFillShade="F2"/>
          </w:tcPr>
          <w:p w14:paraId="6B724DB7" w14:textId="77777777"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t>Ukupan broj propisa iz Vaše nadležnosti koji je usklađen s UN Konvencijom o pravima osoba s invaliditetom</w:t>
            </w:r>
          </w:p>
        </w:tc>
        <w:tc>
          <w:tcPr>
            <w:tcW w:w="6662" w:type="dxa"/>
          </w:tcPr>
          <w:p w14:paraId="1B1C59FF" w14:textId="77777777" w:rsidR="005F3233" w:rsidRPr="00057759" w:rsidRDefault="005F3233" w:rsidP="005F3233">
            <w:pPr>
              <w:spacing w:after="0"/>
              <w:rPr>
                <w:rFonts w:ascii="Times New Roman" w:hAnsi="Times New Roman" w:cs="Times New Roman"/>
                <w:sz w:val="24"/>
                <w:szCs w:val="24"/>
              </w:rPr>
            </w:pPr>
          </w:p>
        </w:tc>
      </w:tr>
      <w:tr w:rsidR="005F3233" w:rsidRPr="00057759" w14:paraId="6DFD0404" w14:textId="77777777" w:rsidTr="00C84654">
        <w:trPr>
          <w:trHeight w:val="905"/>
        </w:trPr>
        <w:tc>
          <w:tcPr>
            <w:tcW w:w="3114" w:type="dxa"/>
            <w:gridSpan w:val="2"/>
            <w:vMerge w:val="restart"/>
            <w:shd w:val="clear" w:color="auto" w:fill="F2F2F2" w:themeFill="background1" w:themeFillShade="F2"/>
          </w:tcPr>
          <w:p w14:paraId="2BDDEF34" w14:textId="77777777" w:rsidR="005F3233" w:rsidRPr="00057759" w:rsidRDefault="005F3233" w:rsidP="005F3233">
            <w:pPr>
              <w:spacing w:after="0"/>
              <w:rPr>
                <w:rFonts w:ascii="Times New Roman" w:hAnsi="Times New Roman" w:cs="Times New Roman"/>
                <w:sz w:val="24"/>
                <w:szCs w:val="24"/>
              </w:rPr>
            </w:pPr>
            <w:bookmarkStart w:id="187" w:name="_Hlk56082184"/>
            <w:r w:rsidRPr="00057759">
              <w:rPr>
                <w:rFonts w:ascii="Times New Roman" w:hAnsi="Times New Roman" w:cs="Times New Roman"/>
                <w:sz w:val="24"/>
                <w:szCs w:val="24"/>
              </w:rPr>
              <w:t xml:space="preserve">Naziv nacionalnog propisa koji je usklađen s UN Konvencijom o pravima osoba s invaliditetom </w:t>
            </w:r>
          </w:p>
          <w:p w14:paraId="7C2E7A46" w14:textId="77777777" w:rsidR="005F3233" w:rsidRPr="00C84654" w:rsidRDefault="005F3233" w:rsidP="005F3233">
            <w:pPr>
              <w:spacing w:after="0"/>
              <w:rPr>
                <w:rFonts w:ascii="Times New Roman" w:hAnsi="Times New Roman" w:cs="Times New Roman"/>
                <w:sz w:val="12"/>
                <w:szCs w:val="12"/>
              </w:rPr>
            </w:pPr>
          </w:p>
          <w:p w14:paraId="4594ADFB" w14:textId="356F6E3B"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t>U kojem djelu se izvršilo usklađivanj</w:t>
            </w:r>
            <w:r w:rsidR="00BB3A51">
              <w:rPr>
                <w:rFonts w:ascii="Times New Roman" w:hAnsi="Times New Roman" w:cs="Times New Roman"/>
                <w:sz w:val="24"/>
                <w:szCs w:val="24"/>
              </w:rPr>
              <w:t>e</w:t>
            </w:r>
          </w:p>
        </w:tc>
        <w:tc>
          <w:tcPr>
            <w:tcW w:w="6662" w:type="dxa"/>
            <w:shd w:val="clear" w:color="auto" w:fill="D9E2F3" w:themeFill="accent1" w:themeFillTint="33"/>
          </w:tcPr>
          <w:p w14:paraId="73E35125" w14:textId="77777777"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t>Zakon o sportu</w:t>
            </w:r>
          </w:p>
          <w:p w14:paraId="72ACE5E9" w14:textId="77777777"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t>(Narodne novine, br. 71/06, 124/10, 124/11, 86/12, 94/13, 85/15, 19/16 i 98/19)</w:t>
            </w:r>
          </w:p>
        </w:tc>
      </w:tr>
      <w:tr w:rsidR="005F3233" w:rsidRPr="00057759" w14:paraId="37938C9D" w14:textId="77777777" w:rsidTr="00BB3A51">
        <w:trPr>
          <w:trHeight w:val="617"/>
        </w:trPr>
        <w:tc>
          <w:tcPr>
            <w:tcW w:w="3114" w:type="dxa"/>
            <w:gridSpan w:val="2"/>
            <w:vMerge/>
            <w:shd w:val="clear" w:color="auto" w:fill="F2F2F2" w:themeFill="background1" w:themeFillShade="F2"/>
          </w:tcPr>
          <w:p w14:paraId="1E900EB5" w14:textId="77777777" w:rsidR="005F3233" w:rsidRPr="00057759" w:rsidRDefault="005F3233" w:rsidP="005F3233">
            <w:pPr>
              <w:spacing w:after="0"/>
              <w:rPr>
                <w:rFonts w:ascii="Times New Roman" w:hAnsi="Times New Roman" w:cs="Times New Roman"/>
                <w:sz w:val="24"/>
                <w:szCs w:val="24"/>
              </w:rPr>
            </w:pPr>
          </w:p>
        </w:tc>
        <w:tc>
          <w:tcPr>
            <w:tcW w:w="6662" w:type="dxa"/>
            <w:shd w:val="clear" w:color="auto" w:fill="auto"/>
          </w:tcPr>
          <w:p w14:paraId="2F38F81F" w14:textId="77777777"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t>Članak 53., članak 54., članak 75. i članak 76. stavak 1. točka 7.</w:t>
            </w:r>
          </w:p>
        </w:tc>
      </w:tr>
      <w:bookmarkEnd w:id="187"/>
      <w:tr w:rsidR="005F3233" w:rsidRPr="00057759" w14:paraId="1F1A074E" w14:textId="77777777" w:rsidTr="005F3233">
        <w:trPr>
          <w:trHeight w:val="780"/>
        </w:trPr>
        <w:tc>
          <w:tcPr>
            <w:tcW w:w="3114" w:type="dxa"/>
            <w:gridSpan w:val="2"/>
            <w:vMerge w:val="restart"/>
            <w:shd w:val="clear" w:color="auto" w:fill="F2F2F2" w:themeFill="background1" w:themeFillShade="F2"/>
          </w:tcPr>
          <w:p w14:paraId="32862439" w14:textId="77777777"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t xml:space="preserve">Naziv nacionalnog propisa koji je usklađen s UN Konvencijom o pravima osoba s invaliditetom </w:t>
            </w:r>
          </w:p>
          <w:p w14:paraId="5F287998" w14:textId="77777777" w:rsidR="005F3233" w:rsidRPr="00057759" w:rsidRDefault="005F3233" w:rsidP="005F3233">
            <w:pPr>
              <w:spacing w:after="0"/>
              <w:rPr>
                <w:rFonts w:ascii="Times New Roman" w:hAnsi="Times New Roman" w:cs="Times New Roman"/>
                <w:sz w:val="24"/>
                <w:szCs w:val="24"/>
              </w:rPr>
            </w:pPr>
          </w:p>
          <w:p w14:paraId="2ECDA2B9" w14:textId="77777777"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t>U kojem djelu se izvršilo usklađivanje</w:t>
            </w:r>
          </w:p>
          <w:p w14:paraId="21E85944" w14:textId="77777777" w:rsidR="005F3233" w:rsidRPr="00057759" w:rsidRDefault="005F3233" w:rsidP="005F3233">
            <w:pPr>
              <w:spacing w:after="0"/>
              <w:rPr>
                <w:rFonts w:ascii="Times New Roman" w:hAnsi="Times New Roman" w:cs="Times New Roman"/>
                <w:sz w:val="24"/>
                <w:szCs w:val="24"/>
              </w:rPr>
            </w:pPr>
          </w:p>
        </w:tc>
        <w:tc>
          <w:tcPr>
            <w:tcW w:w="6662" w:type="dxa"/>
            <w:shd w:val="clear" w:color="auto" w:fill="D9E2F3" w:themeFill="accent1" w:themeFillTint="33"/>
          </w:tcPr>
          <w:p w14:paraId="69B5592C" w14:textId="77777777"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t xml:space="preserve">Nacionalni program športa 2019. - 2026. </w:t>
            </w:r>
          </w:p>
          <w:p w14:paraId="6D2AD428" w14:textId="77777777"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t xml:space="preserve">(Narodne novine, broj 69/19) </w:t>
            </w:r>
          </w:p>
        </w:tc>
      </w:tr>
      <w:tr w:rsidR="005F3233" w:rsidRPr="00057759" w14:paraId="59BEDB88" w14:textId="77777777" w:rsidTr="005F3233">
        <w:trPr>
          <w:trHeight w:val="1697"/>
        </w:trPr>
        <w:tc>
          <w:tcPr>
            <w:tcW w:w="3114" w:type="dxa"/>
            <w:gridSpan w:val="2"/>
            <w:vMerge/>
            <w:shd w:val="clear" w:color="auto" w:fill="F2F2F2" w:themeFill="background1" w:themeFillShade="F2"/>
          </w:tcPr>
          <w:p w14:paraId="44971014" w14:textId="77777777" w:rsidR="005F3233" w:rsidRPr="00057759" w:rsidRDefault="005F3233" w:rsidP="005F3233">
            <w:pPr>
              <w:spacing w:after="0"/>
              <w:rPr>
                <w:rFonts w:ascii="Times New Roman" w:hAnsi="Times New Roman" w:cs="Times New Roman"/>
                <w:sz w:val="24"/>
                <w:szCs w:val="24"/>
              </w:rPr>
            </w:pPr>
          </w:p>
        </w:tc>
        <w:tc>
          <w:tcPr>
            <w:tcW w:w="6662" w:type="dxa"/>
            <w:shd w:val="clear" w:color="auto" w:fill="auto"/>
          </w:tcPr>
          <w:p w14:paraId="1DF545A5" w14:textId="77777777"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t xml:space="preserve">Poseban cilj 2.2. Poticati programe univerzalnih športskih škola i osigurati provođenje obuke tjelesnih aktivnosti s visokim </w:t>
            </w:r>
            <w:proofErr w:type="spellStart"/>
            <w:r w:rsidRPr="00057759">
              <w:rPr>
                <w:rFonts w:ascii="Times New Roman" w:hAnsi="Times New Roman" w:cs="Times New Roman"/>
                <w:sz w:val="24"/>
                <w:szCs w:val="24"/>
              </w:rPr>
              <w:t>utilitetom</w:t>
            </w:r>
            <w:proofErr w:type="spellEnd"/>
          </w:p>
          <w:p w14:paraId="657D7FC4" w14:textId="77777777"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t xml:space="preserve">Mjera/Način ostvarenja: </w:t>
            </w:r>
          </w:p>
          <w:p w14:paraId="1A9B5E38" w14:textId="77777777" w:rsidR="005F3233" w:rsidRPr="008C6E0A" w:rsidRDefault="005F3233" w:rsidP="005F3233">
            <w:pPr>
              <w:spacing w:after="0"/>
              <w:rPr>
                <w:rFonts w:ascii="Times New Roman" w:hAnsi="Times New Roman" w:cs="Times New Roman"/>
                <w:sz w:val="10"/>
                <w:szCs w:val="10"/>
              </w:rPr>
            </w:pPr>
            <w:r w:rsidRPr="00057759">
              <w:rPr>
                <w:rFonts w:ascii="Times New Roman" w:hAnsi="Times New Roman" w:cs="Times New Roman"/>
                <w:sz w:val="24"/>
                <w:szCs w:val="24"/>
              </w:rPr>
              <w:t xml:space="preserve">2.2.1. osigurati provođenje obuke tjelesnih aktivnosti s visokim </w:t>
            </w:r>
            <w:proofErr w:type="spellStart"/>
            <w:r w:rsidRPr="00057759">
              <w:rPr>
                <w:rFonts w:ascii="Times New Roman" w:hAnsi="Times New Roman" w:cs="Times New Roman"/>
                <w:sz w:val="24"/>
                <w:szCs w:val="24"/>
              </w:rPr>
              <w:t>utilitetom</w:t>
            </w:r>
            <w:proofErr w:type="spellEnd"/>
            <w:r w:rsidRPr="00057759">
              <w:rPr>
                <w:rFonts w:ascii="Times New Roman" w:hAnsi="Times New Roman" w:cs="Times New Roman"/>
                <w:sz w:val="24"/>
                <w:szCs w:val="24"/>
              </w:rPr>
              <w:t xml:space="preserve"> u urgentnim situacijama </w:t>
            </w:r>
            <w:r w:rsidRPr="00057759">
              <w:rPr>
                <w:rFonts w:ascii="Times New Roman" w:hAnsi="Times New Roman" w:cs="Times New Roman"/>
                <w:sz w:val="24"/>
                <w:szCs w:val="24"/>
              </w:rPr>
              <w:br/>
            </w:r>
          </w:p>
          <w:p w14:paraId="557A3FEB" w14:textId="77777777"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t xml:space="preserve">Poseban cilj 2.3. Povećati broj prilika za zdravstveno usmjereno tjelesno vježbanje u okviru sustava obrazovanja 2.3.4. Integrirati osobe s invaliditetom u sustav školskog i akademskog športa </w:t>
            </w:r>
          </w:p>
          <w:p w14:paraId="4DF2EF57" w14:textId="77777777" w:rsidR="005F3233" w:rsidRPr="008C6E0A" w:rsidRDefault="005F3233" w:rsidP="005F3233">
            <w:pPr>
              <w:spacing w:after="0"/>
              <w:rPr>
                <w:rFonts w:ascii="Times New Roman" w:hAnsi="Times New Roman" w:cs="Times New Roman"/>
                <w:sz w:val="10"/>
                <w:szCs w:val="10"/>
              </w:rPr>
            </w:pPr>
          </w:p>
          <w:p w14:paraId="7BD4B5B1" w14:textId="77777777"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t xml:space="preserve">Poseban cilj 3.3. Poboljšati status manje zastupljenih skupina u sustavu športa </w:t>
            </w:r>
          </w:p>
          <w:p w14:paraId="2A4B4661" w14:textId="77777777"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t xml:space="preserve">Mjera/Način ostvarenja: </w:t>
            </w:r>
          </w:p>
          <w:p w14:paraId="24D7D37A" w14:textId="77777777"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t xml:space="preserve">3.3.1. Povećati uključenost osoba s invaliditetom u sustav športa </w:t>
            </w:r>
          </w:p>
          <w:p w14:paraId="06D8B9CE" w14:textId="77777777"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t xml:space="preserve">3.3.2. Povećati uključenost socijalno osjetljivih skupina u sustav športa </w:t>
            </w:r>
          </w:p>
          <w:p w14:paraId="435CB614" w14:textId="77777777"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t xml:space="preserve">3.3.3. Poticanje, promicanje i skrb o športovima i športsko rekreacijskim aktivnostima za osobe s invaliditetom </w:t>
            </w:r>
          </w:p>
          <w:p w14:paraId="56C1F77A" w14:textId="77777777" w:rsidR="005F3233" w:rsidRPr="008C6E0A" w:rsidRDefault="005F3233" w:rsidP="005F3233">
            <w:pPr>
              <w:spacing w:after="0"/>
              <w:rPr>
                <w:rFonts w:ascii="Times New Roman" w:hAnsi="Times New Roman" w:cs="Times New Roman"/>
                <w:sz w:val="10"/>
                <w:szCs w:val="10"/>
              </w:rPr>
            </w:pPr>
          </w:p>
          <w:p w14:paraId="6A3FF7D5" w14:textId="77777777"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t xml:space="preserve">Poseban cilj 4.2. Prilagoditi broj i opremljenost športskih građevina stvarnim potrebama u športu </w:t>
            </w:r>
          </w:p>
          <w:p w14:paraId="33139187" w14:textId="77777777"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t xml:space="preserve">Mjera/Način ostvarenja: </w:t>
            </w:r>
          </w:p>
          <w:p w14:paraId="191F1D97" w14:textId="3D55B5CF"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t>4.2.4. Prilagoditi športske građevine osobama s invaliditetom</w:t>
            </w:r>
          </w:p>
        </w:tc>
      </w:tr>
    </w:tbl>
    <w:p w14:paraId="09F8DAA8" w14:textId="77777777" w:rsidR="005F3233" w:rsidRPr="00057759" w:rsidRDefault="005F3233" w:rsidP="005F3233">
      <w:pPr>
        <w:spacing w:after="0"/>
        <w:rPr>
          <w:rFonts w:ascii="Times New Roman" w:hAnsi="Times New Roman" w:cs="Times New Roman"/>
          <w:sz w:val="24"/>
          <w:szCs w:val="24"/>
        </w:rPr>
      </w:pPr>
    </w:p>
    <w:p w14:paraId="2AE9283D" w14:textId="77777777" w:rsidR="005F3233" w:rsidRPr="00057759" w:rsidRDefault="005F3233" w:rsidP="005F3233">
      <w:pPr>
        <w:spacing w:after="0"/>
        <w:rPr>
          <w:rFonts w:ascii="Times New Roman" w:hAnsi="Times New Roman" w:cs="Times New Roman"/>
          <w:sz w:val="24"/>
          <w:szCs w:val="24"/>
        </w:rPr>
      </w:pPr>
      <w:r w:rsidRPr="00057759">
        <w:rPr>
          <w:rFonts w:ascii="Times New Roman" w:hAnsi="Times New Roman" w:cs="Times New Roman"/>
          <w:sz w:val="24"/>
          <w:szCs w:val="24"/>
        </w:rPr>
        <w:lastRenderedPageBreak/>
        <w:t xml:space="preserve">Napomena: provedena mjera služi kao početni okvir u pogledu </w:t>
      </w:r>
      <w:proofErr w:type="spellStart"/>
      <w:r w:rsidRPr="00057759">
        <w:rPr>
          <w:rFonts w:ascii="Times New Roman" w:hAnsi="Times New Roman" w:cs="Times New Roman"/>
          <w:sz w:val="24"/>
          <w:szCs w:val="24"/>
        </w:rPr>
        <w:t>mapiranih</w:t>
      </w:r>
      <w:proofErr w:type="spellEnd"/>
      <w:r w:rsidRPr="00057759">
        <w:rPr>
          <w:rFonts w:ascii="Times New Roman" w:hAnsi="Times New Roman" w:cs="Times New Roman"/>
          <w:sz w:val="24"/>
          <w:szCs w:val="24"/>
        </w:rPr>
        <w:t xml:space="preserve"> propisa, te je mjeru potrebno i nadalje provoditi sa svrhom unapređenja i ažuriranja podataka. Isto je izrađeno na temelju zaprimljenih odgovora tijela državne uprave.</w:t>
      </w:r>
    </w:p>
    <w:p w14:paraId="4DB97165" w14:textId="77777777" w:rsidR="005F3233" w:rsidRDefault="005F3233" w:rsidP="005F3233">
      <w:pPr>
        <w:spacing w:after="0"/>
        <w:rPr>
          <w:rFonts w:ascii="Times New Roman" w:hAnsi="Times New Roman" w:cs="Times New Roman"/>
          <w:sz w:val="24"/>
          <w:szCs w:val="24"/>
        </w:rPr>
      </w:pPr>
    </w:p>
    <w:p w14:paraId="5E40033C" w14:textId="77777777" w:rsidR="005F3233" w:rsidRPr="00057759" w:rsidRDefault="005F3233" w:rsidP="005F3233">
      <w:pPr>
        <w:spacing w:after="0"/>
        <w:jc w:val="both"/>
        <w:rPr>
          <w:rFonts w:ascii="Times New Roman" w:hAnsi="Times New Roman" w:cs="Times New Roman"/>
          <w:sz w:val="24"/>
          <w:szCs w:val="24"/>
        </w:rPr>
      </w:pPr>
      <w:r w:rsidRPr="00285427">
        <w:rPr>
          <w:rFonts w:ascii="Times New Roman" w:hAnsi="Times New Roman" w:cs="Times New Roman"/>
          <w:sz w:val="24"/>
          <w:szCs w:val="24"/>
        </w:rPr>
        <w:t>Zakonom o ustrojstvu i djelokrugu tijela državne uprave (20</w:t>
      </w:r>
      <w:r>
        <w:rPr>
          <w:rFonts w:ascii="Times New Roman" w:hAnsi="Times New Roman" w:cs="Times New Roman"/>
          <w:sz w:val="24"/>
          <w:szCs w:val="24"/>
        </w:rPr>
        <w:t>20.</w:t>
      </w:r>
      <w:r w:rsidRPr="00285427">
        <w:rPr>
          <w:rFonts w:ascii="Times New Roman" w:hAnsi="Times New Roman" w:cs="Times New Roman"/>
          <w:sz w:val="24"/>
          <w:szCs w:val="24"/>
        </w:rPr>
        <w:t>) ustrojavaju se tijela državne uprave te se utvrđuje njihov djelokrug. U skladu s navedenim izvršiti će se i izmjene u mapiranju propisa koje je u tijeku a izrađuje se u okviru Izvješća o provedbi mjera Nacionalne strategije izjednačavanja mogućnosti za osobe s invaliditetom od 2017. do 2020. godine, za 2020. godinu</w:t>
      </w:r>
      <w:r>
        <w:rPr>
          <w:rFonts w:ascii="Times New Roman" w:hAnsi="Times New Roman" w:cs="Times New Roman"/>
          <w:sz w:val="24"/>
          <w:szCs w:val="24"/>
        </w:rPr>
        <w:t>.</w:t>
      </w:r>
    </w:p>
    <w:p w14:paraId="32A8482D" w14:textId="77777777" w:rsidR="005F3233" w:rsidRDefault="005F3233" w:rsidP="00830F31">
      <w:pPr>
        <w:pStyle w:val="Naslov1"/>
        <w:rPr>
          <w:rFonts w:ascii="Times New Roman" w:hAnsi="Times New Roman" w:cs="Times New Roman"/>
          <w:color w:val="auto"/>
          <w:sz w:val="24"/>
          <w:szCs w:val="24"/>
        </w:rPr>
      </w:pPr>
    </w:p>
    <w:p w14:paraId="78F5BAEE" w14:textId="77777777" w:rsidR="00BB3A51" w:rsidRDefault="00BB3A51">
      <w:pPr>
        <w:rPr>
          <w:rFonts w:ascii="Times New Roman" w:eastAsia="Times New Roman" w:hAnsi="Times New Roman" w:cs="Times New Roman"/>
          <w:b/>
          <w:bCs/>
          <w:sz w:val="24"/>
          <w:szCs w:val="24"/>
          <w:u w:val="single"/>
          <w:lang w:eastAsia="hr-HR"/>
        </w:rPr>
      </w:pPr>
      <w:r>
        <w:rPr>
          <w:rFonts w:ascii="Times New Roman" w:eastAsia="Times New Roman" w:hAnsi="Times New Roman" w:cs="Times New Roman"/>
          <w:b/>
          <w:bCs/>
          <w:sz w:val="24"/>
          <w:szCs w:val="24"/>
          <w:u w:val="single"/>
          <w:lang w:eastAsia="hr-HR"/>
        </w:rPr>
        <w:br w:type="page"/>
      </w:r>
    </w:p>
    <w:p w14:paraId="20B366D3" w14:textId="1C2CAD01" w:rsidR="005F3233" w:rsidRPr="00441E57" w:rsidRDefault="005F3233" w:rsidP="005F3233">
      <w:pPr>
        <w:spacing w:after="0" w:line="240" w:lineRule="auto"/>
        <w:rPr>
          <w:rFonts w:ascii="Times New Roman" w:eastAsia="Times New Roman" w:hAnsi="Times New Roman" w:cs="Times New Roman"/>
          <w:b/>
          <w:bCs/>
          <w:sz w:val="24"/>
          <w:szCs w:val="24"/>
          <w:u w:val="single"/>
          <w:lang w:eastAsia="hr-HR"/>
        </w:rPr>
      </w:pPr>
      <w:r w:rsidRPr="00441E57">
        <w:rPr>
          <w:rFonts w:ascii="Times New Roman" w:eastAsia="Times New Roman" w:hAnsi="Times New Roman" w:cs="Times New Roman"/>
          <w:b/>
          <w:bCs/>
          <w:sz w:val="24"/>
          <w:szCs w:val="24"/>
          <w:u w:val="single"/>
          <w:lang w:eastAsia="hr-HR"/>
        </w:rPr>
        <w:lastRenderedPageBreak/>
        <w:t>Prilog 2</w:t>
      </w:r>
    </w:p>
    <w:p w14:paraId="1D7C7C88" w14:textId="77777777" w:rsidR="005F3233" w:rsidRDefault="005F3233" w:rsidP="005F3233">
      <w:pPr>
        <w:spacing w:after="0" w:line="240" w:lineRule="auto"/>
        <w:jc w:val="center"/>
        <w:rPr>
          <w:rFonts w:ascii="Times New Roman" w:eastAsia="Times New Roman" w:hAnsi="Times New Roman" w:cs="Times New Roman"/>
          <w:b/>
          <w:bCs/>
          <w:sz w:val="24"/>
          <w:szCs w:val="24"/>
          <w:lang w:eastAsia="hr-HR"/>
        </w:rPr>
      </w:pPr>
    </w:p>
    <w:p w14:paraId="4BC21E26" w14:textId="77777777" w:rsidR="005F3233" w:rsidRPr="00837B71" w:rsidRDefault="005F3233" w:rsidP="005F3233">
      <w:pPr>
        <w:spacing w:after="0" w:line="240" w:lineRule="auto"/>
        <w:jc w:val="center"/>
        <w:rPr>
          <w:rFonts w:ascii="Times New Roman" w:eastAsia="Times New Roman" w:hAnsi="Times New Roman" w:cs="Times New Roman"/>
          <w:b/>
          <w:bCs/>
          <w:sz w:val="24"/>
          <w:szCs w:val="24"/>
          <w:lang w:eastAsia="hr-HR"/>
        </w:rPr>
      </w:pPr>
      <w:r w:rsidRPr="00837B71">
        <w:rPr>
          <w:rFonts w:ascii="Times New Roman" w:eastAsia="Times New Roman" w:hAnsi="Times New Roman" w:cs="Times New Roman"/>
          <w:b/>
          <w:bCs/>
          <w:sz w:val="24"/>
          <w:szCs w:val="24"/>
          <w:lang w:eastAsia="hr-HR"/>
        </w:rPr>
        <w:t>PRAĆENJE PROVEDBE NACIONALNE STRATEGIJE ZA UKLJUČIVANJE ROMA, ZA RAZDOBLJE OD 2013. DO 2020. GODINE</w:t>
      </w:r>
    </w:p>
    <w:p w14:paraId="710B647E" w14:textId="77777777" w:rsidR="005F3233" w:rsidRDefault="005F3233" w:rsidP="005F3233">
      <w:pPr>
        <w:spacing w:after="0" w:line="240" w:lineRule="auto"/>
        <w:jc w:val="both"/>
        <w:rPr>
          <w:rFonts w:ascii="Times New Roman" w:eastAsia="Times New Roman" w:hAnsi="Times New Roman" w:cs="Times New Roman"/>
          <w:sz w:val="24"/>
          <w:szCs w:val="24"/>
          <w:lang w:eastAsia="hr-HR"/>
        </w:rPr>
      </w:pPr>
    </w:p>
    <w:p w14:paraId="5D1B1F45" w14:textId="77777777" w:rsidR="005F3233" w:rsidRDefault="005F3233" w:rsidP="005F3233">
      <w:pPr>
        <w:spacing w:after="0" w:line="240" w:lineRule="auto"/>
        <w:jc w:val="both"/>
        <w:rPr>
          <w:rFonts w:ascii="Times New Roman" w:eastAsia="Times New Roman" w:hAnsi="Times New Roman" w:cs="Times New Roman"/>
          <w:sz w:val="24"/>
          <w:szCs w:val="24"/>
          <w:lang w:eastAsia="hr-HR"/>
        </w:rPr>
      </w:pPr>
    </w:p>
    <w:p w14:paraId="748B90AD" w14:textId="77777777" w:rsidR="005F3233" w:rsidRDefault="005F3233" w:rsidP="005F3233">
      <w:pPr>
        <w:spacing w:after="0" w:line="240" w:lineRule="auto"/>
        <w:jc w:val="both"/>
        <w:rPr>
          <w:rFonts w:ascii="Times New Roman" w:eastAsia="Times New Roman" w:hAnsi="Times New Roman" w:cs="Times New Roman"/>
          <w:sz w:val="24"/>
          <w:szCs w:val="24"/>
          <w:lang w:eastAsia="hr-HR"/>
        </w:rPr>
      </w:pPr>
    </w:p>
    <w:p w14:paraId="293A2B4B" w14:textId="77777777" w:rsidR="005F3233" w:rsidRDefault="005F3233" w:rsidP="005F3233">
      <w:pPr>
        <w:spacing w:after="0" w:line="240" w:lineRule="auto"/>
        <w:jc w:val="both"/>
        <w:rPr>
          <w:rFonts w:ascii="Times New Roman" w:eastAsia="Times New Roman" w:hAnsi="Times New Roman" w:cs="Times New Roman"/>
          <w:sz w:val="24"/>
          <w:szCs w:val="24"/>
          <w:lang w:eastAsia="hr-HR"/>
        </w:rPr>
      </w:pPr>
      <w:r w:rsidRPr="00BF2325">
        <w:rPr>
          <w:rFonts w:ascii="Times New Roman" w:eastAsia="Times New Roman" w:hAnsi="Times New Roman" w:cs="Times New Roman"/>
          <w:sz w:val="24"/>
          <w:szCs w:val="24"/>
          <w:lang w:eastAsia="hr-HR"/>
        </w:rPr>
        <w:t>U okviru Nacionalne strategije dva posebna cilja odnosila su se na pripadnike romske nacionalne manjine s invaliditetom u području zdravstvene zaštite (Povećati dostupnost zdravstvenih usluga romskoj populaciji s naglaskom na osobe treće životne dobi, osobe s invaliditetom, oštećenjima, posebnim potrebama i mobilne romske skupine) i u području socijalne skrbi (Podići kvalitetu, dostupnost i pravovremenost socijalnih usluga i usluga u zajednici s posebnim naglaskom na žene, djecu, mladež, osobe starije životne dobi i osobe s invaliditetom). Najvažniji ciljevi u području obrazovanja pripadnika romske nacionalne manjine odnose se na uključivanje djece u sustav odgoja i obrazovanja , od najranije dobi preko osnovnoškolskog obrazovanja te zadržavanja u sustavu, do srednjoškolskog te visokoškolskog obrazovanja</w:t>
      </w:r>
    </w:p>
    <w:p w14:paraId="379BAC32" w14:textId="77777777" w:rsidR="005F3233" w:rsidRDefault="005F3233" w:rsidP="005F3233">
      <w:pPr>
        <w:spacing w:after="0" w:line="240" w:lineRule="auto"/>
        <w:jc w:val="both"/>
        <w:rPr>
          <w:rFonts w:ascii="Times New Roman" w:eastAsia="Times New Roman" w:hAnsi="Times New Roman" w:cs="Times New Roman"/>
          <w:sz w:val="24"/>
          <w:szCs w:val="24"/>
          <w:lang w:eastAsia="hr-HR"/>
        </w:rPr>
      </w:pPr>
    </w:p>
    <w:p w14:paraId="6A29CCBC" w14:textId="77777777" w:rsidR="005F3233" w:rsidRDefault="005F3233" w:rsidP="005F3233">
      <w:pPr>
        <w:spacing w:after="0" w:line="240" w:lineRule="auto"/>
        <w:jc w:val="both"/>
        <w:rPr>
          <w:rFonts w:ascii="Times New Roman" w:eastAsia="Times New Roman" w:hAnsi="Times New Roman" w:cs="Times New Roman"/>
          <w:sz w:val="24"/>
          <w:szCs w:val="24"/>
          <w:lang w:eastAsia="hr-HR"/>
        </w:rPr>
      </w:pPr>
      <w:r w:rsidRPr="001A157D">
        <w:rPr>
          <w:rFonts w:ascii="Times New Roman" w:eastAsia="Times New Roman" w:hAnsi="Times New Roman" w:cs="Times New Roman"/>
          <w:sz w:val="24"/>
          <w:szCs w:val="24"/>
          <w:lang w:eastAsia="hr-HR"/>
        </w:rPr>
        <w:t>Posebna pozornost invalid</w:t>
      </w:r>
      <w:r>
        <w:rPr>
          <w:rFonts w:ascii="Times New Roman" w:eastAsia="Times New Roman" w:hAnsi="Times New Roman" w:cs="Times New Roman"/>
          <w:sz w:val="24"/>
          <w:szCs w:val="24"/>
          <w:lang w:eastAsia="hr-HR"/>
        </w:rPr>
        <w:t>itetu</w:t>
      </w:r>
      <w:r w:rsidRPr="001A157D">
        <w:rPr>
          <w:rFonts w:ascii="Times New Roman" w:eastAsia="Times New Roman" w:hAnsi="Times New Roman" w:cs="Times New Roman"/>
          <w:sz w:val="24"/>
          <w:szCs w:val="24"/>
          <w:lang w:eastAsia="hr-HR"/>
        </w:rPr>
        <w:t xml:space="preserve"> posvećena je i pri provedbi Godišnjeg programa poboljšanja uvjeta življenja i stambeno</w:t>
      </w:r>
      <w:r>
        <w:rPr>
          <w:rFonts w:ascii="Times New Roman" w:eastAsia="Times New Roman" w:hAnsi="Times New Roman" w:cs="Times New Roman"/>
          <w:sz w:val="24"/>
          <w:szCs w:val="24"/>
          <w:lang w:eastAsia="hr-HR"/>
        </w:rPr>
        <w:t xml:space="preserve"> </w:t>
      </w:r>
      <w:r w:rsidRPr="001A157D">
        <w:rPr>
          <w:rFonts w:ascii="Times New Roman" w:eastAsia="Times New Roman" w:hAnsi="Times New Roman" w:cs="Times New Roman"/>
          <w:sz w:val="24"/>
          <w:szCs w:val="24"/>
          <w:lang w:eastAsia="hr-HR"/>
        </w:rPr>
        <w:t>zbrinjavanje pripadnika romske nacionalne manjine za 2020. godinu. Povjerenstvo za praćenje provedbe Nacionalne strategije za uključivanje Roma, za razdoblje od 2013. do 2020. godine osnovalo je Komisiju za stambeno zbrinjavanje i poboljšanje uvjeta življenja pripadnika romske nacionalne manjine i Kriterije te bodovanje Programa, a koji posebno uključuju broj i životnu dob članova kućanstva, broj maloljetne djece i stupanj invaliditeta člana kućanstva. Središnji državni ured za obnovu i stambeno zbrinjavanje kao provedbeno tijelo postupa po pojedinačnim odlukama kojima su korisnicima dodijeljeni aparati bijele tehnike i kuhinjski namještaj. U 2020. godini zaprimljeno je na izvršenje 712 pojedinačnih odluka, pri čemu je 16 ostvarilo dodatne bodove temeljem invaliditeta.</w:t>
      </w:r>
    </w:p>
    <w:p w14:paraId="60A02894" w14:textId="77777777" w:rsidR="005F3233" w:rsidRDefault="005F3233" w:rsidP="005F3233">
      <w:pPr>
        <w:spacing w:after="0" w:line="240" w:lineRule="auto"/>
        <w:jc w:val="both"/>
        <w:rPr>
          <w:rFonts w:ascii="Times New Roman" w:eastAsia="Times New Roman" w:hAnsi="Times New Roman" w:cs="Times New Roman"/>
          <w:sz w:val="24"/>
          <w:szCs w:val="24"/>
          <w:lang w:eastAsia="hr-HR"/>
        </w:rPr>
      </w:pPr>
    </w:p>
    <w:p w14:paraId="7B419F43" w14:textId="77777777" w:rsidR="005F3233" w:rsidRDefault="005F3233" w:rsidP="005F3233">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Praćenjem provedbe Nacionalne strategije koju kroz godišnja Izvješća koja </w:t>
      </w:r>
      <w:r w:rsidRPr="00837B71">
        <w:rPr>
          <w:rFonts w:ascii="Times New Roman" w:eastAsia="Times New Roman" w:hAnsi="Times New Roman" w:cs="Times New Roman"/>
          <w:sz w:val="24"/>
          <w:szCs w:val="24"/>
          <w:lang w:eastAsia="hr-HR"/>
        </w:rPr>
        <w:t xml:space="preserve">Ured svake godine podnosi Vladi Republike Hrvatske </w:t>
      </w:r>
      <w:r>
        <w:rPr>
          <w:rFonts w:ascii="Times New Roman" w:eastAsia="Times New Roman" w:hAnsi="Times New Roman" w:cs="Times New Roman"/>
          <w:sz w:val="24"/>
          <w:szCs w:val="24"/>
          <w:lang w:eastAsia="hr-HR"/>
        </w:rPr>
        <w:t xml:space="preserve">vidljivo je da je </w:t>
      </w:r>
      <w:r w:rsidRPr="00837B71">
        <w:rPr>
          <w:rFonts w:ascii="Times New Roman" w:eastAsia="Times New Roman" w:hAnsi="Times New Roman" w:cs="Times New Roman"/>
          <w:sz w:val="24"/>
          <w:szCs w:val="24"/>
          <w:lang w:eastAsia="hr-HR"/>
        </w:rPr>
        <w:t xml:space="preserve">primjerice, 2015. godine prema podacima dobivenima od centara za socijalnu skrb s najvećim brojem pripadnika romske nacionalne manjine bilo </w:t>
      </w:r>
      <w:r>
        <w:rPr>
          <w:rFonts w:ascii="Times New Roman" w:eastAsia="Times New Roman" w:hAnsi="Times New Roman" w:cs="Times New Roman"/>
          <w:sz w:val="24"/>
          <w:szCs w:val="24"/>
          <w:lang w:eastAsia="hr-HR"/>
        </w:rPr>
        <w:t xml:space="preserve">je </w:t>
      </w:r>
      <w:r w:rsidRPr="00837B71">
        <w:rPr>
          <w:rFonts w:ascii="Times New Roman" w:eastAsia="Times New Roman" w:hAnsi="Times New Roman" w:cs="Times New Roman"/>
          <w:sz w:val="24"/>
          <w:szCs w:val="24"/>
          <w:lang w:eastAsia="hr-HR"/>
        </w:rPr>
        <w:t xml:space="preserve">ukupno 14.958 pripadnika romske nacionalne manjine primatelja prava iz sustava socijalne skrbi. U kontekstu prava i usluga koje se mogu dovesti u vezu s invaliditetom, u ukupnoj broju od 14.958 pripadnika romske nacionalne manjine koji su korisnici prava i usluga u sustavu socijalne skrbi ukupno su zabilježena: 162 primatelja osobne invalidnine, 436 primatelja doplatka za pomoć i njegu, 11 osoba sa statusom roditelja njegovatelja ili statusom njegovatelja te svega 3 osobe koje su korisnici usluge pomoći u kući. </w:t>
      </w:r>
    </w:p>
    <w:p w14:paraId="1F87C3F4" w14:textId="77777777" w:rsidR="005F3233" w:rsidRPr="00837B71" w:rsidRDefault="005F3233" w:rsidP="005F3233">
      <w:pPr>
        <w:spacing w:after="0" w:line="240" w:lineRule="auto"/>
        <w:jc w:val="both"/>
        <w:rPr>
          <w:rFonts w:ascii="Times New Roman" w:eastAsia="Times New Roman" w:hAnsi="Times New Roman" w:cs="Times New Roman"/>
          <w:sz w:val="24"/>
          <w:szCs w:val="24"/>
          <w:lang w:eastAsia="hr-HR"/>
        </w:rPr>
      </w:pPr>
    </w:p>
    <w:p w14:paraId="36752FCC" w14:textId="77777777" w:rsidR="005F3233" w:rsidRPr="00837B71" w:rsidRDefault="005F3233" w:rsidP="005F3233">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Također </w:t>
      </w:r>
      <w:r w:rsidRPr="00837B71">
        <w:rPr>
          <w:rFonts w:ascii="Times New Roman" w:eastAsia="Times New Roman" w:hAnsi="Times New Roman" w:cs="Times New Roman"/>
          <w:sz w:val="24"/>
          <w:szCs w:val="24"/>
          <w:lang w:eastAsia="hr-HR"/>
        </w:rPr>
        <w:t>Izvješća ukazuju i na brojne aktivnosti regionalne i lokalne razine na uključivanju Roma, iako se razmjerno mali broj referira na invalid</w:t>
      </w:r>
      <w:r>
        <w:rPr>
          <w:rFonts w:ascii="Times New Roman" w:eastAsia="Times New Roman" w:hAnsi="Times New Roman" w:cs="Times New Roman"/>
          <w:sz w:val="24"/>
          <w:szCs w:val="24"/>
          <w:lang w:eastAsia="hr-HR"/>
        </w:rPr>
        <w:t>itet</w:t>
      </w:r>
      <w:r w:rsidRPr="00837B71">
        <w:rPr>
          <w:rFonts w:ascii="Times New Roman" w:eastAsia="Times New Roman" w:hAnsi="Times New Roman" w:cs="Times New Roman"/>
          <w:sz w:val="24"/>
          <w:szCs w:val="24"/>
          <w:lang w:eastAsia="hr-HR"/>
        </w:rPr>
        <w:t xml:space="preserve">: primjerice općina </w:t>
      </w:r>
      <w:proofErr w:type="spellStart"/>
      <w:r w:rsidRPr="00837B71">
        <w:rPr>
          <w:rFonts w:ascii="Times New Roman" w:eastAsia="Times New Roman" w:hAnsi="Times New Roman" w:cs="Times New Roman"/>
          <w:sz w:val="24"/>
          <w:szCs w:val="24"/>
          <w:lang w:eastAsia="hr-HR"/>
        </w:rPr>
        <w:t>Ližnjan</w:t>
      </w:r>
      <w:proofErr w:type="spellEnd"/>
      <w:r w:rsidRPr="00837B71">
        <w:rPr>
          <w:rFonts w:ascii="Times New Roman" w:eastAsia="Times New Roman" w:hAnsi="Times New Roman" w:cs="Times New Roman"/>
          <w:sz w:val="24"/>
          <w:szCs w:val="24"/>
          <w:lang w:eastAsia="hr-HR"/>
        </w:rPr>
        <w:t xml:space="preserve"> koja informira o potpori lokalnoj boćarskoj udruzi i njenom članu, svjetskom prvaku u boćanju za osobe s invaliditetom koji je pripadnik romske nacionalne manjine. </w:t>
      </w:r>
    </w:p>
    <w:p w14:paraId="48B77BE0" w14:textId="77777777" w:rsidR="005F3233" w:rsidRDefault="005F3233" w:rsidP="005F3233">
      <w:pPr>
        <w:spacing w:after="0" w:line="240" w:lineRule="auto"/>
        <w:jc w:val="both"/>
        <w:rPr>
          <w:rFonts w:ascii="Times New Roman" w:eastAsia="Times New Roman" w:hAnsi="Times New Roman" w:cs="Times New Roman"/>
          <w:sz w:val="24"/>
          <w:szCs w:val="24"/>
          <w:lang w:eastAsia="hr-HR"/>
        </w:rPr>
      </w:pPr>
      <w:r w:rsidRPr="00837B71">
        <w:rPr>
          <w:rFonts w:ascii="Times New Roman" w:eastAsia="Times New Roman" w:hAnsi="Times New Roman" w:cs="Times New Roman"/>
          <w:sz w:val="24"/>
          <w:szCs w:val="24"/>
          <w:lang w:eastAsia="hr-HR"/>
        </w:rPr>
        <w:t>Ist</w:t>
      </w:r>
      <w:r>
        <w:rPr>
          <w:rFonts w:ascii="Times New Roman" w:eastAsia="Times New Roman" w:hAnsi="Times New Roman" w:cs="Times New Roman"/>
          <w:sz w:val="24"/>
          <w:szCs w:val="24"/>
          <w:lang w:eastAsia="hr-HR"/>
        </w:rPr>
        <w:t xml:space="preserve">iče se </w:t>
      </w:r>
      <w:r w:rsidRPr="00837B71">
        <w:rPr>
          <w:rFonts w:ascii="Times New Roman" w:eastAsia="Times New Roman" w:hAnsi="Times New Roman" w:cs="Times New Roman"/>
          <w:sz w:val="24"/>
          <w:szCs w:val="24"/>
          <w:lang w:eastAsia="hr-HR"/>
        </w:rPr>
        <w:t xml:space="preserve">i primjer Međimurske županije na čijem području živi velik broj Roma i organizacije </w:t>
      </w:r>
      <w:proofErr w:type="spellStart"/>
      <w:r w:rsidRPr="00837B71">
        <w:rPr>
          <w:rFonts w:ascii="Times New Roman" w:eastAsia="Times New Roman" w:hAnsi="Times New Roman" w:cs="Times New Roman"/>
          <w:sz w:val="24"/>
          <w:szCs w:val="24"/>
          <w:lang w:eastAsia="hr-HR"/>
        </w:rPr>
        <w:t>Médecins</w:t>
      </w:r>
      <w:proofErr w:type="spellEnd"/>
      <w:r w:rsidRPr="00837B71">
        <w:rPr>
          <w:rFonts w:ascii="Times New Roman" w:eastAsia="Times New Roman" w:hAnsi="Times New Roman" w:cs="Times New Roman"/>
          <w:sz w:val="24"/>
          <w:szCs w:val="24"/>
          <w:lang w:eastAsia="hr-HR"/>
        </w:rPr>
        <w:t xml:space="preserve"> </w:t>
      </w:r>
      <w:proofErr w:type="spellStart"/>
      <w:r w:rsidRPr="00837B71">
        <w:rPr>
          <w:rFonts w:ascii="Times New Roman" w:eastAsia="Times New Roman" w:hAnsi="Times New Roman" w:cs="Times New Roman"/>
          <w:sz w:val="24"/>
          <w:szCs w:val="24"/>
          <w:lang w:eastAsia="hr-HR"/>
        </w:rPr>
        <w:t>du</w:t>
      </w:r>
      <w:proofErr w:type="spellEnd"/>
      <w:r w:rsidRPr="00837B71">
        <w:rPr>
          <w:rFonts w:ascii="Times New Roman" w:eastAsia="Times New Roman" w:hAnsi="Times New Roman" w:cs="Times New Roman"/>
          <w:sz w:val="24"/>
          <w:szCs w:val="24"/>
          <w:lang w:eastAsia="hr-HR"/>
        </w:rPr>
        <w:t xml:space="preserve"> Monde koji su provodili projekt PRO HEALTH FOR ROMA s ciljem poboljšanja pristupa romskog stanovništva zdravstvenim ustanovama u Međimurskoj županiji. U okviru projekta zaposlena su tri Roma suradnika u zajednici radi informiranja, savjetovanja i pružanja podrške u ostvarivanju prava i usluga zdravstvene zaštite, uključujući lokalni prijevoz. Izvanrednu fleksibilnost pokazali su i u kontekstu pandemije COVID-19 te su u suradnji s HZJZ-om, Županijom i Gradskim društvom CK Čakovec sudjelovali u prijevodu edukativnih </w:t>
      </w:r>
      <w:r w:rsidRPr="00837B71">
        <w:rPr>
          <w:rFonts w:ascii="Times New Roman" w:eastAsia="Times New Roman" w:hAnsi="Times New Roman" w:cs="Times New Roman"/>
          <w:sz w:val="24"/>
          <w:szCs w:val="24"/>
          <w:lang w:eastAsia="hr-HR"/>
        </w:rPr>
        <w:lastRenderedPageBreak/>
        <w:t xml:space="preserve">letaka o održavanju higijene i smanjivanju širenja </w:t>
      </w:r>
      <w:proofErr w:type="spellStart"/>
      <w:r w:rsidRPr="00837B71">
        <w:rPr>
          <w:rFonts w:ascii="Times New Roman" w:eastAsia="Times New Roman" w:hAnsi="Times New Roman" w:cs="Times New Roman"/>
          <w:sz w:val="24"/>
          <w:szCs w:val="24"/>
          <w:lang w:eastAsia="hr-HR"/>
        </w:rPr>
        <w:t>koronavirusa</w:t>
      </w:r>
      <w:proofErr w:type="spellEnd"/>
      <w:r w:rsidRPr="00837B71">
        <w:rPr>
          <w:rFonts w:ascii="Times New Roman" w:eastAsia="Times New Roman" w:hAnsi="Times New Roman" w:cs="Times New Roman"/>
          <w:sz w:val="24"/>
          <w:szCs w:val="24"/>
          <w:lang w:eastAsia="hr-HR"/>
        </w:rPr>
        <w:t xml:space="preserve">, kao i ostalih bitnih informacija, na </w:t>
      </w:r>
      <w:proofErr w:type="spellStart"/>
      <w:r w:rsidRPr="00837B71">
        <w:rPr>
          <w:rFonts w:ascii="Times New Roman" w:eastAsia="Times New Roman" w:hAnsi="Times New Roman" w:cs="Times New Roman"/>
          <w:sz w:val="24"/>
          <w:szCs w:val="24"/>
          <w:lang w:eastAsia="hr-HR"/>
        </w:rPr>
        <w:t>bajaški</w:t>
      </w:r>
      <w:proofErr w:type="spellEnd"/>
      <w:r w:rsidRPr="00837B71">
        <w:rPr>
          <w:rFonts w:ascii="Times New Roman" w:eastAsia="Times New Roman" w:hAnsi="Times New Roman" w:cs="Times New Roman"/>
          <w:sz w:val="24"/>
          <w:szCs w:val="24"/>
          <w:lang w:eastAsia="hr-HR"/>
        </w:rPr>
        <w:t xml:space="preserve"> rumunjski jezik te distribuciji zaštitne opreme.</w:t>
      </w:r>
    </w:p>
    <w:p w14:paraId="42182740" w14:textId="77777777" w:rsidR="005F3233" w:rsidRDefault="005F3233" w:rsidP="005F3233">
      <w:pPr>
        <w:spacing w:after="0" w:line="240" w:lineRule="auto"/>
        <w:jc w:val="both"/>
        <w:rPr>
          <w:rFonts w:ascii="Times New Roman" w:eastAsia="Times New Roman" w:hAnsi="Times New Roman" w:cs="Times New Roman"/>
          <w:sz w:val="24"/>
          <w:szCs w:val="24"/>
          <w:lang w:eastAsia="hr-HR"/>
        </w:rPr>
      </w:pPr>
    </w:p>
    <w:p w14:paraId="33A6AB27" w14:textId="77777777" w:rsidR="005F3233" w:rsidRPr="00165D3A" w:rsidRDefault="005F3233" w:rsidP="005F3233">
      <w:pPr>
        <w:spacing w:after="0" w:line="240" w:lineRule="auto"/>
        <w:jc w:val="both"/>
        <w:rPr>
          <w:rFonts w:ascii="Times New Roman" w:eastAsia="Times New Roman" w:hAnsi="Times New Roman" w:cs="Times New Roman"/>
          <w:sz w:val="24"/>
          <w:szCs w:val="24"/>
          <w:lang w:eastAsia="hr-HR"/>
        </w:rPr>
      </w:pPr>
      <w:r w:rsidRPr="00165D3A">
        <w:rPr>
          <w:rFonts w:ascii="Times New Roman" w:eastAsia="Times New Roman" w:hAnsi="Times New Roman" w:cs="Times New Roman"/>
          <w:sz w:val="24"/>
          <w:szCs w:val="24"/>
          <w:lang w:eastAsia="hr-HR"/>
        </w:rPr>
        <w:t xml:space="preserve">Sve aktivnosti </w:t>
      </w:r>
      <w:r>
        <w:rPr>
          <w:rFonts w:ascii="Times New Roman" w:eastAsia="Times New Roman" w:hAnsi="Times New Roman" w:cs="Times New Roman"/>
          <w:sz w:val="24"/>
          <w:szCs w:val="24"/>
          <w:lang w:eastAsia="hr-HR"/>
        </w:rPr>
        <w:t xml:space="preserve">usmjerenu odgoju i obrazovanje pripadnika romske nacionalne manjine </w:t>
      </w:r>
      <w:r w:rsidRPr="00165D3A">
        <w:rPr>
          <w:rFonts w:ascii="Times New Roman" w:eastAsia="Times New Roman" w:hAnsi="Times New Roman" w:cs="Times New Roman"/>
          <w:sz w:val="24"/>
          <w:szCs w:val="24"/>
          <w:lang w:eastAsia="hr-HR"/>
        </w:rPr>
        <w:t>u razdoblju od 2015. do 2020. godine temeljile su se na politici socijalnog uključivanja</w:t>
      </w:r>
      <w:r>
        <w:rPr>
          <w:rFonts w:ascii="Times New Roman" w:eastAsia="Times New Roman" w:hAnsi="Times New Roman" w:cs="Times New Roman"/>
          <w:sz w:val="24"/>
          <w:szCs w:val="24"/>
          <w:lang w:eastAsia="hr-HR"/>
        </w:rPr>
        <w:t>, a</w:t>
      </w:r>
      <w:r w:rsidRPr="00165D3A">
        <w:rPr>
          <w:rFonts w:ascii="Times New Roman" w:eastAsia="Times New Roman" w:hAnsi="Times New Roman" w:cs="Times New Roman"/>
          <w:sz w:val="24"/>
          <w:szCs w:val="24"/>
          <w:lang w:eastAsia="hr-HR"/>
        </w:rPr>
        <w:t xml:space="preserve"> </w:t>
      </w:r>
      <w:r>
        <w:rPr>
          <w:rFonts w:ascii="Times New Roman" w:eastAsia="Times New Roman" w:hAnsi="Times New Roman" w:cs="Times New Roman"/>
          <w:sz w:val="24"/>
          <w:szCs w:val="24"/>
          <w:lang w:eastAsia="hr-HR"/>
        </w:rPr>
        <w:t>i</w:t>
      </w:r>
      <w:r w:rsidRPr="00165D3A">
        <w:rPr>
          <w:rFonts w:ascii="Times New Roman" w:eastAsia="Times New Roman" w:hAnsi="Times New Roman" w:cs="Times New Roman"/>
          <w:sz w:val="24"/>
          <w:szCs w:val="24"/>
          <w:lang w:eastAsia="hr-HR"/>
        </w:rPr>
        <w:t>zvješća o provedbi Nacionalne strategije</w:t>
      </w:r>
      <w:r>
        <w:rPr>
          <w:rFonts w:ascii="Times New Roman" w:eastAsia="Times New Roman" w:hAnsi="Times New Roman" w:cs="Times New Roman"/>
          <w:sz w:val="24"/>
          <w:szCs w:val="24"/>
          <w:lang w:eastAsia="hr-HR"/>
        </w:rPr>
        <w:t xml:space="preserve"> </w:t>
      </w:r>
      <w:r w:rsidRPr="001A157D">
        <w:rPr>
          <w:rFonts w:ascii="Times New Roman" w:eastAsia="Times New Roman" w:hAnsi="Times New Roman" w:cs="Times New Roman"/>
          <w:sz w:val="24"/>
          <w:szCs w:val="24"/>
          <w:lang w:eastAsia="hr-HR"/>
        </w:rPr>
        <w:t>za uključivanje Roma</w:t>
      </w:r>
      <w:r w:rsidRPr="00165D3A">
        <w:rPr>
          <w:rFonts w:ascii="Times New Roman" w:eastAsia="Times New Roman" w:hAnsi="Times New Roman" w:cs="Times New Roman"/>
          <w:sz w:val="24"/>
          <w:szCs w:val="24"/>
          <w:lang w:eastAsia="hr-HR"/>
        </w:rPr>
        <w:t xml:space="preserve"> i Akcijskog plana pokazuju </w:t>
      </w:r>
      <w:r>
        <w:rPr>
          <w:rFonts w:ascii="Times New Roman" w:eastAsia="Times New Roman" w:hAnsi="Times New Roman" w:cs="Times New Roman"/>
          <w:sz w:val="24"/>
          <w:szCs w:val="24"/>
          <w:lang w:eastAsia="hr-HR"/>
        </w:rPr>
        <w:t xml:space="preserve">da je </w:t>
      </w:r>
      <w:r w:rsidRPr="00165D3A">
        <w:rPr>
          <w:rFonts w:ascii="Times New Roman" w:eastAsia="Times New Roman" w:hAnsi="Times New Roman" w:cs="Times New Roman"/>
          <w:sz w:val="24"/>
          <w:szCs w:val="24"/>
          <w:lang w:eastAsia="hr-HR"/>
        </w:rPr>
        <w:t>došlo do značajnih pozitivnih pomaka na području odgoja i obrazovanja pripadnika romske nacionalne manjine.</w:t>
      </w:r>
      <w:r>
        <w:rPr>
          <w:rFonts w:ascii="Times New Roman" w:eastAsia="Times New Roman" w:hAnsi="Times New Roman" w:cs="Times New Roman"/>
          <w:sz w:val="24"/>
          <w:szCs w:val="24"/>
          <w:lang w:eastAsia="hr-HR"/>
        </w:rPr>
        <w:t xml:space="preserve"> Detaljnije o navedenom u prilogu:</w:t>
      </w:r>
    </w:p>
    <w:p w14:paraId="1C00B609" w14:textId="77777777" w:rsidR="005F3233" w:rsidRDefault="005F3233" w:rsidP="005F3233">
      <w:pPr>
        <w:spacing w:after="0" w:line="240" w:lineRule="auto"/>
        <w:jc w:val="both"/>
        <w:rPr>
          <w:rFonts w:ascii="Times New Roman" w:eastAsia="Times New Roman" w:hAnsi="Times New Roman" w:cs="Times New Roman"/>
          <w:sz w:val="24"/>
          <w:szCs w:val="24"/>
          <w:lang w:eastAsia="hr-HR"/>
        </w:rPr>
      </w:pPr>
    </w:p>
    <w:p w14:paraId="625439F4" w14:textId="77777777" w:rsidR="005F3233" w:rsidRPr="00165D3A" w:rsidRDefault="005F3233" w:rsidP="005F3233">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N</w:t>
      </w:r>
      <w:r w:rsidRPr="00165D3A">
        <w:rPr>
          <w:rFonts w:ascii="Times New Roman" w:eastAsia="Times New Roman" w:hAnsi="Times New Roman" w:cs="Times New Roman"/>
          <w:sz w:val="24"/>
          <w:szCs w:val="24"/>
          <w:lang w:eastAsia="hr-HR"/>
        </w:rPr>
        <w:t xml:space="preserve">astavljen je trend povećanja broja djece u predškolskom odgoju i obrazovanju kao i u programu </w:t>
      </w:r>
      <w:proofErr w:type="spellStart"/>
      <w:r w:rsidRPr="00165D3A">
        <w:rPr>
          <w:rFonts w:ascii="Times New Roman" w:eastAsia="Times New Roman" w:hAnsi="Times New Roman" w:cs="Times New Roman"/>
          <w:sz w:val="24"/>
          <w:szCs w:val="24"/>
          <w:lang w:eastAsia="hr-HR"/>
        </w:rPr>
        <w:t>predškole</w:t>
      </w:r>
      <w:proofErr w:type="spellEnd"/>
      <w:r w:rsidRPr="00165D3A">
        <w:rPr>
          <w:rFonts w:ascii="Times New Roman" w:eastAsia="Times New Roman" w:hAnsi="Times New Roman" w:cs="Times New Roman"/>
          <w:sz w:val="24"/>
          <w:szCs w:val="24"/>
          <w:lang w:eastAsia="hr-HR"/>
        </w:rPr>
        <w:t xml:space="preserve">. Zamjetno je povećanje broja učenika u osnovnoškolskom i srednjoškolskom sustavu kao i povećanje broja učenika u produženom boravku. </w:t>
      </w:r>
      <w:r>
        <w:rPr>
          <w:rFonts w:ascii="Times New Roman" w:eastAsia="Times New Roman" w:hAnsi="Times New Roman" w:cs="Times New Roman"/>
          <w:sz w:val="24"/>
          <w:szCs w:val="24"/>
          <w:lang w:eastAsia="hr-HR"/>
        </w:rPr>
        <w:t>K</w:t>
      </w:r>
      <w:r w:rsidRPr="00165D3A">
        <w:rPr>
          <w:rFonts w:ascii="Times New Roman" w:eastAsia="Times New Roman" w:hAnsi="Times New Roman" w:cs="Times New Roman"/>
          <w:sz w:val="24"/>
          <w:szCs w:val="24"/>
          <w:lang w:eastAsia="hr-HR"/>
        </w:rPr>
        <w:t>ontinuirano</w:t>
      </w:r>
      <w:r>
        <w:rPr>
          <w:rFonts w:ascii="Times New Roman" w:eastAsia="Times New Roman" w:hAnsi="Times New Roman" w:cs="Times New Roman"/>
          <w:sz w:val="24"/>
          <w:szCs w:val="24"/>
          <w:lang w:eastAsia="hr-HR"/>
        </w:rPr>
        <w:t xml:space="preserve"> se </w:t>
      </w:r>
      <w:r w:rsidRPr="00165D3A">
        <w:rPr>
          <w:rFonts w:ascii="Times New Roman" w:eastAsia="Times New Roman" w:hAnsi="Times New Roman" w:cs="Times New Roman"/>
          <w:sz w:val="24"/>
          <w:szCs w:val="24"/>
          <w:lang w:eastAsia="hr-HR"/>
        </w:rPr>
        <w:t xml:space="preserve">osigurava smještaj u učeničke i studentske domove te stipendije za redovite učenike srednjih škola i polaznike visokoškolskih programa. Kako bi se potaknulo uključivanje djece/učenika pripadnika romske nacionalne manjine te spriječilo rano napuštanje školovanja osim osiguravanja učenja hrvatskoga jezika učenicima koji ne znaju ili nedovoljno poznaju hrvatski jezik, produženog boravka, </w:t>
      </w:r>
      <w:proofErr w:type="spellStart"/>
      <w:r w:rsidRPr="00165D3A">
        <w:rPr>
          <w:rFonts w:ascii="Times New Roman" w:eastAsia="Times New Roman" w:hAnsi="Times New Roman" w:cs="Times New Roman"/>
          <w:sz w:val="24"/>
          <w:szCs w:val="24"/>
          <w:lang w:eastAsia="hr-HR"/>
        </w:rPr>
        <w:t>izvanučioničke</w:t>
      </w:r>
      <w:proofErr w:type="spellEnd"/>
      <w:r w:rsidRPr="00165D3A">
        <w:rPr>
          <w:rFonts w:ascii="Times New Roman" w:eastAsia="Times New Roman" w:hAnsi="Times New Roman" w:cs="Times New Roman"/>
          <w:sz w:val="24"/>
          <w:szCs w:val="24"/>
          <w:lang w:eastAsia="hr-HR"/>
        </w:rPr>
        <w:t xml:space="preserve"> nastave, ljetnih škola i izvannastavnih aktivnosti, učenici ostvaruju i dodatne bodove pri upisu u srednju školu. Također, od školske godine 2019./2020. osiguravaju se jednokratne pomoći učenicima srednjih škola za završetak obrazovanja.</w:t>
      </w:r>
    </w:p>
    <w:p w14:paraId="544038CE" w14:textId="77777777" w:rsidR="005F3233" w:rsidRDefault="005F3233" w:rsidP="005F3233">
      <w:pPr>
        <w:rPr>
          <w:rFonts w:ascii="Times New Roman" w:eastAsia="Times New Roman" w:hAnsi="Times New Roman" w:cs="Times New Roman"/>
          <w:sz w:val="24"/>
          <w:szCs w:val="24"/>
          <w:lang w:eastAsia="hr-HR"/>
        </w:rPr>
      </w:pPr>
    </w:p>
    <w:p w14:paraId="3ED017A5" w14:textId="77777777" w:rsidR="005F3233" w:rsidRDefault="005F3233" w:rsidP="005F3233">
      <w:pPr>
        <w:jc w:val="both"/>
      </w:pPr>
      <w:r w:rsidRPr="00165D3A">
        <w:rPr>
          <w:rFonts w:ascii="Times New Roman" w:eastAsia="Times New Roman" w:hAnsi="Times New Roman" w:cs="Times New Roman"/>
          <w:sz w:val="24"/>
          <w:szCs w:val="24"/>
          <w:lang w:eastAsia="hr-HR"/>
        </w:rPr>
        <w:t xml:space="preserve">Pored navedenog osigurava se i financijska podrška u vidu sufinanciranja roditeljskog udjela u ekonomskoj cijeni predškolskog odgoja/vrtića, sufinanciranja programa </w:t>
      </w:r>
      <w:proofErr w:type="spellStart"/>
      <w:r w:rsidRPr="00165D3A">
        <w:rPr>
          <w:rFonts w:ascii="Times New Roman" w:eastAsia="Times New Roman" w:hAnsi="Times New Roman" w:cs="Times New Roman"/>
          <w:sz w:val="24"/>
          <w:szCs w:val="24"/>
          <w:lang w:eastAsia="hr-HR"/>
        </w:rPr>
        <w:t>predškole</w:t>
      </w:r>
      <w:proofErr w:type="spellEnd"/>
      <w:r w:rsidRPr="00165D3A">
        <w:rPr>
          <w:rFonts w:ascii="Times New Roman" w:eastAsia="Times New Roman" w:hAnsi="Times New Roman" w:cs="Times New Roman"/>
          <w:sz w:val="24"/>
          <w:szCs w:val="24"/>
          <w:lang w:eastAsia="hr-HR"/>
        </w:rPr>
        <w:t xml:space="preserve"> te sufinanciranje opismenjavanja i osposobljavanja za odrasle Rome</w:t>
      </w:r>
      <w:r>
        <w:rPr>
          <w:rFonts w:ascii="Times New Roman" w:eastAsia="Times New Roman" w:hAnsi="Times New Roman" w:cs="Times New Roman"/>
          <w:sz w:val="24"/>
          <w:szCs w:val="24"/>
          <w:lang w:eastAsia="hr-HR"/>
        </w:rPr>
        <w:t>.</w:t>
      </w:r>
    </w:p>
    <w:p w14:paraId="11368F36" w14:textId="061125D0" w:rsidR="00BB3A51" w:rsidRDefault="00BB3A51">
      <w:pPr>
        <w:rPr>
          <w:rFonts w:ascii="Times New Roman" w:eastAsiaTheme="majorEastAsia" w:hAnsi="Times New Roman" w:cs="Times New Roman"/>
          <w:sz w:val="24"/>
          <w:szCs w:val="24"/>
        </w:rPr>
      </w:pPr>
      <w:r>
        <w:rPr>
          <w:rFonts w:ascii="Times New Roman" w:hAnsi="Times New Roman" w:cs="Times New Roman"/>
          <w:sz w:val="24"/>
          <w:szCs w:val="24"/>
        </w:rPr>
        <w:br w:type="page"/>
      </w:r>
    </w:p>
    <w:p w14:paraId="55190273" w14:textId="77777777" w:rsidR="005F3233" w:rsidRPr="005D5530" w:rsidRDefault="005F3233" w:rsidP="005F3233">
      <w:pPr>
        <w:spacing w:after="0" w:line="240" w:lineRule="auto"/>
        <w:rPr>
          <w:rFonts w:ascii="Times New Roman" w:eastAsia="Times New Roman" w:hAnsi="Times New Roman" w:cs="Times New Roman"/>
          <w:b/>
          <w:bCs/>
          <w:sz w:val="24"/>
          <w:szCs w:val="24"/>
          <w:u w:val="single"/>
          <w:lang w:eastAsia="hr-HR"/>
        </w:rPr>
      </w:pPr>
      <w:r w:rsidRPr="005D5530">
        <w:rPr>
          <w:rFonts w:ascii="Times New Roman" w:eastAsia="Times New Roman" w:hAnsi="Times New Roman" w:cs="Times New Roman"/>
          <w:b/>
          <w:bCs/>
          <w:sz w:val="24"/>
          <w:szCs w:val="24"/>
          <w:u w:val="single"/>
          <w:lang w:eastAsia="hr-HR"/>
        </w:rPr>
        <w:lastRenderedPageBreak/>
        <w:t>Prilog 3</w:t>
      </w:r>
    </w:p>
    <w:p w14:paraId="3B7FCF18" w14:textId="77777777" w:rsidR="005F3233" w:rsidRDefault="005F3233" w:rsidP="005F3233">
      <w:pPr>
        <w:spacing w:after="0" w:line="240" w:lineRule="auto"/>
        <w:jc w:val="center"/>
        <w:rPr>
          <w:rFonts w:ascii="Times New Roman" w:eastAsia="Times New Roman" w:hAnsi="Times New Roman" w:cs="Times New Roman"/>
          <w:b/>
          <w:bCs/>
          <w:sz w:val="24"/>
          <w:szCs w:val="24"/>
          <w:lang w:eastAsia="hr-HR"/>
        </w:rPr>
      </w:pPr>
    </w:p>
    <w:p w14:paraId="313892FA" w14:textId="77777777" w:rsidR="005F3233" w:rsidRPr="008A10EC" w:rsidRDefault="005F3233" w:rsidP="005F3233">
      <w:pPr>
        <w:spacing w:after="0" w:line="240" w:lineRule="auto"/>
        <w:jc w:val="center"/>
        <w:rPr>
          <w:rFonts w:ascii="Times New Roman" w:eastAsia="Times New Roman" w:hAnsi="Times New Roman" w:cs="Times New Roman"/>
          <w:b/>
          <w:bCs/>
          <w:sz w:val="24"/>
          <w:szCs w:val="24"/>
          <w:lang w:eastAsia="hr-HR"/>
        </w:rPr>
      </w:pPr>
      <w:r w:rsidRPr="008A10EC">
        <w:rPr>
          <w:rFonts w:ascii="Times New Roman" w:eastAsia="Times New Roman" w:hAnsi="Times New Roman" w:cs="Times New Roman"/>
          <w:b/>
          <w:bCs/>
          <w:sz w:val="24"/>
          <w:szCs w:val="24"/>
          <w:lang w:eastAsia="hr-HR"/>
        </w:rPr>
        <w:t>PROJEKT „PRIKUPLJANJE I PRAĆENJE BAZNIH PODATAKA ZA UČINKOVITU PROVEDBU NACIONALNE STRATEGIJE ZA UKLJUČIVANJE ROMA“</w:t>
      </w:r>
    </w:p>
    <w:p w14:paraId="626B50B1" w14:textId="77777777" w:rsidR="005F3233" w:rsidRDefault="005F3233" w:rsidP="005F3233">
      <w:pPr>
        <w:spacing w:after="0" w:line="240" w:lineRule="auto"/>
        <w:jc w:val="both"/>
        <w:rPr>
          <w:rFonts w:ascii="Times New Roman" w:eastAsia="Times New Roman" w:hAnsi="Times New Roman" w:cs="Times New Roman"/>
          <w:sz w:val="24"/>
          <w:szCs w:val="24"/>
          <w:lang w:eastAsia="hr-HR"/>
        </w:rPr>
      </w:pPr>
    </w:p>
    <w:p w14:paraId="4A038844" w14:textId="77777777" w:rsidR="005F3233" w:rsidRDefault="005F3233" w:rsidP="005F3233">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T</w:t>
      </w:r>
      <w:r w:rsidRPr="001A157D">
        <w:rPr>
          <w:rFonts w:ascii="Times New Roman" w:eastAsia="Times New Roman" w:hAnsi="Times New Roman" w:cs="Times New Roman"/>
          <w:sz w:val="24"/>
          <w:szCs w:val="24"/>
          <w:lang w:eastAsia="hr-HR"/>
        </w:rPr>
        <w:t xml:space="preserve">emelj za istraživanje baznih podataka projekta „Prikupljanje i praćenje baznih podataka za učinkovitu provedbu Nacionalne strategije za uključivanje Roma“, </w:t>
      </w:r>
      <w:r>
        <w:rPr>
          <w:rFonts w:ascii="Times New Roman" w:eastAsia="Times New Roman" w:hAnsi="Times New Roman" w:cs="Times New Roman"/>
          <w:sz w:val="24"/>
          <w:szCs w:val="24"/>
          <w:lang w:eastAsia="hr-HR"/>
        </w:rPr>
        <w:t>bile je E</w:t>
      </w:r>
      <w:r w:rsidRPr="001A157D">
        <w:rPr>
          <w:rFonts w:ascii="Times New Roman" w:eastAsia="Times New Roman" w:hAnsi="Times New Roman" w:cs="Times New Roman"/>
          <w:sz w:val="24"/>
          <w:szCs w:val="24"/>
          <w:lang w:eastAsia="hr-HR"/>
        </w:rPr>
        <w:t xml:space="preserve">valuacija </w:t>
      </w:r>
      <w:r>
        <w:rPr>
          <w:rFonts w:ascii="Times New Roman" w:eastAsia="Times New Roman" w:hAnsi="Times New Roman" w:cs="Times New Roman"/>
          <w:sz w:val="24"/>
          <w:szCs w:val="24"/>
          <w:lang w:eastAsia="hr-HR"/>
        </w:rPr>
        <w:t xml:space="preserve">provedbe Nacionalne </w:t>
      </w:r>
      <w:r w:rsidRPr="001A157D">
        <w:rPr>
          <w:rFonts w:ascii="Times New Roman" w:eastAsia="Times New Roman" w:hAnsi="Times New Roman" w:cs="Times New Roman"/>
          <w:sz w:val="24"/>
          <w:szCs w:val="24"/>
          <w:lang w:eastAsia="hr-HR"/>
        </w:rPr>
        <w:t>strategije</w:t>
      </w:r>
      <w:r>
        <w:rPr>
          <w:rFonts w:ascii="Times New Roman" w:eastAsia="Times New Roman" w:hAnsi="Times New Roman" w:cs="Times New Roman"/>
          <w:sz w:val="24"/>
          <w:szCs w:val="24"/>
          <w:lang w:eastAsia="hr-HR"/>
        </w:rPr>
        <w:t xml:space="preserve"> (</w:t>
      </w:r>
      <w:r w:rsidRPr="001A157D">
        <w:rPr>
          <w:rFonts w:ascii="Times New Roman" w:eastAsia="Times New Roman" w:hAnsi="Times New Roman" w:cs="Times New Roman"/>
          <w:sz w:val="24"/>
          <w:szCs w:val="24"/>
          <w:lang w:eastAsia="hr-HR"/>
        </w:rPr>
        <w:t>2014.</w:t>
      </w:r>
      <w:r>
        <w:rPr>
          <w:rFonts w:ascii="Times New Roman" w:eastAsia="Times New Roman" w:hAnsi="Times New Roman" w:cs="Times New Roman"/>
          <w:sz w:val="24"/>
          <w:szCs w:val="24"/>
          <w:lang w:eastAsia="hr-HR"/>
        </w:rPr>
        <w:t xml:space="preserve">) koja je </w:t>
      </w:r>
      <w:r w:rsidRPr="001A157D">
        <w:rPr>
          <w:rFonts w:ascii="Times New Roman" w:eastAsia="Times New Roman" w:hAnsi="Times New Roman" w:cs="Times New Roman"/>
          <w:sz w:val="24"/>
          <w:szCs w:val="24"/>
          <w:lang w:eastAsia="hr-HR"/>
        </w:rPr>
        <w:t>utvrdila kako za cilj</w:t>
      </w:r>
      <w:r>
        <w:rPr>
          <w:rFonts w:ascii="Times New Roman" w:eastAsia="Times New Roman" w:hAnsi="Times New Roman" w:cs="Times New Roman"/>
          <w:sz w:val="24"/>
          <w:szCs w:val="24"/>
          <w:lang w:eastAsia="hr-HR"/>
        </w:rPr>
        <w:t xml:space="preserve">eve koji se odnose na zdravstvenu zaštitu i socijalnu skrb </w:t>
      </w:r>
      <w:r w:rsidRPr="001A157D">
        <w:rPr>
          <w:rFonts w:ascii="Times New Roman" w:eastAsia="Times New Roman" w:hAnsi="Times New Roman" w:cs="Times New Roman"/>
          <w:sz w:val="24"/>
          <w:szCs w:val="24"/>
          <w:lang w:eastAsia="hr-HR"/>
        </w:rPr>
        <w:t xml:space="preserve">nedostaju početne vrijednosti i podaci o pokazateljima te nije moguće pratiti efikasnost ovih mjera. </w:t>
      </w:r>
    </w:p>
    <w:p w14:paraId="048F7D1C" w14:textId="77777777" w:rsidR="005F3233" w:rsidRDefault="005F3233" w:rsidP="005F3233">
      <w:pPr>
        <w:spacing w:after="0" w:line="240" w:lineRule="auto"/>
        <w:jc w:val="both"/>
        <w:rPr>
          <w:rFonts w:ascii="Times New Roman" w:eastAsia="Times New Roman" w:hAnsi="Times New Roman" w:cs="Times New Roman"/>
          <w:sz w:val="24"/>
          <w:szCs w:val="24"/>
          <w:lang w:eastAsia="hr-HR"/>
        </w:rPr>
      </w:pPr>
    </w:p>
    <w:p w14:paraId="0FBF5DF0" w14:textId="77777777" w:rsidR="005F3233" w:rsidRPr="001A157D" w:rsidRDefault="005F3233" w:rsidP="005F3233">
      <w:pPr>
        <w:spacing w:after="0" w:line="240" w:lineRule="auto"/>
        <w:jc w:val="both"/>
        <w:rPr>
          <w:rFonts w:ascii="Times New Roman" w:eastAsia="Times New Roman" w:hAnsi="Times New Roman" w:cs="Times New Roman"/>
          <w:sz w:val="24"/>
          <w:szCs w:val="24"/>
          <w:lang w:eastAsia="hr-HR"/>
        </w:rPr>
      </w:pPr>
      <w:r w:rsidRPr="001A157D">
        <w:rPr>
          <w:rFonts w:ascii="Times New Roman" w:eastAsia="Times New Roman" w:hAnsi="Times New Roman" w:cs="Times New Roman"/>
          <w:sz w:val="24"/>
          <w:szCs w:val="24"/>
          <w:lang w:eastAsia="hr-HR"/>
        </w:rPr>
        <w:t>Ured za ljudska prava i prava nacionalnih manjina je</w:t>
      </w:r>
      <w:r>
        <w:rPr>
          <w:rFonts w:ascii="Times New Roman" w:eastAsia="Times New Roman" w:hAnsi="Times New Roman" w:cs="Times New Roman"/>
          <w:sz w:val="24"/>
          <w:szCs w:val="24"/>
          <w:lang w:eastAsia="hr-HR"/>
        </w:rPr>
        <w:t xml:space="preserve"> navedeni Projekt provodio</w:t>
      </w:r>
      <w:r w:rsidRPr="001A157D">
        <w:rPr>
          <w:rFonts w:ascii="Times New Roman" w:eastAsia="Times New Roman" w:hAnsi="Times New Roman" w:cs="Times New Roman"/>
          <w:sz w:val="24"/>
          <w:szCs w:val="24"/>
          <w:lang w:eastAsia="hr-HR"/>
        </w:rPr>
        <w:t xml:space="preserve">  tijekom 2017. i 2018. godine u okviru programa IPA 2012: „Podrška nacionalnim manjinama na lokalnoj razini“. Svrha projekta bila je provedba potrebnih istraživačko-analitičkih aktivnosti, što je uključivalo prikupljanje kvantitativnih pokazatelja i podataka kvalitativne prirode s približno 350 varijabli u svim lokalnim zajednicama u kojima živi minimalno 30 i više stanovnika romske nacionalne manjine, provedbu prezentacijskih i edukacijskih aktivnosti te provedbu aktivnosti izrade, uspostave i testiranja web-sučelja za praćenje provedbe Nacionalne strategije za uključivanje Roma od 2013. do 2020. godine i pratećeg Akcijskog plana kako bi se ispunili preduvjeti za integraciju Roma na lokalnoj, regionalnoj i nacionalnoj razini. </w:t>
      </w:r>
    </w:p>
    <w:p w14:paraId="3B836D98" w14:textId="77777777" w:rsidR="005F3233" w:rsidRDefault="005F3233" w:rsidP="005F3233">
      <w:pPr>
        <w:spacing w:after="0" w:line="240" w:lineRule="auto"/>
        <w:jc w:val="both"/>
        <w:rPr>
          <w:rFonts w:ascii="Times New Roman" w:eastAsia="Times New Roman" w:hAnsi="Times New Roman" w:cs="Times New Roman"/>
          <w:sz w:val="24"/>
          <w:szCs w:val="24"/>
          <w:lang w:eastAsia="hr-HR"/>
        </w:rPr>
      </w:pPr>
    </w:p>
    <w:p w14:paraId="3C103CE8" w14:textId="77777777" w:rsidR="005F3233" w:rsidRPr="001A157D" w:rsidRDefault="005F3233" w:rsidP="005F3233">
      <w:pPr>
        <w:spacing w:after="0" w:line="240" w:lineRule="auto"/>
        <w:jc w:val="both"/>
        <w:rPr>
          <w:rFonts w:ascii="Times New Roman" w:eastAsia="Times New Roman" w:hAnsi="Times New Roman" w:cs="Times New Roman"/>
          <w:sz w:val="24"/>
          <w:szCs w:val="24"/>
          <w:lang w:eastAsia="hr-HR"/>
        </w:rPr>
      </w:pPr>
      <w:r w:rsidRPr="001A157D">
        <w:rPr>
          <w:rFonts w:ascii="Times New Roman" w:eastAsia="Times New Roman" w:hAnsi="Times New Roman" w:cs="Times New Roman"/>
          <w:sz w:val="24"/>
          <w:szCs w:val="24"/>
          <w:lang w:eastAsia="hr-HR"/>
        </w:rPr>
        <w:t xml:space="preserve">Daljnju obradu podataka ovog istraživanja Ured je nastavio kroz projekt „Uključivanje Roma – Ispunjavanje preduvjeta za učinkovitu provedbu politika usmjerenih na nacionalne manjine – FAZA I“ te </w:t>
      </w:r>
      <w:r>
        <w:rPr>
          <w:rFonts w:ascii="Times New Roman" w:eastAsia="Times New Roman" w:hAnsi="Times New Roman" w:cs="Times New Roman"/>
          <w:sz w:val="24"/>
          <w:szCs w:val="24"/>
          <w:lang w:eastAsia="hr-HR"/>
        </w:rPr>
        <w:t>je</w:t>
      </w:r>
      <w:r w:rsidRPr="001A157D">
        <w:rPr>
          <w:rFonts w:ascii="Times New Roman" w:eastAsia="Times New Roman" w:hAnsi="Times New Roman" w:cs="Times New Roman"/>
          <w:sz w:val="24"/>
          <w:szCs w:val="24"/>
          <w:lang w:eastAsia="hr-HR"/>
        </w:rPr>
        <w:t xml:space="preserve"> 2020. godin</w:t>
      </w:r>
      <w:r>
        <w:rPr>
          <w:rFonts w:ascii="Times New Roman" w:eastAsia="Times New Roman" w:hAnsi="Times New Roman" w:cs="Times New Roman"/>
          <w:sz w:val="24"/>
          <w:szCs w:val="24"/>
          <w:lang w:eastAsia="hr-HR"/>
        </w:rPr>
        <w:t>e</w:t>
      </w:r>
      <w:r w:rsidRPr="001A157D">
        <w:rPr>
          <w:rFonts w:ascii="Times New Roman" w:eastAsia="Times New Roman" w:hAnsi="Times New Roman" w:cs="Times New Roman"/>
          <w:sz w:val="24"/>
          <w:szCs w:val="24"/>
          <w:lang w:eastAsia="hr-HR"/>
        </w:rPr>
        <w:t xml:space="preserve"> objavljen</w:t>
      </w:r>
      <w:r>
        <w:rPr>
          <w:rFonts w:ascii="Times New Roman" w:eastAsia="Times New Roman" w:hAnsi="Times New Roman" w:cs="Times New Roman"/>
          <w:sz w:val="24"/>
          <w:szCs w:val="24"/>
          <w:lang w:eastAsia="hr-HR"/>
        </w:rPr>
        <w:t>o 5</w:t>
      </w:r>
      <w:r w:rsidRPr="001A157D">
        <w:rPr>
          <w:rFonts w:ascii="Times New Roman" w:eastAsia="Times New Roman" w:hAnsi="Times New Roman" w:cs="Times New Roman"/>
          <w:sz w:val="24"/>
          <w:szCs w:val="24"/>
          <w:lang w:eastAsia="hr-HR"/>
        </w:rPr>
        <w:t xml:space="preserve"> publikacij</w:t>
      </w:r>
      <w:r>
        <w:rPr>
          <w:rFonts w:ascii="Times New Roman" w:eastAsia="Times New Roman" w:hAnsi="Times New Roman" w:cs="Times New Roman"/>
          <w:sz w:val="24"/>
          <w:szCs w:val="24"/>
          <w:lang w:eastAsia="hr-HR"/>
        </w:rPr>
        <w:t>a</w:t>
      </w:r>
      <w:r w:rsidRPr="001A157D">
        <w:rPr>
          <w:rFonts w:ascii="Times New Roman" w:eastAsia="Times New Roman" w:hAnsi="Times New Roman" w:cs="Times New Roman"/>
          <w:sz w:val="24"/>
          <w:szCs w:val="24"/>
          <w:lang w:eastAsia="hr-HR"/>
        </w:rPr>
        <w:t>:</w:t>
      </w:r>
    </w:p>
    <w:p w14:paraId="55FD5E35" w14:textId="77777777" w:rsidR="005F3233" w:rsidRPr="00A60CB2" w:rsidDel="00B12863" w:rsidRDefault="005F3233" w:rsidP="00FB05F1">
      <w:pPr>
        <w:pStyle w:val="Odlomakpopisa"/>
        <w:numPr>
          <w:ilvl w:val="0"/>
          <w:numId w:val="7"/>
        </w:numPr>
        <w:spacing w:after="0" w:line="240" w:lineRule="auto"/>
        <w:ind w:left="426"/>
        <w:jc w:val="both"/>
        <w:rPr>
          <w:rFonts w:ascii="Times New Roman" w:eastAsia="Times New Roman" w:hAnsi="Times New Roman" w:cs="Times New Roman"/>
          <w:sz w:val="24"/>
          <w:szCs w:val="24"/>
          <w:lang w:eastAsia="hr-HR"/>
        </w:rPr>
      </w:pPr>
      <w:r w:rsidRPr="00A60CB2" w:rsidDel="00B12863">
        <w:rPr>
          <w:rFonts w:ascii="Times New Roman" w:eastAsia="Times New Roman" w:hAnsi="Times New Roman" w:cs="Times New Roman"/>
          <w:sz w:val="24"/>
          <w:szCs w:val="24"/>
          <w:lang w:eastAsia="hr-HR"/>
        </w:rPr>
        <w:t>Uključivanje Roma u hrvatsko društvo – identitet, socijalna distanca i iskustvo diskriminacije,</w:t>
      </w:r>
    </w:p>
    <w:p w14:paraId="7413ED7E" w14:textId="77777777" w:rsidR="005F3233" w:rsidRPr="00A60CB2" w:rsidDel="00B12863" w:rsidRDefault="005F3233" w:rsidP="00FB05F1">
      <w:pPr>
        <w:pStyle w:val="Odlomakpopisa"/>
        <w:numPr>
          <w:ilvl w:val="0"/>
          <w:numId w:val="7"/>
        </w:numPr>
        <w:spacing w:after="0" w:line="240" w:lineRule="auto"/>
        <w:ind w:left="426"/>
        <w:jc w:val="both"/>
        <w:rPr>
          <w:rFonts w:ascii="Times New Roman" w:eastAsia="Times New Roman" w:hAnsi="Times New Roman" w:cs="Times New Roman"/>
          <w:sz w:val="24"/>
          <w:szCs w:val="24"/>
          <w:lang w:eastAsia="hr-HR"/>
        </w:rPr>
      </w:pPr>
      <w:r w:rsidRPr="00A60CB2" w:rsidDel="00B12863">
        <w:rPr>
          <w:rFonts w:ascii="Times New Roman" w:eastAsia="Times New Roman" w:hAnsi="Times New Roman" w:cs="Times New Roman"/>
          <w:sz w:val="24"/>
          <w:szCs w:val="24"/>
          <w:lang w:eastAsia="hr-HR"/>
        </w:rPr>
        <w:t>Uključivanje Roma u hrvatsko društvo – obrazovanje i zapošljavanje,</w:t>
      </w:r>
    </w:p>
    <w:p w14:paraId="3B8AFD99" w14:textId="77777777" w:rsidR="005F3233" w:rsidRPr="00A60CB2" w:rsidDel="00B12863" w:rsidRDefault="005F3233" w:rsidP="00FB05F1">
      <w:pPr>
        <w:pStyle w:val="Odlomakpopisa"/>
        <w:numPr>
          <w:ilvl w:val="0"/>
          <w:numId w:val="7"/>
        </w:numPr>
        <w:spacing w:after="0" w:line="240" w:lineRule="auto"/>
        <w:ind w:left="426"/>
        <w:jc w:val="both"/>
        <w:rPr>
          <w:rFonts w:ascii="Times New Roman" w:eastAsia="Times New Roman" w:hAnsi="Times New Roman" w:cs="Times New Roman"/>
          <w:sz w:val="24"/>
          <w:szCs w:val="24"/>
          <w:lang w:eastAsia="hr-HR"/>
        </w:rPr>
      </w:pPr>
      <w:r w:rsidRPr="00A60CB2" w:rsidDel="00B12863">
        <w:rPr>
          <w:rFonts w:ascii="Times New Roman" w:eastAsia="Times New Roman" w:hAnsi="Times New Roman" w:cs="Times New Roman"/>
          <w:sz w:val="24"/>
          <w:szCs w:val="24"/>
          <w:lang w:eastAsia="hr-HR"/>
        </w:rPr>
        <w:t>Uključivanje Roma u hrvatsko društvo – prostorno uređenje, stanovanje i zaštita okoliša,</w:t>
      </w:r>
    </w:p>
    <w:p w14:paraId="5E2FB61D" w14:textId="77777777" w:rsidR="005F3233" w:rsidRPr="00A60CB2" w:rsidDel="00B12863" w:rsidRDefault="005F3233" w:rsidP="00FB05F1">
      <w:pPr>
        <w:pStyle w:val="Odlomakpopisa"/>
        <w:numPr>
          <w:ilvl w:val="0"/>
          <w:numId w:val="7"/>
        </w:numPr>
        <w:spacing w:after="0" w:line="240" w:lineRule="auto"/>
        <w:ind w:left="426"/>
        <w:jc w:val="both"/>
        <w:rPr>
          <w:rFonts w:ascii="Times New Roman" w:eastAsia="Times New Roman" w:hAnsi="Times New Roman" w:cs="Times New Roman"/>
          <w:sz w:val="24"/>
          <w:szCs w:val="24"/>
          <w:lang w:eastAsia="hr-HR"/>
        </w:rPr>
      </w:pPr>
      <w:r w:rsidRPr="00A60CB2" w:rsidDel="00B12863">
        <w:rPr>
          <w:rFonts w:ascii="Times New Roman" w:eastAsia="Times New Roman" w:hAnsi="Times New Roman" w:cs="Times New Roman"/>
          <w:sz w:val="24"/>
          <w:szCs w:val="24"/>
          <w:lang w:eastAsia="hr-HR"/>
        </w:rPr>
        <w:t>Uključivanje Roma u hrvatsko društvo – zdravstvena zaštita i socijalna skrb i</w:t>
      </w:r>
    </w:p>
    <w:p w14:paraId="676A6713" w14:textId="77777777" w:rsidR="005F3233" w:rsidRPr="00A60CB2" w:rsidRDefault="005F3233" w:rsidP="00FB05F1">
      <w:pPr>
        <w:pStyle w:val="Odlomakpopisa"/>
        <w:numPr>
          <w:ilvl w:val="0"/>
          <w:numId w:val="7"/>
        </w:numPr>
        <w:spacing w:after="0" w:line="240" w:lineRule="auto"/>
        <w:ind w:left="426"/>
        <w:jc w:val="both"/>
        <w:rPr>
          <w:rFonts w:ascii="Times New Roman" w:eastAsia="Times New Roman" w:hAnsi="Times New Roman" w:cs="Times New Roman"/>
          <w:sz w:val="24"/>
          <w:szCs w:val="24"/>
          <w:lang w:eastAsia="hr-HR"/>
        </w:rPr>
      </w:pPr>
      <w:r w:rsidRPr="00A60CB2">
        <w:rPr>
          <w:rFonts w:ascii="Times New Roman" w:eastAsia="Times New Roman" w:hAnsi="Times New Roman" w:cs="Times New Roman"/>
          <w:sz w:val="24"/>
          <w:szCs w:val="24"/>
          <w:lang w:eastAsia="hr-HR"/>
        </w:rPr>
        <w:t>Uključivanje Roma u hrvatsko društvo: žene, mladi i djeca.</w:t>
      </w:r>
    </w:p>
    <w:p w14:paraId="78013D5C" w14:textId="77777777" w:rsidR="005F3233" w:rsidRPr="001A157D" w:rsidRDefault="005F3233" w:rsidP="005F3233">
      <w:pPr>
        <w:spacing w:after="0" w:line="240" w:lineRule="auto"/>
        <w:jc w:val="both"/>
        <w:rPr>
          <w:rFonts w:ascii="Times New Roman" w:eastAsia="Times New Roman" w:hAnsi="Times New Roman" w:cs="Times New Roman"/>
          <w:sz w:val="24"/>
          <w:szCs w:val="24"/>
          <w:lang w:eastAsia="hr-HR"/>
        </w:rPr>
      </w:pPr>
    </w:p>
    <w:p w14:paraId="629BDD1E" w14:textId="77777777" w:rsidR="005F3233" w:rsidRPr="008A10EC" w:rsidRDefault="005F3233" w:rsidP="005F3233">
      <w:pPr>
        <w:spacing w:after="0" w:line="240" w:lineRule="auto"/>
        <w:jc w:val="both"/>
        <w:rPr>
          <w:rFonts w:ascii="Times New Roman" w:eastAsia="Times New Roman" w:hAnsi="Times New Roman" w:cs="Times New Roman"/>
          <w:sz w:val="24"/>
          <w:szCs w:val="24"/>
          <w:lang w:eastAsia="hr-HR"/>
        </w:rPr>
      </w:pPr>
      <w:r w:rsidRPr="008A10EC">
        <w:rPr>
          <w:rFonts w:ascii="Times New Roman" w:eastAsia="Times New Roman" w:hAnsi="Times New Roman" w:cs="Times New Roman"/>
          <w:sz w:val="24"/>
          <w:szCs w:val="24"/>
          <w:lang w:eastAsia="hr-HR"/>
        </w:rPr>
        <w:t xml:space="preserve">Iz podataka istraživanja (anketnog tipa </w:t>
      </w:r>
      <w:proofErr w:type="spellStart"/>
      <w:r w:rsidRPr="008A10EC">
        <w:rPr>
          <w:rFonts w:ascii="Times New Roman" w:eastAsia="Times New Roman" w:hAnsi="Times New Roman" w:cs="Times New Roman"/>
          <w:sz w:val="24"/>
          <w:szCs w:val="24"/>
          <w:lang w:eastAsia="hr-HR"/>
        </w:rPr>
        <w:t>samoizjašnjavanja</w:t>
      </w:r>
      <w:proofErr w:type="spellEnd"/>
      <w:r w:rsidRPr="008A10EC">
        <w:rPr>
          <w:rFonts w:ascii="Times New Roman" w:eastAsia="Times New Roman" w:hAnsi="Times New Roman" w:cs="Times New Roman"/>
          <w:sz w:val="24"/>
          <w:szCs w:val="24"/>
          <w:lang w:eastAsia="hr-HR"/>
        </w:rPr>
        <w:t xml:space="preserve">) vidljivo je kako 3% romske populacije čine osobe s invaliditetom, pri čemu je moguće iskazati i udio osoba u romskoj populaciji s obzirom na vrstu invaliditeta na sljedeći način: 58% osoba s tjelesnim invaliditetom, 20% osoba sa senzornim invaliditetom, 11% osoba s mentalnim invaliditetom te 11% osoba s višestrukim invaliditetom. </w:t>
      </w:r>
    </w:p>
    <w:p w14:paraId="107EBAEB" w14:textId="77777777" w:rsidR="005F3233" w:rsidRDefault="005F3233" w:rsidP="005F3233">
      <w:pPr>
        <w:spacing w:after="0" w:line="240" w:lineRule="auto"/>
        <w:jc w:val="both"/>
        <w:rPr>
          <w:rFonts w:ascii="Times New Roman" w:eastAsia="Times New Roman" w:hAnsi="Times New Roman" w:cs="Times New Roman"/>
          <w:sz w:val="24"/>
          <w:szCs w:val="24"/>
          <w:lang w:eastAsia="hr-HR"/>
        </w:rPr>
      </w:pPr>
      <w:r w:rsidRPr="008A10EC">
        <w:rPr>
          <w:rFonts w:ascii="Times New Roman" w:eastAsia="Times New Roman" w:hAnsi="Times New Roman" w:cs="Times New Roman"/>
          <w:sz w:val="24"/>
          <w:szCs w:val="24"/>
          <w:lang w:eastAsia="hr-HR"/>
        </w:rPr>
        <w:t xml:space="preserve">Osobe s invaliditetom žive u nešto slabijim materijalnim i životnim uvjetima u odnosu na ionako siromašnu populaciju romske nacionalne manjine, što dodatno otežava njihov položaj. Osobe sa senzornim invaliditetom koncentrirane su u međimurskoj regiji i na lokalitetu odvojenom od sela ili grada, dok kod ostalih osoba s invaliditetom nije primjetna veća zastupljenost u nekoj regiji ili lokalitetu. Opće zdravstveno stanje osoba s invaliditetom bitno je slabije od zdravlja ostatka romske populacije, a posebno je narušeno u slučaju kad OSI imaju višestruki invaliditet. Razumljivo, </w:t>
      </w:r>
      <w:r>
        <w:rPr>
          <w:rFonts w:ascii="Times New Roman" w:eastAsia="Times New Roman" w:hAnsi="Times New Roman" w:cs="Times New Roman"/>
          <w:sz w:val="24"/>
          <w:szCs w:val="24"/>
          <w:lang w:eastAsia="hr-HR"/>
        </w:rPr>
        <w:t>oni</w:t>
      </w:r>
      <w:r w:rsidRPr="008A10EC">
        <w:rPr>
          <w:rFonts w:ascii="Times New Roman" w:eastAsia="Times New Roman" w:hAnsi="Times New Roman" w:cs="Times New Roman"/>
          <w:sz w:val="24"/>
          <w:szCs w:val="24"/>
          <w:lang w:eastAsia="hr-HR"/>
        </w:rPr>
        <w:t xml:space="preserve"> mnogo češće odlaze liječniku, većinom više puta mjesečno, dok je u ostatku romske populacije takvih redovitih korisnika medicinskih usluga otprilike trećina. Zdravlje osoba s invaliditetom narušeno je i zbog niza drugih bolesti kojima su podložniji od ostatka populacije, vjerojatno i zbog nešto starije dobi. Ono što takvim osobama posebno otežava svakodnevni život udaljenost je od ustanova medicinske skrbi. Razdaljina mjesta stanovanja od ključnih ustanova, poput domova zdravlja i ljekarni, nije različita – nije ni veća ni manja od one koju moraju prijeći ostali pripadnici romske nacionalne </w:t>
      </w:r>
      <w:r w:rsidRPr="008A10EC">
        <w:rPr>
          <w:rFonts w:ascii="Times New Roman" w:eastAsia="Times New Roman" w:hAnsi="Times New Roman" w:cs="Times New Roman"/>
          <w:sz w:val="24"/>
          <w:szCs w:val="24"/>
          <w:lang w:eastAsia="hr-HR"/>
        </w:rPr>
        <w:lastRenderedPageBreak/>
        <w:t>manjine da bi im pristupili. Međutim, u slučaju populacije osoba s invaliditetom to je posebno ozbiljna prepreka zbog dva razloga: 1) učestalosti odlazaka liječniku, koja je, kako smo upozorili, mnogo veća no u ostatka populacije i 2) teškoća koje kao osoba s invaliditetom imaju pri savladavanju te razdaljine. Za većinu takvih osoba pješačenje ili korištenje bicikla vjerojatno je isključeno, pa su orijentirani na osobna vozila ili javni prijevoz, a mnogi od njih vjerojatno uza se moraju imati i pratitelja pri obilasku liječnika, što sve otežava dostupnost zdravstvenih usluga.</w:t>
      </w:r>
    </w:p>
    <w:p w14:paraId="68D575E0" w14:textId="7C405B5E" w:rsidR="005F3233" w:rsidRDefault="005F3233"/>
    <w:p w14:paraId="1212F4A7" w14:textId="77777777" w:rsidR="005F3233" w:rsidRDefault="005F3233">
      <w:pPr>
        <w:sectPr w:rsidR="005F3233" w:rsidSect="002854A8">
          <w:footerReference w:type="default" r:id="rId16"/>
          <w:footerReference w:type="first" r:id="rId17"/>
          <w:pgSz w:w="11906" w:h="16838"/>
          <w:pgMar w:top="1417" w:right="1417" w:bottom="1417" w:left="1417" w:header="708" w:footer="708" w:gutter="0"/>
          <w:pgNumType w:start="0" w:chapStyle="1"/>
          <w:cols w:space="708"/>
          <w:titlePg/>
          <w:docGrid w:linePitch="360"/>
        </w:sectPr>
      </w:pPr>
    </w:p>
    <w:p w14:paraId="0C3EEA2E" w14:textId="72860360" w:rsidR="005E671C" w:rsidRDefault="005E671C" w:rsidP="005E671C">
      <w:pPr>
        <w:spacing w:after="0" w:line="240" w:lineRule="auto"/>
        <w:rPr>
          <w:rFonts w:ascii="Times New Roman" w:eastAsia="Times New Roman" w:hAnsi="Times New Roman" w:cs="Times New Roman"/>
          <w:b/>
          <w:bCs/>
          <w:sz w:val="24"/>
          <w:szCs w:val="24"/>
          <w:u w:val="single"/>
          <w:lang w:eastAsia="hr-HR"/>
        </w:rPr>
      </w:pPr>
      <w:r w:rsidRPr="005E671C">
        <w:rPr>
          <w:rFonts w:ascii="Times New Roman" w:eastAsia="Times New Roman" w:hAnsi="Times New Roman" w:cs="Times New Roman"/>
          <w:b/>
          <w:bCs/>
          <w:sz w:val="24"/>
          <w:szCs w:val="24"/>
          <w:u w:val="single"/>
          <w:lang w:eastAsia="hr-HR"/>
        </w:rPr>
        <w:lastRenderedPageBreak/>
        <w:t>Prilog 4</w:t>
      </w:r>
    </w:p>
    <w:p w14:paraId="1A3C7103" w14:textId="77777777" w:rsidR="005E671C" w:rsidRPr="005E671C" w:rsidRDefault="005E671C" w:rsidP="005E671C">
      <w:pPr>
        <w:spacing w:after="0" w:line="240" w:lineRule="auto"/>
        <w:rPr>
          <w:rFonts w:ascii="Times New Roman" w:eastAsia="Times New Roman" w:hAnsi="Times New Roman" w:cs="Times New Roman"/>
          <w:b/>
          <w:bCs/>
          <w:sz w:val="24"/>
          <w:szCs w:val="24"/>
          <w:u w:val="single"/>
          <w:lang w:eastAsia="hr-HR"/>
        </w:rPr>
      </w:pPr>
    </w:p>
    <w:p w14:paraId="178288CD" w14:textId="6A2397DE" w:rsidR="005F3233" w:rsidRPr="005E671C" w:rsidRDefault="005E671C">
      <w:pPr>
        <w:rPr>
          <w:rFonts w:ascii="Times New Roman" w:hAnsi="Times New Roman" w:cs="Times New Roman"/>
          <w:sz w:val="24"/>
          <w:szCs w:val="24"/>
        </w:rPr>
      </w:pPr>
      <w:r w:rsidRPr="005E671C">
        <w:rPr>
          <w:rFonts w:ascii="Times New Roman" w:hAnsi="Times New Roman" w:cs="Times New Roman"/>
          <w:sz w:val="24"/>
          <w:szCs w:val="24"/>
        </w:rPr>
        <w:t>PREKRŠAJNI SUDOVI - UKUPNO 2015. godina</w:t>
      </w:r>
    </w:p>
    <w:tbl>
      <w:tblPr>
        <w:tblW w:w="14337" w:type="dxa"/>
        <w:tblLayout w:type="fixed"/>
        <w:tblLook w:val="04A0" w:firstRow="1" w:lastRow="0" w:firstColumn="1" w:lastColumn="0" w:noHBand="0" w:noVBand="1"/>
      </w:tblPr>
      <w:tblGrid>
        <w:gridCol w:w="1408"/>
        <w:gridCol w:w="595"/>
        <w:gridCol w:w="549"/>
        <w:gridCol w:w="441"/>
        <w:gridCol w:w="432"/>
        <w:gridCol w:w="6"/>
        <w:gridCol w:w="415"/>
        <w:gridCol w:w="431"/>
        <w:gridCol w:w="420"/>
        <w:gridCol w:w="429"/>
        <w:gridCol w:w="581"/>
        <w:gridCol w:w="14"/>
        <w:gridCol w:w="542"/>
        <w:gridCol w:w="574"/>
        <w:gridCol w:w="434"/>
        <w:gridCol w:w="10"/>
        <w:gridCol w:w="433"/>
        <w:gridCol w:w="698"/>
        <w:gridCol w:w="574"/>
        <w:gridCol w:w="560"/>
        <w:gridCol w:w="10"/>
        <w:gridCol w:w="420"/>
        <w:gridCol w:w="10"/>
        <w:gridCol w:w="415"/>
        <w:gridCol w:w="10"/>
        <w:gridCol w:w="530"/>
        <w:gridCol w:w="435"/>
        <w:gridCol w:w="655"/>
        <w:gridCol w:w="645"/>
        <w:gridCol w:w="699"/>
        <w:gridCol w:w="700"/>
        <w:gridCol w:w="10"/>
        <w:gridCol w:w="229"/>
        <w:gridCol w:w="23"/>
      </w:tblGrid>
      <w:tr w:rsidR="005E671C" w:rsidRPr="005E671C" w14:paraId="4AF87733" w14:textId="77777777" w:rsidTr="001752B7">
        <w:trPr>
          <w:gridAfter w:val="2"/>
          <w:wAfter w:w="252" w:type="dxa"/>
          <w:trHeight w:val="450"/>
        </w:trPr>
        <w:tc>
          <w:tcPr>
            <w:tcW w:w="1408" w:type="dxa"/>
            <w:vMerge w:val="restart"/>
            <w:tcBorders>
              <w:top w:val="single" w:sz="8" w:space="0" w:color="auto"/>
              <w:left w:val="single" w:sz="8" w:space="0" w:color="auto"/>
              <w:bottom w:val="single" w:sz="4" w:space="0" w:color="auto"/>
              <w:right w:val="single" w:sz="4" w:space="0" w:color="auto"/>
            </w:tcBorders>
            <w:shd w:val="clear" w:color="000000" w:fill="CCFFCC"/>
            <w:vAlign w:val="center"/>
            <w:hideMark/>
          </w:tcPr>
          <w:p w14:paraId="0595B2D4" w14:textId="77777777" w:rsidR="005E671C" w:rsidRPr="001752B7" w:rsidRDefault="005E671C" w:rsidP="005E671C">
            <w:pPr>
              <w:spacing w:after="0" w:line="240" w:lineRule="auto"/>
              <w:jc w:val="center"/>
              <w:rPr>
                <w:rFonts w:ascii="Calibri" w:eastAsia="Times New Roman" w:hAnsi="Calibri" w:cs="Calibri"/>
                <w:sz w:val="18"/>
                <w:szCs w:val="18"/>
                <w:lang w:eastAsia="hr-HR"/>
              </w:rPr>
            </w:pPr>
            <w:r w:rsidRPr="001752B7">
              <w:rPr>
                <w:rFonts w:ascii="Calibri" w:eastAsia="Times New Roman" w:hAnsi="Calibri" w:cs="Calibri"/>
                <w:sz w:val="18"/>
                <w:szCs w:val="18"/>
                <w:lang w:eastAsia="hr-HR"/>
              </w:rPr>
              <w:t xml:space="preserve">OSNOVE DISKRIMINACIJE </w:t>
            </w:r>
          </w:p>
        </w:tc>
        <w:tc>
          <w:tcPr>
            <w:tcW w:w="12677" w:type="dxa"/>
            <w:gridSpan w:val="31"/>
            <w:vMerge w:val="restart"/>
            <w:tcBorders>
              <w:top w:val="single" w:sz="8" w:space="0" w:color="auto"/>
              <w:left w:val="single" w:sz="4" w:space="0" w:color="auto"/>
              <w:bottom w:val="single" w:sz="4" w:space="0" w:color="000000"/>
              <w:right w:val="single" w:sz="8" w:space="0" w:color="000000"/>
            </w:tcBorders>
            <w:shd w:val="clear" w:color="000000" w:fill="CCFFCC"/>
            <w:noWrap/>
            <w:vAlign w:val="center"/>
            <w:hideMark/>
          </w:tcPr>
          <w:p w14:paraId="5AFA2F61" w14:textId="77777777" w:rsidR="005E671C" w:rsidRPr="001752B7" w:rsidRDefault="005E671C" w:rsidP="005E671C">
            <w:pPr>
              <w:spacing w:after="0" w:line="240" w:lineRule="auto"/>
              <w:jc w:val="center"/>
              <w:rPr>
                <w:rFonts w:ascii="Calibri" w:eastAsia="Times New Roman" w:hAnsi="Calibri" w:cs="Calibri"/>
                <w:b/>
                <w:bCs/>
                <w:sz w:val="18"/>
                <w:szCs w:val="18"/>
                <w:lang w:eastAsia="hr-HR"/>
              </w:rPr>
            </w:pPr>
            <w:r w:rsidRPr="001752B7">
              <w:rPr>
                <w:rFonts w:ascii="Calibri" w:eastAsia="Times New Roman" w:hAnsi="Calibri" w:cs="Calibri"/>
                <w:b/>
                <w:bCs/>
                <w:sz w:val="18"/>
                <w:szCs w:val="18"/>
                <w:lang w:eastAsia="hr-HR"/>
              </w:rPr>
              <w:t>P R E K R Š A J N I     P R E D M E T I</w:t>
            </w:r>
          </w:p>
        </w:tc>
      </w:tr>
      <w:tr w:rsidR="005E671C" w:rsidRPr="005E671C" w14:paraId="5C9B5F8F" w14:textId="77777777" w:rsidTr="001752B7">
        <w:trPr>
          <w:trHeight w:val="300"/>
        </w:trPr>
        <w:tc>
          <w:tcPr>
            <w:tcW w:w="1408" w:type="dxa"/>
            <w:vMerge/>
            <w:tcBorders>
              <w:top w:val="single" w:sz="8" w:space="0" w:color="auto"/>
              <w:left w:val="single" w:sz="8" w:space="0" w:color="auto"/>
              <w:bottom w:val="single" w:sz="4" w:space="0" w:color="auto"/>
              <w:right w:val="single" w:sz="4" w:space="0" w:color="auto"/>
            </w:tcBorders>
            <w:vAlign w:val="center"/>
            <w:hideMark/>
          </w:tcPr>
          <w:p w14:paraId="3901CD00" w14:textId="77777777" w:rsidR="005E671C" w:rsidRPr="001752B7" w:rsidRDefault="005E671C" w:rsidP="005E671C">
            <w:pPr>
              <w:spacing w:after="0" w:line="240" w:lineRule="auto"/>
              <w:rPr>
                <w:rFonts w:ascii="Calibri" w:eastAsia="Times New Roman" w:hAnsi="Calibri" w:cs="Calibri"/>
                <w:sz w:val="18"/>
                <w:szCs w:val="18"/>
                <w:lang w:eastAsia="hr-HR"/>
              </w:rPr>
            </w:pPr>
          </w:p>
        </w:tc>
        <w:tc>
          <w:tcPr>
            <w:tcW w:w="12677" w:type="dxa"/>
            <w:gridSpan w:val="31"/>
            <w:vMerge/>
            <w:tcBorders>
              <w:top w:val="single" w:sz="8" w:space="0" w:color="auto"/>
              <w:left w:val="single" w:sz="4" w:space="0" w:color="auto"/>
              <w:bottom w:val="single" w:sz="4" w:space="0" w:color="000000"/>
              <w:right w:val="single" w:sz="8" w:space="0" w:color="000000"/>
            </w:tcBorders>
            <w:vAlign w:val="center"/>
            <w:hideMark/>
          </w:tcPr>
          <w:p w14:paraId="15223AF1" w14:textId="77777777" w:rsidR="005E671C" w:rsidRPr="001752B7" w:rsidRDefault="005E671C" w:rsidP="005E671C">
            <w:pPr>
              <w:spacing w:after="0" w:line="240" w:lineRule="auto"/>
              <w:rPr>
                <w:rFonts w:ascii="Calibri" w:eastAsia="Times New Roman" w:hAnsi="Calibri" w:cs="Calibri"/>
                <w:b/>
                <w:bCs/>
                <w:sz w:val="18"/>
                <w:szCs w:val="18"/>
                <w:lang w:eastAsia="hr-HR"/>
              </w:rPr>
            </w:pPr>
          </w:p>
        </w:tc>
        <w:tc>
          <w:tcPr>
            <w:tcW w:w="252" w:type="dxa"/>
            <w:gridSpan w:val="2"/>
            <w:tcBorders>
              <w:top w:val="nil"/>
              <w:left w:val="nil"/>
              <w:bottom w:val="nil"/>
              <w:right w:val="nil"/>
            </w:tcBorders>
            <w:shd w:val="clear" w:color="auto" w:fill="auto"/>
            <w:noWrap/>
            <w:vAlign w:val="bottom"/>
            <w:hideMark/>
          </w:tcPr>
          <w:p w14:paraId="5D3BDD08" w14:textId="77777777" w:rsidR="005E671C" w:rsidRPr="005E671C" w:rsidRDefault="005E671C" w:rsidP="005E671C">
            <w:pPr>
              <w:spacing w:after="0" w:line="240" w:lineRule="auto"/>
              <w:jc w:val="center"/>
              <w:rPr>
                <w:rFonts w:ascii="Calibri" w:eastAsia="Times New Roman" w:hAnsi="Calibri" w:cs="Calibri"/>
                <w:b/>
                <w:bCs/>
                <w:lang w:eastAsia="hr-HR"/>
              </w:rPr>
            </w:pPr>
          </w:p>
        </w:tc>
      </w:tr>
      <w:tr w:rsidR="005E671C" w:rsidRPr="005E671C" w14:paraId="2ACE78A0" w14:textId="77777777" w:rsidTr="001752B7">
        <w:trPr>
          <w:gridAfter w:val="1"/>
          <w:wAfter w:w="23" w:type="dxa"/>
          <w:trHeight w:val="1110"/>
        </w:trPr>
        <w:tc>
          <w:tcPr>
            <w:tcW w:w="1408" w:type="dxa"/>
            <w:vMerge/>
            <w:tcBorders>
              <w:top w:val="single" w:sz="8" w:space="0" w:color="auto"/>
              <w:left w:val="single" w:sz="8" w:space="0" w:color="auto"/>
              <w:bottom w:val="single" w:sz="4" w:space="0" w:color="auto"/>
              <w:right w:val="single" w:sz="4" w:space="0" w:color="auto"/>
            </w:tcBorders>
            <w:vAlign w:val="center"/>
            <w:hideMark/>
          </w:tcPr>
          <w:p w14:paraId="4FADE11E" w14:textId="77777777" w:rsidR="005E671C" w:rsidRPr="001752B7" w:rsidRDefault="005E671C" w:rsidP="005E671C">
            <w:pPr>
              <w:spacing w:after="0" w:line="240" w:lineRule="auto"/>
              <w:rPr>
                <w:rFonts w:ascii="Calibri" w:eastAsia="Times New Roman" w:hAnsi="Calibri" w:cs="Calibri"/>
                <w:sz w:val="18"/>
                <w:szCs w:val="18"/>
                <w:lang w:eastAsia="hr-HR"/>
              </w:rPr>
            </w:pPr>
          </w:p>
        </w:tc>
        <w:tc>
          <w:tcPr>
            <w:tcW w:w="595" w:type="dxa"/>
            <w:vMerge w:val="restart"/>
            <w:tcBorders>
              <w:top w:val="nil"/>
              <w:left w:val="single" w:sz="4" w:space="0" w:color="auto"/>
              <w:bottom w:val="single" w:sz="4" w:space="0" w:color="auto"/>
              <w:right w:val="single" w:sz="4" w:space="0" w:color="auto"/>
            </w:tcBorders>
            <w:shd w:val="clear" w:color="000000" w:fill="CCFFCC"/>
            <w:textDirection w:val="btLr"/>
            <w:vAlign w:val="center"/>
            <w:hideMark/>
          </w:tcPr>
          <w:p w14:paraId="5CA21284" w14:textId="77777777" w:rsidR="005E671C" w:rsidRPr="001752B7" w:rsidRDefault="005E671C" w:rsidP="005E671C">
            <w:pPr>
              <w:spacing w:after="0" w:line="240" w:lineRule="auto"/>
              <w:jc w:val="center"/>
              <w:rPr>
                <w:rFonts w:ascii="Tahoma" w:eastAsia="Times New Roman" w:hAnsi="Tahoma" w:cs="Tahoma"/>
                <w:b/>
                <w:bCs/>
                <w:sz w:val="18"/>
                <w:szCs w:val="18"/>
                <w:lang w:eastAsia="hr-HR"/>
              </w:rPr>
            </w:pPr>
            <w:r w:rsidRPr="001752B7">
              <w:rPr>
                <w:rFonts w:ascii="Tahoma" w:eastAsia="Times New Roman" w:hAnsi="Tahoma" w:cs="Tahoma"/>
                <w:b/>
                <w:bCs/>
                <w:sz w:val="18"/>
                <w:szCs w:val="18"/>
                <w:lang w:eastAsia="hr-HR"/>
              </w:rPr>
              <w:t xml:space="preserve">Broj </w:t>
            </w:r>
            <w:proofErr w:type="spellStart"/>
            <w:r w:rsidRPr="001752B7">
              <w:rPr>
                <w:rFonts w:ascii="Tahoma" w:eastAsia="Times New Roman" w:hAnsi="Tahoma" w:cs="Tahoma"/>
                <w:b/>
                <w:bCs/>
                <w:sz w:val="18"/>
                <w:szCs w:val="18"/>
                <w:lang w:eastAsia="hr-HR"/>
              </w:rPr>
              <w:t>nerješenih</w:t>
            </w:r>
            <w:proofErr w:type="spellEnd"/>
            <w:r w:rsidRPr="001752B7">
              <w:rPr>
                <w:rFonts w:ascii="Tahoma" w:eastAsia="Times New Roman" w:hAnsi="Tahoma" w:cs="Tahoma"/>
                <w:b/>
                <w:bCs/>
                <w:sz w:val="18"/>
                <w:szCs w:val="18"/>
                <w:lang w:eastAsia="hr-HR"/>
              </w:rPr>
              <w:t xml:space="preserve"> predmeta na početku razdoblja</w:t>
            </w:r>
          </w:p>
        </w:tc>
        <w:tc>
          <w:tcPr>
            <w:tcW w:w="549" w:type="dxa"/>
            <w:vMerge w:val="restart"/>
            <w:tcBorders>
              <w:top w:val="nil"/>
              <w:left w:val="single" w:sz="4" w:space="0" w:color="auto"/>
              <w:bottom w:val="single" w:sz="4" w:space="0" w:color="auto"/>
              <w:right w:val="single" w:sz="4" w:space="0" w:color="000000"/>
            </w:tcBorders>
            <w:shd w:val="clear" w:color="000000" w:fill="CCFFCC"/>
            <w:textDirection w:val="btLr"/>
            <w:vAlign w:val="center"/>
            <w:hideMark/>
          </w:tcPr>
          <w:p w14:paraId="50AD2AE4" w14:textId="77777777" w:rsidR="005E671C" w:rsidRPr="001752B7" w:rsidRDefault="005E671C" w:rsidP="005E671C">
            <w:pPr>
              <w:spacing w:after="0" w:line="240" w:lineRule="auto"/>
              <w:jc w:val="center"/>
              <w:rPr>
                <w:rFonts w:ascii="Tahoma" w:eastAsia="Times New Roman" w:hAnsi="Tahoma" w:cs="Tahoma"/>
                <w:b/>
                <w:bCs/>
                <w:sz w:val="18"/>
                <w:szCs w:val="18"/>
                <w:lang w:eastAsia="hr-HR"/>
              </w:rPr>
            </w:pPr>
            <w:r w:rsidRPr="001752B7">
              <w:rPr>
                <w:rFonts w:ascii="Tahoma" w:eastAsia="Times New Roman" w:hAnsi="Tahoma" w:cs="Tahoma"/>
                <w:b/>
                <w:bCs/>
                <w:sz w:val="18"/>
                <w:szCs w:val="18"/>
                <w:lang w:eastAsia="hr-HR"/>
              </w:rPr>
              <w:t xml:space="preserve">Broj primljenih predmeta </w:t>
            </w:r>
          </w:p>
        </w:tc>
        <w:tc>
          <w:tcPr>
            <w:tcW w:w="879" w:type="dxa"/>
            <w:gridSpan w:val="3"/>
            <w:tcBorders>
              <w:top w:val="single" w:sz="4" w:space="0" w:color="auto"/>
              <w:left w:val="nil"/>
              <w:bottom w:val="single" w:sz="4" w:space="0" w:color="auto"/>
              <w:right w:val="single" w:sz="4" w:space="0" w:color="000000"/>
            </w:tcBorders>
            <w:shd w:val="clear" w:color="000000" w:fill="CCFFCC"/>
            <w:vAlign w:val="center"/>
            <w:hideMark/>
          </w:tcPr>
          <w:p w14:paraId="1E535DF9" w14:textId="77777777" w:rsidR="005E671C" w:rsidRPr="001752B7" w:rsidRDefault="005E671C" w:rsidP="005E671C">
            <w:pPr>
              <w:spacing w:after="0" w:line="240" w:lineRule="auto"/>
              <w:jc w:val="center"/>
              <w:rPr>
                <w:rFonts w:ascii="Tahoma" w:eastAsia="Times New Roman" w:hAnsi="Tahoma" w:cs="Tahoma"/>
                <w:sz w:val="18"/>
                <w:szCs w:val="18"/>
                <w:lang w:eastAsia="hr-HR"/>
              </w:rPr>
            </w:pPr>
            <w:r w:rsidRPr="001752B7">
              <w:rPr>
                <w:rFonts w:ascii="Tahoma" w:eastAsia="Times New Roman" w:hAnsi="Tahoma" w:cs="Tahoma"/>
                <w:sz w:val="18"/>
                <w:szCs w:val="18"/>
                <w:lang w:eastAsia="hr-HR"/>
              </w:rPr>
              <w:t>Broj diskriminiranih osoba prema prijavi</w:t>
            </w:r>
          </w:p>
        </w:tc>
        <w:tc>
          <w:tcPr>
            <w:tcW w:w="2290" w:type="dxa"/>
            <w:gridSpan w:val="6"/>
            <w:tcBorders>
              <w:top w:val="single" w:sz="4" w:space="0" w:color="auto"/>
              <w:left w:val="nil"/>
              <w:bottom w:val="single" w:sz="4" w:space="0" w:color="auto"/>
              <w:right w:val="single" w:sz="4" w:space="0" w:color="auto"/>
            </w:tcBorders>
            <w:shd w:val="clear" w:color="000000" w:fill="CCFFCC"/>
            <w:vAlign w:val="center"/>
            <w:hideMark/>
          </w:tcPr>
          <w:p w14:paraId="7F48D792" w14:textId="77777777" w:rsidR="005E671C" w:rsidRPr="001752B7" w:rsidRDefault="005E671C" w:rsidP="005E671C">
            <w:pPr>
              <w:spacing w:after="0" w:line="240" w:lineRule="auto"/>
              <w:jc w:val="center"/>
              <w:rPr>
                <w:rFonts w:ascii="Calibri" w:eastAsia="Times New Roman" w:hAnsi="Calibri" w:cs="Calibri"/>
                <w:b/>
                <w:bCs/>
                <w:sz w:val="18"/>
                <w:szCs w:val="18"/>
                <w:lang w:eastAsia="hr-HR"/>
              </w:rPr>
            </w:pPr>
            <w:r w:rsidRPr="001752B7">
              <w:rPr>
                <w:rFonts w:ascii="Calibri" w:eastAsia="Times New Roman" w:hAnsi="Calibri" w:cs="Calibri"/>
                <w:b/>
                <w:bCs/>
                <w:sz w:val="18"/>
                <w:szCs w:val="18"/>
                <w:lang w:eastAsia="hr-HR"/>
              </w:rPr>
              <w:t>PREKRŠAJ</w:t>
            </w:r>
          </w:p>
        </w:tc>
        <w:tc>
          <w:tcPr>
            <w:tcW w:w="1560" w:type="dxa"/>
            <w:gridSpan w:val="4"/>
            <w:tcBorders>
              <w:top w:val="single" w:sz="4" w:space="0" w:color="auto"/>
              <w:left w:val="nil"/>
              <w:bottom w:val="single" w:sz="4" w:space="0" w:color="auto"/>
              <w:right w:val="single" w:sz="4" w:space="0" w:color="auto"/>
            </w:tcBorders>
            <w:shd w:val="clear" w:color="000000" w:fill="CCFFCC"/>
            <w:vAlign w:val="center"/>
            <w:hideMark/>
          </w:tcPr>
          <w:p w14:paraId="2882EC22" w14:textId="77777777" w:rsidR="005E671C" w:rsidRPr="001752B7" w:rsidRDefault="005E671C" w:rsidP="005E671C">
            <w:pPr>
              <w:spacing w:after="0" w:line="240" w:lineRule="auto"/>
              <w:jc w:val="center"/>
              <w:rPr>
                <w:rFonts w:ascii="Calibri" w:eastAsia="Times New Roman" w:hAnsi="Calibri" w:cs="Calibri"/>
                <w:b/>
                <w:bCs/>
                <w:sz w:val="18"/>
                <w:szCs w:val="18"/>
                <w:lang w:eastAsia="hr-HR"/>
              </w:rPr>
            </w:pPr>
            <w:r w:rsidRPr="001752B7">
              <w:rPr>
                <w:rFonts w:ascii="Calibri" w:eastAsia="Times New Roman" w:hAnsi="Calibri" w:cs="Calibri"/>
                <w:b/>
                <w:bCs/>
                <w:sz w:val="18"/>
                <w:szCs w:val="18"/>
                <w:lang w:eastAsia="hr-HR"/>
              </w:rPr>
              <w:t>PRAVOMOĆNO RIJEŠENO</w:t>
            </w:r>
          </w:p>
        </w:tc>
        <w:tc>
          <w:tcPr>
            <w:tcW w:w="2275" w:type="dxa"/>
            <w:gridSpan w:val="5"/>
            <w:tcBorders>
              <w:top w:val="single" w:sz="4" w:space="0" w:color="auto"/>
              <w:left w:val="nil"/>
              <w:bottom w:val="single" w:sz="4" w:space="0" w:color="auto"/>
              <w:right w:val="single" w:sz="4" w:space="0" w:color="000000"/>
            </w:tcBorders>
            <w:shd w:val="clear" w:color="000000" w:fill="CCFFCC"/>
            <w:vAlign w:val="center"/>
            <w:hideMark/>
          </w:tcPr>
          <w:p w14:paraId="41A9A400" w14:textId="77777777" w:rsidR="005E671C" w:rsidRPr="001752B7" w:rsidRDefault="005E671C" w:rsidP="005E671C">
            <w:pPr>
              <w:spacing w:after="0" w:line="240" w:lineRule="auto"/>
              <w:jc w:val="center"/>
              <w:rPr>
                <w:rFonts w:ascii="Calibri" w:eastAsia="Times New Roman" w:hAnsi="Calibri" w:cs="Calibri"/>
                <w:b/>
                <w:bCs/>
                <w:sz w:val="18"/>
                <w:szCs w:val="18"/>
                <w:lang w:eastAsia="hr-HR"/>
              </w:rPr>
            </w:pPr>
            <w:r w:rsidRPr="001752B7">
              <w:rPr>
                <w:rFonts w:ascii="Calibri" w:eastAsia="Times New Roman" w:hAnsi="Calibri" w:cs="Calibri"/>
                <w:b/>
                <w:bCs/>
                <w:sz w:val="18"/>
                <w:szCs w:val="18"/>
                <w:lang w:eastAsia="hr-HR"/>
              </w:rPr>
              <w:t>Broj i vrsta kazni</w:t>
            </w:r>
          </w:p>
        </w:tc>
        <w:tc>
          <w:tcPr>
            <w:tcW w:w="430" w:type="dxa"/>
            <w:gridSpan w:val="2"/>
            <w:tcBorders>
              <w:top w:val="nil"/>
              <w:left w:val="single" w:sz="4" w:space="0" w:color="auto"/>
              <w:bottom w:val="single" w:sz="4" w:space="0" w:color="000000"/>
              <w:right w:val="single" w:sz="4" w:space="0" w:color="auto"/>
            </w:tcBorders>
            <w:shd w:val="clear" w:color="000000" w:fill="CCFFCC"/>
            <w:textDirection w:val="btLr"/>
            <w:vAlign w:val="center"/>
            <w:hideMark/>
          </w:tcPr>
          <w:p w14:paraId="24057110" w14:textId="77777777" w:rsidR="005E671C" w:rsidRPr="001752B7" w:rsidRDefault="005E671C" w:rsidP="005E671C">
            <w:pPr>
              <w:spacing w:after="0" w:line="240" w:lineRule="auto"/>
              <w:jc w:val="center"/>
              <w:rPr>
                <w:rFonts w:ascii="Calibri" w:eastAsia="Times New Roman" w:hAnsi="Calibri" w:cs="Calibri"/>
                <w:b/>
                <w:bCs/>
                <w:sz w:val="18"/>
                <w:szCs w:val="18"/>
                <w:lang w:eastAsia="hr-HR"/>
              </w:rPr>
            </w:pPr>
            <w:r w:rsidRPr="001752B7">
              <w:rPr>
                <w:rFonts w:ascii="Calibri" w:eastAsia="Times New Roman" w:hAnsi="Calibri" w:cs="Calibri"/>
                <w:b/>
                <w:bCs/>
                <w:sz w:val="18"/>
                <w:szCs w:val="18"/>
                <w:lang w:eastAsia="hr-HR"/>
              </w:rPr>
              <w:t>Ukupno riješeno</w:t>
            </w:r>
          </w:p>
        </w:tc>
        <w:tc>
          <w:tcPr>
            <w:tcW w:w="425" w:type="dxa"/>
            <w:gridSpan w:val="2"/>
            <w:tcBorders>
              <w:top w:val="nil"/>
              <w:left w:val="single" w:sz="4" w:space="0" w:color="auto"/>
              <w:bottom w:val="single" w:sz="4" w:space="0" w:color="000000"/>
              <w:right w:val="single" w:sz="4" w:space="0" w:color="auto"/>
            </w:tcBorders>
            <w:shd w:val="clear" w:color="000000" w:fill="CCFFCC"/>
            <w:textDirection w:val="btLr"/>
            <w:vAlign w:val="center"/>
            <w:hideMark/>
          </w:tcPr>
          <w:p w14:paraId="7FCF3D36" w14:textId="77777777" w:rsidR="005E671C" w:rsidRPr="001752B7" w:rsidRDefault="005E671C" w:rsidP="005E671C">
            <w:pPr>
              <w:spacing w:after="0" w:line="240" w:lineRule="auto"/>
              <w:jc w:val="center"/>
              <w:rPr>
                <w:rFonts w:ascii="Calibri" w:eastAsia="Times New Roman" w:hAnsi="Calibri" w:cs="Calibri"/>
                <w:b/>
                <w:bCs/>
                <w:sz w:val="18"/>
                <w:szCs w:val="18"/>
                <w:lang w:eastAsia="hr-HR"/>
              </w:rPr>
            </w:pPr>
            <w:r w:rsidRPr="001752B7">
              <w:rPr>
                <w:rFonts w:ascii="Calibri" w:eastAsia="Times New Roman" w:hAnsi="Calibri" w:cs="Calibri"/>
                <w:b/>
                <w:bCs/>
                <w:sz w:val="18"/>
                <w:szCs w:val="18"/>
                <w:lang w:eastAsia="hr-HR"/>
              </w:rPr>
              <w:t>Ukupno neriješeno</w:t>
            </w:r>
          </w:p>
        </w:tc>
        <w:tc>
          <w:tcPr>
            <w:tcW w:w="530" w:type="dxa"/>
            <w:tcBorders>
              <w:top w:val="nil"/>
              <w:left w:val="single" w:sz="4" w:space="0" w:color="auto"/>
              <w:bottom w:val="single" w:sz="4" w:space="0" w:color="000000"/>
              <w:right w:val="single" w:sz="4" w:space="0" w:color="auto"/>
            </w:tcBorders>
            <w:shd w:val="clear" w:color="000000" w:fill="CCFFCC"/>
            <w:textDirection w:val="btLr"/>
            <w:vAlign w:val="center"/>
            <w:hideMark/>
          </w:tcPr>
          <w:p w14:paraId="4C6C4EFB" w14:textId="77777777" w:rsidR="005E671C" w:rsidRPr="001752B7" w:rsidRDefault="005E671C" w:rsidP="005E671C">
            <w:pPr>
              <w:spacing w:after="0" w:line="240" w:lineRule="auto"/>
              <w:jc w:val="center"/>
              <w:rPr>
                <w:rFonts w:ascii="Calibri" w:eastAsia="Times New Roman" w:hAnsi="Calibri" w:cs="Calibri"/>
                <w:sz w:val="18"/>
                <w:szCs w:val="18"/>
                <w:lang w:eastAsia="hr-HR"/>
              </w:rPr>
            </w:pPr>
            <w:r w:rsidRPr="001752B7">
              <w:rPr>
                <w:rFonts w:ascii="Calibri" w:eastAsia="Times New Roman" w:hAnsi="Calibri" w:cs="Calibri"/>
                <w:sz w:val="18"/>
                <w:szCs w:val="18"/>
                <w:lang w:eastAsia="hr-HR"/>
              </w:rPr>
              <w:t>BROJ OSUĐENIH OSOBA</w:t>
            </w:r>
          </w:p>
        </w:tc>
        <w:tc>
          <w:tcPr>
            <w:tcW w:w="1735" w:type="dxa"/>
            <w:gridSpan w:val="3"/>
            <w:tcBorders>
              <w:top w:val="single" w:sz="4" w:space="0" w:color="auto"/>
              <w:left w:val="nil"/>
              <w:bottom w:val="single" w:sz="4" w:space="0" w:color="auto"/>
              <w:right w:val="single" w:sz="4" w:space="0" w:color="000000"/>
            </w:tcBorders>
            <w:shd w:val="clear" w:color="000000" w:fill="CCFFCC"/>
            <w:vAlign w:val="center"/>
            <w:hideMark/>
          </w:tcPr>
          <w:p w14:paraId="721ED184" w14:textId="77777777" w:rsidR="005E671C" w:rsidRPr="001752B7" w:rsidRDefault="005E671C" w:rsidP="005E671C">
            <w:pPr>
              <w:spacing w:after="0" w:line="240" w:lineRule="auto"/>
              <w:jc w:val="center"/>
              <w:rPr>
                <w:rFonts w:ascii="Tahoma" w:eastAsia="Times New Roman" w:hAnsi="Tahoma" w:cs="Tahoma"/>
                <w:sz w:val="18"/>
                <w:szCs w:val="18"/>
                <w:lang w:eastAsia="hr-HR"/>
              </w:rPr>
            </w:pPr>
            <w:r w:rsidRPr="001752B7">
              <w:rPr>
                <w:rFonts w:ascii="Tahoma" w:eastAsia="Times New Roman" w:hAnsi="Tahoma" w:cs="Tahoma"/>
                <w:sz w:val="18"/>
                <w:szCs w:val="18"/>
                <w:lang w:eastAsia="hr-HR"/>
              </w:rPr>
              <w:t>Broj diskriminiranih osoba prema pravomoćnoj presudi</w:t>
            </w:r>
          </w:p>
        </w:tc>
        <w:tc>
          <w:tcPr>
            <w:tcW w:w="1399" w:type="dxa"/>
            <w:gridSpan w:val="2"/>
            <w:tcBorders>
              <w:top w:val="single" w:sz="4" w:space="0" w:color="auto"/>
              <w:left w:val="nil"/>
              <w:bottom w:val="single" w:sz="4" w:space="0" w:color="auto"/>
              <w:right w:val="single" w:sz="8" w:space="0" w:color="000000"/>
            </w:tcBorders>
            <w:shd w:val="clear" w:color="000000" w:fill="CCFFCC"/>
            <w:vAlign w:val="center"/>
            <w:hideMark/>
          </w:tcPr>
          <w:p w14:paraId="2358A918" w14:textId="77777777" w:rsidR="005E671C" w:rsidRPr="001752B7" w:rsidRDefault="005E671C" w:rsidP="005E671C">
            <w:pPr>
              <w:spacing w:after="0" w:line="240" w:lineRule="auto"/>
              <w:jc w:val="center"/>
              <w:rPr>
                <w:rFonts w:ascii="Calibri" w:eastAsia="Times New Roman" w:hAnsi="Calibri" w:cs="Calibri"/>
                <w:sz w:val="18"/>
                <w:szCs w:val="18"/>
                <w:lang w:eastAsia="hr-HR"/>
              </w:rPr>
            </w:pPr>
            <w:r w:rsidRPr="001752B7">
              <w:rPr>
                <w:rFonts w:ascii="Calibri" w:eastAsia="Times New Roman" w:hAnsi="Calibri" w:cs="Calibri"/>
                <w:sz w:val="18"/>
                <w:szCs w:val="18"/>
                <w:lang w:eastAsia="hr-HR"/>
              </w:rPr>
              <w:t>TRAJANJE POSTUPKA</w:t>
            </w:r>
          </w:p>
        </w:tc>
        <w:tc>
          <w:tcPr>
            <w:tcW w:w="239" w:type="dxa"/>
            <w:gridSpan w:val="2"/>
            <w:vAlign w:val="center"/>
            <w:hideMark/>
          </w:tcPr>
          <w:p w14:paraId="1B5BC62D" w14:textId="77777777" w:rsidR="005E671C" w:rsidRPr="005E671C" w:rsidRDefault="005E671C" w:rsidP="005E671C">
            <w:pPr>
              <w:spacing w:after="0" w:line="240" w:lineRule="auto"/>
              <w:rPr>
                <w:rFonts w:ascii="Times New Roman" w:eastAsia="Times New Roman" w:hAnsi="Times New Roman" w:cs="Times New Roman"/>
                <w:sz w:val="20"/>
                <w:szCs w:val="20"/>
                <w:lang w:eastAsia="hr-HR"/>
              </w:rPr>
            </w:pPr>
          </w:p>
        </w:tc>
      </w:tr>
      <w:tr w:rsidR="005E671C" w:rsidRPr="005E671C" w14:paraId="601735BC" w14:textId="77777777" w:rsidTr="001752B7">
        <w:trPr>
          <w:gridAfter w:val="1"/>
          <w:wAfter w:w="23" w:type="dxa"/>
          <w:trHeight w:val="3981"/>
        </w:trPr>
        <w:tc>
          <w:tcPr>
            <w:tcW w:w="1408" w:type="dxa"/>
            <w:vMerge/>
            <w:tcBorders>
              <w:top w:val="single" w:sz="8" w:space="0" w:color="auto"/>
              <w:left w:val="single" w:sz="8" w:space="0" w:color="auto"/>
              <w:bottom w:val="single" w:sz="4" w:space="0" w:color="auto"/>
              <w:right w:val="single" w:sz="4" w:space="0" w:color="auto"/>
            </w:tcBorders>
            <w:vAlign w:val="center"/>
            <w:hideMark/>
          </w:tcPr>
          <w:p w14:paraId="4DF66884" w14:textId="77777777" w:rsidR="005E671C" w:rsidRPr="001752B7" w:rsidRDefault="005E671C" w:rsidP="005E671C">
            <w:pPr>
              <w:spacing w:after="0" w:line="240" w:lineRule="auto"/>
              <w:rPr>
                <w:rFonts w:ascii="Calibri" w:eastAsia="Times New Roman" w:hAnsi="Calibri" w:cs="Calibri"/>
                <w:sz w:val="18"/>
                <w:szCs w:val="18"/>
                <w:lang w:eastAsia="hr-HR"/>
              </w:rPr>
            </w:pPr>
          </w:p>
        </w:tc>
        <w:tc>
          <w:tcPr>
            <w:tcW w:w="595" w:type="dxa"/>
            <w:vMerge/>
            <w:tcBorders>
              <w:top w:val="nil"/>
              <w:left w:val="single" w:sz="4" w:space="0" w:color="auto"/>
              <w:bottom w:val="single" w:sz="4" w:space="0" w:color="auto"/>
              <w:right w:val="single" w:sz="4" w:space="0" w:color="auto"/>
            </w:tcBorders>
            <w:vAlign w:val="center"/>
            <w:hideMark/>
          </w:tcPr>
          <w:p w14:paraId="01147A5B" w14:textId="77777777" w:rsidR="005E671C" w:rsidRPr="001752B7" w:rsidRDefault="005E671C" w:rsidP="005E671C">
            <w:pPr>
              <w:spacing w:after="0" w:line="240" w:lineRule="auto"/>
              <w:rPr>
                <w:rFonts w:ascii="Tahoma" w:eastAsia="Times New Roman" w:hAnsi="Tahoma" w:cs="Tahoma"/>
                <w:b/>
                <w:bCs/>
                <w:sz w:val="18"/>
                <w:szCs w:val="18"/>
                <w:lang w:eastAsia="hr-HR"/>
              </w:rPr>
            </w:pPr>
          </w:p>
        </w:tc>
        <w:tc>
          <w:tcPr>
            <w:tcW w:w="549" w:type="dxa"/>
            <w:vMerge/>
            <w:tcBorders>
              <w:top w:val="nil"/>
              <w:left w:val="single" w:sz="4" w:space="0" w:color="auto"/>
              <w:bottom w:val="single" w:sz="4" w:space="0" w:color="auto"/>
              <w:right w:val="single" w:sz="4" w:space="0" w:color="000000"/>
            </w:tcBorders>
            <w:vAlign w:val="center"/>
            <w:hideMark/>
          </w:tcPr>
          <w:p w14:paraId="09A6A5D7" w14:textId="77777777" w:rsidR="005E671C" w:rsidRPr="001752B7" w:rsidRDefault="005E671C" w:rsidP="005E671C">
            <w:pPr>
              <w:spacing w:after="0" w:line="240" w:lineRule="auto"/>
              <w:rPr>
                <w:rFonts w:ascii="Tahoma" w:eastAsia="Times New Roman" w:hAnsi="Tahoma" w:cs="Tahoma"/>
                <w:b/>
                <w:bCs/>
                <w:sz w:val="18"/>
                <w:szCs w:val="18"/>
                <w:lang w:eastAsia="hr-HR"/>
              </w:rPr>
            </w:pPr>
          </w:p>
        </w:tc>
        <w:tc>
          <w:tcPr>
            <w:tcW w:w="441" w:type="dxa"/>
            <w:tcBorders>
              <w:top w:val="nil"/>
              <w:left w:val="nil"/>
              <w:bottom w:val="nil"/>
              <w:right w:val="single" w:sz="4" w:space="0" w:color="auto"/>
            </w:tcBorders>
            <w:shd w:val="clear" w:color="000000" w:fill="CCFFCC"/>
            <w:textDirection w:val="btLr"/>
            <w:vAlign w:val="center"/>
            <w:hideMark/>
          </w:tcPr>
          <w:p w14:paraId="5934E619" w14:textId="77777777" w:rsidR="005E671C" w:rsidRPr="001752B7" w:rsidRDefault="005E671C" w:rsidP="005E671C">
            <w:pPr>
              <w:spacing w:after="0" w:line="240" w:lineRule="auto"/>
              <w:jc w:val="center"/>
              <w:rPr>
                <w:rFonts w:ascii="Tahoma" w:eastAsia="Times New Roman" w:hAnsi="Tahoma" w:cs="Tahoma"/>
                <w:sz w:val="18"/>
                <w:szCs w:val="18"/>
                <w:lang w:eastAsia="hr-HR"/>
              </w:rPr>
            </w:pPr>
            <w:r w:rsidRPr="001752B7">
              <w:rPr>
                <w:rFonts w:ascii="Tahoma" w:eastAsia="Times New Roman" w:hAnsi="Tahoma" w:cs="Tahoma"/>
                <w:sz w:val="18"/>
                <w:szCs w:val="18"/>
                <w:lang w:eastAsia="hr-HR"/>
              </w:rPr>
              <w:t>Žene</w:t>
            </w:r>
          </w:p>
        </w:tc>
        <w:tc>
          <w:tcPr>
            <w:tcW w:w="432" w:type="dxa"/>
            <w:tcBorders>
              <w:top w:val="nil"/>
              <w:left w:val="nil"/>
              <w:bottom w:val="nil"/>
              <w:right w:val="single" w:sz="4" w:space="0" w:color="auto"/>
            </w:tcBorders>
            <w:shd w:val="clear" w:color="000000" w:fill="CCFFCC"/>
            <w:textDirection w:val="btLr"/>
            <w:vAlign w:val="center"/>
            <w:hideMark/>
          </w:tcPr>
          <w:p w14:paraId="5D6C2CE0" w14:textId="77777777" w:rsidR="005E671C" w:rsidRPr="001752B7" w:rsidRDefault="005E671C" w:rsidP="005E671C">
            <w:pPr>
              <w:spacing w:after="0" w:line="240" w:lineRule="auto"/>
              <w:jc w:val="center"/>
              <w:rPr>
                <w:rFonts w:ascii="Tahoma" w:eastAsia="Times New Roman" w:hAnsi="Tahoma" w:cs="Tahoma"/>
                <w:sz w:val="18"/>
                <w:szCs w:val="18"/>
                <w:lang w:eastAsia="hr-HR"/>
              </w:rPr>
            </w:pPr>
            <w:r w:rsidRPr="001752B7">
              <w:rPr>
                <w:rFonts w:ascii="Tahoma" w:eastAsia="Times New Roman" w:hAnsi="Tahoma" w:cs="Tahoma"/>
                <w:sz w:val="18"/>
                <w:szCs w:val="18"/>
                <w:lang w:eastAsia="hr-HR"/>
              </w:rPr>
              <w:t>Muškarci</w:t>
            </w:r>
          </w:p>
        </w:tc>
        <w:tc>
          <w:tcPr>
            <w:tcW w:w="421" w:type="dxa"/>
            <w:gridSpan w:val="2"/>
            <w:tcBorders>
              <w:top w:val="nil"/>
              <w:left w:val="nil"/>
              <w:bottom w:val="single" w:sz="4" w:space="0" w:color="auto"/>
              <w:right w:val="single" w:sz="4" w:space="0" w:color="auto"/>
            </w:tcBorders>
            <w:shd w:val="clear" w:color="000000" w:fill="CCFFCC"/>
            <w:textDirection w:val="btLr"/>
            <w:vAlign w:val="center"/>
            <w:hideMark/>
          </w:tcPr>
          <w:p w14:paraId="1A02832A" w14:textId="77777777" w:rsidR="005E671C" w:rsidRPr="001752B7" w:rsidRDefault="005E671C" w:rsidP="005E671C">
            <w:pPr>
              <w:spacing w:after="0" w:line="240" w:lineRule="auto"/>
              <w:jc w:val="center"/>
              <w:rPr>
                <w:rFonts w:ascii="Calibri" w:eastAsia="Times New Roman" w:hAnsi="Calibri" w:cs="Calibri"/>
                <w:sz w:val="18"/>
                <w:szCs w:val="18"/>
                <w:lang w:eastAsia="hr-HR"/>
              </w:rPr>
            </w:pPr>
            <w:r w:rsidRPr="001752B7">
              <w:rPr>
                <w:rFonts w:ascii="Calibri" w:eastAsia="Times New Roman" w:hAnsi="Calibri" w:cs="Calibri"/>
                <w:sz w:val="18"/>
                <w:szCs w:val="18"/>
                <w:lang w:eastAsia="hr-HR"/>
              </w:rPr>
              <w:t>UZNEMIRAVANJE čl. 25. ZSD</w:t>
            </w:r>
          </w:p>
        </w:tc>
        <w:tc>
          <w:tcPr>
            <w:tcW w:w="431" w:type="dxa"/>
            <w:tcBorders>
              <w:top w:val="nil"/>
              <w:left w:val="nil"/>
              <w:bottom w:val="single" w:sz="4" w:space="0" w:color="auto"/>
              <w:right w:val="single" w:sz="4" w:space="0" w:color="auto"/>
            </w:tcBorders>
            <w:shd w:val="clear" w:color="000000" w:fill="CCFFCC"/>
            <w:textDirection w:val="btLr"/>
            <w:vAlign w:val="center"/>
            <w:hideMark/>
          </w:tcPr>
          <w:p w14:paraId="6D6EAA69" w14:textId="77777777" w:rsidR="005E671C" w:rsidRPr="001752B7" w:rsidRDefault="005E671C" w:rsidP="005E671C">
            <w:pPr>
              <w:spacing w:after="0" w:line="240" w:lineRule="auto"/>
              <w:jc w:val="center"/>
              <w:rPr>
                <w:rFonts w:ascii="Calibri" w:eastAsia="Times New Roman" w:hAnsi="Calibri" w:cs="Calibri"/>
                <w:sz w:val="18"/>
                <w:szCs w:val="18"/>
                <w:lang w:eastAsia="hr-HR"/>
              </w:rPr>
            </w:pPr>
            <w:r w:rsidRPr="001752B7">
              <w:rPr>
                <w:rFonts w:ascii="Calibri" w:eastAsia="Times New Roman" w:hAnsi="Calibri" w:cs="Calibri"/>
                <w:sz w:val="18"/>
                <w:szCs w:val="18"/>
                <w:lang w:eastAsia="hr-HR"/>
              </w:rPr>
              <w:t>SPOLNO UZNEMIRAVANJE čl. 26. ZSD</w:t>
            </w:r>
          </w:p>
        </w:tc>
        <w:tc>
          <w:tcPr>
            <w:tcW w:w="420" w:type="dxa"/>
            <w:tcBorders>
              <w:top w:val="nil"/>
              <w:left w:val="nil"/>
              <w:bottom w:val="single" w:sz="4" w:space="0" w:color="auto"/>
              <w:right w:val="single" w:sz="4" w:space="0" w:color="auto"/>
            </w:tcBorders>
            <w:shd w:val="clear" w:color="000000" w:fill="CCFFCC"/>
            <w:textDirection w:val="btLr"/>
            <w:vAlign w:val="center"/>
            <w:hideMark/>
          </w:tcPr>
          <w:p w14:paraId="498C7B46" w14:textId="77777777" w:rsidR="005E671C" w:rsidRPr="001752B7" w:rsidRDefault="005E671C" w:rsidP="005E671C">
            <w:pPr>
              <w:spacing w:after="0" w:line="240" w:lineRule="auto"/>
              <w:jc w:val="center"/>
              <w:rPr>
                <w:rFonts w:ascii="Calibri" w:eastAsia="Times New Roman" w:hAnsi="Calibri" w:cs="Calibri"/>
                <w:sz w:val="18"/>
                <w:szCs w:val="18"/>
                <w:lang w:eastAsia="hr-HR"/>
              </w:rPr>
            </w:pPr>
            <w:r w:rsidRPr="001752B7">
              <w:rPr>
                <w:rFonts w:ascii="Calibri" w:eastAsia="Times New Roman" w:hAnsi="Calibri" w:cs="Calibri"/>
                <w:sz w:val="18"/>
                <w:szCs w:val="18"/>
                <w:lang w:eastAsia="hr-HR"/>
              </w:rPr>
              <w:t>NEDOSTAVLJANJE PODATAKA čl. 27. ZSD</w:t>
            </w:r>
          </w:p>
        </w:tc>
        <w:tc>
          <w:tcPr>
            <w:tcW w:w="429" w:type="dxa"/>
            <w:tcBorders>
              <w:top w:val="nil"/>
              <w:left w:val="nil"/>
              <w:bottom w:val="single" w:sz="4" w:space="0" w:color="auto"/>
              <w:right w:val="single" w:sz="4" w:space="0" w:color="auto"/>
            </w:tcBorders>
            <w:shd w:val="clear" w:color="000000" w:fill="CCFFCC"/>
            <w:textDirection w:val="btLr"/>
            <w:vAlign w:val="center"/>
            <w:hideMark/>
          </w:tcPr>
          <w:p w14:paraId="2D621375" w14:textId="77777777" w:rsidR="005E671C" w:rsidRPr="001752B7" w:rsidRDefault="005E671C" w:rsidP="005E671C">
            <w:pPr>
              <w:spacing w:after="0" w:line="240" w:lineRule="auto"/>
              <w:jc w:val="center"/>
              <w:rPr>
                <w:rFonts w:ascii="Calibri" w:eastAsia="Times New Roman" w:hAnsi="Calibri" w:cs="Calibri"/>
                <w:sz w:val="18"/>
                <w:szCs w:val="18"/>
                <w:lang w:eastAsia="hr-HR"/>
              </w:rPr>
            </w:pPr>
            <w:r w:rsidRPr="001752B7">
              <w:rPr>
                <w:rFonts w:ascii="Calibri" w:eastAsia="Times New Roman" w:hAnsi="Calibri" w:cs="Calibri"/>
                <w:sz w:val="18"/>
                <w:szCs w:val="18"/>
                <w:lang w:eastAsia="hr-HR"/>
              </w:rPr>
              <w:t>VIKTIMIZACIJA čl. 28. ZSD</w:t>
            </w:r>
          </w:p>
        </w:tc>
        <w:tc>
          <w:tcPr>
            <w:tcW w:w="581" w:type="dxa"/>
            <w:tcBorders>
              <w:top w:val="nil"/>
              <w:left w:val="nil"/>
              <w:bottom w:val="single" w:sz="4" w:space="0" w:color="auto"/>
              <w:right w:val="single" w:sz="4" w:space="0" w:color="auto"/>
            </w:tcBorders>
            <w:shd w:val="clear" w:color="000000" w:fill="CCFFCC"/>
            <w:textDirection w:val="btLr"/>
            <w:vAlign w:val="center"/>
            <w:hideMark/>
          </w:tcPr>
          <w:p w14:paraId="26913FFB" w14:textId="77777777" w:rsidR="005E671C" w:rsidRPr="001752B7" w:rsidRDefault="005E671C" w:rsidP="005E671C">
            <w:pPr>
              <w:spacing w:after="0" w:line="240" w:lineRule="auto"/>
              <w:jc w:val="center"/>
              <w:rPr>
                <w:rFonts w:ascii="Calibri" w:eastAsia="Times New Roman" w:hAnsi="Calibri" w:cs="Calibri"/>
                <w:sz w:val="18"/>
                <w:szCs w:val="18"/>
                <w:lang w:eastAsia="hr-HR"/>
              </w:rPr>
            </w:pPr>
            <w:r w:rsidRPr="001752B7">
              <w:rPr>
                <w:rFonts w:ascii="Calibri" w:eastAsia="Times New Roman" w:hAnsi="Calibri" w:cs="Calibri"/>
                <w:sz w:val="18"/>
                <w:szCs w:val="18"/>
                <w:lang w:eastAsia="hr-HR"/>
              </w:rPr>
              <w:t xml:space="preserve">OSTALO - po drugim. propisima: </w:t>
            </w:r>
          </w:p>
        </w:tc>
        <w:tc>
          <w:tcPr>
            <w:tcW w:w="556" w:type="dxa"/>
            <w:gridSpan w:val="2"/>
            <w:tcBorders>
              <w:top w:val="nil"/>
              <w:left w:val="nil"/>
              <w:bottom w:val="single" w:sz="4" w:space="0" w:color="auto"/>
              <w:right w:val="single" w:sz="4" w:space="0" w:color="auto"/>
            </w:tcBorders>
            <w:shd w:val="clear" w:color="000000" w:fill="CCFFCC"/>
            <w:textDirection w:val="btLr"/>
            <w:vAlign w:val="center"/>
            <w:hideMark/>
          </w:tcPr>
          <w:p w14:paraId="2D5036CF" w14:textId="77777777" w:rsidR="005E671C" w:rsidRPr="001752B7" w:rsidRDefault="005E671C" w:rsidP="005E671C">
            <w:pPr>
              <w:spacing w:after="0" w:line="240" w:lineRule="auto"/>
              <w:jc w:val="center"/>
              <w:rPr>
                <w:rFonts w:ascii="Calibri" w:eastAsia="Times New Roman" w:hAnsi="Calibri" w:cs="Calibri"/>
                <w:sz w:val="18"/>
                <w:szCs w:val="18"/>
                <w:lang w:eastAsia="hr-HR"/>
              </w:rPr>
            </w:pPr>
            <w:r w:rsidRPr="001752B7">
              <w:rPr>
                <w:rFonts w:ascii="Calibri" w:eastAsia="Times New Roman" w:hAnsi="Calibri" w:cs="Calibri"/>
                <w:sz w:val="18"/>
                <w:szCs w:val="18"/>
                <w:lang w:eastAsia="hr-HR"/>
              </w:rPr>
              <w:t>OSUĐUJUĆA PRESUDA</w:t>
            </w:r>
          </w:p>
        </w:tc>
        <w:tc>
          <w:tcPr>
            <w:tcW w:w="574" w:type="dxa"/>
            <w:tcBorders>
              <w:top w:val="nil"/>
              <w:left w:val="nil"/>
              <w:bottom w:val="single" w:sz="4" w:space="0" w:color="auto"/>
              <w:right w:val="single" w:sz="4" w:space="0" w:color="auto"/>
            </w:tcBorders>
            <w:shd w:val="clear" w:color="000000" w:fill="CCFFCC"/>
            <w:textDirection w:val="btLr"/>
            <w:vAlign w:val="center"/>
            <w:hideMark/>
          </w:tcPr>
          <w:p w14:paraId="795366A2" w14:textId="77777777" w:rsidR="005E671C" w:rsidRPr="001752B7" w:rsidRDefault="005E671C" w:rsidP="005E671C">
            <w:pPr>
              <w:spacing w:after="0" w:line="240" w:lineRule="auto"/>
              <w:jc w:val="center"/>
              <w:rPr>
                <w:rFonts w:ascii="Calibri" w:eastAsia="Times New Roman" w:hAnsi="Calibri" w:cs="Calibri"/>
                <w:sz w:val="18"/>
                <w:szCs w:val="18"/>
                <w:lang w:eastAsia="hr-HR"/>
              </w:rPr>
            </w:pPr>
            <w:r w:rsidRPr="001752B7">
              <w:rPr>
                <w:rFonts w:ascii="Calibri" w:eastAsia="Times New Roman" w:hAnsi="Calibri" w:cs="Calibri"/>
                <w:sz w:val="18"/>
                <w:szCs w:val="18"/>
                <w:lang w:eastAsia="hr-HR"/>
              </w:rPr>
              <w:t>OSLOBAĐAJUĆA PRESUDA</w:t>
            </w:r>
          </w:p>
        </w:tc>
        <w:tc>
          <w:tcPr>
            <w:tcW w:w="434" w:type="dxa"/>
            <w:tcBorders>
              <w:top w:val="nil"/>
              <w:left w:val="nil"/>
              <w:bottom w:val="single" w:sz="4" w:space="0" w:color="auto"/>
              <w:right w:val="single" w:sz="4" w:space="0" w:color="auto"/>
            </w:tcBorders>
            <w:shd w:val="clear" w:color="000000" w:fill="CCFFCC"/>
            <w:textDirection w:val="btLr"/>
            <w:vAlign w:val="center"/>
            <w:hideMark/>
          </w:tcPr>
          <w:p w14:paraId="0F9540FA" w14:textId="77777777" w:rsidR="005E671C" w:rsidRPr="001752B7" w:rsidRDefault="005E671C" w:rsidP="005E671C">
            <w:pPr>
              <w:spacing w:after="0" w:line="240" w:lineRule="auto"/>
              <w:jc w:val="center"/>
              <w:rPr>
                <w:rFonts w:ascii="Calibri" w:eastAsia="Times New Roman" w:hAnsi="Calibri" w:cs="Calibri"/>
                <w:sz w:val="18"/>
                <w:szCs w:val="18"/>
                <w:lang w:eastAsia="hr-HR"/>
              </w:rPr>
            </w:pPr>
            <w:r w:rsidRPr="001752B7">
              <w:rPr>
                <w:rFonts w:ascii="Calibri" w:eastAsia="Times New Roman" w:hAnsi="Calibri" w:cs="Calibri"/>
                <w:sz w:val="18"/>
                <w:szCs w:val="18"/>
                <w:lang w:eastAsia="hr-HR"/>
              </w:rPr>
              <w:t>NA DRUGI NAČIN</w:t>
            </w:r>
          </w:p>
        </w:tc>
        <w:tc>
          <w:tcPr>
            <w:tcW w:w="443" w:type="dxa"/>
            <w:gridSpan w:val="2"/>
            <w:tcBorders>
              <w:top w:val="nil"/>
              <w:left w:val="nil"/>
              <w:bottom w:val="single" w:sz="4" w:space="0" w:color="auto"/>
              <w:right w:val="single" w:sz="4" w:space="0" w:color="auto"/>
            </w:tcBorders>
            <w:shd w:val="clear" w:color="000000" w:fill="CCFFCC"/>
            <w:textDirection w:val="btLr"/>
            <w:vAlign w:val="center"/>
            <w:hideMark/>
          </w:tcPr>
          <w:p w14:paraId="6BEA6E7D" w14:textId="77777777" w:rsidR="005E671C" w:rsidRPr="001752B7" w:rsidRDefault="005E671C" w:rsidP="005E671C">
            <w:pPr>
              <w:spacing w:after="0" w:line="240" w:lineRule="auto"/>
              <w:jc w:val="center"/>
              <w:rPr>
                <w:rFonts w:ascii="Calibri" w:eastAsia="Times New Roman" w:hAnsi="Calibri" w:cs="Calibri"/>
                <w:sz w:val="18"/>
                <w:szCs w:val="18"/>
                <w:lang w:eastAsia="hr-HR"/>
              </w:rPr>
            </w:pPr>
            <w:r w:rsidRPr="001752B7">
              <w:rPr>
                <w:rFonts w:ascii="Calibri" w:eastAsia="Times New Roman" w:hAnsi="Calibri" w:cs="Calibri"/>
                <w:sz w:val="18"/>
                <w:szCs w:val="18"/>
                <w:lang w:eastAsia="hr-HR"/>
              </w:rPr>
              <w:t>Kazna zatvora</w:t>
            </w:r>
          </w:p>
        </w:tc>
        <w:tc>
          <w:tcPr>
            <w:tcW w:w="698" w:type="dxa"/>
            <w:tcBorders>
              <w:top w:val="nil"/>
              <w:left w:val="nil"/>
              <w:bottom w:val="single" w:sz="4" w:space="0" w:color="auto"/>
              <w:right w:val="single" w:sz="4" w:space="0" w:color="auto"/>
            </w:tcBorders>
            <w:shd w:val="clear" w:color="000000" w:fill="CCFFCC"/>
            <w:textDirection w:val="btLr"/>
            <w:vAlign w:val="center"/>
            <w:hideMark/>
          </w:tcPr>
          <w:p w14:paraId="1B9DB00B" w14:textId="77777777" w:rsidR="005E671C" w:rsidRPr="001752B7" w:rsidRDefault="005E671C" w:rsidP="005E671C">
            <w:pPr>
              <w:spacing w:after="0" w:line="240" w:lineRule="auto"/>
              <w:jc w:val="center"/>
              <w:rPr>
                <w:rFonts w:ascii="Calibri" w:eastAsia="Times New Roman" w:hAnsi="Calibri" w:cs="Calibri"/>
                <w:sz w:val="18"/>
                <w:szCs w:val="18"/>
                <w:lang w:eastAsia="hr-HR"/>
              </w:rPr>
            </w:pPr>
            <w:r w:rsidRPr="001752B7">
              <w:rPr>
                <w:rFonts w:ascii="Calibri" w:eastAsia="Times New Roman" w:hAnsi="Calibri" w:cs="Calibri"/>
                <w:sz w:val="18"/>
                <w:szCs w:val="18"/>
                <w:lang w:eastAsia="hr-HR"/>
              </w:rPr>
              <w:t>Novčana kazna</w:t>
            </w:r>
          </w:p>
        </w:tc>
        <w:tc>
          <w:tcPr>
            <w:tcW w:w="574" w:type="dxa"/>
            <w:tcBorders>
              <w:top w:val="nil"/>
              <w:left w:val="nil"/>
              <w:bottom w:val="single" w:sz="4" w:space="0" w:color="auto"/>
              <w:right w:val="single" w:sz="4" w:space="0" w:color="auto"/>
            </w:tcBorders>
            <w:shd w:val="clear" w:color="000000" w:fill="CCFFCC"/>
            <w:textDirection w:val="btLr"/>
            <w:vAlign w:val="center"/>
            <w:hideMark/>
          </w:tcPr>
          <w:p w14:paraId="0B774894" w14:textId="77777777" w:rsidR="005E671C" w:rsidRPr="001752B7" w:rsidRDefault="005E671C" w:rsidP="005E671C">
            <w:pPr>
              <w:spacing w:after="0" w:line="240" w:lineRule="auto"/>
              <w:jc w:val="center"/>
              <w:rPr>
                <w:rFonts w:ascii="Calibri" w:eastAsia="Times New Roman" w:hAnsi="Calibri" w:cs="Calibri"/>
                <w:sz w:val="18"/>
                <w:szCs w:val="18"/>
                <w:lang w:eastAsia="hr-HR"/>
              </w:rPr>
            </w:pPr>
            <w:r w:rsidRPr="001752B7">
              <w:rPr>
                <w:rFonts w:ascii="Calibri" w:eastAsia="Times New Roman" w:hAnsi="Calibri" w:cs="Calibri"/>
                <w:sz w:val="18"/>
                <w:szCs w:val="18"/>
                <w:lang w:eastAsia="hr-HR"/>
              </w:rPr>
              <w:t>Rad za opće dobro</w:t>
            </w:r>
          </w:p>
        </w:tc>
        <w:tc>
          <w:tcPr>
            <w:tcW w:w="560" w:type="dxa"/>
            <w:tcBorders>
              <w:top w:val="nil"/>
              <w:left w:val="nil"/>
              <w:bottom w:val="single" w:sz="4" w:space="0" w:color="auto"/>
              <w:right w:val="single" w:sz="4" w:space="0" w:color="auto"/>
            </w:tcBorders>
            <w:shd w:val="clear" w:color="000000" w:fill="CCFFCC"/>
            <w:textDirection w:val="btLr"/>
            <w:vAlign w:val="center"/>
            <w:hideMark/>
          </w:tcPr>
          <w:p w14:paraId="7A27FA2D" w14:textId="77777777" w:rsidR="005E671C" w:rsidRPr="001752B7" w:rsidRDefault="005E671C" w:rsidP="005E671C">
            <w:pPr>
              <w:spacing w:after="0" w:line="240" w:lineRule="auto"/>
              <w:jc w:val="center"/>
              <w:rPr>
                <w:rFonts w:ascii="Calibri" w:eastAsia="Times New Roman" w:hAnsi="Calibri" w:cs="Calibri"/>
                <w:b/>
                <w:bCs/>
                <w:sz w:val="18"/>
                <w:szCs w:val="18"/>
                <w:lang w:eastAsia="hr-HR"/>
              </w:rPr>
            </w:pPr>
            <w:r w:rsidRPr="001752B7">
              <w:rPr>
                <w:rFonts w:ascii="Calibri" w:eastAsia="Times New Roman" w:hAnsi="Calibri" w:cs="Calibri"/>
                <w:b/>
                <w:bCs/>
                <w:sz w:val="18"/>
                <w:szCs w:val="18"/>
                <w:lang w:eastAsia="hr-HR"/>
              </w:rPr>
              <w:t>Ukupno</w:t>
            </w:r>
          </w:p>
        </w:tc>
        <w:tc>
          <w:tcPr>
            <w:tcW w:w="430" w:type="dxa"/>
            <w:gridSpan w:val="2"/>
            <w:tcBorders>
              <w:top w:val="nil"/>
              <w:left w:val="single" w:sz="4" w:space="0" w:color="auto"/>
              <w:bottom w:val="single" w:sz="4" w:space="0" w:color="000000"/>
              <w:right w:val="single" w:sz="4" w:space="0" w:color="auto"/>
            </w:tcBorders>
            <w:vAlign w:val="center"/>
            <w:hideMark/>
          </w:tcPr>
          <w:p w14:paraId="6AB59B30" w14:textId="77777777" w:rsidR="005E671C" w:rsidRPr="001752B7" w:rsidRDefault="005E671C" w:rsidP="005E671C">
            <w:pPr>
              <w:spacing w:after="0" w:line="240" w:lineRule="auto"/>
              <w:rPr>
                <w:rFonts w:ascii="Calibri" w:eastAsia="Times New Roman" w:hAnsi="Calibri" w:cs="Calibri"/>
                <w:b/>
                <w:bCs/>
                <w:sz w:val="18"/>
                <w:szCs w:val="18"/>
                <w:lang w:eastAsia="hr-HR"/>
              </w:rPr>
            </w:pPr>
          </w:p>
        </w:tc>
        <w:tc>
          <w:tcPr>
            <w:tcW w:w="425" w:type="dxa"/>
            <w:gridSpan w:val="2"/>
            <w:tcBorders>
              <w:top w:val="nil"/>
              <w:left w:val="single" w:sz="4" w:space="0" w:color="auto"/>
              <w:bottom w:val="single" w:sz="4" w:space="0" w:color="000000"/>
              <w:right w:val="single" w:sz="4" w:space="0" w:color="auto"/>
            </w:tcBorders>
            <w:vAlign w:val="center"/>
            <w:hideMark/>
          </w:tcPr>
          <w:p w14:paraId="540F709B" w14:textId="77777777" w:rsidR="005E671C" w:rsidRPr="001752B7" w:rsidRDefault="005E671C" w:rsidP="005E671C">
            <w:pPr>
              <w:spacing w:after="0" w:line="240" w:lineRule="auto"/>
              <w:rPr>
                <w:rFonts w:ascii="Calibri" w:eastAsia="Times New Roman" w:hAnsi="Calibri" w:cs="Calibri"/>
                <w:b/>
                <w:bCs/>
                <w:sz w:val="18"/>
                <w:szCs w:val="18"/>
                <w:lang w:eastAsia="hr-HR"/>
              </w:rPr>
            </w:pPr>
          </w:p>
        </w:tc>
        <w:tc>
          <w:tcPr>
            <w:tcW w:w="540" w:type="dxa"/>
            <w:gridSpan w:val="2"/>
            <w:tcBorders>
              <w:top w:val="nil"/>
              <w:left w:val="single" w:sz="4" w:space="0" w:color="auto"/>
              <w:bottom w:val="single" w:sz="4" w:space="0" w:color="000000"/>
              <w:right w:val="single" w:sz="4" w:space="0" w:color="auto"/>
            </w:tcBorders>
            <w:vAlign w:val="center"/>
            <w:hideMark/>
          </w:tcPr>
          <w:p w14:paraId="6F5FC0EC" w14:textId="77777777" w:rsidR="005E671C" w:rsidRPr="001752B7" w:rsidRDefault="005E671C" w:rsidP="005E671C">
            <w:pPr>
              <w:spacing w:after="0" w:line="240" w:lineRule="auto"/>
              <w:rPr>
                <w:rFonts w:ascii="Calibri" w:eastAsia="Times New Roman" w:hAnsi="Calibri" w:cs="Calibri"/>
                <w:sz w:val="18"/>
                <w:szCs w:val="18"/>
                <w:lang w:eastAsia="hr-HR"/>
              </w:rPr>
            </w:pPr>
          </w:p>
        </w:tc>
        <w:tc>
          <w:tcPr>
            <w:tcW w:w="435" w:type="dxa"/>
            <w:tcBorders>
              <w:top w:val="nil"/>
              <w:left w:val="nil"/>
              <w:bottom w:val="single" w:sz="4" w:space="0" w:color="auto"/>
              <w:right w:val="single" w:sz="4" w:space="0" w:color="auto"/>
            </w:tcBorders>
            <w:shd w:val="clear" w:color="000000" w:fill="CCFFCC"/>
            <w:textDirection w:val="btLr"/>
            <w:vAlign w:val="center"/>
            <w:hideMark/>
          </w:tcPr>
          <w:p w14:paraId="47791D0A" w14:textId="77777777" w:rsidR="005E671C" w:rsidRPr="001752B7" w:rsidRDefault="005E671C" w:rsidP="005E671C">
            <w:pPr>
              <w:spacing w:after="0" w:line="240" w:lineRule="auto"/>
              <w:jc w:val="center"/>
              <w:rPr>
                <w:rFonts w:ascii="Tahoma" w:eastAsia="Times New Roman" w:hAnsi="Tahoma" w:cs="Tahoma"/>
                <w:sz w:val="18"/>
                <w:szCs w:val="18"/>
                <w:lang w:eastAsia="hr-HR"/>
              </w:rPr>
            </w:pPr>
            <w:r w:rsidRPr="001752B7">
              <w:rPr>
                <w:rFonts w:ascii="Tahoma" w:eastAsia="Times New Roman" w:hAnsi="Tahoma" w:cs="Tahoma"/>
                <w:sz w:val="18"/>
                <w:szCs w:val="18"/>
                <w:lang w:eastAsia="hr-HR"/>
              </w:rPr>
              <w:t xml:space="preserve">Žene </w:t>
            </w:r>
          </w:p>
        </w:tc>
        <w:tc>
          <w:tcPr>
            <w:tcW w:w="655" w:type="dxa"/>
            <w:tcBorders>
              <w:top w:val="nil"/>
              <w:left w:val="nil"/>
              <w:bottom w:val="single" w:sz="4" w:space="0" w:color="auto"/>
              <w:right w:val="single" w:sz="4" w:space="0" w:color="auto"/>
            </w:tcBorders>
            <w:shd w:val="clear" w:color="000000" w:fill="CCFFCC"/>
            <w:textDirection w:val="btLr"/>
            <w:vAlign w:val="center"/>
            <w:hideMark/>
          </w:tcPr>
          <w:p w14:paraId="0C5BD37D" w14:textId="77777777" w:rsidR="005E671C" w:rsidRPr="001752B7" w:rsidRDefault="005E671C" w:rsidP="005E671C">
            <w:pPr>
              <w:spacing w:after="0" w:line="240" w:lineRule="auto"/>
              <w:jc w:val="center"/>
              <w:rPr>
                <w:rFonts w:ascii="Tahoma" w:eastAsia="Times New Roman" w:hAnsi="Tahoma" w:cs="Tahoma"/>
                <w:sz w:val="18"/>
                <w:szCs w:val="18"/>
                <w:lang w:eastAsia="hr-HR"/>
              </w:rPr>
            </w:pPr>
            <w:r w:rsidRPr="001752B7">
              <w:rPr>
                <w:rFonts w:ascii="Tahoma" w:eastAsia="Times New Roman" w:hAnsi="Tahoma" w:cs="Tahoma"/>
                <w:sz w:val="18"/>
                <w:szCs w:val="18"/>
                <w:lang w:eastAsia="hr-HR"/>
              </w:rPr>
              <w:t>Muškarci</w:t>
            </w:r>
          </w:p>
        </w:tc>
        <w:tc>
          <w:tcPr>
            <w:tcW w:w="645" w:type="dxa"/>
            <w:tcBorders>
              <w:top w:val="nil"/>
              <w:left w:val="nil"/>
              <w:bottom w:val="single" w:sz="4" w:space="0" w:color="auto"/>
              <w:right w:val="single" w:sz="4" w:space="0" w:color="auto"/>
            </w:tcBorders>
            <w:shd w:val="clear" w:color="000000" w:fill="CCFFCC"/>
            <w:textDirection w:val="btLr"/>
            <w:vAlign w:val="center"/>
            <w:hideMark/>
          </w:tcPr>
          <w:p w14:paraId="39CD277F" w14:textId="77777777" w:rsidR="005E671C" w:rsidRPr="001752B7" w:rsidRDefault="005E671C" w:rsidP="005E671C">
            <w:pPr>
              <w:spacing w:after="0" w:line="240" w:lineRule="auto"/>
              <w:jc w:val="center"/>
              <w:rPr>
                <w:rFonts w:ascii="Tahoma" w:eastAsia="Times New Roman" w:hAnsi="Tahoma" w:cs="Tahoma"/>
                <w:sz w:val="18"/>
                <w:szCs w:val="18"/>
                <w:lang w:eastAsia="hr-HR"/>
              </w:rPr>
            </w:pPr>
            <w:r w:rsidRPr="001752B7">
              <w:rPr>
                <w:rFonts w:ascii="Tahoma" w:eastAsia="Times New Roman" w:hAnsi="Tahoma" w:cs="Tahoma"/>
                <w:sz w:val="18"/>
                <w:szCs w:val="18"/>
                <w:lang w:eastAsia="hr-HR"/>
              </w:rPr>
              <w:t>Ostalo</w:t>
            </w:r>
          </w:p>
        </w:tc>
        <w:tc>
          <w:tcPr>
            <w:tcW w:w="699" w:type="dxa"/>
            <w:tcBorders>
              <w:top w:val="nil"/>
              <w:left w:val="nil"/>
              <w:bottom w:val="single" w:sz="4" w:space="0" w:color="auto"/>
              <w:right w:val="single" w:sz="4" w:space="0" w:color="auto"/>
            </w:tcBorders>
            <w:shd w:val="clear" w:color="000000" w:fill="CCFFCC"/>
            <w:textDirection w:val="btLr"/>
            <w:vAlign w:val="center"/>
            <w:hideMark/>
          </w:tcPr>
          <w:p w14:paraId="0E70F8C0" w14:textId="77777777" w:rsidR="005E671C" w:rsidRPr="001752B7" w:rsidRDefault="005E671C" w:rsidP="005E671C">
            <w:pPr>
              <w:spacing w:after="0" w:line="240" w:lineRule="auto"/>
              <w:jc w:val="center"/>
              <w:rPr>
                <w:rFonts w:ascii="Calibri" w:eastAsia="Times New Roman" w:hAnsi="Calibri" w:cs="Calibri"/>
                <w:sz w:val="18"/>
                <w:szCs w:val="18"/>
                <w:lang w:eastAsia="hr-HR"/>
              </w:rPr>
            </w:pPr>
            <w:r w:rsidRPr="001752B7">
              <w:rPr>
                <w:rFonts w:ascii="Calibri" w:eastAsia="Times New Roman" w:hAnsi="Calibri" w:cs="Calibri"/>
                <w:sz w:val="18"/>
                <w:szCs w:val="18"/>
                <w:lang w:eastAsia="hr-HR"/>
              </w:rPr>
              <w:t xml:space="preserve"> DO 12 MJESECI</w:t>
            </w:r>
          </w:p>
        </w:tc>
        <w:tc>
          <w:tcPr>
            <w:tcW w:w="700" w:type="dxa"/>
            <w:tcBorders>
              <w:top w:val="nil"/>
              <w:left w:val="nil"/>
              <w:bottom w:val="single" w:sz="4" w:space="0" w:color="auto"/>
              <w:right w:val="single" w:sz="8" w:space="0" w:color="auto"/>
            </w:tcBorders>
            <w:shd w:val="clear" w:color="000000" w:fill="CCFFCC"/>
            <w:textDirection w:val="btLr"/>
            <w:vAlign w:val="center"/>
            <w:hideMark/>
          </w:tcPr>
          <w:p w14:paraId="1F03876A" w14:textId="77777777" w:rsidR="005E671C" w:rsidRPr="001752B7" w:rsidRDefault="005E671C" w:rsidP="005E671C">
            <w:pPr>
              <w:spacing w:after="0" w:line="240" w:lineRule="auto"/>
              <w:jc w:val="center"/>
              <w:rPr>
                <w:rFonts w:ascii="Calibri" w:eastAsia="Times New Roman" w:hAnsi="Calibri" w:cs="Calibri"/>
                <w:sz w:val="18"/>
                <w:szCs w:val="18"/>
                <w:lang w:eastAsia="hr-HR"/>
              </w:rPr>
            </w:pPr>
            <w:r w:rsidRPr="001752B7">
              <w:rPr>
                <w:rFonts w:ascii="Calibri" w:eastAsia="Times New Roman" w:hAnsi="Calibri" w:cs="Calibri"/>
                <w:sz w:val="18"/>
                <w:szCs w:val="18"/>
                <w:lang w:eastAsia="hr-HR"/>
              </w:rPr>
              <w:t>PREKO 12 MJESECI</w:t>
            </w:r>
          </w:p>
        </w:tc>
        <w:tc>
          <w:tcPr>
            <w:tcW w:w="239" w:type="dxa"/>
            <w:gridSpan w:val="2"/>
            <w:vAlign w:val="center"/>
            <w:hideMark/>
          </w:tcPr>
          <w:p w14:paraId="656EA0AF" w14:textId="77777777" w:rsidR="005E671C" w:rsidRPr="005E671C" w:rsidRDefault="005E671C" w:rsidP="005E671C">
            <w:pPr>
              <w:spacing w:after="0" w:line="240" w:lineRule="auto"/>
              <w:rPr>
                <w:rFonts w:ascii="Times New Roman" w:eastAsia="Times New Roman" w:hAnsi="Times New Roman" w:cs="Times New Roman"/>
                <w:sz w:val="20"/>
                <w:szCs w:val="20"/>
                <w:lang w:eastAsia="hr-HR"/>
              </w:rPr>
            </w:pPr>
          </w:p>
        </w:tc>
      </w:tr>
      <w:tr w:rsidR="005E671C" w:rsidRPr="005E671C" w14:paraId="0DA767F7" w14:textId="77777777" w:rsidTr="001752B7">
        <w:trPr>
          <w:gridAfter w:val="1"/>
          <w:wAfter w:w="23" w:type="dxa"/>
          <w:trHeight w:val="300"/>
        </w:trPr>
        <w:tc>
          <w:tcPr>
            <w:tcW w:w="1408" w:type="dxa"/>
            <w:tcBorders>
              <w:top w:val="single" w:sz="4" w:space="0" w:color="auto"/>
              <w:left w:val="single" w:sz="8" w:space="0" w:color="auto"/>
              <w:bottom w:val="single" w:sz="4" w:space="0" w:color="auto"/>
              <w:right w:val="single" w:sz="4" w:space="0" w:color="auto"/>
            </w:tcBorders>
            <w:shd w:val="clear" w:color="000000" w:fill="CCFFCC"/>
            <w:vAlign w:val="center"/>
            <w:hideMark/>
          </w:tcPr>
          <w:p w14:paraId="7575572B" w14:textId="77777777" w:rsidR="005E671C" w:rsidRPr="005E671C" w:rsidRDefault="005E671C" w:rsidP="005E671C">
            <w:pPr>
              <w:spacing w:after="0" w:line="240" w:lineRule="auto"/>
              <w:jc w:val="center"/>
              <w:rPr>
                <w:rFonts w:ascii="Calibri" w:eastAsia="Times New Roman" w:hAnsi="Calibri" w:cs="Calibri"/>
                <w:sz w:val="16"/>
                <w:szCs w:val="16"/>
                <w:lang w:eastAsia="hr-HR"/>
              </w:rPr>
            </w:pPr>
            <w:r w:rsidRPr="005E671C">
              <w:rPr>
                <w:rFonts w:ascii="Calibri" w:eastAsia="Times New Roman" w:hAnsi="Calibri" w:cs="Calibri"/>
                <w:sz w:val="16"/>
                <w:szCs w:val="16"/>
                <w:lang w:eastAsia="hr-HR"/>
              </w:rPr>
              <w:t>1.</w:t>
            </w:r>
          </w:p>
        </w:tc>
        <w:tc>
          <w:tcPr>
            <w:tcW w:w="595" w:type="dxa"/>
            <w:tcBorders>
              <w:top w:val="nil"/>
              <w:left w:val="nil"/>
              <w:bottom w:val="single" w:sz="4" w:space="0" w:color="auto"/>
              <w:right w:val="single" w:sz="4" w:space="0" w:color="auto"/>
            </w:tcBorders>
            <w:shd w:val="clear" w:color="000000" w:fill="CCFFCC"/>
            <w:vAlign w:val="center"/>
            <w:hideMark/>
          </w:tcPr>
          <w:p w14:paraId="319DFFB6" w14:textId="77777777" w:rsidR="005E671C" w:rsidRPr="005E671C" w:rsidRDefault="005E671C" w:rsidP="005E671C">
            <w:pPr>
              <w:spacing w:after="0" w:line="240" w:lineRule="auto"/>
              <w:jc w:val="center"/>
              <w:rPr>
                <w:rFonts w:ascii="Calibri" w:eastAsia="Times New Roman" w:hAnsi="Calibri" w:cs="Calibri"/>
                <w:sz w:val="16"/>
                <w:szCs w:val="16"/>
                <w:lang w:eastAsia="hr-HR"/>
              </w:rPr>
            </w:pPr>
            <w:r w:rsidRPr="005E671C">
              <w:rPr>
                <w:rFonts w:ascii="Calibri" w:eastAsia="Times New Roman" w:hAnsi="Calibri" w:cs="Calibri"/>
                <w:sz w:val="16"/>
                <w:szCs w:val="16"/>
                <w:lang w:eastAsia="hr-HR"/>
              </w:rPr>
              <w:t>2.</w:t>
            </w:r>
          </w:p>
        </w:tc>
        <w:tc>
          <w:tcPr>
            <w:tcW w:w="549" w:type="dxa"/>
            <w:tcBorders>
              <w:top w:val="nil"/>
              <w:left w:val="nil"/>
              <w:bottom w:val="single" w:sz="4" w:space="0" w:color="auto"/>
              <w:right w:val="single" w:sz="4" w:space="0" w:color="auto"/>
            </w:tcBorders>
            <w:shd w:val="clear" w:color="000000" w:fill="CCFFCC"/>
            <w:vAlign w:val="center"/>
            <w:hideMark/>
          </w:tcPr>
          <w:p w14:paraId="1567C2F6" w14:textId="77777777" w:rsidR="005E671C" w:rsidRPr="005E671C" w:rsidRDefault="005E671C" w:rsidP="005E671C">
            <w:pPr>
              <w:spacing w:after="0" w:line="240" w:lineRule="auto"/>
              <w:jc w:val="center"/>
              <w:rPr>
                <w:rFonts w:ascii="Calibri" w:eastAsia="Times New Roman" w:hAnsi="Calibri" w:cs="Calibri"/>
                <w:sz w:val="16"/>
                <w:szCs w:val="16"/>
                <w:lang w:eastAsia="hr-HR"/>
              </w:rPr>
            </w:pPr>
            <w:r w:rsidRPr="005E671C">
              <w:rPr>
                <w:rFonts w:ascii="Calibri" w:eastAsia="Times New Roman" w:hAnsi="Calibri" w:cs="Calibri"/>
                <w:sz w:val="16"/>
                <w:szCs w:val="16"/>
                <w:lang w:eastAsia="hr-HR"/>
              </w:rPr>
              <w:t>3.</w:t>
            </w:r>
          </w:p>
        </w:tc>
        <w:tc>
          <w:tcPr>
            <w:tcW w:w="441" w:type="dxa"/>
            <w:tcBorders>
              <w:top w:val="single" w:sz="4" w:space="0" w:color="auto"/>
              <w:left w:val="nil"/>
              <w:bottom w:val="single" w:sz="4" w:space="0" w:color="auto"/>
              <w:right w:val="single" w:sz="4" w:space="0" w:color="auto"/>
            </w:tcBorders>
            <w:shd w:val="clear" w:color="000000" w:fill="CCFFCC"/>
            <w:vAlign w:val="center"/>
            <w:hideMark/>
          </w:tcPr>
          <w:p w14:paraId="48AF02AD" w14:textId="77777777" w:rsidR="005E671C" w:rsidRPr="005E671C" w:rsidRDefault="005E671C" w:rsidP="005E671C">
            <w:pPr>
              <w:spacing w:after="0" w:line="240" w:lineRule="auto"/>
              <w:jc w:val="center"/>
              <w:rPr>
                <w:rFonts w:ascii="Calibri" w:eastAsia="Times New Roman" w:hAnsi="Calibri" w:cs="Calibri"/>
                <w:sz w:val="16"/>
                <w:szCs w:val="16"/>
                <w:lang w:eastAsia="hr-HR"/>
              </w:rPr>
            </w:pPr>
            <w:r w:rsidRPr="005E671C">
              <w:rPr>
                <w:rFonts w:ascii="Calibri" w:eastAsia="Times New Roman" w:hAnsi="Calibri" w:cs="Calibri"/>
                <w:sz w:val="16"/>
                <w:szCs w:val="16"/>
                <w:lang w:eastAsia="hr-HR"/>
              </w:rPr>
              <w:t>4.</w:t>
            </w:r>
          </w:p>
        </w:tc>
        <w:tc>
          <w:tcPr>
            <w:tcW w:w="432" w:type="dxa"/>
            <w:tcBorders>
              <w:top w:val="single" w:sz="4" w:space="0" w:color="auto"/>
              <w:left w:val="nil"/>
              <w:bottom w:val="single" w:sz="4" w:space="0" w:color="auto"/>
              <w:right w:val="single" w:sz="4" w:space="0" w:color="auto"/>
            </w:tcBorders>
            <w:shd w:val="clear" w:color="000000" w:fill="CCFFCC"/>
            <w:vAlign w:val="center"/>
            <w:hideMark/>
          </w:tcPr>
          <w:p w14:paraId="7D06803C" w14:textId="77777777" w:rsidR="005E671C" w:rsidRPr="005E671C" w:rsidRDefault="005E671C" w:rsidP="005E671C">
            <w:pPr>
              <w:spacing w:after="0" w:line="240" w:lineRule="auto"/>
              <w:jc w:val="center"/>
              <w:rPr>
                <w:rFonts w:ascii="Calibri" w:eastAsia="Times New Roman" w:hAnsi="Calibri" w:cs="Calibri"/>
                <w:sz w:val="16"/>
                <w:szCs w:val="16"/>
                <w:lang w:eastAsia="hr-HR"/>
              </w:rPr>
            </w:pPr>
            <w:r w:rsidRPr="005E671C">
              <w:rPr>
                <w:rFonts w:ascii="Calibri" w:eastAsia="Times New Roman" w:hAnsi="Calibri" w:cs="Calibri"/>
                <w:sz w:val="16"/>
                <w:szCs w:val="16"/>
                <w:lang w:eastAsia="hr-HR"/>
              </w:rPr>
              <w:t>5.</w:t>
            </w:r>
          </w:p>
        </w:tc>
        <w:tc>
          <w:tcPr>
            <w:tcW w:w="421" w:type="dxa"/>
            <w:gridSpan w:val="2"/>
            <w:tcBorders>
              <w:top w:val="nil"/>
              <w:left w:val="nil"/>
              <w:bottom w:val="single" w:sz="4" w:space="0" w:color="auto"/>
              <w:right w:val="single" w:sz="4" w:space="0" w:color="auto"/>
            </w:tcBorders>
            <w:shd w:val="clear" w:color="000000" w:fill="CCFFCC"/>
            <w:vAlign w:val="center"/>
            <w:hideMark/>
          </w:tcPr>
          <w:p w14:paraId="7D727262" w14:textId="77777777" w:rsidR="005E671C" w:rsidRPr="005E671C" w:rsidRDefault="005E671C" w:rsidP="005E671C">
            <w:pPr>
              <w:spacing w:after="0" w:line="240" w:lineRule="auto"/>
              <w:jc w:val="center"/>
              <w:rPr>
                <w:rFonts w:ascii="Calibri" w:eastAsia="Times New Roman" w:hAnsi="Calibri" w:cs="Calibri"/>
                <w:sz w:val="16"/>
                <w:szCs w:val="16"/>
                <w:lang w:eastAsia="hr-HR"/>
              </w:rPr>
            </w:pPr>
            <w:r w:rsidRPr="005E671C">
              <w:rPr>
                <w:rFonts w:ascii="Calibri" w:eastAsia="Times New Roman" w:hAnsi="Calibri" w:cs="Calibri"/>
                <w:sz w:val="16"/>
                <w:szCs w:val="16"/>
                <w:lang w:eastAsia="hr-HR"/>
              </w:rPr>
              <w:t>6.</w:t>
            </w:r>
          </w:p>
        </w:tc>
        <w:tc>
          <w:tcPr>
            <w:tcW w:w="431" w:type="dxa"/>
            <w:tcBorders>
              <w:top w:val="nil"/>
              <w:left w:val="nil"/>
              <w:bottom w:val="single" w:sz="4" w:space="0" w:color="auto"/>
              <w:right w:val="single" w:sz="4" w:space="0" w:color="auto"/>
            </w:tcBorders>
            <w:shd w:val="clear" w:color="000000" w:fill="CCFFCC"/>
            <w:vAlign w:val="center"/>
            <w:hideMark/>
          </w:tcPr>
          <w:p w14:paraId="2A9B0BB8" w14:textId="77777777" w:rsidR="005E671C" w:rsidRPr="005E671C" w:rsidRDefault="005E671C" w:rsidP="005E671C">
            <w:pPr>
              <w:spacing w:after="0" w:line="240" w:lineRule="auto"/>
              <w:jc w:val="center"/>
              <w:rPr>
                <w:rFonts w:ascii="Calibri" w:eastAsia="Times New Roman" w:hAnsi="Calibri" w:cs="Calibri"/>
                <w:sz w:val="16"/>
                <w:szCs w:val="16"/>
                <w:lang w:eastAsia="hr-HR"/>
              </w:rPr>
            </w:pPr>
            <w:r w:rsidRPr="005E671C">
              <w:rPr>
                <w:rFonts w:ascii="Calibri" w:eastAsia="Times New Roman" w:hAnsi="Calibri" w:cs="Calibri"/>
                <w:sz w:val="16"/>
                <w:szCs w:val="16"/>
                <w:lang w:eastAsia="hr-HR"/>
              </w:rPr>
              <w:t>7.</w:t>
            </w:r>
          </w:p>
        </w:tc>
        <w:tc>
          <w:tcPr>
            <w:tcW w:w="420" w:type="dxa"/>
            <w:tcBorders>
              <w:top w:val="nil"/>
              <w:left w:val="nil"/>
              <w:bottom w:val="single" w:sz="4" w:space="0" w:color="auto"/>
              <w:right w:val="single" w:sz="4" w:space="0" w:color="auto"/>
            </w:tcBorders>
            <w:shd w:val="clear" w:color="000000" w:fill="CCFFCC"/>
            <w:vAlign w:val="center"/>
            <w:hideMark/>
          </w:tcPr>
          <w:p w14:paraId="191D5DE6" w14:textId="77777777" w:rsidR="005E671C" w:rsidRPr="005E671C" w:rsidRDefault="005E671C" w:rsidP="005E671C">
            <w:pPr>
              <w:spacing w:after="0" w:line="240" w:lineRule="auto"/>
              <w:jc w:val="center"/>
              <w:rPr>
                <w:rFonts w:ascii="Calibri" w:eastAsia="Times New Roman" w:hAnsi="Calibri" w:cs="Calibri"/>
                <w:sz w:val="16"/>
                <w:szCs w:val="16"/>
                <w:lang w:eastAsia="hr-HR"/>
              </w:rPr>
            </w:pPr>
            <w:r w:rsidRPr="005E671C">
              <w:rPr>
                <w:rFonts w:ascii="Calibri" w:eastAsia="Times New Roman" w:hAnsi="Calibri" w:cs="Calibri"/>
                <w:sz w:val="16"/>
                <w:szCs w:val="16"/>
                <w:lang w:eastAsia="hr-HR"/>
              </w:rPr>
              <w:t>8.</w:t>
            </w:r>
          </w:p>
        </w:tc>
        <w:tc>
          <w:tcPr>
            <w:tcW w:w="429" w:type="dxa"/>
            <w:tcBorders>
              <w:top w:val="nil"/>
              <w:left w:val="nil"/>
              <w:bottom w:val="single" w:sz="4" w:space="0" w:color="auto"/>
              <w:right w:val="single" w:sz="4" w:space="0" w:color="auto"/>
            </w:tcBorders>
            <w:shd w:val="clear" w:color="000000" w:fill="CCFFCC"/>
            <w:vAlign w:val="center"/>
            <w:hideMark/>
          </w:tcPr>
          <w:p w14:paraId="16A8020B" w14:textId="77777777" w:rsidR="005E671C" w:rsidRPr="005E671C" w:rsidRDefault="005E671C" w:rsidP="005E671C">
            <w:pPr>
              <w:spacing w:after="0" w:line="240" w:lineRule="auto"/>
              <w:jc w:val="center"/>
              <w:rPr>
                <w:rFonts w:ascii="Calibri" w:eastAsia="Times New Roman" w:hAnsi="Calibri" w:cs="Calibri"/>
                <w:sz w:val="16"/>
                <w:szCs w:val="16"/>
                <w:lang w:eastAsia="hr-HR"/>
              </w:rPr>
            </w:pPr>
            <w:r w:rsidRPr="005E671C">
              <w:rPr>
                <w:rFonts w:ascii="Calibri" w:eastAsia="Times New Roman" w:hAnsi="Calibri" w:cs="Calibri"/>
                <w:sz w:val="16"/>
                <w:szCs w:val="16"/>
                <w:lang w:eastAsia="hr-HR"/>
              </w:rPr>
              <w:t>9.</w:t>
            </w:r>
          </w:p>
        </w:tc>
        <w:tc>
          <w:tcPr>
            <w:tcW w:w="581" w:type="dxa"/>
            <w:tcBorders>
              <w:top w:val="nil"/>
              <w:left w:val="nil"/>
              <w:bottom w:val="single" w:sz="4" w:space="0" w:color="auto"/>
              <w:right w:val="single" w:sz="4" w:space="0" w:color="auto"/>
            </w:tcBorders>
            <w:shd w:val="clear" w:color="000000" w:fill="CCFFCC"/>
            <w:vAlign w:val="center"/>
            <w:hideMark/>
          </w:tcPr>
          <w:p w14:paraId="46633065" w14:textId="77777777" w:rsidR="005E671C" w:rsidRPr="005E671C" w:rsidRDefault="005E671C" w:rsidP="005E671C">
            <w:pPr>
              <w:spacing w:after="0" w:line="240" w:lineRule="auto"/>
              <w:jc w:val="center"/>
              <w:rPr>
                <w:rFonts w:ascii="Calibri" w:eastAsia="Times New Roman" w:hAnsi="Calibri" w:cs="Calibri"/>
                <w:sz w:val="16"/>
                <w:szCs w:val="16"/>
                <w:lang w:eastAsia="hr-HR"/>
              </w:rPr>
            </w:pPr>
            <w:r w:rsidRPr="005E671C">
              <w:rPr>
                <w:rFonts w:ascii="Calibri" w:eastAsia="Times New Roman" w:hAnsi="Calibri" w:cs="Calibri"/>
                <w:sz w:val="16"/>
                <w:szCs w:val="16"/>
                <w:lang w:eastAsia="hr-HR"/>
              </w:rPr>
              <w:t>10.</w:t>
            </w:r>
          </w:p>
        </w:tc>
        <w:tc>
          <w:tcPr>
            <w:tcW w:w="556" w:type="dxa"/>
            <w:gridSpan w:val="2"/>
            <w:tcBorders>
              <w:top w:val="nil"/>
              <w:left w:val="nil"/>
              <w:bottom w:val="single" w:sz="4" w:space="0" w:color="auto"/>
              <w:right w:val="single" w:sz="4" w:space="0" w:color="auto"/>
            </w:tcBorders>
            <w:shd w:val="clear" w:color="000000" w:fill="CCFFCC"/>
            <w:vAlign w:val="center"/>
            <w:hideMark/>
          </w:tcPr>
          <w:p w14:paraId="664468B5" w14:textId="77777777" w:rsidR="005E671C" w:rsidRPr="005E671C" w:rsidRDefault="005E671C" w:rsidP="005E671C">
            <w:pPr>
              <w:spacing w:after="0" w:line="240" w:lineRule="auto"/>
              <w:jc w:val="center"/>
              <w:rPr>
                <w:rFonts w:ascii="Calibri" w:eastAsia="Times New Roman" w:hAnsi="Calibri" w:cs="Calibri"/>
                <w:sz w:val="16"/>
                <w:szCs w:val="16"/>
                <w:lang w:eastAsia="hr-HR"/>
              </w:rPr>
            </w:pPr>
            <w:r w:rsidRPr="005E671C">
              <w:rPr>
                <w:rFonts w:ascii="Calibri" w:eastAsia="Times New Roman" w:hAnsi="Calibri" w:cs="Calibri"/>
                <w:sz w:val="16"/>
                <w:szCs w:val="16"/>
                <w:lang w:eastAsia="hr-HR"/>
              </w:rPr>
              <w:t>11.</w:t>
            </w:r>
          </w:p>
        </w:tc>
        <w:tc>
          <w:tcPr>
            <w:tcW w:w="574" w:type="dxa"/>
            <w:tcBorders>
              <w:top w:val="nil"/>
              <w:left w:val="nil"/>
              <w:bottom w:val="single" w:sz="4" w:space="0" w:color="auto"/>
              <w:right w:val="single" w:sz="4" w:space="0" w:color="auto"/>
            </w:tcBorders>
            <w:shd w:val="clear" w:color="000000" w:fill="CCFFCC"/>
            <w:vAlign w:val="center"/>
            <w:hideMark/>
          </w:tcPr>
          <w:p w14:paraId="6971D5AC" w14:textId="77777777" w:rsidR="005E671C" w:rsidRPr="005E671C" w:rsidRDefault="005E671C" w:rsidP="005E671C">
            <w:pPr>
              <w:spacing w:after="0" w:line="240" w:lineRule="auto"/>
              <w:jc w:val="center"/>
              <w:rPr>
                <w:rFonts w:ascii="Calibri" w:eastAsia="Times New Roman" w:hAnsi="Calibri" w:cs="Calibri"/>
                <w:sz w:val="16"/>
                <w:szCs w:val="16"/>
                <w:lang w:eastAsia="hr-HR"/>
              </w:rPr>
            </w:pPr>
            <w:r w:rsidRPr="005E671C">
              <w:rPr>
                <w:rFonts w:ascii="Calibri" w:eastAsia="Times New Roman" w:hAnsi="Calibri" w:cs="Calibri"/>
                <w:sz w:val="16"/>
                <w:szCs w:val="16"/>
                <w:lang w:eastAsia="hr-HR"/>
              </w:rPr>
              <w:t>12.</w:t>
            </w:r>
          </w:p>
        </w:tc>
        <w:tc>
          <w:tcPr>
            <w:tcW w:w="434" w:type="dxa"/>
            <w:tcBorders>
              <w:top w:val="nil"/>
              <w:left w:val="nil"/>
              <w:bottom w:val="single" w:sz="4" w:space="0" w:color="auto"/>
              <w:right w:val="single" w:sz="4" w:space="0" w:color="auto"/>
            </w:tcBorders>
            <w:shd w:val="clear" w:color="000000" w:fill="CCFFCC"/>
            <w:vAlign w:val="center"/>
            <w:hideMark/>
          </w:tcPr>
          <w:p w14:paraId="4F1F133B" w14:textId="77777777" w:rsidR="005E671C" w:rsidRPr="005E671C" w:rsidRDefault="005E671C" w:rsidP="005E671C">
            <w:pPr>
              <w:spacing w:after="0" w:line="240" w:lineRule="auto"/>
              <w:jc w:val="center"/>
              <w:rPr>
                <w:rFonts w:ascii="Calibri" w:eastAsia="Times New Roman" w:hAnsi="Calibri" w:cs="Calibri"/>
                <w:sz w:val="16"/>
                <w:szCs w:val="16"/>
                <w:lang w:eastAsia="hr-HR"/>
              </w:rPr>
            </w:pPr>
            <w:r w:rsidRPr="005E671C">
              <w:rPr>
                <w:rFonts w:ascii="Calibri" w:eastAsia="Times New Roman" w:hAnsi="Calibri" w:cs="Calibri"/>
                <w:sz w:val="16"/>
                <w:szCs w:val="16"/>
                <w:lang w:eastAsia="hr-HR"/>
              </w:rPr>
              <w:t>13.</w:t>
            </w:r>
          </w:p>
        </w:tc>
        <w:tc>
          <w:tcPr>
            <w:tcW w:w="443" w:type="dxa"/>
            <w:gridSpan w:val="2"/>
            <w:tcBorders>
              <w:top w:val="nil"/>
              <w:left w:val="nil"/>
              <w:bottom w:val="single" w:sz="4" w:space="0" w:color="auto"/>
              <w:right w:val="single" w:sz="4" w:space="0" w:color="auto"/>
            </w:tcBorders>
            <w:shd w:val="clear" w:color="000000" w:fill="CCFFCC"/>
            <w:vAlign w:val="center"/>
            <w:hideMark/>
          </w:tcPr>
          <w:p w14:paraId="76319FEA" w14:textId="77777777" w:rsidR="005E671C" w:rsidRPr="005E671C" w:rsidRDefault="005E671C" w:rsidP="005E671C">
            <w:pPr>
              <w:spacing w:after="0" w:line="240" w:lineRule="auto"/>
              <w:jc w:val="center"/>
              <w:rPr>
                <w:rFonts w:ascii="Calibri" w:eastAsia="Times New Roman" w:hAnsi="Calibri" w:cs="Calibri"/>
                <w:sz w:val="16"/>
                <w:szCs w:val="16"/>
                <w:lang w:eastAsia="hr-HR"/>
              </w:rPr>
            </w:pPr>
            <w:r w:rsidRPr="005E671C">
              <w:rPr>
                <w:rFonts w:ascii="Calibri" w:eastAsia="Times New Roman" w:hAnsi="Calibri" w:cs="Calibri"/>
                <w:sz w:val="16"/>
                <w:szCs w:val="16"/>
                <w:lang w:eastAsia="hr-HR"/>
              </w:rPr>
              <w:t>14.</w:t>
            </w:r>
          </w:p>
        </w:tc>
        <w:tc>
          <w:tcPr>
            <w:tcW w:w="698" w:type="dxa"/>
            <w:tcBorders>
              <w:top w:val="nil"/>
              <w:left w:val="nil"/>
              <w:bottom w:val="single" w:sz="4" w:space="0" w:color="auto"/>
              <w:right w:val="single" w:sz="4" w:space="0" w:color="auto"/>
            </w:tcBorders>
            <w:shd w:val="clear" w:color="000000" w:fill="CCFFCC"/>
            <w:vAlign w:val="center"/>
            <w:hideMark/>
          </w:tcPr>
          <w:p w14:paraId="68D0B9E8" w14:textId="77777777" w:rsidR="005E671C" w:rsidRPr="005E671C" w:rsidRDefault="005E671C" w:rsidP="005E671C">
            <w:pPr>
              <w:spacing w:after="0" w:line="240" w:lineRule="auto"/>
              <w:jc w:val="center"/>
              <w:rPr>
                <w:rFonts w:ascii="Calibri" w:eastAsia="Times New Roman" w:hAnsi="Calibri" w:cs="Calibri"/>
                <w:sz w:val="16"/>
                <w:szCs w:val="16"/>
                <w:lang w:eastAsia="hr-HR"/>
              </w:rPr>
            </w:pPr>
            <w:r w:rsidRPr="005E671C">
              <w:rPr>
                <w:rFonts w:ascii="Calibri" w:eastAsia="Times New Roman" w:hAnsi="Calibri" w:cs="Calibri"/>
                <w:sz w:val="16"/>
                <w:szCs w:val="16"/>
                <w:lang w:eastAsia="hr-HR"/>
              </w:rPr>
              <w:t>15.</w:t>
            </w:r>
          </w:p>
        </w:tc>
        <w:tc>
          <w:tcPr>
            <w:tcW w:w="574" w:type="dxa"/>
            <w:tcBorders>
              <w:top w:val="nil"/>
              <w:left w:val="nil"/>
              <w:bottom w:val="single" w:sz="4" w:space="0" w:color="auto"/>
              <w:right w:val="single" w:sz="4" w:space="0" w:color="auto"/>
            </w:tcBorders>
            <w:shd w:val="clear" w:color="000000" w:fill="CCFFCC"/>
            <w:vAlign w:val="center"/>
            <w:hideMark/>
          </w:tcPr>
          <w:p w14:paraId="2A78FAAF" w14:textId="77777777" w:rsidR="005E671C" w:rsidRPr="005E671C" w:rsidRDefault="005E671C" w:rsidP="005E671C">
            <w:pPr>
              <w:spacing w:after="0" w:line="240" w:lineRule="auto"/>
              <w:jc w:val="center"/>
              <w:rPr>
                <w:rFonts w:ascii="Calibri" w:eastAsia="Times New Roman" w:hAnsi="Calibri" w:cs="Calibri"/>
                <w:sz w:val="16"/>
                <w:szCs w:val="16"/>
                <w:lang w:eastAsia="hr-HR"/>
              </w:rPr>
            </w:pPr>
            <w:r w:rsidRPr="005E671C">
              <w:rPr>
                <w:rFonts w:ascii="Calibri" w:eastAsia="Times New Roman" w:hAnsi="Calibri" w:cs="Calibri"/>
                <w:sz w:val="16"/>
                <w:szCs w:val="16"/>
                <w:lang w:eastAsia="hr-HR"/>
              </w:rPr>
              <w:t>16.</w:t>
            </w:r>
          </w:p>
        </w:tc>
        <w:tc>
          <w:tcPr>
            <w:tcW w:w="560" w:type="dxa"/>
            <w:tcBorders>
              <w:top w:val="nil"/>
              <w:left w:val="nil"/>
              <w:bottom w:val="single" w:sz="4" w:space="0" w:color="auto"/>
              <w:right w:val="single" w:sz="4" w:space="0" w:color="auto"/>
            </w:tcBorders>
            <w:shd w:val="clear" w:color="000000" w:fill="CCFFCC"/>
            <w:vAlign w:val="center"/>
            <w:hideMark/>
          </w:tcPr>
          <w:p w14:paraId="7E35D9A5" w14:textId="77777777" w:rsidR="005E671C" w:rsidRPr="005E671C" w:rsidRDefault="005E671C" w:rsidP="005E671C">
            <w:pPr>
              <w:spacing w:after="0" w:line="240" w:lineRule="auto"/>
              <w:jc w:val="center"/>
              <w:rPr>
                <w:rFonts w:ascii="Calibri" w:eastAsia="Times New Roman" w:hAnsi="Calibri" w:cs="Calibri"/>
                <w:sz w:val="16"/>
                <w:szCs w:val="16"/>
                <w:lang w:eastAsia="hr-HR"/>
              </w:rPr>
            </w:pPr>
            <w:r w:rsidRPr="005E671C">
              <w:rPr>
                <w:rFonts w:ascii="Calibri" w:eastAsia="Times New Roman" w:hAnsi="Calibri" w:cs="Calibri"/>
                <w:sz w:val="16"/>
                <w:szCs w:val="16"/>
                <w:lang w:eastAsia="hr-HR"/>
              </w:rPr>
              <w:t>17.</w:t>
            </w:r>
          </w:p>
        </w:tc>
        <w:tc>
          <w:tcPr>
            <w:tcW w:w="430" w:type="dxa"/>
            <w:gridSpan w:val="2"/>
            <w:tcBorders>
              <w:top w:val="nil"/>
              <w:left w:val="nil"/>
              <w:bottom w:val="single" w:sz="4" w:space="0" w:color="auto"/>
              <w:right w:val="single" w:sz="4" w:space="0" w:color="auto"/>
            </w:tcBorders>
            <w:shd w:val="clear" w:color="000000" w:fill="CCFFCC"/>
            <w:vAlign w:val="center"/>
            <w:hideMark/>
          </w:tcPr>
          <w:p w14:paraId="72EB997B" w14:textId="77777777" w:rsidR="005E671C" w:rsidRPr="005E671C" w:rsidRDefault="005E671C" w:rsidP="005E671C">
            <w:pPr>
              <w:spacing w:after="0" w:line="240" w:lineRule="auto"/>
              <w:jc w:val="center"/>
              <w:rPr>
                <w:rFonts w:ascii="Calibri" w:eastAsia="Times New Roman" w:hAnsi="Calibri" w:cs="Calibri"/>
                <w:sz w:val="16"/>
                <w:szCs w:val="16"/>
                <w:lang w:eastAsia="hr-HR"/>
              </w:rPr>
            </w:pPr>
            <w:r w:rsidRPr="005E671C">
              <w:rPr>
                <w:rFonts w:ascii="Calibri" w:eastAsia="Times New Roman" w:hAnsi="Calibri" w:cs="Calibri"/>
                <w:sz w:val="16"/>
                <w:szCs w:val="16"/>
                <w:lang w:eastAsia="hr-HR"/>
              </w:rPr>
              <w:t>18.</w:t>
            </w:r>
          </w:p>
        </w:tc>
        <w:tc>
          <w:tcPr>
            <w:tcW w:w="425" w:type="dxa"/>
            <w:gridSpan w:val="2"/>
            <w:tcBorders>
              <w:top w:val="nil"/>
              <w:left w:val="nil"/>
              <w:bottom w:val="single" w:sz="4" w:space="0" w:color="auto"/>
              <w:right w:val="single" w:sz="4" w:space="0" w:color="auto"/>
            </w:tcBorders>
            <w:shd w:val="clear" w:color="000000" w:fill="CCFFCC"/>
            <w:vAlign w:val="center"/>
            <w:hideMark/>
          </w:tcPr>
          <w:p w14:paraId="536BFE57" w14:textId="77777777" w:rsidR="005E671C" w:rsidRPr="005E671C" w:rsidRDefault="005E671C" w:rsidP="005E671C">
            <w:pPr>
              <w:spacing w:after="0" w:line="240" w:lineRule="auto"/>
              <w:jc w:val="center"/>
              <w:rPr>
                <w:rFonts w:ascii="Calibri" w:eastAsia="Times New Roman" w:hAnsi="Calibri" w:cs="Calibri"/>
                <w:sz w:val="16"/>
                <w:szCs w:val="16"/>
                <w:lang w:eastAsia="hr-HR"/>
              </w:rPr>
            </w:pPr>
            <w:r w:rsidRPr="005E671C">
              <w:rPr>
                <w:rFonts w:ascii="Calibri" w:eastAsia="Times New Roman" w:hAnsi="Calibri" w:cs="Calibri"/>
                <w:sz w:val="16"/>
                <w:szCs w:val="16"/>
                <w:lang w:eastAsia="hr-HR"/>
              </w:rPr>
              <w:t>19.</w:t>
            </w:r>
          </w:p>
        </w:tc>
        <w:tc>
          <w:tcPr>
            <w:tcW w:w="540" w:type="dxa"/>
            <w:gridSpan w:val="2"/>
            <w:tcBorders>
              <w:top w:val="nil"/>
              <w:left w:val="nil"/>
              <w:bottom w:val="single" w:sz="4" w:space="0" w:color="auto"/>
              <w:right w:val="single" w:sz="4" w:space="0" w:color="auto"/>
            </w:tcBorders>
            <w:shd w:val="clear" w:color="000000" w:fill="CCFFCC"/>
            <w:vAlign w:val="center"/>
            <w:hideMark/>
          </w:tcPr>
          <w:p w14:paraId="710936C7" w14:textId="77777777" w:rsidR="005E671C" w:rsidRPr="005E671C" w:rsidRDefault="005E671C" w:rsidP="005E671C">
            <w:pPr>
              <w:spacing w:after="0" w:line="240" w:lineRule="auto"/>
              <w:jc w:val="center"/>
              <w:rPr>
                <w:rFonts w:ascii="Calibri" w:eastAsia="Times New Roman" w:hAnsi="Calibri" w:cs="Calibri"/>
                <w:sz w:val="16"/>
                <w:szCs w:val="16"/>
                <w:lang w:eastAsia="hr-HR"/>
              </w:rPr>
            </w:pPr>
            <w:r w:rsidRPr="005E671C">
              <w:rPr>
                <w:rFonts w:ascii="Calibri" w:eastAsia="Times New Roman" w:hAnsi="Calibri" w:cs="Calibri"/>
                <w:sz w:val="16"/>
                <w:szCs w:val="16"/>
                <w:lang w:eastAsia="hr-HR"/>
              </w:rPr>
              <w:t>20.</w:t>
            </w:r>
          </w:p>
        </w:tc>
        <w:tc>
          <w:tcPr>
            <w:tcW w:w="435" w:type="dxa"/>
            <w:tcBorders>
              <w:top w:val="nil"/>
              <w:left w:val="nil"/>
              <w:bottom w:val="single" w:sz="4" w:space="0" w:color="auto"/>
              <w:right w:val="single" w:sz="4" w:space="0" w:color="auto"/>
            </w:tcBorders>
            <w:shd w:val="clear" w:color="000000" w:fill="CCFFCC"/>
            <w:vAlign w:val="center"/>
            <w:hideMark/>
          </w:tcPr>
          <w:p w14:paraId="09877512" w14:textId="77777777" w:rsidR="005E671C" w:rsidRPr="005E671C" w:rsidRDefault="005E671C" w:rsidP="005E671C">
            <w:pPr>
              <w:spacing w:after="0" w:line="240" w:lineRule="auto"/>
              <w:jc w:val="center"/>
              <w:rPr>
                <w:rFonts w:ascii="Calibri" w:eastAsia="Times New Roman" w:hAnsi="Calibri" w:cs="Calibri"/>
                <w:sz w:val="16"/>
                <w:szCs w:val="16"/>
                <w:lang w:eastAsia="hr-HR"/>
              </w:rPr>
            </w:pPr>
            <w:r w:rsidRPr="005E671C">
              <w:rPr>
                <w:rFonts w:ascii="Calibri" w:eastAsia="Times New Roman" w:hAnsi="Calibri" w:cs="Calibri"/>
                <w:sz w:val="16"/>
                <w:szCs w:val="16"/>
                <w:lang w:eastAsia="hr-HR"/>
              </w:rPr>
              <w:t>21.</w:t>
            </w:r>
          </w:p>
        </w:tc>
        <w:tc>
          <w:tcPr>
            <w:tcW w:w="655" w:type="dxa"/>
            <w:tcBorders>
              <w:top w:val="nil"/>
              <w:left w:val="nil"/>
              <w:bottom w:val="single" w:sz="4" w:space="0" w:color="auto"/>
              <w:right w:val="single" w:sz="4" w:space="0" w:color="auto"/>
            </w:tcBorders>
            <w:shd w:val="clear" w:color="000000" w:fill="CCFFCC"/>
            <w:vAlign w:val="center"/>
            <w:hideMark/>
          </w:tcPr>
          <w:p w14:paraId="2CA2E1EC" w14:textId="77777777" w:rsidR="005E671C" w:rsidRPr="005E671C" w:rsidRDefault="005E671C" w:rsidP="005E671C">
            <w:pPr>
              <w:spacing w:after="0" w:line="240" w:lineRule="auto"/>
              <w:jc w:val="center"/>
              <w:rPr>
                <w:rFonts w:ascii="Calibri" w:eastAsia="Times New Roman" w:hAnsi="Calibri" w:cs="Calibri"/>
                <w:sz w:val="16"/>
                <w:szCs w:val="16"/>
                <w:lang w:eastAsia="hr-HR"/>
              </w:rPr>
            </w:pPr>
            <w:r w:rsidRPr="005E671C">
              <w:rPr>
                <w:rFonts w:ascii="Calibri" w:eastAsia="Times New Roman" w:hAnsi="Calibri" w:cs="Calibri"/>
                <w:sz w:val="16"/>
                <w:szCs w:val="16"/>
                <w:lang w:eastAsia="hr-HR"/>
              </w:rPr>
              <w:t>22.</w:t>
            </w:r>
          </w:p>
        </w:tc>
        <w:tc>
          <w:tcPr>
            <w:tcW w:w="645" w:type="dxa"/>
            <w:tcBorders>
              <w:top w:val="nil"/>
              <w:left w:val="nil"/>
              <w:bottom w:val="single" w:sz="4" w:space="0" w:color="auto"/>
              <w:right w:val="single" w:sz="4" w:space="0" w:color="auto"/>
            </w:tcBorders>
            <w:shd w:val="clear" w:color="000000" w:fill="CCFFCC"/>
            <w:vAlign w:val="center"/>
            <w:hideMark/>
          </w:tcPr>
          <w:p w14:paraId="7FC1DEEA" w14:textId="77777777" w:rsidR="005E671C" w:rsidRPr="005E671C" w:rsidRDefault="005E671C" w:rsidP="005E671C">
            <w:pPr>
              <w:spacing w:after="0" w:line="240" w:lineRule="auto"/>
              <w:jc w:val="center"/>
              <w:rPr>
                <w:rFonts w:ascii="Calibri" w:eastAsia="Times New Roman" w:hAnsi="Calibri" w:cs="Calibri"/>
                <w:sz w:val="16"/>
                <w:szCs w:val="16"/>
                <w:lang w:eastAsia="hr-HR"/>
              </w:rPr>
            </w:pPr>
            <w:r w:rsidRPr="005E671C">
              <w:rPr>
                <w:rFonts w:ascii="Calibri" w:eastAsia="Times New Roman" w:hAnsi="Calibri" w:cs="Calibri"/>
                <w:sz w:val="16"/>
                <w:szCs w:val="16"/>
                <w:lang w:eastAsia="hr-HR"/>
              </w:rPr>
              <w:t>23.</w:t>
            </w:r>
          </w:p>
        </w:tc>
        <w:tc>
          <w:tcPr>
            <w:tcW w:w="699" w:type="dxa"/>
            <w:tcBorders>
              <w:top w:val="nil"/>
              <w:left w:val="nil"/>
              <w:bottom w:val="single" w:sz="4" w:space="0" w:color="auto"/>
              <w:right w:val="single" w:sz="4" w:space="0" w:color="auto"/>
            </w:tcBorders>
            <w:shd w:val="clear" w:color="000000" w:fill="CCFFCC"/>
            <w:vAlign w:val="center"/>
            <w:hideMark/>
          </w:tcPr>
          <w:p w14:paraId="4B91C273" w14:textId="77777777" w:rsidR="005E671C" w:rsidRPr="005E671C" w:rsidRDefault="005E671C" w:rsidP="005E671C">
            <w:pPr>
              <w:spacing w:after="0" w:line="240" w:lineRule="auto"/>
              <w:jc w:val="center"/>
              <w:rPr>
                <w:rFonts w:ascii="Calibri" w:eastAsia="Times New Roman" w:hAnsi="Calibri" w:cs="Calibri"/>
                <w:sz w:val="16"/>
                <w:szCs w:val="16"/>
                <w:lang w:eastAsia="hr-HR"/>
              </w:rPr>
            </w:pPr>
            <w:r w:rsidRPr="005E671C">
              <w:rPr>
                <w:rFonts w:ascii="Calibri" w:eastAsia="Times New Roman" w:hAnsi="Calibri" w:cs="Calibri"/>
                <w:sz w:val="16"/>
                <w:szCs w:val="16"/>
                <w:lang w:eastAsia="hr-HR"/>
              </w:rPr>
              <w:t>24.</w:t>
            </w:r>
          </w:p>
        </w:tc>
        <w:tc>
          <w:tcPr>
            <w:tcW w:w="700" w:type="dxa"/>
            <w:tcBorders>
              <w:top w:val="nil"/>
              <w:left w:val="nil"/>
              <w:bottom w:val="single" w:sz="4" w:space="0" w:color="auto"/>
              <w:right w:val="single" w:sz="8" w:space="0" w:color="auto"/>
            </w:tcBorders>
            <w:shd w:val="clear" w:color="000000" w:fill="CCFFCC"/>
            <w:vAlign w:val="center"/>
            <w:hideMark/>
          </w:tcPr>
          <w:p w14:paraId="31DD90F7" w14:textId="77777777" w:rsidR="005E671C" w:rsidRPr="005E671C" w:rsidRDefault="005E671C" w:rsidP="005E671C">
            <w:pPr>
              <w:spacing w:after="0" w:line="240" w:lineRule="auto"/>
              <w:jc w:val="center"/>
              <w:rPr>
                <w:rFonts w:ascii="Calibri" w:eastAsia="Times New Roman" w:hAnsi="Calibri" w:cs="Calibri"/>
                <w:sz w:val="16"/>
                <w:szCs w:val="16"/>
                <w:lang w:eastAsia="hr-HR"/>
              </w:rPr>
            </w:pPr>
            <w:r w:rsidRPr="005E671C">
              <w:rPr>
                <w:rFonts w:ascii="Calibri" w:eastAsia="Times New Roman" w:hAnsi="Calibri" w:cs="Calibri"/>
                <w:sz w:val="16"/>
                <w:szCs w:val="16"/>
                <w:lang w:eastAsia="hr-HR"/>
              </w:rPr>
              <w:t>25.</w:t>
            </w:r>
          </w:p>
        </w:tc>
        <w:tc>
          <w:tcPr>
            <w:tcW w:w="239" w:type="dxa"/>
            <w:gridSpan w:val="2"/>
            <w:vAlign w:val="center"/>
            <w:hideMark/>
          </w:tcPr>
          <w:p w14:paraId="1C0F2FBF" w14:textId="77777777" w:rsidR="005E671C" w:rsidRPr="005E671C" w:rsidRDefault="005E671C" w:rsidP="005E671C">
            <w:pPr>
              <w:spacing w:after="0" w:line="240" w:lineRule="auto"/>
              <w:rPr>
                <w:rFonts w:ascii="Times New Roman" w:eastAsia="Times New Roman" w:hAnsi="Times New Roman" w:cs="Times New Roman"/>
                <w:sz w:val="20"/>
                <w:szCs w:val="20"/>
                <w:lang w:eastAsia="hr-HR"/>
              </w:rPr>
            </w:pPr>
          </w:p>
        </w:tc>
      </w:tr>
      <w:tr w:rsidR="005E671C" w:rsidRPr="005E671C" w14:paraId="3404256A" w14:textId="77777777" w:rsidTr="001752B7">
        <w:trPr>
          <w:gridAfter w:val="1"/>
          <w:wAfter w:w="23" w:type="dxa"/>
          <w:trHeight w:val="300"/>
        </w:trPr>
        <w:tc>
          <w:tcPr>
            <w:tcW w:w="1408" w:type="dxa"/>
            <w:tcBorders>
              <w:top w:val="single" w:sz="4" w:space="0" w:color="auto"/>
              <w:left w:val="single" w:sz="8" w:space="0" w:color="auto"/>
              <w:bottom w:val="single" w:sz="4" w:space="0" w:color="auto"/>
              <w:right w:val="single" w:sz="4" w:space="0" w:color="auto"/>
            </w:tcBorders>
            <w:shd w:val="clear" w:color="000000" w:fill="CCFFCC"/>
            <w:vAlign w:val="center"/>
            <w:hideMark/>
          </w:tcPr>
          <w:p w14:paraId="6A4C1D55" w14:textId="77777777" w:rsidR="005E671C" w:rsidRPr="005E671C" w:rsidRDefault="005E671C" w:rsidP="005E671C">
            <w:pPr>
              <w:spacing w:after="0" w:line="240" w:lineRule="auto"/>
              <w:jc w:val="center"/>
              <w:rPr>
                <w:rFonts w:ascii="Calibri" w:eastAsia="Times New Roman" w:hAnsi="Calibri" w:cs="Calibri"/>
                <w:lang w:eastAsia="hr-HR"/>
              </w:rPr>
            </w:pPr>
            <w:r w:rsidRPr="005E671C">
              <w:rPr>
                <w:rFonts w:ascii="Calibri" w:eastAsia="Times New Roman" w:hAnsi="Calibri" w:cs="Calibri"/>
                <w:lang w:eastAsia="hr-HR"/>
              </w:rPr>
              <w:t xml:space="preserve">Rasa ili etnička </w:t>
            </w:r>
            <w:proofErr w:type="spellStart"/>
            <w:r w:rsidRPr="005E671C">
              <w:rPr>
                <w:rFonts w:ascii="Calibri" w:eastAsia="Times New Roman" w:hAnsi="Calibri" w:cs="Calibri"/>
                <w:lang w:eastAsia="hr-HR"/>
              </w:rPr>
              <w:t>propadnost</w:t>
            </w:r>
            <w:proofErr w:type="spellEnd"/>
            <w:r w:rsidRPr="005E671C">
              <w:rPr>
                <w:rFonts w:ascii="Calibri" w:eastAsia="Times New Roman" w:hAnsi="Calibri" w:cs="Calibri"/>
                <w:lang w:eastAsia="hr-HR"/>
              </w:rPr>
              <w:t xml:space="preserve"> ili boja kože</w:t>
            </w:r>
          </w:p>
        </w:tc>
        <w:tc>
          <w:tcPr>
            <w:tcW w:w="595" w:type="dxa"/>
            <w:tcBorders>
              <w:top w:val="nil"/>
              <w:left w:val="nil"/>
              <w:bottom w:val="single" w:sz="4" w:space="0" w:color="auto"/>
              <w:right w:val="single" w:sz="4" w:space="0" w:color="auto"/>
            </w:tcBorders>
            <w:shd w:val="clear" w:color="000000" w:fill="CCFFCC"/>
            <w:vAlign w:val="center"/>
            <w:hideMark/>
          </w:tcPr>
          <w:p w14:paraId="050E4556" w14:textId="77777777" w:rsidR="005E671C" w:rsidRPr="005E671C" w:rsidRDefault="005E671C" w:rsidP="005E671C">
            <w:pPr>
              <w:spacing w:after="0" w:line="240" w:lineRule="auto"/>
              <w:jc w:val="center"/>
              <w:rPr>
                <w:rFonts w:ascii="Calibri" w:eastAsia="Times New Roman" w:hAnsi="Calibri" w:cs="Calibri"/>
                <w:lang w:eastAsia="hr-HR"/>
              </w:rPr>
            </w:pPr>
            <w:r w:rsidRPr="005E671C">
              <w:rPr>
                <w:rFonts w:ascii="Calibri" w:eastAsia="Times New Roman" w:hAnsi="Calibri" w:cs="Calibri"/>
                <w:lang w:eastAsia="hr-HR"/>
              </w:rPr>
              <w:t>16</w:t>
            </w:r>
          </w:p>
        </w:tc>
        <w:tc>
          <w:tcPr>
            <w:tcW w:w="549" w:type="dxa"/>
            <w:tcBorders>
              <w:top w:val="nil"/>
              <w:left w:val="nil"/>
              <w:bottom w:val="single" w:sz="4" w:space="0" w:color="auto"/>
              <w:right w:val="single" w:sz="4" w:space="0" w:color="auto"/>
            </w:tcBorders>
            <w:shd w:val="clear" w:color="000000" w:fill="FFCC99"/>
            <w:noWrap/>
            <w:vAlign w:val="center"/>
            <w:hideMark/>
          </w:tcPr>
          <w:p w14:paraId="0F86A699" w14:textId="77777777" w:rsidR="005E671C" w:rsidRPr="005E671C" w:rsidRDefault="005E671C" w:rsidP="005E671C">
            <w:pPr>
              <w:spacing w:after="0" w:line="240" w:lineRule="auto"/>
              <w:jc w:val="center"/>
              <w:rPr>
                <w:rFonts w:ascii="Calibri" w:eastAsia="Times New Roman" w:hAnsi="Calibri" w:cs="Calibri"/>
                <w:lang w:eastAsia="hr-HR"/>
              </w:rPr>
            </w:pPr>
            <w:r w:rsidRPr="005E671C">
              <w:rPr>
                <w:rFonts w:ascii="Calibri" w:eastAsia="Times New Roman" w:hAnsi="Calibri" w:cs="Calibri"/>
                <w:lang w:eastAsia="hr-HR"/>
              </w:rPr>
              <w:t>27</w:t>
            </w:r>
          </w:p>
        </w:tc>
        <w:tc>
          <w:tcPr>
            <w:tcW w:w="441" w:type="dxa"/>
            <w:tcBorders>
              <w:top w:val="nil"/>
              <w:left w:val="nil"/>
              <w:bottom w:val="single" w:sz="4" w:space="0" w:color="auto"/>
              <w:right w:val="single" w:sz="4" w:space="0" w:color="auto"/>
            </w:tcBorders>
            <w:shd w:val="clear" w:color="000000" w:fill="CCFFFF"/>
            <w:noWrap/>
            <w:vAlign w:val="center"/>
            <w:hideMark/>
          </w:tcPr>
          <w:p w14:paraId="3BB1F175" w14:textId="77777777" w:rsidR="005E671C" w:rsidRPr="005E671C" w:rsidRDefault="005E671C" w:rsidP="005E671C">
            <w:pPr>
              <w:spacing w:after="0" w:line="240" w:lineRule="auto"/>
              <w:jc w:val="center"/>
              <w:rPr>
                <w:rFonts w:ascii="Calibri" w:eastAsia="Times New Roman" w:hAnsi="Calibri" w:cs="Calibri"/>
                <w:lang w:eastAsia="hr-HR"/>
              </w:rPr>
            </w:pPr>
            <w:r w:rsidRPr="005E671C">
              <w:rPr>
                <w:rFonts w:ascii="Calibri" w:eastAsia="Times New Roman" w:hAnsi="Calibri" w:cs="Calibri"/>
                <w:lang w:eastAsia="hr-HR"/>
              </w:rPr>
              <w:t>17</w:t>
            </w:r>
          </w:p>
        </w:tc>
        <w:tc>
          <w:tcPr>
            <w:tcW w:w="432" w:type="dxa"/>
            <w:tcBorders>
              <w:top w:val="nil"/>
              <w:left w:val="nil"/>
              <w:bottom w:val="single" w:sz="4" w:space="0" w:color="auto"/>
              <w:right w:val="single" w:sz="4" w:space="0" w:color="auto"/>
            </w:tcBorders>
            <w:shd w:val="clear" w:color="000000" w:fill="CCFFFF"/>
            <w:noWrap/>
            <w:vAlign w:val="center"/>
            <w:hideMark/>
          </w:tcPr>
          <w:p w14:paraId="3488DFFC" w14:textId="77777777" w:rsidR="005E671C" w:rsidRPr="005E671C" w:rsidRDefault="005E671C" w:rsidP="005E671C">
            <w:pPr>
              <w:spacing w:after="0" w:line="240" w:lineRule="auto"/>
              <w:jc w:val="center"/>
              <w:rPr>
                <w:rFonts w:ascii="Calibri" w:eastAsia="Times New Roman" w:hAnsi="Calibri" w:cs="Calibri"/>
                <w:lang w:eastAsia="hr-HR"/>
              </w:rPr>
            </w:pPr>
            <w:r w:rsidRPr="005E671C">
              <w:rPr>
                <w:rFonts w:ascii="Calibri" w:eastAsia="Times New Roman" w:hAnsi="Calibri" w:cs="Calibri"/>
                <w:lang w:eastAsia="hr-HR"/>
              </w:rPr>
              <w:t>21</w:t>
            </w:r>
          </w:p>
        </w:tc>
        <w:tc>
          <w:tcPr>
            <w:tcW w:w="421" w:type="dxa"/>
            <w:gridSpan w:val="2"/>
            <w:tcBorders>
              <w:top w:val="nil"/>
              <w:left w:val="nil"/>
              <w:bottom w:val="single" w:sz="4" w:space="0" w:color="auto"/>
              <w:right w:val="single" w:sz="4" w:space="0" w:color="auto"/>
            </w:tcBorders>
            <w:shd w:val="clear" w:color="000000" w:fill="FFFF99"/>
            <w:noWrap/>
            <w:vAlign w:val="center"/>
            <w:hideMark/>
          </w:tcPr>
          <w:p w14:paraId="02058F28" w14:textId="77777777" w:rsidR="005E671C" w:rsidRPr="005E671C" w:rsidRDefault="005E671C" w:rsidP="005E671C">
            <w:pPr>
              <w:spacing w:after="0" w:line="240" w:lineRule="auto"/>
              <w:jc w:val="center"/>
              <w:rPr>
                <w:rFonts w:ascii="Calibri" w:eastAsia="Times New Roman" w:hAnsi="Calibri" w:cs="Calibri"/>
                <w:lang w:eastAsia="hr-HR"/>
              </w:rPr>
            </w:pPr>
            <w:r w:rsidRPr="005E671C">
              <w:rPr>
                <w:rFonts w:ascii="Calibri" w:eastAsia="Times New Roman" w:hAnsi="Calibri" w:cs="Calibri"/>
                <w:lang w:eastAsia="hr-HR"/>
              </w:rPr>
              <w:t>22</w:t>
            </w:r>
          </w:p>
        </w:tc>
        <w:tc>
          <w:tcPr>
            <w:tcW w:w="431" w:type="dxa"/>
            <w:tcBorders>
              <w:top w:val="nil"/>
              <w:left w:val="nil"/>
              <w:bottom w:val="single" w:sz="4" w:space="0" w:color="auto"/>
              <w:right w:val="single" w:sz="4" w:space="0" w:color="auto"/>
            </w:tcBorders>
            <w:shd w:val="clear" w:color="000000" w:fill="FFFF99"/>
            <w:noWrap/>
            <w:vAlign w:val="center"/>
            <w:hideMark/>
          </w:tcPr>
          <w:p w14:paraId="2A51A562" w14:textId="77777777" w:rsidR="005E671C" w:rsidRPr="005E671C" w:rsidRDefault="005E671C" w:rsidP="005E671C">
            <w:pPr>
              <w:spacing w:after="0" w:line="240" w:lineRule="auto"/>
              <w:jc w:val="center"/>
              <w:rPr>
                <w:rFonts w:ascii="Calibri" w:eastAsia="Times New Roman" w:hAnsi="Calibri" w:cs="Calibri"/>
                <w:lang w:eastAsia="hr-HR"/>
              </w:rPr>
            </w:pPr>
            <w:r w:rsidRPr="005E671C">
              <w:rPr>
                <w:rFonts w:ascii="Calibri" w:eastAsia="Times New Roman" w:hAnsi="Calibri" w:cs="Calibri"/>
                <w:lang w:eastAsia="hr-HR"/>
              </w:rPr>
              <w:t>0</w:t>
            </w:r>
          </w:p>
        </w:tc>
        <w:tc>
          <w:tcPr>
            <w:tcW w:w="420" w:type="dxa"/>
            <w:tcBorders>
              <w:top w:val="nil"/>
              <w:left w:val="nil"/>
              <w:bottom w:val="single" w:sz="4" w:space="0" w:color="auto"/>
              <w:right w:val="single" w:sz="4" w:space="0" w:color="auto"/>
            </w:tcBorders>
            <w:shd w:val="clear" w:color="000000" w:fill="FFFF99"/>
            <w:noWrap/>
            <w:vAlign w:val="center"/>
            <w:hideMark/>
          </w:tcPr>
          <w:p w14:paraId="19426EC2" w14:textId="77777777" w:rsidR="005E671C" w:rsidRPr="005E671C" w:rsidRDefault="005E671C" w:rsidP="005E671C">
            <w:pPr>
              <w:spacing w:after="0" w:line="240" w:lineRule="auto"/>
              <w:jc w:val="center"/>
              <w:rPr>
                <w:rFonts w:ascii="Calibri" w:eastAsia="Times New Roman" w:hAnsi="Calibri" w:cs="Calibri"/>
                <w:lang w:eastAsia="hr-HR"/>
              </w:rPr>
            </w:pPr>
            <w:r w:rsidRPr="005E671C">
              <w:rPr>
                <w:rFonts w:ascii="Calibri" w:eastAsia="Times New Roman" w:hAnsi="Calibri" w:cs="Calibri"/>
                <w:lang w:eastAsia="hr-HR"/>
              </w:rPr>
              <w:t>0</w:t>
            </w:r>
          </w:p>
        </w:tc>
        <w:tc>
          <w:tcPr>
            <w:tcW w:w="429" w:type="dxa"/>
            <w:tcBorders>
              <w:top w:val="nil"/>
              <w:left w:val="nil"/>
              <w:bottom w:val="single" w:sz="4" w:space="0" w:color="auto"/>
              <w:right w:val="single" w:sz="4" w:space="0" w:color="auto"/>
            </w:tcBorders>
            <w:shd w:val="clear" w:color="000000" w:fill="FFFF99"/>
            <w:noWrap/>
            <w:vAlign w:val="center"/>
            <w:hideMark/>
          </w:tcPr>
          <w:p w14:paraId="249FBDE7" w14:textId="77777777" w:rsidR="005E671C" w:rsidRPr="005E671C" w:rsidRDefault="005E671C" w:rsidP="005E671C">
            <w:pPr>
              <w:spacing w:after="0" w:line="240" w:lineRule="auto"/>
              <w:jc w:val="center"/>
              <w:rPr>
                <w:rFonts w:ascii="Calibri" w:eastAsia="Times New Roman" w:hAnsi="Calibri" w:cs="Calibri"/>
                <w:lang w:eastAsia="hr-HR"/>
              </w:rPr>
            </w:pPr>
            <w:r w:rsidRPr="005E671C">
              <w:rPr>
                <w:rFonts w:ascii="Calibri" w:eastAsia="Times New Roman" w:hAnsi="Calibri" w:cs="Calibri"/>
                <w:lang w:eastAsia="hr-HR"/>
              </w:rPr>
              <w:t>0</w:t>
            </w:r>
          </w:p>
        </w:tc>
        <w:tc>
          <w:tcPr>
            <w:tcW w:w="581" w:type="dxa"/>
            <w:tcBorders>
              <w:top w:val="nil"/>
              <w:left w:val="nil"/>
              <w:bottom w:val="single" w:sz="4" w:space="0" w:color="auto"/>
              <w:right w:val="single" w:sz="4" w:space="0" w:color="auto"/>
            </w:tcBorders>
            <w:shd w:val="clear" w:color="000000" w:fill="FFFF99"/>
            <w:noWrap/>
            <w:vAlign w:val="center"/>
            <w:hideMark/>
          </w:tcPr>
          <w:p w14:paraId="1F450DF4" w14:textId="77777777" w:rsidR="005E671C" w:rsidRPr="005E671C" w:rsidRDefault="005E671C" w:rsidP="005E671C">
            <w:pPr>
              <w:spacing w:after="0" w:line="240" w:lineRule="auto"/>
              <w:jc w:val="center"/>
              <w:rPr>
                <w:rFonts w:ascii="Calibri" w:eastAsia="Times New Roman" w:hAnsi="Calibri" w:cs="Calibri"/>
                <w:lang w:eastAsia="hr-HR"/>
              </w:rPr>
            </w:pPr>
            <w:r w:rsidRPr="005E671C">
              <w:rPr>
                <w:rFonts w:ascii="Calibri" w:eastAsia="Times New Roman" w:hAnsi="Calibri" w:cs="Calibri"/>
                <w:lang w:eastAsia="hr-HR"/>
              </w:rPr>
              <w:t>4</w:t>
            </w:r>
          </w:p>
        </w:tc>
        <w:tc>
          <w:tcPr>
            <w:tcW w:w="556" w:type="dxa"/>
            <w:gridSpan w:val="2"/>
            <w:tcBorders>
              <w:top w:val="nil"/>
              <w:left w:val="nil"/>
              <w:bottom w:val="single" w:sz="4" w:space="0" w:color="auto"/>
              <w:right w:val="single" w:sz="4" w:space="0" w:color="auto"/>
            </w:tcBorders>
            <w:shd w:val="clear" w:color="000000" w:fill="FF9900"/>
            <w:noWrap/>
            <w:vAlign w:val="center"/>
            <w:hideMark/>
          </w:tcPr>
          <w:p w14:paraId="3735049C" w14:textId="77777777" w:rsidR="005E671C" w:rsidRPr="005E671C" w:rsidRDefault="005E671C" w:rsidP="005E671C">
            <w:pPr>
              <w:spacing w:after="0" w:line="240" w:lineRule="auto"/>
              <w:jc w:val="center"/>
              <w:rPr>
                <w:rFonts w:ascii="Calibri" w:eastAsia="Times New Roman" w:hAnsi="Calibri" w:cs="Calibri"/>
                <w:lang w:eastAsia="hr-HR"/>
              </w:rPr>
            </w:pPr>
            <w:r w:rsidRPr="005E671C">
              <w:rPr>
                <w:rFonts w:ascii="Calibri" w:eastAsia="Times New Roman" w:hAnsi="Calibri" w:cs="Calibri"/>
                <w:lang w:eastAsia="hr-HR"/>
              </w:rPr>
              <w:t>17</w:t>
            </w:r>
          </w:p>
        </w:tc>
        <w:tc>
          <w:tcPr>
            <w:tcW w:w="574" w:type="dxa"/>
            <w:tcBorders>
              <w:top w:val="nil"/>
              <w:left w:val="nil"/>
              <w:bottom w:val="single" w:sz="4" w:space="0" w:color="auto"/>
              <w:right w:val="single" w:sz="4" w:space="0" w:color="auto"/>
            </w:tcBorders>
            <w:shd w:val="clear" w:color="000000" w:fill="FF9900"/>
            <w:noWrap/>
            <w:vAlign w:val="center"/>
            <w:hideMark/>
          </w:tcPr>
          <w:p w14:paraId="07FEACA4" w14:textId="77777777" w:rsidR="005E671C" w:rsidRPr="005E671C" w:rsidRDefault="005E671C" w:rsidP="005E671C">
            <w:pPr>
              <w:spacing w:after="0" w:line="240" w:lineRule="auto"/>
              <w:jc w:val="center"/>
              <w:rPr>
                <w:rFonts w:ascii="Calibri" w:eastAsia="Times New Roman" w:hAnsi="Calibri" w:cs="Calibri"/>
                <w:lang w:eastAsia="hr-HR"/>
              </w:rPr>
            </w:pPr>
            <w:r w:rsidRPr="005E671C">
              <w:rPr>
                <w:rFonts w:ascii="Calibri" w:eastAsia="Times New Roman" w:hAnsi="Calibri" w:cs="Calibri"/>
                <w:lang w:eastAsia="hr-HR"/>
              </w:rPr>
              <w:t>7</w:t>
            </w:r>
          </w:p>
        </w:tc>
        <w:tc>
          <w:tcPr>
            <w:tcW w:w="434" w:type="dxa"/>
            <w:tcBorders>
              <w:top w:val="nil"/>
              <w:left w:val="nil"/>
              <w:bottom w:val="single" w:sz="4" w:space="0" w:color="auto"/>
              <w:right w:val="single" w:sz="4" w:space="0" w:color="auto"/>
            </w:tcBorders>
            <w:shd w:val="clear" w:color="000000" w:fill="FF9900"/>
            <w:noWrap/>
            <w:vAlign w:val="center"/>
            <w:hideMark/>
          </w:tcPr>
          <w:p w14:paraId="5031CC7F" w14:textId="77777777" w:rsidR="005E671C" w:rsidRPr="005E671C" w:rsidRDefault="005E671C" w:rsidP="005E671C">
            <w:pPr>
              <w:spacing w:after="0" w:line="240" w:lineRule="auto"/>
              <w:jc w:val="center"/>
              <w:rPr>
                <w:rFonts w:ascii="Calibri" w:eastAsia="Times New Roman" w:hAnsi="Calibri" w:cs="Calibri"/>
                <w:lang w:eastAsia="hr-HR"/>
              </w:rPr>
            </w:pPr>
            <w:r w:rsidRPr="005E671C">
              <w:rPr>
                <w:rFonts w:ascii="Calibri" w:eastAsia="Times New Roman" w:hAnsi="Calibri" w:cs="Calibri"/>
                <w:lang w:eastAsia="hr-HR"/>
              </w:rPr>
              <w:t>0</w:t>
            </w:r>
          </w:p>
        </w:tc>
        <w:tc>
          <w:tcPr>
            <w:tcW w:w="443" w:type="dxa"/>
            <w:gridSpan w:val="2"/>
            <w:tcBorders>
              <w:top w:val="nil"/>
              <w:left w:val="nil"/>
              <w:bottom w:val="single" w:sz="4" w:space="0" w:color="auto"/>
              <w:right w:val="single" w:sz="4" w:space="0" w:color="auto"/>
            </w:tcBorders>
            <w:shd w:val="clear" w:color="000000" w:fill="66FFCC"/>
            <w:noWrap/>
            <w:vAlign w:val="center"/>
            <w:hideMark/>
          </w:tcPr>
          <w:p w14:paraId="217EF177" w14:textId="77777777" w:rsidR="005E671C" w:rsidRPr="005E671C" w:rsidRDefault="005E671C" w:rsidP="005E671C">
            <w:pPr>
              <w:spacing w:after="0" w:line="240" w:lineRule="auto"/>
              <w:jc w:val="center"/>
              <w:rPr>
                <w:rFonts w:ascii="Calibri" w:eastAsia="Times New Roman" w:hAnsi="Calibri" w:cs="Calibri"/>
                <w:lang w:eastAsia="hr-HR"/>
              </w:rPr>
            </w:pPr>
            <w:r w:rsidRPr="005E671C">
              <w:rPr>
                <w:rFonts w:ascii="Calibri" w:eastAsia="Times New Roman" w:hAnsi="Calibri" w:cs="Calibri"/>
                <w:lang w:eastAsia="hr-HR"/>
              </w:rPr>
              <w:t>1</w:t>
            </w:r>
          </w:p>
        </w:tc>
        <w:tc>
          <w:tcPr>
            <w:tcW w:w="698" w:type="dxa"/>
            <w:tcBorders>
              <w:top w:val="nil"/>
              <w:left w:val="nil"/>
              <w:bottom w:val="single" w:sz="4" w:space="0" w:color="auto"/>
              <w:right w:val="single" w:sz="4" w:space="0" w:color="auto"/>
            </w:tcBorders>
            <w:shd w:val="clear" w:color="000000" w:fill="66FFCC"/>
            <w:noWrap/>
            <w:vAlign w:val="center"/>
            <w:hideMark/>
          </w:tcPr>
          <w:p w14:paraId="1E022718" w14:textId="77777777" w:rsidR="005E671C" w:rsidRPr="005E671C" w:rsidRDefault="005E671C" w:rsidP="005E671C">
            <w:pPr>
              <w:spacing w:after="0" w:line="240" w:lineRule="auto"/>
              <w:jc w:val="center"/>
              <w:rPr>
                <w:rFonts w:ascii="Calibri" w:eastAsia="Times New Roman" w:hAnsi="Calibri" w:cs="Calibri"/>
                <w:lang w:eastAsia="hr-HR"/>
              </w:rPr>
            </w:pPr>
            <w:r w:rsidRPr="005E671C">
              <w:rPr>
                <w:rFonts w:ascii="Calibri" w:eastAsia="Times New Roman" w:hAnsi="Calibri" w:cs="Calibri"/>
                <w:lang w:eastAsia="hr-HR"/>
              </w:rPr>
              <w:t>16</w:t>
            </w:r>
          </w:p>
        </w:tc>
        <w:tc>
          <w:tcPr>
            <w:tcW w:w="574" w:type="dxa"/>
            <w:tcBorders>
              <w:top w:val="nil"/>
              <w:left w:val="nil"/>
              <w:bottom w:val="single" w:sz="4" w:space="0" w:color="auto"/>
              <w:right w:val="single" w:sz="4" w:space="0" w:color="auto"/>
            </w:tcBorders>
            <w:shd w:val="clear" w:color="000000" w:fill="66FFCC"/>
            <w:noWrap/>
            <w:vAlign w:val="center"/>
            <w:hideMark/>
          </w:tcPr>
          <w:p w14:paraId="53A2746C" w14:textId="77777777" w:rsidR="005E671C" w:rsidRPr="005E671C" w:rsidRDefault="005E671C" w:rsidP="005E671C">
            <w:pPr>
              <w:spacing w:after="0" w:line="240" w:lineRule="auto"/>
              <w:jc w:val="center"/>
              <w:rPr>
                <w:rFonts w:ascii="Calibri" w:eastAsia="Times New Roman" w:hAnsi="Calibri" w:cs="Calibri"/>
                <w:lang w:eastAsia="hr-HR"/>
              </w:rPr>
            </w:pPr>
            <w:r w:rsidRPr="005E671C">
              <w:rPr>
                <w:rFonts w:ascii="Calibri" w:eastAsia="Times New Roman" w:hAnsi="Calibri" w:cs="Calibri"/>
                <w:lang w:eastAsia="hr-HR"/>
              </w:rPr>
              <w:t>0</w:t>
            </w:r>
          </w:p>
        </w:tc>
        <w:tc>
          <w:tcPr>
            <w:tcW w:w="560" w:type="dxa"/>
            <w:tcBorders>
              <w:top w:val="nil"/>
              <w:left w:val="nil"/>
              <w:bottom w:val="single" w:sz="4" w:space="0" w:color="auto"/>
              <w:right w:val="single" w:sz="4" w:space="0" w:color="auto"/>
            </w:tcBorders>
            <w:shd w:val="clear" w:color="000000" w:fill="66FFCC"/>
            <w:noWrap/>
            <w:vAlign w:val="center"/>
            <w:hideMark/>
          </w:tcPr>
          <w:p w14:paraId="1A592FA0" w14:textId="77777777" w:rsidR="005E671C" w:rsidRPr="005E671C" w:rsidRDefault="005E671C" w:rsidP="005E671C">
            <w:pPr>
              <w:spacing w:after="0" w:line="240" w:lineRule="auto"/>
              <w:jc w:val="center"/>
              <w:rPr>
                <w:rFonts w:ascii="Calibri" w:eastAsia="Times New Roman" w:hAnsi="Calibri" w:cs="Calibri"/>
                <w:lang w:eastAsia="hr-HR"/>
              </w:rPr>
            </w:pPr>
            <w:r w:rsidRPr="005E671C">
              <w:rPr>
                <w:rFonts w:ascii="Calibri" w:eastAsia="Times New Roman" w:hAnsi="Calibri" w:cs="Calibri"/>
                <w:lang w:eastAsia="hr-HR"/>
              </w:rPr>
              <w:t>17</w:t>
            </w:r>
          </w:p>
        </w:tc>
        <w:tc>
          <w:tcPr>
            <w:tcW w:w="430" w:type="dxa"/>
            <w:gridSpan w:val="2"/>
            <w:tcBorders>
              <w:top w:val="nil"/>
              <w:left w:val="nil"/>
              <w:bottom w:val="single" w:sz="4" w:space="0" w:color="auto"/>
              <w:right w:val="single" w:sz="4" w:space="0" w:color="auto"/>
            </w:tcBorders>
            <w:shd w:val="clear" w:color="000000" w:fill="FFFF00"/>
            <w:vAlign w:val="center"/>
            <w:hideMark/>
          </w:tcPr>
          <w:p w14:paraId="6A84BF2D" w14:textId="77777777" w:rsidR="005E671C" w:rsidRPr="005E671C" w:rsidRDefault="005E671C" w:rsidP="005E671C">
            <w:pPr>
              <w:spacing w:after="0" w:line="240" w:lineRule="auto"/>
              <w:jc w:val="center"/>
              <w:rPr>
                <w:rFonts w:ascii="Calibri" w:eastAsia="Times New Roman" w:hAnsi="Calibri" w:cs="Calibri"/>
                <w:lang w:eastAsia="hr-HR"/>
              </w:rPr>
            </w:pPr>
            <w:r w:rsidRPr="005E671C">
              <w:rPr>
                <w:rFonts w:ascii="Calibri" w:eastAsia="Times New Roman" w:hAnsi="Calibri" w:cs="Calibri"/>
                <w:lang w:eastAsia="hr-HR"/>
              </w:rPr>
              <w:t>24</w:t>
            </w:r>
          </w:p>
        </w:tc>
        <w:tc>
          <w:tcPr>
            <w:tcW w:w="425" w:type="dxa"/>
            <w:gridSpan w:val="2"/>
            <w:tcBorders>
              <w:top w:val="nil"/>
              <w:left w:val="nil"/>
              <w:bottom w:val="single" w:sz="4" w:space="0" w:color="auto"/>
              <w:right w:val="single" w:sz="4" w:space="0" w:color="auto"/>
            </w:tcBorders>
            <w:shd w:val="clear" w:color="000000" w:fill="FFFF99"/>
            <w:vAlign w:val="center"/>
            <w:hideMark/>
          </w:tcPr>
          <w:p w14:paraId="01A70814" w14:textId="77777777" w:rsidR="005E671C" w:rsidRPr="005E671C" w:rsidRDefault="005E671C" w:rsidP="005E671C">
            <w:pPr>
              <w:spacing w:after="0" w:line="240" w:lineRule="auto"/>
              <w:jc w:val="center"/>
              <w:rPr>
                <w:rFonts w:ascii="Calibri" w:eastAsia="Times New Roman" w:hAnsi="Calibri" w:cs="Calibri"/>
                <w:lang w:eastAsia="hr-HR"/>
              </w:rPr>
            </w:pPr>
            <w:r w:rsidRPr="005E671C">
              <w:rPr>
                <w:rFonts w:ascii="Calibri" w:eastAsia="Times New Roman" w:hAnsi="Calibri" w:cs="Calibri"/>
                <w:lang w:eastAsia="hr-HR"/>
              </w:rPr>
              <w:t>19</w:t>
            </w:r>
          </w:p>
        </w:tc>
        <w:tc>
          <w:tcPr>
            <w:tcW w:w="540" w:type="dxa"/>
            <w:gridSpan w:val="2"/>
            <w:tcBorders>
              <w:top w:val="nil"/>
              <w:left w:val="nil"/>
              <w:bottom w:val="single" w:sz="4" w:space="0" w:color="auto"/>
              <w:right w:val="single" w:sz="4" w:space="0" w:color="auto"/>
            </w:tcBorders>
            <w:shd w:val="clear" w:color="000000" w:fill="FF9900"/>
            <w:vAlign w:val="center"/>
            <w:hideMark/>
          </w:tcPr>
          <w:p w14:paraId="7FED9BDD" w14:textId="77777777" w:rsidR="005E671C" w:rsidRPr="005E671C" w:rsidRDefault="005E671C" w:rsidP="005E671C">
            <w:pPr>
              <w:spacing w:after="0" w:line="240" w:lineRule="auto"/>
              <w:jc w:val="center"/>
              <w:rPr>
                <w:rFonts w:ascii="Calibri" w:eastAsia="Times New Roman" w:hAnsi="Calibri" w:cs="Calibri"/>
                <w:lang w:eastAsia="hr-HR"/>
              </w:rPr>
            </w:pPr>
            <w:r w:rsidRPr="005E671C">
              <w:rPr>
                <w:rFonts w:ascii="Calibri" w:eastAsia="Times New Roman" w:hAnsi="Calibri" w:cs="Calibri"/>
                <w:lang w:eastAsia="hr-HR"/>
              </w:rPr>
              <w:t>17</w:t>
            </w:r>
          </w:p>
        </w:tc>
        <w:tc>
          <w:tcPr>
            <w:tcW w:w="435" w:type="dxa"/>
            <w:tcBorders>
              <w:top w:val="nil"/>
              <w:left w:val="nil"/>
              <w:bottom w:val="single" w:sz="4" w:space="0" w:color="auto"/>
              <w:right w:val="single" w:sz="4" w:space="0" w:color="auto"/>
            </w:tcBorders>
            <w:shd w:val="clear" w:color="000000" w:fill="CCFFFF"/>
            <w:vAlign w:val="center"/>
            <w:hideMark/>
          </w:tcPr>
          <w:p w14:paraId="59815AC1" w14:textId="77777777" w:rsidR="005E671C" w:rsidRPr="005E671C" w:rsidRDefault="005E671C" w:rsidP="005E671C">
            <w:pPr>
              <w:spacing w:after="0" w:line="240" w:lineRule="auto"/>
              <w:jc w:val="center"/>
              <w:rPr>
                <w:rFonts w:ascii="Calibri" w:eastAsia="Times New Roman" w:hAnsi="Calibri" w:cs="Calibri"/>
                <w:lang w:eastAsia="hr-HR"/>
              </w:rPr>
            </w:pPr>
            <w:r w:rsidRPr="005E671C">
              <w:rPr>
                <w:rFonts w:ascii="Calibri" w:eastAsia="Times New Roman" w:hAnsi="Calibri" w:cs="Calibri"/>
                <w:lang w:eastAsia="hr-HR"/>
              </w:rPr>
              <w:t>12</w:t>
            </w:r>
          </w:p>
        </w:tc>
        <w:tc>
          <w:tcPr>
            <w:tcW w:w="655" w:type="dxa"/>
            <w:tcBorders>
              <w:top w:val="nil"/>
              <w:left w:val="nil"/>
              <w:bottom w:val="single" w:sz="4" w:space="0" w:color="auto"/>
              <w:right w:val="single" w:sz="4" w:space="0" w:color="auto"/>
            </w:tcBorders>
            <w:shd w:val="clear" w:color="000000" w:fill="CCFFFF"/>
            <w:vAlign w:val="center"/>
            <w:hideMark/>
          </w:tcPr>
          <w:p w14:paraId="52839207" w14:textId="77777777" w:rsidR="005E671C" w:rsidRPr="005E671C" w:rsidRDefault="005E671C" w:rsidP="005E671C">
            <w:pPr>
              <w:spacing w:after="0" w:line="240" w:lineRule="auto"/>
              <w:jc w:val="center"/>
              <w:rPr>
                <w:rFonts w:ascii="Calibri" w:eastAsia="Times New Roman" w:hAnsi="Calibri" w:cs="Calibri"/>
                <w:lang w:eastAsia="hr-HR"/>
              </w:rPr>
            </w:pPr>
            <w:r w:rsidRPr="005E671C">
              <w:rPr>
                <w:rFonts w:ascii="Calibri" w:eastAsia="Times New Roman" w:hAnsi="Calibri" w:cs="Calibri"/>
                <w:lang w:eastAsia="hr-HR"/>
              </w:rPr>
              <w:t>10</w:t>
            </w:r>
          </w:p>
        </w:tc>
        <w:tc>
          <w:tcPr>
            <w:tcW w:w="645" w:type="dxa"/>
            <w:tcBorders>
              <w:top w:val="nil"/>
              <w:left w:val="nil"/>
              <w:bottom w:val="single" w:sz="4" w:space="0" w:color="auto"/>
              <w:right w:val="single" w:sz="4" w:space="0" w:color="auto"/>
            </w:tcBorders>
            <w:shd w:val="clear" w:color="000000" w:fill="CCFFFF"/>
            <w:vAlign w:val="center"/>
            <w:hideMark/>
          </w:tcPr>
          <w:p w14:paraId="1C85F04F" w14:textId="77777777" w:rsidR="005E671C" w:rsidRPr="005E671C" w:rsidRDefault="005E671C" w:rsidP="005E671C">
            <w:pPr>
              <w:spacing w:after="0" w:line="240" w:lineRule="auto"/>
              <w:jc w:val="center"/>
              <w:rPr>
                <w:rFonts w:ascii="Calibri" w:eastAsia="Times New Roman" w:hAnsi="Calibri" w:cs="Calibri"/>
                <w:lang w:eastAsia="hr-HR"/>
              </w:rPr>
            </w:pPr>
            <w:r w:rsidRPr="005E671C">
              <w:rPr>
                <w:rFonts w:ascii="Calibri" w:eastAsia="Times New Roman" w:hAnsi="Calibri" w:cs="Calibri"/>
                <w:lang w:eastAsia="hr-HR"/>
              </w:rPr>
              <w:t>1</w:t>
            </w:r>
          </w:p>
        </w:tc>
        <w:tc>
          <w:tcPr>
            <w:tcW w:w="699" w:type="dxa"/>
            <w:tcBorders>
              <w:top w:val="nil"/>
              <w:left w:val="nil"/>
              <w:bottom w:val="single" w:sz="4" w:space="0" w:color="auto"/>
              <w:right w:val="nil"/>
            </w:tcBorders>
            <w:shd w:val="clear" w:color="000000" w:fill="33CCCC"/>
            <w:noWrap/>
            <w:vAlign w:val="center"/>
            <w:hideMark/>
          </w:tcPr>
          <w:p w14:paraId="5960D167" w14:textId="77777777" w:rsidR="005E671C" w:rsidRPr="005E671C" w:rsidRDefault="005E671C" w:rsidP="005E671C">
            <w:pPr>
              <w:spacing w:after="0" w:line="240" w:lineRule="auto"/>
              <w:jc w:val="center"/>
              <w:rPr>
                <w:rFonts w:ascii="Calibri" w:eastAsia="Times New Roman" w:hAnsi="Calibri" w:cs="Calibri"/>
                <w:lang w:eastAsia="hr-HR"/>
              </w:rPr>
            </w:pPr>
            <w:r w:rsidRPr="005E671C">
              <w:rPr>
                <w:rFonts w:ascii="Calibri" w:eastAsia="Times New Roman" w:hAnsi="Calibri" w:cs="Calibri"/>
                <w:lang w:eastAsia="hr-HR"/>
              </w:rPr>
              <w:t>20</w:t>
            </w:r>
          </w:p>
        </w:tc>
        <w:tc>
          <w:tcPr>
            <w:tcW w:w="700" w:type="dxa"/>
            <w:tcBorders>
              <w:top w:val="nil"/>
              <w:left w:val="single" w:sz="4" w:space="0" w:color="auto"/>
              <w:bottom w:val="single" w:sz="4" w:space="0" w:color="auto"/>
              <w:right w:val="single" w:sz="8" w:space="0" w:color="auto"/>
            </w:tcBorders>
            <w:shd w:val="clear" w:color="000000" w:fill="33CCCC"/>
            <w:noWrap/>
            <w:vAlign w:val="center"/>
            <w:hideMark/>
          </w:tcPr>
          <w:p w14:paraId="724E39ED" w14:textId="77777777" w:rsidR="005E671C" w:rsidRPr="005E671C" w:rsidRDefault="005E671C" w:rsidP="005E671C">
            <w:pPr>
              <w:spacing w:after="0" w:line="240" w:lineRule="auto"/>
              <w:jc w:val="center"/>
              <w:rPr>
                <w:rFonts w:ascii="Calibri" w:eastAsia="Times New Roman" w:hAnsi="Calibri" w:cs="Calibri"/>
                <w:lang w:eastAsia="hr-HR"/>
              </w:rPr>
            </w:pPr>
            <w:r w:rsidRPr="005E671C">
              <w:rPr>
                <w:rFonts w:ascii="Calibri" w:eastAsia="Times New Roman" w:hAnsi="Calibri" w:cs="Calibri"/>
                <w:lang w:eastAsia="hr-HR"/>
              </w:rPr>
              <w:t>4</w:t>
            </w:r>
          </w:p>
        </w:tc>
        <w:tc>
          <w:tcPr>
            <w:tcW w:w="239" w:type="dxa"/>
            <w:gridSpan w:val="2"/>
            <w:vAlign w:val="center"/>
            <w:hideMark/>
          </w:tcPr>
          <w:p w14:paraId="3E112D50" w14:textId="77777777" w:rsidR="005E671C" w:rsidRPr="005E671C" w:rsidRDefault="005E671C" w:rsidP="005E671C">
            <w:pPr>
              <w:spacing w:after="0" w:line="240" w:lineRule="auto"/>
              <w:rPr>
                <w:rFonts w:ascii="Times New Roman" w:eastAsia="Times New Roman" w:hAnsi="Times New Roman" w:cs="Times New Roman"/>
                <w:sz w:val="20"/>
                <w:szCs w:val="20"/>
                <w:lang w:eastAsia="hr-HR"/>
              </w:rPr>
            </w:pPr>
          </w:p>
        </w:tc>
      </w:tr>
      <w:tr w:rsidR="005E671C" w:rsidRPr="005E671C" w14:paraId="462658B1" w14:textId="77777777" w:rsidTr="001752B7">
        <w:trPr>
          <w:gridAfter w:val="1"/>
          <w:wAfter w:w="23" w:type="dxa"/>
          <w:trHeight w:val="300"/>
        </w:trPr>
        <w:tc>
          <w:tcPr>
            <w:tcW w:w="1408" w:type="dxa"/>
            <w:tcBorders>
              <w:top w:val="single" w:sz="4" w:space="0" w:color="auto"/>
              <w:left w:val="single" w:sz="8" w:space="0" w:color="auto"/>
              <w:bottom w:val="single" w:sz="4" w:space="0" w:color="auto"/>
              <w:right w:val="single" w:sz="4" w:space="0" w:color="auto"/>
            </w:tcBorders>
            <w:shd w:val="clear" w:color="000000" w:fill="CCFFCC"/>
            <w:vAlign w:val="center"/>
            <w:hideMark/>
          </w:tcPr>
          <w:p w14:paraId="1E1C14B3" w14:textId="77777777" w:rsidR="005E671C" w:rsidRPr="005E671C" w:rsidRDefault="005E671C" w:rsidP="005E671C">
            <w:pPr>
              <w:spacing w:after="0" w:line="240" w:lineRule="auto"/>
              <w:jc w:val="center"/>
              <w:rPr>
                <w:rFonts w:ascii="Calibri" w:eastAsia="Times New Roman" w:hAnsi="Calibri" w:cs="Calibri"/>
                <w:lang w:eastAsia="hr-HR"/>
              </w:rPr>
            </w:pPr>
            <w:r w:rsidRPr="005E671C">
              <w:rPr>
                <w:rFonts w:ascii="Calibri" w:eastAsia="Times New Roman" w:hAnsi="Calibri" w:cs="Calibri"/>
                <w:lang w:eastAsia="hr-HR"/>
              </w:rPr>
              <w:lastRenderedPageBreak/>
              <w:t>Spol</w:t>
            </w:r>
          </w:p>
        </w:tc>
        <w:tc>
          <w:tcPr>
            <w:tcW w:w="595" w:type="dxa"/>
            <w:tcBorders>
              <w:top w:val="nil"/>
              <w:left w:val="nil"/>
              <w:bottom w:val="single" w:sz="4" w:space="0" w:color="auto"/>
              <w:right w:val="single" w:sz="4" w:space="0" w:color="auto"/>
            </w:tcBorders>
            <w:shd w:val="clear" w:color="000000" w:fill="CCFFCC"/>
            <w:vAlign w:val="center"/>
            <w:hideMark/>
          </w:tcPr>
          <w:p w14:paraId="3652CB8E" w14:textId="77777777" w:rsidR="005E671C" w:rsidRPr="005E671C" w:rsidRDefault="005E671C" w:rsidP="005E671C">
            <w:pPr>
              <w:spacing w:after="0" w:line="240" w:lineRule="auto"/>
              <w:jc w:val="center"/>
              <w:rPr>
                <w:rFonts w:ascii="Calibri" w:eastAsia="Times New Roman" w:hAnsi="Calibri" w:cs="Calibri"/>
                <w:lang w:eastAsia="hr-HR"/>
              </w:rPr>
            </w:pPr>
            <w:r w:rsidRPr="005E671C">
              <w:rPr>
                <w:rFonts w:ascii="Calibri" w:eastAsia="Times New Roman" w:hAnsi="Calibri" w:cs="Calibri"/>
                <w:lang w:eastAsia="hr-HR"/>
              </w:rPr>
              <w:t>17</w:t>
            </w:r>
          </w:p>
        </w:tc>
        <w:tc>
          <w:tcPr>
            <w:tcW w:w="549" w:type="dxa"/>
            <w:tcBorders>
              <w:top w:val="nil"/>
              <w:left w:val="nil"/>
              <w:bottom w:val="single" w:sz="4" w:space="0" w:color="auto"/>
              <w:right w:val="single" w:sz="4" w:space="0" w:color="auto"/>
            </w:tcBorders>
            <w:shd w:val="clear" w:color="000000" w:fill="FFCC99"/>
            <w:noWrap/>
            <w:vAlign w:val="center"/>
            <w:hideMark/>
          </w:tcPr>
          <w:p w14:paraId="2157C6BA" w14:textId="77777777" w:rsidR="005E671C" w:rsidRPr="005E671C" w:rsidRDefault="005E671C" w:rsidP="005E671C">
            <w:pPr>
              <w:spacing w:after="0" w:line="240" w:lineRule="auto"/>
              <w:jc w:val="center"/>
              <w:rPr>
                <w:rFonts w:ascii="Calibri" w:eastAsia="Times New Roman" w:hAnsi="Calibri" w:cs="Calibri"/>
                <w:lang w:eastAsia="hr-HR"/>
              </w:rPr>
            </w:pPr>
            <w:r w:rsidRPr="005E671C">
              <w:rPr>
                <w:rFonts w:ascii="Calibri" w:eastAsia="Times New Roman" w:hAnsi="Calibri" w:cs="Calibri"/>
                <w:lang w:eastAsia="hr-HR"/>
              </w:rPr>
              <w:t>16</w:t>
            </w:r>
          </w:p>
        </w:tc>
        <w:tc>
          <w:tcPr>
            <w:tcW w:w="441" w:type="dxa"/>
            <w:tcBorders>
              <w:top w:val="nil"/>
              <w:left w:val="nil"/>
              <w:bottom w:val="single" w:sz="4" w:space="0" w:color="auto"/>
              <w:right w:val="single" w:sz="4" w:space="0" w:color="auto"/>
            </w:tcBorders>
            <w:shd w:val="clear" w:color="000000" w:fill="CCFFFF"/>
            <w:noWrap/>
            <w:vAlign w:val="center"/>
            <w:hideMark/>
          </w:tcPr>
          <w:p w14:paraId="3F6F93A1" w14:textId="77777777" w:rsidR="005E671C" w:rsidRPr="005E671C" w:rsidRDefault="005E671C" w:rsidP="005E671C">
            <w:pPr>
              <w:spacing w:after="0" w:line="240" w:lineRule="auto"/>
              <w:jc w:val="center"/>
              <w:rPr>
                <w:rFonts w:ascii="Calibri" w:eastAsia="Times New Roman" w:hAnsi="Calibri" w:cs="Calibri"/>
                <w:lang w:eastAsia="hr-HR"/>
              </w:rPr>
            </w:pPr>
            <w:r w:rsidRPr="005E671C">
              <w:rPr>
                <w:rFonts w:ascii="Calibri" w:eastAsia="Times New Roman" w:hAnsi="Calibri" w:cs="Calibri"/>
                <w:lang w:eastAsia="hr-HR"/>
              </w:rPr>
              <w:t>16</w:t>
            </w:r>
          </w:p>
        </w:tc>
        <w:tc>
          <w:tcPr>
            <w:tcW w:w="432" w:type="dxa"/>
            <w:tcBorders>
              <w:top w:val="nil"/>
              <w:left w:val="nil"/>
              <w:bottom w:val="single" w:sz="4" w:space="0" w:color="auto"/>
              <w:right w:val="single" w:sz="4" w:space="0" w:color="auto"/>
            </w:tcBorders>
            <w:shd w:val="clear" w:color="000000" w:fill="CCFFFF"/>
            <w:noWrap/>
            <w:vAlign w:val="center"/>
            <w:hideMark/>
          </w:tcPr>
          <w:p w14:paraId="367F5AF6" w14:textId="77777777" w:rsidR="005E671C" w:rsidRPr="005E671C" w:rsidRDefault="005E671C" w:rsidP="005E671C">
            <w:pPr>
              <w:spacing w:after="0" w:line="240" w:lineRule="auto"/>
              <w:jc w:val="center"/>
              <w:rPr>
                <w:rFonts w:ascii="Calibri" w:eastAsia="Times New Roman" w:hAnsi="Calibri" w:cs="Calibri"/>
                <w:lang w:eastAsia="hr-HR"/>
              </w:rPr>
            </w:pPr>
            <w:r w:rsidRPr="005E671C">
              <w:rPr>
                <w:rFonts w:ascii="Calibri" w:eastAsia="Times New Roman" w:hAnsi="Calibri" w:cs="Calibri"/>
                <w:lang w:eastAsia="hr-HR"/>
              </w:rPr>
              <w:t>6</w:t>
            </w:r>
          </w:p>
        </w:tc>
        <w:tc>
          <w:tcPr>
            <w:tcW w:w="421" w:type="dxa"/>
            <w:gridSpan w:val="2"/>
            <w:tcBorders>
              <w:top w:val="nil"/>
              <w:left w:val="nil"/>
              <w:bottom w:val="single" w:sz="4" w:space="0" w:color="auto"/>
              <w:right w:val="single" w:sz="4" w:space="0" w:color="auto"/>
            </w:tcBorders>
            <w:shd w:val="clear" w:color="000000" w:fill="FFFF99"/>
            <w:noWrap/>
            <w:vAlign w:val="center"/>
            <w:hideMark/>
          </w:tcPr>
          <w:p w14:paraId="4ED1502E" w14:textId="77777777" w:rsidR="005E671C" w:rsidRPr="005E671C" w:rsidRDefault="005E671C" w:rsidP="005E671C">
            <w:pPr>
              <w:spacing w:after="0" w:line="240" w:lineRule="auto"/>
              <w:jc w:val="center"/>
              <w:rPr>
                <w:rFonts w:ascii="Calibri" w:eastAsia="Times New Roman" w:hAnsi="Calibri" w:cs="Calibri"/>
                <w:lang w:eastAsia="hr-HR"/>
              </w:rPr>
            </w:pPr>
            <w:r w:rsidRPr="005E671C">
              <w:rPr>
                <w:rFonts w:ascii="Calibri" w:eastAsia="Times New Roman" w:hAnsi="Calibri" w:cs="Calibri"/>
                <w:lang w:eastAsia="hr-HR"/>
              </w:rPr>
              <w:t>4</w:t>
            </w:r>
          </w:p>
        </w:tc>
        <w:tc>
          <w:tcPr>
            <w:tcW w:w="431" w:type="dxa"/>
            <w:tcBorders>
              <w:top w:val="nil"/>
              <w:left w:val="nil"/>
              <w:bottom w:val="single" w:sz="4" w:space="0" w:color="auto"/>
              <w:right w:val="single" w:sz="4" w:space="0" w:color="auto"/>
            </w:tcBorders>
            <w:shd w:val="clear" w:color="000000" w:fill="FFFF99"/>
            <w:noWrap/>
            <w:vAlign w:val="center"/>
            <w:hideMark/>
          </w:tcPr>
          <w:p w14:paraId="4EFDD31F" w14:textId="77777777" w:rsidR="005E671C" w:rsidRPr="005E671C" w:rsidRDefault="005E671C" w:rsidP="005E671C">
            <w:pPr>
              <w:spacing w:after="0" w:line="240" w:lineRule="auto"/>
              <w:jc w:val="center"/>
              <w:rPr>
                <w:rFonts w:ascii="Calibri" w:eastAsia="Times New Roman" w:hAnsi="Calibri" w:cs="Calibri"/>
                <w:lang w:eastAsia="hr-HR"/>
              </w:rPr>
            </w:pPr>
            <w:r w:rsidRPr="005E671C">
              <w:rPr>
                <w:rFonts w:ascii="Calibri" w:eastAsia="Times New Roman" w:hAnsi="Calibri" w:cs="Calibri"/>
                <w:lang w:eastAsia="hr-HR"/>
              </w:rPr>
              <w:t>0</w:t>
            </w:r>
          </w:p>
        </w:tc>
        <w:tc>
          <w:tcPr>
            <w:tcW w:w="420" w:type="dxa"/>
            <w:tcBorders>
              <w:top w:val="nil"/>
              <w:left w:val="nil"/>
              <w:bottom w:val="single" w:sz="4" w:space="0" w:color="auto"/>
              <w:right w:val="single" w:sz="4" w:space="0" w:color="auto"/>
            </w:tcBorders>
            <w:shd w:val="clear" w:color="000000" w:fill="FFFF99"/>
            <w:noWrap/>
            <w:vAlign w:val="center"/>
            <w:hideMark/>
          </w:tcPr>
          <w:p w14:paraId="7A992101" w14:textId="77777777" w:rsidR="005E671C" w:rsidRPr="005E671C" w:rsidRDefault="005E671C" w:rsidP="005E671C">
            <w:pPr>
              <w:spacing w:after="0" w:line="240" w:lineRule="auto"/>
              <w:jc w:val="center"/>
              <w:rPr>
                <w:rFonts w:ascii="Calibri" w:eastAsia="Times New Roman" w:hAnsi="Calibri" w:cs="Calibri"/>
                <w:lang w:eastAsia="hr-HR"/>
              </w:rPr>
            </w:pPr>
            <w:r w:rsidRPr="005E671C">
              <w:rPr>
                <w:rFonts w:ascii="Calibri" w:eastAsia="Times New Roman" w:hAnsi="Calibri" w:cs="Calibri"/>
                <w:lang w:eastAsia="hr-HR"/>
              </w:rPr>
              <w:t>0</w:t>
            </w:r>
          </w:p>
        </w:tc>
        <w:tc>
          <w:tcPr>
            <w:tcW w:w="429" w:type="dxa"/>
            <w:tcBorders>
              <w:top w:val="nil"/>
              <w:left w:val="nil"/>
              <w:bottom w:val="single" w:sz="4" w:space="0" w:color="auto"/>
              <w:right w:val="single" w:sz="4" w:space="0" w:color="auto"/>
            </w:tcBorders>
            <w:shd w:val="clear" w:color="000000" w:fill="FFFF99"/>
            <w:noWrap/>
            <w:vAlign w:val="center"/>
            <w:hideMark/>
          </w:tcPr>
          <w:p w14:paraId="5F940DE9" w14:textId="77777777" w:rsidR="005E671C" w:rsidRPr="005E671C" w:rsidRDefault="005E671C" w:rsidP="005E671C">
            <w:pPr>
              <w:spacing w:after="0" w:line="240" w:lineRule="auto"/>
              <w:jc w:val="center"/>
              <w:rPr>
                <w:rFonts w:ascii="Calibri" w:eastAsia="Times New Roman" w:hAnsi="Calibri" w:cs="Calibri"/>
                <w:lang w:eastAsia="hr-HR"/>
              </w:rPr>
            </w:pPr>
            <w:r w:rsidRPr="005E671C">
              <w:rPr>
                <w:rFonts w:ascii="Calibri" w:eastAsia="Times New Roman" w:hAnsi="Calibri" w:cs="Calibri"/>
                <w:lang w:eastAsia="hr-HR"/>
              </w:rPr>
              <w:t>0</w:t>
            </w:r>
          </w:p>
        </w:tc>
        <w:tc>
          <w:tcPr>
            <w:tcW w:w="581" w:type="dxa"/>
            <w:tcBorders>
              <w:top w:val="nil"/>
              <w:left w:val="nil"/>
              <w:bottom w:val="single" w:sz="4" w:space="0" w:color="auto"/>
              <w:right w:val="single" w:sz="4" w:space="0" w:color="auto"/>
            </w:tcBorders>
            <w:shd w:val="clear" w:color="000000" w:fill="FFFF99"/>
            <w:noWrap/>
            <w:vAlign w:val="center"/>
            <w:hideMark/>
          </w:tcPr>
          <w:p w14:paraId="4DE688DF" w14:textId="77777777" w:rsidR="005E671C" w:rsidRPr="005E671C" w:rsidRDefault="005E671C" w:rsidP="005E671C">
            <w:pPr>
              <w:spacing w:after="0" w:line="240" w:lineRule="auto"/>
              <w:jc w:val="center"/>
              <w:rPr>
                <w:rFonts w:ascii="Calibri" w:eastAsia="Times New Roman" w:hAnsi="Calibri" w:cs="Calibri"/>
                <w:lang w:eastAsia="hr-HR"/>
              </w:rPr>
            </w:pPr>
            <w:r w:rsidRPr="005E671C">
              <w:rPr>
                <w:rFonts w:ascii="Calibri" w:eastAsia="Times New Roman" w:hAnsi="Calibri" w:cs="Calibri"/>
                <w:lang w:eastAsia="hr-HR"/>
              </w:rPr>
              <w:t>12</w:t>
            </w:r>
          </w:p>
        </w:tc>
        <w:tc>
          <w:tcPr>
            <w:tcW w:w="556" w:type="dxa"/>
            <w:gridSpan w:val="2"/>
            <w:tcBorders>
              <w:top w:val="nil"/>
              <w:left w:val="nil"/>
              <w:bottom w:val="single" w:sz="4" w:space="0" w:color="auto"/>
              <w:right w:val="single" w:sz="4" w:space="0" w:color="auto"/>
            </w:tcBorders>
            <w:shd w:val="clear" w:color="000000" w:fill="FF9900"/>
            <w:noWrap/>
            <w:vAlign w:val="center"/>
            <w:hideMark/>
          </w:tcPr>
          <w:p w14:paraId="201DBC10" w14:textId="77777777" w:rsidR="005E671C" w:rsidRPr="005E671C" w:rsidRDefault="005E671C" w:rsidP="005E671C">
            <w:pPr>
              <w:spacing w:after="0" w:line="240" w:lineRule="auto"/>
              <w:jc w:val="center"/>
              <w:rPr>
                <w:rFonts w:ascii="Calibri" w:eastAsia="Times New Roman" w:hAnsi="Calibri" w:cs="Calibri"/>
                <w:lang w:eastAsia="hr-HR"/>
              </w:rPr>
            </w:pPr>
            <w:r w:rsidRPr="005E671C">
              <w:rPr>
                <w:rFonts w:ascii="Calibri" w:eastAsia="Times New Roman" w:hAnsi="Calibri" w:cs="Calibri"/>
                <w:lang w:eastAsia="hr-HR"/>
              </w:rPr>
              <w:t>12</w:t>
            </w:r>
          </w:p>
        </w:tc>
        <w:tc>
          <w:tcPr>
            <w:tcW w:w="574" w:type="dxa"/>
            <w:tcBorders>
              <w:top w:val="nil"/>
              <w:left w:val="nil"/>
              <w:bottom w:val="single" w:sz="4" w:space="0" w:color="auto"/>
              <w:right w:val="single" w:sz="4" w:space="0" w:color="auto"/>
            </w:tcBorders>
            <w:shd w:val="clear" w:color="000000" w:fill="FF9900"/>
            <w:noWrap/>
            <w:vAlign w:val="center"/>
            <w:hideMark/>
          </w:tcPr>
          <w:p w14:paraId="2FC47E9E" w14:textId="77777777" w:rsidR="005E671C" w:rsidRPr="005E671C" w:rsidRDefault="005E671C" w:rsidP="005E671C">
            <w:pPr>
              <w:spacing w:after="0" w:line="240" w:lineRule="auto"/>
              <w:jc w:val="center"/>
              <w:rPr>
                <w:rFonts w:ascii="Calibri" w:eastAsia="Times New Roman" w:hAnsi="Calibri" w:cs="Calibri"/>
                <w:lang w:eastAsia="hr-HR"/>
              </w:rPr>
            </w:pPr>
            <w:r w:rsidRPr="005E671C">
              <w:rPr>
                <w:rFonts w:ascii="Calibri" w:eastAsia="Times New Roman" w:hAnsi="Calibri" w:cs="Calibri"/>
                <w:lang w:eastAsia="hr-HR"/>
              </w:rPr>
              <w:t>2</w:t>
            </w:r>
          </w:p>
        </w:tc>
        <w:tc>
          <w:tcPr>
            <w:tcW w:w="434" w:type="dxa"/>
            <w:tcBorders>
              <w:top w:val="nil"/>
              <w:left w:val="nil"/>
              <w:bottom w:val="single" w:sz="4" w:space="0" w:color="auto"/>
              <w:right w:val="single" w:sz="4" w:space="0" w:color="auto"/>
            </w:tcBorders>
            <w:shd w:val="clear" w:color="000000" w:fill="FF9900"/>
            <w:noWrap/>
            <w:vAlign w:val="center"/>
            <w:hideMark/>
          </w:tcPr>
          <w:p w14:paraId="203A2DD8" w14:textId="77777777" w:rsidR="005E671C" w:rsidRPr="005E671C" w:rsidRDefault="005E671C" w:rsidP="005E671C">
            <w:pPr>
              <w:spacing w:after="0" w:line="240" w:lineRule="auto"/>
              <w:jc w:val="center"/>
              <w:rPr>
                <w:rFonts w:ascii="Calibri" w:eastAsia="Times New Roman" w:hAnsi="Calibri" w:cs="Calibri"/>
                <w:lang w:eastAsia="hr-HR"/>
              </w:rPr>
            </w:pPr>
            <w:r w:rsidRPr="005E671C">
              <w:rPr>
                <w:rFonts w:ascii="Calibri" w:eastAsia="Times New Roman" w:hAnsi="Calibri" w:cs="Calibri"/>
                <w:lang w:eastAsia="hr-HR"/>
              </w:rPr>
              <w:t>0</w:t>
            </w:r>
          </w:p>
        </w:tc>
        <w:tc>
          <w:tcPr>
            <w:tcW w:w="443" w:type="dxa"/>
            <w:gridSpan w:val="2"/>
            <w:tcBorders>
              <w:top w:val="nil"/>
              <w:left w:val="nil"/>
              <w:bottom w:val="single" w:sz="4" w:space="0" w:color="auto"/>
              <w:right w:val="single" w:sz="4" w:space="0" w:color="auto"/>
            </w:tcBorders>
            <w:shd w:val="clear" w:color="000000" w:fill="66FFCC"/>
            <w:noWrap/>
            <w:vAlign w:val="center"/>
            <w:hideMark/>
          </w:tcPr>
          <w:p w14:paraId="72FD8504" w14:textId="77777777" w:rsidR="005E671C" w:rsidRPr="005E671C" w:rsidRDefault="005E671C" w:rsidP="005E671C">
            <w:pPr>
              <w:spacing w:after="0" w:line="240" w:lineRule="auto"/>
              <w:jc w:val="center"/>
              <w:rPr>
                <w:rFonts w:ascii="Calibri" w:eastAsia="Times New Roman" w:hAnsi="Calibri" w:cs="Calibri"/>
                <w:lang w:eastAsia="hr-HR"/>
              </w:rPr>
            </w:pPr>
            <w:r w:rsidRPr="005E671C">
              <w:rPr>
                <w:rFonts w:ascii="Calibri" w:eastAsia="Times New Roman" w:hAnsi="Calibri" w:cs="Calibri"/>
                <w:lang w:eastAsia="hr-HR"/>
              </w:rPr>
              <w:t>0</w:t>
            </w:r>
          </w:p>
        </w:tc>
        <w:tc>
          <w:tcPr>
            <w:tcW w:w="698" w:type="dxa"/>
            <w:tcBorders>
              <w:top w:val="nil"/>
              <w:left w:val="nil"/>
              <w:bottom w:val="single" w:sz="4" w:space="0" w:color="auto"/>
              <w:right w:val="single" w:sz="4" w:space="0" w:color="auto"/>
            </w:tcBorders>
            <w:shd w:val="clear" w:color="000000" w:fill="66FFCC"/>
            <w:noWrap/>
            <w:vAlign w:val="center"/>
            <w:hideMark/>
          </w:tcPr>
          <w:p w14:paraId="02E4EA96" w14:textId="77777777" w:rsidR="005E671C" w:rsidRPr="005E671C" w:rsidRDefault="005E671C" w:rsidP="005E671C">
            <w:pPr>
              <w:spacing w:after="0" w:line="240" w:lineRule="auto"/>
              <w:jc w:val="center"/>
              <w:rPr>
                <w:rFonts w:ascii="Calibri" w:eastAsia="Times New Roman" w:hAnsi="Calibri" w:cs="Calibri"/>
                <w:lang w:eastAsia="hr-HR"/>
              </w:rPr>
            </w:pPr>
            <w:r w:rsidRPr="005E671C">
              <w:rPr>
                <w:rFonts w:ascii="Calibri" w:eastAsia="Times New Roman" w:hAnsi="Calibri" w:cs="Calibri"/>
                <w:lang w:eastAsia="hr-HR"/>
              </w:rPr>
              <w:t>12</w:t>
            </w:r>
          </w:p>
        </w:tc>
        <w:tc>
          <w:tcPr>
            <w:tcW w:w="574" w:type="dxa"/>
            <w:tcBorders>
              <w:top w:val="nil"/>
              <w:left w:val="nil"/>
              <w:bottom w:val="single" w:sz="4" w:space="0" w:color="auto"/>
              <w:right w:val="single" w:sz="4" w:space="0" w:color="auto"/>
            </w:tcBorders>
            <w:shd w:val="clear" w:color="000000" w:fill="66FFCC"/>
            <w:noWrap/>
            <w:vAlign w:val="center"/>
            <w:hideMark/>
          </w:tcPr>
          <w:p w14:paraId="230820FC" w14:textId="77777777" w:rsidR="005E671C" w:rsidRPr="005E671C" w:rsidRDefault="005E671C" w:rsidP="005E671C">
            <w:pPr>
              <w:spacing w:after="0" w:line="240" w:lineRule="auto"/>
              <w:jc w:val="center"/>
              <w:rPr>
                <w:rFonts w:ascii="Calibri" w:eastAsia="Times New Roman" w:hAnsi="Calibri" w:cs="Calibri"/>
                <w:lang w:eastAsia="hr-HR"/>
              </w:rPr>
            </w:pPr>
            <w:r w:rsidRPr="005E671C">
              <w:rPr>
                <w:rFonts w:ascii="Calibri" w:eastAsia="Times New Roman" w:hAnsi="Calibri" w:cs="Calibri"/>
                <w:lang w:eastAsia="hr-HR"/>
              </w:rPr>
              <w:t>0</w:t>
            </w:r>
          </w:p>
        </w:tc>
        <w:tc>
          <w:tcPr>
            <w:tcW w:w="560" w:type="dxa"/>
            <w:tcBorders>
              <w:top w:val="nil"/>
              <w:left w:val="nil"/>
              <w:bottom w:val="single" w:sz="4" w:space="0" w:color="auto"/>
              <w:right w:val="single" w:sz="4" w:space="0" w:color="auto"/>
            </w:tcBorders>
            <w:shd w:val="clear" w:color="000000" w:fill="66FFCC"/>
            <w:noWrap/>
            <w:vAlign w:val="center"/>
            <w:hideMark/>
          </w:tcPr>
          <w:p w14:paraId="09E628A3" w14:textId="77777777" w:rsidR="005E671C" w:rsidRPr="005E671C" w:rsidRDefault="005E671C" w:rsidP="005E671C">
            <w:pPr>
              <w:spacing w:after="0" w:line="240" w:lineRule="auto"/>
              <w:jc w:val="center"/>
              <w:rPr>
                <w:rFonts w:ascii="Calibri" w:eastAsia="Times New Roman" w:hAnsi="Calibri" w:cs="Calibri"/>
                <w:lang w:eastAsia="hr-HR"/>
              </w:rPr>
            </w:pPr>
            <w:r w:rsidRPr="005E671C">
              <w:rPr>
                <w:rFonts w:ascii="Calibri" w:eastAsia="Times New Roman" w:hAnsi="Calibri" w:cs="Calibri"/>
                <w:lang w:eastAsia="hr-HR"/>
              </w:rPr>
              <w:t>12</w:t>
            </w:r>
          </w:p>
        </w:tc>
        <w:tc>
          <w:tcPr>
            <w:tcW w:w="430" w:type="dxa"/>
            <w:gridSpan w:val="2"/>
            <w:tcBorders>
              <w:top w:val="nil"/>
              <w:left w:val="nil"/>
              <w:bottom w:val="single" w:sz="4" w:space="0" w:color="auto"/>
              <w:right w:val="single" w:sz="4" w:space="0" w:color="auto"/>
            </w:tcBorders>
            <w:shd w:val="clear" w:color="000000" w:fill="FFFF00"/>
            <w:vAlign w:val="center"/>
            <w:hideMark/>
          </w:tcPr>
          <w:p w14:paraId="5DB1AB76" w14:textId="77777777" w:rsidR="005E671C" w:rsidRPr="005E671C" w:rsidRDefault="005E671C" w:rsidP="005E671C">
            <w:pPr>
              <w:spacing w:after="0" w:line="240" w:lineRule="auto"/>
              <w:jc w:val="center"/>
              <w:rPr>
                <w:rFonts w:ascii="Calibri" w:eastAsia="Times New Roman" w:hAnsi="Calibri" w:cs="Calibri"/>
                <w:lang w:eastAsia="hr-HR"/>
              </w:rPr>
            </w:pPr>
            <w:r w:rsidRPr="005E671C">
              <w:rPr>
                <w:rFonts w:ascii="Calibri" w:eastAsia="Times New Roman" w:hAnsi="Calibri" w:cs="Calibri"/>
                <w:lang w:eastAsia="hr-HR"/>
              </w:rPr>
              <w:t>14</w:t>
            </w:r>
          </w:p>
        </w:tc>
        <w:tc>
          <w:tcPr>
            <w:tcW w:w="425" w:type="dxa"/>
            <w:gridSpan w:val="2"/>
            <w:tcBorders>
              <w:top w:val="nil"/>
              <w:left w:val="nil"/>
              <w:bottom w:val="single" w:sz="4" w:space="0" w:color="auto"/>
              <w:right w:val="single" w:sz="4" w:space="0" w:color="auto"/>
            </w:tcBorders>
            <w:shd w:val="clear" w:color="000000" w:fill="FFFF99"/>
            <w:vAlign w:val="center"/>
            <w:hideMark/>
          </w:tcPr>
          <w:p w14:paraId="040BBB31" w14:textId="77777777" w:rsidR="005E671C" w:rsidRPr="005E671C" w:rsidRDefault="005E671C" w:rsidP="005E671C">
            <w:pPr>
              <w:spacing w:after="0" w:line="240" w:lineRule="auto"/>
              <w:jc w:val="center"/>
              <w:rPr>
                <w:rFonts w:ascii="Calibri" w:eastAsia="Times New Roman" w:hAnsi="Calibri" w:cs="Calibri"/>
                <w:lang w:eastAsia="hr-HR"/>
              </w:rPr>
            </w:pPr>
            <w:r w:rsidRPr="005E671C">
              <w:rPr>
                <w:rFonts w:ascii="Calibri" w:eastAsia="Times New Roman" w:hAnsi="Calibri" w:cs="Calibri"/>
                <w:lang w:eastAsia="hr-HR"/>
              </w:rPr>
              <w:t>19</w:t>
            </w:r>
          </w:p>
        </w:tc>
        <w:tc>
          <w:tcPr>
            <w:tcW w:w="540" w:type="dxa"/>
            <w:gridSpan w:val="2"/>
            <w:tcBorders>
              <w:top w:val="nil"/>
              <w:left w:val="nil"/>
              <w:bottom w:val="single" w:sz="4" w:space="0" w:color="auto"/>
              <w:right w:val="single" w:sz="4" w:space="0" w:color="auto"/>
            </w:tcBorders>
            <w:shd w:val="clear" w:color="000000" w:fill="FF9900"/>
            <w:vAlign w:val="center"/>
            <w:hideMark/>
          </w:tcPr>
          <w:p w14:paraId="5118FACD" w14:textId="77777777" w:rsidR="005E671C" w:rsidRPr="005E671C" w:rsidRDefault="005E671C" w:rsidP="005E671C">
            <w:pPr>
              <w:spacing w:after="0" w:line="240" w:lineRule="auto"/>
              <w:jc w:val="center"/>
              <w:rPr>
                <w:rFonts w:ascii="Calibri" w:eastAsia="Times New Roman" w:hAnsi="Calibri" w:cs="Calibri"/>
                <w:lang w:eastAsia="hr-HR"/>
              </w:rPr>
            </w:pPr>
            <w:r w:rsidRPr="005E671C">
              <w:rPr>
                <w:rFonts w:ascii="Calibri" w:eastAsia="Times New Roman" w:hAnsi="Calibri" w:cs="Calibri"/>
                <w:lang w:eastAsia="hr-HR"/>
              </w:rPr>
              <w:t>13</w:t>
            </w:r>
          </w:p>
        </w:tc>
        <w:tc>
          <w:tcPr>
            <w:tcW w:w="435" w:type="dxa"/>
            <w:tcBorders>
              <w:top w:val="nil"/>
              <w:left w:val="nil"/>
              <w:bottom w:val="single" w:sz="4" w:space="0" w:color="auto"/>
              <w:right w:val="single" w:sz="4" w:space="0" w:color="auto"/>
            </w:tcBorders>
            <w:shd w:val="clear" w:color="000000" w:fill="CCFFFF"/>
            <w:vAlign w:val="center"/>
            <w:hideMark/>
          </w:tcPr>
          <w:p w14:paraId="465A668F" w14:textId="77777777" w:rsidR="005E671C" w:rsidRPr="005E671C" w:rsidRDefault="005E671C" w:rsidP="005E671C">
            <w:pPr>
              <w:spacing w:after="0" w:line="240" w:lineRule="auto"/>
              <w:jc w:val="center"/>
              <w:rPr>
                <w:rFonts w:ascii="Calibri" w:eastAsia="Times New Roman" w:hAnsi="Calibri" w:cs="Calibri"/>
                <w:lang w:eastAsia="hr-HR"/>
              </w:rPr>
            </w:pPr>
            <w:r w:rsidRPr="005E671C">
              <w:rPr>
                <w:rFonts w:ascii="Calibri" w:eastAsia="Times New Roman" w:hAnsi="Calibri" w:cs="Calibri"/>
                <w:lang w:eastAsia="hr-HR"/>
              </w:rPr>
              <w:t>21</w:t>
            </w:r>
          </w:p>
        </w:tc>
        <w:tc>
          <w:tcPr>
            <w:tcW w:w="655" w:type="dxa"/>
            <w:tcBorders>
              <w:top w:val="nil"/>
              <w:left w:val="nil"/>
              <w:bottom w:val="single" w:sz="4" w:space="0" w:color="auto"/>
              <w:right w:val="single" w:sz="4" w:space="0" w:color="auto"/>
            </w:tcBorders>
            <w:shd w:val="clear" w:color="000000" w:fill="CCFFFF"/>
            <w:vAlign w:val="center"/>
            <w:hideMark/>
          </w:tcPr>
          <w:p w14:paraId="151D5EDC" w14:textId="77777777" w:rsidR="005E671C" w:rsidRPr="005E671C" w:rsidRDefault="005E671C" w:rsidP="005E671C">
            <w:pPr>
              <w:spacing w:after="0" w:line="240" w:lineRule="auto"/>
              <w:jc w:val="center"/>
              <w:rPr>
                <w:rFonts w:ascii="Calibri" w:eastAsia="Times New Roman" w:hAnsi="Calibri" w:cs="Calibri"/>
                <w:lang w:eastAsia="hr-HR"/>
              </w:rPr>
            </w:pPr>
            <w:r w:rsidRPr="005E671C">
              <w:rPr>
                <w:rFonts w:ascii="Calibri" w:eastAsia="Times New Roman" w:hAnsi="Calibri" w:cs="Calibri"/>
                <w:lang w:eastAsia="hr-HR"/>
              </w:rPr>
              <w:t>4</w:t>
            </w:r>
          </w:p>
        </w:tc>
        <w:tc>
          <w:tcPr>
            <w:tcW w:w="645" w:type="dxa"/>
            <w:tcBorders>
              <w:top w:val="nil"/>
              <w:left w:val="nil"/>
              <w:bottom w:val="single" w:sz="4" w:space="0" w:color="auto"/>
              <w:right w:val="single" w:sz="4" w:space="0" w:color="auto"/>
            </w:tcBorders>
            <w:shd w:val="clear" w:color="000000" w:fill="CCFFFF"/>
            <w:vAlign w:val="center"/>
            <w:hideMark/>
          </w:tcPr>
          <w:p w14:paraId="22CCC869" w14:textId="77777777" w:rsidR="005E671C" w:rsidRPr="005E671C" w:rsidRDefault="005E671C" w:rsidP="005E671C">
            <w:pPr>
              <w:spacing w:after="0" w:line="240" w:lineRule="auto"/>
              <w:jc w:val="center"/>
              <w:rPr>
                <w:rFonts w:ascii="Calibri" w:eastAsia="Times New Roman" w:hAnsi="Calibri" w:cs="Calibri"/>
                <w:lang w:eastAsia="hr-HR"/>
              </w:rPr>
            </w:pPr>
            <w:r w:rsidRPr="005E671C">
              <w:rPr>
                <w:rFonts w:ascii="Calibri" w:eastAsia="Times New Roman" w:hAnsi="Calibri" w:cs="Calibri"/>
                <w:lang w:eastAsia="hr-HR"/>
              </w:rPr>
              <w:t>0</w:t>
            </w:r>
          </w:p>
        </w:tc>
        <w:tc>
          <w:tcPr>
            <w:tcW w:w="699" w:type="dxa"/>
            <w:tcBorders>
              <w:top w:val="nil"/>
              <w:left w:val="nil"/>
              <w:bottom w:val="single" w:sz="4" w:space="0" w:color="auto"/>
              <w:right w:val="nil"/>
            </w:tcBorders>
            <w:shd w:val="clear" w:color="000000" w:fill="33CCCC"/>
            <w:noWrap/>
            <w:vAlign w:val="center"/>
            <w:hideMark/>
          </w:tcPr>
          <w:p w14:paraId="2531173F" w14:textId="77777777" w:rsidR="005E671C" w:rsidRPr="005E671C" w:rsidRDefault="005E671C" w:rsidP="005E671C">
            <w:pPr>
              <w:spacing w:after="0" w:line="240" w:lineRule="auto"/>
              <w:jc w:val="center"/>
              <w:rPr>
                <w:rFonts w:ascii="Calibri" w:eastAsia="Times New Roman" w:hAnsi="Calibri" w:cs="Calibri"/>
                <w:lang w:eastAsia="hr-HR"/>
              </w:rPr>
            </w:pPr>
            <w:r w:rsidRPr="005E671C">
              <w:rPr>
                <w:rFonts w:ascii="Calibri" w:eastAsia="Times New Roman" w:hAnsi="Calibri" w:cs="Calibri"/>
                <w:lang w:eastAsia="hr-HR"/>
              </w:rPr>
              <w:t>9</w:t>
            </w:r>
          </w:p>
        </w:tc>
        <w:tc>
          <w:tcPr>
            <w:tcW w:w="700" w:type="dxa"/>
            <w:tcBorders>
              <w:top w:val="nil"/>
              <w:left w:val="single" w:sz="4" w:space="0" w:color="auto"/>
              <w:bottom w:val="single" w:sz="4" w:space="0" w:color="auto"/>
              <w:right w:val="single" w:sz="8" w:space="0" w:color="auto"/>
            </w:tcBorders>
            <w:shd w:val="clear" w:color="000000" w:fill="33CCCC"/>
            <w:noWrap/>
            <w:vAlign w:val="center"/>
            <w:hideMark/>
          </w:tcPr>
          <w:p w14:paraId="6755A114" w14:textId="77777777" w:rsidR="005E671C" w:rsidRPr="005E671C" w:rsidRDefault="005E671C" w:rsidP="005E671C">
            <w:pPr>
              <w:spacing w:after="0" w:line="240" w:lineRule="auto"/>
              <w:jc w:val="center"/>
              <w:rPr>
                <w:rFonts w:ascii="Calibri" w:eastAsia="Times New Roman" w:hAnsi="Calibri" w:cs="Calibri"/>
                <w:lang w:eastAsia="hr-HR"/>
              </w:rPr>
            </w:pPr>
            <w:r w:rsidRPr="005E671C">
              <w:rPr>
                <w:rFonts w:ascii="Calibri" w:eastAsia="Times New Roman" w:hAnsi="Calibri" w:cs="Calibri"/>
                <w:lang w:eastAsia="hr-HR"/>
              </w:rPr>
              <w:t>5</w:t>
            </w:r>
          </w:p>
        </w:tc>
        <w:tc>
          <w:tcPr>
            <w:tcW w:w="239" w:type="dxa"/>
            <w:gridSpan w:val="2"/>
            <w:vAlign w:val="center"/>
            <w:hideMark/>
          </w:tcPr>
          <w:p w14:paraId="5B116A42" w14:textId="77777777" w:rsidR="005E671C" w:rsidRPr="005E671C" w:rsidRDefault="005E671C" w:rsidP="005E671C">
            <w:pPr>
              <w:spacing w:after="0" w:line="240" w:lineRule="auto"/>
              <w:rPr>
                <w:rFonts w:ascii="Times New Roman" w:eastAsia="Times New Roman" w:hAnsi="Times New Roman" w:cs="Times New Roman"/>
                <w:sz w:val="20"/>
                <w:szCs w:val="20"/>
                <w:lang w:eastAsia="hr-HR"/>
              </w:rPr>
            </w:pPr>
          </w:p>
        </w:tc>
      </w:tr>
      <w:tr w:rsidR="005E671C" w:rsidRPr="005E671C" w14:paraId="5C10204F" w14:textId="77777777" w:rsidTr="001752B7">
        <w:trPr>
          <w:gridAfter w:val="1"/>
          <w:wAfter w:w="23" w:type="dxa"/>
          <w:trHeight w:val="300"/>
        </w:trPr>
        <w:tc>
          <w:tcPr>
            <w:tcW w:w="1408" w:type="dxa"/>
            <w:tcBorders>
              <w:top w:val="single" w:sz="4" w:space="0" w:color="auto"/>
              <w:left w:val="single" w:sz="8" w:space="0" w:color="auto"/>
              <w:bottom w:val="single" w:sz="4" w:space="0" w:color="auto"/>
              <w:right w:val="single" w:sz="4" w:space="0" w:color="auto"/>
            </w:tcBorders>
            <w:shd w:val="clear" w:color="000000" w:fill="CCFFCC"/>
            <w:vAlign w:val="center"/>
            <w:hideMark/>
          </w:tcPr>
          <w:p w14:paraId="48255BA9" w14:textId="77777777" w:rsidR="005E671C" w:rsidRPr="005E671C" w:rsidRDefault="005E671C" w:rsidP="005E671C">
            <w:pPr>
              <w:spacing w:after="0" w:line="240" w:lineRule="auto"/>
              <w:jc w:val="center"/>
              <w:rPr>
                <w:rFonts w:ascii="Calibri" w:eastAsia="Times New Roman" w:hAnsi="Calibri" w:cs="Calibri"/>
                <w:lang w:eastAsia="hr-HR"/>
              </w:rPr>
            </w:pPr>
            <w:r w:rsidRPr="005E671C">
              <w:rPr>
                <w:rFonts w:ascii="Calibri" w:eastAsia="Times New Roman" w:hAnsi="Calibri" w:cs="Calibri"/>
                <w:lang w:eastAsia="hr-HR"/>
              </w:rPr>
              <w:t>Spolna orijentacija</w:t>
            </w:r>
          </w:p>
        </w:tc>
        <w:tc>
          <w:tcPr>
            <w:tcW w:w="595" w:type="dxa"/>
            <w:tcBorders>
              <w:top w:val="nil"/>
              <w:left w:val="nil"/>
              <w:bottom w:val="single" w:sz="4" w:space="0" w:color="auto"/>
              <w:right w:val="single" w:sz="4" w:space="0" w:color="auto"/>
            </w:tcBorders>
            <w:shd w:val="clear" w:color="000000" w:fill="CCFFCC"/>
            <w:vAlign w:val="center"/>
            <w:hideMark/>
          </w:tcPr>
          <w:p w14:paraId="5C3A48AC" w14:textId="77777777" w:rsidR="005E671C" w:rsidRPr="005E671C" w:rsidRDefault="005E671C" w:rsidP="005E671C">
            <w:pPr>
              <w:spacing w:after="0" w:line="240" w:lineRule="auto"/>
              <w:jc w:val="center"/>
              <w:rPr>
                <w:rFonts w:ascii="Calibri" w:eastAsia="Times New Roman" w:hAnsi="Calibri" w:cs="Calibri"/>
                <w:lang w:eastAsia="hr-HR"/>
              </w:rPr>
            </w:pPr>
            <w:r w:rsidRPr="005E671C">
              <w:rPr>
                <w:rFonts w:ascii="Calibri" w:eastAsia="Times New Roman" w:hAnsi="Calibri" w:cs="Calibri"/>
                <w:lang w:eastAsia="hr-HR"/>
              </w:rPr>
              <w:t>5</w:t>
            </w:r>
          </w:p>
        </w:tc>
        <w:tc>
          <w:tcPr>
            <w:tcW w:w="549" w:type="dxa"/>
            <w:tcBorders>
              <w:top w:val="nil"/>
              <w:left w:val="nil"/>
              <w:bottom w:val="single" w:sz="4" w:space="0" w:color="auto"/>
              <w:right w:val="single" w:sz="4" w:space="0" w:color="auto"/>
            </w:tcBorders>
            <w:shd w:val="clear" w:color="000000" w:fill="FFCC99"/>
            <w:noWrap/>
            <w:vAlign w:val="center"/>
            <w:hideMark/>
          </w:tcPr>
          <w:p w14:paraId="4302C600" w14:textId="77777777" w:rsidR="005E671C" w:rsidRPr="005E671C" w:rsidRDefault="005E671C" w:rsidP="005E671C">
            <w:pPr>
              <w:spacing w:after="0" w:line="240" w:lineRule="auto"/>
              <w:jc w:val="center"/>
              <w:rPr>
                <w:rFonts w:ascii="Calibri" w:eastAsia="Times New Roman" w:hAnsi="Calibri" w:cs="Calibri"/>
                <w:lang w:eastAsia="hr-HR"/>
              </w:rPr>
            </w:pPr>
            <w:r w:rsidRPr="005E671C">
              <w:rPr>
                <w:rFonts w:ascii="Calibri" w:eastAsia="Times New Roman" w:hAnsi="Calibri" w:cs="Calibri"/>
                <w:lang w:eastAsia="hr-HR"/>
              </w:rPr>
              <w:t>7</w:t>
            </w:r>
          </w:p>
        </w:tc>
        <w:tc>
          <w:tcPr>
            <w:tcW w:w="441" w:type="dxa"/>
            <w:tcBorders>
              <w:top w:val="nil"/>
              <w:left w:val="nil"/>
              <w:bottom w:val="single" w:sz="4" w:space="0" w:color="auto"/>
              <w:right w:val="single" w:sz="4" w:space="0" w:color="auto"/>
            </w:tcBorders>
            <w:shd w:val="clear" w:color="000000" w:fill="CCFFFF"/>
            <w:noWrap/>
            <w:vAlign w:val="center"/>
            <w:hideMark/>
          </w:tcPr>
          <w:p w14:paraId="5C72CDD5" w14:textId="77777777" w:rsidR="005E671C" w:rsidRPr="005E671C" w:rsidRDefault="005E671C" w:rsidP="005E671C">
            <w:pPr>
              <w:spacing w:after="0" w:line="240" w:lineRule="auto"/>
              <w:jc w:val="center"/>
              <w:rPr>
                <w:rFonts w:ascii="Calibri" w:eastAsia="Times New Roman" w:hAnsi="Calibri" w:cs="Calibri"/>
                <w:lang w:eastAsia="hr-HR"/>
              </w:rPr>
            </w:pPr>
            <w:r w:rsidRPr="005E671C">
              <w:rPr>
                <w:rFonts w:ascii="Calibri" w:eastAsia="Times New Roman" w:hAnsi="Calibri" w:cs="Calibri"/>
                <w:lang w:eastAsia="hr-HR"/>
              </w:rPr>
              <w:t>7</w:t>
            </w:r>
          </w:p>
        </w:tc>
        <w:tc>
          <w:tcPr>
            <w:tcW w:w="432" w:type="dxa"/>
            <w:tcBorders>
              <w:top w:val="nil"/>
              <w:left w:val="nil"/>
              <w:bottom w:val="single" w:sz="4" w:space="0" w:color="auto"/>
              <w:right w:val="single" w:sz="4" w:space="0" w:color="auto"/>
            </w:tcBorders>
            <w:shd w:val="clear" w:color="000000" w:fill="CCFFFF"/>
            <w:noWrap/>
            <w:vAlign w:val="center"/>
            <w:hideMark/>
          </w:tcPr>
          <w:p w14:paraId="3B4F4A6F" w14:textId="77777777" w:rsidR="005E671C" w:rsidRPr="005E671C" w:rsidRDefault="005E671C" w:rsidP="005E671C">
            <w:pPr>
              <w:spacing w:after="0" w:line="240" w:lineRule="auto"/>
              <w:jc w:val="center"/>
              <w:rPr>
                <w:rFonts w:ascii="Calibri" w:eastAsia="Times New Roman" w:hAnsi="Calibri" w:cs="Calibri"/>
                <w:lang w:eastAsia="hr-HR"/>
              </w:rPr>
            </w:pPr>
            <w:r w:rsidRPr="005E671C">
              <w:rPr>
                <w:rFonts w:ascii="Calibri" w:eastAsia="Times New Roman" w:hAnsi="Calibri" w:cs="Calibri"/>
                <w:lang w:eastAsia="hr-HR"/>
              </w:rPr>
              <w:t>3</w:t>
            </w:r>
          </w:p>
        </w:tc>
        <w:tc>
          <w:tcPr>
            <w:tcW w:w="421" w:type="dxa"/>
            <w:gridSpan w:val="2"/>
            <w:tcBorders>
              <w:top w:val="nil"/>
              <w:left w:val="nil"/>
              <w:bottom w:val="single" w:sz="4" w:space="0" w:color="auto"/>
              <w:right w:val="single" w:sz="4" w:space="0" w:color="auto"/>
            </w:tcBorders>
            <w:shd w:val="clear" w:color="000000" w:fill="FFFF99"/>
            <w:noWrap/>
            <w:vAlign w:val="center"/>
            <w:hideMark/>
          </w:tcPr>
          <w:p w14:paraId="6BE746EF" w14:textId="77777777" w:rsidR="005E671C" w:rsidRPr="005E671C" w:rsidRDefault="005E671C" w:rsidP="005E671C">
            <w:pPr>
              <w:spacing w:after="0" w:line="240" w:lineRule="auto"/>
              <w:jc w:val="center"/>
              <w:rPr>
                <w:rFonts w:ascii="Calibri" w:eastAsia="Times New Roman" w:hAnsi="Calibri" w:cs="Calibri"/>
                <w:lang w:eastAsia="hr-HR"/>
              </w:rPr>
            </w:pPr>
            <w:r w:rsidRPr="005E671C">
              <w:rPr>
                <w:rFonts w:ascii="Calibri" w:eastAsia="Times New Roman" w:hAnsi="Calibri" w:cs="Calibri"/>
                <w:lang w:eastAsia="hr-HR"/>
              </w:rPr>
              <w:t>6</w:t>
            </w:r>
          </w:p>
        </w:tc>
        <w:tc>
          <w:tcPr>
            <w:tcW w:w="431" w:type="dxa"/>
            <w:tcBorders>
              <w:top w:val="nil"/>
              <w:left w:val="nil"/>
              <w:bottom w:val="single" w:sz="4" w:space="0" w:color="auto"/>
              <w:right w:val="single" w:sz="4" w:space="0" w:color="auto"/>
            </w:tcBorders>
            <w:shd w:val="clear" w:color="000000" w:fill="FFFF99"/>
            <w:noWrap/>
            <w:vAlign w:val="center"/>
            <w:hideMark/>
          </w:tcPr>
          <w:p w14:paraId="22992B06" w14:textId="77777777" w:rsidR="005E671C" w:rsidRPr="005E671C" w:rsidRDefault="005E671C" w:rsidP="005E671C">
            <w:pPr>
              <w:spacing w:after="0" w:line="240" w:lineRule="auto"/>
              <w:jc w:val="center"/>
              <w:rPr>
                <w:rFonts w:ascii="Calibri" w:eastAsia="Times New Roman" w:hAnsi="Calibri" w:cs="Calibri"/>
                <w:lang w:eastAsia="hr-HR"/>
              </w:rPr>
            </w:pPr>
            <w:r w:rsidRPr="005E671C">
              <w:rPr>
                <w:rFonts w:ascii="Calibri" w:eastAsia="Times New Roman" w:hAnsi="Calibri" w:cs="Calibri"/>
                <w:lang w:eastAsia="hr-HR"/>
              </w:rPr>
              <w:t>1</w:t>
            </w:r>
          </w:p>
        </w:tc>
        <w:tc>
          <w:tcPr>
            <w:tcW w:w="420" w:type="dxa"/>
            <w:tcBorders>
              <w:top w:val="nil"/>
              <w:left w:val="nil"/>
              <w:bottom w:val="single" w:sz="4" w:space="0" w:color="auto"/>
              <w:right w:val="single" w:sz="4" w:space="0" w:color="auto"/>
            </w:tcBorders>
            <w:shd w:val="clear" w:color="000000" w:fill="FFFF99"/>
            <w:noWrap/>
            <w:vAlign w:val="center"/>
            <w:hideMark/>
          </w:tcPr>
          <w:p w14:paraId="691443BE" w14:textId="77777777" w:rsidR="005E671C" w:rsidRPr="005E671C" w:rsidRDefault="005E671C" w:rsidP="005E671C">
            <w:pPr>
              <w:spacing w:after="0" w:line="240" w:lineRule="auto"/>
              <w:jc w:val="center"/>
              <w:rPr>
                <w:rFonts w:ascii="Calibri" w:eastAsia="Times New Roman" w:hAnsi="Calibri" w:cs="Calibri"/>
                <w:lang w:eastAsia="hr-HR"/>
              </w:rPr>
            </w:pPr>
            <w:r w:rsidRPr="005E671C">
              <w:rPr>
                <w:rFonts w:ascii="Calibri" w:eastAsia="Times New Roman" w:hAnsi="Calibri" w:cs="Calibri"/>
                <w:lang w:eastAsia="hr-HR"/>
              </w:rPr>
              <w:t>0</w:t>
            </w:r>
          </w:p>
        </w:tc>
        <w:tc>
          <w:tcPr>
            <w:tcW w:w="429" w:type="dxa"/>
            <w:tcBorders>
              <w:top w:val="nil"/>
              <w:left w:val="nil"/>
              <w:bottom w:val="single" w:sz="4" w:space="0" w:color="auto"/>
              <w:right w:val="single" w:sz="4" w:space="0" w:color="auto"/>
            </w:tcBorders>
            <w:shd w:val="clear" w:color="000000" w:fill="FFFF99"/>
            <w:noWrap/>
            <w:vAlign w:val="center"/>
            <w:hideMark/>
          </w:tcPr>
          <w:p w14:paraId="4977C390" w14:textId="77777777" w:rsidR="005E671C" w:rsidRPr="005E671C" w:rsidRDefault="005E671C" w:rsidP="005E671C">
            <w:pPr>
              <w:spacing w:after="0" w:line="240" w:lineRule="auto"/>
              <w:jc w:val="center"/>
              <w:rPr>
                <w:rFonts w:ascii="Calibri" w:eastAsia="Times New Roman" w:hAnsi="Calibri" w:cs="Calibri"/>
                <w:lang w:eastAsia="hr-HR"/>
              </w:rPr>
            </w:pPr>
            <w:r w:rsidRPr="005E671C">
              <w:rPr>
                <w:rFonts w:ascii="Calibri" w:eastAsia="Times New Roman" w:hAnsi="Calibri" w:cs="Calibri"/>
                <w:lang w:eastAsia="hr-HR"/>
              </w:rPr>
              <w:t>0</w:t>
            </w:r>
          </w:p>
        </w:tc>
        <w:tc>
          <w:tcPr>
            <w:tcW w:w="581" w:type="dxa"/>
            <w:tcBorders>
              <w:top w:val="nil"/>
              <w:left w:val="nil"/>
              <w:bottom w:val="single" w:sz="4" w:space="0" w:color="auto"/>
              <w:right w:val="single" w:sz="4" w:space="0" w:color="auto"/>
            </w:tcBorders>
            <w:shd w:val="clear" w:color="000000" w:fill="FFFF99"/>
            <w:noWrap/>
            <w:vAlign w:val="center"/>
            <w:hideMark/>
          </w:tcPr>
          <w:p w14:paraId="1296489A" w14:textId="77777777" w:rsidR="005E671C" w:rsidRPr="005E671C" w:rsidRDefault="005E671C" w:rsidP="005E671C">
            <w:pPr>
              <w:spacing w:after="0" w:line="240" w:lineRule="auto"/>
              <w:jc w:val="center"/>
              <w:rPr>
                <w:rFonts w:ascii="Calibri" w:eastAsia="Times New Roman" w:hAnsi="Calibri" w:cs="Calibri"/>
                <w:lang w:eastAsia="hr-HR"/>
              </w:rPr>
            </w:pPr>
            <w:r w:rsidRPr="005E671C">
              <w:rPr>
                <w:rFonts w:ascii="Calibri" w:eastAsia="Times New Roman" w:hAnsi="Calibri" w:cs="Calibri"/>
                <w:lang w:eastAsia="hr-HR"/>
              </w:rPr>
              <w:t>1</w:t>
            </w:r>
          </w:p>
        </w:tc>
        <w:tc>
          <w:tcPr>
            <w:tcW w:w="556" w:type="dxa"/>
            <w:gridSpan w:val="2"/>
            <w:tcBorders>
              <w:top w:val="nil"/>
              <w:left w:val="nil"/>
              <w:bottom w:val="single" w:sz="4" w:space="0" w:color="auto"/>
              <w:right w:val="single" w:sz="4" w:space="0" w:color="auto"/>
            </w:tcBorders>
            <w:shd w:val="clear" w:color="000000" w:fill="FF9900"/>
            <w:noWrap/>
            <w:vAlign w:val="center"/>
            <w:hideMark/>
          </w:tcPr>
          <w:p w14:paraId="2A6BF4E4" w14:textId="77777777" w:rsidR="005E671C" w:rsidRPr="005E671C" w:rsidRDefault="005E671C" w:rsidP="005E671C">
            <w:pPr>
              <w:spacing w:after="0" w:line="240" w:lineRule="auto"/>
              <w:jc w:val="center"/>
              <w:rPr>
                <w:rFonts w:ascii="Calibri" w:eastAsia="Times New Roman" w:hAnsi="Calibri" w:cs="Calibri"/>
                <w:lang w:eastAsia="hr-HR"/>
              </w:rPr>
            </w:pPr>
            <w:r w:rsidRPr="005E671C">
              <w:rPr>
                <w:rFonts w:ascii="Calibri" w:eastAsia="Times New Roman" w:hAnsi="Calibri" w:cs="Calibri"/>
                <w:lang w:eastAsia="hr-HR"/>
              </w:rPr>
              <w:t>3</w:t>
            </w:r>
          </w:p>
        </w:tc>
        <w:tc>
          <w:tcPr>
            <w:tcW w:w="574" w:type="dxa"/>
            <w:tcBorders>
              <w:top w:val="nil"/>
              <w:left w:val="nil"/>
              <w:bottom w:val="single" w:sz="4" w:space="0" w:color="auto"/>
              <w:right w:val="single" w:sz="4" w:space="0" w:color="auto"/>
            </w:tcBorders>
            <w:shd w:val="clear" w:color="000000" w:fill="FF9900"/>
            <w:noWrap/>
            <w:vAlign w:val="center"/>
            <w:hideMark/>
          </w:tcPr>
          <w:p w14:paraId="0A9EAA78" w14:textId="77777777" w:rsidR="005E671C" w:rsidRPr="005E671C" w:rsidRDefault="005E671C" w:rsidP="005E671C">
            <w:pPr>
              <w:spacing w:after="0" w:line="240" w:lineRule="auto"/>
              <w:jc w:val="center"/>
              <w:rPr>
                <w:rFonts w:ascii="Calibri" w:eastAsia="Times New Roman" w:hAnsi="Calibri" w:cs="Calibri"/>
                <w:lang w:eastAsia="hr-HR"/>
              </w:rPr>
            </w:pPr>
            <w:r w:rsidRPr="005E671C">
              <w:rPr>
                <w:rFonts w:ascii="Calibri" w:eastAsia="Times New Roman" w:hAnsi="Calibri" w:cs="Calibri"/>
                <w:lang w:eastAsia="hr-HR"/>
              </w:rPr>
              <w:t>1</w:t>
            </w:r>
          </w:p>
        </w:tc>
        <w:tc>
          <w:tcPr>
            <w:tcW w:w="434" w:type="dxa"/>
            <w:tcBorders>
              <w:top w:val="nil"/>
              <w:left w:val="nil"/>
              <w:bottom w:val="single" w:sz="4" w:space="0" w:color="auto"/>
              <w:right w:val="single" w:sz="4" w:space="0" w:color="auto"/>
            </w:tcBorders>
            <w:shd w:val="clear" w:color="000000" w:fill="FF9900"/>
            <w:noWrap/>
            <w:vAlign w:val="center"/>
            <w:hideMark/>
          </w:tcPr>
          <w:p w14:paraId="03FE76B1" w14:textId="77777777" w:rsidR="005E671C" w:rsidRPr="005E671C" w:rsidRDefault="005E671C" w:rsidP="005E671C">
            <w:pPr>
              <w:spacing w:after="0" w:line="240" w:lineRule="auto"/>
              <w:jc w:val="center"/>
              <w:rPr>
                <w:rFonts w:ascii="Calibri" w:eastAsia="Times New Roman" w:hAnsi="Calibri" w:cs="Calibri"/>
                <w:lang w:eastAsia="hr-HR"/>
              </w:rPr>
            </w:pPr>
            <w:r w:rsidRPr="005E671C">
              <w:rPr>
                <w:rFonts w:ascii="Calibri" w:eastAsia="Times New Roman" w:hAnsi="Calibri" w:cs="Calibri"/>
                <w:lang w:eastAsia="hr-HR"/>
              </w:rPr>
              <w:t>2</w:t>
            </w:r>
          </w:p>
        </w:tc>
        <w:tc>
          <w:tcPr>
            <w:tcW w:w="443" w:type="dxa"/>
            <w:gridSpan w:val="2"/>
            <w:tcBorders>
              <w:top w:val="nil"/>
              <w:left w:val="nil"/>
              <w:bottom w:val="single" w:sz="4" w:space="0" w:color="auto"/>
              <w:right w:val="single" w:sz="4" w:space="0" w:color="auto"/>
            </w:tcBorders>
            <w:shd w:val="clear" w:color="000000" w:fill="66FFCC"/>
            <w:noWrap/>
            <w:vAlign w:val="center"/>
            <w:hideMark/>
          </w:tcPr>
          <w:p w14:paraId="541C2783" w14:textId="77777777" w:rsidR="005E671C" w:rsidRPr="005E671C" w:rsidRDefault="005E671C" w:rsidP="005E671C">
            <w:pPr>
              <w:spacing w:after="0" w:line="240" w:lineRule="auto"/>
              <w:jc w:val="center"/>
              <w:rPr>
                <w:rFonts w:ascii="Calibri" w:eastAsia="Times New Roman" w:hAnsi="Calibri" w:cs="Calibri"/>
                <w:lang w:eastAsia="hr-HR"/>
              </w:rPr>
            </w:pPr>
            <w:r w:rsidRPr="005E671C">
              <w:rPr>
                <w:rFonts w:ascii="Calibri" w:eastAsia="Times New Roman" w:hAnsi="Calibri" w:cs="Calibri"/>
                <w:lang w:eastAsia="hr-HR"/>
              </w:rPr>
              <w:t>0</w:t>
            </w:r>
          </w:p>
        </w:tc>
        <w:tc>
          <w:tcPr>
            <w:tcW w:w="698" w:type="dxa"/>
            <w:tcBorders>
              <w:top w:val="nil"/>
              <w:left w:val="nil"/>
              <w:bottom w:val="single" w:sz="4" w:space="0" w:color="auto"/>
              <w:right w:val="single" w:sz="4" w:space="0" w:color="auto"/>
            </w:tcBorders>
            <w:shd w:val="clear" w:color="000000" w:fill="66FFCC"/>
            <w:noWrap/>
            <w:vAlign w:val="center"/>
            <w:hideMark/>
          </w:tcPr>
          <w:p w14:paraId="5724A3CE" w14:textId="77777777" w:rsidR="005E671C" w:rsidRPr="005E671C" w:rsidRDefault="005E671C" w:rsidP="005E671C">
            <w:pPr>
              <w:spacing w:after="0" w:line="240" w:lineRule="auto"/>
              <w:jc w:val="center"/>
              <w:rPr>
                <w:rFonts w:ascii="Calibri" w:eastAsia="Times New Roman" w:hAnsi="Calibri" w:cs="Calibri"/>
                <w:lang w:eastAsia="hr-HR"/>
              </w:rPr>
            </w:pPr>
            <w:r w:rsidRPr="005E671C">
              <w:rPr>
                <w:rFonts w:ascii="Calibri" w:eastAsia="Times New Roman" w:hAnsi="Calibri" w:cs="Calibri"/>
                <w:lang w:eastAsia="hr-HR"/>
              </w:rPr>
              <w:t>3</w:t>
            </w:r>
          </w:p>
        </w:tc>
        <w:tc>
          <w:tcPr>
            <w:tcW w:w="574" w:type="dxa"/>
            <w:tcBorders>
              <w:top w:val="nil"/>
              <w:left w:val="nil"/>
              <w:bottom w:val="single" w:sz="4" w:space="0" w:color="auto"/>
              <w:right w:val="single" w:sz="4" w:space="0" w:color="auto"/>
            </w:tcBorders>
            <w:shd w:val="clear" w:color="000000" w:fill="66FFCC"/>
            <w:noWrap/>
            <w:vAlign w:val="center"/>
            <w:hideMark/>
          </w:tcPr>
          <w:p w14:paraId="33AD0029" w14:textId="77777777" w:rsidR="005E671C" w:rsidRPr="005E671C" w:rsidRDefault="005E671C" w:rsidP="005E671C">
            <w:pPr>
              <w:spacing w:after="0" w:line="240" w:lineRule="auto"/>
              <w:jc w:val="center"/>
              <w:rPr>
                <w:rFonts w:ascii="Calibri" w:eastAsia="Times New Roman" w:hAnsi="Calibri" w:cs="Calibri"/>
                <w:lang w:eastAsia="hr-HR"/>
              </w:rPr>
            </w:pPr>
            <w:r w:rsidRPr="005E671C">
              <w:rPr>
                <w:rFonts w:ascii="Calibri" w:eastAsia="Times New Roman" w:hAnsi="Calibri" w:cs="Calibri"/>
                <w:lang w:eastAsia="hr-HR"/>
              </w:rPr>
              <w:t>0</w:t>
            </w:r>
          </w:p>
        </w:tc>
        <w:tc>
          <w:tcPr>
            <w:tcW w:w="560" w:type="dxa"/>
            <w:tcBorders>
              <w:top w:val="nil"/>
              <w:left w:val="nil"/>
              <w:bottom w:val="single" w:sz="4" w:space="0" w:color="auto"/>
              <w:right w:val="single" w:sz="4" w:space="0" w:color="auto"/>
            </w:tcBorders>
            <w:shd w:val="clear" w:color="000000" w:fill="66FFCC"/>
            <w:noWrap/>
            <w:vAlign w:val="center"/>
            <w:hideMark/>
          </w:tcPr>
          <w:p w14:paraId="0EEBF512" w14:textId="77777777" w:rsidR="005E671C" w:rsidRPr="005E671C" w:rsidRDefault="005E671C" w:rsidP="005E671C">
            <w:pPr>
              <w:spacing w:after="0" w:line="240" w:lineRule="auto"/>
              <w:jc w:val="center"/>
              <w:rPr>
                <w:rFonts w:ascii="Calibri" w:eastAsia="Times New Roman" w:hAnsi="Calibri" w:cs="Calibri"/>
                <w:lang w:eastAsia="hr-HR"/>
              </w:rPr>
            </w:pPr>
            <w:r w:rsidRPr="005E671C">
              <w:rPr>
                <w:rFonts w:ascii="Calibri" w:eastAsia="Times New Roman" w:hAnsi="Calibri" w:cs="Calibri"/>
                <w:lang w:eastAsia="hr-HR"/>
              </w:rPr>
              <w:t>3</w:t>
            </w:r>
          </w:p>
        </w:tc>
        <w:tc>
          <w:tcPr>
            <w:tcW w:w="430" w:type="dxa"/>
            <w:gridSpan w:val="2"/>
            <w:tcBorders>
              <w:top w:val="nil"/>
              <w:left w:val="nil"/>
              <w:bottom w:val="single" w:sz="4" w:space="0" w:color="auto"/>
              <w:right w:val="single" w:sz="4" w:space="0" w:color="auto"/>
            </w:tcBorders>
            <w:shd w:val="clear" w:color="000000" w:fill="FFFF00"/>
            <w:vAlign w:val="center"/>
            <w:hideMark/>
          </w:tcPr>
          <w:p w14:paraId="0D2574A8" w14:textId="77777777" w:rsidR="005E671C" w:rsidRPr="005E671C" w:rsidRDefault="005E671C" w:rsidP="005E671C">
            <w:pPr>
              <w:spacing w:after="0" w:line="240" w:lineRule="auto"/>
              <w:jc w:val="center"/>
              <w:rPr>
                <w:rFonts w:ascii="Calibri" w:eastAsia="Times New Roman" w:hAnsi="Calibri" w:cs="Calibri"/>
                <w:lang w:eastAsia="hr-HR"/>
              </w:rPr>
            </w:pPr>
            <w:r w:rsidRPr="005E671C">
              <w:rPr>
                <w:rFonts w:ascii="Calibri" w:eastAsia="Times New Roman" w:hAnsi="Calibri" w:cs="Calibri"/>
                <w:lang w:eastAsia="hr-HR"/>
              </w:rPr>
              <w:t>6</w:t>
            </w:r>
          </w:p>
        </w:tc>
        <w:tc>
          <w:tcPr>
            <w:tcW w:w="425" w:type="dxa"/>
            <w:gridSpan w:val="2"/>
            <w:tcBorders>
              <w:top w:val="nil"/>
              <w:left w:val="nil"/>
              <w:bottom w:val="single" w:sz="4" w:space="0" w:color="auto"/>
              <w:right w:val="single" w:sz="4" w:space="0" w:color="auto"/>
            </w:tcBorders>
            <w:shd w:val="clear" w:color="000000" w:fill="FFFF99"/>
            <w:vAlign w:val="center"/>
            <w:hideMark/>
          </w:tcPr>
          <w:p w14:paraId="70F8FE96" w14:textId="77777777" w:rsidR="005E671C" w:rsidRPr="005E671C" w:rsidRDefault="005E671C" w:rsidP="005E671C">
            <w:pPr>
              <w:spacing w:after="0" w:line="240" w:lineRule="auto"/>
              <w:jc w:val="center"/>
              <w:rPr>
                <w:rFonts w:ascii="Calibri" w:eastAsia="Times New Roman" w:hAnsi="Calibri" w:cs="Calibri"/>
                <w:lang w:eastAsia="hr-HR"/>
              </w:rPr>
            </w:pPr>
            <w:r w:rsidRPr="005E671C">
              <w:rPr>
                <w:rFonts w:ascii="Calibri" w:eastAsia="Times New Roman" w:hAnsi="Calibri" w:cs="Calibri"/>
                <w:lang w:eastAsia="hr-HR"/>
              </w:rPr>
              <w:t>6</w:t>
            </w:r>
          </w:p>
        </w:tc>
        <w:tc>
          <w:tcPr>
            <w:tcW w:w="540" w:type="dxa"/>
            <w:gridSpan w:val="2"/>
            <w:tcBorders>
              <w:top w:val="nil"/>
              <w:left w:val="nil"/>
              <w:bottom w:val="single" w:sz="4" w:space="0" w:color="auto"/>
              <w:right w:val="single" w:sz="4" w:space="0" w:color="auto"/>
            </w:tcBorders>
            <w:shd w:val="clear" w:color="000000" w:fill="FF9900"/>
            <w:vAlign w:val="center"/>
            <w:hideMark/>
          </w:tcPr>
          <w:p w14:paraId="1B4BAB1E" w14:textId="77777777" w:rsidR="005E671C" w:rsidRPr="005E671C" w:rsidRDefault="005E671C" w:rsidP="005E671C">
            <w:pPr>
              <w:spacing w:after="0" w:line="240" w:lineRule="auto"/>
              <w:jc w:val="center"/>
              <w:rPr>
                <w:rFonts w:ascii="Calibri" w:eastAsia="Times New Roman" w:hAnsi="Calibri" w:cs="Calibri"/>
                <w:lang w:eastAsia="hr-HR"/>
              </w:rPr>
            </w:pPr>
            <w:r w:rsidRPr="005E671C">
              <w:rPr>
                <w:rFonts w:ascii="Calibri" w:eastAsia="Times New Roman" w:hAnsi="Calibri" w:cs="Calibri"/>
                <w:lang w:eastAsia="hr-HR"/>
              </w:rPr>
              <w:t>3</w:t>
            </w:r>
          </w:p>
        </w:tc>
        <w:tc>
          <w:tcPr>
            <w:tcW w:w="435" w:type="dxa"/>
            <w:tcBorders>
              <w:top w:val="nil"/>
              <w:left w:val="nil"/>
              <w:bottom w:val="single" w:sz="4" w:space="0" w:color="auto"/>
              <w:right w:val="single" w:sz="4" w:space="0" w:color="auto"/>
            </w:tcBorders>
            <w:shd w:val="clear" w:color="000000" w:fill="CCFFFF"/>
            <w:vAlign w:val="center"/>
            <w:hideMark/>
          </w:tcPr>
          <w:p w14:paraId="40F063A8" w14:textId="77777777" w:rsidR="005E671C" w:rsidRPr="005E671C" w:rsidRDefault="005E671C" w:rsidP="005E671C">
            <w:pPr>
              <w:spacing w:after="0" w:line="240" w:lineRule="auto"/>
              <w:jc w:val="center"/>
              <w:rPr>
                <w:rFonts w:ascii="Calibri" w:eastAsia="Times New Roman" w:hAnsi="Calibri" w:cs="Calibri"/>
                <w:lang w:eastAsia="hr-HR"/>
              </w:rPr>
            </w:pPr>
            <w:r w:rsidRPr="005E671C">
              <w:rPr>
                <w:rFonts w:ascii="Calibri" w:eastAsia="Times New Roman" w:hAnsi="Calibri" w:cs="Calibri"/>
                <w:lang w:eastAsia="hr-HR"/>
              </w:rPr>
              <w:t>3</w:t>
            </w:r>
          </w:p>
        </w:tc>
        <w:tc>
          <w:tcPr>
            <w:tcW w:w="655" w:type="dxa"/>
            <w:tcBorders>
              <w:top w:val="nil"/>
              <w:left w:val="nil"/>
              <w:bottom w:val="single" w:sz="4" w:space="0" w:color="auto"/>
              <w:right w:val="single" w:sz="4" w:space="0" w:color="auto"/>
            </w:tcBorders>
            <w:shd w:val="clear" w:color="000000" w:fill="CCFFFF"/>
            <w:vAlign w:val="center"/>
            <w:hideMark/>
          </w:tcPr>
          <w:p w14:paraId="612C01FD" w14:textId="77777777" w:rsidR="005E671C" w:rsidRPr="005E671C" w:rsidRDefault="005E671C" w:rsidP="005E671C">
            <w:pPr>
              <w:spacing w:after="0" w:line="240" w:lineRule="auto"/>
              <w:jc w:val="center"/>
              <w:rPr>
                <w:rFonts w:ascii="Calibri" w:eastAsia="Times New Roman" w:hAnsi="Calibri" w:cs="Calibri"/>
                <w:lang w:eastAsia="hr-HR"/>
              </w:rPr>
            </w:pPr>
            <w:r w:rsidRPr="005E671C">
              <w:rPr>
                <w:rFonts w:ascii="Calibri" w:eastAsia="Times New Roman" w:hAnsi="Calibri" w:cs="Calibri"/>
                <w:lang w:eastAsia="hr-HR"/>
              </w:rPr>
              <w:t>0</w:t>
            </w:r>
          </w:p>
        </w:tc>
        <w:tc>
          <w:tcPr>
            <w:tcW w:w="645" w:type="dxa"/>
            <w:tcBorders>
              <w:top w:val="nil"/>
              <w:left w:val="nil"/>
              <w:bottom w:val="single" w:sz="4" w:space="0" w:color="auto"/>
              <w:right w:val="single" w:sz="4" w:space="0" w:color="auto"/>
            </w:tcBorders>
            <w:shd w:val="clear" w:color="000000" w:fill="CCFFFF"/>
            <w:vAlign w:val="center"/>
            <w:hideMark/>
          </w:tcPr>
          <w:p w14:paraId="70553E91" w14:textId="77777777" w:rsidR="005E671C" w:rsidRPr="005E671C" w:rsidRDefault="005E671C" w:rsidP="005E671C">
            <w:pPr>
              <w:spacing w:after="0" w:line="240" w:lineRule="auto"/>
              <w:jc w:val="center"/>
              <w:rPr>
                <w:rFonts w:ascii="Calibri" w:eastAsia="Times New Roman" w:hAnsi="Calibri" w:cs="Calibri"/>
                <w:lang w:eastAsia="hr-HR"/>
              </w:rPr>
            </w:pPr>
            <w:r w:rsidRPr="005E671C">
              <w:rPr>
                <w:rFonts w:ascii="Calibri" w:eastAsia="Times New Roman" w:hAnsi="Calibri" w:cs="Calibri"/>
                <w:lang w:eastAsia="hr-HR"/>
              </w:rPr>
              <w:t>0</w:t>
            </w:r>
          </w:p>
        </w:tc>
        <w:tc>
          <w:tcPr>
            <w:tcW w:w="699" w:type="dxa"/>
            <w:tcBorders>
              <w:top w:val="nil"/>
              <w:left w:val="nil"/>
              <w:bottom w:val="single" w:sz="4" w:space="0" w:color="auto"/>
              <w:right w:val="nil"/>
            </w:tcBorders>
            <w:shd w:val="clear" w:color="000000" w:fill="33CCCC"/>
            <w:noWrap/>
            <w:vAlign w:val="center"/>
            <w:hideMark/>
          </w:tcPr>
          <w:p w14:paraId="114E43F4" w14:textId="77777777" w:rsidR="005E671C" w:rsidRPr="005E671C" w:rsidRDefault="005E671C" w:rsidP="005E671C">
            <w:pPr>
              <w:spacing w:after="0" w:line="240" w:lineRule="auto"/>
              <w:jc w:val="center"/>
              <w:rPr>
                <w:rFonts w:ascii="Calibri" w:eastAsia="Times New Roman" w:hAnsi="Calibri" w:cs="Calibri"/>
                <w:lang w:eastAsia="hr-HR"/>
              </w:rPr>
            </w:pPr>
            <w:r w:rsidRPr="005E671C">
              <w:rPr>
                <w:rFonts w:ascii="Calibri" w:eastAsia="Times New Roman" w:hAnsi="Calibri" w:cs="Calibri"/>
                <w:lang w:eastAsia="hr-HR"/>
              </w:rPr>
              <w:t>5</w:t>
            </w:r>
          </w:p>
        </w:tc>
        <w:tc>
          <w:tcPr>
            <w:tcW w:w="700" w:type="dxa"/>
            <w:tcBorders>
              <w:top w:val="nil"/>
              <w:left w:val="single" w:sz="4" w:space="0" w:color="auto"/>
              <w:bottom w:val="single" w:sz="4" w:space="0" w:color="auto"/>
              <w:right w:val="single" w:sz="8" w:space="0" w:color="auto"/>
            </w:tcBorders>
            <w:shd w:val="clear" w:color="000000" w:fill="33CCCC"/>
            <w:noWrap/>
            <w:vAlign w:val="center"/>
            <w:hideMark/>
          </w:tcPr>
          <w:p w14:paraId="0291A41D" w14:textId="77777777" w:rsidR="005E671C" w:rsidRPr="005E671C" w:rsidRDefault="005E671C" w:rsidP="005E671C">
            <w:pPr>
              <w:spacing w:after="0" w:line="240" w:lineRule="auto"/>
              <w:jc w:val="center"/>
              <w:rPr>
                <w:rFonts w:ascii="Calibri" w:eastAsia="Times New Roman" w:hAnsi="Calibri" w:cs="Calibri"/>
                <w:lang w:eastAsia="hr-HR"/>
              </w:rPr>
            </w:pPr>
            <w:r w:rsidRPr="005E671C">
              <w:rPr>
                <w:rFonts w:ascii="Calibri" w:eastAsia="Times New Roman" w:hAnsi="Calibri" w:cs="Calibri"/>
                <w:lang w:eastAsia="hr-HR"/>
              </w:rPr>
              <w:t>1</w:t>
            </w:r>
          </w:p>
        </w:tc>
        <w:tc>
          <w:tcPr>
            <w:tcW w:w="239" w:type="dxa"/>
            <w:gridSpan w:val="2"/>
            <w:vAlign w:val="center"/>
            <w:hideMark/>
          </w:tcPr>
          <w:p w14:paraId="2851900E" w14:textId="77777777" w:rsidR="005E671C" w:rsidRPr="005E671C" w:rsidRDefault="005E671C" w:rsidP="005E671C">
            <w:pPr>
              <w:spacing w:after="0" w:line="240" w:lineRule="auto"/>
              <w:rPr>
                <w:rFonts w:ascii="Times New Roman" w:eastAsia="Times New Roman" w:hAnsi="Times New Roman" w:cs="Times New Roman"/>
                <w:sz w:val="20"/>
                <w:szCs w:val="20"/>
                <w:lang w:eastAsia="hr-HR"/>
              </w:rPr>
            </w:pPr>
          </w:p>
        </w:tc>
      </w:tr>
      <w:tr w:rsidR="005E671C" w:rsidRPr="005E671C" w14:paraId="757ABF3E" w14:textId="77777777" w:rsidTr="001752B7">
        <w:trPr>
          <w:gridAfter w:val="1"/>
          <w:wAfter w:w="23" w:type="dxa"/>
          <w:trHeight w:val="300"/>
        </w:trPr>
        <w:tc>
          <w:tcPr>
            <w:tcW w:w="1408" w:type="dxa"/>
            <w:tcBorders>
              <w:top w:val="single" w:sz="4" w:space="0" w:color="auto"/>
              <w:left w:val="single" w:sz="8" w:space="0" w:color="auto"/>
              <w:bottom w:val="single" w:sz="4" w:space="0" w:color="auto"/>
              <w:right w:val="single" w:sz="4" w:space="0" w:color="auto"/>
            </w:tcBorders>
            <w:shd w:val="clear" w:color="000000" w:fill="CCFFCC"/>
            <w:vAlign w:val="center"/>
            <w:hideMark/>
          </w:tcPr>
          <w:p w14:paraId="71B46285" w14:textId="77777777" w:rsidR="005E671C" w:rsidRPr="005E671C" w:rsidRDefault="005E671C" w:rsidP="005E671C">
            <w:pPr>
              <w:spacing w:after="0" w:line="240" w:lineRule="auto"/>
              <w:jc w:val="center"/>
              <w:rPr>
                <w:rFonts w:ascii="Calibri" w:eastAsia="Times New Roman" w:hAnsi="Calibri" w:cs="Calibri"/>
                <w:lang w:eastAsia="hr-HR"/>
              </w:rPr>
            </w:pPr>
            <w:r w:rsidRPr="005E671C">
              <w:rPr>
                <w:rFonts w:ascii="Calibri" w:eastAsia="Times New Roman" w:hAnsi="Calibri" w:cs="Calibri"/>
                <w:lang w:eastAsia="hr-HR"/>
              </w:rPr>
              <w:t>Jezik</w:t>
            </w:r>
          </w:p>
        </w:tc>
        <w:tc>
          <w:tcPr>
            <w:tcW w:w="595" w:type="dxa"/>
            <w:tcBorders>
              <w:top w:val="nil"/>
              <w:left w:val="nil"/>
              <w:bottom w:val="single" w:sz="4" w:space="0" w:color="auto"/>
              <w:right w:val="single" w:sz="4" w:space="0" w:color="auto"/>
            </w:tcBorders>
            <w:shd w:val="clear" w:color="000000" w:fill="CCFFCC"/>
            <w:vAlign w:val="center"/>
            <w:hideMark/>
          </w:tcPr>
          <w:p w14:paraId="303470C5" w14:textId="77777777" w:rsidR="005E671C" w:rsidRPr="005E671C" w:rsidRDefault="005E671C" w:rsidP="005E671C">
            <w:pPr>
              <w:spacing w:after="0" w:line="240" w:lineRule="auto"/>
              <w:jc w:val="center"/>
              <w:rPr>
                <w:rFonts w:ascii="Calibri" w:eastAsia="Times New Roman" w:hAnsi="Calibri" w:cs="Calibri"/>
                <w:lang w:eastAsia="hr-HR"/>
              </w:rPr>
            </w:pPr>
            <w:r w:rsidRPr="005E671C">
              <w:rPr>
                <w:rFonts w:ascii="Calibri" w:eastAsia="Times New Roman" w:hAnsi="Calibri" w:cs="Calibri"/>
                <w:lang w:eastAsia="hr-HR"/>
              </w:rPr>
              <w:t>0</w:t>
            </w:r>
          </w:p>
        </w:tc>
        <w:tc>
          <w:tcPr>
            <w:tcW w:w="549" w:type="dxa"/>
            <w:tcBorders>
              <w:top w:val="nil"/>
              <w:left w:val="nil"/>
              <w:bottom w:val="single" w:sz="4" w:space="0" w:color="auto"/>
              <w:right w:val="single" w:sz="4" w:space="0" w:color="auto"/>
            </w:tcBorders>
            <w:shd w:val="clear" w:color="000000" w:fill="FFCC99"/>
            <w:noWrap/>
            <w:vAlign w:val="center"/>
            <w:hideMark/>
          </w:tcPr>
          <w:p w14:paraId="66D6F122" w14:textId="77777777" w:rsidR="005E671C" w:rsidRPr="005E671C" w:rsidRDefault="005E671C" w:rsidP="005E671C">
            <w:pPr>
              <w:spacing w:after="0" w:line="240" w:lineRule="auto"/>
              <w:jc w:val="center"/>
              <w:rPr>
                <w:rFonts w:ascii="Calibri" w:eastAsia="Times New Roman" w:hAnsi="Calibri" w:cs="Calibri"/>
                <w:lang w:eastAsia="hr-HR"/>
              </w:rPr>
            </w:pPr>
            <w:r w:rsidRPr="005E671C">
              <w:rPr>
                <w:rFonts w:ascii="Calibri" w:eastAsia="Times New Roman" w:hAnsi="Calibri" w:cs="Calibri"/>
                <w:lang w:eastAsia="hr-HR"/>
              </w:rPr>
              <w:t>0</w:t>
            </w:r>
          </w:p>
        </w:tc>
        <w:tc>
          <w:tcPr>
            <w:tcW w:w="441" w:type="dxa"/>
            <w:tcBorders>
              <w:top w:val="nil"/>
              <w:left w:val="nil"/>
              <w:bottom w:val="single" w:sz="4" w:space="0" w:color="auto"/>
              <w:right w:val="single" w:sz="4" w:space="0" w:color="auto"/>
            </w:tcBorders>
            <w:shd w:val="clear" w:color="000000" w:fill="CCFFFF"/>
            <w:noWrap/>
            <w:vAlign w:val="center"/>
            <w:hideMark/>
          </w:tcPr>
          <w:p w14:paraId="5EED8EB3" w14:textId="77777777" w:rsidR="005E671C" w:rsidRPr="005E671C" w:rsidRDefault="005E671C" w:rsidP="005E671C">
            <w:pPr>
              <w:spacing w:after="0" w:line="240" w:lineRule="auto"/>
              <w:jc w:val="center"/>
              <w:rPr>
                <w:rFonts w:ascii="Calibri" w:eastAsia="Times New Roman" w:hAnsi="Calibri" w:cs="Calibri"/>
                <w:lang w:eastAsia="hr-HR"/>
              </w:rPr>
            </w:pPr>
            <w:r w:rsidRPr="005E671C">
              <w:rPr>
                <w:rFonts w:ascii="Calibri" w:eastAsia="Times New Roman" w:hAnsi="Calibri" w:cs="Calibri"/>
                <w:lang w:eastAsia="hr-HR"/>
              </w:rPr>
              <w:t>0</w:t>
            </w:r>
          </w:p>
        </w:tc>
        <w:tc>
          <w:tcPr>
            <w:tcW w:w="432" w:type="dxa"/>
            <w:tcBorders>
              <w:top w:val="nil"/>
              <w:left w:val="nil"/>
              <w:bottom w:val="single" w:sz="4" w:space="0" w:color="auto"/>
              <w:right w:val="single" w:sz="4" w:space="0" w:color="auto"/>
            </w:tcBorders>
            <w:shd w:val="clear" w:color="000000" w:fill="CCFFFF"/>
            <w:noWrap/>
            <w:vAlign w:val="center"/>
            <w:hideMark/>
          </w:tcPr>
          <w:p w14:paraId="5A8851B3" w14:textId="77777777" w:rsidR="005E671C" w:rsidRPr="005E671C" w:rsidRDefault="005E671C" w:rsidP="005E671C">
            <w:pPr>
              <w:spacing w:after="0" w:line="240" w:lineRule="auto"/>
              <w:jc w:val="center"/>
              <w:rPr>
                <w:rFonts w:ascii="Calibri" w:eastAsia="Times New Roman" w:hAnsi="Calibri" w:cs="Calibri"/>
                <w:lang w:eastAsia="hr-HR"/>
              </w:rPr>
            </w:pPr>
            <w:r w:rsidRPr="005E671C">
              <w:rPr>
                <w:rFonts w:ascii="Calibri" w:eastAsia="Times New Roman" w:hAnsi="Calibri" w:cs="Calibri"/>
                <w:lang w:eastAsia="hr-HR"/>
              </w:rPr>
              <w:t>0</w:t>
            </w:r>
          </w:p>
        </w:tc>
        <w:tc>
          <w:tcPr>
            <w:tcW w:w="421" w:type="dxa"/>
            <w:gridSpan w:val="2"/>
            <w:tcBorders>
              <w:top w:val="nil"/>
              <w:left w:val="nil"/>
              <w:bottom w:val="single" w:sz="4" w:space="0" w:color="auto"/>
              <w:right w:val="single" w:sz="4" w:space="0" w:color="auto"/>
            </w:tcBorders>
            <w:shd w:val="clear" w:color="000000" w:fill="FFFF99"/>
            <w:noWrap/>
            <w:vAlign w:val="center"/>
            <w:hideMark/>
          </w:tcPr>
          <w:p w14:paraId="3AB336B7" w14:textId="77777777" w:rsidR="005E671C" w:rsidRPr="005E671C" w:rsidRDefault="005E671C" w:rsidP="005E671C">
            <w:pPr>
              <w:spacing w:after="0" w:line="240" w:lineRule="auto"/>
              <w:jc w:val="center"/>
              <w:rPr>
                <w:rFonts w:ascii="Calibri" w:eastAsia="Times New Roman" w:hAnsi="Calibri" w:cs="Calibri"/>
                <w:lang w:eastAsia="hr-HR"/>
              </w:rPr>
            </w:pPr>
            <w:r w:rsidRPr="005E671C">
              <w:rPr>
                <w:rFonts w:ascii="Calibri" w:eastAsia="Times New Roman" w:hAnsi="Calibri" w:cs="Calibri"/>
                <w:lang w:eastAsia="hr-HR"/>
              </w:rPr>
              <w:t>0</w:t>
            </w:r>
          </w:p>
        </w:tc>
        <w:tc>
          <w:tcPr>
            <w:tcW w:w="431" w:type="dxa"/>
            <w:tcBorders>
              <w:top w:val="nil"/>
              <w:left w:val="nil"/>
              <w:bottom w:val="single" w:sz="4" w:space="0" w:color="auto"/>
              <w:right w:val="single" w:sz="4" w:space="0" w:color="auto"/>
            </w:tcBorders>
            <w:shd w:val="clear" w:color="000000" w:fill="FFFF99"/>
            <w:noWrap/>
            <w:vAlign w:val="center"/>
            <w:hideMark/>
          </w:tcPr>
          <w:p w14:paraId="0846D989" w14:textId="77777777" w:rsidR="005E671C" w:rsidRPr="005E671C" w:rsidRDefault="005E671C" w:rsidP="005E671C">
            <w:pPr>
              <w:spacing w:after="0" w:line="240" w:lineRule="auto"/>
              <w:jc w:val="center"/>
              <w:rPr>
                <w:rFonts w:ascii="Calibri" w:eastAsia="Times New Roman" w:hAnsi="Calibri" w:cs="Calibri"/>
                <w:lang w:eastAsia="hr-HR"/>
              </w:rPr>
            </w:pPr>
            <w:r w:rsidRPr="005E671C">
              <w:rPr>
                <w:rFonts w:ascii="Calibri" w:eastAsia="Times New Roman" w:hAnsi="Calibri" w:cs="Calibri"/>
                <w:lang w:eastAsia="hr-HR"/>
              </w:rPr>
              <w:t>0</w:t>
            </w:r>
          </w:p>
        </w:tc>
        <w:tc>
          <w:tcPr>
            <w:tcW w:w="420" w:type="dxa"/>
            <w:tcBorders>
              <w:top w:val="nil"/>
              <w:left w:val="nil"/>
              <w:bottom w:val="single" w:sz="4" w:space="0" w:color="auto"/>
              <w:right w:val="single" w:sz="4" w:space="0" w:color="auto"/>
            </w:tcBorders>
            <w:shd w:val="clear" w:color="000000" w:fill="FFFF99"/>
            <w:noWrap/>
            <w:vAlign w:val="center"/>
            <w:hideMark/>
          </w:tcPr>
          <w:p w14:paraId="21140216" w14:textId="77777777" w:rsidR="005E671C" w:rsidRPr="005E671C" w:rsidRDefault="005E671C" w:rsidP="005E671C">
            <w:pPr>
              <w:spacing w:after="0" w:line="240" w:lineRule="auto"/>
              <w:jc w:val="center"/>
              <w:rPr>
                <w:rFonts w:ascii="Calibri" w:eastAsia="Times New Roman" w:hAnsi="Calibri" w:cs="Calibri"/>
                <w:lang w:eastAsia="hr-HR"/>
              </w:rPr>
            </w:pPr>
            <w:r w:rsidRPr="005E671C">
              <w:rPr>
                <w:rFonts w:ascii="Calibri" w:eastAsia="Times New Roman" w:hAnsi="Calibri" w:cs="Calibri"/>
                <w:lang w:eastAsia="hr-HR"/>
              </w:rPr>
              <w:t>0</w:t>
            </w:r>
          </w:p>
        </w:tc>
        <w:tc>
          <w:tcPr>
            <w:tcW w:w="429" w:type="dxa"/>
            <w:tcBorders>
              <w:top w:val="nil"/>
              <w:left w:val="nil"/>
              <w:bottom w:val="single" w:sz="4" w:space="0" w:color="auto"/>
              <w:right w:val="single" w:sz="4" w:space="0" w:color="auto"/>
            </w:tcBorders>
            <w:shd w:val="clear" w:color="000000" w:fill="FFFF99"/>
            <w:noWrap/>
            <w:vAlign w:val="center"/>
            <w:hideMark/>
          </w:tcPr>
          <w:p w14:paraId="17A0CB01" w14:textId="77777777" w:rsidR="005E671C" w:rsidRPr="005E671C" w:rsidRDefault="005E671C" w:rsidP="005E671C">
            <w:pPr>
              <w:spacing w:after="0" w:line="240" w:lineRule="auto"/>
              <w:jc w:val="center"/>
              <w:rPr>
                <w:rFonts w:ascii="Calibri" w:eastAsia="Times New Roman" w:hAnsi="Calibri" w:cs="Calibri"/>
                <w:lang w:eastAsia="hr-HR"/>
              </w:rPr>
            </w:pPr>
            <w:r w:rsidRPr="005E671C">
              <w:rPr>
                <w:rFonts w:ascii="Calibri" w:eastAsia="Times New Roman" w:hAnsi="Calibri" w:cs="Calibri"/>
                <w:lang w:eastAsia="hr-HR"/>
              </w:rPr>
              <w:t>0</w:t>
            </w:r>
          </w:p>
        </w:tc>
        <w:tc>
          <w:tcPr>
            <w:tcW w:w="581" w:type="dxa"/>
            <w:tcBorders>
              <w:top w:val="nil"/>
              <w:left w:val="nil"/>
              <w:bottom w:val="single" w:sz="4" w:space="0" w:color="auto"/>
              <w:right w:val="single" w:sz="4" w:space="0" w:color="auto"/>
            </w:tcBorders>
            <w:shd w:val="clear" w:color="000000" w:fill="FFFF99"/>
            <w:noWrap/>
            <w:vAlign w:val="center"/>
            <w:hideMark/>
          </w:tcPr>
          <w:p w14:paraId="0E98A402" w14:textId="77777777" w:rsidR="005E671C" w:rsidRPr="005E671C" w:rsidRDefault="005E671C" w:rsidP="005E671C">
            <w:pPr>
              <w:spacing w:after="0" w:line="240" w:lineRule="auto"/>
              <w:jc w:val="center"/>
              <w:rPr>
                <w:rFonts w:ascii="Calibri" w:eastAsia="Times New Roman" w:hAnsi="Calibri" w:cs="Calibri"/>
                <w:lang w:eastAsia="hr-HR"/>
              </w:rPr>
            </w:pPr>
            <w:r w:rsidRPr="005E671C">
              <w:rPr>
                <w:rFonts w:ascii="Calibri" w:eastAsia="Times New Roman" w:hAnsi="Calibri" w:cs="Calibri"/>
                <w:lang w:eastAsia="hr-HR"/>
              </w:rPr>
              <w:t>0</w:t>
            </w:r>
          </w:p>
        </w:tc>
        <w:tc>
          <w:tcPr>
            <w:tcW w:w="556" w:type="dxa"/>
            <w:gridSpan w:val="2"/>
            <w:tcBorders>
              <w:top w:val="nil"/>
              <w:left w:val="nil"/>
              <w:bottom w:val="single" w:sz="4" w:space="0" w:color="auto"/>
              <w:right w:val="single" w:sz="4" w:space="0" w:color="auto"/>
            </w:tcBorders>
            <w:shd w:val="clear" w:color="000000" w:fill="FF9900"/>
            <w:noWrap/>
            <w:vAlign w:val="center"/>
            <w:hideMark/>
          </w:tcPr>
          <w:p w14:paraId="10D88E83" w14:textId="77777777" w:rsidR="005E671C" w:rsidRPr="005E671C" w:rsidRDefault="005E671C" w:rsidP="005E671C">
            <w:pPr>
              <w:spacing w:after="0" w:line="240" w:lineRule="auto"/>
              <w:jc w:val="center"/>
              <w:rPr>
                <w:rFonts w:ascii="Calibri" w:eastAsia="Times New Roman" w:hAnsi="Calibri" w:cs="Calibri"/>
                <w:lang w:eastAsia="hr-HR"/>
              </w:rPr>
            </w:pPr>
            <w:r w:rsidRPr="005E671C">
              <w:rPr>
                <w:rFonts w:ascii="Calibri" w:eastAsia="Times New Roman" w:hAnsi="Calibri" w:cs="Calibri"/>
                <w:lang w:eastAsia="hr-HR"/>
              </w:rPr>
              <w:t>0</w:t>
            </w:r>
          </w:p>
        </w:tc>
        <w:tc>
          <w:tcPr>
            <w:tcW w:w="574" w:type="dxa"/>
            <w:tcBorders>
              <w:top w:val="nil"/>
              <w:left w:val="nil"/>
              <w:bottom w:val="single" w:sz="4" w:space="0" w:color="auto"/>
              <w:right w:val="single" w:sz="4" w:space="0" w:color="auto"/>
            </w:tcBorders>
            <w:shd w:val="clear" w:color="000000" w:fill="FF9900"/>
            <w:noWrap/>
            <w:vAlign w:val="center"/>
            <w:hideMark/>
          </w:tcPr>
          <w:p w14:paraId="5EDFEA64" w14:textId="77777777" w:rsidR="005E671C" w:rsidRPr="005E671C" w:rsidRDefault="005E671C" w:rsidP="005E671C">
            <w:pPr>
              <w:spacing w:after="0" w:line="240" w:lineRule="auto"/>
              <w:jc w:val="center"/>
              <w:rPr>
                <w:rFonts w:ascii="Calibri" w:eastAsia="Times New Roman" w:hAnsi="Calibri" w:cs="Calibri"/>
                <w:lang w:eastAsia="hr-HR"/>
              </w:rPr>
            </w:pPr>
            <w:r w:rsidRPr="005E671C">
              <w:rPr>
                <w:rFonts w:ascii="Calibri" w:eastAsia="Times New Roman" w:hAnsi="Calibri" w:cs="Calibri"/>
                <w:lang w:eastAsia="hr-HR"/>
              </w:rPr>
              <w:t>0</w:t>
            </w:r>
          </w:p>
        </w:tc>
        <w:tc>
          <w:tcPr>
            <w:tcW w:w="434" w:type="dxa"/>
            <w:tcBorders>
              <w:top w:val="nil"/>
              <w:left w:val="nil"/>
              <w:bottom w:val="single" w:sz="4" w:space="0" w:color="auto"/>
              <w:right w:val="single" w:sz="4" w:space="0" w:color="auto"/>
            </w:tcBorders>
            <w:shd w:val="clear" w:color="000000" w:fill="FF9900"/>
            <w:noWrap/>
            <w:vAlign w:val="center"/>
            <w:hideMark/>
          </w:tcPr>
          <w:p w14:paraId="4F2FDE03" w14:textId="77777777" w:rsidR="005E671C" w:rsidRPr="005E671C" w:rsidRDefault="005E671C" w:rsidP="005E671C">
            <w:pPr>
              <w:spacing w:after="0" w:line="240" w:lineRule="auto"/>
              <w:jc w:val="center"/>
              <w:rPr>
                <w:rFonts w:ascii="Calibri" w:eastAsia="Times New Roman" w:hAnsi="Calibri" w:cs="Calibri"/>
                <w:lang w:eastAsia="hr-HR"/>
              </w:rPr>
            </w:pPr>
            <w:r w:rsidRPr="005E671C">
              <w:rPr>
                <w:rFonts w:ascii="Calibri" w:eastAsia="Times New Roman" w:hAnsi="Calibri" w:cs="Calibri"/>
                <w:lang w:eastAsia="hr-HR"/>
              </w:rPr>
              <w:t>0</w:t>
            </w:r>
          </w:p>
        </w:tc>
        <w:tc>
          <w:tcPr>
            <w:tcW w:w="443" w:type="dxa"/>
            <w:gridSpan w:val="2"/>
            <w:tcBorders>
              <w:top w:val="nil"/>
              <w:left w:val="nil"/>
              <w:bottom w:val="single" w:sz="4" w:space="0" w:color="auto"/>
              <w:right w:val="single" w:sz="4" w:space="0" w:color="auto"/>
            </w:tcBorders>
            <w:shd w:val="clear" w:color="000000" w:fill="66FFCC"/>
            <w:noWrap/>
            <w:vAlign w:val="center"/>
            <w:hideMark/>
          </w:tcPr>
          <w:p w14:paraId="7A64F134" w14:textId="77777777" w:rsidR="005E671C" w:rsidRPr="005E671C" w:rsidRDefault="005E671C" w:rsidP="005E671C">
            <w:pPr>
              <w:spacing w:after="0" w:line="240" w:lineRule="auto"/>
              <w:jc w:val="center"/>
              <w:rPr>
                <w:rFonts w:ascii="Calibri" w:eastAsia="Times New Roman" w:hAnsi="Calibri" w:cs="Calibri"/>
                <w:lang w:eastAsia="hr-HR"/>
              </w:rPr>
            </w:pPr>
            <w:r w:rsidRPr="005E671C">
              <w:rPr>
                <w:rFonts w:ascii="Calibri" w:eastAsia="Times New Roman" w:hAnsi="Calibri" w:cs="Calibri"/>
                <w:lang w:eastAsia="hr-HR"/>
              </w:rPr>
              <w:t>0</w:t>
            </w:r>
          </w:p>
        </w:tc>
        <w:tc>
          <w:tcPr>
            <w:tcW w:w="698" w:type="dxa"/>
            <w:tcBorders>
              <w:top w:val="nil"/>
              <w:left w:val="nil"/>
              <w:bottom w:val="single" w:sz="4" w:space="0" w:color="auto"/>
              <w:right w:val="single" w:sz="4" w:space="0" w:color="auto"/>
            </w:tcBorders>
            <w:shd w:val="clear" w:color="000000" w:fill="66FFCC"/>
            <w:noWrap/>
            <w:vAlign w:val="center"/>
            <w:hideMark/>
          </w:tcPr>
          <w:p w14:paraId="0D86491C" w14:textId="77777777" w:rsidR="005E671C" w:rsidRPr="005E671C" w:rsidRDefault="005E671C" w:rsidP="005E671C">
            <w:pPr>
              <w:spacing w:after="0" w:line="240" w:lineRule="auto"/>
              <w:jc w:val="center"/>
              <w:rPr>
                <w:rFonts w:ascii="Calibri" w:eastAsia="Times New Roman" w:hAnsi="Calibri" w:cs="Calibri"/>
                <w:lang w:eastAsia="hr-HR"/>
              </w:rPr>
            </w:pPr>
            <w:r w:rsidRPr="005E671C">
              <w:rPr>
                <w:rFonts w:ascii="Calibri" w:eastAsia="Times New Roman" w:hAnsi="Calibri" w:cs="Calibri"/>
                <w:lang w:eastAsia="hr-HR"/>
              </w:rPr>
              <w:t>0</w:t>
            </w:r>
          </w:p>
        </w:tc>
        <w:tc>
          <w:tcPr>
            <w:tcW w:w="574" w:type="dxa"/>
            <w:tcBorders>
              <w:top w:val="nil"/>
              <w:left w:val="nil"/>
              <w:bottom w:val="single" w:sz="4" w:space="0" w:color="auto"/>
              <w:right w:val="single" w:sz="4" w:space="0" w:color="auto"/>
            </w:tcBorders>
            <w:shd w:val="clear" w:color="000000" w:fill="66FFCC"/>
            <w:noWrap/>
            <w:vAlign w:val="center"/>
            <w:hideMark/>
          </w:tcPr>
          <w:p w14:paraId="73AF7C54" w14:textId="77777777" w:rsidR="005E671C" w:rsidRPr="005E671C" w:rsidRDefault="005E671C" w:rsidP="005E671C">
            <w:pPr>
              <w:spacing w:after="0" w:line="240" w:lineRule="auto"/>
              <w:jc w:val="center"/>
              <w:rPr>
                <w:rFonts w:ascii="Calibri" w:eastAsia="Times New Roman" w:hAnsi="Calibri" w:cs="Calibri"/>
                <w:lang w:eastAsia="hr-HR"/>
              </w:rPr>
            </w:pPr>
            <w:r w:rsidRPr="005E671C">
              <w:rPr>
                <w:rFonts w:ascii="Calibri" w:eastAsia="Times New Roman" w:hAnsi="Calibri" w:cs="Calibri"/>
                <w:lang w:eastAsia="hr-HR"/>
              </w:rPr>
              <w:t>0</w:t>
            </w:r>
          </w:p>
        </w:tc>
        <w:tc>
          <w:tcPr>
            <w:tcW w:w="560" w:type="dxa"/>
            <w:tcBorders>
              <w:top w:val="nil"/>
              <w:left w:val="nil"/>
              <w:bottom w:val="single" w:sz="4" w:space="0" w:color="auto"/>
              <w:right w:val="single" w:sz="4" w:space="0" w:color="auto"/>
            </w:tcBorders>
            <w:shd w:val="clear" w:color="000000" w:fill="66FFCC"/>
            <w:noWrap/>
            <w:vAlign w:val="center"/>
            <w:hideMark/>
          </w:tcPr>
          <w:p w14:paraId="2E419575" w14:textId="77777777" w:rsidR="005E671C" w:rsidRPr="005E671C" w:rsidRDefault="005E671C" w:rsidP="005E671C">
            <w:pPr>
              <w:spacing w:after="0" w:line="240" w:lineRule="auto"/>
              <w:jc w:val="center"/>
              <w:rPr>
                <w:rFonts w:ascii="Calibri" w:eastAsia="Times New Roman" w:hAnsi="Calibri" w:cs="Calibri"/>
                <w:lang w:eastAsia="hr-HR"/>
              </w:rPr>
            </w:pPr>
            <w:r w:rsidRPr="005E671C">
              <w:rPr>
                <w:rFonts w:ascii="Calibri" w:eastAsia="Times New Roman" w:hAnsi="Calibri" w:cs="Calibri"/>
                <w:lang w:eastAsia="hr-HR"/>
              </w:rPr>
              <w:t>0</w:t>
            </w:r>
          </w:p>
        </w:tc>
        <w:tc>
          <w:tcPr>
            <w:tcW w:w="430" w:type="dxa"/>
            <w:gridSpan w:val="2"/>
            <w:tcBorders>
              <w:top w:val="nil"/>
              <w:left w:val="nil"/>
              <w:bottom w:val="single" w:sz="4" w:space="0" w:color="auto"/>
              <w:right w:val="single" w:sz="4" w:space="0" w:color="auto"/>
            </w:tcBorders>
            <w:shd w:val="clear" w:color="000000" w:fill="FFFF00"/>
            <w:vAlign w:val="center"/>
            <w:hideMark/>
          </w:tcPr>
          <w:p w14:paraId="250F758F" w14:textId="77777777" w:rsidR="005E671C" w:rsidRPr="005E671C" w:rsidRDefault="005E671C" w:rsidP="005E671C">
            <w:pPr>
              <w:spacing w:after="0" w:line="240" w:lineRule="auto"/>
              <w:jc w:val="center"/>
              <w:rPr>
                <w:rFonts w:ascii="Calibri" w:eastAsia="Times New Roman" w:hAnsi="Calibri" w:cs="Calibri"/>
                <w:lang w:eastAsia="hr-HR"/>
              </w:rPr>
            </w:pPr>
            <w:r w:rsidRPr="005E671C">
              <w:rPr>
                <w:rFonts w:ascii="Calibri" w:eastAsia="Times New Roman" w:hAnsi="Calibri" w:cs="Calibri"/>
                <w:lang w:eastAsia="hr-HR"/>
              </w:rPr>
              <w:t>0</w:t>
            </w:r>
          </w:p>
        </w:tc>
        <w:tc>
          <w:tcPr>
            <w:tcW w:w="425" w:type="dxa"/>
            <w:gridSpan w:val="2"/>
            <w:tcBorders>
              <w:top w:val="nil"/>
              <w:left w:val="nil"/>
              <w:bottom w:val="single" w:sz="4" w:space="0" w:color="auto"/>
              <w:right w:val="single" w:sz="4" w:space="0" w:color="auto"/>
            </w:tcBorders>
            <w:shd w:val="clear" w:color="000000" w:fill="FFFF99"/>
            <w:vAlign w:val="center"/>
            <w:hideMark/>
          </w:tcPr>
          <w:p w14:paraId="5D1DB06F" w14:textId="77777777" w:rsidR="005E671C" w:rsidRPr="005E671C" w:rsidRDefault="005E671C" w:rsidP="005E671C">
            <w:pPr>
              <w:spacing w:after="0" w:line="240" w:lineRule="auto"/>
              <w:jc w:val="center"/>
              <w:rPr>
                <w:rFonts w:ascii="Calibri" w:eastAsia="Times New Roman" w:hAnsi="Calibri" w:cs="Calibri"/>
                <w:lang w:eastAsia="hr-HR"/>
              </w:rPr>
            </w:pPr>
            <w:r w:rsidRPr="005E671C">
              <w:rPr>
                <w:rFonts w:ascii="Calibri" w:eastAsia="Times New Roman" w:hAnsi="Calibri" w:cs="Calibri"/>
                <w:lang w:eastAsia="hr-HR"/>
              </w:rPr>
              <w:t>0</w:t>
            </w:r>
          </w:p>
        </w:tc>
        <w:tc>
          <w:tcPr>
            <w:tcW w:w="540" w:type="dxa"/>
            <w:gridSpan w:val="2"/>
            <w:tcBorders>
              <w:top w:val="nil"/>
              <w:left w:val="nil"/>
              <w:bottom w:val="single" w:sz="4" w:space="0" w:color="auto"/>
              <w:right w:val="single" w:sz="4" w:space="0" w:color="auto"/>
            </w:tcBorders>
            <w:shd w:val="clear" w:color="000000" w:fill="FF9900"/>
            <w:vAlign w:val="center"/>
            <w:hideMark/>
          </w:tcPr>
          <w:p w14:paraId="57068916" w14:textId="77777777" w:rsidR="005E671C" w:rsidRPr="005E671C" w:rsidRDefault="005E671C" w:rsidP="005E671C">
            <w:pPr>
              <w:spacing w:after="0" w:line="240" w:lineRule="auto"/>
              <w:jc w:val="center"/>
              <w:rPr>
                <w:rFonts w:ascii="Calibri" w:eastAsia="Times New Roman" w:hAnsi="Calibri" w:cs="Calibri"/>
                <w:lang w:eastAsia="hr-HR"/>
              </w:rPr>
            </w:pPr>
            <w:r w:rsidRPr="005E671C">
              <w:rPr>
                <w:rFonts w:ascii="Calibri" w:eastAsia="Times New Roman" w:hAnsi="Calibri" w:cs="Calibri"/>
                <w:lang w:eastAsia="hr-HR"/>
              </w:rPr>
              <w:t>0</w:t>
            </w:r>
          </w:p>
        </w:tc>
        <w:tc>
          <w:tcPr>
            <w:tcW w:w="435" w:type="dxa"/>
            <w:tcBorders>
              <w:top w:val="nil"/>
              <w:left w:val="nil"/>
              <w:bottom w:val="single" w:sz="4" w:space="0" w:color="auto"/>
              <w:right w:val="single" w:sz="4" w:space="0" w:color="auto"/>
            </w:tcBorders>
            <w:shd w:val="clear" w:color="000000" w:fill="CCFFFF"/>
            <w:vAlign w:val="center"/>
            <w:hideMark/>
          </w:tcPr>
          <w:p w14:paraId="30C5E703" w14:textId="77777777" w:rsidR="005E671C" w:rsidRPr="005E671C" w:rsidRDefault="005E671C" w:rsidP="005E671C">
            <w:pPr>
              <w:spacing w:after="0" w:line="240" w:lineRule="auto"/>
              <w:jc w:val="center"/>
              <w:rPr>
                <w:rFonts w:ascii="Calibri" w:eastAsia="Times New Roman" w:hAnsi="Calibri" w:cs="Calibri"/>
                <w:lang w:eastAsia="hr-HR"/>
              </w:rPr>
            </w:pPr>
            <w:r w:rsidRPr="005E671C">
              <w:rPr>
                <w:rFonts w:ascii="Calibri" w:eastAsia="Times New Roman" w:hAnsi="Calibri" w:cs="Calibri"/>
                <w:lang w:eastAsia="hr-HR"/>
              </w:rPr>
              <w:t>0</w:t>
            </w:r>
          </w:p>
        </w:tc>
        <w:tc>
          <w:tcPr>
            <w:tcW w:w="655" w:type="dxa"/>
            <w:tcBorders>
              <w:top w:val="nil"/>
              <w:left w:val="nil"/>
              <w:bottom w:val="single" w:sz="4" w:space="0" w:color="auto"/>
              <w:right w:val="single" w:sz="4" w:space="0" w:color="auto"/>
            </w:tcBorders>
            <w:shd w:val="clear" w:color="000000" w:fill="CCFFFF"/>
            <w:vAlign w:val="center"/>
            <w:hideMark/>
          </w:tcPr>
          <w:p w14:paraId="333C25A6" w14:textId="77777777" w:rsidR="005E671C" w:rsidRPr="005E671C" w:rsidRDefault="005E671C" w:rsidP="005E671C">
            <w:pPr>
              <w:spacing w:after="0" w:line="240" w:lineRule="auto"/>
              <w:jc w:val="center"/>
              <w:rPr>
                <w:rFonts w:ascii="Calibri" w:eastAsia="Times New Roman" w:hAnsi="Calibri" w:cs="Calibri"/>
                <w:lang w:eastAsia="hr-HR"/>
              </w:rPr>
            </w:pPr>
            <w:r w:rsidRPr="005E671C">
              <w:rPr>
                <w:rFonts w:ascii="Calibri" w:eastAsia="Times New Roman" w:hAnsi="Calibri" w:cs="Calibri"/>
                <w:lang w:eastAsia="hr-HR"/>
              </w:rPr>
              <w:t>0</w:t>
            </w:r>
          </w:p>
        </w:tc>
        <w:tc>
          <w:tcPr>
            <w:tcW w:w="645" w:type="dxa"/>
            <w:tcBorders>
              <w:top w:val="nil"/>
              <w:left w:val="nil"/>
              <w:bottom w:val="single" w:sz="4" w:space="0" w:color="auto"/>
              <w:right w:val="single" w:sz="4" w:space="0" w:color="auto"/>
            </w:tcBorders>
            <w:shd w:val="clear" w:color="000000" w:fill="CCFFFF"/>
            <w:vAlign w:val="center"/>
            <w:hideMark/>
          </w:tcPr>
          <w:p w14:paraId="257D16B1" w14:textId="77777777" w:rsidR="005E671C" w:rsidRPr="005E671C" w:rsidRDefault="005E671C" w:rsidP="005E671C">
            <w:pPr>
              <w:spacing w:after="0" w:line="240" w:lineRule="auto"/>
              <w:jc w:val="center"/>
              <w:rPr>
                <w:rFonts w:ascii="Calibri" w:eastAsia="Times New Roman" w:hAnsi="Calibri" w:cs="Calibri"/>
                <w:lang w:eastAsia="hr-HR"/>
              </w:rPr>
            </w:pPr>
            <w:r w:rsidRPr="005E671C">
              <w:rPr>
                <w:rFonts w:ascii="Calibri" w:eastAsia="Times New Roman" w:hAnsi="Calibri" w:cs="Calibri"/>
                <w:lang w:eastAsia="hr-HR"/>
              </w:rPr>
              <w:t>0</w:t>
            </w:r>
          </w:p>
        </w:tc>
        <w:tc>
          <w:tcPr>
            <w:tcW w:w="699" w:type="dxa"/>
            <w:tcBorders>
              <w:top w:val="nil"/>
              <w:left w:val="nil"/>
              <w:bottom w:val="single" w:sz="4" w:space="0" w:color="auto"/>
              <w:right w:val="nil"/>
            </w:tcBorders>
            <w:shd w:val="clear" w:color="000000" w:fill="33CCCC"/>
            <w:noWrap/>
            <w:vAlign w:val="center"/>
            <w:hideMark/>
          </w:tcPr>
          <w:p w14:paraId="4ADC3F6B" w14:textId="77777777" w:rsidR="005E671C" w:rsidRPr="005E671C" w:rsidRDefault="005E671C" w:rsidP="005E671C">
            <w:pPr>
              <w:spacing w:after="0" w:line="240" w:lineRule="auto"/>
              <w:jc w:val="center"/>
              <w:rPr>
                <w:rFonts w:ascii="Calibri" w:eastAsia="Times New Roman" w:hAnsi="Calibri" w:cs="Calibri"/>
                <w:lang w:eastAsia="hr-HR"/>
              </w:rPr>
            </w:pPr>
            <w:r w:rsidRPr="005E671C">
              <w:rPr>
                <w:rFonts w:ascii="Calibri" w:eastAsia="Times New Roman" w:hAnsi="Calibri" w:cs="Calibri"/>
                <w:lang w:eastAsia="hr-HR"/>
              </w:rPr>
              <w:t>0</w:t>
            </w:r>
          </w:p>
        </w:tc>
        <w:tc>
          <w:tcPr>
            <w:tcW w:w="700" w:type="dxa"/>
            <w:tcBorders>
              <w:top w:val="nil"/>
              <w:left w:val="single" w:sz="4" w:space="0" w:color="auto"/>
              <w:bottom w:val="single" w:sz="4" w:space="0" w:color="auto"/>
              <w:right w:val="single" w:sz="8" w:space="0" w:color="auto"/>
            </w:tcBorders>
            <w:shd w:val="clear" w:color="000000" w:fill="33CCCC"/>
            <w:noWrap/>
            <w:vAlign w:val="center"/>
            <w:hideMark/>
          </w:tcPr>
          <w:p w14:paraId="7E79D1C5" w14:textId="77777777" w:rsidR="005E671C" w:rsidRPr="005E671C" w:rsidRDefault="005E671C" w:rsidP="005E671C">
            <w:pPr>
              <w:spacing w:after="0" w:line="240" w:lineRule="auto"/>
              <w:jc w:val="center"/>
              <w:rPr>
                <w:rFonts w:ascii="Calibri" w:eastAsia="Times New Roman" w:hAnsi="Calibri" w:cs="Calibri"/>
                <w:lang w:eastAsia="hr-HR"/>
              </w:rPr>
            </w:pPr>
            <w:r w:rsidRPr="005E671C">
              <w:rPr>
                <w:rFonts w:ascii="Calibri" w:eastAsia="Times New Roman" w:hAnsi="Calibri" w:cs="Calibri"/>
                <w:lang w:eastAsia="hr-HR"/>
              </w:rPr>
              <w:t>0</w:t>
            </w:r>
          </w:p>
        </w:tc>
        <w:tc>
          <w:tcPr>
            <w:tcW w:w="239" w:type="dxa"/>
            <w:gridSpan w:val="2"/>
            <w:vAlign w:val="center"/>
            <w:hideMark/>
          </w:tcPr>
          <w:p w14:paraId="227173F8" w14:textId="77777777" w:rsidR="005E671C" w:rsidRPr="005E671C" w:rsidRDefault="005E671C" w:rsidP="005E671C">
            <w:pPr>
              <w:spacing w:after="0" w:line="240" w:lineRule="auto"/>
              <w:rPr>
                <w:rFonts w:ascii="Times New Roman" w:eastAsia="Times New Roman" w:hAnsi="Times New Roman" w:cs="Times New Roman"/>
                <w:sz w:val="20"/>
                <w:szCs w:val="20"/>
                <w:lang w:eastAsia="hr-HR"/>
              </w:rPr>
            </w:pPr>
          </w:p>
        </w:tc>
      </w:tr>
      <w:tr w:rsidR="005E671C" w:rsidRPr="005E671C" w14:paraId="6D22F5D4" w14:textId="77777777" w:rsidTr="001752B7">
        <w:trPr>
          <w:gridAfter w:val="1"/>
          <w:wAfter w:w="23" w:type="dxa"/>
          <w:trHeight w:val="300"/>
        </w:trPr>
        <w:tc>
          <w:tcPr>
            <w:tcW w:w="1408" w:type="dxa"/>
            <w:tcBorders>
              <w:top w:val="single" w:sz="4" w:space="0" w:color="auto"/>
              <w:left w:val="single" w:sz="8" w:space="0" w:color="auto"/>
              <w:bottom w:val="single" w:sz="4" w:space="0" w:color="auto"/>
              <w:right w:val="single" w:sz="4" w:space="0" w:color="auto"/>
            </w:tcBorders>
            <w:shd w:val="clear" w:color="000000" w:fill="CCFFCC"/>
            <w:vAlign w:val="center"/>
            <w:hideMark/>
          </w:tcPr>
          <w:p w14:paraId="010798AD" w14:textId="77777777" w:rsidR="005E671C" w:rsidRPr="005E671C" w:rsidRDefault="005E671C" w:rsidP="005E671C">
            <w:pPr>
              <w:spacing w:after="0" w:line="240" w:lineRule="auto"/>
              <w:jc w:val="center"/>
              <w:rPr>
                <w:rFonts w:ascii="Calibri" w:eastAsia="Times New Roman" w:hAnsi="Calibri" w:cs="Calibri"/>
                <w:lang w:eastAsia="hr-HR"/>
              </w:rPr>
            </w:pPr>
            <w:r w:rsidRPr="005E671C">
              <w:rPr>
                <w:rFonts w:ascii="Calibri" w:eastAsia="Times New Roman" w:hAnsi="Calibri" w:cs="Calibri"/>
                <w:lang w:eastAsia="hr-HR"/>
              </w:rPr>
              <w:t>Vjera</w:t>
            </w:r>
          </w:p>
        </w:tc>
        <w:tc>
          <w:tcPr>
            <w:tcW w:w="595" w:type="dxa"/>
            <w:tcBorders>
              <w:top w:val="nil"/>
              <w:left w:val="nil"/>
              <w:bottom w:val="single" w:sz="4" w:space="0" w:color="auto"/>
              <w:right w:val="single" w:sz="4" w:space="0" w:color="auto"/>
            </w:tcBorders>
            <w:shd w:val="clear" w:color="000000" w:fill="CCFFCC"/>
            <w:vAlign w:val="center"/>
            <w:hideMark/>
          </w:tcPr>
          <w:p w14:paraId="1B78CEBC" w14:textId="77777777" w:rsidR="005E671C" w:rsidRPr="005E671C" w:rsidRDefault="005E671C" w:rsidP="005E671C">
            <w:pPr>
              <w:spacing w:after="0" w:line="240" w:lineRule="auto"/>
              <w:jc w:val="center"/>
              <w:rPr>
                <w:rFonts w:ascii="Calibri" w:eastAsia="Times New Roman" w:hAnsi="Calibri" w:cs="Calibri"/>
                <w:lang w:eastAsia="hr-HR"/>
              </w:rPr>
            </w:pPr>
            <w:r w:rsidRPr="005E671C">
              <w:rPr>
                <w:rFonts w:ascii="Calibri" w:eastAsia="Times New Roman" w:hAnsi="Calibri" w:cs="Calibri"/>
                <w:lang w:eastAsia="hr-HR"/>
              </w:rPr>
              <w:t>0</w:t>
            </w:r>
          </w:p>
        </w:tc>
        <w:tc>
          <w:tcPr>
            <w:tcW w:w="549" w:type="dxa"/>
            <w:tcBorders>
              <w:top w:val="nil"/>
              <w:left w:val="nil"/>
              <w:bottom w:val="single" w:sz="4" w:space="0" w:color="auto"/>
              <w:right w:val="single" w:sz="4" w:space="0" w:color="auto"/>
            </w:tcBorders>
            <w:shd w:val="clear" w:color="000000" w:fill="FFCC99"/>
            <w:noWrap/>
            <w:vAlign w:val="center"/>
            <w:hideMark/>
          </w:tcPr>
          <w:p w14:paraId="049FCA62" w14:textId="77777777" w:rsidR="005E671C" w:rsidRPr="005E671C" w:rsidRDefault="005E671C" w:rsidP="005E671C">
            <w:pPr>
              <w:spacing w:after="0" w:line="240" w:lineRule="auto"/>
              <w:jc w:val="center"/>
              <w:rPr>
                <w:rFonts w:ascii="Calibri" w:eastAsia="Times New Roman" w:hAnsi="Calibri" w:cs="Calibri"/>
                <w:lang w:eastAsia="hr-HR"/>
              </w:rPr>
            </w:pPr>
            <w:r w:rsidRPr="005E671C">
              <w:rPr>
                <w:rFonts w:ascii="Calibri" w:eastAsia="Times New Roman" w:hAnsi="Calibri" w:cs="Calibri"/>
                <w:lang w:eastAsia="hr-HR"/>
              </w:rPr>
              <w:t>3</w:t>
            </w:r>
          </w:p>
        </w:tc>
        <w:tc>
          <w:tcPr>
            <w:tcW w:w="441" w:type="dxa"/>
            <w:tcBorders>
              <w:top w:val="nil"/>
              <w:left w:val="nil"/>
              <w:bottom w:val="single" w:sz="4" w:space="0" w:color="auto"/>
              <w:right w:val="single" w:sz="4" w:space="0" w:color="auto"/>
            </w:tcBorders>
            <w:shd w:val="clear" w:color="000000" w:fill="CCFFFF"/>
            <w:noWrap/>
            <w:vAlign w:val="center"/>
            <w:hideMark/>
          </w:tcPr>
          <w:p w14:paraId="0123C68B" w14:textId="77777777" w:rsidR="005E671C" w:rsidRPr="005E671C" w:rsidRDefault="005E671C" w:rsidP="005E671C">
            <w:pPr>
              <w:spacing w:after="0" w:line="240" w:lineRule="auto"/>
              <w:jc w:val="center"/>
              <w:rPr>
                <w:rFonts w:ascii="Calibri" w:eastAsia="Times New Roman" w:hAnsi="Calibri" w:cs="Calibri"/>
                <w:lang w:eastAsia="hr-HR"/>
              </w:rPr>
            </w:pPr>
            <w:r w:rsidRPr="005E671C">
              <w:rPr>
                <w:rFonts w:ascii="Calibri" w:eastAsia="Times New Roman" w:hAnsi="Calibri" w:cs="Calibri"/>
                <w:lang w:eastAsia="hr-HR"/>
              </w:rPr>
              <w:t>1</w:t>
            </w:r>
          </w:p>
        </w:tc>
        <w:tc>
          <w:tcPr>
            <w:tcW w:w="432" w:type="dxa"/>
            <w:tcBorders>
              <w:top w:val="nil"/>
              <w:left w:val="nil"/>
              <w:bottom w:val="single" w:sz="4" w:space="0" w:color="auto"/>
              <w:right w:val="single" w:sz="4" w:space="0" w:color="auto"/>
            </w:tcBorders>
            <w:shd w:val="clear" w:color="000000" w:fill="CCFFFF"/>
            <w:noWrap/>
            <w:vAlign w:val="center"/>
            <w:hideMark/>
          </w:tcPr>
          <w:p w14:paraId="54846F6A" w14:textId="77777777" w:rsidR="005E671C" w:rsidRPr="005E671C" w:rsidRDefault="005E671C" w:rsidP="005E671C">
            <w:pPr>
              <w:spacing w:after="0" w:line="240" w:lineRule="auto"/>
              <w:jc w:val="center"/>
              <w:rPr>
                <w:rFonts w:ascii="Calibri" w:eastAsia="Times New Roman" w:hAnsi="Calibri" w:cs="Calibri"/>
                <w:lang w:eastAsia="hr-HR"/>
              </w:rPr>
            </w:pPr>
            <w:r w:rsidRPr="005E671C">
              <w:rPr>
                <w:rFonts w:ascii="Calibri" w:eastAsia="Times New Roman" w:hAnsi="Calibri" w:cs="Calibri"/>
                <w:lang w:eastAsia="hr-HR"/>
              </w:rPr>
              <w:t>3</w:t>
            </w:r>
          </w:p>
        </w:tc>
        <w:tc>
          <w:tcPr>
            <w:tcW w:w="421" w:type="dxa"/>
            <w:gridSpan w:val="2"/>
            <w:tcBorders>
              <w:top w:val="nil"/>
              <w:left w:val="nil"/>
              <w:bottom w:val="single" w:sz="4" w:space="0" w:color="auto"/>
              <w:right w:val="single" w:sz="4" w:space="0" w:color="auto"/>
            </w:tcBorders>
            <w:shd w:val="clear" w:color="000000" w:fill="FFFF99"/>
            <w:noWrap/>
            <w:vAlign w:val="center"/>
            <w:hideMark/>
          </w:tcPr>
          <w:p w14:paraId="77B31E71" w14:textId="77777777" w:rsidR="005E671C" w:rsidRPr="005E671C" w:rsidRDefault="005E671C" w:rsidP="005E671C">
            <w:pPr>
              <w:spacing w:after="0" w:line="240" w:lineRule="auto"/>
              <w:jc w:val="center"/>
              <w:rPr>
                <w:rFonts w:ascii="Calibri" w:eastAsia="Times New Roman" w:hAnsi="Calibri" w:cs="Calibri"/>
                <w:lang w:eastAsia="hr-HR"/>
              </w:rPr>
            </w:pPr>
            <w:r w:rsidRPr="005E671C">
              <w:rPr>
                <w:rFonts w:ascii="Calibri" w:eastAsia="Times New Roman" w:hAnsi="Calibri" w:cs="Calibri"/>
                <w:lang w:eastAsia="hr-HR"/>
              </w:rPr>
              <w:t>3</w:t>
            </w:r>
          </w:p>
        </w:tc>
        <w:tc>
          <w:tcPr>
            <w:tcW w:w="431" w:type="dxa"/>
            <w:tcBorders>
              <w:top w:val="nil"/>
              <w:left w:val="nil"/>
              <w:bottom w:val="single" w:sz="4" w:space="0" w:color="auto"/>
              <w:right w:val="single" w:sz="4" w:space="0" w:color="auto"/>
            </w:tcBorders>
            <w:shd w:val="clear" w:color="000000" w:fill="FFFF99"/>
            <w:noWrap/>
            <w:vAlign w:val="center"/>
            <w:hideMark/>
          </w:tcPr>
          <w:p w14:paraId="2DA3DC73" w14:textId="77777777" w:rsidR="005E671C" w:rsidRPr="005E671C" w:rsidRDefault="005E671C" w:rsidP="005E671C">
            <w:pPr>
              <w:spacing w:after="0" w:line="240" w:lineRule="auto"/>
              <w:jc w:val="center"/>
              <w:rPr>
                <w:rFonts w:ascii="Calibri" w:eastAsia="Times New Roman" w:hAnsi="Calibri" w:cs="Calibri"/>
                <w:lang w:eastAsia="hr-HR"/>
              </w:rPr>
            </w:pPr>
            <w:r w:rsidRPr="005E671C">
              <w:rPr>
                <w:rFonts w:ascii="Calibri" w:eastAsia="Times New Roman" w:hAnsi="Calibri" w:cs="Calibri"/>
                <w:lang w:eastAsia="hr-HR"/>
              </w:rPr>
              <w:t>0</w:t>
            </w:r>
          </w:p>
        </w:tc>
        <w:tc>
          <w:tcPr>
            <w:tcW w:w="420" w:type="dxa"/>
            <w:tcBorders>
              <w:top w:val="nil"/>
              <w:left w:val="nil"/>
              <w:bottom w:val="single" w:sz="4" w:space="0" w:color="auto"/>
              <w:right w:val="single" w:sz="4" w:space="0" w:color="auto"/>
            </w:tcBorders>
            <w:shd w:val="clear" w:color="000000" w:fill="FFFF99"/>
            <w:noWrap/>
            <w:vAlign w:val="center"/>
            <w:hideMark/>
          </w:tcPr>
          <w:p w14:paraId="024CE3F3" w14:textId="77777777" w:rsidR="005E671C" w:rsidRPr="005E671C" w:rsidRDefault="005E671C" w:rsidP="005E671C">
            <w:pPr>
              <w:spacing w:after="0" w:line="240" w:lineRule="auto"/>
              <w:jc w:val="center"/>
              <w:rPr>
                <w:rFonts w:ascii="Calibri" w:eastAsia="Times New Roman" w:hAnsi="Calibri" w:cs="Calibri"/>
                <w:lang w:eastAsia="hr-HR"/>
              </w:rPr>
            </w:pPr>
            <w:r w:rsidRPr="005E671C">
              <w:rPr>
                <w:rFonts w:ascii="Calibri" w:eastAsia="Times New Roman" w:hAnsi="Calibri" w:cs="Calibri"/>
                <w:lang w:eastAsia="hr-HR"/>
              </w:rPr>
              <w:t>0</w:t>
            </w:r>
          </w:p>
        </w:tc>
        <w:tc>
          <w:tcPr>
            <w:tcW w:w="429" w:type="dxa"/>
            <w:tcBorders>
              <w:top w:val="nil"/>
              <w:left w:val="nil"/>
              <w:bottom w:val="single" w:sz="4" w:space="0" w:color="auto"/>
              <w:right w:val="single" w:sz="4" w:space="0" w:color="auto"/>
            </w:tcBorders>
            <w:shd w:val="clear" w:color="000000" w:fill="FFFF99"/>
            <w:noWrap/>
            <w:vAlign w:val="center"/>
            <w:hideMark/>
          </w:tcPr>
          <w:p w14:paraId="5AD18F48" w14:textId="77777777" w:rsidR="005E671C" w:rsidRPr="005E671C" w:rsidRDefault="005E671C" w:rsidP="005E671C">
            <w:pPr>
              <w:spacing w:after="0" w:line="240" w:lineRule="auto"/>
              <w:jc w:val="center"/>
              <w:rPr>
                <w:rFonts w:ascii="Calibri" w:eastAsia="Times New Roman" w:hAnsi="Calibri" w:cs="Calibri"/>
                <w:lang w:eastAsia="hr-HR"/>
              </w:rPr>
            </w:pPr>
            <w:r w:rsidRPr="005E671C">
              <w:rPr>
                <w:rFonts w:ascii="Calibri" w:eastAsia="Times New Roman" w:hAnsi="Calibri" w:cs="Calibri"/>
                <w:lang w:eastAsia="hr-HR"/>
              </w:rPr>
              <w:t>0</w:t>
            </w:r>
          </w:p>
        </w:tc>
        <w:tc>
          <w:tcPr>
            <w:tcW w:w="581" w:type="dxa"/>
            <w:tcBorders>
              <w:top w:val="nil"/>
              <w:left w:val="nil"/>
              <w:bottom w:val="single" w:sz="4" w:space="0" w:color="auto"/>
              <w:right w:val="single" w:sz="4" w:space="0" w:color="auto"/>
            </w:tcBorders>
            <w:shd w:val="clear" w:color="000000" w:fill="FFFF99"/>
            <w:noWrap/>
            <w:vAlign w:val="center"/>
            <w:hideMark/>
          </w:tcPr>
          <w:p w14:paraId="3472AB3B" w14:textId="77777777" w:rsidR="005E671C" w:rsidRPr="005E671C" w:rsidRDefault="005E671C" w:rsidP="005E671C">
            <w:pPr>
              <w:spacing w:after="0" w:line="240" w:lineRule="auto"/>
              <w:jc w:val="center"/>
              <w:rPr>
                <w:rFonts w:ascii="Calibri" w:eastAsia="Times New Roman" w:hAnsi="Calibri" w:cs="Calibri"/>
                <w:lang w:eastAsia="hr-HR"/>
              </w:rPr>
            </w:pPr>
            <w:r w:rsidRPr="005E671C">
              <w:rPr>
                <w:rFonts w:ascii="Calibri" w:eastAsia="Times New Roman" w:hAnsi="Calibri" w:cs="Calibri"/>
                <w:lang w:eastAsia="hr-HR"/>
              </w:rPr>
              <w:t>0</w:t>
            </w:r>
          </w:p>
        </w:tc>
        <w:tc>
          <w:tcPr>
            <w:tcW w:w="556" w:type="dxa"/>
            <w:gridSpan w:val="2"/>
            <w:tcBorders>
              <w:top w:val="nil"/>
              <w:left w:val="nil"/>
              <w:bottom w:val="single" w:sz="4" w:space="0" w:color="auto"/>
              <w:right w:val="single" w:sz="4" w:space="0" w:color="auto"/>
            </w:tcBorders>
            <w:shd w:val="clear" w:color="000000" w:fill="FF9900"/>
            <w:noWrap/>
            <w:vAlign w:val="center"/>
            <w:hideMark/>
          </w:tcPr>
          <w:p w14:paraId="2E1FBA65" w14:textId="77777777" w:rsidR="005E671C" w:rsidRPr="005E671C" w:rsidRDefault="005E671C" w:rsidP="005E671C">
            <w:pPr>
              <w:spacing w:after="0" w:line="240" w:lineRule="auto"/>
              <w:jc w:val="center"/>
              <w:rPr>
                <w:rFonts w:ascii="Calibri" w:eastAsia="Times New Roman" w:hAnsi="Calibri" w:cs="Calibri"/>
                <w:lang w:eastAsia="hr-HR"/>
              </w:rPr>
            </w:pPr>
            <w:r w:rsidRPr="005E671C">
              <w:rPr>
                <w:rFonts w:ascii="Calibri" w:eastAsia="Times New Roman" w:hAnsi="Calibri" w:cs="Calibri"/>
                <w:lang w:eastAsia="hr-HR"/>
              </w:rPr>
              <w:t>0</w:t>
            </w:r>
          </w:p>
        </w:tc>
        <w:tc>
          <w:tcPr>
            <w:tcW w:w="574" w:type="dxa"/>
            <w:tcBorders>
              <w:top w:val="nil"/>
              <w:left w:val="nil"/>
              <w:bottom w:val="single" w:sz="4" w:space="0" w:color="auto"/>
              <w:right w:val="single" w:sz="4" w:space="0" w:color="auto"/>
            </w:tcBorders>
            <w:shd w:val="clear" w:color="000000" w:fill="FF9900"/>
            <w:noWrap/>
            <w:vAlign w:val="center"/>
            <w:hideMark/>
          </w:tcPr>
          <w:p w14:paraId="123E84DE" w14:textId="77777777" w:rsidR="005E671C" w:rsidRPr="005E671C" w:rsidRDefault="005E671C" w:rsidP="005E671C">
            <w:pPr>
              <w:spacing w:after="0" w:line="240" w:lineRule="auto"/>
              <w:jc w:val="center"/>
              <w:rPr>
                <w:rFonts w:ascii="Calibri" w:eastAsia="Times New Roman" w:hAnsi="Calibri" w:cs="Calibri"/>
                <w:lang w:eastAsia="hr-HR"/>
              </w:rPr>
            </w:pPr>
            <w:r w:rsidRPr="005E671C">
              <w:rPr>
                <w:rFonts w:ascii="Calibri" w:eastAsia="Times New Roman" w:hAnsi="Calibri" w:cs="Calibri"/>
                <w:lang w:eastAsia="hr-HR"/>
              </w:rPr>
              <w:t>0</w:t>
            </w:r>
          </w:p>
        </w:tc>
        <w:tc>
          <w:tcPr>
            <w:tcW w:w="434" w:type="dxa"/>
            <w:tcBorders>
              <w:top w:val="nil"/>
              <w:left w:val="nil"/>
              <w:bottom w:val="single" w:sz="4" w:space="0" w:color="auto"/>
              <w:right w:val="single" w:sz="4" w:space="0" w:color="auto"/>
            </w:tcBorders>
            <w:shd w:val="clear" w:color="000000" w:fill="FF9900"/>
            <w:noWrap/>
            <w:vAlign w:val="center"/>
            <w:hideMark/>
          </w:tcPr>
          <w:p w14:paraId="037BF9C4" w14:textId="77777777" w:rsidR="005E671C" w:rsidRPr="005E671C" w:rsidRDefault="005E671C" w:rsidP="005E671C">
            <w:pPr>
              <w:spacing w:after="0" w:line="240" w:lineRule="auto"/>
              <w:jc w:val="center"/>
              <w:rPr>
                <w:rFonts w:ascii="Calibri" w:eastAsia="Times New Roman" w:hAnsi="Calibri" w:cs="Calibri"/>
                <w:lang w:eastAsia="hr-HR"/>
              </w:rPr>
            </w:pPr>
            <w:r w:rsidRPr="005E671C">
              <w:rPr>
                <w:rFonts w:ascii="Calibri" w:eastAsia="Times New Roman" w:hAnsi="Calibri" w:cs="Calibri"/>
                <w:lang w:eastAsia="hr-HR"/>
              </w:rPr>
              <w:t>0</w:t>
            </w:r>
          </w:p>
        </w:tc>
        <w:tc>
          <w:tcPr>
            <w:tcW w:w="443" w:type="dxa"/>
            <w:gridSpan w:val="2"/>
            <w:tcBorders>
              <w:top w:val="nil"/>
              <w:left w:val="nil"/>
              <w:bottom w:val="single" w:sz="4" w:space="0" w:color="auto"/>
              <w:right w:val="single" w:sz="4" w:space="0" w:color="auto"/>
            </w:tcBorders>
            <w:shd w:val="clear" w:color="000000" w:fill="66FFCC"/>
            <w:noWrap/>
            <w:vAlign w:val="center"/>
            <w:hideMark/>
          </w:tcPr>
          <w:p w14:paraId="462981C2" w14:textId="77777777" w:rsidR="005E671C" w:rsidRPr="005E671C" w:rsidRDefault="005E671C" w:rsidP="005E671C">
            <w:pPr>
              <w:spacing w:after="0" w:line="240" w:lineRule="auto"/>
              <w:jc w:val="center"/>
              <w:rPr>
                <w:rFonts w:ascii="Calibri" w:eastAsia="Times New Roman" w:hAnsi="Calibri" w:cs="Calibri"/>
                <w:lang w:eastAsia="hr-HR"/>
              </w:rPr>
            </w:pPr>
            <w:r w:rsidRPr="005E671C">
              <w:rPr>
                <w:rFonts w:ascii="Calibri" w:eastAsia="Times New Roman" w:hAnsi="Calibri" w:cs="Calibri"/>
                <w:lang w:eastAsia="hr-HR"/>
              </w:rPr>
              <w:t>0</w:t>
            </w:r>
          </w:p>
        </w:tc>
        <w:tc>
          <w:tcPr>
            <w:tcW w:w="698" w:type="dxa"/>
            <w:tcBorders>
              <w:top w:val="nil"/>
              <w:left w:val="nil"/>
              <w:bottom w:val="single" w:sz="4" w:space="0" w:color="auto"/>
              <w:right w:val="single" w:sz="4" w:space="0" w:color="auto"/>
            </w:tcBorders>
            <w:shd w:val="clear" w:color="000000" w:fill="66FFCC"/>
            <w:noWrap/>
            <w:vAlign w:val="center"/>
            <w:hideMark/>
          </w:tcPr>
          <w:p w14:paraId="4163DA1A" w14:textId="77777777" w:rsidR="005E671C" w:rsidRPr="005E671C" w:rsidRDefault="005E671C" w:rsidP="005E671C">
            <w:pPr>
              <w:spacing w:after="0" w:line="240" w:lineRule="auto"/>
              <w:jc w:val="center"/>
              <w:rPr>
                <w:rFonts w:ascii="Calibri" w:eastAsia="Times New Roman" w:hAnsi="Calibri" w:cs="Calibri"/>
                <w:lang w:eastAsia="hr-HR"/>
              </w:rPr>
            </w:pPr>
            <w:r w:rsidRPr="005E671C">
              <w:rPr>
                <w:rFonts w:ascii="Calibri" w:eastAsia="Times New Roman" w:hAnsi="Calibri" w:cs="Calibri"/>
                <w:lang w:eastAsia="hr-HR"/>
              </w:rPr>
              <w:t>0</w:t>
            </w:r>
          </w:p>
        </w:tc>
        <w:tc>
          <w:tcPr>
            <w:tcW w:w="574" w:type="dxa"/>
            <w:tcBorders>
              <w:top w:val="nil"/>
              <w:left w:val="nil"/>
              <w:bottom w:val="single" w:sz="4" w:space="0" w:color="auto"/>
              <w:right w:val="single" w:sz="4" w:space="0" w:color="auto"/>
            </w:tcBorders>
            <w:shd w:val="clear" w:color="000000" w:fill="66FFCC"/>
            <w:noWrap/>
            <w:vAlign w:val="center"/>
            <w:hideMark/>
          </w:tcPr>
          <w:p w14:paraId="2EB2DD21" w14:textId="77777777" w:rsidR="005E671C" w:rsidRPr="005E671C" w:rsidRDefault="005E671C" w:rsidP="005E671C">
            <w:pPr>
              <w:spacing w:after="0" w:line="240" w:lineRule="auto"/>
              <w:jc w:val="center"/>
              <w:rPr>
                <w:rFonts w:ascii="Calibri" w:eastAsia="Times New Roman" w:hAnsi="Calibri" w:cs="Calibri"/>
                <w:lang w:eastAsia="hr-HR"/>
              </w:rPr>
            </w:pPr>
            <w:r w:rsidRPr="005E671C">
              <w:rPr>
                <w:rFonts w:ascii="Calibri" w:eastAsia="Times New Roman" w:hAnsi="Calibri" w:cs="Calibri"/>
                <w:lang w:eastAsia="hr-HR"/>
              </w:rPr>
              <w:t>0</w:t>
            </w:r>
          </w:p>
        </w:tc>
        <w:tc>
          <w:tcPr>
            <w:tcW w:w="560" w:type="dxa"/>
            <w:tcBorders>
              <w:top w:val="nil"/>
              <w:left w:val="nil"/>
              <w:bottom w:val="single" w:sz="4" w:space="0" w:color="auto"/>
              <w:right w:val="single" w:sz="4" w:space="0" w:color="auto"/>
            </w:tcBorders>
            <w:shd w:val="clear" w:color="000000" w:fill="66FFCC"/>
            <w:noWrap/>
            <w:vAlign w:val="center"/>
            <w:hideMark/>
          </w:tcPr>
          <w:p w14:paraId="1EDA11FB" w14:textId="77777777" w:rsidR="005E671C" w:rsidRPr="005E671C" w:rsidRDefault="005E671C" w:rsidP="005E671C">
            <w:pPr>
              <w:spacing w:after="0" w:line="240" w:lineRule="auto"/>
              <w:jc w:val="center"/>
              <w:rPr>
                <w:rFonts w:ascii="Calibri" w:eastAsia="Times New Roman" w:hAnsi="Calibri" w:cs="Calibri"/>
                <w:lang w:eastAsia="hr-HR"/>
              </w:rPr>
            </w:pPr>
            <w:r w:rsidRPr="005E671C">
              <w:rPr>
                <w:rFonts w:ascii="Calibri" w:eastAsia="Times New Roman" w:hAnsi="Calibri" w:cs="Calibri"/>
                <w:lang w:eastAsia="hr-HR"/>
              </w:rPr>
              <w:t>0</w:t>
            </w:r>
          </w:p>
        </w:tc>
        <w:tc>
          <w:tcPr>
            <w:tcW w:w="430" w:type="dxa"/>
            <w:gridSpan w:val="2"/>
            <w:tcBorders>
              <w:top w:val="nil"/>
              <w:left w:val="nil"/>
              <w:bottom w:val="single" w:sz="4" w:space="0" w:color="auto"/>
              <w:right w:val="single" w:sz="4" w:space="0" w:color="auto"/>
            </w:tcBorders>
            <w:shd w:val="clear" w:color="000000" w:fill="FFFF00"/>
            <w:vAlign w:val="center"/>
            <w:hideMark/>
          </w:tcPr>
          <w:p w14:paraId="2EF09F9A" w14:textId="77777777" w:rsidR="005E671C" w:rsidRPr="005E671C" w:rsidRDefault="005E671C" w:rsidP="005E671C">
            <w:pPr>
              <w:spacing w:after="0" w:line="240" w:lineRule="auto"/>
              <w:jc w:val="center"/>
              <w:rPr>
                <w:rFonts w:ascii="Calibri" w:eastAsia="Times New Roman" w:hAnsi="Calibri" w:cs="Calibri"/>
                <w:lang w:eastAsia="hr-HR"/>
              </w:rPr>
            </w:pPr>
            <w:r w:rsidRPr="005E671C">
              <w:rPr>
                <w:rFonts w:ascii="Calibri" w:eastAsia="Times New Roman" w:hAnsi="Calibri" w:cs="Calibri"/>
                <w:lang w:eastAsia="hr-HR"/>
              </w:rPr>
              <w:t>0</w:t>
            </w:r>
          </w:p>
        </w:tc>
        <w:tc>
          <w:tcPr>
            <w:tcW w:w="425" w:type="dxa"/>
            <w:gridSpan w:val="2"/>
            <w:tcBorders>
              <w:top w:val="nil"/>
              <w:left w:val="nil"/>
              <w:bottom w:val="single" w:sz="4" w:space="0" w:color="auto"/>
              <w:right w:val="single" w:sz="4" w:space="0" w:color="auto"/>
            </w:tcBorders>
            <w:shd w:val="clear" w:color="000000" w:fill="FFFF99"/>
            <w:vAlign w:val="center"/>
            <w:hideMark/>
          </w:tcPr>
          <w:p w14:paraId="6027B37B" w14:textId="77777777" w:rsidR="005E671C" w:rsidRPr="005E671C" w:rsidRDefault="005E671C" w:rsidP="005E671C">
            <w:pPr>
              <w:spacing w:after="0" w:line="240" w:lineRule="auto"/>
              <w:jc w:val="center"/>
              <w:rPr>
                <w:rFonts w:ascii="Calibri" w:eastAsia="Times New Roman" w:hAnsi="Calibri" w:cs="Calibri"/>
                <w:lang w:eastAsia="hr-HR"/>
              </w:rPr>
            </w:pPr>
            <w:r w:rsidRPr="005E671C">
              <w:rPr>
                <w:rFonts w:ascii="Calibri" w:eastAsia="Times New Roman" w:hAnsi="Calibri" w:cs="Calibri"/>
                <w:lang w:eastAsia="hr-HR"/>
              </w:rPr>
              <w:t>3</w:t>
            </w:r>
          </w:p>
        </w:tc>
        <w:tc>
          <w:tcPr>
            <w:tcW w:w="540" w:type="dxa"/>
            <w:gridSpan w:val="2"/>
            <w:tcBorders>
              <w:top w:val="nil"/>
              <w:left w:val="nil"/>
              <w:bottom w:val="single" w:sz="4" w:space="0" w:color="auto"/>
              <w:right w:val="single" w:sz="4" w:space="0" w:color="auto"/>
            </w:tcBorders>
            <w:shd w:val="clear" w:color="000000" w:fill="FF9900"/>
            <w:vAlign w:val="center"/>
            <w:hideMark/>
          </w:tcPr>
          <w:p w14:paraId="6E1D5C08" w14:textId="77777777" w:rsidR="005E671C" w:rsidRPr="005E671C" w:rsidRDefault="005E671C" w:rsidP="005E671C">
            <w:pPr>
              <w:spacing w:after="0" w:line="240" w:lineRule="auto"/>
              <w:jc w:val="center"/>
              <w:rPr>
                <w:rFonts w:ascii="Calibri" w:eastAsia="Times New Roman" w:hAnsi="Calibri" w:cs="Calibri"/>
                <w:lang w:eastAsia="hr-HR"/>
              </w:rPr>
            </w:pPr>
            <w:r w:rsidRPr="005E671C">
              <w:rPr>
                <w:rFonts w:ascii="Calibri" w:eastAsia="Times New Roman" w:hAnsi="Calibri" w:cs="Calibri"/>
                <w:lang w:eastAsia="hr-HR"/>
              </w:rPr>
              <w:t>0</w:t>
            </w:r>
          </w:p>
        </w:tc>
        <w:tc>
          <w:tcPr>
            <w:tcW w:w="435" w:type="dxa"/>
            <w:tcBorders>
              <w:top w:val="nil"/>
              <w:left w:val="nil"/>
              <w:bottom w:val="single" w:sz="4" w:space="0" w:color="auto"/>
              <w:right w:val="single" w:sz="4" w:space="0" w:color="auto"/>
            </w:tcBorders>
            <w:shd w:val="clear" w:color="000000" w:fill="CCFFFF"/>
            <w:vAlign w:val="center"/>
            <w:hideMark/>
          </w:tcPr>
          <w:p w14:paraId="7760A3C0" w14:textId="77777777" w:rsidR="005E671C" w:rsidRPr="005E671C" w:rsidRDefault="005E671C" w:rsidP="005E671C">
            <w:pPr>
              <w:spacing w:after="0" w:line="240" w:lineRule="auto"/>
              <w:jc w:val="center"/>
              <w:rPr>
                <w:rFonts w:ascii="Calibri" w:eastAsia="Times New Roman" w:hAnsi="Calibri" w:cs="Calibri"/>
                <w:lang w:eastAsia="hr-HR"/>
              </w:rPr>
            </w:pPr>
            <w:r w:rsidRPr="005E671C">
              <w:rPr>
                <w:rFonts w:ascii="Calibri" w:eastAsia="Times New Roman" w:hAnsi="Calibri" w:cs="Calibri"/>
                <w:lang w:eastAsia="hr-HR"/>
              </w:rPr>
              <w:t>0</w:t>
            </w:r>
          </w:p>
        </w:tc>
        <w:tc>
          <w:tcPr>
            <w:tcW w:w="655" w:type="dxa"/>
            <w:tcBorders>
              <w:top w:val="nil"/>
              <w:left w:val="nil"/>
              <w:bottom w:val="single" w:sz="4" w:space="0" w:color="auto"/>
              <w:right w:val="single" w:sz="4" w:space="0" w:color="auto"/>
            </w:tcBorders>
            <w:shd w:val="clear" w:color="000000" w:fill="CCFFFF"/>
            <w:vAlign w:val="center"/>
            <w:hideMark/>
          </w:tcPr>
          <w:p w14:paraId="5176FEE6" w14:textId="77777777" w:rsidR="005E671C" w:rsidRPr="005E671C" w:rsidRDefault="005E671C" w:rsidP="005E671C">
            <w:pPr>
              <w:spacing w:after="0" w:line="240" w:lineRule="auto"/>
              <w:jc w:val="center"/>
              <w:rPr>
                <w:rFonts w:ascii="Calibri" w:eastAsia="Times New Roman" w:hAnsi="Calibri" w:cs="Calibri"/>
                <w:lang w:eastAsia="hr-HR"/>
              </w:rPr>
            </w:pPr>
            <w:r w:rsidRPr="005E671C">
              <w:rPr>
                <w:rFonts w:ascii="Calibri" w:eastAsia="Times New Roman" w:hAnsi="Calibri" w:cs="Calibri"/>
                <w:lang w:eastAsia="hr-HR"/>
              </w:rPr>
              <w:t>0</w:t>
            </w:r>
          </w:p>
        </w:tc>
        <w:tc>
          <w:tcPr>
            <w:tcW w:w="645" w:type="dxa"/>
            <w:tcBorders>
              <w:top w:val="nil"/>
              <w:left w:val="nil"/>
              <w:bottom w:val="single" w:sz="4" w:space="0" w:color="auto"/>
              <w:right w:val="single" w:sz="4" w:space="0" w:color="auto"/>
            </w:tcBorders>
            <w:shd w:val="clear" w:color="000000" w:fill="CCFFFF"/>
            <w:vAlign w:val="center"/>
            <w:hideMark/>
          </w:tcPr>
          <w:p w14:paraId="5D1DAB06" w14:textId="77777777" w:rsidR="005E671C" w:rsidRPr="005E671C" w:rsidRDefault="005E671C" w:rsidP="005E671C">
            <w:pPr>
              <w:spacing w:after="0" w:line="240" w:lineRule="auto"/>
              <w:jc w:val="center"/>
              <w:rPr>
                <w:rFonts w:ascii="Calibri" w:eastAsia="Times New Roman" w:hAnsi="Calibri" w:cs="Calibri"/>
                <w:lang w:eastAsia="hr-HR"/>
              </w:rPr>
            </w:pPr>
            <w:r w:rsidRPr="005E671C">
              <w:rPr>
                <w:rFonts w:ascii="Calibri" w:eastAsia="Times New Roman" w:hAnsi="Calibri" w:cs="Calibri"/>
                <w:lang w:eastAsia="hr-HR"/>
              </w:rPr>
              <w:t>0</w:t>
            </w:r>
          </w:p>
        </w:tc>
        <w:tc>
          <w:tcPr>
            <w:tcW w:w="699" w:type="dxa"/>
            <w:tcBorders>
              <w:top w:val="nil"/>
              <w:left w:val="nil"/>
              <w:bottom w:val="single" w:sz="4" w:space="0" w:color="auto"/>
              <w:right w:val="nil"/>
            </w:tcBorders>
            <w:shd w:val="clear" w:color="000000" w:fill="33CCCC"/>
            <w:noWrap/>
            <w:vAlign w:val="center"/>
            <w:hideMark/>
          </w:tcPr>
          <w:p w14:paraId="5636ED7B" w14:textId="77777777" w:rsidR="005E671C" w:rsidRPr="005E671C" w:rsidRDefault="005E671C" w:rsidP="005E671C">
            <w:pPr>
              <w:spacing w:after="0" w:line="240" w:lineRule="auto"/>
              <w:jc w:val="center"/>
              <w:rPr>
                <w:rFonts w:ascii="Calibri" w:eastAsia="Times New Roman" w:hAnsi="Calibri" w:cs="Calibri"/>
                <w:lang w:eastAsia="hr-HR"/>
              </w:rPr>
            </w:pPr>
            <w:r w:rsidRPr="005E671C">
              <w:rPr>
                <w:rFonts w:ascii="Calibri" w:eastAsia="Times New Roman" w:hAnsi="Calibri" w:cs="Calibri"/>
                <w:lang w:eastAsia="hr-HR"/>
              </w:rPr>
              <w:t>0</w:t>
            </w:r>
          </w:p>
        </w:tc>
        <w:tc>
          <w:tcPr>
            <w:tcW w:w="700" w:type="dxa"/>
            <w:tcBorders>
              <w:top w:val="nil"/>
              <w:left w:val="single" w:sz="4" w:space="0" w:color="auto"/>
              <w:bottom w:val="single" w:sz="4" w:space="0" w:color="auto"/>
              <w:right w:val="single" w:sz="8" w:space="0" w:color="auto"/>
            </w:tcBorders>
            <w:shd w:val="clear" w:color="000000" w:fill="33CCCC"/>
            <w:noWrap/>
            <w:vAlign w:val="center"/>
            <w:hideMark/>
          </w:tcPr>
          <w:p w14:paraId="14415B88" w14:textId="77777777" w:rsidR="005E671C" w:rsidRPr="005E671C" w:rsidRDefault="005E671C" w:rsidP="005E671C">
            <w:pPr>
              <w:spacing w:after="0" w:line="240" w:lineRule="auto"/>
              <w:jc w:val="center"/>
              <w:rPr>
                <w:rFonts w:ascii="Calibri" w:eastAsia="Times New Roman" w:hAnsi="Calibri" w:cs="Calibri"/>
                <w:lang w:eastAsia="hr-HR"/>
              </w:rPr>
            </w:pPr>
            <w:r w:rsidRPr="005E671C">
              <w:rPr>
                <w:rFonts w:ascii="Calibri" w:eastAsia="Times New Roman" w:hAnsi="Calibri" w:cs="Calibri"/>
                <w:lang w:eastAsia="hr-HR"/>
              </w:rPr>
              <w:t>0</w:t>
            </w:r>
          </w:p>
        </w:tc>
        <w:tc>
          <w:tcPr>
            <w:tcW w:w="239" w:type="dxa"/>
            <w:gridSpan w:val="2"/>
            <w:vAlign w:val="center"/>
            <w:hideMark/>
          </w:tcPr>
          <w:p w14:paraId="2A612DB3" w14:textId="77777777" w:rsidR="005E671C" w:rsidRPr="005E671C" w:rsidRDefault="005E671C" w:rsidP="005E671C">
            <w:pPr>
              <w:spacing w:after="0" w:line="240" w:lineRule="auto"/>
              <w:rPr>
                <w:rFonts w:ascii="Times New Roman" w:eastAsia="Times New Roman" w:hAnsi="Times New Roman" w:cs="Times New Roman"/>
                <w:sz w:val="20"/>
                <w:szCs w:val="20"/>
                <w:lang w:eastAsia="hr-HR"/>
              </w:rPr>
            </w:pPr>
          </w:p>
        </w:tc>
      </w:tr>
      <w:tr w:rsidR="005E671C" w:rsidRPr="005E671C" w14:paraId="0294C840" w14:textId="77777777" w:rsidTr="001752B7">
        <w:trPr>
          <w:gridAfter w:val="1"/>
          <w:wAfter w:w="23" w:type="dxa"/>
          <w:trHeight w:val="300"/>
        </w:trPr>
        <w:tc>
          <w:tcPr>
            <w:tcW w:w="1408" w:type="dxa"/>
            <w:tcBorders>
              <w:top w:val="single" w:sz="4" w:space="0" w:color="auto"/>
              <w:left w:val="single" w:sz="8" w:space="0" w:color="auto"/>
              <w:bottom w:val="single" w:sz="4" w:space="0" w:color="auto"/>
              <w:right w:val="single" w:sz="4" w:space="0" w:color="auto"/>
            </w:tcBorders>
            <w:shd w:val="clear" w:color="000000" w:fill="CCFFCC"/>
            <w:vAlign w:val="center"/>
            <w:hideMark/>
          </w:tcPr>
          <w:p w14:paraId="713DC2FE" w14:textId="77777777" w:rsidR="005E671C" w:rsidRPr="005E671C" w:rsidRDefault="005E671C" w:rsidP="005E671C">
            <w:pPr>
              <w:spacing w:after="0" w:line="240" w:lineRule="auto"/>
              <w:jc w:val="center"/>
              <w:rPr>
                <w:rFonts w:ascii="Calibri" w:eastAsia="Times New Roman" w:hAnsi="Calibri" w:cs="Calibri"/>
                <w:lang w:eastAsia="hr-HR"/>
              </w:rPr>
            </w:pPr>
            <w:r w:rsidRPr="005E671C">
              <w:rPr>
                <w:rFonts w:ascii="Calibri" w:eastAsia="Times New Roman" w:hAnsi="Calibri" w:cs="Calibri"/>
                <w:lang w:eastAsia="hr-HR"/>
              </w:rPr>
              <w:t>Političko ili drugo uvjerenje</w:t>
            </w:r>
          </w:p>
        </w:tc>
        <w:tc>
          <w:tcPr>
            <w:tcW w:w="595" w:type="dxa"/>
            <w:tcBorders>
              <w:top w:val="nil"/>
              <w:left w:val="nil"/>
              <w:bottom w:val="single" w:sz="4" w:space="0" w:color="auto"/>
              <w:right w:val="single" w:sz="4" w:space="0" w:color="auto"/>
            </w:tcBorders>
            <w:shd w:val="clear" w:color="000000" w:fill="CCFFCC"/>
            <w:vAlign w:val="center"/>
            <w:hideMark/>
          </w:tcPr>
          <w:p w14:paraId="696E8993" w14:textId="77777777" w:rsidR="005E671C" w:rsidRPr="005E671C" w:rsidRDefault="005E671C" w:rsidP="005E671C">
            <w:pPr>
              <w:spacing w:after="0" w:line="240" w:lineRule="auto"/>
              <w:jc w:val="center"/>
              <w:rPr>
                <w:rFonts w:ascii="Calibri" w:eastAsia="Times New Roman" w:hAnsi="Calibri" w:cs="Calibri"/>
                <w:lang w:eastAsia="hr-HR"/>
              </w:rPr>
            </w:pPr>
            <w:r w:rsidRPr="005E671C">
              <w:rPr>
                <w:rFonts w:ascii="Calibri" w:eastAsia="Times New Roman" w:hAnsi="Calibri" w:cs="Calibri"/>
                <w:lang w:eastAsia="hr-HR"/>
              </w:rPr>
              <w:t>4</w:t>
            </w:r>
          </w:p>
        </w:tc>
        <w:tc>
          <w:tcPr>
            <w:tcW w:w="549" w:type="dxa"/>
            <w:tcBorders>
              <w:top w:val="nil"/>
              <w:left w:val="nil"/>
              <w:bottom w:val="single" w:sz="4" w:space="0" w:color="auto"/>
              <w:right w:val="single" w:sz="4" w:space="0" w:color="auto"/>
            </w:tcBorders>
            <w:shd w:val="clear" w:color="000000" w:fill="FFCC99"/>
            <w:noWrap/>
            <w:vAlign w:val="center"/>
            <w:hideMark/>
          </w:tcPr>
          <w:p w14:paraId="50A0BD9E" w14:textId="77777777" w:rsidR="005E671C" w:rsidRPr="005E671C" w:rsidRDefault="005E671C" w:rsidP="005E671C">
            <w:pPr>
              <w:spacing w:after="0" w:line="240" w:lineRule="auto"/>
              <w:jc w:val="center"/>
              <w:rPr>
                <w:rFonts w:ascii="Calibri" w:eastAsia="Times New Roman" w:hAnsi="Calibri" w:cs="Calibri"/>
                <w:lang w:eastAsia="hr-HR"/>
              </w:rPr>
            </w:pPr>
            <w:r w:rsidRPr="005E671C">
              <w:rPr>
                <w:rFonts w:ascii="Calibri" w:eastAsia="Times New Roman" w:hAnsi="Calibri" w:cs="Calibri"/>
                <w:lang w:eastAsia="hr-HR"/>
              </w:rPr>
              <w:t>4</w:t>
            </w:r>
          </w:p>
        </w:tc>
        <w:tc>
          <w:tcPr>
            <w:tcW w:w="441" w:type="dxa"/>
            <w:tcBorders>
              <w:top w:val="nil"/>
              <w:left w:val="nil"/>
              <w:bottom w:val="single" w:sz="4" w:space="0" w:color="auto"/>
              <w:right w:val="single" w:sz="4" w:space="0" w:color="auto"/>
            </w:tcBorders>
            <w:shd w:val="clear" w:color="000000" w:fill="CCFFFF"/>
            <w:noWrap/>
            <w:vAlign w:val="center"/>
            <w:hideMark/>
          </w:tcPr>
          <w:p w14:paraId="419741D9" w14:textId="77777777" w:rsidR="005E671C" w:rsidRPr="005E671C" w:rsidRDefault="005E671C" w:rsidP="005E671C">
            <w:pPr>
              <w:spacing w:after="0" w:line="240" w:lineRule="auto"/>
              <w:jc w:val="center"/>
              <w:rPr>
                <w:rFonts w:ascii="Calibri" w:eastAsia="Times New Roman" w:hAnsi="Calibri" w:cs="Calibri"/>
                <w:lang w:eastAsia="hr-HR"/>
              </w:rPr>
            </w:pPr>
            <w:r w:rsidRPr="005E671C">
              <w:rPr>
                <w:rFonts w:ascii="Calibri" w:eastAsia="Times New Roman" w:hAnsi="Calibri" w:cs="Calibri"/>
                <w:lang w:eastAsia="hr-HR"/>
              </w:rPr>
              <w:t>1</w:t>
            </w:r>
          </w:p>
        </w:tc>
        <w:tc>
          <w:tcPr>
            <w:tcW w:w="432" w:type="dxa"/>
            <w:tcBorders>
              <w:top w:val="nil"/>
              <w:left w:val="nil"/>
              <w:bottom w:val="single" w:sz="4" w:space="0" w:color="auto"/>
              <w:right w:val="single" w:sz="4" w:space="0" w:color="auto"/>
            </w:tcBorders>
            <w:shd w:val="clear" w:color="000000" w:fill="CCFFFF"/>
            <w:noWrap/>
            <w:vAlign w:val="center"/>
            <w:hideMark/>
          </w:tcPr>
          <w:p w14:paraId="62C5E770" w14:textId="77777777" w:rsidR="005E671C" w:rsidRPr="005E671C" w:rsidRDefault="005E671C" w:rsidP="005E671C">
            <w:pPr>
              <w:spacing w:after="0" w:line="240" w:lineRule="auto"/>
              <w:jc w:val="center"/>
              <w:rPr>
                <w:rFonts w:ascii="Calibri" w:eastAsia="Times New Roman" w:hAnsi="Calibri" w:cs="Calibri"/>
                <w:lang w:eastAsia="hr-HR"/>
              </w:rPr>
            </w:pPr>
            <w:r w:rsidRPr="005E671C">
              <w:rPr>
                <w:rFonts w:ascii="Calibri" w:eastAsia="Times New Roman" w:hAnsi="Calibri" w:cs="Calibri"/>
                <w:lang w:eastAsia="hr-HR"/>
              </w:rPr>
              <w:t>5</w:t>
            </w:r>
          </w:p>
        </w:tc>
        <w:tc>
          <w:tcPr>
            <w:tcW w:w="421" w:type="dxa"/>
            <w:gridSpan w:val="2"/>
            <w:tcBorders>
              <w:top w:val="nil"/>
              <w:left w:val="nil"/>
              <w:bottom w:val="single" w:sz="4" w:space="0" w:color="auto"/>
              <w:right w:val="single" w:sz="4" w:space="0" w:color="auto"/>
            </w:tcBorders>
            <w:shd w:val="clear" w:color="000000" w:fill="FFFF99"/>
            <w:noWrap/>
            <w:vAlign w:val="center"/>
            <w:hideMark/>
          </w:tcPr>
          <w:p w14:paraId="5D4CAA13" w14:textId="77777777" w:rsidR="005E671C" w:rsidRPr="005E671C" w:rsidRDefault="005E671C" w:rsidP="005E671C">
            <w:pPr>
              <w:spacing w:after="0" w:line="240" w:lineRule="auto"/>
              <w:jc w:val="center"/>
              <w:rPr>
                <w:rFonts w:ascii="Calibri" w:eastAsia="Times New Roman" w:hAnsi="Calibri" w:cs="Calibri"/>
                <w:lang w:eastAsia="hr-HR"/>
              </w:rPr>
            </w:pPr>
            <w:r w:rsidRPr="005E671C">
              <w:rPr>
                <w:rFonts w:ascii="Calibri" w:eastAsia="Times New Roman" w:hAnsi="Calibri" w:cs="Calibri"/>
                <w:lang w:eastAsia="hr-HR"/>
              </w:rPr>
              <w:t>4</w:t>
            </w:r>
          </w:p>
        </w:tc>
        <w:tc>
          <w:tcPr>
            <w:tcW w:w="431" w:type="dxa"/>
            <w:tcBorders>
              <w:top w:val="nil"/>
              <w:left w:val="nil"/>
              <w:bottom w:val="single" w:sz="4" w:space="0" w:color="auto"/>
              <w:right w:val="single" w:sz="4" w:space="0" w:color="auto"/>
            </w:tcBorders>
            <w:shd w:val="clear" w:color="000000" w:fill="FFFF99"/>
            <w:noWrap/>
            <w:vAlign w:val="center"/>
            <w:hideMark/>
          </w:tcPr>
          <w:p w14:paraId="61257471" w14:textId="77777777" w:rsidR="005E671C" w:rsidRPr="005E671C" w:rsidRDefault="005E671C" w:rsidP="005E671C">
            <w:pPr>
              <w:spacing w:after="0" w:line="240" w:lineRule="auto"/>
              <w:jc w:val="center"/>
              <w:rPr>
                <w:rFonts w:ascii="Calibri" w:eastAsia="Times New Roman" w:hAnsi="Calibri" w:cs="Calibri"/>
                <w:lang w:eastAsia="hr-HR"/>
              </w:rPr>
            </w:pPr>
            <w:r w:rsidRPr="005E671C">
              <w:rPr>
                <w:rFonts w:ascii="Calibri" w:eastAsia="Times New Roman" w:hAnsi="Calibri" w:cs="Calibri"/>
                <w:lang w:eastAsia="hr-HR"/>
              </w:rPr>
              <w:t>0</w:t>
            </w:r>
          </w:p>
        </w:tc>
        <w:tc>
          <w:tcPr>
            <w:tcW w:w="420" w:type="dxa"/>
            <w:tcBorders>
              <w:top w:val="nil"/>
              <w:left w:val="nil"/>
              <w:bottom w:val="single" w:sz="4" w:space="0" w:color="auto"/>
              <w:right w:val="single" w:sz="4" w:space="0" w:color="auto"/>
            </w:tcBorders>
            <w:shd w:val="clear" w:color="000000" w:fill="FFFF99"/>
            <w:noWrap/>
            <w:vAlign w:val="center"/>
            <w:hideMark/>
          </w:tcPr>
          <w:p w14:paraId="74F0EF36" w14:textId="77777777" w:rsidR="005E671C" w:rsidRPr="005E671C" w:rsidRDefault="005E671C" w:rsidP="005E671C">
            <w:pPr>
              <w:spacing w:after="0" w:line="240" w:lineRule="auto"/>
              <w:jc w:val="center"/>
              <w:rPr>
                <w:rFonts w:ascii="Calibri" w:eastAsia="Times New Roman" w:hAnsi="Calibri" w:cs="Calibri"/>
                <w:lang w:eastAsia="hr-HR"/>
              </w:rPr>
            </w:pPr>
            <w:r w:rsidRPr="005E671C">
              <w:rPr>
                <w:rFonts w:ascii="Calibri" w:eastAsia="Times New Roman" w:hAnsi="Calibri" w:cs="Calibri"/>
                <w:lang w:eastAsia="hr-HR"/>
              </w:rPr>
              <w:t>0</w:t>
            </w:r>
          </w:p>
        </w:tc>
        <w:tc>
          <w:tcPr>
            <w:tcW w:w="429" w:type="dxa"/>
            <w:tcBorders>
              <w:top w:val="nil"/>
              <w:left w:val="nil"/>
              <w:bottom w:val="single" w:sz="4" w:space="0" w:color="auto"/>
              <w:right w:val="single" w:sz="4" w:space="0" w:color="auto"/>
            </w:tcBorders>
            <w:shd w:val="clear" w:color="000000" w:fill="FFFF99"/>
            <w:noWrap/>
            <w:vAlign w:val="center"/>
            <w:hideMark/>
          </w:tcPr>
          <w:p w14:paraId="5A15D47D" w14:textId="77777777" w:rsidR="005E671C" w:rsidRPr="005E671C" w:rsidRDefault="005E671C" w:rsidP="005E671C">
            <w:pPr>
              <w:spacing w:after="0" w:line="240" w:lineRule="auto"/>
              <w:jc w:val="center"/>
              <w:rPr>
                <w:rFonts w:ascii="Calibri" w:eastAsia="Times New Roman" w:hAnsi="Calibri" w:cs="Calibri"/>
                <w:lang w:eastAsia="hr-HR"/>
              </w:rPr>
            </w:pPr>
            <w:r w:rsidRPr="005E671C">
              <w:rPr>
                <w:rFonts w:ascii="Calibri" w:eastAsia="Times New Roman" w:hAnsi="Calibri" w:cs="Calibri"/>
                <w:lang w:eastAsia="hr-HR"/>
              </w:rPr>
              <w:t>0</w:t>
            </w:r>
          </w:p>
        </w:tc>
        <w:tc>
          <w:tcPr>
            <w:tcW w:w="581" w:type="dxa"/>
            <w:tcBorders>
              <w:top w:val="nil"/>
              <w:left w:val="nil"/>
              <w:bottom w:val="single" w:sz="4" w:space="0" w:color="auto"/>
              <w:right w:val="single" w:sz="4" w:space="0" w:color="auto"/>
            </w:tcBorders>
            <w:shd w:val="clear" w:color="000000" w:fill="FFFF99"/>
            <w:noWrap/>
            <w:vAlign w:val="center"/>
            <w:hideMark/>
          </w:tcPr>
          <w:p w14:paraId="1285B294" w14:textId="77777777" w:rsidR="005E671C" w:rsidRPr="005E671C" w:rsidRDefault="005E671C" w:rsidP="005E671C">
            <w:pPr>
              <w:spacing w:after="0" w:line="240" w:lineRule="auto"/>
              <w:jc w:val="center"/>
              <w:rPr>
                <w:rFonts w:ascii="Calibri" w:eastAsia="Times New Roman" w:hAnsi="Calibri" w:cs="Calibri"/>
                <w:lang w:eastAsia="hr-HR"/>
              </w:rPr>
            </w:pPr>
            <w:r w:rsidRPr="005E671C">
              <w:rPr>
                <w:rFonts w:ascii="Calibri" w:eastAsia="Times New Roman" w:hAnsi="Calibri" w:cs="Calibri"/>
                <w:lang w:eastAsia="hr-HR"/>
              </w:rPr>
              <w:t>0</w:t>
            </w:r>
          </w:p>
        </w:tc>
        <w:tc>
          <w:tcPr>
            <w:tcW w:w="556" w:type="dxa"/>
            <w:gridSpan w:val="2"/>
            <w:tcBorders>
              <w:top w:val="nil"/>
              <w:left w:val="nil"/>
              <w:bottom w:val="single" w:sz="4" w:space="0" w:color="auto"/>
              <w:right w:val="single" w:sz="4" w:space="0" w:color="auto"/>
            </w:tcBorders>
            <w:shd w:val="clear" w:color="000000" w:fill="FF9900"/>
            <w:noWrap/>
            <w:vAlign w:val="center"/>
            <w:hideMark/>
          </w:tcPr>
          <w:p w14:paraId="2E209236" w14:textId="77777777" w:rsidR="005E671C" w:rsidRPr="005E671C" w:rsidRDefault="005E671C" w:rsidP="005E671C">
            <w:pPr>
              <w:spacing w:after="0" w:line="240" w:lineRule="auto"/>
              <w:jc w:val="center"/>
              <w:rPr>
                <w:rFonts w:ascii="Calibri" w:eastAsia="Times New Roman" w:hAnsi="Calibri" w:cs="Calibri"/>
                <w:lang w:eastAsia="hr-HR"/>
              </w:rPr>
            </w:pPr>
            <w:r w:rsidRPr="005E671C">
              <w:rPr>
                <w:rFonts w:ascii="Calibri" w:eastAsia="Times New Roman" w:hAnsi="Calibri" w:cs="Calibri"/>
                <w:lang w:eastAsia="hr-HR"/>
              </w:rPr>
              <w:t>4</w:t>
            </w:r>
          </w:p>
        </w:tc>
        <w:tc>
          <w:tcPr>
            <w:tcW w:w="574" w:type="dxa"/>
            <w:tcBorders>
              <w:top w:val="nil"/>
              <w:left w:val="nil"/>
              <w:bottom w:val="single" w:sz="4" w:space="0" w:color="auto"/>
              <w:right w:val="single" w:sz="4" w:space="0" w:color="auto"/>
            </w:tcBorders>
            <w:shd w:val="clear" w:color="000000" w:fill="FF9900"/>
            <w:noWrap/>
            <w:vAlign w:val="center"/>
            <w:hideMark/>
          </w:tcPr>
          <w:p w14:paraId="3295EF2B" w14:textId="77777777" w:rsidR="005E671C" w:rsidRPr="005E671C" w:rsidRDefault="005E671C" w:rsidP="005E671C">
            <w:pPr>
              <w:spacing w:after="0" w:line="240" w:lineRule="auto"/>
              <w:jc w:val="center"/>
              <w:rPr>
                <w:rFonts w:ascii="Calibri" w:eastAsia="Times New Roman" w:hAnsi="Calibri" w:cs="Calibri"/>
                <w:lang w:eastAsia="hr-HR"/>
              </w:rPr>
            </w:pPr>
            <w:r w:rsidRPr="005E671C">
              <w:rPr>
                <w:rFonts w:ascii="Calibri" w:eastAsia="Times New Roman" w:hAnsi="Calibri" w:cs="Calibri"/>
                <w:lang w:eastAsia="hr-HR"/>
              </w:rPr>
              <w:t>1</w:t>
            </w:r>
          </w:p>
        </w:tc>
        <w:tc>
          <w:tcPr>
            <w:tcW w:w="434" w:type="dxa"/>
            <w:tcBorders>
              <w:top w:val="nil"/>
              <w:left w:val="nil"/>
              <w:bottom w:val="single" w:sz="4" w:space="0" w:color="auto"/>
              <w:right w:val="single" w:sz="4" w:space="0" w:color="auto"/>
            </w:tcBorders>
            <w:shd w:val="clear" w:color="000000" w:fill="FF9900"/>
            <w:noWrap/>
            <w:vAlign w:val="center"/>
            <w:hideMark/>
          </w:tcPr>
          <w:p w14:paraId="3D051E63" w14:textId="77777777" w:rsidR="005E671C" w:rsidRPr="005E671C" w:rsidRDefault="005E671C" w:rsidP="005E671C">
            <w:pPr>
              <w:spacing w:after="0" w:line="240" w:lineRule="auto"/>
              <w:jc w:val="center"/>
              <w:rPr>
                <w:rFonts w:ascii="Calibri" w:eastAsia="Times New Roman" w:hAnsi="Calibri" w:cs="Calibri"/>
                <w:lang w:eastAsia="hr-HR"/>
              </w:rPr>
            </w:pPr>
            <w:r w:rsidRPr="005E671C">
              <w:rPr>
                <w:rFonts w:ascii="Calibri" w:eastAsia="Times New Roman" w:hAnsi="Calibri" w:cs="Calibri"/>
                <w:lang w:eastAsia="hr-HR"/>
              </w:rPr>
              <w:t>0</w:t>
            </w:r>
          </w:p>
        </w:tc>
        <w:tc>
          <w:tcPr>
            <w:tcW w:w="443" w:type="dxa"/>
            <w:gridSpan w:val="2"/>
            <w:tcBorders>
              <w:top w:val="nil"/>
              <w:left w:val="nil"/>
              <w:bottom w:val="single" w:sz="4" w:space="0" w:color="auto"/>
              <w:right w:val="single" w:sz="4" w:space="0" w:color="auto"/>
            </w:tcBorders>
            <w:shd w:val="clear" w:color="000000" w:fill="66FFCC"/>
            <w:noWrap/>
            <w:vAlign w:val="center"/>
            <w:hideMark/>
          </w:tcPr>
          <w:p w14:paraId="086B86AC" w14:textId="77777777" w:rsidR="005E671C" w:rsidRPr="005E671C" w:rsidRDefault="005E671C" w:rsidP="005E671C">
            <w:pPr>
              <w:spacing w:after="0" w:line="240" w:lineRule="auto"/>
              <w:jc w:val="center"/>
              <w:rPr>
                <w:rFonts w:ascii="Calibri" w:eastAsia="Times New Roman" w:hAnsi="Calibri" w:cs="Calibri"/>
                <w:lang w:eastAsia="hr-HR"/>
              </w:rPr>
            </w:pPr>
            <w:r w:rsidRPr="005E671C">
              <w:rPr>
                <w:rFonts w:ascii="Calibri" w:eastAsia="Times New Roman" w:hAnsi="Calibri" w:cs="Calibri"/>
                <w:lang w:eastAsia="hr-HR"/>
              </w:rPr>
              <w:t>0</w:t>
            </w:r>
          </w:p>
        </w:tc>
        <w:tc>
          <w:tcPr>
            <w:tcW w:w="698" w:type="dxa"/>
            <w:tcBorders>
              <w:top w:val="nil"/>
              <w:left w:val="nil"/>
              <w:bottom w:val="single" w:sz="4" w:space="0" w:color="auto"/>
              <w:right w:val="single" w:sz="4" w:space="0" w:color="auto"/>
            </w:tcBorders>
            <w:shd w:val="clear" w:color="000000" w:fill="66FFCC"/>
            <w:noWrap/>
            <w:vAlign w:val="center"/>
            <w:hideMark/>
          </w:tcPr>
          <w:p w14:paraId="201A2BA2" w14:textId="77777777" w:rsidR="005E671C" w:rsidRPr="005E671C" w:rsidRDefault="005E671C" w:rsidP="005E671C">
            <w:pPr>
              <w:spacing w:after="0" w:line="240" w:lineRule="auto"/>
              <w:jc w:val="center"/>
              <w:rPr>
                <w:rFonts w:ascii="Calibri" w:eastAsia="Times New Roman" w:hAnsi="Calibri" w:cs="Calibri"/>
                <w:lang w:eastAsia="hr-HR"/>
              </w:rPr>
            </w:pPr>
            <w:r w:rsidRPr="005E671C">
              <w:rPr>
                <w:rFonts w:ascii="Calibri" w:eastAsia="Times New Roman" w:hAnsi="Calibri" w:cs="Calibri"/>
                <w:lang w:eastAsia="hr-HR"/>
              </w:rPr>
              <w:t>4</w:t>
            </w:r>
          </w:p>
        </w:tc>
        <w:tc>
          <w:tcPr>
            <w:tcW w:w="574" w:type="dxa"/>
            <w:tcBorders>
              <w:top w:val="nil"/>
              <w:left w:val="nil"/>
              <w:bottom w:val="single" w:sz="4" w:space="0" w:color="auto"/>
              <w:right w:val="single" w:sz="4" w:space="0" w:color="auto"/>
            </w:tcBorders>
            <w:shd w:val="clear" w:color="000000" w:fill="66FFCC"/>
            <w:noWrap/>
            <w:vAlign w:val="center"/>
            <w:hideMark/>
          </w:tcPr>
          <w:p w14:paraId="2708B3B4" w14:textId="77777777" w:rsidR="005E671C" w:rsidRPr="005E671C" w:rsidRDefault="005E671C" w:rsidP="005E671C">
            <w:pPr>
              <w:spacing w:after="0" w:line="240" w:lineRule="auto"/>
              <w:jc w:val="center"/>
              <w:rPr>
                <w:rFonts w:ascii="Calibri" w:eastAsia="Times New Roman" w:hAnsi="Calibri" w:cs="Calibri"/>
                <w:lang w:eastAsia="hr-HR"/>
              </w:rPr>
            </w:pPr>
            <w:r w:rsidRPr="005E671C">
              <w:rPr>
                <w:rFonts w:ascii="Calibri" w:eastAsia="Times New Roman" w:hAnsi="Calibri" w:cs="Calibri"/>
                <w:lang w:eastAsia="hr-HR"/>
              </w:rPr>
              <w:t>0</w:t>
            </w:r>
          </w:p>
        </w:tc>
        <w:tc>
          <w:tcPr>
            <w:tcW w:w="560" w:type="dxa"/>
            <w:tcBorders>
              <w:top w:val="nil"/>
              <w:left w:val="nil"/>
              <w:bottom w:val="single" w:sz="4" w:space="0" w:color="auto"/>
              <w:right w:val="single" w:sz="4" w:space="0" w:color="auto"/>
            </w:tcBorders>
            <w:shd w:val="clear" w:color="000000" w:fill="66FFCC"/>
            <w:noWrap/>
            <w:vAlign w:val="center"/>
            <w:hideMark/>
          </w:tcPr>
          <w:p w14:paraId="13E2CFAB" w14:textId="77777777" w:rsidR="005E671C" w:rsidRPr="005E671C" w:rsidRDefault="005E671C" w:rsidP="005E671C">
            <w:pPr>
              <w:spacing w:after="0" w:line="240" w:lineRule="auto"/>
              <w:jc w:val="center"/>
              <w:rPr>
                <w:rFonts w:ascii="Calibri" w:eastAsia="Times New Roman" w:hAnsi="Calibri" w:cs="Calibri"/>
                <w:lang w:eastAsia="hr-HR"/>
              </w:rPr>
            </w:pPr>
            <w:r w:rsidRPr="005E671C">
              <w:rPr>
                <w:rFonts w:ascii="Calibri" w:eastAsia="Times New Roman" w:hAnsi="Calibri" w:cs="Calibri"/>
                <w:lang w:eastAsia="hr-HR"/>
              </w:rPr>
              <w:t>4</w:t>
            </w:r>
          </w:p>
        </w:tc>
        <w:tc>
          <w:tcPr>
            <w:tcW w:w="430" w:type="dxa"/>
            <w:gridSpan w:val="2"/>
            <w:tcBorders>
              <w:top w:val="nil"/>
              <w:left w:val="nil"/>
              <w:bottom w:val="single" w:sz="4" w:space="0" w:color="auto"/>
              <w:right w:val="single" w:sz="4" w:space="0" w:color="auto"/>
            </w:tcBorders>
            <w:shd w:val="clear" w:color="000000" w:fill="FFFF00"/>
            <w:vAlign w:val="center"/>
            <w:hideMark/>
          </w:tcPr>
          <w:p w14:paraId="7F458D56" w14:textId="77777777" w:rsidR="005E671C" w:rsidRPr="005E671C" w:rsidRDefault="005E671C" w:rsidP="005E671C">
            <w:pPr>
              <w:spacing w:after="0" w:line="240" w:lineRule="auto"/>
              <w:jc w:val="center"/>
              <w:rPr>
                <w:rFonts w:ascii="Calibri" w:eastAsia="Times New Roman" w:hAnsi="Calibri" w:cs="Calibri"/>
                <w:lang w:eastAsia="hr-HR"/>
              </w:rPr>
            </w:pPr>
            <w:r w:rsidRPr="005E671C">
              <w:rPr>
                <w:rFonts w:ascii="Calibri" w:eastAsia="Times New Roman" w:hAnsi="Calibri" w:cs="Calibri"/>
                <w:lang w:eastAsia="hr-HR"/>
              </w:rPr>
              <w:t>5</w:t>
            </w:r>
          </w:p>
        </w:tc>
        <w:tc>
          <w:tcPr>
            <w:tcW w:w="425" w:type="dxa"/>
            <w:gridSpan w:val="2"/>
            <w:tcBorders>
              <w:top w:val="nil"/>
              <w:left w:val="nil"/>
              <w:bottom w:val="single" w:sz="4" w:space="0" w:color="auto"/>
              <w:right w:val="single" w:sz="4" w:space="0" w:color="auto"/>
            </w:tcBorders>
            <w:shd w:val="clear" w:color="000000" w:fill="FFFF99"/>
            <w:vAlign w:val="center"/>
            <w:hideMark/>
          </w:tcPr>
          <w:p w14:paraId="2A4C219E" w14:textId="77777777" w:rsidR="005E671C" w:rsidRPr="005E671C" w:rsidRDefault="005E671C" w:rsidP="005E671C">
            <w:pPr>
              <w:spacing w:after="0" w:line="240" w:lineRule="auto"/>
              <w:jc w:val="center"/>
              <w:rPr>
                <w:rFonts w:ascii="Calibri" w:eastAsia="Times New Roman" w:hAnsi="Calibri" w:cs="Calibri"/>
                <w:lang w:eastAsia="hr-HR"/>
              </w:rPr>
            </w:pPr>
            <w:r w:rsidRPr="005E671C">
              <w:rPr>
                <w:rFonts w:ascii="Calibri" w:eastAsia="Times New Roman" w:hAnsi="Calibri" w:cs="Calibri"/>
                <w:lang w:eastAsia="hr-HR"/>
              </w:rPr>
              <w:t>3</w:t>
            </w:r>
          </w:p>
        </w:tc>
        <w:tc>
          <w:tcPr>
            <w:tcW w:w="540" w:type="dxa"/>
            <w:gridSpan w:val="2"/>
            <w:tcBorders>
              <w:top w:val="nil"/>
              <w:left w:val="nil"/>
              <w:bottom w:val="single" w:sz="4" w:space="0" w:color="auto"/>
              <w:right w:val="single" w:sz="4" w:space="0" w:color="auto"/>
            </w:tcBorders>
            <w:shd w:val="clear" w:color="000000" w:fill="FF9900"/>
            <w:vAlign w:val="center"/>
            <w:hideMark/>
          </w:tcPr>
          <w:p w14:paraId="45B26A2A" w14:textId="77777777" w:rsidR="005E671C" w:rsidRPr="005E671C" w:rsidRDefault="005E671C" w:rsidP="005E671C">
            <w:pPr>
              <w:spacing w:after="0" w:line="240" w:lineRule="auto"/>
              <w:jc w:val="center"/>
              <w:rPr>
                <w:rFonts w:ascii="Calibri" w:eastAsia="Times New Roman" w:hAnsi="Calibri" w:cs="Calibri"/>
                <w:lang w:eastAsia="hr-HR"/>
              </w:rPr>
            </w:pPr>
            <w:r w:rsidRPr="005E671C">
              <w:rPr>
                <w:rFonts w:ascii="Calibri" w:eastAsia="Times New Roman" w:hAnsi="Calibri" w:cs="Calibri"/>
                <w:lang w:eastAsia="hr-HR"/>
              </w:rPr>
              <w:t>4</w:t>
            </w:r>
          </w:p>
        </w:tc>
        <w:tc>
          <w:tcPr>
            <w:tcW w:w="435" w:type="dxa"/>
            <w:tcBorders>
              <w:top w:val="nil"/>
              <w:left w:val="nil"/>
              <w:bottom w:val="single" w:sz="4" w:space="0" w:color="auto"/>
              <w:right w:val="single" w:sz="4" w:space="0" w:color="auto"/>
            </w:tcBorders>
            <w:shd w:val="clear" w:color="000000" w:fill="CCFFFF"/>
            <w:vAlign w:val="center"/>
            <w:hideMark/>
          </w:tcPr>
          <w:p w14:paraId="689F96D6" w14:textId="77777777" w:rsidR="005E671C" w:rsidRPr="005E671C" w:rsidRDefault="005E671C" w:rsidP="005E671C">
            <w:pPr>
              <w:spacing w:after="0" w:line="240" w:lineRule="auto"/>
              <w:jc w:val="center"/>
              <w:rPr>
                <w:rFonts w:ascii="Calibri" w:eastAsia="Times New Roman" w:hAnsi="Calibri" w:cs="Calibri"/>
                <w:lang w:eastAsia="hr-HR"/>
              </w:rPr>
            </w:pPr>
            <w:r w:rsidRPr="005E671C">
              <w:rPr>
                <w:rFonts w:ascii="Calibri" w:eastAsia="Times New Roman" w:hAnsi="Calibri" w:cs="Calibri"/>
                <w:lang w:eastAsia="hr-HR"/>
              </w:rPr>
              <w:t>0</w:t>
            </w:r>
          </w:p>
        </w:tc>
        <w:tc>
          <w:tcPr>
            <w:tcW w:w="655" w:type="dxa"/>
            <w:tcBorders>
              <w:top w:val="nil"/>
              <w:left w:val="nil"/>
              <w:bottom w:val="single" w:sz="4" w:space="0" w:color="auto"/>
              <w:right w:val="single" w:sz="4" w:space="0" w:color="auto"/>
            </w:tcBorders>
            <w:shd w:val="clear" w:color="000000" w:fill="CCFFFF"/>
            <w:vAlign w:val="center"/>
            <w:hideMark/>
          </w:tcPr>
          <w:p w14:paraId="4D6A77D1" w14:textId="77777777" w:rsidR="005E671C" w:rsidRPr="005E671C" w:rsidRDefault="005E671C" w:rsidP="005E671C">
            <w:pPr>
              <w:spacing w:after="0" w:line="240" w:lineRule="auto"/>
              <w:jc w:val="center"/>
              <w:rPr>
                <w:rFonts w:ascii="Calibri" w:eastAsia="Times New Roman" w:hAnsi="Calibri" w:cs="Calibri"/>
                <w:lang w:eastAsia="hr-HR"/>
              </w:rPr>
            </w:pPr>
            <w:r w:rsidRPr="005E671C">
              <w:rPr>
                <w:rFonts w:ascii="Calibri" w:eastAsia="Times New Roman" w:hAnsi="Calibri" w:cs="Calibri"/>
                <w:lang w:eastAsia="hr-HR"/>
              </w:rPr>
              <w:t>5</w:t>
            </w:r>
          </w:p>
        </w:tc>
        <w:tc>
          <w:tcPr>
            <w:tcW w:w="645" w:type="dxa"/>
            <w:tcBorders>
              <w:top w:val="nil"/>
              <w:left w:val="nil"/>
              <w:bottom w:val="single" w:sz="4" w:space="0" w:color="auto"/>
              <w:right w:val="single" w:sz="4" w:space="0" w:color="auto"/>
            </w:tcBorders>
            <w:shd w:val="clear" w:color="000000" w:fill="CCFFFF"/>
            <w:vAlign w:val="center"/>
            <w:hideMark/>
          </w:tcPr>
          <w:p w14:paraId="0883723C" w14:textId="77777777" w:rsidR="005E671C" w:rsidRPr="005E671C" w:rsidRDefault="005E671C" w:rsidP="005E671C">
            <w:pPr>
              <w:spacing w:after="0" w:line="240" w:lineRule="auto"/>
              <w:jc w:val="center"/>
              <w:rPr>
                <w:rFonts w:ascii="Calibri" w:eastAsia="Times New Roman" w:hAnsi="Calibri" w:cs="Calibri"/>
                <w:lang w:eastAsia="hr-HR"/>
              </w:rPr>
            </w:pPr>
            <w:r w:rsidRPr="005E671C">
              <w:rPr>
                <w:rFonts w:ascii="Calibri" w:eastAsia="Times New Roman" w:hAnsi="Calibri" w:cs="Calibri"/>
                <w:lang w:eastAsia="hr-HR"/>
              </w:rPr>
              <w:t>0</w:t>
            </w:r>
          </w:p>
        </w:tc>
        <w:tc>
          <w:tcPr>
            <w:tcW w:w="699" w:type="dxa"/>
            <w:tcBorders>
              <w:top w:val="nil"/>
              <w:left w:val="nil"/>
              <w:bottom w:val="single" w:sz="4" w:space="0" w:color="auto"/>
              <w:right w:val="nil"/>
            </w:tcBorders>
            <w:shd w:val="clear" w:color="000000" w:fill="33CCCC"/>
            <w:noWrap/>
            <w:vAlign w:val="center"/>
            <w:hideMark/>
          </w:tcPr>
          <w:p w14:paraId="35C20B17" w14:textId="77777777" w:rsidR="005E671C" w:rsidRPr="005E671C" w:rsidRDefault="005E671C" w:rsidP="005E671C">
            <w:pPr>
              <w:spacing w:after="0" w:line="240" w:lineRule="auto"/>
              <w:jc w:val="center"/>
              <w:rPr>
                <w:rFonts w:ascii="Calibri" w:eastAsia="Times New Roman" w:hAnsi="Calibri" w:cs="Calibri"/>
                <w:lang w:eastAsia="hr-HR"/>
              </w:rPr>
            </w:pPr>
            <w:r w:rsidRPr="005E671C">
              <w:rPr>
                <w:rFonts w:ascii="Calibri" w:eastAsia="Times New Roman" w:hAnsi="Calibri" w:cs="Calibri"/>
                <w:lang w:eastAsia="hr-HR"/>
              </w:rPr>
              <w:t>3</w:t>
            </w:r>
          </w:p>
        </w:tc>
        <w:tc>
          <w:tcPr>
            <w:tcW w:w="700" w:type="dxa"/>
            <w:tcBorders>
              <w:top w:val="nil"/>
              <w:left w:val="single" w:sz="4" w:space="0" w:color="auto"/>
              <w:bottom w:val="single" w:sz="4" w:space="0" w:color="auto"/>
              <w:right w:val="single" w:sz="8" w:space="0" w:color="auto"/>
            </w:tcBorders>
            <w:shd w:val="clear" w:color="000000" w:fill="33CCCC"/>
            <w:noWrap/>
            <w:vAlign w:val="center"/>
            <w:hideMark/>
          </w:tcPr>
          <w:p w14:paraId="70303A09" w14:textId="77777777" w:rsidR="005E671C" w:rsidRPr="005E671C" w:rsidRDefault="005E671C" w:rsidP="005E671C">
            <w:pPr>
              <w:spacing w:after="0" w:line="240" w:lineRule="auto"/>
              <w:jc w:val="center"/>
              <w:rPr>
                <w:rFonts w:ascii="Calibri" w:eastAsia="Times New Roman" w:hAnsi="Calibri" w:cs="Calibri"/>
                <w:lang w:eastAsia="hr-HR"/>
              </w:rPr>
            </w:pPr>
            <w:r w:rsidRPr="005E671C">
              <w:rPr>
                <w:rFonts w:ascii="Calibri" w:eastAsia="Times New Roman" w:hAnsi="Calibri" w:cs="Calibri"/>
                <w:lang w:eastAsia="hr-HR"/>
              </w:rPr>
              <w:t>2</w:t>
            </w:r>
          </w:p>
        </w:tc>
        <w:tc>
          <w:tcPr>
            <w:tcW w:w="239" w:type="dxa"/>
            <w:gridSpan w:val="2"/>
            <w:vAlign w:val="center"/>
            <w:hideMark/>
          </w:tcPr>
          <w:p w14:paraId="052F4C75" w14:textId="77777777" w:rsidR="005E671C" w:rsidRPr="005E671C" w:rsidRDefault="005E671C" w:rsidP="005E671C">
            <w:pPr>
              <w:spacing w:after="0" w:line="240" w:lineRule="auto"/>
              <w:rPr>
                <w:rFonts w:ascii="Times New Roman" w:eastAsia="Times New Roman" w:hAnsi="Times New Roman" w:cs="Times New Roman"/>
                <w:sz w:val="20"/>
                <w:szCs w:val="20"/>
                <w:lang w:eastAsia="hr-HR"/>
              </w:rPr>
            </w:pPr>
          </w:p>
        </w:tc>
      </w:tr>
      <w:tr w:rsidR="005E671C" w:rsidRPr="005E671C" w14:paraId="3E3E59B8" w14:textId="77777777" w:rsidTr="001752B7">
        <w:trPr>
          <w:gridAfter w:val="1"/>
          <w:wAfter w:w="23" w:type="dxa"/>
          <w:trHeight w:val="300"/>
        </w:trPr>
        <w:tc>
          <w:tcPr>
            <w:tcW w:w="1408" w:type="dxa"/>
            <w:tcBorders>
              <w:top w:val="single" w:sz="4" w:space="0" w:color="auto"/>
              <w:left w:val="single" w:sz="8" w:space="0" w:color="auto"/>
              <w:bottom w:val="single" w:sz="4" w:space="0" w:color="auto"/>
              <w:right w:val="single" w:sz="4" w:space="0" w:color="auto"/>
            </w:tcBorders>
            <w:shd w:val="clear" w:color="000000" w:fill="CCFFCC"/>
            <w:vAlign w:val="center"/>
            <w:hideMark/>
          </w:tcPr>
          <w:p w14:paraId="20D2E504" w14:textId="77777777" w:rsidR="005E671C" w:rsidRPr="005E671C" w:rsidRDefault="005E671C" w:rsidP="005E671C">
            <w:pPr>
              <w:spacing w:after="0" w:line="240" w:lineRule="auto"/>
              <w:jc w:val="center"/>
              <w:rPr>
                <w:rFonts w:ascii="Calibri" w:eastAsia="Times New Roman" w:hAnsi="Calibri" w:cs="Calibri"/>
                <w:lang w:eastAsia="hr-HR"/>
              </w:rPr>
            </w:pPr>
            <w:r w:rsidRPr="005E671C">
              <w:rPr>
                <w:rFonts w:ascii="Calibri" w:eastAsia="Times New Roman" w:hAnsi="Calibri" w:cs="Calibri"/>
                <w:lang w:eastAsia="hr-HR"/>
              </w:rPr>
              <w:t>Nacionalno podrijetlo</w:t>
            </w:r>
          </w:p>
        </w:tc>
        <w:tc>
          <w:tcPr>
            <w:tcW w:w="595" w:type="dxa"/>
            <w:tcBorders>
              <w:top w:val="nil"/>
              <w:left w:val="nil"/>
              <w:bottom w:val="single" w:sz="4" w:space="0" w:color="auto"/>
              <w:right w:val="single" w:sz="4" w:space="0" w:color="auto"/>
            </w:tcBorders>
            <w:shd w:val="clear" w:color="000000" w:fill="CCFFCC"/>
            <w:vAlign w:val="center"/>
            <w:hideMark/>
          </w:tcPr>
          <w:p w14:paraId="55A892E9" w14:textId="77777777" w:rsidR="005E671C" w:rsidRPr="005E671C" w:rsidRDefault="005E671C" w:rsidP="005E671C">
            <w:pPr>
              <w:spacing w:after="0" w:line="240" w:lineRule="auto"/>
              <w:jc w:val="center"/>
              <w:rPr>
                <w:rFonts w:ascii="Calibri" w:eastAsia="Times New Roman" w:hAnsi="Calibri" w:cs="Calibri"/>
                <w:lang w:eastAsia="hr-HR"/>
              </w:rPr>
            </w:pPr>
            <w:r w:rsidRPr="005E671C">
              <w:rPr>
                <w:rFonts w:ascii="Calibri" w:eastAsia="Times New Roman" w:hAnsi="Calibri" w:cs="Calibri"/>
                <w:lang w:eastAsia="hr-HR"/>
              </w:rPr>
              <w:t>33</w:t>
            </w:r>
          </w:p>
        </w:tc>
        <w:tc>
          <w:tcPr>
            <w:tcW w:w="549" w:type="dxa"/>
            <w:tcBorders>
              <w:top w:val="nil"/>
              <w:left w:val="nil"/>
              <w:bottom w:val="single" w:sz="4" w:space="0" w:color="auto"/>
              <w:right w:val="single" w:sz="4" w:space="0" w:color="auto"/>
            </w:tcBorders>
            <w:shd w:val="clear" w:color="000000" w:fill="FFCC99"/>
            <w:noWrap/>
            <w:vAlign w:val="center"/>
            <w:hideMark/>
          </w:tcPr>
          <w:p w14:paraId="3F18D7ED" w14:textId="77777777" w:rsidR="005E671C" w:rsidRPr="005E671C" w:rsidRDefault="005E671C" w:rsidP="005E671C">
            <w:pPr>
              <w:spacing w:after="0" w:line="240" w:lineRule="auto"/>
              <w:jc w:val="center"/>
              <w:rPr>
                <w:rFonts w:ascii="Calibri" w:eastAsia="Times New Roman" w:hAnsi="Calibri" w:cs="Calibri"/>
                <w:lang w:eastAsia="hr-HR"/>
              </w:rPr>
            </w:pPr>
            <w:r w:rsidRPr="005E671C">
              <w:rPr>
                <w:rFonts w:ascii="Calibri" w:eastAsia="Times New Roman" w:hAnsi="Calibri" w:cs="Calibri"/>
                <w:lang w:eastAsia="hr-HR"/>
              </w:rPr>
              <w:t>56</w:t>
            </w:r>
          </w:p>
        </w:tc>
        <w:tc>
          <w:tcPr>
            <w:tcW w:w="441" w:type="dxa"/>
            <w:tcBorders>
              <w:top w:val="nil"/>
              <w:left w:val="nil"/>
              <w:bottom w:val="single" w:sz="4" w:space="0" w:color="auto"/>
              <w:right w:val="single" w:sz="4" w:space="0" w:color="auto"/>
            </w:tcBorders>
            <w:shd w:val="clear" w:color="000000" w:fill="CCFFFF"/>
            <w:noWrap/>
            <w:vAlign w:val="center"/>
            <w:hideMark/>
          </w:tcPr>
          <w:p w14:paraId="37206C6D" w14:textId="77777777" w:rsidR="005E671C" w:rsidRPr="005E671C" w:rsidRDefault="005E671C" w:rsidP="005E671C">
            <w:pPr>
              <w:spacing w:after="0" w:line="240" w:lineRule="auto"/>
              <w:jc w:val="center"/>
              <w:rPr>
                <w:rFonts w:ascii="Calibri" w:eastAsia="Times New Roman" w:hAnsi="Calibri" w:cs="Calibri"/>
                <w:lang w:eastAsia="hr-HR"/>
              </w:rPr>
            </w:pPr>
            <w:r w:rsidRPr="005E671C">
              <w:rPr>
                <w:rFonts w:ascii="Calibri" w:eastAsia="Times New Roman" w:hAnsi="Calibri" w:cs="Calibri"/>
                <w:lang w:eastAsia="hr-HR"/>
              </w:rPr>
              <w:t>17</w:t>
            </w:r>
          </w:p>
        </w:tc>
        <w:tc>
          <w:tcPr>
            <w:tcW w:w="432" w:type="dxa"/>
            <w:tcBorders>
              <w:top w:val="nil"/>
              <w:left w:val="nil"/>
              <w:bottom w:val="single" w:sz="4" w:space="0" w:color="auto"/>
              <w:right w:val="single" w:sz="4" w:space="0" w:color="auto"/>
            </w:tcBorders>
            <w:shd w:val="clear" w:color="000000" w:fill="CCFFFF"/>
            <w:noWrap/>
            <w:vAlign w:val="center"/>
            <w:hideMark/>
          </w:tcPr>
          <w:p w14:paraId="71EC5674" w14:textId="77777777" w:rsidR="005E671C" w:rsidRPr="005E671C" w:rsidRDefault="005E671C" w:rsidP="005E671C">
            <w:pPr>
              <w:spacing w:after="0" w:line="240" w:lineRule="auto"/>
              <w:jc w:val="center"/>
              <w:rPr>
                <w:rFonts w:ascii="Calibri" w:eastAsia="Times New Roman" w:hAnsi="Calibri" w:cs="Calibri"/>
                <w:lang w:eastAsia="hr-HR"/>
              </w:rPr>
            </w:pPr>
            <w:r w:rsidRPr="005E671C">
              <w:rPr>
                <w:rFonts w:ascii="Calibri" w:eastAsia="Times New Roman" w:hAnsi="Calibri" w:cs="Calibri"/>
                <w:lang w:eastAsia="hr-HR"/>
              </w:rPr>
              <w:t>49</w:t>
            </w:r>
          </w:p>
        </w:tc>
        <w:tc>
          <w:tcPr>
            <w:tcW w:w="421" w:type="dxa"/>
            <w:gridSpan w:val="2"/>
            <w:tcBorders>
              <w:top w:val="nil"/>
              <w:left w:val="nil"/>
              <w:bottom w:val="single" w:sz="4" w:space="0" w:color="auto"/>
              <w:right w:val="single" w:sz="4" w:space="0" w:color="auto"/>
            </w:tcBorders>
            <w:shd w:val="clear" w:color="000000" w:fill="FFFF99"/>
            <w:noWrap/>
            <w:vAlign w:val="center"/>
            <w:hideMark/>
          </w:tcPr>
          <w:p w14:paraId="12BD9D93" w14:textId="77777777" w:rsidR="005E671C" w:rsidRPr="005E671C" w:rsidRDefault="005E671C" w:rsidP="005E671C">
            <w:pPr>
              <w:spacing w:after="0" w:line="240" w:lineRule="auto"/>
              <w:jc w:val="center"/>
              <w:rPr>
                <w:rFonts w:ascii="Calibri" w:eastAsia="Times New Roman" w:hAnsi="Calibri" w:cs="Calibri"/>
                <w:lang w:eastAsia="hr-HR"/>
              </w:rPr>
            </w:pPr>
            <w:r w:rsidRPr="005E671C">
              <w:rPr>
                <w:rFonts w:ascii="Calibri" w:eastAsia="Times New Roman" w:hAnsi="Calibri" w:cs="Calibri"/>
                <w:lang w:eastAsia="hr-HR"/>
              </w:rPr>
              <w:t>55</w:t>
            </w:r>
          </w:p>
        </w:tc>
        <w:tc>
          <w:tcPr>
            <w:tcW w:w="431" w:type="dxa"/>
            <w:tcBorders>
              <w:top w:val="nil"/>
              <w:left w:val="nil"/>
              <w:bottom w:val="single" w:sz="4" w:space="0" w:color="auto"/>
              <w:right w:val="single" w:sz="4" w:space="0" w:color="auto"/>
            </w:tcBorders>
            <w:shd w:val="clear" w:color="000000" w:fill="FFFF99"/>
            <w:noWrap/>
            <w:vAlign w:val="center"/>
            <w:hideMark/>
          </w:tcPr>
          <w:p w14:paraId="0F52C694" w14:textId="77777777" w:rsidR="005E671C" w:rsidRPr="005E671C" w:rsidRDefault="005E671C" w:rsidP="005E671C">
            <w:pPr>
              <w:spacing w:after="0" w:line="240" w:lineRule="auto"/>
              <w:jc w:val="center"/>
              <w:rPr>
                <w:rFonts w:ascii="Calibri" w:eastAsia="Times New Roman" w:hAnsi="Calibri" w:cs="Calibri"/>
                <w:lang w:eastAsia="hr-HR"/>
              </w:rPr>
            </w:pPr>
            <w:r w:rsidRPr="005E671C">
              <w:rPr>
                <w:rFonts w:ascii="Calibri" w:eastAsia="Times New Roman" w:hAnsi="Calibri" w:cs="Calibri"/>
                <w:lang w:eastAsia="hr-HR"/>
              </w:rPr>
              <w:t>0</w:t>
            </w:r>
          </w:p>
        </w:tc>
        <w:tc>
          <w:tcPr>
            <w:tcW w:w="420" w:type="dxa"/>
            <w:tcBorders>
              <w:top w:val="nil"/>
              <w:left w:val="nil"/>
              <w:bottom w:val="single" w:sz="4" w:space="0" w:color="auto"/>
              <w:right w:val="single" w:sz="4" w:space="0" w:color="auto"/>
            </w:tcBorders>
            <w:shd w:val="clear" w:color="000000" w:fill="FFFF99"/>
            <w:noWrap/>
            <w:vAlign w:val="center"/>
            <w:hideMark/>
          </w:tcPr>
          <w:p w14:paraId="7598DBC0" w14:textId="77777777" w:rsidR="005E671C" w:rsidRPr="005E671C" w:rsidRDefault="005E671C" w:rsidP="005E671C">
            <w:pPr>
              <w:spacing w:after="0" w:line="240" w:lineRule="auto"/>
              <w:jc w:val="center"/>
              <w:rPr>
                <w:rFonts w:ascii="Calibri" w:eastAsia="Times New Roman" w:hAnsi="Calibri" w:cs="Calibri"/>
                <w:lang w:eastAsia="hr-HR"/>
              </w:rPr>
            </w:pPr>
            <w:r w:rsidRPr="005E671C">
              <w:rPr>
                <w:rFonts w:ascii="Calibri" w:eastAsia="Times New Roman" w:hAnsi="Calibri" w:cs="Calibri"/>
                <w:lang w:eastAsia="hr-HR"/>
              </w:rPr>
              <w:t>0</w:t>
            </w:r>
          </w:p>
        </w:tc>
        <w:tc>
          <w:tcPr>
            <w:tcW w:w="429" w:type="dxa"/>
            <w:tcBorders>
              <w:top w:val="nil"/>
              <w:left w:val="nil"/>
              <w:bottom w:val="single" w:sz="4" w:space="0" w:color="auto"/>
              <w:right w:val="single" w:sz="4" w:space="0" w:color="auto"/>
            </w:tcBorders>
            <w:shd w:val="clear" w:color="000000" w:fill="FFFF99"/>
            <w:noWrap/>
            <w:vAlign w:val="center"/>
            <w:hideMark/>
          </w:tcPr>
          <w:p w14:paraId="0433599A" w14:textId="77777777" w:rsidR="005E671C" w:rsidRPr="005E671C" w:rsidRDefault="005E671C" w:rsidP="005E671C">
            <w:pPr>
              <w:spacing w:after="0" w:line="240" w:lineRule="auto"/>
              <w:jc w:val="center"/>
              <w:rPr>
                <w:rFonts w:ascii="Calibri" w:eastAsia="Times New Roman" w:hAnsi="Calibri" w:cs="Calibri"/>
                <w:lang w:eastAsia="hr-HR"/>
              </w:rPr>
            </w:pPr>
            <w:r w:rsidRPr="005E671C">
              <w:rPr>
                <w:rFonts w:ascii="Calibri" w:eastAsia="Times New Roman" w:hAnsi="Calibri" w:cs="Calibri"/>
                <w:lang w:eastAsia="hr-HR"/>
              </w:rPr>
              <w:t>0</w:t>
            </w:r>
          </w:p>
        </w:tc>
        <w:tc>
          <w:tcPr>
            <w:tcW w:w="581" w:type="dxa"/>
            <w:tcBorders>
              <w:top w:val="nil"/>
              <w:left w:val="nil"/>
              <w:bottom w:val="single" w:sz="4" w:space="0" w:color="auto"/>
              <w:right w:val="single" w:sz="4" w:space="0" w:color="auto"/>
            </w:tcBorders>
            <w:shd w:val="clear" w:color="000000" w:fill="FFFF99"/>
            <w:noWrap/>
            <w:vAlign w:val="center"/>
            <w:hideMark/>
          </w:tcPr>
          <w:p w14:paraId="41011E5F" w14:textId="77777777" w:rsidR="005E671C" w:rsidRPr="005E671C" w:rsidRDefault="005E671C" w:rsidP="005E671C">
            <w:pPr>
              <w:spacing w:after="0" w:line="240" w:lineRule="auto"/>
              <w:jc w:val="center"/>
              <w:rPr>
                <w:rFonts w:ascii="Calibri" w:eastAsia="Times New Roman" w:hAnsi="Calibri" w:cs="Calibri"/>
                <w:lang w:eastAsia="hr-HR"/>
              </w:rPr>
            </w:pPr>
            <w:r w:rsidRPr="005E671C">
              <w:rPr>
                <w:rFonts w:ascii="Calibri" w:eastAsia="Times New Roman" w:hAnsi="Calibri" w:cs="Calibri"/>
                <w:lang w:eastAsia="hr-HR"/>
              </w:rPr>
              <w:t>1</w:t>
            </w:r>
          </w:p>
        </w:tc>
        <w:tc>
          <w:tcPr>
            <w:tcW w:w="556" w:type="dxa"/>
            <w:gridSpan w:val="2"/>
            <w:tcBorders>
              <w:top w:val="nil"/>
              <w:left w:val="nil"/>
              <w:bottom w:val="single" w:sz="4" w:space="0" w:color="auto"/>
              <w:right w:val="single" w:sz="4" w:space="0" w:color="auto"/>
            </w:tcBorders>
            <w:shd w:val="clear" w:color="000000" w:fill="FF9900"/>
            <w:noWrap/>
            <w:vAlign w:val="center"/>
            <w:hideMark/>
          </w:tcPr>
          <w:p w14:paraId="62F6E98B" w14:textId="77777777" w:rsidR="005E671C" w:rsidRPr="005E671C" w:rsidRDefault="005E671C" w:rsidP="005E671C">
            <w:pPr>
              <w:spacing w:after="0" w:line="240" w:lineRule="auto"/>
              <w:jc w:val="center"/>
              <w:rPr>
                <w:rFonts w:ascii="Calibri" w:eastAsia="Times New Roman" w:hAnsi="Calibri" w:cs="Calibri"/>
                <w:lang w:eastAsia="hr-HR"/>
              </w:rPr>
            </w:pPr>
            <w:r w:rsidRPr="005E671C">
              <w:rPr>
                <w:rFonts w:ascii="Calibri" w:eastAsia="Times New Roman" w:hAnsi="Calibri" w:cs="Calibri"/>
                <w:lang w:eastAsia="hr-HR"/>
              </w:rPr>
              <w:t>11</w:t>
            </w:r>
          </w:p>
        </w:tc>
        <w:tc>
          <w:tcPr>
            <w:tcW w:w="574" w:type="dxa"/>
            <w:tcBorders>
              <w:top w:val="nil"/>
              <w:left w:val="nil"/>
              <w:bottom w:val="single" w:sz="4" w:space="0" w:color="auto"/>
              <w:right w:val="single" w:sz="4" w:space="0" w:color="auto"/>
            </w:tcBorders>
            <w:shd w:val="clear" w:color="000000" w:fill="FF9900"/>
            <w:noWrap/>
            <w:vAlign w:val="center"/>
            <w:hideMark/>
          </w:tcPr>
          <w:p w14:paraId="356A5AD4" w14:textId="77777777" w:rsidR="005E671C" w:rsidRPr="005E671C" w:rsidRDefault="005E671C" w:rsidP="005E671C">
            <w:pPr>
              <w:spacing w:after="0" w:line="240" w:lineRule="auto"/>
              <w:jc w:val="center"/>
              <w:rPr>
                <w:rFonts w:ascii="Calibri" w:eastAsia="Times New Roman" w:hAnsi="Calibri" w:cs="Calibri"/>
                <w:lang w:eastAsia="hr-HR"/>
              </w:rPr>
            </w:pPr>
            <w:r w:rsidRPr="005E671C">
              <w:rPr>
                <w:rFonts w:ascii="Calibri" w:eastAsia="Times New Roman" w:hAnsi="Calibri" w:cs="Calibri"/>
                <w:lang w:eastAsia="hr-HR"/>
              </w:rPr>
              <w:t>9</w:t>
            </w:r>
          </w:p>
        </w:tc>
        <w:tc>
          <w:tcPr>
            <w:tcW w:w="434" w:type="dxa"/>
            <w:tcBorders>
              <w:top w:val="nil"/>
              <w:left w:val="nil"/>
              <w:bottom w:val="single" w:sz="4" w:space="0" w:color="auto"/>
              <w:right w:val="single" w:sz="4" w:space="0" w:color="auto"/>
            </w:tcBorders>
            <w:shd w:val="clear" w:color="000000" w:fill="FF9900"/>
            <w:noWrap/>
            <w:vAlign w:val="center"/>
            <w:hideMark/>
          </w:tcPr>
          <w:p w14:paraId="4C2B4EFB" w14:textId="77777777" w:rsidR="005E671C" w:rsidRPr="005E671C" w:rsidRDefault="005E671C" w:rsidP="005E671C">
            <w:pPr>
              <w:spacing w:after="0" w:line="240" w:lineRule="auto"/>
              <w:jc w:val="center"/>
              <w:rPr>
                <w:rFonts w:ascii="Calibri" w:eastAsia="Times New Roman" w:hAnsi="Calibri" w:cs="Calibri"/>
                <w:lang w:eastAsia="hr-HR"/>
              </w:rPr>
            </w:pPr>
            <w:r w:rsidRPr="005E671C">
              <w:rPr>
                <w:rFonts w:ascii="Calibri" w:eastAsia="Times New Roman" w:hAnsi="Calibri" w:cs="Calibri"/>
                <w:lang w:eastAsia="hr-HR"/>
              </w:rPr>
              <w:t>9</w:t>
            </w:r>
          </w:p>
        </w:tc>
        <w:tc>
          <w:tcPr>
            <w:tcW w:w="443" w:type="dxa"/>
            <w:gridSpan w:val="2"/>
            <w:tcBorders>
              <w:top w:val="nil"/>
              <w:left w:val="nil"/>
              <w:bottom w:val="single" w:sz="4" w:space="0" w:color="auto"/>
              <w:right w:val="single" w:sz="4" w:space="0" w:color="auto"/>
            </w:tcBorders>
            <w:shd w:val="clear" w:color="000000" w:fill="66FFCC"/>
            <w:noWrap/>
            <w:vAlign w:val="center"/>
            <w:hideMark/>
          </w:tcPr>
          <w:p w14:paraId="3481D677" w14:textId="77777777" w:rsidR="005E671C" w:rsidRPr="005E671C" w:rsidRDefault="005E671C" w:rsidP="005E671C">
            <w:pPr>
              <w:spacing w:after="0" w:line="240" w:lineRule="auto"/>
              <w:jc w:val="center"/>
              <w:rPr>
                <w:rFonts w:ascii="Calibri" w:eastAsia="Times New Roman" w:hAnsi="Calibri" w:cs="Calibri"/>
                <w:lang w:eastAsia="hr-HR"/>
              </w:rPr>
            </w:pPr>
            <w:r w:rsidRPr="005E671C">
              <w:rPr>
                <w:rFonts w:ascii="Calibri" w:eastAsia="Times New Roman" w:hAnsi="Calibri" w:cs="Calibri"/>
                <w:lang w:eastAsia="hr-HR"/>
              </w:rPr>
              <w:t>0</w:t>
            </w:r>
          </w:p>
        </w:tc>
        <w:tc>
          <w:tcPr>
            <w:tcW w:w="698" w:type="dxa"/>
            <w:tcBorders>
              <w:top w:val="nil"/>
              <w:left w:val="nil"/>
              <w:bottom w:val="single" w:sz="4" w:space="0" w:color="auto"/>
              <w:right w:val="single" w:sz="4" w:space="0" w:color="auto"/>
            </w:tcBorders>
            <w:shd w:val="clear" w:color="000000" w:fill="66FFCC"/>
            <w:noWrap/>
            <w:vAlign w:val="center"/>
            <w:hideMark/>
          </w:tcPr>
          <w:p w14:paraId="740D608E" w14:textId="77777777" w:rsidR="005E671C" w:rsidRPr="005E671C" w:rsidRDefault="005E671C" w:rsidP="005E671C">
            <w:pPr>
              <w:spacing w:after="0" w:line="240" w:lineRule="auto"/>
              <w:jc w:val="center"/>
              <w:rPr>
                <w:rFonts w:ascii="Calibri" w:eastAsia="Times New Roman" w:hAnsi="Calibri" w:cs="Calibri"/>
                <w:lang w:eastAsia="hr-HR"/>
              </w:rPr>
            </w:pPr>
            <w:r w:rsidRPr="005E671C">
              <w:rPr>
                <w:rFonts w:ascii="Calibri" w:eastAsia="Times New Roman" w:hAnsi="Calibri" w:cs="Calibri"/>
                <w:lang w:eastAsia="hr-HR"/>
              </w:rPr>
              <w:t>11</w:t>
            </w:r>
          </w:p>
        </w:tc>
        <w:tc>
          <w:tcPr>
            <w:tcW w:w="574" w:type="dxa"/>
            <w:tcBorders>
              <w:top w:val="nil"/>
              <w:left w:val="nil"/>
              <w:bottom w:val="single" w:sz="4" w:space="0" w:color="auto"/>
              <w:right w:val="single" w:sz="4" w:space="0" w:color="auto"/>
            </w:tcBorders>
            <w:shd w:val="clear" w:color="000000" w:fill="66FFCC"/>
            <w:noWrap/>
            <w:vAlign w:val="center"/>
            <w:hideMark/>
          </w:tcPr>
          <w:p w14:paraId="403E12CF" w14:textId="77777777" w:rsidR="005E671C" w:rsidRPr="005E671C" w:rsidRDefault="005E671C" w:rsidP="005E671C">
            <w:pPr>
              <w:spacing w:after="0" w:line="240" w:lineRule="auto"/>
              <w:jc w:val="center"/>
              <w:rPr>
                <w:rFonts w:ascii="Calibri" w:eastAsia="Times New Roman" w:hAnsi="Calibri" w:cs="Calibri"/>
                <w:lang w:eastAsia="hr-HR"/>
              </w:rPr>
            </w:pPr>
            <w:r w:rsidRPr="005E671C">
              <w:rPr>
                <w:rFonts w:ascii="Calibri" w:eastAsia="Times New Roman" w:hAnsi="Calibri" w:cs="Calibri"/>
                <w:lang w:eastAsia="hr-HR"/>
              </w:rPr>
              <w:t>0</w:t>
            </w:r>
          </w:p>
        </w:tc>
        <w:tc>
          <w:tcPr>
            <w:tcW w:w="560" w:type="dxa"/>
            <w:tcBorders>
              <w:top w:val="nil"/>
              <w:left w:val="nil"/>
              <w:bottom w:val="single" w:sz="4" w:space="0" w:color="auto"/>
              <w:right w:val="single" w:sz="4" w:space="0" w:color="auto"/>
            </w:tcBorders>
            <w:shd w:val="clear" w:color="000000" w:fill="66FFCC"/>
            <w:noWrap/>
            <w:vAlign w:val="center"/>
            <w:hideMark/>
          </w:tcPr>
          <w:p w14:paraId="28646658" w14:textId="77777777" w:rsidR="005E671C" w:rsidRPr="005E671C" w:rsidRDefault="005E671C" w:rsidP="005E671C">
            <w:pPr>
              <w:spacing w:after="0" w:line="240" w:lineRule="auto"/>
              <w:jc w:val="center"/>
              <w:rPr>
                <w:rFonts w:ascii="Calibri" w:eastAsia="Times New Roman" w:hAnsi="Calibri" w:cs="Calibri"/>
                <w:lang w:eastAsia="hr-HR"/>
              </w:rPr>
            </w:pPr>
            <w:r w:rsidRPr="005E671C">
              <w:rPr>
                <w:rFonts w:ascii="Calibri" w:eastAsia="Times New Roman" w:hAnsi="Calibri" w:cs="Calibri"/>
                <w:lang w:eastAsia="hr-HR"/>
              </w:rPr>
              <w:t>11</w:t>
            </w:r>
          </w:p>
        </w:tc>
        <w:tc>
          <w:tcPr>
            <w:tcW w:w="430" w:type="dxa"/>
            <w:gridSpan w:val="2"/>
            <w:tcBorders>
              <w:top w:val="nil"/>
              <w:left w:val="nil"/>
              <w:bottom w:val="single" w:sz="4" w:space="0" w:color="auto"/>
              <w:right w:val="single" w:sz="4" w:space="0" w:color="auto"/>
            </w:tcBorders>
            <w:shd w:val="clear" w:color="000000" w:fill="FFFF00"/>
            <w:vAlign w:val="center"/>
            <w:hideMark/>
          </w:tcPr>
          <w:p w14:paraId="2EB6FAF6" w14:textId="77777777" w:rsidR="005E671C" w:rsidRPr="005E671C" w:rsidRDefault="005E671C" w:rsidP="005E671C">
            <w:pPr>
              <w:spacing w:after="0" w:line="240" w:lineRule="auto"/>
              <w:jc w:val="center"/>
              <w:rPr>
                <w:rFonts w:ascii="Calibri" w:eastAsia="Times New Roman" w:hAnsi="Calibri" w:cs="Calibri"/>
                <w:lang w:eastAsia="hr-HR"/>
              </w:rPr>
            </w:pPr>
            <w:r w:rsidRPr="005E671C">
              <w:rPr>
                <w:rFonts w:ascii="Calibri" w:eastAsia="Times New Roman" w:hAnsi="Calibri" w:cs="Calibri"/>
                <w:lang w:eastAsia="hr-HR"/>
              </w:rPr>
              <w:t>29</w:t>
            </w:r>
          </w:p>
        </w:tc>
        <w:tc>
          <w:tcPr>
            <w:tcW w:w="425" w:type="dxa"/>
            <w:gridSpan w:val="2"/>
            <w:tcBorders>
              <w:top w:val="nil"/>
              <w:left w:val="nil"/>
              <w:bottom w:val="single" w:sz="4" w:space="0" w:color="auto"/>
              <w:right w:val="single" w:sz="4" w:space="0" w:color="auto"/>
            </w:tcBorders>
            <w:shd w:val="clear" w:color="000000" w:fill="FFFF99"/>
            <w:vAlign w:val="center"/>
            <w:hideMark/>
          </w:tcPr>
          <w:p w14:paraId="3CC683A9" w14:textId="77777777" w:rsidR="005E671C" w:rsidRPr="005E671C" w:rsidRDefault="005E671C" w:rsidP="005E671C">
            <w:pPr>
              <w:spacing w:after="0" w:line="240" w:lineRule="auto"/>
              <w:jc w:val="center"/>
              <w:rPr>
                <w:rFonts w:ascii="Calibri" w:eastAsia="Times New Roman" w:hAnsi="Calibri" w:cs="Calibri"/>
                <w:lang w:eastAsia="hr-HR"/>
              </w:rPr>
            </w:pPr>
            <w:r w:rsidRPr="005E671C">
              <w:rPr>
                <w:rFonts w:ascii="Calibri" w:eastAsia="Times New Roman" w:hAnsi="Calibri" w:cs="Calibri"/>
                <w:lang w:eastAsia="hr-HR"/>
              </w:rPr>
              <w:t>60</w:t>
            </w:r>
          </w:p>
        </w:tc>
        <w:tc>
          <w:tcPr>
            <w:tcW w:w="540" w:type="dxa"/>
            <w:gridSpan w:val="2"/>
            <w:tcBorders>
              <w:top w:val="nil"/>
              <w:left w:val="nil"/>
              <w:bottom w:val="single" w:sz="4" w:space="0" w:color="auto"/>
              <w:right w:val="single" w:sz="4" w:space="0" w:color="auto"/>
            </w:tcBorders>
            <w:shd w:val="clear" w:color="000000" w:fill="FF9900"/>
            <w:vAlign w:val="center"/>
            <w:hideMark/>
          </w:tcPr>
          <w:p w14:paraId="26B5D17F" w14:textId="77777777" w:rsidR="005E671C" w:rsidRPr="005E671C" w:rsidRDefault="005E671C" w:rsidP="005E671C">
            <w:pPr>
              <w:spacing w:after="0" w:line="240" w:lineRule="auto"/>
              <w:jc w:val="center"/>
              <w:rPr>
                <w:rFonts w:ascii="Calibri" w:eastAsia="Times New Roman" w:hAnsi="Calibri" w:cs="Calibri"/>
                <w:lang w:eastAsia="hr-HR"/>
              </w:rPr>
            </w:pPr>
            <w:r w:rsidRPr="005E671C">
              <w:rPr>
                <w:rFonts w:ascii="Calibri" w:eastAsia="Times New Roman" w:hAnsi="Calibri" w:cs="Calibri"/>
                <w:lang w:eastAsia="hr-HR"/>
              </w:rPr>
              <w:t>11</w:t>
            </w:r>
          </w:p>
        </w:tc>
        <w:tc>
          <w:tcPr>
            <w:tcW w:w="435" w:type="dxa"/>
            <w:tcBorders>
              <w:top w:val="nil"/>
              <w:left w:val="nil"/>
              <w:bottom w:val="single" w:sz="4" w:space="0" w:color="auto"/>
              <w:right w:val="single" w:sz="4" w:space="0" w:color="auto"/>
            </w:tcBorders>
            <w:shd w:val="clear" w:color="000000" w:fill="CCFFFF"/>
            <w:vAlign w:val="center"/>
            <w:hideMark/>
          </w:tcPr>
          <w:p w14:paraId="2832CC94" w14:textId="77777777" w:rsidR="005E671C" w:rsidRPr="005E671C" w:rsidRDefault="005E671C" w:rsidP="005E671C">
            <w:pPr>
              <w:spacing w:after="0" w:line="240" w:lineRule="auto"/>
              <w:jc w:val="center"/>
              <w:rPr>
                <w:rFonts w:ascii="Calibri" w:eastAsia="Times New Roman" w:hAnsi="Calibri" w:cs="Calibri"/>
                <w:lang w:eastAsia="hr-HR"/>
              </w:rPr>
            </w:pPr>
            <w:r w:rsidRPr="005E671C">
              <w:rPr>
                <w:rFonts w:ascii="Calibri" w:eastAsia="Times New Roman" w:hAnsi="Calibri" w:cs="Calibri"/>
                <w:lang w:eastAsia="hr-HR"/>
              </w:rPr>
              <w:t>4</w:t>
            </w:r>
          </w:p>
        </w:tc>
        <w:tc>
          <w:tcPr>
            <w:tcW w:w="655" w:type="dxa"/>
            <w:tcBorders>
              <w:top w:val="nil"/>
              <w:left w:val="nil"/>
              <w:bottom w:val="single" w:sz="4" w:space="0" w:color="auto"/>
              <w:right w:val="single" w:sz="4" w:space="0" w:color="auto"/>
            </w:tcBorders>
            <w:shd w:val="clear" w:color="000000" w:fill="CCFFFF"/>
            <w:vAlign w:val="center"/>
            <w:hideMark/>
          </w:tcPr>
          <w:p w14:paraId="3FDF22A2" w14:textId="77777777" w:rsidR="005E671C" w:rsidRPr="005E671C" w:rsidRDefault="005E671C" w:rsidP="005E671C">
            <w:pPr>
              <w:spacing w:after="0" w:line="240" w:lineRule="auto"/>
              <w:jc w:val="center"/>
              <w:rPr>
                <w:rFonts w:ascii="Calibri" w:eastAsia="Times New Roman" w:hAnsi="Calibri" w:cs="Calibri"/>
                <w:lang w:eastAsia="hr-HR"/>
              </w:rPr>
            </w:pPr>
            <w:r w:rsidRPr="005E671C">
              <w:rPr>
                <w:rFonts w:ascii="Calibri" w:eastAsia="Times New Roman" w:hAnsi="Calibri" w:cs="Calibri"/>
                <w:lang w:eastAsia="hr-HR"/>
              </w:rPr>
              <w:t>10</w:t>
            </w:r>
          </w:p>
        </w:tc>
        <w:tc>
          <w:tcPr>
            <w:tcW w:w="645" w:type="dxa"/>
            <w:tcBorders>
              <w:top w:val="nil"/>
              <w:left w:val="nil"/>
              <w:bottom w:val="single" w:sz="4" w:space="0" w:color="auto"/>
              <w:right w:val="single" w:sz="4" w:space="0" w:color="auto"/>
            </w:tcBorders>
            <w:shd w:val="clear" w:color="000000" w:fill="CCFFFF"/>
            <w:vAlign w:val="center"/>
            <w:hideMark/>
          </w:tcPr>
          <w:p w14:paraId="6E4064A9" w14:textId="77777777" w:rsidR="005E671C" w:rsidRPr="005E671C" w:rsidRDefault="005E671C" w:rsidP="005E671C">
            <w:pPr>
              <w:spacing w:after="0" w:line="240" w:lineRule="auto"/>
              <w:jc w:val="center"/>
              <w:rPr>
                <w:rFonts w:ascii="Calibri" w:eastAsia="Times New Roman" w:hAnsi="Calibri" w:cs="Calibri"/>
                <w:lang w:eastAsia="hr-HR"/>
              </w:rPr>
            </w:pPr>
            <w:r w:rsidRPr="005E671C">
              <w:rPr>
                <w:rFonts w:ascii="Calibri" w:eastAsia="Times New Roman" w:hAnsi="Calibri" w:cs="Calibri"/>
                <w:lang w:eastAsia="hr-HR"/>
              </w:rPr>
              <w:t>0</w:t>
            </w:r>
          </w:p>
        </w:tc>
        <w:tc>
          <w:tcPr>
            <w:tcW w:w="699" w:type="dxa"/>
            <w:tcBorders>
              <w:top w:val="nil"/>
              <w:left w:val="nil"/>
              <w:bottom w:val="single" w:sz="4" w:space="0" w:color="auto"/>
              <w:right w:val="nil"/>
            </w:tcBorders>
            <w:shd w:val="clear" w:color="000000" w:fill="33CCCC"/>
            <w:noWrap/>
            <w:vAlign w:val="center"/>
            <w:hideMark/>
          </w:tcPr>
          <w:p w14:paraId="37628FFF" w14:textId="77777777" w:rsidR="005E671C" w:rsidRPr="005E671C" w:rsidRDefault="005E671C" w:rsidP="005E671C">
            <w:pPr>
              <w:spacing w:after="0" w:line="240" w:lineRule="auto"/>
              <w:jc w:val="center"/>
              <w:rPr>
                <w:rFonts w:ascii="Calibri" w:eastAsia="Times New Roman" w:hAnsi="Calibri" w:cs="Calibri"/>
                <w:lang w:eastAsia="hr-HR"/>
              </w:rPr>
            </w:pPr>
            <w:r w:rsidRPr="005E671C">
              <w:rPr>
                <w:rFonts w:ascii="Calibri" w:eastAsia="Times New Roman" w:hAnsi="Calibri" w:cs="Calibri"/>
                <w:lang w:eastAsia="hr-HR"/>
              </w:rPr>
              <w:t>23</w:t>
            </w:r>
          </w:p>
        </w:tc>
        <w:tc>
          <w:tcPr>
            <w:tcW w:w="700" w:type="dxa"/>
            <w:tcBorders>
              <w:top w:val="nil"/>
              <w:left w:val="single" w:sz="4" w:space="0" w:color="auto"/>
              <w:bottom w:val="single" w:sz="4" w:space="0" w:color="auto"/>
              <w:right w:val="single" w:sz="8" w:space="0" w:color="auto"/>
            </w:tcBorders>
            <w:shd w:val="clear" w:color="000000" w:fill="33CCCC"/>
            <w:noWrap/>
            <w:vAlign w:val="center"/>
            <w:hideMark/>
          </w:tcPr>
          <w:p w14:paraId="5B3AF2FD" w14:textId="77777777" w:rsidR="005E671C" w:rsidRPr="005E671C" w:rsidRDefault="005E671C" w:rsidP="005E671C">
            <w:pPr>
              <w:spacing w:after="0" w:line="240" w:lineRule="auto"/>
              <w:jc w:val="center"/>
              <w:rPr>
                <w:rFonts w:ascii="Calibri" w:eastAsia="Times New Roman" w:hAnsi="Calibri" w:cs="Calibri"/>
                <w:lang w:eastAsia="hr-HR"/>
              </w:rPr>
            </w:pPr>
            <w:r w:rsidRPr="005E671C">
              <w:rPr>
                <w:rFonts w:ascii="Calibri" w:eastAsia="Times New Roman" w:hAnsi="Calibri" w:cs="Calibri"/>
                <w:lang w:eastAsia="hr-HR"/>
              </w:rPr>
              <w:t>6</w:t>
            </w:r>
          </w:p>
        </w:tc>
        <w:tc>
          <w:tcPr>
            <w:tcW w:w="239" w:type="dxa"/>
            <w:gridSpan w:val="2"/>
            <w:vAlign w:val="center"/>
            <w:hideMark/>
          </w:tcPr>
          <w:p w14:paraId="7F88CD71" w14:textId="77777777" w:rsidR="005E671C" w:rsidRPr="005E671C" w:rsidRDefault="005E671C" w:rsidP="005E671C">
            <w:pPr>
              <w:spacing w:after="0" w:line="240" w:lineRule="auto"/>
              <w:rPr>
                <w:rFonts w:ascii="Times New Roman" w:eastAsia="Times New Roman" w:hAnsi="Times New Roman" w:cs="Times New Roman"/>
                <w:sz w:val="20"/>
                <w:szCs w:val="20"/>
                <w:lang w:eastAsia="hr-HR"/>
              </w:rPr>
            </w:pPr>
          </w:p>
        </w:tc>
      </w:tr>
      <w:tr w:rsidR="005E671C" w:rsidRPr="005E671C" w14:paraId="6249E140" w14:textId="77777777" w:rsidTr="001752B7">
        <w:trPr>
          <w:gridAfter w:val="1"/>
          <w:wAfter w:w="23" w:type="dxa"/>
          <w:trHeight w:val="300"/>
        </w:trPr>
        <w:tc>
          <w:tcPr>
            <w:tcW w:w="1408" w:type="dxa"/>
            <w:tcBorders>
              <w:top w:val="single" w:sz="4" w:space="0" w:color="auto"/>
              <w:left w:val="single" w:sz="8" w:space="0" w:color="auto"/>
              <w:bottom w:val="single" w:sz="4" w:space="0" w:color="auto"/>
              <w:right w:val="single" w:sz="4" w:space="0" w:color="auto"/>
            </w:tcBorders>
            <w:shd w:val="clear" w:color="000000" w:fill="CCFFCC"/>
            <w:vAlign w:val="center"/>
            <w:hideMark/>
          </w:tcPr>
          <w:p w14:paraId="7904B072" w14:textId="77777777" w:rsidR="005E671C" w:rsidRPr="005E671C" w:rsidRDefault="005E671C" w:rsidP="005E671C">
            <w:pPr>
              <w:spacing w:after="0" w:line="240" w:lineRule="auto"/>
              <w:jc w:val="center"/>
              <w:rPr>
                <w:rFonts w:ascii="Calibri" w:eastAsia="Times New Roman" w:hAnsi="Calibri" w:cs="Calibri"/>
                <w:lang w:eastAsia="hr-HR"/>
              </w:rPr>
            </w:pPr>
            <w:r w:rsidRPr="005E671C">
              <w:rPr>
                <w:rFonts w:ascii="Calibri" w:eastAsia="Times New Roman" w:hAnsi="Calibri" w:cs="Calibri"/>
                <w:lang w:eastAsia="hr-HR"/>
              </w:rPr>
              <w:t>Socijalno podrijetlo</w:t>
            </w:r>
          </w:p>
        </w:tc>
        <w:tc>
          <w:tcPr>
            <w:tcW w:w="595" w:type="dxa"/>
            <w:tcBorders>
              <w:top w:val="nil"/>
              <w:left w:val="nil"/>
              <w:bottom w:val="single" w:sz="4" w:space="0" w:color="auto"/>
              <w:right w:val="single" w:sz="4" w:space="0" w:color="auto"/>
            </w:tcBorders>
            <w:shd w:val="clear" w:color="000000" w:fill="CCFFCC"/>
            <w:vAlign w:val="center"/>
            <w:hideMark/>
          </w:tcPr>
          <w:p w14:paraId="43F205FE" w14:textId="77777777" w:rsidR="005E671C" w:rsidRPr="005E671C" w:rsidRDefault="005E671C" w:rsidP="005E671C">
            <w:pPr>
              <w:spacing w:after="0" w:line="240" w:lineRule="auto"/>
              <w:jc w:val="center"/>
              <w:rPr>
                <w:rFonts w:ascii="Calibri" w:eastAsia="Times New Roman" w:hAnsi="Calibri" w:cs="Calibri"/>
                <w:lang w:eastAsia="hr-HR"/>
              </w:rPr>
            </w:pPr>
            <w:r w:rsidRPr="005E671C">
              <w:rPr>
                <w:rFonts w:ascii="Calibri" w:eastAsia="Times New Roman" w:hAnsi="Calibri" w:cs="Calibri"/>
                <w:lang w:eastAsia="hr-HR"/>
              </w:rPr>
              <w:t>0</w:t>
            </w:r>
          </w:p>
        </w:tc>
        <w:tc>
          <w:tcPr>
            <w:tcW w:w="549" w:type="dxa"/>
            <w:tcBorders>
              <w:top w:val="nil"/>
              <w:left w:val="nil"/>
              <w:bottom w:val="single" w:sz="4" w:space="0" w:color="auto"/>
              <w:right w:val="single" w:sz="4" w:space="0" w:color="auto"/>
            </w:tcBorders>
            <w:shd w:val="clear" w:color="000000" w:fill="FFCC99"/>
            <w:noWrap/>
            <w:vAlign w:val="center"/>
            <w:hideMark/>
          </w:tcPr>
          <w:p w14:paraId="36DCAF6D" w14:textId="77777777" w:rsidR="005E671C" w:rsidRPr="005E671C" w:rsidRDefault="005E671C" w:rsidP="005E671C">
            <w:pPr>
              <w:spacing w:after="0" w:line="240" w:lineRule="auto"/>
              <w:jc w:val="center"/>
              <w:rPr>
                <w:rFonts w:ascii="Calibri" w:eastAsia="Times New Roman" w:hAnsi="Calibri" w:cs="Calibri"/>
                <w:lang w:eastAsia="hr-HR"/>
              </w:rPr>
            </w:pPr>
            <w:r w:rsidRPr="005E671C">
              <w:rPr>
                <w:rFonts w:ascii="Calibri" w:eastAsia="Times New Roman" w:hAnsi="Calibri" w:cs="Calibri"/>
                <w:lang w:eastAsia="hr-HR"/>
              </w:rPr>
              <w:t>0</w:t>
            </w:r>
          </w:p>
        </w:tc>
        <w:tc>
          <w:tcPr>
            <w:tcW w:w="441" w:type="dxa"/>
            <w:tcBorders>
              <w:top w:val="nil"/>
              <w:left w:val="nil"/>
              <w:bottom w:val="single" w:sz="4" w:space="0" w:color="auto"/>
              <w:right w:val="single" w:sz="4" w:space="0" w:color="auto"/>
            </w:tcBorders>
            <w:shd w:val="clear" w:color="000000" w:fill="CCFFFF"/>
            <w:noWrap/>
            <w:vAlign w:val="center"/>
            <w:hideMark/>
          </w:tcPr>
          <w:p w14:paraId="4B42AD62" w14:textId="77777777" w:rsidR="005E671C" w:rsidRPr="005E671C" w:rsidRDefault="005E671C" w:rsidP="005E671C">
            <w:pPr>
              <w:spacing w:after="0" w:line="240" w:lineRule="auto"/>
              <w:jc w:val="center"/>
              <w:rPr>
                <w:rFonts w:ascii="Calibri" w:eastAsia="Times New Roman" w:hAnsi="Calibri" w:cs="Calibri"/>
                <w:lang w:eastAsia="hr-HR"/>
              </w:rPr>
            </w:pPr>
            <w:r w:rsidRPr="005E671C">
              <w:rPr>
                <w:rFonts w:ascii="Calibri" w:eastAsia="Times New Roman" w:hAnsi="Calibri" w:cs="Calibri"/>
                <w:lang w:eastAsia="hr-HR"/>
              </w:rPr>
              <w:t>0</w:t>
            </w:r>
          </w:p>
        </w:tc>
        <w:tc>
          <w:tcPr>
            <w:tcW w:w="432" w:type="dxa"/>
            <w:tcBorders>
              <w:top w:val="nil"/>
              <w:left w:val="nil"/>
              <w:bottom w:val="single" w:sz="4" w:space="0" w:color="auto"/>
              <w:right w:val="single" w:sz="4" w:space="0" w:color="auto"/>
            </w:tcBorders>
            <w:shd w:val="clear" w:color="000000" w:fill="CCFFFF"/>
            <w:noWrap/>
            <w:vAlign w:val="center"/>
            <w:hideMark/>
          </w:tcPr>
          <w:p w14:paraId="580258B3" w14:textId="77777777" w:rsidR="005E671C" w:rsidRPr="005E671C" w:rsidRDefault="005E671C" w:rsidP="005E671C">
            <w:pPr>
              <w:spacing w:after="0" w:line="240" w:lineRule="auto"/>
              <w:jc w:val="center"/>
              <w:rPr>
                <w:rFonts w:ascii="Calibri" w:eastAsia="Times New Roman" w:hAnsi="Calibri" w:cs="Calibri"/>
                <w:lang w:eastAsia="hr-HR"/>
              </w:rPr>
            </w:pPr>
            <w:r w:rsidRPr="005E671C">
              <w:rPr>
                <w:rFonts w:ascii="Calibri" w:eastAsia="Times New Roman" w:hAnsi="Calibri" w:cs="Calibri"/>
                <w:lang w:eastAsia="hr-HR"/>
              </w:rPr>
              <w:t>0</w:t>
            </w:r>
          </w:p>
        </w:tc>
        <w:tc>
          <w:tcPr>
            <w:tcW w:w="421" w:type="dxa"/>
            <w:gridSpan w:val="2"/>
            <w:tcBorders>
              <w:top w:val="nil"/>
              <w:left w:val="nil"/>
              <w:bottom w:val="single" w:sz="4" w:space="0" w:color="auto"/>
              <w:right w:val="single" w:sz="4" w:space="0" w:color="auto"/>
            </w:tcBorders>
            <w:shd w:val="clear" w:color="000000" w:fill="FFFF99"/>
            <w:noWrap/>
            <w:vAlign w:val="center"/>
            <w:hideMark/>
          </w:tcPr>
          <w:p w14:paraId="6D11AB88" w14:textId="77777777" w:rsidR="005E671C" w:rsidRPr="005E671C" w:rsidRDefault="005E671C" w:rsidP="005E671C">
            <w:pPr>
              <w:spacing w:after="0" w:line="240" w:lineRule="auto"/>
              <w:jc w:val="center"/>
              <w:rPr>
                <w:rFonts w:ascii="Calibri" w:eastAsia="Times New Roman" w:hAnsi="Calibri" w:cs="Calibri"/>
                <w:lang w:eastAsia="hr-HR"/>
              </w:rPr>
            </w:pPr>
            <w:r w:rsidRPr="005E671C">
              <w:rPr>
                <w:rFonts w:ascii="Calibri" w:eastAsia="Times New Roman" w:hAnsi="Calibri" w:cs="Calibri"/>
                <w:lang w:eastAsia="hr-HR"/>
              </w:rPr>
              <w:t>0</w:t>
            </w:r>
          </w:p>
        </w:tc>
        <w:tc>
          <w:tcPr>
            <w:tcW w:w="431" w:type="dxa"/>
            <w:tcBorders>
              <w:top w:val="nil"/>
              <w:left w:val="nil"/>
              <w:bottom w:val="single" w:sz="4" w:space="0" w:color="auto"/>
              <w:right w:val="single" w:sz="4" w:space="0" w:color="auto"/>
            </w:tcBorders>
            <w:shd w:val="clear" w:color="000000" w:fill="FFFF99"/>
            <w:noWrap/>
            <w:vAlign w:val="center"/>
            <w:hideMark/>
          </w:tcPr>
          <w:p w14:paraId="59EE7ECF" w14:textId="77777777" w:rsidR="005E671C" w:rsidRPr="005E671C" w:rsidRDefault="005E671C" w:rsidP="005E671C">
            <w:pPr>
              <w:spacing w:after="0" w:line="240" w:lineRule="auto"/>
              <w:jc w:val="center"/>
              <w:rPr>
                <w:rFonts w:ascii="Calibri" w:eastAsia="Times New Roman" w:hAnsi="Calibri" w:cs="Calibri"/>
                <w:lang w:eastAsia="hr-HR"/>
              </w:rPr>
            </w:pPr>
            <w:r w:rsidRPr="005E671C">
              <w:rPr>
                <w:rFonts w:ascii="Calibri" w:eastAsia="Times New Roman" w:hAnsi="Calibri" w:cs="Calibri"/>
                <w:lang w:eastAsia="hr-HR"/>
              </w:rPr>
              <w:t>0</w:t>
            </w:r>
          </w:p>
        </w:tc>
        <w:tc>
          <w:tcPr>
            <w:tcW w:w="420" w:type="dxa"/>
            <w:tcBorders>
              <w:top w:val="nil"/>
              <w:left w:val="nil"/>
              <w:bottom w:val="single" w:sz="4" w:space="0" w:color="auto"/>
              <w:right w:val="single" w:sz="4" w:space="0" w:color="auto"/>
            </w:tcBorders>
            <w:shd w:val="clear" w:color="000000" w:fill="FFFF99"/>
            <w:noWrap/>
            <w:vAlign w:val="center"/>
            <w:hideMark/>
          </w:tcPr>
          <w:p w14:paraId="2D83B586" w14:textId="77777777" w:rsidR="005E671C" w:rsidRPr="005E671C" w:rsidRDefault="005E671C" w:rsidP="005E671C">
            <w:pPr>
              <w:spacing w:after="0" w:line="240" w:lineRule="auto"/>
              <w:jc w:val="center"/>
              <w:rPr>
                <w:rFonts w:ascii="Calibri" w:eastAsia="Times New Roman" w:hAnsi="Calibri" w:cs="Calibri"/>
                <w:lang w:eastAsia="hr-HR"/>
              </w:rPr>
            </w:pPr>
            <w:r w:rsidRPr="005E671C">
              <w:rPr>
                <w:rFonts w:ascii="Calibri" w:eastAsia="Times New Roman" w:hAnsi="Calibri" w:cs="Calibri"/>
                <w:lang w:eastAsia="hr-HR"/>
              </w:rPr>
              <w:t>0</w:t>
            </w:r>
          </w:p>
        </w:tc>
        <w:tc>
          <w:tcPr>
            <w:tcW w:w="429" w:type="dxa"/>
            <w:tcBorders>
              <w:top w:val="nil"/>
              <w:left w:val="nil"/>
              <w:bottom w:val="single" w:sz="4" w:space="0" w:color="auto"/>
              <w:right w:val="single" w:sz="4" w:space="0" w:color="auto"/>
            </w:tcBorders>
            <w:shd w:val="clear" w:color="000000" w:fill="FFFF99"/>
            <w:noWrap/>
            <w:vAlign w:val="center"/>
            <w:hideMark/>
          </w:tcPr>
          <w:p w14:paraId="30D7A5DB" w14:textId="77777777" w:rsidR="005E671C" w:rsidRPr="005E671C" w:rsidRDefault="005E671C" w:rsidP="005E671C">
            <w:pPr>
              <w:spacing w:after="0" w:line="240" w:lineRule="auto"/>
              <w:jc w:val="center"/>
              <w:rPr>
                <w:rFonts w:ascii="Calibri" w:eastAsia="Times New Roman" w:hAnsi="Calibri" w:cs="Calibri"/>
                <w:lang w:eastAsia="hr-HR"/>
              </w:rPr>
            </w:pPr>
            <w:r w:rsidRPr="005E671C">
              <w:rPr>
                <w:rFonts w:ascii="Calibri" w:eastAsia="Times New Roman" w:hAnsi="Calibri" w:cs="Calibri"/>
                <w:lang w:eastAsia="hr-HR"/>
              </w:rPr>
              <w:t>0</w:t>
            </w:r>
          </w:p>
        </w:tc>
        <w:tc>
          <w:tcPr>
            <w:tcW w:w="581" w:type="dxa"/>
            <w:tcBorders>
              <w:top w:val="nil"/>
              <w:left w:val="nil"/>
              <w:bottom w:val="single" w:sz="4" w:space="0" w:color="auto"/>
              <w:right w:val="single" w:sz="4" w:space="0" w:color="auto"/>
            </w:tcBorders>
            <w:shd w:val="clear" w:color="000000" w:fill="FFFF99"/>
            <w:noWrap/>
            <w:vAlign w:val="center"/>
            <w:hideMark/>
          </w:tcPr>
          <w:p w14:paraId="5C0283AB" w14:textId="77777777" w:rsidR="005E671C" w:rsidRPr="005E671C" w:rsidRDefault="005E671C" w:rsidP="005E671C">
            <w:pPr>
              <w:spacing w:after="0" w:line="240" w:lineRule="auto"/>
              <w:jc w:val="center"/>
              <w:rPr>
                <w:rFonts w:ascii="Calibri" w:eastAsia="Times New Roman" w:hAnsi="Calibri" w:cs="Calibri"/>
                <w:lang w:eastAsia="hr-HR"/>
              </w:rPr>
            </w:pPr>
            <w:r w:rsidRPr="005E671C">
              <w:rPr>
                <w:rFonts w:ascii="Calibri" w:eastAsia="Times New Roman" w:hAnsi="Calibri" w:cs="Calibri"/>
                <w:lang w:eastAsia="hr-HR"/>
              </w:rPr>
              <w:t>0</w:t>
            </w:r>
          </w:p>
        </w:tc>
        <w:tc>
          <w:tcPr>
            <w:tcW w:w="556" w:type="dxa"/>
            <w:gridSpan w:val="2"/>
            <w:tcBorders>
              <w:top w:val="nil"/>
              <w:left w:val="nil"/>
              <w:bottom w:val="single" w:sz="4" w:space="0" w:color="auto"/>
              <w:right w:val="single" w:sz="4" w:space="0" w:color="auto"/>
            </w:tcBorders>
            <w:shd w:val="clear" w:color="000000" w:fill="FF9900"/>
            <w:noWrap/>
            <w:vAlign w:val="center"/>
            <w:hideMark/>
          </w:tcPr>
          <w:p w14:paraId="67823167" w14:textId="77777777" w:rsidR="005E671C" w:rsidRPr="005E671C" w:rsidRDefault="005E671C" w:rsidP="005E671C">
            <w:pPr>
              <w:spacing w:after="0" w:line="240" w:lineRule="auto"/>
              <w:jc w:val="center"/>
              <w:rPr>
                <w:rFonts w:ascii="Calibri" w:eastAsia="Times New Roman" w:hAnsi="Calibri" w:cs="Calibri"/>
                <w:lang w:eastAsia="hr-HR"/>
              </w:rPr>
            </w:pPr>
            <w:r w:rsidRPr="005E671C">
              <w:rPr>
                <w:rFonts w:ascii="Calibri" w:eastAsia="Times New Roman" w:hAnsi="Calibri" w:cs="Calibri"/>
                <w:lang w:eastAsia="hr-HR"/>
              </w:rPr>
              <w:t>0</w:t>
            </w:r>
          </w:p>
        </w:tc>
        <w:tc>
          <w:tcPr>
            <w:tcW w:w="574" w:type="dxa"/>
            <w:tcBorders>
              <w:top w:val="nil"/>
              <w:left w:val="nil"/>
              <w:bottom w:val="single" w:sz="4" w:space="0" w:color="auto"/>
              <w:right w:val="single" w:sz="4" w:space="0" w:color="auto"/>
            </w:tcBorders>
            <w:shd w:val="clear" w:color="000000" w:fill="FF9900"/>
            <w:noWrap/>
            <w:vAlign w:val="center"/>
            <w:hideMark/>
          </w:tcPr>
          <w:p w14:paraId="08AE270B" w14:textId="77777777" w:rsidR="005E671C" w:rsidRPr="005E671C" w:rsidRDefault="005E671C" w:rsidP="005E671C">
            <w:pPr>
              <w:spacing w:after="0" w:line="240" w:lineRule="auto"/>
              <w:jc w:val="center"/>
              <w:rPr>
                <w:rFonts w:ascii="Calibri" w:eastAsia="Times New Roman" w:hAnsi="Calibri" w:cs="Calibri"/>
                <w:lang w:eastAsia="hr-HR"/>
              </w:rPr>
            </w:pPr>
            <w:r w:rsidRPr="005E671C">
              <w:rPr>
                <w:rFonts w:ascii="Calibri" w:eastAsia="Times New Roman" w:hAnsi="Calibri" w:cs="Calibri"/>
                <w:lang w:eastAsia="hr-HR"/>
              </w:rPr>
              <w:t>0</w:t>
            </w:r>
          </w:p>
        </w:tc>
        <w:tc>
          <w:tcPr>
            <w:tcW w:w="434" w:type="dxa"/>
            <w:tcBorders>
              <w:top w:val="nil"/>
              <w:left w:val="nil"/>
              <w:bottom w:val="single" w:sz="4" w:space="0" w:color="auto"/>
              <w:right w:val="single" w:sz="4" w:space="0" w:color="auto"/>
            </w:tcBorders>
            <w:shd w:val="clear" w:color="000000" w:fill="FF9900"/>
            <w:noWrap/>
            <w:vAlign w:val="center"/>
            <w:hideMark/>
          </w:tcPr>
          <w:p w14:paraId="1C1C96AF" w14:textId="77777777" w:rsidR="005E671C" w:rsidRPr="005E671C" w:rsidRDefault="005E671C" w:rsidP="005E671C">
            <w:pPr>
              <w:spacing w:after="0" w:line="240" w:lineRule="auto"/>
              <w:jc w:val="center"/>
              <w:rPr>
                <w:rFonts w:ascii="Calibri" w:eastAsia="Times New Roman" w:hAnsi="Calibri" w:cs="Calibri"/>
                <w:lang w:eastAsia="hr-HR"/>
              </w:rPr>
            </w:pPr>
            <w:r w:rsidRPr="005E671C">
              <w:rPr>
                <w:rFonts w:ascii="Calibri" w:eastAsia="Times New Roman" w:hAnsi="Calibri" w:cs="Calibri"/>
                <w:lang w:eastAsia="hr-HR"/>
              </w:rPr>
              <w:t>0</w:t>
            </w:r>
          </w:p>
        </w:tc>
        <w:tc>
          <w:tcPr>
            <w:tcW w:w="443" w:type="dxa"/>
            <w:gridSpan w:val="2"/>
            <w:tcBorders>
              <w:top w:val="nil"/>
              <w:left w:val="nil"/>
              <w:bottom w:val="single" w:sz="4" w:space="0" w:color="auto"/>
              <w:right w:val="single" w:sz="4" w:space="0" w:color="auto"/>
            </w:tcBorders>
            <w:shd w:val="clear" w:color="000000" w:fill="66FFCC"/>
            <w:noWrap/>
            <w:vAlign w:val="center"/>
            <w:hideMark/>
          </w:tcPr>
          <w:p w14:paraId="0FCD6835" w14:textId="77777777" w:rsidR="005E671C" w:rsidRPr="005E671C" w:rsidRDefault="005E671C" w:rsidP="005E671C">
            <w:pPr>
              <w:spacing w:after="0" w:line="240" w:lineRule="auto"/>
              <w:jc w:val="center"/>
              <w:rPr>
                <w:rFonts w:ascii="Calibri" w:eastAsia="Times New Roman" w:hAnsi="Calibri" w:cs="Calibri"/>
                <w:lang w:eastAsia="hr-HR"/>
              </w:rPr>
            </w:pPr>
            <w:r w:rsidRPr="005E671C">
              <w:rPr>
                <w:rFonts w:ascii="Calibri" w:eastAsia="Times New Roman" w:hAnsi="Calibri" w:cs="Calibri"/>
                <w:lang w:eastAsia="hr-HR"/>
              </w:rPr>
              <w:t>0</w:t>
            </w:r>
          </w:p>
        </w:tc>
        <w:tc>
          <w:tcPr>
            <w:tcW w:w="698" w:type="dxa"/>
            <w:tcBorders>
              <w:top w:val="nil"/>
              <w:left w:val="nil"/>
              <w:bottom w:val="single" w:sz="4" w:space="0" w:color="auto"/>
              <w:right w:val="single" w:sz="4" w:space="0" w:color="auto"/>
            </w:tcBorders>
            <w:shd w:val="clear" w:color="000000" w:fill="66FFCC"/>
            <w:noWrap/>
            <w:vAlign w:val="center"/>
            <w:hideMark/>
          </w:tcPr>
          <w:p w14:paraId="5623684F" w14:textId="77777777" w:rsidR="005E671C" w:rsidRPr="005E671C" w:rsidRDefault="005E671C" w:rsidP="005E671C">
            <w:pPr>
              <w:spacing w:after="0" w:line="240" w:lineRule="auto"/>
              <w:jc w:val="center"/>
              <w:rPr>
                <w:rFonts w:ascii="Calibri" w:eastAsia="Times New Roman" w:hAnsi="Calibri" w:cs="Calibri"/>
                <w:lang w:eastAsia="hr-HR"/>
              </w:rPr>
            </w:pPr>
            <w:r w:rsidRPr="005E671C">
              <w:rPr>
                <w:rFonts w:ascii="Calibri" w:eastAsia="Times New Roman" w:hAnsi="Calibri" w:cs="Calibri"/>
                <w:lang w:eastAsia="hr-HR"/>
              </w:rPr>
              <w:t>0</w:t>
            </w:r>
          </w:p>
        </w:tc>
        <w:tc>
          <w:tcPr>
            <w:tcW w:w="574" w:type="dxa"/>
            <w:tcBorders>
              <w:top w:val="nil"/>
              <w:left w:val="nil"/>
              <w:bottom w:val="single" w:sz="4" w:space="0" w:color="auto"/>
              <w:right w:val="single" w:sz="4" w:space="0" w:color="auto"/>
            </w:tcBorders>
            <w:shd w:val="clear" w:color="000000" w:fill="66FFCC"/>
            <w:noWrap/>
            <w:vAlign w:val="center"/>
            <w:hideMark/>
          </w:tcPr>
          <w:p w14:paraId="27657B3D" w14:textId="77777777" w:rsidR="005E671C" w:rsidRPr="005E671C" w:rsidRDefault="005E671C" w:rsidP="005E671C">
            <w:pPr>
              <w:spacing w:after="0" w:line="240" w:lineRule="auto"/>
              <w:jc w:val="center"/>
              <w:rPr>
                <w:rFonts w:ascii="Calibri" w:eastAsia="Times New Roman" w:hAnsi="Calibri" w:cs="Calibri"/>
                <w:lang w:eastAsia="hr-HR"/>
              </w:rPr>
            </w:pPr>
            <w:r w:rsidRPr="005E671C">
              <w:rPr>
                <w:rFonts w:ascii="Calibri" w:eastAsia="Times New Roman" w:hAnsi="Calibri" w:cs="Calibri"/>
                <w:lang w:eastAsia="hr-HR"/>
              </w:rPr>
              <w:t>0</w:t>
            </w:r>
          </w:p>
        </w:tc>
        <w:tc>
          <w:tcPr>
            <w:tcW w:w="560" w:type="dxa"/>
            <w:tcBorders>
              <w:top w:val="nil"/>
              <w:left w:val="nil"/>
              <w:bottom w:val="single" w:sz="4" w:space="0" w:color="auto"/>
              <w:right w:val="single" w:sz="4" w:space="0" w:color="auto"/>
            </w:tcBorders>
            <w:shd w:val="clear" w:color="000000" w:fill="66FFCC"/>
            <w:noWrap/>
            <w:vAlign w:val="center"/>
            <w:hideMark/>
          </w:tcPr>
          <w:p w14:paraId="7B359325" w14:textId="77777777" w:rsidR="005E671C" w:rsidRPr="005E671C" w:rsidRDefault="005E671C" w:rsidP="005E671C">
            <w:pPr>
              <w:spacing w:after="0" w:line="240" w:lineRule="auto"/>
              <w:jc w:val="center"/>
              <w:rPr>
                <w:rFonts w:ascii="Calibri" w:eastAsia="Times New Roman" w:hAnsi="Calibri" w:cs="Calibri"/>
                <w:lang w:eastAsia="hr-HR"/>
              </w:rPr>
            </w:pPr>
            <w:r w:rsidRPr="005E671C">
              <w:rPr>
                <w:rFonts w:ascii="Calibri" w:eastAsia="Times New Roman" w:hAnsi="Calibri" w:cs="Calibri"/>
                <w:lang w:eastAsia="hr-HR"/>
              </w:rPr>
              <w:t>0</w:t>
            </w:r>
          </w:p>
        </w:tc>
        <w:tc>
          <w:tcPr>
            <w:tcW w:w="430" w:type="dxa"/>
            <w:gridSpan w:val="2"/>
            <w:tcBorders>
              <w:top w:val="nil"/>
              <w:left w:val="nil"/>
              <w:bottom w:val="single" w:sz="4" w:space="0" w:color="auto"/>
              <w:right w:val="single" w:sz="4" w:space="0" w:color="auto"/>
            </w:tcBorders>
            <w:shd w:val="clear" w:color="000000" w:fill="FFFF00"/>
            <w:vAlign w:val="center"/>
            <w:hideMark/>
          </w:tcPr>
          <w:p w14:paraId="515AF74A" w14:textId="77777777" w:rsidR="005E671C" w:rsidRPr="005E671C" w:rsidRDefault="005E671C" w:rsidP="005E671C">
            <w:pPr>
              <w:spacing w:after="0" w:line="240" w:lineRule="auto"/>
              <w:jc w:val="center"/>
              <w:rPr>
                <w:rFonts w:ascii="Calibri" w:eastAsia="Times New Roman" w:hAnsi="Calibri" w:cs="Calibri"/>
                <w:lang w:eastAsia="hr-HR"/>
              </w:rPr>
            </w:pPr>
            <w:r w:rsidRPr="005E671C">
              <w:rPr>
                <w:rFonts w:ascii="Calibri" w:eastAsia="Times New Roman" w:hAnsi="Calibri" w:cs="Calibri"/>
                <w:lang w:eastAsia="hr-HR"/>
              </w:rPr>
              <w:t>0</w:t>
            </w:r>
          </w:p>
        </w:tc>
        <w:tc>
          <w:tcPr>
            <w:tcW w:w="425" w:type="dxa"/>
            <w:gridSpan w:val="2"/>
            <w:tcBorders>
              <w:top w:val="nil"/>
              <w:left w:val="nil"/>
              <w:bottom w:val="single" w:sz="4" w:space="0" w:color="auto"/>
              <w:right w:val="single" w:sz="4" w:space="0" w:color="auto"/>
            </w:tcBorders>
            <w:shd w:val="clear" w:color="000000" w:fill="FFFF99"/>
            <w:vAlign w:val="center"/>
            <w:hideMark/>
          </w:tcPr>
          <w:p w14:paraId="29CDADAC" w14:textId="77777777" w:rsidR="005E671C" w:rsidRPr="005E671C" w:rsidRDefault="005E671C" w:rsidP="005E671C">
            <w:pPr>
              <w:spacing w:after="0" w:line="240" w:lineRule="auto"/>
              <w:jc w:val="center"/>
              <w:rPr>
                <w:rFonts w:ascii="Calibri" w:eastAsia="Times New Roman" w:hAnsi="Calibri" w:cs="Calibri"/>
                <w:lang w:eastAsia="hr-HR"/>
              </w:rPr>
            </w:pPr>
            <w:r w:rsidRPr="005E671C">
              <w:rPr>
                <w:rFonts w:ascii="Calibri" w:eastAsia="Times New Roman" w:hAnsi="Calibri" w:cs="Calibri"/>
                <w:lang w:eastAsia="hr-HR"/>
              </w:rPr>
              <w:t>0</w:t>
            </w:r>
          </w:p>
        </w:tc>
        <w:tc>
          <w:tcPr>
            <w:tcW w:w="540" w:type="dxa"/>
            <w:gridSpan w:val="2"/>
            <w:tcBorders>
              <w:top w:val="nil"/>
              <w:left w:val="nil"/>
              <w:bottom w:val="single" w:sz="4" w:space="0" w:color="auto"/>
              <w:right w:val="single" w:sz="4" w:space="0" w:color="auto"/>
            </w:tcBorders>
            <w:shd w:val="clear" w:color="000000" w:fill="FF9900"/>
            <w:vAlign w:val="center"/>
            <w:hideMark/>
          </w:tcPr>
          <w:p w14:paraId="528C6684" w14:textId="77777777" w:rsidR="005E671C" w:rsidRPr="005E671C" w:rsidRDefault="005E671C" w:rsidP="005E671C">
            <w:pPr>
              <w:spacing w:after="0" w:line="240" w:lineRule="auto"/>
              <w:jc w:val="center"/>
              <w:rPr>
                <w:rFonts w:ascii="Calibri" w:eastAsia="Times New Roman" w:hAnsi="Calibri" w:cs="Calibri"/>
                <w:lang w:eastAsia="hr-HR"/>
              </w:rPr>
            </w:pPr>
            <w:r w:rsidRPr="005E671C">
              <w:rPr>
                <w:rFonts w:ascii="Calibri" w:eastAsia="Times New Roman" w:hAnsi="Calibri" w:cs="Calibri"/>
                <w:lang w:eastAsia="hr-HR"/>
              </w:rPr>
              <w:t>0</w:t>
            </w:r>
          </w:p>
        </w:tc>
        <w:tc>
          <w:tcPr>
            <w:tcW w:w="435" w:type="dxa"/>
            <w:tcBorders>
              <w:top w:val="nil"/>
              <w:left w:val="nil"/>
              <w:bottom w:val="single" w:sz="4" w:space="0" w:color="auto"/>
              <w:right w:val="single" w:sz="4" w:space="0" w:color="auto"/>
            </w:tcBorders>
            <w:shd w:val="clear" w:color="000000" w:fill="CCFFFF"/>
            <w:vAlign w:val="center"/>
            <w:hideMark/>
          </w:tcPr>
          <w:p w14:paraId="6F45B748" w14:textId="77777777" w:rsidR="005E671C" w:rsidRPr="005E671C" w:rsidRDefault="005E671C" w:rsidP="005E671C">
            <w:pPr>
              <w:spacing w:after="0" w:line="240" w:lineRule="auto"/>
              <w:jc w:val="center"/>
              <w:rPr>
                <w:rFonts w:ascii="Calibri" w:eastAsia="Times New Roman" w:hAnsi="Calibri" w:cs="Calibri"/>
                <w:lang w:eastAsia="hr-HR"/>
              </w:rPr>
            </w:pPr>
            <w:r w:rsidRPr="005E671C">
              <w:rPr>
                <w:rFonts w:ascii="Calibri" w:eastAsia="Times New Roman" w:hAnsi="Calibri" w:cs="Calibri"/>
                <w:lang w:eastAsia="hr-HR"/>
              </w:rPr>
              <w:t>0</w:t>
            </w:r>
          </w:p>
        </w:tc>
        <w:tc>
          <w:tcPr>
            <w:tcW w:w="655" w:type="dxa"/>
            <w:tcBorders>
              <w:top w:val="nil"/>
              <w:left w:val="nil"/>
              <w:bottom w:val="single" w:sz="4" w:space="0" w:color="auto"/>
              <w:right w:val="single" w:sz="4" w:space="0" w:color="auto"/>
            </w:tcBorders>
            <w:shd w:val="clear" w:color="000000" w:fill="CCFFFF"/>
            <w:vAlign w:val="center"/>
            <w:hideMark/>
          </w:tcPr>
          <w:p w14:paraId="6095437C" w14:textId="77777777" w:rsidR="005E671C" w:rsidRPr="005E671C" w:rsidRDefault="005E671C" w:rsidP="005E671C">
            <w:pPr>
              <w:spacing w:after="0" w:line="240" w:lineRule="auto"/>
              <w:jc w:val="center"/>
              <w:rPr>
                <w:rFonts w:ascii="Calibri" w:eastAsia="Times New Roman" w:hAnsi="Calibri" w:cs="Calibri"/>
                <w:lang w:eastAsia="hr-HR"/>
              </w:rPr>
            </w:pPr>
            <w:r w:rsidRPr="005E671C">
              <w:rPr>
                <w:rFonts w:ascii="Calibri" w:eastAsia="Times New Roman" w:hAnsi="Calibri" w:cs="Calibri"/>
                <w:lang w:eastAsia="hr-HR"/>
              </w:rPr>
              <w:t>0</w:t>
            </w:r>
          </w:p>
        </w:tc>
        <w:tc>
          <w:tcPr>
            <w:tcW w:w="645" w:type="dxa"/>
            <w:tcBorders>
              <w:top w:val="nil"/>
              <w:left w:val="nil"/>
              <w:bottom w:val="single" w:sz="4" w:space="0" w:color="auto"/>
              <w:right w:val="single" w:sz="4" w:space="0" w:color="auto"/>
            </w:tcBorders>
            <w:shd w:val="clear" w:color="000000" w:fill="CCFFFF"/>
            <w:vAlign w:val="center"/>
            <w:hideMark/>
          </w:tcPr>
          <w:p w14:paraId="594ACF7A" w14:textId="77777777" w:rsidR="005E671C" w:rsidRPr="005E671C" w:rsidRDefault="005E671C" w:rsidP="005E671C">
            <w:pPr>
              <w:spacing w:after="0" w:line="240" w:lineRule="auto"/>
              <w:jc w:val="center"/>
              <w:rPr>
                <w:rFonts w:ascii="Calibri" w:eastAsia="Times New Roman" w:hAnsi="Calibri" w:cs="Calibri"/>
                <w:lang w:eastAsia="hr-HR"/>
              </w:rPr>
            </w:pPr>
            <w:r w:rsidRPr="005E671C">
              <w:rPr>
                <w:rFonts w:ascii="Calibri" w:eastAsia="Times New Roman" w:hAnsi="Calibri" w:cs="Calibri"/>
                <w:lang w:eastAsia="hr-HR"/>
              </w:rPr>
              <w:t>0</w:t>
            </w:r>
          </w:p>
        </w:tc>
        <w:tc>
          <w:tcPr>
            <w:tcW w:w="699" w:type="dxa"/>
            <w:tcBorders>
              <w:top w:val="nil"/>
              <w:left w:val="nil"/>
              <w:bottom w:val="single" w:sz="4" w:space="0" w:color="auto"/>
              <w:right w:val="nil"/>
            </w:tcBorders>
            <w:shd w:val="clear" w:color="000000" w:fill="33CCCC"/>
            <w:noWrap/>
            <w:vAlign w:val="center"/>
            <w:hideMark/>
          </w:tcPr>
          <w:p w14:paraId="26065696" w14:textId="77777777" w:rsidR="005E671C" w:rsidRPr="005E671C" w:rsidRDefault="005E671C" w:rsidP="005E671C">
            <w:pPr>
              <w:spacing w:after="0" w:line="240" w:lineRule="auto"/>
              <w:jc w:val="center"/>
              <w:rPr>
                <w:rFonts w:ascii="Calibri" w:eastAsia="Times New Roman" w:hAnsi="Calibri" w:cs="Calibri"/>
                <w:lang w:eastAsia="hr-HR"/>
              </w:rPr>
            </w:pPr>
            <w:r w:rsidRPr="005E671C">
              <w:rPr>
                <w:rFonts w:ascii="Calibri" w:eastAsia="Times New Roman" w:hAnsi="Calibri" w:cs="Calibri"/>
                <w:lang w:eastAsia="hr-HR"/>
              </w:rPr>
              <w:t>0</w:t>
            </w:r>
          </w:p>
        </w:tc>
        <w:tc>
          <w:tcPr>
            <w:tcW w:w="700" w:type="dxa"/>
            <w:tcBorders>
              <w:top w:val="nil"/>
              <w:left w:val="single" w:sz="4" w:space="0" w:color="auto"/>
              <w:bottom w:val="single" w:sz="4" w:space="0" w:color="auto"/>
              <w:right w:val="single" w:sz="8" w:space="0" w:color="auto"/>
            </w:tcBorders>
            <w:shd w:val="clear" w:color="000000" w:fill="33CCCC"/>
            <w:noWrap/>
            <w:vAlign w:val="center"/>
            <w:hideMark/>
          </w:tcPr>
          <w:p w14:paraId="5C34751C" w14:textId="77777777" w:rsidR="005E671C" w:rsidRPr="005E671C" w:rsidRDefault="005E671C" w:rsidP="005E671C">
            <w:pPr>
              <w:spacing w:after="0" w:line="240" w:lineRule="auto"/>
              <w:jc w:val="center"/>
              <w:rPr>
                <w:rFonts w:ascii="Calibri" w:eastAsia="Times New Roman" w:hAnsi="Calibri" w:cs="Calibri"/>
                <w:lang w:eastAsia="hr-HR"/>
              </w:rPr>
            </w:pPr>
            <w:r w:rsidRPr="005E671C">
              <w:rPr>
                <w:rFonts w:ascii="Calibri" w:eastAsia="Times New Roman" w:hAnsi="Calibri" w:cs="Calibri"/>
                <w:lang w:eastAsia="hr-HR"/>
              </w:rPr>
              <w:t>0</w:t>
            </w:r>
          </w:p>
        </w:tc>
        <w:tc>
          <w:tcPr>
            <w:tcW w:w="239" w:type="dxa"/>
            <w:gridSpan w:val="2"/>
            <w:vAlign w:val="center"/>
            <w:hideMark/>
          </w:tcPr>
          <w:p w14:paraId="637D8AFC" w14:textId="77777777" w:rsidR="005E671C" w:rsidRPr="005E671C" w:rsidRDefault="005E671C" w:rsidP="005E671C">
            <w:pPr>
              <w:spacing w:after="0" w:line="240" w:lineRule="auto"/>
              <w:rPr>
                <w:rFonts w:ascii="Times New Roman" w:eastAsia="Times New Roman" w:hAnsi="Times New Roman" w:cs="Times New Roman"/>
                <w:sz w:val="20"/>
                <w:szCs w:val="20"/>
                <w:lang w:eastAsia="hr-HR"/>
              </w:rPr>
            </w:pPr>
          </w:p>
        </w:tc>
      </w:tr>
      <w:tr w:rsidR="005E671C" w:rsidRPr="005E671C" w14:paraId="75B23568" w14:textId="77777777" w:rsidTr="001752B7">
        <w:trPr>
          <w:gridAfter w:val="1"/>
          <w:wAfter w:w="23" w:type="dxa"/>
          <w:trHeight w:val="300"/>
        </w:trPr>
        <w:tc>
          <w:tcPr>
            <w:tcW w:w="1408" w:type="dxa"/>
            <w:tcBorders>
              <w:top w:val="single" w:sz="4" w:space="0" w:color="auto"/>
              <w:left w:val="single" w:sz="8" w:space="0" w:color="auto"/>
              <w:bottom w:val="single" w:sz="4" w:space="0" w:color="auto"/>
              <w:right w:val="single" w:sz="4" w:space="0" w:color="auto"/>
            </w:tcBorders>
            <w:shd w:val="clear" w:color="000000" w:fill="CCFFCC"/>
            <w:vAlign w:val="center"/>
            <w:hideMark/>
          </w:tcPr>
          <w:p w14:paraId="4753502E" w14:textId="77777777" w:rsidR="005E671C" w:rsidRPr="005E671C" w:rsidRDefault="005E671C" w:rsidP="005E671C">
            <w:pPr>
              <w:spacing w:after="0" w:line="240" w:lineRule="auto"/>
              <w:jc w:val="center"/>
              <w:rPr>
                <w:rFonts w:ascii="Calibri" w:eastAsia="Times New Roman" w:hAnsi="Calibri" w:cs="Calibri"/>
                <w:lang w:eastAsia="hr-HR"/>
              </w:rPr>
            </w:pPr>
            <w:r w:rsidRPr="005E671C">
              <w:rPr>
                <w:rFonts w:ascii="Calibri" w:eastAsia="Times New Roman" w:hAnsi="Calibri" w:cs="Calibri"/>
                <w:lang w:eastAsia="hr-HR"/>
              </w:rPr>
              <w:t>Imovno stanje</w:t>
            </w:r>
          </w:p>
        </w:tc>
        <w:tc>
          <w:tcPr>
            <w:tcW w:w="595" w:type="dxa"/>
            <w:tcBorders>
              <w:top w:val="nil"/>
              <w:left w:val="nil"/>
              <w:bottom w:val="single" w:sz="4" w:space="0" w:color="auto"/>
              <w:right w:val="single" w:sz="4" w:space="0" w:color="auto"/>
            </w:tcBorders>
            <w:shd w:val="clear" w:color="000000" w:fill="CCFFCC"/>
            <w:vAlign w:val="center"/>
            <w:hideMark/>
          </w:tcPr>
          <w:p w14:paraId="6237DF2F" w14:textId="77777777" w:rsidR="005E671C" w:rsidRPr="005E671C" w:rsidRDefault="005E671C" w:rsidP="005E671C">
            <w:pPr>
              <w:spacing w:after="0" w:line="240" w:lineRule="auto"/>
              <w:jc w:val="center"/>
              <w:rPr>
                <w:rFonts w:ascii="Calibri" w:eastAsia="Times New Roman" w:hAnsi="Calibri" w:cs="Calibri"/>
                <w:lang w:eastAsia="hr-HR"/>
              </w:rPr>
            </w:pPr>
            <w:r w:rsidRPr="005E671C">
              <w:rPr>
                <w:rFonts w:ascii="Calibri" w:eastAsia="Times New Roman" w:hAnsi="Calibri" w:cs="Calibri"/>
                <w:lang w:eastAsia="hr-HR"/>
              </w:rPr>
              <w:t>0</w:t>
            </w:r>
          </w:p>
        </w:tc>
        <w:tc>
          <w:tcPr>
            <w:tcW w:w="549" w:type="dxa"/>
            <w:tcBorders>
              <w:top w:val="nil"/>
              <w:left w:val="nil"/>
              <w:bottom w:val="single" w:sz="4" w:space="0" w:color="auto"/>
              <w:right w:val="single" w:sz="4" w:space="0" w:color="auto"/>
            </w:tcBorders>
            <w:shd w:val="clear" w:color="000000" w:fill="FFCC99"/>
            <w:noWrap/>
            <w:vAlign w:val="center"/>
            <w:hideMark/>
          </w:tcPr>
          <w:p w14:paraId="1479EC30" w14:textId="77777777" w:rsidR="005E671C" w:rsidRPr="005E671C" w:rsidRDefault="005E671C" w:rsidP="005E671C">
            <w:pPr>
              <w:spacing w:after="0" w:line="240" w:lineRule="auto"/>
              <w:jc w:val="center"/>
              <w:rPr>
                <w:rFonts w:ascii="Calibri" w:eastAsia="Times New Roman" w:hAnsi="Calibri" w:cs="Calibri"/>
                <w:lang w:eastAsia="hr-HR"/>
              </w:rPr>
            </w:pPr>
            <w:r w:rsidRPr="005E671C">
              <w:rPr>
                <w:rFonts w:ascii="Calibri" w:eastAsia="Times New Roman" w:hAnsi="Calibri" w:cs="Calibri"/>
                <w:lang w:eastAsia="hr-HR"/>
              </w:rPr>
              <w:t>0</w:t>
            </w:r>
          </w:p>
        </w:tc>
        <w:tc>
          <w:tcPr>
            <w:tcW w:w="441" w:type="dxa"/>
            <w:tcBorders>
              <w:top w:val="nil"/>
              <w:left w:val="nil"/>
              <w:bottom w:val="single" w:sz="4" w:space="0" w:color="auto"/>
              <w:right w:val="single" w:sz="4" w:space="0" w:color="auto"/>
            </w:tcBorders>
            <w:shd w:val="clear" w:color="000000" w:fill="CCFFFF"/>
            <w:noWrap/>
            <w:vAlign w:val="center"/>
            <w:hideMark/>
          </w:tcPr>
          <w:p w14:paraId="2466A64F" w14:textId="77777777" w:rsidR="005E671C" w:rsidRPr="005E671C" w:rsidRDefault="005E671C" w:rsidP="005E671C">
            <w:pPr>
              <w:spacing w:after="0" w:line="240" w:lineRule="auto"/>
              <w:jc w:val="center"/>
              <w:rPr>
                <w:rFonts w:ascii="Calibri" w:eastAsia="Times New Roman" w:hAnsi="Calibri" w:cs="Calibri"/>
                <w:lang w:eastAsia="hr-HR"/>
              </w:rPr>
            </w:pPr>
            <w:r w:rsidRPr="005E671C">
              <w:rPr>
                <w:rFonts w:ascii="Calibri" w:eastAsia="Times New Roman" w:hAnsi="Calibri" w:cs="Calibri"/>
                <w:lang w:eastAsia="hr-HR"/>
              </w:rPr>
              <w:t>0</w:t>
            </w:r>
          </w:p>
        </w:tc>
        <w:tc>
          <w:tcPr>
            <w:tcW w:w="432" w:type="dxa"/>
            <w:tcBorders>
              <w:top w:val="nil"/>
              <w:left w:val="nil"/>
              <w:bottom w:val="single" w:sz="4" w:space="0" w:color="auto"/>
              <w:right w:val="single" w:sz="4" w:space="0" w:color="auto"/>
            </w:tcBorders>
            <w:shd w:val="clear" w:color="000000" w:fill="CCFFFF"/>
            <w:noWrap/>
            <w:vAlign w:val="center"/>
            <w:hideMark/>
          </w:tcPr>
          <w:p w14:paraId="1106F95F" w14:textId="77777777" w:rsidR="005E671C" w:rsidRPr="005E671C" w:rsidRDefault="005E671C" w:rsidP="005E671C">
            <w:pPr>
              <w:spacing w:after="0" w:line="240" w:lineRule="auto"/>
              <w:jc w:val="center"/>
              <w:rPr>
                <w:rFonts w:ascii="Calibri" w:eastAsia="Times New Roman" w:hAnsi="Calibri" w:cs="Calibri"/>
                <w:lang w:eastAsia="hr-HR"/>
              </w:rPr>
            </w:pPr>
            <w:r w:rsidRPr="005E671C">
              <w:rPr>
                <w:rFonts w:ascii="Calibri" w:eastAsia="Times New Roman" w:hAnsi="Calibri" w:cs="Calibri"/>
                <w:lang w:eastAsia="hr-HR"/>
              </w:rPr>
              <w:t>0</w:t>
            </w:r>
          </w:p>
        </w:tc>
        <w:tc>
          <w:tcPr>
            <w:tcW w:w="421" w:type="dxa"/>
            <w:gridSpan w:val="2"/>
            <w:tcBorders>
              <w:top w:val="nil"/>
              <w:left w:val="nil"/>
              <w:bottom w:val="single" w:sz="4" w:space="0" w:color="auto"/>
              <w:right w:val="single" w:sz="4" w:space="0" w:color="auto"/>
            </w:tcBorders>
            <w:shd w:val="clear" w:color="000000" w:fill="FFFF99"/>
            <w:noWrap/>
            <w:vAlign w:val="center"/>
            <w:hideMark/>
          </w:tcPr>
          <w:p w14:paraId="53996EBA" w14:textId="77777777" w:rsidR="005E671C" w:rsidRPr="005E671C" w:rsidRDefault="005E671C" w:rsidP="005E671C">
            <w:pPr>
              <w:spacing w:after="0" w:line="240" w:lineRule="auto"/>
              <w:jc w:val="center"/>
              <w:rPr>
                <w:rFonts w:ascii="Calibri" w:eastAsia="Times New Roman" w:hAnsi="Calibri" w:cs="Calibri"/>
                <w:lang w:eastAsia="hr-HR"/>
              </w:rPr>
            </w:pPr>
            <w:r w:rsidRPr="005E671C">
              <w:rPr>
                <w:rFonts w:ascii="Calibri" w:eastAsia="Times New Roman" w:hAnsi="Calibri" w:cs="Calibri"/>
                <w:lang w:eastAsia="hr-HR"/>
              </w:rPr>
              <w:t>0</w:t>
            </w:r>
          </w:p>
        </w:tc>
        <w:tc>
          <w:tcPr>
            <w:tcW w:w="431" w:type="dxa"/>
            <w:tcBorders>
              <w:top w:val="nil"/>
              <w:left w:val="nil"/>
              <w:bottom w:val="single" w:sz="4" w:space="0" w:color="auto"/>
              <w:right w:val="single" w:sz="4" w:space="0" w:color="auto"/>
            </w:tcBorders>
            <w:shd w:val="clear" w:color="000000" w:fill="FFFF99"/>
            <w:noWrap/>
            <w:vAlign w:val="center"/>
            <w:hideMark/>
          </w:tcPr>
          <w:p w14:paraId="4039BEC5" w14:textId="77777777" w:rsidR="005E671C" w:rsidRPr="005E671C" w:rsidRDefault="005E671C" w:rsidP="005E671C">
            <w:pPr>
              <w:spacing w:after="0" w:line="240" w:lineRule="auto"/>
              <w:jc w:val="center"/>
              <w:rPr>
                <w:rFonts w:ascii="Calibri" w:eastAsia="Times New Roman" w:hAnsi="Calibri" w:cs="Calibri"/>
                <w:lang w:eastAsia="hr-HR"/>
              </w:rPr>
            </w:pPr>
            <w:r w:rsidRPr="005E671C">
              <w:rPr>
                <w:rFonts w:ascii="Calibri" w:eastAsia="Times New Roman" w:hAnsi="Calibri" w:cs="Calibri"/>
                <w:lang w:eastAsia="hr-HR"/>
              </w:rPr>
              <w:t>0</w:t>
            </w:r>
          </w:p>
        </w:tc>
        <w:tc>
          <w:tcPr>
            <w:tcW w:w="420" w:type="dxa"/>
            <w:tcBorders>
              <w:top w:val="nil"/>
              <w:left w:val="nil"/>
              <w:bottom w:val="single" w:sz="4" w:space="0" w:color="auto"/>
              <w:right w:val="single" w:sz="4" w:space="0" w:color="auto"/>
            </w:tcBorders>
            <w:shd w:val="clear" w:color="000000" w:fill="FFFF99"/>
            <w:noWrap/>
            <w:vAlign w:val="center"/>
            <w:hideMark/>
          </w:tcPr>
          <w:p w14:paraId="0258664F" w14:textId="77777777" w:rsidR="005E671C" w:rsidRPr="005E671C" w:rsidRDefault="005E671C" w:rsidP="005E671C">
            <w:pPr>
              <w:spacing w:after="0" w:line="240" w:lineRule="auto"/>
              <w:jc w:val="center"/>
              <w:rPr>
                <w:rFonts w:ascii="Calibri" w:eastAsia="Times New Roman" w:hAnsi="Calibri" w:cs="Calibri"/>
                <w:lang w:eastAsia="hr-HR"/>
              </w:rPr>
            </w:pPr>
            <w:r w:rsidRPr="005E671C">
              <w:rPr>
                <w:rFonts w:ascii="Calibri" w:eastAsia="Times New Roman" w:hAnsi="Calibri" w:cs="Calibri"/>
                <w:lang w:eastAsia="hr-HR"/>
              </w:rPr>
              <w:t>0</w:t>
            </w:r>
          </w:p>
        </w:tc>
        <w:tc>
          <w:tcPr>
            <w:tcW w:w="429" w:type="dxa"/>
            <w:tcBorders>
              <w:top w:val="nil"/>
              <w:left w:val="nil"/>
              <w:bottom w:val="single" w:sz="4" w:space="0" w:color="auto"/>
              <w:right w:val="single" w:sz="4" w:space="0" w:color="auto"/>
            </w:tcBorders>
            <w:shd w:val="clear" w:color="000000" w:fill="FFFF99"/>
            <w:noWrap/>
            <w:vAlign w:val="center"/>
            <w:hideMark/>
          </w:tcPr>
          <w:p w14:paraId="145996E7" w14:textId="77777777" w:rsidR="005E671C" w:rsidRPr="005E671C" w:rsidRDefault="005E671C" w:rsidP="005E671C">
            <w:pPr>
              <w:spacing w:after="0" w:line="240" w:lineRule="auto"/>
              <w:jc w:val="center"/>
              <w:rPr>
                <w:rFonts w:ascii="Calibri" w:eastAsia="Times New Roman" w:hAnsi="Calibri" w:cs="Calibri"/>
                <w:lang w:eastAsia="hr-HR"/>
              </w:rPr>
            </w:pPr>
            <w:r w:rsidRPr="005E671C">
              <w:rPr>
                <w:rFonts w:ascii="Calibri" w:eastAsia="Times New Roman" w:hAnsi="Calibri" w:cs="Calibri"/>
                <w:lang w:eastAsia="hr-HR"/>
              </w:rPr>
              <w:t>0</w:t>
            </w:r>
          </w:p>
        </w:tc>
        <w:tc>
          <w:tcPr>
            <w:tcW w:w="581" w:type="dxa"/>
            <w:tcBorders>
              <w:top w:val="nil"/>
              <w:left w:val="nil"/>
              <w:bottom w:val="single" w:sz="4" w:space="0" w:color="auto"/>
              <w:right w:val="single" w:sz="4" w:space="0" w:color="auto"/>
            </w:tcBorders>
            <w:shd w:val="clear" w:color="000000" w:fill="FFFF99"/>
            <w:noWrap/>
            <w:vAlign w:val="center"/>
            <w:hideMark/>
          </w:tcPr>
          <w:p w14:paraId="4BFEEA38" w14:textId="77777777" w:rsidR="005E671C" w:rsidRPr="005E671C" w:rsidRDefault="005E671C" w:rsidP="005E671C">
            <w:pPr>
              <w:spacing w:after="0" w:line="240" w:lineRule="auto"/>
              <w:jc w:val="center"/>
              <w:rPr>
                <w:rFonts w:ascii="Calibri" w:eastAsia="Times New Roman" w:hAnsi="Calibri" w:cs="Calibri"/>
                <w:lang w:eastAsia="hr-HR"/>
              </w:rPr>
            </w:pPr>
            <w:r w:rsidRPr="005E671C">
              <w:rPr>
                <w:rFonts w:ascii="Calibri" w:eastAsia="Times New Roman" w:hAnsi="Calibri" w:cs="Calibri"/>
                <w:lang w:eastAsia="hr-HR"/>
              </w:rPr>
              <w:t>0</w:t>
            </w:r>
          </w:p>
        </w:tc>
        <w:tc>
          <w:tcPr>
            <w:tcW w:w="556" w:type="dxa"/>
            <w:gridSpan w:val="2"/>
            <w:tcBorders>
              <w:top w:val="nil"/>
              <w:left w:val="nil"/>
              <w:bottom w:val="single" w:sz="4" w:space="0" w:color="auto"/>
              <w:right w:val="single" w:sz="4" w:space="0" w:color="auto"/>
            </w:tcBorders>
            <w:shd w:val="clear" w:color="000000" w:fill="FF9900"/>
            <w:noWrap/>
            <w:vAlign w:val="center"/>
            <w:hideMark/>
          </w:tcPr>
          <w:p w14:paraId="0D6C5012" w14:textId="77777777" w:rsidR="005E671C" w:rsidRPr="005E671C" w:rsidRDefault="005E671C" w:rsidP="005E671C">
            <w:pPr>
              <w:spacing w:after="0" w:line="240" w:lineRule="auto"/>
              <w:jc w:val="center"/>
              <w:rPr>
                <w:rFonts w:ascii="Calibri" w:eastAsia="Times New Roman" w:hAnsi="Calibri" w:cs="Calibri"/>
                <w:lang w:eastAsia="hr-HR"/>
              </w:rPr>
            </w:pPr>
            <w:r w:rsidRPr="005E671C">
              <w:rPr>
                <w:rFonts w:ascii="Calibri" w:eastAsia="Times New Roman" w:hAnsi="Calibri" w:cs="Calibri"/>
                <w:lang w:eastAsia="hr-HR"/>
              </w:rPr>
              <w:t>0</w:t>
            </w:r>
          </w:p>
        </w:tc>
        <w:tc>
          <w:tcPr>
            <w:tcW w:w="574" w:type="dxa"/>
            <w:tcBorders>
              <w:top w:val="nil"/>
              <w:left w:val="nil"/>
              <w:bottom w:val="single" w:sz="4" w:space="0" w:color="auto"/>
              <w:right w:val="single" w:sz="4" w:space="0" w:color="auto"/>
            </w:tcBorders>
            <w:shd w:val="clear" w:color="000000" w:fill="FF9900"/>
            <w:noWrap/>
            <w:vAlign w:val="center"/>
            <w:hideMark/>
          </w:tcPr>
          <w:p w14:paraId="0F488155" w14:textId="77777777" w:rsidR="005E671C" w:rsidRPr="005E671C" w:rsidRDefault="005E671C" w:rsidP="005E671C">
            <w:pPr>
              <w:spacing w:after="0" w:line="240" w:lineRule="auto"/>
              <w:jc w:val="center"/>
              <w:rPr>
                <w:rFonts w:ascii="Calibri" w:eastAsia="Times New Roman" w:hAnsi="Calibri" w:cs="Calibri"/>
                <w:lang w:eastAsia="hr-HR"/>
              </w:rPr>
            </w:pPr>
            <w:r w:rsidRPr="005E671C">
              <w:rPr>
                <w:rFonts w:ascii="Calibri" w:eastAsia="Times New Roman" w:hAnsi="Calibri" w:cs="Calibri"/>
                <w:lang w:eastAsia="hr-HR"/>
              </w:rPr>
              <w:t>0</w:t>
            </w:r>
          </w:p>
        </w:tc>
        <w:tc>
          <w:tcPr>
            <w:tcW w:w="434" w:type="dxa"/>
            <w:tcBorders>
              <w:top w:val="nil"/>
              <w:left w:val="nil"/>
              <w:bottom w:val="single" w:sz="4" w:space="0" w:color="auto"/>
              <w:right w:val="single" w:sz="4" w:space="0" w:color="auto"/>
            </w:tcBorders>
            <w:shd w:val="clear" w:color="000000" w:fill="FF9900"/>
            <w:noWrap/>
            <w:vAlign w:val="center"/>
            <w:hideMark/>
          </w:tcPr>
          <w:p w14:paraId="6B965598" w14:textId="77777777" w:rsidR="005E671C" w:rsidRPr="005E671C" w:rsidRDefault="005E671C" w:rsidP="005E671C">
            <w:pPr>
              <w:spacing w:after="0" w:line="240" w:lineRule="auto"/>
              <w:jc w:val="center"/>
              <w:rPr>
                <w:rFonts w:ascii="Calibri" w:eastAsia="Times New Roman" w:hAnsi="Calibri" w:cs="Calibri"/>
                <w:lang w:eastAsia="hr-HR"/>
              </w:rPr>
            </w:pPr>
            <w:r w:rsidRPr="005E671C">
              <w:rPr>
                <w:rFonts w:ascii="Calibri" w:eastAsia="Times New Roman" w:hAnsi="Calibri" w:cs="Calibri"/>
                <w:lang w:eastAsia="hr-HR"/>
              </w:rPr>
              <w:t>0</w:t>
            </w:r>
          </w:p>
        </w:tc>
        <w:tc>
          <w:tcPr>
            <w:tcW w:w="443" w:type="dxa"/>
            <w:gridSpan w:val="2"/>
            <w:tcBorders>
              <w:top w:val="nil"/>
              <w:left w:val="nil"/>
              <w:bottom w:val="single" w:sz="4" w:space="0" w:color="auto"/>
              <w:right w:val="single" w:sz="4" w:space="0" w:color="auto"/>
            </w:tcBorders>
            <w:shd w:val="clear" w:color="000000" w:fill="66FFCC"/>
            <w:noWrap/>
            <w:vAlign w:val="center"/>
            <w:hideMark/>
          </w:tcPr>
          <w:p w14:paraId="015E9F82" w14:textId="77777777" w:rsidR="005E671C" w:rsidRPr="005E671C" w:rsidRDefault="005E671C" w:rsidP="005E671C">
            <w:pPr>
              <w:spacing w:after="0" w:line="240" w:lineRule="auto"/>
              <w:jc w:val="center"/>
              <w:rPr>
                <w:rFonts w:ascii="Calibri" w:eastAsia="Times New Roman" w:hAnsi="Calibri" w:cs="Calibri"/>
                <w:lang w:eastAsia="hr-HR"/>
              </w:rPr>
            </w:pPr>
            <w:r w:rsidRPr="005E671C">
              <w:rPr>
                <w:rFonts w:ascii="Calibri" w:eastAsia="Times New Roman" w:hAnsi="Calibri" w:cs="Calibri"/>
                <w:lang w:eastAsia="hr-HR"/>
              </w:rPr>
              <w:t>0</w:t>
            </w:r>
          </w:p>
        </w:tc>
        <w:tc>
          <w:tcPr>
            <w:tcW w:w="698" w:type="dxa"/>
            <w:tcBorders>
              <w:top w:val="nil"/>
              <w:left w:val="nil"/>
              <w:bottom w:val="single" w:sz="4" w:space="0" w:color="auto"/>
              <w:right w:val="single" w:sz="4" w:space="0" w:color="auto"/>
            </w:tcBorders>
            <w:shd w:val="clear" w:color="000000" w:fill="66FFCC"/>
            <w:noWrap/>
            <w:vAlign w:val="center"/>
            <w:hideMark/>
          </w:tcPr>
          <w:p w14:paraId="2619F84C" w14:textId="77777777" w:rsidR="005E671C" w:rsidRPr="005E671C" w:rsidRDefault="005E671C" w:rsidP="005E671C">
            <w:pPr>
              <w:spacing w:after="0" w:line="240" w:lineRule="auto"/>
              <w:jc w:val="center"/>
              <w:rPr>
                <w:rFonts w:ascii="Calibri" w:eastAsia="Times New Roman" w:hAnsi="Calibri" w:cs="Calibri"/>
                <w:lang w:eastAsia="hr-HR"/>
              </w:rPr>
            </w:pPr>
            <w:r w:rsidRPr="005E671C">
              <w:rPr>
                <w:rFonts w:ascii="Calibri" w:eastAsia="Times New Roman" w:hAnsi="Calibri" w:cs="Calibri"/>
                <w:lang w:eastAsia="hr-HR"/>
              </w:rPr>
              <w:t>0</w:t>
            </w:r>
          </w:p>
        </w:tc>
        <w:tc>
          <w:tcPr>
            <w:tcW w:w="574" w:type="dxa"/>
            <w:tcBorders>
              <w:top w:val="nil"/>
              <w:left w:val="nil"/>
              <w:bottom w:val="single" w:sz="4" w:space="0" w:color="auto"/>
              <w:right w:val="single" w:sz="4" w:space="0" w:color="auto"/>
            </w:tcBorders>
            <w:shd w:val="clear" w:color="000000" w:fill="66FFCC"/>
            <w:noWrap/>
            <w:vAlign w:val="center"/>
            <w:hideMark/>
          </w:tcPr>
          <w:p w14:paraId="4D574CAF" w14:textId="77777777" w:rsidR="005E671C" w:rsidRPr="005E671C" w:rsidRDefault="005E671C" w:rsidP="005E671C">
            <w:pPr>
              <w:spacing w:after="0" w:line="240" w:lineRule="auto"/>
              <w:jc w:val="center"/>
              <w:rPr>
                <w:rFonts w:ascii="Calibri" w:eastAsia="Times New Roman" w:hAnsi="Calibri" w:cs="Calibri"/>
                <w:lang w:eastAsia="hr-HR"/>
              </w:rPr>
            </w:pPr>
            <w:r w:rsidRPr="005E671C">
              <w:rPr>
                <w:rFonts w:ascii="Calibri" w:eastAsia="Times New Roman" w:hAnsi="Calibri" w:cs="Calibri"/>
                <w:lang w:eastAsia="hr-HR"/>
              </w:rPr>
              <w:t>0</w:t>
            </w:r>
          </w:p>
        </w:tc>
        <w:tc>
          <w:tcPr>
            <w:tcW w:w="560" w:type="dxa"/>
            <w:tcBorders>
              <w:top w:val="nil"/>
              <w:left w:val="nil"/>
              <w:bottom w:val="single" w:sz="4" w:space="0" w:color="auto"/>
              <w:right w:val="single" w:sz="4" w:space="0" w:color="auto"/>
            </w:tcBorders>
            <w:shd w:val="clear" w:color="000000" w:fill="66FFCC"/>
            <w:noWrap/>
            <w:vAlign w:val="center"/>
            <w:hideMark/>
          </w:tcPr>
          <w:p w14:paraId="2925A915" w14:textId="77777777" w:rsidR="005E671C" w:rsidRPr="005E671C" w:rsidRDefault="005E671C" w:rsidP="005E671C">
            <w:pPr>
              <w:spacing w:after="0" w:line="240" w:lineRule="auto"/>
              <w:jc w:val="center"/>
              <w:rPr>
                <w:rFonts w:ascii="Calibri" w:eastAsia="Times New Roman" w:hAnsi="Calibri" w:cs="Calibri"/>
                <w:lang w:eastAsia="hr-HR"/>
              </w:rPr>
            </w:pPr>
            <w:r w:rsidRPr="005E671C">
              <w:rPr>
                <w:rFonts w:ascii="Calibri" w:eastAsia="Times New Roman" w:hAnsi="Calibri" w:cs="Calibri"/>
                <w:lang w:eastAsia="hr-HR"/>
              </w:rPr>
              <w:t>0</w:t>
            </w:r>
          </w:p>
        </w:tc>
        <w:tc>
          <w:tcPr>
            <w:tcW w:w="430" w:type="dxa"/>
            <w:gridSpan w:val="2"/>
            <w:tcBorders>
              <w:top w:val="nil"/>
              <w:left w:val="nil"/>
              <w:bottom w:val="single" w:sz="4" w:space="0" w:color="auto"/>
              <w:right w:val="single" w:sz="4" w:space="0" w:color="auto"/>
            </w:tcBorders>
            <w:shd w:val="clear" w:color="000000" w:fill="FFFF00"/>
            <w:vAlign w:val="center"/>
            <w:hideMark/>
          </w:tcPr>
          <w:p w14:paraId="24D46226" w14:textId="77777777" w:rsidR="005E671C" w:rsidRPr="005E671C" w:rsidRDefault="005E671C" w:rsidP="005E671C">
            <w:pPr>
              <w:spacing w:after="0" w:line="240" w:lineRule="auto"/>
              <w:jc w:val="center"/>
              <w:rPr>
                <w:rFonts w:ascii="Calibri" w:eastAsia="Times New Roman" w:hAnsi="Calibri" w:cs="Calibri"/>
                <w:lang w:eastAsia="hr-HR"/>
              </w:rPr>
            </w:pPr>
            <w:r w:rsidRPr="005E671C">
              <w:rPr>
                <w:rFonts w:ascii="Calibri" w:eastAsia="Times New Roman" w:hAnsi="Calibri" w:cs="Calibri"/>
                <w:lang w:eastAsia="hr-HR"/>
              </w:rPr>
              <w:t>0</w:t>
            </w:r>
          </w:p>
        </w:tc>
        <w:tc>
          <w:tcPr>
            <w:tcW w:w="425" w:type="dxa"/>
            <w:gridSpan w:val="2"/>
            <w:tcBorders>
              <w:top w:val="nil"/>
              <w:left w:val="nil"/>
              <w:bottom w:val="single" w:sz="4" w:space="0" w:color="auto"/>
              <w:right w:val="single" w:sz="4" w:space="0" w:color="auto"/>
            </w:tcBorders>
            <w:shd w:val="clear" w:color="000000" w:fill="FFFF99"/>
            <w:vAlign w:val="center"/>
            <w:hideMark/>
          </w:tcPr>
          <w:p w14:paraId="02C60547" w14:textId="77777777" w:rsidR="005E671C" w:rsidRPr="005E671C" w:rsidRDefault="005E671C" w:rsidP="005E671C">
            <w:pPr>
              <w:spacing w:after="0" w:line="240" w:lineRule="auto"/>
              <w:jc w:val="center"/>
              <w:rPr>
                <w:rFonts w:ascii="Calibri" w:eastAsia="Times New Roman" w:hAnsi="Calibri" w:cs="Calibri"/>
                <w:lang w:eastAsia="hr-HR"/>
              </w:rPr>
            </w:pPr>
            <w:r w:rsidRPr="005E671C">
              <w:rPr>
                <w:rFonts w:ascii="Calibri" w:eastAsia="Times New Roman" w:hAnsi="Calibri" w:cs="Calibri"/>
                <w:lang w:eastAsia="hr-HR"/>
              </w:rPr>
              <w:t>0</w:t>
            </w:r>
          </w:p>
        </w:tc>
        <w:tc>
          <w:tcPr>
            <w:tcW w:w="540" w:type="dxa"/>
            <w:gridSpan w:val="2"/>
            <w:tcBorders>
              <w:top w:val="nil"/>
              <w:left w:val="nil"/>
              <w:bottom w:val="single" w:sz="4" w:space="0" w:color="auto"/>
              <w:right w:val="single" w:sz="4" w:space="0" w:color="auto"/>
            </w:tcBorders>
            <w:shd w:val="clear" w:color="000000" w:fill="FF9900"/>
            <w:vAlign w:val="center"/>
            <w:hideMark/>
          </w:tcPr>
          <w:p w14:paraId="01C5347C" w14:textId="77777777" w:rsidR="005E671C" w:rsidRPr="005E671C" w:rsidRDefault="005E671C" w:rsidP="005E671C">
            <w:pPr>
              <w:spacing w:after="0" w:line="240" w:lineRule="auto"/>
              <w:jc w:val="center"/>
              <w:rPr>
                <w:rFonts w:ascii="Calibri" w:eastAsia="Times New Roman" w:hAnsi="Calibri" w:cs="Calibri"/>
                <w:lang w:eastAsia="hr-HR"/>
              </w:rPr>
            </w:pPr>
            <w:r w:rsidRPr="005E671C">
              <w:rPr>
                <w:rFonts w:ascii="Calibri" w:eastAsia="Times New Roman" w:hAnsi="Calibri" w:cs="Calibri"/>
                <w:lang w:eastAsia="hr-HR"/>
              </w:rPr>
              <w:t>0</w:t>
            </w:r>
          </w:p>
        </w:tc>
        <w:tc>
          <w:tcPr>
            <w:tcW w:w="435" w:type="dxa"/>
            <w:tcBorders>
              <w:top w:val="nil"/>
              <w:left w:val="nil"/>
              <w:bottom w:val="single" w:sz="4" w:space="0" w:color="auto"/>
              <w:right w:val="single" w:sz="4" w:space="0" w:color="auto"/>
            </w:tcBorders>
            <w:shd w:val="clear" w:color="000000" w:fill="CCFFFF"/>
            <w:vAlign w:val="center"/>
            <w:hideMark/>
          </w:tcPr>
          <w:p w14:paraId="057B3BAA" w14:textId="77777777" w:rsidR="005E671C" w:rsidRPr="005E671C" w:rsidRDefault="005E671C" w:rsidP="005E671C">
            <w:pPr>
              <w:spacing w:after="0" w:line="240" w:lineRule="auto"/>
              <w:jc w:val="center"/>
              <w:rPr>
                <w:rFonts w:ascii="Calibri" w:eastAsia="Times New Roman" w:hAnsi="Calibri" w:cs="Calibri"/>
                <w:lang w:eastAsia="hr-HR"/>
              </w:rPr>
            </w:pPr>
            <w:r w:rsidRPr="005E671C">
              <w:rPr>
                <w:rFonts w:ascii="Calibri" w:eastAsia="Times New Roman" w:hAnsi="Calibri" w:cs="Calibri"/>
                <w:lang w:eastAsia="hr-HR"/>
              </w:rPr>
              <w:t>0</w:t>
            </w:r>
          </w:p>
        </w:tc>
        <w:tc>
          <w:tcPr>
            <w:tcW w:w="655" w:type="dxa"/>
            <w:tcBorders>
              <w:top w:val="nil"/>
              <w:left w:val="nil"/>
              <w:bottom w:val="single" w:sz="4" w:space="0" w:color="auto"/>
              <w:right w:val="single" w:sz="4" w:space="0" w:color="auto"/>
            </w:tcBorders>
            <w:shd w:val="clear" w:color="000000" w:fill="CCFFFF"/>
            <w:vAlign w:val="center"/>
            <w:hideMark/>
          </w:tcPr>
          <w:p w14:paraId="63AC9F39" w14:textId="77777777" w:rsidR="005E671C" w:rsidRPr="005E671C" w:rsidRDefault="005E671C" w:rsidP="005E671C">
            <w:pPr>
              <w:spacing w:after="0" w:line="240" w:lineRule="auto"/>
              <w:jc w:val="center"/>
              <w:rPr>
                <w:rFonts w:ascii="Calibri" w:eastAsia="Times New Roman" w:hAnsi="Calibri" w:cs="Calibri"/>
                <w:lang w:eastAsia="hr-HR"/>
              </w:rPr>
            </w:pPr>
            <w:r w:rsidRPr="005E671C">
              <w:rPr>
                <w:rFonts w:ascii="Calibri" w:eastAsia="Times New Roman" w:hAnsi="Calibri" w:cs="Calibri"/>
                <w:lang w:eastAsia="hr-HR"/>
              </w:rPr>
              <w:t>0</w:t>
            </w:r>
          </w:p>
        </w:tc>
        <w:tc>
          <w:tcPr>
            <w:tcW w:w="645" w:type="dxa"/>
            <w:tcBorders>
              <w:top w:val="nil"/>
              <w:left w:val="nil"/>
              <w:bottom w:val="single" w:sz="4" w:space="0" w:color="auto"/>
              <w:right w:val="single" w:sz="4" w:space="0" w:color="auto"/>
            </w:tcBorders>
            <w:shd w:val="clear" w:color="000000" w:fill="CCFFFF"/>
            <w:vAlign w:val="center"/>
            <w:hideMark/>
          </w:tcPr>
          <w:p w14:paraId="7065484D" w14:textId="77777777" w:rsidR="005E671C" w:rsidRPr="005E671C" w:rsidRDefault="005E671C" w:rsidP="005E671C">
            <w:pPr>
              <w:spacing w:after="0" w:line="240" w:lineRule="auto"/>
              <w:jc w:val="center"/>
              <w:rPr>
                <w:rFonts w:ascii="Calibri" w:eastAsia="Times New Roman" w:hAnsi="Calibri" w:cs="Calibri"/>
                <w:lang w:eastAsia="hr-HR"/>
              </w:rPr>
            </w:pPr>
            <w:r w:rsidRPr="005E671C">
              <w:rPr>
                <w:rFonts w:ascii="Calibri" w:eastAsia="Times New Roman" w:hAnsi="Calibri" w:cs="Calibri"/>
                <w:lang w:eastAsia="hr-HR"/>
              </w:rPr>
              <w:t>0</w:t>
            </w:r>
          </w:p>
        </w:tc>
        <w:tc>
          <w:tcPr>
            <w:tcW w:w="699" w:type="dxa"/>
            <w:tcBorders>
              <w:top w:val="nil"/>
              <w:left w:val="nil"/>
              <w:bottom w:val="single" w:sz="4" w:space="0" w:color="auto"/>
              <w:right w:val="nil"/>
            </w:tcBorders>
            <w:shd w:val="clear" w:color="000000" w:fill="33CCCC"/>
            <w:noWrap/>
            <w:vAlign w:val="center"/>
            <w:hideMark/>
          </w:tcPr>
          <w:p w14:paraId="7893A8F5" w14:textId="77777777" w:rsidR="005E671C" w:rsidRPr="005E671C" w:rsidRDefault="005E671C" w:rsidP="005E671C">
            <w:pPr>
              <w:spacing w:after="0" w:line="240" w:lineRule="auto"/>
              <w:jc w:val="center"/>
              <w:rPr>
                <w:rFonts w:ascii="Calibri" w:eastAsia="Times New Roman" w:hAnsi="Calibri" w:cs="Calibri"/>
                <w:lang w:eastAsia="hr-HR"/>
              </w:rPr>
            </w:pPr>
            <w:r w:rsidRPr="005E671C">
              <w:rPr>
                <w:rFonts w:ascii="Calibri" w:eastAsia="Times New Roman" w:hAnsi="Calibri" w:cs="Calibri"/>
                <w:lang w:eastAsia="hr-HR"/>
              </w:rPr>
              <w:t>0</w:t>
            </w:r>
          </w:p>
        </w:tc>
        <w:tc>
          <w:tcPr>
            <w:tcW w:w="700" w:type="dxa"/>
            <w:tcBorders>
              <w:top w:val="nil"/>
              <w:left w:val="single" w:sz="4" w:space="0" w:color="auto"/>
              <w:bottom w:val="single" w:sz="4" w:space="0" w:color="auto"/>
              <w:right w:val="single" w:sz="8" w:space="0" w:color="auto"/>
            </w:tcBorders>
            <w:shd w:val="clear" w:color="000000" w:fill="33CCCC"/>
            <w:noWrap/>
            <w:vAlign w:val="center"/>
            <w:hideMark/>
          </w:tcPr>
          <w:p w14:paraId="53C5A9ED" w14:textId="77777777" w:rsidR="005E671C" w:rsidRPr="005E671C" w:rsidRDefault="005E671C" w:rsidP="005E671C">
            <w:pPr>
              <w:spacing w:after="0" w:line="240" w:lineRule="auto"/>
              <w:jc w:val="center"/>
              <w:rPr>
                <w:rFonts w:ascii="Calibri" w:eastAsia="Times New Roman" w:hAnsi="Calibri" w:cs="Calibri"/>
                <w:lang w:eastAsia="hr-HR"/>
              </w:rPr>
            </w:pPr>
            <w:r w:rsidRPr="005E671C">
              <w:rPr>
                <w:rFonts w:ascii="Calibri" w:eastAsia="Times New Roman" w:hAnsi="Calibri" w:cs="Calibri"/>
                <w:lang w:eastAsia="hr-HR"/>
              </w:rPr>
              <w:t>0</w:t>
            </w:r>
          </w:p>
        </w:tc>
        <w:tc>
          <w:tcPr>
            <w:tcW w:w="239" w:type="dxa"/>
            <w:gridSpan w:val="2"/>
            <w:vAlign w:val="center"/>
            <w:hideMark/>
          </w:tcPr>
          <w:p w14:paraId="6114CABA" w14:textId="77777777" w:rsidR="005E671C" w:rsidRPr="005E671C" w:rsidRDefault="005E671C" w:rsidP="005E671C">
            <w:pPr>
              <w:spacing w:after="0" w:line="240" w:lineRule="auto"/>
              <w:rPr>
                <w:rFonts w:ascii="Times New Roman" w:eastAsia="Times New Roman" w:hAnsi="Times New Roman" w:cs="Times New Roman"/>
                <w:sz w:val="20"/>
                <w:szCs w:val="20"/>
                <w:lang w:eastAsia="hr-HR"/>
              </w:rPr>
            </w:pPr>
          </w:p>
        </w:tc>
      </w:tr>
      <w:tr w:rsidR="005E671C" w:rsidRPr="005E671C" w14:paraId="25D2F84F" w14:textId="77777777" w:rsidTr="001752B7">
        <w:trPr>
          <w:gridAfter w:val="1"/>
          <w:wAfter w:w="23" w:type="dxa"/>
          <w:trHeight w:val="300"/>
        </w:trPr>
        <w:tc>
          <w:tcPr>
            <w:tcW w:w="1408" w:type="dxa"/>
            <w:tcBorders>
              <w:top w:val="single" w:sz="4" w:space="0" w:color="auto"/>
              <w:left w:val="single" w:sz="8" w:space="0" w:color="auto"/>
              <w:bottom w:val="single" w:sz="4" w:space="0" w:color="auto"/>
              <w:right w:val="single" w:sz="4" w:space="0" w:color="auto"/>
            </w:tcBorders>
            <w:shd w:val="clear" w:color="000000" w:fill="CCFFCC"/>
            <w:vAlign w:val="center"/>
            <w:hideMark/>
          </w:tcPr>
          <w:p w14:paraId="50B7CFF1" w14:textId="77777777" w:rsidR="005E671C" w:rsidRPr="005E671C" w:rsidRDefault="005E671C" w:rsidP="005E671C">
            <w:pPr>
              <w:spacing w:after="0" w:line="240" w:lineRule="auto"/>
              <w:jc w:val="center"/>
              <w:rPr>
                <w:rFonts w:ascii="Calibri" w:eastAsia="Times New Roman" w:hAnsi="Calibri" w:cs="Calibri"/>
                <w:lang w:eastAsia="hr-HR"/>
              </w:rPr>
            </w:pPr>
            <w:r w:rsidRPr="005E671C">
              <w:rPr>
                <w:rFonts w:ascii="Calibri" w:eastAsia="Times New Roman" w:hAnsi="Calibri" w:cs="Calibri"/>
                <w:lang w:eastAsia="hr-HR"/>
              </w:rPr>
              <w:t>Članstvo u sindikatu</w:t>
            </w:r>
          </w:p>
        </w:tc>
        <w:tc>
          <w:tcPr>
            <w:tcW w:w="595" w:type="dxa"/>
            <w:tcBorders>
              <w:top w:val="nil"/>
              <w:left w:val="nil"/>
              <w:bottom w:val="single" w:sz="4" w:space="0" w:color="auto"/>
              <w:right w:val="single" w:sz="4" w:space="0" w:color="auto"/>
            </w:tcBorders>
            <w:shd w:val="clear" w:color="000000" w:fill="CCFFCC"/>
            <w:vAlign w:val="center"/>
            <w:hideMark/>
          </w:tcPr>
          <w:p w14:paraId="36B11F73" w14:textId="77777777" w:rsidR="005E671C" w:rsidRPr="005E671C" w:rsidRDefault="005E671C" w:rsidP="005E671C">
            <w:pPr>
              <w:spacing w:after="0" w:line="240" w:lineRule="auto"/>
              <w:jc w:val="center"/>
              <w:rPr>
                <w:rFonts w:ascii="Calibri" w:eastAsia="Times New Roman" w:hAnsi="Calibri" w:cs="Calibri"/>
                <w:lang w:eastAsia="hr-HR"/>
              </w:rPr>
            </w:pPr>
            <w:r w:rsidRPr="005E671C">
              <w:rPr>
                <w:rFonts w:ascii="Calibri" w:eastAsia="Times New Roman" w:hAnsi="Calibri" w:cs="Calibri"/>
                <w:lang w:eastAsia="hr-HR"/>
              </w:rPr>
              <w:t>0</w:t>
            </w:r>
          </w:p>
        </w:tc>
        <w:tc>
          <w:tcPr>
            <w:tcW w:w="549" w:type="dxa"/>
            <w:tcBorders>
              <w:top w:val="nil"/>
              <w:left w:val="nil"/>
              <w:bottom w:val="single" w:sz="4" w:space="0" w:color="auto"/>
              <w:right w:val="single" w:sz="4" w:space="0" w:color="auto"/>
            </w:tcBorders>
            <w:shd w:val="clear" w:color="000000" w:fill="FFCC99"/>
            <w:noWrap/>
            <w:vAlign w:val="center"/>
            <w:hideMark/>
          </w:tcPr>
          <w:p w14:paraId="441062E2" w14:textId="77777777" w:rsidR="005E671C" w:rsidRPr="005E671C" w:rsidRDefault="005E671C" w:rsidP="005E671C">
            <w:pPr>
              <w:spacing w:after="0" w:line="240" w:lineRule="auto"/>
              <w:jc w:val="center"/>
              <w:rPr>
                <w:rFonts w:ascii="Calibri" w:eastAsia="Times New Roman" w:hAnsi="Calibri" w:cs="Calibri"/>
                <w:lang w:eastAsia="hr-HR"/>
              </w:rPr>
            </w:pPr>
            <w:r w:rsidRPr="005E671C">
              <w:rPr>
                <w:rFonts w:ascii="Calibri" w:eastAsia="Times New Roman" w:hAnsi="Calibri" w:cs="Calibri"/>
                <w:lang w:eastAsia="hr-HR"/>
              </w:rPr>
              <w:t>0</w:t>
            </w:r>
          </w:p>
        </w:tc>
        <w:tc>
          <w:tcPr>
            <w:tcW w:w="441" w:type="dxa"/>
            <w:tcBorders>
              <w:top w:val="nil"/>
              <w:left w:val="nil"/>
              <w:bottom w:val="single" w:sz="4" w:space="0" w:color="auto"/>
              <w:right w:val="single" w:sz="4" w:space="0" w:color="auto"/>
            </w:tcBorders>
            <w:shd w:val="clear" w:color="000000" w:fill="CCFFFF"/>
            <w:noWrap/>
            <w:vAlign w:val="center"/>
            <w:hideMark/>
          </w:tcPr>
          <w:p w14:paraId="43AE455A" w14:textId="77777777" w:rsidR="005E671C" w:rsidRPr="005E671C" w:rsidRDefault="005E671C" w:rsidP="005E671C">
            <w:pPr>
              <w:spacing w:after="0" w:line="240" w:lineRule="auto"/>
              <w:jc w:val="center"/>
              <w:rPr>
                <w:rFonts w:ascii="Calibri" w:eastAsia="Times New Roman" w:hAnsi="Calibri" w:cs="Calibri"/>
                <w:lang w:eastAsia="hr-HR"/>
              </w:rPr>
            </w:pPr>
            <w:r w:rsidRPr="005E671C">
              <w:rPr>
                <w:rFonts w:ascii="Calibri" w:eastAsia="Times New Roman" w:hAnsi="Calibri" w:cs="Calibri"/>
                <w:lang w:eastAsia="hr-HR"/>
              </w:rPr>
              <w:t>0</w:t>
            </w:r>
          </w:p>
        </w:tc>
        <w:tc>
          <w:tcPr>
            <w:tcW w:w="432" w:type="dxa"/>
            <w:tcBorders>
              <w:top w:val="nil"/>
              <w:left w:val="nil"/>
              <w:bottom w:val="single" w:sz="4" w:space="0" w:color="auto"/>
              <w:right w:val="single" w:sz="4" w:space="0" w:color="auto"/>
            </w:tcBorders>
            <w:shd w:val="clear" w:color="000000" w:fill="CCFFFF"/>
            <w:noWrap/>
            <w:vAlign w:val="center"/>
            <w:hideMark/>
          </w:tcPr>
          <w:p w14:paraId="0FA771F4" w14:textId="77777777" w:rsidR="005E671C" w:rsidRPr="005E671C" w:rsidRDefault="005E671C" w:rsidP="005E671C">
            <w:pPr>
              <w:spacing w:after="0" w:line="240" w:lineRule="auto"/>
              <w:jc w:val="center"/>
              <w:rPr>
                <w:rFonts w:ascii="Calibri" w:eastAsia="Times New Roman" w:hAnsi="Calibri" w:cs="Calibri"/>
                <w:lang w:eastAsia="hr-HR"/>
              </w:rPr>
            </w:pPr>
            <w:r w:rsidRPr="005E671C">
              <w:rPr>
                <w:rFonts w:ascii="Calibri" w:eastAsia="Times New Roman" w:hAnsi="Calibri" w:cs="Calibri"/>
                <w:lang w:eastAsia="hr-HR"/>
              </w:rPr>
              <w:t>0</w:t>
            </w:r>
          </w:p>
        </w:tc>
        <w:tc>
          <w:tcPr>
            <w:tcW w:w="421" w:type="dxa"/>
            <w:gridSpan w:val="2"/>
            <w:tcBorders>
              <w:top w:val="nil"/>
              <w:left w:val="nil"/>
              <w:bottom w:val="single" w:sz="4" w:space="0" w:color="auto"/>
              <w:right w:val="single" w:sz="4" w:space="0" w:color="auto"/>
            </w:tcBorders>
            <w:shd w:val="clear" w:color="000000" w:fill="FFFF99"/>
            <w:noWrap/>
            <w:vAlign w:val="center"/>
            <w:hideMark/>
          </w:tcPr>
          <w:p w14:paraId="25CB5278" w14:textId="77777777" w:rsidR="005E671C" w:rsidRPr="005E671C" w:rsidRDefault="005E671C" w:rsidP="005E671C">
            <w:pPr>
              <w:spacing w:after="0" w:line="240" w:lineRule="auto"/>
              <w:jc w:val="center"/>
              <w:rPr>
                <w:rFonts w:ascii="Calibri" w:eastAsia="Times New Roman" w:hAnsi="Calibri" w:cs="Calibri"/>
                <w:lang w:eastAsia="hr-HR"/>
              </w:rPr>
            </w:pPr>
            <w:r w:rsidRPr="005E671C">
              <w:rPr>
                <w:rFonts w:ascii="Calibri" w:eastAsia="Times New Roman" w:hAnsi="Calibri" w:cs="Calibri"/>
                <w:lang w:eastAsia="hr-HR"/>
              </w:rPr>
              <w:t>0</w:t>
            </w:r>
          </w:p>
        </w:tc>
        <w:tc>
          <w:tcPr>
            <w:tcW w:w="431" w:type="dxa"/>
            <w:tcBorders>
              <w:top w:val="nil"/>
              <w:left w:val="nil"/>
              <w:bottom w:val="single" w:sz="4" w:space="0" w:color="auto"/>
              <w:right w:val="single" w:sz="4" w:space="0" w:color="auto"/>
            </w:tcBorders>
            <w:shd w:val="clear" w:color="000000" w:fill="FFFF99"/>
            <w:noWrap/>
            <w:vAlign w:val="center"/>
            <w:hideMark/>
          </w:tcPr>
          <w:p w14:paraId="04277B3F" w14:textId="77777777" w:rsidR="005E671C" w:rsidRPr="005E671C" w:rsidRDefault="005E671C" w:rsidP="005E671C">
            <w:pPr>
              <w:spacing w:after="0" w:line="240" w:lineRule="auto"/>
              <w:jc w:val="center"/>
              <w:rPr>
                <w:rFonts w:ascii="Calibri" w:eastAsia="Times New Roman" w:hAnsi="Calibri" w:cs="Calibri"/>
                <w:lang w:eastAsia="hr-HR"/>
              </w:rPr>
            </w:pPr>
            <w:r w:rsidRPr="005E671C">
              <w:rPr>
                <w:rFonts w:ascii="Calibri" w:eastAsia="Times New Roman" w:hAnsi="Calibri" w:cs="Calibri"/>
                <w:lang w:eastAsia="hr-HR"/>
              </w:rPr>
              <w:t>0</w:t>
            </w:r>
          </w:p>
        </w:tc>
        <w:tc>
          <w:tcPr>
            <w:tcW w:w="420" w:type="dxa"/>
            <w:tcBorders>
              <w:top w:val="nil"/>
              <w:left w:val="nil"/>
              <w:bottom w:val="single" w:sz="4" w:space="0" w:color="auto"/>
              <w:right w:val="single" w:sz="4" w:space="0" w:color="auto"/>
            </w:tcBorders>
            <w:shd w:val="clear" w:color="000000" w:fill="FFFF99"/>
            <w:noWrap/>
            <w:vAlign w:val="center"/>
            <w:hideMark/>
          </w:tcPr>
          <w:p w14:paraId="79AFD575" w14:textId="77777777" w:rsidR="005E671C" w:rsidRPr="005E671C" w:rsidRDefault="005E671C" w:rsidP="005E671C">
            <w:pPr>
              <w:spacing w:after="0" w:line="240" w:lineRule="auto"/>
              <w:jc w:val="center"/>
              <w:rPr>
                <w:rFonts w:ascii="Calibri" w:eastAsia="Times New Roman" w:hAnsi="Calibri" w:cs="Calibri"/>
                <w:lang w:eastAsia="hr-HR"/>
              </w:rPr>
            </w:pPr>
            <w:r w:rsidRPr="005E671C">
              <w:rPr>
                <w:rFonts w:ascii="Calibri" w:eastAsia="Times New Roman" w:hAnsi="Calibri" w:cs="Calibri"/>
                <w:lang w:eastAsia="hr-HR"/>
              </w:rPr>
              <w:t>0</w:t>
            </w:r>
          </w:p>
        </w:tc>
        <w:tc>
          <w:tcPr>
            <w:tcW w:w="429" w:type="dxa"/>
            <w:tcBorders>
              <w:top w:val="nil"/>
              <w:left w:val="nil"/>
              <w:bottom w:val="single" w:sz="4" w:space="0" w:color="auto"/>
              <w:right w:val="single" w:sz="4" w:space="0" w:color="auto"/>
            </w:tcBorders>
            <w:shd w:val="clear" w:color="000000" w:fill="FFFF99"/>
            <w:noWrap/>
            <w:vAlign w:val="center"/>
            <w:hideMark/>
          </w:tcPr>
          <w:p w14:paraId="699CE4D5" w14:textId="77777777" w:rsidR="005E671C" w:rsidRPr="005E671C" w:rsidRDefault="005E671C" w:rsidP="005E671C">
            <w:pPr>
              <w:spacing w:after="0" w:line="240" w:lineRule="auto"/>
              <w:jc w:val="center"/>
              <w:rPr>
                <w:rFonts w:ascii="Calibri" w:eastAsia="Times New Roman" w:hAnsi="Calibri" w:cs="Calibri"/>
                <w:lang w:eastAsia="hr-HR"/>
              </w:rPr>
            </w:pPr>
            <w:r w:rsidRPr="005E671C">
              <w:rPr>
                <w:rFonts w:ascii="Calibri" w:eastAsia="Times New Roman" w:hAnsi="Calibri" w:cs="Calibri"/>
                <w:lang w:eastAsia="hr-HR"/>
              </w:rPr>
              <w:t>0</w:t>
            </w:r>
          </w:p>
        </w:tc>
        <w:tc>
          <w:tcPr>
            <w:tcW w:w="581" w:type="dxa"/>
            <w:tcBorders>
              <w:top w:val="nil"/>
              <w:left w:val="nil"/>
              <w:bottom w:val="single" w:sz="4" w:space="0" w:color="auto"/>
              <w:right w:val="single" w:sz="4" w:space="0" w:color="auto"/>
            </w:tcBorders>
            <w:shd w:val="clear" w:color="000000" w:fill="FFFF99"/>
            <w:noWrap/>
            <w:vAlign w:val="center"/>
            <w:hideMark/>
          </w:tcPr>
          <w:p w14:paraId="4303BEFB" w14:textId="77777777" w:rsidR="005E671C" w:rsidRPr="005E671C" w:rsidRDefault="005E671C" w:rsidP="005E671C">
            <w:pPr>
              <w:spacing w:after="0" w:line="240" w:lineRule="auto"/>
              <w:jc w:val="center"/>
              <w:rPr>
                <w:rFonts w:ascii="Calibri" w:eastAsia="Times New Roman" w:hAnsi="Calibri" w:cs="Calibri"/>
                <w:lang w:eastAsia="hr-HR"/>
              </w:rPr>
            </w:pPr>
            <w:r w:rsidRPr="005E671C">
              <w:rPr>
                <w:rFonts w:ascii="Calibri" w:eastAsia="Times New Roman" w:hAnsi="Calibri" w:cs="Calibri"/>
                <w:lang w:eastAsia="hr-HR"/>
              </w:rPr>
              <w:t>0</w:t>
            </w:r>
          </w:p>
        </w:tc>
        <w:tc>
          <w:tcPr>
            <w:tcW w:w="556" w:type="dxa"/>
            <w:gridSpan w:val="2"/>
            <w:tcBorders>
              <w:top w:val="nil"/>
              <w:left w:val="nil"/>
              <w:bottom w:val="single" w:sz="4" w:space="0" w:color="auto"/>
              <w:right w:val="single" w:sz="4" w:space="0" w:color="auto"/>
            </w:tcBorders>
            <w:shd w:val="clear" w:color="000000" w:fill="FF9900"/>
            <w:noWrap/>
            <w:vAlign w:val="center"/>
            <w:hideMark/>
          </w:tcPr>
          <w:p w14:paraId="01C289D7" w14:textId="77777777" w:rsidR="005E671C" w:rsidRPr="005E671C" w:rsidRDefault="005E671C" w:rsidP="005E671C">
            <w:pPr>
              <w:spacing w:after="0" w:line="240" w:lineRule="auto"/>
              <w:jc w:val="center"/>
              <w:rPr>
                <w:rFonts w:ascii="Calibri" w:eastAsia="Times New Roman" w:hAnsi="Calibri" w:cs="Calibri"/>
                <w:lang w:eastAsia="hr-HR"/>
              </w:rPr>
            </w:pPr>
            <w:r w:rsidRPr="005E671C">
              <w:rPr>
                <w:rFonts w:ascii="Calibri" w:eastAsia="Times New Roman" w:hAnsi="Calibri" w:cs="Calibri"/>
                <w:lang w:eastAsia="hr-HR"/>
              </w:rPr>
              <w:t>0</w:t>
            </w:r>
          </w:p>
        </w:tc>
        <w:tc>
          <w:tcPr>
            <w:tcW w:w="574" w:type="dxa"/>
            <w:tcBorders>
              <w:top w:val="nil"/>
              <w:left w:val="nil"/>
              <w:bottom w:val="single" w:sz="4" w:space="0" w:color="auto"/>
              <w:right w:val="single" w:sz="4" w:space="0" w:color="auto"/>
            </w:tcBorders>
            <w:shd w:val="clear" w:color="000000" w:fill="FF9900"/>
            <w:noWrap/>
            <w:vAlign w:val="center"/>
            <w:hideMark/>
          </w:tcPr>
          <w:p w14:paraId="1F2EAABD" w14:textId="77777777" w:rsidR="005E671C" w:rsidRPr="005E671C" w:rsidRDefault="005E671C" w:rsidP="005E671C">
            <w:pPr>
              <w:spacing w:after="0" w:line="240" w:lineRule="auto"/>
              <w:jc w:val="center"/>
              <w:rPr>
                <w:rFonts w:ascii="Calibri" w:eastAsia="Times New Roman" w:hAnsi="Calibri" w:cs="Calibri"/>
                <w:lang w:eastAsia="hr-HR"/>
              </w:rPr>
            </w:pPr>
            <w:r w:rsidRPr="005E671C">
              <w:rPr>
                <w:rFonts w:ascii="Calibri" w:eastAsia="Times New Roman" w:hAnsi="Calibri" w:cs="Calibri"/>
                <w:lang w:eastAsia="hr-HR"/>
              </w:rPr>
              <w:t>0</w:t>
            </w:r>
          </w:p>
        </w:tc>
        <w:tc>
          <w:tcPr>
            <w:tcW w:w="434" w:type="dxa"/>
            <w:tcBorders>
              <w:top w:val="nil"/>
              <w:left w:val="nil"/>
              <w:bottom w:val="single" w:sz="4" w:space="0" w:color="auto"/>
              <w:right w:val="single" w:sz="4" w:space="0" w:color="auto"/>
            </w:tcBorders>
            <w:shd w:val="clear" w:color="000000" w:fill="FF9900"/>
            <w:noWrap/>
            <w:vAlign w:val="center"/>
            <w:hideMark/>
          </w:tcPr>
          <w:p w14:paraId="5C58DFE4" w14:textId="77777777" w:rsidR="005E671C" w:rsidRPr="005E671C" w:rsidRDefault="005E671C" w:rsidP="005E671C">
            <w:pPr>
              <w:spacing w:after="0" w:line="240" w:lineRule="auto"/>
              <w:jc w:val="center"/>
              <w:rPr>
                <w:rFonts w:ascii="Calibri" w:eastAsia="Times New Roman" w:hAnsi="Calibri" w:cs="Calibri"/>
                <w:lang w:eastAsia="hr-HR"/>
              </w:rPr>
            </w:pPr>
            <w:r w:rsidRPr="005E671C">
              <w:rPr>
                <w:rFonts w:ascii="Calibri" w:eastAsia="Times New Roman" w:hAnsi="Calibri" w:cs="Calibri"/>
                <w:lang w:eastAsia="hr-HR"/>
              </w:rPr>
              <w:t>0</w:t>
            </w:r>
          </w:p>
        </w:tc>
        <w:tc>
          <w:tcPr>
            <w:tcW w:w="443" w:type="dxa"/>
            <w:gridSpan w:val="2"/>
            <w:tcBorders>
              <w:top w:val="nil"/>
              <w:left w:val="nil"/>
              <w:bottom w:val="single" w:sz="4" w:space="0" w:color="auto"/>
              <w:right w:val="single" w:sz="4" w:space="0" w:color="auto"/>
            </w:tcBorders>
            <w:shd w:val="clear" w:color="000000" w:fill="66FFCC"/>
            <w:noWrap/>
            <w:vAlign w:val="center"/>
            <w:hideMark/>
          </w:tcPr>
          <w:p w14:paraId="58920664" w14:textId="77777777" w:rsidR="005E671C" w:rsidRPr="005E671C" w:rsidRDefault="005E671C" w:rsidP="005E671C">
            <w:pPr>
              <w:spacing w:after="0" w:line="240" w:lineRule="auto"/>
              <w:jc w:val="center"/>
              <w:rPr>
                <w:rFonts w:ascii="Calibri" w:eastAsia="Times New Roman" w:hAnsi="Calibri" w:cs="Calibri"/>
                <w:lang w:eastAsia="hr-HR"/>
              </w:rPr>
            </w:pPr>
            <w:r w:rsidRPr="005E671C">
              <w:rPr>
                <w:rFonts w:ascii="Calibri" w:eastAsia="Times New Roman" w:hAnsi="Calibri" w:cs="Calibri"/>
                <w:lang w:eastAsia="hr-HR"/>
              </w:rPr>
              <w:t>0</w:t>
            </w:r>
          </w:p>
        </w:tc>
        <w:tc>
          <w:tcPr>
            <w:tcW w:w="698" w:type="dxa"/>
            <w:tcBorders>
              <w:top w:val="nil"/>
              <w:left w:val="nil"/>
              <w:bottom w:val="single" w:sz="4" w:space="0" w:color="auto"/>
              <w:right w:val="single" w:sz="4" w:space="0" w:color="auto"/>
            </w:tcBorders>
            <w:shd w:val="clear" w:color="000000" w:fill="66FFCC"/>
            <w:noWrap/>
            <w:vAlign w:val="center"/>
            <w:hideMark/>
          </w:tcPr>
          <w:p w14:paraId="750C1EFD" w14:textId="77777777" w:rsidR="005E671C" w:rsidRPr="005E671C" w:rsidRDefault="005E671C" w:rsidP="005E671C">
            <w:pPr>
              <w:spacing w:after="0" w:line="240" w:lineRule="auto"/>
              <w:jc w:val="center"/>
              <w:rPr>
                <w:rFonts w:ascii="Calibri" w:eastAsia="Times New Roman" w:hAnsi="Calibri" w:cs="Calibri"/>
                <w:lang w:eastAsia="hr-HR"/>
              </w:rPr>
            </w:pPr>
            <w:r w:rsidRPr="005E671C">
              <w:rPr>
                <w:rFonts w:ascii="Calibri" w:eastAsia="Times New Roman" w:hAnsi="Calibri" w:cs="Calibri"/>
                <w:lang w:eastAsia="hr-HR"/>
              </w:rPr>
              <w:t>0</w:t>
            </w:r>
          </w:p>
        </w:tc>
        <w:tc>
          <w:tcPr>
            <w:tcW w:w="574" w:type="dxa"/>
            <w:tcBorders>
              <w:top w:val="nil"/>
              <w:left w:val="nil"/>
              <w:bottom w:val="single" w:sz="4" w:space="0" w:color="auto"/>
              <w:right w:val="single" w:sz="4" w:space="0" w:color="auto"/>
            </w:tcBorders>
            <w:shd w:val="clear" w:color="000000" w:fill="66FFCC"/>
            <w:noWrap/>
            <w:vAlign w:val="center"/>
            <w:hideMark/>
          </w:tcPr>
          <w:p w14:paraId="6D0DC8FE" w14:textId="77777777" w:rsidR="005E671C" w:rsidRPr="005E671C" w:rsidRDefault="005E671C" w:rsidP="005E671C">
            <w:pPr>
              <w:spacing w:after="0" w:line="240" w:lineRule="auto"/>
              <w:jc w:val="center"/>
              <w:rPr>
                <w:rFonts w:ascii="Calibri" w:eastAsia="Times New Roman" w:hAnsi="Calibri" w:cs="Calibri"/>
                <w:lang w:eastAsia="hr-HR"/>
              </w:rPr>
            </w:pPr>
            <w:r w:rsidRPr="005E671C">
              <w:rPr>
                <w:rFonts w:ascii="Calibri" w:eastAsia="Times New Roman" w:hAnsi="Calibri" w:cs="Calibri"/>
                <w:lang w:eastAsia="hr-HR"/>
              </w:rPr>
              <w:t>0</w:t>
            </w:r>
          </w:p>
        </w:tc>
        <w:tc>
          <w:tcPr>
            <w:tcW w:w="560" w:type="dxa"/>
            <w:tcBorders>
              <w:top w:val="nil"/>
              <w:left w:val="nil"/>
              <w:bottom w:val="single" w:sz="4" w:space="0" w:color="auto"/>
              <w:right w:val="single" w:sz="4" w:space="0" w:color="auto"/>
            </w:tcBorders>
            <w:shd w:val="clear" w:color="000000" w:fill="66FFCC"/>
            <w:noWrap/>
            <w:vAlign w:val="center"/>
            <w:hideMark/>
          </w:tcPr>
          <w:p w14:paraId="44E4A67E" w14:textId="77777777" w:rsidR="005E671C" w:rsidRPr="005E671C" w:rsidRDefault="005E671C" w:rsidP="005E671C">
            <w:pPr>
              <w:spacing w:after="0" w:line="240" w:lineRule="auto"/>
              <w:jc w:val="center"/>
              <w:rPr>
                <w:rFonts w:ascii="Calibri" w:eastAsia="Times New Roman" w:hAnsi="Calibri" w:cs="Calibri"/>
                <w:lang w:eastAsia="hr-HR"/>
              </w:rPr>
            </w:pPr>
            <w:r w:rsidRPr="005E671C">
              <w:rPr>
                <w:rFonts w:ascii="Calibri" w:eastAsia="Times New Roman" w:hAnsi="Calibri" w:cs="Calibri"/>
                <w:lang w:eastAsia="hr-HR"/>
              </w:rPr>
              <w:t>0</w:t>
            </w:r>
          </w:p>
        </w:tc>
        <w:tc>
          <w:tcPr>
            <w:tcW w:w="430" w:type="dxa"/>
            <w:gridSpan w:val="2"/>
            <w:tcBorders>
              <w:top w:val="nil"/>
              <w:left w:val="nil"/>
              <w:bottom w:val="single" w:sz="4" w:space="0" w:color="auto"/>
              <w:right w:val="single" w:sz="4" w:space="0" w:color="auto"/>
            </w:tcBorders>
            <w:shd w:val="clear" w:color="000000" w:fill="FFFF00"/>
            <w:vAlign w:val="center"/>
            <w:hideMark/>
          </w:tcPr>
          <w:p w14:paraId="12D4111C" w14:textId="77777777" w:rsidR="005E671C" w:rsidRPr="005E671C" w:rsidRDefault="005E671C" w:rsidP="005E671C">
            <w:pPr>
              <w:spacing w:after="0" w:line="240" w:lineRule="auto"/>
              <w:jc w:val="center"/>
              <w:rPr>
                <w:rFonts w:ascii="Calibri" w:eastAsia="Times New Roman" w:hAnsi="Calibri" w:cs="Calibri"/>
                <w:lang w:eastAsia="hr-HR"/>
              </w:rPr>
            </w:pPr>
            <w:r w:rsidRPr="005E671C">
              <w:rPr>
                <w:rFonts w:ascii="Calibri" w:eastAsia="Times New Roman" w:hAnsi="Calibri" w:cs="Calibri"/>
                <w:lang w:eastAsia="hr-HR"/>
              </w:rPr>
              <w:t>0</w:t>
            </w:r>
          </w:p>
        </w:tc>
        <w:tc>
          <w:tcPr>
            <w:tcW w:w="425" w:type="dxa"/>
            <w:gridSpan w:val="2"/>
            <w:tcBorders>
              <w:top w:val="nil"/>
              <w:left w:val="nil"/>
              <w:bottom w:val="single" w:sz="4" w:space="0" w:color="auto"/>
              <w:right w:val="single" w:sz="4" w:space="0" w:color="auto"/>
            </w:tcBorders>
            <w:shd w:val="clear" w:color="000000" w:fill="FFFF99"/>
            <w:vAlign w:val="center"/>
            <w:hideMark/>
          </w:tcPr>
          <w:p w14:paraId="6CA110C6" w14:textId="77777777" w:rsidR="005E671C" w:rsidRPr="005E671C" w:rsidRDefault="005E671C" w:rsidP="005E671C">
            <w:pPr>
              <w:spacing w:after="0" w:line="240" w:lineRule="auto"/>
              <w:jc w:val="center"/>
              <w:rPr>
                <w:rFonts w:ascii="Calibri" w:eastAsia="Times New Roman" w:hAnsi="Calibri" w:cs="Calibri"/>
                <w:lang w:eastAsia="hr-HR"/>
              </w:rPr>
            </w:pPr>
            <w:r w:rsidRPr="005E671C">
              <w:rPr>
                <w:rFonts w:ascii="Calibri" w:eastAsia="Times New Roman" w:hAnsi="Calibri" w:cs="Calibri"/>
                <w:lang w:eastAsia="hr-HR"/>
              </w:rPr>
              <w:t>0</w:t>
            </w:r>
          </w:p>
        </w:tc>
        <w:tc>
          <w:tcPr>
            <w:tcW w:w="540" w:type="dxa"/>
            <w:gridSpan w:val="2"/>
            <w:tcBorders>
              <w:top w:val="nil"/>
              <w:left w:val="nil"/>
              <w:bottom w:val="single" w:sz="4" w:space="0" w:color="auto"/>
              <w:right w:val="single" w:sz="4" w:space="0" w:color="auto"/>
            </w:tcBorders>
            <w:shd w:val="clear" w:color="000000" w:fill="FF9900"/>
            <w:vAlign w:val="center"/>
            <w:hideMark/>
          </w:tcPr>
          <w:p w14:paraId="7A0D5F35" w14:textId="77777777" w:rsidR="005E671C" w:rsidRPr="005E671C" w:rsidRDefault="005E671C" w:rsidP="005E671C">
            <w:pPr>
              <w:spacing w:after="0" w:line="240" w:lineRule="auto"/>
              <w:jc w:val="center"/>
              <w:rPr>
                <w:rFonts w:ascii="Calibri" w:eastAsia="Times New Roman" w:hAnsi="Calibri" w:cs="Calibri"/>
                <w:lang w:eastAsia="hr-HR"/>
              </w:rPr>
            </w:pPr>
            <w:r w:rsidRPr="005E671C">
              <w:rPr>
                <w:rFonts w:ascii="Calibri" w:eastAsia="Times New Roman" w:hAnsi="Calibri" w:cs="Calibri"/>
                <w:lang w:eastAsia="hr-HR"/>
              </w:rPr>
              <w:t>0</w:t>
            </w:r>
          </w:p>
        </w:tc>
        <w:tc>
          <w:tcPr>
            <w:tcW w:w="435" w:type="dxa"/>
            <w:tcBorders>
              <w:top w:val="nil"/>
              <w:left w:val="nil"/>
              <w:bottom w:val="single" w:sz="4" w:space="0" w:color="auto"/>
              <w:right w:val="single" w:sz="4" w:space="0" w:color="auto"/>
            </w:tcBorders>
            <w:shd w:val="clear" w:color="000000" w:fill="CCFFFF"/>
            <w:vAlign w:val="center"/>
            <w:hideMark/>
          </w:tcPr>
          <w:p w14:paraId="6E0A6804" w14:textId="77777777" w:rsidR="005E671C" w:rsidRPr="005E671C" w:rsidRDefault="005E671C" w:rsidP="005E671C">
            <w:pPr>
              <w:spacing w:after="0" w:line="240" w:lineRule="auto"/>
              <w:jc w:val="center"/>
              <w:rPr>
                <w:rFonts w:ascii="Calibri" w:eastAsia="Times New Roman" w:hAnsi="Calibri" w:cs="Calibri"/>
                <w:lang w:eastAsia="hr-HR"/>
              </w:rPr>
            </w:pPr>
            <w:r w:rsidRPr="005E671C">
              <w:rPr>
                <w:rFonts w:ascii="Calibri" w:eastAsia="Times New Roman" w:hAnsi="Calibri" w:cs="Calibri"/>
                <w:lang w:eastAsia="hr-HR"/>
              </w:rPr>
              <w:t>0</w:t>
            </w:r>
          </w:p>
        </w:tc>
        <w:tc>
          <w:tcPr>
            <w:tcW w:w="655" w:type="dxa"/>
            <w:tcBorders>
              <w:top w:val="nil"/>
              <w:left w:val="nil"/>
              <w:bottom w:val="single" w:sz="4" w:space="0" w:color="auto"/>
              <w:right w:val="single" w:sz="4" w:space="0" w:color="auto"/>
            </w:tcBorders>
            <w:shd w:val="clear" w:color="000000" w:fill="CCFFFF"/>
            <w:vAlign w:val="center"/>
            <w:hideMark/>
          </w:tcPr>
          <w:p w14:paraId="204553B9" w14:textId="77777777" w:rsidR="005E671C" w:rsidRPr="005E671C" w:rsidRDefault="005E671C" w:rsidP="005E671C">
            <w:pPr>
              <w:spacing w:after="0" w:line="240" w:lineRule="auto"/>
              <w:jc w:val="center"/>
              <w:rPr>
                <w:rFonts w:ascii="Calibri" w:eastAsia="Times New Roman" w:hAnsi="Calibri" w:cs="Calibri"/>
                <w:lang w:eastAsia="hr-HR"/>
              </w:rPr>
            </w:pPr>
            <w:r w:rsidRPr="005E671C">
              <w:rPr>
                <w:rFonts w:ascii="Calibri" w:eastAsia="Times New Roman" w:hAnsi="Calibri" w:cs="Calibri"/>
                <w:lang w:eastAsia="hr-HR"/>
              </w:rPr>
              <w:t>0</w:t>
            </w:r>
          </w:p>
        </w:tc>
        <w:tc>
          <w:tcPr>
            <w:tcW w:w="645" w:type="dxa"/>
            <w:tcBorders>
              <w:top w:val="nil"/>
              <w:left w:val="nil"/>
              <w:bottom w:val="single" w:sz="4" w:space="0" w:color="auto"/>
              <w:right w:val="single" w:sz="4" w:space="0" w:color="auto"/>
            </w:tcBorders>
            <w:shd w:val="clear" w:color="000000" w:fill="CCFFFF"/>
            <w:vAlign w:val="center"/>
            <w:hideMark/>
          </w:tcPr>
          <w:p w14:paraId="1EA993D6" w14:textId="77777777" w:rsidR="005E671C" w:rsidRPr="005E671C" w:rsidRDefault="005E671C" w:rsidP="005E671C">
            <w:pPr>
              <w:spacing w:after="0" w:line="240" w:lineRule="auto"/>
              <w:jc w:val="center"/>
              <w:rPr>
                <w:rFonts w:ascii="Calibri" w:eastAsia="Times New Roman" w:hAnsi="Calibri" w:cs="Calibri"/>
                <w:lang w:eastAsia="hr-HR"/>
              </w:rPr>
            </w:pPr>
            <w:r w:rsidRPr="005E671C">
              <w:rPr>
                <w:rFonts w:ascii="Calibri" w:eastAsia="Times New Roman" w:hAnsi="Calibri" w:cs="Calibri"/>
                <w:lang w:eastAsia="hr-HR"/>
              </w:rPr>
              <w:t>0</w:t>
            </w:r>
          </w:p>
        </w:tc>
        <w:tc>
          <w:tcPr>
            <w:tcW w:w="699" w:type="dxa"/>
            <w:tcBorders>
              <w:top w:val="nil"/>
              <w:left w:val="nil"/>
              <w:bottom w:val="single" w:sz="4" w:space="0" w:color="auto"/>
              <w:right w:val="nil"/>
            </w:tcBorders>
            <w:shd w:val="clear" w:color="000000" w:fill="33CCCC"/>
            <w:noWrap/>
            <w:vAlign w:val="center"/>
            <w:hideMark/>
          </w:tcPr>
          <w:p w14:paraId="6A9931FC" w14:textId="77777777" w:rsidR="005E671C" w:rsidRPr="005E671C" w:rsidRDefault="005E671C" w:rsidP="005E671C">
            <w:pPr>
              <w:spacing w:after="0" w:line="240" w:lineRule="auto"/>
              <w:jc w:val="center"/>
              <w:rPr>
                <w:rFonts w:ascii="Calibri" w:eastAsia="Times New Roman" w:hAnsi="Calibri" w:cs="Calibri"/>
                <w:lang w:eastAsia="hr-HR"/>
              </w:rPr>
            </w:pPr>
            <w:r w:rsidRPr="005E671C">
              <w:rPr>
                <w:rFonts w:ascii="Calibri" w:eastAsia="Times New Roman" w:hAnsi="Calibri" w:cs="Calibri"/>
                <w:lang w:eastAsia="hr-HR"/>
              </w:rPr>
              <w:t>0</w:t>
            </w:r>
          </w:p>
        </w:tc>
        <w:tc>
          <w:tcPr>
            <w:tcW w:w="700" w:type="dxa"/>
            <w:tcBorders>
              <w:top w:val="nil"/>
              <w:left w:val="single" w:sz="4" w:space="0" w:color="auto"/>
              <w:bottom w:val="single" w:sz="4" w:space="0" w:color="auto"/>
              <w:right w:val="single" w:sz="8" w:space="0" w:color="auto"/>
            </w:tcBorders>
            <w:shd w:val="clear" w:color="000000" w:fill="33CCCC"/>
            <w:noWrap/>
            <w:vAlign w:val="center"/>
            <w:hideMark/>
          </w:tcPr>
          <w:p w14:paraId="121F8810" w14:textId="77777777" w:rsidR="005E671C" w:rsidRPr="005E671C" w:rsidRDefault="005E671C" w:rsidP="005E671C">
            <w:pPr>
              <w:spacing w:after="0" w:line="240" w:lineRule="auto"/>
              <w:jc w:val="center"/>
              <w:rPr>
                <w:rFonts w:ascii="Calibri" w:eastAsia="Times New Roman" w:hAnsi="Calibri" w:cs="Calibri"/>
                <w:lang w:eastAsia="hr-HR"/>
              </w:rPr>
            </w:pPr>
            <w:r w:rsidRPr="005E671C">
              <w:rPr>
                <w:rFonts w:ascii="Calibri" w:eastAsia="Times New Roman" w:hAnsi="Calibri" w:cs="Calibri"/>
                <w:lang w:eastAsia="hr-HR"/>
              </w:rPr>
              <w:t>0</w:t>
            </w:r>
          </w:p>
        </w:tc>
        <w:tc>
          <w:tcPr>
            <w:tcW w:w="239" w:type="dxa"/>
            <w:gridSpan w:val="2"/>
            <w:vAlign w:val="center"/>
            <w:hideMark/>
          </w:tcPr>
          <w:p w14:paraId="5EB3766C" w14:textId="77777777" w:rsidR="005E671C" w:rsidRPr="005E671C" w:rsidRDefault="005E671C" w:rsidP="005E671C">
            <w:pPr>
              <w:spacing w:after="0" w:line="240" w:lineRule="auto"/>
              <w:rPr>
                <w:rFonts w:ascii="Times New Roman" w:eastAsia="Times New Roman" w:hAnsi="Times New Roman" w:cs="Times New Roman"/>
                <w:sz w:val="20"/>
                <w:szCs w:val="20"/>
                <w:lang w:eastAsia="hr-HR"/>
              </w:rPr>
            </w:pPr>
          </w:p>
        </w:tc>
      </w:tr>
      <w:tr w:rsidR="005E671C" w:rsidRPr="005E671C" w14:paraId="16F264D5" w14:textId="77777777" w:rsidTr="001752B7">
        <w:trPr>
          <w:gridAfter w:val="1"/>
          <w:wAfter w:w="23" w:type="dxa"/>
          <w:trHeight w:val="300"/>
        </w:trPr>
        <w:tc>
          <w:tcPr>
            <w:tcW w:w="1408" w:type="dxa"/>
            <w:tcBorders>
              <w:top w:val="single" w:sz="4" w:space="0" w:color="auto"/>
              <w:left w:val="single" w:sz="8" w:space="0" w:color="auto"/>
              <w:bottom w:val="single" w:sz="4" w:space="0" w:color="auto"/>
              <w:right w:val="single" w:sz="4" w:space="0" w:color="auto"/>
            </w:tcBorders>
            <w:shd w:val="clear" w:color="000000" w:fill="CCFFCC"/>
            <w:vAlign w:val="center"/>
            <w:hideMark/>
          </w:tcPr>
          <w:p w14:paraId="298CB7D5" w14:textId="77777777" w:rsidR="005E671C" w:rsidRPr="005E671C" w:rsidRDefault="005E671C" w:rsidP="005E671C">
            <w:pPr>
              <w:spacing w:after="0" w:line="240" w:lineRule="auto"/>
              <w:jc w:val="center"/>
              <w:rPr>
                <w:rFonts w:ascii="Calibri" w:eastAsia="Times New Roman" w:hAnsi="Calibri" w:cs="Calibri"/>
                <w:lang w:eastAsia="hr-HR"/>
              </w:rPr>
            </w:pPr>
            <w:r w:rsidRPr="005E671C">
              <w:rPr>
                <w:rFonts w:ascii="Calibri" w:eastAsia="Times New Roman" w:hAnsi="Calibri" w:cs="Calibri"/>
                <w:lang w:eastAsia="hr-HR"/>
              </w:rPr>
              <w:t>Društveni položaj</w:t>
            </w:r>
          </w:p>
        </w:tc>
        <w:tc>
          <w:tcPr>
            <w:tcW w:w="595" w:type="dxa"/>
            <w:tcBorders>
              <w:top w:val="nil"/>
              <w:left w:val="nil"/>
              <w:bottom w:val="single" w:sz="4" w:space="0" w:color="auto"/>
              <w:right w:val="single" w:sz="4" w:space="0" w:color="auto"/>
            </w:tcBorders>
            <w:shd w:val="clear" w:color="000000" w:fill="CCFFCC"/>
            <w:vAlign w:val="center"/>
            <w:hideMark/>
          </w:tcPr>
          <w:p w14:paraId="167524A6" w14:textId="77777777" w:rsidR="005E671C" w:rsidRPr="005E671C" w:rsidRDefault="005E671C" w:rsidP="005E671C">
            <w:pPr>
              <w:spacing w:after="0" w:line="240" w:lineRule="auto"/>
              <w:jc w:val="center"/>
              <w:rPr>
                <w:rFonts w:ascii="Calibri" w:eastAsia="Times New Roman" w:hAnsi="Calibri" w:cs="Calibri"/>
                <w:lang w:eastAsia="hr-HR"/>
              </w:rPr>
            </w:pPr>
            <w:r w:rsidRPr="005E671C">
              <w:rPr>
                <w:rFonts w:ascii="Calibri" w:eastAsia="Times New Roman" w:hAnsi="Calibri" w:cs="Calibri"/>
                <w:lang w:eastAsia="hr-HR"/>
              </w:rPr>
              <w:t>2</w:t>
            </w:r>
          </w:p>
        </w:tc>
        <w:tc>
          <w:tcPr>
            <w:tcW w:w="549" w:type="dxa"/>
            <w:tcBorders>
              <w:top w:val="nil"/>
              <w:left w:val="nil"/>
              <w:bottom w:val="single" w:sz="4" w:space="0" w:color="auto"/>
              <w:right w:val="single" w:sz="4" w:space="0" w:color="auto"/>
            </w:tcBorders>
            <w:shd w:val="clear" w:color="000000" w:fill="FFCC99"/>
            <w:noWrap/>
            <w:vAlign w:val="center"/>
            <w:hideMark/>
          </w:tcPr>
          <w:p w14:paraId="270BA59C" w14:textId="77777777" w:rsidR="005E671C" w:rsidRPr="005E671C" w:rsidRDefault="005E671C" w:rsidP="005E671C">
            <w:pPr>
              <w:spacing w:after="0" w:line="240" w:lineRule="auto"/>
              <w:jc w:val="center"/>
              <w:rPr>
                <w:rFonts w:ascii="Calibri" w:eastAsia="Times New Roman" w:hAnsi="Calibri" w:cs="Calibri"/>
                <w:lang w:eastAsia="hr-HR"/>
              </w:rPr>
            </w:pPr>
            <w:r w:rsidRPr="005E671C">
              <w:rPr>
                <w:rFonts w:ascii="Calibri" w:eastAsia="Times New Roman" w:hAnsi="Calibri" w:cs="Calibri"/>
                <w:lang w:eastAsia="hr-HR"/>
              </w:rPr>
              <w:t>11</w:t>
            </w:r>
          </w:p>
        </w:tc>
        <w:tc>
          <w:tcPr>
            <w:tcW w:w="441" w:type="dxa"/>
            <w:tcBorders>
              <w:top w:val="nil"/>
              <w:left w:val="nil"/>
              <w:bottom w:val="single" w:sz="4" w:space="0" w:color="auto"/>
              <w:right w:val="single" w:sz="4" w:space="0" w:color="auto"/>
            </w:tcBorders>
            <w:shd w:val="clear" w:color="000000" w:fill="CCFFFF"/>
            <w:noWrap/>
            <w:vAlign w:val="center"/>
            <w:hideMark/>
          </w:tcPr>
          <w:p w14:paraId="04DD1915" w14:textId="77777777" w:rsidR="005E671C" w:rsidRPr="005E671C" w:rsidRDefault="005E671C" w:rsidP="005E671C">
            <w:pPr>
              <w:spacing w:after="0" w:line="240" w:lineRule="auto"/>
              <w:jc w:val="center"/>
              <w:rPr>
                <w:rFonts w:ascii="Calibri" w:eastAsia="Times New Roman" w:hAnsi="Calibri" w:cs="Calibri"/>
                <w:lang w:eastAsia="hr-HR"/>
              </w:rPr>
            </w:pPr>
            <w:r w:rsidRPr="005E671C">
              <w:rPr>
                <w:rFonts w:ascii="Calibri" w:eastAsia="Times New Roman" w:hAnsi="Calibri" w:cs="Calibri"/>
                <w:lang w:eastAsia="hr-HR"/>
              </w:rPr>
              <w:t>3</w:t>
            </w:r>
          </w:p>
        </w:tc>
        <w:tc>
          <w:tcPr>
            <w:tcW w:w="432" w:type="dxa"/>
            <w:tcBorders>
              <w:top w:val="nil"/>
              <w:left w:val="nil"/>
              <w:bottom w:val="single" w:sz="4" w:space="0" w:color="auto"/>
              <w:right w:val="single" w:sz="4" w:space="0" w:color="auto"/>
            </w:tcBorders>
            <w:shd w:val="clear" w:color="000000" w:fill="CCFFFF"/>
            <w:noWrap/>
            <w:vAlign w:val="center"/>
            <w:hideMark/>
          </w:tcPr>
          <w:p w14:paraId="3117F214" w14:textId="77777777" w:rsidR="005E671C" w:rsidRPr="005E671C" w:rsidRDefault="005E671C" w:rsidP="005E671C">
            <w:pPr>
              <w:spacing w:after="0" w:line="240" w:lineRule="auto"/>
              <w:jc w:val="center"/>
              <w:rPr>
                <w:rFonts w:ascii="Calibri" w:eastAsia="Times New Roman" w:hAnsi="Calibri" w:cs="Calibri"/>
                <w:lang w:eastAsia="hr-HR"/>
              </w:rPr>
            </w:pPr>
            <w:r w:rsidRPr="005E671C">
              <w:rPr>
                <w:rFonts w:ascii="Calibri" w:eastAsia="Times New Roman" w:hAnsi="Calibri" w:cs="Calibri"/>
                <w:lang w:eastAsia="hr-HR"/>
              </w:rPr>
              <w:t>13</w:t>
            </w:r>
          </w:p>
        </w:tc>
        <w:tc>
          <w:tcPr>
            <w:tcW w:w="421" w:type="dxa"/>
            <w:gridSpan w:val="2"/>
            <w:tcBorders>
              <w:top w:val="nil"/>
              <w:left w:val="nil"/>
              <w:bottom w:val="single" w:sz="4" w:space="0" w:color="auto"/>
              <w:right w:val="single" w:sz="4" w:space="0" w:color="auto"/>
            </w:tcBorders>
            <w:shd w:val="clear" w:color="000000" w:fill="FFFF99"/>
            <w:noWrap/>
            <w:vAlign w:val="center"/>
            <w:hideMark/>
          </w:tcPr>
          <w:p w14:paraId="7EAEAC9F" w14:textId="77777777" w:rsidR="005E671C" w:rsidRPr="005E671C" w:rsidRDefault="005E671C" w:rsidP="005E671C">
            <w:pPr>
              <w:spacing w:after="0" w:line="240" w:lineRule="auto"/>
              <w:jc w:val="center"/>
              <w:rPr>
                <w:rFonts w:ascii="Calibri" w:eastAsia="Times New Roman" w:hAnsi="Calibri" w:cs="Calibri"/>
                <w:lang w:eastAsia="hr-HR"/>
              </w:rPr>
            </w:pPr>
            <w:r w:rsidRPr="005E671C">
              <w:rPr>
                <w:rFonts w:ascii="Calibri" w:eastAsia="Times New Roman" w:hAnsi="Calibri" w:cs="Calibri"/>
                <w:lang w:eastAsia="hr-HR"/>
              </w:rPr>
              <w:t>10</w:t>
            </w:r>
          </w:p>
        </w:tc>
        <w:tc>
          <w:tcPr>
            <w:tcW w:w="431" w:type="dxa"/>
            <w:tcBorders>
              <w:top w:val="nil"/>
              <w:left w:val="nil"/>
              <w:bottom w:val="single" w:sz="4" w:space="0" w:color="auto"/>
              <w:right w:val="single" w:sz="4" w:space="0" w:color="auto"/>
            </w:tcBorders>
            <w:shd w:val="clear" w:color="000000" w:fill="FFFF99"/>
            <w:noWrap/>
            <w:vAlign w:val="center"/>
            <w:hideMark/>
          </w:tcPr>
          <w:p w14:paraId="0E215B48" w14:textId="77777777" w:rsidR="005E671C" w:rsidRPr="005E671C" w:rsidRDefault="005E671C" w:rsidP="005E671C">
            <w:pPr>
              <w:spacing w:after="0" w:line="240" w:lineRule="auto"/>
              <w:jc w:val="center"/>
              <w:rPr>
                <w:rFonts w:ascii="Calibri" w:eastAsia="Times New Roman" w:hAnsi="Calibri" w:cs="Calibri"/>
                <w:lang w:eastAsia="hr-HR"/>
              </w:rPr>
            </w:pPr>
            <w:r w:rsidRPr="005E671C">
              <w:rPr>
                <w:rFonts w:ascii="Calibri" w:eastAsia="Times New Roman" w:hAnsi="Calibri" w:cs="Calibri"/>
                <w:lang w:eastAsia="hr-HR"/>
              </w:rPr>
              <w:t>0</w:t>
            </w:r>
          </w:p>
        </w:tc>
        <w:tc>
          <w:tcPr>
            <w:tcW w:w="420" w:type="dxa"/>
            <w:tcBorders>
              <w:top w:val="nil"/>
              <w:left w:val="nil"/>
              <w:bottom w:val="single" w:sz="4" w:space="0" w:color="auto"/>
              <w:right w:val="single" w:sz="4" w:space="0" w:color="auto"/>
            </w:tcBorders>
            <w:shd w:val="clear" w:color="000000" w:fill="FFFF99"/>
            <w:noWrap/>
            <w:vAlign w:val="center"/>
            <w:hideMark/>
          </w:tcPr>
          <w:p w14:paraId="30B79506" w14:textId="77777777" w:rsidR="005E671C" w:rsidRPr="005E671C" w:rsidRDefault="005E671C" w:rsidP="005E671C">
            <w:pPr>
              <w:spacing w:after="0" w:line="240" w:lineRule="auto"/>
              <w:jc w:val="center"/>
              <w:rPr>
                <w:rFonts w:ascii="Calibri" w:eastAsia="Times New Roman" w:hAnsi="Calibri" w:cs="Calibri"/>
                <w:lang w:eastAsia="hr-HR"/>
              </w:rPr>
            </w:pPr>
            <w:r w:rsidRPr="005E671C">
              <w:rPr>
                <w:rFonts w:ascii="Calibri" w:eastAsia="Times New Roman" w:hAnsi="Calibri" w:cs="Calibri"/>
                <w:lang w:eastAsia="hr-HR"/>
              </w:rPr>
              <w:t>0</w:t>
            </w:r>
          </w:p>
        </w:tc>
        <w:tc>
          <w:tcPr>
            <w:tcW w:w="429" w:type="dxa"/>
            <w:tcBorders>
              <w:top w:val="nil"/>
              <w:left w:val="nil"/>
              <w:bottom w:val="single" w:sz="4" w:space="0" w:color="auto"/>
              <w:right w:val="single" w:sz="4" w:space="0" w:color="auto"/>
            </w:tcBorders>
            <w:shd w:val="clear" w:color="000000" w:fill="FFFF99"/>
            <w:noWrap/>
            <w:vAlign w:val="center"/>
            <w:hideMark/>
          </w:tcPr>
          <w:p w14:paraId="0DDCE60B" w14:textId="77777777" w:rsidR="005E671C" w:rsidRPr="005E671C" w:rsidRDefault="005E671C" w:rsidP="005E671C">
            <w:pPr>
              <w:spacing w:after="0" w:line="240" w:lineRule="auto"/>
              <w:jc w:val="center"/>
              <w:rPr>
                <w:rFonts w:ascii="Calibri" w:eastAsia="Times New Roman" w:hAnsi="Calibri" w:cs="Calibri"/>
                <w:lang w:eastAsia="hr-HR"/>
              </w:rPr>
            </w:pPr>
            <w:r w:rsidRPr="005E671C">
              <w:rPr>
                <w:rFonts w:ascii="Calibri" w:eastAsia="Times New Roman" w:hAnsi="Calibri" w:cs="Calibri"/>
                <w:lang w:eastAsia="hr-HR"/>
              </w:rPr>
              <w:t>0</w:t>
            </w:r>
          </w:p>
        </w:tc>
        <w:tc>
          <w:tcPr>
            <w:tcW w:w="581" w:type="dxa"/>
            <w:tcBorders>
              <w:top w:val="nil"/>
              <w:left w:val="nil"/>
              <w:bottom w:val="single" w:sz="4" w:space="0" w:color="auto"/>
              <w:right w:val="single" w:sz="4" w:space="0" w:color="auto"/>
            </w:tcBorders>
            <w:shd w:val="clear" w:color="000000" w:fill="FFFF99"/>
            <w:noWrap/>
            <w:vAlign w:val="center"/>
            <w:hideMark/>
          </w:tcPr>
          <w:p w14:paraId="6E71E5D2" w14:textId="77777777" w:rsidR="005E671C" w:rsidRPr="005E671C" w:rsidRDefault="005E671C" w:rsidP="005E671C">
            <w:pPr>
              <w:spacing w:after="0" w:line="240" w:lineRule="auto"/>
              <w:jc w:val="center"/>
              <w:rPr>
                <w:rFonts w:ascii="Calibri" w:eastAsia="Times New Roman" w:hAnsi="Calibri" w:cs="Calibri"/>
                <w:lang w:eastAsia="hr-HR"/>
              </w:rPr>
            </w:pPr>
            <w:r w:rsidRPr="005E671C">
              <w:rPr>
                <w:rFonts w:ascii="Calibri" w:eastAsia="Times New Roman" w:hAnsi="Calibri" w:cs="Calibri"/>
                <w:lang w:eastAsia="hr-HR"/>
              </w:rPr>
              <w:t>1</w:t>
            </w:r>
          </w:p>
        </w:tc>
        <w:tc>
          <w:tcPr>
            <w:tcW w:w="556" w:type="dxa"/>
            <w:gridSpan w:val="2"/>
            <w:tcBorders>
              <w:top w:val="nil"/>
              <w:left w:val="nil"/>
              <w:bottom w:val="single" w:sz="4" w:space="0" w:color="auto"/>
              <w:right w:val="single" w:sz="4" w:space="0" w:color="auto"/>
            </w:tcBorders>
            <w:shd w:val="clear" w:color="000000" w:fill="FF9900"/>
            <w:noWrap/>
            <w:vAlign w:val="center"/>
            <w:hideMark/>
          </w:tcPr>
          <w:p w14:paraId="228AA17A" w14:textId="77777777" w:rsidR="005E671C" w:rsidRPr="005E671C" w:rsidRDefault="005E671C" w:rsidP="005E671C">
            <w:pPr>
              <w:spacing w:after="0" w:line="240" w:lineRule="auto"/>
              <w:jc w:val="center"/>
              <w:rPr>
                <w:rFonts w:ascii="Calibri" w:eastAsia="Times New Roman" w:hAnsi="Calibri" w:cs="Calibri"/>
                <w:lang w:eastAsia="hr-HR"/>
              </w:rPr>
            </w:pPr>
            <w:r w:rsidRPr="005E671C">
              <w:rPr>
                <w:rFonts w:ascii="Calibri" w:eastAsia="Times New Roman" w:hAnsi="Calibri" w:cs="Calibri"/>
                <w:lang w:eastAsia="hr-HR"/>
              </w:rPr>
              <w:t>0</w:t>
            </w:r>
          </w:p>
        </w:tc>
        <w:tc>
          <w:tcPr>
            <w:tcW w:w="574" w:type="dxa"/>
            <w:tcBorders>
              <w:top w:val="nil"/>
              <w:left w:val="nil"/>
              <w:bottom w:val="single" w:sz="4" w:space="0" w:color="auto"/>
              <w:right w:val="single" w:sz="4" w:space="0" w:color="auto"/>
            </w:tcBorders>
            <w:shd w:val="clear" w:color="000000" w:fill="FF9900"/>
            <w:noWrap/>
            <w:vAlign w:val="center"/>
            <w:hideMark/>
          </w:tcPr>
          <w:p w14:paraId="3B618649" w14:textId="77777777" w:rsidR="005E671C" w:rsidRPr="005E671C" w:rsidRDefault="005E671C" w:rsidP="005E671C">
            <w:pPr>
              <w:spacing w:after="0" w:line="240" w:lineRule="auto"/>
              <w:jc w:val="center"/>
              <w:rPr>
                <w:rFonts w:ascii="Calibri" w:eastAsia="Times New Roman" w:hAnsi="Calibri" w:cs="Calibri"/>
                <w:lang w:eastAsia="hr-HR"/>
              </w:rPr>
            </w:pPr>
            <w:r w:rsidRPr="005E671C">
              <w:rPr>
                <w:rFonts w:ascii="Calibri" w:eastAsia="Times New Roman" w:hAnsi="Calibri" w:cs="Calibri"/>
                <w:lang w:eastAsia="hr-HR"/>
              </w:rPr>
              <w:t>2</w:t>
            </w:r>
          </w:p>
        </w:tc>
        <w:tc>
          <w:tcPr>
            <w:tcW w:w="434" w:type="dxa"/>
            <w:tcBorders>
              <w:top w:val="nil"/>
              <w:left w:val="nil"/>
              <w:bottom w:val="single" w:sz="4" w:space="0" w:color="auto"/>
              <w:right w:val="single" w:sz="4" w:space="0" w:color="auto"/>
            </w:tcBorders>
            <w:shd w:val="clear" w:color="000000" w:fill="FF9900"/>
            <w:noWrap/>
            <w:vAlign w:val="center"/>
            <w:hideMark/>
          </w:tcPr>
          <w:p w14:paraId="27696481" w14:textId="77777777" w:rsidR="005E671C" w:rsidRPr="005E671C" w:rsidRDefault="005E671C" w:rsidP="005E671C">
            <w:pPr>
              <w:spacing w:after="0" w:line="240" w:lineRule="auto"/>
              <w:jc w:val="center"/>
              <w:rPr>
                <w:rFonts w:ascii="Calibri" w:eastAsia="Times New Roman" w:hAnsi="Calibri" w:cs="Calibri"/>
                <w:lang w:eastAsia="hr-HR"/>
              </w:rPr>
            </w:pPr>
            <w:r w:rsidRPr="005E671C">
              <w:rPr>
                <w:rFonts w:ascii="Calibri" w:eastAsia="Times New Roman" w:hAnsi="Calibri" w:cs="Calibri"/>
                <w:lang w:eastAsia="hr-HR"/>
              </w:rPr>
              <w:t>0</w:t>
            </w:r>
          </w:p>
        </w:tc>
        <w:tc>
          <w:tcPr>
            <w:tcW w:w="443" w:type="dxa"/>
            <w:gridSpan w:val="2"/>
            <w:tcBorders>
              <w:top w:val="nil"/>
              <w:left w:val="nil"/>
              <w:bottom w:val="single" w:sz="4" w:space="0" w:color="auto"/>
              <w:right w:val="single" w:sz="4" w:space="0" w:color="auto"/>
            </w:tcBorders>
            <w:shd w:val="clear" w:color="000000" w:fill="66FFCC"/>
            <w:noWrap/>
            <w:vAlign w:val="center"/>
            <w:hideMark/>
          </w:tcPr>
          <w:p w14:paraId="1141755E" w14:textId="77777777" w:rsidR="005E671C" w:rsidRPr="005E671C" w:rsidRDefault="005E671C" w:rsidP="005E671C">
            <w:pPr>
              <w:spacing w:after="0" w:line="240" w:lineRule="auto"/>
              <w:jc w:val="center"/>
              <w:rPr>
                <w:rFonts w:ascii="Calibri" w:eastAsia="Times New Roman" w:hAnsi="Calibri" w:cs="Calibri"/>
                <w:lang w:eastAsia="hr-HR"/>
              </w:rPr>
            </w:pPr>
            <w:r w:rsidRPr="005E671C">
              <w:rPr>
                <w:rFonts w:ascii="Calibri" w:eastAsia="Times New Roman" w:hAnsi="Calibri" w:cs="Calibri"/>
                <w:lang w:eastAsia="hr-HR"/>
              </w:rPr>
              <w:t>0</w:t>
            </w:r>
          </w:p>
        </w:tc>
        <w:tc>
          <w:tcPr>
            <w:tcW w:w="698" w:type="dxa"/>
            <w:tcBorders>
              <w:top w:val="nil"/>
              <w:left w:val="nil"/>
              <w:bottom w:val="single" w:sz="4" w:space="0" w:color="auto"/>
              <w:right w:val="single" w:sz="4" w:space="0" w:color="auto"/>
            </w:tcBorders>
            <w:shd w:val="clear" w:color="000000" w:fill="66FFCC"/>
            <w:noWrap/>
            <w:vAlign w:val="center"/>
            <w:hideMark/>
          </w:tcPr>
          <w:p w14:paraId="17405C16" w14:textId="77777777" w:rsidR="005E671C" w:rsidRPr="005E671C" w:rsidRDefault="005E671C" w:rsidP="005E671C">
            <w:pPr>
              <w:spacing w:after="0" w:line="240" w:lineRule="auto"/>
              <w:jc w:val="center"/>
              <w:rPr>
                <w:rFonts w:ascii="Calibri" w:eastAsia="Times New Roman" w:hAnsi="Calibri" w:cs="Calibri"/>
                <w:lang w:eastAsia="hr-HR"/>
              </w:rPr>
            </w:pPr>
            <w:r w:rsidRPr="005E671C">
              <w:rPr>
                <w:rFonts w:ascii="Calibri" w:eastAsia="Times New Roman" w:hAnsi="Calibri" w:cs="Calibri"/>
                <w:lang w:eastAsia="hr-HR"/>
              </w:rPr>
              <w:t>0</w:t>
            </w:r>
          </w:p>
        </w:tc>
        <w:tc>
          <w:tcPr>
            <w:tcW w:w="574" w:type="dxa"/>
            <w:tcBorders>
              <w:top w:val="nil"/>
              <w:left w:val="nil"/>
              <w:bottom w:val="single" w:sz="4" w:space="0" w:color="auto"/>
              <w:right w:val="single" w:sz="4" w:space="0" w:color="auto"/>
            </w:tcBorders>
            <w:shd w:val="clear" w:color="000000" w:fill="66FFCC"/>
            <w:noWrap/>
            <w:vAlign w:val="center"/>
            <w:hideMark/>
          </w:tcPr>
          <w:p w14:paraId="1B196FAB" w14:textId="77777777" w:rsidR="005E671C" w:rsidRPr="005E671C" w:rsidRDefault="005E671C" w:rsidP="005E671C">
            <w:pPr>
              <w:spacing w:after="0" w:line="240" w:lineRule="auto"/>
              <w:jc w:val="center"/>
              <w:rPr>
                <w:rFonts w:ascii="Calibri" w:eastAsia="Times New Roman" w:hAnsi="Calibri" w:cs="Calibri"/>
                <w:lang w:eastAsia="hr-HR"/>
              </w:rPr>
            </w:pPr>
            <w:r w:rsidRPr="005E671C">
              <w:rPr>
                <w:rFonts w:ascii="Calibri" w:eastAsia="Times New Roman" w:hAnsi="Calibri" w:cs="Calibri"/>
                <w:lang w:eastAsia="hr-HR"/>
              </w:rPr>
              <w:t>0</w:t>
            </w:r>
          </w:p>
        </w:tc>
        <w:tc>
          <w:tcPr>
            <w:tcW w:w="560" w:type="dxa"/>
            <w:tcBorders>
              <w:top w:val="nil"/>
              <w:left w:val="nil"/>
              <w:bottom w:val="single" w:sz="4" w:space="0" w:color="auto"/>
              <w:right w:val="single" w:sz="4" w:space="0" w:color="auto"/>
            </w:tcBorders>
            <w:shd w:val="clear" w:color="000000" w:fill="66FFCC"/>
            <w:noWrap/>
            <w:vAlign w:val="center"/>
            <w:hideMark/>
          </w:tcPr>
          <w:p w14:paraId="39DDA506" w14:textId="77777777" w:rsidR="005E671C" w:rsidRPr="005E671C" w:rsidRDefault="005E671C" w:rsidP="005E671C">
            <w:pPr>
              <w:spacing w:after="0" w:line="240" w:lineRule="auto"/>
              <w:jc w:val="center"/>
              <w:rPr>
                <w:rFonts w:ascii="Calibri" w:eastAsia="Times New Roman" w:hAnsi="Calibri" w:cs="Calibri"/>
                <w:lang w:eastAsia="hr-HR"/>
              </w:rPr>
            </w:pPr>
            <w:r w:rsidRPr="005E671C">
              <w:rPr>
                <w:rFonts w:ascii="Calibri" w:eastAsia="Times New Roman" w:hAnsi="Calibri" w:cs="Calibri"/>
                <w:lang w:eastAsia="hr-HR"/>
              </w:rPr>
              <w:t>0</w:t>
            </w:r>
          </w:p>
        </w:tc>
        <w:tc>
          <w:tcPr>
            <w:tcW w:w="430" w:type="dxa"/>
            <w:gridSpan w:val="2"/>
            <w:tcBorders>
              <w:top w:val="nil"/>
              <w:left w:val="nil"/>
              <w:bottom w:val="single" w:sz="4" w:space="0" w:color="auto"/>
              <w:right w:val="single" w:sz="4" w:space="0" w:color="auto"/>
            </w:tcBorders>
            <w:shd w:val="clear" w:color="000000" w:fill="FFFF00"/>
            <w:vAlign w:val="center"/>
            <w:hideMark/>
          </w:tcPr>
          <w:p w14:paraId="0710AFF9" w14:textId="77777777" w:rsidR="005E671C" w:rsidRPr="005E671C" w:rsidRDefault="005E671C" w:rsidP="005E671C">
            <w:pPr>
              <w:spacing w:after="0" w:line="240" w:lineRule="auto"/>
              <w:jc w:val="center"/>
              <w:rPr>
                <w:rFonts w:ascii="Calibri" w:eastAsia="Times New Roman" w:hAnsi="Calibri" w:cs="Calibri"/>
                <w:lang w:eastAsia="hr-HR"/>
              </w:rPr>
            </w:pPr>
            <w:r w:rsidRPr="005E671C">
              <w:rPr>
                <w:rFonts w:ascii="Calibri" w:eastAsia="Times New Roman" w:hAnsi="Calibri" w:cs="Calibri"/>
                <w:lang w:eastAsia="hr-HR"/>
              </w:rPr>
              <w:t>2</w:t>
            </w:r>
          </w:p>
        </w:tc>
        <w:tc>
          <w:tcPr>
            <w:tcW w:w="425" w:type="dxa"/>
            <w:gridSpan w:val="2"/>
            <w:tcBorders>
              <w:top w:val="nil"/>
              <w:left w:val="nil"/>
              <w:bottom w:val="single" w:sz="4" w:space="0" w:color="auto"/>
              <w:right w:val="single" w:sz="4" w:space="0" w:color="auto"/>
            </w:tcBorders>
            <w:shd w:val="clear" w:color="000000" w:fill="FFFF99"/>
            <w:vAlign w:val="center"/>
            <w:hideMark/>
          </w:tcPr>
          <w:p w14:paraId="263BA04D" w14:textId="77777777" w:rsidR="005E671C" w:rsidRPr="005E671C" w:rsidRDefault="005E671C" w:rsidP="005E671C">
            <w:pPr>
              <w:spacing w:after="0" w:line="240" w:lineRule="auto"/>
              <w:jc w:val="center"/>
              <w:rPr>
                <w:rFonts w:ascii="Calibri" w:eastAsia="Times New Roman" w:hAnsi="Calibri" w:cs="Calibri"/>
                <w:lang w:eastAsia="hr-HR"/>
              </w:rPr>
            </w:pPr>
            <w:r w:rsidRPr="005E671C">
              <w:rPr>
                <w:rFonts w:ascii="Calibri" w:eastAsia="Times New Roman" w:hAnsi="Calibri" w:cs="Calibri"/>
                <w:lang w:eastAsia="hr-HR"/>
              </w:rPr>
              <w:t>11</w:t>
            </w:r>
          </w:p>
        </w:tc>
        <w:tc>
          <w:tcPr>
            <w:tcW w:w="540" w:type="dxa"/>
            <w:gridSpan w:val="2"/>
            <w:tcBorders>
              <w:top w:val="nil"/>
              <w:left w:val="nil"/>
              <w:bottom w:val="single" w:sz="4" w:space="0" w:color="auto"/>
              <w:right w:val="single" w:sz="4" w:space="0" w:color="auto"/>
            </w:tcBorders>
            <w:shd w:val="clear" w:color="000000" w:fill="FF9900"/>
            <w:vAlign w:val="center"/>
            <w:hideMark/>
          </w:tcPr>
          <w:p w14:paraId="58817054" w14:textId="77777777" w:rsidR="005E671C" w:rsidRPr="005E671C" w:rsidRDefault="005E671C" w:rsidP="005E671C">
            <w:pPr>
              <w:spacing w:after="0" w:line="240" w:lineRule="auto"/>
              <w:jc w:val="center"/>
              <w:rPr>
                <w:rFonts w:ascii="Calibri" w:eastAsia="Times New Roman" w:hAnsi="Calibri" w:cs="Calibri"/>
                <w:lang w:eastAsia="hr-HR"/>
              </w:rPr>
            </w:pPr>
            <w:r w:rsidRPr="005E671C">
              <w:rPr>
                <w:rFonts w:ascii="Calibri" w:eastAsia="Times New Roman" w:hAnsi="Calibri" w:cs="Calibri"/>
                <w:lang w:eastAsia="hr-HR"/>
              </w:rPr>
              <w:t>0</w:t>
            </w:r>
          </w:p>
        </w:tc>
        <w:tc>
          <w:tcPr>
            <w:tcW w:w="435" w:type="dxa"/>
            <w:tcBorders>
              <w:top w:val="nil"/>
              <w:left w:val="nil"/>
              <w:bottom w:val="single" w:sz="4" w:space="0" w:color="auto"/>
              <w:right w:val="single" w:sz="4" w:space="0" w:color="auto"/>
            </w:tcBorders>
            <w:shd w:val="clear" w:color="000000" w:fill="CCFFFF"/>
            <w:vAlign w:val="center"/>
            <w:hideMark/>
          </w:tcPr>
          <w:p w14:paraId="78BF35DB" w14:textId="77777777" w:rsidR="005E671C" w:rsidRPr="005E671C" w:rsidRDefault="005E671C" w:rsidP="005E671C">
            <w:pPr>
              <w:spacing w:after="0" w:line="240" w:lineRule="auto"/>
              <w:jc w:val="center"/>
              <w:rPr>
                <w:rFonts w:ascii="Calibri" w:eastAsia="Times New Roman" w:hAnsi="Calibri" w:cs="Calibri"/>
                <w:lang w:eastAsia="hr-HR"/>
              </w:rPr>
            </w:pPr>
            <w:r w:rsidRPr="005E671C">
              <w:rPr>
                <w:rFonts w:ascii="Calibri" w:eastAsia="Times New Roman" w:hAnsi="Calibri" w:cs="Calibri"/>
                <w:lang w:eastAsia="hr-HR"/>
              </w:rPr>
              <w:t>0</w:t>
            </w:r>
          </w:p>
        </w:tc>
        <w:tc>
          <w:tcPr>
            <w:tcW w:w="655" w:type="dxa"/>
            <w:tcBorders>
              <w:top w:val="nil"/>
              <w:left w:val="nil"/>
              <w:bottom w:val="single" w:sz="4" w:space="0" w:color="auto"/>
              <w:right w:val="single" w:sz="4" w:space="0" w:color="auto"/>
            </w:tcBorders>
            <w:shd w:val="clear" w:color="000000" w:fill="CCFFFF"/>
            <w:vAlign w:val="center"/>
            <w:hideMark/>
          </w:tcPr>
          <w:p w14:paraId="5A820F9D" w14:textId="77777777" w:rsidR="005E671C" w:rsidRPr="005E671C" w:rsidRDefault="005E671C" w:rsidP="005E671C">
            <w:pPr>
              <w:spacing w:after="0" w:line="240" w:lineRule="auto"/>
              <w:jc w:val="center"/>
              <w:rPr>
                <w:rFonts w:ascii="Calibri" w:eastAsia="Times New Roman" w:hAnsi="Calibri" w:cs="Calibri"/>
                <w:lang w:eastAsia="hr-HR"/>
              </w:rPr>
            </w:pPr>
            <w:r w:rsidRPr="005E671C">
              <w:rPr>
                <w:rFonts w:ascii="Calibri" w:eastAsia="Times New Roman" w:hAnsi="Calibri" w:cs="Calibri"/>
                <w:lang w:eastAsia="hr-HR"/>
              </w:rPr>
              <w:t>0</w:t>
            </w:r>
          </w:p>
        </w:tc>
        <w:tc>
          <w:tcPr>
            <w:tcW w:w="645" w:type="dxa"/>
            <w:tcBorders>
              <w:top w:val="nil"/>
              <w:left w:val="nil"/>
              <w:bottom w:val="single" w:sz="4" w:space="0" w:color="auto"/>
              <w:right w:val="single" w:sz="4" w:space="0" w:color="auto"/>
            </w:tcBorders>
            <w:shd w:val="clear" w:color="000000" w:fill="CCFFFF"/>
            <w:vAlign w:val="center"/>
            <w:hideMark/>
          </w:tcPr>
          <w:p w14:paraId="4A9DDA05" w14:textId="77777777" w:rsidR="005E671C" w:rsidRPr="005E671C" w:rsidRDefault="005E671C" w:rsidP="005E671C">
            <w:pPr>
              <w:spacing w:after="0" w:line="240" w:lineRule="auto"/>
              <w:jc w:val="center"/>
              <w:rPr>
                <w:rFonts w:ascii="Calibri" w:eastAsia="Times New Roman" w:hAnsi="Calibri" w:cs="Calibri"/>
                <w:lang w:eastAsia="hr-HR"/>
              </w:rPr>
            </w:pPr>
            <w:r w:rsidRPr="005E671C">
              <w:rPr>
                <w:rFonts w:ascii="Calibri" w:eastAsia="Times New Roman" w:hAnsi="Calibri" w:cs="Calibri"/>
                <w:lang w:eastAsia="hr-HR"/>
              </w:rPr>
              <w:t>0</w:t>
            </w:r>
          </w:p>
        </w:tc>
        <w:tc>
          <w:tcPr>
            <w:tcW w:w="699" w:type="dxa"/>
            <w:tcBorders>
              <w:top w:val="nil"/>
              <w:left w:val="nil"/>
              <w:bottom w:val="single" w:sz="4" w:space="0" w:color="auto"/>
              <w:right w:val="nil"/>
            </w:tcBorders>
            <w:shd w:val="clear" w:color="000000" w:fill="33CCCC"/>
            <w:noWrap/>
            <w:vAlign w:val="center"/>
            <w:hideMark/>
          </w:tcPr>
          <w:p w14:paraId="24C1BF72" w14:textId="77777777" w:rsidR="005E671C" w:rsidRPr="005E671C" w:rsidRDefault="005E671C" w:rsidP="005E671C">
            <w:pPr>
              <w:spacing w:after="0" w:line="240" w:lineRule="auto"/>
              <w:jc w:val="center"/>
              <w:rPr>
                <w:rFonts w:ascii="Calibri" w:eastAsia="Times New Roman" w:hAnsi="Calibri" w:cs="Calibri"/>
                <w:lang w:eastAsia="hr-HR"/>
              </w:rPr>
            </w:pPr>
            <w:r w:rsidRPr="005E671C">
              <w:rPr>
                <w:rFonts w:ascii="Calibri" w:eastAsia="Times New Roman" w:hAnsi="Calibri" w:cs="Calibri"/>
                <w:lang w:eastAsia="hr-HR"/>
              </w:rPr>
              <w:t>0</w:t>
            </w:r>
          </w:p>
        </w:tc>
        <w:tc>
          <w:tcPr>
            <w:tcW w:w="700" w:type="dxa"/>
            <w:tcBorders>
              <w:top w:val="nil"/>
              <w:left w:val="single" w:sz="4" w:space="0" w:color="auto"/>
              <w:bottom w:val="single" w:sz="4" w:space="0" w:color="auto"/>
              <w:right w:val="single" w:sz="8" w:space="0" w:color="auto"/>
            </w:tcBorders>
            <w:shd w:val="clear" w:color="000000" w:fill="33CCCC"/>
            <w:noWrap/>
            <w:vAlign w:val="center"/>
            <w:hideMark/>
          </w:tcPr>
          <w:p w14:paraId="37DA32C9" w14:textId="77777777" w:rsidR="005E671C" w:rsidRPr="005E671C" w:rsidRDefault="005E671C" w:rsidP="005E671C">
            <w:pPr>
              <w:spacing w:after="0" w:line="240" w:lineRule="auto"/>
              <w:jc w:val="center"/>
              <w:rPr>
                <w:rFonts w:ascii="Calibri" w:eastAsia="Times New Roman" w:hAnsi="Calibri" w:cs="Calibri"/>
                <w:lang w:eastAsia="hr-HR"/>
              </w:rPr>
            </w:pPr>
            <w:r w:rsidRPr="005E671C">
              <w:rPr>
                <w:rFonts w:ascii="Calibri" w:eastAsia="Times New Roman" w:hAnsi="Calibri" w:cs="Calibri"/>
                <w:lang w:eastAsia="hr-HR"/>
              </w:rPr>
              <w:t>2</w:t>
            </w:r>
          </w:p>
        </w:tc>
        <w:tc>
          <w:tcPr>
            <w:tcW w:w="239" w:type="dxa"/>
            <w:gridSpan w:val="2"/>
            <w:vAlign w:val="center"/>
            <w:hideMark/>
          </w:tcPr>
          <w:p w14:paraId="48DB0F9A" w14:textId="77777777" w:rsidR="005E671C" w:rsidRPr="005E671C" w:rsidRDefault="005E671C" w:rsidP="005E671C">
            <w:pPr>
              <w:spacing w:after="0" w:line="240" w:lineRule="auto"/>
              <w:rPr>
                <w:rFonts w:ascii="Times New Roman" w:eastAsia="Times New Roman" w:hAnsi="Times New Roman" w:cs="Times New Roman"/>
                <w:sz w:val="20"/>
                <w:szCs w:val="20"/>
                <w:lang w:eastAsia="hr-HR"/>
              </w:rPr>
            </w:pPr>
          </w:p>
        </w:tc>
      </w:tr>
      <w:tr w:rsidR="005E671C" w:rsidRPr="005E671C" w14:paraId="2834E3AA" w14:textId="77777777" w:rsidTr="001752B7">
        <w:trPr>
          <w:gridAfter w:val="1"/>
          <w:wAfter w:w="23" w:type="dxa"/>
          <w:trHeight w:val="300"/>
        </w:trPr>
        <w:tc>
          <w:tcPr>
            <w:tcW w:w="1408" w:type="dxa"/>
            <w:tcBorders>
              <w:top w:val="single" w:sz="4" w:space="0" w:color="auto"/>
              <w:left w:val="single" w:sz="8" w:space="0" w:color="auto"/>
              <w:bottom w:val="single" w:sz="4" w:space="0" w:color="auto"/>
              <w:right w:val="single" w:sz="4" w:space="0" w:color="auto"/>
            </w:tcBorders>
            <w:shd w:val="clear" w:color="000000" w:fill="CCFFCC"/>
            <w:vAlign w:val="center"/>
            <w:hideMark/>
          </w:tcPr>
          <w:p w14:paraId="6C1309B5" w14:textId="77777777" w:rsidR="005E671C" w:rsidRPr="005E671C" w:rsidRDefault="005E671C" w:rsidP="005E671C">
            <w:pPr>
              <w:spacing w:after="0" w:line="240" w:lineRule="auto"/>
              <w:jc w:val="center"/>
              <w:rPr>
                <w:rFonts w:ascii="Calibri" w:eastAsia="Times New Roman" w:hAnsi="Calibri" w:cs="Calibri"/>
                <w:lang w:eastAsia="hr-HR"/>
              </w:rPr>
            </w:pPr>
            <w:r w:rsidRPr="005E671C">
              <w:rPr>
                <w:rFonts w:ascii="Calibri" w:eastAsia="Times New Roman" w:hAnsi="Calibri" w:cs="Calibri"/>
                <w:lang w:eastAsia="hr-HR"/>
              </w:rPr>
              <w:t>Bračni ili obiteljski status</w:t>
            </w:r>
          </w:p>
        </w:tc>
        <w:tc>
          <w:tcPr>
            <w:tcW w:w="595" w:type="dxa"/>
            <w:tcBorders>
              <w:top w:val="nil"/>
              <w:left w:val="nil"/>
              <w:bottom w:val="single" w:sz="4" w:space="0" w:color="auto"/>
              <w:right w:val="single" w:sz="4" w:space="0" w:color="auto"/>
            </w:tcBorders>
            <w:shd w:val="clear" w:color="000000" w:fill="CCFFCC"/>
            <w:vAlign w:val="center"/>
            <w:hideMark/>
          </w:tcPr>
          <w:p w14:paraId="316845CA" w14:textId="77777777" w:rsidR="005E671C" w:rsidRPr="005E671C" w:rsidRDefault="005E671C" w:rsidP="005E671C">
            <w:pPr>
              <w:spacing w:after="0" w:line="240" w:lineRule="auto"/>
              <w:jc w:val="center"/>
              <w:rPr>
                <w:rFonts w:ascii="Calibri" w:eastAsia="Times New Roman" w:hAnsi="Calibri" w:cs="Calibri"/>
                <w:lang w:eastAsia="hr-HR"/>
              </w:rPr>
            </w:pPr>
            <w:r w:rsidRPr="005E671C">
              <w:rPr>
                <w:rFonts w:ascii="Calibri" w:eastAsia="Times New Roman" w:hAnsi="Calibri" w:cs="Calibri"/>
                <w:lang w:eastAsia="hr-HR"/>
              </w:rPr>
              <w:t>0</w:t>
            </w:r>
          </w:p>
        </w:tc>
        <w:tc>
          <w:tcPr>
            <w:tcW w:w="549" w:type="dxa"/>
            <w:tcBorders>
              <w:top w:val="nil"/>
              <w:left w:val="nil"/>
              <w:bottom w:val="single" w:sz="4" w:space="0" w:color="auto"/>
              <w:right w:val="single" w:sz="4" w:space="0" w:color="auto"/>
            </w:tcBorders>
            <w:shd w:val="clear" w:color="000000" w:fill="FFCC99"/>
            <w:noWrap/>
            <w:vAlign w:val="center"/>
            <w:hideMark/>
          </w:tcPr>
          <w:p w14:paraId="084A128E" w14:textId="77777777" w:rsidR="005E671C" w:rsidRPr="005E671C" w:rsidRDefault="005E671C" w:rsidP="005E671C">
            <w:pPr>
              <w:spacing w:after="0" w:line="240" w:lineRule="auto"/>
              <w:jc w:val="center"/>
              <w:rPr>
                <w:rFonts w:ascii="Calibri" w:eastAsia="Times New Roman" w:hAnsi="Calibri" w:cs="Calibri"/>
                <w:lang w:eastAsia="hr-HR"/>
              </w:rPr>
            </w:pPr>
            <w:r w:rsidRPr="005E671C">
              <w:rPr>
                <w:rFonts w:ascii="Calibri" w:eastAsia="Times New Roman" w:hAnsi="Calibri" w:cs="Calibri"/>
                <w:lang w:eastAsia="hr-HR"/>
              </w:rPr>
              <w:t>0</w:t>
            </w:r>
          </w:p>
        </w:tc>
        <w:tc>
          <w:tcPr>
            <w:tcW w:w="441" w:type="dxa"/>
            <w:tcBorders>
              <w:top w:val="nil"/>
              <w:left w:val="nil"/>
              <w:bottom w:val="single" w:sz="4" w:space="0" w:color="auto"/>
              <w:right w:val="single" w:sz="4" w:space="0" w:color="auto"/>
            </w:tcBorders>
            <w:shd w:val="clear" w:color="000000" w:fill="CCFFFF"/>
            <w:noWrap/>
            <w:vAlign w:val="center"/>
            <w:hideMark/>
          </w:tcPr>
          <w:p w14:paraId="1CB67F98" w14:textId="77777777" w:rsidR="005E671C" w:rsidRPr="005E671C" w:rsidRDefault="005E671C" w:rsidP="005E671C">
            <w:pPr>
              <w:spacing w:after="0" w:line="240" w:lineRule="auto"/>
              <w:jc w:val="center"/>
              <w:rPr>
                <w:rFonts w:ascii="Calibri" w:eastAsia="Times New Roman" w:hAnsi="Calibri" w:cs="Calibri"/>
                <w:lang w:eastAsia="hr-HR"/>
              </w:rPr>
            </w:pPr>
            <w:r w:rsidRPr="005E671C">
              <w:rPr>
                <w:rFonts w:ascii="Calibri" w:eastAsia="Times New Roman" w:hAnsi="Calibri" w:cs="Calibri"/>
                <w:lang w:eastAsia="hr-HR"/>
              </w:rPr>
              <w:t>0</w:t>
            </w:r>
          </w:p>
        </w:tc>
        <w:tc>
          <w:tcPr>
            <w:tcW w:w="432" w:type="dxa"/>
            <w:tcBorders>
              <w:top w:val="nil"/>
              <w:left w:val="nil"/>
              <w:bottom w:val="single" w:sz="4" w:space="0" w:color="auto"/>
              <w:right w:val="single" w:sz="4" w:space="0" w:color="auto"/>
            </w:tcBorders>
            <w:shd w:val="clear" w:color="000000" w:fill="CCFFFF"/>
            <w:noWrap/>
            <w:vAlign w:val="center"/>
            <w:hideMark/>
          </w:tcPr>
          <w:p w14:paraId="2049B1ED" w14:textId="77777777" w:rsidR="005E671C" w:rsidRPr="005E671C" w:rsidRDefault="005E671C" w:rsidP="005E671C">
            <w:pPr>
              <w:spacing w:after="0" w:line="240" w:lineRule="auto"/>
              <w:jc w:val="center"/>
              <w:rPr>
                <w:rFonts w:ascii="Calibri" w:eastAsia="Times New Roman" w:hAnsi="Calibri" w:cs="Calibri"/>
                <w:lang w:eastAsia="hr-HR"/>
              </w:rPr>
            </w:pPr>
            <w:r w:rsidRPr="005E671C">
              <w:rPr>
                <w:rFonts w:ascii="Calibri" w:eastAsia="Times New Roman" w:hAnsi="Calibri" w:cs="Calibri"/>
                <w:lang w:eastAsia="hr-HR"/>
              </w:rPr>
              <w:t>0</w:t>
            </w:r>
          </w:p>
        </w:tc>
        <w:tc>
          <w:tcPr>
            <w:tcW w:w="421" w:type="dxa"/>
            <w:gridSpan w:val="2"/>
            <w:tcBorders>
              <w:top w:val="nil"/>
              <w:left w:val="nil"/>
              <w:bottom w:val="single" w:sz="4" w:space="0" w:color="auto"/>
              <w:right w:val="single" w:sz="4" w:space="0" w:color="auto"/>
            </w:tcBorders>
            <w:shd w:val="clear" w:color="000000" w:fill="FFFF99"/>
            <w:noWrap/>
            <w:vAlign w:val="center"/>
            <w:hideMark/>
          </w:tcPr>
          <w:p w14:paraId="463BA46B" w14:textId="77777777" w:rsidR="005E671C" w:rsidRPr="005E671C" w:rsidRDefault="005E671C" w:rsidP="005E671C">
            <w:pPr>
              <w:spacing w:after="0" w:line="240" w:lineRule="auto"/>
              <w:jc w:val="center"/>
              <w:rPr>
                <w:rFonts w:ascii="Calibri" w:eastAsia="Times New Roman" w:hAnsi="Calibri" w:cs="Calibri"/>
                <w:lang w:eastAsia="hr-HR"/>
              </w:rPr>
            </w:pPr>
            <w:r w:rsidRPr="005E671C">
              <w:rPr>
                <w:rFonts w:ascii="Calibri" w:eastAsia="Times New Roman" w:hAnsi="Calibri" w:cs="Calibri"/>
                <w:lang w:eastAsia="hr-HR"/>
              </w:rPr>
              <w:t>0</w:t>
            </w:r>
          </w:p>
        </w:tc>
        <w:tc>
          <w:tcPr>
            <w:tcW w:w="431" w:type="dxa"/>
            <w:tcBorders>
              <w:top w:val="nil"/>
              <w:left w:val="nil"/>
              <w:bottom w:val="single" w:sz="4" w:space="0" w:color="auto"/>
              <w:right w:val="single" w:sz="4" w:space="0" w:color="auto"/>
            </w:tcBorders>
            <w:shd w:val="clear" w:color="000000" w:fill="FFFF99"/>
            <w:noWrap/>
            <w:vAlign w:val="center"/>
            <w:hideMark/>
          </w:tcPr>
          <w:p w14:paraId="791F761C" w14:textId="77777777" w:rsidR="005E671C" w:rsidRPr="005E671C" w:rsidRDefault="005E671C" w:rsidP="005E671C">
            <w:pPr>
              <w:spacing w:after="0" w:line="240" w:lineRule="auto"/>
              <w:jc w:val="center"/>
              <w:rPr>
                <w:rFonts w:ascii="Calibri" w:eastAsia="Times New Roman" w:hAnsi="Calibri" w:cs="Calibri"/>
                <w:lang w:eastAsia="hr-HR"/>
              </w:rPr>
            </w:pPr>
            <w:r w:rsidRPr="005E671C">
              <w:rPr>
                <w:rFonts w:ascii="Calibri" w:eastAsia="Times New Roman" w:hAnsi="Calibri" w:cs="Calibri"/>
                <w:lang w:eastAsia="hr-HR"/>
              </w:rPr>
              <w:t>0</w:t>
            </w:r>
          </w:p>
        </w:tc>
        <w:tc>
          <w:tcPr>
            <w:tcW w:w="420" w:type="dxa"/>
            <w:tcBorders>
              <w:top w:val="nil"/>
              <w:left w:val="nil"/>
              <w:bottom w:val="single" w:sz="4" w:space="0" w:color="auto"/>
              <w:right w:val="single" w:sz="4" w:space="0" w:color="auto"/>
            </w:tcBorders>
            <w:shd w:val="clear" w:color="000000" w:fill="FFFF99"/>
            <w:noWrap/>
            <w:vAlign w:val="center"/>
            <w:hideMark/>
          </w:tcPr>
          <w:p w14:paraId="4702F6D3" w14:textId="77777777" w:rsidR="005E671C" w:rsidRPr="005E671C" w:rsidRDefault="005E671C" w:rsidP="005E671C">
            <w:pPr>
              <w:spacing w:after="0" w:line="240" w:lineRule="auto"/>
              <w:jc w:val="center"/>
              <w:rPr>
                <w:rFonts w:ascii="Calibri" w:eastAsia="Times New Roman" w:hAnsi="Calibri" w:cs="Calibri"/>
                <w:lang w:eastAsia="hr-HR"/>
              </w:rPr>
            </w:pPr>
            <w:r w:rsidRPr="005E671C">
              <w:rPr>
                <w:rFonts w:ascii="Calibri" w:eastAsia="Times New Roman" w:hAnsi="Calibri" w:cs="Calibri"/>
                <w:lang w:eastAsia="hr-HR"/>
              </w:rPr>
              <w:t>0</w:t>
            </w:r>
          </w:p>
        </w:tc>
        <w:tc>
          <w:tcPr>
            <w:tcW w:w="429" w:type="dxa"/>
            <w:tcBorders>
              <w:top w:val="nil"/>
              <w:left w:val="nil"/>
              <w:bottom w:val="single" w:sz="4" w:space="0" w:color="auto"/>
              <w:right w:val="single" w:sz="4" w:space="0" w:color="auto"/>
            </w:tcBorders>
            <w:shd w:val="clear" w:color="000000" w:fill="FFFF99"/>
            <w:noWrap/>
            <w:vAlign w:val="center"/>
            <w:hideMark/>
          </w:tcPr>
          <w:p w14:paraId="57C3D0CC" w14:textId="77777777" w:rsidR="005E671C" w:rsidRPr="005E671C" w:rsidRDefault="005E671C" w:rsidP="005E671C">
            <w:pPr>
              <w:spacing w:after="0" w:line="240" w:lineRule="auto"/>
              <w:jc w:val="center"/>
              <w:rPr>
                <w:rFonts w:ascii="Calibri" w:eastAsia="Times New Roman" w:hAnsi="Calibri" w:cs="Calibri"/>
                <w:lang w:eastAsia="hr-HR"/>
              </w:rPr>
            </w:pPr>
            <w:r w:rsidRPr="005E671C">
              <w:rPr>
                <w:rFonts w:ascii="Calibri" w:eastAsia="Times New Roman" w:hAnsi="Calibri" w:cs="Calibri"/>
                <w:lang w:eastAsia="hr-HR"/>
              </w:rPr>
              <w:t>0</w:t>
            </w:r>
          </w:p>
        </w:tc>
        <w:tc>
          <w:tcPr>
            <w:tcW w:w="581" w:type="dxa"/>
            <w:tcBorders>
              <w:top w:val="nil"/>
              <w:left w:val="nil"/>
              <w:bottom w:val="single" w:sz="4" w:space="0" w:color="auto"/>
              <w:right w:val="single" w:sz="4" w:space="0" w:color="auto"/>
            </w:tcBorders>
            <w:shd w:val="clear" w:color="000000" w:fill="FFFF99"/>
            <w:noWrap/>
            <w:vAlign w:val="center"/>
            <w:hideMark/>
          </w:tcPr>
          <w:p w14:paraId="0E2DFB47" w14:textId="77777777" w:rsidR="005E671C" w:rsidRPr="005E671C" w:rsidRDefault="005E671C" w:rsidP="005E671C">
            <w:pPr>
              <w:spacing w:after="0" w:line="240" w:lineRule="auto"/>
              <w:jc w:val="center"/>
              <w:rPr>
                <w:rFonts w:ascii="Calibri" w:eastAsia="Times New Roman" w:hAnsi="Calibri" w:cs="Calibri"/>
                <w:lang w:eastAsia="hr-HR"/>
              </w:rPr>
            </w:pPr>
            <w:r w:rsidRPr="005E671C">
              <w:rPr>
                <w:rFonts w:ascii="Calibri" w:eastAsia="Times New Roman" w:hAnsi="Calibri" w:cs="Calibri"/>
                <w:lang w:eastAsia="hr-HR"/>
              </w:rPr>
              <w:t>0</w:t>
            </w:r>
          </w:p>
        </w:tc>
        <w:tc>
          <w:tcPr>
            <w:tcW w:w="556" w:type="dxa"/>
            <w:gridSpan w:val="2"/>
            <w:tcBorders>
              <w:top w:val="nil"/>
              <w:left w:val="nil"/>
              <w:bottom w:val="single" w:sz="4" w:space="0" w:color="auto"/>
              <w:right w:val="single" w:sz="4" w:space="0" w:color="auto"/>
            </w:tcBorders>
            <w:shd w:val="clear" w:color="000000" w:fill="FF9900"/>
            <w:noWrap/>
            <w:vAlign w:val="center"/>
            <w:hideMark/>
          </w:tcPr>
          <w:p w14:paraId="150D8C1E" w14:textId="77777777" w:rsidR="005E671C" w:rsidRPr="005E671C" w:rsidRDefault="005E671C" w:rsidP="005E671C">
            <w:pPr>
              <w:spacing w:after="0" w:line="240" w:lineRule="auto"/>
              <w:jc w:val="center"/>
              <w:rPr>
                <w:rFonts w:ascii="Calibri" w:eastAsia="Times New Roman" w:hAnsi="Calibri" w:cs="Calibri"/>
                <w:lang w:eastAsia="hr-HR"/>
              </w:rPr>
            </w:pPr>
            <w:r w:rsidRPr="005E671C">
              <w:rPr>
                <w:rFonts w:ascii="Calibri" w:eastAsia="Times New Roman" w:hAnsi="Calibri" w:cs="Calibri"/>
                <w:lang w:eastAsia="hr-HR"/>
              </w:rPr>
              <w:t>0</w:t>
            </w:r>
          </w:p>
        </w:tc>
        <w:tc>
          <w:tcPr>
            <w:tcW w:w="574" w:type="dxa"/>
            <w:tcBorders>
              <w:top w:val="nil"/>
              <w:left w:val="nil"/>
              <w:bottom w:val="single" w:sz="4" w:space="0" w:color="auto"/>
              <w:right w:val="single" w:sz="4" w:space="0" w:color="auto"/>
            </w:tcBorders>
            <w:shd w:val="clear" w:color="000000" w:fill="FF9900"/>
            <w:noWrap/>
            <w:vAlign w:val="center"/>
            <w:hideMark/>
          </w:tcPr>
          <w:p w14:paraId="43C50CA7" w14:textId="77777777" w:rsidR="005E671C" w:rsidRPr="005E671C" w:rsidRDefault="005E671C" w:rsidP="005E671C">
            <w:pPr>
              <w:spacing w:after="0" w:line="240" w:lineRule="auto"/>
              <w:jc w:val="center"/>
              <w:rPr>
                <w:rFonts w:ascii="Calibri" w:eastAsia="Times New Roman" w:hAnsi="Calibri" w:cs="Calibri"/>
                <w:lang w:eastAsia="hr-HR"/>
              </w:rPr>
            </w:pPr>
            <w:r w:rsidRPr="005E671C">
              <w:rPr>
                <w:rFonts w:ascii="Calibri" w:eastAsia="Times New Roman" w:hAnsi="Calibri" w:cs="Calibri"/>
                <w:lang w:eastAsia="hr-HR"/>
              </w:rPr>
              <w:t>0</w:t>
            </w:r>
          </w:p>
        </w:tc>
        <w:tc>
          <w:tcPr>
            <w:tcW w:w="434" w:type="dxa"/>
            <w:tcBorders>
              <w:top w:val="nil"/>
              <w:left w:val="nil"/>
              <w:bottom w:val="single" w:sz="4" w:space="0" w:color="auto"/>
              <w:right w:val="single" w:sz="4" w:space="0" w:color="auto"/>
            </w:tcBorders>
            <w:shd w:val="clear" w:color="000000" w:fill="FF9900"/>
            <w:noWrap/>
            <w:vAlign w:val="center"/>
            <w:hideMark/>
          </w:tcPr>
          <w:p w14:paraId="79832D85" w14:textId="77777777" w:rsidR="005E671C" w:rsidRPr="005E671C" w:rsidRDefault="005E671C" w:rsidP="005E671C">
            <w:pPr>
              <w:spacing w:after="0" w:line="240" w:lineRule="auto"/>
              <w:jc w:val="center"/>
              <w:rPr>
                <w:rFonts w:ascii="Calibri" w:eastAsia="Times New Roman" w:hAnsi="Calibri" w:cs="Calibri"/>
                <w:lang w:eastAsia="hr-HR"/>
              </w:rPr>
            </w:pPr>
            <w:r w:rsidRPr="005E671C">
              <w:rPr>
                <w:rFonts w:ascii="Calibri" w:eastAsia="Times New Roman" w:hAnsi="Calibri" w:cs="Calibri"/>
                <w:lang w:eastAsia="hr-HR"/>
              </w:rPr>
              <w:t>0</w:t>
            </w:r>
          </w:p>
        </w:tc>
        <w:tc>
          <w:tcPr>
            <w:tcW w:w="443" w:type="dxa"/>
            <w:gridSpan w:val="2"/>
            <w:tcBorders>
              <w:top w:val="nil"/>
              <w:left w:val="nil"/>
              <w:bottom w:val="single" w:sz="4" w:space="0" w:color="auto"/>
              <w:right w:val="single" w:sz="4" w:space="0" w:color="auto"/>
            </w:tcBorders>
            <w:shd w:val="clear" w:color="000000" w:fill="66FFCC"/>
            <w:noWrap/>
            <w:vAlign w:val="center"/>
            <w:hideMark/>
          </w:tcPr>
          <w:p w14:paraId="387632C4" w14:textId="77777777" w:rsidR="005E671C" w:rsidRPr="005E671C" w:rsidRDefault="005E671C" w:rsidP="005E671C">
            <w:pPr>
              <w:spacing w:after="0" w:line="240" w:lineRule="auto"/>
              <w:jc w:val="center"/>
              <w:rPr>
                <w:rFonts w:ascii="Calibri" w:eastAsia="Times New Roman" w:hAnsi="Calibri" w:cs="Calibri"/>
                <w:lang w:eastAsia="hr-HR"/>
              </w:rPr>
            </w:pPr>
            <w:r w:rsidRPr="005E671C">
              <w:rPr>
                <w:rFonts w:ascii="Calibri" w:eastAsia="Times New Roman" w:hAnsi="Calibri" w:cs="Calibri"/>
                <w:lang w:eastAsia="hr-HR"/>
              </w:rPr>
              <w:t>0</w:t>
            </w:r>
          </w:p>
        </w:tc>
        <w:tc>
          <w:tcPr>
            <w:tcW w:w="698" w:type="dxa"/>
            <w:tcBorders>
              <w:top w:val="nil"/>
              <w:left w:val="nil"/>
              <w:bottom w:val="single" w:sz="4" w:space="0" w:color="auto"/>
              <w:right w:val="single" w:sz="4" w:space="0" w:color="auto"/>
            </w:tcBorders>
            <w:shd w:val="clear" w:color="000000" w:fill="66FFCC"/>
            <w:noWrap/>
            <w:vAlign w:val="center"/>
            <w:hideMark/>
          </w:tcPr>
          <w:p w14:paraId="29864EF7" w14:textId="77777777" w:rsidR="005E671C" w:rsidRPr="005E671C" w:rsidRDefault="005E671C" w:rsidP="005E671C">
            <w:pPr>
              <w:spacing w:after="0" w:line="240" w:lineRule="auto"/>
              <w:jc w:val="center"/>
              <w:rPr>
                <w:rFonts w:ascii="Calibri" w:eastAsia="Times New Roman" w:hAnsi="Calibri" w:cs="Calibri"/>
                <w:lang w:eastAsia="hr-HR"/>
              </w:rPr>
            </w:pPr>
            <w:r w:rsidRPr="005E671C">
              <w:rPr>
                <w:rFonts w:ascii="Calibri" w:eastAsia="Times New Roman" w:hAnsi="Calibri" w:cs="Calibri"/>
                <w:lang w:eastAsia="hr-HR"/>
              </w:rPr>
              <w:t>0</w:t>
            </w:r>
          </w:p>
        </w:tc>
        <w:tc>
          <w:tcPr>
            <w:tcW w:w="574" w:type="dxa"/>
            <w:tcBorders>
              <w:top w:val="nil"/>
              <w:left w:val="nil"/>
              <w:bottom w:val="single" w:sz="4" w:space="0" w:color="auto"/>
              <w:right w:val="single" w:sz="4" w:space="0" w:color="auto"/>
            </w:tcBorders>
            <w:shd w:val="clear" w:color="000000" w:fill="66FFCC"/>
            <w:noWrap/>
            <w:vAlign w:val="center"/>
            <w:hideMark/>
          </w:tcPr>
          <w:p w14:paraId="20901154" w14:textId="77777777" w:rsidR="005E671C" w:rsidRPr="005E671C" w:rsidRDefault="005E671C" w:rsidP="005E671C">
            <w:pPr>
              <w:spacing w:after="0" w:line="240" w:lineRule="auto"/>
              <w:jc w:val="center"/>
              <w:rPr>
                <w:rFonts w:ascii="Calibri" w:eastAsia="Times New Roman" w:hAnsi="Calibri" w:cs="Calibri"/>
                <w:lang w:eastAsia="hr-HR"/>
              </w:rPr>
            </w:pPr>
            <w:r w:rsidRPr="005E671C">
              <w:rPr>
                <w:rFonts w:ascii="Calibri" w:eastAsia="Times New Roman" w:hAnsi="Calibri" w:cs="Calibri"/>
                <w:lang w:eastAsia="hr-HR"/>
              </w:rPr>
              <w:t>0</w:t>
            </w:r>
          </w:p>
        </w:tc>
        <w:tc>
          <w:tcPr>
            <w:tcW w:w="560" w:type="dxa"/>
            <w:tcBorders>
              <w:top w:val="nil"/>
              <w:left w:val="nil"/>
              <w:bottom w:val="single" w:sz="4" w:space="0" w:color="auto"/>
              <w:right w:val="single" w:sz="4" w:space="0" w:color="auto"/>
            </w:tcBorders>
            <w:shd w:val="clear" w:color="000000" w:fill="66FFCC"/>
            <w:noWrap/>
            <w:vAlign w:val="center"/>
            <w:hideMark/>
          </w:tcPr>
          <w:p w14:paraId="51F594D0" w14:textId="77777777" w:rsidR="005E671C" w:rsidRPr="005E671C" w:rsidRDefault="005E671C" w:rsidP="005E671C">
            <w:pPr>
              <w:spacing w:after="0" w:line="240" w:lineRule="auto"/>
              <w:jc w:val="center"/>
              <w:rPr>
                <w:rFonts w:ascii="Calibri" w:eastAsia="Times New Roman" w:hAnsi="Calibri" w:cs="Calibri"/>
                <w:lang w:eastAsia="hr-HR"/>
              </w:rPr>
            </w:pPr>
            <w:r w:rsidRPr="005E671C">
              <w:rPr>
                <w:rFonts w:ascii="Calibri" w:eastAsia="Times New Roman" w:hAnsi="Calibri" w:cs="Calibri"/>
                <w:lang w:eastAsia="hr-HR"/>
              </w:rPr>
              <w:t>0</w:t>
            </w:r>
          </w:p>
        </w:tc>
        <w:tc>
          <w:tcPr>
            <w:tcW w:w="430" w:type="dxa"/>
            <w:gridSpan w:val="2"/>
            <w:tcBorders>
              <w:top w:val="nil"/>
              <w:left w:val="nil"/>
              <w:bottom w:val="single" w:sz="4" w:space="0" w:color="auto"/>
              <w:right w:val="single" w:sz="4" w:space="0" w:color="auto"/>
            </w:tcBorders>
            <w:shd w:val="clear" w:color="000000" w:fill="FFFF00"/>
            <w:vAlign w:val="center"/>
            <w:hideMark/>
          </w:tcPr>
          <w:p w14:paraId="555ACC79" w14:textId="77777777" w:rsidR="005E671C" w:rsidRPr="005E671C" w:rsidRDefault="005E671C" w:rsidP="005E671C">
            <w:pPr>
              <w:spacing w:after="0" w:line="240" w:lineRule="auto"/>
              <w:jc w:val="center"/>
              <w:rPr>
                <w:rFonts w:ascii="Calibri" w:eastAsia="Times New Roman" w:hAnsi="Calibri" w:cs="Calibri"/>
                <w:lang w:eastAsia="hr-HR"/>
              </w:rPr>
            </w:pPr>
            <w:r w:rsidRPr="005E671C">
              <w:rPr>
                <w:rFonts w:ascii="Calibri" w:eastAsia="Times New Roman" w:hAnsi="Calibri" w:cs="Calibri"/>
                <w:lang w:eastAsia="hr-HR"/>
              </w:rPr>
              <w:t>0</w:t>
            </w:r>
          </w:p>
        </w:tc>
        <w:tc>
          <w:tcPr>
            <w:tcW w:w="425" w:type="dxa"/>
            <w:gridSpan w:val="2"/>
            <w:tcBorders>
              <w:top w:val="nil"/>
              <w:left w:val="nil"/>
              <w:bottom w:val="single" w:sz="4" w:space="0" w:color="auto"/>
              <w:right w:val="single" w:sz="4" w:space="0" w:color="auto"/>
            </w:tcBorders>
            <w:shd w:val="clear" w:color="000000" w:fill="FFFF99"/>
            <w:vAlign w:val="center"/>
            <w:hideMark/>
          </w:tcPr>
          <w:p w14:paraId="176320CA" w14:textId="77777777" w:rsidR="005E671C" w:rsidRPr="005E671C" w:rsidRDefault="005E671C" w:rsidP="005E671C">
            <w:pPr>
              <w:spacing w:after="0" w:line="240" w:lineRule="auto"/>
              <w:jc w:val="center"/>
              <w:rPr>
                <w:rFonts w:ascii="Calibri" w:eastAsia="Times New Roman" w:hAnsi="Calibri" w:cs="Calibri"/>
                <w:lang w:eastAsia="hr-HR"/>
              </w:rPr>
            </w:pPr>
            <w:r w:rsidRPr="005E671C">
              <w:rPr>
                <w:rFonts w:ascii="Calibri" w:eastAsia="Times New Roman" w:hAnsi="Calibri" w:cs="Calibri"/>
                <w:lang w:eastAsia="hr-HR"/>
              </w:rPr>
              <w:t>0</w:t>
            </w:r>
          </w:p>
        </w:tc>
        <w:tc>
          <w:tcPr>
            <w:tcW w:w="540" w:type="dxa"/>
            <w:gridSpan w:val="2"/>
            <w:tcBorders>
              <w:top w:val="nil"/>
              <w:left w:val="nil"/>
              <w:bottom w:val="single" w:sz="4" w:space="0" w:color="auto"/>
              <w:right w:val="single" w:sz="4" w:space="0" w:color="auto"/>
            </w:tcBorders>
            <w:shd w:val="clear" w:color="000000" w:fill="FF9900"/>
            <w:vAlign w:val="center"/>
            <w:hideMark/>
          </w:tcPr>
          <w:p w14:paraId="50EDAF43" w14:textId="77777777" w:rsidR="005E671C" w:rsidRPr="005E671C" w:rsidRDefault="005E671C" w:rsidP="005E671C">
            <w:pPr>
              <w:spacing w:after="0" w:line="240" w:lineRule="auto"/>
              <w:jc w:val="center"/>
              <w:rPr>
                <w:rFonts w:ascii="Calibri" w:eastAsia="Times New Roman" w:hAnsi="Calibri" w:cs="Calibri"/>
                <w:lang w:eastAsia="hr-HR"/>
              </w:rPr>
            </w:pPr>
            <w:r w:rsidRPr="005E671C">
              <w:rPr>
                <w:rFonts w:ascii="Calibri" w:eastAsia="Times New Roman" w:hAnsi="Calibri" w:cs="Calibri"/>
                <w:lang w:eastAsia="hr-HR"/>
              </w:rPr>
              <w:t>0</w:t>
            </w:r>
          </w:p>
        </w:tc>
        <w:tc>
          <w:tcPr>
            <w:tcW w:w="435" w:type="dxa"/>
            <w:tcBorders>
              <w:top w:val="nil"/>
              <w:left w:val="nil"/>
              <w:bottom w:val="single" w:sz="4" w:space="0" w:color="auto"/>
              <w:right w:val="single" w:sz="4" w:space="0" w:color="auto"/>
            </w:tcBorders>
            <w:shd w:val="clear" w:color="000000" w:fill="CCFFFF"/>
            <w:vAlign w:val="center"/>
            <w:hideMark/>
          </w:tcPr>
          <w:p w14:paraId="49697AED" w14:textId="77777777" w:rsidR="005E671C" w:rsidRPr="005E671C" w:rsidRDefault="005E671C" w:rsidP="005E671C">
            <w:pPr>
              <w:spacing w:after="0" w:line="240" w:lineRule="auto"/>
              <w:jc w:val="center"/>
              <w:rPr>
                <w:rFonts w:ascii="Calibri" w:eastAsia="Times New Roman" w:hAnsi="Calibri" w:cs="Calibri"/>
                <w:lang w:eastAsia="hr-HR"/>
              </w:rPr>
            </w:pPr>
            <w:r w:rsidRPr="005E671C">
              <w:rPr>
                <w:rFonts w:ascii="Calibri" w:eastAsia="Times New Roman" w:hAnsi="Calibri" w:cs="Calibri"/>
                <w:lang w:eastAsia="hr-HR"/>
              </w:rPr>
              <w:t>0</w:t>
            </w:r>
          </w:p>
        </w:tc>
        <w:tc>
          <w:tcPr>
            <w:tcW w:w="655" w:type="dxa"/>
            <w:tcBorders>
              <w:top w:val="nil"/>
              <w:left w:val="nil"/>
              <w:bottom w:val="single" w:sz="4" w:space="0" w:color="auto"/>
              <w:right w:val="single" w:sz="4" w:space="0" w:color="auto"/>
            </w:tcBorders>
            <w:shd w:val="clear" w:color="000000" w:fill="CCFFFF"/>
            <w:vAlign w:val="center"/>
            <w:hideMark/>
          </w:tcPr>
          <w:p w14:paraId="6E9DAAEA" w14:textId="77777777" w:rsidR="005E671C" w:rsidRPr="005E671C" w:rsidRDefault="005E671C" w:rsidP="005E671C">
            <w:pPr>
              <w:spacing w:after="0" w:line="240" w:lineRule="auto"/>
              <w:jc w:val="center"/>
              <w:rPr>
                <w:rFonts w:ascii="Calibri" w:eastAsia="Times New Roman" w:hAnsi="Calibri" w:cs="Calibri"/>
                <w:lang w:eastAsia="hr-HR"/>
              </w:rPr>
            </w:pPr>
            <w:r w:rsidRPr="005E671C">
              <w:rPr>
                <w:rFonts w:ascii="Calibri" w:eastAsia="Times New Roman" w:hAnsi="Calibri" w:cs="Calibri"/>
                <w:lang w:eastAsia="hr-HR"/>
              </w:rPr>
              <w:t>0</w:t>
            </w:r>
          </w:p>
        </w:tc>
        <w:tc>
          <w:tcPr>
            <w:tcW w:w="645" w:type="dxa"/>
            <w:tcBorders>
              <w:top w:val="nil"/>
              <w:left w:val="nil"/>
              <w:bottom w:val="single" w:sz="4" w:space="0" w:color="auto"/>
              <w:right w:val="single" w:sz="4" w:space="0" w:color="auto"/>
            </w:tcBorders>
            <w:shd w:val="clear" w:color="000000" w:fill="CCFFFF"/>
            <w:vAlign w:val="center"/>
            <w:hideMark/>
          </w:tcPr>
          <w:p w14:paraId="31B2C486" w14:textId="77777777" w:rsidR="005E671C" w:rsidRPr="005E671C" w:rsidRDefault="005E671C" w:rsidP="005E671C">
            <w:pPr>
              <w:spacing w:after="0" w:line="240" w:lineRule="auto"/>
              <w:jc w:val="center"/>
              <w:rPr>
                <w:rFonts w:ascii="Calibri" w:eastAsia="Times New Roman" w:hAnsi="Calibri" w:cs="Calibri"/>
                <w:lang w:eastAsia="hr-HR"/>
              </w:rPr>
            </w:pPr>
            <w:r w:rsidRPr="005E671C">
              <w:rPr>
                <w:rFonts w:ascii="Calibri" w:eastAsia="Times New Roman" w:hAnsi="Calibri" w:cs="Calibri"/>
                <w:lang w:eastAsia="hr-HR"/>
              </w:rPr>
              <w:t>0</w:t>
            </w:r>
          </w:p>
        </w:tc>
        <w:tc>
          <w:tcPr>
            <w:tcW w:w="699" w:type="dxa"/>
            <w:tcBorders>
              <w:top w:val="nil"/>
              <w:left w:val="nil"/>
              <w:bottom w:val="single" w:sz="4" w:space="0" w:color="auto"/>
              <w:right w:val="nil"/>
            </w:tcBorders>
            <w:shd w:val="clear" w:color="000000" w:fill="33CCCC"/>
            <w:noWrap/>
            <w:vAlign w:val="center"/>
            <w:hideMark/>
          </w:tcPr>
          <w:p w14:paraId="322A29B7" w14:textId="77777777" w:rsidR="005E671C" w:rsidRPr="005E671C" w:rsidRDefault="005E671C" w:rsidP="005E671C">
            <w:pPr>
              <w:spacing w:after="0" w:line="240" w:lineRule="auto"/>
              <w:jc w:val="center"/>
              <w:rPr>
                <w:rFonts w:ascii="Calibri" w:eastAsia="Times New Roman" w:hAnsi="Calibri" w:cs="Calibri"/>
                <w:lang w:eastAsia="hr-HR"/>
              </w:rPr>
            </w:pPr>
            <w:r w:rsidRPr="005E671C">
              <w:rPr>
                <w:rFonts w:ascii="Calibri" w:eastAsia="Times New Roman" w:hAnsi="Calibri" w:cs="Calibri"/>
                <w:lang w:eastAsia="hr-HR"/>
              </w:rPr>
              <w:t>0</w:t>
            </w:r>
          </w:p>
        </w:tc>
        <w:tc>
          <w:tcPr>
            <w:tcW w:w="700" w:type="dxa"/>
            <w:tcBorders>
              <w:top w:val="nil"/>
              <w:left w:val="single" w:sz="4" w:space="0" w:color="auto"/>
              <w:bottom w:val="single" w:sz="4" w:space="0" w:color="auto"/>
              <w:right w:val="single" w:sz="8" w:space="0" w:color="auto"/>
            </w:tcBorders>
            <w:shd w:val="clear" w:color="000000" w:fill="33CCCC"/>
            <w:noWrap/>
            <w:vAlign w:val="center"/>
            <w:hideMark/>
          </w:tcPr>
          <w:p w14:paraId="168F0D93" w14:textId="77777777" w:rsidR="005E671C" w:rsidRPr="005E671C" w:rsidRDefault="005E671C" w:rsidP="005E671C">
            <w:pPr>
              <w:spacing w:after="0" w:line="240" w:lineRule="auto"/>
              <w:jc w:val="center"/>
              <w:rPr>
                <w:rFonts w:ascii="Calibri" w:eastAsia="Times New Roman" w:hAnsi="Calibri" w:cs="Calibri"/>
                <w:lang w:eastAsia="hr-HR"/>
              </w:rPr>
            </w:pPr>
            <w:r w:rsidRPr="005E671C">
              <w:rPr>
                <w:rFonts w:ascii="Calibri" w:eastAsia="Times New Roman" w:hAnsi="Calibri" w:cs="Calibri"/>
                <w:lang w:eastAsia="hr-HR"/>
              </w:rPr>
              <w:t>0</w:t>
            </w:r>
          </w:p>
        </w:tc>
        <w:tc>
          <w:tcPr>
            <w:tcW w:w="239" w:type="dxa"/>
            <w:gridSpan w:val="2"/>
            <w:vAlign w:val="center"/>
            <w:hideMark/>
          </w:tcPr>
          <w:p w14:paraId="09088DCF" w14:textId="77777777" w:rsidR="005E671C" w:rsidRPr="005E671C" w:rsidRDefault="005E671C" w:rsidP="005E671C">
            <w:pPr>
              <w:spacing w:after="0" w:line="240" w:lineRule="auto"/>
              <w:rPr>
                <w:rFonts w:ascii="Times New Roman" w:eastAsia="Times New Roman" w:hAnsi="Times New Roman" w:cs="Times New Roman"/>
                <w:sz w:val="20"/>
                <w:szCs w:val="20"/>
                <w:lang w:eastAsia="hr-HR"/>
              </w:rPr>
            </w:pPr>
          </w:p>
        </w:tc>
      </w:tr>
      <w:tr w:rsidR="005E671C" w:rsidRPr="005E671C" w14:paraId="68774F3D" w14:textId="77777777" w:rsidTr="001752B7">
        <w:trPr>
          <w:gridAfter w:val="1"/>
          <w:wAfter w:w="23" w:type="dxa"/>
          <w:trHeight w:val="300"/>
        </w:trPr>
        <w:tc>
          <w:tcPr>
            <w:tcW w:w="1408" w:type="dxa"/>
            <w:tcBorders>
              <w:top w:val="single" w:sz="4" w:space="0" w:color="auto"/>
              <w:left w:val="single" w:sz="8" w:space="0" w:color="auto"/>
              <w:bottom w:val="single" w:sz="4" w:space="0" w:color="auto"/>
              <w:right w:val="single" w:sz="4" w:space="0" w:color="auto"/>
            </w:tcBorders>
            <w:shd w:val="clear" w:color="000000" w:fill="CCFFCC"/>
            <w:vAlign w:val="center"/>
            <w:hideMark/>
          </w:tcPr>
          <w:p w14:paraId="100EC3B5" w14:textId="77777777" w:rsidR="005E671C" w:rsidRPr="005E671C" w:rsidRDefault="005E671C" w:rsidP="005E671C">
            <w:pPr>
              <w:spacing w:after="0" w:line="240" w:lineRule="auto"/>
              <w:jc w:val="center"/>
              <w:rPr>
                <w:rFonts w:ascii="Calibri" w:eastAsia="Times New Roman" w:hAnsi="Calibri" w:cs="Calibri"/>
                <w:lang w:eastAsia="hr-HR"/>
              </w:rPr>
            </w:pPr>
            <w:r w:rsidRPr="005E671C">
              <w:rPr>
                <w:rFonts w:ascii="Calibri" w:eastAsia="Times New Roman" w:hAnsi="Calibri" w:cs="Calibri"/>
                <w:lang w:eastAsia="hr-HR"/>
              </w:rPr>
              <w:t>Dob</w:t>
            </w:r>
          </w:p>
        </w:tc>
        <w:tc>
          <w:tcPr>
            <w:tcW w:w="595" w:type="dxa"/>
            <w:tcBorders>
              <w:top w:val="nil"/>
              <w:left w:val="nil"/>
              <w:bottom w:val="single" w:sz="4" w:space="0" w:color="auto"/>
              <w:right w:val="single" w:sz="4" w:space="0" w:color="auto"/>
            </w:tcBorders>
            <w:shd w:val="clear" w:color="000000" w:fill="CCFFCC"/>
            <w:vAlign w:val="center"/>
            <w:hideMark/>
          </w:tcPr>
          <w:p w14:paraId="2176AD27" w14:textId="77777777" w:rsidR="005E671C" w:rsidRPr="005E671C" w:rsidRDefault="005E671C" w:rsidP="005E671C">
            <w:pPr>
              <w:spacing w:after="0" w:line="240" w:lineRule="auto"/>
              <w:jc w:val="center"/>
              <w:rPr>
                <w:rFonts w:ascii="Calibri" w:eastAsia="Times New Roman" w:hAnsi="Calibri" w:cs="Calibri"/>
                <w:lang w:eastAsia="hr-HR"/>
              </w:rPr>
            </w:pPr>
            <w:r w:rsidRPr="005E671C">
              <w:rPr>
                <w:rFonts w:ascii="Calibri" w:eastAsia="Times New Roman" w:hAnsi="Calibri" w:cs="Calibri"/>
                <w:lang w:eastAsia="hr-HR"/>
              </w:rPr>
              <w:t>0</w:t>
            </w:r>
          </w:p>
        </w:tc>
        <w:tc>
          <w:tcPr>
            <w:tcW w:w="549" w:type="dxa"/>
            <w:tcBorders>
              <w:top w:val="nil"/>
              <w:left w:val="nil"/>
              <w:bottom w:val="single" w:sz="4" w:space="0" w:color="auto"/>
              <w:right w:val="single" w:sz="4" w:space="0" w:color="auto"/>
            </w:tcBorders>
            <w:shd w:val="clear" w:color="000000" w:fill="FFCC99"/>
            <w:noWrap/>
            <w:vAlign w:val="center"/>
            <w:hideMark/>
          </w:tcPr>
          <w:p w14:paraId="60DD860F" w14:textId="77777777" w:rsidR="005E671C" w:rsidRPr="005E671C" w:rsidRDefault="005E671C" w:rsidP="005E671C">
            <w:pPr>
              <w:spacing w:after="0" w:line="240" w:lineRule="auto"/>
              <w:jc w:val="center"/>
              <w:rPr>
                <w:rFonts w:ascii="Calibri" w:eastAsia="Times New Roman" w:hAnsi="Calibri" w:cs="Calibri"/>
                <w:lang w:eastAsia="hr-HR"/>
              </w:rPr>
            </w:pPr>
            <w:r w:rsidRPr="005E671C">
              <w:rPr>
                <w:rFonts w:ascii="Calibri" w:eastAsia="Times New Roman" w:hAnsi="Calibri" w:cs="Calibri"/>
                <w:lang w:eastAsia="hr-HR"/>
              </w:rPr>
              <w:t>0</w:t>
            </w:r>
          </w:p>
        </w:tc>
        <w:tc>
          <w:tcPr>
            <w:tcW w:w="441" w:type="dxa"/>
            <w:tcBorders>
              <w:top w:val="nil"/>
              <w:left w:val="nil"/>
              <w:bottom w:val="single" w:sz="4" w:space="0" w:color="auto"/>
              <w:right w:val="single" w:sz="4" w:space="0" w:color="auto"/>
            </w:tcBorders>
            <w:shd w:val="clear" w:color="000000" w:fill="CCFFFF"/>
            <w:noWrap/>
            <w:vAlign w:val="center"/>
            <w:hideMark/>
          </w:tcPr>
          <w:p w14:paraId="2D6CE5EF" w14:textId="77777777" w:rsidR="005E671C" w:rsidRPr="005E671C" w:rsidRDefault="005E671C" w:rsidP="005E671C">
            <w:pPr>
              <w:spacing w:after="0" w:line="240" w:lineRule="auto"/>
              <w:jc w:val="center"/>
              <w:rPr>
                <w:rFonts w:ascii="Calibri" w:eastAsia="Times New Roman" w:hAnsi="Calibri" w:cs="Calibri"/>
                <w:lang w:eastAsia="hr-HR"/>
              </w:rPr>
            </w:pPr>
            <w:r w:rsidRPr="005E671C">
              <w:rPr>
                <w:rFonts w:ascii="Calibri" w:eastAsia="Times New Roman" w:hAnsi="Calibri" w:cs="Calibri"/>
                <w:lang w:eastAsia="hr-HR"/>
              </w:rPr>
              <w:t>0</w:t>
            </w:r>
          </w:p>
        </w:tc>
        <w:tc>
          <w:tcPr>
            <w:tcW w:w="432" w:type="dxa"/>
            <w:tcBorders>
              <w:top w:val="nil"/>
              <w:left w:val="nil"/>
              <w:bottom w:val="single" w:sz="4" w:space="0" w:color="auto"/>
              <w:right w:val="single" w:sz="4" w:space="0" w:color="auto"/>
            </w:tcBorders>
            <w:shd w:val="clear" w:color="000000" w:fill="CCFFFF"/>
            <w:noWrap/>
            <w:vAlign w:val="center"/>
            <w:hideMark/>
          </w:tcPr>
          <w:p w14:paraId="45BDDEA9" w14:textId="77777777" w:rsidR="005E671C" w:rsidRPr="005E671C" w:rsidRDefault="005E671C" w:rsidP="005E671C">
            <w:pPr>
              <w:spacing w:after="0" w:line="240" w:lineRule="auto"/>
              <w:jc w:val="center"/>
              <w:rPr>
                <w:rFonts w:ascii="Calibri" w:eastAsia="Times New Roman" w:hAnsi="Calibri" w:cs="Calibri"/>
                <w:lang w:eastAsia="hr-HR"/>
              </w:rPr>
            </w:pPr>
            <w:r w:rsidRPr="005E671C">
              <w:rPr>
                <w:rFonts w:ascii="Calibri" w:eastAsia="Times New Roman" w:hAnsi="Calibri" w:cs="Calibri"/>
                <w:lang w:eastAsia="hr-HR"/>
              </w:rPr>
              <w:t>0</w:t>
            </w:r>
          </w:p>
        </w:tc>
        <w:tc>
          <w:tcPr>
            <w:tcW w:w="421" w:type="dxa"/>
            <w:gridSpan w:val="2"/>
            <w:tcBorders>
              <w:top w:val="nil"/>
              <w:left w:val="nil"/>
              <w:bottom w:val="single" w:sz="4" w:space="0" w:color="auto"/>
              <w:right w:val="single" w:sz="4" w:space="0" w:color="auto"/>
            </w:tcBorders>
            <w:shd w:val="clear" w:color="000000" w:fill="FFFF99"/>
            <w:noWrap/>
            <w:vAlign w:val="center"/>
            <w:hideMark/>
          </w:tcPr>
          <w:p w14:paraId="2013D542" w14:textId="77777777" w:rsidR="005E671C" w:rsidRPr="005E671C" w:rsidRDefault="005E671C" w:rsidP="005E671C">
            <w:pPr>
              <w:spacing w:after="0" w:line="240" w:lineRule="auto"/>
              <w:jc w:val="center"/>
              <w:rPr>
                <w:rFonts w:ascii="Calibri" w:eastAsia="Times New Roman" w:hAnsi="Calibri" w:cs="Calibri"/>
                <w:lang w:eastAsia="hr-HR"/>
              </w:rPr>
            </w:pPr>
            <w:r w:rsidRPr="005E671C">
              <w:rPr>
                <w:rFonts w:ascii="Calibri" w:eastAsia="Times New Roman" w:hAnsi="Calibri" w:cs="Calibri"/>
                <w:lang w:eastAsia="hr-HR"/>
              </w:rPr>
              <w:t>0</w:t>
            </w:r>
          </w:p>
        </w:tc>
        <w:tc>
          <w:tcPr>
            <w:tcW w:w="431" w:type="dxa"/>
            <w:tcBorders>
              <w:top w:val="nil"/>
              <w:left w:val="nil"/>
              <w:bottom w:val="single" w:sz="4" w:space="0" w:color="auto"/>
              <w:right w:val="single" w:sz="4" w:space="0" w:color="auto"/>
            </w:tcBorders>
            <w:shd w:val="clear" w:color="000000" w:fill="FFFF99"/>
            <w:noWrap/>
            <w:vAlign w:val="center"/>
            <w:hideMark/>
          </w:tcPr>
          <w:p w14:paraId="33E912FA" w14:textId="77777777" w:rsidR="005E671C" w:rsidRPr="005E671C" w:rsidRDefault="005E671C" w:rsidP="005E671C">
            <w:pPr>
              <w:spacing w:after="0" w:line="240" w:lineRule="auto"/>
              <w:jc w:val="center"/>
              <w:rPr>
                <w:rFonts w:ascii="Calibri" w:eastAsia="Times New Roman" w:hAnsi="Calibri" w:cs="Calibri"/>
                <w:lang w:eastAsia="hr-HR"/>
              </w:rPr>
            </w:pPr>
            <w:r w:rsidRPr="005E671C">
              <w:rPr>
                <w:rFonts w:ascii="Calibri" w:eastAsia="Times New Roman" w:hAnsi="Calibri" w:cs="Calibri"/>
                <w:lang w:eastAsia="hr-HR"/>
              </w:rPr>
              <w:t>0</w:t>
            </w:r>
          </w:p>
        </w:tc>
        <w:tc>
          <w:tcPr>
            <w:tcW w:w="420" w:type="dxa"/>
            <w:tcBorders>
              <w:top w:val="nil"/>
              <w:left w:val="nil"/>
              <w:bottom w:val="single" w:sz="4" w:space="0" w:color="auto"/>
              <w:right w:val="single" w:sz="4" w:space="0" w:color="auto"/>
            </w:tcBorders>
            <w:shd w:val="clear" w:color="000000" w:fill="FFFF99"/>
            <w:noWrap/>
            <w:vAlign w:val="center"/>
            <w:hideMark/>
          </w:tcPr>
          <w:p w14:paraId="0F89DE09" w14:textId="77777777" w:rsidR="005E671C" w:rsidRPr="005E671C" w:rsidRDefault="005E671C" w:rsidP="005E671C">
            <w:pPr>
              <w:spacing w:after="0" w:line="240" w:lineRule="auto"/>
              <w:jc w:val="center"/>
              <w:rPr>
                <w:rFonts w:ascii="Calibri" w:eastAsia="Times New Roman" w:hAnsi="Calibri" w:cs="Calibri"/>
                <w:lang w:eastAsia="hr-HR"/>
              </w:rPr>
            </w:pPr>
            <w:r w:rsidRPr="005E671C">
              <w:rPr>
                <w:rFonts w:ascii="Calibri" w:eastAsia="Times New Roman" w:hAnsi="Calibri" w:cs="Calibri"/>
                <w:lang w:eastAsia="hr-HR"/>
              </w:rPr>
              <w:t>0</w:t>
            </w:r>
          </w:p>
        </w:tc>
        <w:tc>
          <w:tcPr>
            <w:tcW w:w="429" w:type="dxa"/>
            <w:tcBorders>
              <w:top w:val="nil"/>
              <w:left w:val="nil"/>
              <w:bottom w:val="single" w:sz="4" w:space="0" w:color="auto"/>
              <w:right w:val="single" w:sz="4" w:space="0" w:color="auto"/>
            </w:tcBorders>
            <w:shd w:val="clear" w:color="000000" w:fill="FFFF99"/>
            <w:noWrap/>
            <w:vAlign w:val="center"/>
            <w:hideMark/>
          </w:tcPr>
          <w:p w14:paraId="3717B13F" w14:textId="77777777" w:rsidR="005E671C" w:rsidRPr="005E671C" w:rsidRDefault="005E671C" w:rsidP="005E671C">
            <w:pPr>
              <w:spacing w:after="0" w:line="240" w:lineRule="auto"/>
              <w:jc w:val="center"/>
              <w:rPr>
                <w:rFonts w:ascii="Calibri" w:eastAsia="Times New Roman" w:hAnsi="Calibri" w:cs="Calibri"/>
                <w:lang w:eastAsia="hr-HR"/>
              </w:rPr>
            </w:pPr>
            <w:r w:rsidRPr="005E671C">
              <w:rPr>
                <w:rFonts w:ascii="Calibri" w:eastAsia="Times New Roman" w:hAnsi="Calibri" w:cs="Calibri"/>
                <w:lang w:eastAsia="hr-HR"/>
              </w:rPr>
              <w:t>0</w:t>
            </w:r>
          </w:p>
        </w:tc>
        <w:tc>
          <w:tcPr>
            <w:tcW w:w="581" w:type="dxa"/>
            <w:tcBorders>
              <w:top w:val="nil"/>
              <w:left w:val="nil"/>
              <w:bottom w:val="single" w:sz="4" w:space="0" w:color="auto"/>
              <w:right w:val="single" w:sz="4" w:space="0" w:color="auto"/>
            </w:tcBorders>
            <w:shd w:val="clear" w:color="000000" w:fill="FFFF99"/>
            <w:noWrap/>
            <w:vAlign w:val="center"/>
            <w:hideMark/>
          </w:tcPr>
          <w:p w14:paraId="22F79DA6" w14:textId="77777777" w:rsidR="005E671C" w:rsidRPr="005E671C" w:rsidRDefault="005E671C" w:rsidP="005E671C">
            <w:pPr>
              <w:spacing w:after="0" w:line="240" w:lineRule="auto"/>
              <w:jc w:val="center"/>
              <w:rPr>
                <w:rFonts w:ascii="Calibri" w:eastAsia="Times New Roman" w:hAnsi="Calibri" w:cs="Calibri"/>
                <w:lang w:eastAsia="hr-HR"/>
              </w:rPr>
            </w:pPr>
            <w:r w:rsidRPr="005E671C">
              <w:rPr>
                <w:rFonts w:ascii="Calibri" w:eastAsia="Times New Roman" w:hAnsi="Calibri" w:cs="Calibri"/>
                <w:lang w:eastAsia="hr-HR"/>
              </w:rPr>
              <w:t>0</w:t>
            </w:r>
          </w:p>
        </w:tc>
        <w:tc>
          <w:tcPr>
            <w:tcW w:w="556" w:type="dxa"/>
            <w:gridSpan w:val="2"/>
            <w:tcBorders>
              <w:top w:val="nil"/>
              <w:left w:val="nil"/>
              <w:bottom w:val="single" w:sz="4" w:space="0" w:color="auto"/>
              <w:right w:val="single" w:sz="4" w:space="0" w:color="auto"/>
            </w:tcBorders>
            <w:shd w:val="clear" w:color="000000" w:fill="FF9900"/>
            <w:noWrap/>
            <w:vAlign w:val="center"/>
            <w:hideMark/>
          </w:tcPr>
          <w:p w14:paraId="1067A207" w14:textId="77777777" w:rsidR="005E671C" w:rsidRPr="005E671C" w:rsidRDefault="005E671C" w:rsidP="005E671C">
            <w:pPr>
              <w:spacing w:after="0" w:line="240" w:lineRule="auto"/>
              <w:jc w:val="center"/>
              <w:rPr>
                <w:rFonts w:ascii="Calibri" w:eastAsia="Times New Roman" w:hAnsi="Calibri" w:cs="Calibri"/>
                <w:lang w:eastAsia="hr-HR"/>
              </w:rPr>
            </w:pPr>
            <w:r w:rsidRPr="005E671C">
              <w:rPr>
                <w:rFonts w:ascii="Calibri" w:eastAsia="Times New Roman" w:hAnsi="Calibri" w:cs="Calibri"/>
                <w:lang w:eastAsia="hr-HR"/>
              </w:rPr>
              <w:t>0</w:t>
            </w:r>
          </w:p>
        </w:tc>
        <w:tc>
          <w:tcPr>
            <w:tcW w:w="574" w:type="dxa"/>
            <w:tcBorders>
              <w:top w:val="nil"/>
              <w:left w:val="nil"/>
              <w:bottom w:val="single" w:sz="4" w:space="0" w:color="auto"/>
              <w:right w:val="single" w:sz="4" w:space="0" w:color="auto"/>
            </w:tcBorders>
            <w:shd w:val="clear" w:color="000000" w:fill="FF9900"/>
            <w:noWrap/>
            <w:vAlign w:val="center"/>
            <w:hideMark/>
          </w:tcPr>
          <w:p w14:paraId="72BFAD46" w14:textId="77777777" w:rsidR="005E671C" w:rsidRPr="005E671C" w:rsidRDefault="005E671C" w:rsidP="005E671C">
            <w:pPr>
              <w:spacing w:after="0" w:line="240" w:lineRule="auto"/>
              <w:jc w:val="center"/>
              <w:rPr>
                <w:rFonts w:ascii="Calibri" w:eastAsia="Times New Roman" w:hAnsi="Calibri" w:cs="Calibri"/>
                <w:lang w:eastAsia="hr-HR"/>
              </w:rPr>
            </w:pPr>
            <w:r w:rsidRPr="005E671C">
              <w:rPr>
                <w:rFonts w:ascii="Calibri" w:eastAsia="Times New Roman" w:hAnsi="Calibri" w:cs="Calibri"/>
                <w:lang w:eastAsia="hr-HR"/>
              </w:rPr>
              <w:t>0</w:t>
            </w:r>
          </w:p>
        </w:tc>
        <w:tc>
          <w:tcPr>
            <w:tcW w:w="434" w:type="dxa"/>
            <w:tcBorders>
              <w:top w:val="nil"/>
              <w:left w:val="nil"/>
              <w:bottom w:val="single" w:sz="4" w:space="0" w:color="auto"/>
              <w:right w:val="single" w:sz="4" w:space="0" w:color="auto"/>
            </w:tcBorders>
            <w:shd w:val="clear" w:color="000000" w:fill="FF9900"/>
            <w:noWrap/>
            <w:vAlign w:val="center"/>
            <w:hideMark/>
          </w:tcPr>
          <w:p w14:paraId="3E674240" w14:textId="77777777" w:rsidR="005E671C" w:rsidRPr="005E671C" w:rsidRDefault="005E671C" w:rsidP="005E671C">
            <w:pPr>
              <w:spacing w:after="0" w:line="240" w:lineRule="auto"/>
              <w:jc w:val="center"/>
              <w:rPr>
                <w:rFonts w:ascii="Calibri" w:eastAsia="Times New Roman" w:hAnsi="Calibri" w:cs="Calibri"/>
                <w:lang w:eastAsia="hr-HR"/>
              </w:rPr>
            </w:pPr>
            <w:r w:rsidRPr="005E671C">
              <w:rPr>
                <w:rFonts w:ascii="Calibri" w:eastAsia="Times New Roman" w:hAnsi="Calibri" w:cs="Calibri"/>
                <w:lang w:eastAsia="hr-HR"/>
              </w:rPr>
              <w:t>0</w:t>
            </w:r>
          </w:p>
        </w:tc>
        <w:tc>
          <w:tcPr>
            <w:tcW w:w="443" w:type="dxa"/>
            <w:gridSpan w:val="2"/>
            <w:tcBorders>
              <w:top w:val="nil"/>
              <w:left w:val="nil"/>
              <w:bottom w:val="single" w:sz="4" w:space="0" w:color="auto"/>
              <w:right w:val="single" w:sz="4" w:space="0" w:color="auto"/>
            </w:tcBorders>
            <w:shd w:val="clear" w:color="000000" w:fill="66FFCC"/>
            <w:noWrap/>
            <w:vAlign w:val="center"/>
            <w:hideMark/>
          </w:tcPr>
          <w:p w14:paraId="1A6579C7" w14:textId="77777777" w:rsidR="005E671C" w:rsidRPr="005E671C" w:rsidRDefault="005E671C" w:rsidP="005E671C">
            <w:pPr>
              <w:spacing w:after="0" w:line="240" w:lineRule="auto"/>
              <w:jc w:val="center"/>
              <w:rPr>
                <w:rFonts w:ascii="Calibri" w:eastAsia="Times New Roman" w:hAnsi="Calibri" w:cs="Calibri"/>
                <w:lang w:eastAsia="hr-HR"/>
              </w:rPr>
            </w:pPr>
            <w:r w:rsidRPr="005E671C">
              <w:rPr>
                <w:rFonts w:ascii="Calibri" w:eastAsia="Times New Roman" w:hAnsi="Calibri" w:cs="Calibri"/>
                <w:lang w:eastAsia="hr-HR"/>
              </w:rPr>
              <w:t>0</w:t>
            </w:r>
          </w:p>
        </w:tc>
        <w:tc>
          <w:tcPr>
            <w:tcW w:w="698" w:type="dxa"/>
            <w:tcBorders>
              <w:top w:val="nil"/>
              <w:left w:val="nil"/>
              <w:bottom w:val="single" w:sz="4" w:space="0" w:color="auto"/>
              <w:right w:val="single" w:sz="4" w:space="0" w:color="auto"/>
            </w:tcBorders>
            <w:shd w:val="clear" w:color="000000" w:fill="66FFCC"/>
            <w:noWrap/>
            <w:vAlign w:val="center"/>
            <w:hideMark/>
          </w:tcPr>
          <w:p w14:paraId="41FD89AE" w14:textId="77777777" w:rsidR="005E671C" w:rsidRPr="005E671C" w:rsidRDefault="005E671C" w:rsidP="005E671C">
            <w:pPr>
              <w:spacing w:after="0" w:line="240" w:lineRule="auto"/>
              <w:jc w:val="center"/>
              <w:rPr>
                <w:rFonts w:ascii="Calibri" w:eastAsia="Times New Roman" w:hAnsi="Calibri" w:cs="Calibri"/>
                <w:lang w:eastAsia="hr-HR"/>
              </w:rPr>
            </w:pPr>
            <w:r w:rsidRPr="005E671C">
              <w:rPr>
                <w:rFonts w:ascii="Calibri" w:eastAsia="Times New Roman" w:hAnsi="Calibri" w:cs="Calibri"/>
                <w:lang w:eastAsia="hr-HR"/>
              </w:rPr>
              <w:t>0</w:t>
            </w:r>
          </w:p>
        </w:tc>
        <w:tc>
          <w:tcPr>
            <w:tcW w:w="574" w:type="dxa"/>
            <w:tcBorders>
              <w:top w:val="nil"/>
              <w:left w:val="nil"/>
              <w:bottom w:val="single" w:sz="4" w:space="0" w:color="auto"/>
              <w:right w:val="single" w:sz="4" w:space="0" w:color="auto"/>
            </w:tcBorders>
            <w:shd w:val="clear" w:color="000000" w:fill="66FFCC"/>
            <w:noWrap/>
            <w:vAlign w:val="center"/>
            <w:hideMark/>
          </w:tcPr>
          <w:p w14:paraId="3697AF81" w14:textId="77777777" w:rsidR="005E671C" w:rsidRPr="005E671C" w:rsidRDefault="005E671C" w:rsidP="005E671C">
            <w:pPr>
              <w:spacing w:after="0" w:line="240" w:lineRule="auto"/>
              <w:jc w:val="center"/>
              <w:rPr>
                <w:rFonts w:ascii="Calibri" w:eastAsia="Times New Roman" w:hAnsi="Calibri" w:cs="Calibri"/>
                <w:lang w:eastAsia="hr-HR"/>
              </w:rPr>
            </w:pPr>
            <w:r w:rsidRPr="005E671C">
              <w:rPr>
                <w:rFonts w:ascii="Calibri" w:eastAsia="Times New Roman" w:hAnsi="Calibri" w:cs="Calibri"/>
                <w:lang w:eastAsia="hr-HR"/>
              </w:rPr>
              <w:t>0</w:t>
            </w:r>
          </w:p>
        </w:tc>
        <w:tc>
          <w:tcPr>
            <w:tcW w:w="560" w:type="dxa"/>
            <w:tcBorders>
              <w:top w:val="nil"/>
              <w:left w:val="nil"/>
              <w:bottom w:val="single" w:sz="4" w:space="0" w:color="auto"/>
              <w:right w:val="single" w:sz="4" w:space="0" w:color="auto"/>
            </w:tcBorders>
            <w:shd w:val="clear" w:color="000000" w:fill="66FFCC"/>
            <w:noWrap/>
            <w:vAlign w:val="center"/>
            <w:hideMark/>
          </w:tcPr>
          <w:p w14:paraId="7434B2CA" w14:textId="77777777" w:rsidR="005E671C" w:rsidRPr="005E671C" w:rsidRDefault="005E671C" w:rsidP="005E671C">
            <w:pPr>
              <w:spacing w:after="0" w:line="240" w:lineRule="auto"/>
              <w:jc w:val="center"/>
              <w:rPr>
                <w:rFonts w:ascii="Calibri" w:eastAsia="Times New Roman" w:hAnsi="Calibri" w:cs="Calibri"/>
                <w:lang w:eastAsia="hr-HR"/>
              </w:rPr>
            </w:pPr>
            <w:r w:rsidRPr="005E671C">
              <w:rPr>
                <w:rFonts w:ascii="Calibri" w:eastAsia="Times New Roman" w:hAnsi="Calibri" w:cs="Calibri"/>
                <w:lang w:eastAsia="hr-HR"/>
              </w:rPr>
              <w:t>0</w:t>
            </w:r>
          </w:p>
        </w:tc>
        <w:tc>
          <w:tcPr>
            <w:tcW w:w="430" w:type="dxa"/>
            <w:gridSpan w:val="2"/>
            <w:tcBorders>
              <w:top w:val="nil"/>
              <w:left w:val="nil"/>
              <w:bottom w:val="single" w:sz="4" w:space="0" w:color="auto"/>
              <w:right w:val="single" w:sz="4" w:space="0" w:color="auto"/>
            </w:tcBorders>
            <w:shd w:val="clear" w:color="000000" w:fill="FFFF00"/>
            <w:vAlign w:val="center"/>
            <w:hideMark/>
          </w:tcPr>
          <w:p w14:paraId="24BBE1CD" w14:textId="77777777" w:rsidR="005E671C" w:rsidRPr="005E671C" w:rsidRDefault="005E671C" w:rsidP="005E671C">
            <w:pPr>
              <w:spacing w:after="0" w:line="240" w:lineRule="auto"/>
              <w:jc w:val="center"/>
              <w:rPr>
                <w:rFonts w:ascii="Calibri" w:eastAsia="Times New Roman" w:hAnsi="Calibri" w:cs="Calibri"/>
                <w:lang w:eastAsia="hr-HR"/>
              </w:rPr>
            </w:pPr>
            <w:r w:rsidRPr="005E671C">
              <w:rPr>
                <w:rFonts w:ascii="Calibri" w:eastAsia="Times New Roman" w:hAnsi="Calibri" w:cs="Calibri"/>
                <w:lang w:eastAsia="hr-HR"/>
              </w:rPr>
              <w:t>0</w:t>
            </w:r>
          </w:p>
        </w:tc>
        <w:tc>
          <w:tcPr>
            <w:tcW w:w="425" w:type="dxa"/>
            <w:gridSpan w:val="2"/>
            <w:tcBorders>
              <w:top w:val="nil"/>
              <w:left w:val="nil"/>
              <w:bottom w:val="single" w:sz="4" w:space="0" w:color="auto"/>
              <w:right w:val="single" w:sz="4" w:space="0" w:color="auto"/>
            </w:tcBorders>
            <w:shd w:val="clear" w:color="000000" w:fill="FFFF99"/>
            <w:vAlign w:val="center"/>
            <w:hideMark/>
          </w:tcPr>
          <w:p w14:paraId="56D23709" w14:textId="77777777" w:rsidR="005E671C" w:rsidRPr="005E671C" w:rsidRDefault="005E671C" w:rsidP="005E671C">
            <w:pPr>
              <w:spacing w:after="0" w:line="240" w:lineRule="auto"/>
              <w:jc w:val="center"/>
              <w:rPr>
                <w:rFonts w:ascii="Calibri" w:eastAsia="Times New Roman" w:hAnsi="Calibri" w:cs="Calibri"/>
                <w:lang w:eastAsia="hr-HR"/>
              </w:rPr>
            </w:pPr>
            <w:r w:rsidRPr="005E671C">
              <w:rPr>
                <w:rFonts w:ascii="Calibri" w:eastAsia="Times New Roman" w:hAnsi="Calibri" w:cs="Calibri"/>
                <w:lang w:eastAsia="hr-HR"/>
              </w:rPr>
              <w:t>0</w:t>
            </w:r>
          </w:p>
        </w:tc>
        <w:tc>
          <w:tcPr>
            <w:tcW w:w="540" w:type="dxa"/>
            <w:gridSpan w:val="2"/>
            <w:tcBorders>
              <w:top w:val="nil"/>
              <w:left w:val="nil"/>
              <w:bottom w:val="single" w:sz="4" w:space="0" w:color="auto"/>
              <w:right w:val="single" w:sz="4" w:space="0" w:color="auto"/>
            </w:tcBorders>
            <w:shd w:val="clear" w:color="000000" w:fill="FF9900"/>
            <w:vAlign w:val="center"/>
            <w:hideMark/>
          </w:tcPr>
          <w:p w14:paraId="59962BA2" w14:textId="77777777" w:rsidR="005E671C" w:rsidRPr="005E671C" w:rsidRDefault="005E671C" w:rsidP="005E671C">
            <w:pPr>
              <w:spacing w:after="0" w:line="240" w:lineRule="auto"/>
              <w:jc w:val="center"/>
              <w:rPr>
                <w:rFonts w:ascii="Calibri" w:eastAsia="Times New Roman" w:hAnsi="Calibri" w:cs="Calibri"/>
                <w:lang w:eastAsia="hr-HR"/>
              </w:rPr>
            </w:pPr>
            <w:r w:rsidRPr="005E671C">
              <w:rPr>
                <w:rFonts w:ascii="Calibri" w:eastAsia="Times New Roman" w:hAnsi="Calibri" w:cs="Calibri"/>
                <w:lang w:eastAsia="hr-HR"/>
              </w:rPr>
              <w:t>0</w:t>
            </w:r>
          </w:p>
        </w:tc>
        <w:tc>
          <w:tcPr>
            <w:tcW w:w="435" w:type="dxa"/>
            <w:tcBorders>
              <w:top w:val="nil"/>
              <w:left w:val="nil"/>
              <w:bottom w:val="single" w:sz="4" w:space="0" w:color="auto"/>
              <w:right w:val="single" w:sz="4" w:space="0" w:color="auto"/>
            </w:tcBorders>
            <w:shd w:val="clear" w:color="000000" w:fill="CCFFFF"/>
            <w:vAlign w:val="center"/>
            <w:hideMark/>
          </w:tcPr>
          <w:p w14:paraId="7114DE1C" w14:textId="77777777" w:rsidR="005E671C" w:rsidRPr="005E671C" w:rsidRDefault="005E671C" w:rsidP="005E671C">
            <w:pPr>
              <w:spacing w:after="0" w:line="240" w:lineRule="auto"/>
              <w:jc w:val="center"/>
              <w:rPr>
                <w:rFonts w:ascii="Calibri" w:eastAsia="Times New Roman" w:hAnsi="Calibri" w:cs="Calibri"/>
                <w:lang w:eastAsia="hr-HR"/>
              </w:rPr>
            </w:pPr>
            <w:r w:rsidRPr="005E671C">
              <w:rPr>
                <w:rFonts w:ascii="Calibri" w:eastAsia="Times New Roman" w:hAnsi="Calibri" w:cs="Calibri"/>
                <w:lang w:eastAsia="hr-HR"/>
              </w:rPr>
              <w:t>0</w:t>
            </w:r>
          </w:p>
        </w:tc>
        <w:tc>
          <w:tcPr>
            <w:tcW w:w="655" w:type="dxa"/>
            <w:tcBorders>
              <w:top w:val="nil"/>
              <w:left w:val="nil"/>
              <w:bottom w:val="single" w:sz="4" w:space="0" w:color="auto"/>
              <w:right w:val="single" w:sz="4" w:space="0" w:color="auto"/>
            </w:tcBorders>
            <w:shd w:val="clear" w:color="000000" w:fill="CCFFFF"/>
            <w:vAlign w:val="center"/>
            <w:hideMark/>
          </w:tcPr>
          <w:p w14:paraId="4899C677" w14:textId="77777777" w:rsidR="005E671C" w:rsidRPr="005E671C" w:rsidRDefault="005E671C" w:rsidP="005E671C">
            <w:pPr>
              <w:spacing w:after="0" w:line="240" w:lineRule="auto"/>
              <w:jc w:val="center"/>
              <w:rPr>
                <w:rFonts w:ascii="Calibri" w:eastAsia="Times New Roman" w:hAnsi="Calibri" w:cs="Calibri"/>
                <w:lang w:eastAsia="hr-HR"/>
              </w:rPr>
            </w:pPr>
            <w:r w:rsidRPr="005E671C">
              <w:rPr>
                <w:rFonts w:ascii="Calibri" w:eastAsia="Times New Roman" w:hAnsi="Calibri" w:cs="Calibri"/>
                <w:lang w:eastAsia="hr-HR"/>
              </w:rPr>
              <w:t>0</w:t>
            </w:r>
          </w:p>
        </w:tc>
        <w:tc>
          <w:tcPr>
            <w:tcW w:w="645" w:type="dxa"/>
            <w:tcBorders>
              <w:top w:val="nil"/>
              <w:left w:val="nil"/>
              <w:bottom w:val="single" w:sz="4" w:space="0" w:color="auto"/>
              <w:right w:val="single" w:sz="4" w:space="0" w:color="auto"/>
            </w:tcBorders>
            <w:shd w:val="clear" w:color="000000" w:fill="CCFFFF"/>
            <w:vAlign w:val="center"/>
            <w:hideMark/>
          </w:tcPr>
          <w:p w14:paraId="4E5FAB75" w14:textId="77777777" w:rsidR="005E671C" w:rsidRPr="005E671C" w:rsidRDefault="005E671C" w:rsidP="005E671C">
            <w:pPr>
              <w:spacing w:after="0" w:line="240" w:lineRule="auto"/>
              <w:jc w:val="center"/>
              <w:rPr>
                <w:rFonts w:ascii="Calibri" w:eastAsia="Times New Roman" w:hAnsi="Calibri" w:cs="Calibri"/>
                <w:lang w:eastAsia="hr-HR"/>
              </w:rPr>
            </w:pPr>
            <w:r w:rsidRPr="005E671C">
              <w:rPr>
                <w:rFonts w:ascii="Calibri" w:eastAsia="Times New Roman" w:hAnsi="Calibri" w:cs="Calibri"/>
                <w:lang w:eastAsia="hr-HR"/>
              </w:rPr>
              <w:t>0</w:t>
            </w:r>
          </w:p>
        </w:tc>
        <w:tc>
          <w:tcPr>
            <w:tcW w:w="699" w:type="dxa"/>
            <w:tcBorders>
              <w:top w:val="nil"/>
              <w:left w:val="nil"/>
              <w:bottom w:val="single" w:sz="4" w:space="0" w:color="auto"/>
              <w:right w:val="nil"/>
            </w:tcBorders>
            <w:shd w:val="clear" w:color="000000" w:fill="33CCCC"/>
            <w:noWrap/>
            <w:vAlign w:val="center"/>
            <w:hideMark/>
          </w:tcPr>
          <w:p w14:paraId="47417461" w14:textId="77777777" w:rsidR="005E671C" w:rsidRPr="005E671C" w:rsidRDefault="005E671C" w:rsidP="005E671C">
            <w:pPr>
              <w:spacing w:after="0" w:line="240" w:lineRule="auto"/>
              <w:jc w:val="center"/>
              <w:rPr>
                <w:rFonts w:ascii="Calibri" w:eastAsia="Times New Roman" w:hAnsi="Calibri" w:cs="Calibri"/>
                <w:lang w:eastAsia="hr-HR"/>
              </w:rPr>
            </w:pPr>
            <w:r w:rsidRPr="005E671C">
              <w:rPr>
                <w:rFonts w:ascii="Calibri" w:eastAsia="Times New Roman" w:hAnsi="Calibri" w:cs="Calibri"/>
                <w:lang w:eastAsia="hr-HR"/>
              </w:rPr>
              <w:t>0</w:t>
            </w:r>
          </w:p>
        </w:tc>
        <w:tc>
          <w:tcPr>
            <w:tcW w:w="700" w:type="dxa"/>
            <w:tcBorders>
              <w:top w:val="nil"/>
              <w:left w:val="single" w:sz="4" w:space="0" w:color="auto"/>
              <w:bottom w:val="single" w:sz="4" w:space="0" w:color="auto"/>
              <w:right w:val="single" w:sz="8" w:space="0" w:color="auto"/>
            </w:tcBorders>
            <w:shd w:val="clear" w:color="000000" w:fill="33CCCC"/>
            <w:noWrap/>
            <w:vAlign w:val="center"/>
            <w:hideMark/>
          </w:tcPr>
          <w:p w14:paraId="351A9504" w14:textId="77777777" w:rsidR="005E671C" w:rsidRPr="005E671C" w:rsidRDefault="005E671C" w:rsidP="005E671C">
            <w:pPr>
              <w:spacing w:after="0" w:line="240" w:lineRule="auto"/>
              <w:jc w:val="center"/>
              <w:rPr>
                <w:rFonts w:ascii="Calibri" w:eastAsia="Times New Roman" w:hAnsi="Calibri" w:cs="Calibri"/>
                <w:lang w:eastAsia="hr-HR"/>
              </w:rPr>
            </w:pPr>
            <w:r w:rsidRPr="005E671C">
              <w:rPr>
                <w:rFonts w:ascii="Calibri" w:eastAsia="Times New Roman" w:hAnsi="Calibri" w:cs="Calibri"/>
                <w:lang w:eastAsia="hr-HR"/>
              </w:rPr>
              <w:t>0</w:t>
            </w:r>
          </w:p>
        </w:tc>
        <w:tc>
          <w:tcPr>
            <w:tcW w:w="239" w:type="dxa"/>
            <w:gridSpan w:val="2"/>
            <w:vAlign w:val="center"/>
            <w:hideMark/>
          </w:tcPr>
          <w:p w14:paraId="57D383E2" w14:textId="77777777" w:rsidR="005E671C" w:rsidRPr="005E671C" w:rsidRDefault="005E671C" w:rsidP="005E671C">
            <w:pPr>
              <w:spacing w:after="0" w:line="240" w:lineRule="auto"/>
              <w:rPr>
                <w:rFonts w:ascii="Times New Roman" w:eastAsia="Times New Roman" w:hAnsi="Times New Roman" w:cs="Times New Roman"/>
                <w:sz w:val="20"/>
                <w:szCs w:val="20"/>
                <w:lang w:eastAsia="hr-HR"/>
              </w:rPr>
            </w:pPr>
          </w:p>
        </w:tc>
      </w:tr>
      <w:tr w:rsidR="005E671C" w:rsidRPr="005E671C" w14:paraId="7799CD24" w14:textId="77777777" w:rsidTr="001752B7">
        <w:trPr>
          <w:gridAfter w:val="1"/>
          <w:wAfter w:w="23" w:type="dxa"/>
          <w:trHeight w:val="300"/>
        </w:trPr>
        <w:tc>
          <w:tcPr>
            <w:tcW w:w="1408" w:type="dxa"/>
            <w:tcBorders>
              <w:top w:val="single" w:sz="4" w:space="0" w:color="auto"/>
              <w:left w:val="single" w:sz="8" w:space="0" w:color="auto"/>
              <w:bottom w:val="single" w:sz="4" w:space="0" w:color="auto"/>
              <w:right w:val="single" w:sz="4" w:space="0" w:color="auto"/>
            </w:tcBorders>
            <w:shd w:val="clear" w:color="000000" w:fill="CCFFCC"/>
            <w:vAlign w:val="center"/>
            <w:hideMark/>
          </w:tcPr>
          <w:p w14:paraId="4427C4B5" w14:textId="77777777" w:rsidR="005E671C" w:rsidRPr="005E671C" w:rsidRDefault="005E671C" w:rsidP="005E671C">
            <w:pPr>
              <w:spacing w:after="0" w:line="240" w:lineRule="auto"/>
              <w:jc w:val="center"/>
              <w:rPr>
                <w:rFonts w:ascii="Calibri" w:eastAsia="Times New Roman" w:hAnsi="Calibri" w:cs="Calibri"/>
                <w:lang w:eastAsia="hr-HR"/>
              </w:rPr>
            </w:pPr>
            <w:r w:rsidRPr="005E671C">
              <w:rPr>
                <w:rFonts w:ascii="Calibri" w:eastAsia="Times New Roman" w:hAnsi="Calibri" w:cs="Calibri"/>
                <w:lang w:eastAsia="hr-HR"/>
              </w:rPr>
              <w:t>Obrazovanje</w:t>
            </w:r>
          </w:p>
        </w:tc>
        <w:tc>
          <w:tcPr>
            <w:tcW w:w="595" w:type="dxa"/>
            <w:tcBorders>
              <w:top w:val="nil"/>
              <w:left w:val="nil"/>
              <w:bottom w:val="single" w:sz="4" w:space="0" w:color="auto"/>
              <w:right w:val="single" w:sz="4" w:space="0" w:color="auto"/>
            </w:tcBorders>
            <w:shd w:val="clear" w:color="000000" w:fill="CCFFCC"/>
            <w:vAlign w:val="center"/>
            <w:hideMark/>
          </w:tcPr>
          <w:p w14:paraId="44B21CA9" w14:textId="77777777" w:rsidR="005E671C" w:rsidRPr="005E671C" w:rsidRDefault="005E671C" w:rsidP="005E671C">
            <w:pPr>
              <w:spacing w:after="0" w:line="240" w:lineRule="auto"/>
              <w:jc w:val="center"/>
              <w:rPr>
                <w:rFonts w:ascii="Calibri" w:eastAsia="Times New Roman" w:hAnsi="Calibri" w:cs="Calibri"/>
                <w:lang w:eastAsia="hr-HR"/>
              </w:rPr>
            </w:pPr>
            <w:r w:rsidRPr="005E671C">
              <w:rPr>
                <w:rFonts w:ascii="Calibri" w:eastAsia="Times New Roman" w:hAnsi="Calibri" w:cs="Calibri"/>
                <w:lang w:eastAsia="hr-HR"/>
              </w:rPr>
              <w:t>0</w:t>
            </w:r>
          </w:p>
        </w:tc>
        <w:tc>
          <w:tcPr>
            <w:tcW w:w="549" w:type="dxa"/>
            <w:tcBorders>
              <w:top w:val="nil"/>
              <w:left w:val="nil"/>
              <w:bottom w:val="single" w:sz="4" w:space="0" w:color="auto"/>
              <w:right w:val="single" w:sz="4" w:space="0" w:color="auto"/>
            </w:tcBorders>
            <w:shd w:val="clear" w:color="000000" w:fill="FFCC99"/>
            <w:noWrap/>
            <w:vAlign w:val="center"/>
            <w:hideMark/>
          </w:tcPr>
          <w:p w14:paraId="00024F1F" w14:textId="77777777" w:rsidR="005E671C" w:rsidRPr="005E671C" w:rsidRDefault="005E671C" w:rsidP="005E671C">
            <w:pPr>
              <w:spacing w:after="0" w:line="240" w:lineRule="auto"/>
              <w:jc w:val="center"/>
              <w:rPr>
                <w:rFonts w:ascii="Calibri" w:eastAsia="Times New Roman" w:hAnsi="Calibri" w:cs="Calibri"/>
                <w:lang w:eastAsia="hr-HR"/>
              </w:rPr>
            </w:pPr>
            <w:r w:rsidRPr="005E671C">
              <w:rPr>
                <w:rFonts w:ascii="Calibri" w:eastAsia="Times New Roman" w:hAnsi="Calibri" w:cs="Calibri"/>
                <w:lang w:eastAsia="hr-HR"/>
              </w:rPr>
              <w:t>0</w:t>
            </w:r>
          </w:p>
        </w:tc>
        <w:tc>
          <w:tcPr>
            <w:tcW w:w="441" w:type="dxa"/>
            <w:tcBorders>
              <w:top w:val="nil"/>
              <w:left w:val="nil"/>
              <w:bottom w:val="single" w:sz="4" w:space="0" w:color="auto"/>
              <w:right w:val="single" w:sz="4" w:space="0" w:color="auto"/>
            </w:tcBorders>
            <w:shd w:val="clear" w:color="000000" w:fill="CCFFFF"/>
            <w:noWrap/>
            <w:vAlign w:val="center"/>
            <w:hideMark/>
          </w:tcPr>
          <w:p w14:paraId="73A215ED" w14:textId="77777777" w:rsidR="005E671C" w:rsidRPr="005E671C" w:rsidRDefault="005E671C" w:rsidP="005E671C">
            <w:pPr>
              <w:spacing w:after="0" w:line="240" w:lineRule="auto"/>
              <w:jc w:val="center"/>
              <w:rPr>
                <w:rFonts w:ascii="Calibri" w:eastAsia="Times New Roman" w:hAnsi="Calibri" w:cs="Calibri"/>
                <w:lang w:eastAsia="hr-HR"/>
              </w:rPr>
            </w:pPr>
            <w:r w:rsidRPr="005E671C">
              <w:rPr>
                <w:rFonts w:ascii="Calibri" w:eastAsia="Times New Roman" w:hAnsi="Calibri" w:cs="Calibri"/>
                <w:lang w:eastAsia="hr-HR"/>
              </w:rPr>
              <w:t>0</w:t>
            </w:r>
          </w:p>
        </w:tc>
        <w:tc>
          <w:tcPr>
            <w:tcW w:w="432" w:type="dxa"/>
            <w:tcBorders>
              <w:top w:val="nil"/>
              <w:left w:val="nil"/>
              <w:bottom w:val="single" w:sz="4" w:space="0" w:color="auto"/>
              <w:right w:val="single" w:sz="4" w:space="0" w:color="auto"/>
            </w:tcBorders>
            <w:shd w:val="clear" w:color="000000" w:fill="CCFFFF"/>
            <w:noWrap/>
            <w:vAlign w:val="center"/>
            <w:hideMark/>
          </w:tcPr>
          <w:p w14:paraId="2C3011BF" w14:textId="77777777" w:rsidR="005E671C" w:rsidRPr="005E671C" w:rsidRDefault="005E671C" w:rsidP="005E671C">
            <w:pPr>
              <w:spacing w:after="0" w:line="240" w:lineRule="auto"/>
              <w:jc w:val="center"/>
              <w:rPr>
                <w:rFonts w:ascii="Calibri" w:eastAsia="Times New Roman" w:hAnsi="Calibri" w:cs="Calibri"/>
                <w:lang w:eastAsia="hr-HR"/>
              </w:rPr>
            </w:pPr>
            <w:r w:rsidRPr="005E671C">
              <w:rPr>
                <w:rFonts w:ascii="Calibri" w:eastAsia="Times New Roman" w:hAnsi="Calibri" w:cs="Calibri"/>
                <w:lang w:eastAsia="hr-HR"/>
              </w:rPr>
              <w:t>0</w:t>
            </w:r>
          </w:p>
        </w:tc>
        <w:tc>
          <w:tcPr>
            <w:tcW w:w="421" w:type="dxa"/>
            <w:gridSpan w:val="2"/>
            <w:tcBorders>
              <w:top w:val="nil"/>
              <w:left w:val="nil"/>
              <w:bottom w:val="single" w:sz="4" w:space="0" w:color="auto"/>
              <w:right w:val="single" w:sz="4" w:space="0" w:color="auto"/>
            </w:tcBorders>
            <w:shd w:val="clear" w:color="000000" w:fill="FFFF99"/>
            <w:noWrap/>
            <w:vAlign w:val="center"/>
            <w:hideMark/>
          </w:tcPr>
          <w:p w14:paraId="4B259C56" w14:textId="77777777" w:rsidR="005E671C" w:rsidRPr="005E671C" w:rsidRDefault="005E671C" w:rsidP="005E671C">
            <w:pPr>
              <w:spacing w:after="0" w:line="240" w:lineRule="auto"/>
              <w:jc w:val="center"/>
              <w:rPr>
                <w:rFonts w:ascii="Calibri" w:eastAsia="Times New Roman" w:hAnsi="Calibri" w:cs="Calibri"/>
                <w:lang w:eastAsia="hr-HR"/>
              </w:rPr>
            </w:pPr>
            <w:r w:rsidRPr="005E671C">
              <w:rPr>
                <w:rFonts w:ascii="Calibri" w:eastAsia="Times New Roman" w:hAnsi="Calibri" w:cs="Calibri"/>
                <w:lang w:eastAsia="hr-HR"/>
              </w:rPr>
              <w:t>0</w:t>
            </w:r>
          </w:p>
        </w:tc>
        <w:tc>
          <w:tcPr>
            <w:tcW w:w="431" w:type="dxa"/>
            <w:tcBorders>
              <w:top w:val="nil"/>
              <w:left w:val="nil"/>
              <w:bottom w:val="single" w:sz="4" w:space="0" w:color="auto"/>
              <w:right w:val="single" w:sz="4" w:space="0" w:color="auto"/>
            </w:tcBorders>
            <w:shd w:val="clear" w:color="000000" w:fill="FFFF99"/>
            <w:noWrap/>
            <w:vAlign w:val="center"/>
            <w:hideMark/>
          </w:tcPr>
          <w:p w14:paraId="7CEB61CF" w14:textId="77777777" w:rsidR="005E671C" w:rsidRPr="005E671C" w:rsidRDefault="005E671C" w:rsidP="005E671C">
            <w:pPr>
              <w:spacing w:after="0" w:line="240" w:lineRule="auto"/>
              <w:jc w:val="center"/>
              <w:rPr>
                <w:rFonts w:ascii="Calibri" w:eastAsia="Times New Roman" w:hAnsi="Calibri" w:cs="Calibri"/>
                <w:lang w:eastAsia="hr-HR"/>
              </w:rPr>
            </w:pPr>
            <w:r w:rsidRPr="005E671C">
              <w:rPr>
                <w:rFonts w:ascii="Calibri" w:eastAsia="Times New Roman" w:hAnsi="Calibri" w:cs="Calibri"/>
                <w:lang w:eastAsia="hr-HR"/>
              </w:rPr>
              <w:t>0</w:t>
            </w:r>
          </w:p>
        </w:tc>
        <w:tc>
          <w:tcPr>
            <w:tcW w:w="420" w:type="dxa"/>
            <w:tcBorders>
              <w:top w:val="nil"/>
              <w:left w:val="nil"/>
              <w:bottom w:val="single" w:sz="4" w:space="0" w:color="auto"/>
              <w:right w:val="single" w:sz="4" w:space="0" w:color="auto"/>
            </w:tcBorders>
            <w:shd w:val="clear" w:color="000000" w:fill="FFFF99"/>
            <w:noWrap/>
            <w:vAlign w:val="center"/>
            <w:hideMark/>
          </w:tcPr>
          <w:p w14:paraId="6D1448D8" w14:textId="77777777" w:rsidR="005E671C" w:rsidRPr="005E671C" w:rsidRDefault="005E671C" w:rsidP="005E671C">
            <w:pPr>
              <w:spacing w:after="0" w:line="240" w:lineRule="auto"/>
              <w:jc w:val="center"/>
              <w:rPr>
                <w:rFonts w:ascii="Calibri" w:eastAsia="Times New Roman" w:hAnsi="Calibri" w:cs="Calibri"/>
                <w:lang w:eastAsia="hr-HR"/>
              </w:rPr>
            </w:pPr>
            <w:r w:rsidRPr="005E671C">
              <w:rPr>
                <w:rFonts w:ascii="Calibri" w:eastAsia="Times New Roman" w:hAnsi="Calibri" w:cs="Calibri"/>
                <w:lang w:eastAsia="hr-HR"/>
              </w:rPr>
              <w:t>0</w:t>
            </w:r>
          </w:p>
        </w:tc>
        <w:tc>
          <w:tcPr>
            <w:tcW w:w="429" w:type="dxa"/>
            <w:tcBorders>
              <w:top w:val="nil"/>
              <w:left w:val="nil"/>
              <w:bottom w:val="single" w:sz="4" w:space="0" w:color="auto"/>
              <w:right w:val="single" w:sz="4" w:space="0" w:color="auto"/>
            </w:tcBorders>
            <w:shd w:val="clear" w:color="000000" w:fill="FFFF99"/>
            <w:noWrap/>
            <w:vAlign w:val="center"/>
            <w:hideMark/>
          </w:tcPr>
          <w:p w14:paraId="3E3B700B" w14:textId="77777777" w:rsidR="005E671C" w:rsidRPr="005E671C" w:rsidRDefault="005E671C" w:rsidP="005E671C">
            <w:pPr>
              <w:spacing w:after="0" w:line="240" w:lineRule="auto"/>
              <w:jc w:val="center"/>
              <w:rPr>
                <w:rFonts w:ascii="Calibri" w:eastAsia="Times New Roman" w:hAnsi="Calibri" w:cs="Calibri"/>
                <w:lang w:eastAsia="hr-HR"/>
              </w:rPr>
            </w:pPr>
            <w:r w:rsidRPr="005E671C">
              <w:rPr>
                <w:rFonts w:ascii="Calibri" w:eastAsia="Times New Roman" w:hAnsi="Calibri" w:cs="Calibri"/>
                <w:lang w:eastAsia="hr-HR"/>
              </w:rPr>
              <w:t>0</w:t>
            </w:r>
          </w:p>
        </w:tc>
        <w:tc>
          <w:tcPr>
            <w:tcW w:w="581" w:type="dxa"/>
            <w:tcBorders>
              <w:top w:val="nil"/>
              <w:left w:val="nil"/>
              <w:bottom w:val="single" w:sz="4" w:space="0" w:color="auto"/>
              <w:right w:val="single" w:sz="4" w:space="0" w:color="auto"/>
            </w:tcBorders>
            <w:shd w:val="clear" w:color="000000" w:fill="FFFF99"/>
            <w:noWrap/>
            <w:vAlign w:val="center"/>
            <w:hideMark/>
          </w:tcPr>
          <w:p w14:paraId="09462D4B" w14:textId="77777777" w:rsidR="005E671C" w:rsidRPr="005E671C" w:rsidRDefault="005E671C" w:rsidP="005E671C">
            <w:pPr>
              <w:spacing w:after="0" w:line="240" w:lineRule="auto"/>
              <w:jc w:val="center"/>
              <w:rPr>
                <w:rFonts w:ascii="Calibri" w:eastAsia="Times New Roman" w:hAnsi="Calibri" w:cs="Calibri"/>
                <w:lang w:eastAsia="hr-HR"/>
              </w:rPr>
            </w:pPr>
            <w:r w:rsidRPr="005E671C">
              <w:rPr>
                <w:rFonts w:ascii="Calibri" w:eastAsia="Times New Roman" w:hAnsi="Calibri" w:cs="Calibri"/>
                <w:lang w:eastAsia="hr-HR"/>
              </w:rPr>
              <w:t>0</w:t>
            </w:r>
          </w:p>
        </w:tc>
        <w:tc>
          <w:tcPr>
            <w:tcW w:w="556" w:type="dxa"/>
            <w:gridSpan w:val="2"/>
            <w:tcBorders>
              <w:top w:val="nil"/>
              <w:left w:val="nil"/>
              <w:bottom w:val="single" w:sz="4" w:space="0" w:color="auto"/>
              <w:right w:val="single" w:sz="4" w:space="0" w:color="auto"/>
            </w:tcBorders>
            <w:shd w:val="clear" w:color="000000" w:fill="FF9900"/>
            <w:noWrap/>
            <w:vAlign w:val="center"/>
            <w:hideMark/>
          </w:tcPr>
          <w:p w14:paraId="64443ACF" w14:textId="77777777" w:rsidR="005E671C" w:rsidRPr="005E671C" w:rsidRDefault="005E671C" w:rsidP="005E671C">
            <w:pPr>
              <w:spacing w:after="0" w:line="240" w:lineRule="auto"/>
              <w:jc w:val="center"/>
              <w:rPr>
                <w:rFonts w:ascii="Calibri" w:eastAsia="Times New Roman" w:hAnsi="Calibri" w:cs="Calibri"/>
                <w:lang w:eastAsia="hr-HR"/>
              </w:rPr>
            </w:pPr>
            <w:r w:rsidRPr="005E671C">
              <w:rPr>
                <w:rFonts w:ascii="Calibri" w:eastAsia="Times New Roman" w:hAnsi="Calibri" w:cs="Calibri"/>
                <w:lang w:eastAsia="hr-HR"/>
              </w:rPr>
              <w:t>0</w:t>
            </w:r>
          </w:p>
        </w:tc>
        <w:tc>
          <w:tcPr>
            <w:tcW w:w="574" w:type="dxa"/>
            <w:tcBorders>
              <w:top w:val="nil"/>
              <w:left w:val="nil"/>
              <w:bottom w:val="single" w:sz="4" w:space="0" w:color="auto"/>
              <w:right w:val="single" w:sz="4" w:space="0" w:color="auto"/>
            </w:tcBorders>
            <w:shd w:val="clear" w:color="000000" w:fill="FF9900"/>
            <w:noWrap/>
            <w:vAlign w:val="center"/>
            <w:hideMark/>
          </w:tcPr>
          <w:p w14:paraId="2891099E" w14:textId="77777777" w:rsidR="005E671C" w:rsidRPr="005E671C" w:rsidRDefault="005E671C" w:rsidP="005E671C">
            <w:pPr>
              <w:spacing w:after="0" w:line="240" w:lineRule="auto"/>
              <w:jc w:val="center"/>
              <w:rPr>
                <w:rFonts w:ascii="Calibri" w:eastAsia="Times New Roman" w:hAnsi="Calibri" w:cs="Calibri"/>
                <w:lang w:eastAsia="hr-HR"/>
              </w:rPr>
            </w:pPr>
            <w:r w:rsidRPr="005E671C">
              <w:rPr>
                <w:rFonts w:ascii="Calibri" w:eastAsia="Times New Roman" w:hAnsi="Calibri" w:cs="Calibri"/>
                <w:lang w:eastAsia="hr-HR"/>
              </w:rPr>
              <w:t>0</w:t>
            </w:r>
          </w:p>
        </w:tc>
        <w:tc>
          <w:tcPr>
            <w:tcW w:w="434" w:type="dxa"/>
            <w:tcBorders>
              <w:top w:val="nil"/>
              <w:left w:val="nil"/>
              <w:bottom w:val="single" w:sz="4" w:space="0" w:color="auto"/>
              <w:right w:val="single" w:sz="4" w:space="0" w:color="auto"/>
            </w:tcBorders>
            <w:shd w:val="clear" w:color="000000" w:fill="FF9900"/>
            <w:noWrap/>
            <w:vAlign w:val="center"/>
            <w:hideMark/>
          </w:tcPr>
          <w:p w14:paraId="5F2AB3E2" w14:textId="77777777" w:rsidR="005E671C" w:rsidRPr="005E671C" w:rsidRDefault="005E671C" w:rsidP="005E671C">
            <w:pPr>
              <w:spacing w:after="0" w:line="240" w:lineRule="auto"/>
              <w:jc w:val="center"/>
              <w:rPr>
                <w:rFonts w:ascii="Calibri" w:eastAsia="Times New Roman" w:hAnsi="Calibri" w:cs="Calibri"/>
                <w:lang w:eastAsia="hr-HR"/>
              </w:rPr>
            </w:pPr>
            <w:r w:rsidRPr="005E671C">
              <w:rPr>
                <w:rFonts w:ascii="Calibri" w:eastAsia="Times New Roman" w:hAnsi="Calibri" w:cs="Calibri"/>
                <w:lang w:eastAsia="hr-HR"/>
              </w:rPr>
              <w:t>0</w:t>
            </w:r>
          </w:p>
        </w:tc>
        <w:tc>
          <w:tcPr>
            <w:tcW w:w="443" w:type="dxa"/>
            <w:gridSpan w:val="2"/>
            <w:tcBorders>
              <w:top w:val="nil"/>
              <w:left w:val="nil"/>
              <w:bottom w:val="single" w:sz="4" w:space="0" w:color="auto"/>
              <w:right w:val="single" w:sz="4" w:space="0" w:color="auto"/>
            </w:tcBorders>
            <w:shd w:val="clear" w:color="000000" w:fill="66FFCC"/>
            <w:noWrap/>
            <w:vAlign w:val="center"/>
            <w:hideMark/>
          </w:tcPr>
          <w:p w14:paraId="0443DBDE" w14:textId="77777777" w:rsidR="005E671C" w:rsidRPr="005E671C" w:rsidRDefault="005E671C" w:rsidP="005E671C">
            <w:pPr>
              <w:spacing w:after="0" w:line="240" w:lineRule="auto"/>
              <w:jc w:val="center"/>
              <w:rPr>
                <w:rFonts w:ascii="Calibri" w:eastAsia="Times New Roman" w:hAnsi="Calibri" w:cs="Calibri"/>
                <w:lang w:eastAsia="hr-HR"/>
              </w:rPr>
            </w:pPr>
            <w:r w:rsidRPr="005E671C">
              <w:rPr>
                <w:rFonts w:ascii="Calibri" w:eastAsia="Times New Roman" w:hAnsi="Calibri" w:cs="Calibri"/>
                <w:lang w:eastAsia="hr-HR"/>
              </w:rPr>
              <w:t>0</w:t>
            </w:r>
          </w:p>
        </w:tc>
        <w:tc>
          <w:tcPr>
            <w:tcW w:w="698" w:type="dxa"/>
            <w:tcBorders>
              <w:top w:val="nil"/>
              <w:left w:val="nil"/>
              <w:bottom w:val="single" w:sz="4" w:space="0" w:color="auto"/>
              <w:right w:val="single" w:sz="4" w:space="0" w:color="auto"/>
            </w:tcBorders>
            <w:shd w:val="clear" w:color="000000" w:fill="66FFCC"/>
            <w:noWrap/>
            <w:vAlign w:val="center"/>
            <w:hideMark/>
          </w:tcPr>
          <w:p w14:paraId="3A56834E" w14:textId="77777777" w:rsidR="005E671C" w:rsidRPr="005E671C" w:rsidRDefault="005E671C" w:rsidP="005E671C">
            <w:pPr>
              <w:spacing w:after="0" w:line="240" w:lineRule="auto"/>
              <w:jc w:val="center"/>
              <w:rPr>
                <w:rFonts w:ascii="Calibri" w:eastAsia="Times New Roman" w:hAnsi="Calibri" w:cs="Calibri"/>
                <w:lang w:eastAsia="hr-HR"/>
              </w:rPr>
            </w:pPr>
            <w:r w:rsidRPr="005E671C">
              <w:rPr>
                <w:rFonts w:ascii="Calibri" w:eastAsia="Times New Roman" w:hAnsi="Calibri" w:cs="Calibri"/>
                <w:lang w:eastAsia="hr-HR"/>
              </w:rPr>
              <w:t>0</w:t>
            </w:r>
          </w:p>
        </w:tc>
        <w:tc>
          <w:tcPr>
            <w:tcW w:w="574" w:type="dxa"/>
            <w:tcBorders>
              <w:top w:val="nil"/>
              <w:left w:val="nil"/>
              <w:bottom w:val="single" w:sz="4" w:space="0" w:color="auto"/>
              <w:right w:val="single" w:sz="4" w:space="0" w:color="auto"/>
            </w:tcBorders>
            <w:shd w:val="clear" w:color="000000" w:fill="66FFCC"/>
            <w:noWrap/>
            <w:vAlign w:val="center"/>
            <w:hideMark/>
          </w:tcPr>
          <w:p w14:paraId="23F80EE5" w14:textId="77777777" w:rsidR="005E671C" w:rsidRPr="005E671C" w:rsidRDefault="005E671C" w:rsidP="005E671C">
            <w:pPr>
              <w:spacing w:after="0" w:line="240" w:lineRule="auto"/>
              <w:jc w:val="center"/>
              <w:rPr>
                <w:rFonts w:ascii="Calibri" w:eastAsia="Times New Roman" w:hAnsi="Calibri" w:cs="Calibri"/>
                <w:lang w:eastAsia="hr-HR"/>
              </w:rPr>
            </w:pPr>
            <w:r w:rsidRPr="005E671C">
              <w:rPr>
                <w:rFonts w:ascii="Calibri" w:eastAsia="Times New Roman" w:hAnsi="Calibri" w:cs="Calibri"/>
                <w:lang w:eastAsia="hr-HR"/>
              </w:rPr>
              <w:t>0</w:t>
            </w:r>
          </w:p>
        </w:tc>
        <w:tc>
          <w:tcPr>
            <w:tcW w:w="560" w:type="dxa"/>
            <w:tcBorders>
              <w:top w:val="nil"/>
              <w:left w:val="nil"/>
              <w:bottom w:val="single" w:sz="4" w:space="0" w:color="auto"/>
              <w:right w:val="single" w:sz="4" w:space="0" w:color="auto"/>
            </w:tcBorders>
            <w:shd w:val="clear" w:color="000000" w:fill="66FFCC"/>
            <w:noWrap/>
            <w:vAlign w:val="center"/>
            <w:hideMark/>
          </w:tcPr>
          <w:p w14:paraId="7E602C92" w14:textId="77777777" w:rsidR="005E671C" w:rsidRPr="005E671C" w:rsidRDefault="005E671C" w:rsidP="005E671C">
            <w:pPr>
              <w:spacing w:after="0" w:line="240" w:lineRule="auto"/>
              <w:jc w:val="center"/>
              <w:rPr>
                <w:rFonts w:ascii="Calibri" w:eastAsia="Times New Roman" w:hAnsi="Calibri" w:cs="Calibri"/>
                <w:lang w:eastAsia="hr-HR"/>
              </w:rPr>
            </w:pPr>
            <w:r w:rsidRPr="005E671C">
              <w:rPr>
                <w:rFonts w:ascii="Calibri" w:eastAsia="Times New Roman" w:hAnsi="Calibri" w:cs="Calibri"/>
                <w:lang w:eastAsia="hr-HR"/>
              </w:rPr>
              <w:t>0</w:t>
            </w:r>
          </w:p>
        </w:tc>
        <w:tc>
          <w:tcPr>
            <w:tcW w:w="430" w:type="dxa"/>
            <w:gridSpan w:val="2"/>
            <w:tcBorders>
              <w:top w:val="nil"/>
              <w:left w:val="nil"/>
              <w:bottom w:val="single" w:sz="4" w:space="0" w:color="auto"/>
              <w:right w:val="single" w:sz="4" w:space="0" w:color="auto"/>
            </w:tcBorders>
            <w:shd w:val="clear" w:color="000000" w:fill="FFFF00"/>
            <w:vAlign w:val="center"/>
            <w:hideMark/>
          </w:tcPr>
          <w:p w14:paraId="4A9AE4E2" w14:textId="77777777" w:rsidR="005E671C" w:rsidRPr="005E671C" w:rsidRDefault="005E671C" w:rsidP="005E671C">
            <w:pPr>
              <w:spacing w:after="0" w:line="240" w:lineRule="auto"/>
              <w:jc w:val="center"/>
              <w:rPr>
                <w:rFonts w:ascii="Calibri" w:eastAsia="Times New Roman" w:hAnsi="Calibri" w:cs="Calibri"/>
                <w:lang w:eastAsia="hr-HR"/>
              </w:rPr>
            </w:pPr>
            <w:r w:rsidRPr="005E671C">
              <w:rPr>
                <w:rFonts w:ascii="Calibri" w:eastAsia="Times New Roman" w:hAnsi="Calibri" w:cs="Calibri"/>
                <w:lang w:eastAsia="hr-HR"/>
              </w:rPr>
              <w:t>0</w:t>
            </w:r>
          </w:p>
        </w:tc>
        <w:tc>
          <w:tcPr>
            <w:tcW w:w="425" w:type="dxa"/>
            <w:gridSpan w:val="2"/>
            <w:tcBorders>
              <w:top w:val="nil"/>
              <w:left w:val="nil"/>
              <w:bottom w:val="single" w:sz="4" w:space="0" w:color="auto"/>
              <w:right w:val="single" w:sz="4" w:space="0" w:color="auto"/>
            </w:tcBorders>
            <w:shd w:val="clear" w:color="000000" w:fill="FFFF99"/>
            <w:vAlign w:val="center"/>
            <w:hideMark/>
          </w:tcPr>
          <w:p w14:paraId="334B9814" w14:textId="77777777" w:rsidR="005E671C" w:rsidRPr="005E671C" w:rsidRDefault="005E671C" w:rsidP="005E671C">
            <w:pPr>
              <w:spacing w:after="0" w:line="240" w:lineRule="auto"/>
              <w:jc w:val="center"/>
              <w:rPr>
                <w:rFonts w:ascii="Calibri" w:eastAsia="Times New Roman" w:hAnsi="Calibri" w:cs="Calibri"/>
                <w:lang w:eastAsia="hr-HR"/>
              </w:rPr>
            </w:pPr>
            <w:r w:rsidRPr="005E671C">
              <w:rPr>
                <w:rFonts w:ascii="Calibri" w:eastAsia="Times New Roman" w:hAnsi="Calibri" w:cs="Calibri"/>
                <w:lang w:eastAsia="hr-HR"/>
              </w:rPr>
              <w:t>0</w:t>
            </w:r>
          </w:p>
        </w:tc>
        <w:tc>
          <w:tcPr>
            <w:tcW w:w="540" w:type="dxa"/>
            <w:gridSpan w:val="2"/>
            <w:tcBorders>
              <w:top w:val="nil"/>
              <w:left w:val="nil"/>
              <w:bottom w:val="single" w:sz="4" w:space="0" w:color="auto"/>
              <w:right w:val="single" w:sz="4" w:space="0" w:color="auto"/>
            </w:tcBorders>
            <w:shd w:val="clear" w:color="000000" w:fill="FF9900"/>
            <w:vAlign w:val="center"/>
            <w:hideMark/>
          </w:tcPr>
          <w:p w14:paraId="76161945" w14:textId="77777777" w:rsidR="005E671C" w:rsidRPr="005E671C" w:rsidRDefault="005E671C" w:rsidP="005E671C">
            <w:pPr>
              <w:spacing w:after="0" w:line="240" w:lineRule="auto"/>
              <w:jc w:val="center"/>
              <w:rPr>
                <w:rFonts w:ascii="Calibri" w:eastAsia="Times New Roman" w:hAnsi="Calibri" w:cs="Calibri"/>
                <w:lang w:eastAsia="hr-HR"/>
              </w:rPr>
            </w:pPr>
            <w:r w:rsidRPr="005E671C">
              <w:rPr>
                <w:rFonts w:ascii="Calibri" w:eastAsia="Times New Roman" w:hAnsi="Calibri" w:cs="Calibri"/>
                <w:lang w:eastAsia="hr-HR"/>
              </w:rPr>
              <w:t>0</w:t>
            </w:r>
          </w:p>
        </w:tc>
        <w:tc>
          <w:tcPr>
            <w:tcW w:w="435" w:type="dxa"/>
            <w:tcBorders>
              <w:top w:val="nil"/>
              <w:left w:val="nil"/>
              <w:bottom w:val="single" w:sz="4" w:space="0" w:color="auto"/>
              <w:right w:val="single" w:sz="4" w:space="0" w:color="auto"/>
            </w:tcBorders>
            <w:shd w:val="clear" w:color="000000" w:fill="CCFFFF"/>
            <w:vAlign w:val="center"/>
            <w:hideMark/>
          </w:tcPr>
          <w:p w14:paraId="48D45C62" w14:textId="77777777" w:rsidR="005E671C" w:rsidRPr="005E671C" w:rsidRDefault="005E671C" w:rsidP="005E671C">
            <w:pPr>
              <w:spacing w:after="0" w:line="240" w:lineRule="auto"/>
              <w:jc w:val="center"/>
              <w:rPr>
                <w:rFonts w:ascii="Calibri" w:eastAsia="Times New Roman" w:hAnsi="Calibri" w:cs="Calibri"/>
                <w:lang w:eastAsia="hr-HR"/>
              </w:rPr>
            </w:pPr>
            <w:r w:rsidRPr="005E671C">
              <w:rPr>
                <w:rFonts w:ascii="Calibri" w:eastAsia="Times New Roman" w:hAnsi="Calibri" w:cs="Calibri"/>
                <w:lang w:eastAsia="hr-HR"/>
              </w:rPr>
              <w:t>0</w:t>
            </w:r>
          </w:p>
        </w:tc>
        <w:tc>
          <w:tcPr>
            <w:tcW w:w="655" w:type="dxa"/>
            <w:tcBorders>
              <w:top w:val="nil"/>
              <w:left w:val="nil"/>
              <w:bottom w:val="single" w:sz="4" w:space="0" w:color="auto"/>
              <w:right w:val="single" w:sz="4" w:space="0" w:color="auto"/>
            </w:tcBorders>
            <w:shd w:val="clear" w:color="000000" w:fill="CCFFFF"/>
            <w:vAlign w:val="center"/>
            <w:hideMark/>
          </w:tcPr>
          <w:p w14:paraId="15E9003C" w14:textId="77777777" w:rsidR="005E671C" w:rsidRPr="005E671C" w:rsidRDefault="005E671C" w:rsidP="005E671C">
            <w:pPr>
              <w:spacing w:after="0" w:line="240" w:lineRule="auto"/>
              <w:jc w:val="center"/>
              <w:rPr>
                <w:rFonts w:ascii="Calibri" w:eastAsia="Times New Roman" w:hAnsi="Calibri" w:cs="Calibri"/>
                <w:lang w:eastAsia="hr-HR"/>
              </w:rPr>
            </w:pPr>
            <w:r w:rsidRPr="005E671C">
              <w:rPr>
                <w:rFonts w:ascii="Calibri" w:eastAsia="Times New Roman" w:hAnsi="Calibri" w:cs="Calibri"/>
                <w:lang w:eastAsia="hr-HR"/>
              </w:rPr>
              <w:t>0</w:t>
            </w:r>
          </w:p>
        </w:tc>
        <w:tc>
          <w:tcPr>
            <w:tcW w:w="645" w:type="dxa"/>
            <w:tcBorders>
              <w:top w:val="nil"/>
              <w:left w:val="nil"/>
              <w:bottom w:val="single" w:sz="4" w:space="0" w:color="auto"/>
              <w:right w:val="single" w:sz="4" w:space="0" w:color="auto"/>
            </w:tcBorders>
            <w:shd w:val="clear" w:color="000000" w:fill="CCFFFF"/>
            <w:vAlign w:val="center"/>
            <w:hideMark/>
          </w:tcPr>
          <w:p w14:paraId="26BAAF1A" w14:textId="77777777" w:rsidR="005E671C" w:rsidRPr="005E671C" w:rsidRDefault="005E671C" w:rsidP="005E671C">
            <w:pPr>
              <w:spacing w:after="0" w:line="240" w:lineRule="auto"/>
              <w:jc w:val="center"/>
              <w:rPr>
                <w:rFonts w:ascii="Calibri" w:eastAsia="Times New Roman" w:hAnsi="Calibri" w:cs="Calibri"/>
                <w:lang w:eastAsia="hr-HR"/>
              </w:rPr>
            </w:pPr>
            <w:r w:rsidRPr="005E671C">
              <w:rPr>
                <w:rFonts w:ascii="Calibri" w:eastAsia="Times New Roman" w:hAnsi="Calibri" w:cs="Calibri"/>
                <w:lang w:eastAsia="hr-HR"/>
              </w:rPr>
              <w:t>0</w:t>
            </w:r>
          </w:p>
        </w:tc>
        <w:tc>
          <w:tcPr>
            <w:tcW w:w="699" w:type="dxa"/>
            <w:tcBorders>
              <w:top w:val="nil"/>
              <w:left w:val="nil"/>
              <w:bottom w:val="single" w:sz="4" w:space="0" w:color="auto"/>
              <w:right w:val="nil"/>
            </w:tcBorders>
            <w:shd w:val="clear" w:color="000000" w:fill="33CCCC"/>
            <w:noWrap/>
            <w:vAlign w:val="center"/>
            <w:hideMark/>
          </w:tcPr>
          <w:p w14:paraId="62DC3FDA" w14:textId="77777777" w:rsidR="005E671C" w:rsidRPr="005E671C" w:rsidRDefault="005E671C" w:rsidP="005E671C">
            <w:pPr>
              <w:spacing w:after="0" w:line="240" w:lineRule="auto"/>
              <w:jc w:val="center"/>
              <w:rPr>
                <w:rFonts w:ascii="Calibri" w:eastAsia="Times New Roman" w:hAnsi="Calibri" w:cs="Calibri"/>
                <w:lang w:eastAsia="hr-HR"/>
              </w:rPr>
            </w:pPr>
            <w:r w:rsidRPr="005E671C">
              <w:rPr>
                <w:rFonts w:ascii="Calibri" w:eastAsia="Times New Roman" w:hAnsi="Calibri" w:cs="Calibri"/>
                <w:lang w:eastAsia="hr-HR"/>
              </w:rPr>
              <w:t>0</w:t>
            </w:r>
          </w:p>
        </w:tc>
        <w:tc>
          <w:tcPr>
            <w:tcW w:w="700" w:type="dxa"/>
            <w:tcBorders>
              <w:top w:val="nil"/>
              <w:left w:val="single" w:sz="4" w:space="0" w:color="auto"/>
              <w:bottom w:val="single" w:sz="4" w:space="0" w:color="auto"/>
              <w:right w:val="single" w:sz="8" w:space="0" w:color="auto"/>
            </w:tcBorders>
            <w:shd w:val="clear" w:color="000000" w:fill="33CCCC"/>
            <w:noWrap/>
            <w:vAlign w:val="center"/>
            <w:hideMark/>
          </w:tcPr>
          <w:p w14:paraId="368A6C02" w14:textId="77777777" w:rsidR="005E671C" w:rsidRPr="005E671C" w:rsidRDefault="005E671C" w:rsidP="005E671C">
            <w:pPr>
              <w:spacing w:after="0" w:line="240" w:lineRule="auto"/>
              <w:jc w:val="center"/>
              <w:rPr>
                <w:rFonts w:ascii="Calibri" w:eastAsia="Times New Roman" w:hAnsi="Calibri" w:cs="Calibri"/>
                <w:lang w:eastAsia="hr-HR"/>
              </w:rPr>
            </w:pPr>
            <w:r w:rsidRPr="005E671C">
              <w:rPr>
                <w:rFonts w:ascii="Calibri" w:eastAsia="Times New Roman" w:hAnsi="Calibri" w:cs="Calibri"/>
                <w:lang w:eastAsia="hr-HR"/>
              </w:rPr>
              <w:t>0</w:t>
            </w:r>
          </w:p>
        </w:tc>
        <w:tc>
          <w:tcPr>
            <w:tcW w:w="239" w:type="dxa"/>
            <w:gridSpan w:val="2"/>
            <w:vAlign w:val="center"/>
            <w:hideMark/>
          </w:tcPr>
          <w:p w14:paraId="775E4C16" w14:textId="77777777" w:rsidR="005E671C" w:rsidRPr="005E671C" w:rsidRDefault="005E671C" w:rsidP="005E671C">
            <w:pPr>
              <w:spacing w:after="0" w:line="240" w:lineRule="auto"/>
              <w:rPr>
                <w:rFonts w:ascii="Times New Roman" w:eastAsia="Times New Roman" w:hAnsi="Times New Roman" w:cs="Times New Roman"/>
                <w:sz w:val="20"/>
                <w:szCs w:val="20"/>
                <w:lang w:eastAsia="hr-HR"/>
              </w:rPr>
            </w:pPr>
          </w:p>
        </w:tc>
      </w:tr>
      <w:tr w:rsidR="005E671C" w:rsidRPr="005E671C" w14:paraId="363E7BF2" w14:textId="77777777" w:rsidTr="001752B7">
        <w:trPr>
          <w:gridAfter w:val="1"/>
          <w:wAfter w:w="23" w:type="dxa"/>
          <w:trHeight w:val="300"/>
        </w:trPr>
        <w:tc>
          <w:tcPr>
            <w:tcW w:w="1408" w:type="dxa"/>
            <w:tcBorders>
              <w:top w:val="single" w:sz="4" w:space="0" w:color="auto"/>
              <w:left w:val="single" w:sz="8" w:space="0" w:color="auto"/>
              <w:bottom w:val="single" w:sz="4" w:space="0" w:color="auto"/>
              <w:right w:val="single" w:sz="4" w:space="0" w:color="auto"/>
            </w:tcBorders>
            <w:shd w:val="clear" w:color="000000" w:fill="CCFFCC"/>
            <w:vAlign w:val="center"/>
            <w:hideMark/>
          </w:tcPr>
          <w:p w14:paraId="625FE6AC" w14:textId="77777777" w:rsidR="005E671C" w:rsidRPr="005E671C" w:rsidRDefault="005E671C" w:rsidP="005E671C">
            <w:pPr>
              <w:spacing w:after="0" w:line="240" w:lineRule="auto"/>
              <w:jc w:val="center"/>
              <w:rPr>
                <w:rFonts w:ascii="Calibri" w:eastAsia="Times New Roman" w:hAnsi="Calibri" w:cs="Calibri"/>
                <w:lang w:eastAsia="hr-HR"/>
              </w:rPr>
            </w:pPr>
            <w:r w:rsidRPr="005E671C">
              <w:rPr>
                <w:rFonts w:ascii="Calibri" w:eastAsia="Times New Roman" w:hAnsi="Calibri" w:cs="Calibri"/>
                <w:lang w:eastAsia="hr-HR"/>
              </w:rPr>
              <w:t>Zdravstveno stanje</w:t>
            </w:r>
          </w:p>
        </w:tc>
        <w:tc>
          <w:tcPr>
            <w:tcW w:w="595" w:type="dxa"/>
            <w:tcBorders>
              <w:top w:val="nil"/>
              <w:left w:val="nil"/>
              <w:bottom w:val="single" w:sz="4" w:space="0" w:color="auto"/>
              <w:right w:val="single" w:sz="4" w:space="0" w:color="auto"/>
            </w:tcBorders>
            <w:shd w:val="clear" w:color="000000" w:fill="CCFFCC"/>
            <w:vAlign w:val="center"/>
            <w:hideMark/>
          </w:tcPr>
          <w:p w14:paraId="1421336C" w14:textId="77777777" w:rsidR="005E671C" w:rsidRPr="005E671C" w:rsidRDefault="005E671C" w:rsidP="005E671C">
            <w:pPr>
              <w:spacing w:after="0" w:line="240" w:lineRule="auto"/>
              <w:jc w:val="center"/>
              <w:rPr>
                <w:rFonts w:ascii="Calibri" w:eastAsia="Times New Roman" w:hAnsi="Calibri" w:cs="Calibri"/>
                <w:lang w:eastAsia="hr-HR"/>
              </w:rPr>
            </w:pPr>
            <w:r w:rsidRPr="005E671C">
              <w:rPr>
                <w:rFonts w:ascii="Calibri" w:eastAsia="Times New Roman" w:hAnsi="Calibri" w:cs="Calibri"/>
                <w:lang w:eastAsia="hr-HR"/>
              </w:rPr>
              <w:t>1</w:t>
            </w:r>
          </w:p>
        </w:tc>
        <w:tc>
          <w:tcPr>
            <w:tcW w:w="549" w:type="dxa"/>
            <w:tcBorders>
              <w:top w:val="nil"/>
              <w:left w:val="nil"/>
              <w:bottom w:val="single" w:sz="4" w:space="0" w:color="auto"/>
              <w:right w:val="single" w:sz="4" w:space="0" w:color="auto"/>
            </w:tcBorders>
            <w:shd w:val="clear" w:color="000000" w:fill="FFCC99"/>
            <w:noWrap/>
            <w:vAlign w:val="center"/>
            <w:hideMark/>
          </w:tcPr>
          <w:p w14:paraId="58BE6F07" w14:textId="77777777" w:rsidR="005E671C" w:rsidRPr="005E671C" w:rsidRDefault="005E671C" w:rsidP="005E671C">
            <w:pPr>
              <w:spacing w:after="0" w:line="240" w:lineRule="auto"/>
              <w:jc w:val="center"/>
              <w:rPr>
                <w:rFonts w:ascii="Calibri" w:eastAsia="Times New Roman" w:hAnsi="Calibri" w:cs="Calibri"/>
                <w:lang w:eastAsia="hr-HR"/>
              </w:rPr>
            </w:pPr>
            <w:r w:rsidRPr="005E671C">
              <w:rPr>
                <w:rFonts w:ascii="Calibri" w:eastAsia="Times New Roman" w:hAnsi="Calibri" w:cs="Calibri"/>
                <w:lang w:eastAsia="hr-HR"/>
              </w:rPr>
              <w:t>1</w:t>
            </w:r>
          </w:p>
        </w:tc>
        <w:tc>
          <w:tcPr>
            <w:tcW w:w="441" w:type="dxa"/>
            <w:tcBorders>
              <w:top w:val="nil"/>
              <w:left w:val="nil"/>
              <w:bottom w:val="single" w:sz="4" w:space="0" w:color="auto"/>
              <w:right w:val="single" w:sz="4" w:space="0" w:color="auto"/>
            </w:tcBorders>
            <w:shd w:val="clear" w:color="000000" w:fill="CCFFFF"/>
            <w:noWrap/>
            <w:vAlign w:val="center"/>
            <w:hideMark/>
          </w:tcPr>
          <w:p w14:paraId="1CB6539C" w14:textId="77777777" w:rsidR="005E671C" w:rsidRPr="005E671C" w:rsidRDefault="005E671C" w:rsidP="005E671C">
            <w:pPr>
              <w:spacing w:after="0" w:line="240" w:lineRule="auto"/>
              <w:jc w:val="center"/>
              <w:rPr>
                <w:rFonts w:ascii="Calibri" w:eastAsia="Times New Roman" w:hAnsi="Calibri" w:cs="Calibri"/>
                <w:lang w:eastAsia="hr-HR"/>
              </w:rPr>
            </w:pPr>
            <w:r w:rsidRPr="005E671C">
              <w:rPr>
                <w:rFonts w:ascii="Calibri" w:eastAsia="Times New Roman" w:hAnsi="Calibri" w:cs="Calibri"/>
                <w:lang w:eastAsia="hr-HR"/>
              </w:rPr>
              <w:t>1</w:t>
            </w:r>
          </w:p>
        </w:tc>
        <w:tc>
          <w:tcPr>
            <w:tcW w:w="432" w:type="dxa"/>
            <w:tcBorders>
              <w:top w:val="nil"/>
              <w:left w:val="nil"/>
              <w:bottom w:val="single" w:sz="4" w:space="0" w:color="auto"/>
              <w:right w:val="single" w:sz="4" w:space="0" w:color="auto"/>
            </w:tcBorders>
            <w:shd w:val="clear" w:color="000000" w:fill="CCFFFF"/>
            <w:noWrap/>
            <w:vAlign w:val="center"/>
            <w:hideMark/>
          </w:tcPr>
          <w:p w14:paraId="19B24903" w14:textId="77777777" w:rsidR="005E671C" w:rsidRPr="005E671C" w:rsidRDefault="005E671C" w:rsidP="005E671C">
            <w:pPr>
              <w:spacing w:after="0" w:line="240" w:lineRule="auto"/>
              <w:jc w:val="center"/>
              <w:rPr>
                <w:rFonts w:ascii="Calibri" w:eastAsia="Times New Roman" w:hAnsi="Calibri" w:cs="Calibri"/>
                <w:lang w:eastAsia="hr-HR"/>
              </w:rPr>
            </w:pPr>
            <w:r w:rsidRPr="005E671C">
              <w:rPr>
                <w:rFonts w:ascii="Calibri" w:eastAsia="Times New Roman" w:hAnsi="Calibri" w:cs="Calibri"/>
                <w:lang w:eastAsia="hr-HR"/>
              </w:rPr>
              <w:t>0</w:t>
            </w:r>
          </w:p>
        </w:tc>
        <w:tc>
          <w:tcPr>
            <w:tcW w:w="421" w:type="dxa"/>
            <w:gridSpan w:val="2"/>
            <w:tcBorders>
              <w:top w:val="nil"/>
              <w:left w:val="nil"/>
              <w:bottom w:val="single" w:sz="4" w:space="0" w:color="auto"/>
              <w:right w:val="single" w:sz="4" w:space="0" w:color="auto"/>
            </w:tcBorders>
            <w:shd w:val="clear" w:color="000000" w:fill="FFFF99"/>
            <w:noWrap/>
            <w:vAlign w:val="center"/>
            <w:hideMark/>
          </w:tcPr>
          <w:p w14:paraId="67A7BA8D" w14:textId="77777777" w:rsidR="005E671C" w:rsidRPr="005E671C" w:rsidRDefault="005E671C" w:rsidP="005E671C">
            <w:pPr>
              <w:spacing w:after="0" w:line="240" w:lineRule="auto"/>
              <w:jc w:val="center"/>
              <w:rPr>
                <w:rFonts w:ascii="Calibri" w:eastAsia="Times New Roman" w:hAnsi="Calibri" w:cs="Calibri"/>
                <w:lang w:eastAsia="hr-HR"/>
              </w:rPr>
            </w:pPr>
            <w:r w:rsidRPr="005E671C">
              <w:rPr>
                <w:rFonts w:ascii="Calibri" w:eastAsia="Times New Roman" w:hAnsi="Calibri" w:cs="Calibri"/>
                <w:lang w:eastAsia="hr-HR"/>
              </w:rPr>
              <w:t>1</w:t>
            </w:r>
          </w:p>
        </w:tc>
        <w:tc>
          <w:tcPr>
            <w:tcW w:w="431" w:type="dxa"/>
            <w:tcBorders>
              <w:top w:val="nil"/>
              <w:left w:val="nil"/>
              <w:bottom w:val="single" w:sz="4" w:space="0" w:color="auto"/>
              <w:right w:val="single" w:sz="4" w:space="0" w:color="auto"/>
            </w:tcBorders>
            <w:shd w:val="clear" w:color="000000" w:fill="FFFF99"/>
            <w:noWrap/>
            <w:vAlign w:val="center"/>
            <w:hideMark/>
          </w:tcPr>
          <w:p w14:paraId="28AC917C" w14:textId="77777777" w:rsidR="005E671C" w:rsidRPr="005E671C" w:rsidRDefault="005E671C" w:rsidP="005E671C">
            <w:pPr>
              <w:spacing w:after="0" w:line="240" w:lineRule="auto"/>
              <w:jc w:val="center"/>
              <w:rPr>
                <w:rFonts w:ascii="Calibri" w:eastAsia="Times New Roman" w:hAnsi="Calibri" w:cs="Calibri"/>
                <w:lang w:eastAsia="hr-HR"/>
              </w:rPr>
            </w:pPr>
            <w:r w:rsidRPr="005E671C">
              <w:rPr>
                <w:rFonts w:ascii="Calibri" w:eastAsia="Times New Roman" w:hAnsi="Calibri" w:cs="Calibri"/>
                <w:lang w:eastAsia="hr-HR"/>
              </w:rPr>
              <w:t>0</w:t>
            </w:r>
          </w:p>
        </w:tc>
        <w:tc>
          <w:tcPr>
            <w:tcW w:w="420" w:type="dxa"/>
            <w:tcBorders>
              <w:top w:val="nil"/>
              <w:left w:val="nil"/>
              <w:bottom w:val="single" w:sz="4" w:space="0" w:color="auto"/>
              <w:right w:val="single" w:sz="4" w:space="0" w:color="auto"/>
            </w:tcBorders>
            <w:shd w:val="clear" w:color="000000" w:fill="FFFF99"/>
            <w:noWrap/>
            <w:vAlign w:val="center"/>
            <w:hideMark/>
          </w:tcPr>
          <w:p w14:paraId="7F5608DA" w14:textId="77777777" w:rsidR="005E671C" w:rsidRPr="005E671C" w:rsidRDefault="005E671C" w:rsidP="005E671C">
            <w:pPr>
              <w:spacing w:after="0" w:line="240" w:lineRule="auto"/>
              <w:jc w:val="center"/>
              <w:rPr>
                <w:rFonts w:ascii="Calibri" w:eastAsia="Times New Roman" w:hAnsi="Calibri" w:cs="Calibri"/>
                <w:lang w:eastAsia="hr-HR"/>
              </w:rPr>
            </w:pPr>
            <w:r w:rsidRPr="005E671C">
              <w:rPr>
                <w:rFonts w:ascii="Calibri" w:eastAsia="Times New Roman" w:hAnsi="Calibri" w:cs="Calibri"/>
                <w:lang w:eastAsia="hr-HR"/>
              </w:rPr>
              <w:t>0</w:t>
            </w:r>
          </w:p>
        </w:tc>
        <w:tc>
          <w:tcPr>
            <w:tcW w:w="429" w:type="dxa"/>
            <w:tcBorders>
              <w:top w:val="nil"/>
              <w:left w:val="nil"/>
              <w:bottom w:val="single" w:sz="4" w:space="0" w:color="auto"/>
              <w:right w:val="single" w:sz="4" w:space="0" w:color="auto"/>
            </w:tcBorders>
            <w:shd w:val="clear" w:color="000000" w:fill="FFFF99"/>
            <w:noWrap/>
            <w:vAlign w:val="center"/>
            <w:hideMark/>
          </w:tcPr>
          <w:p w14:paraId="229E85FD" w14:textId="77777777" w:rsidR="005E671C" w:rsidRPr="005E671C" w:rsidRDefault="005E671C" w:rsidP="005E671C">
            <w:pPr>
              <w:spacing w:after="0" w:line="240" w:lineRule="auto"/>
              <w:jc w:val="center"/>
              <w:rPr>
                <w:rFonts w:ascii="Calibri" w:eastAsia="Times New Roman" w:hAnsi="Calibri" w:cs="Calibri"/>
                <w:lang w:eastAsia="hr-HR"/>
              </w:rPr>
            </w:pPr>
            <w:r w:rsidRPr="005E671C">
              <w:rPr>
                <w:rFonts w:ascii="Calibri" w:eastAsia="Times New Roman" w:hAnsi="Calibri" w:cs="Calibri"/>
                <w:lang w:eastAsia="hr-HR"/>
              </w:rPr>
              <w:t>0</w:t>
            </w:r>
          </w:p>
        </w:tc>
        <w:tc>
          <w:tcPr>
            <w:tcW w:w="581" w:type="dxa"/>
            <w:tcBorders>
              <w:top w:val="nil"/>
              <w:left w:val="nil"/>
              <w:bottom w:val="single" w:sz="4" w:space="0" w:color="auto"/>
              <w:right w:val="single" w:sz="4" w:space="0" w:color="auto"/>
            </w:tcBorders>
            <w:shd w:val="clear" w:color="000000" w:fill="FFFF99"/>
            <w:noWrap/>
            <w:vAlign w:val="center"/>
            <w:hideMark/>
          </w:tcPr>
          <w:p w14:paraId="3686F8E0" w14:textId="77777777" w:rsidR="005E671C" w:rsidRPr="005E671C" w:rsidRDefault="005E671C" w:rsidP="005E671C">
            <w:pPr>
              <w:spacing w:after="0" w:line="240" w:lineRule="auto"/>
              <w:jc w:val="center"/>
              <w:rPr>
                <w:rFonts w:ascii="Calibri" w:eastAsia="Times New Roman" w:hAnsi="Calibri" w:cs="Calibri"/>
                <w:lang w:eastAsia="hr-HR"/>
              </w:rPr>
            </w:pPr>
            <w:r w:rsidRPr="005E671C">
              <w:rPr>
                <w:rFonts w:ascii="Calibri" w:eastAsia="Times New Roman" w:hAnsi="Calibri" w:cs="Calibri"/>
                <w:lang w:eastAsia="hr-HR"/>
              </w:rPr>
              <w:t>0</w:t>
            </w:r>
          </w:p>
        </w:tc>
        <w:tc>
          <w:tcPr>
            <w:tcW w:w="556" w:type="dxa"/>
            <w:gridSpan w:val="2"/>
            <w:tcBorders>
              <w:top w:val="nil"/>
              <w:left w:val="nil"/>
              <w:bottom w:val="single" w:sz="4" w:space="0" w:color="auto"/>
              <w:right w:val="single" w:sz="4" w:space="0" w:color="auto"/>
            </w:tcBorders>
            <w:shd w:val="clear" w:color="000000" w:fill="FF9900"/>
            <w:noWrap/>
            <w:vAlign w:val="center"/>
            <w:hideMark/>
          </w:tcPr>
          <w:p w14:paraId="73068B87" w14:textId="77777777" w:rsidR="005E671C" w:rsidRPr="005E671C" w:rsidRDefault="005E671C" w:rsidP="005E671C">
            <w:pPr>
              <w:spacing w:after="0" w:line="240" w:lineRule="auto"/>
              <w:jc w:val="center"/>
              <w:rPr>
                <w:rFonts w:ascii="Calibri" w:eastAsia="Times New Roman" w:hAnsi="Calibri" w:cs="Calibri"/>
                <w:lang w:eastAsia="hr-HR"/>
              </w:rPr>
            </w:pPr>
            <w:r w:rsidRPr="005E671C">
              <w:rPr>
                <w:rFonts w:ascii="Calibri" w:eastAsia="Times New Roman" w:hAnsi="Calibri" w:cs="Calibri"/>
                <w:lang w:eastAsia="hr-HR"/>
              </w:rPr>
              <w:t>0</w:t>
            </w:r>
          </w:p>
        </w:tc>
        <w:tc>
          <w:tcPr>
            <w:tcW w:w="574" w:type="dxa"/>
            <w:tcBorders>
              <w:top w:val="nil"/>
              <w:left w:val="nil"/>
              <w:bottom w:val="single" w:sz="4" w:space="0" w:color="auto"/>
              <w:right w:val="single" w:sz="4" w:space="0" w:color="auto"/>
            </w:tcBorders>
            <w:shd w:val="clear" w:color="000000" w:fill="FF9900"/>
            <w:noWrap/>
            <w:vAlign w:val="center"/>
            <w:hideMark/>
          </w:tcPr>
          <w:p w14:paraId="5D23B84C" w14:textId="77777777" w:rsidR="005E671C" w:rsidRPr="005E671C" w:rsidRDefault="005E671C" w:rsidP="005E671C">
            <w:pPr>
              <w:spacing w:after="0" w:line="240" w:lineRule="auto"/>
              <w:jc w:val="center"/>
              <w:rPr>
                <w:rFonts w:ascii="Calibri" w:eastAsia="Times New Roman" w:hAnsi="Calibri" w:cs="Calibri"/>
                <w:lang w:eastAsia="hr-HR"/>
              </w:rPr>
            </w:pPr>
            <w:r w:rsidRPr="005E671C">
              <w:rPr>
                <w:rFonts w:ascii="Calibri" w:eastAsia="Times New Roman" w:hAnsi="Calibri" w:cs="Calibri"/>
                <w:lang w:eastAsia="hr-HR"/>
              </w:rPr>
              <w:t>0</w:t>
            </w:r>
          </w:p>
        </w:tc>
        <w:tc>
          <w:tcPr>
            <w:tcW w:w="434" w:type="dxa"/>
            <w:tcBorders>
              <w:top w:val="nil"/>
              <w:left w:val="nil"/>
              <w:bottom w:val="single" w:sz="4" w:space="0" w:color="auto"/>
              <w:right w:val="single" w:sz="4" w:space="0" w:color="auto"/>
            </w:tcBorders>
            <w:shd w:val="clear" w:color="000000" w:fill="FF9900"/>
            <w:noWrap/>
            <w:vAlign w:val="center"/>
            <w:hideMark/>
          </w:tcPr>
          <w:p w14:paraId="3E6217FF" w14:textId="77777777" w:rsidR="005E671C" w:rsidRPr="005E671C" w:rsidRDefault="005E671C" w:rsidP="005E671C">
            <w:pPr>
              <w:spacing w:after="0" w:line="240" w:lineRule="auto"/>
              <w:jc w:val="center"/>
              <w:rPr>
                <w:rFonts w:ascii="Calibri" w:eastAsia="Times New Roman" w:hAnsi="Calibri" w:cs="Calibri"/>
                <w:lang w:eastAsia="hr-HR"/>
              </w:rPr>
            </w:pPr>
            <w:r w:rsidRPr="005E671C">
              <w:rPr>
                <w:rFonts w:ascii="Calibri" w:eastAsia="Times New Roman" w:hAnsi="Calibri" w:cs="Calibri"/>
                <w:lang w:eastAsia="hr-HR"/>
              </w:rPr>
              <w:t>0</w:t>
            </w:r>
          </w:p>
        </w:tc>
        <w:tc>
          <w:tcPr>
            <w:tcW w:w="443" w:type="dxa"/>
            <w:gridSpan w:val="2"/>
            <w:tcBorders>
              <w:top w:val="nil"/>
              <w:left w:val="nil"/>
              <w:bottom w:val="single" w:sz="4" w:space="0" w:color="auto"/>
              <w:right w:val="single" w:sz="4" w:space="0" w:color="auto"/>
            </w:tcBorders>
            <w:shd w:val="clear" w:color="000000" w:fill="66FFCC"/>
            <w:noWrap/>
            <w:vAlign w:val="center"/>
            <w:hideMark/>
          </w:tcPr>
          <w:p w14:paraId="543F6A0D" w14:textId="77777777" w:rsidR="005E671C" w:rsidRPr="005E671C" w:rsidRDefault="005E671C" w:rsidP="005E671C">
            <w:pPr>
              <w:spacing w:after="0" w:line="240" w:lineRule="auto"/>
              <w:jc w:val="center"/>
              <w:rPr>
                <w:rFonts w:ascii="Calibri" w:eastAsia="Times New Roman" w:hAnsi="Calibri" w:cs="Calibri"/>
                <w:lang w:eastAsia="hr-HR"/>
              </w:rPr>
            </w:pPr>
            <w:r w:rsidRPr="005E671C">
              <w:rPr>
                <w:rFonts w:ascii="Calibri" w:eastAsia="Times New Roman" w:hAnsi="Calibri" w:cs="Calibri"/>
                <w:lang w:eastAsia="hr-HR"/>
              </w:rPr>
              <w:t>0</w:t>
            </w:r>
          </w:p>
        </w:tc>
        <w:tc>
          <w:tcPr>
            <w:tcW w:w="698" w:type="dxa"/>
            <w:tcBorders>
              <w:top w:val="nil"/>
              <w:left w:val="nil"/>
              <w:bottom w:val="single" w:sz="4" w:space="0" w:color="auto"/>
              <w:right w:val="single" w:sz="4" w:space="0" w:color="auto"/>
            </w:tcBorders>
            <w:shd w:val="clear" w:color="000000" w:fill="66FFCC"/>
            <w:noWrap/>
            <w:vAlign w:val="center"/>
            <w:hideMark/>
          </w:tcPr>
          <w:p w14:paraId="1FD45B74" w14:textId="77777777" w:rsidR="005E671C" w:rsidRPr="005E671C" w:rsidRDefault="005E671C" w:rsidP="005E671C">
            <w:pPr>
              <w:spacing w:after="0" w:line="240" w:lineRule="auto"/>
              <w:jc w:val="center"/>
              <w:rPr>
                <w:rFonts w:ascii="Calibri" w:eastAsia="Times New Roman" w:hAnsi="Calibri" w:cs="Calibri"/>
                <w:lang w:eastAsia="hr-HR"/>
              </w:rPr>
            </w:pPr>
            <w:r w:rsidRPr="005E671C">
              <w:rPr>
                <w:rFonts w:ascii="Calibri" w:eastAsia="Times New Roman" w:hAnsi="Calibri" w:cs="Calibri"/>
                <w:lang w:eastAsia="hr-HR"/>
              </w:rPr>
              <w:t>0</w:t>
            </w:r>
          </w:p>
        </w:tc>
        <w:tc>
          <w:tcPr>
            <w:tcW w:w="574" w:type="dxa"/>
            <w:tcBorders>
              <w:top w:val="nil"/>
              <w:left w:val="nil"/>
              <w:bottom w:val="single" w:sz="4" w:space="0" w:color="auto"/>
              <w:right w:val="single" w:sz="4" w:space="0" w:color="auto"/>
            </w:tcBorders>
            <w:shd w:val="clear" w:color="000000" w:fill="66FFCC"/>
            <w:noWrap/>
            <w:vAlign w:val="center"/>
            <w:hideMark/>
          </w:tcPr>
          <w:p w14:paraId="30C525BE" w14:textId="77777777" w:rsidR="005E671C" w:rsidRPr="005E671C" w:rsidRDefault="005E671C" w:rsidP="005E671C">
            <w:pPr>
              <w:spacing w:after="0" w:line="240" w:lineRule="auto"/>
              <w:jc w:val="center"/>
              <w:rPr>
                <w:rFonts w:ascii="Calibri" w:eastAsia="Times New Roman" w:hAnsi="Calibri" w:cs="Calibri"/>
                <w:lang w:eastAsia="hr-HR"/>
              </w:rPr>
            </w:pPr>
            <w:r w:rsidRPr="005E671C">
              <w:rPr>
                <w:rFonts w:ascii="Calibri" w:eastAsia="Times New Roman" w:hAnsi="Calibri" w:cs="Calibri"/>
                <w:lang w:eastAsia="hr-HR"/>
              </w:rPr>
              <w:t>0</w:t>
            </w:r>
          </w:p>
        </w:tc>
        <w:tc>
          <w:tcPr>
            <w:tcW w:w="560" w:type="dxa"/>
            <w:tcBorders>
              <w:top w:val="nil"/>
              <w:left w:val="nil"/>
              <w:bottom w:val="single" w:sz="4" w:space="0" w:color="auto"/>
              <w:right w:val="single" w:sz="4" w:space="0" w:color="auto"/>
            </w:tcBorders>
            <w:shd w:val="clear" w:color="000000" w:fill="66FFCC"/>
            <w:noWrap/>
            <w:vAlign w:val="center"/>
            <w:hideMark/>
          </w:tcPr>
          <w:p w14:paraId="1645B122" w14:textId="77777777" w:rsidR="005E671C" w:rsidRPr="005E671C" w:rsidRDefault="005E671C" w:rsidP="005E671C">
            <w:pPr>
              <w:spacing w:after="0" w:line="240" w:lineRule="auto"/>
              <w:jc w:val="center"/>
              <w:rPr>
                <w:rFonts w:ascii="Calibri" w:eastAsia="Times New Roman" w:hAnsi="Calibri" w:cs="Calibri"/>
                <w:lang w:eastAsia="hr-HR"/>
              </w:rPr>
            </w:pPr>
            <w:r w:rsidRPr="005E671C">
              <w:rPr>
                <w:rFonts w:ascii="Calibri" w:eastAsia="Times New Roman" w:hAnsi="Calibri" w:cs="Calibri"/>
                <w:lang w:eastAsia="hr-HR"/>
              </w:rPr>
              <w:t>0</w:t>
            </w:r>
          </w:p>
        </w:tc>
        <w:tc>
          <w:tcPr>
            <w:tcW w:w="430" w:type="dxa"/>
            <w:gridSpan w:val="2"/>
            <w:tcBorders>
              <w:top w:val="nil"/>
              <w:left w:val="nil"/>
              <w:bottom w:val="single" w:sz="4" w:space="0" w:color="auto"/>
              <w:right w:val="single" w:sz="4" w:space="0" w:color="auto"/>
            </w:tcBorders>
            <w:shd w:val="clear" w:color="000000" w:fill="FFFF00"/>
            <w:vAlign w:val="center"/>
            <w:hideMark/>
          </w:tcPr>
          <w:p w14:paraId="0AA9274B" w14:textId="77777777" w:rsidR="005E671C" w:rsidRPr="005E671C" w:rsidRDefault="005E671C" w:rsidP="005E671C">
            <w:pPr>
              <w:spacing w:after="0" w:line="240" w:lineRule="auto"/>
              <w:jc w:val="center"/>
              <w:rPr>
                <w:rFonts w:ascii="Calibri" w:eastAsia="Times New Roman" w:hAnsi="Calibri" w:cs="Calibri"/>
                <w:lang w:eastAsia="hr-HR"/>
              </w:rPr>
            </w:pPr>
            <w:r w:rsidRPr="005E671C">
              <w:rPr>
                <w:rFonts w:ascii="Calibri" w:eastAsia="Times New Roman" w:hAnsi="Calibri" w:cs="Calibri"/>
                <w:lang w:eastAsia="hr-HR"/>
              </w:rPr>
              <w:t>0</w:t>
            </w:r>
          </w:p>
        </w:tc>
        <w:tc>
          <w:tcPr>
            <w:tcW w:w="425" w:type="dxa"/>
            <w:gridSpan w:val="2"/>
            <w:tcBorders>
              <w:top w:val="nil"/>
              <w:left w:val="nil"/>
              <w:bottom w:val="single" w:sz="4" w:space="0" w:color="auto"/>
              <w:right w:val="single" w:sz="4" w:space="0" w:color="auto"/>
            </w:tcBorders>
            <w:shd w:val="clear" w:color="000000" w:fill="FFFF99"/>
            <w:vAlign w:val="center"/>
            <w:hideMark/>
          </w:tcPr>
          <w:p w14:paraId="165515BB" w14:textId="77777777" w:rsidR="005E671C" w:rsidRPr="005E671C" w:rsidRDefault="005E671C" w:rsidP="005E671C">
            <w:pPr>
              <w:spacing w:after="0" w:line="240" w:lineRule="auto"/>
              <w:jc w:val="center"/>
              <w:rPr>
                <w:rFonts w:ascii="Calibri" w:eastAsia="Times New Roman" w:hAnsi="Calibri" w:cs="Calibri"/>
                <w:lang w:eastAsia="hr-HR"/>
              </w:rPr>
            </w:pPr>
            <w:r w:rsidRPr="005E671C">
              <w:rPr>
                <w:rFonts w:ascii="Calibri" w:eastAsia="Times New Roman" w:hAnsi="Calibri" w:cs="Calibri"/>
                <w:lang w:eastAsia="hr-HR"/>
              </w:rPr>
              <w:t>2</w:t>
            </w:r>
          </w:p>
        </w:tc>
        <w:tc>
          <w:tcPr>
            <w:tcW w:w="540" w:type="dxa"/>
            <w:gridSpan w:val="2"/>
            <w:tcBorders>
              <w:top w:val="nil"/>
              <w:left w:val="nil"/>
              <w:bottom w:val="single" w:sz="4" w:space="0" w:color="auto"/>
              <w:right w:val="single" w:sz="4" w:space="0" w:color="auto"/>
            </w:tcBorders>
            <w:shd w:val="clear" w:color="000000" w:fill="FF9900"/>
            <w:vAlign w:val="center"/>
            <w:hideMark/>
          </w:tcPr>
          <w:p w14:paraId="592F6439" w14:textId="77777777" w:rsidR="005E671C" w:rsidRPr="005E671C" w:rsidRDefault="005E671C" w:rsidP="005E671C">
            <w:pPr>
              <w:spacing w:after="0" w:line="240" w:lineRule="auto"/>
              <w:jc w:val="center"/>
              <w:rPr>
                <w:rFonts w:ascii="Calibri" w:eastAsia="Times New Roman" w:hAnsi="Calibri" w:cs="Calibri"/>
                <w:lang w:eastAsia="hr-HR"/>
              </w:rPr>
            </w:pPr>
            <w:r w:rsidRPr="005E671C">
              <w:rPr>
                <w:rFonts w:ascii="Calibri" w:eastAsia="Times New Roman" w:hAnsi="Calibri" w:cs="Calibri"/>
                <w:lang w:eastAsia="hr-HR"/>
              </w:rPr>
              <w:t>0</w:t>
            </w:r>
          </w:p>
        </w:tc>
        <w:tc>
          <w:tcPr>
            <w:tcW w:w="435" w:type="dxa"/>
            <w:tcBorders>
              <w:top w:val="nil"/>
              <w:left w:val="nil"/>
              <w:bottom w:val="single" w:sz="4" w:space="0" w:color="auto"/>
              <w:right w:val="single" w:sz="4" w:space="0" w:color="auto"/>
            </w:tcBorders>
            <w:shd w:val="clear" w:color="000000" w:fill="CCFFFF"/>
            <w:vAlign w:val="center"/>
            <w:hideMark/>
          </w:tcPr>
          <w:p w14:paraId="0A24CEE1" w14:textId="77777777" w:rsidR="005E671C" w:rsidRPr="005E671C" w:rsidRDefault="005E671C" w:rsidP="005E671C">
            <w:pPr>
              <w:spacing w:after="0" w:line="240" w:lineRule="auto"/>
              <w:jc w:val="center"/>
              <w:rPr>
                <w:rFonts w:ascii="Calibri" w:eastAsia="Times New Roman" w:hAnsi="Calibri" w:cs="Calibri"/>
                <w:lang w:eastAsia="hr-HR"/>
              </w:rPr>
            </w:pPr>
            <w:r w:rsidRPr="005E671C">
              <w:rPr>
                <w:rFonts w:ascii="Calibri" w:eastAsia="Times New Roman" w:hAnsi="Calibri" w:cs="Calibri"/>
                <w:lang w:eastAsia="hr-HR"/>
              </w:rPr>
              <w:t>0</w:t>
            </w:r>
          </w:p>
        </w:tc>
        <w:tc>
          <w:tcPr>
            <w:tcW w:w="655" w:type="dxa"/>
            <w:tcBorders>
              <w:top w:val="nil"/>
              <w:left w:val="nil"/>
              <w:bottom w:val="single" w:sz="4" w:space="0" w:color="auto"/>
              <w:right w:val="single" w:sz="4" w:space="0" w:color="auto"/>
            </w:tcBorders>
            <w:shd w:val="clear" w:color="000000" w:fill="CCFFFF"/>
            <w:vAlign w:val="center"/>
            <w:hideMark/>
          </w:tcPr>
          <w:p w14:paraId="41213DFE" w14:textId="77777777" w:rsidR="005E671C" w:rsidRPr="005E671C" w:rsidRDefault="005E671C" w:rsidP="005E671C">
            <w:pPr>
              <w:spacing w:after="0" w:line="240" w:lineRule="auto"/>
              <w:jc w:val="center"/>
              <w:rPr>
                <w:rFonts w:ascii="Calibri" w:eastAsia="Times New Roman" w:hAnsi="Calibri" w:cs="Calibri"/>
                <w:lang w:eastAsia="hr-HR"/>
              </w:rPr>
            </w:pPr>
            <w:r w:rsidRPr="005E671C">
              <w:rPr>
                <w:rFonts w:ascii="Calibri" w:eastAsia="Times New Roman" w:hAnsi="Calibri" w:cs="Calibri"/>
                <w:lang w:eastAsia="hr-HR"/>
              </w:rPr>
              <w:t>0</w:t>
            </w:r>
          </w:p>
        </w:tc>
        <w:tc>
          <w:tcPr>
            <w:tcW w:w="645" w:type="dxa"/>
            <w:tcBorders>
              <w:top w:val="nil"/>
              <w:left w:val="nil"/>
              <w:bottom w:val="single" w:sz="4" w:space="0" w:color="auto"/>
              <w:right w:val="single" w:sz="4" w:space="0" w:color="auto"/>
            </w:tcBorders>
            <w:shd w:val="clear" w:color="000000" w:fill="CCFFFF"/>
            <w:vAlign w:val="center"/>
            <w:hideMark/>
          </w:tcPr>
          <w:p w14:paraId="33541237" w14:textId="77777777" w:rsidR="005E671C" w:rsidRPr="005E671C" w:rsidRDefault="005E671C" w:rsidP="005E671C">
            <w:pPr>
              <w:spacing w:after="0" w:line="240" w:lineRule="auto"/>
              <w:jc w:val="center"/>
              <w:rPr>
                <w:rFonts w:ascii="Calibri" w:eastAsia="Times New Roman" w:hAnsi="Calibri" w:cs="Calibri"/>
                <w:lang w:eastAsia="hr-HR"/>
              </w:rPr>
            </w:pPr>
            <w:r w:rsidRPr="005E671C">
              <w:rPr>
                <w:rFonts w:ascii="Calibri" w:eastAsia="Times New Roman" w:hAnsi="Calibri" w:cs="Calibri"/>
                <w:lang w:eastAsia="hr-HR"/>
              </w:rPr>
              <w:t>0</w:t>
            </w:r>
          </w:p>
        </w:tc>
        <w:tc>
          <w:tcPr>
            <w:tcW w:w="699" w:type="dxa"/>
            <w:tcBorders>
              <w:top w:val="nil"/>
              <w:left w:val="nil"/>
              <w:bottom w:val="single" w:sz="4" w:space="0" w:color="auto"/>
              <w:right w:val="nil"/>
            </w:tcBorders>
            <w:shd w:val="clear" w:color="000000" w:fill="33CCCC"/>
            <w:noWrap/>
            <w:vAlign w:val="center"/>
            <w:hideMark/>
          </w:tcPr>
          <w:p w14:paraId="3B4B92C2" w14:textId="77777777" w:rsidR="005E671C" w:rsidRPr="005E671C" w:rsidRDefault="005E671C" w:rsidP="005E671C">
            <w:pPr>
              <w:spacing w:after="0" w:line="240" w:lineRule="auto"/>
              <w:jc w:val="center"/>
              <w:rPr>
                <w:rFonts w:ascii="Calibri" w:eastAsia="Times New Roman" w:hAnsi="Calibri" w:cs="Calibri"/>
                <w:lang w:eastAsia="hr-HR"/>
              </w:rPr>
            </w:pPr>
            <w:r w:rsidRPr="005E671C">
              <w:rPr>
                <w:rFonts w:ascii="Calibri" w:eastAsia="Times New Roman" w:hAnsi="Calibri" w:cs="Calibri"/>
                <w:lang w:eastAsia="hr-HR"/>
              </w:rPr>
              <w:t>0</w:t>
            </w:r>
          </w:p>
        </w:tc>
        <w:tc>
          <w:tcPr>
            <w:tcW w:w="700" w:type="dxa"/>
            <w:tcBorders>
              <w:top w:val="nil"/>
              <w:left w:val="single" w:sz="4" w:space="0" w:color="auto"/>
              <w:bottom w:val="single" w:sz="4" w:space="0" w:color="auto"/>
              <w:right w:val="single" w:sz="8" w:space="0" w:color="auto"/>
            </w:tcBorders>
            <w:shd w:val="clear" w:color="000000" w:fill="33CCCC"/>
            <w:noWrap/>
            <w:vAlign w:val="center"/>
            <w:hideMark/>
          </w:tcPr>
          <w:p w14:paraId="5D4A00F4" w14:textId="77777777" w:rsidR="005E671C" w:rsidRPr="005E671C" w:rsidRDefault="005E671C" w:rsidP="005E671C">
            <w:pPr>
              <w:spacing w:after="0" w:line="240" w:lineRule="auto"/>
              <w:jc w:val="center"/>
              <w:rPr>
                <w:rFonts w:ascii="Calibri" w:eastAsia="Times New Roman" w:hAnsi="Calibri" w:cs="Calibri"/>
                <w:lang w:eastAsia="hr-HR"/>
              </w:rPr>
            </w:pPr>
            <w:r w:rsidRPr="005E671C">
              <w:rPr>
                <w:rFonts w:ascii="Calibri" w:eastAsia="Times New Roman" w:hAnsi="Calibri" w:cs="Calibri"/>
                <w:lang w:eastAsia="hr-HR"/>
              </w:rPr>
              <w:t>0</w:t>
            </w:r>
          </w:p>
        </w:tc>
        <w:tc>
          <w:tcPr>
            <w:tcW w:w="239" w:type="dxa"/>
            <w:gridSpan w:val="2"/>
            <w:vAlign w:val="center"/>
            <w:hideMark/>
          </w:tcPr>
          <w:p w14:paraId="7B1380BB" w14:textId="77777777" w:rsidR="005E671C" w:rsidRPr="005E671C" w:rsidRDefault="005E671C" w:rsidP="005E671C">
            <w:pPr>
              <w:spacing w:after="0" w:line="240" w:lineRule="auto"/>
              <w:rPr>
                <w:rFonts w:ascii="Times New Roman" w:eastAsia="Times New Roman" w:hAnsi="Times New Roman" w:cs="Times New Roman"/>
                <w:sz w:val="20"/>
                <w:szCs w:val="20"/>
                <w:lang w:eastAsia="hr-HR"/>
              </w:rPr>
            </w:pPr>
          </w:p>
        </w:tc>
      </w:tr>
      <w:tr w:rsidR="005E671C" w:rsidRPr="005E671C" w14:paraId="0CED2C13" w14:textId="77777777" w:rsidTr="001752B7">
        <w:trPr>
          <w:gridAfter w:val="1"/>
          <w:wAfter w:w="23" w:type="dxa"/>
          <w:trHeight w:val="300"/>
        </w:trPr>
        <w:tc>
          <w:tcPr>
            <w:tcW w:w="1408" w:type="dxa"/>
            <w:tcBorders>
              <w:top w:val="single" w:sz="4" w:space="0" w:color="auto"/>
              <w:left w:val="single" w:sz="8" w:space="0" w:color="auto"/>
              <w:bottom w:val="single" w:sz="4" w:space="0" w:color="auto"/>
              <w:right w:val="single" w:sz="4" w:space="0" w:color="auto"/>
            </w:tcBorders>
            <w:shd w:val="clear" w:color="000000" w:fill="CCFFCC"/>
            <w:vAlign w:val="center"/>
            <w:hideMark/>
          </w:tcPr>
          <w:p w14:paraId="1625D00E" w14:textId="77777777" w:rsidR="005E671C" w:rsidRPr="005E671C" w:rsidRDefault="005E671C" w:rsidP="005E671C">
            <w:pPr>
              <w:spacing w:after="0" w:line="240" w:lineRule="auto"/>
              <w:jc w:val="center"/>
              <w:rPr>
                <w:rFonts w:ascii="Calibri" w:eastAsia="Times New Roman" w:hAnsi="Calibri" w:cs="Calibri"/>
                <w:lang w:eastAsia="hr-HR"/>
              </w:rPr>
            </w:pPr>
            <w:r w:rsidRPr="005E671C">
              <w:rPr>
                <w:rFonts w:ascii="Calibri" w:eastAsia="Times New Roman" w:hAnsi="Calibri" w:cs="Calibri"/>
                <w:lang w:eastAsia="hr-HR"/>
              </w:rPr>
              <w:t>Invaliditet</w:t>
            </w:r>
          </w:p>
        </w:tc>
        <w:tc>
          <w:tcPr>
            <w:tcW w:w="595" w:type="dxa"/>
            <w:tcBorders>
              <w:top w:val="nil"/>
              <w:left w:val="nil"/>
              <w:bottom w:val="single" w:sz="4" w:space="0" w:color="auto"/>
              <w:right w:val="single" w:sz="4" w:space="0" w:color="auto"/>
            </w:tcBorders>
            <w:shd w:val="clear" w:color="000000" w:fill="CCFFCC"/>
            <w:vAlign w:val="center"/>
            <w:hideMark/>
          </w:tcPr>
          <w:p w14:paraId="43AB5418" w14:textId="77777777" w:rsidR="005E671C" w:rsidRPr="005E671C" w:rsidRDefault="005E671C" w:rsidP="005E671C">
            <w:pPr>
              <w:spacing w:after="0" w:line="240" w:lineRule="auto"/>
              <w:jc w:val="center"/>
              <w:rPr>
                <w:rFonts w:ascii="Calibri" w:eastAsia="Times New Roman" w:hAnsi="Calibri" w:cs="Calibri"/>
                <w:lang w:eastAsia="hr-HR"/>
              </w:rPr>
            </w:pPr>
            <w:r w:rsidRPr="005E671C">
              <w:rPr>
                <w:rFonts w:ascii="Calibri" w:eastAsia="Times New Roman" w:hAnsi="Calibri" w:cs="Calibri"/>
                <w:lang w:eastAsia="hr-HR"/>
              </w:rPr>
              <w:t>0</w:t>
            </w:r>
          </w:p>
        </w:tc>
        <w:tc>
          <w:tcPr>
            <w:tcW w:w="549" w:type="dxa"/>
            <w:tcBorders>
              <w:top w:val="nil"/>
              <w:left w:val="nil"/>
              <w:bottom w:val="single" w:sz="4" w:space="0" w:color="auto"/>
              <w:right w:val="single" w:sz="4" w:space="0" w:color="auto"/>
            </w:tcBorders>
            <w:shd w:val="clear" w:color="000000" w:fill="FFCC99"/>
            <w:noWrap/>
            <w:vAlign w:val="center"/>
            <w:hideMark/>
          </w:tcPr>
          <w:p w14:paraId="1EC6009A" w14:textId="77777777" w:rsidR="005E671C" w:rsidRPr="005E671C" w:rsidRDefault="005E671C" w:rsidP="005E671C">
            <w:pPr>
              <w:spacing w:after="0" w:line="240" w:lineRule="auto"/>
              <w:jc w:val="center"/>
              <w:rPr>
                <w:rFonts w:ascii="Calibri" w:eastAsia="Times New Roman" w:hAnsi="Calibri" w:cs="Calibri"/>
                <w:lang w:eastAsia="hr-HR"/>
              </w:rPr>
            </w:pPr>
            <w:r w:rsidRPr="005E671C">
              <w:rPr>
                <w:rFonts w:ascii="Calibri" w:eastAsia="Times New Roman" w:hAnsi="Calibri" w:cs="Calibri"/>
                <w:lang w:eastAsia="hr-HR"/>
              </w:rPr>
              <w:t>0</w:t>
            </w:r>
          </w:p>
        </w:tc>
        <w:tc>
          <w:tcPr>
            <w:tcW w:w="441" w:type="dxa"/>
            <w:tcBorders>
              <w:top w:val="nil"/>
              <w:left w:val="nil"/>
              <w:bottom w:val="single" w:sz="4" w:space="0" w:color="auto"/>
              <w:right w:val="single" w:sz="4" w:space="0" w:color="auto"/>
            </w:tcBorders>
            <w:shd w:val="clear" w:color="000000" w:fill="CCFFFF"/>
            <w:noWrap/>
            <w:vAlign w:val="center"/>
            <w:hideMark/>
          </w:tcPr>
          <w:p w14:paraId="2D11CC4B" w14:textId="77777777" w:rsidR="005E671C" w:rsidRPr="005E671C" w:rsidRDefault="005E671C" w:rsidP="005E671C">
            <w:pPr>
              <w:spacing w:after="0" w:line="240" w:lineRule="auto"/>
              <w:jc w:val="center"/>
              <w:rPr>
                <w:rFonts w:ascii="Calibri" w:eastAsia="Times New Roman" w:hAnsi="Calibri" w:cs="Calibri"/>
                <w:lang w:eastAsia="hr-HR"/>
              </w:rPr>
            </w:pPr>
            <w:r w:rsidRPr="005E671C">
              <w:rPr>
                <w:rFonts w:ascii="Calibri" w:eastAsia="Times New Roman" w:hAnsi="Calibri" w:cs="Calibri"/>
                <w:lang w:eastAsia="hr-HR"/>
              </w:rPr>
              <w:t>0</w:t>
            </w:r>
          </w:p>
        </w:tc>
        <w:tc>
          <w:tcPr>
            <w:tcW w:w="432" w:type="dxa"/>
            <w:tcBorders>
              <w:top w:val="nil"/>
              <w:left w:val="nil"/>
              <w:bottom w:val="single" w:sz="4" w:space="0" w:color="auto"/>
              <w:right w:val="single" w:sz="4" w:space="0" w:color="auto"/>
            </w:tcBorders>
            <w:shd w:val="clear" w:color="000000" w:fill="CCFFFF"/>
            <w:noWrap/>
            <w:vAlign w:val="center"/>
            <w:hideMark/>
          </w:tcPr>
          <w:p w14:paraId="1ED72381" w14:textId="77777777" w:rsidR="005E671C" w:rsidRPr="005E671C" w:rsidRDefault="005E671C" w:rsidP="005E671C">
            <w:pPr>
              <w:spacing w:after="0" w:line="240" w:lineRule="auto"/>
              <w:jc w:val="center"/>
              <w:rPr>
                <w:rFonts w:ascii="Calibri" w:eastAsia="Times New Roman" w:hAnsi="Calibri" w:cs="Calibri"/>
                <w:lang w:eastAsia="hr-HR"/>
              </w:rPr>
            </w:pPr>
            <w:r w:rsidRPr="005E671C">
              <w:rPr>
                <w:rFonts w:ascii="Calibri" w:eastAsia="Times New Roman" w:hAnsi="Calibri" w:cs="Calibri"/>
                <w:lang w:eastAsia="hr-HR"/>
              </w:rPr>
              <w:t>0</w:t>
            </w:r>
          </w:p>
        </w:tc>
        <w:tc>
          <w:tcPr>
            <w:tcW w:w="421" w:type="dxa"/>
            <w:gridSpan w:val="2"/>
            <w:tcBorders>
              <w:top w:val="nil"/>
              <w:left w:val="nil"/>
              <w:bottom w:val="single" w:sz="4" w:space="0" w:color="auto"/>
              <w:right w:val="single" w:sz="4" w:space="0" w:color="auto"/>
            </w:tcBorders>
            <w:shd w:val="clear" w:color="000000" w:fill="FFFF99"/>
            <w:noWrap/>
            <w:vAlign w:val="center"/>
            <w:hideMark/>
          </w:tcPr>
          <w:p w14:paraId="3E79BF90" w14:textId="77777777" w:rsidR="005E671C" w:rsidRPr="005E671C" w:rsidRDefault="005E671C" w:rsidP="005E671C">
            <w:pPr>
              <w:spacing w:after="0" w:line="240" w:lineRule="auto"/>
              <w:jc w:val="center"/>
              <w:rPr>
                <w:rFonts w:ascii="Calibri" w:eastAsia="Times New Roman" w:hAnsi="Calibri" w:cs="Calibri"/>
                <w:lang w:eastAsia="hr-HR"/>
              </w:rPr>
            </w:pPr>
            <w:r w:rsidRPr="005E671C">
              <w:rPr>
                <w:rFonts w:ascii="Calibri" w:eastAsia="Times New Roman" w:hAnsi="Calibri" w:cs="Calibri"/>
                <w:lang w:eastAsia="hr-HR"/>
              </w:rPr>
              <w:t>0</w:t>
            </w:r>
          </w:p>
        </w:tc>
        <w:tc>
          <w:tcPr>
            <w:tcW w:w="431" w:type="dxa"/>
            <w:tcBorders>
              <w:top w:val="nil"/>
              <w:left w:val="nil"/>
              <w:bottom w:val="single" w:sz="4" w:space="0" w:color="auto"/>
              <w:right w:val="single" w:sz="4" w:space="0" w:color="auto"/>
            </w:tcBorders>
            <w:shd w:val="clear" w:color="000000" w:fill="FFFF99"/>
            <w:noWrap/>
            <w:vAlign w:val="center"/>
            <w:hideMark/>
          </w:tcPr>
          <w:p w14:paraId="5FB6DDE3" w14:textId="77777777" w:rsidR="005E671C" w:rsidRPr="005E671C" w:rsidRDefault="005E671C" w:rsidP="005E671C">
            <w:pPr>
              <w:spacing w:after="0" w:line="240" w:lineRule="auto"/>
              <w:jc w:val="center"/>
              <w:rPr>
                <w:rFonts w:ascii="Calibri" w:eastAsia="Times New Roman" w:hAnsi="Calibri" w:cs="Calibri"/>
                <w:lang w:eastAsia="hr-HR"/>
              </w:rPr>
            </w:pPr>
            <w:r w:rsidRPr="005E671C">
              <w:rPr>
                <w:rFonts w:ascii="Calibri" w:eastAsia="Times New Roman" w:hAnsi="Calibri" w:cs="Calibri"/>
                <w:lang w:eastAsia="hr-HR"/>
              </w:rPr>
              <w:t>0</w:t>
            </w:r>
          </w:p>
        </w:tc>
        <w:tc>
          <w:tcPr>
            <w:tcW w:w="420" w:type="dxa"/>
            <w:tcBorders>
              <w:top w:val="nil"/>
              <w:left w:val="nil"/>
              <w:bottom w:val="single" w:sz="4" w:space="0" w:color="auto"/>
              <w:right w:val="single" w:sz="4" w:space="0" w:color="auto"/>
            </w:tcBorders>
            <w:shd w:val="clear" w:color="000000" w:fill="FFFF99"/>
            <w:noWrap/>
            <w:vAlign w:val="center"/>
            <w:hideMark/>
          </w:tcPr>
          <w:p w14:paraId="056B40DC" w14:textId="77777777" w:rsidR="005E671C" w:rsidRPr="005E671C" w:rsidRDefault="005E671C" w:rsidP="005E671C">
            <w:pPr>
              <w:spacing w:after="0" w:line="240" w:lineRule="auto"/>
              <w:jc w:val="center"/>
              <w:rPr>
                <w:rFonts w:ascii="Calibri" w:eastAsia="Times New Roman" w:hAnsi="Calibri" w:cs="Calibri"/>
                <w:lang w:eastAsia="hr-HR"/>
              </w:rPr>
            </w:pPr>
            <w:r w:rsidRPr="005E671C">
              <w:rPr>
                <w:rFonts w:ascii="Calibri" w:eastAsia="Times New Roman" w:hAnsi="Calibri" w:cs="Calibri"/>
                <w:lang w:eastAsia="hr-HR"/>
              </w:rPr>
              <w:t>0</w:t>
            </w:r>
          </w:p>
        </w:tc>
        <w:tc>
          <w:tcPr>
            <w:tcW w:w="429" w:type="dxa"/>
            <w:tcBorders>
              <w:top w:val="nil"/>
              <w:left w:val="nil"/>
              <w:bottom w:val="single" w:sz="4" w:space="0" w:color="auto"/>
              <w:right w:val="single" w:sz="4" w:space="0" w:color="auto"/>
            </w:tcBorders>
            <w:shd w:val="clear" w:color="000000" w:fill="FFFF99"/>
            <w:noWrap/>
            <w:vAlign w:val="center"/>
            <w:hideMark/>
          </w:tcPr>
          <w:p w14:paraId="7EA3E0E7" w14:textId="77777777" w:rsidR="005E671C" w:rsidRPr="005E671C" w:rsidRDefault="005E671C" w:rsidP="005E671C">
            <w:pPr>
              <w:spacing w:after="0" w:line="240" w:lineRule="auto"/>
              <w:jc w:val="center"/>
              <w:rPr>
                <w:rFonts w:ascii="Calibri" w:eastAsia="Times New Roman" w:hAnsi="Calibri" w:cs="Calibri"/>
                <w:lang w:eastAsia="hr-HR"/>
              </w:rPr>
            </w:pPr>
            <w:r w:rsidRPr="005E671C">
              <w:rPr>
                <w:rFonts w:ascii="Calibri" w:eastAsia="Times New Roman" w:hAnsi="Calibri" w:cs="Calibri"/>
                <w:lang w:eastAsia="hr-HR"/>
              </w:rPr>
              <w:t>0</w:t>
            </w:r>
          </w:p>
        </w:tc>
        <w:tc>
          <w:tcPr>
            <w:tcW w:w="581" w:type="dxa"/>
            <w:tcBorders>
              <w:top w:val="nil"/>
              <w:left w:val="nil"/>
              <w:bottom w:val="single" w:sz="4" w:space="0" w:color="auto"/>
              <w:right w:val="single" w:sz="4" w:space="0" w:color="auto"/>
            </w:tcBorders>
            <w:shd w:val="clear" w:color="000000" w:fill="FFFF99"/>
            <w:noWrap/>
            <w:vAlign w:val="center"/>
            <w:hideMark/>
          </w:tcPr>
          <w:p w14:paraId="6FF80BD4" w14:textId="77777777" w:rsidR="005E671C" w:rsidRPr="005E671C" w:rsidRDefault="005E671C" w:rsidP="005E671C">
            <w:pPr>
              <w:spacing w:after="0" w:line="240" w:lineRule="auto"/>
              <w:jc w:val="center"/>
              <w:rPr>
                <w:rFonts w:ascii="Calibri" w:eastAsia="Times New Roman" w:hAnsi="Calibri" w:cs="Calibri"/>
                <w:lang w:eastAsia="hr-HR"/>
              </w:rPr>
            </w:pPr>
            <w:r w:rsidRPr="005E671C">
              <w:rPr>
                <w:rFonts w:ascii="Calibri" w:eastAsia="Times New Roman" w:hAnsi="Calibri" w:cs="Calibri"/>
                <w:lang w:eastAsia="hr-HR"/>
              </w:rPr>
              <w:t>0</w:t>
            </w:r>
          </w:p>
        </w:tc>
        <w:tc>
          <w:tcPr>
            <w:tcW w:w="556" w:type="dxa"/>
            <w:gridSpan w:val="2"/>
            <w:tcBorders>
              <w:top w:val="nil"/>
              <w:left w:val="nil"/>
              <w:bottom w:val="single" w:sz="4" w:space="0" w:color="auto"/>
              <w:right w:val="single" w:sz="4" w:space="0" w:color="auto"/>
            </w:tcBorders>
            <w:shd w:val="clear" w:color="000000" w:fill="FF9900"/>
            <w:noWrap/>
            <w:vAlign w:val="center"/>
            <w:hideMark/>
          </w:tcPr>
          <w:p w14:paraId="19EAC56B" w14:textId="77777777" w:rsidR="005E671C" w:rsidRPr="005E671C" w:rsidRDefault="005E671C" w:rsidP="005E671C">
            <w:pPr>
              <w:spacing w:after="0" w:line="240" w:lineRule="auto"/>
              <w:jc w:val="center"/>
              <w:rPr>
                <w:rFonts w:ascii="Calibri" w:eastAsia="Times New Roman" w:hAnsi="Calibri" w:cs="Calibri"/>
                <w:lang w:eastAsia="hr-HR"/>
              </w:rPr>
            </w:pPr>
            <w:r w:rsidRPr="005E671C">
              <w:rPr>
                <w:rFonts w:ascii="Calibri" w:eastAsia="Times New Roman" w:hAnsi="Calibri" w:cs="Calibri"/>
                <w:lang w:eastAsia="hr-HR"/>
              </w:rPr>
              <w:t>0</w:t>
            </w:r>
          </w:p>
        </w:tc>
        <w:tc>
          <w:tcPr>
            <w:tcW w:w="574" w:type="dxa"/>
            <w:tcBorders>
              <w:top w:val="nil"/>
              <w:left w:val="nil"/>
              <w:bottom w:val="single" w:sz="4" w:space="0" w:color="auto"/>
              <w:right w:val="single" w:sz="4" w:space="0" w:color="auto"/>
            </w:tcBorders>
            <w:shd w:val="clear" w:color="000000" w:fill="FF9900"/>
            <w:noWrap/>
            <w:vAlign w:val="center"/>
            <w:hideMark/>
          </w:tcPr>
          <w:p w14:paraId="5EA46805" w14:textId="77777777" w:rsidR="005E671C" w:rsidRPr="005E671C" w:rsidRDefault="005E671C" w:rsidP="005E671C">
            <w:pPr>
              <w:spacing w:after="0" w:line="240" w:lineRule="auto"/>
              <w:jc w:val="center"/>
              <w:rPr>
                <w:rFonts w:ascii="Calibri" w:eastAsia="Times New Roman" w:hAnsi="Calibri" w:cs="Calibri"/>
                <w:lang w:eastAsia="hr-HR"/>
              </w:rPr>
            </w:pPr>
            <w:r w:rsidRPr="005E671C">
              <w:rPr>
                <w:rFonts w:ascii="Calibri" w:eastAsia="Times New Roman" w:hAnsi="Calibri" w:cs="Calibri"/>
                <w:lang w:eastAsia="hr-HR"/>
              </w:rPr>
              <w:t>0</w:t>
            </w:r>
          </w:p>
        </w:tc>
        <w:tc>
          <w:tcPr>
            <w:tcW w:w="434" w:type="dxa"/>
            <w:tcBorders>
              <w:top w:val="nil"/>
              <w:left w:val="nil"/>
              <w:bottom w:val="single" w:sz="4" w:space="0" w:color="auto"/>
              <w:right w:val="single" w:sz="4" w:space="0" w:color="auto"/>
            </w:tcBorders>
            <w:shd w:val="clear" w:color="000000" w:fill="FF9900"/>
            <w:noWrap/>
            <w:vAlign w:val="center"/>
            <w:hideMark/>
          </w:tcPr>
          <w:p w14:paraId="643772F6" w14:textId="77777777" w:rsidR="005E671C" w:rsidRPr="005E671C" w:rsidRDefault="005E671C" w:rsidP="005E671C">
            <w:pPr>
              <w:spacing w:after="0" w:line="240" w:lineRule="auto"/>
              <w:jc w:val="center"/>
              <w:rPr>
                <w:rFonts w:ascii="Calibri" w:eastAsia="Times New Roman" w:hAnsi="Calibri" w:cs="Calibri"/>
                <w:lang w:eastAsia="hr-HR"/>
              </w:rPr>
            </w:pPr>
            <w:r w:rsidRPr="005E671C">
              <w:rPr>
                <w:rFonts w:ascii="Calibri" w:eastAsia="Times New Roman" w:hAnsi="Calibri" w:cs="Calibri"/>
                <w:lang w:eastAsia="hr-HR"/>
              </w:rPr>
              <w:t>0</w:t>
            </w:r>
          </w:p>
        </w:tc>
        <w:tc>
          <w:tcPr>
            <w:tcW w:w="443" w:type="dxa"/>
            <w:gridSpan w:val="2"/>
            <w:tcBorders>
              <w:top w:val="nil"/>
              <w:left w:val="nil"/>
              <w:bottom w:val="single" w:sz="4" w:space="0" w:color="auto"/>
              <w:right w:val="single" w:sz="4" w:space="0" w:color="auto"/>
            </w:tcBorders>
            <w:shd w:val="clear" w:color="000000" w:fill="66FFCC"/>
            <w:noWrap/>
            <w:vAlign w:val="center"/>
            <w:hideMark/>
          </w:tcPr>
          <w:p w14:paraId="3E423DD4" w14:textId="77777777" w:rsidR="005E671C" w:rsidRPr="005E671C" w:rsidRDefault="005E671C" w:rsidP="005E671C">
            <w:pPr>
              <w:spacing w:after="0" w:line="240" w:lineRule="auto"/>
              <w:jc w:val="center"/>
              <w:rPr>
                <w:rFonts w:ascii="Calibri" w:eastAsia="Times New Roman" w:hAnsi="Calibri" w:cs="Calibri"/>
                <w:lang w:eastAsia="hr-HR"/>
              </w:rPr>
            </w:pPr>
            <w:r w:rsidRPr="005E671C">
              <w:rPr>
                <w:rFonts w:ascii="Calibri" w:eastAsia="Times New Roman" w:hAnsi="Calibri" w:cs="Calibri"/>
                <w:lang w:eastAsia="hr-HR"/>
              </w:rPr>
              <w:t>0</w:t>
            </w:r>
          </w:p>
        </w:tc>
        <w:tc>
          <w:tcPr>
            <w:tcW w:w="698" w:type="dxa"/>
            <w:tcBorders>
              <w:top w:val="nil"/>
              <w:left w:val="nil"/>
              <w:bottom w:val="single" w:sz="4" w:space="0" w:color="auto"/>
              <w:right w:val="single" w:sz="4" w:space="0" w:color="auto"/>
            </w:tcBorders>
            <w:shd w:val="clear" w:color="000000" w:fill="66FFCC"/>
            <w:noWrap/>
            <w:vAlign w:val="center"/>
            <w:hideMark/>
          </w:tcPr>
          <w:p w14:paraId="0E4ACE87" w14:textId="77777777" w:rsidR="005E671C" w:rsidRPr="005E671C" w:rsidRDefault="005E671C" w:rsidP="005E671C">
            <w:pPr>
              <w:spacing w:after="0" w:line="240" w:lineRule="auto"/>
              <w:jc w:val="center"/>
              <w:rPr>
                <w:rFonts w:ascii="Calibri" w:eastAsia="Times New Roman" w:hAnsi="Calibri" w:cs="Calibri"/>
                <w:lang w:eastAsia="hr-HR"/>
              </w:rPr>
            </w:pPr>
            <w:r w:rsidRPr="005E671C">
              <w:rPr>
                <w:rFonts w:ascii="Calibri" w:eastAsia="Times New Roman" w:hAnsi="Calibri" w:cs="Calibri"/>
                <w:lang w:eastAsia="hr-HR"/>
              </w:rPr>
              <w:t>0</w:t>
            </w:r>
          </w:p>
        </w:tc>
        <w:tc>
          <w:tcPr>
            <w:tcW w:w="574" w:type="dxa"/>
            <w:tcBorders>
              <w:top w:val="nil"/>
              <w:left w:val="nil"/>
              <w:bottom w:val="single" w:sz="4" w:space="0" w:color="auto"/>
              <w:right w:val="single" w:sz="4" w:space="0" w:color="auto"/>
            </w:tcBorders>
            <w:shd w:val="clear" w:color="000000" w:fill="66FFCC"/>
            <w:noWrap/>
            <w:vAlign w:val="center"/>
            <w:hideMark/>
          </w:tcPr>
          <w:p w14:paraId="66E1C2B8" w14:textId="77777777" w:rsidR="005E671C" w:rsidRPr="005E671C" w:rsidRDefault="005E671C" w:rsidP="005E671C">
            <w:pPr>
              <w:spacing w:after="0" w:line="240" w:lineRule="auto"/>
              <w:jc w:val="center"/>
              <w:rPr>
                <w:rFonts w:ascii="Calibri" w:eastAsia="Times New Roman" w:hAnsi="Calibri" w:cs="Calibri"/>
                <w:lang w:eastAsia="hr-HR"/>
              </w:rPr>
            </w:pPr>
            <w:r w:rsidRPr="005E671C">
              <w:rPr>
                <w:rFonts w:ascii="Calibri" w:eastAsia="Times New Roman" w:hAnsi="Calibri" w:cs="Calibri"/>
                <w:lang w:eastAsia="hr-HR"/>
              </w:rPr>
              <w:t>0</w:t>
            </w:r>
          </w:p>
        </w:tc>
        <w:tc>
          <w:tcPr>
            <w:tcW w:w="560" w:type="dxa"/>
            <w:tcBorders>
              <w:top w:val="nil"/>
              <w:left w:val="nil"/>
              <w:bottom w:val="single" w:sz="4" w:space="0" w:color="auto"/>
              <w:right w:val="single" w:sz="4" w:space="0" w:color="auto"/>
            </w:tcBorders>
            <w:shd w:val="clear" w:color="000000" w:fill="66FFCC"/>
            <w:noWrap/>
            <w:vAlign w:val="center"/>
            <w:hideMark/>
          </w:tcPr>
          <w:p w14:paraId="7DF7F717" w14:textId="77777777" w:rsidR="005E671C" w:rsidRPr="005E671C" w:rsidRDefault="005E671C" w:rsidP="005E671C">
            <w:pPr>
              <w:spacing w:after="0" w:line="240" w:lineRule="auto"/>
              <w:jc w:val="center"/>
              <w:rPr>
                <w:rFonts w:ascii="Calibri" w:eastAsia="Times New Roman" w:hAnsi="Calibri" w:cs="Calibri"/>
                <w:lang w:eastAsia="hr-HR"/>
              </w:rPr>
            </w:pPr>
            <w:r w:rsidRPr="005E671C">
              <w:rPr>
                <w:rFonts w:ascii="Calibri" w:eastAsia="Times New Roman" w:hAnsi="Calibri" w:cs="Calibri"/>
                <w:lang w:eastAsia="hr-HR"/>
              </w:rPr>
              <w:t>0</w:t>
            </w:r>
          </w:p>
        </w:tc>
        <w:tc>
          <w:tcPr>
            <w:tcW w:w="430" w:type="dxa"/>
            <w:gridSpan w:val="2"/>
            <w:tcBorders>
              <w:top w:val="nil"/>
              <w:left w:val="nil"/>
              <w:bottom w:val="single" w:sz="4" w:space="0" w:color="auto"/>
              <w:right w:val="single" w:sz="4" w:space="0" w:color="auto"/>
            </w:tcBorders>
            <w:shd w:val="clear" w:color="000000" w:fill="FFFF00"/>
            <w:vAlign w:val="center"/>
            <w:hideMark/>
          </w:tcPr>
          <w:p w14:paraId="2CCF1CED" w14:textId="77777777" w:rsidR="005E671C" w:rsidRPr="005E671C" w:rsidRDefault="005E671C" w:rsidP="005E671C">
            <w:pPr>
              <w:spacing w:after="0" w:line="240" w:lineRule="auto"/>
              <w:jc w:val="center"/>
              <w:rPr>
                <w:rFonts w:ascii="Calibri" w:eastAsia="Times New Roman" w:hAnsi="Calibri" w:cs="Calibri"/>
                <w:lang w:eastAsia="hr-HR"/>
              </w:rPr>
            </w:pPr>
            <w:r w:rsidRPr="005E671C">
              <w:rPr>
                <w:rFonts w:ascii="Calibri" w:eastAsia="Times New Roman" w:hAnsi="Calibri" w:cs="Calibri"/>
                <w:lang w:eastAsia="hr-HR"/>
              </w:rPr>
              <w:t>0</w:t>
            </w:r>
          </w:p>
        </w:tc>
        <w:tc>
          <w:tcPr>
            <w:tcW w:w="425" w:type="dxa"/>
            <w:gridSpan w:val="2"/>
            <w:tcBorders>
              <w:top w:val="nil"/>
              <w:left w:val="nil"/>
              <w:bottom w:val="single" w:sz="4" w:space="0" w:color="auto"/>
              <w:right w:val="single" w:sz="4" w:space="0" w:color="auto"/>
            </w:tcBorders>
            <w:shd w:val="clear" w:color="000000" w:fill="FFFF99"/>
            <w:vAlign w:val="center"/>
            <w:hideMark/>
          </w:tcPr>
          <w:p w14:paraId="20957569" w14:textId="77777777" w:rsidR="005E671C" w:rsidRPr="005E671C" w:rsidRDefault="005E671C" w:rsidP="005E671C">
            <w:pPr>
              <w:spacing w:after="0" w:line="240" w:lineRule="auto"/>
              <w:jc w:val="center"/>
              <w:rPr>
                <w:rFonts w:ascii="Calibri" w:eastAsia="Times New Roman" w:hAnsi="Calibri" w:cs="Calibri"/>
                <w:lang w:eastAsia="hr-HR"/>
              </w:rPr>
            </w:pPr>
            <w:r w:rsidRPr="005E671C">
              <w:rPr>
                <w:rFonts w:ascii="Calibri" w:eastAsia="Times New Roman" w:hAnsi="Calibri" w:cs="Calibri"/>
                <w:lang w:eastAsia="hr-HR"/>
              </w:rPr>
              <w:t>0</w:t>
            </w:r>
          </w:p>
        </w:tc>
        <w:tc>
          <w:tcPr>
            <w:tcW w:w="540" w:type="dxa"/>
            <w:gridSpan w:val="2"/>
            <w:tcBorders>
              <w:top w:val="nil"/>
              <w:left w:val="nil"/>
              <w:bottom w:val="single" w:sz="4" w:space="0" w:color="auto"/>
              <w:right w:val="single" w:sz="4" w:space="0" w:color="auto"/>
            </w:tcBorders>
            <w:shd w:val="clear" w:color="000000" w:fill="FF9900"/>
            <w:vAlign w:val="center"/>
            <w:hideMark/>
          </w:tcPr>
          <w:p w14:paraId="20C5F14C" w14:textId="77777777" w:rsidR="005E671C" w:rsidRPr="005E671C" w:rsidRDefault="005E671C" w:rsidP="005E671C">
            <w:pPr>
              <w:spacing w:after="0" w:line="240" w:lineRule="auto"/>
              <w:jc w:val="center"/>
              <w:rPr>
                <w:rFonts w:ascii="Calibri" w:eastAsia="Times New Roman" w:hAnsi="Calibri" w:cs="Calibri"/>
                <w:lang w:eastAsia="hr-HR"/>
              </w:rPr>
            </w:pPr>
            <w:r w:rsidRPr="005E671C">
              <w:rPr>
                <w:rFonts w:ascii="Calibri" w:eastAsia="Times New Roman" w:hAnsi="Calibri" w:cs="Calibri"/>
                <w:lang w:eastAsia="hr-HR"/>
              </w:rPr>
              <w:t>0</w:t>
            </w:r>
          </w:p>
        </w:tc>
        <w:tc>
          <w:tcPr>
            <w:tcW w:w="435" w:type="dxa"/>
            <w:tcBorders>
              <w:top w:val="nil"/>
              <w:left w:val="nil"/>
              <w:bottom w:val="single" w:sz="4" w:space="0" w:color="auto"/>
              <w:right w:val="single" w:sz="4" w:space="0" w:color="auto"/>
            </w:tcBorders>
            <w:shd w:val="clear" w:color="000000" w:fill="CCFFFF"/>
            <w:vAlign w:val="center"/>
            <w:hideMark/>
          </w:tcPr>
          <w:p w14:paraId="64C6B445" w14:textId="77777777" w:rsidR="005E671C" w:rsidRPr="005E671C" w:rsidRDefault="005E671C" w:rsidP="005E671C">
            <w:pPr>
              <w:spacing w:after="0" w:line="240" w:lineRule="auto"/>
              <w:jc w:val="center"/>
              <w:rPr>
                <w:rFonts w:ascii="Calibri" w:eastAsia="Times New Roman" w:hAnsi="Calibri" w:cs="Calibri"/>
                <w:lang w:eastAsia="hr-HR"/>
              </w:rPr>
            </w:pPr>
            <w:r w:rsidRPr="005E671C">
              <w:rPr>
                <w:rFonts w:ascii="Calibri" w:eastAsia="Times New Roman" w:hAnsi="Calibri" w:cs="Calibri"/>
                <w:lang w:eastAsia="hr-HR"/>
              </w:rPr>
              <w:t>0</w:t>
            </w:r>
          </w:p>
        </w:tc>
        <w:tc>
          <w:tcPr>
            <w:tcW w:w="655" w:type="dxa"/>
            <w:tcBorders>
              <w:top w:val="nil"/>
              <w:left w:val="nil"/>
              <w:bottom w:val="single" w:sz="4" w:space="0" w:color="auto"/>
              <w:right w:val="single" w:sz="4" w:space="0" w:color="auto"/>
            </w:tcBorders>
            <w:shd w:val="clear" w:color="000000" w:fill="CCFFFF"/>
            <w:vAlign w:val="center"/>
            <w:hideMark/>
          </w:tcPr>
          <w:p w14:paraId="35FE95BB" w14:textId="77777777" w:rsidR="005E671C" w:rsidRPr="005E671C" w:rsidRDefault="005E671C" w:rsidP="005E671C">
            <w:pPr>
              <w:spacing w:after="0" w:line="240" w:lineRule="auto"/>
              <w:jc w:val="center"/>
              <w:rPr>
                <w:rFonts w:ascii="Calibri" w:eastAsia="Times New Roman" w:hAnsi="Calibri" w:cs="Calibri"/>
                <w:lang w:eastAsia="hr-HR"/>
              </w:rPr>
            </w:pPr>
            <w:r w:rsidRPr="005E671C">
              <w:rPr>
                <w:rFonts w:ascii="Calibri" w:eastAsia="Times New Roman" w:hAnsi="Calibri" w:cs="Calibri"/>
                <w:lang w:eastAsia="hr-HR"/>
              </w:rPr>
              <w:t>0</w:t>
            </w:r>
          </w:p>
        </w:tc>
        <w:tc>
          <w:tcPr>
            <w:tcW w:w="645" w:type="dxa"/>
            <w:tcBorders>
              <w:top w:val="nil"/>
              <w:left w:val="nil"/>
              <w:bottom w:val="single" w:sz="4" w:space="0" w:color="auto"/>
              <w:right w:val="single" w:sz="4" w:space="0" w:color="auto"/>
            </w:tcBorders>
            <w:shd w:val="clear" w:color="000000" w:fill="CCFFFF"/>
            <w:vAlign w:val="center"/>
            <w:hideMark/>
          </w:tcPr>
          <w:p w14:paraId="02C2F889" w14:textId="77777777" w:rsidR="005E671C" w:rsidRPr="005E671C" w:rsidRDefault="005E671C" w:rsidP="005E671C">
            <w:pPr>
              <w:spacing w:after="0" w:line="240" w:lineRule="auto"/>
              <w:jc w:val="center"/>
              <w:rPr>
                <w:rFonts w:ascii="Calibri" w:eastAsia="Times New Roman" w:hAnsi="Calibri" w:cs="Calibri"/>
                <w:lang w:eastAsia="hr-HR"/>
              </w:rPr>
            </w:pPr>
            <w:r w:rsidRPr="005E671C">
              <w:rPr>
                <w:rFonts w:ascii="Calibri" w:eastAsia="Times New Roman" w:hAnsi="Calibri" w:cs="Calibri"/>
                <w:lang w:eastAsia="hr-HR"/>
              </w:rPr>
              <w:t>0</w:t>
            </w:r>
          </w:p>
        </w:tc>
        <w:tc>
          <w:tcPr>
            <w:tcW w:w="699" w:type="dxa"/>
            <w:tcBorders>
              <w:top w:val="nil"/>
              <w:left w:val="nil"/>
              <w:bottom w:val="single" w:sz="4" w:space="0" w:color="auto"/>
              <w:right w:val="nil"/>
            </w:tcBorders>
            <w:shd w:val="clear" w:color="000000" w:fill="33CCCC"/>
            <w:noWrap/>
            <w:vAlign w:val="center"/>
            <w:hideMark/>
          </w:tcPr>
          <w:p w14:paraId="0CC54BD5" w14:textId="77777777" w:rsidR="005E671C" w:rsidRPr="005E671C" w:rsidRDefault="005E671C" w:rsidP="005E671C">
            <w:pPr>
              <w:spacing w:after="0" w:line="240" w:lineRule="auto"/>
              <w:jc w:val="center"/>
              <w:rPr>
                <w:rFonts w:ascii="Calibri" w:eastAsia="Times New Roman" w:hAnsi="Calibri" w:cs="Calibri"/>
                <w:lang w:eastAsia="hr-HR"/>
              </w:rPr>
            </w:pPr>
            <w:r w:rsidRPr="005E671C">
              <w:rPr>
                <w:rFonts w:ascii="Calibri" w:eastAsia="Times New Roman" w:hAnsi="Calibri" w:cs="Calibri"/>
                <w:lang w:eastAsia="hr-HR"/>
              </w:rPr>
              <w:t>0</w:t>
            </w:r>
          </w:p>
        </w:tc>
        <w:tc>
          <w:tcPr>
            <w:tcW w:w="700" w:type="dxa"/>
            <w:tcBorders>
              <w:top w:val="nil"/>
              <w:left w:val="single" w:sz="4" w:space="0" w:color="auto"/>
              <w:bottom w:val="single" w:sz="4" w:space="0" w:color="auto"/>
              <w:right w:val="single" w:sz="8" w:space="0" w:color="auto"/>
            </w:tcBorders>
            <w:shd w:val="clear" w:color="000000" w:fill="33CCCC"/>
            <w:noWrap/>
            <w:vAlign w:val="center"/>
            <w:hideMark/>
          </w:tcPr>
          <w:p w14:paraId="07FAD65E" w14:textId="77777777" w:rsidR="005E671C" w:rsidRPr="005E671C" w:rsidRDefault="005E671C" w:rsidP="005E671C">
            <w:pPr>
              <w:spacing w:after="0" w:line="240" w:lineRule="auto"/>
              <w:jc w:val="center"/>
              <w:rPr>
                <w:rFonts w:ascii="Calibri" w:eastAsia="Times New Roman" w:hAnsi="Calibri" w:cs="Calibri"/>
                <w:lang w:eastAsia="hr-HR"/>
              </w:rPr>
            </w:pPr>
            <w:r w:rsidRPr="005E671C">
              <w:rPr>
                <w:rFonts w:ascii="Calibri" w:eastAsia="Times New Roman" w:hAnsi="Calibri" w:cs="Calibri"/>
                <w:lang w:eastAsia="hr-HR"/>
              </w:rPr>
              <w:t>0</w:t>
            </w:r>
          </w:p>
        </w:tc>
        <w:tc>
          <w:tcPr>
            <w:tcW w:w="239" w:type="dxa"/>
            <w:gridSpan w:val="2"/>
            <w:vAlign w:val="center"/>
            <w:hideMark/>
          </w:tcPr>
          <w:p w14:paraId="3CFE9028" w14:textId="77777777" w:rsidR="005E671C" w:rsidRPr="005E671C" w:rsidRDefault="005E671C" w:rsidP="005E671C">
            <w:pPr>
              <w:spacing w:after="0" w:line="240" w:lineRule="auto"/>
              <w:rPr>
                <w:rFonts w:ascii="Times New Roman" w:eastAsia="Times New Roman" w:hAnsi="Times New Roman" w:cs="Times New Roman"/>
                <w:sz w:val="20"/>
                <w:szCs w:val="20"/>
                <w:lang w:eastAsia="hr-HR"/>
              </w:rPr>
            </w:pPr>
          </w:p>
        </w:tc>
      </w:tr>
      <w:tr w:rsidR="005E671C" w:rsidRPr="005E671C" w14:paraId="0EDBC8F6" w14:textId="77777777" w:rsidTr="001752B7">
        <w:trPr>
          <w:gridAfter w:val="1"/>
          <w:wAfter w:w="23" w:type="dxa"/>
          <w:trHeight w:val="300"/>
        </w:trPr>
        <w:tc>
          <w:tcPr>
            <w:tcW w:w="1408" w:type="dxa"/>
            <w:tcBorders>
              <w:top w:val="single" w:sz="4" w:space="0" w:color="auto"/>
              <w:left w:val="single" w:sz="8" w:space="0" w:color="auto"/>
              <w:bottom w:val="single" w:sz="4" w:space="0" w:color="auto"/>
              <w:right w:val="single" w:sz="4" w:space="0" w:color="auto"/>
            </w:tcBorders>
            <w:shd w:val="clear" w:color="000000" w:fill="CCFFCC"/>
            <w:vAlign w:val="center"/>
            <w:hideMark/>
          </w:tcPr>
          <w:p w14:paraId="01C083D0" w14:textId="77777777" w:rsidR="005E671C" w:rsidRPr="005E671C" w:rsidRDefault="005E671C" w:rsidP="005E671C">
            <w:pPr>
              <w:spacing w:after="0" w:line="240" w:lineRule="auto"/>
              <w:jc w:val="center"/>
              <w:rPr>
                <w:rFonts w:ascii="Calibri" w:eastAsia="Times New Roman" w:hAnsi="Calibri" w:cs="Calibri"/>
                <w:lang w:eastAsia="hr-HR"/>
              </w:rPr>
            </w:pPr>
            <w:r w:rsidRPr="005E671C">
              <w:rPr>
                <w:rFonts w:ascii="Calibri" w:eastAsia="Times New Roman" w:hAnsi="Calibri" w:cs="Calibri"/>
                <w:lang w:eastAsia="hr-HR"/>
              </w:rPr>
              <w:t>Genetsko nasljeđe</w:t>
            </w:r>
          </w:p>
        </w:tc>
        <w:tc>
          <w:tcPr>
            <w:tcW w:w="595" w:type="dxa"/>
            <w:tcBorders>
              <w:top w:val="nil"/>
              <w:left w:val="nil"/>
              <w:bottom w:val="single" w:sz="4" w:space="0" w:color="auto"/>
              <w:right w:val="single" w:sz="4" w:space="0" w:color="auto"/>
            </w:tcBorders>
            <w:shd w:val="clear" w:color="000000" w:fill="CCFFCC"/>
            <w:vAlign w:val="center"/>
            <w:hideMark/>
          </w:tcPr>
          <w:p w14:paraId="518D6ACC" w14:textId="77777777" w:rsidR="005E671C" w:rsidRPr="005E671C" w:rsidRDefault="005E671C" w:rsidP="005E671C">
            <w:pPr>
              <w:spacing w:after="0" w:line="240" w:lineRule="auto"/>
              <w:jc w:val="center"/>
              <w:rPr>
                <w:rFonts w:ascii="Calibri" w:eastAsia="Times New Roman" w:hAnsi="Calibri" w:cs="Calibri"/>
                <w:lang w:eastAsia="hr-HR"/>
              </w:rPr>
            </w:pPr>
            <w:r w:rsidRPr="005E671C">
              <w:rPr>
                <w:rFonts w:ascii="Calibri" w:eastAsia="Times New Roman" w:hAnsi="Calibri" w:cs="Calibri"/>
                <w:lang w:eastAsia="hr-HR"/>
              </w:rPr>
              <w:t>0</w:t>
            </w:r>
          </w:p>
        </w:tc>
        <w:tc>
          <w:tcPr>
            <w:tcW w:w="549" w:type="dxa"/>
            <w:tcBorders>
              <w:top w:val="nil"/>
              <w:left w:val="nil"/>
              <w:bottom w:val="single" w:sz="4" w:space="0" w:color="auto"/>
              <w:right w:val="single" w:sz="4" w:space="0" w:color="auto"/>
            </w:tcBorders>
            <w:shd w:val="clear" w:color="000000" w:fill="FFCC99"/>
            <w:noWrap/>
            <w:vAlign w:val="center"/>
            <w:hideMark/>
          </w:tcPr>
          <w:p w14:paraId="394702B5" w14:textId="77777777" w:rsidR="005E671C" w:rsidRPr="005E671C" w:rsidRDefault="005E671C" w:rsidP="005E671C">
            <w:pPr>
              <w:spacing w:after="0" w:line="240" w:lineRule="auto"/>
              <w:jc w:val="center"/>
              <w:rPr>
                <w:rFonts w:ascii="Calibri" w:eastAsia="Times New Roman" w:hAnsi="Calibri" w:cs="Calibri"/>
                <w:lang w:eastAsia="hr-HR"/>
              </w:rPr>
            </w:pPr>
            <w:r w:rsidRPr="005E671C">
              <w:rPr>
                <w:rFonts w:ascii="Calibri" w:eastAsia="Times New Roman" w:hAnsi="Calibri" w:cs="Calibri"/>
                <w:lang w:eastAsia="hr-HR"/>
              </w:rPr>
              <w:t>0</w:t>
            </w:r>
          </w:p>
        </w:tc>
        <w:tc>
          <w:tcPr>
            <w:tcW w:w="441" w:type="dxa"/>
            <w:tcBorders>
              <w:top w:val="nil"/>
              <w:left w:val="nil"/>
              <w:bottom w:val="single" w:sz="4" w:space="0" w:color="auto"/>
              <w:right w:val="single" w:sz="4" w:space="0" w:color="auto"/>
            </w:tcBorders>
            <w:shd w:val="clear" w:color="000000" w:fill="CCFFFF"/>
            <w:noWrap/>
            <w:vAlign w:val="center"/>
            <w:hideMark/>
          </w:tcPr>
          <w:p w14:paraId="743FA820" w14:textId="77777777" w:rsidR="005E671C" w:rsidRPr="005E671C" w:rsidRDefault="005E671C" w:rsidP="005E671C">
            <w:pPr>
              <w:spacing w:after="0" w:line="240" w:lineRule="auto"/>
              <w:jc w:val="center"/>
              <w:rPr>
                <w:rFonts w:ascii="Calibri" w:eastAsia="Times New Roman" w:hAnsi="Calibri" w:cs="Calibri"/>
                <w:lang w:eastAsia="hr-HR"/>
              </w:rPr>
            </w:pPr>
            <w:r w:rsidRPr="005E671C">
              <w:rPr>
                <w:rFonts w:ascii="Calibri" w:eastAsia="Times New Roman" w:hAnsi="Calibri" w:cs="Calibri"/>
                <w:lang w:eastAsia="hr-HR"/>
              </w:rPr>
              <w:t>0</w:t>
            </w:r>
          </w:p>
        </w:tc>
        <w:tc>
          <w:tcPr>
            <w:tcW w:w="432" w:type="dxa"/>
            <w:tcBorders>
              <w:top w:val="nil"/>
              <w:left w:val="nil"/>
              <w:bottom w:val="single" w:sz="4" w:space="0" w:color="auto"/>
              <w:right w:val="single" w:sz="4" w:space="0" w:color="auto"/>
            </w:tcBorders>
            <w:shd w:val="clear" w:color="000000" w:fill="CCFFFF"/>
            <w:noWrap/>
            <w:vAlign w:val="center"/>
            <w:hideMark/>
          </w:tcPr>
          <w:p w14:paraId="4921D3AD" w14:textId="77777777" w:rsidR="005E671C" w:rsidRPr="005E671C" w:rsidRDefault="005E671C" w:rsidP="005E671C">
            <w:pPr>
              <w:spacing w:after="0" w:line="240" w:lineRule="auto"/>
              <w:jc w:val="center"/>
              <w:rPr>
                <w:rFonts w:ascii="Calibri" w:eastAsia="Times New Roman" w:hAnsi="Calibri" w:cs="Calibri"/>
                <w:lang w:eastAsia="hr-HR"/>
              </w:rPr>
            </w:pPr>
            <w:r w:rsidRPr="005E671C">
              <w:rPr>
                <w:rFonts w:ascii="Calibri" w:eastAsia="Times New Roman" w:hAnsi="Calibri" w:cs="Calibri"/>
                <w:lang w:eastAsia="hr-HR"/>
              </w:rPr>
              <w:t>0</w:t>
            </w:r>
          </w:p>
        </w:tc>
        <w:tc>
          <w:tcPr>
            <w:tcW w:w="421" w:type="dxa"/>
            <w:gridSpan w:val="2"/>
            <w:tcBorders>
              <w:top w:val="nil"/>
              <w:left w:val="nil"/>
              <w:bottom w:val="single" w:sz="4" w:space="0" w:color="auto"/>
              <w:right w:val="single" w:sz="4" w:space="0" w:color="auto"/>
            </w:tcBorders>
            <w:shd w:val="clear" w:color="000000" w:fill="FFFF99"/>
            <w:noWrap/>
            <w:vAlign w:val="center"/>
            <w:hideMark/>
          </w:tcPr>
          <w:p w14:paraId="31C27E06" w14:textId="77777777" w:rsidR="005E671C" w:rsidRPr="005E671C" w:rsidRDefault="005E671C" w:rsidP="005E671C">
            <w:pPr>
              <w:spacing w:after="0" w:line="240" w:lineRule="auto"/>
              <w:jc w:val="center"/>
              <w:rPr>
                <w:rFonts w:ascii="Calibri" w:eastAsia="Times New Roman" w:hAnsi="Calibri" w:cs="Calibri"/>
                <w:lang w:eastAsia="hr-HR"/>
              </w:rPr>
            </w:pPr>
            <w:r w:rsidRPr="005E671C">
              <w:rPr>
                <w:rFonts w:ascii="Calibri" w:eastAsia="Times New Roman" w:hAnsi="Calibri" w:cs="Calibri"/>
                <w:lang w:eastAsia="hr-HR"/>
              </w:rPr>
              <w:t>0</w:t>
            </w:r>
          </w:p>
        </w:tc>
        <w:tc>
          <w:tcPr>
            <w:tcW w:w="431" w:type="dxa"/>
            <w:tcBorders>
              <w:top w:val="nil"/>
              <w:left w:val="nil"/>
              <w:bottom w:val="single" w:sz="4" w:space="0" w:color="auto"/>
              <w:right w:val="single" w:sz="4" w:space="0" w:color="auto"/>
            </w:tcBorders>
            <w:shd w:val="clear" w:color="000000" w:fill="FFFF99"/>
            <w:noWrap/>
            <w:vAlign w:val="center"/>
            <w:hideMark/>
          </w:tcPr>
          <w:p w14:paraId="0D696E6B" w14:textId="77777777" w:rsidR="005E671C" w:rsidRPr="005E671C" w:rsidRDefault="005E671C" w:rsidP="005E671C">
            <w:pPr>
              <w:spacing w:after="0" w:line="240" w:lineRule="auto"/>
              <w:jc w:val="center"/>
              <w:rPr>
                <w:rFonts w:ascii="Calibri" w:eastAsia="Times New Roman" w:hAnsi="Calibri" w:cs="Calibri"/>
                <w:lang w:eastAsia="hr-HR"/>
              </w:rPr>
            </w:pPr>
            <w:r w:rsidRPr="005E671C">
              <w:rPr>
                <w:rFonts w:ascii="Calibri" w:eastAsia="Times New Roman" w:hAnsi="Calibri" w:cs="Calibri"/>
                <w:lang w:eastAsia="hr-HR"/>
              </w:rPr>
              <w:t>0</w:t>
            </w:r>
          </w:p>
        </w:tc>
        <w:tc>
          <w:tcPr>
            <w:tcW w:w="420" w:type="dxa"/>
            <w:tcBorders>
              <w:top w:val="nil"/>
              <w:left w:val="nil"/>
              <w:bottom w:val="single" w:sz="4" w:space="0" w:color="auto"/>
              <w:right w:val="single" w:sz="4" w:space="0" w:color="auto"/>
            </w:tcBorders>
            <w:shd w:val="clear" w:color="000000" w:fill="FFFF99"/>
            <w:noWrap/>
            <w:vAlign w:val="center"/>
            <w:hideMark/>
          </w:tcPr>
          <w:p w14:paraId="20BDC83A" w14:textId="77777777" w:rsidR="005E671C" w:rsidRPr="005E671C" w:rsidRDefault="005E671C" w:rsidP="005E671C">
            <w:pPr>
              <w:spacing w:after="0" w:line="240" w:lineRule="auto"/>
              <w:jc w:val="center"/>
              <w:rPr>
                <w:rFonts w:ascii="Calibri" w:eastAsia="Times New Roman" w:hAnsi="Calibri" w:cs="Calibri"/>
                <w:lang w:eastAsia="hr-HR"/>
              </w:rPr>
            </w:pPr>
            <w:r w:rsidRPr="005E671C">
              <w:rPr>
                <w:rFonts w:ascii="Calibri" w:eastAsia="Times New Roman" w:hAnsi="Calibri" w:cs="Calibri"/>
                <w:lang w:eastAsia="hr-HR"/>
              </w:rPr>
              <w:t>0</w:t>
            </w:r>
          </w:p>
        </w:tc>
        <w:tc>
          <w:tcPr>
            <w:tcW w:w="429" w:type="dxa"/>
            <w:tcBorders>
              <w:top w:val="nil"/>
              <w:left w:val="nil"/>
              <w:bottom w:val="single" w:sz="4" w:space="0" w:color="auto"/>
              <w:right w:val="single" w:sz="4" w:space="0" w:color="auto"/>
            </w:tcBorders>
            <w:shd w:val="clear" w:color="000000" w:fill="FFFF99"/>
            <w:noWrap/>
            <w:vAlign w:val="center"/>
            <w:hideMark/>
          </w:tcPr>
          <w:p w14:paraId="2BB72C3E" w14:textId="77777777" w:rsidR="005E671C" w:rsidRPr="005E671C" w:rsidRDefault="005E671C" w:rsidP="005E671C">
            <w:pPr>
              <w:spacing w:after="0" w:line="240" w:lineRule="auto"/>
              <w:jc w:val="center"/>
              <w:rPr>
                <w:rFonts w:ascii="Calibri" w:eastAsia="Times New Roman" w:hAnsi="Calibri" w:cs="Calibri"/>
                <w:lang w:eastAsia="hr-HR"/>
              </w:rPr>
            </w:pPr>
            <w:r w:rsidRPr="005E671C">
              <w:rPr>
                <w:rFonts w:ascii="Calibri" w:eastAsia="Times New Roman" w:hAnsi="Calibri" w:cs="Calibri"/>
                <w:lang w:eastAsia="hr-HR"/>
              </w:rPr>
              <w:t>0</w:t>
            </w:r>
          </w:p>
        </w:tc>
        <w:tc>
          <w:tcPr>
            <w:tcW w:w="581" w:type="dxa"/>
            <w:tcBorders>
              <w:top w:val="nil"/>
              <w:left w:val="nil"/>
              <w:bottom w:val="single" w:sz="4" w:space="0" w:color="auto"/>
              <w:right w:val="single" w:sz="4" w:space="0" w:color="auto"/>
            </w:tcBorders>
            <w:shd w:val="clear" w:color="000000" w:fill="FFFF99"/>
            <w:noWrap/>
            <w:vAlign w:val="center"/>
            <w:hideMark/>
          </w:tcPr>
          <w:p w14:paraId="2D2911D4" w14:textId="77777777" w:rsidR="005E671C" w:rsidRPr="005E671C" w:rsidRDefault="005E671C" w:rsidP="005E671C">
            <w:pPr>
              <w:spacing w:after="0" w:line="240" w:lineRule="auto"/>
              <w:jc w:val="center"/>
              <w:rPr>
                <w:rFonts w:ascii="Calibri" w:eastAsia="Times New Roman" w:hAnsi="Calibri" w:cs="Calibri"/>
                <w:lang w:eastAsia="hr-HR"/>
              </w:rPr>
            </w:pPr>
            <w:r w:rsidRPr="005E671C">
              <w:rPr>
                <w:rFonts w:ascii="Calibri" w:eastAsia="Times New Roman" w:hAnsi="Calibri" w:cs="Calibri"/>
                <w:lang w:eastAsia="hr-HR"/>
              </w:rPr>
              <w:t>0</w:t>
            </w:r>
          </w:p>
        </w:tc>
        <w:tc>
          <w:tcPr>
            <w:tcW w:w="556" w:type="dxa"/>
            <w:gridSpan w:val="2"/>
            <w:tcBorders>
              <w:top w:val="nil"/>
              <w:left w:val="nil"/>
              <w:bottom w:val="single" w:sz="4" w:space="0" w:color="auto"/>
              <w:right w:val="single" w:sz="4" w:space="0" w:color="auto"/>
            </w:tcBorders>
            <w:shd w:val="clear" w:color="000000" w:fill="FF9900"/>
            <w:noWrap/>
            <w:vAlign w:val="center"/>
            <w:hideMark/>
          </w:tcPr>
          <w:p w14:paraId="1B9DBA8C" w14:textId="77777777" w:rsidR="005E671C" w:rsidRPr="005E671C" w:rsidRDefault="005E671C" w:rsidP="005E671C">
            <w:pPr>
              <w:spacing w:after="0" w:line="240" w:lineRule="auto"/>
              <w:jc w:val="center"/>
              <w:rPr>
                <w:rFonts w:ascii="Calibri" w:eastAsia="Times New Roman" w:hAnsi="Calibri" w:cs="Calibri"/>
                <w:lang w:eastAsia="hr-HR"/>
              </w:rPr>
            </w:pPr>
            <w:r w:rsidRPr="005E671C">
              <w:rPr>
                <w:rFonts w:ascii="Calibri" w:eastAsia="Times New Roman" w:hAnsi="Calibri" w:cs="Calibri"/>
                <w:lang w:eastAsia="hr-HR"/>
              </w:rPr>
              <w:t>0</w:t>
            </w:r>
          </w:p>
        </w:tc>
        <w:tc>
          <w:tcPr>
            <w:tcW w:w="574" w:type="dxa"/>
            <w:tcBorders>
              <w:top w:val="nil"/>
              <w:left w:val="nil"/>
              <w:bottom w:val="single" w:sz="4" w:space="0" w:color="auto"/>
              <w:right w:val="single" w:sz="4" w:space="0" w:color="auto"/>
            </w:tcBorders>
            <w:shd w:val="clear" w:color="000000" w:fill="FF9900"/>
            <w:noWrap/>
            <w:vAlign w:val="center"/>
            <w:hideMark/>
          </w:tcPr>
          <w:p w14:paraId="0D0A601C" w14:textId="77777777" w:rsidR="005E671C" w:rsidRPr="005E671C" w:rsidRDefault="005E671C" w:rsidP="005E671C">
            <w:pPr>
              <w:spacing w:after="0" w:line="240" w:lineRule="auto"/>
              <w:jc w:val="center"/>
              <w:rPr>
                <w:rFonts w:ascii="Calibri" w:eastAsia="Times New Roman" w:hAnsi="Calibri" w:cs="Calibri"/>
                <w:lang w:eastAsia="hr-HR"/>
              </w:rPr>
            </w:pPr>
            <w:r w:rsidRPr="005E671C">
              <w:rPr>
                <w:rFonts w:ascii="Calibri" w:eastAsia="Times New Roman" w:hAnsi="Calibri" w:cs="Calibri"/>
                <w:lang w:eastAsia="hr-HR"/>
              </w:rPr>
              <w:t>0</w:t>
            </w:r>
          </w:p>
        </w:tc>
        <w:tc>
          <w:tcPr>
            <w:tcW w:w="434" w:type="dxa"/>
            <w:tcBorders>
              <w:top w:val="nil"/>
              <w:left w:val="nil"/>
              <w:bottom w:val="single" w:sz="4" w:space="0" w:color="auto"/>
              <w:right w:val="single" w:sz="4" w:space="0" w:color="auto"/>
            </w:tcBorders>
            <w:shd w:val="clear" w:color="000000" w:fill="FF9900"/>
            <w:noWrap/>
            <w:vAlign w:val="center"/>
            <w:hideMark/>
          </w:tcPr>
          <w:p w14:paraId="6215BE14" w14:textId="77777777" w:rsidR="005E671C" w:rsidRPr="005E671C" w:rsidRDefault="005E671C" w:rsidP="005E671C">
            <w:pPr>
              <w:spacing w:after="0" w:line="240" w:lineRule="auto"/>
              <w:jc w:val="center"/>
              <w:rPr>
                <w:rFonts w:ascii="Calibri" w:eastAsia="Times New Roman" w:hAnsi="Calibri" w:cs="Calibri"/>
                <w:lang w:eastAsia="hr-HR"/>
              </w:rPr>
            </w:pPr>
            <w:r w:rsidRPr="005E671C">
              <w:rPr>
                <w:rFonts w:ascii="Calibri" w:eastAsia="Times New Roman" w:hAnsi="Calibri" w:cs="Calibri"/>
                <w:lang w:eastAsia="hr-HR"/>
              </w:rPr>
              <w:t>0</w:t>
            </w:r>
          </w:p>
        </w:tc>
        <w:tc>
          <w:tcPr>
            <w:tcW w:w="443" w:type="dxa"/>
            <w:gridSpan w:val="2"/>
            <w:tcBorders>
              <w:top w:val="nil"/>
              <w:left w:val="nil"/>
              <w:bottom w:val="single" w:sz="4" w:space="0" w:color="auto"/>
              <w:right w:val="single" w:sz="4" w:space="0" w:color="auto"/>
            </w:tcBorders>
            <w:shd w:val="clear" w:color="000000" w:fill="66FFCC"/>
            <w:noWrap/>
            <w:vAlign w:val="center"/>
            <w:hideMark/>
          </w:tcPr>
          <w:p w14:paraId="7729F009" w14:textId="77777777" w:rsidR="005E671C" w:rsidRPr="005E671C" w:rsidRDefault="005E671C" w:rsidP="005E671C">
            <w:pPr>
              <w:spacing w:after="0" w:line="240" w:lineRule="auto"/>
              <w:jc w:val="center"/>
              <w:rPr>
                <w:rFonts w:ascii="Calibri" w:eastAsia="Times New Roman" w:hAnsi="Calibri" w:cs="Calibri"/>
                <w:lang w:eastAsia="hr-HR"/>
              </w:rPr>
            </w:pPr>
            <w:r w:rsidRPr="005E671C">
              <w:rPr>
                <w:rFonts w:ascii="Calibri" w:eastAsia="Times New Roman" w:hAnsi="Calibri" w:cs="Calibri"/>
                <w:lang w:eastAsia="hr-HR"/>
              </w:rPr>
              <w:t>0</w:t>
            </w:r>
          </w:p>
        </w:tc>
        <w:tc>
          <w:tcPr>
            <w:tcW w:w="698" w:type="dxa"/>
            <w:tcBorders>
              <w:top w:val="nil"/>
              <w:left w:val="nil"/>
              <w:bottom w:val="single" w:sz="4" w:space="0" w:color="auto"/>
              <w:right w:val="single" w:sz="4" w:space="0" w:color="auto"/>
            </w:tcBorders>
            <w:shd w:val="clear" w:color="000000" w:fill="66FFCC"/>
            <w:noWrap/>
            <w:vAlign w:val="center"/>
            <w:hideMark/>
          </w:tcPr>
          <w:p w14:paraId="1EEA8341" w14:textId="77777777" w:rsidR="005E671C" w:rsidRPr="005E671C" w:rsidRDefault="005E671C" w:rsidP="005E671C">
            <w:pPr>
              <w:spacing w:after="0" w:line="240" w:lineRule="auto"/>
              <w:jc w:val="center"/>
              <w:rPr>
                <w:rFonts w:ascii="Calibri" w:eastAsia="Times New Roman" w:hAnsi="Calibri" w:cs="Calibri"/>
                <w:lang w:eastAsia="hr-HR"/>
              </w:rPr>
            </w:pPr>
            <w:r w:rsidRPr="005E671C">
              <w:rPr>
                <w:rFonts w:ascii="Calibri" w:eastAsia="Times New Roman" w:hAnsi="Calibri" w:cs="Calibri"/>
                <w:lang w:eastAsia="hr-HR"/>
              </w:rPr>
              <w:t>0</w:t>
            </w:r>
          </w:p>
        </w:tc>
        <w:tc>
          <w:tcPr>
            <w:tcW w:w="574" w:type="dxa"/>
            <w:tcBorders>
              <w:top w:val="nil"/>
              <w:left w:val="nil"/>
              <w:bottom w:val="single" w:sz="4" w:space="0" w:color="auto"/>
              <w:right w:val="single" w:sz="4" w:space="0" w:color="auto"/>
            </w:tcBorders>
            <w:shd w:val="clear" w:color="000000" w:fill="66FFCC"/>
            <w:noWrap/>
            <w:vAlign w:val="center"/>
            <w:hideMark/>
          </w:tcPr>
          <w:p w14:paraId="25BA235D" w14:textId="77777777" w:rsidR="005E671C" w:rsidRPr="005E671C" w:rsidRDefault="005E671C" w:rsidP="005E671C">
            <w:pPr>
              <w:spacing w:after="0" w:line="240" w:lineRule="auto"/>
              <w:jc w:val="center"/>
              <w:rPr>
                <w:rFonts w:ascii="Calibri" w:eastAsia="Times New Roman" w:hAnsi="Calibri" w:cs="Calibri"/>
                <w:lang w:eastAsia="hr-HR"/>
              </w:rPr>
            </w:pPr>
            <w:r w:rsidRPr="005E671C">
              <w:rPr>
                <w:rFonts w:ascii="Calibri" w:eastAsia="Times New Roman" w:hAnsi="Calibri" w:cs="Calibri"/>
                <w:lang w:eastAsia="hr-HR"/>
              </w:rPr>
              <w:t>0</w:t>
            </w:r>
          </w:p>
        </w:tc>
        <w:tc>
          <w:tcPr>
            <w:tcW w:w="560" w:type="dxa"/>
            <w:tcBorders>
              <w:top w:val="nil"/>
              <w:left w:val="nil"/>
              <w:bottom w:val="single" w:sz="4" w:space="0" w:color="auto"/>
              <w:right w:val="single" w:sz="4" w:space="0" w:color="auto"/>
            </w:tcBorders>
            <w:shd w:val="clear" w:color="000000" w:fill="66FFCC"/>
            <w:noWrap/>
            <w:vAlign w:val="center"/>
            <w:hideMark/>
          </w:tcPr>
          <w:p w14:paraId="70EB7CF3" w14:textId="77777777" w:rsidR="005E671C" w:rsidRPr="005E671C" w:rsidRDefault="005E671C" w:rsidP="005E671C">
            <w:pPr>
              <w:spacing w:after="0" w:line="240" w:lineRule="auto"/>
              <w:jc w:val="center"/>
              <w:rPr>
                <w:rFonts w:ascii="Calibri" w:eastAsia="Times New Roman" w:hAnsi="Calibri" w:cs="Calibri"/>
                <w:lang w:eastAsia="hr-HR"/>
              </w:rPr>
            </w:pPr>
            <w:r w:rsidRPr="005E671C">
              <w:rPr>
                <w:rFonts w:ascii="Calibri" w:eastAsia="Times New Roman" w:hAnsi="Calibri" w:cs="Calibri"/>
                <w:lang w:eastAsia="hr-HR"/>
              </w:rPr>
              <w:t>0</w:t>
            </w:r>
          </w:p>
        </w:tc>
        <w:tc>
          <w:tcPr>
            <w:tcW w:w="430" w:type="dxa"/>
            <w:gridSpan w:val="2"/>
            <w:tcBorders>
              <w:top w:val="nil"/>
              <w:left w:val="nil"/>
              <w:bottom w:val="single" w:sz="4" w:space="0" w:color="auto"/>
              <w:right w:val="single" w:sz="4" w:space="0" w:color="auto"/>
            </w:tcBorders>
            <w:shd w:val="clear" w:color="000000" w:fill="FFFF00"/>
            <w:vAlign w:val="center"/>
            <w:hideMark/>
          </w:tcPr>
          <w:p w14:paraId="15257223" w14:textId="77777777" w:rsidR="005E671C" w:rsidRPr="005E671C" w:rsidRDefault="005E671C" w:rsidP="005E671C">
            <w:pPr>
              <w:spacing w:after="0" w:line="240" w:lineRule="auto"/>
              <w:jc w:val="center"/>
              <w:rPr>
                <w:rFonts w:ascii="Calibri" w:eastAsia="Times New Roman" w:hAnsi="Calibri" w:cs="Calibri"/>
                <w:lang w:eastAsia="hr-HR"/>
              </w:rPr>
            </w:pPr>
            <w:r w:rsidRPr="005E671C">
              <w:rPr>
                <w:rFonts w:ascii="Calibri" w:eastAsia="Times New Roman" w:hAnsi="Calibri" w:cs="Calibri"/>
                <w:lang w:eastAsia="hr-HR"/>
              </w:rPr>
              <w:t>0</w:t>
            </w:r>
          </w:p>
        </w:tc>
        <w:tc>
          <w:tcPr>
            <w:tcW w:w="425" w:type="dxa"/>
            <w:gridSpan w:val="2"/>
            <w:tcBorders>
              <w:top w:val="nil"/>
              <w:left w:val="nil"/>
              <w:bottom w:val="single" w:sz="4" w:space="0" w:color="auto"/>
              <w:right w:val="single" w:sz="4" w:space="0" w:color="auto"/>
            </w:tcBorders>
            <w:shd w:val="clear" w:color="000000" w:fill="FFFF99"/>
            <w:vAlign w:val="center"/>
            <w:hideMark/>
          </w:tcPr>
          <w:p w14:paraId="589865EE" w14:textId="77777777" w:rsidR="005E671C" w:rsidRPr="005E671C" w:rsidRDefault="005E671C" w:rsidP="005E671C">
            <w:pPr>
              <w:spacing w:after="0" w:line="240" w:lineRule="auto"/>
              <w:jc w:val="center"/>
              <w:rPr>
                <w:rFonts w:ascii="Calibri" w:eastAsia="Times New Roman" w:hAnsi="Calibri" w:cs="Calibri"/>
                <w:lang w:eastAsia="hr-HR"/>
              </w:rPr>
            </w:pPr>
            <w:r w:rsidRPr="005E671C">
              <w:rPr>
                <w:rFonts w:ascii="Calibri" w:eastAsia="Times New Roman" w:hAnsi="Calibri" w:cs="Calibri"/>
                <w:lang w:eastAsia="hr-HR"/>
              </w:rPr>
              <w:t>0</w:t>
            </w:r>
          </w:p>
        </w:tc>
        <w:tc>
          <w:tcPr>
            <w:tcW w:w="540" w:type="dxa"/>
            <w:gridSpan w:val="2"/>
            <w:tcBorders>
              <w:top w:val="nil"/>
              <w:left w:val="nil"/>
              <w:bottom w:val="single" w:sz="4" w:space="0" w:color="auto"/>
              <w:right w:val="single" w:sz="4" w:space="0" w:color="auto"/>
            </w:tcBorders>
            <w:shd w:val="clear" w:color="000000" w:fill="FF9900"/>
            <w:vAlign w:val="center"/>
            <w:hideMark/>
          </w:tcPr>
          <w:p w14:paraId="698B44A8" w14:textId="77777777" w:rsidR="005E671C" w:rsidRPr="005E671C" w:rsidRDefault="005E671C" w:rsidP="005E671C">
            <w:pPr>
              <w:spacing w:after="0" w:line="240" w:lineRule="auto"/>
              <w:jc w:val="center"/>
              <w:rPr>
                <w:rFonts w:ascii="Calibri" w:eastAsia="Times New Roman" w:hAnsi="Calibri" w:cs="Calibri"/>
                <w:lang w:eastAsia="hr-HR"/>
              </w:rPr>
            </w:pPr>
            <w:r w:rsidRPr="005E671C">
              <w:rPr>
                <w:rFonts w:ascii="Calibri" w:eastAsia="Times New Roman" w:hAnsi="Calibri" w:cs="Calibri"/>
                <w:lang w:eastAsia="hr-HR"/>
              </w:rPr>
              <w:t>0</w:t>
            </w:r>
          </w:p>
        </w:tc>
        <w:tc>
          <w:tcPr>
            <w:tcW w:w="435" w:type="dxa"/>
            <w:tcBorders>
              <w:top w:val="nil"/>
              <w:left w:val="nil"/>
              <w:bottom w:val="single" w:sz="4" w:space="0" w:color="auto"/>
              <w:right w:val="single" w:sz="4" w:space="0" w:color="auto"/>
            </w:tcBorders>
            <w:shd w:val="clear" w:color="000000" w:fill="CCFFFF"/>
            <w:vAlign w:val="center"/>
            <w:hideMark/>
          </w:tcPr>
          <w:p w14:paraId="1ED5E223" w14:textId="77777777" w:rsidR="005E671C" w:rsidRPr="005E671C" w:rsidRDefault="005E671C" w:rsidP="005E671C">
            <w:pPr>
              <w:spacing w:after="0" w:line="240" w:lineRule="auto"/>
              <w:jc w:val="center"/>
              <w:rPr>
                <w:rFonts w:ascii="Calibri" w:eastAsia="Times New Roman" w:hAnsi="Calibri" w:cs="Calibri"/>
                <w:lang w:eastAsia="hr-HR"/>
              </w:rPr>
            </w:pPr>
            <w:r w:rsidRPr="005E671C">
              <w:rPr>
                <w:rFonts w:ascii="Calibri" w:eastAsia="Times New Roman" w:hAnsi="Calibri" w:cs="Calibri"/>
                <w:lang w:eastAsia="hr-HR"/>
              </w:rPr>
              <w:t>0</w:t>
            </w:r>
          </w:p>
        </w:tc>
        <w:tc>
          <w:tcPr>
            <w:tcW w:w="655" w:type="dxa"/>
            <w:tcBorders>
              <w:top w:val="nil"/>
              <w:left w:val="nil"/>
              <w:bottom w:val="single" w:sz="4" w:space="0" w:color="auto"/>
              <w:right w:val="single" w:sz="4" w:space="0" w:color="auto"/>
            </w:tcBorders>
            <w:shd w:val="clear" w:color="000000" w:fill="CCFFFF"/>
            <w:vAlign w:val="center"/>
            <w:hideMark/>
          </w:tcPr>
          <w:p w14:paraId="0E510AEC" w14:textId="77777777" w:rsidR="005E671C" w:rsidRPr="005E671C" w:rsidRDefault="005E671C" w:rsidP="005E671C">
            <w:pPr>
              <w:spacing w:after="0" w:line="240" w:lineRule="auto"/>
              <w:jc w:val="center"/>
              <w:rPr>
                <w:rFonts w:ascii="Calibri" w:eastAsia="Times New Roman" w:hAnsi="Calibri" w:cs="Calibri"/>
                <w:lang w:eastAsia="hr-HR"/>
              </w:rPr>
            </w:pPr>
            <w:r w:rsidRPr="005E671C">
              <w:rPr>
                <w:rFonts w:ascii="Calibri" w:eastAsia="Times New Roman" w:hAnsi="Calibri" w:cs="Calibri"/>
                <w:lang w:eastAsia="hr-HR"/>
              </w:rPr>
              <w:t>0</w:t>
            </w:r>
          </w:p>
        </w:tc>
        <w:tc>
          <w:tcPr>
            <w:tcW w:w="645" w:type="dxa"/>
            <w:tcBorders>
              <w:top w:val="nil"/>
              <w:left w:val="nil"/>
              <w:bottom w:val="single" w:sz="4" w:space="0" w:color="auto"/>
              <w:right w:val="single" w:sz="4" w:space="0" w:color="auto"/>
            </w:tcBorders>
            <w:shd w:val="clear" w:color="000000" w:fill="CCFFFF"/>
            <w:vAlign w:val="center"/>
            <w:hideMark/>
          </w:tcPr>
          <w:p w14:paraId="561CA7AC" w14:textId="77777777" w:rsidR="005E671C" w:rsidRPr="005E671C" w:rsidRDefault="005E671C" w:rsidP="005E671C">
            <w:pPr>
              <w:spacing w:after="0" w:line="240" w:lineRule="auto"/>
              <w:jc w:val="center"/>
              <w:rPr>
                <w:rFonts w:ascii="Calibri" w:eastAsia="Times New Roman" w:hAnsi="Calibri" w:cs="Calibri"/>
                <w:lang w:eastAsia="hr-HR"/>
              </w:rPr>
            </w:pPr>
            <w:r w:rsidRPr="005E671C">
              <w:rPr>
                <w:rFonts w:ascii="Calibri" w:eastAsia="Times New Roman" w:hAnsi="Calibri" w:cs="Calibri"/>
                <w:lang w:eastAsia="hr-HR"/>
              </w:rPr>
              <w:t>0</w:t>
            </w:r>
          </w:p>
        </w:tc>
        <w:tc>
          <w:tcPr>
            <w:tcW w:w="699" w:type="dxa"/>
            <w:tcBorders>
              <w:top w:val="nil"/>
              <w:left w:val="nil"/>
              <w:bottom w:val="single" w:sz="4" w:space="0" w:color="auto"/>
              <w:right w:val="nil"/>
            </w:tcBorders>
            <w:shd w:val="clear" w:color="000000" w:fill="33CCCC"/>
            <w:noWrap/>
            <w:vAlign w:val="center"/>
            <w:hideMark/>
          </w:tcPr>
          <w:p w14:paraId="24594435" w14:textId="77777777" w:rsidR="005E671C" w:rsidRPr="005E671C" w:rsidRDefault="005E671C" w:rsidP="005E671C">
            <w:pPr>
              <w:spacing w:after="0" w:line="240" w:lineRule="auto"/>
              <w:jc w:val="center"/>
              <w:rPr>
                <w:rFonts w:ascii="Calibri" w:eastAsia="Times New Roman" w:hAnsi="Calibri" w:cs="Calibri"/>
                <w:lang w:eastAsia="hr-HR"/>
              </w:rPr>
            </w:pPr>
            <w:r w:rsidRPr="005E671C">
              <w:rPr>
                <w:rFonts w:ascii="Calibri" w:eastAsia="Times New Roman" w:hAnsi="Calibri" w:cs="Calibri"/>
                <w:lang w:eastAsia="hr-HR"/>
              </w:rPr>
              <w:t>0</w:t>
            </w:r>
          </w:p>
        </w:tc>
        <w:tc>
          <w:tcPr>
            <w:tcW w:w="700" w:type="dxa"/>
            <w:tcBorders>
              <w:top w:val="nil"/>
              <w:left w:val="single" w:sz="4" w:space="0" w:color="auto"/>
              <w:bottom w:val="single" w:sz="4" w:space="0" w:color="auto"/>
              <w:right w:val="single" w:sz="8" w:space="0" w:color="auto"/>
            </w:tcBorders>
            <w:shd w:val="clear" w:color="000000" w:fill="33CCCC"/>
            <w:noWrap/>
            <w:vAlign w:val="center"/>
            <w:hideMark/>
          </w:tcPr>
          <w:p w14:paraId="0F9A6D1D" w14:textId="77777777" w:rsidR="005E671C" w:rsidRPr="005E671C" w:rsidRDefault="005E671C" w:rsidP="005E671C">
            <w:pPr>
              <w:spacing w:after="0" w:line="240" w:lineRule="auto"/>
              <w:jc w:val="center"/>
              <w:rPr>
                <w:rFonts w:ascii="Calibri" w:eastAsia="Times New Roman" w:hAnsi="Calibri" w:cs="Calibri"/>
                <w:lang w:eastAsia="hr-HR"/>
              </w:rPr>
            </w:pPr>
            <w:r w:rsidRPr="005E671C">
              <w:rPr>
                <w:rFonts w:ascii="Calibri" w:eastAsia="Times New Roman" w:hAnsi="Calibri" w:cs="Calibri"/>
                <w:lang w:eastAsia="hr-HR"/>
              </w:rPr>
              <w:t>0</w:t>
            </w:r>
          </w:p>
        </w:tc>
        <w:tc>
          <w:tcPr>
            <w:tcW w:w="239" w:type="dxa"/>
            <w:gridSpan w:val="2"/>
            <w:vAlign w:val="center"/>
            <w:hideMark/>
          </w:tcPr>
          <w:p w14:paraId="3258AC6E" w14:textId="77777777" w:rsidR="005E671C" w:rsidRPr="005E671C" w:rsidRDefault="005E671C" w:rsidP="005E671C">
            <w:pPr>
              <w:spacing w:after="0" w:line="240" w:lineRule="auto"/>
              <w:rPr>
                <w:rFonts w:ascii="Times New Roman" w:eastAsia="Times New Roman" w:hAnsi="Times New Roman" w:cs="Times New Roman"/>
                <w:sz w:val="20"/>
                <w:szCs w:val="20"/>
                <w:lang w:eastAsia="hr-HR"/>
              </w:rPr>
            </w:pPr>
          </w:p>
        </w:tc>
      </w:tr>
      <w:tr w:rsidR="005E671C" w:rsidRPr="005E671C" w14:paraId="11E56BB8" w14:textId="77777777" w:rsidTr="001752B7">
        <w:trPr>
          <w:gridAfter w:val="1"/>
          <w:wAfter w:w="23" w:type="dxa"/>
          <w:trHeight w:val="300"/>
        </w:trPr>
        <w:tc>
          <w:tcPr>
            <w:tcW w:w="1408" w:type="dxa"/>
            <w:tcBorders>
              <w:top w:val="single" w:sz="4" w:space="0" w:color="auto"/>
              <w:left w:val="single" w:sz="8" w:space="0" w:color="auto"/>
              <w:bottom w:val="single" w:sz="4" w:space="0" w:color="auto"/>
              <w:right w:val="single" w:sz="4" w:space="0" w:color="auto"/>
            </w:tcBorders>
            <w:shd w:val="clear" w:color="000000" w:fill="CCFFCC"/>
            <w:vAlign w:val="center"/>
            <w:hideMark/>
          </w:tcPr>
          <w:p w14:paraId="20B94668" w14:textId="77777777" w:rsidR="005E671C" w:rsidRPr="005E671C" w:rsidRDefault="005E671C" w:rsidP="005E671C">
            <w:pPr>
              <w:spacing w:after="0" w:line="240" w:lineRule="auto"/>
              <w:jc w:val="center"/>
              <w:rPr>
                <w:rFonts w:ascii="Calibri" w:eastAsia="Times New Roman" w:hAnsi="Calibri" w:cs="Calibri"/>
                <w:lang w:eastAsia="hr-HR"/>
              </w:rPr>
            </w:pPr>
            <w:r w:rsidRPr="005E671C">
              <w:rPr>
                <w:rFonts w:ascii="Calibri" w:eastAsia="Times New Roman" w:hAnsi="Calibri" w:cs="Calibri"/>
                <w:lang w:eastAsia="hr-HR"/>
              </w:rPr>
              <w:t xml:space="preserve">Rodni identitet   </w:t>
            </w:r>
            <w:r w:rsidRPr="005E671C">
              <w:rPr>
                <w:rFonts w:ascii="Calibri" w:eastAsia="Times New Roman" w:hAnsi="Calibri" w:cs="Calibri"/>
                <w:lang w:eastAsia="hr-HR"/>
              </w:rPr>
              <w:lastRenderedPageBreak/>
              <w:t>rodno izražavanje</w:t>
            </w:r>
          </w:p>
        </w:tc>
        <w:tc>
          <w:tcPr>
            <w:tcW w:w="595" w:type="dxa"/>
            <w:tcBorders>
              <w:top w:val="nil"/>
              <w:left w:val="nil"/>
              <w:bottom w:val="single" w:sz="4" w:space="0" w:color="auto"/>
              <w:right w:val="single" w:sz="4" w:space="0" w:color="auto"/>
            </w:tcBorders>
            <w:shd w:val="clear" w:color="000000" w:fill="CCFFCC"/>
            <w:vAlign w:val="center"/>
            <w:hideMark/>
          </w:tcPr>
          <w:p w14:paraId="7ECED0BB" w14:textId="77777777" w:rsidR="005E671C" w:rsidRPr="005E671C" w:rsidRDefault="005E671C" w:rsidP="005E671C">
            <w:pPr>
              <w:spacing w:after="0" w:line="240" w:lineRule="auto"/>
              <w:jc w:val="center"/>
              <w:rPr>
                <w:rFonts w:ascii="Calibri" w:eastAsia="Times New Roman" w:hAnsi="Calibri" w:cs="Calibri"/>
                <w:lang w:eastAsia="hr-HR"/>
              </w:rPr>
            </w:pPr>
            <w:r w:rsidRPr="005E671C">
              <w:rPr>
                <w:rFonts w:ascii="Calibri" w:eastAsia="Times New Roman" w:hAnsi="Calibri" w:cs="Calibri"/>
                <w:lang w:eastAsia="hr-HR"/>
              </w:rPr>
              <w:lastRenderedPageBreak/>
              <w:t>0</w:t>
            </w:r>
          </w:p>
        </w:tc>
        <w:tc>
          <w:tcPr>
            <w:tcW w:w="549" w:type="dxa"/>
            <w:tcBorders>
              <w:top w:val="nil"/>
              <w:left w:val="nil"/>
              <w:bottom w:val="single" w:sz="4" w:space="0" w:color="auto"/>
              <w:right w:val="single" w:sz="4" w:space="0" w:color="auto"/>
            </w:tcBorders>
            <w:shd w:val="clear" w:color="000000" w:fill="FFCC99"/>
            <w:noWrap/>
            <w:vAlign w:val="center"/>
            <w:hideMark/>
          </w:tcPr>
          <w:p w14:paraId="5F2A84AD" w14:textId="77777777" w:rsidR="005E671C" w:rsidRPr="005E671C" w:rsidRDefault="005E671C" w:rsidP="005E671C">
            <w:pPr>
              <w:spacing w:after="0" w:line="240" w:lineRule="auto"/>
              <w:jc w:val="center"/>
              <w:rPr>
                <w:rFonts w:ascii="Calibri" w:eastAsia="Times New Roman" w:hAnsi="Calibri" w:cs="Calibri"/>
                <w:lang w:eastAsia="hr-HR"/>
              </w:rPr>
            </w:pPr>
            <w:r w:rsidRPr="005E671C">
              <w:rPr>
                <w:rFonts w:ascii="Calibri" w:eastAsia="Times New Roman" w:hAnsi="Calibri" w:cs="Calibri"/>
                <w:lang w:eastAsia="hr-HR"/>
              </w:rPr>
              <w:t>0</w:t>
            </w:r>
          </w:p>
        </w:tc>
        <w:tc>
          <w:tcPr>
            <w:tcW w:w="441" w:type="dxa"/>
            <w:tcBorders>
              <w:top w:val="nil"/>
              <w:left w:val="nil"/>
              <w:bottom w:val="single" w:sz="4" w:space="0" w:color="auto"/>
              <w:right w:val="single" w:sz="4" w:space="0" w:color="auto"/>
            </w:tcBorders>
            <w:shd w:val="clear" w:color="000000" w:fill="CCFFFF"/>
            <w:noWrap/>
            <w:vAlign w:val="center"/>
            <w:hideMark/>
          </w:tcPr>
          <w:p w14:paraId="7D30CCAB" w14:textId="77777777" w:rsidR="005E671C" w:rsidRPr="005E671C" w:rsidRDefault="005E671C" w:rsidP="005E671C">
            <w:pPr>
              <w:spacing w:after="0" w:line="240" w:lineRule="auto"/>
              <w:jc w:val="center"/>
              <w:rPr>
                <w:rFonts w:ascii="Calibri" w:eastAsia="Times New Roman" w:hAnsi="Calibri" w:cs="Calibri"/>
                <w:lang w:eastAsia="hr-HR"/>
              </w:rPr>
            </w:pPr>
            <w:r w:rsidRPr="005E671C">
              <w:rPr>
                <w:rFonts w:ascii="Calibri" w:eastAsia="Times New Roman" w:hAnsi="Calibri" w:cs="Calibri"/>
                <w:lang w:eastAsia="hr-HR"/>
              </w:rPr>
              <w:t>0</w:t>
            </w:r>
          </w:p>
        </w:tc>
        <w:tc>
          <w:tcPr>
            <w:tcW w:w="432" w:type="dxa"/>
            <w:tcBorders>
              <w:top w:val="nil"/>
              <w:left w:val="nil"/>
              <w:bottom w:val="single" w:sz="4" w:space="0" w:color="auto"/>
              <w:right w:val="single" w:sz="4" w:space="0" w:color="auto"/>
            </w:tcBorders>
            <w:shd w:val="clear" w:color="000000" w:fill="CCFFFF"/>
            <w:noWrap/>
            <w:vAlign w:val="center"/>
            <w:hideMark/>
          </w:tcPr>
          <w:p w14:paraId="5428A492" w14:textId="77777777" w:rsidR="005E671C" w:rsidRPr="005E671C" w:rsidRDefault="005E671C" w:rsidP="005E671C">
            <w:pPr>
              <w:spacing w:after="0" w:line="240" w:lineRule="auto"/>
              <w:jc w:val="center"/>
              <w:rPr>
                <w:rFonts w:ascii="Calibri" w:eastAsia="Times New Roman" w:hAnsi="Calibri" w:cs="Calibri"/>
                <w:lang w:eastAsia="hr-HR"/>
              </w:rPr>
            </w:pPr>
            <w:r w:rsidRPr="005E671C">
              <w:rPr>
                <w:rFonts w:ascii="Calibri" w:eastAsia="Times New Roman" w:hAnsi="Calibri" w:cs="Calibri"/>
                <w:lang w:eastAsia="hr-HR"/>
              </w:rPr>
              <w:t>0</w:t>
            </w:r>
          </w:p>
        </w:tc>
        <w:tc>
          <w:tcPr>
            <w:tcW w:w="421" w:type="dxa"/>
            <w:gridSpan w:val="2"/>
            <w:tcBorders>
              <w:top w:val="nil"/>
              <w:left w:val="nil"/>
              <w:bottom w:val="single" w:sz="4" w:space="0" w:color="auto"/>
              <w:right w:val="single" w:sz="4" w:space="0" w:color="auto"/>
            </w:tcBorders>
            <w:shd w:val="clear" w:color="000000" w:fill="FFFF99"/>
            <w:noWrap/>
            <w:vAlign w:val="center"/>
            <w:hideMark/>
          </w:tcPr>
          <w:p w14:paraId="363E56F9" w14:textId="77777777" w:rsidR="005E671C" w:rsidRPr="005E671C" w:rsidRDefault="005E671C" w:rsidP="005E671C">
            <w:pPr>
              <w:spacing w:after="0" w:line="240" w:lineRule="auto"/>
              <w:jc w:val="center"/>
              <w:rPr>
                <w:rFonts w:ascii="Calibri" w:eastAsia="Times New Roman" w:hAnsi="Calibri" w:cs="Calibri"/>
                <w:lang w:eastAsia="hr-HR"/>
              </w:rPr>
            </w:pPr>
            <w:r w:rsidRPr="005E671C">
              <w:rPr>
                <w:rFonts w:ascii="Calibri" w:eastAsia="Times New Roman" w:hAnsi="Calibri" w:cs="Calibri"/>
                <w:lang w:eastAsia="hr-HR"/>
              </w:rPr>
              <w:t>0</w:t>
            </w:r>
          </w:p>
        </w:tc>
        <w:tc>
          <w:tcPr>
            <w:tcW w:w="431" w:type="dxa"/>
            <w:tcBorders>
              <w:top w:val="nil"/>
              <w:left w:val="nil"/>
              <w:bottom w:val="single" w:sz="4" w:space="0" w:color="auto"/>
              <w:right w:val="single" w:sz="4" w:space="0" w:color="auto"/>
            </w:tcBorders>
            <w:shd w:val="clear" w:color="000000" w:fill="FFFF99"/>
            <w:noWrap/>
            <w:vAlign w:val="center"/>
            <w:hideMark/>
          </w:tcPr>
          <w:p w14:paraId="109B5172" w14:textId="77777777" w:rsidR="005E671C" w:rsidRPr="005E671C" w:rsidRDefault="005E671C" w:rsidP="005E671C">
            <w:pPr>
              <w:spacing w:after="0" w:line="240" w:lineRule="auto"/>
              <w:jc w:val="center"/>
              <w:rPr>
                <w:rFonts w:ascii="Calibri" w:eastAsia="Times New Roman" w:hAnsi="Calibri" w:cs="Calibri"/>
                <w:lang w:eastAsia="hr-HR"/>
              </w:rPr>
            </w:pPr>
            <w:r w:rsidRPr="005E671C">
              <w:rPr>
                <w:rFonts w:ascii="Calibri" w:eastAsia="Times New Roman" w:hAnsi="Calibri" w:cs="Calibri"/>
                <w:lang w:eastAsia="hr-HR"/>
              </w:rPr>
              <w:t>0</w:t>
            </w:r>
          </w:p>
        </w:tc>
        <w:tc>
          <w:tcPr>
            <w:tcW w:w="420" w:type="dxa"/>
            <w:tcBorders>
              <w:top w:val="nil"/>
              <w:left w:val="nil"/>
              <w:bottom w:val="single" w:sz="4" w:space="0" w:color="auto"/>
              <w:right w:val="single" w:sz="4" w:space="0" w:color="auto"/>
            </w:tcBorders>
            <w:shd w:val="clear" w:color="000000" w:fill="FFFF99"/>
            <w:noWrap/>
            <w:vAlign w:val="center"/>
            <w:hideMark/>
          </w:tcPr>
          <w:p w14:paraId="319044BA" w14:textId="77777777" w:rsidR="005E671C" w:rsidRPr="005E671C" w:rsidRDefault="005E671C" w:rsidP="005E671C">
            <w:pPr>
              <w:spacing w:after="0" w:line="240" w:lineRule="auto"/>
              <w:jc w:val="center"/>
              <w:rPr>
                <w:rFonts w:ascii="Calibri" w:eastAsia="Times New Roman" w:hAnsi="Calibri" w:cs="Calibri"/>
                <w:lang w:eastAsia="hr-HR"/>
              </w:rPr>
            </w:pPr>
            <w:r w:rsidRPr="005E671C">
              <w:rPr>
                <w:rFonts w:ascii="Calibri" w:eastAsia="Times New Roman" w:hAnsi="Calibri" w:cs="Calibri"/>
                <w:lang w:eastAsia="hr-HR"/>
              </w:rPr>
              <w:t>0</w:t>
            </w:r>
          </w:p>
        </w:tc>
        <w:tc>
          <w:tcPr>
            <w:tcW w:w="429" w:type="dxa"/>
            <w:tcBorders>
              <w:top w:val="nil"/>
              <w:left w:val="nil"/>
              <w:bottom w:val="single" w:sz="4" w:space="0" w:color="auto"/>
              <w:right w:val="single" w:sz="4" w:space="0" w:color="auto"/>
            </w:tcBorders>
            <w:shd w:val="clear" w:color="000000" w:fill="FFFF99"/>
            <w:noWrap/>
            <w:vAlign w:val="center"/>
            <w:hideMark/>
          </w:tcPr>
          <w:p w14:paraId="06A963E6" w14:textId="77777777" w:rsidR="005E671C" w:rsidRPr="005E671C" w:rsidRDefault="005E671C" w:rsidP="005E671C">
            <w:pPr>
              <w:spacing w:after="0" w:line="240" w:lineRule="auto"/>
              <w:jc w:val="center"/>
              <w:rPr>
                <w:rFonts w:ascii="Calibri" w:eastAsia="Times New Roman" w:hAnsi="Calibri" w:cs="Calibri"/>
                <w:lang w:eastAsia="hr-HR"/>
              </w:rPr>
            </w:pPr>
            <w:r w:rsidRPr="005E671C">
              <w:rPr>
                <w:rFonts w:ascii="Calibri" w:eastAsia="Times New Roman" w:hAnsi="Calibri" w:cs="Calibri"/>
                <w:lang w:eastAsia="hr-HR"/>
              </w:rPr>
              <w:t>0</w:t>
            </w:r>
          </w:p>
        </w:tc>
        <w:tc>
          <w:tcPr>
            <w:tcW w:w="581" w:type="dxa"/>
            <w:tcBorders>
              <w:top w:val="nil"/>
              <w:left w:val="nil"/>
              <w:bottom w:val="single" w:sz="4" w:space="0" w:color="auto"/>
              <w:right w:val="single" w:sz="4" w:space="0" w:color="auto"/>
            </w:tcBorders>
            <w:shd w:val="clear" w:color="000000" w:fill="FFFF99"/>
            <w:noWrap/>
            <w:vAlign w:val="center"/>
            <w:hideMark/>
          </w:tcPr>
          <w:p w14:paraId="2B6A173E" w14:textId="77777777" w:rsidR="005E671C" w:rsidRPr="005E671C" w:rsidRDefault="005E671C" w:rsidP="005E671C">
            <w:pPr>
              <w:spacing w:after="0" w:line="240" w:lineRule="auto"/>
              <w:jc w:val="center"/>
              <w:rPr>
                <w:rFonts w:ascii="Calibri" w:eastAsia="Times New Roman" w:hAnsi="Calibri" w:cs="Calibri"/>
                <w:lang w:eastAsia="hr-HR"/>
              </w:rPr>
            </w:pPr>
            <w:r w:rsidRPr="005E671C">
              <w:rPr>
                <w:rFonts w:ascii="Calibri" w:eastAsia="Times New Roman" w:hAnsi="Calibri" w:cs="Calibri"/>
                <w:lang w:eastAsia="hr-HR"/>
              </w:rPr>
              <w:t>0</w:t>
            </w:r>
          </w:p>
        </w:tc>
        <w:tc>
          <w:tcPr>
            <w:tcW w:w="556" w:type="dxa"/>
            <w:gridSpan w:val="2"/>
            <w:tcBorders>
              <w:top w:val="nil"/>
              <w:left w:val="nil"/>
              <w:bottom w:val="single" w:sz="4" w:space="0" w:color="auto"/>
              <w:right w:val="single" w:sz="4" w:space="0" w:color="auto"/>
            </w:tcBorders>
            <w:shd w:val="clear" w:color="000000" w:fill="FF9900"/>
            <w:noWrap/>
            <w:vAlign w:val="center"/>
            <w:hideMark/>
          </w:tcPr>
          <w:p w14:paraId="200A7134" w14:textId="77777777" w:rsidR="005E671C" w:rsidRPr="005E671C" w:rsidRDefault="005E671C" w:rsidP="005E671C">
            <w:pPr>
              <w:spacing w:after="0" w:line="240" w:lineRule="auto"/>
              <w:jc w:val="center"/>
              <w:rPr>
                <w:rFonts w:ascii="Calibri" w:eastAsia="Times New Roman" w:hAnsi="Calibri" w:cs="Calibri"/>
                <w:lang w:eastAsia="hr-HR"/>
              </w:rPr>
            </w:pPr>
            <w:r w:rsidRPr="005E671C">
              <w:rPr>
                <w:rFonts w:ascii="Calibri" w:eastAsia="Times New Roman" w:hAnsi="Calibri" w:cs="Calibri"/>
                <w:lang w:eastAsia="hr-HR"/>
              </w:rPr>
              <w:t>0</w:t>
            </w:r>
          </w:p>
        </w:tc>
        <w:tc>
          <w:tcPr>
            <w:tcW w:w="574" w:type="dxa"/>
            <w:tcBorders>
              <w:top w:val="nil"/>
              <w:left w:val="nil"/>
              <w:bottom w:val="single" w:sz="4" w:space="0" w:color="auto"/>
              <w:right w:val="single" w:sz="4" w:space="0" w:color="auto"/>
            </w:tcBorders>
            <w:shd w:val="clear" w:color="000000" w:fill="FF9900"/>
            <w:noWrap/>
            <w:vAlign w:val="center"/>
            <w:hideMark/>
          </w:tcPr>
          <w:p w14:paraId="4BA59CE6" w14:textId="77777777" w:rsidR="005E671C" w:rsidRPr="005E671C" w:rsidRDefault="005E671C" w:rsidP="005E671C">
            <w:pPr>
              <w:spacing w:after="0" w:line="240" w:lineRule="auto"/>
              <w:jc w:val="center"/>
              <w:rPr>
                <w:rFonts w:ascii="Calibri" w:eastAsia="Times New Roman" w:hAnsi="Calibri" w:cs="Calibri"/>
                <w:lang w:eastAsia="hr-HR"/>
              </w:rPr>
            </w:pPr>
            <w:r w:rsidRPr="005E671C">
              <w:rPr>
                <w:rFonts w:ascii="Calibri" w:eastAsia="Times New Roman" w:hAnsi="Calibri" w:cs="Calibri"/>
                <w:lang w:eastAsia="hr-HR"/>
              </w:rPr>
              <w:t>0</w:t>
            </w:r>
          </w:p>
        </w:tc>
        <w:tc>
          <w:tcPr>
            <w:tcW w:w="434" w:type="dxa"/>
            <w:tcBorders>
              <w:top w:val="nil"/>
              <w:left w:val="nil"/>
              <w:bottom w:val="single" w:sz="4" w:space="0" w:color="auto"/>
              <w:right w:val="single" w:sz="4" w:space="0" w:color="auto"/>
            </w:tcBorders>
            <w:shd w:val="clear" w:color="000000" w:fill="FF9900"/>
            <w:noWrap/>
            <w:vAlign w:val="center"/>
            <w:hideMark/>
          </w:tcPr>
          <w:p w14:paraId="2B81088F" w14:textId="77777777" w:rsidR="005E671C" w:rsidRPr="005E671C" w:rsidRDefault="005E671C" w:rsidP="005E671C">
            <w:pPr>
              <w:spacing w:after="0" w:line="240" w:lineRule="auto"/>
              <w:jc w:val="center"/>
              <w:rPr>
                <w:rFonts w:ascii="Calibri" w:eastAsia="Times New Roman" w:hAnsi="Calibri" w:cs="Calibri"/>
                <w:lang w:eastAsia="hr-HR"/>
              </w:rPr>
            </w:pPr>
            <w:r w:rsidRPr="005E671C">
              <w:rPr>
                <w:rFonts w:ascii="Calibri" w:eastAsia="Times New Roman" w:hAnsi="Calibri" w:cs="Calibri"/>
                <w:lang w:eastAsia="hr-HR"/>
              </w:rPr>
              <w:t>0</w:t>
            </w:r>
          </w:p>
        </w:tc>
        <w:tc>
          <w:tcPr>
            <w:tcW w:w="443" w:type="dxa"/>
            <w:gridSpan w:val="2"/>
            <w:tcBorders>
              <w:top w:val="nil"/>
              <w:left w:val="nil"/>
              <w:bottom w:val="single" w:sz="4" w:space="0" w:color="auto"/>
              <w:right w:val="single" w:sz="4" w:space="0" w:color="auto"/>
            </w:tcBorders>
            <w:shd w:val="clear" w:color="000000" w:fill="66FFCC"/>
            <w:noWrap/>
            <w:vAlign w:val="center"/>
            <w:hideMark/>
          </w:tcPr>
          <w:p w14:paraId="10322A19" w14:textId="77777777" w:rsidR="005E671C" w:rsidRPr="005E671C" w:rsidRDefault="005E671C" w:rsidP="005E671C">
            <w:pPr>
              <w:spacing w:after="0" w:line="240" w:lineRule="auto"/>
              <w:jc w:val="center"/>
              <w:rPr>
                <w:rFonts w:ascii="Calibri" w:eastAsia="Times New Roman" w:hAnsi="Calibri" w:cs="Calibri"/>
                <w:lang w:eastAsia="hr-HR"/>
              </w:rPr>
            </w:pPr>
            <w:r w:rsidRPr="005E671C">
              <w:rPr>
                <w:rFonts w:ascii="Calibri" w:eastAsia="Times New Roman" w:hAnsi="Calibri" w:cs="Calibri"/>
                <w:lang w:eastAsia="hr-HR"/>
              </w:rPr>
              <w:t>0</w:t>
            </w:r>
          </w:p>
        </w:tc>
        <w:tc>
          <w:tcPr>
            <w:tcW w:w="698" w:type="dxa"/>
            <w:tcBorders>
              <w:top w:val="nil"/>
              <w:left w:val="nil"/>
              <w:bottom w:val="single" w:sz="4" w:space="0" w:color="auto"/>
              <w:right w:val="single" w:sz="4" w:space="0" w:color="auto"/>
            </w:tcBorders>
            <w:shd w:val="clear" w:color="000000" w:fill="66FFCC"/>
            <w:noWrap/>
            <w:vAlign w:val="center"/>
            <w:hideMark/>
          </w:tcPr>
          <w:p w14:paraId="6F85B3E1" w14:textId="77777777" w:rsidR="005E671C" w:rsidRPr="005E671C" w:rsidRDefault="005E671C" w:rsidP="005E671C">
            <w:pPr>
              <w:spacing w:after="0" w:line="240" w:lineRule="auto"/>
              <w:jc w:val="center"/>
              <w:rPr>
                <w:rFonts w:ascii="Calibri" w:eastAsia="Times New Roman" w:hAnsi="Calibri" w:cs="Calibri"/>
                <w:lang w:eastAsia="hr-HR"/>
              </w:rPr>
            </w:pPr>
            <w:r w:rsidRPr="005E671C">
              <w:rPr>
                <w:rFonts w:ascii="Calibri" w:eastAsia="Times New Roman" w:hAnsi="Calibri" w:cs="Calibri"/>
                <w:lang w:eastAsia="hr-HR"/>
              </w:rPr>
              <w:t>0</w:t>
            </w:r>
          </w:p>
        </w:tc>
        <w:tc>
          <w:tcPr>
            <w:tcW w:w="574" w:type="dxa"/>
            <w:tcBorders>
              <w:top w:val="nil"/>
              <w:left w:val="nil"/>
              <w:bottom w:val="single" w:sz="4" w:space="0" w:color="auto"/>
              <w:right w:val="single" w:sz="4" w:space="0" w:color="auto"/>
            </w:tcBorders>
            <w:shd w:val="clear" w:color="000000" w:fill="66FFCC"/>
            <w:noWrap/>
            <w:vAlign w:val="center"/>
            <w:hideMark/>
          </w:tcPr>
          <w:p w14:paraId="7752C4C8" w14:textId="77777777" w:rsidR="005E671C" w:rsidRPr="005E671C" w:rsidRDefault="005E671C" w:rsidP="005E671C">
            <w:pPr>
              <w:spacing w:after="0" w:line="240" w:lineRule="auto"/>
              <w:jc w:val="center"/>
              <w:rPr>
                <w:rFonts w:ascii="Calibri" w:eastAsia="Times New Roman" w:hAnsi="Calibri" w:cs="Calibri"/>
                <w:lang w:eastAsia="hr-HR"/>
              </w:rPr>
            </w:pPr>
            <w:r w:rsidRPr="005E671C">
              <w:rPr>
                <w:rFonts w:ascii="Calibri" w:eastAsia="Times New Roman" w:hAnsi="Calibri" w:cs="Calibri"/>
                <w:lang w:eastAsia="hr-HR"/>
              </w:rPr>
              <w:t>0</w:t>
            </w:r>
          </w:p>
        </w:tc>
        <w:tc>
          <w:tcPr>
            <w:tcW w:w="560" w:type="dxa"/>
            <w:tcBorders>
              <w:top w:val="nil"/>
              <w:left w:val="nil"/>
              <w:bottom w:val="single" w:sz="4" w:space="0" w:color="auto"/>
              <w:right w:val="single" w:sz="4" w:space="0" w:color="auto"/>
            </w:tcBorders>
            <w:shd w:val="clear" w:color="000000" w:fill="66FFCC"/>
            <w:noWrap/>
            <w:vAlign w:val="center"/>
            <w:hideMark/>
          </w:tcPr>
          <w:p w14:paraId="3D542B36" w14:textId="77777777" w:rsidR="005E671C" w:rsidRPr="005E671C" w:rsidRDefault="005E671C" w:rsidP="005E671C">
            <w:pPr>
              <w:spacing w:after="0" w:line="240" w:lineRule="auto"/>
              <w:jc w:val="center"/>
              <w:rPr>
                <w:rFonts w:ascii="Calibri" w:eastAsia="Times New Roman" w:hAnsi="Calibri" w:cs="Calibri"/>
                <w:lang w:eastAsia="hr-HR"/>
              </w:rPr>
            </w:pPr>
            <w:r w:rsidRPr="005E671C">
              <w:rPr>
                <w:rFonts w:ascii="Calibri" w:eastAsia="Times New Roman" w:hAnsi="Calibri" w:cs="Calibri"/>
                <w:lang w:eastAsia="hr-HR"/>
              </w:rPr>
              <w:t>0</w:t>
            </w:r>
          </w:p>
        </w:tc>
        <w:tc>
          <w:tcPr>
            <w:tcW w:w="430" w:type="dxa"/>
            <w:gridSpan w:val="2"/>
            <w:tcBorders>
              <w:top w:val="nil"/>
              <w:left w:val="nil"/>
              <w:bottom w:val="single" w:sz="4" w:space="0" w:color="auto"/>
              <w:right w:val="single" w:sz="4" w:space="0" w:color="auto"/>
            </w:tcBorders>
            <w:shd w:val="clear" w:color="000000" w:fill="FFFF00"/>
            <w:vAlign w:val="center"/>
            <w:hideMark/>
          </w:tcPr>
          <w:p w14:paraId="610A8883" w14:textId="77777777" w:rsidR="005E671C" w:rsidRPr="005E671C" w:rsidRDefault="005E671C" w:rsidP="005E671C">
            <w:pPr>
              <w:spacing w:after="0" w:line="240" w:lineRule="auto"/>
              <w:jc w:val="center"/>
              <w:rPr>
                <w:rFonts w:ascii="Calibri" w:eastAsia="Times New Roman" w:hAnsi="Calibri" w:cs="Calibri"/>
                <w:lang w:eastAsia="hr-HR"/>
              </w:rPr>
            </w:pPr>
            <w:r w:rsidRPr="005E671C">
              <w:rPr>
                <w:rFonts w:ascii="Calibri" w:eastAsia="Times New Roman" w:hAnsi="Calibri" w:cs="Calibri"/>
                <w:lang w:eastAsia="hr-HR"/>
              </w:rPr>
              <w:t>0</w:t>
            </w:r>
          </w:p>
        </w:tc>
        <w:tc>
          <w:tcPr>
            <w:tcW w:w="425" w:type="dxa"/>
            <w:gridSpan w:val="2"/>
            <w:tcBorders>
              <w:top w:val="nil"/>
              <w:left w:val="nil"/>
              <w:bottom w:val="single" w:sz="4" w:space="0" w:color="auto"/>
              <w:right w:val="single" w:sz="4" w:space="0" w:color="auto"/>
            </w:tcBorders>
            <w:shd w:val="clear" w:color="000000" w:fill="FFFF99"/>
            <w:vAlign w:val="center"/>
            <w:hideMark/>
          </w:tcPr>
          <w:p w14:paraId="6C23F7E2" w14:textId="77777777" w:rsidR="005E671C" w:rsidRPr="005E671C" w:rsidRDefault="005E671C" w:rsidP="005E671C">
            <w:pPr>
              <w:spacing w:after="0" w:line="240" w:lineRule="auto"/>
              <w:jc w:val="center"/>
              <w:rPr>
                <w:rFonts w:ascii="Calibri" w:eastAsia="Times New Roman" w:hAnsi="Calibri" w:cs="Calibri"/>
                <w:lang w:eastAsia="hr-HR"/>
              </w:rPr>
            </w:pPr>
            <w:r w:rsidRPr="005E671C">
              <w:rPr>
                <w:rFonts w:ascii="Calibri" w:eastAsia="Times New Roman" w:hAnsi="Calibri" w:cs="Calibri"/>
                <w:lang w:eastAsia="hr-HR"/>
              </w:rPr>
              <w:t>0</w:t>
            </w:r>
          </w:p>
        </w:tc>
        <w:tc>
          <w:tcPr>
            <w:tcW w:w="540" w:type="dxa"/>
            <w:gridSpan w:val="2"/>
            <w:tcBorders>
              <w:top w:val="nil"/>
              <w:left w:val="nil"/>
              <w:bottom w:val="single" w:sz="4" w:space="0" w:color="auto"/>
              <w:right w:val="single" w:sz="4" w:space="0" w:color="auto"/>
            </w:tcBorders>
            <w:shd w:val="clear" w:color="000000" w:fill="FF9900"/>
            <w:vAlign w:val="center"/>
            <w:hideMark/>
          </w:tcPr>
          <w:p w14:paraId="3AE98154" w14:textId="77777777" w:rsidR="005E671C" w:rsidRPr="005E671C" w:rsidRDefault="005E671C" w:rsidP="005E671C">
            <w:pPr>
              <w:spacing w:after="0" w:line="240" w:lineRule="auto"/>
              <w:jc w:val="center"/>
              <w:rPr>
                <w:rFonts w:ascii="Calibri" w:eastAsia="Times New Roman" w:hAnsi="Calibri" w:cs="Calibri"/>
                <w:lang w:eastAsia="hr-HR"/>
              </w:rPr>
            </w:pPr>
            <w:r w:rsidRPr="005E671C">
              <w:rPr>
                <w:rFonts w:ascii="Calibri" w:eastAsia="Times New Roman" w:hAnsi="Calibri" w:cs="Calibri"/>
                <w:lang w:eastAsia="hr-HR"/>
              </w:rPr>
              <w:t>0</w:t>
            </w:r>
          </w:p>
        </w:tc>
        <w:tc>
          <w:tcPr>
            <w:tcW w:w="435" w:type="dxa"/>
            <w:tcBorders>
              <w:top w:val="nil"/>
              <w:left w:val="nil"/>
              <w:bottom w:val="single" w:sz="4" w:space="0" w:color="auto"/>
              <w:right w:val="single" w:sz="4" w:space="0" w:color="auto"/>
            </w:tcBorders>
            <w:shd w:val="clear" w:color="000000" w:fill="CCFFFF"/>
            <w:vAlign w:val="center"/>
            <w:hideMark/>
          </w:tcPr>
          <w:p w14:paraId="2B134078" w14:textId="77777777" w:rsidR="005E671C" w:rsidRPr="005E671C" w:rsidRDefault="005E671C" w:rsidP="005E671C">
            <w:pPr>
              <w:spacing w:after="0" w:line="240" w:lineRule="auto"/>
              <w:jc w:val="center"/>
              <w:rPr>
                <w:rFonts w:ascii="Calibri" w:eastAsia="Times New Roman" w:hAnsi="Calibri" w:cs="Calibri"/>
                <w:lang w:eastAsia="hr-HR"/>
              </w:rPr>
            </w:pPr>
            <w:r w:rsidRPr="005E671C">
              <w:rPr>
                <w:rFonts w:ascii="Calibri" w:eastAsia="Times New Roman" w:hAnsi="Calibri" w:cs="Calibri"/>
                <w:lang w:eastAsia="hr-HR"/>
              </w:rPr>
              <w:t>0</w:t>
            </w:r>
          </w:p>
        </w:tc>
        <w:tc>
          <w:tcPr>
            <w:tcW w:w="655" w:type="dxa"/>
            <w:tcBorders>
              <w:top w:val="nil"/>
              <w:left w:val="nil"/>
              <w:bottom w:val="single" w:sz="4" w:space="0" w:color="auto"/>
              <w:right w:val="single" w:sz="4" w:space="0" w:color="auto"/>
            </w:tcBorders>
            <w:shd w:val="clear" w:color="000000" w:fill="CCFFFF"/>
            <w:vAlign w:val="center"/>
            <w:hideMark/>
          </w:tcPr>
          <w:p w14:paraId="1C9D03FA" w14:textId="77777777" w:rsidR="005E671C" w:rsidRPr="005E671C" w:rsidRDefault="005E671C" w:rsidP="005E671C">
            <w:pPr>
              <w:spacing w:after="0" w:line="240" w:lineRule="auto"/>
              <w:jc w:val="center"/>
              <w:rPr>
                <w:rFonts w:ascii="Calibri" w:eastAsia="Times New Roman" w:hAnsi="Calibri" w:cs="Calibri"/>
                <w:lang w:eastAsia="hr-HR"/>
              </w:rPr>
            </w:pPr>
            <w:r w:rsidRPr="005E671C">
              <w:rPr>
                <w:rFonts w:ascii="Calibri" w:eastAsia="Times New Roman" w:hAnsi="Calibri" w:cs="Calibri"/>
                <w:lang w:eastAsia="hr-HR"/>
              </w:rPr>
              <w:t>0</w:t>
            </w:r>
          </w:p>
        </w:tc>
        <w:tc>
          <w:tcPr>
            <w:tcW w:w="645" w:type="dxa"/>
            <w:tcBorders>
              <w:top w:val="nil"/>
              <w:left w:val="nil"/>
              <w:bottom w:val="single" w:sz="4" w:space="0" w:color="auto"/>
              <w:right w:val="single" w:sz="4" w:space="0" w:color="auto"/>
            </w:tcBorders>
            <w:shd w:val="clear" w:color="000000" w:fill="CCFFFF"/>
            <w:vAlign w:val="center"/>
            <w:hideMark/>
          </w:tcPr>
          <w:p w14:paraId="4EAE5321" w14:textId="77777777" w:rsidR="005E671C" w:rsidRPr="005E671C" w:rsidRDefault="005E671C" w:rsidP="005E671C">
            <w:pPr>
              <w:spacing w:after="0" w:line="240" w:lineRule="auto"/>
              <w:jc w:val="center"/>
              <w:rPr>
                <w:rFonts w:ascii="Calibri" w:eastAsia="Times New Roman" w:hAnsi="Calibri" w:cs="Calibri"/>
                <w:lang w:eastAsia="hr-HR"/>
              </w:rPr>
            </w:pPr>
            <w:r w:rsidRPr="005E671C">
              <w:rPr>
                <w:rFonts w:ascii="Calibri" w:eastAsia="Times New Roman" w:hAnsi="Calibri" w:cs="Calibri"/>
                <w:lang w:eastAsia="hr-HR"/>
              </w:rPr>
              <w:t>0</w:t>
            </w:r>
          </w:p>
        </w:tc>
        <w:tc>
          <w:tcPr>
            <w:tcW w:w="699" w:type="dxa"/>
            <w:tcBorders>
              <w:top w:val="nil"/>
              <w:left w:val="nil"/>
              <w:bottom w:val="single" w:sz="4" w:space="0" w:color="auto"/>
              <w:right w:val="nil"/>
            </w:tcBorders>
            <w:shd w:val="clear" w:color="000000" w:fill="33CCCC"/>
            <w:noWrap/>
            <w:vAlign w:val="center"/>
            <w:hideMark/>
          </w:tcPr>
          <w:p w14:paraId="10B7F381" w14:textId="77777777" w:rsidR="005E671C" w:rsidRPr="005E671C" w:rsidRDefault="005E671C" w:rsidP="005E671C">
            <w:pPr>
              <w:spacing w:after="0" w:line="240" w:lineRule="auto"/>
              <w:jc w:val="center"/>
              <w:rPr>
                <w:rFonts w:ascii="Calibri" w:eastAsia="Times New Roman" w:hAnsi="Calibri" w:cs="Calibri"/>
                <w:lang w:eastAsia="hr-HR"/>
              </w:rPr>
            </w:pPr>
            <w:r w:rsidRPr="005E671C">
              <w:rPr>
                <w:rFonts w:ascii="Calibri" w:eastAsia="Times New Roman" w:hAnsi="Calibri" w:cs="Calibri"/>
                <w:lang w:eastAsia="hr-HR"/>
              </w:rPr>
              <w:t>0</w:t>
            </w:r>
          </w:p>
        </w:tc>
        <w:tc>
          <w:tcPr>
            <w:tcW w:w="700" w:type="dxa"/>
            <w:tcBorders>
              <w:top w:val="nil"/>
              <w:left w:val="single" w:sz="4" w:space="0" w:color="auto"/>
              <w:bottom w:val="single" w:sz="4" w:space="0" w:color="auto"/>
              <w:right w:val="single" w:sz="8" w:space="0" w:color="auto"/>
            </w:tcBorders>
            <w:shd w:val="clear" w:color="000000" w:fill="33CCCC"/>
            <w:noWrap/>
            <w:vAlign w:val="center"/>
            <w:hideMark/>
          </w:tcPr>
          <w:p w14:paraId="7C055F85" w14:textId="77777777" w:rsidR="005E671C" w:rsidRPr="005E671C" w:rsidRDefault="005E671C" w:rsidP="005E671C">
            <w:pPr>
              <w:spacing w:after="0" w:line="240" w:lineRule="auto"/>
              <w:jc w:val="center"/>
              <w:rPr>
                <w:rFonts w:ascii="Calibri" w:eastAsia="Times New Roman" w:hAnsi="Calibri" w:cs="Calibri"/>
                <w:lang w:eastAsia="hr-HR"/>
              </w:rPr>
            </w:pPr>
            <w:r w:rsidRPr="005E671C">
              <w:rPr>
                <w:rFonts w:ascii="Calibri" w:eastAsia="Times New Roman" w:hAnsi="Calibri" w:cs="Calibri"/>
                <w:lang w:eastAsia="hr-HR"/>
              </w:rPr>
              <w:t>0</w:t>
            </w:r>
          </w:p>
        </w:tc>
        <w:tc>
          <w:tcPr>
            <w:tcW w:w="239" w:type="dxa"/>
            <w:gridSpan w:val="2"/>
            <w:vAlign w:val="center"/>
            <w:hideMark/>
          </w:tcPr>
          <w:p w14:paraId="752E7257" w14:textId="77777777" w:rsidR="005E671C" w:rsidRPr="005E671C" w:rsidRDefault="005E671C" w:rsidP="005E671C">
            <w:pPr>
              <w:spacing w:after="0" w:line="240" w:lineRule="auto"/>
              <w:rPr>
                <w:rFonts w:ascii="Times New Roman" w:eastAsia="Times New Roman" w:hAnsi="Times New Roman" w:cs="Times New Roman"/>
                <w:sz w:val="20"/>
                <w:szCs w:val="20"/>
                <w:lang w:eastAsia="hr-HR"/>
              </w:rPr>
            </w:pPr>
          </w:p>
        </w:tc>
      </w:tr>
      <w:tr w:rsidR="005E671C" w:rsidRPr="005E671C" w14:paraId="425E58ED" w14:textId="77777777" w:rsidTr="001752B7">
        <w:trPr>
          <w:gridAfter w:val="1"/>
          <w:wAfter w:w="23" w:type="dxa"/>
          <w:trHeight w:val="300"/>
        </w:trPr>
        <w:tc>
          <w:tcPr>
            <w:tcW w:w="1408" w:type="dxa"/>
            <w:tcBorders>
              <w:top w:val="single" w:sz="4" w:space="0" w:color="auto"/>
              <w:left w:val="single" w:sz="8" w:space="0" w:color="auto"/>
              <w:bottom w:val="single" w:sz="4" w:space="0" w:color="auto"/>
              <w:right w:val="single" w:sz="4" w:space="0" w:color="auto"/>
            </w:tcBorders>
            <w:shd w:val="clear" w:color="000000" w:fill="CCFFCC"/>
            <w:hideMark/>
          </w:tcPr>
          <w:p w14:paraId="29622BEA" w14:textId="77777777" w:rsidR="005E671C" w:rsidRPr="005E671C" w:rsidRDefault="005E671C" w:rsidP="005E671C">
            <w:pPr>
              <w:spacing w:after="0" w:line="240" w:lineRule="auto"/>
              <w:jc w:val="center"/>
              <w:rPr>
                <w:rFonts w:ascii="Calibri" w:eastAsia="Times New Roman" w:hAnsi="Calibri" w:cs="Calibri"/>
                <w:lang w:eastAsia="hr-HR"/>
              </w:rPr>
            </w:pPr>
            <w:r w:rsidRPr="005E671C">
              <w:rPr>
                <w:rFonts w:ascii="Calibri" w:eastAsia="Times New Roman" w:hAnsi="Calibri" w:cs="Calibri"/>
                <w:lang w:eastAsia="hr-HR"/>
              </w:rPr>
              <w:t xml:space="preserve">Ostale osnove (upisati):     </w:t>
            </w:r>
          </w:p>
        </w:tc>
        <w:tc>
          <w:tcPr>
            <w:tcW w:w="595" w:type="dxa"/>
            <w:tcBorders>
              <w:top w:val="nil"/>
              <w:left w:val="nil"/>
              <w:bottom w:val="single" w:sz="4" w:space="0" w:color="auto"/>
              <w:right w:val="single" w:sz="4" w:space="0" w:color="auto"/>
            </w:tcBorders>
            <w:shd w:val="clear" w:color="000000" w:fill="CCFFCC"/>
            <w:vAlign w:val="center"/>
            <w:hideMark/>
          </w:tcPr>
          <w:p w14:paraId="363B8115" w14:textId="77777777" w:rsidR="005E671C" w:rsidRPr="005E671C" w:rsidRDefault="005E671C" w:rsidP="005E671C">
            <w:pPr>
              <w:spacing w:after="0" w:line="240" w:lineRule="auto"/>
              <w:jc w:val="center"/>
              <w:rPr>
                <w:rFonts w:ascii="Calibri" w:eastAsia="Times New Roman" w:hAnsi="Calibri" w:cs="Calibri"/>
                <w:lang w:eastAsia="hr-HR"/>
              </w:rPr>
            </w:pPr>
            <w:r w:rsidRPr="005E671C">
              <w:rPr>
                <w:rFonts w:ascii="Calibri" w:eastAsia="Times New Roman" w:hAnsi="Calibri" w:cs="Calibri"/>
                <w:lang w:eastAsia="hr-HR"/>
              </w:rPr>
              <w:t>5</w:t>
            </w:r>
          </w:p>
        </w:tc>
        <w:tc>
          <w:tcPr>
            <w:tcW w:w="549" w:type="dxa"/>
            <w:tcBorders>
              <w:top w:val="nil"/>
              <w:left w:val="nil"/>
              <w:bottom w:val="single" w:sz="4" w:space="0" w:color="auto"/>
              <w:right w:val="single" w:sz="4" w:space="0" w:color="auto"/>
            </w:tcBorders>
            <w:shd w:val="clear" w:color="000000" w:fill="FFCC99"/>
            <w:noWrap/>
            <w:vAlign w:val="center"/>
            <w:hideMark/>
          </w:tcPr>
          <w:p w14:paraId="23D3CAA3" w14:textId="77777777" w:rsidR="005E671C" w:rsidRPr="005E671C" w:rsidRDefault="005E671C" w:rsidP="005E671C">
            <w:pPr>
              <w:spacing w:after="0" w:line="240" w:lineRule="auto"/>
              <w:jc w:val="center"/>
              <w:rPr>
                <w:rFonts w:ascii="Calibri" w:eastAsia="Times New Roman" w:hAnsi="Calibri" w:cs="Calibri"/>
                <w:lang w:eastAsia="hr-HR"/>
              </w:rPr>
            </w:pPr>
            <w:r w:rsidRPr="005E671C">
              <w:rPr>
                <w:rFonts w:ascii="Calibri" w:eastAsia="Times New Roman" w:hAnsi="Calibri" w:cs="Calibri"/>
                <w:lang w:eastAsia="hr-HR"/>
              </w:rPr>
              <w:t>0</w:t>
            </w:r>
          </w:p>
        </w:tc>
        <w:tc>
          <w:tcPr>
            <w:tcW w:w="441" w:type="dxa"/>
            <w:tcBorders>
              <w:top w:val="nil"/>
              <w:left w:val="nil"/>
              <w:bottom w:val="single" w:sz="4" w:space="0" w:color="auto"/>
              <w:right w:val="single" w:sz="4" w:space="0" w:color="auto"/>
            </w:tcBorders>
            <w:shd w:val="clear" w:color="000000" w:fill="CCFFFF"/>
            <w:noWrap/>
            <w:vAlign w:val="center"/>
            <w:hideMark/>
          </w:tcPr>
          <w:p w14:paraId="0F11980C" w14:textId="77777777" w:rsidR="005E671C" w:rsidRPr="005E671C" w:rsidRDefault="005E671C" w:rsidP="005E671C">
            <w:pPr>
              <w:spacing w:after="0" w:line="240" w:lineRule="auto"/>
              <w:jc w:val="center"/>
              <w:rPr>
                <w:rFonts w:ascii="Calibri" w:eastAsia="Times New Roman" w:hAnsi="Calibri" w:cs="Calibri"/>
                <w:lang w:eastAsia="hr-HR"/>
              </w:rPr>
            </w:pPr>
            <w:r w:rsidRPr="005E671C">
              <w:rPr>
                <w:rFonts w:ascii="Calibri" w:eastAsia="Times New Roman" w:hAnsi="Calibri" w:cs="Calibri"/>
                <w:lang w:eastAsia="hr-HR"/>
              </w:rPr>
              <w:t>0</w:t>
            </w:r>
          </w:p>
        </w:tc>
        <w:tc>
          <w:tcPr>
            <w:tcW w:w="432" w:type="dxa"/>
            <w:tcBorders>
              <w:top w:val="nil"/>
              <w:left w:val="nil"/>
              <w:bottom w:val="single" w:sz="4" w:space="0" w:color="auto"/>
              <w:right w:val="single" w:sz="4" w:space="0" w:color="auto"/>
            </w:tcBorders>
            <w:shd w:val="clear" w:color="000000" w:fill="CCFFFF"/>
            <w:noWrap/>
            <w:vAlign w:val="center"/>
            <w:hideMark/>
          </w:tcPr>
          <w:p w14:paraId="3102CD1E" w14:textId="77777777" w:rsidR="005E671C" w:rsidRPr="005E671C" w:rsidRDefault="005E671C" w:rsidP="005E671C">
            <w:pPr>
              <w:spacing w:after="0" w:line="240" w:lineRule="auto"/>
              <w:jc w:val="center"/>
              <w:rPr>
                <w:rFonts w:ascii="Calibri" w:eastAsia="Times New Roman" w:hAnsi="Calibri" w:cs="Calibri"/>
                <w:lang w:eastAsia="hr-HR"/>
              </w:rPr>
            </w:pPr>
            <w:r w:rsidRPr="005E671C">
              <w:rPr>
                <w:rFonts w:ascii="Calibri" w:eastAsia="Times New Roman" w:hAnsi="Calibri" w:cs="Calibri"/>
                <w:lang w:eastAsia="hr-HR"/>
              </w:rPr>
              <w:t>0</w:t>
            </w:r>
          </w:p>
        </w:tc>
        <w:tc>
          <w:tcPr>
            <w:tcW w:w="421" w:type="dxa"/>
            <w:gridSpan w:val="2"/>
            <w:tcBorders>
              <w:top w:val="nil"/>
              <w:left w:val="nil"/>
              <w:bottom w:val="single" w:sz="4" w:space="0" w:color="auto"/>
              <w:right w:val="single" w:sz="4" w:space="0" w:color="auto"/>
            </w:tcBorders>
            <w:shd w:val="clear" w:color="000000" w:fill="FFFF99"/>
            <w:noWrap/>
            <w:vAlign w:val="center"/>
            <w:hideMark/>
          </w:tcPr>
          <w:p w14:paraId="5383B9AF" w14:textId="77777777" w:rsidR="005E671C" w:rsidRPr="005E671C" w:rsidRDefault="005E671C" w:rsidP="005E671C">
            <w:pPr>
              <w:spacing w:after="0" w:line="240" w:lineRule="auto"/>
              <w:jc w:val="center"/>
              <w:rPr>
                <w:rFonts w:ascii="Calibri" w:eastAsia="Times New Roman" w:hAnsi="Calibri" w:cs="Calibri"/>
                <w:lang w:eastAsia="hr-HR"/>
              </w:rPr>
            </w:pPr>
            <w:r w:rsidRPr="005E671C">
              <w:rPr>
                <w:rFonts w:ascii="Calibri" w:eastAsia="Times New Roman" w:hAnsi="Calibri" w:cs="Calibri"/>
                <w:lang w:eastAsia="hr-HR"/>
              </w:rPr>
              <w:t>0</w:t>
            </w:r>
          </w:p>
        </w:tc>
        <w:tc>
          <w:tcPr>
            <w:tcW w:w="431" w:type="dxa"/>
            <w:tcBorders>
              <w:top w:val="nil"/>
              <w:left w:val="nil"/>
              <w:bottom w:val="single" w:sz="4" w:space="0" w:color="auto"/>
              <w:right w:val="single" w:sz="4" w:space="0" w:color="auto"/>
            </w:tcBorders>
            <w:shd w:val="clear" w:color="000000" w:fill="FFFF99"/>
            <w:noWrap/>
            <w:vAlign w:val="center"/>
            <w:hideMark/>
          </w:tcPr>
          <w:p w14:paraId="7F775AD8" w14:textId="77777777" w:rsidR="005E671C" w:rsidRPr="005E671C" w:rsidRDefault="005E671C" w:rsidP="005E671C">
            <w:pPr>
              <w:spacing w:after="0" w:line="240" w:lineRule="auto"/>
              <w:jc w:val="center"/>
              <w:rPr>
                <w:rFonts w:ascii="Calibri" w:eastAsia="Times New Roman" w:hAnsi="Calibri" w:cs="Calibri"/>
                <w:lang w:eastAsia="hr-HR"/>
              </w:rPr>
            </w:pPr>
            <w:r w:rsidRPr="005E671C">
              <w:rPr>
                <w:rFonts w:ascii="Calibri" w:eastAsia="Times New Roman" w:hAnsi="Calibri" w:cs="Calibri"/>
                <w:lang w:eastAsia="hr-HR"/>
              </w:rPr>
              <w:t>0</w:t>
            </w:r>
          </w:p>
        </w:tc>
        <w:tc>
          <w:tcPr>
            <w:tcW w:w="420" w:type="dxa"/>
            <w:tcBorders>
              <w:top w:val="nil"/>
              <w:left w:val="nil"/>
              <w:bottom w:val="single" w:sz="4" w:space="0" w:color="auto"/>
              <w:right w:val="single" w:sz="4" w:space="0" w:color="auto"/>
            </w:tcBorders>
            <w:shd w:val="clear" w:color="000000" w:fill="FFFF99"/>
            <w:noWrap/>
            <w:vAlign w:val="center"/>
            <w:hideMark/>
          </w:tcPr>
          <w:p w14:paraId="20E4FC5E" w14:textId="77777777" w:rsidR="005E671C" w:rsidRPr="005E671C" w:rsidRDefault="005E671C" w:rsidP="005E671C">
            <w:pPr>
              <w:spacing w:after="0" w:line="240" w:lineRule="auto"/>
              <w:jc w:val="center"/>
              <w:rPr>
                <w:rFonts w:ascii="Calibri" w:eastAsia="Times New Roman" w:hAnsi="Calibri" w:cs="Calibri"/>
                <w:lang w:eastAsia="hr-HR"/>
              </w:rPr>
            </w:pPr>
            <w:r w:rsidRPr="005E671C">
              <w:rPr>
                <w:rFonts w:ascii="Calibri" w:eastAsia="Times New Roman" w:hAnsi="Calibri" w:cs="Calibri"/>
                <w:lang w:eastAsia="hr-HR"/>
              </w:rPr>
              <w:t>0</w:t>
            </w:r>
          </w:p>
        </w:tc>
        <w:tc>
          <w:tcPr>
            <w:tcW w:w="429" w:type="dxa"/>
            <w:tcBorders>
              <w:top w:val="nil"/>
              <w:left w:val="nil"/>
              <w:bottom w:val="single" w:sz="4" w:space="0" w:color="auto"/>
              <w:right w:val="single" w:sz="4" w:space="0" w:color="auto"/>
            </w:tcBorders>
            <w:shd w:val="clear" w:color="000000" w:fill="FFFF99"/>
            <w:noWrap/>
            <w:vAlign w:val="center"/>
            <w:hideMark/>
          </w:tcPr>
          <w:p w14:paraId="0BB26B35" w14:textId="77777777" w:rsidR="005E671C" w:rsidRPr="005E671C" w:rsidRDefault="005E671C" w:rsidP="005E671C">
            <w:pPr>
              <w:spacing w:after="0" w:line="240" w:lineRule="auto"/>
              <w:jc w:val="center"/>
              <w:rPr>
                <w:rFonts w:ascii="Calibri" w:eastAsia="Times New Roman" w:hAnsi="Calibri" w:cs="Calibri"/>
                <w:lang w:eastAsia="hr-HR"/>
              </w:rPr>
            </w:pPr>
            <w:r w:rsidRPr="005E671C">
              <w:rPr>
                <w:rFonts w:ascii="Calibri" w:eastAsia="Times New Roman" w:hAnsi="Calibri" w:cs="Calibri"/>
                <w:lang w:eastAsia="hr-HR"/>
              </w:rPr>
              <w:t>0</w:t>
            </w:r>
          </w:p>
        </w:tc>
        <w:tc>
          <w:tcPr>
            <w:tcW w:w="581" w:type="dxa"/>
            <w:tcBorders>
              <w:top w:val="nil"/>
              <w:left w:val="nil"/>
              <w:bottom w:val="single" w:sz="4" w:space="0" w:color="auto"/>
              <w:right w:val="single" w:sz="4" w:space="0" w:color="auto"/>
            </w:tcBorders>
            <w:shd w:val="clear" w:color="000000" w:fill="FFFF99"/>
            <w:noWrap/>
            <w:vAlign w:val="center"/>
            <w:hideMark/>
          </w:tcPr>
          <w:p w14:paraId="56C7878D" w14:textId="77777777" w:rsidR="005E671C" w:rsidRPr="005E671C" w:rsidRDefault="005E671C" w:rsidP="005E671C">
            <w:pPr>
              <w:spacing w:after="0" w:line="240" w:lineRule="auto"/>
              <w:jc w:val="center"/>
              <w:rPr>
                <w:rFonts w:ascii="Calibri" w:eastAsia="Times New Roman" w:hAnsi="Calibri" w:cs="Calibri"/>
                <w:lang w:eastAsia="hr-HR"/>
              </w:rPr>
            </w:pPr>
            <w:r w:rsidRPr="005E671C">
              <w:rPr>
                <w:rFonts w:ascii="Calibri" w:eastAsia="Times New Roman" w:hAnsi="Calibri" w:cs="Calibri"/>
                <w:lang w:eastAsia="hr-HR"/>
              </w:rPr>
              <w:t>0</w:t>
            </w:r>
          </w:p>
        </w:tc>
        <w:tc>
          <w:tcPr>
            <w:tcW w:w="556" w:type="dxa"/>
            <w:gridSpan w:val="2"/>
            <w:tcBorders>
              <w:top w:val="nil"/>
              <w:left w:val="nil"/>
              <w:bottom w:val="single" w:sz="4" w:space="0" w:color="auto"/>
              <w:right w:val="single" w:sz="4" w:space="0" w:color="auto"/>
            </w:tcBorders>
            <w:shd w:val="clear" w:color="000000" w:fill="FF9900"/>
            <w:noWrap/>
            <w:vAlign w:val="center"/>
            <w:hideMark/>
          </w:tcPr>
          <w:p w14:paraId="3FA80803" w14:textId="77777777" w:rsidR="005E671C" w:rsidRPr="005E671C" w:rsidRDefault="005E671C" w:rsidP="005E671C">
            <w:pPr>
              <w:spacing w:after="0" w:line="240" w:lineRule="auto"/>
              <w:jc w:val="center"/>
              <w:rPr>
                <w:rFonts w:ascii="Calibri" w:eastAsia="Times New Roman" w:hAnsi="Calibri" w:cs="Calibri"/>
                <w:lang w:eastAsia="hr-HR"/>
              </w:rPr>
            </w:pPr>
            <w:r w:rsidRPr="005E671C">
              <w:rPr>
                <w:rFonts w:ascii="Calibri" w:eastAsia="Times New Roman" w:hAnsi="Calibri" w:cs="Calibri"/>
                <w:lang w:eastAsia="hr-HR"/>
              </w:rPr>
              <w:t>0</w:t>
            </w:r>
          </w:p>
        </w:tc>
        <w:tc>
          <w:tcPr>
            <w:tcW w:w="574" w:type="dxa"/>
            <w:tcBorders>
              <w:top w:val="nil"/>
              <w:left w:val="nil"/>
              <w:bottom w:val="single" w:sz="4" w:space="0" w:color="auto"/>
              <w:right w:val="single" w:sz="4" w:space="0" w:color="auto"/>
            </w:tcBorders>
            <w:shd w:val="clear" w:color="000000" w:fill="FF9900"/>
            <w:noWrap/>
            <w:vAlign w:val="center"/>
            <w:hideMark/>
          </w:tcPr>
          <w:p w14:paraId="2C482220" w14:textId="77777777" w:rsidR="005E671C" w:rsidRPr="005E671C" w:rsidRDefault="005E671C" w:rsidP="005E671C">
            <w:pPr>
              <w:spacing w:after="0" w:line="240" w:lineRule="auto"/>
              <w:jc w:val="center"/>
              <w:rPr>
                <w:rFonts w:ascii="Calibri" w:eastAsia="Times New Roman" w:hAnsi="Calibri" w:cs="Calibri"/>
                <w:lang w:eastAsia="hr-HR"/>
              </w:rPr>
            </w:pPr>
            <w:r w:rsidRPr="005E671C">
              <w:rPr>
                <w:rFonts w:ascii="Calibri" w:eastAsia="Times New Roman" w:hAnsi="Calibri" w:cs="Calibri"/>
                <w:lang w:eastAsia="hr-HR"/>
              </w:rPr>
              <w:t>1</w:t>
            </w:r>
          </w:p>
        </w:tc>
        <w:tc>
          <w:tcPr>
            <w:tcW w:w="434" w:type="dxa"/>
            <w:tcBorders>
              <w:top w:val="nil"/>
              <w:left w:val="nil"/>
              <w:bottom w:val="single" w:sz="4" w:space="0" w:color="auto"/>
              <w:right w:val="single" w:sz="4" w:space="0" w:color="auto"/>
            </w:tcBorders>
            <w:shd w:val="clear" w:color="000000" w:fill="FF9900"/>
            <w:noWrap/>
            <w:vAlign w:val="center"/>
            <w:hideMark/>
          </w:tcPr>
          <w:p w14:paraId="6651E097" w14:textId="77777777" w:rsidR="005E671C" w:rsidRPr="005E671C" w:rsidRDefault="005E671C" w:rsidP="005E671C">
            <w:pPr>
              <w:spacing w:after="0" w:line="240" w:lineRule="auto"/>
              <w:jc w:val="center"/>
              <w:rPr>
                <w:rFonts w:ascii="Calibri" w:eastAsia="Times New Roman" w:hAnsi="Calibri" w:cs="Calibri"/>
                <w:lang w:eastAsia="hr-HR"/>
              </w:rPr>
            </w:pPr>
            <w:r w:rsidRPr="005E671C">
              <w:rPr>
                <w:rFonts w:ascii="Calibri" w:eastAsia="Times New Roman" w:hAnsi="Calibri" w:cs="Calibri"/>
                <w:lang w:eastAsia="hr-HR"/>
              </w:rPr>
              <w:t>0</w:t>
            </w:r>
          </w:p>
        </w:tc>
        <w:tc>
          <w:tcPr>
            <w:tcW w:w="443" w:type="dxa"/>
            <w:gridSpan w:val="2"/>
            <w:tcBorders>
              <w:top w:val="nil"/>
              <w:left w:val="nil"/>
              <w:bottom w:val="single" w:sz="4" w:space="0" w:color="auto"/>
              <w:right w:val="single" w:sz="4" w:space="0" w:color="auto"/>
            </w:tcBorders>
            <w:shd w:val="clear" w:color="000000" w:fill="66FFCC"/>
            <w:noWrap/>
            <w:vAlign w:val="center"/>
            <w:hideMark/>
          </w:tcPr>
          <w:p w14:paraId="6E21FF2F" w14:textId="77777777" w:rsidR="005E671C" w:rsidRPr="005E671C" w:rsidRDefault="005E671C" w:rsidP="005E671C">
            <w:pPr>
              <w:spacing w:after="0" w:line="240" w:lineRule="auto"/>
              <w:jc w:val="center"/>
              <w:rPr>
                <w:rFonts w:ascii="Calibri" w:eastAsia="Times New Roman" w:hAnsi="Calibri" w:cs="Calibri"/>
                <w:lang w:eastAsia="hr-HR"/>
              </w:rPr>
            </w:pPr>
            <w:r w:rsidRPr="005E671C">
              <w:rPr>
                <w:rFonts w:ascii="Calibri" w:eastAsia="Times New Roman" w:hAnsi="Calibri" w:cs="Calibri"/>
                <w:lang w:eastAsia="hr-HR"/>
              </w:rPr>
              <w:t>0</w:t>
            </w:r>
          </w:p>
        </w:tc>
        <w:tc>
          <w:tcPr>
            <w:tcW w:w="698" w:type="dxa"/>
            <w:tcBorders>
              <w:top w:val="nil"/>
              <w:left w:val="nil"/>
              <w:bottom w:val="single" w:sz="4" w:space="0" w:color="auto"/>
              <w:right w:val="single" w:sz="4" w:space="0" w:color="auto"/>
            </w:tcBorders>
            <w:shd w:val="clear" w:color="000000" w:fill="66FFCC"/>
            <w:noWrap/>
            <w:vAlign w:val="center"/>
            <w:hideMark/>
          </w:tcPr>
          <w:p w14:paraId="2947915B" w14:textId="77777777" w:rsidR="005E671C" w:rsidRPr="005E671C" w:rsidRDefault="005E671C" w:rsidP="005E671C">
            <w:pPr>
              <w:spacing w:after="0" w:line="240" w:lineRule="auto"/>
              <w:jc w:val="center"/>
              <w:rPr>
                <w:rFonts w:ascii="Calibri" w:eastAsia="Times New Roman" w:hAnsi="Calibri" w:cs="Calibri"/>
                <w:lang w:eastAsia="hr-HR"/>
              </w:rPr>
            </w:pPr>
            <w:r w:rsidRPr="005E671C">
              <w:rPr>
                <w:rFonts w:ascii="Calibri" w:eastAsia="Times New Roman" w:hAnsi="Calibri" w:cs="Calibri"/>
                <w:lang w:eastAsia="hr-HR"/>
              </w:rPr>
              <w:t>0</w:t>
            </w:r>
          </w:p>
        </w:tc>
        <w:tc>
          <w:tcPr>
            <w:tcW w:w="574" w:type="dxa"/>
            <w:tcBorders>
              <w:top w:val="nil"/>
              <w:left w:val="nil"/>
              <w:bottom w:val="single" w:sz="4" w:space="0" w:color="auto"/>
              <w:right w:val="single" w:sz="4" w:space="0" w:color="auto"/>
            </w:tcBorders>
            <w:shd w:val="clear" w:color="000000" w:fill="66FFCC"/>
            <w:noWrap/>
            <w:vAlign w:val="center"/>
            <w:hideMark/>
          </w:tcPr>
          <w:p w14:paraId="39A01D76" w14:textId="77777777" w:rsidR="005E671C" w:rsidRPr="005E671C" w:rsidRDefault="005E671C" w:rsidP="005E671C">
            <w:pPr>
              <w:spacing w:after="0" w:line="240" w:lineRule="auto"/>
              <w:jc w:val="center"/>
              <w:rPr>
                <w:rFonts w:ascii="Calibri" w:eastAsia="Times New Roman" w:hAnsi="Calibri" w:cs="Calibri"/>
                <w:lang w:eastAsia="hr-HR"/>
              </w:rPr>
            </w:pPr>
            <w:r w:rsidRPr="005E671C">
              <w:rPr>
                <w:rFonts w:ascii="Calibri" w:eastAsia="Times New Roman" w:hAnsi="Calibri" w:cs="Calibri"/>
                <w:lang w:eastAsia="hr-HR"/>
              </w:rPr>
              <w:t>0</w:t>
            </w:r>
          </w:p>
        </w:tc>
        <w:tc>
          <w:tcPr>
            <w:tcW w:w="560" w:type="dxa"/>
            <w:tcBorders>
              <w:top w:val="nil"/>
              <w:left w:val="nil"/>
              <w:bottom w:val="single" w:sz="4" w:space="0" w:color="auto"/>
              <w:right w:val="single" w:sz="4" w:space="0" w:color="auto"/>
            </w:tcBorders>
            <w:shd w:val="clear" w:color="000000" w:fill="66FFCC"/>
            <w:noWrap/>
            <w:vAlign w:val="center"/>
            <w:hideMark/>
          </w:tcPr>
          <w:p w14:paraId="4E9703B2" w14:textId="77777777" w:rsidR="005E671C" w:rsidRPr="005E671C" w:rsidRDefault="005E671C" w:rsidP="005E671C">
            <w:pPr>
              <w:spacing w:after="0" w:line="240" w:lineRule="auto"/>
              <w:jc w:val="center"/>
              <w:rPr>
                <w:rFonts w:ascii="Calibri" w:eastAsia="Times New Roman" w:hAnsi="Calibri" w:cs="Calibri"/>
                <w:lang w:eastAsia="hr-HR"/>
              </w:rPr>
            </w:pPr>
            <w:r w:rsidRPr="005E671C">
              <w:rPr>
                <w:rFonts w:ascii="Calibri" w:eastAsia="Times New Roman" w:hAnsi="Calibri" w:cs="Calibri"/>
                <w:lang w:eastAsia="hr-HR"/>
              </w:rPr>
              <w:t>0</w:t>
            </w:r>
          </w:p>
        </w:tc>
        <w:tc>
          <w:tcPr>
            <w:tcW w:w="430" w:type="dxa"/>
            <w:gridSpan w:val="2"/>
            <w:tcBorders>
              <w:top w:val="nil"/>
              <w:left w:val="nil"/>
              <w:bottom w:val="single" w:sz="4" w:space="0" w:color="auto"/>
              <w:right w:val="single" w:sz="4" w:space="0" w:color="auto"/>
            </w:tcBorders>
            <w:shd w:val="clear" w:color="000000" w:fill="FFFF00"/>
            <w:vAlign w:val="center"/>
            <w:hideMark/>
          </w:tcPr>
          <w:p w14:paraId="1275969D" w14:textId="77777777" w:rsidR="005E671C" w:rsidRPr="005E671C" w:rsidRDefault="005E671C" w:rsidP="005E671C">
            <w:pPr>
              <w:spacing w:after="0" w:line="240" w:lineRule="auto"/>
              <w:jc w:val="center"/>
              <w:rPr>
                <w:rFonts w:ascii="Calibri" w:eastAsia="Times New Roman" w:hAnsi="Calibri" w:cs="Calibri"/>
                <w:lang w:eastAsia="hr-HR"/>
              </w:rPr>
            </w:pPr>
            <w:r w:rsidRPr="005E671C">
              <w:rPr>
                <w:rFonts w:ascii="Calibri" w:eastAsia="Times New Roman" w:hAnsi="Calibri" w:cs="Calibri"/>
                <w:lang w:eastAsia="hr-HR"/>
              </w:rPr>
              <w:t>1</w:t>
            </w:r>
          </w:p>
        </w:tc>
        <w:tc>
          <w:tcPr>
            <w:tcW w:w="425" w:type="dxa"/>
            <w:gridSpan w:val="2"/>
            <w:tcBorders>
              <w:top w:val="nil"/>
              <w:left w:val="nil"/>
              <w:bottom w:val="single" w:sz="4" w:space="0" w:color="auto"/>
              <w:right w:val="single" w:sz="4" w:space="0" w:color="auto"/>
            </w:tcBorders>
            <w:shd w:val="clear" w:color="000000" w:fill="FFFF99"/>
            <w:vAlign w:val="center"/>
            <w:hideMark/>
          </w:tcPr>
          <w:p w14:paraId="441FBB6F" w14:textId="77777777" w:rsidR="005E671C" w:rsidRPr="005E671C" w:rsidRDefault="005E671C" w:rsidP="005E671C">
            <w:pPr>
              <w:spacing w:after="0" w:line="240" w:lineRule="auto"/>
              <w:jc w:val="center"/>
              <w:rPr>
                <w:rFonts w:ascii="Calibri" w:eastAsia="Times New Roman" w:hAnsi="Calibri" w:cs="Calibri"/>
                <w:lang w:eastAsia="hr-HR"/>
              </w:rPr>
            </w:pPr>
            <w:r w:rsidRPr="005E671C">
              <w:rPr>
                <w:rFonts w:ascii="Calibri" w:eastAsia="Times New Roman" w:hAnsi="Calibri" w:cs="Calibri"/>
                <w:lang w:eastAsia="hr-HR"/>
              </w:rPr>
              <w:t>4</w:t>
            </w:r>
          </w:p>
        </w:tc>
        <w:tc>
          <w:tcPr>
            <w:tcW w:w="540" w:type="dxa"/>
            <w:gridSpan w:val="2"/>
            <w:tcBorders>
              <w:top w:val="nil"/>
              <w:left w:val="nil"/>
              <w:bottom w:val="single" w:sz="4" w:space="0" w:color="auto"/>
              <w:right w:val="single" w:sz="4" w:space="0" w:color="auto"/>
            </w:tcBorders>
            <w:shd w:val="clear" w:color="000000" w:fill="FF9900"/>
            <w:vAlign w:val="center"/>
            <w:hideMark/>
          </w:tcPr>
          <w:p w14:paraId="10666639" w14:textId="77777777" w:rsidR="005E671C" w:rsidRPr="005E671C" w:rsidRDefault="005E671C" w:rsidP="005E671C">
            <w:pPr>
              <w:spacing w:after="0" w:line="240" w:lineRule="auto"/>
              <w:jc w:val="center"/>
              <w:rPr>
                <w:rFonts w:ascii="Calibri" w:eastAsia="Times New Roman" w:hAnsi="Calibri" w:cs="Calibri"/>
                <w:lang w:eastAsia="hr-HR"/>
              </w:rPr>
            </w:pPr>
            <w:r w:rsidRPr="005E671C">
              <w:rPr>
                <w:rFonts w:ascii="Calibri" w:eastAsia="Times New Roman" w:hAnsi="Calibri" w:cs="Calibri"/>
                <w:lang w:eastAsia="hr-HR"/>
              </w:rPr>
              <w:t>0</w:t>
            </w:r>
          </w:p>
        </w:tc>
        <w:tc>
          <w:tcPr>
            <w:tcW w:w="435" w:type="dxa"/>
            <w:tcBorders>
              <w:top w:val="nil"/>
              <w:left w:val="nil"/>
              <w:bottom w:val="single" w:sz="4" w:space="0" w:color="auto"/>
              <w:right w:val="single" w:sz="4" w:space="0" w:color="auto"/>
            </w:tcBorders>
            <w:shd w:val="clear" w:color="000000" w:fill="CCFFFF"/>
            <w:vAlign w:val="center"/>
            <w:hideMark/>
          </w:tcPr>
          <w:p w14:paraId="436C4477" w14:textId="77777777" w:rsidR="005E671C" w:rsidRPr="005E671C" w:rsidRDefault="005E671C" w:rsidP="005E671C">
            <w:pPr>
              <w:spacing w:after="0" w:line="240" w:lineRule="auto"/>
              <w:jc w:val="center"/>
              <w:rPr>
                <w:rFonts w:ascii="Calibri" w:eastAsia="Times New Roman" w:hAnsi="Calibri" w:cs="Calibri"/>
                <w:lang w:eastAsia="hr-HR"/>
              </w:rPr>
            </w:pPr>
            <w:r w:rsidRPr="005E671C">
              <w:rPr>
                <w:rFonts w:ascii="Calibri" w:eastAsia="Times New Roman" w:hAnsi="Calibri" w:cs="Calibri"/>
                <w:lang w:eastAsia="hr-HR"/>
              </w:rPr>
              <w:t>0</w:t>
            </w:r>
          </w:p>
        </w:tc>
        <w:tc>
          <w:tcPr>
            <w:tcW w:w="655" w:type="dxa"/>
            <w:tcBorders>
              <w:top w:val="nil"/>
              <w:left w:val="nil"/>
              <w:bottom w:val="single" w:sz="4" w:space="0" w:color="auto"/>
              <w:right w:val="single" w:sz="4" w:space="0" w:color="auto"/>
            </w:tcBorders>
            <w:shd w:val="clear" w:color="000000" w:fill="CCFFFF"/>
            <w:vAlign w:val="center"/>
            <w:hideMark/>
          </w:tcPr>
          <w:p w14:paraId="2B8B6611" w14:textId="77777777" w:rsidR="005E671C" w:rsidRPr="005E671C" w:rsidRDefault="005E671C" w:rsidP="005E671C">
            <w:pPr>
              <w:spacing w:after="0" w:line="240" w:lineRule="auto"/>
              <w:jc w:val="center"/>
              <w:rPr>
                <w:rFonts w:ascii="Calibri" w:eastAsia="Times New Roman" w:hAnsi="Calibri" w:cs="Calibri"/>
                <w:lang w:eastAsia="hr-HR"/>
              </w:rPr>
            </w:pPr>
            <w:r w:rsidRPr="005E671C">
              <w:rPr>
                <w:rFonts w:ascii="Calibri" w:eastAsia="Times New Roman" w:hAnsi="Calibri" w:cs="Calibri"/>
                <w:lang w:eastAsia="hr-HR"/>
              </w:rPr>
              <w:t>0</w:t>
            </w:r>
          </w:p>
        </w:tc>
        <w:tc>
          <w:tcPr>
            <w:tcW w:w="645" w:type="dxa"/>
            <w:tcBorders>
              <w:top w:val="nil"/>
              <w:left w:val="nil"/>
              <w:bottom w:val="single" w:sz="4" w:space="0" w:color="auto"/>
              <w:right w:val="single" w:sz="4" w:space="0" w:color="auto"/>
            </w:tcBorders>
            <w:shd w:val="clear" w:color="000000" w:fill="CCFFFF"/>
            <w:vAlign w:val="center"/>
            <w:hideMark/>
          </w:tcPr>
          <w:p w14:paraId="1DD7760A" w14:textId="77777777" w:rsidR="005E671C" w:rsidRPr="005E671C" w:rsidRDefault="005E671C" w:rsidP="005E671C">
            <w:pPr>
              <w:spacing w:after="0" w:line="240" w:lineRule="auto"/>
              <w:jc w:val="center"/>
              <w:rPr>
                <w:rFonts w:ascii="Calibri" w:eastAsia="Times New Roman" w:hAnsi="Calibri" w:cs="Calibri"/>
                <w:lang w:eastAsia="hr-HR"/>
              </w:rPr>
            </w:pPr>
            <w:r w:rsidRPr="005E671C">
              <w:rPr>
                <w:rFonts w:ascii="Calibri" w:eastAsia="Times New Roman" w:hAnsi="Calibri" w:cs="Calibri"/>
                <w:lang w:eastAsia="hr-HR"/>
              </w:rPr>
              <w:t>0</w:t>
            </w:r>
          </w:p>
        </w:tc>
        <w:tc>
          <w:tcPr>
            <w:tcW w:w="699" w:type="dxa"/>
            <w:tcBorders>
              <w:top w:val="nil"/>
              <w:left w:val="nil"/>
              <w:bottom w:val="single" w:sz="4" w:space="0" w:color="auto"/>
              <w:right w:val="nil"/>
            </w:tcBorders>
            <w:shd w:val="clear" w:color="000000" w:fill="33CCCC"/>
            <w:noWrap/>
            <w:vAlign w:val="center"/>
            <w:hideMark/>
          </w:tcPr>
          <w:p w14:paraId="6DD82BA1" w14:textId="77777777" w:rsidR="005E671C" w:rsidRPr="005E671C" w:rsidRDefault="005E671C" w:rsidP="005E671C">
            <w:pPr>
              <w:spacing w:after="0" w:line="240" w:lineRule="auto"/>
              <w:jc w:val="center"/>
              <w:rPr>
                <w:rFonts w:ascii="Calibri" w:eastAsia="Times New Roman" w:hAnsi="Calibri" w:cs="Calibri"/>
                <w:lang w:eastAsia="hr-HR"/>
              </w:rPr>
            </w:pPr>
            <w:r w:rsidRPr="005E671C">
              <w:rPr>
                <w:rFonts w:ascii="Calibri" w:eastAsia="Times New Roman" w:hAnsi="Calibri" w:cs="Calibri"/>
                <w:lang w:eastAsia="hr-HR"/>
              </w:rPr>
              <w:t>1</w:t>
            </w:r>
          </w:p>
        </w:tc>
        <w:tc>
          <w:tcPr>
            <w:tcW w:w="700" w:type="dxa"/>
            <w:tcBorders>
              <w:top w:val="nil"/>
              <w:left w:val="single" w:sz="4" w:space="0" w:color="auto"/>
              <w:bottom w:val="single" w:sz="4" w:space="0" w:color="auto"/>
              <w:right w:val="single" w:sz="8" w:space="0" w:color="auto"/>
            </w:tcBorders>
            <w:shd w:val="clear" w:color="000000" w:fill="33CCCC"/>
            <w:noWrap/>
            <w:vAlign w:val="center"/>
            <w:hideMark/>
          </w:tcPr>
          <w:p w14:paraId="190EC311" w14:textId="77777777" w:rsidR="005E671C" w:rsidRPr="005E671C" w:rsidRDefault="005E671C" w:rsidP="005E671C">
            <w:pPr>
              <w:spacing w:after="0" w:line="240" w:lineRule="auto"/>
              <w:jc w:val="center"/>
              <w:rPr>
                <w:rFonts w:ascii="Calibri" w:eastAsia="Times New Roman" w:hAnsi="Calibri" w:cs="Calibri"/>
                <w:lang w:eastAsia="hr-HR"/>
              </w:rPr>
            </w:pPr>
            <w:r w:rsidRPr="005E671C">
              <w:rPr>
                <w:rFonts w:ascii="Calibri" w:eastAsia="Times New Roman" w:hAnsi="Calibri" w:cs="Calibri"/>
                <w:lang w:eastAsia="hr-HR"/>
              </w:rPr>
              <w:t>0</w:t>
            </w:r>
          </w:p>
        </w:tc>
        <w:tc>
          <w:tcPr>
            <w:tcW w:w="239" w:type="dxa"/>
            <w:gridSpan w:val="2"/>
            <w:vAlign w:val="center"/>
            <w:hideMark/>
          </w:tcPr>
          <w:p w14:paraId="665E1527" w14:textId="77777777" w:rsidR="005E671C" w:rsidRPr="005E671C" w:rsidRDefault="005E671C" w:rsidP="005E671C">
            <w:pPr>
              <w:spacing w:after="0" w:line="240" w:lineRule="auto"/>
              <w:rPr>
                <w:rFonts w:ascii="Times New Roman" w:eastAsia="Times New Roman" w:hAnsi="Times New Roman" w:cs="Times New Roman"/>
                <w:sz w:val="20"/>
                <w:szCs w:val="20"/>
                <w:lang w:eastAsia="hr-HR"/>
              </w:rPr>
            </w:pPr>
          </w:p>
        </w:tc>
      </w:tr>
      <w:tr w:rsidR="005E671C" w:rsidRPr="005E671C" w14:paraId="02612A17" w14:textId="77777777" w:rsidTr="001752B7">
        <w:trPr>
          <w:gridAfter w:val="1"/>
          <w:wAfter w:w="23" w:type="dxa"/>
          <w:trHeight w:val="315"/>
        </w:trPr>
        <w:tc>
          <w:tcPr>
            <w:tcW w:w="1408" w:type="dxa"/>
            <w:tcBorders>
              <w:top w:val="single" w:sz="4" w:space="0" w:color="auto"/>
              <w:left w:val="single" w:sz="8" w:space="0" w:color="auto"/>
              <w:bottom w:val="single" w:sz="8" w:space="0" w:color="auto"/>
              <w:right w:val="single" w:sz="4" w:space="0" w:color="auto"/>
            </w:tcBorders>
            <w:shd w:val="clear" w:color="000000" w:fill="FFFF00"/>
            <w:vAlign w:val="center"/>
            <w:hideMark/>
          </w:tcPr>
          <w:p w14:paraId="38865B2F" w14:textId="77777777" w:rsidR="005E671C" w:rsidRPr="005E671C" w:rsidRDefault="005E671C" w:rsidP="005E671C">
            <w:pPr>
              <w:spacing w:after="0" w:line="240" w:lineRule="auto"/>
              <w:jc w:val="center"/>
              <w:rPr>
                <w:rFonts w:ascii="Calibri" w:eastAsia="Times New Roman" w:hAnsi="Calibri" w:cs="Calibri"/>
                <w:b/>
                <w:bCs/>
                <w:lang w:eastAsia="hr-HR"/>
              </w:rPr>
            </w:pPr>
            <w:r w:rsidRPr="005E671C">
              <w:rPr>
                <w:rFonts w:ascii="Calibri" w:eastAsia="Times New Roman" w:hAnsi="Calibri" w:cs="Calibri"/>
                <w:b/>
                <w:bCs/>
                <w:lang w:eastAsia="hr-HR"/>
              </w:rPr>
              <w:t>UKUPNO</w:t>
            </w:r>
          </w:p>
        </w:tc>
        <w:tc>
          <w:tcPr>
            <w:tcW w:w="595" w:type="dxa"/>
            <w:tcBorders>
              <w:top w:val="nil"/>
              <w:left w:val="nil"/>
              <w:bottom w:val="single" w:sz="8" w:space="0" w:color="auto"/>
              <w:right w:val="single" w:sz="4" w:space="0" w:color="auto"/>
            </w:tcBorders>
            <w:shd w:val="clear" w:color="000000" w:fill="FFFF00"/>
            <w:vAlign w:val="center"/>
            <w:hideMark/>
          </w:tcPr>
          <w:p w14:paraId="1564E0CF" w14:textId="77777777" w:rsidR="005E671C" w:rsidRPr="005E671C" w:rsidRDefault="005E671C" w:rsidP="005E671C">
            <w:pPr>
              <w:spacing w:after="0" w:line="240" w:lineRule="auto"/>
              <w:jc w:val="center"/>
              <w:rPr>
                <w:rFonts w:ascii="Calibri" w:eastAsia="Times New Roman" w:hAnsi="Calibri" w:cs="Calibri"/>
                <w:lang w:eastAsia="hr-HR"/>
              </w:rPr>
            </w:pPr>
            <w:r w:rsidRPr="005E671C">
              <w:rPr>
                <w:rFonts w:ascii="Calibri" w:eastAsia="Times New Roman" w:hAnsi="Calibri" w:cs="Calibri"/>
                <w:lang w:eastAsia="hr-HR"/>
              </w:rPr>
              <w:t>83</w:t>
            </w:r>
          </w:p>
        </w:tc>
        <w:tc>
          <w:tcPr>
            <w:tcW w:w="549" w:type="dxa"/>
            <w:tcBorders>
              <w:top w:val="nil"/>
              <w:left w:val="nil"/>
              <w:bottom w:val="single" w:sz="8" w:space="0" w:color="auto"/>
              <w:right w:val="single" w:sz="4" w:space="0" w:color="auto"/>
            </w:tcBorders>
            <w:shd w:val="clear" w:color="000000" w:fill="FFFF00"/>
            <w:vAlign w:val="center"/>
            <w:hideMark/>
          </w:tcPr>
          <w:p w14:paraId="5A112AA8" w14:textId="77777777" w:rsidR="005E671C" w:rsidRPr="005E671C" w:rsidRDefault="005E671C" w:rsidP="005E671C">
            <w:pPr>
              <w:spacing w:after="0" w:line="240" w:lineRule="auto"/>
              <w:jc w:val="center"/>
              <w:rPr>
                <w:rFonts w:ascii="Calibri" w:eastAsia="Times New Roman" w:hAnsi="Calibri" w:cs="Calibri"/>
                <w:lang w:eastAsia="hr-HR"/>
              </w:rPr>
            </w:pPr>
            <w:r w:rsidRPr="005E671C">
              <w:rPr>
                <w:rFonts w:ascii="Calibri" w:eastAsia="Times New Roman" w:hAnsi="Calibri" w:cs="Calibri"/>
                <w:lang w:eastAsia="hr-HR"/>
              </w:rPr>
              <w:t>125</w:t>
            </w:r>
          </w:p>
        </w:tc>
        <w:tc>
          <w:tcPr>
            <w:tcW w:w="441" w:type="dxa"/>
            <w:tcBorders>
              <w:top w:val="nil"/>
              <w:left w:val="nil"/>
              <w:bottom w:val="single" w:sz="8" w:space="0" w:color="auto"/>
              <w:right w:val="single" w:sz="4" w:space="0" w:color="auto"/>
            </w:tcBorders>
            <w:shd w:val="clear" w:color="000000" w:fill="FFFF00"/>
            <w:vAlign w:val="center"/>
            <w:hideMark/>
          </w:tcPr>
          <w:p w14:paraId="5F9E577B" w14:textId="77777777" w:rsidR="005E671C" w:rsidRPr="005E671C" w:rsidRDefault="005E671C" w:rsidP="005E671C">
            <w:pPr>
              <w:spacing w:after="0" w:line="240" w:lineRule="auto"/>
              <w:jc w:val="center"/>
              <w:rPr>
                <w:rFonts w:ascii="Calibri" w:eastAsia="Times New Roman" w:hAnsi="Calibri" w:cs="Calibri"/>
                <w:lang w:eastAsia="hr-HR"/>
              </w:rPr>
            </w:pPr>
            <w:r w:rsidRPr="005E671C">
              <w:rPr>
                <w:rFonts w:ascii="Calibri" w:eastAsia="Times New Roman" w:hAnsi="Calibri" w:cs="Calibri"/>
                <w:lang w:eastAsia="hr-HR"/>
              </w:rPr>
              <w:t>63</w:t>
            </w:r>
          </w:p>
        </w:tc>
        <w:tc>
          <w:tcPr>
            <w:tcW w:w="432" w:type="dxa"/>
            <w:tcBorders>
              <w:top w:val="nil"/>
              <w:left w:val="nil"/>
              <w:bottom w:val="single" w:sz="8" w:space="0" w:color="auto"/>
              <w:right w:val="single" w:sz="4" w:space="0" w:color="auto"/>
            </w:tcBorders>
            <w:shd w:val="clear" w:color="000000" w:fill="FFFF00"/>
            <w:vAlign w:val="center"/>
            <w:hideMark/>
          </w:tcPr>
          <w:p w14:paraId="588EEB77" w14:textId="77777777" w:rsidR="005E671C" w:rsidRPr="005E671C" w:rsidRDefault="005E671C" w:rsidP="005E671C">
            <w:pPr>
              <w:spacing w:after="0" w:line="240" w:lineRule="auto"/>
              <w:jc w:val="center"/>
              <w:rPr>
                <w:rFonts w:ascii="Calibri" w:eastAsia="Times New Roman" w:hAnsi="Calibri" w:cs="Calibri"/>
                <w:lang w:eastAsia="hr-HR"/>
              </w:rPr>
            </w:pPr>
            <w:r w:rsidRPr="005E671C">
              <w:rPr>
                <w:rFonts w:ascii="Calibri" w:eastAsia="Times New Roman" w:hAnsi="Calibri" w:cs="Calibri"/>
                <w:lang w:eastAsia="hr-HR"/>
              </w:rPr>
              <w:t>100</w:t>
            </w:r>
          </w:p>
        </w:tc>
        <w:tc>
          <w:tcPr>
            <w:tcW w:w="421" w:type="dxa"/>
            <w:gridSpan w:val="2"/>
            <w:tcBorders>
              <w:top w:val="nil"/>
              <w:left w:val="nil"/>
              <w:bottom w:val="single" w:sz="8" w:space="0" w:color="auto"/>
              <w:right w:val="single" w:sz="4" w:space="0" w:color="auto"/>
            </w:tcBorders>
            <w:shd w:val="clear" w:color="000000" w:fill="FFFF00"/>
            <w:vAlign w:val="center"/>
            <w:hideMark/>
          </w:tcPr>
          <w:p w14:paraId="7DEC0FA4" w14:textId="77777777" w:rsidR="005E671C" w:rsidRPr="005E671C" w:rsidRDefault="005E671C" w:rsidP="005E671C">
            <w:pPr>
              <w:spacing w:after="0" w:line="240" w:lineRule="auto"/>
              <w:jc w:val="center"/>
              <w:rPr>
                <w:rFonts w:ascii="Calibri" w:eastAsia="Times New Roman" w:hAnsi="Calibri" w:cs="Calibri"/>
                <w:lang w:eastAsia="hr-HR"/>
              </w:rPr>
            </w:pPr>
            <w:r w:rsidRPr="005E671C">
              <w:rPr>
                <w:rFonts w:ascii="Calibri" w:eastAsia="Times New Roman" w:hAnsi="Calibri" w:cs="Calibri"/>
                <w:lang w:eastAsia="hr-HR"/>
              </w:rPr>
              <w:t>105</w:t>
            </w:r>
          </w:p>
        </w:tc>
        <w:tc>
          <w:tcPr>
            <w:tcW w:w="431" w:type="dxa"/>
            <w:tcBorders>
              <w:top w:val="nil"/>
              <w:left w:val="nil"/>
              <w:bottom w:val="single" w:sz="8" w:space="0" w:color="auto"/>
              <w:right w:val="single" w:sz="4" w:space="0" w:color="auto"/>
            </w:tcBorders>
            <w:shd w:val="clear" w:color="000000" w:fill="FFFF00"/>
            <w:vAlign w:val="center"/>
            <w:hideMark/>
          </w:tcPr>
          <w:p w14:paraId="6420F77E" w14:textId="77777777" w:rsidR="005E671C" w:rsidRPr="005E671C" w:rsidRDefault="005E671C" w:rsidP="005E671C">
            <w:pPr>
              <w:spacing w:after="0" w:line="240" w:lineRule="auto"/>
              <w:jc w:val="center"/>
              <w:rPr>
                <w:rFonts w:ascii="Calibri" w:eastAsia="Times New Roman" w:hAnsi="Calibri" w:cs="Calibri"/>
                <w:lang w:eastAsia="hr-HR"/>
              </w:rPr>
            </w:pPr>
            <w:r w:rsidRPr="005E671C">
              <w:rPr>
                <w:rFonts w:ascii="Calibri" w:eastAsia="Times New Roman" w:hAnsi="Calibri" w:cs="Calibri"/>
                <w:lang w:eastAsia="hr-HR"/>
              </w:rPr>
              <w:t>1</w:t>
            </w:r>
          </w:p>
        </w:tc>
        <w:tc>
          <w:tcPr>
            <w:tcW w:w="420" w:type="dxa"/>
            <w:tcBorders>
              <w:top w:val="nil"/>
              <w:left w:val="nil"/>
              <w:bottom w:val="single" w:sz="8" w:space="0" w:color="auto"/>
              <w:right w:val="single" w:sz="4" w:space="0" w:color="auto"/>
            </w:tcBorders>
            <w:shd w:val="clear" w:color="000000" w:fill="FFFF00"/>
            <w:vAlign w:val="center"/>
            <w:hideMark/>
          </w:tcPr>
          <w:p w14:paraId="5FC392C9" w14:textId="77777777" w:rsidR="005E671C" w:rsidRPr="005E671C" w:rsidRDefault="005E671C" w:rsidP="005E671C">
            <w:pPr>
              <w:spacing w:after="0" w:line="240" w:lineRule="auto"/>
              <w:jc w:val="center"/>
              <w:rPr>
                <w:rFonts w:ascii="Calibri" w:eastAsia="Times New Roman" w:hAnsi="Calibri" w:cs="Calibri"/>
                <w:lang w:eastAsia="hr-HR"/>
              </w:rPr>
            </w:pPr>
            <w:r w:rsidRPr="005E671C">
              <w:rPr>
                <w:rFonts w:ascii="Calibri" w:eastAsia="Times New Roman" w:hAnsi="Calibri" w:cs="Calibri"/>
                <w:lang w:eastAsia="hr-HR"/>
              </w:rPr>
              <w:t>0</w:t>
            </w:r>
          </w:p>
        </w:tc>
        <w:tc>
          <w:tcPr>
            <w:tcW w:w="429" w:type="dxa"/>
            <w:tcBorders>
              <w:top w:val="nil"/>
              <w:left w:val="nil"/>
              <w:bottom w:val="single" w:sz="8" w:space="0" w:color="auto"/>
              <w:right w:val="single" w:sz="4" w:space="0" w:color="auto"/>
            </w:tcBorders>
            <w:shd w:val="clear" w:color="000000" w:fill="FFFF00"/>
            <w:vAlign w:val="center"/>
            <w:hideMark/>
          </w:tcPr>
          <w:p w14:paraId="6CE30614" w14:textId="77777777" w:rsidR="005E671C" w:rsidRPr="005E671C" w:rsidRDefault="005E671C" w:rsidP="005E671C">
            <w:pPr>
              <w:spacing w:after="0" w:line="240" w:lineRule="auto"/>
              <w:jc w:val="center"/>
              <w:rPr>
                <w:rFonts w:ascii="Calibri" w:eastAsia="Times New Roman" w:hAnsi="Calibri" w:cs="Calibri"/>
                <w:lang w:eastAsia="hr-HR"/>
              </w:rPr>
            </w:pPr>
            <w:r w:rsidRPr="005E671C">
              <w:rPr>
                <w:rFonts w:ascii="Calibri" w:eastAsia="Times New Roman" w:hAnsi="Calibri" w:cs="Calibri"/>
                <w:lang w:eastAsia="hr-HR"/>
              </w:rPr>
              <w:t>0</w:t>
            </w:r>
          </w:p>
        </w:tc>
        <w:tc>
          <w:tcPr>
            <w:tcW w:w="581" w:type="dxa"/>
            <w:tcBorders>
              <w:top w:val="nil"/>
              <w:left w:val="nil"/>
              <w:bottom w:val="single" w:sz="8" w:space="0" w:color="auto"/>
              <w:right w:val="single" w:sz="4" w:space="0" w:color="auto"/>
            </w:tcBorders>
            <w:shd w:val="clear" w:color="000000" w:fill="FFFF00"/>
            <w:vAlign w:val="center"/>
            <w:hideMark/>
          </w:tcPr>
          <w:p w14:paraId="5C6D1E08" w14:textId="77777777" w:rsidR="005E671C" w:rsidRPr="005E671C" w:rsidRDefault="005E671C" w:rsidP="005E671C">
            <w:pPr>
              <w:spacing w:after="0" w:line="240" w:lineRule="auto"/>
              <w:jc w:val="center"/>
              <w:rPr>
                <w:rFonts w:ascii="Calibri" w:eastAsia="Times New Roman" w:hAnsi="Calibri" w:cs="Calibri"/>
                <w:lang w:eastAsia="hr-HR"/>
              </w:rPr>
            </w:pPr>
            <w:r w:rsidRPr="005E671C">
              <w:rPr>
                <w:rFonts w:ascii="Calibri" w:eastAsia="Times New Roman" w:hAnsi="Calibri" w:cs="Calibri"/>
                <w:lang w:eastAsia="hr-HR"/>
              </w:rPr>
              <w:t>19</w:t>
            </w:r>
          </w:p>
        </w:tc>
        <w:tc>
          <w:tcPr>
            <w:tcW w:w="556" w:type="dxa"/>
            <w:gridSpan w:val="2"/>
            <w:tcBorders>
              <w:top w:val="nil"/>
              <w:left w:val="nil"/>
              <w:bottom w:val="single" w:sz="8" w:space="0" w:color="auto"/>
              <w:right w:val="single" w:sz="4" w:space="0" w:color="auto"/>
            </w:tcBorders>
            <w:shd w:val="clear" w:color="000000" w:fill="FFFF00"/>
            <w:vAlign w:val="center"/>
            <w:hideMark/>
          </w:tcPr>
          <w:p w14:paraId="612600FB" w14:textId="77777777" w:rsidR="005E671C" w:rsidRPr="005E671C" w:rsidRDefault="005E671C" w:rsidP="005E671C">
            <w:pPr>
              <w:spacing w:after="0" w:line="240" w:lineRule="auto"/>
              <w:jc w:val="center"/>
              <w:rPr>
                <w:rFonts w:ascii="Calibri" w:eastAsia="Times New Roman" w:hAnsi="Calibri" w:cs="Calibri"/>
                <w:lang w:eastAsia="hr-HR"/>
              </w:rPr>
            </w:pPr>
            <w:r w:rsidRPr="005E671C">
              <w:rPr>
                <w:rFonts w:ascii="Calibri" w:eastAsia="Times New Roman" w:hAnsi="Calibri" w:cs="Calibri"/>
                <w:lang w:eastAsia="hr-HR"/>
              </w:rPr>
              <w:t>47</w:t>
            </w:r>
          </w:p>
        </w:tc>
        <w:tc>
          <w:tcPr>
            <w:tcW w:w="574" w:type="dxa"/>
            <w:tcBorders>
              <w:top w:val="nil"/>
              <w:left w:val="nil"/>
              <w:bottom w:val="single" w:sz="8" w:space="0" w:color="auto"/>
              <w:right w:val="single" w:sz="4" w:space="0" w:color="auto"/>
            </w:tcBorders>
            <w:shd w:val="clear" w:color="000000" w:fill="FFFF00"/>
            <w:vAlign w:val="center"/>
            <w:hideMark/>
          </w:tcPr>
          <w:p w14:paraId="0A00827E" w14:textId="77777777" w:rsidR="005E671C" w:rsidRPr="005E671C" w:rsidRDefault="005E671C" w:rsidP="005E671C">
            <w:pPr>
              <w:spacing w:after="0" w:line="240" w:lineRule="auto"/>
              <w:jc w:val="center"/>
              <w:rPr>
                <w:rFonts w:ascii="Calibri" w:eastAsia="Times New Roman" w:hAnsi="Calibri" w:cs="Calibri"/>
                <w:lang w:eastAsia="hr-HR"/>
              </w:rPr>
            </w:pPr>
            <w:r w:rsidRPr="005E671C">
              <w:rPr>
                <w:rFonts w:ascii="Calibri" w:eastAsia="Times New Roman" w:hAnsi="Calibri" w:cs="Calibri"/>
                <w:lang w:eastAsia="hr-HR"/>
              </w:rPr>
              <w:t>23</w:t>
            </w:r>
          </w:p>
        </w:tc>
        <w:tc>
          <w:tcPr>
            <w:tcW w:w="434" w:type="dxa"/>
            <w:tcBorders>
              <w:top w:val="nil"/>
              <w:left w:val="nil"/>
              <w:bottom w:val="single" w:sz="8" w:space="0" w:color="auto"/>
              <w:right w:val="single" w:sz="4" w:space="0" w:color="auto"/>
            </w:tcBorders>
            <w:shd w:val="clear" w:color="000000" w:fill="FFFF00"/>
            <w:vAlign w:val="center"/>
            <w:hideMark/>
          </w:tcPr>
          <w:p w14:paraId="509ABF10" w14:textId="77777777" w:rsidR="005E671C" w:rsidRPr="005E671C" w:rsidRDefault="005E671C" w:rsidP="005E671C">
            <w:pPr>
              <w:spacing w:after="0" w:line="240" w:lineRule="auto"/>
              <w:jc w:val="center"/>
              <w:rPr>
                <w:rFonts w:ascii="Calibri" w:eastAsia="Times New Roman" w:hAnsi="Calibri" w:cs="Calibri"/>
                <w:lang w:eastAsia="hr-HR"/>
              </w:rPr>
            </w:pPr>
            <w:r w:rsidRPr="005E671C">
              <w:rPr>
                <w:rFonts w:ascii="Calibri" w:eastAsia="Times New Roman" w:hAnsi="Calibri" w:cs="Calibri"/>
                <w:lang w:eastAsia="hr-HR"/>
              </w:rPr>
              <w:t>11</w:t>
            </w:r>
          </w:p>
        </w:tc>
        <w:tc>
          <w:tcPr>
            <w:tcW w:w="443" w:type="dxa"/>
            <w:gridSpan w:val="2"/>
            <w:tcBorders>
              <w:top w:val="nil"/>
              <w:left w:val="nil"/>
              <w:bottom w:val="single" w:sz="8" w:space="0" w:color="auto"/>
              <w:right w:val="single" w:sz="4" w:space="0" w:color="auto"/>
            </w:tcBorders>
            <w:shd w:val="clear" w:color="000000" w:fill="FFFF00"/>
            <w:vAlign w:val="center"/>
            <w:hideMark/>
          </w:tcPr>
          <w:p w14:paraId="5BA0B7DB" w14:textId="77777777" w:rsidR="005E671C" w:rsidRPr="005E671C" w:rsidRDefault="005E671C" w:rsidP="005E671C">
            <w:pPr>
              <w:spacing w:after="0" w:line="240" w:lineRule="auto"/>
              <w:jc w:val="center"/>
              <w:rPr>
                <w:rFonts w:ascii="Calibri" w:eastAsia="Times New Roman" w:hAnsi="Calibri" w:cs="Calibri"/>
                <w:lang w:eastAsia="hr-HR"/>
              </w:rPr>
            </w:pPr>
            <w:r w:rsidRPr="005E671C">
              <w:rPr>
                <w:rFonts w:ascii="Calibri" w:eastAsia="Times New Roman" w:hAnsi="Calibri" w:cs="Calibri"/>
                <w:lang w:eastAsia="hr-HR"/>
              </w:rPr>
              <w:t>1</w:t>
            </w:r>
          </w:p>
        </w:tc>
        <w:tc>
          <w:tcPr>
            <w:tcW w:w="698" w:type="dxa"/>
            <w:tcBorders>
              <w:top w:val="nil"/>
              <w:left w:val="nil"/>
              <w:bottom w:val="single" w:sz="8" w:space="0" w:color="auto"/>
              <w:right w:val="single" w:sz="4" w:space="0" w:color="auto"/>
            </w:tcBorders>
            <w:shd w:val="clear" w:color="000000" w:fill="FFFF00"/>
            <w:vAlign w:val="center"/>
            <w:hideMark/>
          </w:tcPr>
          <w:p w14:paraId="3FBA2DBE" w14:textId="77777777" w:rsidR="005E671C" w:rsidRPr="005E671C" w:rsidRDefault="005E671C" w:rsidP="005E671C">
            <w:pPr>
              <w:spacing w:after="0" w:line="240" w:lineRule="auto"/>
              <w:jc w:val="center"/>
              <w:rPr>
                <w:rFonts w:ascii="Calibri" w:eastAsia="Times New Roman" w:hAnsi="Calibri" w:cs="Calibri"/>
                <w:lang w:eastAsia="hr-HR"/>
              </w:rPr>
            </w:pPr>
            <w:r w:rsidRPr="005E671C">
              <w:rPr>
                <w:rFonts w:ascii="Calibri" w:eastAsia="Times New Roman" w:hAnsi="Calibri" w:cs="Calibri"/>
                <w:lang w:eastAsia="hr-HR"/>
              </w:rPr>
              <w:t>46</w:t>
            </w:r>
          </w:p>
        </w:tc>
        <w:tc>
          <w:tcPr>
            <w:tcW w:w="574" w:type="dxa"/>
            <w:tcBorders>
              <w:top w:val="nil"/>
              <w:left w:val="nil"/>
              <w:bottom w:val="single" w:sz="8" w:space="0" w:color="auto"/>
              <w:right w:val="single" w:sz="4" w:space="0" w:color="auto"/>
            </w:tcBorders>
            <w:shd w:val="clear" w:color="000000" w:fill="FFFF00"/>
            <w:vAlign w:val="center"/>
            <w:hideMark/>
          </w:tcPr>
          <w:p w14:paraId="64799C0D" w14:textId="77777777" w:rsidR="005E671C" w:rsidRPr="005E671C" w:rsidRDefault="005E671C" w:rsidP="005E671C">
            <w:pPr>
              <w:spacing w:after="0" w:line="240" w:lineRule="auto"/>
              <w:jc w:val="center"/>
              <w:rPr>
                <w:rFonts w:ascii="Calibri" w:eastAsia="Times New Roman" w:hAnsi="Calibri" w:cs="Calibri"/>
                <w:lang w:eastAsia="hr-HR"/>
              </w:rPr>
            </w:pPr>
            <w:r w:rsidRPr="005E671C">
              <w:rPr>
                <w:rFonts w:ascii="Calibri" w:eastAsia="Times New Roman" w:hAnsi="Calibri" w:cs="Calibri"/>
                <w:lang w:eastAsia="hr-HR"/>
              </w:rPr>
              <w:t>0</w:t>
            </w:r>
          </w:p>
        </w:tc>
        <w:tc>
          <w:tcPr>
            <w:tcW w:w="560" w:type="dxa"/>
            <w:tcBorders>
              <w:top w:val="nil"/>
              <w:left w:val="nil"/>
              <w:bottom w:val="single" w:sz="8" w:space="0" w:color="auto"/>
              <w:right w:val="single" w:sz="4" w:space="0" w:color="auto"/>
            </w:tcBorders>
            <w:shd w:val="clear" w:color="000000" w:fill="FFFF00"/>
            <w:vAlign w:val="center"/>
            <w:hideMark/>
          </w:tcPr>
          <w:p w14:paraId="28648A3F" w14:textId="77777777" w:rsidR="005E671C" w:rsidRPr="005E671C" w:rsidRDefault="005E671C" w:rsidP="005E671C">
            <w:pPr>
              <w:spacing w:after="0" w:line="240" w:lineRule="auto"/>
              <w:jc w:val="center"/>
              <w:rPr>
                <w:rFonts w:ascii="Calibri" w:eastAsia="Times New Roman" w:hAnsi="Calibri" w:cs="Calibri"/>
                <w:lang w:eastAsia="hr-HR"/>
              </w:rPr>
            </w:pPr>
            <w:r w:rsidRPr="005E671C">
              <w:rPr>
                <w:rFonts w:ascii="Calibri" w:eastAsia="Times New Roman" w:hAnsi="Calibri" w:cs="Calibri"/>
                <w:lang w:eastAsia="hr-HR"/>
              </w:rPr>
              <w:t>47</w:t>
            </w:r>
          </w:p>
        </w:tc>
        <w:tc>
          <w:tcPr>
            <w:tcW w:w="430" w:type="dxa"/>
            <w:gridSpan w:val="2"/>
            <w:tcBorders>
              <w:top w:val="nil"/>
              <w:left w:val="nil"/>
              <w:bottom w:val="single" w:sz="8" w:space="0" w:color="auto"/>
              <w:right w:val="single" w:sz="4" w:space="0" w:color="auto"/>
            </w:tcBorders>
            <w:shd w:val="clear" w:color="000000" w:fill="FFFF00"/>
            <w:vAlign w:val="center"/>
            <w:hideMark/>
          </w:tcPr>
          <w:p w14:paraId="34185F77" w14:textId="77777777" w:rsidR="005E671C" w:rsidRPr="005E671C" w:rsidRDefault="005E671C" w:rsidP="005E671C">
            <w:pPr>
              <w:spacing w:after="0" w:line="240" w:lineRule="auto"/>
              <w:jc w:val="center"/>
              <w:rPr>
                <w:rFonts w:ascii="Calibri" w:eastAsia="Times New Roman" w:hAnsi="Calibri" w:cs="Calibri"/>
                <w:lang w:eastAsia="hr-HR"/>
              </w:rPr>
            </w:pPr>
            <w:r w:rsidRPr="005E671C">
              <w:rPr>
                <w:rFonts w:ascii="Calibri" w:eastAsia="Times New Roman" w:hAnsi="Calibri" w:cs="Calibri"/>
                <w:lang w:eastAsia="hr-HR"/>
              </w:rPr>
              <w:t>81</w:t>
            </w:r>
          </w:p>
        </w:tc>
        <w:tc>
          <w:tcPr>
            <w:tcW w:w="425" w:type="dxa"/>
            <w:gridSpan w:val="2"/>
            <w:tcBorders>
              <w:top w:val="nil"/>
              <w:left w:val="nil"/>
              <w:bottom w:val="single" w:sz="8" w:space="0" w:color="auto"/>
              <w:right w:val="single" w:sz="4" w:space="0" w:color="auto"/>
            </w:tcBorders>
            <w:shd w:val="clear" w:color="000000" w:fill="FFFF00"/>
            <w:vAlign w:val="center"/>
            <w:hideMark/>
          </w:tcPr>
          <w:p w14:paraId="26132422" w14:textId="77777777" w:rsidR="005E671C" w:rsidRPr="005E671C" w:rsidRDefault="005E671C" w:rsidP="005E671C">
            <w:pPr>
              <w:spacing w:after="0" w:line="240" w:lineRule="auto"/>
              <w:jc w:val="center"/>
              <w:rPr>
                <w:rFonts w:ascii="Calibri" w:eastAsia="Times New Roman" w:hAnsi="Calibri" w:cs="Calibri"/>
                <w:lang w:eastAsia="hr-HR"/>
              </w:rPr>
            </w:pPr>
            <w:r w:rsidRPr="005E671C">
              <w:rPr>
                <w:rFonts w:ascii="Calibri" w:eastAsia="Times New Roman" w:hAnsi="Calibri" w:cs="Calibri"/>
                <w:lang w:eastAsia="hr-HR"/>
              </w:rPr>
              <w:t>127</w:t>
            </w:r>
          </w:p>
        </w:tc>
        <w:tc>
          <w:tcPr>
            <w:tcW w:w="540" w:type="dxa"/>
            <w:gridSpan w:val="2"/>
            <w:tcBorders>
              <w:top w:val="nil"/>
              <w:left w:val="nil"/>
              <w:bottom w:val="single" w:sz="8" w:space="0" w:color="auto"/>
              <w:right w:val="single" w:sz="4" w:space="0" w:color="auto"/>
            </w:tcBorders>
            <w:shd w:val="clear" w:color="000000" w:fill="FFFF00"/>
            <w:vAlign w:val="center"/>
            <w:hideMark/>
          </w:tcPr>
          <w:p w14:paraId="475E0644" w14:textId="77777777" w:rsidR="005E671C" w:rsidRPr="005E671C" w:rsidRDefault="005E671C" w:rsidP="005E671C">
            <w:pPr>
              <w:spacing w:after="0" w:line="240" w:lineRule="auto"/>
              <w:jc w:val="center"/>
              <w:rPr>
                <w:rFonts w:ascii="Calibri" w:eastAsia="Times New Roman" w:hAnsi="Calibri" w:cs="Calibri"/>
                <w:lang w:eastAsia="hr-HR"/>
              </w:rPr>
            </w:pPr>
            <w:r w:rsidRPr="005E671C">
              <w:rPr>
                <w:rFonts w:ascii="Calibri" w:eastAsia="Times New Roman" w:hAnsi="Calibri" w:cs="Calibri"/>
                <w:lang w:eastAsia="hr-HR"/>
              </w:rPr>
              <w:t>48</w:t>
            </w:r>
          </w:p>
        </w:tc>
        <w:tc>
          <w:tcPr>
            <w:tcW w:w="435" w:type="dxa"/>
            <w:tcBorders>
              <w:top w:val="nil"/>
              <w:left w:val="nil"/>
              <w:bottom w:val="single" w:sz="8" w:space="0" w:color="auto"/>
              <w:right w:val="single" w:sz="4" w:space="0" w:color="auto"/>
            </w:tcBorders>
            <w:shd w:val="clear" w:color="000000" w:fill="FFFF00"/>
            <w:vAlign w:val="center"/>
            <w:hideMark/>
          </w:tcPr>
          <w:p w14:paraId="7D233757" w14:textId="77777777" w:rsidR="005E671C" w:rsidRPr="005E671C" w:rsidRDefault="005E671C" w:rsidP="005E671C">
            <w:pPr>
              <w:spacing w:after="0" w:line="240" w:lineRule="auto"/>
              <w:jc w:val="center"/>
              <w:rPr>
                <w:rFonts w:ascii="Calibri" w:eastAsia="Times New Roman" w:hAnsi="Calibri" w:cs="Calibri"/>
                <w:lang w:eastAsia="hr-HR"/>
              </w:rPr>
            </w:pPr>
            <w:r w:rsidRPr="005E671C">
              <w:rPr>
                <w:rFonts w:ascii="Calibri" w:eastAsia="Times New Roman" w:hAnsi="Calibri" w:cs="Calibri"/>
                <w:lang w:eastAsia="hr-HR"/>
              </w:rPr>
              <w:t>40</w:t>
            </w:r>
          </w:p>
        </w:tc>
        <w:tc>
          <w:tcPr>
            <w:tcW w:w="655" w:type="dxa"/>
            <w:tcBorders>
              <w:top w:val="nil"/>
              <w:left w:val="nil"/>
              <w:bottom w:val="single" w:sz="8" w:space="0" w:color="auto"/>
              <w:right w:val="single" w:sz="4" w:space="0" w:color="auto"/>
            </w:tcBorders>
            <w:shd w:val="clear" w:color="000000" w:fill="FFFF00"/>
            <w:vAlign w:val="center"/>
            <w:hideMark/>
          </w:tcPr>
          <w:p w14:paraId="4B0F003D" w14:textId="77777777" w:rsidR="005E671C" w:rsidRPr="005E671C" w:rsidRDefault="005E671C" w:rsidP="005E671C">
            <w:pPr>
              <w:spacing w:after="0" w:line="240" w:lineRule="auto"/>
              <w:jc w:val="center"/>
              <w:rPr>
                <w:rFonts w:ascii="Calibri" w:eastAsia="Times New Roman" w:hAnsi="Calibri" w:cs="Calibri"/>
                <w:lang w:eastAsia="hr-HR"/>
              </w:rPr>
            </w:pPr>
            <w:r w:rsidRPr="005E671C">
              <w:rPr>
                <w:rFonts w:ascii="Calibri" w:eastAsia="Times New Roman" w:hAnsi="Calibri" w:cs="Calibri"/>
                <w:lang w:eastAsia="hr-HR"/>
              </w:rPr>
              <w:t>29</w:t>
            </w:r>
          </w:p>
        </w:tc>
        <w:tc>
          <w:tcPr>
            <w:tcW w:w="645" w:type="dxa"/>
            <w:tcBorders>
              <w:top w:val="nil"/>
              <w:left w:val="nil"/>
              <w:bottom w:val="single" w:sz="8" w:space="0" w:color="auto"/>
              <w:right w:val="single" w:sz="4" w:space="0" w:color="auto"/>
            </w:tcBorders>
            <w:shd w:val="clear" w:color="000000" w:fill="FFFF00"/>
            <w:vAlign w:val="center"/>
            <w:hideMark/>
          </w:tcPr>
          <w:p w14:paraId="1988F2EA" w14:textId="77777777" w:rsidR="005E671C" w:rsidRPr="005E671C" w:rsidRDefault="005E671C" w:rsidP="005E671C">
            <w:pPr>
              <w:spacing w:after="0" w:line="240" w:lineRule="auto"/>
              <w:jc w:val="center"/>
              <w:rPr>
                <w:rFonts w:ascii="Calibri" w:eastAsia="Times New Roman" w:hAnsi="Calibri" w:cs="Calibri"/>
                <w:lang w:eastAsia="hr-HR"/>
              </w:rPr>
            </w:pPr>
            <w:r w:rsidRPr="005E671C">
              <w:rPr>
                <w:rFonts w:ascii="Calibri" w:eastAsia="Times New Roman" w:hAnsi="Calibri" w:cs="Calibri"/>
                <w:lang w:eastAsia="hr-HR"/>
              </w:rPr>
              <w:t>1</w:t>
            </w:r>
          </w:p>
        </w:tc>
        <w:tc>
          <w:tcPr>
            <w:tcW w:w="699" w:type="dxa"/>
            <w:tcBorders>
              <w:top w:val="nil"/>
              <w:left w:val="nil"/>
              <w:bottom w:val="single" w:sz="8" w:space="0" w:color="auto"/>
              <w:right w:val="single" w:sz="4" w:space="0" w:color="auto"/>
            </w:tcBorders>
            <w:shd w:val="clear" w:color="000000" w:fill="FFFF00"/>
            <w:vAlign w:val="center"/>
            <w:hideMark/>
          </w:tcPr>
          <w:p w14:paraId="35DBAAD0" w14:textId="77777777" w:rsidR="005E671C" w:rsidRPr="005E671C" w:rsidRDefault="005E671C" w:rsidP="005E671C">
            <w:pPr>
              <w:spacing w:after="0" w:line="240" w:lineRule="auto"/>
              <w:jc w:val="center"/>
              <w:rPr>
                <w:rFonts w:ascii="Calibri" w:eastAsia="Times New Roman" w:hAnsi="Calibri" w:cs="Calibri"/>
                <w:lang w:eastAsia="hr-HR"/>
              </w:rPr>
            </w:pPr>
            <w:r w:rsidRPr="005E671C">
              <w:rPr>
                <w:rFonts w:ascii="Calibri" w:eastAsia="Times New Roman" w:hAnsi="Calibri" w:cs="Calibri"/>
                <w:lang w:eastAsia="hr-HR"/>
              </w:rPr>
              <w:t>61</w:t>
            </w:r>
          </w:p>
        </w:tc>
        <w:tc>
          <w:tcPr>
            <w:tcW w:w="700" w:type="dxa"/>
            <w:tcBorders>
              <w:top w:val="nil"/>
              <w:left w:val="nil"/>
              <w:bottom w:val="single" w:sz="8" w:space="0" w:color="auto"/>
              <w:right w:val="single" w:sz="8" w:space="0" w:color="auto"/>
            </w:tcBorders>
            <w:shd w:val="clear" w:color="000000" w:fill="FFFF00"/>
            <w:vAlign w:val="center"/>
            <w:hideMark/>
          </w:tcPr>
          <w:p w14:paraId="4734C30E" w14:textId="77777777" w:rsidR="005E671C" w:rsidRPr="005E671C" w:rsidRDefault="005E671C" w:rsidP="005E671C">
            <w:pPr>
              <w:spacing w:after="0" w:line="240" w:lineRule="auto"/>
              <w:jc w:val="center"/>
              <w:rPr>
                <w:rFonts w:ascii="Calibri" w:eastAsia="Times New Roman" w:hAnsi="Calibri" w:cs="Calibri"/>
                <w:lang w:eastAsia="hr-HR"/>
              </w:rPr>
            </w:pPr>
            <w:r w:rsidRPr="005E671C">
              <w:rPr>
                <w:rFonts w:ascii="Calibri" w:eastAsia="Times New Roman" w:hAnsi="Calibri" w:cs="Calibri"/>
                <w:lang w:eastAsia="hr-HR"/>
              </w:rPr>
              <w:t>20</w:t>
            </w:r>
          </w:p>
        </w:tc>
        <w:tc>
          <w:tcPr>
            <w:tcW w:w="239" w:type="dxa"/>
            <w:gridSpan w:val="2"/>
            <w:vAlign w:val="center"/>
            <w:hideMark/>
          </w:tcPr>
          <w:p w14:paraId="4E2BD397" w14:textId="77777777" w:rsidR="005E671C" w:rsidRPr="005E671C" w:rsidRDefault="005E671C" w:rsidP="005E671C">
            <w:pPr>
              <w:spacing w:after="0" w:line="240" w:lineRule="auto"/>
              <w:rPr>
                <w:rFonts w:ascii="Times New Roman" w:eastAsia="Times New Roman" w:hAnsi="Times New Roman" w:cs="Times New Roman"/>
                <w:sz w:val="20"/>
                <w:szCs w:val="20"/>
                <w:lang w:eastAsia="hr-HR"/>
              </w:rPr>
            </w:pPr>
          </w:p>
        </w:tc>
      </w:tr>
    </w:tbl>
    <w:p w14:paraId="50F0EC37" w14:textId="04831DEE" w:rsidR="005E671C" w:rsidRDefault="005E671C"/>
    <w:p w14:paraId="351FEE21" w14:textId="70D7C4D0" w:rsidR="005E671C" w:rsidRPr="005E671C" w:rsidRDefault="005E671C">
      <w:pPr>
        <w:rPr>
          <w:rFonts w:ascii="Times New Roman" w:hAnsi="Times New Roman" w:cs="Times New Roman"/>
          <w:sz w:val="24"/>
          <w:szCs w:val="24"/>
        </w:rPr>
      </w:pPr>
      <w:r w:rsidRPr="005E671C">
        <w:rPr>
          <w:rFonts w:ascii="Times New Roman" w:hAnsi="Times New Roman" w:cs="Times New Roman"/>
          <w:sz w:val="24"/>
          <w:szCs w:val="24"/>
        </w:rPr>
        <w:t>NAPOMENE:</w:t>
      </w:r>
    </w:p>
    <w:p w14:paraId="147F3BA0" w14:textId="3E3BADF4" w:rsidR="005E671C" w:rsidRPr="005E671C" w:rsidRDefault="005E671C" w:rsidP="00FB05F1">
      <w:pPr>
        <w:pStyle w:val="Odlomakpopisa"/>
        <w:numPr>
          <w:ilvl w:val="0"/>
          <w:numId w:val="10"/>
        </w:numPr>
        <w:rPr>
          <w:rFonts w:ascii="Times New Roman" w:hAnsi="Times New Roman" w:cs="Times New Roman"/>
          <w:sz w:val="24"/>
          <w:szCs w:val="24"/>
        </w:rPr>
      </w:pPr>
      <w:r w:rsidRPr="005E671C">
        <w:rPr>
          <w:rFonts w:ascii="Times New Roman" w:hAnsi="Times New Roman" w:cs="Times New Roman"/>
          <w:sz w:val="24"/>
          <w:szCs w:val="24"/>
        </w:rPr>
        <w:t>PS Bjelovar je javio da su neki predmeti koji su bili prikazivani u ranijim razdobljima (predmeti od PS Beli Manastir) prikazivani kao diskriminacija, međutim zapravo se radi o podacima vezanim za ZZNO</w:t>
      </w:r>
    </w:p>
    <w:p w14:paraId="1BB307B7" w14:textId="43EF22C4" w:rsidR="005E671C" w:rsidRPr="005E671C" w:rsidRDefault="005E671C" w:rsidP="00FB05F1">
      <w:pPr>
        <w:pStyle w:val="Odlomakpopisa"/>
        <w:numPr>
          <w:ilvl w:val="0"/>
          <w:numId w:val="10"/>
        </w:numPr>
        <w:rPr>
          <w:rFonts w:ascii="Times New Roman" w:hAnsi="Times New Roman" w:cs="Times New Roman"/>
          <w:sz w:val="24"/>
          <w:szCs w:val="24"/>
        </w:rPr>
      </w:pPr>
      <w:r w:rsidRPr="005E671C">
        <w:rPr>
          <w:rFonts w:ascii="Times New Roman" w:hAnsi="Times New Roman" w:cs="Times New Roman"/>
          <w:sz w:val="24"/>
          <w:szCs w:val="24"/>
        </w:rPr>
        <w:t>PS Vukovar kod nekih primljenih predmeta nije iskazao broj diskriminiranih osoba prema prekršajnoj prijavi iz razloga što nisu mogli odrediti o kojem broju i spolu je točno riječ jer se radi o skupini ljudi</w:t>
      </w:r>
    </w:p>
    <w:p w14:paraId="30EBB50E" w14:textId="74528AA0" w:rsidR="005E671C" w:rsidRPr="005E671C" w:rsidRDefault="005E671C" w:rsidP="00FB05F1">
      <w:pPr>
        <w:pStyle w:val="Odlomakpopisa"/>
        <w:numPr>
          <w:ilvl w:val="0"/>
          <w:numId w:val="10"/>
        </w:numPr>
        <w:rPr>
          <w:rFonts w:ascii="Times New Roman" w:hAnsi="Times New Roman" w:cs="Times New Roman"/>
          <w:sz w:val="24"/>
          <w:szCs w:val="24"/>
        </w:rPr>
      </w:pPr>
      <w:r w:rsidRPr="005E671C">
        <w:rPr>
          <w:rFonts w:ascii="Times New Roman" w:hAnsi="Times New Roman" w:cs="Times New Roman"/>
          <w:sz w:val="24"/>
          <w:szCs w:val="24"/>
        </w:rPr>
        <w:t>PS Split za jedan primljeni predmet nije prikazao parametre koji se odnose na primljene predmete u izvještajnom razdoblju</w:t>
      </w:r>
    </w:p>
    <w:p w14:paraId="7BF29EA2" w14:textId="208BE2A1" w:rsidR="005E671C" w:rsidRPr="005E671C" w:rsidRDefault="005E671C" w:rsidP="00FB05F1">
      <w:pPr>
        <w:pStyle w:val="Odlomakpopisa"/>
        <w:numPr>
          <w:ilvl w:val="0"/>
          <w:numId w:val="10"/>
        </w:numPr>
        <w:rPr>
          <w:rFonts w:ascii="Times New Roman" w:hAnsi="Times New Roman" w:cs="Times New Roman"/>
          <w:sz w:val="24"/>
          <w:szCs w:val="24"/>
        </w:rPr>
      </w:pPr>
      <w:r w:rsidRPr="005E671C">
        <w:rPr>
          <w:rFonts w:ascii="Times New Roman" w:hAnsi="Times New Roman" w:cs="Times New Roman"/>
          <w:sz w:val="24"/>
          <w:szCs w:val="24"/>
        </w:rPr>
        <w:t>Za pojedine predmete koji su se u ranijim razdobljima iskazivali kao diskriminacija naknadno je utvrđeno da se ne radi o diskriminaciji te se zato stanje na početku 2015. godine ne poklapa sa stanjem na kraju 2014. godine</w:t>
      </w:r>
    </w:p>
    <w:p w14:paraId="761D2028" w14:textId="538B643B" w:rsidR="005E671C" w:rsidRDefault="005E671C">
      <w:pPr>
        <w:rPr>
          <w:rFonts w:ascii="Times New Roman" w:hAnsi="Times New Roman" w:cs="Times New Roman"/>
          <w:sz w:val="24"/>
          <w:szCs w:val="24"/>
        </w:rPr>
      </w:pPr>
      <w:r>
        <w:rPr>
          <w:rFonts w:ascii="Times New Roman" w:hAnsi="Times New Roman" w:cs="Times New Roman"/>
          <w:sz w:val="24"/>
          <w:szCs w:val="24"/>
        </w:rPr>
        <w:br w:type="page"/>
      </w:r>
    </w:p>
    <w:p w14:paraId="3C2EA64C" w14:textId="54B2690D" w:rsidR="005E671C" w:rsidRPr="005E671C" w:rsidRDefault="005E671C">
      <w:pPr>
        <w:rPr>
          <w:rFonts w:ascii="Times New Roman" w:hAnsi="Times New Roman" w:cs="Times New Roman"/>
          <w:sz w:val="24"/>
          <w:szCs w:val="24"/>
        </w:rPr>
      </w:pPr>
      <w:r w:rsidRPr="005E671C">
        <w:rPr>
          <w:rFonts w:ascii="Times New Roman" w:hAnsi="Times New Roman" w:cs="Times New Roman"/>
          <w:sz w:val="24"/>
          <w:szCs w:val="24"/>
        </w:rPr>
        <w:lastRenderedPageBreak/>
        <w:t>OPĆINSKI SUDOVI (GRAĐANSKI PREDMETI) - UKUPNO 2015. godina</w:t>
      </w:r>
    </w:p>
    <w:tbl>
      <w:tblPr>
        <w:tblW w:w="14595" w:type="dxa"/>
        <w:tblLayout w:type="fixed"/>
        <w:tblLook w:val="04A0" w:firstRow="1" w:lastRow="0" w:firstColumn="1" w:lastColumn="0" w:noHBand="0" w:noVBand="1"/>
      </w:tblPr>
      <w:tblGrid>
        <w:gridCol w:w="1550"/>
        <w:gridCol w:w="669"/>
        <w:gridCol w:w="352"/>
        <w:gridCol w:w="574"/>
        <w:gridCol w:w="440"/>
        <w:gridCol w:w="700"/>
        <w:gridCol w:w="698"/>
        <w:gridCol w:w="698"/>
        <w:gridCol w:w="698"/>
        <w:gridCol w:w="698"/>
        <w:gridCol w:w="698"/>
        <w:gridCol w:w="493"/>
        <w:gridCol w:w="469"/>
        <w:gridCol w:w="467"/>
        <w:gridCol w:w="567"/>
        <w:gridCol w:w="542"/>
        <w:gridCol w:w="441"/>
        <w:gridCol w:w="426"/>
        <w:gridCol w:w="854"/>
        <w:gridCol w:w="440"/>
        <w:gridCol w:w="408"/>
        <w:gridCol w:w="433"/>
        <w:gridCol w:w="425"/>
        <w:gridCol w:w="567"/>
        <w:gridCol w:w="51"/>
        <w:gridCol w:w="186"/>
        <w:gridCol w:w="51"/>
      </w:tblGrid>
      <w:tr w:rsidR="005E671C" w:rsidRPr="005E671C" w14:paraId="65B8DB47" w14:textId="77777777" w:rsidTr="001752B7">
        <w:trPr>
          <w:gridAfter w:val="2"/>
          <w:wAfter w:w="237" w:type="dxa"/>
          <w:trHeight w:val="450"/>
        </w:trPr>
        <w:tc>
          <w:tcPr>
            <w:tcW w:w="1550" w:type="dxa"/>
            <w:vMerge w:val="restart"/>
            <w:tcBorders>
              <w:top w:val="single" w:sz="8" w:space="0" w:color="auto"/>
              <w:left w:val="single" w:sz="8" w:space="0" w:color="auto"/>
              <w:bottom w:val="single" w:sz="4" w:space="0" w:color="auto"/>
              <w:right w:val="single" w:sz="4" w:space="0" w:color="auto"/>
            </w:tcBorders>
            <w:shd w:val="clear" w:color="000000" w:fill="CCFFCC"/>
            <w:vAlign w:val="center"/>
            <w:hideMark/>
          </w:tcPr>
          <w:p w14:paraId="2FB356B4" w14:textId="77777777" w:rsidR="005E671C" w:rsidRPr="001752B7" w:rsidRDefault="005E671C" w:rsidP="005E671C">
            <w:pPr>
              <w:spacing w:after="0" w:line="240" w:lineRule="auto"/>
              <w:ind w:right="496"/>
              <w:jc w:val="center"/>
              <w:rPr>
                <w:rFonts w:ascii="Tahoma" w:eastAsia="Times New Roman" w:hAnsi="Tahoma" w:cs="Tahoma"/>
                <w:sz w:val="18"/>
                <w:szCs w:val="18"/>
                <w:lang w:eastAsia="hr-HR"/>
              </w:rPr>
            </w:pPr>
            <w:r w:rsidRPr="001752B7">
              <w:rPr>
                <w:rFonts w:ascii="Tahoma" w:eastAsia="Times New Roman" w:hAnsi="Tahoma" w:cs="Tahoma"/>
                <w:sz w:val="18"/>
                <w:szCs w:val="18"/>
                <w:lang w:eastAsia="hr-HR"/>
              </w:rPr>
              <w:t>OSNOVE DISKRIMINACIJE (čl. 1. Zakona o suzbijanju diskriminacije)</w:t>
            </w:r>
          </w:p>
        </w:tc>
        <w:tc>
          <w:tcPr>
            <w:tcW w:w="12808" w:type="dxa"/>
            <w:gridSpan w:val="24"/>
            <w:vMerge w:val="restart"/>
            <w:tcBorders>
              <w:top w:val="single" w:sz="8" w:space="0" w:color="auto"/>
              <w:left w:val="single" w:sz="4" w:space="0" w:color="auto"/>
              <w:bottom w:val="single" w:sz="4" w:space="0" w:color="000000"/>
              <w:right w:val="single" w:sz="8" w:space="0" w:color="000000"/>
            </w:tcBorders>
            <w:shd w:val="clear" w:color="000000" w:fill="CCFFCC"/>
            <w:noWrap/>
            <w:vAlign w:val="center"/>
            <w:hideMark/>
          </w:tcPr>
          <w:p w14:paraId="0E120E3C" w14:textId="77777777" w:rsidR="005E671C" w:rsidRPr="001752B7" w:rsidRDefault="005E671C" w:rsidP="005E671C">
            <w:pPr>
              <w:spacing w:after="0" w:line="240" w:lineRule="auto"/>
              <w:jc w:val="center"/>
              <w:rPr>
                <w:rFonts w:ascii="Tahoma" w:eastAsia="Times New Roman" w:hAnsi="Tahoma" w:cs="Tahoma"/>
                <w:b/>
                <w:bCs/>
                <w:sz w:val="18"/>
                <w:szCs w:val="18"/>
                <w:lang w:eastAsia="hr-HR"/>
              </w:rPr>
            </w:pPr>
            <w:r w:rsidRPr="001752B7">
              <w:rPr>
                <w:rFonts w:ascii="Tahoma" w:eastAsia="Times New Roman" w:hAnsi="Tahoma" w:cs="Tahoma"/>
                <w:b/>
                <w:bCs/>
                <w:sz w:val="18"/>
                <w:szCs w:val="18"/>
                <w:lang w:eastAsia="hr-HR"/>
              </w:rPr>
              <w:t>G R A Đ A N S K I  P R E D M E T I</w:t>
            </w:r>
          </w:p>
        </w:tc>
      </w:tr>
      <w:tr w:rsidR="005E671C" w:rsidRPr="005E671C" w14:paraId="09DCC85F" w14:textId="77777777" w:rsidTr="001752B7">
        <w:trPr>
          <w:trHeight w:val="300"/>
        </w:trPr>
        <w:tc>
          <w:tcPr>
            <w:tcW w:w="1550" w:type="dxa"/>
            <w:vMerge/>
            <w:tcBorders>
              <w:top w:val="single" w:sz="8" w:space="0" w:color="auto"/>
              <w:left w:val="single" w:sz="8" w:space="0" w:color="auto"/>
              <w:bottom w:val="single" w:sz="4" w:space="0" w:color="auto"/>
              <w:right w:val="single" w:sz="4" w:space="0" w:color="auto"/>
            </w:tcBorders>
            <w:vAlign w:val="center"/>
            <w:hideMark/>
          </w:tcPr>
          <w:p w14:paraId="7FC11791" w14:textId="77777777" w:rsidR="005E671C" w:rsidRPr="001752B7" w:rsidRDefault="005E671C" w:rsidP="005E671C">
            <w:pPr>
              <w:spacing w:after="0" w:line="240" w:lineRule="auto"/>
              <w:rPr>
                <w:rFonts w:ascii="Tahoma" w:eastAsia="Times New Roman" w:hAnsi="Tahoma" w:cs="Tahoma"/>
                <w:sz w:val="18"/>
                <w:szCs w:val="18"/>
                <w:lang w:eastAsia="hr-HR"/>
              </w:rPr>
            </w:pPr>
          </w:p>
        </w:tc>
        <w:tc>
          <w:tcPr>
            <w:tcW w:w="12808" w:type="dxa"/>
            <w:gridSpan w:val="24"/>
            <w:vMerge/>
            <w:tcBorders>
              <w:top w:val="single" w:sz="8" w:space="0" w:color="auto"/>
              <w:left w:val="single" w:sz="4" w:space="0" w:color="auto"/>
              <w:bottom w:val="single" w:sz="4" w:space="0" w:color="000000"/>
              <w:right w:val="single" w:sz="8" w:space="0" w:color="000000"/>
            </w:tcBorders>
            <w:vAlign w:val="center"/>
            <w:hideMark/>
          </w:tcPr>
          <w:p w14:paraId="2DB221A5" w14:textId="77777777" w:rsidR="005E671C" w:rsidRPr="001752B7" w:rsidRDefault="005E671C" w:rsidP="005E671C">
            <w:pPr>
              <w:spacing w:after="0" w:line="240" w:lineRule="auto"/>
              <w:rPr>
                <w:rFonts w:ascii="Tahoma" w:eastAsia="Times New Roman" w:hAnsi="Tahoma" w:cs="Tahoma"/>
                <w:b/>
                <w:bCs/>
                <w:sz w:val="18"/>
                <w:szCs w:val="18"/>
                <w:lang w:eastAsia="hr-HR"/>
              </w:rPr>
            </w:pPr>
          </w:p>
        </w:tc>
        <w:tc>
          <w:tcPr>
            <w:tcW w:w="237" w:type="dxa"/>
            <w:gridSpan w:val="2"/>
            <w:tcBorders>
              <w:top w:val="nil"/>
              <w:left w:val="nil"/>
              <w:bottom w:val="nil"/>
              <w:right w:val="nil"/>
            </w:tcBorders>
            <w:shd w:val="clear" w:color="auto" w:fill="auto"/>
            <w:noWrap/>
            <w:vAlign w:val="bottom"/>
            <w:hideMark/>
          </w:tcPr>
          <w:p w14:paraId="25C1761C" w14:textId="77777777" w:rsidR="005E671C" w:rsidRPr="005E671C" w:rsidRDefault="005E671C" w:rsidP="005E671C">
            <w:pPr>
              <w:spacing w:after="0" w:line="240" w:lineRule="auto"/>
              <w:jc w:val="center"/>
              <w:rPr>
                <w:rFonts w:ascii="Tahoma" w:eastAsia="Times New Roman" w:hAnsi="Tahoma" w:cs="Tahoma"/>
                <w:b/>
                <w:bCs/>
                <w:sz w:val="20"/>
                <w:szCs w:val="20"/>
                <w:lang w:eastAsia="hr-HR"/>
              </w:rPr>
            </w:pPr>
          </w:p>
        </w:tc>
      </w:tr>
      <w:tr w:rsidR="005E671C" w:rsidRPr="005E671C" w14:paraId="79F404EA" w14:textId="77777777" w:rsidTr="001752B7">
        <w:trPr>
          <w:gridAfter w:val="1"/>
          <w:wAfter w:w="51" w:type="dxa"/>
          <w:trHeight w:val="1155"/>
        </w:trPr>
        <w:tc>
          <w:tcPr>
            <w:tcW w:w="1550" w:type="dxa"/>
            <w:vMerge/>
            <w:tcBorders>
              <w:top w:val="single" w:sz="8" w:space="0" w:color="auto"/>
              <w:left w:val="single" w:sz="8" w:space="0" w:color="auto"/>
              <w:bottom w:val="single" w:sz="4" w:space="0" w:color="auto"/>
              <w:right w:val="single" w:sz="4" w:space="0" w:color="auto"/>
            </w:tcBorders>
            <w:vAlign w:val="center"/>
            <w:hideMark/>
          </w:tcPr>
          <w:p w14:paraId="75FFA0D3" w14:textId="77777777" w:rsidR="005E671C" w:rsidRPr="001752B7" w:rsidRDefault="005E671C" w:rsidP="005E671C">
            <w:pPr>
              <w:spacing w:after="0" w:line="240" w:lineRule="auto"/>
              <w:rPr>
                <w:rFonts w:ascii="Tahoma" w:eastAsia="Times New Roman" w:hAnsi="Tahoma" w:cs="Tahoma"/>
                <w:sz w:val="18"/>
                <w:szCs w:val="18"/>
                <w:lang w:eastAsia="hr-HR"/>
              </w:rPr>
            </w:pPr>
          </w:p>
        </w:tc>
        <w:tc>
          <w:tcPr>
            <w:tcW w:w="669" w:type="dxa"/>
            <w:vMerge w:val="restart"/>
            <w:tcBorders>
              <w:top w:val="nil"/>
              <w:left w:val="single" w:sz="4" w:space="0" w:color="auto"/>
              <w:bottom w:val="single" w:sz="4" w:space="0" w:color="auto"/>
              <w:right w:val="single" w:sz="4" w:space="0" w:color="auto"/>
            </w:tcBorders>
            <w:shd w:val="clear" w:color="000000" w:fill="CCFFCC"/>
            <w:textDirection w:val="btLr"/>
            <w:vAlign w:val="center"/>
            <w:hideMark/>
          </w:tcPr>
          <w:p w14:paraId="6AC9C752" w14:textId="77777777" w:rsidR="005E671C" w:rsidRPr="001752B7" w:rsidRDefault="005E671C" w:rsidP="005E671C">
            <w:pPr>
              <w:spacing w:after="0" w:line="240" w:lineRule="auto"/>
              <w:jc w:val="center"/>
              <w:rPr>
                <w:rFonts w:ascii="Tahoma" w:eastAsia="Times New Roman" w:hAnsi="Tahoma" w:cs="Tahoma"/>
                <w:b/>
                <w:bCs/>
                <w:sz w:val="18"/>
                <w:szCs w:val="18"/>
                <w:lang w:eastAsia="hr-HR"/>
              </w:rPr>
            </w:pPr>
            <w:r w:rsidRPr="001752B7">
              <w:rPr>
                <w:rFonts w:ascii="Tahoma" w:eastAsia="Times New Roman" w:hAnsi="Tahoma" w:cs="Tahoma"/>
                <w:b/>
                <w:bCs/>
                <w:sz w:val="18"/>
                <w:szCs w:val="18"/>
                <w:lang w:eastAsia="hr-HR"/>
              </w:rPr>
              <w:t xml:space="preserve">Broj </w:t>
            </w:r>
            <w:proofErr w:type="spellStart"/>
            <w:r w:rsidRPr="001752B7">
              <w:rPr>
                <w:rFonts w:ascii="Tahoma" w:eastAsia="Times New Roman" w:hAnsi="Tahoma" w:cs="Tahoma"/>
                <w:b/>
                <w:bCs/>
                <w:sz w:val="18"/>
                <w:szCs w:val="18"/>
                <w:lang w:eastAsia="hr-HR"/>
              </w:rPr>
              <w:t>nerješenih</w:t>
            </w:r>
            <w:proofErr w:type="spellEnd"/>
            <w:r w:rsidRPr="001752B7">
              <w:rPr>
                <w:rFonts w:ascii="Tahoma" w:eastAsia="Times New Roman" w:hAnsi="Tahoma" w:cs="Tahoma"/>
                <w:b/>
                <w:bCs/>
                <w:sz w:val="18"/>
                <w:szCs w:val="18"/>
                <w:lang w:eastAsia="hr-HR"/>
              </w:rPr>
              <w:t xml:space="preserve"> predmeta na početku razdoblja</w:t>
            </w:r>
          </w:p>
        </w:tc>
        <w:tc>
          <w:tcPr>
            <w:tcW w:w="352" w:type="dxa"/>
            <w:vMerge w:val="restart"/>
            <w:tcBorders>
              <w:top w:val="nil"/>
              <w:left w:val="single" w:sz="4" w:space="0" w:color="auto"/>
              <w:bottom w:val="single" w:sz="4" w:space="0" w:color="000000"/>
              <w:right w:val="single" w:sz="4" w:space="0" w:color="000000"/>
            </w:tcBorders>
            <w:shd w:val="clear" w:color="000000" w:fill="CCFFCC"/>
            <w:textDirection w:val="btLr"/>
            <w:vAlign w:val="center"/>
            <w:hideMark/>
          </w:tcPr>
          <w:p w14:paraId="59F07A9E" w14:textId="77777777" w:rsidR="005E671C" w:rsidRPr="001752B7" w:rsidRDefault="005E671C" w:rsidP="005E671C">
            <w:pPr>
              <w:spacing w:after="0" w:line="240" w:lineRule="auto"/>
              <w:jc w:val="center"/>
              <w:rPr>
                <w:rFonts w:ascii="Tahoma" w:eastAsia="Times New Roman" w:hAnsi="Tahoma" w:cs="Tahoma"/>
                <w:b/>
                <w:bCs/>
                <w:sz w:val="18"/>
                <w:szCs w:val="18"/>
                <w:lang w:eastAsia="hr-HR"/>
              </w:rPr>
            </w:pPr>
            <w:r w:rsidRPr="001752B7">
              <w:rPr>
                <w:rFonts w:ascii="Tahoma" w:eastAsia="Times New Roman" w:hAnsi="Tahoma" w:cs="Tahoma"/>
                <w:b/>
                <w:bCs/>
                <w:sz w:val="18"/>
                <w:szCs w:val="18"/>
                <w:lang w:eastAsia="hr-HR"/>
              </w:rPr>
              <w:t xml:space="preserve">Broj primljenih predmeta </w:t>
            </w:r>
          </w:p>
        </w:tc>
        <w:tc>
          <w:tcPr>
            <w:tcW w:w="1014" w:type="dxa"/>
            <w:gridSpan w:val="2"/>
            <w:tcBorders>
              <w:top w:val="single" w:sz="4" w:space="0" w:color="auto"/>
              <w:left w:val="nil"/>
              <w:bottom w:val="single" w:sz="4" w:space="0" w:color="auto"/>
              <w:right w:val="single" w:sz="4" w:space="0" w:color="000000"/>
            </w:tcBorders>
            <w:shd w:val="clear" w:color="000000" w:fill="CCFFCC"/>
            <w:vAlign w:val="center"/>
            <w:hideMark/>
          </w:tcPr>
          <w:p w14:paraId="799CD38A" w14:textId="77777777" w:rsidR="005E671C" w:rsidRPr="001752B7" w:rsidRDefault="005E671C" w:rsidP="005E671C">
            <w:pPr>
              <w:spacing w:after="0" w:line="240" w:lineRule="auto"/>
              <w:jc w:val="center"/>
              <w:rPr>
                <w:rFonts w:ascii="Tahoma" w:eastAsia="Times New Roman" w:hAnsi="Tahoma" w:cs="Tahoma"/>
                <w:sz w:val="18"/>
                <w:szCs w:val="18"/>
                <w:lang w:eastAsia="hr-HR"/>
              </w:rPr>
            </w:pPr>
            <w:r w:rsidRPr="001752B7">
              <w:rPr>
                <w:rFonts w:ascii="Tahoma" w:eastAsia="Times New Roman" w:hAnsi="Tahoma" w:cs="Tahoma"/>
                <w:sz w:val="18"/>
                <w:szCs w:val="18"/>
                <w:lang w:eastAsia="hr-HR"/>
              </w:rPr>
              <w:t>Broj diskriminiranih osoba prema tužbi</w:t>
            </w:r>
          </w:p>
        </w:tc>
        <w:tc>
          <w:tcPr>
            <w:tcW w:w="4190" w:type="dxa"/>
            <w:gridSpan w:val="6"/>
            <w:tcBorders>
              <w:top w:val="single" w:sz="4" w:space="0" w:color="auto"/>
              <w:left w:val="nil"/>
              <w:bottom w:val="single" w:sz="4" w:space="0" w:color="auto"/>
              <w:right w:val="single" w:sz="4" w:space="0" w:color="auto"/>
            </w:tcBorders>
            <w:shd w:val="clear" w:color="000000" w:fill="CCFFCC"/>
            <w:vAlign w:val="center"/>
            <w:hideMark/>
          </w:tcPr>
          <w:p w14:paraId="106C54AA" w14:textId="77777777" w:rsidR="005E671C" w:rsidRPr="001752B7" w:rsidRDefault="005E671C" w:rsidP="005E671C">
            <w:pPr>
              <w:spacing w:after="0" w:line="240" w:lineRule="auto"/>
              <w:jc w:val="center"/>
              <w:rPr>
                <w:rFonts w:ascii="Tahoma" w:eastAsia="Times New Roman" w:hAnsi="Tahoma" w:cs="Tahoma"/>
                <w:b/>
                <w:bCs/>
                <w:sz w:val="18"/>
                <w:szCs w:val="18"/>
                <w:lang w:eastAsia="hr-HR"/>
              </w:rPr>
            </w:pPr>
            <w:r w:rsidRPr="001752B7">
              <w:rPr>
                <w:rFonts w:ascii="Tahoma" w:eastAsia="Times New Roman" w:hAnsi="Tahoma" w:cs="Tahoma"/>
                <w:b/>
                <w:bCs/>
                <w:sz w:val="18"/>
                <w:szCs w:val="18"/>
                <w:lang w:eastAsia="hr-HR"/>
              </w:rPr>
              <w:t>VRSTA TUŽBE</w:t>
            </w:r>
          </w:p>
        </w:tc>
        <w:tc>
          <w:tcPr>
            <w:tcW w:w="1996" w:type="dxa"/>
            <w:gridSpan w:val="4"/>
            <w:tcBorders>
              <w:top w:val="single" w:sz="4" w:space="0" w:color="auto"/>
              <w:left w:val="nil"/>
              <w:bottom w:val="single" w:sz="4" w:space="0" w:color="auto"/>
              <w:right w:val="single" w:sz="4" w:space="0" w:color="auto"/>
            </w:tcBorders>
            <w:shd w:val="clear" w:color="000000" w:fill="CCFFCC"/>
            <w:vAlign w:val="center"/>
            <w:hideMark/>
          </w:tcPr>
          <w:p w14:paraId="26F8B73B" w14:textId="77777777" w:rsidR="005E671C" w:rsidRPr="001752B7" w:rsidRDefault="005E671C" w:rsidP="005E671C">
            <w:pPr>
              <w:spacing w:after="0" w:line="240" w:lineRule="auto"/>
              <w:jc w:val="center"/>
              <w:rPr>
                <w:rFonts w:ascii="Tahoma" w:eastAsia="Times New Roman" w:hAnsi="Tahoma" w:cs="Tahoma"/>
                <w:b/>
                <w:bCs/>
                <w:sz w:val="18"/>
                <w:szCs w:val="18"/>
                <w:lang w:eastAsia="hr-HR"/>
              </w:rPr>
            </w:pPr>
            <w:r w:rsidRPr="001752B7">
              <w:rPr>
                <w:rFonts w:ascii="Tahoma" w:eastAsia="Times New Roman" w:hAnsi="Tahoma" w:cs="Tahoma"/>
                <w:b/>
                <w:bCs/>
                <w:sz w:val="18"/>
                <w:szCs w:val="18"/>
                <w:lang w:eastAsia="hr-HR"/>
              </w:rPr>
              <w:t>PRAVOMOĆNO RIJEŠENO</w:t>
            </w:r>
          </w:p>
        </w:tc>
        <w:tc>
          <w:tcPr>
            <w:tcW w:w="542" w:type="dxa"/>
            <w:tcBorders>
              <w:top w:val="nil"/>
              <w:left w:val="single" w:sz="4" w:space="0" w:color="auto"/>
              <w:bottom w:val="single" w:sz="4" w:space="0" w:color="000000"/>
              <w:right w:val="single" w:sz="4" w:space="0" w:color="auto"/>
            </w:tcBorders>
            <w:shd w:val="clear" w:color="000000" w:fill="CCFFCC"/>
            <w:textDirection w:val="btLr"/>
            <w:vAlign w:val="center"/>
            <w:hideMark/>
          </w:tcPr>
          <w:p w14:paraId="2E9A1220" w14:textId="77777777" w:rsidR="005E671C" w:rsidRPr="001752B7" w:rsidRDefault="005E671C" w:rsidP="005E671C">
            <w:pPr>
              <w:spacing w:after="0" w:line="240" w:lineRule="auto"/>
              <w:jc w:val="center"/>
              <w:rPr>
                <w:rFonts w:ascii="Tahoma" w:eastAsia="Times New Roman" w:hAnsi="Tahoma" w:cs="Tahoma"/>
                <w:b/>
                <w:bCs/>
                <w:sz w:val="18"/>
                <w:szCs w:val="18"/>
                <w:lang w:eastAsia="hr-HR"/>
              </w:rPr>
            </w:pPr>
            <w:r w:rsidRPr="001752B7">
              <w:rPr>
                <w:rFonts w:ascii="Tahoma" w:eastAsia="Times New Roman" w:hAnsi="Tahoma" w:cs="Tahoma"/>
                <w:b/>
                <w:bCs/>
                <w:sz w:val="18"/>
                <w:szCs w:val="18"/>
                <w:lang w:eastAsia="hr-HR"/>
              </w:rPr>
              <w:t xml:space="preserve">Broj </w:t>
            </w:r>
            <w:proofErr w:type="spellStart"/>
            <w:r w:rsidRPr="001752B7">
              <w:rPr>
                <w:rFonts w:ascii="Tahoma" w:eastAsia="Times New Roman" w:hAnsi="Tahoma" w:cs="Tahoma"/>
                <w:b/>
                <w:bCs/>
                <w:sz w:val="18"/>
                <w:szCs w:val="18"/>
                <w:lang w:eastAsia="hr-HR"/>
              </w:rPr>
              <w:t>nerješenih</w:t>
            </w:r>
            <w:proofErr w:type="spellEnd"/>
            <w:r w:rsidRPr="001752B7">
              <w:rPr>
                <w:rFonts w:ascii="Tahoma" w:eastAsia="Times New Roman" w:hAnsi="Tahoma" w:cs="Tahoma"/>
                <w:b/>
                <w:bCs/>
                <w:sz w:val="18"/>
                <w:szCs w:val="18"/>
                <w:lang w:eastAsia="hr-HR"/>
              </w:rPr>
              <w:t xml:space="preserve"> predmeta na kraju izvještajnog razdoblja</w:t>
            </w:r>
          </w:p>
        </w:tc>
        <w:tc>
          <w:tcPr>
            <w:tcW w:w="867" w:type="dxa"/>
            <w:gridSpan w:val="2"/>
            <w:tcBorders>
              <w:top w:val="single" w:sz="4" w:space="0" w:color="auto"/>
              <w:left w:val="nil"/>
              <w:bottom w:val="single" w:sz="4" w:space="0" w:color="auto"/>
              <w:right w:val="single" w:sz="4" w:space="0" w:color="000000"/>
            </w:tcBorders>
            <w:shd w:val="clear" w:color="000000" w:fill="FFCC00"/>
            <w:vAlign w:val="center"/>
            <w:hideMark/>
          </w:tcPr>
          <w:p w14:paraId="67B6183C" w14:textId="77777777" w:rsidR="005E671C" w:rsidRPr="001752B7" w:rsidRDefault="005E671C" w:rsidP="005E671C">
            <w:pPr>
              <w:spacing w:after="0" w:line="240" w:lineRule="auto"/>
              <w:rPr>
                <w:rFonts w:ascii="Tahoma" w:eastAsia="Times New Roman" w:hAnsi="Tahoma" w:cs="Tahoma"/>
                <w:sz w:val="18"/>
                <w:szCs w:val="18"/>
                <w:lang w:eastAsia="hr-HR"/>
              </w:rPr>
            </w:pPr>
            <w:r w:rsidRPr="001752B7">
              <w:rPr>
                <w:rFonts w:ascii="Tahoma" w:eastAsia="Times New Roman" w:hAnsi="Tahoma" w:cs="Tahoma"/>
                <w:sz w:val="18"/>
                <w:szCs w:val="18"/>
                <w:lang w:eastAsia="hr-HR"/>
              </w:rPr>
              <w:t xml:space="preserve">OBLIK DISKIMINACIJE </w:t>
            </w:r>
          </w:p>
        </w:tc>
        <w:tc>
          <w:tcPr>
            <w:tcW w:w="854" w:type="dxa"/>
            <w:tcBorders>
              <w:top w:val="nil"/>
              <w:left w:val="single" w:sz="4" w:space="0" w:color="auto"/>
              <w:bottom w:val="single" w:sz="4" w:space="0" w:color="auto"/>
              <w:right w:val="single" w:sz="4" w:space="0" w:color="000000"/>
            </w:tcBorders>
            <w:shd w:val="clear" w:color="000000" w:fill="FFCC00"/>
            <w:textDirection w:val="btLr"/>
            <w:vAlign w:val="center"/>
            <w:hideMark/>
          </w:tcPr>
          <w:p w14:paraId="4FCCA1FE" w14:textId="77777777" w:rsidR="005E671C" w:rsidRPr="001752B7" w:rsidRDefault="005E671C" w:rsidP="005E671C">
            <w:pPr>
              <w:spacing w:after="0" w:line="240" w:lineRule="auto"/>
              <w:jc w:val="center"/>
              <w:rPr>
                <w:rFonts w:ascii="Tahoma" w:eastAsia="Times New Roman" w:hAnsi="Tahoma" w:cs="Tahoma"/>
                <w:sz w:val="18"/>
                <w:szCs w:val="18"/>
                <w:lang w:eastAsia="hr-HR"/>
              </w:rPr>
            </w:pPr>
            <w:r w:rsidRPr="001752B7">
              <w:rPr>
                <w:rFonts w:ascii="Tahoma" w:eastAsia="Times New Roman" w:hAnsi="Tahoma" w:cs="Tahoma"/>
                <w:sz w:val="18"/>
                <w:szCs w:val="18"/>
                <w:lang w:eastAsia="hr-HR"/>
              </w:rPr>
              <w:t xml:space="preserve">PODRUČJE DISKRIMINACIJE (iz čl.8 ZSD) </w:t>
            </w:r>
          </w:p>
        </w:tc>
        <w:tc>
          <w:tcPr>
            <w:tcW w:w="1281" w:type="dxa"/>
            <w:gridSpan w:val="3"/>
            <w:tcBorders>
              <w:top w:val="single" w:sz="4" w:space="0" w:color="auto"/>
              <w:left w:val="nil"/>
              <w:bottom w:val="single" w:sz="4" w:space="0" w:color="auto"/>
              <w:right w:val="single" w:sz="4" w:space="0" w:color="000000"/>
            </w:tcBorders>
            <w:shd w:val="clear" w:color="000000" w:fill="CCFFCC"/>
            <w:vAlign w:val="center"/>
            <w:hideMark/>
          </w:tcPr>
          <w:p w14:paraId="786F7233" w14:textId="77777777" w:rsidR="005E671C" w:rsidRPr="001752B7" w:rsidRDefault="005E671C" w:rsidP="005E671C">
            <w:pPr>
              <w:spacing w:after="0" w:line="240" w:lineRule="auto"/>
              <w:jc w:val="center"/>
              <w:rPr>
                <w:rFonts w:ascii="Tahoma" w:eastAsia="Times New Roman" w:hAnsi="Tahoma" w:cs="Tahoma"/>
                <w:sz w:val="18"/>
                <w:szCs w:val="18"/>
                <w:lang w:eastAsia="hr-HR"/>
              </w:rPr>
            </w:pPr>
            <w:r w:rsidRPr="001752B7">
              <w:rPr>
                <w:rFonts w:ascii="Tahoma" w:eastAsia="Times New Roman" w:hAnsi="Tahoma" w:cs="Tahoma"/>
                <w:sz w:val="18"/>
                <w:szCs w:val="18"/>
                <w:lang w:eastAsia="hr-HR"/>
              </w:rPr>
              <w:t>Broj diskriminiranih osoba prema pravomoćnoj presudi</w:t>
            </w:r>
          </w:p>
        </w:tc>
        <w:tc>
          <w:tcPr>
            <w:tcW w:w="992" w:type="dxa"/>
            <w:gridSpan w:val="2"/>
            <w:tcBorders>
              <w:top w:val="single" w:sz="4" w:space="0" w:color="auto"/>
              <w:left w:val="nil"/>
              <w:bottom w:val="single" w:sz="4" w:space="0" w:color="auto"/>
              <w:right w:val="single" w:sz="8" w:space="0" w:color="000000"/>
            </w:tcBorders>
            <w:shd w:val="clear" w:color="000000" w:fill="CCFFCC"/>
            <w:vAlign w:val="center"/>
            <w:hideMark/>
          </w:tcPr>
          <w:p w14:paraId="667D0211" w14:textId="77777777" w:rsidR="005E671C" w:rsidRPr="001752B7" w:rsidRDefault="005E671C" w:rsidP="005E671C">
            <w:pPr>
              <w:spacing w:after="0" w:line="240" w:lineRule="auto"/>
              <w:jc w:val="center"/>
              <w:rPr>
                <w:rFonts w:ascii="Tahoma" w:eastAsia="Times New Roman" w:hAnsi="Tahoma" w:cs="Tahoma"/>
                <w:sz w:val="18"/>
                <w:szCs w:val="18"/>
                <w:lang w:eastAsia="hr-HR"/>
              </w:rPr>
            </w:pPr>
            <w:r w:rsidRPr="001752B7">
              <w:rPr>
                <w:rFonts w:ascii="Tahoma" w:eastAsia="Times New Roman" w:hAnsi="Tahoma" w:cs="Tahoma"/>
                <w:sz w:val="18"/>
                <w:szCs w:val="18"/>
                <w:lang w:eastAsia="hr-HR"/>
              </w:rPr>
              <w:t>TRAJANJE POSTUPKA</w:t>
            </w:r>
          </w:p>
        </w:tc>
        <w:tc>
          <w:tcPr>
            <w:tcW w:w="237" w:type="dxa"/>
            <w:gridSpan w:val="2"/>
            <w:vAlign w:val="center"/>
            <w:hideMark/>
          </w:tcPr>
          <w:p w14:paraId="64C5239C" w14:textId="77777777" w:rsidR="005E671C" w:rsidRPr="005E671C" w:rsidRDefault="005E671C" w:rsidP="005E671C">
            <w:pPr>
              <w:spacing w:after="0" w:line="240" w:lineRule="auto"/>
              <w:rPr>
                <w:rFonts w:ascii="Times New Roman" w:eastAsia="Times New Roman" w:hAnsi="Times New Roman" w:cs="Times New Roman"/>
                <w:sz w:val="20"/>
                <w:szCs w:val="20"/>
                <w:lang w:eastAsia="hr-HR"/>
              </w:rPr>
            </w:pPr>
          </w:p>
        </w:tc>
      </w:tr>
      <w:tr w:rsidR="005E671C" w:rsidRPr="005E671C" w14:paraId="5B9E0E07" w14:textId="77777777" w:rsidTr="001752B7">
        <w:trPr>
          <w:gridAfter w:val="1"/>
          <w:wAfter w:w="51" w:type="dxa"/>
          <w:trHeight w:val="3465"/>
        </w:trPr>
        <w:tc>
          <w:tcPr>
            <w:tcW w:w="1550" w:type="dxa"/>
            <w:vMerge/>
            <w:tcBorders>
              <w:top w:val="single" w:sz="8" w:space="0" w:color="auto"/>
              <w:left w:val="single" w:sz="8" w:space="0" w:color="auto"/>
              <w:bottom w:val="single" w:sz="4" w:space="0" w:color="auto"/>
              <w:right w:val="single" w:sz="4" w:space="0" w:color="auto"/>
            </w:tcBorders>
            <w:vAlign w:val="center"/>
            <w:hideMark/>
          </w:tcPr>
          <w:p w14:paraId="216D7EC5" w14:textId="77777777" w:rsidR="005E671C" w:rsidRPr="001752B7" w:rsidRDefault="005E671C" w:rsidP="005E671C">
            <w:pPr>
              <w:spacing w:after="0" w:line="240" w:lineRule="auto"/>
              <w:rPr>
                <w:rFonts w:ascii="Tahoma" w:eastAsia="Times New Roman" w:hAnsi="Tahoma" w:cs="Tahoma"/>
                <w:sz w:val="18"/>
                <w:szCs w:val="18"/>
                <w:lang w:eastAsia="hr-HR"/>
              </w:rPr>
            </w:pPr>
          </w:p>
        </w:tc>
        <w:tc>
          <w:tcPr>
            <w:tcW w:w="669" w:type="dxa"/>
            <w:vMerge/>
            <w:tcBorders>
              <w:top w:val="nil"/>
              <w:left w:val="single" w:sz="4" w:space="0" w:color="auto"/>
              <w:bottom w:val="single" w:sz="4" w:space="0" w:color="auto"/>
              <w:right w:val="single" w:sz="4" w:space="0" w:color="auto"/>
            </w:tcBorders>
            <w:vAlign w:val="center"/>
            <w:hideMark/>
          </w:tcPr>
          <w:p w14:paraId="00A5057D" w14:textId="77777777" w:rsidR="005E671C" w:rsidRPr="001752B7" w:rsidRDefault="005E671C" w:rsidP="005E671C">
            <w:pPr>
              <w:spacing w:after="0" w:line="240" w:lineRule="auto"/>
              <w:rPr>
                <w:rFonts w:ascii="Tahoma" w:eastAsia="Times New Roman" w:hAnsi="Tahoma" w:cs="Tahoma"/>
                <w:b/>
                <w:bCs/>
                <w:sz w:val="18"/>
                <w:szCs w:val="18"/>
                <w:lang w:eastAsia="hr-HR"/>
              </w:rPr>
            </w:pPr>
          </w:p>
        </w:tc>
        <w:tc>
          <w:tcPr>
            <w:tcW w:w="352" w:type="dxa"/>
            <w:vMerge/>
            <w:tcBorders>
              <w:top w:val="nil"/>
              <w:left w:val="single" w:sz="4" w:space="0" w:color="auto"/>
              <w:bottom w:val="single" w:sz="4" w:space="0" w:color="000000"/>
              <w:right w:val="single" w:sz="4" w:space="0" w:color="000000"/>
            </w:tcBorders>
            <w:vAlign w:val="center"/>
            <w:hideMark/>
          </w:tcPr>
          <w:p w14:paraId="55D04F8B" w14:textId="77777777" w:rsidR="005E671C" w:rsidRPr="001752B7" w:rsidRDefault="005E671C" w:rsidP="005E671C">
            <w:pPr>
              <w:spacing w:after="0" w:line="240" w:lineRule="auto"/>
              <w:rPr>
                <w:rFonts w:ascii="Tahoma" w:eastAsia="Times New Roman" w:hAnsi="Tahoma" w:cs="Tahoma"/>
                <w:b/>
                <w:bCs/>
                <w:sz w:val="18"/>
                <w:szCs w:val="18"/>
                <w:lang w:eastAsia="hr-HR"/>
              </w:rPr>
            </w:pPr>
          </w:p>
        </w:tc>
        <w:tc>
          <w:tcPr>
            <w:tcW w:w="574" w:type="dxa"/>
            <w:tcBorders>
              <w:top w:val="nil"/>
              <w:left w:val="nil"/>
              <w:bottom w:val="nil"/>
              <w:right w:val="single" w:sz="4" w:space="0" w:color="auto"/>
            </w:tcBorders>
            <w:shd w:val="clear" w:color="000000" w:fill="CCFFCC"/>
            <w:textDirection w:val="btLr"/>
            <w:vAlign w:val="center"/>
            <w:hideMark/>
          </w:tcPr>
          <w:p w14:paraId="33887E1C" w14:textId="77777777" w:rsidR="005E671C" w:rsidRPr="001752B7" w:rsidRDefault="005E671C" w:rsidP="005E671C">
            <w:pPr>
              <w:spacing w:after="0" w:line="240" w:lineRule="auto"/>
              <w:jc w:val="center"/>
              <w:rPr>
                <w:rFonts w:ascii="Tahoma" w:eastAsia="Times New Roman" w:hAnsi="Tahoma" w:cs="Tahoma"/>
                <w:sz w:val="18"/>
                <w:szCs w:val="18"/>
                <w:lang w:eastAsia="hr-HR"/>
              </w:rPr>
            </w:pPr>
            <w:r w:rsidRPr="001752B7">
              <w:rPr>
                <w:rFonts w:ascii="Tahoma" w:eastAsia="Times New Roman" w:hAnsi="Tahoma" w:cs="Tahoma"/>
                <w:sz w:val="18"/>
                <w:szCs w:val="18"/>
                <w:lang w:eastAsia="hr-HR"/>
              </w:rPr>
              <w:t>Žene</w:t>
            </w:r>
          </w:p>
        </w:tc>
        <w:tc>
          <w:tcPr>
            <w:tcW w:w="440" w:type="dxa"/>
            <w:tcBorders>
              <w:top w:val="nil"/>
              <w:left w:val="nil"/>
              <w:bottom w:val="nil"/>
              <w:right w:val="single" w:sz="4" w:space="0" w:color="auto"/>
            </w:tcBorders>
            <w:shd w:val="clear" w:color="000000" w:fill="CCFFCC"/>
            <w:textDirection w:val="btLr"/>
            <w:vAlign w:val="center"/>
            <w:hideMark/>
          </w:tcPr>
          <w:p w14:paraId="165ACBB8" w14:textId="77777777" w:rsidR="005E671C" w:rsidRPr="001752B7" w:rsidRDefault="005E671C" w:rsidP="005E671C">
            <w:pPr>
              <w:spacing w:after="0" w:line="240" w:lineRule="auto"/>
              <w:jc w:val="center"/>
              <w:rPr>
                <w:rFonts w:ascii="Tahoma" w:eastAsia="Times New Roman" w:hAnsi="Tahoma" w:cs="Tahoma"/>
                <w:sz w:val="18"/>
                <w:szCs w:val="18"/>
                <w:lang w:eastAsia="hr-HR"/>
              </w:rPr>
            </w:pPr>
            <w:r w:rsidRPr="001752B7">
              <w:rPr>
                <w:rFonts w:ascii="Tahoma" w:eastAsia="Times New Roman" w:hAnsi="Tahoma" w:cs="Tahoma"/>
                <w:sz w:val="18"/>
                <w:szCs w:val="18"/>
                <w:lang w:eastAsia="hr-HR"/>
              </w:rPr>
              <w:t>Muškarci</w:t>
            </w:r>
          </w:p>
        </w:tc>
        <w:tc>
          <w:tcPr>
            <w:tcW w:w="700" w:type="dxa"/>
            <w:tcBorders>
              <w:top w:val="nil"/>
              <w:left w:val="nil"/>
              <w:bottom w:val="single" w:sz="4" w:space="0" w:color="auto"/>
              <w:right w:val="single" w:sz="4" w:space="0" w:color="auto"/>
            </w:tcBorders>
            <w:shd w:val="clear" w:color="000000" w:fill="CCFFCC"/>
            <w:textDirection w:val="btLr"/>
            <w:vAlign w:val="center"/>
            <w:hideMark/>
          </w:tcPr>
          <w:p w14:paraId="344619A0" w14:textId="77777777" w:rsidR="005E671C" w:rsidRPr="001752B7" w:rsidRDefault="005E671C" w:rsidP="005E671C">
            <w:pPr>
              <w:spacing w:after="0" w:line="240" w:lineRule="auto"/>
              <w:jc w:val="center"/>
              <w:rPr>
                <w:rFonts w:ascii="Tahoma" w:eastAsia="Times New Roman" w:hAnsi="Tahoma" w:cs="Tahoma"/>
                <w:sz w:val="18"/>
                <w:szCs w:val="18"/>
                <w:lang w:eastAsia="hr-HR"/>
              </w:rPr>
            </w:pPr>
            <w:r w:rsidRPr="001752B7">
              <w:rPr>
                <w:rFonts w:ascii="Tahoma" w:eastAsia="Times New Roman" w:hAnsi="Tahoma" w:cs="Tahoma"/>
                <w:sz w:val="18"/>
                <w:szCs w:val="18"/>
                <w:lang w:eastAsia="hr-HR"/>
              </w:rPr>
              <w:t>UTVRĐENJE DISKRIMINACIJE (čl.17. st.1. toč.1. ZSD)</w:t>
            </w:r>
          </w:p>
        </w:tc>
        <w:tc>
          <w:tcPr>
            <w:tcW w:w="698" w:type="dxa"/>
            <w:tcBorders>
              <w:top w:val="nil"/>
              <w:left w:val="nil"/>
              <w:bottom w:val="single" w:sz="4" w:space="0" w:color="auto"/>
              <w:right w:val="single" w:sz="4" w:space="0" w:color="auto"/>
            </w:tcBorders>
            <w:shd w:val="clear" w:color="000000" w:fill="CCFFCC"/>
            <w:textDirection w:val="btLr"/>
            <w:vAlign w:val="center"/>
            <w:hideMark/>
          </w:tcPr>
          <w:p w14:paraId="0051E96B" w14:textId="77777777" w:rsidR="005E671C" w:rsidRPr="001752B7" w:rsidRDefault="005E671C" w:rsidP="005E671C">
            <w:pPr>
              <w:spacing w:after="0" w:line="240" w:lineRule="auto"/>
              <w:jc w:val="center"/>
              <w:rPr>
                <w:rFonts w:ascii="Tahoma" w:eastAsia="Times New Roman" w:hAnsi="Tahoma" w:cs="Tahoma"/>
                <w:sz w:val="18"/>
                <w:szCs w:val="18"/>
                <w:lang w:eastAsia="hr-HR"/>
              </w:rPr>
            </w:pPr>
            <w:r w:rsidRPr="001752B7">
              <w:rPr>
                <w:rFonts w:ascii="Tahoma" w:eastAsia="Times New Roman" w:hAnsi="Tahoma" w:cs="Tahoma"/>
                <w:sz w:val="18"/>
                <w:szCs w:val="18"/>
                <w:lang w:eastAsia="hr-HR"/>
              </w:rPr>
              <w:t>ZABRANA ILI OTKLANJANJE DISKRIMINACIJE (čl.17. st.1. toč.2. ZSD)</w:t>
            </w:r>
          </w:p>
        </w:tc>
        <w:tc>
          <w:tcPr>
            <w:tcW w:w="698" w:type="dxa"/>
            <w:tcBorders>
              <w:top w:val="nil"/>
              <w:left w:val="nil"/>
              <w:bottom w:val="single" w:sz="4" w:space="0" w:color="auto"/>
              <w:right w:val="single" w:sz="4" w:space="0" w:color="auto"/>
            </w:tcBorders>
            <w:shd w:val="clear" w:color="000000" w:fill="CCFFCC"/>
            <w:textDirection w:val="btLr"/>
            <w:vAlign w:val="center"/>
            <w:hideMark/>
          </w:tcPr>
          <w:p w14:paraId="61745CA0" w14:textId="77777777" w:rsidR="005E671C" w:rsidRPr="001752B7" w:rsidRDefault="005E671C" w:rsidP="005E671C">
            <w:pPr>
              <w:spacing w:after="0" w:line="240" w:lineRule="auto"/>
              <w:jc w:val="center"/>
              <w:rPr>
                <w:rFonts w:ascii="Tahoma" w:eastAsia="Times New Roman" w:hAnsi="Tahoma" w:cs="Tahoma"/>
                <w:sz w:val="18"/>
                <w:szCs w:val="18"/>
                <w:lang w:eastAsia="hr-HR"/>
              </w:rPr>
            </w:pPr>
            <w:r w:rsidRPr="001752B7">
              <w:rPr>
                <w:rFonts w:ascii="Tahoma" w:eastAsia="Times New Roman" w:hAnsi="Tahoma" w:cs="Tahoma"/>
                <w:sz w:val="18"/>
                <w:szCs w:val="18"/>
                <w:lang w:eastAsia="hr-HR"/>
              </w:rPr>
              <w:t>NAKNADA ŠTETE (čl.17. st.1. toč.3. ZSD)</w:t>
            </w:r>
          </w:p>
        </w:tc>
        <w:tc>
          <w:tcPr>
            <w:tcW w:w="698" w:type="dxa"/>
            <w:tcBorders>
              <w:top w:val="nil"/>
              <w:left w:val="nil"/>
              <w:bottom w:val="single" w:sz="4" w:space="0" w:color="auto"/>
              <w:right w:val="single" w:sz="4" w:space="0" w:color="auto"/>
            </w:tcBorders>
            <w:shd w:val="clear" w:color="000000" w:fill="CCFFCC"/>
            <w:textDirection w:val="btLr"/>
            <w:vAlign w:val="center"/>
            <w:hideMark/>
          </w:tcPr>
          <w:p w14:paraId="48124D27" w14:textId="77777777" w:rsidR="005E671C" w:rsidRPr="001752B7" w:rsidRDefault="005E671C" w:rsidP="005E671C">
            <w:pPr>
              <w:spacing w:after="0" w:line="240" w:lineRule="auto"/>
              <w:jc w:val="center"/>
              <w:rPr>
                <w:rFonts w:ascii="Tahoma" w:eastAsia="Times New Roman" w:hAnsi="Tahoma" w:cs="Tahoma"/>
                <w:sz w:val="18"/>
                <w:szCs w:val="18"/>
                <w:lang w:eastAsia="hr-HR"/>
              </w:rPr>
            </w:pPr>
            <w:r w:rsidRPr="001752B7">
              <w:rPr>
                <w:rFonts w:ascii="Tahoma" w:eastAsia="Times New Roman" w:hAnsi="Tahoma" w:cs="Tahoma"/>
                <w:sz w:val="18"/>
                <w:szCs w:val="18"/>
                <w:lang w:eastAsia="hr-HR"/>
              </w:rPr>
              <w:t xml:space="preserve">OBJAVA PRESUDE U MEDIJIMA (čl. 17. st. 1. </w:t>
            </w:r>
            <w:proofErr w:type="spellStart"/>
            <w:r w:rsidRPr="001752B7">
              <w:rPr>
                <w:rFonts w:ascii="Tahoma" w:eastAsia="Times New Roman" w:hAnsi="Tahoma" w:cs="Tahoma"/>
                <w:sz w:val="18"/>
                <w:szCs w:val="18"/>
                <w:lang w:eastAsia="hr-HR"/>
              </w:rPr>
              <w:t>toč</w:t>
            </w:r>
            <w:proofErr w:type="spellEnd"/>
            <w:r w:rsidRPr="001752B7">
              <w:rPr>
                <w:rFonts w:ascii="Tahoma" w:eastAsia="Times New Roman" w:hAnsi="Tahoma" w:cs="Tahoma"/>
                <w:sz w:val="18"/>
                <w:szCs w:val="18"/>
                <w:lang w:eastAsia="hr-HR"/>
              </w:rPr>
              <w:t>. 4.)</w:t>
            </w:r>
          </w:p>
        </w:tc>
        <w:tc>
          <w:tcPr>
            <w:tcW w:w="698" w:type="dxa"/>
            <w:tcBorders>
              <w:top w:val="nil"/>
              <w:left w:val="nil"/>
              <w:bottom w:val="single" w:sz="4" w:space="0" w:color="auto"/>
              <w:right w:val="single" w:sz="4" w:space="0" w:color="auto"/>
            </w:tcBorders>
            <w:shd w:val="clear" w:color="000000" w:fill="CCFFCC"/>
            <w:textDirection w:val="btLr"/>
            <w:vAlign w:val="center"/>
            <w:hideMark/>
          </w:tcPr>
          <w:p w14:paraId="0126B008" w14:textId="77777777" w:rsidR="005E671C" w:rsidRPr="001752B7" w:rsidRDefault="005E671C" w:rsidP="005E671C">
            <w:pPr>
              <w:spacing w:after="0" w:line="240" w:lineRule="auto"/>
              <w:jc w:val="center"/>
              <w:rPr>
                <w:rFonts w:ascii="Tahoma" w:eastAsia="Times New Roman" w:hAnsi="Tahoma" w:cs="Tahoma"/>
                <w:sz w:val="18"/>
                <w:szCs w:val="18"/>
                <w:lang w:eastAsia="hr-HR"/>
              </w:rPr>
            </w:pPr>
            <w:proofErr w:type="spellStart"/>
            <w:r w:rsidRPr="001752B7">
              <w:rPr>
                <w:rFonts w:ascii="Tahoma" w:eastAsia="Times New Roman" w:hAnsi="Tahoma" w:cs="Tahoma"/>
                <w:sz w:val="18"/>
                <w:szCs w:val="18"/>
                <w:lang w:eastAsia="hr-HR"/>
              </w:rPr>
              <w:t>Udružne</w:t>
            </w:r>
            <w:proofErr w:type="spellEnd"/>
            <w:r w:rsidRPr="001752B7">
              <w:rPr>
                <w:rFonts w:ascii="Tahoma" w:eastAsia="Times New Roman" w:hAnsi="Tahoma" w:cs="Tahoma"/>
                <w:sz w:val="18"/>
                <w:szCs w:val="18"/>
                <w:lang w:eastAsia="hr-HR"/>
              </w:rPr>
              <w:t xml:space="preserve"> tužbe (čl. 24. ZSD)</w:t>
            </w:r>
          </w:p>
        </w:tc>
        <w:tc>
          <w:tcPr>
            <w:tcW w:w="698" w:type="dxa"/>
            <w:tcBorders>
              <w:top w:val="nil"/>
              <w:left w:val="nil"/>
              <w:bottom w:val="single" w:sz="4" w:space="0" w:color="auto"/>
              <w:right w:val="single" w:sz="4" w:space="0" w:color="auto"/>
            </w:tcBorders>
            <w:shd w:val="clear" w:color="000000" w:fill="CCFFCC"/>
            <w:textDirection w:val="btLr"/>
            <w:vAlign w:val="center"/>
            <w:hideMark/>
          </w:tcPr>
          <w:p w14:paraId="443BD4BC" w14:textId="77777777" w:rsidR="005E671C" w:rsidRPr="001752B7" w:rsidRDefault="005E671C" w:rsidP="005E671C">
            <w:pPr>
              <w:spacing w:after="0" w:line="240" w:lineRule="auto"/>
              <w:jc w:val="center"/>
              <w:rPr>
                <w:rFonts w:ascii="Tahoma" w:eastAsia="Times New Roman" w:hAnsi="Tahoma" w:cs="Tahoma"/>
                <w:sz w:val="18"/>
                <w:szCs w:val="18"/>
                <w:lang w:eastAsia="hr-HR"/>
              </w:rPr>
            </w:pPr>
            <w:r w:rsidRPr="001752B7">
              <w:rPr>
                <w:rFonts w:ascii="Tahoma" w:eastAsia="Times New Roman" w:hAnsi="Tahoma" w:cs="Tahoma"/>
                <w:sz w:val="18"/>
                <w:szCs w:val="18"/>
                <w:lang w:eastAsia="hr-HR"/>
              </w:rPr>
              <w:t>OSTALO (odnosi se na čl. 16 st. 1 ZDS diskriminacija kao prethodno pitanje i st. 2 radni sporovi)</w:t>
            </w:r>
          </w:p>
        </w:tc>
        <w:tc>
          <w:tcPr>
            <w:tcW w:w="493" w:type="dxa"/>
            <w:tcBorders>
              <w:top w:val="nil"/>
              <w:left w:val="nil"/>
              <w:bottom w:val="single" w:sz="4" w:space="0" w:color="auto"/>
              <w:right w:val="single" w:sz="4" w:space="0" w:color="auto"/>
            </w:tcBorders>
            <w:shd w:val="clear" w:color="000000" w:fill="CCFFCC"/>
            <w:textDirection w:val="btLr"/>
            <w:vAlign w:val="center"/>
            <w:hideMark/>
          </w:tcPr>
          <w:p w14:paraId="465D021F" w14:textId="77777777" w:rsidR="005E671C" w:rsidRPr="001752B7" w:rsidRDefault="005E671C" w:rsidP="005E671C">
            <w:pPr>
              <w:spacing w:after="0" w:line="240" w:lineRule="auto"/>
              <w:jc w:val="center"/>
              <w:rPr>
                <w:rFonts w:ascii="Tahoma" w:eastAsia="Times New Roman" w:hAnsi="Tahoma" w:cs="Tahoma"/>
                <w:sz w:val="18"/>
                <w:szCs w:val="18"/>
                <w:lang w:eastAsia="hr-HR"/>
              </w:rPr>
            </w:pPr>
            <w:r w:rsidRPr="001752B7">
              <w:rPr>
                <w:rFonts w:ascii="Tahoma" w:eastAsia="Times New Roman" w:hAnsi="Tahoma" w:cs="Tahoma"/>
                <w:sz w:val="18"/>
                <w:szCs w:val="18"/>
                <w:lang w:eastAsia="hr-HR"/>
              </w:rPr>
              <w:t xml:space="preserve">USVOJEN TUŽBENI ZAHTJEV </w:t>
            </w:r>
          </w:p>
        </w:tc>
        <w:tc>
          <w:tcPr>
            <w:tcW w:w="469" w:type="dxa"/>
            <w:tcBorders>
              <w:top w:val="nil"/>
              <w:left w:val="nil"/>
              <w:bottom w:val="single" w:sz="4" w:space="0" w:color="auto"/>
              <w:right w:val="single" w:sz="4" w:space="0" w:color="auto"/>
            </w:tcBorders>
            <w:shd w:val="clear" w:color="000000" w:fill="CCFFCC"/>
            <w:textDirection w:val="btLr"/>
            <w:vAlign w:val="center"/>
            <w:hideMark/>
          </w:tcPr>
          <w:p w14:paraId="79272BAF" w14:textId="77777777" w:rsidR="005E671C" w:rsidRPr="001752B7" w:rsidRDefault="005E671C" w:rsidP="005E671C">
            <w:pPr>
              <w:spacing w:after="0" w:line="240" w:lineRule="auto"/>
              <w:jc w:val="center"/>
              <w:rPr>
                <w:rFonts w:ascii="Tahoma" w:eastAsia="Times New Roman" w:hAnsi="Tahoma" w:cs="Tahoma"/>
                <w:sz w:val="18"/>
                <w:szCs w:val="18"/>
                <w:lang w:eastAsia="hr-HR"/>
              </w:rPr>
            </w:pPr>
            <w:r w:rsidRPr="001752B7">
              <w:rPr>
                <w:rFonts w:ascii="Tahoma" w:eastAsia="Times New Roman" w:hAnsi="Tahoma" w:cs="Tahoma"/>
                <w:sz w:val="18"/>
                <w:szCs w:val="18"/>
                <w:lang w:eastAsia="hr-HR"/>
              </w:rPr>
              <w:t>ODBIJEN TUŽBENI ZAHTJEV</w:t>
            </w:r>
          </w:p>
        </w:tc>
        <w:tc>
          <w:tcPr>
            <w:tcW w:w="467" w:type="dxa"/>
            <w:tcBorders>
              <w:top w:val="nil"/>
              <w:left w:val="nil"/>
              <w:bottom w:val="single" w:sz="4" w:space="0" w:color="auto"/>
              <w:right w:val="single" w:sz="4" w:space="0" w:color="auto"/>
            </w:tcBorders>
            <w:shd w:val="clear" w:color="000000" w:fill="CCFFCC"/>
            <w:textDirection w:val="btLr"/>
            <w:vAlign w:val="center"/>
            <w:hideMark/>
          </w:tcPr>
          <w:p w14:paraId="6EC3E344" w14:textId="77777777" w:rsidR="005E671C" w:rsidRPr="001752B7" w:rsidRDefault="005E671C" w:rsidP="005E671C">
            <w:pPr>
              <w:spacing w:after="0" w:line="240" w:lineRule="auto"/>
              <w:jc w:val="center"/>
              <w:rPr>
                <w:rFonts w:ascii="Tahoma" w:eastAsia="Times New Roman" w:hAnsi="Tahoma" w:cs="Tahoma"/>
                <w:sz w:val="18"/>
                <w:szCs w:val="18"/>
                <w:lang w:eastAsia="hr-HR"/>
              </w:rPr>
            </w:pPr>
            <w:r w:rsidRPr="001752B7">
              <w:rPr>
                <w:rFonts w:ascii="Tahoma" w:eastAsia="Times New Roman" w:hAnsi="Tahoma" w:cs="Tahoma"/>
                <w:sz w:val="18"/>
                <w:szCs w:val="18"/>
                <w:lang w:eastAsia="hr-HR"/>
              </w:rPr>
              <w:t>NA DRUGI NAČIN</w:t>
            </w:r>
          </w:p>
        </w:tc>
        <w:tc>
          <w:tcPr>
            <w:tcW w:w="567" w:type="dxa"/>
            <w:tcBorders>
              <w:top w:val="nil"/>
              <w:left w:val="nil"/>
              <w:bottom w:val="single" w:sz="4" w:space="0" w:color="auto"/>
              <w:right w:val="single" w:sz="4" w:space="0" w:color="auto"/>
            </w:tcBorders>
            <w:shd w:val="clear" w:color="000000" w:fill="CCFFCC"/>
            <w:textDirection w:val="btLr"/>
            <w:vAlign w:val="center"/>
            <w:hideMark/>
          </w:tcPr>
          <w:p w14:paraId="6BF289EF" w14:textId="77777777" w:rsidR="005E671C" w:rsidRPr="001752B7" w:rsidRDefault="005E671C" w:rsidP="005E671C">
            <w:pPr>
              <w:spacing w:after="0" w:line="240" w:lineRule="auto"/>
              <w:jc w:val="center"/>
              <w:rPr>
                <w:rFonts w:ascii="Tahoma" w:eastAsia="Times New Roman" w:hAnsi="Tahoma" w:cs="Tahoma"/>
                <w:b/>
                <w:bCs/>
                <w:sz w:val="18"/>
                <w:szCs w:val="18"/>
                <w:lang w:eastAsia="hr-HR"/>
              </w:rPr>
            </w:pPr>
            <w:r w:rsidRPr="001752B7">
              <w:rPr>
                <w:rFonts w:ascii="Tahoma" w:eastAsia="Times New Roman" w:hAnsi="Tahoma" w:cs="Tahoma"/>
                <w:b/>
                <w:bCs/>
                <w:sz w:val="18"/>
                <w:szCs w:val="18"/>
                <w:lang w:eastAsia="hr-HR"/>
              </w:rPr>
              <w:t>Ukupno pravomoćno riješeno</w:t>
            </w:r>
          </w:p>
        </w:tc>
        <w:tc>
          <w:tcPr>
            <w:tcW w:w="542" w:type="dxa"/>
            <w:tcBorders>
              <w:top w:val="nil"/>
              <w:left w:val="single" w:sz="4" w:space="0" w:color="auto"/>
              <w:bottom w:val="single" w:sz="4" w:space="0" w:color="000000"/>
              <w:right w:val="single" w:sz="4" w:space="0" w:color="auto"/>
            </w:tcBorders>
            <w:vAlign w:val="center"/>
            <w:hideMark/>
          </w:tcPr>
          <w:p w14:paraId="52A274C2" w14:textId="77777777" w:rsidR="005E671C" w:rsidRPr="001752B7" w:rsidRDefault="005E671C" w:rsidP="005E671C">
            <w:pPr>
              <w:spacing w:after="0" w:line="240" w:lineRule="auto"/>
              <w:rPr>
                <w:rFonts w:ascii="Tahoma" w:eastAsia="Times New Roman" w:hAnsi="Tahoma" w:cs="Tahoma"/>
                <w:b/>
                <w:bCs/>
                <w:sz w:val="18"/>
                <w:szCs w:val="18"/>
                <w:lang w:eastAsia="hr-HR"/>
              </w:rPr>
            </w:pPr>
          </w:p>
        </w:tc>
        <w:tc>
          <w:tcPr>
            <w:tcW w:w="441" w:type="dxa"/>
            <w:tcBorders>
              <w:top w:val="nil"/>
              <w:left w:val="nil"/>
              <w:bottom w:val="nil"/>
              <w:right w:val="single" w:sz="4" w:space="0" w:color="auto"/>
            </w:tcBorders>
            <w:shd w:val="clear" w:color="000000" w:fill="FFCC00"/>
            <w:textDirection w:val="btLr"/>
            <w:vAlign w:val="center"/>
            <w:hideMark/>
          </w:tcPr>
          <w:p w14:paraId="3D6615B6" w14:textId="77777777" w:rsidR="005E671C" w:rsidRPr="001752B7" w:rsidRDefault="005E671C" w:rsidP="005E671C">
            <w:pPr>
              <w:spacing w:after="0" w:line="240" w:lineRule="auto"/>
              <w:jc w:val="center"/>
              <w:rPr>
                <w:rFonts w:ascii="Tahoma" w:eastAsia="Times New Roman" w:hAnsi="Tahoma" w:cs="Tahoma"/>
                <w:sz w:val="18"/>
                <w:szCs w:val="18"/>
                <w:lang w:eastAsia="hr-HR"/>
              </w:rPr>
            </w:pPr>
            <w:r w:rsidRPr="001752B7">
              <w:rPr>
                <w:rFonts w:ascii="Tahoma" w:eastAsia="Times New Roman" w:hAnsi="Tahoma" w:cs="Tahoma"/>
                <w:sz w:val="18"/>
                <w:szCs w:val="18"/>
                <w:lang w:eastAsia="hr-HR"/>
              </w:rPr>
              <w:t>iz čl. 2. do 5. ZSD</w:t>
            </w:r>
          </w:p>
        </w:tc>
        <w:tc>
          <w:tcPr>
            <w:tcW w:w="426" w:type="dxa"/>
            <w:tcBorders>
              <w:top w:val="nil"/>
              <w:left w:val="nil"/>
              <w:bottom w:val="nil"/>
              <w:right w:val="single" w:sz="4" w:space="0" w:color="auto"/>
            </w:tcBorders>
            <w:shd w:val="clear" w:color="000000" w:fill="FFCC00"/>
            <w:textDirection w:val="btLr"/>
            <w:vAlign w:val="center"/>
            <w:hideMark/>
          </w:tcPr>
          <w:p w14:paraId="105BBBCA" w14:textId="77777777" w:rsidR="005E671C" w:rsidRPr="001752B7" w:rsidRDefault="005E671C" w:rsidP="005E671C">
            <w:pPr>
              <w:spacing w:after="0" w:line="240" w:lineRule="auto"/>
              <w:jc w:val="center"/>
              <w:rPr>
                <w:rFonts w:ascii="Tahoma" w:eastAsia="Times New Roman" w:hAnsi="Tahoma" w:cs="Tahoma"/>
                <w:sz w:val="18"/>
                <w:szCs w:val="18"/>
                <w:lang w:eastAsia="hr-HR"/>
              </w:rPr>
            </w:pPr>
            <w:r w:rsidRPr="001752B7">
              <w:rPr>
                <w:rFonts w:ascii="Tahoma" w:eastAsia="Times New Roman" w:hAnsi="Tahoma" w:cs="Tahoma"/>
                <w:sz w:val="18"/>
                <w:szCs w:val="18"/>
                <w:lang w:eastAsia="hr-HR"/>
              </w:rPr>
              <w:t xml:space="preserve">iz čl. 6 ZSD </w:t>
            </w:r>
          </w:p>
        </w:tc>
        <w:tc>
          <w:tcPr>
            <w:tcW w:w="854" w:type="dxa"/>
            <w:tcBorders>
              <w:top w:val="nil"/>
              <w:left w:val="single" w:sz="4" w:space="0" w:color="auto"/>
              <w:bottom w:val="single" w:sz="4" w:space="0" w:color="auto"/>
              <w:right w:val="single" w:sz="4" w:space="0" w:color="000000"/>
            </w:tcBorders>
            <w:vAlign w:val="center"/>
            <w:hideMark/>
          </w:tcPr>
          <w:p w14:paraId="2A3FF19A" w14:textId="77777777" w:rsidR="005E671C" w:rsidRPr="001752B7" w:rsidRDefault="005E671C" w:rsidP="005E671C">
            <w:pPr>
              <w:spacing w:after="0" w:line="240" w:lineRule="auto"/>
              <w:rPr>
                <w:rFonts w:ascii="Tahoma" w:eastAsia="Times New Roman" w:hAnsi="Tahoma" w:cs="Tahoma"/>
                <w:sz w:val="18"/>
                <w:szCs w:val="18"/>
                <w:lang w:eastAsia="hr-HR"/>
              </w:rPr>
            </w:pPr>
          </w:p>
        </w:tc>
        <w:tc>
          <w:tcPr>
            <w:tcW w:w="440" w:type="dxa"/>
            <w:tcBorders>
              <w:top w:val="nil"/>
              <w:left w:val="nil"/>
              <w:bottom w:val="single" w:sz="4" w:space="0" w:color="auto"/>
              <w:right w:val="single" w:sz="4" w:space="0" w:color="auto"/>
            </w:tcBorders>
            <w:shd w:val="clear" w:color="000000" w:fill="CCFFCC"/>
            <w:textDirection w:val="btLr"/>
            <w:vAlign w:val="center"/>
            <w:hideMark/>
          </w:tcPr>
          <w:p w14:paraId="722463C7" w14:textId="77777777" w:rsidR="005E671C" w:rsidRPr="001752B7" w:rsidRDefault="005E671C" w:rsidP="005E671C">
            <w:pPr>
              <w:spacing w:after="0" w:line="240" w:lineRule="auto"/>
              <w:jc w:val="center"/>
              <w:rPr>
                <w:rFonts w:ascii="Tahoma" w:eastAsia="Times New Roman" w:hAnsi="Tahoma" w:cs="Tahoma"/>
                <w:sz w:val="18"/>
                <w:szCs w:val="18"/>
                <w:lang w:eastAsia="hr-HR"/>
              </w:rPr>
            </w:pPr>
            <w:r w:rsidRPr="001752B7">
              <w:rPr>
                <w:rFonts w:ascii="Tahoma" w:eastAsia="Times New Roman" w:hAnsi="Tahoma" w:cs="Tahoma"/>
                <w:sz w:val="18"/>
                <w:szCs w:val="18"/>
                <w:lang w:eastAsia="hr-HR"/>
              </w:rPr>
              <w:t xml:space="preserve">Žene </w:t>
            </w:r>
          </w:p>
        </w:tc>
        <w:tc>
          <w:tcPr>
            <w:tcW w:w="408" w:type="dxa"/>
            <w:tcBorders>
              <w:top w:val="nil"/>
              <w:left w:val="nil"/>
              <w:bottom w:val="single" w:sz="4" w:space="0" w:color="auto"/>
              <w:right w:val="single" w:sz="4" w:space="0" w:color="auto"/>
            </w:tcBorders>
            <w:shd w:val="clear" w:color="000000" w:fill="CCFFCC"/>
            <w:textDirection w:val="btLr"/>
            <w:vAlign w:val="center"/>
            <w:hideMark/>
          </w:tcPr>
          <w:p w14:paraId="7914CA64" w14:textId="77777777" w:rsidR="005E671C" w:rsidRPr="001752B7" w:rsidRDefault="005E671C" w:rsidP="005E671C">
            <w:pPr>
              <w:spacing w:after="0" w:line="240" w:lineRule="auto"/>
              <w:jc w:val="center"/>
              <w:rPr>
                <w:rFonts w:ascii="Tahoma" w:eastAsia="Times New Roman" w:hAnsi="Tahoma" w:cs="Tahoma"/>
                <w:sz w:val="18"/>
                <w:szCs w:val="18"/>
                <w:lang w:eastAsia="hr-HR"/>
              </w:rPr>
            </w:pPr>
            <w:r w:rsidRPr="001752B7">
              <w:rPr>
                <w:rFonts w:ascii="Tahoma" w:eastAsia="Times New Roman" w:hAnsi="Tahoma" w:cs="Tahoma"/>
                <w:sz w:val="18"/>
                <w:szCs w:val="18"/>
                <w:lang w:eastAsia="hr-HR"/>
              </w:rPr>
              <w:t>Muškarci</w:t>
            </w:r>
          </w:p>
        </w:tc>
        <w:tc>
          <w:tcPr>
            <w:tcW w:w="433" w:type="dxa"/>
            <w:tcBorders>
              <w:top w:val="nil"/>
              <w:left w:val="nil"/>
              <w:bottom w:val="single" w:sz="4" w:space="0" w:color="auto"/>
              <w:right w:val="single" w:sz="4" w:space="0" w:color="auto"/>
            </w:tcBorders>
            <w:shd w:val="clear" w:color="000000" w:fill="CCFFCC"/>
            <w:textDirection w:val="btLr"/>
            <w:vAlign w:val="center"/>
            <w:hideMark/>
          </w:tcPr>
          <w:p w14:paraId="2DA55D55" w14:textId="77777777" w:rsidR="005E671C" w:rsidRPr="001752B7" w:rsidRDefault="005E671C" w:rsidP="005E671C">
            <w:pPr>
              <w:spacing w:after="0" w:line="240" w:lineRule="auto"/>
              <w:jc w:val="center"/>
              <w:rPr>
                <w:rFonts w:ascii="Tahoma" w:eastAsia="Times New Roman" w:hAnsi="Tahoma" w:cs="Tahoma"/>
                <w:sz w:val="18"/>
                <w:szCs w:val="18"/>
                <w:lang w:eastAsia="hr-HR"/>
              </w:rPr>
            </w:pPr>
            <w:r w:rsidRPr="001752B7">
              <w:rPr>
                <w:rFonts w:ascii="Tahoma" w:eastAsia="Times New Roman" w:hAnsi="Tahoma" w:cs="Tahoma"/>
                <w:sz w:val="18"/>
                <w:szCs w:val="18"/>
                <w:lang w:eastAsia="hr-HR"/>
              </w:rPr>
              <w:t>Ostalo</w:t>
            </w:r>
          </w:p>
        </w:tc>
        <w:tc>
          <w:tcPr>
            <w:tcW w:w="425" w:type="dxa"/>
            <w:tcBorders>
              <w:top w:val="nil"/>
              <w:left w:val="nil"/>
              <w:bottom w:val="single" w:sz="4" w:space="0" w:color="auto"/>
              <w:right w:val="single" w:sz="4" w:space="0" w:color="auto"/>
            </w:tcBorders>
            <w:shd w:val="clear" w:color="000000" w:fill="CCFFCC"/>
            <w:textDirection w:val="btLr"/>
            <w:vAlign w:val="center"/>
            <w:hideMark/>
          </w:tcPr>
          <w:p w14:paraId="3BFA5B39" w14:textId="77777777" w:rsidR="005E671C" w:rsidRPr="001752B7" w:rsidRDefault="005E671C" w:rsidP="005E671C">
            <w:pPr>
              <w:spacing w:after="0" w:line="240" w:lineRule="auto"/>
              <w:jc w:val="center"/>
              <w:rPr>
                <w:rFonts w:ascii="Tahoma" w:eastAsia="Times New Roman" w:hAnsi="Tahoma" w:cs="Tahoma"/>
                <w:sz w:val="18"/>
                <w:szCs w:val="18"/>
                <w:lang w:eastAsia="hr-HR"/>
              </w:rPr>
            </w:pPr>
            <w:r w:rsidRPr="001752B7">
              <w:rPr>
                <w:rFonts w:ascii="Tahoma" w:eastAsia="Times New Roman" w:hAnsi="Tahoma" w:cs="Tahoma"/>
                <w:sz w:val="18"/>
                <w:szCs w:val="18"/>
                <w:lang w:eastAsia="hr-HR"/>
              </w:rPr>
              <w:t xml:space="preserve"> DO 12 MJESECI</w:t>
            </w:r>
          </w:p>
        </w:tc>
        <w:tc>
          <w:tcPr>
            <w:tcW w:w="567" w:type="dxa"/>
            <w:tcBorders>
              <w:top w:val="nil"/>
              <w:left w:val="nil"/>
              <w:bottom w:val="single" w:sz="4" w:space="0" w:color="auto"/>
              <w:right w:val="single" w:sz="8" w:space="0" w:color="auto"/>
            </w:tcBorders>
            <w:shd w:val="clear" w:color="000000" w:fill="CCFFCC"/>
            <w:textDirection w:val="btLr"/>
            <w:vAlign w:val="center"/>
            <w:hideMark/>
          </w:tcPr>
          <w:p w14:paraId="0E8A6F47" w14:textId="77777777" w:rsidR="005E671C" w:rsidRPr="001752B7" w:rsidRDefault="005E671C" w:rsidP="005E671C">
            <w:pPr>
              <w:spacing w:after="0" w:line="240" w:lineRule="auto"/>
              <w:jc w:val="center"/>
              <w:rPr>
                <w:rFonts w:ascii="Tahoma" w:eastAsia="Times New Roman" w:hAnsi="Tahoma" w:cs="Tahoma"/>
                <w:sz w:val="18"/>
                <w:szCs w:val="18"/>
                <w:lang w:eastAsia="hr-HR"/>
              </w:rPr>
            </w:pPr>
            <w:r w:rsidRPr="001752B7">
              <w:rPr>
                <w:rFonts w:ascii="Tahoma" w:eastAsia="Times New Roman" w:hAnsi="Tahoma" w:cs="Tahoma"/>
                <w:sz w:val="18"/>
                <w:szCs w:val="18"/>
                <w:lang w:eastAsia="hr-HR"/>
              </w:rPr>
              <w:t>PREKO 12 MJESECI</w:t>
            </w:r>
          </w:p>
        </w:tc>
        <w:tc>
          <w:tcPr>
            <w:tcW w:w="237" w:type="dxa"/>
            <w:gridSpan w:val="2"/>
            <w:vAlign w:val="center"/>
            <w:hideMark/>
          </w:tcPr>
          <w:p w14:paraId="6FDBBAE6" w14:textId="77777777" w:rsidR="005E671C" w:rsidRPr="005E671C" w:rsidRDefault="005E671C" w:rsidP="005E671C">
            <w:pPr>
              <w:spacing w:after="0" w:line="240" w:lineRule="auto"/>
              <w:rPr>
                <w:rFonts w:ascii="Times New Roman" w:eastAsia="Times New Roman" w:hAnsi="Times New Roman" w:cs="Times New Roman"/>
                <w:sz w:val="20"/>
                <w:szCs w:val="20"/>
                <w:lang w:eastAsia="hr-HR"/>
              </w:rPr>
            </w:pPr>
          </w:p>
        </w:tc>
      </w:tr>
      <w:tr w:rsidR="005E671C" w:rsidRPr="005E671C" w14:paraId="2AB407A1" w14:textId="77777777" w:rsidTr="001752B7">
        <w:trPr>
          <w:gridAfter w:val="1"/>
          <w:wAfter w:w="51" w:type="dxa"/>
          <w:trHeight w:val="300"/>
        </w:trPr>
        <w:tc>
          <w:tcPr>
            <w:tcW w:w="1550" w:type="dxa"/>
            <w:tcBorders>
              <w:top w:val="single" w:sz="4" w:space="0" w:color="auto"/>
              <w:left w:val="single" w:sz="8" w:space="0" w:color="auto"/>
              <w:bottom w:val="single" w:sz="4" w:space="0" w:color="auto"/>
              <w:right w:val="single" w:sz="4" w:space="0" w:color="000000"/>
            </w:tcBorders>
            <w:shd w:val="clear" w:color="000000" w:fill="CCFFCC"/>
            <w:vAlign w:val="center"/>
            <w:hideMark/>
          </w:tcPr>
          <w:p w14:paraId="598D01C7" w14:textId="77777777" w:rsidR="005E671C" w:rsidRPr="005E671C" w:rsidRDefault="005E671C" w:rsidP="005E671C">
            <w:pPr>
              <w:spacing w:after="0" w:line="240" w:lineRule="auto"/>
              <w:jc w:val="center"/>
              <w:rPr>
                <w:rFonts w:ascii="Tahoma" w:eastAsia="Times New Roman" w:hAnsi="Tahoma" w:cs="Tahoma"/>
                <w:sz w:val="16"/>
                <w:szCs w:val="16"/>
                <w:lang w:eastAsia="hr-HR"/>
              </w:rPr>
            </w:pPr>
            <w:r w:rsidRPr="005E671C">
              <w:rPr>
                <w:rFonts w:ascii="Tahoma" w:eastAsia="Times New Roman" w:hAnsi="Tahoma" w:cs="Tahoma"/>
                <w:sz w:val="16"/>
                <w:szCs w:val="16"/>
                <w:lang w:eastAsia="hr-HR"/>
              </w:rPr>
              <w:t>1.</w:t>
            </w:r>
          </w:p>
        </w:tc>
        <w:tc>
          <w:tcPr>
            <w:tcW w:w="669" w:type="dxa"/>
            <w:tcBorders>
              <w:top w:val="nil"/>
              <w:left w:val="nil"/>
              <w:bottom w:val="single" w:sz="4" w:space="0" w:color="auto"/>
              <w:right w:val="single" w:sz="4" w:space="0" w:color="auto"/>
            </w:tcBorders>
            <w:shd w:val="clear" w:color="000000" w:fill="CCFFCC"/>
            <w:noWrap/>
            <w:vAlign w:val="center"/>
            <w:hideMark/>
          </w:tcPr>
          <w:p w14:paraId="118A03F7" w14:textId="77777777" w:rsidR="005E671C" w:rsidRPr="005E671C" w:rsidRDefault="005E671C" w:rsidP="005E671C">
            <w:pPr>
              <w:spacing w:after="0" w:line="240" w:lineRule="auto"/>
              <w:jc w:val="center"/>
              <w:rPr>
                <w:rFonts w:ascii="Tahoma" w:eastAsia="Times New Roman" w:hAnsi="Tahoma" w:cs="Tahoma"/>
                <w:sz w:val="16"/>
                <w:szCs w:val="16"/>
                <w:lang w:eastAsia="hr-HR"/>
              </w:rPr>
            </w:pPr>
            <w:r w:rsidRPr="005E671C">
              <w:rPr>
                <w:rFonts w:ascii="Tahoma" w:eastAsia="Times New Roman" w:hAnsi="Tahoma" w:cs="Tahoma"/>
                <w:sz w:val="16"/>
                <w:szCs w:val="16"/>
                <w:lang w:eastAsia="hr-HR"/>
              </w:rPr>
              <w:t>2.</w:t>
            </w:r>
          </w:p>
        </w:tc>
        <w:tc>
          <w:tcPr>
            <w:tcW w:w="352" w:type="dxa"/>
            <w:tcBorders>
              <w:top w:val="nil"/>
              <w:left w:val="nil"/>
              <w:bottom w:val="single" w:sz="4" w:space="0" w:color="auto"/>
              <w:right w:val="single" w:sz="4" w:space="0" w:color="auto"/>
            </w:tcBorders>
            <w:shd w:val="clear" w:color="000000" w:fill="CCFFCC"/>
            <w:noWrap/>
            <w:vAlign w:val="center"/>
            <w:hideMark/>
          </w:tcPr>
          <w:p w14:paraId="76C6D7F2" w14:textId="77777777" w:rsidR="005E671C" w:rsidRPr="005E671C" w:rsidRDefault="005E671C" w:rsidP="005E671C">
            <w:pPr>
              <w:spacing w:after="0" w:line="240" w:lineRule="auto"/>
              <w:jc w:val="center"/>
              <w:rPr>
                <w:rFonts w:ascii="Tahoma" w:eastAsia="Times New Roman" w:hAnsi="Tahoma" w:cs="Tahoma"/>
                <w:sz w:val="16"/>
                <w:szCs w:val="16"/>
                <w:lang w:eastAsia="hr-HR"/>
              </w:rPr>
            </w:pPr>
            <w:r w:rsidRPr="005E671C">
              <w:rPr>
                <w:rFonts w:ascii="Tahoma" w:eastAsia="Times New Roman" w:hAnsi="Tahoma" w:cs="Tahoma"/>
                <w:sz w:val="16"/>
                <w:szCs w:val="16"/>
                <w:lang w:eastAsia="hr-HR"/>
              </w:rPr>
              <w:t>3.</w:t>
            </w:r>
          </w:p>
        </w:tc>
        <w:tc>
          <w:tcPr>
            <w:tcW w:w="574" w:type="dxa"/>
            <w:tcBorders>
              <w:top w:val="single" w:sz="4" w:space="0" w:color="auto"/>
              <w:left w:val="nil"/>
              <w:bottom w:val="single" w:sz="4" w:space="0" w:color="auto"/>
              <w:right w:val="single" w:sz="4" w:space="0" w:color="auto"/>
            </w:tcBorders>
            <w:shd w:val="clear" w:color="000000" w:fill="CCFFCC"/>
            <w:noWrap/>
            <w:vAlign w:val="center"/>
            <w:hideMark/>
          </w:tcPr>
          <w:p w14:paraId="4557481D" w14:textId="77777777" w:rsidR="005E671C" w:rsidRPr="005E671C" w:rsidRDefault="005E671C" w:rsidP="005E671C">
            <w:pPr>
              <w:spacing w:after="0" w:line="240" w:lineRule="auto"/>
              <w:jc w:val="center"/>
              <w:rPr>
                <w:rFonts w:ascii="Tahoma" w:eastAsia="Times New Roman" w:hAnsi="Tahoma" w:cs="Tahoma"/>
                <w:sz w:val="16"/>
                <w:szCs w:val="16"/>
                <w:lang w:eastAsia="hr-HR"/>
              </w:rPr>
            </w:pPr>
            <w:r w:rsidRPr="005E671C">
              <w:rPr>
                <w:rFonts w:ascii="Tahoma" w:eastAsia="Times New Roman" w:hAnsi="Tahoma" w:cs="Tahoma"/>
                <w:sz w:val="16"/>
                <w:szCs w:val="16"/>
                <w:lang w:eastAsia="hr-HR"/>
              </w:rPr>
              <w:t>4.</w:t>
            </w:r>
          </w:p>
        </w:tc>
        <w:tc>
          <w:tcPr>
            <w:tcW w:w="440" w:type="dxa"/>
            <w:tcBorders>
              <w:top w:val="single" w:sz="4" w:space="0" w:color="auto"/>
              <w:left w:val="nil"/>
              <w:bottom w:val="single" w:sz="4" w:space="0" w:color="auto"/>
              <w:right w:val="single" w:sz="4" w:space="0" w:color="auto"/>
            </w:tcBorders>
            <w:shd w:val="clear" w:color="000000" w:fill="CCFFCC"/>
            <w:noWrap/>
            <w:vAlign w:val="center"/>
            <w:hideMark/>
          </w:tcPr>
          <w:p w14:paraId="40765B46" w14:textId="77777777" w:rsidR="005E671C" w:rsidRPr="005E671C" w:rsidRDefault="005E671C" w:rsidP="005E671C">
            <w:pPr>
              <w:spacing w:after="0" w:line="240" w:lineRule="auto"/>
              <w:jc w:val="center"/>
              <w:rPr>
                <w:rFonts w:ascii="Tahoma" w:eastAsia="Times New Roman" w:hAnsi="Tahoma" w:cs="Tahoma"/>
                <w:sz w:val="16"/>
                <w:szCs w:val="16"/>
                <w:lang w:eastAsia="hr-HR"/>
              </w:rPr>
            </w:pPr>
            <w:r w:rsidRPr="005E671C">
              <w:rPr>
                <w:rFonts w:ascii="Tahoma" w:eastAsia="Times New Roman" w:hAnsi="Tahoma" w:cs="Tahoma"/>
                <w:sz w:val="16"/>
                <w:szCs w:val="16"/>
                <w:lang w:eastAsia="hr-HR"/>
              </w:rPr>
              <w:t>5.</w:t>
            </w:r>
          </w:p>
        </w:tc>
        <w:tc>
          <w:tcPr>
            <w:tcW w:w="700" w:type="dxa"/>
            <w:tcBorders>
              <w:top w:val="nil"/>
              <w:left w:val="nil"/>
              <w:bottom w:val="single" w:sz="4" w:space="0" w:color="auto"/>
              <w:right w:val="single" w:sz="4" w:space="0" w:color="auto"/>
            </w:tcBorders>
            <w:shd w:val="clear" w:color="000000" w:fill="CCFFCC"/>
            <w:noWrap/>
            <w:vAlign w:val="center"/>
            <w:hideMark/>
          </w:tcPr>
          <w:p w14:paraId="179864FF" w14:textId="77777777" w:rsidR="005E671C" w:rsidRPr="005E671C" w:rsidRDefault="005E671C" w:rsidP="005E671C">
            <w:pPr>
              <w:spacing w:after="0" w:line="240" w:lineRule="auto"/>
              <w:jc w:val="center"/>
              <w:rPr>
                <w:rFonts w:ascii="Tahoma" w:eastAsia="Times New Roman" w:hAnsi="Tahoma" w:cs="Tahoma"/>
                <w:sz w:val="16"/>
                <w:szCs w:val="16"/>
                <w:lang w:eastAsia="hr-HR"/>
              </w:rPr>
            </w:pPr>
            <w:r w:rsidRPr="005E671C">
              <w:rPr>
                <w:rFonts w:ascii="Tahoma" w:eastAsia="Times New Roman" w:hAnsi="Tahoma" w:cs="Tahoma"/>
                <w:sz w:val="16"/>
                <w:szCs w:val="16"/>
                <w:lang w:eastAsia="hr-HR"/>
              </w:rPr>
              <w:t>6.</w:t>
            </w:r>
          </w:p>
        </w:tc>
        <w:tc>
          <w:tcPr>
            <w:tcW w:w="698" w:type="dxa"/>
            <w:tcBorders>
              <w:top w:val="nil"/>
              <w:left w:val="nil"/>
              <w:bottom w:val="single" w:sz="4" w:space="0" w:color="auto"/>
              <w:right w:val="single" w:sz="4" w:space="0" w:color="auto"/>
            </w:tcBorders>
            <w:shd w:val="clear" w:color="000000" w:fill="CCFFCC"/>
            <w:noWrap/>
            <w:vAlign w:val="center"/>
            <w:hideMark/>
          </w:tcPr>
          <w:p w14:paraId="4C6758F0" w14:textId="77777777" w:rsidR="005E671C" w:rsidRPr="005E671C" w:rsidRDefault="005E671C" w:rsidP="005E671C">
            <w:pPr>
              <w:spacing w:after="0" w:line="240" w:lineRule="auto"/>
              <w:jc w:val="center"/>
              <w:rPr>
                <w:rFonts w:ascii="Tahoma" w:eastAsia="Times New Roman" w:hAnsi="Tahoma" w:cs="Tahoma"/>
                <w:sz w:val="16"/>
                <w:szCs w:val="16"/>
                <w:lang w:eastAsia="hr-HR"/>
              </w:rPr>
            </w:pPr>
            <w:r w:rsidRPr="005E671C">
              <w:rPr>
                <w:rFonts w:ascii="Tahoma" w:eastAsia="Times New Roman" w:hAnsi="Tahoma" w:cs="Tahoma"/>
                <w:sz w:val="16"/>
                <w:szCs w:val="16"/>
                <w:lang w:eastAsia="hr-HR"/>
              </w:rPr>
              <w:t>7.</w:t>
            </w:r>
          </w:p>
        </w:tc>
        <w:tc>
          <w:tcPr>
            <w:tcW w:w="698" w:type="dxa"/>
            <w:tcBorders>
              <w:top w:val="nil"/>
              <w:left w:val="nil"/>
              <w:bottom w:val="single" w:sz="4" w:space="0" w:color="auto"/>
              <w:right w:val="single" w:sz="4" w:space="0" w:color="auto"/>
            </w:tcBorders>
            <w:shd w:val="clear" w:color="000000" w:fill="CCFFCC"/>
            <w:noWrap/>
            <w:vAlign w:val="center"/>
            <w:hideMark/>
          </w:tcPr>
          <w:p w14:paraId="33CBC1E9" w14:textId="77777777" w:rsidR="005E671C" w:rsidRPr="005E671C" w:rsidRDefault="005E671C" w:rsidP="005E671C">
            <w:pPr>
              <w:spacing w:after="0" w:line="240" w:lineRule="auto"/>
              <w:jc w:val="center"/>
              <w:rPr>
                <w:rFonts w:ascii="Tahoma" w:eastAsia="Times New Roman" w:hAnsi="Tahoma" w:cs="Tahoma"/>
                <w:sz w:val="16"/>
                <w:szCs w:val="16"/>
                <w:lang w:eastAsia="hr-HR"/>
              </w:rPr>
            </w:pPr>
            <w:r w:rsidRPr="005E671C">
              <w:rPr>
                <w:rFonts w:ascii="Tahoma" w:eastAsia="Times New Roman" w:hAnsi="Tahoma" w:cs="Tahoma"/>
                <w:sz w:val="16"/>
                <w:szCs w:val="16"/>
                <w:lang w:eastAsia="hr-HR"/>
              </w:rPr>
              <w:t>8.</w:t>
            </w:r>
          </w:p>
        </w:tc>
        <w:tc>
          <w:tcPr>
            <w:tcW w:w="698" w:type="dxa"/>
            <w:tcBorders>
              <w:top w:val="nil"/>
              <w:left w:val="nil"/>
              <w:bottom w:val="single" w:sz="4" w:space="0" w:color="auto"/>
              <w:right w:val="single" w:sz="4" w:space="0" w:color="auto"/>
            </w:tcBorders>
            <w:shd w:val="clear" w:color="000000" w:fill="CCFFCC"/>
            <w:noWrap/>
            <w:vAlign w:val="center"/>
            <w:hideMark/>
          </w:tcPr>
          <w:p w14:paraId="2ADACF81" w14:textId="77777777" w:rsidR="005E671C" w:rsidRPr="005E671C" w:rsidRDefault="005E671C" w:rsidP="005E671C">
            <w:pPr>
              <w:spacing w:after="0" w:line="240" w:lineRule="auto"/>
              <w:jc w:val="center"/>
              <w:rPr>
                <w:rFonts w:ascii="Tahoma" w:eastAsia="Times New Roman" w:hAnsi="Tahoma" w:cs="Tahoma"/>
                <w:sz w:val="16"/>
                <w:szCs w:val="16"/>
                <w:lang w:eastAsia="hr-HR"/>
              </w:rPr>
            </w:pPr>
            <w:r w:rsidRPr="005E671C">
              <w:rPr>
                <w:rFonts w:ascii="Tahoma" w:eastAsia="Times New Roman" w:hAnsi="Tahoma" w:cs="Tahoma"/>
                <w:sz w:val="16"/>
                <w:szCs w:val="16"/>
                <w:lang w:eastAsia="hr-HR"/>
              </w:rPr>
              <w:t>9.</w:t>
            </w:r>
          </w:p>
        </w:tc>
        <w:tc>
          <w:tcPr>
            <w:tcW w:w="698" w:type="dxa"/>
            <w:tcBorders>
              <w:top w:val="nil"/>
              <w:left w:val="nil"/>
              <w:bottom w:val="single" w:sz="4" w:space="0" w:color="auto"/>
              <w:right w:val="single" w:sz="4" w:space="0" w:color="auto"/>
            </w:tcBorders>
            <w:shd w:val="clear" w:color="000000" w:fill="CCFFCC"/>
            <w:noWrap/>
            <w:vAlign w:val="center"/>
            <w:hideMark/>
          </w:tcPr>
          <w:p w14:paraId="275742C2" w14:textId="77777777" w:rsidR="005E671C" w:rsidRPr="005E671C" w:rsidRDefault="005E671C" w:rsidP="005E671C">
            <w:pPr>
              <w:spacing w:after="0" w:line="240" w:lineRule="auto"/>
              <w:jc w:val="center"/>
              <w:rPr>
                <w:rFonts w:ascii="Tahoma" w:eastAsia="Times New Roman" w:hAnsi="Tahoma" w:cs="Tahoma"/>
                <w:sz w:val="16"/>
                <w:szCs w:val="16"/>
                <w:lang w:eastAsia="hr-HR"/>
              </w:rPr>
            </w:pPr>
            <w:r w:rsidRPr="005E671C">
              <w:rPr>
                <w:rFonts w:ascii="Tahoma" w:eastAsia="Times New Roman" w:hAnsi="Tahoma" w:cs="Tahoma"/>
                <w:sz w:val="16"/>
                <w:szCs w:val="16"/>
                <w:lang w:eastAsia="hr-HR"/>
              </w:rPr>
              <w:t>10.</w:t>
            </w:r>
          </w:p>
        </w:tc>
        <w:tc>
          <w:tcPr>
            <w:tcW w:w="698" w:type="dxa"/>
            <w:tcBorders>
              <w:top w:val="nil"/>
              <w:left w:val="nil"/>
              <w:bottom w:val="single" w:sz="4" w:space="0" w:color="auto"/>
              <w:right w:val="single" w:sz="4" w:space="0" w:color="auto"/>
            </w:tcBorders>
            <w:shd w:val="clear" w:color="000000" w:fill="CCFFCC"/>
            <w:noWrap/>
            <w:vAlign w:val="center"/>
            <w:hideMark/>
          </w:tcPr>
          <w:p w14:paraId="59A8DD79" w14:textId="77777777" w:rsidR="005E671C" w:rsidRPr="005E671C" w:rsidRDefault="005E671C" w:rsidP="005E671C">
            <w:pPr>
              <w:spacing w:after="0" w:line="240" w:lineRule="auto"/>
              <w:jc w:val="center"/>
              <w:rPr>
                <w:rFonts w:ascii="Tahoma" w:eastAsia="Times New Roman" w:hAnsi="Tahoma" w:cs="Tahoma"/>
                <w:sz w:val="16"/>
                <w:szCs w:val="16"/>
                <w:lang w:eastAsia="hr-HR"/>
              </w:rPr>
            </w:pPr>
            <w:r w:rsidRPr="005E671C">
              <w:rPr>
                <w:rFonts w:ascii="Tahoma" w:eastAsia="Times New Roman" w:hAnsi="Tahoma" w:cs="Tahoma"/>
                <w:sz w:val="16"/>
                <w:szCs w:val="16"/>
                <w:lang w:eastAsia="hr-HR"/>
              </w:rPr>
              <w:t>11.</w:t>
            </w:r>
          </w:p>
        </w:tc>
        <w:tc>
          <w:tcPr>
            <w:tcW w:w="493" w:type="dxa"/>
            <w:tcBorders>
              <w:top w:val="nil"/>
              <w:left w:val="nil"/>
              <w:bottom w:val="single" w:sz="4" w:space="0" w:color="auto"/>
              <w:right w:val="single" w:sz="4" w:space="0" w:color="auto"/>
            </w:tcBorders>
            <w:shd w:val="clear" w:color="000000" w:fill="CCFFCC"/>
            <w:noWrap/>
            <w:vAlign w:val="center"/>
            <w:hideMark/>
          </w:tcPr>
          <w:p w14:paraId="3E45525C" w14:textId="77777777" w:rsidR="005E671C" w:rsidRPr="005E671C" w:rsidRDefault="005E671C" w:rsidP="005E671C">
            <w:pPr>
              <w:spacing w:after="0" w:line="240" w:lineRule="auto"/>
              <w:jc w:val="center"/>
              <w:rPr>
                <w:rFonts w:ascii="Tahoma" w:eastAsia="Times New Roman" w:hAnsi="Tahoma" w:cs="Tahoma"/>
                <w:sz w:val="16"/>
                <w:szCs w:val="16"/>
                <w:lang w:eastAsia="hr-HR"/>
              </w:rPr>
            </w:pPr>
            <w:r w:rsidRPr="005E671C">
              <w:rPr>
                <w:rFonts w:ascii="Tahoma" w:eastAsia="Times New Roman" w:hAnsi="Tahoma" w:cs="Tahoma"/>
                <w:sz w:val="16"/>
                <w:szCs w:val="16"/>
                <w:lang w:eastAsia="hr-HR"/>
              </w:rPr>
              <w:t>12.</w:t>
            </w:r>
          </w:p>
        </w:tc>
        <w:tc>
          <w:tcPr>
            <w:tcW w:w="469" w:type="dxa"/>
            <w:tcBorders>
              <w:top w:val="nil"/>
              <w:left w:val="nil"/>
              <w:bottom w:val="single" w:sz="4" w:space="0" w:color="auto"/>
              <w:right w:val="single" w:sz="4" w:space="0" w:color="auto"/>
            </w:tcBorders>
            <w:shd w:val="clear" w:color="000000" w:fill="CCFFCC"/>
            <w:noWrap/>
            <w:vAlign w:val="center"/>
            <w:hideMark/>
          </w:tcPr>
          <w:p w14:paraId="04756061" w14:textId="77777777" w:rsidR="005E671C" w:rsidRPr="005E671C" w:rsidRDefault="005E671C" w:rsidP="005E671C">
            <w:pPr>
              <w:spacing w:after="0" w:line="240" w:lineRule="auto"/>
              <w:jc w:val="center"/>
              <w:rPr>
                <w:rFonts w:ascii="Tahoma" w:eastAsia="Times New Roman" w:hAnsi="Tahoma" w:cs="Tahoma"/>
                <w:sz w:val="16"/>
                <w:szCs w:val="16"/>
                <w:lang w:eastAsia="hr-HR"/>
              </w:rPr>
            </w:pPr>
            <w:r w:rsidRPr="005E671C">
              <w:rPr>
                <w:rFonts w:ascii="Tahoma" w:eastAsia="Times New Roman" w:hAnsi="Tahoma" w:cs="Tahoma"/>
                <w:sz w:val="16"/>
                <w:szCs w:val="16"/>
                <w:lang w:eastAsia="hr-HR"/>
              </w:rPr>
              <w:t>13.</w:t>
            </w:r>
          </w:p>
        </w:tc>
        <w:tc>
          <w:tcPr>
            <w:tcW w:w="467" w:type="dxa"/>
            <w:tcBorders>
              <w:top w:val="nil"/>
              <w:left w:val="nil"/>
              <w:bottom w:val="single" w:sz="4" w:space="0" w:color="auto"/>
              <w:right w:val="single" w:sz="4" w:space="0" w:color="auto"/>
            </w:tcBorders>
            <w:shd w:val="clear" w:color="000000" w:fill="CCFFCC"/>
            <w:noWrap/>
            <w:vAlign w:val="center"/>
            <w:hideMark/>
          </w:tcPr>
          <w:p w14:paraId="25FF0B42" w14:textId="77777777" w:rsidR="005E671C" w:rsidRPr="005E671C" w:rsidRDefault="005E671C" w:rsidP="005E671C">
            <w:pPr>
              <w:spacing w:after="0" w:line="240" w:lineRule="auto"/>
              <w:jc w:val="center"/>
              <w:rPr>
                <w:rFonts w:ascii="Tahoma" w:eastAsia="Times New Roman" w:hAnsi="Tahoma" w:cs="Tahoma"/>
                <w:sz w:val="16"/>
                <w:szCs w:val="16"/>
                <w:lang w:eastAsia="hr-HR"/>
              </w:rPr>
            </w:pPr>
            <w:r w:rsidRPr="005E671C">
              <w:rPr>
                <w:rFonts w:ascii="Tahoma" w:eastAsia="Times New Roman" w:hAnsi="Tahoma" w:cs="Tahoma"/>
                <w:sz w:val="16"/>
                <w:szCs w:val="16"/>
                <w:lang w:eastAsia="hr-HR"/>
              </w:rPr>
              <w:t>14.</w:t>
            </w:r>
          </w:p>
        </w:tc>
        <w:tc>
          <w:tcPr>
            <w:tcW w:w="567" w:type="dxa"/>
            <w:tcBorders>
              <w:top w:val="nil"/>
              <w:left w:val="nil"/>
              <w:bottom w:val="single" w:sz="4" w:space="0" w:color="auto"/>
              <w:right w:val="single" w:sz="4" w:space="0" w:color="auto"/>
            </w:tcBorders>
            <w:shd w:val="clear" w:color="000000" w:fill="CCFFCC"/>
            <w:noWrap/>
            <w:vAlign w:val="center"/>
            <w:hideMark/>
          </w:tcPr>
          <w:p w14:paraId="445FA849" w14:textId="77777777" w:rsidR="005E671C" w:rsidRPr="005E671C" w:rsidRDefault="005E671C" w:rsidP="005E671C">
            <w:pPr>
              <w:spacing w:after="0" w:line="240" w:lineRule="auto"/>
              <w:jc w:val="center"/>
              <w:rPr>
                <w:rFonts w:ascii="Tahoma" w:eastAsia="Times New Roman" w:hAnsi="Tahoma" w:cs="Tahoma"/>
                <w:sz w:val="16"/>
                <w:szCs w:val="16"/>
                <w:lang w:eastAsia="hr-HR"/>
              </w:rPr>
            </w:pPr>
            <w:r w:rsidRPr="005E671C">
              <w:rPr>
                <w:rFonts w:ascii="Tahoma" w:eastAsia="Times New Roman" w:hAnsi="Tahoma" w:cs="Tahoma"/>
                <w:sz w:val="16"/>
                <w:szCs w:val="16"/>
                <w:lang w:eastAsia="hr-HR"/>
              </w:rPr>
              <w:t>15.</w:t>
            </w:r>
          </w:p>
        </w:tc>
        <w:tc>
          <w:tcPr>
            <w:tcW w:w="542" w:type="dxa"/>
            <w:tcBorders>
              <w:top w:val="nil"/>
              <w:left w:val="nil"/>
              <w:bottom w:val="single" w:sz="4" w:space="0" w:color="auto"/>
              <w:right w:val="single" w:sz="4" w:space="0" w:color="auto"/>
            </w:tcBorders>
            <w:shd w:val="clear" w:color="000000" w:fill="CCFFCC"/>
            <w:noWrap/>
            <w:vAlign w:val="center"/>
            <w:hideMark/>
          </w:tcPr>
          <w:p w14:paraId="24C7D309" w14:textId="77777777" w:rsidR="005E671C" w:rsidRPr="005E671C" w:rsidRDefault="005E671C" w:rsidP="005E671C">
            <w:pPr>
              <w:spacing w:after="0" w:line="240" w:lineRule="auto"/>
              <w:jc w:val="center"/>
              <w:rPr>
                <w:rFonts w:ascii="Tahoma" w:eastAsia="Times New Roman" w:hAnsi="Tahoma" w:cs="Tahoma"/>
                <w:sz w:val="16"/>
                <w:szCs w:val="16"/>
                <w:lang w:eastAsia="hr-HR"/>
              </w:rPr>
            </w:pPr>
            <w:r w:rsidRPr="005E671C">
              <w:rPr>
                <w:rFonts w:ascii="Tahoma" w:eastAsia="Times New Roman" w:hAnsi="Tahoma" w:cs="Tahoma"/>
                <w:sz w:val="16"/>
                <w:szCs w:val="16"/>
                <w:lang w:eastAsia="hr-HR"/>
              </w:rPr>
              <w:t>16.</w:t>
            </w:r>
          </w:p>
        </w:tc>
        <w:tc>
          <w:tcPr>
            <w:tcW w:w="441" w:type="dxa"/>
            <w:tcBorders>
              <w:top w:val="single" w:sz="4" w:space="0" w:color="auto"/>
              <w:left w:val="nil"/>
              <w:bottom w:val="single" w:sz="4" w:space="0" w:color="auto"/>
              <w:right w:val="single" w:sz="4" w:space="0" w:color="auto"/>
            </w:tcBorders>
            <w:shd w:val="clear" w:color="000000" w:fill="CCFFCC"/>
            <w:noWrap/>
            <w:vAlign w:val="center"/>
            <w:hideMark/>
          </w:tcPr>
          <w:p w14:paraId="20F7C3EF" w14:textId="77777777" w:rsidR="005E671C" w:rsidRPr="005E671C" w:rsidRDefault="005E671C" w:rsidP="005E671C">
            <w:pPr>
              <w:spacing w:after="0" w:line="240" w:lineRule="auto"/>
              <w:jc w:val="center"/>
              <w:rPr>
                <w:rFonts w:ascii="Tahoma" w:eastAsia="Times New Roman" w:hAnsi="Tahoma" w:cs="Tahoma"/>
                <w:sz w:val="16"/>
                <w:szCs w:val="16"/>
                <w:lang w:eastAsia="hr-HR"/>
              </w:rPr>
            </w:pPr>
            <w:r w:rsidRPr="005E671C">
              <w:rPr>
                <w:rFonts w:ascii="Tahoma" w:eastAsia="Times New Roman" w:hAnsi="Tahoma" w:cs="Tahoma"/>
                <w:sz w:val="16"/>
                <w:szCs w:val="16"/>
                <w:lang w:eastAsia="hr-HR"/>
              </w:rPr>
              <w:t>17.</w:t>
            </w:r>
          </w:p>
        </w:tc>
        <w:tc>
          <w:tcPr>
            <w:tcW w:w="426" w:type="dxa"/>
            <w:tcBorders>
              <w:top w:val="single" w:sz="4" w:space="0" w:color="auto"/>
              <w:left w:val="nil"/>
              <w:bottom w:val="single" w:sz="4" w:space="0" w:color="auto"/>
              <w:right w:val="single" w:sz="4" w:space="0" w:color="auto"/>
            </w:tcBorders>
            <w:shd w:val="clear" w:color="000000" w:fill="CCFFCC"/>
            <w:noWrap/>
            <w:vAlign w:val="center"/>
            <w:hideMark/>
          </w:tcPr>
          <w:p w14:paraId="5C245C1F" w14:textId="49F9E2E0" w:rsidR="005E671C" w:rsidRPr="005E671C" w:rsidRDefault="005E671C" w:rsidP="005E671C">
            <w:pPr>
              <w:spacing w:after="0" w:line="240" w:lineRule="auto"/>
              <w:jc w:val="center"/>
              <w:rPr>
                <w:rFonts w:ascii="Tahoma" w:eastAsia="Times New Roman" w:hAnsi="Tahoma" w:cs="Tahoma"/>
                <w:sz w:val="16"/>
                <w:szCs w:val="16"/>
                <w:lang w:eastAsia="hr-HR"/>
              </w:rPr>
            </w:pPr>
            <w:r w:rsidRPr="005E671C">
              <w:rPr>
                <w:rFonts w:ascii="Tahoma" w:eastAsia="Times New Roman" w:hAnsi="Tahoma" w:cs="Tahoma"/>
                <w:sz w:val="16"/>
                <w:szCs w:val="16"/>
                <w:lang w:eastAsia="hr-HR"/>
              </w:rPr>
              <w:t>18</w:t>
            </w:r>
          </w:p>
        </w:tc>
        <w:tc>
          <w:tcPr>
            <w:tcW w:w="854" w:type="dxa"/>
            <w:tcBorders>
              <w:top w:val="nil"/>
              <w:left w:val="nil"/>
              <w:bottom w:val="single" w:sz="4" w:space="0" w:color="auto"/>
              <w:right w:val="single" w:sz="4" w:space="0" w:color="auto"/>
            </w:tcBorders>
            <w:shd w:val="clear" w:color="000000" w:fill="CCFFCC"/>
            <w:noWrap/>
            <w:vAlign w:val="center"/>
            <w:hideMark/>
          </w:tcPr>
          <w:p w14:paraId="79EF0938" w14:textId="77777777" w:rsidR="005E671C" w:rsidRPr="005E671C" w:rsidRDefault="005E671C" w:rsidP="005E671C">
            <w:pPr>
              <w:spacing w:after="0" w:line="240" w:lineRule="auto"/>
              <w:jc w:val="center"/>
              <w:rPr>
                <w:rFonts w:ascii="Tahoma" w:eastAsia="Times New Roman" w:hAnsi="Tahoma" w:cs="Tahoma"/>
                <w:sz w:val="16"/>
                <w:szCs w:val="16"/>
                <w:lang w:eastAsia="hr-HR"/>
              </w:rPr>
            </w:pPr>
            <w:r w:rsidRPr="005E671C">
              <w:rPr>
                <w:rFonts w:ascii="Tahoma" w:eastAsia="Times New Roman" w:hAnsi="Tahoma" w:cs="Tahoma"/>
                <w:sz w:val="16"/>
                <w:szCs w:val="16"/>
                <w:lang w:eastAsia="hr-HR"/>
              </w:rPr>
              <w:t>19.</w:t>
            </w:r>
          </w:p>
        </w:tc>
        <w:tc>
          <w:tcPr>
            <w:tcW w:w="440" w:type="dxa"/>
            <w:tcBorders>
              <w:top w:val="nil"/>
              <w:left w:val="nil"/>
              <w:bottom w:val="single" w:sz="4" w:space="0" w:color="auto"/>
              <w:right w:val="single" w:sz="4" w:space="0" w:color="auto"/>
            </w:tcBorders>
            <w:shd w:val="clear" w:color="000000" w:fill="CCFFCC"/>
            <w:noWrap/>
            <w:vAlign w:val="center"/>
            <w:hideMark/>
          </w:tcPr>
          <w:p w14:paraId="6241A220" w14:textId="77777777" w:rsidR="005E671C" w:rsidRPr="005E671C" w:rsidRDefault="005E671C" w:rsidP="005E671C">
            <w:pPr>
              <w:spacing w:after="0" w:line="240" w:lineRule="auto"/>
              <w:jc w:val="center"/>
              <w:rPr>
                <w:rFonts w:ascii="Tahoma" w:eastAsia="Times New Roman" w:hAnsi="Tahoma" w:cs="Tahoma"/>
                <w:sz w:val="16"/>
                <w:szCs w:val="16"/>
                <w:lang w:eastAsia="hr-HR"/>
              </w:rPr>
            </w:pPr>
            <w:r w:rsidRPr="005E671C">
              <w:rPr>
                <w:rFonts w:ascii="Tahoma" w:eastAsia="Times New Roman" w:hAnsi="Tahoma" w:cs="Tahoma"/>
                <w:sz w:val="16"/>
                <w:szCs w:val="16"/>
                <w:lang w:eastAsia="hr-HR"/>
              </w:rPr>
              <w:t>20.</w:t>
            </w:r>
          </w:p>
        </w:tc>
        <w:tc>
          <w:tcPr>
            <w:tcW w:w="408" w:type="dxa"/>
            <w:tcBorders>
              <w:top w:val="nil"/>
              <w:left w:val="nil"/>
              <w:bottom w:val="single" w:sz="4" w:space="0" w:color="auto"/>
              <w:right w:val="single" w:sz="4" w:space="0" w:color="auto"/>
            </w:tcBorders>
            <w:shd w:val="clear" w:color="000000" w:fill="CCFFCC"/>
            <w:noWrap/>
            <w:vAlign w:val="center"/>
            <w:hideMark/>
          </w:tcPr>
          <w:p w14:paraId="0AF59E57" w14:textId="12819600" w:rsidR="005E671C" w:rsidRPr="005E671C" w:rsidRDefault="005E671C" w:rsidP="005E671C">
            <w:pPr>
              <w:spacing w:after="0" w:line="240" w:lineRule="auto"/>
              <w:jc w:val="center"/>
              <w:rPr>
                <w:rFonts w:ascii="Tahoma" w:eastAsia="Times New Roman" w:hAnsi="Tahoma" w:cs="Tahoma"/>
                <w:sz w:val="16"/>
                <w:szCs w:val="16"/>
                <w:lang w:eastAsia="hr-HR"/>
              </w:rPr>
            </w:pPr>
            <w:r w:rsidRPr="005E671C">
              <w:rPr>
                <w:rFonts w:ascii="Tahoma" w:eastAsia="Times New Roman" w:hAnsi="Tahoma" w:cs="Tahoma"/>
                <w:sz w:val="16"/>
                <w:szCs w:val="16"/>
                <w:lang w:eastAsia="hr-HR"/>
              </w:rPr>
              <w:t>21</w:t>
            </w:r>
          </w:p>
        </w:tc>
        <w:tc>
          <w:tcPr>
            <w:tcW w:w="433" w:type="dxa"/>
            <w:tcBorders>
              <w:top w:val="nil"/>
              <w:left w:val="nil"/>
              <w:bottom w:val="single" w:sz="4" w:space="0" w:color="auto"/>
              <w:right w:val="single" w:sz="4" w:space="0" w:color="auto"/>
            </w:tcBorders>
            <w:shd w:val="clear" w:color="000000" w:fill="CCFFCC"/>
            <w:noWrap/>
            <w:vAlign w:val="center"/>
            <w:hideMark/>
          </w:tcPr>
          <w:p w14:paraId="0BC814A0" w14:textId="106443B0" w:rsidR="005E671C" w:rsidRPr="005E671C" w:rsidRDefault="005E671C" w:rsidP="005E671C">
            <w:pPr>
              <w:spacing w:after="0" w:line="240" w:lineRule="auto"/>
              <w:jc w:val="center"/>
              <w:rPr>
                <w:rFonts w:ascii="Tahoma" w:eastAsia="Times New Roman" w:hAnsi="Tahoma" w:cs="Tahoma"/>
                <w:sz w:val="16"/>
                <w:szCs w:val="16"/>
                <w:lang w:eastAsia="hr-HR"/>
              </w:rPr>
            </w:pPr>
            <w:r w:rsidRPr="005E671C">
              <w:rPr>
                <w:rFonts w:ascii="Tahoma" w:eastAsia="Times New Roman" w:hAnsi="Tahoma" w:cs="Tahoma"/>
                <w:sz w:val="16"/>
                <w:szCs w:val="16"/>
                <w:lang w:eastAsia="hr-HR"/>
              </w:rPr>
              <w:t>22</w:t>
            </w:r>
          </w:p>
        </w:tc>
        <w:tc>
          <w:tcPr>
            <w:tcW w:w="425" w:type="dxa"/>
            <w:tcBorders>
              <w:top w:val="nil"/>
              <w:left w:val="nil"/>
              <w:bottom w:val="single" w:sz="4" w:space="0" w:color="auto"/>
              <w:right w:val="single" w:sz="4" w:space="0" w:color="auto"/>
            </w:tcBorders>
            <w:shd w:val="clear" w:color="000000" w:fill="CCFFCC"/>
            <w:noWrap/>
            <w:vAlign w:val="center"/>
            <w:hideMark/>
          </w:tcPr>
          <w:p w14:paraId="15CBE743" w14:textId="71856790" w:rsidR="005E671C" w:rsidRPr="005E671C" w:rsidRDefault="005E671C" w:rsidP="005E671C">
            <w:pPr>
              <w:spacing w:after="0" w:line="240" w:lineRule="auto"/>
              <w:jc w:val="center"/>
              <w:rPr>
                <w:rFonts w:ascii="Tahoma" w:eastAsia="Times New Roman" w:hAnsi="Tahoma" w:cs="Tahoma"/>
                <w:sz w:val="16"/>
                <w:szCs w:val="16"/>
                <w:lang w:eastAsia="hr-HR"/>
              </w:rPr>
            </w:pPr>
            <w:r w:rsidRPr="005E671C">
              <w:rPr>
                <w:rFonts w:ascii="Tahoma" w:eastAsia="Times New Roman" w:hAnsi="Tahoma" w:cs="Tahoma"/>
                <w:sz w:val="16"/>
                <w:szCs w:val="16"/>
                <w:lang w:eastAsia="hr-HR"/>
              </w:rPr>
              <w:t>23</w:t>
            </w:r>
          </w:p>
        </w:tc>
        <w:tc>
          <w:tcPr>
            <w:tcW w:w="567" w:type="dxa"/>
            <w:tcBorders>
              <w:top w:val="nil"/>
              <w:left w:val="nil"/>
              <w:bottom w:val="single" w:sz="4" w:space="0" w:color="auto"/>
              <w:right w:val="single" w:sz="4" w:space="0" w:color="auto"/>
            </w:tcBorders>
            <w:shd w:val="clear" w:color="000000" w:fill="CCFFCC"/>
            <w:noWrap/>
            <w:vAlign w:val="center"/>
            <w:hideMark/>
          </w:tcPr>
          <w:p w14:paraId="4A73C477" w14:textId="77777777" w:rsidR="005E671C" w:rsidRPr="005E671C" w:rsidRDefault="005E671C" w:rsidP="005E671C">
            <w:pPr>
              <w:spacing w:after="0" w:line="240" w:lineRule="auto"/>
              <w:jc w:val="center"/>
              <w:rPr>
                <w:rFonts w:ascii="Tahoma" w:eastAsia="Times New Roman" w:hAnsi="Tahoma" w:cs="Tahoma"/>
                <w:sz w:val="16"/>
                <w:szCs w:val="16"/>
                <w:lang w:eastAsia="hr-HR"/>
              </w:rPr>
            </w:pPr>
            <w:r w:rsidRPr="005E671C">
              <w:rPr>
                <w:rFonts w:ascii="Tahoma" w:eastAsia="Times New Roman" w:hAnsi="Tahoma" w:cs="Tahoma"/>
                <w:sz w:val="16"/>
                <w:szCs w:val="16"/>
                <w:lang w:eastAsia="hr-HR"/>
              </w:rPr>
              <w:t>24.</w:t>
            </w:r>
          </w:p>
        </w:tc>
        <w:tc>
          <w:tcPr>
            <w:tcW w:w="237" w:type="dxa"/>
            <w:gridSpan w:val="2"/>
            <w:vAlign w:val="center"/>
            <w:hideMark/>
          </w:tcPr>
          <w:p w14:paraId="5644DBE0" w14:textId="77777777" w:rsidR="005E671C" w:rsidRPr="005E671C" w:rsidRDefault="005E671C" w:rsidP="005E671C">
            <w:pPr>
              <w:spacing w:after="0" w:line="240" w:lineRule="auto"/>
              <w:rPr>
                <w:rFonts w:ascii="Times New Roman" w:eastAsia="Times New Roman" w:hAnsi="Times New Roman" w:cs="Times New Roman"/>
                <w:sz w:val="20"/>
                <w:szCs w:val="20"/>
                <w:lang w:eastAsia="hr-HR"/>
              </w:rPr>
            </w:pPr>
          </w:p>
        </w:tc>
      </w:tr>
      <w:tr w:rsidR="005E671C" w:rsidRPr="005E671C" w14:paraId="1BAD86E4" w14:textId="77777777" w:rsidTr="001752B7">
        <w:trPr>
          <w:gridAfter w:val="1"/>
          <w:wAfter w:w="51" w:type="dxa"/>
          <w:trHeight w:val="495"/>
        </w:trPr>
        <w:tc>
          <w:tcPr>
            <w:tcW w:w="1550" w:type="dxa"/>
            <w:tcBorders>
              <w:top w:val="single" w:sz="4" w:space="0" w:color="auto"/>
              <w:left w:val="single" w:sz="8" w:space="0" w:color="auto"/>
              <w:bottom w:val="single" w:sz="4" w:space="0" w:color="auto"/>
              <w:right w:val="single" w:sz="4" w:space="0" w:color="auto"/>
            </w:tcBorders>
            <w:shd w:val="clear" w:color="000000" w:fill="CCFFCC"/>
            <w:vAlign w:val="center"/>
            <w:hideMark/>
          </w:tcPr>
          <w:p w14:paraId="57956A80" w14:textId="77777777" w:rsidR="005E671C" w:rsidRPr="005E671C" w:rsidRDefault="005E671C" w:rsidP="005E671C">
            <w:pPr>
              <w:spacing w:after="0" w:line="240" w:lineRule="auto"/>
              <w:rPr>
                <w:rFonts w:ascii="Tahoma" w:eastAsia="Times New Roman" w:hAnsi="Tahoma" w:cs="Tahoma"/>
                <w:sz w:val="20"/>
                <w:szCs w:val="20"/>
                <w:lang w:eastAsia="hr-HR"/>
              </w:rPr>
            </w:pPr>
            <w:r w:rsidRPr="005E671C">
              <w:rPr>
                <w:rFonts w:ascii="Tahoma" w:eastAsia="Times New Roman" w:hAnsi="Tahoma" w:cs="Tahoma"/>
                <w:sz w:val="20"/>
                <w:szCs w:val="20"/>
                <w:lang w:eastAsia="hr-HR"/>
              </w:rPr>
              <w:t xml:space="preserve">Rasa ili etnička </w:t>
            </w:r>
            <w:proofErr w:type="spellStart"/>
            <w:r w:rsidRPr="005E671C">
              <w:rPr>
                <w:rFonts w:ascii="Tahoma" w:eastAsia="Times New Roman" w:hAnsi="Tahoma" w:cs="Tahoma"/>
                <w:sz w:val="20"/>
                <w:szCs w:val="20"/>
                <w:lang w:eastAsia="hr-HR"/>
              </w:rPr>
              <w:t>propadnost</w:t>
            </w:r>
            <w:proofErr w:type="spellEnd"/>
            <w:r w:rsidRPr="005E671C">
              <w:rPr>
                <w:rFonts w:ascii="Tahoma" w:eastAsia="Times New Roman" w:hAnsi="Tahoma" w:cs="Tahoma"/>
                <w:sz w:val="20"/>
                <w:szCs w:val="20"/>
                <w:lang w:eastAsia="hr-HR"/>
              </w:rPr>
              <w:t xml:space="preserve"> ili boja kože</w:t>
            </w:r>
          </w:p>
        </w:tc>
        <w:tc>
          <w:tcPr>
            <w:tcW w:w="669" w:type="dxa"/>
            <w:tcBorders>
              <w:top w:val="nil"/>
              <w:left w:val="nil"/>
              <w:bottom w:val="single" w:sz="4" w:space="0" w:color="auto"/>
              <w:right w:val="single" w:sz="4" w:space="0" w:color="auto"/>
            </w:tcBorders>
            <w:shd w:val="clear" w:color="000000" w:fill="FFCC99"/>
            <w:noWrap/>
            <w:vAlign w:val="center"/>
            <w:hideMark/>
          </w:tcPr>
          <w:p w14:paraId="1A23A77D" w14:textId="77777777" w:rsidR="005E671C" w:rsidRPr="005E671C" w:rsidRDefault="005E671C" w:rsidP="005E671C">
            <w:pPr>
              <w:spacing w:after="0" w:line="240" w:lineRule="auto"/>
              <w:jc w:val="center"/>
              <w:rPr>
                <w:rFonts w:ascii="Tahoma" w:eastAsia="Times New Roman" w:hAnsi="Tahoma" w:cs="Tahoma"/>
                <w:sz w:val="20"/>
                <w:szCs w:val="20"/>
                <w:lang w:eastAsia="hr-HR"/>
              </w:rPr>
            </w:pPr>
            <w:r w:rsidRPr="005E671C">
              <w:rPr>
                <w:rFonts w:ascii="Tahoma" w:eastAsia="Times New Roman" w:hAnsi="Tahoma" w:cs="Tahoma"/>
                <w:sz w:val="20"/>
                <w:szCs w:val="20"/>
                <w:lang w:eastAsia="hr-HR"/>
              </w:rPr>
              <w:t>3</w:t>
            </w:r>
          </w:p>
        </w:tc>
        <w:tc>
          <w:tcPr>
            <w:tcW w:w="352" w:type="dxa"/>
            <w:tcBorders>
              <w:top w:val="nil"/>
              <w:left w:val="nil"/>
              <w:bottom w:val="single" w:sz="4" w:space="0" w:color="auto"/>
              <w:right w:val="single" w:sz="4" w:space="0" w:color="auto"/>
            </w:tcBorders>
            <w:shd w:val="clear" w:color="000000" w:fill="FFFF00"/>
            <w:noWrap/>
            <w:vAlign w:val="center"/>
            <w:hideMark/>
          </w:tcPr>
          <w:p w14:paraId="64DD2AF8" w14:textId="77777777" w:rsidR="005E671C" w:rsidRPr="005E671C" w:rsidRDefault="005E671C" w:rsidP="005E671C">
            <w:pPr>
              <w:spacing w:after="0" w:line="240" w:lineRule="auto"/>
              <w:jc w:val="center"/>
              <w:rPr>
                <w:rFonts w:ascii="Tahoma" w:eastAsia="Times New Roman" w:hAnsi="Tahoma" w:cs="Tahoma"/>
                <w:sz w:val="20"/>
                <w:szCs w:val="20"/>
                <w:lang w:eastAsia="hr-HR"/>
              </w:rPr>
            </w:pPr>
            <w:r w:rsidRPr="005E671C">
              <w:rPr>
                <w:rFonts w:ascii="Tahoma" w:eastAsia="Times New Roman" w:hAnsi="Tahoma" w:cs="Tahoma"/>
                <w:sz w:val="20"/>
                <w:szCs w:val="20"/>
                <w:lang w:eastAsia="hr-HR"/>
              </w:rPr>
              <w:t>6</w:t>
            </w:r>
          </w:p>
        </w:tc>
        <w:tc>
          <w:tcPr>
            <w:tcW w:w="574" w:type="dxa"/>
            <w:tcBorders>
              <w:top w:val="nil"/>
              <w:left w:val="nil"/>
              <w:bottom w:val="single" w:sz="4" w:space="0" w:color="auto"/>
              <w:right w:val="single" w:sz="4" w:space="0" w:color="auto"/>
            </w:tcBorders>
            <w:shd w:val="clear" w:color="000000" w:fill="CCFFFF"/>
            <w:noWrap/>
            <w:vAlign w:val="center"/>
            <w:hideMark/>
          </w:tcPr>
          <w:p w14:paraId="13C64DA7" w14:textId="77777777" w:rsidR="005E671C" w:rsidRPr="005E671C" w:rsidRDefault="005E671C" w:rsidP="005E671C">
            <w:pPr>
              <w:spacing w:after="0" w:line="240" w:lineRule="auto"/>
              <w:jc w:val="center"/>
              <w:rPr>
                <w:rFonts w:ascii="Tahoma" w:eastAsia="Times New Roman" w:hAnsi="Tahoma" w:cs="Tahoma"/>
                <w:sz w:val="20"/>
                <w:szCs w:val="20"/>
                <w:lang w:eastAsia="hr-HR"/>
              </w:rPr>
            </w:pPr>
            <w:r w:rsidRPr="005E671C">
              <w:rPr>
                <w:rFonts w:ascii="Tahoma" w:eastAsia="Times New Roman" w:hAnsi="Tahoma" w:cs="Tahoma"/>
                <w:sz w:val="20"/>
                <w:szCs w:val="20"/>
                <w:lang w:eastAsia="hr-HR"/>
              </w:rPr>
              <w:t>9</w:t>
            </w:r>
          </w:p>
        </w:tc>
        <w:tc>
          <w:tcPr>
            <w:tcW w:w="440" w:type="dxa"/>
            <w:tcBorders>
              <w:top w:val="nil"/>
              <w:left w:val="nil"/>
              <w:bottom w:val="single" w:sz="4" w:space="0" w:color="auto"/>
              <w:right w:val="single" w:sz="4" w:space="0" w:color="auto"/>
            </w:tcBorders>
            <w:shd w:val="clear" w:color="000000" w:fill="CCFFFF"/>
            <w:noWrap/>
            <w:vAlign w:val="center"/>
            <w:hideMark/>
          </w:tcPr>
          <w:p w14:paraId="399DC62D" w14:textId="77777777" w:rsidR="005E671C" w:rsidRPr="005E671C" w:rsidRDefault="005E671C" w:rsidP="005E671C">
            <w:pPr>
              <w:spacing w:after="0" w:line="240" w:lineRule="auto"/>
              <w:jc w:val="center"/>
              <w:rPr>
                <w:rFonts w:ascii="Tahoma" w:eastAsia="Times New Roman" w:hAnsi="Tahoma" w:cs="Tahoma"/>
                <w:sz w:val="20"/>
                <w:szCs w:val="20"/>
                <w:lang w:eastAsia="hr-HR"/>
              </w:rPr>
            </w:pPr>
            <w:r w:rsidRPr="005E671C">
              <w:rPr>
                <w:rFonts w:ascii="Tahoma" w:eastAsia="Times New Roman" w:hAnsi="Tahoma" w:cs="Tahoma"/>
                <w:sz w:val="20"/>
                <w:szCs w:val="20"/>
                <w:lang w:eastAsia="hr-HR"/>
              </w:rPr>
              <w:t>5</w:t>
            </w:r>
          </w:p>
        </w:tc>
        <w:tc>
          <w:tcPr>
            <w:tcW w:w="700" w:type="dxa"/>
            <w:tcBorders>
              <w:top w:val="nil"/>
              <w:left w:val="nil"/>
              <w:bottom w:val="single" w:sz="4" w:space="0" w:color="auto"/>
              <w:right w:val="single" w:sz="4" w:space="0" w:color="auto"/>
            </w:tcBorders>
            <w:shd w:val="clear" w:color="000000" w:fill="FFFF99"/>
            <w:noWrap/>
            <w:vAlign w:val="center"/>
            <w:hideMark/>
          </w:tcPr>
          <w:p w14:paraId="74C88343" w14:textId="77777777" w:rsidR="005E671C" w:rsidRPr="005E671C" w:rsidRDefault="005E671C" w:rsidP="005E671C">
            <w:pPr>
              <w:spacing w:after="0" w:line="240" w:lineRule="auto"/>
              <w:jc w:val="center"/>
              <w:rPr>
                <w:rFonts w:ascii="Tahoma" w:eastAsia="Times New Roman" w:hAnsi="Tahoma" w:cs="Tahoma"/>
                <w:sz w:val="20"/>
                <w:szCs w:val="20"/>
                <w:lang w:eastAsia="hr-HR"/>
              </w:rPr>
            </w:pPr>
            <w:r w:rsidRPr="005E671C">
              <w:rPr>
                <w:rFonts w:ascii="Tahoma" w:eastAsia="Times New Roman" w:hAnsi="Tahoma" w:cs="Tahoma"/>
                <w:sz w:val="20"/>
                <w:szCs w:val="20"/>
                <w:lang w:eastAsia="hr-HR"/>
              </w:rPr>
              <w:t>4</w:t>
            </w:r>
          </w:p>
        </w:tc>
        <w:tc>
          <w:tcPr>
            <w:tcW w:w="698" w:type="dxa"/>
            <w:tcBorders>
              <w:top w:val="nil"/>
              <w:left w:val="nil"/>
              <w:bottom w:val="single" w:sz="4" w:space="0" w:color="auto"/>
              <w:right w:val="single" w:sz="4" w:space="0" w:color="auto"/>
            </w:tcBorders>
            <w:shd w:val="clear" w:color="000000" w:fill="FFFF99"/>
            <w:noWrap/>
            <w:vAlign w:val="center"/>
            <w:hideMark/>
          </w:tcPr>
          <w:p w14:paraId="4B609627" w14:textId="77777777" w:rsidR="005E671C" w:rsidRPr="005E671C" w:rsidRDefault="005E671C" w:rsidP="005E671C">
            <w:pPr>
              <w:spacing w:after="0" w:line="240" w:lineRule="auto"/>
              <w:jc w:val="center"/>
              <w:rPr>
                <w:rFonts w:ascii="Tahoma" w:eastAsia="Times New Roman" w:hAnsi="Tahoma" w:cs="Tahoma"/>
                <w:sz w:val="20"/>
                <w:szCs w:val="20"/>
                <w:lang w:eastAsia="hr-HR"/>
              </w:rPr>
            </w:pPr>
            <w:r w:rsidRPr="005E671C">
              <w:rPr>
                <w:rFonts w:ascii="Tahoma" w:eastAsia="Times New Roman" w:hAnsi="Tahoma" w:cs="Tahoma"/>
                <w:sz w:val="20"/>
                <w:szCs w:val="20"/>
                <w:lang w:eastAsia="hr-HR"/>
              </w:rPr>
              <w:t>0</w:t>
            </w:r>
          </w:p>
        </w:tc>
        <w:tc>
          <w:tcPr>
            <w:tcW w:w="698" w:type="dxa"/>
            <w:tcBorders>
              <w:top w:val="nil"/>
              <w:left w:val="nil"/>
              <w:bottom w:val="single" w:sz="4" w:space="0" w:color="auto"/>
              <w:right w:val="single" w:sz="4" w:space="0" w:color="auto"/>
            </w:tcBorders>
            <w:shd w:val="clear" w:color="000000" w:fill="FFFF99"/>
            <w:noWrap/>
            <w:vAlign w:val="center"/>
            <w:hideMark/>
          </w:tcPr>
          <w:p w14:paraId="536D36E6" w14:textId="77777777" w:rsidR="005E671C" w:rsidRPr="005E671C" w:rsidRDefault="005E671C" w:rsidP="005E671C">
            <w:pPr>
              <w:spacing w:after="0" w:line="240" w:lineRule="auto"/>
              <w:jc w:val="center"/>
              <w:rPr>
                <w:rFonts w:ascii="Tahoma" w:eastAsia="Times New Roman" w:hAnsi="Tahoma" w:cs="Tahoma"/>
                <w:sz w:val="20"/>
                <w:szCs w:val="20"/>
                <w:lang w:eastAsia="hr-HR"/>
              </w:rPr>
            </w:pPr>
            <w:r w:rsidRPr="005E671C">
              <w:rPr>
                <w:rFonts w:ascii="Tahoma" w:eastAsia="Times New Roman" w:hAnsi="Tahoma" w:cs="Tahoma"/>
                <w:sz w:val="20"/>
                <w:szCs w:val="20"/>
                <w:lang w:eastAsia="hr-HR"/>
              </w:rPr>
              <w:t>2</w:t>
            </w:r>
          </w:p>
        </w:tc>
        <w:tc>
          <w:tcPr>
            <w:tcW w:w="698" w:type="dxa"/>
            <w:tcBorders>
              <w:top w:val="nil"/>
              <w:left w:val="nil"/>
              <w:bottom w:val="single" w:sz="4" w:space="0" w:color="auto"/>
              <w:right w:val="single" w:sz="4" w:space="0" w:color="auto"/>
            </w:tcBorders>
            <w:shd w:val="clear" w:color="000000" w:fill="FFFF99"/>
            <w:noWrap/>
            <w:vAlign w:val="center"/>
            <w:hideMark/>
          </w:tcPr>
          <w:p w14:paraId="1FE00281" w14:textId="77777777" w:rsidR="005E671C" w:rsidRPr="005E671C" w:rsidRDefault="005E671C" w:rsidP="005E671C">
            <w:pPr>
              <w:spacing w:after="0" w:line="240" w:lineRule="auto"/>
              <w:jc w:val="center"/>
              <w:rPr>
                <w:rFonts w:ascii="Tahoma" w:eastAsia="Times New Roman" w:hAnsi="Tahoma" w:cs="Tahoma"/>
                <w:sz w:val="20"/>
                <w:szCs w:val="20"/>
                <w:lang w:eastAsia="hr-HR"/>
              </w:rPr>
            </w:pPr>
            <w:r w:rsidRPr="005E671C">
              <w:rPr>
                <w:rFonts w:ascii="Tahoma" w:eastAsia="Times New Roman" w:hAnsi="Tahoma" w:cs="Tahoma"/>
                <w:sz w:val="20"/>
                <w:szCs w:val="20"/>
                <w:lang w:eastAsia="hr-HR"/>
              </w:rPr>
              <w:t>0</w:t>
            </w:r>
          </w:p>
        </w:tc>
        <w:tc>
          <w:tcPr>
            <w:tcW w:w="698" w:type="dxa"/>
            <w:tcBorders>
              <w:top w:val="nil"/>
              <w:left w:val="nil"/>
              <w:bottom w:val="single" w:sz="4" w:space="0" w:color="auto"/>
              <w:right w:val="single" w:sz="4" w:space="0" w:color="auto"/>
            </w:tcBorders>
            <w:shd w:val="clear" w:color="000000" w:fill="FFFF99"/>
            <w:noWrap/>
            <w:vAlign w:val="center"/>
            <w:hideMark/>
          </w:tcPr>
          <w:p w14:paraId="6FCCC662" w14:textId="77777777" w:rsidR="005E671C" w:rsidRPr="005E671C" w:rsidRDefault="005E671C" w:rsidP="005E671C">
            <w:pPr>
              <w:spacing w:after="0" w:line="240" w:lineRule="auto"/>
              <w:jc w:val="center"/>
              <w:rPr>
                <w:rFonts w:ascii="Tahoma" w:eastAsia="Times New Roman" w:hAnsi="Tahoma" w:cs="Tahoma"/>
                <w:sz w:val="20"/>
                <w:szCs w:val="20"/>
                <w:lang w:eastAsia="hr-HR"/>
              </w:rPr>
            </w:pPr>
            <w:r w:rsidRPr="005E671C">
              <w:rPr>
                <w:rFonts w:ascii="Tahoma" w:eastAsia="Times New Roman" w:hAnsi="Tahoma" w:cs="Tahoma"/>
                <w:sz w:val="20"/>
                <w:szCs w:val="20"/>
                <w:lang w:eastAsia="hr-HR"/>
              </w:rPr>
              <w:t>0</w:t>
            </w:r>
          </w:p>
        </w:tc>
        <w:tc>
          <w:tcPr>
            <w:tcW w:w="698" w:type="dxa"/>
            <w:tcBorders>
              <w:top w:val="nil"/>
              <w:left w:val="nil"/>
              <w:bottom w:val="single" w:sz="4" w:space="0" w:color="auto"/>
              <w:right w:val="single" w:sz="4" w:space="0" w:color="auto"/>
            </w:tcBorders>
            <w:shd w:val="clear" w:color="000000" w:fill="FFFF99"/>
            <w:noWrap/>
            <w:vAlign w:val="center"/>
            <w:hideMark/>
          </w:tcPr>
          <w:p w14:paraId="1DE38E4C" w14:textId="77777777" w:rsidR="005E671C" w:rsidRPr="005E671C" w:rsidRDefault="005E671C" w:rsidP="005E671C">
            <w:pPr>
              <w:spacing w:after="0" w:line="240" w:lineRule="auto"/>
              <w:jc w:val="center"/>
              <w:rPr>
                <w:rFonts w:ascii="Tahoma" w:eastAsia="Times New Roman" w:hAnsi="Tahoma" w:cs="Tahoma"/>
                <w:sz w:val="20"/>
                <w:szCs w:val="20"/>
                <w:lang w:eastAsia="hr-HR"/>
              </w:rPr>
            </w:pPr>
            <w:r w:rsidRPr="005E671C">
              <w:rPr>
                <w:rFonts w:ascii="Tahoma" w:eastAsia="Times New Roman" w:hAnsi="Tahoma" w:cs="Tahoma"/>
                <w:sz w:val="20"/>
                <w:szCs w:val="20"/>
                <w:lang w:eastAsia="hr-HR"/>
              </w:rPr>
              <w:t>0</w:t>
            </w:r>
          </w:p>
        </w:tc>
        <w:tc>
          <w:tcPr>
            <w:tcW w:w="493" w:type="dxa"/>
            <w:tcBorders>
              <w:top w:val="nil"/>
              <w:left w:val="nil"/>
              <w:bottom w:val="single" w:sz="4" w:space="0" w:color="auto"/>
              <w:right w:val="single" w:sz="4" w:space="0" w:color="auto"/>
            </w:tcBorders>
            <w:shd w:val="clear" w:color="000000" w:fill="FF9900"/>
            <w:noWrap/>
            <w:vAlign w:val="center"/>
            <w:hideMark/>
          </w:tcPr>
          <w:p w14:paraId="3DD6B447" w14:textId="77777777" w:rsidR="005E671C" w:rsidRPr="005E671C" w:rsidRDefault="005E671C" w:rsidP="005E671C">
            <w:pPr>
              <w:spacing w:after="0" w:line="240" w:lineRule="auto"/>
              <w:jc w:val="center"/>
              <w:rPr>
                <w:rFonts w:ascii="Tahoma" w:eastAsia="Times New Roman" w:hAnsi="Tahoma" w:cs="Tahoma"/>
                <w:sz w:val="20"/>
                <w:szCs w:val="20"/>
                <w:lang w:eastAsia="hr-HR"/>
              </w:rPr>
            </w:pPr>
            <w:r w:rsidRPr="005E671C">
              <w:rPr>
                <w:rFonts w:ascii="Tahoma" w:eastAsia="Times New Roman" w:hAnsi="Tahoma" w:cs="Tahoma"/>
                <w:sz w:val="20"/>
                <w:szCs w:val="20"/>
                <w:lang w:eastAsia="hr-HR"/>
              </w:rPr>
              <w:t>0</w:t>
            </w:r>
          </w:p>
        </w:tc>
        <w:tc>
          <w:tcPr>
            <w:tcW w:w="469" w:type="dxa"/>
            <w:tcBorders>
              <w:top w:val="nil"/>
              <w:left w:val="nil"/>
              <w:bottom w:val="single" w:sz="4" w:space="0" w:color="auto"/>
              <w:right w:val="single" w:sz="4" w:space="0" w:color="auto"/>
            </w:tcBorders>
            <w:shd w:val="clear" w:color="000000" w:fill="FF9900"/>
            <w:noWrap/>
            <w:vAlign w:val="center"/>
            <w:hideMark/>
          </w:tcPr>
          <w:p w14:paraId="70CEEA3F" w14:textId="77777777" w:rsidR="005E671C" w:rsidRPr="005E671C" w:rsidRDefault="005E671C" w:rsidP="005E671C">
            <w:pPr>
              <w:spacing w:after="0" w:line="240" w:lineRule="auto"/>
              <w:jc w:val="center"/>
              <w:rPr>
                <w:rFonts w:ascii="Tahoma" w:eastAsia="Times New Roman" w:hAnsi="Tahoma" w:cs="Tahoma"/>
                <w:sz w:val="20"/>
                <w:szCs w:val="20"/>
                <w:lang w:eastAsia="hr-HR"/>
              </w:rPr>
            </w:pPr>
            <w:r w:rsidRPr="005E671C">
              <w:rPr>
                <w:rFonts w:ascii="Tahoma" w:eastAsia="Times New Roman" w:hAnsi="Tahoma" w:cs="Tahoma"/>
                <w:sz w:val="20"/>
                <w:szCs w:val="20"/>
                <w:lang w:eastAsia="hr-HR"/>
              </w:rPr>
              <w:t>0</w:t>
            </w:r>
          </w:p>
        </w:tc>
        <w:tc>
          <w:tcPr>
            <w:tcW w:w="467" w:type="dxa"/>
            <w:tcBorders>
              <w:top w:val="nil"/>
              <w:left w:val="nil"/>
              <w:bottom w:val="single" w:sz="4" w:space="0" w:color="auto"/>
              <w:right w:val="single" w:sz="4" w:space="0" w:color="auto"/>
            </w:tcBorders>
            <w:shd w:val="clear" w:color="000000" w:fill="FF9900"/>
            <w:noWrap/>
            <w:vAlign w:val="center"/>
            <w:hideMark/>
          </w:tcPr>
          <w:p w14:paraId="4CFD66A7" w14:textId="77777777" w:rsidR="005E671C" w:rsidRPr="005E671C" w:rsidRDefault="005E671C" w:rsidP="005E671C">
            <w:pPr>
              <w:spacing w:after="0" w:line="240" w:lineRule="auto"/>
              <w:jc w:val="center"/>
              <w:rPr>
                <w:rFonts w:ascii="Tahoma" w:eastAsia="Times New Roman" w:hAnsi="Tahoma" w:cs="Tahoma"/>
                <w:sz w:val="20"/>
                <w:szCs w:val="20"/>
                <w:lang w:eastAsia="hr-HR"/>
              </w:rPr>
            </w:pPr>
            <w:r w:rsidRPr="005E671C">
              <w:rPr>
                <w:rFonts w:ascii="Tahoma" w:eastAsia="Times New Roman" w:hAnsi="Tahoma" w:cs="Tahoma"/>
                <w:sz w:val="20"/>
                <w:szCs w:val="20"/>
                <w:lang w:eastAsia="hr-HR"/>
              </w:rPr>
              <w:t>2</w:t>
            </w:r>
          </w:p>
        </w:tc>
        <w:tc>
          <w:tcPr>
            <w:tcW w:w="567" w:type="dxa"/>
            <w:tcBorders>
              <w:top w:val="nil"/>
              <w:left w:val="nil"/>
              <w:bottom w:val="single" w:sz="4" w:space="0" w:color="auto"/>
              <w:right w:val="single" w:sz="4" w:space="0" w:color="auto"/>
            </w:tcBorders>
            <w:shd w:val="clear" w:color="000000" w:fill="FFFF00"/>
            <w:vAlign w:val="center"/>
            <w:hideMark/>
          </w:tcPr>
          <w:p w14:paraId="3057E092" w14:textId="77777777" w:rsidR="005E671C" w:rsidRPr="005E671C" w:rsidRDefault="005E671C" w:rsidP="005E671C">
            <w:pPr>
              <w:spacing w:after="0" w:line="240" w:lineRule="auto"/>
              <w:jc w:val="center"/>
              <w:rPr>
                <w:rFonts w:ascii="Tahoma" w:eastAsia="Times New Roman" w:hAnsi="Tahoma" w:cs="Tahoma"/>
                <w:sz w:val="20"/>
                <w:szCs w:val="20"/>
                <w:lang w:eastAsia="hr-HR"/>
              </w:rPr>
            </w:pPr>
            <w:r w:rsidRPr="005E671C">
              <w:rPr>
                <w:rFonts w:ascii="Tahoma" w:eastAsia="Times New Roman" w:hAnsi="Tahoma" w:cs="Tahoma"/>
                <w:sz w:val="20"/>
                <w:szCs w:val="20"/>
                <w:lang w:eastAsia="hr-HR"/>
              </w:rPr>
              <w:t>2</w:t>
            </w:r>
          </w:p>
        </w:tc>
        <w:tc>
          <w:tcPr>
            <w:tcW w:w="542" w:type="dxa"/>
            <w:tcBorders>
              <w:top w:val="nil"/>
              <w:left w:val="nil"/>
              <w:bottom w:val="single" w:sz="4" w:space="0" w:color="auto"/>
              <w:right w:val="single" w:sz="4" w:space="0" w:color="auto"/>
            </w:tcBorders>
            <w:shd w:val="clear" w:color="000000" w:fill="FF9900"/>
            <w:vAlign w:val="center"/>
            <w:hideMark/>
          </w:tcPr>
          <w:p w14:paraId="364F1AF4" w14:textId="77777777" w:rsidR="005E671C" w:rsidRPr="005E671C" w:rsidRDefault="005E671C" w:rsidP="005E671C">
            <w:pPr>
              <w:spacing w:after="0" w:line="240" w:lineRule="auto"/>
              <w:jc w:val="center"/>
              <w:rPr>
                <w:rFonts w:ascii="Tahoma" w:eastAsia="Times New Roman" w:hAnsi="Tahoma" w:cs="Tahoma"/>
                <w:sz w:val="20"/>
                <w:szCs w:val="20"/>
                <w:lang w:eastAsia="hr-HR"/>
              </w:rPr>
            </w:pPr>
            <w:r w:rsidRPr="005E671C">
              <w:rPr>
                <w:rFonts w:ascii="Tahoma" w:eastAsia="Times New Roman" w:hAnsi="Tahoma" w:cs="Tahoma"/>
                <w:sz w:val="20"/>
                <w:szCs w:val="20"/>
                <w:lang w:eastAsia="hr-HR"/>
              </w:rPr>
              <w:t>7</w:t>
            </w:r>
          </w:p>
        </w:tc>
        <w:tc>
          <w:tcPr>
            <w:tcW w:w="441" w:type="dxa"/>
            <w:tcBorders>
              <w:top w:val="nil"/>
              <w:left w:val="nil"/>
              <w:bottom w:val="single" w:sz="4" w:space="0" w:color="auto"/>
              <w:right w:val="single" w:sz="4" w:space="0" w:color="auto"/>
            </w:tcBorders>
            <w:shd w:val="clear" w:color="000000" w:fill="FF9900"/>
            <w:vAlign w:val="center"/>
            <w:hideMark/>
          </w:tcPr>
          <w:p w14:paraId="13C9DB49" w14:textId="77777777" w:rsidR="005E671C" w:rsidRPr="005E671C" w:rsidRDefault="005E671C" w:rsidP="005E671C">
            <w:pPr>
              <w:spacing w:after="0" w:line="240" w:lineRule="auto"/>
              <w:jc w:val="center"/>
              <w:rPr>
                <w:rFonts w:ascii="Tahoma" w:eastAsia="Times New Roman" w:hAnsi="Tahoma" w:cs="Tahoma"/>
                <w:sz w:val="20"/>
                <w:szCs w:val="20"/>
                <w:lang w:eastAsia="hr-HR"/>
              </w:rPr>
            </w:pPr>
            <w:r w:rsidRPr="005E671C">
              <w:rPr>
                <w:rFonts w:ascii="Tahoma" w:eastAsia="Times New Roman" w:hAnsi="Tahoma" w:cs="Tahoma"/>
                <w:sz w:val="20"/>
                <w:szCs w:val="20"/>
                <w:lang w:eastAsia="hr-HR"/>
              </w:rPr>
              <w:t>3</w:t>
            </w:r>
          </w:p>
        </w:tc>
        <w:tc>
          <w:tcPr>
            <w:tcW w:w="426" w:type="dxa"/>
            <w:tcBorders>
              <w:top w:val="nil"/>
              <w:left w:val="nil"/>
              <w:bottom w:val="single" w:sz="4" w:space="0" w:color="auto"/>
              <w:right w:val="single" w:sz="4" w:space="0" w:color="auto"/>
            </w:tcBorders>
            <w:shd w:val="clear" w:color="000000" w:fill="FF9900"/>
            <w:vAlign w:val="center"/>
            <w:hideMark/>
          </w:tcPr>
          <w:p w14:paraId="41EE2E6D" w14:textId="77777777" w:rsidR="005E671C" w:rsidRPr="005E671C" w:rsidRDefault="005E671C" w:rsidP="005E671C">
            <w:pPr>
              <w:spacing w:after="0" w:line="240" w:lineRule="auto"/>
              <w:jc w:val="center"/>
              <w:rPr>
                <w:rFonts w:ascii="Tahoma" w:eastAsia="Times New Roman" w:hAnsi="Tahoma" w:cs="Tahoma"/>
                <w:sz w:val="20"/>
                <w:szCs w:val="20"/>
                <w:lang w:eastAsia="hr-HR"/>
              </w:rPr>
            </w:pPr>
            <w:r w:rsidRPr="005E671C">
              <w:rPr>
                <w:rFonts w:ascii="Tahoma" w:eastAsia="Times New Roman" w:hAnsi="Tahoma" w:cs="Tahoma"/>
                <w:sz w:val="20"/>
                <w:szCs w:val="20"/>
                <w:lang w:eastAsia="hr-HR"/>
              </w:rPr>
              <w:t>0</w:t>
            </w:r>
          </w:p>
        </w:tc>
        <w:tc>
          <w:tcPr>
            <w:tcW w:w="854" w:type="dxa"/>
            <w:tcBorders>
              <w:top w:val="nil"/>
              <w:left w:val="nil"/>
              <w:bottom w:val="single" w:sz="4" w:space="0" w:color="auto"/>
              <w:right w:val="single" w:sz="4" w:space="0" w:color="auto"/>
            </w:tcBorders>
            <w:shd w:val="clear" w:color="000000" w:fill="FF9900"/>
            <w:vAlign w:val="center"/>
            <w:hideMark/>
          </w:tcPr>
          <w:p w14:paraId="6977DA32" w14:textId="77777777" w:rsidR="005E671C" w:rsidRPr="005E671C" w:rsidRDefault="005E671C" w:rsidP="005E671C">
            <w:pPr>
              <w:spacing w:after="0" w:line="240" w:lineRule="auto"/>
              <w:jc w:val="center"/>
              <w:rPr>
                <w:rFonts w:ascii="Tahoma" w:eastAsia="Times New Roman" w:hAnsi="Tahoma" w:cs="Tahoma"/>
                <w:sz w:val="20"/>
                <w:szCs w:val="20"/>
                <w:lang w:eastAsia="hr-HR"/>
              </w:rPr>
            </w:pPr>
            <w:r w:rsidRPr="005E671C">
              <w:rPr>
                <w:rFonts w:ascii="Tahoma" w:eastAsia="Times New Roman" w:hAnsi="Tahoma" w:cs="Tahoma"/>
                <w:sz w:val="20"/>
                <w:szCs w:val="20"/>
                <w:lang w:eastAsia="hr-HR"/>
              </w:rPr>
              <w:t>0</w:t>
            </w:r>
          </w:p>
        </w:tc>
        <w:tc>
          <w:tcPr>
            <w:tcW w:w="440" w:type="dxa"/>
            <w:tcBorders>
              <w:top w:val="nil"/>
              <w:left w:val="nil"/>
              <w:bottom w:val="single" w:sz="4" w:space="0" w:color="auto"/>
              <w:right w:val="single" w:sz="4" w:space="0" w:color="auto"/>
            </w:tcBorders>
            <w:shd w:val="clear" w:color="000000" w:fill="CCFFFF"/>
            <w:noWrap/>
            <w:vAlign w:val="center"/>
            <w:hideMark/>
          </w:tcPr>
          <w:p w14:paraId="35FA9EC2" w14:textId="77777777" w:rsidR="005E671C" w:rsidRPr="005E671C" w:rsidRDefault="005E671C" w:rsidP="005E671C">
            <w:pPr>
              <w:spacing w:after="0" w:line="240" w:lineRule="auto"/>
              <w:jc w:val="center"/>
              <w:rPr>
                <w:rFonts w:ascii="Tahoma" w:eastAsia="Times New Roman" w:hAnsi="Tahoma" w:cs="Tahoma"/>
                <w:sz w:val="20"/>
                <w:szCs w:val="20"/>
                <w:lang w:eastAsia="hr-HR"/>
              </w:rPr>
            </w:pPr>
            <w:r w:rsidRPr="005E671C">
              <w:rPr>
                <w:rFonts w:ascii="Tahoma" w:eastAsia="Times New Roman" w:hAnsi="Tahoma" w:cs="Tahoma"/>
                <w:sz w:val="20"/>
                <w:szCs w:val="20"/>
                <w:lang w:eastAsia="hr-HR"/>
              </w:rPr>
              <w:t>0</w:t>
            </w:r>
          </w:p>
        </w:tc>
        <w:tc>
          <w:tcPr>
            <w:tcW w:w="408" w:type="dxa"/>
            <w:tcBorders>
              <w:top w:val="nil"/>
              <w:left w:val="nil"/>
              <w:bottom w:val="single" w:sz="4" w:space="0" w:color="auto"/>
              <w:right w:val="single" w:sz="4" w:space="0" w:color="auto"/>
            </w:tcBorders>
            <w:shd w:val="clear" w:color="000000" w:fill="CCFFFF"/>
            <w:noWrap/>
            <w:vAlign w:val="center"/>
            <w:hideMark/>
          </w:tcPr>
          <w:p w14:paraId="6AA95636" w14:textId="77777777" w:rsidR="005E671C" w:rsidRPr="005E671C" w:rsidRDefault="005E671C" w:rsidP="005E671C">
            <w:pPr>
              <w:spacing w:after="0" w:line="240" w:lineRule="auto"/>
              <w:jc w:val="center"/>
              <w:rPr>
                <w:rFonts w:ascii="Tahoma" w:eastAsia="Times New Roman" w:hAnsi="Tahoma" w:cs="Tahoma"/>
                <w:sz w:val="20"/>
                <w:szCs w:val="20"/>
                <w:lang w:eastAsia="hr-HR"/>
              </w:rPr>
            </w:pPr>
            <w:r w:rsidRPr="005E671C">
              <w:rPr>
                <w:rFonts w:ascii="Tahoma" w:eastAsia="Times New Roman" w:hAnsi="Tahoma" w:cs="Tahoma"/>
                <w:sz w:val="20"/>
                <w:szCs w:val="20"/>
                <w:lang w:eastAsia="hr-HR"/>
              </w:rPr>
              <w:t>3</w:t>
            </w:r>
          </w:p>
        </w:tc>
        <w:tc>
          <w:tcPr>
            <w:tcW w:w="433" w:type="dxa"/>
            <w:tcBorders>
              <w:top w:val="nil"/>
              <w:left w:val="nil"/>
              <w:bottom w:val="single" w:sz="4" w:space="0" w:color="auto"/>
              <w:right w:val="single" w:sz="4" w:space="0" w:color="auto"/>
            </w:tcBorders>
            <w:shd w:val="clear" w:color="000000" w:fill="CCFFFF"/>
            <w:noWrap/>
            <w:vAlign w:val="center"/>
            <w:hideMark/>
          </w:tcPr>
          <w:p w14:paraId="7D5D385F" w14:textId="77777777" w:rsidR="005E671C" w:rsidRPr="005E671C" w:rsidRDefault="005E671C" w:rsidP="005E671C">
            <w:pPr>
              <w:spacing w:after="0" w:line="240" w:lineRule="auto"/>
              <w:jc w:val="center"/>
              <w:rPr>
                <w:rFonts w:ascii="Tahoma" w:eastAsia="Times New Roman" w:hAnsi="Tahoma" w:cs="Tahoma"/>
                <w:sz w:val="20"/>
                <w:szCs w:val="20"/>
                <w:lang w:eastAsia="hr-HR"/>
              </w:rPr>
            </w:pPr>
            <w:r w:rsidRPr="005E671C">
              <w:rPr>
                <w:rFonts w:ascii="Tahoma" w:eastAsia="Times New Roman" w:hAnsi="Tahoma" w:cs="Tahoma"/>
                <w:sz w:val="20"/>
                <w:szCs w:val="20"/>
                <w:lang w:eastAsia="hr-HR"/>
              </w:rPr>
              <w:t>0</w:t>
            </w:r>
          </w:p>
        </w:tc>
        <w:tc>
          <w:tcPr>
            <w:tcW w:w="425" w:type="dxa"/>
            <w:tcBorders>
              <w:top w:val="nil"/>
              <w:left w:val="nil"/>
              <w:bottom w:val="single" w:sz="4" w:space="0" w:color="auto"/>
              <w:right w:val="single" w:sz="8" w:space="0" w:color="auto"/>
            </w:tcBorders>
            <w:shd w:val="clear" w:color="000000" w:fill="33CCCC"/>
            <w:noWrap/>
            <w:vAlign w:val="center"/>
            <w:hideMark/>
          </w:tcPr>
          <w:p w14:paraId="7C487DC8" w14:textId="77777777" w:rsidR="005E671C" w:rsidRPr="005E671C" w:rsidRDefault="005E671C" w:rsidP="005E671C">
            <w:pPr>
              <w:spacing w:after="0" w:line="240" w:lineRule="auto"/>
              <w:jc w:val="center"/>
              <w:rPr>
                <w:rFonts w:ascii="Tahoma" w:eastAsia="Times New Roman" w:hAnsi="Tahoma" w:cs="Tahoma"/>
                <w:sz w:val="20"/>
                <w:szCs w:val="20"/>
                <w:lang w:eastAsia="hr-HR"/>
              </w:rPr>
            </w:pPr>
            <w:r w:rsidRPr="005E671C">
              <w:rPr>
                <w:rFonts w:ascii="Tahoma" w:eastAsia="Times New Roman" w:hAnsi="Tahoma" w:cs="Tahoma"/>
                <w:sz w:val="20"/>
                <w:szCs w:val="20"/>
                <w:lang w:eastAsia="hr-HR"/>
              </w:rPr>
              <w:t>0</w:t>
            </w:r>
          </w:p>
        </w:tc>
        <w:tc>
          <w:tcPr>
            <w:tcW w:w="567" w:type="dxa"/>
            <w:tcBorders>
              <w:top w:val="nil"/>
              <w:left w:val="single" w:sz="4" w:space="0" w:color="auto"/>
              <w:bottom w:val="single" w:sz="4" w:space="0" w:color="auto"/>
              <w:right w:val="single" w:sz="8" w:space="0" w:color="auto"/>
            </w:tcBorders>
            <w:shd w:val="clear" w:color="000000" w:fill="33CCCC"/>
            <w:noWrap/>
            <w:vAlign w:val="center"/>
            <w:hideMark/>
          </w:tcPr>
          <w:p w14:paraId="040E69CE" w14:textId="77777777" w:rsidR="005E671C" w:rsidRPr="005E671C" w:rsidRDefault="005E671C" w:rsidP="005E671C">
            <w:pPr>
              <w:spacing w:after="0" w:line="240" w:lineRule="auto"/>
              <w:jc w:val="center"/>
              <w:rPr>
                <w:rFonts w:ascii="Tahoma" w:eastAsia="Times New Roman" w:hAnsi="Tahoma" w:cs="Tahoma"/>
                <w:sz w:val="20"/>
                <w:szCs w:val="20"/>
                <w:lang w:eastAsia="hr-HR"/>
              </w:rPr>
            </w:pPr>
            <w:r w:rsidRPr="005E671C">
              <w:rPr>
                <w:rFonts w:ascii="Tahoma" w:eastAsia="Times New Roman" w:hAnsi="Tahoma" w:cs="Tahoma"/>
                <w:sz w:val="20"/>
                <w:szCs w:val="20"/>
                <w:lang w:eastAsia="hr-HR"/>
              </w:rPr>
              <w:t>2</w:t>
            </w:r>
          </w:p>
        </w:tc>
        <w:tc>
          <w:tcPr>
            <w:tcW w:w="237" w:type="dxa"/>
            <w:gridSpan w:val="2"/>
            <w:vAlign w:val="center"/>
            <w:hideMark/>
          </w:tcPr>
          <w:p w14:paraId="37FDB8F6" w14:textId="77777777" w:rsidR="005E671C" w:rsidRPr="005E671C" w:rsidRDefault="005E671C" w:rsidP="005E671C">
            <w:pPr>
              <w:spacing w:after="0" w:line="240" w:lineRule="auto"/>
              <w:rPr>
                <w:rFonts w:ascii="Times New Roman" w:eastAsia="Times New Roman" w:hAnsi="Times New Roman" w:cs="Times New Roman"/>
                <w:sz w:val="20"/>
                <w:szCs w:val="20"/>
                <w:lang w:eastAsia="hr-HR"/>
              </w:rPr>
            </w:pPr>
          </w:p>
        </w:tc>
      </w:tr>
      <w:tr w:rsidR="005E671C" w:rsidRPr="005E671C" w14:paraId="7CC45141" w14:textId="77777777" w:rsidTr="001752B7">
        <w:trPr>
          <w:gridAfter w:val="1"/>
          <w:wAfter w:w="51" w:type="dxa"/>
          <w:trHeight w:val="300"/>
        </w:trPr>
        <w:tc>
          <w:tcPr>
            <w:tcW w:w="1550" w:type="dxa"/>
            <w:tcBorders>
              <w:top w:val="single" w:sz="4" w:space="0" w:color="auto"/>
              <w:left w:val="single" w:sz="8" w:space="0" w:color="auto"/>
              <w:bottom w:val="single" w:sz="4" w:space="0" w:color="auto"/>
              <w:right w:val="single" w:sz="4" w:space="0" w:color="auto"/>
            </w:tcBorders>
            <w:shd w:val="clear" w:color="000000" w:fill="CCFFCC"/>
            <w:vAlign w:val="center"/>
            <w:hideMark/>
          </w:tcPr>
          <w:p w14:paraId="6B1CA447" w14:textId="77777777" w:rsidR="005E671C" w:rsidRPr="005E671C" w:rsidRDefault="005E671C" w:rsidP="005E671C">
            <w:pPr>
              <w:spacing w:after="0" w:line="240" w:lineRule="auto"/>
              <w:rPr>
                <w:rFonts w:ascii="Tahoma" w:eastAsia="Times New Roman" w:hAnsi="Tahoma" w:cs="Tahoma"/>
                <w:sz w:val="20"/>
                <w:szCs w:val="20"/>
                <w:lang w:eastAsia="hr-HR"/>
              </w:rPr>
            </w:pPr>
            <w:r w:rsidRPr="005E671C">
              <w:rPr>
                <w:rFonts w:ascii="Tahoma" w:eastAsia="Times New Roman" w:hAnsi="Tahoma" w:cs="Tahoma"/>
                <w:sz w:val="20"/>
                <w:szCs w:val="20"/>
                <w:lang w:eastAsia="hr-HR"/>
              </w:rPr>
              <w:t>Spol</w:t>
            </w:r>
          </w:p>
        </w:tc>
        <w:tc>
          <w:tcPr>
            <w:tcW w:w="669" w:type="dxa"/>
            <w:tcBorders>
              <w:top w:val="nil"/>
              <w:left w:val="nil"/>
              <w:bottom w:val="single" w:sz="4" w:space="0" w:color="auto"/>
              <w:right w:val="single" w:sz="4" w:space="0" w:color="auto"/>
            </w:tcBorders>
            <w:shd w:val="clear" w:color="000000" w:fill="FFCC99"/>
            <w:noWrap/>
            <w:vAlign w:val="center"/>
            <w:hideMark/>
          </w:tcPr>
          <w:p w14:paraId="44D734A0" w14:textId="77777777" w:rsidR="005E671C" w:rsidRPr="005E671C" w:rsidRDefault="005E671C" w:rsidP="005E671C">
            <w:pPr>
              <w:spacing w:after="0" w:line="240" w:lineRule="auto"/>
              <w:jc w:val="center"/>
              <w:rPr>
                <w:rFonts w:ascii="Tahoma" w:eastAsia="Times New Roman" w:hAnsi="Tahoma" w:cs="Tahoma"/>
                <w:sz w:val="20"/>
                <w:szCs w:val="20"/>
                <w:lang w:eastAsia="hr-HR"/>
              </w:rPr>
            </w:pPr>
            <w:r w:rsidRPr="005E671C">
              <w:rPr>
                <w:rFonts w:ascii="Tahoma" w:eastAsia="Times New Roman" w:hAnsi="Tahoma" w:cs="Tahoma"/>
                <w:sz w:val="20"/>
                <w:szCs w:val="20"/>
                <w:lang w:eastAsia="hr-HR"/>
              </w:rPr>
              <w:t>17</w:t>
            </w:r>
          </w:p>
        </w:tc>
        <w:tc>
          <w:tcPr>
            <w:tcW w:w="352" w:type="dxa"/>
            <w:tcBorders>
              <w:top w:val="nil"/>
              <w:left w:val="nil"/>
              <w:bottom w:val="single" w:sz="4" w:space="0" w:color="auto"/>
              <w:right w:val="single" w:sz="4" w:space="0" w:color="auto"/>
            </w:tcBorders>
            <w:shd w:val="clear" w:color="000000" w:fill="FFFF00"/>
            <w:noWrap/>
            <w:vAlign w:val="center"/>
            <w:hideMark/>
          </w:tcPr>
          <w:p w14:paraId="0F0AA948" w14:textId="77777777" w:rsidR="005E671C" w:rsidRPr="005E671C" w:rsidRDefault="005E671C" w:rsidP="005E671C">
            <w:pPr>
              <w:spacing w:after="0" w:line="240" w:lineRule="auto"/>
              <w:jc w:val="center"/>
              <w:rPr>
                <w:rFonts w:ascii="Tahoma" w:eastAsia="Times New Roman" w:hAnsi="Tahoma" w:cs="Tahoma"/>
                <w:sz w:val="20"/>
                <w:szCs w:val="20"/>
                <w:lang w:eastAsia="hr-HR"/>
              </w:rPr>
            </w:pPr>
            <w:r w:rsidRPr="005E671C">
              <w:rPr>
                <w:rFonts w:ascii="Tahoma" w:eastAsia="Times New Roman" w:hAnsi="Tahoma" w:cs="Tahoma"/>
                <w:sz w:val="20"/>
                <w:szCs w:val="20"/>
                <w:lang w:eastAsia="hr-HR"/>
              </w:rPr>
              <w:t>4</w:t>
            </w:r>
          </w:p>
        </w:tc>
        <w:tc>
          <w:tcPr>
            <w:tcW w:w="574" w:type="dxa"/>
            <w:tcBorders>
              <w:top w:val="nil"/>
              <w:left w:val="nil"/>
              <w:bottom w:val="single" w:sz="4" w:space="0" w:color="auto"/>
              <w:right w:val="single" w:sz="4" w:space="0" w:color="auto"/>
            </w:tcBorders>
            <w:shd w:val="clear" w:color="000000" w:fill="CCFFFF"/>
            <w:noWrap/>
            <w:vAlign w:val="center"/>
            <w:hideMark/>
          </w:tcPr>
          <w:p w14:paraId="270CE9C1" w14:textId="77777777" w:rsidR="005E671C" w:rsidRPr="005E671C" w:rsidRDefault="005E671C" w:rsidP="005E671C">
            <w:pPr>
              <w:spacing w:after="0" w:line="240" w:lineRule="auto"/>
              <w:jc w:val="center"/>
              <w:rPr>
                <w:rFonts w:ascii="Tahoma" w:eastAsia="Times New Roman" w:hAnsi="Tahoma" w:cs="Tahoma"/>
                <w:sz w:val="20"/>
                <w:szCs w:val="20"/>
                <w:lang w:eastAsia="hr-HR"/>
              </w:rPr>
            </w:pPr>
            <w:r w:rsidRPr="005E671C">
              <w:rPr>
                <w:rFonts w:ascii="Tahoma" w:eastAsia="Times New Roman" w:hAnsi="Tahoma" w:cs="Tahoma"/>
                <w:sz w:val="20"/>
                <w:szCs w:val="20"/>
                <w:lang w:eastAsia="hr-HR"/>
              </w:rPr>
              <w:t>7</w:t>
            </w:r>
          </w:p>
        </w:tc>
        <w:tc>
          <w:tcPr>
            <w:tcW w:w="440" w:type="dxa"/>
            <w:tcBorders>
              <w:top w:val="nil"/>
              <w:left w:val="nil"/>
              <w:bottom w:val="single" w:sz="4" w:space="0" w:color="auto"/>
              <w:right w:val="single" w:sz="4" w:space="0" w:color="auto"/>
            </w:tcBorders>
            <w:shd w:val="clear" w:color="000000" w:fill="CCFFFF"/>
            <w:noWrap/>
            <w:vAlign w:val="center"/>
            <w:hideMark/>
          </w:tcPr>
          <w:p w14:paraId="3570463D" w14:textId="77777777" w:rsidR="005E671C" w:rsidRPr="005E671C" w:rsidRDefault="005E671C" w:rsidP="005E671C">
            <w:pPr>
              <w:spacing w:after="0" w:line="240" w:lineRule="auto"/>
              <w:jc w:val="center"/>
              <w:rPr>
                <w:rFonts w:ascii="Tahoma" w:eastAsia="Times New Roman" w:hAnsi="Tahoma" w:cs="Tahoma"/>
                <w:sz w:val="20"/>
                <w:szCs w:val="20"/>
                <w:lang w:eastAsia="hr-HR"/>
              </w:rPr>
            </w:pPr>
            <w:r w:rsidRPr="005E671C">
              <w:rPr>
                <w:rFonts w:ascii="Tahoma" w:eastAsia="Times New Roman" w:hAnsi="Tahoma" w:cs="Tahoma"/>
                <w:sz w:val="20"/>
                <w:szCs w:val="20"/>
                <w:lang w:eastAsia="hr-HR"/>
              </w:rPr>
              <w:t>0</w:t>
            </w:r>
          </w:p>
        </w:tc>
        <w:tc>
          <w:tcPr>
            <w:tcW w:w="700" w:type="dxa"/>
            <w:tcBorders>
              <w:top w:val="nil"/>
              <w:left w:val="nil"/>
              <w:bottom w:val="single" w:sz="4" w:space="0" w:color="auto"/>
              <w:right w:val="single" w:sz="4" w:space="0" w:color="auto"/>
            </w:tcBorders>
            <w:shd w:val="clear" w:color="000000" w:fill="FFFF99"/>
            <w:noWrap/>
            <w:vAlign w:val="center"/>
            <w:hideMark/>
          </w:tcPr>
          <w:p w14:paraId="2F4363AF" w14:textId="77777777" w:rsidR="005E671C" w:rsidRPr="005E671C" w:rsidRDefault="005E671C" w:rsidP="005E671C">
            <w:pPr>
              <w:spacing w:after="0" w:line="240" w:lineRule="auto"/>
              <w:jc w:val="center"/>
              <w:rPr>
                <w:rFonts w:ascii="Tahoma" w:eastAsia="Times New Roman" w:hAnsi="Tahoma" w:cs="Tahoma"/>
                <w:sz w:val="20"/>
                <w:szCs w:val="20"/>
                <w:lang w:eastAsia="hr-HR"/>
              </w:rPr>
            </w:pPr>
            <w:r w:rsidRPr="005E671C">
              <w:rPr>
                <w:rFonts w:ascii="Tahoma" w:eastAsia="Times New Roman" w:hAnsi="Tahoma" w:cs="Tahoma"/>
                <w:sz w:val="20"/>
                <w:szCs w:val="20"/>
                <w:lang w:eastAsia="hr-HR"/>
              </w:rPr>
              <w:t>2</w:t>
            </w:r>
          </w:p>
        </w:tc>
        <w:tc>
          <w:tcPr>
            <w:tcW w:w="698" w:type="dxa"/>
            <w:tcBorders>
              <w:top w:val="nil"/>
              <w:left w:val="nil"/>
              <w:bottom w:val="single" w:sz="4" w:space="0" w:color="auto"/>
              <w:right w:val="single" w:sz="4" w:space="0" w:color="auto"/>
            </w:tcBorders>
            <w:shd w:val="clear" w:color="000000" w:fill="FFFF99"/>
            <w:noWrap/>
            <w:vAlign w:val="center"/>
            <w:hideMark/>
          </w:tcPr>
          <w:p w14:paraId="4753FC07" w14:textId="77777777" w:rsidR="005E671C" w:rsidRPr="005E671C" w:rsidRDefault="005E671C" w:rsidP="005E671C">
            <w:pPr>
              <w:spacing w:after="0" w:line="240" w:lineRule="auto"/>
              <w:jc w:val="center"/>
              <w:rPr>
                <w:rFonts w:ascii="Tahoma" w:eastAsia="Times New Roman" w:hAnsi="Tahoma" w:cs="Tahoma"/>
                <w:sz w:val="20"/>
                <w:szCs w:val="20"/>
                <w:lang w:eastAsia="hr-HR"/>
              </w:rPr>
            </w:pPr>
            <w:r w:rsidRPr="005E671C">
              <w:rPr>
                <w:rFonts w:ascii="Tahoma" w:eastAsia="Times New Roman" w:hAnsi="Tahoma" w:cs="Tahoma"/>
                <w:sz w:val="20"/>
                <w:szCs w:val="20"/>
                <w:lang w:eastAsia="hr-HR"/>
              </w:rPr>
              <w:t>0</w:t>
            </w:r>
          </w:p>
        </w:tc>
        <w:tc>
          <w:tcPr>
            <w:tcW w:w="698" w:type="dxa"/>
            <w:tcBorders>
              <w:top w:val="nil"/>
              <w:left w:val="nil"/>
              <w:bottom w:val="single" w:sz="4" w:space="0" w:color="auto"/>
              <w:right w:val="single" w:sz="4" w:space="0" w:color="auto"/>
            </w:tcBorders>
            <w:shd w:val="clear" w:color="000000" w:fill="FFFF99"/>
            <w:noWrap/>
            <w:vAlign w:val="center"/>
            <w:hideMark/>
          </w:tcPr>
          <w:p w14:paraId="7BF86F02" w14:textId="77777777" w:rsidR="005E671C" w:rsidRPr="005E671C" w:rsidRDefault="005E671C" w:rsidP="005E671C">
            <w:pPr>
              <w:spacing w:after="0" w:line="240" w:lineRule="auto"/>
              <w:jc w:val="center"/>
              <w:rPr>
                <w:rFonts w:ascii="Tahoma" w:eastAsia="Times New Roman" w:hAnsi="Tahoma" w:cs="Tahoma"/>
                <w:sz w:val="20"/>
                <w:szCs w:val="20"/>
                <w:lang w:eastAsia="hr-HR"/>
              </w:rPr>
            </w:pPr>
            <w:r w:rsidRPr="005E671C">
              <w:rPr>
                <w:rFonts w:ascii="Tahoma" w:eastAsia="Times New Roman" w:hAnsi="Tahoma" w:cs="Tahoma"/>
                <w:sz w:val="20"/>
                <w:szCs w:val="20"/>
                <w:lang w:eastAsia="hr-HR"/>
              </w:rPr>
              <w:t>2</w:t>
            </w:r>
          </w:p>
        </w:tc>
        <w:tc>
          <w:tcPr>
            <w:tcW w:w="698" w:type="dxa"/>
            <w:tcBorders>
              <w:top w:val="nil"/>
              <w:left w:val="nil"/>
              <w:bottom w:val="single" w:sz="4" w:space="0" w:color="auto"/>
              <w:right w:val="single" w:sz="4" w:space="0" w:color="auto"/>
            </w:tcBorders>
            <w:shd w:val="clear" w:color="000000" w:fill="FFFF99"/>
            <w:noWrap/>
            <w:vAlign w:val="center"/>
            <w:hideMark/>
          </w:tcPr>
          <w:p w14:paraId="04C79119" w14:textId="77777777" w:rsidR="005E671C" w:rsidRPr="005E671C" w:rsidRDefault="005E671C" w:rsidP="005E671C">
            <w:pPr>
              <w:spacing w:after="0" w:line="240" w:lineRule="auto"/>
              <w:jc w:val="center"/>
              <w:rPr>
                <w:rFonts w:ascii="Tahoma" w:eastAsia="Times New Roman" w:hAnsi="Tahoma" w:cs="Tahoma"/>
                <w:sz w:val="20"/>
                <w:szCs w:val="20"/>
                <w:lang w:eastAsia="hr-HR"/>
              </w:rPr>
            </w:pPr>
            <w:r w:rsidRPr="005E671C">
              <w:rPr>
                <w:rFonts w:ascii="Tahoma" w:eastAsia="Times New Roman" w:hAnsi="Tahoma" w:cs="Tahoma"/>
                <w:sz w:val="20"/>
                <w:szCs w:val="20"/>
                <w:lang w:eastAsia="hr-HR"/>
              </w:rPr>
              <w:t>0</w:t>
            </w:r>
          </w:p>
        </w:tc>
        <w:tc>
          <w:tcPr>
            <w:tcW w:w="698" w:type="dxa"/>
            <w:tcBorders>
              <w:top w:val="nil"/>
              <w:left w:val="nil"/>
              <w:bottom w:val="single" w:sz="4" w:space="0" w:color="auto"/>
              <w:right w:val="single" w:sz="4" w:space="0" w:color="auto"/>
            </w:tcBorders>
            <w:shd w:val="clear" w:color="000000" w:fill="FFFF99"/>
            <w:noWrap/>
            <w:vAlign w:val="center"/>
            <w:hideMark/>
          </w:tcPr>
          <w:p w14:paraId="771618D0" w14:textId="77777777" w:rsidR="005E671C" w:rsidRPr="005E671C" w:rsidRDefault="005E671C" w:rsidP="005E671C">
            <w:pPr>
              <w:spacing w:after="0" w:line="240" w:lineRule="auto"/>
              <w:jc w:val="center"/>
              <w:rPr>
                <w:rFonts w:ascii="Tahoma" w:eastAsia="Times New Roman" w:hAnsi="Tahoma" w:cs="Tahoma"/>
                <w:sz w:val="20"/>
                <w:szCs w:val="20"/>
                <w:lang w:eastAsia="hr-HR"/>
              </w:rPr>
            </w:pPr>
            <w:r w:rsidRPr="005E671C">
              <w:rPr>
                <w:rFonts w:ascii="Tahoma" w:eastAsia="Times New Roman" w:hAnsi="Tahoma" w:cs="Tahoma"/>
                <w:sz w:val="20"/>
                <w:szCs w:val="20"/>
                <w:lang w:eastAsia="hr-HR"/>
              </w:rPr>
              <w:t>0</w:t>
            </w:r>
          </w:p>
        </w:tc>
        <w:tc>
          <w:tcPr>
            <w:tcW w:w="698" w:type="dxa"/>
            <w:tcBorders>
              <w:top w:val="nil"/>
              <w:left w:val="nil"/>
              <w:bottom w:val="single" w:sz="4" w:space="0" w:color="auto"/>
              <w:right w:val="single" w:sz="4" w:space="0" w:color="auto"/>
            </w:tcBorders>
            <w:shd w:val="clear" w:color="000000" w:fill="FFFF99"/>
            <w:noWrap/>
            <w:vAlign w:val="center"/>
            <w:hideMark/>
          </w:tcPr>
          <w:p w14:paraId="25C2CE43" w14:textId="77777777" w:rsidR="005E671C" w:rsidRPr="005E671C" w:rsidRDefault="005E671C" w:rsidP="005E671C">
            <w:pPr>
              <w:spacing w:after="0" w:line="240" w:lineRule="auto"/>
              <w:jc w:val="center"/>
              <w:rPr>
                <w:rFonts w:ascii="Tahoma" w:eastAsia="Times New Roman" w:hAnsi="Tahoma" w:cs="Tahoma"/>
                <w:sz w:val="20"/>
                <w:szCs w:val="20"/>
                <w:lang w:eastAsia="hr-HR"/>
              </w:rPr>
            </w:pPr>
            <w:r w:rsidRPr="005E671C">
              <w:rPr>
                <w:rFonts w:ascii="Tahoma" w:eastAsia="Times New Roman" w:hAnsi="Tahoma" w:cs="Tahoma"/>
                <w:sz w:val="20"/>
                <w:szCs w:val="20"/>
                <w:lang w:eastAsia="hr-HR"/>
              </w:rPr>
              <w:t>1</w:t>
            </w:r>
          </w:p>
        </w:tc>
        <w:tc>
          <w:tcPr>
            <w:tcW w:w="493" w:type="dxa"/>
            <w:tcBorders>
              <w:top w:val="nil"/>
              <w:left w:val="nil"/>
              <w:bottom w:val="single" w:sz="4" w:space="0" w:color="auto"/>
              <w:right w:val="single" w:sz="4" w:space="0" w:color="auto"/>
            </w:tcBorders>
            <w:shd w:val="clear" w:color="000000" w:fill="FF9900"/>
            <w:noWrap/>
            <w:vAlign w:val="center"/>
            <w:hideMark/>
          </w:tcPr>
          <w:p w14:paraId="3D6FACFE" w14:textId="77777777" w:rsidR="005E671C" w:rsidRPr="005E671C" w:rsidRDefault="005E671C" w:rsidP="005E671C">
            <w:pPr>
              <w:spacing w:after="0" w:line="240" w:lineRule="auto"/>
              <w:jc w:val="center"/>
              <w:rPr>
                <w:rFonts w:ascii="Tahoma" w:eastAsia="Times New Roman" w:hAnsi="Tahoma" w:cs="Tahoma"/>
                <w:sz w:val="20"/>
                <w:szCs w:val="20"/>
                <w:lang w:eastAsia="hr-HR"/>
              </w:rPr>
            </w:pPr>
            <w:r w:rsidRPr="005E671C">
              <w:rPr>
                <w:rFonts w:ascii="Tahoma" w:eastAsia="Times New Roman" w:hAnsi="Tahoma" w:cs="Tahoma"/>
                <w:sz w:val="20"/>
                <w:szCs w:val="20"/>
                <w:lang w:eastAsia="hr-HR"/>
              </w:rPr>
              <w:t>1</w:t>
            </w:r>
          </w:p>
        </w:tc>
        <w:tc>
          <w:tcPr>
            <w:tcW w:w="469" w:type="dxa"/>
            <w:tcBorders>
              <w:top w:val="nil"/>
              <w:left w:val="nil"/>
              <w:bottom w:val="single" w:sz="4" w:space="0" w:color="auto"/>
              <w:right w:val="single" w:sz="4" w:space="0" w:color="auto"/>
            </w:tcBorders>
            <w:shd w:val="clear" w:color="000000" w:fill="FF9900"/>
            <w:noWrap/>
            <w:vAlign w:val="center"/>
            <w:hideMark/>
          </w:tcPr>
          <w:p w14:paraId="004C5F26" w14:textId="77777777" w:rsidR="005E671C" w:rsidRPr="005E671C" w:rsidRDefault="005E671C" w:rsidP="005E671C">
            <w:pPr>
              <w:spacing w:after="0" w:line="240" w:lineRule="auto"/>
              <w:jc w:val="center"/>
              <w:rPr>
                <w:rFonts w:ascii="Tahoma" w:eastAsia="Times New Roman" w:hAnsi="Tahoma" w:cs="Tahoma"/>
                <w:sz w:val="20"/>
                <w:szCs w:val="20"/>
                <w:lang w:eastAsia="hr-HR"/>
              </w:rPr>
            </w:pPr>
            <w:r w:rsidRPr="005E671C">
              <w:rPr>
                <w:rFonts w:ascii="Tahoma" w:eastAsia="Times New Roman" w:hAnsi="Tahoma" w:cs="Tahoma"/>
                <w:sz w:val="20"/>
                <w:szCs w:val="20"/>
                <w:lang w:eastAsia="hr-HR"/>
              </w:rPr>
              <w:t>4</w:t>
            </w:r>
          </w:p>
        </w:tc>
        <w:tc>
          <w:tcPr>
            <w:tcW w:w="467" w:type="dxa"/>
            <w:tcBorders>
              <w:top w:val="nil"/>
              <w:left w:val="nil"/>
              <w:bottom w:val="single" w:sz="4" w:space="0" w:color="auto"/>
              <w:right w:val="single" w:sz="4" w:space="0" w:color="auto"/>
            </w:tcBorders>
            <w:shd w:val="clear" w:color="000000" w:fill="FF9900"/>
            <w:noWrap/>
            <w:vAlign w:val="center"/>
            <w:hideMark/>
          </w:tcPr>
          <w:p w14:paraId="0CEAE43D" w14:textId="77777777" w:rsidR="005E671C" w:rsidRPr="005E671C" w:rsidRDefault="005E671C" w:rsidP="005E671C">
            <w:pPr>
              <w:spacing w:after="0" w:line="240" w:lineRule="auto"/>
              <w:jc w:val="center"/>
              <w:rPr>
                <w:rFonts w:ascii="Tahoma" w:eastAsia="Times New Roman" w:hAnsi="Tahoma" w:cs="Tahoma"/>
                <w:sz w:val="20"/>
                <w:szCs w:val="20"/>
                <w:lang w:eastAsia="hr-HR"/>
              </w:rPr>
            </w:pPr>
            <w:r w:rsidRPr="005E671C">
              <w:rPr>
                <w:rFonts w:ascii="Tahoma" w:eastAsia="Times New Roman" w:hAnsi="Tahoma" w:cs="Tahoma"/>
                <w:sz w:val="20"/>
                <w:szCs w:val="20"/>
                <w:lang w:eastAsia="hr-HR"/>
              </w:rPr>
              <w:t>2</w:t>
            </w:r>
          </w:p>
        </w:tc>
        <w:tc>
          <w:tcPr>
            <w:tcW w:w="567" w:type="dxa"/>
            <w:tcBorders>
              <w:top w:val="nil"/>
              <w:left w:val="nil"/>
              <w:bottom w:val="single" w:sz="4" w:space="0" w:color="auto"/>
              <w:right w:val="single" w:sz="4" w:space="0" w:color="auto"/>
            </w:tcBorders>
            <w:shd w:val="clear" w:color="000000" w:fill="FFFF00"/>
            <w:vAlign w:val="center"/>
            <w:hideMark/>
          </w:tcPr>
          <w:p w14:paraId="2A42AAD1" w14:textId="77777777" w:rsidR="005E671C" w:rsidRPr="005E671C" w:rsidRDefault="005E671C" w:rsidP="005E671C">
            <w:pPr>
              <w:spacing w:after="0" w:line="240" w:lineRule="auto"/>
              <w:jc w:val="center"/>
              <w:rPr>
                <w:rFonts w:ascii="Tahoma" w:eastAsia="Times New Roman" w:hAnsi="Tahoma" w:cs="Tahoma"/>
                <w:sz w:val="20"/>
                <w:szCs w:val="20"/>
                <w:lang w:eastAsia="hr-HR"/>
              </w:rPr>
            </w:pPr>
            <w:r w:rsidRPr="005E671C">
              <w:rPr>
                <w:rFonts w:ascii="Tahoma" w:eastAsia="Times New Roman" w:hAnsi="Tahoma" w:cs="Tahoma"/>
                <w:sz w:val="20"/>
                <w:szCs w:val="20"/>
                <w:lang w:eastAsia="hr-HR"/>
              </w:rPr>
              <w:t>7</w:t>
            </w:r>
          </w:p>
        </w:tc>
        <w:tc>
          <w:tcPr>
            <w:tcW w:w="542" w:type="dxa"/>
            <w:tcBorders>
              <w:top w:val="nil"/>
              <w:left w:val="nil"/>
              <w:bottom w:val="single" w:sz="4" w:space="0" w:color="auto"/>
              <w:right w:val="single" w:sz="4" w:space="0" w:color="auto"/>
            </w:tcBorders>
            <w:shd w:val="clear" w:color="000000" w:fill="FF9900"/>
            <w:vAlign w:val="center"/>
            <w:hideMark/>
          </w:tcPr>
          <w:p w14:paraId="5A9FCDAF" w14:textId="77777777" w:rsidR="005E671C" w:rsidRPr="005E671C" w:rsidRDefault="005E671C" w:rsidP="005E671C">
            <w:pPr>
              <w:spacing w:after="0" w:line="240" w:lineRule="auto"/>
              <w:jc w:val="center"/>
              <w:rPr>
                <w:rFonts w:ascii="Tahoma" w:eastAsia="Times New Roman" w:hAnsi="Tahoma" w:cs="Tahoma"/>
                <w:sz w:val="20"/>
                <w:szCs w:val="20"/>
                <w:lang w:eastAsia="hr-HR"/>
              </w:rPr>
            </w:pPr>
            <w:r w:rsidRPr="005E671C">
              <w:rPr>
                <w:rFonts w:ascii="Tahoma" w:eastAsia="Times New Roman" w:hAnsi="Tahoma" w:cs="Tahoma"/>
                <w:sz w:val="20"/>
                <w:szCs w:val="20"/>
                <w:lang w:eastAsia="hr-HR"/>
              </w:rPr>
              <w:t>14</w:t>
            </w:r>
          </w:p>
        </w:tc>
        <w:tc>
          <w:tcPr>
            <w:tcW w:w="441" w:type="dxa"/>
            <w:tcBorders>
              <w:top w:val="nil"/>
              <w:left w:val="nil"/>
              <w:bottom w:val="single" w:sz="4" w:space="0" w:color="auto"/>
              <w:right w:val="single" w:sz="4" w:space="0" w:color="auto"/>
            </w:tcBorders>
            <w:shd w:val="clear" w:color="000000" w:fill="FF9900"/>
            <w:vAlign w:val="center"/>
            <w:hideMark/>
          </w:tcPr>
          <w:p w14:paraId="3FA2A541" w14:textId="77777777" w:rsidR="005E671C" w:rsidRPr="005E671C" w:rsidRDefault="005E671C" w:rsidP="005E671C">
            <w:pPr>
              <w:spacing w:after="0" w:line="240" w:lineRule="auto"/>
              <w:jc w:val="center"/>
              <w:rPr>
                <w:rFonts w:ascii="Tahoma" w:eastAsia="Times New Roman" w:hAnsi="Tahoma" w:cs="Tahoma"/>
                <w:sz w:val="20"/>
                <w:szCs w:val="20"/>
                <w:lang w:eastAsia="hr-HR"/>
              </w:rPr>
            </w:pPr>
            <w:r w:rsidRPr="005E671C">
              <w:rPr>
                <w:rFonts w:ascii="Tahoma" w:eastAsia="Times New Roman" w:hAnsi="Tahoma" w:cs="Tahoma"/>
                <w:sz w:val="20"/>
                <w:szCs w:val="20"/>
                <w:lang w:eastAsia="hr-HR"/>
              </w:rPr>
              <w:t>7</w:t>
            </w:r>
          </w:p>
        </w:tc>
        <w:tc>
          <w:tcPr>
            <w:tcW w:w="426" w:type="dxa"/>
            <w:tcBorders>
              <w:top w:val="nil"/>
              <w:left w:val="nil"/>
              <w:bottom w:val="single" w:sz="4" w:space="0" w:color="auto"/>
              <w:right w:val="single" w:sz="4" w:space="0" w:color="auto"/>
            </w:tcBorders>
            <w:shd w:val="clear" w:color="000000" w:fill="FF9900"/>
            <w:vAlign w:val="center"/>
            <w:hideMark/>
          </w:tcPr>
          <w:p w14:paraId="5DAA7558" w14:textId="77777777" w:rsidR="005E671C" w:rsidRPr="005E671C" w:rsidRDefault="005E671C" w:rsidP="005E671C">
            <w:pPr>
              <w:spacing w:after="0" w:line="240" w:lineRule="auto"/>
              <w:jc w:val="center"/>
              <w:rPr>
                <w:rFonts w:ascii="Tahoma" w:eastAsia="Times New Roman" w:hAnsi="Tahoma" w:cs="Tahoma"/>
                <w:sz w:val="20"/>
                <w:szCs w:val="20"/>
                <w:lang w:eastAsia="hr-HR"/>
              </w:rPr>
            </w:pPr>
            <w:r w:rsidRPr="005E671C">
              <w:rPr>
                <w:rFonts w:ascii="Tahoma" w:eastAsia="Times New Roman" w:hAnsi="Tahoma" w:cs="Tahoma"/>
                <w:sz w:val="20"/>
                <w:szCs w:val="20"/>
                <w:lang w:eastAsia="hr-HR"/>
              </w:rPr>
              <w:t>0</w:t>
            </w:r>
          </w:p>
        </w:tc>
        <w:tc>
          <w:tcPr>
            <w:tcW w:w="854" w:type="dxa"/>
            <w:tcBorders>
              <w:top w:val="nil"/>
              <w:left w:val="nil"/>
              <w:bottom w:val="single" w:sz="4" w:space="0" w:color="auto"/>
              <w:right w:val="single" w:sz="4" w:space="0" w:color="auto"/>
            </w:tcBorders>
            <w:shd w:val="clear" w:color="000000" w:fill="FF9900"/>
            <w:vAlign w:val="center"/>
            <w:hideMark/>
          </w:tcPr>
          <w:p w14:paraId="6F649CCA" w14:textId="77777777" w:rsidR="005E671C" w:rsidRPr="005E671C" w:rsidRDefault="005E671C" w:rsidP="005E671C">
            <w:pPr>
              <w:spacing w:after="0" w:line="240" w:lineRule="auto"/>
              <w:jc w:val="center"/>
              <w:rPr>
                <w:rFonts w:ascii="Tahoma" w:eastAsia="Times New Roman" w:hAnsi="Tahoma" w:cs="Tahoma"/>
                <w:sz w:val="20"/>
                <w:szCs w:val="20"/>
                <w:lang w:eastAsia="hr-HR"/>
              </w:rPr>
            </w:pPr>
            <w:r w:rsidRPr="005E671C">
              <w:rPr>
                <w:rFonts w:ascii="Tahoma" w:eastAsia="Times New Roman" w:hAnsi="Tahoma" w:cs="Tahoma"/>
                <w:sz w:val="20"/>
                <w:szCs w:val="20"/>
                <w:lang w:eastAsia="hr-HR"/>
              </w:rPr>
              <w:t>4</w:t>
            </w:r>
          </w:p>
        </w:tc>
        <w:tc>
          <w:tcPr>
            <w:tcW w:w="440" w:type="dxa"/>
            <w:tcBorders>
              <w:top w:val="nil"/>
              <w:left w:val="nil"/>
              <w:bottom w:val="single" w:sz="4" w:space="0" w:color="auto"/>
              <w:right w:val="single" w:sz="4" w:space="0" w:color="auto"/>
            </w:tcBorders>
            <w:shd w:val="clear" w:color="000000" w:fill="CCFFFF"/>
            <w:noWrap/>
            <w:vAlign w:val="center"/>
            <w:hideMark/>
          </w:tcPr>
          <w:p w14:paraId="01DFD9D6" w14:textId="77777777" w:rsidR="005E671C" w:rsidRPr="005E671C" w:rsidRDefault="005E671C" w:rsidP="005E671C">
            <w:pPr>
              <w:spacing w:after="0" w:line="240" w:lineRule="auto"/>
              <w:jc w:val="center"/>
              <w:rPr>
                <w:rFonts w:ascii="Tahoma" w:eastAsia="Times New Roman" w:hAnsi="Tahoma" w:cs="Tahoma"/>
                <w:sz w:val="20"/>
                <w:szCs w:val="20"/>
                <w:lang w:eastAsia="hr-HR"/>
              </w:rPr>
            </w:pPr>
            <w:r w:rsidRPr="005E671C">
              <w:rPr>
                <w:rFonts w:ascii="Tahoma" w:eastAsia="Times New Roman" w:hAnsi="Tahoma" w:cs="Tahoma"/>
                <w:sz w:val="20"/>
                <w:szCs w:val="20"/>
                <w:lang w:eastAsia="hr-HR"/>
              </w:rPr>
              <w:t>0</w:t>
            </w:r>
          </w:p>
        </w:tc>
        <w:tc>
          <w:tcPr>
            <w:tcW w:w="408" w:type="dxa"/>
            <w:tcBorders>
              <w:top w:val="nil"/>
              <w:left w:val="nil"/>
              <w:bottom w:val="single" w:sz="4" w:space="0" w:color="auto"/>
              <w:right w:val="single" w:sz="4" w:space="0" w:color="auto"/>
            </w:tcBorders>
            <w:shd w:val="clear" w:color="000000" w:fill="CCFFFF"/>
            <w:noWrap/>
            <w:vAlign w:val="center"/>
            <w:hideMark/>
          </w:tcPr>
          <w:p w14:paraId="03B4A250" w14:textId="77777777" w:rsidR="005E671C" w:rsidRPr="005E671C" w:rsidRDefault="005E671C" w:rsidP="005E671C">
            <w:pPr>
              <w:spacing w:after="0" w:line="240" w:lineRule="auto"/>
              <w:jc w:val="center"/>
              <w:rPr>
                <w:rFonts w:ascii="Tahoma" w:eastAsia="Times New Roman" w:hAnsi="Tahoma" w:cs="Tahoma"/>
                <w:sz w:val="20"/>
                <w:szCs w:val="20"/>
                <w:lang w:eastAsia="hr-HR"/>
              </w:rPr>
            </w:pPr>
            <w:r w:rsidRPr="005E671C">
              <w:rPr>
                <w:rFonts w:ascii="Tahoma" w:eastAsia="Times New Roman" w:hAnsi="Tahoma" w:cs="Tahoma"/>
                <w:sz w:val="20"/>
                <w:szCs w:val="20"/>
                <w:lang w:eastAsia="hr-HR"/>
              </w:rPr>
              <w:t>1</w:t>
            </w:r>
          </w:p>
        </w:tc>
        <w:tc>
          <w:tcPr>
            <w:tcW w:w="433" w:type="dxa"/>
            <w:tcBorders>
              <w:top w:val="nil"/>
              <w:left w:val="nil"/>
              <w:bottom w:val="single" w:sz="4" w:space="0" w:color="auto"/>
              <w:right w:val="single" w:sz="4" w:space="0" w:color="auto"/>
            </w:tcBorders>
            <w:shd w:val="clear" w:color="000000" w:fill="CCFFFF"/>
            <w:noWrap/>
            <w:vAlign w:val="center"/>
            <w:hideMark/>
          </w:tcPr>
          <w:p w14:paraId="43C39A0D" w14:textId="77777777" w:rsidR="005E671C" w:rsidRPr="005E671C" w:rsidRDefault="005E671C" w:rsidP="005E671C">
            <w:pPr>
              <w:spacing w:after="0" w:line="240" w:lineRule="auto"/>
              <w:jc w:val="center"/>
              <w:rPr>
                <w:rFonts w:ascii="Tahoma" w:eastAsia="Times New Roman" w:hAnsi="Tahoma" w:cs="Tahoma"/>
                <w:sz w:val="20"/>
                <w:szCs w:val="20"/>
                <w:lang w:eastAsia="hr-HR"/>
              </w:rPr>
            </w:pPr>
            <w:r w:rsidRPr="005E671C">
              <w:rPr>
                <w:rFonts w:ascii="Tahoma" w:eastAsia="Times New Roman" w:hAnsi="Tahoma" w:cs="Tahoma"/>
                <w:sz w:val="20"/>
                <w:szCs w:val="20"/>
                <w:lang w:eastAsia="hr-HR"/>
              </w:rPr>
              <w:t>0</w:t>
            </w:r>
          </w:p>
        </w:tc>
        <w:tc>
          <w:tcPr>
            <w:tcW w:w="425" w:type="dxa"/>
            <w:tcBorders>
              <w:top w:val="nil"/>
              <w:left w:val="nil"/>
              <w:bottom w:val="single" w:sz="4" w:space="0" w:color="auto"/>
              <w:right w:val="single" w:sz="8" w:space="0" w:color="auto"/>
            </w:tcBorders>
            <w:shd w:val="clear" w:color="000000" w:fill="33CCCC"/>
            <w:noWrap/>
            <w:vAlign w:val="center"/>
            <w:hideMark/>
          </w:tcPr>
          <w:p w14:paraId="41F9BE07" w14:textId="77777777" w:rsidR="005E671C" w:rsidRPr="005E671C" w:rsidRDefault="005E671C" w:rsidP="005E671C">
            <w:pPr>
              <w:spacing w:after="0" w:line="240" w:lineRule="auto"/>
              <w:jc w:val="center"/>
              <w:rPr>
                <w:rFonts w:ascii="Tahoma" w:eastAsia="Times New Roman" w:hAnsi="Tahoma" w:cs="Tahoma"/>
                <w:sz w:val="20"/>
                <w:szCs w:val="20"/>
                <w:lang w:eastAsia="hr-HR"/>
              </w:rPr>
            </w:pPr>
            <w:r w:rsidRPr="005E671C">
              <w:rPr>
                <w:rFonts w:ascii="Tahoma" w:eastAsia="Times New Roman" w:hAnsi="Tahoma" w:cs="Tahoma"/>
                <w:sz w:val="20"/>
                <w:szCs w:val="20"/>
                <w:lang w:eastAsia="hr-HR"/>
              </w:rPr>
              <w:t>1</w:t>
            </w:r>
          </w:p>
        </w:tc>
        <w:tc>
          <w:tcPr>
            <w:tcW w:w="567" w:type="dxa"/>
            <w:tcBorders>
              <w:top w:val="nil"/>
              <w:left w:val="single" w:sz="4" w:space="0" w:color="auto"/>
              <w:bottom w:val="single" w:sz="4" w:space="0" w:color="auto"/>
              <w:right w:val="single" w:sz="8" w:space="0" w:color="auto"/>
            </w:tcBorders>
            <w:shd w:val="clear" w:color="000000" w:fill="33CCCC"/>
            <w:noWrap/>
            <w:vAlign w:val="center"/>
            <w:hideMark/>
          </w:tcPr>
          <w:p w14:paraId="24FBF0E1" w14:textId="77777777" w:rsidR="005E671C" w:rsidRPr="005E671C" w:rsidRDefault="005E671C" w:rsidP="005E671C">
            <w:pPr>
              <w:spacing w:after="0" w:line="240" w:lineRule="auto"/>
              <w:jc w:val="center"/>
              <w:rPr>
                <w:rFonts w:ascii="Tahoma" w:eastAsia="Times New Roman" w:hAnsi="Tahoma" w:cs="Tahoma"/>
                <w:sz w:val="20"/>
                <w:szCs w:val="20"/>
                <w:lang w:eastAsia="hr-HR"/>
              </w:rPr>
            </w:pPr>
            <w:r w:rsidRPr="005E671C">
              <w:rPr>
                <w:rFonts w:ascii="Tahoma" w:eastAsia="Times New Roman" w:hAnsi="Tahoma" w:cs="Tahoma"/>
                <w:sz w:val="20"/>
                <w:szCs w:val="20"/>
                <w:lang w:eastAsia="hr-HR"/>
              </w:rPr>
              <w:t>6</w:t>
            </w:r>
          </w:p>
        </w:tc>
        <w:tc>
          <w:tcPr>
            <w:tcW w:w="237" w:type="dxa"/>
            <w:gridSpan w:val="2"/>
            <w:vAlign w:val="center"/>
            <w:hideMark/>
          </w:tcPr>
          <w:p w14:paraId="7054B583" w14:textId="77777777" w:rsidR="005E671C" w:rsidRPr="005E671C" w:rsidRDefault="005E671C" w:rsidP="005E671C">
            <w:pPr>
              <w:spacing w:after="0" w:line="240" w:lineRule="auto"/>
              <w:rPr>
                <w:rFonts w:ascii="Times New Roman" w:eastAsia="Times New Roman" w:hAnsi="Times New Roman" w:cs="Times New Roman"/>
                <w:sz w:val="20"/>
                <w:szCs w:val="20"/>
                <w:lang w:eastAsia="hr-HR"/>
              </w:rPr>
            </w:pPr>
          </w:p>
        </w:tc>
      </w:tr>
      <w:tr w:rsidR="005E671C" w:rsidRPr="005E671C" w14:paraId="3B01E837" w14:textId="77777777" w:rsidTr="001752B7">
        <w:trPr>
          <w:gridAfter w:val="1"/>
          <w:wAfter w:w="51" w:type="dxa"/>
          <w:trHeight w:val="300"/>
        </w:trPr>
        <w:tc>
          <w:tcPr>
            <w:tcW w:w="1550" w:type="dxa"/>
            <w:tcBorders>
              <w:top w:val="single" w:sz="4" w:space="0" w:color="auto"/>
              <w:left w:val="single" w:sz="8" w:space="0" w:color="auto"/>
              <w:bottom w:val="single" w:sz="4" w:space="0" w:color="auto"/>
              <w:right w:val="single" w:sz="4" w:space="0" w:color="auto"/>
            </w:tcBorders>
            <w:shd w:val="clear" w:color="000000" w:fill="CCFFCC"/>
            <w:vAlign w:val="center"/>
            <w:hideMark/>
          </w:tcPr>
          <w:p w14:paraId="126E35C2" w14:textId="77777777" w:rsidR="005E671C" w:rsidRPr="005E671C" w:rsidRDefault="005E671C" w:rsidP="005E671C">
            <w:pPr>
              <w:spacing w:after="0" w:line="240" w:lineRule="auto"/>
              <w:rPr>
                <w:rFonts w:ascii="Tahoma" w:eastAsia="Times New Roman" w:hAnsi="Tahoma" w:cs="Tahoma"/>
                <w:sz w:val="20"/>
                <w:szCs w:val="20"/>
                <w:lang w:eastAsia="hr-HR"/>
              </w:rPr>
            </w:pPr>
            <w:r w:rsidRPr="005E671C">
              <w:rPr>
                <w:rFonts w:ascii="Tahoma" w:eastAsia="Times New Roman" w:hAnsi="Tahoma" w:cs="Tahoma"/>
                <w:sz w:val="20"/>
                <w:szCs w:val="20"/>
                <w:lang w:eastAsia="hr-HR"/>
              </w:rPr>
              <w:t>Spolna orijentacija</w:t>
            </w:r>
          </w:p>
        </w:tc>
        <w:tc>
          <w:tcPr>
            <w:tcW w:w="669" w:type="dxa"/>
            <w:tcBorders>
              <w:top w:val="nil"/>
              <w:left w:val="nil"/>
              <w:bottom w:val="single" w:sz="4" w:space="0" w:color="auto"/>
              <w:right w:val="single" w:sz="4" w:space="0" w:color="auto"/>
            </w:tcBorders>
            <w:shd w:val="clear" w:color="000000" w:fill="FFCC99"/>
            <w:noWrap/>
            <w:vAlign w:val="center"/>
            <w:hideMark/>
          </w:tcPr>
          <w:p w14:paraId="291112CB" w14:textId="77777777" w:rsidR="005E671C" w:rsidRPr="005E671C" w:rsidRDefault="005E671C" w:rsidP="005E671C">
            <w:pPr>
              <w:spacing w:after="0" w:line="240" w:lineRule="auto"/>
              <w:jc w:val="center"/>
              <w:rPr>
                <w:rFonts w:ascii="Tahoma" w:eastAsia="Times New Roman" w:hAnsi="Tahoma" w:cs="Tahoma"/>
                <w:sz w:val="20"/>
                <w:szCs w:val="20"/>
                <w:lang w:eastAsia="hr-HR"/>
              </w:rPr>
            </w:pPr>
            <w:r w:rsidRPr="005E671C">
              <w:rPr>
                <w:rFonts w:ascii="Tahoma" w:eastAsia="Times New Roman" w:hAnsi="Tahoma" w:cs="Tahoma"/>
                <w:sz w:val="20"/>
                <w:szCs w:val="20"/>
                <w:lang w:eastAsia="hr-HR"/>
              </w:rPr>
              <w:t>4</w:t>
            </w:r>
          </w:p>
        </w:tc>
        <w:tc>
          <w:tcPr>
            <w:tcW w:w="352" w:type="dxa"/>
            <w:tcBorders>
              <w:top w:val="nil"/>
              <w:left w:val="nil"/>
              <w:bottom w:val="single" w:sz="4" w:space="0" w:color="auto"/>
              <w:right w:val="single" w:sz="4" w:space="0" w:color="auto"/>
            </w:tcBorders>
            <w:shd w:val="clear" w:color="000000" w:fill="FFFF00"/>
            <w:noWrap/>
            <w:vAlign w:val="center"/>
            <w:hideMark/>
          </w:tcPr>
          <w:p w14:paraId="0F0ABBE2" w14:textId="77777777" w:rsidR="005E671C" w:rsidRPr="005E671C" w:rsidRDefault="005E671C" w:rsidP="005E671C">
            <w:pPr>
              <w:spacing w:after="0" w:line="240" w:lineRule="auto"/>
              <w:jc w:val="center"/>
              <w:rPr>
                <w:rFonts w:ascii="Tahoma" w:eastAsia="Times New Roman" w:hAnsi="Tahoma" w:cs="Tahoma"/>
                <w:sz w:val="20"/>
                <w:szCs w:val="20"/>
                <w:lang w:eastAsia="hr-HR"/>
              </w:rPr>
            </w:pPr>
            <w:r w:rsidRPr="005E671C">
              <w:rPr>
                <w:rFonts w:ascii="Tahoma" w:eastAsia="Times New Roman" w:hAnsi="Tahoma" w:cs="Tahoma"/>
                <w:sz w:val="20"/>
                <w:szCs w:val="20"/>
                <w:lang w:eastAsia="hr-HR"/>
              </w:rPr>
              <w:t>0</w:t>
            </w:r>
          </w:p>
        </w:tc>
        <w:tc>
          <w:tcPr>
            <w:tcW w:w="574" w:type="dxa"/>
            <w:tcBorders>
              <w:top w:val="nil"/>
              <w:left w:val="nil"/>
              <w:bottom w:val="single" w:sz="4" w:space="0" w:color="auto"/>
              <w:right w:val="single" w:sz="4" w:space="0" w:color="auto"/>
            </w:tcBorders>
            <w:shd w:val="clear" w:color="000000" w:fill="CCFFFF"/>
            <w:noWrap/>
            <w:vAlign w:val="center"/>
            <w:hideMark/>
          </w:tcPr>
          <w:p w14:paraId="29D6812E" w14:textId="77777777" w:rsidR="005E671C" w:rsidRPr="005E671C" w:rsidRDefault="005E671C" w:rsidP="005E671C">
            <w:pPr>
              <w:spacing w:after="0" w:line="240" w:lineRule="auto"/>
              <w:jc w:val="center"/>
              <w:rPr>
                <w:rFonts w:ascii="Tahoma" w:eastAsia="Times New Roman" w:hAnsi="Tahoma" w:cs="Tahoma"/>
                <w:sz w:val="20"/>
                <w:szCs w:val="20"/>
                <w:lang w:eastAsia="hr-HR"/>
              </w:rPr>
            </w:pPr>
            <w:r w:rsidRPr="005E671C">
              <w:rPr>
                <w:rFonts w:ascii="Tahoma" w:eastAsia="Times New Roman" w:hAnsi="Tahoma" w:cs="Tahoma"/>
                <w:sz w:val="20"/>
                <w:szCs w:val="20"/>
                <w:lang w:eastAsia="hr-HR"/>
              </w:rPr>
              <w:t>0</w:t>
            </w:r>
          </w:p>
        </w:tc>
        <w:tc>
          <w:tcPr>
            <w:tcW w:w="440" w:type="dxa"/>
            <w:tcBorders>
              <w:top w:val="nil"/>
              <w:left w:val="nil"/>
              <w:bottom w:val="single" w:sz="4" w:space="0" w:color="auto"/>
              <w:right w:val="single" w:sz="4" w:space="0" w:color="auto"/>
            </w:tcBorders>
            <w:shd w:val="clear" w:color="000000" w:fill="CCFFFF"/>
            <w:noWrap/>
            <w:vAlign w:val="center"/>
            <w:hideMark/>
          </w:tcPr>
          <w:p w14:paraId="25267E68" w14:textId="77777777" w:rsidR="005E671C" w:rsidRPr="005E671C" w:rsidRDefault="005E671C" w:rsidP="005E671C">
            <w:pPr>
              <w:spacing w:after="0" w:line="240" w:lineRule="auto"/>
              <w:jc w:val="center"/>
              <w:rPr>
                <w:rFonts w:ascii="Tahoma" w:eastAsia="Times New Roman" w:hAnsi="Tahoma" w:cs="Tahoma"/>
                <w:sz w:val="20"/>
                <w:szCs w:val="20"/>
                <w:lang w:eastAsia="hr-HR"/>
              </w:rPr>
            </w:pPr>
            <w:r w:rsidRPr="005E671C">
              <w:rPr>
                <w:rFonts w:ascii="Tahoma" w:eastAsia="Times New Roman" w:hAnsi="Tahoma" w:cs="Tahoma"/>
                <w:sz w:val="20"/>
                <w:szCs w:val="20"/>
                <w:lang w:eastAsia="hr-HR"/>
              </w:rPr>
              <w:t>0</w:t>
            </w:r>
          </w:p>
        </w:tc>
        <w:tc>
          <w:tcPr>
            <w:tcW w:w="700" w:type="dxa"/>
            <w:tcBorders>
              <w:top w:val="nil"/>
              <w:left w:val="nil"/>
              <w:bottom w:val="single" w:sz="4" w:space="0" w:color="auto"/>
              <w:right w:val="single" w:sz="4" w:space="0" w:color="auto"/>
            </w:tcBorders>
            <w:shd w:val="clear" w:color="000000" w:fill="FFFF99"/>
            <w:noWrap/>
            <w:vAlign w:val="center"/>
            <w:hideMark/>
          </w:tcPr>
          <w:p w14:paraId="50CC1434" w14:textId="77777777" w:rsidR="005E671C" w:rsidRPr="005E671C" w:rsidRDefault="005E671C" w:rsidP="005E671C">
            <w:pPr>
              <w:spacing w:after="0" w:line="240" w:lineRule="auto"/>
              <w:jc w:val="center"/>
              <w:rPr>
                <w:rFonts w:ascii="Tahoma" w:eastAsia="Times New Roman" w:hAnsi="Tahoma" w:cs="Tahoma"/>
                <w:sz w:val="20"/>
                <w:szCs w:val="20"/>
                <w:lang w:eastAsia="hr-HR"/>
              </w:rPr>
            </w:pPr>
            <w:r w:rsidRPr="005E671C">
              <w:rPr>
                <w:rFonts w:ascii="Tahoma" w:eastAsia="Times New Roman" w:hAnsi="Tahoma" w:cs="Tahoma"/>
                <w:sz w:val="20"/>
                <w:szCs w:val="20"/>
                <w:lang w:eastAsia="hr-HR"/>
              </w:rPr>
              <w:t>0</w:t>
            </w:r>
          </w:p>
        </w:tc>
        <w:tc>
          <w:tcPr>
            <w:tcW w:w="698" w:type="dxa"/>
            <w:tcBorders>
              <w:top w:val="nil"/>
              <w:left w:val="nil"/>
              <w:bottom w:val="single" w:sz="4" w:space="0" w:color="auto"/>
              <w:right w:val="single" w:sz="4" w:space="0" w:color="auto"/>
            </w:tcBorders>
            <w:shd w:val="clear" w:color="000000" w:fill="FFFF99"/>
            <w:noWrap/>
            <w:vAlign w:val="center"/>
            <w:hideMark/>
          </w:tcPr>
          <w:p w14:paraId="402FE01D" w14:textId="77777777" w:rsidR="005E671C" w:rsidRPr="005E671C" w:rsidRDefault="005E671C" w:rsidP="005E671C">
            <w:pPr>
              <w:spacing w:after="0" w:line="240" w:lineRule="auto"/>
              <w:jc w:val="center"/>
              <w:rPr>
                <w:rFonts w:ascii="Tahoma" w:eastAsia="Times New Roman" w:hAnsi="Tahoma" w:cs="Tahoma"/>
                <w:sz w:val="20"/>
                <w:szCs w:val="20"/>
                <w:lang w:eastAsia="hr-HR"/>
              </w:rPr>
            </w:pPr>
            <w:r w:rsidRPr="005E671C">
              <w:rPr>
                <w:rFonts w:ascii="Tahoma" w:eastAsia="Times New Roman" w:hAnsi="Tahoma" w:cs="Tahoma"/>
                <w:sz w:val="20"/>
                <w:szCs w:val="20"/>
                <w:lang w:eastAsia="hr-HR"/>
              </w:rPr>
              <w:t>0</w:t>
            </w:r>
          </w:p>
        </w:tc>
        <w:tc>
          <w:tcPr>
            <w:tcW w:w="698" w:type="dxa"/>
            <w:tcBorders>
              <w:top w:val="nil"/>
              <w:left w:val="nil"/>
              <w:bottom w:val="single" w:sz="4" w:space="0" w:color="auto"/>
              <w:right w:val="single" w:sz="4" w:space="0" w:color="auto"/>
            </w:tcBorders>
            <w:shd w:val="clear" w:color="000000" w:fill="FFFF99"/>
            <w:noWrap/>
            <w:vAlign w:val="center"/>
            <w:hideMark/>
          </w:tcPr>
          <w:p w14:paraId="07B58E7B" w14:textId="77777777" w:rsidR="005E671C" w:rsidRPr="005E671C" w:rsidRDefault="005E671C" w:rsidP="005E671C">
            <w:pPr>
              <w:spacing w:after="0" w:line="240" w:lineRule="auto"/>
              <w:jc w:val="center"/>
              <w:rPr>
                <w:rFonts w:ascii="Tahoma" w:eastAsia="Times New Roman" w:hAnsi="Tahoma" w:cs="Tahoma"/>
                <w:sz w:val="20"/>
                <w:szCs w:val="20"/>
                <w:lang w:eastAsia="hr-HR"/>
              </w:rPr>
            </w:pPr>
            <w:r w:rsidRPr="005E671C">
              <w:rPr>
                <w:rFonts w:ascii="Tahoma" w:eastAsia="Times New Roman" w:hAnsi="Tahoma" w:cs="Tahoma"/>
                <w:sz w:val="20"/>
                <w:szCs w:val="20"/>
                <w:lang w:eastAsia="hr-HR"/>
              </w:rPr>
              <w:t>0</w:t>
            </w:r>
          </w:p>
        </w:tc>
        <w:tc>
          <w:tcPr>
            <w:tcW w:w="698" w:type="dxa"/>
            <w:tcBorders>
              <w:top w:val="nil"/>
              <w:left w:val="nil"/>
              <w:bottom w:val="single" w:sz="4" w:space="0" w:color="auto"/>
              <w:right w:val="single" w:sz="4" w:space="0" w:color="auto"/>
            </w:tcBorders>
            <w:shd w:val="clear" w:color="000000" w:fill="FFFF99"/>
            <w:noWrap/>
            <w:vAlign w:val="center"/>
            <w:hideMark/>
          </w:tcPr>
          <w:p w14:paraId="5B27C545" w14:textId="77777777" w:rsidR="005E671C" w:rsidRPr="005E671C" w:rsidRDefault="005E671C" w:rsidP="005E671C">
            <w:pPr>
              <w:spacing w:after="0" w:line="240" w:lineRule="auto"/>
              <w:jc w:val="center"/>
              <w:rPr>
                <w:rFonts w:ascii="Tahoma" w:eastAsia="Times New Roman" w:hAnsi="Tahoma" w:cs="Tahoma"/>
                <w:sz w:val="20"/>
                <w:szCs w:val="20"/>
                <w:lang w:eastAsia="hr-HR"/>
              </w:rPr>
            </w:pPr>
            <w:r w:rsidRPr="005E671C">
              <w:rPr>
                <w:rFonts w:ascii="Tahoma" w:eastAsia="Times New Roman" w:hAnsi="Tahoma" w:cs="Tahoma"/>
                <w:sz w:val="20"/>
                <w:szCs w:val="20"/>
                <w:lang w:eastAsia="hr-HR"/>
              </w:rPr>
              <w:t>0</w:t>
            </w:r>
          </w:p>
        </w:tc>
        <w:tc>
          <w:tcPr>
            <w:tcW w:w="698" w:type="dxa"/>
            <w:tcBorders>
              <w:top w:val="nil"/>
              <w:left w:val="nil"/>
              <w:bottom w:val="single" w:sz="4" w:space="0" w:color="auto"/>
              <w:right w:val="single" w:sz="4" w:space="0" w:color="auto"/>
            </w:tcBorders>
            <w:shd w:val="clear" w:color="000000" w:fill="FFFF99"/>
            <w:noWrap/>
            <w:vAlign w:val="center"/>
            <w:hideMark/>
          </w:tcPr>
          <w:p w14:paraId="1FC7D7F0" w14:textId="77777777" w:rsidR="005E671C" w:rsidRPr="005E671C" w:rsidRDefault="005E671C" w:rsidP="005E671C">
            <w:pPr>
              <w:spacing w:after="0" w:line="240" w:lineRule="auto"/>
              <w:jc w:val="center"/>
              <w:rPr>
                <w:rFonts w:ascii="Tahoma" w:eastAsia="Times New Roman" w:hAnsi="Tahoma" w:cs="Tahoma"/>
                <w:sz w:val="20"/>
                <w:szCs w:val="20"/>
                <w:lang w:eastAsia="hr-HR"/>
              </w:rPr>
            </w:pPr>
            <w:r w:rsidRPr="005E671C">
              <w:rPr>
                <w:rFonts w:ascii="Tahoma" w:eastAsia="Times New Roman" w:hAnsi="Tahoma" w:cs="Tahoma"/>
                <w:sz w:val="20"/>
                <w:szCs w:val="20"/>
                <w:lang w:eastAsia="hr-HR"/>
              </w:rPr>
              <w:t>0</w:t>
            </w:r>
          </w:p>
        </w:tc>
        <w:tc>
          <w:tcPr>
            <w:tcW w:w="698" w:type="dxa"/>
            <w:tcBorders>
              <w:top w:val="nil"/>
              <w:left w:val="nil"/>
              <w:bottom w:val="single" w:sz="4" w:space="0" w:color="auto"/>
              <w:right w:val="single" w:sz="4" w:space="0" w:color="auto"/>
            </w:tcBorders>
            <w:shd w:val="clear" w:color="000000" w:fill="FFFF99"/>
            <w:noWrap/>
            <w:vAlign w:val="center"/>
            <w:hideMark/>
          </w:tcPr>
          <w:p w14:paraId="50B3CCEE" w14:textId="77777777" w:rsidR="005E671C" w:rsidRPr="005E671C" w:rsidRDefault="005E671C" w:rsidP="005E671C">
            <w:pPr>
              <w:spacing w:after="0" w:line="240" w:lineRule="auto"/>
              <w:jc w:val="center"/>
              <w:rPr>
                <w:rFonts w:ascii="Tahoma" w:eastAsia="Times New Roman" w:hAnsi="Tahoma" w:cs="Tahoma"/>
                <w:sz w:val="20"/>
                <w:szCs w:val="20"/>
                <w:lang w:eastAsia="hr-HR"/>
              </w:rPr>
            </w:pPr>
            <w:r w:rsidRPr="005E671C">
              <w:rPr>
                <w:rFonts w:ascii="Tahoma" w:eastAsia="Times New Roman" w:hAnsi="Tahoma" w:cs="Tahoma"/>
                <w:sz w:val="20"/>
                <w:szCs w:val="20"/>
                <w:lang w:eastAsia="hr-HR"/>
              </w:rPr>
              <w:t>0</w:t>
            </w:r>
          </w:p>
        </w:tc>
        <w:tc>
          <w:tcPr>
            <w:tcW w:w="493" w:type="dxa"/>
            <w:tcBorders>
              <w:top w:val="nil"/>
              <w:left w:val="nil"/>
              <w:bottom w:val="single" w:sz="4" w:space="0" w:color="auto"/>
              <w:right w:val="single" w:sz="4" w:space="0" w:color="auto"/>
            </w:tcBorders>
            <w:shd w:val="clear" w:color="000000" w:fill="FF9900"/>
            <w:noWrap/>
            <w:vAlign w:val="center"/>
            <w:hideMark/>
          </w:tcPr>
          <w:p w14:paraId="1CC9AFE3" w14:textId="77777777" w:rsidR="005E671C" w:rsidRPr="005E671C" w:rsidRDefault="005E671C" w:rsidP="005E671C">
            <w:pPr>
              <w:spacing w:after="0" w:line="240" w:lineRule="auto"/>
              <w:jc w:val="center"/>
              <w:rPr>
                <w:rFonts w:ascii="Tahoma" w:eastAsia="Times New Roman" w:hAnsi="Tahoma" w:cs="Tahoma"/>
                <w:sz w:val="20"/>
                <w:szCs w:val="20"/>
                <w:lang w:eastAsia="hr-HR"/>
              </w:rPr>
            </w:pPr>
            <w:r w:rsidRPr="005E671C">
              <w:rPr>
                <w:rFonts w:ascii="Tahoma" w:eastAsia="Times New Roman" w:hAnsi="Tahoma" w:cs="Tahoma"/>
                <w:sz w:val="20"/>
                <w:szCs w:val="20"/>
                <w:lang w:eastAsia="hr-HR"/>
              </w:rPr>
              <w:t>0</w:t>
            </w:r>
          </w:p>
        </w:tc>
        <w:tc>
          <w:tcPr>
            <w:tcW w:w="469" w:type="dxa"/>
            <w:tcBorders>
              <w:top w:val="nil"/>
              <w:left w:val="nil"/>
              <w:bottom w:val="single" w:sz="4" w:space="0" w:color="auto"/>
              <w:right w:val="single" w:sz="4" w:space="0" w:color="auto"/>
            </w:tcBorders>
            <w:shd w:val="clear" w:color="000000" w:fill="FF9900"/>
            <w:noWrap/>
            <w:vAlign w:val="center"/>
            <w:hideMark/>
          </w:tcPr>
          <w:p w14:paraId="006D60C0" w14:textId="77777777" w:rsidR="005E671C" w:rsidRPr="005E671C" w:rsidRDefault="005E671C" w:rsidP="005E671C">
            <w:pPr>
              <w:spacing w:after="0" w:line="240" w:lineRule="auto"/>
              <w:jc w:val="center"/>
              <w:rPr>
                <w:rFonts w:ascii="Tahoma" w:eastAsia="Times New Roman" w:hAnsi="Tahoma" w:cs="Tahoma"/>
                <w:sz w:val="20"/>
                <w:szCs w:val="20"/>
                <w:lang w:eastAsia="hr-HR"/>
              </w:rPr>
            </w:pPr>
            <w:r w:rsidRPr="005E671C">
              <w:rPr>
                <w:rFonts w:ascii="Tahoma" w:eastAsia="Times New Roman" w:hAnsi="Tahoma" w:cs="Tahoma"/>
                <w:sz w:val="20"/>
                <w:szCs w:val="20"/>
                <w:lang w:eastAsia="hr-HR"/>
              </w:rPr>
              <w:t>0</w:t>
            </w:r>
          </w:p>
        </w:tc>
        <w:tc>
          <w:tcPr>
            <w:tcW w:w="467" w:type="dxa"/>
            <w:tcBorders>
              <w:top w:val="nil"/>
              <w:left w:val="nil"/>
              <w:bottom w:val="single" w:sz="4" w:space="0" w:color="auto"/>
              <w:right w:val="single" w:sz="4" w:space="0" w:color="auto"/>
            </w:tcBorders>
            <w:shd w:val="clear" w:color="000000" w:fill="FF9900"/>
            <w:noWrap/>
            <w:vAlign w:val="center"/>
            <w:hideMark/>
          </w:tcPr>
          <w:p w14:paraId="7F254B96" w14:textId="77777777" w:rsidR="005E671C" w:rsidRPr="005E671C" w:rsidRDefault="005E671C" w:rsidP="005E671C">
            <w:pPr>
              <w:spacing w:after="0" w:line="240" w:lineRule="auto"/>
              <w:jc w:val="center"/>
              <w:rPr>
                <w:rFonts w:ascii="Tahoma" w:eastAsia="Times New Roman" w:hAnsi="Tahoma" w:cs="Tahoma"/>
                <w:sz w:val="20"/>
                <w:szCs w:val="20"/>
                <w:lang w:eastAsia="hr-HR"/>
              </w:rPr>
            </w:pPr>
            <w:r w:rsidRPr="005E671C">
              <w:rPr>
                <w:rFonts w:ascii="Tahoma" w:eastAsia="Times New Roman" w:hAnsi="Tahoma" w:cs="Tahoma"/>
                <w:sz w:val="20"/>
                <w:szCs w:val="20"/>
                <w:lang w:eastAsia="hr-HR"/>
              </w:rPr>
              <w:t>2</w:t>
            </w:r>
          </w:p>
        </w:tc>
        <w:tc>
          <w:tcPr>
            <w:tcW w:w="567" w:type="dxa"/>
            <w:tcBorders>
              <w:top w:val="nil"/>
              <w:left w:val="nil"/>
              <w:bottom w:val="single" w:sz="4" w:space="0" w:color="auto"/>
              <w:right w:val="single" w:sz="4" w:space="0" w:color="auto"/>
            </w:tcBorders>
            <w:shd w:val="clear" w:color="000000" w:fill="FFFF00"/>
            <w:vAlign w:val="center"/>
            <w:hideMark/>
          </w:tcPr>
          <w:p w14:paraId="54D1AF48" w14:textId="77777777" w:rsidR="005E671C" w:rsidRPr="005E671C" w:rsidRDefault="005E671C" w:rsidP="005E671C">
            <w:pPr>
              <w:spacing w:after="0" w:line="240" w:lineRule="auto"/>
              <w:jc w:val="center"/>
              <w:rPr>
                <w:rFonts w:ascii="Tahoma" w:eastAsia="Times New Roman" w:hAnsi="Tahoma" w:cs="Tahoma"/>
                <w:sz w:val="20"/>
                <w:szCs w:val="20"/>
                <w:lang w:eastAsia="hr-HR"/>
              </w:rPr>
            </w:pPr>
            <w:r w:rsidRPr="005E671C">
              <w:rPr>
                <w:rFonts w:ascii="Tahoma" w:eastAsia="Times New Roman" w:hAnsi="Tahoma" w:cs="Tahoma"/>
                <w:sz w:val="20"/>
                <w:szCs w:val="20"/>
                <w:lang w:eastAsia="hr-HR"/>
              </w:rPr>
              <w:t>2</w:t>
            </w:r>
          </w:p>
        </w:tc>
        <w:tc>
          <w:tcPr>
            <w:tcW w:w="542" w:type="dxa"/>
            <w:tcBorders>
              <w:top w:val="nil"/>
              <w:left w:val="nil"/>
              <w:bottom w:val="single" w:sz="4" w:space="0" w:color="auto"/>
              <w:right w:val="single" w:sz="4" w:space="0" w:color="auto"/>
            </w:tcBorders>
            <w:shd w:val="clear" w:color="000000" w:fill="FF9900"/>
            <w:vAlign w:val="center"/>
            <w:hideMark/>
          </w:tcPr>
          <w:p w14:paraId="0B3E30DB" w14:textId="77777777" w:rsidR="005E671C" w:rsidRPr="005E671C" w:rsidRDefault="005E671C" w:rsidP="005E671C">
            <w:pPr>
              <w:spacing w:after="0" w:line="240" w:lineRule="auto"/>
              <w:jc w:val="center"/>
              <w:rPr>
                <w:rFonts w:ascii="Tahoma" w:eastAsia="Times New Roman" w:hAnsi="Tahoma" w:cs="Tahoma"/>
                <w:sz w:val="20"/>
                <w:szCs w:val="20"/>
                <w:lang w:eastAsia="hr-HR"/>
              </w:rPr>
            </w:pPr>
            <w:r w:rsidRPr="005E671C">
              <w:rPr>
                <w:rFonts w:ascii="Tahoma" w:eastAsia="Times New Roman" w:hAnsi="Tahoma" w:cs="Tahoma"/>
                <w:sz w:val="20"/>
                <w:szCs w:val="20"/>
                <w:lang w:eastAsia="hr-HR"/>
              </w:rPr>
              <w:t>2</w:t>
            </w:r>
          </w:p>
        </w:tc>
        <w:tc>
          <w:tcPr>
            <w:tcW w:w="441" w:type="dxa"/>
            <w:tcBorders>
              <w:top w:val="nil"/>
              <w:left w:val="nil"/>
              <w:bottom w:val="single" w:sz="4" w:space="0" w:color="auto"/>
              <w:right w:val="single" w:sz="4" w:space="0" w:color="auto"/>
            </w:tcBorders>
            <w:shd w:val="clear" w:color="000000" w:fill="FF9900"/>
            <w:noWrap/>
            <w:vAlign w:val="center"/>
            <w:hideMark/>
          </w:tcPr>
          <w:p w14:paraId="6BE4F0E9" w14:textId="77777777" w:rsidR="005E671C" w:rsidRPr="005E671C" w:rsidRDefault="005E671C" w:rsidP="005E671C">
            <w:pPr>
              <w:spacing w:after="0" w:line="240" w:lineRule="auto"/>
              <w:jc w:val="center"/>
              <w:rPr>
                <w:rFonts w:ascii="Tahoma" w:eastAsia="Times New Roman" w:hAnsi="Tahoma" w:cs="Tahoma"/>
                <w:sz w:val="20"/>
                <w:szCs w:val="20"/>
                <w:lang w:eastAsia="hr-HR"/>
              </w:rPr>
            </w:pPr>
            <w:r w:rsidRPr="005E671C">
              <w:rPr>
                <w:rFonts w:ascii="Tahoma" w:eastAsia="Times New Roman" w:hAnsi="Tahoma" w:cs="Tahoma"/>
                <w:sz w:val="20"/>
                <w:szCs w:val="20"/>
                <w:lang w:eastAsia="hr-HR"/>
              </w:rPr>
              <w:t>0</w:t>
            </w:r>
          </w:p>
        </w:tc>
        <w:tc>
          <w:tcPr>
            <w:tcW w:w="426" w:type="dxa"/>
            <w:tcBorders>
              <w:top w:val="nil"/>
              <w:left w:val="nil"/>
              <w:bottom w:val="single" w:sz="4" w:space="0" w:color="auto"/>
              <w:right w:val="single" w:sz="4" w:space="0" w:color="auto"/>
            </w:tcBorders>
            <w:shd w:val="clear" w:color="000000" w:fill="FF9900"/>
            <w:noWrap/>
            <w:vAlign w:val="center"/>
            <w:hideMark/>
          </w:tcPr>
          <w:p w14:paraId="48FB130E" w14:textId="77777777" w:rsidR="005E671C" w:rsidRPr="005E671C" w:rsidRDefault="005E671C" w:rsidP="005E671C">
            <w:pPr>
              <w:spacing w:after="0" w:line="240" w:lineRule="auto"/>
              <w:jc w:val="center"/>
              <w:rPr>
                <w:rFonts w:ascii="Tahoma" w:eastAsia="Times New Roman" w:hAnsi="Tahoma" w:cs="Tahoma"/>
                <w:sz w:val="20"/>
                <w:szCs w:val="20"/>
                <w:lang w:eastAsia="hr-HR"/>
              </w:rPr>
            </w:pPr>
            <w:r w:rsidRPr="005E671C">
              <w:rPr>
                <w:rFonts w:ascii="Tahoma" w:eastAsia="Times New Roman" w:hAnsi="Tahoma" w:cs="Tahoma"/>
                <w:sz w:val="20"/>
                <w:szCs w:val="20"/>
                <w:lang w:eastAsia="hr-HR"/>
              </w:rPr>
              <w:t>0</w:t>
            </w:r>
          </w:p>
        </w:tc>
        <w:tc>
          <w:tcPr>
            <w:tcW w:w="854" w:type="dxa"/>
            <w:tcBorders>
              <w:top w:val="nil"/>
              <w:left w:val="nil"/>
              <w:bottom w:val="single" w:sz="4" w:space="0" w:color="auto"/>
              <w:right w:val="single" w:sz="4" w:space="0" w:color="auto"/>
            </w:tcBorders>
            <w:shd w:val="clear" w:color="000000" w:fill="FF9900"/>
            <w:noWrap/>
            <w:vAlign w:val="center"/>
            <w:hideMark/>
          </w:tcPr>
          <w:p w14:paraId="6316D607" w14:textId="77777777" w:rsidR="005E671C" w:rsidRPr="005E671C" w:rsidRDefault="005E671C" w:rsidP="005E671C">
            <w:pPr>
              <w:spacing w:after="0" w:line="240" w:lineRule="auto"/>
              <w:jc w:val="center"/>
              <w:rPr>
                <w:rFonts w:ascii="Tahoma" w:eastAsia="Times New Roman" w:hAnsi="Tahoma" w:cs="Tahoma"/>
                <w:sz w:val="20"/>
                <w:szCs w:val="20"/>
                <w:lang w:eastAsia="hr-HR"/>
              </w:rPr>
            </w:pPr>
            <w:r w:rsidRPr="005E671C">
              <w:rPr>
                <w:rFonts w:ascii="Tahoma" w:eastAsia="Times New Roman" w:hAnsi="Tahoma" w:cs="Tahoma"/>
                <w:sz w:val="20"/>
                <w:szCs w:val="20"/>
                <w:lang w:eastAsia="hr-HR"/>
              </w:rPr>
              <w:t>0</w:t>
            </w:r>
          </w:p>
        </w:tc>
        <w:tc>
          <w:tcPr>
            <w:tcW w:w="440" w:type="dxa"/>
            <w:tcBorders>
              <w:top w:val="nil"/>
              <w:left w:val="nil"/>
              <w:bottom w:val="single" w:sz="4" w:space="0" w:color="auto"/>
              <w:right w:val="single" w:sz="4" w:space="0" w:color="auto"/>
            </w:tcBorders>
            <w:shd w:val="clear" w:color="000000" w:fill="CCFFFF"/>
            <w:noWrap/>
            <w:vAlign w:val="center"/>
            <w:hideMark/>
          </w:tcPr>
          <w:p w14:paraId="7E1DB17E" w14:textId="77777777" w:rsidR="005E671C" w:rsidRPr="005E671C" w:rsidRDefault="005E671C" w:rsidP="005E671C">
            <w:pPr>
              <w:spacing w:after="0" w:line="240" w:lineRule="auto"/>
              <w:jc w:val="center"/>
              <w:rPr>
                <w:rFonts w:ascii="Tahoma" w:eastAsia="Times New Roman" w:hAnsi="Tahoma" w:cs="Tahoma"/>
                <w:sz w:val="20"/>
                <w:szCs w:val="20"/>
                <w:lang w:eastAsia="hr-HR"/>
              </w:rPr>
            </w:pPr>
            <w:r w:rsidRPr="005E671C">
              <w:rPr>
                <w:rFonts w:ascii="Tahoma" w:eastAsia="Times New Roman" w:hAnsi="Tahoma" w:cs="Tahoma"/>
                <w:sz w:val="20"/>
                <w:szCs w:val="20"/>
                <w:lang w:eastAsia="hr-HR"/>
              </w:rPr>
              <w:t>2</w:t>
            </w:r>
          </w:p>
        </w:tc>
        <w:tc>
          <w:tcPr>
            <w:tcW w:w="408" w:type="dxa"/>
            <w:tcBorders>
              <w:top w:val="nil"/>
              <w:left w:val="nil"/>
              <w:bottom w:val="single" w:sz="4" w:space="0" w:color="auto"/>
              <w:right w:val="single" w:sz="4" w:space="0" w:color="auto"/>
            </w:tcBorders>
            <w:shd w:val="clear" w:color="000000" w:fill="CCFFFF"/>
            <w:noWrap/>
            <w:vAlign w:val="center"/>
            <w:hideMark/>
          </w:tcPr>
          <w:p w14:paraId="542F1EA4" w14:textId="77777777" w:rsidR="005E671C" w:rsidRPr="005E671C" w:rsidRDefault="005E671C" w:rsidP="005E671C">
            <w:pPr>
              <w:spacing w:after="0" w:line="240" w:lineRule="auto"/>
              <w:jc w:val="center"/>
              <w:rPr>
                <w:rFonts w:ascii="Tahoma" w:eastAsia="Times New Roman" w:hAnsi="Tahoma" w:cs="Tahoma"/>
                <w:sz w:val="20"/>
                <w:szCs w:val="20"/>
                <w:lang w:eastAsia="hr-HR"/>
              </w:rPr>
            </w:pPr>
            <w:r w:rsidRPr="005E671C">
              <w:rPr>
                <w:rFonts w:ascii="Tahoma" w:eastAsia="Times New Roman" w:hAnsi="Tahoma" w:cs="Tahoma"/>
                <w:sz w:val="20"/>
                <w:szCs w:val="20"/>
                <w:lang w:eastAsia="hr-HR"/>
              </w:rPr>
              <w:t>1</w:t>
            </w:r>
          </w:p>
        </w:tc>
        <w:tc>
          <w:tcPr>
            <w:tcW w:w="433" w:type="dxa"/>
            <w:tcBorders>
              <w:top w:val="nil"/>
              <w:left w:val="nil"/>
              <w:bottom w:val="single" w:sz="4" w:space="0" w:color="auto"/>
              <w:right w:val="single" w:sz="4" w:space="0" w:color="auto"/>
            </w:tcBorders>
            <w:shd w:val="clear" w:color="000000" w:fill="CCFFFF"/>
            <w:noWrap/>
            <w:vAlign w:val="center"/>
            <w:hideMark/>
          </w:tcPr>
          <w:p w14:paraId="2EB75AC3" w14:textId="77777777" w:rsidR="005E671C" w:rsidRPr="005E671C" w:rsidRDefault="005E671C" w:rsidP="005E671C">
            <w:pPr>
              <w:spacing w:after="0" w:line="240" w:lineRule="auto"/>
              <w:jc w:val="center"/>
              <w:rPr>
                <w:rFonts w:ascii="Tahoma" w:eastAsia="Times New Roman" w:hAnsi="Tahoma" w:cs="Tahoma"/>
                <w:sz w:val="20"/>
                <w:szCs w:val="20"/>
                <w:lang w:eastAsia="hr-HR"/>
              </w:rPr>
            </w:pPr>
            <w:r w:rsidRPr="005E671C">
              <w:rPr>
                <w:rFonts w:ascii="Tahoma" w:eastAsia="Times New Roman" w:hAnsi="Tahoma" w:cs="Tahoma"/>
                <w:sz w:val="20"/>
                <w:szCs w:val="20"/>
                <w:lang w:eastAsia="hr-HR"/>
              </w:rPr>
              <w:t>0</w:t>
            </w:r>
          </w:p>
        </w:tc>
        <w:tc>
          <w:tcPr>
            <w:tcW w:w="425" w:type="dxa"/>
            <w:tcBorders>
              <w:top w:val="nil"/>
              <w:left w:val="nil"/>
              <w:bottom w:val="single" w:sz="4" w:space="0" w:color="auto"/>
              <w:right w:val="single" w:sz="8" w:space="0" w:color="auto"/>
            </w:tcBorders>
            <w:shd w:val="clear" w:color="000000" w:fill="33CCCC"/>
            <w:noWrap/>
            <w:vAlign w:val="center"/>
            <w:hideMark/>
          </w:tcPr>
          <w:p w14:paraId="4B21B4DE" w14:textId="77777777" w:rsidR="005E671C" w:rsidRPr="005E671C" w:rsidRDefault="005E671C" w:rsidP="005E671C">
            <w:pPr>
              <w:spacing w:after="0" w:line="240" w:lineRule="auto"/>
              <w:jc w:val="center"/>
              <w:rPr>
                <w:rFonts w:ascii="Tahoma" w:eastAsia="Times New Roman" w:hAnsi="Tahoma" w:cs="Tahoma"/>
                <w:sz w:val="20"/>
                <w:szCs w:val="20"/>
                <w:lang w:eastAsia="hr-HR"/>
              </w:rPr>
            </w:pPr>
            <w:r w:rsidRPr="005E671C">
              <w:rPr>
                <w:rFonts w:ascii="Tahoma" w:eastAsia="Times New Roman" w:hAnsi="Tahoma" w:cs="Tahoma"/>
                <w:sz w:val="20"/>
                <w:szCs w:val="20"/>
                <w:lang w:eastAsia="hr-HR"/>
              </w:rPr>
              <w:t>0</w:t>
            </w:r>
          </w:p>
        </w:tc>
        <w:tc>
          <w:tcPr>
            <w:tcW w:w="567" w:type="dxa"/>
            <w:tcBorders>
              <w:top w:val="nil"/>
              <w:left w:val="single" w:sz="4" w:space="0" w:color="auto"/>
              <w:bottom w:val="single" w:sz="4" w:space="0" w:color="auto"/>
              <w:right w:val="single" w:sz="8" w:space="0" w:color="auto"/>
            </w:tcBorders>
            <w:shd w:val="clear" w:color="000000" w:fill="33CCCC"/>
            <w:noWrap/>
            <w:vAlign w:val="center"/>
            <w:hideMark/>
          </w:tcPr>
          <w:p w14:paraId="6724942B" w14:textId="77777777" w:rsidR="005E671C" w:rsidRPr="005E671C" w:rsidRDefault="005E671C" w:rsidP="005E671C">
            <w:pPr>
              <w:spacing w:after="0" w:line="240" w:lineRule="auto"/>
              <w:jc w:val="center"/>
              <w:rPr>
                <w:rFonts w:ascii="Tahoma" w:eastAsia="Times New Roman" w:hAnsi="Tahoma" w:cs="Tahoma"/>
                <w:sz w:val="20"/>
                <w:szCs w:val="20"/>
                <w:lang w:eastAsia="hr-HR"/>
              </w:rPr>
            </w:pPr>
            <w:r w:rsidRPr="005E671C">
              <w:rPr>
                <w:rFonts w:ascii="Tahoma" w:eastAsia="Times New Roman" w:hAnsi="Tahoma" w:cs="Tahoma"/>
                <w:sz w:val="20"/>
                <w:szCs w:val="20"/>
                <w:lang w:eastAsia="hr-HR"/>
              </w:rPr>
              <w:t>2</w:t>
            </w:r>
          </w:p>
        </w:tc>
        <w:tc>
          <w:tcPr>
            <w:tcW w:w="237" w:type="dxa"/>
            <w:gridSpan w:val="2"/>
            <w:vAlign w:val="center"/>
            <w:hideMark/>
          </w:tcPr>
          <w:p w14:paraId="01552891" w14:textId="77777777" w:rsidR="005E671C" w:rsidRPr="005E671C" w:rsidRDefault="005E671C" w:rsidP="005E671C">
            <w:pPr>
              <w:spacing w:after="0" w:line="240" w:lineRule="auto"/>
              <w:rPr>
                <w:rFonts w:ascii="Times New Roman" w:eastAsia="Times New Roman" w:hAnsi="Times New Roman" w:cs="Times New Roman"/>
                <w:sz w:val="20"/>
                <w:szCs w:val="20"/>
                <w:lang w:eastAsia="hr-HR"/>
              </w:rPr>
            </w:pPr>
          </w:p>
        </w:tc>
      </w:tr>
      <w:tr w:rsidR="005E671C" w:rsidRPr="005E671C" w14:paraId="6FFE99FA" w14:textId="77777777" w:rsidTr="001752B7">
        <w:trPr>
          <w:gridAfter w:val="1"/>
          <w:wAfter w:w="51" w:type="dxa"/>
          <w:trHeight w:val="300"/>
        </w:trPr>
        <w:tc>
          <w:tcPr>
            <w:tcW w:w="1550" w:type="dxa"/>
            <w:tcBorders>
              <w:top w:val="single" w:sz="4" w:space="0" w:color="auto"/>
              <w:left w:val="single" w:sz="8" w:space="0" w:color="auto"/>
              <w:bottom w:val="single" w:sz="4" w:space="0" w:color="auto"/>
              <w:right w:val="single" w:sz="4" w:space="0" w:color="auto"/>
            </w:tcBorders>
            <w:shd w:val="clear" w:color="000000" w:fill="CCFFCC"/>
            <w:vAlign w:val="center"/>
            <w:hideMark/>
          </w:tcPr>
          <w:p w14:paraId="53365FE5" w14:textId="77777777" w:rsidR="005E671C" w:rsidRPr="005E671C" w:rsidRDefault="005E671C" w:rsidP="005E671C">
            <w:pPr>
              <w:spacing w:after="0" w:line="240" w:lineRule="auto"/>
              <w:rPr>
                <w:rFonts w:ascii="Tahoma" w:eastAsia="Times New Roman" w:hAnsi="Tahoma" w:cs="Tahoma"/>
                <w:sz w:val="20"/>
                <w:szCs w:val="20"/>
                <w:lang w:eastAsia="hr-HR"/>
              </w:rPr>
            </w:pPr>
            <w:r w:rsidRPr="005E671C">
              <w:rPr>
                <w:rFonts w:ascii="Tahoma" w:eastAsia="Times New Roman" w:hAnsi="Tahoma" w:cs="Tahoma"/>
                <w:sz w:val="20"/>
                <w:szCs w:val="20"/>
                <w:lang w:eastAsia="hr-HR"/>
              </w:rPr>
              <w:t>Jezik</w:t>
            </w:r>
          </w:p>
        </w:tc>
        <w:tc>
          <w:tcPr>
            <w:tcW w:w="669" w:type="dxa"/>
            <w:tcBorders>
              <w:top w:val="nil"/>
              <w:left w:val="nil"/>
              <w:bottom w:val="single" w:sz="4" w:space="0" w:color="auto"/>
              <w:right w:val="single" w:sz="4" w:space="0" w:color="auto"/>
            </w:tcBorders>
            <w:shd w:val="clear" w:color="000000" w:fill="FFCC99"/>
            <w:noWrap/>
            <w:vAlign w:val="center"/>
            <w:hideMark/>
          </w:tcPr>
          <w:p w14:paraId="6809B84B" w14:textId="77777777" w:rsidR="005E671C" w:rsidRPr="005E671C" w:rsidRDefault="005E671C" w:rsidP="005E671C">
            <w:pPr>
              <w:spacing w:after="0" w:line="240" w:lineRule="auto"/>
              <w:jc w:val="center"/>
              <w:rPr>
                <w:rFonts w:ascii="Tahoma" w:eastAsia="Times New Roman" w:hAnsi="Tahoma" w:cs="Tahoma"/>
                <w:sz w:val="20"/>
                <w:szCs w:val="20"/>
                <w:lang w:eastAsia="hr-HR"/>
              </w:rPr>
            </w:pPr>
            <w:r w:rsidRPr="005E671C">
              <w:rPr>
                <w:rFonts w:ascii="Tahoma" w:eastAsia="Times New Roman" w:hAnsi="Tahoma" w:cs="Tahoma"/>
                <w:sz w:val="20"/>
                <w:szCs w:val="20"/>
                <w:lang w:eastAsia="hr-HR"/>
              </w:rPr>
              <w:t>0</w:t>
            </w:r>
          </w:p>
        </w:tc>
        <w:tc>
          <w:tcPr>
            <w:tcW w:w="352" w:type="dxa"/>
            <w:tcBorders>
              <w:top w:val="nil"/>
              <w:left w:val="nil"/>
              <w:bottom w:val="single" w:sz="4" w:space="0" w:color="auto"/>
              <w:right w:val="single" w:sz="4" w:space="0" w:color="auto"/>
            </w:tcBorders>
            <w:shd w:val="clear" w:color="000000" w:fill="FFFF00"/>
            <w:noWrap/>
            <w:vAlign w:val="center"/>
            <w:hideMark/>
          </w:tcPr>
          <w:p w14:paraId="57F008DC" w14:textId="77777777" w:rsidR="005E671C" w:rsidRPr="005E671C" w:rsidRDefault="005E671C" w:rsidP="005E671C">
            <w:pPr>
              <w:spacing w:after="0" w:line="240" w:lineRule="auto"/>
              <w:jc w:val="center"/>
              <w:rPr>
                <w:rFonts w:ascii="Tahoma" w:eastAsia="Times New Roman" w:hAnsi="Tahoma" w:cs="Tahoma"/>
                <w:sz w:val="20"/>
                <w:szCs w:val="20"/>
                <w:lang w:eastAsia="hr-HR"/>
              </w:rPr>
            </w:pPr>
            <w:r w:rsidRPr="005E671C">
              <w:rPr>
                <w:rFonts w:ascii="Tahoma" w:eastAsia="Times New Roman" w:hAnsi="Tahoma" w:cs="Tahoma"/>
                <w:sz w:val="20"/>
                <w:szCs w:val="20"/>
                <w:lang w:eastAsia="hr-HR"/>
              </w:rPr>
              <w:t>0</w:t>
            </w:r>
          </w:p>
        </w:tc>
        <w:tc>
          <w:tcPr>
            <w:tcW w:w="574" w:type="dxa"/>
            <w:tcBorders>
              <w:top w:val="nil"/>
              <w:left w:val="nil"/>
              <w:bottom w:val="single" w:sz="4" w:space="0" w:color="auto"/>
              <w:right w:val="single" w:sz="4" w:space="0" w:color="auto"/>
            </w:tcBorders>
            <w:shd w:val="clear" w:color="000000" w:fill="CCFFFF"/>
            <w:noWrap/>
            <w:vAlign w:val="center"/>
            <w:hideMark/>
          </w:tcPr>
          <w:p w14:paraId="2E90C42D" w14:textId="77777777" w:rsidR="005E671C" w:rsidRPr="005E671C" w:rsidRDefault="005E671C" w:rsidP="005E671C">
            <w:pPr>
              <w:spacing w:after="0" w:line="240" w:lineRule="auto"/>
              <w:jc w:val="center"/>
              <w:rPr>
                <w:rFonts w:ascii="Tahoma" w:eastAsia="Times New Roman" w:hAnsi="Tahoma" w:cs="Tahoma"/>
                <w:sz w:val="20"/>
                <w:szCs w:val="20"/>
                <w:lang w:eastAsia="hr-HR"/>
              </w:rPr>
            </w:pPr>
            <w:r w:rsidRPr="005E671C">
              <w:rPr>
                <w:rFonts w:ascii="Tahoma" w:eastAsia="Times New Roman" w:hAnsi="Tahoma" w:cs="Tahoma"/>
                <w:sz w:val="20"/>
                <w:szCs w:val="20"/>
                <w:lang w:eastAsia="hr-HR"/>
              </w:rPr>
              <w:t>0</w:t>
            </w:r>
          </w:p>
        </w:tc>
        <w:tc>
          <w:tcPr>
            <w:tcW w:w="440" w:type="dxa"/>
            <w:tcBorders>
              <w:top w:val="nil"/>
              <w:left w:val="nil"/>
              <w:bottom w:val="single" w:sz="4" w:space="0" w:color="auto"/>
              <w:right w:val="single" w:sz="4" w:space="0" w:color="auto"/>
            </w:tcBorders>
            <w:shd w:val="clear" w:color="000000" w:fill="CCFFFF"/>
            <w:noWrap/>
            <w:vAlign w:val="center"/>
            <w:hideMark/>
          </w:tcPr>
          <w:p w14:paraId="02C2CD8A" w14:textId="77777777" w:rsidR="005E671C" w:rsidRPr="005E671C" w:rsidRDefault="005E671C" w:rsidP="005E671C">
            <w:pPr>
              <w:spacing w:after="0" w:line="240" w:lineRule="auto"/>
              <w:jc w:val="center"/>
              <w:rPr>
                <w:rFonts w:ascii="Tahoma" w:eastAsia="Times New Roman" w:hAnsi="Tahoma" w:cs="Tahoma"/>
                <w:sz w:val="20"/>
                <w:szCs w:val="20"/>
                <w:lang w:eastAsia="hr-HR"/>
              </w:rPr>
            </w:pPr>
            <w:r w:rsidRPr="005E671C">
              <w:rPr>
                <w:rFonts w:ascii="Tahoma" w:eastAsia="Times New Roman" w:hAnsi="Tahoma" w:cs="Tahoma"/>
                <w:sz w:val="20"/>
                <w:szCs w:val="20"/>
                <w:lang w:eastAsia="hr-HR"/>
              </w:rPr>
              <w:t>0</w:t>
            </w:r>
          </w:p>
        </w:tc>
        <w:tc>
          <w:tcPr>
            <w:tcW w:w="700" w:type="dxa"/>
            <w:tcBorders>
              <w:top w:val="nil"/>
              <w:left w:val="nil"/>
              <w:bottom w:val="single" w:sz="4" w:space="0" w:color="auto"/>
              <w:right w:val="single" w:sz="4" w:space="0" w:color="auto"/>
            </w:tcBorders>
            <w:shd w:val="clear" w:color="000000" w:fill="FFFF99"/>
            <w:noWrap/>
            <w:vAlign w:val="center"/>
            <w:hideMark/>
          </w:tcPr>
          <w:p w14:paraId="0653DCC9" w14:textId="77777777" w:rsidR="005E671C" w:rsidRPr="005E671C" w:rsidRDefault="005E671C" w:rsidP="005E671C">
            <w:pPr>
              <w:spacing w:after="0" w:line="240" w:lineRule="auto"/>
              <w:jc w:val="center"/>
              <w:rPr>
                <w:rFonts w:ascii="Tahoma" w:eastAsia="Times New Roman" w:hAnsi="Tahoma" w:cs="Tahoma"/>
                <w:sz w:val="20"/>
                <w:szCs w:val="20"/>
                <w:lang w:eastAsia="hr-HR"/>
              </w:rPr>
            </w:pPr>
            <w:r w:rsidRPr="005E671C">
              <w:rPr>
                <w:rFonts w:ascii="Tahoma" w:eastAsia="Times New Roman" w:hAnsi="Tahoma" w:cs="Tahoma"/>
                <w:sz w:val="20"/>
                <w:szCs w:val="20"/>
                <w:lang w:eastAsia="hr-HR"/>
              </w:rPr>
              <w:t>0</w:t>
            </w:r>
          </w:p>
        </w:tc>
        <w:tc>
          <w:tcPr>
            <w:tcW w:w="698" w:type="dxa"/>
            <w:tcBorders>
              <w:top w:val="nil"/>
              <w:left w:val="nil"/>
              <w:bottom w:val="single" w:sz="4" w:space="0" w:color="auto"/>
              <w:right w:val="single" w:sz="4" w:space="0" w:color="auto"/>
            </w:tcBorders>
            <w:shd w:val="clear" w:color="000000" w:fill="FFFF99"/>
            <w:noWrap/>
            <w:vAlign w:val="center"/>
            <w:hideMark/>
          </w:tcPr>
          <w:p w14:paraId="5A49C098" w14:textId="77777777" w:rsidR="005E671C" w:rsidRPr="005E671C" w:rsidRDefault="005E671C" w:rsidP="005E671C">
            <w:pPr>
              <w:spacing w:after="0" w:line="240" w:lineRule="auto"/>
              <w:jc w:val="center"/>
              <w:rPr>
                <w:rFonts w:ascii="Tahoma" w:eastAsia="Times New Roman" w:hAnsi="Tahoma" w:cs="Tahoma"/>
                <w:sz w:val="20"/>
                <w:szCs w:val="20"/>
                <w:lang w:eastAsia="hr-HR"/>
              </w:rPr>
            </w:pPr>
            <w:r w:rsidRPr="005E671C">
              <w:rPr>
                <w:rFonts w:ascii="Tahoma" w:eastAsia="Times New Roman" w:hAnsi="Tahoma" w:cs="Tahoma"/>
                <w:sz w:val="20"/>
                <w:szCs w:val="20"/>
                <w:lang w:eastAsia="hr-HR"/>
              </w:rPr>
              <w:t>0</w:t>
            </w:r>
          </w:p>
        </w:tc>
        <w:tc>
          <w:tcPr>
            <w:tcW w:w="698" w:type="dxa"/>
            <w:tcBorders>
              <w:top w:val="nil"/>
              <w:left w:val="nil"/>
              <w:bottom w:val="single" w:sz="4" w:space="0" w:color="auto"/>
              <w:right w:val="single" w:sz="4" w:space="0" w:color="auto"/>
            </w:tcBorders>
            <w:shd w:val="clear" w:color="000000" w:fill="FFFF99"/>
            <w:noWrap/>
            <w:vAlign w:val="center"/>
            <w:hideMark/>
          </w:tcPr>
          <w:p w14:paraId="5A6E732E" w14:textId="77777777" w:rsidR="005E671C" w:rsidRPr="005E671C" w:rsidRDefault="005E671C" w:rsidP="005E671C">
            <w:pPr>
              <w:spacing w:after="0" w:line="240" w:lineRule="auto"/>
              <w:jc w:val="center"/>
              <w:rPr>
                <w:rFonts w:ascii="Tahoma" w:eastAsia="Times New Roman" w:hAnsi="Tahoma" w:cs="Tahoma"/>
                <w:sz w:val="20"/>
                <w:szCs w:val="20"/>
                <w:lang w:eastAsia="hr-HR"/>
              </w:rPr>
            </w:pPr>
            <w:r w:rsidRPr="005E671C">
              <w:rPr>
                <w:rFonts w:ascii="Tahoma" w:eastAsia="Times New Roman" w:hAnsi="Tahoma" w:cs="Tahoma"/>
                <w:sz w:val="20"/>
                <w:szCs w:val="20"/>
                <w:lang w:eastAsia="hr-HR"/>
              </w:rPr>
              <w:t>0</w:t>
            </w:r>
          </w:p>
        </w:tc>
        <w:tc>
          <w:tcPr>
            <w:tcW w:w="698" w:type="dxa"/>
            <w:tcBorders>
              <w:top w:val="nil"/>
              <w:left w:val="nil"/>
              <w:bottom w:val="single" w:sz="4" w:space="0" w:color="auto"/>
              <w:right w:val="single" w:sz="4" w:space="0" w:color="auto"/>
            </w:tcBorders>
            <w:shd w:val="clear" w:color="000000" w:fill="FFFF99"/>
            <w:noWrap/>
            <w:vAlign w:val="center"/>
            <w:hideMark/>
          </w:tcPr>
          <w:p w14:paraId="5A4592D0" w14:textId="77777777" w:rsidR="005E671C" w:rsidRPr="005E671C" w:rsidRDefault="005E671C" w:rsidP="005E671C">
            <w:pPr>
              <w:spacing w:after="0" w:line="240" w:lineRule="auto"/>
              <w:jc w:val="center"/>
              <w:rPr>
                <w:rFonts w:ascii="Tahoma" w:eastAsia="Times New Roman" w:hAnsi="Tahoma" w:cs="Tahoma"/>
                <w:sz w:val="20"/>
                <w:szCs w:val="20"/>
                <w:lang w:eastAsia="hr-HR"/>
              </w:rPr>
            </w:pPr>
            <w:r w:rsidRPr="005E671C">
              <w:rPr>
                <w:rFonts w:ascii="Tahoma" w:eastAsia="Times New Roman" w:hAnsi="Tahoma" w:cs="Tahoma"/>
                <w:sz w:val="20"/>
                <w:szCs w:val="20"/>
                <w:lang w:eastAsia="hr-HR"/>
              </w:rPr>
              <w:t>0</w:t>
            </w:r>
          </w:p>
        </w:tc>
        <w:tc>
          <w:tcPr>
            <w:tcW w:w="698" w:type="dxa"/>
            <w:tcBorders>
              <w:top w:val="nil"/>
              <w:left w:val="nil"/>
              <w:bottom w:val="single" w:sz="4" w:space="0" w:color="auto"/>
              <w:right w:val="single" w:sz="4" w:space="0" w:color="auto"/>
            </w:tcBorders>
            <w:shd w:val="clear" w:color="000000" w:fill="FFFF99"/>
            <w:noWrap/>
            <w:vAlign w:val="center"/>
            <w:hideMark/>
          </w:tcPr>
          <w:p w14:paraId="3A1E0D01" w14:textId="77777777" w:rsidR="005E671C" w:rsidRPr="005E671C" w:rsidRDefault="005E671C" w:rsidP="005E671C">
            <w:pPr>
              <w:spacing w:after="0" w:line="240" w:lineRule="auto"/>
              <w:jc w:val="center"/>
              <w:rPr>
                <w:rFonts w:ascii="Tahoma" w:eastAsia="Times New Roman" w:hAnsi="Tahoma" w:cs="Tahoma"/>
                <w:sz w:val="20"/>
                <w:szCs w:val="20"/>
                <w:lang w:eastAsia="hr-HR"/>
              </w:rPr>
            </w:pPr>
            <w:r w:rsidRPr="005E671C">
              <w:rPr>
                <w:rFonts w:ascii="Tahoma" w:eastAsia="Times New Roman" w:hAnsi="Tahoma" w:cs="Tahoma"/>
                <w:sz w:val="20"/>
                <w:szCs w:val="20"/>
                <w:lang w:eastAsia="hr-HR"/>
              </w:rPr>
              <w:t>0</w:t>
            </w:r>
          </w:p>
        </w:tc>
        <w:tc>
          <w:tcPr>
            <w:tcW w:w="698" w:type="dxa"/>
            <w:tcBorders>
              <w:top w:val="nil"/>
              <w:left w:val="nil"/>
              <w:bottom w:val="single" w:sz="4" w:space="0" w:color="auto"/>
              <w:right w:val="single" w:sz="4" w:space="0" w:color="auto"/>
            </w:tcBorders>
            <w:shd w:val="clear" w:color="000000" w:fill="FFFF99"/>
            <w:noWrap/>
            <w:vAlign w:val="center"/>
            <w:hideMark/>
          </w:tcPr>
          <w:p w14:paraId="2DE5B83B" w14:textId="77777777" w:rsidR="005E671C" w:rsidRPr="005E671C" w:rsidRDefault="005E671C" w:rsidP="005E671C">
            <w:pPr>
              <w:spacing w:after="0" w:line="240" w:lineRule="auto"/>
              <w:jc w:val="center"/>
              <w:rPr>
                <w:rFonts w:ascii="Tahoma" w:eastAsia="Times New Roman" w:hAnsi="Tahoma" w:cs="Tahoma"/>
                <w:sz w:val="20"/>
                <w:szCs w:val="20"/>
                <w:lang w:eastAsia="hr-HR"/>
              </w:rPr>
            </w:pPr>
            <w:r w:rsidRPr="005E671C">
              <w:rPr>
                <w:rFonts w:ascii="Tahoma" w:eastAsia="Times New Roman" w:hAnsi="Tahoma" w:cs="Tahoma"/>
                <w:sz w:val="20"/>
                <w:szCs w:val="20"/>
                <w:lang w:eastAsia="hr-HR"/>
              </w:rPr>
              <w:t>0</w:t>
            </w:r>
          </w:p>
        </w:tc>
        <w:tc>
          <w:tcPr>
            <w:tcW w:w="493" w:type="dxa"/>
            <w:tcBorders>
              <w:top w:val="nil"/>
              <w:left w:val="nil"/>
              <w:bottom w:val="single" w:sz="4" w:space="0" w:color="auto"/>
              <w:right w:val="single" w:sz="4" w:space="0" w:color="auto"/>
            </w:tcBorders>
            <w:shd w:val="clear" w:color="000000" w:fill="FF9900"/>
            <w:noWrap/>
            <w:vAlign w:val="center"/>
            <w:hideMark/>
          </w:tcPr>
          <w:p w14:paraId="60D9733E" w14:textId="77777777" w:rsidR="005E671C" w:rsidRPr="005E671C" w:rsidRDefault="005E671C" w:rsidP="005E671C">
            <w:pPr>
              <w:spacing w:after="0" w:line="240" w:lineRule="auto"/>
              <w:jc w:val="center"/>
              <w:rPr>
                <w:rFonts w:ascii="Tahoma" w:eastAsia="Times New Roman" w:hAnsi="Tahoma" w:cs="Tahoma"/>
                <w:sz w:val="20"/>
                <w:szCs w:val="20"/>
                <w:lang w:eastAsia="hr-HR"/>
              </w:rPr>
            </w:pPr>
            <w:r w:rsidRPr="005E671C">
              <w:rPr>
                <w:rFonts w:ascii="Tahoma" w:eastAsia="Times New Roman" w:hAnsi="Tahoma" w:cs="Tahoma"/>
                <w:sz w:val="20"/>
                <w:szCs w:val="20"/>
                <w:lang w:eastAsia="hr-HR"/>
              </w:rPr>
              <w:t>0</w:t>
            </w:r>
          </w:p>
        </w:tc>
        <w:tc>
          <w:tcPr>
            <w:tcW w:w="469" w:type="dxa"/>
            <w:tcBorders>
              <w:top w:val="nil"/>
              <w:left w:val="nil"/>
              <w:bottom w:val="single" w:sz="4" w:space="0" w:color="auto"/>
              <w:right w:val="single" w:sz="4" w:space="0" w:color="auto"/>
            </w:tcBorders>
            <w:shd w:val="clear" w:color="000000" w:fill="FF9900"/>
            <w:noWrap/>
            <w:vAlign w:val="center"/>
            <w:hideMark/>
          </w:tcPr>
          <w:p w14:paraId="1126FA20" w14:textId="77777777" w:rsidR="005E671C" w:rsidRPr="005E671C" w:rsidRDefault="005E671C" w:rsidP="005E671C">
            <w:pPr>
              <w:spacing w:after="0" w:line="240" w:lineRule="auto"/>
              <w:jc w:val="center"/>
              <w:rPr>
                <w:rFonts w:ascii="Tahoma" w:eastAsia="Times New Roman" w:hAnsi="Tahoma" w:cs="Tahoma"/>
                <w:sz w:val="20"/>
                <w:szCs w:val="20"/>
                <w:lang w:eastAsia="hr-HR"/>
              </w:rPr>
            </w:pPr>
            <w:r w:rsidRPr="005E671C">
              <w:rPr>
                <w:rFonts w:ascii="Tahoma" w:eastAsia="Times New Roman" w:hAnsi="Tahoma" w:cs="Tahoma"/>
                <w:sz w:val="20"/>
                <w:szCs w:val="20"/>
                <w:lang w:eastAsia="hr-HR"/>
              </w:rPr>
              <w:t>0</w:t>
            </w:r>
          </w:p>
        </w:tc>
        <w:tc>
          <w:tcPr>
            <w:tcW w:w="467" w:type="dxa"/>
            <w:tcBorders>
              <w:top w:val="nil"/>
              <w:left w:val="nil"/>
              <w:bottom w:val="single" w:sz="4" w:space="0" w:color="auto"/>
              <w:right w:val="single" w:sz="4" w:space="0" w:color="auto"/>
            </w:tcBorders>
            <w:shd w:val="clear" w:color="000000" w:fill="FF9900"/>
            <w:noWrap/>
            <w:vAlign w:val="center"/>
            <w:hideMark/>
          </w:tcPr>
          <w:p w14:paraId="1F5666FB" w14:textId="77777777" w:rsidR="005E671C" w:rsidRPr="005E671C" w:rsidRDefault="005E671C" w:rsidP="005E671C">
            <w:pPr>
              <w:spacing w:after="0" w:line="240" w:lineRule="auto"/>
              <w:jc w:val="center"/>
              <w:rPr>
                <w:rFonts w:ascii="Tahoma" w:eastAsia="Times New Roman" w:hAnsi="Tahoma" w:cs="Tahoma"/>
                <w:sz w:val="20"/>
                <w:szCs w:val="20"/>
                <w:lang w:eastAsia="hr-HR"/>
              </w:rPr>
            </w:pPr>
            <w:r w:rsidRPr="005E671C">
              <w:rPr>
                <w:rFonts w:ascii="Tahoma" w:eastAsia="Times New Roman" w:hAnsi="Tahoma" w:cs="Tahoma"/>
                <w:sz w:val="20"/>
                <w:szCs w:val="20"/>
                <w:lang w:eastAsia="hr-HR"/>
              </w:rPr>
              <w:t>0</w:t>
            </w:r>
          </w:p>
        </w:tc>
        <w:tc>
          <w:tcPr>
            <w:tcW w:w="567" w:type="dxa"/>
            <w:tcBorders>
              <w:top w:val="nil"/>
              <w:left w:val="nil"/>
              <w:bottom w:val="single" w:sz="4" w:space="0" w:color="auto"/>
              <w:right w:val="single" w:sz="4" w:space="0" w:color="auto"/>
            </w:tcBorders>
            <w:shd w:val="clear" w:color="000000" w:fill="FFFF00"/>
            <w:vAlign w:val="center"/>
            <w:hideMark/>
          </w:tcPr>
          <w:p w14:paraId="50B97E5A" w14:textId="77777777" w:rsidR="005E671C" w:rsidRPr="005E671C" w:rsidRDefault="005E671C" w:rsidP="005E671C">
            <w:pPr>
              <w:spacing w:after="0" w:line="240" w:lineRule="auto"/>
              <w:jc w:val="center"/>
              <w:rPr>
                <w:rFonts w:ascii="Tahoma" w:eastAsia="Times New Roman" w:hAnsi="Tahoma" w:cs="Tahoma"/>
                <w:sz w:val="20"/>
                <w:szCs w:val="20"/>
                <w:lang w:eastAsia="hr-HR"/>
              </w:rPr>
            </w:pPr>
            <w:r w:rsidRPr="005E671C">
              <w:rPr>
                <w:rFonts w:ascii="Tahoma" w:eastAsia="Times New Roman" w:hAnsi="Tahoma" w:cs="Tahoma"/>
                <w:sz w:val="20"/>
                <w:szCs w:val="20"/>
                <w:lang w:eastAsia="hr-HR"/>
              </w:rPr>
              <w:t>0</w:t>
            </w:r>
          </w:p>
        </w:tc>
        <w:tc>
          <w:tcPr>
            <w:tcW w:w="542" w:type="dxa"/>
            <w:tcBorders>
              <w:top w:val="nil"/>
              <w:left w:val="nil"/>
              <w:bottom w:val="single" w:sz="4" w:space="0" w:color="auto"/>
              <w:right w:val="single" w:sz="4" w:space="0" w:color="auto"/>
            </w:tcBorders>
            <w:shd w:val="clear" w:color="000000" w:fill="FF9900"/>
            <w:vAlign w:val="center"/>
            <w:hideMark/>
          </w:tcPr>
          <w:p w14:paraId="7731345C" w14:textId="77777777" w:rsidR="005E671C" w:rsidRPr="005E671C" w:rsidRDefault="005E671C" w:rsidP="005E671C">
            <w:pPr>
              <w:spacing w:after="0" w:line="240" w:lineRule="auto"/>
              <w:jc w:val="center"/>
              <w:rPr>
                <w:rFonts w:ascii="Tahoma" w:eastAsia="Times New Roman" w:hAnsi="Tahoma" w:cs="Tahoma"/>
                <w:sz w:val="20"/>
                <w:szCs w:val="20"/>
                <w:lang w:eastAsia="hr-HR"/>
              </w:rPr>
            </w:pPr>
            <w:r w:rsidRPr="005E671C">
              <w:rPr>
                <w:rFonts w:ascii="Tahoma" w:eastAsia="Times New Roman" w:hAnsi="Tahoma" w:cs="Tahoma"/>
                <w:sz w:val="20"/>
                <w:szCs w:val="20"/>
                <w:lang w:eastAsia="hr-HR"/>
              </w:rPr>
              <w:t>0</w:t>
            </w:r>
          </w:p>
        </w:tc>
        <w:tc>
          <w:tcPr>
            <w:tcW w:w="441" w:type="dxa"/>
            <w:tcBorders>
              <w:top w:val="nil"/>
              <w:left w:val="nil"/>
              <w:bottom w:val="single" w:sz="4" w:space="0" w:color="auto"/>
              <w:right w:val="single" w:sz="4" w:space="0" w:color="auto"/>
            </w:tcBorders>
            <w:shd w:val="clear" w:color="000000" w:fill="FF9900"/>
            <w:vAlign w:val="center"/>
            <w:hideMark/>
          </w:tcPr>
          <w:p w14:paraId="35B29C51" w14:textId="77777777" w:rsidR="005E671C" w:rsidRPr="005E671C" w:rsidRDefault="005E671C" w:rsidP="005E671C">
            <w:pPr>
              <w:spacing w:after="0" w:line="240" w:lineRule="auto"/>
              <w:jc w:val="center"/>
              <w:rPr>
                <w:rFonts w:ascii="Tahoma" w:eastAsia="Times New Roman" w:hAnsi="Tahoma" w:cs="Tahoma"/>
                <w:sz w:val="20"/>
                <w:szCs w:val="20"/>
                <w:lang w:eastAsia="hr-HR"/>
              </w:rPr>
            </w:pPr>
            <w:r w:rsidRPr="005E671C">
              <w:rPr>
                <w:rFonts w:ascii="Tahoma" w:eastAsia="Times New Roman" w:hAnsi="Tahoma" w:cs="Tahoma"/>
                <w:sz w:val="20"/>
                <w:szCs w:val="20"/>
                <w:lang w:eastAsia="hr-HR"/>
              </w:rPr>
              <w:t>0</w:t>
            </w:r>
          </w:p>
        </w:tc>
        <w:tc>
          <w:tcPr>
            <w:tcW w:w="426" w:type="dxa"/>
            <w:tcBorders>
              <w:top w:val="nil"/>
              <w:left w:val="nil"/>
              <w:bottom w:val="single" w:sz="4" w:space="0" w:color="auto"/>
              <w:right w:val="single" w:sz="4" w:space="0" w:color="auto"/>
            </w:tcBorders>
            <w:shd w:val="clear" w:color="000000" w:fill="FF9900"/>
            <w:vAlign w:val="center"/>
            <w:hideMark/>
          </w:tcPr>
          <w:p w14:paraId="2023A2AC" w14:textId="77777777" w:rsidR="005E671C" w:rsidRPr="005E671C" w:rsidRDefault="005E671C" w:rsidP="005E671C">
            <w:pPr>
              <w:spacing w:after="0" w:line="240" w:lineRule="auto"/>
              <w:jc w:val="center"/>
              <w:rPr>
                <w:rFonts w:ascii="Tahoma" w:eastAsia="Times New Roman" w:hAnsi="Tahoma" w:cs="Tahoma"/>
                <w:sz w:val="20"/>
                <w:szCs w:val="20"/>
                <w:lang w:eastAsia="hr-HR"/>
              </w:rPr>
            </w:pPr>
            <w:r w:rsidRPr="005E671C">
              <w:rPr>
                <w:rFonts w:ascii="Tahoma" w:eastAsia="Times New Roman" w:hAnsi="Tahoma" w:cs="Tahoma"/>
                <w:sz w:val="20"/>
                <w:szCs w:val="20"/>
                <w:lang w:eastAsia="hr-HR"/>
              </w:rPr>
              <w:t>0</w:t>
            </w:r>
          </w:p>
        </w:tc>
        <w:tc>
          <w:tcPr>
            <w:tcW w:w="854" w:type="dxa"/>
            <w:tcBorders>
              <w:top w:val="nil"/>
              <w:left w:val="nil"/>
              <w:bottom w:val="single" w:sz="4" w:space="0" w:color="auto"/>
              <w:right w:val="single" w:sz="4" w:space="0" w:color="auto"/>
            </w:tcBorders>
            <w:shd w:val="clear" w:color="000000" w:fill="FF9900"/>
            <w:vAlign w:val="center"/>
            <w:hideMark/>
          </w:tcPr>
          <w:p w14:paraId="122472C2" w14:textId="77777777" w:rsidR="005E671C" w:rsidRPr="005E671C" w:rsidRDefault="005E671C" w:rsidP="005E671C">
            <w:pPr>
              <w:spacing w:after="0" w:line="240" w:lineRule="auto"/>
              <w:jc w:val="center"/>
              <w:rPr>
                <w:rFonts w:ascii="Tahoma" w:eastAsia="Times New Roman" w:hAnsi="Tahoma" w:cs="Tahoma"/>
                <w:sz w:val="20"/>
                <w:szCs w:val="20"/>
                <w:lang w:eastAsia="hr-HR"/>
              </w:rPr>
            </w:pPr>
            <w:r w:rsidRPr="005E671C">
              <w:rPr>
                <w:rFonts w:ascii="Tahoma" w:eastAsia="Times New Roman" w:hAnsi="Tahoma" w:cs="Tahoma"/>
                <w:sz w:val="20"/>
                <w:szCs w:val="20"/>
                <w:lang w:eastAsia="hr-HR"/>
              </w:rPr>
              <w:t>0</w:t>
            </w:r>
          </w:p>
        </w:tc>
        <w:tc>
          <w:tcPr>
            <w:tcW w:w="440" w:type="dxa"/>
            <w:tcBorders>
              <w:top w:val="nil"/>
              <w:left w:val="nil"/>
              <w:bottom w:val="single" w:sz="4" w:space="0" w:color="auto"/>
              <w:right w:val="single" w:sz="4" w:space="0" w:color="auto"/>
            </w:tcBorders>
            <w:shd w:val="clear" w:color="000000" w:fill="CCFFFF"/>
            <w:noWrap/>
            <w:vAlign w:val="center"/>
            <w:hideMark/>
          </w:tcPr>
          <w:p w14:paraId="1B5340E3" w14:textId="77777777" w:rsidR="005E671C" w:rsidRPr="005E671C" w:rsidRDefault="005E671C" w:rsidP="005E671C">
            <w:pPr>
              <w:spacing w:after="0" w:line="240" w:lineRule="auto"/>
              <w:jc w:val="center"/>
              <w:rPr>
                <w:rFonts w:ascii="Tahoma" w:eastAsia="Times New Roman" w:hAnsi="Tahoma" w:cs="Tahoma"/>
                <w:sz w:val="20"/>
                <w:szCs w:val="20"/>
                <w:lang w:eastAsia="hr-HR"/>
              </w:rPr>
            </w:pPr>
            <w:r w:rsidRPr="005E671C">
              <w:rPr>
                <w:rFonts w:ascii="Tahoma" w:eastAsia="Times New Roman" w:hAnsi="Tahoma" w:cs="Tahoma"/>
                <w:sz w:val="20"/>
                <w:szCs w:val="20"/>
                <w:lang w:eastAsia="hr-HR"/>
              </w:rPr>
              <w:t>0</w:t>
            </w:r>
          </w:p>
        </w:tc>
        <w:tc>
          <w:tcPr>
            <w:tcW w:w="408" w:type="dxa"/>
            <w:tcBorders>
              <w:top w:val="nil"/>
              <w:left w:val="nil"/>
              <w:bottom w:val="single" w:sz="4" w:space="0" w:color="auto"/>
              <w:right w:val="single" w:sz="4" w:space="0" w:color="auto"/>
            </w:tcBorders>
            <w:shd w:val="clear" w:color="000000" w:fill="CCFFFF"/>
            <w:noWrap/>
            <w:vAlign w:val="center"/>
            <w:hideMark/>
          </w:tcPr>
          <w:p w14:paraId="63ED1815" w14:textId="77777777" w:rsidR="005E671C" w:rsidRPr="005E671C" w:rsidRDefault="005E671C" w:rsidP="005E671C">
            <w:pPr>
              <w:spacing w:after="0" w:line="240" w:lineRule="auto"/>
              <w:jc w:val="center"/>
              <w:rPr>
                <w:rFonts w:ascii="Tahoma" w:eastAsia="Times New Roman" w:hAnsi="Tahoma" w:cs="Tahoma"/>
                <w:sz w:val="20"/>
                <w:szCs w:val="20"/>
                <w:lang w:eastAsia="hr-HR"/>
              </w:rPr>
            </w:pPr>
            <w:r w:rsidRPr="005E671C">
              <w:rPr>
                <w:rFonts w:ascii="Tahoma" w:eastAsia="Times New Roman" w:hAnsi="Tahoma" w:cs="Tahoma"/>
                <w:sz w:val="20"/>
                <w:szCs w:val="20"/>
                <w:lang w:eastAsia="hr-HR"/>
              </w:rPr>
              <w:t>0</w:t>
            </w:r>
          </w:p>
        </w:tc>
        <w:tc>
          <w:tcPr>
            <w:tcW w:w="433" w:type="dxa"/>
            <w:tcBorders>
              <w:top w:val="nil"/>
              <w:left w:val="nil"/>
              <w:bottom w:val="single" w:sz="4" w:space="0" w:color="auto"/>
              <w:right w:val="single" w:sz="4" w:space="0" w:color="auto"/>
            </w:tcBorders>
            <w:shd w:val="clear" w:color="000000" w:fill="CCFFFF"/>
            <w:noWrap/>
            <w:vAlign w:val="center"/>
            <w:hideMark/>
          </w:tcPr>
          <w:p w14:paraId="19C1D2BF" w14:textId="77777777" w:rsidR="005E671C" w:rsidRPr="005E671C" w:rsidRDefault="005E671C" w:rsidP="005E671C">
            <w:pPr>
              <w:spacing w:after="0" w:line="240" w:lineRule="auto"/>
              <w:jc w:val="center"/>
              <w:rPr>
                <w:rFonts w:ascii="Tahoma" w:eastAsia="Times New Roman" w:hAnsi="Tahoma" w:cs="Tahoma"/>
                <w:sz w:val="20"/>
                <w:szCs w:val="20"/>
                <w:lang w:eastAsia="hr-HR"/>
              </w:rPr>
            </w:pPr>
            <w:r w:rsidRPr="005E671C">
              <w:rPr>
                <w:rFonts w:ascii="Tahoma" w:eastAsia="Times New Roman" w:hAnsi="Tahoma" w:cs="Tahoma"/>
                <w:sz w:val="20"/>
                <w:szCs w:val="20"/>
                <w:lang w:eastAsia="hr-HR"/>
              </w:rPr>
              <w:t>0</w:t>
            </w:r>
          </w:p>
        </w:tc>
        <w:tc>
          <w:tcPr>
            <w:tcW w:w="425" w:type="dxa"/>
            <w:tcBorders>
              <w:top w:val="nil"/>
              <w:left w:val="nil"/>
              <w:bottom w:val="single" w:sz="4" w:space="0" w:color="auto"/>
              <w:right w:val="single" w:sz="8" w:space="0" w:color="auto"/>
            </w:tcBorders>
            <w:shd w:val="clear" w:color="000000" w:fill="33CCCC"/>
            <w:noWrap/>
            <w:vAlign w:val="center"/>
            <w:hideMark/>
          </w:tcPr>
          <w:p w14:paraId="3BBE9931" w14:textId="77777777" w:rsidR="005E671C" w:rsidRPr="005E671C" w:rsidRDefault="005E671C" w:rsidP="005E671C">
            <w:pPr>
              <w:spacing w:after="0" w:line="240" w:lineRule="auto"/>
              <w:jc w:val="center"/>
              <w:rPr>
                <w:rFonts w:ascii="Tahoma" w:eastAsia="Times New Roman" w:hAnsi="Tahoma" w:cs="Tahoma"/>
                <w:sz w:val="20"/>
                <w:szCs w:val="20"/>
                <w:lang w:eastAsia="hr-HR"/>
              </w:rPr>
            </w:pPr>
            <w:r w:rsidRPr="005E671C">
              <w:rPr>
                <w:rFonts w:ascii="Tahoma" w:eastAsia="Times New Roman" w:hAnsi="Tahoma" w:cs="Tahoma"/>
                <w:sz w:val="20"/>
                <w:szCs w:val="20"/>
                <w:lang w:eastAsia="hr-HR"/>
              </w:rPr>
              <w:t>0</w:t>
            </w:r>
          </w:p>
        </w:tc>
        <w:tc>
          <w:tcPr>
            <w:tcW w:w="567" w:type="dxa"/>
            <w:tcBorders>
              <w:top w:val="nil"/>
              <w:left w:val="single" w:sz="4" w:space="0" w:color="auto"/>
              <w:bottom w:val="single" w:sz="4" w:space="0" w:color="auto"/>
              <w:right w:val="single" w:sz="8" w:space="0" w:color="auto"/>
            </w:tcBorders>
            <w:shd w:val="clear" w:color="000000" w:fill="33CCCC"/>
            <w:noWrap/>
            <w:vAlign w:val="center"/>
            <w:hideMark/>
          </w:tcPr>
          <w:p w14:paraId="1A07C24C" w14:textId="77777777" w:rsidR="005E671C" w:rsidRPr="005E671C" w:rsidRDefault="005E671C" w:rsidP="005E671C">
            <w:pPr>
              <w:spacing w:after="0" w:line="240" w:lineRule="auto"/>
              <w:jc w:val="center"/>
              <w:rPr>
                <w:rFonts w:ascii="Tahoma" w:eastAsia="Times New Roman" w:hAnsi="Tahoma" w:cs="Tahoma"/>
                <w:sz w:val="20"/>
                <w:szCs w:val="20"/>
                <w:lang w:eastAsia="hr-HR"/>
              </w:rPr>
            </w:pPr>
            <w:r w:rsidRPr="005E671C">
              <w:rPr>
                <w:rFonts w:ascii="Tahoma" w:eastAsia="Times New Roman" w:hAnsi="Tahoma" w:cs="Tahoma"/>
                <w:sz w:val="20"/>
                <w:szCs w:val="20"/>
                <w:lang w:eastAsia="hr-HR"/>
              </w:rPr>
              <w:t>0</w:t>
            </w:r>
          </w:p>
        </w:tc>
        <w:tc>
          <w:tcPr>
            <w:tcW w:w="237" w:type="dxa"/>
            <w:gridSpan w:val="2"/>
            <w:vAlign w:val="center"/>
            <w:hideMark/>
          </w:tcPr>
          <w:p w14:paraId="36B59AC0" w14:textId="77777777" w:rsidR="005E671C" w:rsidRPr="005E671C" w:rsidRDefault="005E671C" w:rsidP="005E671C">
            <w:pPr>
              <w:spacing w:after="0" w:line="240" w:lineRule="auto"/>
              <w:rPr>
                <w:rFonts w:ascii="Times New Roman" w:eastAsia="Times New Roman" w:hAnsi="Times New Roman" w:cs="Times New Roman"/>
                <w:sz w:val="20"/>
                <w:szCs w:val="20"/>
                <w:lang w:eastAsia="hr-HR"/>
              </w:rPr>
            </w:pPr>
          </w:p>
        </w:tc>
      </w:tr>
      <w:tr w:rsidR="005E671C" w:rsidRPr="005E671C" w14:paraId="41610B1B" w14:textId="77777777" w:rsidTr="001752B7">
        <w:trPr>
          <w:gridAfter w:val="1"/>
          <w:wAfter w:w="51" w:type="dxa"/>
          <w:trHeight w:val="300"/>
        </w:trPr>
        <w:tc>
          <w:tcPr>
            <w:tcW w:w="1550" w:type="dxa"/>
            <w:tcBorders>
              <w:top w:val="single" w:sz="4" w:space="0" w:color="auto"/>
              <w:left w:val="single" w:sz="8" w:space="0" w:color="auto"/>
              <w:bottom w:val="single" w:sz="4" w:space="0" w:color="auto"/>
              <w:right w:val="single" w:sz="4" w:space="0" w:color="auto"/>
            </w:tcBorders>
            <w:shd w:val="clear" w:color="000000" w:fill="CCFFCC"/>
            <w:vAlign w:val="center"/>
            <w:hideMark/>
          </w:tcPr>
          <w:p w14:paraId="1566110C" w14:textId="77777777" w:rsidR="005E671C" w:rsidRPr="005E671C" w:rsidRDefault="005E671C" w:rsidP="005E671C">
            <w:pPr>
              <w:spacing w:after="0" w:line="240" w:lineRule="auto"/>
              <w:rPr>
                <w:rFonts w:ascii="Tahoma" w:eastAsia="Times New Roman" w:hAnsi="Tahoma" w:cs="Tahoma"/>
                <w:sz w:val="20"/>
                <w:szCs w:val="20"/>
                <w:lang w:eastAsia="hr-HR"/>
              </w:rPr>
            </w:pPr>
            <w:r w:rsidRPr="005E671C">
              <w:rPr>
                <w:rFonts w:ascii="Tahoma" w:eastAsia="Times New Roman" w:hAnsi="Tahoma" w:cs="Tahoma"/>
                <w:sz w:val="20"/>
                <w:szCs w:val="20"/>
                <w:lang w:eastAsia="hr-HR"/>
              </w:rPr>
              <w:t>Vjera</w:t>
            </w:r>
          </w:p>
        </w:tc>
        <w:tc>
          <w:tcPr>
            <w:tcW w:w="669" w:type="dxa"/>
            <w:tcBorders>
              <w:top w:val="nil"/>
              <w:left w:val="nil"/>
              <w:bottom w:val="single" w:sz="4" w:space="0" w:color="auto"/>
              <w:right w:val="single" w:sz="4" w:space="0" w:color="auto"/>
            </w:tcBorders>
            <w:shd w:val="clear" w:color="000000" w:fill="FFCC99"/>
            <w:noWrap/>
            <w:vAlign w:val="center"/>
            <w:hideMark/>
          </w:tcPr>
          <w:p w14:paraId="07A8AB57" w14:textId="77777777" w:rsidR="005E671C" w:rsidRPr="005E671C" w:rsidRDefault="005E671C" w:rsidP="005E671C">
            <w:pPr>
              <w:spacing w:after="0" w:line="240" w:lineRule="auto"/>
              <w:jc w:val="center"/>
              <w:rPr>
                <w:rFonts w:ascii="Tahoma" w:eastAsia="Times New Roman" w:hAnsi="Tahoma" w:cs="Tahoma"/>
                <w:sz w:val="20"/>
                <w:szCs w:val="20"/>
                <w:lang w:eastAsia="hr-HR"/>
              </w:rPr>
            </w:pPr>
            <w:r w:rsidRPr="005E671C">
              <w:rPr>
                <w:rFonts w:ascii="Tahoma" w:eastAsia="Times New Roman" w:hAnsi="Tahoma" w:cs="Tahoma"/>
                <w:sz w:val="20"/>
                <w:szCs w:val="20"/>
                <w:lang w:eastAsia="hr-HR"/>
              </w:rPr>
              <w:t>3</w:t>
            </w:r>
          </w:p>
        </w:tc>
        <w:tc>
          <w:tcPr>
            <w:tcW w:w="352" w:type="dxa"/>
            <w:tcBorders>
              <w:top w:val="nil"/>
              <w:left w:val="nil"/>
              <w:bottom w:val="single" w:sz="4" w:space="0" w:color="auto"/>
              <w:right w:val="single" w:sz="4" w:space="0" w:color="auto"/>
            </w:tcBorders>
            <w:shd w:val="clear" w:color="000000" w:fill="FFFF00"/>
            <w:noWrap/>
            <w:vAlign w:val="center"/>
            <w:hideMark/>
          </w:tcPr>
          <w:p w14:paraId="6CC1E200" w14:textId="77777777" w:rsidR="005E671C" w:rsidRPr="005E671C" w:rsidRDefault="005E671C" w:rsidP="005E671C">
            <w:pPr>
              <w:spacing w:after="0" w:line="240" w:lineRule="auto"/>
              <w:jc w:val="center"/>
              <w:rPr>
                <w:rFonts w:ascii="Tahoma" w:eastAsia="Times New Roman" w:hAnsi="Tahoma" w:cs="Tahoma"/>
                <w:sz w:val="20"/>
                <w:szCs w:val="20"/>
                <w:lang w:eastAsia="hr-HR"/>
              </w:rPr>
            </w:pPr>
            <w:r w:rsidRPr="005E671C">
              <w:rPr>
                <w:rFonts w:ascii="Tahoma" w:eastAsia="Times New Roman" w:hAnsi="Tahoma" w:cs="Tahoma"/>
                <w:sz w:val="20"/>
                <w:szCs w:val="20"/>
                <w:lang w:eastAsia="hr-HR"/>
              </w:rPr>
              <w:t>0</w:t>
            </w:r>
          </w:p>
        </w:tc>
        <w:tc>
          <w:tcPr>
            <w:tcW w:w="574" w:type="dxa"/>
            <w:tcBorders>
              <w:top w:val="nil"/>
              <w:left w:val="nil"/>
              <w:bottom w:val="single" w:sz="4" w:space="0" w:color="auto"/>
              <w:right w:val="single" w:sz="4" w:space="0" w:color="auto"/>
            </w:tcBorders>
            <w:shd w:val="clear" w:color="000000" w:fill="CCFFFF"/>
            <w:noWrap/>
            <w:vAlign w:val="center"/>
            <w:hideMark/>
          </w:tcPr>
          <w:p w14:paraId="6507F915" w14:textId="77777777" w:rsidR="005E671C" w:rsidRPr="005E671C" w:rsidRDefault="005E671C" w:rsidP="005E671C">
            <w:pPr>
              <w:spacing w:after="0" w:line="240" w:lineRule="auto"/>
              <w:jc w:val="center"/>
              <w:rPr>
                <w:rFonts w:ascii="Tahoma" w:eastAsia="Times New Roman" w:hAnsi="Tahoma" w:cs="Tahoma"/>
                <w:sz w:val="20"/>
                <w:szCs w:val="20"/>
                <w:lang w:eastAsia="hr-HR"/>
              </w:rPr>
            </w:pPr>
            <w:r w:rsidRPr="005E671C">
              <w:rPr>
                <w:rFonts w:ascii="Tahoma" w:eastAsia="Times New Roman" w:hAnsi="Tahoma" w:cs="Tahoma"/>
                <w:sz w:val="20"/>
                <w:szCs w:val="20"/>
                <w:lang w:eastAsia="hr-HR"/>
              </w:rPr>
              <w:t>0</w:t>
            </w:r>
          </w:p>
        </w:tc>
        <w:tc>
          <w:tcPr>
            <w:tcW w:w="440" w:type="dxa"/>
            <w:tcBorders>
              <w:top w:val="nil"/>
              <w:left w:val="nil"/>
              <w:bottom w:val="single" w:sz="4" w:space="0" w:color="auto"/>
              <w:right w:val="single" w:sz="4" w:space="0" w:color="auto"/>
            </w:tcBorders>
            <w:shd w:val="clear" w:color="000000" w:fill="CCFFFF"/>
            <w:noWrap/>
            <w:vAlign w:val="center"/>
            <w:hideMark/>
          </w:tcPr>
          <w:p w14:paraId="7DEB87CC" w14:textId="77777777" w:rsidR="005E671C" w:rsidRPr="005E671C" w:rsidRDefault="005E671C" w:rsidP="005E671C">
            <w:pPr>
              <w:spacing w:after="0" w:line="240" w:lineRule="auto"/>
              <w:jc w:val="center"/>
              <w:rPr>
                <w:rFonts w:ascii="Tahoma" w:eastAsia="Times New Roman" w:hAnsi="Tahoma" w:cs="Tahoma"/>
                <w:sz w:val="20"/>
                <w:szCs w:val="20"/>
                <w:lang w:eastAsia="hr-HR"/>
              </w:rPr>
            </w:pPr>
            <w:r w:rsidRPr="005E671C">
              <w:rPr>
                <w:rFonts w:ascii="Tahoma" w:eastAsia="Times New Roman" w:hAnsi="Tahoma" w:cs="Tahoma"/>
                <w:sz w:val="20"/>
                <w:szCs w:val="20"/>
                <w:lang w:eastAsia="hr-HR"/>
              </w:rPr>
              <w:t>0</w:t>
            </w:r>
          </w:p>
        </w:tc>
        <w:tc>
          <w:tcPr>
            <w:tcW w:w="700" w:type="dxa"/>
            <w:tcBorders>
              <w:top w:val="nil"/>
              <w:left w:val="nil"/>
              <w:bottom w:val="single" w:sz="4" w:space="0" w:color="auto"/>
              <w:right w:val="single" w:sz="4" w:space="0" w:color="auto"/>
            </w:tcBorders>
            <w:shd w:val="clear" w:color="000000" w:fill="FFFF99"/>
            <w:noWrap/>
            <w:vAlign w:val="center"/>
            <w:hideMark/>
          </w:tcPr>
          <w:p w14:paraId="4FC58FE6" w14:textId="77777777" w:rsidR="005E671C" w:rsidRPr="005E671C" w:rsidRDefault="005E671C" w:rsidP="005E671C">
            <w:pPr>
              <w:spacing w:after="0" w:line="240" w:lineRule="auto"/>
              <w:jc w:val="center"/>
              <w:rPr>
                <w:rFonts w:ascii="Tahoma" w:eastAsia="Times New Roman" w:hAnsi="Tahoma" w:cs="Tahoma"/>
                <w:sz w:val="20"/>
                <w:szCs w:val="20"/>
                <w:lang w:eastAsia="hr-HR"/>
              </w:rPr>
            </w:pPr>
            <w:r w:rsidRPr="005E671C">
              <w:rPr>
                <w:rFonts w:ascii="Tahoma" w:eastAsia="Times New Roman" w:hAnsi="Tahoma" w:cs="Tahoma"/>
                <w:sz w:val="20"/>
                <w:szCs w:val="20"/>
                <w:lang w:eastAsia="hr-HR"/>
              </w:rPr>
              <w:t>0</w:t>
            </w:r>
          </w:p>
        </w:tc>
        <w:tc>
          <w:tcPr>
            <w:tcW w:w="698" w:type="dxa"/>
            <w:tcBorders>
              <w:top w:val="nil"/>
              <w:left w:val="nil"/>
              <w:bottom w:val="single" w:sz="4" w:space="0" w:color="auto"/>
              <w:right w:val="single" w:sz="4" w:space="0" w:color="auto"/>
            </w:tcBorders>
            <w:shd w:val="clear" w:color="000000" w:fill="FFFF99"/>
            <w:noWrap/>
            <w:vAlign w:val="center"/>
            <w:hideMark/>
          </w:tcPr>
          <w:p w14:paraId="692E4EE2" w14:textId="77777777" w:rsidR="005E671C" w:rsidRPr="005E671C" w:rsidRDefault="005E671C" w:rsidP="005E671C">
            <w:pPr>
              <w:spacing w:after="0" w:line="240" w:lineRule="auto"/>
              <w:jc w:val="center"/>
              <w:rPr>
                <w:rFonts w:ascii="Tahoma" w:eastAsia="Times New Roman" w:hAnsi="Tahoma" w:cs="Tahoma"/>
                <w:sz w:val="20"/>
                <w:szCs w:val="20"/>
                <w:lang w:eastAsia="hr-HR"/>
              </w:rPr>
            </w:pPr>
            <w:r w:rsidRPr="005E671C">
              <w:rPr>
                <w:rFonts w:ascii="Tahoma" w:eastAsia="Times New Roman" w:hAnsi="Tahoma" w:cs="Tahoma"/>
                <w:sz w:val="20"/>
                <w:szCs w:val="20"/>
                <w:lang w:eastAsia="hr-HR"/>
              </w:rPr>
              <w:t>0</w:t>
            </w:r>
          </w:p>
        </w:tc>
        <w:tc>
          <w:tcPr>
            <w:tcW w:w="698" w:type="dxa"/>
            <w:tcBorders>
              <w:top w:val="nil"/>
              <w:left w:val="nil"/>
              <w:bottom w:val="single" w:sz="4" w:space="0" w:color="auto"/>
              <w:right w:val="single" w:sz="4" w:space="0" w:color="auto"/>
            </w:tcBorders>
            <w:shd w:val="clear" w:color="000000" w:fill="FFFF99"/>
            <w:noWrap/>
            <w:vAlign w:val="center"/>
            <w:hideMark/>
          </w:tcPr>
          <w:p w14:paraId="30951642" w14:textId="77777777" w:rsidR="005E671C" w:rsidRPr="005E671C" w:rsidRDefault="005E671C" w:rsidP="005E671C">
            <w:pPr>
              <w:spacing w:after="0" w:line="240" w:lineRule="auto"/>
              <w:jc w:val="center"/>
              <w:rPr>
                <w:rFonts w:ascii="Tahoma" w:eastAsia="Times New Roman" w:hAnsi="Tahoma" w:cs="Tahoma"/>
                <w:sz w:val="20"/>
                <w:szCs w:val="20"/>
                <w:lang w:eastAsia="hr-HR"/>
              </w:rPr>
            </w:pPr>
            <w:r w:rsidRPr="005E671C">
              <w:rPr>
                <w:rFonts w:ascii="Tahoma" w:eastAsia="Times New Roman" w:hAnsi="Tahoma" w:cs="Tahoma"/>
                <w:sz w:val="20"/>
                <w:szCs w:val="20"/>
                <w:lang w:eastAsia="hr-HR"/>
              </w:rPr>
              <w:t>0</w:t>
            </w:r>
          </w:p>
        </w:tc>
        <w:tc>
          <w:tcPr>
            <w:tcW w:w="698" w:type="dxa"/>
            <w:tcBorders>
              <w:top w:val="nil"/>
              <w:left w:val="nil"/>
              <w:bottom w:val="single" w:sz="4" w:space="0" w:color="auto"/>
              <w:right w:val="single" w:sz="4" w:space="0" w:color="auto"/>
            </w:tcBorders>
            <w:shd w:val="clear" w:color="000000" w:fill="FFFF99"/>
            <w:noWrap/>
            <w:vAlign w:val="center"/>
            <w:hideMark/>
          </w:tcPr>
          <w:p w14:paraId="6283B9DE" w14:textId="77777777" w:rsidR="005E671C" w:rsidRPr="005E671C" w:rsidRDefault="005E671C" w:rsidP="005E671C">
            <w:pPr>
              <w:spacing w:after="0" w:line="240" w:lineRule="auto"/>
              <w:jc w:val="center"/>
              <w:rPr>
                <w:rFonts w:ascii="Tahoma" w:eastAsia="Times New Roman" w:hAnsi="Tahoma" w:cs="Tahoma"/>
                <w:sz w:val="20"/>
                <w:szCs w:val="20"/>
                <w:lang w:eastAsia="hr-HR"/>
              </w:rPr>
            </w:pPr>
            <w:r w:rsidRPr="005E671C">
              <w:rPr>
                <w:rFonts w:ascii="Tahoma" w:eastAsia="Times New Roman" w:hAnsi="Tahoma" w:cs="Tahoma"/>
                <w:sz w:val="20"/>
                <w:szCs w:val="20"/>
                <w:lang w:eastAsia="hr-HR"/>
              </w:rPr>
              <w:t>0</w:t>
            </w:r>
          </w:p>
        </w:tc>
        <w:tc>
          <w:tcPr>
            <w:tcW w:w="698" w:type="dxa"/>
            <w:tcBorders>
              <w:top w:val="nil"/>
              <w:left w:val="nil"/>
              <w:bottom w:val="single" w:sz="4" w:space="0" w:color="auto"/>
              <w:right w:val="single" w:sz="4" w:space="0" w:color="auto"/>
            </w:tcBorders>
            <w:shd w:val="clear" w:color="000000" w:fill="FFFF99"/>
            <w:noWrap/>
            <w:vAlign w:val="center"/>
            <w:hideMark/>
          </w:tcPr>
          <w:p w14:paraId="727E55F5" w14:textId="77777777" w:rsidR="005E671C" w:rsidRPr="005E671C" w:rsidRDefault="005E671C" w:rsidP="005E671C">
            <w:pPr>
              <w:spacing w:after="0" w:line="240" w:lineRule="auto"/>
              <w:jc w:val="center"/>
              <w:rPr>
                <w:rFonts w:ascii="Tahoma" w:eastAsia="Times New Roman" w:hAnsi="Tahoma" w:cs="Tahoma"/>
                <w:sz w:val="20"/>
                <w:szCs w:val="20"/>
                <w:lang w:eastAsia="hr-HR"/>
              </w:rPr>
            </w:pPr>
            <w:r w:rsidRPr="005E671C">
              <w:rPr>
                <w:rFonts w:ascii="Tahoma" w:eastAsia="Times New Roman" w:hAnsi="Tahoma" w:cs="Tahoma"/>
                <w:sz w:val="20"/>
                <w:szCs w:val="20"/>
                <w:lang w:eastAsia="hr-HR"/>
              </w:rPr>
              <w:t>0</w:t>
            </w:r>
          </w:p>
        </w:tc>
        <w:tc>
          <w:tcPr>
            <w:tcW w:w="698" w:type="dxa"/>
            <w:tcBorders>
              <w:top w:val="nil"/>
              <w:left w:val="nil"/>
              <w:bottom w:val="single" w:sz="4" w:space="0" w:color="auto"/>
              <w:right w:val="single" w:sz="4" w:space="0" w:color="auto"/>
            </w:tcBorders>
            <w:shd w:val="clear" w:color="000000" w:fill="FFFF99"/>
            <w:noWrap/>
            <w:vAlign w:val="center"/>
            <w:hideMark/>
          </w:tcPr>
          <w:p w14:paraId="73B48FD0" w14:textId="77777777" w:rsidR="005E671C" w:rsidRPr="005E671C" w:rsidRDefault="005E671C" w:rsidP="005E671C">
            <w:pPr>
              <w:spacing w:after="0" w:line="240" w:lineRule="auto"/>
              <w:jc w:val="center"/>
              <w:rPr>
                <w:rFonts w:ascii="Tahoma" w:eastAsia="Times New Roman" w:hAnsi="Tahoma" w:cs="Tahoma"/>
                <w:sz w:val="20"/>
                <w:szCs w:val="20"/>
                <w:lang w:eastAsia="hr-HR"/>
              </w:rPr>
            </w:pPr>
            <w:r w:rsidRPr="005E671C">
              <w:rPr>
                <w:rFonts w:ascii="Tahoma" w:eastAsia="Times New Roman" w:hAnsi="Tahoma" w:cs="Tahoma"/>
                <w:sz w:val="20"/>
                <w:szCs w:val="20"/>
                <w:lang w:eastAsia="hr-HR"/>
              </w:rPr>
              <w:t>0</w:t>
            </w:r>
          </w:p>
        </w:tc>
        <w:tc>
          <w:tcPr>
            <w:tcW w:w="493" w:type="dxa"/>
            <w:tcBorders>
              <w:top w:val="nil"/>
              <w:left w:val="nil"/>
              <w:bottom w:val="single" w:sz="4" w:space="0" w:color="auto"/>
              <w:right w:val="single" w:sz="4" w:space="0" w:color="auto"/>
            </w:tcBorders>
            <w:shd w:val="clear" w:color="000000" w:fill="FF9900"/>
            <w:noWrap/>
            <w:vAlign w:val="center"/>
            <w:hideMark/>
          </w:tcPr>
          <w:p w14:paraId="70FE097C" w14:textId="77777777" w:rsidR="005E671C" w:rsidRPr="005E671C" w:rsidRDefault="005E671C" w:rsidP="005E671C">
            <w:pPr>
              <w:spacing w:after="0" w:line="240" w:lineRule="auto"/>
              <w:jc w:val="center"/>
              <w:rPr>
                <w:rFonts w:ascii="Tahoma" w:eastAsia="Times New Roman" w:hAnsi="Tahoma" w:cs="Tahoma"/>
                <w:sz w:val="20"/>
                <w:szCs w:val="20"/>
                <w:lang w:eastAsia="hr-HR"/>
              </w:rPr>
            </w:pPr>
            <w:r w:rsidRPr="005E671C">
              <w:rPr>
                <w:rFonts w:ascii="Tahoma" w:eastAsia="Times New Roman" w:hAnsi="Tahoma" w:cs="Tahoma"/>
                <w:sz w:val="20"/>
                <w:szCs w:val="20"/>
                <w:lang w:eastAsia="hr-HR"/>
              </w:rPr>
              <w:t>1</w:t>
            </w:r>
          </w:p>
        </w:tc>
        <w:tc>
          <w:tcPr>
            <w:tcW w:w="469" w:type="dxa"/>
            <w:tcBorders>
              <w:top w:val="nil"/>
              <w:left w:val="nil"/>
              <w:bottom w:val="single" w:sz="4" w:space="0" w:color="auto"/>
              <w:right w:val="single" w:sz="4" w:space="0" w:color="auto"/>
            </w:tcBorders>
            <w:shd w:val="clear" w:color="000000" w:fill="FF9900"/>
            <w:noWrap/>
            <w:vAlign w:val="center"/>
            <w:hideMark/>
          </w:tcPr>
          <w:p w14:paraId="5CBEBBAD" w14:textId="77777777" w:rsidR="005E671C" w:rsidRPr="005E671C" w:rsidRDefault="005E671C" w:rsidP="005E671C">
            <w:pPr>
              <w:spacing w:after="0" w:line="240" w:lineRule="auto"/>
              <w:jc w:val="center"/>
              <w:rPr>
                <w:rFonts w:ascii="Tahoma" w:eastAsia="Times New Roman" w:hAnsi="Tahoma" w:cs="Tahoma"/>
                <w:sz w:val="20"/>
                <w:szCs w:val="20"/>
                <w:lang w:eastAsia="hr-HR"/>
              </w:rPr>
            </w:pPr>
            <w:r w:rsidRPr="005E671C">
              <w:rPr>
                <w:rFonts w:ascii="Tahoma" w:eastAsia="Times New Roman" w:hAnsi="Tahoma" w:cs="Tahoma"/>
                <w:sz w:val="20"/>
                <w:szCs w:val="20"/>
                <w:lang w:eastAsia="hr-HR"/>
              </w:rPr>
              <w:t>0</w:t>
            </w:r>
          </w:p>
        </w:tc>
        <w:tc>
          <w:tcPr>
            <w:tcW w:w="467" w:type="dxa"/>
            <w:tcBorders>
              <w:top w:val="nil"/>
              <w:left w:val="nil"/>
              <w:bottom w:val="single" w:sz="4" w:space="0" w:color="auto"/>
              <w:right w:val="single" w:sz="4" w:space="0" w:color="auto"/>
            </w:tcBorders>
            <w:shd w:val="clear" w:color="000000" w:fill="FF9900"/>
            <w:noWrap/>
            <w:vAlign w:val="center"/>
            <w:hideMark/>
          </w:tcPr>
          <w:p w14:paraId="1C32CFC4" w14:textId="77777777" w:rsidR="005E671C" w:rsidRPr="005E671C" w:rsidRDefault="005E671C" w:rsidP="005E671C">
            <w:pPr>
              <w:spacing w:after="0" w:line="240" w:lineRule="auto"/>
              <w:jc w:val="center"/>
              <w:rPr>
                <w:rFonts w:ascii="Tahoma" w:eastAsia="Times New Roman" w:hAnsi="Tahoma" w:cs="Tahoma"/>
                <w:sz w:val="20"/>
                <w:szCs w:val="20"/>
                <w:lang w:eastAsia="hr-HR"/>
              </w:rPr>
            </w:pPr>
            <w:r w:rsidRPr="005E671C">
              <w:rPr>
                <w:rFonts w:ascii="Tahoma" w:eastAsia="Times New Roman" w:hAnsi="Tahoma" w:cs="Tahoma"/>
                <w:sz w:val="20"/>
                <w:szCs w:val="20"/>
                <w:lang w:eastAsia="hr-HR"/>
              </w:rPr>
              <w:t>0</w:t>
            </w:r>
          </w:p>
        </w:tc>
        <w:tc>
          <w:tcPr>
            <w:tcW w:w="567" w:type="dxa"/>
            <w:tcBorders>
              <w:top w:val="nil"/>
              <w:left w:val="nil"/>
              <w:bottom w:val="single" w:sz="4" w:space="0" w:color="auto"/>
              <w:right w:val="single" w:sz="4" w:space="0" w:color="auto"/>
            </w:tcBorders>
            <w:shd w:val="clear" w:color="000000" w:fill="FFFF00"/>
            <w:vAlign w:val="center"/>
            <w:hideMark/>
          </w:tcPr>
          <w:p w14:paraId="6459459A" w14:textId="77777777" w:rsidR="005E671C" w:rsidRPr="005E671C" w:rsidRDefault="005E671C" w:rsidP="005E671C">
            <w:pPr>
              <w:spacing w:after="0" w:line="240" w:lineRule="auto"/>
              <w:jc w:val="center"/>
              <w:rPr>
                <w:rFonts w:ascii="Tahoma" w:eastAsia="Times New Roman" w:hAnsi="Tahoma" w:cs="Tahoma"/>
                <w:sz w:val="20"/>
                <w:szCs w:val="20"/>
                <w:lang w:eastAsia="hr-HR"/>
              </w:rPr>
            </w:pPr>
            <w:r w:rsidRPr="005E671C">
              <w:rPr>
                <w:rFonts w:ascii="Tahoma" w:eastAsia="Times New Roman" w:hAnsi="Tahoma" w:cs="Tahoma"/>
                <w:sz w:val="20"/>
                <w:szCs w:val="20"/>
                <w:lang w:eastAsia="hr-HR"/>
              </w:rPr>
              <w:t>1</w:t>
            </w:r>
          </w:p>
        </w:tc>
        <w:tc>
          <w:tcPr>
            <w:tcW w:w="542" w:type="dxa"/>
            <w:tcBorders>
              <w:top w:val="nil"/>
              <w:left w:val="nil"/>
              <w:bottom w:val="single" w:sz="4" w:space="0" w:color="auto"/>
              <w:right w:val="single" w:sz="4" w:space="0" w:color="auto"/>
            </w:tcBorders>
            <w:shd w:val="clear" w:color="000000" w:fill="FF9900"/>
            <w:vAlign w:val="center"/>
            <w:hideMark/>
          </w:tcPr>
          <w:p w14:paraId="4FD01603" w14:textId="77777777" w:rsidR="005E671C" w:rsidRPr="005E671C" w:rsidRDefault="005E671C" w:rsidP="005E671C">
            <w:pPr>
              <w:spacing w:after="0" w:line="240" w:lineRule="auto"/>
              <w:jc w:val="center"/>
              <w:rPr>
                <w:rFonts w:ascii="Tahoma" w:eastAsia="Times New Roman" w:hAnsi="Tahoma" w:cs="Tahoma"/>
                <w:sz w:val="20"/>
                <w:szCs w:val="20"/>
                <w:lang w:eastAsia="hr-HR"/>
              </w:rPr>
            </w:pPr>
            <w:r w:rsidRPr="005E671C">
              <w:rPr>
                <w:rFonts w:ascii="Tahoma" w:eastAsia="Times New Roman" w:hAnsi="Tahoma" w:cs="Tahoma"/>
                <w:sz w:val="20"/>
                <w:szCs w:val="20"/>
                <w:lang w:eastAsia="hr-HR"/>
              </w:rPr>
              <w:t>2</w:t>
            </w:r>
          </w:p>
        </w:tc>
        <w:tc>
          <w:tcPr>
            <w:tcW w:w="441" w:type="dxa"/>
            <w:tcBorders>
              <w:top w:val="nil"/>
              <w:left w:val="nil"/>
              <w:bottom w:val="single" w:sz="4" w:space="0" w:color="auto"/>
              <w:right w:val="single" w:sz="4" w:space="0" w:color="auto"/>
            </w:tcBorders>
            <w:shd w:val="clear" w:color="000000" w:fill="FF9900"/>
            <w:noWrap/>
            <w:vAlign w:val="center"/>
            <w:hideMark/>
          </w:tcPr>
          <w:p w14:paraId="7CE94E99" w14:textId="77777777" w:rsidR="005E671C" w:rsidRPr="005E671C" w:rsidRDefault="005E671C" w:rsidP="005E671C">
            <w:pPr>
              <w:spacing w:after="0" w:line="240" w:lineRule="auto"/>
              <w:jc w:val="center"/>
              <w:rPr>
                <w:rFonts w:ascii="Tahoma" w:eastAsia="Times New Roman" w:hAnsi="Tahoma" w:cs="Tahoma"/>
                <w:sz w:val="20"/>
                <w:szCs w:val="20"/>
                <w:lang w:eastAsia="hr-HR"/>
              </w:rPr>
            </w:pPr>
            <w:r w:rsidRPr="005E671C">
              <w:rPr>
                <w:rFonts w:ascii="Tahoma" w:eastAsia="Times New Roman" w:hAnsi="Tahoma" w:cs="Tahoma"/>
                <w:sz w:val="20"/>
                <w:szCs w:val="20"/>
                <w:lang w:eastAsia="hr-HR"/>
              </w:rPr>
              <w:t>1</w:t>
            </w:r>
          </w:p>
        </w:tc>
        <w:tc>
          <w:tcPr>
            <w:tcW w:w="426" w:type="dxa"/>
            <w:tcBorders>
              <w:top w:val="nil"/>
              <w:left w:val="nil"/>
              <w:bottom w:val="single" w:sz="4" w:space="0" w:color="auto"/>
              <w:right w:val="single" w:sz="4" w:space="0" w:color="auto"/>
            </w:tcBorders>
            <w:shd w:val="clear" w:color="000000" w:fill="FF9900"/>
            <w:noWrap/>
            <w:vAlign w:val="center"/>
            <w:hideMark/>
          </w:tcPr>
          <w:p w14:paraId="1D7937CC" w14:textId="77777777" w:rsidR="005E671C" w:rsidRPr="005E671C" w:rsidRDefault="005E671C" w:rsidP="005E671C">
            <w:pPr>
              <w:spacing w:after="0" w:line="240" w:lineRule="auto"/>
              <w:jc w:val="center"/>
              <w:rPr>
                <w:rFonts w:ascii="Tahoma" w:eastAsia="Times New Roman" w:hAnsi="Tahoma" w:cs="Tahoma"/>
                <w:sz w:val="20"/>
                <w:szCs w:val="20"/>
                <w:lang w:eastAsia="hr-HR"/>
              </w:rPr>
            </w:pPr>
            <w:r w:rsidRPr="005E671C">
              <w:rPr>
                <w:rFonts w:ascii="Tahoma" w:eastAsia="Times New Roman" w:hAnsi="Tahoma" w:cs="Tahoma"/>
                <w:sz w:val="20"/>
                <w:szCs w:val="20"/>
                <w:lang w:eastAsia="hr-HR"/>
              </w:rPr>
              <w:t>0</w:t>
            </w:r>
          </w:p>
        </w:tc>
        <w:tc>
          <w:tcPr>
            <w:tcW w:w="854" w:type="dxa"/>
            <w:tcBorders>
              <w:top w:val="nil"/>
              <w:left w:val="nil"/>
              <w:bottom w:val="single" w:sz="4" w:space="0" w:color="auto"/>
              <w:right w:val="single" w:sz="4" w:space="0" w:color="auto"/>
            </w:tcBorders>
            <w:shd w:val="clear" w:color="000000" w:fill="FF9900"/>
            <w:noWrap/>
            <w:vAlign w:val="center"/>
            <w:hideMark/>
          </w:tcPr>
          <w:p w14:paraId="4E5E5C75" w14:textId="77777777" w:rsidR="005E671C" w:rsidRPr="005E671C" w:rsidRDefault="005E671C" w:rsidP="005E671C">
            <w:pPr>
              <w:spacing w:after="0" w:line="240" w:lineRule="auto"/>
              <w:jc w:val="center"/>
              <w:rPr>
                <w:rFonts w:ascii="Tahoma" w:eastAsia="Times New Roman" w:hAnsi="Tahoma" w:cs="Tahoma"/>
                <w:sz w:val="20"/>
                <w:szCs w:val="20"/>
                <w:lang w:eastAsia="hr-HR"/>
              </w:rPr>
            </w:pPr>
            <w:r w:rsidRPr="005E671C">
              <w:rPr>
                <w:rFonts w:ascii="Tahoma" w:eastAsia="Times New Roman" w:hAnsi="Tahoma" w:cs="Tahoma"/>
                <w:sz w:val="20"/>
                <w:szCs w:val="20"/>
                <w:lang w:eastAsia="hr-HR"/>
              </w:rPr>
              <w:t>0</w:t>
            </w:r>
          </w:p>
        </w:tc>
        <w:tc>
          <w:tcPr>
            <w:tcW w:w="440" w:type="dxa"/>
            <w:tcBorders>
              <w:top w:val="nil"/>
              <w:left w:val="nil"/>
              <w:bottom w:val="single" w:sz="4" w:space="0" w:color="auto"/>
              <w:right w:val="single" w:sz="4" w:space="0" w:color="auto"/>
            </w:tcBorders>
            <w:shd w:val="clear" w:color="000000" w:fill="CCFFFF"/>
            <w:noWrap/>
            <w:vAlign w:val="center"/>
            <w:hideMark/>
          </w:tcPr>
          <w:p w14:paraId="150DDC0F" w14:textId="77777777" w:rsidR="005E671C" w:rsidRPr="005E671C" w:rsidRDefault="005E671C" w:rsidP="005E671C">
            <w:pPr>
              <w:spacing w:after="0" w:line="240" w:lineRule="auto"/>
              <w:jc w:val="center"/>
              <w:rPr>
                <w:rFonts w:ascii="Tahoma" w:eastAsia="Times New Roman" w:hAnsi="Tahoma" w:cs="Tahoma"/>
                <w:sz w:val="20"/>
                <w:szCs w:val="20"/>
                <w:lang w:eastAsia="hr-HR"/>
              </w:rPr>
            </w:pPr>
            <w:r w:rsidRPr="005E671C">
              <w:rPr>
                <w:rFonts w:ascii="Tahoma" w:eastAsia="Times New Roman" w:hAnsi="Tahoma" w:cs="Tahoma"/>
                <w:sz w:val="20"/>
                <w:szCs w:val="20"/>
                <w:lang w:eastAsia="hr-HR"/>
              </w:rPr>
              <w:t>1</w:t>
            </w:r>
          </w:p>
        </w:tc>
        <w:tc>
          <w:tcPr>
            <w:tcW w:w="408" w:type="dxa"/>
            <w:tcBorders>
              <w:top w:val="nil"/>
              <w:left w:val="nil"/>
              <w:bottom w:val="single" w:sz="4" w:space="0" w:color="auto"/>
              <w:right w:val="single" w:sz="4" w:space="0" w:color="auto"/>
            </w:tcBorders>
            <w:shd w:val="clear" w:color="000000" w:fill="CCFFFF"/>
            <w:noWrap/>
            <w:vAlign w:val="center"/>
            <w:hideMark/>
          </w:tcPr>
          <w:p w14:paraId="4FBFDFF9" w14:textId="77777777" w:rsidR="005E671C" w:rsidRPr="005E671C" w:rsidRDefault="005E671C" w:rsidP="005E671C">
            <w:pPr>
              <w:spacing w:after="0" w:line="240" w:lineRule="auto"/>
              <w:jc w:val="center"/>
              <w:rPr>
                <w:rFonts w:ascii="Tahoma" w:eastAsia="Times New Roman" w:hAnsi="Tahoma" w:cs="Tahoma"/>
                <w:sz w:val="20"/>
                <w:szCs w:val="20"/>
                <w:lang w:eastAsia="hr-HR"/>
              </w:rPr>
            </w:pPr>
            <w:r w:rsidRPr="005E671C">
              <w:rPr>
                <w:rFonts w:ascii="Tahoma" w:eastAsia="Times New Roman" w:hAnsi="Tahoma" w:cs="Tahoma"/>
                <w:sz w:val="20"/>
                <w:szCs w:val="20"/>
                <w:lang w:eastAsia="hr-HR"/>
              </w:rPr>
              <w:t>0</w:t>
            </w:r>
          </w:p>
        </w:tc>
        <w:tc>
          <w:tcPr>
            <w:tcW w:w="433" w:type="dxa"/>
            <w:tcBorders>
              <w:top w:val="nil"/>
              <w:left w:val="nil"/>
              <w:bottom w:val="single" w:sz="4" w:space="0" w:color="auto"/>
              <w:right w:val="single" w:sz="4" w:space="0" w:color="auto"/>
            </w:tcBorders>
            <w:shd w:val="clear" w:color="000000" w:fill="CCFFFF"/>
            <w:noWrap/>
            <w:vAlign w:val="center"/>
            <w:hideMark/>
          </w:tcPr>
          <w:p w14:paraId="0F0039F6" w14:textId="77777777" w:rsidR="005E671C" w:rsidRPr="005E671C" w:rsidRDefault="005E671C" w:rsidP="005E671C">
            <w:pPr>
              <w:spacing w:after="0" w:line="240" w:lineRule="auto"/>
              <w:jc w:val="center"/>
              <w:rPr>
                <w:rFonts w:ascii="Tahoma" w:eastAsia="Times New Roman" w:hAnsi="Tahoma" w:cs="Tahoma"/>
                <w:sz w:val="20"/>
                <w:szCs w:val="20"/>
                <w:lang w:eastAsia="hr-HR"/>
              </w:rPr>
            </w:pPr>
            <w:r w:rsidRPr="005E671C">
              <w:rPr>
                <w:rFonts w:ascii="Tahoma" w:eastAsia="Times New Roman" w:hAnsi="Tahoma" w:cs="Tahoma"/>
                <w:sz w:val="20"/>
                <w:szCs w:val="20"/>
                <w:lang w:eastAsia="hr-HR"/>
              </w:rPr>
              <w:t>0</w:t>
            </w:r>
          </w:p>
        </w:tc>
        <w:tc>
          <w:tcPr>
            <w:tcW w:w="425" w:type="dxa"/>
            <w:tcBorders>
              <w:top w:val="nil"/>
              <w:left w:val="nil"/>
              <w:bottom w:val="single" w:sz="4" w:space="0" w:color="auto"/>
              <w:right w:val="single" w:sz="8" w:space="0" w:color="auto"/>
            </w:tcBorders>
            <w:shd w:val="clear" w:color="000000" w:fill="33CCCC"/>
            <w:noWrap/>
            <w:vAlign w:val="center"/>
            <w:hideMark/>
          </w:tcPr>
          <w:p w14:paraId="16BC586E" w14:textId="77777777" w:rsidR="005E671C" w:rsidRPr="005E671C" w:rsidRDefault="005E671C" w:rsidP="005E671C">
            <w:pPr>
              <w:spacing w:after="0" w:line="240" w:lineRule="auto"/>
              <w:jc w:val="center"/>
              <w:rPr>
                <w:rFonts w:ascii="Tahoma" w:eastAsia="Times New Roman" w:hAnsi="Tahoma" w:cs="Tahoma"/>
                <w:sz w:val="20"/>
                <w:szCs w:val="20"/>
                <w:lang w:eastAsia="hr-HR"/>
              </w:rPr>
            </w:pPr>
            <w:r w:rsidRPr="005E671C">
              <w:rPr>
                <w:rFonts w:ascii="Tahoma" w:eastAsia="Times New Roman" w:hAnsi="Tahoma" w:cs="Tahoma"/>
                <w:sz w:val="20"/>
                <w:szCs w:val="20"/>
                <w:lang w:eastAsia="hr-HR"/>
              </w:rPr>
              <w:t>0</w:t>
            </w:r>
          </w:p>
        </w:tc>
        <w:tc>
          <w:tcPr>
            <w:tcW w:w="567" w:type="dxa"/>
            <w:tcBorders>
              <w:top w:val="nil"/>
              <w:left w:val="single" w:sz="4" w:space="0" w:color="auto"/>
              <w:bottom w:val="single" w:sz="4" w:space="0" w:color="auto"/>
              <w:right w:val="single" w:sz="8" w:space="0" w:color="auto"/>
            </w:tcBorders>
            <w:shd w:val="clear" w:color="000000" w:fill="33CCCC"/>
            <w:noWrap/>
            <w:vAlign w:val="center"/>
            <w:hideMark/>
          </w:tcPr>
          <w:p w14:paraId="52992111" w14:textId="77777777" w:rsidR="005E671C" w:rsidRPr="005E671C" w:rsidRDefault="005E671C" w:rsidP="005E671C">
            <w:pPr>
              <w:spacing w:after="0" w:line="240" w:lineRule="auto"/>
              <w:jc w:val="center"/>
              <w:rPr>
                <w:rFonts w:ascii="Tahoma" w:eastAsia="Times New Roman" w:hAnsi="Tahoma" w:cs="Tahoma"/>
                <w:sz w:val="20"/>
                <w:szCs w:val="20"/>
                <w:lang w:eastAsia="hr-HR"/>
              </w:rPr>
            </w:pPr>
            <w:r w:rsidRPr="005E671C">
              <w:rPr>
                <w:rFonts w:ascii="Tahoma" w:eastAsia="Times New Roman" w:hAnsi="Tahoma" w:cs="Tahoma"/>
                <w:sz w:val="20"/>
                <w:szCs w:val="20"/>
                <w:lang w:eastAsia="hr-HR"/>
              </w:rPr>
              <w:t>1</w:t>
            </w:r>
          </w:p>
        </w:tc>
        <w:tc>
          <w:tcPr>
            <w:tcW w:w="237" w:type="dxa"/>
            <w:gridSpan w:val="2"/>
            <w:vAlign w:val="center"/>
            <w:hideMark/>
          </w:tcPr>
          <w:p w14:paraId="5796705A" w14:textId="77777777" w:rsidR="005E671C" w:rsidRPr="005E671C" w:rsidRDefault="005E671C" w:rsidP="005E671C">
            <w:pPr>
              <w:spacing w:after="0" w:line="240" w:lineRule="auto"/>
              <w:rPr>
                <w:rFonts w:ascii="Times New Roman" w:eastAsia="Times New Roman" w:hAnsi="Times New Roman" w:cs="Times New Roman"/>
                <w:sz w:val="20"/>
                <w:szCs w:val="20"/>
                <w:lang w:eastAsia="hr-HR"/>
              </w:rPr>
            </w:pPr>
          </w:p>
        </w:tc>
      </w:tr>
      <w:tr w:rsidR="005E671C" w:rsidRPr="005E671C" w14:paraId="6EDDEDBD" w14:textId="77777777" w:rsidTr="001752B7">
        <w:trPr>
          <w:gridAfter w:val="1"/>
          <w:wAfter w:w="51" w:type="dxa"/>
          <w:trHeight w:val="510"/>
        </w:trPr>
        <w:tc>
          <w:tcPr>
            <w:tcW w:w="1550" w:type="dxa"/>
            <w:tcBorders>
              <w:top w:val="single" w:sz="4" w:space="0" w:color="auto"/>
              <w:left w:val="single" w:sz="8" w:space="0" w:color="auto"/>
              <w:bottom w:val="single" w:sz="4" w:space="0" w:color="auto"/>
              <w:right w:val="single" w:sz="4" w:space="0" w:color="auto"/>
            </w:tcBorders>
            <w:shd w:val="clear" w:color="000000" w:fill="CCFFCC"/>
            <w:vAlign w:val="center"/>
            <w:hideMark/>
          </w:tcPr>
          <w:p w14:paraId="42F3DF8D" w14:textId="77777777" w:rsidR="005E671C" w:rsidRPr="005E671C" w:rsidRDefault="005E671C" w:rsidP="005E671C">
            <w:pPr>
              <w:spacing w:after="0" w:line="240" w:lineRule="auto"/>
              <w:rPr>
                <w:rFonts w:ascii="Tahoma" w:eastAsia="Times New Roman" w:hAnsi="Tahoma" w:cs="Tahoma"/>
                <w:sz w:val="20"/>
                <w:szCs w:val="20"/>
                <w:lang w:eastAsia="hr-HR"/>
              </w:rPr>
            </w:pPr>
            <w:r w:rsidRPr="005E671C">
              <w:rPr>
                <w:rFonts w:ascii="Tahoma" w:eastAsia="Times New Roman" w:hAnsi="Tahoma" w:cs="Tahoma"/>
                <w:sz w:val="20"/>
                <w:szCs w:val="20"/>
                <w:lang w:eastAsia="hr-HR"/>
              </w:rPr>
              <w:lastRenderedPageBreak/>
              <w:t>Političko ili drugo uvjerenje</w:t>
            </w:r>
          </w:p>
        </w:tc>
        <w:tc>
          <w:tcPr>
            <w:tcW w:w="669" w:type="dxa"/>
            <w:tcBorders>
              <w:top w:val="nil"/>
              <w:left w:val="nil"/>
              <w:bottom w:val="single" w:sz="4" w:space="0" w:color="auto"/>
              <w:right w:val="single" w:sz="4" w:space="0" w:color="auto"/>
            </w:tcBorders>
            <w:shd w:val="clear" w:color="000000" w:fill="FFCC99"/>
            <w:noWrap/>
            <w:vAlign w:val="center"/>
            <w:hideMark/>
          </w:tcPr>
          <w:p w14:paraId="20D40EC6" w14:textId="77777777" w:rsidR="005E671C" w:rsidRPr="005E671C" w:rsidRDefault="005E671C" w:rsidP="005E671C">
            <w:pPr>
              <w:spacing w:after="0" w:line="240" w:lineRule="auto"/>
              <w:jc w:val="center"/>
              <w:rPr>
                <w:rFonts w:ascii="Tahoma" w:eastAsia="Times New Roman" w:hAnsi="Tahoma" w:cs="Tahoma"/>
                <w:sz w:val="20"/>
                <w:szCs w:val="20"/>
                <w:lang w:eastAsia="hr-HR"/>
              </w:rPr>
            </w:pPr>
            <w:r w:rsidRPr="005E671C">
              <w:rPr>
                <w:rFonts w:ascii="Tahoma" w:eastAsia="Times New Roman" w:hAnsi="Tahoma" w:cs="Tahoma"/>
                <w:sz w:val="20"/>
                <w:szCs w:val="20"/>
                <w:lang w:eastAsia="hr-HR"/>
              </w:rPr>
              <w:t>15</w:t>
            </w:r>
          </w:p>
        </w:tc>
        <w:tc>
          <w:tcPr>
            <w:tcW w:w="352" w:type="dxa"/>
            <w:tcBorders>
              <w:top w:val="nil"/>
              <w:left w:val="nil"/>
              <w:bottom w:val="single" w:sz="4" w:space="0" w:color="auto"/>
              <w:right w:val="single" w:sz="4" w:space="0" w:color="auto"/>
            </w:tcBorders>
            <w:shd w:val="clear" w:color="000000" w:fill="FFFF00"/>
            <w:noWrap/>
            <w:vAlign w:val="center"/>
            <w:hideMark/>
          </w:tcPr>
          <w:p w14:paraId="024780A6" w14:textId="77777777" w:rsidR="005E671C" w:rsidRPr="005E671C" w:rsidRDefault="005E671C" w:rsidP="005E671C">
            <w:pPr>
              <w:spacing w:after="0" w:line="240" w:lineRule="auto"/>
              <w:jc w:val="center"/>
              <w:rPr>
                <w:rFonts w:ascii="Tahoma" w:eastAsia="Times New Roman" w:hAnsi="Tahoma" w:cs="Tahoma"/>
                <w:sz w:val="20"/>
                <w:szCs w:val="20"/>
                <w:lang w:eastAsia="hr-HR"/>
              </w:rPr>
            </w:pPr>
            <w:r w:rsidRPr="005E671C">
              <w:rPr>
                <w:rFonts w:ascii="Tahoma" w:eastAsia="Times New Roman" w:hAnsi="Tahoma" w:cs="Tahoma"/>
                <w:sz w:val="20"/>
                <w:szCs w:val="20"/>
                <w:lang w:eastAsia="hr-HR"/>
              </w:rPr>
              <w:t>3</w:t>
            </w:r>
          </w:p>
        </w:tc>
        <w:tc>
          <w:tcPr>
            <w:tcW w:w="574" w:type="dxa"/>
            <w:tcBorders>
              <w:top w:val="nil"/>
              <w:left w:val="nil"/>
              <w:bottom w:val="single" w:sz="4" w:space="0" w:color="auto"/>
              <w:right w:val="single" w:sz="4" w:space="0" w:color="auto"/>
            </w:tcBorders>
            <w:shd w:val="clear" w:color="000000" w:fill="CCFFFF"/>
            <w:noWrap/>
            <w:vAlign w:val="center"/>
            <w:hideMark/>
          </w:tcPr>
          <w:p w14:paraId="0C1F150F" w14:textId="77777777" w:rsidR="005E671C" w:rsidRPr="005E671C" w:rsidRDefault="005E671C" w:rsidP="005E671C">
            <w:pPr>
              <w:spacing w:after="0" w:line="240" w:lineRule="auto"/>
              <w:jc w:val="center"/>
              <w:rPr>
                <w:rFonts w:ascii="Tahoma" w:eastAsia="Times New Roman" w:hAnsi="Tahoma" w:cs="Tahoma"/>
                <w:sz w:val="20"/>
                <w:szCs w:val="20"/>
                <w:lang w:eastAsia="hr-HR"/>
              </w:rPr>
            </w:pPr>
            <w:r w:rsidRPr="005E671C">
              <w:rPr>
                <w:rFonts w:ascii="Tahoma" w:eastAsia="Times New Roman" w:hAnsi="Tahoma" w:cs="Tahoma"/>
                <w:sz w:val="20"/>
                <w:szCs w:val="20"/>
                <w:lang w:eastAsia="hr-HR"/>
              </w:rPr>
              <w:t>1</w:t>
            </w:r>
          </w:p>
        </w:tc>
        <w:tc>
          <w:tcPr>
            <w:tcW w:w="440" w:type="dxa"/>
            <w:tcBorders>
              <w:top w:val="nil"/>
              <w:left w:val="nil"/>
              <w:bottom w:val="single" w:sz="4" w:space="0" w:color="auto"/>
              <w:right w:val="single" w:sz="4" w:space="0" w:color="auto"/>
            </w:tcBorders>
            <w:shd w:val="clear" w:color="000000" w:fill="CCFFFF"/>
            <w:noWrap/>
            <w:vAlign w:val="center"/>
            <w:hideMark/>
          </w:tcPr>
          <w:p w14:paraId="1F778F22" w14:textId="77777777" w:rsidR="005E671C" w:rsidRPr="005E671C" w:rsidRDefault="005E671C" w:rsidP="005E671C">
            <w:pPr>
              <w:spacing w:after="0" w:line="240" w:lineRule="auto"/>
              <w:jc w:val="center"/>
              <w:rPr>
                <w:rFonts w:ascii="Tahoma" w:eastAsia="Times New Roman" w:hAnsi="Tahoma" w:cs="Tahoma"/>
                <w:sz w:val="20"/>
                <w:szCs w:val="20"/>
                <w:lang w:eastAsia="hr-HR"/>
              </w:rPr>
            </w:pPr>
            <w:r w:rsidRPr="005E671C">
              <w:rPr>
                <w:rFonts w:ascii="Tahoma" w:eastAsia="Times New Roman" w:hAnsi="Tahoma" w:cs="Tahoma"/>
                <w:sz w:val="20"/>
                <w:szCs w:val="20"/>
                <w:lang w:eastAsia="hr-HR"/>
              </w:rPr>
              <w:t>2</w:t>
            </w:r>
          </w:p>
        </w:tc>
        <w:tc>
          <w:tcPr>
            <w:tcW w:w="700" w:type="dxa"/>
            <w:tcBorders>
              <w:top w:val="nil"/>
              <w:left w:val="nil"/>
              <w:bottom w:val="single" w:sz="4" w:space="0" w:color="auto"/>
              <w:right w:val="single" w:sz="4" w:space="0" w:color="auto"/>
            </w:tcBorders>
            <w:shd w:val="clear" w:color="000000" w:fill="FFFF99"/>
            <w:noWrap/>
            <w:vAlign w:val="center"/>
            <w:hideMark/>
          </w:tcPr>
          <w:p w14:paraId="48BADC0A" w14:textId="77777777" w:rsidR="005E671C" w:rsidRPr="005E671C" w:rsidRDefault="005E671C" w:rsidP="005E671C">
            <w:pPr>
              <w:spacing w:after="0" w:line="240" w:lineRule="auto"/>
              <w:jc w:val="center"/>
              <w:rPr>
                <w:rFonts w:ascii="Tahoma" w:eastAsia="Times New Roman" w:hAnsi="Tahoma" w:cs="Tahoma"/>
                <w:sz w:val="20"/>
                <w:szCs w:val="20"/>
                <w:lang w:eastAsia="hr-HR"/>
              </w:rPr>
            </w:pPr>
            <w:r w:rsidRPr="005E671C">
              <w:rPr>
                <w:rFonts w:ascii="Tahoma" w:eastAsia="Times New Roman" w:hAnsi="Tahoma" w:cs="Tahoma"/>
                <w:sz w:val="20"/>
                <w:szCs w:val="20"/>
                <w:lang w:eastAsia="hr-HR"/>
              </w:rPr>
              <w:t>3</w:t>
            </w:r>
          </w:p>
        </w:tc>
        <w:tc>
          <w:tcPr>
            <w:tcW w:w="698" w:type="dxa"/>
            <w:tcBorders>
              <w:top w:val="nil"/>
              <w:left w:val="nil"/>
              <w:bottom w:val="single" w:sz="4" w:space="0" w:color="auto"/>
              <w:right w:val="single" w:sz="4" w:space="0" w:color="auto"/>
            </w:tcBorders>
            <w:shd w:val="clear" w:color="000000" w:fill="FFFF99"/>
            <w:noWrap/>
            <w:vAlign w:val="center"/>
            <w:hideMark/>
          </w:tcPr>
          <w:p w14:paraId="43984E47" w14:textId="77777777" w:rsidR="005E671C" w:rsidRPr="005E671C" w:rsidRDefault="005E671C" w:rsidP="005E671C">
            <w:pPr>
              <w:spacing w:after="0" w:line="240" w:lineRule="auto"/>
              <w:jc w:val="center"/>
              <w:rPr>
                <w:rFonts w:ascii="Tahoma" w:eastAsia="Times New Roman" w:hAnsi="Tahoma" w:cs="Tahoma"/>
                <w:sz w:val="20"/>
                <w:szCs w:val="20"/>
                <w:lang w:eastAsia="hr-HR"/>
              </w:rPr>
            </w:pPr>
            <w:r w:rsidRPr="005E671C">
              <w:rPr>
                <w:rFonts w:ascii="Tahoma" w:eastAsia="Times New Roman" w:hAnsi="Tahoma" w:cs="Tahoma"/>
                <w:sz w:val="20"/>
                <w:szCs w:val="20"/>
                <w:lang w:eastAsia="hr-HR"/>
              </w:rPr>
              <w:t>3</w:t>
            </w:r>
          </w:p>
        </w:tc>
        <w:tc>
          <w:tcPr>
            <w:tcW w:w="698" w:type="dxa"/>
            <w:tcBorders>
              <w:top w:val="nil"/>
              <w:left w:val="nil"/>
              <w:bottom w:val="single" w:sz="4" w:space="0" w:color="auto"/>
              <w:right w:val="single" w:sz="4" w:space="0" w:color="auto"/>
            </w:tcBorders>
            <w:shd w:val="clear" w:color="000000" w:fill="FFFF99"/>
            <w:noWrap/>
            <w:vAlign w:val="center"/>
            <w:hideMark/>
          </w:tcPr>
          <w:p w14:paraId="44FFC578" w14:textId="77777777" w:rsidR="005E671C" w:rsidRPr="005E671C" w:rsidRDefault="005E671C" w:rsidP="005E671C">
            <w:pPr>
              <w:spacing w:after="0" w:line="240" w:lineRule="auto"/>
              <w:jc w:val="center"/>
              <w:rPr>
                <w:rFonts w:ascii="Tahoma" w:eastAsia="Times New Roman" w:hAnsi="Tahoma" w:cs="Tahoma"/>
                <w:sz w:val="20"/>
                <w:szCs w:val="20"/>
                <w:lang w:eastAsia="hr-HR"/>
              </w:rPr>
            </w:pPr>
            <w:r w:rsidRPr="005E671C">
              <w:rPr>
                <w:rFonts w:ascii="Tahoma" w:eastAsia="Times New Roman" w:hAnsi="Tahoma" w:cs="Tahoma"/>
                <w:sz w:val="20"/>
                <w:szCs w:val="20"/>
                <w:lang w:eastAsia="hr-HR"/>
              </w:rPr>
              <w:t>3</w:t>
            </w:r>
          </w:p>
        </w:tc>
        <w:tc>
          <w:tcPr>
            <w:tcW w:w="698" w:type="dxa"/>
            <w:tcBorders>
              <w:top w:val="nil"/>
              <w:left w:val="nil"/>
              <w:bottom w:val="single" w:sz="4" w:space="0" w:color="auto"/>
              <w:right w:val="single" w:sz="4" w:space="0" w:color="auto"/>
            </w:tcBorders>
            <w:shd w:val="clear" w:color="000000" w:fill="FFFF99"/>
            <w:noWrap/>
            <w:vAlign w:val="center"/>
            <w:hideMark/>
          </w:tcPr>
          <w:p w14:paraId="234777F8" w14:textId="77777777" w:rsidR="005E671C" w:rsidRPr="005E671C" w:rsidRDefault="005E671C" w:rsidP="005E671C">
            <w:pPr>
              <w:spacing w:after="0" w:line="240" w:lineRule="auto"/>
              <w:jc w:val="center"/>
              <w:rPr>
                <w:rFonts w:ascii="Tahoma" w:eastAsia="Times New Roman" w:hAnsi="Tahoma" w:cs="Tahoma"/>
                <w:sz w:val="20"/>
                <w:szCs w:val="20"/>
                <w:lang w:eastAsia="hr-HR"/>
              </w:rPr>
            </w:pPr>
            <w:r w:rsidRPr="005E671C">
              <w:rPr>
                <w:rFonts w:ascii="Tahoma" w:eastAsia="Times New Roman" w:hAnsi="Tahoma" w:cs="Tahoma"/>
                <w:sz w:val="20"/>
                <w:szCs w:val="20"/>
                <w:lang w:eastAsia="hr-HR"/>
              </w:rPr>
              <w:t>0</w:t>
            </w:r>
          </w:p>
        </w:tc>
        <w:tc>
          <w:tcPr>
            <w:tcW w:w="698" w:type="dxa"/>
            <w:tcBorders>
              <w:top w:val="nil"/>
              <w:left w:val="nil"/>
              <w:bottom w:val="single" w:sz="4" w:space="0" w:color="auto"/>
              <w:right w:val="single" w:sz="4" w:space="0" w:color="auto"/>
            </w:tcBorders>
            <w:shd w:val="clear" w:color="000000" w:fill="FFFF99"/>
            <w:noWrap/>
            <w:vAlign w:val="center"/>
            <w:hideMark/>
          </w:tcPr>
          <w:p w14:paraId="07D223BD" w14:textId="77777777" w:rsidR="005E671C" w:rsidRPr="005E671C" w:rsidRDefault="005E671C" w:rsidP="005E671C">
            <w:pPr>
              <w:spacing w:after="0" w:line="240" w:lineRule="auto"/>
              <w:jc w:val="center"/>
              <w:rPr>
                <w:rFonts w:ascii="Tahoma" w:eastAsia="Times New Roman" w:hAnsi="Tahoma" w:cs="Tahoma"/>
                <w:sz w:val="20"/>
                <w:szCs w:val="20"/>
                <w:lang w:eastAsia="hr-HR"/>
              </w:rPr>
            </w:pPr>
            <w:r w:rsidRPr="005E671C">
              <w:rPr>
                <w:rFonts w:ascii="Tahoma" w:eastAsia="Times New Roman" w:hAnsi="Tahoma" w:cs="Tahoma"/>
                <w:sz w:val="20"/>
                <w:szCs w:val="20"/>
                <w:lang w:eastAsia="hr-HR"/>
              </w:rPr>
              <w:t>0</w:t>
            </w:r>
          </w:p>
        </w:tc>
        <w:tc>
          <w:tcPr>
            <w:tcW w:w="698" w:type="dxa"/>
            <w:tcBorders>
              <w:top w:val="nil"/>
              <w:left w:val="nil"/>
              <w:bottom w:val="single" w:sz="4" w:space="0" w:color="auto"/>
              <w:right w:val="single" w:sz="4" w:space="0" w:color="auto"/>
            </w:tcBorders>
            <w:shd w:val="clear" w:color="000000" w:fill="FFFF99"/>
            <w:noWrap/>
            <w:vAlign w:val="center"/>
            <w:hideMark/>
          </w:tcPr>
          <w:p w14:paraId="23B1B772" w14:textId="77777777" w:rsidR="005E671C" w:rsidRPr="005E671C" w:rsidRDefault="005E671C" w:rsidP="005E671C">
            <w:pPr>
              <w:spacing w:after="0" w:line="240" w:lineRule="auto"/>
              <w:jc w:val="center"/>
              <w:rPr>
                <w:rFonts w:ascii="Tahoma" w:eastAsia="Times New Roman" w:hAnsi="Tahoma" w:cs="Tahoma"/>
                <w:sz w:val="20"/>
                <w:szCs w:val="20"/>
                <w:lang w:eastAsia="hr-HR"/>
              </w:rPr>
            </w:pPr>
            <w:r w:rsidRPr="005E671C">
              <w:rPr>
                <w:rFonts w:ascii="Tahoma" w:eastAsia="Times New Roman" w:hAnsi="Tahoma" w:cs="Tahoma"/>
                <w:sz w:val="20"/>
                <w:szCs w:val="20"/>
                <w:lang w:eastAsia="hr-HR"/>
              </w:rPr>
              <w:t>1</w:t>
            </w:r>
          </w:p>
        </w:tc>
        <w:tc>
          <w:tcPr>
            <w:tcW w:w="493" w:type="dxa"/>
            <w:tcBorders>
              <w:top w:val="nil"/>
              <w:left w:val="nil"/>
              <w:bottom w:val="single" w:sz="4" w:space="0" w:color="auto"/>
              <w:right w:val="single" w:sz="4" w:space="0" w:color="auto"/>
            </w:tcBorders>
            <w:shd w:val="clear" w:color="000000" w:fill="FF9900"/>
            <w:noWrap/>
            <w:vAlign w:val="center"/>
            <w:hideMark/>
          </w:tcPr>
          <w:p w14:paraId="73D74336" w14:textId="77777777" w:rsidR="005E671C" w:rsidRPr="005E671C" w:rsidRDefault="005E671C" w:rsidP="005E671C">
            <w:pPr>
              <w:spacing w:after="0" w:line="240" w:lineRule="auto"/>
              <w:jc w:val="center"/>
              <w:rPr>
                <w:rFonts w:ascii="Tahoma" w:eastAsia="Times New Roman" w:hAnsi="Tahoma" w:cs="Tahoma"/>
                <w:sz w:val="20"/>
                <w:szCs w:val="20"/>
                <w:lang w:eastAsia="hr-HR"/>
              </w:rPr>
            </w:pPr>
            <w:r w:rsidRPr="005E671C">
              <w:rPr>
                <w:rFonts w:ascii="Tahoma" w:eastAsia="Times New Roman" w:hAnsi="Tahoma" w:cs="Tahoma"/>
                <w:sz w:val="20"/>
                <w:szCs w:val="20"/>
                <w:lang w:eastAsia="hr-HR"/>
              </w:rPr>
              <w:t>1</w:t>
            </w:r>
          </w:p>
        </w:tc>
        <w:tc>
          <w:tcPr>
            <w:tcW w:w="469" w:type="dxa"/>
            <w:tcBorders>
              <w:top w:val="nil"/>
              <w:left w:val="nil"/>
              <w:bottom w:val="single" w:sz="4" w:space="0" w:color="auto"/>
              <w:right w:val="single" w:sz="4" w:space="0" w:color="auto"/>
            </w:tcBorders>
            <w:shd w:val="clear" w:color="000000" w:fill="FF9900"/>
            <w:noWrap/>
            <w:vAlign w:val="center"/>
            <w:hideMark/>
          </w:tcPr>
          <w:p w14:paraId="243A74AA" w14:textId="77777777" w:rsidR="005E671C" w:rsidRPr="005E671C" w:rsidRDefault="005E671C" w:rsidP="005E671C">
            <w:pPr>
              <w:spacing w:after="0" w:line="240" w:lineRule="auto"/>
              <w:jc w:val="center"/>
              <w:rPr>
                <w:rFonts w:ascii="Tahoma" w:eastAsia="Times New Roman" w:hAnsi="Tahoma" w:cs="Tahoma"/>
                <w:sz w:val="20"/>
                <w:szCs w:val="20"/>
                <w:lang w:eastAsia="hr-HR"/>
              </w:rPr>
            </w:pPr>
            <w:r w:rsidRPr="005E671C">
              <w:rPr>
                <w:rFonts w:ascii="Tahoma" w:eastAsia="Times New Roman" w:hAnsi="Tahoma" w:cs="Tahoma"/>
                <w:sz w:val="20"/>
                <w:szCs w:val="20"/>
                <w:lang w:eastAsia="hr-HR"/>
              </w:rPr>
              <w:t>0</w:t>
            </w:r>
          </w:p>
        </w:tc>
        <w:tc>
          <w:tcPr>
            <w:tcW w:w="467" w:type="dxa"/>
            <w:tcBorders>
              <w:top w:val="nil"/>
              <w:left w:val="nil"/>
              <w:bottom w:val="single" w:sz="4" w:space="0" w:color="auto"/>
              <w:right w:val="single" w:sz="4" w:space="0" w:color="auto"/>
            </w:tcBorders>
            <w:shd w:val="clear" w:color="000000" w:fill="FF9900"/>
            <w:noWrap/>
            <w:vAlign w:val="center"/>
            <w:hideMark/>
          </w:tcPr>
          <w:p w14:paraId="719A75F2" w14:textId="77777777" w:rsidR="005E671C" w:rsidRPr="005E671C" w:rsidRDefault="005E671C" w:rsidP="005E671C">
            <w:pPr>
              <w:spacing w:after="0" w:line="240" w:lineRule="auto"/>
              <w:jc w:val="center"/>
              <w:rPr>
                <w:rFonts w:ascii="Tahoma" w:eastAsia="Times New Roman" w:hAnsi="Tahoma" w:cs="Tahoma"/>
                <w:sz w:val="20"/>
                <w:szCs w:val="20"/>
                <w:lang w:eastAsia="hr-HR"/>
              </w:rPr>
            </w:pPr>
            <w:r w:rsidRPr="005E671C">
              <w:rPr>
                <w:rFonts w:ascii="Tahoma" w:eastAsia="Times New Roman" w:hAnsi="Tahoma" w:cs="Tahoma"/>
                <w:sz w:val="20"/>
                <w:szCs w:val="20"/>
                <w:lang w:eastAsia="hr-HR"/>
              </w:rPr>
              <w:t>2</w:t>
            </w:r>
          </w:p>
        </w:tc>
        <w:tc>
          <w:tcPr>
            <w:tcW w:w="567" w:type="dxa"/>
            <w:tcBorders>
              <w:top w:val="nil"/>
              <w:left w:val="nil"/>
              <w:bottom w:val="single" w:sz="4" w:space="0" w:color="auto"/>
              <w:right w:val="single" w:sz="4" w:space="0" w:color="auto"/>
            </w:tcBorders>
            <w:shd w:val="clear" w:color="000000" w:fill="FFFF00"/>
            <w:vAlign w:val="center"/>
            <w:hideMark/>
          </w:tcPr>
          <w:p w14:paraId="4DABBD19" w14:textId="77777777" w:rsidR="005E671C" w:rsidRPr="005E671C" w:rsidRDefault="005E671C" w:rsidP="005E671C">
            <w:pPr>
              <w:spacing w:after="0" w:line="240" w:lineRule="auto"/>
              <w:jc w:val="center"/>
              <w:rPr>
                <w:rFonts w:ascii="Tahoma" w:eastAsia="Times New Roman" w:hAnsi="Tahoma" w:cs="Tahoma"/>
                <w:sz w:val="20"/>
                <w:szCs w:val="20"/>
                <w:lang w:eastAsia="hr-HR"/>
              </w:rPr>
            </w:pPr>
            <w:r w:rsidRPr="005E671C">
              <w:rPr>
                <w:rFonts w:ascii="Tahoma" w:eastAsia="Times New Roman" w:hAnsi="Tahoma" w:cs="Tahoma"/>
                <w:sz w:val="20"/>
                <w:szCs w:val="20"/>
                <w:lang w:eastAsia="hr-HR"/>
              </w:rPr>
              <w:t>3</w:t>
            </w:r>
          </w:p>
        </w:tc>
        <w:tc>
          <w:tcPr>
            <w:tcW w:w="542" w:type="dxa"/>
            <w:tcBorders>
              <w:top w:val="nil"/>
              <w:left w:val="nil"/>
              <w:bottom w:val="single" w:sz="4" w:space="0" w:color="auto"/>
              <w:right w:val="single" w:sz="4" w:space="0" w:color="auto"/>
            </w:tcBorders>
            <w:shd w:val="clear" w:color="000000" w:fill="FF9900"/>
            <w:vAlign w:val="center"/>
            <w:hideMark/>
          </w:tcPr>
          <w:p w14:paraId="50824F68" w14:textId="77777777" w:rsidR="005E671C" w:rsidRPr="005E671C" w:rsidRDefault="005E671C" w:rsidP="005E671C">
            <w:pPr>
              <w:spacing w:after="0" w:line="240" w:lineRule="auto"/>
              <w:jc w:val="center"/>
              <w:rPr>
                <w:rFonts w:ascii="Tahoma" w:eastAsia="Times New Roman" w:hAnsi="Tahoma" w:cs="Tahoma"/>
                <w:sz w:val="20"/>
                <w:szCs w:val="20"/>
                <w:lang w:eastAsia="hr-HR"/>
              </w:rPr>
            </w:pPr>
            <w:r w:rsidRPr="005E671C">
              <w:rPr>
                <w:rFonts w:ascii="Tahoma" w:eastAsia="Times New Roman" w:hAnsi="Tahoma" w:cs="Tahoma"/>
                <w:sz w:val="20"/>
                <w:szCs w:val="20"/>
                <w:lang w:eastAsia="hr-HR"/>
              </w:rPr>
              <w:t>15</w:t>
            </w:r>
          </w:p>
        </w:tc>
        <w:tc>
          <w:tcPr>
            <w:tcW w:w="441" w:type="dxa"/>
            <w:tcBorders>
              <w:top w:val="nil"/>
              <w:left w:val="nil"/>
              <w:bottom w:val="single" w:sz="4" w:space="0" w:color="auto"/>
              <w:right w:val="single" w:sz="4" w:space="0" w:color="auto"/>
            </w:tcBorders>
            <w:shd w:val="clear" w:color="000000" w:fill="FF9900"/>
            <w:noWrap/>
            <w:vAlign w:val="center"/>
            <w:hideMark/>
          </w:tcPr>
          <w:p w14:paraId="322D3521" w14:textId="77777777" w:rsidR="005E671C" w:rsidRPr="005E671C" w:rsidRDefault="005E671C" w:rsidP="005E671C">
            <w:pPr>
              <w:spacing w:after="0" w:line="240" w:lineRule="auto"/>
              <w:jc w:val="center"/>
              <w:rPr>
                <w:rFonts w:ascii="Tahoma" w:eastAsia="Times New Roman" w:hAnsi="Tahoma" w:cs="Tahoma"/>
                <w:sz w:val="20"/>
                <w:szCs w:val="20"/>
                <w:lang w:eastAsia="hr-HR"/>
              </w:rPr>
            </w:pPr>
            <w:r w:rsidRPr="005E671C">
              <w:rPr>
                <w:rFonts w:ascii="Tahoma" w:eastAsia="Times New Roman" w:hAnsi="Tahoma" w:cs="Tahoma"/>
                <w:sz w:val="20"/>
                <w:szCs w:val="20"/>
                <w:lang w:eastAsia="hr-HR"/>
              </w:rPr>
              <w:t>3</w:t>
            </w:r>
          </w:p>
        </w:tc>
        <w:tc>
          <w:tcPr>
            <w:tcW w:w="426" w:type="dxa"/>
            <w:tcBorders>
              <w:top w:val="nil"/>
              <w:left w:val="nil"/>
              <w:bottom w:val="single" w:sz="4" w:space="0" w:color="auto"/>
              <w:right w:val="single" w:sz="4" w:space="0" w:color="auto"/>
            </w:tcBorders>
            <w:shd w:val="clear" w:color="000000" w:fill="FF9900"/>
            <w:noWrap/>
            <w:vAlign w:val="center"/>
            <w:hideMark/>
          </w:tcPr>
          <w:p w14:paraId="0B5BFF7E" w14:textId="77777777" w:rsidR="005E671C" w:rsidRPr="005E671C" w:rsidRDefault="005E671C" w:rsidP="005E671C">
            <w:pPr>
              <w:spacing w:after="0" w:line="240" w:lineRule="auto"/>
              <w:jc w:val="center"/>
              <w:rPr>
                <w:rFonts w:ascii="Tahoma" w:eastAsia="Times New Roman" w:hAnsi="Tahoma" w:cs="Tahoma"/>
                <w:sz w:val="20"/>
                <w:szCs w:val="20"/>
                <w:lang w:eastAsia="hr-HR"/>
              </w:rPr>
            </w:pPr>
            <w:r w:rsidRPr="005E671C">
              <w:rPr>
                <w:rFonts w:ascii="Tahoma" w:eastAsia="Times New Roman" w:hAnsi="Tahoma" w:cs="Tahoma"/>
                <w:sz w:val="20"/>
                <w:szCs w:val="20"/>
                <w:lang w:eastAsia="hr-HR"/>
              </w:rPr>
              <w:t>1</w:t>
            </w:r>
          </w:p>
        </w:tc>
        <w:tc>
          <w:tcPr>
            <w:tcW w:w="854" w:type="dxa"/>
            <w:tcBorders>
              <w:top w:val="nil"/>
              <w:left w:val="nil"/>
              <w:bottom w:val="single" w:sz="4" w:space="0" w:color="auto"/>
              <w:right w:val="single" w:sz="4" w:space="0" w:color="auto"/>
            </w:tcBorders>
            <w:shd w:val="clear" w:color="000000" w:fill="FF9900"/>
            <w:noWrap/>
            <w:vAlign w:val="center"/>
            <w:hideMark/>
          </w:tcPr>
          <w:p w14:paraId="636549B5" w14:textId="77777777" w:rsidR="005E671C" w:rsidRPr="005E671C" w:rsidRDefault="005E671C" w:rsidP="005E671C">
            <w:pPr>
              <w:spacing w:after="0" w:line="240" w:lineRule="auto"/>
              <w:jc w:val="center"/>
              <w:rPr>
                <w:rFonts w:ascii="Tahoma" w:eastAsia="Times New Roman" w:hAnsi="Tahoma" w:cs="Tahoma"/>
                <w:sz w:val="20"/>
                <w:szCs w:val="20"/>
                <w:lang w:eastAsia="hr-HR"/>
              </w:rPr>
            </w:pPr>
            <w:r w:rsidRPr="005E671C">
              <w:rPr>
                <w:rFonts w:ascii="Tahoma" w:eastAsia="Times New Roman" w:hAnsi="Tahoma" w:cs="Tahoma"/>
                <w:sz w:val="20"/>
                <w:szCs w:val="20"/>
                <w:lang w:eastAsia="hr-HR"/>
              </w:rPr>
              <w:t>0</w:t>
            </w:r>
          </w:p>
        </w:tc>
        <w:tc>
          <w:tcPr>
            <w:tcW w:w="440" w:type="dxa"/>
            <w:tcBorders>
              <w:top w:val="nil"/>
              <w:left w:val="nil"/>
              <w:bottom w:val="single" w:sz="4" w:space="0" w:color="auto"/>
              <w:right w:val="single" w:sz="4" w:space="0" w:color="auto"/>
            </w:tcBorders>
            <w:shd w:val="clear" w:color="000000" w:fill="CCFFFF"/>
            <w:noWrap/>
            <w:vAlign w:val="center"/>
            <w:hideMark/>
          </w:tcPr>
          <w:p w14:paraId="3FC982CA" w14:textId="77777777" w:rsidR="005E671C" w:rsidRPr="005E671C" w:rsidRDefault="005E671C" w:rsidP="005E671C">
            <w:pPr>
              <w:spacing w:after="0" w:line="240" w:lineRule="auto"/>
              <w:jc w:val="center"/>
              <w:rPr>
                <w:rFonts w:ascii="Tahoma" w:eastAsia="Times New Roman" w:hAnsi="Tahoma" w:cs="Tahoma"/>
                <w:sz w:val="20"/>
                <w:szCs w:val="20"/>
                <w:lang w:eastAsia="hr-HR"/>
              </w:rPr>
            </w:pPr>
            <w:r w:rsidRPr="005E671C">
              <w:rPr>
                <w:rFonts w:ascii="Tahoma" w:eastAsia="Times New Roman" w:hAnsi="Tahoma" w:cs="Tahoma"/>
                <w:sz w:val="20"/>
                <w:szCs w:val="20"/>
                <w:lang w:eastAsia="hr-HR"/>
              </w:rPr>
              <w:t>1</w:t>
            </w:r>
          </w:p>
        </w:tc>
        <w:tc>
          <w:tcPr>
            <w:tcW w:w="408" w:type="dxa"/>
            <w:tcBorders>
              <w:top w:val="nil"/>
              <w:left w:val="nil"/>
              <w:bottom w:val="single" w:sz="4" w:space="0" w:color="auto"/>
              <w:right w:val="single" w:sz="4" w:space="0" w:color="auto"/>
            </w:tcBorders>
            <w:shd w:val="clear" w:color="000000" w:fill="CCFFFF"/>
            <w:noWrap/>
            <w:vAlign w:val="center"/>
            <w:hideMark/>
          </w:tcPr>
          <w:p w14:paraId="30AB57A6" w14:textId="77777777" w:rsidR="005E671C" w:rsidRPr="005E671C" w:rsidRDefault="005E671C" w:rsidP="005E671C">
            <w:pPr>
              <w:spacing w:after="0" w:line="240" w:lineRule="auto"/>
              <w:jc w:val="center"/>
              <w:rPr>
                <w:rFonts w:ascii="Tahoma" w:eastAsia="Times New Roman" w:hAnsi="Tahoma" w:cs="Tahoma"/>
                <w:sz w:val="20"/>
                <w:szCs w:val="20"/>
                <w:lang w:eastAsia="hr-HR"/>
              </w:rPr>
            </w:pPr>
            <w:r w:rsidRPr="005E671C">
              <w:rPr>
                <w:rFonts w:ascii="Tahoma" w:eastAsia="Times New Roman" w:hAnsi="Tahoma" w:cs="Tahoma"/>
                <w:sz w:val="20"/>
                <w:szCs w:val="20"/>
                <w:lang w:eastAsia="hr-HR"/>
              </w:rPr>
              <w:t>0</w:t>
            </w:r>
          </w:p>
        </w:tc>
        <w:tc>
          <w:tcPr>
            <w:tcW w:w="433" w:type="dxa"/>
            <w:tcBorders>
              <w:top w:val="nil"/>
              <w:left w:val="nil"/>
              <w:bottom w:val="single" w:sz="4" w:space="0" w:color="auto"/>
              <w:right w:val="single" w:sz="4" w:space="0" w:color="auto"/>
            </w:tcBorders>
            <w:shd w:val="clear" w:color="000000" w:fill="CCFFFF"/>
            <w:noWrap/>
            <w:vAlign w:val="center"/>
            <w:hideMark/>
          </w:tcPr>
          <w:p w14:paraId="384E5418" w14:textId="77777777" w:rsidR="005E671C" w:rsidRPr="005E671C" w:rsidRDefault="005E671C" w:rsidP="005E671C">
            <w:pPr>
              <w:spacing w:after="0" w:line="240" w:lineRule="auto"/>
              <w:jc w:val="center"/>
              <w:rPr>
                <w:rFonts w:ascii="Tahoma" w:eastAsia="Times New Roman" w:hAnsi="Tahoma" w:cs="Tahoma"/>
                <w:sz w:val="20"/>
                <w:szCs w:val="20"/>
                <w:lang w:eastAsia="hr-HR"/>
              </w:rPr>
            </w:pPr>
            <w:r w:rsidRPr="005E671C">
              <w:rPr>
                <w:rFonts w:ascii="Tahoma" w:eastAsia="Times New Roman" w:hAnsi="Tahoma" w:cs="Tahoma"/>
                <w:sz w:val="20"/>
                <w:szCs w:val="20"/>
                <w:lang w:eastAsia="hr-HR"/>
              </w:rPr>
              <w:t>0</w:t>
            </w:r>
          </w:p>
        </w:tc>
        <w:tc>
          <w:tcPr>
            <w:tcW w:w="425" w:type="dxa"/>
            <w:tcBorders>
              <w:top w:val="nil"/>
              <w:left w:val="nil"/>
              <w:bottom w:val="single" w:sz="4" w:space="0" w:color="auto"/>
              <w:right w:val="single" w:sz="8" w:space="0" w:color="auto"/>
            </w:tcBorders>
            <w:shd w:val="clear" w:color="000000" w:fill="33CCCC"/>
            <w:noWrap/>
            <w:vAlign w:val="center"/>
            <w:hideMark/>
          </w:tcPr>
          <w:p w14:paraId="2FFCFFED" w14:textId="77777777" w:rsidR="005E671C" w:rsidRPr="005E671C" w:rsidRDefault="005E671C" w:rsidP="005E671C">
            <w:pPr>
              <w:spacing w:after="0" w:line="240" w:lineRule="auto"/>
              <w:jc w:val="center"/>
              <w:rPr>
                <w:rFonts w:ascii="Tahoma" w:eastAsia="Times New Roman" w:hAnsi="Tahoma" w:cs="Tahoma"/>
                <w:sz w:val="20"/>
                <w:szCs w:val="20"/>
                <w:lang w:eastAsia="hr-HR"/>
              </w:rPr>
            </w:pPr>
            <w:r w:rsidRPr="005E671C">
              <w:rPr>
                <w:rFonts w:ascii="Tahoma" w:eastAsia="Times New Roman" w:hAnsi="Tahoma" w:cs="Tahoma"/>
                <w:sz w:val="20"/>
                <w:szCs w:val="20"/>
                <w:lang w:eastAsia="hr-HR"/>
              </w:rPr>
              <w:t>0</w:t>
            </w:r>
          </w:p>
        </w:tc>
        <w:tc>
          <w:tcPr>
            <w:tcW w:w="567" w:type="dxa"/>
            <w:tcBorders>
              <w:top w:val="nil"/>
              <w:left w:val="single" w:sz="4" w:space="0" w:color="auto"/>
              <w:bottom w:val="single" w:sz="4" w:space="0" w:color="auto"/>
              <w:right w:val="single" w:sz="8" w:space="0" w:color="auto"/>
            </w:tcBorders>
            <w:shd w:val="clear" w:color="000000" w:fill="33CCCC"/>
            <w:noWrap/>
            <w:vAlign w:val="center"/>
            <w:hideMark/>
          </w:tcPr>
          <w:p w14:paraId="17F2ED75" w14:textId="77777777" w:rsidR="005E671C" w:rsidRPr="005E671C" w:rsidRDefault="005E671C" w:rsidP="005E671C">
            <w:pPr>
              <w:spacing w:after="0" w:line="240" w:lineRule="auto"/>
              <w:jc w:val="center"/>
              <w:rPr>
                <w:rFonts w:ascii="Tahoma" w:eastAsia="Times New Roman" w:hAnsi="Tahoma" w:cs="Tahoma"/>
                <w:sz w:val="20"/>
                <w:szCs w:val="20"/>
                <w:lang w:eastAsia="hr-HR"/>
              </w:rPr>
            </w:pPr>
            <w:r w:rsidRPr="005E671C">
              <w:rPr>
                <w:rFonts w:ascii="Tahoma" w:eastAsia="Times New Roman" w:hAnsi="Tahoma" w:cs="Tahoma"/>
                <w:sz w:val="20"/>
                <w:szCs w:val="20"/>
                <w:lang w:eastAsia="hr-HR"/>
              </w:rPr>
              <w:t>3</w:t>
            </w:r>
          </w:p>
        </w:tc>
        <w:tc>
          <w:tcPr>
            <w:tcW w:w="237" w:type="dxa"/>
            <w:gridSpan w:val="2"/>
            <w:vAlign w:val="center"/>
            <w:hideMark/>
          </w:tcPr>
          <w:p w14:paraId="5D8C6A7C" w14:textId="77777777" w:rsidR="005E671C" w:rsidRPr="005E671C" w:rsidRDefault="005E671C" w:rsidP="005E671C">
            <w:pPr>
              <w:spacing w:after="0" w:line="240" w:lineRule="auto"/>
              <w:rPr>
                <w:rFonts w:ascii="Times New Roman" w:eastAsia="Times New Roman" w:hAnsi="Times New Roman" w:cs="Times New Roman"/>
                <w:sz w:val="20"/>
                <w:szCs w:val="20"/>
                <w:lang w:eastAsia="hr-HR"/>
              </w:rPr>
            </w:pPr>
          </w:p>
        </w:tc>
      </w:tr>
      <w:tr w:rsidR="005E671C" w:rsidRPr="005E671C" w14:paraId="2371AE95" w14:textId="77777777" w:rsidTr="001752B7">
        <w:trPr>
          <w:gridAfter w:val="1"/>
          <w:wAfter w:w="51" w:type="dxa"/>
          <w:trHeight w:val="465"/>
        </w:trPr>
        <w:tc>
          <w:tcPr>
            <w:tcW w:w="1550" w:type="dxa"/>
            <w:tcBorders>
              <w:top w:val="single" w:sz="4" w:space="0" w:color="auto"/>
              <w:left w:val="single" w:sz="8" w:space="0" w:color="auto"/>
              <w:bottom w:val="single" w:sz="4" w:space="0" w:color="auto"/>
              <w:right w:val="single" w:sz="4" w:space="0" w:color="auto"/>
            </w:tcBorders>
            <w:shd w:val="clear" w:color="000000" w:fill="CCFFCC"/>
            <w:vAlign w:val="center"/>
            <w:hideMark/>
          </w:tcPr>
          <w:p w14:paraId="52F64B91" w14:textId="77777777" w:rsidR="005E671C" w:rsidRPr="005E671C" w:rsidRDefault="005E671C" w:rsidP="005E671C">
            <w:pPr>
              <w:spacing w:after="0" w:line="240" w:lineRule="auto"/>
              <w:rPr>
                <w:rFonts w:ascii="Tahoma" w:eastAsia="Times New Roman" w:hAnsi="Tahoma" w:cs="Tahoma"/>
                <w:sz w:val="20"/>
                <w:szCs w:val="20"/>
                <w:lang w:eastAsia="hr-HR"/>
              </w:rPr>
            </w:pPr>
            <w:r w:rsidRPr="005E671C">
              <w:rPr>
                <w:rFonts w:ascii="Tahoma" w:eastAsia="Times New Roman" w:hAnsi="Tahoma" w:cs="Tahoma"/>
                <w:sz w:val="20"/>
                <w:szCs w:val="20"/>
                <w:lang w:eastAsia="hr-HR"/>
              </w:rPr>
              <w:t>Nacionalno podrijetlo</w:t>
            </w:r>
          </w:p>
        </w:tc>
        <w:tc>
          <w:tcPr>
            <w:tcW w:w="669" w:type="dxa"/>
            <w:tcBorders>
              <w:top w:val="nil"/>
              <w:left w:val="nil"/>
              <w:bottom w:val="single" w:sz="4" w:space="0" w:color="auto"/>
              <w:right w:val="single" w:sz="4" w:space="0" w:color="auto"/>
            </w:tcBorders>
            <w:shd w:val="clear" w:color="000000" w:fill="FFCC99"/>
            <w:noWrap/>
            <w:vAlign w:val="center"/>
            <w:hideMark/>
          </w:tcPr>
          <w:p w14:paraId="4DBDE6B2" w14:textId="77777777" w:rsidR="005E671C" w:rsidRPr="005E671C" w:rsidRDefault="005E671C" w:rsidP="005E671C">
            <w:pPr>
              <w:spacing w:after="0" w:line="240" w:lineRule="auto"/>
              <w:jc w:val="center"/>
              <w:rPr>
                <w:rFonts w:ascii="Tahoma" w:eastAsia="Times New Roman" w:hAnsi="Tahoma" w:cs="Tahoma"/>
                <w:sz w:val="20"/>
                <w:szCs w:val="20"/>
                <w:lang w:eastAsia="hr-HR"/>
              </w:rPr>
            </w:pPr>
            <w:r w:rsidRPr="005E671C">
              <w:rPr>
                <w:rFonts w:ascii="Tahoma" w:eastAsia="Times New Roman" w:hAnsi="Tahoma" w:cs="Tahoma"/>
                <w:sz w:val="20"/>
                <w:szCs w:val="20"/>
                <w:lang w:eastAsia="hr-HR"/>
              </w:rPr>
              <w:t>7</w:t>
            </w:r>
          </w:p>
        </w:tc>
        <w:tc>
          <w:tcPr>
            <w:tcW w:w="352" w:type="dxa"/>
            <w:tcBorders>
              <w:top w:val="nil"/>
              <w:left w:val="nil"/>
              <w:bottom w:val="single" w:sz="4" w:space="0" w:color="auto"/>
              <w:right w:val="single" w:sz="4" w:space="0" w:color="auto"/>
            </w:tcBorders>
            <w:shd w:val="clear" w:color="000000" w:fill="FFFF00"/>
            <w:noWrap/>
            <w:vAlign w:val="center"/>
            <w:hideMark/>
          </w:tcPr>
          <w:p w14:paraId="09481F85" w14:textId="77777777" w:rsidR="005E671C" w:rsidRPr="005E671C" w:rsidRDefault="005E671C" w:rsidP="005E671C">
            <w:pPr>
              <w:spacing w:after="0" w:line="240" w:lineRule="auto"/>
              <w:jc w:val="center"/>
              <w:rPr>
                <w:rFonts w:ascii="Tahoma" w:eastAsia="Times New Roman" w:hAnsi="Tahoma" w:cs="Tahoma"/>
                <w:sz w:val="20"/>
                <w:szCs w:val="20"/>
                <w:lang w:eastAsia="hr-HR"/>
              </w:rPr>
            </w:pPr>
            <w:r w:rsidRPr="005E671C">
              <w:rPr>
                <w:rFonts w:ascii="Tahoma" w:eastAsia="Times New Roman" w:hAnsi="Tahoma" w:cs="Tahoma"/>
                <w:sz w:val="20"/>
                <w:szCs w:val="20"/>
                <w:lang w:eastAsia="hr-HR"/>
              </w:rPr>
              <w:t>45</w:t>
            </w:r>
          </w:p>
        </w:tc>
        <w:tc>
          <w:tcPr>
            <w:tcW w:w="574" w:type="dxa"/>
            <w:tcBorders>
              <w:top w:val="nil"/>
              <w:left w:val="nil"/>
              <w:bottom w:val="single" w:sz="4" w:space="0" w:color="auto"/>
              <w:right w:val="single" w:sz="4" w:space="0" w:color="auto"/>
            </w:tcBorders>
            <w:shd w:val="clear" w:color="000000" w:fill="CCFFFF"/>
            <w:noWrap/>
            <w:vAlign w:val="center"/>
            <w:hideMark/>
          </w:tcPr>
          <w:p w14:paraId="2EEDF787" w14:textId="77777777" w:rsidR="005E671C" w:rsidRPr="005E671C" w:rsidRDefault="005E671C" w:rsidP="005E671C">
            <w:pPr>
              <w:spacing w:after="0" w:line="240" w:lineRule="auto"/>
              <w:jc w:val="center"/>
              <w:rPr>
                <w:rFonts w:ascii="Tahoma" w:eastAsia="Times New Roman" w:hAnsi="Tahoma" w:cs="Tahoma"/>
                <w:sz w:val="20"/>
                <w:szCs w:val="20"/>
                <w:lang w:eastAsia="hr-HR"/>
              </w:rPr>
            </w:pPr>
            <w:r w:rsidRPr="005E671C">
              <w:rPr>
                <w:rFonts w:ascii="Tahoma" w:eastAsia="Times New Roman" w:hAnsi="Tahoma" w:cs="Tahoma"/>
                <w:sz w:val="20"/>
                <w:szCs w:val="20"/>
                <w:lang w:eastAsia="hr-HR"/>
              </w:rPr>
              <w:t>6</w:t>
            </w:r>
          </w:p>
        </w:tc>
        <w:tc>
          <w:tcPr>
            <w:tcW w:w="440" w:type="dxa"/>
            <w:tcBorders>
              <w:top w:val="nil"/>
              <w:left w:val="nil"/>
              <w:bottom w:val="single" w:sz="4" w:space="0" w:color="auto"/>
              <w:right w:val="single" w:sz="4" w:space="0" w:color="auto"/>
            </w:tcBorders>
            <w:shd w:val="clear" w:color="000000" w:fill="CCFFFF"/>
            <w:noWrap/>
            <w:vAlign w:val="center"/>
            <w:hideMark/>
          </w:tcPr>
          <w:p w14:paraId="7A3DB115" w14:textId="77777777" w:rsidR="005E671C" w:rsidRPr="005E671C" w:rsidRDefault="005E671C" w:rsidP="005E671C">
            <w:pPr>
              <w:spacing w:after="0" w:line="240" w:lineRule="auto"/>
              <w:jc w:val="center"/>
              <w:rPr>
                <w:rFonts w:ascii="Tahoma" w:eastAsia="Times New Roman" w:hAnsi="Tahoma" w:cs="Tahoma"/>
                <w:sz w:val="20"/>
                <w:szCs w:val="20"/>
                <w:lang w:eastAsia="hr-HR"/>
              </w:rPr>
            </w:pPr>
            <w:r w:rsidRPr="005E671C">
              <w:rPr>
                <w:rFonts w:ascii="Tahoma" w:eastAsia="Times New Roman" w:hAnsi="Tahoma" w:cs="Tahoma"/>
                <w:sz w:val="20"/>
                <w:szCs w:val="20"/>
                <w:lang w:eastAsia="hr-HR"/>
              </w:rPr>
              <w:t>46</w:t>
            </w:r>
          </w:p>
        </w:tc>
        <w:tc>
          <w:tcPr>
            <w:tcW w:w="700" w:type="dxa"/>
            <w:tcBorders>
              <w:top w:val="nil"/>
              <w:left w:val="nil"/>
              <w:bottom w:val="single" w:sz="4" w:space="0" w:color="auto"/>
              <w:right w:val="single" w:sz="4" w:space="0" w:color="auto"/>
            </w:tcBorders>
            <w:shd w:val="clear" w:color="000000" w:fill="FFFF99"/>
            <w:noWrap/>
            <w:vAlign w:val="center"/>
            <w:hideMark/>
          </w:tcPr>
          <w:p w14:paraId="2BBF77EE" w14:textId="77777777" w:rsidR="005E671C" w:rsidRPr="005E671C" w:rsidRDefault="005E671C" w:rsidP="005E671C">
            <w:pPr>
              <w:spacing w:after="0" w:line="240" w:lineRule="auto"/>
              <w:jc w:val="center"/>
              <w:rPr>
                <w:rFonts w:ascii="Tahoma" w:eastAsia="Times New Roman" w:hAnsi="Tahoma" w:cs="Tahoma"/>
                <w:sz w:val="20"/>
                <w:szCs w:val="20"/>
                <w:lang w:eastAsia="hr-HR"/>
              </w:rPr>
            </w:pPr>
            <w:r w:rsidRPr="005E671C">
              <w:rPr>
                <w:rFonts w:ascii="Tahoma" w:eastAsia="Times New Roman" w:hAnsi="Tahoma" w:cs="Tahoma"/>
                <w:sz w:val="20"/>
                <w:szCs w:val="20"/>
                <w:lang w:eastAsia="hr-HR"/>
              </w:rPr>
              <w:t>3</w:t>
            </w:r>
          </w:p>
        </w:tc>
        <w:tc>
          <w:tcPr>
            <w:tcW w:w="698" w:type="dxa"/>
            <w:tcBorders>
              <w:top w:val="nil"/>
              <w:left w:val="nil"/>
              <w:bottom w:val="single" w:sz="4" w:space="0" w:color="auto"/>
              <w:right w:val="single" w:sz="4" w:space="0" w:color="auto"/>
            </w:tcBorders>
            <w:shd w:val="clear" w:color="000000" w:fill="FFFF99"/>
            <w:noWrap/>
            <w:vAlign w:val="center"/>
            <w:hideMark/>
          </w:tcPr>
          <w:p w14:paraId="6B689E54" w14:textId="77777777" w:rsidR="005E671C" w:rsidRPr="005E671C" w:rsidRDefault="005E671C" w:rsidP="005E671C">
            <w:pPr>
              <w:spacing w:after="0" w:line="240" w:lineRule="auto"/>
              <w:jc w:val="center"/>
              <w:rPr>
                <w:rFonts w:ascii="Tahoma" w:eastAsia="Times New Roman" w:hAnsi="Tahoma" w:cs="Tahoma"/>
                <w:sz w:val="20"/>
                <w:szCs w:val="20"/>
                <w:lang w:eastAsia="hr-HR"/>
              </w:rPr>
            </w:pPr>
            <w:r w:rsidRPr="005E671C">
              <w:rPr>
                <w:rFonts w:ascii="Tahoma" w:eastAsia="Times New Roman" w:hAnsi="Tahoma" w:cs="Tahoma"/>
                <w:sz w:val="20"/>
                <w:szCs w:val="20"/>
                <w:lang w:eastAsia="hr-HR"/>
              </w:rPr>
              <w:t>1</w:t>
            </w:r>
          </w:p>
        </w:tc>
        <w:tc>
          <w:tcPr>
            <w:tcW w:w="698" w:type="dxa"/>
            <w:tcBorders>
              <w:top w:val="nil"/>
              <w:left w:val="nil"/>
              <w:bottom w:val="single" w:sz="4" w:space="0" w:color="auto"/>
              <w:right w:val="single" w:sz="4" w:space="0" w:color="auto"/>
            </w:tcBorders>
            <w:shd w:val="clear" w:color="000000" w:fill="FFFF99"/>
            <w:noWrap/>
            <w:vAlign w:val="center"/>
            <w:hideMark/>
          </w:tcPr>
          <w:p w14:paraId="278EF78D" w14:textId="77777777" w:rsidR="005E671C" w:rsidRPr="005E671C" w:rsidRDefault="005E671C" w:rsidP="005E671C">
            <w:pPr>
              <w:spacing w:after="0" w:line="240" w:lineRule="auto"/>
              <w:jc w:val="center"/>
              <w:rPr>
                <w:rFonts w:ascii="Tahoma" w:eastAsia="Times New Roman" w:hAnsi="Tahoma" w:cs="Tahoma"/>
                <w:sz w:val="20"/>
                <w:szCs w:val="20"/>
                <w:lang w:eastAsia="hr-HR"/>
              </w:rPr>
            </w:pPr>
            <w:r w:rsidRPr="005E671C">
              <w:rPr>
                <w:rFonts w:ascii="Tahoma" w:eastAsia="Times New Roman" w:hAnsi="Tahoma" w:cs="Tahoma"/>
                <w:sz w:val="20"/>
                <w:szCs w:val="20"/>
                <w:lang w:eastAsia="hr-HR"/>
              </w:rPr>
              <w:t>44</w:t>
            </w:r>
          </w:p>
        </w:tc>
        <w:tc>
          <w:tcPr>
            <w:tcW w:w="698" w:type="dxa"/>
            <w:tcBorders>
              <w:top w:val="nil"/>
              <w:left w:val="nil"/>
              <w:bottom w:val="single" w:sz="4" w:space="0" w:color="auto"/>
              <w:right w:val="single" w:sz="4" w:space="0" w:color="auto"/>
            </w:tcBorders>
            <w:shd w:val="clear" w:color="000000" w:fill="FFFF99"/>
            <w:noWrap/>
            <w:vAlign w:val="center"/>
            <w:hideMark/>
          </w:tcPr>
          <w:p w14:paraId="32BB9997" w14:textId="77777777" w:rsidR="005E671C" w:rsidRPr="005E671C" w:rsidRDefault="005E671C" w:rsidP="005E671C">
            <w:pPr>
              <w:spacing w:after="0" w:line="240" w:lineRule="auto"/>
              <w:jc w:val="center"/>
              <w:rPr>
                <w:rFonts w:ascii="Tahoma" w:eastAsia="Times New Roman" w:hAnsi="Tahoma" w:cs="Tahoma"/>
                <w:sz w:val="20"/>
                <w:szCs w:val="20"/>
                <w:lang w:eastAsia="hr-HR"/>
              </w:rPr>
            </w:pPr>
            <w:r w:rsidRPr="005E671C">
              <w:rPr>
                <w:rFonts w:ascii="Tahoma" w:eastAsia="Times New Roman" w:hAnsi="Tahoma" w:cs="Tahoma"/>
                <w:sz w:val="20"/>
                <w:szCs w:val="20"/>
                <w:lang w:eastAsia="hr-HR"/>
              </w:rPr>
              <w:t>1</w:t>
            </w:r>
          </w:p>
        </w:tc>
        <w:tc>
          <w:tcPr>
            <w:tcW w:w="698" w:type="dxa"/>
            <w:tcBorders>
              <w:top w:val="nil"/>
              <w:left w:val="nil"/>
              <w:bottom w:val="single" w:sz="4" w:space="0" w:color="auto"/>
              <w:right w:val="single" w:sz="4" w:space="0" w:color="auto"/>
            </w:tcBorders>
            <w:shd w:val="clear" w:color="000000" w:fill="FFFF99"/>
            <w:noWrap/>
            <w:vAlign w:val="center"/>
            <w:hideMark/>
          </w:tcPr>
          <w:p w14:paraId="620006A0" w14:textId="77777777" w:rsidR="005E671C" w:rsidRPr="005E671C" w:rsidRDefault="005E671C" w:rsidP="005E671C">
            <w:pPr>
              <w:spacing w:after="0" w:line="240" w:lineRule="auto"/>
              <w:jc w:val="center"/>
              <w:rPr>
                <w:rFonts w:ascii="Tahoma" w:eastAsia="Times New Roman" w:hAnsi="Tahoma" w:cs="Tahoma"/>
                <w:sz w:val="20"/>
                <w:szCs w:val="20"/>
                <w:lang w:eastAsia="hr-HR"/>
              </w:rPr>
            </w:pPr>
            <w:r w:rsidRPr="005E671C">
              <w:rPr>
                <w:rFonts w:ascii="Tahoma" w:eastAsia="Times New Roman" w:hAnsi="Tahoma" w:cs="Tahoma"/>
                <w:sz w:val="20"/>
                <w:szCs w:val="20"/>
                <w:lang w:eastAsia="hr-HR"/>
              </w:rPr>
              <w:t>0</w:t>
            </w:r>
          </w:p>
        </w:tc>
        <w:tc>
          <w:tcPr>
            <w:tcW w:w="698" w:type="dxa"/>
            <w:tcBorders>
              <w:top w:val="nil"/>
              <w:left w:val="nil"/>
              <w:bottom w:val="single" w:sz="4" w:space="0" w:color="auto"/>
              <w:right w:val="single" w:sz="4" w:space="0" w:color="auto"/>
            </w:tcBorders>
            <w:shd w:val="clear" w:color="000000" w:fill="FFFF99"/>
            <w:noWrap/>
            <w:vAlign w:val="center"/>
            <w:hideMark/>
          </w:tcPr>
          <w:p w14:paraId="360B20FC" w14:textId="77777777" w:rsidR="005E671C" w:rsidRPr="005E671C" w:rsidRDefault="005E671C" w:rsidP="005E671C">
            <w:pPr>
              <w:spacing w:after="0" w:line="240" w:lineRule="auto"/>
              <w:jc w:val="center"/>
              <w:rPr>
                <w:rFonts w:ascii="Tahoma" w:eastAsia="Times New Roman" w:hAnsi="Tahoma" w:cs="Tahoma"/>
                <w:sz w:val="20"/>
                <w:szCs w:val="20"/>
                <w:lang w:eastAsia="hr-HR"/>
              </w:rPr>
            </w:pPr>
            <w:r w:rsidRPr="005E671C">
              <w:rPr>
                <w:rFonts w:ascii="Tahoma" w:eastAsia="Times New Roman" w:hAnsi="Tahoma" w:cs="Tahoma"/>
                <w:sz w:val="20"/>
                <w:szCs w:val="20"/>
                <w:lang w:eastAsia="hr-HR"/>
              </w:rPr>
              <w:t>0</w:t>
            </w:r>
          </w:p>
        </w:tc>
        <w:tc>
          <w:tcPr>
            <w:tcW w:w="493" w:type="dxa"/>
            <w:tcBorders>
              <w:top w:val="nil"/>
              <w:left w:val="nil"/>
              <w:bottom w:val="single" w:sz="4" w:space="0" w:color="auto"/>
              <w:right w:val="single" w:sz="4" w:space="0" w:color="auto"/>
            </w:tcBorders>
            <w:shd w:val="clear" w:color="000000" w:fill="FF9900"/>
            <w:noWrap/>
            <w:vAlign w:val="center"/>
            <w:hideMark/>
          </w:tcPr>
          <w:p w14:paraId="63FD3CDC" w14:textId="77777777" w:rsidR="005E671C" w:rsidRPr="005E671C" w:rsidRDefault="005E671C" w:rsidP="005E671C">
            <w:pPr>
              <w:spacing w:after="0" w:line="240" w:lineRule="auto"/>
              <w:jc w:val="center"/>
              <w:rPr>
                <w:rFonts w:ascii="Tahoma" w:eastAsia="Times New Roman" w:hAnsi="Tahoma" w:cs="Tahoma"/>
                <w:sz w:val="20"/>
                <w:szCs w:val="20"/>
                <w:lang w:eastAsia="hr-HR"/>
              </w:rPr>
            </w:pPr>
            <w:r w:rsidRPr="005E671C">
              <w:rPr>
                <w:rFonts w:ascii="Tahoma" w:eastAsia="Times New Roman" w:hAnsi="Tahoma" w:cs="Tahoma"/>
                <w:sz w:val="20"/>
                <w:szCs w:val="20"/>
                <w:lang w:eastAsia="hr-HR"/>
              </w:rPr>
              <w:t>0</w:t>
            </w:r>
          </w:p>
        </w:tc>
        <w:tc>
          <w:tcPr>
            <w:tcW w:w="469" w:type="dxa"/>
            <w:tcBorders>
              <w:top w:val="nil"/>
              <w:left w:val="nil"/>
              <w:bottom w:val="single" w:sz="4" w:space="0" w:color="auto"/>
              <w:right w:val="single" w:sz="4" w:space="0" w:color="auto"/>
            </w:tcBorders>
            <w:shd w:val="clear" w:color="000000" w:fill="FF9900"/>
            <w:noWrap/>
            <w:vAlign w:val="center"/>
            <w:hideMark/>
          </w:tcPr>
          <w:p w14:paraId="0514B18C" w14:textId="77777777" w:rsidR="005E671C" w:rsidRPr="005E671C" w:rsidRDefault="005E671C" w:rsidP="005E671C">
            <w:pPr>
              <w:spacing w:after="0" w:line="240" w:lineRule="auto"/>
              <w:jc w:val="center"/>
              <w:rPr>
                <w:rFonts w:ascii="Tahoma" w:eastAsia="Times New Roman" w:hAnsi="Tahoma" w:cs="Tahoma"/>
                <w:sz w:val="20"/>
                <w:szCs w:val="20"/>
                <w:lang w:eastAsia="hr-HR"/>
              </w:rPr>
            </w:pPr>
            <w:r w:rsidRPr="005E671C">
              <w:rPr>
                <w:rFonts w:ascii="Tahoma" w:eastAsia="Times New Roman" w:hAnsi="Tahoma" w:cs="Tahoma"/>
                <w:sz w:val="20"/>
                <w:szCs w:val="20"/>
                <w:lang w:eastAsia="hr-HR"/>
              </w:rPr>
              <w:t>2</w:t>
            </w:r>
          </w:p>
        </w:tc>
        <w:tc>
          <w:tcPr>
            <w:tcW w:w="467" w:type="dxa"/>
            <w:tcBorders>
              <w:top w:val="nil"/>
              <w:left w:val="nil"/>
              <w:bottom w:val="single" w:sz="4" w:space="0" w:color="auto"/>
              <w:right w:val="single" w:sz="4" w:space="0" w:color="auto"/>
            </w:tcBorders>
            <w:shd w:val="clear" w:color="000000" w:fill="FF9900"/>
            <w:noWrap/>
            <w:vAlign w:val="center"/>
            <w:hideMark/>
          </w:tcPr>
          <w:p w14:paraId="05EBF160" w14:textId="77777777" w:rsidR="005E671C" w:rsidRPr="005E671C" w:rsidRDefault="005E671C" w:rsidP="005E671C">
            <w:pPr>
              <w:spacing w:after="0" w:line="240" w:lineRule="auto"/>
              <w:jc w:val="center"/>
              <w:rPr>
                <w:rFonts w:ascii="Tahoma" w:eastAsia="Times New Roman" w:hAnsi="Tahoma" w:cs="Tahoma"/>
                <w:sz w:val="20"/>
                <w:szCs w:val="20"/>
                <w:lang w:eastAsia="hr-HR"/>
              </w:rPr>
            </w:pPr>
            <w:r w:rsidRPr="005E671C">
              <w:rPr>
                <w:rFonts w:ascii="Tahoma" w:eastAsia="Times New Roman" w:hAnsi="Tahoma" w:cs="Tahoma"/>
                <w:sz w:val="20"/>
                <w:szCs w:val="20"/>
                <w:lang w:eastAsia="hr-HR"/>
              </w:rPr>
              <w:t>39</w:t>
            </w:r>
          </w:p>
        </w:tc>
        <w:tc>
          <w:tcPr>
            <w:tcW w:w="567" w:type="dxa"/>
            <w:tcBorders>
              <w:top w:val="nil"/>
              <w:left w:val="nil"/>
              <w:bottom w:val="single" w:sz="4" w:space="0" w:color="auto"/>
              <w:right w:val="single" w:sz="4" w:space="0" w:color="auto"/>
            </w:tcBorders>
            <w:shd w:val="clear" w:color="000000" w:fill="FFFF00"/>
            <w:vAlign w:val="center"/>
            <w:hideMark/>
          </w:tcPr>
          <w:p w14:paraId="4797951D" w14:textId="77777777" w:rsidR="005E671C" w:rsidRPr="005E671C" w:rsidRDefault="005E671C" w:rsidP="005E671C">
            <w:pPr>
              <w:spacing w:after="0" w:line="240" w:lineRule="auto"/>
              <w:jc w:val="center"/>
              <w:rPr>
                <w:rFonts w:ascii="Tahoma" w:eastAsia="Times New Roman" w:hAnsi="Tahoma" w:cs="Tahoma"/>
                <w:sz w:val="20"/>
                <w:szCs w:val="20"/>
                <w:lang w:eastAsia="hr-HR"/>
              </w:rPr>
            </w:pPr>
            <w:r w:rsidRPr="005E671C">
              <w:rPr>
                <w:rFonts w:ascii="Tahoma" w:eastAsia="Times New Roman" w:hAnsi="Tahoma" w:cs="Tahoma"/>
                <w:sz w:val="20"/>
                <w:szCs w:val="20"/>
                <w:lang w:eastAsia="hr-HR"/>
              </w:rPr>
              <w:t>41</w:t>
            </w:r>
          </w:p>
        </w:tc>
        <w:tc>
          <w:tcPr>
            <w:tcW w:w="542" w:type="dxa"/>
            <w:tcBorders>
              <w:top w:val="nil"/>
              <w:left w:val="nil"/>
              <w:bottom w:val="single" w:sz="4" w:space="0" w:color="auto"/>
              <w:right w:val="single" w:sz="4" w:space="0" w:color="auto"/>
            </w:tcBorders>
            <w:shd w:val="clear" w:color="000000" w:fill="FF9900"/>
            <w:vAlign w:val="center"/>
            <w:hideMark/>
          </w:tcPr>
          <w:p w14:paraId="1D405DF1" w14:textId="77777777" w:rsidR="005E671C" w:rsidRPr="005E671C" w:rsidRDefault="005E671C" w:rsidP="005E671C">
            <w:pPr>
              <w:spacing w:after="0" w:line="240" w:lineRule="auto"/>
              <w:jc w:val="center"/>
              <w:rPr>
                <w:rFonts w:ascii="Tahoma" w:eastAsia="Times New Roman" w:hAnsi="Tahoma" w:cs="Tahoma"/>
                <w:sz w:val="20"/>
                <w:szCs w:val="20"/>
                <w:lang w:eastAsia="hr-HR"/>
              </w:rPr>
            </w:pPr>
            <w:r w:rsidRPr="005E671C">
              <w:rPr>
                <w:rFonts w:ascii="Tahoma" w:eastAsia="Times New Roman" w:hAnsi="Tahoma" w:cs="Tahoma"/>
                <w:sz w:val="20"/>
                <w:szCs w:val="20"/>
                <w:lang w:eastAsia="hr-HR"/>
              </w:rPr>
              <w:t>11</w:t>
            </w:r>
          </w:p>
        </w:tc>
        <w:tc>
          <w:tcPr>
            <w:tcW w:w="441" w:type="dxa"/>
            <w:tcBorders>
              <w:top w:val="nil"/>
              <w:left w:val="nil"/>
              <w:bottom w:val="single" w:sz="4" w:space="0" w:color="auto"/>
              <w:right w:val="single" w:sz="4" w:space="0" w:color="auto"/>
            </w:tcBorders>
            <w:shd w:val="clear" w:color="000000" w:fill="FF9900"/>
            <w:noWrap/>
            <w:vAlign w:val="center"/>
            <w:hideMark/>
          </w:tcPr>
          <w:p w14:paraId="4960A950" w14:textId="77777777" w:rsidR="005E671C" w:rsidRPr="005E671C" w:rsidRDefault="005E671C" w:rsidP="005E671C">
            <w:pPr>
              <w:spacing w:after="0" w:line="240" w:lineRule="auto"/>
              <w:jc w:val="center"/>
              <w:rPr>
                <w:rFonts w:ascii="Tahoma" w:eastAsia="Times New Roman" w:hAnsi="Tahoma" w:cs="Tahoma"/>
                <w:sz w:val="20"/>
                <w:szCs w:val="20"/>
                <w:lang w:eastAsia="hr-HR"/>
              </w:rPr>
            </w:pPr>
            <w:r w:rsidRPr="005E671C">
              <w:rPr>
                <w:rFonts w:ascii="Tahoma" w:eastAsia="Times New Roman" w:hAnsi="Tahoma" w:cs="Tahoma"/>
                <w:sz w:val="20"/>
                <w:szCs w:val="20"/>
                <w:lang w:eastAsia="hr-HR"/>
              </w:rPr>
              <w:t>40</w:t>
            </w:r>
          </w:p>
        </w:tc>
        <w:tc>
          <w:tcPr>
            <w:tcW w:w="426" w:type="dxa"/>
            <w:tcBorders>
              <w:top w:val="nil"/>
              <w:left w:val="nil"/>
              <w:bottom w:val="single" w:sz="4" w:space="0" w:color="auto"/>
              <w:right w:val="single" w:sz="4" w:space="0" w:color="auto"/>
            </w:tcBorders>
            <w:shd w:val="clear" w:color="000000" w:fill="FF9900"/>
            <w:noWrap/>
            <w:vAlign w:val="center"/>
            <w:hideMark/>
          </w:tcPr>
          <w:p w14:paraId="1C4C35D6" w14:textId="77777777" w:rsidR="005E671C" w:rsidRPr="005E671C" w:rsidRDefault="005E671C" w:rsidP="005E671C">
            <w:pPr>
              <w:spacing w:after="0" w:line="240" w:lineRule="auto"/>
              <w:jc w:val="center"/>
              <w:rPr>
                <w:rFonts w:ascii="Tahoma" w:eastAsia="Times New Roman" w:hAnsi="Tahoma" w:cs="Tahoma"/>
                <w:sz w:val="20"/>
                <w:szCs w:val="20"/>
                <w:lang w:eastAsia="hr-HR"/>
              </w:rPr>
            </w:pPr>
            <w:r w:rsidRPr="005E671C">
              <w:rPr>
                <w:rFonts w:ascii="Tahoma" w:eastAsia="Times New Roman" w:hAnsi="Tahoma" w:cs="Tahoma"/>
                <w:sz w:val="20"/>
                <w:szCs w:val="20"/>
                <w:lang w:eastAsia="hr-HR"/>
              </w:rPr>
              <w:t>0</w:t>
            </w:r>
          </w:p>
        </w:tc>
        <w:tc>
          <w:tcPr>
            <w:tcW w:w="854" w:type="dxa"/>
            <w:tcBorders>
              <w:top w:val="nil"/>
              <w:left w:val="nil"/>
              <w:bottom w:val="single" w:sz="4" w:space="0" w:color="auto"/>
              <w:right w:val="single" w:sz="4" w:space="0" w:color="auto"/>
            </w:tcBorders>
            <w:shd w:val="clear" w:color="000000" w:fill="FF9900"/>
            <w:noWrap/>
            <w:vAlign w:val="center"/>
            <w:hideMark/>
          </w:tcPr>
          <w:p w14:paraId="32BA0911" w14:textId="77777777" w:rsidR="005E671C" w:rsidRPr="005E671C" w:rsidRDefault="005E671C" w:rsidP="005E671C">
            <w:pPr>
              <w:spacing w:after="0" w:line="240" w:lineRule="auto"/>
              <w:jc w:val="center"/>
              <w:rPr>
                <w:rFonts w:ascii="Tahoma" w:eastAsia="Times New Roman" w:hAnsi="Tahoma" w:cs="Tahoma"/>
                <w:sz w:val="20"/>
                <w:szCs w:val="20"/>
                <w:lang w:eastAsia="hr-HR"/>
              </w:rPr>
            </w:pPr>
            <w:r w:rsidRPr="005E671C">
              <w:rPr>
                <w:rFonts w:ascii="Tahoma" w:eastAsia="Times New Roman" w:hAnsi="Tahoma" w:cs="Tahoma"/>
                <w:sz w:val="20"/>
                <w:szCs w:val="20"/>
                <w:lang w:eastAsia="hr-HR"/>
              </w:rPr>
              <w:t>3</w:t>
            </w:r>
          </w:p>
        </w:tc>
        <w:tc>
          <w:tcPr>
            <w:tcW w:w="440" w:type="dxa"/>
            <w:tcBorders>
              <w:top w:val="nil"/>
              <w:left w:val="nil"/>
              <w:bottom w:val="single" w:sz="4" w:space="0" w:color="auto"/>
              <w:right w:val="single" w:sz="4" w:space="0" w:color="auto"/>
            </w:tcBorders>
            <w:shd w:val="clear" w:color="000000" w:fill="CCFFFF"/>
            <w:noWrap/>
            <w:vAlign w:val="center"/>
            <w:hideMark/>
          </w:tcPr>
          <w:p w14:paraId="25FA9F1A" w14:textId="77777777" w:rsidR="005E671C" w:rsidRPr="005E671C" w:rsidRDefault="005E671C" w:rsidP="005E671C">
            <w:pPr>
              <w:spacing w:after="0" w:line="240" w:lineRule="auto"/>
              <w:jc w:val="center"/>
              <w:rPr>
                <w:rFonts w:ascii="Tahoma" w:eastAsia="Times New Roman" w:hAnsi="Tahoma" w:cs="Tahoma"/>
                <w:sz w:val="20"/>
                <w:szCs w:val="20"/>
                <w:lang w:eastAsia="hr-HR"/>
              </w:rPr>
            </w:pPr>
            <w:r w:rsidRPr="005E671C">
              <w:rPr>
                <w:rFonts w:ascii="Tahoma" w:eastAsia="Times New Roman" w:hAnsi="Tahoma" w:cs="Tahoma"/>
                <w:sz w:val="20"/>
                <w:szCs w:val="20"/>
                <w:lang w:eastAsia="hr-HR"/>
              </w:rPr>
              <w:t>2</w:t>
            </w:r>
          </w:p>
        </w:tc>
        <w:tc>
          <w:tcPr>
            <w:tcW w:w="408" w:type="dxa"/>
            <w:tcBorders>
              <w:top w:val="nil"/>
              <w:left w:val="nil"/>
              <w:bottom w:val="single" w:sz="4" w:space="0" w:color="auto"/>
              <w:right w:val="single" w:sz="4" w:space="0" w:color="auto"/>
            </w:tcBorders>
            <w:shd w:val="clear" w:color="000000" w:fill="CCFFFF"/>
            <w:noWrap/>
            <w:vAlign w:val="center"/>
            <w:hideMark/>
          </w:tcPr>
          <w:p w14:paraId="1AB67EB1" w14:textId="77777777" w:rsidR="005E671C" w:rsidRPr="005E671C" w:rsidRDefault="005E671C" w:rsidP="005E671C">
            <w:pPr>
              <w:spacing w:after="0" w:line="240" w:lineRule="auto"/>
              <w:jc w:val="center"/>
              <w:rPr>
                <w:rFonts w:ascii="Tahoma" w:eastAsia="Times New Roman" w:hAnsi="Tahoma" w:cs="Tahoma"/>
                <w:sz w:val="20"/>
                <w:szCs w:val="20"/>
                <w:lang w:eastAsia="hr-HR"/>
              </w:rPr>
            </w:pPr>
            <w:r w:rsidRPr="005E671C">
              <w:rPr>
                <w:rFonts w:ascii="Tahoma" w:eastAsia="Times New Roman" w:hAnsi="Tahoma" w:cs="Tahoma"/>
                <w:sz w:val="20"/>
                <w:szCs w:val="20"/>
                <w:lang w:eastAsia="hr-HR"/>
              </w:rPr>
              <w:t>1</w:t>
            </w:r>
          </w:p>
        </w:tc>
        <w:tc>
          <w:tcPr>
            <w:tcW w:w="433" w:type="dxa"/>
            <w:tcBorders>
              <w:top w:val="nil"/>
              <w:left w:val="nil"/>
              <w:bottom w:val="single" w:sz="4" w:space="0" w:color="auto"/>
              <w:right w:val="single" w:sz="4" w:space="0" w:color="auto"/>
            </w:tcBorders>
            <w:shd w:val="clear" w:color="000000" w:fill="CCFFFF"/>
            <w:noWrap/>
            <w:vAlign w:val="center"/>
            <w:hideMark/>
          </w:tcPr>
          <w:p w14:paraId="66270266" w14:textId="77777777" w:rsidR="005E671C" w:rsidRPr="005E671C" w:rsidRDefault="005E671C" w:rsidP="005E671C">
            <w:pPr>
              <w:spacing w:after="0" w:line="240" w:lineRule="auto"/>
              <w:jc w:val="center"/>
              <w:rPr>
                <w:rFonts w:ascii="Tahoma" w:eastAsia="Times New Roman" w:hAnsi="Tahoma" w:cs="Tahoma"/>
                <w:sz w:val="20"/>
                <w:szCs w:val="20"/>
                <w:lang w:eastAsia="hr-HR"/>
              </w:rPr>
            </w:pPr>
            <w:r w:rsidRPr="005E671C">
              <w:rPr>
                <w:rFonts w:ascii="Tahoma" w:eastAsia="Times New Roman" w:hAnsi="Tahoma" w:cs="Tahoma"/>
                <w:sz w:val="20"/>
                <w:szCs w:val="20"/>
                <w:lang w:eastAsia="hr-HR"/>
              </w:rPr>
              <w:t>0</w:t>
            </w:r>
          </w:p>
        </w:tc>
        <w:tc>
          <w:tcPr>
            <w:tcW w:w="425" w:type="dxa"/>
            <w:tcBorders>
              <w:top w:val="nil"/>
              <w:left w:val="nil"/>
              <w:bottom w:val="single" w:sz="4" w:space="0" w:color="auto"/>
              <w:right w:val="single" w:sz="8" w:space="0" w:color="auto"/>
            </w:tcBorders>
            <w:shd w:val="clear" w:color="000000" w:fill="33CCCC"/>
            <w:noWrap/>
            <w:vAlign w:val="center"/>
            <w:hideMark/>
          </w:tcPr>
          <w:p w14:paraId="0193E271" w14:textId="77777777" w:rsidR="005E671C" w:rsidRPr="005E671C" w:rsidRDefault="005E671C" w:rsidP="005E671C">
            <w:pPr>
              <w:spacing w:after="0" w:line="240" w:lineRule="auto"/>
              <w:jc w:val="center"/>
              <w:rPr>
                <w:rFonts w:ascii="Tahoma" w:eastAsia="Times New Roman" w:hAnsi="Tahoma" w:cs="Tahoma"/>
                <w:sz w:val="20"/>
                <w:szCs w:val="20"/>
                <w:lang w:eastAsia="hr-HR"/>
              </w:rPr>
            </w:pPr>
            <w:r w:rsidRPr="005E671C">
              <w:rPr>
                <w:rFonts w:ascii="Tahoma" w:eastAsia="Times New Roman" w:hAnsi="Tahoma" w:cs="Tahoma"/>
                <w:sz w:val="20"/>
                <w:szCs w:val="20"/>
                <w:lang w:eastAsia="hr-HR"/>
              </w:rPr>
              <w:t>1</w:t>
            </w:r>
          </w:p>
        </w:tc>
        <w:tc>
          <w:tcPr>
            <w:tcW w:w="567" w:type="dxa"/>
            <w:tcBorders>
              <w:top w:val="nil"/>
              <w:left w:val="single" w:sz="4" w:space="0" w:color="auto"/>
              <w:bottom w:val="single" w:sz="4" w:space="0" w:color="auto"/>
              <w:right w:val="single" w:sz="8" w:space="0" w:color="auto"/>
            </w:tcBorders>
            <w:shd w:val="clear" w:color="000000" w:fill="33CCCC"/>
            <w:noWrap/>
            <w:vAlign w:val="center"/>
            <w:hideMark/>
          </w:tcPr>
          <w:p w14:paraId="2162C54C" w14:textId="77777777" w:rsidR="005E671C" w:rsidRPr="005E671C" w:rsidRDefault="005E671C" w:rsidP="005E671C">
            <w:pPr>
              <w:spacing w:after="0" w:line="240" w:lineRule="auto"/>
              <w:jc w:val="center"/>
              <w:rPr>
                <w:rFonts w:ascii="Tahoma" w:eastAsia="Times New Roman" w:hAnsi="Tahoma" w:cs="Tahoma"/>
                <w:sz w:val="20"/>
                <w:szCs w:val="20"/>
                <w:lang w:eastAsia="hr-HR"/>
              </w:rPr>
            </w:pPr>
            <w:r w:rsidRPr="005E671C">
              <w:rPr>
                <w:rFonts w:ascii="Tahoma" w:eastAsia="Times New Roman" w:hAnsi="Tahoma" w:cs="Tahoma"/>
                <w:sz w:val="20"/>
                <w:szCs w:val="20"/>
                <w:lang w:eastAsia="hr-HR"/>
              </w:rPr>
              <w:t>40</w:t>
            </w:r>
          </w:p>
        </w:tc>
        <w:tc>
          <w:tcPr>
            <w:tcW w:w="237" w:type="dxa"/>
            <w:gridSpan w:val="2"/>
            <w:vAlign w:val="center"/>
            <w:hideMark/>
          </w:tcPr>
          <w:p w14:paraId="6537A995" w14:textId="77777777" w:rsidR="005E671C" w:rsidRPr="005E671C" w:rsidRDefault="005E671C" w:rsidP="005E671C">
            <w:pPr>
              <w:spacing w:after="0" w:line="240" w:lineRule="auto"/>
              <w:rPr>
                <w:rFonts w:ascii="Times New Roman" w:eastAsia="Times New Roman" w:hAnsi="Times New Roman" w:cs="Times New Roman"/>
                <w:sz w:val="20"/>
                <w:szCs w:val="20"/>
                <w:lang w:eastAsia="hr-HR"/>
              </w:rPr>
            </w:pPr>
          </w:p>
        </w:tc>
      </w:tr>
      <w:tr w:rsidR="005E671C" w:rsidRPr="005E671C" w14:paraId="1D386EAD" w14:textId="77777777" w:rsidTr="001752B7">
        <w:trPr>
          <w:gridAfter w:val="1"/>
          <w:wAfter w:w="51" w:type="dxa"/>
          <w:trHeight w:val="300"/>
        </w:trPr>
        <w:tc>
          <w:tcPr>
            <w:tcW w:w="1550" w:type="dxa"/>
            <w:tcBorders>
              <w:top w:val="single" w:sz="4" w:space="0" w:color="auto"/>
              <w:left w:val="single" w:sz="8" w:space="0" w:color="auto"/>
              <w:bottom w:val="single" w:sz="4" w:space="0" w:color="auto"/>
              <w:right w:val="single" w:sz="4" w:space="0" w:color="auto"/>
            </w:tcBorders>
            <w:shd w:val="clear" w:color="000000" w:fill="CCFFCC"/>
            <w:vAlign w:val="center"/>
            <w:hideMark/>
          </w:tcPr>
          <w:p w14:paraId="5B434612" w14:textId="77777777" w:rsidR="005E671C" w:rsidRPr="005E671C" w:rsidRDefault="005E671C" w:rsidP="005E671C">
            <w:pPr>
              <w:spacing w:after="0" w:line="240" w:lineRule="auto"/>
              <w:rPr>
                <w:rFonts w:ascii="Tahoma" w:eastAsia="Times New Roman" w:hAnsi="Tahoma" w:cs="Tahoma"/>
                <w:sz w:val="20"/>
                <w:szCs w:val="20"/>
                <w:lang w:eastAsia="hr-HR"/>
              </w:rPr>
            </w:pPr>
            <w:r w:rsidRPr="005E671C">
              <w:rPr>
                <w:rFonts w:ascii="Tahoma" w:eastAsia="Times New Roman" w:hAnsi="Tahoma" w:cs="Tahoma"/>
                <w:sz w:val="20"/>
                <w:szCs w:val="20"/>
                <w:lang w:eastAsia="hr-HR"/>
              </w:rPr>
              <w:t>Socijalno podrijetlo</w:t>
            </w:r>
          </w:p>
        </w:tc>
        <w:tc>
          <w:tcPr>
            <w:tcW w:w="669" w:type="dxa"/>
            <w:tcBorders>
              <w:top w:val="nil"/>
              <w:left w:val="nil"/>
              <w:bottom w:val="single" w:sz="4" w:space="0" w:color="auto"/>
              <w:right w:val="single" w:sz="4" w:space="0" w:color="auto"/>
            </w:tcBorders>
            <w:shd w:val="clear" w:color="000000" w:fill="FFCC99"/>
            <w:noWrap/>
            <w:vAlign w:val="center"/>
            <w:hideMark/>
          </w:tcPr>
          <w:p w14:paraId="3EE4065E" w14:textId="77777777" w:rsidR="005E671C" w:rsidRPr="005E671C" w:rsidRDefault="005E671C" w:rsidP="005E671C">
            <w:pPr>
              <w:spacing w:after="0" w:line="240" w:lineRule="auto"/>
              <w:jc w:val="center"/>
              <w:rPr>
                <w:rFonts w:ascii="Tahoma" w:eastAsia="Times New Roman" w:hAnsi="Tahoma" w:cs="Tahoma"/>
                <w:sz w:val="20"/>
                <w:szCs w:val="20"/>
                <w:lang w:eastAsia="hr-HR"/>
              </w:rPr>
            </w:pPr>
            <w:r w:rsidRPr="005E671C">
              <w:rPr>
                <w:rFonts w:ascii="Tahoma" w:eastAsia="Times New Roman" w:hAnsi="Tahoma" w:cs="Tahoma"/>
                <w:sz w:val="20"/>
                <w:szCs w:val="20"/>
                <w:lang w:eastAsia="hr-HR"/>
              </w:rPr>
              <w:t>0</w:t>
            </w:r>
          </w:p>
        </w:tc>
        <w:tc>
          <w:tcPr>
            <w:tcW w:w="352" w:type="dxa"/>
            <w:tcBorders>
              <w:top w:val="nil"/>
              <w:left w:val="nil"/>
              <w:bottom w:val="single" w:sz="4" w:space="0" w:color="auto"/>
              <w:right w:val="single" w:sz="4" w:space="0" w:color="auto"/>
            </w:tcBorders>
            <w:shd w:val="clear" w:color="000000" w:fill="FFFF00"/>
            <w:noWrap/>
            <w:vAlign w:val="center"/>
            <w:hideMark/>
          </w:tcPr>
          <w:p w14:paraId="4CD51838" w14:textId="77777777" w:rsidR="005E671C" w:rsidRPr="005E671C" w:rsidRDefault="005E671C" w:rsidP="005E671C">
            <w:pPr>
              <w:spacing w:after="0" w:line="240" w:lineRule="auto"/>
              <w:jc w:val="center"/>
              <w:rPr>
                <w:rFonts w:ascii="Tahoma" w:eastAsia="Times New Roman" w:hAnsi="Tahoma" w:cs="Tahoma"/>
                <w:sz w:val="20"/>
                <w:szCs w:val="20"/>
                <w:lang w:eastAsia="hr-HR"/>
              </w:rPr>
            </w:pPr>
            <w:r w:rsidRPr="005E671C">
              <w:rPr>
                <w:rFonts w:ascii="Tahoma" w:eastAsia="Times New Roman" w:hAnsi="Tahoma" w:cs="Tahoma"/>
                <w:sz w:val="20"/>
                <w:szCs w:val="20"/>
                <w:lang w:eastAsia="hr-HR"/>
              </w:rPr>
              <w:t>1</w:t>
            </w:r>
          </w:p>
        </w:tc>
        <w:tc>
          <w:tcPr>
            <w:tcW w:w="574" w:type="dxa"/>
            <w:tcBorders>
              <w:top w:val="nil"/>
              <w:left w:val="nil"/>
              <w:bottom w:val="single" w:sz="4" w:space="0" w:color="auto"/>
              <w:right w:val="single" w:sz="4" w:space="0" w:color="auto"/>
            </w:tcBorders>
            <w:shd w:val="clear" w:color="000000" w:fill="CCFFFF"/>
            <w:noWrap/>
            <w:vAlign w:val="center"/>
            <w:hideMark/>
          </w:tcPr>
          <w:p w14:paraId="260EEE8B" w14:textId="77777777" w:rsidR="005E671C" w:rsidRPr="005E671C" w:rsidRDefault="005E671C" w:rsidP="005E671C">
            <w:pPr>
              <w:spacing w:after="0" w:line="240" w:lineRule="auto"/>
              <w:jc w:val="center"/>
              <w:rPr>
                <w:rFonts w:ascii="Tahoma" w:eastAsia="Times New Roman" w:hAnsi="Tahoma" w:cs="Tahoma"/>
                <w:sz w:val="20"/>
                <w:szCs w:val="20"/>
                <w:lang w:eastAsia="hr-HR"/>
              </w:rPr>
            </w:pPr>
            <w:r w:rsidRPr="005E671C">
              <w:rPr>
                <w:rFonts w:ascii="Tahoma" w:eastAsia="Times New Roman" w:hAnsi="Tahoma" w:cs="Tahoma"/>
                <w:sz w:val="20"/>
                <w:szCs w:val="20"/>
                <w:lang w:eastAsia="hr-HR"/>
              </w:rPr>
              <w:t>2</w:t>
            </w:r>
          </w:p>
        </w:tc>
        <w:tc>
          <w:tcPr>
            <w:tcW w:w="440" w:type="dxa"/>
            <w:tcBorders>
              <w:top w:val="nil"/>
              <w:left w:val="nil"/>
              <w:bottom w:val="single" w:sz="4" w:space="0" w:color="auto"/>
              <w:right w:val="single" w:sz="4" w:space="0" w:color="auto"/>
            </w:tcBorders>
            <w:shd w:val="clear" w:color="000000" w:fill="CCFFFF"/>
            <w:noWrap/>
            <w:vAlign w:val="center"/>
            <w:hideMark/>
          </w:tcPr>
          <w:p w14:paraId="25E207F0" w14:textId="77777777" w:rsidR="005E671C" w:rsidRPr="005E671C" w:rsidRDefault="005E671C" w:rsidP="005E671C">
            <w:pPr>
              <w:spacing w:after="0" w:line="240" w:lineRule="auto"/>
              <w:jc w:val="center"/>
              <w:rPr>
                <w:rFonts w:ascii="Tahoma" w:eastAsia="Times New Roman" w:hAnsi="Tahoma" w:cs="Tahoma"/>
                <w:sz w:val="20"/>
                <w:szCs w:val="20"/>
                <w:lang w:eastAsia="hr-HR"/>
              </w:rPr>
            </w:pPr>
            <w:r w:rsidRPr="005E671C">
              <w:rPr>
                <w:rFonts w:ascii="Tahoma" w:eastAsia="Times New Roman" w:hAnsi="Tahoma" w:cs="Tahoma"/>
                <w:sz w:val="20"/>
                <w:szCs w:val="20"/>
                <w:lang w:eastAsia="hr-HR"/>
              </w:rPr>
              <w:t>2</w:t>
            </w:r>
          </w:p>
        </w:tc>
        <w:tc>
          <w:tcPr>
            <w:tcW w:w="700" w:type="dxa"/>
            <w:tcBorders>
              <w:top w:val="nil"/>
              <w:left w:val="nil"/>
              <w:bottom w:val="single" w:sz="4" w:space="0" w:color="auto"/>
              <w:right w:val="single" w:sz="4" w:space="0" w:color="auto"/>
            </w:tcBorders>
            <w:shd w:val="clear" w:color="000000" w:fill="FFFF99"/>
            <w:noWrap/>
            <w:vAlign w:val="center"/>
            <w:hideMark/>
          </w:tcPr>
          <w:p w14:paraId="6B5759ED" w14:textId="77777777" w:rsidR="005E671C" w:rsidRPr="005E671C" w:rsidRDefault="005E671C" w:rsidP="005E671C">
            <w:pPr>
              <w:spacing w:after="0" w:line="240" w:lineRule="auto"/>
              <w:jc w:val="center"/>
              <w:rPr>
                <w:rFonts w:ascii="Tahoma" w:eastAsia="Times New Roman" w:hAnsi="Tahoma" w:cs="Tahoma"/>
                <w:sz w:val="20"/>
                <w:szCs w:val="20"/>
                <w:lang w:eastAsia="hr-HR"/>
              </w:rPr>
            </w:pPr>
            <w:r w:rsidRPr="005E671C">
              <w:rPr>
                <w:rFonts w:ascii="Tahoma" w:eastAsia="Times New Roman" w:hAnsi="Tahoma" w:cs="Tahoma"/>
                <w:sz w:val="20"/>
                <w:szCs w:val="20"/>
                <w:lang w:eastAsia="hr-HR"/>
              </w:rPr>
              <w:t>1</w:t>
            </w:r>
          </w:p>
        </w:tc>
        <w:tc>
          <w:tcPr>
            <w:tcW w:w="698" w:type="dxa"/>
            <w:tcBorders>
              <w:top w:val="nil"/>
              <w:left w:val="nil"/>
              <w:bottom w:val="single" w:sz="4" w:space="0" w:color="auto"/>
              <w:right w:val="single" w:sz="4" w:space="0" w:color="auto"/>
            </w:tcBorders>
            <w:shd w:val="clear" w:color="000000" w:fill="FFFF99"/>
            <w:noWrap/>
            <w:vAlign w:val="center"/>
            <w:hideMark/>
          </w:tcPr>
          <w:p w14:paraId="1121CDD7" w14:textId="77777777" w:rsidR="005E671C" w:rsidRPr="005E671C" w:rsidRDefault="005E671C" w:rsidP="005E671C">
            <w:pPr>
              <w:spacing w:after="0" w:line="240" w:lineRule="auto"/>
              <w:jc w:val="center"/>
              <w:rPr>
                <w:rFonts w:ascii="Tahoma" w:eastAsia="Times New Roman" w:hAnsi="Tahoma" w:cs="Tahoma"/>
                <w:sz w:val="20"/>
                <w:szCs w:val="20"/>
                <w:lang w:eastAsia="hr-HR"/>
              </w:rPr>
            </w:pPr>
            <w:r w:rsidRPr="005E671C">
              <w:rPr>
                <w:rFonts w:ascii="Tahoma" w:eastAsia="Times New Roman" w:hAnsi="Tahoma" w:cs="Tahoma"/>
                <w:sz w:val="20"/>
                <w:szCs w:val="20"/>
                <w:lang w:eastAsia="hr-HR"/>
              </w:rPr>
              <w:t>0</w:t>
            </w:r>
          </w:p>
        </w:tc>
        <w:tc>
          <w:tcPr>
            <w:tcW w:w="698" w:type="dxa"/>
            <w:tcBorders>
              <w:top w:val="nil"/>
              <w:left w:val="nil"/>
              <w:bottom w:val="single" w:sz="4" w:space="0" w:color="auto"/>
              <w:right w:val="single" w:sz="4" w:space="0" w:color="auto"/>
            </w:tcBorders>
            <w:shd w:val="clear" w:color="000000" w:fill="FFFF99"/>
            <w:noWrap/>
            <w:vAlign w:val="center"/>
            <w:hideMark/>
          </w:tcPr>
          <w:p w14:paraId="58E26494" w14:textId="77777777" w:rsidR="005E671C" w:rsidRPr="005E671C" w:rsidRDefault="005E671C" w:rsidP="005E671C">
            <w:pPr>
              <w:spacing w:after="0" w:line="240" w:lineRule="auto"/>
              <w:jc w:val="center"/>
              <w:rPr>
                <w:rFonts w:ascii="Tahoma" w:eastAsia="Times New Roman" w:hAnsi="Tahoma" w:cs="Tahoma"/>
                <w:sz w:val="20"/>
                <w:szCs w:val="20"/>
                <w:lang w:eastAsia="hr-HR"/>
              </w:rPr>
            </w:pPr>
            <w:r w:rsidRPr="005E671C">
              <w:rPr>
                <w:rFonts w:ascii="Tahoma" w:eastAsia="Times New Roman" w:hAnsi="Tahoma" w:cs="Tahoma"/>
                <w:sz w:val="20"/>
                <w:szCs w:val="20"/>
                <w:lang w:eastAsia="hr-HR"/>
              </w:rPr>
              <w:t>1</w:t>
            </w:r>
          </w:p>
        </w:tc>
        <w:tc>
          <w:tcPr>
            <w:tcW w:w="698" w:type="dxa"/>
            <w:tcBorders>
              <w:top w:val="nil"/>
              <w:left w:val="nil"/>
              <w:bottom w:val="single" w:sz="4" w:space="0" w:color="auto"/>
              <w:right w:val="single" w:sz="4" w:space="0" w:color="auto"/>
            </w:tcBorders>
            <w:shd w:val="clear" w:color="000000" w:fill="FFFF99"/>
            <w:noWrap/>
            <w:vAlign w:val="center"/>
            <w:hideMark/>
          </w:tcPr>
          <w:p w14:paraId="003979CE" w14:textId="77777777" w:rsidR="005E671C" w:rsidRPr="005E671C" w:rsidRDefault="005E671C" w:rsidP="005E671C">
            <w:pPr>
              <w:spacing w:after="0" w:line="240" w:lineRule="auto"/>
              <w:jc w:val="center"/>
              <w:rPr>
                <w:rFonts w:ascii="Tahoma" w:eastAsia="Times New Roman" w:hAnsi="Tahoma" w:cs="Tahoma"/>
                <w:sz w:val="20"/>
                <w:szCs w:val="20"/>
                <w:lang w:eastAsia="hr-HR"/>
              </w:rPr>
            </w:pPr>
            <w:r w:rsidRPr="005E671C">
              <w:rPr>
                <w:rFonts w:ascii="Tahoma" w:eastAsia="Times New Roman" w:hAnsi="Tahoma" w:cs="Tahoma"/>
                <w:sz w:val="20"/>
                <w:szCs w:val="20"/>
                <w:lang w:eastAsia="hr-HR"/>
              </w:rPr>
              <w:t>0</w:t>
            </w:r>
          </w:p>
        </w:tc>
        <w:tc>
          <w:tcPr>
            <w:tcW w:w="698" w:type="dxa"/>
            <w:tcBorders>
              <w:top w:val="nil"/>
              <w:left w:val="nil"/>
              <w:bottom w:val="single" w:sz="4" w:space="0" w:color="auto"/>
              <w:right w:val="single" w:sz="4" w:space="0" w:color="auto"/>
            </w:tcBorders>
            <w:shd w:val="clear" w:color="000000" w:fill="FFFF99"/>
            <w:noWrap/>
            <w:vAlign w:val="center"/>
            <w:hideMark/>
          </w:tcPr>
          <w:p w14:paraId="380286DD" w14:textId="77777777" w:rsidR="005E671C" w:rsidRPr="005E671C" w:rsidRDefault="005E671C" w:rsidP="005E671C">
            <w:pPr>
              <w:spacing w:after="0" w:line="240" w:lineRule="auto"/>
              <w:jc w:val="center"/>
              <w:rPr>
                <w:rFonts w:ascii="Tahoma" w:eastAsia="Times New Roman" w:hAnsi="Tahoma" w:cs="Tahoma"/>
                <w:sz w:val="20"/>
                <w:szCs w:val="20"/>
                <w:lang w:eastAsia="hr-HR"/>
              </w:rPr>
            </w:pPr>
            <w:r w:rsidRPr="005E671C">
              <w:rPr>
                <w:rFonts w:ascii="Tahoma" w:eastAsia="Times New Roman" w:hAnsi="Tahoma" w:cs="Tahoma"/>
                <w:sz w:val="20"/>
                <w:szCs w:val="20"/>
                <w:lang w:eastAsia="hr-HR"/>
              </w:rPr>
              <w:t>0</w:t>
            </w:r>
          </w:p>
        </w:tc>
        <w:tc>
          <w:tcPr>
            <w:tcW w:w="698" w:type="dxa"/>
            <w:tcBorders>
              <w:top w:val="nil"/>
              <w:left w:val="nil"/>
              <w:bottom w:val="single" w:sz="4" w:space="0" w:color="auto"/>
              <w:right w:val="single" w:sz="4" w:space="0" w:color="auto"/>
            </w:tcBorders>
            <w:shd w:val="clear" w:color="000000" w:fill="FFFF99"/>
            <w:noWrap/>
            <w:vAlign w:val="center"/>
            <w:hideMark/>
          </w:tcPr>
          <w:p w14:paraId="53FC9A83" w14:textId="77777777" w:rsidR="005E671C" w:rsidRPr="005E671C" w:rsidRDefault="005E671C" w:rsidP="005E671C">
            <w:pPr>
              <w:spacing w:after="0" w:line="240" w:lineRule="auto"/>
              <w:jc w:val="center"/>
              <w:rPr>
                <w:rFonts w:ascii="Tahoma" w:eastAsia="Times New Roman" w:hAnsi="Tahoma" w:cs="Tahoma"/>
                <w:sz w:val="20"/>
                <w:szCs w:val="20"/>
                <w:lang w:eastAsia="hr-HR"/>
              </w:rPr>
            </w:pPr>
            <w:r w:rsidRPr="005E671C">
              <w:rPr>
                <w:rFonts w:ascii="Tahoma" w:eastAsia="Times New Roman" w:hAnsi="Tahoma" w:cs="Tahoma"/>
                <w:sz w:val="20"/>
                <w:szCs w:val="20"/>
                <w:lang w:eastAsia="hr-HR"/>
              </w:rPr>
              <w:t>0</w:t>
            </w:r>
          </w:p>
        </w:tc>
        <w:tc>
          <w:tcPr>
            <w:tcW w:w="493" w:type="dxa"/>
            <w:tcBorders>
              <w:top w:val="nil"/>
              <w:left w:val="nil"/>
              <w:bottom w:val="single" w:sz="4" w:space="0" w:color="auto"/>
              <w:right w:val="single" w:sz="4" w:space="0" w:color="auto"/>
            </w:tcBorders>
            <w:shd w:val="clear" w:color="000000" w:fill="FF9900"/>
            <w:noWrap/>
            <w:vAlign w:val="center"/>
            <w:hideMark/>
          </w:tcPr>
          <w:p w14:paraId="1CC06DBB" w14:textId="77777777" w:rsidR="005E671C" w:rsidRPr="005E671C" w:rsidRDefault="005E671C" w:rsidP="005E671C">
            <w:pPr>
              <w:spacing w:after="0" w:line="240" w:lineRule="auto"/>
              <w:jc w:val="center"/>
              <w:rPr>
                <w:rFonts w:ascii="Tahoma" w:eastAsia="Times New Roman" w:hAnsi="Tahoma" w:cs="Tahoma"/>
                <w:sz w:val="20"/>
                <w:szCs w:val="20"/>
                <w:lang w:eastAsia="hr-HR"/>
              </w:rPr>
            </w:pPr>
            <w:r w:rsidRPr="005E671C">
              <w:rPr>
                <w:rFonts w:ascii="Tahoma" w:eastAsia="Times New Roman" w:hAnsi="Tahoma" w:cs="Tahoma"/>
                <w:sz w:val="20"/>
                <w:szCs w:val="20"/>
                <w:lang w:eastAsia="hr-HR"/>
              </w:rPr>
              <w:t>0</w:t>
            </w:r>
          </w:p>
        </w:tc>
        <w:tc>
          <w:tcPr>
            <w:tcW w:w="469" w:type="dxa"/>
            <w:tcBorders>
              <w:top w:val="nil"/>
              <w:left w:val="nil"/>
              <w:bottom w:val="single" w:sz="4" w:space="0" w:color="auto"/>
              <w:right w:val="single" w:sz="4" w:space="0" w:color="auto"/>
            </w:tcBorders>
            <w:shd w:val="clear" w:color="000000" w:fill="FF9900"/>
            <w:noWrap/>
            <w:vAlign w:val="center"/>
            <w:hideMark/>
          </w:tcPr>
          <w:p w14:paraId="1D3E661E" w14:textId="77777777" w:rsidR="005E671C" w:rsidRPr="005E671C" w:rsidRDefault="005E671C" w:rsidP="005E671C">
            <w:pPr>
              <w:spacing w:after="0" w:line="240" w:lineRule="auto"/>
              <w:jc w:val="center"/>
              <w:rPr>
                <w:rFonts w:ascii="Tahoma" w:eastAsia="Times New Roman" w:hAnsi="Tahoma" w:cs="Tahoma"/>
                <w:sz w:val="20"/>
                <w:szCs w:val="20"/>
                <w:lang w:eastAsia="hr-HR"/>
              </w:rPr>
            </w:pPr>
            <w:r w:rsidRPr="005E671C">
              <w:rPr>
                <w:rFonts w:ascii="Tahoma" w:eastAsia="Times New Roman" w:hAnsi="Tahoma" w:cs="Tahoma"/>
                <w:sz w:val="20"/>
                <w:szCs w:val="20"/>
                <w:lang w:eastAsia="hr-HR"/>
              </w:rPr>
              <w:t>0</w:t>
            </w:r>
          </w:p>
        </w:tc>
        <w:tc>
          <w:tcPr>
            <w:tcW w:w="467" w:type="dxa"/>
            <w:tcBorders>
              <w:top w:val="nil"/>
              <w:left w:val="nil"/>
              <w:bottom w:val="single" w:sz="4" w:space="0" w:color="auto"/>
              <w:right w:val="single" w:sz="4" w:space="0" w:color="auto"/>
            </w:tcBorders>
            <w:shd w:val="clear" w:color="000000" w:fill="FF9900"/>
            <w:noWrap/>
            <w:vAlign w:val="center"/>
            <w:hideMark/>
          </w:tcPr>
          <w:p w14:paraId="7DE055CD" w14:textId="77777777" w:rsidR="005E671C" w:rsidRPr="005E671C" w:rsidRDefault="005E671C" w:rsidP="005E671C">
            <w:pPr>
              <w:spacing w:after="0" w:line="240" w:lineRule="auto"/>
              <w:jc w:val="center"/>
              <w:rPr>
                <w:rFonts w:ascii="Tahoma" w:eastAsia="Times New Roman" w:hAnsi="Tahoma" w:cs="Tahoma"/>
                <w:sz w:val="20"/>
                <w:szCs w:val="20"/>
                <w:lang w:eastAsia="hr-HR"/>
              </w:rPr>
            </w:pPr>
            <w:r w:rsidRPr="005E671C">
              <w:rPr>
                <w:rFonts w:ascii="Tahoma" w:eastAsia="Times New Roman" w:hAnsi="Tahoma" w:cs="Tahoma"/>
                <w:sz w:val="20"/>
                <w:szCs w:val="20"/>
                <w:lang w:eastAsia="hr-HR"/>
              </w:rPr>
              <w:t>0</w:t>
            </w:r>
          </w:p>
        </w:tc>
        <w:tc>
          <w:tcPr>
            <w:tcW w:w="567" w:type="dxa"/>
            <w:tcBorders>
              <w:top w:val="nil"/>
              <w:left w:val="nil"/>
              <w:bottom w:val="single" w:sz="4" w:space="0" w:color="auto"/>
              <w:right w:val="single" w:sz="4" w:space="0" w:color="auto"/>
            </w:tcBorders>
            <w:shd w:val="clear" w:color="000000" w:fill="FFFF00"/>
            <w:vAlign w:val="center"/>
            <w:hideMark/>
          </w:tcPr>
          <w:p w14:paraId="22488F90" w14:textId="77777777" w:rsidR="005E671C" w:rsidRPr="005E671C" w:rsidRDefault="005E671C" w:rsidP="005E671C">
            <w:pPr>
              <w:spacing w:after="0" w:line="240" w:lineRule="auto"/>
              <w:jc w:val="center"/>
              <w:rPr>
                <w:rFonts w:ascii="Tahoma" w:eastAsia="Times New Roman" w:hAnsi="Tahoma" w:cs="Tahoma"/>
                <w:sz w:val="20"/>
                <w:szCs w:val="20"/>
                <w:lang w:eastAsia="hr-HR"/>
              </w:rPr>
            </w:pPr>
            <w:r w:rsidRPr="005E671C">
              <w:rPr>
                <w:rFonts w:ascii="Tahoma" w:eastAsia="Times New Roman" w:hAnsi="Tahoma" w:cs="Tahoma"/>
                <w:sz w:val="20"/>
                <w:szCs w:val="20"/>
                <w:lang w:eastAsia="hr-HR"/>
              </w:rPr>
              <w:t>0</w:t>
            </w:r>
          </w:p>
        </w:tc>
        <w:tc>
          <w:tcPr>
            <w:tcW w:w="542" w:type="dxa"/>
            <w:tcBorders>
              <w:top w:val="nil"/>
              <w:left w:val="nil"/>
              <w:bottom w:val="single" w:sz="4" w:space="0" w:color="auto"/>
              <w:right w:val="single" w:sz="4" w:space="0" w:color="auto"/>
            </w:tcBorders>
            <w:shd w:val="clear" w:color="000000" w:fill="FF9900"/>
            <w:vAlign w:val="center"/>
            <w:hideMark/>
          </w:tcPr>
          <w:p w14:paraId="54B844FA" w14:textId="77777777" w:rsidR="005E671C" w:rsidRPr="005E671C" w:rsidRDefault="005E671C" w:rsidP="005E671C">
            <w:pPr>
              <w:spacing w:after="0" w:line="240" w:lineRule="auto"/>
              <w:jc w:val="center"/>
              <w:rPr>
                <w:rFonts w:ascii="Tahoma" w:eastAsia="Times New Roman" w:hAnsi="Tahoma" w:cs="Tahoma"/>
                <w:sz w:val="20"/>
                <w:szCs w:val="20"/>
                <w:lang w:eastAsia="hr-HR"/>
              </w:rPr>
            </w:pPr>
            <w:r w:rsidRPr="005E671C">
              <w:rPr>
                <w:rFonts w:ascii="Tahoma" w:eastAsia="Times New Roman" w:hAnsi="Tahoma" w:cs="Tahoma"/>
                <w:sz w:val="20"/>
                <w:szCs w:val="20"/>
                <w:lang w:eastAsia="hr-HR"/>
              </w:rPr>
              <w:t>1</w:t>
            </w:r>
          </w:p>
        </w:tc>
        <w:tc>
          <w:tcPr>
            <w:tcW w:w="441" w:type="dxa"/>
            <w:tcBorders>
              <w:top w:val="nil"/>
              <w:left w:val="nil"/>
              <w:bottom w:val="single" w:sz="4" w:space="0" w:color="auto"/>
              <w:right w:val="single" w:sz="4" w:space="0" w:color="auto"/>
            </w:tcBorders>
            <w:shd w:val="clear" w:color="000000" w:fill="FF9900"/>
            <w:noWrap/>
            <w:vAlign w:val="center"/>
            <w:hideMark/>
          </w:tcPr>
          <w:p w14:paraId="3C3B1778" w14:textId="77777777" w:rsidR="005E671C" w:rsidRPr="005E671C" w:rsidRDefault="005E671C" w:rsidP="005E671C">
            <w:pPr>
              <w:spacing w:after="0" w:line="240" w:lineRule="auto"/>
              <w:jc w:val="center"/>
              <w:rPr>
                <w:rFonts w:ascii="Tahoma" w:eastAsia="Times New Roman" w:hAnsi="Tahoma" w:cs="Tahoma"/>
                <w:sz w:val="20"/>
                <w:szCs w:val="20"/>
                <w:lang w:eastAsia="hr-HR"/>
              </w:rPr>
            </w:pPr>
            <w:r w:rsidRPr="005E671C">
              <w:rPr>
                <w:rFonts w:ascii="Tahoma" w:eastAsia="Times New Roman" w:hAnsi="Tahoma" w:cs="Tahoma"/>
                <w:sz w:val="20"/>
                <w:szCs w:val="20"/>
                <w:lang w:eastAsia="hr-HR"/>
              </w:rPr>
              <w:t>1</w:t>
            </w:r>
          </w:p>
        </w:tc>
        <w:tc>
          <w:tcPr>
            <w:tcW w:w="426" w:type="dxa"/>
            <w:tcBorders>
              <w:top w:val="nil"/>
              <w:left w:val="nil"/>
              <w:bottom w:val="single" w:sz="4" w:space="0" w:color="auto"/>
              <w:right w:val="single" w:sz="4" w:space="0" w:color="auto"/>
            </w:tcBorders>
            <w:shd w:val="clear" w:color="000000" w:fill="FF9900"/>
            <w:noWrap/>
            <w:vAlign w:val="center"/>
            <w:hideMark/>
          </w:tcPr>
          <w:p w14:paraId="4200189B" w14:textId="77777777" w:rsidR="005E671C" w:rsidRPr="005E671C" w:rsidRDefault="005E671C" w:rsidP="005E671C">
            <w:pPr>
              <w:spacing w:after="0" w:line="240" w:lineRule="auto"/>
              <w:jc w:val="center"/>
              <w:rPr>
                <w:rFonts w:ascii="Tahoma" w:eastAsia="Times New Roman" w:hAnsi="Tahoma" w:cs="Tahoma"/>
                <w:sz w:val="20"/>
                <w:szCs w:val="20"/>
                <w:lang w:eastAsia="hr-HR"/>
              </w:rPr>
            </w:pPr>
            <w:r w:rsidRPr="005E671C">
              <w:rPr>
                <w:rFonts w:ascii="Tahoma" w:eastAsia="Times New Roman" w:hAnsi="Tahoma" w:cs="Tahoma"/>
                <w:sz w:val="20"/>
                <w:szCs w:val="20"/>
                <w:lang w:eastAsia="hr-HR"/>
              </w:rPr>
              <w:t>0</w:t>
            </w:r>
          </w:p>
        </w:tc>
        <w:tc>
          <w:tcPr>
            <w:tcW w:w="854" w:type="dxa"/>
            <w:tcBorders>
              <w:top w:val="nil"/>
              <w:left w:val="nil"/>
              <w:bottom w:val="single" w:sz="4" w:space="0" w:color="auto"/>
              <w:right w:val="single" w:sz="4" w:space="0" w:color="auto"/>
            </w:tcBorders>
            <w:shd w:val="clear" w:color="000000" w:fill="FF9900"/>
            <w:noWrap/>
            <w:vAlign w:val="center"/>
            <w:hideMark/>
          </w:tcPr>
          <w:p w14:paraId="18BCCD20" w14:textId="77777777" w:rsidR="005E671C" w:rsidRPr="005E671C" w:rsidRDefault="005E671C" w:rsidP="005E671C">
            <w:pPr>
              <w:spacing w:after="0" w:line="240" w:lineRule="auto"/>
              <w:jc w:val="center"/>
              <w:rPr>
                <w:rFonts w:ascii="Tahoma" w:eastAsia="Times New Roman" w:hAnsi="Tahoma" w:cs="Tahoma"/>
                <w:sz w:val="20"/>
                <w:szCs w:val="20"/>
                <w:lang w:eastAsia="hr-HR"/>
              </w:rPr>
            </w:pPr>
            <w:r w:rsidRPr="005E671C">
              <w:rPr>
                <w:rFonts w:ascii="Tahoma" w:eastAsia="Times New Roman" w:hAnsi="Tahoma" w:cs="Tahoma"/>
                <w:sz w:val="20"/>
                <w:szCs w:val="20"/>
                <w:lang w:eastAsia="hr-HR"/>
              </w:rPr>
              <w:t>0</w:t>
            </w:r>
          </w:p>
        </w:tc>
        <w:tc>
          <w:tcPr>
            <w:tcW w:w="440" w:type="dxa"/>
            <w:tcBorders>
              <w:top w:val="nil"/>
              <w:left w:val="nil"/>
              <w:bottom w:val="single" w:sz="4" w:space="0" w:color="auto"/>
              <w:right w:val="single" w:sz="4" w:space="0" w:color="auto"/>
            </w:tcBorders>
            <w:shd w:val="clear" w:color="000000" w:fill="CCFFFF"/>
            <w:noWrap/>
            <w:vAlign w:val="center"/>
            <w:hideMark/>
          </w:tcPr>
          <w:p w14:paraId="1E15FDCC" w14:textId="77777777" w:rsidR="005E671C" w:rsidRPr="005E671C" w:rsidRDefault="005E671C" w:rsidP="005E671C">
            <w:pPr>
              <w:spacing w:after="0" w:line="240" w:lineRule="auto"/>
              <w:jc w:val="center"/>
              <w:rPr>
                <w:rFonts w:ascii="Tahoma" w:eastAsia="Times New Roman" w:hAnsi="Tahoma" w:cs="Tahoma"/>
                <w:sz w:val="20"/>
                <w:szCs w:val="20"/>
                <w:lang w:eastAsia="hr-HR"/>
              </w:rPr>
            </w:pPr>
            <w:r w:rsidRPr="005E671C">
              <w:rPr>
                <w:rFonts w:ascii="Tahoma" w:eastAsia="Times New Roman" w:hAnsi="Tahoma" w:cs="Tahoma"/>
                <w:sz w:val="20"/>
                <w:szCs w:val="20"/>
                <w:lang w:eastAsia="hr-HR"/>
              </w:rPr>
              <w:t>0</w:t>
            </w:r>
          </w:p>
        </w:tc>
        <w:tc>
          <w:tcPr>
            <w:tcW w:w="408" w:type="dxa"/>
            <w:tcBorders>
              <w:top w:val="nil"/>
              <w:left w:val="nil"/>
              <w:bottom w:val="single" w:sz="4" w:space="0" w:color="auto"/>
              <w:right w:val="single" w:sz="4" w:space="0" w:color="auto"/>
            </w:tcBorders>
            <w:shd w:val="clear" w:color="000000" w:fill="CCFFFF"/>
            <w:noWrap/>
            <w:vAlign w:val="center"/>
            <w:hideMark/>
          </w:tcPr>
          <w:p w14:paraId="4CB6454A" w14:textId="77777777" w:rsidR="005E671C" w:rsidRPr="005E671C" w:rsidRDefault="005E671C" w:rsidP="005E671C">
            <w:pPr>
              <w:spacing w:after="0" w:line="240" w:lineRule="auto"/>
              <w:jc w:val="center"/>
              <w:rPr>
                <w:rFonts w:ascii="Tahoma" w:eastAsia="Times New Roman" w:hAnsi="Tahoma" w:cs="Tahoma"/>
                <w:sz w:val="20"/>
                <w:szCs w:val="20"/>
                <w:lang w:eastAsia="hr-HR"/>
              </w:rPr>
            </w:pPr>
            <w:r w:rsidRPr="005E671C">
              <w:rPr>
                <w:rFonts w:ascii="Tahoma" w:eastAsia="Times New Roman" w:hAnsi="Tahoma" w:cs="Tahoma"/>
                <w:sz w:val="20"/>
                <w:szCs w:val="20"/>
                <w:lang w:eastAsia="hr-HR"/>
              </w:rPr>
              <w:t>0</w:t>
            </w:r>
          </w:p>
        </w:tc>
        <w:tc>
          <w:tcPr>
            <w:tcW w:w="433" w:type="dxa"/>
            <w:tcBorders>
              <w:top w:val="nil"/>
              <w:left w:val="nil"/>
              <w:bottom w:val="single" w:sz="4" w:space="0" w:color="auto"/>
              <w:right w:val="single" w:sz="4" w:space="0" w:color="auto"/>
            </w:tcBorders>
            <w:shd w:val="clear" w:color="000000" w:fill="CCFFFF"/>
            <w:noWrap/>
            <w:vAlign w:val="center"/>
            <w:hideMark/>
          </w:tcPr>
          <w:p w14:paraId="078CFAFB" w14:textId="77777777" w:rsidR="005E671C" w:rsidRPr="005E671C" w:rsidRDefault="005E671C" w:rsidP="005E671C">
            <w:pPr>
              <w:spacing w:after="0" w:line="240" w:lineRule="auto"/>
              <w:jc w:val="center"/>
              <w:rPr>
                <w:rFonts w:ascii="Tahoma" w:eastAsia="Times New Roman" w:hAnsi="Tahoma" w:cs="Tahoma"/>
                <w:sz w:val="20"/>
                <w:szCs w:val="20"/>
                <w:lang w:eastAsia="hr-HR"/>
              </w:rPr>
            </w:pPr>
            <w:r w:rsidRPr="005E671C">
              <w:rPr>
                <w:rFonts w:ascii="Tahoma" w:eastAsia="Times New Roman" w:hAnsi="Tahoma" w:cs="Tahoma"/>
                <w:sz w:val="20"/>
                <w:szCs w:val="20"/>
                <w:lang w:eastAsia="hr-HR"/>
              </w:rPr>
              <w:t>0</w:t>
            </w:r>
          </w:p>
        </w:tc>
        <w:tc>
          <w:tcPr>
            <w:tcW w:w="425" w:type="dxa"/>
            <w:tcBorders>
              <w:top w:val="nil"/>
              <w:left w:val="nil"/>
              <w:bottom w:val="single" w:sz="4" w:space="0" w:color="auto"/>
              <w:right w:val="single" w:sz="8" w:space="0" w:color="auto"/>
            </w:tcBorders>
            <w:shd w:val="clear" w:color="000000" w:fill="33CCCC"/>
            <w:noWrap/>
            <w:vAlign w:val="center"/>
            <w:hideMark/>
          </w:tcPr>
          <w:p w14:paraId="46853385" w14:textId="77777777" w:rsidR="005E671C" w:rsidRPr="005E671C" w:rsidRDefault="005E671C" w:rsidP="005E671C">
            <w:pPr>
              <w:spacing w:after="0" w:line="240" w:lineRule="auto"/>
              <w:jc w:val="center"/>
              <w:rPr>
                <w:rFonts w:ascii="Tahoma" w:eastAsia="Times New Roman" w:hAnsi="Tahoma" w:cs="Tahoma"/>
                <w:sz w:val="20"/>
                <w:szCs w:val="20"/>
                <w:lang w:eastAsia="hr-HR"/>
              </w:rPr>
            </w:pPr>
            <w:r w:rsidRPr="005E671C">
              <w:rPr>
                <w:rFonts w:ascii="Tahoma" w:eastAsia="Times New Roman" w:hAnsi="Tahoma" w:cs="Tahoma"/>
                <w:sz w:val="20"/>
                <w:szCs w:val="20"/>
                <w:lang w:eastAsia="hr-HR"/>
              </w:rPr>
              <w:t>0</w:t>
            </w:r>
          </w:p>
        </w:tc>
        <w:tc>
          <w:tcPr>
            <w:tcW w:w="567" w:type="dxa"/>
            <w:tcBorders>
              <w:top w:val="nil"/>
              <w:left w:val="single" w:sz="4" w:space="0" w:color="auto"/>
              <w:bottom w:val="single" w:sz="4" w:space="0" w:color="auto"/>
              <w:right w:val="single" w:sz="8" w:space="0" w:color="auto"/>
            </w:tcBorders>
            <w:shd w:val="clear" w:color="000000" w:fill="33CCCC"/>
            <w:noWrap/>
            <w:vAlign w:val="center"/>
            <w:hideMark/>
          </w:tcPr>
          <w:p w14:paraId="7F1641F7" w14:textId="77777777" w:rsidR="005E671C" w:rsidRPr="005E671C" w:rsidRDefault="005E671C" w:rsidP="005E671C">
            <w:pPr>
              <w:spacing w:after="0" w:line="240" w:lineRule="auto"/>
              <w:jc w:val="center"/>
              <w:rPr>
                <w:rFonts w:ascii="Tahoma" w:eastAsia="Times New Roman" w:hAnsi="Tahoma" w:cs="Tahoma"/>
                <w:sz w:val="20"/>
                <w:szCs w:val="20"/>
                <w:lang w:eastAsia="hr-HR"/>
              </w:rPr>
            </w:pPr>
            <w:r w:rsidRPr="005E671C">
              <w:rPr>
                <w:rFonts w:ascii="Tahoma" w:eastAsia="Times New Roman" w:hAnsi="Tahoma" w:cs="Tahoma"/>
                <w:sz w:val="20"/>
                <w:szCs w:val="20"/>
                <w:lang w:eastAsia="hr-HR"/>
              </w:rPr>
              <w:t>0</w:t>
            </w:r>
          </w:p>
        </w:tc>
        <w:tc>
          <w:tcPr>
            <w:tcW w:w="237" w:type="dxa"/>
            <w:gridSpan w:val="2"/>
            <w:vAlign w:val="center"/>
            <w:hideMark/>
          </w:tcPr>
          <w:p w14:paraId="13ED99F8" w14:textId="77777777" w:rsidR="005E671C" w:rsidRPr="005E671C" w:rsidRDefault="005E671C" w:rsidP="005E671C">
            <w:pPr>
              <w:spacing w:after="0" w:line="240" w:lineRule="auto"/>
              <w:rPr>
                <w:rFonts w:ascii="Times New Roman" w:eastAsia="Times New Roman" w:hAnsi="Times New Roman" w:cs="Times New Roman"/>
                <w:sz w:val="20"/>
                <w:szCs w:val="20"/>
                <w:lang w:eastAsia="hr-HR"/>
              </w:rPr>
            </w:pPr>
          </w:p>
        </w:tc>
      </w:tr>
      <w:tr w:rsidR="005E671C" w:rsidRPr="005E671C" w14:paraId="325AC1E1" w14:textId="77777777" w:rsidTr="001752B7">
        <w:trPr>
          <w:gridAfter w:val="1"/>
          <w:wAfter w:w="51" w:type="dxa"/>
          <w:trHeight w:val="300"/>
        </w:trPr>
        <w:tc>
          <w:tcPr>
            <w:tcW w:w="1550" w:type="dxa"/>
            <w:tcBorders>
              <w:top w:val="single" w:sz="4" w:space="0" w:color="auto"/>
              <w:left w:val="single" w:sz="8" w:space="0" w:color="auto"/>
              <w:bottom w:val="single" w:sz="4" w:space="0" w:color="auto"/>
              <w:right w:val="single" w:sz="4" w:space="0" w:color="auto"/>
            </w:tcBorders>
            <w:shd w:val="clear" w:color="000000" w:fill="CCFFCC"/>
            <w:vAlign w:val="center"/>
            <w:hideMark/>
          </w:tcPr>
          <w:p w14:paraId="18FAA370" w14:textId="77777777" w:rsidR="005E671C" w:rsidRPr="005E671C" w:rsidRDefault="005E671C" w:rsidP="005E671C">
            <w:pPr>
              <w:spacing w:after="0" w:line="240" w:lineRule="auto"/>
              <w:rPr>
                <w:rFonts w:ascii="Tahoma" w:eastAsia="Times New Roman" w:hAnsi="Tahoma" w:cs="Tahoma"/>
                <w:sz w:val="20"/>
                <w:szCs w:val="20"/>
                <w:lang w:eastAsia="hr-HR"/>
              </w:rPr>
            </w:pPr>
            <w:r w:rsidRPr="005E671C">
              <w:rPr>
                <w:rFonts w:ascii="Tahoma" w:eastAsia="Times New Roman" w:hAnsi="Tahoma" w:cs="Tahoma"/>
                <w:sz w:val="20"/>
                <w:szCs w:val="20"/>
                <w:lang w:eastAsia="hr-HR"/>
              </w:rPr>
              <w:t>Imovno stanje</w:t>
            </w:r>
          </w:p>
        </w:tc>
        <w:tc>
          <w:tcPr>
            <w:tcW w:w="669" w:type="dxa"/>
            <w:tcBorders>
              <w:top w:val="nil"/>
              <w:left w:val="nil"/>
              <w:bottom w:val="single" w:sz="4" w:space="0" w:color="auto"/>
              <w:right w:val="single" w:sz="4" w:space="0" w:color="auto"/>
            </w:tcBorders>
            <w:shd w:val="clear" w:color="000000" w:fill="FFCC99"/>
            <w:noWrap/>
            <w:vAlign w:val="center"/>
            <w:hideMark/>
          </w:tcPr>
          <w:p w14:paraId="625CC931" w14:textId="77777777" w:rsidR="005E671C" w:rsidRPr="005E671C" w:rsidRDefault="005E671C" w:rsidP="005E671C">
            <w:pPr>
              <w:spacing w:after="0" w:line="240" w:lineRule="auto"/>
              <w:jc w:val="center"/>
              <w:rPr>
                <w:rFonts w:ascii="Tahoma" w:eastAsia="Times New Roman" w:hAnsi="Tahoma" w:cs="Tahoma"/>
                <w:sz w:val="20"/>
                <w:szCs w:val="20"/>
                <w:lang w:eastAsia="hr-HR"/>
              </w:rPr>
            </w:pPr>
            <w:r w:rsidRPr="005E671C">
              <w:rPr>
                <w:rFonts w:ascii="Tahoma" w:eastAsia="Times New Roman" w:hAnsi="Tahoma" w:cs="Tahoma"/>
                <w:sz w:val="20"/>
                <w:szCs w:val="20"/>
                <w:lang w:eastAsia="hr-HR"/>
              </w:rPr>
              <w:t>2</w:t>
            </w:r>
          </w:p>
        </w:tc>
        <w:tc>
          <w:tcPr>
            <w:tcW w:w="352" w:type="dxa"/>
            <w:tcBorders>
              <w:top w:val="nil"/>
              <w:left w:val="nil"/>
              <w:bottom w:val="single" w:sz="4" w:space="0" w:color="auto"/>
              <w:right w:val="single" w:sz="4" w:space="0" w:color="auto"/>
            </w:tcBorders>
            <w:shd w:val="clear" w:color="000000" w:fill="FFFF00"/>
            <w:noWrap/>
            <w:vAlign w:val="center"/>
            <w:hideMark/>
          </w:tcPr>
          <w:p w14:paraId="1C9F3DE9" w14:textId="77777777" w:rsidR="005E671C" w:rsidRPr="005E671C" w:rsidRDefault="005E671C" w:rsidP="005E671C">
            <w:pPr>
              <w:spacing w:after="0" w:line="240" w:lineRule="auto"/>
              <w:jc w:val="center"/>
              <w:rPr>
                <w:rFonts w:ascii="Tahoma" w:eastAsia="Times New Roman" w:hAnsi="Tahoma" w:cs="Tahoma"/>
                <w:sz w:val="20"/>
                <w:szCs w:val="20"/>
                <w:lang w:eastAsia="hr-HR"/>
              </w:rPr>
            </w:pPr>
            <w:r w:rsidRPr="005E671C">
              <w:rPr>
                <w:rFonts w:ascii="Tahoma" w:eastAsia="Times New Roman" w:hAnsi="Tahoma" w:cs="Tahoma"/>
                <w:sz w:val="20"/>
                <w:szCs w:val="20"/>
                <w:lang w:eastAsia="hr-HR"/>
              </w:rPr>
              <w:t>0</w:t>
            </w:r>
          </w:p>
        </w:tc>
        <w:tc>
          <w:tcPr>
            <w:tcW w:w="574" w:type="dxa"/>
            <w:tcBorders>
              <w:top w:val="nil"/>
              <w:left w:val="nil"/>
              <w:bottom w:val="single" w:sz="4" w:space="0" w:color="auto"/>
              <w:right w:val="single" w:sz="4" w:space="0" w:color="auto"/>
            </w:tcBorders>
            <w:shd w:val="clear" w:color="000000" w:fill="CCFFFF"/>
            <w:noWrap/>
            <w:vAlign w:val="center"/>
            <w:hideMark/>
          </w:tcPr>
          <w:p w14:paraId="2416D6B5" w14:textId="77777777" w:rsidR="005E671C" w:rsidRPr="005E671C" w:rsidRDefault="005E671C" w:rsidP="005E671C">
            <w:pPr>
              <w:spacing w:after="0" w:line="240" w:lineRule="auto"/>
              <w:jc w:val="center"/>
              <w:rPr>
                <w:rFonts w:ascii="Tahoma" w:eastAsia="Times New Roman" w:hAnsi="Tahoma" w:cs="Tahoma"/>
                <w:sz w:val="20"/>
                <w:szCs w:val="20"/>
                <w:lang w:eastAsia="hr-HR"/>
              </w:rPr>
            </w:pPr>
            <w:r w:rsidRPr="005E671C">
              <w:rPr>
                <w:rFonts w:ascii="Tahoma" w:eastAsia="Times New Roman" w:hAnsi="Tahoma" w:cs="Tahoma"/>
                <w:sz w:val="20"/>
                <w:szCs w:val="20"/>
                <w:lang w:eastAsia="hr-HR"/>
              </w:rPr>
              <w:t>0</w:t>
            </w:r>
          </w:p>
        </w:tc>
        <w:tc>
          <w:tcPr>
            <w:tcW w:w="440" w:type="dxa"/>
            <w:tcBorders>
              <w:top w:val="nil"/>
              <w:left w:val="nil"/>
              <w:bottom w:val="single" w:sz="4" w:space="0" w:color="auto"/>
              <w:right w:val="single" w:sz="4" w:space="0" w:color="auto"/>
            </w:tcBorders>
            <w:shd w:val="clear" w:color="000000" w:fill="CCFFFF"/>
            <w:noWrap/>
            <w:vAlign w:val="center"/>
            <w:hideMark/>
          </w:tcPr>
          <w:p w14:paraId="1B37A709" w14:textId="77777777" w:rsidR="005E671C" w:rsidRPr="005E671C" w:rsidRDefault="005E671C" w:rsidP="005E671C">
            <w:pPr>
              <w:spacing w:after="0" w:line="240" w:lineRule="auto"/>
              <w:jc w:val="center"/>
              <w:rPr>
                <w:rFonts w:ascii="Tahoma" w:eastAsia="Times New Roman" w:hAnsi="Tahoma" w:cs="Tahoma"/>
                <w:sz w:val="20"/>
                <w:szCs w:val="20"/>
                <w:lang w:eastAsia="hr-HR"/>
              </w:rPr>
            </w:pPr>
            <w:r w:rsidRPr="005E671C">
              <w:rPr>
                <w:rFonts w:ascii="Tahoma" w:eastAsia="Times New Roman" w:hAnsi="Tahoma" w:cs="Tahoma"/>
                <w:sz w:val="20"/>
                <w:szCs w:val="20"/>
                <w:lang w:eastAsia="hr-HR"/>
              </w:rPr>
              <w:t>0</w:t>
            </w:r>
          </w:p>
        </w:tc>
        <w:tc>
          <w:tcPr>
            <w:tcW w:w="700" w:type="dxa"/>
            <w:tcBorders>
              <w:top w:val="nil"/>
              <w:left w:val="nil"/>
              <w:bottom w:val="single" w:sz="4" w:space="0" w:color="auto"/>
              <w:right w:val="single" w:sz="4" w:space="0" w:color="auto"/>
            </w:tcBorders>
            <w:shd w:val="clear" w:color="000000" w:fill="FFFF99"/>
            <w:noWrap/>
            <w:vAlign w:val="center"/>
            <w:hideMark/>
          </w:tcPr>
          <w:p w14:paraId="410FD079" w14:textId="77777777" w:rsidR="005E671C" w:rsidRPr="005E671C" w:rsidRDefault="005E671C" w:rsidP="005E671C">
            <w:pPr>
              <w:spacing w:after="0" w:line="240" w:lineRule="auto"/>
              <w:jc w:val="center"/>
              <w:rPr>
                <w:rFonts w:ascii="Tahoma" w:eastAsia="Times New Roman" w:hAnsi="Tahoma" w:cs="Tahoma"/>
                <w:sz w:val="20"/>
                <w:szCs w:val="20"/>
                <w:lang w:eastAsia="hr-HR"/>
              </w:rPr>
            </w:pPr>
            <w:r w:rsidRPr="005E671C">
              <w:rPr>
                <w:rFonts w:ascii="Tahoma" w:eastAsia="Times New Roman" w:hAnsi="Tahoma" w:cs="Tahoma"/>
                <w:sz w:val="20"/>
                <w:szCs w:val="20"/>
                <w:lang w:eastAsia="hr-HR"/>
              </w:rPr>
              <w:t>0</w:t>
            </w:r>
          </w:p>
        </w:tc>
        <w:tc>
          <w:tcPr>
            <w:tcW w:w="698" w:type="dxa"/>
            <w:tcBorders>
              <w:top w:val="nil"/>
              <w:left w:val="nil"/>
              <w:bottom w:val="single" w:sz="4" w:space="0" w:color="auto"/>
              <w:right w:val="single" w:sz="4" w:space="0" w:color="auto"/>
            </w:tcBorders>
            <w:shd w:val="clear" w:color="000000" w:fill="FFFF99"/>
            <w:noWrap/>
            <w:vAlign w:val="center"/>
            <w:hideMark/>
          </w:tcPr>
          <w:p w14:paraId="16BD8162" w14:textId="77777777" w:rsidR="005E671C" w:rsidRPr="005E671C" w:rsidRDefault="005E671C" w:rsidP="005E671C">
            <w:pPr>
              <w:spacing w:after="0" w:line="240" w:lineRule="auto"/>
              <w:jc w:val="center"/>
              <w:rPr>
                <w:rFonts w:ascii="Tahoma" w:eastAsia="Times New Roman" w:hAnsi="Tahoma" w:cs="Tahoma"/>
                <w:sz w:val="20"/>
                <w:szCs w:val="20"/>
                <w:lang w:eastAsia="hr-HR"/>
              </w:rPr>
            </w:pPr>
            <w:r w:rsidRPr="005E671C">
              <w:rPr>
                <w:rFonts w:ascii="Tahoma" w:eastAsia="Times New Roman" w:hAnsi="Tahoma" w:cs="Tahoma"/>
                <w:sz w:val="20"/>
                <w:szCs w:val="20"/>
                <w:lang w:eastAsia="hr-HR"/>
              </w:rPr>
              <w:t>0</w:t>
            </w:r>
          </w:p>
        </w:tc>
        <w:tc>
          <w:tcPr>
            <w:tcW w:w="698" w:type="dxa"/>
            <w:tcBorders>
              <w:top w:val="nil"/>
              <w:left w:val="nil"/>
              <w:bottom w:val="single" w:sz="4" w:space="0" w:color="auto"/>
              <w:right w:val="single" w:sz="4" w:space="0" w:color="auto"/>
            </w:tcBorders>
            <w:shd w:val="clear" w:color="000000" w:fill="FFFF99"/>
            <w:noWrap/>
            <w:vAlign w:val="center"/>
            <w:hideMark/>
          </w:tcPr>
          <w:p w14:paraId="7F1954C1" w14:textId="77777777" w:rsidR="005E671C" w:rsidRPr="005E671C" w:rsidRDefault="005E671C" w:rsidP="005E671C">
            <w:pPr>
              <w:spacing w:after="0" w:line="240" w:lineRule="auto"/>
              <w:jc w:val="center"/>
              <w:rPr>
                <w:rFonts w:ascii="Tahoma" w:eastAsia="Times New Roman" w:hAnsi="Tahoma" w:cs="Tahoma"/>
                <w:sz w:val="20"/>
                <w:szCs w:val="20"/>
                <w:lang w:eastAsia="hr-HR"/>
              </w:rPr>
            </w:pPr>
            <w:r w:rsidRPr="005E671C">
              <w:rPr>
                <w:rFonts w:ascii="Tahoma" w:eastAsia="Times New Roman" w:hAnsi="Tahoma" w:cs="Tahoma"/>
                <w:sz w:val="20"/>
                <w:szCs w:val="20"/>
                <w:lang w:eastAsia="hr-HR"/>
              </w:rPr>
              <w:t>0</w:t>
            </w:r>
          </w:p>
        </w:tc>
        <w:tc>
          <w:tcPr>
            <w:tcW w:w="698" w:type="dxa"/>
            <w:tcBorders>
              <w:top w:val="nil"/>
              <w:left w:val="nil"/>
              <w:bottom w:val="single" w:sz="4" w:space="0" w:color="auto"/>
              <w:right w:val="single" w:sz="4" w:space="0" w:color="auto"/>
            </w:tcBorders>
            <w:shd w:val="clear" w:color="000000" w:fill="FFFF99"/>
            <w:noWrap/>
            <w:vAlign w:val="center"/>
            <w:hideMark/>
          </w:tcPr>
          <w:p w14:paraId="09D56D3F" w14:textId="77777777" w:rsidR="005E671C" w:rsidRPr="005E671C" w:rsidRDefault="005E671C" w:rsidP="005E671C">
            <w:pPr>
              <w:spacing w:after="0" w:line="240" w:lineRule="auto"/>
              <w:jc w:val="center"/>
              <w:rPr>
                <w:rFonts w:ascii="Tahoma" w:eastAsia="Times New Roman" w:hAnsi="Tahoma" w:cs="Tahoma"/>
                <w:sz w:val="20"/>
                <w:szCs w:val="20"/>
                <w:lang w:eastAsia="hr-HR"/>
              </w:rPr>
            </w:pPr>
            <w:r w:rsidRPr="005E671C">
              <w:rPr>
                <w:rFonts w:ascii="Tahoma" w:eastAsia="Times New Roman" w:hAnsi="Tahoma" w:cs="Tahoma"/>
                <w:sz w:val="20"/>
                <w:szCs w:val="20"/>
                <w:lang w:eastAsia="hr-HR"/>
              </w:rPr>
              <w:t>0</w:t>
            </w:r>
          </w:p>
        </w:tc>
        <w:tc>
          <w:tcPr>
            <w:tcW w:w="698" w:type="dxa"/>
            <w:tcBorders>
              <w:top w:val="nil"/>
              <w:left w:val="nil"/>
              <w:bottom w:val="single" w:sz="4" w:space="0" w:color="auto"/>
              <w:right w:val="single" w:sz="4" w:space="0" w:color="auto"/>
            </w:tcBorders>
            <w:shd w:val="clear" w:color="000000" w:fill="FFFF99"/>
            <w:noWrap/>
            <w:vAlign w:val="center"/>
            <w:hideMark/>
          </w:tcPr>
          <w:p w14:paraId="5BCCCA8C" w14:textId="77777777" w:rsidR="005E671C" w:rsidRPr="005E671C" w:rsidRDefault="005E671C" w:rsidP="005E671C">
            <w:pPr>
              <w:spacing w:after="0" w:line="240" w:lineRule="auto"/>
              <w:jc w:val="center"/>
              <w:rPr>
                <w:rFonts w:ascii="Tahoma" w:eastAsia="Times New Roman" w:hAnsi="Tahoma" w:cs="Tahoma"/>
                <w:sz w:val="20"/>
                <w:szCs w:val="20"/>
                <w:lang w:eastAsia="hr-HR"/>
              </w:rPr>
            </w:pPr>
            <w:r w:rsidRPr="005E671C">
              <w:rPr>
                <w:rFonts w:ascii="Tahoma" w:eastAsia="Times New Roman" w:hAnsi="Tahoma" w:cs="Tahoma"/>
                <w:sz w:val="20"/>
                <w:szCs w:val="20"/>
                <w:lang w:eastAsia="hr-HR"/>
              </w:rPr>
              <w:t>0</w:t>
            </w:r>
          </w:p>
        </w:tc>
        <w:tc>
          <w:tcPr>
            <w:tcW w:w="698" w:type="dxa"/>
            <w:tcBorders>
              <w:top w:val="nil"/>
              <w:left w:val="nil"/>
              <w:bottom w:val="single" w:sz="4" w:space="0" w:color="auto"/>
              <w:right w:val="single" w:sz="4" w:space="0" w:color="auto"/>
            </w:tcBorders>
            <w:shd w:val="clear" w:color="000000" w:fill="FFFF99"/>
            <w:noWrap/>
            <w:vAlign w:val="center"/>
            <w:hideMark/>
          </w:tcPr>
          <w:p w14:paraId="5A8353B2" w14:textId="77777777" w:rsidR="005E671C" w:rsidRPr="005E671C" w:rsidRDefault="005E671C" w:rsidP="005E671C">
            <w:pPr>
              <w:spacing w:after="0" w:line="240" w:lineRule="auto"/>
              <w:jc w:val="center"/>
              <w:rPr>
                <w:rFonts w:ascii="Tahoma" w:eastAsia="Times New Roman" w:hAnsi="Tahoma" w:cs="Tahoma"/>
                <w:sz w:val="20"/>
                <w:szCs w:val="20"/>
                <w:lang w:eastAsia="hr-HR"/>
              </w:rPr>
            </w:pPr>
            <w:r w:rsidRPr="005E671C">
              <w:rPr>
                <w:rFonts w:ascii="Tahoma" w:eastAsia="Times New Roman" w:hAnsi="Tahoma" w:cs="Tahoma"/>
                <w:sz w:val="20"/>
                <w:szCs w:val="20"/>
                <w:lang w:eastAsia="hr-HR"/>
              </w:rPr>
              <w:t>0</w:t>
            </w:r>
          </w:p>
        </w:tc>
        <w:tc>
          <w:tcPr>
            <w:tcW w:w="493" w:type="dxa"/>
            <w:tcBorders>
              <w:top w:val="nil"/>
              <w:left w:val="nil"/>
              <w:bottom w:val="single" w:sz="4" w:space="0" w:color="auto"/>
              <w:right w:val="single" w:sz="4" w:space="0" w:color="auto"/>
            </w:tcBorders>
            <w:shd w:val="clear" w:color="000000" w:fill="FF9900"/>
            <w:noWrap/>
            <w:vAlign w:val="center"/>
            <w:hideMark/>
          </w:tcPr>
          <w:p w14:paraId="7B2EB0A6" w14:textId="77777777" w:rsidR="005E671C" w:rsidRPr="005E671C" w:rsidRDefault="005E671C" w:rsidP="005E671C">
            <w:pPr>
              <w:spacing w:after="0" w:line="240" w:lineRule="auto"/>
              <w:jc w:val="center"/>
              <w:rPr>
                <w:rFonts w:ascii="Tahoma" w:eastAsia="Times New Roman" w:hAnsi="Tahoma" w:cs="Tahoma"/>
                <w:sz w:val="20"/>
                <w:szCs w:val="20"/>
                <w:lang w:eastAsia="hr-HR"/>
              </w:rPr>
            </w:pPr>
            <w:r w:rsidRPr="005E671C">
              <w:rPr>
                <w:rFonts w:ascii="Tahoma" w:eastAsia="Times New Roman" w:hAnsi="Tahoma" w:cs="Tahoma"/>
                <w:sz w:val="20"/>
                <w:szCs w:val="20"/>
                <w:lang w:eastAsia="hr-HR"/>
              </w:rPr>
              <w:t>0</w:t>
            </w:r>
          </w:p>
        </w:tc>
        <w:tc>
          <w:tcPr>
            <w:tcW w:w="469" w:type="dxa"/>
            <w:tcBorders>
              <w:top w:val="nil"/>
              <w:left w:val="nil"/>
              <w:bottom w:val="single" w:sz="4" w:space="0" w:color="auto"/>
              <w:right w:val="single" w:sz="4" w:space="0" w:color="auto"/>
            </w:tcBorders>
            <w:shd w:val="clear" w:color="000000" w:fill="FF9900"/>
            <w:noWrap/>
            <w:vAlign w:val="center"/>
            <w:hideMark/>
          </w:tcPr>
          <w:p w14:paraId="493BBA1A" w14:textId="77777777" w:rsidR="005E671C" w:rsidRPr="005E671C" w:rsidRDefault="005E671C" w:rsidP="005E671C">
            <w:pPr>
              <w:spacing w:after="0" w:line="240" w:lineRule="auto"/>
              <w:jc w:val="center"/>
              <w:rPr>
                <w:rFonts w:ascii="Tahoma" w:eastAsia="Times New Roman" w:hAnsi="Tahoma" w:cs="Tahoma"/>
                <w:sz w:val="20"/>
                <w:szCs w:val="20"/>
                <w:lang w:eastAsia="hr-HR"/>
              </w:rPr>
            </w:pPr>
            <w:r w:rsidRPr="005E671C">
              <w:rPr>
                <w:rFonts w:ascii="Tahoma" w:eastAsia="Times New Roman" w:hAnsi="Tahoma" w:cs="Tahoma"/>
                <w:sz w:val="20"/>
                <w:szCs w:val="20"/>
                <w:lang w:eastAsia="hr-HR"/>
              </w:rPr>
              <w:t>0</w:t>
            </w:r>
          </w:p>
        </w:tc>
        <w:tc>
          <w:tcPr>
            <w:tcW w:w="467" w:type="dxa"/>
            <w:tcBorders>
              <w:top w:val="nil"/>
              <w:left w:val="nil"/>
              <w:bottom w:val="single" w:sz="4" w:space="0" w:color="auto"/>
              <w:right w:val="single" w:sz="4" w:space="0" w:color="auto"/>
            </w:tcBorders>
            <w:shd w:val="clear" w:color="000000" w:fill="FF9900"/>
            <w:noWrap/>
            <w:vAlign w:val="center"/>
            <w:hideMark/>
          </w:tcPr>
          <w:p w14:paraId="135F6392" w14:textId="77777777" w:rsidR="005E671C" w:rsidRPr="005E671C" w:rsidRDefault="005E671C" w:rsidP="005E671C">
            <w:pPr>
              <w:spacing w:after="0" w:line="240" w:lineRule="auto"/>
              <w:jc w:val="center"/>
              <w:rPr>
                <w:rFonts w:ascii="Tahoma" w:eastAsia="Times New Roman" w:hAnsi="Tahoma" w:cs="Tahoma"/>
                <w:sz w:val="20"/>
                <w:szCs w:val="20"/>
                <w:lang w:eastAsia="hr-HR"/>
              </w:rPr>
            </w:pPr>
            <w:r w:rsidRPr="005E671C">
              <w:rPr>
                <w:rFonts w:ascii="Tahoma" w:eastAsia="Times New Roman" w:hAnsi="Tahoma" w:cs="Tahoma"/>
                <w:sz w:val="20"/>
                <w:szCs w:val="20"/>
                <w:lang w:eastAsia="hr-HR"/>
              </w:rPr>
              <w:t>0</w:t>
            </w:r>
          </w:p>
        </w:tc>
        <w:tc>
          <w:tcPr>
            <w:tcW w:w="567" w:type="dxa"/>
            <w:tcBorders>
              <w:top w:val="nil"/>
              <w:left w:val="nil"/>
              <w:bottom w:val="single" w:sz="4" w:space="0" w:color="auto"/>
              <w:right w:val="single" w:sz="4" w:space="0" w:color="auto"/>
            </w:tcBorders>
            <w:shd w:val="clear" w:color="000000" w:fill="FFFF00"/>
            <w:vAlign w:val="center"/>
            <w:hideMark/>
          </w:tcPr>
          <w:p w14:paraId="4D7B8FA3" w14:textId="77777777" w:rsidR="005E671C" w:rsidRPr="005E671C" w:rsidRDefault="005E671C" w:rsidP="005E671C">
            <w:pPr>
              <w:spacing w:after="0" w:line="240" w:lineRule="auto"/>
              <w:jc w:val="center"/>
              <w:rPr>
                <w:rFonts w:ascii="Tahoma" w:eastAsia="Times New Roman" w:hAnsi="Tahoma" w:cs="Tahoma"/>
                <w:sz w:val="20"/>
                <w:szCs w:val="20"/>
                <w:lang w:eastAsia="hr-HR"/>
              </w:rPr>
            </w:pPr>
            <w:r w:rsidRPr="005E671C">
              <w:rPr>
                <w:rFonts w:ascii="Tahoma" w:eastAsia="Times New Roman" w:hAnsi="Tahoma" w:cs="Tahoma"/>
                <w:sz w:val="20"/>
                <w:szCs w:val="20"/>
                <w:lang w:eastAsia="hr-HR"/>
              </w:rPr>
              <w:t>0</w:t>
            </w:r>
          </w:p>
        </w:tc>
        <w:tc>
          <w:tcPr>
            <w:tcW w:w="542" w:type="dxa"/>
            <w:tcBorders>
              <w:top w:val="nil"/>
              <w:left w:val="nil"/>
              <w:bottom w:val="single" w:sz="4" w:space="0" w:color="auto"/>
              <w:right w:val="single" w:sz="4" w:space="0" w:color="auto"/>
            </w:tcBorders>
            <w:shd w:val="clear" w:color="000000" w:fill="FF9900"/>
            <w:vAlign w:val="center"/>
            <w:hideMark/>
          </w:tcPr>
          <w:p w14:paraId="18423184" w14:textId="77777777" w:rsidR="005E671C" w:rsidRPr="005E671C" w:rsidRDefault="005E671C" w:rsidP="005E671C">
            <w:pPr>
              <w:spacing w:after="0" w:line="240" w:lineRule="auto"/>
              <w:jc w:val="center"/>
              <w:rPr>
                <w:rFonts w:ascii="Tahoma" w:eastAsia="Times New Roman" w:hAnsi="Tahoma" w:cs="Tahoma"/>
                <w:sz w:val="20"/>
                <w:szCs w:val="20"/>
                <w:lang w:eastAsia="hr-HR"/>
              </w:rPr>
            </w:pPr>
            <w:r w:rsidRPr="005E671C">
              <w:rPr>
                <w:rFonts w:ascii="Tahoma" w:eastAsia="Times New Roman" w:hAnsi="Tahoma" w:cs="Tahoma"/>
                <w:sz w:val="20"/>
                <w:szCs w:val="20"/>
                <w:lang w:eastAsia="hr-HR"/>
              </w:rPr>
              <w:t>2</w:t>
            </w:r>
          </w:p>
        </w:tc>
        <w:tc>
          <w:tcPr>
            <w:tcW w:w="441" w:type="dxa"/>
            <w:tcBorders>
              <w:top w:val="nil"/>
              <w:left w:val="nil"/>
              <w:bottom w:val="single" w:sz="4" w:space="0" w:color="auto"/>
              <w:right w:val="single" w:sz="4" w:space="0" w:color="auto"/>
            </w:tcBorders>
            <w:shd w:val="clear" w:color="000000" w:fill="FF9900"/>
            <w:noWrap/>
            <w:vAlign w:val="center"/>
            <w:hideMark/>
          </w:tcPr>
          <w:p w14:paraId="3E724B80" w14:textId="77777777" w:rsidR="005E671C" w:rsidRPr="005E671C" w:rsidRDefault="005E671C" w:rsidP="005E671C">
            <w:pPr>
              <w:spacing w:after="0" w:line="240" w:lineRule="auto"/>
              <w:jc w:val="center"/>
              <w:rPr>
                <w:rFonts w:ascii="Tahoma" w:eastAsia="Times New Roman" w:hAnsi="Tahoma" w:cs="Tahoma"/>
                <w:sz w:val="20"/>
                <w:szCs w:val="20"/>
                <w:lang w:eastAsia="hr-HR"/>
              </w:rPr>
            </w:pPr>
            <w:r w:rsidRPr="005E671C">
              <w:rPr>
                <w:rFonts w:ascii="Tahoma" w:eastAsia="Times New Roman" w:hAnsi="Tahoma" w:cs="Tahoma"/>
                <w:sz w:val="20"/>
                <w:szCs w:val="20"/>
                <w:lang w:eastAsia="hr-HR"/>
              </w:rPr>
              <w:t>0</w:t>
            </w:r>
          </w:p>
        </w:tc>
        <w:tc>
          <w:tcPr>
            <w:tcW w:w="426" w:type="dxa"/>
            <w:tcBorders>
              <w:top w:val="nil"/>
              <w:left w:val="nil"/>
              <w:bottom w:val="single" w:sz="4" w:space="0" w:color="auto"/>
              <w:right w:val="single" w:sz="4" w:space="0" w:color="auto"/>
            </w:tcBorders>
            <w:shd w:val="clear" w:color="000000" w:fill="FF9900"/>
            <w:noWrap/>
            <w:vAlign w:val="center"/>
            <w:hideMark/>
          </w:tcPr>
          <w:p w14:paraId="41C75055" w14:textId="77777777" w:rsidR="005E671C" w:rsidRPr="005E671C" w:rsidRDefault="005E671C" w:rsidP="005E671C">
            <w:pPr>
              <w:spacing w:after="0" w:line="240" w:lineRule="auto"/>
              <w:jc w:val="center"/>
              <w:rPr>
                <w:rFonts w:ascii="Tahoma" w:eastAsia="Times New Roman" w:hAnsi="Tahoma" w:cs="Tahoma"/>
                <w:sz w:val="20"/>
                <w:szCs w:val="20"/>
                <w:lang w:eastAsia="hr-HR"/>
              </w:rPr>
            </w:pPr>
            <w:r w:rsidRPr="005E671C">
              <w:rPr>
                <w:rFonts w:ascii="Tahoma" w:eastAsia="Times New Roman" w:hAnsi="Tahoma" w:cs="Tahoma"/>
                <w:sz w:val="20"/>
                <w:szCs w:val="20"/>
                <w:lang w:eastAsia="hr-HR"/>
              </w:rPr>
              <w:t>0</w:t>
            </w:r>
          </w:p>
        </w:tc>
        <w:tc>
          <w:tcPr>
            <w:tcW w:w="854" w:type="dxa"/>
            <w:tcBorders>
              <w:top w:val="nil"/>
              <w:left w:val="nil"/>
              <w:bottom w:val="single" w:sz="4" w:space="0" w:color="auto"/>
              <w:right w:val="single" w:sz="4" w:space="0" w:color="auto"/>
            </w:tcBorders>
            <w:shd w:val="clear" w:color="000000" w:fill="FF9900"/>
            <w:noWrap/>
            <w:vAlign w:val="center"/>
            <w:hideMark/>
          </w:tcPr>
          <w:p w14:paraId="166196C3" w14:textId="77777777" w:rsidR="005E671C" w:rsidRPr="005E671C" w:rsidRDefault="005E671C" w:rsidP="005E671C">
            <w:pPr>
              <w:spacing w:after="0" w:line="240" w:lineRule="auto"/>
              <w:jc w:val="center"/>
              <w:rPr>
                <w:rFonts w:ascii="Tahoma" w:eastAsia="Times New Roman" w:hAnsi="Tahoma" w:cs="Tahoma"/>
                <w:sz w:val="20"/>
                <w:szCs w:val="20"/>
                <w:lang w:eastAsia="hr-HR"/>
              </w:rPr>
            </w:pPr>
            <w:r w:rsidRPr="005E671C">
              <w:rPr>
                <w:rFonts w:ascii="Tahoma" w:eastAsia="Times New Roman" w:hAnsi="Tahoma" w:cs="Tahoma"/>
                <w:sz w:val="20"/>
                <w:szCs w:val="20"/>
                <w:lang w:eastAsia="hr-HR"/>
              </w:rPr>
              <w:t>0</w:t>
            </w:r>
          </w:p>
        </w:tc>
        <w:tc>
          <w:tcPr>
            <w:tcW w:w="440" w:type="dxa"/>
            <w:tcBorders>
              <w:top w:val="nil"/>
              <w:left w:val="nil"/>
              <w:bottom w:val="single" w:sz="4" w:space="0" w:color="auto"/>
              <w:right w:val="single" w:sz="4" w:space="0" w:color="auto"/>
            </w:tcBorders>
            <w:shd w:val="clear" w:color="000000" w:fill="CCFFFF"/>
            <w:noWrap/>
            <w:vAlign w:val="center"/>
            <w:hideMark/>
          </w:tcPr>
          <w:p w14:paraId="38E16E10" w14:textId="77777777" w:rsidR="005E671C" w:rsidRPr="005E671C" w:rsidRDefault="005E671C" w:rsidP="005E671C">
            <w:pPr>
              <w:spacing w:after="0" w:line="240" w:lineRule="auto"/>
              <w:jc w:val="center"/>
              <w:rPr>
                <w:rFonts w:ascii="Tahoma" w:eastAsia="Times New Roman" w:hAnsi="Tahoma" w:cs="Tahoma"/>
                <w:sz w:val="20"/>
                <w:szCs w:val="20"/>
                <w:lang w:eastAsia="hr-HR"/>
              </w:rPr>
            </w:pPr>
            <w:r w:rsidRPr="005E671C">
              <w:rPr>
                <w:rFonts w:ascii="Tahoma" w:eastAsia="Times New Roman" w:hAnsi="Tahoma" w:cs="Tahoma"/>
                <w:sz w:val="20"/>
                <w:szCs w:val="20"/>
                <w:lang w:eastAsia="hr-HR"/>
              </w:rPr>
              <w:t>0</w:t>
            </w:r>
          </w:p>
        </w:tc>
        <w:tc>
          <w:tcPr>
            <w:tcW w:w="408" w:type="dxa"/>
            <w:tcBorders>
              <w:top w:val="nil"/>
              <w:left w:val="nil"/>
              <w:bottom w:val="single" w:sz="4" w:space="0" w:color="auto"/>
              <w:right w:val="single" w:sz="4" w:space="0" w:color="auto"/>
            </w:tcBorders>
            <w:shd w:val="clear" w:color="000000" w:fill="CCFFFF"/>
            <w:noWrap/>
            <w:vAlign w:val="center"/>
            <w:hideMark/>
          </w:tcPr>
          <w:p w14:paraId="3B4830A2" w14:textId="77777777" w:rsidR="005E671C" w:rsidRPr="005E671C" w:rsidRDefault="005E671C" w:rsidP="005E671C">
            <w:pPr>
              <w:spacing w:after="0" w:line="240" w:lineRule="auto"/>
              <w:jc w:val="center"/>
              <w:rPr>
                <w:rFonts w:ascii="Tahoma" w:eastAsia="Times New Roman" w:hAnsi="Tahoma" w:cs="Tahoma"/>
                <w:sz w:val="20"/>
                <w:szCs w:val="20"/>
                <w:lang w:eastAsia="hr-HR"/>
              </w:rPr>
            </w:pPr>
            <w:r w:rsidRPr="005E671C">
              <w:rPr>
                <w:rFonts w:ascii="Tahoma" w:eastAsia="Times New Roman" w:hAnsi="Tahoma" w:cs="Tahoma"/>
                <w:sz w:val="20"/>
                <w:szCs w:val="20"/>
                <w:lang w:eastAsia="hr-HR"/>
              </w:rPr>
              <w:t>0</w:t>
            </w:r>
          </w:p>
        </w:tc>
        <w:tc>
          <w:tcPr>
            <w:tcW w:w="433" w:type="dxa"/>
            <w:tcBorders>
              <w:top w:val="nil"/>
              <w:left w:val="nil"/>
              <w:bottom w:val="single" w:sz="4" w:space="0" w:color="auto"/>
              <w:right w:val="single" w:sz="4" w:space="0" w:color="auto"/>
            </w:tcBorders>
            <w:shd w:val="clear" w:color="000000" w:fill="CCFFFF"/>
            <w:noWrap/>
            <w:vAlign w:val="center"/>
            <w:hideMark/>
          </w:tcPr>
          <w:p w14:paraId="5B7E8201" w14:textId="77777777" w:rsidR="005E671C" w:rsidRPr="005E671C" w:rsidRDefault="005E671C" w:rsidP="005E671C">
            <w:pPr>
              <w:spacing w:after="0" w:line="240" w:lineRule="auto"/>
              <w:jc w:val="center"/>
              <w:rPr>
                <w:rFonts w:ascii="Tahoma" w:eastAsia="Times New Roman" w:hAnsi="Tahoma" w:cs="Tahoma"/>
                <w:sz w:val="20"/>
                <w:szCs w:val="20"/>
                <w:lang w:eastAsia="hr-HR"/>
              </w:rPr>
            </w:pPr>
            <w:r w:rsidRPr="005E671C">
              <w:rPr>
                <w:rFonts w:ascii="Tahoma" w:eastAsia="Times New Roman" w:hAnsi="Tahoma" w:cs="Tahoma"/>
                <w:sz w:val="20"/>
                <w:szCs w:val="20"/>
                <w:lang w:eastAsia="hr-HR"/>
              </w:rPr>
              <w:t>0</w:t>
            </w:r>
          </w:p>
        </w:tc>
        <w:tc>
          <w:tcPr>
            <w:tcW w:w="425" w:type="dxa"/>
            <w:tcBorders>
              <w:top w:val="nil"/>
              <w:left w:val="nil"/>
              <w:bottom w:val="single" w:sz="4" w:space="0" w:color="auto"/>
              <w:right w:val="single" w:sz="8" w:space="0" w:color="auto"/>
            </w:tcBorders>
            <w:shd w:val="clear" w:color="000000" w:fill="33CCCC"/>
            <w:noWrap/>
            <w:vAlign w:val="center"/>
            <w:hideMark/>
          </w:tcPr>
          <w:p w14:paraId="1F4E4153" w14:textId="77777777" w:rsidR="005E671C" w:rsidRPr="005E671C" w:rsidRDefault="005E671C" w:rsidP="005E671C">
            <w:pPr>
              <w:spacing w:after="0" w:line="240" w:lineRule="auto"/>
              <w:jc w:val="center"/>
              <w:rPr>
                <w:rFonts w:ascii="Tahoma" w:eastAsia="Times New Roman" w:hAnsi="Tahoma" w:cs="Tahoma"/>
                <w:sz w:val="20"/>
                <w:szCs w:val="20"/>
                <w:lang w:eastAsia="hr-HR"/>
              </w:rPr>
            </w:pPr>
            <w:r w:rsidRPr="005E671C">
              <w:rPr>
                <w:rFonts w:ascii="Tahoma" w:eastAsia="Times New Roman" w:hAnsi="Tahoma" w:cs="Tahoma"/>
                <w:sz w:val="20"/>
                <w:szCs w:val="20"/>
                <w:lang w:eastAsia="hr-HR"/>
              </w:rPr>
              <w:t>0</w:t>
            </w:r>
          </w:p>
        </w:tc>
        <w:tc>
          <w:tcPr>
            <w:tcW w:w="567" w:type="dxa"/>
            <w:tcBorders>
              <w:top w:val="nil"/>
              <w:left w:val="single" w:sz="4" w:space="0" w:color="auto"/>
              <w:bottom w:val="single" w:sz="4" w:space="0" w:color="auto"/>
              <w:right w:val="single" w:sz="8" w:space="0" w:color="auto"/>
            </w:tcBorders>
            <w:shd w:val="clear" w:color="000000" w:fill="33CCCC"/>
            <w:noWrap/>
            <w:vAlign w:val="center"/>
            <w:hideMark/>
          </w:tcPr>
          <w:p w14:paraId="182CC247" w14:textId="77777777" w:rsidR="005E671C" w:rsidRPr="005E671C" w:rsidRDefault="005E671C" w:rsidP="005E671C">
            <w:pPr>
              <w:spacing w:after="0" w:line="240" w:lineRule="auto"/>
              <w:jc w:val="center"/>
              <w:rPr>
                <w:rFonts w:ascii="Tahoma" w:eastAsia="Times New Roman" w:hAnsi="Tahoma" w:cs="Tahoma"/>
                <w:sz w:val="20"/>
                <w:szCs w:val="20"/>
                <w:lang w:eastAsia="hr-HR"/>
              </w:rPr>
            </w:pPr>
            <w:r w:rsidRPr="005E671C">
              <w:rPr>
                <w:rFonts w:ascii="Tahoma" w:eastAsia="Times New Roman" w:hAnsi="Tahoma" w:cs="Tahoma"/>
                <w:sz w:val="20"/>
                <w:szCs w:val="20"/>
                <w:lang w:eastAsia="hr-HR"/>
              </w:rPr>
              <w:t>0</w:t>
            </w:r>
          </w:p>
        </w:tc>
        <w:tc>
          <w:tcPr>
            <w:tcW w:w="237" w:type="dxa"/>
            <w:gridSpan w:val="2"/>
            <w:vAlign w:val="center"/>
            <w:hideMark/>
          </w:tcPr>
          <w:p w14:paraId="0825EF52" w14:textId="77777777" w:rsidR="005E671C" w:rsidRPr="005E671C" w:rsidRDefault="005E671C" w:rsidP="005E671C">
            <w:pPr>
              <w:spacing w:after="0" w:line="240" w:lineRule="auto"/>
              <w:rPr>
                <w:rFonts w:ascii="Times New Roman" w:eastAsia="Times New Roman" w:hAnsi="Times New Roman" w:cs="Times New Roman"/>
                <w:sz w:val="20"/>
                <w:szCs w:val="20"/>
                <w:lang w:eastAsia="hr-HR"/>
              </w:rPr>
            </w:pPr>
          </w:p>
        </w:tc>
      </w:tr>
      <w:tr w:rsidR="005E671C" w:rsidRPr="005E671C" w14:paraId="08C6FB31" w14:textId="77777777" w:rsidTr="001752B7">
        <w:trPr>
          <w:gridAfter w:val="1"/>
          <w:wAfter w:w="51" w:type="dxa"/>
          <w:trHeight w:val="300"/>
        </w:trPr>
        <w:tc>
          <w:tcPr>
            <w:tcW w:w="1550" w:type="dxa"/>
            <w:tcBorders>
              <w:top w:val="single" w:sz="4" w:space="0" w:color="auto"/>
              <w:left w:val="single" w:sz="8" w:space="0" w:color="auto"/>
              <w:bottom w:val="single" w:sz="4" w:space="0" w:color="auto"/>
              <w:right w:val="single" w:sz="4" w:space="0" w:color="auto"/>
            </w:tcBorders>
            <w:shd w:val="clear" w:color="000000" w:fill="CCFFCC"/>
            <w:vAlign w:val="center"/>
            <w:hideMark/>
          </w:tcPr>
          <w:p w14:paraId="5ECCAB34" w14:textId="77777777" w:rsidR="005E671C" w:rsidRPr="005E671C" w:rsidRDefault="005E671C" w:rsidP="005E671C">
            <w:pPr>
              <w:spacing w:after="0" w:line="240" w:lineRule="auto"/>
              <w:rPr>
                <w:rFonts w:ascii="Tahoma" w:eastAsia="Times New Roman" w:hAnsi="Tahoma" w:cs="Tahoma"/>
                <w:sz w:val="20"/>
                <w:szCs w:val="20"/>
                <w:lang w:eastAsia="hr-HR"/>
              </w:rPr>
            </w:pPr>
            <w:r w:rsidRPr="005E671C">
              <w:rPr>
                <w:rFonts w:ascii="Tahoma" w:eastAsia="Times New Roman" w:hAnsi="Tahoma" w:cs="Tahoma"/>
                <w:sz w:val="20"/>
                <w:szCs w:val="20"/>
                <w:lang w:eastAsia="hr-HR"/>
              </w:rPr>
              <w:t>Članstvo u sindikatu</w:t>
            </w:r>
          </w:p>
        </w:tc>
        <w:tc>
          <w:tcPr>
            <w:tcW w:w="669" w:type="dxa"/>
            <w:tcBorders>
              <w:top w:val="nil"/>
              <w:left w:val="nil"/>
              <w:bottom w:val="single" w:sz="4" w:space="0" w:color="auto"/>
              <w:right w:val="single" w:sz="4" w:space="0" w:color="auto"/>
            </w:tcBorders>
            <w:shd w:val="clear" w:color="000000" w:fill="FFCC99"/>
            <w:noWrap/>
            <w:vAlign w:val="center"/>
            <w:hideMark/>
          </w:tcPr>
          <w:p w14:paraId="6CD0DB41" w14:textId="77777777" w:rsidR="005E671C" w:rsidRPr="005E671C" w:rsidRDefault="005E671C" w:rsidP="005E671C">
            <w:pPr>
              <w:spacing w:after="0" w:line="240" w:lineRule="auto"/>
              <w:jc w:val="center"/>
              <w:rPr>
                <w:rFonts w:ascii="Tahoma" w:eastAsia="Times New Roman" w:hAnsi="Tahoma" w:cs="Tahoma"/>
                <w:sz w:val="20"/>
                <w:szCs w:val="20"/>
                <w:lang w:eastAsia="hr-HR"/>
              </w:rPr>
            </w:pPr>
            <w:r w:rsidRPr="005E671C">
              <w:rPr>
                <w:rFonts w:ascii="Tahoma" w:eastAsia="Times New Roman" w:hAnsi="Tahoma" w:cs="Tahoma"/>
                <w:sz w:val="20"/>
                <w:szCs w:val="20"/>
                <w:lang w:eastAsia="hr-HR"/>
              </w:rPr>
              <w:t>16</w:t>
            </w:r>
          </w:p>
        </w:tc>
        <w:tc>
          <w:tcPr>
            <w:tcW w:w="352" w:type="dxa"/>
            <w:tcBorders>
              <w:top w:val="nil"/>
              <w:left w:val="nil"/>
              <w:bottom w:val="single" w:sz="4" w:space="0" w:color="auto"/>
              <w:right w:val="single" w:sz="4" w:space="0" w:color="auto"/>
            </w:tcBorders>
            <w:shd w:val="clear" w:color="000000" w:fill="FFFF00"/>
            <w:noWrap/>
            <w:vAlign w:val="center"/>
            <w:hideMark/>
          </w:tcPr>
          <w:p w14:paraId="23784600" w14:textId="77777777" w:rsidR="005E671C" w:rsidRPr="005E671C" w:rsidRDefault="005E671C" w:rsidP="005E671C">
            <w:pPr>
              <w:spacing w:after="0" w:line="240" w:lineRule="auto"/>
              <w:jc w:val="center"/>
              <w:rPr>
                <w:rFonts w:ascii="Tahoma" w:eastAsia="Times New Roman" w:hAnsi="Tahoma" w:cs="Tahoma"/>
                <w:sz w:val="20"/>
                <w:szCs w:val="20"/>
                <w:lang w:eastAsia="hr-HR"/>
              </w:rPr>
            </w:pPr>
            <w:r w:rsidRPr="005E671C">
              <w:rPr>
                <w:rFonts w:ascii="Tahoma" w:eastAsia="Times New Roman" w:hAnsi="Tahoma" w:cs="Tahoma"/>
                <w:sz w:val="20"/>
                <w:szCs w:val="20"/>
                <w:lang w:eastAsia="hr-HR"/>
              </w:rPr>
              <w:t>5</w:t>
            </w:r>
          </w:p>
        </w:tc>
        <w:tc>
          <w:tcPr>
            <w:tcW w:w="574" w:type="dxa"/>
            <w:tcBorders>
              <w:top w:val="nil"/>
              <w:left w:val="nil"/>
              <w:bottom w:val="single" w:sz="4" w:space="0" w:color="auto"/>
              <w:right w:val="single" w:sz="4" w:space="0" w:color="auto"/>
            </w:tcBorders>
            <w:shd w:val="clear" w:color="000000" w:fill="CCFFFF"/>
            <w:noWrap/>
            <w:vAlign w:val="center"/>
            <w:hideMark/>
          </w:tcPr>
          <w:p w14:paraId="58222B5D" w14:textId="77777777" w:rsidR="005E671C" w:rsidRPr="005E671C" w:rsidRDefault="005E671C" w:rsidP="005E671C">
            <w:pPr>
              <w:spacing w:after="0" w:line="240" w:lineRule="auto"/>
              <w:jc w:val="center"/>
              <w:rPr>
                <w:rFonts w:ascii="Tahoma" w:eastAsia="Times New Roman" w:hAnsi="Tahoma" w:cs="Tahoma"/>
                <w:sz w:val="20"/>
                <w:szCs w:val="20"/>
                <w:lang w:eastAsia="hr-HR"/>
              </w:rPr>
            </w:pPr>
            <w:r w:rsidRPr="005E671C">
              <w:rPr>
                <w:rFonts w:ascii="Tahoma" w:eastAsia="Times New Roman" w:hAnsi="Tahoma" w:cs="Tahoma"/>
                <w:sz w:val="20"/>
                <w:szCs w:val="20"/>
                <w:lang w:eastAsia="hr-HR"/>
              </w:rPr>
              <w:t>3</w:t>
            </w:r>
          </w:p>
        </w:tc>
        <w:tc>
          <w:tcPr>
            <w:tcW w:w="440" w:type="dxa"/>
            <w:tcBorders>
              <w:top w:val="nil"/>
              <w:left w:val="nil"/>
              <w:bottom w:val="single" w:sz="4" w:space="0" w:color="auto"/>
              <w:right w:val="single" w:sz="4" w:space="0" w:color="auto"/>
            </w:tcBorders>
            <w:shd w:val="clear" w:color="000000" w:fill="CCFFFF"/>
            <w:noWrap/>
            <w:vAlign w:val="center"/>
            <w:hideMark/>
          </w:tcPr>
          <w:p w14:paraId="31E685EC" w14:textId="77777777" w:rsidR="005E671C" w:rsidRPr="005E671C" w:rsidRDefault="005E671C" w:rsidP="005E671C">
            <w:pPr>
              <w:spacing w:after="0" w:line="240" w:lineRule="auto"/>
              <w:jc w:val="center"/>
              <w:rPr>
                <w:rFonts w:ascii="Tahoma" w:eastAsia="Times New Roman" w:hAnsi="Tahoma" w:cs="Tahoma"/>
                <w:sz w:val="20"/>
                <w:szCs w:val="20"/>
                <w:lang w:eastAsia="hr-HR"/>
              </w:rPr>
            </w:pPr>
            <w:r w:rsidRPr="005E671C">
              <w:rPr>
                <w:rFonts w:ascii="Tahoma" w:eastAsia="Times New Roman" w:hAnsi="Tahoma" w:cs="Tahoma"/>
                <w:sz w:val="20"/>
                <w:szCs w:val="20"/>
                <w:lang w:eastAsia="hr-HR"/>
              </w:rPr>
              <w:t>6</w:t>
            </w:r>
          </w:p>
        </w:tc>
        <w:tc>
          <w:tcPr>
            <w:tcW w:w="700" w:type="dxa"/>
            <w:tcBorders>
              <w:top w:val="nil"/>
              <w:left w:val="nil"/>
              <w:bottom w:val="single" w:sz="4" w:space="0" w:color="auto"/>
              <w:right w:val="single" w:sz="4" w:space="0" w:color="auto"/>
            </w:tcBorders>
            <w:shd w:val="clear" w:color="000000" w:fill="FFFF99"/>
            <w:noWrap/>
            <w:vAlign w:val="center"/>
            <w:hideMark/>
          </w:tcPr>
          <w:p w14:paraId="73AC813A" w14:textId="77777777" w:rsidR="005E671C" w:rsidRPr="005E671C" w:rsidRDefault="005E671C" w:rsidP="005E671C">
            <w:pPr>
              <w:spacing w:after="0" w:line="240" w:lineRule="auto"/>
              <w:jc w:val="center"/>
              <w:rPr>
                <w:rFonts w:ascii="Tahoma" w:eastAsia="Times New Roman" w:hAnsi="Tahoma" w:cs="Tahoma"/>
                <w:sz w:val="20"/>
                <w:szCs w:val="20"/>
                <w:lang w:eastAsia="hr-HR"/>
              </w:rPr>
            </w:pPr>
            <w:r w:rsidRPr="005E671C">
              <w:rPr>
                <w:rFonts w:ascii="Tahoma" w:eastAsia="Times New Roman" w:hAnsi="Tahoma" w:cs="Tahoma"/>
                <w:sz w:val="20"/>
                <w:szCs w:val="20"/>
                <w:lang w:eastAsia="hr-HR"/>
              </w:rPr>
              <w:t>4</w:t>
            </w:r>
          </w:p>
        </w:tc>
        <w:tc>
          <w:tcPr>
            <w:tcW w:w="698" w:type="dxa"/>
            <w:tcBorders>
              <w:top w:val="nil"/>
              <w:left w:val="nil"/>
              <w:bottom w:val="single" w:sz="4" w:space="0" w:color="auto"/>
              <w:right w:val="single" w:sz="4" w:space="0" w:color="auto"/>
            </w:tcBorders>
            <w:shd w:val="clear" w:color="000000" w:fill="FFFF99"/>
            <w:noWrap/>
            <w:vAlign w:val="center"/>
            <w:hideMark/>
          </w:tcPr>
          <w:p w14:paraId="3BE68DC0" w14:textId="77777777" w:rsidR="005E671C" w:rsidRPr="005E671C" w:rsidRDefault="005E671C" w:rsidP="005E671C">
            <w:pPr>
              <w:spacing w:after="0" w:line="240" w:lineRule="auto"/>
              <w:jc w:val="center"/>
              <w:rPr>
                <w:rFonts w:ascii="Tahoma" w:eastAsia="Times New Roman" w:hAnsi="Tahoma" w:cs="Tahoma"/>
                <w:sz w:val="20"/>
                <w:szCs w:val="20"/>
                <w:lang w:eastAsia="hr-HR"/>
              </w:rPr>
            </w:pPr>
            <w:r w:rsidRPr="005E671C">
              <w:rPr>
                <w:rFonts w:ascii="Tahoma" w:eastAsia="Times New Roman" w:hAnsi="Tahoma" w:cs="Tahoma"/>
                <w:sz w:val="20"/>
                <w:szCs w:val="20"/>
                <w:lang w:eastAsia="hr-HR"/>
              </w:rPr>
              <w:t>1</w:t>
            </w:r>
          </w:p>
        </w:tc>
        <w:tc>
          <w:tcPr>
            <w:tcW w:w="698" w:type="dxa"/>
            <w:tcBorders>
              <w:top w:val="nil"/>
              <w:left w:val="nil"/>
              <w:bottom w:val="single" w:sz="4" w:space="0" w:color="auto"/>
              <w:right w:val="single" w:sz="4" w:space="0" w:color="auto"/>
            </w:tcBorders>
            <w:shd w:val="clear" w:color="000000" w:fill="FFFF99"/>
            <w:noWrap/>
            <w:vAlign w:val="center"/>
            <w:hideMark/>
          </w:tcPr>
          <w:p w14:paraId="16D8C602" w14:textId="77777777" w:rsidR="005E671C" w:rsidRPr="005E671C" w:rsidRDefault="005E671C" w:rsidP="005E671C">
            <w:pPr>
              <w:spacing w:after="0" w:line="240" w:lineRule="auto"/>
              <w:jc w:val="center"/>
              <w:rPr>
                <w:rFonts w:ascii="Tahoma" w:eastAsia="Times New Roman" w:hAnsi="Tahoma" w:cs="Tahoma"/>
                <w:sz w:val="20"/>
                <w:szCs w:val="20"/>
                <w:lang w:eastAsia="hr-HR"/>
              </w:rPr>
            </w:pPr>
            <w:r w:rsidRPr="005E671C">
              <w:rPr>
                <w:rFonts w:ascii="Tahoma" w:eastAsia="Times New Roman" w:hAnsi="Tahoma" w:cs="Tahoma"/>
                <w:sz w:val="20"/>
                <w:szCs w:val="20"/>
                <w:lang w:eastAsia="hr-HR"/>
              </w:rPr>
              <w:t>0</w:t>
            </w:r>
          </w:p>
        </w:tc>
        <w:tc>
          <w:tcPr>
            <w:tcW w:w="698" w:type="dxa"/>
            <w:tcBorders>
              <w:top w:val="nil"/>
              <w:left w:val="nil"/>
              <w:bottom w:val="single" w:sz="4" w:space="0" w:color="auto"/>
              <w:right w:val="single" w:sz="4" w:space="0" w:color="auto"/>
            </w:tcBorders>
            <w:shd w:val="clear" w:color="000000" w:fill="FFFF99"/>
            <w:noWrap/>
            <w:vAlign w:val="center"/>
            <w:hideMark/>
          </w:tcPr>
          <w:p w14:paraId="15310A9A" w14:textId="77777777" w:rsidR="005E671C" w:rsidRPr="005E671C" w:rsidRDefault="005E671C" w:rsidP="005E671C">
            <w:pPr>
              <w:spacing w:after="0" w:line="240" w:lineRule="auto"/>
              <w:jc w:val="center"/>
              <w:rPr>
                <w:rFonts w:ascii="Tahoma" w:eastAsia="Times New Roman" w:hAnsi="Tahoma" w:cs="Tahoma"/>
                <w:sz w:val="20"/>
                <w:szCs w:val="20"/>
                <w:lang w:eastAsia="hr-HR"/>
              </w:rPr>
            </w:pPr>
            <w:r w:rsidRPr="005E671C">
              <w:rPr>
                <w:rFonts w:ascii="Tahoma" w:eastAsia="Times New Roman" w:hAnsi="Tahoma" w:cs="Tahoma"/>
                <w:sz w:val="20"/>
                <w:szCs w:val="20"/>
                <w:lang w:eastAsia="hr-HR"/>
              </w:rPr>
              <w:t>0</w:t>
            </w:r>
          </w:p>
        </w:tc>
        <w:tc>
          <w:tcPr>
            <w:tcW w:w="698" w:type="dxa"/>
            <w:tcBorders>
              <w:top w:val="nil"/>
              <w:left w:val="nil"/>
              <w:bottom w:val="single" w:sz="4" w:space="0" w:color="auto"/>
              <w:right w:val="single" w:sz="4" w:space="0" w:color="auto"/>
            </w:tcBorders>
            <w:shd w:val="clear" w:color="000000" w:fill="FFFF99"/>
            <w:noWrap/>
            <w:vAlign w:val="center"/>
            <w:hideMark/>
          </w:tcPr>
          <w:p w14:paraId="1570818D" w14:textId="77777777" w:rsidR="005E671C" w:rsidRPr="005E671C" w:rsidRDefault="005E671C" w:rsidP="005E671C">
            <w:pPr>
              <w:spacing w:after="0" w:line="240" w:lineRule="auto"/>
              <w:jc w:val="center"/>
              <w:rPr>
                <w:rFonts w:ascii="Tahoma" w:eastAsia="Times New Roman" w:hAnsi="Tahoma" w:cs="Tahoma"/>
                <w:sz w:val="20"/>
                <w:szCs w:val="20"/>
                <w:lang w:eastAsia="hr-HR"/>
              </w:rPr>
            </w:pPr>
            <w:r w:rsidRPr="005E671C">
              <w:rPr>
                <w:rFonts w:ascii="Tahoma" w:eastAsia="Times New Roman" w:hAnsi="Tahoma" w:cs="Tahoma"/>
                <w:sz w:val="20"/>
                <w:szCs w:val="20"/>
                <w:lang w:eastAsia="hr-HR"/>
              </w:rPr>
              <w:t>0</w:t>
            </w:r>
          </w:p>
        </w:tc>
        <w:tc>
          <w:tcPr>
            <w:tcW w:w="698" w:type="dxa"/>
            <w:tcBorders>
              <w:top w:val="nil"/>
              <w:left w:val="nil"/>
              <w:bottom w:val="single" w:sz="4" w:space="0" w:color="auto"/>
              <w:right w:val="single" w:sz="4" w:space="0" w:color="auto"/>
            </w:tcBorders>
            <w:shd w:val="clear" w:color="000000" w:fill="FFFF99"/>
            <w:noWrap/>
            <w:vAlign w:val="center"/>
            <w:hideMark/>
          </w:tcPr>
          <w:p w14:paraId="1826BC44" w14:textId="77777777" w:rsidR="005E671C" w:rsidRPr="005E671C" w:rsidRDefault="005E671C" w:rsidP="005E671C">
            <w:pPr>
              <w:spacing w:after="0" w:line="240" w:lineRule="auto"/>
              <w:jc w:val="center"/>
              <w:rPr>
                <w:rFonts w:ascii="Tahoma" w:eastAsia="Times New Roman" w:hAnsi="Tahoma" w:cs="Tahoma"/>
                <w:sz w:val="20"/>
                <w:szCs w:val="20"/>
                <w:lang w:eastAsia="hr-HR"/>
              </w:rPr>
            </w:pPr>
            <w:r w:rsidRPr="005E671C">
              <w:rPr>
                <w:rFonts w:ascii="Tahoma" w:eastAsia="Times New Roman" w:hAnsi="Tahoma" w:cs="Tahoma"/>
                <w:sz w:val="20"/>
                <w:szCs w:val="20"/>
                <w:lang w:eastAsia="hr-HR"/>
              </w:rPr>
              <w:t>1</w:t>
            </w:r>
          </w:p>
        </w:tc>
        <w:tc>
          <w:tcPr>
            <w:tcW w:w="493" w:type="dxa"/>
            <w:tcBorders>
              <w:top w:val="nil"/>
              <w:left w:val="nil"/>
              <w:bottom w:val="single" w:sz="4" w:space="0" w:color="auto"/>
              <w:right w:val="single" w:sz="4" w:space="0" w:color="auto"/>
            </w:tcBorders>
            <w:shd w:val="clear" w:color="000000" w:fill="FF9900"/>
            <w:noWrap/>
            <w:vAlign w:val="center"/>
            <w:hideMark/>
          </w:tcPr>
          <w:p w14:paraId="21113F77" w14:textId="77777777" w:rsidR="005E671C" w:rsidRPr="005E671C" w:rsidRDefault="005E671C" w:rsidP="005E671C">
            <w:pPr>
              <w:spacing w:after="0" w:line="240" w:lineRule="auto"/>
              <w:jc w:val="center"/>
              <w:rPr>
                <w:rFonts w:ascii="Tahoma" w:eastAsia="Times New Roman" w:hAnsi="Tahoma" w:cs="Tahoma"/>
                <w:sz w:val="20"/>
                <w:szCs w:val="20"/>
                <w:lang w:eastAsia="hr-HR"/>
              </w:rPr>
            </w:pPr>
            <w:r w:rsidRPr="005E671C">
              <w:rPr>
                <w:rFonts w:ascii="Tahoma" w:eastAsia="Times New Roman" w:hAnsi="Tahoma" w:cs="Tahoma"/>
                <w:sz w:val="20"/>
                <w:szCs w:val="20"/>
                <w:lang w:eastAsia="hr-HR"/>
              </w:rPr>
              <w:t>1</w:t>
            </w:r>
          </w:p>
        </w:tc>
        <w:tc>
          <w:tcPr>
            <w:tcW w:w="469" w:type="dxa"/>
            <w:tcBorders>
              <w:top w:val="nil"/>
              <w:left w:val="nil"/>
              <w:bottom w:val="single" w:sz="4" w:space="0" w:color="auto"/>
              <w:right w:val="single" w:sz="4" w:space="0" w:color="auto"/>
            </w:tcBorders>
            <w:shd w:val="clear" w:color="000000" w:fill="FF9900"/>
            <w:noWrap/>
            <w:vAlign w:val="center"/>
            <w:hideMark/>
          </w:tcPr>
          <w:p w14:paraId="2DBC8C00" w14:textId="77777777" w:rsidR="005E671C" w:rsidRPr="005E671C" w:rsidRDefault="005E671C" w:rsidP="005E671C">
            <w:pPr>
              <w:spacing w:after="0" w:line="240" w:lineRule="auto"/>
              <w:jc w:val="center"/>
              <w:rPr>
                <w:rFonts w:ascii="Tahoma" w:eastAsia="Times New Roman" w:hAnsi="Tahoma" w:cs="Tahoma"/>
                <w:sz w:val="20"/>
                <w:szCs w:val="20"/>
                <w:lang w:eastAsia="hr-HR"/>
              </w:rPr>
            </w:pPr>
            <w:r w:rsidRPr="005E671C">
              <w:rPr>
                <w:rFonts w:ascii="Tahoma" w:eastAsia="Times New Roman" w:hAnsi="Tahoma" w:cs="Tahoma"/>
                <w:sz w:val="20"/>
                <w:szCs w:val="20"/>
                <w:lang w:eastAsia="hr-HR"/>
              </w:rPr>
              <w:t>1</w:t>
            </w:r>
          </w:p>
        </w:tc>
        <w:tc>
          <w:tcPr>
            <w:tcW w:w="467" w:type="dxa"/>
            <w:tcBorders>
              <w:top w:val="nil"/>
              <w:left w:val="nil"/>
              <w:bottom w:val="single" w:sz="4" w:space="0" w:color="auto"/>
              <w:right w:val="single" w:sz="4" w:space="0" w:color="auto"/>
            </w:tcBorders>
            <w:shd w:val="clear" w:color="000000" w:fill="FF9900"/>
            <w:noWrap/>
            <w:vAlign w:val="center"/>
            <w:hideMark/>
          </w:tcPr>
          <w:p w14:paraId="3553B8B0" w14:textId="77777777" w:rsidR="005E671C" w:rsidRPr="005E671C" w:rsidRDefault="005E671C" w:rsidP="005E671C">
            <w:pPr>
              <w:spacing w:after="0" w:line="240" w:lineRule="auto"/>
              <w:jc w:val="center"/>
              <w:rPr>
                <w:rFonts w:ascii="Tahoma" w:eastAsia="Times New Roman" w:hAnsi="Tahoma" w:cs="Tahoma"/>
                <w:sz w:val="20"/>
                <w:szCs w:val="20"/>
                <w:lang w:eastAsia="hr-HR"/>
              </w:rPr>
            </w:pPr>
            <w:r w:rsidRPr="005E671C">
              <w:rPr>
                <w:rFonts w:ascii="Tahoma" w:eastAsia="Times New Roman" w:hAnsi="Tahoma" w:cs="Tahoma"/>
                <w:sz w:val="20"/>
                <w:szCs w:val="20"/>
                <w:lang w:eastAsia="hr-HR"/>
              </w:rPr>
              <w:t>0</w:t>
            </w:r>
          </w:p>
        </w:tc>
        <w:tc>
          <w:tcPr>
            <w:tcW w:w="567" w:type="dxa"/>
            <w:tcBorders>
              <w:top w:val="nil"/>
              <w:left w:val="nil"/>
              <w:bottom w:val="single" w:sz="4" w:space="0" w:color="auto"/>
              <w:right w:val="single" w:sz="4" w:space="0" w:color="auto"/>
            </w:tcBorders>
            <w:shd w:val="clear" w:color="000000" w:fill="FFFF00"/>
            <w:vAlign w:val="center"/>
            <w:hideMark/>
          </w:tcPr>
          <w:p w14:paraId="67E105DC" w14:textId="77777777" w:rsidR="005E671C" w:rsidRPr="005E671C" w:rsidRDefault="005E671C" w:rsidP="005E671C">
            <w:pPr>
              <w:spacing w:after="0" w:line="240" w:lineRule="auto"/>
              <w:jc w:val="center"/>
              <w:rPr>
                <w:rFonts w:ascii="Tahoma" w:eastAsia="Times New Roman" w:hAnsi="Tahoma" w:cs="Tahoma"/>
                <w:sz w:val="20"/>
                <w:szCs w:val="20"/>
                <w:lang w:eastAsia="hr-HR"/>
              </w:rPr>
            </w:pPr>
            <w:r w:rsidRPr="005E671C">
              <w:rPr>
                <w:rFonts w:ascii="Tahoma" w:eastAsia="Times New Roman" w:hAnsi="Tahoma" w:cs="Tahoma"/>
                <w:sz w:val="20"/>
                <w:szCs w:val="20"/>
                <w:lang w:eastAsia="hr-HR"/>
              </w:rPr>
              <w:t>2</w:t>
            </w:r>
          </w:p>
        </w:tc>
        <w:tc>
          <w:tcPr>
            <w:tcW w:w="542" w:type="dxa"/>
            <w:tcBorders>
              <w:top w:val="nil"/>
              <w:left w:val="nil"/>
              <w:bottom w:val="single" w:sz="4" w:space="0" w:color="auto"/>
              <w:right w:val="single" w:sz="4" w:space="0" w:color="auto"/>
            </w:tcBorders>
            <w:shd w:val="clear" w:color="000000" w:fill="FF9900"/>
            <w:vAlign w:val="center"/>
            <w:hideMark/>
          </w:tcPr>
          <w:p w14:paraId="3EAAC587" w14:textId="77777777" w:rsidR="005E671C" w:rsidRPr="005E671C" w:rsidRDefault="005E671C" w:rsidP="005E671C">
            <w:pPr>
              <w:spacing w:after="0" w:line="240" w:lineRule="auto"/>
              <w:jc w:val="center"/>
              <w:rPr>
                <w:rFonts w:ascii="Tahoma" w:eastAsia="Times New Roman" w:hAnsi="Tahoma" w:cs="Tahoma"/>
                <w:sz w:val="20"/>
                <w:szCs w:val="20"/>
                <w:lang w:eastAsia="hr-HR"/>
              </w:rPr>
            </w:pPr>
            <w:r w:rsidRPr="005E671C">
              <w:rPr>
                <w:rFonts w:ascii="Tahoma" w:eastAsia="Times New Roman" w:hAnsi="Tahoma" w:cs="Tahoma"/>
                <w:sz w:val="20"/>
                <w:szCs w:val="20"/>
                <w:lang w:eastAsia="hr-HR"/>
              </w:rPr>
              <w:t>19</w:t>
            </w:r>
          </w:p>
        </w:tc>
        <w:tc>
          <w:tcPr>
            <w:tcW w:w="441" w:type="dxa"/>
            <w:tcBorders>
              <w:top w:val="nil"/>
              <w:left w:val="nil"/>
              <w:bottom w:val="single" w:sz="4" w:space="0" w:color="auto"/>
              <w:right w:val="single" w:sz="4" w:space="0" w:color="auto"/>
            </w:tcBorders>
            <w:shd w:val="clear" w:color="000000" w:fill="FF9900"/>
            <w:noWrap/>
            <w:vAlign w:val="center"/>
            <w:hideMark/>
          </w:tcPr>
          <w:p w14:paraId="3868A881" w14:textId="77777777" w:rsidR="005E671C" w:rsidRPr="005E671C" w:rsidRDefault="005E671C" w:rsidP="005E671C">
            <w:pPr>
              <w:spacing w:after="0" w:line="240" w:lineRule="auto"/>
              <w:jc w:val="center"/>
              <w:rPr>
                <w:rFonts w:ascii="Tahoma" w:eastAsia="Times New Roman" w:hAnsi="Tahoma" w:cs="Tahoma"/>
                <w:sz w:val="20"/>
                <w:szCs w:val="20"/>
                <w:lang w:eastAsia="hr-HR"/>
              </w:rPr>
            </w:pPr>
            <w:r w:rsidRPr="005E671C">
              <w:rPr>
                <w:rFonts w:ascii="Tahoma" w:eastAsia="Times New Roman" w:hAnsi="Tahoma" w:cs="Tahoma"/>
                <w:sz w:val="20"/>
                <w:szCs w:val="20"/>
                <w:lang w:eastAsia="hr-HR"/>
              </w:rPr>
              <w:t>3</w:t>
            </w:r>
          </w:p>
        </w:tc>
        <w:tc>
          <w:tcPr>
            <w:tcW w:w="426" w:type="dxa"/>
            <w:tcBorders>
              <w:top w:val="nil"/>
              <w:left w:val="nil"/>
              <w:bottom w:val="single" w:sz="4" w:space="0" w:color="auto"/>
              <w:right w:val="single" w:sz="4" w:space="0" w:color="auto"/>
            </w:tcBorders>
            <w:shd w:val="clear" w:color="000000" w:fill="FF9900"/>
            <w:noWrap/>
            <w:vAlign w:val="center"/>
            <w:hideMark/>
          </w:tcPr>
          <w:p w14:paraId="22153C40" w14:textId="77777777" w:rsidR="005E671C" w:rsidRPr="005E671C" w:rsidRDefault="005E671C" w:rsidP="005E671C">
            <w:pPr>
              <w:spacing w:after="0" w:line="240" w:lineRule="auto"/>
              <w:jc w:val="center"/>
              <w:rPr>
                <w:rFonts w:ascii="Tahoma" w:eastAsia="Times New Roman" w:hAnsi="Tahoma" w:cs="Tahoma"/>
                <w:sz w:val="20"/>
                <w:szCs w:val="20"/>
                <w:lang w:eastAsia="hr-HR"/>
              </w:rPr>
            </w:pPr>
            <w:r w:rsidRPr="005E671C">
              <w:rPr>
                <w:rFonts w:ascii="Tahoma" w:eastAsia="Times New Roman" w:hAnsi="Tahoma" w:cs="Tahoma"/>
                <w:sz w:val="20"/>
                <w:szCs w:val="20"/>
                <w:lang w:eastAsia="hr-HR"/>
              </w:rPr>
              <w:t>0</w:t>
            </w:r>
          </w:p>
        </w:tc>
        <w:tc>
          <w:tcPr>
            <w:tcW w:w="854" w:type="dxa"/>
            <w:tcBorders>
              <w:top w:val="nil"/>
              <w:left w:val="nil"/>
              <w:bottom w:val="single" w:sz="4" w:space="0" w:color="auto"/>
              <w:right w:val="single" w:sz="4" w:space="0" w:color="auto"/>
            </w:tcBorders>
            <w:shd w:val="clear" w:color="000000" w:fill="FF9900"/>
            <w:noWrap/>
            <w:vAlign w:val="center"/>
            <w:hideMark/>
          </w:tcPr>
          <w:p w14:paraId="23B51F7F" w14:textId="77777777" w:rsidR="005E671C" w:rsidRPr="005E671C" w:rsidRDefault="005E671C" w:rsidP="005E671C">
            <w:pPr>
              <w:spacing w:after="0" w:line="240" w:lineRule="auto"/>
              <w:jc w:val="center"/>
              <w:rPr>
                <w:rFonts w:ascii="Tahoma" w:eastAsia="Times New Roman" w:hAnsi="Tahoma" w:cs="Tahoma"/>
                <w:sz w:val="20"/>
                <w:szCs w:val="20"/>
                <w:lang w:eastAsia="hr-HR"/>
              </w:rPr>
            </w:pPr>
            <w:r w:rsidRPr="005E671C">
              <w:rPr>
                <w:rFonts w:ascii="Tahoma" w:eastAsia="Times New Roman" w:hAnsi="Tahoma" w:cs="Tahoma"/>
                <w:sz w:val="20"/>
                <w:szCs w:val="20"/>
                <w:lang w:eastAsia="hr-HR"/>
              </w:rPr>
              <w:t>1</w:t>
            </w:r>
          </w:p>
        </w:tc>
        <w:tc>
          <w:tcPr>
            <w:tcW w:w="440" w:type="dxa"/>
            <w:tcBorders>
              <w:top w:val="nil"/>
              <w:left w:val="nil"/>
              <w:bottom w:val="single" w:sz="4" w:space="0" w:color="auto"/>
              <w:right w:val="single" w:sz="4" w:space="0" w:color="auto"/>
            </w:tcBorders>
            <w:shd w:val="clear" w:color="000000" w:fill="CCFFFF"/>
            <w:noWrap/>
            <w:vAlign w:val="center"/>
            <w:hideMark/>
          </w:tcPr>
          <w:p w14:paraId="7686001C" w14:textId="77777777" w:rsidR="005E671C" w:rsidRPr="005E671C" w:rsidRDefault="005E671C" w:rsidP="005E671C">
            <w:pPr>
              <w:spacing w:after="0" w:line="240" w:lineRule="auto"/>
              <w:jc w:val="center"/>
              <w:rPr>
                <w:rFonts w:ascii="Tahoma" w:eastAsia="Times New Roman" w:hAnsi="Tahoma" w:cs="Tahoma"/>
                <w:sz w:val="20"/>
                <w:szCs w:val="20"/>
                <w:lang w:eastAsia="hr-HR"/>
              </w:rPr>
            </w:pPr>
            <w:r w:rsidRPr="005E671C">
              <w:rPr>
                <w:rFonts w:ascii="Tahoma" w:eastAsia="Times New Roman" w:hAnsi="Tahoma" w:cs="Tahoma"/>
                <w:sz w:val="20"/>
                <w:szCs w:val="20"/>
                <w:lang w:eastAsia="hr-HR"/>
              </w:rPr>
              <w:t>1</w:t>
            </w:r>
          </w:p>
        </w:tc>
        <w:tc>
          <w:tcPr>
            <w:tcW w:w="408" w:type="dxa"/>
            <w:tcBorders>
              <w:top w:val="nil"/>
              <w:left w:val="nil"/>
              <w:bottom w:val="single" w:sz="4" w:space="0" w:color="auto"/>
              <w:right w:val="single" w:sz="4" w:space="0" w:color="auto"/>
            </w:tcBorders>
            <w:shd w:val="clear" w:color="000000" w:fill="CCFFFF"/>
            <w:noWrap/>
            <w:vAlign w:val="center"/>
            <w:hideMark/>
          </w:tcPr>
          <w:p w14:paraId="0DBF1C20" w14:textId="77777777" w:rsidR="005E671C" w:rsidRPr="005E671C" w:rsidRDefault="005E671C" w:rsidP="005E671C">
            <w:pPr>
              <w:spacing w:after="0" w:line="240" w:lineRule="auto"/>
              <w:jc w:val="center"/>
              <w:rPr>
                <w:rFonts w:ascii="Tahoma" w:eastAsia="Times New Roman" w:hAnsi="Tahoma" w:cs="Tahoma"/>
                <w:sz w:val="20"/>
                <w:szCs w:val="20"/>
                <w:lang w:eastAsia="hr-HR"/>
              </w:rPr>
            </w:pPr>
            <w:r w:rsidRPr="005E671C">
              <w:rPr>
                <w:rFonts w:ascii="Tahoma" w:eastAsia="Times New Roman" w:hAnsi="Tahoma" w:cs="Tahoma"/>
                <w:sz w:val="20"/>
                <w:szCs w:val="20"/>
                <w:lang w:eastAsia="hr-HR"/>
              </w:rPr>
              <w:t>0</w:t>
            </w:r>
          </w:p>
        </w:tc>
        <w:tc>
          <w:tcPr>
            <w:tcW w:w="433" w:type="dxa"/>
            <w:tcBorders>
              <w:top w:val="nil"/>
              <w:left w:val="nil"/>
              <w:bottom w:val="single" w:sz="4" w:space="0" w:color="auto"/>
              <w:right w:val="single" w:sz="4" w:space="0" w:color="auto"/>
            </w:tcBorders>
            <w:shd w:val="clear" w:color="000000" w:fill="CCFFFF"/>
            <w:noWrap/>
            <w:vAlign w:val="center"/>
            <w:hideMark/>
          </w:tcPr>
          <w:p w14:paraId="77A6A51A" w14:textId="77777777" w:rsidR="005E671C" w:rsidRPr="005E671C" w:rsidRDefault="005E671C" w:rsidP="005E671C">
            <w:pPr>
              <w:spacing w:after="0" w:line="240" w:lineRule="auto"/>
              <w:jc w:val="center"/>
              <w:rPr>
                <w:rFonts w:ascii="Tahoma" w:eastAsia="Times New Roman" w:hAnsi="Tahoma" w:cs="Tahoma"/>
                <w:sz w:val="20"/>
                <w:szCs w:val="20"/>
                <w:lang w:eastAsia="hr-HR"/>
              </w:rPr>
            </w:pPr>
            <w:r w:rsidRPr="005E671C">
              <w:rPr>
                <w:rFonts w:ascii="Tahoma" w:eastAsia="Times New Roman" w:hAnsi="Tahoma" w:cs="Tahoma"/>
                <w:sz w:val="20"/>
                <w:szCs w:val="20"/>
                <w:lang w:eastAsia="hr-HR"/>
              </w:rPr>
              <w:t>0</w:t>
            </w:r>
          </w:p>
        </w:tc>
        <w:tc>
          <w:tcPr>
            <w:tcW w:w="425" w:type="dxa"/>
            <w:tcBorders>
              <w:top w:val="nil"/>
              <w:left w:val="nil"/>
              <w:bottom w:val="single" w:sz="4" w:space="0" w:color="auto"/>
              <w:right w:val="single" w:sz="8" w:space="0" w:color="auto"/>
            </w:tcBorders>
            <w:shd w:val="clear" w:color="000000" w:fill="33CCCC"/>
            <w:noWrap/>
            <w:vAlign w:val="center"/>
            <w:hideMark/>
          </w:tcPr>
          <w:p w14:paraId="4F18E076" w14:textId="77777777" w:rsidR="005E671C" w:rsidRPr="005E671C" w:rsidRDefault="005E671C" w:rsidP="005E671C">
            <w:pPr>
              <w:spacing w:after="0" w:line="240" w:lineRule="auto"/>
              <w:jc w:val="center"/>
              <w:rPr>
                <w:rFonts w:ascii="Tahoma" w:eastAsia="Times New Roman" w:hAnsi="Tahoma" w:cs="Tahoma"/>
                <w:sz w:val="20"/>
                <w:szCs w:val="20"/>
                <w:lang w:eastAsia="hr-HR"/>
              </w:rPr>
            </w:pPr>
            <w:r w:rsidRPr="005E671C">
              <w:rPr>
                <w:rFonts w:ascii="Tahoma" w:eastAsia="Times New Roman" w:hAnsi="Tahoma" w:cs="Tahoma"/>
                <w:sz w:val="20"/>
                <w:szCs w:val="20"/>
                <w:lang w:eastAsia="hr-HR"/>
              </w:rPr>
              <w:t>0</w:t>
            </w:r>
          </w:p>
        </w:tc>
        <w:tc>
          <w:tcPr>
            <w:tcW w:w="567" w:type="dxa"/>
            <w:tcBorders>
              <w:top w:val="nil"/>
              <w:left w:val="single" w:sz="4" w:space="0" w:color="auto"/>
              <w:bottom w:val="single" w:sz="4" w:space="0" w:color="auto"/>
              <w:right w:val="single" w:sz="8" w:space="0" w:color="auto"/>
            </w:tcBorders>
            <w:shd w:val="clear" w:color="000000" w:fill="33CCCC"/>
            <w:noWrap/>
            <w:vAlign w:val="center"/>
            <w:hideMark/>
          </w:tcPr>
          <w:p w14:paraId="0867FF30" w14:textId="77777777" w:rsidR="005E671C" w:rsidRPr="005E671C" w:rsidRDefault="005E671C" w:rsidP="005E671C">
            <w:pPr>
              <w:spacing w:after="0" w:line="240" w:lineRule="auto"/>
              <w:jc w:val="center"/>
              <w:rPr>
                <w:rFonts w:ascii="Tahoma" w:eastAsia="Times New Roman" w:hAnsi="Tahoma" w:cs="Tahoma"/>
                <w:sz w:val="20"/>
                <w:szCs w:val="20"/>
                <w:lang w:eastAsia="hr-HR"/>
              </w:rPr>
            </w:pPr>
            <w:r w:rsidRPr="005E671C">
              <w:rPr>
                <w:rFonts w:ascii="Tahoma" w:eastAsia="Times New Roman" w:hAnsi="Tahoma" w:cs="Tahoma"/>
                <w:sz w:val="20"/>
                <w:szCs w:val="20"/>
                <w:lang w:eastAsia="hr-HR"/>
              </w:rPr>
              <w:t>2</w:t>
            </w:r>
          </w:p>
        </w:tc>
        <w:tc>
          <w:tcPr>
            <w:tcW w:w="237" w:type="dxa"/>
            <w:gridSpan w:val="2"/>
            <w:vAlign w:val="center"/>
            <w:hideMark/>
          </w:tcPr>
          <w:p w14:paraId="18B592A1" w14:textId="77777777" w:rsidR="005E671C" w:rsidRPr="005E671C" w:rsidRDefault="005E671C" w:rsidP="005E671C">
            <w:pPr>
              <w:spacing w:after="0" w:line="240" w:lineRule="auto"/>
              <w:rPr>
                <w:rFonts w:ascii="Times New Roman" w:eastAsia="Times New Roman" w:hAnsi="Times New Roman" w:cs="Times New Roman"/>
                <w:sz w:val="20"/>
                <w:szCs w:val="20"/>
                <w:lang w:eastAsia="hr-HR"/>
              </w:rPr>
            </w:pPr>
          </w:p>
        </w:tc>
      </w:tr>
      <w:tr w:rsidR="005E671C" w:rsidRPr="005E671C" w14:paraId="26EB277E" w14:textId="77777777" w:rsidTr="001752B7">
        <w:trPr>
          <w:gridAfter w:val="1"/>
          <w:wAfter w:w="51" w:type="dxa"/>
          <w:trHeight w:val="300"/>
        </w:trPr>
        <w:tc>
          <w:tcPr>
            <w:tcW w:w="1550" w:type="dxa"/>
            <w:tcBorders>
              <w:top w:val="single" w:sz="4" w:space="0" w:color="auto"/>
              <w:left w:val="single" w:sz="8" w:space="0" w:color="auto"/>
              <w:bottom w:val="single" w:sz="4" w:space="0" w:color="auto"/>
              <w:right w:val="single" w:sz="4" w:space="0" w:color="auto"/>
            </w:tcBorders>
            <w:shd w:val="clear" w:color="000000" w:fill="CCFFCC"/>
            <w:vAlign w:val="center"/>
            <w:hideMark/>
          </w:tcPr>
          <w:p w14:paraId="549F2BF7" w14:textId="77777777" w:rsidR="005E671C" w:rsidRPr="005E671C" w:rsidRDefault="005E671C" w:rsidP="005E671C">
            <w:pPr>
              <w:spacing w:after="0" w:line="240" w:lineRule="auto"/>
              <w:rPr>
                <w:rFonts w:ascii="Tahoma" w:eastAsia="Times New Roman" w:hAnsi="Tahoma" w:cs="Tahoma"/>
                <w:sz w:val="20"/>
                <w:szCs w:val="20"/>
                <w:lang w:eastAsia="hr-HR"/>
              </w:rPr>
            </w:pPr>
            <w:r w:rsidRPr="005E671C">
              <w:rPr>
                <w:rFonts w:ascii="Tahoma" w:eastAsia="Times New Roman" w:hAnsi="Tahoma" w:cs="Tahoma"/>
                <w:sz w:val="20"/>
                <w:szCs w:val="20"/>
                <w:lang w:eastAsia="hr-HR"/>
              </w:rPr>
              <w:t>Društveni položaj</w:t>
            </w:r>
          </w:p>
        </w:tc>
        <w:tc>
          <w:tcPr>
            <w:tcW w:w="669" w:type="dxa"/>
            <w:tcBorders>
              <w:top w:val="nil"/>
              <w:left w:val="nil"/>
              <w:bottom w:val="single" w:sz="4" w:space="0" w:color="auto"/>
              <w:right w:val="single" w:sz="4" w:space="0" w:color="auto"/>
            </w:tcBorders>
            <w:shd w:val="clear" w:color="000000" w:fill="FFCC99"/>
            <w:noWrap/>
            <w:vAlign w:val="center"/>
            <w:hideMark/>
          </w:tcPr>
          <w:p w14:paraId="7966802A" w14:textId="77777777" w:rsidR="005E671C" w:rsidRPr="005E671C" w:rsidRDefault="005E671C" w:rsidP="005E671C">
            <w:pPr>
              <w:spacing w:after="0" w:line="240" w:lineRule="auto"/>
              <w:jc w:val="center"/>
              <w:rPr>
                <w:rFonts w:ascii="Tahoma" w:eastAsia="Times New Roman" w:hAnsi="Tahoma" w:cs="Tahoma"/>
                <w:sz w:val="20"/>
                <w:szCs w:val="20"/>
                <w:lang w:eastAsia="hr-HR"/>
              </w:rPr>
            </w:pPr>
            <w:r w:rsidRPr="005E671C">
              <w:rPr>
                <w:rFonts w:ascii="Tahoma" w:eastAsia="Times New Roman" w:hAnsi="Tahoma" w:cs="Tahoma"/>
                <w:sz w:val="20"/>
                <w:szCs w:val="20"/>
                <w:lang w:eastAsia="hr-HR"/>
              </w:rPr>
              <w:t>24</w:t>
            </w:r>
          </w:p>
        </w:tc>
        <w:tc>
          <w:tcPr>
            <w:tcW w:w="352" w:type="dxa"/>
            <w:tcBorders>
              <w:top w:val="nil"/>
              <w:left w:val="nil"/>
              <w:bottom w:val="single" w:sz="4" w:space="0" w:color="auto"/>
              <w:right w:val="single" w:sz="4" w:space="0" w:color="auto"/>
            </w:tcBorders>
            <w:shd w:val="clear" w:color="000000" w:fill="FFFF00"/>
            <w:noWrap/>
            <w:vAlign w:val="center"/>
            <w:hideMark/>
          </w:tcPr>
          <w:p w14:paraId="6C4FB880" w14:textId="77777777" w:rsidR="005E671C" w:rsidRPr="005E671C" w:rsidRDefault="005E671C" w:rsidP="005E671C">
            <w:pPr>
              <w:spacing w:after="0" w:line="240" w:lineRule="auto"/>
              <w:jc w:val="center"/>
              <w:rPr>
                <w:rFonts w:ascii="Tahoma" w:eastAsia="Times New Roman" w:hAnsi="Tahoma" w:cs="Tahoma"/>
                <w:sz w:val="20"/>
                <w:szCs w:val="20"/>
                <w:lang w:eastAsia="hr-HR"/>
              </w:rPr>
            </w:pPr>
            <w:r w:rsidRPr="005E671C">
              <w:rPr>
                <w:rFonts w:ascii="Tahoma" w:eastAsia="Times New Roman" w:hAnsi="Tahoma" w:cs="Tahoma"/>
                <w:sz w:val="20"/>
                <w:szCs w:val="20"/>
                <w:lang w:eastAsia="hr-HR"/>
              </w:rPr>
              <w:t>17</w:t>
            </w:r>
          </w:p>
        </w:tc>
        <w:tc>
          <w:tcPr>
            <w:tcW w:w="574" w:type="dxa"/>
            <w:tcBorders>
              <w:top w:val="nil"/>
              <w:left w:val="nil"/>
              <w:bottom w:val="single" w:sz="4" w:space="0" w:color="auto"/>
              <w:right w:val="single" w:sz="4" w:space="0" w:color="auto"/>
            </w:tcBorders>
            <w:shd w:val="clear" w:color="000000" w:fill="CCFFFF"/>
            <w:noWrap/>
            <w:vAlign w:val="center"/>
            <w:hideMark/>
          </w:tcPr>
          <w:p w14:paraId="49660068" w14:textId="77777777" w:rsidR="005E671C" w:rsidRPr="005E671C" w:rsidRDefault="005E671C" w:rsidP="005E671C">
            <w:pPr>
              <w:spacing w:after="0" w:line="240" w:lineRule="auto"/>
              <w:jc w:val="center"/>
              <w:rPr>
                <w:rFonts w:ascii="Tahoma" w:eastAsia="Times New Roman" w:hAnsi="Tahoma" w:cs="Tahoma"/>
                <w:sz w:val="20"/>
                <w:szCs w:val="20"/>
                <w:lang w:eastAsia="hr-HR"/>
              </w:rPr>
            </w:pPr>
            <w:r w:rsidRPr="005E671C">
              <w:rPr>
                <w:rFonts w:ascii="Tahoma" w:eastAsia="Times New Roman" w:hAnsi="Tahoma" w:cs="Tahoma"/>
                <w:sz w:val="20"/>
                <w:szCs w:val="20"/>
                <w:lang w:eastAsia="hr-HR"/>
              </w:rPr>
              <w:t>13</w:t>
            </w:r>
          </w:p>
        </w:tc>
        <w:tc>
          <w:tcPr>
            <w:tcW w:w="440" w:type="dxa"/>
            <w:tcBorders>
              <w:top w:val="nil"/>
              <w:left w:val="nil"/>
              <w:bottom w:val="single" w:sz="4" w:space="0" w:color="auto"/>
              <w:right w:val="single" w:sz="4" w:space="0" w:color="auto"/>
            </w:tcBorders>
            <w:shd w:val="clear" w:color="000000" w:fill="CCFFFF"/>
            <w:noWrap/>
            <w:vAlign w:val="center"/>
            <w:hideMark/>
          </w:tcPr>
          <w:p w14:paraId="692A8400" w14:textId="77777777" w:rsidR="005E671C" w:rsidRPr="005E671C" w:rsidRDefault="005E671C" w:rsidP="005E671C">
            <w:pPr>
              <w:spacing w:after="0" w:line="240" w:lineRule="auto"/>
              <w:jc w:val="center"/>
              <w:rPr>
                <w:rFonts w:ascii="Tahoma" w:eastAsia="Times New Roman" w:hAnsi="Tahoma" w:cs="Tahoma"/>
                <w:sz w:val="20"/>
                <w:szCs w:val="20"/>
                <w:lang w:eastAsia="hr-HR"/>
              </w:rPr>
            </w:pPr>
            <w:r w:rsidRPr="005E671C">
              <w:rPr>
                <w:rFonts w:ascii="Tahoma" w:eastAsia="Times New Roman" w:hAnsi="Tahoma" w:cs="Tahoma"/>
                <w:sz w:val="20"/>
                <w:szCs w:val="20"/>
                <w:lang w:eastAsia="hr-HR"/>
              </w:rPr>
              <w:t>16</w:t>
            </w:r>
          </w:p>
        </w:tc>
        <w:tc>
          <w:tcPr>
            <w:tcW w:w="700" w:type="dxa"/>
            <w:tcBorders>
              <w:top w:val="nil"/>
              <w:left w:val="nil"/>
              <w:bottom w:val="single" w:sz="4" w:space="0" w:color="auto"/>
              <w:right w:val="single" w:sz="4" w:space="0" w:color="auto"/>
            </w:tcBorders>
            <w:shd w:val="clear" w:color="000000" w:fill="FFFF99"/>
            <w:noWrap/>
            <w:vAlign w:val="center"/>
            <w:hideMark/>
          </w:tcPr>
          <w:p w14:paraId="1F16D542" w14:textId="77777777" w:rsidR="005E671C" w:rsidRPr="005E671C" w:rsidRDefault="005E671C" w:rsidP="005E671C">
            <w:pPr>
              <w:spacing w:after="0" w:line="240" w:lineRule="auto"/>
              <w:jc w:val="center"/>
              <w:rPr>
                <w:rFonts w:ascii="Tahoma" w:eastAsia="Times New Roman" w:hAnsi="Tahoma" w:cs="Tahoma"/>
                <w:sz w:val="20"/>
                <w:szCs w:val="20"/>
                <w:lang w:eastAsia="hr-HR"/>
              </w:rPr>
            </w:pPr>
            <w:r w:rsidRPr="005E671C">
              <w:rPr>
                <w:rFonts w:ascii="Tahoma" w:eastAsia="Times New Roman" w:hAnsi="Tahoma" w:cs="Tahoma"/>
                <w:sz w:val="20"/>
                <w:szCs w:val="20"/>
                <w:lang w:eastAsia="hr-HR"/>
              </w:rPr>
              <w:t>10</w:t>
            </w:r>
          </w:p>
        </w:tc>
        <w:tc>
          <w:tcPr>
            <w:tcW w:w="698" w:type="dxa"/>
            <w:tcBorders>
              <w:top w:val="nil"/>
              <w:left w:val="nil"/>
              <w:bottom w:val="single" w:sz="4" w:space="0" w:color="auto"/>
              <w:right w:val="single" w:sz="4" w:space="0" w:color="auto"/>
            </w:tcBorders>
            <w:shd w:val="clear" w:color="000000" w:fill="FFFF99"/>
            <w:noWrap/>
            <w:vAlign w:val="center"/>
            <w:hideMark/>
          </w:tcPr>
          <w:p w14:paraId="4A0015F9" w14:textId="77777777" w:rsidR="005E671C" w:rsidRPr="005E671C" w:rsidRDefault="005E671C" w:rsidP="005E671C">
            <w:pPr>
              <w:spacing w:after="0" w:line="240" w:lineRule="auto"/>
              <w:jc w:val="center"/>
              <w:rPr>
                <w:rFonts w:ascii="Tahoma" w:eastAsia="Times New Roman" w:hAnsi="Tahoma" w:cs="Tahoma"/>
                <w:sz w:val="20"/>
                <w:szCs w:val="20"/>
                <w:lang w:eastAsia="hr-HR"/>
              </w:rPr>
            </w:pPr>
            <w:r w:rsidRPr="005E671C">
              <w:rPr>
                <w:rFonts w:ascii="Tahoma" w:eastAsia="Times New Roman" w:hAnsi="Tahoma" w:cs="Tahoma"/>
                <w:sz w:val="20"/>
                <w:szCs w:val="20"/>
                <w:lang w:eastAsia="hr-HR"/>
              </w:rPr>
              <w:t>3</w:t>
            </w:r>
          </w:p>
        </w:tc>
        <w:tc>
          <w:tcPr>
            <w:tcW w:w="698" w:type="dxa"/>
            <w:tcBorders>
              <w:top w:val="nil"/>
              <w:left w:val="nil"/>
              <w:bottom w:val="single" w:sz="4" w:space="0" w:color="auto"/>
              <w:right w:val="single" w:sz="4" w:space="0" w:color="auto"/>
            </w:tcBorders>
            <w:shd w:val="clear" w:color="000000" w:fill="FFFF99"/>
            <w:noWrap/>
            <w:vAlign w:val="center"/>
            <w:hideMark/>
          </w:tcPr>
          <w:p w14:paraId="0057D8DD" w14:textId="77777777" w:rsidR="005E671C" w:rsidRPr="005E671C" w:rsidRDefault="005E671C" w:rsidP="005E671C">
            <w:pPr>
              <w:spacing w:after="0" w:line="240" w:lineRule="auto"/>
              <w:jc w:val="center"/>
              <w:rPr>
                <w:rFonts w:ascii="Tahoma" w:eastAsia="Times New Roman" w:hAnsi="Tahoma" w:cs="Tahoma"/>
                <w:sz w:val="20"/>
                <w:szCs w:val="20"/>
                <w:lang w:eastAsia="hr-HR"/>
              </w:rPr>
            </w:pPr>
            <w:r w:rsidRPr="005E671C">
              <w:rPr>
                <w:rFonts w:ascii="Tahoma" w:eastAsia="Times New Roman" w:hAnsi="Tahoma" w:cs="Tahoma"/>
                <w:sz w:val="20"/>
                <w:szCs w:val="20"/>
                <w:lang w:eastAsia="hr-HR"/>
              </w:rPr>
              <w:t>8</w:t>
            </w:r>
          </w:p>
        </w:tc>
        <w:tc>
          <w:tcPr>
            <w:tcW w:w="698" w:type="dxa"/>
            <w:tcBorders>
              <w:top w:val="nil"/>
              <w:left w:val="nil"/>
              <w:bottom w:val="single" w:sz="4" w:space="0" w:color="auto"/>
              <w:right w:val="single" w:sz="4" w:space="0" w:color="auto"/>
            </w:tcBorders>
            <w:shd w:val="clear" w:color="000000" w:fill="FFFF99"/>
            <w:noWrap/>
            <w:vAlign w:val="center"/>
            <w:hideMark/>
          </w:tcPr>
          <w:p w14:paraId="45273CE0" w14:textId="77777777" w:rsidR="005E671C" w:rsidRPr="005E671C" w:rsidRDefault="005E671C" w:rsidP="005E671C">
            <w:pPr>
              <w:spacing w:after="0" w:line="240" w:lineRule="auto"/>
              <w:jc w:val="center"/>
              <w:rPr>
                <w:rFonts w:ascii="Tahoma" w:eastAsia="Times New Roman" w:hAnsi="Tahoma" w:cs="Tahoma"/>
                <w:sz w:val="20"/>
                <w:szCs w:val="20"/>
                <w:lang w:eastAsia="hr-HR"/>
              </w:rPr>
            </w:pPr>
            <w:r w:rsidRPr="005E671C">
              <w:rPr>
                <w:rFonts w:ascii="Tahoma" w:eastAsia="Times New Roman" w:hAnsi="Tahoma" w:cs="Tahoma"/>
                <w:sz w:val="20"/>
                <w:szCs w:val="20"/>
                <w:lang w:eastAsia="hr-HR"/>
              </w:rPr>
              <w:t>1</w:t>
            </w:r>
          </w:p>
        </w:tc>
        <w:tc>
          <w:tcPr>
            <w:tcW w:w="698" w:type="dxa"/>
            <w:tcBorders>
              <w:top w:val="nil"/>
              <w:left w:val="nil"/>
              <w:bottom w:val="single" w:sz="4" w:space="0" w:color="auto"/>
              <w:right w:val="single" w:sz="4" w:space="0" w:color="auto"/>
            </w:tcBorders>
            <w:shd w:val="clear" w:color="000000" w:fill="FFFF99"/>
            <w:noWrap/>
            <w:vAlign w:val="center"/>
            <w:hideMark/>
          </w:tcPr>
          <w:p w14:paraId="0D5725C3" w14:textId="77777777" w:rsidR="005E671C" w:rsidRPr="005E671C" w:rsidRDefault="005E671C" w:rsidP="005E671C">
            <w:pPr>
              <w:spacing w:after="0" w:line="240" w:lineRule="auto"/>
              <w:jc w:val="center"/>
              <w:rPr>
                <w:rFonts w:ascii="Tahoma" w:eastAsia="Times New Roman" w:hAnsi="Tahoma" w:cs="Tahoma"/>
                <w:sz w:val="20"/>
                <w:szCs w:val="20"/>
                <w:lang w:eastAsia="hr-HR"/>
              </w:rPr>
            </w:pPr>
            <w:r w:rsidRPr="005E671C">
              <w:rPr>
                <w:rFonts w:ascii="Tahoma" w:eastAsia="Times New Roman" w:hAnsi="Tahoma" w:cs="Tahoma"/>
                <w:sz w:val="20"/>
                <w:szCs w:val="20"/>
                <w:lang w:eastAsia="hr-HR"/>
              </w:rPr>
              <w:t>0</w:t>
            </w:r>
          </w:p>
        </w:tc>
        <w:tc>
          <w:tcPr>
            <w:tcW w:w="698" w:type="dxa"/>
            <w:tcBorders>
              <w:top w:val="nil"/>
              <w:left w:val="nil"/>
              <w:bottom w:val="single" w:sz="4" w:space="0" w:color="auto"/>
              <w:right w:val="single" w:sz="4" w:space="0" w:color="auto"/>
            </w:tcBorders>
            <w:shd w:val="clear" w:color="000000" w:fill="FFFF99"/>
            <w:noWrap/>
            <w:vAlign w:val="center"/>
            <w:hideMark/>
          </w:tcPr>
          <w:p w14:paraId="6350572B" w14:textId="77777777" w:rsidR="005E671C" w:rsidRPr="005E671C" w:rsidRDefault="005E671C" w:rsidP="005E671C">
            <w:pPr>
              <w:spacing w:after="0" w:line="240" w:lineRule="auto"/>
              <w:jc w:val="center"/>
              <w:rPr>
                <w:rFonts w:ascii="Tahoma" w:eastAsia="Times New Roman" w:hAnsi="Tahoma" w:cs="Tahoma"/>
                <w:sz w:val="20"/>
                <w:szCs w:val="20"/>
                <w:lang w:eastAsia="hr-HR"/>
              </w:rPr>
            </w:pPr>
            <w:r w:rsidRPr="005E671C">
              <w:rPr>
                <w:rFonts w:ascii="Tahoma" w:eastAsia="Times New Roman" w:hAnsi="Tahoma" w:cs="Tahoma"/>
                <w:sz w:val="20"/>
                <w:szCs w:val="20"/>
                <w:lang w:eastAsia="hr-HR"/>
              </w:rPr>
              <w:t>2</w:t>
            </w:r>
          </w:p>
        </w:tc>
        <w:tc>
          <w:tcPr>
            <w:tcW w:w="493" w:type="dxa"/>
            <w:tcBorders>
              <w:top w:val="nil"/>
              <w:left w:val="nil"/>
              <w:bottom w:val="single" w:sz="4" w:space="0" w:color="auto"/>
              <w:right w:val="single" w:sz="4" w:space="0" w:color="auto"/>
            </w:tcBorders>
            <w:shd w:val="clear" w:color="000000" w:fill="FF9900"/>
            <w:noWrap/>
            <w:vAlign w:val="center"/>
            <w:hideMark/>
          </w:tcPr>
          <w:p w14:paraId="1C2D08B4" w14:textId="77777777" w:rsidR="005E671C" w:rsidRPr="005E671C" w:rsidRDefault="005E671C" w:rsidP="005E671C">
            <w:pPr>
              <w:spacing w:after="0" w:line="240" w:lineRule="auto"/>
              <w:jc w:val="center"/>
              <w:rPr>
                <w:rFonts w:ascii="Tahoma" w:eastAsia="Times New Roman" w:hAnsi="Tahoma" w:cs="Tahoma"/>
                <w:sz w:val="20"/>
                <w:szCs w:val="20"/>
                <w:lang w:eastAsia="hr-HR"/>
              </w:rPr>
            </w:pPr>
            <w:r w:rsidRPr="005E671C">
              <w:rPr>
                <w:rFonts w:ascii="Tahoma" w:eastAsia="Times New Roman" w:hAnsi="Tahoma" w:cs="Tahoma"/>
                <w:sz w:val="20"/>
                <w:szCs w:val="20"/>
                <w:lang w:eastAsia="hr-HR"/>
              </w:rPr>
              <w:t>2</w:t>
            </w:r>
          </w:p>
        </w:tc>
        <w:tc>
          <w:tcPr>
            <w:tcW w:w="469" w:type="dxa"/>
            <w:tcBorders>
              <w:top w:val="nil"/>
              <w:left w:val="nil"/>
              <w:bottom w:val="single" w:sz="4" w:space="0" w:color="auto"/>
              <w:right w:val="single" w:sz="4" w:space="0" w:color="auto"/>
            </w:tcBorders>
            <w:shd w:val="clear" w:color="000000" w:fill="FF9900"/>
            <w:noWrap/>
            <w:vAlign w:val="center"/>
            <w:hideMark/>
          </w:tcPr>
          <w:p w14:paraId="06B3B371" w14:textId="77777777" w:rsidR="005E671C" w:rsidRPr="005E671C" w:rsidRDefault="005E671C" w:rsidP="005E671C">
            <w:pPr>
              <w:spacing w:after="0" w:line="240" w:lineRule="auto"/>
              <w:jc w:val="center"/>
              <w:rPr>
                <w:rFonts w:ascii="Tahoma" w:eastAsia="Times New Roman" w:hAnsi="Tahoma" w:cs="Tahoma"/>
                <w:sz w:val="20"/>
                <w:szCs w:val="20"/>
                <w:lang w:eastAsia="hr-HR"/>
              </w:rPr>
            </w:pPr>
            <w:r w:rsidRPr="005E671C">
              <w:rPr>
                <w:rFonts w:ascii="Tahoma" w:eastAsia="Times New Roman" w:hAnsi="Tahoma" w:cs="Tahoma"/>
                <w:sz w:val="20"/>
                <w:szCs w:val="20"/>
                <w:lang w:eastAsia="hr-HR"/>
              </w:rPr>
              <w:t>5</w:t>
            </w:r>
          </w:p>
        </w:tc>
        <w:tc>
          <w:tcPr>
            <w:tcW w:w="467" w:type="dxa"/>
            <w:tcBorders>
              <w:top w:val="nil"/>
              <w:left w:val="nil"/>
              <w:bottom w:val="single" w:sz="4" w:space="0" w:color="auto"/>
              <w:right w:val="single" w:sz="4" w:space="0" w:color="auto"/>
            </w:tcBorders>
            <w:shd w:val="clear" w:color="000000" w:fill="FF9900"/>
            <w:noWrap/>
            <w:vAlign w:val="center"/>
            <w:hideMark/>
          </w:tcPr>
          <w:p w14:paraId="36F7A58E" w14:textId="77777777" w:rsidR="005E671C" w:rsidRPr="005E671C" w:rsidRDefault="005E671C" w:rsidP="005E671C">
            <w:pPr>
              <w:spacing w:after="0" w:line="240" w:lineRule="auto"/>
              <w:jc w:val="center"/>
              <w:rPr>
                <w:rFonts w:ascii="Tahoma" w:eastAsia="Times New Roman" w:hAnsi="Tahoma" w:cs="Tahoma"/>
                <w:sz w:val="20"/>
                <w:szCs w:val="20"/>
                <w:lang w:eastAsia="hr-HR"/>
              </w:rPr>
            </w:pPr>
            <w:r w:rsidRPr="005E671C">
              <w:rPr>
                <w:rFonts w:ascii="Tahoma" w:eastAsia="Times New Roman" w:hAnsi="Tahoma" w:cs="Tahoma"/>
                <w:sz w:val="20"/>
                <w:szCs w:val="20"/>
                <w:lang w:eastAsia="hr-HR"/>
              </w:rPr>
              <w:t>3</w:t>
            </w:r>
          </w:p>
        </w:tc>
        <w:tc>
          <w:tcPr>
            <w:tcW w:w="567" w:type="dxa"/>
            <w:tcBorders>
              <w:top w:val="nil"/>
              <w:left w:val="nil"/>
              <w:bottom w:val="single" w:sz="4" w:space="0" w:color="auto"/>
              <w:right w:val="single" w:sz="4" w:space="0" w:color="auto"/>
            </w:tcBorders>
            <w:shd w:val="clear" w:color="000000" w:fill="FFFF00"/>
            <w:vAlign w:val="center"/>
            <w:hideMark/>
          </w:tcPr>
          <w:p w14:paraId="55971891" w14:textId="77777777" w:rsidR="005E671C" w:rsidRPr="005E671C" w:rsidRDefault="005E671C" w:rsidP="005E671C">
            <w:pPr>
              <w:spacing w:after="0" w:line="240" w:lineRule="auto"/>
              <w:jc w:val="center"/>
              <w:rPr>
                <w:rFonts w:ascii="Tahoma" w:eastAsia="Times New Roman" w:hAnsi="Tahoma" w:cs="Tahoma"/>
                <w:sz w:val="20"/>
                <w:szCs w:val="20"/>
                <w:lang w:eastAsia="hr-HR"/>
              </w:rPr>
            </w:pPr>
            <w:r w:rsidRPr="005E671C">
              <w:rPr>
                <w:rFonts w:ascii="Tahoma" w:eastAsia="Times New Roman" w:hAnsi="Tahoma" w:cs="Tahoma"/>
                <w:sz w:val="20"/>
                <w:szCs w:val="20"/>
                <w:lang w:eastAsia="hr-HR"/>
              </w:rPr>
              <w:t>10</w:t>
            </w:r>
          </w:p>
        </w:tc>
        <w:tc>
          <w:tcPr>
            <w:tcW w:w="542" w:type="dxa"/>
            <w:tcBorders>
              <w:top w:val="nil"/>
              <w:left w:val="nil"/>
              <w:bottom w:val="single" w:sz="4" w:space="0" w:color="auto"/>
              <w:right w:val="single" w:sz="4" w:space="0" w:color="auto"/>
            </w:tcBorders>
            <w:shd w:val="clear" w:color="000000" w:fill="FF9900"/>
            <w:vAlign w:val="center"/>
            <w:hideMark/>
          </w:tcPr>
          <w:p w14:paraId="209666AB" w14:textId="77777777" w:rsidR="005E671C" w:rsidRPr="005E671C" w:rsidRDefault="005E671C" w:rsidP="005E671C">
            <w:pPr>
              <w:spacing w:after="0" w:line="240" w:lineRule="auto"/>
              <w:jc w:val="center"/>
              <w:rPr>
                <w:rFonts w:ascii="Tahoma" w:eastAsia="Times New Roman" w:hAnsi="Tahoma" w:cs="Tahoma"/>
                <w:sz w:val="20"/>
                <w:szCs w:val="20"/>
                <w:lang w:eastAsia="hr-HR"/>
              </w:rPr>
            </w:pPr>
            <w:r w:rsidRPr="005E671C">
              <w:rPr>
                <w:rFonts w:ascii="Tahoma" w:eastAsia="Times New Roman" w:hAnsi="Tahoma" w:cs="Tahoma"/>
                <w:sz w:val="20"/>
                <w:szCs w:val="20"/>
                <w:lang w:eastAsia="hr-HR"/>
              </w:rPr>
              <w:t>31</w:t>
            </w:r>
          </w:p>
        </w:tc>
        <w:tc>
          <w:tcPr>
            <w:tcW w:w="441" w:type="dxa"/>
            <w:tcBorders>
              <w:top w:val="nil"/>
              <w:left w:val="nil"/>
              <w:bottom w:val="single" w:sz="4" w:space="0" w:color="auto"/>
              <w:right w:val="single" w:sz="4" w:space="0" w:color="auto"/>
            </w:tcBorders>
            <w:shd w:val="clear" w:color="000000" w:fill="FF9900"/>
            <w:noWrap/>
            <w:vAlign w:val="center"/>
            <w:hideMark/>
          </w:tcPr>
          <w:p w14:paraId="44ED687E" w14:textId="77777777" w:rsidR="005E671C" w:rsidRPr="005E671C" w:rsidRDefault="005E671C" w:rsidP="005E671C">
            <w:pPr>
              <w:spacing w:after="0" w:line="240" w:lineRule="auto"/>
              <w:jc w:val="center"/>
              <w:rPr>
                <w:rFonts w:ascii="Tahoma" w:eastAsia="Times New Roman" w:hAnsi="Tahoma" w:cs="Tahoma"/>
                <w:sz w:val="20"/>
                <w:szCs w:val="20"/>
                <w:lang w:eastAsia="hr-HR"/>
              </w:rPr>
            </w:pPr>
            <w:r w:rsidRPr="005E671C">
              <w:rPr>
                <w:rFonts w:ascii="Tahoma" w:eastAsia="Times New Roman" w:hAnsi="Tahoma" w:cs="Tahoma"/>
                <w:sz w:val="20"/>
                <w:szCs w:val="20"/>
                <w:lang w:eastAsia="hr-HR"/>
              </w:rPr>
              <w:t>6</w:t>
            </w:r>
          </w:p>
        </w:tc>
        <w:tc>
          <w:tcPr>
            <w:tcW w:w="426" w:type="dxa"/>
            <w:tcBorders>
              <w:top w:val="nil"/>
              <w:left w:val="nil"/>
              <w:bottom w:val="single" w:sz="4" w:space="0" w:color="auto"/>
              <w:right w:val="single" w:sz="4" w:space="0" w:color="auto"/>
            </w:tcBorders>
            <w:shd w:val="clear" w:color="000000" w:fill="FF9900"/>
            <w:noWrap/>
            <w:vAlign w:val="center"/>
            <w:hideMark/>
          </w:tcPr>
          <w:p w14:paraId="62CE705B" w14:textId="77777777" w:rsidR="005E671C" w:rsidRPr="005E671C" w:rsidRDefault="005E671C" w:rsidP="005E671C">
            <w:pPr>
              <w:spacing w:after="0" w:line="240" w:lineRule="auto"/>
              <w:jc w:val="center"/>
              <w:rPr>
                <w:rFonts w:ascii="Tahoma" w:eastAsia="Times New Roman" w:hAnsi="Tahoma" w:cs="Tahoma"/>
                <w:sz w:val="20"/>
                <w:szCs w:val="20"/>
                <w:lang w:eastAsia="hr-HR"/>
              </w:rPr>
            </w:pPr>
            <w:r w:rsidRPr="005E671C">
              <w:rPr>
                <w:rFonts w:ascii="Tahoma" w:eastAsia="Times New Roman" w:hAnsi="Tahoma" w:cs="Tahoma"/>
                <w:sz w:val="20"/>
                <w:szCs w:val="20"/>
                <w:lang w:eastAsia="hr-HR"/>
              </w:rPr>
              <w:t>3</w:t>
            </w:r>
          </w:p>
        </w:tc>
        <w:tc>
          <w:tcPr>
            <w:tcW w:w="854" w:type="dxa"/>
            <w:tcBorders>
              <w:top w:val="nil"/>
              <w:left w:val="nil"/>
              <w:bottom w:val="single" w:sz="4" w:space="0" w:color="auto"/>
              <w:right w:val="single" w:sz="4" w:space="0" w:color="auto"/>
            </w:tcBorders>
            <w:shd w:val="clear" w:color="000000" w:fill="FF9900"/>
            <w:noWrap/>
            <w:vAlign w:val="center"/>
            <w:hideMark/>
          </w:tcPr>
          <w:p w14:paraId="24B930F2" w14:textId="77777777" w:rsidR="005E671C" w:rsidRPr="005E671C" w:rsidRDefault="005E671C" w:rsidP="005E671C">
            <w:pPr>
              <w:spacing w:after="0" w:line="240" w:lineRule="auto"/>
              <w:jc w:val="center"/>
              <w:rPr>
                <w:rFonts w:ascii="Tahoma" w:eastAsia="Times New Roman" w:hAnsi="Tahoma" w:cs="Tahoma"/>
                <w:sz w:val="20"/>
                <w:szCs w:val="20"/>
                <w:lang w:eastAsia="hr-HR"/>
              </w:rPr>
            </w:pPr>
            <w:r w:rsidRPr="005E671C">
              <w:rPr>
                <w:rFonts w:ascii="Tahoma" w:eastAsia="Times New Roman" w:hAnsi="Tahoma" w:cs="Tahoma"/>
                <w:sz w:val="20"/>
                <w:szCs w:val="20"/>
                <w:lang w:eastAsia="hr-HR"/>
              </w:rPr>
              <w:t>3</w:t>
            </w:r>
          </w:p>
        </w:tc>
        <w:tc>
          <w:tcPr>
            <w:tcW w:w="440" w:type="dxa"/>
            <w:tcBorders>
              <w:top w:val="nil"/>
              <w:left w:val="nil"/>
              <w:bottom w:val="single" w:sz="4" w:space="0" w:color="auto"/>
              <w:right w:val="single" w:sz="4" w:space="0" w:color="auto"/>
            </w:tcBorders>
            <w:shd w:val="clear" w:color="000000" w:fill="CCFFFF"/>
            <w:noWrap/>
            <w:vAlign w:val="center"/>
            <w:hideMark/>
          </w:tcPr>
          <w:p w14:paraId="6F977E3E" w14:textId="77777777" w:rsidR="005E671C" w:rsidRPr="005E671C" w:rsidRDefault="005E671C" w:rsidP="005E671C">
            <w:pPr>
              <w:spacing w:after="0" w:line="240" w:lineRule="auto"/>
              <w:jc w:val="center"/>
              <w:rPr>
                <w:rFonts w:ascii="Tahoma" w:eastAsia="Times New Roman" w:hAnsi="Tahoma" w:cs="Tahoma"/>
                <w:sz w:val="20"/>
                <w:szCs w:val="20"/>
                <w:lang w:eastAsia="hr-HR"/>
              </w:rPr>
            </w:pPr>
            <w:r w:rsidRPr="005E671C">
              <w:rPr>
                <w:rFonts w:ascii="Tahoma" w:eastAsia="Times New Roman" w:hAnsi="Tahoma" w:cs="Tahoma"/>
                <w:sz w:val="20"/>
                <w:szCs w:val="20"/>
                <w:lang w:eastAsia="hr-HR"/>
              </w:rPr>
              <w:t>2</w:t>
            </w:r>
          </w:p>
        </w:tc>
        <w:tc>
          <w:tcPr>
            <w:tcW w:w="408" w:type="dxa"/>
            <w:tcBorders>
              <w:top w:val="nil"/>
              <w:left w:val="nil"/>
              <w:bottom w:val="single" w:sz="4" w:space="0" w:color="auto"/>
              <w:right w:val="single" w:sz="4" w:space="0" w:color="auto"/>
            </w:tcBorders>
            <w:shd w:val="clear" w:color="000000" w:fill="CCFFFF"/>
            <w:noWrap/>
            <w:vAlign w:val="center"/>
            <w:hideMark/>
          </w:tcPr>
          <w:p w14:paraId="21D2F18F" w14:textId="77777777" w:rsidR="005E671C" w:rsidRPr="005E671C" w:rsidRDefault="005E671C" w:rsidP="005E671C">
            <w:pPr>
              <w:spacing w:after="0" w:line="240" w:lineRule="auto"/>
              <w:jc w:val="center"/>
              <w:rPr>
                <w:rFonts w:ascii="Tahoma" w:eastAsia="Times New Roman" w:hAnsi="Tahoma" w:cs="Tahoma"/>
                <w:sz w:val="20"/>
                <w:szCs w:val="20"/>
                <w:lang w:eastAsia="hr-HR"/>
              </w:rPr>
            </w:pPr>
            <w:r w:rsidRPr="005E671C">
              <w:rPr>
                <w:rFonts w:ascii="Tahoma" w:eastAsia="Times New Roman" w:hAnsi="Tahoma" w:cs="Tahoma"/>
                <w:sz w:val="20"/>
                <w:szCs w:val="20"/>
                <w:lang w:eastAsia="hr-HR"/>
              </w:rPr>
              <w:t>4</w:t>
            </w:r>
          </w:p>
        </w:tc>
        <w:tc>
          <w:tcPr>
            <w:tcW w:w="433" w:type="dxa"/>
            <w:tcBorders>
              <w:top w:val="nil"/>
              <w:left w:val="nil"/>
              <w:bottom w:val="single" w:sz="4" w:space="0" w:color="auto"/>
              <w:right w:val="single" w:sz="4" w:space="0" w:color="auto"/>
            </w:tcBorders>
            <w:shd w:val="clear" w:color="000000" w:fill="CCFFFF"/>
            <w:noWrap/>
            <w:vAlign w:val="center"/>
            <w:hideMark/>
          </w:tcPr>
          <w:p w14:paraId="3489B71E" w14:textId="77777777" w:rsidR="005E671C" w:rsidRPr="005E671C" w:rsidRDefault="005E671C" w:rsidP="005E671C">
            <w:pPr>
              <w:spacing w:after="0" w:line="240" w:lineRule="auto"/>
              <w:jc w:val="center"/>
              <w:rPr>
                <w:rFonts w:ascii="Tahoma" w:eastAsia="Times New Roman" w:hAnsi="Tahoma" w:cs="Tahoma"/>
                <w:sz w:val="20"/>
                <w:szCs w:val="20"/>
                <w:lang w:eastAsia="hr-HR"/>
              </w:rPr>
            </w:pPr>
            <w:r w:rsidRPr="005E671C">
              <w:rPr>
                <w:rFonts w:ascii="Tahoma" w:eastAsia="Times New Roman" w:hAnsi="Tahoma" w:cs="Tahoma"/>
                <w:sz w:val="20"/>
                <w:szCs w:val="20"/>
                <w:lang w:eastAsia="hr-HR"/>
              </w:rPr>
              <w:t>0</w:t>
            </w:r>
          </w:p>
        </w:tc>
        <w:tc>
          <w:tcPr>
            <w:tcW w:w="425" w:type="dxa"/>
            <w:tcBorders>
              <w:top w:val="nil"/>
              <w:left w:val="nil"/>
              <w:bottom w:val="single" w:sz="4" w:space="0" w:color="auto"/>
              <w:right w:val="single" w:sz="8" w:space="0" w:color="auto"/>
            </w:tcBorders>
            <w:shd w:val="clear" w:color="000000" w:fill="33CCCC"/>
            <w:noWrap/>
            <w:vAlign w:val="center"/>
            <w:hideMark/>
          </w:tcPr>
          <w:p w14:paraId="2242CE45" w14:textId="77777777" w:rsidR="005E671C" w:rsidRPr="005E671C" w:rsidRDefault="005E671C" w:rsidP="005E671C">
            <w:pPr>
              <w:spacing w:after="0" w:line="240" w:lineRule="auto"/>
              <w:jc w:val="center"/>
              <w:rPr>
                <w:rFonts w:ascii="Tahoma" w:eastAsia="Times New Roman" w:hAnsi="Tahoma" w:cs="Tahoma"/>
                <w:sz w:val="20"/>
                <w:szCs w:val="20"/>
                <w:lang w:eastAsia="hr-HR"/>
              </w:rPr>
            </w:pPr>
            <w:r w:rsidRPr="005E671C">
              <w:rPr>
                <w:rFonts w:ascii="Tahoma" w:eastAsia="Times New Roman" w:hAnsi="Tahoma" w:cs="Tahoma"/>
                <w:sz w:val="20"/>
                <w:szCs w:val="20"/>
                <w:lang w:eastAsia="hr-HR"/>
              </w:rPr>
              <w:t>1</w:t>
            </w:r>
          </w:p>
        </w:tc>
        <w:tc>
          <w:tcPr>
            <w:tcW w:w="567" w:type="dxa"/>
            <w:tcBorders>
              <w:top w:val="nil"/>
              <w:left w:val="single" w:sz="4" w:space="0" w:color="auto"/>
              <w:bottom w:val="single" w:sz="4" w:space="0" w:color="auto"/>
              <w:right w:val="single" w:sz="8" w:space="0" w:color="auto"/>
            </w:tcBorders>
            <w:shd w:val="clear" w:color="000000" w:fill="33CCCC"/>
            <w:noWrap/>
            <w:vAlign w:val="center"/>
            <w:hideMark/>
          </w:tcPr>
          <w:p w14:paraId="77EFF4C5" w14:textId="77777777" w:rsidR="005E671C" w:rsidRPr="005E671C" w:rsidRDefault="005E671C" w:rsidP="005E671C">
            <w:pPr>
              <w:spacing w:after="0" w:line="240" w:lineRule="auto"/>
              <w:jc w:val="center"/>
              <w:rPr>
                <w:rFonts w:ascii="Tahoma" w:eastAsia="Times New Roman" w:hAnsi="Tahoma" w:cs="Tahoma"/>
                <w:sz w:val="20"/>
                <w:szCs w:val="20"/>
                <w:lang w:eastAsia="hr-HR"/>
              </w:rPr>
            </w:pPr>
            <w:r w:rsidRPr="005E671C">
              <w:rPr>
                <w:rFonts w:ascii="Tahoma" w:eastAsia="Times New Roman" w:hAnsi="Tahoma" w:cs="Tahoma"/>
                <w:sz w:val="20"/>
                <w:szCs w:val="20"/>
                <w:lang w:eastAsia="hr-HR"/>
              </w:rPr>
              <w:t>9</w:t>
            </w:r>
          </w:p>
        </w:tc>
        <w:tc>
          <w:tcPr>
            <w:tcW w:w="237" w:type="dxa"/>
            <w:gridSpan w:val="2"/>
            <w:vAlign w:val="center"/>
            <w:hideMark/>
          </w:tcPr>
          <w:p w14:paraId="4B8E2340" w14:textId="77777777" w:rsidR="005E671C" w:rsidRPr="005E671C" w:rsidRDefault="005E671C" w:rsidP="005E671C">
            <w:pPr>
              <w:spacing w:after="0" w:line="240" w:lineRule="auto"/>
              <w:rPr>
                <w:rFonts w:ascii="Times New Roman" w:eastAsia="Times New Roman" w:hAnsi="Times New Roman" w:cs="Times New Roman"/>
                <w:sz w:val="20"/>
                <w:szCs w:val="20"/>
                <w:lang w:eastAsia="hr-HR"/>
              </w:rPr>
            </w:pPr>
          </w:p>
        </w:tc>
      </w:tr>
      <w:tr w:rsidR="005E671C" w:rsidRPr="005E671C" w14:paraId="6F81EEFC" w14:textId="77777777" w:rsidTr="001752B7">
        <w:trPr>
          <w:gridAfter w:val="1"/>
          <w:wAfter w:w="51" w:type="dxa"/>
          <w:trHeight w:val="465"/>
        </w:trPr>
        <w:tc>
          <w:tcPr>
            <w:tcW w:w="1550" w:type="dxa"/>
            <w:tcBorders>
              <w:top w:val="single" w:sz="4" w:space="0" w:color="auto"/>
              <w:left w:val="single" w:sz="8" w:space="0" w:color="auto"/>
              <w:bottom w:val="single" w:sz="4" w:space="0" w:color="auto"/>
              <w:right w:val="single" w:sz="4" w:space="0" w:color="auto"/>
            </w:tcBorders>
            <w:shd w:val="clear" w:color="000000" w:fill="CCFFCC"/>
            <w:vAlign w:val="center"/>
            <w:hideMark/>
          </w:tcPr>
          <w:p w14:paraId="2656CD10" w14:textId="77777777" w:rsidR="005E671C" w:rsidRPr="005E671C" w:rsidRDefault="005E671C" w:rsidP="005E671C">
            <w:pPr>
              <w:spacing w:after="0" w:line="240" w:lineRule="auto"/>
              <w:rPr>
                <w:rFonts w:ascii="Tahoma" w:eastAsia="Times New Roman" w:hAnsi="Tahoma" w:cs="Tahoma"/>
                <w:sz w:val="20"/>
                <w:szCs w:val="20"/>
                <w:lang w:eastAsia="hr-HR"/>
              </w:rPr>
            </w:pPr>
            <w:r w:rsidRPr="005E671C">
              <w:rPr>
                <w:rFonts w:ascii="Tahoma" w:eastAsia="Times New Roman" w:hAnsi="Tahoma" w:cs="Tahoma"/>
                <w:sz w:val="20"/>
                <w:szCs w:val="20"/>
                <w:lang w:eastAsia="hr-HR"/>
              </w:rPr>
              <w:t>Bračni ili obiteljski status</w:t>
            </w:r>
          </w:p>
        </w:tc>
        <w:tc>
          <w:tcPr>
            <w:tcW w:w="669" w:type="dxa"/>
            <w:tcBorders>
              <w:top w:val="nil"/>
              <w:left w:val="nil"/>
              <w:bottom w:val="single" w:sz="4" w:space="0" w:color="auto"/>
              <w:right w:val="single" w:sz="4" w:space="0" w:color="auto"/>
            </w:tcBorders>
            <w:shd w:val="clear" w:color="000000" w:fill="FFCC99"/>
            <w:noWrap/>
            <w:vAlign w:val="center"/>
            <w:hideMark/>
          </w:tcPr>
          <w:p w14:paraId="6B05B2CE" w14:textId="77777777" w:rsidR="005E671C" w:rsidRPr="005E671C" w:rsidRDefault="005E671C" w:rsidP="005E671C">
            <w:pPr>
              <w:spacing w:after="0" w:line="240" w:lineRule="auto"/>
              <w:jc w:val="center"/>
              <w:rPr>
                <w:rFonts w:ascii="Tahoma" w:eastAsia="Times New Roman" w:hAnsi="Tahoma" w:cs="Tahoma"/>
                <w:sz w:val="20"/>
                <w:szCs w:val="20"/>
                <w:lang w:eastAsia="hr-HR"/>
              </w:rPr>
            </w:pPr>
            <w:r w:rsidRPr="005E671C">
              <w:rPr>
                <w:rFonts w:ascii="Tahoma" w:eastAsia="Times New Roman" w:hAnsi="Tahoma" w:cs="Tahoma"/>
                <w:sz w:val="20"/>
                <w:szCs w:val="20"/>
                <w:lang w:eastAsia="hr-HR"/>
              </w:rPr>
              <w:t>1</w:t>
            </w:r>
          </w:p>
        </w:tc>
        <w:tc>
          <w:tcPr>
            <w:tcW w:w="352" w:type="dxa"/>
            <w:tcBorders>
              <w:top w:val="nil"/>
              <w:left w:val="nil"/>
              <w:bottom w:val="single" w:sz="4" w:space="0" w:color="auto"/>
              <w:right w:val="single" w:sz="4" w:space="0" w:color="auto"/>
            </w:tcBorders>
            <w:shd w:val="clear" w:color="000000" w:fill="FFFF00"/>
            <w:noWrap/>
            <w:vAlign w:val="center"/>
            <w:hideMark/>
          </w:tcPr>
          <w:p w14:paraId="54A97A6D" w14:textId="77777777" w:rsidR="005E671C" w:rsidRPr="005E671C" w:rsidRDefault="005E671C" w:rsidP="005E671C">
            <w:pPr>
              <w:spacing w:after="0" w:line="240" w:lineRule="auto"/>
              <w:jc w:val="center"/>
              <w:rPr>
                <w:rFonts w:ascii="Tahoma" w:eastAsia="Times New Roman" w:hAnsi="Tahoma" w:cs="Tahoma"/>
                <w:sz w:val="20"/>
                <w:szCs w:val="20"/>
                <w:lang w:eastAsia="hr-HR"/>
              </w:rPr>
            </w:pPr>
            <w:r w:rsidRPr="005E671C">
              <w:rPr>
                <w:rFonts w:ascii="Tahoma" w:eastAsia="Times New Roman" w:hAnsi="Tahoma" w:cs="Tahoma"/>
                <w:sz w:val="20"/>
                <w:szCs w:val="20"/>
                <w:lang w:eastAsia="hr-HR"/>
              </w:rPr>
              <w:t>2</w:t>
            </w:r>
          </w:p>
        </w:tc>
        <w:tc>
          <w:tcPr>
            <w:tcW w:w="574" w:type="dxa"/>
            <w:tcBorders>
              <w:top w:val="nil"/>
              <w:left w:val="nil"/>
              <w:bottom w:val="single" w:sz="4" w:space="0" w:color="auto"/>
              <w:right w:val="single" w:sz="4" w:space="0" w:color="auto"/>
            </w:tcBorders>
            <w:shd w:val="clear" w:color="000000" w:fill="CCFFFF"/>
            <w:noWrap/>
            <w:vAlign w:val="center"/>
            <w:hideMark/>
          </w:tcPr>
          <w:p w14:paraId="04CA8F87" w14:textId="77777777" w:rsidR="005E671C" w:rsidRPr="005E671C" w:rsidRDefault="005E671C" w:rsidP="005E671C">
            <w:pPr>
              <w:spacing w:after="0" w:line="240" w:lineRule="auto"/>
              <w:jc w:val="center"/>
              <w:rPr>
                <w:rFonts w:ascii="Tahoma" w:eastAsia="Times New Roman" w:hAnsi="Tahoma" w:cs="Tahoma"/>
                <w:sz w:val="20"/>
                <w:szCs w:val="20"/>
                <w:lang w:eastAsia="hr-HR"/>
              </w:rPr>
            </w:pPr>
            <w:r w:rsidRPr="005E671C">
              <w:rPr>
                <w:rFonts w:ascii="Tahoma" w:eastAsia="Times New Roman" w:hAnsi="Tahoma" w:cs="Tahoma"/>
                <w:sz w:val="20"/>
                <w:szCs w:val="20"/>
                <w:lang w:eastAsia="hr-HR"/>
              </w:rPr>
              <w:t>2</w:t>
            </w:r>
          </w:p>
        </w:tc>
        <w:tc>
          <w:tcPr>
            <w:tcW w:w="440" w:type="dxa"/>
            <w:tcBorders>
              <w:top w:val="nil"/>
              <w:left w:val="nil"/>
              <w:bottom w:val="single" w:sz="4" w:space="0" w:color="auto"/>
              <w:right w:val="single" w:sz="4" w:space="0" w:color="auto"/>
            </w:tcBorders>
            <w:shd w:val="clear" w:color="000000" w:fill="CCFFFF"/>
            <w:noWrap/>
            <w:vAlign w:val="center"/>
            <w:hideMark/>
          </w:tcPr>
          <w:p w14:paraId="69F0DF0B" w14:textId="77777777" w:rsidR="005E671C" w:rsidRPr="005E671C" w:rsidRDefault="005E671C" w:rsidP="005E671C">
            <w:pPr>
              <w:spacing w:after="0" w:line="240" w:lineRule="auto"/>
              <w:jc w:val="center"/>
              <w:rPr>
                <w:rFonts w:ascii="Tahoma" w:eastAsia="Times New Roman" w:hAnsi="Tahoma" w:cs="Tahoma"/>
                <w:sz w:val="20"/>
                <w:szCs w:val="20"/>
                <w:lang w:eastAsia="hr-HR"/>
              </w:rPr>
            </w:pPr>
            <w:r w:rsidRPr="005E671C">
              <w:rPr>
                <w:rFonts w:ascii="Tahoma" w:eastAsia="Times New Roman" w:hAnsi="Tahoma" w:cs="Tahoma"/>
                <w:sz w:val="20"/>
                <w:szCs w:val="20"/>
                <w:lang w:eastAsia="hr-HR"/>
              </w:rPr>
              <w:t>0</w:t>
            </w:r>
          </w:p>
        </w:tc>
        <w:tc>
          <w:tcPr>
            <w:tcW w:w="700" w:type="dxa"/>
            <w:tcBorders>
              <w:top w:val="nil"/>
              <w:left w:val="nil"/>
              <w:bottom w:val="single" w:sz="4" w:space="0" w:color="auto"/>
              <w:right w:val="single" w:sz="4" w:space="0" w:color="auto"/>
            </w:tcBorders>
            <w:shd w:val="clear" w:color="000000" w:fill="FFFF99"/>
            <w:noWrap/>
            <w:vAlign w:val="center"/>
            <w:hideMark/>
          </w:tcPr>
          <w:p w14:paraId="58A9A141" w14:textId="77777777" w:rsidR="005E671C" w:rsidRPr="005E671C" w:rsidRDefault="005E671C" w:rsidP="005E671C">
            <w:pPr>
              <w:spacing w:after="0" w:line="240" w:lineRule="auto"/>
              <w:jc w:val="center"/>
              <w:rPr>
                <w:rFonts w:ascii="Tahoma" w:eastAsia="Times New Roman" w:hAnsi="Tahoma" w:cs="Tahoma"/>
                <w:sz w:val="20"/>
                <w:szCs w:val="20"/>
                <w:lang w:eastAsia="hr-HR"/>
              </w:rPr>
            </w:pPr>
            <w:r w:rsidRPr="005E671C">
              <w:rPr>
                <w:rFonts w:ascii="Tahoma" w:eastAsia="Times New Roman" w:hAnsi="Tahoma" w:cs="Tahoma"/>
                <w:sz w:val="20"/>
                <w:szCs w:val="20"/>
                <w:lang w:eastAsia="hr-HR"/>
              </w:rPr>
              <w:t>2</w:t>
            </w:r>
          </w:p>
        </w:tc>
        <w:tc>
          <w:tcPr>
            <w:tcW w:w="698" w:type="dxa"/>
            <w:tcBorders>
              <w:top w:val="nil"/>
              <w:left w:val="nil"/>
              <w:bottom w:val="single" w:sz="4" w:space="0" w:color="auto"/>
              <w:right w:val="single" w:sz="4" w:space="0" w:color="auto"/>
            </w:tcBorders>
            <w:shd w:val="clear" w:color="000000" w:fill="FFFF99"/>
            <w:noWrap/>
            <w:vAlign w:val="center"/>
            <w:hideMark/>
          </w:tcPr>
          <w:p w14:paraId="7E9C28E7" w14:textId="77777777" w:rsidR="005E671C" w:rsidRPr="005E671C" w:rsidRDefault="005E671C" w:rsidP="005E671C">
            <w:pPr>
              <w:spacing w:after="0" w:line="240" w:lineRule="auto"/>
              <w:jc w:val="center"/>
              <w:rPr>
                <w:rFonts w:ascii="Tahoma" w:eastAsia="Times New Roman" w:hAnsi="Tahoma" w:cs="Tahoma"/>
                <w:sz w:val="20"/>
                <w:szCs w:val="20"/>
                <w:lang w:eastAsia="hr-HR"/>
              </w:rPr>
            </w:pPr>
            <w:r w:rsidRPr="005E671C">
              <w:rPr>
                <w:rFonts w:ascii="Tahoma" w:eastAsia="Times New Roman" w:hAnsi="Tahoma" w:cs="Tahoma"/>
                <w:sz w:val="20"/>
                <w:szCs w:val="20"/>
                <w:lang w:eastAsia="hr-HR"/>
              </w:rPr>
              <w:t>0</w:t>
            </w:r>
          </w:p>
        </w:tc>
        <w:tc>
          <w:tcPr>
            <w:tcW w:w="698" w:type="dxa"/>
            <w:tcBorders>
              <w:top w:val="nil"/>
              <w:left w:val="nil"/>
              <w:bottom w:val="single" w:sz="4" w:space="0" w:color="auto"/>
              <w:right w:val="single" w:sz="4" w:space="0" w:color="auto"/>
            </w:tcBorders>
            <w:shd w:val="clear" w:color="000000" w:fill="FFFF99"/>
            <w:noWrap/>
            <w:vAlign w:val="center"/>
            <w:hideMark/>
          </w:tcPr>
          <w:p w14:paraId="47DA3482" w14:textId="77777777" w:rsidR="005E671C" w:rsidRPr="005E671C" w:rsidRDefault="005E671C" w:rsidP="005E671C">
            <w:pPr>
              <w:spacing w:after="0" w:line="240" w:lineRule="auto"/>
              <w:jc w:val="center"/>
              <w:rPr>
                <w:rFonts w:ascii="Tahoma" w:eastAsia="Times New Roman" w:hAnsi="Tahoma" w:cs="Tahoma"/>
                <w:sz w:val="20"/>
                <w:szCs w:val="20"/>
                <w:lang w:eastAsia="hr-HR"/>
              </w:rPr>
            </w:pPr>
            <w:r w:rsidRPr="005E671C">
              <w:rPr>
                <w:rFonts w:ascii="Tahoma" w:eastAsia="Times New Roman" w:hAnsi="Tahoma" w:cs="Tahoma"/>
                <w:sz w:val="20"/>
                <w:szCs w:val="20"/>
                <w:lang w:eastAsia="hr-HR"/>
              </w:rPr>
              <w:t>0</w:t>
            </w:r>
          </w:p>
        </w:tc>
        <w:tc>
          <w:tcPr>
            <w:tcW w:w="698" w:type="dxa"/>
            <w:tcBorders>
              <w:top w:val="nil"/>
              <w:left w:val="nil"/>
              <w:bottom w:val="single" w:sz="4" w:space="0" w:color="auto"/>
              <w:right w:val="single" w:sz="4" w:space="0" w:color="auto"/>
            </w:tcBorders>
            <w:shd w:val="clear" w:color="000000" w:fill="FFFF99"/>
            <w:noWrap/>
            <w:vAlign w:val="center"/>
            <w:hideMark/>
          </w:tcPr>
          <w:p w14:paraId="191D2C2E" w14:textId="77777777" w:rsidR="005E671C" w:rsidRPr="005E671C" w:rsidRDefault="005E671C" w:rsidP="005E671C">
            <w:pPr>
              <w:spacing w:after="0" w:line="240" w:lineRule="auto"/>
              <w:jc w:val="center"/>
              <w:rPr>
                <w:rFonts w:ascii="Tahoma" w:eastAsia="Times New Roman" w:hAnsi="Tahoma" w:cs="Tahoma"/>
                <w:sz w:val="20"/>
                <w:szCs w:val="20"/>
                <w:lang w:eastAsia="hr-HR"/>
              </w:rPr>
            </w:pPr>
            <w:r w:rsidRPr="005E671C">
              <w:rPr>
                <w:rFonts w:ascii="Tahoma" w:eastAsia="Times New Roman" w:hAnsi="Tahoma" w:cs="Tahoma"/>
                <w:sz w:val="20"/>
                <w:szCs w:val="20"/>
                <w:lang w:eastAsia="hr-HR"/>
              </w:rPr>
              <w:t>0</w:t>
            </w:r>
          </w:p>
        </w:tc>
        <w:tc>
          <w:tcPr>
            <w:tcW w:w="698" w:type="dxa"/>
            <w:tcBorders>
              <w:top w:val="nil"/>
              <w:left w:val="nil"/>
              <w:bottom w:val="single" w:sz="4" w:space="0" w:color="auto"/>
              <w:right w:val="single" w:sz="4" w:space="0" w:color="auto"/>
            </w:tcBorders>
            <w:shd w:val="clear" w:color="000000" w:fill="FFFF99"/>
            <w:noWrap/>
            <w:vAlign w:val="center"/>
            <w:hideMark/>
          </w:tcPr>
          <w:p w14:paraId="0F34A918" w14:textId="77777777" w:rsidR="005E671C" w:rsidRPr="005E671C" w:rsidRDefault="005E671C" w:rsidP="005E671C">
            <w:pPr>
              <w:spacing w:after="0" w:line="240" w:lineRule="auto"/>
              <w:jc w:val="center"/>
              <w:rPr>
                <w:rFonts w:ascii="Tahoma" w:eastAsia="Times New Roman" w:hAnsi="Tahoma" w:cs="Tahoma"/>
                <w:sz w:val="20"/>
                <w:szCs w:val="20"/>
                <w:lang w:eastAsia="hr-HR"/>
              </w:rPr>
            </w:pPr>
            <w:r w:rsidRPr="005E671C">
              <w:rPr>
                <w:rFonts w:ascii="Tahoma" w:eastAsia="Times New Roman" w:hAnsi="Tahoma" w:cs="Tahoma"/>
                <w:sz w:val="20"/>
                <w:szCs w:val="20"/>
                <w:lang w:eastAsia="hr-HR"/>
              </w:rPr>
              <w:t>0</w:t>
            </w:r>
          </w:p>
        </w:tc>
        <w:tc>
          <w:tcPr>
            <w:tcW w:w="698" w:type="dxa"/>
            <w:tcBorders>
              <w:top w:val="nil"/>
              <w:left w:val="nil"/>
              <w:bottom w:val="single" w:sz="4" w:space="0" w:color="auto"/>
              <w:right w:val="single" w:sz="4" w:space="0" w:color="auto"/>
            </w:tcBorders>
            <w:shd w:val="clear" w:color="000000" w:fill="FFFF99"/>
            <w:noWrap/>
            <w:vAlign w:val="center"/>
            <w:hideMark/>
          </w:tcPr>
          <w:p w14:paraId="7247C306" w14:textId="77777777" w:rsidR="005E671C" w:rsidRPr="005E671C" w:rsidRDefault="005E671C" w:rsidP="005E671C">
            <w:pPr>
              <w:spacing w:after="0" w:line="240" w:lineRule="auto"/>
              <w:jc w:val="center"/>
              <w:rPr>
                <w:rFonts w:ascii="Tahoma" w:eastAsia="Times New Roman" w:hAnsi="Tahoma" w:cs="Tahoma"/>
                <w:sz w:val="20"/>
                <w:szCs w:val="20"/>
                <w:lang w:eastAsia="hr-HR"/>
              </w:rPr>
            </w:pPr>
            <w:r w:rsidRPr="005E671C">
              <w:rPr>
                <w:rFonts w:ascii="Tahoma" w:eastAsia="Times New Roman" w:hAnsi="Tahoma" w:cs="Tahoma"/>
                <w:sz w:val="20"/>
                <w:szCs w:val="20"/>
                <w:lang w:eastAsia="hr-HR"/>
              </w:rPr>
              <w:t>0</w:t>
            </w:r>
          </w:p>
        </w:tc>
        <w:tc>
          <w:tcPr>
            <w:tcW w:w="493" w:type="dxa"/>
            <w:tcBorders>
              <w:top w:val="nil"/>
              <w:left w:val="nil"/>
              <w:bottom w:val="single" w:sz="4" w:space="0" w:color="auto"/>
              <w:right w:val="single" w:sz="4" w:space="0" w:color="auto"/>
            </w:tcBorders>
            <w:shd w:val="clear" w:color="000000" w:fill="FF9900"/>
            <w:noWrap/>
            <w:vAlign w:val="center"/>
            <w:hideMark/>
          </w:tcPr>
          <w:p w14:paraId="4611BE0E" w14:textId="77777777" w:rsidR="005E671C" w:rsidRPr="005E671C" w:rsidRDefault="005E671C" w:rsidP="005E671C">
            <w:pPr>
              <w:spacing w:after="0" w:line="240" w:lineRule="auto"/>
              <w:jc w:val="center"/>
              <w:rPr>
                <w:rFonts w:ascii="Tahoma" w:eastAsia="Times New Roman" w:hAnsi="Tahoma" w:cs="Tahoma"/>
                <w:sz w:val="20"/>
                <w:szCs w:val="20"/>
                <w:lang w:eastAsia="hr-HR"/>
              </w:rPr>
            </w:pPr>
            <w:r w:rsidRPr="005E671C">
              <w:rPr>
                <w:rFonts w:ascii="Tahoma" w:eastAsia="Times New Roman" w:hAnsi="Tahoma" w:cs="Tahoma"/>
                <w:sz w:val="20"/>
                <w:szCs w:val="20"/>
                <w:lang w:eastAsia="hr-HR"/>
              </w:rPr>
              <w:t>0</w:t>
            </w:r>
          </w:p>
        </w:tc>
        <w:tc>
          <w:tcPr>
            <w:tcW w:w="469" w:type="dxa"/>
            <w:tcBorders>
              <w:top w:val="nil"/>
              <w:left w:val="nil"/>
              <w:bottom w:val="single" w:sz="4" w:space="0" w:color="auto"/>
              <w:right w:val="single" w:sz="4" w:space="0" w:color="auto"/>
            </w:tcBorders>
            <w:shd w:val="clear" w:color="000000" w:fill="FF9900"/>
            <w:noWrap/>
            <w:vAlign w:val="center"/>
            <w:hideMark/>
          </w:tcPr>
          <w:p w14:paraId="31B5091C" w14:textId="77777777" w:rsidR="005E671C" w:rsidRPr="005E671C" w:rsidRDefault="005E671C" w:rsidP="005E671C">
            <w:pPr>
              <w:spacing w:after="0" w:line="240" w:lineRule="auto"/>
              <w:jc w:val="center"/>
              <w:rPr>
                <w:rFonts w:ascii="Tahoma" w:eastAsia="Times New Roman" w:hAnsi="Tahoma" w:cs="Tahoma"/>
                <w:sz w:val="20"/>
                <w:szCs w:val="20"/>
                <w:lang w:eastAsia="hr-HR"/>
              </w:rPr>
            </w:pPr>
            <w:r w:rsidRPr="005E671C">
              <w:rPr>
                <w:rFonts w:ascii="Tahoma" w:eastAsia="Times New Roman" w:hAnsi="Tahoma" w:cs="Tahoma"/>
                <w:sz w:val="20"/>
                <w:szCs w:val="20"/>
                <w:lang w:eastAsia="hr-HR"/>
              </w:rPr>
              <w:t>0</w:t>
            </w:r>
          </w:p>
        </w:tc>
        <w:tc>
          <w:tcPr>
            <w:tcW w:w="467" w:type="dxa"/>
            <w:tcBorders>
              <w:top w:val="nil"/>
              <w:left w:val="nil"/>
              <w:bottom w:val="single" w:sz="4" w:space="0" w:color="auto"/>
              <w:right w:val="single" w:sz="4" w:space="0" w:color="auto"/>
            </w:tcBorders>
            <w:shd w:val="clear" w:color="000000" w:fill="FF9900"/>
            <w:noWrap/>
            <w:vAlign w:val="center"/>
            <w:hideMark/>
          </w:tcPr>
          <w:p w14:paraId="092B51D7" w14:textId="77777777" w:rsidR="005E671C" w:rsidRPr="005E671C" w:rsidRDefault="005E671C" w:rsidP="005E671C">
            <w:pPr>
              <w:spacing w:after="0" w:line="240" w:lineRule="auto"/>
              <w:jc w:val="center"/>
              <w:rPr>
                <w:rFonts w:ascii="Tahoma" w:eastAsia="Times New Roman" w:hAnsi="Tahoma" w:cs="Tahoma"/>
                <w:sz w:val="20"/>
                <w:szCs w:val="20"/>
                <w:lang w:eastAsia="hr-HR"/>
              </w:rPr>
            </w:pPr>
            <w:r w:rsidRPr="005E671C">
              <w:rPr>
                <w:rFonts w:ascii="Tahoma" w:eastAsia="Times New Roman" w:hAnsi="Tahoma" w:cs="Tahoma"/>
                <w:sz w:val="20"/>
                <w:szCs w:val="20"/>
                <w:lang w:eastAsia="hr-HR"/>
              </w:rPr>
              <w:t>0</w:t>
            </w:r>
          </w:p>
        </w:tc>
        <w:tc>
          <w:tcPr>
            <w:tcW w:w="567" w:type="dxa"/>
            <w:tcBorders>
              <w:top w:val="nil"/>
              <w:left w:val="nil"/>
              <w:bottom w:val="single" w:sz="4" w:space="0" w:color="auto"/>
              <w:right w:val="single" w:sz="4" w:space="0" w:color="auto"/>
            </w:tcBorders>
            <w:shd w:val="clear" w:color="000000" w:fill="FFFF00"/>
            <w:vAlign w:val="center"/>
            <w:hideMark/>
          </w:tcPr>
          <w:p w14:paraId="5DEF5056" w14:textId="77777777" w:rsidR="005E671C" w:rsidRPr="005E671C" w:rsidRDefault="005E671C" w:rsidP="005E671C">
            <w:pPr>
              <w:spacing w:after="0" w:line="240" w:lineRule="auto"/>
              <w:jc w:val="center"/>
              <w:rPr>
                <w:rFonts w:ascii="Tahoma" w:eastAsia="Times New Roman" w:hAnsi="Tahoma" w:cs="Tahoma"/>
                <w:sz w:val="20"/>
                <w:szCs w:val="20"/>
                <w:lang w:eastAsia="hr-HR"/>
              </w:rPr>
            </w:pPr>
            <w:r w:rsidRPr="005E671C">
              <w:rPr>
                <w:rFonts w:ascii="Tahoma" w:eastAsia="Times New Roman" w:hAnsi="Tahoma" w:cs="Tahoma"/>
                <w:sz w:val="20"/>
                <w:szCs w:val="20"/>
                <w:lang w:eastAsia="hr-HR"/>
              </w:rPr>
              <w:t>0</w:t>
            </w:r>
          </w:p>
        </w:tc>
        <w:tc>
          <w:tcPr>
            <w:tcW w:w="542" w:type="dxa"/>
            <w:tcBorders>
              <w:top w:val="nil"/>
              <w:left w:val="nil"/>
              <w:bottom w:val="single" w:sz="4" w:space="0" w:color="auto"/>
              <w:right w:val="single" w:sz="4" w:space="0" w:color="auto"/>
            </w:tcBorders>
            <w:shd w:val="clear" w:color="000000" w:fill="FF9900"/>
            <w:vAlign w:val="center"/>
            <w:hideMark/>
          </w:tcPr>
          <w:p w14:paraId="40E9EC07" w14:textId="77777777" w:rsidR="005E671C" w:rsidRPr="005E671C" w:rsidRDefault="005E671C" w:rsidP="005E671C">
            <w:pPr>
              <w:spacing w:after="0" w:line="240" w:lineRule="auto"/>
              <w:jc w:val="center"/>
              <w:rPr>
                <w:rFonts w:ascii="Tahoma" w:eastAsia="Times New Roman" w:hAnsi="Tahoma" w:cs="Tahoma"/>
                <w:sz w:val="20"/>
                <w:szCs w:val="20"/>
                <w:lang w:eastAsia="hr-HR"/>
              </w:rPr>
            </w:pPr>
            <w:r w:rsidRPr="005E671C">
              <w:rPr>
                <w:rFonts w:ascii="Tahoma" w:eastAsia="Times New Roman" w:hAnsi="Tahoma" w:cs="Tahoma"/>
                <w:sz w:val="20"/>
                <w:szCs w:val="20"/>
                <w:lang w:eastAsia="hr-HR"/>
              </w:rPr>
              <w:t>3</w:t>
            </w:r>
          </w:p>
        </w:tc>
        <w:tc>
          <w:tcPr>
            <w:tcW w:w="441" w:type="dxa"/>
            <w:tcBorders>
              <w:top w:val="nil"/>
              <w:left w:val="nil"/>
              <w:bottom w:val="single" w:sz="4" w:space="0" w:color="auto"/>
              <w:right w:val="single" w:sz="4" w:space="0" w:color="auto"/>
            </w:tcBorders>
            <w:shd w:val="clear" w:color="000000" w:fill="FF9900"/>
            <w:noWrap/>
            <w:vAlign w:val="center"/>
            <w:hideMark/>
          </w:tcPr>
          <w:p w14:paraId="69109AE3" w14:textId="77777777" w:rsidR="005E671C" w:rsidRPr="005E671C" w:rsidRDefault="005E671C" w:rsidP="005E671C">
            <w:pPr>
              <w:spacing w:after="0" w:line="240" w:lineRule="auto"/>
              <w:jc w:val="center"/>
              <w:rPr>
                <w:rFonts w:ascii="Tahoma" w:eastAsia="Times New Roman" w:hAnsi="Tahoma" w:cs="Tahoma"/>
                <w:sz w:val="20"/>
                <w:szCs w:val="20"/>
                <w:lang w:eastAsia="hr-HR"/>
              </w:rPr>
            </w:pPr>
            <w:r w:rsidRPr="005E671C">
              <w:rPr>
                <w:rFonts w:ascii="Tahoma" w:eastAsia="Times New Roman" w:hAnsi="Tahoma" w:cs="Tahoma"/>
                <w:sz w:val="20"/>
                <w:szCs w:val="20"/>
                <w:lang w:eastAsia="hr-HR"/>
              </w:rPr>
              <w:t>0</w:t>
            </w:r>
          </w:p>
        </w:tc>
        <w:tc>
          <w:tcPr>
            <w:tcW w:w="426" w:type="dxa"/>
            <w:tcBorders>
              <w:top w:val="nil"/>
              <w:left w:val="nil"/>
              <w:bottom w:val="single" w:sz="4" w:space="0" w:color="auto"/>
              <w:right w:val="single" w:sz="4" w:space="0" w:color="auto"/>
            </w:tcBorders>
            <w:shd w:val="clear" w:color="000000" w:fill="FF9900"/>
            <w:noWrap/>
            <w:vAlign w:val="center"/>
            <w:hideMark/>
          </w:tcPr>
          <w:p w14:paraId="3D12E835" w14:textId="77777777" w:rsidR="005E671C" w:rsidRPr="005E671C" w:rsidRDefault="005E671C" w:rsidP="005E671C">
            <w:pPr>
              <w:spacing w:after="0" w:line="240" w:lineRule="auto"/>
              <w:jc w:val="center"/>
              <w:rPr>
                <w:rFonts w:ascii="Tahoma" w:eastAsia="Times New Roman" w:hAnsi="Tahoma" w:cs="Tahoma"/>
                <w:sz w:val="20"/>
                <w:szCs w:val="20"/>
                <w:lang w:eastAsia="hr-HR"/>
              </w:rPr>
            </w:pPr>
            <w:r w:rsidRPr="005E671C">
              <w:rPr>
                <w:rFonts w:ascii="Tahoma" w:eastAsia="Times New Roman" w:hAnsi="Tahoma" w:cs="Tahoma"/>
                <w:sz w:val="20"/>
                <w:szCs w:val="20"/>
                <w:lang w:eastAsia="hr-HR"/>
              </w:rPr>
              <w:t>0</w:t>
            </w:r>
          </w:p>
        </w:tc>
        <w:tc>
          <w:tcPr>
            <w:tcW w:w="854" w:type="dxa"/>
            <w:tcBorders>
              <w:top w:val="nil"/>
              <w:left w:val="nil"/>
              <w:bottom w:val="single" w:sz="4" w:space="0" w:color="auto"/>
              <w:right w:val="single" w:sz="4" w:space="0" w:color="auto"/>
            </w:tcBorders>
            <w:shd w:val="clear" w:color="000000" w:fill="FF9900"/>
            <w:noWrap/>
            <w:vAlign w:val="center"/>
            <w:hideMark/>
          </w:tcPr>
          <w:p w14:paraId="196308C1" w14:textId="77777777" w:rsidR="005E671C" w:rsidRPr="005E671C" w:rsidRDefault="005E671C" w:rsidP="005E671C">
            <w:pPr>
              <w:spacing w:after="0" w:line="240" w:lineRule="auto"/>
              <w:jc w:val="center"/>
              <w:rPr>
                <w:rFonts w:ascii="Tahoma" w:eastAsia="Times New Roman" w:hAnsi="Tahoma" w:cs="Tahoma"/>
                <w:sz w:val="20"/>
                <w:szCs w:val="20"/>
                <w:lang w:eastAsia="hr-HR"/>
              </w:rPr>
            </w:pPr>
            <w:r w:rsidRPr="005E671C">
              <w:rPr>
                <w:rFonts w:ascii="Tahoma" w:eastAsia="Times New Roman" w:hAnsi="Tahoma" w:cs="Tahoma"/>
                <w:sz w:val="20"/>
                <w:szCs w:val="20"/>
                <w:lang w:eastAsia="hr-HR"/>
              </w:rPr>
              <w:t>0</w:t>
            </w:r>
          </w:p>
        </w:tc>
        <w:tc>
          <w:tcPr>
            <w:tcW w:w="440" w:type="dxa"/>
            <w:tcBorders>
              <w:top w:val="nil"/>
              <w:left w:val="nil"/>
              <w:bottom w:val="single" w:sz="4" w:space="0" w:color="auto"/>
              <w:right w:val="single" w:sz="4" w:space="0" w:color="auto"/>
            </w:tcBorders>
            <w:shd w:val="clear" w:color="000000" w:fill="CCFFFF"/>
            <w:noWrap/>
            <w:vAlign w:val="center"/>
            <w:hideMark/>
          </w:tcPr>
          <w:p w14:paraId="0753A33E" w14:textId="77777777" w:rsidR="005E671C" w:rsidRPr="005E671C" w:rsidRDefault="005E671C" w:rsidP="005E671C">
            <w:pPr>
              <w:spacing w:after="0" w:line="240" w:lineRule="auto"/>
              <w:jc w:val="center"/>
              <w:rPr>
                <w:rFonts w:ascii="Tahoma" w:eastAsia="Times New Roman" w:hAnsi="Tahoma" w:cs="Tahoma"/>
                <w:sz w:val="20"/>
                <w:szCs w:val="20"/>
                <w:lang w:eastAsia="hr-HR"/>
              </w:rPr>
            </w:pPr>
            <w:r w:rsidRPr="005E671C">
              <w:rPr>
                <w:rFonts w:ascii="Tahoma" w:eastAsia="Times New Roman" w:hAnsi="Tahoma" w:cs="Tahoma"/>
                <w:sz w:val="20"/>
                <w:szCs w:val="20"/>
                <w:lang w:eastAsia="hr-HR"/>
              </w:rPr>
              <w:t>0</w:t>
            </w:r>
          </w:p>
        </w:tc>
        <w:tc>
          <w:tcPr>
            <w:tcW w:w="408" w:type="dxa"/>
            <w:tcBorders>
              <w:top w:val="nil"/>
              <w:left w:val="nil"/>
              <w:bottom w:val="single" w:sz="4" w:space="0" w:color="auto"/>
              <w:right w:val="single" w:sz="4" w:space="0" w:color="auto"/>
            </w:tcBorders>
            <w:shd w:val="clear" w:color="000000" w:fill="CCFFFF"/>
            <w:noWrap/>
            <w:vAlign w:val="center"/>
            <w:hideMark/>
          </w:tcPr>
          <w:p w14:paraId="2EAA2DCF" w14:textId="77777777" w:rsidR="005E671C" w:rsidRPr="005E671C" w:rsidRDefault="005E671C" w:rsidP="005E671C">
            <w:pPr>
              <w:spacing w:after="0" w:line="240" w:lineRule="auto"/>
              <w:jc w:val="center"/>
              <w:rPr>
                <w:rFonts w:ascii="Tahoma" w:eastAsia="Times New Roman" w:hAnsi="Tahoma" w:cs="Tahoma"/>
                <w:sz w:val="20"/>
                <w:szCs w:val="20"/>
                <w:lang w:eastAsia="hr-HR"/>
              </w:rPr>
            </w:pPr>
            <w:r w:rsidRPr="005E671C">
              <w:rPr>
                <w:rFonts w:ascii="Tahoma" w:eastAsia="Times New Roman" w:hAnsi="Tahoma" w:cs="Tahoma"/>
                <w:sz w:val="20"/>
                <w:szCs w:val="20"/>
                <w:lang w:eastAsia="hr-HR"/>
              </w:rPr>
              <w:t>0</w:t>
            </w:r>
          </w:p>
        </w:tc>
        <w:tc>
          <w:tcPr>
            <w:tcW w:w="433" w:type="dxa"/>
            <w:tcBorders>
              <w:top w:val="nil"/>
              <w:left w:val="nil"/>
              <w:bottom w:val="single" w:sz="4" w:space="0" w:color="auto"/>
              <w:right w:val="single" w:sz="4" w:space="0" w:color="auto"/>
            </w:tcBorders>
            <w:shd w:val="clear" w:color="000000" w:fill="CCFFFF"/>
            <w:noWrap/>
            <w:vAlign w:val="center"/>
            <w:hideMark/>
          </w:tcPr>
          <w:p w14:paraId="51AC1F16" w14:textId="77777777" w:rsidR="005E671C" w:rsidRPr="005E671C" w:rsidRDefault="005E671C" w:rsidP="005E671C">
            <w:pPr>
              <w:spacing w:after="0" w:line="240" w:lineRule="auto"/>
              <w:jc w:val="center"/>
              <w:rPr>
                <w:rFonts w:ascii="Tahoma" w:eastAsia="Times New Roman" w:hAnsi="Tahoma" w:cs="Tahoma"/>
                <w:sz w:val="20"/>
                <w:szCs w:val="20"/>
                <w:lang w:eastAsia="hr-HR"/>
              </w:rPr>
            </w:pPr>
            <w:r w:rsidRPr="005E671C">
              <w:rPr>
                <w:rFonts w:ascii="Tahoma" w:eastAsia="Times New Roman" w:hAnsi="Tahoma" w:cs="Tahoma"/>
                <w:sz w:val="20"/>
                <w:szCs w:val="20"/>
                <w:lang w:eastAsia="hr-HR"/>
              </w:rPr>
              <w:t>0</w:t>
            </w:r>
          </w:p>
        </w:tc>
        <w:tc>
          <w:tcPr>
            <w:tcW w:w="425" w:type="dxa"/>
            <w:tcBorders>
              <w:top w:val="nil"/>
              <w:left w:val="nil"/>
              <w:bottom w:val="single" w:sz="4" w:space="0" w:color="auto"/>
              <w:right w:val="single" w:sz="8" w:space="0" w:color="auto"/>
            </w:tcBorders>
            <w:shd w:val="clear" w:color="000000" w:fill="33CCCC"/>
            <w:noWrap/>
            <w:vAlign w:val="center"/>
            <w:hideMark/>
          </w:tcPr>
          <w:p w14:paraId="5331745F" w14:textId="77777777" w:rsidR="005E671C" w:rsidRPr="005E671C" w:rsidRDefault="005E671C" w:rsidP="005E671C">
            <w:pPr>
              <w:spacing w:after="0" w:line="240" w:lineRule="auto"/>
              <w:jc w:val="center"/>
              <w:rPr>
                <w:rFonts w:ascii="Tahoma" w:eastAsia="Times New Roman" w:hAnsi="Tahoma" w:cs="Tahoma"/>
                <w:sz w:val="20"/>
                <w:szCs w:val="20"/>
                <w:lang w:eastAsia="hr-HR"/>
              </w:rPr>
            </w:pPr>
            <w:r w:rsidRPr="005E671C">
              <w:rPr>
                <w:rFonts w:ascii="Tahoma" w:eastAsia="Times New Roman" w:hAnsi="Tahoma" w:cs="Tahoma"/>
                <w:sz w:val="20"/>
                <w:szCs w:val="20"/>
                <w:lang w:eastAsia="hr-HR"/>
              </w:rPr>
              <w:t>0</w:t>
            </w:r>
          </w:p>
        </w:tc>
        <w:tc>
          <w:tcPr>
            <w:tcW w:w="567" w:type="dxa"/>
            <w:tcBorders>
              <w:top w:val="nil"/>
              <w:left w:val="single" w:sz="4" w:space="0" w:color="auto"/>
              <w:bottom w:val="single" w:sz="4" w:space="0" w:color="auto"/>
              <w:right w:val="single" w:sz="8" w:space="0" w:color="auto"/>
            </w:tcBorders>
            <w:shd w:val="clear" w:color="000000" w:fill="33CCCC"/>
            <w:noWrap/>
            <w:vAlign w:val="center"/>
            <w:hideMark/>
          </w:tcPr>
          <w:p w14:paraId="2B4A3123" w14:textId="77777777" w:rsidR="005E671C" w:rsidRPr="005E671C" w:rsidRDefault="005E671C" w:rsidP="005E671C">
            <w:pPr>
              <w:spacing w:after="0" w:line="240" w:lineRule="auto"/>
              <w:jc w:val="center"/>
              <w:rPr>
                <w:rFonts w:ascii="Tahoma" w:eastAsia="Times New Roman" w:hAnsi="Tahoma" w:cs="Tahoma"/>
                <w:sz w:val="20"/>
                <w:szCs w:val="20"/>
                <w:lang w:eastAsia="hr-HR"/>
              </w:rPr>
            </w:pPr>
            <w:r w:rsidRPr="005E671C">
              <w:rPr>
                <w:rFonts w:ascii="Tahoma" w:eastAsia="Times New Roman" w:hAnsi="Tahoma" w:cs="Tahoma"/>
                <w:sz w:val="20"/>
                <w:szCs w:val="20"/>
                <w:lang w:eastAsia="hr-HR"/>
              </w:rPr>
              <w:t>0</w:t>
            </w:r>
          </w:p>
        </w:tc>
        <w:tc>
          <w:tcPr>
            <w:tcW w:w="237" w:type="dxa"/>
            <w:gridSpan w:val="2"/>
            <w:vAlign w:val="center"/>
            <w:hideMark/>
          </w:tcPr>
          <w:p w14:paraId="584BD046" w14:textId="77777777" w:rsidR="005E671C" w:rsidRPr="005E671C" w:rsidRDefault="005E671C" w:rsidP="005E671C">
            <w:pPr>
              <w:spacing w:after="0" w:line="240" w:lineRule="auto"/>
              <w:rPr>
                <w:rFonts w:ascii="Times New Roman" w:eastAsia="Times New Roman" w:hAnsi="Times New Roman" w:cs="Times New Roman"/>
                <w:sz w:val="20"/>
                <w:szCs w:val="20"/>
                <w:lang w:eastAsia="hr-HR"/>
              </w:rPr>
            </w:pPr>
          </w:p>
        </w:tc>
      </w:tr>
      <w:tr w:rsidR="005E671C" w:rsidRPr="005E671C" w14:paraId="422C2E18" w14:textId="77777777" w:rsidTr="001752B7">
        <w:trPr>
          <w:gridAfter w:val="1"/>
          <w:wAfter w:w="51" w:type="dxa"/>
          <w:trHeight w:val="300"/>
        </w:trPr>
        <w:tc>
          <w:tcPr>
            <w:tcW w:w="1550" w:type="dxa"/>
            <w:tcBorders>
              <w:top w:val="single" w:sz="4" w:space="0" w:color="auto"/>
              <w:left w:val="single" w:sz="8" w:space="0" w:color="auto"/>
              <w:bottom w:val="single" w:sz="4" w:space="0" w:color="auto"/>
              <w:right w:val="single" w:sz="4" w:space="0" w:color="auto"/>
            </w:tcBorders>
            <w:shd w:val="clear" w:color="000000" w:fill="CCFFCC"/>
            <w:vAlign w:val="center"/>
            <w:hideMark/>
          </w:tcPr>
          <w:p w14:paraId="66BA266A" w14:textId="77777777" w:rsidR="005E671C" w:rsidRPr="005E671C" w:rsidRDefault="005E671C" w:rsidP="005E671C">
            <w:pPr>
              <w:spacing w:after="0" w:line="240" w:lineRule="auto"/>
              <w:rPr>
                <w:rFonts w:ascii="Tahoma" w:eastAsia="Times New Roman" w:hAnsi="Tahoma" w:cs="Tahoma"/>
                <w:sz w:val="20"/>
                <w:szCs w:val="20"/>
                <w:lang w:eastAsia="hr-HR"/>
              </w:rPr>
            </w:pPr>
            <w:r w:rsidRPr="005E671C">
              <w:rPr>
                <w:rFonts w:ascii="Tahoma" w:eastAsia="Times New Roman" w:hAnsi="Tahoma" w:cs="Tahoma"/>
                <w:sz w:val="20"/>
                <w:szCs w:val="20"/>
                <w:lang w:eastAsia="hr-HR"/>
              </w:rPr>
              <w:t>Dob</w:t>
            </w:r>
          </w:p>
        </w:tc>
        <w:tc>
          <w:tcPr>
            <w:tcW w:w="669" w:type="dxa"/>
            <w:tcBorders>
              <w:top w:val="nil"/>
              <w:left w:val="nil"/>
              <w:bottom w:val="single" w:sz="4" w:space="0" w:color="auto"/>
              <w:right w:val="single" w:sz="4" w:space="0" w:color="auto"/>
            </w:tcBorders>
            <w:shd w:val="clear" w:color="000000" w:fill="FFCC99"/>
            <w:noWrap/>
            <w:vAlign w:val="center"/>
            <w:hideMark/>
          </w:tcPr>
          <w:p w14:paraId="0E60ADDE" w14:textId="77777777" w:rsidR="005E671C" w:rsidRPr="005E671C" w:rsidRDefault="005E671C" w:rsidP="005E671C">
            <w:pPr>
              <w:spacing w:after="0" w:line="240" w:lineRule="auto"/>
              <w:jc w:val="center"/>
              <w:rPr>
                <w:rFonts w:ascii="Tahoma" w:eastAsia="Times New Roman" w:hAnsi="Tahoma" w:cs="Tahoma"/>
                <w:sz w:val="20"/>
                <w:szCs w:val="20"/>
                <w:lang w:eastAsia="hr-HR"/>
              </w:rPr>
            </w:pPr>
            <w:r w:rsidRPr="005E671C">
              <w:rPr>
                <w:rFonts w:ascii="Tahoma" w:eastAsia="Times New Roman" w:hAnsi="Tahoma" w:cs="Tahoma"/>
                <w:sz w:val="20"/>
                <w:szCs w:val="20"/>
                <w:lang w:eastAsia="hr-HR"/>
              </w:rPr>
              <w:t>10</w:t>
            </w:r>
          </w:p>
        </w:tc>
        <w:tc>
          <w:tcPr>
            <w:tcW w:w="352" w:type="dxa"/>
            <w:tcBorders>
              <w:top w:val="nil"/>
              <w:left w:val="nil"/>
              <w:bottom w:val="single" w:sz="4" w:space="0" w:color="auto"/>
              <w:right w:val="single" w:sz="4" w:space="0" w:color="auto"/>
            </w:tcBorders>
            <w:shd w:val="clear" w:color="000000" w:fill="FFFF00"/>
            <w:noWrap/>
            <w:vAlign w:val="center"/>
            <w:hideMark/>
          </w:tcPr>
          <w:p w14:paraId="2DFACCB4" w14:textId="77777777" w:rsidR="005E671C" w:rsidRPr="005E671C" w:rsidRDefault="005E671C" w:rsidP="005E671C">
            <w:pPr>
              <w:spacing w:after="0" w:line="240" w:lineRule="auto"/>
              <w:jc w:val="center"/>
              <w:rPr>
                <w:rFonts w:ascii="Tahoma" w:eastAsia="Times New Roman" w:hAnsi="Tahoma" w:cs="Tahoma"/>
                <w:sz w:val="20"/>
                <w:szCs w:val="20"/>
                <w:lang w:eastAsia="hr-HR"/>
              </w:rPr>
            </w:pPr>
            <w:r w:rsidRPr="005E671C">
              <w:rPr>
                <w:rFonts w:ascii="Tahoma" w:eastAsia="Times New Roman" w:hAnsi="Tahoma" w:cs="Tahoma"/>
                <w:sz w:val="20"/>
                <w:szCs w:val="20"/>
                <w:lang w:eastAsia="hr-HR"/>
              </w:rPr>
              <w:t>1</w:t>
            </w:r>
          </w:p>
        </w:tc>
        <w:tc>
          <w:tcPr>
            <w:tcW w:w="574" w:type="dxa"/>
            <w:tcBorders>
              <w:top w:val="nil"/>
              <w:left w:val="nil"/>
              <w:bottom w:val="single" w:sz="4" w:space="0" w:color="auto"/>
              <w:right w:val="single" w:sz="4" w:space="0" w:color="auto"/>
            </w:tcBorders>
            <w:shd w:val="clear" w:color="000000" w:fill="CCFFFF"/>
            <w:noWrap/>
            <w:vAlign w:val="center"/>
            <w:hideMark/>
          </w:tcPr>
          <w:p w14:paraId="098BF1EE" w14:textId="77777777" w:rsidR="005E671C" w:rsidRPr="005E671C" w:rsidRDefault="005E671C" w:rsidP="005E671C">
            <w:pPr>
              <w:spacing w:after="0" w:line="240" w:lineRule="auto"/>
              <w:jc w:val="center"/>
              <w:rPr>
                <w:rFonts w:ascii="Tahoma" w:eastAsia="Times New Roman" w:hAnsi="Tahoma" w:cs="Tahoma"/>
                <w:sz w:val="20"/>
                <w:szCs w:val="20"/>
                <w:lang w:eastAsia="hr-HR"/>
              </w:rPr>
            </w:pPr>
            <w:r w:rsidRPr="005E671C">
              <w:rPr>
                <w:rFonts w:ascii="Tahoma" w:eastAsia="Times New Roman" w:hAnsi="Tahoma" w:cs="Tahoma"/>
                <w:sz w:val="20"/>
                <w:szCs w:val="20"/>
                <w:lang w:eastAsia="hr-HR"/>
              </w:rPr>
              <w:t>1</w:t>
            </w:r>
          </w:p>
        </w:tc>
        <w:tc>
          <w:tcPr>
            <w:tcW w:w="440" w:type="dxa"/>
            <w:tcBorders>
              <w:top w:val="nil"/>
              <w:left w:val="nil"/>
              <w:bottom w:val="single" w:sz="4" w:space="0" w:color="auto"/>
              <w:right w:val="single" w:sz="4" w:space="0" w:color="auto"/>
            </w:tcBorders>
            <w:shd w:val="clear" w:color="000000" w:fill="CCFFFF"/>
            <w:noWrap/>
            <w:vAlign w:val="center"/>
            <w:hideMark/>
          </w:tcPr>
          <w:p w14:paraId="58CCF773" w14:textId="77777777" w:rsidR="005E671C" w:rsidRPr="005E671C" w:rsidRDefault="005E671C" w:rsidP="005E671C">
            <w:pPr>
              <w:spacing w:after="0" w:line="240" w:lineRule="auto"/>
              <w:jc w:val="center"/>
              <w:rPr>
                <w:rFonts w:ascii="Tahoma" w:eastAsia="Times New Roman" w:hAnsi="Tahoma" w:cs="Tahoma"/>
                <w:sz w:val="20"/>
                <w:szCs w:val="20"/>
                <w:lang w:eastAsia="hr-HR"/>
              </w:rPr>
            </w:pPr>
            <w:r w:rsidRPr="005E671C">
              <w:rPr>
                <w:rFonts w:ascii="Tahoma" w:eastAsia="Times New Roman" w:hAnsi="Tahoma" w:cs="Tahoma"/>
                <w:sz w:val="20"/>
                <w:szCs w:val="20"/>
                <w:lang w:eastAsia="hr-HR"/>
              </w:rPr>
              <w:t>0</w:t>
            </w:r>
          </w:p>
        </w:tc>
        <w:tc>
          <w:tcPr>
            <w:tcW w:w="700" w:type="dxa"/>
            <w:tcBorders>
              <w:top w:val="nil"/>
              <w:left w:val="nil"/>
              <w:bottom w:val="single" w:sz="4" w:space="0" w:color="auto"/>
              <w:right w:val="single" w:sz="4" w:space="0" w:color="auto"/>
            </w:tcBorders>
            <w:shd w:val="clear" w:color="000000" w:fill="FFFF99"/>
            <w:noWrap/>
            <w:vAlign w:val="center"/>
            <w:hideMark/>
          </w:tcPr>
          <w:p w14:paraId="4A3DD543" w14:textId="77777777" w:rsidR="005E671C" w:rsidRPr="005E671C" w:rsidRDefault="005E671C" w:rsidP="005E671C">
            <w:pPr>
              <w:spacing w:after="0" w:line="240" w:lineRule="auto"/>
              <w:jc w:val="center"/>
              <w:rPr>
                <w:rFonts w:ascii="Tahoma" w:eastAsia="Times New Roman" w:hAnsi="Tahoma" w:cs="Tahoma"/>
                <w:sz w:val="20"/>
                <w:szCs w:val="20"/>
                <w:lang w:eastAsia="hr-HR"/>
              </w:rPr>
            </w:pPr>
            <w:r w:rsidRPr="005E671C">
              <w:rPr>
                <w:rFonts w:ascii="Tahoma" w:eastAsia="Times New Roman" w:hAnsi="Tahoma" w:cs="Tahoma"/>
                <w:sz w:val="20"/>
                <w:szCs w:val="20"/>
                <w:lang w:eastAsia="hr-HR"/>
              </w:rPr>
              <w:t>1</w:t>
            </w:r>
          </w:p>
        </w:tc>
        <w:tc>
          <w:tcPr>
            <w:tcW w:w="698" w:type="dxa"/>
            <w:tcBorders>
              <w:top w:val="nil"/>
              <w:left w:val="nil"/>
              <w:bottom w:val="single" w:sz="4" w:space="0" w:color="auto"/>
              <w:right w:val="single" w:sz="4" w:space="0" w:color="auto"/>
            </w:tcBorders>
            <w:shd w:val="clear" w:color="000000" w:fill="FFFF99"/>
            <w:noWrap/>
            <w:vAlign w:val="center"/>
            <w:hideMark/>
          </w:tcPr>
          <w:p w14:paraId="412B470D" w14:textId="77777777" w:rsidR="005E671C" w:rsidRPr="005E671C" w:rsidRDefault="005E671C" w:rsidP="005E671C">
            <w:pPr>
              <w:spacing w:after="0" w:line="240" w:lineRule="auto"/>
              <w:jc w:val="center"/>
              <w:rPr>
                <w:rFonts w:ascii="Tahoma" w:eastAsia="Times New Roman" w:hAnsi="Tahoma" w:cs="Tahoma"/>
                <w:sz w:val="20"/>
                <w:szCs w:val="20"/>
                <w:lang w:eastAsia="hr-HR"/>
              </w:rPr>
            </w:pPr>
            <w:r w:rsidRPr="005E671C">
              <w:rPr>
                <w:rFonts w:ascii="Tahoma" w:eastAsia="Times New Roman" w:hAnsi="Tahoma" w:cs="Tahoma"/>
                <w:sz w:val="20"/>
                <w:szCs w:val="20"/>
                <w:lang w:eastAsia="hr-HR"/>
              </w:rPr>
              <w:t>1</w:t>
            </w:r>
          </w:p>
        </w:tc>
        <w:tc>
          <w:tcPr>
            <w:tcW w:w="698" w:type="dxa"/>
            <w:tcBorders>
              <w:top w:val="nil"/>
              <w:left w:val="nil"/>
              <w:bottom w:val="single" w:sz="4" w:space="0" w:color="auto"/>
              <w:right w:val="single" w:sz="4" w:space="0" w:color="auto"/>
            </w:tcBorders>
            <w:shd w:val="clear" w:color="000000" w:fill="FFFF99"/>
            <w:noWrap/>
            <w:vAlign w:val="center"/>
            <w:hideMark/>
          </w:tcPr>
          <w:p w14:paraId="3451A427" w14:textId="77777777" w:rsidR="005E671C" w:rsidRPr="005E671C" w:rsidRDefault="005E671C" w:rsidP="005E671C">
            <w:pPr>
              <w:spacing w:after="0" w:line="240" w:lineRule="auto"/>
              <w:jc w:val="center"/>
              <w:rPr>
                <w:rFonts w:ascii="Tahoma" w:eastAsia="Times New Roman" w:hAnsi="Tahoma" w:cs="Tahoma"/>
                <w:sz w:val="20"/>
                <w:szCs w:val="20"/>
                <w:lang w:eastAsia="hr-HR"/>
              </w:rPr>
            </w:pPr>
            <w:r w:rsidRPr="005E671C">
              <w:rPr>
                <w:rFonts w:ascii="Tahoma" w:eastAsia="Times New Roman" w:hAnsi="Tahoma" w:cs="Tahoma"/>
                <w:sz w:val="20"/>
                <w:szCs w:val="20"/>
                <w:lang w:eastAsia="hr-HR"/>
              </w:rPr>
              <w:t>1</w:t>
            </w:r>
          </w:p>
        </w:tc>
        <w:tc>
          <w:tcPr>
            <w:tcW w:w="698" w:type="dxa"/>
            <w:tcBorders>
              <w:top w:val="nil"/>
              <w:left w:val="nil"/>
              <w:bottom w:val="single" w:sz="4" w:space="0" w:color="auto"/>
              <w:right w:val="single" w:sz="4" w:space="0" w:color="auto"/>
            </w:tcBorders>
            <w:shd w:val="clear" w:color="000000" w:fill="FFFF99"/>
            <w:noWrap/>
            <w:vAlign w:val="center"/>
            <w:hideMark/>
          </w:tcPr>
          <w:p w14:paraId="3B132B42" w14:textId="77777777" w:rsidR="005E671C" w:rsidRPr="005E671C" w:rsidRDefault="005E671C" w:rsidP="005E671C">
            <w:pPr>
              <w:spacing w:after="0" w:line="240" w:lineRule="auto"/>
              <w:jc w:val="center"/>
              <w:rPr>
                <w:rFonts w:ascii="Tahoma" w:eastAsia="Times New Roman" w:hAnsi="Tahoma" w:cs="Tahoma"/>
                <w:sz w:val="20"/>
                <w:szCs w:val="20"/>
                <w:lang w:eastAsia="hr-HR"/>
              </w:rPr>
            </w:pPr>
            <w:r w:rsidRPr="005E671C">
              <w:rPr>
                <w:rFonts w:ascii="Tahoma" w:eastAsia="Times New Roman" w:hAnsi="Tahoma" w:cs="Tahoma"/>
                <w:sz w:val="20"/>
                <w:szCs w:val="20"/>
                <w:lang w:eastAsia="hr-HR"/>
              </w:rPr>
              <w:t>0</w:t>
            </w:r>
          </w:p>
        </w:tc>
        <w:tc>
          <w:tcPr>
            <w:tcW w:w="698" w:type="dxa"/>
            <w:tcBorders>
              <w:top w:val="nil"/>
              <w:left w:val="nil"/>
              <w:bottom w:val="single" w:sz="4" w:space="0" w:color="auto"/>
              <w:right w:val="single" w:sz="4" w:space="0" w:color="auto"/>
            </w:tcBorders>
            <w:shd w:val="clear" w:color="000000" w:fill="FFFF99"/>
            <w:noWrap/>
            <w:vAlign w:val="center"/>
            <w:hideMark/>
          </w:tcPr>
          <w:p w14:paraId="696F5A91" w14:textId="77777777" w:rsidR="005E671C" w:rsidRPr="005E671C" w:rsidRDefault="005E671C" w:rsidP="005E671C">
            <w:pPr>
              <w:spacing w:after="0" w:line="240" w:lineRule="auto"/>
              <w:jc w:val="center"/>
              <w:rPr>
                <w:rFonts w:ascii="Tahoma" w:eastAsia="Times New Roman" w:hAnsi="Tahoma" w:cs="Tahoma"/>
                <w:sz w:val="20"/>
                <w:szCs w:val="20"/>
                <w:lang w:eastAsia="hr-HR"/>
              </w:rPr>
            </w:pPr>
            <w:r w:rsidRPr="005E671C">
              <w:rPr>
                <w:rFonts w:ascii="Tahoma" w:eastAsia="Times New Roman" w:hAnsi="Tahoma" w:cs="Tahoma"/>
                <w:sz w:val="20"/>
                <w:szCs w:val="20"/>
                <w:lang w:eastAsia="hr-HR"/>
              </w:rPr>
              <w:t>0</w:t>
            </w:r>
          </w:p>
        </w:tc>
        <w:tc>
          <w:tcPr>
            <w:tcW w:w="698" w:type="dxa"/>
            <w:tcBorders>
              <w:top w:val="nil"/>
              <w:left w:val="nil"/>
              <w:bottom w:val="single" w:sz="4" w:space="0" w:color="auto"/>
              <w:right w:val="single" w:sz="4" w:space="0" w:color="auto"/>
            </w:tcBorders>
            <w:shd w:val="clear" w:color="000000" w:fill="FFFF99"/>
            <w:noWrap/>
            <w:vAlign w:val="center"/>
            <w:hideMark/>
          </w:tcPr>
          <w:p w14:paraId="6FF2537A" w14:textId="77777777" w:rsidR="005E671C" w:rsidRPr="005E671C" w:rsidRDefault="005E671C" w:rsidP="005E671C">
            <w:pPr>
              <w:spacing w:after="0" w:line="240" w:lineRule="auto"/>
              <w:jc w:val="center"/>
              <w:rPr>
                <w:rFonts w:ascii="Tahoma" w:eastAsia="Times New Roman" w:hAnsi="Tahoma" w:cs="Tahoma"/>
                <w:sz w:val="20"/>
                <w:szCs w:val="20"/>
                <w:lang w:eastAsia="hr-HR"/>
              </w:rPr>
            </w:pPr>
            <w:r w:rsidRPr="005E671C">
              <w:rPr>
                <w:rFonts w:ascii="Tahoma" w:eastAsia="Times New Roman" w:hAnsi="Tahoma" w:cs="Tahoma"/>
                <w:sz w:val="20"/>
                <w:szCs w:val="20"/>
                <w:lang w:eastAsia="hr-HR"/>
              </w:rPr>
              <w:t>0</w:t>
            </w:r>
          </w:p>
        </w:tc>
        <w:tc>
          <w:tcPr>
            <w:tcW w:w="493" w:type="dxa"/>
            <w:tcBorders>
              <w:top w:val="nil"/>
              <w:left w:val="nil"/>
              <w:bottom w:val="single" w:sz="4" w:space="0" w:color="auto"/>
              <w:right w:val="single" w:sz="4" w:space="0" w:color="auto"/>
            </w:tcBorders>
            <w:shd w:val="clear" w:color="000000" w:fill="FF9900"/>
            <w:noWrap/>
            <w:vAlign w:val="center"/>
            <w:hideMark/>
          </w:tcPr>
          <w:p w14:paraId="3E795141" w14:textId="77777777" w:rsidR="005E671C" w:rsidRPr="005E671C" w:rsidRDefault="005E671C" w:rsidP="005E671C">
            <w:pPr>
              <w:spacing w:after="0" w:line="240" w:lineRule="auto"/>
              <w:jc w:val="center"/>
              <w:rPr>
                <w:rFonts w:ascii="Tahoma" w:eastAsia="Times New Roman" w:hAnsi="Tahoma" w:cs="Tahoma"/>
                <w:sz w:val="20"/>
                <w:szCs w:val="20"/>
                <w:lang w:eastAsia="hr-HR"/>
              </w:rPr>
            </w:pPr>
            <w:r w:rsidRPr="005E671C">
              <w:rPr>
                <w:rFonts w:ascii="Tahoma" w:eastAsia="Times New Roman" w:hAnsi="Tahoma" w:cs="Tahoma"/>
                <w:sz w:val="20"/>
                <w:szCs w:val="20"/>
                <w:lang w:eastAsia="hr-HR"/>
              </w:rPr>
              <w:t>0</w:t>
            </w:r>
          </w:p>
        </w:tc>
        <w:tc>
          <w:tcPr>
            <w:tcW w:w="469" w:type="dxa"/>
            <w:tcBorders>
              <w:top w:val="nil"/>
              <w:left w:val="nil"/>
              <w:bottom w:val="single" w:sz="4" w:space="0" w:color="auto"/>
              <w:right w:val="single" w:sz="4" w:space="0" w:color="auto"/>
            </w:tcBorders>
            <w:shd w:val="clear" w:color="000000" w:fill="FF9900"/>
            <w:noWrap/>
            <w:vAlign w:val="center"/>
            <w:hideMark/>
          </w:tcPr>
          <w:p w14:paraId="4F2EEDAC" w14:textId="77777777" w:rsidR="005E671C" w:rsidRPr="005E671C" w:rsidRDefault="005E671C" w:rsidP="005E671C">
            <w:pPr>
              <w:spacing w:after="0" w:line="240" w:lineRule="auto"/>
              <w:jc w:val="center"/>
              <w:rPr>
                <w:rFonts w:ascii="Tahoma" w:eastAsia="Times New Roman" w:hAnsi="Tahoma" w:cs="Tahoma"/>
                <w:sz w:val="20"/>
                <w:szCs w:val="20"/>
                <w:lang w:eastAsia="hr-HR"/>
              </w:rPr>
            </w:pPr>
            <w:r w:rsidRPr="005E671C">
              <w:rPr>
                <w:rFonts w:ascii="Tahoma" w:eastAsia="Times New Roman" w:hAnsi="Tahoma" w:cs="Tahoma"/>
                <w:sz w:val="20"/>
                <w:szCs w:val="20"/>
                <w:lang w:eastAsia="hr-HR"/>
              </w:rPr>
              <w:t>0</w:t>
            </w:r>
          </w:p>
        </w:tc>
        <w:tc>
          <w:tcPr>
            <w:tcW w:w="467" w:type="dxa"/>
            <w:tcBorders>
              <w:top w:val="nil"/>
              <w:left w:val="nil"/>
              <w:bottom w:val="single" w:sz="4" w:space="0" w:color="auto"/>
              <w:right w:val="single" w:sz="4" w:space="0" w:color="auto"/>
            </w:tcBorders>
            <w:shd w:val="clear" w:color="000000" w:fill="FF9900"/>
            <w:noWrap/>
            <w:vAlign w:val="center"/>
            <w:hideMark/>
          </w:tcPr>
          <w:p w14:paraId="5660CF20" w14:textId="77777777" w:rsidR="005E671C" w:rsidRPr="005E671C" w:rsidRDefault="005E671C" w:rsidP="005E671C">
            <w:pPr>
              <w:spacing w:after="0" w:line="240" w:lineRule="auto"/>
              <w:jc w:val="center"/>
              <w:rPr>
                <w:rFonts w:ascii="Tahoma" w:eastAsia="Times New Roman" w:hAnsi="Tahoma" w:cs="Tahoma"/>
                <w:sz w:val="20"/>
                <w:szCs w:val="20"/>
                <w:lang w:eastAsia="hr-HR"/>
              </w:rPr>
            </w:pPr>
            <w:r w:rsidRPr="005E671C">
              <w:rPr>
                <w:rFonts w:ascii="Tahoma" w:eastAsia="Times New Roman" w:hAnsi="Tahoma" w:cs="Tahoma"/>
                <w:sz w:val="20"/>
                <w:szCs w:val="20"/>
                <w:lang w:eastAsia="hr-HR"/>
              </w:rPr>
              <w:t>0</w:t>
            </w:r>
          </w:p>
        </w:tc>
        <w:tc>
          <w:tcPr>
            <w:tcW w:w="567" w:type="dxa"/>
            <w:tcBorders>
              <w:top w:val="nil"/>
              <w:left w:val="nil"/>
              <w:bottom w:val="single" w:sz="4" w:space="0" w:color="auto"/>
              <w:right w:val="single" w:sz="4" w:space="0" w:color="auto"/>
            </w:tcBorders>
            <w:shd w:val="clear" w:color="000000" w:fill="FFFF00"/>
            <w:vAlign w:val="center"/>
            <w:hideMark/>
          </w:tcPr>
          <w:p w14:paraId="5AF6F130" w14:textId="77777777" w:rsidR="005E671C" w:rsidRPr="005E671C" w:rsidRDefault="005E671C" w:rsidP="005E671C">
            <w:pPr>
              <w:spacing w:after="0" w:line="240" w:lineRule="auto"/>
              <w:jc w:val="center"/>
              <w:rPr>
                <w:rFonts w:ascii="Tahoma" w:eastAsia="Times New Roman" w:hAnsi="Tahoma" w:cs="Tahoma"/>
                <w:sz w:val="20"/>
                <w:szCs w:val="20"/>
                <w:lang w:eastAsia="hr-HR"/>
              </w:rPr>
            </w:pPr>
            <w:r w:rsidRPr="005E671C">
              <w:rPr>
                <w:rFonts w:ascii="Tahoma" w:eastAsia="Times New Roman" w:hAnsi="Tahoma" w:cs="Tahoma"/>
                <w:sz w:val="20"/>
                <w:szCs w:val="20"/>
                <w:lang w:eastAsia="hr-HR"/>
              </w:rPr>
              <w:t>0</w:t>
            </w:r>
          </w:p>
        </w:tc>
        <w:tc>
          <w:tcPr>
            <w:tcW w:w="542" w:type="dxa"/>
            <w:tcBorders>
              <w:top w:val="nil"/>
              <w:left w:val="nil"/>
              <w:bottom w:val="single" w:sz="4" w:space="0" w:color="auto"/>
              <w:right w:val="single" w:sz="4" w:space="0" w:color="auto"/>
            </w:tcBorders>
            <w:shd w:val="clear" w:color="000000" w:fill="FF9900"/>
            <w:vAlign w:val="center"/>
            <w:hideMark/>
          </w:tcPr>
          <w:p w14:paraId="4E8FB439" w14:textId="77777777" w:rsidR="005E671C" w:rsidRPr="005E671C" w:rsidRDefault="005E671C" w:rsidP="005E671C">
            <w:pPr>
              <w:spacing w:after="0" w:line="240" w:lineRule="auto"/>
              <w:jc w:val="center"/>
              <w:rPr>
                <w:rFonts w:ascii="Tahoma" w:eastAsia="Times New Roman" w:hAnsi="Tahoma" w:cs="Tahoma"/>
                <w:sz w:val="20"/>
                <w:szCs w:val="20"/>
                <w:lang w:eastAsia="hr-HR"/>
              </w:rPr>
            </w:pPr>
            <w:r w:rsidRPr="005E671C">
              <w:rPr>
                <w:rFonts w:ascii="Tahoma" w:eastAsia="Times New Roman" w:hAnsi="Tahoma" w:cs="Tahoma"/>
                <w:sz w:val="20"/>
                <w:szCs w:val="20"/>
                <w:lang w:eastAsia="hr-HR"/>
              </w:rPr>
              <w:t>11</w:t>
            </w:r>
          </w:p>
        </w:tc>
        <w:tc>
          <w:tcPr>
            <w:tcW w:w="441" w:type="dxa"/>
            <w:tcBorders>
              <w:top w:val="nil"/>
              <w:left w:val="nil"/>
              <w:bottom w:val="single" w:sz="4" w:space="0" w:color="auto"/>
              <w:right w:val="single" w:sz="4" w:space="0" w:color="auto"/>
            </w:tcBorders>
            <w:shd w:val="clear" w:color="000000" w:fill="FF9900"/>
            <w:noWrap/>
            <w:vAlign w:val="center"/>
            <w:hideMark/>
          </w:tcPr>
          <w:p w14:paraId="7A01DD39" w14:textId="77777777" w:rsidR="005E671C" w:rsidRPr="005E671C" w:rsidRDefault="005E671C" w:rsidP="005E671C">
            <w:pPr>
              <w:spacing w:after="0" w:line="240" w:lineRule="auto"/>
              <w:jc w:val="center"/>
              <w:rPr>
                <w:rFonts w:ascii="Tahoma" w:eastAsia="Times New Roman" w:hAnsi="Tahoma" w:cs="Tahoma"/>
                <w:sz w:val="20"/>
                <w:szCs w:val="20"/>
                <w:lang w:eastAsia="hr-HR"/>
              </w:rPr>
            </w:pPr>
            <w:r w:rsidRPr="005E671C">
              <w:rPr>
                <w:rFonts w:ascii="Tahoma" w:eastAsia="Times New Roman" w:hAnsi="Tahoma" w:cs="Tahoma"/>
                <w:sz w:val="20"/>
                <w:szCs w:val="20"/>
                <w:lang w:eastAsia="hr-HR"/>
              </w:rPr>
              <w:t>1</w:t>
            </w:r>
          </w:p>
        </w:tc>
        <w:tc>
          <w:tcPr>
            <w:tcW w:w="426" w:type="dxa"/>
            <w:tcBorders>
              <w:top w:val="nil"/>
              <w:left w:val="nil"/>
              <w:bottom w:val="single" w:sz="4" w:space="0" w:color="auto"/>
              <w:right w:val="single" w:sz="4" w:space="0" w:color="auto"/>
            </w:tcBorders>
            <w:shd w:val="clear" w:color="000000" w:fill="FF9900"/>
            <w:noWrap/>
            <w:vAlign w:val="center"/>
            <w:hideMark/>
          </w:tcPr>
          <w:p w14:paraId="3490D0D7" w14:textId="77777777" w:rsidR="005E671C" w:rsidRPr="005E671C" w:rsidRDefault="005E671C" w:rsidP="005E671C">
            <w:pPr>
              <w:spacing w:after="0" w:line="240" w:lineRule="auto"/>
              <w:jc w:val="center"/>
              <w:rPr>
                <w:rFonts w:ascii="Tahoma" w:eastAsia="Times New Roman" w:hAnsi="Tahoma" w:cs="Tahoma"/>
                <w:sz w:val="20"/>
                <w:szCs w:val="20"/>
                <w:lang w:eastAsia="hr-HR"/>
              </w:rPr>
            </w:pPr>
            <w:r w:rsidRPr="005E671C">
              <w:rPr>
                <w:rFonts w:ascii="Tahoma" w:eastAsia="Times New Roman" w:hAnsi="Tahoma" w:cs="Tahoma"/>
                <w:sz w:val="20"/>
                <w:szCs w:val="20"/>
                <w:lang w:eastAsia="hr-HR"/>
              </w:rPr>
              <w:t>0</w:t>
            </w:r>
          </w:p>
        </w:tc>
        <w:tc>
          <w:tcPr>
            <w:tcW w:w="854" w:type="dxa"/>
            <w:tcBorders>
              <w:top w:val="nil"/>
              <w:left w:val="nil"/>
              <w:bottom w:val="single" w:sz="4" w:space="0" w:color="auto"/>
              <w:right w:val="single" w:sz="4" w:space="0" w:color="auto"/>
            </w:tcBorders>
            <w:shd w:val="clear" w:color="000000" w:fill="FF9900"/>
            <w:noWrap/>
            <w:vAlign w:val="center"/>
            <w:hideMark/>
          </w:tcPr>
          <w:p w14:paraId="32A888C5" w14:textId="77777777" w:rsidR="005E671C" w:rsidRPr="005E671C" w:rsidRDefault="005E671C" w:rsidP="005E671C">
            <w:pPr>
              <w:spacing w:after="0" w:line="240" w:lineRule="auto"/>
              <w:jc w:val="center"/>
              <w:rPr>
                <w:rFonts w:ascii="Tahoma" w:eastAsia="Times New Roman" w:hAnsi="Tahoma" w:cs="Tahoma"/>
                <w:sz w:val="20"/>
                <w:szCs w:val="20"/>
                <w:lang w:eastAsia="hr-HR"/>
              </w:rPr>
            </w:pPr>
            <w:r w:rsidRPr="005E671C">
              <w:rPr>
                <w:rFonts w:ascii="Tahoma" w:eastAsia="Times New Roman" w:hAnsi="Tahoma" w:cs="Tahoma"/>
                <w:sz w:val="20"/>
                <w:szCs w:val="20"/>
                <w:lang w:eastAsia="hr-HR"/>
              </w:rPr>
              <w:t>0</w:t>
            </w:r>
          </w:p>
        </w:tc>
        <w:tc>
          <w:tcPr>
            <w:tcW w:w="440" w:type="dxa"/>
            <w:tcBorders>
              <w:top w:val="nil"/>
              <w:left w:val="nil"/>
              <w:bottom w:val="single" w:sz="4" w:space="0" w:color="auto"/>
              <w:right w:val="single" w:sz="4" w:space="0" w:color="auto"/>
            </w:tcBorders>
            <w:shd w:val="clear" w:color="000000" w:fill="CCFFFF"/>
            <w:noWrap/>
            <w:vAlign w:val="center"/>
            <w:hideMark/>
          </w:tcPr>
          <w:p w14:paraId="0693BE0B" w14:textId="77777777" w:rsidR="005E671C" w:rsidRPr="005E671C" w:rsidRDefault="005E671C" w:rsidP="005E671C">
            <w:pPr>
              <w:spacing w:after="0" w:line="240" w:lineRule="auto"/>
              <w:jc w:val="center"/>
              <w:rPr>
                <w:rFonts w:ascii="Tahoma" w:eastAsia="Times New Roman" w:hAnsi="Tahoma" w:cs="Tahoma"/>
                <w:sz w:val="20"/>
                <w:szCs w:val="20"/>
                <w:lang w:eastAsia="hr-HR"/>
              </w:rPr>
            </w:pPr>
            <w:r w:rsidRPr="005E671C">
              <w:rPr>
                <w:rFonts w:ascii="Tahoma" w:eastAsia="Times New Roman" w:hAnsi="Tahoma" w:cs="Tahoma"/>
                <w:sz w:val="20"/>
                <w:szCs w:val="20"/>
                <w:lang w:eastAsia="hr-HR"/>
              </w:rPr>
              <w:t>0</w:t>
            </w:r>
          </w:p>
        </w:tc>
        <w:tc>
          <w:tcPr>
            <w:tcW w:w="408" w:type="dxa"/>
            <w:tcBorders>
              <w:top w:val="nil"/>
              <w:left w:val="nil"/>
              <w:bottom w:val="single" w:sz="4" w:space="0" w:color="auto"/>
              <w:right w:val="single" w:sz="4" w:space="0" w:color="auto"/>
            </w:tcBorders>
            <w:shd w:val="clear" w:color="000000" w:fill="CCFFFF"/>
            <w:noWrap/>
            <w:vAlign w:val="center"/>
            <w:hideMark/>
          </w:tcPr>
          <w:p w14:paraId="6CEE629E" w14:textId="77777777" w:rsidR="005E671C" w:rsidRPr="005E671C" w:rsidRDefault="005E671C" w:rsidP="005E671C">
            <w:pPr>
              <w:spacing w:after="0" w:line="240" w:lineRule="auto"/>
              <w:jc w:val="center"/>
              <w:rPr>
                <w:rFonts w:ascii="Tahoma" w:eastAsia="Times New Roman" w:hAnsi="Tahoma" w:cs="Tahoma"/>
                <w:sz w:val="20"/>
                <w:szCs w:val="20"/>
                <w:lang w:eastAsia="hr-HR"/>
              </w:rPr>
            </w:pPr>
            <w:r w:rsidRPr="005E671C">
              <w:rPr>
                <w:rFonts w:ascii="Tahoma" w:eastAsia="Times New Roman" w:hAnsi="Tahoma" w:cs="Tahoma"/>
                <w:sz w:val="20"/>
                <w:szCs w:val="20"/>
                <w:lang w:eastAsia="hr-HR"/>
              </w:rPr>
              <w:t>0</w:t>
            </w:r>
          </w:p>
        </w:tc>
        <w:tc>
          <w:tcPr>
            <w:tcW w:w="433" w:type="dxa"/>
            <w:tcBorders>
              <w:top w:val="nil"/>
              <w:left w:val="nil"/>
              <w:bottom w:val="single" w:sz="4" w:space="0" w:color="auto"/>
              <w:right w:val="single" w:sz="4" w:space="0" w:color="auto"/>
            </w:tcBorders>
            <w:shd w:val="clear" w:color="000000" w:fill="CCFFFF"/>
            <w:noWrap/>
            <w:vAlign w:val="center"/>
            <w:hideMark/>
          </w:tcPr>
          <w:p w14:paraId="104A3133" w14:textId="77777777" w:rsidR="005E671C" w:rsidRPr="005E671C" w:rsidRDefault="005E671C" w:rsidP="005E671C">
            <w:pPr>
              <w:spacing w:after="0" w:line="240" w:lineRule="auto"/>
              <w:jc w:val="center"/>
              <w:rPr>
                <w:rFonts w:ascii="Tahoma" w:eastAsia="Times New Roman" w:hAnsi="Tahoma" w:cs="Tahoma"/>
                <w:sz w:val="20"/>
                <w:szCs w:val="20"/>
                <w:lang w:eastAsia="hr-HR"/>
              </w:rPr>
            </w:pPr>
            <w:r w:rsidRPr="005E671C">
              <w:rPr>
                <w:rFonts w:ascii="Tahoma" w:eastAsia="Times New Roman" w:hAnsi="Tahoma" w:cs="Tahoma"/>
                <w:sz w:val="20"/>
                <w:szCs w:val="20"/>
                <w:lang w:eastAsia="hr-HR"/>
              </w:rPr>
              <w:t>0</w:t>
            </w:r>
          </w:p>
        </w:tc>
        <w:tc>
          <w:tcPr>
            <w:tcW w:w="425" w:type="dxa"/>
            <w:tcBorders>
              <w:top w:val="nil"/>
              <w:left w:val="nil"/>
              <w:bottom w:val="single" w:sz="4" w:space="0" w:color="auto"/>
              <w:right w:val="single" w:sz="8" w:space="0" w:color="auto"/>
            </w:tcBorders>
            <w:shd w:val="clear" w:color="000000" w:fill="33CCCC"/>
            <w:noWrap/>
            <w:vAlign w:val="center"/>
            <w:hideMark/>
          </w:tcPr>
          <w:p w14:paraId="094E374A" w14:textId="77777777" w:rsidR="005E671C" w:rsidRPr="005E671C" w:rsidRDefault="005E671C" w:rsidP="005E671C">
            <w:pPr>
              <w:spacing w:after="0" w:line="240" w:lineRule="auto"/>
              <w:jc w:val="center"/>
              <w:rPr>
                <w:rFonts w:ascii="Tahoma" w:eastAsia="Times New Roman" w:hAnsi="Tahoma" w:cs="Tahoma"/>
                <w:sz w:val="20"/>
                <w:szCs w:val="20"/>
                <w:lang w:eastAsia="hr-HR"/>
              </w:rPr>
            </w:pPr>
            <w:r w:rsidRPr="005E671C">
              <w:rPr>
                <w:rFonts w:ascii="Tahoma" w:eastAsia="Times New Roman" w:hAnsi="Tahoma" w:cs="Tahoma"/>
                <w:sz w:val="20"/>
                <w:szCs w:val="20"/>
                <w:lang w:eastAsia="hr-HR"/>
              </w:rPr>
              <w:t>0</w:t>
            </w:r>
          </w:p>
        </w:tc>
        <w:tc>
          <w:tcPr>
            <w:tcW w:w="567" w:type="dxa"/>
            <w:tcBorders>
              <w:top w:val="nil"/>
              <w:left w:val="single" w:sz="4" w:space="0" w:color="auto"/>
              <w:bottom w:val="single" w:sz="4" w:space="0" w:color="auto"/>
              <w:right w:val="single" w:sz="8" w:space="0" w:color="auto"/>
            </w:tcBorders>
            <w:shd w:val="clear" w:color="000000" w:fill="33CCCC"/>
            <w:noWrap/>
            <w:vAlign w:val="center"/>
            <w:hideMark/>
          </w:tcPr>
          <w:p w14:paraId="18ABC97B" w14:textId="77777777" w:rsidR="005E671C" w:rsidRPr="005E671C" w:rsidRDefault="005E671C" w:rsidP="005E671C">
            <w:pPr>
              <w:spacing w:after="0" w:line="240" w:lineRule="auto"/>
              <w:jc w:val="center"/>
              <w:rPr>
                <w:rFonts w:ascii="Tahoma" w:eastAsia="Times New Roman" w:hAnsi="Tahoma" w:cs="Tahoma"/>
                <w:sz w:val="20"/>
                <w:szCs w:val="20"/>
                <w:lang w:eastAsia="hr-HR"/>
              </w:rPr>
            </w:pPr>
            <w:r w:rsidRPr="005E671C">
              <w:rPr>
                <w:rFonts w:ascii="Tahoma" w:eastAsia="Times New Roman" w:hAnsi="Tahoma" w:cs="Tahoma"/>
                <w:sz w:val="20"/>
                <w:szCs w:val="20"/>
                <w:lang w:eastAsia="hr-HR"/>
              </w:rPr>
              <w:t>0</w:t>
            </w:r>
          </w:p>
        </w:tc>
        <w:tc>
          <w:tcPr>
            <w:tcW w:w="237" w:type="dxa"/>
            <w:gridSpan w:val="2"/>
            <w:vAlign w:val="center"/>
            <w:hideMark/>
          </w:tcPr>
          <w:p w14:paraId="115D44FC" w14:textId="77777777" w:rsidR="005E671C" w:rsidRPr="005E671C" w:rsidRDefault="005E671C" w:rsidP="005E671C">
            <w:pPr>
              <w:spacing w:after="0" w:line="240" w:lineRule="auto"/>
              <w:rPr>
                <w:rFonts w:ascii="Times New Roman" w:eastAsia="Times New Roman" w:hAnsi="Times New Roman" w:cs="Times New Roman"/>
                <w:sz w:val="20"/>
                <w:szCs w:val="20"/>
                <w:lang w:eastAsia="hr-HR"/>
              </w:rPr>
            </w:pPr>
          </w:p>
        </w:tc>
      </w:tr>
      <w:tr w:rsidR="005E671C" w:rsidRPr="005E671C" w14:paraId="6C1D7A8B" w14:textId="77777777" w:rsidTr="001752B7">
        <w:trPr>
          <w:gridAfter w:val="1"/>
          <w:wAfter w:w="51" w:type="dxa"/>
          <w:trHeight w:val="300"/>
        </w:trPr>
        <w:tc>
          <w:tcPr>
            <w:tcW w:w="1550" w:type="dxa"/>
            <w:tcBorders>
              <w:top w:val="single" w:sz="4" w:space="0" w:color="auto"/>
              <w:left w:val="single" w:sz="8" w:space="0" w:color="auto"/>
              <w:bottom w:val="single" w:sz="4" w:space="0" w:color="auto"/>
              <w:right w:val="single" w:sz="4" w:space="0" w:color="auto"/>
            </w:tcBorders>
            <w:shd w:val="clear" w:color="000000" w:fill="CCFFCC"/>
            <w:vAlign w:val="center"/>
            <w:hideMark/>
          </w:tcPr>
          <w:p w14:paraId="33F1318D" w14:textId="77777777" w:rsidR="005E671C" w:rsidRPr="005E671C" w:rsidRDefault="005E671C" w:rsidP="005E671C">
            <w:pPr>
              <w:spacing w:after="0" w:line="240" w:lineRule="auto"/>
              <w:rPr>
                <w:rFonts w:ascii="Tahoma" w:eastAsia="Times New Roman" w:hAnsi="Tahoma" w:cs="Tahoma"/>
                <w:sz w:val="20"/>
                <w:szCs w:val="20"/>
                <w:lang w:eastAsia="hr-HR"/>
              </w:rPr>
            </w:pPr>
            <w:r w:rsidRPr="005E671C">
              <w:rPr>
                <w:rFonts w:ascii="Tahoma" w:eastAsia="Times New Roman" w:hAnsi="Tahoma" w:cs="Tahoma"/>
                <w:sz w:val="20"/>
                <w:szCs w:val="20"/>
                <w:lang w:eastAsia="hr-HR"/>
              </w:rPr>
              <w:t>Obrazovanje</w:t>
            </w:r>
          </w:p>
        </w:tc>
        <w:tc>
          <w:tcPr>
            <w:tcW w:w="669" w:type="dxa"/>
            <w:tcBorders>
              <w:top w:val="nil"/>
              <w:left w:val="nil"/>
              <w:bottom w:val="single" w:sz="4" w:space="0" w:color="auto"/>
              <w:right w:val="single" w:sz="4" w:space="0" w:color="auto"/>
            </w:tcBorders>
            <w:shd w:val="clear" w:color="000000" w:fill="FFCC99"/>
            <w:noWrap/>
            <w:vAlign w:val="center"/>
            <w:hideMark/>
          </w:tcPr>
          <w:p w14:paraId="4706B81A" w14:textId="77777777" w:rsidR="005E671C" w:rsidRPr="005E671C" w:rsidRDefault="005E671C" w:rsidP="005E671C">
            <w:pPr>
              <w:spacing w:after="0" w:line="240" w:lineRule="auto"/>
              <w:jc w:val="center"/>
              <w:rPr>
                <w:rFonts w:ascii="Tahoma" w:eastAsia="Times New Roman" w:hAnsi="Tahoma" w:cs="Tahoma"/>
                <w:sz w:val="20"/>
                <w:szCs w:val="20"/>
                <w:lang w:eastAsia="hr-HR"/>
              </w:rPr>
            </w:pPr>
            <w:r w:rsidRPr="005E671C">
              <w:rPr>
                <w:rFonts w:ascii="Tahoma" w:eastAsia="Times New Roman" w:hAnsi="Tahoma" w:cs="Tahoma"/>
                <w:sz w:val="20"/>
                <w:szCs w:val="20"/>
                <w:lang w:eastAsia="hr-HR"/>
              </w:rPr>
              <w:t>13</w:t>
            </w:r>
          </w:p>
        </w:tc>
        <w:tc>
          <w:tcPr>
            <w:tcW w:w="352" w:type="dxa"/>
            <w:tcBorders>
              <w:top w:val="nil"/>
              <w:left w:val="nil"/>
              <w:bottom w:val="single" w:sz="4" w:space="0" w:color="auto"/>
              <w:right w:val="single" w:sz="4" w:space="0" w:color="auto"/>
            </w:tcBorders>
            <w:shd w:val="clear" w:color="000000" w:fill="FFFF00"/>
            <w:noWrap/>
            <w:vAlign w:val="center"/>
            <w:hideMark/>
          </w:tcPr>
          <w:p w14:paraId="67D19B07" w14:textId="77777777" w:rsidR="005E671C" w:rsidRPr="005E671C" w:rsidRDefault="005E671C" w:rsidP="005E671C">
            <w:pPr>
              <w:spacing w:after="0" w:line="240" w:lineRule="auto"/>
              <w:jc w:val="center"/>
              <w:rPr>
                <w:rFonts w:ascii="Tahoma" w:eastAsia="Times New Roman" w:hAnsi="Tahoma" w:cs="Tahoma"/>
                <w:sz w:val="20"/>
                <w:szCs w:val="20"/>
                <w:lang w:eastAsia="hr-HR"/>
              </w:rPr>
            </w:pPr>
            <w:r w:rsidRPr="005E671C">
              <w:rPr>
                <w:rFonts w:ascii="Tahoma" w:eastAsia="Times New Roman" w:hAnsi="Tahoma" w:cs="Tahoma"/>
                <w:sz w:val="20"/>
                <w:szCs w:val="20"/>
                <w:lang w:eastAsia="hr-HR"/>
              </w:rPr>
              <w:t>3</w:t>
            </w:r>
          </w:p>
        </w:tc>
        <w:tc>
          <w:tcPr>
            <w:tcW w:w="574" w:type="dxa"/>
            <w:tcBorders>
              <w:top w:val="nil"/>
              <w:left w:val="nil"/>
              <w:bottom w:val="single" w:sz="4" w:space="0" w:color="auto"/>
              <w:right w:val="single" w:sz="4" w:space="0" w:color="auto"/>
            </w:tcBorders>
            <w:shd w:val="clear" w:color="000000" w:fill="CCFFFF"/>
            <w:noWrap/>
            <w:vAlign w:val="center"/>
            <w:hideMark/>
          </w:tcPr>
          <w:p w14:paraId="6F3556B9" w14:textId="77777777" w:rsidR="005E671C" w:rsidRPr="005E671C" w:rsidRDefault="005E671C" w:rsidP="005E671C">
            <w:pPr>
              <w:spacing w:after="0" w:line="240" w:lineRule="auto"/>
              <w:jc w:val="center"/>
              <w:rPr>
                <w:rFonts w:ascii="Tahoma" w:eastAsia="Times New Roman" w:hAnsi="Tahoma" w:cs="Tahoma"/>
                <w:sz w:val="20"/>
                <w:szCs w:val="20"/>
                <w:lang w:eastAsia="hr-HR"/>
              </w:rPr>
            </w:pPr>
            <w:r w:rsidRPr="005E671C">
              <w:rPr>
                <w:rFonts w:ascii="Tahoma" w:eastAsia="Times New Roman" w:hAnsi="Tahoma" w:cs="Tahoma"/>
                <w:sz w:val="20"/>
                <w:szCs w:val="20"/>
                <w:lang w:eastAsia="hr-HR"/>
              </w:rPr>
              <w:t>0</w:t>
            </w:r>
          </w:p>
        </w:tc>
        <w:tc>
          <w:tcPr>
            <w:tcW w:w="440" w:type="dxa"/>
            <w:tcBorders>
              <w:top w:val="nil"/>
              <w:left w:val="nil"/>
              <w:bottom w:val="single" w:sz="4" w:space="0" w:color="auto"/>
              <w:right w:val="single" w:sz="4" w:space="0" w:color="auto"/>
            </w:tcBorders>
            <w:shd w:val="clear" w:color="000000" w:fill="CCFFFF"/>
            <w:noWrap/>
            <w:vAlign w:val="center"/>
            <w:hideMark/>
          </w:tcPr>
          <w:p w14:paraId="6C4CE8B9" w14:textId="77777777" w:rsidR="005E671C" w:rsidRPr="005E671C" w:rsidRDefault="005E671C" w:rsidP="005E671C">
            <w:pPr>
              <w:spacing w:after="0" w:line="240" w:lineRule="auto"/>
              <w:jc w:val="center"/>
              <w:rPr>
                <w:rFonts w:ascii="Tahoma" w:eastAsia="Times New Roman" w:hAnsi="Tahoma" w:cs="Tahoma"/>
                <w:sz w:val="20"/>
                <w:szCs w:val="20"/>
                <w:lang w:eastAsia="hr-HR"/>
              </w:rPr>
            </w:pPr>
            <w:r w:rsidRPr="005E671C">
              <w:rPr>
                <w:rFonts w:ascii="Tahoma" w:eastAsia="Times New Roman" w:hAnsi="Tahoma" w:cs="Tahoma"/>
                <w:sz w:val="20"/>
                <w:szCs w:val="20"/>
                <w:lang w:eastAsia="hr-HR"/>
              </w:rPr>
              <w:t>3</w:t>
            </w:r>
          </w:p>
        </w:tc>
        <w:tc>
          <w:tcPr>
            <w:tcW w:w="700" w:type="dxa"/>
            <w:tcBorders>
              <w:top w:val="nil"/>
              <w:left w:val="nil"/>
              <w:bottom w:val="single" w:sz="4" w:space="0" w:color="auto"/>
              <w:right w:val="single" w:sz="4" w:space="0" w:color="auto"/>
            </w:tcBorders>
            <w:shd w:val="clear" w:color="000000" w:fill="FFFF99"/>
            <w:noWrap/>
            <w:vAlign w:val="center"/>
            <w:hideMark/>
          </w:tcPr>
          <w:p w14:paraId="5D88E23D" w14:textId="77777777" w:rsidR="005E671C" w:rsidRPr="005E671C" w:rsidRDefault="005E671C" w:rsidP="005E671C">
            <w:pPr>
              <w:spacing w:after="0" w:line="240" w:lineRule="auto"/>
              <w:jc w:val="center"/>
              <w:rPr>
                <w:rFonts w:ascii="Tahoma" w:eastAsia="Times New Roman" w:hAnsi="Tahoma" w:cs="Tahoma"/>
                <w:sz w:val="20"/>
                <w:szCs w:val="20"/>
                <w:lang w:eastAsia="hr-HR"/>
              </w:rPr>
            </w:pPr>
            <w:r w:rsidRPr="005E671C">
              <w:rPr>
                <w:rFonts w:ascii="Tahoma" w:eastAsia="Times New Roman" w:hAnsi="Tahoma" w:cs="Tahoma"/>
                <w:sz w:val="20"/>
                <w:szCs w:val="20"/>
                <w:lang w:eastAsia="hr-HR"/>
              </w:rPr>
              <w:t>2</w:t>
            </w:r>
          </w:p>
        </w:tc>
        <w:tc>
          <w:tcPr>
            <w:tcW w:w="698" w:type="dxa"/>
            <w:tcBorders>
              <w:top w:val="nil"/>
              <w:left w:val="nil"/>
              <w:bottom w:val="single" w:sz="4" w:space="0" w:color="auto"/>
              <w:right w:val="single" w:sz="4" w:space="0" w:color="auto"/>
            </w:tcBorders>
            <w:shd w:val="clear" w:color="000000" w:fill="FFFF99"/>
            <w:noWrap/>
            <w:vAlign w:val="center"/>
            <w:hideMark/>
          </w:tcPr>
          <w:p w14:paraId="675C20B0" w14:textId="77777777" w:rsidR="005E671C" w:rsidRPr="005E671C" w:rsidRDefault="005E671C" w:rsidP="005E671C">
            <w:pPr>
              <w:spacing w:after="0" w:line="240" w:lineRule="auto"/>
              <w:jc w:val="center"/>
              <w:rPr>
                <w:rFonts w:ascii="Tahoma" w:eastAsia="Times New Roman" w:hAnsi="Tahoma" w:cs="Tahoma"/>
                <w:sz w:val="20"/>
                <w:szCs w:val="20"/>
                <w:lang w:eastAsia="hr-HR"/>
              </w:rPr>
            </w:pPr>
            <w:r w:rsidRPr="005E671C">
              <w:rPr>
                <w:rFonts w:ascii="Tahoma" w:eastAsia="Times New Roman" w:hAnsi="Tahoma" w:cs="Tahoma"/>
                <w:sz w:val="20"/>
                <w:szCs w:val="20"/>
                <w:lang w:eastAsia="hr-HR"/>
              </w:rPr>
              <w:t>1</w:t>
            </w:r>
          </w:p>
        </w:tc>
        <w:tc>
          <w:tcPr>
            <w:tcW w:w="698" w:type="dxa"/>
            <w:tcBorders>
              <w:top w:val="nil"/>
              <w:left w:val="nil"/>
              <w:bottom w:val="single" w:sz="4" w:space="0" w:color="auto"/>
              <w:right w:val="single" w:sz="4" w:space="0" w:color="auto"/>
            </w:tcBorders>
            <w:shd w:val="clear" w:color="000000" w:fill="FFFF99"/>
            <w:noWrap/>
            <w:vAlign w:val="center"/>
            <w:hideMark/>
          </w:tcPr>
          <w:p w14:paraId="545EFAAB" w14:textId="77777777" w:rsidR="005E671C" w:rsidRPr="005E671C" w:rsidRDefault="005E671C" w:rsidP="005E671C">
            <w:pPr>
              <w:spacing w:after="0" w:line="240" w:lineRule="auto"/>
              <w:jc w:val="center"/>
              <w:rPr>
                <w:rFonts w:ascii="Tahoma" w:eastAsia="Times New Roman" w:hAnsi="Tahoma" w:cs="Tahoma"/>
                <w:sz w:val="20"/>
                <w:szCs w:val="20"/>
                <w:lang w:eastAsia="hr-HR"/>
              </w:rPr>
            </w:pPr>
            <w:r w:rsidRPr="005E671C">
              <w:rPr>
                <w:rFonts w:ascii="Tahoma" w:eastAsia="Times New Roman" w:hAnsi="Tahoma" w:cs="Tahoma"/>
                <w:sz w:val="20"/>
                <w:szCs w:val="20"/>
                <w:lang w:eastAsia="hr-HR"/>
              </w:rPr>
              <w:t>2</w:t>
            </w:r>
          </w:p>
        </w:tc>
        <w:tc>
          <w:tcPr>
            <w:tcW w:w="698" w:type="dxa"/>
            <w:tcBorders>
              <w:top w:val="nil"/>
              <w:left w:val="nil"/>
              <w:bottom w:val="single" w:sz="4" w:space="0" w:color="auto"/>
              <w:right w:val="single" w:sz="4" w:space="0" w:color="auto"/>
            </w:tcBorders>
            <w:shd w:val="clear" w:color="000000" w:fill="FFFF99"/>
            <w:noWrap/>
            <w:vAlign w:val="center"/>
            <w:hideMark/>
          </w:tcPr>
          <w:p w14:paraId="5AC36030" w14:textId="77777777" w:rsidR="005E671C" w:rsidRPr="005E671C" w:rsidRDefault="005E671C" w:rsidP="005E671C">
            <w:pPr>
              <w:spacing w:after="0" w:line="240" w:lineRule="auto"/>
              <w:jc w:val="center"/>
              <w:rPr>
                <w:rFonts w:ascii="Tahoma" w:eastAsia="Times New Roman" w:hAnsi="Tahoma" w:cs="Tahoma"/>
                <w:sz w:val="20"/>
                <w:szCs w:val="20"/>
                <w:lang w:eastAsia="hr-HR"/>
              </w:rPr>
            </w:pPr>
            <w:r w:rsidRPr="005E671C">
              <w:rPr>
                <w:rFonts w:ascii="Tahoma" w:eastAsia="Times New Roman" w:hAnsi="Tahoma" w:cs="Tahoma"/>
                <w:sz w:val="20"/>
                <w:szCs w:val="20"/>
                <w:lang w:eastAsia="hr-HR"/>
              </w:rPr>
              <w:t>0</w:t>
            </w:r>
          </w:p>
        </w:tc>
        <w:tc>
          <w:tcPr>
            <w:tcW w:w="698" w:type="dxa"/>
            <w:tcBorders>
              <w:top w:val="nil"/>
              <w:left w:val="nil"/>
              <w:bottom w:val="single" w:sz="4" w:space="0" w:color="auto"/>
              <w:right w:val="single" w:sz="4" w:space="0" w:color="auto"/>
            </w:tcBorders>
            <w:shd w:val="clear" w:color="000000" w:fill="FFFF99"/>
            <w:noWrap/>
            <w:vAlign w:val="center"/>
            <w:hideMark/>
          </w:tcPr>
          <w:p w14:paraId="144E0B20" w14:textId="77777777" w:rsidR="005E671C" w:rsidRPr="005E671C" w:rsidRDefault="005E671C" w:rsidP="005E671C">
            <w:pPr>
              <w:spacing w:after="0" w:line="240" w:lineRule="auto"/>
              <w:jc w:val="center"/>
              <w:rPr>
                <w:rFonts w:ascii="Tahoma" w:eastAsia="Times New Roman" w:hAnsi="Tahoma" w:cs="Tahoma"/>
                <w:sz w:val="20"/>
                <w:szCs w:val="20"/>
                <w:lang w:eastAsia="hr-HR"/>
              </w:rPr>
            </w:pPr>
            <w:r w:rsidRPr="005E671C">
              <w:rPr>
                <w:rFonts w:ascii="Tahoma" w:eastAsia="Times New Roman" w:hAnsi="Tahoma" w:cs="Tahoma"/>
                <w:sz w:val="20"/>
                <w:szCs w:val="20"/>
                <w:lang w:eastAsia="hr-HR"/>
              </w:rPr>
              <w:t>0</w:t>
            </w:r>
          </w:p>
        </w:tc>
        <w:tc>
          <w:tcPr>
            <w:tcW w:w="698" w:type="dxa"/>
            <w:tcBorders>
              <w:top w:val="nil"/>
              <w:left w:val="nil"/>
              <w:bottom w:val="single" w:sz="4" w:space="0" w:color="auto"/>
              <w:right w:val="single" w:sz="4" w:space="0" w:color="auto"/>
            </w:tcBorders>
            <w:shd w:val="clear" w:color="000000" w:fill="FFFF99"/>
            <w:noWrap/>
            <w:vAlign w:val="center"/>
            <w:hideMark/>
          </w:tcPr>
          <w:p w14:paraId="110D7D81" w14:textId="77777777" w:rsidR="005E671C" w:rsidRPr="005E671C" w:rsidRDefault="005E671C" w:rsidP="005E671C">
            <w:pPr>
              <w:spacing w:after="0" w:line="240" w:lineRule="auto"/>
              <w:jc w:val="center"/>
              <w:rPr>
                <w:rFonts w:ascii="Tahoma" w:eastAsia="Times New Roman" w:hAnsi="Tahoma" w:cs="Tahoma"/>
                <w:sz w:val="20"/>
                <w:szCs w:val="20"/>
                <w:lang w:eastAsia="hr-HR"/>
              </w:rPr>
            </w:pPr>
            <w:r w:rsidRPr="005E671C">
              <w:rPr>
                <w:rFonts w:ascii="Tahoma" w:eastAsia="Times New Roman" w:hAnsi="Tahoma" w:cs="Tahoma"/>
                <w:sz w:val="20"/>
                <w:szCs w:val="20"/>
                <w:lang w:eastAsia="hr-HR"/>
              </w:rPr>
              <w:t>0</w:t>
            </w:r>
          </w:p>
        </w:tc>
        <w:tc>
          <w:tcPr>
            <w:tcW w:w="493" w:type="dxa"/>
            <w:tcBorders>
              <w:top w:val="nil"/>
              <w:left w:val="nil"/>
              <w:bottom w:val="single" w:sz="4" w:space="0" w:color="auto"/>
              <w:right w:val="single" w:sz="4" w:space="0" w:color="auto"/>
            </w:tcBorders>
            <w:shd w:val="clear" w:color="000000" w:fill="FF9900"/>
            <w:noWrap/>
            <w:vAlign w:val="center"/>
            <w:hideMark/>
          </w:tcPr>
          <w:p w14:paraId="4D947E27" w14:textId="77777777" w:rsidR="005E671C" w:rsidRPr="005E671C" w:rsidRDefault="005E671C" w:rsidP="005E671C">
            <w:pPr>
              <w:spacing w:after="0" w:line="240" w:lineRule="auto"/>
              <w:jc w:val="center"/>
              <w:rPr>
                <w:rFonts w:ascii="Tahoma" w:eastAsia="Times New Roman" w:hAnsi="Tahoma" w:cs="Tahoma"/>
                <w:sz w:val="20"/>
                <w:szCs w:val="20"/>
                <w:lang w:eastAsia="hr-HR"/>
              </w:rPr>
            </w:pPr>
            <w:r w:rsidRPr="005E671C">
              <w:rPr>
                <w:rFonts w:ascii="Tahoma" w:eastAsia="Times New Roman" w:hAnsi="Tahoma" w:cs="Tahoma"/>
                <w:sz w:val="20"/>
                <w:szCs w:val="20"/>
                <w:lang w:eastAsia="hr-HR"/>
              </w:rPr>
              <w:t>0</w:t>
            </w:r>
          </w:p>
        </w:tc>
        <w:tc>
          <w:tcPr>
            <w:tcW w:w="469" w:type="dxa"/>
            <w:tcBorders>
              <w:top w:val="nil"/>
              <w:left w:val="nil"/>
              <w:bottom w:val="single" w:sz="4" w:space="0" w:color="auto"/>
              <w:right w:val="single" w:sz="4" w:space="0" w:color="auto"/>
            </w:tcBorders>
            <w:shd w:val="clear" w:color="000000" w:fill="FF9900"/>
            <w:noWrap/>
            <w:vAlign w:val="center"/>
            <w:hideMark/>
          </w:tcPr>
          <w:p w14:paraId="54B87229" w14:textId="77777777" w:rsidR="005E671C" w:rsidRPr="005E671C" w:rsidRDefault="005E671C" w:rsidP="005E671C">
            <w:pPr>
              <w:spacing w:after="0" w:line="240" w:lineRule="auto"/>
              <w:jc w:val="center"/>
              <w:rPr>
                <w:rFonts w:ascii="Tahoma" w:eastAsia="Times New Roman" w:hAnsi="Tahoma" w:cs="Tahoma"/>
                <w:sz w:val="20"/>
                <w:szCs w:val="20"/>
                <w:lang w:eastAsia="hr-HR"/>
              </w:rPr>
            </w:pPr>
            <w:r w:rsidRPr="005E671C">
              <w:rPr>
                <w:rFonts w:ascii="Tahoma" w:eastAsia="Times New Roman" w:hAnsi="Tahoma" w:cs="Tahoma"/>
                <w:sz w:val="20"/>
                <w:szCs w:val="20"/>
                <w:lang w:eastAsia="hr-HR"/>
              </w:rPr>
              <w:t>3</w:t>
            </w:r>
          </w:p>
        </w:tc>
        <w:tc>
          <w:tcPr>
            <w:tcW w:w="467" w:type="dxa"/>
            <w:tcBorders>
              <w:top w:val="nil"/>
              <w:left w:val="nil"/>
              <w:bottom w:val="single" w:sz="4" w:space="0" w:color="auto"/>
              <w:right w:val="single" w:sz="4" w:space="0" w:color="auto"/>
            </w:tcBorders>
            <w:shd w:val="clear" w:color="000000" w:fill="FF9900"/>
            <w:noWrap/>
            <w:vAlign w:val="center"/>
            <w:hideMark/>
          </w:tcPr>
          <w:p w14:paraId="4300807C" w14:textId="77777777" w:rsidR="005E671C" w:rsidRPr="005E671C" w:rsidRDefault="005E671C" w:rsidP="005E671C">
            <w:pPr>
              <w:spacing w:after="0" w:line="240" w:lineRule="auto"/>
              <w:jc w:val="center"/>
              <w:rPr>
                <w:rFonts w:ascii="Tahoma" w:eastAsia="Times New Roman" w:hAnsi="Tahoma" w:cs="Tahoma"/>
                <w:sz w:val="20"/>
                <w:szCs w:val="20"/>
                <w:lang w:eastAsia="hr-HR"/>
              </w:rPr>
            </w:pPr>
            <w:r w:rsidRPr="005E671C">
              <w:rPr>
                <w:rFonts w:ascii="Tahoma" w:eastAsia="Times New Roman" w:hAnsi="Tahoma" w:cs="Tahoma"/>
                <w:sz w:val="20"/>
                <w:szCs w:val="20"/>
                <w:lang w:eastAsia="hr-HR"/>
              </w:rPr>
              <w:t>0</w:t>
            </w:r>
          </w:p>
        </w:tc>
        <w:tc>
          <w:tcPr>
            <w:tcW w:w="567" w:type="dxa"/>
            <w:tcBorders>
              <w:top w:val="nil"/>
              <w:left w:val="nil"/>
              <w:bottom w:val="single" w:sz="4" w:space="0" w:color="auto"/>
              <w:right w:val="single" w:sz="4" w:space="0" w:color="auto"/>
            </w:tcBorders>
            <w:shd w:val="clear" w:color="000000" w:fill="FFFF00"/>
            <w:vAlign w:val="center"/>
            <w:hideMark/>
          </w:tcPr>
          <w:p w14:paraId="054DFCFA" w14:textId="77777777" w:rsidR="005E671C" w:rsidRPr="005E671C" w:rsidRDefault="005E671C" w:rsidP="005E671C">
            <w:pPr>
              <w:spacing w:after="0" w:line="240" w:lineRule="auto"/>
              <w:jc w:val="center"/>
              <w:rPr>
                <w:rFonts w:ascii="Tahoma" w:eastAsia="Times New Roman" w:hAnsi="Tahoma" w:cs="Tahoma"/>
                <w:sz w:val="20"/>
                <w:szCs w:val="20"/>
                <w:lang w:eastAsia="hr-HR"/>
              </w:rPr>
            </w:pPr>
            <w:r w:rsidRPr="005E671C">
              <w:rPr>
                <w:rFonts w:ascii="Tahoma" w:eastAsia="Times New Roman" w:hAnsi="Tahoma" w:cs="Tahoma"/>
                <w:sz w:val="20"/>
                <w:szCs w:val="20"/>
                <w:lang w:eastAsia="hr-HR"/>
              </w:rPr>
              <w:t>3</w:t>
            </w:r>
          </w:p>
        </w:tc>
        <w:tc>
          <w:tcPr>
            <w:tcW w:w="542" w:type="dxa"/>
            <w:tcBorders>
              <w:top w:val="nil"/>
              <w:left w:val="nil"/>
              <w:bottom w:val="single" w:sz="4" w:space="0" w:color="auto"/>
              <w:right w:val="single" w:sz="4" w:space="0" w:color="auto"/>
            </w:tcBorders>
            <w:shd w:val="clear" w:color="000000" w:fill="FF9900"/>
            <w:vAlign w:val="center"/>
            <w:hideMark/>
          </w:tcPr>
          <w:p w14:paraId="1BEEB3D3" w14:textId="77777777" w:rsidR="005E671C" w:rsidRPr="005E671C" w:rsidRDefault="005E671C" w:rsidP="005E671C">
            <w:pPr>
              <w:spacing w:after="0" w:line="240" w:lineRule="auto"/>
              <w:jc w:val="center"/>
              <w:rPr>
                <w:rFonts w:ascii="Tahoma" w:eastAsia="Times New Roman" w:hAnsi="Tahoma" w:cs="Tahoma"/>
                <w:sz w:val="20"/>
                <w:szCs w:val="20"/>
                <w:lang w:eastAsia="hr-HR"/>
              </w:rPr>
            </w:pPr>
            <w:r w:rsidRPr="005E671C">
              <w:rPr>
                <w:rFonts w:ascii="Tahoma" w:eastAsia="Times New Roman" w:hAnsi="Tahoma" w:cs="Tahoma"/>
                <w:sz w:val="20"/>
                <w:szCs w:val="20"/>
                <w:lang w:eastAsia="hr-HR"/>
              </w:rPr>
              <w:t>13</w:t>
            </w:r>
          </w:p>
        </w:tc>
        <w:tc>
          <w:tcPr>
            <w:tcW w:w="441" w:type="dxa"/>
            <w:tcBorders>
              <w:top w:val="nil"/>
              <w:left w:val="nil"/>
              <w:bottom w:val="single" w:sz="4" w:space="0" w:color="auto"/>
              <w:right w:val="single" w:sz="4" w:space="0" w:color="auto"/>
            </w:tcBorders>
            <w:shd w:val="clear" w:color="000000" w:fill="FF9900"/>
            <w:noWrap/>
            <w:vAlign w:val="center"/>
            <w:hideMark/>
          </w:tcPr>
          <w:p w14:paraId="2F75778D" w14:textId="77777777" w:rsidR="005E671C" w:rsidRPr="005E671C" w:rsidRDefault="005E671C" w:rsidP="005E671C">
            <w:pPr>
              <w:spacing w:after="0" w:line="240" w:lineRule="auto"/>
              <w:jc w:val="center"/>
              <w:rPr>
                <w:rFonts w:ascii="Tahoma" w:eastAsia="Times New Roman" w:hAnsi="Tahoma" w:cs="Tahoma"/>
                <w:sz w:val="20"/>
                <w:szCs w:val="20"/>
                <w:lang w:eastAsia="hr-HR"/>
              </w:rPr>
            </w:pPr>
            <w:r w:rsidRPr="005E671C">
              <w:rPr>
                <w:rFonts w:ascii="Tahoma" w:eastAsia="Times New Roman" w:hAnsi="Tahoma" w:cs="Tahoma"/>
                <w:sz w:val="20"/>
                <w:szCs w:val="20"/>
                <w:lang w:eastAsia="hr-HR"/>
              </w:rPr>
              <w:t>2</w:t>
            </w:r>
          </w:p>
        </w:tc>
        <w:tc>
          <w:tcPr>
            <w:tcW w:w="426" w:type="dxa"/>
            <w:tcBorders>
              <w:top w:val="nil"/>
              <w:left w:val="nil"/>
              <w:bottom w:val="single" w:sz="4" w:space="0" w:color="auto"/>
              <w:right w:val="single" w:sz="4" w:space="0" w:color="auto"/>
            </w:tcBorders>
            <w:shd w:val="clear" w:color="000000" w:fill="FF9900"/>
            <w:noWrap/>
            <w:vAlign w:val="center"/>
            <w:hideMark/>
          </w:tcPr>
          <w:p w14:paraId="48782427" w14:textId="77777777" w:rsidR="005E671C" w:rsidRPr="005E671C" w:rsidRDefault="005E671C" w:rsidP="005E671C">
            <w:pPr>
              <w:spacing w:after="0" w:line="240" w:lineRule="auto"/>
              <w:jc w:val="center"/>
              <w:rPr>
                <w:rFonts w:ascii="Tahoma" w:eastAsia="Times New Roman" w:hAnsi="Tahoma" w:cs="Tahoma"/>
                <w:sz w:val="20"/>
                <w:szCs w:val="20"/>
                <w:lang w:eastAsia="hr-HR"/>
              </w:rPr>
            </w:pPr>
            <w:r w:rsidRPr="005E671C">
              <w:rPr>
                <w:rFonts w:ascii="Tahoma" w:eastAsia="Times New Roman" w:hAnsi="Tahoma" w:cs="Tahoma"/>
                <w:sz w:val="20"/>
                <w:szCs w:val="20"/>
                <w:lang w:eastAsia="hr-HR"/>
              </w:rPr>
              <w:t>2</w:t>
            </w:r>
          </w:p>
        </w:tc>
        <w:tc>
          <w:tcPr>
            <w:tcW w:w="854" w:type="dxa"/>
            <w:tcBorders>
              <w:top w:val="nil"/>
              <w:left w:val="nil"/>
              <w:bottom w:val="single" w:sz="4" w:space="0" w:color="auto"/>
              <w:right w:val="single" w:sz="4" w:space="0" w:color="auto"/>
            </w:tcBorders>
            <w:shd w:val="clear" w:color="000000" w:fill="FF9900"/>
            <w:noWrap/>
            <w:vAlign w:val="center"/>
            <w:hideMark/>
          </w:tcPr>
          <w:p w14:paraId="440FD465" w14:textId="77777777" w:rsidR="005E671C" w:rsidRPr="005E671C" w:rsidRDefault="005E671C" w:rsidP="005E671C">
            <w:pPr>
              <w:spacing w:after="0" w:line="240" w:lineRule="auto"/>
              <w:jc w:val="center"/>
              <w:rPr>
                <w:rFonts w:ascii="Tahoma" w:eastAsia="Times New Roman" w:hAnsi="Tahoma" w:cs="Tahoma"/>
                <w:sz w:val="20"/>
                <w:szCs w:val="20"/>
                <w:lang w:eastAsia="hr-HR"/>
              </w:rPr>
            </w:pPr>
            <w:r w:rsidRPr="005E671C">
              <w:rPr>
                <w:rFonts w:ascii="Tahoma" w:eastAsia="Times New Roman" w:hAnsi="Tahoma" w:cs="Tahoma"/>
                <w:sz w:val="20"/>
                <w:szCs w:val="20"/>
                <w:lang w:eastAsia="hr-HR"/>
              </w:rPr>
              <w:t>2</w:t>
            </w:r>
          </w:p>
        </w:tc>
        <w:tc>
          <w:tcPr>
            <w:tcW w:w="440" w:type="dxa"/>
            <w:tcBorders>
              <w:top w:val="nil"/>
              <w:left w:val="nil"/>
              <w:bottom w:val="single" w:sz="4" w:space="0" w:color="auto"/>
              <w:right w:val="single" w:sz="4" w:space="0" w:color="auto"/>
            </w:tcBorders>
            <w:shd w:val="clear" w:color="000000" w:fill="CCFFFF"/>
            <w:noWrap/>
            <w:vAlign w:val="center"/>
            <w:hideMark/>
          </w:tcPr>
          <w:p w14:paraId="2E53F392" w14:textId="77777777" w:rsidR="005E671C" w:rsidRPr="005E671C" w:rsidRDefault="005E671C" w:rsidP="005E671C">
            <w:pPr>
              <w:spacing w:after="0" w:line="240" w:lineRule="auto"/>
              <w:jc w:val="center"/>
              <w:rPr>
                <w:rFonts w:ascii="Tahoma" w:eastAsia="Times New Roman" w:hAnsi="Tahoma" w:cs="Tahoma"/>
                <w:sz w:val="20"/>
                <w:szCs w:val="20"/>
                <w:lang w:eastAsia="hr-HR"/>
              </w:rPr>
            </w:pPr>
            <w:r w:rsidRPr="005E671C">
              <w:rPr>
                <w:rFonts w:ascii="Tahoma" w:eastAsia="Times New Roman" w:hAnsi="Tahoma" w:cs="Tahoma"/>
                <w:sz w:val="20"/>
                <w:szCs w:val="20"/>
                <w:lang w:eastAsia="hr-HR"/>
              </w:rPr>
              <w:t>0</w:t>
            </w:r>
          </w:p>
        </w:tc>
        <w:tc>
          <w:tcPr>
            <w:tcW w:w="408" w:type="dxa"/>
            <w:tcBorders>
              <w:top w:val="nil"/>
              <w:left w:val="nil"/>
              <w:bottom w:val="single" w:sz="4" w:space="0" w:color="auto"/>
              <w:right w:val="single" w:sz="4" w:space="0" w:color="auto"/>
            </w:tcBorders>
            <w:shd w:val="clear" w:color="000000" w:fill="CCFFFF"/>
            <w:noWrap/>
            <w:vAlign w:val="center"/>
            <w:hideMark/>
          </w:tcPr>
          <w:p w14:paraId="65B3E973" w14:textId="77777777" w:rsidR="005E671C" w:rsidRPr="005E671C" w:rsidRDefault="005E671C" w:rsidP="005E671C">
            <w:pPr>
              <w:spacing w:after="0" w:line="240" w:lineRule="auto"/>
              <w:jc w:val="center"/>
              <w:rPr>
                <w:rFonts w:ascii="Tahoma" w:eastAsia="Times New Roman" w:hAnsi="Tahoma" w:cs="Tahoma"/>
                <w:sz w:val="20"/>
                <w:szCs w:val="20"/>
                <w:lang w:eastAsia="hr-HR"/>
              </w:rPr>
            </w:pPr>
            <w:r w:rsidRPr="005E671C">
              <w:rPr>
                <w:rFonts w:ascii="Tahoma" w:eastAsia="Times New Roman" w:hAnsi="Tahoma" w:cs="Tahoma"/>
                <w:sz w:val="20"/>
                <w:szCs w:val="20"/>
                <w:lang w:eastAsia="hr-HR"/>
              </w:rPr>
              <w:t>0</w:t>
            </w:r>
          </w:p>
        </w:tc>
        <w:tc>
          <w:tcPr>
            <w:tcW w:w="433" w:type="dxa"/>
            <w:tcBorders>
              <w:top w:val="nil"/>
              <w:left w:val="nil"/>
              <w:bottom w:val="single" w:sz="4" w:space="0" w:color="auto"/>
              <w:right w:val="single" w:sz="4" w:space="0" w:color="auto"/>
            </w:tcBorders>
            <w:shd w:val="clear" w:color="000000" w:fill="CCFFFF"/>
            <w:noWrap/>
            <w:vAlign w:val="center"/>
            <w:hideMark/>
          </w:tcPr>
          <w:p w14:paraId="420FD092" w14:textId="77777777" w:rsidR="005E671C" w:rsidRPr="005E671C" w:rsidRDefault="005E671C" w:rsidP="005E671C">
            <w:pPr>
              <w:spacing w:after="0" w:line="240" w:lineRule="auto"/>
              <w:jc w:val="center"/>
              <w:rPr>
                <w:rFonts w:ascii="Tahoma" w:eastAsia="Times New Roman" w:hAnsi="Tahoma" w:cs="Tahoma"/>
                <w:sz w:val="20"/>
                <w:szCs w:val="20"/>
                <w:lang w:eastAsia="hr-HR"/>
              </w:rPr>
            </w:pPr>
            <w:r w:rsidRPr="005E671C">
              <w:rPr>
                <w:rFonts w:ascii="Tahoma" w:eastAsia="Times New Roman" w:hAnsi="Tahoma" w:cs="Tahoma"/>
                <w:sz w:val="20"/>
                <w:szCs w:val="20"/>
                <w:lang w:eastAsia="hr-HR"/>
              </w:rPr>
              <w:t>0</w:t>
            </w:r>
          </w:p>
        </w:tc>
        <w:tc>
          <w:tcPr>
            <w:tcW w:w="425" w:type="dxa"/>
            <w:tcBorders>
              <w:top w:val="nil"/>
              <w:left w:val="nil"/>
              <w:bottom w:val="single" w:sz="4" w:space="0" w:color="auto"/>
              <w:right w:val="single" w:sz="8" w:space="0" w:color="auto"/>
            </w:tcBorders>
            <w:shd w:val="clear" w:color="000000" w:fill="33CCCC"/>
            <w:noWrap/>
            <w:vAlign w:val="center"/>
            <w:hideMark/>
          </w:tcPr>
          <w:p w14:paraId="73C14B2D" w14:textId="77777777" w:rsidR="005E671C" w:rsidRPr="005E671C" w:rsidRDefault="005E671C" w:rsidP="005E671C">
            <w:pPr>
              <w:spacing w:after="0" w:line="240" w:lineRule="auto"/>
              <w:jc w:val="center"/>
              <w:rPr>
                <w:rFonts w:ascii="Tahoma" w:eastAsia="Times New Roman" w:hAnsi="Tahoma" w:cs="Tahoma"/>
                <w:sz w:val="20"/>
                <w:szCs w:val="20"/>
                <w:lang w:eastAsia="hr-HR"/>
              </w:rPr>
            </w:pPr>
            <w:r w:rsidRPr="005E671C">
              <w:rPr>
                <w:rFonts w:ascii="Tahoma" w:eastAsia="Times New Roman" w:hAnsi="Tahoma" w:cs="Tahoma"/>
                <w:sz w:val="20"/>
                <w:szCs w:val="20"/>
                <w:lang w:eastAsia="hr-HR"/>
              </w:rPr>
              <w:t>1</w:t>
            </w:r>
          </w:p>
        </w:tc>
        <w:tc>
          <w:tcPr>
            <w:tcW w:w="567" w:type="dxa"/>
            <w:tcBorders>
              <w:top w:val="nil"/>
              <w:left w:val="single" w:sz="4" w:space="0" w:color="auto"/>
              <w:bottom w:val="single" w:sz="4" w:space="0" w:color="auto"/>
              <w:right w:val="single" w:sz="8" w:space="0" w:color="auto"/>
            </w:tcBorders>
            <w:shd w:val="clear" w:color="000000" w:fill="33CCCC"/>
            <w:noWrap/>
            <w:vAlign w:val="center"/>
            <w:hideMark/>
          </w:tcPr>
          <w:p w14:paraId="596DEAE4" w14:textId="77777777" w:rsidR="005E671C" w:rsidRPr="005E671C" w:rsidRDefault="005E671C" w:rsidP="005E671C">
            <w:pPr>
              <w:spacing w:after="0" w:line="240" w:lineRule="auto"/>
              <w:jc w:val="center"/>
              <w:rPr>
                <w:rFonts w:ascii="Tahoma" w:eastAsia="Times New Roman" w:hAnsi="Tahoma" w:cs="Tahoma"/>
                <w:sz w:val="20"/>
                <w:szCs w:val="20"/>
                <w:lang w:eastAsia="hr-HR"/>
              </w:rPr>
            </w:pPr>
            <w:r w:rsidRPr="005E671C">
              <w:rPr>
                <w:rFonts w:ascii="Tahoma" w:eastAsia="Times New Roman" w:hAnsi="Tahoma" w:cs="Tahoma"/>
                <w:sz w:val="20"/>
                <w:szCs w:val="20"/>
                <w:lang w:eastAsia="hr-HR"/>
              </w:rPr>
              <w:t>2</w:t>
            </w:r>
          </w:p>
        </w:tc>
        <w:tc>
          <w:tcPr>
            <w:tcW w:w="237" w:type="dxa"/>
            <w:gridSpan w:val="2"/>
            <w:vAlign w:val="center"/>
            <w:hideMark/>
          </w:tcPr>
          <w:p w14:paraId="68D91C3F" w14:textId="77777777" w:rsidR="005E671C" w:rsidRPr="005E671C" w:rsidRDefault="005E671C" w:rsidP="005E671C">
            <w:pPr>
              <w:spacing w:after="0" w:line="240" w:lineRule="auto"/>
              <w:rPr>
                <w:rFonts w:ascii="Times New Roman" w:eastAsia="Times New Roman" w:hAnsi="Times New Roman" w:cs="Times New Roman"/>
                <w:sz w:val="20"/>
                <w:szCs w:val="20"/>
                <w:lang w:eastAsia="hr-HR"/>
              </w:rPr>
            </w:pPr>
          </w:p>
        </w:tc>
      </w:tr>
      <w:tr w:rsidR="005E671C" w:rsidRPr="005E671C" w14:paraId="1C74E35B" w14:textId="77777777" w:rsidTr="001752B7">
        <w:trPr>
          <w:gridAfter w:val="1"/>
          <w:wAfter w:w="51" w:type="dxa"/>
          <w:trHeight w:val="300"/>
        </w:trPr>
        <w:tc>
          <w:tcPr>
            <w:tcW w:w="1550" w:type="dxa"/>
            <w:tcBorders>
              <w:top w:val="single" w:sz="4" w:space="0" w:color="auto"/>
              <w:left w:val="single" w:sz="8" w:space="0" w:color="auto"/>
              <w:bottom w:val="single" w:sz="4" w:space="0" w:color="auto"/>
              <w:right w:val="single" w:sz="4" w:space="0" w:color="auto"/>
            </w:tcBorders>
            <w:shd w:val="clear" w:color="000000" w:fill="CCFFCC"/>
            <w:vAlign w:val="center"/>
            <w:hideMark/>
          </w:tcPr>
          <w:p w14:paraId="41F328A6" w14:textId="77777777" w:rsidR="005E671C" w:rsidRPr="005E671C" w:rsidRDefault="005E671C" w:rsidP="005E671C">
            <w:pPr>
              <w:spacing w:after="0" w:line="240" w:lineRule="auto"/>
              <w:rPr>
                <w:rFonts w:ascii="Tahoma" w:eastAsia="Times New Roman" w:hAnsi="Tahoma" w:cs="Tahoma"/>
                <w:sz w:val="20"/>
                <w:szCs w:val="20"/>
                <w:lang w:eastAsia="hr-HR"/>
              </w:rPr>
            </w:pPr>
            <w:r w:rsidRPr="005E671C">
              <w:rPr>
                <w:rFonts w:ascii="Tahoma" w:eastAsia="Times New Roman" w:hAnsi="Tahoma" w:cs="Tahoma"/>
                <w:sz w:val="20"/>
                <w:szCs w:val="20"/>
                <w:lang w:eastAsia="hr-HR"/>
              </w:rPr>
              <w:t>Zdravstveno stanje</w:t>
            </w:r>
          </w:p>
        </w:tc>
        <w:tc>
          <w:tcPr>
            <w:tcW w:w="669" w:type="dxa"/>
            <w:tcBorders>
              <w:top w:val="nil"/>
              <w:left w:val="nil"/>
              <w:bottom w:val="single" w:sz="4" w:space="0" w:color="auto"/>
              <w:right w:val="single" w:sz="4" w:space="0" w:color="auto"/>
            </w:tcBorders>
            <w:shd w:val="clear" w:color="000000" w:fill="FFCC99"/>
            <w:noWrap/>
            <w:vAlign w:val="center"/>
            <w:hideMark/>
          </w:tcPr>
          <w:p w14:paraId="286B2F6A" w14:textId="77777777" w:rsidR="005E671C" w:rsidRPr="005E671C" w:rsidRDefault="005E671C" w:rsidP="005E671C">
            <w:pPr>
              <w:spacing w:after="0" w:line="240" w:lineRule="auto"/>
              <w:jc w:val="center"/>
              <w:rPr>
                <w:rFonts w:ascii="Tahoma" w:eastAsia="Times New Roman" w:hAnsi="Tahoma" w:cs="Tahoma"/>
                <w:sz w:val="20"/>
                <w:szCs w:val="20"/>
                <w:lang w:eastAsia="hr-HR"/>
              </w:rPr>
            </w:pPr>
            <w:r w:rsidRPr="005E671C">
              <w:rPr>
                <w:rFonts w:ascii="Tahoma" w:eastAsia="Times New Roman" w:hAnsi="Tahoma" w:cs="Tahoma"/>
                <w:sz w:val="20"/>
                <w:szCs w:val="20"/>
                <w:lang w:eastAsia="hr-HR"/>
              </w:rPr>
              <w:t>7</w:t>
            </w:r>
          </w:p>
        </w:tc>
        <w:tc>
          <w:tcPr>
            <w:tcW w:w="352" w:type="dxa"/>
            <w:tcBorders>
              <w:top w:val="nil"/>
              <w:left w:val="nil"/>
              <w:bottom w:val="single" w:sz="4" w:space="0" w:color="auto"/>
              <w:right w:val="single" w:sz="4" w:space="0" w:color="auto"/>
            </w:tcBorders>
            <w:shd w:val="clear" w:color="000000" w:fill="FFFF00"/>
            <w:noWrap/>
            <w:vAlign w:val="center"/>
            <w:hideMark/>
          </w:tcPr>
          <w:p w14:paraId="3306B772" w14:textId="77777777" w:rsidR="005E671C" w:rsidRPr="005E671C" w:rsidRDefault="005E671C" w:rsidP="005E671C">
            <w:pPr>
              <w:spacing w:after="0" w:line="240" w:lineRule="auto"/>
              <w:jc w:val="center"/>
              <w:rPr>
                <w:rFonts w:ascii="Tahoma" w:eastAsia="Times New Roman" w:hAnsi="Tahoma" w:cs="Tahoma"/>
                <w:sz w:val="20"/>
                <w:szCs w:val="20"/>
                <w:lang w:eastAsia="hr-HR"/>
              </w:rPr>
            </w:pPr>
            <w:r w:rsidRPr="005E671C">
              <w:rPr>
                <w:rFonts w:ascii="Tahoma" w:eastAsia="Times New Roman" w:hAnsi="Tahoma" w:cs="Tahoma"/>
                <w:sz w:val="20"/>
                <w:szCs w:val="20"/>
                <w:lang w:eastAsia="hr-HR"/>
              </w:rPr>
              <w:t>0</w:t>
            </w:r>
          </w:p>
        </w:tc>
        <w:tc>
          <w:tcPr>
            <w:tcW w:w="574" w:type="dxa"/>
            <w:tcBorders>
              <w:top w:val="nil"/>
              <w:left w:val="nil"/>
              <w:bottom w:val="single" w:sz="4" w:space="0" w:color="auto"/>
              <w:right w:val="single" w:sz="4" w:space="0" w:color="auto"/>
            </w:tcBorders>
            <w:shd w:val="clear" w:color="000000" w:fill="CCFFFF"/>
            <w:noWrap/>
            <w:vAlign w:val="center"/>
            <w:hideMark/>
          </w:tcPr>
          <w:p w14:paraId="23B86443" w14:textId="77777777" w:rsidR="005E671C" w:rsidRPr="005E671C" w:rsidRDefault="005E671C" w:rsidP="005E671C">
            <w:pPr>
              <w:spacing w:after="0" w:line="240" w:lineRule="auto"/>
              <w:jc w:val="center"/>
              <w:rPr>
                <w:rFonts w:ascii="Tahoma" w:eastAsia="Times New Roman" w:hAnsi="Tahoma" w:cs="Tahoma"/>
                <w:sz w:val="20"/>
                <w:szCs w:val="20"/>
                <w:lang w:eastAsia="hr-HR"/>
              </w:rPr>
            </w:pPr>
            <w:r w:rsidRPr="005E671C">
              <w:rPr>
                <w:rFonts w:ascii="Tahoma" w:eastAsia="Times New Roman" w:hAnsi="Tahoma" w:cs="Tahoma"/>
                <w:sz w:val="20"/>
                <w:szCs w:val="20"/>
                <w:lang w:eastAsia="hr-HR"/>
              </w:rPr>
              <w:t>0</w:t>
            </w:r>
          </w:p>
        </w:tc>
        <w:tc>
          <w:tcPr>
            <w:tcW w:w="440" w:type="dxa"/>
            <w:tcBorders>
              <w:top w:val="nil"/>
              <w:left w:val="nil"/>
              <w:bottom w:val="single" w:sz="4" w:space="0" w:color="auto"/>
              <w:right w:val="single" w:sz="4" w:space="0" w:color="auto"/>
            </w:tcBorders>
            <w:shd w:val="clear" w:color="000000" w:fill="CCFFFF"/>
            <w:noWrap/>
            <w:vAlign w:val="center"/>
            <w:hideMark/>
          </w:tcPr>
          <w:p w14:paraId="73EB1BA1" w14:textId="77777777" w:rsidR="005E671C" w:rsidRPr="005E671C" w:rsidRDefault="005E671C" w:rsidP="005E671C">
            <w:pPr>
              <w:spacing w:after="0" w:line="240" w:lineRule="auto"/>
              <w:jc w:val="center"/>
              <w:rPr>
                <w:rFonts w:ascii="Tahoma" w:eastAsia="Times New Roman" w:hAnsi="Tahoma" w:cs="Tahoma"/>
                <w:sz w:val="20"/>
                <w:szCs w:val="20"/>
                <w:lang w:eastAsia="hr-HR"/>
              </w:rPr>
            </w:pPr>
            <w:r w:rsidRPr="005E671C">
              <w:rPr>
                <w:rFonts w:ascii="Tahoma" w:eastAsia="Times New Roman" w:hAnsi="Tahoma" w:cs="Tahoma"/>
                <w:sz w:val="20"/>
                <w:szCs w:val="20"/>
                <w:lang w:eastAsia="hr-HR"/>
              </w:rPr>
              <w:t>0</w:t>
            </w:r>
          </w:p>
        </w:tc>
        <w:tc>
          <w:tcPr>
            <w:tcW w:w="700" w:type="dxa"/>
            <w:tcBorders>
              <w:top w:val="nil"/>
              <w:left w:val="nil"/>
              <w:bottom w:val="single" w:sz="4" w:space="0" w:color="auto"/>
              <w:right w:val="single" w:sz="4" w:space="0" w:color="auto"/>
            </w:tcBorders>
            <w:shd w:val="clear" w:color="000000" w:fill="FFFF99"/>
            <w:noWrap/>
            <w:vAlign w:val="center"/>
            <w:hideMark/>
          </w:tcPr>
          <w:p w14:paraId="1D8FDFA9" w14:textId="77777777" w:rsidR="005E671C" w:rsidRPr="005E671C" w:rsidRDefault="005E671C" w:rsidP="005E671C">
            <w:pPr>
              <w:spacing w:after="0" w:line="240" w:lineRule="auto"/>
              <w:jc w:val="center"/>
              <w:rPr>
                <w:rFonts w:ascii="Tahoma" w:eastAsia="Times New Roman" w:hAnsi="Tahoma" w:cs="Tahoma"/>
                <w:sz w:val="20"/>
                <w:szCs w:val="20"/>
                <w:lang w:eastAsia="hr-HR"/>
              </w:rPr>
            </w:pPr>
            <w:r w:rsidRPr="005E671C">
              <w:rPr>
                <w:rFonts w:ascii="Tahoma" w:eastAsia="Times New Roman" w:hAnsi="Tahoma" w:cs="Tahoma"/>
                <w:sz w:val="20"/>
                <w:szCs w:val="20"/>
                <w:lang w:eastAsia="hr-HR"/>
              </w:rPr>
              <w:t>0</w:t>
            </w:r>
          </w:p>
        </w:tc>
        <w:tc>
          <w:tcPr>
            <w:tcW w:w="698" w:type="dxa"/>
            <w:tcBorders>
              <w:top w:val="nil"/>
              <w:left w:val="nil"/>
              <w:bottom w:val="single" w:sz="4" w:space="0" w:color="auto"/>
              <w:right w:val="single" w:sz="4" w:space="0" w:color="auto"/>
            </w:tcBorders>
            <w:shd w:val="clear" w:color="000000" w:fill="FFFF99"/>
            <w:noWrap/>
            <w:vAlign w:val="center"/>
            <w:hideMark/>
          </w:tcPr>
          <w:p w14:paraId="338406B9" w14:textId="77777777" w:rsidR="005E671C" w:rsidRPr="005E671C" w:rsidRDefault="005E671C" w:rsidP="005E671C">
            <w:pPr>
              <w:spacing w:after="0" w:line="240" w:lineRule="auto"/>
              <w:jc w:val="center"/>
              <w:rPr>
                <w:rFonts w:ascii="Tahoma" w:eastAsia="Times New Roman" w:hAnsi="Tahoma" w:cs="Tahoma"/>
                <w:sz w:val="20"/>
                <w:szCs w:val="20"/>
                <w:lang w:eastAsia="hr-HR"/>
              </w:rPr>
            </w:pPr>
            <w:r w:rsidRPr="005E671C">
              <w:rPr>
                <w:rFonts w:ascii="Tahoma" w:eastAsia="Times New Roman" w:hAnsi="Tahoma" w:cs="Tahoma"/>
                <w:sz w:val="20"/>
                <w:szCs w:val="20"/>
                <w:lang w:eastAsia="hr-HR"/>
              </w:rPr>
              <w:t>0</w:t>
            </w:r>
          </w:p>
        </w:tc>
        <w:tc>
          <w:tcPr>
            <w:tcW w:w="698" w:type="dxa"/>
            <w:tcBorders>
              <w:top w:val="nil"/>
              <w:left w:val="nil"/>
              <w:bottom w:val="single" w:sz="4" w:space="0" w:color="auto"/>
              <w:right w:val="single" w:sz="4" w:space="0" w:color="auto"/>
            </w:tcBorders>
            <w:shd w:val="clear" w:color="000000" w:fill="FFFF99"/>
            <w:noWrap/>
            <w:vAlign w:val="center"/>
            <w:hideMark/>
          </w:tcPr>
          <w:p w14:paraId="6B02C71D" w14:textId="77777777" w:rsidR="005E671C" w:rsidRPr="005E671C" w:rsidRDefault="005E671C" w:rsidP="005E671C">
            <w:pPr>
              <w:spacing w:after="0" w:line="240" w:lineRule="auto"/>
              <w:jc w:val="center"/>
              <w:rPr>
                <w:rFonts w:ascii="Tahoma" w:eastAsia="Times New Roman" w:hAnsi="Tahoma" w:cs="Tahoma"/>
                <w:sz w:val="20"/>
                <w:szCs w:val="20"/>
                <w:lang w:eastAsia="hr-HR"/>
              </w:rPr>
            </w:pPr>
            <w:r w:rsidRPr="005E671C">
              <w:rPr>
                <w:rFonts w:ascii="Tahoma" w:eastAsia="Times New Roman" w:hAnsi="Tahoma" w:cs="Tahoma"/>
                <w:sz w:val="20"/>
                <w:szCs w:val="20"/>
                <w:lang w:eastAsia="hr-HR"/>
              </w:rPr>
              <w:t>0</w:t>
            </w:r>
          </w:p>
        </w:tc>
        <w:tc>
          <w:tcPr>
            <w:tcW w:w="698" w:type="dxa"/>
            <w:tcBorders>
              <w:top w:val="nil"/>
              <w:left w:val="nil"/>
              <w:bottom w:val="single" w:sz="4" w:space="0" w:color="auto"/>
              <w:right w:val="single" w:sz="4" w:space="0" w:color="auto"/>
            </w:tcBorders>
            <w:shd w:val="clear" w:color="000000" w:fill="FFFF99"/>
            <w:noWrap/>
            <w:vAlign w:val="center"/>
            <w:hideMark/>
          </w:tcPr>
          <w:p w14:paraId="649D908E" w14:textId="77777777" w:rsidR="005E671C" w:rsidRPr="005E671C" w:rsidRDefault="005E671C" w:rsidP="005E671C">
            <w:pPr>
              <w:spacing w:after="0" w:line="240" w:lineRule="auto"/>
              <w:jc w:val="center"/>
              <w:rPr>
                <w:rFonts w:ascii="Tahoma" w:eastAsia="Times New Roman" w:hAnsi="Tahoma" w:cs="Tahoma"/>
                <w:sz w:val="20"/>
                <w:szCs w:val="20"/>
                <w:lang w:eastAsia="hr-HR"/>
              </w:rPr>
            </w:pPr>
            <w:r w:rsidRPr="005E671C">
              <w:rPr>
                <w:rFonts w:ascii="Tahoma" w:eastAsia="Times New Roman" w:hAnsi="Tahoma" w:cs="Tahoma"/>
                <w:sz w:val="20"/>
                <w:szCs w:val="20"/>
                <w:lang w:eastAsia="hr-HR"/>
              </w:rPr>
              <w:t>0</w:t>
            </w:r>
          </w:p>
        </w:tc>
        <w:tc>
          <w:tcPr>
            <w:tcW w:w="698" w:type="dxa"/>
            <w:tcBorders>
              <w:top w:val="nil"/>
              <w:left w:val="nil"/>
              <w:bottom w:val="single" w:sz="4" w:space="0" w:color="auto"/>
              <w:right w:val="single" w:sz="4" w:space="0" w:color="auto"/>
            </w:tcBorders>
            <w:shd w:val="clear" w:color="000000" w:fill="FFFF99"/>
            <w:noWrap/>
            <w:vAlign w:val="center"/>
            <w:hideMark/>
          </w:tcPr>
          <w:p w14:paraId="0BBF7C85" w14:textId="77777777" w:rsidR="005E671C" w:rsidRPr="005E671C" w:rsidRDefault="005E671C" w:rsidP="005E671C">
            <w:pPr>
              <w:spacing w:after="0" w:line="240" w:lineRule="auto"/>
              <w:jc w:val="center"/>
              <w:rPr>
                <w:rFonts w:ascii="Tahoma" w:eastAsia="Times New Roman" w:hAnsi="Tahoma" w:cs="Tahoma"/>
                <w:sz w:val="20"/>
                <w:szCs w:val="20"/>
                <w:lang w:eastAsia="hr-HR"/>
              </w:rPr>
            </w:pPr>
            <w:r w:rsidRPr="005E671C">
              <w:rPr>
                <w:rFonts w:ascii="Tahoma" w:eastAsia="Times New Roman" w:hAnsi="Tahoma" w:cs="Tahoma"/>
                <w:sz w:val="20"/>
                <w:szCs w:val="20"/>
                <w:lang w:eastAsia="hr-HR"/>
              </w:rPr>
              <w:t>0</w:t>
            </w:r>
          </w:p>
        </w:tc>
        <w:tc>
          <w:tcPr>
            <w:tcW w:w="698" w:type="dxa"/>
            <w:tcBorders>
              <w:top w:val="nil"/>
              <w:left w:val="nil"/>
              <w:bottom w:val="single" w:sz="4" w:space="0" w:color="auto"/>
              <w:right w:val="single" w:sz="4" w:space="0" w:color="auto"/>
            </w:tcBorders>
            <w:shd w:val="clear" w:color="000000" w:fill="FFFF99"/>
            <w:noWrap/>
            <w:vAlign w:val="center"/>
            <w:hideMark/>
          </w:tcPr>
          <w:p w14:paraId="4C18A121" w14:textId="77777777" w:rsidR="005E671C" w:rsidRPr="005E671C" w:rsidRDefault="005E671C" w:rsidP="005E671C">
            <w:pPr>
              <w:spacing w:after="0" w:line="240" w:lineRule="auto"/>
              <w:jc w:val="center"/>
              <w:rPr>
                <w:rFonts w:ascii="Tahoma" w:eastAsia="Times New Roman" w:hAnsi="Tahoma" w:cs="Tahoma"/>
                <w:sz w:val="20"/>
                <w:szCs w:val="20"/>
                <w:lang w:eastAsia="hr-HR"/>
              </w:rPr>
            </w:pPr>
            <w:r w:rsidRPr="005E671C">
              <w:rPr>
                <w:rFonts w:ascii="Tahoma" w:eastAsia="Times New Roman" w:hAnsi="Tahoma" w:cs="Tahoma"/>
                <w:sz w:val="20"/>
                <w:szCs w:val="20"/>
                <w:lang w:eastAsia="hr-HR"/>
              </w:rPr>
              <w:t>0</w:t>
            </w:r>
          </w:p>
        </w:tc>
        <w:tc>
          <w:tcPr>
            <w:tcW w:w="493" w:type="dxa"/>
            <w:tcBorders>
              <w:top w:val="nil"/>
              <w:left w:val="nil"/>
              <w:bottom w:val="single" w:sz="4" w:space="0" w:color="auto"/>
              <w:right w:val="single" w:sz="4" w:space="0" w:color="auto"/>
            </w:tcBorders>
            <w:shd w:val="clear" w:color="000000" w:fill="FF9900"/>
            <w:noWrap/>
            <w:vAlign w:val="center"/>
            <w:hideMark/>
          </w:tcPr>
          <w:p w14:paraId="67EA4C46" w14:textId="77777777" w:rsidR="005E671C" w:rsidRPr="005E671C" w:rsidRDefault="005E671C" w:rsidP="005E671C">
            <w:pPr>
              <w:spacing w:after="0" w:line="240" w:lineRule="auto"/>
              <w:jc w:val="center"/>
              <w:rPr>
                <w:rFonts w:ascii="Tahoma" w:eastAsia="Times New Roman" w:hAnsi="Tahoma" w:cs="Tahoma"/>
                <w:sz w:val="20"/>
                <w:szCs w:val="20"/>
                <w:lang w:eastAsia="hr-HR"/>
              </w:rPr>
            </w:pPr>
            <w:r w:rsidRPr="005E671C">
              <w:rPr>
                <w:rFonts w:ascii="Tahoma" w:eastAsia="Times New Roman" w:hAnsi="Tahoma" w:cs="Tahoma"/>
                <w:sz w:val="20"/>
                <w:szCs w:val="20"/>
                <w:lang w:eastAsia="hr-HR"/>
              </w:rPr>
              <w:t>1</w:t>
            </w:r>
          </w:p>
        </w:tc>
        <w:tc>
          <w:tcPr>
            <w:tcW w:w="469" w:type="dxa"/>
            <w:tcBorders>
              <w:top w:val="nil"/>
              <w:left w:val="nil"/>
              <w:bottom w:val="single" w:sz="4" w:space="0" w:color="auto"/>
              <w:right w:val="single" w:sz="4" w:space="0" w:color="auto"/>
            </w:tcBorders>
            <w:shd w:val="clear" w:color="000000" w:fill="FF9900"/>
            <w:noWrap/>
            <w:vAlign w:val="center"/>
            <w:hideMark/>
          </w:tcPr>
          <w:p w14:paraId="227CF8BE" w14:textId="77777777" w:rsidR="005E671C" w:rsidRPr="005E671C" w:rsidRDefault="005E671C" w:rsidP="005E671C">
            <w:pPr>
              <w:spacing w:after="0" w:line="240" w:lineRule="auto"/>
              <w:jc w:val="center"/>
              <w:rPr>
                <w:rFonts w:ascii="Tahoma" w:eastAsia="Times New Roman" w:hAnsi="Tahoma" w:cs="Tahoma"/>
                <w:sz w:val="20"/>
                <w:szCs w:val="20"/>
                <w:lang w:eastAsia="hr-HR"/>
              </w:rPr>
            </w:pPr>
            <w:r w:rsidRPr="005E671C">
              <w:rPr>
                <w:rFonts w:ascii="Tahoma" w:eastAsia="Times New Roman" w:hAnsi="Tahoma" w:cs="Tahoma"/>
                <w:sz w:val="20"/>
                <w:szCs w:val="20"/>
                <w:lang w:eastAsia="hr-HR"/>
              </w:rPr>
              <w:t>0</w:t>
            </w:r>
          </w:p>
        </w:tc>
        <w:tc>
          <w:tcPr>
            <w:tcW w:w="467" w:type="dxa"/>
            <w:tcBorders>
              <w:top w:val="nil"/>
              <w:left w:val="nil"/>
              <w:bottom w:val="single" w:sz="4" w:space="0" w:color="auto"/>
              <w:right w:val="single" w:sz="4" w:space="0" w:color="auto"/>
            </w:tcBorders>
            <w:shd w:val="clear" w:color="000000" w:fill="FF9900"/>
            <w:noWrap/>
            <w:vAlign w:val="center"/>
            <w:hideMark/>
          </w:tcPr>
          <w:p w14:paraId="2F5F464C" w14:textId="77777777" w:rsidR="005E671C" w:rsidRPr="005E671C" w:rsidRDefault="005E671C" w:rsidP="005E671C">
            <w:pPr>
              <w:spacing w:after="0" w:line="240" w:lineRule="auto"/>
              <w:jc w:val="center"/>
              <w:rPr>
                <w:rFonts w:ascii="Tahoma" w:eastAsia="Times New Roman" w:hAnsi="Tahoma" w:cs="Tahoma"/>
                <w:sz w:val="20"/>
                <w:szCs w:val="20"/>
                <w:lang w:eastAsia="hr-HR"/>
              </w:rPr>
            </w:pPr>
            <w:r w:rsidRPr="005E671C">
              <w:rPr>
                <w:rFonts w:ascii="Tahoma" w:eastAsia="Times New Roman" w:hAnsi="Tahoma" w:cs="Tahoma"/>
                <w:sz w:val="20"/>
                <w:szCs w:val="20"/>
                <w:lang w:eastAsia="hr-HR"/>
              </w:rPr>
              <w:t>0</w:t>
            </w:r>
          </w:p>
        </w:tc>
        <w:tc>
          <w:tcPr>
            <w:tcW w:w="567" w:type="dxa"/>
            <w:tcBorders>
              <w:top w:val="nil"/>
              <w:left w:val="nil"/>
              <w:bottom w:val="single" w:sz="4" w:space="0" w:color="auto"/>
              <w:right w:val="single" w:sz="4" w:space="0" w:color="auto"/>
            </w:tcBorders>
            <w:shd w:val="clear" w:color="000000" w:fill="FFFF00"/>
            <w:vAlign w:val="center"/>
            <w:hideMark/>
          </w:tcPr>
          <w:p w14:paraId="7518B111" w14:textId="77777777" w:rsidR="005E671C" w:rsidRPr="005E671C" w:rsidRDefault="005E671C" w:rsidP="005E671C">
            <w:pPr>
              <w:spacing w:after="0" w:line="240" w:lineRule="auto"/>
              <w:jc w:val="center"/>
              <w:rPr>
                <w:rFonts w:ascii="Tahoma" w:eastAsia="Times New Roman" w:hAnsi="Tahoma" w:cs="Tahoma"/>
                <w:sz w:val="20"/>
                <w:szCs w:val="20"/>
                <w:lang w:eastAsia="hr-HR"/>
              </w:rPr>
            </w:pPr>
            <w:r w:rsidRPr="005E671C">
              <w:rPr>
                <w:rFonts w:ascii="Tahoma" w:eastAsia="Times New Roman" w:hAnsi="Tahoma" w:cs="Tahoma"/>
                <w:sz w:val="20"/>
                <w:szCs w:val="20"/>
                <w:lang w:eastAsia="hr-HR"/>
              </w:rPr>
              <w:t>1</w:t>
            </w:r>
          </w:p>
        </w:tc>
        <w:tc>
          <w:tcPr>
            <w:tcW w:w="542" w:type="dxa"/>
            <w:tcBorders>
              <w:top w:val="nil"/>
              <w:left w:val="nil"/>
              <w:bottom w:val="single" w:sz="4" w:space="0" w:color="auto"/>
              <w:right w:val="single" w:sz="4" w:space="0" w:color="auto"/>
            </w:tcBorders>
            <w:shd w:val="clear" w:color="000000" w:fill="FF9900"/>
            <w:vAlign w:val="center"/>
            <w:hideMark/>
          </w:tcPr>
          <w:p w14:paraId="4F4DC2C0" w14:textId="77777777" w:rsidR="005E671C" w:rsidRPr="005E671C" w:rsidRDefault="005E671C" w:rsidP="005E671C">
            <w:pPr>
              <w:spacing w:after="0" w:line="240" w:lineRule="auto"/>
              <w:jc w:val="center"/>
              <w:rPr>
                <w:rFonts w:ascii="Tahoma" w:eastAsia="Times New Roman" w:hAnsi="Tahoma" w:cs="Tahoma"/>
                <w:sz w:val="20"/>
                <w:szCs w:val="20"/>
                <w:lang w:eastAsia="hr-HR"/>
              </w:rPr>
            </w:pPr>
            <w:r w:rsidRPr="005E671C">
              <w:rPr>
                <w:rFonts w:ascii="Tahoma" w:eastAsia="Times New Roman" w:hAnsi="Tahoma" w:cs="Tahoma"/>
                <w:sz w:val="20"/>
                <w:szCs w:val="20"/>
                <w:lang w:eastAsia="hr-HR"/>
              </w:rPr>
              <w:t>6</w:t>
            </w:r>
          </w:p>
        </w:tc>
        <w:tc>
          <w:tcPr>
            <w:tcW w:w="441" w:type="dxa"/>
            <w:tcBorders>
              <w:top w:val="nil"/>
              <w:left w:val="nil"/>
              <w:bottom w:val="single" w:sz="4" w:space="0" w:color="auto"/>
              <w:right w:val="single" w:sz="4" w:space="0" w:color="auto"/>
            </w:tcBorders>
            <w:shd w:val="clear" w:color="000000" w:fill="FF9900"/>
            <w:noWrap/>
            <w:vAlign w:val="center"/>
            <w:hideMark/>
          </w:tcPr>
          <w:p w14:paraId="7535170A" w14:textId="77777777" w:rsidR="005E671C" w:rsidRPr="005E671C" w:rsidRDefault="005E671C" w:rsidP="005E671C">
            <w:pPr>
              <w:spacing w:after="0" w:line="240" w:lineRule="auto"/>
              <w:jc w:val="center"/>
              <w:rPr>
                <w:rFonts w:ascii="Tahoma" w:eastAsia="Times New Roman" w:hAnsi="Tahoma" w:cs="Tahoma"/>
                <w:sz w:val="20"/>
                <w:szCs w:val="20"/>
                <w:lang w:eastAsia="hr-HR"/>
              </w:rPr>
            </w:pPr>
            <w:r w:rsidRPr="005E671C">
              <w:rPr>
                <w:rFonts w:ascii="Tahoma" w:eastAsia="Times New Roman" w:hAnsi="Tahoma" w:cs="Tahoma"/>
                <w:sz w:val="20"/>
                <w:szCs w:val="20"/>
                <w:lang w:eastAsia="hr-HR"/>
              </w:rPr>
              <w:t>1</w:t>
            </w:r>
          </w:p>
        </w:tc>
        <w:tc>
          <w:tcPr>
            <w:tcW w:w="426" w:type="dxa"/>
            <w:tcBorders>
              <w:top w:val="nil"/>
              <w:left w:val="nil"/>
              <w:bottom w:val="single" w:sz="4" w:space="0" w:color="auto"/>
              <w:right w:val="single" w:sz="4" w:space="0" w:color="auto"/>
            </w:tcBorders>
            <w:shd w:val="clear" w:color="000000" w:fill="FF9900"/>
            <w:noWrap/>
            <w:vAlign w:val="center"/>
            <w:hideMark/>
          </w:tcPr>
          <w:p w14:paraId="10C1CBED" w14:textId="77777777" w:rsidR="005E671C" w:rsidRPr="005E671C" w:rsidRDefault="005E671C" w:rsidP="005E671C">
            <w:pPr>
              <w:spacing w:after="0" w:line="240" w:lineRule="auto"/>
              <w:jc w:val="center"/>
              <w:rPr>
                <w:rFonts w:ascii="Tahoma" w:eastAsia="Times New Roman" w:hAnsi="Tahoma" w:cs="Tahoma"/>
                <w:sz w:val="20"/>
                <w:szCs w:val="20"/>
                <w:lang w:eastAsia="hr-HR"/>
              </w:rPr>
            </w:pPr>
            <w:r w:rsidRPr="005E671C">
              <w:rPr>
                <w:rFonts w:ascii="Tahoma" w:eastAsia="Times New Roman" w:hAnsi="Tahoma" w:cs="Tahoma"/>
                <w:sz w:val="20"/>
                <w:szCs w:val="20"/>
                <w:lang w:eastAsia="hr-HR"/>
              </w:rPr>
              <w:t>0</w:t>
            </w:r>
          </w:p>
        </w:tc>
        <w:tc>
          <w:tcPr>
            <w:tcW w:w="854" w:type="dxa"/>
            <w:tcBorders>
              <w:top w:val="nil"/>
              <w:left w:val="nil"/>
              <w:bottom w:val="single" w:sz="4" w:space="0" w:color="auto"/>
              <w:right w:val="single" w:sz="4" w:space="0" w:color="auto"/>
            </w:tcBorders>
            <w:shd w:val="clear" w:color="000000" w:fill="FF9900"/>
            <w:noWrap/>
            <w:vAlign w:val="center"/>
            <w:hideMark/>
          </w:tcPr>
          <w:p w14:paraId="75B90F26" w14:textId="77777777" w:rsidR="005E671C" w:rsidRPr="005E671C" w:rsidRDefault="005E671C" w:rsidP="005E671C">
            <w:pPr>
              <w:spacing w:after="0" w:line="240" w:lineRule="auto"/>
              <w:jc w:val="center"/>
              <w:rPr>
                <w:rFonts w:ascii="Tahoma" w:eastAsia="Times New Roman" w:hAnsi="Tahoma" w:cs="Tahoma"/>
                <w:sz w:val="20"/>
                <w:szCs w:val="20"/>
                <w:lang w:eastAsia="hr-HR"/>
              </w:rPr>
            </w:pPr>
            <w:r w:rsidRPr="005E671C">
              <w:rPr>
                <w:rFonts w:ascii="Tahoma" w:eastAsia="Times New Roman" w:hAnsi="Tahoma" w:cs="Tahoma"/>
                <w:sz w:val="20"/>
                <w:szCs w:val="20"/>
                <w:lang w:eastAsia="hr-HR"/>
              </w:rPr>
              <w:t>0</w:t>
            </w:r>
          </w:p>
        </w:tc>
        <w:tc>
          <w:tcPr>
            <w:tcW w:w="440" w:type="dxa"/>
            <w:tcBorders>
              <w:top w:val="nil"/>
              <w:left w:val="nil"/>
              <w:bottom w:val="single" w:sz="4" w:space="0" w:color="auto"/>
              <w:right w:val="single" w:sz="4" w:space="0" w:color="auto"/>
            </w:tcBorders>
            <w:shd w:val="clear" w:color="000000" w:fill="CCFFFF"/>
            <w:noWrap/>
            <w:vAlign w:val="center"/>
            <w:hideMark/>
          </w:tcPr>
          <w:p w14:paraId="57870CA7" w14:textId="77777777" w:rsidR="005E671C" w:rsidRPr="005E671C" w:rsidRDefault="005E671C" w:rsidP="005E671C">
            <w:pPr>
              <w:spacing w:after="0" w:line="240" w:lineRule="auto"/>
              <w:jc w:val="center"/>
              <w:rPr>
                <w:rFonts w:ascii="Tahoma" w:eastAsia="Times New Roman" w:hAnsi="Tahoma" w:cs="Tahoma"/>
                <w:sz w:val="20"/>
                <w:szCs w:val="20"/>
                <w:lang w:eastAsia="hr-HR"/>
              </w:rPr>
            </w:pPr>
            <w:r w:rsidRPr="005E671C">
              <w:rPr>
                <w:rFonts w:ascii="Tahoma" w:eastAsia="Times New Roman" w:hAnsi="Tahoma" w:cs="Tahoma"/>
                <w:sz w:val="20"/>
                <w:szCs w:val="20"/>
                <w:lang w:eastAsia="hr-HR"/>
              </w:rPr>
              <w:t>0</w:t>
            </w:r>
          </w:p>
        </w:tc>
        <w:tc>
          <w:tcPr>
            <w:tcW w:w="408" w:type="dxa"/>
            <w:tcBorders>
              <w:top w:val="nil"/>
              <w:left w:val="nil"/>
              <w:bottom w:val="single" w:sz="4" w:space="0" w:color="auto"/>
              <w:right w:val="single" w:sz="4" w:space="0" w:color="auto"/>
            </w:tcBorders>
            <w:shd w:val="clear" w:color="000000" w:fill="CCFFFF"/>
            <w:noWrap/>
            <w:vAlign w:val="center"/>
            <w:hideMark/>
          </w:tcPr>
          <w:p w14:paraId="72FD5994" w14:textId="77777777" w:rsidR="005E671C" w:rsidRPr="005E671C" w:rsidRDefault="005E671C" w:rsidP="005E671C">
            <w:pPr>
              <w:spacing w:after="0" w:line="240" w:lineRule="auto"/>
              <w:jc w:val="center"/>
              <w:rPr>
                <w:rFonts w:ascii="Tahoma" w:eastAsia="Times New Roman" w:hAnsi="Tahoma" w:cs="Tahoma"/>
                <w:sz w:val="20"/>
                <w:szCs w:val="20"/>
                <w:lang w:eastAsia="hr-HR"/>
              </w:rPr>
            </w:pPr>
            <w:r w:rsidRPr="005E671C">
              <w:rPr>
                <w:rFonts w:ascii="Tahoma" w:eastAsia="Times New Roman" w:hAnsi="Tahoma" w:cs="Tahoma"/>
                <w:sz w:val="20"/>
                <w:szCs w:val="20"/>
                <w:lang w:eastAsia="hr-HR"/>
              </w:rPr>
              <w:t>1</w:t>
            </w:r>
          </w:p>
        </w:tc>
        <w:tc>
          <w:tcPr>
            <w:tcW w:w="433" w:type="dxa"/>
            <w:tcBorders>
              <w:top w:val="nil"/>
              <w:left w:val="nil"/>
              <w:bottom w:val="single" w:sz="4" w:space="0" w:color="auto"/>
              <w:right w:val="single" w:sz="4" w:space="0" w:color="auto"/>
            </w:tcBorders>
            <w:shd w:val="clear" w:color="000000" w:fill="CCFFFF"/>
            <w:noWrap/>
            <w:vAlign w:val="center"/>
            <w:hideMark/>
          </w:tcPr>
          <w:p w14:paraId="7C6266B7" w14:textId="77777777" w:rsidR="005E671C" w:rsidRPr="005E671C" w:rsidRDefault="005E671C" w:rsidP="005E671C">
            <w:pPr>
              <w:spacing w:after="0" w:line="240" w:lineRule="auto"/>
              <w:jc w:val="center"/>
              <w:rPr>
                <w:rFonts w:ascii="Tahoma" w:eastAsia="Times New Roman" w:hAnsi="Tahoma" w:cs="Tahoma"/>
                <w:sz w:val="20"/>
                <w:szCs w:val="20"/>
                <w:lang w:eastAsia="hr-HR"/>
              </w:rPr>
            </w:pPr>
            <w:r w:rsidRPr="005E671C">
              <w:rPr>
                <w:rFonts w:ascii="Tahoma" w:eastAsia="Times New Roman" w:hAnsi="Tahoma" w:cs="Tahoma"/>
                <w:sz w:val="20"/>
                <w:szCs w:val="20"/>
                <w:lang w:eastAsia="hr-HR"/>
              </w:rPr>
              <w:t>0</w:t>
            </w:r>
          </w:p>
        </w:tc>
        <w:tc>
          <w:tcPr>
            <w:tcW w:w="425" w:type="dxa"/>
            <w:tcBorders>
              <w:top w:val="nil"/>
              <w:left w:val="nil"/>
              <w:bottom w:val="single" w:sz="4" w:space="0" w:color="auto"/>
              <w:right w:val="single" w:sz="8" w:space="0" w:color="auto"/>
            </w:tcBorders>
            <w:shd w:val="clear" w:color="000000" w:fill="33CCCC"/>
            <w:noWrap/>
            <w:vAlign w:val="center"/>
            <w:hideMark/>
          </w:tcPr>
          <w:p w14:paraId="660B86AB" w14:textId="77777777" w:rsidR="005E671C" w:rsidRPr="005E671C" w:rsidRDefault="005E671C" w:rsidP="005E671C">
            <w:pPr>
              <w:spacing w:after="0" w:line="240" w:lineRule="auto"/>
              <w:jc w:val="center"/>
              <w:rPr>
                <w:rFonts w:ascii="Tahoma" w:eastAsia="Times New Roman" w:hAnsi="Tahoma" w:cs="Tahoma"/>
                <w:sz w:val="20"/>
                <w:szCs w:val="20"/>
                <w:lang w:eastAsia="hr-HR"/>
              </w:rPr>
            </w:pPr>
            <w:r w:rsidRPr="005E671C">
              <w:rPr>
                <w:rFonts w:ascii="Tahoma" w:eastAsia="Times New Roman" w:hAnsi="Tahoma" w:cs="Tahoma"/>
                <w:sz w:val="20"/>
                <w:szCs w:val="20"/>
                <w:lang w:eastAsia="hr-HR"/>
              </w:rPr>
              <w:t>0</w:t>
            </w:r>
          </w:p>
        </w:tc>
        <w:tc>
          <w:tcPr>
            <w:tcW w:w="567" w:type="dxa"/>
            <w:tcBorders>
              <w:top w:val="nil"/>
              <w:left w:val="single" w:sz="4" w:space="0" w:color="auto"/>
              <w:bottom w:val="single" w:sz="4" w:space="0" w:color="auto"/>
              <w:right w:val="single" w:sz="8" w:space="0" w:color="auto"/>
            </w:tcBorders>
            <w:shd w:val="clear" w:color="000000" w:fill="33CCCC"/>
            <w:noWrap/>
            <w:vAlign w:val="center"/>
            <w:hideMark/>
          </w:tcPr>
          <w:p w14:paraId="633A48A1" w14:textId="77777777" w:rsidR="005E671C" w:rsidRPr="005E671C" w:rsidRDefault="005E671C" w:rsidP="005E671C">
            <w:pPr>
              <w:spacing w:after="0" w:line="240" w:lineRule="auto"/>
              <w:jc w:val="center"/>
              <w:rPr>
                <w:rFonts w:ascii="Tahoma" w:eastAsia="Times New Roman" w:hAnsi="Tahoma" w:cs="Tahoma"/>
                <w:sz w:val="20"/>
                <w:szCs w:val="20"/>
                <w:lang w:eastAsia="hr-HR"/>
              </w:rPr>
            </w:pPr>
            <w:r w:rsidRPr="005E671C">
              <w:rPr>
                <w:rFonts w:ascii="Tahoma" w:eastAsia="Times New Roman" w:hAnsi="Tahoma" w:cs="Tahoma"/>
                <w:sz w:val="20"/>
                <w:szCs w:val="20"/>
                <w:lang w:eastAsia="hr-HR"/>
              </w:rPr>
              <w:t>1</w:t>
            </w:r>
          </w:p>
        </w:tc>
        <w:tc>
          <w:tcPr>
            <w:tcW w:w="237" w:type="dxa"/>
            <w:gridSpan w:val="2"/>
            <w:vAlign w:val="center"/>
            <w:hideMark/>
          </w:tcPr>
          <w:p w14:paraId="4E0121A7" w14:textId="77777777" w:rsidR="005E671C" w:rsidRPr="005E671C" w:rsidRDefault="005E671C" w:rsidP="005E671C">
            <w:pPr>
              <w:spacing w:after="0" w:line="240" w:lineRule="auto"/>
              <w:rPr>
                <w:rFonts w:ascii="Times New Roman" w:eastAsia="Times New Roman" w:hAnsi="Times New Roman" w:cs="Times New Roman"/>
                <w:sz w:val="20"/>
                <w:szCs w:val="20"/>
                <w:lang w:eastAsia="hr-HR"/>
              </w:rPr>
            </w:pPr>
          </w:p>
        </w:tc>
      </w:tr>
      <w:tr w:rsidR="005E671C" w:rsidRPr="005E671C" w14:paraId="38035036" w14:textId="77777777" w:rsidTr="001752B7">
        <w:trPr>
          <w:gridAfter w:val="1"/>
          <w:wAfter w:w="51" w:type="dxa"/>
          <w:trHeight w:val="300"/>
        </w:trPr>
        <w:tc>
          <w:tcPr>
            <w:tcW w:w="1550" w:type="dxa"/>
            <w:tcBorders>
              <w:top w:val="single" w:sz="4" w:space="0" w:color="auto"/>
              <w:left w:val="single" w:sz="8" w:space="0" w:color="auto"/>
              <w:bottom w:val="single" w:sz="4" w:space="0" w:color="auto"/>
              <w:right w:val="single" w:sz="4" w:space="0" w:color="auto"/>
            </w:tcBorders>
            <w:shd w:val="clear" w:color="000000" w:fill="CCFFCC"/>
            <w:vAlign w:val="center"/>
            <w:hideMark/>
          </w:tcPr>
          <w:p w14:paraId="4B42CBD0" w14:textId="77777777" w:rsidR="005E671C" w:rsidRPr="005E671C" w:rsidRDefault="005E671C" w:rsidP="005E671C">
            <w:pPr>
              <w:spacing w:after="0" w:line="240" w:lineRule="auto"/>
              <w:rPr>
                <w:rFonts w:ascii="Tahoma" w:eastAsia="Times New Roman" w:hAnsi="Tahoma" w:cs="Tahoma"/>
                <w:sz w:val="20"/>
                <w:szCs w:val="20"/>
                <w:lang w:eastAsia="hr-HR"/>
              </w:rPr>
            </w:pPr>
            <w:r w:rsidRPr="005E671C">
              <w:rPr>
                <w:rFonts w:ascii="Tahoma" w:eastAsia="Times New Roman" w:hAnsi="Tahoma" w:cs="Tahoma"/>
                <w:sz w:val="20"/>
                <w:szCs w:val="20"/>
                <w:lang w:eastAsia="hr-HR"/>
              </w:rPr>
              <w:t>Invaliditet</w:t>
            </w:r>
          </w:p>
        </w:tc>
        <w:tc>
          <w:tcPr>
            <w:tcW w:w="669" w:type="dxa"/>
            <w:tcBorders>
              <w:top w:val="nil"/>
              <w:left w:val="nil"/>
              <w:bottom w:val="single" w:sz="4" w:space="0" w:color="auto"/>
              <w:right w:val="single" w:sz="4" w:space="0" w:color="auto"/>
            </w:tcBorders>
            <w:shd w:val="clear" w:color="000000" w:fill="FFCC99"/>
            <w:noWrap/>
            <w:vAlign w:val="center"/>
            <w:hideMark/>
          </w:tcPr>
          <w:p w14:paraId="5C91B56A" w14:textId="77777777" w:rsidR="005E671C" w:rsidRPr="005E671C" w:rsidRDefault="005E671C" w:rsidP="005E671C">
            <w:pPr>
              <w:spacing w:after="0" w:line="240" w:lineRule="auto"/>
              <w:jc w:val="center"/>
              <w:rPr>
                <w:rFonts w:ascii="Tahoma" w:eastAsia="Times New Roman" w:hAnsi="Tahoma" w:cs="Tahoma"/>
                <w:sz w:val="20"/>
                <w:szCs w:val="20"/>
                <w:lang w:eastAsia="hr-HR"/>
              </w:rPr>
            </w:pPr>
            <w:r w:rsidRPr="005E671C">
              <w:rPr>
                <w:rFonts w:ascii="Tahoma" w:eastAsia="Times New Roman" w:hAnsi="Tahoma" w:cs="Tahoma"/>
                <w:sz w:val="20"/>
                <w:szCs w:val="20"/>
                <w:lang w:eastAsia="hr-HR"/>
              </w:rPr>
              <w:t>3</w:t>
            </w:r>
          </w:p>
        </w:tc>
        <w:tc>
          <w:tcPr>
            <w:tcW w:w="352" w:type="dxa"/>
            <w:tcBorders>
              <w:top w:val="nil"/>
              <w:left w:val="nil"/>
              <w:bottom w:val="single" w:sz="4" w:space="0" w:color="auto"/>
              <w:right w:val="single" w:sz="4" w:space="0" w:color="auto"/>
            </w:tcBorders>
            <w:shd w:val="clear" w:color="000000" w:fill="FFFF00"/>
            <w:noWrap/>
            <w:vAlign w:val="center"/>
            <w:hideMark/>
          </w:tcPr>
          <w:p w14:paraId="5CE98EF4" w14:textId="77777777" w:rsidR="005E671C" w:rsidRPr="005E671C" w:rsidRDefault="005E671C" w:rsidP="005E671C">
            <w:pPr>
              <w:spacing w:after="0" w:line="240" w:lineRule="auto"/>
              <w:jc w:val="center"/>
              <w:rPr>
                <w:rFonts w:ascii="Tahoma" w:eastAsia="Times New Roman" w:hAnsi="Tahoma" w:cs="Tahoma"/>
                <w:sz w:val="20"/>
                <w:szCs w:val="20"/>
                <w:lang w:eastAsia="hr-HR"/>
              </w:rPr>
            </w:pPr>
            <w:r w:rsidRPr="005E671C">
              <w:rPr>
                <w:rFonts w:ascii="Tahoma" w:eastAsia="Times New Roman" w:hAnsi="Tahoma" w:cs="Tahoma"/>
                <w:sz w:val="20"/>
                <w:szCs w:val="20"/>
                <w:lang w:eastAsia="hr-HR"/>
              </w:rPr>
              <w:t>1</w:t>
            </w:r>
          </w:p>
        </w:tc>
        <w:tc>
          <w:tcPr>
            <w:tcW w:w="574" w:type="dxa"/>
            <w:tcBorders>
              <w:top w:val="nil"/>
              <w:left w:val="nil"/>
              <w:bottom w:val="single" w:sz="4" w:space="0" w:color="auto"/>
              <w:right w:val="single" w:sz="4" w:space="0" w:color="auto"/>
            </w:tcBorders>
            <w:shd w:val="clear" w:color="000000" w:fill="CCFFFF"/>
            <w:noWrap/>
            <w:vAlign w:val="center"/>
            <w:hideMark/>
          </w:tcPr>
          <w:p w14:paraId="071E129E" w14:textId="77777777" w:rsidR="005E671C" w:rsidRPr="005E671C" w:rsidRDefault="005E671C" w:rsidP="005E671C">
            <w:pPr>
              <w:spacing w:after="0" w:line="240" w:lineRule="auto"/>
              <w:jc w:val="center"/>
              <w:rPr>
                <w:rFonts w:ascii="Tahoma" w:eastAsia="Times New Roman" w:hAnsi="Tahoma" w:cs="Tahoma"/>
                <w:sz w:val="20"/>
                <w:szCs w:val="20"/>
                <w:lang w:eastAsia="hr-HR"/>
              </w:rPr>
            </w:pPr>
            <w:r w:rsidRPr="005E671C">
              <w:rPr>
                <w:rFonts w:ascii="Tahoma" w:eastAsia="Times New Roman" w:hAnsi="Tahoma" w:cs="Tahoma"/>
                <w:sz w:val="20"/>
                <w:szCs w:val="20"/>
                <w:lang w:eastAsia="hr-HR"/>
              </w:rPr>
              <w:t>0</w:t>
            </w:r>
          </w:p>
        </w:tc>
        <w:tc>
          <w:tcPr>
            <w:tcW w:w="440" w:type="dxa"/>
            <w:tcBorders>
              <w:top w:val="nil"/>
              <w:left w:val="nil"/>
              <w:bottom w:val="single" w:sz="4" w:space="0" w:color="auto"/>
              <w:right w:val="single" w:sz="4" w:space="0" w:color="auto"/>
            </w:tcBorders>
            <w:shd w:val="clear" w:color="000000" w:fill="CCFFFF"/>
            <w:noWrap/>
            <w:vAlign w:val="center"/>
            <w:hideMark/>
          </w:tcPr>
          <w:p w14:paraId="27BCE10F" w14:textId="77777777" w:rsidR="005E671C" w:rsidRPr="005E671C" w:rsidRDefault="005E671C" w:rsidP="005E671C">
            <w:pPr>
              <w:spacing w:after="0" w:line="240" w:lineRule="auto"/>
              <w:jc w:val="center"/>
              <w:rPr>
                <w:rFonts w:ascii="Tahoma" w:eastAsia="Times New Roman" w:hAnsi="Tahoma" w:cs="Tahoma"/>
                <w:sz w:val="20"/>
                <w:szCs w:val="20"/>
                <w:lang w:eastAsia="hr-HR"/>
              </w:rPr>
            </w:pPr>
            <w:r w:rsidRPr="005E671C">
              <w:rPr>
                <w:rFonts w:ascii="Tahoma" w:eastAsia="Times New Roman" w:hAnsi="Tahoma" w:cs="Tahoma"/>
                <w:sz w:val="20"/>
                <w:szCs w:val="20"/>
                <w:lang w:eastAsia="hr-HR"/>
              </w:rPr>
              <w:t>1</w:t>
            </w:r>
          </w:p>
        </w:tc>
        <w:tc>
          <w:tcPr>
            <w:tcW w:w="700" w:type="dxa"/>
            <w:tcBorders>
              <w:top w:val="nil"/>
              <w:left w:val="nil"/>
              <w:bottom w:val="single" w:sz="4" w:space="0" w:color="auto"/>
              <w:right w:val="single" w:sz="4" w:space="0" w:color="auto"/>
            </w:tcBorders>
            <w:shd w:val="clear" w:color="000000" w:fill="FFFF99"/>
            <w:noWrap/>
            <w:vAlign w:val="center"/>
            <w:hideMark/>
          </w:tcPr>
          <w:p w14:paraId="1412D5FE" w14:textId="77777777" w:rsidR="005E671C" w:rsidRPr="005E671C" w:rsidRDefault="005E671C" w:rsidP="005E671C">
            <w:pPr>
              <w:spacing w:after="0" w:line="240" w:lineRule="auto"/>
              <w:jc w:val="center"/>
              <w:rPr>
                <w:rFonts w:ascii="Tahoma" w:eastAsia="Times New Roman" w:hAnsi="Tahoma" w:cs="Tahoma"/>
                <w:sz w:val="20"/>
                <w:szCs w:val="20"/>
                <w:lang w:eastAsia="hr-HR"/>
              </w:rPr>
            </w:pPr>
            <w:r w:rsidRPr="005E671C">
              <w:rPr>
                <w:rFonts w:ascii="Tahoma" w:eastAsia="Times New Roman" w:hAnsi="Tahoma" w:cs="Tahoma"/>
                <w:sz w:val="20"/>
                <w:szCs w:val="20"/>
                <w:lang w:eastAsia="hr-HR"/>
              </w:rPr>
              <w:t>0</w:t>
            </w:r>
          </w:p>
        </w:tc>
        <w:tc>
          <w:tcPr>
            <w:tcW w:w="698" w:type="dxa"/>
            <w:tcBorders>
              <w:top w:val="nil"/>
              <w:left w:val="nil"/>
              <w:bottom w:val="single" w:sz="4" w:space="0" w:color="auto"/>
              <w:right w:val="single" w:sz="4" w:space="0" w:color="auto"/>
            </w:tcBorders>
            <w:shd w:val="clear" w:color="000000" w:fill="FFFF99"/>
            <w:noWrap/>
            <w:vAlign w:val="center"/>
            <w:hideMark/>
          </w:tcPr>
          <w:p w14:paraId="31A82713" w14:textId="77777777" w:rsidR="005E671C" w:rsidRPr="005E671C" w:rsidRDefault="005E671C" w:rsidP="005E671C">
            <w:pPr>
              <w:spacing w:after="0" w:line="240" w:lineRule="auto"/>
              <w:jc w:val="center"/>
              <w:rPr>
                <w:rFonts w:ascii="Tahoma" w:eastAsia="Times New Roman" w:hAnsi="Tahoma" w:cs="Tahoma"/>
                <w:sz w:val="20"/>
                <w:szCs w:val="20"/>
                <w:lang w:eastAsia="hr-HR"/>
              </w:rPr>
            </w:pPr>
            <w:r w:rsidRPr="005E671C">
              <w:rPr>
                <w:rFonts w:ascii="Tahoma" w:eastAsia="Times New Roman" w:hAnsi="Tahoma" w:cs="Tahoma"/>
                <w:sz w:val="20"/>
                <w:szCs w:val="20"/>
                <w:lang w:eastAsia="hr-HR"/>
              </w:rPr>
              <w:t>1</w:t>
            </w:r>
          </w:p>
        </w:tc>
        <w:tc>
          <w:tcPr>
            <w:tcW w:w="698" w:type="dxa"/>
            <w:tcBorders>
              <w:top w:val="nil"/>
              <w:left w:val="nil"/>
              <w:bottom w:val="single" w:sz="4" w:space="0" w:color="auto"/>
              <w:right w:val="single" w:sz="4" w:space="0" w:color="auto"/>
            </w:tcBorders>
            <w:shd w:val="clear" w:color="000000" w:fill="FFFF99"/>
            <w:noWrap/>
            <w:vAlign w:val="center"/>
            <w:hideMark/>
          </w:tcPr>
          <w:p w14:paraId="1AEFC76A" w14:textId="77777777" w:rsidR="005E671C" w:rsidRPr="005E671C" w:rsidRDefault="005E671C" w:rsidP="005E671C">
            <w:pPr>
              <w:spacing w:after="0" w:line="240" w:lineRule="auto"/>
              <w:jc w:val="center"/>
              <w:rPr>
                <w:rFonts w:ascii="Tahoma" w:eastAsia="Times New Roman" w:hAnsi="Tahoma" w:cs="Tahoma"/>
                <w:sz w:val="20"/>
                <w:szCs w:val="20"/>
                <w:lang w:eastAsia="hr-HR"/>
              </w:rPr>
            </w:pPr>
            <w:r w:rsidRPr="005E671C">
              <w:rPr>
                <w:rFonts w:ascii="Tahoma" w:eastAsia="Times New Roman" w:hAnsi="Tahoma" w:cs="Tahoma"/>
                <w:sz w:val="20"/>
                <w:szCs w:val="20"/>
                <w:lang w:eastAsia="hr-HR"/>
              </w:rPr>
              <w:t>1</w:t>
            </w:r>
          </w:p>
        </w:tc>
        <w:tc>
          <w:tcPr>
            <w:tcW w:w="698" w:type="dxa"/>
            <w:tcBorders>
              <w:top w:val="nil"/>
              <w:left w:val="nil"/>
              <w:bottom w:val="single" w:sz="4" w:space="0" w:color="auto"/>
              <w:right w:val="single" w:sz="4" w:space="0" w:color="auto"/>
            </w:tcBorders>
            <w:shd w:val="clear" w:color="000000" w:fill="FFFF99"/>
            <w:noWrap/>
            <w:vAlign w:val="center"/>
            <w:hideMark/>
          </w:tcPr>
          <w:p w14:paraId="7BC1FA3B" w14:textId="77777777" w:rsidR="005E671C" w:rsidRPr="005E671C" w:rsidRDefault="005E671C" w:rsidP="005E671C">
            <w:pPr>
              <w:spacing w:after="0" w:line="240" w:lineRule="auto"/>
              <w:jc w:val="center"/>
              <w:rPr>
                <w:rFonts w:ascii="Tahoma" w:eastAsia="Times New Roman" w:hAnsi="Tahoma" w:cs="Tahoma"/>
                <w:sz w:val="20"/>
                <w:szCs w:val="20"/>
                <w:lang w:eastAsia="hr-HR"/>
              </w:rPr>
            </w:pPr>
            <w:r w:rsidRPr="005E671C">
              <w:rPr>
                <w:rFonts w:ascii="Tahoma" w:eastAsia="Times New Roman" w:hAnsi="Tahoma" w:cs="Tahoma"/>
                <w:sz w:val="20"/>
                <w:szCs w:val="20"/>
                <w:lang w:eastAsia="hr-HR"/>
              </w:rPr>
              <w:t>0</w:t>
            </w:r>
          </w:p>
        </w:tc>
        <w:tc>
          <w:tcPr>
            <w:tcW w:w="698" w:type="dxa"/>
            <w:tcBorders>
              <w:top w:val="nil"/>
              <w:left w:val="nil"/>
              <w:bottom w:val="single" w:sz="4" w:space="0" w:color="auto"/>
              <w:right w:val="single" w:sz="4" w:space="0" w:color="auto"/>
            </w:tcBorders>
            <w:shd w:val="clear" w:color="000000" w:fill="FFFF99"/>
            <w:noWrap/>
            <w:vAlign w:val="center"/>
            <w:hideMark/>
          </w:tcPr>
          <w:p w14:paraId="5BA9A9A2" w14:textId="77777777" w:rsidR="005E671C" w:rsidRPr="005E671C" w:rsidRDefault="005E671C" w:rsidP="005E671C">
            <w:pPr>
              <w:spacing w:after="0" w:line="240" w:lineRule="auto"/>
              <w:jc w:val="center"/>
              <w:rPr>
                <w:rFonts w:ascii="Tahoma" w:eastAsia="Times New Roman" w:hAnsi="Tahoma" w:cs="Tahoma"/>
                <w:sz w:val="20"/>
                <w:szCs w:val="20"/>
                <w:lang w:eastAsia="hr-HR"/>
              </w:rPr>
            </w:pPr>
            <w:r w:rsidRPr="005E671C">
              <w:rPr>
                <w:rFonts w:ascii="Tahoma" w:eastAsia="Times New Roman" w:hAnsi="Tahoma" w:cs="Tahoma"/>
                <w:sz w:val="20"/>
                <w:szCs w:val="20"/>
                <w:lang w:eastAsia="hr-HR"/>
              </w:rPr>
              <w:t>0</w:t>
            </w:r>
          </w:p>
        </w:tc>
        <w:tc>
          <w:tcPr>
            <w:tcW w:w="698" w:type="dxa"/>
            <w:tcBorders>
              <w:top w:val="nil"/>
              <w:left w:val="nil"/>
              <w:bottom w:val="single" w:sz="4" w:space="0" w:color="auto"/>
              <w:right w:val="single" w:sz="4" w:space="0" w:color="auto"/>
            </w:tcBorders>
            <w:shd w:val="clear" w:color="000000" w:fill="FFFF99"/>
            <w:noWrap/>
            <w:vAlign w:val="center"/>
            <w:hideMark/>
          </w:tcPr>
          <w:p w14:paraId="16DDA3F7" w14:textId="77777777" w:rsidR="005E671C" w:rsidRPr="005E671C" w:rsidRDefault="005E671C" w:rsidP="005E671C">
            <w:pPr>
              <w:spacing w:after="0" w:line="240" w:lineRule="auto"/>
              <w:jc w:val="center"/>
              <w:rPr>
                <w:rFonts w:ascii="Tahoma" w:eastAsia="Times New Roman" w:hAnsi="Tahoma" w:cs="Tahoma"/>
                <w:sz w:val="20"/>
                <w:szCs w:val="20"/>
                <w:lang w:eastAsia="hr-HR"/>
              </w:rPr>
            </w:pPr>
            <w:r w:rsidRPr="005E671C">
              <w:rPr>
                <w:rFonts w:ascii="Tahoma" w:eastAsia="Times New Roman" w:hAnsi="Tahoma" w:cs="Tahoma"/>
                <w:sz w:val="20"/>
                <w:szCs w:val="20"/>
                <w:lang w:eastAsia="hr-HR"/>
              </w:rPr>
              <w:t>0</w:t>
            </w:r>
          </w:p>
        </w:tc>
        <w:tc>
          <w:tcPr>
            <w:tcW w:w="493" w:type="dxa"/>
            <w:tcBorders>
              <w:top w:val="nil"/>
              <w:left w:val="nil"/>
              <w:bottom w:val="single" w:sz="4" w:space="0" w:color="auto"/>
              <w:right w:val="single" w:sz="4" w:space="0" w:color="auto"/>
            </w:tcBorders>
            <w:shd w:val="clear" w:color="000000" w:fill="FF9900"/>
            <w:noWrap/>
            <w:vAlign w:val="center"/>
            <w:hideMark/>
          </w:tcPr>
          <w:p w14:paraId="4FE7F4B9" w14:textId="77777777" w:rsidR="005E671C" w:rsidRPr="005E671C" w:rsidRDefault="005E671C" w:rsidP="005E671C">
            <w:pPr>
              <w:spacing w:after="0" w:line="240" w:lineRule="auto"/>
              <w:jc w:val="center"/>
              <w:rPr>
                <w:rFonts w:ascii="Tahoma" w:eastAsia="Times New Roman" w:hAnsi="Tahoma" w:cs="Tahoma"/>
                <w:sz w:val="20"/>
                <w:szCs w:val="20"/>
                <w:lang w:eastAsia="hr-HR"/>
              </w:rPr>
            </w:pPr>
            <w:r w:rsidRPr="005E671C">
              <w:rPr>
                <w:rFonts w:ascii="Tahoma" w:eastAsia="Times New Roman" w:hAnsi="Tahoma" w:cs="Tahoma"/>
                <w:sz w:val="20"/>
                <w:szCs w:val="20"/>
                <w:lang w:eastAsia="hr-HR"/>
              </w:rPr>
              <w:t>0</w:t>
            </w:r>
          </w:p>
        </w:tc>
        <w:tc>
          <w:tcPr>
            <w:tcW w:w="469" w:type="dxa"/>
            <w:tcBorders>
              <w:top w:val="nil"/>
              <w:left w:val="nil"/>
              <w:bottom w:val="single" w:sz="4" w:space="0" w:color="auto"/>
              <w:right w:val="single" w:sz="4" w:space="0" w:color="auto"/>
            </w:tcBorders>
            <w:shd w:val="clear" w:color="000000" w:fill="FF9900"/>
            <w:noWrap/>
            <w:vAlign w:val="center"/>
            <w:hideMark/>
          </w:tcPr>
          <w:p w14:paraId="10A44DAD" w14:textId="77777777" w:rsidR="005E671C" w:rsidRPr="005E671C" w:rsidRDefault="005E671C" w:rsidP="005E671C">
            <w:pPr>
              <w:spacing w:after="0" w:line="240" w:lineRule="auto"/>
              <w:jc w:val="center"/>
              <w:rPr>
                <w:rFonts w:ascii="Tahoma" w:eastAsia="Times New Roman" w:hAnsi="Tahoma" w:cs="Tahoma"/>
                <w:sz w:val="20"/>
                <w:szCs w:val="20"/>
                <w:lang w:eastAsia="hr-HR"/>
              </w:rPr>
            </w:pPr>
            <w:r w:rsidRPr="005E671C">
              <w:rPr>
                <w:rFonts w:ascii="Tahoma" w:eastAsia="Times New Roman" w:hAnsi="Tahoma" w:cs="Tahoma"/>
                <w:sz w:val="20"/>
                <w:szCs w:val="20"/>
                <w:lang w:eastAsia="hr-HR"/>
              </w:rPr>
              <w:t>1</w:t>
            </w:r>
          </w:p>
        </w:tc>
        <w:tc>
          <w:tcPr>
            <w:tcW w:w="467" w:type="dxa"/>
            <w:tcBorders>
              <w:top w:val="nil"/>
              <w:left w:val="nil"/>
              <w:bottom w:val="single" w:sz="4" w:space="0" w:color="auto"/>
              <w:right w:val="single" w:sz="4" w:space="0" w:color="auto"/>
            </w:tcBorders>
            <w:shd w:val="clear" w:color="000000" w:fill="FF9900"/>
            <w:noWrap/>
            <w:vAlign w:val="center"/>
            <w:hideMark/>
          </w:tcPr>
          <w:p w14:paraId="0A44B1FA" w14:textId="77777777" w:rsidR="005E671C" w:rsidRPr="005E671C" w:rsidRDefault="005E671C" w:rsidP="005E671C">
            <w:pPr>
              <w:spacing w:after="0" w:line="240" w:lineRule="auto"/>
              <w:jc w:val="center"/>
              <w:rPr>
                <w:rFonts w:ascii="Tahoma" w:eastAsia="Times New Roman" w:hAnsi="Tahoma" w:cs="Tahoma"/>
                <w:sz w:val="20"/>
                <w:szCs w:val="20"/>
                <w:lang w:eastAsia="hr-HR"/>
              </w:rPr>
            </w:pPr>
            <w:r w:rsidRPr="005E671C">
              <w:rPr>
                <w:rFonts w:ascii="Tahoma" w:eastAsia="Times New Roman" w:hAnsi="Tahoma" w:cs="Tahoma"/>
                <w:sz w:val="20"/>
                <w:szCs w:val="20"/>
                <w:lang w:eastAsia="hr-HR"/>
              </w:rPr>
              <w:t>0</w:t>
            </w:r>
          </w:p>
        </w:tc>
        <w:tc>
          <w:tcPr>
            <w:tcW w:w="567" w:type="dxa"/>
            <w:tcBorders>
              <w:top w:val="nil"/>
              <w:left w:val="nil"/>
              <w:bottom w:val="single" w:sz="4" w:space="0" w:color="auto"/>
              <w:right w:val="single" w:sz="4" w:space="0" w:color="auto"/>
            </w:tcBorders>
            <w:shd w:val="clear" w:color="000000" w:fill="FFFF00"/>
            <w:vAlign w:val="center"/>
            <w:hideMark/>
          </w:tcPr>
          <w:p w14:paraId="086C8C48" w14:textId="77777777" w:rsidR="005E671C" w:rsidRPr="005E671C" w:rsidRDefault="005E671C" w:rsidP="005E671C">
            <w:pPr>
              <w:spacing w:after="0" w:line="240" w:lineRule="auto"/>
              <w:jc w:val="center"/>
              <w:rPr>
                <w:rFonts w:ascii="Tahoma" w:eastAsia="Times New Roman" w:hAnsi="Tahoma" w:cs="Tahoma"/>
                <w:sz w:val="20"/>
                <w:szCs w:val="20"/>
                <w:lang w:eastAsia="hr-HR"/>
              </w:rPr>
            </w:pPr>
            <w:r w:rsidRPr="005E671C">
              <w:rPr>
                <w:rFonts w:ascii="Tahoma" w:eastAsia="Times New Roman" w:hAnsi="Tahoma" w:cs="Tahoma"/>
                <w:sz w:val="20"/>
                <w:szCs w:val="20"/>
                <w:lang w:eastAsia="hr-HR"/>
              </w:rPr>
              <w:t>1</w:t>
            </w:r>
          </w:p>
        </w:tc>
        <w:tc>
          <w:tcPr>
            <w:tcW w:w="542" w:type="dxa"/>
            <w:tcBorders>
              <w:top w:val="nil"/>
              <w:left w:val="nil"/>
              <w:bottom w:val="single" w:sz="4" w:space="0" w:color="auto"/>
              <w:right w:val="single" w:sz="4" w:space="0" w:color="auto"/>
            </w:tcBorders>
            <w:shd w:val="clear" w:color="000000" w:fill="FF9900"/>
            <w:vAlign w:val="center"/>
            <w:hideMark/>
          </w:tcPr>
          <w:p w14:paraId="474E4C12" w14:textId="77777777" w:rsidR="005E671C" w:rsidRPr="005E671C" w:rsidRDefault="005E671C" w:rsidP="005E671C">
            <w:pPr>
              <w:spacing w:after="0" w:line="240" w:lineRule="auto"/>
              <w:jc w:val="center"/>
              <w:rPr>
                <w:rFonts w:ascii="Tahoma" w:eastAsia="Times New Roman" w:hAnsi="Tahoma" w:cs="Tahoma"/>
                <w:sz w:val="20"/>
                <w:szCs w:val="20"/>
                <w:lang w:eastAsia="hr-HR"/>
              </w:rPr>
            </w:pPr>
            <w:r w:rsidRPr="005E671C">
              <w:rPr>
                <w:rFonts w:ascii="Tahoma" w:eastAsia="Times New Roman" w:hAnsi="Tahoma" w:cs="Tahoma"/>
                <w:sz w:val="20"/>
                <w:szCs w:val="20"/>
                <w:lang w:eastAsia="hr-HR"/>
              </w:rPr>
              <w:t>3</w:t>
            </w:r>
          </w:p>
        </w:tc>
        <w:tc>
          <w:tcPr>
            <w:tcW w:w="441" w:type="dxa"/>
            <w:tcBorders>
              <w:top w:val="nil"/>
              <w:left w:val="nil"/>
              <w:bottom w:val="single" w:sz="4" w:space="0" w:color="auto"/>
              <w:right w:val="single" w:sz="4" w:space="0" w:color="auto"/>
            </w:tcBorders>
            <w:shd w:val="clear" w:color="000000" w:fill="FF9900"/>
            <w:noWrap/>
            <w:vAlign w:val="center"/>
            <w:hideMark/>
          </w:tcPr>
          <w:p w14:paraId="21C924EF" w14:textId="77777777" w:rsidR="005E671C" w:rsidRPr="005E671C" w:rsidRDefault="005E671C" w:rsidP="005E671C">
            <w:pPr>
              <w:spacing w:after="0" w:line="240" w:lineRule="auto"/>
              <w:jc w:val="center"/>
              <w:rPr>
                <w:rFonts w:ascii="Tahoma" w:eastAsia="Times New Roman" w:hAnsi="Tahoma" w:cs="Tahoma"/>
                <w:sz w:val="20"/>
                <w:szCs w:val="20"/>
                <w:lang w:eastAsia="hr-HR"/>
              </w:rPr>
            </w:pPr>
            <w:r w:rsidRPr="005E671C">
              <w:rPr>
                <w:rFonts w:ascii="Tahoma" w:eastAsia="Times New Roman" w:hAnsi="Tahoma" w:cs="Tahoma"/>
                <w:sz w:val="20"/>
                <w:szCs w:val="20"/>
                <w:lang w:eastAsia="hr-HR"/>
              </w:rPr>
              <w:t>1</w:t>
            </w:r>
          </w:p>
        </w:tc>
        <w:tc>
          <w:tcPr>
            <w:tcW w:w="426" w:type="dxa"/>
            <w:tcBorders>
              <w:top w:val="nil"/>
              <w:left w:val="nil"/>
              <w:bottom w:val="single" w:sz="4" w:space="0" w:color="auto"/>
              <w:right w:val="single" w:sz="4" w:space="0" w:color="auto"/>
            </w:tcBorders>
            <w:shd w:val="clear" w:color="000000" w:fill="FF9900"/>
            <w:noWrap/>
            <w:vAlign w:val="center"/>
            <w:hideMark/>
          </w:tcPr>
          <w:p w14:paraId="3C9AA8DC" w14:textId="77777777" w:rsidR="005E671C" w:rsidRPr="005E671C" w:rsidRDefault="005E671C" w:rsidP="005E671C">
            <w:pPr>
              <w:spacing w:after="0" w:line="240" w:lineRule="auto"/>
              <w:jc w:val="center"/>
              <w:rPr>
                <w:rFonts w:ascii="Tahoma" w:eastAsia="Times New Roman" w:hAnsi="Tahoma" w:cs="Tahoma"/>
                <w:sz w:val="20"/>
                <w:szCs w:val="20"/>
                <w:lang w:eastAsia="hr-HR"/>
              </w:rPr>
            </w:pPr>
            <w:r w:rsidRPr="005E671C">
              <w:rPr>
                <w:rFonts w:ascii="Tahoma" w:eastAsia="Times New Roman" w:hAnsi="Tahoma" w:cs="Tahoma"/>
                <w:sz w:val="20"/>
                <w:szCs w:val="20"/>
                <w:lang w:eastAsia="hr-HR"/>
              </w:rPr>
              <w:t>0</w:t>
            </w:r>
          </w:p>
        </w:tc>
        <w:tc>
          <w:tcPr>
            <w:tcW w:w="854" w:type="dxa"/>
            <w:tcBorders>
              <w:top w:val="nil"/>
              <w:left w:val="nil"/>
              <w:bottom w:val="single" w:sz="4" w:space="0" w:color="auto"/>
              <w:right w:val="single" w:sz="4" w:space="0" w:color="auto"/>
            </w:tcBorders>
            <w:shd w:val="clear" w:color="000000" w:fill="FF9900"/>
            <w:noWrap/>
            <w:vAlign w:val="center"/>
            <w:hideMark/>
          </w:tcPr>
          <w:p w14:paraId="144CD711" w14:textId="77777777" w:rsidR="005E671C" w:rsidRPr="005E671C" w:rsidRDefault="005E671C" w:rsidP="005E671C">
            <w:pPr>
              <w:spacing w:after="0" w:line="240" w:lineRule="auto"/>
              <w:jc w:val="center"/>
              <w:rPr>
                <w:rFonts w:ascii="Tahoma" w:eastAsia="Times New Roman" w:hAnsi="Tahoma" w:cs="Tahoma"/>
                <w:sz w:val="20"/>
                <w:szCs w:val="20"/>
                <w:lang w:eastAsia="hr-HR"/>
              </w:rPr>
            </w:pPr>
            <w:r w:rsidRPr="005E671C">
              <w:rPr>
                <w:rFonts w:ascii="Tahoma" w:eastAsia="Times New Roman" w:hAnsi="Tahoma" w:cs="Tahoma"/>
                <w:sz w:val="20"/>
                <w:szCs w:val="20"/>
                <w:lang w:eastAsia="hr-HR"/>
              </w:rPr>
              <w:t>1</w:t>
            </w:r>
          </w:p>
        </w:tc>
        <w:tc>
          <w:tcPr>
            <w:tcW w:w="440" w:type="dxa"/>
            <w:tcBorders>
              <w:top w:val="nil"/>
              <w:left w:val="nil"/>
              <w:bottom w:val="single" w:sz="4" w:space="0" w:color="auto"/>
              <w:right w:val="single" w:sz="4" w:space="0" w:color="auto"/>
            </w:tcBorders>
            <w:shd w:val="clear" w:color="000000" w:fill="CCFFFF"/>
            <w:noWrap/>
            <w:vAlign w:val="center"/>
            <w:hideMark/>
          </w:tcPr>
          <w:p w14:paraId="62E3642A" w14:textId="77777777" w:rsidR="005E671C" w:rsidRPr="005E671C" w:rsidRDefault="005E671C" w:rsidP="005E671C">
            <w:pPr>
              <w:spacing w:after="0" w:line="240" w:lineRule="auto"/>
              <w:jc w:val="center"/>
              <w:rPr>
                <w:rFonts w:ascii="Tahoma" w:eastAsia="Times New Roman" w:hAnsi="Tahoma" w:cs="Tahoma"/>
                <w:sz w:val="20"/>
                <w:szCs w:val="20"/>
                <w:lang w:eastAsia="hr-HR"/>
              </w:rPr>
            </w:pPr>
            <w:r w:rsidRPr="005E671C">
              <w:rPr>
                <w:rFonts w:ascii="Tahoma" w:eastAsia="Times New Roman" w:hAnsi="Tahoma" w:cs="Tahoma"/>
                <w:sz w:val="20"/>
                <w:szCs w:val="20"/>
                <w:lang w:eastAsia="hr-HR"/>
              </w:rPr>
              <w:t>0</w:t>
            </w:r>
          </w:p>
        </w:tc>
        <w:tc>
          <w:tcPr>
            <w:tcW w:w="408" w:type="dxa"/>
            <w:tcBorders>
              <w:top w:val="nil"/>
              <w:left w:val="nil"/>
              <w:bottom w:val="single" w:sz="4" w:space="0" w:color="auto"/>
              <w:right w:val="single" w:sz="4" w:space="0" w:color="auto"/>
            </w:tcBorders>
            <w:shd w:val="clear" w:color="000000" w:fill="CCFFFF"/>
            <w:noWrap/>
            <w:vAlign w:val="center"/>
            <w:hideMark/>
          </w:tcPr>
          <w:p w14:paraId="488699EA" w14:textId="77777777" w:rsidR="005E671C" w:rsidRPr="005E671C" w:rsidRDefault="005E671C" w:rsidP="005E671C">
            <w:pPr>
              <w:spacing w:after="0" w:line="240" w:lineRule="auto"/>
              <w:jc w:val="center"/>
              <w:rPr>
                <w:rFonts w:ascii="Tahoma" w:eastAsia="Times New Roman" w:hAnsi="Tahoma" w:cs="Tahoma"/>
                <w:sz w:val="20"/>
                <w:szCs w:val="20"/>
                <w:lang w:eastAsia="hr-HR"/>
              </w:rPr>
            </w:pPr>
            <w:r w:rsidRPr="005E671C">
              <w:rPr>
                <w:rFonts w:ascii="Tahoma" w:eastAsia="Times New Roman" w:hAnsi="Tahoma" w:cs="Tahoma"/>
                <w:sz w:val="20"/>
                <w:szCs w:val="20"/>
                <w:lang w:eastAsia="hr-HR"/>
              </w:rPr>
              <w:t>0</w:t>
            </w:r>
          </w:p>
        </w:tc>
        <w:tc>
          <w:tcPr>
            <w:tcW w:w="433" w:type="dxa"/>
            <w:tcBorders>
              <w:top w:val="nil"/>
              <w:left w:val="nil"/>
              <w:bottom w:val="single" w:sz="4" w:space="0" w:color="auto"/>
              <w:right w:val="single" w:sz="4" w:space="0" w:color="auto"/>
            </w:tcBorders>
            <w:shd w:val="clear" w:color="000000" w:fill="CCFFFF"/>
            <w:noWrap/>
            <w:vAlign w:val="center"/>
            <w:hideMark/>
          </w:tcPr>
          <w:p w14:paraId="6ECB8D1B" w14:textId="77777777" w:rsidR="005E671C" w:rsidRPr="005E671C" w:rsidRDefault="005E671C" w:rsidP="005E671C">
            <w:pPr>
              <w:spacing w:after="0" w:line="240" w:lineRule="auto"/>
              <w:jc w:val="center"/>
              <w:rPr>
                <w:rFonts w:ascii="Tahoma" w:eastAsia="Times New Roman" w:hAnsi="Tahoma" w:cs="Tahoma"/>
                <w:sz w:val="20"/>
                <w:szCs w:val="20"/>
                <w:lang w:eastAsia="hr-HR"/>
              </w:rPr>
            </w:pPr>
            <w:r w:rsidRPr="005E671C">
              <w:rPr>
                <w:rFonts w:ascii="Tahoma" w:eastAsia="Times New Roman" w:hAnsi="Tahoma" w:cs="Tahoma"/>
                <w:sz w:val="20"/>
                <w:szCs w:val="20"/>
                <w:lang w:eastAsia="hr-HR"/>
              </w:rPr>
              <w:t>0</w:t>
            </w:r>
          </w:p>
        </w:tc>
        <w:tc>
          <w:tcPr>
            <w:tcW w:w="425" w:type="dxa"/>
            <w:tcBorders>
              <w:top w:val="nil"/>
              <w:left w:val="nil"/>
              <w:bottom w:val="single" w:sz="4" w:space="0" w:color="auto"/>
              <w:right w:val="single" w:sz="8" w:space="0" w:color="auto"/>
            </w:tcBorders>
            <w:shd w:val="clear" w:color="000000" w:fill="33CCCC"/>
            <w:noWrap/>
            <w:vAlign w:val="center"/>
            <w:hideMark/>
          </w:tcPr>
          <w:p w14:paraId="11F1429E" w14:textId="77777777" w:rsidR="005E671C" w:rsidRPr="005E671C" w:rsidRDefault="005E671C" w:rsidP="005E671C">
            <w:pPr>
              <w:spacing w:after="0" w:line="240" w:lineRule="auto"/>
              <w:jc w:val="center"/>
              <w:rPr>
                <w:rFonts w:ascii="Tahoma" w:eastAsia="Times New Roman" w:hAnsi="Tahoma" w:cs="Tahoma"/>
                <w:sz w:val="20"/>
                <w:szCs w:val="20"/>
                <w:lang w:eastAsia="hr-HR"/>
              </w:rPr>
            </w:pPr>
            <w:r w:rsidRPr="005E671C">
              <w:rPr>
                <w:rFonts w:ascii="Tahoma" w:eastAsia="Times New Roman" w:hAnsi="Tahoma" w:cs="Tahoma"/>
                <w:sz w:val="20"/>
                <w:szCs w:val="20"/>
                <w:lang w:eastAsia="hr-HR"/>
              </w:rPr>
              <w:t>0</w:t>
            </w:r>
          </w:p>
        </w:tc>
        <w:tc>
          <w:tcPr>
            <w:tcW w:w="567" w:type="dxa"/>
            <w:tcBorders>
              <w:top w:val="nil"/>
              <w:left w:val="single" w:sz="4" w:space="0" w:color="auto"/>
              <w:bottom w:val="single" w:sz="4" w:space="0" w:color="auto"/>
              <w:right w:val="single" w:sz="8" w:space="0" w:color="auto"/>
            </w:tcBorders>
            <w:shd w:val="clear" w:color="000000" w:fill="33CCCC"/>
            <w:noWrap/>
            <w:vAlign w:val="center"/>
            <w:hideMark/>
          </w:tcPr>
          <w:p w14:paraId="6F9559F9" w14:textId="77777777" w:rsidR="005E671C" w:rsidRPr="005E671C" w:rsidRDefault="005E671C" w:rsidP="005E671C">
            <w:pPr>
              <w:spacing w:after="0" w:line="240" w:lineRule="auto"/>
              <w:jc w:val="center"/>
              <w:rPr>
                <w:rFonts w:ascii="Tahoma" w:eastAsia="Times New Roman" w:hAnsi="Tahoma" w:cs="Tahoma"/>
                <w:sz w:val="20"/>
                <w:szCs w:val="20"/>
                <w:lang w:eastAsia="hr-HR"/>
              </w:rPr>
            </w:pPr>
            <w:r w:rsidRPr="005E671C">
              <w:rPr>
                <w:rFonts w:ascii="Tahoma" w:eastAsia="Times New Roman" w:hAnsi="Tahoma" w:cs="Tahoma"/>
                <w:sz w:val="20"/>
                <w:szCs w:val="20"/>
                <w:lang w:eastAsia="hr-HR"/>
              </w:rPr>
              <w:t>1</w:t>
            </w:r>
          </w:p>
        </w:tc>
        <w:tc>
          <w:tcPr>
            <w:tcW w:w="237" w:type="dxa"/>
            <w:gridSpan w:val="2"/>
            <w:vAlign w:val="center"/>
            <w:hideMark/>
          </w:tcPr>
          <w:p w14:paraId="4FA99699" w14:textId="77777777" w:rsidR="005E671C" w:rsidRPr="005E671C" w:rsidRDefault="005E671C" w:rsidP="005E671C">
            <w:pPr>
              <w:spacing w:after="0" w:line="240" w:lineRule="auto"/>
              <w:rPr>
                <w:rFonts w:ascii="Times New Roman" w:eastAsia="Times New Roman" w:hAnsi="Times New Roman" w:cs="Times New Roman"/>
                <w:sz w:val="20"/>
                <w:szCs w:val="20"/>
                <w:lang w:eastAsia="hr-HR"/>
              </w:rPr>
            </w:pPr>
          </w:p>
        </w:tc>
      </w:tr>
      <w:tr w:rsidR="005E671C" w:rsidRPr="005E671C" w14:paraId="24C927CC" w14:textId="77777777" w:rsidTr="001752B7">
        <w:trPr>
          <w:gridAfter w:val="1"/>
          <w:wAfter w:w="51" w:type="dxa"/>
          <w:trHeight w:val="300"/>
        </w:trPr>
        <w:tc>
          <w:tcPr>
            <w:tcW w:w="1550" w:type="dxa"/>
            <w:tcBorders>
              <w:top w:val="single" w:sz="4" w:space="0" w:color="auto"/>
              <w:left w:val="single" w:sz="8" w:space="0" w:color="auto"/>
              <w:bottom w:val="single" w:sz="4" w:space="0" w:color="auto"/>
              <w:right w:val="single" w:sz="4" w:space="0" w:color="auto"/>
            </w:tcBorders>
            <w:shd w:val="clear" w:color="000000" w:fill="CCFFCC"/>
            <w:vAlign w:val="center"/>
            <w:hideMark/>
          </w:tcPr>
          <w:p w14:paraId="7228FF48" w14:textId="77777777" w:rsidR="005E671C" w:rsidRPr="005E671C" w:rsidRDefault="005E671C" w:rsidP="005E671C">
            <w:pPr>
              <w:spacing w:after="0" w:line="240" w:lineRule="auto"/>
              <w:rPr>
                <w:rFonts w:ascii="Tahoma" w:eastAsia="Times New Roman" w:hAnsi="Tahoma" w:cs="Tahoma"/>
                <w:sz w:val="20"/>
                <w:szCs w:val="20"/>
                <w:lang w:eastAsia="hr-HR"/>
              </w:rPr>
            </w:pPr>
            <w:r w:rsidRPr="005E671C">
              <w:rPr>
                <w:rFonts w:ascii="Tahoma" w:eastAsia="Times New Roman" w:hAnsi="Tahoma" w:cs="Tahoma"/>
                <w:sz w:val="20"/>
                <w:szCs w:val="20"/>
                <w:lang w:eastAsia="hr-HR"/>
              </w:rPr>
              <w:t>Genetsko nasljeđe</w:t>
            </w:r>
          </w:p>
        </w:tc>
        <w:tc>
          <w:tcPr>
            <w:tcW w:w="669" w:type="dxa"/>
            <w:tcBorders>
              <w:top w:val="nil"/>
              <w:left w:val="nil"/>
              <w:bottom w:val="single" w:sz="4" w:space="0" w:color="auto"/>
              <w:right w:val="single" w:sz="4" w:space="0" w:color="auto"/>
            </w:tcBorders>
            <w:shd w:val="clear" w:color="000000" w:fill="FFCC99"/>
            <w:noWrap/>
            <w:vAlign w:val="center"/>
            <w:hideMark/>
          </w:tcPr>
          <w:p w14:paraId="29D65AEE" w14:textId="77777777" w:rsidR="005E671C" w:rsidRPr="005E671C" w:rsidRDefault="005E671C" w:rsidP="005E671C">
            <w:pPr>
              <w:spacing w:after="0" w:line="240" w:lineRule="auto"/>
              <w:jc w:val="center"/>
              <w:rPr>
                <w:rFonts w:ascii="Tahoma" w:eastAsia="Times New Roman" w:hAnsi="Tahoma" w:cs="Tahoma"/>
                <w:sz w:val="20"/>
                <w:szCs w:val="20"/>
                <w:lang w:eastAsia="hr-HR"/>
              </w:rPr>
            </w:pPr>
            <w:r w:rsidRPr="005E671C">
              <w:rPr>
                <w:rFonts w:ascii="Tahoma" w:eastAsia="Times New Roman" w:hAnsi="Tahoma" w:cs="Tahoma"/>
                <w:sz w:val="20"/>
                <w:szCs w:val="20"/>
                <w:lang w:eastAsia="hr-HR"/>
              </w:rPr>
              <w:t>1</w:t>
            </w:r>
          </w:p>
        </w:tc>
        <w:tc>
          <w:tcPr>
            <w:tcW w:w="352" w:type="dxa"/>
            <w:tcBorders>
              <w:top w:val="nil"/>
              <w:left w:val="nil"/>
              <w:bottom w:val="single" w:sz="4" w:space="0" w:color="auto"/>
              <w:right w:val="single" w:sz="4" w:space="0" w:color="auto"/>
            </w:tcBorders>
            <w:shd w:val="clear" w:color="000000" w:fill="FFFF00"/>
            <w:noWrap/>
            <w:vAlign w:val="center"/>
            <w:hideMark/>
          </w:tcPr>
          <w:p w14:paraId="1F6B13FC" w14:textId="77777777" w:rsidR="005E671C" w:rsidRPr="005E671C" w:rsidRDefault="005E671C" w:rsidP="005E671C">
            <w:pPr>
              <w:spacing w:after="0" w:line="240" w:lineRule="auto"/>
              <w:jc w:val="center"/>
              <w:rPr>
                <w:rFonts w:ascii="Tahoma" w:eastAsia="Times New Roman" w:hAnsi="Tahoma" w:cs="Tahoma"/>
                <w:sz w:val="20"/>
                <w:szCs w:val="20"/>
                <w:lang w:eastAsia="hr-HR"/>
              </w:rPr>
            </w:pPr>
            <w:r w:rsidRPr="005E671C">
              <w:rPr>
                <w:rFonts w:ascii="Tahoma" w:eastAsia="Times New Roman" w:hAnsi="Tahoma" w:cs="Tahoma"/>
                <w:sz w:val="20"/>
                <w:szCs w:val="20"/>
                <w:lang w:eastAsia="hr-HR"/>
              </w:rPr>
              <w:t>0</w:t>
            </w:r>
          </w:p>
        </w:tc>
        <w:tc>
          <w:tcPr>
            <w:tcW w:w="574" w:type="dxa"/>
            <w:tcBorders>
              <w:top w:val="nil"/>
              <w:left w:val="nil"/>
              <w:bottom w:val="single" w:sz="4" w:space="0" w:color="auto"/>
              <w:right w:val="single" w:sz="4" w:space="0" w:color="auto"/>
            </w:tcBorders>
            <w:shd w:val="clear" w:color="000000" w:fill="CCFFFF"/>
            <w:noWrap/>
            <w:vAlign w:val="center"/>
            <w:hideMark/>
          </w:tcPr>
          <w:p w14:paraId="69EA74E0" w14:textId="77777777" w:rsidR="005E671C" w:rsidRPr="005E671C" w:rsidRDefault="005E671C" w:rsidP="005E671C">
            <w:pPr>
              <w:spacing w:after="0" w:line="240" w:lineRule="auto"/>
              <w:jc w:val="center"/>
              <w:rPr>
                <w:rFonts w:ascii="Tahoma" w:eastAsia="Times New Roman" w:hAnsi="Tahoma" w:cs="Tahoma"/>
                <w:sz w:val="20"/>
                <w:szCs w:val="20"/>
                <w:lang w:eastAsia="hr-HR"/>
              </w:rPr>
            </w:pPr>
            <w:r w:rsidRPr="005E671C">
              <w:rPr>
                <w:rFonts w:ascii="Tahoma" w:eastAsia="Times New Roman" w:hAnsi="Tahoma" w:cs="Tahoma"/>
                <w:sz w:val="20"/>
                <w:szCs w:val="20"/>
                <w:lang w:eastAsia="hr-HR"/>
              </w:rPr>
              <w:t>0</w:t>
            </w:r>
          </w:p>
        </w:tc>
        <w:tc>
          <w:tcPr>
            <w:tcW w:w="440" w:type="dxa"/>
            <w:tcBorders>
              <w:top w:val="nil"/>
              <w:left w:val="nil"/>
              <w:bottom w:val="single" w:sz="4" w:space="0" w:color="auto"/>
              <w:right w:val="single" w:sz="4" w:space="0" w:color="auto"/>
            </w:tcBorders>
            <w:shd w:val="clear" w:color="000000" w:fill="CCFFFF"/>
            <w:noWrap/>
            <w:vAlign w:val="center"/>
            <w:hideMark/>
          </w:tcPr>
          <w:p w14:paraId="62929668" w14:textId="77777777" w:rsidR="005E671C" w:rsidRPr="005E671C" w:rsidRDefault="005E671C" w:rsidP="005E671C">
            <w:pPr>
              <w:spacing w:after="0" w:line="240" w:lineRule="auto"/>
              <w:jc w:val="center"/>
              <w:rPr>
                <w:rFonts w:ascii="Tahoma" w:eastAsia="Times New Roman" w:hAnsi="Tahoma" w:cs="Tahoma"/>
                <w:sz w:val="20"/>
                <w:szCs w:val="20"/>
                <w:lang w:eastAsia="hr-HR"/>
              </w:rPr>
            </w:pPr>
            <w:r w:rsidRPr="005E671C">
              <w:rPr>
                <w:rFonts w:ascii="Tahoma" w:eastAsia="Times New Roman" w:hAnsi="Tahoma" w:cs="Tahoma"/>
                <w:sz w:val="20"/>
                <w:szCs w:val="20"/>
                <w:lang w:eastAsia="hr-HR"/>
              </w:rPr>
              <w:t>0</w:t>
            </w:r>
          </w:p>
        </w:tc>
        <w:tc>
          <w:tcPr>
            <w:tcW w:w="700" w:type="dxa"/>
            <w:tcBorders>
              <w:top w:val="nil"/>
              <w:left w:val="nil"/>
              <w:bottom w:val="single" w:sz="4" w:space="0" w:color="auto"/>
              <w:right w:val="single" w:sz="4" w:space="0" w:color="auto"/>
            </w:tcBorders>
            <w:shd w:val="clear" w:color="000000" w:fill="FFFF99"/>
            <w:noWrap/>
            <w:vAlign w:val="center"/>
            <w:hideMark/>
          </w:tcPr>
          <w:p w14:paraId="2CA0F63D" w14:textId="77777777" w:rsidR="005E671C" w:rsidRPr="005E671C" w:rsidRDefault="005E671C" w:rsidP="005E671C">
            <w:pPr>
              <w:spacing w:after="0" w:line="240" w:lineRule="auto"/>
              <w:jc w:val="center"/>
              <w:rPr>
                <w:rFonts w:ascii="Tahoma" w:eastAsia="Times New Roman" w:hAnsi="Tahoma" w:cs="Tahoma"/>
                <w:sz w:val="20"/>
                <w:szCs w:val="20"/>
                <w:lang w:eastAsia="hr-HR"/>
              </w:rPr>
            </w:pPr>
            <w:r w:rsidRPr="005E671C">
              <w:rPr>
                <w:rFonts w:ascii="Tahoma" w:eastAsia="Times New Roman" w:hAnsi="Tahoma" w:cs="Tahoma"/>
                <w:sz w:val="20"/>
                <w:szCs w:val="20"/>
                <w:lang w:eastAsia="hr-HR"/>
              </w:rPr>
              <w:t>0</w:t>
            </w:r>
          </w:p>
        </w:tc>
        <w:tc>
          <w:tcPr>
            <w:tcW w:w="698" w:type="dxa"/>
            <w:tcBorders>
              <w:top w:val="nil"/>
              <w:left w:val="nil"/>
              <w:bottom w:val="single" w:sz="4" w:space="0" w:color="auto"/>
              <w:right w:val="single" w:sz="4" w:space="0" w:color="auto"/>
            </w:tcBorders>
            <w:shd w:val="clear" w:color="000000" w:fill="FFFF99"/>
            <w:noWrap/>
            <w:vAlign w:val="center"/>
            <w:hideMark/>
          </w:tcPr>
          <w:p w14:paraId="36134F90" w14:textId="77777777" w:rsidR="005E671C" w:rsidRPr="005E671C" w:rsidRDefault="005E671C" w:rsidP="005E671C">
            <w:pPr>
              <w:spacing w:after="0" w:line="240" w:lineRule="auto"/>
              <w:jc w:val="center"/>
              <w:rPr>
                <w:rFonts w:ascii="Tahoma" w:eastAsia="Times New Roman" w:hAnsi="Tahoma" w:cs="Tahoma"/>
                <w:sz w:val="20"/>
                <w:szCs w:val="20"/>
                <w:lang w:eastAsia="hr-HR"/>
              </w:rPr>
            </w:pPr>
            <w:r w:rsidRPr="005E671C">
              <w:rPr>
                <w:rFonts w:ascii="Tahoma" w:eastAsia="Times New Roman" w:hAnsi="Tahoma" w:cs="Tahoma"/>
                <w:sz w:val="20"/>
                <w:szCs w:val="20"/>
                <w:lang w:eastAsia="hr-HR"/>
              </w:rPr>
              <w:t>0</w:t>
            </w:r>
          </w:p>
        </w:tc>
        <w:tc>
          <w:tcPr>
            <w:tcW w:w="698" w:type="dxa"/>
            <w:tcBorders>
              <w:top w:val="nil"/>
              <w:left w:val="nil"/>
              <w:bottom w:val="single" w:sz="4" w:space="0" w:color="auto"/>
              <w:right w:val="single" w:sz="4" w:space="0" w:color="auto"/>
            </w:tcBorders>
            <w:shd w:val="clear" w:color="000000" w:fill="FFFF99"/>
            <w:noWrap/>
            <w:vAlign w:val="center"/>
            <w:hideMark/>
          </w:tcPr>
          <w:p w14:paraId="1DE01324" w14:textId="77777777" w:rsidR="005E671C" w:rsidRPr="005E671C" w:rsidRDefault="005E671C" w:rsidP="005E671C">
            <w:pPr>
              <w:spacing w:after="0" w:line="240" w:lineRule="auto"/>
              <w:jc w:val="center"/>
              <w:rPr>
                <w:rFonts w:ascii="Tahoma" w:eastAsia="Times New Roman" w:hAnsi="Tahoma" w:cs="Tahoma"/>
                <w:sz w:val="20"/>
                <w:szCs w:val="20"/>
                <w:lang w:eastAsia="hr-HR"/>
              </w:rPr>
            </w:pPr>
            <w:r w:rsidRPr="005E671C">
              <w:rPr>
                <w:rFonts w:ascii="Tahoma" w:eastAsia="Times New Roman" w:hAnsi="Tahoma" w:cs="Tahoma"/>
                <w:sz w:val="20"/>
                <w:szCs w:val="20"/>
                <w:lang w:eastAsia="hr-HR"/>
              </w:rPr>
              <w:t>0</w:t>
            </w:r>
          </w:p>
        </w:tc>
        <w:tc>
          <w:tcPr>
            <w:tcW w:w="698" w:type="dxa"/>
            <w:tcBorders>
              <w:top w:val="nil"/>
              <w:left w:val="nil"/>
              <w:bottom w:val="single" w:sz="4" w:space="0" w:color="auto"/>
              <w:right w:val="single" w:sz="4" w:space="0" w:color="auto"/>
            </w:tcBorders>
            <w:shd w:val="clear" w:color="000000" w:fill="FFFF99"/>
            <w:noWrap/>
            <w:vAlign w:val="center"/>
            <w:hideMark/>
          </w:tcPr>
          <w:p w14:paraId="384B1F06" w14:textId="77777777" w:rsidR="005E671C" w:rsidRPr="005E671C" w:rsidRDefault="005E671C" w:rsidP="005E671C">
            <w:pPr>
              <w:spacing w:after="0" w:line="240" w:lineRule="auto"/>
              <w:jc w:val="center"/>
              <w:rPr>
                <w:rFonts w:ascii="Tahoma" w:eastAsia="Times New Roman" w:hAnsi="Tahoma" w:cs="Tahoma"/>
                <w:sz w:val="20"/>
                <w:szCs w:val="20"/>
                <w:lang w:eastAsia="hr-HR"/>
              </w:rPr>
            </w:pPr>
            <w:r w:rsidRPr="005E671C">
              <w:rPr>
                <w:rFonts w:ascii="Tahoma" w:eastAsia="Times New Roman" w:hAnsi="Tahoma" w:cs="Tahoma"/>
                <w:sz w:val="20"/>
                <w:szCs w:val="20"/>
                <w:lang w:eastAsia="hr-HR"/>
              </w:rPr>
              <w:t>0</w:t>
            </w:r>
          </w:p>
        </w:tc>
        <w:tc>
          <w:tcPr>
            <w:tcW w:w="698" w:type="dxa"/>
            <w:tcBorders>
              <w:top w:val="nil"/>
              <w:left w:val="nil"/>
              <w:bottom w:val="single" w:sz="4" w:space="0" w:color="auto"/>
              <w:right w:val="single" w:sz="4" w:space="0" w:color="auto"/>
            </w:tcBorders>
            <w:shd w:val="clear" w:color="000000" w:fill="FFFF99"/>
            <w:noWrap/>
            <w:vAlign w:val="center"/>
            <w:hideMark/>
          </w:tcPr>
          <w:p w14:paraId="34F205F1" w14:textId="77777777" w:rsidR="005E671C" w:rsidRPr="005E671C" w:rsidRDefault="005E671C" w:rsidP="005E671C">
            <w:pPr>
              <w:spacing w:after="0" w:line="240" w:lineRule="auto"/>
              <w:jc w:val="center"/>
              <w:rPr>
                <w:rFonts w:ascii="Tahoma" w:eastAsia="Times New Roman" w:hAnsi="Tahoma" w:cs="Tahoma"/>
                <w:sz w:val="20"/>
                <w:szCs w:val="20"/>
                <w:lang w:eastAsia="hr-HR"/>
              </w:rPr>
            </w:pPr>
            <w:r w:rsidRPr="005E671C">
              <w:rPr>
                <w:rFonts w:ascii="Tahoma" w:eastAsia="Times New Roman" w:hAnsi="Tahoma" w:cs="Tahoma"/>
                <w:sz w:val="20"/>
                <w:szCs w:val="20"/>
                <w:lang w:eastAsia="hr-HR"/>
              </w:rPr>
              <w:t>0</w:t>
            </w:r>
          </w:p>
        </w:tc>
        <w:tc>
          <w:tcPr>
            <w:tcW w:w="698" w:type="dxa"/>
            <w:tcBorders>
              <w:top w:val="nil"/>
              <w:left w:val="nil"/>
              <w:bottom w:val="single" w:sz="4" w:space="0" w:color="auto"/>
              <w:right w:val="single" w:sz="4" w:space="0" w:color="auto"/>
            </w:tcBorders>
            <w:shd w:val="clear" w:color="000000" w:fill="FFFF99"/>
            <w:noWrap/>
            <w:vAlign w:val="center"/>
            <w:hideMark/>
          </w:tcPr>
          <w:p w14:paraId="43DAC372" w14:textId="77777777" w:rsidR="005E671C" w:rsidRPr="005E671C" w:rsidRDefault="005E671C" w:rsidP="005E671C">
            <w:pPr>
              <w:spacing w:after="0" w:line="240" w:lineRule="auto"/>
              <w:jc w:val="center"/>
              <w:rPr>
                <w:rFonts w:ascii="Tahoma" w:eastAsia="Times New Roman" w:hAnsi="Tahoma" w:cs="Tahoma"/>
                <w:sz w:val="20"/>
                <w:szCs w:val="20"/>
                <w:lang w:eastAsia="hr-HR"/>
              </w:rPr>
            </w:pPr>
            <w:r w:rsidRPr="005E671C">
              <w:rPr>
                <w:rFonts w:ascii="Tahoma" w:eastAsia="Times New Roman" w:hAnsi="Tahoma" w:cs="Tahoma"/>
                <w:sz w:val="20"/>
                <w:szCs w:val="20"/>
                <w:lang w:eastAsia="hr-HR"/>
              </w:rPr>
              <w:t>0</w:t>
            </w:r>
          </w:p>
        </w:tc>
        <w:tc>
          <w:tcPr>
            <w:tcW w:w="493" w:type="dxa"/>
            <w:tcBorders>
              <w:top w:val="nil"/>
              <w:left w:val="nil"/>
              <w:bottom w:val="single" w:sz="4" w:space="0" w:color="auto"/>
              <w:right w:val="single" w:sz="4" w:space="0" w:color="auto"/>
            </w:tcBorders>
            <w:shd w:val="clear" w:color="000000" w:fill="FF9900"/>
            <w:noWrap/>
            <w:vAlign w:val="center"/>
            <w:hideMark/>
          </w:tcPr>
          <w:p w14:paraId="3A88BE89" w14:textId="77777777" w:rsidR="005E671C" w:rsidRPr="005E671C" w:rsidRDefault="005E671C" w:rsidP="005E671C">
            <w:pPr>
              <w:spacing w:after="0" w:line="240" w:lineRule="auto"/>
              <w:jc w:val="center"/>
              <w:rPr>
                <w:rFonts w:ascii="Tahoma" w:eastAsia="Times New Roman" w:hAnsi="Tahoma" w:cs="Tahoma"/>
                <w:sz w:val="20"/>
                <w:szCs w:val="20"/>
                <w:lang w:eastAsia="hr-HR"/>
              </w:rPr>
            </w:pPr>
            <w:r w:rsidRPr="005E671C">
              <w:rPr>
                <w:rFonts w:ascii="Tahoma" w:eastAsia="Times New Roman" w:hAnsi="Tahoma" w:cs="Tahoma"/>
                <w:sz w:val="20"/>
                <w:szCs w:val="20"/>
                <w:lang w:eastAsia="hr-HR"/>
              </w:rPr>
              <w:t>0</w:t>
            </w:r>
          </w:p>
        </w:tc>
        <w:tc>
          <w:tcPr>
            <w:tcW w:w="469" w:type="dxa"/>
            <w:tcBorders>
              <w:top w:val="nil"/>
              <w:left w:val="nil"/>
              <w:bottom w:val="single" w:sz="4" w:space="0" w:color="auto"/>
              <w:right w:val="single" w:sz="4" w:space="0" w:color="auto"/>
            </w:tcBorders>
            <w:shd w:val="clear" w:color="000000" w:fill="FF9900"/>
            <w:noWrap/>
            <w:vAlign w:val="center"/>
            <w:hideMark/>
          </w:tcPr>
          <w:p w14:paraId="2B026A9B" w14:textId="77777777" w:rsidR="005E671C" w:rsidRPr="005E671C" w:rsidRDefault="005E671C" w:rsidP="005E671C">
            <w:pPr>
              <w:spacing w:after="0" w:line="240" w:lineRule="auto"/>
              <w:jc w:val="center"/>
              <w:rPr>
                <w:rFonts w:ascii="Tahoma" w:eastAsia="Times New Roman" w:hAnsi="Tahoma" w:cs="Tahoma"/>
                <w:sz w:val="20"/>
                <w:szCs w:val="20"/>
                <w:lang w:eastAsia="hr-HR"/>
              </w:rPr>
            </w:pPr>
            <w:r w:rsidRPr="005E671C">
              <w:rPr>
                <w:rFonts w:ascii="Tahoma" w:eastAsia="Times New Roman" w:hAnsi="Tahoma" w:cs="Tahoma"/>
                <w:sz w:val="20"/>
                <w:szCs w:val="20"/>
                <w:lang w:eastAsia="hr-HR"/>
              </w:rPr>
              <w:t>0</w:t>
            </w:r>
          </w:p>
        </w:tc>
        <w:tc>
          <w:tcPr>
            <w:tcW w:w="467" w:type="dxa"/>
            <w:tcBorders>
              <w:top w:val="nil"/>
              <w:left w:val="nil"/>
              <w:bottom w:val="single" w:sz="4" w:space="0" w:color="auto"/>
              <w:right w:val="single" w:sz="4" w:space="0" w:color="auto"/>
            </w:tcBorders>
            <w:shd w:val="clear" w:color="000000" w:fill="FF9900"/>
            <w:noWrap/>
            <w:vAlign w:val="center"/>
            <w:hideMark/>
          </w:tcPr>
          <w:p w14:paraId="16C0982C" w14:textId="77777777" w:rsidR="005E671C" w:rsidRPr="005E671C" w:rsidRDefault="005E671C" w:rsidP="005E671C">
            <w:pPr>
              <w:spacing w:after="0" w:line="240" w:lineRule="auto"/>
              <w:jc w:val="center"/>
              <w:rPr>
                <w:rFonts w:ascii="Tahoma" w:eastAsia="Times New Roman" w:hAnsi="Tahoma" w:cs="Tahoma"/>
                <w:sz w:val="20"/>
                <w:szCs w:val="20"/>
                <w:lang w:eastAsia="hr-HR"/>
              </w:rPr>
            </w:pPr>
            <w:r w:rsidRPr="005E671C">
              <w:rPr>
                <w:rFonts w:ascii="Tahoma" w:eastAsia="Times New Roman" w:hAnsi="Tahoma" w:cs="Tahoma"/>
                <w:sz w:val="20"/>
                <w:szCs w:val="20"/>
                <w:lang w:eastAsia="hr-HR"/>
              </w:rPr>
              <w:t>0</w:t>
            </w:r>
          </w:p>
        </w:tc>
        <w:tc>
          <w:tcPr>
            <w:tcW w:w="567" w:type="dxa"/>
            <w:tcBorders>
              <w:top w:val="nil"/>
              <w:left w:val="nil"/>
              <w:bottom w:val="single" w:sz="4" w:space="0" w:color="auto"/>
              <w:right w:val="single" w:sz="4" w:space="0" w:color="auto"/>
            </w:tcBorders>
            <w:shd w:val="clear" w:color="000000" w:fill="FFFF00"/>
            <w:vAlign w:val="center"/>
            <w:hideMark/>
          </w:tcPr>
          <w:p w14:paraId="759A9DFB" w14:textId="77777777" w:rsidR="005E671C" w:rsidRPr="005E671C" w:rsidRDefault="005E671C" w:rsidP="005E671C">
            <w:pPr>
              <w:spacing w:after="0" w:line="240" w:lineRule="auto"/>
              <w:jc w:val="center"/>
              <w:rPr>
                <w:rFonts w:ascii="Tahoma" w:eastAsia="Times New Roman" w:hAnsi="Tahoma" w:cs="Tahoma"/>
                <w:sz w:val="20"/>
                <w:szCs w:val="20"/>
                <w:lang w:eastAsia="hr-HR"/>
              </w:rPr>
            </w:pPr>
            <w:r w:rsidRPr="005E671C">
              <w:rPr>
                <w:rFonts w:ascii="Tahoma" w:eastAsia="Times New Roman" w:hAnsi="Tahoma" w:cs="Tahoma"/>
                <w:sz w:val="20"/>
                <w:szCs w:val="20"/>
                <w:lang w:eastAsia="hr-HR"/>
              </w:rPr>
              <w:t>0</w:t>
            </w:r>
          </w:p>
        </w:tc>
        <w:tc>
          <w:tcPr>
            <w:tcW w:w="542" w:type="dxa"/>
            <w:tcBorders>
              <w:top w:val="nil"/>
              <w:left w:val="nil"/>
              <w:bottom w:val="single" w:sz="4" w:space="0" w:color="auto"/>
              <w:right w:val="single" w:sz="4" w:space="0" w:color="auto"/>
            </w:tcBorders>
            <w:shd w:val="clear" w:color="000000" w:fill="FF9900"/>
            <w:vAlign w:val="center"/>
            <w:hideMark/>
          </w:tcPr>
          <w:p w14:paraId="47ABA9C2" w14:textId="77777777" w:rsidR="005E671C" w:rsidRPr="005E671C" w:rsidRDefault="005E671C" w:rsidP="005E671C">
            <w:pPr>
              <w:spacing w:after="0" w:line="240" w:lineRule="auto"/>
              <w:jc w:val="center"/>
              <w:rPr>
                <w:rFonts w:ascii="Tahoma" w:eastAsia="Times New Roman" w:hAnsi="Tahoma" w:cs="Tahoma"/>
                <w:sz w:val="20"/>
                <w:szCs w:val="20"/>
                <w:lang w:eastAsia="hr-HR"/>
              </w:rPr>
            </w:pPr>
            <w:r w:rsidRPr="005E671C">
              <w:rPr>
                <w:rFonts w:ascii="Tahoma" w:eastAsia="Times New Roman" w:hAnsi="Tahoma" w:cs="Tahoma"/>
                <w:sz w:val="20"/>
                <w:szCs w:val="20"/>
                <w:lang w:eastAsia="hr-HR"/>
              </w:rPr>
              <w:t>1</w:t>
            </w:r>
          </w:p>
        </w:tc>
        <w:tc>
          <w:tcPr>
            <w:tcW w:w="441" w:type="dxa"/>
            <w:tcBorders>
              <w:top w:val="nil"/>
              <w:left w:val="nil"/>
              <w:bottom w:val="single" w:sz="4" w:space="0" w:color="auto"/>
              <w:right w:val="single" w:sz="4" w:space="0" w:color="auto"/>
            </w:tcBorders>
            <w:shd w:val="clear" w:color="000000" w:fill="FF9900"/>
            <w:noWrap/>
            <w:vAlign w:val="center"/>
            <w:hideMark/>
          </w:tcPr>
          <w:p w14:paraId="1F9C4FD2" w14:textId="77777777" w:rsidR="005E671C" w:rsidRPr="005E671C" w:rsidRDefault="005E671C" w:rsidP="005E671C">
            <w:pPr>
              <w:spacing w:after="0" w:line="240" w:lineRule="auto"/>
              <w:jc w:val="center"/>
              <w:rPr>
                <w:rFonts w:ascii="Tahoma" w:eastAsia="Times New Roman" w:hAnsi="Tahoma" w:cs="Tahoma"/>
                <w:sz w:val="20"/>
                <w:szCs w:val="20"/>
                <w:lang w:eastAsia="hr-HR"/>
              </w:rPr>
            </w:pPr>
            <w:r w:rsidRPr="005E671C">
              <w:rPr>
                <w:rFonts w:ascii="Tahoma" w:eastAsia="Times New Roman" w:hAnsi="Tahoma" w:cs="Tahoma"/>
                <w:sz w:val="20"/>
                <w:szCs w:val="20"/>
                <w:lang w:eastAsia="hr-HR"/>
              </w:rPr>
              <w:t>0</w:t>
            </w:r>
          </w:p>
        </w:tc>
        <w:tc>
          <w:tcPr>
            <w:tcW w:w="426" w:type="dxa"/>
            <w:tcBorders>
              <w:top w:val="nil"/>
              <w:left w:val="nil"/>
              <w:bottom w:val="single" w:sz="4" w:space="0" w:color="auto"/>
              <w:right w:val="single" w:sz="4" w:space="0" w:color="auto"/>
            </w:tcBorders>
            <w:shd w:val="clear" w:color="000000" w:fill="FF9900"/>
            <w:noWrap/>
            <w:vAlign w:val="center"/>
            <w:hideMark/>
          </w:tcPr>
          <w:p w14:paraId="4AAEE4AF" w14:textId="77777777" w:rsidR="005E671C" w:rsidRPr="005E671C" w:rsidRDefault="005E671C" w:rsidP="005E671C">
            <w:pPr>
              <w:spacing w:after="0" w:line="240" w:lineRule="auto"/>
              <w:jc w:val="center"/>
              <w:rPr>
                <w:rFonts w:ascii="Tahoma" w:eastAsia="Times New Roman" w:hAnsi="Tahoma" w:cs="Tahoma"/>
                <w:sz w:val="20"/>
                <w:szCs w:val="20"/>
                <w:lang w:eastAsia="hr-HR"/>
              </w:rPr>
            </w:pPr>
            <w:r w:rsidRPr="005E671C">
              <w:rPr>
                <w:rFonts w:ascii="Tahoma" w:eastAsia="Times New Roman" w:hAnsi="Tahoma" w:cs="Tahoma"/>
                <w:sz w:val="20"/>
                <w:szCs w:val="20"/>
                <w:lang w:eastAsia="hr-HR"/>
              </w:rPr>
              <w:t>0</w:t>
            </w:r>
          </w:p>
        </w:tc>
        <w:tc>
          <w:tcPr>
            <w:tcW w:w="854" w:type="dxa"/>
            <w:tcBorders>
              <w:top w:val="nil"/>
              <w:left w:val="nil"/>
              <w:bottom w:val="single" w:sz="4" w:space="0" w:color="auto"/>
              <w:right w:val="single" w:sz="4" w:space="0" w:color="auto"/>
            </w:tcBorders>
            <w:shd w:val="clear" w:color="000000" w:fill="FF9900"/>
            <w:noWrap/>
            <w:vAlign w:val="center"/>
            <w:hideMark/>
          </w:tcPr>
          <w:p w14:paraId="3287ECA9" w14:textId="77777777" w:rsidR="005E671C" w:rsidRPr="005E671C" w:rsidRDefault="005E671C" w:rsidP="005E671C">
            <w:pPr>
              <w:spacing w:after="0" w:line="240" w:lineRule="auto"/>
              <w:jc w:val="center"/>
              <w:rPr>
                <w:rFonts w:ascii="Tahoma" w:eastAsia="Times New Roman" w:hAnsi="Tahoma" w:cs="Tahoma"/>
                <w:sz w:val="20"/>
                <w:szCs w:val="20"/>
                <w:lang w:eastAsia="hr-HR"/>
              </w:rPr>
            </w:pPr>
            <w:r w:rsidRPr="005E671C">
              <w:rPr>
                <w:rFonts w:ascii="Tahoma" w:eastAsia="Times New Roman" w:hAnsi="Tahoma" w:cs="Tahoma"/>
                <w:sz w:val="20"/>
                <w:szCs w:val="20"/>
                <w:lang w:eastAsia="hr-HR"/>
              </w:rPr>
              <w:t>0</w:t>
            </w:r>
          </w:p>
        </w:tc>
        <w:tc>
          <w:tcPr>
            <w:tcW w:w="440" w:type="dxa"/>
            <w:tcBorders>
              <w:top w:val="nil"/>
              <w:left w:val="nil"/>
              <w:bottom w:val="single" w:sz="4" w:space="0" w:color="auto"/>
              <w:right w:val="single" w:sz="4" w:space="0" w:color="auto"/>
            </w:tcBorders>
            <w:shd w:val="clear" w:color="000000" w:fill="CCFFFF"/>
            <w:noWrap/>
            <w:vAlign w:val="center"/>
            <w:hideMark/>
          </w:tcPr>
          <w:p w14:paraId="238ED621" w14:textId="77777777" w:rsidR="005E671C" w:rsidRPr="005E671C" w:rsidRDefault="005E671C" w:rsidP="005E671C">
            <w:pPr>
              <w:spacing w:after="0" w:line="240" w:lineRule="auto"/>
              <w:jc w:val="center"/>
              <w:rPr>
                <w:rFonts w:ascii="Tahoma" w:eastAsia="Times New Roman" w:hAnsi="Tahoma" w:cs="Tahoma"/>
                <w:sz w:val="20"/>
                <w:szCs w:val="20"/>
                <w:lang w:eastAsia="hr-HR"/>
              </w:rPr>
            </w:pPr>
            <w:r w:rsidRPr="005E671C">
              <w:rPr>
                <w:rFonts w:ascii="Tahoma" w:eastAsia="Times New Roman" w:hAnsi="Tahoma" w:cs="Tahoma"/>
                <w:sz w:val="20"/>
                <w:szCs w:val="20"/>
                <w:lang w:eastAsia="hr-HR"/>
              </w:rPr>
              <w:t>0</w:t>
            </w:r>
          </w:p>
        </w:tc>
        <w:tc>
          <w:tcPr>
            <w:tcW w:w="408" w:type="dxa"/>
            <w:tcBorders>
              <w:top w:val="nil"/>
              <w:left w:val="nil"/>
              <w:bottom w:val="single" w:sz="4" w:space="0" w:color="auto"/>
              <w:right w:val="single" w:sz="4" w:space="0" w:color="auto"/>
            </w:tcBorders>
            <w:shd w:val="clear" w:color="000000" w:fill="CCFFFF"/>
            <w:noWrap/>
            <w:vAlign w:val="center"/>
            <w:hideMark/>
          </w:tcPr>
          <w:p w14:paraId="39B97573" w14:textId="77777777" w:rsidR="005E671C" w:rsidRPr="005E671C" w:rsidRDefault="005E671C" w:rsidP="005E671C">
            <w:pPr>
              <w:spacing w:after="0" w:line="240" w:lineRule="auto"/>
              <w:jc w:val="center"/>
              <w:rPr>
                <w:rFonts w:ascii="Tahoma" w:eastAsia="Times New Roman" w:hAnsi="Tahoma" w:cs="Tahoma"/>
                <w:sz w:val="20"/>
                <w:szCs w:val="20"/>
                <w:lang w:eastAsia="hr-HR"/>
              </w:rPr>
            </w:pPr>
            <w:r w:rsidRPr="005E671C">
              <w:rPr>
                <w:rFonts w:ascii="Tahoma" w:eastAsia="Times New Roman" w:hAnsi="Tahoma" w:cs="Tahoma"/>
                <w:sz w:val="20"/>
                <w:szCs w:val="20"/>
                <w:lang w:eastAsia="hr-HR"/>
              </w:rPr>
              <w:t>0</w:t>
            </w:r>
          </w:p>
        </w:tc>
        <w:tc>
          <w:tcPr>
            <w:tcW w:w="433" w:type="dxa"/>
            <w:tcBorders>
              <w:top w:val="nil"/>
              <w:left w:val="nil"/>
              <w:bottom w:val="single" w:sz="4" w:space="0" w:color="auto"/>
              <w:right w:val="single" w:sz="4" w:space="0" w:color="auto"/>
            </w:tcBorders>
            <w:shd w:val="clear" w:color="000000" w:fill="CCFFFF"/>
            <w:noWrap/>
            <w:vAlign w:val="center"/>
            <w:hideMark/>
          </w:tcPr>
          <w:p w14:paraId="1ADB7EDE" w14:textId="77777777" w:rsidR="005E671C" w:rsidRPr="005E671C" w:rsidRDefault="005E671C" w:rsidP="005E671C">
            <w:pPr>
              <w:spacing w:after="0" w:line="240" w:lineRule="auto"/>
              <w:jc w:val="center"/>
              <w:rPr>
                <w:rFonts w:ascii="Tahoma" w:eastAsia="Times New Roman" w:hAnsi="Tahoma" w:cs="Tahoma"/>
                <w:sz w:val="20"/>
                <w:szCs w:val="20"/>
                <w:lang w:eastAsia="hr-HR"/>
              </w:rPr>
            </w:pPr>
            <w:r w:rsidRPr="005E671C">
              <w:rPr>
                <w:rFonts w:ascii="Tahoma" w:eastAsia="Times New Roman" w:hAnsi="Tahoma" w:cs="Tahoma"/>
                <w:sz w:val="20"/>
                <w:szCs w:val="20"/>
                <w:lang w:eastAsia="hr-HR"/>
              </w:rPr>
              <w:t>0</w:t>
            </w:r>
          </w:p>
        </w:tc>
        <w:tc>
          <w:tcPr>
            <w:tcW w:w="425" w:type="dxa"/>
            <w:tcBorders>
              <w:top w:val="nil"/>
              <w:left w:val="nil"/>
              <w:bottom w:val="single" w:sz="4" w:space="0" w:color="auto"/>
              <w:right w:val="single" w:sz="8" w:space="0" w:color="auto"/>
            </w:tcBorders>
            <w:shd w:val="clear" w:color="000000" w:fill="33CCCC"/>
            <w:noWrap/>
            <w:vAlign w:val="center"/>
            <w:hideMark/>
          </w:tcPr>
          <w:p w14:paraId="719EC610" w14:textId="77777777" w:rsidR="005E671C" w:rsidRPr="005E671C" w:rsidRDefault="005E671C" w:rsidP="005E671C">
            <w:pPr>
              <w:spacing w:after="0" w:line="240" w:lineRule="auto"/>
              <w:jc w:val="center"/>
              <w:rPr>
                <w:rFonts w:ascii="Tahoma" w:eastAsia="Times New Roman" w:hAnsi="Tahoma" w:cs="Tahoma"/>
                <w:sz w:val="20"/>
                <w:szCs w:val="20"/>
                <w:lang w:eastAsia="hr-HR"/>
              </w:rPr>
            </w:pPr>
            <w:r w:rsidRPr="005E671C">
              <w:rPr>
                <w:rFonts w:ascii="Tahoma" w:eastAsia="Times New Roman" w:hAnsi="Tahoma" w:cs="Tahoma"/>
                <w:sz w:val="20"/>
                <w:szCs w:val="20"/>
                <w:lang w:eastAsia="hr-HR"/>
              </w:rPr>
              <w:t>0</w:t>
            </w:r>
          </w:p>
        </w:tc>
        <w:tc>
          <w:tcPr>
            <w:tcW w:w="567" w:type="dxa"/>
            <w:tcBorders>
              <w:top w:val="nil"/>
              <w:left w:val="single" w:sz="4" w:space="0" w:color="auto"/>
              <w:bottom w:val="single" w:sz="4" w:space="0" w:color="auto"/>
              <w:right w:val="single" w:sz="8" w:space="0" w:color="auto"/>
            </w:tcBorders>
            <w:shd w:val="clear" w:color="000000" w:fill="33CCCC"/>
            <w:noWrap/>
            <w:vAlign w:val="center"/>
            <w:hideMark/>
          </w:tcPr>
          <w:p w14:paraId="73215596" w14:textId="77777777" w:rsidR="005E671C" w:rsidRPr="005E671C" w:rsidRDefault="005E671C" w:rsidP="005E671C">
            <w:pPr>
              <w:spacing w:after="0" w:line="240" w:lineRule="auto"/>
              <w:jc w:val="center"/>
              <w:rPr>
                <w:rFonts w:ascii="Tahoma" w:eastAsia="Times New Roman" w:hAnsi="Tahoma" w:cs="Tahoma"/>
                <w:sz w:val="20"/>
                <w:szCs w:val="20"/>
                <w:lang w:eastAsia="hr-HR"/>
              </w:rPr>
            </w:pPr>
            <w:r w:rsidRPr="005E671C">
              <w:rPr>
                <w:rFonts w:ascii="Tahoma" w:eastAsia="Times New Roman" w:hAnsi="Tahoma" w:cs="Tahoma"/>
                <w:sz w:val="20"/>
                <w:szCs w:val="20"/>
                <w:lang w:eastAsia="hr-HR"/>
              </w:rPr>
              <w:t>0</w:t>
            </w:r>
          </w:p>
        </w:tc>
        <w:tc>
          <w:tcPr>
            <w:tcW w:w="237" w:type="dxa"/>
            <w:gridSpan w:val="2"/>
            <w:vAlign w:val="center"/>
            <w:hideMark/>
          </w:tcPr>
          <w:p w14:paraId="60DD4C68" w14:textId="77777777" w:rsidR="005E671C" w:rsidRPr="005E671C" w:rsidRDefault="005E671C" w:rsidP="005E671C">
            <w:pPr>
              <w:spacing w:after="0" w:line="240" w:lineRule="auto"/>
              <w:rPr>
                <w:rFonts w:ascii="Times New Roman" w:eastAsia="Times New Roman" w:hAnsi="Times New Roman" w:cs="Times New Roman"/>
                <w:sz w:val="20"/>
                <w:szCs w:val="20"/>
                <w:lang w:eastAsia="hr-HR"/>
              </w:rPr>
            </w:pPr>
          </w:p>
        </w:tc>
      </w:tr>
      <w:tr w:rsidR="005E671C" w:rsidRPr="005E671C" w14:paraId="04D2B1A1" w14:textId="77777777" w:rsidTr="001752B7">
        <w:trPr>
          <w:gridAfter w:val="1"/>
          <w:wAfter w:w="51" w:type="dxa"/>
          <w:trHeight w:val="570"/>
        </w:trPr>
        <w:tc>
          <w:tcPr>
            <w:tcW w:w="1550" w:type="dxa"/>
            <w:tcBorders>
              <w:top w:val="single" w:sz="4" w:space="0" w:color="auto"/>
              <w:left w:val="single" w:sz="8" w:space="0" w:color="auto"/>
              <w:bottom w:val="single" w:sz="4" w:space="0" w:color="auto"/>
              <w:right w:val="single" w:sz="4" w:space="0" w:color="auto"/>
            </w:tcBorders>
            <w:shd w:val="clear" w:color="000000" w:fill="CCFFCC"/>
            <w:vAlign w:val="center"/>
            <w:hideMark/>
          </w:tcPr>
          <w:p w14:paraId="540873CE" w14:textId="77777777" w:rsidR="005E671C" w:rsidRPr="005E671C" w:rsidRDefault="005E671C" w:rsidP="005E671C">
            <w:pPr>
              <w:spacing w:after="0" w:line="240" w:lineRule="auto"/>
              <w:rPr>
                <w:rFonts w:ascii="Tahoma" w:eastAsia="Times New Roman" w:hAnsi="Tahoma" w:cs="Tahoma"/>
                <w:sz w:val="20"/>
                <w:szCs w:val="20"/>
                <w:lang w:eastAsia="hr-HR"/>
              </w:rPr>
            </w:pPr>
            <w:r w:rsidRPr="005E671C">
              <w:rPr>
                <w:rFonts w:ascii="Tahoma" w:eastAsia="Times New Roman" w:hAnsi="Tahoma" w:cs="Tahoma"/>
                <w:sz w:val="20"/>
                <w:szCs w:val="20"/>
                <w:lang w:eastAsia="hr-HR"/>
              </w:rPr>
              <w:t>Rodni identitet rodno izražavanje</w:t>
            </w:r>
          </w:p>
        </w:tc>
        <w:tc>
          <w:tcPr>
            <w:tcW w:w="669" w:type="dxa"/>
            <w:tcBorders>
              <w:top w:val="nil"/>
              <w:left w:val="nil"/>
              <w:bottom w:val="single" w:sz="4" w:space="0" w:color="auto"/>
              <w:right w:val="single" w:sz="4" w:space="0" w:color="auto"/>
            </w:tcBorders>
            <w:shd w:val="clear" w:color="000000" w:fill="FFCC99"/>
            <w:noWrap/>
            <w:vAlign w:val="center"/>
            <w:hideMark/>
          </w:tcPr>
          <w:p w14:paraId="634F969A" w14:textId="77777777" w:rsidR="005E671C" w:rsidRPr="005E671C" w:rsidRDefault="005E671C" w:rsidP="005E671C">
            <w:pPr>
              <w:spacing w:after="0" w:line="240" w:lineRule="auto"/>
              <w:jc w:val="center"/>
              <w:rPr>
                <w:rFonts w:ascii="Tahoma" w:eastAsia="Times New Roman" w:hAnsi="Tahoma" w:cs="Tahoma"/>
                <w:sz w:val="20"/>
                <w:szCs w:val="20"/>
                <w:lang w:eastAsia="hr-HR"/>
              </w:rPr>
            </w:pPr>
            <w:r w:rsidRPr="005E671C">
              <w:rPr>
                <w:rFonts w:ascii="Tahoma" w:eastAsia="Times New Roman" w:hAnsi="Tahoma" w:cs="Tahoma"/>
                <w:sz w:val="20"/>
                <w:szCs w:val="20"/>
                <w:lang w:eastAsia="hr-HR"/>
              </w:rPr>
              <w:t>0</w:t>
            </w:r>
          </w:p>
        </w:tc>
        <w:tc>
          <w:tcPr>
            <w:tcW w:w="352" w:type="dxa"/>
            <w:tcBorders>
              <w:top w:val="nil"/>
              <w:left w:val="nil"/>
              <w:bottom w:val="single" w:sz="4" w:space="0" w:color="auto"/>
              <w:right w:val="single" w:sz="4" w:space="0" w:color="auto"/>
            </w:tcBorders>
            <w:shd w:val="clear" w:color="000000" w:fill="FFFF00"/>
            <w:noWrap/>
            <w:vAlign w:val="center"/>
            <w:hideMark/>
          </w:tcPr>
          <w:p w14:paraId="7F5179F1" w14:textId="77777777" w:rsidR="005E671C" w:rsidRPr="005E671C" w:rsidRDefault="005E671C" w:rsidP="005E671C">
            <w:pPr>
              <w:spacing w:after="0" w:line="240" w:lineRule="auto"/>
              <w:jc w:val="center"/>
              <w:rPr>
                <w:rFonts w:ascii="Tahoma" w:eastAsia="Times New Roman" w:hAnsi="Tahoma" w:cs="Tahoma"/>
                <w:sz w:val="20"/>
                <w:szCs w:val="20"/>
                <w:lang w:eastAsia="hr-HR"/>
              </w:rPr>
            </w:pPr>
            <w:r w:rsidRPr="005E671C">
              <w:rPr>
                <w:rFonts w:ascii="Tahoma" w:eastAsia="Times New Roman" w:hAnsi="Tahoma" w:cs="Tahoma"/>
                <w:sz w:val="20"/>
                <w:szCs w:val="20"/>
                <w:lang w:eastAsia="hr-HR"/>
              </w:rPr>
              <w:t>0</w:t>
            </w:r>
          </w:p>
        </w:tc>
        <w:tc>
          <w:tcPr>
            <w:tcW w:w="574" w:type="dxa"/>
            <w:tcBorders>
              <w:top w:val="nil"/>
              <w:left w:val="nil"/>
              <w:bottom w:val="single" w:sz="4" w:space="0" w:color="auto"/>
              <w:right w:val="single" w:sz="4" w:space="0" w:color="auto"/>
            </w:tcBorders>
            <w:shd w:val="clear" w:color="000000" w:fill="CCFFFF"/>
            <w:noWrap/>
            <w:vAlign w:val="center"/>
            <w:hideMark/>
          </w:tcPr>
          <w:p w14:paraId="73C0173F" w14:textId="77777777" w:rsidR="005E671C" w:rsidRPr="005E671C" w:rsidRDefault="005E671C" w:rsidP="005E671C">
            <w:pPr>
              <w:spacing w:after="0" w:line="240" w:lineRule="auto"/>
              <w:jc w:val="center"/>
              <w:rPr>
                <w:rFonts w:ascii="Tahoma" w:eastAsia="Times New Roman" w:hAnsi="Tahoma" w:cs="Tahoma"/>
                <w:sz w:val="20"/>
                <w:szCs w:val="20"/>
                <w:lang w:eastAsia="hr-HR"/>
              </w:rPr>
            </w:pPr>
            <w:r w:rsidRPr="005E671C">
              <w:rPr>
                <w:rFonts w:ascii="Tahoma" w:eastAsia="Times New Roman" w:hAnsi="Tahoma" w:cs="Tahoma"/>
                <w:sz w:val="20"/>
                <w:szCs w:val="20"/>
                <w:lang w:eastAsia="hr-HR"/>
              </w:rPr>
              <w:t>0</w:t>
            </w:r>
          </w:p>
        </w:tc>
        <w:tc>
          <w:tcPr>
            <w:tcW w:w="440" w:type="dxa"/>
            <w:tcBorders>
              <w:top w:val="nil"/>
              <w:left w:val="nil"/>
              <w:bottom w:val="single" w:sz="4" w:space="0" w:color="auto"/>
              <w:right w:val="single" w:sz="4" w:space="0" w:color="auto"/>
            </w:tcBorders>
            <w:shd w:val="clear" w:color="000000" w:fill="CCFFFF"/>
            <w:noWrap/>
            <w:vAlign w:val="center"/>
            <w:hideMark/>
          </w:tcPr>
          <w:p w14:paraId="2B48C01A" w14:textId="77777777" w:rsidR="005E671C" w:rsidRPr="005E671C" w:rsidRDefault="005E671C" w:rsidP="005E671C">
            <w:pPr>
              <w:spacing w:after="0" w:line="240" w:lineRule="auto"/>
              <w:jc w:val="center"/>
              <w:rPr>
                <w:rFonts w:ascii="Tahoma" w:eastAsia="Times New Roman" w:hAnsi="Tahoma" w:cs="Tahoma"/>
                <w:sz w:val="20"/>
                <w:szCs w:val="20"/>
                <w:lang w:eastAsia="hr-HR"/>
              </w:rPr>
            </w:pPr>
            <w:r w:rsidRPr="005E671C">
              <w:rPr>
                <w:rFonts w:ascii="Tahoma" w:eastAsia="Times New Roman" w:hAnsi="Tahoma" w:cs="Tahoma"/>
                <w:sz w:val="20"/>
                <w:szCs w:val="20"/>
                <w:lang w:eastAsia="hr-HR"/>
              </w:rPr>
              <w:t>0</w:t>
            </w:r>
          </w:p>
        </w:tc>
        <w:tc>
          <w:tcPr>
            <w:tcW w:w="700" w:type="dxa"/>
            <w:tcBorders>
              <w:top w:val="nil"/>
              <w:left w:val="nil"/>
              <w:bottom w:val="single" w:sz="4" w:space="0" w:color="auto"/>
              <w:right w:val="single" w:sz="4" w:space="0" w:color="auto"/>
            </w:tcBorders>
            <w:shd w:val="clear" w:color="000000" w:fill="FFFF99"/>
            <w:noWrap/>
            <w:vAlign w:val="center"/>
            <w:hideMark/>
          </w:tcPr>
          <w:p w14:paraId="20FE74CC" w14:textId="77777777" w:rsidR="005E671C" w:rsidRPr="005E671C" w:rsidRDefault="005E671C" w:rsidP="005E671C">
            <w:pPr>
              <w:spacing w:after="0" w:line="240" w:lineRule="auto"/>
              <w:jc w:val="center"/>
              <w:rPr>
                <w:rFonts w:ascii="Tahoma" w:eastAsia="Times New Roman" w:hAnsi="Tahoma" w:cs="Tahoma"/>
                <w:sz w:val="20"/>
                <w:szCs w:val="20"/>
                <w:lang w:eastAsia="hr-HR"/>
              </w:rPr>
            </w:pPr>
            <w:r w:rsidRPr="005E671C">
              <w:rPr>
                <w:rFonts w:ascii="Tahoma" w:eastAsia="Times New Roman" w:hAnsi="Tahoma" w:cs="Tahoma"/>
                <w:sz w:val="20"/>
                <w:szCs w:val="20"/>
                <w:lang w:eastAsia="hr-HR"/>
              </w:rPr>
              <w:t>0</w:t>
            </w:r>
          </w:p>
        </w:tc>
        <w:tc>
          <w:tcPr>
            <w:tcW w:w="698" w:type="dxa"/>
            <w:tcBorders>
              <w:top w:val="nil"/>
              <w:left w:val="nil"/>
              <w:bottom w:val="single" w:sz="4" w:space="0" w:color="auto"/>
              <w:right w:val="single" w:sz="4" w:space="0" w:color="auto"/>
            </w:tcBorders>
            <w:shd w:val="clear" w:color="000000" w:fill="FFFF99"/>
            <w:noWrap/>
            <w:vAlign w:val="center"/>
            <w:hideMark/>
          </w:tcPr>
          <w:p w14:paraId="5CD3774C" w14:textId="77777777" w:rsidR="005E671C" w:rsidRPr="005E671C" w:rsidRDefault="005E671C" w:rsidP="005E671C">
            <w:pPr>
              <w:spacing w:after="0" w:line="240" w:lineRule="auto"/>
              <w:jc w:val="center"/>
              <w:rPr>
                <w:rFonts w:ascii="Tahoma" w:eastAsia="Times New Roman" w:hAnsi="Tahoma" w:cs="Tahoma"/>
                <w:sz w:val="20"/>
                <w:szCs w:val="20"/>
                <w:lang w:eastAsia="hr-HR"/>
              </w:rPr>
            </w:pPr>
            <w:r w:rsidRPr="005E671C">
              <w:rPr>
                <w:rFonts w:ascii="Tahoma" w:eastAsia="Times New Roman" w:hAnsi="Tahoma" w:cs="Tahoma"/>
                <w:sz w:val="20"/>
                <w:szCs w:val="20"/>
                <w:lang w:eastAsia="hr-HR"/>
              </w:rPr>
              <w:t>0</w:t>
            </w:r>
          </w:p>
        </w:tc>
        <w:tc>
          <w:tcPr>
            <w:tcW w:w="698" w:type="dxa"/>
            <w:tcBorders>
              <w:top w:val="nil"/>
              <w:left w:val="nil"/>
              <w:bottom w:val="single" w:sz="4" w:space="0" w:color="auto"/>
              <w:right w:val="single" w:sz="4" w:space="0" w:color="auto"/>
            </w:tcBorders>
            <w:shd w:val="clear" w:color="000000" w:fill="FFFF99"/>
            <w:noWrap/>
            <w:vAlign w:val="center"/>
            <w:hideMark/>
          </w:tcPr>
          <w:p w14:paraId="37947980" w14:textId="77777777" w:rsidR="005E671C" w:rsidRPr="005E671C" w:rsidRDefault="005E671C" w:rsidP="005E671C">
            <w:pPr>
              <w:spacing w:after="0" w:line="240" w:lineRule="auto"/>
              <w:jc w:val="center"/>
              <w:rPr>
                <w:rFonts w:ascii="Tahoma" w:eastAsia="Times New Roman" w:hAnsi="Tahoma" w:cs="Tahoma"/>
                <w:sz w:val="20"/>
                <w:szCs w:val="20"/>
                <w:lang w:eastAsia="hr-HR"/>
              </w:rPr>
            </w:pPr>
            <w:r w:rsidRPr="005E671C">
              <w:rPr>
                <w:rFonts w:ascii="Tahoma" w:eastAsia="Times New Roman" w:hAnsi="Tahoma" w:cs="Tahoma"/>
                <w:sz w:val="20"/>
                <w:szCs w:val="20"/>
                <w:lang w:eastAsia="hr-HR"/>
              </w:rPr>
              <w:t>0</w:t>
            </w:r>
          </w:p>
        </w:tc>
        <w:tc>
          <w:tcPr>
            <w:tcW w:w="698" w:type="dxa"/>
            <w:tcBorders>
              <w:top w:val="nil"/>
              <w:left w:val="nil"/>
              <w:bottom w:val="single" w:sz="4" w:space="0" w:color="auto"/>
              <w:right w:val="single" w:sz="4" w:space="0" w:color="auto"/>
            </w:tcBorders>
            <w:shd w:val="clear" w:color="000000" w:fill="FFFF99"/>
            <w:noWrap/>
            <w:vAlign w:val="center"/>
            <w:hideMark/>
          </w:tcPr>
          <w:p w14:paraId="5605E3A3" w14:textId="77777777" w:rsidR="005E671C" w:rsidRPr="005E671C" w:rsidRDefault="005E671C" w:rsidP="005E671C">
            <w:pPr>
              <w:spacing w:after="0" w:line="240" w:lineRule="auto"/>
              <w:jc w:val="center"/>
              <w:rPr>
                <w:rFonts w:ascii="Tahoma" w:eastAsia="Times New Roman" w:hAnsi="Tahoma" w:cs="Tahoma"/>
                <w:sz w:val="20"/>
                <w:szCs w:val="20"/>
                <w:lang w:eastAsia="hr-HR"/>
              </w:rPr>
            </w:pPr>
            <w:r w:rsidRPr="005E671C">
              <w:rPr>
                <w:rFonts w:ascii="Tahoma" w:eastAsia="Times New Roman" w:hAnsi="Tahoma" w:cs="Tahoma"/>
                <w:sz w:val="20"/>
                <w:szCs w:val="20"/>
                <w:lang w:eastAsia="hr-HR"/>
              </w:rPr>
              <w:t>0</w:t>
            </w:r>
          </w:p>
        </w:tc>
        <w:tc>
          <w:tcPr>
            <w:tcW w:w="698" w:type="dxa"/>
            <w:tcBorders>
              <w:top w:val="nil"/>
              <w:left w:val="nil"/>
              <w:bottom w:val="single" w:sz="4" w:space="0" w:color="auto"/>
              <w:right w:val="single" w:sz="4" w:space="0" w:color="auto"/>
            </w:tcBorders>
            <w:shd w:val="clear" w:color="000000" w:fill="FFFF99"/>
            <w:noWrap/>
            <w:vAlign w:val="center"/>
            <w:hideMark/>
          </w:tcPr>
          <w:p w14:paraId="3AFAD0A3" w14:textId="77777777" w:rsidR="005E671C" w:rsidRPr="005E671C" w:rsidRDefault="005E671C" w:rsidP="005E671C">
            <w:pPr>
              <w:spacing w:after="0" w:line="240" w:lineRule="auto"/>
              <w:jc w:val="center"/>
              <w:rPr>
                <w:rFonts w:ascii="Tahoma" w:eastAsia="Times New Roman" w:hAnsi="Tahoma" w:cs="Tahoma"/>
                <w:sz w:val="20"/>
                <w:szCs w:val="20"/>
                <w:lang w:eastAsia="hr-HR"/>
              </w:rPr>
            </w:pPr>
            <w:r w:rsidRPr="005E671C">
              <w:rPr>
                <w:rFonts w:ascii="Tahoma" w:eastAsia="Times New Roman" w:hAnsi="Tahoma" w:cs="Tahoma"/>
                <w:sz w:val="20"/>
                <w:szCs w:val="20"/>
                <w:lang w:eastAsia="hr-HR"/>
              </w:rPr>
              <w:t>0</w:t>
            </w:r>
          </w:p>
        </w:tc>
        <w:tc>
          <w:tcPr>
            <w:tcW w:w="698" w:type="dxa"/>
            <w:tcBorders>
              <w:top w:val="nil"/>
              <w:left w:val="nil"/>
              <w:bottom w:val="single" w:sz="4" w:space="0" w:color="auto"/>
              <w:right w:val="single" w:sz="4" w:space="0" w:color="auto"/>
            </w:tcBorders>
            <w:shd w:val="clear" w:color="000000" w:fill="FFFF99"/>
            <w:noWrap/>
            <w:vAlign w:val="center"/>
            <w:hideMark/>
          </w:tcPr>
          <w:p w14:paraId="4322D0AF" w14:textId="77777777" w:rsidR="005E671C" w:rsidRPr="005E671C" w:rsidRDefault="005E671C" w:rsidP="005E671C">
            <w:pPr>
              <w:spacing w:after="0" w:line="240" w:lineRule="auto"/>
              <w:jc w:val="center"/>
              <w:rPr>
                <w:rFonts w:ascii="Tahoma" w:eastAsia="Times New Roman" w:hAnsi="Tahoma" w:cs="Tahoma"/>
                <w:sz w:val="20"/>
                <w:szCs w:val="20"/>
                <w:lang w:eastAsia="hr-HR"/>
              </w:rPr>
            </w:pPr>
            <w:r w:rsidRPr="005E671C">
              <w:rPr>
                <w:rFonts w:ascii="Tahoma" w:eastAsia="Times New Roman" w:hAnsi="Tahoma" w:cs="Tahoma"/>
                <w:sz w:val="20"/>
                <w:szCs w:val="20"/>
                <w:lang w:eastAsia="hr-HR"/>
              </w:rPr>
              <w:t>0</w:t>
            </w:r>
          </w:p>
        </w:tc>
        <w:tc>
          <w:tcPr>
            <w:tcW w:w="493" w:type="dxa"/>
            <w:tcBorders>
              <w:top w:val="nil"/>
              <w:left w:val="nil"/>
              <w:bottom w:val="single" w:sz="4" w:space="0" w:color="auto"/>
              <w:right w:val="single" w:sz="4" w:space="0" w:color="auto"/>
            </w:tcBorders>
            <w:shd w:val="clear" w:color="000000" w:fill="FF9900"/>
            <w:noWrap/>
            <w:vAlign w:val="center"/>
            <w:hideMark/>
          </w:tcPr>
          <w:p w14:paraId="29ACB0C1" w14:textId="77777777" w:rsidR="005E671C" w:rsidRPr="005E671C" w:rsidRDefault="005E671C" w:rsidP="005E671C">
            <w:pPr>
              <w:spacing w:after="0" w:line="240" w:lineRule="auto"/>
              <w:jc w:val="center"/>
              <w:rPr>
                <w:rFonts w:ascii="Tahoma" w:eastAsia="Times New Roman" w:hAnsi="Tahoma" w:cs="Tahoma"/>
                <w:sz w:val="20"/>
                <w:szCs w:val="20"/>
                <w:lang w:eastAsia="hr-HR"/>
              </w:rPr>
            </w:pPr>
            <w:r w:rsidRPr="005E671C">
              <w:rPr>
                <w:rFonts w:ascii="Tahoma" w:eastAsia="Times New Roman" w:hAnsi="Tahoma" w:cs="Tahoma"/>
                <w:sz w:val="20"/>
                <w:szCs w:val="20"/>
                <w:lang w:eastAsia="hr-HR"/>
              </w:rPr>
              <w:t>0</w:t>
            </w:r>
          </w:p>
        </w:tc>
        <w:tc>
          <w:tcPr>
            <w:tcW w:w="469" w:type="dxa"/>
            <w:tcBorders>
              <w:top w:val="nil"/>
              <w:left w:val="nil"/>
              <w:bottom w:val="single" w:sz="4" w:space="0" w:color="auto"/>
              <w:right w:val="single" w:sz="4" w:space="0" w:color="auto"/>
            </w:tcBorders>
            <w:shd w:val="clear" w:color="000000" w:fill="FF9900"/>
            <w:noWrap/>
            <w:vAlign w:val="center"/>
            <w:hideMark/>
          </w:tcPr>
          <w:p w14:paraId="61059428" w14:textId="77777777" w:rsidR="005E671C" w:rsidRPr="005E671C" w:rsidRDefault="005E671C" w:rsidP="005E671C">
            <w:pPr>
              <w:spacing w:after="0" w:line="240" w:lineRule="auto"/>
              <w:jc w:val="center"/>
              <w:rPr>
                <w:rFonts w:ascii="Tahoma" w:eastAsia="Times New Roman" w:hAnsi="Tahoma" w:cs="Tahoma"/>
                <w:sz w:val="20"/>
                <w:szCs w:val="20"/>
                <w:lang w:eastAsia="hr-HR"/>
              </w:rPr>
            </w:pPr>
            <w:r w:rsidRPr="005E671C">
              <w:rPr>
                <w:rFonts w:ascii="Tahoma" w:eastAsia="Times New Roman" w:hAnsi="Tahoma" w:cs="Tahoma"/>
                <w:sz w:val="20"/>
                <w:szCs w:val="20"/>
                <w:lang w:eastAsia="hr-HR"/>
              </w:rPr>
              <w:t>0</w:t>
            </w:r>
          </w:p>
        </w:tc>
        <w:tc>
          <w:tcPr>
            <w:tcW w:w="467" w:type="dxa"/>
            <w:tcBorders>
              <w:top w:val="nil"/>
              <w:left w:val="nil"/>
              <w:bottom w:val="single" w:sz="4" w:space="0" w:color="auto"/>
              <w:right w:val="single" w:sz="4" w:space="0" w:color="auto"/>
            </w:tcBorders>
            <w:shd w:val="clear" w:color="000000" w:fill="FF9900"/>
            <w:noWrap/>
            <w:vAlign w:val="center"/>
            <w:hideMark/>
          </w:tcPr>
          <w:p w14:paraId="2E11BDA4" w14:textId="77777777" w:rsidR="005E671C" w:rsidRPr="005E671C" w:rsidRDefault="005E671C" w:rsidP="005E671C">
            <w:pPr>
              <w:spacing w:after="0" w:line="240" w:lineRule="auto"/>
              <w:jc w:val="center"/>
              <w:rPr>
                <w:rFonts w:ascii="Tahoma" w:eastAsia="Times New Roman" w:hAnsi="Tahoma" w:cs="Tahoma"/>
                <w:sz w:val="20"/>
                <w:szCs w:val="20"/>
                <w:lang w:eastAsia="hr-HR"/>
              </w:rPr>
            </w:pPr>
            <w:r w:rsidRPr="005E671C">
              <w:rPr>
                <w:rFonts w:ascii="Tahoma" w:eastAsia="Times New Roman" w:hAnsi="Tahoma" w:cs="Tahoma"/>
                <w:sz w:val="20"/>
                <w:szCs w:val="20"/>
                <w:lang w:eastAsia="hr-HR"/>
              </w:rPr>
              <w:t>0</w:t>
            </w:r>
          </w:p>
        </w:tc>
        <w:tc>
          <w:tcPr>
            <w:tcW w:w="567" w:type="dxa"/>
            <w:tcBorders>
              <w:top w:val="nil"/>
              <w:left w:val="nil"/>
              <w:bottom w:val="single" w:sz="4" w:space="0" w:color="auto"/>
              <w:right w:val="single" w:sz="4" w:space="0" w:color="auto"/>
            </w:tcBorders>
            <w:shd w:val="clear" w:color="000000" w:fill="FFFF00"/>
            <w:vAlign w:val="center"/>
            <w:hideMark/>
          </w:tcPr>
          <w:p w14:paraId="79A500C2" w14:textId="77777777" w:rsidR="005E671C" w:rsidRPr="005E671C" w:rsidRDefault="005E671C" w:rsidP="005E671C">
            <w:pPr>
              <w:spacing w:after="0" w:line="240" w:lineRule="auto"/>
              <w:jc w:val="center"/>
              <w:rPr>
                <w:rFonts w:ascii="Tahoma" w:eastAsia="Times New Roman" w:hAnsi="Tahoma" w:cs="Tahoma"/>
                <w:sz w:val="20"/>
                <w:szCs w:val="20"/>
                <w:lang w:eastAsia="hr-HR"/>
              </w:rPr>
            </w:pPr>
            <w:r w:rsidRPr="005E671C">
              <w:rPr>
                <w:rFonts w:ascii="Tahoma" w:eastAsia="Times New Roman" w:hAnsi="Tahoma" w:cs="Tahoma"/>
                <w:sz w:val="20"/>
                <w:szCs w:val="20"/>
                <w:lang w:eastAsia="hr-HR"/>
              </w:rPr>
              <w:t>0</w:t>
            </w:r>
          </w:p>
        </w:tc>
        <w:tc>
          <w:tcPr>
            <w:tcW w:w="542" w:type="dxa"/>
            <w:tcBorders>
              <w:top w:val="nil"/>
              <w:left w:val="nil"/>
              <w:bottom w:val="single" w:sz="4" w:space="0" w:color="auto"/>
              <w:right w:val="single" w:sz="4" w:space="0" w:color="auto"/>
            </w:tcBorders>
            <w:shd w:val="clear" w:color="000000" w:fill="FF9900"/>
            <w:vAlign w:val="center"/>
            <w:hideMark/>
          </w:tcPr>
          <w:p w14:paraId="4A1B1DEB" w14:textId="77777777" w:rsidR="005E671C" w:rsidRPr="005E671C" w:rsidRDefault="005E671C" w:rsidP="005E671C">
            <w:pPr>
              <w:spacing w:after="0" w:line="240" w:lineRule="auto"/>
              <w:jc w:val="center"/>
              <w:rPr>
                <w:rFonts w:ascii="Tahoma" w:eastAsia="Times New Roman" w:hAnsi="Tahoma" w:cs="Tahoma"/>
                <w:sz w:val="20"/>
                <w:szCs w:val="20"/>
                <w:lang w:eastAsia="hr-HR"/>
              </w:rPr>
            </w:pPr>
            <w:r w:rsidRPr="005E671C">
              <w:rPr>
                <w:rFonts w:ascii="Tahoma" w:eastAsia="Times New Roman" w:hAnsi="Tahoma" w:cs="Tahoma"/>
                <w:sz w:val="20"/>
                <w:szCs w:val="20"/>
                <w:lang w:eastAsia="hr-HR"/>
              </w:rPr>
              <w:t>0</w:t>
            </w:r>
          </w:p>
        </w:tc>
        <w:tc>
          <w:tcPr>
            <w:tcW w:w="441" w:type="dxa"/>
            <w:tcBorders>
              <w:top w:val="nil"/>
              <w:left w:val="nil"/>
              <w:bottom w:val="single" w:sz="4" w:space="0" w:color="auto"/>
              <w:right w:val="single" w:sz="4" w:space="0" w:color="auto"/>
            </w:tcBorders>
            <w:shd w:val="clear" w:color="000000" w:fill="FF9900"/>
            <w:noWrap/>
            <w:vAlign w:val="center"/>
            <w:hideMark/>
          </w:tcPr>
          <w:p w14:paraId="0D579B90" w14:textId="77777777" w:rsidR="005E671C" w:rsidRPr="005E671C" w:rsidRDefault="005E671C" w:rsidP="005E671C">
            <w:pPr>
              <w:spacing w:after="0" w:line="240" w:lineRule="auto"/>
              <w:jc w:val="center"/>
              <w:rPr>
                <w:rFonts w:ascii="Tahoma" w:eastAsia="Times New Roman" w:hAnsi="Tahoma" w:cs="Tahoma"/>
                <w:sz w:val="20"/>
                <w:szCs w:val="20"/>
                <w:lang w:eastAsia="hr-HR"/>
              </w:rPr>
            </w:pPr>
            <w:r w:rsidRPr="005E671C">
              <w:rPr>
                <w:rFonts w:ascii="Tahoma" w:eastAsia="Times New Roman" w:hAnsi="Tahoma" w:cs="Tahoma"/>
                <w:sz w:val="20"/>
                <w:szCs w:val="20"/>
                <w:lang w:eastAsia="hr-HR"/>
              </w:rPr>
              <w:t>0</w:t>
            </w:r>
          </w:p>
        </w:tc>
        <w:tc>
          <w:tcPr>
            <w:tcW w:w="426" w:type="dxa"/>
            <w:tcBorders>
              <w:top w:val="nil"/>
              <w:left w:val="nil"/>
              <w:bottom w:val="single" w:sz="4" w:space="0" w:color="auto"/>
              <w:right w:val="single" w:sz="4" w:space="0" w:color="auto"/>
            </w:tcBorders>
            <w:shd w:val="clear" w:color="000000" w:fill="FF9900"/>
            <w:noWrap/>
            <w:vAlign w:val="center"/>
            <w:hideMark/>
          </w:tcPr>
          <w:p w14:paraId="74F798F5" w14:textId="77777777" w:rsidR="005E671C" w:rsidRPr="005E671C" w:rsidRDefault="005E671C" w:rsidP="005E671C">
            <w:pPr>
              <w:spacing w:after="0" w:line="240" w:lineRule="auto"/>
              <w:jc w:val="center"/>
              <w:rPr>
                <w:rFonts w:ascii="Tahoma" w:eastAsia="Times New Roman" w:hAnsi="Tahoma" w:cs="Tahoma"/>
                <w:sz w:val="20"/>
                <w:szCs w:val="20"/>
                <w:lang w:eastAsia="hr-HR"/>
              </w:rPr>
            </w:pPr>
            <w:r w:rsidRPr="005E671C">
              <w:rPr>
                <w:rFonts w:ascii="Tahoma" w:eastAsia="Times New Roman" w:hAnsi="Tahoma" w:cs="Tahoma"/>
                <w:sz w:val="20"/>
                <w:szCs w:val="20"/>
                <w:lang w:eastAsia="hr-HR"/>
              </w:rPr>
              <w:t>0</w:t>
            </w:r>
          </w:p>
        </w:tc>
        <w:tc>
          <w:tcPr>
            <w:tcW w:w="854" w:type="dxa"/>
            <w:tcBorders>
              <w:top w:val="nil"/>
              <w:left w:val="nil"/>
              <w:bottom w:val="single" w:sz="4" w:space="0" w:color="auto"/>
              <w:right w:val="single" w:sz="4" w:space="0" w:color="auto"/>
            </w:tcBorders>
            <w:shd w:val="clear" w:color="000000" w:fill="FF9900"/>
            <w:noWrap/>
            <w:vAlign w:val="center"/>
            <w:hideMark/>
          </w:tcPr>
          <w:p w14:paraId="59B3F14E" w14:textId="77777777" w:rsidR="005E671C" w:rsidRPr="005E671C" w:rsidRDefault="005E671C" w:rsidP="005E671C">
            <w:pPr>
              <w:spacing w:after="0" w:line="240" w:lineRule="auto"/>
              <w:jc w:val="center"/>
              <w:rPr>
                <w:rFonts w:ascii="Tahoma" w:eastAsia="Times New Roman" w:hAnsi="Tahoma" w:cs="Tahoma"/>
                <w:sz w:val="20"/>
                <w:szCs w:val="20"/>
                <w:lang w:eastAsia="hr-HR"/>
              </w:rPr>
            </w:pPr>
            <w:r w:rsidRPr="005E671C">
              <w:rPr>
                <w:rFonts w:ascii="Tahoma" w:eastAsia="Times New Roman" w:hAnsi="Tahoma" w:cs="Tahoma"/>
                <w:sz w:val="20"/>
                <w:szCs w:val="20"/>
                <w:lang w:eastAsia="hr-HR"/>
              </w:rPr>
              <w:t>0</w:t>
            </w:r>
          </w:p>
        </w:tc>
        <w:tc>
          <w:tcPr>
            <w:tcW w:w="440" w:type="dxa"/>
            <w:tcBorders>
              <w:top w:val="nil"/>
              <w:left w:val="nil"/>
              <w:bottom w:val="single" w:sz="4" w:space="0" w:color="auto"/>
              <w:right w:val="single" w:sz="4" w:space="0" w:color="auto"/>
            </w:tcBorders>
            <w:shd w:val="clear" w:color="000000" w:fill="CCFFFF"/>
            <w:noWrap/>
            <w:vAlign w:val="center"/>
            <w:hideMark/>
          </w:tcPr>
          <w:p w14:paraId="673D1261" w14:textId="77777777" w:rsidR="005E671C" w:rsidRPr="005E671C" w:rsidRDefault="005E671C" w:rsidP="005E671C">
            <w:pPr>
              <w:spacing w:after="0" w:line="240" w:lineRule="auto"/>
              <w:jc w:val="center"/>
              <w:rPr>
                <w:rFonts w:ascii="Tahoma" w:eastAsia="Times New Roman" w:hAnsi="Tahoma" w:cs="Tahoma"/>
                <w:sz w:val="20"/>
                <w:szCs w:val="20"/>
                <w:lang w:eastAsia="hr-HR"/>
              </w:rPr>
            </w:pPr>
            <w:r w:rsidRPr="005E671C">
              <w:rPr>
                <w:rFonts w:ascii="Tahoma" w:eastAsia="Times New Roman" w:hAnsi="Tahoma" w:cs="Tahoma"/>
                <w:sz w:val="20"/>
                <w:szCs w:val="20"/>
                <w:lang w:eastAsia="hr-HR"/>
              </w:rPr>
              <w:t>0</w:t>
            </w:r>
          </w:p>
        </w:tc>
        <w:tc>
          <w:tcPr>
            <w:tcW w:w="408" w:type="dxa"/>
            <w:tcBorders>
              <w:top w:val="nil"/>
              <w:left w:val="nil"/>
              <w:bottom w:val="single" w:sz="4" w:space="0" w:color="auto"/>
              <w:right w:val="single" w:sz="4" w:space="0" w:color="auto"/>
            </w:tcBorders>
            <w:shd w:val="clear" w:color="000000" w:fill="CCFFFF"/>
            <w:noWrap/>
            <w:vAlign w:val="center"/>
            <w:hideMark/>
          </w:tcPr>
          <w:p w14:paraId="2CF6F34C" w14:textId="77777777" w:rsidR="005E671C" w:rsidRPr="005E671C" w:rsidRDefault="005E671C" w:rsidP="005E671C">
            <w:pPr>
              <w:spacing w:after="0" w:line="240" w:lineRule="auto"/>
              <w:jc w:val="center"/>
              <w:rPr>
                <w:rFonts w:ascii="Tahoma" w:eastAsia="Times New Roman" w:hAnsi="Tahoma" w:cs="Tahoma"/>
                <w:sz w:val="20"/>
                <w:szCs w:val="20"/>
                <w:lang w:eastAsia="hr-HR"/>
              </w:rPr>
            </w:pPr>
            <w:r w:rsidRPr="005E671C">
              <w:rPr>
                <w:rFonts w:ascii="Tahoma" w:eastAsia="Times New Roman" w:hAnsi="Tahoma" w:cs="Tahoma"/>
                <w:sz w:val="20"/>
                <w:szCs w:val="20"/>
                <w:lang w:eastAsia="hr-HR"/>
              </w:rPr>
              <w:t>0</w:t>
            </w:r>
          </w:p>
        </w:tc>
        <w:tc>
          <w:tcPr>
            <w:tcW w:w="433" w:type="dxa"/>
            <w:tcBorders>
              <w:top w:val="nil"/>
              <w:left w:val="nil"/>
              <w:bottom w:val="single" w:sz="4" w:space="0" w:color="auto"/>
              <w:right w:val="single" w:sz="4" w:space="0" w:color="auto"/>
            </w:tcBorders>
            <w:shd w:val="clear" w:color="000000" w:fill="CCFFFF"/>
            <w:noWrap/>
            <w:vAlign w:val="center"/>
            <w:hideMark/>
          </w:tcPr>
          <w:p w14:paraId="18E07F35" w14:textId="77777777" w:rsidR="005E671C" w:rsidRPr="005E671C" w:rsidRDefault="005E671C" w:rsidP="005E671C">
            <w:pPr>
              <w:spacing w:after="0" w:line="240" w:lineRule="auto"/>
              <w:jc w:val="center"/>
              <w:rPr>
                <w:rFonts w:ascii="Tahoma" w:eastAsia="Times New Roman" w:hAnsi="Tahoma" w:cs="Tahoma"/>
                <w:sz w:val="20"/>
                <w:szCs w:val="20"/>
                <w:lang w:eastAsia="hr-HR"/>
              </w:rPr>
            </w:pPr>
            <w:r w:rsidRPr="005E671C">
              <w:rPr>
                <w:rFonts w:ascii="Tahoma" w:eastAsia="Times New Roman" w:hAnsi="Tahoma" w:cs="Tahoma"/>
                <w:sz w:val="20"/>
                <w:szCs w:val="20"/>
                <w:lang w:eastAsia="hr-HR"/>
              </w:rPr>
              <w:t>0</w:t>
            </w:r>
          </w:p>
        </w:tc>
        <w:tc>
          <w:tcPr>
            <w:tcW w:w="425" w:type="dxa"/>
            <w:tcBorders>
              <w:top w:val="nil"/>
              <w:left w:val="nil"/>
              <w:bottom w:val="single" w:sz="4" w:space="0" w:color="auto"/>
              <w:right w:val="single" w:sz="8" w:space="0" w:color="auto"/>
            </w:tcBorders>
            <w:shd w:val="clear" w:color="000000" w:fill="33CCCC"/>
            <w:noWrap/>
            <w:vAlign w:val="center"/>
            <w:hideMark/>
          </w:tcPr>
          <w:p w14:paraId="777CCA80" w14:textId="77777777" w:rsidR="005E671C" w:rsidRPr="005E671C" w:rsidRDefault="005E671C" w:rsidP="005E671C">
            <w:pPr>
              <w:spacing w:after="0" w:line="240" w:lineRule="auto"/>
              <w:jc w:val="center"/>
              <w:rPr>
                <w:rFonts w:ascii="Tahoma" w:eastAsia="Times New Roman" w:hAnsi="Tahoma" w:cs="Tahoma"/>
                <w:sz w:val="20"/>
                <w:szCs w:val="20"/>
                <w:lang w:eastAsia="hr-HR"/>
              </w:rPr>
            </w:pPr>
            <w:r w:rsidRPr="005E671C">
              <w:rPr>
                <w:rFonts w:ascii="Tahoma" w:eastAsia="Times New Roman" w:hAnsi="Tahoma" w:cs="Tahoma"/>
                <w:sz w:val="20"/>
                <w:szCs w:val="20"/>
                <w:lang w:eastAsia="hr-HR"/>
              </w:rPr>
              <w:t>0</w:t>
            </w:r>
          </w:p>
        </w:tc>
        <w:tc>
          <w:tcPr>
            <w:tcW w:w="567" w:type="dxa"/>
            <w:tcBorders>
              <w:top w:val="nil"/>
              <w:left w:val="single" w:sz="4" w:space="0" w:color="auto"/>
              <w:bottom w:val="single" w:sz="4" w:space="0" w:color="auto"/>
              <w:right w:val="single" w:sz="8" w:space="0" w:color="auto"/>
            </w:tcBorders>
            <w:shd w:val="clear" w:color="000000" w:fill="33CCCC"/>
            <w:noWrap/>
            <w:vAlign w:val="center"/>
            <w:hideMark/>
          </w:tcPr>
          <w:p w14:paraId="09717DD3" w14:textId="77777777" w:rsidR="005E671C" w:rsidRPr="005E671C" w:rsidRDefault="005E671C" w:rsidP="005E671C">
            <w:pPr>
              <w:spacing w:after="0" w:line="240" w:lineRule="auto"/>
              <w:jc w:val="center"/>
              <w:rPr>
                <w:rFonts w:ascii="Tahoma" w:eastAsia="Times New Roman" w:hAnsi="Tahoma" w:cs="Tahoma"/>
                <w:sz w:val="20"/>
                <w:szCs w:val="20"/>
                <w:lang w:eastAsia="hr-HR"/>
              </w:rPr>
            </w:pPr>
            <w:r w:rsidRPr="005E671C">
              <w:rPr>
                <w:rFonts w:ascii="Tahoma" w:eastAsia="Times New Roman" w:hAnsi="Tahoma" w:cs="Tahoma"/>
                <w:sz w:val="20"/>
                <w:szCs w:val="20"/>
                <w:lang w:eastAsia="hr-HR"/>
              </w:rPr>
              <w:t>0</w:t>
            </w:r>
          </w:p>
        </w:tc>
        <w:tc>
          <w:tcPr>
            <w:tcW w:w="237" w:type="dxa"/>
            <w:gridSpan w:val="2"/>
            <w:vAlign w:val="center"/>
            <w:hideMark/>
          </w:tcPr>
          <w:p w14:paraId="61F4BBBA" w14:textId="77777777" w:rsidR="005E671C" w:rsidRPr="005E671C" w:rsidRDefault="005E671C" w:rsidP="005E671C">
            <w:pPr>
              <w:spacing w:after="0" w:line="240" w:lineRule="auto"/>
              <w:rPr>
                <w:rFonts w:ascii="Times New Roman" w:eastAsia="Times New Roman" w:hAnsi="Times New Roman" w:cs="Times New Roman"/>
                <w:sz w:val="20"/>
                <w:szCs w:val="20"/>
                <w:lang w:eastAsia="hr-HR"/>
              </w:rPr>
            </w:pPr>
          </w:p>
        </w:tc>
      </w:tr>
      <w:tr w:rsidR="005E671C" w:rsidRPr="005E671C" w14:paraId="4B72FE91" w14:textId="77777777" w:rsidTr="001752B7">
        <w:trPr>
          <w:gridAfter w:val="1"/>
          <w:wAfter w:w="51" w:type="dxa"/>
          <w:trHeight w:val="300"/>
        </w:trPr>
        <w:tc>
          <w:tcPr>
            <w:tcW w:w="1550" w:type="dxa"/>
            <w:tcBorders>
              <w:top w:val="single" w:sz="4" w:space="0" w:color="auto"/>
              <w:left w:val="single" w:sz="8" w:space="0" w:color="auto"/>
              <w:bottom w:val="single" w:sz="4" w:space="0" w:color="auto"/>
              <w:right w:val="single" w:sz="4" w:space="0" w:color="000000"/>
            </w:tcBorders>
            <w:shd w:val="clear" w:color="000000" w:fill="CCFFCC"/>
            <w:vAlign w:val="center"/>
            <w:hideMark/>
          </w:tcPr>
          <w:p w14:paraId="21F525E9" w14:textId="77777777" w:rsidR="005E671C" w:rsidRPr="005E671C" w:rsidRDefault="005E671C" w:rsidP="005E671C">
            <w:pPr>
              <w:spacing w:after="0" w:line="240" w:lineRule="auto"/>
              <w:jc w:val="center"/>
              <w:rPr>
                <w:rFonts w:ascii="Tahoma" w:eastAsia="Times New Roman" w:hAnsi="Tahoma" w:cs="Tahoma"/>
                <w:b/>
                <w:bCs/>
                <w:sz w:val="20"/>
                <w:szCs w:val="20"/>
                <w:lang w:eastAsia="hr-HR"/>
              </w:rPr>
            </w:pPr>
            <w:r w:rsidRPr="005E671C">
              <w:rPr>
                <w:rFonts w:ascii="Tahoma" w:eastAsia="Times New Roman" w:hAnsi="Tahoma" w:cs="Tahoma"/>
                <w:b/>
                <w:bCs/>
                <w:sz w:val="20"/>
                <w:szCs w:val="20"/>
                <w:lang w:eastAsia="hr-HR"/>
              </w:rPr>
              <w:t>Ukupno</w:t>
            </w:r>
          </w:p>
        </w:tc>
        <w:tc>
          <w:tcPr>
            <w:tcW w:w="669" w:type="dxa"/>
            <w:tcBorders>
              <w:top w:val="nil"/>
              <w:left w:val="nil"/>
              <w:bottom w:val="single" w:sz="4" w:space="0" w:color="auto"/>
              <w:right w:val="single" w:sz="4" w:space="0" w:color="auto"/>
            </w:tcBorders>
            <w:shd w:val="clear" w:color="000000" w:fill="FFFF00"/>
            <w:noWrap/>
            <w:vAlign w:val="center"/>
            <w:hideMark/>
          </w:tcPr>
          <w:p w14:paraId="54BC2CDE" w14:textId="77777777" w:rsidR="005E671C" w:rsidRPr="005E671C" w:rsidRDefault="005E671C" w:rsidP="005E671C">
            <w:pPr>
              <w:spacing w:after="0" w:line="240" w:lineRule="auto"/>
              <w:jc w:val="center"/>
              <w:rPr>
                <w:rFonts w:ascii="Tahoma" w:eastAsia="Times New Roman" w:hAnsi="Tahoma" w:cs="Tahoma"/>
                <w:sz w:val="20"/>
                <w:szCs w:val="20"/>
                <w:lang w:eastAsia="hr-HR"/>
              </w:rPr>
            </w:pPr>
            <w:r w:rsidRPr="005E671C">
              <w:rPr>
                <w:rFonts w:ascii="Tahoma" w:eastAsia="Times New Roman" w:hAnsi="Tahoma" w:cs="Tahoma"/>
                <w:sz w:val="20"/>
                <w:szCs w:val="20"/>
                <w:lang w:eastAsia="hr-HR"/>
              </w:rPr>
              <w:t>126</w:t>
            </w:r>
          </w:p>
        </w:tc>
        <w:tc>
          <w:tcPr>
            <w:tcW w:w="352" w:type="dxa"/>
            <w:tcBorders>
              <w:top w:val="nil"/>
              <w:left w:val="nil"/>
              <w:bottom w:val="single" w:sz="4" w:space="0" w:color="auto"/>
              <w:right w:val="single" w:sz="4" w:space="0" w:color="auto"/>
            </w:tcBorders>
            <w:shd w:val="clear" w:color="000000" w:fill="FFFF00"/>
            <w:noWrap/>
            <w:vAlign w:val="center"/>
            <w:hideMark/>
          </w:tcPr>
          <w:p w14:paraId="52121697" w14:textId="77777777" w:rsidR="005E671C" w:rsidRPr="005E671C" w:rsidRDefault="005E671C" w:rsidP="005E671C">
            <w:pPr>
              <w:spacing w:after="0" w:line="240" w:lineRule="auto"/>
              <w:jc w:val="center"/>
              <w:rPr>
                <w:rFonts w:ascii="Tahoma" w:eastAsia="Times New Roman" w:hAnsi="Tahoma" w:cs="Tahoma"/>
                <w:sz w:val="20"/>
                <w:szCs w:val="20"/>
                <w:lang w:eastAsia="hr-HR"/>
              </w:rPr>
            </w:pPr>
            <w:r w:rsidRPr="005E671C">
              <w:rPr>
                <w:rFonts w:ascii="Tahoma" w:eastAsia="Times New Roman" w:hAnsi="Tahoma" w:cs="Tahoma"/>
                <w:sz w:val="20"/>
                <w:szCs w:val="20"/>
                <w:lang w:eastAsia="hr-HR"/>
              </w:rPr>
              <w:t>93</w:t>
            </w:r>
          </w:p>
        </w:tc>
        <w:tc>
          <w:tcPr>
            <w:tcW w:w="574" w:type="dxa"/>
            <w:tcBorders>
              <w:top w:val="nil"/>
              <w:left w:val="nil"/>
              <w:bottom w:val="single" w:sz="4" w:space="0" w:color="auto"/>
              <w:right w:val="single" w:sz="4" w:space="0" w:color="auto"/>
            </w:tcBorders>
            <w:shd w:val="clear" w:color="000000" w:fill="FFFF00"/>
            <w:noWrap/>
            <w:vAlign w:val="center"/>
            <w:hideMark/>
          </w:tcPr>
          <w:p w14:paraId="1AF985CF" w14:textId="77777777" w:rsidR="005E671C" w:rsidRPr="005E671C" w:rsidRDefault="005E671C" w:rsidP="005E671C">
            <w:pPr>
              <w:spacing w:after="0" w:line="240" w:lineRule="auto"/>
              <w:jc w:val="center"/>
              <w:rPr>
                <w:rFonts w:ascii="Tahoma" w:eastAsia="Times New Roman" w:hAnsi="Tahoma" w:cs="Tahoma"/>
                <w:sz w:val="20"/>
                <w:szCs w:val="20"/>
                <w:lang w:eastAsia="hr-HR"/>
              </w:rPr>
            </w:pPr>
            <w:r w:rsidRPr="005E671C">
              <w:rPr>
                <w:rFonts w:ascii="Tahoma" w:eastAsia="Times New Roman" w:hAnsi="Tahoma" w:cs="Tahoma"/>
                <w:sz w:val="20"/>
                <w:szCs w:val="20"/>
                <w:lang w:eastAsia="hr-HR"/>
              </w:rPr>
              <w:t>44</w:t>
            </w:r>
          </w:p>
        </w:tc>
        <w:tc>
          <w:tcPr>
            <w:tcW w:w="440" w:type="dxa"/>
            <w:tcBorders>
              <w:top w:val="nil"/>
              <w:left w:val="nil"/>
              <w:bottom w:val="single" w:sz="4" w:space="0" w:color="auto"/>
              <w:right w:val="single" w:sz="4" w:space="0" w:color="auto"/>
            </w:tcBorders>
            <w:shd w:val="clear" w:color="000000" w:fill="FFFF00"/>
            <w:noWrap/>
            <w:vAlign w:val="center"/>
            <w:hideMark/>
          </w:tcPr>
          <w:p w14:paraId="718F1FB4" w14:textId="77777777" w:rsidR="005E671C" w:rsidRPr="005E671C" w:rsidRDefault="005E671C" w:rsidP="005E671C">
            <w:pPr>
              <w:spacing w:after="0" w:line="240" w:lineRule="auto"/>
              <w:jc w:val="center"/>
              <w:rPr>
                <w:rFonts w:ascii="Tahoma" w:eastAsia="Times New Roman" w:hAnsi="Tahoma" w:cs="Tahoma"/>
                <w:sz w:val="20"/>
                <w:szCs w:val="20"/>
                <w:lang w:eastAsia="hr-HR"/>
              </w:rPr>
            </w:pPr>
            <w:r w:rsidRPr="005E671C">
              <w:rPr>
                <w:rFonts w:ascii="Tahoma" w:eastAsia="Times New Roman" w:hAnsi="Tahoma" w:cs="Tahoma"/>
                <w:sz w:val="20"/>
                <w:szCs w:val="20"/>
                <w:lang w:eastAsia="hr-HR"/>
              </w:rPr>
              <w:t>81</w:t>
            </w:r>
          </w:p>
        </w:tc>
        <w:tc>
          <w:tcPr>
            <w:tcW w:w="700" w:type="dxa"/>
            <w:tcBorders>
              <w:top w:val="nil"/>
              <w:left w:val="nil"/>
              <w:bottom w:val="single" w:sz="4" w:space="0" w:color="auto"/>
              <w:right w:val="single" w:sz="4" w:space="0" w:color="auto"/>
            </w:tcBorders>
            <w:shd w:val="clear" w:color="000000" w:fill="FFFF00"/>
            <w:noWrap/>
            <w:vAlign w:val="center"/>
            <w:hideMark/>
          </w:tcPr>
          <w:p w14:paraId="1AC01D80" w14:textId="77777777" w:rsidR="005E671C" w:rsidRPr="005E671C" w:rsidRDefault="005E671C" w:rsidP="005E671C">
            <w:pPr>
              <w:spacing w:after="0" w:line="240" w:lineRule="auto"/>
              <w:jc w:val="center"/>
              <w:rPr>
                <w:rFonts w:ascii="Tahoma" w:eastAsia="Times New Roman" w:hAnsi="Tahoma" w:cs="Tahoma"/>
                <w:sz w:val="20"/>
                <w:szCs w:val="20"/>
                <w:lang w:eastAsia="hr-HR"/>
              </w:rPr>
            </w:pPr>
            <w:r w:rsidRPr="005E671C">
              <w:rPr>
                <w:rFonts w:ascii="Tahoma" w:eastAsia="Times New Roman" w:hAnsi="Tahoma" w:cs="Tahoma"/>
                <w:sz w:val="20"/>
                <w:szCs w:val="20"/>
                <w:lang w:eastAsia="hr-HR"/>
              </w:rPr>
              <w:t>32</w:t>
            </w:r>
          </w:p>
        </w:tc>
        <w:tc>
          <w:tcPr>
            <w:tcW w:w="698" w:type="dxa"/>
            <w:tcBorders>
              <w:top w:val="nil"/>
              <w:left w:val="nil"/>
              <w:bottom w:val="single" w:sz="4" w:space="0" w:color="auto"/>
              <w:right w:val="single" w:sz="4" w:space="0" w:color="auto"/>
            </w:tcBorders>
            <w:shd w:val="clear" w:color="000000" w:fill="FFFF00"/>
            <w:noWrap/>
            <w:vAlign w:val="center"/>
            <w:hideMark/>
          </w:tcPr>
          <w:p w14:paraId="57387A8F" w14:textId="77777777" w:rsidR="005E671C" w:rsidRPr="005E671C" w:rsidRDefault="005E671C" w:rsidP="005E671C">
            <w:pPr>
              <w:spacing w:after="0" w:line="240" w:lineRule="auto"/>
              <w:jc w:val="center"/>
              <w:rPr>
                <w:rFonts w:ascii="Tahoma" w:eastAsia="Times New Roman" w:hAnsi="Tahoma" w:cs="Tahoma"/>
                <w:sz w:val="20"/>
                <w:szCs w:val="20"/>
                <w:lang w:eastAsia="hr-HR"/>
              </w:rPr>
            </w:pPr>
            <w:r w:rsidRPr="005E671C">
              <w:rPr>
                <w:rFonts w:ascii="Tahoma" w:eastAsia="Times New Roman" w:hAnsi="Tahoma" w:cs="Tahoma"/>
                <w:sz w:val="20"/>
                <w:szCs w:val="20"/>
                <w:lang w:eastAsia="hr-HR"/>
              </w:rPr>
              <w:t>11</w:t>
            </w:r>
          </w:p>
        </w:tc>
        <w:tc>
          <w:tcPr>
            <w:tcW w:w="698" w:type="dxa"/>
            <w:tcBorders>
              <w:top w:val="nil"/>
              <w:left w:val="nil"/>
              <w:bottom w:val="single" w:sz="4" w:space="0" w:color="auto"/>
              <w:right w:val="single" w:sz="4" w:space="0" w:color="auto"/>
            </w:tcBorders>
            <w:shd w:val="clear" w:color="000000" w:fill="FFFF00"/>
            <w:noWrap/>
            <w:vAlign w:val="center"/>
            <w:hideMark/>
          </w:tcPr>
          <w:p w14:paraId="2CC2AF98" w14:textId="77777777" w:rsidR="005E671C" w:rsidRPr="005E671C" w:rsidRDefault="005E671C" w:rsidP="005E671C">
            <w:pPr>
              <w:spacing w:after="0" w:line="240" w:lineRule="auto"/>
              <w:jc w:val="center"/>
              <w:rPr>
                <w:rFonts w:ascii="Tahoma" w:eastAsia="Times New Roman" w:hAnsi="Tahoma" w:cs="Tahoma"/>
                <w:sz w:val="20"/>
                <w:szCs w:val="20"/>
                <w:lang w:eastAsia="hr-HR"/>
              </w:rPr>
            </w:pPr>
            <w:r w:rsidRPr="005E671C">
              <w:rPr>
                <w:rFonts w:ascii="Tahoma" w:eastAsia="Times New Roman" w:hAnsi="Tahoma" w:cs="Tahoma"/>
                <w:sz w:val="20"/>
                <w:szCs w:val="20"/>
                <w:lang w:eastAsia="hr-HR"/>
              </w:rPr>
              <w:t>64</w:t>
            </w:r>
          </w:p>
        </w:tc>
        <w:tc>
          <w:tcPr>
            <w:tcW w:w="698" w:type="dxa"/>
            <w:tcBorders>
              <w:top w:val="nil"/>
              <w:left w:val="nil"/>
              <w:bottom w:val="single" w:sz="4" w:space="0" w:color="auto"/>
              <w:right w:val="single" w:sz="4" w:space="0" w:color="auto"/>
            </w:tcBorders>
            <w:shd w:val="clear" w:color="000000" w:fill="FFFF00"/>
            <w:noWrap/>
            <w:vAlign w:val="center"/>
            <w:hideMark/>
          </w:tcPr>
          <w:p w14:paraId="43D7266C" w14:textId="77777777" w:rsidR="005E671C" w:rsidRPr="005E671C" w:rsidRDefault="005E671C" w:rsidP="005E671C">
            <w:pPr>
              <w:spacing w:after="0" w:line="240" w:lineRule="auto"/>
              <w:jc w:val="center"/>
              <w:rPr>
                <w:rFonts w:ascii="Tahoma" w:eastAsia="Times New Roman" w:hAnsi="Tahoma" w:cs="Tahoma"/>
                <w:sz w:val="20"/>
                <w:szCs w:val="20"/>
                <w:lang w:eastAsia="hr-HR"/>
              </w:rPr>
            </w:pPr>
            <w:r w:rsidRPr="005E671C">
              <w:rPr>
                <w:rFonts w:ascii="Tahoma" w:eastAsia="Times New Roman" w:hAnsi="Tahoma" w:cs="Tahoma"/>
                <w:sz w:val="20"/>
                <w:szCs w:val="20"/>
                <w:lang w:eastAsia="hr-HR"/>
              </w:rPr>
              <w:t>2</w:t>
            </w:r>
          </w:p>
        </w:tc>
        <w:tc>
          <w:tcPr>
            <w:tcW w:w="698" w:type="dxa"/>
            <w:tcBorders>
              <w:top w:val="nil"/>
              <w:left w:val="nil"/>
              <w:bottom w:val="single" w:sz="4" w:space="0" w:color="auto"/>
              <w:right w:val="single" w:sz="4" w:space="0" w:color="auto"/>
            </w:tcBorders>
            <w:shd w:val="clear" w:color="000000" w:fill="FFFF00"/>
            <w:noWrap/>
            <w:vAlign w:val="center"/>
            <w:hideMark/>
          </w:tcPr>
          <w:p w14:paraId="2FE9CCA9" w14:textId="77777777" w:rsidR="005E671C" w:rsidRPr="005E671C" w:rsidRDefault="005E671C" w:rsidP="005E671C">
            <w:pPr>
              <w:spacing w:after="0" w:line="240" w:lineRule="auto"/>
              <w:jc w:val="center"/>
              <w:rPr>
                <w:rFonts w:ascii="Tahoma" w:eastAsia="Times New Roman" w:hAnsi="Tahoma" w:cs="Tahoma"/>
                <w:sz w:val="20"/>
                <w:szCs w:val="20"/>
                <w:lang w:eastAsia="hr-HR"/>
              </w:rPr>
            </w:pPr>
            <w:r w:rsidRPr="005E671C">
              <w:rPr>
                <w:rFonts w:ascii="Tahoma" w:eastAsia="Times New Roman" w:hAnsi="Tahoma" w:cs="Tahoma"/>
                <w:sz w:val="20"/>
                <w:szCs w:val="20"/>
                <w:lang w:eastAsia="hr-HR"/>
              </w:rPr>
              <w:t>0</w:t>
            </w:r>
          </w:p>
        </w:tc>
        <w:tc>
          <w:tcPr>
            <w:tcW w:w="698" w:type="dxa"/>
            <w:tcBorders>
              <w:top w:val="nil"/>
              <w:left w:val="nil"/>
              <w:bottom w:val="single" w:sz="4" w:space="0" w:color="auto"/>
              <w:right w:val="single" w:sz="4" w:space="0" w:color="auto"/>
            </w:tcBorders>
            <w:shd w:val="clear" w:color="000000" w:fill="FFFF00"/>
            <w:noWrap/>
            <w:vAlign w:val="center"/>
            <w:hideMark/>
          </w:tcPr>
          <w:p w14:paraId="375D378D" w14:textId="77777777" w:rsidR="005E671C" w:rsidRPr="005E671C" w:rsidRDefault="005E671C" w:rsidP="005E671C">
            <w:pPr>
              <w:spacing w:after="0" w:line="240" w:lineRule="auto"/>
              <w:jc w:val="center"/>
              <w:rPr>
                <w:rFonts w:ascii="Tahoma" w:eastAsia="Times New Roman" w:hAnsi="Tahoma" w:cs="Tahoma"/>
                <w:sz w:val="20"/>
                <w:szCs w:val="20"/>
                <w:lang w:eastAsia="hr-HR"/>
              </w:rPr>
            </w:pPr>
            <w:r w:rsidRPr="005E671C">
              <w:rPr>
                <w:rFonts w:ascii="Tahoma" w:eastAsia="Times New Roman" w:hAnsi="Tahoma" w:cs="Tahoma"/>
                <w:sz w:val="20"/>
                <w:szCs w:val="20"/>
                <w:lang w:eastAsia="hr-HR"/>
              </w:rPr>
              <w:t>5</w:t>
            </w:r>
          </w:p>
        </w:tc>
        <w:tc>
          <w:tcPr>
            <w:tcW w:w="493" w:type="dxa"/>
            <w:tcBorders>
              <w:top w:val="nil"/>
              <w:left w:val="nil"/>
              <w:bottom w:val="single" w:sz="4" w:space="0" w:color="auto"/>
              <w:right w:val="single" w:sz="4" w:space="0" w:color="auto"/>
            </w:tcBorders>
            <w:shd w:val="clear" w:color="000000" w:fill="FFFF00"/>
            <w:noWrap/>
            <w:vAlign w:val="center"/>
            <w:hideMark/>
          </w:tcPr>
          <w:p w14:paraId="0E28F2FE" w14:textId="77777777" w:rsidR="005E671C" w:rsidRPr="005E671C" w:rsidRDefault="005E671C" w:rsidP="005E671C">
            <w:pPr>
              <w:spacing w:after="0" w:line="240" w:lineRule="auto"/>
              <w:jc w:val="center"/>
              <w:rPr>
                <w:rFonts w:ascii="Tahoma" w:eastAsia="Times New Roman" w:hAnsi="Tahoma" w:cs="Tahoma"/>
                <w:sz w:val="20"/>
                <w:szCs w:val="20"/>
                <w:lang w:eastAsia="hr-HR"/>
              </w:rPr>
            </w:pPr>
            <w:r w:rsidRPr="005E671C">
              <w:rPr>
                <w:rFonts w:ascii="Tahoma" w:eastAsia="Times New Roman" w:hAnsi="Tahoma" w:cs="Tahoma"/>
                <w:sz w:val="20"/>
                <w:szCs w:val="20"/>
                <w:lang w:eastAsia="hr-HR"/>
              </w:rPr>
              <w:t>7</w:t>
            </w:r>
          </w:p>
        </w:tc>
        <w:tc>
          <w:tcPr>
            <w:tcW w:w="469" w:type="dxa"/>
            <w:tcBorders>
              <w:top w:val="nil"/>
              <w:left w:val="nil"/>
              <w:bottom w:val="single" w:sz="4" w:space="0" w:color="auto"/>
              <w:right w:val="single" w:sz="4" w:space="0" w:color="auto"/>
            </w:tcBorders>
            <w:shd w:val="clear" w:color="000000" w:fill="FFFF00"/>
            <w:noWrap/>
            <w:vAlign w:val="center"/>
            <w:hideMark/>
          </w:tcPr>
          <w:p w14:paraId="53FEBAC9" w14:textId="77777777" w:rsidR="005E671C" w:rsidRPr="005E671C" w:rsidRDefault="005E671C" w:rsidP="005E671C">
            <w:pPr>
              <w:spacing w:after="0" w:line="240" w:lineRule="auto"/>
              <w:jc w:val="center"/>
              <w:rPr>
                <w:rFonts w:ascii="Tahoma" w:eastAsia="Times New Roman" w:hAnsi="Tahoma" w:cs="Tahoma"/>
                <w:sz w:val="20"/>
                <w:szCs w:val="20"/>
                <w:lang w:eastAsia="hr-HR"/>
              </w:rPr>
            </w:pPr>
            <w:r w:rsidRPr="005E671C">
              <w:rPr>
                <w:rFonts w:ascii="Tahoma" w:eastAsia="Times New Roman" w:hAnsi="Tahoma" w:cs="Tahoma"/>
                <w:sz w:val="20"/>
                <w:szCs w:val="20"/>
                <w:lang w:eastAsia="hr-HR"/>
              </w:rPr>
              <w:t>16</w:t>
            </w:r>
          </w:p>
        </w:tc>
        <w:tc>
          <w:tcPr>
            <w:tcW w:w="467" w:type="dxa"/>
            <w:tcBorders>
              <w:top w:val="nil"/>
              <w:left w:val="nil"/>
              <w:bottom w:val="single" w:sz="4" w:space="0" w:color="auto"/>
              <w:right w:val="single" w:sz="4" w:space="0" w:color="auto"/>
            </w:tcBorders>
            <w:shd w:val="clear" w:color="000000" w:fill="FFFF00"/>
            <w:noWrap/>
            <w:vAlign w:val="center"/>
            <w:hideMark/>
          </w:tcPr>
          <w:p w14:paraId="6E5099EB" w14:textId="77777777" w:rsidR="005E671C" w:rsidRPr="005E671C" w:rsidRDefault="005E671C" w:rsidP="005E671C">
            <w:pPr>
              <w:spacing w:after="0" w:line="240" w:lineRule="auto"/>
              <w:jc w:val="center"/>
              <w:rPr>
                <w:rFonts w:ascii="Tahoma" w:eastAsia="Times New Roman" w:hAnsi="Tahoma" w:cs="Tahoma"/>
                <w:sz w:val="20"/>
                <w:szCs w:val="20"/>
                <w:lang w:eastAsia="hr-HR"/>
              </w:rPr>
            </w:pPr>
            <w:r w:rsidRPr="005E671C">
              <w:rPr>
                <w:rFonts w:ascii="Tahoma" w:eastAsia="Times New Roman" w:hAnsi="Tahoma" w:cs="Tahoma"/>
                <w:sz w:val="20"/>
                <w:szCs w:val="20"/>
                <w:lang w:eastAsia="hr-HR"/>
              </w:rPr>
              <w:t>50</w:t>
            </w:r>
          </w:p>
        </w:tc>
        <w:tc>
          <w:tcPr>
            <w:tcW w:w="567" w:type="dxa"/>
            <w:tcBorders>
              <w:top w:val="nil"/>
              <w:left w:val="nil"/>
              <w:bottom w:val="single" w:sz="4" w:space="0" w:color="auto"/>
              <w:right w:val="single" w:sz="4" w:space="0" w:color="auto"/>
            </w:tcBorders>
            <w:shd w:val="clear" w:color="000000" w:fill="FFFF00"/>
            <w:noWrap/>
            <w:vAlign w:val="center"/>
            <w:hideMark/>
          </w:tcPr>
          <w:p w14:paraId="252DB19A" w14:textId="77777777" w:rsidR="005E671C" w:rsidRPr="005E671C" w:rsidRDefault="005E671C" w:rsidP="005E671C">
            <w:pPr>
              <w:spacing w:after="0" w:line="240" w:lineRule="auto"/>
              <w:jc w:val="center"/>
              <w:rPr>
                <w:rFonts w:ascii="Tahoma" w:eastAsia="Times New Roman" w:hAnsi="Tahoma" w:cs="Tahoma"/>
                <w:sz w:val="20"/>
                <w:szCs w:val="20"/>
                <w:lang w:eastAsia="hr-HR"/>
              </w:rPr>
            </w:pPr>
            <w:r w:rsidRPr="005E671C">
              <w:rPr>
                <w:rFonts w:ascii="Tahoma" w:eastAsia="Times New Roman" w:hAnsi="Tahoma" w:cs="Tahoma"/>
                <w:sz w:val="20"/>
                <w:szCs w:val="20"/>
                <w:lang w:eastAsia="hr-HR"/>
              </w:rPr>
              <w:t>73</w:t>
            </w:r>
          </w:p>
        </w:tc>
        <w:tc>
          <w:tcPr>
            <w:tcW w:w="542" w:type="dxa"/>
            <w:tcBorders>
              <w:top w:val="nil"/>
              <w:left w:val="nil"/>
              <w:bottom w:val="single" w:sz="4" w:space="0" w:color="auto"/>
              <w:right w:val="single" w:sz="4" w:space="0" w:color="auto"/>
            </w:tcBorders>
            <w:shd w:val="clear" w:color="000000" w:fill="FFFF00"/>
            <w:noWrap/>
            <w:vAlign w:val="center"/>
            <w:hideMark/>
          </w:tcPr>
          <w:p w14:paraId="650323B4" w14:textId="77777777" w:rsidR="005E671C" w:rsidRPr="005E671C" w:rsidRDefault="005E671C" w:rsidP="005E671C">
            <w:pPr>
              <w:spacing w:after="0" w:line="240" w:lineRule="auto"/>
              <w:jc w:val="center"/>
              <w:rPr>
                <w:rFonts w:ascii="Tahoma" w:eastAsia="Times New Roman" w:hAnsi="Tahoma" w:cs="Tahoma"/>
                <w:sz w:val="20"/>
                <w:szCs w:val="20"/>
                <w:lang w:eastAsia="hr-HR"/>
              </w:rPr>
            </w:pPr>
            <w:r w:rsidRPr="005E671C">
              <w:rPr>
                <w:rFonts w:ascii="Tahoma" w:eastAsia="Times New Roman" w:hAnsi="Tahoma" w:cs="Tahoma"/>
                <w:sz w:val="20"/>
                <w:szCs w:val="20"/>
                <w:lang w:eastAsia="hr-HR"/>
              </w:rPr>
              <w:t>146</w:t>
            </w:r>
          </w:p>
        </w:tc>
        <w:tc>
          <w:tcPr>
            <w:tcW w:w="441" w:type="dxa"/>
            <w:tcBorders>
              <w:top w:val="nil"/>
              <w:left w:val="nil"/>
              <w:bottom w:val="single" w:sz="4" w:space="0" w:color="auto"/>
              <w:right w:val="single" w:sz="4" w:space="0" w:color="auto"/>
            </w:tcBorders>
            <w:shd w:val="clear" w:color="000000" w:fill="FFFF00"/>
            <w:noWrap/>
            <w:vAlign w:val="center"/>
            <w:hideMark/>
          </w:tcPr>
          <w:p w14:paraId="447DAA86" w14:textId="77777777" w:rsidR="005E671C" w:rsidRPr="005E671C" w:rsidRDefault="005E671C" w:rsidP="005E671C">
            <w:pPr>
              <w:spacing w:after="0" w:line="240" w:lineRule="auto"/>
              <w:jc w:val="center"/>
              <w:rPr>
                <w:rFonts w:ascii="Tahoma" w:eastAsia="Times New Roman" w:hAnsi="Tahoma" w:cs="Tahoma"/>
                <w:sz w:val="20"/>
                <w:szCs w:val="20"/>
                <w:lang w:eastAsia="hr-HR"/>
              </w:rPr>
            </w:pPr>
            <w:r w:rsidRPr="005E671C">
              <w:rPr>
                <w:rFonts w:ascii="Tahoma" w:eastAsia="Times New Roman" w:hAnsi="Tahoma" w:cs="Tahoma"/>
                <w:sz w:val="20"/>
                <w:szCs w:val="20"/>
                <w:lang w:eastAsia="hr-HR"/>
              </w:rPr>
              <w:t>69</w:t>
            </w:r>
          </w:p>
        </w:tc>
        <w:tc>
          <w:tcPr>
            <w:tcW w:w="426" w:type="dxa"/>
            <w:tcBorders>
              <w:top w:val="nil"/>
              <w:left w:val="nil"/>
              <w:bottom w:val="single" w:sz="4" w:space="0" w:color="auto"/>
              <w:right w:val="single" w:sz="4" w:space="0" w:color="auto"/>
            </w:tcBorders>
            <w:shd w:val="clear" w:color="000000" w:fill="FFFF00"/>
            <w:noWrap/>
            <w:vAlign w:val="center"/>
            <w:hideMark/>
          </w:tcPr>
          <w:p w14:paraId="2403B35E" w14:textId="77777777" w:rsidR="005E671C" w:rsidRPr="005E671C" w:rsidRDefault="005E671C" w:rsidP="005E671C">
            <w:pPr>
              <w:spacing w:after="0" w:line="240" w:lineRule="auto"/>
              <w:jc w:val="center"/>
              <w:rPr>
                <w:rFonts w:ascii="Tahoma" w:eastAsia="Times New Roman" w:hAnsi="Tahoma" w:cs="Tahoma"/>
                <w:sz w:val="20"/>
                <w:szCs w:val="20"/>
                <w:lang w:eastAsia="hr-HR"/>
              </w:rPr>
            </w:pPr>
            <w:r w:rsidRPr="005E671C">
              <w:rPr>
                <w:rFonts w:ascii="Tahoma" w:eastAsia="Times New Roman" w:hAnsi="Tahoma" w:cs="Tahoma"/>
                <w:sz w:val="20"/>
                <w:szCs w:val="20"/>
                <w:lang w:eastAsia="hr-HR"/>
              </w:rPr>
              <w:t>6</w:t>
            </w:r>
          </w:p>
        </w:tc>
        <w:tc>
          <w:tcPr>
            <w:tcW w:w="854" w:type="dxa"/>
            <w:tcBorders>
              <w:top w:val="nil"/>
              <w:left w:val="nil"/>
              <w:bottom w:val="single" w:sz="4" w:space="0" w:color="auto"/>
              <w:right w:val="single" w:sz="4" w:space="0" w:color="auto"/>
            </w:tcBorders>
            <w:shd w:val="clear" w:color="000000" w:fill="FFFF00"/>
            <w:noWrap/>
            <w:vAlign w:val="center"/>
            <w:hideMark/>
          </w:tcPr>
          <w:p w14:paraId="3D04EB13" w14:textId="77777777" w:rsidR="005E671C" w:rsidRPr="005E671C" w:rsidRDefault="005E671C" w:rsidP="005E671C">
            <w:pPr>
              <w:spacing w:after="0" w:line="240" w:lineRule="auto"/>
              <w:jc w:val="center"/>
              <w:rPr>
                <w:rFonts w:ascii="Tahoma" w:eastAsia="Times New Roman" w:hAnsi="Tahoma" w:cs="Tahoma"/>
                <w:sz w:val="20"/>
                <w:szCs w:val="20"/>
                <w:lang w:eastAsia="hr-HR"/>
              </w:rPr>
            </w:pPr>
            <w:r w:rsidRPr="005E671C">
              <w:rPr>
                <w:rFonts w:ascii="Tahoma" w:eastAsia="Times New Roman" w:hAnsi="Tahoma" w:cs="Tahoma"/>
                <w:sz w:val="20"/>
                <w:szCs w:val="20"/>
                <w:lang w:eastAsia="hr-HR"/>
              </w:rPr>
              <w:t>14</w:t>
            </w:r>
          </w:p>
        </w:tc>
        <w:tc>
          <w:tcPr>
            <w:tcW w:w="440" w:type="dxa"/>
            <w:tcBorders>
              <w:top w:val="nil"/>
              <w:left w:val="nil"/>
              <w:bottom w:val="single" w:sz="4" w:space="0" w:color="auto"/>
              <w:right w:val="single" w:sz="4" w:space="0" w:color="auto"/>
            </w:tcBorders>
            <w:shd w:val="clear" w:color="000000" w:fill="FFFF00"/>
            <w:noWrap/>
            <w:vAlign w:val="center"/>
            <w:hideMark/>
          </w:tcPr>
          <w:p w14:paraId="00BB0E26" w14:textId="77777777" w:rsidR="005E671C" w:rsidRPr="005E671C" w:rsidRDefault="005E671C" w:rsidP="005E671C">
            <w:pPr>
              <w:spacing w:after="0" w:line="240" w:lineRule="auto"/>
              <w:jc w:val="center"/>
              <w:rPr>
                <w:rFonts w:ascii="Tahoma" w:eastAsia="Times New Roman" w:hAnsi="Tahoma" w:cs="Tahoma"/>
                <w:sz w:val="20"/>
                <w:szCs w:val="20"/>
                <w:lang w:eastAsia="hr-HR"/>
              </w:rPr>
            </w:pPr>
            <w:r w:rsidRPr="005E671C">
              <w:rPr>
                <w:rFonts w:ascii="Tahoma" w:eastAsia="Times New Roman" w:hAnsi="Tahoma" w:cs="Tahoma"/>
                <w:sz w:val="20"/>
                <w:szCs w:val="20"/>
                <w:lang w:eastAsia="hr-HR"/>
              </w:rPr>
              <w:t>9</w:t>
            </w:r>
          </w:p>
        </w:tc>
        <w:tc>
          <w:tcPr>
            <w:tcW w:w="408" w:type="dxa"/>
            <w:tcBorders>
              <w:top w:val="nil"/>
              <w:left w:val="nil"/>
              <w:bottom w:val="single" w:sz="4" w:space="0" w:color="auto"/>
              <w:right w:val="single" w:sz="4" w:space="0" w:color="auto"/>
            </w:tcBorders>
            <w:shd w:val="clear" w:color="000000" w:fill="FFFF00"/>
            <w:noWrap/>
            <w:vAlign w:val="center"/>
            <w:hideMark/>
          </w:tcPr>
          <w:p w14:paraId="231A7DE8" w14:textId="77777777" w:rsidR="005E671C" w:rsidRPr="005E671C" w:rsidRDefault="005E671C" w:rsidP="005E671C">
            <w:pPr>
              <w:spacing w:after="0" w:line="240" w:lineRule="auto"/>
              <w:jc w:val="center"/>
              <w:rPr>
                <w:rFonts w:ascii="Tahoma" w:eastAsia="Times New Roman" w:hAnsi="Tahoma" w:cs="Tahoma"/>
                <w:sz w:val="20"/>
                <w:szCs w:val="20"/>
                <w:lang w:eastAsia="hr-HR"/>
              </w:rPr>
            </w:pPr>
            <w:r w:rsidRPr="005E671C">
              <w:rPr>
                <w:rFonts w:ascii="Tahoma" w:eastAsia="Times New Roman" w:hAnsi="Tahoma" w:cs="Tahoma"/>
                <w:sz w:val="20"/>
                <w:szCs w:val="20"/>
                <w:lang w:eastAsia="hr-HR"/>
              </w:rPr>
              <w:t>11</w:t>
            </w:r>
          </w:p>
        </w:tc>
        <w:tc>
          <w:tcPr>
            <w:tcW w:w="433" w:type="dxa"/>
            <w:tcBorders>
              <w:top w:val="nil"/>
              <w:left w:val="nil"/>
              <w:bottom w:val="single" w:sz="4" w:space="0" w:color="auto"/>
              <w:right w:val="single" w:sz="4" w:space="0" w:color="auto"/>
            </w:tcBorders>
            <w:shd w:val="clear" w:color="000000" w:fill="FFFF00"/>
            <w:noWrap/>
            <w:vAlign w:val="center"/>
            <w:hideMark/>
          </w:tcPr>
          <w:p w14:paraId="4A5CE64D" w14:textId="77777777" w:rsidR="005E671C" w:rsidRPr="005E671C" w:rsidRDefault="005E671C" w:rsidP="005E671C">
            <w:pPr>
              <w:spacing w:after="0" w:line="240" w:lineRule="auto"/>
              <w:jc w:val="center"/>
              <w:rPr>
                <w:rFonts w:ascii="Tahoma" w:eastAsia="Times New Roman" w:hAnsi="Tahoma" w:cs="Tahoma"/>
                <w:sz w:val="20"/>
                <w:szCs w:val="20"/>
                <w:lang w:eastAsia="hr-HR"/>
              </w:rPr>
            </w:pPr>
            <w:r w:rsidRPr="005E671C">
              <w:rPr>
                <w:rFonts w:ascii="Tahoma" w:eastAsia="Times New Roman" w:hAnsi="Tahoma" w:cs="Tahoma"/>
                <w:sz w:val="20"/>
                <w:szCs w:val="20"/>
                <w:lang w:eastAsia="hr-HR"/>
              </w:rPr>
              <w:t>0</w:t>
            </w:r>
          </w:p>
        </w:tc>
        <w:tc>
          <w:tcPr>
            <w:tcW w:w="425" w:type="dxa"/>
            <w:tcBorders>
              <w:top w:val="nil"/>
              <w:left w:val="nil"/>
              <w:bottom w:val="single" w:sz="4" w:space="0" w:color="auto"/>
              <w:right w:val="single" w:sz="4" w:space="0" w:color="auto"/>
            </w:tcBorders>
            <w:shd w:val="clear" w:color="000000" w:fill="FFFF00"/>
            <w:noWrap/>
            <w:vAlign w:val="center"/>
            <w:hideMark/>
          </w:tcPr>
          <w:p w14:paraId="68FC0614" w14:textId="77777777" w:rsidR="005E671C" w:rsidRPr="005E671C" w:rsidRDefault="005E671C" w:rsidP="005E671C">
            <w:pPr>
              <w:spacing w:after="0" w:line="240" w:lineRule="auto"/>
              <w:jc w:val="center"/>
              <w:rPr>
                <w:rFonts w:ascii="Tahoma" w:eastAsia="Times New Roman" w:hAnsi="Tahoma" w:cs="Tahoma"/>
                <w:sz w:val="20"/>
                <w:szCs w:val="20"/>
                <w:lang w:eastAsia="hr-HR"/>
              </w:rPr>
            </w:pPr>
            <w:r w:rsidRPr="005E671C">
              <w:rPr>
                <w:rFonts w:ascii="Tahoma" w:eastAsia="Times New Roman" w:hAnsi="Tahoma" w:cs="Tahoma"/>
                <w:sz w:val="20"/>
                <w:szCs w:val="20"/>
                <w:lang w:eastAsia="hr-HR"/>
              </w:rPr>
              <w:t>4</w:t>
            </w:r>
          </w:p>
        </w:tc>
        <w:tc>
          <w:tcPr>
            <w:tcW w:w="567" w:type="dxa"/>
            <w:tcBorders>
              <w:top w:val="nil"/>
              <w:left w:val="nil"/>
              <w:bottom w:val="single" w:sz="4" w:space="0" w:color="auto"/>
              <w:right w:val="single" w:sz="4" w:space="0" w:color="auto"/>
            </w:tcBorders>
            <w:shd w:val="clear" w:color="000000" w:fill="FFFF00"/>
            <w:noWrap/>
            <w:vAlign w:val="center"/>
            <w:hideMark/>
          </w:tcPr>
          <w:p w14:paraId="27821737" w14:textId="77777777" w:rsidR="005E671C" w:rsidRPr="005E671C" w:rsidRDefault="005E671C" w:rsidP="005E671C">
            <w:pPr>
              <w:spacing w:after="0" w:line="240" w:lineRule="auto"/>
              <w:jc w:val="center"/>
              <w:rPr>
                <w:rFonts w:ascii="Tahoma" w:eastAsia="Times New Roman" w:hAnsi="Tahoma" w:cs="Tahoma"/>
                <w:sz w:val="20"/>
                <w:szCs w:val="20"/>
                <w:lang w:eastAsia="hr-HR"/>
              </w:rPr>
            </w:pPr>
            <w:r w:rsidRPr="005E671C">
              <w:rPr>
                <w:rFonts w:ascii="Tahoma" w:eastAsia="Times New Roman" w:hAnsi="Tahoma" w:cs="Tahoma"/>
                <w:sz w:val="20"/>
                <w:szCs w:val="20"/>
                <w:lang w:eastAsia="hr-HR"/>
              </w:rPr>
              <w:t>69</w:t>
            </w:r>
          </w:p>
        </w:tc>
        <w:tc>
          <w:tcPr>
            <w:tcW w:w="237" w:type="dxa"/>
            <w:gridSpan w:val="2"/>
            <w:vAlign w:val="center"/>
            <w:hideMark/>
          </w:tcPr>
          <w:p w14:paraId="44C16CAD" w14:textId="77777777" w:rsidR="005E671C" w:rsidRPr="005E671C" w:rsidRDefault="005E671C" w:rsidP="005E671C">
            <w:pPr>
              <w:spacing w:after="0" w:line="240" w:lineRule="auto"/>
              <w:rPr>
                <w:rFonts w:ascii="Times New Roman" w:eastAsia="Times New Roman" w:hAnsi="Times New Roman" w:cs="Times New Roman"/>
                <w:sz w:val="20"/>
                <w:szCs w:val="20"/>
                <w:lang w:eastAsia="hr-HR"/>
              </w:rPr>
            </w:pPr>
          </w:p>
        </w:tc>
      </w:tr>
    </w:tbl>
    <w:p w14:paraId="5D5045ED" w14:textId="6B977AFF" w:rsidR="005E671C" w:rsidRDefault="005E671C"/>
    <w:p w14:paraId="2D568A0A" w14:textId="3C67C921" w:rsidR="005E671C" w:rsidRPr="005E671C" w:rsidRDefault="005E671C">
      <w:pPr>
        <w:rPr>
          <w:rFonts w:ascii="Times New Roman" w:hAnsi="Times New Roman" w:cs="Times New Roman"/>
          <w:sz w:val="24"/>
          <w:szCs w:val="24"/>
        </w:rPr>
      </w:pPr>
      <w:r w:rsidRPr="005E671C">
        <w:rPr>
          <w:rFonts w:ascii="Times New Roman" w:hAnsi="Times New Roman" w:cs="Times New Roman"/>
          <w:sz w:val="24"/>
          <w:szCs w:val="24"/>
        </w:rPr>
        <w:t>NAPOMENE:</w:t>
      </w:r>
    </w:p>
    <w:p w14:paraId="749BC895" w14:textId="124C778E" w:rsidR="005E671C" w:rsidRPr="005E671C" w:rsidRDefault="005E671C" w:rsidP="00FB05F1">
      <w:pPr>
        <w:pStyle w:val="Odlomakpopisa"/>
        <w:numPr>
          <w:ilvl w:val="0"/>
          <w:numId w:val="11"/>
        </w:numPr>
        <w:rPr>
          <w:rFonts w:ascii="Times New Roman" w:hAnsi="Times New Roman" w:cs="Times New Roman"/>
          <w:sz w:val="24"/>
          <w:szCs w:val="24"/>
        </w:rPr>
      </w:pPr>
      <w:r w:rsidRPr="005E671C">
        <w:rPr>
          <w:rFonts w:ascii="Times New Roman" w:hAnsi="Times New Roman" w:cs="Times New Roman"/>
          <w:sz w:val="24"/>
          <w:szCs w:val="24"/>
        </w:rPr>
        <w:t>OS Šibenik je prikazao 5 primljenih predmeta, ali nije prikazao osnove diskriminacije u zaprimljenim predmetima iz razloga što u samoj tužbi nije navedena osnova (iz istog razloga je tužba vraćena tužitelju na dopunu), također nisu prikazani niti ostali parametri koji se inače popunjavaju za primljene predmete u izvještajnom razdoblju</w:t>
      </w:r>
    </w:p>
    <w:p w14:paraId="107FCF9D" w14:textId="6493C7DF" w:rsidR="005E671C" w:rsidRPr="005E671C" w:rsidRDefault="005E671C" w:rsidP="00FB05F1">
      <w:pPr>
        <w:pStyle w:val="Odlomakpopisa"/>
        <w:numPr>
          <w:ilvl w:val="0"/>
          <w:numId w:val="11"/>
        </w:numPr>
        <w:rPr>
          <w:rFonts w:ascii="Times New Roman" w:hAnsi="Times New Roman" w:cs="Times New Roman"/>
          <w:sz w:val="24"/>
          <w:szCs w:val="24"/>
        </w:rPr>
      </w:pPr>
      <w:r w:rsidRPr="005E671C">
        <w:rPr>
          <w:rFonts w:ascii="Times New Roman" w:hAnsi="Times New Roman" w:cs="Times New Roman"/>
          <w:sz w:val="24"/>
          <w:szCs w:val="24"/>
        </w:rPr>
        <w:lastRenderedPageBreak/>
        <w:t>OS Bjelovar za jedan primljeni predmet nije iskazao po kojoj osnovi diskriminacije se vodi tužba jer u samoj tužbi nije navedena osnova, te je ista vraćena tužitelju na dopunu</w:t>
      </w:r>
    </w:p>
    <w:p w14:paraId="1467A5BC" w14:textId="304ED611" w:rsidR="005E671C" w:rsidRPr="005E671C" w:rsidRDefault="005E671C" w:rsidP="00FB05F1">
      <w:pPr>
        <w:pStyle w:val="Odlomakpopisa"/>
        <w:numPr>
          <w:ilvl w:val="0"/>
          <w:numId w:val="11"/>
        </w:numPr>
        <w:rPr>
          <w:rFonts w:ascii="Times New Roman" w:hAnsi="Times New Roman" w:cs="Times New Roman"/>
          <w:sz w:val="24"/>
          <w:szCs w:val="24"/>
        </w:rPr>
      </w:pPr>
      <w:r w:rsidRPr="005E671C">
        <w:rPr>
          <w:rFonts w:ascii="Times New Roman" w:hAnsi="Times New Roman" w:cs="Times New Roman"/>
          <w:sz w:val="24"/>
          <w:szCs w:val="24"/>
        </w:rPr>
        <w:t>Za pojedine predmete koji su se u ranijim razdobljima iskazivali kao diskriminacija naknadno je utvrđeno da se ne radi o diskriminaciji te se zato stanje na početku 2015. godine ne poklapa sa stanjem na kraju 2014. godine</w:t>
      </w:r>
    </w:p>
    <w:p w14:paraId="019F36CF" w14:textId="039F4C9E" w:rsidR="000271A1" w:rsidRDefault="000271A1">
      <w:r>
        <w:br w:type="page"/>
      </w:r>
    </w:p>
    <w:p w14:paraId="114AEAE5" w14:textId="77777777" w:rsidR="005E671C" w:rsidRDefault="005E671C"/>
    <w:p w14:paraId="3B475A36" w14:textId="249417EB" w:rsidR="005F3233" w:rsidRPr="005E671C" w:rsidRDefault="005E671C" w:rsidP="005F3233">
      <w:pPr>
        <w:rPr>
          <w:rFonts w:ascii="Times New Roman" w:hAnsi="Times New Roman" w:cs="Times New Roman"/>
          <w:sz w:val="24"/>
          <w:szCs w:val="24"/>
        </w:rPr>
      </w:pPr>
      <w:r w:rsidRPr="005E671C">
        <w:rPr>
          <w:rFonts w:ascii="Times New Roman" w:hAnsi="Times New Roman" w:cs="Times New Roman"/>
          <w:sz w:val="24"/>
          <w:szCs w:val="24"/>
        </w:rPr>
        <w:t>OPĆINSKI SUDOVI (KAZNENI PREDMETI) - UKUPNO 2015. godina</w:t>
      </w:r>
    </w:p>
    <w:tbl>
      <w:tblPr>
        <w:tblW w:w="16036" w:type="dxa"/>
        <w:tblInd w:w="-687" w:type="dxa"/>
        <w:tblLayout w:type="fixed"/>
        <w:tblLook w:val="04A0" w:firstRow="1" w:lastRow="0" w:firstColumn="1" w:lastColumn="0" w:noHBand="0" w:noVBand="1"/>
      </w:tblPr>
      <w:tblGrid>
        <w:gridCol w:w="10"/>
        <w:gridCol w:w="869"/>
        <w:gridCol w:w="457"/>
        <w:gridCol w:w="449"/>
        <w:gridCol w:w="421"/>
        <w:gridCol w:w="408"/>
        <w:gridCol w:w="708"/>
        <w:gridCol w:w="708"/>
        <w:gridCol w:w="708"/>
        <w:gridCol w:w="464"/>
        <w:gridCol w:w="700"/>
        <w:gridCol w:w="699"/>
        <w:gridCol w:w="700"/>
        <w:gridCol w:w="464"/>
        <w:gridCol w:w="700"/>
        <w:gridCol w:w="434"/>
        <w:gridCol w:w="426"/>
        <w:gridCol w:w="425"/>
        <w:gridCol w:w="442"/>
        <w:gridCol w:w="451"/>
        <w:gridCol w:w="19"/>
        <w:gridCol w:w="364"/>
        <w:gridCol w:w="392"/>
        <w:gridCol w:w="400"/>
        <w:gridCol w:w="409"/>
        <w:gridCol w:w="17"/>
        <w:gridCol w:w="482"/>
        <w:gridCol w:w="567"/>
        <w:gridCol w:w="305"/>
        <w:gridCol w:w="120"/>
        <w:gridCol w:w="325"/>
        <w:gridCol w:w="109"/>
        <w:gridCol w:w="417"/>
        <w:gridCol w:w="48"/>
        <w:gridCol w:w="322"/>
        <w:gridCol w:w="55"/>
        <w:gridCol w:w="389"/>
        <w:gridCol w:w="180"/>
        <w:gridCol w:w="6"/>
        <w:gridCol w:w="213"/>
        <w:gridCol w:w="17"/>
        <w:gridCol w:w="227"/>
        <w:gridCol w:w="10"/>
      </w:tblGrid>
      <w:tr w:rsidR="005F3233" w:rsidRPr="005F3233" w14:paraId="645DF16A" w14:textId="77777777" w:rsidTr="000271A1">
        <w:trPr>
          <w:gridBefore w:val="1"/>
          <w:gridAfter w:val="4"/>
          <w:wBefore w:w="10" w:type="dxa"/>
          <w:wAfter w:w="467" w:type="dxa"/>
          <w:trHeight w:val="450"/>
        </w:trPr>
        <w:tc>
          <w:tcPr>
            <w:tcW w:w="869" w:type="dxa"/>
            <w:vMerge w:val="restart"/>
            <w:tcBorders>
              <w:top w:val="single" w:sz="8" w:space="0" w:color="auto"/>
              <w:left w:val="single" w:sz="8" w:space="0" w:color="auto"/>
              <w:bottom w:val="single" w:sz="4" w:space="0" w:color="auto"/>
              <w:right w:val="single" w:sz="4" w:space="0" w:color="auto"/>
            </w:tcBorders>
            <w:shd w:val="clear" w:color="000000" w:fill="CCFFCC"/>
            <w:vAlign w:val="center"/>
            <w:hideMark/>
          </w:tcPr>
          <w:p w14:paraId="68B0A3C0" w14:textId="77777777" w:rsidR="005F3233" w:rsidRPr="001752B7" w:rsidRDefault="005F3233" w:rsidP="005F3233">
            <w:pPr>
              <w:spacing w:after="0" w:line="240" w:lineRule="auto"/>
              <w:jc w:val="center"/>
              <w:rPr>
                <w:rFonts w:ascii="Calibri" w:eastAsia="Times New Roman" w:hAnsi="Calibri" w:cs="Calibri"/>
                <w:b/>
                <w:bCs/>
                <w:sz w:val="18"/>
                <w:szCs w:val="18"/>
                <w:lang w:eastAsia="hr-HR"/>
              </w:rPr>
            </w:pPr>
            <w:r w:rsidRPr="001752B7">
              <w:rPr>
                <w:rFonts w:ascii="Calibri" w:eastAsia="Times New Roman" w:hAnsi="Calibri" w:cs="Calibri"/>
                <w:b/>
                <w:bCs/>
                <w:sz w:val="18"/>
                <w:szCs w:val="18"/>
                <w:lang w:eastAsia="hr-HR"/>
              </w:rPr>
              <w:t>OSNOVE DISKRIMINACIJE (po  KZ)</w:t>
            </w:r>
          </w:p>
        </w:tc>
        <w:tc>
          <w:tcPr>
            <w:tcW w:w="14690" w:type="dxa"/>
            <w:gridSpan w:val="37"/>
            <w:vMerge w:val="restart"/>
            <w:tcBorders>
              <w:top w:val="single" w:sz="8" w:space="0" w:color="auto"/>
              <w:left w:val="single" w:sz="4" w:space="0" w:color="auto"/>
              <w:bottom w:val="single" w:sz="4" w:space="0" w:color="000000"/>
              <w:right w:val="single" w:sz="8" w:space="0" w:color="000000"/>
            </w:tcBorders>
            <w:shd w:val="clear" w:color="000000" w:fill="CCFFCC"/>
            <w:noWrap/>
            <w:vAlign w:val="center"/>
            <w:hideMark/>
          </w:tcPr>
          <w:p w14:paraId="5B86FB27" w14:textId="77777777" w:rsidR="005F3233" w:rsidRPr="001752B7" w:rsidRDefault="005F3233" w:rsidP="005F3233">
            <w:pPr>
              <w:spacing w:after="0" w:line="240" w:lineRule="auto"/>
              <w:jc w:val="center"/>
              <w:rPr>
                <w:rFonts w:ascii="Calibri" w:eastAsia="Times New Roman" w:hAnsi="Calibri" w:cs="Calibri"/>
                <w:b/>
                <w:bCs/>
                <w:sz w:val="18"/>
                <w:szCs w:val="18"/>
                <w:lang w:eastAsia="hr-HR"/>
              </w:rPr>
            </w:pPr>
            <w:r w:rsidRPr="001752B7">
              <w:rPr>
                <w:rFonts w:ascii="Calibri" w:eastAsia="Times New Roman" w:hAnsi="Calibri" w:cs="Calibri"/>
                <w:b/>
                <w:bCs/>
                <w:sz w:val="18"/>
                <w:szCs w:val="18"/>
                <w:lang w:eastAsia="hr-HR"/>
              </w:rPr>
              <w:t>KA Z N E N I    P R E D M E T I</w:t>
            </w:r>
          </w:p>
        </w:tc>
      </w:tr>
      <w:tr w:rsidR="005F3233" w:rsidRPr="005F3233" w14:paraId="53592425" w14:textId="77777777" w:rsidTr="000271A1">
        <w:trPr>
          <w:gridBefore w:val="1"/>
          <w:wBefore w:w="10" w:type="dxa"/>
          <w:trHeight w:val="300"/>
        </w:trPr>
        <w:tc>
          <w:tcPr>
            <w:tcW w:w="869" w:type="dxa"/>
            <w:vMerge/>
            <w:tcBorders>
              <w:top w:val="single" w:sz="8" w:space="0" w:color="auto"/>
              <w:left w:val="single" w:sz="8" w:space="0" w:color="auto"/>
              <w:bottom w:val="single" w:sz="4" w:space="0" w:color="auto"/>
              <w:right w:val="single" w:sz="4" w:space="0" w:color="auto"/>
            </w:tcBorders>
            <w:vAlign w:val="center"/>
            <w:hideMark/>
          </w:tcPr>
          <w:p w14:paraId="03035F15" w14:textId="77777777" w:rsidR="005F3233" w:rsidRPr="001752B7" w:rsidRDefault="005F3233" w:rsidP="005F3233">
            <w:pPr>
              <w:spacing w:after="0" w:line="240" w:lineRule="auto"/>
              <w:rPr>
                <w:rFonts w:ascii="Calibri" w:eastAsia="Times New Roman" w:hAnsi="Calibri" w:cs="Calibri"/>
                <w:b/>
                <w:bCs/>
                <w:sz w:val="18"/>
                <w:szCs w:val="18"/>
                <w:lang w:eastAsia="hr-HR"/>
              </w:rPr>
            </w:pPr>
          </w:p>
        </w:tc>
        <w:tc>
          <w:tcPr>
            <w:tcW w:w="14690" w:type="dxa"/>
            <w:gridSpan w:val="37"/>
            <w:vMerge/>
            <w:tcBorders>
              <w:top w:val="single" w:sz="8" w:space="0" w:color="auto"/>
              <w:left w:val="single" w:sz="4" w:space="0" w:color="auto"/>
              <w:bottom w:val="single" w:sz="4" w:space="0" w:color="000000"/>
              <w:right w:val="single" w:sz="8" w:space="0" w:color="000000"/>
            </w:tcBorders>
            <w:vAlign w:val="center"/>
            <w:hideMark/>
          </w:tcPr>
          <w:p w14:paraId="33634780" w14:textId="77777777" w:rsidR="005F3233" w:rsidRPr="001752B7" w:rsidRDefault="005F3233" w:rsidP="005F3233">
            <w:pPr>
              <w:spacing w:after="0" w:line="240" w:lineRule="auto"/>
              <w:rPr>
                <w:rFonts w:ascii="Calibri" w:eastAsia="Times New Roman" w:hAnsi="Calibri" w:cs="Calibri"/>
                <w:b/>
                <w:bCs/>
                <w:sz w:val="18"/>
                <w:szCs w:val="18"/>
                <w:lang w:eastAsia="hr-HR"/>
              </w:rPr>
            </w:pPr>
          </w:p>
        </w:tc>
        <w:tc>
          <w:tcPr>
            <w:tcW w:w="467" w:type="dxa"/>
            <w:gridSpan w:val="4"/>
            <w:tcBorders>
              <w:top w:val="nil"/>
              <w:left w:val="nil"/>
              <w:bottom w:val="nil"/>
              <w:right w:val="nil"/>
            </w:tcBorders>
            <w:shd w:val="clear" w:color="auto" w:fill="auto"/>
            <w:noWrap/>
            <w:vAlign w:val="bottom"/>
            <w:hideMark/>
          </w:tcPr>
          <w:p w14:paraId="02BACD0D" w14:textId="77777777" w:rsidR="005F3233" w:rsidRPr="005F3233" w:rsidRDefault="005F3233" w:rsidP="005F3233">
            <w:pPr>
              <w:spacing w:after="0" w:line="240" w:lineRule="auto"/>
              <w:jc w:val="center"/>
              <w:rPr>
                <w:rFonts w:ascii="Calibri" w:eastAsia="Times New Roman" w:hAnsi="Calibri" w:cs="Calibri"/>
                <w:b/>
                <w:bCs/>
                <w:lang w:eastAsia="hr-HR"/>
              </w:rPr>
            </w:pPr>
          </w:p>
        </w:tc>
      </w:tr>
      <w:tr w:rsidR="005F3233" w:rsidRPr="005F3233" w14:paraId="0A771450" w14:textId="77777777" w:rsidTr="000271A1">
        <w:trPr>
          <w:gridBefore w:val="1"/>
          <w:gridAfter w:val="2"/>
          <w:wBefore w:w="10" w:type="dxa"/>
          <w:wAfter w:w="237" w:type="dxa"/>
          <w:trHeight w:val="1095"/>
        </w:trPr>
        <w:tc>
          <w:tcPr>
            <w:tcW w:w="869" w:type="dxa"/>
            <w:vMerge/>
            <w:tcBorders>
              <w:top w:val="single" w:sz="8" w:space="0" w:color="auto"/>
              <w:left w:val="single" w:sz="8" w:space="0" w:color="auto"/>
              <w:bottom w:val="single" w:sz="4" w:space="0" w:color="auto"/>
              <w:right w:val="single" w:sz="4" w:space="0" w:color="auto"/>
            </w:tcBorders>
            <w:vAlign w:val="center"/>
            <w:hideMark/>
          </w:tcPr>
          <w:p w14:paraId="1DCC70AB" w14:textId="77777777" w:rsidR="005F3233" w:rsidRPr="001752B7" w:rsidRDefault="005F3233" w:rsidP="005F3233">
            <w:pPr>
              <w:spacing w:after="0" w:line="240" w:lineRule="auto"/>
              <w:rPr>
                <w:rFonts w:ascii="Calibri" w:eastAsia="Times New Roman" w:hAnsi="Calibri" w:cs="Calibri"/>
                <w:b/>
                <w:bCs/>
                <w:sz w:val="18"/>
                <w:szCs w:val="18"/>
                <w:lang w:eastAsia="hr-HR"/>
              </w:rPr>
            </w:pPr>
          </w:p>
        </w:tc>
        <w:tc>
          <w:tcPr>
            <w:tcW w:w="457" w:type="dxa"/>
            <w:vMerge w:val="restart"/>
            <w:tcBorders>
              <w:top w:val="nil"/>
              <w:left w:val="single" w:sz="4" w:space="0" w:color="auto"/>
              <w:bottom w:val="single" w:sz="4" w:space="0" w:color="auto"/>
              <w:right w:val="single" w:sz="4" w:space="0" w:color="auto"/>
            </w:tcBorders>
            <w:shd w:val="clear" w:color="000000" w:fill="CCFFCC"/>
            <w:textDirection w:val="btLr"/>
            <w:vAlign w:val="center"/>
            <w:hideMark/>
          </w:tcPr>
          <w:p w14:paraId="470B16B4" w14:textId="77777777" w:rsidR="005F3233" w:rsidRPr="001752B7" w:rsidRDefault="005F3233" w:rsidP="005F3233">
            <w:pPr>
              <w:spacing w:after="0" w:line="240" w:lineRule="auto"/>
              <w:jc w:val="center"/>
              <w:rPr>
                <w:rFonts w:ascii="Tahoma" w:eastAsia="Times New Roman" w:hAnsi="Tahoma" w:cs="Tahoma"/>
                <w:b/>
                <w:bCs/>
                <w:sz w:val="18"/>
                <w:szCs w:val="18"/>
                <w:lang w:eastAsia="hr-HR"/>
              </w:rPr>
            </w:pPr>
            <w:r w:rsidRPr="001752B7">
              <w:rPr>
                <w:rFonts w:ascii="Tahoma" w:eastAsia="Times New Roman" w:hAnsi="Tahoma" w:cs="Tahoma"/>
                <w:b/>
                <w:bCs/>
                <w:sz w:val="18"/>
                <w:szCs w:val="18"/>
                <w:lang w:eastAsia="hr-HR"/>
              </w:rPr>
              <w:t xml:space="preserve">Broj </w:t>
            </w:r>
            <w:proofErr w:type="spellStart"/>
            <w:r w:rsidRPr="001752B7">
              <w:rPr>
                <w:rFonts w:ascii="Tahoma" w:eastAsia="Times New Roman" w:hAnsi="Tahoma" w:cs="Tahoma"/>
                <w:b/>
                <w:bCs/>
                <w:sz w:val="18"/>
                <w:szCs w:val="18"/>
                <w:lang w:eastAsia="hr-HR"/>
              </w:rPr>
              <w:t>nerješenih</w:t>
            </w:r>
            <w:proofErr w:type="spellEnd"/>
            <w:r w:rsidRPr="001752B7">
              <w:rPr>
                <w:rFonts w:ascii="Tahoma" w:eastAsia="Times New Roman" w:hAnsi="Tahoma" w:cs="Tahoma"/>
                <w:b/>
                <w:bCs/>
                <w:sz w:val="18"/>
                <w:szCs w:val="18"/>
                <w:lang w:eastAsia="hr-HR"/>
              </w:rPr>
              <w:t xml:space="preserve"> predmeta na početku razdoblja</w:t>
            </w:r>
          </w:p>
        </w:tc>
        <w:tc>
          <w:tcPr>
            <w:tcW w:w="449" w:type="dxa"/>
            <w:vMerge w:val="restart"/>
            <w:tcBorders>
              <w:top w:val="nil"/>
              <w:left w:val="single" w:sz="4" w:space="0" w:color="auto"/>
              <w:bottom w:val="single" w:sz="4" w:space="0" w:color="auto"/>
              <w:right w:val="single" w:sz="4" w:space="0" w:color="000000"/>
            </w:tcBorders>
            <w:shd w:val="clear" w:color="000000" w:fill="CCFFCC"/>
            <w:textDirection w:val="btLr"/>
            <w:vAlign w:val="center"/>
            <w:hideMark/>
          </w:tcPr>
          <w:p w14:paraId="0F72D547" w14:textId="77777777" w:rsidR="005F3233" w:rsidRPr="001752B7" w:rsidRDefault="005F3233" w:rsidP="005F3233">
            <w:pPr>
              <w:spacing w:after="0" w:line="240" w:lineRule="auto"/>
              <w:jc w:val="center"/>
              <w:rPr>
                <w:rFonts w:ascii="Tahoma" w:eastAsia="Times New Roman" w:hAnsi="Tahoma" w:cs="Tahoma"/>
                <w:b/>
                <w:bCs/>
                <w:sz w:val="18"/>
                <w:szCs w:val="18"/>
                <w:lang w:eastAsia="hr-HR"/>
              </w:rPr>
            </w:pPr>
            <w:r w:rsidRPr="001752B7">
              <w:rPr>
                <w:rFonts w:ascii="Tahoma" w:eastAsia="Times New Roman" w:hAnsi="Tahoma" w:cs="Tahoma"/>
                <w:b/>
                <w:bCs/>
                <w:sz w:val="18"/>
                <w:szCs w:val="18"/>
                <w:lang w:eastAsia="hr-HR"/>
              </w:rPr>
              <w:t xml:space="preserve">Broj primljenih predmeta </w:t>
            </w:r>
          </w:p>
        </w:tc>
        <w:tc>
          <w:tcPr>
            <w:tcW w:w="829" w:type="dxa"/>
            <w:gridSpan w:val="2"/>
            <w:tcBorders>
              <w:top w:val="single" w:sz="4" w:space="0" w:color="auto"/>
              <w:left w:val="nil"/>
              <w:bottom w:val="single" w:sz="4" w:space="0" w:color="auto"/>
              <w:right w:val="single" w:sz="4" w:space="0" w:color="000000"/>
            </w:tcBorders>
            <w:shd w:val="clear" w:color="000000" w:fill="CCFFCC"/>
            <w:vAlign w:val="center"/>
            <w:hideMark/>
          </w:tcPr>
          <w:p w14:paraId="436CCF1F" w14:textId="77777777" w:rsidR="005F3233" w:rsidRPr="001752B7" w:rsidRDefault="005F3233" w:rsidP="005F3233">
            <w:pPr>
              <w:spacing w:after="0" w:line="240" w:lineRule="auto"/>
              <w:ind w:left="-278" w:firstLine="278"/>
              <w:jc w:val="center"/>
              <w:rPr>
                <w:rFonts w:ascii="Tahoma" w:eastAsia="Times New Roman" w:hAnsi="Tahoma" w:cs="Tahoma"/>
                <w:sz w:val="18"/>
                <w:szCs w:val="18"/>
                <w:lang w:eastAsia="hr-HR"/>
              </w:rPr>
            </w:pPr>
            <w:r w:rsidRPr="001752B7">
              <w:rPr>
                <w:rFonts w:ascii="Tahoma" w:eastAsia="Times New Roman" w:hAnsi="Tahoma" w:cs="Tahoma"/>
                <w:sz w:val="18"/>
                <w:szCs w:val="18"/>
                <w:lang w:eastAsia="hr-HR"/>
              </w:rPr>
              <w:t>Broj diskriminiranih osoba prema optužnom aktu</w:t>
            </w:r>
          </w:p>
        </w:tc>
        <w:tc>
          <w:tcPr>
            <w:tcW w:w="2588" w:type="dxa"/>
            <w:gridSpan w:val="4"/>
            <w:tcBorders>
              <w:top w:val="single" w:sz="4" w:space="0" w:color="auto"/>
              <w:left w:val="nil"/>
              <w:bottom w:val="single" w:sz="4" w:space="0" w:color="auto"/>
              <w:right w:val="single" w:sz="4" w:space="0" w:color="auto"/>
            </w:tcBorders>
            <w:shd w:val="clear" w:color="000000" w:fill="CCFFCC"/>
            <w:vAlign w:val="center"/>
            <w:hideMark/>
          </w:tcPr>
          <w:p w14:paraId="4052B94B" w14:textId="77777777" w:rsidR="005F3233" w:rsidRPr="001752B7" w:rsidRDefault="005F3233" w:rsidP="005F3233">
            <w:pPr>
              <w:spacing w:after="0" w:line="240" w:lineRule="auto"/>
              <w:jc w:val="center"/>
              <w:rPr>
                <w:rFonts w:ascii="Calibri" w:eastAsia="Times New Roman" w:hAnsi="Calibri" w:cs="Calibri"/>
                <w:b/>
                <w:bCs/>
                <w:sz w:val="18"/>
                <w:szCs w:val="18"/>
                <w:lang w:eastAsia="hr-HR"/>
              </w:rPr>
            </w:pPr>
            <w:r w:rsidRPr="001752B7">
              <w:rPr>
                <w:rFonts w:ascii="Calibri" w:eastAsia="Times New Roman" w:hAnsi="Calibri" w:cs="Calibri"/>
                <w:b/>
                <w:bCs/>
                <w:sz w:val="18"/>
                <w:szCs w:val="18"/>
                <w:lang w:eastAsia="hr-HR"/>
              </w:rPr>
              <w:t>KAZNENO DJELO (za ranije primljene predmete po starom KZ-u)</w:t>
            </w:r>
          </w:p>
        </w:tc>
        <w:tc>
          <w:tcPr>
            <w:tcW w:w="3697" w:type="dxa"/>
            <w:gridSpan w:val="6"/>
            <w:tcBorders>
              <w:top w:val="single" w:sz="4" w:space="0" w:color="auto"/>
              <w:left w:val="nil"/>
              <w:bottom w:val="single" w:sz="4" w:space="0" w:color="auto"/>
              <w:right w:val="single" w:sz="4" w:space="0" w:color="auto"/>
            </w:tcBorders>
            <w:shd w:val="clear" w:color="000000" w:fill="CCFFCC"/>
            <w:vAlign w:val="center"/>
            <w:hideMark/>
          </w:tcPr>
          <w:p w14:paraId="409B54B4" w14:textId="77777777" w:rsidR="005F3233" w:rsidRPr="001752B7" w:rsidRDefault="005F3233" w:rsidP="005F3233">
            <w:pPr>
              <w:spacing w:after="0" w:line="240" w:lineRule="auto"/>
              <w:jc w:val="center"/>
              <w:rPr>
                <w:rFonts w:ascii="Calibri" w:eastAsia="Times New Roman" w:hAnsi="Calibri" w:cs="Calibri"/>
                <w:b/>
                <w:bCs/>
                <w:sz w:val="18"/>
                <w:szCs w:val="18"/>
                <w:lang w:eastAsia="hr-HR"/>
              </w:rPr>
            </w:pPr>
            <w:r w:rsidRPr="001752B7">
              <w:rPr>
                <w:rFonts w:ascii="Calibri" w:eastAsia="Times New Roman" w:hAnsi="Calibri" w:cs="Calibri"/>
                <w:b/>
                <w:bCs/>
                <w:sz w:val="18"/>
                <w:szCs w:val="18"/>
                <w:lang w:eastAsia="hr-HR"/>
              </w:rPr>
              <w:t>KAZNENO DJELO</w:t>
            </w:r>
          </w:p>
        </w:tc>
        <w:tc>
          <w:tcPr>
            <w:tcW w:w="1763" w:type="dxa"/>
            <w:gridSpan w:val="5"/>
            <w:tcBorders>
              <w:top w:val="single" w:sz="4" w:space="0" w:color="auto"/>
              <w:left w:val="nil"/>
              <w:bottom w:val="single" w:sz="4" w:space="0" w:color="auto"/>
              <w:right w:val="single" w:sz="4" w:space="0" w:color="000000"/>
            </w:tcBorders>
            <w:shd w:val="clear" w:color="000000" w:fill="CCFFCC"/>
            <w:vAlign w:val="center"/>
            <w:hideMark/>
          </w:tcPr>
          <w:p w14:paraId="220D4ACB" w14:textId="77777777" w:rsidR="005F3233" w:rsidRPr="001752B7" w:rsidRDefault="005F3233" w:rsidP="005F3233">
            <w:pPr>
              <w:spacing w:after="0" w:line="240" w:lineRule="auto"/>
              <w:jc w:val="center"/>
              <w:rPr>
                <w:rFonts w:ascii="Calibri" w:eastAsia="Times New Roman" w:hAnsi="Calibri" w:cs="Calibri"/>
                <w:b/>
                <w:bCs/>
                <w:sz w:val="18"/>
                <w:szCs w:val="18"/>
                <w:lang w:eastAsia="hr-HR"/>
              </w:rPr>
            </w:pPr>
            <w:r w:rsidRPr="001752B7">
              <w:rPr>
                <w:rFonts w:ascii="Calibri" w:eastAsia="Times New Roman" w:hAnsi="Calibri" w:cs="Calibri"/>
                <w:b/>
                <w:bCs/>
                <w:sz w:val="18"/>
                <w:szCs w:val="18"/>
                <w:lang w:eastAsia="hr-HR"/>
              </w:rPr>
              <w:t>PRAVOMOĆNO RIJEŠENO</w:t>
            </w:r>
          </w:p>
        </w:tc>
        <w:tc>
          <w:tcPr>
            <w:tcW w:w="1582" w:type="dxa"/>
            <w:gridSpan w:val="5"/>
            <w:tcBorders>
              <w:top w:val="single" w:sz="4" w:space="0" w:color="auto"/>
              <w:left w:val="nil"/>
              <w:bottom w:val="single" w:sz="4" w:space="0" w:color="auto"/>
              <w:right w:val="single" w:sz="4" w:space="0" w:color="000000"/>
            </w:tcBorders>
            <w:shd w:val="clear" w:color="000000" w:fill="CCFFCC"/>
            <w:vAlign w:val="center"/>
            <w:hideMark/>
          </w:tcPr>
          <w:p w14:paraId="72FB1992" w14:textId="77777777" w:rsidR="005F3233" w:rsidRPr="001752B7" w:rsidRDefault="005F3233" w:rsidP="005F3233">
            <w:pPr>
              <w:spacing w:after="0" w:line="240" w:lineRule="auto"/>
              <w:jc w:val="center"/>
              <w:rPr>
                <w:rFonts w:ascii="Calibri" w:eastAsia="Times New Roman" w:hAnsi="Calibri" w:cs="Calibri"/>
                <w:b/>
                <w:bCs/>
                <w:sz w:val="18"/>
                <w:szCs w:val="18"/>
                <w:lang w:eastAsia="hr-HR"/>
              </w:rPr>
            </w:pPr>
            <w:r w:rsidRPr="001752B7">
              <w:rPr>
                <w:rFonts w:ascii="Calibri" w:eastAsia="Times New Roman" w:hAnsi="Calibri" w:cs="Calibri"/>
                <w:b/>
                <w:bCs/>
                <w:sz w:val="18"/>
                <w:szCs w:val="18"/>
                <w:lang w:eastAsia="hr-HR"/>
              </w:rPr>
              <w:t>Broj i vrsta kazni</w:t>
            </w:r>
          </w:p>
        </w:tc>
        <w:tc>
          <w:tcPr>
            <w:tcW w:w="482" w:type="dxa"/>
            <w:tcBorders>
              <w:top w:val="nil"/>
              <w:left w:val="single" w:sz="4" w:space="0" w:color="auto"/>
              <w:bottom w:val="single" w:sz="4" w:space="0" w:color="auto"/>
              <w:right w:val="single" w:sz="4" w:space="0" w:color="auto"/>
            </w:tcBorders>
            <w:shd w:val="clear" w:color="000000" w:fill="CCFFCC"/>
            <w:textDirection w:val="btLr"/>
            <w:vAlign w:val="center"/>
            <w:hideMark/>
          </w:tcPr>
          <w:p w14:paraId="2610EF5A" w14:textId="77777777" w:rsidR="005F3233" w:rsidRPr="001752B7" w:rsidRDefault="005F3233" w:rsidP="005F3233">
            <w:pPr>
              <w:spacing w:after="0" w:line="240" w:lineRule="auto"/>
              <w:jc w:val="center"/>
              <w:rPr>
                <w:rFonts w:ascii="Calibri" w:eastAsia="Times New Roman" w:hAnsi="Calibri" w:cs="Calibri"/>
                <w:b/>
                <w:bCs/>
                <w:sz w:val="18"/>
                <w:szCs w:val="18"/>
                <w:lang w:eastAsia="hr-HR"/>
              </w:rPr>
            </w:pPr>
            <w:r w:rsidRPr="001752B7">
              <w:rPr>
                <w:rFonts w:ascii="Calibri" w:eastAsia="Times New Roman" w:hAnsi="Calibri" w:cs="Calibri"/>
                <w:b/>
                <w:bCs/>
                <w:sz w:val="18"/>
                <w:szCs w:val="18"/>
                <w:lang w:eastAsia="hr-HR"/>
              </w:rPr>
              <w:t xml:space="preserve">Broj </w:t>
            </w:r>
            <w:proofErr w:type="spellStart"/>
            <w:r w:rsidRPr="001752B7">
              <w:rPr>
                <w:rFonts w:ascii="Calibri" w:eastAsia="Times New Roman" w:hAnsi="Calibri" w:cs="Calibri"/>
                <w:b/>
                <w:bCs/>
                <w:sz w:val="18"/>
                <w:szCs w:val="18"/>
                <w:lang w:eastAsia="hr-HR"/>
              </w:rPr>
              <w:t>nerješenih</w:t>
            </w:r>
            <w:proofErr w:type="spellEnd"/>
            <w:r w:rsidRPr="001752B7">
              <w:rPr>
                <w:rFonts w:ascii="Calibri" w:eastAsia="Times New Roman" w:hAnsi="Calibri" w:cs="Calibri"/>
                <w:b/>
                <w:bCs/>
                <w:sz w:val="18"/>
                <w:szCs w:val="18"/>
                <w:lang w:eastAsia="hr-HR"/>
              </w:rPr>
              <w:t xml:space="preserve"> predmeta na kraju izvještajnog razdoblja</w:t>
            </w:r>
          </w:p>
        </w:tc>
        <w:tc>
          <w:tcPr>
            <w:tcW w:w="567" w:type="dxa"/>
            <w:tcBorders>
              <w:top w:val="nil"/>
              <w:left w:val="single" w:sz="4" w:space="0" w:color="auto"/>
              <w:bottom w:val="single" w:sz="4" w:space="0" w:color="000000"/>
              <w:right w:val="single" w:sz="4" w:space="0" w:color="000000"/>
            </w:tcBorders>
            <w:shd w:val="clear" w:color="000000" w:fill="CCFFCC"/>
            <w:textDirection w:val="btLr"/>
            <w:vAlign w:val="center"/>
            <w:hideMark/>
          </w:tcPr>
          <w:p w14:paraId="72BB062A" w14:textId="77777777" w:rsidR="005F3233" w:rsidRPr="001752B7" w:rsidRDefault="005F3233" w:rsidP="005F3233">
            <w:pPr>
              <w:spacing w:after="0" w:line="240" w:lineRule="auto"/>
              <w:jc w:val="center"/>
              <w:rPr>
                <w:rFonts w:ascii="Calibri" w:eastAsia="Times New Roman" w:hAnsi="Calibri" w:cs="Calibri"/>
                <w:b/>
                <w:bCs/>
                <w:sz w:val="18"/>
                <w:szCs w:val="18"/>
                <w:lang w:eastAsia="hr-HR"/>
              </w:rPr>
            </w:pPr>
            <w:r w:rsidRPr="001752B7">
              <w:rPr>
                <w:rFonts w:ascii="Calibri" w:eastAsia="Times New Roman" w:hAnsi="Calibri" w:cs="Calibri"/>
                <w:b/>
                <w:bCs/>
                <w:sz w:val="18"/>
                <w:szCs w:val="18"/>
                <w:lang w:eastAsia="hr-HR"/>
              </w:rPr>
              <w:t>BROJ OSUĐENIH OSOBA</w:t>
            </w:r>
          </w:p>
        </w:tc>
        <w:tc>
          <w:tcPr>
            <w:tcW w:w="1276" w:type="dxa"/>
            <w:gridSpan w:val="5"/>
            <w:tcBorders>
              <w:top w:val="single" w:sz="4" w:space="0" w:color="auto"/>
              <w:left w:val="nil"/>
              <w:bottom w:val="single" w:sz="4" w:space="0" w:color="auto"/>
              <w:right w:val="single" w:sz="4" w:space="0" w:color="000000"/>
            </w:tcBorders>
            <w:shd w:val="clear" w:color="000000" w:fill="CCFFCC"/>
            <w:vAlign w:val="center"/>
            <w:hideMark/>
          </w:tcPr>
          <w:p w14:paraId="0BE87B7D" w14:textId="77777777" w:rsidR="005F3233" w:rsidRPr="001752B7" w:rsidRDefault="005F3233" w:rsidP="005F3233">
            <w:pPr>
              <w:spacing w:after="0" w:line="240" w:lineRule="auto"/>
              <w:jc w:val="center"/>
              <w:rPr>
                <w:rFonts w:ascii="Tahoma" w:eastAsia="Times New Roman" w:hAnsi="Tahoma" w:cs="Tahoma"/>
                <w:sz w:val="18"/>
                <w:szCs w:val="18"/>
                <w:lang w:eastAsia="hr-HR"/>
              </w:rPr>
            </w:pPr>
            <w:r w:rsidRPr="001752B7">
              <w:rPr>
                <w:rFonts w:ascii="Tahoma" w:eastAsia="Times New Roman" w:hAnsi="Tahoma" w:cs="Tahoma"/>
                <w:sz w:val="18"/>
                <w:szCs w:val="18"/>
                <w:lang w:eastAsia="hr-HR"/>
              </w:rPr>
              <w:t>Broj diskriminiranih osoba prema pravomoćnoj presudi</w:t>
            </w:r>
          </w:p>
        </w:tc>
        <w:tc>
          <w:tcPr>
            <w:tcW w:w="994" w:type="dxa"/>
            <w:gridSpan w:val="5"/>
            <w:tcBorders>
              <w:top w:val="single" w:sz="4" w:space="0" w:color="auto"/>
              <w:left w:val="nil"/>
              <w:bottom w:val="single" w:sz="4" w:space="0" w:color="auto"/>
              <w:right w:val="single" w:sz="8" w:space="0" w:color="000000"/>
            </w:tcBorders>
            <w:shd w:val="clear" w:color="000000" w:fill="CCFFCC"/>
            <w:vAlign w:val="center"/>
            <w:hideMark/>
          </w:tcPr>
          <w:p w14:paraId="70D61232" w14:textId="77777777" w:rsidR="005F3233" w:rsidRPr="001752B7" w:rsidRDefault="005F3233" w:rsidP="005F3233">
            <w:pPr>
              <w:spacing w:after="0" w:line="240" w:lineRule="auto"/>
              <w:jc w:val="center"/>
              <w:rPr>
                <w:rFonts w:ascii="Calibri" w:eastAsia="Times New Roman" w:hAnsi="Calibri" w:cs="Calibri"/>
                <w:b/>
                <w:bCs/>
                <w:sz w:val="18"/>
                <w:szCs w:val="18"/>
                <w:lang w:eastAsia="hr-HR"/>
              </w:rPr>
            </w:pPr>
            <w:r w:rsidRPr="001752B7">
              <w:rPr>
                <w:rFonts w:ascii="Calibri" w:eastAsia="Times New Roman" w:hAnsi="Calibri" w:cs="Calibri"/>
                <w:b/>
                <w:bCs/>
                <w:sz w:val="18"/>
                <w:szCs w:val="18"/>
                <w:lang w:eastAsia="hr-HR"/>
              </w:rPr>
              <w:t>TRAJANJE POSTUPKA</w:t>
            </w:r>
          </w:p>
        </w:tc>
        <w:tc>
          <w:tcPr>
            <w:tcW w:w="236" w:type="dxa"/>
            <w:gridSpan w:val="3"/>
            <w:vAlign w:val="center"/>
            <w:hideMark/>
          </w:tcPr>
          <w:p w14:paraId="5F84F34F" w14:textId="77777777" w:rsidR="005F3233" w:rsidRPr="005F3233" w:rsidRDefault="005F3233" w:rsidP="005F3233">
            <w:pPr>
              <w:spacing w:after="0" w:line="240" w:lineRule="auto"/>
              <w:rPr>
                <w:rFonts w:ascii="Times New Roman" w:eastAsia="Times New Roman" w:hAnsi="Times New Roman" w:cs="Times New Roman"/>
                <w:sz w:val="20"/>
                <w:szCs w:val="20"/>
                <w:lang w:eastAsia="hr-HR"/>
              </w:rPr>
            </w:pPr>
          </w:p>
        </w:tc>
      </w:tr>
      <w:tr w:rsidR="005F3233" w:rsidRPr="005F3233" w14:paraId="23112FDF" w14:textId="77777777" w:rsidTr="000271A1">
        <w:trPr>
          <w:gridBefore w:val="1"/>
          <w:gridAfter w:val="2"/>
          <w:wBefore w:w="10" w:type="dxa"/>
          <w:wAfter w:w="237" w:type="dxa"/>
          <w:trHeight w:val="4842"/>
        </w:trPr>
        <w:tc>
          <w:tcPr>
            <w:tcW w:w="869" w:type="dxa"/>
            <w:vMerge/>
            <w:tcBorders>
              <w:top w:val="single" w:sz="8" w:space="0" w:color="auto"/>
              <w:left w:val="single" w:sz="8" w:space="0" w:color="auto"/>
              <w:bottom w:val="single" w:sz="4" w:space="0" w:color="auto"/>
              <w:right w:val="single" w:sz="4" w:space="0" w:color="auto"/>
            </w:tcBorders>
            <w:vAlign w:val="center"/>
            <w:hideMark/>
          </w:tcPr>
          <w:p w14:paraId="15530925" w14:textId="77777777" w:rsidR="005F3233" w:rsidRPr="001752B7" w:rsidRDefault="005F3233" w:rsidP="005F3233">
            <w:pPr>
              <w:spacing w:after="0" w:line="240" w:lineRule="auto"/>
              <w:rPr>
                <w:rFonts w:ascii="Calibri" w:eastAsia="Times New Roman" w:hAnsi="Calibri" w:cs="Calibri"/>
                <w:b/>
                <w:bCs/>
                <w:sz w:val="18"/>
                <w:szCs w:val="18"/>
                <w:lang w:eastAsia="hr-HR"/>
              </w:rPr>
            </w:pPr>
          </w:p>
        </w:tc>
        <w:tc>
          <w:tcPr>
            <w:tcW w:w="457" w:type="dxa"/>
            <w:vMerge/>
            <w:tcBorders>
              <w:top w:val="nil"/>
              <w:left w:val="single" w:sz="4" w:space="0" w:color="auto"/>
              <w:bottom w:val="single" w:sz="4" w:space="0" w:color="auto"/>
              <w:right w:val="single" w:sz="4" w:space="0" w:color="auto"/>
            </w:tcBorders>
            <w:vAlign w:val="center"/>
            <w:hideMark/>
          </w:tcPr>
          <w:p w14:paraId="2D92A03E" w14:textId="77777777" w:rsidR="005F3233" w:rsidRPr="001752B7" w:rsidRDefault="005F3233" w:rsidP="005F3233">
            <w:pPr>
              <w:spacing w:after="0" w:line="240" w:lineRule="auto"/>
              <w:rPr>
                <w:rFonts w:ascii="Tahoma" w:eastAsia="Times New Roman" w:hAnsi="Tahoma" w:cs="Tahoma"/>
                <w:b/>
                <w:bCs/>
                <w:sz w:val="18"/>
                <w:szCs w:val="18"/>
                <w:lang w:eastAsia="hr-HR"/>
              </w:rPr>
            </w:pPr>
          </w:p>
        </w:tc>
        <w:tc>
          <w:tcPr>
            <w:tcW w:w="449" w:type="dxa"/>
            <w:vMerge/>
            <w:tcBorders>
              <w:top w:val="nil"/>
              <w:left w:val="single" w:sz="4" w:space="0" w:color="auto"/>
              <w:bottom w:val="single" w:sz="4" w:space="0" w:color="auto"/>
              <w:right w:val="single" w:sz="4" w:space="0" w:color="000000"/>
            </w:tcBorders>
            <w:vAlign w:val="center"/>
            <w:hideMark/>
          </w:tcPr>
          <w:p w14:paraId="6D1A2F28" w14:textId="77777777" w:rsidR="005F3233" w:rsidRPr="001752B7" w:rsidRDefault="005F3233" w:rsidP="005F3233">
            <w:pPr>
              <w:spacing w:after="0" w:line="240" w:lineRule="auto"/>
              <w:rPr>
                <w:rFonts w:ascii="Tahoma" w:eastAsia="Times New Roman" w:hAnsi="Tahoma" w:cs="Tahoma"/>
                <w:b/>
                <w:bCs/>
                <w:sz w:val="18"/>
                <w:szCs w:val="18"/>
                <w:lang w:eastAsia="hr-HR"/>
              </w:rPr>
            </w:pPr>
          </w:p>
        </w:tc>
        <w:tc>
          <w:tcPr>
            <w:tcW w:w="421" w:type="dxa"/>
            <w:tcBorders>
              <w:top w:val="nil"/>
              <w:left w:val="nil"/>
              <w:bottom w:val="nil"/>
              <w:right w:val="single" w:sz="4" w:space="0" w:color="auto"/>
            </w:tcBorders>
            <w:shd w:val="clear" w:color="000000" w:fill="CCFFCC"/>
            <w:textDirection w:val="btLr"/>
            <w:vAlign w:val="center"/>
            <w:hideMark/>
          </w:tcPr>
          <w:p w14:paraId="208FFA0F" w14:textId="77777777" w:rsidR="005F3233" w:rsidRPr="001752B7" w:rsidRDefault="005F3233" w:rsidP="005F3233">
            <w:pPr>
              <w:spacing w:after="0" w:line="240" w:lineRule="auto"/>
              <w:jc w:val="center"/>
              <w:rPr>
                <w:rFonts w:ascii="Tahoma" w:eastAsia="Times New Roman" w:hAnsi="Tahoma" w:cs="Tahoma"/>
                <w:sz w:val="18"/>
                <w:szCs w:val="18"/>
                <w:lang w:eastAsia="hr-HR"/>
              </w:rPr>
            </w:pPr>
            <w:r w:rsidRPr="001752B7">
              <w:rPr>
                <w:rFonts w:ascii="Tahoma" w:eastAsia="Times New Roman" w:hAnsi="Tahoma" w:cs="Tahoma"/>
                <w:sz w:val="18"/>
                <w:szCs w:val="18"/>
                <w:lang w:eastAsia="hr-HR"/>
              </w:rPr>
              <w:t>Žene</w:t>
            </w:r>
          </w:p>
        </w:tc>
        <w:tc>
          <w:tcPr>
            <w:tcW w:w="408" w:type="dxa"/>
            <w:tcBorders>
              <w:top w:val="nil"/>
              <w:left w:val="nil"/>
              <w:bottom w:val="nil"/>
              <w:right w:val="single" w:sz="4" w:space="0" w:color="auto"/>
            </w:tcBorders>
            <w:shd w:val="clear" w:color="000000" w:fill="CCFFCC"/>
            <w:textDirection w:val="btLr"/>
            <w:vAlign w:val="center"/>
            <w:hideMark/>
          </w:tcPr>
          <w:p w14:paraId="4E78D3E9" w14:textId="77777777" w:rsidR="005F3233" w:rsidRPr="001752B7" w:rsidRDefault="005F3233" w:rsidP="005F3233">
            <w:pPr>
              <w:spacing w:after="0" w:line="240" w:lineRule="auto"/>
              <w:jc w:val="center"/>
              <w:rPr>
                <w:rFonts w:ascii="Tahoma" w:eastAsia="Times New Roman" w:hAnsi="Tahoma" w:cs="Tahoma"/>
                <w:sz w:val="18"/>
                <w:szCs w:val="18"/>
                <w:lang w:eastAsia="hr-HR"/>
              </w:rPr>
            </w:pPr>
            <w:r w:rsidRPr="001752B7">
              <w:rPr>
                <w:rFonts w:ascii="Tahoma" w:eastAsia="Times New Roman" w:hAnsi="Tahoma" w:cs="Tahoma"/>
                <w:sz w:val="18"/>
                <w:szCs w:val="18"/>
                <w:lang w:eastAsia="hr-HR"/>
              </w:rPr>
              <w:t>Muškarci</w:t>
            </w:r>
          </w:p>
        </w:tc>
        <w:tc>
          <w:tcPr>
            <w:tcW w:w="708" w:type="dxa"/>
            <w:tcBorders>
              <w:top w:val="nil"/>
              <w:left w:val="nil"/>
              <w:bottom w:val="single" w:sz="4" w:space="0" w:color="auto"/>
              <w:right w:val="single" w:sz="4" w:space="0" w:color="auto"/>
            </w:tcBorders>
            <w:shd w:val="clear" w:color="000000" w:fill="CCFFCC"/>
            <w:textDirection w:val="btLr"/>
            <w:vAlign w:val="center"/>
            <w:hideMark/>
          </w:tcPr>
          <w:p w14:paraId="0C666FE8" w14:textId="77777777" w:rsidR="005F3233" w:rsidRPr="001752B7" w:rsidRDefault="005F3233" w:rsidP="005F3233">
            <w:pPr>
              <w:spacing w:after="0" w:line="240" w:lineRule="auto"/>
              <w:jc w:val="center"/>
              <w:rPr>
                <w:rFonts w:ascii="Calibri" w:eastAsia="Times New Roman" w:hAnsi="Calibri" w:cs="Calibri"/>
                <w:sz w:val="18"/>
                <w:szCs w:val="18"/>
                <w:lang w:eastAsia="hr-HR"/>
              </w:rPr>
            </w:pPr>
            <w:r w:rsidRPr="001752B7">
              <w:rPr>
                <w:rFonts w:ascii="Calibri" w:eastAsia="Times New Roman" w:hAnsi="Calibri" w:cs="Calibri"/>
                <w:sz w:val="18"/>
                <w:szCs w:val="18"/>
                <w:lang w:eastAsia="hr-HR"/>
              </w:rPr>
              <w:t>POVREDA RAVNOPRANVOSTI GRAĐANA čl. 106.</w:t>
            </w:r>
          </w:p>
        </w:tc>
        <w:tc>
          <w:tcPr>
            <w:tcW w:w="708" w:type="dxa"/>
            <w:tcBorders>
              <w:top w:val="nil"/>
              <w:left w:val="nil"/>
              <w:bottom w:val="single" w:sz="4" w:space="0" w:color="auto"/>
              <w:right w:val="single" w:sz="4" w:space="0" w:color="auto"/>
            </w:tcBorders>
            <w:shd w:val="clear" w:color="000000" w:fill="CCFFCC"/>
            <w:textDirection w:val="btLr"/>
            <w:vAlign w:val="center"/>
            <w:hideMark/>
          </w:tcPr>
          <w:p w14:paraId="50DFDE16" w14:textId="77777777" w:rsidR="005F3233" w:rsidRPr="001752B7" w:rsidRDefault="005F3233" w:rsidP="005F3233">
            <w:pPr>
              <w:spacing w:after="0" w:line="240" w:lineRule="auto"/>
              <w:jc w:val="center"/>
              <w:rPr>
                <w:rFonts w:ascii="Calibri" w:eastAsia="Times New Roman" w:hAnsi="Calibri" w:cs="Calibri"/>
                <w:sz w:val="18"/>
                <w:szCs w:val="18"/>
                <w:lang w:eastAsia="hr-HR"/>
              </w:rPr>
            </w:pPr>
            <w:r w:rsidRPr="001752B7">
              <w:rPr>
                <w:rFonts w:ascii="Calibri" w:eastAsia="Times New Roman" w:hAnsi="Calibri" w:cs="Calibri"/>
                <w:sz w:val="18"/>
                <w:szCs w:val="18"/>
                <w:lang w:eastAsia="hr-HR"/>
              </w:rPr>
              <w:t xml:space="preserve">RASNA I DRUGA DISKIMINACIJA </w:t>
            </w:r>
            <w:proofErr w:type="spellStart"/>
            <w:r w:rsidRPr="001752B7">
              <w:rPr>
                <w:rFonts w:ascii="Calibri" w:eastAsia="Times New Roman" w:hAnsi="Calibri" w:cs="Calibri"/>
                <w:sz w:val="18"/>
                <w:szCs w:val="18"/>
                <w:lang w:eastAsia="hr-HR"/>
              </w:rPr>
              <w:t>čl</w:t>
            </w:r>
            <w:proofErr w:type="spellEnd"/>
            <w:r w:rsidRPr="001752B7">
              <w:rPr>
                <w:rFonts w:ascii="Calibri" w:eastAsia="Times New Roman" w:hAnsi="Calibri" w:cs="Calibri"/>
                <w:sz w:val="18"/>
                <w:szCs w:val="18"/>
                <w:lang w:eastAsia="hr-HR"/>
              </w:rPr>
              <w:t xml:space="preserve"> 174.</w:t>
            </w:r>
          </w:p>
        </w:tc>
        <w:tc>
          <w:tcPr>
            <w:tcW w:w="708" w:type="dxa"/>
            <w:tcBorders>
              <w:top w:val="nil"/>
              <w:left w:val="nil"/>
              <w:bottom w:val="single" w:sz="4" w:space="0" w:color="auto"/>
              <w:right w:val="single" w:sz="4" w:space="0" w:color="auto"/>
            </w:tcBorders>
            <w:shd w:val="clear" w:color="000000" w:fill="CCFFCC"/>
            <w:textDirection w:val="btLr"/>
            <w:vAlign w:val="center"/>
            <w:hideMark/>
          </w:tcPr>
          <w:p w14:paraId="3757E4C8" w14:textId="77777777" w:rsidR="005F3233" w:rsidRPr="001752B7" w:rsidRDefault="005F3233" w:rsidP="005F3233">
            <w:pPr>
              <w:spacing w:after="0" w:line="240" w:lineRule="auto"/>
              <w:jc w:val="center"/>
              <w:rPr>
                <w:rFonts w:ascii="Calibri" w:eastAsia="Times New Roman" w:hAnsi="Calibri" w:cs="Calibri"/>
                <w:sz w:val="18"/>
                <w:szCs w:val="18"/>
                <w:lang w:eastAsia="hr-HR"/>
              </w:rPr>
            </w:pPr>
            <w:r w:rsidRPr="001752B7">
              <w:rPr>
                <w:rFonts w:ascii="Calibri" w:eastAsia="Times New Roman" w:hAnsi="Calibri" w:cs="Calibri"/>
                <w:sz w:val="18"/>
                <w:szCs w:val="18"/>
                <w:lang w:eastAsia="hr-HR"/>
              </w:rPr>
              <w:t>MUČENJE I DRUGO OKRUTNO, NELJUDSKO ILI PONIŽAVAJUĆE POSTUPANJE čl.176.</w:t>
            </w:r>
          </w:p>
        </w:tc>
        <w:tc>
          <w:tcPr>
            <w:tcW w:w="464" w:type="dxa"/>
            <w:tcBorders>
              <w:top w:val="nil"/>
              <w:left w:val="nil"/>
              <w:bottom w:val="single" w:sz="4" w:space="0" w:color="auto"/>
              <w:right w:val="single" w:sz="4" w:space="0" w:color="auto"/>
            </w:tcBorders>
            <w:shd w:val="clear" w:color="000000" w:fill="CCFFCC"/>
            <w:textDirection w:val="btLr"/>
            <w:vAlign w:val="center"/>
            <w:hideMark/>
          </w:tcPr>
          <w:p w14:paraId="41F0B0FC" w14:textId="77777777" w:rsidR="005F3233" w:rsidRPr="001752B7" w:rsidRDefault="005F3233" w:rsidP="005F3233">
            <w:pPr>
              <w:spacing w:after="0" w:line="240" w:lineRule="auto"/>
              <w:jc w:val="center"/>
              <w:rPr>
                <w:rFonts w:ascii="Calibri" w:eastAsia="Times New Roman" w:hAnsi="Calibri" w:cs="Calibri"/>
                <w:sz w:val="18"/>
                <w:szCs w:val="18"/>
                <w:lang w:eastAsia="hr-HR"/>
              </w:rPr>
            </w:pPr>
            <w:r w:rsidRPr="001752B7">
              <w:rPr>
                <w:rFonts w:ascii="Calibri" w:eastAsia="Times New Roman" w:hAnsi="Calibri" w:cs="Calibri"/>
                <w:sz w:val="18"/>
                <w:szCs w:val="18"/>
                <w:lang w:eastAsia="hr-HR"/>
              </w:rPr>
              <w:t>OSTALO</w:t>
            </w:r>
          </w:p>
        </w:tc>
        <w:tc>
          <w:tcPr>
            <w:tcW w:w="700" w:type="dxa"/>
            <w:tcBorders>
              <w:top w:val="nil"/>
              <w:left w:val="nil"/>
              <w:bottom w:val="single" w:sz="4" w:space="0" w:color="auto"/>
              <w:right w:val="single" w:sz="4" w:space="0" w:color="auto"/>
            </w:tcBorders>
            <w:shd w:val="clear" w:color="000000" w:fill="CCFFCC"/>
            <w:textDirection w:val="btLr"/>
            <w:vAlign w:val="center"/>
            <w:hideMark/>
          </w:tcPr>
          <w:p w14:paraId="49C295B4" w14:textId="77777777" w:rsidR="005F3233" w:rsidRPr="001752B7" w:rsidRDefault="005F3233" w:rsidP="005F3233">
            <w:pPr>
              <w:spacing w:after="0" w:line="240" w:lineRule="auto"/>
              <w:jc w:val="center"/>
              <w:rPr>
                <w:rFonts w:ascii="Calibri" w:eastAsia="Times New Roman" w:hAnsi="Calibri" w:cs="Calibri"/>
                <w:sz w:val="18"/>
                <w:szCs w:val="18"/>
                <w:lang w:eastAsia="hr-HR"/>
              </w:rPr>
            </w:pPr>
            <w:r w:rsidRPr="001752B7">
              <w:rPr>
                <w:rFonts w:ascii="Calibri" w:eastAsia="Times New Roman" w:hAnsi="Calibri" w:cs="Calibri"/>
                <w:sz w:val="18"/>
                <w:szCs w:val="18"/>
                <w:lang w:eastAsia="hr-HR"/>
              </w:rPr>
              <w:t>Mučenje i drugo okrutno, neljudsko ili ponižavajuće postupanje ili kažnjavanje čl. 104</w:t>
            </w:r>
          </w:p>
        </w:tc>
        <w:tc>
          <w:tcPr>
            <w:tcW w:w="699" w:type="dxa"/>
            <w:tcBorders>
              <w:top w:val="nil"/>
              <w:left w:val="nil"/>
              <w:bottom w:val="single" w:sz="4" w:space="0" w:color="auto"/>
              <w:right w:val="single" w:sz="4" w:space="0" w:color="auto"/>
            </w:tcBorders>
            <w:shd w:val="clear" w:color="000000" w:fill="CCFFCC"/>
            <w:textDirection w:val="btLr"/>
            <w:vAlign w:val="center"/>
            <w:hideMark/>
          </w:tcPr>
          <w:p w14:paraId="48F5F248" w14:textId="77777777" w:rsidR="005F3233" w:rsidRPr="001752B7" w:rsidRDefault="005F3233" w:rsidP="005F3233">
            <w:pPr>
              <w:spacing w:after="0" w:line="240" w:lineRule="auto"/>
              <w:jc w:val="center"/>
              <w:rPr>
                <w:rFonts w:ascii="Calibri" w:eastAsia="Times New Roman" w:hAnsi="Calibri" w:cs="Calibri"/>
                <w:sz w:val="18"/>
                <w:szCs w:val="18"/>
                <w:lang w:eastAsia="hr-HR"/>
              </w:rPr>
            </w:pPr>
            <w:r w:rsidRPr="001752B7">
              <w:rPr>
                <w:rFonts w:ascii="Calibri" w:eastAsia="Times New Roman" w:hAnsi="Calibri" w:cs="Calibri"/>
                <w:sz w:val="18"/>
                <w:szCs w:val="18"/>
                <w:lang w:eastAsia="hr-HR"/>
              </w:rPr>
              <w:t>Povreda ravnopravnost čl. 125</w:t>
            </w:r>
          </w:p>
        </w:tc>
        <w:tc>
          <w:tcPr>
            <w:tcW w:w="700" w:type="dxa"/>
            <w:tcBorders>
              <w:top w:val="nil"/>
              <w:left w:val="nil"/>
              <w:bottom w:val="single" w:sz="4" w:space="0" w:color="auto"/>
              <w:right w:val="single" w:sz="4" w:space="0" w:color="auto"/>
            </w:tcBorders>
            <w:shd w:val="clear" w:color="000000" w:fill="CCFFCC"/>
            <w:textDirection w:val="btLr"/>
            <w:vAlign w:val="center"/>
            <w:hideMark/>
          </w:tcPr>
          <w:p w14:paraId="1E5C9078" w14:textId="77777777" w:rsidR="005F3233" w:rsidRPr="001752B7" w:rsidRDefault="005F3233" w:rsidP="005F3233">
            <w:pPr>
              <w:spacing w:after="0" w:line="240" w:lineRule="auto"/>
              <w:jc w:val="center"/>
              <w:rPr>
                <w:rFonts w:ascii="Calibri" w:eastAsia="Times New Roman" w:hAnsi="Calibri" w:cs="Calibri"/>
                <w:sz w:val="18"/>
                <w:szCs w:val="18"/>
                <w:lang w:eastAsia="hr-HR"/>
              </w:rPr>
            </w:pPr>
            <w:r w:rsidRPr="001752B7">
              <w:rPr>
                <w:rFonts w:ascii="Calibri" w:eastAsia="Times New Roman" w:hAnsi="Calibri" w:cs="Calibri"/>
                <w:sz w:val="18"/>
                <w:szCs w:val="18"/>
                <w:lang w:eastAsia="hr-HR"/>
              </w:rPr>
              <w:t>Povreda slobode izražavanja nacionalne pripadnosti čl. 126.</w:t>
            </w:r>
          </w:p>
        </w:tc>
        <w:tc>
          <w:tcPr>
            <w:tcW w:w="464" w:type="dxa"/>
            <w:tcBorders>
              <w:top w:val="nil"/>
              <w:left w:val="nil"/>
              <w:bottom w:val="single" w:sz="4" w:space="0" w:color="auto"/>
              <w:right w:val="single" w:sz="4" w:space="0" w:color="auto"/>
            </w:tcBorders>
            <w:shd w:val="clear" w:color="000000" w:fill="CCFFCC"/>
            <w:textDirection w:val="btLr"/>
            <w:vAlign w:val="center"/>
            <w:hideMark/>
          </w:tcPr>
          <w:p w14:paraId="601F1D0A" w14:textId="77777777" w:rsidR="005F3233" w:rsidRPr="001752B7" w:rsidRDefault="005F3233" w:rsidP="005F3233">
            <w:pPr>
              <w:spacing w:after="0" w:line="240" w:lineRule="auto"/>
              <w:jc w:val="center"/>
              <w:rPr>
                <w:rFonts w:ascii="Calibri" w:eastAsia="Times New Roman" w:hAnsi="Calibri" w:cs="Calibri"/>
                <w:sz w:val="18"/>
                <w:szCs w:val="18"/>
                <w:lang w:eastAsia="hr-HR"/>
              </w:rPr>
            </w:pPr>
            <w:r w:rsidRPr="001752B7">
              <w:rPr>
                <w:rFonts w:ascii="Calibri" w:eastAsia="Times New Roman" w:hAnsi="Calibri" w:cs="Calibri"/>
                <w:sz w:val="18"/>
                <w:szCs w:val="18"/>
                <w:lang w:eastAsia="hr-HR"/>
              </w:rPr>
              <w:t>Spolno uznemiravanje čl. 156.</w:t>
            </w:r>
          </w:p>
        </w:tc>
        <w:tc>
          <w:tcPr>
            <w:tcW w:w="700" w:type="dxa"/>
            <w:tcBorders>
              <w:top w:val="nil"/>
              <w:left w:val="nil"/>
              <w:bottom w:val="single" w:sz="4" w:space="0" w:color="auto"/>
              <w:right w:val="single" w:sz="4" w:space="0" w:color="auto"/>
            </w:tcBorders>
            <w:shd w:val="clear" w:color="000000" w:fill="CCFFCC"/>
            <w:textDirection w:val="btLr"/>
            <w:vAlign w:val="center"/>
            <w:hideMark/>
          </w:tcPr>
          <w:p w14:paraId="24A9F37C" w14:textId="77777777" w:rsidR="005F3233" w:rsidRPr="001752B7" w:rsidRDefault="005F3233" w:rsidP="005F3233">
            <w:pPr>
              <w:spacing w:after="0" w:line="240" w:lineRule="auto"/>
              <w:jc w:val="center"/>
              <w:rPr>
                <w:rFonts w:ascii="Calibri" w:eastAsia="Times New Roman" w:hAnsi="Calibri" w:cs="Calibri"/>
                <w:sz w:val="18"/>
                <w:szCs w:val="18"/>
                <w:lang w:eastAsia="hr-HR"/>
              </w:rPr>
            </w:pPr>
            <w:r w:rsidRPr="001752B7">
              <w:rPr>
                <w:rFonts w:ascii="Calibri" w:eastAsia="Times New Roman" w:hAnsi="Calibri" w:cs="Calibri"/>
                <w:sz w:val="18"/>
                <w:szCs w:val="18"/>
                <w:lang w:eastAsia="hr-HR"/>
              </w:rPr>
              <w:t>Javno poticanje na nasilje i mržnju čl. 325.</w:t>
            </w:r>
          </w:p>
        </w:tc>
        <w:tc>
          <w:tcPr>
            <w:tcW w:w="434" w:type="dxa"/>
            <w:tcBorders>
              <w:top w:val="nil"/>
              <w:left w:val="nil"/>
              <w:bottom w:val="single" w:sz="4" w:space="0" w:color="auto"/>
              <w:right w:val="single" w:sz="4" w:space="0" w:color="auto"/>
            </w:tcBorders>
            <w:shd w:val="clear" w:color="000000" w:fill="CCFFCC"/>
            <w:textDirection w:val="btLr"/>
            <w:vAlign w:val="center"/>
            <w:hideMark/>
          </w:tcPr>
          <w:p w14:paraId="26EE9046" w14:textId="77777777" w:rsidR="005F3233" w:rsidRPr="001752B7" w:rsidRDefault="005F3233" w:rsidP="005F3233">
            <w:pPr>
              <w:spacing w:after="0" w:line="240" w:lineRule="auto"/>
              <w:jc w:val="center"/>
              <w:rPr>
                <w:rFonts w:ascii="Calibri" w:eastAsia="Times New Roman" w:hAnsi="Calibri" w:cs="Calibri"/>
                <w:sz w:val="18"/>
                <w:szCs w:val="18"/>
                <w:lang w:eastAsia="hr-HR"/>
              </w:rPr>
            </w:pPr>
            <w:r w:rsidRPr="001752B7">
              <w:rPr>
                <w:rFonts w:ascii="Calibri" w:eastAsia="Times New Roman" w:hAnsi="Calibri" w:cs="Calibri"/>
                <w:sz w:val="18"/>
                <w:szCs w:val="18"/>
                <w:lang w:eastAsia="hr-HR"/>
              </w:rPr>
              <w:t>Ostalo</w:t>
            </w:r>
          </w:p>
        </w:tc>
        <w:tc>
          <w:tcPr>
            <w:tcW w:w="426" w:type="dxa"/>
            <w:tcBorders>
              <w:top w:val="nil"/>
              <w:left w:val="nil"/>
              <w:bottom w:val="single" w:sz="4" w:space="0" w:color="auto"/>
              <w:right w:val="single" w:sz="4" w:space="0" w:color="auto"/>
            </w:tcBorders>
            <w:shd w:val="clear" w:color="000000" w:fill="CCFFCC"/>
            <w:textDirection w:val="btLr"/>
            <w:vAlign w:val="center"/>
            <w:hideMark/>
          </w:tcPr>
          <w:p w14:paraId="2921980F" w14:textId="77777777" w:rsidR="005F3233" w:rsidRPr="001752B7" w:rsidRDefault="005F3233" w:rsidP="005F3233">
            <w:pPr>
              <w:spacing w:after="0" w:line="240" w:lineRule="auto"/>
              <w:jc w:val="center"/>
              <w:rPr>
                <w:rFonts w:ascii="Calibri" w:eastAsia="Times New Roman" w:hAnsi="Calibri" w:cs="Calibri"/>
                <w:sz w:val="18"/>
                <w:szCs w:val="18"/>
                <w:lang w:eastAsia="hr-HR"/>
              </w:rPr>
            </w:pPr>
            <w:r w:rsidRPr="001752B7">
              <w:rPr>
                <w:rFonts w:ascii="Calibri" w:eastAsia="Times New Roman" w:hAnsi="Calibri" w:cs="Calibri"/>
                <w:sz w:val="18"/>
                <w:szCs w:val="18"/>
                <w:lang w:eastAsia="hr-HR"/>
              </w:rPr>
              <w:t>OSUĐUJUĆA PRESUDA</w:t>
            </w:r>
          </w:p>
        </w:tc>
        <w:tc>
          <w:tcPr>
            <w:tcW w:w="425" w:type="dxa"/>
            <w:tcBorders>
              <w:top w:val="nil"/>
              <w:left w:val="nil"/>
              <w:bottom w:val="single" w:sz="4" w:space="0" w:color="auto"/>
              <w:right w:val="single" w:sz="4" w:space="0" w:color="auto"/>
            </w:tcBorders>
            <w:shd w:val="clear" w:color="000000" w:fill="CCFFCC"/>
            <w:textDirection w:val="btLr"/>
            <w:vAlign w:val="center"/>
            <w:hideMark/>
          </w:tcPr>
          <w:p w14:paraId="08D34DFF" w14:textId="77777777" w:rsidR="005F3233" w:rsidRPr="001752B7" w:rsidRDefault="005F3233" w:rsidP="005F3233">
            <w:pPr>
              <w:spacing w:after="0" w:line="240" w:lineRule="auto"/>
              <w:jc w:val="center"/>
              <w:rPr>
                <w:rFonts w:ascii="Calibri" w:eastAsia="Times New Roman" w:hAnsi="Calibri" w:cs="Calibri"/>
                <w:sz w:val="18"/>
                <w:szCs w:val="18"/>
                <w:lang w:eastAsia="hr-HR"/>
              </w:rPr>
            </w:pPr>
            <w:r w:rsidRPr="001752B7">
              <w:rPr>
                <w:rFonts w:ascii="Calibri" w:eastAsia="Times New Roman" w:hAnsi="Calibri" w:cs="Calibri"/>
                <w:sz w:val="18"/>
                <w:szCs w:val="18"/>
                <w:lang w:eastAsia="hr-HR"/>
              </w:rPr>
              <w:t>OSLOBAĐAJUĆA PRESUDA</w:t>
            </w:r>
          </w:p>
        </w:tc>
        <w:tc>
          <w:tcPr>
            <w:tcW w:w="442" w:type="dxa"/>
            <w:tcBorders>
              <w:top w:val="nil"/>
              <w:left w:val="nil"/>
              <w:bottom w:val="single" w:sz="4" w:space="0" w:color="auto"/>
              <w:right w:val="single" w:sz="4" w:space="0" w:color="auto"/>
            </w:tcBorders>
            <w:shd w:val="clear" w:color="000000" w:fill="CCFFCC"/>
            <w:textDirection w:val="btLr"/>
            <w:vAlign w:val="center"/>
            <w:hideMark/>
          </w:tcPr>
          <w:p w14:paraId="2D63DB3F" w14:textId="77777777" w:rsidR="005F3233" w:rsidRPr="001752B7" w:rsidRDefault="005F3233" w:rsidP="005F3233">
            <w:pPr>
              <w:spacing w:after="0" w:line="240" w:lineRule="auto"/>
              <w:jc w:val="center"/>
              <w:rPr>
                <w:rFonts w:ascii="Calibri" w:eastAsia="Times New Roman" w:hAnsi="Calibri" w:cs="Calibri"/>
                <w:sz w:val="18"/>
                <w:szCs w:val="18"/>
                <w:lang w:eastAsia="hr-HR"/>
              </w:rPr>
            </w:pPr>
            <w:r w:rsidRPr="001752B7">
              <w:rPr>
                <w:rFonts w:ascii="Calibri" w:eastAsia="Times New Roman" w:hAnsi="Calibri" w:cs="Calibri"/>
                <w:sz w:val="18"/>
                <w:szCs w:val="18"/>
                <w:lang w:eastAsia="hr-HR"/>
              </w:rPr>
              <w:t>NA DRUGI NAČIN</w:t>
            </w:r>
          </w:p>
        </w:tc>
        <w:tc>
          <w:tcPr>
            <w:tcW w:w="451" w:type="dxa"/>
            <w:tcBorders>
              <w:top w:val="nil"/>
              <w:left w:val="nil"/>
              <w:bottom w:val="single" w:sz="4" w:space="0" w:color="auto"/>
              <w:right w:val="single" w:sz="4" w:space="0" w:color="auto"/>
            </w:tcBorders>
            <w:shd w:val="clear" w:color="000000" w:fill="CCFFCC"/>
            <w:textDirection w:val="btLr"/>
            <w:vAlign w:val="center"/>
            <w:hideMark/>
          </w:tcPr>
          <w:p w14:paraId="6ADECEC9" w14:textId="77777777" w:rsidR="005F3233" w:rsidRPr="001752B7" w:rsidRDefault="005F3233" w:rsidP="005F3233">
            <w:pPr>
              <w:spacing w:after="0" w:line="240" w:lineRule="auto"/>
              <w:jc w:val="center"/>
              <w:rPr>
                <w:rFonts w:ascii="Tahoma" w:eastAsia="Times New Roman" w:hAnsi="Tahoma" w:cs="Tahoma"/>
                <w:b/>
                <w:bCs/>
                <w:sz w:val="18"/>
                <w:szCs w:val="18"/>
                <w:lang w:eastAsia="hr-HR"/>
              </w:rPr>
            </w:pPr>
            <w:r w:rsidRPr="001752B7">
              <w:rPr>
                <w:rFonts w:ascii="Tahoma" w:eastAsia="Times New Roman" w:hAnsi="Tahoma" w:cs="Tahoma"/>
                <w:b/>
                <w:bCs/>
                <w:sz w:val="18"/>
                <w:szCs w:val="18"/>
                <w:lang w:eastAsia="hr-HR"/>
              </w:rPr>
              <w:t>Ukupno pravomoćno riješeno</w:t>
            </w:r>
          </w:p>
        </w:tc>
        <w:tc>
          <w:tcPr>
            <w:tcW w:w="383" w:type="dxa"/>
            <w:gridSpan w:val="2"/>
            <w:tcBorders>
              <w:top w:val="nil"/>
              <w:left w:val="nil"/>
              <w:bottom w:val="single" w:sz="4" w:space="0" w:color="auto"/>
              <w:right w:val="single" w:sz="4" w:space="0" w:color="auto"/>
            </w:tcBorders>
            <w:shd w:val="clear" w:color="000000" w:fill="CCFFCC"/>
            <w:textDirection w:val="btLr"/>
            <w:vAlign w:val="center"/>
            <w:hideMark/>
          </w:tcPr>
          <w:p w14:paraId="00AFD921" w14:textId="77777777" w:rsidR="005F3233" w:rsidRPr="001752B7" w:rsidRDefault="005F3233" w:rsidP="005F3233">
            <w:pPr>
              <w:spacing w:after="0" w:line="240" w:lineRule="auto"/>
              <w:jc w:val="center"/>
              <w:rPr>
                <w:rFonts w:ascii="Calibri" w:eastAsia="Times New Roman" w:hAnsi="Calibri" w:cs="Calibri"/>
                <w:sz w:val="18"/>
                <w:szCs w:val="18"/>
                <w:lang w:eastAsia="hr-HR"/>
              </w:rPr>
            </w:pPr>
            <w:r w:rsidRPr="001752B7">
              <w:rPr>
                <w:rFonts w:ascii="Calibri" w:eastAsia="Times New Roman" w:hAnsi="Calibri" w:cs="Calibri"/>
                <w:sz w:val="18"/>
                <w:szCs w:val="18"/>
                <w:lang w:eastAsia="hr-HR"/>
              </w:rPr>
              <w:t>Kazna zatvora</w:t>
            </w:r>
          </w:p>
        </w:tc>
        <w:tc>
          <w:tcPr>
            <w:tcW w:w="392" w:type="dxa"/>
            <w:tcBorders>
              <w:top w:val="nil"/>
              <w:left w:val="nil"/>
              <w:bottom w:val="single" w:sz="4" w:space="0" w:color="auto"/>
              <w:right w:val="single" w:sz="4" w:space="0" w:color="auto"/>
            </w:tcBorders>
            <w:shd w:val="clear" w:color="000000" w:fill="CCFFCC"/>
            <w:textDirection w:val="btLr"/>
            <w:vAlign w:val="center"/>
            <w:hideMark/>
          </w:tcPr>
          <w:p w14:paraId="75296DE0" w14:textId="77777777" w:rsidR="005F3233" w:rsidRPr="001752B7" w:rsidRDefault="005F3233" w:rsidP="005F3233">
            <w:pPr>
              <w:spacing w:after="0" w:line="240" w:lineRule="auto"/>
              <w:jc w:val="center"/>
              <w:rPr>
                <w:rFonts w:ascii="Calibri" w:eastAsia="Times New Roman" w:hAnsi="Calibri" w:cs="Calibri"/>
                <w:sz w:val="18"/>
                <w:szCs w:val="18"/>
                <w:lang w:eastAsia="hr-HR"/>
              </w:rPr>
            </w:pPr>
            <w:r w:rsidRPr="001752B7">
              <w:rPr>
                <w:rFonts w:ascii="Calibri" w:eastAsia="Times New Roman" w:hAnsi="Calibri" w:cs="Calibri"/>
                <w:sz w:val="18"/>
                <w:szCs w:val="18"/>
                <w:lang w:eastAsia="hr-HR"/>
              </w:rPr>
              <w:t xml:space="preserve">Uvjetna osuda </w:t>
            </w:r>
          </w:p>
        </w:tc>
        <w:tc>
          <w:tcPr>
            <w:tcW w:w="400" w:type="dxa"/>
            <w:tcBorders>
              <w:top w:val="nil"/>
              <w:left w:val="nil"/>
              <w:bottom w:val="single" w:sz="4" w:space="0" w:color="auto"/>
              <w:right w:val="single" w:sz="4" w:space="0" w:color="auto"/>
            </w:tcBorders>
            <w:shd w:val="clear" w:color="000000" w:fill="CCFFCC"/>
            <w:textDirection w:val="btLr"/>
            <w:vAlign w:val="center"/>
            <w:hideMark/>
          </w:tcPr>
          <w:p w14:paraId="51690EA1" w14:textId="77777777" w:rsidR="005F3233" w:rsidRPr="001752B7" w:rsidRDefault="005F3233" w:rsidP="005F3233">
            <w:pPr>
              <w:spacing w:after="0" w:line="240" w:lineRule="auto"/>
              <w:jc w:val="center"/>
              <w:rPr>
                <w:rFonts w:ascii="Calibri" w:eastAsia="Times New Roman" w:hAnsi="Calibri" w:cs="Calibri"/>
                <w:sz w:val="18"/>
                <w:szCs w:val="18"/>
                <w:lang w:eastAsia="hr-HR"/>
              </w:rPr>
            </w:pPr>
            <w:r w:rsidRPr="001752B7">
              <w:rPr>
                <w:rFonts w:ascii="Calibri" w:eastAsia="Times New Roman" w:hAnsi="Calibri" w:cs="Calibri"/>
                <w:sz w:val="18"/>
                <w:szCs w:val="18"/>
                <w:lang w:eastAsia="hr-HR"/>
              </w:rPr>
              <w:t>Rad za opće dobro</w:t>
            </w:r>
          </w:p>
        </w:tc>
        <w:tc>
          <w:tcPr>
            <w:tcW w:w="409" w:type="dxa"/>
            <w:tcBorders>
              <w:top w:val="nil"/>
              <w:left w:val="nil"/>
              <w:bottom w:val="single" w:sz="4" w:space="0" w:color="auto"/>
              <w:right w:val="single" w:sz="4" w:space="0" w:color="auto"/>
            </w:tcBorders>
            <w:shd w:val="clear" w:color="000000" w:fill="CCFFCC"/>
            <w:textDirection w:val="btLr"/>
            <w:vAlign w:val="center"/>
            <w:hideMark/>
          </w:tcPr>
          <w:p w14:paraId="46631D37" w14:textId="77777777" w:rsidR="005F3233" w:rsidRPr="001752B7" w:rsidRDefault="005F3233" w:rsidP="005F3233">
            <w:pPr>
              <w:spacing w:after="0" w:line="240" w:lineRule="auto"/>
              <w:jc w:val="center"/>
              <w:rPr>
                <w:rFonts w:ascii="Tahoma" w:eastAsia="Times New Roman" w:hAnsi="Tahoma" w:cs="Tahoma"/>
                <w:b/>
                <w:bCs/>
                <w:sz w:val="18"/>
                <w:szCs w:val="18"/>
                <w:lang w:eastAsia="hr-HR"/>
              </w:rPr>
            </w:pPr>
            <w:r w:rsidRPr="001752B7">
              <w:rPr>
                <w:rFonts w:ascii="Tahoma" w:eastAsia="Times New Roman" w:hAnsi="Tahoma" w:cs="Tahoma"/>
                <w:b/>
                <w:bCs/>
                <w:sz w:val="18"/>
                <w:szCs w:val="18"/>
                <w:lang w:eastAsia="hr-HR"/>
              </w:rPr>
              <w:t>Ukupno</w:t>
            </w:r>
          </w:p>
        </w:tc>
        <w:tc>
          <w:tcPr>
            <w:tcW w:w="499" w:type="dxa"/>
            <w:gridSpan w:val="2"/>
            <w:tcBorders>
              <w:top w:val="nil"/>
              <w:left w:val="single" w:sz="4" w:space="0" w:color="auto"/>
              <w:bottom w:val="single" w:sz="4" w:space="0" w:color="auto"/>
              <w:right w:val="single" w:sz="4" w:space="0" w:color="auto"/>
            </w:tcBorders>
            <w:vAlign w:val="center"/>
            <w:hideMark/>
          </w:tcPr>
          <w:p w14:paraId="6364A1F1" w14:textId="77777777" w:rsidR="005F3233" w:rsidRPr="001752B7" w:rsidRDefault="005F3233" w:rsidP="005F3233">
            <w:pPr>
              <w:spacing w:after="0" w:line="240" w:lineRule="auto"/>
              <w:rPr>
                <w:rFonts w:ascii="Calibri" w:eastAsia="Times New Roman" w:hAnsi="Calibri" w:cs="Calibri"/>
                <w:b/>
                <w:bCs/>
                <w:sz w:val="18"/>
                <w:szCs w:val="18"/>
                <w:lang w:eastAsia="hr-HR"/>
              </w:rPr>
            </w:pPr>
          </w:p>
        </w:tc>
        <w:tc>
          <w:tcPr>
            <w:tcW w:w="567" w:type="dxa"/>
            <w:tcBorders>
              <w:top w:val="nil"/>
              <w:left w:val="single" w:sz="4" w:space="0" w:color="auto"/>
              <w:bottom w:val="single" w:sz="4" w:space="0" w:color="000000"/>
              <w:right w:val="single" w:sz="4" w:space="0" w:color="000000"/>
            </w:tcBorders>
            <w:vAlign w:val="center"/>
            <w:hideMark/>
          </w:tcPr>
          <w:p w14:paraId="26A58806" w14:textId="77777777" w:rsidR="005F3233" w:rsidRPr="001752B7" w:rsidRDefault="005F3233" w:rsidP="005F3233">
            <w:pPr>
              <w:spacing w:after="0" w:line="240" w:lineRule="auto"/>
              <w:rPr>
                <w:rFonts w:ascii="Calibri" w:eastAsia="Times New Roman" w:hAnsi="Calibri" w:cs="Calibri"/>
                <w:b/>
                <w:bCs/>
                <w:sz w:val="18"/>
                <w:szCs w:val="18"/>
                <w:lang w:eastAsia="hr-HR"/>
              </w:rPr>
            </w:pPr>
          </w:p>
        </w:tc>
        <w:tc>
          <w:tcPr>
            <w:tcW w:w="425" w:type="dxa"/>
            <w:gridSpan w:val="2"/>
            <w:tcBorders>
              <w:top w:val="nil"/>
              <w:left w:val="nil"/>
              <w:bottom w:val="single" w:sz="4" w:space="0" w:color="auto"/>
              <w:right w:val="single" w:sz="4" w:space="0" w:color="auto"/>
            </w:tcBorders>
            <w:shd w:val="clear" w:color="000000" w:fill="CCFFCC"/>
            <w:textDirection w:val="btLr"/>
            <w:vAlign w:val="center"/>
            <w:hideMark/>
          </w:tcPr>
          <w:p w14:paraId="3760101E" w14:textId="77777777" w:rsidR="005F3233" w:rsidRPr="001752B7" w:rsidRDefault="005F3233" w:rsidP="005F3233">
            <w:pPr>
              <w:spacing w:after="0" w:line="240" w:lineRule="auto"/>
              <w:jc w:val="center"/>
              <w:rPr>
                <w:rFonts w:ascii="Tahoma" w:eastAsia="Times New Roman" w:hAnsi="Tahoma" w:cs="Tahoma"/>
                <w:sz w:val="18"/>
                <w:szCs w:val="18"/>
                <w:lang w:eastAsia="hr-HR"/>
              </w:rPr>
            </w:pPr>
            <w:r w:rsidRPr="001752B7">
              <w:rPr>
                <w:rFonts w:ascii="Tahoma" w:eastAsia="Times New Roman" w:hAnsi="Tahoma" w:cs="Tahoma"/>
                <w:sz w:val="18"/>
                <w:szCs w:val="18"/>
                <w:lang w:eastAsia="hr-HR"/>
              </w:rPr>
              <w:t xml:space="preserve">Žene </w:t>
            </w:r>
          </w:p>
        </w:tc>
        <w:tc>
          <w:tcPr>
            <w:tcW w:w="434" w:type="dxa"/>
            <w:gridSpan w:val="2"/>
            <w:tcBorders>
              <w:top w:val="nil"/>
              <w:left w:val="nil"/>
              <w:bottom w:val="single" w:sz="4" w:space="0" w:color="auto"/>
              <w:right w:val="single" w:sz="4" w:space="0" w:color="auto"/>
            </w:tcBorders>
            <w:shd w:val="clear" w:color="000000" w:fill="CCFFCC"/>
            <w:textDirection w:val="btLr"/>
            <w:vAlign w:val="center"/>
            <w:hideMark/>
          </w:tcPr>
          <w:p w14:paraId="7B5722BD" w14:textId="77777777" w:rsidR="005F3233" w:rsidRPr="001752B7" w:rsidRDefault="005F3233" w:rsidP="005F3233">
            <w:pPr>
              <w:spacing w:after="0" w:line="240" w:lineRule="auto"/>
              <w:jc w:val="center"/>
              <w:rPr>
                <w:rFonts w:ascii="Tahoma" w:eastAsia="Times New Roman" w:hAnsi="Tahoma" w:cs="Tahoma"/>
                <w:sz w:val="18"/>
                <w:szCs w:val="18"/>
                <w:lang w:eastAsia="hr-HR"/>
              </w:rPr>
            </w:pPr>
            <w:r w:rsidRPr="001752B7">
              <w:rPr>
                <w:rFonts w:ascii="Tahoma" w:eastAsia="Times New Roman" w:hAnsi="Tahoma" w:cs="Tahoma"/>
                <w:sz w:val="18"/>
                <w:szCs w:val="18"/>
                <w:lang w:eastAsia="hr-HR"/>
              </w:rPr>
              <w:t>Muškarci</w:t>
            </w:r>
          </w:p>
        </w:tc>
        <w:tc>
          <w:tcPr>
            <w:tcW w:w="417" w:type="dxa"/>
            <w:tcBorders>
              <w:top w:val="nil"/>
              <w:left w:val="nil"/>
              <w:bottom w:val="single" w:sz="4" w:space="0" w:color="auto"/>
              <w:right w:val="single" w:sz="4" w:space="0" w:color="auto"/>
            </w:tcBorders>
            <w:shd w:val="clear" w:color="000000" w:fill="CCFFCC"/>
            <w:textDirection w:val="btLr"/>
            <w:vAlign w:val="center"/>
            <w:hideMark/>
          </w:tcPr>
          <w:p w14:paraId="58DCB6AD" w14:textId="77777777" w:rsidR="005F3233" w:rsidRPr="001752B7" w:rsidRDefault="005F3233" w:rsidP="005F3233">
            <w:pPr>
              <w:spacing w:after="0" w:line="240" w:lineRule="auto"/>
              <w:jc w:val="center"/>
              <w:rPr>
                <w:rFonts w:ascii="Tahoma" w:eastAsia="Times New Roman" w:hAnsi="Tahoma" w:cs="Tahoma"/>
                <w:sz w:val="18"/>
                <w:szCs w:val="18"/>
                <w:lang w:eastAsia="hr-HR"/>
              </w:rPr>
            </w:pPr>
            <w:r w:rsidRPr="001752B7">
              <w:rPr>
                <w:rFonts w:ascii="Tahoma" w:eastAsia="Times New Roman" w:hAnsi="Tahoma" w:cs="Tahoma"/>
                <w:sz w:val="18"/>
                <w:szCs w:val="18"/>
                <w:lang w:eastAsia="hr-HR"/>
              </w:rPr>
              <w:t>Ostalo</w:t>
            </w:r>
          </w:p>
        </w:tc>
        <w:tc>
          <w:tcPr>
            <w:tcW w:w="425" w:type="dxa"/>
            <w:gridSpan w:val="3"/>
            <w:tcBorders>
              <w:top w:val="nil"/>
              <w:left w:val="nil"/>
              <w:bottom w:val="single" w:sz="4" w:space="0" w:color="auto"/>
              <w:right w:val="single" w:sz="4" w:space="0" w:color="auto"/>
            </w:tcBorders>
            <w:shd w:val="clear" w:color="000000" w:fill="CCFFCC"/>
            <w:textDirection w:val="btLr"/>
            <w:vAlign w:val="center"/>
            <w:hideMark/>
          </w:tcPr>
          <w:p w14:paraId="2658FB2B" w14:textId="77777777" w:rsidR="005F3233" w:rsidRPr="001752B7" w:rsidRDefault="005F3233" w:rsidP="005F3233">
            <w:pPr>
              <w:spacing w:after="0" w:line="240" w:lineRule="auto"/>
              <w:jc w:val="center"/>
              <w:rPr>
                <w:rFonts w:ascii="Calibri" w:eastAsia="Times New Roman" w:hAnsi="Calibri" w:cs="Calibri"/>
                <w:b/>
                <w:bCs/>
                <w:sz w:val="18"/>
                <w:szCs w:val="18"/>
                <w:lang w:eastAsia="hr-HR"/>
              </w:rPr>
            </w:pPr>
            <w:r w:rsidRPr="001752B7">
              <w:rPr>
                <w:rFonts w:ascii="Calibri" w:eastAsia="Times New Roman" w:hAnsi="Calibri" w:cs="Calibri"/>
                <w:b/>
                <w:bCs/>
                <w:sz w:val="18"/>
                <w:szCs w:val="18"/>
                <w:lang w:eastAsia="hr-HR"/>
              </w:rPr>
              <w:t xml:space="preserve"> DO 12 MJESECI</w:t>
            </w:r>
          </w:p>
        </w:tc>
        <w:tc>
          <w:tcPr>
            <w:tcW w:w="569" w:type="dxa"/>
            <w:gridSpan w:val="2"/>
            <w:tcBorders>
              <w:top w:val="nil"/>
              <w:left w:val="nil"/>
              <w:bottom w:val="single" w:sz="4" w:space="0" w:color="auto"/>
              <w:right w:val="single" w:sz="8" w:space="0" w:color="auto"/>
            </w:tcBorders>
            <w:shd w:val="clear" w:color="000000" w:fill="CCFFCC"/>
            <w:textDirection w:val="btLr"/>
            <w:vAlign w:val="center"/>
            <w:hideMark/>
          </w:tcPr>
          <w:p w14:paraId="3EA85ED0" w14:textId="77777777" w:rsidR="005F3233" w:rsidRPr="001752B7" w:rsidRDefault="005F3233" w:rsidP="005F3233">
            <w:pPr>
              <w:spacing w:after="0" w:line="240" w:lineRule="auto"/>
              <w:jc w:val="center"/>
              <w:rPr>
                <w:rFonts w:ascii="Calibri" w:eastAsia="Times New Roman" w:hAnsi="Calibri" w:cs="Calibri"/>
                <w:b/>
                <w:bCs/>
                <w:sz w:val="18"/>
                <w:szCs w:val="18"/>
                <w:lang w:eastAsia="hr-HR"/>
              </w:rPr>
            </w:pPr>
            <w:r w:rsidRPr="001752B7">
              <w:rPr>
                <w:rFonts w:ascii="Calibri" w:eastAsia="Times New Roman" w:hAnsi="Calibri" w:cs="Calibri"/>
                <w:b/>
                <w:bCs/>
                <w:sz w:val="18"/>
                <w:szCs w:val="18"/>
                <w:lang w:eastAsia="hr-HR"/>
              </w:rPr>
              <w:t>PREKO 12 MJESECI</w:t>
            </w:r>
          </w:p>
        </w:tc>
        <w:tc>
          <w:tcPr>
            <w:tcW w:w="236" w:type="dxa"/>
            <w:gridSpan w:val="3"/>
            <w:vAlign w:val="center"/>
            <w:hideMark/>
          </w:tcPr>
          <w:p w14:paraId="5C4A2242" w14:textId="77777777" w:rsidR="005F3233" w:rsidRPr="005F3233" w:rsidRDefault="005F3233" w:rsidP="005F3233">
            <w:pPr>
              <w:spacing w:after="0" w:line="240" w:lineRule="auto"/>
              <w:rPr>
                <w:rFonts w:ascii="Times New Roman" w:eastAsia="Times New Roman" w:hAnsi="Times New Roman" w:cs="Times New Roman"/>
                <w:sz w:val="20"/>
                <w:szCs w:val="20"/>
                <w:lang w:eastAsia="hr-HR"/>
              </w:rPr>
            </w:pPr>
          </w:p>
        </w:tc>
      </w:tr>
      <w:tr w:rsidR="005F3233" w:rsidRPr="005F3233" w14:paraId="21DBA31D" w14:textId="77777777" w:rsidTr="000271A1">
        <w:trPr>
          <w:gridBefore w:val="1"/>
          <w:gridAfter w:val="2"/>
          <w:wBefore w:w="10" w:type="dxa"/>
          <w:wAfter w:w="237" w:type="dxa"/>
          <w:trHeight w:val="300"/>
        </w:trPr>
        <w:tc>
          <w:tcPr>
            <w:tcW w:w="869" w:type="dxa"/>
            <w:tcBorders>
              <w:top w:val="single" w:sz="4" w:space="0" w:color="auto"/>
              <w:left w:val="single" w:sz="8" w:space="0" w:color="auto"/>
              <w:bottom w:val="single" w:sz="4" w:space="0" w:color="auto"/>
              <w:right w:val="nil"/>
            </w:tcBorders>
            <w:shd w:val="clear" w:color="000000" w:fill="CCFFCC"/>
            <w:vAlign w:val="center"/>
            <w:hideMark/>
          </w:tcPr>
          <w:p w14:paraId="65663515" w14:textId="77777777" w:rsidR="005F3233" w:rsidRPr="000271A1" w:rsidRDefault="005F3233" w:rsidP="005F3233">
            <w:pPr>
              <w:spacing w:after="0" w:line="240" w:lineRule="auto"/>
              <w:jc w:val="center"/>
              <w:rPr>
                <w:rFonts w:ascii="Calibri" w:eastAsia="Times New Roman" w:hAnsi="Calibri" w:cs="Calibri"/>
                <w:sz w:val="16"/>
                <w:szCs w:val="16"/>
                <w:lang w:eastAsia="hr-HR"/>
              </w:rPr>
            </w:pPr>
            <w:r w:rsidRPr="000271A1">
              <w:rPr>
                <w:rFonts w:ascii="Calibri" w:eastAsia="Times New Roman" w:hAnsi="Calibri" w:cs="Calibri"/>
                <w:sz w:val="16"/>
                <w:szCs w:val="16"/>
                <w:lang w:eastAsia="hr-HR"/>
              </w:rPr>
              <w:t>1.</w:t>
            </w:r>
          </w:p>
        </w:tc>
        <w:tc>
          <w:tcPr>
            <w:tcW w:w="457" w:type="dxa"/>
            <w:tcBorders>
              <w:top w:val="nil"/>
              <w:left w:val="single" w:sz="4" w:space="0" w:color="auto"/>
              <w:bottom w:val="single" w:sz="4" w:space="0" w:color="auto"/>
              <w:right w:val="single" w:sz="4" w:space="0" w:color="auto"/>
            </w:tcBorders>
            <w:shd w:val="clear" w:color="000000" w:fill="CCFFCC"/>
            <w:vAlign w:val="center"/>
            <w:hideMark/>
          </w:tcPr>
          <w:p w14:paraId="1D0F53E0" w14:textId="77777777" w:rsidR="005F3233" w:rsidRPr="000271A1" w:rsidRDefault="005F3233" w:rsidP="005F3233">
            <w:pPr>
              <w:spacing w:after="0" w:line="240" w:lineRule="auto"/>
              <w:jc w:val="center"/>
              <w:rPr>
                <w:rFonts w:ascii="Calibri" w:eastAsia="Times New Roman" w:hAnsi="Calibri" w:cs="Calibri"/>
                <w:b/>
                <w:bCs/>
                <w:sz w:val="16"/>
                <w:szCs w:val="16"/>
                <w:lang w:eastAsia="hr-HR"/>
              </w:rPr>
            </w:pPr>
            <w:r w:rsidRPr="000271A1">
              <w:rPr>
                <w:rFonts w:ascii="Calibri" w:eastAsia="Times New Roman" w:hAnsi="Calibri" w:cs="Calibri"/>
                <w:b/>
                <w:bCs/>
                <w:sz w:val="16"/>
                <w:szCs w:val="16"/>
                <w:lang w:eastAsia="hr-HR"/>
              </w:rPr>
              <w:t>2.</w:t>
            </w:r>
          </w:p>
        </w:tc>
        <w:tc>
          <w:tcPr>
            <w:tcW w:w="449" w:type="dxa"/>
            <w:tcBorders>
              <w:top w:val="nil"/>
              <w:left w:val="nil"/>
              <w:bottom w:val="single" w:sz="4" w:space="0" w:color="auto"/>
              <w:right w:val="single" w:sz="4" w:space="0" w:color="auto"/>
            </w:tcBorders>
            <w:shd w:val="clear" w:color="000000" w:fill="CCFFCC"/>
            <w:vAlign w:val="center"/>
            <w:hideMark/>
          </w:tcPr>
          <w:p w14:paraId="70118BC5" w14:textId="77777777" w:rsidR="005F3233" w:rsidRPr="000271A1" w:rsidRDefault="005F3233" w:rsidP="005F3233">
            <w:pPr>
              <w:spacing w:after="0" w:line="240" w:lineRule="auto"/>
              <w:jc w:val="center"/>
              <w:rPr>
                <w:rFonts w:ascii="Calibri" w:eastAsia="Times New Roman" w:hAnsi="Calibri" w:cs="Calibri"/>
                <w:b/>
                <w:bCs/>
                <w:sz w:val="16"/>
                <w:szCs w:val="16"/>
                <w:lang w:eastAsia="hr-HR"/>
              </w:rPr>
            </w:pPr>
            <w:r w:rsidRPr="000271A1">
              <w:rPr>
                <w:rFonts w:ascii="Calibri" w:eastAsia="Times New Roman" w:hAnsi="Calibri" w:cs="Calibri"/>
                <w:b/>
                <w:bCs/>
                <w:sz w:val="16"/>
                <w:szCs w:val="16"/>
                <w:lang w:eastAsia="hr-HR"/>
              </w:rPr>
              <w:t>3.</w:t>
            </w:r>
          </w:p>
        </w:tc>
        <w:tc>
          <w:tcPr>
            <w:tcW w:w="421" w:type="dxa"/>
            <w:tcBorders>
              <w:top w:val="single" w:sz="4" w:space="0" w:color="auto"/>
              <w:left w:val="nil"/>
              <w:bottom w:val="single" w:sz="4" w:space="0" w:color="auto"/>
              <w:right w:val="single" w:sz="4" w:space="0" w:color="auto"/>
            </w:tcBorders>
            <w:shd w:val="clear" w:color="000000" w:fill="CCFFCC"/>
            <w:vAlign w:val="center"/>
            <w:hideMark/>
          </w:tcPr>
          <w:p w14:paraId="6C2BE4C6" w14:textId="77777777" w:rsidR="005F3233" w:rsidRPr="000271A1" w:rsidRDefault="005F3233" w:rsidP="005F3233">
            <w:pPr>
              <w:spacing w:after="0" w:line="240" w:lineRule="auto"/>
              <w:jc w:val="center"/>
              <w:rPr>
                <w:rFonts w:ascii="Calibri" w:eastAsia="Times New Roman" w:hAnsi="Calibri" w:cs="Calibri"/>
                <w:b/>
                <w:bCs/>
                <w:sz w:val="16"/>
                <w:szCs w:val="16"/>
                <w:lang w:eastAsia="hr-HR"/>
              </w:rPr>
            </w:pPr>
            <w:r w:rsidRPr="000271A1">
              <w:rPr>
                <w:rFonts w:ascii="Calibri" w:eastAsia="Times New Roman" w:hAnsi="Calibri" w:cs="Calibri"/>
                <w:b/>
                <w:bCs/>
                <w:sz w:val="16"/>
                <w:szCs w:val="16"/>
                <w:lang w:eastAsia="hr-HR"/>
              </w:rPr>
              <w:t>4.</w:t>
            </w:r>
          </w:p>
        </w:tc>
        <w:tc>
          <w:tcPr>
            <w:tcW w:w="408" w:type="dxa"/>
            <w:tcBorders>
              <w:top w:val="single" w:sz="4" w:space="0" w:color="auto"/>
              <w:left w:val="nil"/>
              <w:bottom w:val="single" w:sz="4" w:space="0" w:color="auto"/>
              <w:right w:val="single" w:sz="4" w:space="0" w:color="auto"/>
            </w:tcBorders>
            <w:shd w:val="clear" w:color="000000" w:fill="CCFFCC"/>
            <w:vAlign w:val="center"/>
            <w:hideMark/>
          </w:tcPr>
          <w:p w14:paraId="6AF46275" w14:textId="77777777" w:rsidR="005F3233" w:rsidRPr="000271A1" w:rsidRDefault="005F3233" w:rsidP="005F3233">
            <w:pPr>
              <w:spacing w:after="0" w:line="240" w:lineRule="auto"/>
              <w:jc w:val="center"/>
              <w:rPr>
                <w:rFonts w:ascii="Calibri" w:eastAsia="Times New Roman" w:hAnsi="Calibri" w:cs="Calibri"/>
                <w:b/>
                <w:bCs/>
                <w:sz w:val="16"/>
                <w:szCs w:val="16"/>
                <w:lang w:eastAsia="hr-HR"/>
              </w:rPr>
            </w:pPr>
            <w:r w:rsidRPr="000271A1">
              <w:rPr>
                <w:rFonts w:ascii="Calibri" w:eastAsia="Times New Roman" w:hAnsi="Calibri" w:cs="Calibri"/>
                <w:b/>
                <w:bCs/>
                <w:sz w:val="16"/>
                <w:szCs w:val="16"/>
                <w:lang w:eastAsia="hr-HR"/>
              </w:rPr>
              <w:t>5.</w:t>
            </w:r>
          </w:p>
        </w:tc>
        <w:tc>
          <w:tcPr>
            <w:tcW w:w="708" w:type="dxa"/>
            <w:tcBorders>
              <w:top w:val="nil"/>
              <w:left w:val="nil"/>
              <w:bottom w:val="single" w:sz="4" w:space="0" w:color="auto"/>
              <w:right w:val="single" w:sz="4" w:space="0" w:color="auto"/>
            </w:tcBorders>
            <w:shd w:val="clear" w:color="000000" w:fill="CCFFCC"/>
            <w:vAlign w:val="center"/>
            <w:hideMark/>
          </w:tcPr>
          <w:p w14:paraId="3C721D50" w14:textId="77777777" w:rsidR="005F3233" w:rsidRPr="000271A1" w:rsidRDefault="005F3233" w:rsidP="005F3233">
            <w:pPr>
              <w:spacing w:after="0" w:line="240" w:lineRule="auto"/>
              <w:jc w:val="center"/>
              <w:rPr>
                <w:rFonts w:ascii="Calibri" w:eastAsia="Times New Roman" w:hAnsi="Calibri" w:cs="Calibri"/>
                <w:b/>
                <w:bCs/>
                <w:sz w:val="16"/>
                <w:szCs w:val="16"/>
                <w:lang w:eastAsia="hr-HR"/>
              </w:rPr>
            </w:pPr>
            <w:r w:rsidRPr="000271A1">
              <w:rPr>
                <w:rFonts w:ascii="Calibri" w:eastAsia="Times New Roman" w:hAnsi="Calibri" w:cs="Calibri"/>
                <w:b/>
                <w:bCs/>
                <w:sz w:val="16"/>
                <w:szCs w:val="16"/>
                <w:lang w:eastAsia="hr-HR"/>
              </w:rPr>
              <w:t>6.</w:t>
            </w:r>
          </w:p>
        </w:tc>
        <w:tc>
          <w:tcPr>
            <w:tcW w:w="708" w:type="dxa"/>
            <w:tcBorders>
              <w:top w:val="nil"/>
              <w:left w:val="nil"/>
              <w:bottom w:val="single" w:sz="4" w:space="0" w:color="auto"/>
              <w:right w:val="single" w:sz="4" w:space="0" w:color="auto"/>
            </w:tcBorders>
            <w:shd w:val="clear" w:color="000000" w:fill="CCFFCC"/>
            <w:vAlign w:val="center"/>
            <w:hideMark/>
          </w:tcPr>
          <w:p w14:paraId="00DB54D1" w14:textId="77777777" w:rsidR="005F3233" w:rsidRPr="000271A1" w:rsidRDefault="005F3233" w:rsidP="005F3233">
            <w:pPr>
              <w:spacing w:after="0" w:line="240" w:lineRule="auto"/>
              <w:jc w:val="center"/>
              <w:rPr>
                <w:rFonts w:ascii="Calibri" w:eastAsia="Times New Roman" w:hAnsi="Calibri" w:cs="Calibri"/>
                <w:b/>
                <w:bCs/>
                <w:sz w:val="16"/>
                <w:szCs w:val="16"/>
                <w:lang w:eastAsia="hr-HR"/>
              </w:rPr>
            </w:pPr>
            <w:r w:rsidRPr="000271A1">
              <w:rPr>
                <w:rFonts w:ascii="Calibri" w:eastAsia="Times New Roman" w:hAnsi="Calibri" w:cs="Calibri"/>
                <w:b/>
                <w:bCs/>
                <w:sz w:val="16"/>
                <w:szCs w:val="16"/>
                <w:lang w:eastAsia="hr-HR"/>
              </w:rPr>
              <w:t>7.</w:t>
            </w:r>
          </w:p>
        </w:tc>
        <w:tc>
          <w:tcPr>
            <w:tcW w:w="708" w:type="dxa"/>
            <w:tcBorders>
              <w:top w:val="nil"/>
              <w:left w:val="nil"/>
              <w:bottom w:val="single" w:sz="4" w:space="0" w:color="auto"/>
              <w:right w:val="single" w:sz="4" w:space="0" w:color="auto"/>
            </w:tcBorders>
            <w:shd w:val="clear" w:color="000000" w:fill="CCFFCC"/>
            <w:vAlign w:val="center"/>
            <w:hideMark/>
          </w:tcPr>
          <w:p w14:paraId="795185BA" w14:textId="77777777" w:rsidR="005F3233" w:rsidRPr="000271A1" w:rsidRDefault="005F3233" w:rsidP="005F3233">
            <w:pPr>
              <w:spacing w:after="0" w:line="240" w:lineRule="auto"/>
              <w:jc w:val="center"/>
              <w:rPr>
                <w:rFonts w:ascii="Calibri" w:eastAsia="Times New Roman" w:hAnsi="Calibri" w:cs="Calibri"/>
                <w:b/>
                <w:bCs/>
                <w:sz w:val="16"/>
                <w:szCs w:val="16"/>
                <w:lang w:eastAsia="hr-HR"/>
              </w:rPr>
            </w:pPr>
            <w:r w:rsidRPr="000271A1">
              <w:rPr>
                <w:rFonts w:ascii="Calibri" w:eastAsia="Times New Roman" w:hAnsi="Calibri" w:cs="Calibri"/>
                <w:b/>
                <w:bCs/>
                <w:sz w:val="16"/>
                <w:szCs w:val="16"/>
                <w:lang w:eastAsia="hr-HR"/>
              </w:rPr>
              <w:t>8.</w:t>
            </w:r>
          </w:p>
        </w:tc>
        <w:tc>
          <w:tcPr>
            <w:tcW w:w="464" w:type="dxa"/>
            <w:tcBorders>
              <w:top w:val="nil"/>
              <w:left w:val="nil"/>
              <w:bottom w:val="single" w:sz="4" w:space="0" w:color="auto"/>
              <w:right w:val="single" w:sz="4" w:space="0" w:color="auto"/>
            </w:tcBorders>
            <w:shd w:val="clear" w:color="000000" w:fill="CCFFCC"/>
            <w:vAlign w:val="center"/>
            <w:hideMark/>
          </w:tcPr>
          <w:p w14:paraId="47842C6E" w14:textId="77777777" w:rsidR="005F3233" w:rsidRPr="000271A1" w:rsidRDefault="005F3233" w:rsidP="005F3233">
            <w:pPr>
              <w:spacing w:after="0" w:line="240" w:lineRule="auto"/>
              <w:jc w:val="center"/>
              <w:rPr>
                <w:rFonts w:ascii="Calibri" w:eastAsia="Times New Roman" w:hAnsi="Calibri" w:cs="Calibri"/>
                <w:b/>
                <w:bCs/>
                <w:sz w:val="16"/>
                <w:szCs w:val="16"/>
                <w:lang w:eastAsia="hr-HR"/>
              </w:rPr>
            </w:pPr>
            <w:r w:rsidRPr="000271A1">
              <w:rPr>
                <w:rFonts w:ascii="Calibri" w:eastAsia="Times New Roman" w:hAnsi="Calibri" w:cs="Calibri"/>
                <w:b/>
                <w:bCs/>
                <w:sz w:val="16"/>
                <w:szCs w:val="16"/>
                <w:lang w:eastAsia="hr-HR"/>
              </w:rPr>
              <w:t>9.</w:t>
            </w:r>
          </w:p>
        </w:tc>
        <w:tc>
          <w:tcPr>
            <w:tcW w:w="700" w:type="dxa"/>
            <w:tcBorders>
              <w:top w:val="nil"/>
              <w:left w:val="nil"/>
              <w:bottom w:val="single" w:sz="4" w:space="0" w:color="auto"/>
              <w:right w:val="single" w:sz="4" w:space="0" w:color="auto"/>
            </w:tcBorders>
            <w:shd w:val="clear" w:color="000000" w:fill="CCFFCC"/>
            <w:vAlign w:val="center"/>
            <w:hideMark/>
          </w:tcPr>
          <w:p w14:paraId="34A940B8" w14:textId="77777777" w:rsidR="005F3233" w:rsidRPr="000271A1" w:rsidRDefault="005F3233" w:rsidP="005F3233">
            <w:pPr>
              <w:spacing w:after="0" w:line="240" w:lineRule="auto"/>
              <w:jc w:val="center"/>
              <w:rPr>
                <w:rFonts w:ascii="Calibri" w:eastAsia="Times New Roman" w:hAnsi="Calibri" w:cs="Calibri"/>
                <w:b/>
                <w:bCs/>
                <w:sz w:val="16"/>
                <w:szCs w:val="16"/>
                <w:lang w:eastAsia="hr-HR"/>
              </w:rPr>
            </w:pPr>
            <w:r w:rsidRPr="000271A1">
              <w:rPr>
                <w:rFonts w:ascii="Calibri" w:eastAsia="Times New Roman" w:hAnsi="Calibri" w:cs="Calibri"/>
                <w:b/>
                <w:bCs/>
                <w:sz w:val="16"/>
                <w:szCs w:val="16"/>
                <w:lang w:eastAsia="hr-HR"/>
              </w:rPr>
              <w:t>10.</w:t>
            </w:r>
          </w:p>
        </w:tc>
        <w:tc>
          <w:tcPr>
            <w:tcW w:w="699" w:type="dxa"/>
            <w:tcBorders>
              <w:top w:val="nil"/>
              <w:left w:val="nil"/>
              <w:bottom w:val="single" w:sz="4" w:space="0" w:color="auto"/>
              <w:right w:val="single" w:sz="4" w:space="0" w:color="auto"/>
            </w:tcBorders>
            <w:shd w:val="clear" w:color="000000" w:fill="CCFFCC"/>
            <w:vAlign w:val="center"/>
            <w:hideMark/>
          </w:tcPr>
          <w:p w14:paraId="5C2494A1" w14:textId="77777777" w:rsidR="005F3233" w:rsidRPr="000271A1" w:rsidRDefault="005F3233" w:rsidP="005F3233">
            <w:pPr>
              <w:spacing w:after="0" w:line="240" w:lineRule="auto"/>
              <w:jc w:val="center"/>
              <w:rPr>
                <w:rFonts w:ascii="Calibri" w:eastAsia="Times New Roman" w:hAnsi="Calibri" w:cs="Calibri"/>
                <w:b/>
                <w:bCs/>
                <w:sz w:val="16"/>
                <w:szCs w:val="16"/>
                <w:lang w:eastAsia="hr-HR"/>
              </w:rPr>
            </w:pPr>
            <w:r w:rsidRPr="000271A1">
              <w:rPr>
                <w:rFonts w:ascii="Calibri" w:eastAsia="Times New Roman" w:hAnsi="Calibri" w:cs="Calibri"/>
                <w:b/>
                <w:bCs/>
                <w:sz w:val="16"/>
                <w:szCs w:val="16"/>
                <w:lang w:eastAsia="hr-HR"/>
              </w:rPr>
              <w:t>11.</w:t>
            </w:r>
          </w:p>
        </w:tc>
        <w:tc>
          <w:tcPr>
            <w:tcW w:w="700" w:type="dxa"/>
            <w:tcBorders>
              <w:top w:val="nil"/>
              <w:left w:val="nil"/>
              <w:bottom w:val="single" w:sz="4" w:space="0" w:color="auto"/>
              <w:right w:val="single" w:sz="4" w:space="0" w:color="auto"/>
            </w:tcBorders>
            <w:shd w:val="clear" w:color="000000" w:fill="CCFFCC"/>
            <w:vAlign w:val="center"/>
            <w:hideMark/>
          </w:tcPr>
          <w:p w14:paraId="0266D0C4" w14:textId="77777777" w:rsidR="005F3233" w:rsidRPr="000271A1" w:rsidRDefault="005F3233" w:rsidP="005F3233">
            <w:pPr>
              <w:spacing w:after="0" w:line="240" w:lineRule="auto"/>
              <w:jc w:val="center"/>
              <w:rPr>
                <w:rFonts w:ascii="Calibri" w:eastAsia="Times New Roman" w:hAnsi="Calibri" w:cs="Calibri"/>
                <w:b/>
                <w:bCs/>
                <w:sz w:val="16"/>
                <w:szCs w:val="16"/>
                <w:lang w:eastAsia="hr-HR"/>
              </w:rPr>
            </w:pPr>
            <w:r w:rsidRPr="000271A1">
              <w:rPr>
                <w:rFonts w:ascii="Calibri" w:eastAsia="Times New Roman" w:hAnsi="Calibri" w:cs="Calibri"/>
                <w:b/>
                <w:bCs/>
                <w:sz w:val="16"/>
                <w:szCs w:val="16"/>
                <w:lang w:eastAsia="hr-HR"/>
              </w:rPr>
              <w:t>12.</w:t>
            </w:r>
          </w:p>
        </w:tc>
        <w:tc>
          <w:tcPr>
            <w:tcW w:w="464" w:type="dxa"/>
            <w:tcBorders>
              <w:top w:val="nil"/>
              <w:left w:val="nil"/>
              <w:bottom w:val="single" w:sz="4" w:space="0" w:color="auto"/>
              <w:right w:val="single" w:sz="4" w:space="0" w:color="auto"/>
            </w:tcBorders>
            <w:shd w:val="clear" w:color="000000" w:fill="CCFFCC"/>
            <w:vAlign w:val="center"/>
            <w:hideMark/>
          </w:tcPr>
          <w:p w14:paraId="3D638E60" w14:textId="523E6CB0" w:rsidR="005F3233" w:rsidRPr="000271A1" w:rsidRDefault="005F3233" w:rsidP="005F3233">
            <w:pPr>
              <w:spacing w:after="0" w:line="240" w:lineRule="auto"/>
              <w:jc w:val="center"/>
              <w:rPr>
                <w:rFonts w:ascii="Calibri" w:eastAsia="Times New Roman" w:hAnsi="Calibri" w:cs="Calibri"/>
                <w:b/>
                <w:bCs/>
                <w:sz w:val="16"/>
                <w:szCs w:val="16"/>
                <w:lang w:eastAsia="hr-HR"/>
              </w:rPr>
            </w:pPr>
            <w:r w:rsidRPr="000271A1">
              <w:rPr>
                <w:rFonts w:ascii="Calibri" w:eastAsia="Times New Roman" w:hAnsi="Calibri" w:cs="Calibri"/>
                <w:b/>
                <w:bCs/>
                <w:sz w:val="16"/>
                <w:szCs w:val="16"/>
                <w:lang w:eastAsia="hr-HR"/>
              </w:rPr>
              <w:t>13</w:t>
            </w:r>
          </w:p>
        </w:tc>
        <w:tc>
          <w:tcPr>
            <w:tcW w:w="700" w:type="dxa"/>
            <w:tcBorders>
              <w:top w:val="nil"/>
              <w:left w:val="nil"/>
              <w:bottom w:val="single" w:sz="4" w:space="0" w:color="auto"/>
              <w:right w:val="single" w:sz="4" w:space="0" w:color="auto"/>
            </w:tcBorders>
            <w:shd w:val="clear" w:color="000000" w:fill="CCFFCC"/>
            <w:vAlign w:val="center"/>
            <w:hideMark/>
          </w:tcPr>
          <w:p w14:paraId="2F59C1EF" w14:textId="77777777" w:rsidR="005F3233" w:rsidRPr="000271A1" w:rsidRDefault="005F3233" w:rsidP="005F3233">
            <w:pPr>
              <w:spacing w:after="0" w:line="240" w:lineRule="auto"/>
              <w:jc w:val="center"/>
              <w:rPr>
                <w:rFonts w:ascii="Calibri" w:eastAsia="Times New Roman" w:hAnsi="Calibri" w:cs="Calibri"/>
                <w:b/>
                <w:bCs/>
                <w:sz w:val="16"/>
                <w:szCs w:val="16"/>
                <w:lang w:eastAsia="hr-HR"/>
              </w:rPr>
            </w:pPr>
            <w:r w:rsidRPr="000271A1">
              <w:rPr>
                <w:rFonts w:ascii="Calibri" w:eastAsia="Times New Roman" w:hAnsi="Calibri" w:cs="Calibri"/>
                <w:b/>
                <w:bCs/>
                <w:sz w:val="16"/>
                <w:szCs w:val="16"/>
                <w:lang w:eastAsia="hr-HR"/>
              </w:rPr>
              <w:t>14.</w:t>
            </w:r>
          </w:p>
        </w:tc>
        <w:tc>
          <w:tcPr>
            <w:tcW w:w="434" w:type="dxa"/>
            <w:tcBorders>
              <w:top w:val="nil"/>
              <w:left w:val="nil"/>
              <w:bottom w:val="single" w:sz="4" w:space="0" w:color="auto"/>
              <w:right w:val="single" w:sz="4" w:space="0" w:color="auto"/>
            </w:tcBorders>
            <w:shd w:val="clear" w:color="000000" w:fill="CCFFCC"/>
            <w:vAlign w:val="center"/>
            <w:hideMark/>
          </w:tcPr>
          <w:p w14:paraId="2171BC20" w14:textId="6F8332FD" w:rsidR="005F3233" w:rsidRPr="000271A1" w:rsidRDefault="005F3233" w:rsidP="005F3233">
            <w:pPr>
              <w:spacing w:after="0" w:line="240" w:lineRule="auto"/>
              <w:jc w:val="center"/>
              <w:rPr>
                <w:rFonts w:ascii="Calibri" w:eastAsia="Times New Roman" w:hAnsi="Calibri" w:cs="Calibri"/>
                <w:b/>
                <w:bCs/>
                <w:sz w:val="16"/>
                <w:szCs w:val="16"/>
                <w:lang w:eastAsia="hr-HR"/>
              </w:rPr>
            </w:pPr>
            <w:r w:rsidRPr="000271A1">
              <w:rPr>
                <w:rFonts w:ascii="Calibri" w:eastAsia="Times New Roman" w:hAnsi="Calibri" w:cs="Calibri"/>
                <w:b/>
                <w:bCs/>
                <w:sz w:val="16"/>
                <w:szCs w:val="16"/>
                <w:lang w:eastAsia="hr-HR"/>
              </w:rPr>
              <w:t>15</w:t>
            </w:r>
          </w:p>
        </w:tc>
        <w:tc>
          <w:tcPr>
            <w:tcW w:w="426" w:type="dxa"/>
            <w:tcBorders>
              <w:top w:val="nil"/>
              <w:left w:val="nil"/>
              <w:bottom w:val="single" w:sz="4" w:space="0" w:color="auto"/>
              <w:right w:val="single" w:sz="4" w:space="0" w:color="auto"/>
            </w:tcBorders>
            <w:shd w:val="clear" w:color="000000" w:fill="CCFFCC"/>
            <w:vAlign w:val="center"/>
            <w:hideMark/>
          </w:tcPr>
          <w:p w14:paraId="234AEA59" w14:textId="1747FB51" w:rsidR="005F3233" w:rsidRPr="000271A1" w:rsidRDefault="005F3233" w:rsidP="005F3233">
            <w:pPr>
              <w:spacing w:after="0" w:line="240" w:lineRule="auto"/>
              <w:jc w:val="center"/>
              <w:rPr>
                <w:rFonts w:ascii="Calibri" w:eastAsia="Times New Roman" w:hAnsi="Calibri" w:cs="Calibri"/>
                <w:b/>
                <w:bCs/>
                <w:sz w:val="16"/>
                <w:szCs w:val="16"/>
                <w:lang w:eastAsia="hr-HR"/>
              </w:rPr>
            </w:pPr>
            <w:r w:rsidRPr="000271A1">
              <w:rPr>
                <w:rFonts w:ascii="Calibri" w:eastAsia="Times New Roman" w:hAnsi="Calibri" w:cs="Calibri"/>
                <w:b/>
                <w:bCs/>
                <w:sz w:val="16"/>
                <w:szCs w:val="16"/>
                <w:lang w:eastAsia="hr-HR"/>
              </w:rPr>
              <w:t>16</w:t>
            </w:r>
          </w:p>
        </w:tc>
        <w:tc>
          <w:tcPr>
            <w:tcW w:w="425" w:type="dxa"/>
            <w:tcBorders>
              <w:top w:val="nil"/>
              <w:left w:val="nil"/>
              <w:bottom w:val="single" w:sz="4" w:space="0" w:color="auto"/>
              <w:right w:val="single" w:sz="4" w:space="0" w:color="auto"/>
            </w:tcBorders>
            <w:shd w:val="clear" w:color="000000" w:fill="CCFFCC"/>
            <w:vAlign w:val="center"/>
            <w:hideMark/>
          </w:tcPr>
          <w:p w14:paraId="0C0D2031" w14:textId="3F811018" w:rsidR="005F3233" w:rsidRPr="000271A1" w:rsidRDefault="005F3233" w:rsidP="005F3233">
            <w:pPr>
              <w:spacing w:after="0" w:line="240" w:lineRule="auto"/>
              <w:jc w:val="center"/>
              <w:rPr>
                <w:rFonts w:ascii="Calibri" w:eastAsia="Times New Roman" w:hAnsi="Calibri" w:cs="Calibri"/>
                <w:b/>
                <w:bCs/>
                <w:sz w:val="16"/>
                <w:szCs w:val="16"/>
                <w:lang w:eastAsia="hr-HR"/>
              </w:rPr>
            </w:pPr>
            <w:r w:rsidRPr="000271A1">
              <w:rPr>
                <w:rFonts w:ascii="Calibri" w:eastAsia="Times New Roman" w:hAnsi="Calibri" w:cs="Calibri"/>
                <w:b/>
                <w:bCs/>
                <w:sz w:val="16"/>
                <w:szCs w:val="16"/>
                <w:lang w:eastAsia="hr-HR"/>
              </w:rPr>
              <w:t>17</w:t>
            </w:r>
          </w:p>
        </w:tc>
        <w:tc>
          <w:tcPr>
            <w:tcW w:w="442" w:type="dxa"/>
            <w:tcBorders>
              <w:top w:val="nil"/>
              <w:left w:val="nil"/>
              <w:bottom w:val="single" w:sz="4" w:space="0" w:color="auto"/>
              <w:right w:val="single" w:sz="4" w:space="0" w:color="auto"/>
            </w:tcBorders>
            <w:shd w:val="clear" w:color="000000" w:fill="CCFFCC"/>
            <w:vAlign w:val="center"/>
            <w:hideMark/>
          </w:tcPr>
          <w:p w14:paraId="6E98B2B1" w14:textId="55532F00" w:rsidR="005F3233" w:rsidRPr="000271A1" w:rsidRDefault="005F3233" w:rsidP="005F3233">
            <w:pPr>
              <w:spacing w:after="0" w:line="240" w:lineRule="auto"/>
              <w:jc w:val="center"/>
              <w:rPr>
                <w:rFonts w:ascii="Calibri" w:eastAsia="Times New Roman" w:hAnsi="Calibri" w:cs="Calibri"/>
                <w:b/>
                <w:bCs/>
                <w:sz w:val="16"/>
                <w:szCs w:val="16"/>
                <w:lang w:eastAsia="hr-HR"/>
              </w:rPr>
            </w:pPr>
            <w:r w:rsidRPr="000271A1">
              <w:rPr>
                <w:rFonts w:ascii="Calibri" w:eastAsia="Times New Roman" w:hAnsi="Calibri" w:cs="Calibri"/>
                <w:b/>
                <w:bCs/>
                <w:sz w:val="16"/>
                <w:szCs w:val="16"/>
                <w:lang w:eastAsia="hr-HR"/>
              </w:rPr>
              <w:t>18</w:t>
            </w:r>
          </w:p>
        </w:tc>
        <w:tc>
          <w:tcPr>
            <w:tcW w:w="451" w:type="dxa"/>
            <w:tcBorders>
              <w:top w:val="nil"/>
              <w:left w:val="nil"/>
              <w:bottom w:val="single" w:sz="4" w:space="0" w:color="auto"/>
              <w:right w:val="single" w:sz="4" w:space="0" w:color="auto"/>
            </w:tcBorders>
            <w:shd w:val="clear" w:color="000000" w:fill="CCFFCC"/>
            <w:vAlign w:val="center"/>
            <w:hideMark/>
          </w:tcPr>
          <w:p w14:paraId="730C27A9" w14:textId="733EFB5F" w:rsidR="005F3233" w:rsidRPr="000271A1" w:rsidRDefault="005F3233" w:rsidP="005F3233">
            <w:pPr>
              <w:spacing w:after="0" w:line="240" w:lineRule="auto"/>
              <w:jc w:val="center"/>
              <w:rPr>
                <w:rFonts w:ascii="Calibri" w:eastAsia="Times New Roman" w:hAnsi="Calibri" w:cs="Calibri"/>
                <w:b/>
                <w:bCs/>
                <w:sz w:val="16"/>
                <w:szCs w:val="16"/>
                <w:lang w:eastAsia="hr-HR"/>
              </w:rPr>
            </w:pPr>
            <w:r w:rsidRPr="000271A1">
              <w:rPr>
                <w:rFonts w:ascii="Calibri" w:eastAsia="Times New Roman" w:hAnsi="Calibri" w:cs="Calibri"/>
                <w:b/>
                <w:bCs/>
                <w:sz w:val="16"/>
                <w:szCs w:val="16"/>
                <w:lang w:eastAsia="hr-HR"/>
              </w:rPr>
              <w:t>19</w:t>
            </w:r>
          </w:p>
        </w:tc>
        <w:tc>
          <w:tcPr>
            <w:tcW w:w="383" w:type="dxa"/>
            <w:gridSpan w:val="2"/>
            <w:tcBorders>
              <w:top w:val="nil"/>
              <w:left w:val="nil"/>
              <w:bottom w:val="single" w:sz="4" w:space="0" w:color="auto"/>
              <w:right w:val="single" w:sz="4" w:space="0" w:color="auto"/>
            </w:tcBorders>
            <w:shd w:val="clear" w:color="000000" w:fill="CCFFCC"/>
            <w:vAlign w:val="center"/>
            <w:hideMark/>
          </w:tcPr>
          <w:p w14:paraId="345A65DF" w14:textId="02220E17" w:rsidR="005F3233" w:rsidRPr="000271A1" w:rsidRDefault="005F3233" w:rsidP="005F3233">
            <w:pPr>
              <w:spacing w:after="0" w:line="240" w:lineRule="auto"/>
              <w:jc w:val="center"/>
              <w:rPr>
                <w:rFonts w:ascii="Calibri" w:eastAsia="Times New Roman" w:hAnsi="Calibri" w:cs="Calibri"/>
                <w:b/>
                <w:bCs/>
                <w:sz w:val="16"/>
                <w:szCs w:val="16"/>
                <w:lang w:eastAsia="hr-HR"/>
              </w:rPr>
            </w:pPr>
            <w:r w:rsidRPr="000271A1">
              <w:rPr>
                <w:rFonts w:ascii="Calibri" w:eastAsia="Times New Roman" w:hAnsi="Calibri" w:cs="Calibri"/>
                <w:b/>
                <w:bCs/>
                <w:sz w:val="16"/>
                <w:szCs w:val="16"/>
                <w:lang w:eastAsia="hr-HR"/>
              </w:rPr>
              <w:t>20</w:t>
            </w:r>
          </w:p>
        </w:tc>
        <w:tc>
          <w:tcPr>
            <w:tcW w:w="392" w:type="dxa"/>
            <w:tcBorders>
              <w:top w:val="nil"/>
              <w:left w:val="nil"/>
              <w:bottom w:val="single" w:sz="4" w:space="0" w:color="auto"/>
              <w:right w:val="single" w:sz="4" w:space="0" w:color="auto"/>
            </w:tcBorders>
            <w:shd w:val="clear" w:color="000000" w:fill="CCFFCC"/>
            <w:vAlign w:val="center"/>
            <w:hideMark/>
          </w:tcPr>
          <w:p w14:paraId="0B02F003" w14:textId="73F5C9BC" w:rsidR="005F3233" w:rsidRPr="000271A1" w:rsidRDefault="005F3233" w:rsidP="005F3233">
            <w:pPr>
              <w:spacing w:after="0" w:line="240" w:lineRule="auto"/>
              <w:jc w:val="center"/>
              <w:rPr>
                <w:rFonts w:ascii="Calibri" w:eastAsia="Times New Roman" w:hAnsi="Calibri" w:cs="Calibri"/>
                <w:b/>
                <w:bCs/>
                <w:sz w:val="16"/>
                <w:szCs w:val="16"/>
                <w:lang w:eastAsia="hr-HR"/>
              </w:rPr>
            </w:pPr>
            <w:r w:rsidRPr="000271A1">
              <w:rPr>
                <w:rFonts w:ascii="Calibri" w:eastAsia="Times New Roman" w:hAnsi="Calibri" w:cs="Calibri"/>
                <w:b/>
                <w:bCs/>
                <w:sz w:val="16"/>
                <w:szCs w:val="16"/>
                <w:lang w:eastAsia="hr-HR"/>
              </w:rPr>
              <w:t>21</w:t>
            </w:r>
          </w:p>
        </w:tc>
        <w:tc>
          <w:tcPr>
            <w:tcW w:w="400" w:type="dxa"/>
            <w:tcBorders>
              <w:top w:val="nil"/>
              <w:left w:val="nil"/>
              <w:bottom w:val="single" w:sz="4" w:space="0" w:color="auto"/>
              <w:right w:val="single" w:sz="4" w:space="0" w:color="auto"/>
            </w:tcBorders>
            <w:shd w:val="clear" w:color="000000" w:fill="CCFFCC"/>
            <w:vAlign w:val="center"/>
            <w:hideMark/>
          </w:tcPr>
          <w:p w14:paraId="0ABE47F5" w14:textId="63EF7203" w:rsidR="005F3233" w:rsidRPr="000271A1" w:rsidRDefault="005F3233" w:rsidP="005F3233">
            <w:pPr>
              <w:spacing w:after="0" w:line="240" w:lineRule="auto"/>
              <w:jc w:val="center"/>
              <w:rPr>
                <w:rFonts w:ascii="Calibri" w:eastAsia="Times New Roman" w:hAnsi="Calibri" w:cs="Calibri"/>
                <w:b/>
                <w:bCs/>
                <w:sz w:val="16"/>
                <w:szCs w:val="16"/>
                <w:lang w:eastAsia="hr-HR"/>
              </w:rPr>
            </w:pPr>
            <w:r w:rsidRPr="000271A1">
              <w:rPr>
                <w:rFonts w:ascii="Calibri" w:eastAsia="Times New Roman" w:hAnsi="Calibri" w:cs="Calibri"/>
                <w:b/>
                <w:bCs/>
                <w:sz w:val="16"/>
                <w:szCs w:val="16"/>
                <w:lang w:eastAsia="hr-HR"/>
              </w:rPr>
              <w:t>22</w:t>
            </w:r>
          </w:p>
        </w:tc>
        <w:tc>
          <w:tcPr>
            <w:tcW w:w="409" w:type="dxa"/>
            <w:tcBorders>
              <w:top w:val="nil"/>
              <w:left w:val="nil"/>
              <w:bottom w:val="single" w:sz="4" w:space="0" w:color="auto"/>
              <w:right w:val="single" w:sz="4" w:space="0" w:color="auto"/>
            </w:tcBorders>
            <w:shd w:val="clear" w:color="000000" w:fill="CCFFCC"/>
            <w:vAlign w:val="center"/>
            <w:hideMark/>
          </w:tcPr>
          <w:p w14:paraId="40DB4391" w14:textId="53E06E2C" w:rsidR="005F3233" w:rsidRPr="000271A1" w:rsidRDefault="005F3233" w:rsidP="005F3233">
            <w:pPr>
              <w:spacing w:after="0" w:line="240" w:lineRule="auto"/>
              <w:jc w:val="center"/>
              <w:rPr>
                <w:rFonts w:ascii="Calibri" w:eastAsia="Times New Roman" w:hAnsi="Calibri" w:cs="Calibri"/>
                <w:b/>
                <w:bCs/>
                <w:sz w:val="16"/>
                <w:szCs w:val="16"/>
                <w:lang w:eastAsia="hr-HR"/>
              </w:rPr>
            </w:pPr>
            <w:r w:rsidRPr="000271A1">
              <w:rPr>
                <w:rFonts w:ascii="Calibri" w:eastAsia="Times New Roman" w:hAnsi="Calibri" w:cs="Calibri"/>
                <w:b/>
                <w:bCs/>
                <w:sz w:val="16"/>
                <w:szCs w:val="16"/>
                <w:lang w:eastAsia="hr-HR"/>
              </w:rPr>
              <w:t>23</w:t>
            </w:r>
          </w:p>
        </w:tc>
        <w:tc>
          <w:tcPr>
            <w:tcW w:w="499" w:type="dxa"/>
            <w:gridSpan w:val="2"/>
            <w:tcBorders>
              <w:top w:val="nil"/>
              <w:left w:val="nil"/>
              <w:bottom w:val="single" w:sz="4" w:space="0" w:color="auto"/>
              <w:right w:val="single" w:sz="4" w:space="0" w:color="auto"/>
            </w:tcBorders>
            <w:shd w:val="clear" w:color="000000" w:fill="CCFFCC"/>
            <w:vAlign w:val="center"/>
            <w:hideMark/>
          </w:tcPr>
          <w:p w14:paraId="36BBE90B" w14:textId="77777777" w:rsidR="005F3233" w:rsidRPr="000271A1" w:rsidRDefault="005F3233" w:rsidP="005F3233">
            <w:pPr>
              <w:spacing w:after="0" w:line="240" w:lineRule="auto"/>
              <w:jc w:val="center"/>
              <w:rPr>
                <w:rFonts w:ascii="Calibri" w:eastAsia="Times New Roman" w:hAnsi="Calibri" w:cs="Calibri"/>
                <w:b/>
                <w:bCs/>
                <w:sz w:val="16"/>
                <w:szCs w:val="16"/>
                <w:lang w:eastAsia="hr-HR"/>
              </w:rPr>
            </w:pPr>
            <w:r w:rsidRPr="000271A1">
              <w:rPr>
                <w:rFonts w:ascii="Calibri" w:eastAsia="Times New Roman" w:hAnsi="Calibri" w:cs="Calibri"/>
                <w:b/>
                <w:bCs/>
                <w:sz w:val="16"/>
                <w:szCs w:val="16"/>
                <w:lang w:eastAsia="hr-HR"/>
              </w:rPr>
              <w:t>24.</w:t>
            </w:r>
          </w:p>
        </w:tc>
        <w:tc>
          <w:tcPr>
            <w:tcW w:w="567" w:type="dxa"/>
            <w:tcBorders>
              <w:top w:val="nil"/>
              <w:left w:val="nil"/>
              <w:bottom w:val="single" w:sz="4" w:space="0" w:color="auto"/>
              <w:right w:val="single" w:sz="4" w:space="0" w:color="auto"/>
            </w:tcBorders>
            <w:shd w:val="clear" w:color="000000" w:fill="CCFFCC"/>
            <w:vAlign w:val="center"/>
            <w:hideMark/>
          </w:tcPr>
          <w:p w14:paraId="61E81CE4" w14:textId="3FDC7B79" w:rsidR="005F3233" w:rsidRPr="000271A1" w:rsidRDefault="005F3233" w:rsidP="005F3233">
            <w:pPr>
              <w:spacing w:after="0" w:line="240" w:lineRule="auto"/>
              <w:jc w:val="center"/>
              <w:rPr>
                <w:rFonts w:ascii="Calibri" w:eastAsia="Times New Roman" w:hAnsi="Calibri" w:cs="Calibri"/>
                <w:b/>
                <w:bCs/>
                <w:sz w:val="16"/>
                <w:szCs w:val="16"/>
                <w:lang w:eastAsia="hr-HR"/>
              </w:rPr>
            </w:pPr>
            <w:r w:rsidRPr="000271A1">
              <w:rPr>
                <w:rFonts w:ascii="Calibri" w:eastAsia="Times New Roman" w:hAnsi="Calibri" w:cs="Calibri"/>
                <w:b/>
                <w:bCs/>
                <w:sz w:val="16"/>
                <w:szCs w:val="16"/>
                <w:lang w:eastAsia="hr-HR"/>
              </w:rPr>
              <w:t>25</w:t>
            </w:r>
          </w:p>
        </w:tc>
        <w:tc>
          <w:tcPr>
            <w:tcW w:w="425" w:type="dxa"/>
            <w:gridSpan w:val="2"/>
            <w:tcBorders>
              <w:top w:val="nil"/>
              <w:left w:val="nil"/>
              <w:bottom w:val="single" w:sz="4" w:space="0" w:color="auto"/>
              <w:right w:val="single" w:sz="4" w:space="0" w:color="auto"/>
            </w:tcBorders>
            <w:shd w:val="clear" w:color="000000" w:fill="CCFFCC"/>
            <w:vAlign w:val="center"/>
            <w:hideMark/>
          </w:tcPr>
          <w:p w14:paraId="20A94520" w14:textId="08799B24" w:rsidR="005F3233" w:rsidRPr="000271A1" w:rsidRDefault="005F3233" w:rsidP="005F3233">
            <w:pPr>
              <w:spacing w:after="0" w:line="240" w:lineRule="auto"/>
              <w:jc w:val="center"/>
              <w:rPr>
                <w:rFonts w:ascii="Calibri" w:eastAsia="Times New Roman" w:hAnsi="Calibri" w:cs="Calibri"/>
                <w:b/>
                <w:bCs/>
                <w:sz w:val="16"/>
                <w:szCs w:val="16"/>
                <w:lang w:eastAsia="hr-HR"/>
              </w:rPr>
            </w:pPr>
            <w:r w:rsidRPr="000271A1">
              <w:rPr>
                <w:rFonts w:ascii="Calibri" w:eastAsia="Times New Roman" w:hAnsi="Calibri" w:cs="Calibri"/>
                <w:b/>
                <w:bCs/>
                <w:sz w:val="16"/>
                <w:szCs w:val="16"/>
                <w:lang w:eastAsia="hr-HR"/>
              </w:rPr>
              <w:t>26</w:t>
            </w:r>
          </w:p>
        </w:tc>
        <w:tc>
          <w:tcPr>
            <w:tcW w:w="434" w:type="dxa"/>
            <w:gridSpan w:val="2"/>
            <w:tcBorders>
              <w:top w:val="nil"/>
              <w:left w:val="nil"/>
              <w:bottom w:val="single" w:sz="4" w:space="0" w:color="auto"/>
              <w:right w:val="single" w:sz="4" w:space="0" w:color="auto"/>
            </w:tcBorders>
            <w:shd w:val="clear" w:color="000000" w:fill="CCFFCC"/>
            <w:vAlign w:val="center"/>
            <w:hideMark/>
          </w:tcPr>
          <w:p w14:paraId="18CD9E7D" w14:textId="3C4160D0" w:rsidR="005F3233" w:rsidRPr="000271A1" w:rsidRDefault="005F3233" w:rsidP="005F3233">
            <w:pPr>
              <w:spacing w:after="0" w:line="240" w:lineRule="auto"/>
              <w:jc w:val="center"/>
              <w:rPr>
                <w:rFonts w:ascii="Calibri" w:eastAsia="Times New Roman" w:hAnsi="Calibri" w:cs="Calibri"/>
                <w:b/>
                <w:bCs/>
                <w:sz w:val="16"/>
                <w:szCs w:val="16"/>
                <w:lang w:eastAsia="hr-HR"/>
              </w:rPr>
            </w:pPr>
            <w:r w:rsidRPr="000271A1">
              <w:rPr>
                <w:rFonts w:ascii="Calibri" w:eastAsia="Times New Roman" w:hAnsi="Calibri" w:cs="Calibri"/>
                <w:b/>
                <w:bCs/>
                <w:sz w:val="16"/>
                <w:szCs w:val="16"/>
                <w:lang w:eastAsia="hr-HR"/>
              </w:rPr>
              <w:t>27</w:t>
            </w:r>
          </w:p>
        </w:tc>
        <w:tc>
          <w:tcPr>
            <w:tcW w:w="417" w:type="dxa"/>
            <w:tcBorders>
              <w:top w:val="nil"/>
              <w:left w:val="nil"/>
              <w:bottom w:val="single" w:sz="4" w:space="0" w:color="auto"/>
              <w:right w:val="single" w:sz="4" w:space="0" w:color="auto"/>
            </w:tcBorders>
            <w:shd w:val="clear" w:color="000000" w:fill="CCFFCC"/>
            <w:vAlign w:val="center"/>
            <w:hideMark/>
          </w:tcPr>
          <w:p w14:paraId="2345EE4A" w14:textId="332BCFE6" w:rsidR="005F3233" w:rsidRPr="000271A1" w:rsidRDefault="005F3233" w:rsidP="005F3233">
            <w:pPr>
              <w:spacing w:after="0" w:line="240" w:lineRule="auto"/>
              <w:jc w:val="center"/>
              <w:rPr>
                <w:rFonts w:ascii="Calibri" w:eastAsia="Times New Roman" w:hAnsi="Calibri" w:cs="Calibri"/>
                <w:b/>
                <w:bCs/>
                <w:sz w:val="16"/>
                <w:szCs w:val="16"/>
                <w:lang w:eastAsia="hr-HR"/>
              </w:rPr>
            </w:pPr>
            <w:r w:rsidRPr="000271A1">
              <w:rPr>
                <w:rFonts w:ascii="Calibri" w:eastAsia="Times New Roman" w:hAnsi="Calibri" w:cs="Calibri"/>
                <w:b/>
                <w:bCs/>
                <w:sz w:val="16"/>
                <w:szCs w:val="16"/>
                <w:lang w:eastAsia="hr-HR"/>
              </w:rPr>
              <w:t>28</w:t>
            </w:r>
          </w:p>
        </w:tc>
        <w:tc>
          <w:tcPr>
            <w:tcW w:w="425" w:type="dxa"/>
            <w:gridSpan w:val="3"/>
            <w:tcBorders>
              <w:top w:val="nil"/>
              <w:left w:val="nil"/>
              <w:bottom w:val="single" w:sz="4" w:space="0" w:color="auto"/>
              <w:right w:val="single" w:sz="4" w:space="0" w:color="auto"/>
            </w:tcBorders>
            <w:shd w:val="clear" w:color="000000" w:fill="CCFFCC"/>
            <w:vAlign w:val="center"/>
            <w:hideMark/>
          </w:tcPr>
          <w:p w14:paraId="4CD34E4B" w14:textId="32D37735" w:rsidR="005F3233" w:rsidRPr="000271A1" w:rsidRDefault="005F3233" w:rsidP="000271A1">
            <w:pPr>
              <w:spacing w:after="0" w:line="240" w:lineRule="auto"/>
              <w:ind w:hanging="115"/>
              <w:jc w:val="center"/>
              <w:rPr>
                <w:rFonts w:ascii="Calibri" w:eastAsia="Times New Roman" w:hAnsi="Calibri" w:cs="Calibri"/>
                <w:b/>
                <w:bCs/>
                <w:sz w:val="16"/>
                <w:szCs w:val="16"/>
                <w:lang w:eastAsia="hr-HR"/>
              </w:rPr>
            </w:pPr>
            <w:r w:rsidRPr="000271A1">
              <w:rPr>
                <w:rFonts w:ascii="Calibri" w:eastAsia="Times New Roman" w:hAnsi="Calibri" w:cs="Calibri"/>
                <w:b/>
                <w:bCs/>
                <w:sz w:val="16"/>
                <w:szCs w:val="16"/>
                <w:lang w:eastAsia="hr-HR"/>
              </w:rPr>
              <w:t>29</w:t>
            </w:r>
          </w:p>
        </w:tc>
        <w:tc>
          <w:tcPr>
            <w:tcW w:w="569" w:type="dxa"/>
            <w:gridSpan w:val="2"/>
            <w:tcBorders>
              <w:top w:val="nil"/>
              <w:left w:val="nil"/>
              <w:bottom w:val="single" w:sz="4" w:space="0" w:color="auto"/>
              <w:right w:val="single" w:sz="4" w:space="0" w:color="auto"/>
            </w:tcBorders>
            <w:shd w:val="clear" w:color="000000" w:fill="CCFFCC"/>
            <w:vAlign w:val="center"/>
            <w:hideMark/>
          </w:tcPr>
          <w:p w14:paraId="616F830A" w14:textId="77777777" w:rsidR="005F3233" w:rsidRPr="000271A1" w:rsidRDefault="005F3233" w:rsidP="005F3233">
            <w:pPr>
              <w:spacing w:after="0" w:line="240" w:lineRule="auto"/>
              <w:jc w:val="center"/>
              <w:rPr>
                <w:rFonts w:ascii="Calibri" w:eastAsia="Times New Roman" w:hAnsi="Calibri" w:cs="Calibri"/>
                <w:b/>
                <w:bCs/>
                <w:sz w:val="16"/>
                <w:szCs w:val="16"/>
                <w:lang w:eastAsia="hr-HR"/>
              </w:rPr>
            </w:pPr>
            <w:r w:rsidRPr="000271A1">
              <w:rPr>
                <w:rFonts w:ascii="Calibri" w:eastAsia="Times New Roman" w:hAnsi="Calibri" w:cs="Calibri"/>
                <w:b/>
                <w:bCs/>
                <w:sz w:val="16"/>
                <w:szCs w:val="16"/>
                <w:lang w:eastAsia="hr-HR"/>
              </w:rPr>
              <w:t>30.</w:t>
            </w:r>
          </w:p>
        </w:tc>
        <w:tc>
          <w:tcPr>
            <w:tcW w:w="236" w:type="dxa"/>
            <w:gridSpan w:val="3"/>
            <w:vAlign w:val="center"/>
            <w:hideMark/>
          </w:tcPr>
          <w:p w14:paraId="0E02F0C6" w14:textId="77777777" w:rsidR="005F3233" w:rsidRPr="005F3233" w:rsidRDefault="005F3233" w:rsidP="005F3233">
            <w:pPr>
              <w:spacing w:after="0" w:line="240" w:lineRule="auto"/>
              <w:rPr>
                <w:rFonts w:ascii="Times New Roman" w:eastAsia="Times New Roman" w:hAnsi="Times New Roman" w:cs="Times New Roman"/>
                <w:sz w:val="20"/>
                <w:szCs w:val="20"/>
                <w:lang w:eastAsia="hr-HR"/>
              </w:rPr>
            </w:pPr>
          </w:p>
        </w:tc>
      </w:tr>
      <w:tr w:rsidR="005F3233" w:rsidRPr="005F3233" w14:paraId="17CDA71F" w14:textId="77777777" w:rsidTr="000271A1">
        <w:trPr>
          <w:gridBefore w:val="1"/>
          <w:gridAfter w:val="2"/>
          <w:wBefore w:w="10" w:type="dxa"/>
          <w:wAfter w:w="237" w:type="dxa"/>
          <w:trHeight w:val="315"/>
        </w:trPr>
        <w:tc>
          <w:tcPr>
            <w:tcW w:w="869" w:type="dxa"/>
            <w:tcBorders>
              <w:top w:val="single" w:sz="4" w:space="0" w:color="auto"/>
              <w:left w:val="single" w:sz="8" w:space="0" w:color="auto"/>
              <w:bottom w:val="single" w:sz="4" w:space="0" w:color="auto"/>
              <w:right w:val="single" w:sz="4" w:space="0" w:color="auto"/>
            </w:tcBorders>
            <w:shd w:val="clear" w:color="000000" w:fill="CCFFCC"/>
            <w:vAlign w:val="center"/>
            <w:hideMark/>
          </w:tcPr>
          <w:p w14:paraId="020D5872" w14:textId="6088E5F7" w:rsidR="005F3233" w:rsidRPr="005F3233" w:rsidRDefault="005F3233" w:rsidP="005F3233">
            <w:pPr>
              <w:spacing w:after="0" w:line="240" w:lineRule="auto"/>
              <w:rPr>
                <w:rFonts w:ascii="Calibri" w:eastAsia="Times New Roman" w:hAnsi="Calibri" w:cs="Calibri"/>
                <w:lang w:eastAsia="hr-HR"/>
              </w:rPr>
            </w:pPr>
            <w:r w:rsidRPr="005F3233">
              <w:rPr>
                <w:rFonts w:ascii="Calibri" w:eastAsia="Times New Roman" w:hAnsi="Calibri" w:cs="Calibri"/>
                <w:lang w:eastAsia="hr-HR"/>
              </w:rPr>
              <w:t>Rasa,</w:t>
            </w:r>
            <w:r>
              <w:rPr>
                <w:rFonts w:ascii="Calibri" w:eastAsia="Times New Roman" w:hAnsi="Calibri" w:cs="Calibri"/>
                <w:lang w:eastAsia="hr-HR"/>
              </w:rPr>
              <w:t xml:space="preserve"> </w:t>
            </w:r>
            <w:r w:rsidRPr="005F3233">
              <w:rPr>
                <w:rFonts w:ascii="Calibri" w:eastAsia="Times New Roman" w:hAnsi="Calibri" w:cs="Calibri"/>
                <w:lang w:eastAsia="hr-HR"/>
              </w:rPr>
              <w:t>etnička pripad</w:t>
            </w:r>
            <w:r w:rsidRPr="005F3233">
              <w:rPr>
                <w:rFonts w:ascii="Calibri" w:eastAsia="Times New Roman" w:hAnsi="Calibri" w:cs="Calibri"/>
                <w:lang w:eastAsia="hr-HR"/>
              </w:rPr>
              <w:lastRenderedPageBreak/>
              <w:t>nost ili boja kože</w:t>
            </w:r>
          </w:p>
        </w:tc>
        <w:tc>
          <w:tcPr>
            <w:tcW w:w="457" w:type="dxa"/>
            <w:tcBorders>
              <w:top w:val="nil"/>
              <w:left w:val="nil"/>
              <w:bottom w:val="single" w:sz="4" w:space="0" w:color="auto"/>
              <w:right w:val="single" w:sz="4" w:space="0" w:color="auto"/>
            </w:tcBorders>
            <w:shd w:val="clear" w:color="000000" w:fill="FFFF00"/>
            <w:vAlign w:val="center"/>
            <w:hideMark/>
          </w:tcPr>
          <w:p w14:paraId="5506B6C6" w14:textId="77777777" w:rsidR="005F3233" w:rsidRPr="005F3233" w:rsidRDefault="005F3233" w:rsidP="005F3233">
            <w:pPr>
              <w:spacing w:after="0" w:line="240" w:lineRule="auto"/>
              <w:jc w:val="center"/>
              <w:rPr>
                <w:rFonts w:ascii="Calibri" w:eastAsia="Times New Roman" w:hAnsi="Calibri" w:cs="Calibri"/>
                <w:b/>
                <w:bCs/>
                <w:lang w:eastAsia="hr-HR"/>
              </w:rPr>
            </w:pPr>
            <w:r w:rsidRPr="005F3233">
              <w:rPr>
                <w:rFonts w:ascii="Calibri" w:eastAsia="Times New Roman" w:hAnsi="Calibri" w:cs="Calibri"/>
                <w:b/>
                <w:bCs/>
                <w:lang w:eastAsia="hr-HR"/>
              </w:rPr>
              <w:lastRenderedPageBreak/>
              <w:t>1</w:t>
            </w:r>
          </w:p>
        </w:tc>
        <w:tc>
          <w:tcPr>
            <w:tcW w:w="449" w:type="dxa"/>
            <w:tcBorders>
              <w:top w:val="nil"/>
              <w:left w:val="nil"/>
              <w:bottom w:val="single" w:sz="4" w:space="0" w:color="auto"/>
              <w:right w:val="single" w:sz="4" w:space="0" w:color="auto"/>
            </w:tcBorders>
            <w:shd w:val="clear" w:color="000000" w:fill="FFCC99"/>
            <w:noWrap/>
            <w:vAlign w:val="center"/>
            <w:hideMark/>
          </w:tcPr>
          <w:p w14:paraId="7D9EADF5" w14:textId="77777777" w:rsidR="005F3233" w:rsidRPr="005F3233" w:rsidRDefault="005F3233" w:rsidP="005F3233">
            <w:pPr>
              <w:spacing w:after="0" w:line="240" w:lineRule="auto"/>
              <w:jc w:val="center"/>
              <w:rPr>
                <w:rFonts w:ascii="Calibri" w:eastAsia="Times New Roman" w:hAnsi="Calibri" w:cs="Calibri"/>
                <w:sz w:val="24"/>
                <w:szCs w:val="24"/>
                <w:lang w:eastAsia="hr-HR"/>
              </w:rPr>
            </w:pPr>
            <w:r w:rsidRPr="005F3233">
              <w:rPr>
                <w:rFonts w:ascii="Calibri" w:eastAsia="Times New Roman" w:hAnsi="Calibri" w:cs="Calibri"/>
                <w:sz w:val="24"/>
                <w:szCs w:val="24"/>
                <w:lang w:eastAsia="hr-HR"/>
              </w:rPr>
              <w:t>0</w:t>
            </w:r>
          </w:p>
        </w:tc>
        <w:tc>
          <w:tcPr>
            <w:tcW w:w="421" w:type="dxa"/>
            <w:tcBorders>
              <w:top w:val="nil"/>
              <w:left w:val="nil"/>
              <w:bottom w:val="single" w:sz="4" w:space="0" w:color="auto"/>
              <w:right w:val="single" w:sz="4" w:space="0" w:color="auto"/>
            </w:tcBorders>
            <w:shd w:val="clear" w:color="000000" w:fill="CCFFFF"/>
            <w:vAlign w:val="center"/>
            <w:hideMark/>
          </w:tcPr>
          <w:p w14:paraId="4B8493A7" w14:textId="77777777" w:rsidR="005F3233" w:rsidRPr="005F3233" w:rsidRDefault="005F3233" w:rsidP="005F3233">
            <w:pPr>
              <w:spacing w:after="0" w:line="240" w:lineRule="auto"/>
              <w:jc w:val="center"/>
              <w:rPr>
                <w:rFonts w:ascii="Calibri" w:eastAsia="Times New Roman" w:hAnsi="Calibri" w:cs="Calibri"/>
                <w:sz w:val="24"/>
                <w:szCs w:val="24"/>
                <w:lang w:eastAsia="hr-HR"/>
              </w:rPr>
            </w:pPr>
            <w:r w:rsidRPr="005F3233">
              <w:rPr>
                <w:rFonts w:ascii="Calibri" w:eastAsia="Times New Roman" w:hAnsi="Calibri" w:cs="Calibri"/>
                <w:sz w:val="24"/>
                <w:szCs w:val="24"/>
                <w:lang w:eastAsia="hr-HR"/>
              </w:rPr>
              <w:t>0</w:t>
            </w:r>
          </w:p>
        </w:tc>
        <w:tc>
          <w:tcPr>
            <w:tcW w:w="408" w:type="dxa"/>
            <w:tcBorders>
              <w:top w:val="nil"/>
              <w:left w:val="nil"/>
              <w:bottom w:val="single" w:sz="4" w:space="0" w:color="auto"/>
              <w:right w:val="single" w:sz="4" w:space="0" w:color="auto"/>
            </w:tcBorders>
            <w:shd w:val="clear" w:color="000000" w:fill="CCFFFF"/>
            <w:vAlign w:val="center"/>
            <w:hideMark/>
          </w:tcPr>
          <w:p w14:paraId="38214D0D" w14:textId="77777777" w:rsidR="005F3233" w:rsidRPr="005F3233" w:rsidRDefault="005F3233" w:rsidP="005F3233">
            <w:pPr>
              <w:spacing w:after="0" w:line="240" w:lineRule="auto"/>
              <w:jc w:val="center"/>
              <w:rPr>
                <w:rFonts w:ascii="Calibri" w:eastAsia="Times New Roman" w:hAnsi="Calibri" w:cs="Calibri"/>
                <w:sz w:val="24"/>
                <w:szCs w:val="24"/>
                <w:lang w:eastAsia="hr-HR"/>
              </w:rPr>
            </w:pPr>
            <w:r w:rsidRPr="005F3233">
              <w:rPr>
                <w:rFonts w:ascii="Calibri" w:eastAsia="Times New Roman" w:hAnsi="Calibri" w:cs="Calibri"/>
                <w:sz w:val="24"/>
                <w:szCs w:val="24"/>
                <w:lang w:eastAsia="hr-HR"/>
              </w:rPr>
              <w:t>0</w:t>
            </w:r>
          </w:p>
        </w:tc>
        <w:tc>
          <w:tcPr>
            <w:tcW w:w="708" w:type="dxa"/>
            <w:tcBorders>
              <w:top w:val="nil"/>
              <w:left w:val="nil"/>
              <w:bottom w:val="single" w:sz="4" w:space="0" w:color="auto"/>
              <w:right w:val="single" w:sz="4" w:space="0" w:color="auto"/>
            </w:tcBorders>
            <w:shd w:val="clear" w:color="000000" w:fill="FFFF99"/>
            <w:noWrap/>
            <w:vAlign w:val="center"/>
            <w:hideMark/>
          </w:tcPr>
          <w:p w14:paraId="7095CE53" w14:textId="77777777" w:rsidR="005F3233" w:rsidRPr="005F3233" w:rsidRDefault="005F3233" w:rsidP="005F3233">
            <w:pPr>
              <w:spacing w:after="0" w:line="240" w:lineRule="auto"/>
              <w:jc w:val="center"/>
              <w:rPr>
                <w:rFonts w:ascii="Calibri" w:eastAsia="Times New Roman" w:hAnsi="Calibri" w:cs="Calibri"/>
                <w:sz w:val="24"/>
                <w:szCs w:val="24"/>
                <w:lang w:eastAsia="hr-HR"/>
              </w:rPr>
            </w:pPr>
            <w:r w:rsidRPr="005F3233">
              <w:rPr>
                <w:rFonts w:ascii="Calibri" w:eastAsia="Times New Roman" w:hAnsi="Calibri" w:cs="Calibri"/>
                <w:sz w:val="24"/>
                <w:szCs w:val="24"/>
                <w:lang w:eastAsia="hr-HR"/>
              </w:rPr>
              <w:t>0</w:t>
            </w:r>
          </w:p>
        </w:tc>
        <w:tc>
          <w:tcPr>
            <w:tcW w:w="708" w:type="dxa"/>
            <w:tcBorders>
              <w:top w:val="nil"/>
              <w:left w:val="nil"/>
              <w:bottom w:val="single" w:sz="4" w:space="0" w:color="auto"/>
              <w:right w:val="single" w:sz="4" w:space="0" w:color="auto"/>
            </w:tcBorders>
            <w:shd w:val="clear" w:color="000000" w:fill="FFFF99"/>
            <w:noWrap/>
            <w:vAlign w:val="center"/>
            <w:hideMark/>
          </w:tcPr>
          <w:p w14:paraId="3E1947DB" w14:textId="77777777" w:rsidR="005F3233" w:rsidRPr="005F3233" w:rsidRDefault="005F3233" w:rsidP="005F3233">
            <w:pPr>
              <w:spacing w:after="0" w:line="240" w:lineRule="auto"/>
              <w:jc w:val="center"/>
              <w:rPr>
                <w:rFonts w:ascii="Calibri" w:eastAsia="Times New Roman" w:hAnsi="Calibri" w:cs="Calibri"/>
                <w:sz w:val="24"/>
                <w:szCs w:val="24"/>
                <w:lang w:eastAsia="hr-HR"/>
              </w:rPr>
            </w:pPr>
            <w:r w:rsidRPr="005F3233">
              <w:rPr>
                <w:rFonts w:ascii="Calibri" w:eastAsia="Times New Roman" w:hAnsi="Calibri" w:cs="Calibri"/>
                <w:sz w:val="24"/>
                <w:szCs w:val="24"/>
                <w:lang w:eastAsia="hr-HR"/>
              </w:rPr>
              <w:t>0</w:t>
            </w:r>
          </w:p>
        </w:tc>
        <w:tc>
          <w:tcPr>
            <w:tcW w:w="708" w:type="dxa"/>
            <w:tcBorders>
              <w:top w:val="nil"/>
              <w:left w:val="nil"/>
              <w:bottom w:val="single" w:sz="4" w:space="0" w:color="auto"/>
              <w:right w:val="single" w:sz="4" w:space="0" w:color="auto"/>
            </w:tcBorders>
            <w:shd w:val="clear" w:color="000000" w:fill="FFFF99"/>
            <w:noWrap/>
            <w:vAlign w:val="center"/>
            <w:hideMark/>
          </w:tcPr>
          <w:p w14:paraId="6AE66037" w14:textId="77777777" w:rsidR="005F3233" w:rsidRPr="005F3233" w:rsidRDefault="005F3233" w:rsidP="005F3233">
            <w:pPr>
              <w:spacing w:after="0" w:line="240" w:lineRule="auto"/>
              <w:jc w:val="center"/>
              <w:rPr>
                <w:rFonts w:ascii="Calibri" w:eastAsia="Times New Roman" w:hAnsi="Calibri" w:cs="Calibri"/>
                <w:sz w:val="24"/>
                <w:szCs w:val="24"/>
                <w:lang w:eastAsia="hr-HR"/>
              </w:rPr>
            </w:pPr>
            <w:r w:rsidRPr="005F3233">
              <w:rPr>
                <w:rFonts w:ascii="Calibri" w:eastAsia="Times New Roman" w:hAnsi="Calibri" w:cs="Calibri"/>
                <w:sz w:val="24"/>
                <w:szCs w:val="24"/>
                <w:lang w:eastAsia="hr-HR"/>
              </w:rPr>
              <w:t>0</w:t>
            </w:r>
          </w:p>
        </w:tc>
        <w:tc>
          <w:tcPr>
            <w:tcW w:w="464" w:type="dxa"/>
            <w:tcBorders>
              <w:top w:val="nil"/>
              <w:left w:val="nil"/>
              <w:bottom w:val="single" w:sz="4" w:space="0" w:color="auto"/>
              <w:right w:val="single" w:sz="4" w:space="0" w:color="auto"/>
            </w:tcBorders>
            <w:shd w:val="clear" w:color="000000" w:fill="FFFF99"/>
            <w:noWrap/>
            <w:vAlign w:val="center"/>
            <w:hideMark/>
          </w:tcPr>
          <w:p w14:paraId="23061F02" w14:textId="77777777" w:rsidR="005F3233" w:rsidRPr="005F3233" w:rsidRDefault="005F3233" w:rsidP="005F3233">
            <w:pPr>
              <w:spacing w:after="0" w:line="240" w:lineRule="auto"/>
              <w:jc w:val="center"/>
              <w:rPr>
                <w:rFonts w:ascii="Calibri" w:eastAsia="Times New Roman" w:hAnsi="Calibri" w:cs="Calibri"/>
                <w:sz w:val="24"/>
                <w:szCs w:val="24"/>
                <w:lang w:eastAsia="hr-HR"/>
              </w:rPr>
            </w:pPr>
            <w:r w:rsidRPr="005F3233">
              <w:rPr>
                <w:rFonts w:ascii="Calibri" w:eastAsia="Times New Roman" w:hAnsi="Calibri" w:cs="Calibri"/>
                <w:sz w:val="24"/>
                <w:szCs w:val="24"/>
                <w:lang w:eastAsia="hr-HR"/>
              </w:rPr>
              <w:t>0</w:t>
            </w:r>
          </w:p>
        </w:tc>
        <w:tc>
          <w:tcPr>
            <w:tcW w:w="700" w:type="dxa"/>
            <w:tcBorders>
              <w:top w:val="nil"/>
              <w:left w:val="nil"/>
              <w:bottom w:val="single" w:sz="4" w:space="0" w:color="auto"/>
              <w:right w:val="single" w:sz="4" w:space="0" w:color="auto"/>
            </w:tcBorders>
            <w:shd w:val="clear" w:color="000000" w:fill="FFFF99"/>
            <w:noWrap/>
            <w:vAlign w:val="center"/>
            <w:hideMark/>
          </w:tcPr>
          <w:p w14:paraId="3CE06179" w14:textId="77777777" w:rsidR="005F3233" w:rsidRPr="005F3233" w:rsidRDefault="005F3233" w:rsidP="005F3233">
            <w:pPr>
              <w:spacing w:after="0" w:line="240" w:lineRule="auto"/>
              <w:jc w:val="center"/>
              <w:rPr>
                <w:rFonts w:ascii="Calibri" w:eastAsia="Times New Roman" w:hAnsi="Calibri" w:cs="Calibri"/>
                <w:sz w:val="24"/>
                <w:szCs w:val="24"/>
                <w:lang w:eastAsia="hr-HR"/>
              </w:rPr>
            </w:pPr>
            <w:r w:rsidRPr="005F3233">
              <w:rPr>
                <w:rFonts w:ascii="Calibri" w:eastAsia="Times New Roman" w:hAnsi="Calibri" w:cs="Calibri"/>
                <w:sz w:val="24"/>
                <w:szCs w:val="24"/>
                <w:lang w:eastAsia="hr-HR"/>
              </w:rPr>
              <w:t>0</w:t>
            </w:r>
          </w:p>
        </w:tc>
        <w:tc>
          <w:tcPr>
            <w:tcW w:w="699" w:type="dxa"/>
            <w:tcBorders>
              <w:top w:val="nil"/>
              <w:left w:val="nil"/>
              <w:bottom w:val="single" w:sz="4" w:space="0" w:color="auto"/>
              <w:right w:val="single" w:sz="4" w:space="0" w:color="auto"/>
            </w:tcBorders>
            <w:shd w:val="clear" w:color="000000" w:fill="FFFF99"/>
            <w:noWrap/>
            <w:vAlign w:val="center"/>
            <w:hideMark/>
          </w:tcPr>
          <w:p w14:paraId="07083F52" w14:textId="77777777" w:rsidR="005F3233" w:rsidRPr="005F3233" w:rsidRDefault="005F3233" w:rsidP="005F3233">
            <w:pPr>
              <w:spacing w:after="0" w:line="240" w:lineRule="auto"/>
              <w:jc w:val="center"/>
              <w:rPr>
                <w:rFonts w:ascii="Calibri" w:eastAsia="Times New Roman" w:hAnsi="Calibri" w:cs="Calibri"/>
                <w:sz w:val="24"/>
                <w:szCs w:val="24"/>
                <w:lang w:eastAsia="hr-HR"/>
              </w:rPr>
            </w:pPr>
            <w:r w:rsidRPr="005F3233">
              <w:rPr>
                <w:rFonts w:ascii="Calibri" w:eastAsia="Times New Roman" w:hAnsi="Calibri" w:cs="Calibri"/>
                <w:sz w:val="24"/>
                <w:szCs w:val="24"/>
                <w:lang w:eastAsia="hr-HR"/>
              </w:rPr>
              <w:t>0</w:t>
            </w:r>
          </w:p>
        </w:tc>
        <w:tc>
          <w:tcPr>
            <w:tcW w:w="700" w:type="dxa"/>
            <w:tcBorders>
              <w:top w:val="nil"/>
              <w:left w:val="nil"/>
              <w:bottom w:val="single" w:sz="4" w:space="0" w:color="auto"/>
              <w:right w:val="single" w:sz="4" w:space="0" w:color="auto"/>
            </w:tcBorders>
            <w:shd w:val="clear" w:color="000000" w:fill="FFFF99"/>
            <w:noWrap/>
            <w:vAlign w:val="center"/>
            <w:hideMark/>
          </w:tcPr>
          <w:p w14:paraId="6271D087" w14:textId="77777777" w:rsidR="005F3233" w:rsidRPr="005F3233" w:rsidRDefault="005F3233" w:rsidP="005F3233">
            <w:pPr>
              <w:spacing w:after="0" w:line="240" w:lineRule="auto"/>
              <w:jc w:val="center"/>
              <w:rPr>
                <w:rFonts w:ascii="Calibri" w:eastAsia="Times New Roman" w:hAnsi="Calibri" w:cs="Calibri"/>
                <w:sz w:val="24"/>
                <w:szCs w:val="24"/>
                <w:lang w:eastAsia="hr-HR"/>
              </w:rPr>
            </w:pPr>
            <w:r w:rsidRPr="005F3233">
              <w:rPr>
                <w:rFonts w:ascii="Calibri" w:eastAsia="Times New Roman" w:hAnsi="Calibri" w:cs="Calibri"/>
                <w:sz w:val="24"/>
                <w:szCs w:val="24"/>
                <w:lang w:eastAsia="hr-HR"/>
              </w:rPr>
              <w:t>0</w:t>
            </w:r>
          </w:p>
        </w:tc>
        <w:tc>
          <w:tcPr>
            <w:tcW w:w="464" w:type="dxa"/>
            <w:tcBorders>
              <w:top w:val="nil"/>
              <w:left w:val="nil"/>
              <w:bottom w:val="single" w:sz="4" w:space="0" w:color="auto"/>
              <w:right w:val="single" w:sz="4" w:space="0" w:color="auto"/>
            </w:tcBorders>
            <w:shd w:val="clear" w:color="000000" w:fill="FFFF99"/>
            <w:noWrap/>
            <w:vAlign w:val="center"/>
            <w:hideMark/>
          </w:tcPr>
          <w:p w14:paraId="4359BD89" w14:textId="77777777" w:rsidR="005F3233" w:rsidRPr="005F3233" w:rsidRDefault="005F3233" w:rsidP="005F3233">
            <w:pPr>
              <w:spacing w:after="0" w:line="240" w:lineRule="auto"/>
              <w:jc w:val="center"/>
              <w:rPr>
                <w:rFonts w:ascii="Calibri" w:eastAsia="Times New Roman" w:hAnsi="Calibri" w:cs="Calibri"/>
                <w:sz w:val="24"/>
                <w:szCs w:val="24"/>
                <w:lang w:eastAsia="hr-HR"/>
              </w:rPr>
            </w:pPr>
            <w:r w:rsidRPr="005F3233">
              <w:rPr>
                <w:rFonts w:ascii="Calibri" w:eastAsia="Times New Roman" w:hAnsi="Calibri" w:cs="Calibri"/>
                <w:sz w:val="24"/>
                <w:szCs w:val="24"/>
                <w:lang w:eastAsia="hr-HR"/>
              </w:rPr>
              <w:t>0</w:t>
            </w:r>
          </w:p>
        </w:tc>
        <w:tc>
          <w:tcPr>
            <w:tcW w:w="700" w:type="dxa"/>
            <w:tcBorders>
              <w:top w:val="nil"/>
              <w:left w:val="nil"/>
              <w:bottom w:val="single" w:sz="4" w:space="0" w:color="auto"/>
              <w:right w:val="single" w:sz="4" w:space="0" w:color="auto"/>
            </w:tcBorders>
            <w:shd w:val="clear" w:color="000000" w:fill="FFFF99"/>
            <w:noWrap/>
            <w:vAlign w:val="center"/>
            <w:hideMark/>
          </w:tcPr>
          <w:p w14:paraId="64C8F939" w14:textId="77777777" w:rsidR="005F3233" w:rsidRPr="005F3233" w:rsidRDefault="005F3233" w:rsidP="005F3233">
            <w:pPr>
              <w:spacing w:after="0" w:line="240" w:lineRule="auto"/>
              <w:jc w:val="center"/>
              <w:rPr>
                <w:rFonts w:ascii="Calibri" w:eastAsia="Times New Roman" w:hAnsi="Calibri" w:cs="Calibri"/>
                <w:sz w:val="24"/>
                <w:szCs w:val="24"/>
                <w:lang w:eastAsia="hr-HR"/>
              </w:rPr>
            </w:pPr>
            <w:r w:rsidRPr="005F3233">
              <w:rPr>
                <w:rFonts w:ascii="Calibri" w:eastAsia="Times New Roman" w:hAnsi="Calibri" w:cs="Calibri"/>
                <w:sz w:val="24"/>
                <w:szCs w:val="24"/>
                <w:lang w:eastAsia="hr-HR"/>
              </w:rPr>
              <w:t>0</w:t>
            </w:r>
          </w:p>
        </w:tc>
        <w:tc>
          <w:tcPr>
            <w:tcW w:w="434" w:type="dxa"/>
            <w:tcBorders>
              <w:top w:val="nil"/>
              <w:left w:val="nil"/>
              <w:bottom w:val="single" w:sz="4" w:space="0" w:color="auto"/>
              <w:right w:val="single" w:sz="4" w:space="0" w:color="auto"/>
            </w:tcBorders>
            <w:shd w:val="clear" w:color="000000" w:fill="FFFF99"/>
            <w:noWrap/>
            <w:vAlign w:val="center"/>
            <w:hideMark/>
          </w:tcPr>
          <w:p w14:paraId="0D0DF25A" w14:textId="77777777" w:rsidR="005F3233" w:rsidRPr="005F3233" w:rsidRDefault="005F3233" w:rsidP="005F3233">
            <w:pPr>
              <w:spacing w:after="0" w:line="240" w:lineRule="auto"/>
              <w:jc w:val="center"/>
              <w:rPr>
                <w:rFonts w:ascii="Calibri" w:eastAsia="Times New Roman" w:hAnsi="Calibri" w:cs="Calibri"/>
                <w:sz w:val="24"/>
                <w:szCs w:val="24"/>
                <w:lang w:eastAsia="hr-HR"/>
              </w:rPr>
            </w:pPr>
            <w:r w:rsidRPr="005F3233">
              <w:rPr>
                <w:rFonts w:ascii="Calibri" w:eastAsia="Times New Roman" w:hAnsi="Calibri" w:cs="Calibri"/>
                <w:sz w:val="24"/>
                <w:szCs w:val="24"/>
                <w:lang w:eastAsia="hr-HR"/>
              </w:rPr>
              <w:t>0</w:t>
            </w:r>
          </w:p>
        </w:tc>
        <w:tc>
          <w:tcPr>
            <w:tcW w:w="426" w:type="dxa"/>
            <w:tcBorders>
              <w:top w:val="nil"/>
              <w:left w:val="nil"/>
              <w:bottom w:val="single" w:sz="4" w:space="0" w:color="auto"/>
              <w:right w:val="single" w:sz="4" w:space="0" w:color="auto"/>
            </w:tcBorders>
            <w:shd w:val="clear" w:color="000000" w:fill="FF9900"/>
            <w:noWrap/>
            <w:vAlign w:val="center"/>
            <w:hideMark/>
          </w:tcPr>
          <w:p w14:paraId="6B1716B9" w14:textId="77777777" w:rsidR="005F3233" w:rsidRPr="005F3233" w:rsidRDefault="005F3233" w:rsidP="005F3233">
            <w:pPr>
              <w:spacing w:after="0" w:line="240" w:lineRule="auto"/>
              <w:jc w:val="center"/>
              <w:rPr>
                <w:rFonts w:ascii="Calibri" w:eastAsia="Times New Roman" w:hAnsi="Calibri" w:cs="Calibri"/>
                <w:sz w:val="24"/>
                <w:szCs w:val="24"/>
                <w:lang w:eastAsia="hr-HR"/>
              </w:rPr>
            </w:pPr>
            <w:r w:rsidRPr="005F3233">
              <w:rPr>
                <w:rFonts w:ascii="Calibri" w:eastAsia="Times New Roman" w:hAnsi="Calibri" w:cs="Calibri"/>
                <w:sz w:val="24"/>
                <w:szCs w:val="24"/>
                <w:lang w:eastAsia="hr-HR"/>
              </w:rPr>
              <w:t>0</w:t>
            </w:r>
          </w:p>
        </w:tc>
        <w:tc>
          <w:tcPr>
            <w:tcW w:w="425" w:type="dxa"/>
            <w:tcBorders>
              <w:top w:val="nil"/>
              <w:left w:val="nil"/>
              <w:bottom w:val="single" w:sz="4" w:space="0" w:color="auto"/>
              <w:right w:val="single" w:sz="4" w:space="0" w:color="auto"/>
            </w:tcBorders>
            <w:shd w:val="clear" w:color="000000" w:fill="FF9900"/>
            <w:noWrap/>
            <w:vAlign w:val="center"/>
            <w:hideMark/>
          </w:tcPr>
          <w:p w14:paraId="6FCFA19A" w14:textId="77777777" w:rsidR="005F3233" w:rsidRPr="005F3233" w:rsidRDefault="005F3233" w:rsidP="005F3233">
            <w:pPr>
              <w:spacing w:after="0" w:line="240" w:lineRule="auto"/>
              <w:jc w:val="center"/>
              <w:rPr>
                <w:rFonts w:ascii="Calibri" w:eastAsia="Times New Roman" w:hAnsi="Calibri" w:cs="Calibri"/>
                <w:sz w:val="24"/>
                <w:szCs w:val="24"/>
                <w:lang w:eastAsia="hr-HR"/>
              </w:rPr>
            </w:pPr>
            <w:r w:rsidRPr="005F3233">
              <w:rPr>
                <w:rFonts w:ascii="Calibri" w:eastAsia="Times New Roman" w:hAnsi="Calibri" w:cs="Calibri"/>
                <w:sz w:val="24"/>
                <w:szCs w:val="24"/>
                <w:lang w:eastAsia="hr-HR"/>
              </w:rPr>
              <w:t>0</w:t>
            </w:r>
          </w:p>
        </w:tc>
        <w:tc>
          <w:tcPr>
            <w:tcW w:w="442" w:type="dxa"/>
            <w:tcBorders>
              <w:top w:val="nil"/>
              <w:left w:val="nil"/>
              <w:bottom w:val="single" w:sz="4" w:space="0" w:color="auto"/>
              <w:right w:val="single" w:sz="4" w:space="0" w:color="auto"/>
            </w:tcBorders>
            <w:shd w:val="clear" w:color="000000" w:fill="FF9900"/>
            <w:noWrap/>
            <w:vAlign w:val="center"/>
            <w:hideMark/>
          </w:tcPr>
          <w:p w14:paraId="0B778E74" w14:textId="77777777" w:rsidR="005F3233" w:rsidRPr="005F3233" w:rsidRDefault="005F3233" w:rsidP="005F3233">
            <w:pPr>
              <w:spacing w:after="0" w:line="240" w:lineRule="auto"/>
              <w:jc w:val="center"/>
              <w:rPr>
                <w:rFonts w:ascii="Calibri" w:eastAsia="Times New Roman" w:hAnsi="Calibri" w:cs="Calibri"/>
                <w:sz w:val="24"/>
                <w:szCs w:val="24"/>
                <w:lang w:eastAsia="hr-HR"/>
              </w:rPr>
            </w:pPr>
            <w:r w:rsidRPr="005F3233">
              <w:rPr>
                <w:rFonts w:ascii="Calibri" w:eastAsia="Times New Roman" w:hAnsi="Calibri" w:cs="Calibri"/>
                <w:sz w:val="24"/>
                <w:szCs w:val="24"/>
                <w:lang w:eastAsia="hr-HR"/>
              </w:rPr>
              <w:t>0</w:t>
            </w:r>
          </w:p>
        </w:tc>
        <w:tc>
          <w:tcPr>
            <w:tcW w:w="451" w:type="dxa"/>
            <w:tcBorders>
              <w:top w:val="nil"/>
              <w:left w:val="nil"/>
              <w:bottom w:val="single" w:sz="4" w:space="0" w:color="auto"/>
              <w:right w:val="single" w:sz="4" w:space="0" w:color="auto"/>
            </w:tcBorders>
            <w:shd w:val="clear" w:color="auto" w:fill="auto"/>
            <w:vAlign w:val="center"/>
            <w:hideMark/>
          </w:tcPr>
          <w:p w14:paraId="04A0B536" w14:textId="77777777" w:rsidR="005F3233" w:rsidRPr="005F3233" w:rsidRDefault="005F3233" w:rsidP="005F3233">
            <w:pPr>
              <w:spacing w:after="0" w:line="240" w:lineRule="auto"/>
              <w:jc w:val="center"/>
              <w:rPr>
                <w:rFonts w:ascii="Calibri" w:eastAsia="Times New Roman" w:hAnsi="Calibri" w:cs="Calibri"/>
                <w:b/>
                <w:bCs/>
                <w:sz w:val="24"/>
                <w:szCs w:val="24"/>
                <w:lang w:eastAsia="hr-HR"/>
              </w:rPr>
            </w:pPr>
            <w:r w:rsidRPr="005F3233">
              <w:rPr>
                <w:rFonts w:ascii="Calibri" w:eastAsia="Times New Roman" w:hAnsi="Calibri" w:cs="Calibri"/>
                <w:b/>
                <w:bCs/>
                <w:sz w:val="24"/>
                <w:szCs w:val="24"/>
                <w:lang w:eastAsia="hr-HR"/>
              </w:rPr>
              <w:t>0</w:t>
            </w:r>
          </w:p>
        </w:tc>
        <w:tc>
          <w:tcPr>
            <w:tcW w:w="383" w:type="dxa"/>
            <w:gridSpan w:val="2"/>
            <w:tcBorders>
              <w:top w:val="nil"/>
              <w:left w:val="nil"/>
              <w:bottom w:val="single" w:sz="4" w:space="0" w:color="auto"/>
              <w:right w:val="single" w:sz="4" w:space="0" w:color="auto"/>
            </w:tcBorders>
            <w:shd w:val="clear" w:color="000000" w:fill="FFFF00"/>
            <w:noWrap/>
            <w:vAlign w:val="center"/>
            <w:hideMark/>
          </w:tcPr>
          <w:p w14:paraId="24548D85" w14:textId="77777777" w:rsidR="005F3233" w:rsidRPr="005F3233" w:rsidRDefault="005F3233" w:rsidP="005F3233">
            <w:pPr>
              <w:spacing w:after="0" w:line="240" w:lineRule="auto"/>
              <w:jc w:val="center"/>
              <w:rPr>
                <w:rFonts w:ascii="Calibri" w:eastAsia="Times New Roman" w:hAnsi="Calibri" w:cs="Calibri"/>
                <w:b/>
                <w:bCs/>
                <w:sz w:val="24"/>
                <w:szCs w:val="24"/>
                <w:lang w:eastAsia="hr-HR"/>
              </w:rPr>
            </w:pPr>
            <w:r w:rsidRPr="005F3233">
              <w:rPr>
                <w:rFonts w:ascii="Calibri" w:eastAsia="Times New Roman" w:hAnsi="Calibri" w:cs="Calibri"/>
                <w:b/>
                <w:bCs/>
                <w:sz w:val="24"/>
                <w:szCs w:val="24"/>
                <w:lang w:eastAsia="hr-HR"/>
              </w:rPr>
              <w:t>0</w:t>
            </w:r>
          </w:p>
        </w:tc>
        <w:tc>
          <w:tcPr>
            <w:tcW w:w="392" w:type="dxa"/>
            <w:tcBorders>
              <w:top w:val="nil"/>
              <w:left w:val="nil"/>
              <w:bottom w:val="single" w:sz="4" w:space="0" w:color="auto"/>
              <w:right w:val="single" w:sz="4" w:space="0" w:color="auto"/>
            </w:tcBorders>
            <w:shd w:val="clear" w:color="000000" w:fill="FFFF00"/>
            <w:noWrap/>
            <w:vAlign w:val="center"/>
            <w:hideMark/>
          </w:tcPr>
          <w:p w14:paraId="5AC5E3EF" w14:textId="77777777" w:rsidR="005F3233" w:rsidRPr="005F3233" w:rsidRDefault="005F3233" w:rsidP="005F3233">
            <w:pPr>
              <w:spacing w:after="0" w:line="240" w:lineRule="auto"/>
              <w:jc w:val="center"/>
              <w:rPr>
                <w:rFonts w:ascii="Calibri" w:eastAsia="Times New Roman" w:hAnsi="Calibri" w:cs="Calibri"/>
                <w:b/>
                <w:bCs/>
                <w:sz w:val="24"/>
                <w:szCs w:val="24"/>
                <w:lang w:eastAsia="hr-HR"/>
              </w:rPr>
            </w:pPr>
            <w:r w:rsidRPr="005F3233">
              <w:rPr>
                <w:rFonts w:ascii="Calibri" w:eastAsia="Times New Roman" w:hAnsi="Calibri" w:cs="Calibri"/>
                <w:b/>
                <w:bCs/>
                <w:sz w:val="24"/>
                <w:szCs w:val="24"/>
                <w:lang w:eastAsia="hr-HR"/>
              </w:rPr>
              <w:t>0</w:t>
            </w:r>
          </w:p>
        </w:tc>
        <w:tc>
          <w:tcPr>
            <w:tcW w:w="400" w:type="dxa"/>
            <w:tcBorders>
              <w:top w:val="nil"/>
              <w:left w:val="nil"/>
              <w:bottom w:val="single" w:sz="4" w:space="0" w:color="auto"/>
              <w:right w:val="single" w:sz="4" w:space="0" w:color="auto"/>
            </w:tcBorders>
            <w:shd w:val="clear" w:color="000000" w:fill="FFFF00"/>
            <w:noWrap/>
            <w:vAlign w:val="center"/>
            <w:hideMark/>
          </w:tcPr>
          <w:p w14:paraId="74C61FA3" w14:textId="77777777" w:rsidR="005F3233" w:rsidRPr="005F3233" w:rsidRDefault="005F3233" w:rsidP="005F3233">
            <w:pPr>
              <w:spacing w:after="0" w:line="240" w:lineRule="auto"/>
              <w:jc w:val="center"/>
              <w:rPr>
                <w:rFonts w:ascii="Calibri" w:eastAsia="Times New Roman" w:hAnsi="Calibri" w:cs="Calibri"/>
                <w:b/>
                <w:bCs/>
                <w:sz w:val="24"/>
                <w:szCs w:val="24"/>
                <w:lang w:eastAsia="hr-HR"/>
              </w:rPr>
            </w:pPr>
            <w:r w:rsidRPr="005F3233">
              <w:rPr>
                <w:rFonts w:ascii="Calibri" w:eastAsia="Times New Roman" w:hAnsi="Calibri" w:cs="Calibri"/>
                <w:b/>
                <w:bCs/>
                <w:sz w:val="24"/>
                <w:szCs w:val="24"/>
                <w:lang w:eastAsia="hr-HR"/>
              </w:rPr>
              <w:t>0</w:t>
            </w:r>
          </w:p>
        </w:tc>
        <w:tc>
          <w:tcPr>
            <w:tcW w:w="409" w:type="dxa"/>
            <w:tcBorders>
              <w:top w:val="nil"/>
              <w:left w:val="nil"/>
              <w:bottom w:val="single" w:sz="4" w:space="0" w:color="auto"/>
              <w:right w:val="single" w:sz="4" w:space="0" w:color="auto"/>
            </w:tcBorders>
            <w:shd w:val="clear" w:color="auto" w:fill="auto"/>
            <w:vAlign w:val="center"/>
            <w:hideMark/>
          </w:tcPr>
          <w:p w14:paraId="6FB8ABEB" w14:textId="77777777" w:rsidR="005F3233" w:rsidRPr="005F3233" w:rsidRDefault="005F3233" w:rsidP="005F3233">
            <w:pPr>
              <w:spacing w:after="0" w:line="240" w:lineRule="auto"/>
              <w:jc w:val="center"/>
              <w:rPr>
                <w:rFonts w:ascii="Calibri" w:eastAsia="Times New Roman" w:hAnsi="Calibri" w:cs="Calibri"/>
                <w:b/>
                <w:bCs/>
                <w:sz w:val="24"/>
                <w:szCs w:val="24"/>
                <w:lang w:eastAsia="hr-HR"/>
              </w:rPr>
            </w:pPr>
            <w:r w:rsidRPr="005F3233">
              <w:rPr>
                <w:rFonts w:ascii="Calibri" w:eastAsia="Times New Roman" w:hAnsi="Calibri" w:cs="Calibri"/>
                <w:b/>
                <w:bCs/>
                <w:sz w:val="24"/>
                <w:szCs w:val="24"/>
                <w:lang w:eastAsia="hr-HR"/>
              </w:rPr>
              <w:t>0</w:t>
            </w:r>
          </w:p>
        </w:tc>
        <w:tc>
          <w:tcPr>
            <w:tcW w:w="499" w:type="dxa"/>
            <w:gridSpan w:val="2"/>
            <w:tcBorders>
              <w:top w:val="nil"/>
              <w:left w:val="nil"/>
              <w:bottom w:val="single" w:sz="4" w:space="0" w:color="auto"/>
              <w:right w:val="single" w:sz="4" w:space="0" w:color="auto"/>
            </w:tcBorders>
            <w:shd w:val="clear" w:color="000000" w:fill="FFFF00"/>
            <w:vAlign w:val="center"/>
            <w:hideMark/>
          </w:tcPr>
          <w:p w14:paraId="1AA85261" w14:textId="77777777" w:rsidR="005F3233" w:rsidRPr="005F3233" w:rsidRDefault="005F3233" w:rsidP="005F3233">
            <w:pPr>
              <w:spacing w:after="0" w:line="240" w:lineRule="auto"/>
              <w:jc w:val="center"/>
              <w:rPr>
                <w:rFonts w:ascii="Calibri" w:eastAsia="Times New Roman" w:hAnsi="Calibri" w:cs="Calibri"/>
                <w:b/>
                <w:bCs/>
                <w:sz w:val="24"/>
                <w:szCs w:val="24"/>
                <w:lang w:eastAsia="hr-HR"/>
              </w:rPr>
            </w:pPr>
            <w:r w:rsidRPr="005F3233">
              <w:rPr>
                <w:rFonts w:ascii="Calibri" w:eastAsia="Times New Roman" w:hAnsi="Calibri" w:cs="Calibri"/>
                <w:b/>
                <w:bCs/>
                <w:sz w:val="24"/>
                <w:szCs w:val="24"/>
                <w:lang w:eastAsia="hr-HR"/>
              </w:rPr>
              <w:t>1</w:t>
            </w:r>
          </w:p>
        </w:tc>
        <w:tc>
          <w:tcPr>
            <w:tcW w:w="567" w:type="dxa"/>
            <w:tcBorders>
              <w:top w:val="nil"/>
              <w:left w:val="nil"/>
              <w:bottom w:val="single" w:sz="4" w:space="0" w:color="auto"/>
              <w:right w:val="single" w:sz="4" w:space="0" w:color="auto"/>
            </w:tcBorders>
            <w:shd w:val="clear" w:color="000000" w:fill="FF9900"/>
            <w:noWrap/>
            <w:vAlign w:val="center"/>
            <w:hideMark/>
          </w:tcPr>
          <w:p w14:paraId="466D1E64" w14:textId="77777777" w:rsidR="005F3233" w:rsidRPr="005F3233" w:rsidRDefault="005F3233" w:rsidP="005F3233">
            <w:pPr>
              <w:spacing w:after="0" w:line="240" w:lineRule="auto"/>
              <w:jc w:val="center"/>
              <w:rPr>
                <w:rFonts w:ascii="Calibri" w:eastAsia="Times New Roman" w:hAnsi="Calibri" w:cs="Calibri"/>
                <w:sz w:val="24"/>
                <w:szCs w:val="24"/>
                <w:lang w:eastAsia="hr-HR"/>
              </w:rPr>
            </w:pPr>
            <w:r w:rsidRPr="005F3233">
              <w:rPr>
                <w:rFonts w:ascii="Calibri" w:eastAsia="Times New Roman" w:hAnsi="Calibri" w:cs="Calibri"/>
                <w:sz w:val="24"/>
                <w:szCs w:val="24"/>
                <w:lang w:eastAsia="hr-HR"/>
              </w:rPr>
              <w:t>0</w:t>
            </w:r>
          </w:p>
        </w:tc>
        <w:tc>
          <w:tcPr>
            <w:tcW w:w="425" w:type="dxa"/>
            <w:gridSpan w:val="2"/>
            <w:tcBorders>
              <w:top w:val="nil"/>
              <w:left w:val="nil"/>
              <w:bottom w:val="single" w:sz="4" w:space="0" w:color="auto"/>
              <w:right w:val="single" w:sz="4" w:space="0" w:color="auto"/>
            </w:tcBorders>
            <w:shd w:val="clear" w:color="000000" w:fill="CCFFFF"/>
            <w:noWrap/>
            <w:vAlign w:val="center"/>
            <w:hideMark/>
          </w:tcPr>
          <w:p w14:paraId="6333C349" w14:textId="77777777" w:rsidR="005F3233" w:rsidRPr="005F3233" w:rsidRDefault="005F3233" w:rsidP="005F3233">
            <w:pPr>
              <w:spacing w:after="0" w:line="240" w:lineRule="auto"/>
              <w:jc w:val="center"/>
              <w:rPr>
                <w:rFonts w:ascii="Calibri" w:eastAsia="Times New Roman" w:hAnsi="Calibri" w:cs="Calibri"/>
                <w:sz w:val="24"/>
                <w:szCs w:val="24"/>
                <w:lang w:eastAsia="hr-HR"/>
              </w:rPr>
            </w:pPr>
            <w:r w:rsidRPr="005F3233">
              <w:rPr>
                <w:rFonts w:ascii="Calibri" w:eastAsia="Times New Roman" w:hAnsi="Calibri" w:cs="Calibri"/>
                <w:sz w:val="24"/>
                <w:szCs w:val="24"/>
                <w:lang w:eastAsia="hr-HR"/>
              </w:rPr>
              <w:t>0</w:t>
            </w:r>
          </w:p>
        </w:tc>
        <w:tc>
          <w:tcPr>
            <w:tcW w:w="434" w:type="dxa"/>
            <w:gridSpan w:val="2"/>
            <w:tcBorders>
              <w:top w:val="nil"/>
              <w:left w:val="nil"/>
              <w:bottom w:val="single" w:sz="4" w:space="0" w:color="auto"/>
              <w:right w:val="single" w:sz="4" w:space="0" w:color="auto"/>
            </w:tcBorders>
            <w:shd w:val="clear" w:color="000000" w:fill="CCFFFF"/>
            <w:noWrap/>
            <w:vAlign w:val="center"/>
            <w:hideMark/>
          </w:tcPr>
          <w:p w14:paraId="53D7A302" w14:textId="77777777" w:rsidR="005F3233" w:rsidRPr="005F3233" w:rsidRDefault="005F3233" w:rsidP="005F3233">
            <w:pPr>
              <w:spacing w:after="0" w:line="240" w:lineRule="auto"/>
              <w:jc w:val="center"/>
              <w:rPr>
                <w:rFonts w:ascii="Calibri" w:eastAsia="Times New Roman" w:hAnsi="Calibri" w:cs="Calibri"/>
                <w:sz w:val="24"/>
                <w:szCs w:val="24"/>
                <w:lang w:eastAsia="hr-HR"/>
              </w:rPr>
            </w:pPr>
            <w:r w:rsidRPr="005F3233">
              <w:rPr>
                <w:rFonts w:ascii="Calibri" w:eastAsia="Times New Roman" w:hAnsi="Calibri" w:cs="Calibri"/>
                <w:sz w:val="24"/>
                <w:szCs w:val="24"/>
                <w:lang w:eastAsia="hr-HR"/>
              </w:rPr>
              <w:t>0</w:t>
            </w:r>
          </w:p>
        </w:tc>
        <w:tc>
          <w:tcPr>
            <w:tcW w:w="417" w:type="dxa"/>
            <w:tcBorders>
              <w:top w:val="nil"/>
              <w:left w:val="nil"/>
              <w:bottom w:val="single" w:sz="4" w:space="0" w:color="auto"/>
              <w:right w:val="single" w:sz="4" w:space="0" w:color="auto"/>
            </w:tcBorders>
            <w:shd w:val="clear" w:color="000000" w:fill="CCFFFF"/>
            <w:noWrap/>
            <w:vAlign w:val="center"/>
            <w:hideMark/>
          </w:tcPr>
          <w:p w14:paraId="12955540" w14:textId="77777777" w:rsidR="005F3233" w:rsidRPr="005F3233" w:rsidRDefault="005F3233" w:rsidP="005F3233">
            <w:pPr>
              <w:spacing w:after="0" w:line="240" w:lineRule="auto"/>
              <w:jc w:val="center"/>
              <w:rPr>
                <w:rFonts w:ascii="Calibri" w:eastAsia="Times New Roman" w:hAnsi="Calibri" w:cs="Calibri"/>
                <w:sz w:val="24"/>
                <w:szCs w:val="24"/>
                <w:lang w:eastAsia="hr-HR"/>
              </w:rPr>
            </w:pPr>
            <w:r w:rsidRPr="005F3233">
              <w:rPr>
                <w:rFonts w:ascii="Calibri" w:eastAsia="Times New Roman" w:hAnsi="Calibri" w:cs="Calibri"/>
                <w:sz w:val="24"/>
                <w:szCs w:val="24"/>
                <w:lang w:eastAsia="hr-HR"/>
              </w:rPr>
              <w:t>0</w:t>
            </w:r>
          </w:p>
        </w:tc>
        <w:tc>
          <w:tcPr>
            <w:tcW w:w="425" w:type="dxa"/>
            <w:gridSpan w:val="3"/>
            <w:tcBorders>
              <w:top w:val="nil"/>
              <w:left w:val="nil"/>
              <w:bottom w:val="single" w:sz="4" w:space="0" w:color="auto"/>
              <w:right w:val="single" w:sz="8" w:space="0" w:color="auto"/>
            </w:tcBorders>
            <w:shd w:val="clear" w:color="000000" w:fill="33CCCC"/>
            <w:noWrap/>
            <w:vAlign w:val="center"/>
            <w:hideMark/>
          </w:tcPr>
          <w:p w14:paraId="05F443B5" w14:textId="77777777" w:rsidR="005F3233" w:rsidRPr="005F3233" w:rsidRDefault="005F3233" w:rsidP="005F3233">
            <w:pPr>
              <w:spacing w:after="0" w:line="240" w:lineRule="auto"/>
              <w:jc w:val="center"/>
              <w:rPr>
                <w:rFonts w:ascii="Calibri" w:eastAsia="Times New Roman" w:hAnsi="Calibri" w:cs="Calibri"/>
                <w:sz w:val="24"/>
                <w:szCs w:val="24"/>
                <w:lang w:eastAsia="hr-HR"/>
              </w:rPr>
            </w:pPr>
            <w:r w:rsidRPr="005F3233">
              <w:rPr>
                <w:rFonts w:ascii="Calibri" w:eastAsia="Times New Roman" w:hAnsi="Calibri" w:cs="Calibri"/>
                <w:sz w:val="24"/>
                <w:szCs w:val="24"/>
                <w:lang w:eastAsia="hr-HR"/>
              </w:rPr>
              <w:t>0</w:t>
            </w:r>
          </w:p>
        </w:tc>
        <w:tc>
          <w:tcPr>
            <w:tcW w:w="569" w:type="dxa"/>
            <w:gridSpan w:val="2"/>
            <w:tcBorders>
              <w:top w:val="nil"/>
              <w:left w:val="single" w:sz="4" w:space="0" w:color="auto"/>
              <w:bottom w:val="single" w:sz="4" w:space="0" w:color="auto"/>
              <w:right w:val="single" w:sz="8" w:space="0" w:color="auto"/>
            </w:tcBorders>
            <w:shd w:val="clear" w:color="000000" w:fill="33CCCC"/>
            <w:noWrap/>
            <w:vAlign w:val="center"/>
            <w:hideMark/>
          </w:tcPr>
          <w:p w14:paraId="06D626DD" w14:textId="77777777" w:rsidR="005F3233" w:rsidRPr="005F3233" w:rsidRDefault="005F3233" w:rsidP="005F3233">
            <w:pPr>
              <w:spacing w:after="0" w:line="240" w:lineRule="auto"/>
              <w:jc w:val="center"/>
              <w:rPr>
                <w:rFonts w:ascii="Calibri" w:eastAsia="Times New Roman" w:hAnsi="Calibri" w:cs="Calibri"/>
                <w:sz w:val="24"/>
                <w:szCs w:val="24"/>
                <w:lang w:eastAsia="hr-HR"/>
              </w:rPr>
            </w:pPr>
            <w:r w:rsidRPr="005F3233">
              <w:rPr>
                <w:rFonts w:ascii="Calibri" w:eastAsia="Times New Roman" w:hAnsi="Calibri" w:cs="Calibri"/>
                <w:sz w:val="24"/>
                <w:szCs w:val="24"/>
                <w:lang w:eastAsia="hr-HR"/>
              </w:rPr>
              <w:t>0</w:t>
            </w:r>
          </w:p>
        </w:tc>
        <w:tc>
          <w:tcPr>
            <w:tcW w:w="236" w:type="dxa"/>
            <w:gridSpan w:val="3"/>
            <w:vAlign w:val="center"/>
            <w:hideMark/>
          </w:tcPr>
          <w:p w14:paraId="609D90EC" w14:textId="77777777" w:rsidR="005F3233" w:rsidRPr="005F3233" w:rsidRDefault="005F3233" w:rsidP="005F3233">
            <w:pPr>
              <w:spacing w:after="0" w:line="240" w:lineRule="auto"/>
              <w:rPr>
                <w:rFonts w:ascii="Times New Roman" w:eastAsia="Times New Roman" w:hAnsi="Times New Roman" w:cs="Times New Roman"/>
                <w:sz w:val="20"/>
                <w:szCs w:val="20"/>
                <w:lang w:eastAsia="hr-HR"/>
              </w:rPr>
            </w:pPr>
          </w:p>
        </w:tc>
      </w:tr>
      <w:tr w:rsidR="005F3233" w:rsidRPr="005F3233" w14:paraId="37254E46" w14:textId="77777777" w:rsidTr="000271A1">
        <w:trPr>
          <w:gridBefore w:val="1"/>
          <w:gridAfter w:val="2"/>
          <w:wBefore w:w="10" w:type="dxa"/>
          <w:wAfter w:w="237" w:type="dxa"/>
          <w:trHeight w:val="315"/>
        </w:trPr>
        <w:tc>
          <w:tcPr>
            <w:tcW w:w="869" w:type="dxa"/>
            <w:tcBorders>
              <w:top w:val="single" w:sz="4" w:space="0" w:color="auto"/>
              <w:left w:val="single" w:sz="8" w:space="0" w:color="auto"/>
              <w:bottom w:val="single" w:sz="4" w:space="0" w:color="auto"/>
              <w:right w:val="single" w:sz="4" w:space="0" w:color="auto"/>
            </w:tcBorders>
            <w:shd w:val="clear" w:color="000000" w:fill="CCFFCC"/>
            <w:vAlign w:val="center"/>
            <w:hideMark/>
          </w:tcPr>
          <w:p w14:paraId="47910DA1" w14:textId="77777777" w:rsidR="005F3233" w:rsidRPr="005F3233" w:rsidRDefault="005F3233" w:rsidP="005F3233">
            <w:pPr>
              <w:spacing w:after="0" w:line="240" w:lineRule="auto"/>
              <w:rPr>
                <w:rFonts w:ascii="Calibri" w:eastAsia="Times New Roman" w:hAnsi="Calibri" w:cs="Calibri"/>
                <w:lang w:eastAsia="hr-HR"/>
              </w:rPr>
            </w:pPr>
            <w:r w:rsidRPr="005F3233">
              <w:rPr>
                <w:rFonts w:ascii="Calibri" w:eastAsia="Times New Roman" w:hAnsi="Calibri" w:cs="Calibri"/>
                <w:lang w:eastAsia="hr-HR"/>
              </w:rPr>
              <w:t>Spol</w:t>
            </w:r>
          </w:p>
        </w:tc>
        <w:tc>
          <w:tcPr>
            <w:tcW w:w="457" w:type="dxa"/>
            <w:tcBorders>
              <w:top w:val="nil"/>
              <w:left w:val="nil"/>
              <w:bottom w:val="single" w:sz="4" w:space="0" w:color="auto"/>
              <w:right w:val="single" w:sz="4" w:space="0" w:color="auto"/>
            </w:tcBorders>
            <w:shd w:val="clear" w:color="000000" w:fill="FFFF00"/>
            <w:vAlign w:val="center"/>
            <w:hideMark/>
          </w:tcPr>
          <w:p w14:paraId="22C4AA43" w14:textId="77777777" w:rsidR="005F3233" w:rsidRPr="005F3233" w:rsidRDefault="005F3233" w:rsidP="005F3233">
            <w:pPr>
              <w:spacing w:after="0" w:line="240" w:lineRule="auto"/>
              <w:jc w:val="center"/>
              <w:rPr>
                <w:rFonts w:ascii="Calibri" w:eastAsia="Times New Roman" w:hAnsi="Calibri" w:cs="Calibri"/>
                <w:b/>
                <w:bCs/>
                <w:lang w:eastAsia="hr-HR"/>
              </w:rPr>
            </w:pPr>
            <w:r w:rsidRPr="005F3233">
              <w:rPr>
                <w:rFonts w:ascii="Calibri" w:eastAsia="Times New Roman" w:hAnsi="Calibri" w:cs="Calibri"/>
                <w:b/>
                <w:bCs/>
                <w:lang w:eastAsia="hr-HR"/>
              </w:rPr>
              <w:t>0</w:t>
            </w:r>
          </w:p>
        </w:tc>
        <w:tc>
          <w:tcPr>
            <w:tcW w:w="449" w:type="dxa"/>
            <w:tcBorders>
              <w:top w:val="nil"/>
              <w:left w:val="nil"/>
              <w:bottom w:val="single" w:sz="4" w:space="0" w:color="auto"/>
              <w:right w:val="single" w:sz="4" w:space="0" w:color="auto"/>
            </w:tcBorders>
            <w:shd w:val="clear" w:color="000000" w:fill="FFCC99"/>
            <w:noWrap/>
            <w:vAlign w:val="center"/>
            <w:hideMark/>
          </w:tcPr>
          <w:p w14:paraId="6DC49ED5" w14:textId="77777777" w:rsidR="005F3233" w:rsidRPr="005F3233" w:rsidRDefault="005F3233" w:rsidP="005F3233">
            <w:pPr>
              <w:spacing w:after="0" w:line="240" w:lineRule="auto"/>
              <w:jc w:val="center"/>
              <w:rPr>
                <w:rFonts w:ascii="Calibri" w:eastAsia="Times New Roman" w:hAnsi="Calibri" w:cs="Calibri"/>
                <w:sz w:val="24"/>
                <w:szCs w:val="24"/>
                <w:lang w:eastAsia="hr-HR"/>
              </w:rPr>
            </w:pPr>
            <w:r w:rsidRPr="005F3233">
              <w:rPr>
                <w:rFonts w:ascii="Calibri" w:eastAsia="Times New Roman" w:hAnsi="Calibri" w:cs="Calibri"/>
                <w:sz w:val="24"/>
                <w:szCs w:val="24"/>
                <w:lang w:eastAsia="hr-HR"/>
              </w:rPr>
              <w:t>0</w:t>
            </w:r>
          </w:p>
        </w:tc>
        <w:tc>
          <w:tcPr>
            <w:tcW w:w="421" w:type="dxa"/>
            <w:tcBorders>
              <w:top w:val="nil"/>
              <w:left w:val="nil"/>
              <w:bottom w:val="single" w:sz="4" w:space="0" w:color="auto"/>
              <w:right w:val="single" w:sz="4" w:space="0" w:color="auto"/>
            </w:tcBorders>
            <w:shd w:val="clear" w:color="000000" w:fill="CCFFFF"/>
            <w:vAlign w:val="center"/>
            <w:hideMark/>
          </w:tcPr>
          <w:p w14:paraId="2B0E510F" w14:textId="77777777" w:rsidR="005F3233" w:rsidRPr="005F3233" w:rsidRDefault="005F3233" w:rsidP="005F3233">
            <w:pPr>
              <w:spacing w:after="0" w:line="240" w:lineRule="auto"/>
              <w:jc w:val="center"/>
              <w:rPr>
                <w:rFonts w:ascii="Calibri" w:eastAsia="Times New Roman" w:hAnsi="Calibri" w:cs="Calibri"/>
                <w:sz w:val="24"/>
                <w:szCs w:val="24"/>
                <w:lang w:eastAsia="hr-HR"/>
              </w:rPr>
            </w:pPr>
            <w:r w:rsidRPr="005F3233">
              <w:rPr>
                <w:rFonts w:ascii="Calibri" w:eastAsia="Times New Roman" w:hAnsi="Calibri" w:cs="Calibri"/>
                <w:sz w:val="24"/>
                <w:szCs w:val="24"/>
                <w:lang w:eastAsia="hr-HR"/>
              </w:rPr>
              <w:t>0</w:t>
            </w:r>
          </w:p>
        </w:tc>
        <w:tc>
          <w:tcPr>
            <w:tcW w:w="408" w:type="dxa"/>
            <w:tcBorders>
              <w:top w:val="nil"/>
              <w:left w:val="nil"/>
              <w:bottom w:val="single" w:sz="4" w:space="0" w:color="auto"/>
              <w:right w:val="single" w:sz="4" w:space="0" w:color="auto"/>
            </w:tcBorders>
            <w:shd w:val="clear" w:color="000000" w:fill="CCFFFF"/>
            <w:vAlign w:val="center"/>
            <w:hideMark/>
          </w:tcPr>
          <w:p w14:paraId="5F4873B4" w14:textId="77777777" w:rsidR="005F3233" w:rsidRPr="005F3233" w:rsidRDefault="005F3233" w:rsidP="005F3233">
            <w:pPr>
              <w:spacing w:after="0" w:line="240" w:lineRule="auto"/>
              <w:jc w:val="center"/>
              <w:rPr>
                <w:rFonts w:ascii="Calibri" w:eastAsia="Times New Roman" w:hAnsi="Calibri" w:cs="Calibri"/>
                <w:sz w:val="24"/>
                <w:szCs w:val="24"/>
                <w:lang w:eastAsia="hr-HR"/>
              </w:rPr>
            </w:pPr>
            <w:r w:rsidRPr="005F3233">
              <w:rPr>
                <w:rFonts w:ascii="Calibri" w:eastAsia="Times New Roman" w:hAnsi="Calibri" w:cs="Calibri"/>
                <w:sz w:val="24"/>
                <w:szCs w:val="24"/>
                <w:lang w:eastAsia="hr-HR"/>
              </w:rPr>
              <w:t>0</w:t>
            </w:r>
          </w:p>
        </w:tc>
        <w:tc>
          <w:tcPr>
            <w:tcW w:w="708" w:type="dxa"/>
            <w:tcBorders>
              <w:top w:val="nil"/>
              <w:left w:val="nil"/>
              <w:bottom w:val="single" w:sz="4" w:space="0" w:color="auto"/>
              <w:right w:val="single" w:sz="4" w:space="0" w:color="auto"/>
            </w:tcBorders>
            <w:shd w:val="clear" w:color="000000" w:fill="FFFF99"/>
            <w:noWrap/>
            <w:vAlign w:val="center"/>
            <w:hideMark/>
          </w:tcPr>
          <w:p w14:paraId="798BB6A0" w14:textId="77777777" w:rsidR="005F3233" w:rsidRPr="005F3233" w:rsidRDefault="005F3233" w:rsidP="005F3233">
            <w:pPr>
              <w:spacing w:after="0" w:line="240" w:lineRule="auto"/>
              <w:jc w:val="center"/>
              <w:rPr>
                <w:rFonts w:ascii="Calibri" w:eastAsia="Times New Roman" w:hAnsi="Calibri" w:cs="Calibri"/>
                <w:sz w:val="24"/>
                <w:szCs w:val="24"/>
                <w:lang w:eastAsia="hr-HR"/>
              </w:rPr>
            </w:pPr>
            <w:r w:rsidRPr="005F3233">
              <w:rPr>
                <w:rFonts w:ascii="Calibri" w:eastAsia="Times New Roman" w:hAnsi="Calibri" w:cs="Calibri"/>
                <w:sz w:val="24"/>
                <w:szCs w:val="24"/>
                <w:lang w:eastAsia="hr-HR"/>
              </w:rPr>
              <w:t>0</w:t>
            </w:r>
          </w:p>
        </w:tc>
        <w:tc>
          <w:tcPr>
            <w:tcW w:w="708" w:type="dxa"/>
            <w:tcBorders>
              <w:top w:val="nil"/>
              <w:left w:val="nil"/>
              <w:bottom w:val="single" w:sz="4" w:space="0" w:color="auto"/>
              <w:right w:val="single" w:sz="4" w:space="0" w:color="auto"/>
            </w:tcBorders>
            <w:shd w:val="clear" w:color="000000" w:fill="FFFF99"/>
            <w:noWrap/>
            <w:vAlign w:val="center"/>
            <w:hideMark/>
          </w:tcPr>
          <w:p w14:paraId="7FEA0A16" w14:textId="77777777" w:rsidR="005F3233" w:rsidRPr="005F3233" w:rsidRDefault="005F3233" w:rsidP="005F3233">
            <w:pPr>
              <w:spacing w:after="0" w:line="240" w:lineRule="auto"/>
              <w:jc w:val="center"/>
              <w:rPr>
                <w:rFonts w:ascii="Calibri" w:eastAsia="Times New Roman" w:hAnsi="Calibri" w:cs="Calibri"/>
                <w:sz w:val="24"/>
                <w:szCs w:val="24"/>
                <w:lang w:eastAsia="hr-HR"/>
              </w:rPr>
            </w:pPr>
            <w:r w:rsidRPr="005F3233">
              <w:rPr>
                <w:rFonts w:ascii="Calibri" w:eastAsia="Times New Roman" w:hAnsi="Calibri" w:cs="Calibri"/>
                <w:sz w:val="24"/>
                <w:szCs w:val="24"/>
                <w:lang w:eastAsia="hr-HR"/>
              </w:rPr>
              <w:t>0</w:t>
            </w:r>
          </w:p>
        </w:tc>
        <w:tc>
          <w:tcPr>
            <w:tcW w:w="708" w:type="dxa"/>
            <w:tcBorders>
              <w:top w:val="nil"/>
              <w:left w:val="nil"/>
              <w:bottom w:val="single" w:sz="4" w:space="0" w:color="auto"/>
              <w:right w:val="single" w:sz="4" w:space="0" w:color="auto"/>
            </w:tcBorders>
            <w:shd w:val="clear" w:color="000000" w:fill="FFFF99"/>
            <w:noWrap/>
            <w:vAlign w:val="center"/>
            <w:hideMark/>
          </w:tcPr>
          <w:p w14:paraId="5091F8D5" w14:textId="77777777" w:rsidR="005F3233" w:rsidRPr="005F3233" w:rsidRDefault="005F3233" w:rsidP="005F3233">
            <w:pPr>
              <w:spacing w:after="0" w:line="240" w:lineRule="auto"/>
              <w:jc w:val="center"/>
              <w:rPr>
                <w:rFonts w:ascii="Calibri" w:eastAsia="Times New Roman" w:hAnsi="Calibri" w:cs="Calibri"/>
                <w:sz w:val="24"/>
                <w:szCs w:val="24"/>
                <w:lang w:eastAsia="hr-HR"/>
              </w:rPr>
            </w:pPr>
            <w:r w:rsidRPr="005F3233">
              <w:rPr>
                <w:rFonts w:ascii="Calibri" w:eastAsia="Times New Roman" w:hAnsi="Calibri" w:cs="Calibri"/>
                <w:sz w:val="24"/>
                <w:szCs w:val="24"/>
                <w:lang w:eastAsia="hr-HR"/>
              </w:rPr>
              <w:t>0</w:t>
            </w:r>
          </w:p>
        </w:tc>
        <w:tc>
          <w:tcPr>
            <w:tcW w:w="464" w:type="dxa"/>
            <w:tcBorders>
              <w:top w:val="nil"/>
              <w:left w:val="nil"/>
              <w:bottom w:val="single" w:sz="4" w:space="0" w:color="auto"/>
              <w:right w:val="single" w:sz="4" w:space="0" w:color="auto"/>
            </w:tcBorders>
            <w:shd w:val="clear" w:color="000000" w:fill="FFFF99"/>
            <w:noWrap/>
            <w:vAlign w:val="center"/>
            <w:hideMark/>
          </w:tcPr>
          <w:p w14:paraId="0B03F38D" w14:textId="77777777" w:rsidR="005F3233" w:rsidRPr="005F3233" w:rsidRDefault="005F3233" w:rsidP="005F3233">
            <w:pPr>
              <w:spacing w:after="0" w:line="240" w:lineRule="auto"/>
              <w:jc w:val="center"/>
              <w:rPr>
                <w:rFonts w:ascii="Calibri" w:eastAsia="Times New Roman" w:hAnsi="Calibri" w:cs="Calibri"/>
                <w:sz w:val="24"/>
                <w:szCs w:val="24"/>
                <w:lang w:eastAsia="hr-HR"/>
              </w:rPr>
            </w:pPr>
            <w:r w:rsidRPr="005F3233">
              <w:rPr>
                <w:rFonts w:ascii="Calibri" w:eastAsia="Times New Roman" w:hAnsi="Calibri" w:cs="Calibri"/>
                <w:sz w:val="24"/>
                <w:szCs w:val="24"/>
                <w:lang w:eastAsia="hr-HR"/>
              </w:rPr>
              <w:t>0</w:t>
            </w:r>
          </w:p>
        </w:tc>
        <w:tc>
          <w:tcPr>
            <w:tcW w:w="700" w:type="dxa"/>
            <w:tcBorders>
              <w:top w:val="nil"/>
              <w:left w:val="nil"/>
              <w:bottom w:val="single" w:sz="4" w:space="0" w:color="auto"/>
              <w:right w:val="single" w:sz="4" w:space="0" w:color="auto"/>
            </w:tcBorders>
            <w:shd w:val="clear" w:color="000000" w:fill="FFFF99"/>
            <w:noWrap/>
            <w:vAlign w:val="center"/>
            <w:hideMark/>
          </w:tcPr>
          <w:p w14:paraId="31A3187A" w14:textId="77777777" w:rsidR="005F3233" w:rsidRPr="005F3233" w:rsidRDefault="005F3233" w:rsidP="005F3233">
            <w:pPr>
              <w:spacing w:after="0" w:line="240" w:lineRule="auto"/>
              <w:jc w:val="center"/>
              <w:rPr>
                <w:rFonts w:ascii="Calibri" w:eastAsia="Times New Roman" w:hAnsi="Calibri" w:cs="Calibri"/>
                <w:sz w:val="24"/>
                <w:szCs w:val="24"/>
                <w:lang w:eastAsia="hr-HR"/>
              </w:rPr>
            </w:pPr>
            <w:r w:rsidRPr="005F3233">
              <w:rPr>
                <w:rFonts w:ascii="Calibri" w:eastAsia="Times New Roman" w:hAnsi="Calibri" w:cs="Calibri"/>
                <w:sz w:val="24"/>
                <w:szCs w:val="24"/>
                <w:lang w:eastAsia="hr-HR"/>
              </w:rPr>
              <w:t>0</w:t>
            </w:r>
          </w:p>
        </w:tc>
        <w:tc>
          <w:tcPr>
            <w:tcW w:w="699" w:type="dxa"/>
            <w:tcBorders>
              <w:top w:val="nil"/>
              <w:left w:val="nil"/>
              <w:bottom w:val="single" w:sz="4" w:space="0" w:color="auto"/>
              <w:right w:val="single" w:sz="4" w:space="0" w:color="auto"/>
            </w:tcBorders>
            <w:shd w:val="clear" w:color="000000" w:fill="FFFF99"/>
            <w:noWrap/>
            <w:vAlign w:val="center"/>
            <w:hideMark/>
          </w:tcPr>
          <w:p w14:paraId="58EED942" w14:textId="77777777" w:rsidR="005F3233" w:rsidRPr="005F3233" w:rsidRDefault="005F3233" w:rsidP="005F3233">
            <w:pPr>
              <w:spacing w:after="0" w:line="240" w:lineRule="auto"/>
              <w:jc w:val="center"/>
              <w:rPr>
                <w:rFonts w:ascii="Calibri" w:eastAsia="Times New Roman" w:hAnsi="Calibri" w:cs="Calibri"/>
                <w:sz w:val="24"/>
                <w:szCs w:val="24"/>
                <w:lang w:eastAsia="hr-HR"/>
              </w:rPr>
            </w:pPr>
            <w:r w:rsidRPr="005F3233">
              <w:rPr>
                <w:rFonts w:ascii="Calibri" w:eastAsia="Times New Roman" w:hAnsi="Calibri" w:cs="Calibri"/>
                <w:sz w:val="24"/>
                <w:szCs w:val="24"/>
                <w:lang w:eastAsia="hr-HR"/>
              </w:rPr>
              <w:t>0</w:t>
            </w:r>
          </w:p>
        </w:tc>
        <w:tc>
          <w:tcPr>
            <w:tcW w:w="700" w:type="dxa"/>
            <w:tcBorders>
              <w:top w:val="nil"/>
              <w:left w:val="nil"/>
              <w:bottom w:val="single" w:sz="4" w:space="0" w:color="auto"/>
              <w:right w:val="single" w:sz="4" w:space="0" w:color="auto"/>
            </w:tcBorders>
            <w:shd w:val="clear" w:color="000000" w:fill="FFFF99"/>
            <w:noWrap/>
            <w:vAlign w:val="center"/>
            <w:hideMark/>
          </w:tcPr>
          <w:p w14:paraId="5E11AA1E" w14:textId="77777777" w:rsidR="005F3233" w:rsidRPr="005F3233" w:rsidRDefault="005F3233" w:rsidP="005F3233">
            <w:pPr>
              <w:spacing w:after="0" w:line="240" w:lineRule="auto"/>
              <w:jc w:val="center"/>
              <w:rPr>
                <w:rFonts w:ascii="Calibri" w:eastAsia="Times New Roman" w:hAnsi="Calibri" w:cs="Calibri"/>
                <w:sz w:val="24"/>
                <w:szCs w:val="24"/>
                <w:lang w:eastAsia="hr-HR"/>
              </w:rPr>
            </w:pPr>
            <w:r w:rsidRPr="005F3233">
              <w:rPr>
                <w:rFonts w:ascii="Calibri" w:eastAsia="Times New Roman" w:hAnsi="Calibri" w:cs="Calibri"/>
                <w:sz w:val="24"/>
                <w:szCs w:val="24"/>
                <w:lang w:eastAsia="hr-HR"/>
              </w:rPr>
              <w:t>0</w:t>
            </w:r>
          </w:p>
        </w:tc>
        <w:tc>
          <w:tcPr>
            <w:tcW w:w="464" w:type="dxa"/>
            <w:tcBorders>
              <w:top w:val="nil"/>
              <w:left w:val="nil"/>
              <w:bottom w:val="single" w:sz="4" w:space="0" w:color="auto"/>
              <w:right w:val="single" w:sz="4" w:space="0" w:color="auto"/>
            </w:tcBorders>
            <w:shd w:val="clear" w:color="000000" w:fill="FFFF99"/>
            <w:noWrap/>
            <w:vAlign w:val="center"/>
            <w:hideMark/>
          </w:tcPr>
          <w:p w14:paraId="66B82560" w14:textId="77777777" w:rsidR="005F3233" w:rsidRPr="005F3233" w:rsidRDefault="005F3233" w:rsidP="005F3233">
            <w:pPr>
              <w:spacing w:after="0" w:line="240" w:lineRule="auto"/>
              <w:jc w:val="center"/>
              <w:rPr>
                <w:rFonts w:ascii="Calibri" w:eastAsia="Times New Roman" w:hAnsi="Calibri" w:cs="Calibri"/>
                <w:sz w:val="24"/>
                <w:szCs w:val="24"/>
                <w:lang w:eastAsia="hr-HR"/>
              </w:rPr>
            </w:pPr>
            <w:r w:rsidRPr="005F3233">
              <w:rPr>
                <w:rFonts w:ascii="Calibri" w:eastAsia="Times New Roman" w:hAnsi="Calibri" w:cs="Calibri"/>
                <w:sz w:val="24"/>
                <w:szCs w:val="24"/>
                <w:lang w:eastAsia="hr-HR"/>
              </w:rPr>
              <w:t>0</w:t>
            </w:r>
          </w:p>
        </w:tc>
        <w:tc>
          <w:tcPr>
            <w:tcW w:w="700" w:type="dxa"/>
            <w:tcBorders>
              <w:top w:val="nil"/>
              <w:left w:val="nil"/>
              <w:bottom w:val="single" w:sz="4" w:space="0" w:color="auto"/>
              <w:right w:val="single" w:sz="4" w:space="0" w:color="auto"/>
            </w:tcBorders>
            <w:shd w:val="clear" w:color="000000" w:fill="FFFF99"/>
            <w:noWrap/>
            <w:vAlign w:val="center"/>
            <w:hideMark/>
          </w:tcPr>
          <w:p w14:paraId="417EC3F8" w14:textId="77777777" w:rsidR="005F3233" w:rsidRPr="005F3233" w:rsidRDefault="005F3233" w:rsidP="005F3233">
            <w:pPr>
              <w:spacing w:after="0" w:line="240" w:lineRule="auto"/>
              <w:jc w:val="center"/>
              <w:rPr>
                <w:rFonts w:ascii="Calibri" w:eastAsia="Times New Roman" w:hAnsi="Calibri" w:cs="Calibri"/>
                <w:sz w:val="24"/>
                <w:szCs w:val="24"/>
                <w:lang w:eastAsia="hr-HR"/>
              </w:rPr>
            </w:pPr>
            <w:r w:rsidRPr="005F3233">
              <w:rPr>
                <w:rFonts w:ascii="Calibri" w:eastAsia="Times New Roman" w:hAnsi="Calibri" w:cs="Calibri"/>
                <w:sz w:val="24"/>
                <w:szCs w:val="24"/>
                <w:lang w:eastAsia="hr-HR"/>
              </w:rPr>
              <w:t>0</w:t>
            </w:r>
          </w:p>
        </w:tc>
        <w:tc>
          <w:tcPr>
            <w:tcW w:w="434" w:type="dxa"/>
            <w:tcBorders>
              <w:top w:val="nil"/>
              <w:left w:val="nil"/>
              <w:bottom w:val="single" w:sz="4" w:space="0" w:color="auto"/>
              <w:right w:val="single" w:sz="4" w:space="0" w:color="auto"/>
            </w:tcBorders>
            <w:shd w:val="clear" w:color="000000" w:fill="FFFF99"/>
            <w:noWrap/>
            <w:vAlign w:val="center"/>
            <w:hideMark/>
          </w:tcPr>
          <w:p w14:paraId="3730D0BE" w14:textId="77777777" w:rsidR="005F3233" w:rsidRPr="005F3233" w:rsidRDefault="005F3233" w:rsidP="005F3233">
            <w:pPr>
              <w:spacing w:after="0" w:line="240" w:lineRule="auto"/>
              <w:jc w:val="center"/>
              <w:rPr>
                <w:rFonts w:ascii="Calibri" w:eastAsia="Times New Roman" w:hAnsi="Calibri" w:cs="Calibri"/>
                <w:sz w:val="24"/>
                <w:szCs w:val="24"/>
                <w:lang w:eastAsia="hr-HR"/>
              </w:rPr>
            </w:pPr>
            <w:r w:rsidRPr="005F3233">
              <w:rPr>
                <w:rFonts w:ascii="Calibri" w:eastAsia="Times New Roman" w:hAnsi="Calibri" w:cs="Calibri"/>
                <w:sz w:val="24"/>
                <w:szCs w:val="24"/>
                <w:lang w:eastAsia="hr-HR"/>
              </w:rPr>
              <w:t>0</w:t>
            </w:r>
          </w:p>
        </w:tc>
        <w:tc>
          <w:tcPr>
            <w:tcW w:w="426" w:type="dxa"/>
            <w:tcBorders>
              <w:top w:val="nil"/>
              <w:left w:val="nil"/>
              <w:bottom w:val="single" w:sz="4" w:space="0" w:color="auto"/>
              <w:right w:val="single" w:sz="4" w:space="0" w:color="auto"/>
            </w:tcBorders>
            <w:shd w:val="clear" w:color="000000" w:fill="FF9900"/>
            <w:noWrap/>
            <w:vAlign w:val="center"/>
            <w:hideMark/>
          </w:tcPr>
          <w:p w14:paraId="66C4E615" w14:textId="77777777" w:rsidR="005F3233" w:rsidRPr="005F3233" w:rsidRDefault="005F3233" w:rsidP="005F3233">
            <w:pPr>
              <w:spacing w:after="0" w:line="240" w:lineRule="auto"/>
              <w:jc w:val="center"/>
              <w:rPr>
                <w:rFonts w:ascii="Calibri" w:eastAsia="Times New Roman" w:hAnsi="Calibri" w:cs="Calibri"/>
                <w:sz w:val="24"/>
                <w:szCs w:val="24"/>
                <w:lang w:eastAsia="hr-HR"/>
              </w:rPr>
            </w:pPr>
            <w:r w:rsidRPr="005F3233">
              <w:rPr>
                <w:rFonts w:ascii="Calibri" w:eastAsia="Times New Roman" w:hAnsi="Calibri" w:cs="Calibri"/>
                <w:sz w:val="24"/>
                <w:szCs w:val="24"/>
                <w:lang w:eastAsia="hr-HR"/>
              </w:rPr>
              <w:t>0</w:t>
            </w:r>
          </w:p>
        </w:tc>
        <w:tc>
          <w:tcPr>
            <w:tcW w:w="425" w:type="dxa"/>
            <w:tcBorders>
              <w:top w:val="nil"/>
              <w:left w:val="nil"/>
              <w:bottom w:val="single" w:sz="4" w:space="0" w:color="auto"/>
              <w:right w:val="single" w:sz="4" w:space="0" w:color="auto"/>
            </w:tcBorders>
            <w:shd w:val="clear" w:color="000000" w:fill="FF9900"/>
            <w:noWrap/>
            <w:vAlign w:val="center"/>
            <w:hideMark/>
          </w:tcPr>
          <w:p w14:paraId="2ABBA466" w14:textId="77777777" w:rsidR="005F3233" w:rsidRPr="005F3233" w:rsidRDefault="005F3233" w:rsidP="005F3233">
            <w:pPr>
              <w:spacing w:after="0" w:line="240" w:lineRule="auto"/>
              <w:jc w:val="center"/>
              <w:rPr>
                <w:rFonts w:ascii="Calibri" w:eastAsia="Times New Roman" w:hAnsi="Calibri" w:cs="Calibri"/>
                <w:sz w:val="24"/>
                <w:szCs w:val="24"/>
                <w:lang w:eastAsia="hr-HR"/>
              </w:rPr>
            </w:pPr>
            <w:r w:rsidRPr="005F3233">
              <w:rPr>
                <w:rFonts w:ascii="Calibri" w:eastAsia="Times New Roman" w:hAnsi="Calibri" w:cs="Calibri"/>
                <w:sz w:val="24"/>
                <w:szCs w:val="24"/>
                <w:lang w:eastAsia="hr-HR"/>
              </w:rPr>
              <w:t>0</w:t>
            </w:r>
          </w:p>
        </w:tc>
        <w:tc>
          <w:tcPr>
            <w:tcW w:w="442" w:type="dxa"/>
            <w:tcBorders>
              <w:top w:val="nil"/>
              <w:left w:val="nil"/>
              <w:bottom w:val="single" w:sz="4" w:space="0" w:color="auto"/>
              <w:right w:val="single" w:sz="4" w:space="0" w:color="auto"/>
            </w:tcBorders>
            <w:shd w:val="clear" w:color="000000" w:fill="FF9900"/>
            <w:noWrap/>
            <w:vAlign w:val="center"/>
            <w:hideMark/>
          </w:tcPr>
          <w:p w14:paraId="7B9E9EB0" w14:textId="77777777" w:rsidR="005F3233" w:rsidRPr="005F3233" w:rsidRDefault="005F3233" w:rsidP="005F3233">
            <w:pPr>
              <w:spacing w:after="0" w:line="240" w:lineRule="auto"/>
              <w:jc w:val="center"/>
              <w:rPr>
                <w:rFonts w:ascii="Calibri" w:eastAsia="Times New Roman" w:hAnsi="Calibri" w:cs="Calibri"/>
                <w:sz w:val="24"/>
                <w:szCs w:val="24"/>
                <w:lang w:eastAsia="hr-HR"/>
              </w:rPr>
            </w:pPr>
            <w:r w:rsidRPr="005F3233">
              <w:rPr>
                <w:rFonts w:ascii="Calibri" w:eastAsia="Times New Roman" w:hAnsi="Calibri" w:cs="Calibri"/>
                <w:sz w:val="24"/>
                <w:szCs w:val="24"/>
                <w:lang w:eastAsia="hr-HR"/>
              </w:rPr>
              <w:t>0</w:t>
            </w:r>
          </w:p>
        </w:tc>
        <w:tc>
          <w:tcPr>
            <w:tcW w:w="451" w:type="dxa"/>
            <w:tcBorders>
              <w:top w:val="nil"/>
              <w:left w:val="nil"/>
              <w:bottom w:val="single" w:sz="4" w:space="0" w:color="auto"/>
              <w:right w:val="single" w:sz="4" w:space="0" w:color="auto"/>
            </w:tcBorders>
            <w:shd w:val="clear" w:color="auto" w:fill="auto"/>
            <w:vAlign w:val="center"/>
            <w:hideMark/>
          </w:tcPr>
          <w:p w14:paraId="0F3ACAA4" w14:textId="77777777" w:rsidR="005F3233" w:rsidRPr="005F3233" w:rsidRDefault="005F3233" w:rsidP="005F3233">
            <w:pPr>
              <w:spacing w:after="0" w:line="240" w:lineRule="auto"/>
              <w:jc w:val="center"/>
              <w:rPr>
                <w:rFonts w:ascii="Calibri" w:eastAsia="Times New Roman" w:hAnsi="Calibri" w:cs="Calibri"/>
                <w:b/>
                <w:bCs/>
                <w:sz w:val="24"/>
                <w:szCs w:val="24"/>
                <w:lang w:eastAsia="hr-HR"/>
              </w:rPr>
            </w:pPr>
            <w:r w:rsidRPr="005F3233">
              <w:rPr>
                <w:rFonts w:ascii="Calibri" w:eastAsia="Times New Roman" w:hAnsi="Calibri" w:cs="Calibri"/>
                <w:b/>
                <w:bCs/>
                <w:sz w:val="24"/>
                <w:szCs w:val="24"/>
                <w:lang w:eastAsia="hr-HR"/>
              </w:rPr>
              <w:t>0</w:t>
            </w:r>
          </w:p>
        </w:tc>
        <w:tc>
          <w:tcPr>
            <w:tcW w:w="383" w:type="dxa"/>
            <w:gridSpan w:val="2"/>
            <w:tcBorders>
              <w:top w:val="nil"/>
              <w:left w:val="nil"/>
              <w:bottom w:val="single" w:sz="4" w:space="0" w:color="auto"/>
              <w:right w:val="single" w:sz="4" w:space="0" w:color="auto"/>
            </w:tcBorders>
            <w:shd w:val="clear" w:color="000000" w:fill="FFFF00"/>
            <w:noWrap/>
            <w:vAlign w:val="center"/>
            <w:hideMark/>
          </w:tcPr>
          <w:p w14:paraId="5D7C9D10" w14:textId="77777777" w:rsidR="005F3233" w:rsidRPr="005F3233" w:rsidRDefault="005F3233" w:rsidP="005F3233">
            <w:pPr>
              <w:spacing w:after="0" w:line="240" w:lineRule="auto"/>
              <w:jc w:val="center"/>
              <w:rPr>
                <w:rFonts w:ascii="Calibri" w:eastAsia="Times New Roman" w:hAnsi="Calibri" w:cs="Calibri"/>
                <w:sz w:val="24"/>
                <w:szCs w:val="24"/>
                <w:lang w:eastAsia="hr-HR"/>
              </w:rPr>
            </w:pPr>
            <w:r w:rsidRPr="005F3233">
              <w:rPr>
                <w:rFonts w:ascii="Calibri" w:eastAsia="Times New Roman" w:hAnsi="Calibri" w:cs="Calibri"/>
                <w:sz w:val="24"/>
                <w:szCs w:val="24"/>
                <w:lang w:eastAsia="hr-HR"/>
              </w:rPr>
              <w:t>0</w:t>
            </w:r>
          </w:p>
        </w:tc>
        <w:tc>
          <w:tcPr>
            <w:tcW w:w="392" w:type="dxa"/>
            <w:tcBorders>
              <w:top w:val="nil"/>
              <w:left w:val="nil"/>
              <w:bottom w:val="single" w:sz="4" w:space="0" w:color="auto"/>
              <w:right w:val="single" w:sz="4" w:space="0" w:color="auto"/>
            </w:tcBorders>
            <w:shd w:val="clear" w:color="000000" w:fill="FFFF00"/>
            <w:noWrap/>
            <w:vAlign w:val="center"/>
            <w:hideMark/>
          </w:tcPr>
          <w:p w14:paraId="10A26474" w14:textId="77777777" w:rsidR="005F3233" w:rsidRPr="005F3233" w:rsidRDefault="005F3233" w:rsidP="005F3233">
            <w:pPr>
              <w:spacing w:after="0" w:line="240" w:lineRule="auto"/>
              <w:jc w:val="center"/>
              <w:rPr>
                <w:rFonts w:ascii="Calibri" w:eastAsia="Times New Roman" w:hAnsi="Calibri" w:cs="Calibri"/>
                <w:sz w:val="24"/>
                <w:szCs w:val="24"/>
                <w:lang w:eastAsia="hr-HR"/>
              </w:rPr>
            </w:pPr>
            <w:r w:rsidRPr="005F3233">
              <w:rPr>
                <w:rFonts w:ascii="Calibri" w:eastAsia="Times New Roman" w:hAnsi="Calibri" w:cs="Calibri"/>
                <w:sz w:val="24"/>
                <w:szCs w:val="24"/>
                <w:lang w:eastAsia="hr-HR"/>
              </w:rPr>
              <w:t>0</w:t>
            </w:r>
          </w:p>
        </w:tc>
        <w:tc>
          <w:tcPr>
            <w:tcW w:w="400" w:type="dxa"/>
            <w:tcBorders>
              <w:top w:val="nil"/>
              <w:left w:val="nil"/>
              <w:bottom w:val="single" w:sz="4" w:space="0" w:color="auto"/>
              <w:right w:val="single" w:sz="4" w:space="0" w:color="auto"/>
            </w:tcBorders>
            <w:shd w:val="clear" w:color="000000" w:fill="FFFF00"/>
            <w:noWrap/>
            <w:vAlign w:val="center"/>
            <w:hideMark/>
          </w:tcPr>
          <w:p w14:paraId="40F4705C" w14:textId="77777777" w:rsidR="005F3233" w:rsidRPr="005F3233" w:rsidRDefault="005F3233" w:rsidP="005F3233">
            <w:pPr>
              <w:spacing w:after="0" w:line="240" w:lineRule="auto"/>
              <w:jc w:val="center"/>
              <w:rPr>
                <w:rFonts w:ascii="Calibri" w:eastAsia="Times New Roman" w:hAnsi="Calibri" w:cs="Calibri"/>
                <w:sz w:val="24"/>
                <w:szCs w:val="24"/>
                <w:lang w:eastAsia="hr-HR"/>
              </w:rPr>
            </w:pPr>
            <w:r w:rsidRPr="005F3233">
              <w:rPr>
                <w:rFonts w:ascii="Calibri" w:eastAsia="Times New Roman" w:hAnsi="Calibri" w:cs="Calibri"/>
                <w:sz w:val="24"/>
                <w:szCs w:val="24"/>
                <w:lang w:eastAsia="hr-HR"/>
              </w:rPr>
              <w:t>0</w:t>
            </w:r>
          </w:p>
        </w:tc>
        <w:tc>
          <w:tcPr>
            <w:tcW w:w="409" w:type="dxa"/>
            <w:tcBorders>
              <w:top w:val="nil"/>
              <w:left w:val="nil"/>
              <w:bottom w:val="single" w:sz="4" w:space="0" w:color="auto"/>
              <w:right w:val="single" w:sz="4" w:space="0" w:color="auto"/>
            </w:tcBorders>
            <w:shd w:val="clear" w:color="auto" w:fill="auto"/>
            <w:vAlign w:val="center"/>
            <w:hideMark/>
          </w:tcPr>
          <w:p w14:paraId="7C87586D" w14:textId="77777777" w:rsidR="005F3233" w:rsidRPr="005F3233" w:rsidRDefault="005F3233" w:rsidP="005F3233">
            <w:pPr>
              <w:spacing w:after="0" w:line="240" w:lineRule="auto"/>
              <w:jc w:val="center"/>
              <w:rPr>
                <w:rFonts w:ascii="Calibri" w:eastAsia="Times New Roman" w:hAnsi="Calibri" w:cs="Calibri"/>
                <w:b/>
                <w:bCs/>
                <w:sz w:val="24"/>
                <w:szCs w:val="24"/>
                <w:lang w:eastAsia="hr-HR"/>
              </w:rPr>
            </w:pPr>
            <w:r w:rsidRPr="005F3233">
              <w:rPr>
                <w:rFonts w:ascii="Calibri" w:eastAsia="Times New Roman" w:hAnsi="Calibri" w:cs="Calibri"/>
                <w:b/>
                <w:bCs/>
                <w:sz w:val="24"/>
                <w:szCs w:val="24"/>
                <w:lang w:eastAsia="hr-HR"/>
              </w:rPr>
              <w:t>0</w:t>
            </w:r>
          </w:p>
        </w:tc>
        <w:tc>
          <w:tcPr>
            <w:tcW w:w="499" w:type="dxa"/>
            <w:gridSpan w:val="2"/>
            <w:tcBorders>
              <w:top w:val="nil"/>
              <w:left w:val="nil"/>
              <w:bottom w:val="single" w:sz="4" w:space="0" w:color="auto"/>
              <w:right w:val="single" w:sz="4" w:space="0" w:color="auto"/>
            </w:tcBorders>
            <w:shd w:val="clear" w:color="000000" w:fill="FFFF00"/>
            <w:vAlign w:val="center"/>
            <w:hideMark/>
          </w:tcPr>
          <w:p w14:paraId="6F585A16" w14:textId="77777777" w:rsidR="005F3233" w:rsidRPr="005F3233" w:rsidRDefault="005F3233" w:rsidP="005F3233">
            <w:pPr>
              <w:spacing w:after="0" w:line="240" w:lineRule="auto"/>
              <w:jc w:val="center"/>
              <w:rPr>
                <w:rFonts w:ascii="Calibri" w:eastAsia="Times New Roman" w:hAnsi="Calibri" w:cs="Calibri"/>
                <w:b/>
                <w:bCs/>
                <w:sz w:val="24"/>
                <w:szCs w:val="24"/>
                <w:lang w:eastAsia="hr-HR"/>
              </w:rPr>
            </w:pPr>
            <w:r w:rsidRPr="005F3233">
              <w:rPr>
                <w:rFonts w:ascii="Calibri" w:eastAsia="Times New Roman" w:hAnsi="Calibri" w:cs="Calibri"/>
                <w:b/>
                <w:bCs/>
                <w:sz w:val="24"/>
                <w:szCs w:val="24"/>
                <w:lang w:eastAsia="hr-HR"/>
              </w:rPr>
              <w:t>0</w:t>
            </w:r>
          </w:p>
        </w:tc>
        <w:tc>
          <w:tcPr>
            <w:tcW w:w="567" w:type="dxa"/>
            <w:tcBorders>
              <w:top w:val="nil"/>
              <w:left w:val="nil"/>
              <w:bottom w:val="single" w:sz="4" w:space="0" w:color="auto"/>
              <w:right w:val="single" w:sz="4" w:space="0" w:color="auto"/>
            </w:tcBorders>
            <w:shd w:val="clear" w:color="000000" w:fill="FF9900"/>
            <w:vAlign w:val="center"/>
            <w:hideMark/>
          </w:tcPr>
          <w:p w14:paraId="2B84EE03" w14:textId="77777777" w:rsidR="005F3233" w:rsidRPr="005F3233" w:rsidRDefault="005F3233" w:rsidP="005F3233">
            <w:pPr>
              <w:spacing w:after="0" w:line="240" w:lineRule="auto"/>
              <w:jc w:val="center"/>
              <w:rPr>
                <w:rFonts w:ascii="Calibri" w:eastAsia="Times New Roman" w:hAnsi="Calibri" w:cs="Calibri"/>
                <w:sz w:val="24"/>
                <w:szCs w:val="24"/>
                <w:lang w:eastAsia="hr-HR"/>
              </w:rPr>
            </w:pPr>
            <w:r w:rsidRPr="005F3233">
              <w:rPr>
                <w:rFonts w:ascii="Calibri" w:eastAsia="Times New Roman" w:hAnsi="Calibri" w:cs="Calibri"/>
                <w:sz w:val="24"/>
                <w:szCs w:val="24"/>
                <w:lang w:eastAsia="hr-HR"/>
              </w:rPr>
              <w:t>0</w:t>
            </w:r>
          </w:p>
        </w:tc>
        <w:tc>
          <w:tcPr>
            <w:tcW w:w="425" w:type="dxa"/>
            <w:gridSpan w:val="2"/>
            <w:tcBorders>
              <w:top w:val="nil"/>
              <w:left w:val="nil"/>
              <w:bottom w:val="single" w:sz="4" w:space="0" w:color="auto"/>
              <w:right w:val="single" w:sz="4" w:space="0" w:color="auto"/>
            </w:tcBorders>
            <w:shd w:val="clear" w:color="000000" w:fill="CCFFFF"/>
            <w:noWrap/>
            <w:vAlign w:val="center"/>
            <w:hideMark/>
          </w:tcPr>
          <w:p w14:paraId="25ABB1D9" w14:textId="77777777" w:rsidR="005F3233" w:rsidRPr="005F3233" w:rsidRDefault="005F3233" w:rsidP="005F3233">
            <w:pPr>
              <w:spacing w:after="0" w:line="240" w:lineRule="auto"/>
              <w:jc w:val="center"/>
              <w:rPr>
                <w:rFonts w:ascii="Calibri" w:eastAsia="Times New Roman" w:hAnsi="Calibri" w:cs="Calibri"/>
                <w:sz w:val="24"/>
                <w:szCs w:val="24"/>
                <w:lang w:eastAsia="hr-HR"/>
              </w:rPr>
            </w:pPr>
            <w:r w:rsidRPr="005F3233">
              <w:rPr>
                <w:rFonts w:ascii="Calibri" w:eastAsia="Times New Roman" w:hAnsi="Calibri" w:cs="Calibri"/>
                <w:sz w:val="24"/>
                <w:szCs w:val="24"/>
                <w:lang w:eastAsia="hr-HR"/>
              </w:rPr>
              <w:t>0</w:t>
            </w:r>
          </w:p>
        </w:tc>
        <w:tc>
          <w:tcPr>
            <w:tcW w:w="434" w:type="dxa"/>
            <w:gridSpan w:val="2"/>
            <w:tcBorders>
              <w:top w:val="nil"/>
              <w:left w:val="nil"/>
              <w:bottom w:val="single" w:sz="4" w:space="0" w:color="auto"/>
              <w:right w:val="single" w:sz="4" w:space="0" w:color="auto"/>
            </w:tcBorders>
            <w:shd w:val="clear" w:color="000000" w:fill="CCFFFF"/>
            <w:noWrap/>
            <w:vAlign w:val="center"/>
            <w:hideMark/>
          </w:tcPr>
          <w:p w14:paraId="46D2939E" w14:textId="77777777" w:rsidR="005F3233" w:rsidRPr="005F3233" w:rsidRDefault="005F3233" w:rsidP="005F3233">
            <w:pPr>
              <w:spacing w:after="0" w:line="240" w:lineRule="auto"/>
              <w:jc w:val="center"/>
              <w:rPr>
                <w:rFonts w:ascii="Calibri" w:eastAsia="Times New Roman" w:hAnsi="Calibri" w:cs="Calibri"/>
                <w:sz w:val="24"/>
                <w:szCs w:val="24"/>
                <w:lang w:eastAsia="hr-HR"/>
              </w:rPr>
            </w:pPr>
            <w:r w:rsidRPr="005F3233">
              <w:rPr>
                <w:rFonts w:ascii="Calibri" w:eastAsia="Times New Roman" w:hAnsi="Calibri" w:cs="Calibri"/>
                <w:sz w:val="24"/>
                <w:szCs w:val="24"/>
                <w:lang w:eastAsia="hr-HR"/>
              </w:rPr>
              <w:t>0</w:t>
            </w:r>
          </w:p>
        </w:tc>
        <w:tc>
          <w:tcPr>
            <w:tcW w:w="417" w:type="dxa"/>
            <w:tcBorders>
              <w:top w:val="nil"/>
              <w:left w:val="nil"/>
              <w:bottom w:val="single" w:sz="4" w:space="0" w:color="auto"/>
              <w:right w:val="single" w:sz="4" w:space="0" w:color="auto"/>
            </w:tcBorders>
            <w:shd w:val="clear" w:color="000000" w:fill="CCFFFF"/>
            <w:noWrap/>
            <w:vAlign w:val="center"/>
            <w:hideMark/>
          </w:tcPr>
          <w:p w14:paraId="177600AC" w14:textId="77777777" w:rsidR="005F3233" w:rsidRPr="005F3233" w:rsidRDefault="005F3233" w:rsidP="005F3233">
            <w:pPr>
              <w:spacing w:after="0" w:line="240" w:lineRule="auto"/>
              <w:jc w:val="center"/>
              <w:rPr>
                <w:rFonts w:ascii="Calibri" w:eastAsia="Times New Roman" w:hAnsi="Calibri" w:cs="Calibri"/>
                <w:sz w:val="24"/>
                <w:szCs w:val="24"/>
                <w:lang w:eastAsia="hr-HR"/>
              </w:rPr>
            </w:pPr>
            <w:r w:rsidRPr="005F3233">
              <w:rPr>
                <w:rFonts w:ascii="Calibri" w:eastAsia="Times New Roman" w:hAnsi="Calibri" w:cs="Calibri"/>
                <w:sz w:val="24"/>
                <w:szCs w:val="24"/>
                <w:lang w:eastAsia="hr-HR"/>
              </w:rPr>
              <w:t>0</w:t>
            </w:r>
          </w:p>
        </w:tc>
        <w:tc>
          <w:tcPr>
            <w:tcW w:w="425" w:type="dxa"/>
            <w:gridSpan w:val="3"/>
            <w:tcBorders>
              <w:top w:val="nil"/>
              <w:left w:val="nil"/>
              <w:bottom w:val="single" w:sz="4" w:space="0" w:color="auto"/>
              <w:right w:val="single" w:sz="8" w:space="0" w:color="auto"/>
            </w:tcBorders>
            <w:shd w:val="clear" w:color="000000" w:fill="33CCCC"/>
            <w:noWrap/>
            <w:vAlign w:val="center"/>
            <w:hideMark/>
          </w:tcPr>
          <w:p w14:paraId="25048C05" w14:textId="77777777" w:rsidR="005F3233" w:rsidRPr="005F3233" w:rsidRDefault="005F3233" w:rsidP="005F3233">
            <w:pPr>
              <w:spacing w:after="0" w:line="240" w:lineRule="auto"/>
              <w:jc w:val="center"/>
              <w:rPr>
                <w:rFonts w:ascii="Calibri" w:eastAsia="Times New Roman" w:hAnsi="Calibri" w:cs="Calibri"/>
                <w:sz w:val="24"/>
                <w:szCs w:val="24"/>
                <w:lang w:eastAsia="hr-HR"/>
              </w:rPr>
            </w:pPr>
            <w:r w:rsidRPr="005F3233">
              <w:rPr>
                <w:rFonts w:ascii="Calibri" w:eastAsia="Times New Roman" w:hAnsi="Calibri" w:cs="Calibri"/>
                <w:sz w:val="24"/>
                <w:szCs w:val="24"/>
                <w:lang w:eastAsia="hr-HR"/>
              </w:rPr>
              <w:t>0</w:t>
            </w:r>
          </w:p>
        </w:tc>
        <w:tc>
          <w:tcPr>
            <w:tcW w:w="569" w:type="dxa"/>
            <w:gridSpan w:val="2"/>
            <w:tcBorders>
              <w:top w:val="nil"/>
              <w:left w:val="single" w:sz="4" w:space="0" w:color="auto"/>
              <w:bottom w:val="single" w:sz="4" w:space="0" w:color="auto"/>
              <w:right w:val="single" w:sz="8" w:space="0" w:color="auto"/>
            </w:tcBorders>
            <w:shd w:val="clear" w:color="000000" w:fill="33CCCC"/>
            <w:noWrap/>
            <w:vAlign w:val="center"/>
            <w:hideMark/>
          </w:tcPr>
          <w:p w14:paraId="3A7C64DF" w14:textId="77777777" w:rsidR="005F3233" w:rsidRPr="005F3233" w:rsidRDefault="005F3233" w:rsidP="005F3233">
            <w:pPr>
              <w:spacing w:after="0" w:line="240" w:lineRule="auto"/>
              <w:jc w:val="center"/>
              <w:rPr>
                <w:rFonts w:ascii="Calibri" w:eastAsia="Times New Roman" w:hAnsi="Calibri" w:cs="Calibri"/>
                <w:sz w:val="24"/>
                <w:szCs w:val="24"/>
                <w:lang w:eastAsia="hr-HR"/>
              </w:rPr>
            </w:pPr>
            <w:r w:rsidRPr="005F3233">
              <w:rPr>
                <w:rFonts w:ascii="Calibri" w:eastAsia="Times New Roman" w:hAnsi="Calibri" w:cs="Calibri"/>
                <w:sz w:val="24"/>
                <w:szCs w:val="24"/>
                <w:lang w:eastAsia="hr-HR"/>
              </w:rPr>
              <w:t>0</w:t>
            </w:r>
          </w:p>
        </w:tc>
        <w:tc>
          <w:tcPr>
            <w:tcW w:w="236" w:type="dxa"/>
            <w:gridSpan w:val="3"/>
            <w:vAlign w:val="center"/>
            <w:hideMark/>
          </w:tcPr>
          <w:p w14:paraId="51369CAC" w14:textId="77777777" w:rsidR="005F3233" w:rsidRPr="005F3233" w:rsidRDefault="005F3233" w:rsidP="005F3233">
            <w:pPr>
              <w:spacing w:after="0" w:line="240" w:lineRule="auto"/>
              <w:rPr>
                <w:rFonts w:ascii="Times New Roman" w:eastAsia="Times New Roman" w:hAnsi="Times New Roman" w:cs="Times New Roman"/>
                <w:sz w:val="20"/>
                <w:szCs w:val="20"/>
                <w:lang w:eastAsia="hr-HR"/>
              </w:rPr>
            </w:pPr>
          </w:p>
        </w:tc>
      </w:tr>
      <w:tr w:rsidR="005F3233" w:rsidRPr="005F3233" w14:paraId="0D5BF18F" w14:textId="77777777" w:rsidTr="000271A1">
        <w:trPr>
          <w:gridBefore w:val="1"/>
          <w:gridAfter w:val="2"/>
          <w:wBefore w:w="10" w:type="dxa"/>
          <w:wAfter w:w="237" w:type="dxa"/>
          <w:trHeight w:val="315"/>
        </w:trPr>
        <w:tc>
          <w:tcPr>
            <w:tcW w:w="869" w:type="dxa"/>
            <w:tcBorders>
              <w:top w:val="single" w:sz="4" w:space="0" w:color="auto"/>
              <w:left w:val="single" w:sz="8" w:space="0" w:color="auto"/>
              <w:bottom w:val="single" w:sz="4" w:space="0" w:color="auto"/>
              <w:right w:val="single" w:sz="4" w:space="0" w:color="auto"/>
            </w:tcBorders>
            <w:shd w:val="clear" w:color="000000" w:fill="CCFFCC"/>
            <w:vAlign w:val="center"/>
            <w:hideMark/>
          </w:tcPr>
          <w:p w14:paraId="2D389A77" w14:textId="77777777" w:rsidR="005F3233" w:rsidRPr="005F3233" w:rsidRDefault="005F3233" w:rsidP="005F3233">
            <w:pPr>
              <w:spacing w:after="0" w:line="240" w:lineRule="auto"/>
              <w:rPr>
                <w:rFonts w:ascii="Calibri" w:eastAsia="Times New Roman" w:hAnsi="Calibri" w:cs="Calibri"/>
                <w:lang w:eastAsia="hr-HR"/>
              </w:rPr>
            </w:pPr>
            <w:r w:rsidRPr="005F3233">
              <w:rPr>
                <w:rFonts w:ascii="Calibri" w:eastAsia="Times New Roman" w:hAnsi="Calibri" w:cs="Calibri"/>
                <w:lang w:eastAsia="hr-HR"/>
              </w:rPr>
              <w:t>Spolna orijentacija</w:t>
            </w:r>
          </w:p>
        </w:tc>
        <w:tc>
          <w:tcPr>
            <w:tcW w:w="457" w:type="dxa"/>
            <w:tcBorders>
              <w:top w:val="nil"/>
              <w:left w:val="nil"/>
              <w:bottom w:val="single" w:sz="4" w:space="0" w:color="auto"/>
              <w:right w:val="single" w:sz="4" w:space="0" w:color="auto"/>
            </w:tcBorders>
            <w:shd w:val="clear" w:color="000000" w:fill="FFFF00"/>
            <w:vAlign w:val="center"/>
            <w:hideMark/>
          </w:tcPr>
          <w:p w14:paraId="6F8A8232" w14:textId="77777777" w:rsidR="005F3233" w:rsidRPr="005F3233" w:rsidRDefault="005F3233" w:rsidP="005F3233">
            <w:pPr>
              <w:spacing w:after="0" w:line="240" w:lineRule="auto"/>
              <w:jc w:val="center"/>
              <w:rPr>
                <w:rFonts w:ascii="Calibri" w:eastAsia="Times New Roman" w:hAnsi="Calibri" w:cs="Calibri"/>
                <w:b/>
                <w:bCs/>
                <w:lang w:eastAsia="hr-HR"/>
              </w:rPr>
            </w:pPr>
            <w:r w:rsidRPr="005F3233">
              <w:rPr>
                <w:rFonts w:ascii="Calibri" w:eastAsia="Times New Roman" w:hAnsi="Calibri" w:cs="Calibri"/>
                <w:b/>
                <w:bCs/>
                <w:lang w:eastAsia="hr-HR"/>
              </w:rPr>
              <w:t>0</w:t>
            </w:r>
          </w:p>
        </w:tc>
        <w:tc>
          <w:tcPr>
            <w:tcW w:w="449" w:type="dxa"/>
            <w:tcBorders>
              <w:top w:val="nil"/>
              <w:left w:val="nil"/>
              <w:bottom w:val="single" w:sz="4" w:space="0" w:color="auto"/>
              <w:right w:val="single" w:sz="4" w:space="0" w:color="auto"/>
            </w:tcBorders>
            <w:shd w:val="clear" w:color="000000" w:fill="FFCC99"/>
            <w:noWrap/>
            <w:vAlign w:val="center"/>
            <w:hideMark/>
          </w:tcPr>
          <w:p w14:paraId="2FB1B67F" w14:textId="77777777" w:rsidR="005F3233" w:rsidRPr="005F3233" w:rsidRDefault="005F3233" w:rsidP="005F3233">
            <w:pPr>
              <w:spacing w:after="0" w:line="240" w:lineRule="auto"/>
              <w:jc w:val="center"/>
              <w:rPr>
                <w:rFonts w:ascii="Calibri" w:eastAsia="Times New Roman" w:hAnsi="Calibri" w:cs="Calibri"/>
                <w:sz w:val="24"/>
                <w:szCs w:val="24"/>
                <w:lang w:eastAsia="hr-HR"/>
              </w:rPr>
            </w:pPr>
            <w:r w:rsidRPr="005F3233">
              <w:rPr>
                <w:rFonts w:ascii="Calibri" w:eastAsia="Times New Roman" w:hAnsi="Calibri" w:cs="Calibri"/>
                <w:sz w:val="24"/>
                <w:szCs w:val="24"/>
                <w:lang w:eastAsia="hr-HR"/>
              </w:rPr>
              <w:t>0</w:t>
            </w:r>
          </w:p>
        </w:tc>
        <w:tc>
          <w:tcPr>
            <w:tcW w:w="421" w:type="dxa"/>
            <w:tcBorders>
              <w:top w:val="nil"/>
              <w:left w:val="nil"/>
              <w:bottom w:val="single" w:sz="4" w:space="0" w:color="auto"/>
              <w:right w:val="single" w:sz="4" w:space="0" w:color="auto"/>
            </w:tcBorders>
            <w:shd w:val="clear" w:color="000000" w:fill="CCFFFF"/>
            <w:vAlign w:val="center"/>
            <w:hideMark/>
          </w:tcPr>
          <w:p w14:paraId="4FB2E334" w14:textId="77777777" w:rsidR="005F3233" w:rsidRPr="005F3233" w:rsidRDefault="005F3233" w:rsidP="005F3233">
            <w:pPr>
              <w:spacing w:after="0" w:line="240" w:lineRule="auto"/>
              <w:jc w:val="center"/>
              <w:rPr>
                <w:rFonts w:ascii="Calibri" w:eastAsia="Times New Roman" w:hAnsi="Calibri" w:cs="Calibri"/>
                <w:sz w:val="24"/>
                <w:szCs w:val="24"/>
                <w:lang w:eastAsia="hr-HR"/>
              </w:rPr>
            </w:pPr>
            <w:r w:rsidRPr="005F3233">
              <w:rPr>
                <w:rFonts w:ascii="Calibri" w:eastAsia="Times New Roman" w:hAnsi="Calibri" w:cs="Calibri"/>
                <w:sz w:val="24"/>
                <w:szCs w:val="24"/>
                <w:lang w:eastAsia="hr-HR"/>
              </w:rPr>
              <w:t>0</w:t>
            </w:r>
          </w:p>
        </w:tc>
        <w:tc>
          <w:tcPr>
            <w:tcW w:w="408" w:type="dxa"/>
            <w:tcBorders>
              <w:top w:val="nil"/>
              <w:left w:val="nil"/>
              <w:bottom w:val="single" w:sz="4" w:space="0" w:color="auto"/>
              <w:right w:val="single" w:sz="4" w:space="0" w:color="auto"/>
            </w:tcBorders>
            <w:shd w:val="clear" w:color="000000" w:fill="CCFFFF"/>
            <w:vAlign w:val="center"/>
            <w:hideMark/>
          </w:tcPr>
          <w:p w14:paraId="1CC31D28" w14:textId="77777777" w:rsidR="005F3233" w:rsidRPr="005F3233" w:rsidRDefault="005F3233" w:rsidP="005F3233">
            <w:pPr>
              <w:spacing w:after="0" w:line="240" w:lineRule="auto"/>
              <w:jc w:val="center"/>
              <w:rPr>
                <w:rFonts w:ascii="Calibri" w:eastAsia="Times New Roman" w:hAnsi="Calibri" w:cs="Calibri"/>
                <w:sz w:val="24"/>
                <w:szCs w:val="24"/>
                <w:lang w:eastAsia="hr-HR"/>
              </w:rPr>
            </w:pPr>
            <w:r w:rsidRPr="005F3233">
              <w:rPr>
                <w:rFonts w:ascii="Calibri" w:eastAsia="Times New Roman" w:hAnsi="Calibri" w:cs="Calibri"/>
                <w:sz w:val="24"/>
                <w:szCs w:val="24"/>
                <w:lang w:eastAsia="hr-HR"/>
              </w:rPr>
              <w:t>0</w:t>
            </w:r>
          </w:p>
        </w:tc>
        <w:tc>
          <w:tcPr>
            <w:tcW w:w="708" w:type="dxa"/>
            <w:tcBorders>
              <w:top w:val="nil"/>
              <w:left w:val="nil"/>
              <w:bottom w:val="single" w:sz="4" w:space="0" w:color="auto"/>
              <w:right w:val="single" w:sz="4" w:space="0" w:color="auto"/>
            </w:tcBorders>
            <w:shd w:val="clear" w:color="000000" w:fill="FFFF99"/>
            <w:noWrap/>
            <w:vAlign w:val="center"/>
            <w:hideMark/>
          </w:tcPr>
          <w:p w14:paraId="04424427" w14:textId="77777777" w:rsidR="005F3233" w:rsidRPr="005F3233" w:rsidRDefault="005F3233" w:rsidP="005F3233">
            <w:pPr>
              <w:spacing w:after="0" w:line="240" w:lineRule="auto"/>
              <w:jc w:val="center"/>
              <w:rPr>
                <w:rFonts w:ascii="Calibri" w:eastAsia="Times New Roman" w:hAnsi="Calibri" w:cs="Calibri"/>
                <w:sz w:val="24"/>
                <w:szCs w:val="24"/>
                <w:lang w:eastAsia="hr-HR"/>
              </w:rPr>
            </w:pPr>
            <w:r w:rsidRPr="005F3233">
              <w:rPr>
                <w:rFonts w:ascii="Calibri" w:eastAsia="Times New Roman" w:hAnsi="Calibri" w:cs="Calibri"/>
                <w:sz w:val="24"/>
                <w:szCs w:val="24"/>
                <w:lang w:eastAsia="hr-HR"/>
              </w:rPr>
              <w:t>0</w:t>
            </w:r>
          </w:p>
        </w:tc>
        <w:tc>
          <w:tcPr>
            <w:tcW w:w="708" w:type="dxa"/>
            <w:tcBorders>
              <w:top w:val="nil"/>
              <w:left w:val="nil"/>
              <w:bottom w:val="single" w:sz="4" w:space="0" w:color="auto"/>
              <w:right w:val="single" w:sz="4" w:space="0" w:color="auto"/>
            </w:tcBorders>
            <w:shd w:val="clear" w:color="000000" w:fill="FFFF99"/>
            <w:noWrap/>
            <w:vAlign w:val="center"/>
            <w:hideMark/>
          </w:tcPr>
          <w:p w14:paraId="7D3D3D9E" w14:textId="77777777" w:rsidR="005F3233" w:rsidRPr="005F3233" w:rsidRDefault="005F3233" w:rsidP="005F3233">
            <w:pPr>
              <w:spacing w:after="0" w:line="240" w:lineRule="auto"/>
              <w:jc w:val="center"/>
              <w:rPr>
                <w:rFonts w:ascii="Calibri" w:eastAsia="Times New Roman" w:hAnsi="Calibri" w:cs="Calibri"/>
                <w:sz w:val="24"/>
                <w:szCs w:val="24"/>
                <w:lang w:eastAsia="hr-HR"/>
              </w:rPr>
            </w:pPr>
            <w:r w:rsidRPr="005F3233">
              <w:rPr>
                <w:rFonts w:ascii="Calibri" w:eastAsia="Times New Roman" w:hAnsi="Calibri" w:cs="Calibri"/>
                <w:sz w:val="24"/>
                <w:szCs w:val="24"/>
                <w:lang w:eastAsia="hr-HR"/>
              </w:rPr>
              <w:t>0</w:t>
            </w:r>
          </w:p>
        </w:tc>
        <w:tc>
          <w:tcPr>
            <w:tcW w:w="708" w:type="dxa"/>
            <w:tcBorders>
              <w:top w:val="nil"/>
              <w:left w:val="nil"/>
              <w:bottom w:val="single" w:sz="4" w:space="0" w:color="auto"/>
              <w:right w:val="single" w:sz="4" w:space="0" w:color="auto"/>
            </w:tcBorders>
            <w:shd w:val="clear" w:color="000000" w:fill="FFFF99"/>
            <w:noWrap/>
            <w:vAlign w:val="center"/>
            <w:hideMark/>
          </w:tcPr>
          <w:p w14:paraId="3171D21B" w14:textId="77777777" w:rsidR="005F3233" w:rsidRPr="005F3233" w:rsidRDefault="005F3233" w:rsidP="005F3233">
            <w:pPr>
              <w:spacing w:after="0" w:line="240" w:lineRule="auto"/>
              <w:jc w:val="center"/>
              <w:rPr>
                <w:rFonts w:ascii="Calibri" w:eastAsia="Times New Roman" w:hAnsi="Calibri" w:cs="Calibri"/>
                <w:sz w:val="24"/>
                <w:szCs w:val="24"/>
                <w:lang w:eastAsia="hr-HR"/>
              </w:rPr>
            </w:pPr>
            <w:r w:rsidRPr="005F3233">
              <w:rPr>
                <w:rFonts w:ascii="Calibri" w:eastAsia="Times New Roman" w:hAnsi="Calibri" w:cs="Calibri"/>
                <w:sz w:val="24"/>
                <w:szCs w:val="24"/>
                <w:lang w:eastAsia="hr-HR"/>
              </w:rPr>
              <w:t>0</w:t>
            </w:r>
          </w:p>
        </w:tc>
        <w:tc>
          <w:tcPr>
            <w:tcW w:w="464" w:type="dxa"/>
            <w:tcBorders>
              <w:top w:val="nil"/>
              <w:left w:val="nil"/>
              <w:bottom w:val="single" w:sz="4" w:space="0" w:color="auto"/>
              <w:right w:val="single" w:sz="4" w:space="0" w:color="auto"/>
            </w:tcBorders>
            <w:shd w:val="clear" w:color="000000" w:fill="FFFF99"/>
            <w:noWrap/>
            <w:vAlign w:val="center"/>
            <w:hideMark/>
          </w:tcPr>
          <w:p w14:paraId="76962B73" w14:textId="77777777" w:rsidR="005F3233" w:rsidRPr="005F3233" w:rsidRDefault="005F3233" w:rsidP="005F3233">
            <w:pPr>
              <w:spacing w:after="0" w:line="240" w:lineRule="auto"/>
              <w:jc w:val="center"/>
              <w:rPr>
                <w:rFonts w:ascii="Calibri" w:eastAsia="Times New Roman" w:hAnsi="Calibri" w:cs="Calibri"/>
                <w:sz w:val="24"/>
                <w:szCs w:val="24"/>
                <w:lang w:eastAsia="hr-HR"/>
              </w:rPr>
            </w:pPr>
            <w:r w:rsidRPr="005F3233">
              <w:rPr>
                <w:rFonts w:ascii="Calibri" w:eastAsia="Times New Roman" w:hAnsi="Calibri" w:cs="Calibri"/>
                <w:sz w:val="24"/>
                <w:szCs w:val="24"/>
                <w:lang w:eastAsia="hr-HR"/>
              </w:rPr>
              <w:t>0</w:t>
            </w:r>
          </w:p>
        </w:tc>
        <w:tc>
          <w:tcPr>
            <w:tcW w:w="700" w:type="dxa"/>
            <w:tcBorders>
              <w:top w:val="nil"/>
              <w:left w:val="nil"/>
              <w:bottom w:val="single" w:sz="4" w:space="0" w:color="auto"/>
              <w:right w:val="single" w:sz="4" w:space="0" w:color="auto"/>
            </w:tcBorders>
            <w:shd w:val="clear" w:color="000000" w:fill="FFFF99"/>
            <w:noWrap/>
            <w:vAlign w:val="center"/>
            <w:hideMark/>
          </w:tcPr>
          <w:p w14:paraId="7A0DCC37" w14:textId="77777777" w:rsidR="005F3233" w:rsidRPr="005F3233" w:rsidRDefault="005F3233" w:rsidP="005F3233">
            <w:pPr>
              <w:spacing w:after="0" w:line="240" w:lineRule="auto"/>
              <w:jc w:val="center"/>
              <w:rPr>
                <w:rFonts w:ascii="Calibri" w:eastAsia="Times New Roman" w:hAnsi="Calibri" w:cs="Calibri"/>
                <w:sz w:val="24"/>
                <w:szCs w:val="24"/>
                <w:lang w:eastAsia="hr-HR"/>
              </w:rPr>
            </w:pPr>
            <w:r w:rsidRPr="005F3233">
              <w:rPr>
                <w:rFonts w:ascii="Calibri" w:eastAsia="Times New Roman" w:hAnsi="Calibri" w:cs="Calibri"/>
                <w:sz w:val="24"/>
                <w:szCs w:val="24"/>
                <w:lang w:eastAsia="hr-HR"/>
              </w:rPr>
              <w:t>0</w:t>
            </w:r>
          </w:p>
        </w:tc>
        <w:tc>
          <w:tcPr>
            <w:tcW w:w="699" w:type="dxa"/>
            <w:tcBorders>
              <w:top w:val="nil"/>
              <w:left w:val="nil"/>
              <w:bottom w:val="single" w:sz="4" w:space="0" w:color="auto"/>
              <w:right w:val="single" w:sz="4" w:space="0" w:color="auto"/>
            </w:tcBorders>
            <w:shd w:val="clear" w:color="000000" w:fill="FFFF99"/>
            <w:noWrap/>
            <w:vAlign w:val="center"/>
            <w:hideMark/>
          </w:tcPr>
          <w:p w14:paraId="7E605A7B" w14:textId="77777777" w:rsidR="005F3233" w:rsidRPr="005F3233" w:rsidRDefault="005F3233" w:rsidP="005F3233">
            <w:pPr>
              <w:spacing w:after="0" w:line="240" w:lineRule="auto"/>
              <w:jc w:val="center"/>
              <w:rPr>
                <w:rFonts w:ascii="Calibri" w:eastAsia="Times New Roman" w:hAnsi="Calibri" w:cs="Calibri"/>
                <w:sz w:val="24"/>
                <w:szCs w:val="24"/>
                <w:lang w:eastAsia="hr-HR"/>
              </w:rPr>
            </w:pPr>
            <w:r w:rsidRPr="005F3233">
              <w:rPr>
                <w:rFonts w:ascii="Calibri" w:eastAsia="Times New Roman" w:hAnsi="Calibri" w:cs="Calibri"/>
                <w:sz w:val="24"/>
                <w:szCs w:val="24"/>
                <w:lang w:eastAsia="hr-HR"/>
              </w:rPr>
              <w:t>0</w:t>
            </w:r>
          </w:p>
        </w:tc>
        <w:tc>
          <w:tcPr>
            <w:tcW w:w="700" w:type="dxa"/>
            <w:tcBorders>
              <w:top w:val="nil"/>
              <w:left w:val="nil"/>
              <w:bottom w:val="single" w:sz="4" w:space="0" w:color="auto"/>
              <w:right w:val="single" w:sz="4" w:space="0" w:color="auto"/>
            </w:tcBorders>
            <w:shd w:val="clear" w:color="000000" w:fill="FFFF99"/>
            <w:noWrap/>
            <w:vAlign w:val="center"/>
            <w:hideMark/>
          </w:tcPr>
          <w:p w14:paraId="517C0E4E" w14:textId="77777777" w:rsidR="005F3233" w:rsidRPr="005F3233" w:rsidRDefault="005F3233" w:rsidP="005F3233">
            <w:pPr>
              <w:spacing w:after="0" w:line="240" w:lineRule="auto"/>
              <w:jc w:val="center"/>
              <w:rPr>
                <w:rFonts w:ascii="Calibri" w:eastAsia="Times New Roman" w:hAnsi="Calibri" w:cs="Calibri"/>
                <w:sz w:val="24"/>
                <w:szCs w:val="24"/>
                <w:lang w:eastAsia="hr-HR"/>
              </w:rPr>
            </w:pPr>
            <w:r w:rsidRPr="005F3233">
              <w:rPr>
                <w:rFonts w:ascii="Calibri" w:eastAsia="Times New Roman" w:hAnsi="Calibri" w:cs="Calibri"/>
                <w:sz w:val="24"/>
                <w:szCs w:val="24"/>
                <w:lang w:eastAsia="hr-HR"/>
              </w:rPr>
              <w:t>0</w:t>
            </w:r>
          </w:p>
        </w:tc>
        <w:tc>
          <w:tcPr>
            <w:tcW w:w="464" w:type="dxa"/>
            <w:tcBorders>
              <w:top w:val="nil"/>
              <w:left w:val="nil"/>
              <w:bottom w:val="single" w:sz="4" w:space="0" w:color="auto"/>
              <w:right w:val="single" w:sz="4" w:space="0" w:color="auto"/>
            </w:tcBorders>
            <w:shd w:val="clear" w:color="000000" w:fill="FFFF99"/>
            <w:noWrap/>
            <w:vAlign w:val="center"/>
            <w:hideMark/>
          </w:tcPr>
          <w:p w14:paraId="1F3D9649" w14:textId="77777777" w:rsidR="005F3233" w:rsidRPr="005F3233" w:rsidRDefault="005F3233" w:rsidP="005F3233">
            <w:pPr>
              <w:spacing w:after="0" w:line="240" w:lineRule="auto"/>
              <w:jc w:val="center"/>
              <w:rPr>
                <w:rFonts w:ascii="Calibri" w:eastAsia="Times New Roman" w:hAnsi="Calibri" w:cs="Calibri"/>
                <w:sz w:val="24"/>
                <w:szCs w:val="24"/>
                <w:lang w:eastAsia="hr-HR"/>
              </w:rPr>
            </w:pPr>
            <w:r w:rsidRPr="005F3233">
              <w:rPr>
                <w:rFonts w:ascii="Calibri" w:eastAsia="Times New Roman" w:hAnsi="Calibri" w:cs="Calibri"/>
                <w:sz w:val="24"/>
                <w:szCs w:val="24"/>
                <w:lang w:eastAsia="hr-HR"/>
              </w:rPr>
              <w:t>0</w:t>
            </w:r>
          </w:p>
        </w:tc>
        <w:tc>
          <w:tcPr>
            <w:tcW w:w="700" w:type="dxa"/>
            <w:tcBorders>
              <w:top w:val="nil"/>
              <w:left w:val="nil"/>
              <w:bottom w:val="single" w:sz="4" w:space="0" w:color="auto"/>
              <w:right w:val="single" w:sz="4" w:space="0" w:color="auto"/>
            </w:tcBorders>
            <w:shd w:val="clear" w:color="000000" w:fill="FFFF99"/>
            <w:noWrap/>
            <w:vAlign w:val="center"/>
            <w:hideMark/>
          </w:tcPr>
          <w:p w14:paraId="18BB4118" w14:textId="77777777" w:rsidR="005F3233" w:rsidRPr="005F3233" w:rsidRDefault="005F3233" w:rsidP="005F3233">
            <w:pPr>
              <w:spacing w:after="0" w:line="240" w:lineRule="auto"/>
              <w:jc w:val="center"/>
              <w:rPr>
                <w:rFonts w:ascii="Calibri" w:eastAsia="Times New Roman" w:hAnsi="Calibri" w:cs="Calibri"/>
                <w:sz w:val="24"/>
                <w:szCs w:val="24"/>
                <w:lang w:eastAsia="hr-HR"/>
              </w:rPr>
            </w:pPr>
            <w:r w:rsidRPr="005F3233">
              <w:rPr>
                <w:rFonts w:ascii="Calibri" w:eastAsia="Times New Roman" w:hAnsi="Calibri" w:cs="Calibri"/>
                <w:sz w:val="24"/>
                <w:szCs w:val="24"/>
                <w:lang w:eastAsia="hr-HR"/>
              </w:rPr>
              <w:t>0</w:t>
            </w:r>
          </w:p>
        </w:tc>
        <w:tc>
          <w:tcPr>
            <w:tcW w:w="434" w:type="dxa"/>
            <w:tcBorders>
              <w:top w:val="nil"/>
              <w:left w:val="nil"/>
              <w:bottom w:val="single" w:sz="4" w:space="0" w:color="auto"/>
              <w:right w:val="single" w:sz="4" w:space="0" w:color="auto"/>
            </w:tcBorders>
            <w:shd w:val="clear" w:color="000000" w:fill="FFFF99"/>
            <w:noWrap/>
            <w:vAlign w:val="center"/>
            <w:hideMark/>
          </w:tcPr>
          <w:p w14:paraId="62BCEFA3" w14:textId="77777777" w:rsidR="005F3233" w:rsidRPr="005F3233" w:rsidRDefault="005F3233" w:rsidP="005F3233">
            <w:pPr>
              <w:spacing w:after="0" w:line="240" w:lineRule="auto"/>
              <w:jc w:val="center"/>
              <w:rPr>
                <w:rFonts w:ascii="Calibri" w:eastAsia="Times New Roman" w:hAnsi="Calibri" w:cs="Calibri"/>
                <w:sz w:val="24"/>
                <w:szCs w:val="24"/>
                <w:lang w:eastAsia="hr-HR"/>
              </w:rPr>
            </w:pPr>
            <w:r w:rsidRPr="005F3233">
              <w:rPr>
                <w:rFonts w:ascii="Calibri" w:eastAsia="Times New Roman" w:hAnsi="Calibri" w:cs="Calibri"/>
                <w:sz w:val="24"/>
                <w:szCs w:val="24"/>
                <w:lang w:eastAsia="hr-HR"/>
              </w:rPr>
              <w:t>0</w:t>
            </w:r>
          </w:p>
        </w:tc>
        <w:tc>
          <w:tcPr>
            <w:tcW w:w="426" w:type="dxa"/>
            <w:tcBorders>
              <w:top w:val="nil"/>
              <w:left w:val="nil"/>
              <w:bottom w:val="single" w:sz="4" w:space="0" w:color="auto"/>
              <w:right w:val="single" w:sz="4" w:space="0" w:color="auto"/>
            </w:tcBorders>
            <w:shd w:val="clear" w:color="000000" w:fill="FF9900"/>
            <w:noWrap/>
            <w:vAlign w:val="center"/>
            <w:hideMark/>
          </w:tcPr>
          <w:p w14:paraId="054229B8" w14:textId="77777777" w:rsidR="005F3233" w:rsidRPr="005F3233" w:rsidRDefault="005F3233" w:rsidP="005F3233">
            <w:pPr>
              <w:spacing w:after="0" w:line="240" w:lineRule="auto"/>
              <w:jc w:val="center"/>
              <w:rPr>
                <w:rFonts w:ascii="Calibri" w:eastAsia="Times New Roman" w:hAnsi="Calibri" w:cs="Calibri"/>
                <w:sz w:val="24"/>
                <w:szCs w:val="24"/>
                <w:lang w:eastAsia="hr-HR"/>
              </w:rPr>
            </w:pPr>
            <w:r w:rsidRPr="005F3233">
              <w:rPr>
                <w:rFonts w:ascii="Calibri" w:eastAsia="Times New Roman" w:hAnsi="Calibri" w:cs="Calibri"/>
                <w:sz w:val="24"/>
                <w:szCs w:val="24"/>
                <w:lang w:eastAsia="hr-HR"/>
              </w:rPr>
              <w:t>0</w:t>
            </w:r>
          </w:p>
        </w:tc>
        <w:tc>
          <w:tcPr>
            <w:tcW w:w="425" w:type="dxa"/>
            <w:tcBorders>
              <w:top w:val="nil"/>
              <w:left w:val="nil"/>
              <w:bottom w:val="single" w:sz="4" w:space="0" w:color="auto"/>
              <w:right w:val="single" w:sz="4" w:space="0" w:color="auto"/>
            </w:tcBorders>
            <w:shd w:val="clear" w:color="000000" w:fill="FF9900"/>
            <w:noWrap/>
            <w:vAlign w:val="center"/>
            <w:hideMark/>
          </w:tcPr>
          <w:p w14:paraId="564721BA" w14:textId="77777777" w:rsidR="005F3233" w:rsidRPr="005F3233" w:rsidRDefault="005F3233" w:rsidP="005F3233">
            <w:pPr>
              <w:spacing w:after="0" w:line="240" w:lineRule="auto"/>
              <w:jc w:val="center"/>
              <w:rPr>
                <w:rFonts w:ascii="Calibri" w:eastAsia="Times New Roman" w:hAnsi="Calibri" w:cs="Calibri"/>
                <w:sz w:val="24"/>
                <w:szCs w:val="24"/>
                <w:lang w:eastAsia="hr-HR"/>
              </w:rPr>
            </w:pPr>
            <w:r w:rsidRPr="005F3233">
              <w:rPr>
                <w:rFonts w:ascii="Calibri" w:eastAsia="Times New Roman" w:hAnsi="Calibri" w:cs="Calibri"/>
                <w:sz w:val="24"/>
                <w:szCs w:val="24"/>
                <w:lang w:eastAsia="hr-HR"/>
              </w:rPr>
              <w:t>0</w:t>
            </w:r>
          </w:p>
        </w:tc>
        <w:tc>
          <w:tcPr>
            <w:tcW w:w="442" w:type="dxa"/>
            <w:tcBorders>
              <w:top w:val="nil"/>
              <w:left w:val="nil"/>
              <w:bottom w:val="single" w:sz="4" w:space="0" w:color="auto"/>
              <w:right w:val="single" w:sz="4" w:space="0" w:color="auto"/>
            </w:tcBorders>
            <w:shd w:val="clear" w:color="000000" w:fill="FF9900"/>
            <w:noWrap/>
            <w:vAlign w:val="center"/>
            <w:hideMark/>
          </w:tcPr>
          <w:p w14:paraId="01E5CB05" w14:textId="77777777" w:rsidR="005F3233" w:rsidRPr="005F3233" w:rsidRDefault="005F3233" w:rsidP="005F3233">
            <w:pPr>
              <w:spacing w:after="0" w:line="240" w:lineRule="auto"/>
              <w:jc w:val="center"/>
              <w:rPr>
                <w:rFonts w:ascii="Calibri" w:eastAsia="Times New Roman" w:hAnsi="Calibri" w:cs="Calibri"/>
                <w:sz w:val="24"/>
                <w:szCs w:val="24"/>
                <w:lang w:eastAsia="hr-HR"/>
              </w:rPr>
            </w:pPr>
            <w:r w:rsidRPr="005F3233">
              <w:rPr>
                <w:rFonts w:ascii="Calibri" w:eastAsia="Times New Roman" w:hAnsi="Calibri" w:cs="Calibri"/>
                <w:sz w:val="24"/>
                <w:szCs w:val="24"/>
                <w:lang w:eastAsia="hr-HR"/>
              </w:rPr>
              <w:t>0</w:t>
            </w:r>
          </w:p>
        </w:tc>
        <w:tc>
          <w:tcPr>
            <w:tcW w:w="451" w:type="dxa"/>
            <w:tcBorders>
              <w:top w:val="nil"/>
              <w:left w:val="nil"/>
              <w:bottom w:val="single" w:sz="4" w:space="0" w:color="auto"/>
              <w:right w:val="single" w:sz="4" w:space="0" w:color="auto"/>
            </w:tcBorders>
            <w:shd w:val="clear" w:color="auto" w:fill="auto"/>
            <w:vAlign w:val="center"/>
            <w:hideMark/>
          </w:tcPr>
          <w:p w14:paraId="67AA2840" w14:textId="77777777" w:rsidR="005F3233" w:rsidRPr="005F3233" w:rsidRDefault="005F3233" w:rsidP="005F3233">
            <w:pPr>
              <w:spacing w:after="0" w:line="240" w:lineRule="auto"/>
              <w:jc w:val="center"/>
              <w:rPr>
                <w:rFonts w:ascii="Calibri" w:eastAsia="Times New Roman" w:hAnsi="Calibri" w:cs="Calibri"/>
                <w:b/>
                <w:bCs/>
                <w:sz w:val="24"/>
                <w:szCs w:val="24"/>
                <w:lang w:eastAsia="hr-HR"/>
              </w:rPr>
            </w:pPr>
            <w:r w:rsidRPr="005F3233">
              <w:rPr>
                <w:rFonts w:ascii="Calibri" w:eastAsia="Times New Roman" w:hAnsi="Calibri" w:cs="Calibri"/>
                <w:b/>
                <w:bCs/>
                <w:sz w:val="24"/>
                <w:szCs w:val="24"/>
                <w:lang w:eastAsia="hr-HR"/>
              </w:rPr>
              <w:t>0</w:t>
            </w:r>
          </w:p>
        </w:tc>
        <w:tc>
          <w:tcPr>
            <w:tcW w:w="383" w:type="dxa"/>
            <w:gridSpan w:val="2"/>
            <w:tcBorders>
              <w:top w:val="nil"/>
              <w:left w:val="nil"/>
              <w:bottom w:val="single" w:sz="4" w:space="0" w:color="auto"/>
              <w:right w:val="single" w:sz="4" w:space="0" w:color="auto"/>
            </w:tcBorders>
            <w:shd w:val="clear" w:color="000000" w:fill="FFFF00"/>
            <w:noWrap/>
            <w:vAlign w:val="center"/>
            <w:hideMark/>
          </w:tcPr>
          <w:p w14:paraId="05D70A41" w14:textId="77777777" w:rsidR="005F3233" w:rsidRPr="005F3233" w:rsidRDefault="005F3233" w:rsidP="005F3233">
            <w:pPr>
              <w:spacing w:after="0" w:line="240" w:lineRule="auto"/>
              <w:jc w:val="center"/>
              <w:rPr>
                <w:rFonts w:ascii="Calibri" w:eastAsia="Times New Roman" w:hAnsi="Calibri" w:cs="Calibri"/>
                <w:sz w:val="24"/>
                <w:szCs w:val="24"/>
                <w:lang w:eastAsia="hr-HR"/>
              </w:rPr>
            </w:pPr>
            <w:r w:rsidRPr="005F3233">
              <w:rPr>
                <w:rFonts w:ascii="Calibri" w:eastAsia="Times New Roman" w:hAnsi="Calibri" w:cs="Calibri"/>
                <w:sz w:val="24"/>
                <w:szCs w:val="24"/>
                <w:lang w:eastAsia="hr-HR"/>
              </w:rPr>
              <w:t>0</w:t>
            </w:r>
          </w:p>
        </w:tc>
        <w:tc>
          <w:tcPr>
            <w:tcW w:w="392" w:type="dxa"/>
            <w:tcBorders>
              <w:top w:val="nil"/>
              <w:left w:val="nil"/>
              <w:bottom w:val="single" w:sz="4" w:space="0" w:color="auto"/>
              <w:right w:val="single" w:sz="4" w:space="0" w:color="auto"/>
            </w:tcBorders>
            <w:shd w:val="clear" w:color="000000" w:fill="FFFF00"/>
            <w:noWrap/>
            <w:vAlign w:val="center"/>
            <w:hideMark/>
          </w:tcPr>
          <w:p w14:paraId="25B1126B" w14:textId="77777777" w:rsidR="005F3233" w:rsidRPr="005F3233" w:rsidRDefault="005F3233" w:rsidP="005F3233">
            <w:pPr>
              <w:spacing w:after="0" w:line="240" w:lineRule="auto"/>
              <w:jc w:val="center"/>
              <w:rPr>
                <w:rFonts w:ascii="Calibri" w:eastAsia="Times New Roman" w:hAnsi="Calibri" w:cs="Calibri"/>
                <w:sz w:val="24"/>
                <w:szCs w:val="24"/>
                <w:lang w:eastAsia="hr-HR"/>
              </w:rPr>
            </w:pPr>
            <w:r w:rsidRPr="005F3233">
              <w:rPr>
                <w:rFonts w:ascii="Calibri" w:eastAsia="Times New Roman" w:hAnsi="Calibri" w:cs="Calibri"/>
                <w:sz w:val="24"/>
                <w:szCs w:val="24"/>
                <w:lang w:eastAsia="hr-HR"/>
              </w:rPr>
              <w:t>0</w:t>
            </w:r>
          </w:p>
        </w:tc>
        <w:tc>
          <w:tcPr>
            <w:tcW w:w="400" w:type="dxa"/>
            <w:tcBorders>
              <w:top w:val="nil"/>
              <w:left w:val="nil"/>
              <w:bottom w:val="single" w:sz="4" w:space="0" w:color="auto"/>
              <w:right w:val="single" w:sz="4" w:space="0" w:color="auto"/>
            </w:tcBorders>
            <w:shd w:val="clear" w:color="000000" w:fill="FFFF00"/>
            <w:noWrap/>
            <w:vAlign w:val="center"/>
            <w:hideMark/>
          </w:tcPr>
          <w:p w14:paraId="151C4C32" w14:textId="77777777" w:rsidR="005F3233" w:rsidRPr="005F3233" w:rsidRDefault="005F3233" w:rsidP="005F3233">
            <w:pPr>
              <w:spacing w:after="0" w:line="240" w:lineRule="auto"/>
              <w:jc w:val="center"/>
              <w:rPr>
                <w:rFonts w:ascii="Calibri" w:eastAsia="Times New Roman" w:hAnsi="Calibri" w:cs="Calibri"/>
                <w:sz w:val="24"/>
                <w:szCs w:val="24"/>
                <w:lang w:eastAsia="hr-HR"/>
              </w:rPr>
            </w:pPr>
            <w:r w:rsidRPr="005F3233">
              <w:rPr>
                <w:rFonts w:ascii="Calibri" w:eastAsia="Times New Roman" w:hAnsi="Calibri" w:cs="Calibri"/>
                <w:sz w:val="24"/>
                <w:szCs w:val="24"/>
                <w:lang w:eastAsia="hr-HR"/>
              </w:rPr>
              <w:t>0</w:t>
            </w:r>
          </w:p>
        </w:tc>
        <w:tc>
          <w:tcPr>
            <w:tcW w:w="409" w:type="dxa"/>
            <w:tcBorders>
              <w:top w:val="nil"/>
              <w:left w:val="nil"/>
              <w:bottom w:val="single" w:sz="4" w:space="0" w:color="auto"/>
              <w:right w:val="single" w:sz="4" w:space="0" w:color="auto"/>
            </w:tcBorders>
            <w:shd w:val="clear" w:color="auto" w:fill="auto"/>
            <w:vAlign w:val="center"/>
            <w:hideMark/>
          </w:tcPr>
          <w:p w14:paraId="79A3CBEA" w14:textId="77777777" w:rsidR="005F3233" w:rsidRPr="005F3233" w:rsidRDefault="005F3233" w:rsidP="005F3233">
            <w:pPr>
              <w:spacing w:after="0" w:line="240" w:lineRule="auto"/>
              <w:jc w:val="center"/>
              <w:rPr>
                <w:rFonts w:ascii="Calibri" w:eastAsia="Times New Roman" w:hAnsi="Calibri" w:cs="Calibri"/>
                <w:b/>
                <w:bCs/>
                <w:sz w:val="24"/>
                <w:szCs w:val="24"/>
                <w:lang w:eastAsia="hr-HR"/>
              </w:rPr>
            </w:pPr>
            <w:r w:rsidRPr="005F3233">
              <w:rPr>
                <w:rFonts w:ascii="Calibri" w:eastAsia="Times New Roman" w:hAnsi="Calibri" w:cs="Calibri"/>
                <w:b/>
                <w:bCs/>
                <w:sz w:val="24"/>
                <w:szCs w:val="24"/>
                <w:lang w:eastAsia="hr-HR"/>
              </w:rPr>
              <w:t>0</w:t>
            </w:r>
          </w:p>
        </w:tc>
        <w:tc>
          <w:tcPr>
            <w:tcW w:w="499" w:type="dxa"/>
            <w:gridSpan w:val="2"/>
            <w:tcBorders>
              <w:top w:val="nil"/>
              <w:left w:val="nil"/>
              <w:bottom w:val="single" w:sz="4" w:space="0" w:color="auto"/>
              <w:right w:val="single" w:sz="4" w:space="0" w:color="auto"/>
            </w:tcBorders>
            <w:shd w:val="clear" w:color="000000" w:fill="FFFF00"/>
            <w:vAlign w:val="center"/>
            <w:hideMark/>
          </w:tcPr>
          <w:p w14:paraId="1BD2C13A" w14:textId="77777777" w:rsidR="005F3233" w:rsidRPr="005F3233" w:rsidRDefault="005F3233" w:rsidP="005F3233">
            <w:pPr>
              <w:spacing w:after="0" w:line="240" w:lineRule="auto"/>
              <w:jc w:val="center"/>
              <w:rPr>
                <w:rFonts w:ascii="Calibri" w:eastAsia="Times New Roman" w:hAnsi="Calibri" w:cs="Calibri"/>
                <w:b/>
                <w:bCs/>
                <w:sz w:val="24"/>
                <w:szCs w:val="24"/>
                <w:lang w:eastAsia="hr-HR"/>
              </w:rPr>
            </w:pPr>
            <w:r w:rsidRPr="005F3233">
              <w:rPr>
                <w:rFonts w:ascii="Calibri" w:eastAsia="Times New Roman" w:hAnsi="Calibri" w:cs="Calibri"/>
                <w:b/>
                <w:bCs/>
                <w:sz w:val="24"/>
                <w:szCs w:val="24"/>
                <w:lang w:eastAsia="hr-HR"/>
              </w:rPr>
              <w:t>0</w:t>
            </w:r>
          </w:p>
        </w:tc>
        <w:tc>
          <w:tcPr>
            <w:tcW w:w="567" w:type="dxa"/>
            <w:tcBorders>
              <w:top w:val="nil"/>
              <w:left w:val="nil"/>
              <w:bottom w:val="single" w:sz="4" w:space="0" w:color="auto"/>
              <w:right w:val="single" w:sz="4" w:space="0" w:color="auto"/>
            </w:tcBorders>
            <w:shd w:val="clear" w:color="000000" w:fill="FF9900"/>
            <w:noWrap/>
            <w:vAlign w:val="center"/>
            <w:hideMark/>
          </w:tcPr>
          <w:p w14:paraId="7F4B933A" w14:textId="77777777" w:rsidR="005F3233" w:rsidRPr="005F3233" w:rsidRDefault="005F3233" w:rsidP="005F3233">
            <w:pPr>
              <w:spacing w:after="0" w:line="240" w:lineRule="auto"/>
              <w:jc w:val="center"/>
              <w:rPr>
                <w:rFonts w:ascii="Calibri" w:eastAsia="Times New Roman" w:hAnsi="Calibri" w:cs="Calibri"/>
                <w:sz w:val="24"/>
                <w:szCs w:val="24"/>
                <w:lang w:eastAsia="hr-HR"/>
              </w:rPr>
            </w:pPr>
            <w:r w:rsidRPr="005F3233">
              <w:rPr>
                <w:rFonts w:ascii="Calibri" w:eastAsia="Times New Roman" w:hAnsi="Calibri" w:cs="Calibri"/>
                <w:sz w:val="24"/>
                <w:szCs w:val="24"/>
                <w:lang w:eastAsia="hr-HR"/>
              </w:rPr>
              <w:t>0</w:t>
            </w:r>
          </w:p>
        </w:tc>
        <w:tc>
          <w:tcPr>
            <w:tcW w:w="425" w:type="dxa"/>
            <w:gridSpan w:val="2"/>
            <w:tcBorders>
              <w:top w:val="nil"/>
              <w:left w:val="nil"/>
              <w:bottom w:val="single" w:sz="4" w:space="0" w:color="auto"/>
              <w:right w:val="single" w:sz="4" w:space="0" w:color="auto"/>
            </w:tcBorders>
            <w:shd w:val="clear" w:color="000000" w:fill="CCFFFF"/>
            <w:noWrap/>
            <w:vAlign w:val="center"/>
            <w:hideMark/>
          </w:tcPr>
          <w:p w14:paraId="115C0B03" w14:textId="77777777" w:rsidR="005F3233" w:rsidRPr="005F3233" w:rsidRDefault="005F3233" w:rsidP="005F3233">
            <w:pPr>
              <w:spacing w:after="0" w:line="240" w:lineRule="auto"/>
              <w:jc w:val="center"/>
              <w:rPr>
                <w:rFonts w:ascii="Calibri" w:eastAsia="Times New Roman" w:hAnsi="Calibri" w:cs="Calibri"/>
                <w:sz w:val="24"/>
                <w:szCs w:val="24"/>
                <w:lang w:eastAsia="hr-HR"/>
              </w:rPr>
            </w:pPr>
            <w:r w:rsidRPr="005F3233">
              <w:rPr>
                <w:rFonts w:ascii="Calibri" w:eastAsia="Times New Roman" w:hAnsi="Calibri" w:cs="Calibri"/>
                <w:sz w:val="24"/>
                <w:szCs w:val="24"/>
                <w:lang w:eastAsia="hr-HR"/>
              </w:rPr>
              <w:t>0</w:t>
            </w:r>
          </w:p>
        </w:tc>
        <w:tc>
          <w:tcPr>
            <w:tcW w:w="434" w:type="dxa"/>
            <w:gridSpan w:val="2"/>
            <w:tcBorders>
              <w:top w:val="nil"/>
              <w:left w:val="nil"/>
              <w:bottom w:val="single" w:sz="4" w:space="0" w:color="auto"/>
              <w:right w:val="single" w:sz="4" w:space="0" w:color="auto"/>
            </w:tcBorders>
            <w:shd w:val="clear" w:color="000000" w:fill="CCFFFF"/>
            <w:noWrap/>
            <w:vAlign w:val="center"/>
            <w:hideMark/>
          </w:tcPr>
          <w:p w14:paraId="131F3E25" w14:textId="77777777" w:rsidR="005F3233" w:rsidRPr="005F3233" w:rsidRDefault="005F3233" w:rsidP="005F3233">
            <w:pPr>
              <w:spacing w:after="0" w:line="240" w:lineRule="auto"/>
              <w:jc w:val="center"/>
              <w:rPr>
                <w:rFonts w:ascii="Calibri" w:eastAsia="Times New Roman" w:hAnsi="Calibri" w:cs="Calibri"/>
                <w:sz w:val="24"/>
                <w:szCs w:val="24"/>
                <w:lang w:eastAsia="hr-HR"/>
              </w:rPr>
            </w:pPr>
            <w:r w:rsidRPr="005F3233">
              <w:rPr>
                <w:rFonts w:ascii="Calibri" w:eastAsia="Times New Roman" w:hAnsi="Calibri" w:cs="Calibri"/>
                <w:sz w:val="24"/>
                <w:szCs w:val="24"/>
                <w:lang w:eastAsia="hr-HR"/>
              </w:rPr>
              <w:t>0</w:t>
            </w:r>
          </w:p>
        </w:tc>
        <w:tc>
          <w:tcPr>
            <w:tcW w:w="417" w:type="dxa"/>
            <w:tcBorders>
              <w:top w:val="nil"/>
              <w:left w:val="nil"/>
              <w:bottom w:val="single" w:sz="4" w:space="0" w:color="auto"/>
              <w:right w:val="single" w:sz="4" w:space="0" w:color="auto"/>
            </w:tcBorders>
            <w:shd w:val="clear" w:color="000000" w:fill="CCFFFF"/>
            <w:noWrap/>
            <w:vAlign w:val="center"/>
            <w:hideMark/>
          </w:tcPr>
          <w:p w14:paraId="309FD2EE" w14:textId="77777777" w:rsidR="005F3233" w:rsidRPr="005F3233" w:rsidRDefault="005F3233" w:rsidP="005F3233">
            <w:pPr>
              <w:spacing w:after="0" w:line="240" w:lineRule="auto"/>
              <w:jc w:val="center"/>
              <w:rPr>
                <w:rFonts w:ascii="Calibri" w:eastAsia="Times New Roman" w:hAnsi="Calibri" w:cs="Calibri"/>
                <w:sz w:val="24"/>
                <w:szCs w:val="24"/>
                <w:lang w:eastAsia="hr-HR"/>
              </w:rPr>
            </w:pPr>
            <w:r w:rsidRPr="005F3233">
              <w:rPr>
                <w:rFonts w:ascii="Calibri" w:eastAsia="Times New Roman" w:hAnsi="Calibri" w:cs="Calibri"/>
                <w:sz w:val="24"/>
                <w:szCs w:val="24"/>
                <w:lang w:eastAsia="hr-HR"/>
              </w:rPr>
              <w:t>0</w:t>
            </w:r>
          </w:p>
        </w:tc>
        <w:tc>
          <w:tcPr>
            <w:tcW w:w="425" w:type="dxa"/>
            <w:gridSpan w:val="3"/>
            <w:tcBorders>
              <w:top w:val="nil"/>
              <w:left w:val="nil"/>
              <w:bottom w:val="single" w:sz="4" w:space="0" w:color="auto"/>
              <w:right w:val="single" w:sz="8" w:space="0" w:color="auto"/>
            </w:tcBorders>
            <w:shd w:val="clear" w:color="000000" w:fill="33CCCC"/>
            <w:noWrap/>
            <w:vAlign w:val="center"/>
            <w:hideMark/>
          </w:tcPr>
          <w:p w14:paraId="7E6BC4DB" w14:textId="77777777" w:rsidR="005F3233" w:rsidRPr="005F3233" w:rsidRDefault="005F3233" w:rsidP="005F3233">
            <w:pPr>
              <w:spacing w:after="0" w:line="240" w:lineRule="auto"/>
              <w:jc w:val="center"/>
              <w:rPr>
                <w:rFonts w:ascii="Calibri" w:eastAsia="Times New Roman" w:hAnsi="Calibri" w:cs="Calibri"/>
                <w:sz w:val="24"/>
                <w:szCs w:val="24"/>
                <w:lang w:eastAsia="hr-HR"/>
              </w:rPr>
            </w:pPr>
            <w:r w:rsidRPr="005F3233">
              <w:rPr>
                <w:rFonts w:ascii="Calibri" w:eastAsia="Times New Roman" w:hAnsi="Calibri" w:cs="Calibri"/>
                <w:sz w:val="24"/>
                <w:szCs w:val="24"/>
                <w:lang w:eastAsia="hr-HR"/>
              </w:rPr>
              <w:t>0</w:t>
            </w:r>
          </w:p>
        </w:tc>
        <w:tc>
          <w:tcPr>
            <w:tcW w:w="569" w:type="dxa"/>
            <w:gridSpan w:val="2"/>
            <w:tcBorders>
              <w:top w:val="nil"/>
              <w:left w:val="single" w:sz="4" w:space="0" w:color="auto"/>
              <w:bottom w:val="single" w:sz="4" w:space="0" w:color="auto"/>
              <w:right w:val="single" w:sz="8" w:space="0" w:color="auto"/>
            </w:tcBorders>
            <w:shd w:val="clear" w:color="000000" w:fill="33CCCC"/>
            <w:noWrap/>
            <w:vAlign w:val="center"/>
            <w:hideMark/>
          </w:tcPr>
          <w:p w14:paraId="076C01F1" w14:textId="77777777" w:rsidR="005F3233" w:rsidRPr="005F3233" w:rsidRDefault="005F3233" w:rsidP="005F3233">
            <w:pPr>
              <w:spacing w:after="0" w:line="240" w:lineRule="auto"/>
              <w:jc w:val="center"/>
              <w:rPr>
                <w:rFonts w:ascii="Calibri" w:eastAsia="Times New Roman" w:hAnsi="Calibri" w:cs="Calibri"/>
                <w:sz w:val="24"/>
                <w:szCs w:val="24"/>
                <w:lang w:eastAsia="hr-HR"/>
              </w:rPr>
            </w:pPr>
            <w:r w:rsidRPr="005F3233">
              <w:rPr>
                <w:rFonts w:ascii="Calibri" w:eastAsia="Times New Roman" w:hAnsi="Calibri" w:cs="Calibri"/>
                <w:sz w:val="24"/>
                <w:szCs w:val="24"/>
                <w:lang w:eastAsia="hr-HR"/>
              </w:rPr>
              <w:t>0</w:t>
            </w:r>
          </w:p>
        </w:tc>
        <w:tc>
          <w:tcPr>
            <w:tcW w:w="236" w:type="dxa"/>
            <w:gridSpan w:val="3"/>
            <w:vAlign w:val="center"/>
            <w:hideMark/>
          </w:tcPr>
          <w:p w14:paraId="5593421B" w14:textId="77777777" w:rsidR="005F3233" w:rsidRPr="005F3233" w:rsidRDefault="005F3233" w:rsidP="005F3233">
            <w:pPr>
              <w:spacing w:after="0" w:line="240" w:lineRule="auto"/>
              <w:rPr>
                <w:rFonts w:ascii="Times New Roman" w:eastAsia="Times New Roman" w:hAnsi="Times New Roman" w:cs="Times New Roman"/>
                <w:sz w:val="20"/>
                <w:szCs w:val="20"/>
                <w:lang w:eastAsia="hr-HR"/>
              </w:rPr>
            </w:pPr>
          </w:p>
        </w:tc>
      </w:tr>
      <w:tr w:rsidR="005F3233" w:rsidRPr="005F3233" w14:paraId="5685C300" w14:textId="77777777" w:rsidTr="000271A1">
        <w:trPr>
          <w:gridBefore w:val="1"/>
          <w:gridAfter w:val="2"/>
          <w:wBefore w:w="10" w:type="dxa"/>
          <w:wAfter w:w="237" w:type="dxa"/>
          <w:trHeight w:val="315"/>
        </w:trPr>
        <w:tc>
          <w:tcPr>
            <w:tcW w:w="869" w:type="dxa"/>
            <w:tcBorders>
              <w:top w:val="single" w:sz="4" w:space="0" w:color="auto"/>
              <w:left w:val="single" w:sz="8" w:space="0" w:color="auto"/>
              <w:bottom w:val="single" w:sz="4" w:space="0" w:color="auto"/>
              <w:right w:val="single" w:sz="4" w:space="0" w:color="auto"/>
            </w:tcBorders>
            <w:shd w:val="clear" w:color="000000" w:fill="CCFFCC"/>
            <w:vAlign w:val="center"/>
            <w:hideMark/>
          </w:tcPr>
          <w:p w14:paraId="1B4EB612" w14:textId="77777777" w:rsidR="005F3233" w:rsidRPr="005F3233" w:rsidRDefault="005F3233" w:rsidP="005F3233">
            <w:pPr>
              <w:spacing w:after="0" w:line="240" w:lineRule="auto"/>
              <w:rPr>
                <w:rFonts w:ascii="Calibri" w:eastAsia="Times New Roman" w:hAnsi="Calibri" w:cs="Calibri"/>
                <w:lang w:eastAsia="hr-HR"/>
              </w:rPr>
            </w:pPr>
            <w:r w:rsidRPr="005F3233">
              <w:rPr>
                <w:rFonts w:ascii="Calibri" w:eastAsia="Times New Roman" w:hAnsi="Calibri" w:cs="Calibri"/>
                <w:lang w:eastAsia="hr-HR"/>
              </w:rPr>
              <w:t>Jezik</w:t>
            </w:r>
          </w:p>
        </w:tc>
        <w:tc>
          <w:tcPr>
            <w:tcW w:w="457" w:type="dxa"/>
            <w:tcBorders>
              <w:top w:val="nil"/>
              <w:left w:val="nil"/>
              <w:bottom w:val="single" w:sz="4" w:space="0" w:color="auto"/>
              <w:right w:val="single" w:sz="4" w:space="0" w:color="auto"/>
            </w:tcBorders>
            <w:shd w:val="clear" w:color="000000" w:fill="FFFF00"/>
            <w:vAlign w:val="center"/>
            <w:hideMark/>
          </w:tcPr>
          <w:p w14:paraId="35AB9014" w14:textId="77777777" w:rsidR="005F3233" w:rsidRPr="005F3233" w:rsidRDefault="005F3233" w:rsidP="005F3233">
            <w:pPr>
              <w:spacing w:after="0" w:line="240" w:lineRule="auto"/>
              <w:jc w:val="center"/>
              <w:rPr>
                <w:rFonts w:ascii="Calibri" w:eastAsia="Times New Roman" w:hAnsi="Calibri" w:cs="Calibri"/>
                <w:b/>
                <w:bCs/>
                <w:lang w:eastAsia="hr-HR"/>
              </w:rPr>
            </w:pPr>
            <w:r w:rsidRPr="005F3233">
              <w:rPr>
                <w:rFonts w:ascii="Calibri" w:eastAsia="Times New Roman" w:hAnsi="Calibri" w:cs="Calibri"/>
                <w:b/>
                <w:bCs/>
                <w:lang w:eastAsia="hr-HR"/>
              </w:rPr>
              <w:t>7</w:t>
            </w:r>
          </w:p>
        </w:tc>
        <w:tc>
          <w:tcPr>
            <w:tcW w:w="449" w:type="dxa"/>
            <w:tcBorders>
              <w:top w:val="nil"/>
              <w:left w:val="nil"/>
              <w:bottom w:val="single" w:sz="4" w:space="0" w:color="auto"/>
              <w:right w:val="single" w:sz="4" w:space="0" w:color="auto"/>
            </w:tcBorders>
            <w:shd w:val="clear" w:color="000000" w:fill="FFCC99"/>
            <w:noWrap/>
            <w:vAlign w:val="center"/>
            <w:hideMark/>
          </w:tcPr>
          <w:p w14:paraId="11C32A4F" w14:textId="77777777" w:rsidR="005F3233" w:rsidRPr="005F3233" w:rsidRDefault="005F3233" w:rsidP="005F3233">
            <w:pPr>
              <w:spacing w:after="0" w:line="240" w:lineRule="auto"/>
              <w:jc w:val="center"/>
              <w:rPr>
                <w:rFonts w:ascii="Calibri" w:eastAsia="Times New Roman" w:hAnsi="Calibri" w:cs="Calibri"/>
                <w:sz w:val="24"/>
                <w:szCs w:val="24"/>
                <w:lang w:eastAsia="hr-HR"/>
              </w:rPr>
            </w:pPr>
            <w:r w:rsidRPr="005F3233">
              <w:rPr>
                <w:rFonts w:ascii="Calibri" w:eastAsia="Times New Roman" w:hAnsi="Calibri" w:cs="Calibri"/>
                <w:sz w:val="24"/>
                <w:szCs w:val="24"/>
                <w:lang w:eastAsia="hr-HR"/>
              </w:rPr>
              <w:t>0</w:t>
            </w:r>
          </w:p>
        </w:tc>
        <w:tc>
          <w:tcPr>
            <w:tcW w:w="421" w:type="dxa"/>
            <w:tcBorders>
              <w:top w:val="nil"/>
              <w:left w:val="nil"/>
              <w:bottom w:val="single" w:sz="4" w:space="0" w:color="auto"/>
              <w:right w:val="single" w:sz="4" w:space="0" w:color="auto"/>
            </w:tcBorders>
            <w:shd w:val="clear" w:color="000000" w:fill="CCFFFF"/>
            <w:vAlign w:val="center"/>
            <w:hideMark/>
          </w:tcPr>
          <w:p w14:paraId="073AC06A" w14:textId="77777777" w:rsidR="005F3233" w:rsidRPr="005F3233" w:rsidRDefault="005F3233" w:rsidP="005F3233">
            <w:pPr>
              <w:spacing w:after="0" w:line="240" w:lineRule="auto"/>
              <w:jc w:val="center"/>
              <w:rPr>
                <w:rFonts w:ascii="Calibri" w:eastAsia="Times New Roman" w:hAnsi="Calibri" w:cs="Calibri"/>
                <w:sz w:val="24"/>
                <w:szCs w:val="24"/>
                <w:lang w:eastAsia="hr-HR"/>
              </w:rPr>
            </w:pPr>
            <w:r w:rsidRPr="005F3233">
              <w:rPr>
                <w:rFonts w:ascii="Calibri" w:eastAsia="Times New Roman" w:hAnsi="Calibri" w:cs="Calibri"/>
                <w:sz w:val="24"/>
                <w:szCs w:val="24"/>
                <w:lang w:eastAsia="hr-HR"/>
              </w:rPr>
              <w:t>0</w:t>
            </w:r>
          </w:p>
        </w:tc>
        <w:tc>
          <w:tcPr>
            <w:tcW w:w="408" w:type="dxa"/>
            <w:tcBorders>
              <w:top w:val="nil"/>
              <w:left w:val="nil"/>
              <w:bottom w:val="single" w:sz="4" w:space="0" w:color="auto"/>
              <w:right w:val="single" w:sz="4" w:space="0" w:color="auto"/>
            </w:tcBorders>
            <w:shd w:val="clear" w:color="000000" w:fill="CCFFFF"/>
            <w:vAlign w:val="center"/>
            <w:hideMark/>
          </w:tcPr>
          <w:p w14:paraId="73F46052" w14:textId="77777777" w:rsidR="005F3233" w:rsidRPr="005F3233" w:rsidRDefault="005F3233" w:rsidP="005F3233">
            <w:pPr>
              <w:spacing w:after="0" w:line="240" w:lineRule="auto"/>
              <w:jc w:val="center"/>
              <w:rPr>
                <w:rFonts w:ascii="Calibri" w:eastAsia="Times New Roman" w:hAnsi="Calibri" w:cs="Calibri"/>
                <w:sz w:val="24"/>
                <w:szCs w:val="24"/>
                <w:lang w:eastAsia="hr-HR"/>
              </w:rPr>
            </w:pPr>
            <w:r w:rsidRPr="005F3233">
              <w:rPr>
                <w:rFonts w:ascii="Calibri" w:eastAsia="Times New Roman" w:hAnsi="Calibri" w:cs="Calibri"/>
                <w:sz w:val="24"/>
                <w:szCs w:val="24"/>
                <w:lang w:eastAsia="hr-HR"/>
              </w:rPr>
              <w:t>0</w:t>
            </w:r>
          </w:p>
        </w:tc>
        <w:tc>
          <w:tcPr>
            <w:tcW w:w="708" w:type="dxa"/>
            <w:tcBorders>
              <w:top w:val="nil"/>
              <w:left w:val="nil"/>
              <w:bottom w:val="single" w:sz="4" w:space="0" w:color="auto"/>
              <w:right w:val="single" w:sz="4" w:space="0" w:color="auto"/>
            </w:tcBorders>
            <w:shd w:val="clear" w:color="000000" w:fill="FFFF99"/>
            <w:noWrap/>
            <w:vAlign w:val="center"/>
            <w:hideMark/>
          </w:tcPr>
          <w:p w14:paraId="01202460" w14:textId="77777777" w:rsidR="005F3233" w:rsidRPr="005F3233" w:rsidRDefault="005F3233" w:rsidP="005F3233">
            <w:pPr>
              <w:spacing w:after="0" w:line="240" w:lineRule="auto"/>
              <w:jc w:val="center"/>
              <w:rPr>
                <w:rFonts w:ascii="Calibri" w:eastAsia="Times New Roman" w:hAnsi="Calibri" w:cs="Calibri"/>
                <w:sz w:val="24"/>
                <w:szCs w:val="24"/>
                <w:lang w:eastAsia="hr-HR"/>
              </w:rPr>
            </w:pPr>
            <w:r w:rsidRPr="005F3233">
              <w:rPr>
                <w:rFonts w:ascii="Calibri" w:eastAsia="Times New Roman" w:hAnsi="Calibri" w:cs="Calibri"/>
                <w:sz w:val="24"/>
                <w:szCs w:val="24"/>
                <w:lang w:eastAsia="hr-HR"/>
              </w:rPr>
              <w:t>0</w:t>
            </w:r>
          </w:p>
        </w:tc>
        <w:tc>
          <w:tcPr>
            <w:tcW w:w="708" w:type="dxa"/>
            <w:tcBorders>
              <w:top w:val="nil"/>
              <w:left w:val="nil"/>
              <w:bottom w:val="single" w:sz="4" w:space="0" w:color="auto"/>
              <w:right w:val="single" w:sz="4" w:space="0" w:color="auto"/>
            </w:tcBorders>
            <w:shd w:val="clear" w:color="000000" w:fill="FFFF99"/>
            <w:noWrap/>
            <w:vAlign w:val="center"/>
            <w:hideMark/>
          </w:tcPr>
          <w:p w14:paraId="492030A5" w14:textId="77777777" w:rsidR="005F3233" w:rsidRPr="005F3233" w:rsidRDefault="005F3233" w:rsidP="005F3233">
            <w:pPr>
              <w:spacing w:after="0" w:line="240" w:lineRule="auto"/>
              <w:jc w:val="center"/>
              <w:rPr>
                <w:rFonts w:ascii="Calibri" w:eastAsia="Times New Roman" w:hAnsi="Calibri" w:cs="Calibri"/>
                <w:sz w:val="24"/>
                <w:szCs w:val="24"/>
                <w:lang w:eastAsia="hr-HR"/>
              </w:rPr>
            </w:pPr>
            <w:r w:rsidRPr="005F3233">
              <w:rPr>
                <w:rFonts w:ascii="Calibri" w:eastAsia="Times New Roman" w:hAnsi="Calibri" w:cs="Calibri"/>
                <w:sz w:val="24"/>
                <w:szCs w:val="24"/>
                <w:lang w:eastAsia="hr-HR"/>
              </w:rPr>
              <w:t>0</w:t>
            </w:r>
          </w:p>
        </w:tc>
        <w:tc>
          <w:tcPr>
            <w:tcW w:w="708" w:type="dxa"/>
            <w:tcBorders>
              <w:top w:val="nil"/>
              <w:left w:val="nil"/>
              <w:bottom w:val="single" w:sz="4" w:space="0" w:color="auto"/>
              <w:right w:val="single" w:sz="4" w:space="0" w:color="auto"/>
            </w:tcBorders>
            <w:shd w:val="clear" w:color="000000" w:fill="FFFF99"/>
            <w:noWrap/>
            <w:vAlign w:val="center"/>
            <w:hideMark/>
          </w:tcPr>
          <w:p w14:paraId="72F70581" w14:textId="77777777" w:rsidR="005F3233" w:rsidRPr="005F3233" w:rsidRDefault="005F3233" w:rsidP="005F3233">
            <w:pPr>
              <w:spacing w:after="0" w:line="240" w:lineRule="auto"/>
              <w:jc w:val="center"/>
              <w:rPr>
                <w:rFonts w:ascii="Calibri" w:eastAsia="Times New Roman" w:hAnsi="Calibri" w:cs="Calibri"/>
                <w:sz w:val="24"/>
                <w:szCs w:val="24"/>
                <w:lang w:eastAsia="hr-HR"/>
              </w:rPr>
            </w:pPr>
            <w:r w:rsidRPr="005F3233">
              <w:rPr>
                <w:rFonts w:ascii="Calibri" w:eastAsia="Times New Roman" w:hAnsi="Calibri" w:cs="Calibri"/>
                <w:sz w:val="24"/>
                <w:szCs w:val="24"/>
                <w:lang w:eastAsia="hr-HR"/>
              </w:rPr>
              <w:t>0</w:t>
            </w:r>
          </w:p>
        </w:tc>
        <w:tc>
          <w:tcPr>
            <w:tcW w:w="464" w:type="dxa"/>
            <w:tcBorders>
              <w:top w:val="nil"/>
              <w:left w:val="nil"/>
              <w:bottom w:val="single" w:sz="4" w:space="0" w:color="auto"/>
              <w:right w:val="single" w:sz="4" w:space="0" w:color="auto"/>
            </w:tcBorders>
            <w:shd w:val="clear" w:color="000000" w:fill="FFFF99"/>
            <w:noWrap/>
            <w:vAlign w:val="center"/>
            <w:hideMark/>
          </w:tcPr>
          <w:p w14:paraId="099B09D2" w14:textId="77777777" w:rsidR="005F3233" w:rsidRPr="005F3233" w:rsidRDefault="005F3233" w:rsidP="005F3233">
            <w:pPr>
              <w:spacing w:after="0" w:line="240" w:lineRule="auto"/>
              <w:jc w:val="center"/>
              <w:rPr>
                <w:rFonts w:ascii="Calibri" w:eastAsia="Times New Roman" w:hAnsi="Calibri" w:cs="Calibri"/>
                <w:sz w:val="24"/>
                <w:szCs w:val="24"/>
                <w:lang w:eastAsia="hr-HR"/>
              </w:rPr>
            </w:pPr>
            <w:r w:rsidRPr="005F3233">
              <w:rPr>
                <w:rFonts w:ascii="Calibri" w:eastAsia="Times New Roman" w:hAnsi="Calibri" w:cs="Calibri"/>
                <w:sz w:val="24"/>
                <w:szCs w:val="24"/>
                <w:lang w:eastAsia="hr-HR"/>
              </w:rPr>
              <w:t>0</w:t>
            </w:r>
          </w:p>
        </w:tc>
        <w:tc>
          <w:tcPr>
            <w:tcW w:w="700" w:type="dxa"/>
            <w:tcBorders>
              <w:top w:val="nil"/>
              <w:left w:val="nil"/>
              <w:bottom w:val="single" w:sz="4" w:space="0" w:color="auto"/>
              <w:right w:val="single" w:sz="4" w:space="0" w:color="auto"/>
            </w:tcBorders>
            <w:shd w:val="clear" w:color="000000" w:fill="FFFF99"/>
            <w:noWrap/>
            <w:vAlign w:val="center"/>
            <w:hideMark/>
          </w:tcPr>
          <w:p w14:paraId="1BD47CC2" w14:textId="77777777" w:rsidR="005F3233" w:rsidRPr="005F3233" w:rsidRDefault="005F3233" w:rsidP="005F3233">
            <w:pPr>
              <w:spacing w:after="0" w:line="240" w:lineRule="auto"/>
              <w:jc w:val="center"/>
              <w:rPr>
                <w:rFonts w:ascii="Calibri" w:eastAsia="Times New Roman" w:hAnsi="Calibri" w:cs="Calibri"/>
                <w:sz w:val="24"/>
                <w:szCs w:val="24"/>
                <w:lang w:eastAsia="hr-HR"/>
              </w:rPr>
            </w:pPr>
            <w:r w:rsidRPr="005F3233">
              <w:rPr>
                <w:rFonts w:ascii="Calibri" w:eastAsia="Times New Roman" w:hAnsi="Calibri" w:cs="Calibri"/>
                <w:sz w:val="24"/>
                <w:szCs w:val="24"/>
                <w:lang w:eastAsia="hr-HR"/>
              </w:rPr>
              <w:t>0</w:t>
            </w:r>
          </w:p>
        </w:tc>
        <w:tc>
          <w:tcPr>
            <w:tcW w:w="699" w:type="dxa"/>
            <w:tcBorders>
              <w:top w:val="nil"/>
              <w:left w:val="nil"/>
              <w:bottom w:val="single" w:sz="4" w:space="0" w:color="auto"/>
              <w:right w:val="single" w:sz="4" w:space="0" w:color="auto"/>
            </w:tcBorders>
            <w:shd w:val="clear" w:color="000000" w:fill="FFFF99"/>
            <w:noWrap/>
            <w:vAlign w:val="center"/>
            <w:hideMark/>
          </w:tcPr>
          <w:p w14:paraId="41C2CC2F" w14:textId="77777777" w:rsidR="005F3233" w:rsidRPr="005F3233" w:rsidRDefault="005F3233" w:rsidP="005F3233">
            <w:pPr>
              <w:spacing w:after="0" w:line="240" w:lineRule="auto"/>
              <w:jc w:val="center"/>
              <w:rPr>
                <w:rFonts w:ascii="Calibri" w:eastAsia="Times New Roman" w:hAnsi="Calibri" w:cs="Calibri"/>
                <w:sz w:val="24"/>
                <w:szCs w:val="24"/>
                <w:lang w:eastAsia="hr-HR"/>
              </w:rPr>
            </w:pPr>
            <w:r w:rsidRPr="005F3233">
              <w:rPr>
                <w:rFonts w:ascii="Calibri" w:eastAsia="Times New Roman" w:hAnsi="Calibri" w:cs="Calibri"/>
                <w:sz w:val="24"/>
                <w:szCs w:val="24"/>
                <w:lang w:eastAsia="hr-HR"/>
              </w:rPr>
              <w:t>0</w:t>
            </w:r>
          </w:p>
        </w:tc>
        <w:tc>
          <w:tcPr>
            <w:tcW w:w="700" w:type="dxa"/>
            <w:tcBorders>
              <w:top w:val="nil"/>
              <w:left w:val="nil"/>
              <w:bottom w:val="single" w:sz="4" w:space="0" w:color="auto"/>
              <w:right w:val="single" w:sz="4" w:space="0" w:color="auto"/>
            </w:tcBorders>
            <w:shd w:val="clear" w:color="000000" w:fill="FFFF99"/>
            <w:noWrap/>
            <w:vAlign w:val="center"/>
            <w:hideMark/>
          </w:tcPr>
          <w:p w14:paraId="691FF945" w14:textId="77777777" w:rsidR="005F3233" w:rsidRPr="005F3233" w:rsidRDefault="005F3233" w:rsidP="005F3233">
            <w:pPr>
              <w:spacing w:after="0" w:line="240" w:lineRule="auto"/>
              <w:jc w:val="center"/>
              <w:rPr>
                <w:rFonts w:ascii="Calibri" w:eastAsia="Times New Roman" w:hAnsi="Calibri" w:cs="Calibri"/>
                <w:sz w:val="24"/>
                <w:szCs w:val="24"/>
                <w:lang w:eastAsia="hr-HR"/>
              </w:rPr>
            </w:pPr>
            <w:r w:rsidRPr="005F3233">
              <w:rPr>
                <w:rFonts w:ascii="Calibri" w:eastAsia="Times New Roman" w:hAnsi="Calibri" w:cs="Calibri"/>
                <w:sz w:val="24"/>
                <w:szCs w:val="24"/>
                <w:lang w:eastAsia="hr-HR"/>
              </w:rPr>
              <w:t>0</w:t>
            </w:r>
          </w:p>
        </w:tc>
        <w:tc>
          <w:tcPr>
            <w:tcW w:w="464" w:type="dxa"/>
            <w:tcBorders>
              <w:top w:val="nil"/>
              <w:left w:val="nil"/>
              <w:bottom w:val="single" w:sz="4" w:space="0" w:color="auto"/>
              <w:right w:val="single" w:sz="4" w:space="0" w:color="auto"/>
            </w:tcBorders>
            <w:shd w:val="clear" w:color="000000" w:fill="FFFF99"/>
            <w:noWrap/>
            <w:vAlign w:val="center"/>
            <w:hideMark/>
          </w:tcPr>
          <w:p w14:paraId="0AAAAFE0" w14:textId="77777777" w:rsidR="005F3233" w:rsidRPr="005F3233" w:rsidRDefault="005F3233" w:rsidP="005F3233">
            <w:pPr>
              <w:spacing w:after="0" w:line="240" w:lineRule="auto"/>
              <w:jc w:val="center"/>
              <w:rPr>
                <w:rFonts w:ascii="Calibri" w:eastAsia="Times New Roman" w:hAnsi="Calibri" w:cs="Calibri"/>
                <w:sz w:val="24"/>
                <w:szCs w:val="24"/>
                <w:lang w:eastAsia="hr-HR"/>
              </w:rPr>
            </w:pPr>
            <w:r w:rsidRPr="005F3233">
              <w:rPr>
                <w:rFonts w:ascii="Calibri" w:eastAsia="Times New Roman" w:hAnsi="Calibri" w:cs="Calibri"/>
                <w:sz w:val="24"/>
                <w:szCs w:val="24"/>
                <w:lang w:eastAsia="hr-HR"/>
              </w:rPr>
              <w:t>0</w:t>
            </w:r>
          </w:p>
        </w:tc>
        <w:tc>
          <w:tcPr>
            <w:tcW w:w="700" w:type="dxa"/>
            <w:tcBorders>
              <w:top w:val="nil"/>
              <w:left w:val="nil"/>
              <w:bottom w:val="single" w:sz="4" w:space="0" w:color="auto"/>
              <w:right w:val="single" w:sz="4" w:space="0" w:color="auto"/>
            </w:tcBorders>
            <w:shd w:val="clear" w:color="000000" w:fill="FFFF99"/>
            <w:noWrap/>
            <w:vAlign w:val="center"/>
            <w:hideMark/>
          </w:tcPr>
          <w:p w14:paraId="5129D5C1" w14:textId="77777777" w:rsidR="005F3233" w:rsidRPr="005F3233" w:rsidRDefault="005F3233" w:rsidP="005F3233">
            <w:pPr>
              <w:spacing w:after="0" w:line="240" w:lineRule="auto"/>
              <w:jc w:val="center"/>
              <w:rPr>
                <w:rFonts w:ascii="Calibri" w:eastAsia="Times New Roman" w:hAnsi="Calibri" w:cs="Calibri"/>
                <w:sz w:val="24"/>
                <w:szCs w:val="24"/>
                <w:lang w:eastAsia="hr-HR"/>
              </w:rPr>
            </w:pPr>
            <w:r w:rsidRPr="005F3233">
              <w:rPr>
                <w:rFonts w:ascii="Calibri" w:eastAsia="Times New Roman" w:hAnsi="Calibri" w:cs="Calibri"/>
                <w:sz w:val="24"/>
                <w:szCs w:val="24"/>
                <w:lang w:eastAsia="hr-HR"/>
              </w:rPr>
              <w:t>0</w:t>
            </w:r>
          </w:p>
        </w:tc>
        <w:tc>
          <w:tcPr>
            <w:tcW w:w="434" w:type="dxa"/>
            <w:tcBorders>
              <w:top w:val="nil"/>
              <w:left w:val="nil"/>
              <w:bottom w:val="single" w:sz="4" w:space="0" w:color="auto"/>
              <w:right w:val="single" w:sz="4" w:space="0" w:color="auto"/>
            </w:tcBorders>
            <w:shd w:val="clear" w:color="000000" w:fill="FFFF99"/>
            <w:noWrap/>
            <w:vAlign w:val="center"/>
            <w:hideMark/>
          </w:tcPr>
          <w:p w14:paraId="4CFA1B7D" w14:textId="77777777" w:rsidR="005F3233" w:rsidRPr="005F3233" w:rsidRDefault="005F3233" w:rsidP="005F3233">
            <w:pPr>
              <w:spacing w:after="0" w:line="240" w:lineRule="auto"/>
              <w:jc w:val="center"/>
              <w:rPr>
                <w:rFonts w:ascii="Calibri" w:eastAsia="Times New Roman" w:hAnsi="Calibri" w:cs="Calibri"/>
                <w:sz w:val="24"/>
                <w:szCs w:val="24"/>
                <w:lang w:eastAsia="hr-HR"/>
              </w:rPr>
            </w:pPr>
            <w:r w:rsidRPr="005F3233">
              <w:rPr>
                <w:rFonts w:ascii="Calibri" w:eastAsia="Times New Roman" w:hAnsi="Calibri" w:cs="Calibri"/>
                <w:sz w:val="24"/>
                <w:szCs w:val="24"/>
                <w:lang w:eastAsia="hr-HR"/>
              </w:rPr>
              <w:t>0</w:t>
            </w:r>
          </w:p>
        </w:tc>
        <w:tc>
          <w:tcPr>
            <w:tcW w:w="426" w:type="dxa"/>
            <w:tcBorders>
              <w:top w:val="nil"/>
              <w:left w:val="nil"/>
              <w:bottom w:val="single" w:sz="4" w:space="0" w:color="auto"/>
              <w:right w:val="single" w:sz="4" w:space="0" w:color="auto"/>
            </w:tcBorders>
            <w:shd w:val="clear" w:color="000000" w:fill="FF9900"/>
            <w:noWrap/>
            <w:vAlign w:val="center"/>
            <w:hideMark/>
          </w:tcPr>
          <w:p w14:paraId="31FD641A" w14:textId="77777777" w:rsidR="005F3233" w:rsidRPr="005F3233" w:rsidRDefault="005F3233" w:rsidP="005F3233">
            <w:pPr>
              <w:spacing w:after="0" w:line="240" w:lineRule="auto"/>
              <w:jc w:val="center"/>
              <w:rPr>
                <w:rFonts w:ascii="Calibri" w:eastAsia="Times New Roman" w:hAnsi="Calibri" w:cs="Calibri"/>
                <w:sz w:val="24"/>
                <w:szCs w:val="24"/>
                <w:lang w:eastAsia="hr-HR"/>
              </w:rPr>
            </w:pPr>
            <w:r w:rsidRPr="005F3233">
              <w:rPr>
                <w:rFonts w:ascii="Calibri" w:eastAsia="Times New Roman" w:hAnsi="Calibri" w:cs="Calibri"/>
                <w:sz w:val="24"/>
                <w:szCs w:val="24"/>
                <w:lang w:eastAsia="hr-HR"/>
              </w:rPr>
              <w:t>1</w:t>
            </w:r>
          </w:p>
        </w:tc>
        <w:tc>
          <w:tcPr>
            <w:tcW w:w="425" w:type="dxa"/>
            <w:tcBorders>
              <w:top w:val="nil"/>
              <w:left w:val="nil"/>
              <w:bottom w:val="single" w:sz="4" w:space="0" w:color="auto"/>
              <w:right w:val="single" w:sz="4" w:space="0" w:color="auto"/>
            </w:tcBorders>
            <w:shd w:val="clear" w:color="000000" w:fill="FF9900"/>
            <w:noWrap/>
            <w:vAlign w:val="center"/>
            <w:hideMark/>
          </w:tcPr>
          <w:p w14:paraId="60F5FD2E" w14:textId="77777777" w:rsidR="005F3233" w:rsidRPr="005F3233" w:rsidRDefault="005F3233" w:rsidP="005F3233">
            <w:pPr>
              <w:spacing w:after="0" w:line="240" w:lineRule="auto"/>
              <w:jc w:val="center"/>
              <w:rPr>
                <w:rFonts w:ascii="Calibri" w:eastAsia="Times New Roman" w:hAnsi="Calibri" w:cs="Calibri"/>
                <w:sz w:val="24"/>
                <w:szCs w:val="24"/>
                <w:lang w:eastAsia="hr-HR"/>
              </w:rPr>
            </w:pPr>
            <w:r w:rsidRPr="005F3233">
              <w:rPr>
                <w:rFonts w:ascii="Calibri" w:eastAsia="Times New Roman" w:hAnsi="Calibri" w:cs="Calibri"/>
                <w:sz w:val="24"/>
                <w:szCs w:val="24"/>
                <w:lang w:eastAsia="hr-HR"/>
              </w:rPr>
              <w:t>0</w:t>
            </w:r>
          </w:p>
        </w:tc>
        <w:tc>
          <w:tcPr>
            <w:tcW w:w="442" w:type="dxa"/>
            <w:tcBorders>
              <w:top w:val="nil"/>
              <w:left w:val="nil"/>
              <w:bottom w:val="single" w:sz="4" w:space="0" w:color="auto"/>
              <w:right w:val="single" w:sz="4" w:space="0" w:color="auto"/>
            </w:tcBorders>
            <w:shd w:val="clear" w:color="000000" w:fill="FF9900"/>
            <w:noWrap/>
            <w:vAlign w:val="center"/>
            <w:hideMark/>
          </w:tcPr>
          <w:p w14:paraId="57FEAF57" w14:textId="77777777" w:rsidR="005F3233" w:rsidRPr="005F3233" w:rsidRDefault="005F3233" w:rsidP="005F3233">
            <w:pPr>
              <w:spacing w:after="0" w:line="240" w:lineRule="auto"/>
              <w:jc w:val="center"/>
              <w:rPr>
                <w:rFonts w:ascii="Calibri" w:eastAsia="Times New Roman" w:hAnsi="Calibri" w:cs="Calibri"/>
                <w:sz w:val="24"/>
                <w:szCs w:val="24"/>
                <w:lang w:eastAsia="hr-HR"/>
              </w:rPr>
            </w:pPr>
            <w:r w:rsidRPr="005F3233">
              <w:rPr>
                <w:rFonts w:ascii="Calibri" w:eastAsia="Times New Roman" w:hAnsi="Calibri" w:cs="Calibri"/>
                <w:sz w:val="24"/>
                <w:szCs w:val="24"/>
                <w:lang w:eastAsia="hr-HR"/>
              </w:rPr>
              <w:t>0</w:t>
            </w:r>
          </w:p>
        </w:tc>
        <w:tc>
          <w:tcPr>
            <w:tcW w:w="451" w:type="dxa"/>
            <w:tcBorders>
              <w:top w:val="nil"/>
              <w:left w:val="nil"/>
              <w:bottom w:val="single" w:sz="4" w:space="0" w:color="auto"/>
              <w:right w:val="single" w:sz="4" w:space="0" w:color="auto"/>
            </w:tcBorders>
            <w:shd w:val="clear" w:color="auto" w:fill="auto"/>
            <w:vAlign w:val="center"/>
            <w:hideMark/>
          </w:tcPr>
          <w:p w14:paraId="60999071" w14:textId="77777777" w:rsidR="005F3233" w:rsidRPr="005F3233" w:rsidRDefault="005F3233" w:rsidP="005F3233">
            <w:pPr>
              <w:spacing w:after="0" w:line="240" w:lineRule="auto"/>
              <w:jc w:val="center"/>
              <w:rPr>
                <w:rFonts w:ascii="Calibri" w:eastAsia="Times New Roman" w:hAnsi="Calibri" w:cs="Calibri"/>
                <w:b/>
                <w:bCs/>
                <w:sz w:val="24"/>
                <w:szCs w:val="24"/>
                <w:lang w:eastAsia="hr-HR"/>
              </w:rPr>
            </w:pPr>
            <w:r w:rsidRPr="005F3233">
              <w:rPr>
                <w:rFonts w:ascii="Calibri" w:eastAsia="Times New Roman" w:hAnsi="Calibri" w:cs="Calibri"/>
                <w:b/>
                <w:bCs/>
                <w:sz w:val="24"/>
                <w:szCs w:val="24"/>
                <w:lang w:eastAsia="hr-HR"/>
              </w:rPr>
              <w:t>1</w:t>
            </w:r>
          </w:p>
        </w:tc>
        <w:tc>
          <w:tcPr>
            <w:tcW w:w="383" w:type="dxa"/>
            <w:gridSpan w:val="2"/>
            <w:tcBorders>
              <w:top w:val="nil"/>
              <w:left w:val="nil"/>
              <w:bottom w:val="single" w:sz="4" w:space="0" w:color="auto"/>
              <w:right w:val="single" w:sz="4" w:space="0" w:color="auto"/>
            </w:tcBorders>
            <w:shd w:val="clear" w:color="000000" w:fill="FFFF00"/>
            <w:noWrap/>
            <w:vAlign w:val="center"/>
            <w:hideMark/>
          </w:tcPr>
          <w:p w14:paraId="7E473835" w14:textId="77777777" w:rsidR="005F3233" w:rsidRPr="005F3233" w:rsidRDefault="005F3233" w:rsidP="005F3233">
            <w:pPr>
              <w:spacing w:after="0" w:line="240" w:lineRule="auto"/>
              <w:jc w:val="center"/>
              <w:rPr>
                <w:rFonts w:ascii="Calibri" w:eastAsia="Times New Roman" w:hAnsi="Calibri" w:cs="Calibri"/>
                <w:sz w:val="24"/>
                <w:szCs w:val="24"/>
                <w:lang w:eastAsia="hr-HR"/>
              </w:rPr>
            </w:pPr>
            <w:r w:rsidRPr="005F3233">
              <w:rPr>
                <w:rFonts w:ascii="Calibri" w:eastAsia="Times New Roman" w:hAnsi="Calibri" w:cs="Calibri"/>
                <w:sz w:val="24"/>
                <w:szCs w:val="24"/>
                <w:lang w:eastAsia="hr-HR"/>
              </w:rPr>
              <w:t>0</w:t>
            </w:r>
          </w:p>
        </w:tc>
        <w:tc>
          <w:tcPr>
            <w:tcW w:w="392" w:type="dxa"/>
            <w:tcBorders>
              <w:top w:val="nil"/>
              <w:left w:val="nil"/>
              <w:bottom w:val="single" w:sz="4" w:space="0" w:color="auto"/>
              <w:right w:val="single" w:sz="4" w:space="0" w:color="auto"/>
            </w:tcBorders>
            <w:shd w:val="clear" w:color="000000" w:fill="FFFF00"/>
            <w:noWrap/>
            <w:vAlign w:val="center"/>
            <w:hideMark/>
          </w:tcPr>
          <w:p w14:paraId="0D443E72" w14:textId="77777777" w:rsidR="005F3233" w:rsidRPr="005F3233" w:rsidRDefault="005F3233" w:rsidP="005F3233">
            <w:pPr>
              <w:spacing w:after="0" w:line="240" w:lineRule="auto"/>
              <w:jc w:val="center"/>
              <w:rPr>
                <w:rFonts w:ascii="Calibri" w:eastAsia="Times New Roman" w:hAnsi="Calibri" w:cs="Calibri"/>
                <w:sz w:val="24"/>
                <w:szCs w:val="24"/>
                <w:lang w:eastAsia="hr-HR"/>
              </w:rPr>
            </w:pPr>
            <w:r w:rsidRPr="005F3233">
              <w:rPr>
                <w:rFonts w:ascii="Calibri" w:eastAsia="Times New Roman" w:hAnsi="Calibri" w:cs="Calibri"/>
                <w:sz w:val="24"/>
                <w:szCs w:val="24"/>
                <w:lang w:eastAsia="hr-HR"/>
              </w:rPr>
              <w:t>0</w:t>
            </w:r>
          </w:p>
        </w:tc>
        <w:tc>
          <w:tcPr>
            <w:tcW w:w="400" w:type="dxa"/>
            <w:tcBorders>
              <w:top w:val="nil"/>
              <w:left w:val="nil"/>
              <w:bottom w:val="single" w:sz="4" w:space="0" w:color="auto"/>
              <w:right w:val="single" w:sz="4" w:space="0" w:color="auto"/>
            </w:tcBorders>
            <w:shd w:val="clear" w:color="000000" w:fill="FFFF00"/>
            <w:noWrap/>
            <w:vAlign w:val="center"/>
            <w:hideMark/>
          </w:tcPr>
          <w:p w14:paraId="0E1C5231" w14:textId="77777777" w:rsidR="005F3233" w:rsidRPr="005F3233" w:rsidRDefault="005F3233" w:rsidP="005F3233">
            <w:pPr>
              <w:spacing w:after="0" w:line="240" w:lineRule="auto"/>
              <w:jc w:val="center"/>
              <w:rPr>
                <w:rFonts w:ascii="Calibri" w:eastAsia="Times New Roman" w:hAnsi="Calibri" w:cs="Calibri"/>
                <w:sz w:val="24"/>
                <w:szCs w:val="24"/>
                <w:lang w:eastAsia="hr-HR"/>
              </w:rPr>
            </w:pPr>
            <w:r w:rsidRPr="005F3233">
              <w:rPr>
                <w:rFonts w:ascii="Calibri" w:eastAsia="Times New Roman" w:hAnsi="Calibri" w:cs="Calibri"/>
                <w:sz w:val="24"/>
                <w:szCs w:val="24"/>
                <w:lang w:eastAsia="hr-HR"/>
              </w:rPr>
              <w:t>1</w:t>
            </w:r>
          </w:p>
        </w:tc>
        <w:tc>
          <w:tcPr>
            <w:tcW w:w="409" w:type="dxa"/>
            <w:tcBorders>
              <w:top w:val="nil"/>
              <w:left w:val="nil"/>
              <w:bottom w:val="single" w:sz="4" w:space="0" w:color="auto"/>
              <w:right w:val="single" w:sz="4" w:space="0" w:color="auto"/>
            </w:tcBorders>
            <w:shd w:val="clear" w:color="auto" w:fill="auto"/>
            <w:vAlign w:val="center"/>
            <w:hideMark/>
          </w:tcPr>
          <w:p w14:paraId="6F89CCCF" w14:textId="77777777" w:rsidR="005F3233" w:rsidRPr="005F3233" w:rsidRDefault="005F3233" w:rsidP="005F3233">
            <w:pPr>
              <w:spacing w:after="0" w:line="240" w:lineRule="auto"/>
              <w:jc w:val="center"/>
              <w:rPr>
                <w:rFonts w:ascii="Calibri" w:eastAsia="Times New Roman" w:hAnsi="Calibri" w:cs="Calibri"/>
                <w:b/>
                <w:bCs/>
                <w:sz w:val="24"/>
                <w:szCs w:val="24"/>
                <w:lang w:eastAsia="hr-HR"/>
              </w:rPr>
            </w:pPr>
            <w:r w:rsidRPr="005F3233">
              <w:rPr>
                <w:rFonts w:ascii="Calibri" w:eastAsia="Times New Roman" w:hAnsi="Calibri" w:cs="Calibri"/>
                <w:b/>
                <w:bCs/>
                <w:sz w:val="24"/>
                <w:szCs w:val="24"/>
                <w:lang w:eastAsia="hr-HR"/>
              </w:rPr>
              <w:t>1</w:t>
            </w:r>
          </w:p>
        </w:tc>
        <w:tc>
          <w:tcPr>
            <w:tcW w:w="499" w:type="dxa"/>
            <w:gridSpan w:val="2"/>
            <w:tcBorders>
              <w:top w:val="nil"/>
              <w:left w:val="nil"/>
              <w:bottom w:val="single" w:sz="4" w:space="0" w:color="auto"/>
              <w:right w:val="single" w:sz="4" w:space="0" w:color="auto"/>
            </w:tcBorders>
            <w:shd w:val="clear" w:color="000000" w:fill="FFFF00"/>
            <w:vAlign w:val="center"/>
            <w:hideMark/>
          </w:tcPr>
          <w:p w14:paraId="14830515" w14:textId="77777777" w:rsidR="005F3233" w:rsidRPr="005F3233" w:rsidRDefault="005F3233" w:rsidP="005F3233">
            <w:pPr>
              <w:spacing w:after="0" w:line="240" w:lineRule="auto"/>
              <w:jc w:val="center"/>
              <w:rPr>
                <w:rFonts w:ascii="Calibri" w:eastAsia="Times New Roman" w:hAnsi="Calibri" w:cs="Calibri"/>
                <w:b/>
                <w:bCs/>
                <w:sz w:val="24"/>
                <w:szCs w:val="24"/>
                <w:lang w:eastAsia="hr-HR"/>
              </w:rPr>
            </w:pPr>
            <w:r w:rsidRPr="005F3233">
              <w:rPr>
                <w:rFonts w:ascii="Calibri" w:eastAsia="Times New Roman" w:hAnsi="Calibri" w:cs="Calibri"/>
                <w:b/>
                <w:bCs/>
                <w:sz w:val="24"/>
                <w:szCs w:val="24"/>
                <w:lang w:eastAsia="hr-HR"/>
              </w:rPr>
              <w:t>6</w:t>
            </w:r>
          </w:p>
        </w:tc>
        <w:tc>
          <w:tcPr>
            <w:tcW w:w="567" w:type="dxa"/>
            <w:tcBorders>
              <w:top w:val="nil"/>
              <w:left w:val="nil"/>
              <w:bottom w:val="single" w:sz="4" w:space="0" w:color="auto"/>
              <w:right w:val="single" w:sz="4" w:space="0" w:color="auto"/>
            </w:tcBorders>
            <w:shd w:val="clear" w:color="000000" w:fill="FF9900"/>
            <w:vAlign w:val="center"/>
            <w:hideMark/>
          </w:tcPr>
          <w:p w14:paraId="0166AF0E" w14:textId="77777777" w:rsidR="005F3233" w:rsidRPr="005F3233" w:rsidRDefault="005F3233" w:rsidP="005F3233">
            <w:pPr>
              <w:spacing w:after="0" w:line="240" w:lineRule="auto"/>
              <w:jc w:val="center"/>
              <w:rPr>
                <w:rFonts w:ascii="Calibri" w:eastAsia="Times New Roman" w:hAnsi="Calibri" w:cs="Calibri"/>
                <w:sz w:val="24"/>
                <w:szCs w:val="24"/>
                <w:lang w:eastAsia="hr-HR"/>
              </w:rPr>
            </w:pPr>
            <w:r w:rsidRPr="005F3233">
              <w:rPr>
                <w:rFonts w:ascii="Calibri" w:eastAsia="Times New Roman" w:hAnsi="Calibri" w:cs="Calibri"/>
                <w:sz w:val="24"/>
                <w:szCs w:val="24"/>
                <w:lang w:eastAsia="hr-HR"/>
              </w:rPr>
              <w:t>1</w:t>
            </w:r>
          </w:p>
        </w:tc>
        <w:tc>
          <w:tcPr>
            <w:tcW w:w="425" w:type="dxa"/>
            <w:gridSpan w:val="2"/>
            <w:tcBorders>
              <w:top w:val="nil"/>
              <w:left w:val="nil"/>
              <w:bottom w:val="single" w:sz="4" w:space="0" w:color="auto"/>
              <w:right w:val="single" w:sz="4" w:space="0" w:color="auto"/>
            </w:tcBorders>
            <w:shd w:val="clear" w:color="000000" w:fill="CCFFFF"/>
            <w:noWrap/>
            <w:vAlign w:val="center"/>
            <w:hideMark/>
          </w:tcPr>
          <w:p w14:paraId="5B5656F2" w14:textId="77777777" w:rsidR="005F3233" w:rsidRPr="005F3233" w:rsidRDefault="005F3233" w:rsidP="005F3233">
            <w:pPr>
              <w:spacing w:after="0" w:line="240" w:lineRule="auto"/>
              <w:jc w:val="center"/>
              <w:rPr>
                <w:rFonts w:ascii="Calibri" w:eastAsia="Times New Roman" w:hAnsi="Calibri" w:cs="Calibri"/>
                <w:sz w:val="24"/>
                <w:szCs w:val="24"/>
                <w:lang w:eastAsia="hr-HR"/>
              </w:rPr>
            </w:pPr>
            <w:r w:rsidRPr="005F3233">
              <w:rPr>
                <w:rFonts w:ascii="Calibri" w:eastAsia="Times New Roman" w:hAnsi="Calibri" w:cs="Calibri"/>
                <w:sz w:val="24"/>
                <w:szCs w:val="24"/>
                <w:lang w:eastAsia="hr-HR"/>
              </w:rPr>
              <w:t>0</w:t>
            </w:r>
          </w:p>
        </w:tc>
        <w:tc>
          <w:tcPr>
            <w:tcW w:w="434" w:type="dxa"/>
            <w:gridSpan w:val="2"/>
            <w:tcBorders>
              <w:top w:val="nil"/>
              <w:left w:val="nil"/>
              <w:bottom w:val="single" w:sz="4" w:space="0" w:color="auto"/>
              <w:right w:val="single" w:sz="4" w:space="0" w:color="auto"/>
            </w:tcBorders>
            <w:shd w:val="clear" w:color="000000" w:fill="CCFFFF"/>
            <w:noWrap/>
            <w:vAlign w:val="center"/>
            <w:hideMark/>
          </w:tcPr>
          <w:p w14:paraId="1A5257DC" w14:textId="77777777" w:rsidR="005F3233" w:rsidRPr="005F3233" w:rsidRDefault="005F3233" w:rsidP="005F3233">
            <w:pPr>
              <w:spacing w:after="0" w:line="240" w:lineRule="auto"/>
              <w:jc w:val="center"/>
              <w:rPr>
                <w:rFonts w:ascii="Calibri" w:eastAsia="Times New Roman" w:hAnsi="Calibri" w:cs="Calibri"/>
                <w:sz w:val="24"/>
                <w:szCs w:val="24"/>
                <w:lang w:eastAsia="hr-HR"/>
              </w:rPr>
            </w:pPr>
            <w:r w:rsidRPr="005F3233">
              <w:rPr>
                <w:rFonts w:ascii="Calibri" w:eastAsia="Times New Roman" w:hAnsi="Calibri" w:cs="Calibri"/>
                <w:sz w:val="24"/>
                <w:szCs w:val="24"/>
                <w:lang w:eastAsia="hr-HR"/>
              </w:rPr>
              <w:t>0</w:t>
            </w:r>
          </w:p>
        </w:tc>
        <w:tc>
          <w:tcPr>
            <w:tcW w:w="417" w:type="dxa"/>
            <w:tcBorders>
              <w:top w:val="nil"/>
              <w:left w:val="nil"/>
              <w:bottom w:val="single" w:sz="4" w:space="0" w:color="auto"/>
              <w:right w:val="single" w:sz="4" w:space="0" w:color="auto"/>
            </w:tcBorders>
            <w:shd w:val="clear" w:color="000000" w:fill="CCFFFF"/>
            <w:noWrap/>
            <w:vAlign w:val="center"/>
            <w:hideMark/>
          </w:tcPr>
          <w:p w14:paraId="64015EF9" w14:textId="77777777" w:rsidR="005F3233" w:rsidRPr="005F3233" w:rsidRDefault="005F3233" w:rsidP="005F3233">
            <w:pPr>
              <w:spacing w:after="0" w:line="240" w:lineRule="auto"/>
              <w:jc w:val="center"/>
              <w:rPr>
                <w:rFonts w:ascii="Calibri" w:eastAsia="Times New Roman" w:hAnsi="Calibri" w:cs="Calibri"/>
                <w:sz w:val="24"/>
                <w:szCs w:val="24"/>
                <w:lang w:eastAsia="hr-HR"/>
              </w:rPr>
            </w:pPr>
            <w:r w:rsidRPr="005F3233">
              <w:rPr>
                <w:rFonts w:ascii="Calibri" w:eastAsia="Times New Roman" w:hAnsi="Calibri" w:cs="Calibri"/>
                <w:sz w:val="24"/>
                <w:szCs w:val="24"/>
                <w:lang w:eastAsia="hr-HR"/>
              </w:rPr>
              <w:t>0</w:t>
            </w:r>
          </w:p>
        </w:tc>
        <w:tc>
          <w:tcPr>
            <w:tcW w:w="425" w:type="dxa"/>
            <w:gridSpan w:val="3"/>
            <w:tcBorders>
              <w:top w:val="nil"/>
              <w:left w:val="nil"/>
              <w:bottom w:val="single" w:sz="4" w:space="0" w:color="auto"/>
              <w:right w:val="single" w:sz="8" w:space="0" w:color="auto"/>
            </w:tcBorders>
            <w:shd w:val="clear" w:color="000000" w:fill="33CCCC"/>
            <w:noWrap/>
            <w:vAlign w:val="center"/>
            <w:hideMark/>
          </w:tcPr>
          <w:p w14:paraId="23A55E4F" w14:textId="77777777" w:rsidR="005F3233" w:rsidRPr="005F3233" w:rsidRDefault="005F3233" w:rsidP="005F3233">
            <w:pPr>
              <w:spacing w:after="0" w:line="240" w:lineRule="auto"/>
              <w:jc w:val="center"/>
              <w:rPr>
                <w:rFonts w:ascii="Calibri" w:eastAsia="Times New Roman" w:hAnsi="Calibri" w:cs="Calibri"/>
                <w:sz w:val="24"/>
                <w:szCs w:val="24"/>
                <w:lang w:eastAsia="hr-HR"/>
              </w:rPr>
            </w:pPr>
            <w:r w:rsidRPr="005F3233">
              <w:rPr>
                <w:rFonts w:ascii="Calibri" w:eastAsia="Times New Roman" w:hAnsi="Calibri" w:cs="Calibri"/>
                <w:sz w:val="24"/>
                <w:szCs w:val="24"/>
                <w:lang w:eastAsia="hr-HR"/>
              </w:rPr>
              <w:t>0</w:t>
            </w:r>
          </w:p>
        </w:tc>
        <w:tc>
          <w:tcPr>
            <w:tcW w:w="569" w:type="dxa"/>
            <w:gridSpan w:val="2"/>
            <w:tcBorders>
              <w:top w:val="nil"/>
              <w:left w:val="single" w:sz="4" w:space="0" w:color="auto"/>
              <w:bottom w:val="single" w:sz="4" w:space="0" w:color="auto"/>
              <w:right w:val="single" w:sz="8" w:space="0" w:color="auto"/>
            </w:tcBorders>
            <w:shd w:val="clear" w:color="000000" w:fill="33CCCC"/>
            <w:noWrap/>
            <w:vAlign w:val="center"/>
            <w:hideMark/>
          </w:tcPr>
          <w:p w14:paraId="1A1FCD1A" w14:textId="77777777" w:rsidR="005F3233" w:rsidRPr="005F3233" w:rsidRDefault="005F3233" w:rsidP="005F3233">
            <w:pPr>
              <w:spacing w:after="0" w:line="240" w:lineRule="auto"/>
              <w:jc w:val="center"/>
              <w:rPr>
                <w:rFonts w:ascii="Calibri" w:eastAsia="Times New Roman" w:hAnsi="Calibri" w:cs="Calibri"/>
                <w:sz w:val="24"/>
                <w:szCs w:val="24"/>
                <w:lang w:eastAsia="hr-HR"/>
              </w:rPr>
            </w:pPr>
            <w:r w:rsidRPr="005F3233">
              <w:rPr>
                <w:rFonts w:ascii="Calibri" w:eastAsia="Times New Roman" w:hAnsi="Calibri" w:cs="Calibri"/>
                <w:sz w:val="24"/>
                <w:szCs w:val="24"/>
                <w:lang w:eastAsia="hr-HR"/>
              </w:rPr>
              <w:t>1</w:t>
            </w:r>
          </w:p>
        </w:tc>
        <w:tc>
          <w:tcPr>
            <w:tcW w:w="236" w:type="dxa"/>
            <w:gridSpan w:val="3"/>
            <w:vAlign w:val="center"/>
            <w:hideMark/>
          </w:tcPr>
          <w:p w14:paraId="510C0E19" w14:textId="77777777" w:rsidR="005F3233" w:rsidRPr="005F3233" w:rsidRDefault="005F3233" w:rsidP="005F3233">
            <w:pPr>
              <w:spacing w:after="0" w:line="240" w:lineRule="auto"/>
              <w:rPr>
                <w:rFonts w:ascii="Times New Roman" w:eastAsia="Times New Roman" w:hAnsi="Times New Roman" w:cs="Times New Roman"/>
                <w:sz w:val="20"/>
                <w:szCs w:val="20"/>
                <w:lang w:eastAsia="hr-HR"/>
              </w:rPr>
            </w:pPr>
          </w:p>
        </w:tc>
      </w:tr>
      <w:tr w:rsidR="005F3233" w:rsidRPr="005F3233" w14:paraId="10CF3C69" w14:textId="77777777" w:rsidTr="000271A1">
        <w:trPr>
          <w:gridBefore w:val="1"/>
          <w:gridAfter w:val="2"/>
          <w:wBefore w:w="10" w:type="dxa"/>
          <w:wAfter w:w="237" w:type="dxa"/>
          <w:trHeight w:val="315"/>
        </w:trPr>
        <w:tc>
          <w:tcPr>
            <w:tcW w:w="869" w:type="dxa"/>
            <w:tcBorders>
              <w:top w:val="single" w:sz="4" w:space="0" w:color="auto"/>
              <w:left w:val="single" w:sz="8" w:space="0" w:color="auto"/>
              <w:bottom w:val="single" w:sz="4" w:space="0" w:color="auto"/>
              <w:right w:val="single" w:sz="4" w:space="0" w:color="auto"/>
            </w:tcBorders>
            <w:shd w:val="clear" w:color="000000" w:fill="CCFFCC"/>
            <w:vAlign w:val="center"/>
            <w:hideMark/>
          </w:tcPr>
          <w:p w14:paraId="6496C2BF" w14:textId="77777777" w:rsidR="005F3233" w:rsidRPr="005F3233" w:rsidRDefault="005F3233" w:rsidP="005F3233">
            <w:pPr>
              <w:spacing w:after="0" w:line="240" w:lineRule="auto"/>
              <w:rPr>
                <w:rFonts w:ascii="Calibri" w:eastAsia="Times New Roman" w:hAnsi="Calibri" w:cs="Calibri"/>
                <w:lang w:eastAsia="hr-HR"/>
              </w:rPr>
            </w:pPr>
            <w:r w:rsidRPr="005F3233">
              <w:rPr>
                <w:rFonts w:ascii="Calibri" w:eastAsia="Times New Roman" w:hAnsi="Calibri" w:cs="Calibri"/>
                <w:lang w:eastAsia="hr-HR"/>
              </w:rPr>
              <w:t>Vjera</w:t>
            </w:r>
          </w:p>
        </w:tc>
        <w:tc>
          <w:tcPr>
            <w:tcW w:w="457" w:type="dxa"/>
            <w:tcBorders>
              <w:top w:val="nil"/>
              <w:left w:val="nil"/>
              <w:bottom w:val="single" w:sz="4" w:space="0" w:color="auto"/>
              <w:right w:val="single" w:sz="4" w:space="0" w:color="auto"/>
            </w:tcBorders>
            <w:shd w:val="clear" w:color="000000" w:fill="FFFF00"/>
            <w:vAlign w:val="center"/>
            <w:hideMark/>
          </w:tcPr>
          <w:p w14:paraId="06B9FADF" w14:textId="77777777" w:rsidR="005F3233" w:rsidRPr="005F3233" w:rsidRDefault="005F3233" w:rsidP="005F3233">
            <w:pPr>
              <w:spacing w:after="0" w:line="240" w:lineRule="auto"/>
              <w:jc w:val="center"/>
              <w:rPr>
                <w:rFonts w:ascii="Calibri" w:eastAsia="Times New Roman" w:hAnsi="Calibri" w:cs="Calibri"/>
                <w:b/>
                <w:bCs/>
                <w:lang w:eastAsia="hr-HR"/>
              </w:rPr>
            </w:pPr>
            <w:r w:rsidRPr="005F3233">
              <w:rPr>
                <w:rFonts w:ascii="Calibri" w:eastAsia="Times New Roman" w:hAnsi="Calibri" w:cs="Calibri"/>
                <w:b/>
                <w:bCs/>
                <w:lang w:eastAsia="hr-HR"/>
              </w:rPr>
              <w:t>0</w:t>
            </w:r>
          </w:p>
        </w:tc>
        <w:tc>
          <w:tcPr>
            <w:tcW w:w="449" w:type="dxa"/>
            <w:tcBorders>
              <w:top w:val="nil"/>
              <w:left w:val="nil"/>
              <w:bottom w:val="single" w:sz="4" w:space="0" w:color="auto"/>
              <w:right w:val="single" w:sz="4" w:space="0" w:color="auto"/>
            </w:tcBorders>
            <w:shd w:val="clear" w:color="000000" w:fill="FFCC99"/>
            <w:noWrap/>
            <w:vAlign w:val="center"/>
            <w:hideMark/>
          </w:tcPr>
          <w:p w14:paraId="27D9FC8D" w14:textId="77777777" w:rsidR="005F3233" w:rsidRPr="005F3233" w:rsidRDefault="005F3233" w:rsidP="005F3233">
            <w:pPr>
              <w:spacing w:after="0" w:line="240" w:lineRule="auto"/>
              <w:jc w:val="center"/>
              <w:rPr>
                <w:rFonts w:ascii="Calibri" w:eastAsia="Times New Roman" w:hAnsi="Calibri" w:cs="Calibri"/>
                <w:sz w:val="24"/>
                <w:szCs w:val="24"/>
                <w:lang w:eastAsia="hr-HR"/>
              </w:rPr>
            </w:pPr>
            <w:r w:rsidRPr="005F3233">
              <w:rPr>
                <w:rFonts w:ascii="Calibri" w:eastAsia="Times New Roman" w:hAnsi="Calibri" w:cs="Calibri"/>
                <w:sz w:val="24"/>
                <w:szCs w:val="24"/>
                <w:lang w:eastAsia="hr-HR"/>
              </w:rPr>
              <w:t>0</w:t>
            </w:r>
          </w:p>
        </w:tc>
        <w:tc>
          <w:tcPr>
            <w:tcW w:w="421" w:type="dxa"/>
            <w:tcBorders>
              <w:top w:val="nil"/>
              <w:left w:val="nil"/>
              <w:bottom w:val="single" w:sz="4" w:space="0" w:color="auto"/>
              <w:right w:val="single" w:sz="4" w:space="0" w:color="auto"/>
            </w:tcBorders>
            <w:shd w:val="clear" w:color="000000" w:fill="CCFFFF"/>
            <w:vAlign w:val="center"/>
            <w:hideMark/>
          </w:tcPr>
          <w:p w14:paraId="70BA8842" w14:textId="77777777" w:rsidR="005F3233" w:rsidRPr="005F3233" w:rsidRDefault="005F3233" w:rsidP="005F3233">
            <w:pPr>
              <w:spacing w:after="0" w:line="240" w:lineRule="auto"/>
              <w:jc w:val="center"/>
              <w:rPr>
                <w:rFonts w:ascii="Calibri" w:eastAsia="Times New Roman" w:hAnsi="Calibri" w:cs="Calibri"/>
                <w:sz w:val="24"/>
                <w:szCs w:val="24"/>
                <w:lang w:eastAsia="hr-HR"/>
              </w:rPr>
            </w:pPr>
            <w:r w:rsidRPr="005F3233">
              <w:rPr>
                <w:rFonts w:ascii="Calibri" w:eastAsia="Times New Roman" w:hAnsi="Calibri" w:cs="Calibri"/>
                <w:sz w:val="24"/>
                <w:szCs w:val="24"/>
                <w:lang w:eastAsia="hr-HR"/>
              </w:rPr>
              <w:t>0</w:t>
            </w:r>
          </w:p>
        </w:tc>
        <w:tc>
          <w:tcPr>
            <w:tcW w:w="408" w:type="dxa"/>
            <w:tcBorders>
              <w:top w:val="nil"/>
              <w:left w:val="nil"/>
              <w:bottom w:val="single" w:sz="4" w:space="0" w:color="auto"/>
              <w:right w:val="single" w:sz="4" w:space="0" w:color="auto"/>
            </w:tcBorders>
            <w:shd w:val="clear" w:color="000000" w:fill="CCFFFF"/>
            <w:vAlign w:val="center"/>
            <w:hideMark/>
          </w:tcPr>
          <w:p w14:paraId="3F0A406A" w14:textId="77777777" w:rsidR="005F3233" w:rsidRPr="005F3233" w:rsidRDefault="005F3233" w:rsidP="005F3233">
            <w:pPr>
              <w:spacing w:after="0" w:line="240" w:lineRule="auto"/>
              <w:jc w:val="center"/>
              <w:rPr>
                <w:rFonts w:ascii="Calibri" w:eastAsia="Times New Roman" w:hAnsi="Calibri" w:cs="Calibri"/>
                <w:sz w:val="24"/>
                <w:szCs w:val="24"/>
                <w:lang w:eastAsia="hr-HR"/>
              </w:rPr>
            </w:pPr>
            <w:r w:rsidRPr="005F3233">
              <w:rPr>
                <w:rFonts w:ascii="Calibri" w:eastAsia="Times New Roman" w:hAnsi="Calibri" w:cs="Calibri"/>
                <w:sz w:val="24"/>
                <w:szCs w:val="24"/>
                <w:lang w:eastAsia="hr-HR"/>
              </w:rPr>
              <w:t>0</w:t>
            </w:r>
          </w:p>
        </w:tc>
        <w:tc>
          <w:tcPr>
            <w:tcW w:w="708" w:type="dxa"/>
            <w:tcBorders>
              <w:top w:val="nil"/>
              <w:left w:val="nil"/>
              <w:bottom w:val="single" w:sz="4" w:space="0" w:color="auto"/>
              <w:right w:val="single" w:sz="4" w:space="0" w:color="auto"/>
            </w:tcBorders>
            <w:shd w:val="clear" w:color="000000" w:fill="FFFF99"/>
            <w:noWrap/>
            <w:vAlign w:val="center"/>
            <w:hideMark/>
          </w:tcPr>
          <w:p w14:paraId="075606D7" w14:textId="77777777" w:rsidR="005F3233" w:rsidRPr="005F3233" w:rsidRDefault="005F3233" w:rsidP="005F3233">
            <w:pPr>
              <w:spacing w:after="0" w:line="240" w:lineRule="auto"/>
              <w:jc w:val="center"/>
              <w:rPr>
                <w:rFonts w:ascii="Calibri" w:eastAsia="Times New Roman" w:hAnsi="Calibri" w:cs="Calibri"/>
                <w:sz w:val="24"/>
                <w:szCs w:val="24"/>
                <w:lang w:eastAsia="hr-HR"/>
              </w:rPr>
            </w:pPr>
            <w:r w:rsidRPr="005F3233">
              <w:rPr>
                <w:rFonts w:ascii="Calibri" w:eastAsia="Times New Roman" w:hAnsi="Calibri" w:cs="Calibri"/>
                <w:sz w:val="24"/>
                <w:szCs w:val="24"/>
                <w:lang w:eastAsia="hr-HR"/>
              </w:rPr>
              <w:t>0</w:t>
            </w:r>
          </w:p>
        </w:tc>
        <w:tc>
          <w:tcPr>
            <w:tcW w:w="708" w:type="dxa"/>
            <w:tcBorders>
              <w:top w:val="nil"/>
              <w:left w:val="nil"/>
              <w:bottom w:val="single" w:sz="4" w:space="0" w:color="auto"/>
              <w:right w:val="single" w:sz="4" w:space="0" w:color="auto"/>
            </w:tcBorders>
            <w:shd w:val="clear" w:color="000000" w:fill="FFFF99"/>
            <w:noWrap/>
            <w:vAlign w:val="center"/>
            <w:hideMark/>
          </w:tcPr>
          <w:p w14:paraId="0A5121E7" w14:textId="77777777" w:rsidR="005F3233" w:rsidRPr="005F3233" w:rsidRDefault="005F3233" w:rsidP="005F3233">
            <w:pPr>
              <w:spacing w:after="0" w:line="240" w:lineRule="auto"/>
              <w:jc w:val="center"/>
              <w:rPr>
                <w:rFonts w:ascii="Calibri" w:eastAsia="Times New Roman" w:hAnsi="Calibri" w:cs="Calibri"/>
                <w:sz w:val="24"/>
                <w:szCs w:val="24"/>
                <w:lang w:eastAsia="hr-HR"/>
              </w:rPr>
            </w:pPr>
            <w:r w:rsidRPr="005F3233">
              <w:rPr>
                <w:rFonts w:ascii="Calibri" w:eastAsia="Times New Roman" w:hAnsi="Calibri" w:cs="Calibri"/>
                <w:sz w:val="24"/>
                <w:szCs w:val="24"/>
                <w:lang w:eastAsia="hr-HR"/>
              </w:rPr>
              <w:t>0</w:t>
            </w:r>
          </w:p>
        </w:tc>
        <w:tc>
          <w:tcPr>
            <w:tcW w:w="708" w:type="dxa"/>
            <w:tcBorders>
              <w:top w:val="nil"/>
              <w:left w:val="nil"/>
              <w:bottom w:val="single" w:sz="4" w:space="0" w:color="auto"/>
              <w:right w:val="single" w:sz="4" w:space="0" w:color="auto"/>
            </w:tcBorders>
            <w:shd w:val="clear" w:color="000000" w:fill="FFFF99"/>
            <w:noWrap/>
            <w:vAlign w:val="center"/>
            <w:hideMark/>
          </w:tcPr>
          <w:p w14:paraId="658E4C72" w14:textId="77777777" w:rsidR="005F3233" w:rsidRPr="005F3233" w:rsidRDefault="005F3233" w:rsidP="005F3233">
            <w:pPr>
              <w:spacing w:after="0" w:line="240" w:lineRule="auto"/>
              <w:jc w:val="center"/>
              <w:rPr>
                <w:rFonts w:ascii="Calibri" w:eastAsia="Times New Roman" w:hAnsi="Calibri" w:cs="Calibri"/>
                <w:sz w:val="24"/>
                <w:szCs w:val="24"/>
                <w:lang w:eastAsia="hr-HR"/>
              </w:rPr>
            </w:pPr>
            <w:r w:rsidRPr="005F3233">
              <w:rPr>
                <w:rFonts w:ascii="Calibri" w:eastAsia="Times New Roman" w:hAnsi="Calibri" w:cs="Calibri"/>
                <w:sz w:val="24"/>
                <w:szCs w:val="24"/>
                <w:lang w:eastAsia="hr-HR"/>
              </w:rPr>
              <w:t>0</w:t>
            </w:r>
          </w:p>
        </w:tc>
        <w:tc>
          <w:tcPr>
            <w:tcW w:w="464" w:type="dxa"/>
            <w:tcBorders>
              <w:top w:val="nil"/>
              <w:left w:val="nil"/>
              <w:bottom w:val="single" w:sz="4" w:space="0" w:color="auto"/>
              <w:right w:val="single" w:sz="4" w:space="0" w:color="auto"/>
            </w:tcBorders>
            <w:shd w:val="clear" w:color="000000" w:fill="FFFF99"/>
            <w:noWrap/>
            <w:vAlign w:val="center"/>
            <w:hideMark/>
          </w:tcPr>
          <w:p w14:paraId="1F178DBA" w14:textId="77777777" w:rsidR="005F3233" w:rsidRPr="005F3233" w:rsidRDefault="005F3233" w:rsidP="005F3233">
            <w:pPr>
              <w:spacing w:after="0" w:line="240" w:lineRule="auto"/>
              <w:jc w:val="center"/>
              <w:rPr>
                <w:rFonts w:ascii="Calibri" w:eastAsia="Times New Roman" w:hAnsi="Calibri" w:cs="Calibri"/>
                <w:sz w:val="24"/>
                <w:szCs w:val="24"/>
                <w:lang w:eastAsia="hr-HR"/>
              </w:rPr>
            </w:pPr>
            <w:r w:rsidRPr="005F3233">
              <w:rPr>
                <w:rFonts w:ascii="Calibri" w:eastAsia="Times New Roman" w:hAnsi="Calibri" w:cs="Calibri"/>
                <w:sz w:val="24"/>
                <w:szCs w:val="24"/>
                <w:lang w:eastAsia="hr-HR"/>
              </w:rPr>
              <w:t>0</w:t>
            </w:r>
          </w:p>
        </w:tc>
        <w:tc>
          <w:tcPr>
            <w:tcW w:w="700" w:type="dxa"/>
            <w:tcBorders>
              <w:top w:val="nil"/>
              <w:left w:val="nil"/>
              <w:bottom w:val="single" w:sz="4" w:space="0" w:color="auto"/>
              <w:right w:val="single" w:sz="4" w:space="0" w:color="auto"/>
            </w:tcBorders>
            <w:shd w:val="clear" w:color="000000" w:fill="FFFF99"/>
            <w:noWrap/>
            <w:vAlign w:val="center"/>
            <w:hideMark/>
          </w:tcPr>
          <w:p w14:paraId="65A4EA04" w14:textId="77777777" w:rsidR="005F3233" w:rsidRPr="005F3233" w:rsidRDefault="005F3233" w:rsidP="005F3233">
            <w:pPr>
              <w:spacing w:after="0" w:line="240" w:lineRule="auto"/>
              <w:jc w:val="center"/>
              <w:rPr>
                <w:rFonts w:ascii="Calibri" w:eastAsia="Times New Roman" w:hAnsi="Calibri" w:cs="Calibri"/>
                <w:sz w:val="24"/>
                <w:szCs w:val="24"/>
                <w:lang w:eastAsia="hr-HR"/>
              </w:rPr>
            </w:pPr>
            <w:r w:rsidRPr="005F3233">
              <w:rPr>
                <w:rFonts w:ascii="Calibri" w:eastAsia="Times New Roman" w:hAnsi="Calibri" w:cs="Calibri"/>
                <w:sz w:val="24"/>
                <w:szCs w:val="24"/>
                <w:lang w:eastAsia="hr-HR"/>
              </w:rPr>
              <w:t>0</w:t>
            </w:r>
          </w:p>
        </w:tc>
        <w:tc>
          <w:tcPr>
            <w:tcW w:w="699" w:type="dxa"/>
            <w:tcBorders>
              <w:top w:val="nil"/>
              <w:left w:val="nil"/>
              <w:bottom w:val="single" w:sz="4" w:space="0" w:color="auto"/>
              <w:right w:val="single" w:sz="4" w:space="0" w:color="auto"/>
            </w:tcBorders>
            <w:shd w:val="clear" w:color="000000" w:fill="FFFF99"/>
            <w:noWrap/>
            <w:vAlign w:val="center"/>
            <w:hideMark/>
          </w:tcPr>
          <w:p w14:paraId="02B2864E" w14:textId="77777777" w:rsidR="005F3233" w:rsidRPr="005F3233" w:rsidRDefault="005F3233" w:rsidP="005F3233">
            <w:pPr>
              <w:spacing w:after="0" w:line="240" w:lineRule="auto"/>
              <w:jc w:val="center"/>
              <w:rPr>
                <w:rFonts w:ascii="Calibri" w:eastAsia="Times New Roman" w:hAnsi="Calibri" w:cs="Calibri"/>
                <w:sz w:val="24"/>
                <w:szCs w:val="24"/>
                <w:lang w:eastAsia="hr-HR"/>
              </w:rPr>
            </w:pPr>
            <w:r w:rsidRPr="005F3233">
              <w:rPr>
                <w:rFonts w:ascii="Calibri" w:eastAsia="Times New Roman" w:hAnsi="Calibri" w:cs="Calibri"/>
                <w:sz w:val="24"/>
                <w:szCs w:val="24"/>
                <w:lang w:eastAsia="hr-HR"/>
              </w:rPr>
              <w:t>0</w:t>
            </w:r>
          </w:p>
        </w:tc>
        <w:tc>
          <w:tcPr>
            <w:tcW w:w="700" w:type="dxa"/>
            <w:tcBorders>
              <w:top w:val="nil"/>
              <w:left w:val="nil"/>
              <w:bottom w:val="single" w:sz="4" w:space="0" w:color="auto"/>
              <w:right w:val="single" w:sz="4" w:space="0" w:color="auto"/>
            </w:tcBorders>
            <w:shd w:val="clear" w:color="000000" w:fill="FFFF99"/>
            <w:noWrap/>
            <w:vAlign w:val="center"/>
            <w:hideMark/>
          </w:tcPr>
          <w:p w14:paraId="15D71290" w14:textId="77777777" w:rsidR="005F3233" w:rsidRPr="005F3233" w:rsidRDefault="005F3233" w:rsidP="005F3233">
            <w:pPr>
              <w:spacing w:after="0" w:line="240" w:lineRule="auto"/>
              <w:jc w:val="center"/>
              <w:rPr>
                <w:rFonts w:ascii="Calibri" w:eastAsia="Times New Roman" w:hAnsi="Calibri" w:cs="Calibri"/>
                <w:sz w:val="24"/>
                <w:szCs w:val="24"/>
                <w:lang w:eastAsia="hr-HR"/>
              </w:rPr>
            </w:pPr>
            <w:r w:rsidRPr="005F3233">
              <w:rPr>
                <w:rFonts w:ascii="Calibri" w:eastAsia="Times New Roman" w:hAnsi="Calibri" w:cs="Calibri"/>
                <w:sz w:val="24"/>
                <w:szCs w:val="24"/>
                <w:lang w:eastAsia="hr-HR"/>
              </w:rPr>
              <w:t>0</w:t>
            </w:r>
          </w:p>
        </w:tc>
        <w:tc>
          <w:tcPr>
            <w:tcW w:w="464" w:type="dxa"/>
            <w:tcBorders>
              <w:top w:val="nil"/>
              <w:left w:val="nil"/>
              <w:bottom w:val="single" w:sz="4" w:space="0" w:color="auto"/>
              <w:right w:val="single" w:sz="4" w:space="0" w:color="auto"/>
            </w:tcBorders>
            <w:shd w:val="clear" w:color="000000" w:fill="FFFF99"/>
            <w:noWrap/>
            <w:vAlign w:val="center"/>
            <w:hideMark/>
          </w:tcPr>
          <w:p w14:paraId="76EFE8F1" w14:textId="77777777" w:rsidR="005F3233" w:rsidRPr="005F3233" w:rsidRDefault="005F3233" w:rsidP="005F3233">
            <w:pPr>
              <w:spacing w:after="0" w:line="240" w:lineRule="auto"/>
              <w:jc w:val="center"/>
              <w:rPr>
                <w:rFonts w:ascii="Calibri" w:eastAsia="Times New Roman" w:hAnsi="Calibri" w:cs="Calibri"/>
                <w:sz w:val="24"/>
                <w:szCs w:val="24"/>
                <w:lang w:eastAsia="hr-HR"/>
              </w:rPr>
            </w:pPr>
            <w:r w:rsidRPr="005F3233">
              <w:rPr>
                <w:rFonts w:ascii="Calibri" w:eastAsia="Times New Roman" w:hAnsi="Calibri" w:cs="Calibri"/>
                <w:sz w:val="24"/>
                <w:szCs w:val="24"/>
                <w:lang w:eastAsia="hr-HR"/>
              </w:rPr>
              <w:t>0</w:t>
            </w:r>
          </w:p>
        </w:tc>
        <w:tc>
          <w:tcPr>
            <w:tcW w:w="700" w:type="dxa"/>
            <w:tcBorders>
              <w:top w:val="nil"/>
              <w:left w:val="nil"/>
              <w:bottom w:val="single" w:sz="4" w:space="0" w:color="auto"/>
              <w:right w:val="single" w:sz="4" w:space="0" w:color="auto"/>
            </w:tcBorders>
            <w:shd w:val="clear" w:color="000000" w:fill="FFFF99"/>
            <w:noWrap/>
            <w:vAlign w:val="center"/>
            <w:hideMark/>
          </w:tcPr>
          <w:p w14:paraId="6CC85318" w14:textId="77777777" w:rsidR="005F3233" w:rsidRPr="005F3233" w:rsidRDefault="005F3233" w:rsidP="005F3233">
            <w:pPr>
              <w:spacing w:after="0" w:line="240" w:lineRule="auto"/>
              <w:jc w:val="center"/>
              <w:rPr>
                <w:rFonts w:ascii="Calibri" w:eastAsia="Times New Roman" w:hAnsi="Calibri" w:cs="Calibri"/>
                <w:sz w:val="24"/>
                <w:szCs w:val="24"/>
                <w:lang w:eastAsia="hr-HR"/>
              </w:rPr>
            </w:pPr>
            <w:r w:rsidRPr="005F3233">
              <w:rPr>
                <w:rFonts w:ascii="Calibri" w:eastAsia="Times New Roman" w:hAnsi="Calibri" w:cs="Calibri"/>
                <w:sz w:val="24"/>
                <w:szCs w:val="24"/>
                <w:lang w:eastAsia="hr-HR"/>
              </w:rPr>
              <w:t>0</w:t>
            </w:r>
          </w:p>
        </w:tc>
        <w:tc>
          <w:tcPr>
            <w:tcW w:w="434" w:type="dxa"/>
            <w:tcBorders>
              <w:top w:val="nil"/>
              <w:left w:val="nil"/>
              <w:bottom w:val="single" w:sz="4" w:space="0" w:color="auto"/>
              <w:right w:val="single" w:sz="4" w:space="0" w:color="auto"/>
            </w:tcBorders>
            <w:shd w:val="clear" w:color="000000" w:fill="FFFF99"/>
            <w:noWrap/>
            <w:vAlign w:val="center"/>
            <w:hideMark/>
          </w:tcPr>
          <w:p w14:paraId="5C28AF23" w14:textId="77777777" w:rsidR="005F3233" w:rsidRPr="005F3233" w:rsidRDefault="005F3233" w:rsidP="005F3233">
            <w:pPr>
              <w:spacing w:after="0" w:line="240" w:lineRule="auto"/>
              <w:jc w:val="center"/>
              <w:rPr>
                <w:rFonts w:ascii="Calibri" w:eastAsia="Times New Roman" w:hAnsi="Calibri" w:cs="Calibri"/>
                <w:sz w:val="24"/>
                <w:szCs w:val="24"/>
                <w:lang w:eastAsia="hr-HR"/>
              </w:rPr>
            </w:pPr>
            <w:r w:rsidRPr="005F3233">
              <w:rPr>
                <w:rFonts w:ascii="Calibri" w:eastAsia="Times New Roman" w:hAnsi="Calibri" w:cs="Calibri"/>
                <w:sz w:val="24"/>
                <w:szCs w:val="24"/>
                <w:lang w:eastAsia="hr-HR"/>
              </w:rPr>
              <w:t>0</w:t>
            </w:r>
          </w:p>
        </w:tc>
        <w:tc>
          <w:tcPr>
            <w:tcW w:w="426" w:type="dxa"/>
            <w:tcBorders>
              <w:top w:val="nil"/>
              <w:left w:val="nil"/>
              <w:bottom w:val="single" w:sz="4" w:space="0" w:color="auto"/>
              <w:right w:val="single" w:sz="4" w:space="0" w:color="auto"/>
            </w:tcBorders>
            <w:shd w:val="clear" w:color="000000" w:fill="FF9900"/>
            <w:noWrap/>
            <w:vAlign w:val="center"/>
            <w:hideMark/>
          </w:tcPr>
          <w:p w14:paraId="1FD3AF74" w14:textId="77777777" w:rsidR="005F3233" w:rsidRPr="005F3233" w:rsidRDefault="005F3233" w:rsidP="005F3233">
            <w:pPr>
              <w:spacing w:after="0" w:line="240" w:lineRule="auto"/>
              <w:jc w:val="center"/>
              <w:rPr>
                <w:rFonts w:ascii="Calibri" w:eastAsia="Times New Roman" w:hAnsi="Calibri" w:cs="Calibri"/>
                <w:sz w:val="24"/>
                <w:szCs w:val="24"/>
                <w:lang w:eastAsia="hr-HR"/>
              </w:rPr>
            </w:pPr>
            <w:r w:rsidRPr="005F3233">
              <w:rPr>
                <w:rFonts w:ascii="Calibri" w:eastAsia="Times New Roman" w:hAnsi="Calibri" w:cs="Calibri"/>
                <w:sz w:val="24"/>
                <w:szCs w:val="24"/>
                <w:lang w:eastAsia="hr-HR"/>
              </w:rPr>
              <w:t>0</w:t>
            </w:r>
          </w:p>
        </w:tc>
        <w:tc>
          <w:tcPr>
            <w:tcW w:w="425" w:type="dxa"/>
            <w:tcBorders>
              <w:top w:val="nil"/>
              <w:left w:val="nil"/>
              <w:bottom w:val="single" w:sz="4" w:space="0" w:color="auto"/>
              <w:right w:val="single" w:sz="4" w:space="0" w:color="auto"/>
            </w:tcBorders>
            <w:shd w:val="clear" w:color="000000" w:fill="FF9900"/>
            <w:noWrap/>
            <w:vAlign w:val="center"/>
            <w:hideMark/>
          </w:tcPr>
          <w:p w14:paraId="16FEB189" w14:textId="77777777" w:rsidR="005F3233" w:rsidRPr="005F3233" w:rsidRDefault="005F3233" w:rsidP="005F3233">
            <w:pPr>
              <w:spacing w:after="0" w:line="240" w:lineRule="auto"/>
              <w:jc w:val="center"/>
              <w:rPr>
                <w:rFonts w:ascii="Calibri" w:eastAsia="Times New Roman" w:hAnsi="Calibri" w:cs="Calibri"/>
                <w:sz w:val="24"/>
                <w:szCs w:val="24"/>
                <w:lang w:eastAsia="hr-HR"/>
              </w:rPr>
            </w:pPr>
            <w:r w:rsidRPr="005F3233">
              <w:rPr>
                <w:rFonts w:ascii="Calibri" w:eastAsia="Times New Roman" w:hAnsi="Calibri" w:cs="Calibri"/>
                <w:sz w:val="24"/>
                <w:szCs w:val="24"/>
                <w:lang w:eastAsia="hr-HR"/>
              </w:rPr>
              <w:t>0</w:t>
            </w:r>
          </w:p>
        </w:tc>
        <w:tc>
          <w:tcPr>
            <w:tcW w:w="442" w:type="dxa"/>
            <w:tcBorders>
              <w:top w:val="nil"/>
              <w:left w:val="nil"/>
              <w:bottom w:val="single" w:sz="4" w:space="0" w:color="auto"/>
              <w:right w:val="single" w:sz="4" w:space="0" w:color="auto"/>
            </w:tcBorders>
            <w:shd w:val="clear" w:color="000000" w:fill="FF9900"/>
            <w:noWrap/>
            <w:vAlign w:val="center"/>
            <w:hideMark/>
          </w:tcPr>
          <w:p w14:paraId="43ED97AE" w14:textId="77777777" w:rsidR="005F3233" w:rsidRPr="005F3233" w:rsidRDefault="005F3233" w:rsidP="005F3233">
            <w:pPr>
              <w:spacing w:after="0" w:line="240" w:lineRule="auto"/>
              <w:jc w:val="center"/>
              <w:rPr>
                <w:rFonts w:ascii="Calibri" w:eastAsia="Times New Roman" w:hAnsi="Calibri" w:cs="Calibri"/>
                <w:sz w:val="24"/>
                <w:szCs w:val="24"/>
                <w:lang w:eastAsia="hr-HR"/>
              </w:rPr>
            </w:pPr>
            <w:r w:rsidRPr="005F3233">
              <w:rPr>
                <w:rFonts w:ascii="Calibri" w:eastAsia="Times New Roman" w:hAnsi="Calibri" w:cs="Calibri"/>
                <w:sz w:val="24"/>
                <w:szCs w:val="24"/>
                <w:lang w:eastAsia="hr-HR"/>
              </w:rPr>
              <w:t>0</w:t>
            </w:r>
          </w:p>
        </w:tc>
        <w:tc>
          <w:tcPr>
            <w:tcW w:w="451" w:type="dxa"/>
            <w:tcBorders>
              <w:top w:val="nil"/>
              <w:left w:val="nil"/>
              <w:bottom w:val="single" w:sz="4" w:space="0" w:color="auto"/>
              <w:right w:val="single" w:sz="4" w:space="0" w:color="auto"/>
            </w:tcBorders>
            <w:shd w:val="clear" w:color="auto" w:fill="auto"/>
            <w:vAlign w:val="center"/>
            <w:hideMark/>
          </w:tcPr>
          <w:p w14:paraId="0CE0CFEC" w14:textId="77777777" w:rsidR="005F3233" w:rsidRPr="005F3233" w:rsidRDefault="005F3233" w:rsidP="005F3233">
            <w:pPr>
              <w:spacing w:after="0" w:line="240" w:lineRule="auto"/>
              <w:jc w:val="center"/>
              <w:rPr>
                <w:rFonts w:ascii="Calibri" w:eastAsia="Times New Roman" w:hAnsi="Calibri" w:cs="Calibri"/>
                <w:b/>
                <w:bCs/>
                <w:sz w:val="24"/>
                <w:szCs w:val="24"/>
                <w:lang w:eastAsia="hr-HR"/>
              </w:rPr>
            </w:pPr>
            <w:r w:rsidRPr="005F3233">
              <w:rPr>
                <w:rFonts w:ascii="Calibri" w:eastAsia="Times New Roman" w:hAnsi="Calibri" w:cs="Calibri"/>
                <w:b/>
                <w:bCs/>
                <w:sz w:val="24"/>
                <w:szCs w:val="24"/>
                <w:lang w:eastAsia="hr-HR"/>
              </w:rPr>
              <w:t>0</w:t>
            </w:r>
          </w:p>
        </w:tc>
        <w:tc>
          <w:tcPr>
            <w:tcW w:w="383" w:type="dxa"/>
            <w:gridSpan w:val="2"/>
            <w:tcBorders>
              <w:top w:val="nil"/>
              <w:left w:val="nil"/>
              <w:bottom w:val="single" w:sz="4" w:space="0" w:color="auto"/>
              <w:right w:val="single" w:sz="4" w:space="0" w:color="auto"/>
            </w:tcBorders>
            <w:shd w:val="clear" w:color="000000" w:fill="FFFF00"/>
            <w:noWrap/>
            <w:vAlign w:val="center"/>
            <w:hideMark/>
          </w:tcPr>
          <w:p w14:paraId="27953ED1" w14:textId="77777777" w:rsidR="005F3233" w:rsidRPr="005F3233" w:rsidRDefault="005F3233" w:rsidP="005F3233">
            <w:pPr>
              <w:spacing w:after="0" w:line="240" w:lineRule="auto"/>
              <w:jc w:val="center"/>
              <w:rPr>
                <w:rFonts w:ascii="Calibri" w:eastAsia="Times New Roman" w:hAnsi="Calibri" w:cs="Calibri"/>
                <w:sz w:val="24"/>
                <w:szCs w:val="24"/>
                <w:lang w:eastAsia="hr-HR"/>
              </w:rPr>
            </w:pPr>
            <w:r w:rsidRPr="005F3233">
              <w:rPr>
                <w:rFonts w:ascii="Calibri" w:eastAsia="Times New Roman" w:hAnsi="Calibri" w:cs="Calibri"/>
                <w:sz w:val="24"/>
                <w:szCs w:val="24"/>
                <w:lang w:eastAsia="hr-HR"/>
              </w:rPr>
              <w:t>0</w:t>
            </w:r>
          </w:p>
        </w:tc>
        <w:tc>
          <w:tcPr>
            <w:tcW w:w="392" w:type="dxa"/>
            <w:tcBorders>
              <w:top w:val="nil"/>
              <w:left w:val="nil"/>
              <w:bottom w:val="single" w:sz="4" w:space="0" w:color="auto"/>
              <w:right w:val="single" w:sz="4" w:space="0" w:color="auto"/>
            </w:tcBorders>
            <w:shd w:val="clear" w:color="000000" w:fill="FFFF00"/>
            <w:noWrap/>
            <w:vAlign w:val="center"/>
            <w:hideMark/>
          </w:tcPr>
          <w:p w14:paraId="2397A69A" w14:textId="77777777" w:rsidR="005F3233" w:rsidRPr="005F3233" w:rsidRDefault="005F3233" w:rsidP="005F3233">
            <w:pPr>
              <w:spacing w:after="0" w:line="240" w:lineRule="auto"/>
              <w:jc w:val="center"/>
              <w:rPr>
                <w:rFonts w:ascii="Calibri" w:eastAsia="Times New Roman" w:hAnsi="Calibri" w:cs="Calibri"/>
                <w:sz w:val="24"/>
                <w:szCs w:val="24"/>
                <w:lang w:eastAsia="hr-HR"/>
              </w:rPr>
            </w:pPr>
            <w:r w:rsidRPr="005F3233">
              <w:rPr>
                <w:rFonts w:ascii="Calibri" w:eastAsia="Times New Roman" w:hAnsi="Calibri" w:cs="Calibri"/>
                <w:sz w:val="24"/>
                <w:szCs w:val="24"/>
                <w:lang w:eastAsia="hr-HR"/>
              </w:rPr>
              <w:t>0</w:t>
            </w:r>
          </w:p>
        </w:tc>
        <w:tc>
          <w:tcPr>
            <w:tcW w:w="400" w:type="dxa"/>
            <w:tcBorders>
              <w:top w:val="nil"/>
              <w:left w:val="nil"/>
              <w:bottom w:val="single" w:sz="4" w:space="0" w:color="auto"/>
              <w:right w:val="single" w:sz="4" w:space="0" w:color="auto"/>
            </w:tcBorders>
            <w:shd w:val="clear" w:color="000000" w:fill="FFFF00"/>
            <w:noWrap/>
            <w:vAlign w:val="center"/>
            <w:hideMark/>
          </w:tcPr>
          <w:p w14:paraId="0BDF3126" w14:textId="77777777" w:rsidR="005F3233" w:rsidRPr="005F3233" w:rsidRDefault="005F3233" w:rsidP="005F3233">
            <w:pPr>
              <w:spacing w:after="0" w:line="240" w:lineRule="auto"/>
              <w:jc w:val="center"/>
              <w:rPr>
                <w:rFonts w:ascii="Calibri" w:eastAsia="Times New Roman" w:hAnsi="Calibri" w:cs="Calibri"/>
                <w:sz w:val="24"/>
                <w:szCs w:val="24"/>
                <w:lang w:eastAsia="hr-HR"/>
              </w:rPr>
            </w:pPr>
            <w:r w:rsidRPr="005F3233">
              <w:rPr>
                <w:rFonts w:ascii="Calibri" w:eastAsia="Times New Roman" w:hAnsi="Calibri" w:cs="Calibri"/>
                <w:sz w:val="24"/>
                <w:szCs w:val="24"/>
                <w:lang w:eastAsia="hr-HR"/>
              </w:rPr>
              <w:t>0</w:t>
            </w:r>
          </w:p>
        </w:tc>
        <w:tc>
          <w:tcPr>
            <w:tcW w:w="409" w:type="dxa"/>
            <w:tcBorders>
              <w:top w:val="nil"/>
              <w:left w:val="nil"/>
              <w:bottom w:val="single" w:sz="4" w:space="0" w:color="auto"/>
              <w:right w:val="single" w:sz="4" w:space="0" w:color="auto"/>
            </w:tcBorders>
            <w:shd w:val="clear" w:color="auto" w:fill="auto"/>
            <w:vAlign w:val="center"/>
            <w:hideMark/>
          </w:tcPr>
          <w:p w14:paraId="0C6D320F" w14:textId="77777777" w:rsidR="005F3233" w:rsidRPr="005F3233" w:rsidRDefault="005F3233" w:rsidP="005F3233">
            <w:pPr>
              <w:spacing w:after="0" w:line="240" w:lineRule="auto"/>
              <w:jc w:val="center"/>
              <w:rPr>
                <w:rFonts w:ascii="Calibri" w:eastAsia="Times New Roman" w:hAnsi="Calibri" w:cs="Calibri"/>
                <w:b/>
                <w:bCs/>
                <w:sz w:val="24"/>
                <w:szCs w:val="24"/>
                <w:lang w:eastAsia="hr-HR"/>
              </w:rPr>
            </w:pPr>
            <w:r w:rsidRPr="005F3233">
              <w:rPr>
                <w:rFonts w:ascii="Calibri" w:eastAsia="Times New Roman" w:hAnsi="Calibri" w:cs="Calibri"/>
                <w:b/>
                <w:bCs/>
                <w:sz w:val="24"/>
                <w:szCs w:val="24"/>
                <w:lang w:eastAsia="hr-HR"/>
              </w:rPr>
              <w:t>0</w:t>
            </w:r>
          </w:p>
        </w:tc>
        <w:tc>
          <w:tcPr>
            <w:tcW w:w="499" w:type="dxa"/>
            <w:gridSpan w:val="2"/>
            <w:tcBorders>
              <w:top w:val="nil"/>
              <w:left w:val="nil"/>
              <w:bottom w:val="single" w:sz="4" w:space="0" w:color="auto"/>
              <w:right w:val="single" w:sz="4" w:space="0" w:color="auto"/>
            </w:tcBorders>
            <w:shd w:val="clear" w:color="000000" w:fill="FFFF00"/>
            <w:vAlign w:val="center"/>
            <w:hideMark/>
          </w:tcPr>
          <w:p w14:paraId="54262637" w14:textId="77777777" w:rsidR="005F3233" w:rsidRPr="005F3233" w:rsidRDefault="005F3233" w:rsidP="005F3233">
            <w:pPr>
              <w:spacing w:after="0" w:line="240" w:lineRule="auto"/>
              <w:jc w:val="center"/>
              <w:rPr>
                <w:rFonts w:ascii="Calibri" w:eastAsia="Times New Roman" w:hAnsi="Calibri" w:cs="Calibri"/>
                <w:b/>
                <w:bCs/>
                <w:sz w:val="24"/>
                <w:szCs w:val="24"/>
                <w:lang w:eastAsia="hr-HR"/>
              </w:rPr>
            </w:pPr>
            <w:r w:rsidRPr="005F3233">
              <w:rPr>
                <w:rFonts w:ascii="Calibri" w:eastAsia="Times New Roman" w:hAnsi="Calibri" w:cs="Calibri"/>
                <w:b/>
                <w:bCs/>
                <w:sz w:val="24"/>
                <w:szCs w:val="24"/>
                <w:lang w:eastAsia="hr-HR"/>
              </w:rPr>
              <w:t>0</w:t>
            </w:r>
          </w:p>
        </w:tc>
        <w:tc>
          <w:tcPr>
            <w:tcW w:w="567" w:type="dxa"/>
            <w:tcBorders>
              <w:top w:val="nil"/>
              <w:left w:val="nil"/>
              <w:bottom w:val="single" w:sz="4" w:space="0" w:color="auto"/>
              <w:right w:val="single" w:sz="4" w:space="0" w:color="auto"/>
            </w:tcBorders>
            <w:shd w:val="clear" w:color="000000" w:fill="FF9900"/>
            <w:noWrap/>
            <w:vAlign w:val="center"/>
            <w:hideMark/>
          </w:tcPr>
          <w:p w14:paraId="5694F1BB" w14:textId="77777777" w:rsidR="005F3233" w:rsidRPr="005F3233" w:rsidRDefault="005F3233" w:rsidP="005F3233">
            <w:pPr>
              <w:spacing w:after="0" w:line="240" w:lineRule="auto"/>
              <w:jc w:val="center"/>
              <w:rPr>
                <w:rFonts w:ascii="Calibri" w:eastAsia="Times New Roman" w:hAnsi="Calibri" w:cs="Calibri"/>
                <w:sz w:val="24"/>
                <w:szCs w:val="24"/>
                <w:lang w:eastAsia="hr-HR"/>
              </w:rPr>
            </w:pPr>
            <w:r w:rsidRPr="005F3233">
              <w:rPr>
                <w:rFonts w:ascii="Calibri" w:eastAsia="Times New Roman" w:hAnsi="Calibri" w:cs="Calibri"/>
                <w:sz w:val="24"/>
                <w:szCs w:val="24"/>
                <w:lang w:eastAsia="hr-HR"/>
              </w:rPr>
              <w:t>0</w:t>
            </w:r>
          </w:p>
        </w:tc>
        <w:tc>
          <w:tcPr>
            <w:tcW w:w="425" w:type="dxa"/>
            <w:gridSpan w:val="2"/>
            <w:tcBorders>
              <w:top w:val="nil"/>
              <w:left w:val="nil"/>
              <w:bottom w:val="single" w:sz="4" w:space="0" w:color="auto"/>
              <w:right w:val="single" w:sz="4" w:space="0" w:color="auto"/>
            </w:tcBorders>
            <w:shd w:val="clear" w:color="000000" w:fill="CCFFFF"/>
            <w:noWrap/>
            <w:vAlign w:val="center"/>
            <w:hideMark/>
          </w:tcPr>
          <w:p w14:paraId="2B0A8666" w14:textId="77777777" w:rsidR="005F3233" w:rsidRPr="005F3233" w:rsidRDefault="005F3233" w:rsidP="005F3233">
            <w:pPr>
              <w:spacing w:after="0" w:line="240" w:lineRule="auto"/>
              <w:jc w:val="center"/>
              <w:rPr>
                <w:rFonts w:ascii="Calibri" w:eastAsia="Times New Roman" w:hAnsi="Calibri" w:cs="Calibri"/>
                <w:sz w:val="24"/>
                <w:szCs w:val="24"/>
                <w:lang w:eastAsia="hr-HR"/>
              </w:rPr>
            </w:pPr>
            <w:r w:rsidRPr="005F3233">
              <w:rPr>
                <w:rFonts w:ascii="Calibri" w:eastAsia="Times New Roman" w:hAnsi="Calibri" w:cs="Calibri"/>
                <w:sz w:val="24"/>
                <w:szCs w:val="24"/>
                <w:lang w:eastAsia="hr-HR"/>
              </w:rPr>
              <w:t>0</w:t>
            </w:r>
          </w:p>
        </w:tc>
        <w:tc>
          <w:tcPr>
            <w:tcW w:w="434" w:type="dxa"/>
            <w:gridSpan w:val="2"/>
            <w:tcBorders>
              <w:top w:val="nil"/>
              <w:left w:val="nil"/>
              <w:bottom w:val="single" w:sz="4" w:space="0" w:color="auto"/>
              <w:right w:val="single" w:sz="4" w:space="0" w:color="auto"/>
            </w:tcBorders>
            <w:shd w:val="clear" w:color="000000" w:fill="CCFFFF"/>
            <w:noWrap/>
            <w:vAlign w:val="center"/>
            <w:hideMark/>
          </w:tcPr>
          <w:p w14:paraId="4DD2CD5F" w14:textId="77777777" w:rsidR="005F3233" w:rsidRPr="005F3233" w:rsidRDefault="005F3233" w:rsidP="005F3233">
            <w:pPr>
              <w:spacing w:after="0" w:line="240" w:lineRule="auto"/>
              <w:jc w:val="center"/>
              <w:rPr>
                <w:rFonts w:ascii="Calibri" w:eastAsia="Times New Roman" w:hAnsi="Calibri" w:cs="Calibri"/>
                <w:sz w:val="24"/>
                <w:szCs w:val="24"/>
                <w:lang w:eastAsia="hr-HR"/>
              </w:rPr>
            </w:pPr>
            <w:r w:rsidRPr="005F3233">
              <w:rPr>
                <w:rFonts w:ascii="Calibri" w:eastAsia="Times New Roman" w:hAnsi="Calibri" w:cs="Calibri"/>
                <w:sz w:val="24"/>
                <w:szCs w:val="24"/>
                <w:lang w:eastAsia="hr-HR"/>
              </w:rPr>
              <w:t>0</w:t>
            </w:r>
          </w:p>
        </w:tc>
        <w:tc>
          <w:tcPr>
            <w:tcW w:w="417" w:type="dxa"/>
            <w:tcBorders>
              <w:top w:val="nil"/>
              <w:left w:val="nil"/>
              <w:bottom w:val="single" w:sz="4" w:space="0" w:color="auto"/>
              <w:right w:val="single" w:sz="4" w:space="0" w:color="auto"/>
            </w:tcBorders>
            <w:shd w:val="clear" w:color="000000" w:fill="CCFFFF"/>
            <w:noWrap/>
            <w:vAlign w:val="center"/>
            <w:hideMark/>
          </w:tcPr>
          <w:p w14:paraId="2B1D98F1" w14:textId="77777777" w:rsidR="005F3233" w:rsidRPr="005F3233" w:rsidRDefault="005F3233" w:rsidP="005F3233">
            <w:pPr>
              <w:spacing w:after="0" w:line="240" w:lineRule="auto"/>
              <w:jc w:val="center"/>
              <w:rPr>
                <w:rFonts w:ascii="Calibri" w:eastAsia="Times New Roman" w:hAnsi="Calibri" w:cs="Calibri"/>
                <w:sz w:val="24"/>
                <w:szCs w:val="24"/>
                <w:lang w:eastAsia="hr-HR"/>
              </w:rPr>
            </w:pPr>
            <w:r w:rsidRPr="005F3233">
              <w:rPr>
                <w:rFonts w:ascii="Calibri" w:eastAsia="Times New Roman" w:hAnsi="Calibri" w:cs="Calibri"/>
                <w:sz w:val="24"/>
                <w:szCs w:val="24"/>
                <w:lang w:eastAsia="hr-HR"/>
              </w:rPr>
              <w:t>0</w:t>
            </w:r>
          </w:p>
        </w:tc>
        <w:tc>
          <w:tcPr>
            <w:tcW w:w="425" w:type="dxa"/>
            <w:gridSpan w:val="3"/>
            <w:tcBorders>
              <w:top w:val="nil"/>
              <w:left w:val="nil"/>
              <w:bottom w:val="single" w:sz="4" w:space="0" w:color="auto"/>
              <w:right w:val="single" w:sz="8" w:space="0" w:color="auto"/>
            </w:tcBorders>
            <w:shd w:val="clear" w:color="000000" w:fill="33CCCC"/>
            <w:noWrap/>
            <w:vAlign w:val="center"/>
            <w:hideMark/>
          </w:tcPr>
          <w:p w14:paraId="298130D1" w14:textId="77777777" w:rsidR="005F3233" w:rsidRPr="005F3233" w:rsidRDefault="005F3233" w:rsidP="005F3233">
            <w:pPr>
              <w:spacing w:after="0" w:line="240" w:lineRule="auto"/>
              <w:jc w:val="center"/>
              <w:rPr>
                <w:rFonts w:ascii="Calibri" w:eastAsia="Times New Roman" w:hAnsi="Calibri" w:cs="Calibri"/>
                <w:sz w:val="24"/>
                <w:szCs w:val="24"/>
                <w:lang w:eastAsia="hr-HR"/>
              </w:rPr>
            </w:pPr>
            <w:r w:rsidRPr="005F3233">
              <w:rPr>
                <w:rFonts w:ascii="Calibri" w:eastAsia="Times New Roman" w:hAnsi="Calibri" w:cs="Calibri"/>
                <w:sz w:val="24"/>
                <w:szCs w:val="24"/>
                <w:lang w:eastAsia="hr-HR"/>
              </w:rPr>
              <w:t>0</w:t>
            </w:r>
          </w:p>
        </w:tc>
        <w:tc>
          <w:tcPr>
            <w:tcW w:w="569" w:type="dxa"/>
            <w:gridSpan w:val="2"/>
            <w:tcBorders>
              <w:top w:val="nil"/>
              <w:left w:val="single" w:sz="4" w:space="0" w:color="auto"/>
              <w:bottom w:val="single" w:sz="4" w:space="0" w:color="auto"/>
              <w:right w:val="single" w:sz="8" w:space="0" w:color="auto"/>
            </w:tcBorders>
            <w:shd w:val="clear" w:color="000000" w:fill="33CCCC"/>
            <w:noWrap/>
            <w:vAlign w:val="center"/>
            <w:hideMark/>
          </w:tcPr>
          <w:p w14:paraId="5C3A7E8B" w14:textId="77777777" w:rsidR="005F3233" w:rsidRPr="005F3233" w:rsidRDefault="005F3233" w:rsidP="005F3233">
            <w:pPr>
              <w:spacing w:after="0" w:line="240" w:lineRule="auto"/>
              <w:jc w:val="center"/>
              <w:rPr>
                <w:rFonts w:ascii="Calibri" w:eastAsia="Times New Roman" w:hAnsi="Calibri" w:cs="Calibri"/>
                <w:sz w:val="24"/>
                <w:szCs w:val="24"/>
                <w:lang w:eastAsia="hr-HR"/>
              </w:rPr>
            </w:pPr>
            <w:r w:rsidRPr="005F3233">
              <w:rPr>
                <w:rFonts w:ascii="Calibri" w:eastAsia="Times New Roman" w:hAnsi="Calibri" w:cs="Calibri"/>
                <w:sz w:val="24"/>
                <w:szCs w:val="24"/>
                <w:lang w:eastAsia="hr-HR"/>
              </w:rPr>
              <w:t>0</w:t>
            </w:r>
          </w:p>
        </w:tc>
        <w:tc>
          <w:tcPr>
            <w:tcW w:w="236" w:type="dxa"/>
            <w:gridSpan w:val="3"/>
            <w:vAlign w:val="center"/>
            <w:hideMark/>
          </w:tcPr>
          <w:p w14:paraId="4B157250" w14:textId="77777777" w:rsidR="005F3233" w:rsidRPr="005F3233" w:rsidRDefault="005F3233" w:rsidP="005F3233">
            <w:pPr>
              <w:spacing w:after="0" w:line="240" w:lineRule="auto"/>
              <w:rPr>
                <w:rFonts w:ascii="Times New Roman" w:eastAsia="Times New Roman" w:hAnsi="Times New Roman" w:cs="Times New Roman"/>
                <w:sz w:val="20"/>
                <w:szCs w:val="20"/>
                <w:lang w:eastAsia="hr-HR"/>
              </w:rPr>
            </w:pPr>
          </w:p>
        </w:tc>
      </w:tr>
      <w:tr w:rsidR="005F3233" w:rsidRPr="005F3233" w14:paraId="4524BE1B" w14:textId="77777777" w:rsidTr="000271A1">
        <w:trPr>
          <w:gridBefore w:val="1"/>
          <w:gridAfter w:val="2"/>
          <w:wBefore w:w="10" w:type="dxa"/>
          <w:wAfter w:w="237" w:type="dxa"/>
          <w:trHeight w:val="315"/>
        </w:trPr>
        <w:tc>
          <w:tcPr>
            <w:tcW w:w="869" w:type="dxa"/>
            <w:tcBorders>
              <w:top w:val="single" w:sz="4" w:space="0" w:color="auto"/>
              <w:left w:val="single" w:sz="8" w:space="0" w:color="auto"/>
              <w:bottom w:val="single" w:sz="4" w:space="0" w:color="auto"/>
              <w:right w:val="single" w:sz="4" w:space="0" w:color="auto"/>
            </w:tcBorders>
            <w:shd w:val="clear" w:color="000000" w:fill="CCFFCC"/>
            <w:vAlign w:val="center"/>
            <w:hideMark/>
          </w:tcPr>
          <w:p w14:paraId="794D3759" w14:textId="77777777" w:rsidR="005F3233" w:rsidRPr="005F3233" w:rsidRDefault="005F3233" w:rsidP="005F3233">
            <w:pPr>
              <w:spacing w:after="0" w:line="240" w:lineRule="auto"/>
              <w:rPr>
                <w:rFonts w:ascii="Calibri" w:eastAsia="Times New Roman" w:hAnsi="Calibri" w:cs="Calibri"/>
                <w:lang w:eastAsia="hr-HR"/>
              </w:rPr>
            </w:pPr>
            <w:r w:rsidRPr="005F3233">
              <w:rPr>
                <w:rFonts w:ascii="Calibri" w:eastAsia="Times New Roman" w:hAnsi="Calibri" w:cs="Calibri"/>
                <w:lang w:eastAsia="hr-HR"/>
              </w:rPr>
              <w:t>Političko ili drugo uvjerenje</w:t>
            </w:r>
          </w:p>
        </w:tc>
        <w:tc>
          <w:tcPr>
            <w:tcW w:w="457" w:type="dxa"/>
            <w:tcBorders>
              <w:top w:val="nil"/>
              <w:left w:val="nil"/>
              <w:bottom w:val="single" w:sz="4" w:space="0" w:color="auto"/>
              <w:right w:val="single" w:sz="4" w:space="0" w:color="auto"/>
            </w:tcBorders>
            <w:shd w:val="clear" w:color="000000" w:fill="FFFF00"/>
            <w:vAlign w:val="center"/>
            <w:hideMark/>
          </w:tcPr>
          <w:p w14:paraId="22513BCF" w14:textId="77777777" w:rsidR="005F3233" w:rsidRPr="005F3233" w:rsidRDefault="005F3233" w:rsidP="005F3233">
            <w:pPr>
              <w:spacing w:after="0" w:line="240" w:lineRule="auto"/>
              <w:jc w:val="center"/>
              <w:rPr>
                <w:rFonts w:ascii="Calibri" w:eastAsia="Times New Roman" w:hAnsi="Calibri" w:cs="Calibri"/>
                <w:b/>
                <w:bCs/>
                <w:lang w:eastAsia="hr-HR"/>
              </w:rPr>
            </w:pPr>
            <w:r w:rsidRPr="005F3233">
              <w:rPr>
                <w:rFonts w:ascii="Calibri" w:eastAsia="Times New Roman" w:hAnsi="Calibri" w:cs="Calibri"/>
                <w:b/>
                <w:bCs/>
                <w:lang w:eastAsia="hr-HR"/>
              </w:rPr>
              <w:t>0</w:t>
            </w:r>
          </w:p>
        </w:tc>
        <w:tc>
          <w:tcPr>
            <w:tcW w:w="449" w:type="dxa"/>
            <w:tcBorders>
              <w:top w:val="nil"/>
              <w:left w:val="nil"/>
              <w:bottom w:val="single" w:sz="4" w:space="0" w:color="auto"/>
              <w:right w:val="single" w:sz="4" w:space="0" w:color="auto"/>
            </w:tcBorders>
            <w:shd w:val="clear" w:color="000000" w:fill="FFCC99"/>
            <w:noWrap/>
            <w:vAlign w:val="center"/>
            <w:hideMark/>
          </w:tcPr>
          <w:p w14:paraId="21702C06" w14:textId="77777777" w:rsidR="005F3233" w:rsidRPr="005F3233" w:rsidRDefault="005F3233" w:rsidP="005F3233">
            <w:pPr>
              <w:spacing w:after="0" w:line="240" w:lineRule="auto"/>
              <w:jc w:val="center"/>
              <w:rPr>
                <w:rFonts w:ascii="Calibri" w:eastAsia="Times New Roman" w:hAnsi="Calibri" w:cs="Calibri"/>
                <w:sz w:val="24"/>
                <w:szCs w:val="24"/>
                <w:lang w:eastAsia="hr-HR"/>
              </w:rPr>
            </w:pPr>
            <w:r w:rsidRPr="005F3233">
              <w:rPr>
                <w:rFonts w:ascii="Calibri" w:eastAsia="Times New Roman" w:hAnsi="Calibri" w:cs="Calibri"/>
                <w:sz w:val="24"/>
                <w:szCs w:val="24"/>
                <w:lang w:eastAsia="hr-HR"/>
              </w:rPr>
              <w:t>0</w:t>
            </w:r>
          </w:p>
        </w:tc>
        <w:tc>
          <w:tcPr>
            <w:tcW w:w="421" w:type="dxa"/>
            <w:tcBorders>
              <w:top w:val="nil"/>
              <w:left w:val="nil"/>
              <w:bottom w:val="single" w:sz="4" w:space="0" w:color="auto"/>
              <w:right w:val="single" w:sz="4" w:space="0" w:color="auto"/>
            </w:tcBorders>
            <w:shd w:val="clear" w:color="000000" w:fill="CCFFFF"/>
            <w:vAlign w:val="center"/>
            <w:hideMark/>
          </w:tcPr>
          <w:p w14:paraId="6755A204" w14:textId="77777777" w:rsidR="005F3233" w:rsidRPr="005F3233" w:rsidRDefault="005F3233" w:rsidP="005F3233">
            <w:pPr>
              <w:spacing w:after="0" w:line="240" w:lineRule="auto"/>
              <w:jc w:val="center"/>
              <w:rPr>
                <w:rFonts w:ascii="Calibri" w:eastAsia="Times New Roman" w:hAnsi="Calibri" w:cs="Calibri"/>
                <w:sz w:val="24"/>
                <w:szCs w:val="24"/>
                <w:lang w:eastAsia="hr-HR"/>
              </w:rPr>
            </w:pPr>
            <w:r w:rsidRPr="005F3233">
              <w:rPr>
                <w:rFonts w:ascii="Calibri" w:eastAsia="Times New Roman" w:hAnsi="Calibri" w:cs="Calibri"/>
                <w:sz w:val="24"/>
                <w:szCs w:val="24"/>
                <w:lang w:eastAsia="hr-HR"/>
              </w:rPr>
              <w:t>0</w:t>
            </w:r>
          </w:p>
        </w:tc>
        <w:tc>
          <w:tcPr>
            <w:tcW w:w="408" w:type="dxa"/>
            <w:tcBorders>
              <w:top w:val="nil"/>
              <w:left w:val="nil"/>
              <w:bottom w:val="single" w:sz="4" w:space="0" w:color="auto"/>
              <w:right w:val="single" w:sz="4" w:space="0" w:color="auto"/>
            </w:tcBorders>
            <w:shd w:val="clear" w:color="000000" w:fill="CCFFFF"/>
            <w:vAlign w:val="center"/>
            <w:hideMark/>
          </w:tcPr>
          <w:p w14:paraId="5B356A5D" w14:textId="77777777" w:rsidR="005F3233" w:rsidRPr="005F3233" w:rsidRDefault="005F3233" w:rsidP="005F3233">
            <w:pPr>
              <w:spacing w:after="0" w:line="240" w:lineRule="auto"/>
              <w:jc w:val="center"/>
              <w:rPr>
                <w:rFonts w:ascii="Calibri" w:eastAsia="Times New Roman" w:hAnsi="Calibri" w:cs="Calibri"/>
                <w:sz w:val="24"/>
                <w:szCs w:val="24"/>
                <w:lang w:eastAsia="hr-HR"/>
              </w:rPr>
            </w:pPr>
            <w:r w:rsidRPr="005F3233">
              <w:rPr>
                <w:rFonts w:ascii="Calibri" w:eastAsia="Times New Roman" w:hAnsi="Calibri" w:cs="Calibri"/>
                <w:sz w:val="24"/>
                <w:szCs w:val="24"/>
                <w:lang w:eastAsia="hr-HR"/>
              </w:rPr>
              <w:t>0</w:t>
            </w:r>
          </w:p>
        </w:tc>
        <w:tc>
          <w:tcPr>
            <w:tcW w:w="708" w:type="dxa"/>
            <w:tcBorders>
              <w:top w:val="nil"/>
              <w:left w:val="nil"/>
              <w:bottom w:val="single" w:sz="4" w:space="0" w:color="auto"/>
              <w:right w:val="single" w:sz="4" w:space="0" w:color="auto"/>
            </w:tcBorders>
            <w:shd w:val="clear" w:color="000000" w:fill="FFFF99"/>
            <w:noWrap/>
            <w:vAlign w:val="center"/>
            <w:hideMark/>
          </w:tcPr>
          <w:p w14:paraId="2B3E55BE" w14:textId="77777777" w:rsidR="005F3233" w:rsidRPr="005F3233" w:rsidRDefault="005F3233" w:rsidP="005F3233">
            <w:pPr>
              <w:spacing w:after="0" w:line="240" w:lineRule="auto"/>
              <w:jc w:val="center"/>
              <w:rPr>
                <w:rFonts w:ascii="Calibri" w:eastAsia="Times New Roman" w:hAnsi="Calibri" w:cs="Calibri"/>
                <w:sz w:val="24"/>
                <w:szCs w:val="24"/>
                <w:lang w:eastAsia="hr-HR"/>
              </w:rPr>
            </w:pPr>
            <w:r w:rsidRPr="005F3233">
              <w:rPr>
                <w:rFonts w:ascii="Calibri" w:eastAsia="Times New Roman" w:hAnsi="Calibri" w:cs="Calibri"/>
                <w:sz w:val="24"/>
                <w:szCs w:val="24"/>
                <w:lang w:eastAsia="hr-HR"/>
              </w:rPr>
              <w:t>0</w:t>
            </w:r>
          </w:p>
        </w:tc>
        <w:tc>
          <w:tcPr>
            <w:tcW w:w="708" w:type="dxa"/>
            <w:tcBorders>
              <w:top w:val="nil"/>
              <w:left w:val="nil"/>
              <w:bottom w:val="single" w:sz="4" w:space="0" w:color="auto"/>
              <w:right w:val="single" w:sz="4" w:space="0" w:color="auto"/>
            </w:tcBorders>
            <w:shd w:val="clear" w:color="000000" w:fill="FFFF99"/>
            <w:noWrap/>
            <w:vAlign w:val="center"/>
            <w:hideMark/>
          </w:tcPr>
          <w:p w14:paraId="116C1957" w14:textId="77777777" w:rsidR="005F3233" w:rsidRPr="005F3233" w:rsidRDefault="005F3233" w:rsidP="005F3233">
            <w:pPr>
              <w:spacing w:after="0" w:line="240" w:lineRule="auto"/>
              <w:jc w:val="center"/>
              <w:rPr>
                <w:rFonts w:ascii="Calibri" w:eastAsia="Times New Roman" w:hAnsi="Calibri" w:cs="Calibri"/>
                <w:sz w:val="24"/>
                <w:szCs w:val="24"/>
                <w:lang w:eastAsia="hr-HR"/>
              </w:rPr>
            </w:pPr>
            <w:r w:rsidRPr="005F3233">
              <w:rPr>
                <w:rFonts w:ascii="Calibri" w:eastAsia="Times New Roman" w:hAnsi="Calibri" w:cs="Calibri"/>
                <w:sz w:val="24"/>
                <w:szCs w:val="24"/>
                <w:lang w:eastAsia="hr-HR"/>
              </w:rPr>
              <w:t>0</w:t>
            </w:r>
          </w:p>
        </w:tc>
        <w:tc>
          <w:tcPr>
            <w:tcW w:w="708" w:type="dxa"/>
            <w:tcBorders>
              <w:top w:val="nil"/>
              <w:left w:val="nil"/>
              <w:bottom w:val="single" w:sz="4" w:space="0" w:color="auto"/>
              <w:right w:val="single" w:sz="4" w:space="0" w:color="auto"/>
            </w:tcBorders>
            <w:shd w:val="clear" w:color="000000" w:fill="FFFF99"/>
            <w:noWrap/>
            <w:vAlign w:val="center"/>
            <w:hideMark/>
          </w:tcPr>
          <w:p w14:paraId="7B14E4BC" w14:textId="77777777" w:rsidR="005F3233" w:rsidRPr="005F3233" w:rsidRDefault="005F3233" w:rsidP="005F3233">
            <w:pPr>
              <w:spacing w:after="0" w:line="240" w:lineRule="auto"/>
              <w:jc w:val="center"/>
              <w:rPr>
                <w:rFonts w:ascii="Calibri" w:eastAsia="Times New Roman" w:hAnsi="Calibri" w:cs="Calibri"/>
                <w:sz w:val="24"/>
                <w:szCs w:val="24"/>
                <w:lang w:eastAsia="hr-HR"/>
              </w:rPr>
            </w:pPr>
            <w:r w:rsidRPr="005F3233">
              <w:rPr>
                <w:rFonts w:ascii="Calibri" w:eastAsia="Times New Roman" w:hAnsi="Calibri" w:cs="Calibri"/>
                <w:sz w:val="24"/>
                <w:szCs w:val="24"/>
                <w:lang w:eastAsia="hr-HR"/>
              </w:rPr>
              <w:t>0</w:t>
            </w:r>
          </w:p>
        </w:tc>
        <w:tc>
          <w:tcPr>
            <w:tcW w:w="464" w:type="dxa"/>
            <w:tcBorders>
              <w:top w:val="nil"/>
              <w:left w:val="nil"/>
              <w:bottom w:val="single" w:sz="4" w:space="0" w:color="auto"/>
              <w:right w:val="single" w:sz="4" w:space="0" w:color="auto"/>
            </w:tcBorders>
            <w:shd w:val="clear" w:color="000000" w:fill="FFFF99"/>
            <w:noWrap/>
            <w:vAlign w:val="center"/>
            <w:hideMark/>
          </w:tcPr>
          <w:p w14:paraId="6B980119" w14:textId="77777777" w:rsidR="005F3233" w:rsidRPr="005F3233" w:rsidRDefault="005F3233" w:rsidP="005F3233">
            <w:pPr>
              <w:spacing w:after="0" w:line="240" w:lineRule="auto"/>
              <w:jc w:val="center"/>
              <w:rPr>
                <w:rFonts w:ascii="Calibri" w:eastAsia="Times New Roman" w:hAnsi="Calibri" w:cs="Calibri"/>
                <w:sz w:val="24"/>
                <w:szCs w:val="24"/>
                <w:lang w:eastAsia="hr-HR"/>
              </w:rPr>
            </w:pPr>
            <w:r w:rsidRPr="005F3233">
              <w:rPr>
                <w:rFonts w:ascii="Calibri" w:eastAsia="Times New Roman" w:hAnsi="Calibri" w:cs="Calibri"/>
                <w:sz w:val="24"/>
                <w:szCs w:val="24"/>
                <w:lang w:eastAsia="hr-HR"/>
              </w:rPr>
              <w:t>0</w:t>
            </w:r>
          </w:p>
        </w:tc>
        <w:tc>
          <w:tcPr>
            <w:tcW w:w="700" w:type="dxa"/>
            <w:tcBorders>
              <w:top w:val="nil"/>
              <w:left w:val="nil"/>
              <w:bottom w:val="single" w:sz="4" w:space="0" w:color="auto"/>
              <w:right w:val="single" w:sz="4" w:space="0" w:color="auto"/>
            </w:tcBorders>
            <w:shd w:val="clear" w:color="000000" w:fill="FFFF99"/>
            <w:noWrap/>
            <w:vAlign w:val="center"/>
            <w:hideMark/>
          </w:tcPr>
          <w:p w14:paraId="416EFF36" w14:textId="77777777" w:rsidR="005F3233" w:rsidRPr="005F3233" w:rsidRDefault="005F3233" w:rsidP="005F3233">
            <w:pPr>
              <w:spacing w:after="0" w:line="240" w:lineRule="auto"/>
              <w:jc w:val="center"/>
              <w:rPr>
                <w:rFonts w:ascii="Calibri" w:eastAsia="Times New Roman" w:hAnsi="Calibri" w:cs="Calibri"/>
                <w:sz w:val="24"/>
                <w:szCs w:val="24"/>
                <w:lang w:eastAsia="hr-HR"/>
              </w:rPr>
            </w:pPr>
            <w:r w:rsidRPr="005F3233">
              <w:rPr>
                <w:rFonts w:ascii="Calibri" w:eastAsia="Times New Roman" w:hAnsi="Calibri" w:cs="Calibri"/>
                <w:sz w:val="24"/>
                <w:szCs w:val="24"/>
                <w:lang w:eastAsia="hr-HR"/>
              </w:rPr>
              <w:t>0</w:t>
            </w:r>
          </w:p>
        </w:tc>
        <w:tc>
          <w:tcPr>
            <w:tcW w:w="699" w:type="dxa"/>
            <w:tcBorders>
              <w:top w:val="nil"/>
              <w:left w:val="nil"/>
              <w:bottom w:val="single" w:sz="4" w:space="0" w:color="auto"/>
              <w:right w:val="single" w:sz="4" w:space="0" w:color="auto"/>
            </w:tcBorders>
            <w:shd w:val="clear" w:color="000000" w:fill="FFFF99"/>
            <w:noWrap/>
            <w:vAlign w:val="center"/>
            <w:hideMark/>
          </w:tcPr>
          <w:p w14:paraId="5A41A072" w14:textId="77777777" w:rsidR="005F3233" w:rsidRPr="005F3233" w:rsidRDefault="005F3233" w:rsidP="005F3233">
            <w:pPr>
              <w:spacing w:after="0" w:line="240" w:lineRule="auto"/>
              <w:jc w:val="center"/>
              <w:rPr>
                <w:rFonts w:ascii="Calibri" w:eastAsia="Times New Roman" w:hAnsi="Calibri" w:cs="Calibri"/>
                <w:sz w:val="24"/>
                <w:szCs w:val="24"/>
                <w:lang w:eastAsia="hr-HR"/>
              </w:rPr>
            </w:pPr>
            <w:r w:rsidRPr="005F3233">
              <w:rPr>
                <w:rFonts w:ascii="Calibri" w:eastAsia="Times New Roman" w:hAnsi="Calibri" w:cs="Calibri"/>
                <w:sz w:val="24"/>
                <w:szCs w:val="24"/>
                <w:lang w:eastAsia="hr-HR"/>
              </w:rPr>
              <w:t>0</w:t>
            </w:r>
          </w:p>
        </w:tc>
        <w:tc>
          <w:tcPr>
            <w:tcW w:w="700" w:type="dxa"/>
            <w:tcBorders>
              <w:top w:val="nil"/>
              <w:left w:val="nil"/>
              <w:bottom w:val="single" w:sz="4" w:space="0" w:color="auto"/>
              <w:right w:val="single" w:sz="4" w:space="0" w:color="auto"/>
            </w:tcBorders>
            <w:shd w:val="clear" w:color="000000" w:fill="FFFF99"/>
            <w:noWrap/>
            <w:vAlign w:val="center"/>
            <w:hideMark/>
          </w:tcPr>
          <w:p w14:paraId="22B5097C" w14:textId="77777777" w:rsidR="005F3233" w:rsidRPr="005F3233" w:rsidRDefault="005F3233" w:rsidP="005F3233">
            <w:pPr>
              <w:spacing w:after="0" w:line="240" w:lineRule="auto"/>
              <w:jc w:val="center"/>
              <w:rPr>
                <w:rFonts w:ascii="Calibri" w:eastAsia="Times New Roman" w:hAnsi="Calibri" w:cs="Calibri"/>
                <w:sz w:val="24"/>
                <w:szCs w:val="24"/>
                <w:lang w:eastAsia="hr-HR"/>
              </w:rPr>
            </w:pPr>
            <w:r w:rsidRPr="005F3233">
              <w:rPr>
                <w:rFonts w:ascii="Calibri" w:eastAsia="Times New Roman" w:hAnsi="Calibri" w:cs="Calibri"/>
                <w:sz w:val="24"/>
                <w:szCs w:val="24"/>
                <w:lang w:eastAsia="hr-HR"/>
              </w:rPr>
              <w:t>0</w:t>
            </w:r>
          </w:p>
        </w:tc>
        <w:tc>
          <w:tcPr>
            <w:tcW w:w="464" w:type="dxa"/>
            <w:tcBorders>
              <w:top w:val="nil"/>
              <w:left w:val="nil"/>
              <w:bottom w:val="single" w:sz="4" w:space="0" w:color="auto"/>
              <w:right w:val="single" w:sz="4" w:space="0" w:color="auto"/>
            </w:tcBorders>
            <w:shd w:val="clear" w:color="000000" w:fill="FFFF99"/>
            <w:noWrap/>
            <w:vAlign w:val="center"/>
            <w:hideMark/>
          </w:tcPr>
          <w:p w14:paraId="1639AC3F" w14:textId="77777777" w:rsidR="005F3233" w:rsidRPr="005F3233" w:rsidRDefault="005F3233" w:rsidP="005F3233">
            <w:pPr>
              <w:spacing w:after="0" w:line="240" w:lineRule="auto"/>
              <w:jc w:val="center"/>
              <w:rPr>
                <w:rFonts w:ascii="Calibri" w:eastAsia="Times New Roman" w:hAnsi="Calibri" w:cs="Calibri"/>
                <w:sz w:val="24"/>
                <w:szCs w:val="24"/>
                <w:lang w:eastAsia="hr-HR"/>
              </w:rPr>
            </w:pPr>
            <w:r w:rsidRPr="005F3233">
              <w:rPr>
                <w:rFonts w:ascii="Calibri" w:eastAsia="Times New Roman" w:hAnsi="Calibri" w:cs="Calibri"/>
                <w:sz w:val="24"/>
                <w:szCs w:val="24"/>
                <w:lang w:eastAsia="hr-HR"/>
              </w:rPr>
              <w:t>0</w:t>
            </w:r>
          </w:p>
        </w:tc>
        <w:tc>
          <w:tcPr>
            <w:tcW w:w="700" w:type="dxa"/>
            <w:tcBorders>
              <w:top w:val="nil"/>
              <w:left w:val="nil"/>
              <w:bottom w:val="single" w:sz="4" w:space="0" w:color="auto"/>
              <w:right w:val="single" w:sz="4" w:space="0" w:color="auto"/>
            </w:tcBorders>
            <w:shd w:val="clear" w:color="000000" w:fill="FFFF99"/>
            <w:noWrap/>
            <w:vAlign w:val="center"/>
            <w:hideMark/>
          </w:tcPr>
          <w:p w14:paraId="3D91AA54" w14:textId="77777777" w:rsidR="005F3233" w:rsidRPr="005F3233" w:rsidRDefault="005F3233" w:rsidP="005F3233">
            <w:pPr>
              <w:spacing w:after="0" w:line="240" w:lineRule="auto"/>
              <w:jc w:val="center"/>
              <w:rPr>
                <w:rFonts w:ascii="Calibri" w:eastAsia="Times New Roman" w:hAnsi="Calibri" w:cs="Calibri"/>
                <w:sz w:val="24"/>
                <w:szCs w:val="24"/>
                <w:lang w:eastAsia="hr-HR"/>
              </w:rPr>
            </w:pPr>
            <w:r w:rsidRPr="005F3233">
              <w:rPr>
                <w:rFonts w:ascii="Calibri" w:eastAsia="Times New Roman" w:hAnsi="Calibri" w:cs="Calibri"/>
                <w:sz w:val="24"/>
                <w:szCs w:val="24"/>
                <w:lang w:eastAsia="hr-HR"/>
              </w:rPr>
              <w:t>0</w:t>
            </w:r>
          </w:p>
        </w:tc>
        <w:tc>
          <w:tcPr>
            <w:tcW w:w="434" w:type="dxa"/>
            <w:tcBorders>
              <w:top w:val="nil"/>
              <w:left w:val="nil"/>
              <w:bottom w:val="single" w:sz="4" w:space="0" w:color="auto"/>
              <w:right w:val="single" w:sz="4" w:space="0" w:color="auto"/>
            </w:tcBorders>
            <w:shd w:val="clear" w:color="000000" w:fill="FFFF99"/>
            <w:noWrap/>
            <w:vAlign w:val="center"/>
            <w:hideMark/>
          </w:tcPr>
          <w:p w14:paraId="18403042" w14:textId="77777777" w:rsidR="005F3233" w:rsidRPr="005F3233" w:rsidRDefault="005F3233" w:rsidP="005F3233">
            <w:pPr>
              <w:spacing w:after="0" w:line="240" w:lineRule="auto"/>
              <w:jc w:val="center"/>
              <w:rPr>
                <w:rFonts w:ascii="Calibri" w:eastAsia="Times New Roman" w:hAnsi="Calibri" w:cs="Calibri"/>
                <w:sz w:val="24"/>
                <w:szCs w:val="24"/>
                <w:lang w:eastAsia="hr-HR"/>
              </w:rPr>
            </w:pPr>
            <w:r w:rsidRPr="005F3233">
              <w:rPr>
                <w:rFonts w:ascii="Calibri" w:eastAsia="Times New Roman" w:hAnsi="Calibri" w:cs="Calibri"/>
                <w:sz w:val="24"/>
                <w:szCs w:val="24"/>
                <w:lang w:eastAsia="hr-HR"/>
              </w:rPr>
              <w:t>0</w:t>
            </w:r>
          </w:p>
        </w:tc>
        <w:tc>
          <w:tcPr>
            <w:tcW w:w="426" w:type="dxa"/>
            <w:tcBorders>
              <w:top w:val="nil"/>
              <w:left w:val="nil"/>
              <w:bottom w:val="single" w:sz="4" w:space="0" w:color="auto"/>
              <w:right w:val="single" w:sz="4" w:space="0" w:color="auto"/>
            </w:tcBorders>
            <w:shd w:val="clear" w:color="000000" w:fill="FF9900"/>
            <w:noWrap/>
            <w:vAlign w:val="center"/>
            <w:hideMark/>
          </w:tcPr>
          <w:p w14:paraId="71882259" w14:textId="77777777" w:rsidR="005F3233" w:rsidRPr="005F3233" w:rsidRDefault="005F3233" w:rsidP="005F3233">
            <w:pPr>
              <w:spacing w:after="0" w:line="240" w:lineRule="auto"/>
              <w:jc w:val="center"/>
              <w:rPr>
                <w:rFonts w:ascii="Calibri" w:eastAsia="Times New Roman" w:hAnsi="Calibri" w:cs="Calibri"/>
                <w:sz w:val="24"/>
                <w:szCs w:val="24"/>
                <w:lang w:eastAsia="hr-HR"/>
              </w:rPr>
            </w:pPr>
            <w:r w:rsidRPr="005F3233">
              <w:rPr>
                <w:rFonts w:ascii="Calibri" w:eastAsia="Times New Roman" w:hAnsi="Calibri" w:cs="Calibri"/>
                <w:sz w:val="24"/>
                <w:szCs w:val="24"/>
                <w:lang w:eastAsia="hr-HR"/>
              </w:rPr>
              <w:t>0</w:t>
            </w:r>
          </w:p>
        </w:tc>
        <w:tc>
          <w:tcPr>
            <w:tcW w:w="425" w:type="dxa"/>
            <w:tcBorders>
              <w:top w:val="nil"/>
              <w:left w:val="nil"/>
              <w:bottom w:val="single" w:sz="4" w:space="0" w:color="auto"/>
              <w:right w:val="single" w:sz="4" w:space="0" w:color="auto"/>
            </w:tcBorders>
            <w:shd w:val="clear" w:color="000000" w:fill="FF9900"/>
            <w:noWrap/>
            <w:vAlign w:val="center"/>
            <w:hideMark/>
          </w:tcPr>
          <w:p w14:paraId="0E9AB063" w14:textId="77777777" w:rsidR="005F3233" w:rsidRPr="005F3233" w:rsidRDefault="005F3233" w:rsidP="005F3233">
            <w:pPr>
              <w:spacing w:after="0" w:line="240" w:lineRule="auto"/>
              <w:jc w:val="center"/>
              <w:rPr>
                <w:rFonts w:ascii="Calibri" w:eastAsia="Times New Roman" w:hAnsi="Calibri" w:cs="Calibri"/>
                <w:sz w:val="24"/>
                <w:szCs w:val="24"/>
                <w:lang w:eastAsia="hr-HR"/>
              </w:rPr>
            </w:pPr>
            <w:r w:rsidRPr="005F3233">
              <w:rPr>
                <w:rFonts w:ascii="Calibri" w:eastAsia="Times New Roman" w:hAnsi="Calibri" w:cs="Calibri"/>
                <w:sz w:val="24"/>
                <w:szCs w:val="24"/>
                <w:lang w:eastAsia="hr-HR"/>
              </w:rPr>
              <w:t>0</w:t>
            </w:r>
          </w:p>
        </w:tc>
        <w:tc>
          <w:tcPr>
            <w:tcW w:w="442" w:type="dxa"/>
            <w:tcBorders>
              <w:top w:val="nil"/>
              <w:left w:val="nil"/>
              <w:bottom w:val="single" w:sz="4" w:space="0" w:color="auto"/>
              <w:right w:val="single" w:sz="4" w:space="0" w:color="auto"/>
            </w:tcBorders>
            <w:shd w:val="clear" w:color="000000" w:fill="FF9900"/>
            <w:noWrap/>
            <w:vAlign w:val="center"/>
            <w:hideMark/>
          </w:tcPr>
          <w:p w14:paraId="5F6D89C6" w14:textId="77777777" w:rsidR="005F3233" w:rsidRPr="005F3233" w:rsidRDefault="005F3233" w:rsidP="005F3233">
            <w:pPr>
              <w:spacing w:after="0" w:line="240" w:lineRule="auto"/>
              <w:jc w:val="center"/>
              <w:rPr>
                <w:rFonts w:ascii="Calibri" w:eastAsia="Times New Roman" w:hAnsi="Calibri" w:cs="Calibri"/>
                <w:sz w:val="24"/>
                <w:szCs w:val="24"/>
                <w:lang w:eastAsia="hr-HR"/>
              </w:rPr>
            </w:pPr>
            <w:r w:rsidRPr="005F3233">
              <w:rPr>
                <w:rFonts w:ascii="Calibri" w:eastAsia="Times New Roman" w:hAnsi="Calibri" w:cs="Calibri"/>
                <w:sz w:val="24"/>
                <w:szCs w:val="24"/>
                <w:lang w:eastAsia="hr-HR"/>
              </w:rPr>
              <w:t>0</w:t>
            </w:r>
          </w:p>
        </w:tc>
        <w:tc>
          <w:tcPr>
            <w:tcW w:w="451" w:type="dxa"/>
            <w:tcBorders>
              <w:top w:val="nil"/>
              <w:left w:val="nil"/>
              <w:bottom w:val="single" w:sz="4" w:space="0" w:color="auto"/>
              <w:right w:val="single" w:sz="4" w:space="0" w:color="auto"/>
            </w:tcBorders>
            <w:shd w:val="clear" w:color="auto" w:fill="auto"/>
            <w:vAlign w:val="center"/>
            <w:hideMark/>
          </w:tcPr>
          <w:p w14:paraId="084B5989" w14:textId="77777777" w:rsidR="005F3233" w:rsidRPr="005F3233" w:rsidRDefault="005F3233" w:rsidP="005F3233">
            <w:pPr>
              <w:spacing w:after="0" w:line="240" w:lineRule="auto"/>
              <w:jc w:val="center"/>
              <w:rPr>
                <w:rFonts w:ascii="Calibri" w:eastAsia="Times New Roman" w:hAnsi="Calibri" w:cs="Calibri"/>
                <w:b/>
                <w:bCs/>
                <w:sz w:val="24"/>
                <w:szCs w:val="24"/>
                <w:lang w:eastAsia="hr-HR"/>
              </w:rPr>
            </w:pPr>
            <w:r w:rsidRPr="005F3233">
              <w:rPr>
                <w:rFonts w:ascii="Calibri" w:eastAsia="Times New Roman" w:hAnsi="Calibri" w:cs="Calibri"/>
                <w:b/>
                <w:bCs/>
                <w:sz w:val="24"/>
                <w:szCs w:val="24"/>
                <w:lang w:eastAsia="hr-HR"/>
              </w:rPr>
              <w:t>0</w:t>
            </w:r>
          </w:p>
        </w:tc>
        <w:tc>
          <w:tcPr>
            <w:tcW w:w="383" w:type="dxa"/>
            <w:gridSpan w:val="2"/>
            <w:tcBorders>
              <w:top w:val="nil"/>
              <w:left w:val="nil"/>
              <w:bottom w:val="single" w:sz="4" w:space="0" w:color="auto"/>
              <w:right w:val="single" w:sz="4" w:space="0" w:color="auto"/>
            </w:tcBorders>
            <w:shd w:val="clear" w:color="000000" w:fill="FFFF00"/>
            <w:noWrap/>
            <w:vAlign w:val="center"/>
            <w:hideMark/>
          </w:tcPr>
          <w:p w14:paraId="4DB67FC3" w14:textId="77777777" w:rsidR="005F3233" w:rsidRPr="005F3233" w:rsidRDefault="005F3233" w:rsidP="005F3233">
            <w:pPr>
              <w:spacing w:after="0" w:line="240" w:lineRule="auto"/>
              <w:jc w:val="center"/>
              <w:rPr>
                <w:rFonts w:ascii="Calibri" w:eastAsia="Times New Roman" w:hAnsi="Calibri" w:cs="Calibri"/>
                <w:sz w:val="24"/>
                <w:szCs w:val="24"/>
                <w:lang w:eastAsia="hr-HR"/>
              </w:rPr>
            </w:pPr>
            <w:r w:rsidRPr="005F3233">
              <w:rPr>
                <w:rFonts w:ascii="Calibri" w:eastAsia="Times New Roman" w:hAnsi="Calibri" w:cs="Calibri"/>
                <w:sz w:val="24"/>
                <w:szCs w:val="24"/>
                <w:lang w:eastAsia="hr-HR"/>
              </w:rPr>
              <w:t>0</w:t>
            </w:r>
          </w:p>
        </w:tc>
        <w:tc>
          <w:tcPr>
            <w:tcW w:w="392" w:type="dxa"/>
            <w:tcBorders>
              <w:top w:val="nil"/>
              <w:left w:val="nil"/>
              <w:bottom w:val="single" w:sz="4" w:space="0" w:color="auto"/>
              <w:right w:val="single" w:sz="4" w:space="0" w:color="auto"/>
            </w:tcBorders>
            <w:shd w:val="clear" w:color="000000" w:fill="FFFF00"/>
            <w:noWrap/>
            <w:vAlign w:val="center"/>
            <w:hideMark/>
          </w:tcPr>
          <w:p w14:paraId="6D502F02" w14:textId="77777777" w:rsidR="005F3233" w:rsidRPr="005F3233" w:rsidRDefault="005F3233" w:rsidP="005F3233">
            <w:pPr>
              <w:spacing w:after="0" w:line="240" w:lineRule="auto"/>
              <w:jc w:val="center"/>
              <w:rPr>
                <w:rFonts w:ascii="Calibri" w:eastAsia="Times New Roman" w:hAnsi="Calibri" w:cs="Calibri"/>
                <w:sz w:val="24"/>
                <w:szCs w:val="24"/>
                <w:lang w:eastAsia="hr-HR"/>
              </w:rPr>
            </w:pPr>
            <w:r w:rsidRPr="005F3233">
              <w:rPr>
                <w:rFonts w:ascii="Calibri" w:eastAsia="Times New Roman" w:hAnsi="Calibri" w:cs="Calibri"/>
                <w:sz w:val="24"/>
                <w:szCs w:val="24"/>
                <w:lang w:eastAsia="hr-HR"/>
              </w:rPr>
              <w:t>0</w:t>
            </w:r>
          </w:p>
        </w:tc>
        <w:tc>
          <w:tcPr>
            <w:tcW w:w="400" w:type="dxa"/>
            <w:tcBorders>
              <w:top w:val="nil"/>
              <w:left w:val="nil"/>
              <w:bottom w:val="single" w:sz="4" w:space="0" w:color="auto"/>
              <w:right w:val="single" w:sz="4" w:space="0" w:color="auto"/>
            </w:tcBorders>
            <w:shd w:val="clear" w:color="000000" w:fill="FFFF00"/>
            <w:noWrap/>
            <w:vAlign w:val="center"/>
            <w:hideMark/>
          </w:tcPr>
          <w:p w14:paraId="38285165" w14:textId="77777777" w:rsidR="005F3233" w:rsidRPr="005F3233" w:rsidRDefault="005F3233" w:rsidP="005F3233">
            <w:pPr>
              <w:spacing w:after="0" w:line="240" w:lineRule="auto"/>
              <w:jc w:val="center"/>
              <w:rPr>
                <w:rFonts w:ascii="Calibri" w:eastAsia="Times New Roman" w:hAnsi="Calibri" w:cs="Calibri"/>
                <w:sz w:val="24"/>
                <w:szCs w:val="24"/>
                <w:lang w:eastAsia="hr-HR"/>
              </w:rPr>
            </w:pPr>
            <w:r w:rsidRPr="005F3233">
              <w:rPr>
                <w:rFonts w:ascii="Calibri" w:eastAsia="Times New Roman" w:hAnsi="Calibri" w:cs="Calibri"/>
                <w:sz w:val="24"/>
                <w:szCs w:val="24"/>
                <w:lang w:eastAsia="hr-HR"/>
              </w:rPr>
              <w:t>0</w:t>
            </w:r>
          </w:p>
        </w:tc>
        <w:tc>
          <w:tcPr>
            <w:tcW w:w="409" w:type="dxa"/>
            <w:tcBorders>
              <w:top w:val="nil"/>
              <w:left w:val="nil"/>
              <w:bottom w:val="single" w:sz="4" w:space="0" w:color="auto"/>
              <w:right w:val="single" w:sz="4" w:space="0" w:color="auto"/>
            </w:tcBorders>
            <w:shd w:val="clear" w:color="auto" w:fill="auto"/>
            <w:vAlign w:val="center"/>
            <w:hideMark/>
          </w:tcPr>
          <w:p w14:paraId="7DC7584B" w14:textId="77777777" w:rsidR="005F3233" w:rsidRPr="005F3233" w:rsidRDefault="005F3233" w:rsidP="005F3233">
            <w:pPr>
              <w:spacing w:after="0" w:line="240" w:lineRule="auto"/>
              <w:jc w:val="center"/>
              <w:rPr>
                <w:rFonts w:ascii="Calibri" w:eastAsia="Times New Roman" w:hAnsi="Calibri" w:cs="Calibri"/>
                <w:b/>
                <w:bCs/>
                <w:sz w:val="24"/>
                <w:szCs w:val="24"/>
                <w:lang w:eastAsia="hr-HR"/>
              </w:rPr>
            </w:pPr>
            <w:r w:rsidRPr="005F3233">
              <w:rPr>
                <w:rFonts w:ascii="Calibri" w:eastAsia="Times New Roman" w:hAnsi="Calibri" w:cs="Calibri"/>
                <w:b/>
                <w:bCs/>
                <w:sz w:val="24"/>
                <w:szCs w:val="24"/>
                <w:lang w:eastAsia="hr-HR"/>
              </w:rPr>
              <w:t>0</w:t>
            </w:r>
          </w:p>
        </w:tc>
        <w:tc>
          <w:tcPr>
            <w:tcW w:w="499" w:type="dxa"/>
            <w:gridSpan w:val="2"/>
            <w:tcBorders>
              <w:top w:val="nil"/>
              <w:left w:val="nil"/>
              <w:bottom w:val="single" w:sz="4" w:space="0" w:color="auto"/>
              <w:right w:val="single" w:sz="4" w:space="0" w:color="auto"/>
            </w:tcBorders>
            <w:shd w:val="clear" w:color="000000" w:fill="FFFF00"/>
            <w:vAlign w:val="center"/>
            <w:hideMark/>
          </w:tcPr>
          <w:p w14:paraId="639335D2" w14:textId="77777777" w:rsidR="005F3233" w:rsidRPr="005F3233" w:rsidRDefault="005F3233" w:rsidP="005F3233">
            <w:pPr>
              <w:spacing w:after="0" w:line="240" w:lineRule="auto"/>
              <w:jc w:val="center"/>
              <w:rPr>
                <w:rFonts w:ascii="Calibri" w:eastAsia="Times New Roman" w:hAnsi="Calibri" w:cs="Calibri"/>
                <w:b/>
                <w:bCs/>
                <w:sz w:val="24"/>
                <w:szCs w:val="24"/>
                <w:lang w:eastAsia="hr-HR"/>
              </w:rPr>
            </w:pPr>
            <w:r w:rsidRPr="005F3233">
              <w:rPr>
                <w:rFonts w:ascii="Calibri" w:eastAsia="Times New Roman" w:hAnsi="Calibri" w:cs="Calibri"/>
                <w:b/>
                <w:bCs/>
                <w:sz w:val="24"/>
                <w:szCs w:val="24"/>
                <w:lang w:eastAsia="hr-HR"/>
              </w:rPr>
              <w:t>0</w:t>
            </w:r>
          </w:p>
        </w:tc>
        <w:tc>
          <w:tcPr>
            <w:tcW w:w="567" w:type="dxa"/>
            <w:tcBorders>
              <w:top w:val="nil"/>
              <w:left w:val="nil"/>
              <w:bottom w:val="single" w:sz="4" w:space="0" w:color="auto"/>
              <w:right w:val="single" w:sz="4" w:space="0" w:color="auto"/>
            </w:tcBorders>
            <w:shd w:val="clear" w:color="000000" w:fill="FF9900"/>
            <w:noWrap/>
            <w:vAlign w:val="center"/>
            <w:hideMark/>
          </w:tcPr>
          <w:p w14:paraId="2184ADCE" w14:textId="77777777" w:rsidR="005F3233" w:rsidRPr="005F3233" w:rsidRDefault="005F3233" w:rsidP="005F3233">
            <w:pPr>
              <w:spacing w:after="0" w:line="240" w:lineRule="auto"/>
              <w:jc w:val="center"/>
              <w:rPr>
                <w:rFonts w:ascii="Calibri" w:eastAsia="Times New Roman" w:hAnsi="Calibri" w:cs="Calibri"/>
                <w:sz w:val="24"/>
                <w:szCs w:val="24"/>
                <w:lang w:eastAsia="hr-HR"/>
              </w:rPr>
            </w:pPr>
            <w:r w:rsidRPr="005F3233">
              <w:rPr>
                <w:rFonts w:ascii="Calibri" w:eastAsia="Times New Roman" w:hAnsi="Calibri" w:cs="Calibri"/>
                <w:sz w:val="24"/>
                <w:szCs w:val="24"/>
                <w:lang w:eastAsia="hr-HR"/>
              </w:rPr>
              <w:t>0</w:t>
            </w:r>
          </w:p>
        </w:tc>
        <w:tc>
          <w:tcPr>
            <w:tcW w:w="425" w:type="dxa"/>
            <w:gridSpan w:val="2"/>
            <w:tcBorders>
              <w:top w:val="nil"/>
              <w:left w:val="nil"/>
              <w:bottom w:val="single" w:sz="4" w:space="0" w:color="auto"/>
              <w:right w:val="single" w:sz="4" w:space="0" w:color="auto"/>
            </w:tcBorders>
            <w:shd w:val="clear" w:color="000000" w:fill="CCFFFF"/>
            <w:noWrap/>
            <w:vAlign w:val="center"/>
            <w:hideMark/>
          </w:tcPr>
          <w:p w14:paraId="7A0C7C9E" w14:textId="77777777" w:rsidR="005F3233" w:rsidRPr="005F3233" w:rsidRDefault="005F3233" w:rsidP="005F3233">
            <w:pPr>
              <w:spacing w:after="0" w:line="240" w:lineRule="auto"/>
              <w:jc w:val="center"/>
              <w:rPr>
                <w:rFonts w:ascii="Calibri" w:eastAsia="Times New Roman" w:hAnsi="Calibri" w:cs="Calibri"/>
                <w:sz w:val="24"/>
                <w:szCs w:val="24"/>
                <w:lang w:eastAsia="hr-HR"/>
              </w:rPr>
            </w:pPr>
            <w:r w:rsidRPr="005F3233">
              <w:rPr>
                <w:rFonts w:ascii="Calibri" w:eastAsia="Times New Roman" w:hAnsi="Calibri" w:cs="Calibri"/>
                <w:sz w:val="24"/>
                <w:szCs w:val="24"/>
                <w:lang w:eastAsia="hr-HR"/>
              </w:rPr>
              <w:t>0</w:t>
            </w:r>
          </w:p>
        </w:tc>
        <w:tc>
          <w:tcPr>
            <w:tcW w:w="434" w:type="dxa"/>
            <w:gridSpan w:val="2"/>
            <w:tcBorders>
              <w:top w:val="nil"/>
              <w:left w:val="nil"/>
              <w:bottom w:val="single" w:sz="4" w:space="0" w:color="auto"/>
              <w:right w:val="single" w:sz="4" w:space="0" w:color="auto"/>
            </w:tcBorders>
            <w:shd w:val="clear" w:color="000000" w:fill="CCFFFF"/>
            <w:noWrap/>
            <w:vAlign w:val="center"/>
            <w:hideMark/>
          </w:tcPr>
          <w:p w14:paraId="4C15AFDC" w14:textId="77777777" w:rsidR="005F3233" w:rsidRPr="005F3233" w:rsidRDefault="005F3233" w:rsidP="005F3233">
            <w:pPr>
              <w:spacing w:after="0" w:line="240" w:lineRule="auto"/>
              <w:jc w:val="center"/>
              <w:rPr>
                <w:rFonts w:ascii="Calibri" w:eastAsia="Times New Roman" w:hAnsi="Calibri" w:cs="Calibri"/>
                <w:sz w:val="24"/>
                <w:szCs w:val="24"/>
                <w:lang w:eastAsia="hr-HR"/>
              </w:rPr>
            </w:pPr>
            <w:r w:rsidRPr="005F3233">
              <w:rPr>
                <w:rFonts w:ascii="Calibri" w:eastAsia="Times New Roman" w:hAnsi="Calibri" w:cs="Calibri"/>
                <w:sz w:val="24"/>
                <w:szCs w:val="24"/>
                <w:lang w:eastAsia="hr-HR"/>
              </w:rPr>
              <w:t>0</w:t>
            </w:r>
          </w:p>
        </w:tc>
        <w:tc>
          <w:tcPr>
            <w:tcW w:w="417" w:type="dxa"/>
            <w:tcBorders>
              <w:top w:val="nil"/>
              <w:left w:val="nil"/>
              <w:bottom w:val="single" w:sz="4" w:space="0" w:color="auto"/>
              <w:right w:val="single" w:sz="4" w:space="0" w:color="auto"/>
            </w:tcBorders>
            <w:shd w:val="clear" w:color="000000" w:fill="CCFFFF"/>
            <w:noWrap/>
            <w:vAlign w:val="center"/>
            <w:hideMark/>
          </w:tcPr>
          <w:p w14:paraId="77086B80" w14:textId="77777777" w:rsidR="005F3233" w:rsidRPr="005F3233" w:rsidRDefault="005F3233" w:rsidP="005F3233">
            <w:pPr>
              <w:spacing w:after="0" w:line="240" w:lineRule="auto"/>
              <w:jc w:val="center"/>
              <w:rPr>
                <w:rFonts w:ascii="Calibri" w:eastAsia="Times New Roman" w:hAnsi="Calibri" w:cs="Calibri"/>
                <w:sz w:val="24"/>
                <w:szCs w:val="24"/>
                <w:lang w:eastAsia="hr-HR"/>
              </w:rPr>
            </w:pPr>
            <w:r w:rsidRPr="005F3233">
              <w:rPr>
                <w:rFonts w:ascii="Calibri" w:eastAsia="Times New Roman" w:hAnsi="Calibri" w:cs="Calibri"/>
                <w:sz w:val="24"/>
                <w:szCs w:val="24"/>
                <w:lang w:eastAsia="hr-HR"/>
              </w:rPr>
              <w:t>0</w:t>
            </w:r>
          </w:p>
        </w:tc>
        <w:tc>
          <w:tcPr>
            <w:tcW w:w="425" w:type="dxa"/>
            <w:gridSpan w:val="3"/>
            <w:tcBorders>
              <w:top w:val="nil"/>
              <w:left w:val="nil"/>
              <w:bottom w:val="single" w:sz="4" w:space="0" w:color="auto"/>
              <w:right w:val="single" w:sz="8" w:space="0" w:color="auto"/>
            </w:tcBorders>
            <w:shd w:val="clear" w:color="000000" w:fill="33CCCC"/>
            <w:noWrap/>
            <w:vAlign w:val="center"/>
            <w:hideMark/>
          </w:tcPr>
          <w:p w14:paraId="191112E0" w14:textId="77777777" w:rsidR="005F3233" w:rsidRPr="005F3233" w:rsidRDefault="005F3233" w:rsidP="005F3233">
            <w:pPr>
              <w:spacing w:after="0" w:line="240" w:lineRule="auto"/>
              <w:jc w:val="center"/>
              <w:rPr>
                <w:rFonts w:ascii="Calibri" w:eastAsia="Times New Roman" w:hAnsi="Calibri" w:cs="Calibri"/>
                <w:sz w:val="24"/>
                <w:szCs w:val="24"/>
                <w:lang w:eastAsia="hr-HR"/>
              </w:rPr>
            </w:pPr>
            <w:r w:rsidRPr="005F3233">
              <w:rPr>
                <w:rFonts w:ascii="Calibri" w:eastAsia="Times New Roman" w:hAnsi="Calibri" w:cs="Calibri"/>
                <w:sz w:val="24"/>
                <w:szCs w:val="24"/>
                <w:lang w:eastAsia="hr-HR"/>
              </w:rPr>
              <w:t>0</w:t>
            </w:r>
          </w:p>
        </w:tc>
        <w:tc>
          <w:tcPr>
            <w:tcW w:w="569" w:type="dxa"/>
            <w:gridSpan w:val="2"/>
            <w:tcBorders>
              <w:top w:val="nil"/>
              <w:left w:val="single" w:sz="4" w:space="0" w:color="auto"/>
              <w:bottom w:val="single" w:sz="4" w:space="0" w:color="auto"/>
              <w:right w:val="single" w:sz="8" w:space="0" w:color="auto"/>
            </w:tcBorders>
            <w:shd w:val="clear" w:color="000000" w:fill="33CCCC"/>
            <w:noWrap/>
            <w:vAlign w:val="center"/>
            <w:hideMark/>
          </w:tcPr>
          <w:p w14:paraId="3F0DDB24" w14:textId="77777777" w:rsidR="005F3233" w:rsidRPr="005F3233" w:rsidRDefault="005F3233" w:rsidP="005F3233">
            <w:pPr>
              <w:spacing w:after="0" w:line="240" w:lineRule="auto"/>
              <w:jc w:val="center"/>
              <w:rPr>
                <w:rFonts w:ascii="Calibri" w:eastAsia="Times New Roman" w:hAnsi="Calibri" w:cs="Calibri"/>
                <w:sz w:val="24"/>
                <w:szCs w:val="24"/>
                <w:lang w:eastAsia="hr-HR"/>
              </w:rPr>
            </w:pPr>
            <w:r w:rsidRPr="005F3233">
              <w:rPr>
                <w:rFonts w:ascii="Calibri" w:eastAsia="Times New Roman" w:hAnsi="Calibri" w:cs="Calibri"/>
                <w:sz w:val="24"/>
                <w:szCs w:val="24"/>
                <w:lang w:eastAsia="hr-HR"/>
              </w:rPr>
              <w:t>0</w:t>
            </w:r>
          </w:p>
        </w:tc>
        <w:tc>
          <w:tcPr>
            <w:tcW w:w="236" w:type="dxa"/>
            <w:gridSpan w:val="3"/>
            <w:vAlign w:val="center"/>
            <w:hideMark/>
          </w:tcPr>
          <w:p w14:paraId="119CBDA9" w14:textId="77777777" w:rsidR="005F3233" w:rsidRPr="005F3233" w:rsidRDefault="005F3233" w:rsidP="005F3233">
            <w:pPr>
              <w:spacing w:after="0" w:line="240" w:lineRule="auto"/>
              <w:rPr>
                <w:rFonts w:ascii="Times New Roman" w:eastAsia="Times New Roman" w:hAnsi="Times New Roman" w:cs="Times New Roman"/>
                <w:sz w:val="20"/>
                <w:szCs w:val="20"/>
                <w:lang w:eastAsia="hr-HR"/>
              </w:rPr>
            </w:pPr>
          </w:p>
        </w:tc>
      </w:tr>
      <w:tr w:rsidR="005F3233" w:rsidRPr="005F3233" w14:paraId="287E068C" w14:textId="77777777" w:rsidTr="000271A1">
        <w:trPr>
          <w:gridBefore w:val="1"/>
          <w:gridAfter w:val="2"/>
          <w:wBefore w:w="10" w:type="dxa"/>
          <w:wAfter w:w="237" w:type="dxa"/>
          <w:trHeight w:val="315"/>
        </w:trPr>
        <w:tc>
          <w:tcPr>
            <w:tcW w:w="869" w:type="dxa"/>
            <w:tcBorders>
              <w:top w:val="single" w:sz="4" w:space="0" w:color="auto"/>
              <w:left w:val="single" w:sz="8" w:space="0" w:color="auto"/>
              <w:bottom w:val="single" w:sz="4" w:space="0" w:color="auto"/>
              <w:right w:val="single" w:sz="4" w:space="0" w:color="auto"/>
            </w:tcBorders>
            <w:shd w:val="clear" w:color="000000" w:fill="CCFFCC"/>
            <w:vAlign w:val="center"/>
            <w:hideMark/>
          </w:tcPr>
          <w:p w14:paraId="2D9DF71D" w14:textId="77777777" w:rsidR="005F3233" w:rsidRPr="005F3233" w:rsidRDefault="005F3233" w:rsidP="005F3233">
            <w:pPr>
              <w:spacing w:after="0" w:line="240" w:lineRule="auto"/>
              <w:rPr>
                <w:rFonts w:ascii="Calibri" w:eastAsia="Times New Roman" w:hAnsi="Calibri" w:cs="Calibri"/>
                <w:lang w:eastAsia="hr-HR"/>
              </w:rPr>
            </w:pPr>
            <w:r w:rsidRPr="005F3233">
              <w:rPr>
                <w:rFonts w:ascii="Calibri" w:eastAsia="Times New Roman" w:hAnsi="Calibri" w:cs="Calibri"/>
                <w:lang w:eastAsia="hr-HR"/>
              </w:rPr>
              <w:t>Nacionalno podrijetlo</w:t>
            </w:r>
          </w:p>
        </w:tc>
        <w:tc>
          <w:tcPr>
            <w:tcW w:w="457" w:type="dxa"/>
            <w:tcBorders>
              <w:top w:val="nil"/>
              <w:left w:val="nil"/>
              <w:bottom w:val="single" w:sz="4" w:space="0" w:color="auto"/>
              <w:right w:val="single" w:sz="4" w:space="0" w:color="auto"/>
            </w:tcBorders>
            <w:shd w:val="clear" w:color="000000" w:fill="FFFF00"/>
            <w:vAlign w:val="center"/>
            <w:hideMark/>
          </w:tcPr>
          <w:p w14:paraId="201DDD31" w14:textId="77777777" w:rsidR="005F3233" w:rsidRPr="005F3233" w:rsidRDefault="005F3233" w:rsidP="005F3233">
            <w:pPr>
              <w:spacing w:after="0" w:line="240" w:lineRule="auto"/>
              <w:jc w:val="center"/>
              <w:rPr>
                <w:rFonts w:ascii="Calibri" w:eastAsia="Times New Roman" w:hAnsi="Calibri" w:cs="Calibri"/>
                <w:b/>
                <w:bCs/>
                <w:lang w:eastAsia="hr-HR"/>
              </w:rPr>
            </w:pPr>
            <w:r w:rsidRPr="005F3233">
              <w:rPr>
                <w:rFonts w:ascii="Calibri" w:eastAsia="Times New Roman" w:hAnsi="Calibri" w:cs="Calibri"/>
                <w:b/>
                <w:bCs/>
                <w:lang w:eastAsia="hr-HR"/>
              </w:rPr>
              <w:t>2</w:t>
            </w:r>
          </w:p>
        </w:tc>
        <w:tc>
          <w:tcPr>
            <w:tcW w:w="449" w:type="dxa"/>
            <w:tcBorders>
              <w:top w:val="nil"/>
              <w:left w:val="nil"/>
              <w:bottom w:val="single" w:sz="4" w:space="0" w:color="auto"/>
              <w:right w:val="single" w:sz="4" w:space="0" w:color="auto"/>
            </w:tcBorders>
            <w:shd w:val="clear" w:color="000000" w:fill="FFCC99"/>
            <w:noWrap/>
            <w:vAlign w:val="center"/>
            <w:hideMark/>
          </w:tcPr>
          <w:p w14:paraId="34BB697B" w14:textId="77777777" w:rsidR="005F3233" w:rsidRPr="005F3233" w:rsidRDefault="005F3233" w:rsidP="005F3233">
            <w:pPr>
              <w:spacing w:after="0" w:line="240" w:lineRule="auto"/>
              <w:jc w:val="center"/>
              <w:rPr>
                <w:rFonts w:ascii="Calibri" w:eastAsia="Times New Roman" w:hAnsi="Calibri" w:cs="Calibri"/>
                <w:sz w:val="24"/>
                <w:szCs w:val="24"/>
                <w:lang w:eastAsia="hr-HR"/>
              </w:rPr>
            </w:pPr>
            <w:r w:rsidRPr="005F3233">
              <w:rPr>
                <w:rFonts w:ascii="Calibri" w:eastAsia="Times New Roman" w:hAnsi="Calibri" w:cs="Calibri"/>
                <w:sz w:val="24"/>
                <w:szCs w:val="24"/>
                <w:lang w:eastAsia="hr-HR"/>
              </w:rPr>
              <w:t>2</w:t>
            </w:r>
          </w:p>
        </w:tc>
        <w:tc>
          <w:tcPr>
            <w:tcW w:w="421" w:type="dxa"/>
            <w:tcBorders>
              <w:top w:val="nil"/>
              <w:left w:val="nil"/>
              <w:bottom w:val="single" w:sz="4" w:space="0" w:color="auto"/>
              <w:right w:val="single" w:sz="4" w:space="0" w:color="auto"/>
            </w:tcBorders>
            <w:shd w:val="clear" w:color="000000" w:fill="CCFFFF"/>
            <w:vAlign w:val="center"/>
            <w:hideMark/>
          </w:tcPr>
          <w:p w14:paraId="14CA74DE" w14:textId="77777777" w:rsidR="005F3233" w:rsidRPr="005F3233" w:rsidRDefault="005F3233" w:rsidP="005F3233">
            <w:pPr>
              <w:spacing w:after="0" w:line="240" w:lineRule="auto"/>
              <w:jc w:val="center"/>
              <w:rPr>
                <w:rFonts w:ascii="Calibri" w:eastAsia="Times New Roman" w:hAnsi="Calibri" w:cs="Calibri"/>
                <w:sz w:val="24"/>
                <w:szCs w:val="24"/>
                <w:lang w:eastAsia="hr-HR"/>
              </w:rPr>
            </w:pPr>
            <w:r w:rsidRPr="005F3233">
              <w:rPr>
                <w:rFonts w:ascii="Calibri" w:eastAsia="Times New Roman" w:hAnsi="Calibri" w:cs="Calibri"/>
                <w:sz w:val="24"/>
                <w:szCs w:val="24"/>
                <w:lang w:eastAsia="hr-HR"/>
              </w:rPr>
              <w:t>0</w:t>
            </w:r>
          </w:p>
        </w:tc>
        <w:tc>
          <w:tcPr>
            <w:tcW w:w="408" w:type="dxa"/>
            <w:tcBorders>
              <w:top w:val="nil"/>
              <w:left w:val="nil"/>
              <w:bottom w:val="single" w:sz="4" w:space="0" w:color="auto"/>
              <w:right w:val="single" w:sz="4" w:space="0" w:color="auto"/>
            </w:tcBorders>
            <w:shd w:val="clear" w:color="000000" w:fill="CCFFFF"/>
            <w:vAlign w:val="center"/>
            <w:hideMark/>
          </w:tcPr>
          <w:p w14:paraId="35F232AE" w14:textId="77777777" w:rsidR="005F3233" w:rsidRPr="005F3233" w:rsidRDefault="005F3233" w:rsidP="005F3233">
            <w:pPr>
              <w:spacing w:after="0" w:line="240" w:lineRule="auto"/>
              <w:jc w:val="center"/>
              <w:rPr>
                <w:rFonts w:ascii="Calibri" w:eastAsia="Times New Roman" w:hAnsi="Calibri" w:cs="Calibri"/>
                <w:sz w:val="24"/>
                <w:szCs w:val="24"/>
                <w:lang w:eastAsia="hr-HR"/>
              </w:rPr>
            </w:pPr>
            <w:r w:rsidRPr="005F3233">
              <w:rPr>
                <w:rFonts w:ascii="Calibri" w:eastAsia="Times New Roman" w:hAnsi="Calibri" w:cs="Calibri"/>
                <w:sz w:val="24"/>
                <w:szCs w:val="24"/>
                <w:lang w:eastAsia="hr-HR"/>
              </w:rPr>
              <w:t>0</w:t>
            </w:r>
          </w:p>
        </w:tc>
        <w:tc>
          <w:tcPr>
            <w:tcW w:w="708" w:type="dxa"/>
            <w:tcBorders>
              <w:top w:val="nil"/>
              <w:left w:val="nil"/>
              <w:bottom w:val="single" w:sz="4" w:space="0" w:color="auto"/>
              <w:right w:val="single" w:sz="4" w:space="0" w:color="auto"/>
            </w:tcBorders>
            <w:shd w:val="clear" w:color="000000" w:fill="FFFF99"/>
            <w:noWrap/>
            <w:vAlign w:val="center"/>
            <w:hideMark/>
          </w:tcPr>
          <w:p w14:paraId="278F025F" w14:textId="77777777" w:rsidR="005F3233" w:rsidRPr="005F3233" w:rsidRDefault="005F3233" w:rsidP="005F3233">
            <w:pPr>
              <w:spacing w:after="0" w:line="240" w:lineRule="auto"/>
              <w:jc w:val="center"/>
              <w:rPr>
                <w:rFonts w:ascii="Calibri" w:eastAsia="Times New Roman" w:hAnsi="Calibri" w:cs="Calibri"/>
                <w:sz w:val="24"/>
                <w:szCs w:val="24"/>
                <w:lang w:eastAsia="hr-HR"/>
              </w:rPr>
            </w:pPr>
            <w:r w:rsidRPr="005F3233">
              <w:rPr>
                <w:rFonts w:ascii="Calibri" w:eastAsia="Times New Roman" w:hAnsi="Calibri" w:cs="Calibri"/>
                <w:sz w:val="24"/>
                <w:szCs w:val="24"/>
                <w:lang w:eastAsia="hr-HR"/>
              </w:rPr>
              <w:t>0</w:t>
            </w:r>
          </w:p>
        </w:tc>
        <w:tc>
          <w:tcPr>
            <w:tcW w:w="708" w:type="dxa"/>
            <w:tcBorders>
              <w:top w:val="nil"/>
              <w:left w:val="nil"/>
              <w:bottom w:val="single" w:sz="4" w:space="0" w:color="auto"/>
              <w:right w:val="single" w:sz="4" w:space="0" w:color="auto"/>
            </w:tcBorders>
            <w:shd w:val="clear" w:color="000000" w:fill="FFFF99"/>
            <w:noWrap/>
            <w:vAlign w:val="center"/>
            <w:hideMark/>
          </w:tcPr>
          <w:p w14:paraId="345AC317" w14:textId="77777777" w:rsidR="005F3233" w:rsidRPr="005F3233" w:rsidRDefault="005F3233" w:rsidP="005F3233">
            <w:pPr>
              <w:spacing w:after="0" w:line="240" w:lineRule="auto"/>
              <w:jc w:val="center"/>
              <w:rPr>
                <w:rFonts w:ascii="Calibri" w:eastAsia="Times New Roman" w:hAnsi="Calibri" w:cs="Calibri"/>
                <w:sz w:val="24"/>
                <w:szCs w:val="24"/>
                <w:lang w:eastAsia="hr-HR"/>
              </w:rPr>
            </w:pPr>
            <w:r w:rsidRPr="005F3233">
              <w:rPr>
                <w:rFonts w:ascii="Calibri" w:eastAsia="Times New Roman" w:hAnsi="Calibri" w:cs="Calibri"/>
                <w:sz w:val="24"/>
                <w:szCs w:val="24"/>
                <w:lang w:eastAsia="hr-HR"/>
              </w:rPr>
              <w:t>0</w:t>
            </w:r>
          </w:p>
        </w:tc>
        <w:tc>
          <w:tcPr>
            <w:tcW w:w="708" w:type="dxa"/>
            <w:tcBorders>
              <w:top w:val="nil"/>
              <w:left w:val="nil"/>
              <w:bottom w:val="single" w:sz="4" w:space="0" w:color="auto"/>
              <w:right w:val="single" w:sz="4" w:space="0" w:color="auto"/>
            </w:tcBorders>
            <w:shd w:val="clear" w:color="000000" w:fill="FFFF99"/>
            <w:noWrap/>
            <w:vAlign w:val="center"/>
            <w:hideMark/>
          </w:tcPr>
          <w:p w14:paraId="18FB1543" w14:textId="77777777" w:rsidR="005F3233" w:rsidRPr="005F3233" w:rsidRDefault="005F3233" w:rsidP="005F3233">
            <w:pPr>
              <w:spacing w:after="0" w:line="240" w:lineRule="auto"/>
              <w:jc w:val="center"/>
              <w:rPr>
                <w:rFonts w:ascii="Calibri" w:eastAsia="Times New Roman" w:hAnsi="Calibri" w:cs="Calibri"/>
                <w:sz w:val="24"/>
                <w:szCs w:val="24"/>
                <w:lang w:eastAsia="hr-HR"/>
              </w:rPr>
            </w:pPr>
            <w:r w:rsidRPr="005F3233">
              <w:rPr>
                <w:rFonts w:ascii="Calibri" w:eastAsia="Times New Roman" w:hAnsi="Calibri" w:cs="Calibri"/>
                <w:sz w:val="24"/>
                <w:szCs w:val="24"/>
                <w:lang w:eastAsia="hr-HR"/>
              </w:rPr>
              <w:t>0</w:t>
            </w:r>
          </w:p>
        </w:tc>
        <w:tc>
          <w:tcPr>
            <w:tcW w:w="464" w:type="dxa"/>
            <w:tcBorders>
              <w:top w:val="nil"/>
              <w:left w:val="nil"/>
              <w:bottom w:val="single" w:sz="4" w:space="0" w:color="auto"/>
              <w:right w:val="single" w:sz="4" w:space="0" w:color="auto"/>
            </w:tcBorders>
            <w:shd w:val="clear" w:color="000000" w:fill="FFFF99"/>
            <w:noWrap/>
            <w:vAlign w:val="center"/>
            <w:hideMark/>
          </w:tcPr>
          <w:p w14:paraId="736B5EE3" w14:textId="77777777" w:rsidR="005F3233" w:rsidRPr="005F3233" w:rsidRDefault="005F3233" w:rsidP="005F3233">
            <w:pPr>
              <w:spacing w:after="0" w:line="240" w:lineRule="auto"/>
              <w:jc w:val="center"/>
              <w:rPr>
                <w:rFonts w:ascii="Calibri" w:eastAsia="Times New Roman" w:hAnsi="Calibri" w:cs="Calibri"/>
                <w:sz w:val="24"/>
                <w:szCs w:val="24"/>
                <w:lang w:eastAsia="hr-HR"/>
              </w:rPr>
            </w:pPr>
            <w:r w:rsidRPr="005F3233">
              <w:rPr>
                <w:rFonts w:ascii="Calibri" w:eastAsia="Times New Roman" w:hAnsi="Calibri" w:cs="Calibri"/>
                <w:sz w:val="24"/>
                <w:szCs w:val="24"/>
                <w:lang w:eastAsia="hr-HR"/>
              </w:rPr>
              <w:t>0</w:t>
            </w:r>
          </w:p>
        </w:tc>
        <w:tc>
          <w:tcPr>
            <w:tcW w:w="700" w:type="dxa"/>
            <w:tcBorders>
              <w:top w:val="nil"/>
              <w:left w:val="nil"/>
              <w:bottom w:val="single" w:sz="4" w:space="0" w:color="auto"/>
              <w:right w:val="single" w:sz="4" w:space="0" w:color="auto"/>
            </w:tcBorders>
            <w:shd w:val="clear" w:color="000000" w:fill="FFFF99"/>
            <w:noWrap/>
            <w:vAlign w:val="center"/>
            <w:hideMark/>
          </w:tcPr>
          <w:p w14:paraId="79242977" w14:textId="77777777" w:rsidR="005F3233" w:rsidRPr="005F3233" w:rsidRDefault="005F3233" w:rsidP="005F3233">
            <w:pPr>
              <w:spacing w:after="0" w:line="240" w:lineRule="auto"/>
              <w:jc w:val="center"/>
              <w:rPr>
                <w:rFonts w:ascii="Calibri" w:eastAsia="Times New Roman" w:hAnsi="Calibri" w:cs="Calibri"/>
                <w:sz w:val="24"/>
                <w:szCs w:val="24"/>
                <w:lang w:eastAsia="hr-HR"/>
              </w:rPr>
            </w:pPr>
            <w:r w:rsidRPr="005F3233">
              <w:rPr>
                <w:rFonts w:ascii="Calibri" w:eastAsia="Times New Roman" w:hAnsi="Calibri" w:cs="Calibri"/>
                <w:sz w:val="24"/>
                <w:szCs w:val="24"/>
                <w:lang w:eastAsia="hr-HR"/>
              </w:rPr>
              <w:t>0</w:t>
            </w:r>
          </w:p>
        </w:tc>
        <w:tc>
          <w:tcPr>
            <w:tcW w:w="699" w:type="dxa"/>
            <w:tcBorders>
              <w:top w:val="nil"/>
              <w:left w:val="nil"/>
              <w:bottom w:val="single" w:sz="4" w:space="0" w:color="auto"/>
              <w:right w:val="single" w:sz="4" w:space="0" w:color="auto"/>
            </w:tcBorders>
            <w:shd w:val="clear" w:color="000000" w:fill="FFFF99"/>
            <w:noWrap/>
            <w:vAlign w:val="center"/>
            <w:hideMark/>
          </w:tcPr>
          <w:p w14:paraId="7B57B5EF" w14:textId="77777777" w:rsidR="005F3233" w:rsidRPr="005F3233" w:rsidRDefault="005F3233" w:rsidP="005F3233">
            <w:pPr>
              <w:spacing w:after="0" w:line="240" w:lineRule="auto"/>
              <w:jc w:val="center"/>
              <w:rPr>
                <w:rFonts w:ascii="Calibri" w:eastAsia="Times New Roman" w:hAnsi="Calibri" w:cs="Calibri"/>
                <w:sz w:val="24"/>
                <w:szCs w:val="24"/>
                <w:lang w:eastAsia="hr-HR"/>
              </w:rPr>
            </w:pPr>
            <w:r w:rsidRPr="005F3233">
              <w:rPr>
                <w:rFonts w:ascii="Calibri" w:eastAsia="Times New Roman" w:hAnsi="Calibri" w:cs="Calibri"/>
                <w:sz w:val="24"/>
                <w:szCs w:val="24"/>
                <w:lang w:eastAsia="hr-HR"/>
              </w:rPr>
              <w:t>0</w:t>
            </w:r>
          </w:p>
        </w:tc>
        <w:tc>
          <w:tcPr>
            <w:tcW w:w="700" w:type="dxa"/>
            <w:tcBorders>
              <w:top w:val="nil"/>
              <w:left w:val="nil"/>
              <w:bottom w:val="single" w:sz="4" w:space="0" w:color="auto"/>
              <w:right w:val="single" w:sz="4" w:space="0" w:color="auto"/>
            </w:tcBorders>
            <w:shd w:val="clear" w:color="000000" w:fill="FFFF99"/>
            <w:noWrap/>
            <w:vAlign w:val="center"/>
            <w:hideMark/>
          </w:tcPr>
          <w:p w14:paraId="6EEB8DD4" w14:textId="77777777" w:rsidR="005F3233" w:rsidRPr="005F3233" w:rsidRDefault="005F3233" w:rsidP="005F3233">
            <w:pPr>
              <w:spacing w:after="0" w:line="240" w:lineRule="auto"/>
              <w:jc w:val="center"/>
              <w:rPr>
                <w:rFonts w:ascii="Calibri" w:eastAsia="Times New Roman" w:hAnsi="Calibri" w:cs="Calibri"/>
                <w:sz w:val="24"/>
                <w:szCs w:val="24"/>
                <w:lang w:eastAsia="hr-HR"/>
              </w:rPr>
            </w:pPr>
            <w:r w:rsidRPr="005F3233">
              <w:rPr>
                <w:rFonts w:ascii="Calibri" w:eastAsia="Times New Roman" w:hAnsi="Calibri" w:cs="Calibri"/>
                <w:sz w:val="24"/>
                <w:szCs w:val="24"/>
                <w:lang w:eastAsia="hr-HR"/>
              </w:rPr>
              <w:t>0</w:t>
            </w:r>
          </w:p>
        </w:tc>
        <w:tc>
          <w:tcPr>
            <w:tcW w:w="464" w:type="dxa"/>
            <w:tcBorders>
              <w:top w:val="nil"/>
              <w:left w:val="nil"/>
              <w:bottom w:val="single" w:sz="4" w:space="0" w:color="auto"/>
              <w:right w:val="single" w:sz="4" w:space="0" w:color="auto"/>
            </w:tcBorders>
            <w:shd w:val="clear" w:color="000000" w:fill="FFFF99"/>
            <w:noWrap/>
            <w:vAlign w:val="center"/>
            <w:hideMark/>
          </w:tcPr>
          <w:p w14:paraId="5DACEF88" w14:textId="77777777" w:rsidR="005F3233" w:rsidRPr="005F3233" w:rsidRDefault="005F3233" w:rsidP="005F3233">
            <w:pPr>
              <w:spacing w:after="0" w:line="240" w:lineRule="auto"/>
              <w:jc w:val="center"/>
              <w:rPr>
                <w:rFonts w:ascii="Calibri" w:eastAsia="Times New Roman" w:hAnsi="Calibri" w:cs="Calibri"/>
                <w:sz w:val="24"/>
                <w:szCs w:val="24"/>
                <w:lang w:eastAsia="hr-HR"/>
              </w:rPr>
            </w:pPr>
            <w:r w:rsidRPr="005F3233">
              <w:rPr>
                <w:rFonts w:ascii="Calibri" w:eastAsia="Times New Roman" w:hAnsi="Calibri" w:cs="Calibri"/>
                <w:sz w:val="24"/>
                <w:szCs w:val="24"/>
                <w:lang w:eastAsia="hr-HR"/>
              </w:rPr>
              <w:t>0</w:t>
            </w:r>
          </w:p>
        </w:tc>
        <w:tc>
          <w:tcPr>
            <w:tcW w:w="700" w:type="dxa"/>
            <w:tcBorders>
              <w:top w:val="nil"/>
              <w:left w:val="nil"/>
              <w:bottom w:val="single" w:sz="4" w:space="0" w:color="auto"/>
              <w:right w:val="single" w:sz="4" w:space="0" w:color="auto"/>
            </w:tcBorders>
            <w:shd w:val="clear" w:color="000000" w:fill="FFFF99"/>
            <w:noWrap/>
            <w:vAlign w:val="center"/>
            <w:hideMark/>
          </w:tcPr>
          <w:p w14:paraId="4E6E1570" w14:textId="77777777" w:rsidR="005F3233" w:rsidRPr="005F3233" w:rsidRDefault="005F3233" w:rsidP="005F3233">
            <w:pPr>
              <w:spacing w:after="0" w:line="240" w:lineRule="auto"/>
              <w:jc w:val="center"/>
              <w:rPr>
                <w:rFonts w:ascii="Calibri" w:eastAsia="Times New Roman" w:hAnsi="Calibri" w:cs="Calibri"/>
                <w:sz w:val="24"/>
                <w:szCs w:val="24"/>
                <w:lang w:eastAsia="hr-HR"/>
              </w:rPr>
            </w:pPr>
            <w:r w:rsidRPr="005F3233">
              <w:rPr>
                <w:rFonts w:ascii="Calibri" w:eastAsia="Times New Roman" w:hAnsi="Calibri" w:cs="Calibri"/>
                <w:sz w:val="24"/>
                <w:szCs w:val="24"/>
                <w:lang w:eastAsia="hr-HR"/>
              </w:rPr>
              <w:t>2</w:t>
            </w:r>
          </w:p>
        </w:tc>
        <w:tc>
          <w:tcPr>
            <w:tcW w:w="434" w:type="dxa"/>
            <w:tcBorders>
              <w:top w:val="nil"/>
              <w:left w:val="nil"/>
              <w:bottom w:val="single" w:sz="4" w:space="0" w:color="auto"/>
              <w:right w:val="single" w:sz="4" w:space="0" w:color="auto"/>
            </w:tcBorders>
            <w:shd w:val="clear" w:color="000000" w:fill="FFFF99"/>
            <w:noWrap/>
            <w:vAlign w:val="center"/>
            <w:hideMark/>
          </w:tcPr>
          <w:p w14:paraId="70394C24" w14:textId="77777777" w:rsidR="005F3233" w:rsidRPr="005F3233" w:rsidRDefault="005F3233" w:rsidP="005F3233">
            <w:pPr>
              <w:spacing w:after="0" w:line="240" w:lineRule="auto"/>
              <w:jc w:val="center"/>
              <w:rPr>
                <w:rFonts w:ascii="Calibri" w:eastAsia="Times New Roman" w:hAnsi="Calibri" w:cs="Calibri"/>
                <w:sz w:val="24"/>
                <w:szCs w:val="24"/>
                <w:lang w:eastAsia="hr-HR"/>
              </w:rPr>
            </w:pPr>
            <w:r w:rsidRPr="005F3233">
              <w:rPr>
                <w:rFonts w:ascii="Calibri" w:eastAsia="Times New Roman" w:hAnsi="Calibri" w:cs="Calibri"/>
                <w:sz w:val="24"/>
                <w:szCs w:val="24"/>
                <w:lang w:eastAsia="hr-HR"/>
              </w:rPr>
              <w:t>0</w:t>
            </w:r>
          </w:p>
        </w:tc>
        <w:tc>
          <w:tcPr>
            <w:tcW w:w="426" w:type="dxa"/>
            <w:tcBorders>
              <w:top w:val="nil"/>
              <w:left w:val="nil"/>
              <w:bottom w:val="single" w:sz="4" w:space="0" w:color="auto"/>
              <w:right w:val="single" w:sz="4" w:space="0" w:color="auto"/>
            </w:tcBorders>
            <w:shd w:val="clear" w:color="000000" w:fill="FF9900"/>
            <w:noWrap/>
            <w:vAlign w:val="center"/>
            <w:hideMark/>
          </w:tcPr>
          <w:p w14:paraId="612AF4D7" w14:textId="77777777" w:rsidR="005F3233" w:rsidRPr="005F3233" w:rsidRDefault="005F3233" w:rsidP="005F3233">
            <w:pPr>
              <w:spacing w:after="0" w:line="240" w:lineRule="auto"/>
              <w:jc w:val="center"/>
              <w:rPr>
                <w:rFonts w:ascii="Calibri" w:eastAsia="Times New Roman" w:hAnsi="Calibri" w:cs="Calibri"/>
                <w:sz w:val="24"/>
                <w:szCs w:val="24"/>
                <w:lang w:eastAsia="hr-HR"/>
              </w:rPr>
            </w:pPr>
            <w:r w:rsidRPr="005F3233">
              <w:rPr>
                <w:rFonts w:ascii="Calibri" w:eastAsia="Times New Roman" w:hAnsi="Calibri" w:cs="Calibri"/>
                <w:sz w:val="24"/>
                <w:szCs w:val="24"/>
                <w:lang w:eastAsia="hr-HR"/>
              </w:rPr>
              <w:t>1</w:t>
            </w:r>
          </w:p>
        </w:tc>
        <w:tc>
          <w:tcPr>
            <w:tcW w:w="425" w:type="dxa"/>
            <w:tcBorders>
              <w:top w:val="nil"/>
              <w:left w:val="nil"/>
              <w:bottom w:val="single" w:sz="4" w:space="0" w:color="auto"/>
              <w:right w:val="single" w:sz="4" w:space="0" w:color="auto"/>
            </w:tcBorders>
            <w:shd w:val="clear" w:color="000000" w:fill="FF9900"/>
            <w:noWrap/>
            <w:vAlign w:val="center"/>
            <w:hideMark/>
          </w:tcPr>
          <w:p w14:paraId="47FFCE5F" w14:textId="77777777" w:rsidR="005F3233" w:rsidRPr="005F3233" w:rsidRDefault="005F3233" w:rsidP="005F3233">
            <w:pPr>
              <w:spacing w:after="0" w:line="240" w:lineRule="auto"/>
              <w:jc w:val="center"/>
              <w:rPr>
                <w:rFonts w:ascii="Calibri" w:eastAsia="Times New Roman" w:hAnsi="Calibri" w:cs="Calibri"/>
                <w:sz w:val="24"/>
                <w:szCs w:val="24"/>
                <w:lang w:eastAsia="hr-HR"/>
              </w:rPr>
            </w:pPr>
            <w:r w:rsidRPr="005F3233">
              <w:rPr>
                <w:rFonts w:ascii="Calibri" w:eastAsia="Times New Roman" w:hAnsi="Calibri" w:cs="Calibri"/>
                <w:sz w:val="24"/>
                <w:szCs w:val="24"/>
                <w:lang w:eastAsia="hr-HR"/>
              </w:rPr>
              <w:t>0</w:t>
            </w:r>
          </w:p>
        </w:tc>
        <w:tc>
          <w:tcPr>
            <w:tcW w:w="442" w:type="dxa"/>
            <w:tcBorders>
              <w:top w:val="nil"/>
              <w:left w:val="nil"/>
              <w:bottom w:val="single" w:sz="4" w:space="0" w:color="auto"/>
              <w:right w:val="single" w:sz="4" w:space="0" w:color="auto"/>
            </w:tcBorders>
            <w:shd w:val="clear" w:color="000000" w:fill="FF9900"/>
            <w:noWrap/>
            <w:vAlign w:val="center"/>
            <w:hideMark/>
          </w:tcPr>
          <w:p w14:paraId="3B9CEC6D" w14:textId="77777777" w:rsidR="005F3233" w:rsidRPr="005F3233" w:rsidRDefault="005F3233" w:rsidP="005F3233">
            <w:pPr>
              <w:spacing w:after="0" w:line="240" w:lineRule="auto"/>
              <w:jc w:val="center"/>
              <w:rPr>
                <w:rFonts w:ascii="Calibri" w:eastAsia="Times New Roman" w:hAnsi="Calibri" w:cs="Calibri"/>
                <w:sz w:val="24"/>
                <w:szCs w:val="24"/>
                <w:lang w:eastAsia="hr-HR"/>
              </w:rPr>
            </w:pPr>
            <w:r w:rsidRPr="005F3233">
              <w:rPr>
                <w:rFonts w:ascii="Calibri" w:eastAsia="Times New Roman" w:hAnsi="Calibri" w:cs="Calibri"/>
                <w:sz w:val="24"/>
                <w:szCs w:val="24"/>
                <w:lang w:eastAsia="hr-HR"/>
              </w:rPr>
              <w:t>1</w:t>
            </w:r>
          </w:p>
        </w:tc>
        <w:tc>
          <w:tcPr>
            <w:tcW w:w="451" w:type="dxa"/>
            <w:tcBorders>
              <w:top w:val="nil"/>
              <w:left w:val="nil"/>
              <w:bottom w:val="single" w:sz="4" w:space="0" w:color="auto"/>
              <w:right w:val="single" w:sz="4" w:space="0" w:color="auto"/>
            </w:tcBorders>
            <w:shd w:val="clear" w:color="auto" w:fill="auto"/>
            <w:vAlign w:val="center"/>
            <w:hideMark/>
          </w:tcPr>
          <w:p w14:paraId="0E26EA3E" w14:textId="77777777" w:rsidR="005F3233" w:rsidRPr="005F3233" w:rsidRDefault="005F3233" w:rsidP="005F3233">
            <w:pPr>
              <w:spacing w:after="0" w:line="240" w:lineRule="auto"/>
              <w:jc w:val="center"/>
              <w:rPr>
                <w:rFonts w:ascii="Calibri" w:eastAsia="Times New Roman" w:hAnsi="Calibri" w:cs="Calibri"/>
                <w:b/>
                <w:bCs/>
                <w:sz w:val="24"/>
                <w:szCs w:val="24"/>
                <w:lang w:eastAsia="hr-HR"/>
              </w:rPr>
            </w:pPr>
            <w:r w:rsidRPr="005F3233">
              <w:rPr>
                <w:rFonts w:ascii="Calibri" w:eastAsia="Times New Roman" w:hAnsi="Calibri" w:cs="Calibri"/>
                <w:b/>
                <w:bCs/>
                <w:sz w:val="24"/>
                <w:szCs w:val="24"/>
                <w:lang w:eastAsia="hr-HR"/>
              </w:rPr>
              <w:t>2</w:t>
            </w:r>
          </w:p>
        </w:tc>
        <w:tc>
          <w:tcPr>
            <w:tcW w:w="383" w:type="dxa"/>
            <w:gridSpan w:val="2"/>
            <w:tcBorders>
              <w:top w:val="nil"/>
              <w:left w:val="nil"/>
              <w:bottom w:val="single" w:sz="4" w:space="0" w:color="auto"/>
              <w:right w:val="single" w:sz="4" w:space="0" w:color="auto"/>
            </w:tcBorders>
            <w:shd w:val="clear" w:color="000000" w:fill="FFFF00"/>
            <w:noWrap/>
            <w:vAlign w:val="center"/>
            <w:hideMark/>
          </w:tcPr>
          <w:p w14:paraId="05F4FB6F" w14:textId="77777777" w:rsidR="005F3233" w:rsidRPr="005F3233" w:rsidRDefault="005F3233" w:rsidP="005F3233">
            <w:pPr>
              <w:spacing w:after="0" w:line="240" w:lineRule="auto"/>
              <w:jc w:val="center"/>
              <w:rPr>
                <w:rFonts w:ascii="Calibri" w:eastAsia="Times New Roman" w:hAnsi="Calibri" w:cs="Calibri"/>
                <w:sz w:val="24"/>
                <w:szCs w:val="24"/>
                <w:lang w:eastAsia="hr-HR"/>
              </w:rPr>
            </w:pPr>
            <w:r w:rsidRPr="005F3233">
              <w:rPr>
                <w:rFonts w:ascii="Calibri" w:eastAsia="Times New Roman" w:hAnsi="Calibri" w:cs="Calibri"/>
                <w:sz w:val="24"/>
                <w:szCs w:val="24"/>
                <w:lang w:eastAsia="hr-HR"/>
              </w:rPr>
              <w:t>0</w:t>
            </w:r>
          </w:p>
        </w:tc>
        <w:tc>
          <w:tcPr>
            <w:tcW w:w="392" w:type="dxa"/>
            <w:tcBorders>
              <w:top w:val="nil"/>
              <w:left w:val="nil"/>
              <w:bottom w:val="single" w:sz="4" w:space="0" w:color="auto"/>
              <w:right w:val="single" w:sz="4" w:space="0" w:color="auto"/>
            </w:tcBorders>
            <w:shd w:val="clear" w:color="000000" w:fill="FFFF00"/>
            <w:noWrap/>
            <w:vAlign w:val="center"/>
            <w:hideMark/>
          </w:tcPr>
          <w:p w14:paraId="225E7990" w14:textId="77777777" w:rsidR="005F3233" w:rsidRPr="005F3233" w:rsidRDefault="005F3233" w:rsidP="005F3233">
            <w:pPr>
              <w:spacing w:after="0" w:line="240" w:lineRule="auto"/>
              <w:jc w:val="center"/>
              <w:rPr>
                <w:rFonts w:ascii="Calibri" w:eastAsia="Times New Roman" w:hAnsi="Calibri" w:cs="Calibri"/>
                <w:sz w:val="24"/>
                <w:szCs w:val="24"/>
                <w:lang w:eastAsia="hr-HR"/>
              </w:rPr>
            </w:pPr>
            <w:r w:rsidRPr="005F3233">
              <w:rPr>
                <w:rFonts w:ascii="Calibri" w:eastAsia="Times New Roman" w:hAnsi="Calibri" w:cs="Calibri"/>
                <w:sz w:val="24"/>
                <w:szCs w:val="24"/>
                <w:lang w:eastAsia="hr-HR"/>
              </w:rPr>
              <w:t>1</w:t>
            </w:r>
          </w:p>
        </w:tc>
        <w:tc>
          <w:tcPr>
            <w:tcW w:w="400" w:type="dxa"/>
            <w:tcBorders>
              <w:top w:val="nil"/>
              <w:left w:val="nil"/>
              <w:bottom w:val="single" w:sz="4" w:space="0" w:color="auto"/>
              <w:right w:val="single" w:sz="4" w:space="0" w:color="auto"/>
            </w:tcBorders>
            <w:shd w:val="clear" w:color="000000" w:fill="FFFF00"/>
            <w:noWrap/>
            <w:vAlign w:val="center"/>
            <w:hideMark/>
          </w:tcPr>
          <w:p w14:paraId="1D6A518C" w14:textId="77777777" w:rsidR="005F3233" w:rsidRPr="005F3233" w:rsidRDefault="005F3233" w:rsidP="005F3233">
            <w:pPr>
              <w:spacing w:after="0" w:line="240" w:lineRule="auto"/>
              <w:jc w:val="center"/>
              <w:rPr>
                <w:rFonts w:ascii="Calibri" w:eastAsia="Times New Roman" w:hAnsi="Calibri" w:cs="Calibri"/>
                <w:sz w:val="24"/>
                <w:szCs w:val="24"/>
                <w:lang w:eastAsia="hr-HR"/>
              </w:rPr>
            </w:pPr>
            <w:r w:rsidRPr="005F3233">
              <w:rPr>
                <w:rFonts w:ascii="Calibri" w:eastAsia="Times New Roman" w:hAnsi="Calibri" w:cs="Calibri"/>
                <w:sz w:val="24"/>
                <w:szCs w:val="24"/>
                <w:lang w:eastAsia="hr-HR"/>
              </w:rPr>
              <w:t>0</w:t>
            </w:r>
          </w:p>
        </w:tc>
        <w:tc>
          <w:tcPr>
            <w:tcW w:w="409" w:type="dxa"/>
            <w:tcBorders>
              <w:top w:val="nil"/>
              <w:left w:val="nil"/>
              <w:bottom w:val="single" w:sz="4" w:space="0" w:color="auto"/>
              <w:right w:val="single" w:sz="4" w:space="0" w:color="auto"/>
            </w:tcBorders>
            <w:shd w:val="clear" w:color="auto" w:fill="auto"/>
            <w:vAlign w:val="center"/>
            <w:hideMark/>
          </w:tcPr>
          <w:p w14:paraId="12C71F3C" w14:textId="77777777" w:rsidR="005F3233" w:rsidRPr="005F3233" w:rsidRDefault="005F3233" w:rsidP="005F3233">
            <w:pPr>
              <w:spacing w:after="0" w:line="240" w:lineRule="auto"/>
              <w:jc w:val="center"/>
              <w:rPr>
                <w:rFonts w:ascii="Calibri" w:eastAsia="Times New Roman" w:hAnsi="Calibri" w:cs="Calibri"/>
                <w:b/>
                <w:bCs/>
                <w:sz w:val="24"/>
                <w:szCs w:val="24"/>
                <w:lang w:eastAsia="hr-HR"/>
              </w:rPr>
            </w:pPr>
            <w:r w:rsidRPr="005F3233">
              <w:rPr>
                <w:rFonts w:ascii="Calibri" w:eastAsia="Times New Roman" w:hAnsi="Calibri" w:cs="Calibri"/>
                <w:b/>
                <w:bCs/>
                <w:sz w:val="24"/>
                <w:szCs w:val="24"/>
                <w:lang w:eastAsia="hr-HR"/>
              </w:rPr>
              <w:t>1</w:t>
            </w:r>
          </w:p>
        </w:tc>
        <w:tc>
          <w:tcPr>
            <w:tcW w:w="499" w:type="dxa"/>
            <w:gridSpan w:val="2"/>
            <w:tcBorders>
              <w:top w:val="nil"/>
              <w:left w:val="nil"/>
              <w:bottom w:val="single" w:sz="4" w:space="0" w:color="auto"/>
              <w:right w:val="single" w:sz="4" w:space="0" w:color="auto"/>
            </w:tcBorders>
            <w:shd w:val="clear" w:color="000000" w:fill="FFFF00"/>
            <w:vAlign w:val="center"/>
            <w:hideMark/>
          </w:tcPr>
          <w:p w14:paraId="7C05FD30" w14:textId="77777777" w:rsidR="005F3233" w:rsidRPr="005F3233" w:rsidRDefault="005F3233" w:rsidP="005F3233">
            <w:pPr>
              <w:spacing w:after="0" w:line="240" w:lineRule="auto"/>
              <w:jc w:val="center"/>
              <w:rPr>
                <w:rFonts w:ascii="Calibri" w:eastAsia="Times New Roman" w:hAnsi="Calibri" w:cs="Calibri"/>
                <w:b/>
                <w:bCs/>
                <w:sz w:val="24"/>
                <w:szCs w:val="24"/>
                <w:lang w:eastAsia="hr-HR"/>
              </w:rPr>
            </w:pPr>
            <w:r w:rsidRPr="005F3233">
              <w:rPr>
                <w:rFonts w:ascii="Calibri" w:eastAsia="Times New Roman" w:hAnsi="Calibri" w:cs="Calibri"/>
                <w:b/>
                <w:bCs/>
                <w:sz w:val="24"/>
                <w:szCs w:val="24"/>
                <w:lang w:eastAsia="hr-HR"/>
              </w:rPr>
              <w:t>2</w:t>
            </w:r>
          </w:p>
        </w:tc>
        <w:tc>
          <w:tcPr>
            <w:tcW w:w="567" w:type="dxa"/>
            <w:tcBorders>
              <w:top w:val="nil"/>
              <w:left w:val="nil"/>
              <w:bottom w:val="single" w:sz="4" w:space="0" w:color="auto"/>
              <w:right w:val="single" w:sz="4" w:space="0" w:color="auto"/>
            </w:tcBorders>
            <w:shd w:val="clear" w:color="000000" w:fill="FF9900"/>
            <w:noWrap/>
            <w:vAlign w:val="center"/>
            <w:hideMark/>
          </w:tcPr>
          <w:p w14:paraId="0CCF03B7" w14:textId="77777777" w:rsidR="005F3233" w:rsidRPr="005F3233" w:rsidRDefault="005F3233" w:rsidP="005F3233">
            <w:pPr>
              <w:spacing w:after="0" w:line="240" w:lineRule="auto"/>
              <w:jc w:val="center"/>
              <w:rPr>
                <w:rFonts w:ascii="Calibri" w:eastAsia="Times New Roman" w:hAnsi="Calibri" w:cs="Calibri"/>
                <w:sz w:val="24"/>
                <w:szCs w:val="24"/>
                <w:lang w:eastAsia="hr-HR"/>
              </w:rPr>
            </w:pPr>
            <w:r w:rsidRPr="005F3233">
              <w:rPr>
                <w:rFonts w:ascii="Calibri" w:eastAsia="Times New Roman" w:hAnsi="Calibri" w:cs="Calibri"/>
                <w:sz w:val="24"/>
                <w:szCs w:val="24"/>
                <w:lang w:eastAsia="hr-HR"/>
              </w:rPr>
              <w:t>1</w:t>
            </w:r>
          </w:p>
        </w:tc>
        <w:tc>
          <w:tcPr>
            <w:tcW w:w="425" w:type="dxa"/>
            <w:gridSpan w:val="2"/>
            <w:tcBorders>
              <w:top w:val="nil"/>
              <w:left w:val="nil"/>
              <w:bottom w:val="single" w:sz="4" w:space="0" w:color="auto"/>
              <w:right w:val="single" w:sz="4" w:space="0" w:color="auto"/>
            </w:tcBorders>
            <w:shd w:val="clear" w:color="000000" w:fill="CCFFFF"/>
            <w:noWrap/>
            <w:vAlign w:val="center"/>
            <w:hideMark/>
          </w:tcPr>
          <w:p w14:paraId="7CCE3EE5" w14:textId="77777777" w:rsidR="005F3233" w:rsidRPr="005F3233" w:rsidRDefault="005F3233" w:rsidP="005F3233">
            <w:pPr>
              <w:spacing w:after="0" w:line="240" w:lineRule="auto"/>
              <w:jc w:val="center"/>
              <w:rPr>
                <w:rFonts w:ascii="Calibri" w:eastAsia="Times New Roman" w:hAnsi="Calibri" w:cs="Calibri"/>
                <w:sz w:val="24"/>
                <w:szCs w:val="24"/>
                <w:lang w:eastAsia="hr-HR"/>
              </w:rPr>
            </w:pPr>
            <w:r w:rsidRPr="005F3233">
              <w:rPr>
                <w:rFonts w:ascii="Calibri" w:eastAsia="Times New Roman" w:hAnsi="Calibri" w:cs="Calibri"/>
                <w:sz w:val="24"/>
                <w:szCs w:val="24"/>
                <w:lang w:eastAsia="hr-HR"/>
              </w:rPr>
              <w:t>0</w:t>
            </w:r>
          </w:p>
        </w:tc>
        <w:tc>
          <w:tcPr>
            <w:tcW w:w="434" w:type="dxa"/>
            <w:gridSpan w:val="2"/>
            <w:tcBorders>
              <w:top w:val="nil"/>
              <w:left w:val="nil"/>
              <w:bottom w:val="single" w:sz="4" w:space="0" w:color="auto"/>
              <w:right w:val="single" w:sz="4" w:space="0" w:color="auto"/>
            </w:tcBorders>
            <w:shd w:val="clear" w:color="000000" w:fill="CCFFFF"/>
            <w:noWrap/>
            <w:vAlign w:val="center"/>
            <w:hideMark/>
          </w:tcPr>
          <w:p w14:paraId="0F4FD8F8" w14:textId="77777777" w:rsidR="005F3233" w:rsidRPr="005F3233" w:rsidRDefault="005F3233" w:rsidP="005F3233">
            <w:pPr>
              <w:spacing w:after="0" w:line="240" w:lineRule="auto"/>
              <w:jc w:val="center"/>
              <w:rPr>
                <w:rFonts w:ascii="Calibri" w:eastAsia="Times New Roman" w:hAnsi="Calibri" w:cs="Calibri"/>
                <w:sz w:val="24"/>
                <w:szCs w:val="24"/>
                <w:lang w:eastAsia="hr-HR"/>
              </w:rPr>
            </w:pPr>
            <w:r w:rsidRPr="005F3233">
              <w:rPr>
                <w:rFonts w:ascii="Calibri" w:eastAsia="Times New Roman" w:hAnsi="Calibri" w:cs="Calibri"/>
                <w:sz w:val="24"/>
                <w:szCs w:val="24"/>
                <w:lang w:eastAsia="hr-HR"/>
              </w:rPr>
              <w:t>0</w:t>
            </w:r>
          </w:p>
        </w:tc>
        <w:tc>
          <w:tcPr>
            <w:tcW w:w="417" w:type="dxa"/>
            <w:tcBorders>
              <w:top w:val="nil"/>
              <w:left w:val="nil"/>
              <w:bottom w:val="single" w:sz="4" w:space="0" w:color="auto"/>
              <w:right w:val="single" w:sz="4" w:space="0" w:color="auto"/>
            </w:tcBorders>
            <w:shd w:val="clear" w:color="000000" w:fill="CCFFFF"/>
            <w:noWrap/>
            <w:vAlign w:val="center"/>
            <w:hideMark/>
          </w:tcPr>
          <w:p w14:paraId="05436CA7" w14:textId="77777777" w:rsidR="005F3233" w:rsidRPr="005F3233" w:rsidRDefault="005F3233" w:rsidP="005F3233">
            <w:pPr>
              <w:spacing w:after="0" w:line="240" w:lineRule="auto"/>
              <w:jc w:val="center"/>
              <w:rPr>
                <w:rFonts w:ascii="Calibri" w:eastAsia="Times New Roman" w:hAnsi="Calibri" w:cs="Calibri"/>
                <w:sz w:val="24"/>
                <w:szCs w:val="24"/>
                <w:lang w:eastAsia="hr-HR"/>
              </w:rPr>
            </w:pPr>
            <w:r w:rsidRPr="005F3233">
              <w:rPr>
                <w:rFonts w:ascii="Calibri" w:eastAsia="Times New Roman" w:hAnsi="Calibri" w:cs="Calibri"/>
                <w:sz w:val="24"/>
                <w:szCs w:val="24"/>
                <w:lang w:eastAsia="hr-HR"/>
              </w:rPr>
              <w:t>1</w:t>
            </w:r>
          </w:p>
        </w:tc>
        <w:tc>
          <w:tcPr>
            <w:tcW w:w="425" w:type="dxa"/>
            <w:gridSpan w:val="3"/>
            <w:tcBorders>
              <w:top w:val="nil"/>
              <w:left w:val="nil"/>
              <w:bottom w:val="single" w:sz="4" w:space="0" w:color="auto"/>
              <w:right w:val="single" w:sz="8" w:space="0" w:color="auto"/>
            </w:tcBorders>
            <w:shd w:val="clear" w:color="000000" w:fill="33CCCC"/>
            <w:noWrap/>
            <w:vAlign w:val="center"/>
            <w:hideMark/>
          </w:tcPr>
          <w:p w14:paraId="06ABEBE2" w14:textId="77777777" w:rsidR="005F3233" w:rsidRPr="005F3233" w:rsidRDefault="005F3233" w:rsidP="005F3233">
            <w:pPr>
              <w:spacing w:after="0" w:line="240" w:lineRule="auto"/>
              <w:jc w:val="center"/>
              <w:rPr>
                <w:rFonts w:ascii="Calibri" w:eastAsia="Times New Roman" w:hAnsi="Calibri" w:cs="Calibri"/>
                <w:sz w:val="24"/>
                <w:szCs w:val="24"/>
                <w:lang w:eastAsia="hr-HR"/>
              </w:rPr>
            </w:pPr>
            <w:r w:rsidRPr="005F3233">
              <w:rPr>
                <w:rFonts w:ascii="Calibri" w:eastAsia="Times New Roman" w:hAnsi="Calibri" w:cs="Calibri"/>
                <w:sz w:val="24"/>
                <w:szCs w:val="24"/>
                <w:lang w:eastAsia="hr-HR"/>
              </w:rPr>
              <w:t>2</w:t>
            </w:r>
          </w:p>
        </w:tc>
        <w:tc>
          <w:tcPr>
            <w:tcW w:w="569" w:type="dxa"/>
            <w:gridSpan w:val="2"/>
            <w:tcBorders>
              <w:top w:val="nil"/>
              <w:left w:val="single" w:sz="4" w:space="0" w:color="auto"/>
              <w:bottom w:val="single" w:sz="4" w:space="0" w:color="auto"/>
              <w:right w:val="single" w:sz="8" w:space="0" w:color="auto"/>
            </w:tcBorders>
            <w:shd w:val="clear" w:color="000000" w:fill="33CCCC"/>
            <w:noWrap/>
            <w:vAlign w:val="center"/>
            <w:hideMark/>
          </w:tcPr>
          <w:p w14:paraId="0C84ECD6" w14:textId="77777777" w:rsidR="005F3233" w:rsidRPr="005F3233" w:rsidRDefault="005F3233" w:rsidP="005F3233">
            <w:pPr>
              <w:spacing w:after="0" w:line="240" w:lineRule="auto"/>
              <w:jc w:val="center"/>
              <w:rPr>
                <w:rFonts w:ascii="Calibri" w:eastAsia="Times New Roman" w:hAnsi="Calibri" w:cs="Calibri"/>
                <w:sz w:val="24"/>
                <w:szCs w:val="24"/>
                <w:lang w:eastAsia="hr-HR"/>
              </w:rPr>
            </w:pPr>
            <w:r w:rsidRPr="005F3233">
              <w:rPr>
                <w:rFonts w:ascii="Calibri" w:eastAsia="Times New Roman" w:hAnsi="Calibri" w:cs="Calibri"/>
                <w:sz w:val="24"/>
                <w:szCs w:val="24"/>
                <w:lang w:eastAsia="hr-HR"/>
              </w:rPr>
              <w:t>0</w:t>
            </w:r>
          </w:p>
        </w:tc>
        <w:tc>
          <w:tcPr>
            <w:tcW w:w="236" w:type="dxa"/>
            <w:gridSpan w:val="3"/>
            <w:vAlign w:val="center"/>
            <w:hideMark/>
          </w:tcPr>
          <w:p w14:paraId="627E75E7" w14:textId="77777777" w:rsidR="005F3233" w:rsidRPr="005F3233" w:rsidRDefault="005F3233" w:rsidP="005F3233">
            <w:pPr>
              <w:spacing w:after="0" w:line="240" w:lineRule="auto"/>
              <w:rPr>
                <w:rFonts w:ascii="Times New Roman" w:eastAsia="Times New Roman" w:hAnsi="Times New Roman" w:cs="Times New Roman"/>
                <w:sz w:val="20"/>
                <w:szCs w:val="20"/>
                <w:lang w:eastAsia="hr-HR"/>
              </w:rPr>
            </w:pPr>
          </w:p>
        </w:tc>
      </w:tr>
      <w:tr w:rsidR="005F3233" w:rsidRPr="005F3233" w14:paraId="1F48B033" w14:textId="77777777" w:rsidTr="000271A1">
        <w:trPr>
          <w:gridBefore w:val="1"/>
          <w:gridAfter w:val="2"/>
          <w:wBefore w:w="10" w:type="dxa"/>
          <w:wAfter w:w="237" w:type="dxa"/>
          <w:trHeight w:val="315"/>
        </w:trPr>
        <w:tc>
          <w:tcPr>
            <w:tcW w:w="869" w:type="dxa"/>
            <w:tcBorders>
              <w:top w:val="single" w:sz="4" w:space="0" w:color="auto"/>
              <w:left w:val="single" w:sz="8" w:space="0" w:color="auto"/>
              <w:bottom w:val="single" w:sz="4" w:space="0" w:color="auto"/>
              <w:right w:val="single" w:sz="4" w:space="0" w:color="auto"/>
            </w:tcBorders>
            <w:shd w:val="clear" w:color="000000" w:fill="CCFFCC"/>
            <w:vAlign w:val="center"/>
            <w:hideMark/>
          </w:tcPr>
          <w:p w14:paraId="05CDE45B" w14:textId="77777777" w:rsidR="005F3233" w:rsidRPr="005F3233" w:rsidRDefault="005F3233" w:rsidP="005F3233">
            <w:pPr>
              <w:spacing w:after="0" w:line="240" w:lineRule="auto"/>
              <w:rPr>
                <w:rFonts w:ascii="Calibri" w:eastAsia="Times New Roman" w:hAnsi="Calibri" w:cs="Calibri"/>
                <w:lang w:eastAsia="hr-HR"/>
              </w:rPr>
            </w:pPr>
            <w:r w:rsidRPr="005F3233">
              <w:rPr>
                <w:rFonts w:ascii="Calibri" w:eastAsia="Times New Roman" w:hAnsi="Calibri" w:cs="Calibri"/>
                <w:lang w:eastAsia="hr-HR"/>
              </w:rPr>
              <w:t>Socijalno podrijetlo</w:t>
            </w:r>
          </w:p>
        </w:tc>
        <w:tc>
          <w:tcPr>
            <w:tcW w:w="457" w:type="dxa"/>
            <w:tcBorders>
              <w:top w:val="nil"/>
              <w:left w:val="nil"/>
              <w:bottom w:val="single" w:sz="4" w:space="0" w:color="auto"/>
              <w:right w:val="single" w:sz="4" w:space="0" w:color="auto"/>
            </w:tcBorders>
            <w:shd w:val="clear" w:color="000000" w:fill="FFFF00"/>
            <w:vAlign w:val="center"/>
            <w:hideMark/>
          </w:tcPr>
          <w:p w14:paraId="46BE3313" w14:textId="77777777" w:rsidR="005F3233" w:rsidRPr="005F3233" w:rsidRDefault="005F3233" w:rsidP="005F3233">
            <w:pPr>
              <w:spacing w:after="0" w:line="240" w:lineRule="auto"/>
              <w:jc w:val="center"/>
              <w:rPr>
                <w:rFonts w:ascii="Calibri" w:eastAsia="Times New Roman" w:hAnsi="Calibri" w:cs="Calibri"/>
                <w:b/>
                <w:bCs/>
                <w:lang w:eastAsia="hr-HR"/>
              </w:rPr>
            </w:pPr>
            <w:r w:rsidRPr="005F3233">
              <w:rPr>
                <w:rFonts w:ascii="Calibri" w:eastAsia="Times New Roman" w:hAnsi="Calibri" w:cs="Calibri"/>
                <w:b/>
                <w:bCs/>
                <w:lang w:eastAsia="hr-HR"/>
              </w:rPr>
              <w:t>0</w:t>
            </w:r>
          </w:p>
        </w:tc>
        <w:tc>
          <w:tcPr>
            <w:tcW w:w="449" w:type="dxa"/>
            <w:tcBorders>
              <w:top w:val="nil"/>
              <w:left w:val="nil"/>
              <w:bottom w:val="single" w:sz="4" w:space="0" w:color="auto"/>
              <w:right w:val="single" w:sz="4" w:space="0" w:color="auto"/>
            </w:tcBorders>
            <w:shd w:val="clear" w:color="000000" w:fill="FFCC99"/>
            <w:noWrap/>
            <w:vAlign w:val="center"/>
            <w:hideMark/>
          </w:tcPr>
          <w:p w14:paraId="09BA4CB4" w14:textId="77777777" w:rsidR="005F3233" w:rsidRPr="005F3233" w:rsidRDefault="005F3233" w:rsidP="005F3233">
            <w:pPr>
              <w:spacing w:after="0" w:line="240" w:lineRule="auto"/>
              <w:jc w:val="center"/>
              <w:rPr>
                <w:rFonts w:ascii="Calibri" w:eastAsia="Times New Roman" w:hAnsi="Calibri" w:cs="Calibri"/>
                <w:sz w:val="24"/>
                <w:szCs w:val="24"/>
                <w:lang w:eastAsia="hr-HR"/>
              </w:rPr>
            </w:pPr>
            <w:r w:rsidRPr="005F3233">
              <w:rPr>
                <w:rFonts w:ascii="Calibri" w:eastAsia="Times New Roman" w:hAnsi="Calibri" w:cs="Calibri"/>
                <w:sz w:val="24"/>
                <w:szCs w:val="24"/>
                <w:lang w:eastAsia="hr-HR"/>
              </w:rPr>
              <w:t>0</w:t>
            </w:r>
          </w:p>
        </w:tc>
        <w:tc>
          <w:tcPr>
            <w:tcW w:w="421" w:type="dxa"/>
            <w:tcBorders>
              <w:top w:val="nil"/>
              <w:left w:val="nil"/>
              <w:bottom w:val="single" w:sz="4" w:space="0" w:color="auto"/>
              <w:right w:val="single" w:sz="4" w:space="0" w:color="auto"/>
            </w:tcBorders>
            <w:shd w:val="clear" w:color="000000" w:fill="CCFFFF"/>
            <w:vAlign w:val="center"/>
            <w:hideMark/>
          </w:tcPr>
          <w:p w14:paraId="4B1D3EFA" w14:textId="77777777" w:rsidR="005F3233" w:rsidRPr="005F3233" w:rsidRDefault="005F3233" w:rsidP="005F3233">
            <w:pPr>
              <w:spacing w:after="0" w:line="240" w:lineRule="auto"/>
              <w:jc w:val="center"/>
              <w:rPr>
                <w:rFonts w:ascii="Calibri" w:eastAsia="Times New Roman" w:hAnsi="Calibri" w:cs="Calibri"/>
                <w:sz w:val="24"/>
                <w:szCs w:val="24"/>
                <w:lang w:eastAsia="hr-HR"/>
              </w:rPr>
            </w:pPr>
            <w:r w:rsidRPr="005F3233">
              <w:rPr>
                <w:rFonts w:ascii="Calibri" w:eastAsia="Times New Roman" w:hAnsi="Calibri" w:cs="Calibri"/>
                <w:sz w:val="24"/>
                <w:szCs w:val="24"/>
                <w:lang w:eastAsia="hr-HR"/>
              </w:rPr>
              <w:t>0</w:t>
            </w:r>
          </w:p>
        </w:tc>
        <w:tc>
          <w:tcPr>
            <w:tcW w:w="408" w:type="dxa"/>
            <w:tcBorders>
              <w:top w:val="nil"/>
              <w:left w:val="nil"/>
              <w:bottom w:val="single" w:sz="4" w:space="0" w:color="auto"/>
              <w:right w:val="single" w:sz="4" w:space="0" w:color="auto"/>
            </w:tcBorders>
            <w:shd w:val="clear" w:color="000000" w:fill="CCFFFF"/>
            <w:vAlign w:val="center"/>
            <w:hideMark/>
          </w:tcPr>
          <w:p w14:paraId="3C05CF64" w14:textId="77777777" w:rsidR="005F3233" w:rsidRPr="005F3233" w:rsidRDefault="005F3233" w:rsidP="005F3233">
            <w:pPr>
              <w:spacing w:after="0" w:line="240" w:lineRule="auto"/>
              <w:jc w:val="center"/>
              <w:rPr>
                <w:rFonts w:ascii="Calibri" w:eastAsia="Times New Roman" w:hAnsi="Calibri" w:cs="Calibri"/>
                <w:sz w:val="24"/>
                <w:szCs w:val="24"/>
                <w:lang w:eastAsia="hr-HR"/>
              </w:rPr>
            </w:pPr>
            <w:r w:rsidRPr="005F3233">
              <w:rPr>
                <w:rFonts w:ascii="Calibri" w:eastAsia="Times New Roman" w:hAnsi="Calibri" w:cs="Calibri"/>
                <w:sz w:val="24"/>
                <w:szCs w:val="24"/>
                <w:lang w:eastAsia="hr-HR"/>
              </w:rPr>
              <w:t>0</w:t>
            </w:r>
          </w:p>
        </w:tc>
        <w:tc>
          <w:tcPr>
            <w:tcW w:w="708" w:type="dxa"/>
            <w:tcBorders>
              <w:top w:val="nil"/>
              <w:left w:val="nil"/>
              <w:bottom w:val="single" w:sz="4" w:space="0" w:color="auto"/>
              <w:right w:val="single" w:sz="4" w:space="0" w:color="auto"/>
            </w:tcBorders>
            <w:shd w:val="clear" w:color="000000" w:fill="FFFF99"/>
            <w:noWrap/>
            <w:vAlign w:val="center"/>
            <w:hideMark/>
          </w:tcPr>
          <w:p w14:paraId="45F20F9C" w14:textId="77777777" w:rsidR="005F3233" w:rsidRPr="005F3233" w:rsidRDefault="005F3233" w:rsidP="005F3233">
            <w:pPr>
              <w:spacing w:after="0" w:line="240" w:lineRule="auto"/>
              <w:jc w:val="center"/>
              <w:rPr>
                <w:rFonts w:ascii="Calibri" w:eastAsia="Times New Roman" w:hAnsi="Calibri" w:cs="Calibri"/>
                <w:sz w:val="24"/>
                <w:szCs w:val="24"/>
                <w:lang w:eastAsia="hr-HR"/>
              </w:rPr>
            </w:pPr>
            <w:r w:rsidRPr="005F3233">
              <w:rPr>
                <w:rFonts w:ascii="Calibri" w:eastAsia="Times New Roman" w:hAnsi="Calibri" w:cs="Calibri"/>
                <w:sz w:val="24"/>
                <w:szCs w:val="24"/>
                <w:lang w:eastAsia="hr-HR"/>
              </w:rPr>
              <w:t>0</w:t>
            </w:r>
          </w:p>
        </w:tc>
        <w:tc>
          <w:tcPr>
            <w:tcW w:w="708" w:type="dxa"/>
            <w:tcBorders>
              <w:top w:val="nil"/>
              <w:left w:val="nil"/>
              <w:bottom w:val="single" w:sz="4" w:space="0" w:color="auto"/>
              <w:right w:val="single" w:sz="4" w:space="0" w:color="auto"/>
            </w:tcBorders>
            <w:shd w:val="clear" w:color="000000" w:fill="FFFF99"/>
            <w:noWrap/>
            <w:vAlign w:val="center"/>
            <w:hideMark/>
          </w:tcPr>
          <w:p w14:paraId="724DBD2B" w14:textId="77777777" w:rsidR="005F3233" w:rsidRPr="005F3233" w:rsidRDefault="005F3233" w:rsidP="005F3233">
            <w:pPr>
              <w:spacing w:after="0" w:line="240" w:lineRule="auto"/>
              <w:jc w:val="center"/>
              <w:rPr>
                <w:rFonts w:ascii="Calibri" w:eastAsia="Times New Roman" w:hAnsi="Calibri" w:cs="Calibri"/>
                <w:sz w:val="24"/>
                <w:szCs w:val="24"/>
                <w:lang w:eastAsia="hr-HR"/>
              </w:rPr>
            </w:pPr>
            <w:r w:rsidRPr="005F3233">
              <w:rPr>
                <w:rFonts w:ascii="Calibri" w:eastAsia="Times New Roman" w:hAnsi="Calibri" w:cs="Calibri"/>
                <w:sz w:val="24"/>
                <w:szCs w:val="24"/>
                <w:lang w:eastAsia="hr-HR"/>
              </w:rPr>
              <w:t>0</w:t>
            </w:r>
          </w:p>
        </w:tc>
        <w:tc>
          <w:tcPr>
            <w:tcW w:w="708" w:type="dxa"/>
            <w:tcBorders>
              <w:top w:val="nil"/>
              <w:left w:val="nil"/>
              <w:bottom w:val="single" w:sz="4" w:space="0" w:color="auto"/>
              <w:right w:val="single" w:sz="4" w:space="0" w:color="auto"/>
            </w:tcBorders>
            <w:shd w:val="clear" w:color="000000" w:fill="FFFF99"/>
            <w:noWrap/>
            <w:vAlign w:val="center"/>
            <w:hideMark/>
          </w:tcPr>
          <w:p w14:paraId="2B5F113C" w14:textId="77777777" w:rsidR="005F3233" w:rsidRPr="005F3233" w:rsidRDefault="005F3233" w:rsidP="005F3233">
            <w:pPr>
              <w:spacing w:after="0" w:line="240" w:lineRule="auto"/>
              <w:jc w:val="center"/>
              <w:rPr>
                <w:rFonts w:ascii="Calibri" w:eastAsia="Times New Roman" w:hAnsi="Calibri" w:cs="Calibri"/>
                <w:sz w:val="24"/>
                <w:szCs w:val="24"/>
                <w:lang w:eastAsia="hr-HR"/>
              </w:rPr>
            </w:pPr>
            <w:r w:rsidRPr="005F3233">
              <w:rPr>
                <w:rFonts w:ascii="Calibri" w:eastAsia="Times New Roman" w:hAnsi="Calibri" w:cs="Calibri"/>
                <w:sz w:val="24"/>
                <w:szCs w:val="24"/>
                <w:lang w:eastAsia="hr-HR"/>
              </w:rPr>
              <w:t>0</w:t>
            </w:r>
          </w:p>
        </w:tc>
        <w:tc>
          <w:tcPr>
            <w:tcW w:w="464" w:type="dxa"/>
            <w:tcBorders>
              <w:top w:val="nil"/>
              <w:left w:val="nil"/>
              <w:bottom w:val="single" w:sz="4" w:space="0" w:color="auto"/>
              <w:right w:val="single" w:sz="4" w:space="0" w:color="auto"/>
            </w:tcBorders>
            <w:shd w:val="clear" w:color="000000" w:fill="FFFF99"/>
            <w:noWrap/>
            <w:vAlign w:val="center"/>
            <w:hideMark/>
          </w:tcPr>
          <w:p w14:paraId="7924F2F3" w14:textId="77777777" w:rsidR="005F3233" w:rsidRPr="005F3233" w:rsidRDefault="005F3233" w:rsidP="005F3233">
            <w:pPr>
              <w:spacing w:after="0" w:line="240" w:lineRule="auto"/>
              <w:jc w:val="center"/>
              <w:rPr>
                <w:rFonts w:ascii="Calibri" w:eastAsia="Times New Roman" w:hAnsi="Calibri" w:cs="Calibri"/>
                <w:sz w:val="24"/>
                <w:szCs w:val="24"/>
                <w:lang w:eastAsia="hr-HR"/>
              </w:rPr>
            </w:pPr>
            <w:r w:rsidRPr="005F3233">
              <w:rPr>
                <w:rFonts w:ascii="Calibri" w:eastAsia="Times New Roman" w:hAnsi="Calibri" w:cs="Calibri"/>
                <w:sz w:val="24"/>
                <w:szCs w:val="24"/>
                <w:lang w:eastAsia="hr-HR"/>
              </w:rPr>
              <w:t>0</w:t>
            </w:r>
          </w:p>
        </w:tc>
        <w:tc>
          <w:tcPr>
            <w:tcW w:w="700" w:type="dxa"/>
            <w:tcBorders>
              <w:top w:val="nil"/>
              <w:left w:val="nil"/>
              <w:bottom w:val="single" w:sz="4" w:space="0" w:color="auto"/>
              <w:right w:val="single" w:sz="4" w:space="0" w:color="auto"/>
            </w:tcBorders>
            <w:shd w:val="clear" w:color="000000" w:fill="FFFF99"/>
            <w:noWrap/>
            <w:vAlign w:val="center"/>
            <w:hideMark/>
          </w:tcPr>
          <w:p w14:paraId="19895169" w14:textId="77777777" w:rsidR="005F3233" w:rsidRPr="005F3233" w:rsidRDefault="005F3233" w:rsidP="005F3233">
            <w:pPr>
              <w:spacing w:after="0" w:line="240" w:lineRule="auto"/>
              <w:jc w:val="center"/>
              <w:rPr>
                <w:rFonts w:ascii="Calibri" w:eastAsia="Times New Roman" w:hAnsi="Calibri" w:cs="Calibri"/>
                <w:sz w:val="24"/>
                <w:szCs w:val="24"/>
                <w:lang w:eastAsia="hr-HR"/>
              </w:rPr>
            </w:pPr>
            <w:r w:rsidRPr="005F3233">
              <w:rPr>
                <w:rFonts w:ascii="Calibri" w:eastAsia="Times New Roman" w:hAnsi="Calibri" w:cs="Calibri"/>
                <w:sz w:val="24"/>
                <w:szCs w:val="24"/>
                <w:lang w:eastAsia="hr-HR"/>
              </w:rPr>
              <w:t>0</w:t>
            </w:r>
          </w:p>
        </w:tc>
        <w:tc>
          <w:tcPr>
            <w:tcW w:w="699" w:type="dxa"/>
            <w:tcBorders>
              <w:top w:val="nil"/>
              <w:left w:val="nil"/>
              <w:bottom w:val="single" w:sz="4" w:space="0" w:color="auto"/>
              <w:right w:val="single" w:sz="4" w:space="0" w:color="auto"/>
            </w:tcBorders>
            <w:shd w:val="clear" w:color="000000" w:fill="FFFF99"/>
            <w:noWrap/>
            <w:vAlign w:val="center"/>
            <w:hideMark/>
          </w:tcPr>
          <w:p w14:paraId="4404E9CF" w14:textId="77777777" w:rsidR="005F3233" w:rsidRPr="005F3233" w:rsidRDefault="005F3233" w:rsidP="005F3233">
            <w:pPr>
              <w:spacing w:after="0" w:line="240" w:lineRule="auto"/>
              <w:jc w:val="center"/>
              <w:rPr>
                <w:rFonts w:ascii="Calibri" w:eastAsia="Times New Roman" w:hAnsi="Calibri" w:cs="Calibri"/>
                <w:sz w:val="24"/>
                <w:szCs w:val="24"/>
                <w:lang w:eastAsia="hr-HR"/>
              </w:rPr>
            </w:pPr>
            <w:r w:rsidRPr="005F3233">
              <w:rPr>
                <w:rFonts w:ascii="Calibri" w:eastAsia="Times New Roman" w:hAnsi="Calibri" w:cs="Calibri"/>
                <w:sz w:val="24"/>
                <w:szCs w:val="24"/>
                <w:lang w:eastAsia="hr-HR"/>
              </w:rPr>
              <w:t>0</w:t>
            </w:r>
          </w:p>
        </w:tc>
        <w:tc>
          <w:tcPr>
            <w:tcW w:w="700" w:type="dxa"/>
            <w:tcBorders>
              <w:top w:val="nil"/>
              <w:left w:val="nil"/>
              <w:bottom w:val="single" w:sz="4" w:space="0" w:color="auto"/>
              <w:right w:val="single" w:sz="4" w:space="0" w:color="auto"/>
            </w:tcBorders>
            <w:shd w:val="clear" w:color="000000" w:fill="FFFF99"/>
            <w:noWrap/>
            <w:vAlign w:val="center"/>
            <w:hideMark/>
          </w:tcPr>
          <w:p w14:paraId="0B8A7AAD" w14:textId="77777777" w:rsidR="005F3233" w:rsidRPr="005F3233" w:rsidRDefault="005F3233" w:rsidP="005F3233">
            <w:pPr>
              <w:spacing w:after="0" w:line="240" w:lineRule="auto"/>
              <w:jc w:val="center"/>
              <w:rPr>
                <w:rFonts w:ascii="Calibri" w:eastAsia="Times New Roman" w:hAnsi="Calibri" w:cs="Calibri"/>
                <w:sz w:val="24"/>
                <w:szCs w:val="24"/>
                <w:lang w:eastAsia="hr-HR"/>
              </w:rPr>
            </w:pPr>
            <w:r w:rsidRPr="005F3233">
              <w:rPr>
                <w:rFonts w:ascii="Calibri" w:eastAsia="Times New Roman" w:hAnsi="Calibri" w:cs="Calibri"/>
                <w:sz w:val="24"/>
                <w:szCs w:val="24"/>
                <w:lang w:eastAsia="hr-HR"/>
              </w:rPr>
              <w:t>0</w:t>
            </w:r>
          </w:p>
        </w:tc>
        <w:tc>
          <w:tcPr>
            <w:tcW w:w="464" w:type="dxa"/>
            <w:tcBorders>
              <w:top w:val="nil"/>
              <w:left w:val="nil"/>
              <w:bottom w:val="single" w:sz="4" w:space="0" w:color="auto"/>
              <w:right w:val="single" w:sz="4" w:space="0" w:color="auto"/>
            </w:tcBorders>
            <w:shd w:val="clear" w:color="000000" w:fill="FFFF99"/>
            <w:noWrap/>
            <w:vAlign w:val="center"/>
            <w:hideMark/>
          </w:tcPr>
          <w:p w14:paraId="5A90F578" w14:textId="77777777" w:rsidR="005F3233" w:rsidRPr="005F3233" w:rsidRDefault="005F3233" w:rsidP="005F3233">
            <w:pPr>
              <w:spacing w:after="0" w:line="240" w:lineRule="auto"/>
              <w:jc w:val="center"/>
              <w:rPr>
                <w:rFonts w:ascii="Calibri" w:eastAsia="Times New Roman" w:hAnsi="Calibri" w:cs="Calibri"/>
                <w:sz w:val="24"/>
                <w:szCs w:val="24"/>
                <w:lang w:eastAsia="hr-HR"/>
              </w:rPr>
            </w:pPr>
            <w:r w:rsidRPr="005F3233">
              <w:rPr>
                <w:rFonts w:ascii="Calibri" w:eastAsia="Times New Roman" w:hAnsi="Calibri" w:cs="Calibri"/>
                <w:sz w:val="24"/>
                <w:szCs w:val="24"/>
                <w:lang w:eastAsia="hr-HR"/>
              </w:rPr>
              <w:t>0</w:t>
            </w:r>
          </w:p>
        </w:tc>
        <w:tc>
          <w:tcPr>
            <w:tcW w:w="700" w:type="dxa"/>
            <w:tcBorders>
              <w:top w:val="nil"/>
              <w:left w:val="nil"/>
              <w:bottom w:val="single" w:sz="4" w:space="0" w:color="auto"/>
              <w:right w:val="single" w:sz="4" w:space="0" w:color="auto"/>
            </w:tcBorders>
            <w:shd w:val="clear" w:color="000000" w:fill="FFFF99"/>
            <w:noWrap/>
            <w:vAlign w:val="center"/>
            <w:hideMark/>
          </w:tcPr>
          <w:p w14:paraId="0625E665" w14:textId="77777777" w:rsidR="005F3233" w:rsidRPr="005F3233" w:rsidRDefault="005F3233" w:rsidP="005F3233">
            <w:pPr>
              <w:spacing w:after="0" w:line="240" w:lineRule="auto"/>
              <w:jc w:val="center"/>
              <w:rPr>
                <w:rFonts w:ascii="Calibri" w:eastAsia="Times New Roman" w:hAnsi="Calibri" w:cs="Calibri"/>
                <w:sz w:val="24"/>
                <w:szCs w:val="24"/>
                <w:lang w:eastAsia="hr-HR"/>
              </w:rPr>
            </w:pPr>
            <w:r w:rsidRPr="005F3233">
              <w:rPr>
                <w:rFonts w:ascii="Calibri" w:eastAsia="Times New Roman" w:hAnsi="Calibri" w:cs="Calibri"/>
                <w:sz w:val="24"/>
                <w:szCs w:val="24"/>
                <w:lang w:eastAsia="hr-HR"/>
              </w:rPr>
              <w:t>0</w:t>
            </w:r>
          </w:p>
        </w:tc>
        <w:tc>
          <w:tcPr>
            <w:tcW w:w="434" w:type="dxa"/>
            <w:tcBorders>
              <w:top w:val="nil"/>
              <w:left w:val="nil"/>
              <w:bottom w:val="single" w:sz="4" w:space="0" w:color="auto"/>
              <w:right w:val="single" w:sz="4" w:space="0" w:color="auto"/>
            </w:tcBorders>
            <w:shd w:val="clear" w:color="000000" w:fill="FFFF99"/>
            <w:noWrap/>
            <w:vAlign w:val="center"/>
            <w:hideMark/>
          </w:tcPr>
          <w:p w14:paraId="77047672" w14:textId="77777777" w:rsidR="005F3233" w:rsidRPr="005F3233" w:rsidRDefault="005F3233" w:rsidP="005F3233">
            <w:pPr>
              <w:spacing w:after="0" w:line="240" w:lineRule="auto"/>
              <w:jc w:val="center"/>
              <w:rPr>
                <w:rFonts w:ascii="Calibri" w:eastAsia="Times New Roman" w:hAnsi="Calibri" w:cs="Calibri"/>
                <w:sz w:val="24"/>
                <w:szCs w:val="24"/>
                <w:lang w:eastAsia="hr-HR"/>
              </w:rPr>
            </w:pPr>
            <w:r w:rsidRPr="005F3233">
              <w:rPr>
                <w:rFonts w:ascii="Calibri" w:eastAsia="Times New Roman" w:hAnsi="Calibri" w:cs="Calibri"/>
                <w:sz w:val="24"/>
                <w:szCs w:val="24"/>
                <w:lang w:eastAsia="hr-HR"/>
              </w:rPr>
              <w:t>0</w:t>
            </w:r>
          </w:p>
        </w:tc>
        <w:tc>
          <w:tcPr>
            <w:tcW w:w="426" w:type="dxa"/>
            <w:tcBorders>
              <w:top w:val="nil"/>
              <w:left w:val="nil"/>
              <w:bottom w:val="single" w:sz="4" w:space="0" w:color="auto"/>
              <w:right w:val="single" w:sz="4" w:space="0" w:color="auto"/>
            </w:tcBorders>
            <w:shd w:val="clear" w:color="000000" w:fill="FF9900"/>
            <w:noWrap/>
            <w:vAlign w:val="center"/>
            <w:hideMark/>
          </w:tcPr>
          <w:p w14:paraId="0140F7BE" w14:textId="77777777" w:rsidR="005F3233" w:rsidRPr="005F3233" w:rsidRDefault="005F3233" w:rsidP="005F3233">
            <w:pPr>
              <w:spacing w:after="0" w:line="240" w:lineRule="auto"/>
              <w:jc w:val="center"/>
              <w:rPr>
                <w:rFonts w:ascii="Calibri" w:eastAsia="Times New Roman" w:hAnsi="Calibri" w:cs="Calibri"/>
                <w:sz w:val="24"/>
                <w:szCs w:val="24"/>
                <w:lang w:eastAsia="hr-HR"/>
              </w:rPr>
            </w:pPr>
            <w:r w:rsidRPr="005F3233">
              <w:rPr>
                <w:rFonts w:ascii="Calibri" w:eastAsia="Times New Roman" w:hAnsi="Calibri" w:cs="Calibri"/>
                <w:sz w:val="24"/>
                <w:szCs w:val="24"/>
                <w:lang w:eastAsia="hr-HR"/>
              </w:rPr>
              <w:t>0</w:t>
            </w:r>
          </w:p>
        </w:tc>
        <w:tc>
          <w:tcPr>
            <w:tcW w:w="425" w:type="dxa"/>
            <w:tcBorders>
              <w:top w:val="nil"/>
              <w:left w:val="nil"/>
              <w:bottom w:val="single" w:sz="4" w:space="0" w:color="auto"/>
              <w:right w:val="single" w:sz="4" w:space="0" w:color="auto"/>
            </w:tcBorders>
            <w:shd w:val="clear" w:color="000000" w:fill="FF9900"/>
            <w:noWrap/>
            <w:vAlign w:val="center"/>
            <w:hideMark/>
          </w:tcPr>
          <w:p w14:paraId="346CDF1C" w14:textId="77777777" w:rsidR="005F3233" w:rsidRPr="005F3233" w:rsidRDefault="005F3233" w:rsidP="005F3233">
            <w:pPr>
              <w:spacing w:after="0" w:line="240" w:lineRule="auto"/>
              <w:jc w:val="center"/>
              <w:rPr>
                <w:rFonts w:ascii="Calibri" w:eastAsia="Times New Roman" w:hAnsi="Calibri" w:cs="Calibri"/>
                <w:sz w:val="24"/>
                <w:szCs w:val="24"/>
                <w:lang w:eastAsia="hr-HR"/>
              </w:rPr>
            </w:pPr>
            <w:r w:rsidRPr="005F3233">
              <w:rPr>
                <w:rFonts w:ascii="Calibri" w:eastAsia="Times New Roman" w:hAnsi="Calibri" w:cs="Calibri"/>
                <w:sz w:val="24"/>
                <w:szCs w:val="24"/>
                <w:lang w:eastAsia="hr-HR"/>
              </w:rPr>
              <w:t>0</w:t>
            </w:r>
          </w:p>
        </w:tc>
        <w:tc>
          <w:tcPr>
            <w:tcW w:w="442" w:type="dxa"/>
            <w:tcBorders>
              <w:top w:val="nil"/>
              <w:left w:val="nil"/>
              <w:bottom w:val="single" w:sz="4" w:space="0" w:color="auto"/>
              <w:right w:val="single" w:sz="4" w:space="0" w:color="auto"/>
            </w:tcBorders>
            <w:shd w:val="clear" w:color="000000" w:fill="FF9900"/>
            <w:noWrap/>
            <w:vAlign w:val="center"/>
            <w:hideMark/>
          </w:tcPr>
          <w:p w14:paraId="4FB7F9A8" w14:textId="77777777" w:rsidR="005F3233" w:rsidRPr="005F3233" w:rsidRDefault="005F3233" w:rsidP="005F3233">
            <w:pPr>
              <w:spacing w:after="0" w:line="240" w:lineRule="auto"/>
              <w:jc w:val="center"/>
              <w:rPr>
                <w:rFonts w:ascii="Calibri" w:eastAsia="Times New Roman" w:hAnsi="Calibri" w:cs="Calibri"/>
                <w:sz w:val="24"/>
                <w:szCs w:val="24"/>
                <w:lang w:eastAsia="hr-HR"/>
              </w:rPr>
            </w:pPr>
            <w:r w:rsidRPr="005F3233">
              <w:rPr>
                <w:rFonts w:ascii="Calibri" w:eastAsia="Times New Roman" w:hAnsi="Calibri" w:cs="Calibri"/>
                <w:sz w:val="24"/>
                <w:szCs w:val="24"/>
                <w:lang w:eastAsia="hr-HR"/>
              </w:rPr>
              <w:t>0</w:t>
            </w:r>
          </w:p>
        </w:tc>
        <w:tc>
          <w:tcPr>
            <w:tcW w:w="451" w:type="dxa"/>
            <w:tcBorders>
              <w:top w:val="nil"/>
              <w:left w:val="nil"/>
              <w:bottom w:val="single" w:sz="4" w:space="0" w:color="auto"/>
              <w:right w:val="single" w:sz="4" w:space="0" w:color="auto"/>
            </w:tcBorders>
            <w:shd w:val="clear" w:color="auto" w:fill="auto"/>
            <w:vAlign w:val="center"/>
            <w:hideMark/>
          </w:tcPr>
          <w:p w14:paraId="5FF1881F" w14:textId="77777777" w:rsidR="005F3233" w:rsidRPr="005F3233" w:rsidRDefault="005F3233" w:rsidP="005F3233">
            <w:pPr>
              <w:spacing w:after="0" w:line="240" w:lineRule="auto"/>
              <w:jc w:val="center"/>
              <w:rPr>
                <w:rFonts w:ascii="Calibri" w:eastAsia="Times New Roman" w:hAnsi="Calibri" w:cs="Calibri"/>
                <w:b/>
                <w:bCs/>
                <w:sz w:val="24"/>
                <w:szCs w:val="24"/>
                <w:lang w:eastAsia="hr-HR"/>
              </w:rPr>
            </w:pPr>
            <w:r w:rsidRPr="005F3233">
              <w:rPr>
                <w:rFonts w:ascii="Calibri" w:eastAsia="Times New Roman" w:hAnsi="Calibri" w:cs="Calibri"/>
                <w:b/>
                <w:bCs/>
                <w:sz w:val="24"/>
                <w:szCs w:val="24"/>
                <w:lang w:eastAsia="hr-HR"/>
              </w:rPr>
              <w:t>0</w:t>
            </w:r>
          </w:p>
        </w:tc>
        <w:tc>
          <w:tcPr>
            <w:tcW w:w="383" w:type="dxa"/>
            <w:gridSpan w:val="2"/>
            <w:tcBorders>
              <w:top w:val="nil"/>
              <w:left w:val="nil"/>
              <w:bottom w:val="single" w:sz="4" w:space="0" w:color="auto"/>
              <w:right w:val="single" w:sz="4" w:space="0" w:color="auto"/>
            </w:tcBorders>
            <w:shd w:val="clear" w:color="000000" w:fill="FFFF00"/>
            <w:noWrap/>
            <w:vAlign w:val="center"/>
            <w:hideMark/>
          </w:tcPr>
          <w:p w14:paraId="4FFFE693" w14:textId="77777777" w:rsidR="005F3233" w:rsidRPr="005F3233" w:rsidRDefault="005F3233" w:rsidP="005F3233">
            <w:pPr>
              <w:spacing w:after="0" w:line="240" w:lineRule="auto"/>
              <w:jc w:val="center"/>
              <w:rPr>
                <w:rFonts w:ascii="Calibri" w:eastAsia="Times New Roman" w:hAnsi="Calibri" w:cs="Calibri"/>
                <w:sz w:val="24"/>
                <w:szCs w:val="24"/>
                <w:lang w:eastAsia="hr-HR"/>
              </w:rPr>
            </w:pPr>
            <w:r w:rsidRPr="005F3233">
              <w:rPr>
                <w:rFonts w:ascii="Calibri" w:eastAsia="Times New Roman" w:hAnsi="Calibri" w:cs="Calibri"/>
                <w:sz w:val="24"/>
                <w:szCs w:val="24"/>
                <w:lang w:eastAsia="hr-HR"/>
              </w:rPr>
              <w:t>0</w:t>
            </w:r>
          </w:p>
        </w:tc>
        <w:tc>
          <w:tcPr>
            <w:tcW w:w="392" w:type="dxa"/>
            <w:tcBorders>
              <w:top w:val="nil"/>
              <w:left w:val="nil"/>
              <w:bottom w:val="single" w:sz="4" w:space="0" w:color="auto"/>
              <w:right w:val="single" w:sz="4" w:space="0" w:color="auto"/>
            </w:tcBorders>
            <w:shd w:val="clear" w:color="000000" w:fill="FFFF00"/>
            <w:noWrap/>
            <w:vAlign w:val="center"/>
            <w:hideMark/>
          </w:tcPr>
          <w:p w14:paraId="273D8306" w14:textId="77777777" w:rsidR="005F3233" w:rsidRPr="005F3233" w:rsidRDefault="005F3233" w:rsidP="005F3233">
            <w:pPr>
              <w:spacing w:after="0" w:line="240" w:lineRule="auto"/>
              <w:jc w:val="center"/>
              <w:rPr>
                <w:rFonts w:ascii="Calibri" w:eastAsia="Times New Roman" w:hAnsi="Calibri" w:cs="Calibri"/>
                <w:sz w:val="24"/>
                <w:szCs w:val="24"/>
                <w:lang w:eastAsia="hr-HR"/>
              </w:rPr>
            </w:pPr>
            <w:r w:rsidRPr="005F3233">
              <w:rPr>
                <w:rFonts w:ascii="Calibri" w:eastAsia="Times New Roman" w:hAnsi="Calibri" w:cs="Calibri"/>
                <w:sz w:val="24"/>
                <w:szCs w:val="24"/>
                <w:lang w:eastAsia="hr-HR"/>
              </w:rPr>
              <w:t>0</w:t>
            </w:r>
          </w:p>
        </w:tc>
        <w:tc>
          <w:tcPr>
            <w:tcW w:w="400" w:type="dxa"/>
            <w:tcBorders>
              <w:top w:val="nil"/>
              <w:left w:val="nil"/>
              <w:bottom w:val="single" w:sz="4" w:space="0" w:color="auto"/>
              <w:right w:val="single" w:sz="4" w:space="0" w:color="auto"/>
            </w:tcBorders>
            <w:shd w:val="clear" w:color="000000" w:fill="FFFF00"/>
            <w:noWrap/>
            <w:vAlign w:val="center"/>
            <w:hideMark/>
          </w:tcPr>
          <w:p w14:paraId="7DD84D0D" w14:textId="77777777" w:rsidR="005F3233" w:rsidRPr="005F3233" w:rsidRDefault="005F3233" w:rsidP="005F3233">
            <w:pPr>
              <w:spacing w:after="0" w:line="240" w:lineRule="auto"/>
              <w:jc w:val="center"/>
              <w:rPr>
                <w:rFonts w:ascii="Calibri" w:eastAsia="Times New Roman" w:hAnsi="Calibri" w:cs="Calibri"/>
                <w:sz w:val="24"/>
                <w:szCs w:val="24"/>
                <w:lang w:eastAsia="hr-HR"/>
              </w:rPr>
            </w:pPr>
            <w:r w:rsidRPr="005F3233">
              <w:rPr>
                <w:rFonts w:ascii="Calibri" w:eastAsia="Times New Roman" w:hAnsi="Calibri" w:cs="Calibri"/>
                <w:sz w:val="24"/>
                <w:szCs w:val="24"/>
                <w:lang w:eastAsia="hr-HR"/>
              </w:rPr>
              <w:t>0</w:t>
            </w:r>
          </w:p>
        </w:tc>
        <w:tc>
          <w:tcPr>
            <w:tcW w:w="409" w:type="dxa"/>
            <w:tcBorders>
              <w:top w:val="nil"/>
              <w:left w:val="nil"/>
              <w:bottom w:val="single" w:sz="4" w:space="0" w:color="auto"/>
              <w:right w:val="single" w:sz="4" w:space="0" w:color="auto"/>
            </w:tcBorders>
            <w:shd w:val="clear" w:color="auto" w:fill="auto"/>
            <w:vAlign w:val="center"/>
            <w:hideMark/>
          </w:tcPr>
          <w:p w14:paraId="6E10DDB0" w14:textId="77777777" w:rsidR="005F3233" w:rsidRPr="005F3233" w:rsidRDefault="005F3233" w:rsidP="005F3233">
            <w:pPr>
              <w:spacing w:after="0" w:line="240" w:lineRule="auto"/>
              <w:jc w:val="center"/>
              <w:rPr>
                <w:rFonts w:ascii="Calibri" w:eastAsia="Times New Roman" w:hAnsi="Calibri" w:cs="Calibri"/>
                <w:b/>
                <w:bCs/>
                <w:sz w:val="24"/>
                <w:szCs w:val="24"/>
                <w:lang w:eastAsia="hr-HR"/>
              </w:rPr>
            </w:pPr>
            <w:r w:rsidRPr="005F3233">
              <w:rPr>
                <w:rFonts w:ascii="Calibri" w:eastAsia="Times New Roman" w:hAnsi="Calibri" w:cs="Calibri"/>
                <w:b/>
                <w:bCs/>
                <w:sz w:val="24"/>
                <w:szCs w:val="24"/>
                <w:lang w:eastAsia="hr-HR"/>
              </w:rPr>
              <w:t>0</w:t>
            </w:r>
          </w:p>
        </w:tc>
        <w:tc>
          <w:tcPr>
            <w:tcW w:w="499" w:type="dxa"/>
            <w:gridSpan w:val="2"/>
            <w:tcBorders>
              <w:top w:val="nil"/>
              <w:left w:val="nil"/>
              <w:bottom w:val="single" w:sz="4" w:space="0" w:color="auto"/>
              <w:right w:val="single" w:sz="4" w:space="0" w:color="auto"/>
            </w:tcBorders>
            <w:shd w:val="clear" w:color="000000" w:fill="FFFF00"/>
            <w:vAlign w:val="center"/>
            <w:hideMark/>
          </w:tcPr>
          <w:p w14:paraId="18158D6B" w14:textId="77777777" w:rsidR="005F3233" w:rsidRPr="005F3233" w:rsidRDefault="005F3233" w:rsidP="005F3233">
            <w:pPr>
              <w:spacing w:after="0" w:line="240" w:lineRule="auto"/>
              <w:jc w:val="center"/>
              <w:rPr>
                <w:rFonts w:ascii="Calibri" w:eastAsia="Times New Roman" w:hAnsi="Calibri" w:cs="Calibri"/>
                <w:b/>
                <w:bCs/>
                <w:sz w:val="24"/>
                <w:szCs w:val="24"/>
                <w:lang w:eastAsia="hr-HR"/>
              </w:rPr>
            </w:pPr>
            <w:r w:rsidRPr="005F3233">
              <w:rPr>
                <w:rFonts w:ascii="Calibri" w:eastAsia="Times New Roman" w:hAnsi="Calibri" w:cs="Calibri"/>
                <w:b/>
                <w:bCs/>
                <w:sz w:val="24"/>
                <w:szCs w:val="24"/>
                <w:lang w:eastAsia="hr-HR"/>
              </w:rPr>
              <w:t>0</w:t>
            </w:r>
          </w:p>
        </w:tc>
        <w:tc>
          <w:tcPr>
            <w:tcW w:w="567" w:type="dxa"/>
            <w:tcBorders>
              <w:top w:val="nil"/>
              <w:left w:val="nil"/>
              <w:bottom w:val="single" w:sz="4" w:space="0" w:color="auto"/>
              <w:right w:val="single" w:sz="4" w:space="0" w:color="auto"/>
            </w:tcBorders>
            <w:shd w:val="clear" w:color="000000" w:fill="FF9900"/>
            <w:noWrap/>
            <w:vAlign w:val="center"/>
            <w:hideMark/>
          </w:tcPr>
          <w:p w14:paraId="0DDF0BAE" w14:textId="77777777" w:rsidR="005F3233" w:rsidRPr="005F3233" w:rsidRDefault="005F3233" w:rsidP="005F3233">
            <w:pPr>
              <w:spacing w:after="0" w:line="240" w:lineRule="auto"/>
              <w:jc w:val="center"/>
              <w:rPr>
                <w:rFonts w:ascii="Calibri" w:eastAsia="Times New Roman" w:hAnsi="Calibri" w:cs="Calibri"/>
                <w:sz w:val="24"/>
                <w:szCs w:val="24"/>
                <w:lang w:eastAsia="hr-HR"/>
              </w:rPr>
            </w:pPr>
            <w:r w:rsidRPr="005F3233">
              <w:rPr>
                <w:rFonts w:ascii="Calibri" w:eastAsia="Times New Roman" w:hAnsi="Calibri" w:cs="Calibri"/>
                <w:sz w:val="24"/>
                <w:szCs w:val="24"/>
                <w:lang w:eastAsia="hr-HR"/>
              </w:rPr>
              <w:t>0</w:t>
            </w:r>
          </w:p>
        </w:tc>
        <w:tc>
          <w:tcPr>
            <w:tcW w:w="425" w:type="dxa"/>
            <w:gridSpan w:val="2"/>
            <w:tcBorders>
              <w:top w:val="nil"/>
              <w:left w:val="nil"/>
              <w:bottom w:val="single" w:sz="4" w:space="0" w:color="auto"/>
              <w:right w:val="single" w:sz="4" w:space="0" w:color="auto"/>
            </w:tcBorders>
            <w:shd w:val="clear" w:color="000000" w:fill="CCFFFF"/>
            <w:noWrap/>
            <w:vAlign w:val="center"/>
            <w:hideMark/>
          </w:tcPr>
          <w:p w14:paraId="40CFC277" w14:textId="77777777" w:rsidR="005F3233" w:rsidRPr="005F3233" w:rsidRDefault="005F3233" w:rsidP="005F3233">
            <w:pPr>
              <w:spacing w:after="0" w:line="240" w:lineRule="auto"/>
              <w:jc w:val="center"/>
              <w:rPr>
                <w:rFonts w:ascii="Calibri" w:eastAsia="Times New Roman" w:hAnsi="Calibri" w:cs="Calibri"/>
                <w:sz w:val="24"/>
                <w:szCs w:val="24"/>
                <w:lang w:eastAsia="hr-HR"/>
              </w:rPr>
            </w:pPr>
            <w:r w:rsidRPr="005F3233">
              <w:rPr>
                <w:rFonts w:ascii="Calibri" w:eastAsia="Times New Roman" w:hAnsi="Calibri" w:cs="Calibri"/>
                <w:sz w:val="24"/>
                <w:szCs w:val="24"/>
                <w:lang w:eastAsia="hr-HR"/>
              </w:rPr>
              <w:t>0</w:t>
            </w:r>
          </w:p>
        </w:tc>
        <w:tc>
          <w:tcPr>
            <w:tcW w:w="434" w:type="dxa"/>
            <w:gridSpan w:val="2"/>
            <w:tcBorders>
              <w:top w:val="nil"/>
              <w:left w:val="nil"/>
              <w:bottom w:val="single" w:sz="4" w:space="0" w:color="auto"/>
              <w:right w:val="single" w:sz="4" w:space="0" w:color="auto"/>
            </w:tcBorders>
            <w:shd w:val="clear" w:color="000000" w:fill="CCFFFF"/>
            <w:noWrap/>
            <w:vAlign w:val="center"/>
            <w:hideMark/>
          </w:tcPr>
          <w:p w14:paraId="7D64282B" w14:textId="77777777" w:rsidR="005F3233" w:rsidRPr="005F3233" w:rsidRDefault="005F3233" w:rsidP="005F3233">
            <w:pPr>
              <w:spacing w:after="0" w:line="240" w:lineRule="auto"/>
              <w:jc w:val="center"/>
              <w:rPr>
                <w:rFonts w:ascii="Calibri" w:eastAsia="Times New Roman" w:hAnsi="Calibri" w:cs="Calibri"/>
                <w:sz w:val="24"/>
                <w:szCs w:val="24"/>
                <w:lang w:eastAsia="hr-HR"/>
              </w:rPr>
            </w:pPr>
            <w:r w:rsidRPr="005F3233">
              <w:rPr>
                <w:rFonts w:ascii="Calibri" w:eastAsia="Times New Roman" w:hAnsi="Calibri" w:cs="Calibri"/>
                <w:sz w:val="24"/>
                <w:szCs w:val="24"/>
                <w:lang w:eastAsia="hr-HR"/>
              </w:rPr>
              <w:t>0</w:t>
            </w:r>
          </w:p>
        </w:tc>
        <w:tc>
          <w:tcPr>
            <w:tcW w:w="417" w:type="dxa"/>
            <w:tcBorders>
              <w:top w:val="nil"/>
              <w:left w:val="nil"/>
              <w:bottom w:val="single" w:sz="4" w:space="0" w:color="auto"/>
              <w:right w:val="single" w:sz="4" w:space="0" w:color="auto"/>
            </w:tcBorders>
            <w:shd w:val="clear" w:color="000000" w:fill="CCFFFF"/>
            <w:noWrap/>
            <w:vAlign w:val="center"/>
            <w:hideMark/>
          </w:tcPr>
          <w:p w14:paraId="0665EAC4" w14:textId="77777777" w:rsidR="005F3233" w:rsidRPr="005F3233" w:rsidRDefault="005F3233" w:rsidP="005F3233">
            <w:pPr>
              <w:spacing w:after="0" w:line="240" w:lineRule="auto"/>
              <w:jc w:val="center"/>
              <w:rPr>
                <w:rFonts w:ascii="Calibri" w:eastAsia="Times New Roman" w:hAnsi="Calibri" w:cs="Calibri"/>
                <w:sz w:val="24"/>
                <w:szCs w:val="24"/>
                <w:lang w:eastAsia="hr-HR"/>
              </w:rPr>
            </w:pPr>
            <w:r w:rsidRPr="005F3233">
              <w:rPr>
                <w:rFonts w:ascii="Calibri" w:eastAsia="Times New Roman" w:hAnsi="Calibri" w:cs="Calibri"/>
                <w:sz w:val="24"/>
                <w:szCs w:val="24"/>
                <w:lang w:eastAsia="hr-HR"/>
              </w:rPr>
              <w:t>0</w:t>
            </w:r>
          </w:p>
        </w:tc>
        <w:tc>
          <w:tcPr>
            <w:tcW w:w="425" w:type="dxa"/>
            <w:gridSpan w:val="3"/>
            <w:tcBorders>
              <w:top w:val="nil"/>
              <w:left w:val="nil"/>
              <w:bottom w:val="single" w:sz="4" w:space="0" w:color="auto"/>
              <w:right w:val="single" w:sz="8" w:space="0" w:color="auto"/>
            </w:tcBorders>
            <w:shd w:val="clear" w:color="000000" w:fill="33CCCC"/>
            <w:noWrap/>
            <w:vAlign w:val="center"/>
            <w:hideMark/>
          </w:tcPr>
          <w:p w14:paraId="0EEC1F79" w14:textId="77777777" w:rsidR="005F3233" w:rsidRPr="005F3233" w:rsidRDefault="005F3233" w:rsidP="005F3233">
            <w:pPr>
              <w:spacing w:after="0" w:line="240" w:lineRule="auto"/>
              <w:jc w:val="center"/>
              <w:rPr>
                <w:rFonts w:ascii="Calibri" w:eastAsia="Times New Roman" w:hAnsi="Calibri" w:cs="Calibri"/>
                <w:sz w:val="24"/>
                <w:szCs w:val="24"/>
                <w:lang w:eastAsia="hr-HR"/>
              </w:rPr>
            </w:pPr>
            <w:r w:rsidRPr="005F3233">
              <w:rPr>
                <w:rFonts w:ascii="Calibri" w:eastAsia="Times New Roman" w:hAnsi="Calibri" w:cs="Calibri"/>
                <w:sz w:val="24"/>
                <w:szCs w:val="24"/>
                <w:lang w:eastAsia="hr-HR"/>
              </w:rPr>
              <w:t>0</w:t>
            </w:r>
          </w:p>
        </w:tc>
        <w:tc>
          <w:tcPr>
            <w:tcW w:w="569" w:type="dxa"/>
            <w:gridSpan w:val="2"/>
            <w:tcBorders>
              <w:top w:val="nil"/>
              <w:left w:val="single" w:sz="4" w:space="0" w:color="auto"/>
              <w:bottom w:val="single" w:sz="4" w:space="0" w:color="auto"/>
              <w:right w:val="single" w:sz="8" w:space="0" w:color="auto"/>
            </w:tcBorders>
            <w:shd w:val="clear" w:color="000000" w:fill="33CCCC"/>
            <w:noWrap/>
            <w:vAlign w:val="center"/>
            <w:hideMark/>
          </w:tcPr>
          <w:p w14:paraId="13801643" w14:textId="77777777" w:rsidR="005F3233" w:rsidRPr="005F3233" w:rsidRDefault="005F3233" w:rsidP="005F3233">
            <w:pPr>
              <w:spacing w:after="0" w:line="240" w:lineRule="auto"/>
              <w:jc w:val="center"/>
              <w:rPr>
                <w:rFonts w:ascii="Calibri" w:eastAsia="Times New Roman" w:hAnsi="Calibri" w:cs="Calibri"/>
                <w:sz w:val="24"/>
                <w:szCs w:val="24"/>
                <w:lang w:eastAsia="hr-HR"/>
              </w:rPr>
            </w:pPr>
            <w:r w:rsidRPr="005F3233">
              <w:rPr>
                <w:rFonts w:ascii="Calibri" w:eastAsia="Times New Roman" w:hAnsi="Calibri" w:cs="Calibri"/>
                <w:sz w:val="24"/>
                <w:szCs w:val="24"/>
                <w:lang w:eastAsia="hr-HR"/>
              </w:rPr>
              <w:t>0</w:t>
            </w:r>
          </w:p>
        </w:tc>
        <w:tc>
          <w:tcPr>
            <w:tcW w:w="236" w:type="dxa"/>
            <w:gridSpan w:val="3"/>
            <w:vAlign w:val="center"/>
            <w:hideMark/>
          </w:tcPr>
          <w:p w14:paraId="33E2CFBF" w14:textId="77777777" w:rsidR="005F3233" w:rsidRPr="005F3233" w:rsidRDefault="005F3233" w:rsidP="005F3233">
            <w:pPr>
              <w:spacing w:after="0" w:line="240" w:lineRule="auto"/>
              <w:rPr>
                <w:rFonts w:ascii="Times New Roman" w:eastAsia="Times New Roman" w:hAnsi="Times New Roman" w:cs="Times New Roman"/>
                <w:sz w:val="20"/>
                <w:szCs w:val="20"/>
                <w:lang w:eastAsia="hr-HR"/>
              </w:rPr>
            </w:pPr>
          </w:p>
        </w:tc>
      </w:tr>
      <w:tr w:rsidR="005F3233" w:rsidRPr="005F3233" w14:paraId="15D31675" w14:textId="77777777" w:rsidTr="000271A1">
        <w:trPr>
          <w:gridBefore w:val="1"/>
          <w:gridAfter w:val="2"/>
          <w:wBefore w:w="10" w:type="dxa"/>
          <w:wAfter w:w="237" w:type="dxa"/>
          <w:trHeight w:val="315"/>
        </w:trPr>
        <w:tc>
          <w:tcPr>
            <w:tcW w:w="869" w:type="dxa"/>
            <w:tcBorders>
              <w:top w:val="single" w:sz="4" w:space="0" w:color="auto"/>
              <w:left w:val="single" w:sz="8" w:space="0" w:color="auto"/>
              <w:bottom w:val="single" w:sz="4" w:space="0" w:color="auto"/>
              <w:right w:val="single" w:sz="4" w:space="0" w:color="auto"/>
            </w:tcBorders>
            <w:shd w:val="clear" w:color="000000" w:fill="CCFFCC"/>
            <w:vAlign w:val="center"/>
            <w:hideMark/>
          </w:tcPr>
          <w:p w14:paraId="429C57E3" w14:textId="77777777" w:rsidR="005F3233" w:rsidRPr="005F3233" w:rsidRDefault="005F3233" w:rsidP="005F3233">
            <w:pPr>
              <w:spacing w:after="0" w:line="240" w:lineRule="auto"/>
              <w:rPr>
                <w:rFonts w:ascii="Calibri" w:eastAsia="Times New Roman" w:hAnsi="Calibri" w:cs="Calibri"/>
                <w:lang w:eastAsia="hr-HR"/>
              </w:rPr>
            </w:pPr>
            <w:r w:rsidRPr="005F3233">
              <w:rPr>
                <w:rFonts w:ascii="Calibri" w:eastAsia="Times New Roman" w:hAnsi="Calibri" w:cs="Calibri"/>
                <w:lang w:eastAsia="hr-HR"/>
              </w:rPr>
              <w:t>Imovina</w:t>
            </w:r>
          </w:p>
        </w:tc>
        <w:tc>
          <w:tcPr>
            <w:tcW w:w="457" w:type="dxa"/>
            <w:tcBorders>
              <w:top w:val="nil"/>
              <w:left w:val="nil"/>
              <w:bottom w:val="single" w:sz="4" w:space="0" w:color="auto"/>
              <w:right w:val="single" w:sz="4" w:space="0" w:color="auto"/>
            </w:tcBorders>
            <w:shd w:val="clear" w:color="000000" w:fill="FFFF00"/>
            <w:vAlign w:val="center"/>
            <w:hideMark/>
          </w:tcPr>
          <w:p w14:paraId="02E4849F" w14:textId="77777777" w:rsidR="005F3233" w:rsidRPr="005F3233" w:rsidRDefault="005F3233" w:rsidP="005F3233">
            <w:pPr>
              <w:spacing w:after="0" w:line="240" w:lineRule="auto"/>
              <w:jc w:val="center"/>
              <w:rPr>
                <w:rFonts w:ascii="Calibri" w:eastAsia="Times New Roman" w:hAnsi="Calibri" w:cs="Calibri"/>
                <w:b/>
                <w:bCs/>
                <w:lang w:eastAsia="hr-HR"/>
              </w:rPr>
            </w:pPr>
            <w:r w:rsidRPr="005F3233">
              <w:rPr>
                <w:rFonts w:ascii="Calibri" w:eastAsia="Times New Roman" w:hAnsi="Calibri" w:cs="Calibri"/>
                <w:b/>
                <w:bCs/>
                <w:lang w:eastAsia="hr-HR"/>
              </w:rPr>
              <w:t>0</w:t>
            </w:r>
          </w:p>
        </w:tc>
        <w:tc>
          <w:tcPr>
            <w:tcW w:w="449" w:type="dxa"/>
            <w:tcBorders>
              <w:top w:val="nil"/>
              <w:left w:val="nil"/>
              <w:bottom w:val="single" w:sz="4" w:space="0" w:color="auto"/>
              <w:right w:val="single" w:sz="4" w:space="0" w:color="auto"/>
            </w:tcBorders>
            <w:shd w:val="clear" w:color="000000" w:fill="FFCC99"/>
            <w:noWrap/>
            <w:vAlign w:val="center"/>
            <w:hideMark/>
          </w:tcPr>
          <w:p w14:paraId="13C0837C" w14:textId="77777777" w:rsidR="005F3233" w:rsidRPr="005F3233" w:rsidRDefault="005F3233" w:rsidP="005F3233">
            <w:pPr>
              <w:spacing w:after="0" w:line="240" w:lineRule="auto"/>
              <w:jc w:val="center"/>
              <w:rPr>
                <w:rFonts w:ascii="Calibri" w:eastAsia="Times New Roman" w:hAnsi="Calibri" w:cs="Calibri"/>
                <w:sz w:val="24"/>
                <w:szCs w:val="24"/>
                <w:lang w:eastAsia="hr-HR"/>
              </w:rPr>
            </w:pPr>
            <w:r w:rsidRPr="005F3233">
              <w:rPr>
                <w:rFonts w:ascii="Calibri" w:eastAsia="Times New Roman" w:hAnsi="Calibri" w:cs="Calibri"/>
                <w:sz w:val="24"/>
                <w:szCs w:val="24"/>
                <w:lang w:eastAsia="hr-HR"/>
              </w:rPr>
              <w:t>0</w:t>
            </w:r>
          </w:p>
        </w:tc>
        <w:tc>
          <w:tcPr>
            <w:tcW w:w="421" w:type="dxa"/>
            <w:tcBorders>
              <w:top w:val="nil"/>
              <w:left w:val="nil"/>
              <w:bottom w:val="single" w:sz="4" w:space="0" w:color="auto"/>
              <w:right w:val="single" w:sz="4" w:space="0" w:color="auto"/>
            </w:tcBorders>
            <w:shd w:val="clear" w:color="000000" w:fill="CCFFFF"/>
            <w:vAlign w:val="center"/>
            <w:hideMark/>
          </w:tcPr>
          <w:p w14:paraId="5B80D69B" w14:textId="77777777" w:rsidR="005F3233" w:rsidRPr="005F3233" w:rsidRDefault="005F3233" w:rsidP="005F3233">
            <w:pPr>
              <w:spacing w:after="0" w:line="240" w:lineRule="auto"/>
              <w:jc w:val="center"/>
              <w:rPr>
                <w:rFonts w:ascii="Calibri" w:eastAsia="Times New Roman" w:hAnsi="Calibri" w:cs="Calibri"/>
                <w:sz w:val="24"/>
                <w:szCs w:val="24"/>
                <w:lang w:eastAsia="hr-HR"/>
              </w:rPr>
            </w:pPr>
            <w:r w:rsidRPr="005F3233">
              <w:rPr>
                <w:rFonts w:ascii="Calibri" w:eastAsia="Times New Roman" w:hAnsi="Calibri" w:cs="Calibri"/>
                <w:sz w:val="24"/>
                <w:szCs w:val="24"/>
                <w:lang w:eastAsia="hr-HR"/>
              </w:rPr>
              <w:t>0</w:t>
            </w:r>
          </w:p>
        </w:tc>
        <w:tc>
          <w:tcPr>
            <w:tcW w:w="408" w:type="dxa"/>
            <w:tcBorders>
              <w:top w:val="nil"/>
              <w:left w:val="nil"/>
              <w:bottom w:val="single" w:sz="4" w:space="0" w:color="auto"/>
              <w:right w:val="single" w:sz="4" w:space="0" w:color="auto"/>
            </w:tcBorders>
            <w:shd w:val="clear" w:color="000000" w:fill="CCFFFF"/>
            <w:vAlign w:val="center"/>
            <w:hideMark/>
          </w:tcPr>
          <w:p w14:paraId="78B5EFBE" w14:textId="77777777" w:rsidR="005F3233" w:rsidRPr="005F3233" w:rsidRDefault="005F3233" w:rsidP="005F3233">
            <w:pPr>
              <w:spacing w:after="0" w:line="240" w:lineRule="auto"/>
              <w:jc w:val="center"/>
              <w:rPr>
                <w:rFonts w:ascii="Calibri" w:eastAsia="Times New Roman" w:hAnsi="Calibri" w:cs="Calibri"/>
                <w:sz w:val="24"/>
                <w:szCs w:val="24"/>
                <w:lang w:eastAsia="hr-HR"/>
              </w:rPr>
            </w:pPr>
            <w:r w:rsidRPr="005F3233">
              <w:rPr>
                <w:rFonts w:ascii="Calibri" w:eastAsia="Times New Roman" w:hAnsi="Calibri" w:cs="Calibri"/>
                <w:sz w:val="24"/>
                <w:szCs w:val="24"/>
                <w:lang w:eastAsia="hr-HR"/>
              </w:rPr>
              <w:t>0</w:t>
            </w:r>
          </w:p>
        </w:tc>
        <w:tc>
          <w:tcPr>
            <w:tcW w:w="708" w:type="dxa"/>
            <w:tcBorders>
              <w:top w:val="nil"/>
              <w:left w:val="nil"/>
              <w:bottom w:val="single" w:sz="4" w:space="0" w:color="auto"/>
              <w:right w:val="single" w:sz="4" w:space="0" w:color="auto"/>
            </w:tcBorders>
            <w:shd w:val="clear" w:color="000000" w:fill="FFFF99"/>
            <w:noWrap/>
            <w:vAlign w:val="center"/>
            <w:hideMark/>
          </w:tcPr>
          <w:p w14:paraId="76BB3A64" w14:textId="77777777" w:rsidR="005F3233" w:rsidRPr="005F3233" w:rsidRDefault="005F3233" w:rsidP="005F3233">
            <w:pPr>
              <w:spacing w:after="0" w:line="240" w:lineRule="auto"/>
              <w:jc w:val="center"/>
              <w:rPr>
                <w:rFonts w:ascii="Calibri" w:eastAsia="Times New Roman" w:hAnsi="Calibri" w:cs="Calibri"/>
                <w:sz w:val="24"/>
                <w:szCs w:val="24"/>
                <w:lang w:eastAsia="hr-HR"/>
              </w:rPr>
            </w:pPr>
            <w:r w:rsidRPr="005F3233">
              <w:rPr>
                <w:rFonts w:ascii="Calibri" w:eastAsia="Times New Roman" w:hAnsi="Calibri" w:cs="Calibri"/>
                <w:sz w:val="24"/>
                <w:szCs w:val="24"/>
                <w:lang w:eastAsia="hr-HR"/>
              </w:rPr>
              <w:t>0</w:t>
            </w:r>
          </w:p>
        </w:tc>
        <w:tc>
          <w:tcPr>
            <w:tcW w:w="708" w:type="dxa"/>
            <w:tcBorders>
              <w:top w:val="nil"/>
              <w:left w:val="nil"/>
              <w:bottom w:val="single" w:sz="4" w:space="0" w:color="auto"/>
              <w:right w:val="single" w:sz="4" w:space="0" w:color="auto"/>
            </w:tcBorders>
            <w:shd w:val="clear" w:color="000000" w:fill="FFFF99"/>
            <w:noWrap/>
            <w:vAlign w:val="center"/>
            <w:hideMark/>
          </w:tcPr>
          <w:p w14:paraId="07BBFD9A" w14:textId="77777777" w:rsidR="005F3233" w:rsidRPr="005F3233" w:rsidRDefault="005F3233" w:rsidP="005F3233">
            <w:pPr>
              <w:spacing w:after="0" w:line="240" w:lineRule="auto"/>
              <w:jc w:val="center"/>
              <w:rPr>
                <w:rFonts w:ascii="Calibri" w:eastAsia="Times New Roman" w:hAnsi="Calibri" w:cs="Calibri"/>
                <w:sz w:val="24"/>
                <w:szCs w:val="24"/>
                <w:lang w:eastAsia="hr-HR"/>
              </w:rPr>
            </w:pPr>
            <w:r w:rsidRPr="005F3233">
              <w:rPr>
                <w:rFonts w:ascii="Calibri" w:eastAsia="Times New Roman" w:hAnsi="Calibri" w:cs="Calibri"/>
                <w:sz w:val="24"/>
                <w:szCs w:val="24"/>
                <w:lang w:eastAsia="hr-HR"/>
              </w:rPr>
              <w:t>0</w:t>
            </w:r>
          </w:p>
        </w:tc>
        <w:tc>
          <w:tcPr>
            <w:tcW w:w="708" w:type="dxa"/>
            <w:tcBorders>
              <w:top w:val="nil"/>
              <w:left w:val="nil"/>
              <w:bottom w:val="single" w:sz="4" w:space="0" w:color="auto"/>
              <w:right w:val="single" w:sz="4" w:space="0" w:color="auto"/>
            </w:tcBorders>
            <w:shd w:val="clear" w:color="000000" w:fill="FFFF99"/>
            <w:noWrap/>
            <w:vAlign w:val="center"/>
            <w:hideMark/>
          </w:tcPr>
          <w:p w14:paraId="51FCA661" w14:textId="77777777" w:rsidR="005F3233" w:rsidRPr="005F3233" w:rsidRDefault="005F3233" w:rsidP="005F3233">
            <w:pPr>
              <w:spacing w:after="0" w:line="240" w:lineRule="auto"/>
              <w:jc w:val="center"/>
              <w:rPr>
                <w:rFonts w:ascii="Calibri" w:eastAsia="Times New Roman" w:hAnsi="Calibri" w:cs="Calibri"/>
                <w:sz w:val="24"/>
                <w:szCs w:val="24"/>
                <w:lang w:eastAsia="hr-HR"/>
              </w:rPr>
            </w:pPr>
            <w:r w:rsidRPr="005F3233">
              <w:rPr>
                <w:rFonts w:ascii="Calibri" w:eastAsia="Times New Roman" w:hAnsi="Calibri" w:cs="Calibri"/>
                <w:sz w:val="24"/>
                <w:szCs w:val="24"/>
                <w:lang w:eastAsia="hr-HR"/>
              </w:rPr>
              <w:t>0</w:t>
            </w:r>
          </w:p>
        </w:tc>
        <w:tc>
          <w:tcPr>
            <w:tcW w:w="464" w:type="dxa"/>
            <w:tcBorders>
              <w:top w:val="nil"/>
              <w:left w:val="nil"/>
              <w:bottom w:val="single" w:sz="4" w:space="0" w:color="auto"/>
              <w:right w:val="single" w:sz="4" w:space="0" w:color="auto"/>
            </w:tcBorders>
            <w:shd w:val="clear" w:color="000000" w:fill="FFFF99"/>
            <w:noWrap/>
            <w:vAlign w:val="center"/>
            <w:hideMark/>
          </w:tcPr>
          <w:p w14:paraId="6487C23C" w14:textId="77777777" w:rsidR="005F3233" w:rsidRPr="005F3233" w:rsidRDefault="005F3233" w:rsidP="005F3233">
            <w:pPr>
              <w:spacing w:after="0" w:line="240" w:lineRule="auto"/>
              <w:jc w:val="center"/>
              <w:rPr>
                <w:rFonts w:ascii="Calibri" w:eastAsia="Times New Roman" w:hAnsi="Calibri" w:cs="Calibri"/>
                <w:sz w:val="24"/>
                <w:szCs w:val="24"/>
                <w:lang w:eastAsia="hr-HR"/>
              </w:rPr>
            </w:pPr>
            <w:r w:rsidRPr="005F3233">
              <w:rPr>
                <w:rFonts w:ascii="Calibri" w:eastAsia="Times New Roman" w:hAnsi="Calibri" w:cs="Calibri"/>
                <w:sz w:val="24"/>
                <w:szCs w:val="24"/>
                <w:lang w:eastAsia="hr-HR"/>
              </w:rPr>
              <w:t>0</w:t>
            </w:r>
          </w:p>
        </w:tc>
        <w:tc>
          <w:tcPr>
            <w:tcW w:w="700" w:type="dxa"/>
            <w:tcBorders>
              <w:top w:val="nil"/>
              <w:left w:val="nil"/>
              <w:bottom w:val="single" w:sz="4" w:space="0" w:color="auto"/>
              <w:right w:val="single" w:sz="4" w:space="0" w:color="auto"/>
            </w:tcBorders>
            <w:shd w:val="clear" w:color="000000" w:fill="FFFF99"/>
            <w:noWrap/>
            <w:vAlign w:val="center"/>
            <w:hideMark/>
          </w:tcPr>
          <w:p w14:paraId="47336052" w14:textId="77777777" w:rsidR="005F3233" w:rsidRPr="005F3233" w:rsidRDefault="005F3233" w:rsidP="005F3233">
            <w:pPr>
              <w:spacing w:after="0" w:line="240" w:lineRule="auto"/>
              <w:jc w:val="center"/>
              <w:rPr>
                <w:rFonts w:ascii="Calibri" w:eastAsia="Times New Roman" w:hAnsi="Calibri" w:cs="Calibri"/>
                <w:sz w:val="24"/>
                <w:szCs w:val="24"/>
                <w:lang w:eastAsia="hr-HR"/>
              </w:rPr>
            </w:pPr>
            <w:r w:rsidRPr="005F3233">
              <w:rPr>
                <w:rFonts w:ascii="Calibri" w:eastAsia="Times New Roman" w:hAnsi="Calibri" w:cs="Calibri"/>
                <w:sz w:val="24"/>
                <w:szCs w:val="24"/>
                <w:lang w:eastAsia="hr-HR"/>
              </w:rPr>
              <w:t>0</w:t>
            </w:r>
          </w:p>
        </w:tc>
        <w:tc>
          <w:tcPr>
            <w:tcW w:w="699" w:type="dxa"/>
            <w:tcBorders>
              <w:top w:val="nil"/>
              <w:left w:val="nil"/>
              <w:bottom w:val="single" w:sz="4" w:space="0" w:color="auto"/>
              <w:right w:val="single" w:sz="4" w:space="0" w:color="auto"/>
            </w:tcBorders>
            <w:shd w:val="clear" w:color="000000" w:fill="FFFF99"/>
            <w:noWrap/>
            <w:vAlign w:val="center"/>
            <w:hideMark/>
          </w:tcPr>
          <w:p w14:paraId="1903128B" w14:textId="77777777" w:rsidR="005F3233" w:rsidRPr="005F3233" w:rsidRDefault="005F3233" w:rsidP="005F3233">
            <w:pPr>
              <w:spacing w:after="0" w:line="240" w:lineRule="auto"/>
              <w:jc w:val="center"/>
              <w:rPr>
                <w:rFonts w:ascii="Calibri" w:eastAsia="Times New Roman" w:hAnsi="Calibri" w:cs="Calibri"/>
                <w:sz w:val="24"/>
                <w:szCs w:val="24"/>
                <w:lang w:eastAsia="hr-HR"/>
              </w:rPr>
            </w:pPr>
            <w:r w:rsidRPr="005F3233">
              <w:rPr>
                <w:rFonts w:ascii="Calibri" w:eastAsia="Times New Roman" w:hAnsi="Calibri" w:cs="Calibri"/>
                <w:sz w:val="24"/>
                <w:szCs w:val="24"/>
                <w:lang w:eastAsia="hr-HR"/>
              </w:rPr>
              <w:t>0</w:t>
            </w:r>
          </w:p>
        </w:tc>
        <w:tc>
          <w:tcPr>
            <w:tcW w:w="700" w:type="dxa"/>
            <w:tcBorders>
              <w:top w:val="nil"/>
              <w:left w:val="nil"/>
              <w:bottom w:val="single" w:sz="4" w:space="0" w:color="auto"/>
              <w:right w:val="single" w:sz="4" w:space="0" w:color="auto"/>
            </w:tcBorders>
            <w:shd w:val="clear" w:color="000000" w:fill="FFFF99"/>
            <w:noWrap/>
            <w:vAlign w:val="center"/>
            <w:hideMark/>
          </w:tcPr>
          <w:p w14:paraId="25EB0F6D" w14:textId="77777777" w:rsidR="005F3233" w:rsidRPr="005F3233" w:rsidRDefault="005F3233" w:rsidP="005F3233">
            <w:pPr>
              <w:spacing w:after="0" w:line="240" w:lineRule="auto"/>
              <w:jc w:val="center"/>
              <w:rPr>
                <w:rFonts w:ascii="Calibri" w:eastAsia="Times New Roman" w:hAnsi="Calibri" w:cs="Calibri"/>
                <w:sz w:val="24"/>
                <w:szCs w:val="24"/>
                <w:lang w:eastAsia="hr-HR"/>
              </w:rPr>
            </w:pPr>
            <w:r w:rsidRPr="005F3233">
              <w:rPr>
                <w:rFonts w:ascii="Calibri" w:eastAsia="Times New Roman" w:hAnsi="Calibri" w:cs="Calibri"/>
                <w:sz w:val="24"/>
                <w:szCs w:val="24"/>
                <w:lang w:eastAsia="hr-HR"/>
              </w:rPr>
              <w:t>0</w:t>
            </w:r>
          </w:p>
        </w:tc>
        <w:tc>
          <w:tcPr>
            <w:tcW w:w="464" w:type="dxa"/>
            <w:tcBorders>
              <w:top w:val="nil"/>
              <w:left w:val="nil"/>
              <w:bottom w:val="single" w:sz="4" w:space="0" w:color="auto"/>
              <w:right w:val="single" w:sz="4" w:space="0" w:color="auto"/>
            </w:tcBorders>
            <w:shd w:val="clear" w:color="000000" w:fill="FFFF99"/>
            <w:noWrap/>
            <w:vAlign w:val="center"/>
            <w:hideMark/>
          </w:tcPr>
          <w:p w14:paraId="45BB9387" w14:textId="77777777" w:rsidR="005F3233" w:rsidRPr="005F3233" w:rsidRDefault="005F3233" w:rsidP="005F3233">
            <w:pPr>
              <w:spacing w:after="0" w:line="240" w:lineRule="auto"/>
              <w:jc w:val="center"/>
              <w:rPr>
                <w:rFonts w:ascii="Calibri" w:eastAsia="Times New Roman" w:hAnsi="Calibri" w:cs="Calibri"/>
                <w:sz w:val="24"/>
                <w:szCs w:val="24"/>
                <w:lang w:eastAsia="hr-HR"/>
              </w:rPr>
            </w:pPr>
            <w:r w:rsidRPr="005F3233">
              <w:rPr>
                <w:rFonts w:ascii="Calibri" w:eastAsia="Times New Roman" w:hAnsi="Calibri" w:cs="Calibri"/>
                <w:sz w:val="24"/>
                <w:szCs w:val="24"/>
                <w:lang w:eastAsia="hr-HR"/>
              </w:rPr>
              <w:t>0</w:t>
            </w:r>
          </w:p>
        </w:tc>
        <w:tc>
          <w:tcPr>
            <w:tcW w:w="700" w:type="dxa"/>
            <w:tcBorders>
              <w:top w:val="nil"/>
              <w:left w:val="nil"/>
              <w:bottom w:val="single" w:sz="4" w:space="0" w:color="auto"/>
              <w:right w:val="single" w:sz="4" w:space="0" w:color="auto"/>
            </w:tcBorders>
            <w:shd w:val="clear" w:color="000000" w:fill="FFFF99"/>
            <w:noWrap/>
            <w:vAlign w:val="center"/>
            <w:hideMark/>
          </w:tcPr>
          <w:p w14:paraId="48176E18" w14:textId="77777777" w:rsidR="005F3233" w:rsidRPr="005F3233" w:rsidRDefault="005F3233" w:rsidP="005F3233">
            <w:pPr>
              <w:spacing w:after="0" w:line="240" w:lineRule="auto"/>
              <w:jc w:val="center"/>
              <w:rPr>
                <w:rFonts w:ascii="Calibri" w:eastAsia="Times New Roman" w:hAnsi="Calibri" w:cs="Calibri"/>
                <w:sz w:val="24"/>
                <w:szCs w:val="24"/>
                <w:lang w:eastAsia="hr-HR"/>
              </w:rPr>
            </w:pPr>
            <w:r w:rsidRPr="005F3233">
              <w:rPr>
                <w:rFonts w:ascii="Calibri" w:eastAsia="Times New Roman" w:hAnsi="Calibri" w:cs="Calibri"/>
                <w:sz w:val="24"/>
                <w:szCs w:val="24"/>
                <w:lang w:eastAsia="hr-HR"/>
              </w:rPr>
              <w:t>0</w:t>
            </w:r>
          </w:p>
        </w:tc>
        <w:tc>
          <w:tcPr>
            <w:tcW w:w="434" w:type="dxa"/>
            <w:tcBorders>
              <w:top w:val="nil"/>
              <w:left w:val="nil"/>
              <w:bottom w:val="single" w:sz="4" w:space="0" w:color="auto"/>
              <w:right w:val="single" w:sz="4" w:space="0" w:color="auto"/>
            </w:tcBorders>
            <w:shd w:val="clear" w:color="000000" w:fill="FFFF99"/>
            <w:noWrap/>
            <w:vAlign w:val="center"/>
            <w:hideMark/>
          </w:tcPr>
          <w:p w14:paraId="45E77692" w14:textId="77777777" w:rsidR="005F3233" w:rsidRPr="005F3233" w:rsidRDefault="005F3233" w:rsidP="005F3233">
            <w:pPr>
              <w:spacing w:after="0" w:line="240" w:lineRule="auto"/>
              <w:jc w:val="center"/>
              <w:rPr>
                <w:rFonts w:ascii="Calibri" w:eastAsia="Times New Roman" w:hAnsi="Calibri" w:cs="Calibri"/>
                <w:sz w:val="24"/>
                <w:szCs w:val="24"/>
                <w:lang w:eastAsia="hr-HR"/>
              </w:rPr>
            </w:pPr>
            <w:r w:rsidRPr="005F3233">
              <w:rPr>
                <w:rFonts w:ascii="Calibri" w:eastAsia="Times New Roman" w:hAnsi="Calibri" w:cs="Calibri"/>
                <w:sz w:val="24"/>
                <w:szCs w:val="24"/>
                <w:lang w:eastAsia="hr-HR"/>
              </w:rPr>
              <w:t>0</w:t>
            </w:r>
          </w:p>
        </w:tc>
        <w:tc>
          <w:tcPr>
            <w:tcW w:w="426" w:type="dxa"/>
            <w:tcBorders>
              <w:top w:val="nil"/>
              <w:left w:val="nil"/>
              <w:bottom w:val="single" w:sz="4" w:space="0" w:color="auto"/>
              <w:right w:val="single" w:sz="4" w:space="0" w:color="auto"/>
            </w:tcBorders>
            <w:shd w:val="clear" w:color="000000" w:fill="FF9900"/>
            <w:noWrap/>
            <w:vAlign w:val="center"/>
            <w:hideMark/>
          </w:tcPr>
          <w:p w14:paraId="5BBC8F70" w14:textId="77777777" w:rsidR="005F3233" w:rsidRPr="005F3233" w:rsidRDefault="005F3233" w:rsidP="005F3233">
            <w:pPr>
              <w:spacing w:after="0" w:line="240" w:lineRule="auto"/>
              <w:jc w:val="center"/>
              <w:rPr>
                <w:rFonts w:ascii="Calibri" w:eastAsia="Times New Roman" w:hAnsi="Calibri" w:cs="Calibri"/>
                <w:sz w:val="24"/>
                <w:szCs w:val="24"/>
                <w:lang w:eastAsia="hr-HR"/>
              </w:rPr>
            </w:pPr>
            <w:r w:rsidRPr="005F3233">
              <w:rPr>
                <w:rFonts w:ascii="Calibri" w:eastAsia="Times New Roman" w:hAnsi="Calibri" w:cs="Calibri"/>
                <w:sz w:val="24"/>
                <w:szCs w:val="24"/>
                <w:lang w:eastAsia="hr-HR"/>
              </w:rPr>
              <w:t>0</w:t>
            </w:r>
          </w:p>
        </w:tc>
        <w:tc>
          <w:tcPr>
            <w:tcW w:w="425" w:type="dxa"/>
            <w:tcBorders>
              <w:top w:val="nil"/>
              <w:left w:val="nil"/>
              <w:bottom w:val="single" w:sz="4" w:space="0" w:color="auto"/>
              <w:right w:val="single" w:sz="4" w:space="0" w:color="auto"/>
            </w:tcBorders>
            <w:shd w:val="clear" w:color="000000" w:fill="FF9900"/>
            <w:noWrap/>
            <w:vAlign w:val="center"/>
            <w:hideMark/>
          </w:tcPr>
          <w:p w14:paraId="6BD791B4" w14:textId="77777777" w:rsidR="005F3233" w:rsidRPr="005F3233" w:rsidRDefault="005F3233" w:rsidP="005F3233">
            <w:pPr>
              <w:spacing w:after="0" w:line="240" w:lineRule="auto"/>
              <w:jc w:val="center"/>
              <w:rPr>
                <w:rFonts w:ascii="Calibri" w:eastAsia="Times New Roman" w:hAnsi="Calibri" w:cs="Calibri"/>
                <w:sz w:val="24"/>
                <w:szCs w:val="24"/>
                <w:lang w:eastAsia="hr-HR"/>
              </w:rPr>
            </w:pPr>
            <w:r w:rsidRPr="005F3233">
              <w:rPr>
                <w:rFonts w:ascii="Calibri" w:eastAsia="Times New Roman" w:hAnsi="Calibri" w:cs="Calibri"/>
                <w:sz w:val="24"/>
                <w:szCs w:val="24"/>
                <w:lang w:eastAsia="hr-HR"/>
              </w:rPr>
              <w:t>0</w:t>
            </w:r>
          </w:p>
        </w:tc>
        <w:tc>
          <w:tcPr>
            <w:tcW w:w="442" w:type="dxa"/>
            <w:tcBorders>
              <w:top w:val="nil"/>
              <w:left w:val="nil"/>
              <w:bottom w:val="single" w:sz="4" w:space="0" w:color="auto"/>
              <w:right w:val="single" w:sz="4" w:space="0" w:color="auto"/>
            </w:tcBorders>
            <w:shd w:val="clear" w:color="000000" w:fill="FF9900"/>
            <w:noWrap/>
            <w:vAlign w:val="center"/>
            <w:hideMark/>
          </w:tcPr>
          <w:p w14:paraId="47FD944F" w14:textId="77777777" w:rsidR="005F3233" w:rsidRPr="005F3233" w:rsidRDefault="005F3233" w:rsidP="005F3233">
            <w:pPr>
              <w:spacing w:after="0" w:line="240" w:lineRule="auto"/>
              <w:jc w:val="center"/>
              <w:rPr>
                <w:rFonts w:ascii="Calibri" w:eastAsia="Times New Roman" w:hAnsi="Calibri" w:cs="Calibri"/>
                <w:sz w:val="24"/>
                <w:szCs w:val="24"/>
                <w:lang w:eastAsia="hr-HR"/>
              </w:rPr>
            </w:pPr>
            <w:r w:rsidRPr="005F3233">
              <w:rPr>
                <w:rFonts w:ascii="Calibri" w:eastAsia="Times New Roman" w:hAnsi="Calibri" w:cs="Calibri"/>
                <w:sz w:val="24"/>
                <w:szCs w:val="24"/>
                <w:lang w:eastAsia="hr-HR"/>
              </w:rPr>
              <w:t>0</w:t>
            </w:r>
          </w:p>
        </w:tc>
        <w:tc>
          <w:tcPr>
            <w:tcW w:w="451" w:type="dxa"/>
            <w:tcBorders>
              <w:top w:val="nil"/>
              <w:left w:val="nil"/>
              <w:bottom w:val="single" w:sz="4" w:space="0" w:color="auto"/>
              <w:right w:val="single" w:sz="4" w:space="0" w:color="auto"/>
            </w:tcBorders>
            <w:shd w:val="clear" w:color="auto" w:fill="auto"/>
            <w:vAlign w:val="center"/>
            <w:hideMark/>
          </w:tcPr>
          <w:p w14:paraId="662F8685" w14:textId="77777777" w:rsidR="005F3233" w:rsidRPr="005F3233" w:rsidRDefault="005F3233" w:rsidP="005F3233">
            <w:pPr>
              <w:spacing w:after="0" w:line="240" w:lineRule="auto"/>
              <w:jc w:val="center"/>
              <w:rPr>
                <w:rFonts w:ascii="Calibri" w:eastAsia="Times New Roman" w:hAnsi="Calibri" w:cs="Calibri"/>
                <w:b/>
                <w:bCs/>
                <w:sz w:val="24"/>
                <w:szCs w:val="24"/>
                <w:lang w:eastAsia="hr-HR"/>
              </w:rPr>
            </w:pPr>
            <w:r w:rsidRPr="005F3233">
              <w:rPr>
                <w:rFonts w:ascii="Calibri" w:eastAsia="Times New Roman" w:hAnsi="Calibri" w:cs="Calibri"/>
                <w:b/>
                <w:bCs/>
                <w:sz w:val="24"/>
                <w:szCs w:val="24"/>
                <w:lang w:eastAsia="hr-HR"/>
              </w:rPr>
              <w:t>0</w:t>
            </w:r>
          </w:p>
        </w:tc>
        <w:tc>
          <w:tcPr>
            <w:tcW w:w="383" w:type="dxa"/>
            <w:gridSpan w:val="2"/>
            <w:tcBorders>
              <w:top w:val="nil"/>
              <w:left w:val="nil"/>
              <w:bottom w:val="single" w:sz="4" w:space="0" w:color="auto"/>
              <w:right w:val="single" w:sz="4" w:space="0" w:color="auto"/>
            </w:tcBorders>
            <w:shd w:val="clear" w:color="000000" w:fill="FFFF00"/>
            <w:noWrap/>
            <w:vAlign w:val="center"/>
            <w:hideMark/>
          </w:tcPr>
          <w:p w14:paraId="484884C4" w14:textId="77777777" w:rsidR="005F3233" w:rsidRPr="005F3233" w:rsidRDefault="005F3233" w:rsidP="005F3233">
            <w:pPr>
              <w:spacing w:after="0" w:line="240" w:lineRule="auto"/>
              <w:jc w:val="center"/>
              <w:rPr>
                <w:rFonts w:ascii="Calibri" w:eastAsia="Times New Roman" w:hAnsi="Calibri" w:cs="Calibri"/>
                <w:sz w:val="24"/>
                <w:szCs w:val="24"/>
                <w:lang w:eastAsia="hr-HR"/>
              </w:rPr>
            </w:pPr>
            <w:r w:rsidRPr="005F3233">
              <w:rPr>
                <w:rFonts w:ascii="Calibri" w:eastAsia="Times New Roman" w:hAnsi="Calibri" w:cs="Calibri"/>
                <w:sz w:val="24"/>
                <w:szCs w:val="24"/>
                <w:lang w:eastAsia="hr-HR"/>
              </w:rPr>
              <w:t>0</w:t>
            </w:r>
          </w:p>
        </w:tc>
        <w:tc>
          <w:tcPr>
            <w:tcW w:w="392" w:type="dxa"/>
            <w:tcBorders>
              <w:top w:val="nil"/>
              <w:left w:val="nil"/>
              <w:bottom w:val="single" w:sz="4" w:space="0" w:color="auto"/>
              <w:right w:val="single" w:sz="4" w:space="0" w:color="auto"/>
            </w:tcBorders>
            <w:shd w:val="clear" w:color="000000" w:fill="FFFF00"/>
            <w:noWrap/>
            <w:vAlign w:val="center"/>
            <w:hideMark/>
          </w:tcPr>
          <w:p w14:paraId="211A34FD" w14:textId="77777777" w:rsidR="005F3233" w:rsidRPr="005F3233" w:rsidRDefault="005F3233" w:rsidP="005F3233">
            <w:pPr>
              <w:spacing w:after="0" w:line="240" w:lineRule="auto"/>
              <w:jc w:val="center"/>
              <w:rPr>
                <w:rFonts w:ascii="Calibri" w:eastAsia="Times New Roman" w:hAnsi="Calibri" w:cs="Calibri"/>
                <w:sz w:val="24"/>
                <w:szCs w:val="24"/>
                <w:lang w:eastAsia="hr-HR"/>
              </w:rPr>
            </w:pPr>
            <w:r w:rsidRPr="005F3233">
              <w:rPr>
                <w:rFonts w:ascii="Calibri" w:eastAsia="Times New Roman" w:hAnsi="Calibri" w:cs="Calibri"/>
                <w:sz w:val="24"/>
                <w:szCs w:val="24"/>
                <w:lang w:eastAsia="hr-HR"/>
              </w:rPr>
              <w:t>0</w:t>
            </w:r>
          </w:p>
        </w:tc>
        <w:tc>
          <w:tcPr>
            <w:tcW w:w="400" w:type="dxa"/>
            <w:tcBorders>
              <w:top w:val="nil"/>
              <w:left w:val="nil"/>
              <w:bottom w:val="single" w:sz="4" w:space="0" w:color="auto"/>
              <w:right w:val="single" w:sz="4" w:space="0" w:color="auto"/>
            </w:tcBorders>
            <w:shd w:val="clear" w:color="000000" w:fill="FFFF00"/>
            <w:noWrap/>
            <w:vAlign w:val="center"/>
            <w:hideMark/>
          </w:tcPr>
          <w:p w14:paraId="056F82F7" w14:textId="77777777" w:rsidR="005F3233" w:rsidRPr="005F3233" w:rsidRDefault="005F3233" w:rsidP="005F3233">
            <w:pPr>
              <w:spacing w:after="0" w:line="240" w:lineRule="auto"/>
              <w:jc w:val="center"/>
              <w:rPr>
                <w:rFonts w:ascii="Calibri" w:eastAsia="Times New Roman" w:hAnsi="Calibri" w:cs="Calibri"/>
                <w:sz w:val="24"/>
                <w:szCs w:val="24"/>
                <w:lang w:eastAsia="hr-HR"/>
              </w:rPr>
            </w:pPr>
            <w:r w:rsidRPr="005F3233">
              <w:rPr>
                <w:rFonts w:ascii="Calibri" w:eastAsia="Times New Roman" w:hAnsi="Calibri" w:cs="Calibri"/>
                <w:sz w:val="24"/>
                <w:szCs w:val="24"/>
                <w:lang w:eastAsia="hr-HR"/>
              </w:rPr>
              <w:t>0</w:t>
            </w:r>
          </w:p>
        </w:tc>
        <w:tc>
          <w:tcPr>
            <w:tcW w:w="409" w:type="dxa"/>
            <w:tcBorders>
              <w:top w:val="nil"/>
              <w:left w:val="nil"/>
              <w:bottom w:val="single" w:sz="4" w:space="0" w:color="auto"/>
              <w:right w:val="single" w:sz="4" w:space="0" w:color="auto"/>
            </w:tcBorders>
            <w:shd w:val="clear" w:color="auto" w:fill="auto"/>
            <w:vAlign w:val="center"/>
            <w:hideMark/>
          </w:tcPr>
          <w:p w14:paraId="21FFE1EC" w14:textId="77777777" w:rsidR="005F3233" w:rsidRPr="005F3233" w:rsidRDefault="005F3233" w:rsidP="005F3233">
            <w:pPr>
              <w:spacing w:after="0" w:line="240" w:lineRule="auto"/>
              <w:jc w:val="center"/>
              <w:rPr>
                <w:rFonts w:ascii="Calibri" w:eastAsia="Times New Roman" w:hAnsi="Calibri" w:cs="Calibri"/>
                <w:b/>
                <w:bCs/>
                <w:sz w:val="24"/>
                <w:szCs w:val="24"/>
                <w:lang w:eastAsia="hr-HR"/>
              </w:rPr>
            </w:pPr>
            <w:r w:rsidRPr="005F3233">
              <w:rPr>
                <w:rFonts w:ascii="Calibri" w:eastAsia="Times New Roman" w:hAnsi="Calibri" w:cs="Calibri"/>
                <w:b/>
                <w:bCs/>
                <w:sz w:val="24"/>
                <w:szCs w:val="24"/>
                <w:lang w:eastAsia="hr-HR"/>
              </w:rPr>
              <w:t>0</w:t>
            </w:r>
          </w:p>
        </w:tc>
        <w:tc>
          <w:tcPr>
            <w:tcW w:w="499" w:type="dxa"/>
            <w:gridSpan w:val="2"/>
            <w:tcBorders>
              <w:top w:val="nil"/>
              <w:left w:val="nil"/>
              <w:bottom w:val="single" w:sz="4" w:space="0" w:color="auto"/>
              <w:right w:val="single" w:sz="4" w:space="0" w:color="auto"/>
            </w:tcBorders>
            <w:shd w:val="clear" w:color="000000" w:fill="FFFF00"/>
            <w:vAlign w:val="center"/>
            <w:hideMark/>
          </w:tcPr>
          <w:p w14:paraId="708AEA4E" w14:textId="77777777" w:rsidR="005F3233" w:rsidRPr="005F3233" w:rsidRDefault="005F3233" w:rsidP="005F3233">
            <w:pPr>
              <w:spacing w:after="0" w:line="240" w:lineRule="auto"/>
              <w:jc w:val="center"/>
              <w:rPr>
                <w:rFonts w:ascii="Calibri" w:eastAsia="Times New Roman" w:hAnsi="Calibri" w:cs="Calibri"/>
                <w:b/>
                <w:bCs/>
                <w:sz w:val="24"/>
                <w:szCs w:val="24"/>
                <w:lang w:eastAsia="hr-HR"/>
              </w:rPr>
            </w:pPr>
            <w:r w:rsidRPr="005F3233">
              <w:rPr>
                <w:rFonts w:ascii="Calibri" w:eastAsia="Times New Roman" w:hAnsi="Calibri" w:cs="Calibri"/>
                <w:b/>
                <w:bCs/>
                <w:sz w:val="24"/>
                <w:szCs w:val="24"/>
                <w:lang w:eastAsia="hr-HR"/>
              </w:rPr>
              <w:t>0</w:t>
            </w:r>
          </w:p>
        </w:tc>
        <w:tc>
          <w:tcPr>
            <w:tcW w:w="567" w:type="dxa"/>
            <w:tcBorders>
              <w:top w:val="nil"/>
              <w:left w:val="nil"/>
              <w:bottom w:val="single" w:sz="4" w:space="0" w:color="auto"/>
              <w:right w:val="single" w:sz="4" w:space="0" w:color="auto"/>
            </w:tcBorders>
            <w:shd w:val="clear" w:color="000000" w:fill="FF9900"/>
            <w:noWrap/>
            <w:vAlign w:val="center"/>
            <w:hideMark/>
          </w:tcPr>
          <w:p w14:paraId="1C4BAECB" w14:textId="77777777" w:rsidR="005F3233" w:rsidRPr="005F3233" w:rsidRDefault="005F3233" w:rsidP="005F3233">
            <w:pPr>
              <w:spacing w:after="0" w:line="240" w:lineRule="auto"/>
              <w:jc w:val="center"/>
              <w:rPr>
                <w:rFonts w:ascii="Calibri" w:eastAsia="Times New Roman" w:hAnsi="Calibri" w:cs="Calibri"/>
                <w:sz w:val="24"/>
                <w:szCs w:val="24"/>
                <w:lang w:eastAsia="hr-HR"/>
              </w:rPr>
            </w:pPr>
            <w:r w:rsidRPr="005F3233">
              <w:rPr>
                <w:rFonts w:ascii="Calibri" w:eastAsia="Times New Roman" w:hAnsi="Calibri" w:cs="Calibri"/>
                <w:sz w:val="24"/>
                <w:szCs w:val="24"/>
                <w:lang w:eastAsia="hr-HR"/>
              </w:rPr>
              <w:t>0</w:t>
            </w:r>
          </w:p>
        </w:tc>
        <w:tc>
          <w:tcPr>
            <w:tcW w:w="425" w:type="dxa"/>
            <w:gridSpan w:val="2"/>
            <w:tcBorders>
              <w:top w:val="nil"/>
              <w:left w:val="nil"/>
              <w:bottom w:val="single" w:sz="4" w:space="0" w:color="auto"/>
              <w:right w:val="single" w:sz="4" w:space="0" w:color="auto"/>
            </w:tcBorders>
            <w:shd w:val="clear" w:color="000000" w:fill="CCFFFF"/>
            <w:noWrap/>
            <w:vAlign w:val="center"/>
            <w:hideMark/>
          </w:tcPr>
          <w:p w14:paraId="1E7D7059" w14:textId="77777777" w:rsidR="005F3233" w:rsidRPr="005F3233" w:rsidRDefault="005F3233" w:rsidP="005F3233">
            <w:pPr>
              <w:spacing w:after="0" w:line="240" w:lineRule="auto"/>
              <w:jc w:val="center"/>
              <w:rPr>
                <w:rFonts w:ascii="Calibri" w:eastAsia="Times New Roman" w:hAnsi="Calibri" w:cs="Calibri"/>
                <w:sz w:val="24"/>
                <w:szCs w:val="24"/>
                <w:lang w:eastAsia="hr-HR"/>
              </w:rPr>
            </w:pPr>
            <w:r w:rsidRPr="005F3233">
              <w:rPr>
                <w:rFonts w:ascii="Calibri" w:eastAsia="Times New Roman" w:hAnsi="Calibri" w:cs="Calibri"/>
                <w:sz w:val="24"/>
                <w:szCs w:val="24"/>
                <w:lang w:eastAsia="hr-HR"/>
              </w:rPr>
              <w:t>0</w:t>
            </w:r>
          </w:p>
        </w:tc>
        <w:tc>
          <w:tcPr>
            <w:tcW w:w="434" w:type="dxa"/>
            <w:gridSpan w:val="2"/>
            <w:tcBorders>
              <w:top w:val="nil"/>
              <w:left w:val="nil"/>
              <w:bottom w:val="single" w:sz="4" w:space="0" w:color="auto"/>
              <w:right w:val="single" w:sz="4" w:space="0" w:color="auto"/>
            </w:tcBorders>
            <w:shd w:val="clear" w:color="000000" w:fill="CCFFFF"/>
            <w:noWrap/>
            <w:vAlign w:val="center"/>
            <w:hideMark/>
          </w:tcPr>
          <w:p w14:paraId="4D4BCE90" w14:textId="77777777" w:rsidR="005F3233" w:rsidRPr="005F3233" w:rsidRDefault="005F3233" w:rsidP="005F3233">
            <w:pPr>
              <w:spacing w:after="0" w:line="240" w:lineRule="auto"/>
              <w:jc w:val="center"/>
              <w:rPr>
                <w:rFonts w:ascii="Calibri" w:eastAsia="Times New Roman" w:hAnsi="Calibri" w:cs="Calibri"/>
                <w:sz w:val="24"/>
                <w:szCs w:val="24"/>
                <w:lang w:eastAsia="hr-HR"/>
              </w:rPr>
            </w:pPr>
            <w:r w:rsidRPr="005F3233">
              <w:rPr>
                <w:rFonts w:ascii="Calibri" w:eastAsia="Times New Roman" w:hAnsi="Calibri" w:cs="Calibri"/>
                <w:sz w:val="24"/>
                <w:szCs w:val="24"/>
                <w:lang w:eastAsia="hr-HR"/>
              </w:rPr>
              <w:t>0</w:t>
            </w:r>
          </w:p>
        </w:tc>
        <w:tc>
          <w:tcPr>
            <w:tcW w:w="417" w:type="dxa"/>
            <w:tcBorders>
              <w:top w:val="nil"/>
              <w:left w:val="nil"/>
              <w:bottom w:val="single" w:sz="4" w:space="0" w:color="auto"/>
              <w:right w:val="single" w:sz="4" w:space="0" w:color="auto"/>
            </w:tcBorders>
            <w:shd w:val="clear" w:color="000000" w:fill="CCFFFF"/>
            <w:noWrap/>
            <w:vAlign w:val="center"/>
            <w:hideMark/>
          </w:tcPr>
          <w:p w14:paraId="7040480C" w14:textId="77777777" w:rsidR="005F3233" w:rsidRPr="005F3233" w:rsidRDefault="005F3233" w:rsidP="005F3233">
            <w:pPr>
              <w:spacing w:after="0" w:line="240" w:lineRule="auto"/>
              <w:jc w:val="center"/>
              <w:rPr>
                <w:rFonts w:ascii="Calibri" w:eastAsia="Times New Roman" w:hAnsi="Calibri" w:cs="Calibri"/>
                <w:sz w:val="24"/>
                <w:szCs w:val="24"/>
                <w:lang w:eastAsia="hr-HR"/>
              </w:rPr>
            </w:pPr>
            <w:r w:rsidRPr="005F3233">
              <w:rPr>
                <w:rFonts w:ascii="Calibri" w:eastAsia="Times New Roman" w:hAnsi="Calibri" w:cs="Calibri"/>
                <w:sz w:val="24"/>
                <w:szCs w:val="24"/>
                <w:lang w:eastAsia="hr-HR"/>
              </w:rPr>
              <w:t>0</w:t>
            </w:r>
          </w:p>
        </w:tc>
        <w:tc>
          <w:tcPr>
            <w:tcW w:w="425" w:type="dxa"/>
            <w:gridSpan w:val="3"/>
            <w:tcBorders>
              <w:top w:val="nil"/>
              <w:left w:val="nil"/>
              <w:bottom w:val="single" w:sz="4" w:space="0" w:color="auto"/>
              <w:right w:val="single" w:sz="8" w:space="0" w:color="auto"/>
            </w:tcBorders>
            <w:shd w:val="clear" w:color="000000" w:fill="33CCCC"/>
            <w:noWrap/>
            <w:vAlign w:val="center"/>
            <w:hideMark/>
          </w:tcPr>
          <w:p w14:paraId="6D18D71D" w14:textId="77777777" w:rsidR="005F3233" w:rsidRPr="005F3233" w:rsidRDefault="005F3233" w:rsidP="005F3233">
            <w:pPr>
              <w:spacing w:after="0" w:line="240" w:lineRule="auto"/>
              <w:jc w:val="center"/>
              <w:rPr>
                <w:rFonts w:ascii="Calibri" w:eastAsia="Times New Roman" w:hAnsi="Calibri" w:cs="Calibri"/>
                <w:sz w:val="24"/>
                <w:szCs w:val="24"/>
                <w:lang w:eastAsia="hr-HR"/>
              </w:rPr>
            </w:pPr>
            <w:r w:rsidRPr="005F3233">
              <w:rPr>
                <w:rFonts w:ascii="Calibri" w:eastAsia="Times New Roman" w:hAnsi="Calibri" w:cs="Calibri"/>
                <w:sz w:val="24"/>
                <w:szCs w:val="24"/>
                <w:lang w:eastAsia="hr-HR"/>
              </w:rPr>
              <w:t>0</w:t>
            </w:r>
          </w:p>
        </w:tc>
        <w:tc>
          <w:tcPr>
            <w:tcW w:w="569" w:type="dxa"/>
            <w:gridSpan w:val="2"/>
            <w:tcBorders>
              <w:top w:val="nil"/>
              <w:left w:val="single" w:sz="4" w:space="0" w:color="auto"/>
              <w:bottom w:val="single" w:sz="4" w:space="0" w:color="auto"/>
              <w:right w:val="single" w:sz="8" w:space="0" w:color="auto"/>
            </w:tcBorders>
            <w:shd w:val="clear" w:color="000000" w:fill="33CCCC"/>
            <w:noWrap/>
            <w:vAlign w:val="center"/>
            <w:hideMark/>
          </w:tcPr>
          <w:p w14:paraId="6D015CF5" w14:textId="77777777" w:rsidR="005F3233" w:rsidRPr="005F3233" w:rsidRDefault="005F3233" w:rsidP="005F3233">
            <w:pPr>
              <w:spacing w:after="0" w:line="240" w:lineRule="auto"/>
              <w:jc w:val="center"/>
              <w:rPr>
                <w:rFonts w:ascii="Calibri" w:eastAsia="Times New Roman" w:hAnsi="Calibri" w:cs="Calibri"/>
                <w:sz w:val="24"/>
                <w:szCs w:val="24"/>
                <w:lang w:eastAsia="hr-HR"/>
              </w:rPr>
            </w:pPr>
            <w:r w:rsidRPr="005F3233">
              <w:rPr>
                <w:rFonts w:ascii="Calibri" w:eastAsia="Times New Roman" w:hAnsi="Calibri" w:cs="Calibri"/>
                <w:sz w:val="24"/>
                <w:szCs w:val="24"/>
                <w:lang w:eastAsia="hr-HR"/>
              </w:rPr>
              <w:t>0</w:t>
            </w:r>
          </w:p>
        </w:tc>
        <w:tc>
          <w:tcPr>
            <w:tcW w:w="236" w:type="dxa"/>
            <w:gridSpan w:val="3"/>
            <w:vAlign w:val="center"/>
            <w:hideMark/>
          </w:tcPr>
          <w:p w14:paraId="685812B8" w14:textId="77777777" w:rsidR="005F3233" w:rsidRPr="005F3233" w:rsidRDefault="005F3233" w:rsidP="005F3233">
            <w:pPr>
              <w:spacing w:after="0" w:line="240" w:lineRule="auto"/>
              <w:rPr>
                <w:rFonts w:ascii="Times New Roman" w:eastAsia="Times New Roman" w:hAnsi="Times New Roman" w:cs="Times New Roman"/>
                <w:sz w:val="20"/>
                <w:szCs w:val="20"/>
                <w:lang w:eastAsia="hr-HR"/>
              </w:rPr>
            </w:pPr>
          </w:p>
        </w:tc>
      </w:tr>
      <w:tr w:rsidR="005F3233" w:rsidRPr="005F3233" w14:paraId="684CC6C2" w14:textId="77777777" w:rsidTr="000271A1">
        <w:trPr>
          <w:gridBefore w:val="1"/>
          <w:gridAfter w:val="2"/>
          <w:wBefore w:w="10" w:type="dxa"/>
          <w:wAfter w:w="237" w:type="dxa"/>
          <w:trHeight w:val="315"/>
        </w:trPr>
        <w:tc>
          <w:tcPr>
            <w:tcW w:w="869" w:type="dxa"/>
            <w:tcBorders>
              <w:top w:val="single" w:sz="4" w:space="0" w:color="auto"/>
              <w:left w:val="single" w:sz="8" w:space="0" w:color="auto"/>
              <w:bottom w:val="single" w:sz="4" w:space="0" w:color="auto"/>
              <w:right w:val="single" w:sz="4" w:space="0" w:color="auto"/>
            </w:tcBorders>
            <w:shd w:val="clear" w:color="000000" w:fill="CCFFCC"/>
            <w:vAlign w:val="center"/>
            <w:hideMark/>
          </w:tcPr>
          <w:p w14:paraId="5E113269" w14:textId="77777777" w:rsidR="005F3233" w:rsidRPr="005F3233" w:rsidRDefault="005F3233" w:rsidP="005F3233">
            <w:pPr>
              <w:spacing w:after="0" w:line="240" w:lineRule="auto"/>
              <w:rPr>
                <w:rFonts w:ascii="Calibri" w:eastAsia="Times New Roman" w:hAnsi="Calibri" w:cs="Calibri"/>
                <w:lang w:eastAsia="hr-HR"/>
              </w:rPr>
            </w:pPr>
            <w:r w:rsidRPr="005F3233">
              <w:rPr>
                <w:rFonts w:ascii="Calibri" w:eastAsia="Times New Roman" w:hAnsi="Calibri" w:cs="Calibri"/>
                <w:lang w:eastAsia="hr-HR"/>
              </w:rPr>
              <w:t>Rođenje</w:t>
            </w:r>
          </w:p>
        </w:tc>
        <w:tc>
          <w:tcPr>
            <w:tcW w:w="457" w:type="dxa"/>
            <w:tcBorders>
              <w:top w:val="nil"/>
              <w:left w:val="nil"/>
              <w:bottom w:val="single" w:sz="4" w:space="0" w:color="auto"/>
              <w:right w:val="single" w:sz="4" w:space="0" w:color="auto"/>
            </w:tcBorders>
            <w:shd w:val="clear" w:color="000000" w:fill="FFFF00"/>
            <w:vAlign w:val="center"/>
            <w:hideMark/>
          </w:tcPr>
          <w:p w14:paraId="54C7D0EB" w14:textId="77777777" w:rsidR="005F3233" w:rsidRPr="005F3233" w:rsidRDefault="005F3233" w:rsidP="005F3233">
            <w:pPr>
              <w:spacing w:after="0" w:line="240" w:lineRule="auto"/>
              <w:jc w:val="center"/>
              <w:rPr>
                <w:rFonts w:ascii="Calibri" w:eastAsia="Times New Roman" w:hAnsi="Calibri" w:cs="Calibri"/>
                <w:b/>
                <w:bCs/>
                <w:lang w:eastAsia="hr-HR"/>
              </w:rPr>
            </w:pPr>
            <w:r w:rsidRPr="005F3233">
              <w:rPr>
                <w:rFonts w:ascii="Calibri" w:eastAsia="Times New Roman" w:hAnsi="Calibri" w:cs="Calibri"/>
                <w:b/>
                <w:bCs/>
                <w:lang w:eastAsia="hr-HR"/>
              </w:rPr>
              <w:t>0</w:t>
            </w:r>
          </w:p>
        </w:tc>
        <w:tc>
          <w:tcPr>
            <w:tcW w:w="449" w:type="dxa"/>
            <w:tcBorders>
              <w:top w:val="nil"/>
              <w:left w:val="nil"/>
              <w:bottom w:val="single" w:sz="4" w:space="0" w:color="auto"/>
              <w:right w:val="single" w:sz="4" w:space="0" w:color="auto"/>
            </w:tcBorders>
            <w:shd w:val="clear" w:color="000000" w:fill="FFCC99"/>
            <w:noWrap/>
            <w:vAlign w:val="center"/>
            <w:hideMark/>
          </w:tcPr>
          <w:p w14:paraId="10A69AFF" w14:textId="77777777" w:rsidR="005F3233" w:rsidRPr="005F3233" w:rsidRDefault="005F3233" w:rsidP="005F3233">
            <w:pPr>
              <w:spacing w:after="0" w:line="240" w:lineRule="auto"/>
              <w:jc w:val="center"/>
              <w:rPr>
                <w:rFonts w:ascii="Calibri" w:eastAsia="Times New Roman" w:hAnsi="Calibri" w:cs="Calibri"/>
                <w:sz w:val="24"/>
                <w:szCs w:val="24"/>
                <w:lang w:eastAsia="hr-HR"/>
              </w:rPr>
            </w:pPr>
            <w:r w:rsidRPr="005F3233">
              <w:rPr>
                <w:rFonts w:ascii="Calibri" w:eastAsia="Times New Roman" w:hAnsi="Calibri" w:cs="Calibri"/>
                <w:sz w:val="24"/>
                <w:szCs w:val="24"/>
                <w:lang w:eastAsia="hr-HR"/>
              </w:rPr>
              <w:t>0</w:t>
            </w:r>
          </w:p>
        </w:tc>
        <w:tc>
          <w:tcPr>
            <w:tcW w:w="421" w:type="dxa"/>
            <w:tcBorders>
              <w:top w:val="nil"/>
              <w:left w:val="nil"/>
              <w:bottom w:val="single" w:sz="4" w:space="0" w:color="auto"/>
              <w:right w:val="single" w:sz="4" w:space="0" w:color="auto"/>
            </w:tcBorders>
            <w:shd w:val="clear" w:color="000000" w:fill="CCFFFF"/>
            <w:vAlign w:val="center"/>
            <w:hideMark/>
          </w:tcPr>
          <w:p w14:paraId="6294D105" w14:textId="77777777" w:rsidR="005F3233" w:rsidRPr="005F3233" w:rsidRDefault="005F3233" w:rsidP="005F3233">
            <w:pPr>
              <w:spacing w:after="0" w:line="240" w:lineRule="auto"/>
              <w:jc w:val="center"/>
              <w:rPr>
                <w:rFonts w:ascii="Calibri" w:eastAsia="Times New Roman" w:hAnsi="Calibri" w:cs="Calibri"/>
                <w:sz w:val="24"/>
                <w:szCs w:val="24"/>
                <w:lang w:eastAsia="hr-HR"/>
              </w:rPr>
            </w:pPr>
            <w:r w:rsidRPr="005F3233">
              <w:rPr>
                <w:rFonts w:ascii="Calibri" w:eastAsia="Times New Roman" w:hAnsi="Calibri" w:cs="Calibri"/>
                <w:sz w:val="24"/>
                <w:szCs w:val="24"/>
                <w:lang w:eastAsia="hr-HR"/>
              </w:rPr>
              <w:t>0</w:t>
            </w:r>
          </w:p>
        </w:tc>
        <w:tc>
          <w:tcPr>
            <w:tcW w:w="408" w:type="dxa"/>
            <w:tcBorders>
              <w:top w:val="nil"/>
              <w:left w:val="nil"/>
              <w:bottom w:val="single" w:sz="4" w:space="0" w:color="auto"/>
              <w:right w:val="single" w:sz="4" w:space="0" w:color="auto"/>
            </w:tcBorders>
            <w:shd w:val="clear" w:color="000000" w:fill="CCFFFF"/>
            <w:vAlign w:val="center"/>
            <w:hideMark/>
          </w:tcPr>
          <w:p w14:paraId="0223A95A" w14:textId="77777777" w:rsidR="005F3233" w:rsidRPr="005F3233" w:rsidRDefault="005F3233" w:rsidP="005F3233">
            <w:pPr>
              <w:spacing w:after="0" w:line="240" w:lineRule="auto"/>
              <w:jc w:val="center"/>
              <w:rPr>
                <w:rFonts w:ascii="Calibri" w:eastAsia="Times New Roman" w:hAnsi="Calibri" w:cs="Calibri"/>
                <w:sz w:val="24"/>
                <w:szCs w:val="24"/>
                <w:lang w:eastAsia="hr-HR"/>
              </w:rPr>
            </w:pPr>
            <w:r w:rsidRPr="005F3233">
              <w:rPr>
                <w:rFonts w:ascii="Calibri" w:eastAsia="Times New Roman" w:hAnsi="Calibri" w:cs="Calibri"/>
                <w:sz w:val="24"/>
                <w:szCs w:val="24"/>
                <w:lang w:eastAsia="hr-HR"/>
              </w:rPr>
              <w:t>0</w:t>
            </w:r>
          </w:p>
        </w:tc>
        <w:tc>
          <w:tcPr>
            <w:tcW w:w="708" w:type="dxa"/>
            <w:tcBorders>
              <w:top w:val="nil"/>
              <w:left w:val="nil"/>
              <w:bottom w:val="single" w:sz="4" w:space="0" w:color="auto"/>
              <w:right w:val="single" w:sz="4" w:space="0" w:color="auto"/>
            </w:tcBorders>
            <w:shd w:val="clear" w:color="000000" w:fill="FFFF99"/>
            <w:noWrap/>
            <w:vAlign w:val="center"/>
            <w:hideMark/>
          </w:tcPr>
          <w:p w14:paraId="2D2490D4" w14:textId="77777777" w:rsidR="005F3233" w:rsidRPr="005F3233" w:rsidRDefault="005F3233" w:rsidP="005F3233">
            <w:pPr>
              <w:spacing w:after="0" w:line="240" w:lineRule="auto"/>
              <w:jc w:val="center"/>
              <w:rPr>
                <w:rFonts w:ascii="Calibri" w:eastAsia="Times New Roman" w:hAnsi="Calibri" w:cs="Calibri"/>
                <w:sz w:val="24"/>
                <w:szCs w:val="24"/>
                <w:lang w:eastAsia="hr-HR"/>
              </w:rPr>
            </w:pPr>
            <w:r w:rsidRPr="005F3233">
              <w:rPr>
                <w:rFonts w:ascii="Calibri" w:eastAsia="Times New Roman" w:hAnsi="Calibri" w:cs="Calibri"/>
                <w:sz w:val="24"/>
                <w:szCs w:val="24"/>
                <w:lang w:eastAsia="hr-HR"/>
              </w:rPr>
              <w:t>0</w:t>
            </w:r>
          </w:p>
        </w:tc>
        <w:tc>
          <w:tcPr>
            <w:tcW w:w="708" w:type="dxa"/>
            <w:tcBorders>
              <w:top w:val="nil"/>
              <w:left w:val="nil"/>
              <w:bottom w:val="single" w:sz="4" w:space="0" w:color="auto"/>
              <w:right w:val="single" w:sz="4" w:space="0" w:color="auto"/>
            </w:tcBorders>
            <w:shd w:val="clear" w:color="000000" w:fill="FFFF99"/>
            <w:noWrap/>
            <w:vAlign w:val="center"/>
            <w:hideMark/>
          </w:tcPr>
          <w:p w14:paraId="6ED4D228" w14:textId="77777777" w:rsidR="005F3233" w:rsidRPr="005F3233" w:rsidRDefault="005F3233" w:rsidP="005F3233">
            <w:pPr>
              <w:spacing w:after="0" w:line="240" w:lineRule="auto"/>
              <w:jc w:val="center"/>
              <w:rPr>
                <w:rFonts w:ascii="Calibri" w:eastAsia="Times New Roman" w:hAnsi="Calibri" w:cs="Calibri"/>
                <w:sz w:val="24"/>
                <w:szCs w:val="24"/>
                <w:lang w:eastAsia="hr-HR"/>
              </w:rPr>
            </w:pPr>
            <w:r w:rsidRPr="005F3233">
              <w:rPr>
                <w:rFonts w:ascii="Calibri" w:eastAsia="Times New Roman" w:hAnsi="Calibri" w:cs="Calibri"/>
                <w:sz w:val="24"/>
                <w:szCs w:val="24"/>
                <w:lang w:eastAsia="hr-HR"/>
              </w:rPr>
              <w:t>0</w:t>
            </w:r>
          </w:p>
        </w:tc>
        <w:tc>
          <w:tcPr>
            <w:tcW w:w="708" w:type="dxa"/>
            <w:tcBorders>
              <w:top w:val="nil"/>
              <w:left w:val="nil"/>
              <w:bottom w:val="single" w:sz="4" w:space="0" w:color="auto"/>
              <w:right w:val="single" w:sz="4" w:space="0" w:color="auto"/>
            </w:tcBorders>
            <w:shd w:val="clear" w:color="000000" w:fill="FFFF99"/>
            <w:noWrap/>
            <w:vAlign w:val="center"/>
            <w:hideMark/>
          </w:tcPr>
          <w:p w14:paraId="758F41C3" w14:textId="77777777" w:rsidR="005F3233" w:rsidRPr="005F3233" w:rsidRDefault="005F3233" w:rsidP="005F3233">
            <w:pPr>
              <w:spacing w:after="0" w:line="240" w:lineRule="auto"/>
              <w:jc w:val="center"/>
              <w:rPr>
                <w:rFonts w:ascii="Calibri" w:eastAsia="Times New Roman" w:hAnsi="Calibri" w:cs="Calibri"/>
                <w:sz w:val="24"/>
                <w:szCs w:val="24"/>
                <w:lang w:eastAsia="hr-HR"/>
              </w:rPr>
            </w:pPr>
            <w:r w:rsidRPr="005F3233">
              <w:rPr>
                <w:rFonts w:ascii="Calibri" w:eastAsia="Times New Roman" w:hAnsi="Calibri" w:cs="Calibri"/>
                <w:sz w:val="24"/>
                <w:szCs w:val="24"/>
                <w:lang w:eastAsia="hr-HR"/>
              </w:rPr>
              <w:t>0</w:t>
            </w:r>
          </w:p>
        </w:tc>
        <w:tc>
          <w:tcPr>
            <w:tcW w:w="464" w:type="dxa"/>
            <w:tcBorders>
              <w:top w:val="nil"/>
              <w:left w:val="nil"/>
              <w:bottom w:val="single" w:sz="4" w:space="0" w:color="auto"/>
              <w:right w:val="single" w:sz="4" w:space="0" w:color="auto"/>
            </w:tcBorders>
            <w:shd w:val="clear" w:color="000000" w:fill="FFFF99"/>
            <w:noWrap/>
            <w:vAlign w:val="center"/>
            <w:hideMark/>
          </w:tcPr>
          <w:p w14:paraId="13DAD226" w14:textId="77777777" w:rsidR="005F3233" w:rsidRPr="005F3233" w:rsidRDefault="005F3233" w:rsidP="005F3233">
            <w:pPr>
              <w:spacing w:after="0" w:line="240" w:lineRule="auto"/>
              <w:jc w:val="center"/>
              <w:rPr>
                <w:rFonts w:ascii="Calibri" w:eastAsia="Times New Roman" w:hAnsi="Calibri" w:cs="Calibri"/>
                <w:sz w:val="24"/>
                <w:szCs w:val="24"/>
                <w:lang w:eastAsia="hr-HR"/>
              </w:rPr>
            </w:pPr>
            <w:r w:rsidRPr="005F3233">
              <w:rPr>
                <w:rFonts w:ascii="Calibri" w:eastAsia="Times New Roman" w:hAnsi="Calibri" w:cs="Calibri"/>
                <w:sz w:val="24"/>
                <w:szCs w:val="24"/>
                <w:lang w:eastAsia="hr-HR"/>
              </w:rPr>
              <w:t>0</w:t>
            </w:r>
          </w:p>
        </w:tc>
        <w:tc>
          <w:tcPr>
            <w:tcW w:w="700" w:type="dxa"/>
            <w:tcBorders>
              <w:top w:val="nil"/>
              <w:left w:val="nil"/>
              <w:bottom w:val="single" w:sz="4" w:space="0" w:color="auto"/>
              <w:right w:val="single" w:sz="4" w:space="0" w:color="auto"/>
            </w:tcBorders>
            <w:shd w:val="clear" w:color="000000" w:fill="FFFF99"/>
            <w:noWrap/>
            <w:vAlign w:val="center"/>
            <w:hideMark/>
          </w:tcPr>
          <w:p w14:paraId="4CBCBC78" w14:textId="77777777" w:rsidR="005F3233" w:rsidRPr="005F3233" w:rsidRDefault="005F3233" w:rsidP="005F3233">
            <w:pPr>
              <w:spacing w:after="0" w:line="240" w:lineRule="auto"/>
              <w:jc w:val="center"/>
              <w:rPr>
                <w:rFonts w:ascii="Calibri" w:eastAsia="Times New Roman" w:hAnsi="Calibri" w:cs="Calibri"/>
                <w:sz w:val="24"/>
                <w:szCs w:val="24"/>
                <w:lang w:eastAsia="hr-HR"/>
              </w:rPr>
            </w:pPr>
            <w:r w:rsidRPr="005F3233">
              <w:rPr>
                <w:rFonts w:ascii="Calibri" w:eastAsia="Times New Roman" w:hAnsi="Calibri" w:cs="Calibri"/>
                <w:sz w:val="24"/>
                <w:szCs w:val="24"/>
                <w:lang w:eastAsia="hr-HR"/>
              </w:rPr>
              <w:t>0</w:t>
            </w:r>
          </w:p>
        </w:tc>
        <w:tc>
          <w:tcPr>
            <w:tcW w:w="699" w:type="dxa"/>
            <w:tcBorders>
              <w:top w:val="nil"/>
              <w:left w:val="nil"/>
              <w:bottom w:val="single" w:sz="4" w:space="0" w:color="auto"/>
              <w:right w:val="single" w:sz="4" w:space="0" w:color="auto"/>
            </w:tcBorders>
            <w:shd w:val="clear" w:color="000000" w:fill="FFFF99"/>
            <w:noWrap/>
            <w:vAlign w:val="center"/>
            <w:hideMark/>
          </w:tcPr>
          <w:p w14:paraId="7F971810" w14:textId="77777777" w:rsidR="005F3233" w:rsidRPr="005F3233" w:rsidRDefault="005F3233" w:rsidP="005F3233">
            <w:pPr>
              <w:spacing w:after="0" w:line="240" w:lineRule="auto"/>
              <w:jc w:val="center"/>
              <w:rPr>
                <w:rFonts w:ascii="Calibri" w:eastAsia="Times New Roman" w:hAnsi="Calibri" w:cs="Calibri"/>
                <w:sz w:val="24"/>
                <w:szCs w:val="24"/>
                <w:lang w:eastAsia="hr-HR"/>
              </w:rPr>
            </w:pPr>
            <w:r w:rsidRPr="005F3233">
              <w:rPr>
                <w:rFonts w:ascii="Calibri" w:eastAsia="Times New Roman" w:hAnsi="Calibri" w:cs="Calibri"/>
                <w:sz w:val="24"/>
                <w:szCs w:val="24"/>
                <w:lang w:eastAsia="hr-HR"/>
              </w:rPr>
              <w:t>0</w:t>
            </w:r>
          </w:p>
        </w:tc>
        <w:tc>
          <w:tcPr>
            <w:tcW w:w="700" w:type="dxa"/>
            <w:tcBorders>
              <w:top w:val="nil"/>
              <w:left w:val="nil"/>
              <w:bottom w:val="single" w:sz="4" w:space="0" w:color="auto"/>
              <w:right w:val="single" w:sz="4" w:space="0" w:color="auto"/>
            </w:tcBorders>
            <w:shd w:val="clear" w:color="000000" w:fill="FFFF99"/>
            <w:noWrap/>
            <w:vAlign w:val="center"/>
            <w:hideMark/>
          </w:tcPr>
          <w:p w14:paraId="62832129" w14:textId="77777777" w:rsidR="005F3233" w:rsidRPr="005F3233" w:rsidRDefault="005F3233" w:rsidP="005F3233">
            <w:pPr>
              <w:spacing w:after="0" w:line="240" w:lineRule="auto"/>
              <w:jc w:val="center"/>
              <w:rPr>
                <w:rFonts w:ascii="Calibri" w:eastAsia="Times New Roman" w:hAnsi="Calibri" w:cs="Calibri"/>
                <w:sz w:val="24"/>
                <w:szCs w:val="24"/>
                <w:lang w:eastAsia="hr-HR"/>
              </w:rPr>
            </w:pPr>
            <w:r w:rsidRPr="005F3233">
              <w:rPr>
                <w:rFonts w:ascii="Calibri" w:eastAsia="Times New Roman" w:hAnsi="Calibri" w:cs="Calibri"/>
                <w:sz w:val="24"/>
                <w:szCs w:val="24"/>
                <w:lang w:eastAsia="hr-HR"/>
              </w:rPr>
              <w:t>0</w:t>
            </w:r>
          </w:p>
        </w:tc>
        <w:tc>
          <w:tcPr>
            <w:tcW w:w="464" w:type="dxa"/>
            <w:tcBorders>
              <w:top w:val="nil"/>
              <w:left w:val="nil"/>
              <w:bottom w:val="single" w:sz="4" w:space="0" w:color="auto"/>
              <w:right w:val="single" w:sz="4" w:space="0" w:color="auto"/>
            </w:tcBorders>
            <w:shd w:val="clear" w:color="000000" w:fill="FFFF99"/>
            <w:noWrap/>
            <w:vAlign w:val="center"/>
            <w:hideMark/>
          </w:tcPr>
          <w:p w14:paraId="5B9C0BC4" w14:textId="77777777" w:rsidR="005F3233" w:rsidRPr="005F3233" w:rsidRDefault="005F3233" w:rsidP="005F3233">
            <w:pPr>
              <w:spacing w:after="0" w:line="240" w:lineRule="auto"/>
              <w:jc w:val="center"/>
              <w:rPr>
                <w:rFonts w:ascii="Calibri" w:eastAsia="Times New Roman" w:hAnsi="Calibri" w:cs="Calibri"/>
                <w:sz w:val="24"/>
                <w:szCs w:val="24"/>
                <w:lang w:eastAsia="hr-HR"/>
              </w:rPr>
            </w:pPr>
            <w:r w:rsidRPr="005F3233">
              <w:rPr>
                <w:rFonts w:ascii="Calibri" w:eastAsia="Times New Roman" w:hAnsi="Calibri" w:cs="Calibri"/>
                <w:sz w:val="24"/>
                <w:szCs w:val="24"/>
                <w:lang w:eastAsia="hr-HR"/>
              </w:rPr>
              <w:t>0</w:t>
            </w:r>
          </w:p>
        </w:tc>
        <w:tc>
          <w:tcPr>
            <w:tcW w:w="700" w:type="dxa"/>
            <w:tcBorders>
              <w:top w:val="nil"/>
              <w:left w:val="nil"/>
              <w:bottom w:val="single" w:sz="4" w:space="0" w:color="auto"/>
              <w:right w:val="single" w:sz="4" w:space="0" w:color="auto"/>
            </w:tcBorders>
            <w:shd w:val="clear" w:color="000000" w:fill="FFFF99"/>
            <w:noWrap/>
            <w:vAlign w:val="center"/>
            <w:hideMark/>
          </w:tcPr>
          <w:p w14:paraId="0C7C514C" w14:textId="77777777" w:rsidR="005F3233" w:rsidRPr="005F3233" w:rsidRDefault="005F3233" w:rsidP="005F3233">
            <w:pPr>
              <w:spacing w:after="0" w:line="240" w:lineRule="auto"/>
              <w:jc w:val="center"/>
              <w:rPr>
                <w:rFonts w:ascii="Calibri" w:eastAsia="Times New Roman" w:hAnsi="Calibri" w:cs="Calibri"/>
                <w:sz w:val="24"/>
                <w:szCs w:val="24"/>
                <w:lang w:eastAsia="hr-HR"/>
              </w:rPr>
            </w:pPr>
            <w:r w:rsidRPr="005F3233">
              <w:rPr>
                <w:rFonts w:ascii="Calibri" w:eastAsia="Times New Roman" w:hAnsi="Calibri" w:cs="Calibri"/>
                <w:sz w:val="24"/>
                <w:szCs w:val="24"/>
                <w:lang w:eastAsia="hr-HR"/>
              </w:rPr>
              <w:t>0</w:t>
            </w:r>
          </w:p>
        </w:tc>
        <w:tc>
          <w:tcPr>
            <w:tcW w:w="434" w:type="dxa"/>
            <w:tcBorders>
              <w:top w:val="nil"/>
              <w:left w:val="nil"/>
              <w:bottom w:val="single" w:sz="4" w:space="0" w:color="auto"/>
              <w:right w:val="single" w:sz="4" w:space="0" w:color="auto"/>
            </w:tcBorders>
            <w:shd w:val="clear" w:color="000000" w:fill="FFFF99"/>
            <w:noWrap/>
            <w:vAlign w:val="center"/>
            <w:hideMark/>
          </w:tcPr>
          <w:p w14:paraId="18478416" w14:textId="77777777" w:rsidR="005F3233" w:rsidRPr="005F3233" w:rsidRDefault="005F3233" w:rsidP="005F3233">
            <w:pPr>
              <w:spacing w:after="0" w:line="240" w:lineRule="auto"/>
              <w:jc w:val="center"/>
              <w:rPr>
                <w:rFonts w:ascii="Calibri" w:eastAsia="Times New Roman" w:hAnsi="Calibri" w:cs="Calibri"/>
                <w:sz w:val="24"/>
                <w:szCs w:val="24"/>
                <w:lang w:eastAsia="hr-HR"/>
              </w:rPr>
            </w:pPr>
            <w:r w:rsidRPr="005F3233">
              <w:rPr>
                <w:rFonts w:ascii="Calibri" w:eastAsia="Times New Roman" w:hAnsi="Calibri" w:cs="Calibri"/>
                <w:sz w:val="24"/>
                <w:szCs w:val="24"/>
                <w:lang w:eastAsia="hr-HR"/>
              </w:rPr>
              <w:t>0</w:t>
            </w:r>
          </w:p>
        </w:tc>
        <w:tc>
          <w:tcPr>
            <w:tcW w:w="426" w:type="dxa"/>
            <w:tcBorders>
              <w:top w:val="nil"/>
              <w:left w:val="nil"/>
              <w:bottom w:val="single" w:sz="4" w:space="0" w:color="auto"/>
              <w:right w:val="single" w:sz="4" w:space="0" w:color="auto"/>
            </w:tcBorders>
            <w:shd w:val="clear" w:color="000000" w:fill="FF9900"/>
            <w:noWrap/>
            <w:vAlign w:val="center"/>
            <w:hideMark/>
          </w:tcPr>
          <w:p w14:paraId="0AA311AB" w14:textId="77777777" w:rsidR="005F3233" w:rsidRPr="005F3233" w:rsidRDefault="005F3233" w:rsidP="005F3233">
            <w:pPr>
              <w:spacing w:after="0" w:line="240" w:lineRule="auto"/>
              <w:jc w:val="center"/>
              <w:rPr>
                <w:rFonts w:ascii="Calibri" w:eastAsia="Times New Roman" w:hAnsi="Calibri" w:cs="Calibri"/>
                <w:sz w:val="24"/>
                <w:szCs w:val="24"/>
                <w:lang w:eastAsia="hr-HR"/>
              </w:rPr>
            </w:pPr>
            <w:r w:rsidRPr="005F3233">
              <w:rPr>
                <w:rFonts w:ascii="Calibri" w:eastAsia="Times New Roman" w:hAnsi="Calibri" w:cs="Calibri"/>
                <w:sz w:val="24"/>
                <w:szCs w:val="24"/>
                <w:lang w:eastAsia="hr-HR"/>
              </w:rPr>
              <w:t>0</w:t>
            </w:r>
          </w:p>
        </w:tc>
        <w:tc>
          <w:tcPr>
            <w:tcW w:w="425" w:type="dxa"/>
            <w:tcBorders>
              <w:top w:val="nil"/>
              <w:left w:val="nil"/>
              <w:bottom w:val="single" w:sz="4" w:space="0" w:color="auto"/>
              <w:right w:val="single" w:sz="4" w:space="0" w:color="auto"/>
            </w:tcBorders>
            <w:shd w:val="clear" w:color="000000" w:fill="FF9900"/>
            <w:noWrap/>
            <w:vAlign w:val="center"/>
            <w:hideMark/>
          </w:tcPr>
          <w:p w14:paraId="2CE98026" w14:textId="77777777" w:rsidR="005F3233" w:rsidRPr="005F3233" w:rsidRDefault="005F3233" w:rsidP="005F3233">
            <w:pPr>
              <w:spacing w:after="0" w:line="240" w:lineRule="auto"/>
              <w:jc w:val="center"/>
              <w:rPr>
                <w:rFonts w:ascii="Calibri" w:eastAsia="Times New Roman" w:hAnsi="Calibri" w:cs="Calibri"/>
                <w:sz w:val="24"/>
                <w:szCs w:val="24"/>
                <w:lang w:eastAsia="hr-HR"/>
              </w:rPr>
            </w:pPr>
            <w:r w:rsidRPr="005F3233">
              <w:rPr>
                <w:rFonts w:ascii="Calibri" w:eastAsia="Times New Roman" w:hAnsi="Calibri" w:cs="Calibri"/>
                <w:sz w:val="24"/>
                <w:szCs w:val="24"/>
                <w:lang w:eastAsia="hr-HR"/>
              </w:rPr>
              <w:t>0</w:t>
            </w:r>
          </w:p>
        </w:tc>
        <w:tc>
          <w:tcPr>
            <w:tcW w:w="442" w:type="dxa"/>
            <w:tcBorders>
              <w:top w:val="nil"/>
              <w:left w:val="nil"/>
              <w:bottom w:val="single" w:sz="4" w:space="0" w:color="auto"/>
              <w:right w:val="single" w:sz="4" w:space="0" w:color="auto"/>
            </w:tcBorders>
            <w:shd w:val="clear" w:color="000000" w:fill="FF9900"/>
            <w:noWrap/>
            <w:vAlign w:val="center"/>
            <w:hideMark/>
          </w:tcPr>
          <w:p w14:paraId="14E60008" w14:textId="77777777" w:rsidR="005F3233" w:rsidRPr="005F3233" w:rsidRDefault="005F3233" w:rsidP="005F3233">
            <w:pPr>
              <w:spacing w:after="0" w:line="240" w:lineRule="auto"/>
              <w:jc w:val="center"/>
              <w:rPr>
                <w:rFonts w:ascii="Calibri" w:eastAsia="Times New Roman" w:hAnsi="Calibri" w:cs="Calibri"/>
                <w:sz w:val="24"/>
                <w:szCs w:val="24"/>
                <w:lang w:eastAsia="hr-HR"/>
              </w:rPr>
            </w:pPr>
            <w:r w:rsidRPr="005F3233">
              <w:rPr>
                <w:rFonts w:ascii="Calibri" w:eastAsia="Times New Roman" w:hAnsi="Calibri" w:cs="Calibri"/>
                <w:sz w:val="24"/>
                <w:szCs w:val="24"/>
                <w:lang w:eastAsia="hr-HR"/>
              </w:rPr>
              <w:t>0</w:t>
            </w:r>
          </w:p>
        </w:tc>
        <w:tc>
          <w:tcPr>
            <w:tcW w:w="451" w:type="dxa"/>
            <w:tcBorders>
              <w:top w:val="nil"/>
              <w:left w:val="nil"/>
              <w:bottom w:val="single" w:sz="4" w:space="0" w:color="auto"/>
              <w:right w:val="single" w:sz="4" w:space="0" w:color="auto"/>
            </w:tcBorders>
            <w:shd w:val="clear" w:color="auto" w:fill="auto"/>
            <w:vAlign w:val="center"/>
            <w:hideMark/>
          </w:tcPr>
          <w:p w14:paraId="569BFEA8" w14:textId="77777777" w:rsidR="005F3233" w:rsidRPr="005F3233" w:rsidRDefault="005F3233" w:rsidP="005F3233">
            <w:pPr>
              <w:spacing w:after="0" w:line="240" w:lineRule="auto"/>
              <w:jc w:val="center"/>
              <w:rPr>
                <w:rFonts w:ascii="Calibri" w:eastAsia="Times New Roman" w:hAnsi="Calibri" w:cs="Calibri"/>
                <w:b/>
                <w:bCs/>
                <w:sz w:val="24"/>
                <w:szCs w:val="24"/>
                <w:lang w:eastAsia="hr-HR"/>
              </w:rPr>
            </w:pPr>
            <w:r w:rsidRPr="005F3233">
              <w:rPr>
                <w:rFonts w:ascii="Calibri" w:eastAsia="Times New Roman" w:hAnsi="Calibri" w:cs="Calibri"/>
                <w:b/>
                <w:bCs/>
                <w:sz w:val="24"/>
                <w:szCs w:val="24"/>
                <w:lang w:eastAsia="hr-HR"/>
              </w:rPr>
              <w:t>0</w:t>
            </w:r>
          </w:p>
        </w:tc>
        <w:tc>
          <w:tcPr>
            <w:tcW w:w="383" w:type="dxa"/>
            <w:gridSpan w:val="2"/>
            <w:tcBorders>
              <w:top w:val="nil"/>
              <w:left w:val="nil"/>
              <w:bottom w:val="single" w:sz="4" w:space="0" w:color="auto"/>
              <w:right w:val="single" w:sz="4" w:space="0" w:color="auto"/>
            </w:tcBorders>
            <w:shd w:val="clear" w:color="000000" w:fill="FFFF00"/>
            <w:noWrap/>
            <w:vAlign w:val="center"/>
            <w:hideMark/>
          </w:tcPr>
          <w:p w14:paraId="3985655F" w14:textId="77777777" w:rsidR="005F3233" w:rsidRPr="005F3233" w:rsidRDefault="005F3233" w:rsidP="005F3233">
            <w:pPr>
              <w:spacing w:after="0" w:line="240" w:lineRule="auto"/>
              <w:jc w:val="center"/>
              <w:rPr>
                <w:rFonts w:ascii="Calibri" w:eastAsia="Times New Roman" w:hAnsi="Calibri" w:cs="Calibri"/>
                <w:sz w:val="24"/>
                <w:szCs w:val="24"/>
                <w:lang w:eastAsia="hr-HR"/>
              </w:rPr>
            </w:pPr>
            <w:r w:rsidRPr="005F3233">
              <w:rPr>
                <w:rFonts w:ascii="Calibri" w:eastAsia="Times New Roman" w:hAnsi="Calibri" w:cs="Calibri"/>
                <w:sz w:val="24"/>
                <w:szCs w:val="24"/>
                <w:lang w:eastAsia="hr-HR"/>
              </w:rPr>
              <w:t>0</w:t>
            </w:r>
          </w:p>
        </w:tc>
        <w:tc>
          <w:tcPr>
            <w:tcW w:w="392" w:type="dxa"/>
            <w:tcBorders>
              <w:top w:val="nil"/>
              <w:left w:val="nil"/>
              <w:bottom w:val="single" w:sz="4" w:space="0" w:color="auto"/>
              <w:right w:val="single" w:sz="4" w:space="0" w:color="auto"/>
            </w:tcBorders>
            <w:shd w:val="clear" w:color="000000" w:fill="FFFF00"/>
            <w:noWrap/>
            <w:vAlign w:val="center"/>
            <w:hideMark/>
          </w:tcPr>
          <w:p w14:paraId="4D8ECE65" w14:textId="77777777" w:rsidR="005F3233" w:rsidRPr="005F3233" w:rsidRDefault="005F3233" w:rsidP="005F3233">
            <w:pPr>
              <w:spacing w:after="0" w:line="240" w:lineRule="auto"/>
              <w:jc w:val="center"/>
              <w:rPr>
                <w:rFonts w:ascii="Calibri" w:eastAsia="Times New Roman" w:hAnsi="Calibri" w:cs="Calibri"/>
                <w:sz w:val="24"/>
                <w:szCs w:val="24"/>
                <w:lang w:eastAsia="hr-HR"/>
              </w:rPr>
            </w:pPr>
            <w:r w:rsidRPr="005F3233">
              <w:rPr>
                <w:rFonts w:ascii="Calibri" w:eastAsia="Times New Roman" w:hAnsi="Calibri" w:cs="Calibri"/>
                <w:sz w:val="24"/>
                <w:szCs w:val="24"/>
                <w:lang w:eastAsia="hr-HR"/>
              </w:rPr>
              <w:t>0</w:t>
            </w:r>
          </w:p>
        </w:tc>
        <w:tc>
          <w:tcPr>
            <w:tcW w:w="400" w:type="dxa"/>
            <w:tcBorders>
              <w:top w:val="nil"/>
              <w:left w:val="nil"/>
              <w:bottom w:val="single" w:sz="4" w:space="0" w:color="auto"/>
              <w:right w:val="single" w:sz="4" w:space="0" w:color="auto"/>
            </w:tcBorders>
            <w:shd w:val="clear" w:color="000000" w:fill="FFFF00"/>
            <w:noWrap/>
            <w:vAlign w:val="center"/>
            <w:hideMark/>
          </w:tcPr>
          <w:p w14:paraId="7A90CD35" w14:textId="77777777" w:rsidR="005F3233" w:rsidRPr="005F3233" w:rsidRDefault="005F3233" w:rsidP="005F3233">
            <w:pPr>
              <w:spacing w:after="0" w:line="240" w:lineRule="auto"/>
              <w:jc w:val="center"/>
              <w:rPr>
                <w:rFonts w:ascii="Calibri" w:eastAsia="Times New Roman" w:hAnsi="Calibri" w:cs="Calibri"/>
                <w:sz w:val="24"/>
                <w:szCs w:val="24"/>
                <w:lang w:eastAsia="hr-HR"/>
              </w:rPr>
            </w:pPr>
            <w:r w:rsidRPr="005F3233">
              <w:rPr>
                <w:rFonts w:ascii="Calibri" w:eastAsia="Times New Roman" w:hAnsi="Calibri" w:cs="Calibri"/>
                <w:sz w:val="24"/>
                <w:szCs w:val="24"/>
                <w:lang w:eastAsia="hr-HR"/>
              </w:rPr>
              <w:t>0</w:t>
            </w:r>
          </w:p>
        </w:tc>
        <w:tc>
          <w:tcPr>
            <w:tcW w:w="409" w:type="dxa"/>
            <w:tcBorders>
              <w:top w:val="nil"/>
              <w:left w:val="nil"/>
              <w:bottom w:val="single" w:sz="4" w:space="0" w:color="auto"/>
              <w:right w:val="single" w:sz="4" w:space="0" w:color="auto"/>
            </w:tcBorders>
            <w:shd w:val="clear" w:color="auto" w:fill="auto"/>
            <w:vAlign w:val="center"/>
            <w:hideMark/>
          </w:tcPr>
          <w:p w14:paraId="201D6643" w14:textId="77777777" w:rsidR="005F3233" w:rsidRPr="005F3233" w:rsidRDefault="005F3233" w:rsidP="005F3233">
            <w:pPr>
              <w:spacing w:after="0" w:line="240" w:lineRule="auto"/>
              <w:jc w:val="center"/>
              <w:rPr>
                <w:rFonts w:ascii="Calibri" w:eastAsia="Times New Roman" w:hAnsi="Calibri" w:cs="Calibri"/>
                <w:b/>
                <w:bCs/>
                <w:sz w:val="24"/>
                <w:szCs w:val="24"/>
                <w:lang w:eastAsia="hr-HR"/>
              </w:rPr>
            </w:pPr>
            <w:r w:rsidRPr="005F3233">
              <w:rPr>
                <w:rFonts w:ascii="Calibri" w:eastAsia="Times New Roman" w:hAnsi="Calibri" w:cs="Calibri"/>
                <w:b/>
                <w:bCs/>
                <w:sz w:val="24"/>
                <w:szCs w:val="24"/>
                <w:lang w:eastAsia="hr-HR"/>
              </w:rPr>
              <w:t>0</w:t>
            </w:r>
          </w:p>
        </w:tc>
        <w:tc>
          <w:tcPr>
            <w:tcW w:w="499" w:type="dxa"/>
            <w:gridSpan w:val="2"/>
            <w:tcBorders>
              <w:top w:val="nil"/>
              <w:left w:val="nil"/>
              <w:bottom w:val="single" w:sz="4" w:space="0" w:color="auto"/>
              <w:right w:val="single" w:sz="4" w:space="0" w:color="auto"/>
            </w:tcBorders>
            <w:shd w:val="clear" w:color="000000" w:fill="FFFF00"/>
            <w:vAlign w:val="center"/>
            <w:hideMark/>
          </w:tcPr>
          <w:p w14:paraId="22E8E37F" w14:textId="77777777" w:rsidR="005F3233" w:rsidRPr="005F3233" w:rsidRDefault="005F3233" w:rsidP="005F3233">
            <w:pPr>
              <w:spacing w:after="0" w:line="240" w:lineRule="auto"/>
              <w:jc w:val="center"/>
              <w:rPr>
                <w:rFonts w:ascii="Calibri" w:eastAsia="Times New Roman" w:hAnsi="Calibri" w:cs="Calibri"/>
                <w:b/>
                <w:bCs/>
                <w:sz w:val="24"/>
                <w:szCs w:val="24"/>
                <w:lang w:eastAsia="hr-HR"/>
              </w:rPr>
            </w:pPr>
            <w:r w:rsidRPr="005F3233">
              <w:rPr>
                <w:rFonts w:ascii="Calibri" w:eastAsia="Times New Roman" w:hAnsi="Calibri" w:cs="Calibri"/>
                <w:b/>
                <w:bCs/>
                <w:sz w:val="24"/>
                <w:szCs w:val="24"/>
                <w:lang w:eastAsia="hr-HR"/>
              </w:rPr>
              <w:t>0</w:t>
            </w:r>
          </w:p>
        </w:tc>
        <w:tc>
          <w:tcPr>
            <w:tcW w:w="567" w:type="dxa"/>
            <w:tcBorders>
              <w:top w:val="nil"/>
              <w:left w:val="nil"/>
              <w:bottom w:val="single" w:sz="4" w:space="0" w:color="auto"/>
              <w:right w:val="single" w:sz="4" w:space="0" w:color="auto"/>
            </w:tcBorders>
            <w:shd w:val="clear" w:color="000000" w:fill="FF9900"/>
            <w:noWrap/>
            <w:vAlign w:val="center"/>
            <w:hideMark/>
          </w:tcPr>
          <w:p w14:paraId="5B6C39BB" w14:textId="77777777" w:rsidR="005F3233" w:rsidRPr="005F3233" w:rsidRDefault="005F3233" w:rsidP="005F3233">
            <w:pPr>
              <w:spacing w:after="0" w:line="240" w:lineRule="auto"/>
              <w:jc w:val="center"/>
              <w:rPr>
                <w:rFonts w:ascii="Calibri" w:eastAsia="Times New Roman" w:hAnsi="Calibri" w:cs="Calibri"/>
                <w:sz w:val="24"/>
                <w:szCs w:val="24"/>
                <w:lang w:eastAsia="hr-HR"/>
              </w:rPr>
            </w:pPr>
            <w:r w:rsidRPr="005F3233">
              <w:rPr>
                <w:rFonts w:ascii="Calibri" w:eastAsia="Times New Roman" w:hAnsi="Calibri" w:cs="Calibri"/>
                <w:sz w:val="24"/>
                <w:szCs w:val="24"/>
                <w:lang w:eastAsia="hr-HR"/>
              </w:rPr>
              <w:t>0</w:t>
            </w:r>
          </w:p>
        </w:tc>
        <w:tc>
          <w:tcPr>
            <w:tcW w:w="425" w:type="dxa"/>
            <w:gridSpan w:val="2"/>
            <w:tcBorders>
              <w:top w:val="nil"/>
              <w:left w:val="nil"/>
              <w:bottom w:val="single" w:sz="4" w:space="0" w:color="auto"/>
              <w:right w:val="single" w:sz="4" w:space="0" w:color="auto"/>
            </w:tcBorders>
            <w:shd w:val="clear" w:color="000000" w:fill="CCFFFF"/>
            <w:noWrap/>
            <w:vAlign w:val="center"/>
            <w:hideMark/>
          </w:tcPr>
          <w:p w14:paraId="61EF966B" w14:textId="77777777" w:rsidR="005F3233" w:rsidRPr="005F3233" w:rsidRDefault="005F3233" w:rsidP="005F3233">
            <w:pPr>
              <w:spacing w:after="0" w:line="240" w:lineRule="auto"/>
              <w:jc w:val="center"/>
              <w:rPr>
                <w:rFonts w:ascii="Calibri" w:eastAsia="Times New Roman" w:hAnsi="Calibri" w:cs="Calibri"/>
                <w:sz w:val="24"/>
                <w:szCs w:val="24"/>
                <w:lang w:eastAsia="hr-HR"/>
              </w:rPr>
            </w:pPr>
            <w:r w:rsidRPr="005F3233">
              <w:rPr>
                <w:rFonts w:ascii="Calibri" w:eastAsia="Times New Roman" w:hAnsi="Calibri" w:cs="Calibri"/>
                <w:sz w:val="24"/>
                <w:szCs w:val="24"/>
                <w:lang w:eastAsia="hr-HR"/>
              </w:rPr>
              <w:t>0</w:t>
            </w:r>
          </w:p>
        </w:tc>
        <w:tc>
          <w:tcPr>
            <w:tcW w:w="434" w:type="dxa"/>
            <w:gridSpan w:val="2"/>
            <w:tcBorders>
              <w:top w:val="nil"/>
              <w:left w:val="nil"/>
              <w:bottom w:val="single" w:sz="4" w:space="0" w:color="auto"/>
              <w:right w:val="single" w:sz="4" w:space="0" w:color="auto"/>
            </w:tcBorders>
            <w:shd w:val="clear" w:color="000000" w:fill="CCFFFF"/>
            <w:noWrap/>
            <w:vAlign w:val="center"/>
            <w:hideMark/>
          </w:tcPr>
          <w:p w14:paraId="3F6A7EC2" w14:textId="77777777" w:rsidR="005F3233" w:rsidRPr="005F3233" w:rsidRDefault="005F3233" w:rsidP="005F3233">
            <w:pPr>
              <w:spacing w:after="0" w:line="240" w:lineRule="auto"/>
              <w:jc w:val="center"/>
              <w:rPr>
                <w:rFonts w:ascii="Calibri" w:eastAsia="Times New Roman" w:hAnsi="Calibri" w:cs="Calibri"/>
                <w:sz w:val="24"/>
                <w:szCs w:val="24"/>
                <w:lang w:eastAsia="hr-HR"/>
              </w:rPr>
            </w:pPr>
            <w:r w:rsidRPr="005F3233">
              <w:rPr>
                <w:rFonts w:ascii="Calibri" w:eastAsia="Times New Roman" w:hAnsi="Calibri" w:cs="Calibri"/>
                <w:sz w:val="24"/>
                <w:szCs w:val="24"/>
                <w:lang w:eastAsia="hr-HR"/>
              </w:rPr>
              <w:t>0</w:t>
            </w:r>
          </w:p>
        </w:tc>
        <w:tc>
          <w:tcPr>
            <w:tcW w:w="417" w:type="dxa"/>
            <w:tcBorders>
              <w:top w:val="nil"/>
              <w:left w:val="nil"/>
              <w:bottom w:val="single" w:sz="4" w:space="0" w:color="auto"/>
              <w:right w:val="single" w:sz="4" w:space="0" w:color="auto"/>
            </w:tcBorders>
            <w:shd w:val="clear" w:color="000000" w:fill="CCFFFF"/>
            <w:noWrap/>
            <w:vAlign w:val="center"/>
            <w:hideMark/>
          </w:tcPr>
          <w:p w14:paraId="738DA3ED" w14:textId="77777777" w:rsidR="005F3233" w:rsidRPr="005F3233" w:rsidRDefault="005F3233" w:rsidP="005F3233">
            <w:pPr>
              <w:spacing w:after="0" w:line="240" w:lineRule="auto"/>
              <w:jc w:val="center"/>
              <w:rPr>
                <w:rFonts w:ascii="Calibri" w:eastAsia="Times New Roman" w:hAnsi="Calibri" w:cs="Calibri"/>
                <w:sz w:val="24"/>
                <w:szCs w:val="24"/>
                <w:lang w:eastAsia="hr-HR"/>
              </w:rPr>
            </w:pPr>
            <w:r w:rsidRPr="005F3233">
              <w:rPr>
                <w:rFonts w:ascii="Calibri" w:eastAsia="Times New Roman" w:hAnsi="Calibri" w:cs="Calibri"/>
                <w:sz w:val="24"/>
                <w:szCs w:val="24"/>
                <w:lang w:eastAsia="hr-HR"/>
              </w:rPr>
              <w:t>0</w:t>
            </w:r>
          </w:p>
        </w:tc>
        <w:tc>
          <w:tcPr>
            <w:tcW w:w="425" w:type="dxa"/>
            <w:gridSpan w:val="3"/>
            <w:tcBorders>
              <w:top w:val="nil"/>
              <w:left w:val="nil"/>
              <w:bottom w:val="single" w:sz="4" w:space="0" w:color="auto"/>
              <w:right w:val="single" w:sz="8" w:space="0" w:color="auto"/>
            </w:tcBorders>
            <w:shd w:val="clear" w:color="000000" w:fill="33CCCC"/>
            <w:noWrap/>
            <w:vAlign w:val="center"/>
            <w:hideMark/>
          </w:tcPr>
          <w:p w14:paraId="1BD6B7EE" w14:textId="77777777" w:rsidR="005F3233" w:rsidRPr="005F3233" w:rsidRDefault="005F3233" w:rsidP="005F3233">
            <w:pPr>
              <w:spacing w:after="0" w:line="240" w:lineRule="auto"/>
              <w:jc w:val="center"/>
              <w:rPr>
                <w:rFonts w:ascii="Calibri" w:eastAsia="Times New Roman" w:hAnsi="Calibri" w:cs="Calibri"/>
                <w:sz w:val="24"/>
                <w:szCs w:val="24"/>
                <w:lang w:eastAsia="hr-HR"/>
              </w:rPr>
            </w:pPr>
            <w:r w:rsidRPr="005F3233">
              <w:rPr>
                <w:rFonts w:ascii="Calibri" w:eastAsia="Times New Roman" w:hAnsi="Calibri" w:cs="Calibri"/>
                <w:sz w:val="24"/>
                <w:szCs w:val="24"/>
                <w:lang w:eastAsia="hr-HR"/>
              </w:rPr>
              <w:t>0</w:t>
            </w:r>
          </w:p>
        </w:tc>
        <w:tc>
          <w:tcPr>
            <w:tcW w:w="569" w:type="dxa"/>
            <w:gridSpan w:val="2"/>
            <w:tcBorders>
              <w:top w:val="nil"/>
              <w:left w:val="single" w:sz="4" w:space="0" w:color="auto"/>
              <w:bottom w:val="single" w:sz="4" w:space="0" w:color="auto"/>
              <w:right w:val="single" w:sz="8" w:space="0" w:color="auto"/>
            </w:tcBorders>
            <w:shd w:val="clear" w:color="000000" w:fill="33CCCC"/>
            <w:noWrap/>
            <w:vAlign w:val="center"/>
            <w:hideMark/>
          </w:tcPr>
          <w:p w14:paraId="175AF09E" w14:textId="77777777" w:rsidR="005F3233" w:rsidRPr="005F3233" w:rsidRDefault="005F3233" w:rsidP="005F3233">
            <w:pPr>
              <w:spacing w:after="0" w:line="240" w:lineRule="auto"/>
              <w:jc w:val="center"/>
              <w:rPr>
                <w:rFonts w:ascii="Calibri" w:eastAsia="Times New Roman" w:hAnsi="Calibri" w:cs="Calibri"/>
                <w:sz w:val="24"/>
                <w:szCs w:val="24"/>
                <w:lang w:eastAsia="hr-HR"/>
              </w:rPr>
            </w:pPr>
            <w:r w:rsidRPr="005F3233">
              <w:rPr>
                <w:rFonts w:ascii="Calibri" w:eastAsia="Times New Roman" w:hAnsi="Calibri" w:cs="Calibri"/>
                <w:sz w:val="24"/>
                <w:szCs w:val="24"/>
                <w:lang w:eastAsia="hr-HR"/>
              </w:rPr>
              <w:t>0</w:t>
            </w:r>
          </w:p>
        </w:tc>
        <w:tc>
          <w:tcPr>
            <w:tcW w:w="236" w:type="dxa"/>
            <w:gridSpan w:val="3"/>
            <w:vAlign w:val="center"/>
            <w:hideMark/>
          </w:tcPr>
          <w:p w14:paraId="16CD97FF" w14:textId="77777777" w:rsidR="005F3233" w:rsidRPr="005F3233" w:rsidRDefault="005F3233" w:rsidP="005F3233">
            <w:pPr>
              <w:spacing w:after="0" w:line="240" w:lineRule="auto"/>
              <w:rPr>
                <w:rFonts w:ascii="Times New Roman" w:eastAsia="Times New Roman" w:hAnsi="Times New Roman" w:cs="Times New Roman"/>
                <w:sz w:val="20"/>
                <w:szCs w:val="20"/>
                <w:lang w:eastAsia="hr-HR"/>
              </w:rPr>
            </w:pPr>
          </w:p>
        </w:tc>
      </w:tr>
      <w:tr w:rsidR="005F3233" w:rsidRPr="005F3233" w14:paraId="786B60E2" w14:textId="77777777" w:rsidTr="000271A1">
        <w:trPr>
          <w:gridBefore w:val="1"/>
          <w:gridAfter w:val="2"/>
          <w:wBefore w:w="10" w:type="dxa"/>
          <w:wAfter w:w="237" w:type="dxa"/>
          <w:trHeight w:val="315"/>
        </w:trPr>
        <w:tc>
          <w:tcPr>
            <w:tcW w:w="869" w:type="dxa"/>
            <w:tcBorders>
              <w:top w:val="single" w:sz="4" w:space="0" w:color="auto"/>
              <w:left w:val="single" w:sz="8" w:space="0" w:color="auto"/>
              <w:bottom w:val="single" w:sz="4" w:space="0" w:color="auto"/>
              <w:right w:val="single" w:sz="4" w:space="0" w:color="auto"/>
            </w:tcBorders>
            <w:shd w:val="clear" w:color="000000" w:fill="CCFFCC"/>
            <w:vAlign w:val="center"/>
            <w:hideMark/>
          </w:tcPr>
          <w:p w14:paraId="6471F85C" w14:textId="77777777" w:rsidR="005F3233" w:rsidRPr="005F3233" w:rsidRDefault="005F3233" w:rsidP="005F3233">
            <w:pPr>
              <w:spacing w:after="0" w:line="240" w:lineRule="auto"/>
              <w:rPr>
                <w:rFonts w:ascii="Calibri" w:eastAsia="Times New Roman" w:hAnsi="Calibri" w:cs="Calibri"/>
                <w:lang w:eastAsia="hr-HR"/>
              </w:rPr>
            </w:pPr>
            <w:r w:rsidRPr="005F3233">
              <w:rPr>
                <w:rFonts w:ascii="Calibri" w:eastAsia="Times New Roman" w:hAnsi="Calibri" w:cs="Calibri"/>
                <w:lang w:eastAsia="hr-HR"/>
              </w:rPr>
              <w:t>Naobrazba</w:t>
            </w:r>
          </w:p>
        </w:tc>
        <w:tc>
          <w:tcPr>
            <w:tcW w:w="457" w:type="dxa"/>
            <w:tcBorders>
              <w:top w:val="nil"/>
              <w:left w:val="nil"/>
              <w:bottom w:val="single" w:sz="4" w:space="0" w:color="auto"/>
              <w:right w:val="single" w:sz="4" w:space="0" w:color="auto"/>
            </w:tcBorders>
            <w:shd w:val="clear" w:color="000000" w:fill="FFFF00"/>
            <w:vAlign w:val="center"/>
            <w:hideMark/>
          </w:tcPr>
          <w:p w14:paraId="0351D33E" w14:textId="77777777" w:rsidR="005F3233" w:rsidRPr="005F3233" w:rsidRDefault="005F3233" w:rsidP="005F3233">
            <w:pPr>
              <w:spacing w:after="0" w:line="240" w:lineRule="auto"/>
              <w:jc w:val="center"/>
              <w:rPr>
                <w:rFonts w:ascii="Calibri" w:eastAsia="Times New Roman" w:hAnsi="Calibri" w:cs="Calibri"/>
                <w:b/>
                <w:bCs/>
                <w:lang w:eastAsia="hr-HR"/>
              </w:rPr>
            </w:pPr>
            <w:r w:rsidRPr="005F3233">
              <w:rPr>
                <w:rFonts w:ascii="Calibri" w:eastAsia="Times New Roman" w:hAnsi="Calibri" w:cs="Calibri"/>
                <w:b/>
                <w:bCs/>
                <w:lang w:eastAsia="hr-HR"/>
              </w:rPr>
              <w:t>0</w:t>
            </w:r>
          </w:p>
        </w:tc>
        <w:tc>
          <w:tcPr>
            <w:tcW w:w="449" w:type="dxa"/>
            <w:tcBorders>
              <w:top w:val="nil"/>
              <w:left w:val="nil"/>
              <w:bottom w:val="single" w:sz="4" w:space="0" w:color="auto"/>
              <w:right w:val="single" w:sz="4" w:space="0" w:color="auto"/>
            </w:tcBorders>
            <w:shd w:val="clear" w:color="000000" w:fill="FFCC99"/>
            <w:noWrap/>
            <w:vAlign w:val="center"/>
            <w:hideMark/>
          </w:tcPr>
          <w:p w14:paraId="7521A1A0" w14:textId="77777777" w:rsidR="005F3233" w:rsidRPr="005F3233" w:rsidRDefault="005F3233" w:rsidP="005F3233">
            <w:pPr>
              <w:spacing w:after="0" w:line="240" w:lineRule="auto"/>
              <w:jc w:val="center"/>
              <w:rPr>
                <w:rFonts w:ascii="Calibri" w:eastAsia="Times New Roman" w:hAnsi="Calibri" w:cs="Calibri"/>
                <w:sz w:val="24"/>
                <w:szCs w:val="24"/>
                <w:lang w:eastAsia="hr-HR"/>
              </w:rPr>
            </w:pPr>
            <w:r w:rsidRPr="005F3233">
              <w:rPr>
                <w:rFonts w:ascii="Calibri" w:eastAsia="Times New Roman" w:hAnsi="Calibri" w:cs="Calibri"/>
                <w:sz w:val="24"/>
                <w:szCs w:val="24"/>
                <w:lang w:eastAsia="hr-HR"/>
              </w:rPr>
              <w:t>0</w:t>
            </w:r>
          </w:p>
        </w:tc>
        <w:tc>
          <w:tcPr>
            <w:tcW w:w="421" w:type="dxa"/>
            <w:tcBorders>
              <w:top w:val="nil"/>
              <w:left w:val="nil"/>
              <w:bottom w:val="single" w:sz="4" w:space="0" w:color="auto"/>
              <w:right w:val="single" w:sz="4" w:space="0" w:color="auto"/>
            </w:tcBorders>
            <w:shd w:val="clear" w:color="000000" w:fill="CCFFFF"/>
            <w:vAlign w:val="center"/>
            <w:hideMark/>
          </w:tcPr>
          <w:p w14:paraId="2642687F" w14:textId="77777777" w:rsidR="005F3233" w:rsidRPr="005F3233" w:rsidRDefault="005F3233" w:rsidP="005F3233">
            <w:pPr>
              <w:spacing w:after="0" w:line="240" w:lineRule="auto"/>
              <w:jc w:val="center"/>
              <w:rPr>
                <w:rFonts w:ascii="Calibri" w:eastAsia="Times New Roman" w:hAnsi="Calibri" w:cs="Calibri"/>
                <w:sz w:val="24"/>
                <w:szCs w:val="24"/>
                <w:lang w:eastAsia="hr-HR"/>
              </w:rPr>
            </w:pPr>
            <w:r w:rsidRPr="005F3233">
              <w:rPr>
                <w:rFonts w:ascii="Calibri" w:eastAsia="Times New Roman" w:hAnsi="Calibri" w:cs="Calibri"/>
                <w:sz w:val="24"/>
                <w:szCs w:val="24"/>
                <w:lang w:eastAsia="hr-HR"/>
              </w:rPr>
              <w:t>0</w:t>
            </w:r>
          </w:p>
        </w:tc>
        <w:tc>
          <w:tcPr>
            <w:tcW w:w="408" w:type="dxa"/>
            <w:tcBorders>
              <w:top w:val="nil"/>
              <w:left w:val="nil"/>
              <w:bottom w:val="single" w:sz="4" w:space="0" w:color="auto"/>
              <w:right w:val="single" w:sz="4" w:space="0" w:color="auto"/>
            </w:tcBorders>
            <w:shd w:val="clear" w:color="000000" w:fill="CCFFFF"/>
            <w:vAlign w:val="center"/>
            <w:hideMark/>
          </w:tcPr>
          <w:p w14:paraId="5CAF93CC" w14:textId="77777777" w:rsidR="005F3233" w:rsidRPr="005F3233" w:rsidRDefault="005F3233" w:rsidP="005F3233">
            <w:pPr>
              <w:spacing w:after="0" w:line="240" w:lineRule="auto"/>
              <w:jc w:val="center"/>
              <w:rPr>
                <w:rFonts w:ascii="Calibri" w:eastAsia="Times New Roman" w:hAnsi="Calibri" w:cs="Calibri"/>
                <w:sz w:val="24"/>
                <w:szCs w:val="24"/>
                <w:lang w:eastAsia="hr-HR"/>
              </w:rPr>
            </w:pPr>
            <w:r w:rsidRPr="005F3233">
              <w:rPr>
                <w:rFonts w:ascii="Calibri" w:eastAsia="Times New Roman" w:hAnsi="Calibri" w:cs="Calibri"/>
                <w:sz w:val="24"/>
                <w:szCs w:val="24"/>
                <w:lang w:eastAsia="hr-HR"/>
              </w:rPr>
              <w:t>0</w:t>
            </w:r>
          </w:p>
        </w:tc>
        <w:tc>
          <w:tcPr>
            <w:tcW w:w="708" w:type="dxa"/>
            <w:tcBorders>
              <w:top w:val="nil"/>
              <w:left w:val="nil"/>
              <w:bottom w:val="single" w:sz="4" w:space="0" w:color="auto"/>
              <w:right w:val="single" w:sz="4" w:space="0" w:color="auto"/>
            </w:tcBorders>
            <w:shd w:val="clear" w:color="000000" w:fill="FFFF99"/>
            <w:noWrap/>
            <w:vAlign w:val="center"/>
            <w:hideMark/>
          </w:tcPr>
          <w:p w14:paraId="56C5D3C6" w14:textId="77777777" w:rsidR="005F3233" w:rsidRPr="005F3233" w:rsidRDefault="005F3233" w:rsidP="005F3233">
            <w:pPr>
              <w:spacing w:after="0" w:line="240" w:lineRule="auto"/>
              <w:jc w:val="center"/>
              <w:rPr>
                <w:rFonts w:ascii="Calibri" w:eastAsia="Times New Roman" w:hAnsi="Calibri" w:cs="Calibri"/>
                <w:sz w:val="24"/>
                <w:szCs w:val="24"/>
                <w:lang w:eastAsia="hr-HR"/>
              </w:rPr>
            </w:pPr>
            <w:r w:rsidRPr="005F3233">
              <w:rPr>
                <w:rFonts w:ascii="Calibri" w:eastAsia="Times New Roman" w:hAnsi="Calibri" w:cs="Calibri"/>
                <w:sz w:val="24"/>
                <w:szCs w:val="24"/>
                <w:lang w:eastAsia="hr-HR"/>
              </w:rPr>
              <w:t>0</w:t>
            </w:r>
          </w:p>
        </w:tc>
        <w:tc>
          <w:tcPr>
            <w:tcW w:w="708" w:type="dxa"/>
            <w:tcBorders>
              <w:top w:val="nil"/>
              <w:left w:val="nil"/>
              <w:bottom w:val="single" w:sz="4" w:space="0" w:color="auto"/>
              <w:right w:val="single" w:sz="4" w:space="0" w:color="auto"/>
            </w:tcBorders>
            <w:shd w:val="clear" w:color="000000" w:fill="FFFF99"/>
            <w:noWrap/>
            <w:vAlign w:val="center"/>
            <w:hideMark/>
          </w:tcPr>
          <w:p w14:paraId="7E5A2486" w14:textId="77777777" w:rsidR="005F3233" w:rsidRPr="005F3233" w:rsidRDefault="005F3233" w:rsidP="005F3233">
            <w:pPr>
              <w:spacing w:after="0" w:line="240" w:lineRule="auto"/>
              <w:jc w:val="center"/>
              <w:rPr>
                <w:rFonts w:ascii="Calibri" w:eastAsia="Times New Roman" w:hAnsi="Calibri" w:cs="Calibri"/>
                <w:sz w:val="24"/>
                <w:szCs w:val="24"/>
                <w:lang w:eastAsia="hr-HR"/>
              </w:rPr>
            </w:pPr>
            <w:r w:rsidRPr="005F3233">
              <w:rPr>
                <w:rFonts w:ascii="Calibri" w:eastAsia="Times New Roman" w:hAnsi="Calibri" w:cs="Calibri"/>
                <w:sz w:val="24"/>
                <w:szCs w:val="24"/>
                <w:lang w:eastAsia="hr-HR"/>
              </w:rPr>
              <w:t>0</w:t>
            </w:r>
          </w:p>
        </w:tc>
        <w:tc>
          <w:tcPr>
            <w:tcW w:w="708" w:type="dxa"/>
            <w:tcBorders>
              <w:top w:val="nil"/>
              <w:left w:val="nil"/>
              <w:bottom w:val="single" w:sz="4" w:space="0" w:color="auto"/>
              <w:right w:val="single" w:sz="4" w:space="0" w:color="auto"/>
            </w:tcBorders>
            <w:shd w:val="clear" w:color="000000" w:fill="FFFF99"/>
            <w:noWrap/>
            <w:vAlign w:val="center"/>
            <w:hideMark/>
          </w:tcPr>
          <w:p w14:paraId="63382176" w14:textId="77777777" w:rsidR="005F3233" w:rsidRPr="005F3233" w:rsidRDefault="005F3233" w:rsidP="005F3233">
            <w:pPr>
              <w:spacing w:after="0" w:line="240" w:lineRule="auto"/>
              <w:jc w:val="center"/>
              <w:rPr>
                <w:rFonts w:ascii="Calibri" w:eastAsia="Times New Roman" w:hAnsi="Calibri" w:cs="Calibri"/>
                <w:sz w:val="24"/>
                <w:szCs w:val="24"/>
                <w:lang w:eastAsia="hr-HR"/>
              </w:rPr>
            </w:pPr>
            <w:r w:rsidRPr="005F3233">
              <w:rPr>
                <w:rFonts w:ascii="Calibri" w:eastAsia="Times New Roman" w:hAnsi="Calibri" w:cs="Calibri"/>
                <w:sz w:val="24"/>
                <w:szCs w:val="24"/>
                <w:lang w:eastAsia="hr-HR"/>
              </w:rPr>
              <w:t>0</w:t>
            </w:r>
          </w:p>
        </w:tc>
        <w:tc>
          <w:tcPr>
            <w:tcW w:w="464" w:type="dxa"/>
            <w:tcBorders>
              <w:top w:val="nil"/>
              <w:left w:val="nil"/>
              <w:bottom w:val="single" w:sz="4" w:space="0" w:color="auto"/>
              <w:right w:val="single" w:sz="4" w:space="0" w:color="auto"/>
            </w:tcBorders>
            <w:shd w:val="clear" w:color="000000" w:fill="FFFF99"/>
            <w:noWrap/>
            <w:vAlign w:val="center"/>
            <w:hideMark/>
          </w:tcPr>
          <w:p w14:paraId="7B68A493" w14:textId="77777777" w:rsidR="005F3233" w:rsidRPr="005F3233" w:rsidRDefault="005F3233" w:rsidP="005F3233">
            <w:pPr>
              <w:spacing w:after="0" w:line="240" w:lineRule="auto"/>
              <w:jc w:val="center"/>
              <w:rPr>
                <w:rFonts w:ascii="Calibri" w:eastAsia="Times New Roman" w:hAnsi="Calibri" w:cs="Calibri"/>
                <w:sz w:val="24"/>
                <w:szCs w:val="24"/>
                <w:lang w:eastAsia="hr-HR"/>
              </w:rPr>
            </w:pPr>
            <w:r w:rsidRPr="005F3233">
              <w:rPr>
                <w:rFonts w:ascii="Calibri" w:eastAsia="Times New Roman" w:hAnsi="Calibri" w:cs="Calibri"/>
                <w:sz w:val="24"/>
                <w:szCs w:val="24"/>
                <w:lang w:eastAsia="hr-HR"/>
              </w:rPr>
              <w:t>0</w:t>
            </w:r>
          </w:p>
        </w:tc>
        <w:tc>
          <w:tcPr>
            <w:tcW w:w="700" w:type="dxa"/>
            <w:tcBorders>
              <w:top w:val="nil"/>
              <w:left w:val="nil"/>
              <w:bottom w:val="single" w:sz="4" w:space="0" w:color="auto"/>
              <w:right w:val="single" w:sz="4" w:space="0" w:color="auto"/>
            </w:tcBorders>
            <w:shd w:val="clear" w:color="000000" w:fill="FFFF99"/>
            <w:noWrap/>
            <w:vAlign w:val="center"/>
            <w:hideMark/>
          </w:tcPr>
          <w:p w14:paraId="787E8D24" w14:textId="77777777" w:rsidR="005F3233" w:rsidRPr="005F3233" w:rsidRDefault="005F3233" w:rsidP="005F3233">
            <w:pPr>
              <w:spacing w:after="0" w:line="240" w:lineRule="auto"/>
              <w:jc w:val="center"/>
              <w:rPr>
                <w:rFonts w:ascii="Calibri" w:eastAsia="Times New Roman" w:hAnsi="Calibri" w:cs="Calibri"/>
                <w:sz w:val="24"/>
                <w:szCs w:val="24"/>
                <w:lang w:eastAsia="hr-HR"/>
              </w:rPr>
            </w:pPr>
            <w:r w:rsidRPr="005F3233">
              <w:rPr>
                <w:rFonts w:ascii="Calibri" w:eastAsia="Times New Roman" w:hAnsi="Calibri" w:cs="Calibri"/>
                <w:sz w:val="24"/>
                <w:szCs w:val="24"/>
                <w:lang w:eastAsia="hr-HR"/>
              </w:rPr>
              <w:t>0</w:t>
            </w:r>
          </w:p>
        </w:tc>
        <w:tc>
          <w:tcPr>
            <w:tcW w:w="699" w:type="dxa"/>
            <w:tcBorders>
              <w:top w:val="nil"/>
              <w:left w:val="nil"/>
              <w:bottom w:val="single" w:sz="4" w:space="0" w:color="auto"/>
              <w:right w:val="single" w:sz="4" w:space="0" w:color="auto"/>
            </w:tcBorders>
            <w:shd w:val="clear" w:color="000000" w:fill="FFFF99"/>
            <w:noWrap/>
            <w:vAlign w:val="center"/>
            <w:hideMark/>
          </w:tcPr>
          <w:p w14:paraId="29F99418" w14:textId="77777777" w:rsidR="005F3233" w:rsidRPr="005F3233" w:rsidRDefault="005F3233" w:rsidP="005F3233">
            <w:pPr>
              <w:spacing w:after="0" w:line="240" w:lineRule="auto"/>
              <w:jc w:val="center"/>
              <w:rPr>
                <w:rFonts w:ascii="Calibri" w:eastAsia="Times New Roman" w:hAnsi="Calibri" w:cs="Calibri"/>
                <w:sz w:val="24"/>
                <w:szCs w:val="24"/>
                <w:lang w:eastAsia="hr-HR"/>
              </w:rPr>
            </w:pPr>
            <w:r w:rsidRPr="005F3233">
              <w:rPr>
                <w:rFonts w:ascii="Calibri" w:eastAsia="Times New Roman" w:hAnsi="Calibri" w:cs="Calibri"/>
                <w:sz w:val="24"/>
                <w:szCs w:val="24"/>
                <w:lang w:eastAsia="hr-HR"/>
              </w:rPr>
              <w:t>0</w:t>
            </w:r>
          </w:p>
        </w:tc>
        <w:tc>
          <w:tcPr>
            <w:tcW w:w="700" w:type="dxa"/>
            <w:tcBorders>
              <w:top w:val="nil"/>
              <w:left w:val="nil"/>
              <w:bottom w:val="single" w:sz="4" w:space="0" w:color="auto"/>
              <w:right w:val="single" w:sz="4" w:space="0" w:color="auto"/>
            </w:tcBorders>
            <w:shd w:val="clear" w:color="000000" w:fill="FFFF99"/>
            <w:noWrap/>
            <w:vAlign w:val="center"/>
            <w:hideMark/>
          </w:tcPr>
          <w:p w14:paraId="66B3137D" w14:textId="77777777" w:rsidR="005F3233" w:rsidRPr="005F3233" w:rsidRDefault="005F3233" w:rsidP="005F3233">
            <w:pPr>
              <w:spacing w:after="0" w:line="240" w:lineRule="auto"/>
              <w:jc w:val="center"/>
              <w:rPr>
                <w:rFonts w:ascii="Calibri" w:eastAsia="Times New Roman" w:hAnsi="Calibri" w:cs="Calibri"/>
                <w:sz w:val="24"/>
                <w:szCs w:val="24"/>
                <w:lang w:eastAsia="hr-HR"/>
              </w:rPr>
            </w:pPr>
            <w:r w:rsidRPr="005F3233">
              <w:rPr>
                <w:rFonts w:ascii="Calibri" w:eastAsia="Times New Roman" w:hAnsi="Calibri" w:cs="Calibri"/>
                <w:sz w:val="24"/>
                <w:szCs w:val="24"/>
                <w:lang w:eastAsia="hr-HR"/>
              </w:rPr>
              <w:t>0</w:t>
            </w:r>
          </w:p>
        </w:tc>
        <w:tc>
          <w:tcPr>
            <w:tcW w:w="464" w:type="dxa"/>
            <w:tcBorders>
              <w:top w:val="nil"/>
              <w:left w:val="nil"/>
              <w:bottom w:val="single" w:sz="4" w:space="0" w:color="auto"/>
              <w:right w:val="single" w:sz="4" w:space="0" w:color="auto"/>
            </w:tcBorders>
            <w:shd w:val="clear" w:color="000000" w:fill="FFFF99"/>
            <w:noWrap/>
            <w:vAlign w:val="center"/>
            <w:hideMark/>
          </w:tcPr>
          <w:p w14:paraId="7EFF9A24" w14:textId="77777777" w:rsidR="005F3233" w:rsidRPr="005F3233" w:rsidRDefault="005F3233" w:rsidP="005F3233">
            <w:pPr>
              <w:spacing w:after="0" w:line="240" w:lineRule="auto"/>
              <w:jc w:val="center"/>
              <w:rPr>
                <w:rFonts w:ascii="Calibri" w:eastAsia="Times New Roman" w:hAnsi="Calibri" w:cs="Calibri"/>
                <w:sz w:val="24"/>
                <w:szCs w:val="24"/>
                <w:lang w:eastAsia="hr-HR"/>
              </w:rPr>
            </w:pPr>
            <w:r w:rsidRPr="005F3233">
              <w:rPr>
                <w:rFonts w:ascii="Calibri" w:eastAsia="Times New Roman" w:hAnsi="Calibri" w:cs="Calibri"/>
                <w:sz w:val="24"/>
                <w:szCs w:val="24"/>
                <w:lang w:eastAsia="hr-HR"/>
              </w:rPr>
              <w:t>0</w:t>
            </w:r>
          </w:p>
        </w:tc>
        <w:tc>
          <w:tcPr>
            <w:tcW w:w="700" w:type="dxa"/>
            <w:tcBorders>
              <w:top w:val="nil"/>
              <w:left w:val="nil"/>
              <w:bottom w:val="single" w:sz="4" w:space="0" w:color="auto"/>
              <w:right w:val="single" w:sz="4" w:space="0" w:color="auto"/>
            </w:tcBorders>
            <w:shd w:val="clear" w:color="000000" w:fill="FFFF99"/>
            <w:noWrap/>
            <w:vAlign w:val="center"/>
            <w:hideMark/>
          </w:tcPr>
          <w:p w14:paraId="2EC96152" w14:textId="77777777" w:rsidR="005F3233" w:rsidRPr="005F3233" w:rsidRDefault="005F3233" w:rsidP="005F3233">
            <w:pPr>
              <w:spacing w:after="0" w:line="240" w:lineRule="auto"/>
              <w:jc w:val="center"/>
              <w:rPr>
                <w:rFonts w:ascii="Calibri" w:eastAsia="Times New Roman" w:hAnsi="Calibri" w:cs="Calibri"/>
                <w:sz w:val="24"/>
                <w:szCs w:val="24"/>
                <w:lang w:eastAsia="hr-HR"/>
              </w:rPr>
            </w:pPr>
            <w:r w:rsidRPr="005F3233">
              <w:rPr>
                <w:rFonts w:ascii="Calibri" w:eastAsia="Times New Roman" w:hAnsi="Calibri" w:cs="Calibri"/>
                <w:sz w:val="24"/>
                <w:szCs w:val="24"/>
                <w:lang w:eastAsia="hr-HR"/>
              </w:rPr>
              <w:t>0</w:t>
            </w:r>
          </w:p>
        </w:tc>
        <w:tc>
          <w:tcPr>
            <w:tcW w:w="434" w:type="dxa"/>
            <w:tcBorders>
              <w:top w:val="nil"/>
              <w:left w:val="nil"/>
              <w:bottom w:val="single" w:sz="4" w:space="0" w:color="auto"/>
              <w:right w:val="single" w:sz="4" w:space="0" w:color="auto"/>
            </w:tcBorders>
            <w:shd w:val="clear" w:color="000000" w:fill="FFFF99"/>
            <w:noWrap/>
            <w:vAlign w:val="center"/>
            <w:hideMark/>
          </w:tcPr>
          <w:p w14:paraId="7EA76592" w14:textId="77777777" w:rsidR="005F3233" w:rsidRPr="005F3233" w:rsidRDefault="005F3233" w:rsidP="005F3233">
            <w:pPr>
              <w:spacing w:after="0" w:line="240" w:lineRule="auto"/>
              <w:jc w:val="center"/>
              <w:rPr>
                <w:rFonts w:ascii="Calibri" w:eastAsia="Times New Roman" w:hAnsi="Calibri" w:cs="Calibri"/>
                <w:sz w:val="24"/>
                <w:szCs w:val="24"/>
                <w:lang w:eastAsia="hr-HR"/>
              </w:rPr>
            </w:pPr>
            <w:r w:rsidRPr="005F3233">
              <w:rPr>
                <w:rFonts w:ascii="Calibri" w:eastAsia="Times New Roman" w:hAnsi="Calibri" w:cs="Calibri"/>
                <w:sz w:val="24"/>
                <w:szCs w:val="24"/>
                <w:lang w:eastAsia="hr-HR"/>
              </w:rPr>
              <w:t>0</w:t>
            </w:r>
          </w:p>
        </w:tc>
        <w:tc>
          <w:tcPr>
            <w:tcW w:w="426" w:type="dxa"/>
            <w:tcBorders>
              <w:top w:val="nil"/>
              <w:left w:val="nil"/>
              <w:bottom w:val="single" w:sz="4" w:space="0" w:color="auto"/>
              <w:right w:val="single" w:sz="4" w:space="0" w:color="auto"/>
            </w:tcBorders>
            <w:shd w:val="clear" w:color="000000" w:fill="FF9900"/>
            <w:noWrap/>
            <w:vAlign w:val="center"/>
            <w:hideMark/>
          </w:tcPr>
          <w:p w14:paraId="76F0899F" w14:textId="77777777" w:rsidR="005F3233" w:rsidRPr="005F3233" w:rsidRDefault="005F3233" w:rsidP="005F3233">
            <w:pPr>
              <w:spacing w:after="0" w:line="240" w:lineRule="auto"/>
              <w:jc w:val="center"/>
              <w:rPr>
                <w:rFonts w:ascii="Calibri" w:eastAsia="Times New Roman" w:hAnsi="Calibri" w:cs="Calibri"/>
                <w:sz w:val="24"/>
                <w:szCs w:val="24"/>
                <w:lang w:eastAsia="hr-HR"/>
              </w:rPr>
            </w:pPr>
            <w:r w:rsidRPr="005F3233">
              <w:rPr>
                <w:rFonts w:ascii="Calibri" w:eastAsia="Times New Roman" w:hAnsi="Calibri" w:cs="Calibri"/>
                <w:sz w:val="24"/>
                <w:szCs w:val="24"/>
                <w:lang w:eastAsia="hr-HR"/>
              </w:rPr>
              <w:t>0</w:t>
            </w:r>
          </w:p>
        </w:tc>
        <w:tc>
          <w:tcPr>
            <w:tcW w:w="425" w:type="dxa"/>
            <w:tcBorders>
              <w:top w:val="nil"/>
              <w:left w:val="nil"/>
              <w:bottom w:val="single" w:sz="4" w:space="0" w:color="auto"/>
              <w:right w:val="single" w:sz="4" w:space="0" w:color="auto"/>
            </w:tcBorders>
            <w:shd w:val="clear" w:color="000000" w:fill="FF9900"/>
            <w:noWrap/>
            <w:vAlign w:val="center"/>
            <w:hideMark/>
          </w:tcPr>
          <w:p w14:paraId="04DC9512" w14:textId="77777777" w:rsidR="005F3233" w:rsidRPr="005F3233" w:rsidRDefault="005F3233" w:rsidP="005F3233">
            <w:pPr>
              <w:spacing w:after="0" w:line="240" w:lineRule="auto"/>
              <w:jc w:val="center"/>
              <w:rPr>
                <w:rFonts w:ascii="Calibri" w:eastAsia="Times New Roman" w:hAnsi="Calibri" w:cs="Calibri"/>
                <w:sz w:val="24"/>
                <w:szCs w:val="24"/>
                <w:lang w:eastAsia="hr-HR"/>
              </w:rPr>
            </w:pPr>
            <w:r w:rsidRPr="005F3233">
              <w:rPr>
                <w:rFonts w:ascii="Calibri" w:eastAsia="Times New Roman" w:hAnsi="Calibri" w:cs="Calibri"/>
                <w:sz w:val="24"/>
                <w:szCs w:val="24"/>
                <w:lang w:eastAsia="hr-HR"/>
              </w:rPr>
              <w:t>0</w:t>
            </w:r>
          </w:p>
        </w:tc>
        <w:tc>
          <w:tcPr>
            <w:tcW w:w="442" w:type="dxa"/>
            <w:tcBorders>
              <w:top w:val="nil"/>
              <w:left w:val="nil"/>
              <w:bottom w:val="single" w:sz="4" w:space="0" w:color="auto"/>
              <w:right w:val="single" w:sz="4" w:space="0" w:color="auto"/>
            </w:tcBorders>
            <w:shd w:val="clear" w:color="000000" w:fill="FF9900"/>
            <w:noWrap/>
            <w:vAlign w:val="center"/>
            <w:hideMark/>
          </w:tcPr>
          <w:p w14:paraId="1D4F9434" w14:textId="77777777" w:rsidR="005F3233" w:rsidRPr="005F3233" w:rsidRDefault="005F3233" w:rsidP="005F3233">
            <w:pPr>
              <w:spacing w:after="0" w:line="240" w:lineRule="auto"/>
              <w:jc w:val="center"/>
              <w:rPr>
                <w:rFonts w:ascii="Calibri" w:eastAsia="Times New Roman" w:hAnsi="Calibri" w:cs="Calibri"/>
                <w:sz w:val="24"/>
                <w:szCs w:val="24"/>
                <w:lang w:eastAsia="hr-HR"/>
              </w:rPr>
            </w:pPr>
            <w:r w:rsidRPr="005F3233">
              <w:rPr>
                <w:rFonts w:ascii="Calibri" w:eastAsia="Times New Roman" w:hAnsi="Calibri" w:cs="Calibri"/>
                <w:sz w:val="24"/>
                <w:szCs w:val="24"/>
                <w:lang w:eastAsia="hr-HR"/>
              </w:rPr>
              <w:t>0</w:t>
            </w:r>
          </w:p>
        </w:tc>
        <w:tc>
          <w:tcPr>
            <w:tcW w:w="451" w:type="dxa"/>
            <w:tcBorders>
              <w:top w:val="nil"/>
              <w:left w:val="nil"/>
              <w:bottom w:val="single" w:sz="4" w:space="0" w:color="auto"/>
              <w:right w:val="single" w:sz="4" w:space="0" w:color="auto"/>
            </w:tcBorders>
            <w:shd w:val="clear" w:color="auto" w:fill="auto"/>
            <w:vAlign w:val="center"/>
            <w:hideMark/>
          </w:tcPr>
          <w:p w14:paraId="10F55F5E" w14:textId="77777777" w:rsidR="005F3233" w:rsidRPr="005F3233" w:rsidRDefault="005F3233" w:rsidP="005F3233">
            <w:pPr>
              <w:spacing w:after="0" w:line="240" w:lineRule="auto"/>
              <w:jc w:val="center"/>
              <w:rPr>
                <w:rFonts w:ascii="Calibri" w:eastAsia="Times New Roman" w:hAnsi="Calibri" w:cs="Calibri"/>
                <w:b/>
                <w:bCs/>
                <w:sz w:val="24"/>
                <w:szCs w:val="24"/>
                <w:lang w:eastAsia="hr-HR"/>
              </w:rPr>
            </w:pPr>
            <w:r w:rsidRPr="005F3233">
              <w:rPr>
                <w:rFonts w:ascii="Calibri" w:eastAsia="Times New Roman" w:hAnsi="Calibri" w:cs="Calibri"/>
                <w:b/>
                <w:bCs/>
                <w:sz w:val="24"/>
                <w:szCs w:val="24"/>
                <w:lang w:eastAsia="hr-HR"/>
              </w:rPr>
              <w:t>0</w:t>
            </w:r>
          </w:p>
        </w:tc>
        <w:tc>
          <w:tcPr>
            <w:tcW w:w="383" w:type="dxa"/>
            <w:gridSpan w:val="2"/>
            <w:tcBorders>
              <w:top w:val="nil"/>
              <w:left w:val="nil"/>
              <w:bottom w:val="single" w:sz="4" w:space="0" w:color="auto"/>
              <w:right w:val="single" w:sz="4" w:space="0" w:color="auto"/>
            </w:tcBorders>
            <w:shd w:val="clear" w:color="000000" w:fill="FFFF00"/>
            <w:noWrap/>
            <w:vAlign w:val="center"/>
            <w:hideMark/>
          </w:tcPr>
          <w:p w14:paraId="30584FC6" w14:textId="77777777" w:rsidR="005F3233" w:rsidRPr="005F3233" w:rsidRDefault="005F3233" w:rsidP="005F3233">
            <w:pPr>
              <w:spacing w:after="0" w:line="240" w:lineRule="auto"/>
              <w:jc w:val="center"/>
              <w:rPr>
                <w:rFonts w:ascii="Calibri" w:eastAsia="Times New Roman" w:hAnsi="Calibri" w:cs="Calibri"/>
                <w:sz w:val="24"/>
                <w:szCs w:val="24"/>
                <w:lang w:eastAsia="hr-HR"/>
              </w:rPr>
            </w:pPr>
            <w:r w:rsidRPr="005F3233">
              <w:rPr>
                <w:rFonts w:ascii="Calibri" w:eastAsia="Times New Roman" w:hAnsi="Calibri" w:cs="Calibri"/>
                <w:sz w:val="24"/>
                <w:szCs w:val="24"/>
                <w:lang w:eastAsia="hr-HR"/>
              </w:rPr>
              <w:t>0</w:t>
            </w:r>
          </w:p>
        </w:tc>
        <w:tc>
          <w:tcPr>
            <w:tcW w:w="392" w:type="dxa"/>
            <w:tcBorders>
              <w:top w:val="nil"/>
              <w:left w:val="nil"/>
              <w:bottom w:val="single" w:sz="4" w:space="0" w:color="auto"/>
              <w:right w:val="single" w:sz="4" w:space="0" w:color="auto"/>
            </w:tcBorders>
            <w:shd w:val="clear" w:color="000000" w:fill="FFFF00"/>
            <w:noWrap/>
            <w:vAlign w:val="center"/>
            <w:hideMark/>
          </w:tcPr>
          <w:p w14:paraId="46F9225D" w14:textId="77777777" w:rsidR="005F3233" w:rsidRPr="005F3233" w:rsidRDefault="005F3233" w:rsidP="005F3233">
            <w:pPr>
              <w:spacing w:after="0" w:line="240" w:lineRule="auto"/>
              <w:jc w:val="center"/>
              <w:rPr>
                <w:rFonts w:ascii="Calibri" w:eastAsia="Times New Roman" w:hAnsi="Calibri" w:cs="Calibri"/>
                <w:sz w:val="24"/>
                <w:szCs w:val="24"/>
                <w:lang w:eastAsia="hr-HR"/>
              </w:rPr>
            </w:pPr>
            <w:r w:rsidRPr="005F3233">
              <w:rPr>
                <w:rFonts w:ascii="Calibri" w:eastAsia="Times New Roman" w:hAnsi="Calibri" w:cs="Calibri"/>
                <w:sz w:val="24"/>
                <w:szCs w:val="24"/>
                <w:lang w:eastAsia="hr-HR"/>
              </w:rPr>
              <w:t>0</w:t>
            </w:r>
          </w:p>
        </w:tc>
        <w:tc>
          <w:tcPr>
            <w:tcW w:w="400" w:type="dxa"/>
            <w:tcBorders>
              <w:top w:val="nil"/>
              <w:left w:val="nil"/>
              <w:bottom w:val="single" w:sz="4" w:space="0" w:color="auto"/>
              <w:right w:val="single" w:sz="4" w:space="0" w:color="auto"/>
            </w:tcBorders>
            <w:shd w:val="clear" w:color="000000" w:fill="FFFF00"/>
            <w:noWrap/>
            <w:vAlign w:val="center"/>
            <w:hideMark/>
          </w:tcPr>
          <w:p w14:paraId="5EA835E8" w14:textId="77777777" w:rsidR="005F3233" w:rsidRPr="005F3233" w:rsidRDefault="005F3233" w:rsidP="005F3233">
            <w:pPr>
              <w:spacing w:after="0" w:line="240" w:lineRule="auto"/>
              <w:jc w:val="center"/>
              <w:rPr>
                <w:rFonts w:ascii="Calibri" w:eastAsia="Times New Roman" w:hAnsi="Calibri" w:cs="Calibri"/>
                <w:sz w:val="24"/>
                <w:szCs w:val="24"/>
                <w:lang w:eastAsia="hr-HR"/>
              </w:rPr>
            </w:pPr>
            <w:r w:rsidRPr="005F3233">
              <w:rPr>
                <w:rFonts w:ascii="Calibri" w:eastAsia="Times New Roman" w:hAnsi="Calibri" w:cs="Calibri"/>
                <w:sz w:val="24"/>
                <w:szCs w:val="24"/>
                <w:lang w:eastAsia="hr-HR"/>
              </w:rPr>
              <w:t>0</w:t>
            </w:r>
          </w:p>
        </w:tc>
        <w:tc>
          <w:tcPr>
            <w:tcW w:w="409" w:type="dxa"/>
            <w:tcBorders>
              <w:top w:val="nil"/>
              <w:left w:val="nil"/>
              <w:bottom w:val="single" w:sz="4" w:space="0" w:color="auto"/>
              <w:right w:val="single" w:sz="4" w:space="0" w:color="auto"/>
            </w:tcBorders>
            <w:shd w:val="clear" w:color="auto" w:fill="auto"/>
            <w:vAlign w:val="center"/>
            <w:hideMark/>
          </w:tcPr>
          <w:p w14:paraId="7628E33D" w14:textId="77777777" w:rsidR="005F3233" w:rsidRPr="005F3233" w:rsidRDefault="005F3233" w:rsidP="005F3233">
            <w:pPr>
              <w:spacing w:after="0" w:line="240" w:lineRule="auto"/>
              <w:jc w:val="center"/>
              <w:rPr>
                <w:rFonts w:ascii="Calibri" w:eastAsia="Times New Roman" w:hAnsi="Calibri" w:cs="Calibri"/>
                <w:b/>
                <w:bCs/>
                <w:sz w:val="24"/>
                <w:szCs w:val="24"/>
                <w:lang w:eastAsia="hr-HR"/>
              </w:rPr>
            </w:pPr>
            <w:r w:rsidRPr="005F3233">
              <w:rPr>
                <w:rFonts w:ascii="Calibri" w:eastAsia="Times New Roman" w:hAnsi="Calibri" w:cs="Calibri"/>
                <w:b/>
                <w:bCs/>
                <w:sz w:val="24"/>
                <w:szCs w:val="24"/>
                <w:lang w:eastAsia="hr-HR"/>
              </w:rPr>
              <w:t>0</w:t>
            </w:r>
          </w:p>
        </w:tc>
        <w:tc>
          <w:tcPr>
            <w:tcW w:w="499" w:type="dxa"/>
            <w:gridSpan w:val="2"/>
            <w:tcBorders>
              <w:top w:val="nil"/>
              <w:left w:val="nil"/>
              <w:bottom w:val="single" w:sz="4" w:space="0" w:color="auto"/>
              <w:right w:val="single" w:sz="4" w:space="0" w:color="auto"/>
            </w:tcBorders>
            <w:shd w:val="clear" w:color="000000" w:fill="FFFF00"/>
            <w:vAlign w:val="center"/>
            <w:hideMark/>
          </w:tcPr>
          <w:p w14:paraId="19A292D3" w14:textId="77777777" w:rsidR="005F3233" w:rsidRPr="005F3233" w:rsidRDefault="005F3233" w:rsidP="005F3233">
            <w:pPr>
              <w:spacing w:after="0" w:line="240" w:lineRule="auto"/>
              <w:jc w:val="center"/>
              <w:rPr>
                <w:rFonts w:ascii="Calibri" w:eastAsia="Times New Roman" w:hAnsi="Calibri" w:cs="Calibri"/>
                <w:b/>
                <w:bCs/>
                <w:sz w:val="24"/>
                <w:szCs w:val="24"/>
                <w:lang w:eastAsia="hr-HR"/>
              </w:rPr>
            </w:pPr>
            <w:r w:rsidRPr="005F3233">
              <w:rPr>
                <w:rFonts w:ascii="Calibri" w:eastAsia="Times New Roman" w:hAnsi="Calibri" w:cs="Calibri"/>
                <w:b/>
                <w:bCs/>
                <w:sz w:val="24"/>
                <w:szCs w:val="24"/>
                <w:lang w:eastAsia="hr-HR"/>
              </w:rPr>
              <w:t>0</w:t>
            </w:r>
          </w:p>
        </w:tc>
        <w:tc>
          <w:tcPr>
            <w:tcW w:w="567" w:type="dxa"/>
            <w:tcBorders>
              <w:top w:val="nil"/>
              <w:left w:val="nil"/>
              <w:bottom w:val="single" w:sz="4" w:space="0" w:color="auto"/>
              <w:right w:val="single" w:sz="4" w:space="0" w:color="auto"/>
            </w:tcBorders>
            <w:shd w:val="clear" w:color="000000" w:fill="FF9900"/>
            <w:noWrap/>
            <w:vAlign w:val="center"/>
            <w:hideMark/>
          </w:tcPr>
          <w:p w14:paraId="0CE75F47" w14:textId="77777777" w:rsidR="005F3233" w:rsidRPr="005F3233" w:rsidRDefault="005F3233" w:rsidP="005F3233">
            <w:pPr>
              <w:spacing w:after="0" w:line="240" w:lineRule="auto"/>
              <w:jc w:val="center"/>
              <w:rPr>
                <w:rFonts w:ascii="Calibri" w:eastAsia="Times New Roman" w:hAnsi="Calibri" w:cs="Calibri"/>
                <w:sz w:val="24"/>
                <w:szCs w:val="24"/>
                <w:lang w:eastAsia="hr-HR"/>
              </w:rPr>
            </w:pPr>
            <w:r w:rsidRPr="005F3233">
              <w:rPr>
                <w:rFonts w:ascii="Calibri" w:eastAsia="Times New Roman" w:hAnsi="Calibri" w:cs="Calibri"/>
                <w:sz w:val="24"/>
                <w:szCs w:val="24"/>
                <w:lang w:eastAsia="hr-HR"/>
              </w:rPr>
              <w:t>0</w:t>
            </w:r>
          </w:p>
        </w:tc>
        <w:tc>
          <w:tcPr>
            <w:tcW w:w="425" w:type="dxa"/>
            <w:gridSpan w:val="2"/>
            <w:tcBorders>
              <w:top w:val="nil"/>
              <w:left w:val="nil"/>
              <w:bottom w:val="single" w:sz="4" w:space="0" w:color="auto"/>
              <w:right w:val="single" w:sz="4" w:space="0" w:color="auto"/>
            </w:tcBorders>
            <w:shd w:val="clear" w:color="000000" w:fill="CCFFFF"/>
            <w:noWrap/>
            <w:vAlign w:val="center"/>
            <w:hideMark/>
          </w:tcPr>
          <w:p w14:paraId="233EEA3B" w14:textId="77777777" w:rsidR="005F3233" w:rsidRPr="005F3233" w:rsidRDefault="005F3233" w:rsidP="005F3233">
            <w:pPr>
              <w:spacing w:after="0" w:line="240" w:lineRule="auto"/>
              <w:jc w:val="center"/>
              <w:rPr>
                <w:rFonts w:ascii="Calibri" w:eastAsia="Times New Roman" w:hAnsi="Calibri" w:cs="Calibri"/>
                <w:sz w:val="24"/>
                <w:szCs w:val="24"/>
                <w:lang w:eastAsia="hr-HR"/>
              </w:rPr>
            </w:pPr>
            <w:r w:rsidRPr="005F3233">
              <w:rPr>
                <w:rFonts w:ascii="Calibri" w:eastAsia="Times New Roman" w:hAnsi="Calibri" w:cs="Calibri"/>
                <w:sz w:val="24"/>
                <w:szCs w:val="24"/>
                <w:lang w:eastAsia="hr-HR"/>
              </w:rPr>
              <w:t>0</w:t>
            </w:r>
          </w:p>
        </w:tc>
        <w:tc>
          <w:tcPr>
            <w:tcW w:w="434" w:type="dxa"/>
            <w:gridSpan w:val="2"/>
            <w:tcBorders>
              <w:top w:val="nil"/>
              <w:left w:val="nil"/>
              <w:bottom w:val="single" w:sz="4" w:space="0" w:color="auto"/>
              <w:right w:val="single" w:sz="4" w:space="0" w:color="auto"/>
            </w:tcBorders>
            <w:shd w:val="clear" w:color="000000" w:fill="CCFFFF"/>
            <w:noWrap/>
            <w:vAlign w:val="center"/>
            <w:hideMark/>
          </w:tcPr>
          <w:p w14:paraId="3FAC9F31" w14:textId="77777777" w:rsidR="005F3233" w:rsidRPr="005F3233" w:rsidRDefault="005F3233" w:rsidP="005F3233">
            <w:pPr>
              <w:spacing w:after="0" w:line="240" w:lineRule="auto"/>
              <w:jc w:val="center"/>
              <w:rPr>
                <w:rFonts w:ascii="Calibri" w:eastAsia="Times New Roman" w:hAnsi="Calibri" w:cs="Calibri"/>
                <w:sz w:val="24"/>
                <w:szCs w:val="24"/>
                <w:lang w:eastAsia="hr-HR"/>
              </w:rPr>
            </w:pPr>
            <w:r w:rsidRPr="005F3233">
              <w:rPr>
                <w:rFonts w:ascii="Calibri" w:eastAsia="Times New Roman" w:hAnsi="Calibri" w:cs="Calibri"/>
                <w:sz w:val="24"/>
                <w:szCs w:val="24"/>
                <w:lang w:eastAsia="hr-HR"/>
              </w:rPr>
              <w:t>0</w:t>
            </w:r>
          </w:p>
        </w:tc>
        <w:tc>
          <w:tcPr>
            <w:tcW w:w="417" w:type="dxa"/>
            <w:tcBorders>
              <w:top w:val="nil"/>
              <w:left w:val="nil"/>
              <w:bottom w:val="single" w:sz="4" w:space="0" w:color="auto"/>
              <w:right w:val="single" w:sz="4" w:space="0" w:color="auto"/>
            </w:tcBorders>
            <w:shd w:val="clear" w:color="000000" w:fill="CCFFFF"/>
            <w:noWrap/>
            <w:vAlign w:val="center"/>
            <w:hideMark/>
          </w:tcPr>
          <w:p w14:paraId="5C63F8C2" w14:textId="77777777" w:rsidR="005F3233" w:rsidRPr="005F3233" w:rsidRDefault="005F3233" w:rsidP="005F3233">
            <w:pPr>
              <w:spacing w:after="0" w:line="240" w:lineRule="auto"/>
              <w:jc w:val="center"/>
              <w:rPr>
                <w:rFonts w:ascii="Calibri" w:eastAsia="Times New Roman" w:hAnsi="Calibri" w:cs="Calibri"/>
                <w:sz w:val="24"/>
                <w:szCs w:val="24"/>
                <w:lang w:eastAsia="hr-HR"/>
              </w:rPr>
            </w:pPr>
            <w:r w:rsidRPr="005F3233">
              <w:rPr>
                <w:rFonts w:ascii="Calibri" w:eastAsia="Times New Roman" w:hAnsi="Calibri" w:cs="Calibri"/>
                <w:sz w:val="24"/>
                <w:szCs w:val="24"/>
                <w:lang w:eastAsia="hr-HR"/>
              </w:rPr>
              <w:t>0</w:t>
            </w:r>
          </w:p>
        </w:tc>
        <w:tc>
          <w:tcPr>
            <w:tcW w:w="425" w:type="dxa"/>
            <w:gridSpan w:val="3"/>
            <w:tcBorders>
              <w:top w:val="nil"/>
              <w:left w:val="nil"/>
              <w:bottom w:val="single" w:sz="4" w:space="0" w:color="auto"/>
              <w:right w:val="single" w:sz="8" w:space="0" w:color="auto"/>
            </w:tcBorders>
            <w:shd w:val="clear" w:color="000000" w:fill="33CCCC"/>
            <w:noWrap/>
            <w:vAlign w:val="center"/>
            <w:hideMark/>
          </w:tcPr>
          <w:p w14:paraId="024B2224" w14:textId="77777777" w:rsidR="005F3233" w:rsidRPr="005F3233" w:rsidRDefault="005F3233" w:rsidP="005F3233">
            <w:pPr>
              <w:spacing w:after="0" w:line="240" w:lineRule="auto"/>
              <w:jc w:val="center"/>
              <w:rPr>
                <w:rFonts w:ascii="Calibri" w:eastAsia="Times New Roman" w:hAnsi="Calibri" w:cs="Calibri"/>
                <w:sz w:val="24"/>
                <w:szCs w:val="24"/>
                <w:lang w:eastAsia="hr-HR"/>
              </w:rPr>
            </w:pPr>
            <w:r w:rsidRPr="005F3233">
              <w:rPr>
                <w:rFonts w:ascii="Calibri" w:eastAsia="Times New Roman" w:hAnsi="Calibri" w:cs="Calibri"/>
                <w:sz w:val="24"/>
                <w:szCs w:val="24"/>
                <w:lang w:eastAsia="hr-HR"/>
              </w:rPr>
              <w:t>0</w:t>
            </w:r>
          </w:p>
        </w:tc>
        <w:tc>
          <w:tcPr>
            <w:tcW w:w="569" w:type="dxa"/>
            <w:gridSpan w:val="2"/>
            <w:tcBorders>
              <w:top w:val="nil"/>
              <w:left w:val="single" w:sz="4" w:space="0" w:color="auto"/>
              <w:bottom w:val="single" w:sz="4" w:space="0" w:color="auto"/>
              <w:right w:val="single" w:sz="8" w:space="0" w:color="auto"/>
            </w:tcBorders>
            <w:shd w:val="clear" w:color="000000" w:fill="33CCCC"/>
            <w:noWrap/>
            <w:vAlign w:val="center"/>
            <w:hideMark/>
          </w:tcPr>
          <w:p w14:paraId="176975A1" w14:textId="77777777" w:rsidR="005F3233" w:rsidRPr="005F3233" w:rsidRDefault="005F3233" w:rsidP="005F3233">
            <w:pPr>
              <w:spacing w:after="0" w:line="240" w:lineRule="auto"/>
              <w:jc w:val="center"/>
              <w:rPr>
                <w:rFonts w:ascii="Calibri" w:eastAsia="Times New Roman" w:hAnsi="Calibri" w:cs="Calibri"/>
                <w:sz w:val="24"/>
                <w:szCs w:val="24"/>
                <w:lang w:eastAsia="hr-HR"/>
              </w:rPr>
            </w:pPr>
            <w:r w:rsidRPr="005F3233">
              <w:rPr>
                <w:rFonts w:ascii="Calibri" w:eastAsia="Times New Roman" w:hAnsi="Calibri" w:cs="Calibri"/>
                <w:sz w:val="24"/>
                <w:szCs w:val="24"/>
                <w:lang w:eastAsia="hr-HR"/>
              </w:rPr>
              <w:t>0</w:t>
            </w:r>
          </w:p>
        </w:tc>
        <w:tc>
          <w:tcPr>
            <w:tcW w:w="236" w:type="dxa"/>
            <w:gridSpan w:val="3"/>
            <w:vAlign w:val="center"/>
            <w:hideMark/>
          </w:tcPr>
          <w:p w14:paraId="43D25DF5" w14:textId="77777777" w:rsidR="005F3233" w:rsidRPr="005F3233" w:rsidRDefault="005F3233" w:rsidP="005F3233">
            <w:pPr>
              <w:spacing w:after="0" w:line="240" w:lineRule="auto"/>
              <w:rPr>
                <w:rFonts w:ascii="Times New Roman" w:eastAsia="Times New Roman" w:hAnsi="Times New Roman" w:cs="Times New Roman"/>
                <w:sz w:val="20"/>
                <w:szCs w:val="20"/>
                <w:lang w:eastAsia="hr-HR"/>
              </w:rPr>
            </w:pPr>
          </w:p>
        </w:tc>
      </w:tr>
      <w:tr w:rsidR="005F3233" w:rsidRPr="005F3233" w14:paraId="54C7EE82" w14:textId="77777777" w:rsidTr="000271A1">
        <w:trPr>
          <w:gridBefore w:val="1"/>
          <w:gridAfter w:val="2"/>
          <w:wBefore w:w="10" w:type="dxa"/>
          <w:wAfter w:w="237" w:type="dxa"/>
          <w:trHeight w:val="315"/>
        </w:trPr>
        <w:tc>
          <w:tcPr>
            <w:tcW w:w="869" w:type="dxa"/>
            <w:tcBorders>
              <w:top w:val="single" w:sz="4" w:space="0" w:color="auto"/>
              <w:left w:val="single" w:sz="8" w:space="0" w:color="auto"/>
              <w:bottom w:val="single" w:sz="4" w:space="0" w:color="auto"/>
              <w:right w:val="single" w:sz="4" w:space="0" w:color="auto"/>
            </w:tcBorders>
            <w:shd w:val="clear" w:color="000000" w:fill="CCFFCC"/>
            <w:vAlign w:val="center"/>
            <w:hideMark/>
          </w:tcPr>
          <w:p w14:paraId="4A70B8FC" w14:textId="77777777" w:rsidR="005F3233" w:rsidRPr="005F3233" w:rsidRDefault="005F3233" w:rsidP="005F3233">
            <w:pPr>
              <w:spacing w:after="0" w:line="240" w:lineRule="auto"/>
              <w:rPr>
                <w:rFonts w:ascii="Calibri" w:eastAsia="Times New Roman" w:hAnsi="Calibri" w:cs="Calibri"/>
                <w:lang w:eastAsia="hr-HR"/>
              </w:rPr>
            </w:pPr>
            <w:r w:rsidRPr="005F3233">
              <w:rPr>
                <w:rFonts w:ascii="Calibri" w:eastAsia="Times New Roman" w:hAnsi="Calibri" w:cs="Calibri"/>
                <w:lang w:eastAsia="hr-HR"/>
              </w:rPr>
              <w:t>Društveni položaj</w:t>
            </w:r>
          </w:p>
        </w:tc>
        <w:tc>
          <w:tcPr>
            <w:tcW w:w="457" w:type="dxa"/>
            <w:tcBorders>
              <w:top w:val="nil"/>
              <w:left w:val="nil"/>
              <w:bottom w:val="single" w:sz="4" w:space="0" w:color="auto"/>
              <w:right w:val="single" w:sz="4" w:space="0" w:color="auto"/>
            </w:tcBorders>
            <w:shd w:val="clear" w:color="000000" w:fill="FFFF00"/>
            <w:vAlign w:val="center"/>
            <w:hideMark/>
          </w:tcPr>
          <w:p w14:paraId="61757130" w14:textId="77777777" w:rsidR="005F3233" w:rsidRPr="005F3233" w:rsidRDefault="005F3233" w:rsidP="005F3233">
            <w:pPr>
              <w:spacing w:after="0" w:line="240" w:lineRule="auto"/>
              <w:jc w:val="center"/>
              <w:rPr>
                <w:rFonts w:ascii="Calibri" w:eastAsia="Times New Roman" w:hAnsi="Calibri" w:cs="Calibri"/>
                <w:b/>
                <w:bCs/>
                <w:lang w:eastAsia="hr-HR"/>
              </w:rPr>
            </w:pPr>
            <w:r w:rsidRPr="005F3233">
              <w:rPr>
                <w:rFonts w:ascii="Calibri" w:eastAsia="Times New Roman" w:hAnsi="Calibri" w:cs="Calibri"/>
                <w:b/>
                <w:bCs/>
                <w:lang w:eastAsia="hr-HR"/>
              </w:rPr>
              <w:t>0</w:t>
            </w:r>
          </w:p>
        </w:tc>
        <w:tc>
          <w:tcPr>
            <w:tcW w:w="449" w:type="dxa"/>
            <w:tcBorders>
              <w:top w:val="nil"/>
              <w:left w:val="nil"/>
              <w:bottom w:val="single" w:sz="4" w:space="0" w:color="auto"/>
              <w:right w:val="single" w:sz="4" w:space="0" w:color="auto"/>
            </w:tcBorders>
            <w:shd w:val="clear" w:color="000000" w:fill="FFCC99"/>
            <w:noWrap/>
            <w:vAlign w:val="center"/>
            <w:hideMark/>
          </w:tcPr>
          <w:p w14:paraId="71842FE0" w14:textId="77777777" w:rsidR="005F3233" w:rsidRPr="005F3233" w:rsidRDefault="005F3233" w:rsidP="005F3233">
            <w:pPr>
              <w:spacing w:after="0" w:line="240" w:lineRule="auto"/>
              <w:jc w:val="center"/>
              <w:rPr>
                <w:rFonts w:ascii="Calibri" w:eastAsia="Times New Roman" w:hAnsi="Calibri" w:cs="Calibri"/>
                <w:sz w:val="24"/>
                <w:szCs w:val="24"/>
                <w:lang w:eastAsia="hr-HR"/>
              </w:rPr>
            </w:pPr>
            <w:r w:rsidRPr="005F3233">
              <w:rPr>
                <w:rFonts w:ascii="Calibri" w:eastAsia="Times New Roman" w:hAnsi="Calibri" w:cs="Calibri"/>
                <w:sz w:val="24"/>
                <w:szCs w:val="24"/>
                <w:lang w:eastAsia="hr-HR"/>
              </w:rPr>
              <w:t>0</w:t>
            </w:r>
          </w:p>
        </w:tc>
        <w:tc>
          <w:tcPr>
            <w:tcW w:w="421" w:type="dxa"/>
            <w:tcBorders>
              <w:top w:val="nil"/>
              <w:left w:val="nil"/>
              <w:bottom w:val="single" w:sz="4" w:space="0" w:color="auto"/>
              <w:right w:val="single" w:sz="4" w:space="0" w:color="auto"/>
            </w:tcBorders>
            <w:shd w:val="clear" w:color="000000" w:fill="CCFFFF"/>
            <w:vAlign w:val="center"/>
            <w:hideMark/>
          </w:tcPr>
          <w:p w14:paraId="772DA4B9" w14:textId="77777777" w:rsidR="005F3233" w:rsidRPr="005F3233" w:rsidRDefault="005F3233" w:rsidP="005F3233">
            <w:pPr>
              <w:spacing w:after="0" w:line="240" w:lineRule="auto"/>
              <w:jc w:val="center"/>
              <w:rPr>
                <w:rFonts w:ascii="Calibri" w:eastAsia="Times New Roman" w:hAnsi="Calibri" w:cs="Calibri"/>
                <w:sz w:val="24"/>
                <w:szCs w:val="24"/>
                <w:lang w:eastAsia="hr-HR"/>
              </w:rPr>
            </w:pPr>
            <w:r w:rsidRPr="005F3233">
              <w:rPr>
                <w:rFonts w:ascii="Calibri" w:eastAsia="Times New Roman" w:hAnsi="Calibri" w:cs="Calibri"/>
                <w:sz w:val="24"/>
                <w:szCs w:val="24"/>
                <w:lang w:eastAsia="hr-HR"/>
              </w:rPr>
              <w:t>0</w:t>
            </w:r>
          </w:p>
        </w:tc>
        <w:tc>
          <w:tcPr>
            <w:tcW w:w="408" w:type="dxa"/>
            <w:tcBorders>
              <w:top w:val="nil"/>
              <w:left w:val="nil"/>
              <w:bottom w:val="single" w:sz="4" w:space="0" w:color="auto"/>
              <w:right w:val="single" w:sz="4" w:space="0" w:color="auto"/>
            </w:tcBorders>
            <w:shd w:val="clear" w:color="000000" w:fill="CCFFFF"/>
            <w:vAlign w:val="center"/>
            <w:hideMark/>
          </w:tcPr>
          <w:p w14:paraId="2D155341" w14:textId="77777777" w:rsidR="005F3233" w:rsidRPr="005F3233" w:rsidRDefault="005F3233" w:rsidP="005F3233">
            <w:pPr>
              <w:spacing w:after="0" w:line="240" w:lineRule="auto"/>
              <w:jc w:val="center"/>
              <w:rPr>
                <w:rFonts w:ascii="Calibri" w:eastAsia="Times New Roman" w:hAnsi="Calibri" w:cs="Calibri"/>
                <w:sz w:val="24"/>
                <w:szCs w:val="24"/>
                <w:lang w:eastAsia="hr-HR"/>
              </w:rPr>
            </w:pPr>
            <w:r w:rsidRPr="005F3233">
              <w:rPr>
                <w:rFonts w:ascii="Calibri" w:eastAsia="Times New Roman" w:hAnsi="Calibri" w:cs="Calibri"/>
                <w:sz w:val="24"/>
                <w:szCs w:val="24"/>
                <w:lang w:eastAsia="hr-HR"/>
              </w:rPr>
              <w:t>0</w:t>
            </w:r>
          </w:p>
        </w:tc>
        <w:tc>
          <w:tcPr>
            <w:tcW w:w="708" w:type="dxa"/>
            <w:tcBorders>
              <w:top w:val="nil"/>
              <w:left w:val="nil"/>
              <w:bottom w:val="single" w:sz="4" w:space="0" w:color="auto"/>
              <w:right w:val="single" w:sz="4" w:space="0" w:color="auto"/>
            </w:tcBorders>
            <w:shd w:val="clear" w:color="000000" w:fill="FFFF99"/>
            <w:noWrap/>
            <w:vAlign w:val="center"/>
            <w:hideMark/>
          </w:tcPr>
          <w:p w14:paraId="2627BCCE" w14:textId="77777777" w:rsidR="005F3233" w:rsidRPr="005F3233" w:rsidRDefault="005F3233" w:rsidP="005F3233">
            <w:pPr>
              <w:spacing w:after="0" w:line="240" w:lineRule="auto"/>
              <w:jc w:val="center"/>
              <w:rPr>
                <w:rFonts w:ascii="Calibri" w:eastAsia="Times New Roman" w:hAnsi="Calibri" w:cs="Calibri"/>
                <w:sz w:val="24"/>
                <w:szCs w:val="24"/>
                <w:lang w:eastAsia="hr-HR"/>
              </w:rPr>
            </w:pPr>
            <w:r w:rsidRPr="005F3233">
              <w:rPr>
                <w:rFonts w:ascii="Calibri" w:eastAsia="Times New Roman" w:hAnsi="Calibri" w:cs="Calibri"/>
                <w:sz w:val="24"/>
                <w:szCs w:val="24"/>
                <w:lang w:eastAsia="hr-HR"/>
              </w:rPr>
              <w:t>0</w:t>
            </w:r>
          </w:p>
        </w:tc>
        <w:tc>
          <w:tcPr>
            <w:tcW w:w="708" w:type="dxa"/>
            <w:tcBorders>
              <w:top w:val="nil"/>
              <w:left w:val="nil"/>
              <w:bottom w:val="single" w:sz="4" w:space="0" w:color="auto"/>
              <w:right w:val="single" w:sz="4" w:space="0" w:color="auto"/>
            </w:tcBorders>
            <w:shd w:val="clear" w:color="000000" w:fill="FFFF99"/>
            <w:noWrap/>
            <w:vAlign w:val="center"/>
            <w:hideMark/>
          </w:tcPr>
          <w:p w14:paraId="5D82FCA8" w14:textId="77777777" w:rsidR="005F3233" w:rsidRPr="005F3233" w:rsidRDefault="005F3233" w:rsidP="005F3233">
            <w:pPr>
              <w:spacing w:after="0" w:line="240" w:lineRule="auto"/>
              <w:jc w:val="center"/>
              <w:rPr>
                <w:rFonts w:ascii="Calibri" w:eastAsia="Times New Roman" w:hAnsi="Calibri" w:cs="Calibri"/>
                <w:sz w:val="24"/>
                <w:szCs w:val="24"/>
                <w:lang w:eastAsia="hr-HR"/>
              </w:rPr>
            </w:pPr>
            <w:r w:rsidRPr="005F3233">
              <w:rPr>
                <w:rFonts w:ascii="Calibri" w:eastAsia="Times New Roman" w:hAnsi="Calibri" w:cs="Calibri"/>
                <w:sz w:val="24"/>
                <w:szCs w:val="24"/>
                <w:lang w:eastAsia="hr-HR"/>
              </w:rPr>
              <w:t>0</w:t>
            </w:r>
          </w:p>
        </w:tc>
        <w:tc>
          <w:tcPr>
            <w:tcW w:w="708" w:type="dxa"/>
            <w:tcBorders>
              <w:top w:val="nil"/>
              <w:left w:val="nil"/>
              <w:bottom w:val="single" w:sz="4" w:space="0" w:color="auto"/>
              <w:right w:val="single" w:sz="4" w:space="0" w:color="auto"/>
            </w:tcBorders>
            <w:shd w:val="clear" w:color="000000" w:fill="FFFF99"/>
            <w:noWrap/>
            <w:vAlign w:val="center"/>
            <w:hideMark/>
          </w:tcPr>
          <w:p w14:paraId="0523A05C" w14:textId="77777777" w:rsidR="005F3233" w:rsidRPr="005F3233" w:rsidRDefault="005F3233" w:rsidP="005F3233">
            <w:pPr>
              <w:spacing w:after="0" w:line="240" w:lineRule="auto"/>
              <w:jc w:val="center"/>
              <w:rPr>
                <w:rFonts w:ascii="Calibri" w:eastAsia="Times New Roman" w:hAnsi="Calibri" w:cs="Calibri"/>
                <w:sz w:val="24"/>
                <w:szCs w:val="24"/>
                <w:lang w:eastAsia="hr-HR"/>
              </w:rPr>
            </w:pPr>
            <w:r w:rsidRPr="005F3233">
              <w:rPr>
                <w:rFonts w:ascii="Calibri" w:eastAsia="Times New Roman" w:hAnsi="Calibri" w:cs="Calibri"/>
                <w:sz w:val="24"/>
                <w:szCs w:val="24"/>
                <w:lang w:eastAsia="hr-HR"/>
              </w:rPr>
              <w:t>0</w:t>
            </w:r>
          </w:p>
        </w:tc>
        <w:tc>
          <w:tcPr>
            <w:tcW w:w="464" w:type="dxa"/>
            <w:tcBorders>
              <w:top w:val="nil"/>
              <w:left w:val="nil"/>
              <w:bottom w:val="single" w:sz="4" w:space="0" w:color="auto"/>
              <w:right w:val="single" w:sz="4" w:space="0" w:color="auto"/>
            </w:tcBorders>
            <w:shd w:val="clear" w:color="000000" w:fill="FFFF99"/>
            <w:noWrap/>
            <w:vAlign w:val="center"/>
            <w:hideMark/>
          </w:tcPr>
          <w:p w14:paraId="42CBAF68" w14:textId="77777777" w:rsidR="005F3233" w:rsidRPr="005F3233" w:rsidRDefault="005F3233" w:rsidP="005F3233">
            <w:pPr>
              <w:spacing w:after="0" w:line="240" w:lineRule="auto"/>
              <w:jc w:val="center"/>
              <w:rPr>
                <w:rFonts w:ascii="Calibri" w:eastAsia="Times New Roman" w:hAnsi="Calibri" w:cs="Calibri"/>
                <w:sz w:val="24"/>
                <w:szCs w:val="24"/>
                <w:lang w:eastAsia="hr-HR"/>
              </w:rPr>
            </w:pPr>
            <w:r w:rsidRPr="005F3233">
              <w:rPr>
                <w:rFonts w:ascii="Calibri" w:eastAsia="Times New Roman" w:hAnsi="Calibri" w:cs="Calibri"/>
                <w:sz w:val="24"/>
                <w:szCs w:val="24"/>
                <w:lang w:eastAsia="hr-HR"/>
              </w:rPr>
              <w:t>0</w:t>
            </w:r>
          </w:p>
        </w:tc>
        <w:tc>
          <w:tcPr>
            <w:tcW w:w="700" w:type="dxa"/>
            <w:tcBorders>
              <w:top w:val="nil"/>
              <w:left w:val="nil"/>
              <w:bottom w:val="single" w:sz="4" w:space="0" w:color="auto"/>
              <w:right w:val="single" w:sz="4" w:space="0" w:color="auto"/>
            </w:tcBorders>
            <w:shd w:val="clear" w:color="000000" w:fill="FFFF99"/>
            <w:noWrap/>
            <w:vAlign w:val="center"/>
            <w:hideMark/>
          </w:tcPr>
          <w:p w14:paraId="1B14F549" w14:textId="77777777" w:rsidR="005F3233" w:rsidRPr="005F3233" w:rsidRDefault="005F3233" w:rsidP="005F3233">
            <w:pPr>
              <w:spacing w:after="0" w:line="240" w:lineRule="auto"/>
              <w:jc w:val="center"/>
              <w:rPr>
                <w:rFonts w:ascii="Calibri" w:eastAsia="Times New Roman" w:hAnsi="Calibri" w:cs="Calibri"/>
                <w:sz w:val="24"/>
                <w:szCs w:val="24"/>
                <w:lang w:eastAsia="hr-HR"/>
              </w:rPr>
            </w:pPr>
            <w:r w:rsidRPr="005F3233">
              <w:rPr>
                <w:rFonts w:ascii="Calibri" w:eastAsia="Times New Roman" w:hAnsi="Calibri" w:cs="Calibri"/>
                <w:sz w:val="24"/>
                <w:szCs w:val="24"/>
                <w:lang w:eastAsia="hr-HR"/>
              </w:rPr>
              <w:t>0</w:t>
            </w:r>
          </w:p>
        </w:tc>
        <w:tc>
          <w:tcPr>
            <w:tcW w:w="699" w:type="dxa"/>
            <w:tcBorders>
              <w:top w:val="nil"/>
              <w:left w:val="nil"/>
              <w:bottom w:val="single" w:sz="4" w:space="0" w:color="auto"/>
              <w:right w:val="single" w:sz="4" w:space="0" w:color="auto"/>
            </w:tcBorders>
            <w:shd w:val="clear" w:color="000000" w:fill="FFFF99"/>
            <w:noWrap/>
            <w:vAlign w:val="center"/>
            <w:hideMark/>
          </w:tcPr>
          <w:p w14:paraId="0E12B675" w14:textId="77777777" w:rsidR="005F3233" w:rsidRPr="005F3233" w:rsidRDefault="005F3233" w:rsidP="005F3233">
            <w:pPr>
              <w:spacing w:after="0" w:line="240" w:lineRule="auto"/>
              <w:jc w:val="center"/>
              <w:rPr>
                <w:rFonts w:ascii="Calibri" w:eastAsia="Times New Roman" w:hAnsi="Calibri" w:cs="Calibri"/>
                <w:sz w:val="24"/>
                <w:szCs w:val="24"/>
                <w:lang w:eastAsia="hr-HR"/>
              </w:rPr>
            </w:pPr>
            <w:r w:rsidRPr="005F3233">
              <w:rPr>
                <w:rFonts w:ascii="Calibri" w:eastAsia="Times New Roman" w:hAnsi="Calibri" w:cs="Calibri"/>
                <w:sz w:val="24"/>
                <w:szCs w:val="24"/>
                <w:lang w:eastAsia="hr-HR"/>
              </w:rPr>
              <w:t>0</w:t>
            </w:r>
          </w:p>
        </w:tc>
        <w:tc>
          <w:tcPr>
            <w:tcW w:w="700" w:type="dxa"/>
            <w:tcBorders>
              <w:top w:val="nil"/>
              <w:left w:val="nil"/>
              <w:bottom w:val="single" w:sz="4" w:space="0" w:color="auto"/>
              <w:right w:val="single" w:sz="4" w:space="0" w:color="auto"/>
            </w:tcBorders>
            <w:shd w:val="clear" w:color="000000" w:fill="FFFF99"/>
            <w:noWrap/>
            <w:vAlign w:val="center"/>
            <w:hideMark/>
          </w:tcPr>
          <w:p w14:paraId="7EEE5E2C" w14:textId="77777777" w:rsidR="005F3233" w:rsidRPr="005F3233" w:rsidRDefault="005F3233" w:rsidP="005F3233">
            <w:pPr>
              <w:spacing w:after="0" w:line="240" w:lineRule="auto"/>
              <w:jc w:val="center"/>
              <w:rPr>
                <w:rFonts w:ascii="Calibri" w:eastAsia="Times New Roman" w:hAnsi="Calibri" w:cs="Calibri"/>
                <w:sz w:val="24"/>
                <w:szCs w:val="24"/>
                <w:lang w:eastAsia="hr-HR"/>
              </w:rPr>
            </w:pPr>
            <w:r w:rsidRPr="005F3233">
              <w:rPr>
                <w:rFonts w:ascii="Calibri" w:eastAsia="Times New Roman" w:hAnsi="Calibri" w:cs="Calibri"/>
                <w:sz w:val="24"/>
                <w:szCs w:val="24"/>
                <w:lang w:eastAsia="hr-HR"/>
              </w:rPr>
              <w:t>0</w:t>
            </w:r>
          </w:p>
        </w:tc>
        <w:tc>
          <w:tcPr>
            <w:tcW w:w="464" w:type="dxa"/>
            <w:tcBorders>
              <w:top w:val="nil"/>
              <w:left w:val="nil"/>
              <w:bottom w:val="single" w:sz="4" w:space="0" w:color="auto"/>
              <w:right w:val="single" w:sz="4" w:space="0" w:color="auto"/>
            </w:tcBorders>
            <w:shd w:val="clear" w:color="000000" w:fill="FFFF99"/>
            <w:noWrap/>
            <w:vAlign w:val="center"/>
            <w:hideMark/>
          </w:tcPr>
          <w:p w14:paraId="199FBC9E" w14:textId="77777777" w:rsidR="005F3233" w:rsidRPr="005F3233" w:rsidRDefault="005F3233" w:rsidP="005F3233">
            <w:pPr>
              <w:spacing w:after="0" w:line="240" w:lineRule="auto"/>
              <w:jc w:val="center"/>
              <w:rPr>
                <w:rFonts w:ascii="Calibri" w:eastAsia="Times New Roman" w:hAnsi="Calibri" w:cs="Calibri"/>
                <w:sz w:val="24"/>
                <w:szCs w:val="24"/>
                <w:lang w:eastAsia="hr-HR"/>
              </w:rPr>
            </w:pPr>
            <w:r w:rsidRPr="005F3233">
              <w:rPr>
                <w:rFonts w:ascii="Calibri" w:eastAsia="Times New Roman" w:hAnsi="Calibri" w:cs="Calibri"/>
                <w:sz w:val="24"/>
                <w:szCs w:val="24"/>
                <w:lang w:eastAsia="hr-HR"/>
              </w:rPr>
              <w:t>0</w:t>
            </w:r>
          </w:p>
        </w:tc>
        <w:tc>
          <w:tcPr>
            <w:tcW w:w="700" w:type="dxa"/>
            <w:tcBorders>
              <w:top w:val="nil"/>
              <w:left w:val="nil"/>
              <w:bottom w:val="single" w:sz="4" w:space="0" w:color="auto"/>
              <w:right w:val="single" w:sz="4" w:space="0" w:color="auto"/>
            </w:tcBorders>
            <w:shd w:val="clear" w:color="000000" w:fill="FFFF99"/>
            <w:noWrap/>
            <w:vAlign w:val="center"/>
            <w:hideMark/>
          </w:tcPr>
          <w:p w14:paraId="2013ABFA" w14:textId="77777777" w:rsidR="005F3233" w:rsidRPr="005F3233" w:rsidRDefault="005F3233" w:rsidP="005F3233">
            <w:pPr>
              <w:spacing w:after="0" w:line="240" w:lineRule="auto"/>
              <w:jc w:val="center"/>
              <w:rPr>
                <w:rFonts w:ascii="Calibri" w:eastAsia="Times New Roman" w:hAnsi="Calibri" w:cs="Calibri"/>
                <w:sz w:val="24"/>
                <w:szCs w:val="24"/>
                <w:lang w:eastAsia="hr-HR"/>
              </w:rPr>
            </w:pPr>
            <w:r w:rsidRPr="005F3233">
              <w:rPr>
                <w:rFonts w:ascii="Calibri" w:eastAsia="Times New Roman" w:hAnsi="Calibri" w:cs="Calibri"/>
                <w:sz w:val="24"/>
                <w:szCs w:val="24"/>
                <w:lang w:eastAsia="hr-HR"/>
              </w:rPr>
              <w:t>0</w:t>
            </w:r>
          </w:p>
        </w:tc>
        <w:tc>
          <w:tcPr>
            <w:tcW w:w="434" w:type="dxa"/>
            <w:tcBorders>
              <w:top w:val="nil"/>
              <w:left w:val="nil"/>
              <w:bottom w:val="single" w:sz="4" w:space="0" w:color="auto"/>
              <w:right w:val="single" w:sz="4" w:space="0" w:color="auto"/>
            </w:tcBorders>
            <w:shd w:val="clear" w:color="000000" w:fill="FFFF99"/>
            <w:noWrap/>
            <w:vAlign w:val="center"/>
            <w:hideMark/>
          </w:tcPr>
          <w:p w14:paraId="2DB9609A" w14:textId="77777777" w:rsidR="005F3233" w:rsidRPr="005F3233" w:rsidRDefault="005F3233" w:rsidP="005F3233">
            <w:pPr>
              <w:spacing w:after="0" w:line="240" w:lineRule="auto"/>
              <w:jc w:val="center"/>
              <w:rPr>
                <w:rFonts w:ascii="Calibri" w:eastAsia="Times New Roman" w:hAnsi="Calibri" w:cs="Calibri"/>
                <w:sz w:val="24"/>
                <w:szCs w:val="24"/>
                <w:lang w:eastAsia="hr-HR"/>
              </w:rPr>
            </w:pPr>
            <w:r w:rsidRPr="005F3233">
              <w:rPr>
                <w:rFonts w:ascii="Calibri" w:eastAsia="Times New Roman" w:hAnsi="Calibri" w:cs="Calibri"/>
                <w:sz w:val="24"/>
                <w:szCs w:val="24"/>
                <w:lang w:eastAsia="hr-HR"/>
              </w:rPr>
              <w:t>0</w:t>
            </w:r>
          </w:p>
        </w:tc>
        <w:tc>
          <w:tcPr>
            <w:tcW w:w="426" w:type="dxa"/>
            <w:tcBorders>
              <w:top w:val="nil"/>
              <w:left w:val="nil"/>
              <w:bottom w:val="single" w:sz="4" w:space="0" w:color="auto"/>
              <w:right w:val="single" w:sz="4" w:space="0" w:color="auto"/>
            </w:tcBorders>
            <w:shd w:val="clear" w:color="000000" w:fill="FF9900"/>
            <w:noWrap/>
            <w:vAlign w:val="center"/>
            <w:hideMark/>
          </w:tcPr>
          <w:p w14:paraId="3BBBB210" w14:textId="77777777" w:rsidR="005F3233" w:rsidRPr="005F3233" w:rsidRDefault="005F3233" w:rsidP="005F3233">
            <w:pPr>
              <w:spacing w:after="0" w:line="240" w:lineRule="auto"/>
              <w:jc w:val="center"/>
              <w:rPr>
                <w:rFonts w:ascii="Calibri" w:eastAsia="Times New Roman" w:hAnsi="Calibri" w:cs="Calibri"/>
                <w:sz w:val="24"/>
                <w:szCs w:val="24"/>
                <w:lang w:eastAsia="hr-HR"/>
              </w:rPr>
            </w:pPr>
            <w:r w:rsidRPr="005F3233">
              <w:rPr>
                <w:rFonts w:ascii="Calibri" w:eastAsia="Times New Roman" w:hAnsi="Calibri" w:cs="Calibri"/>
                <w:sz w:val="24"/>
                <w:szCs w:val="24"/>
                <w:lang w:eastAsia="hr-HR"/>
              </w:rPr>
              <w:t>0</w:t>
            </w:r>
          </w:p>
        </w:tc>
        <w:tc>
          <w:tcPr>
            <w:tcW w:w="425" w:type="dxa"/>
            <w:tcBorders>
              <w:top w:val="nil"/>
              <w:left w:val="nil"/>
              <w:bottom w:val="single" w:sz="4" w:space="0" w:color="auto"/>
              <w:right w:val="single" w:sz="4" w:space="0" w:color="auto"/>
            </w:tcBorders>
            <w:shd w:val="clear" w:color="000000" w:fill="FF9900"/>
            <w:noWrap/>
            <w:vAlign w:val="center"/>
            <w:hideMark/>
          </w:tcPr>
          <w:p w14:paraId="2AAAD98B" w14:textId="77777777" w:rsidR="005F3233" w:rsidRPr="005F3233" w:rsidRDefault="005F3233" w:rsidP="005F3233">
            <w:pPr>
              <w:spacing w:after="0" w:line="240" w:lineRule="auto"/>
              <w:jc w:val="center"/>
              <w:rPr>
                <w:rFonts w:ascii="Calibri" w:eastAsia="Times New Roman" w:hAnsi="Calibri" w:cs="Calibri"/>
                <w:sz w:val="24"/>
                <w:szCs w:val="24"/>
                <w:lang w:eastAsia="hr-HR"/>
              </w:rPr>
            </w:pPr>
            <w:r w:rsidRPr="005F3233">
              <w:rPr>
                <w:rFonts w:ascii="Calibri" w:eastAsia="Times New Roman" w:hAnsi="Calibri" w:cs="Calibri"/>
                <w:sz w:val="24"/>
                <w:szCs w:val="24"/>
                <w:lang w:eastAsia="hr-HR"/>
              </w:rPr>
              <w:t>0</w:t>
            </w:r>
          </w:p>
        </w:tc>
        <w:tc>
          <w:tcPr>
            <w:tcW w:w="442" w:type="dxa"/>
            <w:tcBorders>
              <w:top w:val="nil"/>
              <w:left w:val="nil"/>
              <w:bottom w:val="single" w:sz="4" w:space="0" w:color="auto"/>
              <w:right w:val="single" w:sz="4" w:space="0" w:color="auto"/>
            </w:tcBorders>
            <w:shd w:val="clear" w:color="000000" w:fill="FF9900"/>
            <w:noWrap/>
            <w:vAlign w:val="center"/>
            <w:hideMark/>
          </w:tcPr>
          <w:p w14:paraId="77687924" w14:textId="77777777" w:rsidR="005F3233" w:rsidRPr="005F3233" w:rsidRDefault="005F3233" w:rsidP="005F3233">
            <w:pPr>
              <w:spacing w:after="0" w:line="240" w:lineRule="auto"/>
              <w:jc w:val="center"/>
              <w:rPr>
                <w:rFonts w:ascii="Calibri" w:eastAsia="Times New Roman" w:hAnsi="Calibri" w:cs="Calibri"/>
                <w:sz w:val="24"/>
                <w:szCs w:val="24"/>
                <w:lang w:eastAsia="hr-HR"/>
              </w:rPr>
            </w:pPr>
            <w:r w:rsidRPr="005F3233">
              <w:rPr>
                <w:rFonts w:ascii="Calibri" w:eastAsia="Times New Roman" w:hAnsi="Calibri" w:cs="Calibri"/>
                <w:sz w:val="24"/>
                <w:szCs w:val="24"/>
                <w:lang w:eastAsia="hr-HR"/>
              </w:rPr>
              <w:t>0</w:t>
            </w:r>
          </w:p>
        </w:tc>
        <w:tc>
          <w:tcPr>
            <w:tcW w:w="451" w:type="dxa"/>
            <w:tcBorders>
              <w:top w:val="nil"/>
              <w:left w:val="nil"/>
              <w:bottom w:val="single" w:sz="4" w:space="0" w:color="auto"/>
              <w:right w:val="single" w:sz="4" w:space="0" w:color="auto"/>
            </w:tcBorders>
            <w:shd w:val="clear" w:color="auto" w:fill="auto"/>
            <w:vAlign w:val="center"/>
            <w:hideMark/>
          </w:tcPr>
          <w:p w14:paraId="7DFC5D80" w14:textId="77777777" w:rsidR="005F3233" w:rsidRPr="005F3233" w:rsidRDefault="005F3233" w:rsidP="005F3233">
            <w:pPr>
              <w:spacing w:after="0" w:line="240" w:lineRule="auto"/>
              <w:jc w:val="center"/>
              <w:rPr>
                <w:rFonts w:ascii="Calibri" w:eastAsia="Times New Roman" w:hAnsi="Calibri" w:cs="Calibri"/>
                <w:b/>
                <w:bCs/>
                <w:sz w:val="24"/>
                <w:szCs w:val="24"/>
                <w:lang w:eastAsia="hr-HR"/>
              </w:rPr>
            </w:pPr>
            <w:r w:rsidRPr="005F3233">
              <w:rPr>
                <w:rFonts w:ascii="Calibri" w:eastAsia="Times New Roman" w:hAnsi="Calibri" w:cs="Calibri"/>
                <w:b/>
                <w:bCs/>
                <w:sz w:val="24"/>
                <w:szCs w:val="24"/>
                <w:lang w:eastAsia="hr-HR"/>
              </w:rPr>
              <w:t>0</w:t>
            </w:r>
          </w:p>
        </w:tc>
        <w:tc>
          <w:tcPr>
            <w:tcW w:w="383" w:type="dxa"/>
            <w:gridSpan w:val="2"/>
            <w:tcBorders>
              <w:top w:val="nil"/>
              <w:left w:val="nil"/>
              <w:bottom w:val="single" w:sz="4" w:space="0" w:color="auto"/>
              <w:right w:val="single" w:sz="4" w:space="0" w:color="auto"/>
            </w:tcBorders>
            <w:shd w:val="clear" w:color="000000" w:fill="FFFF00"/>
            <w:noWrap/>
            <w:vAlign w:val="center"/>
            <w:hideMark/>
          </w:tcPr>
          <w:p w14:paraId="559BE86A" w14:textId="77777777" w:rsidR="005F3233" w:rsidRPr="005F3233" w:rsidRDefault="005F3233" w:rsidP="005F3233">
            <w:pPr>
              <w:spacing w:after="0" w:line="240" w:lineRule="auto"/>
              <w:jc w:val="center"/>
              <w:rPr>
                <w:rFonts w:ascii="Calibri" w:eastAsia="Times New Roman" w:hAnsi="Calibri" w:cs="Calibri"/>
                <w:sz w:val="24"/>
                <w:szCs w:val="24"/>
                <w:lang w:eastAsia="hr-HR"/>
              </w:rPr>
            </w:pPr>
            <w:r w:rsidRPr="005F3233">
              <w:rPr>
                <w:rFonts w:ascii="Calibri" w:eastAsia="Times New Roman" w:hAnsi="Calibri" w:cs="Calibri"/>
                <w:sz w:val="24"/>
                <w:szCs w:val="24"/>
                <w:lang w:eastAsia="hr-HR"/>
              </w:rPr>
              <w:t>0</w:t>
            </w:r>
          </w:p>
        </w:tc>
        <w:tc>
          <w:tcPr>
            <w:tcW w:w="392" w:type="dxa"/>
            <w:tcBorders>
              <w:top w:val="nil"/>
              <w:left w:val="nil"/>
              <w:bottom w:val="single" w:sz="4" w:space="0" w:color="auto"/>
              <w:right w:val="single" w:sz="4" w:space="0" w:color="auto"/>
            </w:tcBorders>
            <w:shd w:val="clear" w:color="000000" w:fill="FFFF00"/>
            <w:noWrap/>
            <w:vAlign w:val="center"/>
            <w:hideMark/>
          </w:tcPr>
          <w:p w14:paraId="59302085" w14:textId="77777777" w:rsidR="005F3233" w:rsidRPr="005F3233" w:rsidRDefault="005F3233" w:rsidP="005F3233">
            <w:pPr>
              <w:spacing w:after="0" w:line="240" w:lineRule="auto"/>
              <w:jc w:val="center"/>
              <w:rPr>
                <w:rFonts w:ascii="Calibri" w:eastAsia="Times New Roman" w:hAnsi="Calibri" w:cs="Calibri"/>
                <w:sz w:val="24"/>
                <w:szCs w:val="24"/>
                <w:lang w:eastAsia="hr-HR"/>
              </w:rPr>
            </w:pPr>
            <w:r w:rsidRPr="005F3233">
              <w:rPr>
                <w:rFonts w:ascii="Calibri" w:eastAsia="Times New Roman" w:hAnsi="Calibri" w:cs="Calibri"/>
                <w:sz w:val="24"/>
                <w:szCs w:val="24"/>
                <w:lang w:eastAsia="hr-HR"/>
              </w:rPr>
              <w:t>0</w:t>
            </w:r>
          </w:p>
        </w:tc>
        <w:tc>
          <w:tcPr>
            <w:tcW w:w="400" w:type="dxa"/>
            <w:tcBorders>
              <w:top w:val="nil"/>
              <w:left w:val="nil"/>
              <w:bottom w:val="single" w:sz="4" w:space="0" w:color="auto"/>
              <w:right w:val="single" w:sz="4" w:space="0" w:color="auto"/>
            </w:tcBorders>
            <w:shd w:val="clear" w:color="000000" w:fill="FFFF00"/>
            <w:noWrap/>
            <w:vAlign w:val="center"/>
            <w:hideMark/>
          </w:tcPr>
          <w:p w14:paraId="265C6B61" w14:textId="77777777" w:rsidR="005F3233" w:rsidRPr="005F3233" w:rsidRDefault="005F3233" w:rsidP="005F3233">
            <w:pPr>
              <w:spacing w:after="0" w:line="240" w:lineRule="auto"/>
              <w:jc w:val="center"/>
              <w:rPr>
                <w:rFonts w:ascii="Calibri" w:eastAsia="Times New Roman" w:hAnsi="Calibri" w:cs="Calibri"/>
                <w:sz w:val="24"/>
                <w:szCs w:val="24"/>
                <w:lang w:eastAsia="hr-HR"/>
              </w:rPr>
            </w:pPr>
            <w:r w:rsidRPr="005F3233">
              <w:rPr>
                <w:rFonts w:ascii="Calibri" w:eastAsia="Times New Roman" w:hAnsi="Calibri" w:cs="Calibri"/>
                <w:sz w:val="24"/>
                <w:szCs w:val="24"/>
                <w:lang w:eastAsia="hr-HR"/>
              </w:rPr>
              <w:t>0</w:t>
            </w:r>
          </w:p>
        </w:tc>
        <w:tc>
          <w:tcPr>
            <w:tcW w:w="409" w:type="dxa"/>
            <w:tcBorders>
              <w:top w:val="nil"/>
              <w:left w:val="nil"/>
              <w:bottom w:val="single" w:sz="4" w:space="0" w:color="auto"/>
              <w:right w:val="single" w:sz="4" w:space="0" w:color="auto"/>
            </w:tcBorders>
            <w:shd w:val="clear" w:color="auto" w:fill="auto"/>
            <w:vAlign w:val="center"/>
            <w:hideMark/>
          </w:tcPr>
          <w:p w14:paraId="429032A4" w14:textId="77777777" w:rsidR="005F3233" w:rsidRPr="005F3233" w:rsidRDefault="005F3233" w:rsidP="005F3233">
            <w:pPr>
              <w:spacing w:after="0" w:line="240" w:lineRule="auto"/>
              <w:jc w:val="center"/>
              <w:rPr>
                <w:rFonts w:ascii="Calibri" w:eastAsia="Times New Roman" w:hAnsi="Calibri" w:cs="Calibri"/>
                <w:b/>
                <w:bCs/>
                <w:sz w:val="24"/>
                <w:szCs w:val="24"/>
                <w:lang w:eastAsia="hr-HR"/>
              </w:rPr>
            </w:pPr>
            <w:r w:rsidRPr="005F3233">
              <w:rPr>
                <w:rFonts w:ascii="Calibri" w:eastAsia="Times New Roman" w:hAnsi="Calibri" w:cs="Calibri"/>
                <w:b/>
                <w:bCs/>
                <w:sz w:val="24"/>
                <w:szCs w:val="24"/>
                <w:lang w:eastAsia="hr-HR"/>
              </w:rPr>
              <w:t>0</w:t>
            </w:r>
          </w:p>
        </w:tc>
        <w:tc>
          <w:tcPr>
            <w:tcW w:w="499" w:type="dxa"/>
            <w:gridSpan w:val="2"/>
            <w:tcBorders>
              <w:top w:val="nil"/>
              <w:left w:val="nil"/>
              <w:bottom w:val="single" w:sz="4" w:space="0" w:color="auto"/>
              <w:right w:val="single" w:sz="4" w:space="0" w:color="auto"/>
            </w:tcBorders>
            <w:shd w:val="clear" w:color="000000" w:fill="FFFF00"/>
            <w:vAlign w:val="center"/>
            <w:hideMark/>
          </w:tcPr>
          <w:p w14:paraId="30F3A594" w14:textId="77777777" w:rsidR="005F3233" w:rsidRPr="005F3233" w:rsidRDefault="005F3233" w:rsidP="005F3233">
            <w:pPr>
              <w:spacing w:after="0" w:line="240" w:lineRule="auto"/>
              <w:jc w:val="center"/>
              <w:rPr>
                <w:rFonts w:ascii="Calibri" w:eastAsia="Times New Roman" w:hAnsi="Calibri" w:cs="Calibri"/>
                <w:b/>
                <w:bCs/>
                <w:sz w:val="24"/>
                <w:szCs w:val="24"/>
                <w:lang w:eastAsia="hr-HR"/>
              </w:rPr>
            </w:pPr>
            <w:r w:rsidRPr="005F3233">
              <w:rPr>
                <w:rFonts w:ascii="Calibri" w:eastAsia="Times New Roman" w:hAnsi="Calibri" w:cs="Calibri"/>
                <w:b/>
                <w:bCs/>
                <w:sz w:val="24"/>
                <w:szCs w:val="24"/>
                <w:lang w:eastAsia="hr-HR"/>
              </w:rPr>
              <w:t>0</w:t>
            </w:r>
          </w:p>
        </w:tc>
        <w:tc>
          <w:tcPr>
            <w:tcW w:w="567" w:type="dxa"/>
            <w:tcBorders>
              <w:top w:val="nil"/>
              <w:left w:val="nil"/>
              <w:bottom w:val="single" w:sz="4" w:space="0" w:color="auto"/>
              <w:right w:val="single" w:sz="4" w:space="0" w:color="auto"/>
            </w:tcBorders>
            <w:shd w:val="clear" w:color="000000" w:fill="FF9900"/>
            <w:noWrap/>
            <w:vAlign w:val="center"/>
            <w:hideMark/>
          </w:tcPr>
          <w:p w14:paraId="0E23FD1B" w14:textId="77777777" w:rsidR="005F3233" w:rsidRPr="005F3233" w:rsidRDefault="005F3233" w:rsidP="005F3233">
            <w:pPr>
              <w:spacing w:after="0" w:line="240" w:lineRule="auto"/>
              <w:jc w:val="center"/>
              <w:rPr>
                <w:rFonts w:ascii="Calibri" w:eastAsia="Times New Roman" w:hAnsi="Calibri" w:cs="Calibri"/>
                <w:sz w:val="24"/>
                <w:szCs w:val="24"/>
                <w:lang w:eastAsia="hr-HR"/>
              </w:rPr>
            </w:pPr>
            <w:r w:rsidRPr="005F3233">
              <w:rPr>
                <w:rFonts w:ascii="Calibri" w:eastAsia="Times New Roman" w:hAnsi="Calibri" w:cs="Calibri"/>
                <w:sz w:val="24"/>
                <w:szCs w:val="24"/>
                <w:lang w:eastAsia="hr-HR"/>
              </w:rPr>
              <w:t>0</w:t>
            </w:r>
          </w:p>
        </w:tc>
        <w:tc>
          <w:tcPr>
            <w:tcW w:w="425" w:type="dxa"/>
            <w:gridSpan w:val="2"/>
            <w:tcBorders>
              <w:top w:val="nil"/>
              <w:left w:val="nil"/>
              <w:bottom w:val="single" w:sz="4" w:space="0" w:color="auto"/>
              <w:right w:val="single" w:sz="4" w:space="0" w:color="auto"/>
            </w:tcBorders>
            <w:shd w:val="clear" w:color="000000" w:fill="CCFFFF"/>
            <w:noWrap/>
            <w:vAlign w:val="center"/>
            <w:hideMark/>
          </w:tcPr>
          <w:p w14:paraId="15B19C39" w14:textId="77777777" w:rsidR="005F3233" w:rsidRPr="005F3233" w:rsidRDefault="005F3233" w:rsidP="005F3233">
            <w:pPr>
              <w:spacing w:after="0" w:line="240" w:lineRule="auto"/>
              <w:jc w:val="center"/>
              <w:rPr>
                <w:rFonts w:ascii="Calibri" w:eastAsia="Times New Roman" w:hAnsi="Calibri" w:cs="Calibri"/>
                <w:sz w:val="24"/>
                <w:szCs w:val="24"/>
                <w:lang w:eastAsia="hr-HR"/>
              </w:rPr>
            </w:pPr>
            <w:r w:rsidRPr="005F3233">
              <w:rPr>
                <w:rFonts w:ascii="Calibri" w:eastAsia="Times New Roman" w:hAnsi="Calibri" w:cs="Calibri"/>
                <w:sz w:val="24"/>
                <w:szCs w:val="24"/>
                <w:lang w:eastAsia="hr-HR"/>
              </w:rPr>
              <w:t>0</w:t>
            </w:r>
          </w:p>
        </w:tc>
        <w:tc>
          <w:tcPr>
            <w:tcW w:w="434" w:type="dxa"/>
            <w:gridSpan w:val="2"/>
            <w:tcBorders>
              <w:top w:val="nil"/>
              <w:left w:val="nil"/>
              <w:bottom w:val="single" w:sz="4" w:space="0" w:color="auto"/>
              <w:right w:val="single" w:sz="4" w:space="0" w:color="auto"/>
            </w:tcBorders>
            <w:shd w:val="clear" w:color="000000" w:fill="CCFFFF"/>
            <w:noWrap/>
            <w:vAlign w:val="center"/>
            <w:hideMark/>
          </w:tcPr>
          <w:p w14:paraId="59C2FF03" w14:textId="77777777" w:rsidR="005F3233" w:rsidRPr="005F3233" w:rsidRDefault="005F3233" w:rsidP="005F3233">
            <w:pPr>
              <w:spacing w:after="0" w:line="240" w:lineRule="auto"/>
              <w:jc w:val="center"/>
              <w:rPr>
                <w:rFonts w:ascii="Calibri" w:eastAsia="Times New Roman" w:hAnsi="Calibri" w:cs="Calibri"/>
                <w:sz w:val="24"/>
                <w:szCs w:val="24"/>
                <w:lang w:eastAsia="hr-HR"/>
              </w:rPr>
            </w:pPr>
            <w:r w:rsidRPr="005F3233">
              <w:rPr>
                <w:rFonts w:ascii="Calibri" w:eastAsia="Times New Roman" w:hAnsi="Calibri" w:cs="Calibri"/>
                <w:sz w:val="24"/>
                <w:szCs w:val="24"/>
                <w:lang w:eastAsia="hr-HR"/>
              </w:rPr>
              <w:t>0</w:t>
            </w:r>
          </w:p>
        </w:tc>
        <w:tc>
          <w:tcPr>
            <w:tcW w:w="417" w:type="dxa"/>
            <w:tcBorders>
              <w:top w:val="nil"/>
              <w:left w:val="nil"/>
              <w:bottom w:val="single" w:sz="4" w:space="0" w:color="auto"/>
              <w:right w:val="single" w:sz="4" w:space="0" w:color="auto"/>
            </w:tcBorders>
            <w:shd w:val="clear" w:color="000000" w:fill="CCFFFF"/>
            <w:noWrap/>
            <w:vAlign w:val="center"/>
            <w:hideMark/>
          </w:tcPr>
          <w:p w14:paraId="28BDFACC" w14:textId="77777777" w:rsidR="005F3233" w:rsidRPr="005F3233" w:rsidRDefault="005F3233" w:rsidP="005F3233">
            <w:pPr>
              <w:spacing w:after="0" w:line="240" w:lineRule="auto"/>
              <w:jc w:val="center"/>
              <w:rPr>
                <w:rFonts w:ascii="Calibri" w:eastAsia="Times New Roman" w:hAnsi="Calibri" w:cs="Calibri"/>
                <w:sz w:val="24"/>
                <w:szCs w:val="24"/>
                <w:lang w:eastAsia="hr-HR"/>
              </w:rPr>
            </w:pPr>
            <w:r w:rsidRPr="005F3233">
              <w:rPr>
                <w:rFonts w:ascii="Calibri" w:eastAsia="Times New Roman" w:hAnsi="Calibri" w:cs="Calibri"/>
                <w:sz w:val="24"/>
                <w:szCs w:val="24"/>
                <w:lang w:eastAsia="hr-HR"/>
              </w:rPr>
              <w:t>0</w:t>
            </w:r>
          </w:p>
        </w:tc>
        <w:tc>
          <w:tcPr>
            <w:tcW w:w="425" w:type="dxa"/>
            <w:gridSpan w:val="3"/>
            <w:tcBorders>
              <w:top w:val="nil"/>
              <w:left w:val="nil"/>
              <w:bottom w:val="single" w:sz="4" w:space="0" w:color="auto"/>
              <w:right w:val="single" w:sz="8" w:space="0" w:color="auto"/>
            </w:tcBorders>
            <w:shd w:val="clear" w:color="000000" w:fill="33CCCC"/>
            <w:noWrap/>
            <w:vAlign w:val="center"/>
            <w:hideMark/>
          </w:tcPr>
          <w:p w14:paraId="1B4B1C62" w14:textId="77777777" w:rsidR="005F3233" w:rsidRPr="005F3233" w:rsidRDefault="005F3233" w:rsidP="005F3233">
            <w:pPr>
              <w:spacing w:after="0" w:line="240" w:lineRule="auto"/>
              <w:jc w:val="center"/>
              <w:rPr>
                <w:rFonts w:ascii="Calibri" w:eastAsia="Times New Roman" w:hAnsi="Calibri" w:cs="Calibri"/>
                <w:sz w:val="24"/>
                <w:szCs w:val="24"/>
                <w:lang w:eastAsia="hr-HR"/>
              </w:rPr>
            </w:pPr>
            <w:r w:rsidRPr="005F3233">
              <w:rPr>
                <w:rFonts w:ascii="Calibri" w:eastAsia="Times New Roman" w:hAnsi="Calibri" w:cs="Calibri"/>
                <w:sz w:val="24"/>
                <w:szCs w:val="24"/>
                <w:lang w:eastAsia="hr-HR"/>
              </w:rPr>
              <w:t>0</w:t>
            </w:r>
          </w:p>
        </w:tc>
        <w:tc>
          <w:tcPr>
            <w:tcW w:w="569" w:type="dxa"/>
            <w:gridSpan w:val="2"/>
            <w:tcBorders>
              <w:top w:val="nil"/>
              <w:left w:val="single" w:sz="4" w:space="0" w:color="auto"/>
              <w:bottom w:val="single" w:sz="4" w:space="0" w:color="auto"/>
              <w:right w:val="single" w:sz="8" w:space="0" w:color="auto"/>
            </w:tcBorders>
            <w:shd w:val="clear" w:color="000000" w:fill="33CCCC"/>
            <w:noWrap/>
            <w:vAlign w:val="center"/>
            <w:hideMark/>
          </w:tcPr>
          <w:p w14:paraId="2B8C9EE4" w14:textId="77777777" w:rsidR="005F3233" w:rsidRPr="005F3233" w:rsidRDefault="005F3233" w:rsidP="005F3233">
            <w:pPr>
              <w:spacing w:after="0" w:line="240" w:lineRule="auto"/>
              <w:jc w:val="center"/>
              <w:rPr>
                <w:rFonts w:ascii="Calibri" w:eastAsia="Times New Roman" w:hAnsi="Calibri" w:cs="Calibri"/>
                <w:sz w:val="24"/>
                <w:szCs w:val="24"/>
                <w:lang w:eastAsia="hr-HR"/>
              </w:rPr>
            </w:pPr>
            <w:r w:rsidRPr="005F3233">
              <w:rPr>
                <w:rFonts w:ascii="Calibri" w:eastAsia="Times New Roman" w:hAnsi="Calibri" w:cs="Calibri"/>
                <w:sz w:val="24"/>
                <w:szCs w:val="24"/>
                <w:lang w:eastAsia="hr-HR"/>
              </w:rPr>
              <w:t>0</w:t>
            </w:r>
          </w:p>
        </w:tc>
        <w:tc>
          <w:tcPr>
            <w:tcW w:w="236" w:type="dxa"/>
            <w:gridSpan w:val="3"/>
            <w:vAlign w:val="center"/>
            <w:hideMark/>
          </w:tcPr>
          <w:p w14:paraId="4CB848A6" w14:textId="77777777" w:rsidR="005F3233" w:rsidRPr="005F3233" w:rsidRDefault="005F3233" w:rsidP="005F3233">
            <w:pPr>
              <w:spacing w:after="0" w:line="240" w:lineRule="auto"/>
              <w:rPr>
                <w:rFonts w:ascii="Times New Roman" w:eastAsia="Times New Roman" w:hAnsi="Times New Roman" w:cs="Times New Roman"/>
                <w:sz w:val="20"/>
                <w:szCs w:val="20"/>
                <w:lang w:eastAsia="hr-HR"/>
              </w:rPr>
            </w:pPr>
          </w:p>
        </w:tc>
      </w:tr>
      <w:tr w:rsidR="005F3233" w:rsidRPr="005F3233" w14:paraId="1B4F34D5" w14:textId="77777777" w:rsidTr="000271A1">
        <w:trPr>
          <w:gridBefore w:val="1"/>
          <w:gridAfter w:val="2"/>
          <w:wBefore w:w="10" w:type="dxa"/>
          <w:wAfter w:w="237" w:type="dxa"/>
          <w:trHeight w:val="315"/>
        </w:trPr>
        <w:tc>
          <w:tcPr>
            <w:tcW w:w="869" w:type="dxa"/>
            <w:tcBorders>
              <w:top w:val="single" w:sz="4" w:space="0" w:color="auto"/>
              <w:left w:val="single" w:sz="8" w:space="0" w:color="auto"/>
              <w:bottom w:val="single" w:sz="4" w:space="0" w:color="auto"/>
              <w:right w:val="single" w:sz="4" w:space="0" w:color="auto"/>
            </w:tcBorders>
            <w:shd w:val="clear" w:color="000000" w:fill="CCFFCC"/>
            <w:hideMark/>
          </w:tcPr>
          <w:p w14:paraId="1515C1C7" w14:textId="77777777" w:rsidR="005F3233" w:rsidRPr="005F3233" w:rsidRDefault="005F3233" w:rsidP="005F3233">
            <w:pPr>
              <w:spacing w:after="0" w:line="240" w:lineRule="auto"/>
              <w:rPr>
                <w:rFonts w:ascii="Calibri" w:eastAsia="Times New Roman" w:hAnsi="Calibri" w:cs="Calibri"/>
                <w:lang w:eastAsia="hr-HR"/>
              </w:rPr>
            </w:pPr>
            <w:r w:rsidRPr="005F3233">
              <w:rPr>
                <w:rFonts w:ascii="Calibri" w:eastAsia="Times New Roman" w:hAnsi="Calibri" w:cs="Calibri"/>
                <w:lang w:eastAsia="hr-HR"/>
              </w:rPr>
              <w:lastRenderedPageBreak/>
              <w:t>Druge osobine (navesti)*:</w:t>
            </w:r>
          </w:p>
        </w:tc>
        <w:tc>
          <w:tcPr>
            <w:tcW w:w="457" w:type="dxa"/>
            <w:tcBorders>
              <w:top w:val="nil"/>
              <w:left w:val="nil"/>
              <w:bottom w:val="single" w:sz="4" w:space="0" w:color="auto"/>
              <w:right w:val="single" w:sz="4" w:space="0" w:color="auto"/>
            </w:tcBorders>
            <w:shd w:val="clear" w:color="000000" w:fill="FFFF00"/>
            <w:vAlign w:val="center"/>
            <w:hideMark/>
          </w:tcPr>
          <w:p w14:paraId="7EB7ACE1" w14:textId="77777777" w:rsidR="005F3233" w:rsidRPr="005F3233" w:rsidRDefault="005F3233" w:rsidP="005F3233">
            <w:pPr>
              <w:spacing w:after="0" w:line="240" w:lineRule="auto"/>
              <w:jc w:val="center"/>
              <w:rPr>
                <w:rFonts w:ascii="Calibri" w:eastAsia="Times New Roman" w:hAnsi="Calibri" w:cs="Calibri"/>
                <w:b/>
                <w:bCs/>
                <w:lang w:eastAsia="hr-HR"/>
              </w:rPr>
            </w:pPr>
            <w:r w:rsidRPr="005F3233">
              <w:rPr>
                <w:rFonts w:ascii="Calibri" w:eastAsia="Times New Roman" w:hAnsi="Calibri" w:cs="Calibri"/>
                <w:b/>
                <w:bCs/>
                <w:lang w:eastAsia="hr-HR"/>
              </w:rPr>
              <w:t>0</w:t>
            </w:r>
          </w:p>
        </w:tc>
        <w:tc>
          <w:tcPr>
            <w:tcW w:w="449" w:type="dxa"/>
            <w:tcBorders>
              <w:top w:val="nil"/>
              <w:left w:val="nil"/>
              <w:bottom w:val="single" w:sz="4" w:space="0" w:color="auto"/>
              <w:right w:val="single" w:sz="4" w:space="0" w:color="auto"/>
            </w:tcBorders>
            <w:shd w:val="clear" w:color="000000" w:fill="FFCC99"/>
            <w:noWrap/>
            <w:vAlign w:val="center"/>
            <w:hideMark/>
          </w:tcPr>
          <w:p w14:paraId="67703FC7" w14:textId="77777777" w:rsidR="005F3233" w:rsidRPr="005F3233" w:rsidRDefault="005F3233" w:rsidP="005F3233">
            <w:pPr>
              <w:spacing w:after="0" w:line="240" w:lineRule="auto"/>
              <w:jc w:val="center"/>
              <w:rPr>
                <w:rFonts w:ascii="Calibri" w:eastAsia="Times New Roman" w:hAnsi="Calibri" w:cs="Calibri"/>
                <w:sz w:val="24"/>
                <w:szCs w:val="24"/>
                <w:lang w:eastAsia="hr-HR"/>
              </w:rPr>
            </w:pPr>
            <w:r w:rsidRPr="005F3233">
              <w:rPr>
                <w:rFonts w:ascii="Calibri" w:eastAsia="Times New Roman" w:hAnsi="Calibri" w:cs="Calibri"/>
                <w:sz w:val="24"/>
                <w:szCs w:val="24"/>
                <w:lang w:eastAsia="hr-HR"/>
              </w:rPr>
              <w:t>0</w:t>
            </w:r>
          </w:p>
        </w:tc>
        <w:tc>
          <w:tcPr>
            <w:tcW w:w="421" w:type="dxa"/>
            <w:tcBorders>
              <w:top w:val="nil"/>
              <w:left w:val="nil"/>
              <w:bottom w:val="single" w:sz="4" w:space="0" w:color="auto"/>
              <w:right w:val="single" w:sz="4" w:space="0" w:color="auto"/>
            </w:tcBorders>
            <w:shd w:val="clear" w:color="000000" w:fill="CCFFFF"/>
            <w:vAlign w:val="center"/>
            <w:hideMark/>
          </w:tcPr>
          <w:p w14:paraId="584BA1DD" w14:textId="77777777" w:rsidR="005F3233" w:rsidRPr="005F3233" w:rsidRDefault="005F3233" w:rsidP="005F3233">
            <w:pPr>
              <w:spacing w:after="0" w:line="240" w:lineRule="auto"/>
              <w:jc w:val="center"/>
              <w:rPr>
                <w:rFonts w:ascii="Calibri" w:eastAsia="Times New Roman" w:hAnsi="Calibri" w:cs="Calibri"/>
                <w:sz w:val="24"/>
                <w:szCs w:val="24"/>
                <w:lang w:eastAsia="hr-HR"/>
              </w:rPr>
            </w:pPr>
            <w:r w:rsidRPr="005F3233">
              <w:rPr>
                <w:rFonts w:ascii="Calibri" w:eastAsia="Times New Roman" w:hAnsi="Calibri" w:cs="Calibri"/>
                <w:sz w:val="24"/>
                <w:szCs w:val="24"/>
                <w:lang w:eastAsia="hr-HR"/>
              </w:rPr>
              <w:t>0</w:t>
            </w:r>
          </w:p>
        </w:tc>
        <w:tc>
          <w:tcPr>
            <w:tcW w:w="408" w:type="dxa"/>
            <w:tcBorders>
              <w:top w:val="nil"/>
              <w:left w:val="nil"/>
              <w:bottom w:val="single" w:sz="4" w:space="0" w:color="auto"/>
              <w:right w:val="single" w:sz="4" w:space="0" w:color="auto"/>
            </w:tcBorders>
            <w:shd w:val="clear" w:color="000000" w:fill="CCFFFF"/>
            <w:vAlign w:val="center"/>
            <w:hideMark/>
          </w:tcPr>
          <w:p w14:paraId="688D7CB1" w14:textId="77777777" w:rsidR="005F3233" w:rsidRPr="005F3233" w:rsidRDefault="005F3233" w:rsidP="005F3233">
            <w:pPr>
              <w:spacing w:after="0" w:line="240" w:lineRule="auto"/>
              <w:jc w:val="center"/>
              <w:rPr>
                <w:rFonts w:ascii="Calibri" w:eastAsia="Times New Roman" w:hAnsi="Calibri" w:cs="Calibri"/>
                <w:sz w:val="24"/>
                <w:szCs w:val="24"/>
                <w:lang w:eastAsia="hr-HR"/>
              </w:rPr>
            </w:pPr>
            <w:r w:rsidRPr="005F3233">
              <w:rPr>
                <w:rFonts w:ascii="Calibri" w:eastAsia="Times New Roman" w:hAnsi="Calibri" w:cs="Calibri"/>
                <w:sz w:val="24"/>
                <w:szCs w:val="24"/>
                <w:lang w:eastAsia="hr-HR"/>
              </w:rPr>
              <w:t>0</w:t>
            </w:r>
          </w:p>
        </w:tc>
        <w:tc>
          <w:tcPr>
            <w:tcW w:w="708" w:type="dxa"/>
            <w:tcBorders>
              <w:top w:val="nil"/>
              <w:left w:val="nil"/>
              <w:bottom w:val="single" w:sz="4" w:space="0" w:color="auto"/>
              <w:right w:val="single" w:sz="4" w:space="0" w:color="auto"/>
            </w:tcBorders>
            <w:shd w:val="clear" w:color="000000" w:fill="FFFF99"/>
            <w:noWrap/>
            <w:vAlign w:val="center"/>
            <w:hideMark/>
          </w:tcPr>
          <w:p w14:paraId="16F5713D" w14:textId="77777777" w:rsidR="005F3233" w:rsidRPr="005F3233" w:rsidRDefault="005F3233" w:rsidP="005F3233">
            <w:pPr>
              <w:spacing w:after="0" w:line="240" w:lineRule="auto"/>
              <w:jc w:val="center"/>
              <w:rPr>
                <w:rFonts w:ascii="Calibri" w:eastAsia="Times New Roman" w:hAnsi="Calibri" w:cs="Calibri"/>
                <w:sz w:val="24"/>
                <w:szCs w:val="24"/>
                <w:lang w:eastAsia="hr-HR"/>
              </w:rPr>
            </w:pPr>
            <w:r w:rsidRPr="005F3233">
              <w:rPr>
                <w:rFonts w:ascii="Calibri" w:eastAsia="Times New Roman" w:hAnsi="Calibri" w:cs="Calibri"/>
                <w:sz w:val="24"/>
                <w:szCs w:val="24"/>
                <w:lang w:eastAsia="hr-HR"/>
              </w:rPr>
              <w:t>0</w:t>
            </w:r>
          </w:p>
        </w:tc>
        <w:tc>
          <w:tcPr>
            <w:tcW w:w="708" w:type="dxa"/>
            <w:tcBorders>
              <w:top w:val="nil"/>
              <w:left w:val="nil"/>
              <w:bottom w:val="single" w:sz="4" w:space="0" w:color="auto"/>
              <w:right w:val="single" w:sz="4" w:space="0" w:color="auto"/>
            </w:tcBorders>
            <w:shd w:val="clear" w:color="000000" w:fill="FFFF99"/>
            <w:noWrap/>
            <w:vAlign w:val="center"/>
            <w:hideMark/>
          </w:tcPr>
          <w:p w14:paraId="6105E9F4" w14:textId="77777777" w:rsidR="005F3233" w:rsidRPr="005F3233" w:rsidRDefault="005F3233" w:rsidP="005F3233">
            <w:pPr>
              <w:spacing w:after="0" w:line="240" w:lineRule="auto"/>
              <w:jc w:val="center"/>
              <w:rPr>
                <w:rFonts w:ascii="Calibri" w:eastAsia="Times New Roman" w:hAnsi="Calibri" w:cs="Calibri"/>
                <w:sz w:val="24"/>
                <w:szCs w:val="24"/>
                <w:lang w:eastAsia="hr-HR"/>
              </w:rPr>
            </w:pPr>
            <w:r w:rsidRPr="005F3233">
              <w:rPr>
                <w:rFonts w:ascii="Calibri" w:eastAsia="Times New Roman" w:hAnsi="Calibri" w:cs="Calibri"/>
                <w:sz w:val="24"/>
                <w:szCs w:val="24"/>
                <w:lang w:eastAsia="hr-HR"/>
              </w:rPr>
              <w:t>0</w:t>
            </w:r>
          </w:p>
        </w:tc>
        <w:tc>
          <w:tcPr>
            <w:tcW w:w="708" w:type="dxa"/>
            <w:tcBorders>
              <w:top w:val="nil"/>
              <w:left w:val="nil"/>
              <w:bottom w:val="single" w:sz="4" w:space="0" w:color="auto"/>
              <w:right w:val="single" w:sz="4" w:space="0" w:color="auto"/>
            </w:tcBorders>
            <w:shd w:val="clear" w:color="000000" w:fill="FFFF99"/>
            <w:noWrap/>
            <w:vAlign w:val="center"/>
            <w:hideMark/>
          </w:tcPr>
          <w:p w14:paraId="3AED29B5" w14:textId="77777777" w:rsidR="005F3233" w:rsidRPr="005F3233" w:rsidRDefault="005F3233" w:rsidP="005F3233">
            <w:pPr>
              <w:spacing w:after="0" w:line="240" w:lineRule="auto"/>
              <w:jc w:val="center"/>
              <w:rPr>
                <w:rFonts w:ascii="Calibri" w:eastAsia="Times New Roman" w:hAnsi="Calibri" w:cs="Calibri"/>
                <w:sz w:val="24"/>
                <w:szCs w:val="24"/>
                <w:lang w:eastAsia="hr-HR"/>
              </w:rPr>
            </w:pPr>
            <w:r w:rsidRPr="005F3233">
              <w:rPr>
                <w:rFonts w:ascii="Calibri" w:eastAsia="Times New Roman" w:hAnsi="Calibri" w:cs="Calibri"/>
                <w:sz w:val="24"/>
                <w:szCs w:val="24"/>
                <w:lang w:eastAsia="hr-HR"/>
              </w:rPr>
              <w:t>0</w:t>
            </w:r>
          </w:p>
        </w:tc>
        <w:tc>
          <w:tcPr>
            <w:tcW w:w="464" w:type="dxa"/>
            <w:tcBorders>
              <w:top w:val="nil"/>
              <w:left w:val="nil"/>
              <w:bottom w:val="single" w:sz="4" w:space="0" w:color="auto"/>
              <w:right w:val="single" w:sz="4" w:space="0" w:color="auto"/>
            </w:tcBorders>
            <w:shd w:val="clear" w:color="000000" w:fill="FFFF99"/>
            <w:noWrap/>
            <w:vAlign w:val="center"/>
            <w:hideMark/>
          </w:tcPr>
          <w:p w14:paraId="3765C618" w14:textId="77777777" w:rsidR="005F3233" w:rsidRPr="005F3233" w:rsidRDefault="005F3233" w:rsidP="005F3233">
            <w:pPr>
              <w:spacing w:after="0" w:line="240" w:lineRule="auto"/>
              <w:jc w:val="center"/>
              <w:rPr>
                <w:rFonts w:ascii="Calibri" w:eastAsia="Times New Roman" w:hAnsi="Calibri" w:cs="Calibri"/>
                <w:sz w:val="24"/>
                <w:szCs w:val="24"/>
                <w:lang w:eastAsia="hr-HR"/>
              </w:rPr>
            </w:pPr>
            <w:r w:rsidRPr="005F3233">
              <w:rPr>
                <w:rFonts w:ascii="Calibri" w:eastAsia="Times New Roman" w:hAnsi="Calibri" w:cs="Calibri"/>
                <w:sz w:val="24"/>
                <w:szCs w:val="24"/>
                <w:lang w:eastAsia="hr-HR"/>
              </w:rPr>
              <w:t>0</w:t>
            </w:r>
          </w:p>
        </w:tc>
        <w:tc>
          <w:tcPr>
            <w:tcW w:w="700" w:type="dxa"/>
            <w:tcBorders>
              <w:top w:val="nil"/>
              <w:left w:val="nil"/>
              <w:bottom w:val="single" w:sz="4" w:space="0" w:color="auto"/>
              <w:right w:val="single" w:sz="4" w:space="0" w:color="auto"/>
            </w:tcBorders>
            <w:shd w:val="clear" w:color="000000" w:fill="FFFF99"/>
            <w:noWrap/>
            <w:vAlign w:val="center"/>
            <w:hideMark/>
          </w:tcPr>
          <w:p w14:paraId="566D492E" w14:textId="77777777" w:rsidR="005F3233" w:rsidRPr="005F3233" w:rsidRDefault="005F3233" w:rsidP="005F3233">
            <w:pPr>
              <w:spacing w:after="0" w:line="240" w:lineRule="auto"/>
              <w:jc w:val="center"/>
              <w:rPr>
                <w:rFonts w:ascii="Calibri" w:eastAsia="Times New Roman" w:hAnsi="Calibri" w:cs="Calibri"/>
                <w:sz w:val="24"/>
                <w:szCs w:val="24"/>
                <w:lang w:eastAsia="hr-HR"/>
              </w:rPr>
            </w:pPr>
            <w:r w:rsidRPr="005F3233">
              <w:rPr>
                <w:rFonts w:ascii="Calibri" w:eastAsia="Times New Roman" w:hAnsi="Calibri" w:cs="Calibri"/>
                <w:sz w:val="24"/>
                <w:szCs w:val="24"/>
                <w:lang w:eastAsia="hr-HR"/>
              </w:rPr>
              <w:t>0</w:t>
            </w:r>
          </w:p>
        </w:tc>
        <w:tc>
          <w:tcPr>
            <w:tcW w:w="699" w:type="dxa"/>
            <w:tcBorders>
              <w:top w:val="nil"/>
              <w:left w:val="nil"/>
              <w:bottom w:val="single" w:sz="4" w:space="0" w:color="auto"/>
              <w:right w:val="single" w:sz="4" w:space="0" w:color="auto"/>
            </w:tcBorders>
            <w:shd w:val="clear" w:color="000000" w:fill="FFFF99"/>
            <w:noWrap/>
            <w:vAlign w:val="center"/>
            <w:hideMark/>
          </w:tcPr>
          <w:p w14:paraId="399D47F9" w14:textId="77777777" w:rsidR="005F3233" w:rsidRPr="005F3233" w:rsidRDefault="005F3233" w:rsidP="005F3233">
            <w:pPr>
              <w:spacing w:after="0" w:line="240" w:lineRule="auto"/>
              <w:jc w:val="center"/>
              <w:rPr>
                <w:rFonts w:ascii="Calibri" w:eastAsia="Times New Roman" w:hAnsi="Calibri" w:cs="Calibri"/>
                <w:sz w:val="24"/>
                <w:szCs w:val="24"/>
                <w:lang w:eastAsia="hr-HR"/>
              </w:rPr>
            </w:pPr>
            <w:r w:rsidRPr="005F3233">
              <w:rPr>
                <w:rFonts w:ascii="Calibri" w:eastAsia="Times New Roman" w:hAnsi="Calibri" w:cs="Calibri"/>
                <w:sz w:val="24"/>
                <w:szCs w:val="24"/>
                <w:lang w:eastAsia="hr-HR"/>
              </w:rPr>
              <w:t>0</w:t>
            </w:r>
          </w:p>
        </w:tc>
        <w:tc>
          <w:tcPr>
            <w:tcW w:w="700" w:type="dxa"/>
            <w:tcBorders>
              <w:top w:val="nil"/>
              <w:left w:val="nil"/>
              <w:bottom w:val="single" w:sz="4" w:space="0" w:color="auto"/>
              <w:right w:val="single" w:sz="4" w:space="0" w:color="auto"/>
            </w:tcBorders>
            <w:shd w:val="clear" w:color="000000" w:fill="FFFF99"/>
            <w:noWrap/>
            <w:vAlign w:val="center"/>
            <w:hideMark/>
          </w:tcPr>
          <w:p w14:paraId="61DEE243" w14:textId="77777777" w:rsidR="005F3233" w:rsidRPr="005F3233" w:rsidRDefault="005F3233" w:rsidP="005F3233">
            <w:pPr>
              <w:spacing w:after="0" w:line="240" w:lineRule="auto"/>
              <w:jc w:val="center"/>
              <w:rPr>
                <w:rFonts w:ascii="Calibri" w:eastAsia="Times New Roman" w:hAnsi="Calibri" w:cs="Calibri"/>
                <w:sz w:val="24"/>
                <w:szCs w:val="24"/>
                <w:lang w:eastAsia="hr-HR"/>
              </w:rPr>
            </w:pPr>
            <w:r w:rsidRPr="005F3233">
              <w:rPr>
                <w:rFonts w:ascii="Calibri" w:eastAsia="Times New Roman" w:hAnsi="Calibri" w:cs="Calibri"/>
                <w:sz w:val="24"/>
                <w:szCs w:val="24"/>
                <w:lang w:eastAsia="hr-HR"/>
              </w:rPr>
              <w:t>0</w:t>
            </w:r>
          </w:p>
        </w:tc>
        <w:tc>
          <w:tcPr>
            <w:tcW w:w="464" w:type="dxa"/>
            <w:tcBorders>
              <w:top w:val="nil"/>
              <w:left w:val="nil"/>
              <w:bottom w:val="single" w:sz="4" w:space="0" w:color="auto"/>
              <w:right w:val="single" w:sz="4" w:space="0" w:color="auto"/>
            </w:tcBorders>
            <w:shd w:val="clear" w:color="000000" w:fill="FFFF99"/>
            <w:noWrap/>
            <w:vAlign w:val="center"/>
            <w:hideMark/>
          </w:tcPr>
          <w:p w14:paraId="3E9B1721" w14:textId="77777777" w:rsidR="005F3233" w:rsidRPr="005F3233" w:rsidRDefault="005F3233" w:rsidP="005F3233">
            <w:pPr>
              <w:spacing w:after="0" w:line="240" w:lineRule="auto"/>
              <w:jc w:val="center"/>
              <w:rPr>
                <w:rFonts w:ascii="Calibri" w:eastAsia="Times New Roman" w:hAnsi="Calibri" w:cs="Calibri"/>
                <w:sz w:val="24"/>
                <w:szCs w:val="24"/>
                <w:lang w:eastAsia="hr-HR"/>
              </w:rPr>
            </w:pPr>
            <w:r w:rsidRPr="005F3233">
              <w:rPr>
                <w:rFonts w:ascii="Calibri" w:eastAsia="Times New Roman" w:hAnsi="Calibri" w:cs="Calibri"/>
                <w:sz w:val="24"/>
                <w:szCs w:val="24"/>
                <w:lang w:eastAsia="hr-HR"/>
              </w:rPr>
              <w:t>0</w:t>
            </w:r>
          </w:p>
        </w:tc>
        <w:tc>
          <w:tcPr>
            <w:tcW w:w="700" w:type="dxa"/>
            <w:tcBorders>
              <w:top w:val="nil"/>
              <w:left w:val="nil"/>
              <w:bottom w:val="single" w:sz="4" w:space="0" w:color="auto"/>
              <w:right w:val="single" w:sz="4" w:space="0" w:color="auto"/>
            </w:tcBorders>
            <w:shd w:val="clear" w:color="000000" w:fill="FFFF99"/>
            <w:noWrap/>
            <w:vAlign w:val="center"/>
            <w:hideMark/>
          </w:tcPr>
          <w:p w14:paraId="5ED33151" w14:textId="77777777" w:rsidR="005F3233" w:rsidRPr="005F3233" w:rsidRDefault="005F3233" w:rsidP="005F3233">
            <w:pPr>
              <w:spacing w:after="0" w:line="240" w:lineRule="auto"/>
              <w:jc w:val="center"/>
              <w:rPr>
                <w:rFonts w:ascii="Calibri" w:eastAsia="Times New Roman" w:hAnsi="Calibri" w:cs="Calibri"/>
                <w:sz w:val="24"/>
                <w:szCs w:val="24"/>
                <w:lang w:eastAsia="hr-HR"/>
              </w:rPr>
            </w:pPr>
            <w:r w:rsidRPr="005F3233">
              <w:rPr>
                <w:rFonts w:ascii="Calibri" w:eastAsia="Times New Roman" w:hAnsi="Calibri" w:cs="Calibri"/>
                <w:sz w:val="24"/>
                <w:szCs w:val="24"/>
                <w:lang w:eastAsia="hr-HR"/>
              </w:rPr>
              <w:t>0</w:t>
            </w:r>
          </w:p>
        </w:tc>
        <w:tc>
          <w:tcPr>
            <w:tcW w:w="434" w:type="dxa"/>
            <w:tcBorders>
              <w:top w:val="nil"/>
              <w:left w:val="nil"/>
              <w:bottom w:val="single" w:sz="4" w:space="0" w:color="auto"/>
              <w:right w:val="single" w:sz="4" w:space="0" w:color="auto"/>
            </w:tcBorders>
            <w:shd w:val="clear" w:color="000000" w:fill="FFFF99"/>
            <w:noWrap/>
            <w:vAlign w:val="center"/>
            <w:hideMark/>
          </w:tcPr>
          <w:p w14:paraId="6717D294" w14:textId="77777777" w:rsidR="005F3233" w:rsidRPr="005F3233" w:rsidRDefault="005F3233" w:rsidP="005F3233">
            <w:pPr>
              <w:spacing w:after="0" w:line="240" w:lineRule="auto"/>
              <w:jc w:val="center"/>
              <w:rPr>
                <w:rFonts w:ascii="Calibri" w:eastAsia="Times New Roman" w:hAnsi="Calibri" w:cs="Calibri"/>
                <w:sz w:val="24"/>
                <w:szCs w:val="24"/>
                <w:lang w:eastAsia="hr-HR"/>
              </w:rPr>
            </w:pPr>
            <w:r w:rsidRPr="005F3233">
              <w:rPr>
                <w:rFonts w:ascii="Calibri" w:eastAsia="Times New Roman" w:hAnsi="Calibri" w:cs="Calibri"/>
                <w:sz w:val="24"/>
                <w:szCs w:val="24"/>
                <w:lang w:eastAsia="hr-HR"/>
              </w:rPr>
              <w:t>0</w:t>
            </w:r>
          </w:p>
        </w:tc>
        <w:tc>
          <w:tcPr>
            <w:tcW w:w="426" w:type="dxa"/>
            <w:tcBorders>
              <w:top w:val="nil"/>
              <w:left w:val="nil"/>
              <w:bottom w:val="single" w:sz="4" w:space="0" w:color="auto"/>
              <w:right w:val="single" w:sz="4" w:space="0" w:color="auto"/>
            </w:tcBorders>
            <w:shd w:val="clear" w:color="000000" w:fill="FF9900"/>
            <w:noWrap/>
            <w:vAlign w:val="center"/>
            <w:hideMark/>
          </w:tcPr>
          <w:p w14:paraId="17F67606" w14:textId="77777777" w:rsidR="005F3233" w:rsidRPr="005F3233" w:rsidRDefault="005F3233" w:rsidP="005F3233">
            <w:pPr>
              <w:spacing w:after="0" w:line="240" w:lineRule="auto"/>
              <w:jc w:val="center"/>
              <w:rPr>
                <w:rFonts w:ascii="Calibri" w:eastAsia="Times New Roman" w:hAnsi="Calibri" w:cs="Calibri"/>
                <w:sz w:val="24"/>
                <w:szCs w:val="24"/>
                <w:lang w:eastAsia="hr-HR"/>
              </w:rPr>
            </w:pPr>
            <w:r w:rsidRPr="005F3233">
              <w:rPr>
                <w:rFonts w:ascii="Calibri" w:eastAsia="Times New Roman" w:hAnsi="Calibri" w:cs="Calibri"/>
                <w:sz w:val="24"/>
                <w:szCs w:val="24"/>
                <w:lang w:eastAsia="hr-HR"/>
              </w:rPr>
              <w:t>0</w:t>
            </w:r>
          </w:p>
        </w:tc>
        <w:tc>
          <w:tcPr>
            <w:tcW w:w="425" w:type="dxa"/>
            <w:tcBorders>
              <w:top w:val="nil"/>
              <w:left w:val="nil"/>
              <w:bottom w:val="single" w:sz="4" w:space="0" w:color="auto"/>
              <w:right w:val="single" w:sz="4" w:space="0" w:color="auto"/>
            </w:tcBorders>
            <w:shd w:val="clear" w:color="000000" w:fill="FF9900"/>
            <w:noWrap/>
            <w:vAlign w:val="center"/>
            <w:hideMark/>
          </w:tcPr>
          <w:p w14:paraId="651A7A20" w14:textId="77777777" w:rsidR="005F3233" w:rsidRPr="005F3233" w:rsidRDefault="005F3233" w:rsidP="005F3233">
            <w:pPr>
              <w:spacing w:after="0" w:line="240" w:lineRule="auto"/>
              <w:jc w:val="center"/>
              <w:rPr>
                <w:rFonts w:ascii="Calibri" w:eastAsia="Times New Roman" w:hAnsi="Calibri" w:cs="Calibri"/>
                <w:sz w:val="24"/>
                <w:szCs w:val="24"/>
                <w:lang w:eastAsia="hr-HR"/>
              </w:rPr>
            </w:pPr>
            <w:r w:rsidRPr="005F3233">
              <w:rPr>
                <w:rFonts w:ascii="Calibri" w:eastAsia="Times New Roman" w:hAnsi="Calibri" w:cs="Calibri"/>
                <w:sz w:val="24"/>
                <w:szCs w:val="24"/>
                <w:lang w:eastAsia="hr-HR"/>
              </w:rPr>
              <w:t>0</w:t>
            </w:r>
          </w:p>
        </w:tc>
        <w:tc>
          <w:tcPr>
            <w:tcW w:w="442" w:type="dxa"/>
            <w:tcBorders>
              <w:top w:val="nil"/>
              <w:left w:val="nil"/>
              <w:bottom w:val="single" w:sz="4" w:space="0" w:color="auto"/>
              <w:right w:val="single" w:sz="4" w:space="0" w:color="auto"/>
            </w:tcBorders>
            <w:shd w:val="clear" w:color="000000" w:fill="FF9900"/>
            <w:noWrap/>
            <w:vAlign w:val="center"/>
            <w:hideMark/>
          </w:tcPr>
          <w:p w14:paraId="43CC156F" w14:textId="77777777" w:rsidR="005F3233" w:rsidRPr="005F3233" w:rsidRDefault="005F3233" w:rsidP="005F3233">
            <w:pPr>
              <w:spacing w:after="0" w:line="240" w:lineRule="auto"/>
              <w:jc w:val="center"/>
              <w:rPr>
                <w:rFonts w:ascii="Calibri" w:eastAsia="Times New Roman" w:hAnsi="Calibri" w:cs="Calibri"/>
                <w:sz w:val="24"/>
                <w:szCs w:val="24"/>
                <w:lang w:eastAsia="hr-HR"/>
              </w:rPr>
            </w:pPr>
            <w:r w:rsidRPr="005F3233">
              <w:rPr>
                <w:rFonts w:ascii="Calibri" w:eastAsia="Times New Roman" w:hAnsi="Calibri" w:cs="Calibri"/>
                <w:sz w:val="24"/>
                <w:szCs w:val="24"/>
                <w:lang w:eastAsia="hr-HR"/>
              </w:rPr>
              <w:t>0</w:t>
            </w:r>
          </w:p>
        </w:tc>
        <w:tc>
          <w:tcPr>
            <w:tcW w:w="451" w:type="dxa"/>
            <w:tcBorders>
              <w:top w:val="nil"/>
              <w:left w:val="nil"/>
              <w:bottom w:val="single" w:sz="4" w:space="0" w:color="auto"/>
              <w:right w:val="single" w:sz="4" w:space="0" w:color="auto"/>
            </w:tcBorders>
            <w:shd w:val="clear" w:color="auto" w:fill="auto"/>
            <w:vAlign w:val="center"/>
            <w:hideMark/>
          </w:tcPr>
          <w:p w14:paraId="075F2E2D" w14:textId="77777777" w:rsidR="005F3233" w:rsidRPr="005F3233" w:rsidRDefault="005F3233" w:rsidP="005F3233">
            <w:pPr>
              <w:spacing w:after="0" w:line="240" w:lineRule="auto"/>
              <w:jc w:val="center"/>
              <w:rPr>
                <w:rFonts w:ascii="Calibri" w:eastAsia="Times New Roman" w:hAnsi="Calibri" w:cs="Calibri"/>
                <w:b/>
                <w:bCs/>
                <w:sz w:val="24"/>
                <w:szCs w:val="24"/>
                <w:lang w:eastAsia="hr-HR"/>
              </w:rPr>
            </w:pPr>
            <w:r w:rsidRPr="005F3233">
              <w:rPr>
                <w:rFonts w:ascii="Calibri" w:eastAsia="Times New Roman" w:hAnsi="Calibri" w:cs="Calibri"/>
                <w:b/>
                <w:bCs/>
                <w:sz w:val="24"/>
                <w:szCs w:val="24"/>
                <w:lang w:eastAsia="hr-HR"/>
              </w:rPr>
              <w:t>0</w:t>
            </w:r>
          </w:p>
        </w:tc>
        <w:tc>
          <w:tcPr>
            <w:tcW w:w="383" w:type="dxa"/>
            <w:gridSpan w:val="2"/>
            <w:tcBorders>
              <w:top w:val="nil"/>
              <w:left w:val="nil"/>
              <w:bottom w:val="single" w:sz="4" w:space="0" w:color="auto"/>
              <w:right w:val="single" w:sz="4" w:space="0" w:color="auto"/>
            </w:tcBorders>
            <w:shd w:val="clear" w:color="000000" w:fill="FFFF00"/>
            <w:noWrap/>
            <w:vAlign w:val="center"/>
            <w:hideMark/>
          </w:tcPr>
          <w:p w14:paraId="697B2892" w14:textId="77777777" w:rsidR="005F3233" w:rsidRPr="005F3233" w:rsidRDefault="005F3233" w:rsidP="005F3233">
            <w:pPr>
              <w:spacing w:after="0" w:line="240" w:lineRule="auto"/>
              <w:jc w:val="center"/>
              <w:rPr>
                <w:rFonts w:ascii="Calibri" w:eastAsia="Times New Roman" w:hAnsi="Calibri" w:cs="Calibri"/>
                <w:sz w:val="24"/>
                <w:szCs w:val="24"/>
                <w:lang w:eastAsia="hr-HR"/>
              </w:rPr>
            </w:pPr>
            <w:r w:rsidRPr="005F3233">
              <w:rPr>
                <w:rFonts w:ascii="Calibri" w:eastAsia="Times New Roman" w:hAnsi="Calibri" w:cs="Calibri"/>
                <w:sz w:val="24"/>
                <w:szCs w:val="24"/>
                <w:lang w:eastAsia="hr-HR"/>
              </w:rPr>
              <w:t>0</w:t>
            </w:r>
          </w:p>
        </w:tc>
        <w:tc>
          <w:tcPr>
            <w:tcW w:w="392" w:type="dxa"/>
            <w:tcBorders>
              <w:top w:val="nil"/>
              <w:left w:val="nil"/>
              <w:bottom w:val="single" w:sz="4" w:space="0" w:color="auto"/>
              <w:right w:val="single" w:sz="4" w:space="0" w:color="auto"/>
            </w:tcBorders>
            <w:shd w:val="clear" w:color="000000" w:fill="FFFF00"/>
            <w:noWrap/>
            <w:vAlign w:val="center"/>
            <w:hideMark/>
          </w:tcPr>
          <w:p w14:paraId="34D05A08" w14:textId="77777777" w:rsidR="005F3233" w:rsidRPr="005F3233" w:rsidRDefault="005F3233" w:rsidP="005F3233">
            <w:pPr>
              <w:spacing w:after="0" w:line="240" w:lineRule="auto"/>
              <w:jc w:val="center"/>
              <w:rPr>
                <w:rFonts w:ascii="Calibri" w:eastAsia="Times New Roman" w:hAnsi="Calibri" w:cs="Calibri"/>
                <w:sz w:val="24"/>
                <w:szCs w:val="24"/>
                <w:lang w:eastAsia="hr-HR"/>
              </w:rPr>
            </w:pPr>
            <w:r w:rsidRPr="005F3233">
              <w:rPr>
                <w:rFonts w:ascii="Calibri" w:eastAsia="Times New Roman" w:hAnsi="Calibri" w:cs="Calibri"/>
                <w:sz w:val="24"/>
                <w:szCs w:val="24"/>
                <w:lang w:eastAsia="hr-HR"/>
              </w:rPr>
              <w:t>0</w:t>
            </w:r>
          </w:p>
        </w:tc>
        <w:tc>
          <w:tcPr>
            <w:tcW w:w="400" w:type="dxa"/>
            <w:tcBorders>
              <w:top w:val="nil"/>
              <w:left w:val="nil"/>
              <w:bottom w:val="single" w:sz="4" w:space="0" w:color="auto"/>
              <w:right w:val="single" w:sz="4" w:space="0" w:color="auto"/>
            </w:tcBorders>
            <w:shd w:val="clear" w:color="000000" w:fill="FFFF00"/>
            <w:noWrap/>
            <w:vAlign w:val="center"/>
            <w:hideMark/>
          </w:tcPr>
          <w:p w14:paraId="381ABB73" w14:textId="77777777" w:rsidR="005F3233" w:rsidRPr="005F3233" w:rsidRDefault="005F3233" w:rsidP="005F3233">
            <w:pPr>
              <w:spacing w:after="0" w:line="240" w:lineRule="auto"/>
              <w:jc w:val="center"/>
              <w:rPr>
                <w:rFonts w:ascii="Calibri" w:eastAsia="Times New Roman" w:hAnsi="Calibri" w:cs="Calibri"/>
                <w:sz w:val="24"/>
                <w:szCs w:val="24"/>
                <w:lang w:eastAsia="hr-HR"/>
              </w:rPr>
            </w:pPr>
            <w:r w:rsidRPr="005F3233">
              <w:rPr>
                <w:rFonts w:ascii="Calibri" w:eastAsia="Times New Roman" w:hAnsi="Calibri" w:cs="Calibri"/>
                <w:sz w:val="24"/>
                <w:szCs w:val="24"/>
                <w:lang w:eastAsia="hr-HR"/>
              </w:rPr>
              <w:t>0</w:t>
            </w:r>
          </w:p>
        </w:tc>
        <w:tc>
          <w:tcPr>
            <w:tcW w:w="409" w:type="dxa"/>
            <w:tcBorders>
              <w:top w:val="nil"/>
              <w:left w:val="nil"/>
              <w:bottom w:val="single" w:sz="4" w:space="0" w:color="auto"/>
              <w:right w:val="single" w:sz="4" w:space="0" w:color="auto"/>
            </w:tcBorders>
            <w:shd w:val="clear" w:color="auto" w:fill="auto"/>
            <w:vAlign w:val="center"/>
            <w:hideMark/>
          </w:tcPr>
          <w:p w14:paraId="7495FCBF" w14:textId="77777777" w:rsidR="005F3233" w:rsidRPr="005F3233" w:rsidRDefault="005F3233" w:rsidP="005F3233">
            <w:pPr>
              <w:spacing w:after="0" w:line="240" w:lineRule="auto"/>
              <w:jc w:val="center"/>
              <w:rPr>
                <w:rFonts w:ascii="Calibri" w:eastAsia="Times New Roman" w:hAnsi="Calibri" w:cs="Calibri"/>
                <w:b/>
                <w:bCs/>
                <w:sz w:val="24"/>
                <w:szCs w:val="24"/>
                <w:lang w:eastAsia="hr-HR"/>
              </w:rPr>
            </w:pPr>
            <w:r w:rsidRPr="005F3233">
              <w:rPr>
                <w:rFonts w:ascii="Calibri" w:eastAsia="Times New Roman" w:hAnsi="Calibri" w:cs="Calibri"/>
                <w:b/>
                <w:bCs/>
                <w:sz w:val="24"/>
                <w:szCs w:val="24"/>
                <w:lang w:eastAsia="hr-HR"/>
              </w:rPr>
              <w:t>0</w:t>
            </w:r>
          </w:p>
        </w:tc>
        <w:tc>
          <w:tcPr>
            <w:tcW w:w="499" w:type="dxa"/>
            <w:gridSpan w:val="2"/>
            <w:tcBorders>
              <w:top w:val="nil"/>
              <w:left w:val="nil"/>
              <w:bottom w:val="single" w:sz="4" w:space="0" w:color="auto"/>
              <w:right w:val="single" w:sz="4" w:space="0" w:color="auto"/>
            </w:tcBorders>
            <w:shd w:val="clear" w:color="000000" w:fill="FFFF00"/>
            <w:vAlign w:val="center"/>
            <w:hideMark/>
          </w:tcPr>
          <w:p w14:paraId="390E20A6" w14:textId="77777777" w:rsidR="005F3233" w:rsidRPr="005F3233" w:rsidRDefault="005F3233" w:rsidP="005F3233">
            <w:pPr>
              <w:spacing w:after="0" w:line="240" w:lineRule="auto"/>
              <w:jc w:val="center"/>
              <w:rPr>
                <w:rFonts w:ascii="Calibri" w:eastAsia="Times New Roman" w:hAnsi="Calibri" w:cs="Calibri"/>
                <w:b/>
                <w:bCs/>
                <w:sz w:val="24"/>
                <w:szCs w:val="24"/>
                <w:lang w:eastAsia="hr-HR"/>
              </w:rPr>
            </w:pPr>
            <w:r w:rsidRPr="005F3233">
              <w:rPr>
                <w:rFonts w:ascii="Calibri" w:eastAsia="Times New Roman" w:hAnsi="Calibri" w:cs="Calibri"/>
                <w:b/>
                <w:bCs/>
                <w:sz w:val="24"/>
                <w:szCs w:val="24"/>
                <w:lang w:eastAsia="hr-HR"/>
              </w:rPr>
              <w:t>0</w:t>
            </w:r>
          </w:p>
        </w:tc>
        <w:tc>
          <w:tcPr>
            <w:tcW w:w="567" w:type="dxa"/>
            <w:tcBorders>
              <w:top w:val="nil"/>
              <w:left w:val="nil"/>
              <w:bottom w:val="single" w:sz="4" w:space="0" w:color="auto"/>
              <w:right w:val="single" w:sz="4" w:space="0" w:color="auto"/>
            </w:tcBorders>
            <w:shd w:val="clear" w:color="000000" w:fill="FF9900"/>
            <w:noWrap/>
            <w:vAlign w:val="center"/>
            <w:hideMark/>
          </w:tcPr>
          <w:p w14:paraId="6E07647B" w14:textId="77777777" w:rsidR="005F3233" w:rsidRPr="005F3233" w:rsidRDefault="005F3233" w:rsidP="005F3233">
            <w:pPr>
              <w:spacing w:after="0" w:line="240" w:lineRule="auto"/>
              <w:jc w:val="center"/>
              <w:rPr>
                <w:rFonts w:ascii="Calibri" w:eastAsia="Times New Roman" w:hAnsi="Calibri" w:cs="Calibri"/>
                <w:sz w:val="24"/>
                <w:szCs w:val="24"/>
                <w:lang w:eastAsia="hr-HR"/>
              </w:rPr>
            </w:pPr>
            <w:r w:rsidRPr="005F3233">
              <w:rPr>
                <w:rFonts w:ascii="Calibri" w:eastAsia="Times New Roman" w:hAnsi="Calibri" w:cs="Calibri"/>
                <w:sz w:val="24"/>
                <w:szCs w:val="24"/>
                <w:lang w:eastAsia="hr-HR"/>
              </w:rPr>
              <w:t>0</w:t>
            </w:r>
          </w:p>
        </w:tc>
        <w:tc>
          <w:tcPr>
            <w:tcW w:w="425" w:type="dxa"/>
            <w:gridSpan w:val="2"/>
            <w:tcBorders>
              <w:top w:val="nil"/>
              <w:left w:val="nil"/>
              <w:bottom w:val="single" w:sz="4" w:space="0" w:color="auto"/>
              <w:right w:val="single" w:sz="4" w:space="0" w:color="auto"/>
            </w:tcBorders>
            <w:shd w:val="clear" w:color="000000" w:fill="CCFFFF"/>
            <w:noWrap/>
            <w:vAlign w:val="center"/>
            <w:hideMark/>
          </w:tcPr>
          <w:p w14:paraId="2CA6BD45" w14:textId="77777777" w:rsidR="005F3233" w:rsidRPr="005F3233" w:rsidRDefault="005F3233" w:rsidP="005F3233">
            <w:pPr>
              <w:spacing w:after="0" w:line="240" w:lineRule="auto"/>
              <w:jc w:val="center"/>
              <w:rPr>
                <w:rFonts w:ascii="Calibri" w:eastAsia="Times New Roman" w:hAnsi="Calibri" w:cs="Calibri"/>
                <w:sz w:val="24"/>
                <w:szCs w:val="24"/>
                <w:lang w:eastAsia="hr-HR"/>
              </w:rPr>
            </w:pPr>
            <w:r w:rsidRPr="005F3233">
              <w:rPr>
                <w:rFonts w:ascii="Calibri" w:eastAsia="Times New Roman" w:hAnsi="Calibri" w:cs="Calibri"/>
                <w:sz w:val="24"/>
                <w:szCs w:val="24"/>
                <w:lang w:eastAsia="hr-HR"/>
              </w:rPr>
              <w:t>0</w:t>
            </w:r>
          </w:p>
        </w:tc>
        <w:tc>
          <w:tcPr>
            <w:tcW w:w="434" w:type="dxa"/>
            <w:gridSpan w:val="2"/>
            <w:tcBorders>
              <w:top w:val="nil"/>
              <w:left w:val="nil"/>
              <w:bottom w:val="single" w:sz="4" w:space="0" w:color="auto"/>
              <w:right w:val="single" w:sz="4" w:space="0" w:color="auto"/>
            </w:tcBorders>
            <w:shd w:val="clear" w:color="000000" w:fill="CCFFFF"/>
            <w:noWrap/>
            <w:vAlign w:val="center"/>
            <w:hideMark/>
          </w:tcPr>
          <w:p w14:paraId="13B7B9D7" w14:textId="77777777" w:rsidR="005F3233" w:rsidRPr="005F3233" w:rsidRDefault="005F3233" w:rsidP="005F3233">
            <w:pPr>
              <w:spacing w:after="0" w:line="240" w:lineRule="auto"/>
              <w:jc w:val="center"/>
              <w:rPr>
                <w:rFonts w:ascii="Calibri" w:eastAsia="Times New Roman" w:hAnsi="Calibri" w:cs="Calibri"/>
                <w:sz w:val="24"/>
                <w:szCs w:val="24"/>
                <w:lang w:eastAsia="hr-HR"/>
              </w:rPr>
            </w:pPr>
            <w:r w:rsidRPr="005F3233">
              <w:rPr>
                <w:rFonts w:ascii="Calibri" w:eastAsia="Times New Roman" w:hAnsi="Calibri" w:cs="Calibri"/>
                <w:sz w:val="24"/>
                <w:szCs w:val="24"/>
                <w:lang w:eastAsia="hr-HR"/>
              </w:rPr>
              <w:t>0</w:t>
            </w:r>
          </w:p>
        </w:tc>
        <w:tc>
          <w:tcPr>
            <w:tcW w:w="417" w:type="dxa"/>
            <w:tcBorders>
              <w:top w:val="nil"/>
              <w:left w:val="nil"/>
              <w:bottom w:val="single" w:sz="4" w:space="0" w:color="auto"/>
              <w:right w:val="single" w:sz="4" w:space="0" w:color="auto"/>
            </w:tcBorders>
            <w:shd w:val="clear" w:color="000000" w:fill="CCFFFF"/>
            <w:noWrap/>
            <w:vAlign w:val="center"/>
            <w:hideMark/>
          </w:tcPr>
          <w:p w14:paraId="0A61224F" w14:textId="77777777" w:rsidR="005F3233" w:rsidRPr="005F3233" w:rsidRDefault="005F3233" w:rsidP="005F3233">
            <w:pPr>
              <w:spacing w:after="0" w:line="240" w:lineRule="auto"/>
              <w:jc w:val="center"/>
              <w:rPr>
                <w:rFonts w:ascii="Calibri" w:eastAsia="Times New Roman" w:hAnsi="Calibri" w:cs="Calibri"/>
                <w:sz w:val="24"/>
                <w:szCs w:val="24"/>
                <w:lang w:eastAsia="hr-HR"/>
              </w:rPr>
            </w:pPr>
            <w:r w:rsidRPr="005F3233">
              <w:rPr>
                <w:rFonts w:ascii="Calibri" w:eastAsia="Times New Roman" w:hAnsi="Calibri" w:cs="Calibri"/>
                <w:sz w:val="24"/>
                <w:szCs w:val="24"/>
                <w:lang w:eastAsia="hr-HR"/>
              </w:rPr>
              <w:t>0</w:t>
            </w:r>
          </w:p>
        </w:tc>
        <w:tc>
          <w:tcPr>
            <w:tcW w:w="425" w:type="dxa"/>
            <w:gridSpan w:val="3"/>
            <w:tcBorders>
              <w:top w:val="nil"/>
              <w:left w:val="nil"/>
              <w:bottom w:val="single" w:sz="4" w:space="0" w:color="auto"/>
              <w:right w:val="single" w:sz="8" w:space="0" w:color="auto"/>
            </w:tcBorders>
            <w:shd w:val="clear" w:color="000000" w:fill="33CCCC"/>
            <w:noWrap/>
            <w:vAlign w:val="center"/>
            <w:hideMark/>
          </w:tcPr>
          <w:p w14:paraId="4B6DE2D3" w14:textId="77777777" w:rsidR="005F3233" w:rsidRPr="005F3233" w:rsidRDefault="005F3233" w:rsidP="005F3233">
            <w:pPr>
              <w:spacing w:after="0" w:line="240" w:lineRule="auto"/>
              <w:jc w:val="center"/>
              <w:rPr>
                <w:rFonts w:ascii="Calibri" w:eastAsia="Times New Roman" w:hAnsi="Calibri" w:cs="Calibri"/>
                <w:sz w:val="24"/>
                <w:szCs w:val="24"/>
                <w:lang w:eastAsia="hr-HR"/>
              </w:rPr>
            </w:pPr>
            <w:r w:rsidRPr="005F3233">
              <w:rPr>
                <w:rFonts w:ascii="Calibri" w:eastAsia="Times New Roman" w:hAnsi="Calibri" w:cs="Calibri"/>
                <w:sz w:val="24"/>
                <w:szCs w:val="24"/>
                <w:lang w:eastAsia="hr-HR"/>
              </w:rPr>
              <w:t>0</w:t>
            </w:r>
          </w:p>
        </w:tc>
        <w:tc>
          <w:tcPr>
            <w:tcW w:w="569" w:type="dxa"/>
            <w:gridSpan w:val="2"/>
            <w:tcBorders>
              <w:top w:val="nil"/>
              <w:left w:val="single" w:sz="4" w:space="0" w:color="auto"/>
              <w:bottom w:val="single" w:sz="4" w:space="0" w:color="auto"/>
              <w:right w:val="single" w:sz="8" w:space="0" w:color="auto"/>
            </w:tcBorders>
            <w:shd w:val="clear" w:color="000000" w:fill="33CCCC"/>
            <w:noWrap/>
            <w:vAlign w:val="center"/>
            <w:hideMark/>
          </w:tcPr>
          <w:p w14:paraId="51A3A659" w14:textId="77777777" w:rsidR="005F3233" w:rsidRPr="005F3233" w:rsidRDefault="005F3233" w:rsidP="005F3233">
            <w:pPr>
              <w:spacing w:after="0" w:line="240" w:lineRule="auto"/>
              <w:jc w:val="center"/>
              <w:rPr>
                <w:rFonts w:ascii="Calibri" w:eastAsia="Times New Roman" w:hAnsi="Calibri" w:cs="Calibri"/>
                <w:sz w:val="24"/>
                <w:szCs w:val="24"/>
                <w:lang w:eastAsia="hr-HR"/>
              </w:rPr>
            </w:pPr>
            <w:r w:rsidRPr="005F3233">
              <w:rPr>
                <w:rFonts w:ascii="Calibri" w:eastAsia="Times New Roman" w:hAnsi="Calibri" w:cs="Calibri"/>
                <w:sz w:val="24"/>
                <w:szCs w:val="24"/>
                <w:lang w:eastAsia="hr-HR"/>
              </w:rPr>
              <w:t>0</w:t>
            </w:r>
          </w:p>
        </w:tc>
        <w:tc>
          <w:tcPr>
            <w:tcW w:w="236" w:type="dxa"/>
            <w:gridSpan w:val="3"/>
            <w:vAlign w:val="center"/>
            <w:hideMark/>
          </w:tcPr>
          <w:p w14:paraId="0E317B2D" w14:textId="77777777" w:rsidR="005F3233" w:rsidRPr="005F3233" w:rsidRDefault="005F3233" w:rsidP="005F3233">
            <w:pPr>
              <w:spacing w:after="0" w:line="240" w:lineRule="auto"/>
              <w:rPr>
                <w:rFonts w:ascii="Times New Roman" w:eastAsia="Times New Roman" w:hAnsi="Times New Roman" w:cs="Times New Roman"/>
                <w:sz w:val="20"/>
                <w:szCs w:val="20"/>
                <w:lang w:eastAsia="hr-HR"/>
              </w:rPr>
            </w:pPr>
          </w:p>
        </w:tc>
      </w:tr>
      <w:tr w:rsidR="005F3233" w:rsidRPr="005F3233" w14:paraId="408C356B" w14:textId="77777777" w:rsidTr="000271A1">
        <w:trPr>
          <w:gridBefore w:val="1"/>
          <w:gridAfter w:val="2"/>
          <w:wBefore w:w="10" w:type="dxa"/>
          <w:wAfter w:w="237" w:type="dxa"/>
          <w:trHeight w:val="300"/>
        </w:trPr>
        <w:tc>
          <w:tcPr>
            <w:tcW w:w="869" w:type="dxa"/>
            <w:tcBorders>
              <w:top w:val="single" w:sz="4" w:space="0" w:color="auto"/>
              <w:left w:val="single" w:sz="8" w:space="0" w:color="auto"/>
              <w:bottom w:val="single" w:sz="4" w:space="0" w:color="auto"/>
              <w:right w:val="single" w:sz="4" w:space="0" w:color="000000"/>
            </w:tcBorders>
            <w:shd w:val="clear" w:color="000000" w:fill="CCFFCC"/>
            <w:vAlign w:val="center"/>
            <w:hideMark/>
          </w:tcPr>
          <w:p w14:paraId="48AA8DCB" w14:textId="77777777" w:rsidR="005F3233" w:rsidRPr="005F3233" w:rsidRDefault="005F3233" w:rsidP="005F3233">
            <w:pPr>
              <w:spacing w:after="0" w:line="240" w:lineRule="auto"/>
              <w:jc w:val="center"/>
              <w:rPr>
                <w:rFonts w:ascii="Calibri" w:eastAsia="Times New Roman" w:hAnsi="Calibri" w:cs="Calibri"/>
                <w:b/>
                <w:bCs/>
                <w:lang w:eastAsia="hr-HR"/>
              </w:rPr>
            </w:pPr>
            <w:r w:rsidRPr="005F3233">
              <w:rPr>
                <w:rFonts w:ascii="Calibri" w:eastAsia="Times New Roman" w:hAnsi="Calibri" w:cs="Calibri"/>
                <w:b/>
                <w:bCs/>
                <w:lang w:eastAsia="hr-HR"/>
              </w:rPr>
              <w:t>Ukupno</w:t>
            </w:r>
          </w:p>
        </w:tc>
        <w:tc>
          <w:tcPr>
            <w:tcW w:w="457" w:type="dxa"/>
            <w:tcBorders>
              <w:top w:val="nil"/>
              <w:left w:val="nil"/>
              <w:bottom w:val="single" w:sz="4" w:space="0" w:color="auto"/>
              <w:right w:val="single" w:sz="4" w:space="0" w:color="auto"/>
            </w:tcBorders>
            <w:shd w:val="clear" w:color="000000" w:fill="FFFF00"/>
            <w:vAlign w:val="center"/>
            <w:hideMark/>
          </w:tcPr>
          <w:p w14:paraId="520E8A59" w14:textId="77777777" w:rsidR="005F3233" w:rsidRPr="005F3233" w:rsidRDefault="005F3233" w:rsidP="005F3233">
            <w:pPr>
              <w:spacing w:after="0" w:line="240" w:lineRule="auto"/>
              <w:jc w:val="center"/>
              <w:rPr>
                <w:rFonts w:ascii="Calibri" w:eastAsia="Times New Roman" w:hAnsi="Calibri" w:cs="Calibri"/>
                <w:lang w:eastAsia="hr-HR"/>
              </w:rPr>
            </w:pPr>
            <w:r w:rsidRPr="005F3233">
              <w:rPr>
                <w:rFonts w:ascii="Calibri" w:eastAsia="Times New Roman" w:hAnsi="Calibri" w:cs="Calibri"/>
                <w:lang w:eastAsia="hr-HR"/>
              </w:rPr>
              <w:t>10</w:t>
            </w:r>
          </w:p>
        </w:tc>
        <w:tc>
          <w:tcPr>
            <w:tcW w:w="449" w:type="dxa"/>
            <w:tcBorders>
              <w:top w:val="nil"/>
              <w:left w:val="nil"/>
              <w:bottom w:val="single" w:sz="4" w:space="0" w:color="auto"/>
              <w:right w:val="single" w:sz="4" w:space="0" w:color="auto"/>
            </w:tcBorders>
            <w:shd w:val="clear" w:color="000000" w:fill="FFFF00"/>
            <w:vAlign w:val="center"/>
            <w:hideMark/>
          </w:tcPr>
          <w:p w14:paraId="12DE5DDD" w14:textId="77777777" w:rsidR="005F3233" w:rsidRPr="005F3233" w:rsidRDefault="005F3233" w:rsidP="005F3233">
            <w:pPr>
              <w:spacing w:after="0" w:line="240" w:lineRule="auto"/>
              <w:jc w:val="center"/>
              <w:rPr>
                <w:rFonts w:ascii="Calibri" w:eastAsia="Times New Roman" w:hAnsi="Calibri" w:cs="Calibri"/>
                <w:lang w:eastAsia="hr-HR"/>
              </w:rPr>
            </w:pPr>
            <w:r w:rsidRPr="005F3233">
              <w:rPr>
                <w:rFonts w:ascii="Calibri" w:eastAsia="Times New Roman" w:hAnsi="Calibri" w:cs="Calibri"/>
                <w:lang w:eastAsia="hr-HR"/>
              </w:rPr>
              <w:t>2</w:t>
            </w:r>
          </w:p>
        </w:tc>
        <w:tc>
          <w:tcPr>
            <w:tcW w:w="421" w:type="dxa"/>
            <w:tcBorders>
              <w:top w:val="nil"/>
              <w:left w:val="nil"/>
              <w:bottom w:val="single" w:sz="4" w:space="0" w:color="auto"/>
              <w:right w:val="single" w:sz="4" w:space="0" w:color="auto"/>
            </w:tcBorders>
            <w:shd w:val="clear" w:color="000000" w:fill="FFFF00"/>
            <w:vAlign w:val="center"/>
            <w:hideMark/>
          </w:tcPr>
          <w:p w14:paraId="77C39F7A" w14:textId="77777777" w:rsidR="005F3233" w:rsidRPr="005F3233" w:rsidRDefault="005F3233" w:rsidP="005F3233">
            <w:pPr>
              <w:spacing w:after="0" w:line="240" w:lineRule="auto"/>
              <w:jc w:val="center"/>
              <w:rPr>
                <w:rFonts w:ascii="Calibri" w:eastAsia="Times New Roman" w:hAnsi="Calibri" w:cs="Calibri"/>
                <w:lang w:eastAsia="hr-HR"/>
              </w:rPr>
            </w:pPr>
            <w:r w:rsidRPr="005F3233">
              <w:rPr>
                <w:rFonts w:ascii="Calibri" w:eastAsia="Times New Roman" w:hAnsi="Calibri" w:cs="Calibri"/>
                <w:lang w:eastAsia="hr-HR"/>
              </w:rPr>
              <w:t>0</w:t>
            </w:r>
          </w:p>
        </w:tc>
        <w:tc>
          <w:tcPr>
            <w:tcW w:w="408" w:type="dxa"/>
            <w:tcBorders>
              <w:top w:val="nil"/>
              <w:left w:val="nil"/>
              <w:bottom w:val="single" w:sz="4" w:space="0" w:color="auto"/>
              <w:right w:val="single" w:sz="4" w:space="0" w:color="auto"/>
            </w:tcBorders>
            <w:shd w:val="clear" w:color="000000" w:fill="FFFF00"/>
            <w:vAlign w:val="center"/>
            <w:hideMark/>
          </w:tcPr>
          <w:p w14:paraId="26CA145E" w14:textId="77777777" w:rsidR="005F3233" w:rsidRPr="005F3233" w:rsidRDefault="005F3233" w:rsidP="005F3233">
            <w:pPr>
              <w:spacing w:after="0" w:line="240" w:lineRule="auto"/>
              <w:jc w:val="center"/>
              <w:rPr>
                <w:rFonts w:ascii="Calibri" w:eastAsia="Times New Roman" w:hAnsi="Calibri" w:cs="Calibri"/>
                <w:lang w:eastAsia="hr-HR"/>
              </w:rPr>
            </w:pPr>
            <w:r w:rsidRPr="005F3233">
              <w:rPr>
                <w:rFonts w:ascii="Calibri" w:eastAsia="Times New Roman" w:hAnsi="Calibri" w:cs="Calibri"/>
                <w:lang w:eastAsia="hr-HR"/>
              </w:rPr>
              <w:t>0</w:t>
            </w:r>
          </w:p>
        </w:tc>
        <w:tc>
          <w:tcPr>
            <w:tcW w:w="708" w:type="dxa"/>
            <w:tcBorders>
              <w:top w:val="nil"/>
              <w:left w:val="nil"/>
              <w:bottom w:val="single" w:sz="4" w:space="0" w:color="auto"/>
              <w:right w:val="single" w:sz="4" w:space="0" w:color="auto"/>
            </w:tcBorders>
            <w:shd w:val="clear" w:color="000000" w:fill="FFFF00"/>
            <w:vAlign w:val="center"/>
            <w:hideMark/>
          </w:tcPr>
          <w:p w14:paraId="317C162B" w14:textId="77777777" w:rsidR="005F3233" w:rsidRPr="005F3233" w:rsidRDefault="005F3233" w:rsidP="005F3233">
            <w:pPr>
              <w:spacing w:after="0" w:line="240" w:lineRule="auto"/>
              <w:jc w:val="center"/>
              <w:rPr>
                <w:rFonts w:ascii="Calibri" w:eastAsia="Times New Roman" w:hAnsi="Calibri" w:cs="Calibri"/>
                <w:lang w:eastAsia="hr-HR"/>
              </w:rPr>
            </w:pPr>
            <w:r w:rsidRPr="005F3233">
              <w:rPr>
                <w:rFonts w:ascii="Calibri" w:eastAsia="Times New Roman" w:hAnsi="Calibri" w:cs="Calibri"/>
                <w:lang w:eastAsia="hr-HR"/>
              </w:rPr>
              <w:t>0</w:t>
            </w:r>
          </w:p>
        </w:tc>
        <w:tc>
          <w:tcPr>
            <w:tcW w:w="708" w:type="dxa"/>
            <w:tcBorders>
              <w:top w:val="nil"/>
              <w:left w:val="nil"/>
              <w:bottom w:val="single" w:sz="4" w:space="0" w:color="auto"/>
              <w:right w:val="single" w:sz="4" w:space="0" w:color="auto"/>
            </w:tcBorders>
            <w:shd w:val="clear" w:color="000000" w:fill="FFFF00"/>
            <w:vAlign w:val="center"/>
            <w:hideMark/>
          </w:tcPr>
          <w:p w14:paraId="006B360F" w14:textId="77777777" w:rsidR="005F3233" w:rsidRPr="005F3233" w:rsidRDefault="005F3233" w:rsidP="005F3233">
            <w:pPr>
              <w:spacing w:after="0" w:line="240" w:lineRule="auto"/>
              <w:jc w:val="center"/>
              <w:rPr>
                <w:rFonts w:ascii="Calibri" w:eastAsia="Times New Roman" w:hAnsi="Calibri" w:cs="Calibri"/>
                <w:lang w:eastAsia="hr-HR"/>
              </w:rPr>
            </w:pPr>
            <w:r w:rsidRPr="005F3233">
              <w:rPr>
                <w:rFonts w:ascii="Calibri" w:eastAsia="Times New Roman" w:hAnsi="Calibri" w:cs="Calibri"/>
                <w:lang w:eastAsia="hr-HR"/>
              </w:rPr>
              <w:t>0</w:t>
            </w:r>
          </w:p>
        </w:tc>
        <w:tc>
          <w:tcPr>
            <w:tcW w:w="708" w:type="dxa"/>
            <w:tcBorders>
              <w:top w:val="nil"/>
              <w:left w:val="nil"/>
              <w:bottom w:val="single" w:sz="4" w:space="0" w:color="auto"/>
              <w:right w:val="single" w:sz="4" w:space="0" w:color="auto"/>
            </w:tcBorders>
            <w:shd w:val="clear" w:color="000000" w:fill="FFFF00"/>
            <w:vAlign w:val="center"/>
            <w:hideMark/>
          </w:tcPr>
          <w:p w14:paraId="2C058709" w14:textId="77777777" w:rsidR="005F3233" w:rsidRPr="005F3233" w:rsidRDefault="005F3233" w:rsidP="005F3233">
            <w:pPr>
              <w:spacing w:after="0" w:line="240" w:lineRule="auto"/>
              <w:jc w:val="center"/>
              <w:rPr>
                <w:rFonts w:ascii="Calibri" w:eastAsia="Times New Roman" w:hAnsi="Calibri" w:cs="Calibri"/>
                <w:lang w:eastAsia="hr-HR"/>
              </w:rPr>
            </w:pPr>
            <w:r w:rsidRPr="005F3233">
              <w:rPr>
                <w:rFonts w:ascii="Calibri" w:eastAsia="Times New Roman" w:hAnsi="Calibri" w:cs="Calibri"/>
                <w:lang w:eastAsia="hr-HR"/>
              </w:rPr>
              <w:t>0</w:t>
            </w:r>
          </w:p>
        </w:tc>
        <w:tc>
          <w:tcPr>
            <w:tcW w:w="464" w:type="dxa"/>
            <w:tcBorders>
              <w:top w:val="nil"/>
              <w:left w:val="nil"/>
              <w:bottom w:val="single" w:sz="4" w:space="0" w:color="auto"/>
              <w:right w:val="single" w:sz="4" w:space="0" w:color="auto"/>
            </w:tcBorders>
            <w:shd w:val="clear" w:color="000000" w:fill="FFFF00"/>
            <w:vAlign w:val="center"/>
            <w:hideMark/>
          </w:tcPr>
          <w:p w14:paraId="6B1A36D7" w14:textId="77777777" w:rsidR="005F3233" w:rsidRPr="005F3233" w:rsidRDefault="005F3233" w:rsidP="005F3233">
            <w:pPr>
              <w:spacing w:after="0" w:line="240" w:lineRule="auto"/>
              <w:jc w:val="center"/>
              <w:rPr>
                <w:rFonts w:ascii="Calibri" w:eastAsia="Times New Roman" w:hAnsi="Calibri" w:cs="Calibri"/>
                <w:lang w:eastAsia="hr-HR"/>
              </w:rPr>
            </w:pPr>
            <w:r w:rsidRPr="005F3233">
              <w:rPr>
                <w:rFonts w:ascii="Calibri" w:eastAsia="Times New Roman" w:hAnsi="Calibri" w:cs="Calibri"/>
                <w:lang w:eastAsia="hr-HR"/>
              </w:rPr>
              <w:t>0</w:t>
            </w:r>
          </w:p>
        </w:tc>
        <w:tc>
          <w:tcPr>
            <w:tcW w:w="700" w:type="dxa"/>
            <w:tcBorders>
              <w:top w:val="nil"/>
              <w:left w:val="nil"/>
              <w:bottom w:val="single" w:sz="4" w:space="0" w:color="auto"/>
              <w:right w:val="single" w:sz="4" w:space="0" w:color="auto"/>
            </w:tcBorders>
            <w:shd w:val="clear" w:color="000000" w:fill="FFFF00"/>
            <w:vAlign w:val="center"/>
            <w:hideMark/>
          </w:tcPr>
          <w:p w14:paraId="67B6C1E3" w14:textId="77777777" w:rsidR="005F3233" w:rsidRPr="005F3233" w:rsidRDefault="005F3233" w:rsidP="005F3233">
            <w:pPr>
              <w:spacing w:after="0" w:line="240" w:lineRule="auto"/>
              <w:jc w:val="center"/>
              <w:rPr>
                <w:rFonts w:ascii="Calibri" w:eastAsia="Times New Roman" w:hAnsi="Calibri" w:cs="Calibri"/>
                <w:lang w:eastAsia="hr-HR"/>
              </w:rPr>
            </w:pPr>
            <w:r w:rsidRPr="005F3233">
              <w:rPr>
                <w:rFonts w:ascii="Calibri" w:eastAsia="Times New Roman" w:hAnsi="Calibri" w:cs="Calibri"/>
                <w:lang w:eastAsia="hr-HR"/>
              </w:rPr>
              <w:t>0</w:t>
            </w:r>
          </w:p>
        </w:tc>
        <w:tc>
          <w:tcPr>
            <w:tcW w:w="699" w:type="dxa"/>
            <w:tcBorders>
              <w:top w:val="nil"/>
              <w:left w:val="nil"/>
              <w:bottom w:val="single" w:sz="4" w:space="0" w:color="auto"/>
              <w:right w:val="single" w:sz="4" w:space="0" w:color="auto"/>
            </w:tcBorders>
            <w:shd w:val="clear" w:color="000000" w:fill="FFFF00"/>
            <w:vAlign w:val="center"/>
            <w:hideMark/>
          </w:tcPr>
          <w:p w14:paraId="693919B9" w14:textId="77777777" w:rsidR="005F3233" w:rsidRPr="005F3233" w:rsidRDefault="005F3233" w:rsidP="005F3233">
            <w:pPr>
              <w:spacing w:after="0" w:line="240" w:lineRule="auto"/>
              <w:jc w:val="center"/>
              <w:rPr>
                <w:rFonts w:ascii="Calibri" w:eastAsia="Times New Roman" w:hAnsi="Calibri" w:cs="Calibri"/>
                <w:lang w:eastAsia="hr-HR"/>
              </w:rPr>
            </w:pPr>
            <w:r w:rsidRPr="005F3233">
              <w:rPr>
                <w:rFonts w:ascii="Calibri" w:eastAsia="Times New Roman" w:hAnsi="Calibri" w:cs="Calibri"/>
                <w:lang w:eastAsia="hr-HR"/>
              </w:rPr>
              <w:t>0</w:t>
            </w:r>
          </w:p>
        </w:tc>
        <w:tc>
          <w:tcPr>
            <w:tcW w:w="700" w:type="dxa"/>
            <w:tcBorders>
              <w:top w:val="nil"/>
              <w:left w:val="nil"/>
              <w:bottom w:val="single" w:sz="4" w:space="0" w:color="auto"/>
              <w:right w:val="single" w:sz="4" w:space="0" w:color="auto"/>
            </w:tcBorders>
            <w:shd w:val="clear" w:color="000000" w:fill="FFFF00"/>
            <w:vAlign w:val="center"/>
            <w:hideMark/>
          </w:tcPr>
          <w:p w14:paraId="4E9CBC80" w14:textId="77777777" w:rsidR="005F3233" w:rsidRPr="005F3233" w:rsidRDefault="005F3233" w:rsidP="005F3233">
            <w:pPr>
              <w:spacing w:after="0" w:line="240" w:lineRule="auto"/>
              <w:jc w:val="center"/>
              <w:rPr>
                <w:rFonts w:ascii="Calibri" w:eastAsia="Times New Roman" w:hAnsi="Calibri" w:cs="Calibri"/>
                <w:lang w:eastAsia="hr-HR"/>
              </w:rPr>
            </w:pPr>
            <w:r w:rsidRPr="005F3233">
              <w:rPr>
                <w:rFonts w:ascii="Calibri" w:eastAsia="Times New Roman" w:hAnsi="Calibri" w:cs="Calibri"/>
                <w:lang w:eastAsia="hr-HR"/>
              </w:rPr>
              <w:t>0</w:t>
            </w:r>
          </w:p>
        </w:tc>
        <w:tc>
          <w:tcPr>
            <w:tcW w:w="464" w:type="dxa"/>
            <w:tcBorders>
              <w:top w:val="nil"/>
              <w:left w:val="nil"/>
              <w:bottom w:val="single" w:sz="4" w:space="0" w:color="auto"/>
              <w:right w:val="single" w:sz="4" w:space="0" w:color="auto"/>
            </w:tcBorders>
            <w:shd w:val="clear" w:color="000000" w:fill="FFFF00"/>
            <w:vAlign w:val="center"/>
            <w:hideMark/>
          </w:tcPr>
          <w:p w14:paraId="6DF862B9" w14:textId="77777777" w:rsidR="005F3233" w:rsidRPr="005F3233" w:rsidRDefault="005F3233" w:rsidP="005F3233">
            <w:pPr>
              <w:spacing w:after="0" w:line="240" w:lineRule="auto"/>
              <w:jc w:val="center"/>
              <w:rPr>
                <w:rFonts w:ascii="Calibri" w:eastAsia="Times New Roman" w:hAnsi="Calibri" w:cs="Calibri"/>
                <w:lang w:eastAsia="hr-HR"/>
              </w:rPr>
            </w:pPr>
            <w:r w:rsidRPr="005F3233">
              <w:rPr>
                <w:rFonts w:ascii="Calibri" w:eastAsia="Times New Roman" w:hAnsi="Calibri" w:cs="Calibri"/>
                <w:lang w:eastAsia="hr-HR"/>
              </w:rPr>
              <w:t>0</w:t>
            </w:r>
          </w:p>
        </w:tc>
        <w:tc>
          <w:tcPr>
            <w:tcW w:w="700" w:type="dxa"/>
            <w:tcBorders>
              <w:top w:val="nil"/>
              <w:left w:val="nil"/>
              <w:bottom w:val="single" w:sz="4" w:space="0" w:color="auto"/>
              <w:right w:val="single" w:sz="4" w:space="0" w:color="auto"/>
            </w:tcBorders>
            <w:shd w:val="clear" w:color="000000" w:fill="FFFF00"/>
            <w:vAlign w:val="center"/>
            <w:hideMark/>
          </w:tcPr>
          <w:p w14:paraId="6CF04672" w14:textId="77777777" w:rsidR="005F3233" w:rsidRPr="005F3233" w:rsidRDefault="005F3233" w:rsidP="005F3233">
            <w:pPr>
              <w:spacing w:after="0" w:line="240" w:lineRule="auto"/>
              <w:jc w:val="center"/>
              <w:rPr>
                <w:rFonts w:ascii="Calibri" w:eastAsia="Times New Roman" w:hAnsi="Calibri" w:cs="Calibri"/>
                <w:lang w:eastAsia="hr-HR"/>
              </w:rPr>
            </w:pPr>
            <w:r w:rsidRPr="005F3233">
              <w:rPr>
                <w:rFonts w:ascii="Calibri" w:eastAsia="Times New Roman" w:hAnsi="Calibri" w:cs="Calibri"/>
                <w:lang w:eastAsia="hr-HR"/>
              </w:rPr>
              <w:t>2</w:t>
            </w:r>
          </w:p>
        </w:tc>
        <w:tc>
          <w:tcPr>
            <w:tcW w:w="434" w:type="dxa"/>
            <w:tcBorders>
              <w:top w:val="nil"/>
              <w:left w:val="nil"/>
              <w:bottom w:val="single" w:sz="4" w:space="0" w:color="auto"/>
              <w:right w:val="single" w:sz="4" w:space="0" w:color="auto"/>
            </w:tcBorders>
            <w:shd w:val="clear" w:color="000000" w:fill="FFFF00"/>
            <w:vAlign w:val="center"/>
            <w:hideMark/>
          </w:tcPr>
          <w:p w14:paraId="58CB6B57" w14:textId="77777777" w:rsidR="005F3233" w:rsidRPr="005F3233" w:rsidRDefault="005F3233" w:rsidP="005F3233">
            <w:pPr>
              <w:spacing w:after="0" w:line="240" w:lineRule="auto"/>
              <w:jc w:val="center"/>
              <w:rPr>
                <w:rFonts w:ascii="Calibri" w:eastAsia="Times New Roman" w:hAnsi="Calibri" w:cs="Calibri"/>
                <w:lang w:eastAsia="hr-HR"/>
              </w:rPr>
            </w:pPr>
            <w:r w:rsidRPr="005F3233">
              <w:rPr>
                <w:rFonts w:ascii="Calibri" w:eastAsia="Times New Roman" w:hAnsi="Calibri" w:cs="Calibri"/>
                <w:lang w:eastAsia="hr-HR"/>
              </w:rPr>
              <w:t>0</w:t>
            </w:r>
          </w:p>
        </w:tc>
        <w:tc>
          <w:tcPr>
            <w:tcW w:w="426" w:type="dxa"/>
            <w:tcBorders>
              <w:top w:val="nil"/>
              <w:left w:val="nil"/>
              <w:bottom w:val="single" w:sz="4" w:space="0" w:color="auto"/>
              <w:right w:val="single" w:sz="4" w:space="0" w:color="auto"/>
            </w:tcBorders>
            <w:shd w:val="clear" w:color="000000" w:fill="FFFF00"/>
            <w:vAlign w:val="center"/>
            <w:hideMark/>
          </w:tcPr>
          <w:p w14:paraId="0EE1C00D" w14:textId="77777777" w:rsidR="005F3233" w:rsidRPr="005F3233" w:rsidRDefault="005F3233" w:rsidP="005F3233">
            <w:pPr>
              <w:spacing w:after="0" w:line="240" w:lineRule="auto"/>
              <w:jc w:val="center"/>
              <w:rPr>
                <w:rFonts w:ascii="Calibri" w:eastAsia="Times New Roman" w:hAnsi="Calibri" w:cs="Calibri"/>
                <w:lang w:eastAsia="hr-HR"/>
              </w:rPr>
            </w:pPr>
            <w:r w:rsidRPr="005F3233">
              <w:rPr>
                <w:rFonts w:ascii="Calibri" w:eastAsia="Times New Roman" w:hAnsi="Calibri" w:cs="Calibri"/>
                <w:lang w:eastAsia="hr-HR"/>
              </w:rPr>
              <w:t>2</w:t>
            </w:r>
          </w:p>
        </w:tc>
        <w:tc>
          <w:tcPr>
            <w:tcW w:w="425" w:type="dxa"/>
            <w:tcBorders>
              <w:top w:val="nil"/>
              <w:left w:val="nil"/>
              <w:bottom w:val="single" w:sz="4" w:space="0" w:color="auto"/>
              <w:right w:val="single" w:sz="4" w:space="0" w:color="auto"/>
            </w:tcBorders>
            <w:shd w:val="clear" w:color="000000" w:fill="FFFF00"/>
            <w:vAlign w:val="center"/>
            <w:hideMark/>
          </w:tcPr>
          <w:p w14:paraId="0591653A" w14:textId="77777777" w:rsidR="005F3233" w:rsidRPr="005F3233" w:rsidRDefault="005F3233" w:rsidP="005F3233">
            <w:pPr>
              <w:spacing w:after="0" w:line="240" w:lineRule="auto"/>
              <w:jc w:val="center"/>
              <w:rPr>
                <w:rFonts w:ascii="Calibri" w:eastAsia="Times New Roman" w:hAnsi="Calibri" w:cs="Calibri"/>
                <w:lang w:eastAsia="hr-HR"/>
              </w:rPr>
            </w:pPr>
            <w:r w:rsidRPr="005F3233">
              <w:rPr>
                <w:rFonts w:ascii="Calibri" w:eastAsia="Times New Roman" w:hAnsi="Calibri" w:cs="Calibri"/>
                <w:lang w:eastAsia="hr-HR"/>
              </w:rPr>
              <w:t>0</w:t>
            </w:r>
          </w:p>
        </w:tc>
        <w:tc>
          <w:tcPr>
            <w:tcW w:w="442" w:type="dxa"/>
            <w:tcBorders>
              <w:top w:val="nil"/>
              <w:left w:val="nil"/>
              <w:bottom w:val="single" w:sz="4" w:space="0" w:color="auto"/>
              <w:right w:val="single" w:sz="4" w:space="0" w:color="auto"/>
            </w:tcBorders>
            <w:shd w:val="clear" w:color="000000" w:fill="FFFF00"/>
            <w:vAlign w:val="center"/>
            <w:hideMark/>
          </w:tcPr>
          <w:p w14:paraId="35E525E2" w14:textId="77777777" w:rsidR="005F3233" w:rsidRPr="005F3233" w:rsidRDefault="005F3233" w:rsidP="005F3233">
            <w:pPr>
              <w:spacing w:after="0" w:line="240" w:lineRule="auto"/>
              <w:jc w:val="center"/>
              <w:rPr>
                <w:rFonts w:ascii="Calibri" w:eastAsia="Times New Roman" w:hAnsi="Calibri" w:cs="Calibri"/>
                <w:lang w:eastAsia="hr-HR"/>
              </w:rPr>
            </w:pPr>
            <w:r w:rsidRPr="005F3233">
              <w:rPr>
                <w:rFonts w:ascii="Calibri" w:eastAsia="Times New Roman" w:hAnsi="Calibri" w:cs="Calibri"/>
                <w:lang w:eastAsia="hr-HR"/>
              </w:rPr>
              <w:t>1</w:t>
            </w:r>
          </w:p>
        </w:tc>
        <w:tc>
          <w:tcPr>
            <w:tcW w:w="451" w:type="dxa"/>
            <w:tcBorders>
              <w:top w:val="nil"/>
              <w:left w:val="nil"/>
              <w:bottom w:val="single" w:sz="4" w:space="0" w:color="auto"/>
              <w:right w:val="single" w:sz="4" w:space="0" w:color="auto"/>
            </w:tcBorders>
            <w:shd w:val="clear" w:color="000000" w:fill="FFFF00"/>
            <w:vAlign w:val="center"/>
            <w:hideMark/>
          </w:tcPr>
          <w:p w14:paraId="32EB1157" w14:textId="77777777" w:rsidR="005F3233" w:rsidRPr="005F3233" w:rsidRDefault="005F3233" w:rsidP="005F3233">
            <w:pPr>
              <w:spacing w:after="0" w:line="240" w:lineRule="auto"/>
              <w:jc w:val="center"/>
              <w:rPr>
                <w:rFonts w:ascii="Calibri" w:eastAsia="Times New Roman" w:hAnsi="Calibri" w:cs="Calibri"/>
                <w:lang w:eastAsia="hr-HR"/>
              </w:rPr>
            </w:pPr>
            <w:r w:rsidRPr="005F3233">
              <w:rPr>
                <w:rFonts w:ascii="Calibri" w:eastAsia="Times New Roman" w:hAnsi="Calibri" w:cs="Calibri"/>
                <w:lang w:eastAsia="hr-HR"/>
              </w:rPr>
              <w:t>3</w:t>
            </w:r>
          </w:p>
        </w:tc>
        <w:tc>
          <w:tcPr>
            <w:tcW w:w="383" w:type="dxa"/>
            <w:gridSpan w:val="2"/>
            <w:tcBorders>
              <w:top w:val="nil"/>
              <w:left w:val="nil"/>
              <w:bottom w:val="single" w:sz="4" w:space="0" w:color="auto"/>
              <w:right w:val="single" w:sz="4" w:space="0" w:color="auto"/>
            </w:tcBorders>
            <w:shd w:val="clear" w:color="000000" w:fill="FFFF00"/>
            <w:vAlign w:val="center"/>
            <w:hideMark/>
          </w:tcPr>
          <w:p w14:paraId="7F04FFF5" w14:textId="77777777" w:rsidR="005F3233" w:rsidRPr="005F3233" w:rsidRDefault="005F3233" w:rsidP="005F3233">
            <w:pPr>
              <w:spacing w:after="0" w:line="240" w:lineRule="auto"/>
              <w:jc w:val="center"/>
              <w:rPr>
                <w:rFonts w:ascii="Calibri" w:eastAsia="Times New Roman" w:hAnsi="Calibri" w:cs="Calibri"/>
                <w:lang w:eastAsia="hr-HR"/>
              </w:rPr>
            </w:pPr>
            <w:r w:rsidRPr="005F3233">
              <w:rPr>
                <w:rFonts w:ascii="Calibri" w:eastAsia="Times New Roman" w:hAnsi="Calibri" w:cs="Calibri"/>
                <w:lang w:eastAsia="hr-HR"/>
              </w:rPr>
              <w:t>0</w:t>
            </w:r>
          </w:p>
        </w:tc>
        <w:tc>
          <w:tcPr>
            <w:tcW w:w="392" w:type="dxa"/>
            <w:tcBorders>
              <w:top w:val="nil"/>
              <w:left w:val="nil"/>
              <w:bottom w:val="single" w:sz="4" w:space="0" w:color="auto"/>
              <w:right w:val="single" w:sz="4" w:space="0" w:color="auto"/>
            </w:tcBorders>
            <w:shd w:val="clear" w:color="000000" w:fill="FFFF00"/>
            <w:vAlign w:val="center"/>
            <w:hideMark/>
          </w:tcPr>
          <w:p w14:paraId="7DDC5389" w14:textId="77777777" w:rsidR="005F3233" w:rsidRPr="005F3233" w:rsidRDefault="005F3233" w:rsidP="005F3233">
            <w:pPr>
              <w:spacing w:after="0" w:line="240" w:lineRule="auto"/>
              <w:jc w:val="center"/>
              <w:rPr>
                <w:rFonts w:ascii="Calibri" w:eastAsia="Times New Roman" w:hAnsi="Calibri" w:cs="Calibri"/>
                <w:lang w:eastAsia="hr-HR"/>
              </w:rPr>
            </w:pPr>
            <w:r w:rsidRPr="005F3233">
              <w:rPr>
                <w:rFonts w:ascii="Calibri" w:eastAsia="Times New Roman" w:hAnsi="Calibri" w:cs="Calibri"/>
                <w:lang w:eastAsia="hr-HR"/>
              </w:rPr>
              <w:t>1</w:t>
            </w:r>
          </w:p>
        </w:tc>
        <w:tc>
          <w:tcPr>
            <w:tcW w:w="400" w:type="dxa"/>
            <w:tcBorders>
              <w:top w:val="nil"/>
              <w:left w:val="nil"/>
              <w:bottom w:val="single" w:sz="4" w:space="0" w:color="auto"/>
              <w:right w:val="single" w:sz="4" w:space="0" w:color="auto"/>
            </w:tcBorders>
            <w:shd w:val="clear" w:color="000000" w:fill="FFFF00"/>
            <w:vAlign w:val="center"/>
            <w:hideMark/>
          </w:tcPr>
          <w:p w14:paraId="087DA097" w14:textId="77777777" w:rsidR="005F3233" w:rsidRPr="005F3233" w:rsidRDefault="005F3233" w:rsidP="005F3233">
            <w:pPr>
              <w:spacing w:after="0" w:line="240" w:lineRule="auto"/>
              <w:jc w:val="center"/>
              <w:rPr>
                <w:rFonts w:ascii="Calibri" w:eastAsia="Times New Roman" w:hAnsi="Calibri" w:cs="Calibri"/>
                <w:lang w:eastAsia="hr-HR"/>
              </w:rPr>
            </w:pPr>
            <w:r w:rsidRPr="005F3233">
              <w:rPr>
                <w:rFonts w:ascii="Calibri" w:eastAsia="Times New Roman" w:hAnsi="Calibri" w:cs="Calibri"/>
                <w:lang w:eastAsia="hr-HR"/>
              </w:rPr>
              <w:t>1</w:t>
            </w:r>
          </w:p>
        </w:tc>
        <w:tc>
          <w:tcPr>
            <w:tcW w:w="409" w:type="dxa"/>
            <w:tcBorders>
              <w:top w:val="nil"/>
              <w:left w:val="nil"/>
              <w:bottom w:val="single" w:sz="4" w:space="0" w:color="auto"/>
              <w:right w:val="single" w:sz="4" w:space="0" w:color="auto"/>
            </w:tcBorders>
            <w:shd w:val="clear" w:color="000000" w:fill="FFFF00"/>
            <w:vAlign w:val="center"/>
            <w:hideMark/>
          </w:tcPr>
          <w:p w14:paraId="56867109" w14:textId="77777777" w:rsidR="005F3233" w:rsidRPr="005F3233" w:rsidRDefault="005F3233" w:rsidP="005F3233">
            <w:pPr>
              <w:spacing w:after="0" w:line="240" w:lineRule="auto"/>
              <w:jc w:val="center"/>
              <w:rPr>
                <w:rFonts w:ascii="Calibri" w:eastAsia="Times New Roman" w:hAnsi="Calibri" w:cs="Calibri"/>
                <w:lang w:eastAsia="hr-HR"/>
              </w:rPr>
            </w:pPr>
            <w:r w:rsidRPr="005F3233">
              <w:rPr>
                <w:rFonts w:ascii="Calibri" w:eastAsia="Times New Roman" w:hAnsi="Calibri" w:cs="Calibri"/>
                <w:lang w:eastAsia="hr-HR"/>
              </w:rPr>
              <w:t>2</w:t>
            </w:r>
          </w:p>
        </w:tc>
        <w:tc>
          <w:tcPr>
            <w:tcW w:w="499" w:type="dxa"/>
            <w:gridSpan w:val="2"/>
            <w:tcBorders>
              <w:top w:val="nil"/>
              <w:left w:val="nil"/>
              <w:bottom w:val="single" w:sz="4" w:space="0" w:color="auto"/>
              <w:right w:val="single" w:sz="4" w:space="0" w:color="auto"/>
            </w:tcBorders>
            <w:shd w:val="clear" w:color="000000" w:fill="FFFF00"/>
            <w:vAlign w:val="center"/>
            <w:hideMark/>
          </w:tcPr>
          <w:p w14:paraId="7EAB383D" w14:textId="77777777" w:rsidR="005F3233" w:rsidRPr="005F3233" w:rsidRDefault="005F3233" w:rsidP="005F3233">
            <w:pPr>
              <w:spacing w:after="0" w:line="240" w:lineRule="auto"/>
              <w:jc w:val="center"/>
              <w:rPr>
                <w:rFonts w:ascii="Calibri" w:eastAsia="Times New Roman" w:hAnsi="Calibri" w:cs="Calibri"/>
                <w:lang w:eastAsia="hr-HR"/>
              </w:rPr>
            </w:pPr>
            <w:r w:rsidRPr="005F3233">
              <w:rPr>
                <w:rFonts w:ascii="Calibri" w:eastAsia="Times New Roman" w:hAnsi="Calibri" w:cs="Calibri"/>
                <w:lang w:eastAsia="hr-HR"/>
              </w:rPr>
              <w:t>9</w:t>
            </w:r>
          </w:p>
        </w:tc>
        <w:tc>
          <w:tcPr>
            <w:tcW w:w="567" w:type="dxa"/>
            <w:tcBorders>
              <w:top w:val="nil"/>
              <w:left w:val="nil"/>
              <w:bottom w:val="single" w:sz="4" w:space="0" w:color="auto"/>
              <w:right w:val="single" w:sz="4" w:space="0" w:color="auto"/>
            </w:tcBorders>
            <w:shd w:val="clear" w:color="000000" w:fill="FFFF00"/>
            <w:vAlign w:val="center"/>
            <w:hideMark/>
          </w:tcPr>
          <w:p w14:paraId="0999716D" w14:textId="77777777" w:rsidR="005F3233" w:rsidRPr="005F3233" w:rsidRDefault="005F3233" w:rsidP="005F3233">
            <w:pPr>
              <w:spacing w:after="0" w:line="240" w:lineRule="auto"/>
              <w:jc w:val="center"/>
              <w:rPr>
                <w:rFonts w:ascii="Calibri" w:eastAsia="Times New Roman" w:hAnsi="Calibri" w:cs="Calibri"/>
                <w:lang w:eastAsia="hr-HR"/>
              </w:rPr>
            </w:pPr>
            <w:r w:rsidRPr="005F3233">
              <w:rPr>
                <w:rFonts w:ascii="Calibri" w:eastAsia="Times New Roman" w:hAnsi="Calibri" w:cs="Calibri"/>
                <w:lang w:eastAsia="hr-HR"/>
              </w:rPr>
              <w:t>2</w:t>
            </w:r>
          </w:p>
        </w:tc>
        <w:tc>
          <w:tcPr>
            <w:tcW w:w="425" w:type="dxa"/>
            <w:gridSpan w:val="2"/>
            <w:tcBorders>
              <w:top w:val="nil"/>
              <w:left w:val="nil"/>
              <w:bottom w:val="single" w:sz="4" w:space="0" w:color="auto"/>
              <w:right w:val="single" w:sz="4" w:space="0" w:color="auto"/>
            </w:tcBorders>
            <w:shd w:val="clear" w:color="000000" w:fill="FFFF00"/>
            <w:vAlign w:val="center"/>
            <w:hideMark/>
          </w:tcPr>
          <w:p w14:paraId="5EA12069" w14:textId="77777777" w:rsidR="005F3233" w:rsidRPr="005F3233" w:rsidRDefault="005F3233" w:rsidP="005F3233">
            <w:pPr>
              <w:spacing w:after="0" w:line="240" w:lineRule="auto"/>
              <w:jc w:val="center"/>
              <w:rPr>
                <w:rFonts w:ascii="Calibri" w:eastAsia="Times New Roman" w:hAnsi="Calibri" w:cs="Calibri"/>
                <w:lang w:eastAsia="hr-HR"/>
              </w:rPr>
            </w:pPr>
            <w:r w:rsidRPr="005F3233">
              <w:rPr>
                <w:rFonts w:ascii="Calibri" w:eastAsia="Times New Roman" w:hAnsi="Calibri" w:cs="Calibri"/>
                <w:lang w:eastAsia="hr-HR"/>
              </w:rPr>
              <w:t>0</w:t>
            </w:r>
          </w:p>
        </w:tc>
        <w:tc>
          <w:tcPr>
            <w:tcW w:w="434" w:type="dxa"/>
            <w:gridSpan w:val="2"/>
            <w:tcBorders>
              <w:top w:val="nil"/>
              <w:left w:val="nil"/>
              <w:bottom w:val="single" w:sz="4" w:space="0" w:color="auto"/>
              <w:right w:val="single" w:sz="4" w:space="0" w:color="auto"/>
            </w:tcBorders>
            <w:shd w:val="clear" w:color="000000" w:fill="FFFF00"/>
            <w:vAlign w:val="center"/>
            <w:hideMark/>
          </w:tcPr>
          <w:p w14:paraId="666556BA" w14:textId="77777777" w:rsidR="005F3233" w:rsidRPr="005F3233" w:rsidRDefault="005F3233" w:rsidP="005F3233">
            <w:pPr>
              <w:spacing w:after="0" w:line="240" w:lineRule="auto"/>
              <w:jc w:val="center"/>
              <w:rPr>
                <w:rFonts w:ascii="Calibri" w:eastAsia="Times New Roman" w:hAnsi="Calibri" w:cs="Calibri"/>
                <w:lang w:eastAsia="hr-HR"/>
              </w:rPr>
            </w:pPr>
            <w:r w:rsidRPr="005F3233">
              <w:rPr>
                <w:rFonts w:ascii="Calibri" w:eastAsia="Times New Roman" w:hAnsi="Calibri" w:cs="Calibri"/>
                <w:lang w:eastAsia="hr-HR"/>
              </w:rPr>
              <w:t>0</w:t>
            </w:r>
          </w:p>
        </w:tc>
        <w:tc>
          <w:tcPr>
            <w:tcW w:w="417" w:type="dxa"/>
            <w:tcBorders>
              <w:top w:val="nil"/>
              <w:left w:val="nil"/>
              <w:bottom w:val="single" w:sz="4" w:space="0" w:color="auto"/>
              <w:right w:val="single" w:sz="4" w:space="0" w:color="auto"/>
            </w:tcBorders>
            <w:shd w:val="clear" w:color="000000" w:fill="FFFF00"/>
            <w:vAlign w:val="center"/>
            <w:hideMark/>
          </w:tcPr>
          <w:p w14:paraId="58BCFDB4" w14:textId="77777777" w:rsidR="005F3233" w:rsidRPr="005F3233" w:rsidRDefault="005F3233" w:rsidP="005F3233">
            <w:pPr>
              <w:spacing w:after="0" w:line="240" w:lineRule="auto"/>
              <w:jc w:val="center"/>
              <w:rPr>
                <w:rFonts w:ascii="Calibri" w:eastAsia="Times New Roman" w:hAnsi="Calibri" w:cs="Calibri"/>
                <w:lang w:eastAsia="hr-HR"/>
              </w:rPr>
            </w:pPr>
            <w:r w:rsidRPr="005F3233">
              <w:rPr>
                <w:rFonts w:ascii="Calibri" w:eastAsia="Times New Roman" w:hAnsi="Calibri" w:cs="Calibri"/>
                <w:lang w:eastAsia="hr-HR"/>
              </w:rPr>
              <w:t>1</w:t>
            </w:r>
          </w:p>
        </w:tc>
        <w:tc>
          <w:tcPr>
            <w:tcW w:w="425" w:type="dxa"/>
            <w:gridSpan w:val="3"/>
            <w:tcBorders>
              <w:top w:val="nil"/>
              <w:left w:val="nil"/>
              <w:bottom w:val="single" w:sz="4" w:space="0" w:color="auto"/>
              <w:right w:val="single" w:sz="4" w:space="0" w:color="auto"/>
            </w:tcBorders>
            <w:shd w:val="clear" w:color="000000" w:fill="FFFF00"/>
            <w:vAlign w:val="center"/>
            <w:hideMark/>
          </w:tcPr>
          <w:p w14:paraId="655DBDF3" w14:textId="77777777" w:rsidR="005F3233" w:rsidRPr="005F3233" w:rsidRDefault="005F3233" w:rsidP="005F3233">
            <w:pPr>
              <w:spacing w:after="0" w:line="240" w:lineRule="auto"/>
              <w:jc w:val="center"/>
              <w:rPr>
                <w:rFonts w:ascii="Calibri" w:eastAsia="Times New Roman" w:hAnsi="Calibri" w:cs="Calibri"/>
                <w:lang w:eastAsia="hr-HR"/>
              </w:rPr>
            </w:pPr>
            <w:r w:rsidRPr="005F3233">
              <w:rPr>
                <w:rFonts w:ascii="Calibri" w:eastAsia="Times New Roman" w:hAnsi="Calibri" w:cs="Calibri"/>
                <w:lang w:eastAsia="hr-HR"/>
              </w:rPr>
              <w:t>2</w:t>
            </w:r>
          </w:p>
        </w:tc>
        <w:tc>
          <w:tcPr>
            <w:tcW w:w="569" w:type="dxa"/>
            <w:gridSpan w:val="2"/>
            <w:tcBorders>
              <w:top w:val="nil"/>
              <w:left w:val="nil"/>
              <w:bottom w:val="single" w:sz="4" w:space="0" w:color="auto"/>
              <w:right w:val="single" w:sz="4" w:space="0" w:color="auto"/>
            </w:tcBorders>
            <w:shd w:val="clear" w:color="000000" w:fill="FFFF00"/>
            <w:vAlign w:val="center"/>
            <w:hideMark/>
          </w:tcPr>
          <w:p w14:paraId="584D1221" w14:textId="77777777" w:rsidR="005F3233" w:rsidRPr="005F3233" w:rsidRDefault="005F3233" w:rsidP="005F3233">
            <w:pPr>
              <w:spacing w:after="0" w:line="240" w:lineRule="auto"/>
              <w:jc w:val="center"/>
              <w:rPr>
                <w:rFonts w:ascii="Calibri" w:eastAsia="Times New Roman" w:hAnsi="Calibri" w:cs="Calibri"/>
                <w:lang w:eastAsia="hr-HR"/>
              </w:rPr>
            </w:pPr>
            <w:r w:rsidRPr="005F3233">
              <w:rPr>
                <w:rFonts w:ascii="Calibri" w:eastAsia="Times New Roman" w:hAnsi="Calibri" w:cs="Calibri"/>
                <w:lang w:eastAsia="hr-HR"/>
              </w:rPr>
              <w:t>1</w:t>
            </w:r>
          </w:p>
        </w:tc>
        <w:tc>
          <w:tcPr>
            <w:tcW w:w="236" w:type="dxa"/>
            <w:gridSpan w:val="3"/>
            <w:vAlign w:val="center"/>
            <w:hideMark/>
          </w:tcPr>
          <w:p w14:paraId="1FBD69B0" w14:textId="77777777" w:rsidR="005F3233" w:rsidRPr="005F3233" w:rsidRDefault="005F3233" w:rsidP="005F3233">
            <w:pPr>
              <w:spacing w:after="0" w:line="240" w:lineRule="auto"/>
              <w:rPr>
                <w:rFonts w:ascii="Times New Roman" w:eastAsia="Times New Roman" w:hAnsi="Times New Roman" w:cs="Times New Roman"/>
                <w:sz w:val="20"/>
                <w:szCs w:val="20"/>
                <w:lang w:eastAsia="hr-HR"/>
              </w:rPr>
            </w:pPr>
          </w:p>
        </w:tc>
      </w:tr>
      <w:tr w:rsidR="005F3233" w:rsidRPr="005F3233" w14:paraId="22834513" w14:textId="77777777" w:rsidTr="000271A1">
        <w:trPr>
          <w:gridAfter w:val="1"/>
          <w:wAfter w:w="10" w:type="dxa"/>
          <w:trHeight w:val="300"/>
        </w:trPr>
        <w:tc>
          <w:tcPr>
            <w:tcW w:w="13598" w:type="dxa"/>
            <w:gridSpan w:val="29"/>
            <w:tcBorders>
              <w:top w:val="nil"/>
              <w:left w:val="nil"/>
              <w:bottom w:val="nil"/>
              <w:right w:val="nil"/>
            </w:tcBorders>
            <w:vAlign w:val="center"/>
            <w:hideMark/>
          </w:tcPr>
          <w:p w14:paraId="5B5B386B" w14:textId="77777777" w:rsidR="005F3233" w:rsidRPr="005F3233" w:rsidRDefault="005F3233" w:rsidP="005F3233">
            <w:pPr>
              <w:spacing w:after="0" w:line="240" w:lineRule="auto"/>
              <w:rPr>
                <w:rFonts w:ascii="Calibri" w:eastAsia="Times New Roman" w:hAnsi="Calibri" w:cs="Calibri"/>
                <w:color w:val="000000"/>
                <w:lang w:eastAsia="hr-HR"/>
              </w:rPr>
            </w:pPr>
          </w:p>
        </w:tc>
        <w:tc>
          <w:tcPr>
            <w:tcW w:w="445" w:type="dxa"/>
            <w:gridSpan w:val="2"/>
            <w:tcBorders>
              <w:top w:val="nil"/>
              <w:left w:val="nil"/>
              <w:bottom w:val="nil"/>
              <w:right w:val="nil"/>
            </w:tcBorders>
            <w:shd w:val="clear" w:color="auto" w:fill="auto"/>
            <w:noWrap/>
            <w:vAlign w:val="bottom"/>
            <w:hideMark/>
          </w:tcPr>
          <w:p w14:paraId="55904ABE" w14:textId="77777777" w:rsidR="005F3233" w:rsidRPr="005F3233" w:rsidRDefault="005F3233" w:rsidP="005F3233">
            <w:pPr>
              <w:spacing w:after="0" w:line="240" w:lineRule="auto"/>
              <w:rPr>
                <w:rFonts w:ascii="Times New Roman" w:eastAsia="Times New Roman" w:hAnsi="Times New Roman" w:cs="Times New Roman"/>
                <w:sz w:val="20"/>
                <w:szCs w:val="20"/>
                <w:lang w:eastAsia="hr-HR"/>
              </w:rPr>
            </w:pPr>
          </w:p>
        </w:tc>
        <w:tc>
          <w:tcPr>
            <w:tcW w:w="574" w:type="dxa"/>
            <w:gridSpan w:val="3"/>
            <w:tcBorders>
              <w:top w:val="nil"/>
              <w:left w:val="nil"/>
              <w:bottom w:val="nil"/>
              <w:right w:val="nil"/>
            </w:tcBorders>
            <w:shd w:val="clear" w:color="auto" w:fill="auto"/>
            <w:noWrap/>
            <w:vAlign w:val="bottom"/>
            <w:hideMark/>
          </w:tcPr>
          <w:p w14:paraId="1B904E1E" w14:textId="77777777" w:rsidR="005F3233" w:rsidRPr="005F3233" w:rsidRDefault="005F3233" w:rsidP="005F3233">
            <w:pPr>
              <w:spacing w:after="0" w:line="240" w:lineRule="auto"/>
              <w:rPr>
                <w:rFonts w:ascii="Times New Roman" w:eastAsia="Times New Roman" w:hAnsi="Times New Roman" w:cs="Times New Roman"/>
                <w:sz w:val="20"/>
                <w:szCs w:val="20"/>
                <w:lang w:eastAsia="hr-HR"/>
              </w:rPr>
            </w:pPr>
          </w:p>
        </w:tc>
        <w:tc>
          <w:tcPr>
            <w:tcW w:w="322" w:type="dxa"/>
            <w:tcBorders>
              <w:top w:val="nil"/>
              <w:left w:val="nil"/>
              <w:bottom w:val="nil"/>
              <w:right w:val="nil"/>
            </w:tcBorders>
            <w:shd w:val="clear" w:color="auto" w:fill="auto"/>
            <w:noWrap/>
            <w:vAlign w:val="bottom"/>
            <w:hideMark/>
          </w:tcPr>
          <w:p w14:paraId="0A118861" w14:textId="77777777" w:rsidR="005F3233" w:rsidRPr="005F3233" w:rsidRDefault="005F3233" w:rsidP="005F3233">
            <w:pPr>
              <w:spacing w:after="0" w:line="240" w:lineRule="auto"/>
              <w:rPr>
                <w:rFonts w:ascii="Times New Roman" w:eastAsia="Times New Roman" w:hAnsi="Times New Roman" w:cs="Times New Roman"/>
                <w:sz w:val="20"/>
                <w:szCs w:val="20"/>
                <w:lang w:eastAsia="hr-HR"/>
              </w:rPr>
            </w:pPr>
          </w:p>
        </w:tc>
        <w:tc>
          <w:tcPr>
            <w:tcW w:w="444" w:type="dxa"/>
            <w:gridSpan w:val="2"/>
            <w:tcBorders>
              <w:top w:val="nil"/>
              <w:left w:val="nil"/>
              <w:bottom w:val="nil"/>
              <w:right w:val="nil"/>
            </w:tcBorders>
            <w:shd w:val="clear" w:color="auto" w:fill="auto"/>
            <w:noWrap/>
            <w:vAlign w:val="bottom"/>
            <w:hideMark/>
          </w:tcPr>
          <w:p w14:paraId="5DA99C8C" w14:textId="77777777" w:rsidR="005F3233" w:rsidRPr="005F3233" w:rsidRDefault="005F3233" w:rsidP="005F3233">
            <w:pPr>
              <w:spacing w:after="0" w:line="240" w:lineRule="auto"/>
              <w:rPr>
                <w:rFonts w:ascii="Times New Roman" w:eastAsia="Times New Roman" w:hAnsi="Times New Roman" w:cs="Times New Roman"/>
                <w:sz w:val="20"/>
                <w:szCs w:val="20"/>
                <w:lang w:eastAsia="hr-HR"/>
              </w:rPr>
            </w:pPr>
          </w:p>
        </w:tc>
        <w:tc>
          <w:tcPr>
            <w:tcW w:w="399" w:type="dxa"/>
            <w:gridSpan w:val="3"/>
            <w:tcBorders>
              <w:top w:val="nil"/>
              <w:left w:val="nil"/>
              <w:bottom w:val="nil"/>
              <w:right w:val="nil"/>
            </w:tcBorders>
            <w:shd w:val="clear" w:color="auto" w:fill="auto"/>
            <w:noWrap/>
            <w:vAlign w:val="bottom"/>
            <w:hideMark/>
          </w:tcPr>
          <w:p w14:paraId="4EE78040" w14:textId="77777777" w:rsidR="005F3233" w:rsidRPr="005F3233" w:rsidRDefault="005F3233" w:rsidP="005F3233">
            <w:pPr>
              <w:spacing w:after="0" w:line="240" w:lineRule="auto"/>
              <w:rPr>
                <w:rFonts w:ascii="Times New Roman" w:eastAsia="Times New Roman" w:hAnsi="Times New Roman" w:cs="Times New Roman"/>
                <w:sz w:val="20"/>
                <w:szCs w:val="20"/>
                <w:lang w:eastAsia="hr-HR"/>
              </w:rPr>
            </w:pPr>
          </w:p>
        </w:tc>
        <w:tc>
          <w:tcPr>
            <w:tcW w:w="244" w:type="dxa"/>
            <w:gridSpan w:val="2"/>
            <w:vAlign w:val="center"/>
            <w:hideMark/>
          </w:tcPr>
          <w:p w14:paraId="222FE57A" w14:textId="77777777" w:rsidR="005F3233" w:rsidRPr="005F3233" w:rsidRDefault="005F3233" w:rsidP="005F3233">
            <w:pPr>
              <w:spacing w:after="0" w:line="240" w:lineRule="auto"/>
              <w:rPr>
                <w:rFonts w:ascii="Times New Roman" w:eastAsia="Times New Roman" w:hAnsi="Times New Roman" w:cs="Times New Roman"/>
                <w:sz w:val="20"/>
                <w:szCs w:val="20"/>
                <w:lang w:eastAsia="hr-HR"/>
              </w:rPr>
            </w:pPr>
          </w:p>
        </w:tc>
      </w:tr>
    </w:tbl>
    <w:p w14:paraId="19961F7B" w14:textId="77777777" w:rsidR="005F3233" w:rsidRDefault="005F3233" w:rsidP="005F3233">
      <w:pPr>
        <w:rPr>
          <w:rFonts w:ascii="Times New Roman" w:eastAsiaTheme="majorEastAsia" w:hAnsi="Times New Roman" w:cs="Times New Roman"/>
          <w:sz w:val="24"/>
          <w:szCs w:val="24"/>
        </w:rPr>
      </w:pPr>
      <w:r>
        <w:rPr>
          <w:rFonts w:ascii="Times New Roman" w:eastAsiaTheme="majorEastAsia" w:hAnsi="Times New Roman" w:cs="Times New Roman"/>
          <w:sz w:val="24"/>
          <w:szCs w:val="24"/>
        </w:rPr>
        <w:t xml:space="preserve">NAPOMENE: </w:t>
      </w:r>
    </w:p>
    <w:p w14:paraId="083B5426" w14:textId="4B402293" w:rsidR="005F3233" w:rsidRPr="005F3233" w:rsidRDefault="005F3233" w:rsidP="00FB05F1">
      <w:pPr>
        <w:pStyle w:val="Odlomakpopisa"/>
        <w:numPr>
          <w:ilvl w:val="0"/>
          <w:numId w:val="9"/>
        </w:numPr>
        <w:rPr>
          <w:rFonts w:ascii="Times New Roman" w:eastAsiaTheme="majorEastAsia" w:hAnsi="Times New Roman" w:cs="Times New Roman"/>
          <w:sz w:val="24"/>
          <w:szCs w:val="24"/>
        </w:rPr>
      </w:pPr>
      <w:r w:rsidRPr="005F3233">
        <w:rPr>
          <w:rFonts w:ascii="Calibri" w:eastAsia="Times New Roman" w:hAnsi="Calibri" w:cs="Calibri"/>
          <w:color w:val="000000"/>
          <w:lang w:eastAsia="hr-HR"/>
        </w:rPr>
        <w:t>Za pojedine primljene predmete nije bilo moguće prikazati broj i spol diskriminiranih osoba prema optužnom aktu jer se radilo o skupini ljudi</w:t>
      </w:r>
    </w:p>
    <w:p w14:paraId="767B41D5" w14:textId="1BC852BD" w:rsidR="005F3233" w:rsidRPr="005E671C" w:rsidRDefault="005F3233" w:rsidP="00FB05F1">
      <w:pPr>
        <w:pStyle w:val="Odlomakpopisa"/>
        <w:numPr>
          <w:ilvl w:val="0"/>
          <w:numId w:val="9"/>
        </w:numPr>
        <w:rPr>
          <w:rFonts w:ascii="Times New Roman" w:eastAsiaTheme="majorEastAsia" w:hAnsi="Times New Roman" w:cs="Times New Roman"/>
          <w:sz w:val="24"/>
          <w:szCs w:val="24"/>
        </w:rPr>
      </w:pPr>
      <w:r w:rsidRPr="005F3233">
        <w:rPr>
          <w:rFonts w:ascii="Calibri" w:eastAsia="Times New Roman" w:hAnsi="Calibri" w:cs="Calibri"/>
          <w:color w:val="000000"/>
          <w:lang w:eastAsia="hr-HR"/>
        </w:rPr>
        <w:t>. Za pojedine predmete koji su se u ranijim razdobljima iskazivali kao diskriminacija naknadno je utvrđeno da se ne radi o diskriminaciji te se zat</w:t>
      </w:r>
      <w:r>
        <w:rPr>
          <w:rFonts w:ascii="Calibri" w:eastAsia="Times New Roman" w:hAnsi="Calibri" w:cs="Calibri"/>
          <w:color w:val="000000"/>
          <w:lang w:eastAsia="hr-HR"/>
        </w:rPr>
        <w:t xml:space="preserve">o </w:t>
      </w:r>
      <w:r w:rsidRPr="005F3233">
        <w:rPr>
          <w:rFonts w:ascii="Calibri" w:eastAsia="Times New Roman" w:hAnsi="Calibri" w:cs="Calibri"/>
          <w:color w:val="000000"/>
          <w:lang w:eastAsia="hr-HR"/>
        </w:rPr>
        <w:t>stanje na početku 2015. godine ne poklapa sa stanjem na kraju 2014. godine</w:t>
      </w:r>
    </w:p>
    <w:p w14:paraId="6F1ADD8C" w14:textId="5C7598A5" w:rsidR="005E671C" w:rsidRDefault="005E671C" w:rsidP="005E671C">
      <w:pPr>
        <w:rPr>
          <w:rFonts w:ascii="Times New Roman" w:eastAsiaTheme="majorEastAsia" w:hAnsi="Times New Roman" w:cs="Times New Roman"/>
          <w:sz w:val="24"/>
          <w:szCs w:val="24"/>
        </w:rPr>
      </w:pPr>
    </w:p>
    <w:p w14:paraId="266DCAE2" w14:textId="5D0D0AE1" w:rsidR="005E671C" w:rsidRDefault="005E671C" w:rsidP="005E671C">
      <w:pPr>
        <w:rPr>
          <w:rFonts w:ascii="Times New Roman" w:eastAsiaTheme="majorEastAsia" w:hAnsi="Times New Roman" w:cs="Times New Roman"/>
          <w:sz w:val="24"/>
          <w:szCs w:val="24"/>
        </w:rPr>
      </w:pPr>
    </w:p>
    <w:p w14:paraId="58673E37" w14:textId="1904EA6A" w:rsidR="005E671C" w:rsidRDefault="005E671C" w:rsidP="005E671C">
      <w:pPr>
        <w:spacing w:after="0" w:line="240" w:lineRule="auto"/>
        <w:rPr>
          <w:rFonts w:ascii="Times New Roman" w:eastAsia="Times New Roman" w:hAnsi="Times New Roman" w:cs="Times New Roman"/>
          <w:b/>
          <w:bCs/>
          <w:sz w:val="24"/>
          <w:szCs w:val="24"/>
          <w:u w:val="single"/>
          <w:lang w:eastAsia="hr-HR"/>
        </w:rPr>
      </w:pPr>
    </w:p>
    <w:p w14:paraId="6CA1979B" w14:textId="0E4210DE" w:rsidR="001752B7" w:rsidRDefault="001752B7" w:rsidP="005E671C">
      <w:pPr>
        <w:spacing w:after="0" w:line="240" w:lineRule="auto"/>
        <w:rPr>
          <w:rFonts w:ascii="Times New Roman" w:eastAsia="Times New Roman" w:hAnsi="Times New Roman" w:cs="Times New Roman"/>
          <w:b/>
          <w:bCs/>
          <w:sz w:val="24"/>
          <w:szCs w:val="24"/>
          <w:u w:val="single"/>
          <w:lang w:eastAsia="hr-HR"/>
        </w:rPr>
      </w:pPr>
    </w:p>
    <w:p w14:paraId="178DDC5C" w14:textId="384B6261" w:rsidR="001752B7" w:rsidRDefault="001752B7" w:rsidP="005E671C">
      <w:pPr>
        <w:spacing w:after="0" w:line="240" w:lineRule="auto"/>
        <w:rPr>
          <w:rFonts w:ascii="Times New Roman" w:eastAsia="Times New Roman" w:hAnsi="Times New Roman" w:cs="Times New Roman"/>
          <w:b/>
          <w:bCs/>
          <w:sz w:val="24"/>
          <w:szCs w:val="24"/>
          <w:u w:val="single"/>
          <w:lang w:eastAsia="hr-HR"/>
        </w:rPr>
      </w:pPr>
    </w:p>
    <w:p w14:paraId="3F09FC7A" w14:textId="7D27BAF8" w:rsidR="001752B7" w:rsidRDefault="001752B7" w:rsidP="005E671C">
      <w:pPr>
        <w:spacing w:after="0" w:line="240" w:lineRule="auto"/>
        <w:rPr>
          <w:rFonts w:ascii="Times New Roman" w:eastAsia="Times New Roman" w:hAnsi="Times New Roman" w:cs="Times New Roman"/>
          <w:b/>
          <w:bCs/>
          <w:sz w:val="24"/>
          <w:szCs w:val="24"/>
          <w:u w:val="single"/>
          <w:lang w:eastAsia="hr-HR"/>
        </w:rPr>
      </w:pPr>
    </w:p>
    <w:p w14:paraId="783CB673" w14:textId="4C304B71" w:rsidR="001752B7" w:rsidRDefault="001752B7" w:rsidP="005E671C">
      <w:pPr>
        <w:spacing w:after="0" w:line="240" w:lineRule="auto"/>
        <w:rPr>
          <w:rFonts w:ascii="Times New Roman" w:eastAsia="Times New Roman" w:hAnsi="Times New Roman" w:cs="Times New Roman"/>
          <w:b/>
          <w:bCs/>
          <w:sz w:val="24"/>
          <w:szCs w:val="24"/>
          <w:u w:val="single"/>
          <w:lang w:eastAsia="hr-HR"/>
        </w:rPr>
      </w:pPr>
    </w:p>
    <w:p w14:paraId="73CB1D04" w14:textId="52252307" w:rsidR="001752B7" w:rsidRDefault="001752B7" w:rsidP="005E671C">
      <w:pPr>
        <w:spacing w:after="0" w:line="240" w:lineRule="auto"/>
        <w:rPr>
          <w:rFonts w:ascii="Times New Roman" w:eastAsia="Times New Roman" w:hAnsi="Times New Roman" w:cs="Times New Roman"/>
          <w:b/>
          <w:bCs/>
          <w:sz w:val="24"/>
          <w:szCs w:val="24"/>
          <w:u w:val="single"/>
          <w:lang w:eastAsia="hr-HR"/>
        </w:rPr>
      </w:pPr>
    </w:p>
    <w:p w14:paraId="75BDB80E" w14:textId="0A4ADC3D" w:rsidR="001752B7" w:rsidRDefault="001752B7" w:rsidP="005E671C">
      <w:pPr>
        <w:spacing w:after="0" w:line="240" w:lineRule="auto"/>
        <w:rPr>
          <w:rFonts w:ascii="Times New Roman" w:eastAsia="Times New Roman" w:hAnsi="Times New Roman" w:cs="Times New Roman"/>
          <w:b/>
          <w:bCs/>
          <w:sz w:val="24"/>
          <w:szCs w:val="24"/>
          <w:u w:val="single"/>
          <w:lang w:eastAsia="hr-HR"/>
        </w:rPr>
      </w:pPr>
    </w:p>
    <w:p w14:paraId="74EFBA0B" w14:textId="2BC12671" w:rsidR="001752B7" w:rsidRDefault="001752B7" w:rsidP="005E671C">
      <w:pPr>
        <w:spacing w:after="0" w:line="240" w:lineRule="auto"/>
        <w:rPr>
          <w:rFonts w:ascii="Times New Roman" w:eastAsia="Times New Roman" w:hAnsi="Times New Roman" w:cs="Times New Roman"/>
          <w:b/>
          <w:bCs/>
          <w:sz w:val="24"/>
          <w:szCs w:val="24"/>
          <w:u w:val="single"/>
          <w:lang w:eastAsia="hr-HR"/>
        </w:rPr>
      </w:pPr>
    </w:p>
    <w:p w14:paraId="2BEC8D00" w14:textId="2CEA0B93" w:rsidR="001752B7" w:rsidRDefault="001752B7" w:rsidP="005E671C">
      <w:pPr>
        <w:spacing w:after="0" w:line="240" w:lineRule="auto"/>
        <w:rPr>
          <w:rFonts w:ascii="Times New Roman" w:eastAsia="Times New Roman" w:hAnsi="Times New Roman" w:cs="Times New Roman"/>
          <w:b/>
          <w:bCs/>
          <w:sz w:val="24"/>
          <w:szCs w:val="24"/>
          <w:u w:val="single"/>
          <w:lang w:eastAsia="hr-HR"/>
        </w:rPr>
      </w:pPr>
    </w:p>
    <w:p w14:paraId="29CAC053" w14:textId="6240F349" w:rsidR="001752B7" w:rsidRDefault="001752B7" w:rsidP="005E671C">
      <w:pPr>
        <w:spacing w:after="0" w:line="240" w:lineRule="auto"/>
        <w:rPr>
          <w:rFonts w:ascii="Times New Roman" w:eastAsia="Times New Roman" w:hAnsi="Times New Roman" w:cs="Times New Roman"/>
          <w:b/>
          <w:bCs/>
          <w:sz w:val="24"/>
          <w:szCs w:val="24"/>
          <w:u w:val="single"/>
          <w:lang w:eastAsia="hr-HR"/>
        </w:rPr>
      </w:pPr>
    </w:p>
    <w:p w14:paraId="70C22E21" w14:textId="6470966E" w:rsidR="001752B7" w:rsidRDefault="001752B7" w:rsidP="005E671C">
      <w:pPr>
        <w:spacing w:after="0" w:line="240" w:lineRule="auto"/>
        <w:rPr>
          <w:rFonts w:ascii="Times New Roman" w:eastAsia="Times New Roman" w:hAnsi="Times New Roman" w:cs="Times New Roman"/>
          <w:b/>
          <w:bCs/>
          <w:sz w:val="24"/>
          <w:szCs w:val="24"/>
          <w:u w:val="single"/>
          <w:lang w:eastAsia="hr-HR"/>
        </w:rPr>
      </w:pPr>
    </w:p>
    <w:p w14:paraId="4E47F046" w14:textId="38D98000" w:rsidR="001752B7" w:rsidRDefault="001752B7" w:rsidP="005E671C">
      <w:pPr>
        <w:spacing w:after="0" w:line="240" w:lineRule="auto"/>
        <w:rPr>
          <w:rFonts w:ascii="Times New Roman" w:eastAsia="Times New Roman" w:hAnsi="Times New Roman" w:cs="Times New Roman"/>
          <w:b/>
          <w:bCs/>
          <w:sz w:val="24"/>
          <w:szCs w:val="24"/>
          <w:u w:val="single"/>
          <w:lang w:eastAsia="hr-HR"/>
        </w:rPr>
      </w:pPr>
    </w:p>
    <w:p w14:paraId="0B106049" w14:textId="77777777" w:rsidR="001752B7" w:rsidRPr="005E671C" w:rsidRDefault="001752B7" w:rsidP="005E671C">
      <w:pPr>
        <w:spacing w:after="0" w:line="240" w:lineRule="auto"/>
        <w:rPr>
          <w:rFonts w:ascii="Times New Roman" w:eastAsia="Times New Roman" w:hAnsi="Times New Roman" w:cs="Times New Roman"/>
          <w:b/>
          <w:bCs/>
          <w:sz w:val="24"/>
          <w:szCs w:val="24"/>
          <w:u w:val="single"/>
          <w:lang w:eastAsia="hr-HR"/>
        </w:rPr>
      </w:pPr>
    </w:p>
    <w:p w14:paraId="3B41FC83" w14:textId="77777777" w:rsidR="000271A1" w:rsidRDefault="000271A1">
      <w:pPr>
        <w:rPr>
          <w:rFonts w:ascii="Times New Roman" w:eastAsiaTheme="majorEastAsia" w:hAnsi="Times New Roman" w:cs="Times New Roman"/>
          <w:b/>
          <w:bCs/>
          <w:sz w:val="24"/>
          <w:szCs w:val="24"/>
          <w:u w:val="single"/>
        </w:rPr>
      </w:pPr>
      <w:r>
        <w:rPr>
          <w:rFonts w:ascii="Times New Roman" w:eastAsiaTheme="majorEastAsia" w:hAnsi="Times New Roman" w:cs="Times New Roman"/>
          <w:b/>
          <w:bCs/>
          <w:sz w:val="24"/>
          <w:szCs w:val="24"/>
          <w:u w:val="single"/>
        </w:rPr>
        <w:br w:type="page"/>
      </w:r>
    </w:p>
    <w:p w14:paraId="7A6B0C8C" w14:textId="3AE34104" w:rsidR="005E671C" w:rsidRDefault="005E671C" w:rsidP="005E671C">
      <w:pPr>
        <w:rPr>
          <w:rFonts w:ascii="Times New Roman" w:eastAsiaTheme="majorEastAsia" w:hAnsi="Times New Roman" w:cs="Times New Roman"/>
          <w:b/>
          <w:bCs/>
          <w:sz w:val="24"/>
          <w:szCs w:val="24"/>
          <w:u w:val="single"/>
        </w:rPr>
      </w:pPr>
      <w:r w:rsidRPr="005E671C">
        <w:rPr>
          <w:rFonts w:ascii="Times New Roman" w:eastAsiaTheme="majorEastAsia" w:hAnsi="Times New Roman" w:cs="Times New Roman"/>
          <w:b/>
          <w:bCs/>
          <w:sz w:val="24"/>
          <w:szCs w:val="24"/>
          <w:u w:val="single"/>
        </w:rPr>
        <w:lastRenderedPageBreak/>
        <w:t>Prilog 5</w:t>
      </w:r>
    </w:p>
    <w:p w14:paraId="1554814C" w14:textId="539B7D66" w:rsidR="00E103B8" w:rsidRDefault="00E103B8" w:rsidP="00E103B8">
      <w:pPr>
        <w:rPr>
          <w:rFonts w:ascii="Times New Roman" w:hAnsi="Times New Roman" w:cs="Times New Roman"/>
          <w:sz w:val="24"/>
          <w:szCs w:val="24"/>
        </w:rPr>
      </w:pPr>
      <w:r w:rsidRPr="005E671C">
        <w:rPr>
          <w:rFonts w:ascii="Times New Roman" w:hAnsi="Times New Roman" w:cs="Times New Roman"/>
          <w:sz w:val="24"/>
          <w:szCs w:val="24"/>
        </w:rPr>
        <w:t>PREKRŠAJNI SUDOVI - UKUPNO 201</w:t>
      </w:r>
      <w:r>
        <w:rPr>
          <w:rFonts w:ascii="Times New Roman" w:hAnsi="Times New Roman" w:cs="Times New Roman"/>
          <w:sz w:val="24"/>
          <w:szCs w:val="24"/>
        </w:rPr>
        <w:t>6</w:t>
      </w:r>
      <w:r w:rsidRPr="005E671C">
        <w:rPr>
          <w:rFonts w:ascii="Times New Roman" w:hAnsi="Times New Roman" w:cs="Times New Roman"/>
          <w:sz w:val="24"/>
          <w:szCs w:val="24"/>
        </w:rPr>
        <w:t>. godina</w:t>
      </w:r>
    </w:p>
    <w:tbl>
      <w:tblPr>
        <w:tblW w:w="14715" w:type="dxa"/>
        <w:tblLayout w:type="fixed"/>
        <w:tblLook w:val="04A0" w:firstRow="1" w:lastRow="0" w:firstColumn="1" w:lastColumn="0" w:noHBand="0" w:noVBand="1"/>
      </w:tblPr>
      <w:tblGrid>
        <w:gridCol w:w="1404"/>
        <w:gridCol w:w="545"/>
        <w:gridCol w:w="573"/>
        <w:gridCol w:w="855"/>
        <w:gridCol w:w="638"/>
        <w:gridCol w:w="580"/>
        <w:gridCol w:w="447"/>
        <w:gridCol w:w="447"/>
        <w:gridCol w:w="447"/>
        <w:gridCol w:w="447"/>
        <w:gridCol w:w="572"/>
        <w:gridCol w:w="467"/>
        <w:gridCol w:w="579"/>
        <w:gridCol w:w="447"/>
        <w:gridCol w:w="447"/>
        <w:gridCol w:w="698"/>
        <w:gridCol w:w="447"/>
        <w:gridCol w:w="652"/>
        <w:gridCol w:w="614"/>
        <w:gridCol w:w="519"/>
        <w:gridCol w:w="477"/>
        <w:gridCol w:w="506"/>
        <w:gridCol w:w="485"/>
        <w:gridCol w:w="561"/>
        <w:gridCol w:w="595"/>
        <w:gridCol w:w="246"/>
        <w:gridCol w:w="6"/>
        <w:gridCol w:w="14"/>
      </w:tblGrid>
      <w:tr w:rsidR="001752B7" w:rsidRPr="001752B7" w14:paraId="12788833" w14:textId="77777777" w:rsidTr="000271A1">
        <w:trPr>
          <w:gridAfter w:val="3"/>
          <w:wAfter w:w="266" w:type="dxa"/>
          <w:trHeight w:val="450"/>
        </w:trPr>
        <w:tc>
          <w:tcPr>
            <w:tcW w:w="1404" w:type="dxa"/>
            <w:vMerge w:val="restart"/>
            <w:tcBorders>
              <w:top w:val="single" w:sz="8" w:space="0" w:color="auto"/>
              <w:left w:val="single" w:sz="8" w:space="0" w:color="auto"/>
              <w:bottom w:val="single" w:sz="4" w:space="0" w:color="auto"/>
              <w:right w:val="single" w:sz="4" w:space="0" w:color="auto"/>
            </w:tcBorders>
            <w:shd w:val="clear" w:color="000000" w:fill="CCFFCC"/>
            <w:vAlign w:val="center"/>
            <w:hideMark/>
          </w:tcPr>
          <w:p w14:paraId="58683673" w14:textId="77777777" w:rsidR="001752B7" w:rsidRPr="001752B7" w:rsidRDefault="001752B7" w:rsidP="001752B7">
            <w:pPr>
              <w:spacing w:after="0" w:line="240" w:lineRule="auto"/>
              <w:ind w:right="286"/>
              <w:jc w:val="center"/>
              <w:rPr>
                <w:rFonts w:ascii="Calibri" w:eastAsia="Times New Roman" w:hAnsi="Calibri" w:cs="Calibri"/>
                <w:sz w:val="18"/>
                <w:szCs w:val="18"/>
                <w:lang w:eastAsia="hr-HR"/>
              </w:rPr>
            </w:pPr>
            <w:r w:rsidRPr="001752B7">
              <w:rPr>
                <w:rFonts w:ascii="Calibri" w:eastAsia="Times New Roman" w:hAnsi="Calibri" w:cs="Calibri"/>
                <w:sz w:val="18"/>
                <w:szCs w:val="18"/>
                <w:lang w:eastAsia="hr-HR"/>
              </w:rPr>
              <w:t xml:space="preserve">OSNOVE DISKRIMINACIJE </w:t>
            </w:r>
          </w:p>
        </w:tc>
        <w:tc>
          <w:tcPr>
            <w:tcW w:w="13045" w:type="dxa"/>
            <w:gridSpan w:val="24"/>
            <w:vMerge w:val="restart"/>
            <w:tcBorders>
              <w:top w:val="single" w:sz="8" w:space="0" w:color="auto"/>
              <w:left w:val="single" w:sz="4" w:space="0" w:color="auto"/>
              <w:bottom w:val="single" w:sz="4" w:space="0" w:color="000000"/>
              <w:right w:val="single" w:sz="8" w:space="0" w:color="000000"/>
            </w:tcBorders>
            <w:shd w:val="clear" w:color="000000" w:fill="CCFFCC"/>
            <w:noWrap/>
            <w:vAlign w:val="center"/>
            <w:hideMark/>
          </w:tcPr>
          <w:p w14:paraId="30FDC4ED" w14:textId="77777777" w:rsidR="001752B7" w:rsidRPr="001752B7" w:rsidRDefault="001752B7" w:rsidP="001752B7">
            <w:pPr>
              <w:spacing w:after="0" w:line="240" w:lineRule="auto"/>
              <w:jc w:val="center"/>
              <w:rPr>
                <w:rFonts w:ascii="Calibri" w:eastAsia="Times New Roman" w:hAnsi="Calibri" w:cs="Calibri"/>
                <w:b/>
                <w:bCs/>
                <w:sz w:val="18"/>
                <w:szCs w:val="18"/>
                <w:lang w:eastAsia="hr-HR"/>
              </w:rPr>
            </w:pPr>
            <w:r w:rsidRPr="001752B7">
              <w:rPr>
                <w:rFonts w:ascii="Calibri" w:eastAsia="Times New Roman" w:hAnsi="Calibri" w:cs="Calibri"/>
                <w:b/>
                <w:bCs/>
                <w:sz w:val="18"/>
                <w:szCs w:val="18"/>
                <w:lang w:eastAsia="hr-HR"/>
              </w:rPr>
              <w:t>P R E K R Š A J N I     P R E D M E T I</w:t>
            </w:r>
          </w:p>
        </w:tc>
      </w:tr>
      <w:tr w:rsidR="001752B7" w:rsidRPr="001752B7" w14:paraId="0FCDA5D2" w14:textId="77777777" w:rsidTr="000271A1">
        <w:trPr>
          <w:gridAfter w:val="1"/>
          <w:wAfter w:w="14" w:type="dxa"/>
          <w:trHeight w:val="300"/>
        </w:trPr>
        <w:tc>
          <w:tcPr>
            <w:tcW w:w="1404" w:type="dxa"/>
            <w:vMerge/>
            <w:tcBorders>
              <w:top w:val="single" w:sz="8" w:space="0" w:color="auto"/>
              <w:left w:val="single" w:sz="8" w:space="0" w:color="auto"/>
              <w:bottom w:val="single" w:sz="4" w:space="0" w:color="auto"/>
              <w:right w:val="single" w:sz="4" w:space="0" w:color="auto"/>
            </w:tcBorders>
            <w:vAlign w:val="center"/>
            <w:hideMark/>
          </w:tcPr>
          <w:p w14:paraId="350DC6AC" w14:textId="77777777" w:rsidR="001752B7" w:rsidRPr="001752B7" w:rsidRDefault="001752B7" w:rsidP="001752B7">
            <w:pPr>
              <w:spacing w:after="0" w:line="240" w:lineRule="auto"/>
              <w:rPr>
                <w:rFonts w:ascii="Calibri" w:eastAsia="Times New Roman" w:hAnsi="Calibri" w:cs="Calibri"/>
                <w:sz w:val="18"/>
                <w:szCs w:val="18"/>
                <w:lang w:eastAsia="hr-HR"/>
              </w:rPr>
            </w:pPr>
          </w:p>
        </w:tc>
        <w:tc>
          <w:tcPr>
            <w:tcW w:w="13045" w:type="dxa"/>
            <w:gridSpan w:val="24"/>
            <w:vMerge/>
            <w:tcBorders>
              <w:top w:val="single" w:sz="8" w:space="0" w:color="auto"/>
              <w:left w:val="single" w:sz="4" w:space="0" w:color="auto"/>
              <w:bottom w:val="single" w:sz="4" w:space="0" w:color="000000"/>
              <w:right w:val="single" w:sz="8" w:space="0" w:color="000000"/>
            </w:tcBorders>
            <w:vAlign w:val="center"/>
            <w:hideMark/>
          </w:tcPr>
          <w:p w14:paraId="6C8B8C86" w14:textId="77777777" w:rsidR="001752B7" w:rsidRPr="001752B7" w:rsidRDefault="001752B7" w:rsidP="001752B7">
            <w:pPr>
              <w:spacing w:after="0" w:line="240" w:lineRule="auto"/>
              <w:rPr>
                <w:rFonts w:ascii="Calibri" w:eastAsia="Times New Roman" w:hAnsi="Calibri" w:cs="Calibri"/>
                <w:b/>
                <w:bCs/>
                <w:sz w:val="18"/>
                <w:szCs w:val="18"/>
                <w:lang w:eastAsia="hr-HR"/>
              </w:rPr>
            </w:pPr>
          </w:p>
        </w:tc>
        <w:tc>
          <w:tcPr>
            <w:tcW w:w="252" w:type="dxa"/>
            <w:gridSpan w:val="2"/>
            <w:tcBorders>
              <w:top w:val="nil"/>
              <w:left w:val="nil"/>
              <w:bottom w:val="nil"/>
              <w:right w:val="nil"/>
            </w:tcBorders>
            <w:shd w:val="clear" w:color="auto" w:fill="auto"/>
            <w:noWrap/>
            <w:vAlign w:val="bottom"/>
            <w:hideMark/>
          </w:tcPr>
          <w:p w14:paraId="409ADAEE" w14:textId="77777777" w:rsidR="001752B7" w:rsidRPr="001752B7" w:rsidRDefault="001752B7" w:rsidP="001752B7">
            <w:pPr>
              <w:spacing w:after="0" w:line="240" w:lineRule="auto"/>
              <w:jc w:val="center"/>
              <w:rPr>
                <w:rFonts w:ascii="Calibri" w:eastAsia="Times New Roman" w:hAnsi="Calibri" w:cs="Calibri"/>
                <w:b/>
                <w:bCs/>
                <w:lang w:eastAsia="hr-HR"/>
              </w:rPr>
            </w:pPr>
          </w:p>
        </w:tc>
      </w:tr>
      <w:tr w:rsidR="001752B7" w:rsidRPr="001752B7" w14:paraId="39DFDE0A" w14:textId="77777777" w:rsidTr="000271A1">
        <w:trPr>
          <w:gridAfter w:val="2"/>
          <w:wAfter w:w="20" w:type="dxa"/>
          <w:trHeight w:val="1065"/>
        </w:trPr>
        <w:tc>
          <w:tcPr>
            <w:tcW w:w="1404" w:type="dxa"/>
            <w:vMerge/>
            <w:tcBorders>
              <w:top w:val="single" w:sz="8" w:space="0" w:color="auto"/>
              <w:left w:val="single" w:sz="8" w:space="0" w:color="auto"/>
              <w:bottom w:val="single" w:sz="4" w:space="0" w:color="auto"/>
              <w:right w:val="single" w:sz="4" w:space="0" w:color="auto"/>
            </w:tcBorders>
            <w:vAlign w:val="center"/>
            <w:hideMark/>
          </w:tcPr>
          <w:p w14:paraId="5F5F1618" w14:textId="77777777" w:rsidR="001752B7" w:rsidRPr="001752B7" w:rsidRDefault="001752B7" w:rsidP="001752B7">
            <w:pPr>
              <w:spacing w:after="0" w:line="240" w:lineRule="auto"/>
              <w:rPr>
                <w:rFonts w:ascii="Calibri" w:eastAsia="Times New Roman" w:hAnsi="Calibri" w:cs="Calibri"/>
                <w:sz w:val="18"/>
                <w:szCs w:val="18"/>
                <w:lang w:eastAsia="hr-HR"/>
              </w:rPr>
            </w:pPr>
          </w:p>
        </w:tc>
        <w:tc>
          <w:tcPr>
            <w:tcW w:w="545" w:type="dxa"/>
            <w:vMerge w:val="restart"/>
            <w:tcBorders>
              <w:top w:val="nil"/>
              <w:left w:val="single" w:sz="4" w:space="0" w:color="auto"/>
              <w:bottom w:val="single" w:sz="4" w:space="0" w:color="auto"/>
              <w:right w:val="single" w:sz="4" w:space="0" w:color="auto"/>
            </w:tcBorders>
            <w:shd w:val="clear" w:color="000000" w:fill="CCFFCC"/>
            <w:textDirection w:val="btLr"/>
            <w:vAlign w:val="center"/>
            <w:hideMark/>
          </w:tcPr>
          <w:p w14:paraId="5DDF8862" w14:textId="77777777" w:rsidR="001752B7" w:rsidRPr="001752B7" w:rsidRDefault="001752B7" w:rsidP="001752B7">
            <w:pPr>
              <w:spacing w:after="0" w:line="240" w:lineRule="auto"/>
              <w:jc w:val="center"/>
              <w:rPr>
                <w:rFonts w:ascii="Tahoma" w:eastAsia="Times New Roman" w:hAnsi="Tahoma" w:cs="Tahoma"/>
                <w:b/>
                <w:bCs/>
                <w:sz w:val="18"/>
                <w:szCs w:val="18"/>
                <w:lang w:eastAsia="hr-HR"/>
              </w:rPr>
            </w:pPr>
            <w:r w:rsidRPr="001752B7">
              <w:rPr>
                <w:rFonts w:ascii="Tahoma" w:eastAsia="Times New Roman" w:hAnsi="Tahoma" w:cs="Tahoma"/>
                <w:b/>
                <w:bCs/>
                <w:sz w:val="18"/>
                <w:szCs w:val="18"/>
                <w:lang w:eastAsia="hr-HR"/>
              </w:rPr>
              <w:t xml:space="preserve">Broj </w:t>
            </w:r>
            <w:proofErr w:type="spellStart"/>
            <w:r w:rsidRPr="001752B7">
              <w:rPr>
                <w:rFonts w:ascii="Tahoma" w:eastAsia="Times New Roman" w:hAnsi="Tahoma" w:cs="Tahoma"/>
                <w:b/>
                <w:bCs/>
                <w:sz w:val="18"/>
                <w:szCs w:val="18"/>
                <w:lang w:eastAsia="hr-HR"/>
              </w:rPr>
              <w:t>nerješenih</w:t>
            </w:r>
            <w:proofErr w:type="spellEnd"/>
            <w:r w:rsidRPr="001752B7">
              <w:rPr>
                <w:rFonts w:ascii="Tahoma" w:eastAsia="Times New Roman" w:hAnsi="Tahoma" w:cs="Tahoma"/>
                <w:b/>
                <w:bCs/>
                <w:sz w:val="18"/>
                <w:szCs w:val="18"/>
                <w:lang w:eastAsia="hr-HR"/>
              </w:rPr>
              <w:t xml:space="preserve"> predmeta na početku razdoblja</w:t>
            </w:r>
          </w:p>
        </w:tc>
        <w:tc>
          <w:tcPr>
            <w:tcW w:w="573" w:type="dxa"/>
            <w:vMerge w:val="restart"/>
            <w:tcBorders>
              <w:top w:val="nil"/>
              <w:left w:val="single" w:sz="4" w:space="0" w:color="auto"/>
              <w:bottom w:val="single" w:sz="4" w:space="0" w:color="auto"/>
              <w:right w:val="single" w:sz="4" w:space="0" w:color="000000"/>
            </w:tcBorders>
            <w:shd w:val="clear" w:color="000000" w:fill="CCFFCC"/>
            <w:textDirection w:val="btLr"/>
            <w:vAlign w:val="center"/>
            <w:hideMark/>
          </w:tcPr>
          <w:p w14:paraId="6380067E" w14:textId="77777777" w:rsidR="001752B7" w:rsidRPr="001752B7" w:rsidRDefault="001752B7" w:rsidP="001752B7">
            <w:pPr>
              <w:spacing w:after="0" w:line="240" w:lineRule="auto"/>
              <w:jc w:val="center"/>
              <w:rPr>
                <w:rFonts w:ascii="Tahoma" w:eastAsia="Times New Roman" w:hAnsi="Tahoma" w:cs="Tahoma"/>
                <w:b/>
                <w:bCs/>
                <w:sz w:val="18"/>
                <w:szCs w:val="18"/>
                <w:lang w:eastAsia="hr-HR"/>
              </w:rPr>
            </w:pPr>
            <w:r w:rsidRPr="001752B7">
              <w:rPr>
                <w:rFonts w:ascii="Tahoma" w:eastAsia="Times New Roman" w:hAnsi="Tahoma" w:cs="Tahoma"/>
                <w:b/>
                <w:bCs/>
                <w:sz w:val="18"/>
                <w:szCs w:val="18"/>
                <w:lang w:eastAsia="hr-HR"/>
              </w:rPr>
              <w:t xml:space="preserve">Broj primljenih predmeta </w:t>
            </w:r>
          </w:p>
        </w:tc>
        <w:tc>
          <w:tcPr>
            <w:tcW w:w="1493" w:type="dxa"/>
            <w:gridSpan w:val="2"/>
            <w:tcBorders>
              <w:top w:val="single" w:sz="4" w:space="0" w:color="auto"/>
              <w:left w:val="nil"/>
              <w:bottom w:val="single" w:sz="4" w:space="0" w:color="auto"/>
              <w:right w:val="single" w:sz="4" w:space="0" w:color="000000"/>
            </w:tcBorders>
            <w:shd w:val="clear" w:color="000000" w:fill="CCFFCC"/>
            <w:vAlign w:val="center"/>
            <w:hideMark/>
          </w:tcPr>
          <w:p w14:paraId="41860962" w14:textId="77777777" w:rsidR="001752B7" w:rsidRPr="001752B7" w:rsidRDefault="001752B7" w:rsidP="001752B7">
            <w:pPr>
              <w:tabs>
                <w:tab w:val="left" w:pos="0"/>
              </w:tabs>
              <w:spacing w:after="0" w:line="240" w:lineRule="auto"/>
              <w:jc w:val="center"/>
              <w:rPr>
                <w:rFonts w:ascii="Tahoma" w:eastAsia="Times New Roman" w:hAnsi="Tahoma" w:cs="Tahoma"/>
                <w:sz w:val="18"/>
                <w:szCs w:val="18"/>
                <w:lang w:eastAsia="hr-HR"/>
              </w:rPr>
            </w:pPr>
            <w:r w:rsidRPr="001752B7">
              <w:rPr>
                <w:rFonts w:ascii="Tahoma" w:eastAsia="Times New Roman" w:hAnsi="Tahoma" w:cs="Tahoma"/>
                <w:sz w:val="18"/>
                <w:szCs w:val="18"/>
                <w:lang w:eastAsia="hr-HR"/>
              </w:rPr>
              <w:t>Broj diskriminiranih osoba prema prijavi</w:t>
            </w:r>
          </w:p>
        </w:tc>
        <w:tc>
          <w:tcPr>
            <w:tcW w:w="2368" w:type="dxa"/>
            <w:gridSpan w:val="5"/>
            <w:tcBorders>
              <w:top w:val="single" w:sz="4" w:space="0" w:color="auto"/>
              <w:left w:val="nil"/>
              <w:bottom w:val="single" w:sz="4" w:space="0" w:color="auto"/>
              <w:right w:val="single" w:sz="4" w:space="0" w:color="auto"/>
            </w:tcBorders>
            <w:shd w:val="clear" w:color="000000" w:fill="CCFFCC"/>
            <w:vAlign w:val="center"/>
            <w:hideMark/>
          </w:tcPr>
          <w:p w14:paraId="4E22C6DF" w14:textId="77777777" w:rsidR="001752B7" w:rsidRPr="001752B7" w:rsidRDefault="001752B7" w:rsidP="001752B7">
            <w:pPr>
              <w:spacing w:after="0" w:line="240" w:lineRule="auto"/>
              <w:jc w:val="center"/>
              <w:rPr>
                <w:rFonts w:ascii="Calibri" w:eastAsia="Times New Roman" w:hAnsi="Calibri" w:cs="Calibri"/>
                <w:b/>
                <w:bCs/>
                <w:sz w:val="18"/>
                <w:szCs w:val="18"/>
                <w:lang w:eastAsia="hr-HR"/>
              </w:rPr>
            </w:pPr>
            <w:r w:rsidRPr="001752B7">
              <w:rPr>
                <w:rFonts w:ascii="Calibri" w:eastAsia="Times New Roman" w:hAnsi="Calibri" w:cs="Calibri"/>
                <w:b/>
                <w:bCs/>
                <w:sz w:val="18"/>
                <w:szCs w:val="18"/>
                <w:lang w:eastAsia="hr-HR"/>
              </w:rPr>
              <w:t>PREKRŠAJ</w:t>
            </w:r>
          </w:p>
        </w:tc>
        <w:tc>
          <w:tcPr>
            <w:tcW w:w="1618" w:type="dxa"/>
            <w:gridSpan w:val="3"/>
            <w:tcBorders>
              <w:top w:val="single" w:sz="4" w:space="0" w:color="auto"/>
              <w:left w:val="nil"/>
              <w:bottom w:val="single" w:sz="4" w:space="0" w:color="auto"/>
              <w:right w:val="single" w:sz="4" w:space="0" w:color="auto"/>
            </w:tcBorders>
            <w:shd w:val="clear" w:color="000000" w:fill="CCFFCC"/>
            <w:vAlign w:val="center"/>
            <w:hideMark/>
          </w:tcPr>
          <w:p w14:paraId="273443C9" w14:textId="77777777" w:rsidR="001752B7" w:rsidRPr="001752B7" w:rsidRDefault="001752B7" w:rsidP="001752B7">
            <w:pPr>
              <w:spacing w:after="0" w:line="240" w:lineRule="auto"/>
              <w:jc w:val="center"/>
              <w:rPr>
                <w:rFonts w:ascii="Calibri" w:eastAsia="Times New Roman" w:hAnsi="Calibri" w:cs="Calibri"/>
                <w:b/>
                <w:bCs/>
                <w:sz w:val="18"/>
                <w:szCs w:val="18"/>
                <w:lang w:eastAsia="hr-HR"/>
              </w:rPr>
            </w:pPr>
            <w:r w:rsidRPr="001752B7">
              <w:rPr>
                <w:rFonts w:ascii="Calibri" w:eastAsia="Times New Roman" w:hAnsi="Calibri" w:cs="Calibri"/>
                <w:b/>
                <w:bCs/>
                <w:sz w:val="18"/>
                <w:szCs w:val="18"/>
                <w:lang w:eastAsia="hr-HR"/>
              </w:rPr>
              <w:t>PRAVOMOĆNO RIJEŠENO</w:t>
            </w:r>
          </w:p>
        </w:tc>
        <w:tc>
          <w:tcPr>
            <w:tcW w:w="2039" w:type="dxa"/>
            <w:gridSpan w:val="4"/>
            <w:tcBorders>
              <w:top w:val="single" w:sz="4" w:space="0" w:color="auto"/>
              <w:left w:val="nil"/>
              <w:bottom w:val="single" w:sz="4" w:space="0" w:color="auto"/>
              <w:right w:val="single" w:sz="4" w:space="0" w:color="000000"/>
            </w:tcBorders>
            <w:shd w:val="clear" w:color="000000" w:fill="CCFFCC"/>
            <w:vAlign w:val="center"/>
            <w:hideMark/>
          </w:tcPr>
          <w:p w14:paraId="1B1949A4" w14:textId="77777777" w:rsidR="001752B7" w:rsidRPr="001752B7" w:rsidRDefault="001752B7" w:rsidP="001752B7">
            <w:pPr>
              <w:spacing w:after="0" w:line="240" w:lineRule="auto"/>
              <w:jc w:val="center"/>
              <w:rPr>
                <w:rFonts w:ascii="Calibri" w:eastAsia="Times New Roman" w:hAnsi="Calibri" w:cs="Calibri"/>
                <w:b/>
                <w:bCs/>
                <w:sz w:val="18"/>
                <w:szCs w:val="18"/>
                <w:lang w:eastAsia="hr-HR"/>
              </w:rPr>
            </w:pPr>
            <w:r w:rsidRPr="001752B7">
              <w:rPr>
                <w:rFonts w:ascii="Calibri" w:eastAsia="Times New Roman" w:hAnsi="Calibri" w:cs="Calibri"/>
                <w:b/>
                <w:bCs/>
                <w:sz w:val="18"/>
                <w:szCs w:val="18"/>
                <w:lang w:eastAsia="hr-HR"/>
              </w:rPr>
              <w:t>Broj i vrsta kazni</w:t>
            </w:r>
          </w:p>
        </w:tc>
        <w:tc>
          <w:tcPr>
            <w:tcW w:w="652" w:type="dxa"/>
            <w:tcBorders>
              <w:top w:val="nil"/>
              <w:left w:val="single" w:sz="4" w:space="0" w:color="auto"/>
              <w:bottom w:val="single" w:sz="4" w:space="0" w:color="000000"/>
              <w:right w:val="single" w:sz="4" w:space="0" w:color="auto"/>
            </w:tcBorders>
            <w:shd w:val="clear" w:color="000000" w:fill="CCFFCC"/>
            <w:textDirection w:val="btLr"/>
            <w:vAlign w:val="center"/>
            <w:hideMark/>
          </w:tcPr>
          <w:p w14:paraId="342AE754" w14:textId="77777777" w:rsidR="001752B7" w:rsidRPr="001752B7" w:rsidRDefault="001752B7" w:rsidP="001752B7">
            <w:pPr>
              <w:spacing w:after="0" w:line="240" w:lineRule="auto"/>
              <w:jc w:val="center"/>
              <w:rPr>
                <w:rFonts w:ascii="Calibri" w:eastAsia="Times New Roman" w:hAnsi="Calibri" w:cs="Calibri"/>
                <w:b/>
                <w:bCs/>
                <w:sz w:val="18"/>
                <w:szCs w:val="18"/>
                <w:lang w:eastAsia="hr-HR"/>
              </w:rPr>
            </w:pPr>
            <w:r w:rsidRPr="001752B7">
              <w:rPr>
                <w:rFonts w:ascii="Calibri" w:eastAsia="Times New Roman" w:hAnsi="Calibri" w:cs="Calibri"/>
                <w:b/>
                <w:bCs/>
                <w:sz w:val="18"/>
                <w:szCs w:val="18"/>
                <w:lang w:eastAsia="hr-HR"/>
              </w:rPr>
              <w:t>Ukupno riješeno</w:t>
            </w:r>
          </w:p>
        </w:tc>
        <w:tc>
          <w:tcPr>
            <w:tcW w:w="614" w:type="dxa"/>
            <w:tcBorders>
              <w:top w:val="nil"/>
              <w:left w:val="single" w:sz="4" w:space="0" w:color="auto"/>
              <w:bottom w:val="single" w:sz="4" w:space="0" w:color="000000"/>
              <w:right w:val="single" w:sz="4" w:space="0" w:color="auto"/>
            </w:tcBorders>
            <w:shd w:val="clear" w:color="000000" w:fill="CCFFCC"/>
            <w:textDirection w:val="btLr"/>
            <w:vAlign w:val="center"/>
            <w:hideMark/>
          </w:tcPr>
          <w:p w14:paraId="6CF957AE" w14:textId="77777777" w:rsidR="001752B7" w:rsidRPr="001752B7" w:rsidRDefault="001752B7" w:rsidP="001752B7">
            <w:pPr>
              <w:spacing w:after="0" w:line="240" w:lineRule="auto"/>
              <w:jc w:val="center"/>
              <w:rPr>
                <w:rFonts w:ascii="Calibri" w:eastAsia="Times New Roman" w:hAnsi="Calibri" w:cs="Calibri"/>
                <w:b/>
                <w:bCs/>
                <w:sz w:val="18"/>
                <w:szCs w:val="18"/>
                <w:lang w:eastAsia="hr-HR"/>
              </w:rPr>
            </w:pPr>
            <w:r w:rsidRPr="001752B7">
              <w:rPr>
                <w:rFonts w:ascii="Calibri" w:eastAsia="Times New Roman" w:hAnsi="Calibri" w:cs="Calibri"/>
                <w:b/>
                <w:bCs/>
                <w:sz w:val="18"/>
                <w:szCs w:val="18"/>
                <w:lang w:eastAsia="hr-HR"/>
              </w:rPr>
              <w:t>Ukupno neriješeno</w:t>
            </w:r>
          </w:p>
        </w:tc>
        <w:tc>
          <w:tcPr>
            <w:tcW w:w="519" w:type="dxa"/>
            <w:tcBorders>
              <w:top w:val="nil"/>
              <w:left w:val="single" w:sz="4" w:space="0" w:color="auto"/>
              <w:bottom w:val="single" w:sz="4" w:space="0" w:color="000000"/>
              <w:right w:val="single" w:sz="4" w:space="0" w:color="auto"/>
            </w:tcBorders>
            <w:shd w:val="clear" w:color="000000" w:fill="CCFFCC"/>
            <w:textDirection w:val="btLr"/>
            <w:vAlign w:val="center"/>
            <w:hideMark/>
          </w:tcPr>
          <w:p w14:paraId="34A5AA12" w14:textId="77777777" w:rsidR="001752B7" w:rsidRPr="001752B7" w:rsidRDefault="001752B7" w:rsidP="001752B7">
            <w:pPr>
              <w:spacing w:after="0" w:line="240" w:lineRule="auto"/>
              <w:jc w:val="center"/>
              <w:rPr>
                <w:rFonts w:ascii="Calibri" w:eastAsia="Times New Roman" w:hAnsi="Calibri" w:cs="Calibri"/>
                <w:sz w:val="18"/>
                <w:szCs w:val="18"/>
                <w:lang w:eastAsia="hr-HR"/>
              </w:rPr>
            </w:pPr>
            <w:r w:rsidRPr="001752B7">
              <w:rPr>
                <w:rFonts w:ascii="Calibri" w:eastAsia="Times New Roman" w:hAnsi="Calibri" w:cs="Calibri"/>
                <w:sz w:val="18"/>
                <w:szCs w:val="18"/>
                <w:lang w:eastAsia="hr-HR"/>
              </w:rPr>
              <w:t>BROJ OSUĐENIH OSOBA</w:t>
            </w:r>
          </w:p>
        </w:tc>
        <w:tc>
          <w:tcPr>
            <w:tcW w:w="1468" w:type="dxa"/>
            <w:gridSpan w:val="3"/>
            <w:tcBorders>
              <w:top w:val="single" w:sz="4" w:space="0" w:color="auto"/>
              <w:left w:val="nil"/>
              <w:bottom w:val="single" w:sz="4" w:space="0" w:color="auto"/>
              <w:right w:val="single" w:sz="4" w:space="0" w:color="000000"/>
            </w:tcBorders>
            <w:shd w:val="clear" w:color="000000" w:fill="CCFFCC"/>
            <w:vAlign w:val="center"/>
            <w:hideMark/>
          </w:tcPr>
          <w:p w14:paraId="527A31C1" w14:textId="77777777" w:rsidR="001752B7" w:rsidRPr="001752B7" w:rsidRDefault="001752B7" w:rsidP="001752B7">
            <w:pPr>
              <w:spacing w:after="0" w:line="240" w:lineRule="auto"/>
              <w:jc w:val="center"/>
              <w:rPr>
                <w:rFonts w:ascii="Tahoma" w:eastAsia="Times New Roman" w:hAnsi="Tahoma" w:cs="Tahoma"/>
                <w:sz w:val="18"/>
                <w:szCs w:val="18"/>
                <w:lang w:eastAsia="hr-HR"/>
              </w:rPr>
            </w:pPr>
            <w:r w:rsidRPr="001752B7">
              <w:rPr>
                <w:rFonts w:ascii="Tahoma" w:eastAsia="Times New Roman" w:hAnsi="Tahoma" w:cs="Tahoma"/>
                <w:sz w:val="18"/>
                <w:szCs w:val="18"/>
                <w:lang w:eastAsia="hr-HR"/>
              </w:rPr>
              <w:t>Broj diskriminiranih osoba prema pravomoćnoj presudi</w:t>
            </w:r>
          </w:p>
        </w:tc>
        <w:tc>
          <w:tcPr>
            <w:tcW w:w="1156" w:type="dxa"/>
            <w:gridSpan w:val="2"/>
            <w:tcBorders>
              <w:top w:val="single" w:sz="4" w:space="0" w:color="auto"/>
              <w:left w:val="nil"/>
              <w:bottom w:val="single" w:sz="4" w:space="0" w:color="auto"/>
              <w:right w:val="single" w:sz="8" w:space="0" w:color="000000"/>
            </w:tcBorders>
            <w:shd w:val="clear" w:color="000000" w:fill="CCFFCC"/>
            <w:vAlign w:val="center"/>
            <w:hideMark/>
          </w:tcPr>
          <w:p w14:paraId="34D3A250" w14:textId="77777777" w:rsidR="001752B7" w:rsidRPr="001752B7" w:rsidRDefault="001752B7" w:rsidP="001752B7">
            <w:pPr>
              <w:spacing w:after="0" w:line="240" w:lineRule="auto"/>
              <w:jc w:val="center"/>
              <w:rPr>
                <w:rFonts w:ascii="Calibri" w:eastAsia="Times New Roman" w:hAnsi="Calibri" w:cs="Calibri"/>
                <w:sz w:val="18"/>
                <w:szCs w:val="18"/>
                <w:lang w:eastAsia="hr-HR"/>
              </w:rPr>
            </w:pPr>
            <w:r w:rsidRPr="001752B7">
              <w:rPr>
                <w:rFonts w:ascii="Calibri" w:eastAsia="Times New Roman" w:hAnsi="Calibri" w:cs="Calibri"/>
                <w:sz w:val="18"/>
                <w:szCs w:val="18"/>
                <w:lang w:eastAsia="hr-HR"/>
              </w:rPr>
              <w:t>TRAJANJE POSTUPKA</w:t>
            </w:r>
          </w:p>
        </w:tc>
        <w:tc>
          <w:tcPr>
            <w:tcW w:w="246" w:type="dxa"/>
            <w:vAlign w:val="center"/>
            <w:hideMark/>
          </w:tcPr>
          <w:p w14:paraId="3606B1CD" w14:textId="77777777" w:rsidR="001752B7" w:rsidRPr="001752B7" w:rsidRDefault="001752B7" w:rsidP="001752B7">
            <w:pPr>
              <w:spacing w:after="0" w:line="240" w:lineRule="auto"/>
              <w:rPr>
                <w:rFonts w:ascii="Times New Roman" w:eastAsia="Times New Roman" w:hAnsi="Times New Roman" w:cs="Times New Roman"/>
                <w:sz w:val="20"/>
                <w:szCs w:val="20"/>
                <w:lang w:eastAsia="hr-HR"/>
              </w:rPr>
            </w:pPr>
          </w:p>
        </w:tc>
      </w:tr>
      <w:tr w:rsidR="001752B7" w:rsidRPr="001752B7" w14:paraId="5ED2CE08" w14:textId="77777777" w:rsidTr="000271A1">
        <w:trPr>
          <w:trHeight w:val="2700"/>
        </w:trPr>
        <w:tc>
          <w:tcPr>
            <w:tcW w:w="1404" w:type="dxa"/>
            <w:vMerge/>
            <w:tcBorders>
              <w:top w:val="single" w:sz="8" w:space="0" w:color="auto"/>
              <w:left w:val="single" w:sz="8" w:space="0" w:color="auto"/>
              <w:bottom w:val="single" w:sz="4" w:space="0" w:color="auto"/>
              <w:right w:val="single" w:sz="4" w:space="0" w:color="auto"/>
            </w:tcBorders>
            <w:vAlign w:val="center"/>
            <w:hideMark/>
          </w:tcPr>
          <w:p w14:paraId="5C55F3EE" w14:textId="77777777" w:rsidR="001752B7" w:rsidRPr="001752B7" w:rsidRDefault="001752B7" w:rsidP="001752B7">
            <w:pPr>
              <w:spacing w:after="0" w:line="240" w:lineRule="auto"/>
              <w:rPr>
                <w:rFonts w:ascii="Calibri" w:eastAsia="Times New Roman" w:hAnsi="Calibri" w:cs="Calibri"/>
                <w:sz w:val="18"/>
                <w:szCs w:val="18"/>
                <w:lang w:eastAsia="hr-HR"/>
              </w:rPr>
            </w:pPr>
          </w:p>
        </w:tc>
        <w:tc>
          <w:tcPr>
            <w:tcW w:w="545" w:type="dxa"/>
            <w:vMerge/>
            <w:tcBorders>
              <w:top w:val="nil"/>
              <w:left w:val="single" w:sz="4" w:space="0" w:color="auto"/>
              <w:bottom w:val="single" w:sz="4" w:space="0" w:color="auto"/>
              <w:right w:val="single" w:sz="4" w:space="0" w:color="auto"/>
            </w:tcBorders>
            <w:vAlign w:val="center"/>
            <w:hideMark/>
          </w:tcPr>
          <w:p w14:paraId="687BEA8B" w14:textId="77777777" w:rsidR="001752B7" w:rsidRPr="001752B7" w:rsidRDefault="001752B7" w:rsidP="001752B7">
            <w:pPr>
              <w:spacing w:after="0" w:line="240" w:lineRule="auto"/>
              <w:rPr>
                <w:rFonts w:ascii="Tahoma" w:eastAsia="Times New Roman" w:hAnsi="Tahoma" w:cs="Tahoma"/>
                <w:b/>
                <w:bCs/>
                <w:sz w:val="18"/>
                <w:szCs w:val="18"/>
                <w:lang w:eastAsia="hr-HR"/>
              </w:rPr>
            </w:pPr>
          </w:p>
        </w:tc>
        <w:tc>
          <w:tcPr>
            <w:tcW w:w="573" w:type="dxa"/>
            <w:vMerge/>
            <w:tcBorders>
              <w:top w:val="nil"/>
              <w:left w:val="single" w:sz="4" w:space="0" w:color="auto"/>
              <w:bottom w:val="single" w:sz="4" w:space="0" w:color="auto"/>
              <w:right w:val="single" w:sz="4" w:space="0" w:color="000000"/>
            </w:tcBorders>
            <w:vAlign w:val="center"/>
            <w:hideMark/>
          </w:tcPr>
          <w:p w14:paraId="74E1C4B6" w14:textId="77777777" w:rsidR="001752B7" w:rsidRPr="001752B7" w:rsidRDefault="001752B7" w:rsidP="001752B7">
            <w:pPr>
              <w:spacing w:after="0" w:line="240" w:lineRule="auto"/>
              <w:rPr>
                <w:rFonts w:ascii="Tahoma" w:eastAsia="Times New Roman" w:hAnsi="Tahoma" w:cs="Tahoma"/>
                <w:b/>
                <w:bCs/>
                <w:sz w:val="18"/>
                <w:szCs w:val="18"/>
                <w:lang w:eastAsia="hr-HR"/>
              </w:rPr>
            </w:pPr>
          </w:p>
        </w:tc>
        <w:tc>
          <w:tcPr>
            <w:tcW w:w="855" w:type="dxa"/>
            <w:tcBorders>
              <w:top w:val="nil"/>
              <w:left w:val="nil"/>
              <w:bottom w:val="nil"/>
              <w:right w:val="single" w:sz="4" w:space="0" w:color="auto"/>
            </w:tcBorders>
            <w:shd w:val="clear" w:color="000000" w:fill="CCFFCC"/>
            <w:textDirection w:val="btLr"/>
            <w:vAlign w:val="center"/>
            <w:hideMark/>
          </w:tcPr>
          <w:p w14:paraId="144481BE" w14:textId="77777777" w:rsidR="001752B7" w:rsidRPr="001752B7" w:rsidRDefault="001752B7" w:rsidP="001752B7">
            <w:pPr>
              <w:spacing w:after="0" w:line="240" w:lineRule="auto"/>
              <w:jc w:val="center"/>
              <w:rPr>
                <w:rFonts w:ascii="Tahoma" w:eastAsia="Times New Roman" w:hAnsi="Tahoma" w:cs="Tahoma"/>
                <w:sz w:val="18"/>
                <w:szCs w:val="18"/>
                <w:lang w:eastAsia="hr-HR"/>
              </w:rPr>
            </w:pPr>
            <w:r w:rsidRPr="001752B7">
              <w:rPr>
                <w:rFonts w:ascii="Tahoma" w:eastAsia="Times New Roman" w:hAnsi="Tahoma" w:cs="Tahoma"/>
                <w:sz w:val="18"/>
                <w:szCs w:val="18"/>
                <w:lang w:eastAsia="hr-HR"/>
              </w:rPr>
              <w:t>Žene</w:t>
            </w:r>
          </w:p>
        </w:tc>
        <w:tc>
          <w:tcPr>
            <w:tcW w:w="638" w:type="dxa"/>
            <w:tcBorders>
              <w:top w:val="nil"/>
              <w:left w:val="nil"/>
              <w:bottom w:val="nil"/>
              <w:right w:val="single" w:sz="4" w:space="0" w:color="auto"/>
            </w:tcBorders>
            <w:shd w:val="clear" w:color="000000" w:fill="CCFFCC"/>
            <w:textDirection w:val="btLr"/>
            <w:vAlign w:val="center"/>
            <w:hideMark/>
          </w:tcPr>
          <w:p w14:paraId="233200CF" w14:textId="77777777" w:rsidR="001752B7" w:rsidRPr="001752B7" w:rsidRDefault="001752B7" w:rsidP="001752B7">
            <w:pPr>
              <w:spacing w:after="0" w:line="240" w:lineRule="auto"/>
              <w:jc w:val="center"/>
              <w:rPr>
                <w:rFonts w:ascii="Tahoma" w:eastAsia="Times New Roman" w:hAnsi="Tahoma" w:cs="Tahoma"/>
                <w:sz w:val="18"/>
                <w:szCs w:val="18"/>
                <w:lang w:eastAsia="hr-HR"/>
              </w:rPr>
            </w:pPr>
            <w:r w:rsidRPr="001752B7">
              <w:rPr>
                <w:rFonts w:ascii="Tahoma" w:eastAsia="Times New Roman" w:hAnsi="Tahoma" w:cs="Tahoma"/>
                <w:sz w:val="18"/>
                <w:szCs w:val="18"/>
                <w:lang w:eastAsia="hr-HR"/>
              </w:rPr>
              <w:t>Muškarci</w:t>
            </w:r>
          </w:p>
        </w:tc>
        <w:tc>
          <w:tcPr>
            <w:tcW w:w="580" w:type="dxa"/>
            <w:tcBorders>
              <w:top w:val="nil"/>
              <w:left w:val="nil"/>
              <w:bottom w:val="single" w:sz="4" w:space="0" w:color="auto"/>
              <w:right w:val="single" w:sz="4" w:space="0" w:color="auto"/>
            </w:tcBorders>
            <w:shd w:val="clear" w:color="000000" w:fill="CCFFCC"/>
            <w:textDirection w:val="btLr"/>
            <w:vAlign w:val="center"/>
            <w:hideMark/>
          </w:tcPr>
          <w:p w14:paraId="5055D42C" w14:textId="77777777" w:rsidR="001752B7" w:rsidRPr="001752B7" w:rsidRDefault="001752B7" w:rsidP="001752B7">
            <w:pPr>
              <w:spacing w:after="0" w:line="240" w:lineRule="auto"/>
              <w:jc w:val="center"/>
              <w:rPr>
                <w:rFonts w:ascii="Calibri" w:eastAsia="Times New Roman" w:hAnsi="Calibri" w:cs="Calibri"/>
                <w:sz w:val="18"/>
                <w:szCs w:val="18"/>
                <w:lang w:eastAsia="hr-HR"/>
              </w:rPr>
            </w:pPr>
            <w:r w:rsidRPr="001752B7">
              <w:rPr>
                <w:rFonts w:ascii="Calibri" w:eastAsia="Times New Roman" w:hAnsi="Calibri" w:cs="Calibri"/>
                <w:sz w:val="18"/>
                <w:szCs w:val="18"/>
                <w:lang w:eastAsia="hr-HR"/>
              </w:rPr>
              <w:t>UZNEMIRAVANJE čl. 25. ZSD</w:t>
            </w:r>
          </w:p>
        </w:tc>
        <w:tc>
          <w:tcPr>
            <w:tcW w:w="447" w:type="dxa"/>
            <w:tcBorders>
              <w:top w:val="nil"/>
              <w:left w:val="nil"/>
              <w:bottom w:val="single" w:sz="4" w:space="0" w:color="auto"/>
              <w:right w:val="single" w:sz="4" w:space="0" w:color="auto"/>
            </w:tcBorders>
            <w:shd w:val="clear" w:color="000000" w:fill="CCFFCC"/>
            <w:textDirection w:val="btLr"/>
            <w:vAlign w:val="center"/>
            <w:hideMark/>
          </w:tcPr>
          <w:p w14:paraId="07B98710" w14:textId="77777777" w:rsidR="001752B7" w:rsidRPr="001752B7" w:rsidRDefault="001752B7" w:rsidP="001752B7">
            <w:pPr>
              <w:spacing w:after="0" w:line="240" w:lineRule="auto"/>
              <w:jc w:val="center"/>
              <w:rPr>
                <w:rFonts w:ascii="Calibri" w:eastAsia="Times New Roman" w:hAnsi="Calibri" w:cs="Calibri"/>
                <w:sz w:val="18"/>
                <w:szCs w:val="18"/>
                <w:lang w:eastAsia="hr-HR"/>
              </w:rPr>
            </w:pPr>
            <w:r w:rsidRPr="001752B7">
              <w:rPr>
                <w:rFonts w:ascii="Calibri" w:eastAsia="Times New Roman" w:hAnsi="Calibri" w:cs="Calibri"/>
                <w:sz w:val="18"/>
                <w:szCs w:val="18"/>
                <w:lang w:eastAsia="hr-HR"/>
              </w:rPr>
              <w:t>SPOLNO UZNEMIRAVANJE čl. 26. ZSD</w:t>
            </w:r>
          </w:p>
        </w:tc>
        <w:tc>
          <w:tcPr>
            <w:tcW w:w="447" w:type="dxa"/>
            <w:tcBorders>
              <w:top w:val="nil"/>
              <w:left w:val="nil"/>
              <w:bottom w:val="single" w:sz="4" w:space="0" w:color="auto"/>
              <w:right w:val="single" w:sz="4" w:space="0" w:color="auto"/>
            </w:tcBorders>
            <w:shd w:val="clear" w:color="000000" w:fill="CCFFCC"/>
            <w:textDirection w:val="btLr"/>
            <w:vAlign w:val="center"/>
            <w:hideMark/>
          </w:tcPr>
          <w:p w14:paraId="737F1394" w14:textId="77777777" w:rsidR="001752B7" w:rsidRPr="001752B7" w:rsidRDefault="001752B7" w:rsidP="001752B7">
            <w:pPr>
              <w:spacing w:after="0" w:line="240" w:lineRule="auto"/>
              <w:jc w:val="center"/>
              <w:rPr>
                <w:rFonts w:ascii="Calibri" w:eastAsia="Times New Roman" w:hAnsi="Calibri" w:cs="Calibri"/>
                <w:sz w:val="18"/>
                <w:szCs w:val="18"/>
                <w:lang w:eastAsia="hr-HR"/>
              </w:rPr>
            </w:pPr>
            <w:r w:rsidRPr="001752B7">
              <w:rPr>
                <w:rFonts w:ascii="Calibri" w:eastAsia="Times New Roman" w:hAnsi="Calibri" w:cs="Calibri"/>
                <w:sz w:val="18"/>
                <w:szCs w:val="18"/>
                <w:lang w:eastAsia="hr-HR"/>
              </w:rPr>
              <w:t>NEDOSTAVLJANJE PODATAKA čl. 27. ZSD</w:t>
            </w:r>
          </w:p>
        </w:tc>
        <w:tc>
          <w:tcPr>
            <w:tcW w:w="447" w:type="dxa"/>
            <w:tcBorders>
              <w:top w:val="nil"/>
              <w:left w:val="nil"/>
              <w:bottom w:val="single" w:sz="4" w:space="0" w:color="auto"/>
              <w:right w:val="single" w:sz="4" w:space="0" w:color="auto"/>
            </w:tcBorders>
            <w:shd w:val="clear" w:color="000000" w:fill="CCFFCC"/>
            <w:textDirection w:val="btLr"/>
            <w:vAlign w:val="center"/>
            <w:hideMark/>
          </w:tcPr>
          <w:p w14:paraId="6D1EF964" w14:textId="77777777" w:rsidR="001752B7" w:rsidRPr="001752B7" w:rsidRDefault="001752B7" w:rsidP="001752B7">
            <w:pPr>
              <w:spacing w:after="0" w:line="240" w:lineRule="auto"/>
              <w:jc w:val="center"/>
              <w:rPr>
                <w:rFonts w:ascii="Calibri" w:eastAsia="Times New Roman" w:hAnsi="Calibri" w:cs="Calibri"/>
                <w:sz w:val="18"/>
                <w:szCs w:val="18"/>
                <w:lang w:eastAsia="hr-HR"/>
              </w:rPr>
            </w:pPr>
            <w:r w:rsidRPr="001752B7">
              <w:rPr>
                <w:rFonts w:ascii="Calibri" w:eastAsia="Times New Roman" w:hAnsi="Calibri" w:cs="Calibri"/>
                <w:sz w:val="18"/>
                <w:szCs w:val="18"/>
                <w:lang w:eastAsia="hr-HR"/>
              </w:rPr>
              <w:t>VIKTIMIZACIJA čl. 28. ZSD</w:t>
            </w:r>
          </w:p>
        </w:tc>
        <w:tc>
          <w:tcPr>
            <w:tcW w:w="447" w:type="dxa"/>
            <w:tcBorders>
              <w:top w:val="nil"/>
              <w:left w:val="nil"/>
              <w:bottom w:val="single" w:sz="4" w:space="0" w:color="auto"/>
              <w:right w:val="single" w:sz="4" w:space="0" w:color="auto"/>
            </w:tcBorders>
            <w:shd w:val="clear" w:color="000000" w:fill="CCFFCC"/>
            <w:textDirection w:val="btLr"/>
            <w:vAlign w:val="center"/>
            <w:hideMark/>
          </w:tcPr>
          <w:p w14:paraId="58526F6E" w14:textId="77777777" w:rsidR="001752B7" w:rsidRPr="001752B7" w:rsidRDefault="001752B7" w:rsidP="001752B7">
            <w:pPr>
              <w:spacing w:after="0" w:line="240" w:lineRule="auto"/>
              <w:jc w:val="center"/>
              <w:rPr>
                <w:rFonts w:ascii="Calibri" w:eastAsia="Times New Roman" w:hAnsi="Calibri" w:cs="Calibri"/>
                <w:sz w:val="18"/>
                <w:szCs w:val="18"/>
                <w:lang w:eastAsia="hr-HR"/>
              </w:rPr>
            </w:pPr>
            <w:r w:rsidRPr="001752B7">
              <w:rPr>
                <w:rFonts w:ascii="Calibri" w:eastAsia="Times New Roman" w:hAnsi="Calibri" w:cs="Calibri"/>
                <w:sz w:val="18"/>
                <w:szCs w:val="18"/>
                <w:lang w:eastAsia="hr-HR"/>
              </w:rPr>
              <w:t xml:space="preserve">OSTALO - po drugim. propisima: </w:t>
            </w:r>
          </w:p>
        </w:tc>
        <w:tc>
          <w:tcPr>
            <w:tcW w:w="572" w:type="dxa"/>
            <w:tcBorders>
              <w:top w:val="nil"/>
              <w:left w:val="nil"/>
              <w:bottom w:val="single" w:sz="4" w:space="0" w:color="auto"/>
              <w:right w:val="single" w:sz="4" w:space="0" w:color="auto"/>
            </w:tcBorders>
            <w:shd w:val="clear" w:color="000000" w:fill="CCFFCC"/>
            <w:textDirection w:val="btLr"/>
            <w:vAlign w:val="center"/>
            <w:hideMark/>
          </w:tcPr>
          <w:p w14:paraId="6D89C3C6" w14:textId="77777777" w:rsidR="001752B7" w:rsidRPr="001752B7" w:rsidRDefault="001752B7" w:rsidP="001752B7">
            <w:pPr>
              <w:spacing w:after="0" w:line="240" w:lineRule="auto"/>
              <w:jc w:val="center"/>
              <w:rPr>
                <w:rFonts w:ascii="Calibri" w:eastAsia="Times New Roman" w:hAnsi="Calibri" w:cs="Calibri"/>
                <w:sz w:val="18"/>
                <w:szCs w:val="18"/>
                <w:lang w:eastAsia="hr-HR"/>
              </w:rPr>
            </w:pPr>
            <w:r w:rsidRPr="001752B7">
              <w:rPr>
                <w:rFonts w:ascii="Calibri" w:eastAsia="Times New Roman" w:hAnsi="Calibri" w:cs="Calibri"/>
                <w:sz w:val="18"/>
                <w:szCs w:val="18"/>
                <w:lang w:eastAsia="hr-HR"/>
              </w:rPr>
              <w:t>OSUĐUJUĆA PRESUDA</w:t>
            </w:r>
          </w:p>
        </w:tc>
        <w:tc>
          <w:tcPr>
            <w:tcW w:w="467" w:type="dxa"/>
            <w:tcBorders>
              <w:top w:val="nil"/>
              <w:left w:val="nil"/>
              <w:bottom w:val="single" w:sz="4" w:space="0" w:color="auto"/>
              <w:right w:val="single" w:sz="4" w:space="0" w:color="auto"/>
            </w:tcBorders>
            <w:shd w:val="clear" w:color="000000" w:fill="CCFFCC"/>
            <w:textDirection w:val="btLr"/>
            <w:vAlign w:val="center"/>
            <w:hideMark/>
          </w:tcPr>
          <w:p w14:paraId="59286396" w14:textId="77777777" w:rsidR="001752B7" w:rsidRPr="001752B7" w:rsidRDefault="001752B7" w:rsidP="001752B7">
            <w:pPr>
              <w:spacing w:after="0" w:line="240" w:lineRule="auto"/>
              <w:jc w:val="center"/>
              <w:rPr>
                <w:rFonts w:ascii="Calibri" w:eastAsia="Times New Roman" w:hAnsi="Calibri" w:cs="Calibri"/>
                <w:sz w:val="18"/>
                <w:szCs w:val="18"/>
                <w:lang w:eastAsia="hr-HR"/>
              </w:rPr>
            </w:pPr>
            <w:r w:rsidRPr="001752B7">
              <w:rPr>
                <w:rFonts w:ascii="Calibri" w:eastAsia="Times New Roman" w:hAnsi="Calibri" w:cs="Calibri"/>
                <w:sz w:val="18"/>
                <w:szCs w:val="18"/>
                <w:lang w:eastAsia="hr-HR"/>
              </w:rPr>
              <w:t>OSLOBAĐAJUĆA PRESUDA</w:t>
            </w:r>
          </w:p>
        </w:tc>
        <w:tc>
          <w:tcPr>
            <w:tcW w:w="579" w:type="dxa"/>
            <w:tcBorders>
              <w:top w:val="nil"/>
              <w:left w:val="nil"/>
              <w:bottom w:val="single" w:sz="4" w:space="0" w:color="auto"/>
              <w:right w:val="single" w:sz="4" w:space="0" w:color="auto"/>
            </w:tcBorders>
            <w:shd w:val="clear" w:color="000000" w:fill="CCFFCC"/>
            <w:textDirection w:val="btLr"/>
            <w:vAlign w:val="center"/>
            <w:hideMark/>
          </w:tcPr>
          <w:p w14:paraId="7D81579E" w14:textId="77777777" w:rsidR="001752B7" w:rsidRPr="001752B7" w:rsidRDefault="001752B7" w:rsidP="001752B7">
            <w:pPr>
              <w:spacing w:after="0" w:line="240" w:lineRule="auto"/>
              <w:jc w:val="center"/>
              <w:rPr>
                <w:rFonts w:ascii="Calibri" w:eastAsia="Times New Roman" w:hAnsi="Calibri" w:cs="Calibri"/>
                <w:sz w:val="18"/>
                <w:szCs w:val="18"/>
                <w:lang w:eastAsia="hr-HR"/>
              </w:rPr>
            </w:pPr>
            <w:r w:rsidRPr="001752B7">
              <w:rPr>
                <w:rFonts w:ascii="Calibri" w:eastAsia="Times New Roman" w:hAnsi="Calibri" w:cs="Calibri"/>
                <w:sz w:val="18"/>
                <w:szCs w:val="18"/>
                <w:lang w:eastAsia="hr-HR"/>
              </w:rPr>
              <w:t>NA DRUGI NAČIN</w:t>
            </w:r>
          </w:p>
        </w:tc>
        <w:tc>
          <w:tcPr>
            <w:tcW w:w="447" w:type="dxa"/>
            <w:tcBorders>
              <w:top w:val="nil"/>
              <w:left w:val="nil"/>
              <w:bottom w:val="single" w:sz="4" w:space="0" w:color="auto"/>
              <w:right w:val="single" w:sz="4" w:space="0" w:color="auto"/>
            </w:tcBorders>
            <w:shd w:val="clear" w:color="000000" w:fill="CCFFCC"/>
            <w:textDirection w:val="btLr"/>
            <w:vAlign w:val="center"/>
            <w:hideMark/>
          </w:tcPr>
          <w:p w14:paraId="660B3857" w14:textId="77777777" w:rsidR="001752B7" w:rsidRPr="001752B7" w:rsidRDefault="001752B7" w:rsidP="001752B7">
            <w:pPr>
              <w:spacing w:after="0" w:line="240" w:lineRule="auto"/>
              <w:jc w:val="center"/>
              <w:rPr>
                <w:rFonts w:ascii="Calibri" w:eastAsia="Times New Roman" w:hAnsi="Calibri" w:cs="Calibri"/>
                <w:sz w:val="18"/>
                <w:szCs w:val="18"/>
                <w:lang w:eastAsia="hr-HR"/>
              </w:rPr>
            </w:pPr>
            <w:r w:rsidRPr="001752B7">
              <w:rPr>
                <w:rFonts w:ascii="Calibri" w:eastAsia="Times New Roman" w:hAnsi="Calibri" w:cs="Calibri"/>
                <w:sz w:val="18"/>
                <w:szCs w:val="18"/>
                <w:lang w:eastAsia="hr-HR"/>
              </w:rPr>
              <w:t>Kazna zatvora</w:t>
            </w:r>
          </w:p>
        </w:tc>
        <w:tc>
          <w:tcPr>
            <w:tcW w:w="447" w:type="dxa"/>
            <w:tcBorders>
              <w:top w:val="nil"/>
              <w:left w:val="nil"/>
              <w:bottom w:val="single" w:sz="4" w:space="0" w:color="auto"/>
              <w:right w:val="single" w:sz="4" w:space="0" w:color="auto"/>
            </w:tcBorders>
            <w:shd w:val="clear" w:color="000000" w:fill="CCFFCC"/>
            <w:textDirection w:val="btLr"/>
            <w:vAlign w:val="center"/>
            <w:hideMark/>
          </w:tcPr>
          <w:p w14:paraId="577D49D4" w14:textId="77777777" w:rsidR="001752B7" w:rsidRPr="001752B7" w:rsidRDefault="001752B7" w:rsidP="001752B7">
            <w:pPr>
              <w:spacing w:after="0" w:line="240" w:lineRule="auto"/>
              <w:jc w:val="center"/>
              <w:rPr>
                <w:rFonts w:ascii="Calibri" w:eastAsia="Times New Roman" w:hAnsi="Calibri" w:cs="Calibri"/>
                <w:sz w:val="18"/>
                <w:szCs w:val="18"/>
                <w:lang w:eastAsia="hr-HR"/>
              </w:rPr>
            </w:pPr>
            <w:r w:rsidRPr="001752B7">
              <w:rPr>
                <w:rFonts w:ascii="Calibri" w:eastAsia="Times New Roman" w:hAnsi="Calibri" w:cs="Calibri"/>
                <w:sz w:val="18"/>
                <w:szCs w:val="18"/>
                <w:lang w:eastAsia="hr-HR"/>
              </w:rPr>
              <w:t>Novčana kazna</w:t>
            </w:r>
          </w:p>
        </w:tc>
        <w:tc>
          <w:tcPr>
            <w:tcW w:w="698" w:type="dxa"/>
            <w:tcBorders>
              <w:top w:val="nil"/>
              <w:left w:val="nil"/>
              <w:bottom w:val="single" w:sz="4" w:space="0" w:color="auto"/>
              <w:right w:val="single" w:sz="4" w:space="0" w:color="auto"/>
            </w:tcBorders>
            <w:shd w:val="clear" w:color="000000" w:fill="CCFFCC"/>
            <w:textDirection w:val="btLr"/>
            <w:vAlign w:val="center"/>
            <w:hideMark/>
          </w:tcPr>
          <w:p w14:paraId="7C863D41" w14:textId="77777777" w:rsidR="001752B7" w:rsidRPr="001752B7" w:rsidRDefault="001752B7" w:rsidP="001752B7">
            <w:pPr>
              <w:spacing w:after="0" w:line="240" w:lineRule="auto"/>
              <w:jc w:val="center"/>
              <w:rPr>
                <w:rFonts w:ascii="Calibri" w:eastAsia="Times New Roman" w:hAnsi="Calibri" w:cs="Calibri"/>
                <w:sz w:val="18"/>
                <w:szCs w:val="18"/>
                <w:lang w:eastAsia="hr-HR"/>
              </w:rPr>
            </w:pPr>
            <w:r w:rsidRPr="001752B7">
              <w:rPr>
                <w:rFonts w:ascii="Calibri" w:eastAsia="Times New Roman" w:hAnsi="Calibri" w:cs="Calibri"/>
                <w:sz w:val="18"/>
                <w:szCs w:val="18"/>
                <w:lang w:eastAsia="hr-HR"/>
              </w:rPr>
              <w:t>Rad za opće dobro</w:t>
            </w:r>
          </w:p>
        </w:tc>
        <w:tc>
          <w:tcPr>
            <w:tcW w:w="447" w:type="dxa"/>
            <w:tcBorders>
              <w:top w:val="nil"/>
              <w:left w:val="nil"/>
              <w:bottom w:val="single" w:sz="4" w:space="0" w:color="auto"/>
              <w:right w:val="single" w:sz="4" w:space="0" w:color="auto"/>
            </w:tcBorders>
            <w:shd w:val="clear" w:color="000000" w:fill="CCFFCC"/>
            <w:textDirection w:val="btLr"/>
            <w:vAlign w:val="center"/>
            <w:hideMark/>
          </w:tcPr>
          <w:p w14:paraId="44E8CE64" w14:textId="77777777" w:rsidR="001752B7" w:rsidRPr="001752B7" w:rsidRDefault="001752B7" w:rsidP="001752B7">
            <w:pPr>
              <w:spacing w:after="0" w:line="240" w:lineRule="auto"/>
              <w:jc w:val="center"/>
              <w:rPr>
                <w:rFonts w:ascii="Calibri" w:eastAsia="Times New Roman" w:hAnsi="Calibri" w:cs="Calibri"/>
                <w:b/>
                <w:bCs/>
                <w:sz w:val="18"/>
                <w:szCs w:val="18"/>
                <w:lang w:eastAsia="hr-HR"/>
              </w:rPr>
            </w:pPr>
            <w:r w:rsidRPr="001752B7">
              <w:rPr>
                <w:rFonts w:ascii="Calibri" w:eastAsia="Times New Roman" w:hAnsi="Calibri" w:cs="Calibri"/>
                <w:b/>
                <w:bCs/>
                <w:sz w:val="18"/>
                <w:szCs w:val="18"/>
                <w:lang w:eastAsia="hr-HR"/>
              </w:rPr>
              <w:t>Ukupno</w:t>
            </w:r>
          </w:p>
        </w:tc>
        <w:tc>
          <w:tcPr>
            <w:tcW w:w="652" w:type="dxa"/>
            <w:tcBorders>
              <w:top w:val="nil"/>
              <w:left w:val="single" w:sz="4" w:space="0" w:color="auto"/>
              <w:bottom w:val="single" w:sz="4" w:space="0" w:color="000000"/>
              <w:right w:val="single" w:sz="4" w:space="0" w:color="auto"/>
            </w:tcBorders>
            <w:vAlign w:val="center"/>
            <w:hideMark/>
          </w:tcPr>
          <w:p w14:paraId="32429BD5" w14:textId="77777777" w:rsidR="001752B7" w:rsidRPr="001752B7" w:rsidRDefault="001752B7" w:rsidP="001752B7">
            <w:pPr>
              <w:spacing w:after="0" w:line="240" w:lineRule="auto"/>
              <w:rPr>
                <w:rFonts w:ascii="Calibri" w:eastAsia="Times New Roman" w:hAnsi="Calibri" w:cs="Calibri"/>
                <w:b/>
                <w:bCs/>
                <w:sz w:val="18"/>
                <w:szCs w:val="18"/>
                <w:lang w:eastAsia="hr-HR"/>
              </w:rPr>
            </w:pPr>
          </w:p>
        </w:tc>
        <w:tc>
          <w:tcPr>
            <w:tcW w:w="614" w:type="dxa"/>
            <w:tcBorders>
              <w:top w:val="nil"/>
              <w:left w:val="single" w:sz="4" w:space="0" w:color="auto"/>
              <w:bottom w:val="single" w:sz="4" w:space="0" w:color="000000"/>
              <w:right w:val="single" w:sz="4" w:space="0" w:color="auto"/>
            </w:tcBorders>
            <w:vAlign w:val="center"/>
            <w:hideMark/>
          </w:tcPr>
          <w:p w14:paraId="40611B7C" w14:textId="77777777" w:rsidR="001752B7" w:rsidRPr="001752B7" w:rsidRDefault="001752B7" w:rsidP="001752B7">
            <w:pPr>
              <w:spacing w:after="0" w:line="240" w:lineRule="auto"/>
              <w:rPr>
                <w:rFonts w:ascii="Calibri" w:eastAsia="Times New Roman" w:hAnsi="Calibri" w:cs="Calibri"/>
                <w:b/>
                <w:bCs/>
                <w:sz w:val="18"/>
                <w:szCs w:val="18"/>
                <w:lang w:eastAsia="hr-HR"/>
              </w:rPr>
            </w:pPr>
          </w:p>
        </w:tc>
        <w:tc>
          <w:tcPr>
            <w:tcW w:w="519" w:type="dxa"/>
            <w:tcBorders>
              <w:top w:val="nil"/>
              <w:left w:val="single" w:sz="4" w:space="0" w:color="auto"/>
              <w:bottom w:val="single" w:sz="4" w:space="0" w:color="000000"/>
              <w:right w:val="single" w:sz="4" w:space="0" w:color="auto"/>
            </w:tcBorders>
            <w:vAlign w:val="center"/>
            <w:hideMark/>
          </w:tcPr>
          <w:p w14:paraId="68684D78" w14:textId="77777777" w:rsidR="001752B7" w:rsidRPr="001752B7" w:rsidRDefault="001752B7" w:rsidP="001752B7">
            <w:pPr>
              <w:spacing w:after="0" w:line="240" w:lineRule="auto"/>
              <w:rPr>
                <w:rFonts w:ascii="Calibri" w:eastAsia="Times New Roman" w:hAnsi="Calibri" w:cs="Calibri"/>
                <w:sz w:val="18"/>
                <w:szCs w:val="18"/>
                <w:lang w:eastAsia="hr-HR"/>
              </w:rPr>
            </w:pPr>
          </w:p>
        </w:tc>
        <w:tc>
          <w:tcPr>
            <w:tcW w:w="477" w:type="dxa"/>
            <w:tcBorders>
              <w:top w:val="nil"/>
              <w:left w:val="nil"/>
              <w:bottom w:val="single" w:sz="4" w:space="0" w:color="auto"/>
              <w:right w:val="single" w:sz="4" w:space="0" w:color="auto"/>
            </w:tcBorders>
            <w:shd w:val="clear" w:color="000000" w:fill="CCFFCC"/>
            <w:textDirection w:val="btLr"/>
            <w:vAlign w:val="center"/>
            <w:hideMark/>
          </w:tcPr>
          <w:p w14:paraId="0470E43E" w14:textId="77777777" w:rsidR="001752B7" w:rsidRPr="001752B7" w:rsidRDefault="001752B7" w:rsidP="001752B7">
            <w:pPr>
              <w:spacing w:after="0" w:line="240" w:lineRule="auto"/>
              <w:jc w:val="center"/>
              <w:rPr>
                <w:rFonts w:ascii="Tahoma" w:eastAsia="Times New Roman" w:hAnsi="Tahoma" w:cs="Tahoma"/>
                <w:sz w:val="18"/>
                <w:szCs w:val="18"/>
                <w:lang w:eastAsia="hr-HR"/>
              </w:rPr>
            </w:pPr>
            <w:r w:rsidRPr="001752B7">
              <w:rPr>
                <w:rFonts w:ascii="Tahoma" w:eastAsia="Times New Roman" w:hAnsi="Tahoma" w:cs="Tahoma"/>
                <w:sz w:val="18"/>
                <w:szCs w:val="18"/>
                <w:lang w:eastAsia="hr-HR"/>
              </w:rPr>
              <w:t xml:space="preserve">Žene </w:t>
            </w:r>
          </w:p>
        </w:tc>
        <w:tc>
          <w:tcPr>
            <w:tcW w:w="506" w:type="dxa"/>
            <w:tcBorders>
              <w:top w:val="nil"/>
              <w:left w:val="nil"/>
              <w:bottom w:val="single" w:sz="4" w:space="0" w:color="auto"/>
              <w:right w:val="single" w:sz="4" w:space="0" w:color="auto"/>
            </w:tcBorders>
            <w:shd w:val="clear" w:color="000000" w:fill="CCFFCC"/>
            <w:textDirection w:val="btLr"/>
            <w:vAlign w:val="center"/>
            <w:hideMark/>
          </w:tcPr>
          <w:p w14:paraId="79F0C45C" w14:textId="77777777" w:rsidR="001752B7" w:rsidRPr="001752B7" w:rsidRDefault="001752B7" w:rsidP="001752B7">
            <w:pPr>
              <w:spacing w:after="0" w:line="240" w:lineRule="auto"/>
              <w:jc w:val="center"/>
              <w:rPr>
                <w:rFonts w:ascii="Tahoma" w:eastAsia="Times New Roman" w:hAnsi="Tahoma" w:cs="Tahoma"/>
                <w:sz w:val="18"/>
                <w:szCs w:val="18"/>
                <w:lang w:eastAsia="hr-HR"/>
              </w:rPr>
            </w:pPr>
            <w:r w:rsidRPr="001752B7">
              <w:rPr>
                <w:rFonts w:ascii="Tahoma" w:eastAsia="Times New Roman" w:hAnsi="Tahoma" w:cs="Tahoma"/>
                <w:sz w:val="18"/>
                <w:szCs w:val="18"/>
                <w:lang w:eastAsia="hr-HR"/>
              </w:rPr>
              <w:t>Muškarci</w:t>
            </w:r>
          </w:p>
        </w:tc>
        <w:tc>
          <w:tcPr>
            <w:tcW w:w="485" w:type="dxa"/>
            <w:tcBorders>
              <w:top w:val="nil"/>
              <w:left w:val="nil"/>
              <w:bottom w:val="single" w:sz="4" w:space="0" w:color="auto"/>
              <w:right w:val="single" w:sz="4" w:space="0" w:color="auto"/>
            </w:tcBorders>
            <w:shd w:val="clear" w:color="000000" w:fill="CCFFCC"/>
            <w:textDirection w:val="btLr"/>
            <w:vAlign w:val="center"/>
            <w:hideMark/>
          </w:tcPr>
          <w:p w14:paraId="24A9F336" w14:textId="77777777" w:rsidR="001752B7" w:rsidRPr="001752B7" w:rsidRDefault="001752B7" w:rsidP="001752B7">
            <w:pPr>
              <w:spacing w:after="0" w:line="240" w:lineRule="auto"/>
              <w:jc w:val="center"/>
              <w:rPr>
                <w:rFonts w:ascii="Tahoma" w:eastAsia="Times New Roman" w:hAnsi="Tahoma" w:cs="Tahoma"/>
                <w:sz w:val="18"/>
                <w:szCs w:val="18"/>
                <w:lang w:eastAsia="hr-HR"/>
              </w:rPr>
            </w:pPr>
            <w:r w:rsidRPr="001752B7">
              <w:rPr>
                <w:rFonts w:ascii="Tahoma" w:eastAsia="Times New Roman" w:hAnsi="Tahoma" w:cs="Tahoma"/>
                <w:sz w:val="18"/>
                <w:szCs w:val="18"/>
                <w:lang w:eastAsia="hr-HR"/>
              </w:rPr>
              <w:t>Ostalo</w:t>
            </w:r>
          </w:p>
        </w:tc>
        <w:tc>
          <w:tcPr>
            <w:tcW w:w="561" w:type="dxa"/>
            <w:tcBorders>
              <w:top w:val="nil"/>
              <w:left w:val="nil"/>
              <w:bottom w:val="single" w:sz="4" w:space="0" w:color="auto"/>
              <w:right w:val="single" w:sz="4" w:space="0" w:color="auto"/>
            </w:tcBorders>
            <w:shd w:val="clear" w:color="000000" w:fill="CCFFCC"/>
            <w:textDirection w:val="btLr"/>
            <w:vAlign w:val="center"/>
            <w:hideMark/>
          </w:tcPr>
          <w:p w14:paraId="26E426C6" w14:textId="77777777" w:rsidR="001752B7" w:rsidRPr="001752B7" w:rsidRDefault="001752B7" w:rsidP="001752B7">
            <w:pPr>
              <w:spacing w:after="0" w:line="240" w:lineRule="auto"/>
              <w:jc w:val="center"/>
              <w:rPr>
                <w:rFonts w:ascii="Calibri" w:eastAsia="Times New Roman" w:hAnsi="Calibri" w:cs="Calibri"/>
                <w:sz w:val="18"/>
                <w:szCs w:val="18"/>
                <w:lang w:eastAsia="hr-HR"/>
              </w:rPr>
            </w:pPr>
            <w:r w:rsidRPr="001752B7">
              <w:rPr>
                <w:rFonts w:ascii="Calibri" w:eastAsia="Times New Roman" w:hAnsi="Calibri" w:cs="Calibri"/>
                <w:sz w:val="18"/>
                <w:szCs w:val="18"/>
                <w:lang w:eastAsia="hr-HR"/>
              </w:rPr>
              <w:t xml:space="preserve"> DO 12 MJESECI</w:t>
            </w:r>
          </w:p>
        </w:tc>
        <w:tc>
          <w:tcPr>
            <w:tcW w:w="595" w:type="dxa"/>
            <w:tcBorders>
              <w:top w:val="nil"/>
              <w:left w:val="nil"/>
              <w:bottom w:val="single" w:sz="4" w:space="0" w:color="auto"/>
              <w:right w:val="single" w:sz="8" w:space="0" w:color="auto"/>
            </w:tcBorders>
            <w:shd w:val="clear" w:color="000000" w:fill="CCFFCC"/>
            <w:textDirection w:val="btLr"/>
            <w:vAlign w:val="center"/>
            <w:hideMark/>
          </w:tcPr>
          <w:p w14:paraId="19B050B3" w14:textId="77777777" w:rsidR="001752B7" w:rsidRPr="001752B7" w:rsidRDefault="001752B7" w:rsidP="001752B7">
            <w:pPr>
              <w:spacing w:after="0" w:line="240" w:lineRule="auto"/>
              <w:jc w:val="center"/>
              <w:rPr>
                <w:rFonts w:ascii="Calibri" w:eastAsia="Times New Roman" w:hAnsi="Calibri" w:cs="Calibri"/>
                <w:sz w:val="18"/>
                <w:szCs w:val="18"/>
                <w:lang w:eastAsia="hr-HR"/>
              </w:rPr>
            </w:pPr>
            <w:r w:rsidRPr="001752B7">
              <w:rPr>
                <w:rFonts w:ascii="Calibri" w:eastAsia="Times New Roman" w:hAnsi="Calibri" w:cs="Calibri"/>
                <w:sz w:val="18"/>
                <w:szCs w:val="18"/>
                <w:lang w:eastAsia="hr-HR"/>
              </w:rPr>
              <w:t>PREKO 12 MJESECI</w:t>
            </w:r>
          </w:p>
        </w:tc>
        <w:tc>
          <w:tcPr>
            <w:tcW w:w="266" w:type="dxa"/>
            <w:gridSpan w:val="3"/>
            <w:vAlign w:val="center"/>
            <w:hideMark/>
          </w:tcPr>
          <w:p w14:paraId="1C14A38B" w14:textId="77777777" w:rsidR="001752B7" w:rsidRPr="001752B7" w:rsidRDefault="001752B7" w:rsidP="001752B7">
            <w:pPr>
              <w:spacing w:after="0" w:line="240" w:lineRule="auto"/>
              <w:rPr>
                <w:rFonts w:ascii="Times New Roman" w:eastAsia="Times New Roman" w:hAnsi="Times New Roman" w:cs="Times New Roman"/>
                <w:sz w:val="20"/>
                <w:szCs w:val="20"/>
                <w:lang w:eastAsia="hr-HR"/>
              </w:rPr>
            </w:pPr>
          </w:p>
        </w:tc>
      </w:tr>
      <w:tr w:rsidR="001752B7" w:rsidRPr="001752B7" w14:paraId="5FCA9D97" w14:textId="77777777" w:rsidTr="000271A1">
        <w:trPr>
          <w:trHeight w:val="300"/>
        </w:trPr>
        <w:tc>
          <w:tcPr>
            <w:tcW w:w="1404" w:type="dxa"/>
            <w:tcBorders>
              <w:top w:val="single" w:sz="4" w:space="0" w:color="auto"/>
              <w:left w:val="single" w:sz="8" w:space="0" w:color="auto"/>
              <w:bottom w:val="single" w:sz="4" w:space="0" w:color="auto"/>
              <w:right w:val="single" w:sz="4" w:space="0" w:color="auto"/>
            </w:tcBorders>
            <w:shd w:val="clear" w:color="000000" w:fill="CCFFCC"/>
            <w:vAlign w:val="center"/>
            <w:hideMark/>
          </w:tcPr>
          <w:p w14:paraId="5836EE22" w14:textId="77777777" w:rsidR="001752B7" w:rsidRPr="001752B7" w:rsidRDefault="001752B7" w:rsidP="001752B7">
            <w:pPr>
              <w:spacing w:after="0" w:line="240" w:lineRule="auto"/>
              <w:jc w:val="center"/>
              <w:rPr>
                <w:rFonts w:ascii="Calibri" w:eastAsia="Times New Roman" w:hAnsi="Calibri" w:cs="Calibri"/>
                <w:sz w:val="16"/>
                <w:szCs w:val="16"/>
                <w:lang w:eastAsia="hr-HR"/>
              </w:rPr>
            </w:pPr>
            <w:r w:rsidRPr="001752B7">
              <w:rPr>
                <w:rFonts w:ascii="Calibri" w:eastAsia="Times New Roman" w:hAnsi="Calibri" w:cs="Calibri"/>
                <w:sz w:val="16"/>
                <w:szCs w:val="16"/>
                <w:lang w:eastAsia="hr-HR"/>
              </w:rPr>
              <w:t>1.</w:t>
            </w:r>
          </w:p>
        </w:tc>
        <w:tc>
          <w:tcPr>
            <w:tcW w:w="545" w:type="dxa"/>
            <w:tcBorders>
              <w:top w:val="nil"/>
              <w:left w:val="nil"/>
              <w:bottom w:val="single" w:sz="4" w:space="0" w:color="auto"/>
              <w:right w:val="single" w:sz="4" w:space="0" w:color="auto"/>
            </w:tcBorders>
            <w:shd w:val="clear" w:color="000000" w:fill="CCFFCC"/>
            <w:vAlign w:val="center"/>
            <w:hideMark/>
          </w:tcPr>
          <w:p w14:paraId="4E5A7767" w14:textId="77777777" w:rsidR="001752B7" w:rsidRPr="001752B7" w:rsidRDefault="001752B7" w:rsidP="001752B7">
            <w:pPr>
              <w:spacing w:after="0" w:line="240" w:lineRule="auto"/>
              <w:jc w:val="center"/>
              <w:rPr>
                <w:rFonts w:ascii="Calibri" w:eastAsia="Times New Roman" w:hAnsi="Calibri" w:cs="Calibri"/>
                <w:sz w:val="16"/>
                <w:szCs w:val="16"/>
                <w:lang w:eastAsia="hr-HR"/>
              </w:rPr>
            </w:pPr>
            <w:r w:rsidRPr="001752B7">
              <w:rPr>
                <w:rFonts w:ascii="Calibri" w:eastAsia="Times New Roman" w:hAnsi="Calibri" w:cs="Calibri"/>
                <w:sz w:val="16"/>
                <w:szCs w:val="16"/>
                <w:lang w:eastAsia="hr-HR"/>
              </w:rPr>
              <w:t>2.</w:t>
            </w:r>
          </w:p>
        </w:tc>
        <w:tc>
          <w:tcPr>
            <w:tcW w:w="573" w:type="dxa"/>
            <w:tcBorders>
              <w:top w:val="nil"/>
              <w:left w:val="nil"/>
              <w:bottom w:val="single" w:sz="4" w:space="0" w:color="auto"/>
              <w:right w:val="single" w:sz="4" w:space="0" w:color="auto"/>
            </w:tcBorders>
            <w:shd w:val="clear" w:color="000000" w:fill="CCFFCC"/>
            <w:vAlign w:val="center"/>
            <w:hideMark/>
          </w:tcPr>
          <w:p w14:paraId="7FA37737" w14:textId="77777777" w:rsidR="001752B7" w:rsidRPr="001752B7" w:rsidRDefault="001752B7" w:rsidP="001752B7">
            <w:pPr>
              <w:spacing w:after="0" w:line="240" w:lineRule="auto"/>
              <w:jc w:val="center"/>
              <w:rPr>
                <w:rFonts w:ascii="Calibri" w:eastAsia="Times New Roman" w:hAnsi="Calibri" w:cs="Calibri"/>
                <w:sz w:val="16"/>
                <w:szCs w:val="16"/>
                <w:lang w:eastAsia="hr-HR"/>
              </w:rPr>
            </w:pPr>
            <w:r w:rsidRPr="001752B7">
              <w:rPr>
                <w:rFonts w:ascii="Calibri" w:eastAsia="Times New Roman" w:hAnsi="Calibri" w:cs="Calibri"/>
                <w:sz w:val="16"/>
                <w:szCs w:val="16"/>
                <w:lang w:eastAsia="hr-HR"/>
              </w:rPr>
              <w:t>3.</w:t>
            </w:r>
          </w:p>
        </w:tc>
        <w:tc>
          <w:tcPr>
            <w:tcW w:w="855" w:type="dxa"/>
            <w:tcBorders>
              <w:top w:val="single" w:sz="4" w:space="0" w:color="auto"/>
              <w:left w:val="nil"/>
              <w:bottom w:val="single" w:sz="4" w:space="0" w:color="auto"/>
              <w:right w:val="single" w:sz="4" w:space="0" w:color="auto"/>
            </w:tcBorders>
            <w:shd w:val="clear" w:color="000000" w:fill="CCFFCC"/>
            <w:vAlign w:val="center"/>
            <w:hideMark/>
          </w:tcPr>
          <w:p w14:paraId="3D218027" w14:textId="77777777" w:rsidR="001752B7" w:rsidRPr="001752B7" w:rsidRDefault="001752B7" w:rsidP="001752B7">
            <w:pPr>
              <w:spacing w:after="0" w:line="240" w:lineRule="auto"/>
              <w:jc w:val="center"/>
              <w:rPr>
                <w:rFonts w:ascii="Calibri" w:eastAsia="Times New Roman" w:hAnsi="Calibri" w:cs="Calibri"/>
                <w:sz w:val="16"/>
                <w:szCs w:val="16"/>
                <w:lang w:eastAsia="hr-HR"/>
              </w:rPr>
            </w:pPr>
            <w:r w:rsidRPr="001752B7">
              <w:rPr>
                <w:rFonts w:ascii="Calibri" w:eastAsia="Times New Roman" w:hAnsi="Calibri" w:cs="Calibri"/>
                <w:sz w:val="16"/>
                <w:szCs w:val="16"/>
                <w:lang w:eastAsia="hr-HR"/>
              </w:rPr>
              <w:t>4.</w:t>
            </w:r>
          </w:p>
        </w:tc>
        <w:tc>
          <w:tcPr>
            <w:tcW w:w="638" w:type="dxa"/>
            <w:tcBorders>
              <w:top w:val="single" w:sz="4" w:space="0" w:color="auto"/>
              <w:left w:val="nil"/>
              <w:bottom w:val="single" w:sz="4" w:space="0" w:color="auto"/>
              <w:right w:val="single" w:sz="4" w:space="0" w:color="auto"/>
            </w:tcBorders>
            <w:shd w:val="clear" w:color="000000" w:fill="CCFFCC"/>
            <w:vAlign w:val="center"/>
            <w:hideMark/>
          </w:tcPr>
          <w:p w14:paraId="493E25B8" w14:textId="77777777" w:rsidR="001752B7" w:rsidRPr="001752B7" w:rsidRDefault="001752B7" w:rsidP="001752B7">
            <w:pPr>
              <w:spacing w:after="0" w:line="240" w:lineRule="auto"/>
              <w:jc w:val="center"/>
              <w:rPr>
                <w:rFonts w:ascii="Calibri" w:eastAsia="Times New Roman" w:hAnsi="Calibri" w:cs="Calibri"/>
                <w:sz w:val="16"/>
                <w:szCs w:val="16"/>
                <w:lang w:eastAsia="hr-HR"/>
              </w:rPr>
            </w:pPr>
            <w:r w:rsidRPr="001752B7">
              <w:rPr>
                <w:rFonts w:ascii="Calibri" w:eastAsia="Times New Roman" w:hAnsi="Calibri" w:cs="Calibri"/>
                <w:sz w:val="16"/>
                <w:szCs w:val="16"/>
                <w:lang w:eastAsia="hr-HR"/>
              </w:rPr>
              <w:t>5.</w:t>
            </w:r>
          </w:p>
        </w:tc>
        <w:tc>
          <w:tcPr>
            <w:tcW w:w="580" w:type="dxa"/>
            <w:tcBorders>
              <w:top w:val="nil"/>
              <w:left w:val="nil"/>
              <w:bottom w:val="single" w:sz="4" w:space="0" w:color="auto"/>
              <w:right w:val="single" w:sz="4" w:space="0" w:color="auto"/>
            </w:tcBorders>
            <w:shd w:val="clear" w:color="000000" w:fill="CCFFCC"/>
            <w:vAlign w:val="center"/>
            <w:hideMark/>
          </w:tcPr>
          <w:p w14:paraId="7039DD9B" w14:textId="77777777" w:rsidR="001752B7" w:rsidRPr="001752B7" w:rsidRDefault="001752B7" w:rsidP="001752B7">
            <w:pPr>
              <w:spacing w:after="0" w:line="240" w:lineRule="auto"/>
              <w:jc w:val="center"/>
              <w:rPr>
                <w:rFonts w:ascii="Calibri" w:eastAsia="Times New Roman" w:hAnsi="Calibri" w:cs="Calibri"/>
                <w:sz w:val="16"/>
                <w:szCs w:val="16"/>
                <w:lang w:eastAsia="hr-HR"/>
              </w:rPr>
            </w:pPr>
            <w:r w:rsidRPr="001752B7">
              <w:rPr>
                <w:rFonts w:ascii="Calibri" w:eastAsia="Times New Roman" w:hAnsi="Calibri" w:cs="Calibri"/>
                <w:sz w:val="16"/>
                <w:szCs w:val="16"/>
                <w:lang w:eastAsia="hr-HR"/>
              </w:rPr>
              <w:t>6.</w:t>
            </w:r>
          </w:p>
        </w:tc>
        <w:tc>
          <w:tcPr>
            <w:tcW w:w="447" w:type="dxa"/>
            <w:tcBorders>
              <w:top w:val="nil"/>
              <w:left w:val="nil"/>
              <w:bottom w:val="single" w:sz="4" w:space="0" w:color="auto"/>
              <w:right w:val="single" w:sz="4" w:space="0" w:color="auto"/>
            </w:tcBorders>
            <w:shd w:val="clear" w:color="000000" w:fill="CCFFCC"/>
            <w:vAlign w:val="center"/>
            <w:hideMark/>
          </w:tcPr>
          <w:p w14:paraId="76F7745F" w14:textId="77777777" w:rsidR="001752B7" w:rsidRPr="001752B7" w:rsidRDefault="001752B7" w:rsidP="001752B7">
            <w:pPr>
              <w:spacing w:after="0" w:line="240" w:lineRule="auto"/>
              <w:jc w:val="center"/>
              <w:rPr>
                <w:rFonts w:ascii="Calibri" w:eastAsia="Times New Roman" w:hAnsi="Calibri" w:cs="Calibri"/>
                <w:sz w:val="16"/>
                <w:szCs w:val="16"/>
                <w:lang w:eastAsia="hr-HR"/>
              </w:rPr>
            </w:pPr>
            <w:r w:rsidRPr="001752B7">
              <w:rPr>
                <w:rFonts w:ascii="Calibri" w:eastAsia="Times New Roman" w:hAnsi="Calibri" w:cs="Calibri"/>
                <w:sz w:val="16"/>
                <w:szCs w:val="16"/>
                <w:lang w:eastAsia="hr-HR"/>
              </w:rPr>
              <w:t>7.</w:t>
            </w:r>
          </w:p>
        </w:tc>
        <w:tc>
          <w:tcPr>
            <w:tcW w:w="447" w:type="dxa"/>
            <w:tcBorders>
              <w:top w:val="nil"/>
              <w:left w:val="nil"/>
              <w:bottom w:val="single" w:sz="4" w:space="0" w:color="auto"/>
              <w:right w:val="single" w:sz="4" w:space="0" w:color="auto"/>
            </w:tcBorders>
            <w:shd w:val="clear" w:color="000000" w:fill="CCFFCC"/>
            <w:vAlign w:val="center"/>
            <w:hideMark/>
          </w:tcPr>
          <w:p w14:paraId="0E386477" w14:textId="77777777" w:rsidR="001752B7" w:rsidRPr="001752B7" w:rsidRDefault="001752B7" w:rsidP="001752B7">
            <w:pPr>
              <w:spacing w:after="0" w:line="240" w:lineRule="auto"/>
              <w:jc w:val="center"/>
              <w:rPr>
                <w:rFonts w:ascii="Calibri" w:eastAsia="Times New Roman" w:hAnsi="Calibri" w:cs="Calibri"/>
                <w:sz w:val="16"/>
                <w:szCs w:val="16"/>
                <w:lang w:eastAsia="hr-HR"/>
              </w:rPr>
            </w:pPr>
            <w:r w:rsidRPr="001752B7">
              <w:rPr>
                <w:rFonts w:ascii="Calibri" w:eastAsia="Times New Roman" w:hAnsi="Calibri" w:cs="Calibri"/>
                <w:sz w:val="16"/>
                <w:szCs w:val="16"/>
                <w:lang w:eastAsia="hr-HR"/>
              </w:rPr>
              <w:t>8.</w:t>
            </w:r>
          </w:p>
        </w:tc>
        <w:tc>
          <w:tcPr>
            <w:tcW w:w="447" w:type="dxa"/>
            <w:tcBorders>
              <w:top w:val="nil"/>
              <w:left w:val="nil"/>
              <w:bottom w:val="single" w:sz="4" w:space="0" w:color="auto"/>
              <w:right w:val="single" w:sz="4" w:space="0" w:color="auto"/>
            </w:tcBorders>
            <w:shd w:val="clear" w:color="000000" w:fill="CCFFCC"/>
            <w:vAlign w:val="center"/>
            <w:hideMark/>
          </w:tcPr>
          <w:p w14:paraId="2472D7C3" w14:textId="77777777" w:rsidR="001752B7" w:rsidRPr="001752B7" w:rsidRDefault="001752B7" w:rsidP="001752B7">
            <w:pPr>
              <w:spacing w:after="0" w:line="240" w:lineRule="auto"/>
              <w:jc w:val="center"/>
              <w:rPr>
                <w:rFonts w:ascii="Calibri" w:eastAsia="Times New Roman" w:hAnsi="Calibri" w:cs="Calibri"/>
                <w:sz w:val="16"/>
                <w:szCs w:val="16"/>
                <w:lang w:eastAsia="hr-HR"/>
              </w:rPr>
            </w:pPr>
            <w:r w:rsidRPr="001752B7">
              <w:rPr>
                <w:rFonts w:ascii="Calibri" w:eastAsia="Times New Roman" w:hAnsi="Calibri" w:cs="Calibri"/>
                <w:sz w:val="16"/>
                <w:szCs w:val="16"/>
                <w:lang w:eastAsia="hr-HR"/>
              </w:rPr>
              <w:t>9.</w:t>
            </w:r>
          </w:p>
        </w:tc>
        <w:tc>
          <w:tcPr>
            <w:tcW w:w="447" w:type="dxa"/>
            <w:tcBorders>
              <w:top w:val="nil"/>
              <w:left w:val="nil"/>
              <w:bottom w:val="single" w:sz="4" w:space="0" w:color="auto"/>
              <w:right w:val="single" w:sz="4" w:space="0" w:color="auto"/>
            </w:tcBorders>
            <w:shd w:val="clear" w:color="000000" w:fill="CCFFCC"/>
            <w:vAlign w:val="center"/>
            <w:hideMark/>
          </w:tcPr>
          <w:p w14:paraId="64CC25F6" w14:textId="77777777" w:rsidR="001752B7" w:rsidRPr="001752B7" w:rsidRDefault="001752B7" w:rsidP="001752B7">
            <w:pPr>
              <w:spacing w:after="0" w:line="240" w:lineRule="auto"/>
              <w:jc w:val="center"/>
              <w:rPr>
                <w:rFonts w:ascii="Calibri" w:eastAsia="Times New Roman" w:hAnsi="Calibri" w:cs="Calibri"/>
                <w:sz w:val="16"/>
                <w:szCs w:val="16"/>
                <w:lang w:eastAsia="hr-HR"/>
              </w:rPr>
            </w:pPr>
            <w:r w:rsidRPr="001752B7">
              <w:rPr>
                <w:rFonts w:ascii="Calibri" w:eastAsia="Times New Roman" w:hAnsi="Calibri" w:cs="Calibri"/>
                <w:sz w:val="16"/>
                <w:szCs w:val="16"/>
                <w:lang w:eastAsia="hr-HR"/>
              </w:rPr>
              <w:t>10.</w:t>
            </w:r>
          </w:p>
        </w:tc>
        <w:tc>
          <w:tcPr>
            <w:tcW w:w="572" w:type="dxa"/>
            <w:tcBorders>
              <w:top w:val="nil"/>
              <w:left w:val="nil"/>
              <w:bottom w:val="single" w:sz="4" w:space="0" w:color="auto"/>
              <w:right w:val="single" w:sz="4" w:space="0" w:color="auto"/>
            </w:tcBorders>
            <w:shd w:val="clear" w:color="000000" w:fill="CCFFCC"/>
            <w:vAlign w:val="center"/>
            <w:hideMark/>
          </w:tcPr>
          <w:p w14:paraId="06D92B35" w14:textId="77777777" w:rsidR="001752B7" w:rsidRPr="001752B7" w:rsidRDefault="001752B7" w:rsidP="001752B7">
            <w:pPr>
              <w:spacing w:after="0" w:line="240" w:lineRule="auto"/>
              <w:jc w:val="center"/>
              <w:rPr>
                <w:rFonts w:ascii="Calibri" w:eastAsia="Times New Roman" w:hAnsi="Calibri" w:cs="Calibri"/>
                <w:sz w:val="16"/>
                <w:szCs w:val="16"/>
                <w:lang w:eastAsia="hr-HR"/>
              </w:rPr>
            </w:pPr>
            <w:r w:rsidRPr="001752B7">
              <w:rPr>
                <w:rFonts w:ascii="Calibri" w:eastAsia="Times New Roman" w:hAnsi="Calibri" w:cs="Calibri"/>
                <w:sz w:val="16"/>
                <w:szCs w:val="16"/>
                <w:lang w:eastAsia="hr-HR"/>
              </w:rPr>
              <w:t>11.</w:t>
            </w:r>
          </w:p>
        </w:tc>
        <w:tc>
          <w:tcPr>
            <w:tcW w:w="467" w:type="dxa"/>
            <w:tcBorders>
              <w:top w:val="nil"/>
              <w:left w:val="nil"/>
              <w:bottom w:val="single" w:sz="4" w:space="0" w:color="auto"/>
              <w:right w:val="single" w:sz="4" w:space="0" w:color="auto"/>
            </w:tcBorders>
            <w:shd w:val="clear" w:color="000000" w:fill="CCFFCC"/>
            <w:vAlign w:val="center"/>
            <w:hideMark/>
          </w:tcPr>
          <w:p w14:paraId="545B45C0" w14:textId="77777777" w:rsidR="001752B7" w:rsidRPr="001752B7" w:rsidRDefault="001752B7" w:rsidP="001752B7">
            <w:pPr>
              <w:spacing w:after="0" w:line="240" w:lineRule="auto"/>
              <w:jc w:val="center"/>
              <w:rPr>
                <w:rFonts w:ascii="Calibri" w:eastAsia="Times New Roman" w:hAnsi="Calibri" w:cs="Calibri"/>
                <w:sz w:val="16"/>
                <w:szCs w:val="16"/>
                <w:lang w:eastAsia="hr-HR"/>
              </w:rPr>
            </w:pPr>
            <w:r w:rsidRPr="001752B7">
              <w:rPr>
                <w:rFonts w:ascii="Calibri" w:eastAsia="Times New Roman" w:hAnsi="Calibri" w:cs="Calibri"/>
                <w:sz w:val="16"/>
                <w:szCs w:val="16"/>
                <w:lang w:eastAsia="hr-HR"/>
              </w:rPr>
              <w:t>12.</w:t>
            </w:r>
          </w:p>
        </w:tc>
        <w:tc>
          <w:tcPr>
            <w:tcW w:w="579" w:type="dxa"/>
            <w:tcBorders>
              <w:top w:val="nil"/>
              <w:left w:val="nil"/>
              <w:bottom w:val="single" w:sz="4" w:space="0" w:color="auto"/>
              <w:right w:val="single" w:sz="4" w:space="0" w:color="auto"/>
            </w:tcBorders>
            <w:shd w:val="clear" w:color="000000" w:fill="CCFFCC"/>
            <w:vAlign w:val="center"/>
            <w:hideMark/>
          </w:tcPr>
          <w:p w14:paraId="4C8FCB1D" w14:textId="77777777" w:rsidR="001752B7" w:rsidRPr="001752B7" w:rsidRDefault="001752B7" w:rsidP="001752B7">
            <w:pPr>
              <w:spacing w:after="0" w:line="240" w:lineRule="auto"/>
              <w:jc w:val="center"/>
              <w:rPr>
                <w:rFonts w:ascii="Calibri" w:eastAsia="Times New Roman" w:hAnsi="Calibri" w:cs="Calibri"/>
                <w:sz w:val="16"/>
                <w:szCs w:val="16"/>
                <w:lang w:eastAsia="hr-HR"/>
              </w:rPr>
            </w:pPr>
            <w:r w:rsidRPr="001752B7">
              <w:rPr>
                <w:rFonts w:ascii="Calibri" w:eastAsia="Times New Roman" w:hAnsi="Calibri" w:cs="Calibri"/>
                <w:sz w:val="16"/>
                <w:szCs w:val="16"/>
                <w:lang w:eastAsia="hr-HR"/>
              </w:rPr>
              <w:t>13.</w:t>
            </w:r>
          </w:p>
        </w:tc>
        <w:tc>
          <w:tcPr>
            <w:tcW w:w="447" w:type="dxa"/>
            <w:tcBorders>
              <w:top w:val="nil"/>
              <w:left w:val="nil"/>
              <w:bottom w:val="single" w:sz="4" w:space="0" w:color="auto"/>
              <w:right w:val="single" w:sz="4" w:space="0" w:color="auto"/>
            </w:tcBorders>
            <w:shd w:val="clear" w:color="000000" w:fill="CCFFCC"/>
            <w:vAlign w:val="center"/>
            <w:hideMark/>
          </w:tcPr>
          <w:p w14:paraId="436FF4BF" w14:textId="77777777" w:rsidR="001752B7" w:rsidRPr="001752B7" w:rsidRDefault="001752B7" w:rsidP="001752B7">
            <w:pPr>
              <w:spacing w:after="0" w:line="240" w:lineRule="auto"/>
              <w:jc w:val="center"/>
              <w:rPr>
                <w:rFonts w:ascii="Calibri" w:eastAsia="Times New Roman" w:hAnsi="Calibri" w:cs="Calibri"/>
                <w:sz w:val="16"/>
                <w:szCs w:val="16"/>
                <w:lang w:eastAsia="hr-HR"/>
              </w:rPr>
            </w:pPr>
            <w:r w:rsidRPr="001752B7">
              <w:rPr>
                <w:rFonts w:ascii="Calibri" w:eastAsia="Times New Roman" w:hAnsi="Calibri" w:cs="Calibri"/>
                <w:sz w:val="16"/>
                <w:szCs w:val="16"/>
                <w:lang w:eastAsia="hr-HR"/>
              </w:rPr>
              <w:t>14.</w:t>
            </w:r>
          </w:p>
        </w:tc>
        <w:tc>
          <w:tcPr>
            <w:tcW w:w="447" w:type="dxa"/>
            <w:tcBorders>
              <w:top w:val="nil"/>
              <w:left w:val="nil"/>
              <w:bottom w:val="single" w:sz="4" w:space="0" w:color="auto"/>
              <w:right w:val="single" w:sz="4" w:space="0" w:color="auto"/>
            </w:tcBorders>
            <w:shd w:val="clear" w:color="000000" w:fill="CCFFCC"/>
            <w:vAlign w:val="center"/>
            <w:hideMark/>
          </w:tcPr>
          <w:p w14:paraId="390D1BBA" w14:textId="77777777" w:rsidR="001752B7" w:rsidRPr="001752B7" w:rsidRDefault="001752B7" w:rsidP="001752B7">
            <w:pPr>
              <w:spacing w:after="0" w:line="240" w:lineRule="auto"/>
              <w:jc w:val="center"/>
              <w:rPr>
                <w:rFonts w:ascii="Calibri" w:eastAsia="Times New Roman" w:hAnsi="Calibri" w:cs="Calibri"/>
                <w:sz w:val="16"/>
                <w:szCs w:val="16"/>
                <w:lang w:eastAsia="hr-HR"/>
              </w:rPr>
            </w:pPr>
            <w:r w:rsidRPr="001752B7">
              <w:rPr>
                <w:rFonts w:ascii="Calibri" w:eastAsia="Times New Roman" w:hAnsi="Calibri" w:cs="Calibri"/>
                <w:sz w:val="16"/>
                <w:szCs w:val="16"/>
                <w:lang w:eastAsia="hr-HR"/>
              </w:rPr>
              <w:t>15.</w:t>
            </w:r>
          </w:p>
        </w:tc>
        <w:tc>
          <w:tcPr>
            <w:tcW w:w="698" w:type="dxa"/>
            <w:tcBorders>
              <w:top w:val="nil"/>
              <w:left w:val="nil"/>
              <w:bottom w:val="single" w:sz="4" w:space="0" w:color="auto"/>
              <w:right w:val="single" w:sz="4" w:space="0" w:color="auto"/>
            </w:tcBorders>
            <w:shd w:val="clear" w:color="000000" w:fill="CCFFCC"/>
            <w:vAlign w:val="center"/>
            <w:hideMark/>
          </w:tcPr>
          <w:p w14:paraId="46ED8E54" w14:textId="77777777" w:rsidR="001752B7" w:rsidRPr="001752B7" w:rsidRDefault="001752B7" w:rsidP="001752B7">
            <w:pPr>
              <w:spacing w:after="0" w:line="240" w:lineRule="auto"/>
              <w:jc w:val="center"/>
              <w:rPr>
                <w:rFonts w:ascii="Calibri" w:eastAsia="Times New Roman" w:hAnsi="Calibri" w:cs="Calibri"/>
                <w:sz w:val="16"/>
                <w:szCs w:val="16"/>
                <w:lang w:eastAsia="hr-HR"/>
              </w:rPr>
            </w:pPr>
            <w:r w:rsidRPr="001752B7">
              <w:rPr>
                <w:rFonts w:ascii="Calibri" w:eastAsia="Times New Roman" w:hAnsi="Calibri" w:cs="Calibri"/>
                <w:sz w:val="16"/>
                <w:szCs w:val="16"/>
                <w:lang w:eastAsia="hr-HR"/>
              </w:rPr>
              <w:t>16.</w:t>
            </w:r>
          </w:p>
        </w:tc>
        <w:tc>
          <w:tcPr>
            <w:tcW w:w="447" w:type="dxa"/>
            <w:tcBorders>
              <w:top w:val="nil"/>
              <w:left w:val="nil"/>
              <w:bottom w:val="single" w:sz="4" w:space="0" w:color="auto"/>
              <w:right w:val="single" w:sz="4" w:space="0" w:color="auto"/>
            </w:tcBorders>
            <w:shd w:val="clear" w:color="000000" w:fill="CCFFCC"/>
            <w:vAlign w:val="center"/>
            <w:hideMark/>
          </w:tcPr>
          <w:p w14:paraId="227A0B9A" w14:textId="77777777" w:rsidR="001752B7" w:rsidRPr="001752B7" w:rsidRDefault="001752B7" w:rsidP="001752B7">
            <w:pPr>
              <w:spacing w:after="0" w:line="240" w:lineRule="auto"/>
              <w:jc w:val="center"/>
              <w:rPr>
                <w:rFonts w:ascii="Calibri" w:eastAsia="Times New Roman" w:hAnsi="Calibri" w:cs="Calibri"/>
                <w:sz w:val="16"/>
                <w:szCs w:val="16"/>
                <w:lang w:eastAsia="hr-HR"/>
              </w:rPr>
            </w:pPr>
            <w:r w:rsidRPr="001752B7">
              <w:rPr>
                <w:rFonts w:ascii="Calibri" w:eastAsia="Times New Roman" w:hAnsi="Calibri" w:cs="Calibri"/>
                <w:sz w:val="16"/>
                <w:szCs w:val="16"/>
                <w:lang w:eastAsia="hr-HR"/>
              </w:rPr>
              <w:t>17.</w:t>
            </w:r>
          </w:p>
        </w:tc>
        <w:tc>
          <w:tcPr>
            <w:tcW w:w="652" w:type="dxa"/>
            <w:tcBorders>
              <w:top w:val="nil"/>
              <w:left w:val="nil"/>
              <w:bottom w:val="single" w:sz="4" w:space="0" w:color="auto"/>
              <w:right w:val="single" w:sz="4" w:space="0" w:color="auto"/>
            </w:tcBorders>
            <w:shd w:val="clear" w:color="000000" w:fill="CCFFCC"/>
            <w:vAlign w:val="center"/>
            <w:hideMark/>
          </w:tcPr>
          <w:p w14:paraId="3F1BD9AE" w14:textId="77777777" w:rsidR="001752B7" w:rsidRPr="001752B7" w:rsidRDefault="001752B7" w:rsidP="001752B7">
            <w:pPr>
              <w:spacing w:after="0" w:line="240" w:lineRule="auto"/>
              <w:jc w:val="center"/>
              <w:rPr>
                <w:rFonts w:ascii="Calibri" w:eastAsia="Times New Roman" w:hAnsi="Calibri" w:cs="Calibri"/>
                <w:sz w:val="16"/>
                <w:szCs w:val="16"/>
                <w:lang w:eastAsia="hr-HR"/>
              </w:rPr>
            </w:pPr>
            <w:r w:rsidRPr="001752B7">
              <w:rPr>
                <w:rFonts w:ascii="Calibri" w:eastAsia="Times New Roman" w:hAnsi="Calibri" w:cs="Calibri"/>
                <w:sz w:val="16"/>
                <w:szCs w:val="16"/>
                <w:lang w:eastAsia="hr-HR"/>
              </w:rPr>
              <w:t>18.</w:t>
            </w:r>
          </w:p>
        </w:tc>
        <w:tc>
          <w:tcPr>
            <w:tcW w:w="614" w:type="dxa"/>
            <w:tcBorders>
              <w:top w:val="nil"/>
              <w:left w:val="nil"/>
              <w:bottom w:val="single" w:sz="4" w:space="0" w:color="auto"/>
              <w:right w:val="single" w:sz="4" w:space="0" w:color="auto"/>
            </w:tcBorders>
            <w:shd w:val="clear" w:color="000000" w:fill="CCFFCC"/>
            <w:vAlign w:val="center"/>
            <w:hideMark/>
          </w:tcPr>
          <w:p w14:paraId="2A7AADAC" w14:textId="77777777" w:rsidR="001752B7" w:rsidRPr="001752B7" w:rsidRDefault="001752B7" w:rsidP="001752B7">
            <w:pPr>
              <w:spacing w:after="0" w:line="240" w:lineRule="auto"/>
              <w:jc w:val="center"/>
              <w:rPr>
                <w:rFonts w:ascii="Calibri" w:eastAsia="Times New Roman" w:hAnsi="Calibri" w:cs="Calibri"/>
                <w:sz w:val="16"/>
                <w:szCs w:val="16"/>
                <w:lang w:eastAsia="hr-HR"/>
              </w:rPr>
            </w:pPr>
            <w:r w:rsidRPr="001752B7">
              <w:rPr>
                <w:rFonts w:ascii="Calibri" w:eastAsia="Times New Roman" w:hAnsi="Calibri" w:cs="Calibri"/>
                <w:sz w:val="16"/>
                <w:szCs w:val="16"/>
                <w:lang w:eastAsia="hr-HR"/>
              </w:rPr>
              <w:t>19.</w:t>
            </w:r>
          </w:p>
        </w:tc>
        <w:tc>
          <w:tcPr>
            <w:tcW w:w="519" w:type="dxa"/>
            <w:tcBorders>
              <w:top w:val="nil"/>
              <w:left w:val="nil"/>
              <w:bottom w:val="single" w:sz="4" w:space="0" w:color="auto"/>
              <w:right w:val="single" w:sz="4" w:space="0" w:color="auto"/>
            </w:tcBorders>
            <w:shd w:val="clear" w:color="000000" w:fill="CCFFCC"/>
            <w:vAlign w:val="center"/>
            <w:hideMark/>
          </w:tcPr>
          <w:p w14:paraId="3F656192" w14:textId="77777777" w:rsidR="001752B7" w:rsidRPr="001752B7" w:rsidRDefault="001752B7" w:rsidP="001752B7">
            <w:pPr>
              <w:spacing w:after="0" w:line="240" w:lineRule="auto"/>
              <w:jc w:val="center"/>
              <w:rPr>
                <w:rFonts w:ascii="Calibri" w:eastAsia="Times New Roman" w:hAnsi="Calibri" w:cs="Calibri"/>
                <w:sz w:val="16"/>
                <w:szCs w:val="16"/>
                <w:lang w:eastAsia="hr-HR"/>
              </w:rPr>
            </w:pPr>
            <w:r w:rsidRPr="001752B7">
              <w:rPr>
                <w:rFonts w:ascii="Calibri" w:eastAsia="Times New Roman" w:hAnsi="Calibri" w:cs="Calibri"/>
                <w:sz w:val="16"/>
                <w:szCs w:val="16"/>
                <w:lang w:eastAsia="hr-HR"/>
              </w:rPr>
              <w:t>20.</w:t>
            </w:r>
          </w:p>
        </w:tc>
        <w:tc>
          <w:tcPr>
            <w:tcW w:w="477" w:type="dxa"/>
            <w:tcBorders>
              <w:top w:val="nil"/>
              <w:left w:val="nil"/>
              <w:bottom w:val="single" w:sz="4" w:space="0" w:color="auto"/>
              <w:right w:val="single" w:sz="4" w:space="0" w:color="auto"/>
            </w:tcBorders>
            <w:shd w:val="clear" w:color="000000" w:fill="CCFFCC"/>
            <w:vAlign w:val="center"/>
            <w:hideMark/>
          </w:tcPr>
          <w:p w14:paraId="2F5CFFD2" w14:textId="77777777" w:rsidR="001752B7" w:rsidRPr="001752B7" w:rsidRDefault="001752B7" w:rsidP="001752B7">
            <w:pPr>
              <w:spacing w:after="0" w:line="240" w:lineRule="auto"/>
              <w:jc w:val="center"/>
              <w:rPr>
                <w:rFonts w:ascii="Calibri" w:eastAsia="Times New Roman" w:hAnsi="Calibri" w:cs="Calibri"/>
                <w:sz w:val="16"/>
                <w:szCs w:val="16"/>
                <w:lang w:eastAsia="hr-HR"/>
              </w:rPr>
            </w:pPr>
            <w:r w:rsidRPr="001752B7">
              <w:rPr>
                <w:rFonts w:ascii="Calibri" w:eastAsia="Times New Roman" w:hAnsi="Calibri" w:cs="Calibri"/>
                <w:sz w:val="16"/>
                <w:szCs w:val="16"/>
                <w:lang w:eastAsia="hr-HR"/>
              </w:rPr>
              <w:t>21.</w:t>
            </w:r>
          </w:p>
        </w:tc>
        <w:tc>
          <w:tcPr>
            <w:tcW w:w="506" w:type="dxa"/>
            <w:tcBorders>
              <w:top w:val="nil"/>
              <w:left w:val="nil"/>
              <w:bottom w:val="single" w:sz="4" w:space="0" w:color="auto"/>
              <w:right w:val="single" w:sz="4" w:space="0" w:color="auto"/>
            </w:tcBorders>
            <w:shd w:val="clear" w:color="000000" w:fill="CCFFCC"/>
            <w:vAlign w:val="center"/>
            <w:hideMark/>
          </w:tcPr>
          <w:p w14:paraId="1DCEF6B4" w14:textId="77777777" w:rsidR="001752B7" w:rsidRPr="001752B7" w:rsidRDefault="001752B7" w:rsidP="001752B7">
            <w:pPr>
              <w:spacing w:after="0" w:line="240" w:lineRule="auto"/>
              <w:jc w:val="center"/>
              <w:rPr>
                <w:rFonts w:ascii="Calibri" w:eastAsia="Times New Roman" w:hAnsi="Calibri" w:cs="Calibri"/>
                <w:sz w:val="16"/>
                <w:szCs w:val="16"/>
                <w:lang w:eastAsia="hr-HR"/>
              </w:rPr>
            </w:pPr>
            <w:r w:rsidRPr="001752B7">
              <w:rPr>
                <w:rFonts w:ascii="Calibri" w:eastAsia="Times New Roman" w:hAnsi="Calibri" w:cs="Calibri"/>
                <w:sz w:val="16"/>
                <w:szCs w:val="16"/>
                <w:lang w:eastAsia="hr-HR"/>
              </w:rPr>
              <w:t>22.</w:t>
            </w:r>
          </w:p>
        </w:tc>
        <w:tc>
          <w:tcPr>
            <w:tcW w:w="485" w:type="dxa"/>
            <w:tcBorders>
              <w:top w:val="nil"/>
              <w:left w:val="nil"/>
              <w:bottom w:val="single" w:sz="4" w:space="0" w:color="auto"/>
              <w:right w:val="single" w:sz="4" w:space="0" w:color="auto"/>
            </w:tcBorders>
            <w:shd w:val="clear" w:color="000000" w:fill="CCFFCC"/>
            <w:vAlign w:val="center"/>
            <w:hideMark/>
          </w:tcPr>
          <w:p w14:paraId="27DB21F2" w14:textId="77777777" w:rsidR="001752B7" w:rsidRPr="001752B7" w:rsidRDefault="001752B7" w:rsidP="001752B7">
            <w:pPr>
              <w:spacing w:after="0" w:line="240" w:lineRule="auto"/>
              <w:jc w:val="center"/>
              <w:rPr>
                <w:rFonts w:ascii="Calibri" w:eastAsia="Times New Roman" w:hAnsi="Calibri" w:cs="Calibri"/>
                <w:sz w:val="16"/>
                <w:szCs w:val="16"/>
                <w:lang w:eastAsia="hr-HR"/>
              </w:rPr>
            </w:pPr>
            <w:r w:rsidRPr="001752B7">
              <w:rPr>
                <w:rFonts w:ascii="Calibri" w:eastAsia="Times New Roman" w:hAnsi="Calibri" w:cs="Calibri"/>
                <w:sz w:val="16"/>
                <w:szCs w:val="16"/>
                <w:lang w:eastAsia="hr-HR"/>
              </w:rPr>
              <w:t>23.</w:t>
            </w:r>
          </w:p>
        </w:tc>
        <w:tc>
          <w:tcPr>
            <w:tcW w:w="561" w:type="dxa"/>
            <w:tcBorders>
              <w:top w:val="nil"/>
              <w:left w:val="nil"/>
              <w:bottom w:val="single" w:sz="4" w:space="0" w:color="auto"/>
              <w:right w:val="single" w:sz="4" w:space="0" w:color="auto"/>
            </w:tcBorders>
            <w:shd w:val="clear" w:color="000000" w:fill="CCFFCC"/>
            <w:vAlign w:val="center"/>
            <w:hideMark/>
          </w:tcPr>
          <w:p w14:paraId="1CB2107E" w14:textId="77777777" w:rsidR="001752B7" w:rsidRPr="001752B7" w:rsidRDefault="001752B7" w:rsidP="001752B7">
            <w:pPr>
              <w:spacing w:after="0" w:line="240" w:lineRule="auto"/>
              <w:jc w:val="center"/>
              <w:rPr>
                <w:rFonts w:ascii="Calibri" w:eastAsia="Times New Roman" w:hAnsi="Calibri" w:cs="Calibri"/>
                <w:sz w:val="16"/>
                <w:szCs w:val="16"/>
                <w:lang w:eastAsia="hr-HR"/>
              </w:rPr>
            </w:pPr>
            <w:r w:rsidRPr="001752B7">
              <w:rPr>
                <w:rFonts w:ascii="Calibri" w:eastAsia="Times New Roman" w:hAnsi="Calibri" w:cs="Calibri"/>
                <w:sz w:val="16"/>
                <w:szCs w:val="16"/>
                <w:lang w:eastAsia="hr-HR"/>
              </w:rPr>
              <w:t>24.</w:t>
            </w:r>
          </w:p>
        </w:tc>
        <w:tc>
          <w:tcPr>
            <w:tcW w:w="595" w:type="dxa"/>
            <w:tcBorders>
              <w:top w:val="nil"/>
              <w:left w:val="nil"/>
              <w:bottom w:val="single" w:sz="4" w:space="0" w:color="auto"/>
              <w:right w:val="single" w:sz="8" w:space="0" w:color="auto"/>
            </w:tcBorders>
            <w:shd w:val="clear" w:color="000000" w:fill="CCFFCC"/>
            <w:vAlign w:val="center"/>
            <w:hideMark/>
          </w:tcPr>
          <w:p w14:paraId="762F6180" w14:textId="77777777" w:rsidR="001752B7" w:rsidRPr="001752B7" w:rsidRDefault="001752B7" w:rsidP="001752B7">
            <w:pPr>
              <w:spacing w:after="0" w:line="240" w:lineRule="auto"/>
              <w:jc w:val="center"/>
              <w:rPr>
                <w:rFonts w:ascii="Calibri" w:eastAsia="Times New Roman" w:hAnsi="Calibri" w:cs="Calibri"/>
                <w:sz w:val="16"/>
                <w:szCs w:val="16"/>
                <w:lang w:eastAsia="hr-HR"/>
              </w:rPr>
            </w:pPr>
            <w:r w:rsidRPr="001752B7">
              <w:rPr>
                <w:rFonts w:ascii="Calibri" w:eastAsia="Times New Roman" w:hAnsi="Calibri" w:cs="Calibri"/>
                <w:sz w:val="16"/>
                <w:szCs w:val="16"/>
                <w:lang w:eastAsia="hr-HR"/>
              </w:rPr>
              <w:t>25.</w:t>
            </w:r>
          </w:p>
        </w:tc>
        <w:tc>
          <w:tcPr>
            <w:tcW w:w="266" w:type="dxa"/>
            <w:gridSpan w:val="3"/>
            <w:vAlign w:val="center"/>
            <w:hideMark/>
          </w:tcPr>
          <w:p w14:paraId="12BC6064" w14:textId="77777777" w:rsidR="001752B7" w:rsidRPr="001752B7" w:rsidRDefault="001752B7" w:rsidP="001752B7">
            <w:pPr>
              <w:spacing w:after="0" w:line="240" w:lineRule="auto"/>
              <w:rPr>
                <w:rFonts w:ascii="Times New Roman" w:eastAsia="Times New Roman" w:hAnsi="Times New Roman" w:cs="Times New Roman"/>
                <w:sz w:val="20"/>
                <w:szCs w:val="20"/>
                <w:lang w:eastAsia="hr-HR"/>
              </w:rPr>
            </w:pPr>
          </w:p>
        </w:tc>
      </w:tr>
      <w:tr w:rsidR="001752B7" w:rsidRPr="001752B7" w14:paraId="77179AD2" w14:textId="77777777" w:rsidTr="000271A1">
        <w:trPr>
          <w:trHeight w:val="300"/>
        </w:trPr>
        <w:tc>
          <w:tcPr>
            <w:tcW w:w="1404" w:type="dxa"/>
            <w:tcBorders>
              <w:top w:val="single" w:sz="4" w:space="0" w:color="auto"/>
              <w:left w:val="single" w:sz="8" w:space="0" w:color="auto"/>
              <w:bottom w:val="single" w:sz="4" w:space="0" w:color="auto"/>
              <w:right w:val="single" w:sz="4" w:space="0" w:color="auto"/>
            </w:tcBorders>
            <w:shd w:val="clear" w:color="000000" w:fill="CCFFCC"/>
            <w:vAlign w:val="center"/>
            <w:hideMark/>
          </w:tcPr>
          <w:p w14:paraId="7B0C8BB5" w14:textId="77777777" w:rsidR="001752B7" w:rsidRPr="001752B7" w:rsidRDefault="001752B7" w:rsidP="001752B7">
            <w:pPr>
              <w:spacing w:after="0" w:line="240" w:lineRule="auto"/>
              <w:rPr>
                <w:rFonts w:ascii="Calibri" w:eastAsia="Times New Roman" w:hAnsi="Calibri" w:cs="Calibri"/>
                <w:lang w:eastAsia="hr-HR"/>
              </w:rPr>
            </w:pPr>
            <w:r w:rsidRPr="001752B7">
              <w:rPr>
                <w:rFonts w:ascii="Calibri" w:eastAsia="Times New Roman" w:hAnsi="Calibri" w:cs="Calibri"/>
                <w:lang w:eastAsia="hr-HR"/>
              </w:rPr>
              <w:t xml:space="preserve">Rasa ili etnička </w:t>
            </w:r>
            <w:proofErr w:type="spellStart"/>
            <w:r w:rsidRPr="001752B7">
              <w:rPr>
                <w:rFonts w:ascii="Calibri" w:eastAsia="Times New Roman" w:hAnsi="Calibri" w:cs="Calibri"/>
                <w:lang w:eastAsia="hr-HR"/>
              </w:rPr>
              <w:t>propadnost</w:t>
            </w:r>
            <w:proofErr w:type="spellEnd"/>
            <w:r w:rsidRPr="001752B7">
              <w:rPr>
                <w:rFonts w:ascii="Calibri" w:eastAsia="Times New Roman" w:hAnsi="Calibri" w:cs="Calibri"/>
                <w:lang w:eastAsia="hr-HR"/>
              </w:rPr>
              <w:t xml:space="preserve"> ili boja kože</w:t>
            </w:r>
          </w:p>
        </w:tc>
        <w:tc>
          <w:tcPr>
            <w:tcW w:w="545" w:type="dxa"/>
            <w:tcBorders>
              <w:top w:val="nil"/>
              <w:left w:val="nil"/>
              <w:bottom w:val="single" w:sz="4" w:space="0" w:color="auto"/>
              <w:right w:val="single" w:sz="4" w:space="0" w:color="auto"/>
            </w:tcBorders>
            <w:shd w:val="clear" w:color="000000" w:fill="CCFFCC"/>
            <w:vAlign w:val="center"/>
            <w:hideMark/>
          </w:tcPr>
          <w:p w14:paraId="2B58A780" w14:textId="77777777" w:rsidR="001752B7" w:rsidRPr="001752B7" w:rsidRDefault="001752B7" w:rsidP="001752B7">
            <w:pPr>
              <w:spacing w:after="0" w:line="240" w:lineRule="auto"/>
              <w:jc w:val="right"/>
              <w:rPr>
                <w:rFonts w:ascii="Calibri" w:eastAsia="Times New Roman" w:hAnsi="Calibri" w:cs="Calibri"/>
                <w:lang w:eastAsia="hr-HR"/>
              </w:rPr>
            </w:pPr>
            <w:r w:rsidRPr="001752B7">
              <w:rPr>
                <w:rFonts w:ascii="Calibri" w:eastAsia="Times New Roman" w:hAnsi="Calibri" w:cs="Calibri"/>
                <w:lang w:eastAsia="hr-HR"/>
              </w:rPr>
              <w:t>9</w:t>
            </w:r>
          </w:p>
        </w:tc>
        <w:tc>
          <w:tcPr>
            <w:tcW w:w="573" w:type="dxa"/>
            <w:tcBorders>
              <w:top w:val="nil"/>
              <w:left w:val="nil"/>
              <w:bottom w:val="single" w:sz="4" w:space="0" w:color="auto"/>
              <w:right w:val="single" w:sz="4" w:space="0" w:color="auto"/>
            </w:tcBorders>
            <w:shd w:val="clear" w:color="000000" w:fill="FFCC99"/>
            <w:noWrap/>
            <w:vAlign w:val="bottom"/>
            <w:hideMark/>
          </w:tcPr>
          <w:p w14:paraId="031EA003" w14:textId="77777777" w:rsidR="001752B7" w:rsidRPr="001752B7" w:rsidRDefault="001752B7" w:rsidP="001752B7">
            <w:pPr>
              <w:spacing w:after="0" w:line="240" w:lineRule="auto"/>
              <w:jc w:val="right"/>
              <w:rPr>
                <w:rFonts w:ascii="Calibri" w:eastAsia="Times New Roman" w:hAnsi="Calibri" w:cs="Calibri"/>
                <w:lang w:eastAsia="hr-HR"/>
              </w:rPr>
            </w:pPr>
            <w:r w:rsidRPr="001752B7">
              <w:rPr>
                <w:rFonts w:ascii="Calibri" w:eastAsia="Times New Roman" w:hAnsi="Calibri" w:cs="Calibri"/>
                <w:lang w:eastAsia="hr-HR"/>
              </w:rPr>
              <w:t>11</w:t>
            </w:r>
          </w:p>
        </w:tc>
        <w:tc>
          <w:tcPr>
            <w:tcW w:w="855" w:type="dxa"/>
            <w:tcBorders>
              <w:top w:val="nil"/>
              <w:left w:val="nil"/>
              <w:bottom w:val="single" w:sz="4" w:space="0" w:color="auto"/>
              <w:right w:val="single" w:sz="4" w:space="0" w:color="auto"/>
            </w:tcBorders>
            <w:shd w:val="clear" w:color="000000" w:fill="CCFFFF"/>
            <w:noWrap/>
            <w:vAlign w:val="bottom"/>
            <w:hideMark/>
          </w:tcPr>
          <w:p w14:paraId="48ED43A5" w14:textId="77777777" w:rsidR="001752B7" w:rsidRPr="001752B7" w:rsidRDefault="001752B7" w:rsidP="001752B7">
            <w:pPr>
              <w:spacing w:after="0" w:line="240" w:lineRule="auto"/>
              <w:jc w:val="right"/>
              <w:rPr>
                <w:rFonts w:ascii="Calibri" w:eastAsia="Times New Roman" w:hAnsi="Calibri" w:cs="Calibri"/>
                <w:lang w:eastAsia="hr-HR"/>
              </w:rPr>
            </w:pPr>
            <w:r w:rsidRPr="001752B7">
              <w:rPr>
                <w:rFonts w:ascii="Calibri" w:eastAsia="Times New Roman" w:hAnsi="Calibri" w:cs="Calibri"/>
                <w:lang w:eastAsia="hr-HR"/>
              </w:rPr>
              <w:t>2</w:t>
            </w:r>
          </w:p>
        </w:tc>
        <w:tc>
          <w:tcPr>
            <w:tcW w:w="638" w:type="dxa"/>
            <w:tcBorders>
              <w:top w:val="nil"/>
              <w:left w:val="nil"/>
              <w:bottom w:val="single" w:sz="4" w:space="0" w:color="auto"/>
              <w:right w:val="single" w:sz="4" w:space="0" w:color="auto"/>
            </w:tcBorders>
            <w:shd w:val="clear" w:color="000000" w:fill="CCFFFF"/>
            <w:noWrap/>
            <w:vAlign w:val="bottom"/>
            <w:hideMark/>
          </w:tcPr>
          <w:p w14:paraId="5148DF65" w14:textId="77777777" w:rsidR="001752B7" w:rsidRPr="001752B7" w:rsidRDefault="001752B7" w:rsidP="001752B7">
            <w:pPr>
              <w:spacing w:after="0" w:line="240" w:lineRule="auto"/>
              <w:jc w:val="right"/>
              <w:rPr>
                <w:rFonts w:ascii="Calibri" w:eastAsia="Times New Roman" w:hAnsi="Calibri" w:cs="Calibri"/>
                <w:lang w:eastAsia="hr-HR"/>
              </w:rPr>
            </w:pPr>
            <w:r w:rsidRPr="001752B7">
              <w:rPr>
                <w:rFonts w:ascii="Calibri" w:eastAsia="Times New Roman" w:hAnsi="Calibri" w:cs="Calibri"/>
                <w:lang w:eastAsia="hr-HR"/>
              </w:rPr>
              <w:t>7</w:t>
            </w:r>
          </w:p>
        </w:tc>
        <w:tc>
          <w:tcPr>
            <w:tcW w:w="580" w:type="dxa"/>
            <w:tcBorders>
              <w:top w:val="nil"/>
              <w:left w:val="nil"/>
              <w:bottom w:val="single" w:sz="4" w:space="0" w:color="auto"/>
              <w:right w:val="single" w:sz="4" w:space="0" w:color="auto"/>
            </w:tcBorders>
            <w:shd w:val="clear" w:color="000000" w:fill="FFFF99"/>
            <w:noWrap/>
            <w:vAlign w:val="bottom"/>
            <w:hideMark/>
          </w:tcPr>
          <w:p w14:paraId="73AEF6FC" w14:textId="77777777" w:rsidR="001752B7" w:rsidRPr="001752B7" w:rsidRDefault="001752B7" w:rsidP="001752B7">
            <w:pPr>
              <w:spacing w:after="0" w:line="240" w:lineRule="auto"/>
              <w:jc w:val="right"/>
              <w:rPr>
                <w:rFonts w:ascii="Calibri" w:eastAsia="Times New Roman" w:hAnsi="Calibri" w:cs="Calibri"/>
                <w:lang w:eastAsia="hr-HR"/>
              </w:rPr>
            </w:pPr>
            <w:r w:rsidRPr="001752B7">
              <w:rPr>
                <w:rFonts w:ascii="Calibri" w:eastAsia="Times New Roman" w:hAnsi="Calibri" w:cs="Calibri"/>
                <w:lang w:eastAsia="hr-HR"/>
              </w:rPr>
              <w:t>9</w:t>
            </w:r>
          </w:p>
        </w:tc>
        <w:tc>
          <w:tcPr>
            <w:tcW w:w="447" w:type="dxa"/>
            <w:tcBorders>
              <w:top w:val="nil"/>
              <w:left w:val="nil"/>
              <w:bottom w:val="single" w:sz="4" w:space="0" w:color="auto"/>
              <w:right w:val="single" w:sz="4" w:space="0" w:color="auto"/>
            </w:tcBorders>
            <w:shd w:val="clear" w:color="000000" w:fill="FFFF99"/>
            <w:noWrap/>
            <w:vAlign w:val="bottom"/>
            <w:hideMark/>
          </w:tcPr>
          <w:p w14:paraId="1A4624D3" w14:textId="77777777" w:rsidR="001752B7" w:rsidRPr="001752B7" w:rsidRDefault="001752B7" w:rsidP="001752B7">
            <w:pPr>
              <w:spacing w:after="0" w:line="240" w:lineRule="auto"/>
              <w:jc w:val="right"/>
              <w:rPr>
                <w:rFonts w:ascii="Calibri" w:eastAsia="Times New Roman" w:hAnsi="Calibri" w:cs="Calibri"/>
                <w:lang w:eastAsia="hr-HR"/>
              </w:rPr>
            </w:pPr>
            <w:r w:rsidRPr="001752B7">
              <w:rPr>
                <w:rFonts w:ascii="Calibri" w:eastAsia="Times New Roman" w:hAnsi="Calibri" w:cs="Calibri"/>
                <w:lang w:eastAsia="hr-HR"/>
              </w:rPr>
              <w:t> </w:t>
            </w:r>
          </w:p>
        </w:tc>
        <w:tc>
          <w:tcPr>
            <w:tcW w:w="447" w:type="dxa"/>
            <w:tcBorders>
              <w:top w:val="nil"/>
              <w:left w:val="nil"/>
              <w:bottom w:val="single" w:sz="4" w:space="0" w:color="auto"/>
              <w:right w:val="single" w:sz="4" w:space="0" w:color="auto"/>
            </w:tcBorders>
            <w:shd w:val="clear" w:color="000000" w:fill="FFFF99"/>
            <w:noWrap/>
            <w:vAlign w:val="bottom"/>
            <w:hideMark/>
          </w:tcPr>
          <w:p w14:paraId="0FFF6F1F" w14:textId="77777777" w:rsidR="001752B7" w:rsidRPr="001752B7" w:rsidRDefault="001752B7" w:rsidP="001752B7">
            <w:pPr>
              <w:spacing w:after="0" w:line="240" w:lineRule="auto"/>
              <w:jc w:val="right"/>
              <w:rPr>
                <w:rFonts w:ascii="Calibri" w:eastAsia="Times New Roman" w:hAnsi="Calibri" w:cs="Calibri"/>
                <w:lang w:eastAsia="hr-HR"/>
              </w:rPr>
            </w:pPr>
            <w:r w:rsidRPr="001752B7">
              <w:rPr>
                <w:rFonts w:ascii="Calibri" w:eastAsia="Times New Roman" w:hAnsi="Calibri" w:cs="Calibri"/>
                <w:lang w:eastAsia="hr-HR"/>
              </w:rPr>
              <w:t>1</w:t>
            </w:r>
          </w:p>
        </w:tc>
        <w:tc>
          <w:tcPr>
            <w:tcW w:w="447" w:type="dxa"/>
            <w:tcBorders>
              <w:top w:val="nil"/>
              <w:left w:val="nil"/>
              <w:bottom w:val="single" w:sz="4" w:space="0" w:color="auto"/>
              <w:right w:val="single" w:sz="4" w:space="0" w:color="auto"/>
            </w:tcBorders>
            <w:shd w:val="clear" w:color="000000" w:fill="FFFF99"/>
            <w:noWrap/>
            <w:vAlign w:val="bottom"/>
            <w:hideMark/>
          </w:tcPr>
          <w:p w14:paraId="5556C224" w14:textId="77777777" w:rsidR="001752B7" w:rsidRPr="001752B7" w:rsidRDefault="001752B7" w:rsidP="001752B7">
            <w:pPr>
              <w:spacing w:after="0" w:line="240" w:lineRule="auto"/>
              <w:jc w:val="right"/>
              <w:rPr>
                <w:rFonts w:ascii="Calibri" w:eastAsia="Times New Roman" w:hAnsi="Calibri" w:cs="Calibri"/>
                <w:lang w:eastAsia="hr-HR"/>
              </w:rPr>
            </w:pPr>
            <w:r w:rsidRPr="001752B7">
              <w:rPr>
                <w:rFonts w:ascii="Calibri" w:eastAsia="Times New Roman" w:hAnsi="Calibri" w:cs="Calibri"/>
                <w:lang w:eastAsia="hr-HR"/>
              </w:rPr>
              <w:t> </w:t>
            </w:r>
          </w:p>
        </w:tc>
        <w:tc>
          <w:tcPr>
            <w:tcW w:w="447" w:type="dxa"/>
            <w:tcBorders>
              <w:top w:val="nil"/>
              <w:left w:val="nil"/>
              <w:bottom w:val="single" w:sz="4" w:space="0" w:color="auto"/>
              <w:right w:val="single" w:sz="4" w:space="0" w:color="auto"/>
            </w:tcBorders>
            <w:shd w:val="clear" w:color="000000" w:fill="FFFF99"/>
            <w:noWrap/>
            <w:vAlign w:val="bottom"/>
            <w:hideMark/>
          </w:tcPr>
          <w:p w14:paraId="7C62BCA9" w14:textId="77777777" w:rsidR="001752B7" w:rsidRPr="001752B7" w:rsidRDefault="001752B7" w:rsidP="001752B7">
            <w:pPr>
              <w:spacing w:after="0" w:line="240" w:lineRule="auto"/>
              <w:jc w:val="right"/>
              <w:rPr>
                <w:rFonts w:ascii="Calibri" w:eastAsia="Times New Roman" w:hAnsi="Calibri" w:cs="Calibri"/>
                <w:lang w:eastAsia="hr-HR"/>
              </w:rPr>
            </w:pPr>
            <w:r w:rsidRPr="001752B7">
              <w:rPr>
                <w:rFonts w:ascii="Calibri" w:eastAsia="Times New Roman" w:hAnsi="Calibri" w:cs="Calibri"/>
                <w:lang w:eastAsia="hr-HR"/>
              </w:rPr>
              <w:t>3</w:t>
            </w:r>
          </w:p>
        </w:tc>
        <w:tc>
          <w:tcPr>
            <w:tcW w:w="572" w:type="dxa"/>
            <w:tcBorders>
              <w:top w:val="nil"/>
              <w:left w:val="nil"/>
              <w:bottom w:val="single" w:sz="4" w:space="0" w:color="auto"/>
              <w:right w:val="single" w:sz="4" w:space="0" w:color="auto"/>
            </w:tcBorders>
            <w:shd w:val="clear" w:color="000000" w:fill="FF9900"/>
            <w:noWrap/>
            <w:vAlign w:val="bottom"/>
            <w:hideMark/>
          </w:tcPr>
          <w:p w14:paraId="72EC9A93" w14:textId="77777777" w:rsidR="001752B7" w:rsidRPr="001752B7" w:rsidRDefault="001752B7" w:rsidP="001752B7">
            <w:pPr>
              <w:spacing w:after="0" w:line="240" w:lineRule="auto"/>
              <w:jc w:val="right"/>
              <w:rPr>
                <w:rFonts w:ascii="Calibri" w:eastAsia="Times New Roman" w:hAnsi="Calibri" w:cs="Calibri"/>
                <w:lang w:eastAsia="hr-HR"/>
              </w:rPr>
            </w:pPr>
            <w:r w:rsidRPr="001752B7">
              <w:rPr>
                <w:rFonts w:ascii="Calibri" w:eastAsia="Times New Roman" w:hAnsi="Calibri" w:cs="Calibri"/>
                <w:lang w:eastAsia="hr-HR"/>
              </w:rPr>
              <w:t>7</w:t>
            </w:r>
          </w:p>
        </w:tc>
        <w:tc>
          <w:tcPr>
            <w:tcW w:w="467" w:type="dxa"/>
            <w:tcBorders>
              <w:top w:val="nil"/>
              <w:left w:val="nil"/>
              <w:bottom w:val="single" w:sz="4" w:space="0" w:color="auto"/>
              <w:right w:val="single" w:sz="4" w:space="0" w:color="auto"/>
            </w:tcBorders>
            <w:shd w:val="clear" w:color="000000" w:fill="FF9900"/>
            <w:noWrap/>
            <w:vAlign w:val="bottom"/>
            <w:hideMark/>
          </w:tcPr>
          <w:p w14:paraId="79F2EAEA" w14:textId="77777777" w:rsidR="001752B7" w:rsidRPr="001752B7" w:rsidRDefault="001752B7" w:rsidP="001752B7">
            <w:pPr>
              <w:spacing w:after="0" w:line="240" w:lineRule="auto"/>
              <w:jc w:val="right"/>
              <w:rPr>
                <w:rFonts w:ascii="Calibri" w:eastAsia="Times New Roman" w:hAnsi="Calibri" w:cs="Calibri"/>
                <w:lang w:eastAsia="hr-HR"/>
              </w:rPr>
            </w:pPr>
            <w:r w:rsidRPr="001752B7">
              <w:rPr>
                <w:rFonts w:ascii="Calibri" w:eastAsia="Times New Roman" w:hAnsi="Calibri" w:cs="Calibri"/>
                <w:lang w:eastAsia="hr-HR"/>
              </w:rPr>
              <w:t>1</w:t>
            </w:r>
          </w:p>
        </w:tc>
        <w:tc>
          <w:tcPr>
            <w:tcW w:w="579" w:type="dxa"/>
            <w:tcBorders>
              <w:top w:val="nil"/>
              <w:left w:val="nil"/>
              <w:bottom w:val="single" w:sz="4" w:space="0" w:color="auto"/>
              <w:right w:val="single" w:sz="4" w:space="0" w:color="auto"/>
            </w:tcBorders>
            <w:shd w:val="clear" w:color="000000" w:fill="FF9900"/>
            <w:noWrap/>
            <w:vAlign w:val="bottom"/>
            <w:hideMark/>
          </w:tcPr>
          <w:p w14:paraId="772B1A66" w14:textId="77777777" w:rsidR="001752B7" w:rsidRPr="001752B7" w:rsidRDefault="001752B7" w:rsidP="001752B7">
            <w:pPr>
              <w:spacing w:after="0" w:line="240" w:lineRule="auto"/>
              <w:jc w:val="right"/>
              <w:rPr>
                <w:rFonts w:ascii="Calibri" w:eastAsia="Times New Roman" w:hAnsi="Calibri" w:cs="Calibri"/>
                <w:lang w:eastAsia="hr-HR"/>
              </w:rPr>
            </w:pPr>
            <w:r w:rsidRPr="001752B7">
              <w:rPr>
                <w:rFonts w:ascii="Calibri" w:eastAsia="Times New Roman" w:hAnsi="Calibri" w:cs="Calibri"/>
                <w:lang w:eastAsia="hr-HR"/>
              </w:rPr>
              <w:t>1</w:t>
            </w:r>
          </w:p>
        </w:tc>
        <w:tc>
          <w:tcPr>
            <w:tcW w:w="447" w:type="dxa"/>
            <w:tcBorders>
              <w:top w:val="nil"/>
              <w:left w:val="nil"/>
              <w:bottom w:val="single" w:sz="4" w:space="0" w:color="auto"/>
              <w:right w:val="single" w:sz="4" w:space="0" w:color="auto"/>
            </w:tcBorders>
            <w:shd w:val="clear" w:color="000000" w:fill="66FFCC"/>
            <w:noWrap/>
            <w:vAlign w:val="bottom"/>
            <w:hideMark/>
          </w:tcPr>
          <w:p w14:paraId="4BA0C3F3" w14:textId="77777777" w:rsidR="001752B7" w:rsidRPr="001752B7" w:rsidRDefault="001752B7" w:rsidP="001752B7">
            <w:pPr>
              <w:spacing w:after="0" w:line="240" w:lineRule="auto"/>
              <w:jc w:val="right"/>
              <w:rPr>
                <w:rFonts w:ascii="Calibri" w:eastAsia="Times New Roman" w:hAnsi="Calibri" w:cs="Calibri"/>
                <w:lang w:eastAsia="hr-HR"/>
              </w:rPr>
            </w:pPr>
            <w:r w:rsidRPr="001752B7">
              <w:rPr>
                <w:rFonts w:ascii="Calibri" w:eastAsia="Times New Roman" w:hAnsi="Calibri" w:cs="Calibri"/>
                <w:lang w:eastAsia="hr-HR"/>
              </w:rPr>
              <w:t> </w:t>
            </w:r>
          </w:p>
        </w:tc>
        <w:tc>
          <w:tcPr>
            <w:tcW w:w="447" w:type="dxa"/>
            <w:tcBorders>
              <w:top w:val="nil"/>
              <w:left w:val="nil"/>
              <w:bottom w:val="single" w:sz="4" w:space="0" w:color="auto"/>
              <w:right w:val="single" w:sz="4" w:space="0" w:color="auto"/>
            </w:tcBorders>
            <w:shd w:val="clear" w:color="000000" w:fill="66FFCC"/>
            <w:noWrap/>
            <w:vAlign w:val="bottom"/>
            <w:hideMark/>
          </w:tcPr>
          <w:p w14:paraId="718A15B8" w14:textId="77777777" w:rsidR="001752B7" w:rsidRPr="001752B7" w:rsidRDefault="001752B7" w:rsidP="001752B7">
            <w:pPr>
              <w:spacing w:after="0" w:line="240" w:lineRule="auto"/>
              <w:jc w:val="right"/>
              <w:rPr>
                <w:rFonts w:ascii="Calibri" w:eastAsia="Times New Roman" w:hAnsi="Calibri" w:cs="Calibri"/>
                <w:lang w:eastAsia="hr-HR"/>
              </w:rPr>
            </w:pPr>
            <w:r w:rsidRPr="001752B7">
              <w:rPr>
                <w:rFonts w:ascii="Calibri" w:eastAsia="Times New Roman" w:hAnsi="Calibri" w:cs="Calibri"/>
                <w:lang w:eastAsia="hr-HR"/>
              </w:rPr>
              <w:t>9</w:t>
            </w:r>
          </w:p>
        </w:tc>
        <w:tc>
          <w:tcPr>
            <w:tcW w:w="698" w:type="dxa"/>
            <w:tcBorders>
              <w:top w:val="nil"/>
              <w:left w:val="nil"/>
              <w:bottom w:val="single" w:sz="4" w:space="0" w:color="auto"/>
              <w:right w:val="single" w:sz="4" w:space="0" w:color="auto"/>
            </w:tcBorders>
            <w:shd w:val="clear" w:color="000000" w:fill="66FFCC"/>
            <w:noWrap/>
            <w:vAlign w:val="bottom"/>
            <w:hideMark/>
          </w:tcPr>
          <w:p w14:paraId="597028E1" w14:textId="77777777" w:rsidR="001752B7" w:rsidRPr="001752B7" w:rsidRDefault="001752B7" w:rsidP="001752B7">
            <w:pPr>
              <w:spacing w:after="0" w:line="240" w:lineRule="auto"/>
              <w:jc w:val="right"/>
              <w:rPr>
                <w:rFonts w:ascii="Calibri" w:eastAsia="Times New Roman" w:hAnsi="Calibri" w:cs="Calibri"/>
                <w:lang w:eastAsia="hr-HR"/>
              </w:rPr>
            </w:pPr>
            <w:r w:rsidRPr="001752B7">
              <w:rPr>
                <w:rFonts w:ascii="Calibri" w:eastAsia="Times New Roman" w:hAnsi="Calibri" w:cs="Calibri"/>
                <w:lang w:eastAsia="hr-HR"/>
              </w:rPr>
              <w:t>1</w:t>
            </w:r>
          </w:p>
        </w:tc>
        <w:tc>
          <w:tcPr>
            <w:tcW w:w="447" w:type="dxa"/>
            <w:tcBorders>
              <w:top w:val="nil"/>
              <w:left w:val="nil"/>
              <w:bottom w:val="single" w:sz="4" w:space="0" w:color="auto"/>
              <w:right w:val="single" w:sz="4" w:space="0" w:color="auto"/>
            </w:tcBorders>
            <w:shd w:val="clear" w:color="000000" w:fill="66FFCC"/>
            <w:noWrap/>
            <w:vAlign w:val="bottom"/>
            <w:hideMark/>
          </w:tcPr>
          <w:p w14:paraId="3EDD3573" w14:textId="77777777" w:rsidR="001752B7" w:rsidRPr="001752B7" w:rsidRDefault="001752B7" w:rsidP="001752B7">
            <w:pPr>
              <w:spacing w:after="0" w:line="240" w:lineRule="auto"/>
              <w:jc w:val="right"/>
              <w:rPr>
                <w:rFonts w:ascii="Calibri" w:eastAsia="Times New Roman" w:hAnsi="Calibri" w:cs="Calibri"/>
                <w:lang w:eastAsia="hr-HR"/>
              </w:rPr>
            </w:pPr>
            <w:r w:rsidRPr="001752B7">
              <w:rPr>
                <w:rFonts w:ascii="Calibri" w:eastAsia="Times New Roman" w:hAnsi="Calibri" w:cs="Calibri"/>
                <w:lang w:eastAsia="hr-HR"/>
              </w:rPr>
              <w:t>10</w:t>
            </w:r>
          </w:p>
        </w:tc>
        <w:tc>
          <w:tcPr>
            <w:tcW w:w="652" w:type="dxa"/>
            <w:tcBorders>
              <w:top w:val="nil"/>
              <w:left w:val="nil"/>
              <w:bottom w:val="single" w:sz="4" w:space="0" w:color="auto"/>
              <w:right w:val="single" w:sz="4" w:space="0" w:color="auto"/>
            </w:tcBorders>
            <w:shd w:val="clear" w:color="000000" w:fill="FFFF00"/>
            <w:vAlign w:val="center"/>
            <w:hideMark/>
          </w:tcPr>
          <w:p w14:paraId="47586454" w14:textId="77777777" w:rsidR="001752B7" w:rsidRPr="001752B7" w:rsidRDefault="001752B7" w:rsidP="001752B7">
            <w:pPr>
              <w:spacing w:after="0" w:line="240" w:lineRule="auto"/>
              <w:jc w:val="right"/>
              <w:rPr>
                <w:rFonts w:ascii="Calibri" w:eastAsia="Times New Roman" w:hAnsi="Calibri" w:cs="Calibri"/>
                <w:lang w:eastAsia="hr-HR"/>
              </w:rPr>
            </w:pPr>
            <w:r w:rsidRPr="001752B7">
              <w:rPr>
                <w:rFonts w:ascii="Calibri" w:eastAsia="Times New Roman" w:hAnsi="Calibri" w:cs="Calibri"/>
                <w:lang w:eastAsia="hr-HR"/>
              </w:rPr>
              <w:t>9</w:t>
            </w:r>
          </w:p>
        </w:tc>
        <w:tc>
          <w:tcPr>
            <w:tcW w:w="614" w:type="dxa"/>
            <w:tcBorders>
              <w:top w:val="nil"/>
              <w:left w:val="nil"/>
              <w:bottom w:val="single" w:sz="4" w:space="0" w:color="auto"/>
              <w:right w:val="single" w:sz="4" w:space="0" w:color="auto"/>
            </w:tcBorders>
            <w:shd w:val="clear" w:color="000000" w:fill="FFFF99"/>
            <w:vAlign w:val="center"/>
            <w:hideMark/>
          </w:tcPr>
          <w:p w14:paraId="250DC568" w14:textId="77777777" w:rsidR="001752B7" w:rsidRPr="001752B7" w:rsidRDefault="001752B7" w:rsidP="001752B7">
            <w:pPr>
              <w:spacing w:after="0" w:line="240" w:lineRule="auto"/>
              <w:jc w:val="right"/>
              <w:rPr>
                <w:rFonts w:ascii="Calibri" w:eastAsia="Times New Roman" w:hAnsi="Calibri" w:cs="Calibri"/>
                <w:lang w:eastAsia="hr-HR"/>
              </w:rPr>
            </w:pPr>
            <w:r w:rsidRPr="001752B7">
              <w:rPr>
                <w:rFonts w:ascii="Calibri" w:eastAsia="Times New Roman" w:hAnsi="Calibri" w:cs="Calibri"/>
                <w:lang w:eastAsia="hr-HR"/>
              </w:rPr>
              <w:t>11</w:t>
            </w:r>
          </w:p>
        </w:tc>
        <w:tc>
          <w:tcPr>
            <w:tcW w:w="519" w:type="dxa"/>
            <w:tcBorders>
              <w:top w:val="nil"/>
              <w:left w:val="nil"/>
              <w:bottom w:val="single" w:sz="4" w:space="0" w:color="auto"/>
              <w:right w:val="single" w:sz="4" w:space="0" w:color="auto"/>
            </w:tcBorders>
            <w:shd w:val="clear" w:color="000000" w:fill="FF9900"/>
            <w:vAlign w:val="center"/>
            <w:hideMark/>
          </w:tcPr>
          <w:p w14:paraId="1C5AE6EC" w14:textId="77777777" w:rsidR="001752B7" w:rsidRPr="001752B7" w:rsidRDefault="001752B7" w:rsidP="001752B7">
            <w:pPr>
              <w:spacing w:after="0" w:line="240" w:lineRule="auto"/>
              <w:jc w:val="right"/>
              <w:rPr>
                <w:rFonts w:ascii="Calibri" w:eastAsia="Times New Roman" w:hAnsi="Calibri" w:cs="Calibri"/>
                <w:lang w:eastAsia="hr-HR"/>
              </w:rPr>
            </w:pPr>
            <w:r w:rsidRPr="001752B7">
              <w:rPr>
                <w:rFonts w:ascii="Calibri" w:eastAsia="Times New Roman" w:hAnsi="Calibri" w:cs="Calibri"/>
                <w:lang w:eastAsia="hr-HR"/>
              </w:rPr>
              <w:t>9</w:t>
            </w:r>
          </w:p>
        </w:tc>
        <w:tc>
          <w:tcPr>
            <w:tcW w:w="477" w:type="dxa"/>
            <w:tcBorders>
              <w:top w:val="nil"/>
              <w:left w:val="nil"/>
              <w:bottom w:val="single" w:sz="4" w:space="0" w:color="auto"/>
              <w:right w:val="single" w:sz="4" w:space="0" w:color="auto"/>
            </w:tcBorders>
            <w:shd w:val="clear" w:color="000000" w:fill="CCFFFF"/>
            <w:vAlign w:val="bottom"/>
            <w:hideMark/>
          </w:tcPr>
          <w:p w14:paraId="6659B1CA" w14:textId="77777777" w:rsidR="001752B7" w:rsidRPr="001752B7" w:rsidRDefault="001752B7" w:rsidP="001752B7">
            <w:pPr>
              <w:spacing w:after="0" w:line="240" w:lineRule="auto"/>
              <w:jc w:val="right"/>
              <w:rPr>
                <w:rFonts w:ascii="Calibri" w:eastAsia="Times New Roman" w:hAnsi="Calibri" w:cs="Calibri"/>
                <w:lang w:eastAsia="hr-HR"/>
              </w:rPr>
            </w:pPr>
            <w:r w:rsidRPr="001752B7">
              <w:rPr>
                <w:rFonts w:ascii="Calibri" w:eastAsia="Times New Roman" w:hAnsi="Calibri" w:cs="Calibri"/>
                <w:lang w:eastAsia="hr-HR"/>
              </w:rPr>
              <w:t> </w:t>
            </w:r>
          </w:p>
        </w:tc>
        <w:tc>
          <w:tcPr>
            <w:tcW w:w="506" w:type="dxa"/>
            <w:tcBorders>
              <w:top w:val="nil"/>
              <w:left w:val="nil"/>
              <w:bottom w:val="single" w:sz="4" w:space="0" w:color="auto"/>
              <w:right w:val="single" w:sz="4" w:space="0" w:color="auto"/>
            </w:tcBorders>
            <w:shd w:val="clear" w:color="000000" w:fill="CCFFFF"/>
            <w:vAlign w:val="bottom"/>
            <w:hideMark/>
          </w:tcPr>
          <w:p w14:paraId="1A068C38" w14:textId="77777777" w:rsidR="001752B7" w:rsidRPr="001752B7" w:rsidRDefault="001752B7" w:rsidP="001752B7">
            <w:pPr>
              <w:spacing w:after="0" w:line="240" w:lineRule="auto"/>
              <w:jc w:val="right"/>
              <w:rPr>
                <w:rFonts w:ascii="Calibri" w:eastAsia="Times New Roman" w:hAnsi="Calibri" w:cs="Calibri"/>
                <w:lang w:eastAsia="hr-HR"/>
              </w:rPr>
            </w:pPr>
            <w:r w:rsidRPr="001752B7">
              <w:rPr>
                <w:rFonts w:ascii="Calibri" w:eastAsia="Times New Roman" w:hAnsi="Calibri" w:cs="Calibri"/>
                <w:lang w:eastAsia="hr-HR"/>
              </w:rPr>
              <w:t>4</w:t>
            </w:r>
          </w:p>
        </w:tc>
        <w:tc>
          <w:tcPr>
            <w:tcW w:w="485" w:type="dxa"/>
            <w:tcBorders>
              <w:top w:val="nil"/>
              <w:left w:val="nil"/>
              <w:bottom w:val="single" w:sz="4" w:space="0" w:color="auto"/>
              <w:right w:val="single" w:sz="4" w:space="0" w:color="auto"/>
            </w:tcBorders>
            <w:shd w:val="clear" w:color="000000" w:fill="CCFFFF"/>
            <w:vAlign w:val="bottom"/>
            <w:hideMark/>
          </w:tcPr>
          <w:p w14:paraId="083E0129" w14:textId="77777777" w:rsidR="001752B7" w:rsidRPr="001752B7" w:rsidRDefault="001752B7" w:rsidP="001752B7">
            <w:pPr>
              <w:spacing w:after="0" w:line="240" w:lineRule="auto"/>
              <w:jc w:val="right"/>
              <w:rPr>
                <w:rFonts w:ascii="Calibri" w:eastAsia="Times New Roman" w:hAnsi="Calibri" w:cs="Calibri"/>
                <w:lang w:eastAsia="hr-HR"/>
              </w:rPr>
            </w:pPr>
            <w:r w:rsidRPr="001752B7">
              <w:rPr>
                <w:rFonts w:ascii="Calibri" w:eastAsia="Times New Roman" w:hAnsi="Calibri" w:cs="Calibri"/>
                <w:lang w:eastAsia="hr-HR"/>
              </w:rPr>
              <w:t> </w:t>
            </w:r>
          </w:p>
        </w:tc>
        <w:tc>
          <w:tcPr>
            <w:tcW w:w="561" w:type="dxa"/>
            <w:tcBorders>
              <w:top w:val="nil"/>
              <w:left w:val="nil"/>
              <w:bottom w:val="single" w:sz="4" w:space="0" w:color="auto"/>
              <w:right w:val="nil"/>
            </w:tcBorders>
            <w:shd w:val="clear" w:color="000000" w:fill="33CCCC"/>
            <w:noWrap/>
            <w:vAlign w:val="bottom"/>
            <w:hideMark/>
          </w:tcPr>
          <w:p w14:paraId="4DBF39F1" w14:textId="77777777" w:rsidR="001752B7" w:rsidRPr="001752B7" w:rsidRDefault="001752B7" w:rsidP="001752B7">
            <w:pPr>
              <w:spacing w:after="0" w:line="240" w:lineRule="auto"/>
              <w:jc w:val="right"/>
              <w:rPr>
                <w:rFonts w:ascii="Calibri" w:eastAsia="Times New Roman" w:hAnsi="Calibri" w:cs="Calibri"/>
                <w:lang w:eastAsia="hr-HR"/>
              </w:rPr>
            </w:pPr>
            <w:r w:rsidRPr="001752B7">
              <w:rPr>
                <w:rFonts w:ascii="Calibri" w:eastAsia="Times New Roman" w:hAnsi="Calibri" w:cs="Calibri"/>
                <w:lang w:eastAsia="hr-HR"/>
              </w:rPr>
              <w:t>8</w:t>
            </w:r>
          </w:p>
        </w:tc>
        <w:tc>
          <w:tcPr>
            <w:tcW w:w="595" w:type="dxa"/>
            <w:tcBorders>
              <w:top w:val="nil"/>
              <w:left w:val="single" w:sz="4" w:space="0" w:color="auto"/>
              <w:bottom w:val="single" w:sz="4" w:space="0" w:color="auto"/>
              <w:right w:val="single" w:sz="8" w:space="0" w:color="auto"/>
            </w:tcBorders>
            <w:shd w:val="clear" w:color="000000" w:fill="33CCCC"/>
            <w:noWrap/>
            <w:vAlign w:val="bottom"/>
            <w:hideMark/>
          </w:tcPr>
          <w:p w14:paraId="3C1EA74C" w14:textId="77777777" w:rsidR="001752B7" w:rsidRPr="001752B7" w:rsidRDefault="001752B7" w:rsidP="001752B7">
            <w:pPr>
              <w:spacing w:after="0" w:line="240" w:lineRule="auto"/>
              <w:jc w:val="right"/>
              <w:rPr>
                <w:rFonts w:ascii="Calibri" w:eastAsia="Times New Roman" w:hAnsi="Calibri" w:cs="Calibri"/>
                <w:lang w:eastAsia="hr-HR"/>
              </w:rPr>
            </w:pPr>
            <w:r w:rsidRPr="001752B7">
              <w:rPr>
                <w:rFonts w:ascii="Calibri" w:eastAsia="Times New Roman" w:hAnsi="Calibri" w:cs="Calibri"/>
                <w:lang w:eastAsia="hr-HR"/>
              </w:rPr>
              <w:t>1</w:t>
            </w:r>
          </w:p>
        </w:tc>
        <w:tc>
          <w:tcPr>
            <w:tcW w:w="266" w:type="dxa"/>
            <w:gridSpan w:val="3"/>
            <w:vAlign w:val="center"/>
            <w:hideMark/>
          </w:tcPr>
          <w:p w14:paraId="7F04D2CA" w14:textId="77777777" w:rsidR="001752B7" w:rsidRPr="001752B7" w:rsidRDefault="001752B7" w:rsidP="001752B7">
            <w:pPr>
              <w:spacing w:after="0" w:line="240" w:lineRule="auto"/>
              <w:rPr>
                <w:rFonts w:ascii="Times New Roman" w:eastAsia="Times New Roman" w:hAnsi="Times New Roman" w:cs="Times New Roman"/>
                <w:sz w:val="20"/>
                <w:szCs w:val="20"/>
                <w:lang w:eastAsia="hr-HR"/>
              </w:rPr>
            </w:pPr>
          </w:p>
        </w:tc>
      </w:tr>
      <w:tr w:rsidR="001752B7" w:rsidRPr="001752B7" w14:paraId="1FDE9772" w14:textId="77777777" w:rsidTr="000271A1">
        <w:trPr>
          <w:trHeight w:val="300"/>
        </w:trPr>
        <w:tc>
          <w:tcPr>
            <w:tcW w:w="1404" w:type="dxa"/>
            <w:tcBorders>
              <w:top w:val="single" w:sz="4" w:space="0" w:color="auto"/>
              <w:left w:val="single" w:sz="8" w:space="0" w:color="auto"/>
              <w:bottom w:val="single" w:sz="4" w:space="0" w:color="auto"/>
              <w:right w:val="single" w:sz="4" w:space="0" w:color="auto"/>
            </w:tcBorders>
            <w:shd w:val="clear" w:color="000000" w:fill="CCFFCC"/>
            <w:vAlign w:val="center"/>
            <w:hideMark/>
          </w:tcPr>
          <w:p w14:paraId="5F9B6BD7" w14:textId="77777777" w:rsidR="001752B7" w:rsidRPr="001752B7" w:rsidRDefault="001752B7" w:rsidP="001752B7">
            <w:pPr>
              <w:spacing w:after="0" w:line="240" w:lineRule="auto"/>
              <w:rPr>
                <w:rFonts w:ascii="Calibri" w:eastAsia="Times New Roman" w:hAnsi="Calibri" w:cs="Calibri"/>
                <w:lang w:eastAsia="hr-HR"/>
              </w:rPr>
            </w:pPr>
            <w:r w:rsidRPr="001752B7">
              <w:rPr>
                <w:rFonts w:ascii="Calibri" w:eastAsia="Times New Roman" w:hAnsi="Calibri" w:cs="Calibri"/>
                <w:lang w:eastAsia="hr-HR"/>
              </w:rPr>
              <w:t>Spol</w:t>
            </w:r>
          </w:p>
        </w:tc>
        <w:tc>
          <w:tcPr>
            <w:tcW w:w="545" w:type="dxa"/>
            <w:tcBorders>
              <w:top w:val="nil"/>
              <w:left w:val="nil"/>
              <w:bottom w:val="single" w:sz="4" w:space="0" w:color="auto"/>
              <w:right w:val="single" w:sz="4" w:space="0" w:color="auto"/>
            </w:tcBorders>
            <w:shd w:val="clear" w:color="000000" w:fill="CCFFCC"/>
            <w:vAlign w:val="center"/>
            <w:hideMark/>
          </w:tcPr>
          <w:p w14:paraId="6884F331" w14:textId="77777777" w:rsidR="001752B7" w:rsidRPr="001752B7" w:rsidRDefault="001752B7" w:rsidP="001752B7">
            <w:pPr>
              <w:spacing w:after="0" w:line="240" w:lineRule="auto"/>
              <w:jc w:val="right"/>
              <w:rPr>
                <w:rFonts w:ascii="Calibri" w:eastAsia="Times New Roman" w:hAnsi="Calibri" w:cs="Calibri"/>
                <w:lang w:eastAsia="hr-HR"/>
              </w:rPr>
            </w:pPr>
            <w:r w:rsidRPr="001752B7">
              <w:rPr>
                <w:rFonts w:ascii="Calibri" w:eastAsia="Times New Roman" w:hAnsi="Calibri" w:cs="Calibri"/>
                <w:lang w:eastAsia="hr-HR"/>
              </w:rPr>
              <w:t>2</w:t>
            </w:r>
          </w:p>
        </w:tc>
        <w:tc>
          <w:tcPr>
            <w:tcW w:w="573" w:type="dxa"/>
            <w:tcBorders>
              <w:top w:val="nil"/>
              <w:left w:val="nil"/>
              <w:bottom w:val="single" w:sz="4" w:space="0" w:color="auto"/>
              <w:right w:val="single" w:sz="4" w:space="0" w:color="auto"/>
            </w:tcBorders>
            <w:shd w:val="clear" w:color="000000" w:fill="FFCC99"/>
            <w:noWrap/>
            <w:vAlign w:val="bottom"/>
            <w:hideMark/>
          </w:tcPr>
          <w:p w14:paraId="4F7281B5" w14:textId="77777777" w:rsidR="001752B7" w:rsidRPr="001752B7" w:rsidRDefault="001752B7" w:rsidP="001752B7">
            <w:pPr>
              <w:spacing w:after="0" w:line="240" w:lineRule="auto"/>
              <w:jc w:val="right"/>
              <w:rPr>
                <w:rFonts w:ascii="Calibri" w:eastAsia="Times New Roman" w:hAnsi="Calibri" w:cs="Calibri"/>
                <w:lang w:eastAsia="hr-HR"/>
              </w:rPr>
            </w:pPr>
            <w:r w:rsidRPr="001752B7">
              <w:rPr>
                <w:rFonts w:ascii="Calibri" w:eastAsia="Times New Roman" w:hAnsi="Calibri" w:cs="Calibri"/>
                <w:lang w:eastAsia="hr-HR"/>
              </w:rPr>
              <w:t>18</w:t>
            </w:r>
          </w:p>
        </w:tc>
        <w:tc>
          <w:tcPr>
            <w:tcW w:w="855" w:type="dxa"/>
            <w:tcBorders>
              <w:top w:val="nil"/>
              <w:left w:val="nil"/>
              <w:bottom w:val="single" w:sz="4" w:space="0" w:color="auto"/>
              <w:right w:val="single" w:sz="4" w:space="0" w:color="auto"/>
            </w:tcBorders>
            <w:shd w:val="clear" w:color="000000" w:fill="CCFFFF"/>
            <w:noWrap/>
            <w:vAlign w:val="bottom"/>
            <w:hideMark/>
          </w:tcPr>
          <w:p w14:paraId="76E6CD99" w14:textId="77777777" w:rsidR="001752B7" w:rsidRPr="001752B7" w:rsidRDefault="001752B7" w:rsidP="001752B7">
            <w:pPr>
              <w:spacing w:after="0" w:line="240" w:lineRule="auto"/>
              <w:jc w:val="right"/>
              <w:rPr>
                <w:rFonts w:ascii="Calibri" w:eastAsia="Times New Roman" w:hAnsi="Calibri" w:cs="Calibri"/>
                <w:lang w:eastAsia="hr-HR"/>
              </w:rPr>
            </w:pPr>
            <w:r w:rsidRPr="001752B7">
              <w:rPr>
                <w:rFonts w:ascii="Calibri" w:eastAsia="Times New Roman" w:hAnsi="Calibri" w:cs="Calibri"/>
                <w:lang w:eastAsia="hr-HR"/>
              </w:rPr>
              <w:t>15</w:t>
            </w:r>
          </w:p>
        </w:tc>
        <w:tc>
          <w:tcPr>
            <w:tcW w:w="638" w:type="dxa"/>
            <w:tcBorders>
              <w:top w:val="nil"/>
              <w:left w:val="nil"/>
              <w:bottom w:val="single" w:sz="4" w:space="0" w:color="auto"/>
              <w:right w:val="single" w:sz="4" w:space="0" w:color="auto"/>
            </w:tcBorders>
            <w:shd w:val="clear" w:color="000000" w:fill="CCFFFF"/>
            <w:noWrap/>
            <w:vAlign w:val="bottom"/>
            <w:hideMark/>
          </w:tcPr>
          <w:p w14:paraId="0F6A666A" w14:textId="77777777" w:rsidR="001752B7" w:rsidRPr="001752B7" w:rsidRDefault="001752B7" w:rsidP="001752B7">
            <w:pPr>
              <w:spacing w:after="0" w:line="240" w:lineRule="auto"/>
              <w:jc w:val="right"/>
              <w:rPr>
                <w:rFonts w:ascii="Calibri" w:eastAsia="Times New Roman" w:hAnsi="Calibri" w:cs="Calibri"/>
                <w:lang w:eastAsia="hr-HR"/>
              </w:rPr>
            </w:pPr>
            <w:r w:rsidRPr="001752B7">
              <w:rPr>
                <w:rFonts w:ascii="Calibri" w:eastAsia="Times New Roman" w:hAnsi="Calibri" w:cs="Calibri"/>
                <w:lang w:eastAsia="hr-HR"/>
              </w:rPr>
              <w:t>1</w:t>
            </w:r>
          </w:p>
        </w:tc>
        <w:tc>
          <w:tcPr>
            <w:tcW w:w="580" w:type="dxa"/>
            <w:tcBorders>
              <w:top w:val="nil"/>
              <w:left w:val="nil"/>
              <w:bottom w:val="single" w:sz="4" w:space="0" w:color="auto"/>
              <w:right w:val="single" w:sz="4" w:space="0" w:color="auto"/>
            </w:tcBorders>
            <w:shd w:val="clear" w:color="000000" w:fill="FFFF99"/>
            <w:noWrap/>
            <w:vAlign w:val="bottom"/>
            <w:hideMark/>
          </w:tcPr>
          <w:p w14:paraId="7FE79F7C" w14:textId="77777777" w:rsidR="001752B7" w:rsidRPr="001752B7" w:rsidRDefault="001752B7" w:rsidP="001752B7">
            <w:pPr>
              <w:spacing w:after="0" w:line="240" w:lineRule="auto"/>
              <w:jc w:val="right"/>
              <w:rPr>
                <w:rFonts w:ascii="Calibri" w:eastAsia="Times New Roman" w:hAnsi="Calibri" w:cs="Calibri"/>
                <w:lang w:eastAsia="hr-HR"/>
              </w:rPr>
            </w:pPr>
            <w:r w:rsidRPr="001752B7">
              <w:rPr>
                <w:rFonts w:ascii="Calibri" w:eastAsia="Times New Roman" w:hAnsi="Calibri" w:cs="Calibri"/>
                <w:lang w:eastAsia="hr-HR"/>
              </w:rPr>
              <w:t>2</w:t>
            </w:r>
          </w:p>
        </w:tc>
        <w:tc>
          <w:tcPr>
            <w:tcW w:w="447" w:type="dxa"/>
            <w:tcBorders>
              <w:top w:val="nil"/>
              <w:left w:val="nil"/>
              <w:bottom w:val="single" w:sz="4" w:space="0" w:color="auto"/>
              <w:right w:val="single" w:sz="4" w:space="0" w:color="auto"/>
            </w:tcBorders>
            <w:shd w:val="clear" w:color="000000" w:fill="FFFF99"/>
            <w:noWrap/>
            <w:vAlign w:val="bottom"/>
            <w:hideMark/>
          </w:tcPr>
          <w:p w14:paraId="73DE53FA" w14:textId="77777777" w:rsidR="001752B7" w:rsidRPr="001752B7" w:rsidRDefault="001752B7" w:rsidP="001752B7">
            <w:pPr>
              <w:spacing w:after="0" w:line="240" w:lineRule="auto"/>
              <w:jc w:val="right"/>
              <w:rPr>
                <w:rFonts w:ascii="Calibri" w:eastAsia="Times New Roman" w:hAnsi="Calibri" w:cs="Calibri"/>
                <w:lang w:eastAsia="hr-HR"/>
              </w:rPr>
            </w:pPr>
            <w:r w:rsidRPr="001752B7">
              <w:rPr>
                <w:rFonts w:ascii="Calibri" w:eastAsia="Times New Roman" w:hAnsi="Calibri" w:cs="Calibri"/>
                <w:lang w:eastAsia="hr-HR"/>
              </w:rPr>
              <w:t>17</w:t>
            </w:r>
          </w:p>
        </w:tc>
        <w:tc>
          <w:tcPr>
            <w:tcW w:w="447" w:type="dxa"/>
            <w:tcBorders>
              <w:top w:val="nil"/>
              <w:left w:val="nil"/>
              <w:bottom w:val="single" w:sz="4" w:space="0" w:color="auto"/>
              <w:right w:val="single" w:sz="4" w:space="0" w:color="auto"/>
            </w:tcBorders>
            <w:shd w:val="clear" w:color="000000" w:fill="FFFF99"/>
            <w:noWrap/>
            <w:vAlign w:val="bottom"/>
            <w:hideMark/>
          </w:tcPr>
          <w:p w14:paraId="33488872" w14:textId="77777777" w:rsidR="001752B7" w:rsidRPr="001752B7" w:rsidRDefault="001752B7" w:rsidP="001752B7">
            <w:pPr>
              <w:spacing w:after="0" w:line="240" w:lineRule="auto"/>
              <w:jc w:val="right"/>
              <w:rPr>
                <w:rFonts w:ascii="Calibri" w:eastAsia="Times New Roman" w:hAnsi="Calibri" w:cs="Calibri"/>
                <w:lang w:eastAsia="hr-HR"/>
              </w:rPr>
            </w:pPr>
            <w:r w:rsidRPr="001752B7">
              <w:rPr>
                <w:rFonts w:ascii="Calibri" w:eastAsia="Times New Roman" w:hAnsi="Calibri" w:cs="Calibri"/>
                <w:lang w:eastAsia="hr-HR"/>
              </w:rPr>
              <w:t> </w:t>
            </w:r>
          </w:p>
        </w:tc>
        <w:tc>
          <w:tcPr>
            <w:tcW w:w="447" w:type="dxa"/>
            <w:tcBorders>
              <w:top w:val="nil"/>
              <w:left w:val="nil"/>
              <w:bottom w:val="single" w:sz="4" w:space="0" w:color="auto"/>
              <w:right w:val="single" w:sz="4" w:space="0" w:color="auto"/>
            </w:tcBorders>
            <w:shd w:val="clear" w:color="000000" w:fill="FFFF99"/>
            <w:noWrap/>
            <w:vAlign w:val="bottom"/>
            <w:hideMark/>
          </w:tcPr>
          <w:p w14:paraId="00A7432D" w14:textId="77777777" w:rsidR="001752B7" w:rsidRPr="001752B7" w:rsidRDefault="001752B7" w:rsidP="001752B7">
            <w:pPr>
              <w:spacing w:after="0" w:line="240" w:lineRule="auto"/>
              <w:jc w:val="right"/>
              <w:rPr>
                <w:rFonts w:ascii="Calibri" w:eastAsia="Times New Roman" w:hAnsi="Calibri" w:cs="Calibri"/>
                <w:lang w:eastAsia="hr-HR"/>
              </w:rPr>
            </w:pPr>
            <w:r w:rsidRPr="001752B7">
              <w:rPr>
                <w:rFonts w:ascii="Calibri" w:eastAsia="Times New Roman" w:hAnsi="Calibri" w:cs="Calibri"/>
                <w:lang w:eastAsia="hr-HR"/>
              </w:rPr>
              <w:t> </w:t>
            </w:r>
          </w:p>
        </w:tc>
        <w:tc>
          <w:tcPr>
            <w:tcW w:w="447" w:type="dxa"/>
            <w:tcBorders>
              <w:top w:val="nil"/>
              <w:left w:val="nil"/>
              <w:bottom w:val="single" w:sz="4" w:space="0" w:color="auto"/>
              <w:right w:val="single" w:sz="4" w:space="0" w:color="auto"/>
            </w:tcBorders>
            <w:shd w:val="clear" w:color="000000" w:fill="FFFF99"/>
            <w:noWrap/>
            <w:vAlign w:val="bottom"/>
            <w:hideMark/>
          </w:tcPr>
          <w:p w14:paraId="2BC8CCF2" w14:textId="77777777" w:rsidR="001752B7" w:rsidRPr="001752B7" w:rsidRDefault="001752B7" w:rsidP="001752B7">
            <w:pPr>
              <w:spacing w:after="0" w:line="240" w:lineRule="auto"/>
              <w:jc w:val="right"/>
              <w:rPr>
                <w:rFonts w:ascii="Calibri" w:eastAsia="Times New Roman" w:hAnsi="Calibri" w:cs="Calibri"/>
                <w:lang w:eastAsia="hr-HR"/>
              </w:rPr>
            </w:pPr>
            <w:r w:rsidRPr="001752B7">
              <w:rPr>
                <w:rFonts w:ascii="Calibri" w:eastAsia="Times New Roman" w:hAnsi="Calibri" w:cs="Calibri"/>
                <w:lang w:eastAsia="hr-HR"/>
              </w:rPr>
              <w:t>2</w:t>
            </w:r>
          </w:p>
        </w:tc>
        <w:tc>
          <w:tcPr>
            <w:tcW w:w="572" w:type="dxa"/>
            <w:tcBorders>
              <w:top w:val="nil"/>
              <w:left w:val="nil"/>
              <w:bottom w:val="single" w:sz="4" w:space="0" w:color="auto"/>
              <w:right w:val="single" w:sz="4" w:space="0" w:color="auto"/>
            </w:tcBorders>
            <w:shd w:val="clear" w:color="000000" w:fill="FF9900"/>
            <w:noWrap/>
            <w:vAlign w:val="bottom"/>
            <w:hideMark/>
          </w:tcPr>
          <w:p w14:paraId="516B3136" w14:textId="77777777" w:rsidR="001752B7" w:rsidRPr="001752B7" w:rsidRDefault="001752B7" w:rsidP="001752B7">
            <w:pPr>
              <w:spacing w:after="0" w:line="240" w:lineRule="auto"/>
              <w:jc w:val="right"/>
              <w:rPr>
                <w:rFonts w:ascii="Calibri" w:eastAsia="Times New Roman" w:hAnsi="Calibri" w:cs="Calibri"/>
                <w:lang w:eastAsia="hr-HR"/>
              </w:rPr>
            </w:pPr>
            <w:r w:rsidRPr="001752B7">
              <w:rPr>
                <w:rFonts w:ascii="Calibri" w:eastAsia="Times New Roman" w:hAnsi="Calibri" w:cs="Calibri"/>
                <w:lang w:eastAsia="hr-HR"/>
              </w:rPr>
              <w:t>9</w:t>
            </w:r>
          </w:p>
        </w:tc>
        <w:tc>
          <w:tcPr>
            <w:tcW w:w="467" w:type="dxa"/>
            <w:tcBorders>
              <w:top w:val="nil"/>
              <w:left w:val="nil"/>
              <w:bottom w:val="single" w:sz="4" w:space="0" w:color="auto"/>
              <w:right w:val="single" w:sz="4" w:space="0" w:color="auto"/>
            </w:tcBorders>
            <w:shd w:val="clear" w:color="000000" w:fill="FF9900"/>
            <w:noWrap/>
            <w:vAlign w:val="bottom"/>
            <w:hideMark/>
          </w:tcPr>
          <w:p w14:paraId="184BCD08" w14:textId="77777777" w:rsidR="001752B7" w:rsidRPr="001752B7" w:rsidRDefault="001752B7" w:rsidP="001752B7">
            <w:pPr>
              <w:spacing w:after="0" w:line="240" w:lineRule="auto"/>
              <w:jc w:val="right"/>
              <w:rPr>
                <w:rFonts w:ascii="Calibri" w:eastAsia="Times New Roman" w:hAnsi="Calibri" w:cs="Calibri"/>
                <w:lang w:eastAsia="hr-HR"/>
              </w:rPr>
            </w:pPr>
            <w:r w:rsidRPr="001752B7">
              <w:rPr>
                <w:rFonts w:ascii="Calibri" w:eastAsia="Times New Roman" w:hAnsi="Calibri" w:cs="Calibri"/>
                <w:lang w:eastAsia="hr-HR"/>
              </w:rPr>
              <w:t>4</w:t>
            </w:r>
          </w:p>
        </w:tc>
        <w:tc>
          <w:tcPr>
            <w:tcW w:w="579" w:type="dxa"/>
            <w:tcBorders>
              <w:top w:val="nil"/>
              <w:left w:val="nil"/>
              <w:bottom w:val="single" w:sz="4" w:space="0" w:color="auto"/>
              <w:right w:val="single" w:sz="4" w:space="0" w:color="auto"/>
            </w:tcBorders>
            <w:shd w:val="clear" w:color="000000" w:fill="FF9900"/>
            <w:noWrap/>
            <w:vAlign w:val="bottom"/>
            <w:hideMark/>
          </w:tcPr>
          <w:p w14:paraId="2F0576FC" w14:textId="77777777" w:rsidR="001752B7" w:rsidRPr="001752B7" w:rsidRDefault="001752B7" w:rsidP="001752B7">
            <w:pPr>
              <w:spacing w:after="0" w:line="240" w:lineRule="auto"/>
              <w:jc w:val="right"/>
              <w:rPr>
                <w:rFonts w:ascii="Calibri" w:eastAsia="Times New Roman" w:hAnsi="Calibri" w:cs="Calibri"/>
                <w:lang w:eastAsia="hr-HR"/>
              </w:rPr>
            </w:pPr>
            <w:r w:rsidRPr="001752B7">
              <w:rPr>
                <w:rFonts w:ascii="Calibri" w:eastAsia="Times New Roman" w:hAnsi="Calibri" w:cs="Calibri"/>
                <w:lang w:eastAsia="hr-HR"/>
              </w:rPr>
              <w:t>1</w:t>
            </w:r>
          </w:p>
        </w:tc>
        <w:tc>
          <w:tcPr>
            <w:tcW w:w="447" w:type="dxa"/>
            <w:tcBorders>
              <w:top w:val="nil"/>
              <w:left w:val="nil"/>
              <w:bottom w:val="single" w:sz="4" w:space="0" w:color="auto"/>
              <w:right w:val="single" w:sz="4" w:space="0" w:color="auto"/>
            </w:tcBorders>
            <w:shd w:val="clear" w:color="000000" w:fill="66FFCC"/>
            <w:noWrap/>
            <w:vAlign w:val="bottom"/>
            <w:hideMark/>
          </w:tcPr>
          <w:p w14:paraId="7FB27B88" w14:textId="77777777" w:rsidR="001752B7" w:rsidRPr="001752B7" w:rsidRDefault="001752B7" w:rsidP="001752B7">
            <w:pPr>
              <w:spacing w:after="0" w:line="240" w:lineRule="auto"/>
              <w:jc w:val="right"/>
              <w:rPr>
                <w:rFonts w:ascii="Calibri" w:eastAsia="Times New Roman" w:hAnsi="Calibri" w:cs="Calibri"/>
                <w:lang w:eastAsia="hr-HR"/>
              </w:rPr>
            </w:pPr>
            <w:r w:rsidRPr="001752B7">
              <w:rPr>
                <w:rFonts w:ascii="Calibri" w:eastAsia="Times New Roman" w:hAnsi="Calibri" w:cs="Calibri"/>
                <w:lang w:eastAsia="hr-HR"/>
              </w:rPr>
              <w:t> </w:t>
            </w:r>
          </w:p>
        </w:tc>
        <w:tc>
          <w:tcPr>
            <w:tcW w:w="447" w:type="dxa"/>
            <w:tcBorders>
              <w:top w:val="nil"/>
              <w:left w:val="nil"/>
              <w:bottom w:val="single" w:sz="4" w:space="0" w:color="auto"/>
              <w:right w:val="single" w:sz="4" w:space="0" w:color="auto"/>
            </w:tcBorders>
            <w:shd w:val="clear" w:color="000000" w:fill="66FFCC"/>
            <w:noWrap/>
            <w:vAlign w:val="bottom"/>
            <w:hideMark/>
          </w:tcPr>
          <w:p w14:paraId="7D3A1660" w14:textId="77777777" w:rsidR="001752B7" w:rsidRPr="001752B7" w:rsidRDefault="001752B7" w:rsidP="001752B7">
            <w:pPr>
              <w:spacing w:after="0" w:line="240" w:lineRule="auto"/>
              <w:jc w:val="right"/>
              <w:rPr>
                <w:rFonts w:ascii="Calibri" w:eastAsia="Times New Roman" w:hAnsi="Calibri" w:cs="Calibri"/>
                <w:lang w:eastAsia="hr-HR"/>
              </w:rPr>
            </w:pPr>
            <w:r w:rsidRPr="001752B7">
              <w:rPr>
                <w:rFonts w:ascii="Calibri" w:eastAsia="Times New Roman" w:hAnsi="Calibri" w:cs="Calibri"/>
                <w:lang w:eastAsia="hr-HR"/>
              </w:rPr>
              <w:t>11</w:t>
            </w:r>
          </w:p>
        </w:tc>
        <w:tc>
          <w:tcPr>
            <w:tcW w:w="698" w:type="dxa"/>
            <w:tcBorders>
              <w:top w:val="nil"/>
              <w:left w:val="nil"/>
              <w:bottom w:val="single" w:sz="4" w:space="0" w:color="auto"/>
              <w:right w:val="single" w:sz="4" w:space="0" w:color="auto"/>
            </w:tcBorders>
            <w:shd w:val="clear" w:color="000000" w:fill="66FFCC"/>
            <w:noWrap/>
            <w:vAlign w:val="bottom"/>
            <w:hideMark/>
          </w:tcPr>
          <w:p w14:paraId="38795863" w14:textId="77777777" w:rsidR="001752B7" w:rsidRPr="001752B7" w:rsidRDefault="001752B7" w:rsidP="001752B7">
            <w:pPr>
              <w:spacing w:after="0" w:line="240" w:lineRule="auto"/>
              <w:jc w:val="right"/>
              <w:rPr>
                <w:rFonts w:ascii="Calibri" w:eastAsia="Times New Roman" w:hAnsi="Calibri" w:cs="Calibri"/>
                <w:lang w:eastAsia="hr-HR"/>
              </w:rPr>
            </w:pPr>
            <w:r w:rsidRPr="001752B7">
              <w:rPr>
                <w:rFonts w:ascii="Calibri" w:eastAsia="Times New Roman" w:hAnsi="Calibri" w:cs="Calibri"/>
                <w:lang w:eastAsia="hr-HR"/>
              </w:rPr>
              <w:t>1</w:t>
            </w:r>
          </w:p>
        </w:tc>
        <w:tc>
          <w:tcPr>
            <w:tcW w:w="447" w:type="dxa"/>
            <w:tcBorders>
              <w:top w:val="nil"/>
              <w:left w:val="nil"/>
              <w:bottom w:val="single" w:sz="4" w:space="0" w:color="auto"/>
              <w:right w:val="single" w:sz="4" w:space="0" w:color="auto"/>
            </w:tcBorders>
            <w:shd w:val="clear" w:color="000000" w:fill="66FFCC"/>
            <w:noWrap/>
            <w:vAlign w:val="bottom"/>
            <w:hideMark/>
          </w:tcPr>
          <w:p w14:paraId="22409D04" w14:textId="77777777" w:rsidR="001752B7" w:rsidRPr="001752B7" w:rsidRDefault="001752B7" w:rsidP="001752B7">
            <w:pPr>
              <w:spacing w:after="0" w:line="240" w:lineRule="auto"/>
              <w:jc w:val="right"/>
              <w:rPr>
                <w:rFonts w:ascii="Calibri" w:eastAsia="Times New Roman" w:hAnsi="Calibri" w:cs="Calibri"/>
                <w:lang w:eastAsia="hr-HR"/>
              </w:rPr>
            </w:pPr>
            <w:r w:rsidRPr="001752B7">
              <w:rPr>
                <w:rFonts w:ascii="Calibri" w:eastAsia="Times New Roman" w:hAnsi="Calibri" w:cs="Calibri"/>
                <w:lang w:eastAsia="hr-HR"/>
              </w:rPr>
              <w:t>12</w:t>
            </w:r>
          </w:p>
        </w:tc>
        <w:tc>
          <w:tcPr>
            <w:tcW w:w="652" w:type="dxa"/>
            <w:tcBorders>
              <w:top w:val="nil"/>
              <w:left w:val="nil"/>
              <w:bottom w:val="single" w:sz="4" w:space="0" w:color="auto"/>
              <w:right w:val="single" w:sz="4" w:space="0" w:color="auto"/>
            </w:tcBorders>
            <w:shd w:val="clear" w:color="000000" w:fill="FFFF00"/>
            <w:vAlign w:val="center"/>
            <w:hideMark/>
          </w:tcPr>
          <w:p w14:paraId="23D46E22" w14:textId="77777777" w:rsidR="001752B7" w:rsidRPr="001752B7" w:rsidRDefault="001752B7" w:rsidP="001752B7">
            <w:pPr>
              <w:spacing w:after="0" w:line="240" w:lineRule="auto"/>
              <w:jc w:val="right"/>
              <w:rPr>
                <w:rFonts w:ascii="Calibri" w:eastAsia="Times New Roman" w:hAnsi="Calibri" w:cs="Calibri"/>
                <w:lang w:eastAsia="hr-HR"/>
              </w:rPr>
            </w:pPr>
            <w:r w:rsidRPr="001752B7">
              <w:rPr>
                <w:rFonts w:ascii="Calibri" w:eastAsia="Times New Roman" w:hAnsi="Calibri" w:cs="Calibri"/>
                <w:lang w:eastAsia="hr-HR"/>
              </w:rPr>
              <w:t>14</w:t>
            </w:r>
          </w:p>
        </w:tc>
        <w:tc>
          <w:tcPr>
            <w:tcW w:w="614" w:type="dxa"/>
            <w:tcBorders>
              <w:top w:val="nil"/>
              <w:left w:val="nil"/>
              <w:bottom w:val="single" w:sz="4" w:space="0" w:color="auto"/>
              <w:right w:val="single" w:sz="4" w:space="0" w:color="auto"/>
            </w:tcBorders>
            <w:shd w:val="clear" w:color="000000" w:fill="FFFF99"/>
            <w:vAlign w:val="center"/>
            <w:hideMark/>
          </w:tcPr>
          <w:p w14:paraId="2791D35D" w14:textId="77777777" w:rsidR="001752B7" w:rsidRPr="001752B7" w:rsidRDefault="001752B7" w:rsidP="001752B7">
            <w:pPr>
              <w:spacing w:after="0" w:line="240" w:lineRule="auto"/>
              <w:jc w:val="right"/>
              <w:rPr>
                <w:rFonts w:ascii="Calibri" w:eastAsia="Times New Roman" w:hAnsi="Calibri" w:cs="Calibri"/>
                <w:lang w:eastAsia="hr-HR"/>
              </w:rPr>
            </w:pPr>
            <w:r w:rsidRPr="001752B7">
              <w:rPr>
                <w:rFonts w:ascii="Calibri" w:eastAsia="Times New Roman" w:hAnsi="Calibri" w:cs="Calibri"/>
                <w:lang w:eastAsia="hr-HR"/>
              </w:rPr>
              <w:t>6</w:t>
            </w:r>
          </w:p>
        </w:tc>
        <w:tc>
          <w:tcPr>
            <w:tcW w:w="519" w:type="dxa"/>
            <w:tcBorders>
              <w:top w:val="nil"/>
              <w:left w:val="nil"/>
              <w:bottom w:val="single" w:sz="4" w:space="0" w:color="auto"/>
              <w:right w:val="single" w:sz="4" w:space="0" w:color="auto"/>
            </w:tcBorders>
            <w:shd w:val="clear" w:color="000000" w:fill="FF9900"/>
            <w:vAlign w:val="center"/>
            <w:hideMark/>
          </w:tcPr>
          <w:p w14:paraId="2066556D" w14:textId="77777777" w:rsidR="001752B7" w:rsidRPr="001752B7" w:rsidRDefault="001752B7" w:rsidP="001752B7">
            <w:pPr>
              <w:spacing w:after="0" w:line="240" w:lineRule="auto"/>
              <w:jc w:val="right"/>
              <w:rPr>
                <w:rFonts w:ascii="Calibri" w:eastAsia="Times New Roman" w:hAnsi="Calibri" w:cs="Calibri"/>
                <w:lang w:eastAsia="hr-HR"/>
              </w:rPr>
            </w:pPr>
            <w:r w:rsidRPr="001752B7">
              <w:rPr>
                <w:rFonts w:ascii="Calibri" w:eastAsia="Times New Roman" w:hAnsi="Calibri" w:cs="Calibri"/>
                <w:lang w:eastAsia="hr-HR"/>
              </w:rPr>
              <w:t>11</w:t>
            </w:r>
          </w:p>
        </w:tc>
        <w:tc>
          <w:tcPr>
            <w:tcW w:w="477" w:type="dxa"/>
            <w:tcBorders>
              <w:top w:val="nil"/>
              <w:left w:val="nil"/>
              <w:bottom w:val="single" w:sz="4" w:space="0" w:color="auto"/>
              <w:right w:val="single" w:sz="4" w:space="0" w:color="auto"/>
            </w:tcBorders>
            <w:shd w:val="clear" w:color="000000" w:fill="CCFFFF"/>
            <w:vAlign w:val="bottom"/>
            <w:hideMark/>
          </w:tcPr>
          <w:p w14:paraId="10E80ABF" w14:textId="77777777" w:rsidR="001752B7" w:rsidRPr="001752B7" w:rsidRDefault="001752B7" w:rsidP="001752B7">
            <w:pPr>
              <w:spacing w:after="0" w:line="240" w:lineRule="auto"/>
              <w:jc w:val="right"/>
              <w:rPr>
                <w:rFonts w:ascii="Calibri" w:eastAsia="Times New Roman" w:hAnsi="Calibri" w:cs="Calibri"/>
                <w:lang w:eastAsia="hr-HR"/>
              </w:rPr>
            </w:pPr>
            <w:r w:rsidRPr="001752B7">
              <w:rPr>
                <w:rFonts w:ascii="Calibri" w:eastAsia="Times New Roman" w:hAnsi="Calibri" w:cs="Calibri"/>
                <w:lang w:eastAsia="hr-HR"/>
              </w:rPr>
              <w:t>10</w:t>
            </w:r>
          </w:p>
        </w:tc>
        <w:tc>
          <w:tcPr>
            <w:tcW w:w="506" w:type="dxa"/>
            <w:tcBorders>
              <w:top w:val="nil"/>
              <w:left w:val="nil"/>
              <w:bottom w:val="single" w:sz="4" w:space="0" w:color="auto"/>
              <w:right w:val="single" w:sz="4" w:space="0" w:color="auto"/>
            </w:tcBorders>
            <w:shd w:val="clear" w:color="000000" w:fill="CCFFFF"/>
            <w:vAlign w:val="bottom"/>
            <w:hideMark/>
          </w:tcPr>
          <w:p w14:paraId="30F0F430" w14:textId="77777777" w:rsidR="001752B7" w:rsidRPr="001752B7" w:rsidRDefault="001752B7" w:rsidP="001752B7">
            <w:pPr>
              <w:spacing w:after="0" w:line="240" w:lineRule="auto"/>
              <w:jc w:val="right"/>
              <w:rPr>
                <w:rFonts w:ascii="Calibri" w:eastAsia="Times New Roman" w:hAnsi="Calibri" w:cs="Calibri"/>
                <w:lang w:eastAsia="hr-HR"/>
              </w:rPr>
            </w:pPr>
            <w:r w:rsidRPr="001752B7">
              <w:rPr>
                <w:rFonts w:ascii="Calibri" w:eastAsia="Times New Roman" w:hAnsi="Calibri" w:cs="Calibri"/>
                <w:lang w:eastAsia="hr-HR"/>
              </w:rPr>
              <w:t>1</w:t>
            </w:r>
          </w:p>
        </w:tc>
        <w:tc>
          <w:tcPr>
            <w:tcW w:w="485" w:type="dxa"/>
            <w:tcBorders>
              <w:top w:val="nil"/>
              <w:left w:val="nil"/>
              <w:bottom w:val="single" w:sz="4" w:space="0" w:color="auto"/>
              <w:right w:val="single" w:sz="4" w:space="0" w:color="auto"/>
            </w:tcBorders>
            <w:shd w:val="clear" w:color="000000" w:fill="CCFFFF"/>
            <w:vAlign w:val="bottom"/>
            <w:hideMark/>
          </w:tcPr>
          <w:p w14:paraId="26D4B51F" w14:textId="77777777" w:rsidR="001752B7" w:rsidRPr="001752B7" w:rsidRDefault="001752B7" w:rsidP="001752B7">
            <w:pPr>
              <w:spacing w:after="0" w:line="240" w:lineRule="auto"/>
              <w:jc w:val="right"/>
              <w:rPr>
                <w:rFonts w:ascii="Calibri" w:eastAsia="Times New Roman" w:hAnsi="Calibri" w:cs="Calibri"/>
                <w:lang w:eastAsia="hr-HR"/>
              </w:rPr>
            </w:pPr>
            <w:r w:rsidRPr="001752B7">
              <w:rPr>
                <w:rFonts w:ascii="Calibri" w:eastAsia="Times New Roman" w:hAnsi="Calibri" w:cs="Calibri"/>
                <w:lang w:eastAsia="hr-HR"/>
              </w:rPr>
              <w:t> </w:t>
            </w:r>
          </w:p>
        </w:tc>
        <w:tc>
          <w:tcPr>
            <w:tcW w:w="561" w:type="dxa"/>
            <w:tcBorders>
              <w:top w:val="nil"/>
              <w:left w:val="nil"/>
              <w:bottom w:val="single" w:sz="4" w:space="0" w:color="auto"/>
              <w:right w:val="nil"/>
            </w:tcBorders>
            <w:shd w:val="clear" w:color="000000" w:fill="33CCCC"/>
            <w:noWrap/>
            <w:vAlign w:val="bottom"/>
            <w:hideMark/>
          </w:tcPr>
          <w:p w14:paraId="49353E61" w14:textId="77777777" w:rsidR="001752B7" w:rsidRPr="001752B7" w:rsidRDefault="001752B7" w:rsidP="001752B7">
            <w:pPr>
              <w:spacing w:after="0" w:line="240" w:lineRule="auto"/>
              <w:jc w:val="right"/>
              <w:rPr>
                <w:rFonts w:ascii="Calibri" w:eastAsia="Times New Roman" w:hAnsi="Calibri" w:cs="Calibri"/>
                <w:lang w:eastAsia="hr-HR"/>
              </w:rPr>
            </w:pPr>
            <w:r w:rsidRPr="001752B7">
              <w:rPr>
                <w:rFonts w:ascii="Calibri" w:eastAsia="Times New Roman" w:hAnsi="Calibri" w:cs="Calibri"/>
                <w:lang w:eastAsia="hr-HR"/>
              </w:rPr>
              <w:t>13</w:t>
            </w:r>
          </w:p>
        </w:tc>
        <w:tc>
          <w:tcPr>
            <w:tcW w:w="595" w:type="dxa"/>
            <w:tcBorders>
              <w:top w:val="nil"/>
              <w:left w:val="single" w:sz="4" w:space="0" w:color="auto"/>
              <w:bottom w:val="single" w:sz="4" w:space="0" w:color="auto"/>
              <w:right w:val="single" w:sz="8" w:space="0" w:color="auto"/>
            </w:tcBorders>
            <w:shd w:val="clear" w:color="000000" w:fill="33CCCC"/>
            <w:noWrap/>
            <w:vAlign w:val="bottom"/>
            <w:hideMark/>
          </w:tcPr>
          <w:p w14:paraId="1AA6DA18" w14:textId="77777777" w:rsidR="001752B7" w:rsidRPr="001752B7" w:rsidRDefault="001752B7" w:rsidP="001752B7">
            <w:pPr>
              <w:spacing w:after="0" w:line="240" w:lineRule="auto"/>
              <w:jc w:val="right"/>
              <w:rPr>
                <w:rFonts w:ascii="Calibri" w:eastAsia="Times New Roman" w:hAnsi="Calibri" w:cs="Calibri"/>
                <w:lang w:eastAsia="hr-HR"/>
              </w:rPr>
            </w:pPr>
            <w:r w:rsidRPr="001752B7">
              <w:rPr>
                <w:rFonts w:ascii="Calibri" w:eastAsia="Times New Roman" w:hAnsi="Calibri" w:cs="Calibri"/>
                <w:lang w:eastAsia="hr-HR"/>
              </w:rPr>
              <w:t>1</w:t>
            </w:r>
          </w:p>
        </w:tc>
        <w:tc>
          <w:tcPr>
            <w:tcW w:w="266" w:type="dxa"/>
            <w:gridSpan w:val="3"/>
            <w:vAlign w:val="center"/>
            <w:hideMark/>
          </w:tcPr>
          <w:p w14:paraId="0E098FCE" w14:textId="77777777" w:rsidR="001752B7" w:rsidRPr="001752B7" w:rsidRDefault="001752B7" w:rsidP="001752B7">
            <w:pPr>
              <w:spacing w:after="0" w:line="240" w:lineRule="auto"/>
              <w:rPr>
                <w:rFonts w:ascii="Times New Roman" w:eastAsia="Times New Roman" w:hAnsi="Times New Roman" w:cs="Times New Roman"/>
                <w:sz w:val="20"/>
                <w:szCs w:val="20"/>
                <w:lang w:eastAsia="hr-HR"/>
              </w:rPr>
            </w:pPr>
          </w:p>
        </w:tc>
      </w:tr>
      <w:tr w:rsidR="001752B7" w:rsidRPr="001752B7" w14:paraId="489C04FD" w14:textId="77777777" w:rsidTr="000271A1">
        <w:trPr>
          <w:trHeight w:val="300"/>
        </w:trPr>
        <w:tc>
          <w:tcPr>
            <w:tcW w:w="1404" w:type="dxa"/>
            <w:tcBorders>
              <w:top w:val="single" w:sz="4" w:space="0" w:color="auto"/>
              <w:left w:val="single" w:sz="8" w:space="0" w:color="auto"/>
              <w:bottom w:val="single" w:sz="4" w:space="0" w:color="auto"/>
              <w:right w:val="single" w:sz="4" w:space="0" w:color="auto"/>
            </w:tcBorders>
            <w:shd w:val="clear" w:color="000000" w:fill="CCFFCC"/>
            <w:vAlign w:val="center"/>
            <w:hideMark/>
          </w:tcPr>
          <w:p w14:paraId="3964C070" w14:textId="77777777" w:rsidR="001752B7" w:rsidRPr="001752B7" w:rsidRDefault="001752B7" w:rsidP="001752B7">
            <w:pPr>
              <w:spacing w:after="0" w:line="240" w:lineRule="auto"/>
              <w:rPr>
                <w:rFonts w:ascii="Calibri" w:eastAsia="Times New Roman" w:hAnsi="Calibri" w:cs="Calibri"/>
                <w:lang w:eastAsia="hr-HR"/>
              </w:rPr>
            </w:pPr>
            <w:r w:rsidRPr="001752B7">
              <w:rPr>
                <w:rFonts w:ascii="Calibri" w:eastAsia="Times New Roman" w:hAnsi="Calibri" w:cs="Calibri"/>
                <w:lang w:eastAsia="hr-HR"/>
              </w:rPr>
              <w:t>Spolna orijentacija</w:t>
            </w:r>
          </w:p>
        </w:tc>
        <w:tc>
          <w:tcPr>
            <w:tcW w:w="545" w:type="dxa"/>
            <w:tcBorders>
              <w:top w:val="nil"/>
              <w:left w:val="nil"/>
              <w:bottom w:val="single" w:sz="4" w:space="0" w:color="auto"/>
              <w:right w:val="single" w:sz="4" w:space="0" w:color="auto"/>
            </w:tcBorders>
            <w:shd w:val="clear" w:color="000000" w:fill="CCFFCC"/>
            <w:vAlign w:val="center"/>
            <w:hideMark/>
          </w:tcPr>
          <w:p w14:paraId="6937623A" w14:textId="77777777" w:rsidR="001752B7" w:rsidRPr="001752B7" w:rsidRDefault="001752B7" w:rsidP="001752B7">
            <w:pPr>
              <w:spacing w:after="0" w:line="240" w:lineRule="auto"/>
              <w:jc w:val="right"/>
              <w:rPr>
                <w:rFonts w:ascii="Calibri" w:eastAsia="Times New Roman" w:hAnsi="Calibri" w:cs="Calibri"/>
                <w:lang w:eastAsia="hr-HR"/>
              </w:rPr>
            </w:pPr>
            <w:r w:rsidRPr="001752B7">
              <w:rPr>
                <w:rFonts w:ascii="Calibri" w:eastAsia="Times New Roman" w:hAnsi="Calibri" w:cs="Calibri"/>
                <w:lang w:eastAsia="hr-HR"/>
              </w:rPr>
              <w:t>2</w:t>
            </w:r>
          </w:p>
        </w:tc>
        <w:tc>
          <w:tcPr>
            <w:tcW w:w="573" w:type="dxa"/>
            <w:tcBorders>
              <w:top w:val="nil"/>
              <w:left w:val="nil"/>
              <w:bottom w:val="single" w:sz="4" w:space="0" w:color="auto"/>
              <w:right w:val="single" w:sz="4" w:space="0" w:color="auto"/>
            </w:tcBorders>
            <w:shd w:val="clear" w:color="000000" w:fill="FFCC99"/>
            <w:noWrap/>
            <w:vAlign w:val="bottom"/>
            <w:hideMark/>
          </w:tcPr>
          <w:p w14:paraId="0CC0273C" w14:textId="77777777" w:rsidR="001752B7" w:rsidRPr="001752B7" w:rsidRDefault="001752B7" w:rsidP="001752B7">
            <w:pPr>
              <w:spacing w:after="0" w:line="240" w:lineRule="auto"/>
              <w:jc w:val="right"/>
              <w:rPr>
                <w:rFonts w:ascii="Calibri" w:eastAsia="Times New Roman" w:hAnsi="Calibri" w:cs="Calibri"/>
                <w:lang w:eastAsia="hr-HR"/>
              </w:rPr>
            </w:pPr>
            <w:r w:rsidRPr="001752B7">
              <w:rPr>
                <w:rFonts w:ascii="Calibri" w:eastAsia="Times New Roman" w:hAnsi="Calibri" w:cs="Calibri"/>
                <w:lang w:eastAsia="hr-HR"/>
              </w:rPr>
              <w:t>1</w:t>
            </w:r>
          </w:p>
        </w:tc>
        <w:tc>
          <w:tcPr>
            <w:tcW w:w="855" w:type="dxa"/>
            <w:tcBorders>
              <w:top w:val="nil"/>
              <w:left w:val="nil"/>
              <w:bottom w:val="single" w:sz="4" w:space="0" w:color="auto"/>
              <w:right w:val="single" w:sz="4" w:space="0" w:color="auto"/>
            </w:tcBorders>
            <w:shd w:val="clear" w:color="000000" w:fill="CCFFFF"/>
            <w:noWrap/>
            <w:vAlign w:val="bottom"/>
            <w:hideMark/>
          </w:tcPr>
          <w:p w14:paraId="42ADEC4F" w14:textId="77777777" w:rsidR="001752B7" w:rsidRPr="001752B7" w:rsidRDefault="001752B7" w:rsidP="001752B7">
            <w:pPr>
              <w:spacing w:after="0" w:line="240" w:lineRule="auto"/>
              <w:jc w:val="right"/>
              <w:rPr>
                <w:rFonts w:ascii="Calibri" w:eastAsia="Times New Roman" w:hAnsi="Calibri" w:cs="Calibri"/>
                <w:lang w:eastAsia="hr-HR"/>
              </w:rPr>
            </w:pPr>
            <w:r w:rsidRPr="001752B7">
              <w:rPr>
                <w:rFonts w:ascii="Calibri" w:eastAsia="Times New Roman" w:hAnsi="Calibri" w:cs="Calibri"/>
                <w:lang w:eastAsia="hr-HR"/>
              </w:rPr>
              <w:t>1</w:t>
            </w:r>
          </w:p>
        </w:tc>
        <w:tc>
          <w:tcPr>
            <w:tcW w:w="638" w:type="dxa"/>
            <w:tcBorders>
              <w:top w:val="nil"/>
              <w:left w:val="nil"/>
              <w:bottom w:val="single" w:sz="4" w:space="0" w:color="auto"/>
              <w:right w:val="single" w:sz="4" w:space="0" w:color="auto"/>
            </w:tcBorders>
            <w:shd w:val="clear" w:color="000000" w:fill="CCFFFF"/>
            <w:noWrap/>
            <w:vAlign w:val="bottom"/>
            <w:hideMark/>
          </w:tcPr>
          <w:p w14:paraId="254F5F6E" w14:textId="77777777" w:rsidR="001752B7" w:rsidRPr="001752B7" w:rsidRDefault="001752B7" w:rsidP="001752B7">
            <w:pPr>
              <w:spacing w:after="0" w:line="240" w:lineRule="auto"/>
              <w:jc w:val="right"/>
              <w:rPr>
                <w:rFonts w:ascii="Calibri" w:eastAsia="Times New Roman" w:hAnsi="Calibri" w:cs="Calibri"/>
                <w:lang w:eastAsia="hr-HR"/>
              </w:rPr>
            </w:pPr>
            <w:r w:rsidRPr="001752B7">
              <w:rPr>
                <w:rFonts w:ascii="Calibri" w:eastAsia="Times New Roman" w:hAnsi="Calibri" w:cs="Calibri"/>
                <w:lang w:eastAsia="hr-HR"/>
              </w:rPr>
              <w:t> </w:t>
            </w:r>
          </w:p>
        </w:tc>
        <w:tc>
          <w:tcPr>
            <w:tcW w:w="580" w:type="dxa"/>
            <w:tcBorders>
              <w:top w:val="nil"/>
              <w:left w:val="nil"/>
              <w:bottom w:val="single" w:sz="4" w:space="0" w:color="auto"/>
              <w:right w:val="single" w:sz="4" w:space="0" w:color="auto"/>
            </w:tcBorders>
            <w:shd w:val="clear" w:color="000000" w:fill="FFFF99"/>
            <w:noWrap/>
            <w:vAlign w:val="bottom"/>
            <w:hideMark/>
          </w:tcPr>
          <w:p w14:paraId="710CB26F" w14:textId="77777777" w:rsidR="001752B7" w:rsidRPr="001752B7" w:rsidRDefault="001752B7" w:rsidP="001752B7">
            <w:pPr>
              <w:spacing w:after="0" w:line="240" w:lineRule="auto"/>
              <w:jc w:val="right"/>
              <w:rPr>
                <w:rFonts w:ascii="Calibri" w:eastAsia="Times New Roman" w:hAnsi="Calibri" w:cs="Calibri"/>
                <w:lang w:eastAsia="hr-HR"/>
              </w:rPr>
            </w:pPr>
            <w:r w:rsidRPr="001752B7">
              <w:rPr>
                <w:rFonts w:ascii="Calibri" w:eastAsia="Times New Roman" w:hAnsi="Calibri" w:cs="Calibri"/>
                <w:lang w:eastAsia="hr-HR"/>
              </w:rPr>
              <w:t> </w:t>
            </w:r>
          </w:p>
        </w:tc>
        <w:tc>
          <w:tcPr>
            <w:tcW w:w="447" w:type="dxa"/>
            <w:tcBorders>
              <w:top w:val="nil"/>
              <w:left w:val="nil"/>
              <w:bottom w:val="single" w:sz="4" w:space="0" w:color="auto"/>
              <w:right w:val="single" w:sz="4" w:space="0" w:color="auto"/>
            </w:tcBorders>
            <w:shd w:val="clear" w:color="000000" w:fill="FFFF99"/>
            <w:noWrap/>
            <w:vAlign w:val="bottom"/>
            <w:hideMark/>
          </w:tcPr>
          <w:p w14:paraId="0F26445D" w14:textId="77777777" w:rsidR="001752B7" w:rsidRPr="001752B7" w:rsidRDefault="001752B7" w:rsidP="001752B7">
            <w:pPr>
              <w:spacing w:after="0" w:line="240" w:lineRule="auto"/>
              <w:jc w:val="right"/>
              <w:rPr>
                <w:rFonts w:ascii="Calibri" w:eastAsia="Times New Roman" w:hAnsi="Calibri" w:cs="Calibri"/>
                <w:lang w:eastAsia="hr-HR"/>
              </w:rPr>
            </w:pPr>
            <w:r w:rsidRPr="001752B7">
              <w:rPr>
                <w:rFonts w:ascii="Calibri" w:eastAsia="Times New Roman" w:hAnsi="Calibri" w:cs="Calibri"/>
                <w:lang w:eastAsia="hr-HR"/>
              </w:rPr>
              <w:t> </w:t>
            </w:r>
          </w:p>
        </w:tc>
        <w:tc>
          <w:tcPr>
            <w:tcW w:w="447" w:type="dxa"/>
            <w:tcBorders>
              <w:top w:val="nil"/>
              <w:left w:val="nil"/>
              <w:bottom w:val="single" w:sz="4" w:space="0" w:color="auto"/>
              <w:right w:val="single" w:sz="4" w:space="0" w:color="auto"/>
            </w:tcBorders>
            <w:shd w:val="clear" w:color="000000" w:fill="FFFF99"/>
            <w:noWrap/>
            <w:vAlign w:val="bottom"/>
            <w:hideMark/>
          </w:tcPr>
          <w:p w14:paraId="4A1956F6" w14:textId="77777777" w:rsidR="001752B7" w:rsidRPr="001752B7" w:rsidRDefault="001752B7" w:rsidP="001752B7">
            <w:pPr>
              <w:spacing w:after="0" w:line="240" w:lineRule="auto"/>
              <w:jc w:val="right"/>
              <w:rPr>
                <w:rFonts w:ascii="Calibri" w:eastAsia="Times New Roman" w:hAnsi="Calibri" w:cs="Calibri"/>
                <w:lang w:eastAsia="hr-HR"/>
              </w:rPr>
            </w:pPr>
            <w:r w:rsidRPr="001752B7">
              <w:rPr>
                <w:rFonts w:ascii="Calibri" w:eastAsia="Times New Roman" w:hAnsi="Calibri" w:cs="Calibri"/>
                <w:lang w:eastAsia="hr-HR"/>
              </w:rPr>
              <w:t> </w:t>
            </w:r>
          </w:p>
        </w:tc>
        <w:tc>
          <w:tcPr>
            <w:tcW w:w="447" w:type="dxa"/>
            <w:tcBorders>
              <w:top w:val="nil"/>
              <w:left w:val="nil"/>
              <w:bottom w:val="single" w:sz="4" w:space="0" w:color="auto"/>
              <w:right w:val="single" w:sz="4" w:space="0" w:color="auto"/>
            </w:tcBorders>
            <w:shd w:val="clear" w:color="000000" w:fill="FFFF99"/>
            <w:noWrap/>
            <w:vAlign w:val="bottom"/>
            <w:hideMark/>
          </w:tcPr>
          <w:p w14:paraId="4929F787" w14:textId="77777777" w:rsidR="001752B7" w:rsidRPr="001752B7" w:rsidRDefault="001752B7" w:rsidP="001752B7">
            <w:pPr>
              <w:spacing w:after="0" w:line="240" w:lineRule="auto"/>
              <w:jc w:val="right"/>
              <w:rPr>
                <w:rFonts w:ascii="Calibri" w:eastAsia="Times New Roman" w:hAnsi="Calibri" w:cs="Calibri"/>
                <w:lang w:eastAsia="hr-HR"/>
              </w:rPr>
            </w:pPr>
            <w:r w:rsidRPr="001752B7">
              <w:rPr>
                <w:rFonts w:ascii="Calibri" w:eastAsia="Times New Roman" w:hAnsi="Calibri" w:cs="Calibri"/>
                <w:lang w:eastAsia="hr-HR"/>
              </w:rPr>
              <w:t> </w:t>
            </w:r>
          </w:p>
        </w:tc>
        <w:tc>
          <w:tcPr>
            <w:tcW w:w="447" w:type="dxa"/>
            <w:tcBorders>
              <w:top w:val="nil"/>
              <w:left w:val="nil"/>
              <w:bottom w:val="single" w:sz="4" w:space="0" w:color="auto"/>
              <w:right w:val="single" w:sz="4" w:space="0" w:color="auto"/>
            </w:tcBorders>
            <w:shd w:val="clear" w:color="000000" w:fill="FFFF99"/>
            <w:noWrap/>
            <w:vAlign w:val="bottom"/>
            <w:hideMark/>
          </w:tcPr>
          <w:p w14:paraId="6A09DFEA" w14:textId="77777777" w:rsidR="001752B7" w:rsidRPr="001752B7" w:rsidRDefault="001752B7" w:rsidP="001752B7">
            <w:pPr>
              <w:spacing w:after="0" w:line="240" w:lineRule="auto"/>
              <w:jc w:val="right"/>
              <w:rPr>
                <w:rFonts w:ascii="Calibri" w:eastAsia="Times New Roman" w:hAnsi="Calibri" w:cs="Calibri"/>
                <w:lang w:eastAsia="hr-HR"/>
              </w:rPr>
            </w:pPr>
            <w:r w:rsidRPr="001752B7">
              <w:rPr>
                <w:rFonts w:ascii="Calibri" w:eastAsia="Times New Roman" w:hAnsi="Calibri" w:cs="Calibri"/>
                <w:lang w:eastAsia="hr-HR"/>
              </w:rPr>
              <w:t> </w:t>
            </w:r>
          </w:p>
        </w:tc>
        <w:tc>
          <w:tcPr>
            <w:tcW w:w="572" w:type="dxa"/>
            <w:tcBorders>
              <w:top w:val="nil"/>
              <w:left w:val="nil"/>
              <w:bottom w:val="single" w:sz="4" w:space="0" w:color="auto"/>
              <w:right w:val="single" w:sz="4" w:space="0" w:color="auto"/>
            </w:tcBorders>
            <w:shd w:val="clear" w:color="000000" w:fill="FF9900"/>
            <w:noWrap/>
            <w:vAlign w:val="bottom"/>
            <w:hideMark/>
          </w:tcPr>
          <w:p w14:paraId="17E0071A" w14:textId="77777777" w:rsidR="001752B7" w:rsidRPr="001752B7" w:rsidRDefault="001752B7" w:rsidP="001752B7">
            <w:pPr>
              <w:spacing w:after="0" w:line="240" w:lineRule="auto"/>
              <w:jc w:val="right"/>
              <w:rPr>
                <w:rFonts w:ascii="Calibri" w:eastAsia="Times New Roman" w:hAnsi="Calibri" w:cs="Calibri"/>
                <w:lang w:eastAsia="hr-HR"/>
              </w:rPr>
            </w:pPr>
            <w:r w:rsidRPr="001752B7">
              <w:rPr>
                <w:rFonts w:ascii="Calibri" w:eastAsia="Times New Roman" w:hAnsi="Calibri" w:cs="Calibri"/>
                <w:lang w:eastAsia="hr-HR"/>
              </w:rPr>
              <w:t>1</w:t>
            </w:r>
          </w:p>
        </w:tc>
        <w:tc>
          <w:tcPr>
            <w:tcW w:w="467" w:type="dxa"/>
            <w:tcBorders>
              <w:top w:val="nil"/>
              <w:left w:val="nil"/>
              <w:bottom w:val="single" w:sz="4" w:space="0" w:color="auto"/>
              <w:right w:val="single" w:sz="4" w:space="0" w:color="auto"/>
            </w:tcBorders>
            <w:shd w:val="clear" w:color="000000" w:fill="FF9900"/>
            <w:noWrap/>
            <w:vAlign w:val="bottom"/>
            <w:hideMark/>
          </w:tcPr>
          <w:p w14:paraId="087D23ED" w14:textId="77777777" w:rsidR="001752B7" w:rsidRPr="001752B7" w:rsidRDefault="001752B7" w:rsidP="001752B7">
            <w:pPr>
              <w:spacing w:after="0" w:line="240" w:lineRule="auto"/>
              <w:jc w:val="right"/>
              <w:rPr>
                <w:rFonts w:ascii="Calibri" w:eastAsia="Times New Roman" w:hAnsi="Calibri" w:cs="Calibri"/>
                <w:lang w:eastAsia="hr-HR"/>
              </w:rPr>
            </w:pPr>
            <w:r w:rsidRPr="001752B7">
              <w:rPr>
                <w:rFonts w:ascii="Calibri" w:eastAsia="Times New Roman" w:hAnsi="Calibri" w:cs="Calibri"/>
                <w:lang w:eastAsia="hr-HR"/>
              </w:rPr>
              <w:t>2</w:t>
            </w:r>
          </w:p>
        </w:tc>
        <w:tc>
          <w:tcPr>
            <w:tcW w:w="579" w:type="dxa"/>
            <w:tcBorders>
              <w:top w:val="nil"/>
              <w:left w:val="nil"/>
              <w:bottom w:val="single" w:sz="4" w:space="0" w:color="auto"/>
              <w:right w:val="single" w:sz="4" w:space="0" w:color="auto"/>
            </w:tcBorders>
            <w:shd w:val="clear" w:color="000000" w:fill="FF9900"/>
            <w:noWrap/>
            <w:vAlign w:val="bottom"/>
            <w:hideMark/>
          </w:tcPr>
          <w:p w14:paraId="43D7E668" w14:textId="77777777" w:rsidR="001752B7" w:rsidRPr="001752B7" w:rsidRDefault="001752B7" w:rsidP="001752B7">
            <w:pPr>
              <w:spacing w:after="0" w:line="240" w:lineRule="auto"/>
              <w:jc w:val="right"/>
              <w:rPr>
                <w:rFonts w:ascii="Calibri" w:eastAsia="Times New Roman" w:hAnsi="Calibri" w:cs="Calibri"/>
                <w:lang w:eastAsia="hr-HR"/>
              </w:rPr>
            </w:pPr>
            <w:r w:rsidRPr="001752B7">
              <w:rPr>
                <w:rFonts w:ascii="Calibri" w:eastAsia="Times New Roman" w:hAnsi="Calibri" w:cs="Calibri"/>
                <w:lang w:eastAsia="hr-HR"/>
              </w:rPr>
              <w:t> </w:t>
            </w:r>
          </w:p>
        </w:tc>
        <w:tc>
          <w:tcPr>
            <w:tcW w:w="447" w:type="dxa"/>
            <w:tcBorders>
              <w:top w:val="nil"/>
              <w:left w:val="nil"/>
              <w:bottom w:val="single" w:sz="4" w:space="0" w:color="auto"/>
              <w:right w:val="single" w:sz="4" w:space="0" w:color="auto"/>
            </w:tcBorders>
            <w:shd w:val="clear" w:color="000000" w:fill="66FFCC"/>
            <w:noWrap/>
            <w:vAlign w:val="bottom"/>
            <w:hideMark/>
          </w:tcPr>
          <w:p w14:paraId="4CAEFD2C" w14:textId="77777777" w:rsidR="001752B7" w:rsidRPr="001752B7" w:rsidRDefault="001752B7" w:rsidP="001752B7">
            <w:pPr>
              <w:spacing w:after="0" w:line="240" w:lineRule="auto"/>
              <w:jc w:val="right"/>
              <w:rPr>
                <w:rFonts w:ascii="Calibri" w:eastAsia="Times New Roman" w:hAnsi="Calibri" w:cs="Calibri"/>
                <w:lang w:eastAsia="hr-HR"/>
              </w:rPr>
            </w:pPr>
            <w:r w:rsidRPr="001752B7">
              <w:rPr>
                <w:rFonts w:ascii="Calibri" w:eastAsia="Times New Roman" w:hAnsi="Calibri" w:cs="Calibri"/>
                <w:lang w:eastAsia="hr-HR"/>
              </w:rPr>
              <w:t> </w:t>
            </w:r>
          </w:p>
        </w:tc>
        <w:tc>
          <w:tcPr>
            <w:tcW w:w="447" w:type="dxa"/>
            <w:tcBorders>
              <w:top w:val="nil"/>
              <w:left w:val="nil"/>
              <w:bottom w:val="single" w:sz="4" w:space="0" w:color="auto"/>
              <w:right w:val="single" w:sz="4" w:space="0" w:color="auto"/>
            </w:tcBorders>
            <w:shd w:val="clear" w:color="000000" w:fill="66FFCC"/>
            <w:noWrap/>
            <w:vAlign w:val="bottom"/>
            <w:hideMark/>
          </w:tcPr>
          <w:p w14:paraId="70334F35" w14:textId="77777777" w:rsidR="001752B7" w:rsidRPr="001752B7" w:rsidRDefault="001752B7" w:rsidP="001752B7">
            <w:pPr>
              <w:spacing w:after="0" w:line="240" w:lineRule="auto"/>
              <w:jc w:val="right"/>
              <w:rPr>
                <w:rFonts w:ascii="Calibri" w:eastAsia="Times New Roman" w:hAnsi="Calibri" w:cs="Calibri"/>
                <w:lang w:eastAsia="hr-HR"/>
              </w:rPr>
            </w:pPr>
            <w:r w:rsidRPr="001752B7">
              <w:rPr>
                <w:rFonts w:ascii="Calibri" w:eastAsia="Times New Roman" w:hAnsi="Calibri" w:cs="Calibri"/>
                <w:lang w:eastAsia="hr-HR"/>
              </w:rPr>
              <w:t>1</w:t>
            </w:r>
          </w:p>
        </w:tc>
        <w:tc>
          <w:tcPr>
            <w:tcW w:w="698" w:type="dxa"/>
            <w:tcBorders>
              <w:top w:val="nil"/>
              <w:left w:val="nil"/>
              <w:bottom w:val="single" w:sz="4" w:space="0" w:color="auto"/>
              <w:right w:val="single" w:sz="4" w:space="0" w:color="auto"/>
            </w:tcBorders>
            <w:shd w:val="clear" w:color="000000" w:fill="66FFCC"/>
            <w:noWrap/>
            <w:vAlign w:val="bottom"/>
            <w:hideMark/>
          </w:tcPr>
          <w:p w14:paraId="7B72965E" w14:textId="77777777" w:rsidR="001752B7" w:rsidRPr="001752B7" w:rsidRDefault="001752B7" w:rsidP="001752B7">
            <w:pPr>
              <w:spacing w:after="0" w:line="240" w:lineRule="auto"/>
              <w:jc w:val="right"/>
              <w:rPr>
                <w:rFonts w:ascii="Calibri" w:eastAsia="Times New Roman" w:hAnsi="Calibri" w:cs="Calibri"/>
                <w:lang w:eastAsia="hr-HR"/>
              </w:rPr>
            </w:pPr>
            <w:r w:rsidRPr="001752B7">
              <w:rPr>
                <w:rFonts w:ascii="Calibri" w:eastAsia="Times New Roman" w:hAnsi="Calibri" w:cs="Calibri"/>
                <w:lang w:eastAsia="hr-HR"/>
              </w:rPr>
              <w:t> </w:t>
            </w:r>
          </w:p>
        </w:tc>
        <w:tc>
          <w:tcPr>
            <w:tcW w:w="447" w:type="dxa"/>
            <w:tcBorders>
              <w:top w:val="nil"/>
              <w:left w:val="nil"/>
              <w:bottom w:val="single" w:sz="4" w:space="0" w:color="auto"/>
              <w:right w:val="single" w:sz="4" w:space="0" w:color="auto"/>
            </w:tcBorders>
            <w:shd w:val="clear" w:color="000000" w:fill="66FFCC"/>
            <w:noWrap/>
            <w:vAlign w:val="bottom"/>
            <w:hideMark/>
          </w:tcPr>
          <w:p w14:paraId="75FF8690" w14:textId="77777777" w:rsidR="001752B7" w:rsidRPr="001752B7" w:rsidRDefault="001752B7" w:rsidP="001752B7">
            <w:pPr>
              <w:spacing w:after="0" w:line="240" w:lineRule="auto"/>
              <w:jc w:val="right"/>
              <w:rPr>
                <w:rFonts w:ascii="Calibri" w:eastAsia="Times New Roman" w:hAnsi="Calibri" w:cs="Calibri"/>
                <w:lang w:eastAsia="hr-HR"/>
              </w:rPr>
            </w:pPr>
            <w:r w:rsidRPr="001752B7">
              <w:rPr>
                <w:rFonts w:ascii="Calibri" w:eastAsia="Times New Roman" w:hAnsi="Calibri" w:cs="Calibri"/>
                <w:lang w:eastAsia="hr-HR"/>
              </w:rPr>
              <w:t>1</w:t>
            </w:r>
          </w:p>
        </w:tc>
        <w:tc>
          <w:tcPr>
            <w:tcW w:w="652" w:type="dxa"/>
            <w:tcBorders>
              <w:top w:val="nil"/>
              <w:left w:val="nil"/>
              <w:bottom w:val="single" w:sz="4" w:space="0" w:color="auto"/>
              <w:right w:val="single" w:sz="4" w:space="0" w:color="auto"/>
            </w:tcBorders>
            <w:shd w:val="clear" w:color="000000" w:fill="FFFF00"/>
            <w:vAlign w:val="center"/>
            <w:hideMark/>
          </w:tcPr>
          <w:p w14:paraId="66DA2A3C" w14:textId="77777777" w:rsidR="001752B7" w:rsidRPr="001752B7" w:rsidRDefault="001752B7" w:rsidP="001752B7">
            <w:pPr>
              <w:spacing w:after="0" w:line="240" w:lineRule="auto"/>
              <w:jc w:val="right"/>
              <w:rPr>
                <w:rFonts w:ascii="Calibri" w:eastAsia="Times New Roman" w:hAnsi="Calibri" w:cs="Calibri"/>
                <w:lang w:eastAsia="hr-HR"/>
              </w:rPr>
            </w:pPr>
            <w:r w:rsidRPr="001752B7">
              <w:rPr>
                <w:rFonts w:ascii="Calibri" w:eastAsia="Times New Roman" w:hAnsi="Calibri" w:cs="Calibri"/>
                <w:lang w:eastAsia="hr-HR"/>
              </w:rPr>
              <w:t>1</w:t>
            </w:r>
          </w:p>
        </w:tc>
        <w:tc>
          <w:tcPr>
            <w:tcW w:w="614" w:type="dxa"/>
            <w:tcBorders>
              <w:top w:val="nil"/>
              <w:left w:val="nil"/>
              <w:bottom w:val="single" w:sz="4" w:space="0" w:color="auto"/>
              <w:right w:val="single" w:sz="4" w:space="0" w:color="auto"/>
            </w:tcBorders>
            <w:shd w:val="clear" w:color="000000" w:fill="FFFF99"/>
            <w:vAlign w:val="center"/>
            <w:hideMark/>
          </w:tcPr>
          <w:p w14:paraId="5A933D9A" w14:textId="77777777" w:rsidR="001752B7" w:rsidRPr="001752B7" w:rsidRDefault="001752B7" w:rsidP="001752B7">
            <w:pPr>
              <w:spacing w:after="0" w:line="240" w:lineRule="auto"/>
              <w:jc w:val="right"/>
              <w:rPr>
                <w:rFonts w:ascii="Calibri" w:eastAsia="Times New Roman" w:hAnsi="Calibri" w:cs="Calibri"/>
                <w:lang w:eastAsia="hr-HR"/>
              </w:rPr>
            </w:pPr>
            <w:r w:rsidRPr="001752B7">
              <w:rPr>
                <w:rFonts w:ascii="Calibri" w:eastAsia="Times New Roman" w:hAnsi="Calibri" w:cs="Calibri"/>
                <w:lang w:eastAsia="hr-HR"/>
              </w:rPr>
              <w:t>2</w:t>
            </w:r>
          </w:p>
        </w:tc>
        <w:tc>
          <w:tcPr>
            <w:tcW w:w="519" w:type="dxa"/>
            <w:tcBorders>
              <w:top w:val="nil"/>
              <w:left w:val="nil"/>
              <w:bottom w:val="single" w:sz="4" w:space="0" w:color="auto"/>
              <w:right w:val="single" w:sz="4" w:space="0" w:color="auto"/>
            </w:tcBorders>
            <w:shd w:val="clear" w:color="000000" w:fill="FF9900"/>
            <w:vAlign w:val="center"/>
            <w:hideMark/>
          </w:tcPr>
          <w:p w14:paraId="5DAF15CF" w14:textId="77777777" w:rsidR="001752B7" w:rsidRPr="001752B7" w:rsidRDefault="001752B7" w:rsidP="001752B7">
            <w:pPr>
              <w:spacing w:after="0" w:line="240" w:lineRule="auto"/>
              <w:jc w:val="right"/>
              <w:rPr>
                <w:rFonts w:ascii="Calibri" w:eastAsia="Times New Roman" w:hAnsi="Calibri" w:cs="Calibri"/>
                <w:lang w:eastAsia="hr-HR"/>
              </w:rPr>
            </w:pPr>
            <w:r w:rsidRPr="001752B7">
              <w:rPr>
                <w:rFonts w:ascii="Calibri" w:eastAsia="Times New Roman" w:hAnsi="Calibri" w:cs="Calibri"/>
                <w:lang w:eastAsia="hr-HR"/>
              </w:rPr>
              <w:t>1</w:t>
            </w:r>
          </w:p>
        </w:tc>
        <w:tc>
          <w:tcPr>
            <w:tcW w:w="477" w:type="dxa"/>
            <w:tcBorders>
              <w:top w:val="nil"/>
              <w:left w:val="nil"/>
              <w:bottom w:val="single" w:sz="4" w:space="0" w:color="auto"/>
              <w:right w:val="single" w:sz="4" w:space="0" w:color="auto"/>
            </w:tcBorders>
            <w:shd w:val="clear" w:color="000000" w:fill="CCFFFF"/>
            <w:vAlign w:val="bottom"/>
            <w:hideMark/>
          </w:tcPr>
          <w:p w14:paraId="20E49060" w14:textId="77777777" w:rsidR="001752B7" w:rsidRPr="001752B7" w:rsidRDefault="001752B7" w:rsidP="001752B7">
            <w:pPr>
              <w:spacing w:after="0" w:line="240" w:lineRule="auto"/>
              <w:jc w:val="right"/>
              <w:rPr>
                <w:rFonts w:ascii="Calibri" w:eastAsia="Times New Roman" w:hAnsi="Calibri" w:cs="Calibri"/>
                <w:lang w:eastAsia="hr-HR"/>
              </w:rPr>
            </w:pPr>
            <w:r w:rsidRPr="001752B7">
              <w:rPr>
                <w:rFonts w:ascii="Calibri" w:eastAsia="Times New Roman" w:hAnsi="Calibri" w:cs="Calibri"/>
                <w:lang w:eastAsia="hr-HR"/>
              </w:rPr>
              <w:t> </w:t>
            </w:r>
          </w:p>
        </w:tc>
        <w:tc>
          <w:tcPr>
            <w:tcW w:w="506" w:type="dxa"/>
            <w:tcBorders>
              <w:top w:val="nil"/>
              <w:left w:val="nil"/>
              <w:bottom w:val="single" w:sz="4" w:space="0" w:color="auto"/>
              <w:right w:val="single" w:sz="4" w:space="0" w:color="auto"/>
            </w:tcBorders>
            <w:shd w:val="clear" w:color="000000" w:fill="CCFFFF"/>
            <w:vAlign w:val="bottom"/>
            <w:hideMark/>
          </w:tcPr>
          <w:p w14:paraId="7B83751C" w14:textId="77777777" w:rsidR="001752B7" w:rsidRPr="001752B7" w:rsidRDefault="001752B7" w:rsidP="001752B7">
            <w:pPr>
              <w:spacing w:after="0" w:line="240" w:lineRule="auto"/>
              <w:jc w:val="right"/>
              <w:rPr>
                <w:rFonts w:ascii="Calibri" w:eastAsia="Times New Roman" w:hAnsi="Calibri" w:cs="Calibri"/>
                <w:lang w:eastAsia="hr-HR"/>
              </w:rPr>
            </w:pPr>
            <w:r w:rsidRPr="001752B7">
              <w:rPr>
                <w:rFonts w:ascii="Calibri" w:eastAsia="Times New Roman" w:hAnsi="Calibri" w:cs="Calibri"/>
                <w:lang w:eastAsia="hr-HR"/>
              </w:rPr>
              <w:t> </w:t>
            </w:r>
          </w:p>
        </w:tc>
        <w:tc>
          <w:tcPr>
            <w:tcW w:w="485" w:type="dxa"/>
            <w:tcBorders>
              <w:top w:val="nil"/>
              <w:left w:val="nil"/>
              <w:bottom w:val="single" w:sz="4" w:space="0" w:color="auto"/>
              <w:right w:val="single" w:sz="4" w:space="0" w:color="auto"/>
            </w:tcBorders>
            <w:shd w:val="clear" w:color="000000" w:fill="CCFFFF"/>
            <w:vAlign w:val="bottom"/>
            <w:hideMark/>
          </w:tcPr>
          <w:p w14:paraId="7D30A2E3" w14:textId="77777777" w:rsidR="001752B7" w:rsidRPr="001752B7" w:rsidRDefault="001752B7" w:rsidP="001752B7">
            <w:pPr>
              <w:spacing w:after="0" w:line="240" w:lineRule="auto"/>
              <w:jc w:val="right"/>
              <w:rPr>
                <w:rFonts w:ascii="Calibri" w:eastAsia="Times New Roman" w:hAnsi="Calibri" w:cs="Calibri"/>
                <w:lang w:eastAsia="hr-HR"/>
              </w:rPr>
            </w:pPr>
            <w:r w:rsidRPr="001752B7">
              <w:rPr>
                <w:rFonts w:ascii="Calibri" w:eastAsia="Times New Roman" w:hAnsi="Calibri" w:cs="Calibri"/>
                <w:lang w:eastAsia="hr-HR"/>
              </w:rPr>
              <w:t> </w:t>
            </w:r>
          </w:p>
        </w:tc>
        <w:tc>
          <w:tcPr>
            <w:tcW w:w="561" w:type="dxa"/>
            <w:tcBorders>
              <w:top w:val="nil"/>
              <w:left w:val="nil"/>
              <w:bottom w:val="single" w:sz="4" w:space="0" w:color="auto"/>
              <w:right w:val="nil"/>
            </w:tcBorders>
            <w:shd w:val="clear" w:color="000000" w:fill="33CCCC"/>
            <w:noWrap/>
            <w:vAlign w:val="bottom"/>
            <w:hideMark/>
          </w:tcPr>
          <w:p w14:paraId="4DE5D813" w14:textId="77777777" w:rsidR="001752B7" w:rsidRPr="001752B7" w:rsidRDefault="001752B7" w:rsidP="001752B7">
            <w:pPr>
              <w:spacing w:after="0" w:line="240" w:lineRule="auto"/>
              <w:jc w:val="right"/>
              <w:rPr>
                <w:rFonts w:ascii="Calibri" w:eastAsia="Times New Roman" w:hAnsi="Calibri" w:cs="Calibri"/>
                <w:lang w:eastAsia="hr-HR"/>
              </w:rPr>
            </w:pPr>
            <w:r w:rsidRPr="001752B7">
              <w:rPr>
                <w:rFonts w:ascii="Calibri" w:eastAsia="Times New Roman" w:hAnsi="Calibri" w:cs="Calibri"/>
                <w:lang w:eastAsia="hr-HR"/>
              </w:rPr>
              <w:t> </w:t>
            </w:r>
          </w:p>
        </w:tc>
        <w:tc>
          <w:tcPr>
            <w:tcW w:w="595" w:type="dxa"/>
            <w:tcBorders>
              <w:top w:val="nil"/>
              <w:left w:val="single" w:sz="4" w:space="0" w:color="auto"/>
              <w:bottom w:val="single" w:sz="4" w:space="0" w:color="auto"/>
              <w:right w:val="single" w:sz="8" w:space="0" w:color="auto"/>
            </w:tcBorders>
            <w:shd w:val="clear" w:color="000000" w:fill="33CCCC"/>
            <w:noWrap/>
            <w:vAlign w:val="bottom"/>
            <w:hideMark/>
          </w:tcPr>
          <w:p w14:paraId="059F2341" w14:textId="77777777" w:rsidR="001752B7" w:rsidRPr="001752B7" w:rsidRDefault="001752B7" w:rsidP="001752B7">
            <w:pPr>
              <w:spacing w:after="0" w:line="240" w:lineRule="auto"/>
              <w:jc w:val="right"/>
              <w:rPr>
                <w:rFonts w:ascii="Calibri" w:eastAsia="Times New Roman" w:hAnsi="Calibri" w:cs="Calibri"/>
                <w:lang w:eastAsia="hr-HR"/>
              </w:rPr>
            </w:pPr>
            <w:r w:rsidRPr="001752B7">
              <w:rPr>
                <w:rFonts w:ascii="Calibri" w:eastAsia="Times New Roman" w:hAnsi="Calibri" w:cs="Calibri"/>
                <w:lang w:eastAsia="hr-HR"/>
              </w:rPr>
              <w:t>1</w:t>
            </w:r>
          </w:p>
        </w:tc>
        <w:tc>
          <w:tcPr>
            <w:tcW w:w="266" w:type="dxa"/>
            <w:gridSpan w:val="3"/>
            <w:vAlign w:val="center"/>
            <w:hideMark/>
          </w:tcPr>
          <w:p w14:paraId="451819A1" w14:textId="77777777" w:rsidR="001752B7" w:rsidRPr="001752B7" w:rsidRDefault="001752B7" w:rsidP="001752B7">
            <w:pPr>
              <w:spacing w:after="0" w:line="240" w:lineRule="auto"/>
              <w:rPr>
                <w:rFonts w:ascii="Times New Roman" w:eastAsia="Times New Roman" w:hAnsi="Times New Roman" w:cs="Times New Roman"/>
                <w:sz w:val="20"/>
                <w:szCs w:val="20"/>
                <w:lang w:eastAsia="hr-HR"/>
              </w:rPr>
            </w:pPr>
          </w:p>
        </w:tc>
      </w:tr>
      <w:tr w:rsidR="001752B7" w:rsidRPr="001752B7" w14:paraId="33CEF45D" w14:textId="77777777" w:rsidTr="000271A1">
        <w:trPr>
          <w:trHeight w:val="300"/>
        </w:trPr>
        <w:tc>
          <w:tcPr>
            <w:tcW w:w="1404" w:type="dxa"/>
            <w:tcBorders>
              <w:top w:val="single" w:sz="4" w:space="0" w:color="auto"/>
              <w:left w:val="single" w:sz="8" w:space="0" w:color="auto"/>
              <w:bottom w:val="single" w:sz="4" w:space="0" w:color="auto"/>
              <w:right w:val="single" w:sz="4" w:space="0" w:color="auto"/>
            </w:tcBorders>
            <w:shd w:val="clear" w:color="000000" w:fill="CCFFCC"/>
            <w:vAlign w:val="center"/>
            <w:hideMark/>
          </w:tcPr>
          <w:p w14:paraId="24782D09" w14:textId="77777777" w:rsidR="001752B7" w:rsidRPr="001752B7" w:rsidRDefault="001752B7" w:rsidP="001752B7">
            <w:pPr>
              <w:spacing w:after="0" w:line="240" w:lineRule="auto"/>
              <w:rPr>
                <w:rFonts w:ascii="Calibri" w:eastAsia="Times New Roman" w:hAnsi="Calibri" w:cs="Calibri"/>
                <w:lang w:eastAsia="hr-HR"/>
              </w:rPr>
            </w:pPr>
            <w:r w:rsidRPr="001752B7">
              <w:rPr>
                <w:rFonts w:ascii="Calibri" w:eastAsia="Times New Roman" w:hAnsi="Calibri" w:cs="Calibri"/>
                <w:lang w:eastAsia="hr-HR"/>
              </w:rPr>
              <w:t>Jezik</w:t>
            </w:r>
          </w:p>
        </w:tc>
        <w:tc>
          <w:tcPr>
            <w:tcW w:w="545" w:type="dxa"/>
            <w:tcBorders>
              <w:top w:val="nil"/>
              <w:left w:val="nil"/>
              <w:bottom w:val="single" w:sz="4" w:space="0" w:color="auto"/>
              <w:right w:val="single" w:sz="4" w:space="0" w:color="auto"/>
            </w:tcBorders>
            <w:shd w:val="clear" w:color="000000" w:fill="CCFFCC"/>
            <w:vAlign w:val="center"/>
            <w:hideMark/>
          </w:tcPr>
          <w:p w14:paraId="316484EB" w14:textId="77777777" w:rsidR="001752B7" w:rsidRPr="001752B7" w:rsidRDefault="001752B7" w:rsidP="001752B7">
            <w:pPr>
              <w:spacing w:after="0" w:line="240" w:lineRule="auto"/>
              <w:jc w:val="right"/>
              <w:rPr>
                <w:rFonts w:ascii="Calibri" w:eastAsia="Times New Roman" w:hAnsi="Calibri" w:cs="Calibri"/>
                <w:lang w:eastAsia="hr-HR"/>
              </w:rPr>
            </w:pPr>
            <w:r w:rsidRPr="001752B7">
              <w:rPr>
                <w:rFonts w:ascii="Calibri" w:eastAsia="Times New Roman" w:hAnsi="Calibri" w:cs="Calibri"/>
                <w:lang w:eastAsia="hr-HR"/>
              </w:rPr>
              <w:t> </w:t>
            </w:r>
          </w:p>
        </w:tc>
        <w:tc>
          <w:tcPr>
            <w:tcW w:w="573" w:type="dxa"/>
            <w:tcBorders>
              <w:top w:val="nil"/>
              <w:left w:val="nil"/>
              <w:bottom w:val="single" w:sz="4" w:space="0" w:color="auto"/>
              <w:right w:val="single" w:sz="4" w:space="0" w:color="auto"/>
            </w:tcBorders>
            <w:shd w:val="clear" w:color="000000" w:fill="FFCC99"/>
            <w:noWrap/>
            <w:vAlign w:val="bottom"/>
            <w:hideMark/>
          </w:tcPr>
          <w:p w14:paraId="784BEC42" w14:textId="77777777" w:rsidR="001752B7" w:rsidRPr="001752B7" w:rsidRDefault="001752B7" w:rsidP="001752B7">
            <w:pPr>
              <w:spacing w:after="0" w:line="240" w:lineRule="auto"/>
              <w:jc w:val="right"/>
              <w:rPr>
                <w:rFonts w:ascii="Calibri" w:eastAsia="Times New Roman" w:hAnsi="Calibri" w:cs="Calibri"/>
                <w:lang w:eastAsia="hr-HR"/>
              </w:rPr>
            </w:pPr>
            <w:r w:rsidRPr="001752B7">
              <w:rPr>
                <w:rFonts w:ascii="Calibri" w:eastAsia="Times New Roman" w:hAnsi="Calibri" w:cs="Calibri"/>
                <w:lang w:eastAsia="hr-HR"/>
              </w:rPr>
              <w:t> </w:t>
            </w:r>
          </w:p>
        </w:tc>
        <w:tc>
          <w:tcPr>
            <w:tcW w:w="855" w:type="dxa"/>
            <w:tcBorders>
              <w:top w:val="nil"/>
              <w:left w:val="nil"/>
              <w:bottom w:val="single" w:sz="4" w:space="0" w:color="auto"/>
              <w:right w:val="single" w:sz="4" w:space="0" w:color="auto"/>
            </w:tcBorders>
            <w:shd w:val="clear" w:color="000000" w:fill="CCFFFF"/>
            <w:noWrap/>
            <w:vAlign w:val="bottom"/>
            <w:hideMark/>
          </w:tcPr>
          <w:p w14:paraId="13B3855C" w14:textId="77777777" w:rsidR="001752B7" w:rsidRPr="001752B7" w:rsidRDefault="001752B7" w:rsidP="001752B7">
            <w:pPr>
              <w:spacing w:after="0" w:line="240" w:lineRule="auto"/>
              <w:jc w:val="right"/>
              <w:rPr>
                <w:rFonts w:ascii="Calibri" w:eastAsia="Times New Roman" w:hAnsi="Calibri" w:cs="Calibri"/>
                <w:lang w:eastAsia="hr-HR"/>
              </w:rPr>
            </w:pPr>
            <w:r w:rsidRPr="001752B7">
              <w:rPr>
                <w:rFonts w:ascii="Calibri" w:eastAsia="Times New Roman" w:hAnsi="Calibri" w:cs="Calibri"/>
                <w:lang w:eastAsia="hr-HR"/>
              </w:rPr>
              <w:t> </w:t>
            </w:r>
          </w:p>
        </w:tc>
        <w:tc>
          <w:tcPr>
            <w:tcW w:w="638" w:type="dxa"/>
            <w:tcBorders>
              <w:top w:val="nil"/>
              <w:left w:val="nil"/>
              <w:bottom w:val="single" w:sz="4" w:space="0" w:color="auto"/>
              <w:right w:val="single" w:sz="4" w:space="0" w:color="auto"/>
            </w:tcBorders>
            <w:shd w:val="clear" w:color="000000" w:fill="CCFFFF"/>
            <w:noWrap/>
            <w:vAlign w:val="bottom"/>
            <w:hideMark/>
          </w:tcPr>
          <w:p w14:paraId="690FC4C1" w14:textId="77777777" w:rsidR="001752B7" w:rsidRPr="001752B7" w:rsidRDefault="001752B7" w:rsidP="001752B7">
            <w:pPr>
              <w:spacing w:after="0" w:line="240" w:lineRule="auto"/>
              <w:jc w:val="right"/>
              <w:rPr>
                <w:rFonts w:ascii="Calibri" w:eastAsia="Times New Roman" w:hAnsi="Calibri" w:cs="Calibri"/>
                <w:lang w:eastAsia="hr-HR"/>
              </w:rPr>
            </w:pPr>
            <w:r w:rsidRPr="001752B7">
              <w:rPr>
                <w:rFonts w:ascii="Calibri" w:eastAsia="Times New Roman" w:hAnsi="Calibri" w:cs="Calibri"/>
                <w:lang w:eastAsia="hr-HR"/>
              </w:rPr>
              <w:t> </w:t>
            </w:r>
          </w:p>
        </w:tc>
        <w:tc>
          <w:tcPr>
            <w:tcW w:w="580" w:type="dxa"/>
            <w:tcBorders>
              <w:top w:val="nil"/>
              <w:left w:val="nil"/>
              <w:bottom w:val="single" w:sz="4" w:space="0" w:color="auto"/>
              <w:right w:val="single" w:sz="4" w:space="0" w:color="auto"/>
            </w:tcBorders>
            <w:shd w:val="clear" w:color="000000" w:fill="FFFF99"/>
            <w:noWrap/>
            <w:vAlign w:val="bottom"/>
            <w:hideMark/>
          </w:tcPr>
          <w:p w14:paraId="1CFC1202" w14:textId="77777777" w:rsidR="001752B7" w:rsidRPr="001752B7" w:rsidRDefault="001752B7" w:rsidP="001752B7">
            <w:pPr>
              <w:spacing w:after="0" w:line="240" w:lineRule="auto"/>
              <w:jc w:val="right"/>
              <w:rPr>
                <w:rFonts w:ascii="Calibri" w:eastAsia="Times New Roman" w:hAnsi="Calibri" w:cs="Calibri"/>
                <w:lang w:eastAsia="hr-HR"/>
              </w:rPr>
            </w:pPr>
            <w:r w:rsidRPr="001752B7">
              <w:rPr>
                <w:rFonts w:ascii="Calibri" w:eastAsia="Times New Roman" w:hAnsi="Calibri" w:cs="Calibri"/>
                <w:lang w:eastAsia="hr-HR"/>
              </w:rPr>
              <w:t> </w:t>
            </w:r>
          </w:p>
        </w:tc>
        <w:tc>
          <w:tcPr>
            <w:tcW w:w="447" w:type="dxa"/>
            <w:tcBorders>
              <w:top w:val="nil"/>
              <w:left w:val="nil"/>
              <w:bottom w:val="single" w:sz="4" w:space="0" w:color="auto"/>
              <w:right w:val="single" w:sz="4" w:space="0" w:color="auto"/>
            </w:tcBorders>
            <w:shd w:val="clear" w:color="000000" w:fill="FFFF99"/>
            <w:noWrap/>
            <w:vAlign w:val="bottom"/>
            <w:hideMark/>
          </w:tcPr>
          <w:p w14:paraId="0D4B8DCD" w14:textId="77777777" w:rsidR="001752B7" w:rsidRPr="001752B7" w:rsidRDefault="001752B7" w:rsidP="001752B7">
            <w:pPr>
              <w:spacing w:after="0" w:line="240" w:lineRule="auto"/>
              <w:jc w:val="right"/>
              <w:rPr>
                <w:rFonts w:ascii="Calibri" w:eastAsia="Times New Roman" w:hAnsi="Calibri" w:cs="Calibri"/>
                <w:lang w:eastAsia="hr-HR"/>
              </w:rPr>
            </w:pPr>
            <w:r w:rsidRPr="001752B7">
              <w:rPr>
                <w:rFonts w:ascii="Calibri" w:eastAsia="Times New Roman" w:hAnsi="Calibri" w:cs="Calibri"/>
                <w:lang w:eastAsia="hr-HR"/>
              </w:rPr>
              <w:t> </w:t>
            </w:r>
          </w:p>
        </w:tc>
        <w:tc>
          <w:tcPr>
            <w:tcW w:w="447" w:type="dxa"/>
            <w:tcBorders>
              <w:top w:val="nil"/>
              <w:left w:val="nil"/>
              <w:bottom w:val="single" w:sz="4" w:space="0" w:color="auto"/>
              <w:right w:val="single" w:sz="4" w:space="0" w:color="auto"/>
            </w:tcBorders>
            <w:shd w:val="clear" w:color="000000" w:fill="FFFF99"/>
            <w:noWrap/>
            <w:vAlign w:val="bottom"/>
            <w:hideMark/>
          </w:tcPr>
          <w:p w14:paraId="268BB85B" w14:textId="77777777" w:rsidR="001752B7" w:rsidRPr="001752B7" w:rsidRDefault="001752B7" w:rsidP="001752B7">
            <w:pPr>
              <w:spacing w:after="0" w:line="240" w:lineRule="auto"/>
              <w:jc w:val="right"/>
              <w:rPr>
                <w:rFonts w:ascii="Calibri" w:eastAsia="Times New Roman" w:hAnsi="Calibri" w:cs="Calibri"/>
                <w:lang w:eastAsia="hr-HR"/>
              </w:rPr>
            </w:pPr>
            <w:r w:rsidRPr="001752B7">
              <w:rPr>
                <w:rFonts w:ascii="Calibri" w:eastAsia="Times New Roman" w:hAnsi="Calibri" w:cs="Calibri"/>
                <w:lang w:eastAsia="hr-HR"/>
              </w:rPr>
              <w:t> </w:t>
            </w:r>
          </w:p>
        </w:tc>
        <w:tc>
          <w:tcPr>
            <w:tcW w:w="447" w:type="dxa"/>
            <w:tcBorders>
              <w:top w:val="nil"/>
              <w:left w:val="nil"/>
              <w:bottom w:val="single" w:sz="4" w:space="0" w:color="auto"/>
              <w:right w:val="single" w:sz="4" w:space="0" w:color="auto"/>
            </w:tcBorders>
            <w:shd w:val="clear" w:color="000000" w:fill="FFFF99"/>
            <w:noWrap/>
            <w:vAlign w:val="bottom"/>
            <w:hideMark/>
          </w:tcPr>
          <w:p w14:paraId="592C4E74" w14:textId="77777777" w:rsidR="001752B7" w:rsidRPr="001752B7" w:rsidRDefault="001752B7" w:rsidP="001752B7">
            <w:pPr>
              <w:spacing w:after="0" w:line="240" w:lineRule="auto"/>
              <w:jc w:val="right"/>
              <w:rPr>
                <w:rFonts w:ascii="Calibri" w:eastAsia="Times New Roman" w:hAnsi="Calibri" w:cs="Calibri"/>
                <w:lang w:eastAsia="hr-HR"/>
              </w:rPr>
            </w:pPr>
            <w:r w:rsidRPr="001752B7">
              <w:rPr>
                <w:rFonts w:ascii="Calibri" w:eastAsia="Times New Roman" w:hAnsi="Calibri" w:cs="Calibri"/>
                <w:lang w:eastAsia="hr-HR"/>
              </w:rPr>
              <w:t> </w:t>
            </w:r>
          </w:p>
        </w:tc>
        <w:tc>
          <w:tcPr>
            <w:tcW w:w="447" w:type="dxa"/>
            <w:tcBorders>
              <w:top w:val="nil"/>
              <w:left w:val="nil"/>
              <w:bottom w:val="single" w:sz="4" w:space="0" w:color="auto"/>
              <w:right w:val="single" w:sz="4" w:space="0" w:color="auto"/>
            </w:tcBorders>
            <w:shd w:val="clear" w:color="000000" w:fill="FFFF99"/>
            <w:noWrap/>
            <w:vAlign w:val="bottom"/>
            <w:hideMark/>
          </w:tcPr>
          <w:p w14:paraId="13CA985A" w14:textId="77777777" w:rsidR="001752B7" w:rsidRPr="001752B7" w:rsidRDefault="001752B7" w:rsidP="001752B7">
            <w:pPr>
              <w:spacing w:after="0" w:line="240" w:lineRule="auto"/>
              <w:jc w:val="right"/>
              <w:rPr>
                <w:rFonts w:ascii="Calibri" w:eastAsia="Times New Roman" w:hAnsi="Calibri" w:cs="Calibri"/>
                <w:lang w:eastAsia="hr-HR"/>
              </w:rPr>
            </w:pPr>
            <w:r w:rsidRPr="001752B7">
              <w:rPr>
                <w:rFonts w:ascii="Calibri" w:eastAsia="Times New Roman" w:hAnsi="Calibri" w:cs="Calibri"/>
                <w:lang w:eastAsia="hr-HR"/>
              </w:rPr>
              <w:t> </w:t>
            </w:r>
          </w:p>
        </w:tc>
        <w:tc>
          <w:tcPr>
            <w:tcW w:w="572" w:type="dxa"/>
            <w:tcBorders>
              <w:top w:val="nil"/>
              <w:left w:val="nil"/>
              <w:bottom w:val="single" w:sz="4" w:space="0" w:color="auto"/>
              <w:right w:val="single" w:sz="4" w:space="0" w:color="auto"/>
            </w:tcBorders>
            <w:shd w:val="clear" w:color="000000" w:fill="FF9900"/>
            <w:noWrap/>
            <w:vAlign w:val="bottom"/>
            <w:hideMark/>
          </w:tcPr>
          <w:p w14:paraId="5E4370DC" w14:textId="77777777" w:rsidR="001752B7" w:rsidRPr="001752B7" w:rsidRDefault="001752B7" w:rsidP="001752B7">
            <w:pPr>
              <w:spacing w:after="0" w:line="240" w:lineRule="auto"/>
              <w:jc w:val="right"/>
              <w:rPr>
                <w:rFonts w:ascii="Calibri" w:eastAsia="Times New Roman" w:hAnsi="Calibri" w:cs="Calibri"/>
                <w:lang w:eastAsia="hr-HR"/>
              </w:rPr>
            </w:pPr>
            <w:r w:rsidRPr="001752B7">
              <w:rPr>
                <w:rFonts w:ascii="Calibri" w:eastAsia="Times New Roman" w:hAnsi="Calibri" w:cs="Calibri"/>
                <w:lang w:eastAsia="hr-HR"/>
              </w:rPr>
              <w:t> </w:t>
            </w:r>
          </w:p>
        </w:tc>
        <w:tc>
          <w:tcPr>
            <w:tcW w:w="467" w:type="dxa"/>
            <w:tcBorders>
              <w:top w:val="nil"/>
              <w:left w:val="nil"/>
              <w:bottom w:val="single" w:sz="4" w:space="0" w:color="auto"/>
              <w:right w:val="single" w:sz="4" w:space="0" w:color="auto"/>
            </w:tcBorders>
            <w:shd w:val="clear" w:color="000000" w:fill="FF9900"/>
            <w:noWrap/>
            <w:vAlign w:val="bottom"/>
            <w:hideMark/>
          </w:tcPr>
          <w:p w14:paraId="5C4DA2A7" w14:textId="77777777" w:rsidR="001752B7" w:rsidRPr="001752B7" w:rsidRDefault="001752B7" w:rsidP="001752B7">
            <w:pPr>
              <w:spacing w:after="0" w:line="240" w:lineRule="auto"/>
              <w:jc w:val="right"/>
              <w:rPr>
                <w:rFonts w:ascii="Calibri" w:eastAsia="Times New Roman" w:hAnsi="Calibri" w:cs="Calibri"/>
                <w:lang w:eastAsia="hr-HR"/>
              </w:rPr>
            </w:pPr>
            <w:r w:rsidRPr="001752B7">
              <w:rPr>
                <w:rFonts w:ascii="Calibri" w:eastAsia="Times New Roman" w:hAnsi="Calibri" w:cs="Calibri"/>
                <w:lang w:eastAsia="hr-HR"/>
              </w:rPr>
              <w:t> </w:t>
            </w:r>
          </w:p>
        </w:tc>
        <w:tc>
          <w:tcPr>
            <w:tcW w:w="579" w:type="dxa"/>
            <w:tcBorders>
              <w:top w:val="nil"/>
              <w:left w:val="nil"/>
              <w:bottom w:val="single" w:sz="4" w:space="0" w:color="auto"/>
              <w:right w:val="single" w:sz="4" w:space="0" w:color="auto"/>
            </w:tcBorders>
            <w:shd w:val="clear" w:color="000000" w:fill="FF9900"/>
            <w:noWrap/>
            <w:vAlign w:val="bottom"/>
            <w:hideMark/>
          </w:tcPr>
          <w:p w14:paraId="2965CEBD" w14:textId="77777777" w:rsidR="001752B7" w:rsidRPr="001752B7" w:rsidRDefault="001752B7" w:rsidP="001752B7">
            <w:pPr>
              <w:spacing w:after="0" w:line="240" w:lineRule="auto"/>
              <w:jc w:val="right"/>
              <w:rPr>
                <w:rFonts w:ascii="Calibri" w:eastAsia="Times New Roman" w:hAnsi="Calibri" w:cs="Calibri"/>
                <w:lang w:eastAsia="hr-HR"/>
              </w:rPr>
            </w:pPr>
            <w:r w:rsidRPr="001752B7">
              <w:rPr>
                <w:rFonts w:ascii="Calibri" w:eastAsia="Times New Roman" w:hAnsi="Calibri" w:cs="Calibri"/>
                <w:lang w:eastAsia="hr-HR"/>
              </w:rPr>
              <w:t> </w:t>
            </w:r>
          </w:p>
        </w:tc>
        <w:tc>
          <w:tcPr>
            <w:tcW w:w="447" w:type="dxa"/>
            <w:tcBorders>
              <w:top w:val="nil"/>
              <w:left w:val="nil"/>
              <w:bottom w:val="single" w:sz="4" w:space="0" w:color="auto"/>
              <w:right w:val="single" w:sz="4" w:space="0" w:color="auto"/>
            </w:tcBorders>
            <w:shd w:val="clear" w:color="000000" w:fill="66FFCC"/>
            <w:noWrap/>
            <w:vAlign w:val="bottom"/>
            <w:hideMark/>
          </w:tcPr>
          <w:p w14:paraId="41B8FBFB" w14:textId="77777777" w:rsidR="001752B7" w:rsidRPr="001752B7" w:rsidRDefault="001752B7" w:rsidP="001752B7">
            <w:pPr>
              <w:spacing w:after="0" w:line="240" w:lineRule="auto"/>
              <w:jc w:val="right"/>
              <w:rPr>
                <w:rFonts w:ascii="Calibri" w:eastAsia="Times New Roman" w:hAnsi="Calibri" w:cs="Calibri"/>
                <w:lang w:eastAsia="hr-HR"/>
              </w:rPr>
            </w:pPr>
            <w:r w:rsidRPr="001752B7">
              <w:rPr>
                <w:rFonts w:ascii="Calibri" w:eastAsia="Times New Roman" w:hAnsi="Calibri" w:cs="Calibri"/>
                <w:lang w:eastAsia="hr-HR"/>
              </w:rPr>
              <w:t> </w:t>
            </w:r>
          </w:p>
        </w:tc>
        <w:tc>
          <w:tcPr>
            <w:tcW w:w="447" w:type="dxa"/>
            <w:tcBorders>
              <w:top w:val="nil"/>
              <w:left w:val="nil"/>
              <w:bottom w:val="single" w:sz="4" w:space="0" w:color="auto"/>
              <w:right w:val="single" w:sz="4" w:space="0" w:color="auto"/>
            </w:tcBorders>
            <w:shd w:val="clear" w:color="000000" w:fill="66FFCC"/>
            <w:noWrap/>
            <w:vAlign w:val="bottom"/>
            <w:hideMark/>
          </w:tcPr>
          <w:p w14:paraId="70A7A56C" w14:textId="77777777" w:rsidR="001752B7" w:rsidRPr="001752B7" w:rsidRDefault="001752B7" w:rsidP="001752B7">
            <w:pPr>
              <w:spacing w:after="0" w:line="240" w:lineRule="auto"/>
              <w:jc w:val="right"/>
              <w:rPr>
                <w:rFonts w:ascii="Calibri" w:eastAsia="Times New Roman" w:hAnsi="Calibri" w:cs="Calibri"/>
                <w:lang w:eastAsia="hr-HR"/>
              </w:rPr>
            </w:pPr>
            <w:r w:rsidRPr="001752B7">
              <w:rPr>
                <w:rFonts w:ascii="Calibri" w:eastAsia="Times New Roman" w:hAnsi="Calibri" w:cs="Calibri"/>
                <w:lang w:eastAsia="hr-HR"/>
              </w:rPr>
              <w:t> </w:t>
            </w:r>
          </w:p>
        </w:tc>
        <w:tc>
          <w:tcPr>
            <w:tcW w:w="698" w:type="dxa"/>
            <w:tcBorders>
              <w:top w:val="nil"/>
              <w:left w:val="nil"/>
              <w:bottom w:val="single" w:sz="4" w:space="0" w:color="auto"/>
              <w:right w:val="single" w:sz="4" w:space="0" w:color="auto"/>
            </w:tcBorders>
            <w:shd w:val="clear" w:color="000000" w:fill="66FFCC"/>
            <w:noWrap/>
            <w:vAlign w:val="bottom"/>
            <w:hideMark/>
          </w:tcPr>
          <w:p w14:paraId="6A8206E2" w14:textId="77777777" w:rsidR="001752B7" w:rsidRPr="001752B7" w:rsidRDefault="001752B7" w:rsidP="001752B7">
            <w:pPr>
              <w:spacing w:after="0" w:line="240" w:lineRule="auto"/>
              <w:jc w:val="right"/>
              <w:rPr>
                <w:rFonts w:ascii="Calibri" w:eastAsia="Times New Roman" w:hAnsi="Calibri" w:cs="Calibri"/>
                <w:lang w:eastAsia="hr-HR"/>
              </w:rPr>
            </w:pPr>
            <w:r w:rsidRPr="001752B7">
              <w:rPr>
                <w:rFonts w:ascii="Calibri" w:eastAsia="Times New Roman" w:hAnsi="Calibri" w:cs="Calibri"/>
                <w:lang w:eastAsia="hr-HR"/>
              </w:rPr>
              <w:t> </w:t>
            </w:r>
          </w:p>
        </w:tc>
        <w:tc>
          <w:tcPr>
            <w:tcW w:w="447" w:type="dxa"/>
            <w:tcBorders>
              <w:top w:val="nil"/>
              <w:left w:val="nil"/>
              <w:bottom w:val="single" w:sz="4" w:space="0" w:color="auto"/>
              <w:right w:val="single" w:sz="4" w:space="0" w:color="auto"/>
            </w:tcBorders>
            <w:shd w:val="clear" w:color="000000" w:fill="66FFCC"/>
            <w:noWrap/>
            <w:vAlign w:val="bottom"/>
            <w:hideMark/>
          </w:tcPr>
          <w:p w14:paraId="194F069D" w14:textId="77777777" w:rsidR="001752B7" w:rsidRPr="001752B7" w:rsidRDefault="001752B7" w:rsidP="001752B7">
            <w:pPr>
              <w:spacing w:after="0" w:line="240" w:lineRule="auto"/>
              <w:jc w:val="right"/>
              <w:rPr>
                <w:rFonts w:ascii="Calibri" w:eastAsia="Times New Roman" w:hAnsi="Calibri" w:cs="Calibri"/>
                <w:lang w:eastAsia="hr-HR"/>
              </w:rPr>
            </w:pPr>
            <w:r w:rsidRPr="001752B7">
              <w:rPr>
                <w:rFonts w:ascii="Calibri" w:eastAsia="Times New Roman" w:hAnsi="Calibri" w:cs="Calibri"/>
                <w:lang w:eastAsia="hr-HR"/>
              </w:rPr>
              <w:t> </w:t>
            </w:r>
          </w:p>
        </w:tc>
        <w:tc>
          <w:tcPr>
            <w:tcW w:w="652" w:type="dxa"/>
            <w:tcBorders>
              <w:top w:val="nil"/>
              <w:left w:val="nil"/>
              <w:bottom w:val="single" w:sz="4" w:space="0" w:color="auto"/>
              <w:right w:val="single" w:sz="4" w:space="0" w:color="auto"/>
            </w:tcBorders>
            <w:shd w:val="clear" w:color="000000" w:fill="FFFF00"/>
            <w:vAlign w:val="center"/>
            <w:hideMark/>
          </w:tcPr>
          <w:p w14:paraId="07BD67D7" w14:textId="77777777" w:rsidR="001752B7" w:rsidRPr="001752B7" w:rsidRDefault="001752B7" w:rsidP="001752B7">
            <w:pPr>
              <w:spacing w:after="0" w:line="240" w:lineRule="auto"/>
              <w:jc w:val="right"/>
              <w:rPr>
                <w:rFonts w:ascii="Calibri" w:eastAsia="Times New Roman" w:hAnsi="Calibri" w:cs="Calibri"/>
                <w:lang w:eastAsia="hr-HR"/>
              </w:rPr>
            </w:pPr>
            <w:r w:rsidRPr="001752B7">
              <w:rPr>
                <w:rFonts w:ascii="Calibri" w:eastAsia="Times New Roman" w:hAnsi="Calibri" w:cs="Calibri"/>
                <w:lang w:eastAsia="hr-HR"/>
              </w:rPr>
              <w:t> </w:t>
            </w:r>
          </w:p>
        </w:tc>
        <w:tc>
          <w:tcPr>
            <w:tcW w:w="614" w:type="dxa"/>
            <w:tcBorders>
              <w:top w:val="nil"/>
              <w:left w:val="nil"/>
              <w:bottom w:val="single" w:sz="4" w:space="0" w:color="auto"/>
              <w:right w:val="single" w:sz="4" w:space="0" w:color="auto"/>
            </w:tcBorders>
            <w:shd w:val="clear" w:color="000000" w:fill="FFFF99"/>
            <w:vAlign w:val="center"/>
            <w:hideMark/>
          </w:tcPr>
          <w:p w14:paraId="08455C6E" w14:textId="77777777" w:rsidR="001752B7" w:rsidRPr="001752B7" w:rsidRDefault="001752B7" w:rsidP="001752B7">
            <w:pPr>
              <w:spacing w:after="0" w:line="240" w:lineRule="auto"/>
              <w:jc w:val="right"/>
              <w:rPr>
                <w:rFonts w:ascii="Calibri" w:eastAsia="Times New Roman" w:hAnsi="Calibri" w:cs="Calibri"/>
                <w:lang w:eastAsia="hr-HR"/>
              </w:rPr>
            </w:pPr>
            <w:r w:rsidRPr="001752B7">
              <w:rPr>
                <w:rFonts w:ascii="Calibri" w:eastAsia="Times New Roman" w:hAnsi="Calibri" w:cs="Calibri"/>
                <w:lang w:eastAsia="hr-HR"/>
              </w:rPr>
              <w:t> </w:t>
            </w:r>
          </w:p>
        </w:tc>
        <w:tc>
          <w:tcPr>
            <w:tcW w:w="519" w:type="dxa"/>
            <w:tcBorders>
              <w:top w:val="nil"/>
              <w:left w:val="nil"/>
              <w:bottom w:val="single" w:sz="4" w:space="0" w:color="auto"/>
              <w:right w:val="single" w:sz="4" w:space="0" w:color="auto"/>
            </w:tcBorders>
            <w:shd w:val="clear" w:color="000000" w:fill="FF9900"/>
            <w:vAlign w:val="center"/>
            <w:hideMark/>
          </w:tcPr>
          <w:p w14:paraId="67F799B6" w14:textId="77777777" w:rsidR="001752B7" w:rsidRPr="001752B7" w:rsidRDefault="001752B7" w:rsidP="001752B7">
            <w:pPr>
              <w:spacing w:after="0" w:line="240" w:lineRule="auto"/>
              <w:jc w:val="right"/>
              <w:rPr>
                <w:rFonts w:ascii="Calibri" w:eastAsia="Times New Roman" w:hAnsi="Calibri" w:cs="Calibri"/>
                <w:lang w:eastAsia="hr-HR"/>
              </w:rPr>
            </w:pPr>
            <w:r w:rsidRPr="001752B7">
              <w:rPr>
                <w:rFonts w:ascii="Calibri" w:eastAsia="Times New Roman" w:hAnsi="Calibri" w:cs="Calibri"/>
                <w:lang w:eastAsia="hr-HR"/>
              </w:rPr>
              <w:t> </w:t>
            </w:r>
          </w:p>
        </w:tc>
        <w:tc>
          <w:tcPr>
            <w:tcW w:w="477" w:type="dxa"/>
            <w:tcBorders>
              <w:top w:val="nil"/>
              <w:left w:val="nil"/>
              <w:bottom w:val="single" w:sz="4" w:space="0" w:color="auto"/>
              <w:right w:val="single" w:sz="4" w:space="0" w:color="auto"/>
            </w:tcBorders>
            <w:shd w:val="clear" w:color="000000" w:fill="CCFFFF"/>
            <w:vAlign w:val="bottom"/>
            <w:hideMark/>
          </w:tcPr>
          <w:p w14:paraId="20D0CC56" w14:textId="77777777" w:rsidR="001752B7" w:rsidRPr="001752B7" w:rsidRDefault="001752B7" w:rsidP="001752B7">
            <w:pPr>
              <w:spacing w:after="0" w:line="240" w:lineRule="auto"/>
              <w:jc w:val="right"/>
              <w:rPr>
                <w:rFonts w:ascii="Calibri" w:eastAsia="Times New Roman" w:hAnsi="Calibri" w:cs="Calibri"/>
                <w:lang w:eastAsia="hr-HR"/>
              </w:rPr>
            </w:pPr>
            <w:r w:rsidRPr="001752B7">
              <w:rPr>
                <w:rFonts w:ascii="Calibri" w:eastAsia="Times New Roman" w:hAnsi="Calibri" w:cs="Calibri"/>
                <w:lang w:eastAsia="hr-HR"/>
              </w:rPr>
              <w:t> </w:t>
            </w:r>
          </w:p>
        </w:tc>
        <w:tc>
          <w:tcPr>
            <w:tcW w:w="506" w:type="dxa"/>
            <w:tcBorders>
              <w:top w:val="nil"/>
              <w:left w:val="nil"/>
              <w:bottom w:val="single" w:sz="4" w:space="0" w:color="auto"/>
              <w:right w:val="single" w:sz="4" w:space="0" w:color="auto"/>
            </w:tcBorders>
            <w:shd w:val="clear" w:color="000000" w:fill="CCFFFF"/>
            <w:vAlign w:val="bottom"/>
            <w:hideMark/>
          </w:tcPr>
          <w:p w14:paraId="053BC454" w14:textId="77777777" w:rsidR="001752B7" w:rsidRPr="001752B7" w:rsidRDefault="001752B7" w:rsidP="001752B7">
            <w:pPr>
              <w:spacing w:after="0" w:line="240" w:lineRule="auto"/>
              <w:jc w:val="right"/>
              <w:rPr>
                <w:rFonts w:ascii="Calibri" w:eastAsia="Times New Roman" w:hAnsi="Calibri" w:cs="Calibri"/>
                <w:lang w:eastAsia="hr-HR"/>
              </w:rPr>
            </w:pPr>
            <w:r w:rsidRPr="001752B7">
              <w:rPr>
                <w:rFonts w:ascii="Calibri" w:eastAsia="Times New Roman" w:hAnsi="Calibri" w:cs="Calibri"/>
                <w:lang w:eastAsia="hr-HR"/>
              </w:rPr>
              <w:t> </w:t>
            </w:r>
          </w:p>
        </w:tc>
        <w:tc>
          <w:tcPr>
            <w:tcW w:w="485" w:type="dxa"/>
            <w:tcBorders>
              <w:top w:val="nil"/>
              <w:left w:val="nil"/>
              <w:bottom w:val="single" w:sz="4" w:space="0" w:color="auto"/>
              <w:right w:val="single" w:sz="4" w:space="0" w:color="auto"/>
            </w:tcBorders>
            <w:shd w:val="clear" w:color="000000" w:fill="CCFFFF"/>
            <w:vAlign w:val="bottom"/>
            <w:hideMark/>
          </w:tcPr>
          <w:p w14:paraId="60E7901F" w14:textId="77777777" w:rsidR="001752B7" w:rsidRPr="001752B7" w:rsidRDefault="001752B7" w:rsidP="001752B7">
            <w:pPr>
              <w:spacing w:after="0" w:line="240" w:lineRule="auto"/>
              <w:jc w:val="right"/>
              <w:rPr>
                <w:rFonts w:ascii="Calibri" w:eastAsia="Times New Roman" w:hAnsi="Calibri" w:cs="Calibri"/>
                <w:lang w:eastAsia="hr-HR"/>
              </w:rPr>
            </w:pPr>
            <w:r w:rsidRPr="001752B7">
              <w:rPr>
                <w:rFonts w:ascii="Calibri" w:eastAsia="Times New Roman" w:hAnsi="Calibri" w:cs="Calibri"/>
                <w:lang w:eastAsia="hr-HR"/>
              </w:rPr>
              <w:t> </w:t>
            </w:r>
          </w:p>
        </w:tc>
        <w:tc>
          <w:tcPr>
            <w:tcW w:w="561" w:type="dxa"/>
            <w:tcBorders>
              <w:top w:val="nil"/>
              <w:left w:val="nil"/>
              <w:bottom w:val="single" w:sz="4" w:space="0" w:color="auto"/>
              <w:right w:val="nil"/>
            </w:tcBorders>
            <w:shd w:val="clear" w:color="000000" w:fill="33CCCC"/>
            <w:noWrap/>
            <w:vAlign w:val="bottom"/>
            <w:hideMark/>
          </w:tcPr>
          <w:p w14:paraId="2E90EBA6" w14:textId="77777777" w:rsidR="001752B7" w:rsidRPr="001752B7" w:rsidRDefault="001752B7" w:rsidP="001752B7">
            <w:pPr>
              <w:spacing w:after="0" w:line="240" w:lineRule="auto"/>
              <w:jc w:val="right"/>
              <w:rPr>
                <w:rFonts w:ascii="Calibri" w:eastAsia="Times New Roman" w:hAnsi="Calibri" w:cs="Calibri"/>
                <w:lang w:eastAsia="hr-HR"/>
              </w:rPr>
            </w:pPr>
            <w:r w:rsidRPr="001752B7">
              <w:rPr>
                <w:rFonts w:ascii="Calibri" w:eastAsia="Times New Roman" w:hAnsi="Calibri" w:cs="Calibri"/>
                <w:lang w:eastAsia="hr-HR"/>
              </w:rPr>
              <w:t> </w:t>
            </w:r>
          </w:p>
        </w:tc>
        <w:tc>
          <w:tcPr>
            <w:tcW w:w="595" w:type="dxa"/>
            <w:tcBorders>
              <w:top w:val="nil"/>
              <w:left w:val="single" w:sz="4" w:space="0" w:color="auto"/>
              <w:bottom w:val="single" w:sz="4" w:space="0" w:color="auto"/>
              <w:right w:val="single" w:sz="8" w:space="0" w:color="auto"/>
            </w:tcBorders>
            <w:shd w:val="clear" w:color="000000" w:fill="33CCCC"/>
            <w:noWrap/>
            <w:vAlign w:val="bottom"/>
            <w:hideMark/>
          </w:tcPr>
          <w:p w14:paraId="08AD18D9" w14:textId="77777777" w:rsidR="001752B7" w:rsidRPr="001752B7" w:rsidRDefault="001752B7" w:rsidP="001752B7">
            <w:pPr>
              <w:spacing w:after="0" w:line="240" w:lineRule="auto"/>
              <w:jc w:val="right"/>
              <w:rPr>
                <w:rFonts w:ascii="Calibri" w:eastAsia="Times New Roman" w:hAnsi="Calibri" w:cs="Calibri"/>
                <w:lang w:eastAsia="hr-HR"/>
              </w:rPr>
            </w:pPr>
            <w:r w:rsidRPr="001752B7">
              <w:rPr>
                <w:rFonts w:ascii="Calibri" w:eastAsia="Times New Roman" w:hAnsi="Calibri" w:cs="Calibri"/>
                <w:lang w:eastAsia="hr-HR"/>
              </w:rPr>
              <w:t> </w:t>
            </w:r>
          </w:p>
        </w:tc>
        <w:tc>
          <w:tcPr>
            <w:tcW w:w="266" w:type="dxa"/>
            <w:gridSpan w:val="3"/>
            <w:vAlign w:val="center"/>
            <w:hideMark/>
          </w:tcPr>
          <w:p w14:paraId="739EF2A1" w14:textId="77777777" w:rsidR="001752B7" w:rsidRPr="001752B7" w:rsidRDefault="001752B7" w:rsidP="001752B7">
            <w:pPr>
              <w:spacing w:after="0" w:line="240" w:lineRule="auto"/>
              <w:rPr>
                <w:rFonts w:ascii="Times New Roman" w:eastAsia="Times New Roman" w:hAnsi="Times New Roman" w:cs="Times New Roman"/>
                <w:sz w:val="20"/>
                <w:szCs w:val="20"/>
                <w:lang w:eastAsia="hr-HR"/>
              </w:rPr>
            </w:pPr>
          </w:p>
        </w:tc>
      </w:tr>
      <w:tr w:rsidR="001752B7" w:rsidRPr="001752B7" w14:paraId="3A8EC98E" w14:textId="77777777" w:rsidTr="000271A1">
        <w:trPr>
          <w:trHeight w:val="300"/>
        </w:trPr>
        <w:tc>
          <w:tcPr>
            <w:tcW w:w="1404" w:type="dxa"/>
            <w:tcBorders>
              <w:top w:val="single" w:sz="4" w:space="0" w:color="auto"/>
              <w:left w:val="single" w:sz="8" w:space="0" w:color="auto"/>
              <w:bottom w:val="single" w:sz="4" w:space="0" w:color="auto"/>
              <w:right w:val="single" w:sz="4" w:space="0" w:color="auto"/>
            </w:tcBorders>
            <w:shd w:val="clear" w:color="000000" w:fill="CCFFCC"/>
            <w:vAlign w:val="center"/>
            <w:hideMark/>
          </w:tcPr>
          <w:p w14:paraId="25816097" w14:textId="77777777" w:rsidR="001752B7" w:rsidRPr="001752B7" w:rsidRDefault="001752B7" w:rsidP="001752B7">
            <w:pPr>
              <w:spacing w:after="0" w:line="240" w:lineRule="auto"/>
              <w:rPr>
                <w:rFonts w:ascii="Calibri" w:eastAsia="Times New Roman" w:hAnsi="Calibri" w:cs="Calibri"/>
                <w:lang w:eastAsia="hr-HR"/>
              </w:rPr>
            </w:pPr>
            <w:r w:rsidRPr="001752B7">
              <w:rPr>
                <w:rFonts w:ascii="Calibri" w:eastAsia="Times New Roman" w:hAnsi="Calibri" w:cs="Calibri"/>
                <w:lang w:eastAsia="hr-HR"/>
              </w:rPr>
              <w:t>Vjera</w:t>
            </w:r>
          </w:p>
        </w:tc>
        <w:tc>
          <w:tcPr>
            <w:tcW w:w="545" w:type="dxa"/>
            <w:tcBorders>
              <w:top w:val="nil"/>
              <w:left w:val="nil"/>
              <w:bottom w:val="single" w:sz="4" w:space="0" w:color="auto"/>
              <w:right w:val="single" w:sz="4" w:space="0" w:color="auto"/>
            </w:tcBorders>
            <w:shd w:val="clear" w:color="000000" w:fill="CCFFCC"/>
            <w:vAlign w:val="center"/>
            <w:hideMark/>
          </w:tcPr>
          <w:p w14:paraId="6F633B4C" w14:textId="77777777" w:rsidR="001752B7" w:rsidRPr="001752B7" w:rsidRDefault="001752B7" w:rsidP="001752B7">
            <w:pPr>
              <w:spacing w:after="0" w:line="240" w:lineRule="auto"/>
              <w:jc w:val="right"/>
              <w:rPr>
                <w:rFonts w:ascii="Calibri" w:eastAsia="Times New Roman" w:hAnsi="Calibri" w:cs="Calibri"/>
                <w:lang w:eastAsia="hr-HR"/>
              </w:rPr>
            </w:pPr>
            <w:r w:rsidRPr="001752B7">
              <w:rPr>
                <w:rFonts w:ascii="Calibri" w:eastAsia="Times New Roman" w:hAnsi="Calibri" w:cs="Calibri"/>
                <w:lang w:eastAsia="hr-HR"/>
              </w:rPr>
              <w:t>1</w:t>
            </w:r>
          </w:p>
        </w:tc>
        <w:tc>
          <w:tcPr>
            <w:tcW w:w="573" w:type="dxa"/>
            <w:tcBorders>
              <w:top w:val="nil"/>
              <w:left w:val="nil"/>
              <w:bottom w:val="single" w:sz="4" w:space="0" w:color="auto"/>
              <w:right w:val="single" w:sz="4" w:space="0" w:color="auto"/>
            </w:tcBorders>
            <w:shd w:val="clear" w:color="000000" w:fill="FFCC99"/>
            <w:noWrap/>
            <w:vAlign w:val="bottom"/>
            <w:hideMark/>
          </w:tcPr>
          <w:p w14:paraId="4CE6C686" w14:textId="77777777" w:rsidR="001752B7" w:rsidRPr="001752B7" w:rsidRDefault="001752B7" w:rsidP="001752B7">
            <w:pPr>
              <w:spacing w:after="0" w:line="240" w:lineRule="auto"/>
              <w:jc w:val="right"/>
              <w:rPr>
                <w:rFonts w:ascii="Calibri" w:eastAsia="Times New Roman" w:hAnsi="Calibri" w:cs="Calibri"/>
                <w:lang w:eastAsia="hr-HR"/>
              </w:rPr>
            </w:pPr>
            <w:r w:rsidRPr="001752B7">
              <w:rPr>
                <w:rFonts w:ascii="Calibri" w:eastAsia="Times New Roman" w:hAnsi="Calibri" w:cs="Calibri"/>
                <w:lang w:eastAsia="hr-HR"/>
              </w:rPr>
              <w:t>4</w:t>
            </w:r>
          </w:p>
        </w:tc>
        <w:tc>
          <w:tcPr>
            <w:tcW w:w="855" w:type="dxa"/>
            <w:tcBorders>
              <w:top w:val="nil"/>
              <w:left w:val="nil"/>
              <w:bottom w:val="single" w:sz="4" w:space="0" w:color="auto"/>
              <w:right w:val="single" w:sz="4" w:space="0" w:color="auto"/>
            </w:tcBorders>
            <w:shd w:val="clear" w:color="000000" w:fill="CCFFFF"/>
            <w:noWrap/>
            <w:vAlign w:val="bottom"/>
            <w:hideMark/>
          </w:tcPr>
          <w:p w14:paraId="4C5ADC85" w14:textId="77777777" w:rsidR="001752B7" w:rsidRPr="001752B7" w:rsidRDefault="001752B7" w:rsidP="001752B7">
            <w:pPr>
              <w:spacing w:after="0" w:line="240" w:lineRule="auto"/>
              <w:jc w:val="right"/>
              <w:rPr>
                <w:rFonts w:ascii="Calibri" w:eastAsia="Times New Roman" w:hAnsi="Calibri" w:cs="Calibri"/>
                <w:lang w:eastAsia="hr-HR"/>
              </w:rPr>
            </w:pPr>
            <w:r w:rsidRPr="001752B7">
              <w:rPr>
                <w:rFonts w:ascii="Calibri" w:eastAsia="Times New Roman" w:hAnsi="Calibri" w:cs="Calibri"/>
                <w:lang w:eastAsia="hr-HR"/>
              </w:rPr>
              <w:t> </w:t>
            </w:r>
          </w:p>
        </w:tc>
        <w:tc>
          <w:tcPr>
            <w:tcW w:w="638" w:type="dxa"/>
            <w:tcBorders>
              <w:top w:val="nil"/>
              <w:left w:val="nil"/>
              <w:bottom w:val="single" w:sz="4" w:space="0" w:color="auto"/>
              <w:right w:val="single" w:sz="4" w:space="0" w:color="auto"/>
            </w:tcBorders>
            <w:shd w:val="clear" w:color="000000" w:fill="CCFFFF"/>
            <w:noWrap/>
            <w:vAlign w:val="bottom"/>
            <w:hideMark/>
          </w:tcPr>
          <w:p w14:paraId="54CAABFD" w14:textId="77777777" w:rsidR="001752B7" w:rsidRPr="001752B7" w:rsidRDefault="001752B7" w:rsidP="001752B7">
            <w:pPr>
              <w:spacing w:after="0" w:line="240" w:lineRule="auto"/>
              <w:jc w:val="right"/>
              <w:rPr>
                <w:rFonts w:ascii="Calibri" w:eastAsia="Times New Roman" w:hAnsi="Calibri" w:cs="Calibri"/>
                <w:lang w:eastAsia="hr-HR"/>
              </w:rPr>
            </w:pPr>
            <w:r w:rsidRPr="001752B7">
              <w:rPr>
                <w:rFonts w:ascii="Calibri" w:eastAsia="Times New Roman" w:hAnsi="Calibri" w:cs="Calibri"/>
                <w:lang w:eastAsia="hr-HR"/>
              </w:rPr>
              <w:t>5</w:t>
            </w:r>
          </w:p>
        </w:tc>
        <w:tc>
          <w:tcPr>
            <w:tcW w:w="580" w:type="dxa"/>
            <w:tcBorders>
              <w:top w:val="nil"/>
              <w:left w:val="nil"/>
              <w:bottom w:val="single" w:sz="4" w:space="0" w:color="auto"/>
              <w:right w:val="single" w:sz="4" w:space="0" w:color="auto"/>
            </w:tcBorders>
            <w:shd w:val="clear" w:color="000000" w:fill="FFFF99"/>
            <w:noWrap/>
            <w:vAlign w:val="bottom"/>
            <w:hideMark/>
          </w:tcPr>
          <w:p w14:paraId="7E34E24C" w14:textId="77777777" w:rsidR="001752B7" w:rsidRPr="001752B7" w:rsidRDefault="001752B7" w:rsidP="001752B7">
            <w:pPr>
              <w:spacing w:after="0" w:line="240" w:lineRule="auto"/>
              <w:jc w:val="right"/>
              <w:rPr>
                <w:rFonts w:ascii="Calibri" w:eastAsia="Times New Roman" w:hAnsi="Calibri" w:cs="Calibri"/>
                <w:lang w:eastAsia="hr-HR"/>
              </w:rPr>
            </w:pPr>
            <w:r w:rsidRPr="001752B7">
              <w:rPr>
                <w:rFonts w:ascii="Calibri" w:eastAsia="Times New Roman" w:hAnsi="Calibri" w:cs="Calibri"/>
                <w:lang w:eastAsia="hr-HR"/>
              </w:rPr>
              <w:t>4</w:t>
            </w:r>
          </w:p>
        </w:tc>
        <w:tc>
          <w:tcPr>
            <w:tcW w:w="447" w:type="dxa"/>
            <w:tcBorders>
              <w:top w:val="nil"/>
              <w:left w:val="nil"/>
              <w:bottom w:val="single" w:sz="4" w:space="0" w:color="auto"/>
              <w:right w:val="single" w:sz="4" w:space="0" w:color="auto"/>
            </w:tcBorders>
            <w:shd w:val="clear" w:color="000000" w:fill="FFFF99"/>
            <w:noWrap/>
            <w:vAlign w:val="bottom"/>
            <w:hideMark/>
          </w:tcPr>
          <w:p w14:paraId="4DDA7233" w14:textId="77777777" w:rsidR="001752B7" w:rsidRPr="001752B7" w:rsidRDefault="001752B7" w:rsidP="001752B7">
            <w:pPr>
              <w:spacing w:after="0" w:line="240" w:lineRule="auto"/>
              <w:jc w:val="right"/>
              <w:rPr>
                <w:rFonts w:ascii="Calibri" w:eastAsia="Times New Roman" w:hAnsi="Calibri" w:cs="Calibri"/>
                <w:lang w:eastAsia="hr-HR"/>
              </w:rPr>
            </w:pPr>
            <w:r w:rsidRPr="001752B7">
              <w:rPr>
                <w:rFonts w:ascii="Calibri" w:eastAsia="Times New Roman" w:hAnsi="Calibri" w:cs="Calibri"/>
                <w:lang w:eastAsia="hr-HR"/>
              </w:rPr>
              <w:t> </w:t>
            </w:r>
          </w:p>
        </w:tc>
        <w:tc>
          <w:tcPr>
            <w:tcW w:w="447" w:type="dxa"/>
            <w:tcBorders>
              <w:top w:val="nil"/>
              <w:left w:val="nil"/>
              <w:bottom w:val="single" w:sz="4" w:space="0" w:color="auto"/>
              <w:right w:val="single" w:sz="4" w:space="0" w:color="auto"/>
            </w:tcBorders>
            <w:shd w:val="clear" w:color="000000" w:fill="FFFF99"/>
            <w:noWrap/>
            <w:vAlign w:val="bottom"/>
            <w:hideMark/>
          </w:tcPr>
          <w:p w14:paraId="505BDA47" w14:textId="77777777" w:rsidR="001752B7" w:rsidRPr="001752B7" w:rsidRDefault="001752B7" w:rsidP="001752B7">
            <w:pPr>
              <w:spacing w:after="0" w:line="240" w:lineRule="auto"/>
              <w:jc w:val="right"/>
              <w:rPr>
                <w:rFonts w:ascii="Calibri" w:eastAsia="Times New Roman" w:hAnsi="Calibri" w:cs="Calibri"/>
                <w:lang w:eastAsia="hr-HR"/>
              </w:rPr>
            </w:pPr>
            <w:r w:rsidRPr="001752B7">
              <w:rPr>
                <w:rFonts w:ascii="Calibri" w:eastAsia="Times New Roman" w:hAnsi="Calibri" w:cs="Calibri"/>
                <w:lang w:eastAsia="hr-HR"/>
              </w:rPr>
              <w:t> </w:t>
            </w:r>
          </w:p>
        </w:tc>
        <w:tc>
          <w:tcPr>
            <w:tcW w:w="447" w:type="dxa"/>
            <w:tcBorders>
              <w:top w:val="nil"/>
              <w:left w:val="nil"/>
              <w:bottom w:val="single" w:sz="4" w:space="0" w:color="auto"/>
              <w:right w:val="single" w:sz="4" w:space="0" w:color="auto"/>
            </w:tcBorders>
            <w:shd w:val="clear" w:color="000000" w:fill="FFFF99"/>
            <w:noWrap/>
            <w:vAlign w:val="bottom"/>
            <w:hideMark/>
          </w:tcPr>
          <w:p w14:paraId="6ED1C822" w14:textId="77777777" w:rsidR="001752B7" w:rsidRPr="001752B7" w:rsidRDefault="001752B7" w:rsidP="001752B7">
            <w:pPr>
              <w:spacing w:after="0" w:line="240" w:lineRule="auto"/>
              <w:jc w:val="right"/>
              <w:rPr>
                <w:rFonts w:ascii="Calibri" w:eastAsia="Times New Roman" w:hAnsi="Calibri" w:cs="Calibri"/>
                <w:lang w:eastAsia="hr-HR"/>
              </w:rPr>
            </w:pPr>
            <w:r w:rsidRPr="001752B7">
              <w:rPr>
                <w:rFonts w:ascii="Calibri" w:eastAsia="Times New Roman" w:hAnsi="Calibri" w:cs="Calibri"/>
                <w:lang w:eastAsia="hr-HR"/>
              </w:rPr>
              <w:t> </w:t>
            </w:r>
          </w:p>
        </w:tc>
        <w:tc>
          <w:tcPr>
            <w:tcW w:w="447" w:type="dxa"/>
            <w:tcBorders>
              <w:top w:val="nil"/>
              <w:left w:val="nil"/>
              <w:bottom w:val="single" w:sz="4" w:space="0" w:color="auto"/>
              <w:right w:val="single" w:sz="4" w:space="0" w:color="auto"/>
            </w:tcBorders>
            <w:shd w:val="clear" w:color="000000" w:fill="FFFF99"/>
            <w:noWrap/>
            <w:vAlign w:val="bottom"/>
            <w:hideMark/>
          </w:tcPr>
          <w:p w14:paraId="00F7A13D" w14:textId="77777777" w:rsidR="001752B7" w:rsidRPr="001752B7" w:rsidRDefault="001752B7" w:rsidP="001752B7">
            <w:pPr>
              <w:spacing w:after="0" w:line="240" w:lineRule="auto"/>
              <w:jc w:val="right"/>
              <w:rPr>
                <w:rFonts w:ascii="Calibri" w:eastAsia="Times New Roman" w:hAnsi="Calibri" w:cs="Calibri"/>
                <w:lang w:eastAsia="hr-HR"/>
              </w:rPr>
            </w:pPr>
            <w:r w:rsidRPr="001752B7">
              <w:rPr>
                <w:rFonts w:ascii="Calibri" w:eastAsia="Times New Roman" w:hAnsi="Calibri" w:cs="Calibri"/>
                <w:lang w:eastAsia="hr-HR"/>
              </w:rPr>
              <w:t> </w:t>
            </w:r>
          </w:p>
        </w:tc>
        <w:tc>
          <w:tcPr>
            <w:tcW w:w="572" w:type="dxa"/>
            <w:tcBorders>
              <w:top w:val="nil"/>
              <w:left w:val="nil"/>
              <w:bottom w:val="single" w:sz="4" w:space="0" w:color="auto"/>
              <w:right w:val="single" w:sz="4" w:space="0" w:color="auto"/>
            </w:tcBorders>
            <w:shd w:val="clear" w:color="000000" w:fill="FF9900"/>
            <w:noWrap/>
            <w:vAlign w:val="bottom"/>
            <w:hideMark/>
          </w:tcPr>
          <w:p w14:paraId="36F14F64" w14:textId="77777777" w:rsidR="001752B7" w:rsidRPr="001752B7" w:rsidRDefault="001752B7" w:rsidP="001752B7">
            <w:pPr>
              <w:spacing w:after="0" w:line="240" w:lineRule="auto"/>
              <w:jc w:val="right"/>
              <w:rPr>
                <w:rFonts w:ascii="Calibri" w:eastAsia="Times New Roman" w:hAnsi="Calibri" w:cs="Calibri"/>
                <w:lang w:eastAsia="hr-HR"/>
              </w:rPr>
            </w:pPr>
            <w:r w:rsidRPr="001752B7">
              <w:rPr>
                <w:rFonts w:ascii="Calibri" w:eastAsia="Times New Roman" w:hAnsi="Calibri" w:cs="Calibri"/>
                <w:lang w:eastAsia="hr-HR"/>
              </w:rPr>
              <w:t>4</w:t>
            </w:r>
          </w:p>
        </w:tc>
        <w:tc>
          <w:tcPr>
            <w:tcW w:w="467" w:type="dxa"/>
            <w:tcBorders>
              <w:top w:val="nil"/>
              <w:left w:val="nil"/>
              <w:bottom w:val="single" w:sz="4" w:space="0" w:color="auto"/>
              <w:right w:val="single" w:sz="4" w:space="0" w:color="auto"/>
            </w:tcBorders>
            <w:shd w:val="clear" w:color="000000" w:fill="FF9900"/>
            <w:noWrap/>
            <w:vAlign w:val="bottom"/>
            <w:hideMark/>
          </w:tcPr>
          <w:p w14:paraId="627F8BF0" w14:textId="77777777" w:rsidR="001752B7" w:rsidRPr="001752B7" w:rsidRDefault="001752B7" w:rsidP="001752B7">
            <w:pPr>
              <w:spacing w:after="0" w:line="240" w:lineRule="auto"/>
              <w:jc w:val="right"/>
              <w:rPr>
                <w:rFonts w:ascii="Calibri" w:eastAsia="Times New Roman" w:hAnsi="Calibri" w:cs="Calibri"/>
                <w:lang w:eastAsia="hr-HR"/>
              </w:rPr>
            </w:pPr>
            <w:r w:rsidRPr="001752B7">
              <w:rPr>
                <w:rFonts w:ascii="Calibri" w:eastAsia="Times New Roman" w:hAnsi="Calibri" w:cs="Calibri"/>
                <w:lang w:eastAsia="hr-HR"/>
              </w:rPr>
              <w:t> </w:t>
            </w:r>
          </w:p>
        </w:tc>
        <w:tc>
          <w:tcPr>
            <w:tcW w:w="579" w:type="dxa"/>
            <w:tcBorders>
              <w:top w:val="nil"/>
              <w:left w:val="nil"/>
              <w:bottom w:val="single" w:sz="4" w:space="0" w:color="auto"/>
              <w:right w:val="single" w:sz="4" w:space="0" w:color="auto"/>
            </w:tcBorders>
            <w:shd w:val="clear" w:color="000000" w:fill="FF9900"/>
            <w:noWrap/>
            <w:vAlign w:val="bottom"/>
            <w:hideMark/>
          </w:tcPr>
          <w:p w14:paraId="52286EF9" w14:textId="77777777" w:rsidR="001752B7" w:rsidRPr="001752B7" w:rsidRDefault="001752B7" w:rsidP="001752B7">
            <w:pPr>
              <w:spacing w:after="0" w:line="240" w:lineRule="auto"/>
              <w:jc w:val="right"/>
              <w:rPr>
                <w:rFonts w:ascii="Calibri" w:eastAsia="Times New Roman" w:hAnsi="Calibri" w:cs="Calibri"/>
                <w:lang w:eastAsia="hr-HR"/>
              </w:rPr>
            </w:pPr>
            <w:r w:rsidRPr="001752B7">
              <w:rPr>
                <w:rFonts w:ascii="Calibri" w:eastAsia="Times New Roman" w:hAnsi="Calibri" w:cs="Calibri"/>
                <w:lang w:eastAsia="hr-HR"/>
              </w:rPr>
              <w:t> </w:t>
            </w:r>
          </w:p>
        </w:tc>
        <w:tc>
          <w:tcPr>
            <w:tcW w:w="447" w:type="dxa"/>
            <w:tcBorders>
              <w:top w:val="nil"/>
              <w:left w:val="nil"/>
              <w:bottom w:val="single" w:sz="4" w:space="0" w:color="auto"/>
              <w:right w:val="single" w:sz="4" w:space="0" w:color="auto"/>
            </w:tcBorders>
            <w:shd w:val="clear" w:color="000000" w:fill="66FFCC"/>
            <w:noWrap/>
            <w:vAlign w:val="bottom"/>
            <w:hideMark/>
          </w:tcPr>
          <w:p w14:paraId="743618CD" w14:textId="77777777" w:rsidR="001752B7" w:rsidRPr="001752B7" w:rsidRDefault="001752B7" w:rsidP="001752B7">
            <w:pPr>
              <w:spacing w:after="0" w:line="240" w:lineRule="auto"/>
              <w:jc w:val="right"/>
              <w:rPr>
                <w:rFonts w:ascii="Calibri" w:eastAsia="Times New Roman" w:hAnsi="Calibri" w:cs="Calibri"/>
                <w:lang w:eastAsia="hr-HR"/>
              </w:rPr>
            </w:pPr>
            <w:r w:rsidRPr="001752B7">
              <w:rPr>
                <w:rFonts w:ascii="Calibri" w:eastAsia="Times New Roman" w:hAnsi="Calibri" w:cs="Calibri"/>
                <w:lang w:eastAsia="hr-HR"/>
              </w:rPr>
              <w:t> </w:t>
            </w:r>
          </w:p>
        </w:tc>
        <w:tc>
          <w:tcPr>
            <w:tcW w:w="447" w:type="dxa"/>
            <w:tcBorders>
              <w:top w:val="nil"/>
              <w:left w:val="nil"/>
              <w:bottom w:val="single" w:sz="4" w:space="0" w:color="auto"/>
              <w:right w:val="single" w:sz="4" w:space="0" w:color="auto"/>
            </w:tcBorders>
            <w:shd w:val="clear" w:color="000000" w:fill="66FFCC"/>
            <w:noWrap/>
            <w:vAlign w:val="bottom"/>
            <w:hideMark/>
          </w:tcPr>
          <w:p w14:paraId="5A626236" w14:textId="77777777" w:rsidR="001752B7" w:rsidRPr="001752B7" w:rsidRDefault="001752B7" w:rsidP="001752B7">
            <w:pPr>
              <w:spacing w:after="0" w:line="240" w:lineRule="auto"/>
              <w:jc w:val="right"/>
              <w:rPr>
                <w:rFonts w:ascii="Calibri" w:eastAsia="Times New Roman" w:hAnsi="Calibri" w:cs="Calibri"/>
                <w:lang w:eastAsia="hr-HR"/>
              </w:rPr>
            </w:pPr>
            <w:r w:rsidRPr="001752B7">
              <w:rPr>
                <w:rFonts w:ascii="Calibri" w:eastAsia="Times New Roman" w:hAnsi="Calibri" w:cs="Calibri"/>
                <w:lang w:eastAsia="hr-HR"/>
              </w:rPr>
              <w:t>6</w:t>
            </w:r>
          </w:p>
        </w:tc>
        <w:tc>
          <w:tcPr>
            <w:tcW w:w="698" w:type="dxa"/>
            <w:tcBorders>
              <w:top w:val="nil"/>
              <w:left w:val="nil"/>
              <w:bottom w:val="single" w:sz="4" w:space="0" w:color="auto"/>
              <w:right w:val="single" w:sz="4" w:space="0" w:color="auto"/>
            </w:tcBorders>
            <w:shd w:val="clear" w:color="000000" w:fill="66FFCC"/>
            <w:noWrap/>
            <w:vAlign w:val="bottom"/>
            <w:hideMark/>
          </w:tcPr>
          <w:p w14:paraId="0B5EA7A2" w14:textId="77777777" w:rsidR="001752B7" w:rsidRPr="001752B7" w:rsidRDefault="001752B7" w:rsidP="001752B7">
            <w:pPr>
              <w:spacing w:after="0" w:line="240" w:lineRule="auto"/>
              <w:jc w:val="right"/>
              <w:rPr>
                <w:rFonts w:ascii="Calibri" w:eastAsia="Times New Roman" w:hAnsi="Calibri" w:cs="Calibri"/>
                <w:lang w:eastAsia="hr-HR"/>
              </w:rPr>
            </w:pPr>
            <w:r w:rsidRPr="001752B7">
              <w:rPr>
                <w:rFonts w:ascii="Calibri" w:eastAsia="Times New Roman" w:hAnsi="Calibri" w:cs="Calibri"/>
                <w:lang w:eastAsia="hr-HR"/>
              </w:rPr>
              <w:t>1</w:t>
            </w:r>
          </w:p>
        </w:tc>
        <w:tc>
          <w:tcPr>
            <w:tcW w:w="447" w:type="dxa"/>
            <w:tcBorders>
              <w:top w:val="nil"/>
              <w:left w:val="nil"/>
              <w:bottom w:val="single" w:sz="4" w:space="0" w:color="auto"/>
              <w:right w:val="single" w:sz="4" w:space="0" w:color="auto"/>
            </w:tcBorders>
            <w:shd w:val="clear" w:color="000000" w:fill="66FFCC"/>
            <w:noWrap/>
            <w:vAlign w:val="bottom"/>
            <w:hideMark/>
          </w:tcPr>
          <w:p w14:paraId="4951A88D" w14:textId="77777777" w:rsidR="001752B7" w:rsidRPr="001752B7" w:rsidRDefault="001752B7" w:rsidP="001752B7">
            <w:pPr>
              <w:spacing w:after="0" w:line="240" w:lineRule="auto"/>
              <w:jc w:val="right"/>
              <w:rPr>
                <w:rFonts w:ascii="Calibri" w:eastAsia="Times New Roman" w:hAnsi="Calibri" w:cs="Calibri"/>
                <w:lang w:eastAsia="hr-HR"/>
              </w:rPr>
            </w:pPr>
            <w:r w:rsidRPr="001752B7">
              <w:rPr>
                <w:rFonts w:ascii="Calibri" w:eastAsia="Times New Roman" w:hAnsi="Calibri" w:cs="Calibri"/>
                <w:lang w:eastAsia="hr-HR"/>
              </w:rPr>
              <w:t>7</w:t>
            </w:r>
          </w:p>
        </w:tc>
        <w:tc>
          <w:tcPr>
            <w:tcW w:w="652" w:type="dxa"/>
            <w:tcBorders>
              <w:top w:val="nil"/>
              <w:left w:val="nil"/>
              <w:bottom w:val="single" w:sz="4" w:space="0" w:color="auto"/>
              <w:right w:val="single" w:sz="4" w:space="0" w:color="auto"/>
            </w:tcBorders>
            <w:shd w:val="clear" w:color="000000" w:fill="FFFF00"/>
            <w:vAlign w:val="center"/>
            <w:hideMark/>
          </w:tcPr>
          <w:p w14:paraId="5CBBF3A0" w14:textId="77777777" w:rsidR="001752B7" w:rsidRPr="001752B7" w:rsidRDefault="001752B7" w:rsidP="001752B7">
            <w:pPr>
              <w:spacing w:after="0" w:line="240" w:lineRule="auto"/>
              <w:jc w:val="right"/>
              <w:rPr>
                <w:rFonts w:ascii="Calibri" w:eastAsia="Times New Roman" w:hAnsi="Calibri" w:cs="Calibri"/>
                <w:lang w:eastAsia="hr-HR"/>
              </w:rPr>
            </w:pPr>
            <w:r w:rsidRPr="001752B7">
              <w:rPr>
                <w:rFonts w:ascii="Calibri" w:eastAsia="Times New Roman" w:hAnsi="Calibri" w:cs="Calibri"/>
                <w:lang w:eastAsia="hr-HR"/>
              </w:rPr>
              <w:t>4</w:t>
            </w:r>
          </w:p>
        </w:tc>
        <w:tc>
          <w:tcPr>
            <w:tcW w:w="614" w:type="dxa"/>
            <w:tcBorders>
              <w:top w:val="nil"/>
              <w:left w:val="nil"/>
              <w:bottom w:val="single" w:sz="4" w:space="0" w:color="auto"/>
              <w:right w:val="single" w:sz="4" w:space="0" w:color="auto"/>
            </w:tcBorders>
            <w:shd w:val="clear" w:color="000000" w:fill="FFFF99"/>
            <w:vAlign w:val="center"/>
            <w:hideMark/>
          </w:tcPr>
          <w:p w14:paraId="317E2920" w14:textId="77777777" w:rsidR="001752B7" w:rsidRPr="001752B7" w:rsidRDefault="001752B7" w:rsidP="001752B7">
            <w:pPr>
              <w:spacing w:after="0" w:line="240" w:lineRule="auto"/>
              <w:jc w:val="right"/>
              <w:rPr>
                <w:rFonts w:ascii="Calibri" w:eastAsia="Times New Roman" w:hAnsi="Calibri" w:cs="Calibri"/>
                <w:lang w:eastAsia="hr-HR"/>
              </w:rPr>
            </w:pPr>
            <w:r w:rsidRPr="001752B7">
              <w:rPr>
                <w:rFonts w:ascii="Calibri" w:eastAsia="Times New Roman" w:hAnsi="Calibri" w:cs="Calibri"/>
                <w:lang w:eastAsia="hr-HR"/>
              </w:rPr>
              <w:t>1</w:t>
            </w:r>
          </w:p>
        </w:tc>
        <w:tc>
          <w:tcPr>
            <w:tcW w:w="519" w:type="dxa"/>
            <w:tcBorders>
              <w:top w:val="nil"/>
              <w:left w:val="nil"/>
              <w:bottom w:val="single" w:sz="4" w:space="0" w:color="auto"/>
              <w:right w:val="single" w:sz="4" w:space="0" w:color="auto"/>
            </w:tcBorders>
            <w:shd w:val="clear" w:color="000000" w:fill="FF9900"/>
            <w:vAlign w:val="center"/>
            <w:hideMark/>
          </w:tcPr>
          <w:p w14:paraId="4FFC8EF6" w14:textId="77777777" w:rsidR="001752B7" w:rsidRPr="001752B7" w:rsidRDefault="001752B7" w:rsidP="001752B7">
            <w:pPr>
              <w:spacing w:after="0" w:line="240" w:lineRule="auto"/>
              <w:jc w:val="right"/>
              <w:rPr>
                <w:rFonts w:ascii="Calibri" w:eastAsia="Times New Roman" w:hAnsi="Calibri" w:cs="Calibri"/>
                <w:lang w:eastAsia="hr-HR"/>
              </w:rPr>
            </w:pPr>
            <w:r w:rsidRPr="001752B7">
              <w:rPr>
                <w:rFonts w:ascii="Calibri" w:eastAsia="Times New Roman" w:hAnsi="Calibri" w:cs="Calibri"/>
                <w:lang w:eastAsia="hr-HR"/>
              </w:rPr>
              <w:t>6</w:t>
            </w:r>
          </w:p>
        </w:tc>
        <w:tc>
          <w:tcPr>
            <w:tcW w:w="477" w:type="dxa"/>
            <w:tcBorders>
              <w:top w:val="nil"/>
              <w:left w:val="nil"/>
              <w:bottom w:val="single" w:sz="4" w:space="0" w:color="auto"/>
              <w:right w:val="single" w:sz="4" w:space="0" w:color="auto"/>
            </w:tcBorders>
            <w:shd w:val="clear" w:color="000000" w:fill="CCFFFF"/>
            <w:vAlign w:val="bottom"/>
            <w:hideMark/>
          </w:tcPr>
          <w:p w14:paraId="27054125" w14:textId="77777777" w:rsidR="001752B7" w:rsidRPr="001752B7" w:rsidRDefault="001752B7" w:rsidP="001752B7">
            <w:pPr>
              <w:spacing w:after="0" w:line="240" w:lineRule="auto"/>
              <w:jc w:val="right"/>
              <w:rPr>
                <w:rFonts w:ascii="Calibri" w:eastAsia="Times New Roman" w:hAnsi="Calibri" w:cs="Calibri"/>
                <w:lang w:eastAsia="hr-HR"/>
              </w:rPr>
            </w:pPr>
            <w:r w:rsidRPr="001752B7">
              <w:rPr>
                <w:rFonts w:ascii="Calibri" w:eastAsia="Times New Roman" w:hAnsi="Calibri" w:cs="Calibri"/>
                <w:lang w:eastAsia="hr-HR"/>
              </w:rPr>
              <w:t> </w:t>
            </w:r>
          </w:p>
        </w:tc>
        <w:tc>
          <w:tcPr>
            <w:tcW w:w="506" w:type="dxa"/>
            <w:tcBorders>
              <w:top w:val="nil"/>
              <w:left w:val="nil"/>
              <w:bottom w:val="single" w:sz="4" w:space="0" w:color="auto"/>
              <w:right w:val="single" w:sz="4" w:space="0" w:color="auto"/>
            </w:tcBorders>
            <w:shd w:val="clear" w:color="000000" w:fill="CCFFFF"/>
            <w:vAlign w:val="bottom"/>
            <w:hideMark/>
          </w:tcPr>
          <w:p w14:paraId="0FA0F0C0" w14:textId="77777777" w:rsidR="001752B7" w:rsidRPr="001752B7" w:rsidRDefault="001752B7" w:rsidP="001752B7">
            <w:pPr>
              <w:spacing w:after="0" w:line="240" w:lineRule="auto"/>
              <w:jc w:val="right"/>
              <w:rPr>
                <w:rFonts w:ascii="Calibri" w:eastAsia="Times New Roman" w:hAnsi="Calibri" w:cs="Calibri"/>
                <w:lang w:eastAsia="hr-HR"/>
              </w:rPr>
            </w:pPr>
            <w:r w:rsidRPr="001752B7">
              <w:rPr>
                <w:rFonts w:ascii="Calibri" w:eastAsia="Times New Roman" w:hAnsi="Calibri" w:cs="Calibri"/>
                <w:lang w:eastAsia="hr-HR"/>
              </w:rPr>
              <w:t>3</w:t>
            </w:r>
          </w:p>
        </w:tc>
        <w:tc>
          <w:tcPr>
            <w:tcW w:w="485" w:type="dxa"/>
            <w:tcBorders>
              <w:top w:val="nil"/>
              <w:left w:val="nil"/>
              <w:bottom w:val="single" w:sz="4" w:space="0" w:color="auto"/>
              <w:right w:val="single" w:sz="4" w:space="0" w:color="auto"/>
            </w:tcBorders>
            <w:shd w:val="clear" w:color="000000" w:fill="CCFFFF"/>
            <w:vAlign w:val="bottom"/>
            <w:hideMark/>
          </w:tcPr>
          <w:p w14:paraId="2C40B418" w14:textId="77777777" w:rsidR="001752B7" w:rsidRPr="001752B7" w:rsidRDefault="001752B7" w:rsidP="001752B7">
            <w:pPr>
              <w:spacing w:after="0" w:line="240" w:lineRule="auto"/>
              <w:jc w:val="right"/>
              <w:rPr>
                <w:rFonts w:ascii="Calibri" w:eastAsia="Times New Roman" w:hAnsi="Calibri" w:cs="Calibri"/>
                <w:lang w:eastAsia="hr-HR"/>
              </w:rPr>
            </w:pPr>
            <w:r w:rsidRPr="001752B7">
              <w:rPr>
                <w:rFonts w:ascii="Calibri" w:eastAsia="Times New Roman" w:hAnsi="Calibri" w:cs="Calibri"/>
                <w:lang w:eastAsia="hr-HR"/>
              </w:rPr>
              <w:t> </w:t>
            </w:r>
          </w:p>
        </w:tc>
        <w:tc>
          <w:tcPr>
            <w:tcW w:w="561" w:type="dxa"/>
            <w:tcBorders>
              <w:top w:val="nil"/>
              <w:left w:val="nil"/>
              <w:bottom w:val="single" w:sz="4" w:space="0" w:color="auto"/>
              <w:right w:val="nil"/>
            </w:tcBorders>
            <w:shd w:val="clear" w:color="000000" w:fill="33CCCC"/>
            <w:noWrap/>
            <w:vAlign w:val="bottom"/>
            <w:hideMark/>
          </w:tcPr>
          <w:p w14:paraId="4949B4FD" w14:textId="77777777" w:rsidR="001752B7" w:rsidRPr="001752B7" w:rsidRDefault="001752B7" w:rsidP="001752B7">
            <w:pPr>
              <w:spacing w:after="0" w:line="240" w:lineRule="auto"/>
              <w:jc w:val="right"/>
              <w:rPr>
                <w:rFonts w:ascii="Calibri" w:eastAsia="Times New Roman" w:hAnsi="Calibri" w:cs="Calibri"/>
                <w:lang w:eastAsia="hr-HR"/>
              </w:rPr>
            </w:pPr>
            <w:r w:rsidRPr="001752B7">
              <w:rPr>
                <w:rFonts w:ascii="Calibri" w:eastAsia="Times New Roman" w:hAnsi="Calibri" w:cs="Calibri"/>
                <w:lang w:eastAsia="hr-HR"/>
              </w:rPr>
              <w:t>4</w:t>
            </w:r>
          </w:p>
        </w:tc>
        <w:tc>
          <w:tcPr>
            <w:tcW w:w="595" w:type="dxa"/>
            <w:tcBorders>
              <w:top w:val="nil"/>
              <w:left w:val="single" w:sz="4" w:space="0" w:color="auto"/>
              <w:bottom w:val="single" w:sz="4" w:space="0" w:color="auto"/>
              <w:right w:val="single" w:sz="8" w:space="0" w:color="auto"/>
            </w:tcBorders>
            <w:shd w:val="clear" w:color="000000" w:fill="33CCCC"/>
            <w:noWrap/>
            <w:vAlign w:val="bottom"/>
            <w:hideMark/>
          </w:tcPr>
          <w:p w14:paraId="2BB13790" w14:textId="77777777" w:rsidR="001752B7" w:rsidRPr="001752B7" w:rsidRDefault="001752B7" w:rsidP="001752B7">
            <w:pPr>
              <w:spacing w:after="0" w:line="240" w:lineRule="auto"/>
              <w:jc w:val="right"/>
              <w:rPr>
                <w:rFonts w:ascii="Calibri" w:eastAsia="Times New Roman" w:hAnsi="Calibri" w:cs="Calibri"/>
                <w:lang w:eastAsia="hr-HR"/>
              </w:rPr>
            </w:pPr>
            <w:r w:rsidRPr="001752B7">
              <w:rPr>
                <w:rFonts w:ascii="Calibri" w:eastAsia="Times New Roman" w:hAnsi="Calibri" w:cs="Calibri"/>
                <w:lang w:eastAsia="hr-HR"/>
              </w:rPr>
              <w:t> </w:t>
            </w:r>
          </w:p>
        </w:tc>
        <w:tc>
          <w:tcPr>
            <w:tcW w:w="266" w:type="dxa"/>
            <w:gridSpan w:val="3"/>
            <w:vAlign w:val="center"/>
            <w:hideMark/>
          </w:tcPr>
          <w:p w14:paraId="48AD4722" w14:textId="77777777" w:rsidR="001752B7" w:rsidRPr="001752B7" w:rsidRDefault="001752B7" w:rsidP="001752B7">
            <w:pPr>
              <w:spacing w:after="0" w:line="240" w:lineRule="auto"/>
              <w:rPr>
                <w:rFonts w:ascii="Times New Roman" w:eastAsia="Times New Roman" w:hAnsi="Times New Roman" w:cs="Times New Roman"/>
                <w:sz w:val="20"/>
                <w:szCs w:val="20"/>
                <w:lang w:eastAsia="hr-HR"/>
              </w:rPr>
            </w:pPr>
          </w:p>
        </w:tc>
      </w:tr>
      <w:tr w:rsidR="001752B7" w:rsidRPr="001752B7" w14:paraId="14AAEB06" w14:textId="77777777" w:rsidTr="000271A1">
        <w:trPr>
          <w:trHeight w:val="300"/>
        </w:trPr>
        <w:tc>
          <w:tcPr>
            <w:tcW w:w="1404" w:type="dxa"/>
            <w:tcBorders>
              <w:top w:val="single" w:sz="4" w:space="0" w:color="auto"/>
              <w:left w:val="single" w:sz="8" w:space="0" w:color="auto"/>
              <w:bottom w:val="single" w:sz="4" w:space="0" w:color="auto"/>
              <w:right w:val="single" w:sz="4" w:space="0" w:color="auto"/>
            </w:tcBorders>
            <w:shd w:val="clear" w:color="000000" w:fill="CCFFCC"/>
            <w:vAlign w:val="center"/>
            <w:hideMark/>
          </w:tcPr>
          <w:p w14:paraId="12D71D23" w14:textId="77777777" w:rsidR="001752B7" w:rsidRPr="001752B7" w:rsidRDefault="001752B7" w:rsidP="001752B7">
            <w:pPr>
              <w:spacing w:after="0" w:line="240" w:lineRule="auto"/>
              <w:rPr>
                <w:rFonts w:ascii="Calibri" w:eastAsia="Times New Roman" w:hAnsi="Calibri" w:cs="Calibri"/>
                <w:lang w:eastAsia="hr-HR"/>
              </w:rPr>
            </w:pPr>
            <w:r w:rsidRPr="001752B7">
              <w:rPr>
                <w:rFonts w:ascii="Calibri" w:eastAsia="Times New Roman" w:hAnsi="Calibri" w:cs="Calibri"/>
                <w:lang w:eastAsia="hr-HR"/>
              </w:rPr>
              <w:lastRenderedPageBreak/>
              <w:t>Političko ili drugo uvjerenje</w:t>
            </w:r>
          </w:p>
        </w:tc>
        <w:tc>
          <w:tcPr>
            <w:tcW w:w="545" w:type="dxa"/>
            <w:tcBorders>
              <w:top w:val="nil"/>
              <w:left w:val="nil"/>
              <w:bottom w:val="single" w:sz="4" w:space="0" w:color="auto"/>
              <w:right w:val="single" w:sz="4" w:space="0" w:color="auto"/>
            </w:tcBorders>
            <w:shd w:val="clear" w:color="000000" w:fill="CCFFCC"/>
            <w:vAlign w:val="center"/>
            <w:hideMark/>
          </w:tcPr>
          <w:p w14:paraId="6185854E" w14:textId="77777777" w:rsidR="001752B7" w:rsidRPr="001752B7" w:rsidRDefault="001752B7" w:rsidP="001752B7">
            <w:pPr>
              <w:spacing w:after="0" w:line="240" w:lineRule="auto"/>
              <w:jc w:val="right"/>
              <w:rPr>
                <w:rFonts w:ascii="Calibri" w:eastAsia="Times New Roman" w:hAnsi="Calibri" w:cs="Calibri"/>
                <w:lang w:eastAsia="hr-HR"/>
              </w:rPr>
            </w:pPr>
            <w:r w:rsidRPr="001752B7">
              <w:rPr>
                <w:rFonts w:ascii="Calibri" w:eastAsia="Times New Roman" w:hAnsi="Calibri" w:cs="Calibri"/>
                <w:lang w:eastAsia="hr-HR"/>
              </w:rPr>
              <w:t>1</w:t>
            </w:r>
          </w:p>
        </w:tc>
        <w:tc>
          <w:tcPr>
            <w:tcW w:w="573" w:type="dxa"/>
            <w:tcBorders>
              <w:top w:val="nil"/>
              <w:left w:val="nil"/>
              <w:bottom w:val="single" w:sz="4" w:space="0" w:color="auto"/>
              <w:right w:val="single" w:sz="4" w:space="0" w:color="auto"/>
            </w:tcBorders>
            <w:shd w:val="clear" w:color="000000" w:fill="FFCC99"/>
            <w:noWrap/>
            <w:vAlign w:val="bottom"/>
            <w:hideMark/>
          </w:tcPr>
          <w:p w14:paraId="5A57E703" w14:textId="77777777" w:rsidR="001752B7" w:rsidRPr="001752B7" w:rsidRDefault="001752B7" w:rsidP="001752B7">
            <w:pPr>
              <w:spacing w:after="0" w:line="240" w:lineRule="auto"/>
              <w:jc w:val="right"/>
              <w:rPr>
                <w:rFonts w:ascii="Calibri" w:eastAsia="Times New Roman" w:hAnsi="Calibri" w:cs="Calibri"/>
                <w:lang w:eastAsia="hr-HR"/>
              </w:rPr>
            </w:pPr>
            <w:r w:rsidRPr="001752B7">
              <w:rPr>
                <w:rFonts w:ascii="Calibri" w:eastAsia="Times New Roman" w:hAnsi="Calibri" w:cs="Calibri"/>
                <w:lang w:eastAsia="hr-HR"/>
              </w:rPr>
              <w:t>8</w:t>
            </w:r>
          </w:p>
        </w:tc>
        <w:tc>
          <w:tcPr>
            <w:tcW w:w="855" w:type="dxa"/>
            <w:tcBorders>
              <w:top w:val="nil"/>
              <w:left w:val="nil"/>
              <w:bottom w:val="single" w:sz="4" w:space="0" w:color="auto"/>
              <w:right w:val="single" w:sz="4" w:space="0" w:color="auto"/>
            </w:tcBorders>
            <w:shd w:val="clear" w:color="000000" w:fill="CCFFFF"/>
            <w:noWrap/>
            <w:vAlign w:val="bottom"/>
            <w:hideMark/>
          </w:tcPr>
          <w:p w14:paraId="79464A95" w14:textId="77777777" w:rsidR="001752B7" w:rsidRPr="001752B7" w:rsidRDefault="001752B7" w:rsidP="001752B7">
            <w:pPr>
              <w:spacing w:after="0" w:line="240" w:lineRule="auto"/>
              <w:jc w:val="right"/>
              <w:rPr>
                <w:rFonts w:ascii="Calibri" w:eastAsia="Times New Roman" w:hAnsi="Calibri" w:cs="Calibri"/>
                <w:lang w:eastAsia="hr-HR"/>
              </w:rPr>
            </w:pPr>
            <w:r w:rsidRPr="001752B7">
              <w:rPr>
                <w:rFonts w:ascii="Calibri" w:eastAsia="Times New Roman" w:hAnsi="Calibri" w:cs="Calibri"/>
                <w:lang w:eastAsia="hr-HR"/>
              </w:rPr>
              <w:t>1</w:t>
            </w:r>
          </w:p>
        </w:tc>
        <w:tc>
          <w:tcPr>
            <w:tcW w:w="638" w:type="dxa"/>
            <w:tcBorders>
              <w:top w:val="nil"/>
              <w:left w:val="nil"/>
              <w:bottom w:val="single" w:sz="4" w:space="0" w:color="auto"/>
              <w:right w:val="single" w:sz="4" w:space="0" w:color="auto"/>
            </w:tcBorders>
            <w:shd w:val="clear" w:color="000000" w:fill="CCFFFF"/>
            <w:noWrap/>
            <w:vAlign w:val="bottom"/>
            <w:hideMark/>
          </w:tcPr>
          <w:p w14:paraId="18A836EF" w14:textId="77777777" w:rsidR="001752B7" w:rsidRPr="001752B7" w:rsidRDefault="001752B7" w:rsidP="001752B7">
            <w:pPr>
              <w:spacing w:after="0" w:line="240" w:lineRule="auto"/>
              <w:jc w:val="right"/>
              <w:rPr>
                <w:rFonts w:ascii="Calibri" w:eastAsia="Times New Roman" w:hAnsi="Calibri" w:cs="Calibri"/>
                <w:lang w:eastAsia="hr-HR"/>
              </w:rPr>
            </w:pPr>
            <w:r w:rsidRPr="001752B7">
              <w:rPr>
                <w:rFonts w:ascii="Calibri" w:eastAsia="Times New Roman" w:hAnsi="Calibri" w:cs="Calibri"/>
                <w:lang w:eastAsia="hr-HR"/>
              </w:rPr>
              <w:t>5</w:t>
            </w:r>
          </w:p>
        </w:tc>
        <w:tc>
          <w:tcPr>
            <w:tcW w:w="580" w:type="dxa"/>
            <w:tcBorders>
              <w:top w:val="nil"/>
              <w:left w:val="nil"/>
              <w:bottom w:val="single" w:sz="4" w:space="0" w:color="auto"/>
              <w:right w:val="single" w:sz="4" w:space="0" w:color="auto"/>
            </w:tcBorders>
            <w:shd w:val="clear" w:color="000000" w:fill="FFFF99"/>
            <w:noWrap/>
            <w:vAlign w:val="bottom"/>
            <w:hideMark/>
          </w:tcPr>
          <w:p w14:paraId="08502B98" w14:textId="77777777" w:rsidR="001752B7" w:rsidRPr="001752B7" w:rsidRDefault="001752B7" w:rsidP="001752B7">
            <w:pPr>
              <w:spacing w:after="0" w:line="240" w:lineRule="auto"/>
              <w:jc w:val="right"/>
              <w:rPr>
                <w:rFonts w:ascii="Calibri" w:eastAsia="Times New Roman" w:hAnsi="Calibri" w:cs="Calibri"/>
                <w:lang w:eastAsia="hr-HR"/>
              </w:rPr>
            </w:pPr>
            <w:r w:rsidRPr="001752B7">
              <w:rPr>
                <w:rFonts w:ascii="Calibri" w:eastAsia="Times New Roman" w:hAnsi="Calibri" w:cs="Calibri"/>
                <w:lang w:eastAsia="hr-HR"/>
              </w:rPr>
              <w:t>7</w:t>
            </w:r>
          </w:p>
        </w:tc>
        <w:tc>
          <w:tcPr>
            <w:tcW w:w="447" w:type="dxa"/>
            <w:tcBorders>
              <w:top w:val="nil"/>
              <w:left w:val="nil"/>
              <w:bottom w:val="single" w:sz="4" w:space="0" w:color="auto"/>
              <w:right w:val="single" w:sz="4" w:space="0" w:color="auto"/>
            </w:tcBorders>
            <w:shd w:val="clear" w:color="000000" w:fill="FFFF99"/>
            <w:noWrap/>
            <w:vAlign w:val="bottom"/>
            <w:hideMark/>
          </w:tcPr>
          <w:p w14:paraId="06A5259D" w14:textId="77777777" w:rsidR="001752B7" w:rsidRPr="001752B7" w:rsidRDefault="001752B7" w:rsidP="001752B7">
            <w:pPr>
              <w:spacing w:after="0" w:line="240" w:lineRule="auto"/>
              <w:jc w:val="right"/>
              <w:rPr>
                <w:rFonts w:ascii="Calibri" w:eastAsia="Times New Roman" w:hAnsi="Calibri" w:cs="Calibri"/>
                <w:lang w:eastAsia="hr-HR"/>
              </w:rPr>
            </w:pPr>
            <w:r w:rsidRPr="001752B7">
              <w:rPr>
                <w:rFonts w:ascii="Calibri" w:eastAsia="Times New Roman" w:hAnsi="Calibri" w:cs="Calibri"/>
                <w:lang w:eastAsia="hr-HR"/>
              </w:rPr>
              <w:t> </w:t>
            </w:r>
          </w:p>
        </w:tc>
        <w:tc>
          <w:tcPr>
            <w:tcW w:w="447" w:type="dxa"/>
            <w:tcBorders>
              <w:top w:val="nil"/>
              <w:left w:val="nil"/>
              <w:bottom w:val="single" w:sz="4" w:space="0" w:color="auto"/>
              <w:right w:val="single" w:sz="4" w:space="0" w:color="auto"/>
            </w:tcBorders>
            <w:shd w:val="clear" w:color="000000" w:fill="FFFF99"/>
            <w:noWrap/>
            <w:vAlign w:val="bottom"/>
            <w:hideMark/>
          </w:tcPr>
          <w:p w14:paraId="08A09EC7" w14:textId="77777777" w:rsidR="001752B7" w:rsidRPr="001752B7" w:rsidRDefault="001752B7" w:rsidP="001752B7">
            <w:pPr>
              <w:spacing w:after="0" w:line="240" w:lineRule="auto"/>
              <w:jc w:val="right"/>
              <w:rPr>
                <w:rFonts w:ascii="Calibri" w:eastAsia="Times New Roman" w:hAnsi="Calibri" w:cs="Calibri"/>
                <w:lang w:eastAsia="hr-HR"/>
              </w:rPr>
            </w:pPr>
            <w:r w:rsidRPr="001752B7">
              <w:rPr>
                <w:rFonts w:ascii="Calibri" w:eastAsia="Times New Roman" w:hAnsi="Calibri" w:cs="Calibri"/>
                <w:lang w:eastAsia="hr-HR"/>
              </w:rPr>
              <w:t> </w:t>
            </w:r>
          </w:p>
        </w:tc>
        <w:tc>
          <w:tcPr>
            <w:tcW w:w="447" w:type="dxa"/>
            <w:tcBorders>
              <w:top w:val="nil"/>
              <w:left w:val="nil"/>
              <w:bottom w:val="single" w:sz="4" w:space="0" w:color="auto"/>
              <w:right w:val="single" w:sz="4" w:space="0" w:color="auto"/>
            </w:tcBorders>
            <w:shd w:val="clear" w:color="000000" w:fill="FFFF99"/>
            <w:noWrap/>
            <w:vAlign w:val="bottom"/>
            <w:hideMark/>
          </w:tcPr>
          <w:p w14:paraId="14F7E840" w14:textId="77777777" w:rsidR="001752B7" w:rsidRPr="001752B7" w:rsidRDefault="001752B7" w:rsidP="001752B7">
            <w:pPr>
              <w:spacing w:after="0" w:line="240" w:lineRule="auto"/>
              <w:jc w:val="right"/>
              <w:rPr>
                <w:rFonts w:ascii="Calibri" w:eastAsia="Times New Roman" w:hAnsi="Calibri" w:cs="Calibri"/>
                <w:lang w:eastAsia="hr-HR"/>
              </w:rPr>
            </w:pPr>
            <w:r w:rsidRPr="001752B7">
              <w:rPr>
                <w:rFonts w:ascii="Calibri" w:eastAsia="Times New Roman" w:hAnsi="Calibri" w:cs="Calibri"/>
                <w:lang w:eastAsia="hr-HR"/>
              </w:rPr>
              <w:t> </w:t>
            </w:r>
          </w:p>
        </w:tc>
        <w:tc>
          <w:tcPr>
            <w:tcW w:w="447" w:type="dxa"/>
            <w:tcBorders>
              <w:top w:val="nil"/>
              <w:left w:val="nil"/>
              <w:bottom w:val="single" w:sz="4" w:space="0" w:color="auto"/>
              <w:right w:val="single" w:sz="4" w:space="0" w:color="auto"/>
            </w:tcBorders>
            <w:shd w:val="clear" w:color="000000" w:fill="FFFF99"/>
            <w:noWrap/>
            <w:vAlign w:val="bottom"/>
            <w:hideMark/>
          </w:tcPr>
          <w:p w14:paraId="05959C52" w14:textId="77777777" w:rsidR="001752B7" w:rsidRPr="001752B7" w:rsidRDefault="001752B7" w:rsidP="001752B7">
            <w:pPr>
              <w:spacing w:after="0" w:line="240" w:lineRule="auto"/>
              <w:jc w:val="right"/>
              <w:rPr>
                <w:rFonts w:ascii="Calibri" w:eastAsia="Times New Roman" w:hAnsi="Calibri" w:cs="Calibri"/>
                <w:lang w:eastAsia="hr-HR"/>
              </w:rPr>
            </w:pPr>
            <w:r w:rsidRPr="001752B7">
              <w:rPr>
                <w:rFonts w:ascii="Calibri" w:eastAsia="Times New Roman" w:hAnsi="Calibri" w:cs="Calibri"/>
                <w:lang w:eastAsia="hr-HR"/>
              </w:rPr>
              <w:t>1</w:t>
            </w:r>
          </w:p>
        </w:tc>
        <w:tc>
          <w:tcPr>
            <w:tcW w:w="572" w:type="dxa"/>
            <w:tcBorders>
              <w:top w:val="nil"/>
              <w:left w:val="nil"/>
              <w:bottom w:val="single" w:sz="4" w:space="0" w:color="auto"/>
              <w:right w:val="single" w:sz="4" w:space="0" w:color="auto"/>
            </w:tcBorders>
            <w:shd w:val="clear" w:color="000000" w:fill="FF9900"/>
            <w:noWrap/>
            <w:vAlign w:val="bottom"/>
            <w:hideMark/>
          </w:tcPr>
          <w:p w14:paraId="579AAAB0" w14:textId="77777777" w:rsidR="001752B7" w:rsidRPr="001752B7" w:rsidRDefault="001752B7" w:rsidP="001752B7">
            <w:pPr>
              <w:spacing w:after="0" w:line="240" w:lineRule="auto"/>
              <w:jc w:val="right"/>
              <w:rPr>
                <w:rFonts w:ascii="Calibri" w:eastAsia="Times New Roman" w:hAnsi="Calibri" w:cs="Calibri"/>
                <w:lang w:eastAsia="hr-HR"/>
              </w:rPr>
            </w:pPr>
            <w:r w:rsidRPr="001752B7">
              <w:rPr>
                <w:rFonts w:ascii="Calibri" w:eastAsia="Times New Roman" w:hAnsi="Calibri" w:cs="Calibri"/>
                <w:lang w:eastAsia="hr-HR"/>
              </w:rPr>
              <w:t>1</w:t>
            </w:r>
          </w:p>
        </w:tc>
        <w:tc>
          <w:tcPr>
            <w:tcW w:w="467" w:type="dxa"/>
            <w:tcBorders>
              <w:top w:val="nil"/>
              <w:left w:val="nil"/>
              <w:bottom w:val="single" w:sz="4" w:space="0" w:color="auto"/>
              <w:right w:val="single" w:sz="4" w:space="0" w:color="auto"/>
            </w:tcBorders>
            <w:shd w:val="clear" w:color="000000" w:fill="FF9900"/>
            <w:noWrap/>
            <w:vAlign w:val="bottom"/>
            <w:hideMark/>
          </w:tcPr>
          <w:p w14:paraId="639304EA" w14:textId="77777777" w:rsidR="001752B7" w:rsidRPr="001752B7" w:rsidRDefault="001752B7" w:rsidP="001752B7">
            <w:pPr>
              <w:spacing w:after="0" w:line="240" w:lineRule="auto"/>
              <w:jc w:val="right"/>
              <w:rPr>
                <w:rFonts w:ascii="Calibri" w:eastAsia="Times New Roman" w:hAnsi="Calibri" w:cs="Calibri"/>
                <w:lang w:eastAsia="hr-HR"/>
              </w:rPr>
            </w:pPr>
            <w:r w:rsidRPr="001752B7">
              <w:rPr>
                <w:rFonts w:ascii="Calibri" w:eastAsia="Times New Roman" w:hAnsi="Calibri" w:cs="Calibri"/>
                <w:lang w:eastAsia="hr-HR"/>
              </w:rPr>
              <w:t> </w:t>
            </w:r>
          </w:p>
        </w:tc>
        <w:tc>
          <w:tcPr>
            <w:tcW w:w="579" w:type="dxa"/>
            <w:tcBorders>
              <w:top w:val="nil"/>
              <w:left w:val="nil"/>
              <w:bottom w:val="single" w:sz="4" w:space="0" w:color="auto"/>
              <w:right w:val="single" w:sz="4" w:space="0" w:color="auto"/>
            </w:tcBorders>
            <w:shd w:val="clear" w:color="000000" w:fill="FF9900"/>
            <w:noWrap/>
            <w:vAlign w:val="bottom"/>
            <w:hideMark/>
          </w:tcPr>
          <w:p w14:paraId="1A308331" w14:textId="77777777" w:rsidR="001752B7" w:rsidRPr="001752B7" w:rsidRDefault="001752B7" w:rsidP="001752B7">
            <w:pPr>
              <w:spacing w:after="0" w:line="240" w:lineRule="auto"/>
              <w:jc w:val="right"/>
              <w:rPr>
                <w:rFonts w:ascii="Calibri" w:eastAsia="Times New Roman" w:hAnsi="Calibri" w:cs="Calibri"/>
                <w:lang w:eastAsia="hr-HR"/>
              </w:rPr>
            </w:pPr>
            <w:r w:rsidRPr="001752B7">
              <w:rPr>
                <w:rFonts w:ascii="Calibri" w:eastAsia="Times New Roman" w:hAnsi="Calibri" w:cs="Calibri"/>
                <w:lang w:eastAsia="hr-HR"/>
              </w:rPr>
              <w:t>3</w:t>
            </w:r>
          </w:p>
        </w:tc>
        <w:tc>
          <w:tcPr>
            <w:tcW w:w="447" w:type="dxa"/>
            <w:tcBorders>
              <w:top w:val="nil"/>
              <w:left w:val="nil"/>
              <w:bottom w:val="single" w:sz="4" w:space="0" w:color="auto"/>
              <w:right w:val="single" w:sz="4" w:space="0" w:color="auto"/>
            </w:tcBorders>
            <w:shd w:val="clear" w:color="000000" w:fill="66FFCC"/>
            <w:noWrap/>
            <w:vAlign w:val="bottom"/>
            <w:hideMark/>
          </w:tcPr>
          <w:p w14:paraId="52259DC8" w14:textId="77777777" w:rsidR="001752B7" w:rsidRPr="001752B7" w:rsidRDefault="001752B7" w:rsidP="001752B7">
            <w:pPr>
              <w:spacing w:after="0" w:line="240" w:lineRule="auto"/>
              <w:jc w:val="right"/>
              <w:rPr>
                <w:rFonts w:ascii="Calibri" w:eastAsia="Times New Roman" w:hAnsi="Calibri" w:cs="Calibri"/>
                <w:lang w:eastAsia="hr-HR"/>
              </w:rPr>
            </w:pPr>
            <w:r w:rsidRPr="001752B7">
              <w:rPr>
                <w:rFonts w:ascii="Calibri" w:eastAsia="Times New Roman" w:hAnsi="Calibri" w:cs="Calibri"/>
                <w:lang w:eastAsia="hr-HR"/>
              </w:rPr>
              <w:t> </w:t>
            </w:r>
          </w:p>
        </w:tc>
        <w:tc>
          <w:tcPr>
            <w:tcW w:w="447" w:type="dxa"/>
            <w:tcBorders>
              <w:top w:val="nil"/>
              <w:left w:val="nil"/>
              <w:bottom w:val="single" w:sz="4" w:space="0" w:color="auto"/>
              <w:right w:val="single" w:sz="4" w:space="0" w:color="auto"/>
            </w:tcBorders>
            <w:shd w:val="clear" w:color="000000" w:fill="66FFCC"/>
            <w:noWrap/>
            <w:vAlign w:val="bottom"/>
            <w:hideMark/>
          </w:tcPr>
          <w:p w14:paraId="0822D73A" w14:textId="77777777" w:rsidR="001752B7" w:rsidRPr="001752B7" w:rsidRDefault="001752B7" w:rsidP="001752B7">
            <w:pPr>
              <w:spacing w:after="0" w:line="240" w:lineRule="auto"/>
              <w:jc w:val="right"/>
              <w:rPr>
                <w:rFonts w:ascii="Calibri" w:eastAsia="Times New Roman" w:hAnsi="Calibri" w:cs="Calibri"/>
                <w:lang w:eastAsia="hr-HR"/>
              </w:rPr>
            </w:pPr>
            <w:r w:rsidRPr="001752B7">
              <w:rPr>
                <w:rFonts w:ascii="Calibri" w:eastAsia="Times New Roman" w:hAnsi="Calibri" w:cs="Calibri"/>
                <w:lang w:eastAsia="hr-HR"/>
              </w:rPr>
              <w:t>11</w:t>
            </w:r>
          </w:p>
        </w:tc>
        <w:tc>
          <w:tcPr>
            <w:tcW w:w="698" w:type="dxa"/>
            <w:tcBorders>
              <w:top w:val="nil"/>
              <w:left w:val="nil"/>
              <w:bottom w:val="single" w:sz="4" w:space="0" w:color="auto"/>
              <w:right w:val="single" w:sz="4" w:space="0" w:color="auto"/>
            </w:tcBorders>
            <w:shd w:val="clear" w:color="000000" w:fill="66FFCC"/>
            <w:noWrap/>
            <w:vAlign w:val="bottom"/>
            <w:hideMark/>
          </w:tcPr>
          <w:p w14:paraId="3BA7902E" w14:textId="77777777" w:rsidR="001752B7" w:rsidRPr="001752B7" w:rsidRDefault="001752B7" w:rsidP="001752B7">
            <w:pPr>
              <w:spacing w:after="0" w:line="240" w:lineRule="auto"/>
              <w:jc w:val="right"/>
              <w:rPr>
                <w:rFonts w:ascii="Calibri" w:eastAsia="Times New Roman" w:hAnsi="Calibri" w:cs="Calibri"/>
                <w:lang w:eastAsia="hr-HR"/>
              </w:rPr>
            </w:pPr>
            <w:r w:rsidRPr="001752B7">
              <w:rPr>
                <w:rFonts w:ascii="Calibri" w:eastAsia="Times New Roman" w:hAnsi="Calibri" w:cs="Calibri"/>
                <w:lang w:eastAsia="hr-HR"/>
              </w:rPr>
              <w:t> </w:t>
            </w:r>
          </w:p>
        </w:tc>
        <w:tc>
          <w:tcPr>
            <w:tcW w:w="447" w:type="dxa"/>
            <w:tcBorders>
              <w:top w:val="nil"/>
              <w:left w:val="nil"/>
              <w:bottom w:val="single" w:sz="4" w:space="0" w:color="auto"/>
              <w:right w:val="single" w:sz="4" w:space="0" w:color="auto"/>
            </w:tcBorders>
            <w:shd w:val="clear" w:color="000000" w:fill="66FFCC"/>
            <w:noWrap/>
            <w:vAlign w:val="bottom"/>
            <w:hideMark/>
          </w:tcPr>
          <w:p w14:paraId="265312D3" w14:textId="77777777" w:rsidR="001752B7" w:rsidRPr="001752B7" w:rsidRDefault="001752B7" w:rsidP="001752B7">
            <w:pPr>
              <w:spacing w:after="0" w:line="240" w:lineRule="auto"/>
              <w:jc w:val="right"/>
              <w:rPr>
                <w:rFonts w:ascii="Calibri" w:eastAsia="Times New Roman" w:hAnsi="Calibri" w:cs="Calibri"/>
                <w:lang w:eastAsia="hr-HR"/>
              </w:rPr>
            </w:pPr>
            <w:r w:rsidRPr="001752B7">
              <w:rPr>
                <w:rFonts w:ascii="Calibri" w:eastAsia="Times New Roman" w:hAnsi="Calibri" w:cs="Calibri"/>
                <w:lang w:eastAsia="hr-HR"/>
              </w:rPr>
              <w:t>11</w:t>
            </w:r>
          </w:p>
        </w:tc>
        <w:tc>
          <w:tcPr>
            <w:tcW w:w="652" w:type="dxa"/>
            <w:tcBorders>
              <w:top w:val="nil"/>
              <w:left w:val="nil"/>
              <w:bottom w:val="single" w:sz="4" w:space="0" w:color="auto"/>
              <w:right w:val="single" w:sz="4" w:space="0" w:color="auto"/>
            </w:tcBorders>
            <w:shd w:val="clear" w:color="000000" w:fill="FFFF00"/>
            <w:vAlign w:val="center"/>
            <w:hideMark/>
          </w:tcPr>
          <w:p w14:paraId="5C05E186" w14:textId="77777777" w:rsidR="001752B7" w:rsidRPr="001752B7" w:rsidRDefault="001752B7" w:rsidP="001752B7">
            <w:pPr>
              <w:spacing w:after="0" w:line="240" w:lineRule="auto"/>
              <w:jc w:val="right"/>
              <w:rPr>
                <w:rFonts w:ascii="Calibri" w:eastAsia="Times New Roman" w:hAnsi="Calibri" w:cs="Calibri"/>
                <w:lang w:eastAsia="hr-HR"/>
              </w:rPr>
            </w:pPr>
            <w:r w:rsidRPr="001752B7">
              <w:rPr>
                <w:rFonts w:ascii="Calibri" w:eastAsia="Times New Roman" w:hAnsi="Calibri" w:cs="Calibri"/>
                <w:lang w:eastAsia="hr-HR"/>
              </w:rPr>
              <w:t>5</w:t>
            </w:r>
          </w:p>
        </w:tc>
        <w:tc>
          <w:tcPr>
            <w:tcW w:w="614" w:type="dxa"/>
            <w:tcBorders>
              <w:top w:val="nil"/>
              <w:left w:val="nil"/>
              <w:bottom w:val="single" w:sz="4" w:space="0" w:color="auto"/>
              <w:right w:val="single" w:sz="4" w:space="0" w:color="auto"/>
            </w:tcBorders>
            <w:shd w:val="clear" w:color="000000" w:fill="FFFF99"/>
            <w:vAlign w:val="center"/>
            <w:hideMark/>
          </w:tcPr>
          <w:p w14:paraId="68A9A659" w14:textId="77777777" w:rsidR="001752B7" w:rsidRPr="001752B7" w:rsidRDefault="001752B7" w:rsidP="001752B7">
            <w:pPr>
              <w:spacing w:after="0" w:line="240" w:lineRule="auto"/>
              <w:jc w:val="right"/>
              <w:rPr>
                <w:rFonts w:ascii="Calibri" w:eastAsia="Times New Roman" w:hAnsi="Calibri" w:cs="Calibri"/>
                <w:lang w:eastAsia="hr-HR"/>
              </w:rPr>
            </w:pPr>
            <w:r w:rsidRPr="001752B7">
              <w:rPr>
                <w:rFonts w:ascii="Calibri" w:eastAsia="Times New Roman" w:hAnsi="Calibri" w:cs="Calibri"/>
                <w:lang w:eastAsia="hr-HR"/>
              </w:rPr>
              <w:t>4</w:t>
            </w:r>
          </w:p>
        </w:tc>
        <w:tc>
          <w:tcPr>
            <w:tcW w:w="519" w:type="dxa"/>
            <w:tcBorders>
              <w:top w:val="nil"/>
              <w:left w:val="nil"/>
              <w:bottom w:val="single" w:sz="4" w:space="0" w:color="auto"/>
              <w:right w:val="single" w:sz="4" w:space="0" w:color="auto"/>
            </w:tcBorders>
            <w:shd w:val="clear" w:color="000000" w:fill="FF9900"/>
            <w:vAlign w:val="center"/>
            <w:hideMark/>
          </w:tcPr>
          <w:p w14:paraId="4F5F87E9" w14:textId="77777777" w:rsidR="001752B7" w:rsidRPr="001752B7" w:rsidRDefault="001752B7" w:rsidP="001752B7">
            <w:pPr>
              <w:spacing w:after="0" w:line="240" w:lineRule="auto"/>
              <w:jc w:val="right"/>
              <w:rPr>
                <w:rFonts w:ascii="Calibri" w:eastAsia="Times New Roman" w:hAnsi="Calibri" w:cs="Calibri"/>
                <w:lang w:eastAsia="hr-HR"/>
              </w:rPr>
            </w:pPr>
            <w:r w:rsidRPr="001752B7">
              <w:rPr>
                <w:rFonts w:ascii="Calibri" w:eastAsia="Times New Roman" w:hAnsi="Calibri" w:cs="Calibri"/>
                <w:lang w:eastAsia="hr-HR"/>
              </w:rPr>
              <w:t>11</w:t>
            </w:r>
          </w:p>
        </w:tc>
        <w:tc>
          <w:tcPr>
            <w:tcW w:w="477" w:type="dxa"/>
            <w:tcBorders>
              <w:top w:val="nil"/>
              <w:left w:val="nil"/>
              <w:bottom w:val="single" w:sz="4" w:space="0" w:color="auto"/>
              <w:right w:val="single" w:sz="4" w:space="0" w:color="auto"/>
            </w:tcBorders>
            <w:shd w:val="clear" w:color="000000" w:fill="CCFFFF"/>
            <w:vAlign w:val="bottom"/>
            <w:hideMark/>
          </w:tcPr>
          <w:p w14:paraId="1EEDDED9" w14:textId="77777777" w:rsidR="001752B7" w:rsidRPr="001752B7" w:rsidRDefault="001752B7" w:rsidP="001752B7">
            <w:pPr>
              <w:spacing w:after="0" w:line="240" w:lineRule="auto"/>
              <w:jc w:val="right"/>
              <w:rPr>
                <w:rFonts w:ascii="Calibri" w:eastAsia="Times New Roman" w:hAnsi="Calibri" w:cs="Calibri"/>
                <w:lang w:eastAsia="hr-HR"/>
              </w:rPr>
            </w:pPr>
            <w:r w:rsidRPr="001752B7">
              <w:rPr>
                <w:rFonts w:ascii="Calibri" w:eastAsia="Times New Roman" w:hAnsi="Calibri" w:cs="Calibri"/>
                <w:lang w:eastAsia="hr-HR"/>
              </w:rPr>
              <w:t> </w:t>
            </w:r>
          </w:p>
        </w:tc>
        <w:tc>
          <w:tcPr>
            <w:tcW w:w="506" w:type="dxa"/>
            <w:tcBorders>
              <w:top w:val="nil"/>
              <w:left w:val="nil"/>
              <w:bottom w:val="single" w:sz="4" w:space="0" w:color="auto"/>
              <w:right w:val="single" w:sz="4" w:space="0" w:color="auto"/>
            </w:tcBorders>
            <w:shd w:val="clear" w:color="000000" w:fill="CCFFFF"/>
            <w:vAlign w:val="bottom"/>
            <w:hideMark/>
          </w:tcPr>
          <w:p w14:paraId="268ADF35" w14:textId="77777777" w:rsidR="001752B7" w:rsidRPr="001752B7" w:rsidRDefault="001752B7" w:rsidP="001752B7">
            <w:pPr>
              <w:spacing w:after="0" w:line="240" w:lineRule="auto"/>
              <w:jc w:val="right"/>
              <w:rPr>
                <w:rFonts w:ascii="Calibri" w:eastAsia="Times New Roman" w:hAnsi="Calibri" w:cs="Calibri"/>
                <w:lang w:eastAsia="hr-HR"/>
              </w:rPr>
            </w:pPr>
            <w:r w:rsidRPr="001752B7">
              <w:rPr>
                <w:rFonts w:ascii="Calibri" w:eastAsia="Times New Roman" w:hAnsi="Calibri" w:cs="Calibri"/>
                <w:lang w:eastAsia="hr-HR"/>
              </w:rPr>
              <w:t>4</w:t>
            </w:r>
          </w:p>
        </w:tc>
        <w:tc>
          <w:tcPr>
            <w:tcW w:w="485" w:type="dxa"/>
            <w:tcBorders>
              <w:top w:val="nil"/>
              <w:left w:val="nil"/>
              <w:bottom w:val="single" w:sz="4" w:space="0" w:color="auto"/>
              <w:right w:val="single" w:sz="4" w:space="0" w:color="auto"/>
            </w:tcBorders>
            <w:shd w:val="clear" w:color="000000" w:fill="CCFFFF"/>
            <w:vAlign w:val="bottom"/>
            <w:hideMark/>
          </w:tcPr>
          <w:p w14:paraId="38A1CCD2" w14:textId="77777777" w:rsidR="001752B7" w:rsidRPr="001752B7" w:rsidRDefault="001752B7" w:rsidP="001752B7">
            <w:pPr>
              <w:spacing w:after="0" w:line="240" w:lineRule="auto"/>
              <w:jc w:val="right"/>
              <w:rPr>
                <w:rFonts w:ascii="Calibri" w:eastAsia="Times New Roman" w:hAnsi="Calibri" w:cs="Calibri"/>
                <w:lang w:eastAsia="hr-HR"/>
              </w:rPr>
            </w:pPr>
            <w:r w:rsidRPr="001752B7">
              <w:rPr>
                <w:rFonts w:ascii="Calibri" w:eastAsia="Times New Roman" w:hAnsi="Calibri" w:cs="Calibri"/>
                <w:lang w:eastAsia="hr-HR"/>
              </w:rPr>
              <w:t> </w:t>
            </w:r>
          </w:p>
        </w:tc>
        <w:tc>
          <w:tcPr>
            <w:tcW w:w="561" w:type="dxa"/>
            <w:tcBorders>
              <w:top w:val="nil"/>
              <w:left w:val="nil"/>
              <w:bottom w:val="single" w:sz="4" w:space="0" w:color="auto"/>
              <w:right w:val="nil"/>
            </w:tcBorders>
            <w:shd w:val="clear" w:color="000000" w:fill="33CCCC"/>
            <w:noWrap/>
            <w:vAlign w:val="bottom"/>
            <w:hideMark/>
          </w:tcPr>
          <w:p w14:paraId="323B6297" w14:textId="77777777" w:rsidR="001752B7" w:rsidRPr="001752B7" w:rsidRDefault="001752B7" w:rsidP="001752B7">
            <w:pPr>
              <w:spacing w:after="0" w:line="240" w:lineRule="auto"/>
              <w:jc w:val="right"/>
              <w:rPr>
                <w:rFonts w:ascii="Calibri" w:eastAsia="Times New Roman" w:hAnsi="Calibri" w:cs="Calibri"/>
                <w:lang w:eastAsia="hr-HR"/>
              </w:rPr>
            </w:pPr>
            <w:r w:rsidRPr="001752B7">
              <w:rPr>
                <w:rFonts w:ascii="Calibri" w:eastAsia="Times New Roman" w:hAnsi="Calibri" w:cs="Calibri"/>
                <w:lang w:eastAsia="hr-HR"/>
              </w:rPr>
              <w:t>5</w:t>
            </w:r>
          </w:p>
        </w:tc>
        <w:tc>
          <w:tcPr>
            <w:tcW w:w="595" w:type="dxa"/>
            <w:tcBorders>
              <w:top w:val="nil"/>
              <w:left w:val="single" w:sz="4" w:space="0" w:color="auto"/>
              <w:bottom w:val="single" w:sz="4" w:space="0" w:color="auto"/>
              <w:right w:val="single" w:sz="8" w:space="0" w:color="auto"/>
            </w:tcBorders>
            <w:shd w:val="clear" w:color="000000" w:fill="33CCCC"/>
            <w:noWrap/>
            <w:vAlign w:val="bottom"/>
            <w:hideMark/>
          </w:tcPr>
          <w:p w14:paraId="2B420D94" w14:textId="77777777" w:rsidR="001752B7" w:rsidRPr="001752B7" w:rsidRDefault="001752B7" w:rsidP="001752B7">
            <w:pPr>
              <w:spacing w:after="0" w:line="240" w:lineRule="auto"/>
              <w:jc w:val="right"/>
              <w:rPr>
                <w:rFonts w:ascii="Calibri" w:eastAsia="Times New Roman" w:hAnsi="Calibri" w:cs="Calibri"/>
                <w:lang w:eastAsia="hr-HR"/>
              </w:rPr>
            </w:pPr>
            <w:r w:rsidRPr="001752B7">
              <w:rPr>
                <w:rFonts w:ascii="Calibri" w:eastAsia="Times New Roman" w:hAnsi="Calibri" w:cs="Calibri"/>
                <w:lang w:eastAsia="hr-HR"/>
              </w:rPr>
              <w:t> </w:t>
            </w:r>
          </w:p>
        </w:tc>
        <w:tc>
          <w:tcPr>
            <w:tcW w:w="266" w:type="dxa"/>
            <w:gridSpan w:val="3"/>
            <w:vAlign w:val="center"/>
            <w:hideMark/>
          </w:tcPr>
          <w:p w14:paraId="200FAEA0" w14:textId="77777777" w:rsidR="001752B7" w:rsidRPr="001752B7" w:rsidRDefault="001752B7" w:rsidP="001752B7">
            <w:pPr>
              <w:spacing w:after="0" w:line="240" w:lineRule="auto"/>
              <w:rPr>
                <w:rFonts w:ascii="Times New Roman" w:eastAsia="Times New Roman" w:hAnsi="Times New Roman" w:cs="Times New Roman"/>
                <w:sz w:val="20"/>
                <w:szCs w:val="20"/>
                <w:lang w:eastAsia="hr-HR"/>
              </w:rPr>
            </w:pPr>
          </w:p>
        </w:tc>
      </w:tr>
      <w:tr w:rsidR="001752B7" w:rsidRPr="001752B7" w14:paraId="676E47BD" w14:textId="77777777" w:rsidTr="000271A1">
        <w:trPr>
          <w:trHeight w:val="300"/>
        </w:trPr>
        <w:tc>
          <w:tcPr>
            <w:tcW w:w="1404" w:type="dxa"/>
            <w:tcBorders>
              <w:top w:val="single" w:sz="4" w:space="0" w:color="auto"/>
              <w:left w:val="single" w:sz="8" w:space="0" w:color="auto"/>
              <w:bottom w:val="single" w:sz="4" w:space="0" w:color="auto"/>
              <w:right w:val="single" w:sz="4" w:space="0" w:color="auto"/>
            </w:tcBorders>
            <w:shd w:val="clear" w:color="000000" w:fill="CCFFCC"/>
            <w:vAlign w:val="center"/>
            <w:hideMark/>
          </w:tcPr>
          <w:p w14:paraId="7C06EFD0" w14:textId="77777777" w:rsidR="001752B7" w:rsidRPr="001752B7" w:rsidRDefault="001752B7" w:rsidP="001752B7">
            <w:pPr>
              <w:spacing w:after="0" w:line="240" w:lineRule="auto"/>
              <w:rPr>
                <w:rFonts w:ascii="Calibri" w:eastAsia="Times New Roman" w:hAnsi="Calibri" w:cs="Calibri"/>
                <w:lang w:eastAsia="hr-HR"/>
              </w:rPr>
            </w:pPr>
            <w:r w:rsidRPr="001752B7">
              <w:rPr>
                <w:rFonts w:ascii="Calibri" w:eastAsia="Times New Roman" w:hAnsi="Calibri" w:cs="Calibri"/>
                <w:lang w:eastAsia="hr-HR"/>
              </w:rPr>
              <w:t>Nacionalno podrijetlo</w:t>
            </w:r>
          </w:p>
        </w:tc>
        <w:tc>
          <w:tcPr>
            <w:tcW w:w="545" w:type="dxa"/>
            <w:tcBorders>
              <w:top w:val="nil"/>
              <w:left w:val="nil"/>
              <w:bottom w:val="single" w:sz="4" w:space="0" w:color="auto"/>
              <w:right w:val="single" w:sz="4" w:space="0" w:color="auto"/>
            </w:tcBorders>
            <w:shd w:val="clear" w:color="000000" w:fill="CCFFCC"/>
            <w:vAlign w:val="center"/>
            <w:hideMark/>
          </w:tcPr>
          <w:p w14:paraId="312AE5F7" w14:textId="77777777" w:rsidR="001752B7" w:rsidRPr="001752B7" w:rsidRDefault="001752B7" w:rsidP="001752B7">
            <w:pPr>
              <w:spacing w:after="0" w:line="240" w:lineRule="auto"/>
              <w:jc w:val="right"/>
              <w:rPr>
                <w:rFonts w:ascii="Calibri" w:eastAsia="Times New Roman" w:hAnsi="Calibri" w:cs="Calibri"/>
                <w:lang w:eastAsia="hr-HR"/>
              </w:rPr>
            </w:pPr>
            <w:r w:rsidRPr="001752B7">
              <w:rPr>
                <w:rFonts w:ascii="Calibri" w:eastAsia="Times New Roman" w:hAnsi="Calibri" w:cs="Calibri"/>
                <w:lang w:eastAsia="hr-HR"/>
              </w:rPr>
              <w:t>40</w:t>
            </w:r>
          </w:p>
        </w:tc>
        <w:tc>
          <w:tcPr>
            <w:tcW w:w="573" w:type="dxa"/>
            <w:tcBorders>
              <w:top w:val="nil"/>
              <w:left w:val="nil"/>
              <w:bottom w:val="single" w:sz="4" w:space="0" w:color="auto"/>
              <w:right w:val="single" w:sz="4" w:space="0" w:color="auto"/>
            </w:tcBorders>
            <w:shd w:val="clear" w:color="000000" w:fill="FFCC99"/>
            <w:noWrap/>
            <w:vAlign w:val="bottom"/>
            <w:hideMark/>
          </w:tcPr>
          <w:p w14:paraId="55C501AE" w14:textId="77777777" w:rsidR="001752B7" w:rsidRPr="001752B7" w:rsidRDefault="001752B7" w:rsidP="001752B7">
            <w:pPr>
              <w:spacing w:after="0" w:line="240" w:lineRule="auto"/>
              <w:jc w:val="right"/>
              <w:rPr>
                <w:rFonts w:ascii="Calibri" w:eastAsia="Times New Roman" w:hAnsi="Calibri" w:cs="Calibri"/>
                <w:lang w:eastAsia="hr-HR"/>
              </w:rPr>
            </w:pPr>
            <w:r w:rsidRPr="001752B7">
              <w:rPr>
                <w:rFonts w:ascii="Calibri" w:eastAsia="Times New Roman" w:hAnsi="Calibri" w:cs="Calibri"/>
                <w:lang w:eastAsia="hr-HR"/>
              </w:rPr>
              <w:t>60</w:t>
            </w:r>
          </w:p>
        </w:tc>
        <w:tc>
          <w:tcPr>
            <w:tcW w:w="855" w:type="dxa"/>
            <w:tcBorders>
              <w:top w:val="nil"/>
              <w:left w:val="nil"/>
              <w:bottom w:val="single" w:sz="4" w:space="0" w:color="auto"/>
              <w:right w:val="single" w:sz="4" w:space="0" w:color="auto"/>
            </w:tcBorders>
            <w:shd w:val="clear" w:color="000000" w:fill="CCFFFF"/>
            <w:noWrap/>
            <w:vAlign w:val="bottom"/>
            <w:hideMark/>
          </w:tcPr>
          <w:p w14:paraId="01DE5EF6" w14:textId="77777777" w:rsidR="001752B7" w:rsidRPr="001752B7" w:rsidRDefault="001752B7" w:rsidP="001752B7">
            <w:pPr>
              <w:spacing w:after="0" w:line="240" w:lineRule="auto"/>
              <w:jc w:val="right"/>
              <w:rPr>
                <w:rFonts w:ascii="Calibri" w:eastAsia="Times New Roman" w:hAnsi="Calibri" w:cs="Calibri"/>
                <w:lang w:eastAsia="hr-HR"/>
              </w:rPr>
            </w:pPr>
            <w:r w:rsidRPr="001752B7">
              <w:rPr>
                <w:rFonts w:ascii="Calibri" w:eastAsia="Times New Roman" w:hAnsi="Calibri" w:cs="Calibri"/>
                <w:lang w:eastAsia="hr-HR"/>
              </w:rPr>
              <w:t>20</w:t>
            </w:r>
          </w:p>
        </w:tc>
        <w:tc>
          <w:tcPr>
            <w:tcW w:w="638" w:type="dxa"/>
            <w:tcBorders>
              <w:top w:val="nil"/>
              <w:left w:val="nil"/>
              <w:bottom w:val="single" w:sz="4" w:space="0" w:color="auto"/>
              <w:right w:val="single" w:sz="4" w:space="0" w:color="auto"/>
            </w:tcBorders>
            <w:shd w:val="clear" w:color="000000" w:fill="CCFFFF"/>
            <w:noWrap/>
            <w:vAlign w:val="bottom"/>
            <w:hideMark/>
          </w:tcPr>
          <w:p w14:paraId="4AEDA250" w14:textId="77777777" w:rsidR="001752B7" w:rsidRPr="001752B7" w:rsidRDefault="001752B7" w:rsidP="001752B7">
            <w:pPr>
              <w:spacing w:after="0" w:line="240" w:lineRule="auto"/>
              <w:jc w:val="right"/>
              <w:rPr>
                <w:rFonts w:ascii="Calibri" w:eastAsia="Times New Roman" w:hAnsi="Calibri" w:cs="Calibri"/>
                <w:lang w:eastAsia="hr-HR"/>
              </w:rPr>
            </w:pPr>
            <w:r w:rsidRPr="001752B7">
              <w:rPr>
                <w:rFonts w:ascii="Calibri" w:eastAsia="Times New Roman" w:hAnsi="Calibri" w:cs="Calibri"/>
                <w:lang w:eastAsia="hr-HR"/>
              </w:rPr>
              <w:t>68</w:t>
            </w:r>
          </w:p>
        </w:tc>
        <w:tc>
          <w:tcPr>
            <w:tcW w:w="580" w:type="dxa"/>
            <w:tcBorders>
              <w:top w:val="nil"/>
              <w:left w:val="nil"/>
              <w:bottom w:val="single" w:sz="4" w:space="0" w:color="auto"/>
              <w:right w:val="single" w:sz="4" w:space="0" w:color="auto"/>
            </w:tcBorders>
            <w:shd w:val="clear" w:color="000000" w:fill="FFFF99"/>
            <w:noWrap/>
            <w:vAlign w:val="bottom"/>
            <w:hideMark/>
          </w:tcPr>
          <w:p w14:paraId="1978B195" w14:textId="77777777" w:rsidR="001752B7" w:rsidRPr="001752B7" w:rsidRDefault="001752B7" w:rsidP="001752B7">
            <w:pPr>
              <w:spacing w:after="0" w:line="240" w:lineRule="auto"/>
              <w:jc w:val="right"/>
              <w:rPr>
                <w:rFonts w:ascii="Calibri" w:eastAsia="Times New Roman" w:hAnsi="Calibri" w:cs="Calibri"/>
                <w:lang w:eastAsia="hr-HR"/>
              </w:rPr>
            </w:pPr>
            <w:r w:rsidRPr="001752B7">
              <w:rPr>
                <w:rFonts w:ascii="Calibri" w:eastAsia="Times New Roman" w:hAnsi="Calibri" w:cs="Calibri"/>
                <w:lang w:eastAsia="hr-HR"/>
              </w:rPr>
              <w:t>58</w:t>
            </w:r>
          </w:p>
        </w:tc>
        <w:tc>
          <w:tcPr>
            <w:tcW w:w="447" w:type="dxa"/>
            <w:tcBorders>
              <w:top w:val="nil"/>
              <w:left w:val="nil"/>
              <w:bottom w:val="single" w:sz="4" w:space="0" w:color="auto"/>
              <w:right w:val="single" w:sz="4" w:space="0" w:color="auto"/>
            </w:tcBorders>
            <w:shd w:val="clear" w:color="000000" w:fill="FFFF99"/>
            <w:noWrap/>
            <w:vAlign w:val="bottom"/>
            <w:hideMark/>
          </w:tcPr>
          <w:p w14:paraId="4641556E" w14:textId="77777777" w:rsidR="001752B7" w:rsidRPr="001752B7" w:rsidRDefault="001752B7" w:rsidP="001752B7">
            <w:pPr>
              <w:spacing w:after="0" w:line="240" w:lineRule="auto"/>
              <w:jc w:val="right"/>
              <w:rPr>
                <w:rFonts w:ascii="Calibri" w:eastAsia="Times New Roman" w:hAnsi="Calibri" w:cs="Calibri"/>
                <w:lang w:eastAsia="hr-HR"/>
              </w:rPr>
            </w:pPr>
            <w:r w:rsidRPr="001752B7">
              <w:rPr>
                <w:rFonts w:ascii="Calibri" w:eastAsia="Times New Roman" w:hAnsi="Calibri" w:cs="Calibri"/>
                <w:lang w:eastAsia="hr-HR"/>
              </w:rPr>
              <w:t> </w:t>
            </w:r>
          </w:p>
        </w:tc>
        <w:tc>
          <w:tcPr>
            <w:tcW w:w="447" w:type="dxa"/>
            <w:tcBorders>
              <w:top w:val="nil"/>
              <w:left w:val="nil"/>
              <w:bottom w:val="single" w:sz="4" w:space="0" w:color="auto"/>
              <w:right w:val="single" w:sz="4" w:space="0" w:color="auto"/>
            </w:tcBorders>
            <w:shd w:val="clear" w:color="000000" w:fill="FFFF99"/>
            <w:noWrap/>
            <w:vAlign w:val="bottom"/>
            <w:hideMark/>
          </w:tcPr>
          <w:p w14:paraId="53772E8F" w14:textId="77777777" w:rsidR="001752B7" w:rsidRPr="001752B7" w:rsidRDefault="001752B7" w:rsidP="001752B7">
            <w:pPr>
              <w:spacing w:after="0" w:line="240" w:lineRule="auto"/>
              <w:jc w:val="right"/>
              <w:rPr>
                <w:rFonts w:ascii="Calibri" w:eastAsia="Times New Roman" w:hAnsi="Calibri" w:cs="Calibri"/>
                <w:lang w:eastAsia="hr-HR"/>
              </w:rPr>
            </w:pPr>
            <w:r w:rsidRPr="001752B7">
              <w:rPr>
                <w:rFonts w:ascii="Calibri" w:eastAsia="Times New Roman" w:hAnsi="Calibri" w:cs="Calibri"/>
                <w:lang w:eastAsia="hr-HR"/>
              </w:rPr>
              <w:t> </w:t>
            </w:r>
          </w:p>
        </w:tc>
        <w:tc>
          <w:tcPr>
            <w:tcW w:w="447" w:type="dxa"/>
            <w:tcBorders>
              <w:top w:val="nil"/>
              <w:left w:val="nil"/>
              <w:bottom w:val="single" w:sz="4" w:space="0" w:color="auto"/>
              <w:right w:val="single" w:sz="4" w:space="0" w:color="auto"/>
            </w:tcBorders>
            <w:shd w:val="clear" w:color="000000" w:fill="FFFF99"/>
            <w:noWrap/>
            <w:vAlign w:val="bottom"/>
            <w:hideMark/>
          </w:tcPr>
          <w:p w14:paraId="1E41F65F" w14:textId="77777777" w:rsidR="001752B7" w:rsidRPr="001752B7" w:rsidRDefault="001752B7" w:rsidP="001752B7">
            <w:pPr>
              <w:spacing w:after="0" w:line="240" w:lineRule="auto"/>
              <w:jc w:val="right"/>
              <w:rPr>
                <w:rFonts w:ascii="Calibri" w:eastAsia="Times New Roman" w:hAnsi="Calibri" w:cs="Calibri"/>
                <w:lang w:eastAsia="hr-HR"/>
              </w:rPr>
            </w:pPr>
            <w:r w:rsidRPr="001752B7">
              <w:rPr>
                <w:rFonts w:ascii="Calibri" w:eastAsia="Times New Roman" w:hAnsi="Calibri" w:cs="Calibri"/>
                <w:lang w:eastAsia="hr-HR"/>
              </w:rPr>
              <w:t> </w:t>
            </w:r>
          </w:p>
        </w:tc>
        <w:tc>
          <w:tcPr>
            <w:tcW w:w="447" w:type="dxa"/>
            <w:tcBorders>
              <w:top w:val="nil"/>
              <w:left w:val="nil"/>
              <w:bottom w:val="single" w:sz="4" w:space="0" w:color="auto"/>
              <w:right w:val="single" w:sz="4" w:space="0" w:color="auto"/>
            </w:tcBorders>
            <w:shd w:val="clear" w:color="000000" w:fill="FFFF99"/>
            <w:noWrap/>
            <w:vAlign w:val="bottom"/>
            <w:hideMark/>
          </w:tcPr>
          <w:p w14:paraId="63956CDB" w14:textId="77777777" w:rsidR="001752B7" w:rsidRPr="001752B7" w:rsidRDefault="001752B7" w:rsidP="001752B7">
            <w:pPr>
              <w:spacing w:after="0" w:line="240" w:lineRule="auto"/>
              <w:jc w:val="right"/>
              <w:rPr>
                <w:rFonts w:ascii="Calibri" w:eastAsia="Times New Roman" w:hAnsi="Calibri" w:cs="Calibri"/>
                <w:lang w:eastAsia="hr-HR"/>
              </w:rPr>
            </w:pPr>
            <w:r w:rsidRPr="001752B7">
              <w:rPr>
                <w:rFonts w:ascii="Calibri" w:eastAsia="Times New Roman" w:hAnsi="Calibri" w:cs="Calibri"/>
                <w:lang w:eastAsia="hr-HR"/>
              </w:rPr>
              <w:t>5</w:t>
            </w:r>
          </w:p>
        </w:tc>
        <w:tc>
          <w:tcPr>
            <w:tcW w:w="572" w:type="dxa"/>
            <w:tcBorders>
              <w:top w:val="nil"/>
              <w:left w:val="nil"/>
              <w:bottom w:val="single" w:sz="4" w:space="0" w:color="auto"/>
              <w:right w:val="single" w:sz="4" w:space="0" w:color="auto"/>
            </w:tcBorders>
            <w:shd w:val="clear" w:color="000000" w:fill="FF9900"/>
            <w:noWrap/>
            <w:vAlign w:val="bottom"/>
            <w:hideMark/>
          </w:tcPr>
          <w:p w14:paraId="767DFF4C" w14:textId="77777777" w:rsidR="001752B7" w:rsidRPr="001752B7" w:rsidRDefault="001752B7" w:rsidP="001752B7">
            <w:pPr>
              <w:spacing w:after="0" w:line="240" w:lineRule="auto"/>
              <w:jc w:val="right"/>
              <w:rPr>
                <w:rFonts w:ascii="Calibri" w:eastAsia="Times New Roman" w:hAnsi="Calibri" w:cs="Calibri"/>
                <w:lang w:eastAsia="hr-HR"/>
              </w:rPr>
            </w:pPr>
            <w:r w:rsidRPr="001752B7">
              <w:rPr>
                <w:rFonts w:ascii="Calibri" w:eastAsia="Times New Roman" w:hAnsi="Calibri" w:cs="Calibri"/>
                <w:lang w:eastAsia="hr-HR"/>
              </w:rPr>
              <w:t>23</w:t>
            </w:r>
          </w:p>
        </w:tc>
        <w:tc>
          <w:tcPr>
            <w:tcW w:w="467" w:type="dxa"/>
            <w:tcBorders>
              <w:top w:val="nil"/>
              <w:left w:val="nil"/>
              <w:bottom w:val="single" w:sz="4" w:space="0" w:color="auto"/>
              <w:right w:val="single" w:sz="4" w:space="0" w:color="auto"/>
            </w:tcBorders>
            <w:shd w:val="clear" w:color="000000" w:fill="FF9900"/>
            <w:noWrap/>
            <w:vAlign w:val="bottom"/>
            <w:hideMark/>
          </w:tcPr>
          <w:p w14:paraId="5AB7FC78" w14:textId="77777777" w:rsidR="001752B7" w:rsidRPr="001752B7" w:rsidRDefault="001752B7" w:rsidP="001752B7">
            <w:pPr>
              <w:spacing w:after="0" w:line="240" w:lineRule="auto"/>
              <w:jc w:val="right"/>
              <w:rPr>
                <w:rFonts w:ascii="Calibri" w:eastAsia="Times New Roman" w:hAnsi="Calibri" w:cs="Calibri"/>
                <w:lang w:eastAsia="hr-HR"/>
              </w:rPr>
            </w:pPr>
            <w:r w:rsidRPr="001752B7">
              <w:rPr>
                <w:rFonts w:ascii="Calibri" w:eastAsia="Times New Roman" w:hAnsi="Calibri" w:cs="Calibri"/>
                <w:lang w:eastAsia="hr-HR"/>
              </w:rPr>
              <w:t>16</w:t>
            </w:r>
          </w:p>
        </w:tc>
        <w:tc>
          <w:tcPr>
            <w:tcW w:w="579" w:type="dxa"/>
            <w:tcBorders>
              <w:top w:val="nil"/>
              <w:left w:val="nil"/>
              <w:bottom w:val="single" w:sz="4" w:space="0" w:color="auto"/>
              <w:right w:val="single" w:sz="4" w:space="0" w:color="auto"/>
            </w:tcBorders>
            <w:shd w:val="clear" w:color="000000" w:fill="FF9900"/>
            <w:noWrap/>
            <w:vAlign w:val="bottom"/>
            <w:hideMark/>
          </w:tcPr>
          <w:p w14:paraId="5F5D7D28" w14:textId="77777777" w:rsidR="001752B7" w:rsidRPr="001752B7" w:rsidRDefault="001752B7" w:rsidP="001752B7">
            <w:pPr>
              <w:spacing w:after="0" w:line="240" w:lineRule="auto"/>
              <w:jc w:val="right"/>
              <w:rPr>
                <w:rFonts w:ascii="Calibri" w:eastAsia="Times New Roman" w:hAnsi="Calibri" w:cs="Calibri"/>
                <w:lang w:eastAsia="hr-HR"/>
              </w:rPr>
            </w:pPr>
            <w:r w:rsidRPr="001752B7">
              <w:rPr>
                <w:rFonts w:ascii="Calibri" w:eastAsia="Times New Roman" w:hAnsi="Calibri" w:cs="Calibri"/>
                <w:lang w:eastAsia="hr-HR"/>
              </w:rPr>
              <w:t>7</w:t>
            </w:r>
          </w:p>
        </w:tc>
        <w:tc>
          <w:tcPr>
            <w:tcW w:w="447" w:type="dxa"/>
            <w:tcBorders>
              <w:top w:val="nil"/>
              <w:left w:val="nil"/>
              <w:bottom w:val="single" w:sz="4" w:space="0" w:color="auto"/>
              <w:right w:val="single" w:sz="4" w:space="0" w:color="auto"/>
            </w:tcBorders>
            <w:shd w:val="clear" w:color="000000" w:fill="66FFCC"/>
            <w:noWrap/>
            <w:vAlign w:val="bottom"/>
            <w:hideMark/>
          </w:tcPr>
          <w:p w14:paraId="20974126" w14:textId="77777777" w:rsidR="001752B7" w:rsidRPr="001752B7" w:rsidRDefault="001752B7" w:rsidP="001752B7">
            <w:pPr>
              <w:spacing w:after="0" w:line="240" w:lineRule="auto"/>
              <w:jc w:val="right"/>
              <w:rPr>
                <w:rFonts w:ascii="Calibri" w:eastAsia="Times New Roman" w:hAnsi="Calibri" w:cs="Calibri"/>
                <w:lang w:eastAsia="hr-HR"/>
              </w:rPr>
            </w:pPr>
            <w:r w:rsidRPr="001752B7">
              <w:rPr>
                <w:rFonts w:ascii="Calibri" w:eastAsia="Times New Roman" w:hAnsi="Calibri" w:cs="Calibri"/>
                <w:lang w:eastAsia="hr-HR"/>
              </w:rPr>
              <w:t> </w:t>
            </w:r>
          </w:p>
        </w:tc>
        <w:tc>
          <w:tcPr>
            <w:tcW w:w="447" w:type="dxa"/>
            <w:tcBorders>
              <w:top w:val="nil"/>
              <w:left w:val="nil"/>
              <w:bottom w:val="single" w:sz="4" w:space="0" w:color="auto"/>
              <w:right w:val="single" w:sz="4" w:space="0" w:color="auto"/>
            </w:tcBorders>
            <w:shd w:val="clear" w:color="000000" w:fill="66FFCC"/>
            <w:noWrap/>
            <w:vAlign w:val="bottom"/>
            <w:hideMark/>
          </w:tcPr>
          <w:p w14:paraId="65AB0B92" w14:textId="77777777" w:rsidR="001752B7" w:rsidRPr="001752B7" w:rsidRDefault="001752B7" w:rsidP="001752B7">
            <w:pPr>
              <w:spacing w:after="0" w:line="240" w:lineRule="auto"/>
              <w:jc w:val="right"/>
              <w:rPr>
                <w:rFonts w:ascii="Calibri" w:eastAsia="Times New Roman" w:hAnsi="Calibri" w:cs="Calibri"/>
                <w:lang w:eastAsia="hr-HR"/>
              </w:rPr>
            </w:pPr>
            <w:r w:rsidRPr="001752B7">
              <w:rPr>
                <w:rFonts w:ascii="Calibri" w:eastAsia="Times New Roman" w:hAnsi="Calibri" w:cs="Calibri"/>
                <w:lang w:eastAsia="hr-HR"/>
              </w:rPr>
              <w:t>29</w:t>
            </w:r>
          </w:p>
        </w:tc>
        <w:tc>
          <w:tcPr>
            <w:tcW w:w="698" w:type="dxa"/>
            <w:tcBorders>
              <w:top w:val="nil"/>
              <w:left w:val="nil"/>
              <w:bottom w:val="single" w:sz="4" w:space="0" w:color="auto"/>
              <w:right w:val="single" w:sz="4" w:space="0" w:color="auto"/>
            </w:tcBorders>
            <w:shd w:val="clear" w:color="000000" w:fill="66FFCC"/>
            <w:noWrap/>
            <w:vAlign w:val="bottom"/>
            <w:hideMark/>
          </w:tcPr>
          <w:p w14:paraId="6DE7C5CA" w14:textId="77777777" w:rsidR="001752B7" w:rsidRPr="001752B7" w:rsidRDefault="001752B7" w:rsidP="001752B7">
            <w:pPr>
              <w:spacing w:after="0" w:line="240" w:lineRule="auto"/>
              <w:jc w:val="right"/>
              <w:rPr>
                <w:rFonts w:ascii="Calibri" w:eastAsia="Times New Roman" w:hAnsi="Calibri" w:cs="Calibri"/>
                <w:lang w:eastAsia="hr-HR"/>
              </w:rPr>
            </w:pPr>
            <w:r w:rsidRPr="001752B7">
              <w:rPr>
                <w:rFonts w:ascii="Calibri" w:eastAsia="Times New Roman" w:hAnsi="Calibri" w:cs="Calibri"/>
                <w:lang w:eastAsia="hr-HR"/>
              </w:rPr>
              <w:t>11</w:t>
            </w:r>
          </w:p>
        </w:tc>
        <w:tc>
          <w:tcPr>
            <w:tcW w:w="447" w:type="dxa"/>
            <w:tcBorders>
              <w:top w:val="nil"/>
              <w:left w:val="nil"/>
              <w:bottom w:val="single" w:sz="4" w:space="0" w:color="auto"/>
              <w:right w:val="single" w:sz="4" w:space="0" w:color="auto"/>
            </w:tcBorders>
            <w:shd w:val="clear" w:color="000000" w:fill="66FFCC"/>
            <w:noWrap/>
            <w:vAlign w:val="bottom"/>
            <w:hideMark/>
          </w:tcPr>
          <w:p w14:paraId="6F9BC9D8" w14:textId="77777777" w:rsidR="001752B7" w:rsidRPr="001752B7" w:rsidRDefault="001752B7" w:rsidP="001752B7">
            <w:pPr>
              <w:spacing w:after="0" w:line="240" w:lineRule="auto"/>
              <w:jc w:val="right"/>
              <w:rPr>
                <w:rFonts w:ascii="Calibri" w:eastAsia="Times New Roman" w:hAnsi="Calibri" w:cs="Calibri"/>
                <w:lang w:eastAsia="hr-HR"/>
              </w:rPr>
            </w:pPr>
            <w:r w:rsidRPr="001752B7">
              <w:rPr>
                <w:rFonts w:ascii="Calibri" w:eastAsia="Times New Roman" w:hAnsi="Calibri" w:cs="Calibri"/>
                <w:lang w:eastAsia="hr-HR"/>
              </w:rPr>
              <w:t>40</w:t>
            </w:r>
          </w:p>
        </w:tc>
        <w:tc>
          <w:tcPr>
            <w:tcW w:w="652" w:type="dxa"/>
            <w:tcBorders>
              <w:top w:val="nil"/>
              <w:left w:val="nil"/>
              <w:bottom w:val="single" w:sz="4" w:space="0" w:color="auto"/>
              <w:right w:val="single" w:sz="4" w:space="0" w:color="auto"/>
            </w:tcBorders>
            <w:shd w:val="clear" w:color="000000" w:fill="FFFF00"/>
            <w:vAlign w:val="center"/>
            <w:hideMark/>
          </w:tcPr>
          <w:p w14:paraId="469B6039" w14:textId="77777777" w:rsidR="001752B7" w:rsidRPr="001752B7" w:rsidRDefault="001752B7" w:rsidP="001752B7">
            <w:pPr>
              <w:spacing w:after="0" w:line="240" w:lineRule="auto"/>
              <w:jc w:val="right"/>
              <w:rPr>
                <w:rFonts w:ascii="Calibri" w:eastAsia="Times New Roman" w:hAnsi="Calibri" w:cs="Calibri"/>
                <w:lang w:eastAsia="hr-HR"/>
              </w:rPr>
            </w:pPr>
            <w:r w:rsidRPr="001752B7">
              <w:rPr>
                <w:rFonts w:ascii="Calibri" w:eastAsia="Times New Roman" w:hAnsi="Calibri" w:cs="Calibri"/>
                <w:lang w:eastAsia="hr-HR"/>
              </w:rPr>
              <w:t>45</w:t>
            </w:r>
          </w:p>
        </w:tc>
        <w:tc>
          <w:tcPr>
            <w:tcW w:w="614" w:type="dxa"/>
            <w:tcBorders>
              <w:top w:val="nil"/>
              <w:left w:val="nil"/>
              <w:bottom w:val="single" w:sz="4" w:space="0" w:color="auto"/>
              <w:right w:val="single" w:sz="4" w:space="0" w:color="auto"/>
            </w:tcBorders>
            <w:shd w:val="clear" w:color="000000" w:fill="FFFF99"/>
            <w:vAlign w:val="center"/>
            <w:hideMark/>
          </w:tcPr>
          <w:p w14:paraId="51C7552E" w14:textId="77777777" w:rsidR="001752B7" w:rsidRPr="001752B7" w:rsidRDefault="001752B7" w:rsidP="001752B7">
            <w:pPr>
              <w:spacing w:after="0" w:line="240" w:lineRule="auto"/>
              <w:jc w:val="right"/>
              <w:rPr>
                <w:rFonts w:ascii="Calibri" w:eastAsia="Times New Roman" w:hAnsi="Calibri" w:cs="Calibri"/>
                <w:lang w:eastAsia="hr-HR"/>
              </w:rPr>
            </w:pPr>
            <w:r w:rsidRPr="001752B7">
              <w:rPr>
                <w:rFonts w:ascii="Calibri" w:eastAsia="Times New Roman" w:hAnsi="Calibri" w:cs="Calibri"/>
                <w:lang w:eastAsia="hr-HR"/>
              </w:rPr>
              <w:t>55</w:t>
            </w:r>
          </w:p>
        </w:tc>
        <w:tc>
          <w:tcPr>
            <w:tcW w:w="519" w:type="dxa"/>
            <w:tcBorders>
              <w:top w:val="nil"/>
              <w:left w:val="nil"/>
              <w:bottom w:val="single" w:sz="4" w:space="0" w:color="auto"/>
              <w:right w:val="single" w:sz="4" w:space="0" w:color="auto"/>
            </w:tcBorders>
            <w:shd w:val="clear" w:color="000000" w:fill="FF9900"/>
            <w:vAlign w:val="center"/>
            <w:hideMark/>
          </w:tcPr>
          <w:p w14:paraId="671BA3D2" w14:textId="77777777" w:rsidR="001752B7" w:rsidRPr="001752B7" w:rsidRDefault="001752B7" w:rsidP="001752B7">
            <w:pPr>
              <w:spacing w:after="0" w:line="240" w:lineRule="auto"/>
              <w:jc w:val="right"/>
              <w:rPr>
                <w:rFonts w:ascii="Calibri" w:eastAsia="Times New Roman" w:hAnsi="Calibri" w:cs="Calibri"/>
                <w:lang w:eastAsia="hr-HR"/>
              </w:rPr>
            </w:pPr>
            <w:r w:rsidRPr="001752B7">
              <w:rPr>
                <w:rFonts w:ascii="Calibri" w:eastAsia="Times New Roman" w:hAnsi="Calibri" w:cs="Calibri"/>
                <w:lang w:eastAsia="hr-HR"/>
              </w:rPr>
              <w:t>30</w:t>
            </w:r>
          </w:p>
        </w:tc>
        <w:tc>
          <w:tcPr>
            <w:tcW w:w="477" w:type="dxa"/>
            <w:tcBorders>
              <w:top w:val="nil"/>
              <w:left w:val="nil"/>
              <w:bottom w:val="single" w:sz="4" w:space="0" w:color="auto"/>
              <w:right w:val="single" w:sz="4" w:space="0" w:color="auto"/>
            </w:tcBorders>
            <w:shd w:val="clear" w:color="000000" w:fill="CCFFFF"/>
            <w:vAlign w:val="bottom"/>
            <w:hideMark/>
          </w:tcPr>
          <w:p w14:paraId="2A688E86" w14:textId="77777777" w:rsidR="001752B7" w:rsidRPr="001752B7" w:rsidRDefault="001752B7" w:rsidP="001752B7">
            <w:pPr>
              <w:spacing w:after="0" w:line="240" w:lineRule="auto"/>
              <w:jc w:val="right"/>
              <w:rPr>
                <w:rFonts w:ascii="Calibri" w:eastAsia="Times New Roman" w:hAnsi="Calibri" w:cs="Calibri"/>
                <w:lang w:eastAsia="hr-HR"/>
              </w:rPr>
            </w:pPr>
            <w:r w:rsidRPr="001752B7">
              <w:rPr>
                <w:rFonts w:ascii="Calibri" w:eastAsia="Times New Roman" w:hAnsi="Calibri" w:cs="Calibri"/>
                <w:lang w:eastAsia="hr-HR"/>
              </w:rPr>
              <w:t>17</w:t>
            </w:r>
          </w:p>
        </w:tc>
        <w:tc>
          <w:tcPr>
            <w:tcW w:w="506" w:type="dxa"/>
            <w:tcBorders>
              <w:top w:val="nil"/>
              <w:left w:val="nil"/>
              <w:bottom w:val="single" w:sz="4" w:space="0" w:color="auto"/>
              <w:right w:val="single" w:sz="4" w:space="0" w:color="auto"/>
            </w:tcBorders>
            <w:shd w:val="clear" w:color="000000" w:fill="CCFFFF"/>
            <w:vAlign w:val="bottom"/>
            <w:hideMark/>
          </w:tcPr>
          <w:p w14:paraId="08307F5A" w14:textId="77777777" w:rsidR="001752B7" w:rsidRPr="001752B7" w:rsidRDefault="001752B7" w:rsidP="001752B7">
            <w:pPr>
              <w:spacing w:after="0" w:line="240" w:lineRule="auto"/>
              <w:jc w:val="right"/>
              <w:rPr>
                <w:rFonts w:ascii="Calibri" w:eastAsia="Times New Roman" w:hAnsi="Calibri" w:cs="Calibri"/>
                <w:lang w:eastAsia="hr-HR"/>
              </w:rPr>
            </w:pPr>
            <w:r w:rsidRPr="001752B7">
              <w:rPr>
                <w:rFonts w:ascii="Calibri" w:eastAsia="Times New Roman" w:hAnsi="Calibri" w:cs="Calibri"/>
                <w:lang w:eastAsia="hr-HR"/>
              </w:rPr>
              <w:t>18</w:t>
            </w:r>
          </w:p>
        </w:tc>
        <w:tc>
          <w:tcPr>
            <w:tcW w:w="485" w:type="dxa"/>
            <w:tcBorders>
              <w:top w:val="nil"/>
              <w:left w:val="nil"/>
              <w:bottom w:val="single" w:sz="4" w:space="0" w:color="auto"/>
              <w:right w:val="single" w:sz="4" w:space="0" w:color="auto"/>
            </w:tcBorders>
            <w:shd w:val="clear" w:color="000000" w:fill="CCFFFF"/>
            <w:vAlign w:val="bottom"/>
            <w:hideMark/>
          </w:tcPr>
          <w:p w14:paraId="47925CE9" w14:textId="77777777" w:rsidR="001752B7" w:rsidRPr="001752B7" w:rsidRDefault="001752B7" w:rsidP="001752B7">
            <w:pPr>
              <w:spacing w:after="0" w:line="240" w:lineRule="auto"/>
              <w:jc w:val="right"/>
              <w:rPr>
                <w:rFonts w:ascii="Calibri" w:eastAsia="Times New Roman" w:hAnsi="Calibri" w:cs="Calibri"/>
                <w:lang w:eastAsia="hr-HR"/>
              </w:rPr>
            </w:pPr>
            <w:r w:rsidRPr="001752B7">
              <w:rPr>
                <w:rFonts w:ascii="Calibri" w:eastAsia="Times New Roman" w:hAnsi="Calibri" w:cs="Calibri"/>
                <w:lang w:eastAsia="hr-HR"/>
              </w:rPr>
              <w:t> </w:t>
            </w:r>
          </w:p>
        </w:tc>
        <w:tc>
          <w:tcPr>
            <w:tcW w:w="561" w:type="dxa"/>
            <w:tcBorders>
              <w:top w:val="nil"/>
              <w:left w:val="nil"/>
              <w:bottom w:val="single" w:sz="4" w:space="0" w:color="auto"/>
              <w:right w:val="nil"/>
            </w:tcBorders>
            <w:shd w:val="clear" w:color="000000" w:fill="33CCCC"/>
            <w:noWrap/>
            <w:vAlign w:val="bottom"/>
            <w:hideMark/>
          </w:tcPr>
          <w:p w14:paraId="55033FD8" w14:textId="77777777" w:rsidR="001752B7" w:rsidRPr="001752B7" w:rsidRDefault="001752B7" w:rsidP="001752B7">
            <w:pPr>
              <w:spacing w:after="0" w:line="240" w:lineRule="auto"/>
              <w:jc w:val="right"/>
              <w:rPr>
                <w:rFonts w:ascii="Calibri" w:eastAsia="Times New Roman" w:hAnsi="Calibri" w:cs="Calibri"/>
                <w:lang w:eastAsia="hr-HR"/>
              </w:rPr>
            </w:pPr>
            <w:r w:rsidRPr="001752B7">
              <w:rPr>
                <w:rFonts w:ascii="Calibri" w:eastAsia="Times New Roman" w:hAnsi="Calibri" w:cs="Calibri"/>
                <w:lang w:eastAsia="hr-HR"/>
              </w:rPr>
              <w:t>37</w:t>
            </w:r>
          </w:p>
        </w:tc>
        <w:tc>
          <w:tcPr>
            <w:tcW w:w="595" w:type="dxa"/>
            <w:tcBorders>
              <w:top w:val="nil"/>
              <w:left w:val="single" w:sz="4" w:space="0" w:color="auto"/>
              <w:bottom w:val="single" w:sz="4" w:space="0" w:color="auto"/>
              <w:right w:val="single" w:sz="8" w:space="0" w:color="auto"/>
            </w:tcBorders>
            <w:shd w:val="clear" w:color="000000" w:fill="33CCCC"/>
            <w:noWrap/>
            <w:vAlign w:val="bottom"/>
            <w:hideMark/>
          </w:tcPr>
          <w:p w14:paraId="78B51C34" w14:textId="77777777" w:rsidR="001752B7" w:rsidRPr="001752B7" w:rsidRDefault="001752B7" w:rsidP="001752B7">
            <w:pPr>
              <w:spacing w:after="0" w:line="240" w:lineRule="auto"/>
              <w:jc w:val="right"/>
              <w:rPr>
                <w:rFonts w:ascii="Calibri" w:eastAsia="Times New Roman" w:hAnsi="Calibri" w:cs="Calibri"/>
                <w:lang w:eastAsia="hr-HR"/>
              </w:rPr>
            </w:pPr>
            <w:r w:rsidRPr="001752B7">
              <w:rPr>
                <w:rFonts w:ascii="Calibri" w:eastAsia="Times New Roman" w:hAnsi="Calibri" w:cs="Calibri"/>
                <w:lang w:eastAsia="hr-HR"/>
              </w:rPr>
              <w:t>8</w:t>
            </w:r>
          </w:p>
        </w:tc>
        <w:tc>
          <w:tcPr>
            <w:tcW w:w="266" w:type="dxa"/>
            <w:gridSpan w:val="3"/>
            <w:vAlign w:val="center"/>
            <w:hideMark/>
          </w:tcPr>
          <w:p w14:paraId="5707F5D1" w14:textId="77777777" w:rsidR="001752B7" w:rsidRPr="001752B7" w:rsidRDefault="001752B7" w:rsidP="001752B7">
            <w:pPr>
              <w:spacing w:after="0" w:line="240" w:lineRule="auto"/>
              <w:rPr>
                <w:rFonts w:ascii="Times New Roman" w:eastAsia="Times New Roman" w:hAnsi="Times New Roman" w:cs="Times New Roman"/>
                <w:sz w:val="20"/>
                <w:szCs w:val="20"/>
                <w:lang w:eastAsia="hr-HR"/>
              </w:rPr>
            </w:pPr>
          </w:p>
        </w:tc>
      </w:tr>
      <w:tr w:rsidR="001752B7" w:rsidRPr="001752B7" w14:paraId="3D296845" w14:textId="77777777" w:rsidTr="000271A1">
        <w:trPr>
          <w:trHeight w:val="300"/>
        </w:trPr>
        <w:tc>
          <w:tcPr>
            <w:tcW w:w="1404" w:type="dxa"/>
            <w:tcBorders>
              <w:top w:val="single" w:sz="4" w:space="0" w:color="auto"/>
              <w:left w:val="single" w:sz="8" w:space="0" w:color="auto"/>
              <w:bottom w:val="single" w:sz="4" w:space="0" w:color="auto"/>
              <w:right w:val="single" w:sz="4" w:space="0" w:color="auto"/>
            </w:tcBorders>
            <w:shd w:val="clear" w:color="000000" w:fill="CCFFCC"/>
            <w:vAlign w:val="center"/>
            <w:hideMark/>
          </w:tcPr>
          <w:p w14:paraId="0CC2FE52" w14:textId="77777777" w:rsidR="001752B7" w:rsidRPr="001752B7" w:rsidRDefault="001752B7" w:rsidP="001752B7">
            <w:pPr>
              <w:spacing w:after="0" w:line="240" w:lineRule="auto"/>
              <w:rPr>
                <w:rFonts w:ascii="Calibri" w:eastAsia="Times New Roman" w:hAnsi="Calibri" w:cs="Calibri"/>
                <w:lang w:eastAsia="hr-HR"/>
              </w:rPr>
            </w:pPr>
            <w:r w:rsidRPr="001752B7">
              <w:rPr>
                <w:rFonts w:ascii="Calibri" w:eastAsia="Times New Roman" w:hAnsi="Calibri" w:cs="Calibri"/>
                <w:lang w:eastAsia="hr-HR"/>
              </w:rPr>
              <w:t>Socijalno podrijetlo</w:t>
            </w:r>
          </w:p>
        </w:tc>
        <w:tc>
          <w:tcPr>
            <w:tcW w:w="545" w:type="dxa"/>
            <w:tcBorders>
              <w:top w:val="nil"/>
              <w:left w:val="nil"/>
              <w:bottom w:val="single" w:sz="4" w:space="0" w:color="auto"/>
              <w:right w:val="single" w:sz="4" w:space="0" w:color="auto"/>
            </w:tcBorders>
            <w:shd w:val="clear" w:color="000000" w:fill="CCFFCC"/>
            <w:vAlign w:val="center"/>
            <w:hideMark/>
          </w:tcPr>
          <w:p w14:paraId="2FA34F68" w14:textId="77777777" w:rsidR="001752B7" w:rsidRPr="001752B7" w:rsidRDefault="001752B7" w:rsidP="001752B7">
            <w:pPr>
              <w:spacing w:after="0" w:line="240" w:lineRule="auto"/>
              <w:jc w:val="right"/>
              <w:rPr>
                <w:rFonts w:ascii="Calibri" w:eastAsia="Times New Roman" w:hAnsi="Calibri" w:cs="Calibri"/>
                <w:lang w:eastAsia="hr-HR"/>
              </w:rPr>
            </w:pPr>
            <w:r w:rsidRPr="001752B7">
              <w:rPr>
                <w:rFonts w:ascii="Calibri" w:eastAsia="Times New Roman" w:hAnsi="Calibri" w:cs="Calibri"/>
                <w:lang w:eastAsia="hr-HR"/>
              </w:rPr>
              <w:t> </w:t>
            </w:r>
          </w:p>
        </w:tc>
        <w:tc>
          <w:tcPr>
            <w:tcW w:w="573" w:type="dxa"/>
            <w:tcBorders>
              <w:top w:val="nil"/>
              <w:left w:val="nil"/>
              <w:bottom w:val="single" w:sz="4" w:space="0" w:color="auto"/>
              <w:right w:val="single" w:sz="4" w:space="0" w:color="auto"/>
            </w:tcBorders>
            <w:shd w:val="clear" w:color="000000" w:fill="FFCC99"/>
            <w:noWrap/>
            <w:vAlign w:val="bottom"/>
            <w:hideMark/>
          </w:tcPr>
          <w:p w14:paraId="272A046D" w14:textId="77777777" w:rsidR="001752B7" w:rsidRPr="001752B7" w:rsidRDefault="001752B7" w:rsidP="001752B7">
            <w:pPr>
              <w:spacing w:after="0" w:line="240" w:lineRule="auto"/>
              <w:jc w:val="right"/>
              <w:rPr>
                <w:rFonts w:ascii="Calibri" w:eastAsia="Times New Roman" w:hAnsi="Calibri" w:cs="Calibri"/>
                <w:lang w:eastAsia="hr-HR"/>
              </w:rPr>
            </w:pPr>
            <w:r w:rsidRPr="001752B7">
              <w:rPr>
                <w:rFonts w:ascii="Calibri" w:eastAsia="Times New Roman" w:hAnsi="Calibri" w:cs="Calibri"/>
                <w:lang w:eastAsia="hr-HR"/>
              </w:rPr>
              <w:t> </w:t>
            </w:r>
          </w:p>
        </w:tc>
        <w:tc>
          <w:tcPr>
            <w:tcW w:w="855" w:type="dxa"/>
            <w:tcBorders>
              <w:top w:val="nil"/>
              <w:left w:val="nil"/>
              <w:bottom w:val="single" w:sz="4" w:space="0" w:color="auto"/>
              <w:right w:val="single" w:sz="4" w:space="0" w:color="auto"/>
            </w:tcBorders>
            <w:shd w:val="clear" w:color="000000" w:fill="CCFFFF"/>
            <w:noWrap/>
            <w:vAlign w:val="bottom"/>
            <w:hideMark/>
          </w:tcPr>
          <w:p w14:paraId="11F8938E" w14:textId="77777777" w:rsidR="001752B7" w:rsidRPr="001752B7" w:rsidRDefault="001752B7" w:rsidP="001752B7">
            <w:pPr>
              <w:spacing w:after="0" w:line="240" w:lineRule="auto"/>
              <w:jc w:val="right"/>
              <w:rPr>
                <w:rFonts w:ascii="Calibri" w:eastAsia="Times New Roman" w:hAnsi="Calibri" w:cs="Calibri"/>
                <w:lang w:eastAsia="hr-HR"/>
              </w:rPr>
            </w:pPr>
            <w:r w:rsidRPr="001752B7">
              <w:rPr>
                <w:rFonts w:ascii="Calibri" w:eastAsia="Times New Roman" w:hAnsi="Calibri" w:cs="Calibri"/>
                <w:lang w:eastAsia="hr-HR"/>
              </w:rPr>
              <w:t> </w:t>
            </w:r>
          </w:p>
        </w:tc>
        <w:tc>
          <w:tcPr>
            <w:tcW w:w="638" w:type="dxa"/>
            <w:tcBorders>
              <w:top w:val="nil"/>
              <w:left w:val="nil"/>
              <w:bottom w:val="single" w:sz="4" w:space="0" w:color="auto"/>
              <w:right w:val="single" w:sz="4" w:space="0" w:color="auto"/>
            </w:tcBorders>
            <w:shd w:val="clear" w:color="000000" w:fill="CCFFFF"/>
            <w:noWrap/>
            <w:vAlign w:val="bottom"/>
            <w:hideMark/>
          </w:tcPr>
          <w:p w14:paraId="08416CC8" w14:textId="77777777" w:rsidR="001752B7" w:rsidRPr="001752B7" w:rsidRDefault="001752B7" w:rsidP="001752B7">
            <w:pPr>
              <w:spacing w:after="0" w:line="240" w:lineRule="auto"/>
              <w:jc w:val="right"/>
              <w:rPr>
                <w:rFonts w:ascii="Calibri" w:eastAsia="Times New Roman" w:hAnsi="Calibri" w:cs="Calibri"/>
                <w:lang w:eastAsia="hr-HR"/>
              </w:rPr>
            </w:pPr>
            <w:r w:rsidRPr="001752B7">
              <w:rPr>
                <w:rFonts w:ascii="Calibri" w:eastAsia="Times New Roman" w:hAnsi="Calibri" w:cs="Calibri"/>
                <w:lang w:eastAsia="hr-HR"/>
              </w:rPr>
              <w:t> </w:t>
            </w:r>
          </w:p>
        </w:tc>
        <w:tc>
          <w:tcPr>
            <w:tcW w:w="580" w:type="dxa"/>
            <w:tcBorders>
              <w:top w:val="nil"/>
              <w:left w:val="nil"/>
              <w:bottom w:val="single" w:sz="4" w:space="0" w:color="auto"/>
              <w:right w:val="single" w:sz="4" w:space="0" w:color="auto"/>
            </w:tcBorders>
            <w:shd w:val="clear" w:color="000000" w:fill="FFFF99"/>
            <w:noWrap/>
            <w:vAlign w:val="bottom"/>
            <w:hideMark/>
          </w:tcPr>
          <w:p w14:paraId="50F6DEFD" w14:textId="77777777" w:rsidR="001752B7" w:rsidRPr="001752B7" w:rsidRDefault="001752B7" w:rsidP="001752B7">
            <w:pPr>
              <w:spacing w:after="0" w:line="240" w:lineRule="auto"/>
              <w:jc w:val="right"/>
              <w:rPr>
                <w:rFonts w:ascii="Calibri" w:eastAsia="Times New Roman" w:hAnsi="Calibri" w:cs="Calibri"/>
                <w:lang w:eastAsia="hr-HR"/>
              </w:rPr>
            </w:pPr>
            <w:r w:rsidRPr="001752B7">
              <w:rPr>
                <w:rFonts w:ascii="Calibri" w:eastAsia="Times New Roman" w:hAnsi="Calibri" w:cs="Calibri"/>
                <w:lang w:eastAsia="hr-HR"/>
              </w:rPr>
              <w:t> </w:t>
            </w:r>
          </w:p>
        </w:tc>
        <w:tc>
          <w:tcPr>
            <w:tcW w:w="447" w:type="dxa"/>
            <w:tcBorders>
              <w:top w:val="nil"/>
              <w:left w:val="nil"/>
              <w:bottom w:val="single" w:sz="4" w:space="0" w:color="auto"/>
              <w:right w:val="single" w:sz="4" w:space="0" w:color="auto"/>
            </w:tcBorders>
            <w:shd w:val="clear" w:color="000000" w:fill="FFFF99"/>
            <w:noWrap/>
            <w:vAlign w:val="bottom"/>
            <w:hideMark/>
          </w:tcPr>
          <w:p w14:paraId="29D581CE" w14:textId="77777777" w:rsidR="001752B7" w:rsidRPr="001752B7" w:rsidRDefault="001752B7" w:rsidP="001752B7">
            <w:pPr>
              <w:spacing w:after="0" w:line="240" w:lineRule="auto"/>
              <w:jc w:val="right"/>
              <w:rPr>
                <w:rFonts w:ascii="Calibri" w:eastAsia="Times New Roman" w:hAnsi="Calibri" w:cs="Calibri"/>
                <w:lang w:eastAsia="hr-HR"/>
              </w:rPr>
            </w:pPr>
            <w:r w:rsidRPr="001752B7">
              <w:rPr>
                <w:rFonts w:ascii="Calibri" w:eastAsia="Times New Roman" w:hAnsi="Calibri" w:cs="Calibri"/>
                <w:lang w:eastAsia="hr-HR"/>
              </w:rPr>
              <w:t> </w:t>
            </w:r>
          </w:p>
        </w:tc>
        <w:tc>
          <w:tcPr>
            <w:tcW w:w="447" w:type="dxa"/>
            <w:tcBorders>
              <w:top w:val="nil"/>
              <w:left w:val="nil"/>
              <w:bottom w:val="single" w:sz="4" w:space="0" w:color="auto"/>
              <w:right w:val="single" w:sz="4" w:space="0" w:color="auto"/>
            </w:tcBorders>
            <w:shd w:val="clear" w:color="000000" w:fill="FFFF99"/>
            <w:noWrap/>
            <w:vAlign w:val="bottom"/>
            <w:hideMark/>
          </w:tcPr>
          <w:p w14:paraId="7EE172E8" w14:textId="77777777" w:rsidR="001752B7" w:rsidRPr="001752B7" w:rsidRDefault="001752B7" w:rsidP="001752B7">
            <w:pPr>
              <w:spacing w:after="0" w:line="240" w:lineRule="auto"/>
              <w:jc w:val="right"/>
              <w:rPr>
                <w:rFonts w:ascii="Calibri" w:eastAsia="Times New Roman" w:hAnsi="Calibri" w:cs="Calibri"/>
                <w:lang w:eastAsia="hr-HR"/>
              </w:rPr>
            </w:pPr>
            <w:r w:rsidRPr="001752B7">
              <w:rPr>
                <w:rFonts w:ascii="Calibri" w:eastAsia="Times New Roman" w:hAnsi="Calibri" w:cs="Calibri"/>
                <w:lang w:eastAsia="hr-HR"/>
              </w:rPr>
              <w:t> </w:t>
            </w:r>
          </w:p>
        </w:tc>
        <w:tc>
          <w:tcPr>
            <w:tcW w:w="447" w:type="dxa"/>
            <w:tcBorders>
              <w:top w:val="nil"/>
              <w:left w:val="nil"/>
              <w:bottom w:val="single" w:sz="4" w:space="0" w:color="auto"/>
              <w:right w:val="single" w:sz="4" w:space="0" w:color="auto"/>
            </w:tcBorders>
            <w:shd w:val="clear" w:color="000000" w:fill="FFFF99"/>
            <w:noWrap/>
            <w:vAlign w:val="bottom"/>
            <w:hideMark/>
          </w:tcPr>
          <w:p w14:paraId="2A021B87" w14:textId="77777777" w:rsidR="001752B7" w:rsidRPr="001752B7" w:rsidRDefault="001752B7" w:rsidP="001752B7">
            <w:pPr>
              <w:spacing w:after="0" w:line="240" w:lineRule="auto"/>
              <w:jc w:val="right"/>
              <w:rPr>
                <w:rFonts w:ascii="Calibri" w:eastAsia="Times New Roman" w:hAnsi="Calibri" w:cs="Calibri"/>
                <w:lang w:eastAsia="hr-HR"/>
              </w:rPr>
            </w:pPr>
            <w:r w:rsidRPr="001752B7">
              <w:rPr>
                <w:rFonts w:ascii="Calibri" w:eastAsia="Times New Roman" w:hAnsi="Calibri" w:cs="Calibri"/>
                <w:lang w:eastAsia="hr-HR"/>
              </w:rPr>
              <w:t> </w:t>
            </w:r>
          </w:p>
        </w:tc>
        <w:tc>
          <w:tcPr>
            <w:tcW w:w="447" w:type="dxa"/>
            <w:tcBorders>
              <w:top w:val="nil"/>
              <w:left w:val="nil"/>
              <w:bottom w:val="single" w:sz="4" w:space="0" w:color="auto"/>
              <w:right w:val="single" w:sz="4" w:space="0" w:color="auto"/>
            </w:tcBorders>
            <w:shd w:val="clear" w:color="000000" w:fill="FFFF99"/>
            <w:noWrap/>
            <w:vAlign w:val="bottom"/>
            <w:hideMark/>
          </w:tcPr>
          <w:p w14:paraId="2DE6DD97" w14:textId="77777777" w:rsidR="001752B7" w:rsidRPr="001752B7" w:rsidRDefault="001752B7" w:rsidP="001752B7">
            <w:pPr>
              <w:spacing w:after="0" w:line="240" w:lineRule="auto"/>
              <w:jc w:val="right"/>
              <w:rPr>
                <w:rFonts w:ascii="Calibri" w:eastAsia="Times New Roman" w:hAnsi="Calibri" w:cs="Calibri"/>
                <w:lang w:eastAsia="hr-HR"/>
              </w:rPr>
            </w:pPr>
            <w:r w:rsidRPr="001752B7">
              <w:rPr>
                <w:rFonts w:ascii="Calibri" w:eastAsia="Times New Roman" w:hAnsi="Calibri" w:cs="Calibri"/>
                <w:lang w:eastAsia="hr-HR"/>
              </w:rPr>
              <w:t> </w:t>
            </w:r>
          </w:p>
        </w:tc>
        <w:tc>
          <w:tcPr>
            <w:tcW w:w="572" w:type="dxa"/>
            <w:tcBorders>
              <w:top w:val="nil"/>
              <w:left w:val="nil"/>
              <w:bottom w:val="single" w:sz="4" w:space="0" w:color="auto"/>
              <w:right w:val="single" w:sz="4" w:space="0" w:color="auto"/>
            </w:tcBorders>
            <w:shd w:val="clear" w:color="000000" w:fill="FF9900"/>
            <w:noWrap/>
            <w:vAlign w:val="bottom"/>
            <w:hideMark/>
          </w:tcPr>
          <w:p w14:paraId="0CCFB1A4" w14:textId="77777777" w:rsidR="001752B7" w:rsidRPr="001752B7" w:rsidRDefault="001752B7" w:rsidP="001752B7">
            <w:pPr>
              <w:spacing w:after="0" w:line="240" w:lineRule="auto"/>
              <w:jc w:val="right"/>
              <w:rPr>
                <w:rFonts w:ascii="Calibri" w:eastAsia="Times New Roman" w:hAnsi="Calibri" w:cs="Calibri"/>
                <w:lang w:eastAsia="hr-HR"/>
              </w:rPr>
            </w:pPr>
            <w:r w:rsidRPr="001752B7">
              <w:rPr>
                <w:rFonts w:ascii="Calibri" w:eastAsia="Times New Roman" w:hAnsi="Calibri" w:cs="Calibri"/>
                <w:lang w:eastAsia="hr-HR"/>
              </w:rPr>
              <w:t> </w:t>
            </w:r>
          </w:p>
        </w:tc>
        <w:tc>
          <w:tcPr>
            <w:tcW w:w="467" w:type="dxa"/>
            <w:tcBorders>
              <w:top w:val="nil"/>
              <w:left w:val="nil"/>
              <w:bottom w:val="single" w:sz="4" w:space="0" w:color="auto"/>
              <w:right w:val="single" w:sz="4" w:space="0" w:color="auto"/>
            </w:tcBorders>
            <w:shd w:val="clear" w:color="000000" w:fill="FF9900"/>
            <w:noWrap/>
            <w:vAlign w:val="bottom"/>
            <w:hideMark/>
          </w:tcPr>
          <w:p w14:paraId="16DE9482" w14:textId="77777777" w:rsidR="001752B7" w:rsidRPr="001752B7" w:rsidRDefault="001752B7" w:rsidP="001752B7">
            <w:pPr>
              <w:spacing w:after="0" w:line="240" w:lineRule="auto"/>
              <w:jc w:val="right"/>
              <w:rPr>
                <w:rFonts w:ascii="Calibri" w:eastAsia="Times New Roman" w:hAnsi="Calibri" w:cs="Calibri"/>
                <w:lang w:eastAsia="hr-HR"/>
              </w:rPr>
            </w:pPr>
            <w:r w:rsidRPr="001752B7">
              <w:rPr>
                <w:rFonts w:ascii="Calibri" w:eastAsia="Times New Roman" w:hAnsi="Calibri" w:cs="Calibri"/>
                <w:lang w:eastAsia="hr-HR"/>
              </w:rPr>
              <w:t> </w:t>
            </w:r>
          </w:p>
        </w:tc>
        <w:tc>
          <w:tcPr>
            <w:tcW w:w="579" w:type="dxa"/>
            <w:tcBorders>
              <w:top w:val="nil"/>
              <w:left w:val="nil"/>
              <w:bottom w:val="single" w:sz="4" w:space="0" w:color="auto"/>
              <w:right w:val="single" w:sz="4" w:space="0" w:color="auto"/>
            </w:tcBorders>
            <w:shd w:val="clear" w:color="000000" w:fill="FF9900"/>
            <w:noWrap/>
            <w:vAlign w:val="bottom"/>
            <w:hideMark/>
          </w:tcPr>
          <w:p w14:paraId="73F3EDFB" w14:textId="77777777" w:rsidR="001752B7" w:rsidRPr="001752B7" w:rsidRDefault="001752B7" w:rsidP="001752B7">
            <w:pPr>
              <w:spacing w:after="0" w:line="240" w:lineRule="auto"/>
              <w:jc w:val="right"/>
              <w:rPr>
                <w:rFonts w:ascii="Calibri" w:eastAsia="Times New Roman" w:hAnsi="Calibri" w:cs="Calibri"/>
                <w:lang w:eastAsia="hr-HR"/>
              </w:rPr>
            </w:pPr>
            <w:r w:rsidRPr="001752B7">
              <w:rPr>
                <w:rFonts w:ascii="Calibri" w:eastAsia="Times New Roman" w:hAnsi="Calibri" w:cs="Calibri"/>
                <w:lang w:eastAsia="hr-HR"/>
              </w:rPr>
              <w:t> </w:t>
            </w:r>
          </w:p>
        </w:tc>
        <w:tc>
          <w:tcPr>
            <w:tcW w:w="447" w:type="dxa"/>
            <w:tcBorders>
              <w:top w:val="nil"/>
              <w:left w:val="nil"/>
              <w:bottom w:val="single" w:sz="4" w:space="0" w:color="auto"/>
              <w:right w:val="single" w:sz="4" w:space="0" w:color="auto"/>
            </w:tcBorders>
            <w:shd w:val="clear" w:color="000000" w:fill="66FFCC"/>
            <w:noWrap/>
            <w:vAlign w:val="bottom"/>
            <w:hideMark/>
          </w:tcPr>
          <w:p w14:paraId="6FFD9D35" w14:textId="77777777" w:rsidR="001752B7" w:rsidRPr="001752B7" w:rsidRDefault="001752B7" w:rsidP="001752B7">
            <w:pPr>
              <w:spacing w:after="0" w:line="240" w:lineRule="auto"/>
              <w:jc w:val="right"/>
              <w:rPr>
                <w:rFonts w:ascii="Calibri" w:eastAsia="Times New Roman" w:hAnsi="Calibri" w:cs="Calibri"/>
                <w:lang w:eastAsia="hr-HR"/>
              </w:rPr>
            </w:pPr>
            <w:r w:rsidRPr="001752B7">
              <w:rPr>
                <w:rFonts w:ascii="Calibri" w:eastAsia="Times New Roman" w:hAnsi="Calibri" w:cs="Calibri"/>
                <w:lang w:eastAsia="hr-HR"/>
              </w:rPr>
              <w:t> </w:t>
            </w:r>
          </w:p>
        </w:tc>
        <w:tc>
          <w:tcPr>
            <w:tcW w:w="447" w:type="dxa"/>
            <w:tcBorders>
              <w:top w:val="nil"/>
              <w:left w:val="nil"/>
              <w:bottom w:val="single" w:sz="4" w:space="0" w:color="auto"/>
              <w:right w:val="single" w:sz="4" w:space="0" w:color="auto"/>
            </w:tcBorders>
            <w:shd w:val="clear" w:color="000000" w:fill="66FFCC"/>
            <w:noWrap/>
            <w:vAlign w:val="bottom"/>
            <w:hideMark/>
          </w:tcPr>
          <w:p w14:paraId="6F84F12A" w14:textId="77777777" w:rsidR="001752B7" w:rsidRPr="001752B7" w:rsidRDefault="001752B7" w:rsidP="001752B7">
            <w:pPr>
              <w:spacing w:after="0" w:line="240" w:lineRule="auto"/>
              <w:jc w:val="right"/>
              <w:rPr>
                <w:rFonts w:ascii="Calibri" w:eastAsia="Times New Roman" w:hAnsi="Calibri" w:cs="Calibri"/>
                <w:lang w:eastAsia="hr-HR"/>
              </w:rPr>
            </w:pPr>
            <w:r w:rsidRPr="001752B7">
              <w:rPr>
                <w:rFonts w:ascii="Calibri" w:eastAsia="Times New Roman" w:hAnsi="Calibri" w:cs="Calibri"/>
                <w:lang w:eastAsia="hr-HR"/>
              </w:rPr>
              <w:t> </w:t>
            </w:r>
          </w:p>
        </w:tc>
        <w:tc>
          <w:tcPr>
            <w:tcW w:w="698" w:type="dxa"/>
            <w:tcBorders>
              <w:top w:val="nil"/>
              <w:left w:val="nil"/>
              <w:bottom w:val="single" w:sz="4" w:space="0" w:color="auto"/>
              <w:right w:val="single" w:sz="4" w:space="0" w:color="auto"/>
            </w:tcBorders>
            <w:shd w:val="clear" w:color="000000" w:fill="66FFCC"/>
            <w:noWrap/>
            <w:vAlign w:val="bottom"/>
            <w:hideMark/>
          </w:tcPr>
          <w:p w14:paraId="5A24BC49" w14:textId="77777777" w:rsidR="001752B7" w:rsidRPr="001752B7" w:rsidRDefault="001752B7" w:rsidP="001752B7">
            <w:pPr>
              <w:spacing w:after="0" w:line="240" w:lineRule="auto"/>
              <w:jc w:val="right"/>
              <w:rPr>
                <w:rFonts w:ascii="Calibri" w:eastAsia="Times New Roman" w:hAnsi="Calibri" w:cs="Calibri"/>
                <w:lang w:eastAsia="hr-HR"/>
              </w:rPr>
            </w:pPr>
            <w:r w:rsidRPr="001752B7">
              <w:rPr>
                <w:rFonts w:ascii="Calibri" w:eastAsia="Times New Roman" w:hAnsi="Calibri" w:cs="Calibri"/>
                <w:lang w:eastAsia="hr-HR"/>
              </w:rPr>
              <w:t> </w:t>
            </w:r>
          </w:p>
        </w:tc>
        <w:tc>
          <w:tcPr>
            <w:tcW w:w="447" w:type="dxa"/>
            <w:tcBorders>
              <w:top w:val="nil"/>
              <w:left w:val="nil"/>
              <w:bottom w:val="single" w:sz="4" w:space="0" w:color="auto"/>
              <w:right w:val="single" w:sz="4" w:space="0" w:color="auto"/>
            </w:tcBorders>
            <w:shd w:val="clear" w:color="000000" w:fill="66FFCC"/>
            <w:noWrap/>
            <w:vAlign w:val="bottom"/>
            <w:hideMark/>
          </w:tcPr>
          <w:p w14:paraId="4E58293D" w14:textId="77777777" w:rsidR="001752B7" w:rsidRPr="001752B7" w:rsidRDefault="001752B7" w:rsidP="001752B7">
            <w:pPr>
              <w:spacing w:after="0" w:line="240" w:lineRule="auto"/>
              <w:jc w:val="right"/>
              <w:rPr>
                <w:rFonts w:ascii="Calibri" w:eastAsia="Times New Roman" w:hAnsi="Calibri" w:cs="Calibri"/>
                <w:lang w:eastAsia="hr-HR"/>
              </w:rPr>
            </w:pPr>
            <w:r w:rsidRPr="001752B7">
              <w:rPr>
                <w:rFonts w:ascii="Calibri" w:eastAsia="Times New Roman" w:hAnsi="Calibri" w:cs="Calibri"/>
                <w:lang w:eastAsia="hr-HR"/>
              </w:rPr>
              <w:t> </w:t>
            </w:r>
          </w:p>
        </w:tc>
        <w:tc>
          <w:tcPr>
            <w:tcW w:w="652" w:type="dxa"/>
            <w:tcBorders>
              <w:top w:val="nil"/>
              <w:left w:val="nil"/>
              <w:bottom w:val="single" w:sz="4" w:space="0" w:color="auto"/>
              <w:right w:val="single" w:sz="4" w:space="0" w:color="auto"/>
            </w:tcBorders>
            <w:shd w:val="clear" w:color="000000" w:fill="FFFF00"/>
            <w:vAlign w:val="center"/>
            <w:hideMark/>
          </w:tcPr>
          <w:p w14:paraId="2732F881" w14:textId="77777777" w:rsidR="001752B7" w:rsidRPr="001752B7" w:rsidRDefault="001752B7" w:rsidP="001752B7">
            <w:pPr>
              <w:spacing w:after="0" w:line="240" w:lineRule="auto"/>
              <w:jc w:val="right"/>
              <w:rPr>
                <w:rFonts w:ascii="Calibri" w:eastAsia="Times New Roman" w:hAnsi="Calibri" w:cs="Calibri"/>
                <w:lang w:eastAsia="hr-HR"/>
              </w:rPr>
            </w:pPr>
            <w:r w:rsidRPr="001752B7">
              <w:rPr>
                <w:rFonts w:ascii="Calibri" w:eastAsia="Times New Roman" w:hAnsi="Calibri" w:cs="Calibri"/>
                <w:lang w:eastAsia="hr-HR"/>
              </w:rPr>
              <w:t> </w:t>
            </w:r>
          </w:p>
        </w:tc>
        <w:tc>
          <w:tcPr>
            <w:tcW w:w="614" w:type="dxa"/>
            <w:tcBorders>
              <w:top w:val="nil"/>
              <w:left w:val="nil"/>
              <w:bottom w:val="single" w:sz="4" w:space="0" w:color="auto"/>
              <w:right w:val="single" w:sz="4" w:space="0" w:color="auto"/>
            </w:tcBorders>
            <w:shd w:val="clear" w:color="000000" w:fill="FFFF99"/>
            <w:vAlign w:val="center"/>
            <w:hideMark/>
          </w:tcPr>
          <w:p w14:paraId="6974438E" w14:textId="77777777" w:rsidR="001752B7" w:rsidRPr="001752B7" w:rsidRDefault="001752B7" w:rsidP="001752B7">
            <w:pPr>
              <w:spacing w:after="0" w:line="240" w:lineRule="auto"/>
              <w:jc w:val="right"/>
              <w:rPr>
                <w:rFonts w:ascii="Calibri" w:eastAsia="Times New Roman" w:hAnsi="Calibri" w:cs="Calibri"/>
                <w:lang w:eastAsia="hr-HR"/>
              </w:rPr>
            </w:pPr>
            <w:r w:rsidRPr="001752B7">
              <w:rPr>
                <w:rFonts w:ascii="Calibri" w:eastAsia="Times New Roman" w:hAnsi="Calibri" w:cs="Calibri"/>
                <w:lang w:eastAsia="hr-HR"/>
              </w:rPr>
              <w:t> </w:t>
            </w:r>
          </w:p>
        </w:tc>
        <w:tc>
          <w:tcPr>
            <w:tcW w:w="519" w:type="dxa"/>
            <w:tcBorders>
              <w:top w:val="nil"/>
              <w:left w:val="nil"/>
              <w:bottom w:val="single" w:sz="4" w:space="0" w:color="auto"/>
              <w:right w:val="single" w:sz="4" w:space="0" w:color="auto"/>
            </w:tcBorders>
            <w:shd w:val="clear" w:color="000000" w:fill="FF9900"/>
            <w:vAlign w:val="center"/>
            <w:hideMark/>
          </w:tcPr>
          <w:p w14:paraId="2C507E7F" w14:textId="77777777" w:rsidR="001752B7" w:rsidRPr="001752B7" w:rsidRDefault="001752B7" w:rsidP="001752B7">
            <w:pPr>
              <w:spacing w:after="0" w:line="240" w:lineRule="auto"/>
              <w:jc w:val="right"/>
              <w:rPr>
                <w:rFonts w:ascii="Calibri" w:eastAsia="Times New Roman" w:hAnsi="Calibri" w:cs="Calibri"/>
                <w:lang w:eastAsia="hr-HR"/>
              </w:rPr>
            </w:pPr>
            <w:r w:rsidRPr="001752B7">
              <w:rPr>
                <w:rFonts w:ascii="Calibri" w:eastAsia="Times New Roman" w:hAnsi="Calibri" w:cs="Calibri"/>
                <w:lang w:eastAsia="hr-HR"/>
              </w:rPr>
              <w:t> </w:t>
            </w:r>
          </w:p>
        </w:tc>
        <w:tc>
          <w:tcPr>
            <w:tcW w:w="477" w:type="dxa"/>
            <w:tcBorders>
              <w:top w:val="nil"/>
              <w:left w:val="nil"/>
              <w:bottom w:val="single" w:sz="4" w:space="0" w:color="auto"/>
              <w:right w:val="single" w:sz="4" w:space="0" w:color="auto"/>
            </w:tcBorders>
            <w:shd w:val="clear" w:color="000000" w:fill="CCFFFF"/>
            <w:vAlign w:val="bottom"/>
            <w:hideMark/>
          </w:tcPr>
          <w:p w14:paraId="271194CC" w14:textId="77777777" w:rsidR="001752B7" w:rsidRPr="001752B7" w:rsidRDefault="001752B7" w:rsidP="001752B7">
            <w:pPr>
              <w:spacing w:after="0" w:line="240" w:lineRule="auto"/>
              <w:jc w:val="right"/>
              <w:rPr>
                <w:rFonts w:ascii="Calibri" w:eastAsia="Times New Roman" w:hAnsi="Calibri" w:cs="Calibri"/>
                <w:lang w:eastAsia="hr-HR"/>
              </w:rPr>
            </w:pPr>
            <w:r w:rsidRPr="001752B7">
              <w:rPr>
                <w:rFonts w:ascii="Calibri" w:eastAsia="Times New Roman" w:hAnsi="Calibri" w:cs="Calibri"/>
                <w:lang w:eastAsia="hr-HR"/>
              </w:rPr>
              <w:t> </w:t>
            </w:r>
          </w:p>
        </w:tc>
        <w:tc>
          <w:tcPr>
            <w:tcW w:w="506" w:type="dxa"/>
            <w:tcBorders>
              <w:top w:val="nil"/>
              <w:left w:val="nil"/>
              <w:bottom w:val="single" w:sz="4" w:space="0" w:color="auto"/>
              <w:right w:val="single" w:sz="4" w:space="0" w:color="auto"/>
            </w:tcBorders>
            <w:shd w:val="clear" w:color="000000" w:fill="CCFFFF"/>
            <w:vAlign w:val="bottom"/>
            <w:hideMark/>
          </w:tcPr>
          <w:p w14:paraId="68861499" w14:textId="77777777" w:rsidR="001752B7" w:rsidRPr="001752B7" w:rsidRDefault="001752B7" w:rsidP="001752B7">
            <w:pPr>
              <w:spacing w:after="0" w:line="240" w:lineRule="auto"/>
              <w:jc w:val="right"/>
              <w:rPr>
                <w:rFonts w:ascii="Calibri" w:eastAsia="Times New Roman" w:hAnsi="Calibri" w:cs="Calibri"/>
                <w:lang w:eastAsia="hr-HR"/>
              </w:rPr>
            </w:pPr>
            <w:r w:rsidRPr="001752B7">
              <w:rPr>
                <w:rFonts w:ascii="Calibri" w:eastAsia="Times New Roman" w:hAnsi="Calibri" w:cs="Calibri"/>
                <w:lang w:eastAsia="hr-HR"/>
              </w:rPr>
              <w:t> </w:t>
            </w:r>
          </w:p>
        </w:tc>
        <w:tc>
          <w:tcPr>
            <w:tcW w:w="485" w:type="dxa"/>
            <w:tcBorders>
              <w:top w:val="nil"/>
              <w:left w:val="nil"/>
              <w:bottom w:val="single" w:sz="4" w:space="0" w:color="auto"/>
              <w:right w:val="single" w:sz="4" w:space="0" w:color="auto"/>
            </w:tcBorders>
            <w:shd w:val="clear" w:color="000000" w:fill="CCFFFF"/>
            <w:vAlign w:val="bottom"/>
            <w:hideMark/>
          </w:tcPr>
          <w:p w14:paraId="7AD11E26" w14:textId="77777777" w:rsidR="001752B7" w:rsidRPr="001752B7" w:rsidRDefault="001752B7" w:rsidP="001752B7">
            <w:pPr>
              <w:spacing w:after="0" w:line="240" w:lineRule="auto"/>
              <w:jc w:val="right"/>
              <w:rPr>
                <w:rFonts w:ascii="Calibri" w:eastAsia="Times New Roman" w:hAnsi="Calibri" w:cs="Calibri"/>
                <w:lang w:eastAsia="hr-HR"/>
              </w:rPr>
            </w:pPr>
            <w:r w:rsidRPr="001752B7">
              <w:rPr>
                <w:rFonts w:ascii="Calibri" w:eastAsia="Times New Roman" w:hAnsi="Calibri" w:cs="Calibri"/>
                <w:lang w:eastAsia="hr-HR"/>
              </w:rPr>
              <w:t> </w:t>
            </w:r>
          </w:p>
        </w:tc>
        <w:tc>
          <w:tcPr>
            <w:tcW w:w="561" w:type="dxa"/>
            <w:tcBorders>
              <w:top w:val="nil"/>
              <w:left w:val="nil"/>
              <w:bottom w:val="single" w:sz="4" w:space="0" w:color="auto"/>
              <w:right w:val="nil"/>
            </w:tcBorders>
            <w:shd w:val="clear" w:color="000000" w:fill="33CCCC"/>
            <w:noWrap/>
            <w:vAlign w:val="bottom"/>
            <w:hideMark/>
          </w:tcPr>
          <w:p w14:paraId="437E9F93" w14:textId="77777777" w:rsidR="001752B7" w:rsidRPr="001752B7" w:rsidRDefault="001752B7" w:rsidP="001752B7">
            <w:pPr>
              <w:spacing w:after="0" w:line="240" w:lineRule="auto"/>
              <w:jc w:val="right"/>
              <w:rPr>
                <w:rFonts w:ascii="Calibri" w:eastAsia="Times New Roman" w:hAnsi="Calibri" w:cs="Calibri"/>
                <w:lang w:eastAsia="hr-HR"/>
              </w:rPr>
            </w:pPr>
            <w:r w:rsidRPr="001752B7">
              <w:rPr>
                <w:rFonts w:ascii="Calibri" w:eastAsia="Times New Roman" w:hAnsi="Calibri" w:cs="Calibri"/>
                <w:lang w:eastAsia="hr-HR"/>
              </w:rPr>
              <w:t> </w:t>
            </w:r>
          </w:p>
        </w:tc>
        <w:tc>
          <w:tcPr>
            <w:tcW w:w="595" w:type="dxa"/>
            <w:tcBorders>
              <w:top w:val="nil"/>
              <w:left w:val="single" w:sz="4" w:space="0" w:color="auto"/>
              <w:bottom w:val="single" w:sz="4" w:space="0" w:color="auto"/>
              <w:right w:val="single" w:sz="8" w:space="0" w:color="auto"/>
            </w:tcBorders>
            <w:shd w:val="clear" w:color="000000" w:fill="33CCCC"/>
            <w:noWrap/>
            <w:vAlign w:val="bottom"/>
            <w:hideMark/>
          </w:tcPr>
          <w:p w14:paraId="6BBCA956" w14:textId="77777777" w:rsidR="001752B7" w:rsidRPr="001752B7" w:rsidRDefault="001752B7" w:rsidP="001752B7">
            <w:pPr>
              <w:spacing w:after="0" w:line="240" w:lineRule="auto"/>
              <w:jc w:val="right"/>
              <w:rPr>
                <w:rFonts w:ascii="Calibri" w:eastAsia="Times New Roman" w:hAnsi="Calibri" w:cs="Calibri"/>
                <w:lang w:eastAsia="hr-HR"/>
              </w:rPr>
            </w:pPr>
            <w:r w:rsidRPr="001752B7">
              <w:rPr>
                <w:rFonts w:ascii="Calibri" w:eastAsia="Times New Roman" w:hAnsi="Calibri" w:cs="Calibri"/>
                <w:lang w:eastAsia="hr-HR"/>
              </w:rPr>
              <w:t> </w:t>
            </w:r>
          </w:p>
        </w:tc>
        <w:tc>
          <w:tcPr>
            <w:tcW w:w="266" w:type="dxa"/>
            <w:gridSpan w:val="3"/>
            <w:vAlign w:val="center"/>
            <w:hideMark/>
          </w:tcPr>
          <w:p w14:paraId="3FB92767" w14:textId="77777777" w:rsidR="001752B7" w:rsidRPr="001752B7" w:rsidRDefault="001752B7" w:rsidP="001752B7">
            <w:pPr>
              <w:spacing w:after="0" w:line="240" w:lineRule="auto"/>
              <w:rPr>
                <w:rFonts w:ascii="Times New Roman" w:eastAsia="Times New Roman" w:hAnsi="Times New Roman" w:cs="Times New Roman"/>
                <w:sz w:val="20"/>
                <w:szCs w:val="20"/>
                <w:lang w:eastAsia="hr-HR"/>
              </w:rPr>
            </w:pPr>
          </w:p>
        </w:tc>
      </w:tr>
      <w:tr w:rsidR="001752B7" w:rsidRPr="001752B7" w14:paraId="468B996B" w14:textId="77777777" w:rsidTr="000271A1">
        <w:trPr>
          <w:trHeight w:val="300"/>
        </w:trPr>
        <w:tc>
          <w:tcPr>
            <w:tcW w:w="1404" w:type="dxa"/>
            <w:tcBorders>
              <w:top w:val="single" w:sz="4" w:space="0" w:color="auto"/>
              <w:left w:val="single" w:sz="8" w:space="0" w:color="auto"/>
              <w:bottom w:val="single" w:sz="4" w:space="0" w:color="auto"/>
              <w:right w:val="single" w:sz="4" w:space="0" w:color="auto"/>
            </w:tcBorders>
            <w:shd w:val="clear" w:color="000000" w:fill="CCFFCC"/>
            <w:vAlign w:val="center"/>
            <w:hideMark/>
          </w:tcPr>
          <w:p w14:paraId="7891EE56" w14:textId="77777777" w:rsidR="001752B7" w:rsidRPr="001752B7" w:rsidRDefault="001752B7" w:rsidP="001752B7">
            <w:pPr>
              <w:spacing w:after="0" w:line="240" w:lineRule="auto"/>
              <w:rPr>
                <w:rFonts w:ascii="Calibri" w:eastAsia="Times New Roman" w:hAnsi="Calibri" w:cs="Calibri"/>
                <w:lang w:eastAsia="hr-HR"/>
              </w:rPr>
            </w:pPr>
            <w:r w:rsidRPr="001752B7">
              <w:rPr>
                <w:rFonts w:ascii="Calibri" w:eastAsia="Times New Roman" w:hAnsi="Calibri" w:cs="Calibri"/>
                <w:lang w:eastAsia="hr-HR"/>
              </w:rPr>
              <w:t>Imovno stanje</w:t>
            </w:r>
          </w:p>
        </w:tc>
        <w:tc>
          <w:tcPr>
            <w:tcW w:w="545" w:type="dxa"/>
            <w:tcBorders>
              <w:top w:val="nil"/>
              <w:left w:val="nil"/>
              <w:bottom w:val="single" w:sz="4" w:space="0" w:color="auto"/>
              <w:right w:val="single" w:sz="4" w:space="0" w:color="auto"/>
            </w:tcBorders>
            <w:shd w:val="clear" w:color="000000" w:fill="CCFFCC"/>
            <w:vAlign w:val="center"/>
            <w:hideMark/>
          </w:tcPr>
          <w:p w14:paraId="11716031" w14:textId="77777777" w:rsidR="001752B7" w:rsidRPr="001752B7" w:rsidRDefault="001752B7" w:rsidP="001752B7">
            <w:pPr>
              <w:spacing w:after="0" w:line="240" w:lineRule="auto"/>
              <w:jc w:val="right"/>
              <w:rPr>
                <w:rFonts w:ascii="Calibri" w:eastAsia="Times New Roman" w:hAnsi="Calibri" w:cs="Calibri"/>
                <w:lang w:eastAsia="hr-HR"/>
              </w:rPr>
            </w:pPr>
            <w:r w:rsidRPr="001752B7">
              <w:rPr>
                <w:rFonts w:ascii="Calibri" w:eastAsia="Times New Roman" w:hAnsi="Calibri" w:cs="Calibri"/>
                <w:lang w:eastAsia="hr-HR"/>
              </w:rPr>
              <w:t> </w:t>
            </w:r>
          </w:p>
        </w:tc>
        <w:tc>
          <w:tcPr>
            <w:tcW w:w="573" w:type="dxa"/>
            <w:tcBorders>
              <w:top w:val="nil"/>
              <w:left w:val="nil"/>
              <w:bottom w:val="single" w:sz="4" w:space="0" w:color="auto"/>
              <w:right w:val="single" w:sz="4" w:space="0" w:color="auto"/>
            </w:tcBorders>
            <w:shd w:val="clear" w:color="000000" w:fill="FFCC99"/>
            <w:noWrap/>
            <w:vAlign w:val="bottom"/>
            <w:hideMark/>
          </w:tcPr>
          <w:p w14:paraId="4583F086" w14:textId="77777777" w:rsidR="001752B7" w:rsidRPr="001752B7" w:rsidRDefault="001752B7" w:rsidP="001752B7">
            <w:pPr>
              <w:spacing w:after="0" w:line="240" w:lineRule="auto"/>
              <w:jc w:val="right"/>
              <w:rPr>
                <w:rFonts w:ascii="Calibri" w:eastAsia="Times New Roman" w:hAnsi="Calibri" w:cs="Calibri"/>
                <w:lang w:eastAsia="hr-HR"/>
              </w:rPr>
            </w:pPr>
            <w:r w:rsidRPr="001752B7">
              <w:rPr>
                <w:rFonts w:ascii="Calibri" w:eastAsia="Times New Roman" w:hAnsi="Calibri" w:cs="Calibri"/>
                <w:lang w:eastAsia="hr-HR"/>
              </w:rPr>
              <w:t> </w:t>
            </w:r>
          </w:p>
        </w:tc>
        <w:tc>
          <w:tcPr>
            <w:tcW w:w="855" w:type="dxa"/>
            <w:tcBorders>
              <w:top w:val="nil"/>
              <w:left w:val="nil"/>
              <w:bottom w:val="single" w:sz="4" w:space="0" w:color="auto"/>
              <w:right w:val="single" w:sz="4" w:space="0" w:color="auto"/>
            </w:tcBorders>
            <w:shd w:val="clear" w:color="000000" w:fill="CCFFFF"/>
            <w:noWrap/>
            <w:vAlign w:val="bottom"/>
            <w:hideMark/>
          </w:tcPr>
          <w:p w14:paraId="71AF0B69" w14:textId="77777777" w:rsidR="001752B7" w:rsidRPr="001752B7" w:rsidRDefault="001752B7" w:rsidP="001752B7">
            <w:pPr>
              <w:spacing w:after="0" w:line="240" w:lineRule="auto"/>
              <w:jc w:val="right"/>
              <w:rPr>
                <w:rFonts w:ascii="Calibri" w:eastAsia="Times New Roman" w:hAnsi="Calibri" w:cs="Calibri"/>
                <w:lang w:eastAsia="hr-HR"/>
              </w:rPr>
            </w:pPr>
            <w:r w:rsidRPr="001752B7">
              <w:rPr>
                <w:rFonts w:ascii="Calibri" w:eastAsia="Times New Roman" w:hAnsi="Calibri" w:cs="Calibri"/>
                <w:lang w:eastAsia="hr-HR"/>
              </w:rPr>
              <w:t> </w:t>
            </w:r>
          </w:p>
        </w:tc>
        <w:tc>
          <w:tcPr>
            <w:tcW w:w="638" w:type="dxa"/>
            <w:tcBorders>
              <w:top w:val="nil"/>
              <w:left w:val="nil"/>
              <w:bottom w:val="single" w:sz="4" w:space="0" w:color="auto"/>
              <w:right w:val="single" w:sz="4" w:space="0" w:color="auto"/>
            </w:tcBorders>
            <w:shd w:val="clear" w:color="000000" w:fill="CCFFFF"/>
            <w:noWrap/>
            <w:vAlign w:val="bottom"/>
            <w:hideMark/>
          </w:tcPr>
          <w:p w14:paraId="6355A6F7" w14:textId="77777777" w:rsidR="001752B7" w:rsidRPr="001752B7" w:rsidRDefault="001752B7" w:rsidP="001752B7">
            <w:pPr>
              <w:spacing w:after="0" w:line="240" w:lineRule="auto"/>
              <w:jc w:val="right"/>
              <w:rPr>
                <w:rFonts w:ascii="Calibri" w:eastAsia="Times New Roman" w:hAnsi="Calibri" w:cs="Calibri"/>
                <w:lang w:eastAsia="hr-HR"/>
              </w:rPr>
            </w:pPr>
            <w:r w:rsidRPr="001752B7">
              <w:rPr>
                <w:rFonts w:ascii="Calibri" w:eastAsia="Times New Roman" w:hAnsi="Calibri" w:cs="Calibri"/>
                <w:lang w:eastAsia="hr-HR"/>
              </w:rPr>
              <w:t> </w:t>
            </w:r>
          </w:p>
        </w:tc>
        <w:tc>
          <w:tcPr>
            <w:tcW w:w="580" w:type="dxa"/>
            <w:tcBorders>
              <w:top w:val="nil"/>
              <w:left w:val="nil"/>
              <w:bottom w:val="single" w:sz="4" w:space="0" w:color="auto"/>
              <w:right w:val="single" w:sz="4" w:space="0" w:color="auto"/>
            </w:tcBorders>
            <w:shd w:val="clear" w:color="000000" w:fill="FFFF99"/>
            <w:noWrap/>
            <w:vAlign w:val="bottom"/>
            <w:hideMark/>
          </w:tcPr>
          <w:p w14:paraId="67F33A41" w14:textId="77777777" w:rsidR="001752B7" w:rsidRPr="001752B7" w:rsidRDefault="001752B7" w:rsidP="001752B7">
            <w:pPr>
              <w:spacing w:after="0" w:line="240" w:lineRule="auto"/>
              <w:jc w:val="right"/>
              <w:rPr>
                <w:rFonts w:ascii="Calibri" w:eastAsia="Times New Roman" w:hAnsi="Calibri" w:cs="Calibri"/>
                <w:lang w:eastAsia="hr-HR"/>
              </w:rPr>
            </w:pPr>
            <w:r w:rsidRPr="001752B7">
              <w:rPr>
                <w:rFonts w:ascii="Calibri" w:eastAsia="Times New Roman" w:hAnsi="Calibri" w:cs="Calibri"/>
                <w:lang w:eastAsia="hr-HR"/>
              </w:rPr>
              <w:t> </w:t>
            </w:r>
          </w:p>
        </w:tc>
        <w:tc>
          <w:tcPr>
            <w:tcW w:w="447" w:type="dxa"/>
            <w:tcBorders>
              <w:top w:val="nil"/>
              <w:left w:val="nil"/>
              <w:bottom w:val="single" w:sz="4" w:space="0" w:color="auto"/>
              <w:right w:val="single" w:sz="4" w:space="0" w:color="auto"/>
            </w:tcBorders>
            <w:shd w:val="clear" w:color="000000" w:fill="FFFF99"/>
            <w:noWrap/>
            <w:vAlign w:val="bottom"/>
            <w:hideMark/>
          </w:tcPr>
          <w:p w14:paraId="790EB85C" w14:textId="77777777" w:rsidR="001752B7" w:rsidRPr="001752B7" w:rsidRDefault="001752B7" w:rsidP="001752B7">
            <w:pPr>
              <w:spacing w:after="0" w:line="240" w:lineRule="auto"/>
              <w:jc w:val="right"/>
              <w:rPr>
                <w:rFonts w:ascii="Calibri" w:eastAsia="Times New Roman" w:hAnsi="Calibri" w:cs="Calibri"/>
                <w:lang w:eastAsia="hr-HR"/>
              </w:rPr>
            </w:pPr>
            <w:r w:rsidRPr="001752B7">
              <w:rPr>
                <w:rFonts w:ascii="Calibri" w:eastAsia="Times New Roman" w:hAnsi="Calibri" w:cs="Calibri"/>
                <w:lang w:eastAsia="hr-HR"/>
              </w:rPr>
              <w:t> </w:t>
            </w:r>
          </w:p>
        </w:tc>
        <w:tc>
          <w:tcPr>
            <w:tcW w:w="447" w:type="dxa"/>
            <w:tcBorders>
              <w:top w:val="nil"/>
              <w:left w:val="nil"/>
              <w:bottom w:val="single" w:sz="4" w:space="0" w:color="auto"/>
              <w:right w:val="single" w:sz="4" w:space="0" w:color="auto"/>
            </w:tcBorders>
            <w:shd w:val="clear" w:color="000000" w:fill="FFFF99"/>
            <w:noWrap/>
            <w:vAlign w:val="bottom"/>
            <w:hideMark/>
          </w:tcPr>
          <w:p w14:paraId="44C39F14" w14:textId="77777777" w:rsidR="001752B7" w:rsidRPr="001752B7" w:rsidRDefault="001752B7" w:rsidP="001752B7">
            <w:pPr>
              <w:spacing w:after="0" w:line="240" w:lineRule="auto"/>
              <w:jc w:val="right"/>
              <w:rPr>
                <w:rFonts w:ascii="Calibri" w:eastAsia="Times New Roman" w:hAnsi="Calibri" w:cs="Calibri"/>
                <w:lang w:eastAsia="hr-HR"/>
              </w:rPr>
            </w:pPr>
            <w:r w:rsidRPr="001752B7">
              <w:rPr>
                <w:rFonts w:ascii="Calibri" w:eastAsia="Times New Roman" w:hAnsi="Calibri" w:cs="Calibri"/>
                <w:lang w:eastAsia="hr-HR"/>
              </w:rPr>
              <w:t> </w:t>
            </w:r>
          </w:p>
        </w:tc>
        <w:tc>
          <w:tcPr>
            <w:tcW w:w="447" w:type="dxa"/>
            <w:tcBorders>
              <w:top w:val="nil"/>
              <w:left w:val="nil"/>
              <w:bottom w:val="single" w:sz="4" w:space="0" w:color="auto"/>
              <w:right w:val="single" w:sz="4" w:space="0" w:color="auto"/>
            </w:tcBorders>
            <w:shd w:val="clear" w:color="000000" w:fill="FFFF99"/>
            <w:noWrap/>
            <w:vAlign w:val="bottom"/>
            <w:hideMark/>
          </w:tcPr>
          <w:p w14:paraId="1FBA8D45" w14:textId="77777777" w:rsidR="001752B7" w:rsidRPr="001752B7" w:rsidRDefault="001752B7" w:rsidP="001752B7">
            <w:pPr>
              <w:spacing w:after="0" w:line="240" w:lineRule="auto"/>
              <w:jc w:val="right"/>
              <w:rPr>
                <w:rFonts w:ascii="Calibri" w:eastAsia="Times New Roman" w:hAnsi="Calibri" w:cs="Calibri"/>
                <w:lang w:eastAsia="hr-HR"/>
              </w:rPr>
            </w:pPr>
            <w:r w:rsidRPr="001752B7">
              <w:rPr>
                <w:rFonts w:ascii="Calibri" w:eastAsia="Times New Roman" w:hAnsi="Calibri" w:cs="Calibri"/>
                <w:lang w:eastAsia="hr-HR"/>
              </w:rPr>
              <w:t> </w:t>
            </w:r>
          </w:p>
        </w:tc>
        <w:tc>
          <w:tcPr>
            <w:tcW w:w="447" w:type="dxa"/>
            <w:tcBorders>
              <w:top w:val="nil"/>
              <w:left w:val="nil"/>
              <w:bottom w:val="single" w:sz="4" w:space="0" w:color="auto"/>
              <w:right w:val="single" w:sz="4" w:space="0" w:color="auto"/>
            </w:tcBorders>
            <w:shd w:val="clear" w:color="000000" w:fill="FFFF99"/>
            <w:noWrap/>
            <w:vAlign w:val="bottom"/>
            <w:hideMark/>
          </w:tcPr>
          <w:p w14:paraId="52CA6316" w14:textId="77777777" w:rsidR="001752B7" w:rsidRPr="001752B7" w:rsidRDefault="001752B7" w:rsidP="001752B7">
            <w:pPr>
              <w:spacing w:after="0" w:line="240" w:lineRule="auto"/>
              <w:jc w:val="right"/>
              <w:rPr>
                <w:rFonts w:ascii="Calibri" w:eastAsia="Times New Roman" w:hAnsi="Calibri" w:cs="Calibri"/>
                <w:lang w:eastAsia="hr-HR"/>
              </w:rPr>
            </w:pPr>
            <w:r w:rsidRPr="001752B7">
              <w:rPr>
                <w:rFonts w:ascii="Calibri" w:eastAsia="Times New Roman" w:hAnsi="Calibri" w:cs="Calibri"/>
                <w:lang w:eastAsia="hr-HR"/>
              </w:rPr>
              <w:t> </w:t>
            </w:r>
          </w:p>
        </w:tc>
        <w:tc>
          <w:tcPr>
            <w:tcW w:w="572" w:type="dxa"/>
            <w:tcBorders>
              <w:top w:val="nil"/>
              <w:left w:val="nil"/>
              <w:bottom w:val="single" w:sz="4" w:space="0" w:color="auto"/>
              <w:right w:val="single" w:sz="4" w:space="0" w:color="auto"/>
            </w:tcBorders>
            <w:shd w:val="clear" w:color="000000" w:fill="FF9900"/>
            <w:noWrap/>
            <w:vAlign w:val="bottom"/>
            <w:hideMark/>
          </w:tcPr>
          <w:p w14:paraId="394826B9" w14:textId="77777777" w:rsidR="001752B7" w:rsidRPr="001752B7" w:rsidRDefault="001752B7" w:rsidP="001752B7">
            <w:pPr>
              <w:spacing w:after="0" w:line="240" w:lineRule="auto"/>
              <w:jc w:val="right"/>
              <w:rPr>
                <w:rFonts w:ascii="Calibri" w:eastAsia="Times New Roman" w:hAnsi="Calibri" w:cs="Calibri"/>
                <w:lang w:eastAsia="hr-HR"/>
              </w:rPr>
            </w:pPr>
            <w:r w:rsidRPr="001752B7">
              <w:rPr>
                <w:rFonts w:ascii="Calibri" w:eastAsia="Times New Roman" w:hAnsi="Calibri" w:cs="Calibri"/>
                <w:lang w:eastAsia="hr-HR"/>
              </w:rPr>
              <w:t> </w:t>
            </w:r>
          </w:p>
        </w:tc>
        <w:tc>
          <w:tcPr>
            <w:tcW w:w="467" w:type="dxa"/>
            <w:tcBorders>
              <w:top w:val="nil"/>
              <w:left w:val="nil"/>
              <w:bottom w:val="single" w:sz="4" w:space="0" w:color="auto"/>
              <w:right w:val="single" w:sz="4" w:space="0" w:color="auto"/>
            </w:tcBorders>
            <w:shd w:val="clear" w:color="000000" w:fill="FF9900"/>
            <w:noWrap/>
            <w:vAlign w:val="bottom"/>
            <w:hideMark/>
          </w:tcPr>
          <w:p w14:paraId="200257FB" w14:textId="77777777" w:rsidR="001752B7" w:rsidRPr="001752B7" w:rsidRDefault="001752B7" w:rsidP="001752B7">
            <w:pPr>
              <w:spacing w:after="0" w:line="240" w:lineRule="auto"/>
              <w:jc w:val="right"/>
              <w:rPr>
                <w:rFonts w:ascii="Calibri" w:eastAsia="Times New Roman" w:hAnsi="Calibri" w:cs="Calibri"/>
                <w:lang w:eastAsia="hr-HR"/>
              </w:rPr>
            </w:pPr>
            <w:r w:rsidRPr="001752B7">
              <w:rPr>
                <w:rFonts w:ascii="Calibri" w:eastAsia="Times New Roman" w:hAnsi="Calibri" w:cs="Calibri"/>
                <w:lang w:eastAsia="hr-HR"/>
              </w:rPr>
              <w:t> </w:t>
            </w:r>
          </w:p>
        </w:tc>
        <w:tc>
          <w:tcPr>
            <w:tcW w:w="579" w:type="dxa"/>
            <w:tcBorders>
              <w:top w:val="nil"/>
              <w:left w:val="nil"/>
              <w:bottom w:val="single" w:sz="4" w:space="0" w:color="auto"/>
              <w:right w:val="single" w:sz="4" w:space="0" w:color="auto"/>
            </w:tcBorders>
            <w:shd w:val="clear" w:color="000000" w:fill="FF9900"/>
            <w:noWrap/>
            <w:vAlign w:val="bottom"/>
            <w:hideMark/>
          </w:tcPr>
          <w:p w14:paraId="14F60AAF" w14:textId="77777777" w:rsidR="001752B7" w:rsidRPr="001752B7" w:rsidRDefault="001752B7" w:rsidP="001752B7">
            <w:pPr>
              <w:spacing w:after="0" w:line="240" w:lineRule="auto"/>
              <w:jc w:val="right"/>
              <w:rPr>
                <w:rFonts w:ascii="Calibri" w:eastAsia="Times New Roman" w:hAnsi="Calibri" w:cs="Calibri"/>
                <w:lang w:eastAsia="hr-HR"/>
              </w:rPr>
            </w:pPr>
            <w:r w:rsidRPr="001752B7">
              <w:rPr>
                <w:rFonts w:ascii="Calibri" w:eastAsia="Times New Roman" w:hAnsi="Calibri" w:cs="Calibri"/>
                <w:lang w:eastAsia="hr-HR"/>
              </w:rPr>
              <w:t> </w:t>
            </w:r>
          </w:p>
        </w:tc>
        <w:tc>
          <w:tcPr>
            <w:tcW w:w="447" w:type="dxa"/>
            <w:tcBorders>
              <w:top w:val="nil"/>
              <w:left w:val="nil"/>
              <w:bottom w:val="single" w:sz="4" w:space="0" w:color="auto"/>
              <w:right w:val="single" w:sz="4" w:space="0" w:color="auto"/>
            </w:tcBorders>
            <w:shd w:val="clear" w:color="000000" w:fill="66FFCC"/>
            <w:noWrap/>
            <w:vAlign w:val="bottom"/>
            <w:hideMark/>
          </w:tcPr>
          <w:p w14:paraId="3E048E87" w14:textId="77777777" w:rsidR="001752B7" w:rsidRPr="001752B7" w:rsidRDefault="001752B7" w:rsidP="001752B7">
            <w:pPr>
              <w:spacing w:after="0" w:line="240" w:lineRule="auto"/>
              <w:jc w:val="right"/>
              <w:rPr>
                <w:rFonts w:ascii="Calibri" w:eastAsia="Times New Roman" w:hAnsi="Calibri" w:cs="Calibri"/>
                <w:lang w:eastAsia="hr-HR"/>
              </w:rPr>
            </w:pPr>
            <w:r w:rsidRPr="001752B7">
              <w:rPr>
                <w:rFonts w:ascii="Calibri" w:eastAsia="Times New Roman" w:hAnsi="Calibri" w:cs="Calibri"/>
                <w:lang w:eastAsia="hr-HR"/>
              </w:rPr>
              <w:t> </w:t>
            </w:r>
          </w:p>
        </w:tc>
        <w:tc>
          <w:tcPr>
            <w:tcW w:w="447" w:type="dxa"/>
            <w:tcBorders>
              <w:top w:val="nil"/>
              <w:left w:val="nil"/>
              <w:bottom w:val="single" w:sz="4" w:space="0" w:color="auto"/>
              <w:right w:val="single" w:sz="4" w:space="0" w:color="auto"/>
            </w:tcBorders>
            <w:shd w:val="clear" w:color="000000" w:fill="66FFCC"/>
            <w:noWrap/>
            <w:vAlign w:val="bottom"/>
            <w:hideMark/>
          </w:tcPr>
          <w:p w14:paraId="4FDC984D" w14:textId="77777777" w:rsidR="001752B7" w:rsidRPr="001752B7" w:rsidRDefault="001752B7" w:rsidP="001752B7">
            <w:pPr>
              <w:spacing w:after="0" w:line="240" w:lineRule="auto"/>
              <w:jc w:val="right"/>
              <w:rPr>
                <w:rFonts w:ascii="Calibri" w:eastAsia="Times New Roman" w:hAnsi="Calibri" w:cs="Calibri"/>
                <w:lang w:eastAsia="hr-HR"/>
              </w:rPr>
            </w:pPr>
            <w:r w:rsidRPr="001752B7">
              <w:rPr>
                <w:rFonts w:ascii="Calibri" w:eastAsia="Times New Roman" w:hAnsi="Calibri" w:cs="Calibri"/>
                <w:lang w:eastAsia="hr-HR"/>
              </w:rPr>
              <w:t> </w:t>
            </w:r>
          </w:p>
        </w:tc>
        <w:tc>
          <w:tcPr>
            <w:tcW w:w="698" w:type="dxa"/>
            <w:tcBorders>
              <w:top w:val="nil"/>
              <w:left w:val="nil"/>
              <w:bottom w:val="single" w:sz="4" w:space="0" w:color="auto"/>
              <w:right w:val="single" w:sz="4" w:space="0" w:color="auto"/>
            </w:tcBorders>
            <w:shd w:val="clear" w:color="000000" w:fill="66FFCC"/>
            <w:noWrap/>
            <w:vAlign w:val="bottom"/>
            <w:hideMark/>
          </w:tcPr>
          <w:p w14:paraId="5CCB91D8" w14:textId="77777777" w:rsidR="001752B7" w:rsidRPr="001752B7" w:rsidRDefault="001752B7" w:rsidP="001752B7">
            <w:pPr>
              <w:spacing w:after="0" w:line="240" w:lineRule="auto"/>
              <w:jc w:val="right"/>
              <w:rPr>
                <w:rFonts w:ascii="Calibri" w:eastAsia="Times New Roman" w:hAnsi="Calibri" w:cs="Calibri"/>
                <w:lang w:eastAsia="hr-HR"/>
              </w:rPr>
            </w:pPr>
            <w:r w:rsidRPr="001752B7">
              <w:rPr>
                <w:rFonts w:ascii="Calibri" w:eastAsia="Times New Roman" w:hAnsi="Calibri" w:cs="Calibri"/>
                <w:lang w:eastAsia="hr-HR"/>
              </w:rPr>
              <w:t> </w:t>
            </w:r>
          </w:p>
        </w:tc>
        <w:tc>
          <w:tcPr>
            <w:tcW w:w="447" w:type="dxa"/>
            <w:tcBorders>
              <w:top w:val="nil"/>
              <w:left w:val="nil"/>
              <w:bottom w:val="single" w:sz="4" w:space="0" w:color="auto"/>
              <w:right w:val="single" w:sz="4" w:space="0" w:color="auto"/>
            </w:tcBorders>
            <w:shd w:val="clear" w:color="000000" w:fill="66FFCC"/>
            <w:noWrap/>
            <w:vAlign w:val="bottom"/>
            <w:hideMark/>
          </w:tcPr>
          <w:p w14:paraId="08A6FD70" w14:textId="77777777" w:rsidR="001752B7" w:rsidRPr="001752B7" w:rsidRDefault="001752B7" w:rsidP="001752B7">
            <w:pPr>
              <w:spacing w:after="0" w:line="240" w:lineRule="auto"/>
              <w:jc w:val="right"/>
              <w:rPr>
                <w:rFonts w:ascii="Calibri" w:eastAsia="Times New Roman" w:hAnsi="Calibri" w:cs="Calibri"/>
                <w:lang w:eastAsia="hr-HR"/>
              </w:rPr>
            </w:pPr>
            <w:r w:rsidRPr="001752B7">
              <w:rPr>
                <w:rFonts w:ascii="Calibri" w:eastAsia="Times New Roman" w:hAnsi="Calibri" w:cs="Calibri"/>
                <w:lang w:eastAsia="hr-HR"/>
              </w:rPr>
              <w:t> </w:t>
            </w:r>
          </w:p>
        </w:tc>
        <w:tc>
          <w:tcPr>
            <w:tcW w:w="652" w:type="dxa"/>
            <w:tcBorders>
              <w:top w:val="nil"/>
              <w:left w:val="nil"/>
              <w:bottom w:val="single" w:sz="4" w:space="0" w:color="auto"/>
              <w:right w:val="single" w:sz="4" w:space="0" w:color="auto"/>
            </w:tcBorders>
            <w:shd w:val="clear" w:color="000000" w:fill="FFFF00"/>
            <w:vAlign w:val="center"/>
            <w:hideMark/>
          </w:tcPr>
          <w:p w14:paraId="09556FBB" w14:textId="77777777" w:rsidR="001752B7" w:rsidRPr="001752B7" w:rsidRDefault="001752B7" w:rsidP="001752B7">
            <w:pPr>
              <w:spacing w:after="0" w:line="240" w:lineRule="auto"/>
              <w:jc w:val="right"/>
              <w:rPr>
                <w:rFonts w:ascii="Calibri" w:eastAsia="Times New Roman" w:hAnsi="Calibri" w:cs="Calibri"/>
                <w:lang w:eastAsia="hr-HR"/>
              </w:rPr>
            </w:pPr>
            <w:r w:rsidRPr="001752B7">
              <w:rPr>
                <w:rFonts w:ascii="Calibri" w:eastAsia="Times New Roman" w:hAnsi="Calibri" w:cs="Calibri"/>
                <w:lang w:eastAsia="hr-HR"/>
              </w:rPr>
              <w:t> </w:t>
            </w:r>
          </w:p>
        </w:tc>
        <w:tc>
          <w:tcPr>
            <w:tcW w:w="614" w:type="dxa"/>
            <w:tcBorders>
              <w:top w:val="nil"/>
              <w:left w:val="nil"/>
              <w:bottom w:val="single" w:sz="4" w:space="0" w:color="auto"/>
              <w:right w:val="single" w:sz="4" w:space="0" w:color="auto"/>
            </w:tcBorders>
            <w:shd w:val="clear" w:color="000000" w:fill="FFFF99"/>
            <w:vAlign w:val="center"/>
            <w:hideMark/>
          </w:tcPr>
          <w:p w14:paraId="2DAC1BB2" w14:textId="77777777" w:rsidR="001752B7" w:rsidRPr="001752B7" w:rsidRDefault="001752B7" w:rsidP="001752B7">
            <w:pPr>
              <w:spacing w:after="0" w:line="240" w:lineRule="auto"/>
              <w:jc w:val="right"/>
              <w:rPr>
                <w:rFonts w:ascii="Calibri" w:eastAsia="Times New Roman" w:hAnsi="Calibri" w:cs="Calibri"/>
                <w:lang w:eastAsia="hr-HR"/>
              </w:rPr>
            </w:pPr>
            <w:r w:rsidRPr="001752B7">
              <w:rPr>
                <w:rFonts w:ascii="Calibri" w:eastAsia="Times New Roman" w:hAnsi="Calibri" w:cs="Calibri"/>
                <w:lang w:eastAsia="hr-HR"/>
              </w:rPr>
              <w:t> </w:t>
            </w:r>
          </w:p>
        </w:tc>
        <w:tc>
          <w:tcPr>
            <w:tcW w:w="519" w:type="dxa"/>
            <w:tcBorders>
              <w:top w:val="nil"/>
              <w:left w:val="nil"/>
              <w:bottom w:val="single" w:sz="4" w:space="0" w:color="auto"/>
              <w:right w:val="single" w:sz="4" w:space="0" w:color="auto"/>
            </w:tcBorders>
            <w:shd w:val="clear" w:color="000000" w:fill="FF9900"/>
            <w:vAlign w:val="center"/>
            <w:hideMark/>
          </w:tcPr>
          <w:p w14:paraId="3EAF4F6F" w14:textId="77777777" w:rsidR="001752B7" w:rsidRPr="001752B7" w:rsidRDefault="001752B7" w:rsidP="001752B7">
            <w:pPr>
              <w:spacing w:after="0" w:line="240" w:lineRule="auto"/>
              <w:jc w:val="right"/>
              <w:rPr>
                <w:rFonts w:ascii="Calibri" w:eastAsia="Times New Roman" w:hAnsi="Calibri" w:cs="Calibri"/>
                <w:lang w:eastAsia="hr-HR"/>
              </w:rPr>
            </w:pPr>
            <w:r w:rsidRPr="001752B7">
              <w:rPr>
                <w:rFonts w:ascii="Calibri" w:eastAsia="Times New Roman" w:hAnsi="Calibri" w:cs="Calibri"/>
                <w:lang w:eastAsia="hr-HR"/>
              </w:rPr>
              <w:t> </w:t>
            </w:r>
          </w:p>
        </w:tc>
        <w:tc>
          <w:tcPr>
            <w:tcW w:w="477" w:type="dxa"/>
            <w:tcBorders>
              <w:top w:val="nil"/>
              <w:left w:val="nil"/>
              <w:bottom w:val="single" w:sz="4" w:space="0" w:color="auto"/>
              <w:right w:val="single" w:sz="4" w:space="0" w:color="auto"/>
            </w:tcBorders>
            <w:shd w:val="clear" w:color="000000" w:fill="CCFFFF"/>
            <w:vAlign w:val="bottom"/>
            <w:hideMark/>
          </w:tcPr>
          <w:p w14:paraId="66873202" w14:textId="77777777" w:rsidR="001752B7" w:rsidRPr="001752B7" w:rsidRDefault="001752B7" w:rsidP="001752B7">
            <w:pPr>
              <w:spacing w:after="0" w:line="240" w:lineRule="auto"/>
              <w:jc w:val="right"/>
              <w:rPr>
                <w:rFonts w:ascii="Calibri" w:eastAsia="Times New Roman" w:hAnsi="Calibri" w:cs="Calibri"/>
                <w:lang w:eastAsia="hr-HR"/>
              </w:rPr>
            </w:pPr>
            <w:r w:rsidRPr="001752B7">
              <w:rPr>
                <w:rFonts w:ascii="Calibri" w:eastAsia="Times New Roman" w:hAnsi="Calibri" w:cs="Calibri"/>
                <w:lang w:eastAsia="hr-HR"/>
              </w:rPr>
              <w:t> </w:t>
            </w:r>
          </w:p>
        </w:tc>
        <w:tc>
          <w:tcPr>
            <w:tcW w:w="506" w:type="dxa"/>
            <w:tcBorders>
              <w:top w:val="nil"/>
              <w:left w:val="nil"/>
              <w:bottom w:val="single" w:sz="4" w:space="0" w:color="auto"/>
              <w:right w:val="single" w:sz="4" w:space="0" w:color="auto"/>
            </w:tcBorders>
            <w:shd w:val="clear" w:color="000000" w:fill="CCFFFF"/>
            <w:vAlign w:val="bottom"/>
            <w:hideMark/>
          </w:tcPr>
          <w:p w14:paraId="6B966B03" w14:textId="77777777" w:rsidR="001752B7" w:rsidRPr="001752B7" w:rsidRDefault="001752B7" w:rsidP="001752B7">
            <w:pPr>
              <w:spacing w:after="0" w:line="240" w:lineRule="auto"/>
              <w:jc w:val="right"/>
              <w:rPr>
                <w:rFonts w:ascii="Calibri" w:eastAsia="Times New Roman" w:hAnsi="Calibri" w:cs="Calibri"/>
                <w:lang w:eastAsia="hr-HR"/>
              </w:rPr>
            </w:pPr>
            <w:r w:rsidRPr="001752B7">
              <w:rPr>
                <w:rFonts w:ascii="Calibri" w:eastAsia="Times New Roman" w:hAnsi="Calibri" w:cs="Calibri"/>
                <w:lang w:eastAsia="hr-HR"/>
              </w:rPr>
              <w:t> </w:t>
            </w:r>
          </w:p>
        </w:tc>
        <w:tc>
          <w:tcPr>
            <w:tcW w:w="485" w:type="dxa"/>
            <w:tcBorders>
              <w:top w:val="nil"/>
              <w:left w:val="nil"/>
              <w:bottom w:val="single" w:sz="4" w:space="0" w:color="auto"/>
              <w:right w:val="single" w:sz="4" w:space="0" w:color="auto"/>
            </w:tcBorders>
            <w:shd w:val="clear" w:color="000000" w:fill="CCFFFF"/>
            <w:vAlign w:val="bottom"/>
            <w:hideMark/>
          </w:tcPr>
          <w:p w14:paraId="04944EB3" w14:textId="77777777" w:rsidR="001752B7" w:rsidRPr="001752B7" w:rsidRDefault="001752B7" w:rsidP="001752B7">
            <w:pPr>
              <w:spacing w:after="0" w:line="240" w:lineRule="auto"/>
              <w:jc w:val="right"/>
              <w:rPr>
                <w:rFonts w:ascii="Calibri" w:eastAsia="Times New Roman" w:hAnsi="Calibri" w:cs="Calibri"/>
                <w:lang w:eastAsia="hr-HR"/>
              </w:rPr>
            </w:pPr>
            <w:r w:rsidRPr="001752B7">
              <w:rPr>
                <w:rFonts w:ascii="Calibri" w:eastAsia="Times New Roman" w:hAnsi="Calibri" w:cs="Calibri"/>
                <w:lang w:eastAsia="hr-HR"/>
              </w:rPr>
              <w:t> </w:t>
            </w:r>
          </w:p>
        </w:tc>
        <w:tc>
          <w:tcPr>
            <w:tcW w:w="561" w:type="dxa"/>
            <w:tcBorders>
              <w:top w:val="nil"/>
              <w:left w:val="nil"/>
              <w:bottom w:val="single" w:sz="4" w:space="0" w:color="auto"/>
              <w:right w:val="nil"/>
            </w:tcBorders>
            <w:shd w:val="clear" w:color="000000" w:fill="33CCCC"/>
            <w:noWrap/>
            <w:vAlign w:val="bottom"/>
            <w:hideMark/>
          </w:tcPr>
          <w:p w14:paraId="489BDF33" w14:textId="77777777" w:rsidR="001752B7" w:rsidRPr="001752B7" w:rsidRDefault="001752B7" w:rsidP="001752B7">
            <w:pPr>
              <w:spacing w:after="0" w:line="240" w:lineRule="auto"/>
              <w:jc w:val="right"/>
              <w:rPr>
                <w:rFonts w:ascii="Calibri" w:eastAsia="Times New Roman" w:hAnsi="Calibri" w:cs="Calibri"/>
                <w:lang w:eastAsia="hr-HR"/>
              </w:rPr>
            </w:pPr>
            <w:r w:rsidRPr="001752B7">
              <w:rPr>
                <w:rFonts w:ascii="Calibri" w:eastAsia="Times New Roman" w:hAnsi="Calibri" w:cs="Calibri"/>
                <w:lang w:eastAsia="hr-HR"/>
              </w:rPr>
              <w:t> </w:t>
            </w:r>
          </w:p>
        </w:tc>
        <w:tc>
          <w:tcPr>
            <w:tcW w:w="595" w:type="dxa"/>
            <w:tcBorders>
              <w:top w:val="nil"/>
              <w:left w:val="single" w:sz="4" w:space="0" w:color="auto"/>
              <w:bottom w:val="single" w:sz="4" w:space="0" w:color="auto"/>
              <w:right w:val="single" w:sz="8" w:space="0" w:color="auto"/>
            </w:tcBorders>
            <w:shd w:val="clear" w:color="000000" w:fill="33CCCC"/>
            <w:noWrap/>
            <w:vAlign w:val="bottom"/>
            <w:hideMark/>
          </w:tcPr>
          <w:p w14:paraId="1ECE8DE2" w14:textId="77777777" w:rsidR="001752B7" w:rsidRPr="001752B7" w:rsidRDefault="001752B7" w:rsidP="001752B7">
            <w:pPr>
              <w:spacing w:after="0" w:line="240" w:lineRule="auto"/>
              <w:jc w:val="right"/>
              <w:rPr>
                <w:rFonts w:ascii="Calibri" w:eastAsia="Times New Roman" w:hAnsi="Calibri" w:cs="Calibri"/>
                <w:lang w:eastAsia="hr-HR"/>
              </w:rPr>
            </w:pPr>
            <w:r w:rsidRPr="001752B7">
              <w:rPr>
                <w:rFonts w:ascii="Calibri" w:eastAsia="Times New Roman" w:hAnsi="Calibri" w:cs="Calibri"/>
                <w:lang w:eastAsia="hr-HR"/>
              </w:rPr>
              <w:t> </w:t>
            </w:r>
          </w:p>
        </w:tc>
        <w:tc>
          <w:tcPr>
            <w:tcW w:w="266" w:type="dxa"/>
            <w:gridSpan w:val="3"/>
            <w:vAlign w:val="center"/>
            <w:hideMark/>
          </w:tcPr>
          <w:p w14:paraId="7525CF38" w14:textId="77777777" w:rsidR="001752B7" w:rsidRPr="001752B7" w:rsidRDefault="001752B7" w:rsidP="001752B7">
            <w:pPr>
              <w:spacing w:after="0" w:line="240" w:lineRule="auto"/>
              <w:rPr>
                <w:rFonts w:ascii="Times New Roman" w:eastAsia="Times New Roman" w:hAnsi="Times New Roman" w:cs="Times New Roman"/>
                <w:sz w:val="20"/>
                <w:szCs w:val="20"/>
                <w:lang w:eastAsia="hr-HR"/>
              </w:rPr>
            </w:pPr>
          </w:p>
        </w:tc>
      </w:tr>
      <w:tr w:rsidR="001752B7" w:rsidRPr="001752B7" w14:paraId="0829CE07" w14:textId="77777777" w:rsidTr="000271A1">
        <w:trPr>
          <w:trHeight w:val="300"/>
        </w:trPr>
        <w:tc>
          <w:tcPr>
            <w:tcW w:w="1404" w:type="dxa"/>
            <w:tcBorders>
              <w:top w:val="single" w:sz="4" w:space="0" w:color="auto"/>
              <w:left w:val="single" w:sz="8" w:space="0" w:color="auto"/>
              <w:bottom w:val="single" w:sz="4" w:space="0" w:color="auto"/>
              <w:right w:val="single" w:sz="4" w:space="0" w:color="auto"/>
            </w:tcBorders>
            <w:shd w:val="clear" w:color="000000" w:fill="CCFFCC"/>
            <w:vAlign w:val="center"/>
            <w:hideMark/>
          </w:tcPr>
          <w:p w14:paraId="7489844C" w14:textId="77777777" w:rsidR="001752B7" w:rsidRPr="001752B7" w:rsidRDefault="001752B7" w:rsidP="001752B7">
            <w:pPr>
              <w:spacing w:after="0" w:line="240" w:lineRule="auto"/>
              <w:rPr>
                <w:rFonts w:ascii="Calibri" w:eastAsia="Times New Roman" w:hAnsi="Calibri" w:cs="Calibri"/>
                <w:lang w:eastAsia="hr-HR"/>
              </w:rPr>
            </w:pPr>
            <w:r w:rsidRPr="001752B7">
              <w:rPr>
                <w:rFonts w:ascii="Calibri" w:eastAsia="Times New Roman" w:hAnsi="Calibri" w:cs="Calibri"/>
                <w:lang w:eastAsia="hr-HR"/>
              </w:rPr>
              <w:t>Članstvo u sindikatu</w:t>
            </w:r>
          </w:p>
        </w:tc>
        <w:tc>
          <w:tcPr>
            <w:tcW w:w="545" w:type="dxa"/>
            <w:tcBorders>
              <w:top w:val="nil"/>
              <w:left w:val="nil"/>
              <w:bottom w:val="single" w:sz="4" w:space="0" w:color="auto"/>
              <w:right w:val="single" w:sz="4" w:space="0" w:color="auto"/>
            </w:tcBorders>
            <w:shd w:val="clear" w:color="000000" w:fill="CCFFCC"/>
            <w:vAlign w:val="center"/>
            <w:hideMark/>
          </w:tcPr>
          <w:p w14:paraId="5AA53D10" w14:textId="77777777" w:rsidR="001752B7" w:rsidRPr="001752B7" w:rsidRDefault="001752B7" w:rsidP="001752B7">
            <w:pPr>
              <w:spacing w:after="0" w:line="240" w:lineRule="auto"/>
              <w:jc w:val="right"/>
              <w:rPr>
                <w:rFonts w:ascii="Calibri" w:eastAsia="Times New Roman" w:hAnsi="Calibri" w:cs="Calibri"/>
                <w:lang w:eastAsia="hr-HR"/>
              </w:rPr>
            </w:pPr>
            <w:r w:rsidRPr="001752B7">
              <w:rPr>
                <w:rFonts w:ascii="Calibri" w:eastAsia="Times New Roman" w:hAnsi="Calibri" w:cs="Calibri"/>
                <w:lang w:eastAsia="hr-HR"/>
              </w:rPr>
              <w:t> </w:t>
            </w:r>
          </w:p>
        </w:tc>
        <w:tc>
          <w:tcPr>
            <w:tcW w:w="573" w:type="dxa"/>
            <w:tcBorders>
              <w:top w:val="nil"/>
              <w:left w:val="nil"/>
              <w:bottom w:val="single" w:sz="4" w:space="0" w:color="auto"/>
              <w:right w:val="single" w:sz="4" w:space="0" w:color="auto"/>
            </w:tcBorders>
            <w:shd w:val="clear" w:color="000000" w:fill="FFCC99"/>
            <w:noWrap/>
            <w:vAlign w:val="bottom"/>
            <w:hideMark/>
          </w:tcPr>
          <w:p w14:paraId="1024668F" w14:textId="77777777" w:rsidR="001752B7" w:rsidRPr="001752B7" w:rsidRDefault="001752B7" w:rsidP="001752B7">
            <w:pPr>
              <w:spacing w:after="0" w:line="240" w:lineRule="auto"/>
              <w:jc w:val="right"/>
              <w:rPr>
                <w:rFonts w:ascii="Calibri" w:eastAsia="Times New Roman" w:hAnsi="Calibri" w:cs="Calibri"/>
                <w:lang w:eastAsia="hr-HR"/>
              </w:rPr>
            </w:pPr>
            <w:r w:rsidRPr="001752B7">
              <w:rPr>
                <w:rFonts w:ascii="Calibri" w:eastAsia="Times New Roman" w:hAnsi="Calibri" w:cs="Calibri"/>
                <w:lang w:eastAsia="hr-HR"/>
              </w:rPr>
              <w:t> </w:t>
            </w:r>
          </w:p>
        </w:tc>
        <w:tc>
          <w:tcPr>
            <w:tcW w:w="855" w:type="dxa"/>
            <w:tcBorders>
              <w:top w:val="nil"/>
              <w:left w:val="nil"/>
              <w:bottom w:val="single" w:sz="4" w:space="0" w:color="auto"/>
              <w:right w:val="single" w:sz="4" w:space="0" w:color="auto"/>
            </w:tcBorders>
            <w:shd w:val="clear" w:color="000000" w:fill="CCFFFF"/>
            <w:noWrap/>
            <w:vAlign w:val="bottom"/>
            <w:hideMark/>
          </w:tcPr>
          <w:p w14:paraId="5F7F23F6" w14:textId="77777777" w:rsidR="001752B7" w:rsidRPr="001752B7" w:rsidRDefault="001752B7" w:rsidP="001752B7">
            <w:pPr>
              <w:spacing w:after="0" w:line="240" w:lineRule="auto"/>
              <w:jc w:val="right"/>
              <w:rPr>
                <w:rFonts w:ascii="Calibri" w:eastAsia="Times New Roman" w:hAnsi="Calibri" w:cs="Calibri"/>
                <w:lang w:eastAsia="hr-HR"/>
              </w:rPr>
            </w:pPr>
            <w:r w:rsidRPr="001752B7">
              <w:rPr>
                <w:rFonts w:ascii="Calibri" w:eastAsia="Times New Roman" w:hAnsi="Calibri" w:cs="Calibri"/>
                <w:lang w:eastAsia="hr-HR"/>
              </w:rPr>
              <w:t> </w:t>
            </w:r>
          </w:p>
        </w:tc>
        <w:tc>
          <w:tcPr>
            <w:tcW w:w="638" w:type="dxa"/>
            <w:tcBorders>
              <w:top w:val="nil"/>
              <w:left w:val="nil"/>
              <w:bottom w:val="single" w:sz="4" w:space="0" w:color="auto"/>
              <w:right w:val="single" w:sz="4" w:space="0" w:color="auto"/>
            </w:tcBorders>
            <w:shd w:val="clear" w:color="000000" w:fill="CCFFFF"/>
            <w:noWrap/>
            <w:vAlign w:val="bottom"/>
            <w:hideMark/>
          </w:tcPr>
          <w:p w14:paraId="2B936E0F" w14:textId="77777777" w:rsidR="001752B7" w:rsidRPr="001752B7" w:rsidRDefault="001752B7" w:rsidP="001752B7">
            <w:pPr>
              <w:spacing w:after="0" w:line="240" w:lineRule="auto"/>
              <w:jc w:val="right"/>
              <w:rPr>
                <w:rFonts w:ascii="Calibri" w:eastAsia="Times New Roman" w:hAnsi="Calibri" w:cs="Calibri"/>
                <w:lang w:eastAsia="hr-HR"/>
              </w:rPr>
            </w:pPr>
            <w:r w:rsidRPr="001752B7">
              <w:rPr>
                <w:rFonts w:ascii="Calibri" w:eastAsia="Times New Roman" w:hAnsi="Calibri" w:cs="Calibri"/>
                <w:lang w:eastAsia="hr-HR"/>
              </w:rPr>
              <w:t> </w:t>
            </w:r>
          </w:p>
        </w:tc>
        <w:tc>
          <w:tcPr>
            <w:tcW w:w="580" w:type="dxa"/>
            <w:tcBorders>
              <w:top w:val="nil"/>
              <w:left w:val="nil"/>
              <w:bottom w:val="single" w:sz="4" w:space="0" w:color="auto"/>
              <w:right w:val="single" w:sz="4" w:space="0" w:color="auto"/>
            </w:tcBorders>
            <w:shd w:val="clear" w:color="000000" w:fill="FFFF99"/>
            <w:noWrap/>
            <w:vAlign w:val="bottom"/>
            <w:hideMark/>
          </w:tcPr>
          <w:p w14:paraId="51F1F92F" w14:textId="77777777" w:rsidR="001752B7" w:rsidRPr="001752B7" w:rsidRDefault="001752B7" w:rsidP="001752B7">
            <w:pPr>
              <w:spacing w:after="0" w:line="240" w:lineRule="auto"/>
              <w:jc w:val="right"/>
              <w:rPr>
                <w:rFonts w:ascii="Calibri" w:eastAsia="Times New Roman" w:hAnsi="Calibri" w:cs="Calibri"/>
                <w:lang w:eastAsia="hr-HR"/>
              </w:rPr>
            </w:pPr>
            <w:r w:rsidRPr="001752B7">
              <w:rPr>
                <w:rFonts w:ascii="Calibri" w:eastAsia="Times New Roman" w:hAnsi="Calibri" w:cs="Calibri"/>
                <w:lang w:eastAsia="hr-HR"/>
              </w:rPr>
              <w:t> </w:t>
            </w:r>
          </w:p>
        </w:tc>
        <w:tc>
          <w:tcPr>
            <w:tcW w:w="447" w:type="dxa"/>
            <w:tcBorders>
              <w:top w:val="nil"/>
              <w:left w:val="nil"/>
              <w:bottom w:val="single" w:sz="4" w:space="0" w:color="auto"/>
              <w:right w:val="single" w:sz="4" w:space="0" w:color="auto"/>
            </w:tcBorders>
            <w:shd w:val="clear" w:color="000000" w:fill="FFFF99"/>
            <w:noWrap/>
            <w:vAlign w:val="bottom"/>
            <w:hideMark/>
          </w:tcPr>
          <w:p w14:paraId="4AF161B5" w14:textId="77777777" w:rsidR="001752B7" w:rsidRPr="001752B7" w:rsidRDefault="001752B7" w:rsidP="001752B7">
            <w:pPr>
              <w:spacing w:after="0" w:line="240" w:lineRule="auto"/>
              <w:jc w:val="right"/>
              <w:rPr>
                <w:rFonts w:ascii="Calibri" w:eastAsia="Times New Roman" w:hAnsi="Calibri" w:cs="Calibri"/>
                <w:lang w:eastAsia="hr-HR"/>
              </w:rPr>
            </w:pPr>
            <w:r w:rsidRPr="001752B7">
              <w:rPr>
                <w:rFonts w:ascii="Calibri" w:eastAsia="Times New Roman" w:hAnsi="Calibri" w:cs="Calibri"/>
                <w:lang w:eastAsia="hr-HR"/>
              </w:rPr>
              <w:t> </w:t>
            </w:r>
          </w:p>
        </w:tc>
        <w:tc>
          <w:tcPr>
            <w:tcW w:w="447" w:type="dxa"/>
            <w:tcBorders>
              <w:top w:val="nil"/>
              <w:left w:val="nil"/>
              <w:bottom w:val="single" w:sz="4" w:space="0" w:color="auto"/>
              <w:right w:val="single" w:sz="4" w:space="0" w:color="auto"/>
            </w:tcBorders>
            <w:shd w:val="clear" w:color="000000" w:fill="FFFF99"/>
            <w:noWrap/>
            <w:vAlign w:val="bottom"/>
            <w:hideMark/>
          </w:tcPr>
          <w:p w14:paraId="293E2A3B" w14:textId="77777777" w:rsidR="001752B7" w:rsidRPr="001752B7" w:rsidRDefault="001752B7" w:rsidP="001752B7">
            <w:pPr>
              <w:spacing w:after="0" w:line="240" w:lineRule="auto"/>
              <w:jc w:val="right"/>
              <w:rPr>
                <w:rFonts w:ascii="Calibri" w:eastAsia="Times New Roman" w:hAnsi="Calibri" w:cs="Calibri"/>
                <w:lang w:eastAsia="hr-HR"/>
              </w:rPr>
            </w:pPr>
            <w:r w:rsidRPr="001752B7">
              <w:rPr>
                <w:rFonts w:ascii="Calibri" w:eastAsia="Times New Roman" w:hAnsi="Calibri" w:cs="Calibri"/>
                <w:lang w:eastAsia="hr-HR"/>
              </w:rPr>
              <w:t> </w:t>
            </w:r>
          </w:p>
        </w:tc>
        <w:tc>
          <w:tcPr>
            <w:tcW w:w="447" w:type="dxa"/>
            <w:tcBorders>
              <w:top w:val="nil"/>
              <w:left w:val="nil"/>
              <w:bottom w:val="single" w:sz="4" w:space="0" w:color="auto"/>
              <w:right w:val="single" w:sz="4" w:space="0" w:color="auto"/>
            </w:tcBorders>
            <w:shd w:val="clear" w:color="000000" w:fill="FFFF99"/>
            <w:noWrap/>
            <w:vAlign w:val="bottom"/>
            <w:hideMark/>
          </w:tcPr>
          <w:p w14:paraId="50E6EC3B" w14:textId="77777777" w:rsidR="001752B7" w:rsidRPr="001752B7" w:rsidRDefault="001752B7" w:rsidP="001752B7">
            <w:pPr>
              <w:spacing w:after="0" w:line="240" w:lineRule="auto"/>
              <w:jc w:val="right"/>
              <w:rPr>
                <w:rFonts w:ascii="Calibri" w:eastAsia="Times New Roman" w:hAnsi="Calibri" w:cs="Calibri"/>
                <w:lang w:eastAsia="hr-HR"/>
              </w:rPr>
            </w:pPr>
            <w:r w:rsidRPr="001752B7">
              <w:rPr>
                <w:rFonts w:ascii="Calibri" w:eastAsia="Times New Roman" w:hAnsi="Calibri" w:cs="Calibri"/>
                <w:lang w:eastAsia="hr-HR"/>
              </w:rPr>
              <w:t> </w:t>
            </w:r>
          </w:p>
        </w:tc>
        <w:tc>
          <w:tcPr>
            <w:tcW w:w="447" w:type="dxa"/>
            <w:tcBorders>
              <w:top w:val="nil"/>
              <w:left w:val="nil"/>
              <w:bottom w:val="single" w:sz="4" w:space="0" w:color="auto"/>
              <w:right w:val="single" w:sz="4" w:space="0" w:color="auto"/>
            </w:tcBorders>
            <w:shd w:val="clear" w:color="000000" w:fill="FFFF99"/>
            <w:noWrap/>
            <w:vAlign w:val="bottom"/>
            <w:hideMark/>
          </w:tcPr>
          <w:p w14:paraId="46016242" w14:textId="77777777" w:rsidR="001752B7" w:rsidRPr="001752B7" w:rsidRDefault="001752B7" w:rsidP="001752B7">
            <w:pPr>
              <w:spacing w:after="0" w:line="240" w:lineRule="auto"/>
              <w:jc w:val="right"/>
              <w:rPr>
                <w:rFonts w:ascii="Calibri" w:eastAsia="Times New Roman" w:hAnsi="Calibri" w:cs="Calibri"/>
                <w:lang w:eastAsia="hr-HR"/>
              </w:rPr>
            </w:pPr>
            <w:r w:rsidRPr="001752B7">
              <w:rPr>
                <w:rFonts w:ascii="Calibri" w:eastAsia="Times New Roman" w:hAnsi="Calibri" w:cs="Calibri"/>
                <w:lang w:eastAsia="hr-HR"/>
              </w:rPr>
              <w:t> </w:t>
            </w:r>
          </w:p>
        </w:tc>
        <w:tc>
          <w:tcPr>
            <w:tcW w:w="572" w:type="dxa"/>
            <w:tcBorders>
              <w:top w:val="nil"/>
              <w:left w:val="nil"/>
              <w:bottom w:val="single" w:sz="4" w:space="0" w:color="auto"/>
              <w:right w:val="single" w:sz="4" w:space="0" w:color="auto"/>
            </w:tcBorders>
            <w:shd w:val="clear" w:color="000000" w:fill="FF9900"/>
            <w:noWrap/>
            <w:vAlign w:val="bottom"/>
            <w:hideMark/>
          </w:tcPr>
          <w:p w14:paraId="3E235B1D" w14:textId="77777777" w:rsidR="001752B7" w:rsidRPr="001752B7" w:rsidRDefault="001752B7" w:rsidP="001752B7">
            <w:pPr>
              <w:spacing w:after="0" w:line="240" w:lineRule="auto"/>
              <w:jc w:val="right"/>
              <w:rPr>
                <w:rFonts w:ascii="Calibri" w:eastAsia="Times New Roman" w:hAnsi="Calibri" w:cs="Calibri"/>
                <w:lang w:eastAsia="hr-HR"/>
              </w:rPr>
            </w:pPr>
            <w:r w:rsidRPr="001752B7">
              <w:rPr>
                <w:rFonts w:ascii="Calibri" w:eastAsia="Times New Roman" w:hAnsi="Calibri" w:cs="Calibri"/>
                <w:lang w:eastAsia="hr-HR"/>
              </w:rPr>
              <w:t> </w:t>
            </w:r>
          </w:p>
        </w:tc>
        <w:tc>
          <w:tcPr>
            <w:tcW w:w="467" w:type="dxa"/>
            <w:tcBorders>
              <w:top w:val="nil"/>
              <w:left w:val="nil"/>
              <w:bottom w:val="single" w:sz="4" w:space="0" w:color="auto"/>
              <w:right w:val="single" w:sz="4" w:space="0" w:color="auto"/>
            </w:tcBorders>
            <w:shd w:val="clear" w:color="000000" w:fill="FF9900"/>
            <w:noWrap/>
            <w:vAlign w:val="bottom"/>
            <w:hideMark/>
          </w:tcPr>
          <w:p w14:paraId="6D6B38E8" w14:textId="77777777" w:rsidR="001752B7" w:rsidRPr="001752B7" w:rsidRDefault="001752B7" w:rsidP="001752B7">
            <w:pPr>
              <w:spacing w:after="0" w:line="240" w:lineRule="auto"/>
              <w:jc w:val="right"/>
              <w:rPr>
                <w:rFonts w:ascii="Calibri" w:eastAsia="Times New Roman" w:hAnsi="Calibri" w:cs="Calibri"/>
                <w:lang w:eastAsia="hr-HR"/>
              </w:rPr>
            </w:pPr>
            <w:r w:rsidRPr="001752B7">
              <w:rPr>
                <w:rFonts w:ascii="Calibri" w:eastAsia="Times New Roman" w:hAnsi="Calibri" w:cs="Calibri"/>
                <w:lang w:eastAsia="hr-HR"/>
              </w:rPr>
              <w:t> </w:t>
            </w:r>
          </w:p>
        </w:tc>
        <w:tc>
          <w:tcPr>
            <w:tcW w:w="579" w:type="dxa"/>
            <w:tcBorders>
              <w:top w:val="nil"/>
              <w:left w:val="nil"/>
              <w:bottom w:val="single" w:sz="4" w:space="0" w:color="auto"/>
              <w:right w:val="single" w:sz="4" w:space="0" w:color="auto"/>
            </w:tcBorders>
            <w:shd w:val="clear" w:color="000000" w:fill="FF9900"/>
            <w:noWrap/>
            <w:vAlign w:val="bottom"/>
            <w:hideMark/>
          </w:tcPr>
          <w:p w14:paraId="45730029" w14:textId="77777777" w:rsidR="001752B7" w:rsidRPr="001752B7" w:rsidRDefault="001752B7" w:rsidP="001752B7">
            <w:pPr>
              <w:spacing w:after="0" w:line="240" w:lineRule="auto"/>
              <w:jc w:val="right"/>
              <w:rPr>
                <w:rFonts w:ascii="Calibri" w:eastAsia="Times New Roman" w:hAnsi="Calibri" w:cs="Calibri"/>
                <w:lang w:eastAsia="hr-HR"/>
              </w:rPr>
            </w:pPr>
            <w:r w:rsidRPr="001752B7">
              <w:rPr>
                <w:rFonts w:ascii="Calibri" w:eastAsia="Times New Roman" w:hAnsi="Calibri" w:cs="Calibri"/>
                <w:lang w:eastAsia="hr-HR"/>
              </w:rPr>
              <w:t> </w:t>
            </w:r>
          </w:p>
        </w:tc>
        <w:tc>
          <w:tcPr>
            <w:tcW w:w="447" w:type="dxa"/>
            <w:tcBorders>
              <w:top w:val="nil"/>
              <w:left w:val="nil"/>
              <w:bottom w:val="single" w:sz="4" w:space="0" w:color="auto"/>
              <w:right w:val="single" w:sz="4" w:space="0" w:color="auto"/>
            </w:tcBorders>
            <w:shd w:val="clear" w:color="000000" w:fill="66FFCC"/>
            <w:noWrap/>
            <w:vAlign w:val="bottom"/>
            <w:hideMark/>
          </w:tcPr>
          <w:p w14:paraId="67DA03AD" w14:textId="77777777" w:rsidR="001752B7" w:rsidRPr="001752B7" w:rsidRDefault="001752B7" w:rsidP="001752B7">
            <w:pPr>
              <w:spacing w:after="0" w:line="240" w:lineRule="auto"/>
              <w:jc w:val="right"/>
              <w:rPr>
                <w:rFonts w:ascii="Calibri" w:eastAsia="Times New Roman" w:hAnsi="Calibri" w:cs="Calibri"/>
                <w:lang w:eastAsia="hr-HR"/>
              </w:rPr>
            </w:pPr>
            <w:r w:rsidRPr="001752B7">
              <w:rPr>
                <w:rFonts w:ascii="Calibri" w:eastAsia="Times New Roman" w:hAnsi="Calibri" w:cs="Calibri"/>
                <w:lang w:eastAsia="hr-HR"/>
              </w:rPr>
              <w:t> </w:t>
            </w:r>
          </w:p>
        </w:tc>
        <w:tc>
          <w:tcPr>
            <w:tcW w:w="447" w:type="dxa"/>
            <w:tcBorders>
              <w:top w:val="nil"/>
              <w:left w:val="nil"/>
              <w:bottom w:val="single" w:sz="4" w:space="0" w:color="auto"/>
              <w:right w:val="single" w:sz="4" w:space="0" w:color="auto"/>
            </w:tcBorders>
            <w:shd w:val="clear" w:color="000000" w:fill="66FFCC"/>
            <w:noWrap/>
            <w:vAlign w:val="bottom"/>
            <w:hideMark/>
          </w:tcPr>
          <w:p w14:paraId="31CBFB6F" w14:textId="77777777" w:rsidR="001752B7" w:rsidRPr="001752B7" w:rsidRDefault="001752B7" w:rsidP="001752B7">
            <w:pPr>
              <w:spacing w:after="0" w:line="240" w:lineRule="auto"/>
              <w:jc w:val="right"/>
              <w:rPr>
                <w:rFonts w:ascii="Calibri" w:eastAsia="Times New Roman" w:hAnsi="Calibri" w:cs="Calibri"/>
                <w:lang w:eastAsia="hr-HR"/>
              </w:rPr>
            </w:pPr>
            <w:r w:rsidRPr="001752B7">
              <w:rPr>
                <w:rFonts w:ascii="Calibri" w:eastAsia="Times New Roman" w:hAnsi="Calibri" w:cs="Calibri"/>
                <w:lang w:eastAsia="hr-HR"/>
              </w:rPr>
              <w:t> </w:t>
            </w:r>
          </w:p>
        </w:tc>
        <w:tc>
          <w:tcPr>
            <w:tcW w:w="698" w:type="dxa"/>
            <w:tcBorders>
              <w:top w:val="nil"/>
              <w:left w:val="nil"/>
              <w:bottom w:val="single" w:sz="4" w:space="0" w:color="auto"/>
              <w:right w:val="single" w:sz="4" w:space="0" w:color="auto"/>
            </w:tcBorders>
            <w:shd w:val="clear" w:color="000000" w:fill="66FFCC"/>
            <w:noWrap/>
            <w:vAlign w:val="bottom"/>
            <w:hideMark/>
          </w:tcPr>
          <w:p w14:paraId="7979A744" w14:textId="77777777" w:rsidR="001752B7" w:rsidRPr="001752B7" w:rsidRDefault="001752B7" w:rsidP="001752B7">
            <w:pPr>
              <w:spacing w:after="0" w:line="240" w:lineRule="auto"/>
              <w:jc w:val="right"/>
              <w:rPr>
                <w:rFonts w:ascii="Calibri" w:eastAsia="Times New Roman" w:hAnsi="Calibri" w:cs="Calibri"/>
                <w:lang w:eastAsia="hr-HR"/>
              </w:rPr>
            </w:pPr>
            <w:r w:rsidRPr="001752B7">
              <w:rPr>
                <w:rFonts w:ascii="Calibri" w:eastAsia="Times New Roman" w:hAnsi="Calibri" w:cs="Calibri"/>
                <w:lang w:eastAsia="hr-HR"/>
              </w:rPr>
              <w:t> </w:t>
            </w:r>
          </w:p>
        </w:tc>
        <w:tc>
          <w:tcPr>
            <w:tcW w:w="447" w:type="dxa"/>
            <w:tcBorders>
              <w:top w:val="nil"/>
              <w:left w:val="nil"/>
              <w:bottom w:val="single" w:sz="4" w:space="0" w:color="auto"/>
              <w:right w:val="single" w:sz="4" w:space="0" w:color="auto"/>
            </w:tcBorders>
            <w:shd w:val="clear" w:color="000000" w:fill="66FFCC"/>
            <w:noWrap/>
            <w:vAlign w:val="bottom"/>
            <w:hideMark/>
          </w:tcPr>
          <w:p w14:paraId="4B12C2A7" w14:textId="77777777" w:rsidR="001752B7" w:rsidRPr="001752B7" w:rsidRDefault="001752B7" w:rsidP="001752B7">
            <w:pPr>
              <w:spacing w:after="0" w:line="240" w:lineRule="auto"/>
              <w:jc w:val="right"/>
              <w:rPr>
                <w:rFonts w:ascii="Calibri" w:eastAsia="Times New Roman" w:hAnsi="Calibri" w:cs="Calibri"/>
                <w:lang w:eastAsia="hr-HR"/>
              </w:rPr>
            </w:pPr>
            <w:r w:rsidRPr="001752B7">
              <w:rPr>
                <w:rFonts w:ascii="Calibri" w:eastAsia="Times New Roman" w:hAnsi="Calibri" w:cs="Calibri"/>
                <w:lang w:eastAsia="hr-HR"/>
              </w:rPr>
              <w:t> </w:t>
            </w:r>
          </w:p>
        </w:tc>
        <w:tc>
          <w:tcPr>
            <w:tcW w:w="652" w:type="dxa"/>
            <w:tcBorders>
              <w:top w:val="nil"/>
              <w:left w:val="nil"/>
              <w:bottom w:val="single" w:sz="4" w:space="0" w:color="auto"/>
              <w:right w:val="single" w:sz="4" w:space="0" w:color="auto"/>
            </w:tcBorders>
            <w:shd w:val="clear" w:color="000000" w:fill="FFFF00"/>
            <w:vAlign w:val="center"/>
            <w:hideMark/>
          </w:tcPr>
          <w:p w14:paraId="29C270B0" w14:textId="77777777" w:rsidR="001752B7" w:rsidRPr="001752B7" w:rsidRDefault="001752B7" w:rsidP="001752B7">
            <w:pPr>
              <w:spacing w:after="0" w:line="240" w:lineRule="auto"/>
              <w:jc w:val="right"/>
              <w:rPr>
                <w:rFonts w:ascii="Calibri" w:eastAsia="Times New Roman" w:hAnsi="Calibri" w:cs="Calibri"/>
                <w:lang w:eastAsia="hr-HR"/>
              </w:rPr>
            </w:pPr>
            <w:r w:rsidRPr="001752B7">
              <w:rPr>
                <w:rFonts w:ascii="Calibri" w:eastAsia="Times New Roman" w:hAnsi="Calibri" w:cs="Calibri"/>
                <w:lang w:eastAsia="hr-HR"/>
              </w:rPr>
              <w:t> </w:t>
            </w:r>
          </w:p>
        </w:tc>
        <w:tc>
          <w:tcPr>
            <w:tcW w:w="614" w:type="dxa"/>
            <w:tcBorders>
              <w:top w:val="nil"/>
              <w:left w:val="nil"/>
              <w:bottom w:val="single" w:sz="4" w:space="0" w:color="auto"/>
              <w:right w:val="single" w:sz="4" w:space="0" w:color="auto"/>
            </w:tcBorders>
            <w:shd w:val="clear" w:color="000000" w:fill="FFFF99"/>
            <w:vAlign w:val="center"/>
            <w:hideMark/>
          </w:tcPr>
          <w:p w14:paraId="2369D89F" w14:textId="77777777" w:rsidR="001752B7" w:rsidRPr="001752B7" w:rsidRDefault="001752B7" w:rsidP="001752B7">
            <w:pPr>
              <w:spacing w:after="0" w:line="240" w:lineRule="auto"/>
              <w:jc w:val="right"/>
              <w:rPr>
                <w:rFonts w:ascii="Calibri" w:eastAsia="Times New Roman" w:hAnsi="Calibri" w:cs="Calibri"/>
                <w:lang w:eastAsia="hr-HR"/>
              </w:rPr>
            </w:pPr>
            <w:r w:rsidRPr="001752B7">
              <w:rPr>
                <w:rFonts w:ascii="Calibri" w:eastAsia="Times New Roman" w:hAnsi="Calibri" w:cs="Calibri"/>
                <w:lang w:eastAsia="hr-HR"/>
              </w:rPr>
              <w:t> </w:t>
            </w:r>
          </w:p>
        </w:tc>
        <w:tc>
          <w:tcPr>
            <w:tcW w:w="519" w:type="dxa"/>
            <w:tcBorders>
              <w:top w:val="nil"/>
              <w:left w:val="nil"/>
              <w:bottom w:val="single" w:sz="4" w:space="0" w:color="auto"/>
              <w:right w:val="single" w:sz="4" w:space="0" w:color="auto"/>
            </w:tcBorders>
            <w:shd w:val="clear" w:color="000000" w:fill="FF9900"/>
            <w:vAlign w:val="center"/>
            <w:hideMark/>
          </w:tcPr>
          <w:p w14:paraId="2EA80695" w14:textId="77777777" w:rsidR="001752B7" w:rsidRPr="001752B7" w:rsidRDefault="001752B7" w:rsidP="001752B7">
            <w:pPr>
              <w:spacing w:after="0" w:line="240" w:lineRule="auto"/>
              <w:jc w:val="right"/>
              <w:rPr>
                <w:rFonts w:ascii="Calibri" w:eastAsia="Times New Roman" w:hAnsi="Calibri" w:cs="Calibri"/>
                <w:lang w:eastAsia="hr-HR"/>
              </w:rPr>
            </w:pPr>
            <w:r w:rsidRPr="001752B7">
              <w:rPr>
                <w:rFonts w:ascii="Calibri" w:eastAsia="Times New Roman" w:hAnsi="Calibri" w:cs="Calibri"/>
                <w:lang w:eastAsia="hr-HR"/>
              </w:rPr>
              <w:t> </w:t>
            </w:r>
          </w:p>
        </w:tc>
        <w:tc>
          <w:tcPr>
            <w:tcW w:w="477" w:type="dxa"/>
            <w:tcBorders>
              <w:top w:val="nil"/>
              <w:left w:val="nil"/>
              <w:bottom w:val="single" w:sz="4" w:space="0" w:color="auto"/>
              <w:right w:val="single" w:sz="4" w:space="0" w:color="auto"/>
            </w:tcBorders>
            <w:shd w:val="clear" w:color="000000" w:fill="CCFFFF"/>
            <w:vAlign w:val="bottom"/>
            <w:hideMark/>
          </w:tcPr>
          <w:p w14:paraId="7F114C28" w14:textId="77777777" w:rsidR="001752B7" w:rsidRPr="001752B7" w:rsidRDefault="001752B7" w:rsidP="001752B7">
            <w:pPr>
              <w:spacing w:after="0" w:line="240" w:lineRule="auto"/>
              <w:jc w:val="right"/>
              <w:rPr>
                <w:rFonts w:ascii="Calibri" w:eastAsia="Times New Roman" w:hAnsi="Calibri" w:cs="Calibri"/>
                <w:lang w:eastAsia="hr-HR"/>
              </w:rPr>
            </w:pPr>
            <w:r w:rsidRPr="001752B7">
              <w:rPr>
                <w:rFonts w:ascii="Calibri" w:eastAsia="Times New Roman" w:hAnsi="Calibri" w:cs="Calibri"/>
                <w:lang w:eastAsia="hr-HR"/>
              </w:rPr>
              <w:t> </w:t>
            </w:r>
          </w:p>
        </w:tc>
        <w:tc>
          <w:tcPr>
            <w:tcW w:w="506" w:type="dxa"/>
            <w:tcBorders>
              <w:top w:val="nil"/>
              <w:left w:val="nil"/>
              <w:bottom w:val="single" w:sz="4" w:space="0" w:color="auto"/>
              <w:right w:val="single" w:sz="4" w:space="0" w:color="auto"/>
            </w:tcBorders>
            <w:shd w:val="clear" w:color="000000" w:fill="CCFFFF"/>
            <w:vAlign w:val="bottom"/>
            <w:hideMark/>
          </w:tcPr>
          <w:p w14:paraId="55A3860D" w14:textId="77777777" w:rsidR="001752B7" w:rsidRPr="001752B7" w:rsidRDefault="001752B7" w:rsidP="001752B7">
            <w:pPr>
              <w:spacing w:after="0" w:line="240" w:lineRule="auto"/>
              <w:jc w:val="right"/>
              <w:rPr>
                <w:rFonts w:ascii="Calibri" w:eastAsia="Times New Roman" w:hAnsi="Calibri" w:cs="Calibri"/>
                <w:lang w:eastAsia="hr-HR"/>
              </w:rPr>
            </w:pPr>
            <w:r w:rsidRPr="001752B7">
              <w:rPr>
                <w:rFonts w:ascii="Calibri" w:eastAsia="Times New Roman" w:hAnsi="Calibri" w:cs="Calibri"/>
                <w:lang w:eastAsia="hr-HR"/>
              </w:rPr>
              <w:t> </w:t>
            </w:r>
          </w:p>
        </w:tc>
        <w:tc>
          <w:tcPr>
            <w:tcW w:w="485" w:type="dxa"/>
            <w:tcBorders>
              <w:top w:val="nil"/>
              <w:left w:val="nil"/>
              <w:bottom w:val="single" w:sz="4" w:space="0" w:color="auto"/>
              <w:right w:val="single" w:sz="4" w:space="0" w:color="auto"/>
            </w:tcBorders>
            <w:shd w:val="clear" w:color="000000" w:fill="CCFFFF"/>
            <w:vAlign w:val="bottom"/>
            <w:hideMark/>
          </w:tcPr>
          <w:p w14:paraId="7D5A93BC" w14:textId="77777777" w:rsidR="001752B7" w:rsidRPr="001752B7" w:rsidRDefault="001752B7" w:rsidP="001752B7">
            <w:pPr>
              <w:spacing w:after="0" w:line="240" w:lineRule="auto"/>
              <w:jc w:val="right"/>
              <w:rPr>
                <w:rFonts w:ascii="Calibri" w:eastAsia="Times New Roman" w:hAnsi="Calibri" w:cs="Calibri"/>
                <w:lang w:eastAsia="hr-HR"/>
              </w:rPr>
            </w:pPr>
            <w:r w:rsidRPr="001752B7">
              <w:rPr>
                <w:rFonts w:ascii="Calibri" w:eastAsia="Times New Roman" w:hAnsi="Calibri" w:cs="Calibri"/>
                <w:lang w:eastAsia="hr-HR"/>
              </w:rPr>
              <w:t> </w:t>
            </w:r>
          </w:p>
        </w:tc>
        <w:tc>
          <w:tcPr>
            <w:tcW w:w="561" w:type="dxa"/>
            <w:tcBorders>
              <w:top w:val="nil"/>
              <w:left w:val="nil"/>
              <w:bottom w:val="single" w:sz="4" w:space="0" w:color="auto"/>
              <w:right w:val="nil"/>
            </w:tcBorders>
            <w:shd w:val="clear" w:color="000000" w:fill="33CCCC"/>
            <w:noWrap/>
            <w:vAlign w:val="bottom"/>
            <w:hideMark/>
          </w:tcPr>
          <w:p w14:paraId="16E28C89" w14:textId="77777777" w:rsidR="001752B7" w:rsidRPr="001752B7" w:rsidRDefault="001752B7" w:rsidP="001752B7">
            <w:pPr>
              <w:spacing w:after="0" w:line="240" w:lineRule="auto"/>
              <w:jc w:val="right"/>
              <w:rPr>
                <w:rFonts w:ascii="Calibri" w:eastAsia="Times New Roman" w:hAnsi="Calibri" w:cs="Calibri"/>
                <w:lang w:eastAsia="hr-HR"/>
              </w:rPr>
            </w:pPr>
            <w:r w:rsidRPr="001752B7">
              <w:rPr>
                <w:rFonts w:ascii="Calibri" w:eastAsia="Times New Roman" w:hAnsi="Calibri" w:cs="Calibri"/>
                <w:lang w:eastAsia="hr-HR"/>
              </w:rPr>
              <w:t> </w:t>
            </w:r>
          </w:p>
        </w:tc>
        <w:tc>
          <w:tcPr>
            <w:tcW w:w="595" w:type="dxa"/>
            <w:tcBorders>
              <w:top w:val="nil"/>
              <w:left w:val="single" w:sz="4" w:space="0" w:color="auto"/>
              <w:bottom w:val="single" w:sz="4" w:space="0" w:color="auto"/>
              <w:right w:val="single" w:sz="8" w:space="0" w:color="auto"/>
            </w:tcBorders>
            <w:shd w:val="clear" w:color="000000" w:fill="33CCCC"/>
            <w:noWrap/>
            <w:vAlign w:val="bottom"/>
            <w:hideMark/>
          </w:tcPr>
          <w:p w14:paraId="0C36135A" w14:textId="77777777" w:rsidR="001752B7" w:rsidRPr="001752B7" w:rsidRDefault="001752B7" w:rsidP="001752B7">
            <w:pPr>
              <w:spacing w:after="0" w:line="240" w:lineRule="auto"/>
              <w:jc w:val="right"/>
              <w:rPr>
                <w:rFonts w:ascii="Calibri" w:eastAsia="Times New Roman" w:hAnsi="Calibri" w:cs="Calibri"/>
                <w:lang w:eastAsia="hr-HR"/>
              </w:rPr>
            </w:pPr>
            <w:r w:rsidRPr="001752B7">
              <w:rPr>
                <w:rFonts w:ascii="Calibri" w:eastAsia="Times New Roman" w:hAnsi="Calibri" w:cs="Calibri"/>
                <w:lang w:eastAsia="hr-HR"/>
              </w:rPr>
              <w:t> </w:t>
            </w:r>
          </w:p>
        </w:tc>
        <w:tc>
          <w:tcPr>
            <w:tcW w:w="266" w:type="dxa"/>
            <w:gridSpan w:val="3"/>
            <w:vAlign w:val="center"/>
            <w:hideMark/>
          </w:tcPr>
          <w:p w14:paraId="11912449" w14:textId="77777777" w:rsidR="001752B7" w:rsidRPr="001752B7" w:rsidRDefault="001752B7" w:rsidP="001752B7">
            <w:pPr>
              <w:spacing w:after="0" w:line="240" w:lineRule="auto"/>
              <w:rPr>
                <w:rFonts w:ascii="Times New Roman" w:eastAsia="Times New Roman" w:hAnsi="Times New Roman" w:cs="Times New Roman"/>
                <w:sz w:val="20"/>
                <w:szCs w:val="20"/>
                <w:lang w:eastAsia="hr-HR"/>
              </w:rPr>
            </w:pPr>
          </w:p>
        </w:tc>
      </w:tr>
      <w:tr w:rsidR="001752B7" w:rsidRPr="001752B7" w14:paraId="0E3353F4" w14:textId="77777777" w:rsidTr="000271A1">
        <w:trPr>
          <w:trHeight w:val="300"/>
        </w:trPr>
        <w:tc>
          <w:tcPr>
            <w:tcW w:w="1404" w:type="dxa"/>
            <w:tcBorders>
              <w:top w:val="single" w:sz="4" w:space="0" w:color="auto"/>
              <w:left w:val="single" w:sz="8" w:space="0" w:color="auto"/>
              <w:bottom w:val="single" w:sz="4" w:space="0" w:color="auto"/>
              <w:right w:val="single" w:sz="4" w:space="0" w:color="auto"/>
            </w:tcBorders>
            <w:shd w:val="clear" w:color="000000" w:fill="CCFFCC"/>
            <w:vAlign w:val="center"/>
            <w:hideMark/>
          </w:tcPr>
          <w:p w14:paraId="46D19D49" w14:textId="77777777" w:rsidR="001752B7" w:rsidRPr="001752B7" w:rsidRDefault="001752B7" w:rsidP="001752B7">
            <w:pPr>
              <w:spacing w:after="0" w:line="240" w:lineRule="auto"/>
              <w:rPr>
                <w:rFonts w:ascii="Calibri" w:eastAsia="Times New Roman" w:hAnsi="Calibri" w:cs="Calibri"/>
                <w:lang w:eastAsia="hr-HR"/>
              </w:rPr>
            </w:pPr>
            <w:r w:rsidRPr="001752B7">
              <w:rPr>
                <w:rFonts w:ascii="Calibri" w:eastAsia="Times New Roman" w:hAnsi="Calibri" w:cs="Calibri"/>
                <w:lang w:eastAsia="hr-HR"/>
              </w:rPr>
              <w:t>Društveni položaj</w:t>
            </w:r>
          </w:p>
        </w:tc>
        <w:tc>
          <w:tcPr>
            <w:tcW w:w="545" w:type="dxa"/>
            <w:tcBorders>
              <w:top w:val="nil"/>
              <w:left w:val="nil"/>
              <w:bottom w:val="single" w:sz="4" w:space="0" w:color="auto"/>
              <w:right w:val="single" w:sz="4" w:space="0" w:color="auto"/>
            </w:tcBorders>
            <w:shd w:val="clear" w:color="000000" w:fill="CCFFCC"/>
            <w:vAlign w:val="center"/>
            <w:hideMark/>
          </w:tcPr>
          <w:p w14:paraId="728BE2F1" w14:textId="77777777" w:rsidR="001752B7" w:rsidRPr="001752B7" w:rsidRDefault="001752B7" w:rsidP="001752B7">
            <w:pPr>
              <w:spacing w:after="0" w:line="240" w:lineRule="auto"/>
              <w:jc w:val="right"/>
              <w:rPr>
                <w:rFonts w:ascii="Calibri" w:eastAsia="Times New Roman" w:hAnsi="Calibri" w:cs="Calibri"/>
                <w:lang w:eastAsia="hr-HR"/>
              </w:rPr>
            </w:pPr>
            <w:r w:rsidRPr="001752B7">
              <w:rPr>
                <w:rFonts w:ascii="Calibri" w:eastAsia="Times New Roman" w:hAnsi="Calibri" w:cs="Calibri"/>
                <w:lang w:eastAsia="hr-HR"/>
              </w:rPr>
              <w:t>13</w:t>
            </w:r>
          </w:p>
        </w:tc>
        <w:tc>
          <w:tcPr>
            <w:tcW w:w="573" w:type="dxa"/>
            <w:tcBorders>
              <w:top w:val="nil"/>
              <w:left w:val="nil"/>
              <w:bottom w:val="single" w:sz="4" w:space="0" w:color="auto"/>
              <w:right w:val="single" w:sz="4" w:space="0" w:color="auto"/>
            </w:tcBorders>
            <w:shd w:val="clear" w:color="000000" w:fill="FFCC99"/>
            <w:noWrap/>
            <w:vAlign w:val="bottom"/>
            <w:hideMark/>
          </w:tcPr>
          <w:p w14:paraId="7B8E2731" w14:textId="77777777" w:rsidR="001752B7" w:rsidRPr="001752B7" w:rsidRDefault="001752B7" w:rsidP="001752B7">
            <w:pPr>
              <w:spacing w:after="0" w:line="240" w:lineRule="auto"/>
              <w:jc w:val="right"/>
              <w:rPr>
                <w:rFonts w:ascii="Calibri" w:eastAsia="Times New Roman" w:hAnsi="Calibri" w:cs="Calibri"/>
                <w:lang w:eastAsia="hr-HR"/>
              </w:rPr>
            </w:pPr>
            <w:r w:rsidRPr="001752B7">
              <w:rPr>
                <w:rFonts w:ascii="Calibri" w:eastAsia="Times New Roman" w:hAnsi="Calibri" w:cs="Calibri"/>
                <w:lang w:eastAsia="hr-HR"/>
              </w:rPr>
              <w:t>10</w:t>
            </w:r>
          </w:p>
        </w:tc>
        <w:tc>
          <w:tcPr>
            <w:tcW w:w="855" w:type="dxa"/>
            <w:tcBorders>
              <w:top w:val="nil"/>
              <w:left w:val="nil"/>
              <w:bottom w:val="single" w:sz="4" w:space="0" w:color="auto"/>
              <w:right w:val="single" w:sz="4" w:space="0" w:color="auto"/>
            </w:tcBorders>
            <w:shd w:val="clear" w:color="000000" w:fill="CCFFFF"/>
            <w:noWrap/>
            <w:vAlign w:val="bottom"/>
            <w:hideMark/>
          </w:tcPr>
          <w:p w14:paraId="17827585" w14:textId="77777777" w:rsidR="001752B7" w:rsidRPr="001752B7" w:rsidRDefault="001752B7" w:rsidP="001752B7">
            <w:pPr>
              <w:spacing w:after="0" w:line="240" w:lineRule="auto"/>
              <w:jc w:val="right"/>
              <w:rPr>
                <w:rFonts w:ascii="Calibri" w:eastAsia="Times New Roman" w:hAnsi="Calibri" w:cs="Calibri"/>
                <w:lang w:eastAsia="hr-HR"/>
              </w:rPr>
            </w:pPr>
            <w:r w:rsidRPr="001752B7">
              <w:rPr>
                <w:rFonts w:ascii="Calibri" w:eastAsia="Times New Roman" w:hAnsi="Calibri" w:cs="Calibri"/>
                <w:lang w:eastAsia="hr-HR"/>
              </w:rPr>
              <w:t> </w:t>
            </w:r>
          </w:p>
        </w:tc>
        <w:tc>
          <w:tcPr>
            <w:tcW w:w="638" w:type="dxa"/>
            <w:tcBorders>
              <w:top w:val="nil"/>
              <w:left w:val="nil"/>
              <w:bottom w:val="single" w:sz="4" w:space="0" w:color="auto"/>
              <w:right w:val="single" w:sz="4" w:space="0" w:color="auto"/>
            </w:tcBorders>
            <w:shd w:val="clear" w:color="000000" w:fill="CCFFFF"/>
            <w:noWrap/>
            <w:vAlign w:val="bottom"/>
            <w:hideMark/>
          </w:tcPr>
          <w:p w14:paraId="02E32665" w14:textId="77777777" w:rsidR="001752B7" w:rsidRPr="001752B7" w:rsidRDefault="001752B7" w:rsidP="001752B7">
            <w:pPr>
              <w:spacing w:after="0" w:line="240" w:lineRule="auto"/>
              <w:jc w:val="right"/>
              <w:rPr>
                <w:rFonts w:ascii="Calibri" w:eastAsia="Times New Roman" w:hAnsi="Calibri" w:cs="Calibri"/>
                <w:lang w:eastAsia="hr-HR"/>
              </w:rPr>
            </w:pPr>
            <w:r w:rsidRPr="001752B7">
              <w:rPr>
                <w:rFonts w:ascii="Calibri" w:eastAsia="Times New Roman" w:hAnsi="Calibri" w:cs="Calibri"/>
                <w:lang w:eastAsia="hr-HR"/>
              </w:rPr>
              <w:t>5</w:t>
            </w:r>
          </w:p>
        </w:tc>
        <w:tc>
          <w:tcPr>
            <w:tcW w:w="580" w:type="dxa"/>
            <w:tcBorders>
              <w:top w:val="nil"/>
              <w:left w:val="nil"/>
              <w:bottom w:val="single" w:sz="4" w:space="0" w:color="auto"/>
              <w:right w:val="single" w:sz="4" w:space="0" w:color="auto"/>
            </w:tcBorders>
            <w:shd w:val="clear" w:color="000000" w:fill="FFFF99"/>
            <w:noWrap/>
            <w:vAlign w:val="bottom"/>
            <w:hideMark/>
          </w:tcPr>
          <w:p w14:paraId="5F449135" w14:textId="77777777" w:rsidR="001752B7" w:rsidRPr="001752B7" w:rsidRDefault="001752B7" w:rsidP="001752B7">
            <w:pPr>
              <w:spacing w:after="0" w:line="240" w:lineRule="auto"/>
              <w:jc w:val="right"/>
              <w:rPr>
                <w:rFonts w:ascii="Calibri" w:eastAsia="Times New Roman" w:hAnsi="Calibri" w:cs="Calibri"/>
                <w:lang w:eastAsia="hr-HR"/>
              </w:rPr>
            </w:pPr>
            <w:r w:rsidRPr="001752B7">
              <w:rPr>
                <w:rFonts w:ascii="Calibri" w:eastAsia="Times New Roman" w:hAnsi="Calibri" w:cs="Calibri"/>
                <w:lang w:eastAsia="hr-HR"/>
              </w:rPr>
              <w:t>9</w:t>
            </w:r>
          </w:p>
        </w:tc>
        <w:tc>
          <w:tcPr>
            <w:tcW w:w="447" w:type="dxa"/>
            <w:tcBorders>
              <w:top w:val="nil"/>
              <w:left w:val="nil"/>
              <w:bottom w:val="single" w:sz="4" w:space="0" w:color="auto"/>
              <w:right w:val="single" w:sz="4" w:space="0" w:color="auto"/>
            </w:tcBorders>
            <w:shd w:val="clear" w:color="000000" w:fill="FFFF99"/>
            <w:noWrap/>
            <w:vAlign w:val="bottom"/>
            <w:hideMark/>
          </w:tcPr>
          <w:p w14:paraId="64839803" w14:textId="77777777" w:rsidR="001752B7" w:rsidRPr="001752B7" w:rsidRDefault="001752B7" w:rsidP="001752B7">
            <w:pPr>
              <w:spacing w:after="0" w:line="240" w:lineRule="auto"/>
              <w:jc w:val="right"/>
              <w:rPr>
                <w:rFonts w:ascii="Calibri" w:eastAsia="Times New Roman" w:hAnsi="Calibri" w:cs="Calibri"/>
                <w:lang w:eastAsia="hr-HR"/>
              </w:rPr>
            </w:pPr>
            <w:r w:rsidRPr="001752B7">
              <w:rPr>
                <w:rFonts w:ascii="Calibri" w:eastAsia="Times New Roman" w:hAnsi="Calibri" w:cs="Calibri"/>
                <w:lang w:eastAsia="hr-HR"/>
              </w:rPr>
              <w:t> </w:t>
            </w:r>
          </w:p>
        </w:tc>
        <w:tc>
          <w:tcPr>
            <w:tcW w:w="447" w:type="dxa"/>
            <w:tcBorders>
              <w:top w:val="nil"/>
              <w:left w:val="nil"/>
              <w:bottom w:val="single" w:sz="4" w:space="0" w:color="auto"/>
              <w:right w:val="single" w:sz="4" w:space="0" w:color="auto"/>
            </w:tcBorders>
            <w:shd w:val="clear" w:color="000000" w:fill="FFFF99"/>
            <w:noWrap/>
            <w:vAlign w:val="bottom"/>
            <w:hideMark/>
          </w:tcPr>
          <w:p w14:paraId="276BA24D" w14:textId="77777777" w:rsidR="001752B7" w:rsidRPr="001752B7" w:rsidRDefault="001752B7" w:rsidP="001752B7">
            <w:pPr>
              <w:spacing w:after="0" w:line="240" w:lineRule="auto"/>
              <w:jc w:val="right"/>
              <w:rPr>
                <w:rFonts w:ascii="Calibri" w:eastAsia="Times New Roman" w:hAnsi="Calibri" w:cs="Calibri"/>
                <w:lang w:eastAsia="hr-HR"/>
              </w:rPr>
            </w:pPr>
            <w:r w:rsidRPr="001752B7">
              <w:rPr>
                <w:rFonts w:ascii="Calibri" w:eastAsia="Times New Roman" w:hAnsi="Calibri" w:cs="Calibri"/>
                <w:lang w:eastAsia="hr-HR"/>
              </w:rPr>
              <w:t> </w:t>
            </w:r>
          </w:p>
        </w:tc>
        <w:tc>
          <w:tcPr>
            <w:tcW w:w="447" w:type="dxa"/>
            <w:tcBorders>
              <w:top w:val="nil"/>
              <w:left w:val="nil"/>
              <w:bottom w:val="single" w:sz="4" w:space="0" w:color="auto"/>
              <w:right w:val="single" w:sz="4" w:space="0" w:color="auto"/>
            </w:tcBorders>
            <w:shd w:val="clear" w:color="000000" w:fill="FFFF99"/>
            <w:noWrap/>
            <w:vAlign w:val="bottom"/>
            <w:hideMark/>
          </w:tcPr>
          <w:p w14:paraId="673E3D6F" w14:textId="77777777" w:rsidR="001752B7" w:rsidRPr="001752B7" w:rsidRDefault="001752B7" w:rsidP="001752B7">
            <w:pPr>
              <w:spacing w:after="0" w:line="240" w:lineRule="auto"/>
              <w:jc w:val="right"/>
              <w:rPr>
                <w:rFonts w:ascii="Calibri" w:eastAsia="Times New Roman" w:hAnsi="Calibri" w:cs="Calibri"/>
                <w:lang w:eastAsia="hr-HR"/>
              </w:rPr>
            </w:pPr>
            <w:r w:rsidRPr="001752B7">
              <w:rPr>
                <w:rFonts w:ascii="Calibri" w:eastAsia="Times New Roman" w:hAnsi="Calibri" w:cs="Calibri"/>
                <w:lang w:eastAsia="hr-HR"/>
              </w:rPr>
              <w:t> </w:t>
            </w:r>
          </w:p>
        </w:tc>
        <w:tc>
          <w:tcPr>
            <w:tcW w:w="447" w:type="dxa"/>
            <w:tcBorders>
              <w:top w:val="nil"/>
              <w:left w:val="nil"/>
              <w:bottom w:val="single" w:sz="4" w:space="0" w:color="auto"/>
              <w:right w:val="single" w:sz="4" w:space="0" w:color="auto"/>
            </w:tcBorders>
            <w:shd w:val="clear" w:color="000000" w:fill="FFFF99"/>
            <w:noWrap/>
            <w:vAlign w:val="bottom"/>
            <w:hideMark/>
          </w:tcPr>
          <w:p w14:paraId="59C7C6E1" w14:textId="77777777" w:rsidR="001752B7" w:rsidRPr="001752B7" w:rsidRDefault="001752B7" w:rsidP="001752B7">
            <w:pPr>
              <w:spacing w:after="0" w:line="240" w:lineRule="auto"/>
              <w:jc w:val="right"/>
              <w:rPr>
                <w:rFonts w:ascii="Calibri" w:eastAsia="Times New Roman" w:hAnsi="Calibri" w:cs="Calibri"/>
                <w:lang w:eastAsia="hr-HR"/>
              </w:rPr>
            </w:pPr>
            <w:r w:rsidRPr="001752B7">
              <w:rPr>
                <w:rFonts w:ascii="Calibri" w:eastAsia="Times New Roman" w:hAnsi="Calibri" w:cs="Calibri"/>
                <w:lang w:eastAsia="hr-HR"/>
              </w:rPr>
              <w:t>2</w:t>
            </w:r>
          </w:p>
        </w:tc>
        <w:tc>
          <w:tcPr>
            <w:tcW w:w="572" w:type="dxa"/>
            <w:tcBorders>
              <w:top w:val="nil"/>
              <w:left w:val="nil"/>
              <w:bottom w:val="single" w:sz="4" w:space="0" w:color="auto"/>
              <w:right w:val="single" w:sz="4" w:space="0" w:color="auto"/>
            </w:tcBorders>
            <w:shd w:val="clear" w:color="000000" w:fill="FF9900"/>
            <w:noWrap/>
            <w:vAlign w:val="bottom"/>
            <w:hideMark/>
          </w:tcPr>
          <w:p w14:paraId="602593BB" w14:textId="77777777" w:rsidR="001752B7" w:rsidRPr="001752B7" w:rsidRDefault="001752B7" w:rsidP="001752B7">
            <w:pPr>
              <w:spacing w:after="0" w:line="240" w:lineRule="auto"/>
              <w:jc w:val="right"/>
              <w:rPr>
                <w:rFonts w:ascii="Calibri" w:eastAsia="Times New Roman" w:hAnsi="Calibri" w:cs="Calibri"/>
                <w:lang w:eastAsia="hr-HR"/>
              </w:rPr>
            </w:pPr>
            <w:r w:rsidRPr="001752B7">
              <w:rPr>
                <w:rFonts w:ascii="Calibri" w:eastAsia="Times New Roman" w:hAnsi="Calibri" w:cs="Calibri"/>
                <w:lang w:eastAsia="hr-HR"/>
              </w:rPr>
              <w:t>2</w:t>
            </w:r>
          </w:p>
        </w:tc>
        <w:tc>
          <w:tcPr>
            <w:tcW w:w="467" w:type="dxa"/>
            <w:tcBorders>
              <w:top w:val="nil"/>
              <w:left w:val="nil"/>
              <w:bottom w:val="single" w:sz="4" w:space="0" w:color="auto"/>
              <w:right w:val="single" w:sz="4" w:space="0" w:color="auto"/>
            </w:tcBorders>
            <w:shd w:val="clear" w:color="000000" w:fill="FF9900"/>
            <w:noWrap/>
            <w:vAlign w:val="bottom"/>
            <w:hideMark/>
          </w:tcPr>
          <w:p w14:paraId="1CA15FA7" w14:textId="77777777" w:rsidR="001752B7" w:rsidRPr="001752B7" w:rsidRDefault="001752B7" w:rsidP="001752B7">
            <w:pPr>
              <w:spacing w:after="0" w:line="240" w:lineRule="auto"/>
              <w:jc w:val="right"/>
              <w:rPr>
                <w:rFonts w:ascii="Calibri" w:eastAsia="Times New Roman" w:hAnsi="Calibri" w:cs="Calibri"/>
                <w:lang w:eastAsia="hr-HR"/>
              </w:rPr>
            </w:pPr>
            <w:r w:rsidRPr="001752B7">
              <w:rPr>
                <w:rFonts w:ascii="Calibri" w:eastAsia="Times New Roman" w:hAnsi="Calibri" w:cs="Calibri"/>
                <w:lang w:eastAsia="hr-HR"/>
              </w:rPr>
              <w:t>8</w:t>
            </w:r>
          </w:p>
        </w:tc>
        <w:tc>
          <w:tcPr>
            <w:tcW w:w="579" w:type="dxa"/>
            <w:tcBorders>
              <w:top w:val="nil"/>
              <w:left w:val="nil"/>
              <w:bottom w:val="single" w:sz="4" w:space="0" w:color="auto"/>
              <w:right w:val="single" w:sz="4" w:space="0" w:color="auto"/>
            </w:tcBorders>
            <w:shd w:val="clear" w:color="000000" w:fill="FF9900"/>
            <w:noWrap/>
            <w:vAlign w:val="bottom"/>
            <w:hideMark/>
          </w:tcPr>
          <w:p w14:paraId="75DF40AA" w14:textId="77777777" w:rsidR="001752B7" w:rsidRPr="001752B7" w:rsidRDefault="001752B7" w:rsidP="001752B7">
            <w:pPr>
              <w:spacing w:after="0" w:line="240" w:lineRule="auto"/>
              <w:jc w:val="right"/>
              <w:rPr>
                <w:rFonts w:ascii="Calibri" w:eastAsia="Times New Roman" w:hAnsi="Calibri" w:cs="Calibri"/>
                <w:lang w:eastAsia="hr-HR"/>
              </w:rPr>
            </w:pPr>
            <w:r w:rsidRPr="001752B7">
              <w:rPr>
                <w:rFonts w:ascii="Calibri" w:eastAsia="Times New Roman" w:hAnsi="Calibri" w:cs="Calibri"/>
                <w:lang w:eastAsia="hr-HR"/>
              </w:rPr>
              <w:t>2</w:t>
            </w:r>
          </w:p>
        </w:tc>
        <w:tc>
          <w:tcPr>
            <w:tcW w:w="447" w:type="dxa"/>
            <w:tcBorders>
              <w:top w:val="nil"/>
              <w:left w:val="nil"/>
              <w:bottom w:val="single" w:sz="4" w:space="0" w:color="auto"/>
              <w:right w:val="single" w:sz="4" w:space="0" w:color="auto"/>
            </w:tcBorders>
            <w:shd w:val="clear" w:color="000000" w:fill="66FFCC"/>
            <w:noWrap/>
            <w:vAlign w:val="bottom"/>
            <w:hideMark/>
          </w:tcPr>
          <w:p w14:paraId="10C0A00A" w14:textId="77777777" w:rsidR="001752B7" w:rsidRPr="001752B7" w:rsidRDefault="001752B7" w:rsidP="001752B7">
            <w:pPr>
              <w:spacing w:after="0" w:line="240" w:lineRule="auto"/>
              <w:jc w:val="right"/>
              <w:rPr>
                <w:rFonts w:ascii="Calibri" w:eastAsia="Times New Roman" w:hAnsi="Calibri" w:cs="Calibri"/>
                <w:lang w:eastAsia="hr-HR"/>
              </w:rPr>
            </w:pPr>
            <w:r w:rsidRPr="001752B7">
              <w:rPr>
                <w:rFonts w:ascii="Calibri" w:eastAsia="Times New Roman" w:hAnsi="Calibri" w:cs="Calibri"/>
                <w:lang w:eastAsia="hr-HR"/>
              </w:rPr>
              <w:t> </w:t>
            </w:r>
          </w:p>
        </w:tc>
        <w:tc>
          <w:tcPr>
            <w:tcW w:w="447" w:type="dxa"/>
            <w:tcBorders>
              <w:top w:val="nil"/>
              <w:left w:val="nil"/>
              <w:bottom w:val="single" w:sz="4" w:space="0" w:color="auto"/>
              <w:right w:val="single" w:sz="4" w:space="0" w:color="auto"/>
            </w:tcBorders>
            <w:shd w:val="clear" w:color="000000" w:fill="66FFCC"/>
            <w:noWrap/>
            <w:vAlign w:val="bottom"/>
            <w:hideMark/>
          </w:tcPr>
          <w:p w14:paraId="48C850DC" w14:textId="77777777" w:rsidR="001752B7" w:rsidRPr="001752B7" w:rsidRDefault="001752B7" w:rsidP="001752B7">
            <w:pPr>
              <w:spacing w:after="0" w:line="240" w:lineRule="auto"/>
              <w:jc w:val="right"/>
              <w:rPr>
                <w:rFonts w:ascii="Calibri" w:eastAsia="Times New Roman" w:hAnsi="Calibri" w:cs="Calibri"/>
                <w:lang w:eastAsia="hr-HR"/>
              </w:rPr>
            </w:pPr>
            <w:r w:rsidRPr="001752B7">
              <w:rPr>
                <w:rFonts w:ascii="Calibri" w:eastAsia="Times New Roman" w:hAnsi="Calibri" w:cs="Calibri"/>
                <w:lang w:eastAsia="hr-HR"/>
              </w:rPr>
              <w:t>1</w:t>
            </w:r>
          </w:p>
        </w:tc>
        <w:tc>
          <w:tcPr>
            <w:tcW w:w="698" w:type="dxa"/>
            <w:tcBorders>
              <w:top w:val="nil"/>
              <w:left w:val="nil"/>
              <w:bottom w:val="single" w:sz="4" w:space="0" w:color="auto"/>
              <w:right w:val="single" w:sz="4" w:space="0" w:color="auto"/>
            </w:tcBorders>
            <w:shd w:val="clear" w:color="000000" w:fill="66FFCC"/>
            <w:noWrap/>
            <w:vAlign w:val="bottom"/>
            <w:hideMark/>
          </w:tcPr>
          <w:p w14:paraId="47D2EEB9" w14:textId="77777777" w:rsidR="001752B7" w:rsidRPr="001752B7" w:rsidRDefault="001752B7" w:rsidP="001752B7">
            <w:pPr>
              <w:spacing w:after="0" w:line="240" w:lineRule="auto"/>
              <w:jc w:val="right"/>
              <w:rPr>
                <w:rFonts w:ascii="Calibri" w:eastAsia="Times New Roman" w:hAnsi="Calibri" w:cs="Calibri"/>
                <w:lang w:eastAsia="hr-HR"/>
              </w:rPr>
            </w:pPr>
            <w:r w:rsidRPr="001752B7">
              <w:rPr>
                <w:rFonts w:ascii="Calibri" w:eastAsia="Times New Roman" w:hAnsi="Calibri" w:cs="Calibri"/>
                <w:lang w:eastAsia="hr-HR"/>
              </w:rPr>
              <w:t>1</w:t>
            </w:r>
          </w:p>
        </w:tc>
        <w:tc>
          <w:tcPr>
            <w:tcW w:w="447" w:type="dxa"/>
            <w:tcBorders>
              <w:top w:val="nil"/>
              <w:left w:val="nil"/>
              <w:bottom w:val="single" w:sz="4" w:space="0" w:color="auto"/>
              <w:right w:val="single" w:sz="4" w:space="0" w:color="auto"/>
            </w:tcBorders>
            <w:shd w:val="clear" w:color="000000" w:fill="66FFCC"/>
            <w:noWrap/>
            <w:vAlign w:val="bottom"/>
            <w:hideMark/>
          </w:tcPr>
          <w:p w14:paraId="021D1124" w14:textId="77777777" w:rsidR="001752B7" w:rsidRPr="001752B7" w:rsidRDefault="001752B7" w:rsidP="001752B7">
            <w:pPr>
              <w:spacing w:after="0" w:line="240" w:lineRule="auto"/>
              <w:jc w:val="right"/>
              <w:rPr>
                <w:rFonts w:ascii="Calibri" w:eastAsia="Times New Roman" w:hAnsi="Calibri" w:cs="Calibri"/>
                <w:lang w:eastAsia="hr-HR"/>
              </w:rPr>
            </w:pPr>
            <w:r w:rsidRPr="001752B7">
              <w:rPr>
                <w:rFonts w:ascii="Calibri" w:eastAsia="Times New Roman" w:hAnsi="Calibri" w:cs="Calibri"/>
                <w:lang w:eastAsia="hr-HR"/>
              </w:rPr>
              <w:t>2</w:t>
            </w:r>
          </w:p>
        </w:tc>
        <w:tc>
          <w:tcPr>
            <w:tcW w:w="652" w:type="dxa"/>
            <w:tcBorders>
              <w:top w:val="nil"/>
              <w:left w:val="nil"/>
              <w:bottom w:val="single" w:sz="4" w:space="0" w:color="auto"/>
              <w:right w:val="single" w:sz="4" w:space="0" w:color="auto"/>
            </w:tcBorders>
            <w:shd w:val="clear" w:color="000000" w:fill="FFFF00"/>
            <w:vAlign w:val="center"/>
            <w:hideMark/>
          </w:tcPr>
          <w:p w14:paraId="30275511" w14:textId="77777777" w:rsidR="001752B7" w:rsidRPr="001752B7" w:rsidRDefault="001752B7" w:rsidP="001752B7">
            <w:pPr>
              <w:spacing w:after="0" w:line="240" w:lineRule="auto"/>
              <w:jc w:val="right"/>
              <w:rPr>
                <w:rFonts w:ascii="Calibri" w:eastAsia="Times New Roman" w:hAnsi="Calibri" w:cs="Calibri"/>
                <w:lang w:eastAsia="hr-HR"/>
              </w:rPr>
            </w:pPr>
            <w:r w:rsidRPr="001752B7">
              <w:rPr>
                <w:rFonts w:ascii="Calibri" w:eastAsia="Times New Roman" w:hAnsi="Calibri" w:cs="Calibri"/>
                <w:lang w:eastAsia="hr-HR"/>
              </w:rPr>
              <w:t>12</w:t>
            </w:r>
          </w:p>
        </w:tc>
        <w:tc>
          <w:tcPr>
            <w:tcW w:w="614" w:type="dxa"/>
            <w:tcBorders>
              <w:top w:val="nil"/>
              <w:left w:val="nil"/>
              <w:bottom w:val="single" w:sz="4" w:space="0" w:color="auto"/>
              <w:right w:val="single" w:sz="4" w:space="0" w:color="auto"/>
            </w:tcBorders>
            <w:shd w:val="clear" w:color="000000" w:fill="FFFF99"/>
            <w:vAlign w:val="center"/>
            <w:hideMark/>
          </w:tcPr>
          <w:p w14:paraId="6FF72F7D" w14:textId="77777777" w:rsidR="001752B7" w:rsidRPr="001752B7" w:rsidRDefault="001752B7" w:rsidP="001752B7">
            <w:pPr>
              <w:spacing w:after="0" w:line="240" w:lineRule="auto"/>
              <w:jc w:val="right"/>
              <w:rPr>
                <w:rFonts w:ascii="Calibri" w:eastAsia="Times New Roman" w:hAnsi="Calibri" w:cs="Calibri"/>
                <w:lang w:eastAsia="hr-HR"/>
              </w:rPr>
            </w:pPr>
            <w:r w:rsidRPr="001752B7">
              <w:rPr>
                <w:rFonts w:ascii="Calibri" w:eastAsia="Times New Roman" w:hAnsi="Calibri" w:cs="Calibri"/>
                <w:lang w:eastAsia="hr-HR"/>
              </w:rPr>
              <w:t>11</w:t>
            </w:r>
          </w:p>
        </w:tc>
        <w:tc>
          <w:tcPr>
            <w:tcW w:w="519" w:type="dxa"/>
            <w:tcBorders>
              <w:top w:val="nil"/>
              <w:left w:val="nil"/>
              <w:bottom w:val="single" w:sz="4" w:space="0" w:color="auto"/>
              <w:right w:val="single" w:sz="4" w:space="0" w:color="auto"/>
            </w:tcBorders>
            <w:shd w:val="clear" w:color="000000" w:fill="FF9900"/>
            <w:vAlign w:val="center"/>
            <w:hideMark/>
          </w:tcPr>
          <w:p w14:paraId="78E5B5BC" w14:textId="77777777" w:rsidR="001752B7" w:rsidRPr="001752B7" w:rsidRDefault="001752B7" w:rsidP="001752B7">
            <w:pPr>
              <w:spacing w:after="0" w:line="240" w:lineRule="auto"/>
              <w:jc w:val="right"/>
              <w:rPr>
                <w:rFonts w:ascii="Calibri" w:eastAsia="Times New Roman" w:hAnsi="Calibri" w:cs="Calibri"/>
                <w:lang w:eastAsia="hr-HR"/>
              </w:rPr>
            </w:pPr>
            <w:r w:rsidRPr="001752B7">
              <w:rPr>
                <w:rFonts w:ascii="Calibri" w:eastAsia="Times New Roman" w:hAnsi="Calibri" w:cs="Calibri"/>
                <w:lang w:eastAsia="hr-HR"/>
              </w:rPr>
              <w:t>2</w:t>
            </w:r>
          </w:p>
        </w:tc>
        <w:tc>
          <w:tcPr>
            <w:tcW w:w="477" w:type="dxa"/>
            <w:tcBorders>
              <w:top w:val="nil"/>
              <w:left w:val="nil"/>
              <w:bottom w:val="single" w:sz="4" w:space="0" w:color="auto"/>
              <w:right w:val="single" w:sz="4" w:space="0" w:color="auto"/>
            </w:tcBorders>
            <w:shd w:val="clear" w:color="000000" w:fill="CCFFFF"/>
            <w:vAlign w:val="bottom"/>
            <w:hideMark/>
          </w:tcPr>
          <w:p w14:paraId="1F79D9B8" w14:textId="77777777" w:rsidR="001752B7" w:rsidRPr="001752B7" w:rsidRDefault="001752B7" w:rsidP="001752B7">
            <w:pPr>
              <w:spacing w:after="0" w:line="240" w:lineRule="auto"/>
              <w:jc w:val="right"/>
              <w:rPr>
                <w:rFonts w:ascii="Calibri" w:eastAsia="Times New Roman" w:hAnsi="Calibri" w:cs="Calibri"/>
                <w:lang w:eastAsia="hr-HR"/>
              </w:rPr>
            </w:pPr>
            <w:r w:rsidRPr="001752B7">
              <w:rPr>
                <w:rFonts w:ascii="Calibri" w:eastAsia="Times New Roman" w:hAnsi="Calibri" w:cs="Calibri"/>
                <w:lang w:eastAsia="hr-HR"/>
              </w:rPr>
              <w:t> </w:t>
            </w:r>
          </w:p>
        </w:tc>
        <w:tc>
          <w:tcPr>
            <w:tcW w:w="506" w:type="dxa"/>
            <w:tcBorders>
              <w:top w:val="nil"/>
              <w:left w:val="nil"/>
              <w:bottom w:val="single" w:sz="4" w:space="0" w:color="auto"/>
              <w:right w:val="single" w:sz="4" w:space="0" w:color="auto"/>
            </w:tcBorders>
            <w:shd w:val="clear" w:color="000000" w:fill="CCFFFF"/>
            <w:vAlign w:val="bottom"/>
            <w:hideMark/>
          </w:tcPr>
          <w:p w14:paraId="20A23B64" w14:textId="77777777" w:rsidR="001752B7" w:rsidRPr="001752B7" w:rsidRDefault="001752B7" w:rsidP="001752B7">
            <w:pPr>
              <w:spacing w:after="0" w:line="240" w:lineRule="auto"/>
              <w:jc w:val="right"/>
              <w:rPr>
                <w:rFonts w:ascii="Calibri" w:eastAsia="Times New Roman" w:hAnsi="Calibri" w:cs="Calibri"/>
                <w:lang w:eastAsia="hr-HR"/>
              </w:rPr>
            </w:pPr>
            <w:r w:rsidRPr="001752B7">
              <w:rPr>
                <w:rFonts w:ascii="Calibri" w:eastAsia="Times New Roman" w:hAnsi="Calibri" w:cs="Calibri"/>
                <w:lang w:eastAsia="hr-HR"/>
              </w:rPr>
              <w:t> </w:t>
            </w:r>
          </w:p>
        </w:tc>
        <w:tc>
          <w:tcPr>
            <w:tcW w:w="485" w:type="dxa"/>
            <w:tcBorders>
              <w:top w:val="nil"/>
              <w:left w:val="nil"/>
              <w:bottom w:val="single" w:sz="4" w:space="0" w:color="auto"/>
              <w:right w:val="single" w:sz="4" w:space="0" w:color="auto"/>
            </w:tcBorders>
            <w:shd w:val="clear" w:color="000000" w:fill="CCFFFF"/>
            <w:vAlign w:val="bottom"/>
            <w:hideMark/>
          </w:tcPr>
          <w:p w14:paraId="0ACD331D" w14:textId="77777777" w:rsidR="001752B7" w:rsidRPr="001752B7" w:rsidRDefault="001752B7" w:rsidP="001752B7">
            <w:pPr>
              <w:spacing w:after="0" w:line="240" w:lineRule="auto"/>
              <w:jc w:val="right"/>
              <w:rPr>
                <w:rFonts w:ascii="Calibri" w:eastAsia="Times New Roman" w:hAnsi="Calibri" w:cs="Calibri"/>
                <w:lang w:eastAsia="hr-HR"/>
              </w:rPr>
            </w:pPr>
            <w:r w:rsidRPr="001752B7">
              <w:rPr>
                <w:rFonts w:ascii="Calibri" w:eastAsia="Times New Roman" w:hAnsi="Calibri" w:cs="Calibri"/>
                <w:lang w:eastAsia="hr-HR"/>
              </w:rPr>
              <w:t> </w:t>
            </w:r>
          </w:p>
        </w:tc>
        <w:tc>
          <w:tcPr>
            <w:tcW w:w="561" w:type="dxa"/>
            <w:tcBorders>
              <w:top w:val="nil"/>
              <w:left w:val="nil"/>
              <w:bottom w:val="single" w:sz="4" w:space="0" w:color="auto"/>
              <w:right w:val="nil"/>
            </w:tcBorders>
            <w:shd w:val="clear" w:color="000000" w:fill="33CCCC"/>
            <w:noWrap/>
            <w:vAlign w:val="bottom"/>
            <w:hideMark/>
          </w:tcPr>
          <w:p w14:paraId="7D2E9375" w14:textId="77777777" w:rsidR="001752B7" w:rsidRPr="001752B7" w:rsidRDefault="001752B7" w:rsidP="001752B7">
            <w:pPr>
              <w:spacing w:after="0" w:line="240" w:lineRule="auto"/>
              <w:jc w:val="right"/>
              <w:rPr>
                <w:rFonts w:ascii="Calibri" w:eastAsia="Times New Roman" w:hAnsi="Calibri" w:cs="Calibri"/>
                <w:lang w:eastAsia="hr-HR"/>
              </w:rPr>
            </w:pPr>
            <w:r w:rsidRPr="001752B7">
              <w:rPr>
                <w:rFonts w:ascii="Calibri" w:eastAsia="Times New Roman" w:hAnsi="Calibri" w:cs="Calibri"/>
                <w:lang w:eastAsia="hr-HR"/>
              </w:rPr>
              <w:t>9</w:t>
            </w:r>
          </w:p>
        </w:tc>
        <w:tc>
          <w:tcPr>
            <w:tcW w:w="595" w:type="dxa"/>
            <w:tcBorders>
              <w:top w:val="nil"/>
              <w:left w:val="single" w:sz="4" w:space="0" w:color="auto"/>
              <w:bottom w:val="single" w:sz="4" w:space="0" w:color="auto"/>
              <w:right w:val="single" w:sz="8" w:space="0" w:color="auto"/>
            </w:tcBorders>
            <w:shd w:val="clear" w:color="000000" w:fill="33CCCC"/>
            <w:noWrap/>
            <w:vAlign w:val="bottom"/>
            <w:hideMark/>
          </w:tcPr>
          <w:p w14:paraId="7EDBEAFB" w14:textId="77777777" w:rsidR="001752B7" w:rsidRPr="001752B7" w:rsidRDefault="001752B7" w:rsidP="001752B7">
            <w:pPr>
              <w:spacing w:after="0" w:line="240" w:lineRule="auto"/>
              <w:jc w:val="right"/>
              <w:rPr>
                <w:rFonts w:ascii="Calibri" w:eastAsia="Times New Roman" w:hAnsi="Calibri" w:cs="Calibri"/>
                <w:lang w:eastAsia="hr-HR"/>
              </w:rPr>
            </w:pPr>
            <w:r w:rsidRPr="001752B7">
              <w:rPr>
                <w:rFonts w:ascii="Calibri" w:eastAsia="Times New Roman" w:hAnsi="Calibri" w:cs="Calibri"/>
                <w:lang w:eastAsia="hr-HR"/>
              </w:rPr>
              <w:t>3</w:t>
            </w:r>
          </w:p>
        </w:tc>
        <w:tc>
          <w:tcPr>
            <w:tcW w:w="266" w:type="dxa"/>
            <w:gridSpan w:val="3"/>
            <w:vAlign w:val="center"/>
            <w:hideMark/>
          </w:tcPr>
          <w:p w14:paraId="55D2AC93" w14:textId="77777777" w:rsidR="001752B7" w:rsidRPr="001752B7" w:rsidRDefault="001752B7" w:rsidP="001752B7">
            <w:pPr>
              <w:spacing w:after="0" w:line="240" w:lineRule="auto"/>
              <w:rPr>
                <w:rFonts w:ascii="Times New Roman" w:eastAsia="Times New Roman" w:hAnsi="Times New Roman" w:cs="Times New Roman"/>
                <w:sz w:val="20"/>
                <w:szCs w:val="20"/>
                <w:lang w:eastAsia="hr-HR"/>
              </w:rPr>
            </w:pPr>
          </w:p>
        </w:tc>
      </w:tr>
      <w:tr w:rsidR="001752B7" w:rsidRPr="001752B7" w14:paraId="2F2F73FF" w14:textId="77777777" w:rsidTr="000271A1">
        <w:trPr>
          <w:trHeight w:val="300"/>
        </w:trPr>
        <w:tc>
          <w:tcPr>
            <w:tcW w:w="1404" w:type="dxa"/>
            <w:tcBorders>
              <w:top w:val="single" w:sz="4" w:space="0" w:color="auto"/>
              <w:left w:val="single" w:sz="8" w:space="0" w:color="auto"/>
              <w:bottom w:val="single" w:sz="4" w:space="0" w:color="auto"/>
              <w:right w:val="single" w:sz="4" w:space="0" w:color="auto"/>
            </w:tcBorders>
            <w:shd w:val="clear" w:color="000000" w:fill="CCFFCC"/>
            <w:vAlign w:val="center"/>
            <w:hideMark/>
          </w:tcPr>
          <w:p w14:paraId="6228753B" w14:textId="77777777" w:rsidR="001752B7" w:rsidRPr="001752B7" w:rsidRDefault="001752B7" w:rsidP="001752B7">
            <w:pPr>
              <w:spacing w:after="0" w:line="240" w:lineRule="auto"/>
              <w:rPr>
                <w:rFonts w:ascii="Calibri" w:eastAsia="Times New Roman" w:hAnsi="Calibri" w:cs="Calibri"/>
                <w:lang w:eastAsia="hr-HR"/>
              </w:rPr>
            </w:pPr>
            <w:r w:rsidRPr="001752B7">
              <w:rPr>
                <w:rFonts w:ascii="Calibri" w:eastAsia="Times New Roman" w:hAnsi="Calibri" w:cs="Calibri"/>
                <w:lang w:eastAsia="hr-HR"/>
              </w:rPr>
              <w:t>Bračni ili obiteljski status</w:t>
            </w:r>
          </w:p>
        </w:tc>
        <w:tc>
          <w:tcPr>
            <w:tcW w:w="545" w:type="dxa"/>
            <w:tcBorders>
              <w:top w:val="nil"/>
              <w:left w:val="nil"/>
              <w:bottom w:val="single" w:sz="4" w:space="0" w:color="auto"/>
              <w:right w:val="single" w:sz="4" w:space="0" w:color="auto"/>
            </w:tcBorders>
            <w:shd w:val="clear" w:color="000000" w:fill="CCFFCC"/>
            <w:vAlign w:val="center"/>
            <w:hideMark/>
          </w:tcPr>
          <w:p w14:paraId="45263E1C" w14:textId="77777777" w:rsidR="001752B7" w:rsidRPr="001752B7" w:rsidRDefault="001752B7" w:rsidP="001752B7">
            <w:pPr>
              <w:spacing w:after="0" w:line="240" w:lineRule="auto"/>
              <w:jc w:val="right"/>
              <w:rPr>
                <w:rFonts w:ascii="Calibri" w:eastAsia="Times New Roman" w:hAnsi="Calibri" w:cs="Calibri"/>
                <w:lang w:eastAsia="hr-HR"/>
              </w:rPr>
            </w:pPr>
            <w:r w:rsidRPr="001752B7">
              <w:rPr>
                <w:rFonts w:ascii="Calibri" w:eastAsia="Times New Roman" w:hAnsi="Calibri" w:cs="Calibri"/>
                <w:lang w:eastAsia="hr-HR"/>
              </w:rPr>
              <w:t>1</w:t>
            </w:r>
          </w:p>
        </w:tc>
        <w:tc>
          <w:tcPr>
            <w:tcW w:w="573" w:type="dxa"/>
            <w:tcBorders>
              <w:top w:val="nil"/>
              <w:left w:val="nil"/>
              <w:bottom w:val="single" w:sz="4" w:space="0" w:color="auto"/>
              <w:right w:val="single" w:sz="4" w:space="0" w:color="auto"/>
            </w:tcBorders>
            <w:shd w:val="clear" w:color="000000" w:fill="FFCC99"/>
            <w:noWrap/>
            <w:vAlign w:val="bottom"/>
            <w:hideMark/>
          </w:tcPr>
          <w:p w14:paraId="6729A4AA" w14:textId="77777777" w:rsidR="001752B7" w:rsidRPr="001752B7" w:rsidRDefault="001752B7" w:rsidP="001752B7">
            <w:pPr>
              <w:spacing w:after="0" w:line="240" w:lineRule="auto"/>
              <w:jc w:val="right"/>
              <w:rPr>
                <w:rFonts w:ascii="Calibri" w:eastAsia="Times New Roman" w:hAnsi="Calibri" w:cs="Calibri"/>
                <w:lang w:eastAsia="hr-HR"/>
              </w:rPr>
            </w:pPr>
            <w:r w:rsidRPr="001752B7">
              <w:rPr>
                <w:rFonts w:ascii="Calibri" w:eastAsia="Times New Roman" w:hAnsi="Calibri" w:cs="Calibri"/>
                <w:lang w:eastAsia="hr-HR"/>
              </w:rPr>
              <w:t> </w:t>
            </w:r>
          </w:p>
        </w:tc>
        <w:tc>
          <w:tcPr>
            <w:tcW w:w="855" w:type="dxa"/>
            <w:tcBorders>
              <w:top w:val="nil"/>
              <w:left w:val="nil"/>
              <w:bottom w:val="single" w:sz="4" w:space="0" w:color="auto"/>
              <w:right w:val="single" w:sz="4" w:space="0" w:color="auto"/>
            </w:tcBorders>
            <w:shd w:val="clear" w:color="000000" w:fill="CCFFFF"/>
            <w:noWrap/>
            <w:vAlign w:val="bottom"/>
            <w:hideMark/>
          </w:tcPr>
          <w:p w14:paraId="439F0E8F" w14:textId="77777777" w:rsidR="001752B7" w:rsidRPr="001752B7" w:rsidRDefault="001752B7" w:rsidP="001752B7">
            <w:pPr>
              <w:spacing w:after="0" w:line="240" w:lineRule="auto"/>
              <w:jc w:val="right"/>
              <w:rPr>
                <w:rFonts w:ascii="Calibri" w:eastAsia="Times New Roman" w:hAnsi="Calibri" w:cs="Calibri"/>
                <w:lang w:eastAsia="hr-HR"/>
              </w:rPr>
            </w:pPr>
            <w:r w:rsidRPr="001752B7">
              <w:rPr>
                <w:rFonts w:ascii="Calibri" w:eastAsia="Times New Roman" w:hAnsi="Calibri" w:cs="Calibri"/>
                <w:lang w:eastAsia="hr-HR"/>
              </w:rPr>
              <w:t> </w:t>
            </w:r>
          </w:p>
        </w:tc>
        <w:tc>
          <w:tcPr>
            <w:tcW w:w="638" w:type="dxa"/>
            <w:tcBorders>
              <w:top w:val="nil"/>
              <w:left w:val="nil"/>
              <w:bottom w:val="single" w:sz="4" w:space="0" w:color="auto"/>
              <w:right w:val="single" w:sz="4" w:space="0" w:color="auto"/>
            </w:tcBorders>
            <w:shd w:val="clear" w:color="000000" w:fill="CCFFFF"/>
            <w:noWrap/>
            <w:vAlign w:val="bottom"/>
            <w:hideMark/>
          </w:tcPr>
          <w:p w14:paraId="47FE6701" w14:textId="77777777" w:rsidR="001752B7" w:rsidRPr="001752B7" w:rsidRDefault="001752B7" w:rsidP="001752B7">
            <w:pPr>
              <w:spacing w:after="0" w:line="240" w:lineRule="auto"/>
              <w:jc w:val="right"/>
              <w:rPr>
                <w:rFonts w:ascii="Calibri" w:eastAsia="Times New Roman" w:hAnsi="Calibri" w:cs="Calibri"/>
                <w:lang w:eastAsia="hr-HR"/>
              </w:rPr>
            </w:pPr>
            <w:r w:rsidRPr="001752B7">
              <w:rPr>
                <w:rFonts w:ascii="Calibri" w:eastAsia="Times New Roman" w:hAnsi="Calibri" w:cs="Calibri"/>
                <w:lang w:eastAsia="hr-HR"/>
              </w:rPr>
              <w:t> </w:t>
            </w:r>
          </w:p>
        </w:tc>
        <w:tc>
          <w:tcPr>
            <w:tcW w:w="580" w:type="dxa"/>
            <w:tcBorders>
              <w:top w:val="nil"/>
              <w:left w:val="nil"/>
              <w:bottom w:val="single" w:sz="4" w:space="0" w:color="auto"/>
              <w:right w:val="single" w:sz="4" w:space="0" w:color="auto"/>
            </w:tcBorders>
            <w:shd w:val="clear" w:color="000000" w:fill="FFFF99"/>
            <w:noWrap/>
            <w:vAlign w:val="bottom"/>
            <w:hideMark/>
          </w:tcPr>
          <w:p w14:paraId="05C27027" w14:textId="77777777" w:rsidR="001752B7" w:rsidRPr="001752B7" w:rsidRDefault="001752B7" w:rsidP="001752B7">
            <w:pPr>
              <w:spacing w:after="0" w:line="240" w:lineRule="auto"/>
              <w:jc w:val="right"/>
              <w:rPr>
                <w:rFonts w:ascii="Calibri" w:eastAsia="Times New Roman" w:hAnsi="Calibri" w:cs="Calibri"/>
                <w:lang w:eastAsia="hr-HR"/>
              </w:rPr>
            </w:pPr>
            <w:r w:rsidRPr="001752B7">
              <w:rPr>
                <w:rFonts w:ascii="Calibri" w:eastAsia="Times New Roman" w:hAnsi="Calibri" w:cs="Calibri"/>
                <w:lang w:eastAsia="hr-HR"/>
              </w:rPr>
              <w:t> </w:t>
            </w:r>
          </w:p>
        </w:tc>
        <w:tc>
          <w:tcPr>
            <w:tcW w:w="447" w:type="dxa"/>
            <w:tcBorders>
              <w:top w:val="nil"/>
              <w:left w:val="nil"/>
              <w:bottom w:val="single" w:sz="4" w:space="0" w:color="auto"/>
              <w:right w:val="single" w:sz="4" w:space="0" w:color="auto"/>
            </w:tcBorders>
            <w:shd w:val="clear" w:color="000000" w:fill="FFFF99"/>
            <w:noWrap/>
            <w:vAlign w:val="bottom"/>
            <w:hideMark/>
          </w:tcPr>
          <w:p w14:paraId="0F553308" w14:textId="77777777" w:rsidR="001752B7" w:rsidRPr="001752B7" w:rsidRDefault="001752B7" w:rsidP="001752B7">
            <w:pPr>
              <w:spacing w:after="0" w:line="240" w:lineRule="auto"/>
              <w:jc w:val="right"/>
              <w:rPr>
                <w:rFonts w:ascii="Calibri" w:eastAsia="Times New Roman" w:hAnsi="Calibri" w:cs="Calibri"/>
                <w:lang w:eastAsia="hr-HR"/>
              </w:rPr>
            </w:pPr>
            <w:r w:rsidRPr="001752B7">
              <w:rPr>
                <w:rFonts w:ascii="Calibri" w:eastAsia="Times New Roman" w:hAnsi="Calibri" w:cs="Calibri"/>
                <w:lang w:eastAsia="hr-HR"/>
              </w:rPr>
              <w:t> </w:t>
            </w:r>
          </w:p>
        </w:tc>
        <w:tc>
          <w:tcPr>
            <w:tcW w:w="447" w:type="dxa"/>
            <w:tcBorders>
              <w:top w:val="nil"/>
              <w:left w:val="nil"/>
              <w:bottom w:val="single" w:sz="4" w:space="0" w:color="auto"/>
              <w:right w:val="single" w:sz="4" w:space="0" w:color="auto"/>
            </w:tcBorders>
            <w:shd w:val="clear" w:color="000000" w:fill="FFFF99"/>
            <w:noWrap/>
            <w:vAlign w:val="bottom"/>
            <w:hideMark/>
          </w:tcPr>
          <w:p w14:paraId="5293697C" w14:textId="77777777" w:rsidR="001752B7" w:rsidRPr="001752B7" w:rsidRDefault="001752B7" w:rsidP="001752B7">
            <w:pPr>
              <w:spacing w:after="0" w:line="240" w:lineRule="auto"/>
              <w:jc w:val="right"/>
              <w:rPr>
                <w:rFonts w:ascii="Calibri" w:eastAsia="Times New Roman" w:hAnsi="Calibri" w:cs="Calibri"/>
                <w:lang w:eastAsia="hr-HR"/>
              </w:rPr>
            </w:pPr>
            <w:r w:rsidRPr="001752B7">
              <w:rPr>
                <w:rFonts w:ascii="Calibri" w:eastAsia="Times New Roman" w:hAnsi="Calibri" w:cs="Calibri"/>
                <w:lang w:eastAsia="hr-HR"/>
              </w:rPr>
              <w:t> </w:t>
            </w:r>
          </w:p>
        </w:tc>
        <w:tc>
          <w:tcPr>
            <w:tcW w:w="447" w:type="dxa"/>
            <w:tcBorders>
              <w:top w:val="nil"/>
              <w:left w:val="nil"/>
              <w:bottom w:val="single" w:sz="4" w:space="0" w:color="auto"/>
              <w:right w:val="single" w:sz="4" w:space="0" w:color="auto"/>
            </w:tcBorders>
            <w:shd w:val="clear" w:color="000000" w:fill="FFFF99"/>
            <w:noWrap/>
            <w:vAlign w:val="bottom"/>
            <w:hideMark/>
          </w:tcPr>
          <w:p w14:paraId="7C42A0FF" w14:textId="77777777" w:rsidR="001752B7" w:rsidRPr="001752B7" w:rsidRDefault="001752B7" w:rsidP="001752B7">
            <w:pPr>
              <w:spacing w:after="0" w:line="240" w:lineRule="auto"/>
              <w:jc w:val="right"/>
              <w:rPr>
                <w:rFonts w:ascii="Calibri" w:eastAsia="Times New Roman" w:hAnsi="Calibri" w:cs="Calibri"/>
                <w:lang w:eastAsia="hr-HR"/>
              </w:rPr>
            </w:pPr>
            <w:r w:rsidRPr="001752B7">
              <w:rPr>
                <w:rFonts w:ascii="Calibri" w:eastAsia="Times New Roman" w:hAnsi="Calibri" w:cs="Calibri"/>
                <w:lang w:eastAsia="hr-HR"/>
              </w:rPr>
              <w:t> </w:t>
            </w:r>
          </w:p>
        </w:tc>
        <w:tc>
          <w:tcPr>
            <w:tcW w:w="447" w:type="dxa"/>
            <w:tcBorders>
              <w:top w:val="nil"/>
              <w:left w:val="nil"/>
              <w:bottom w:val="single" w:sz="4" w:space="0" w:color="auto"/>
              <w:right w:val="single" w:sz="4" w:space="0" w:color="auto"/>
            </w:tcBorders>
            <w:shd w:val="clear" w:color="000000" w:fill="FFFF99"/>
            <w:noWrap/>
            <w:vAlign w:val="bottom"/>
            <w:hideMark/>
          </w:tcPr>
          <w:p w14:paraId="23274682" w14:textId="77777777" w:rsidR="001752B7" w:rsidRPr="001752B7" w:rsidRDefault="001752B7" w:rsidP="001752B7">
            <w:pPr>
              <w:spacing w:after="0" w:line="240" w:lineRule="auto"/>
              <w:jc w:val="right"/>
              <w:rPr>
                <w:rFonts w:ascii="Calibri" w:eastAsia="Times New Roman" w:hAnsi="Calibri" w:cs="Calibri"/>
                <w:lang w:eastAsia="hr-HR"/>
              </w:rPr>
            </w:pPr>
            <w:r w:rsidRPr="001752B7">
              <w:rPr>
                <w:rFonts w:ascii="Calibri" w:eastAsia="Times New Roman" w:hAnsi="Calibri" w:cs="Calibri"/>
                <w:lang w:eastAsia="hr-HR"/>
              </w:rPr>
              <w:t> </w:t>
            </w:r>
          </w:p>
        </w:tc>
        <w:tc>
          <w:tcPr>
            <w:tcW w:w="572" w:type="dxa"/>
            <w:tcBorders>
              <w:top w:val="nil"/>
              <w:left w:val="nil"/>
              <w:bottom w:val="single" w:sz="4" w:space="0" w:color="auto"/>
              <w:right w:val="single" w:sz="4" w:space="0" w:color="auto"/>
            </w:tcBorders>
            <w:shd w:val="clear" w:color="000000" w:fill="FF9900"/>
            <w:noWrap/>
            <w:vAlign w:val="bottom"/>
            <w:hideMark/>
          </w:tcPr>
          <w:p w14:paraId="34C8A40C" w14:textId="77777777" w:rsidR="001752B7" w:rsidRPr="001752B7" w:rsidRDefault="001752B7" w:rsidP="001752B7">
            <w:pPr>
              <w:spacing w:after="0" w:line="240" w:lineRule="auto"/>
              <w:jc w:val="right"/>
              <w:rPr>
                <w:rFonts w:ascii="Calibri" w:eastAsia="Times New Roman" w:hAnsi="Calibri" w:cs="Calibri"/>
                <w:lang w:eastAsia="hr-HR"/>
              </w:rPr>
            </w:pPr>
            <w:r w:rsidRPr="001752B7">
              <w:rPr>
                <w:rFonts w:ascii="Calibri" w:eastAsia="Times New Roman" w:hAnsi="Calibri" w:cs="Calibri"/>
                <w:lang w:eastAsia="hr-HR"/>
              </w:rPr>
              <w:t> </w:t>
            </w:r>
          </w:p>
        </w:tc>
        <w:tc>
          <w:tcPr>
            <w:tcW w:w="467" w:type="dxa"/>
            <w:tcBorders>
              <w:top w:val="nil"/>
              <w:left w:val="nil"/>
              <w:bottom w:val="single" w:sz="4" w:space="0" w:color="auto"/>
              <w:right w:val="single" w:sz="4" w:space="0" w:color="auto"/>
            </w:tcBorders>
            <w:shd w:val="clear" w:color="000000" w:fill="FF9900"/>
            <w:noWrap/>
            <w:vAlign w:val="bottom"/>
            <w:hideMark/>
          </w:tcPr>
          <w:p w14:paraId="104A2A64" w14:textId="77777777" w:rsidR="001752B7" w:rsidRPr="001752B7" w:rsidRDefault="001752B7" w:rsidP="001752B7">
            <w:pPr>
              <w:spacing w:after="0" w:line="240" w:lineRule="auto"/>
              <w:jc w:val="right"/>
              <w:rPr>
                <w:rFonts w:ascii="Calibri" w:eastAsia="Times New Roman" w:hAnsi="Calibri" w:cs="Calibri"/>
                <w:lang w:eastAsia="hr-HR"/>
              </w:rPr>
            </w:pPr>
            <w:r w:rsidRPr="001752B7">
              <w:rPr>
                <w:rFonts w:ascii="Calibri" w:eastAsia="Times New Roman" w:hAnsi="Calibri" w:cs="Calibri"/>
                <w:lang w:eastAsia="hr-HR"/>
              </w:rPr>
              <w:t>1</w:t>
            </w:r>
          </w:p>
        </w:tc>
        <w:tc>
          <w:tcPr>
            <w:tcW w:w="579" w:type="dxa"/>
            <w:tcBorders>
              <w:top w:val="nil"/>
              <w:left w:val="nil"/>
              <w:bottom w:val="single" w:sz="4" w:space="0" w:color="auto"/>
              <w:right w:val="single" w:sz="4" w:space="0" w:color="auto"/>
            </w:tcBorders>
            <w:shd w:val="clear" w:color="000000" w:fill="FF9900"/>
            <w:noWrap/>
            <w:vAlign w:val="bottom"/>
            <w:hideMark/>
          </w:tcPr>
          <w:p w14:paraId="0849037E" w14:textId="77777777" w:rsidR="001752B7" w:rsidRPr="001752B7" w:rsidRDefault="001752B7" w:rsidP="001752B7">
            <w:pPr>
              <w:spacing w:after="0" w:line="240" w:lineRule="auto"/>
              <w:jc w:val="right"/>
              <w:rPr>
                <w:rFonts w:ascii="Calibri" w:eastAsia="Times New Roman" w:hAnsi="Calibri" w:cs="Calibri"/>
                <w:lang w:eastAsia="hr-HR"/>
              </w:rPr>
            </w:pPr>
            <w:r w:rsidRPr="001752B7">
              <w:rPr>
                <w:rFonts w:ascii="Calibri" w:eastAsia="Times New Roman" w:hAnsi="Calibri" w:cs="Calibri"/>
                <w:lang w:eastAsia="hr-HR"/>
              </w:rPr>
              <w:t> </w:t>
            </w:r>
          </w:p>
        </w:tc>
        <w:tc>
          <w:tcPr>
            <w:tcW w:w="447" w:type="dxa"/>
            <w:tcBorders>
              <w:top w:val="nil"/>
              <w:left w:val="nil"/>
              <w:bottom w:val="single" w:sz="4" w:space="0" w:color="auto"/>
              <w:right w:val="single" w:sz="4" w:space="0" w:color="auto"/>
            </w:tcBorders>
            <w:shd w:val="clear" w:color="000000" w:fill="66FFCC"/>
            <w:noWrap/>
            <w:vAlign w:val="bottom"/>
            <w:hideMark/>
          </w:tcPr>
          <w:p w14:paraId="74179EFC" w14:textId="77777777" w:rsidR="001752B7" w:rsidRPr="001752B7" w:rsidRDefault="001752B7" w:rsidP="001752B7">
            <w:pPr>
              <w:spacing w:after="0" w:line="240" w:lineRule="auto"/>
              <w:jc w:val="right"/>
              <w:rPr>
                <w:rFonts w:ascii="Calibri" w:eastAsia="Times New Roman" w:hAnsi="Calibri" w:cs="Calibri"/>
                <w:lang w:eastAsia="hr-HR"/>
              </w:rPr>
            </w:pPr>
            <w:r w:rsidRPr="001752B7">
              <w:rPr>
                <w:rFonts w:ascii="Calibri" w:eastAsia="Times New Roman" w:hAnsi="Calibri" w:cs="Calibri"/>
                <w:lang w:eastAsia="hr-HR"/>
              </w:rPr>
              <w:t> </w:t>
            </w:r>
          </w:p>
        </w:tc>
        <w:tc>
          <w:tcPr>
            <w:tcW w:w="447" w:type="dxa"/>
            <w:tcBorders>
              <w:top w:val="nil"/>
              <w:left w:val="nil"/>
              <w:bottom w:val="single" w:sz="4" w:space="0" w:color="auto"/>
              <w:right w:val="single" w:sz="4" w:space="0" w:color="auto"/>
            </w:tcBorders>
            <w:shd w:val="clear" w:color="000000" w:fill="66FFCC"/>
            <w:noWrap/>
            <w:vAlign w:val="bottom"/>
            <w:hideMark/>
          </w:tcPr>
          <w:p w14:paraId="493B1BD0" w14:textId="77777777" w:rsidR="001752B7" w:rsidRPr="001752B7" w:rsidRDefault="001752B7" w:rsidP="001752B7">
            <w:pPr>
              <w:spacing w:after="0" w:line="240" w:lineRule="auto"/>
              <w:jc w:val="right"/>
              <w:rPr>
                <w:rFonts w:ascii="Calibri" w:eastAsia="Times New Roman" w:hAnsi="Calibri" w:cs="Calibri"/>
                <w:lang w:eastAsia="hr-HR"/>
              </w:rPr>
            </w:pPr>
            <w:r w:rsidRPr="001752B7">
              <w:rPr>
                <w:rFonts w:ascii="Calibri" w:eastAsia="Times New Roman" w:hAnsi="Calibri" w:cs="Calibri"/>
                <w:lang w:eastAsia="hr-HR"/>
              </w:rPr>
              <w:t> </w:t>
            </w:r>
          </w:p>
        </w:tc>
        <w:tc>
          <w:tcPr>
            <w:tcW w:w="698" w:type="dxa"/>
            <w:tcBorders>
              <w:top w:val="nil"/>
              <w:left w:val="nil"/>
              <w:bottom w:val="single" w:sz="4" w:space="0" w:color="auto"/>
              <w:right w:val="single" w:sz="4" w:space="0" w:color="auto"/>
            </w:tcBorders>
            <w:shd w:val="clear" w:color="000000" w:fill="66FFCC"/>
            <w:noWrap/>
            <w:vAlign w:val="bottom"/>
            <w:hideMark/>
          </w:tcPr>
          <w:p w14:paraId="7BA6D48C" w14:textId="77777777" w:rsidR="001752B7" w:rsidRPr="001752B7" w:rsidRDefault="001752B7" w:rsidP="001752B7">
            <w:pPr>
              <w:spacing w:after="0" w:line="240" w:lineRule="auto"/>
              <w:jc w:val="right"/>
              <w:rPr>
                <w:rFonts w:ascii="Calibri" w:eastAsia="Times New Roman" w:hAnsi="Calibri" w:cs="Calibri"/>
                <w:lang w:eastAsia="hr-HR"/>
              </w:rPr>
            </w:pPr>
            <w:r w:rsidRPr="001752B7">
              <w:rPr>
                <w:rFonts w:ascii="Calibri" w:eastAsia="Times New Roman" w:hAnsi="Calibri" w:cs="Calibri"/>
                <w:lang w:eastAsia="hr-HR"/>
              </w:rPr>
              <w:t> </w:t>
            </w:r>
          </w:p>
        </w:tc>
        <w:tc>
          <w:tcPr>
            <w:tcW w:w="447" w:type="dxa"/>
            <w:tcBorders>
              <w:top w:val="nil"/>
              <w:left w:val="nil"/>
              <w:bottom w:val="single" w:sz="4" w:space="0" w:color="auto"/>
              <w:right w:val="single" w:sz="4" w:space="0" w:color="auto"/>
            </w:tcBorders>
            <w:shd w:val="clear" w:color="000000" w:fill="66FFCC"/>
            <w:noWrap/>
            <w:vAlign w:val="bottom"/>
            <w:hideMark/>
          </w:tcPr>
          <w:p w14:paraId="4A3504D5" w14:textId="77777777" w:rsidR="001752B7" w:rsidRPr="001752B7" w:rsidRDefault="001752B7" w:rsidP="001752B7">
            <w:pPr>
              <w:spacing w:after="0" w:line="240" w:lineRule="auto"/>
              <w:jc w:val="right"/>
              <w:rPr>
                <w:rFonts w:ascii="Calibri" w:eastAsia="Times New Roman" w:hAnsi="Calibri" w:cs="Calibri"/>
                <w:lang w:eastAsia="hr-HR"/>
              </w:rPr>
            </w:pPr>
            <w:r w:rsidRPr="001752B7">
              <w:rPr>
                <w:rFonts w:ascii="Calibri" w:eastAsia="Times New Roman" w:hAnsi="Calibri" w:cs="Calibri"/>
                <w:lang w:eastAsia="hr-HR"/>
              </w:rPr>
              <w:t> </w:t>
            </w:r>
          </w:p>
        </w:tc>
        <w:tc>
          <w:tcPr>
            <w:tcW w:w="652" w:type="dxa"/>
            <w:tcBorders>
              <w:top w:val="nil"/>
              <w:left w:val="nil"/>
              <w:bottom w:val="single" w:sz="4" w:space="0" w:color="auto"/>
              <w:right w:val="single" w:sz="4" w:space="0" w:color="auto"/>
            </w:tcBorders>
            <w:shd w:val="clear" w:color="000000" w:fill="FFFF00"/>
            <w:vAlign w:val="center"/>
            <w:hideMark/>
          </w:tcPr>
          <w:p w14:paraId="6F073086" w14:textId="77777777" w:rsidR="001752B7" w:rsidRPr="001752B7" w:rsidRDefault="001752B7" w:rsidP="001752B7">
            <w:pPr>
              <w:spacing w:after="0" w:line="240" w:lineRule="auto"/>
              <w:jc w:val="right"/>
              <w:rPr>
                <w:rFonts w:ascii="Calibri" w:eastAsia="Times New Roman" w:hAnsi="Calibri" w:cs="Calibri"/>
                <w:lang w:eastAsia="hr-HR"/>
              </w:rPr>
            </w:pPr>
            <w:r w:rsidRPr="001752B7">
              <w:rPr>
                <w:rFonts w:ascii="Calibri" w:eastAsia="Times New Roman" w:hAnsi="Calibri" w:cs="Calibri"/>
                <w:lang w:eastAsia="hr-HR"/>
              </w:rPr>
              <w:t>1</w:t>
            </w:r>
          </w:p>
        </w:tc>
        <w:tc>
          <w:tcPr>
            <w:tcW w:w="614" w:type="dxa"/>
            <w:tcBorders>
              <w:top w:val="nil"/>
              <w:left w:val="nil"/>
              <w:bottom w:val="single" w:sz="4" w:space="0" w:color="auto"/>
              <w:right w:val="single" w:sz="4" w:space="0" w:color="auto"/>
            </w:tcBorders>
            <w:shd w:val="clear" w:color="000000" w:fill="FFFF99"/>
            <w:vAlign w:val="center"/>
            <w:hideMark/>
          </w:tcPr>
          <w:p w14:paraId="01DD7A06" w14:textId="77777777" w:rsidR="001752B7" w:rsidRPr="001752B7" w:rsidRDefault="001752B7" w:rsidP="001752B7">
            <w:pPr>
              <w:spacing w:after="0" w:line="240" w:lineRule="auto"/>
              <w:jc w:val="right"/>
              <w:rPr>
                <w:rFonts w:ascii="Calibri" w:eastAsia="Times New Roman" w:hAnsi="Calibri" w:cs="Calibri"/>
                <w:lang w:eastAsia="hr-HR"/>
              </w:rPr>
            </w:pPr>
            <w:r w:rsidRPr="001752B7">
              <w:rPr>
                <w:rFonts w:ascii="Calibri" w:eastAsia="Times New Roman" w:hAnsi="Calibri" w:cs="Calibri"/>
                <w:lang w:eastAsia="hr-HR"/>
              </w:rPr>
              <w:t> </w:t>
            </w:r>
          </w:p>
        </w:tc>
        <w:tc>
          <w:tcPr>
            <w:tcW w:w="519" w:type="dxa"/>
            <w:tcBorders>
              <w:top w:val="nil"/>
              <w:left w:val="nil"/>
              <w:bottom w:val="single" w:sz="4" w:space="0" w:color="auto"/>
              <w:right w:val="single" w:sz="4" w:space="0" w:color="auto"/>
            </w:tcBorders>
            <w:shd w:val="clear" w:color="000000" w:fill="FF9900"/>
            <w:vAlign w:val="center"/>
            <w:hideMark/>
          </w:tcPr>
          <w:p w14:paraId="289ED6AD" w14:textId="77777777" w:rsidR="001752B7" w:rsidRPr="001752B7" w:rsidRDefault="001752B7" w:rsidP="001752B7">
            <w:pPr>
              <w:spacing w:after="0" w:line="240" w:lineRule="auto"/>
              <w:jc w:val="right"/>
              <w:rPr>
                <w:rFonts w:ascii="Calibri" w:eastAsia="Times New Roman" w:hAnsi="Calibri" w:cs="Calibri"/>
                <w:lang w:eastAsia="hr-HR"/>
              </w:rPr>
            </w:pPr>
            <w:r w:rsidRPr="001752B7">
              <w:rPr>
                <w:rFonts w:ascii="Calibri" w:eastAsia="Times New Roman" w:hAnsi="Calibri" w:cs="Calibri"/>
                <w:lang w:eastAsia="hr-HR"/>
              </w:rPr>
              <w:t> </w:t>
            </w:r>
          </w:p>
        </w:tc>
        <w:tc>
          <w:tcPr>
            <w:tcW w:w="477" w:type="dxa"/>
            <w:tcBorders>
              <w:top w:val="nil"/>
              <w:left w:val="nil"/>
              <w:bottom w:val="single" w:sz="4" w:space="0" w:color="auto"/>
              <w:right w:val="single" w:sz="4" w:space="0" w:color="auto"/>
            </w:tcBorders>
            <w:shd w:val="clear" w:color="000000" w:fill="CCFFFF"/>
            <w:vAlign w:val="bottom"/>
            <w:hideMark/>
          </w:tcPr>
          <w:p w14:paraId="709E81EA" w14:textId="77777777" w:rsidR="001752B7" w:rsidRPr="001752B7" w:rsidRDefault="001752B7" w:rsidP="001752B7">
            <w:pPr>
              <w:spacing w:after="0" w:line="240" w:lineRule="auto"/>
              <w:jc w:val="right"/>
              <w:rPr>
                <w:rFonts w:ascii="Calibri" w:eastAsia="Times New Roman" w:hAnsi="Calibri" w:cs="Calibri"/>
                <w:lang w:eastAsia="hr-HR"/>
              </w:rPr>
            </w:pPr>
            <w:r w:rsidRPr="001752B7">
              <w:rPr>
                <w:rFonts w:ascii="Calibri" w:eastAsia="Times New Roman" w:hAnsi="Calibri" w:cs="Calibri"/>
                <w:lang w:eastAsia="hr-HR"/>
              </w:rPr>
              <w:t> </w:t>
            </w:r>
          </w:p>
        </w:tc>
        <w:tc>
          <w:tcPr>
            <w:tcW w:w="506" w:type="dxa"/>
            <w:tcBorders>
              <w:top w:val="nil"/>
              <w:left w:val="nil"/>
              <w:bottom w:val="single" w:sz="4" w:space="0" w:color="auto"/>
              <w:right w:val="single" w:sz="4" w:space="0" w:color="auto"/>
            </w:tcBorders>
            <w:shd w:val="clear" w:color="000000" w:fill="CCFFFF"/>
            <w:vAlign w:val="bottom"/>
            <w:hideMark/>
          </w:tcPr>
          <w:p w14:paraId="0BEAE167" w14:textId="77777777" w:rsidR="001752B7" w:rsidRPr="001752B7" w:rsidRDefault="001752B7" w:rsidP="001752B7">
            <w:pPr>
              <w:spacing w:after="0" w:line="240" w:lineRule="auto"/>
              <w:jc w:val="right"/>
              <w:rPr>
                <w:rFonts w:ascii="Calibri" w:eastAsia="Times New Roman" w:hAnsi="Calibri" w:cs="Calibri"/>
                <w:lang w:eastAsia="hr-HR"/>
              </w:rPr>
            </w:pPr>
            <w:r w:rsidRPr="001752B7">
              <w:rPr>
                <w:rFonts w:ascii="Calibri" w:eastAsia="Times New Roman" w:hAnsi="Calibri" w:cs="Calibri"/>
                <w:lang w:eastAsia="hr-HR"/>
              </w:rPr>
              <w:t> </w:t>
            </w:r>
          </w:p>
        </w:tc>
        <w:tc>
          <w:tcPr>
            <w:tcW w:w="485" w:type="dxa"/>
            <w:tcBorders>
              <w:top w:val="nil"/>
              <w:left w:val="nil"/>
              <w:bottom w:val="single" w:sz="4" w:space="0" w:color="auto"/>
              <w:right w:val="single" w:sz="4" w:space="0" w:color="auto"/>
            </w:tcBorders>
            <w:shd w:val="clear" w:color="000000" w:fill="CCFFFF"/>
            <w:vAlign w:val="bottom"/>
            <w:hideMark/>
          </w:tcPr>
          <w:p w14:paraId="4CD5D567" w14:textId="77777777" w:rsidR="001752B7" w:rsidRPr="001752B7" w:rsidRDefault="001752B7" w:rsidP="001752B7">
            <w:pPr>
              <w:spacing w:after="0" w:line="240" w:lineRule="auto"/>
              <w:jc w:val="right"/>
              <w:rPr>
                <w:rFonts w:ascii="Calibri" w:eastAsia="Times New Roman" w:hAnsi="Calibri" w:cs="Calibri"/>
                <w:lang w:eastAsia="hr-HR"/>
              </w:rPr>
            </w:pPr>
            <w:r w:rsidRPr="001752B7">
              <w:rPr>
                <w:rFonts w:ascii="Calibri" w:eastAsia="Times New Roman" w:hAnsi="Calibri" w:cs="Calibri"/>
                <w:lang w:eastAsia="hr-HR"/>
              </w:rPr>
              <w:t> </w:t>
            </w:r>
          </w:p>
        </w:tc>
        <w:tc>
          <w:tcPr>
            <w:tcW w:w="561" w:type="dxa"/>
            <w:tcBorders>
              <w:top w:val="nil"/>
              <w:left w:val="nil"/>
              <w:bottom w:val="single" w:sz="4" w:space="0" w:color="auto"/>
              <w:right w:val="nil"/>
            </w:tcBorders>
            <w:shd w:val="clear" w:color="000000" w:fill="33CCCC"/>
            <w:noWrap/>
            <w:vAlign w:val="bottom"/>
            <w:hideMark/>
          </w:tcPr>
          <w:p w14:paraId="4268B7F8" w14:textId="77777777" w:rsidR="001752B7" w:rsidRPr="001752B7" w:rsidRDefault="001752B7" w:rsidP="001752B7">
            <w:pPr>
              <w:spacing w:after="0" w:line="240" w:lineRule="auto"/>
              <w:jc w:val="right"/>
              <w:rPr>
                <w:rFonts w:ascii="Calibri" w:eastAsia="Times New Roman" w:hAnsi="Calibri" w:cs="Calibri"/>
                <w:lang w:eastAsia="hr-HR"/>
              </w:rPr>
            </w:pPr>
            <w:r w:rsidRPr="001752B7">
              <w:rPr>
                <w:rFonts w:ascii="Calibri" w:eastAsia="Times New Roman" w:hAnsi="Calibri" w:cs="Calibri"/>
                <w:lang w:eastAsia="hr-HR"/>
              </w:rPr>
              <w:t> </w:t>
            </w:r>
          </w:p>
        </w:tc>
        <w:tc>
          <w:tcPr>
            <w:tcW w:w="595" w:type="dxa"/>
            <w:tcBorders>
              <w:top w:val="nil"/>
              <w:left w:val="single" w:sz="4" w:space="0" w:color="auto"/>
              <w:bottom w:val="single" w:sz="4" w:space="0" w:color="auto"/>
              <w:right w:val="single" w:sz="8" w:space="0" w:color="auto"/>
            </w:tcBorders>
            <w:shd w:val="clear" w:color="000000" w:fill="33CCCC"/>
            <w:noWrap/>
            <w:vAlign w:val="bottom"/>
            <w:hideMark/>
          </w:tcPr>
          <w:p w14:paraId="46667FFB" w14:textId="77777777" w:rsidR="001752B7" w:rsidRPr="001752B7" w:rsidRDefault="001752B7" w:rsidP="001752B7">
            <w:pPr>
              <w:spacing w:after="0" w:line="240" w:lineRule="auto"/>
              <w:jc w:val="right"/>
              <w:rPr>
                <w:rFonts w:ascii="Calibri" w:eastAsia="Times New Roman" w:hAnsi="Calibri" w:cs="Calibri"/>
                <w:lang w:eastAsia="hr-HR"/>
              </w:rPr>
            </w:pPr>
            <w:r w:rsidRPr="001752B7">
              <w:rPr>
                <w:rFonts w:ascii="Calibri" w:eastAsia="Times New Roman" w:hAnsi="Calibri" w:cs="Calibri"/>
                <w:lang w:eastAsia="hr-HR"/>
              </w:rPr>
              <w:t>1</w:t>
            </w:r>
          </w:p>
        </w:tc>
        <w:tc>
          <w:tcPr>
            <w:tcW w:w="266" w:type="dxa"/>
            <w:gridSpan w:val="3"/>
            <w:vAlign w:val="center"/>
            <w:hideMark/>
          </w:tcPr>
          <w:p w14:paraId="6548A6AF" w14:textId="77777777" w:rsidR="001752B7" w:rsidRPr="001752B7" w:rsidRDefault="001752B7" w:rsidP="001752B7">
            <w:pPr>
              <w:spacing w:after="0" w:line="240" w:lineRule="auto"/>
              <w:rPr>
                <w:rFonts w:ascii="Times New Roman" w:eastAsia="Times New Roman" w:hAnsi="Times New Roman" w:cs="Times New Roman"/>
                <w:sz w:val="20"/>
                <w:szCs w:val="20"/>
                <w:lang w:eastAsia="hr-HR"/>
              </w:rPr>
            </w:pPr>
          </w:p>
        </w:tc>
      </w:tr>
      <w:tr w:rsidR="001752B7" w:rsidRPr="001752B7" w14:paraId="54A569F9" w14:textId="77777777" w:rsidTr="000271A1">
        <w:trPr>
          <w:trHeight w:val="300"/>
        </w:trPr>
        <w:tc>
          <w:tcPr>
            <w:tcW w:w="1404" w:type="dxa"/>
            <w:tcBorders>
              <w:top w:val="single" w:sz="4" w:space="0" w:color="auto"/>
              <w:left w:val="single" w:sz="8" w:space="0" w:color="auto"/>
              <w:bottom w:val="single" w:sz="4" w:space="0" w:color="auto"/>
              <w:right w:val="single" w:sz="4" w:space="0" w:color="auto"/>
            </w:tcBorders>
            <w:shd w:val="clear" w:color="000000" w:fill="CCFFCC"/>
            <w:vAlign w:val="center"/>
            <w:hideMark/>
          </w:tcPr>
          <w:p w14:paraId="4A81D11B" w14:textId="77777777" w:rsidR="001752B7" w:rsidRPr="001752B7" w:rsidRDefault="001752B7" w:rsidP="001752B7">
            <w:pPr>
              <w:spacing w:after="0" w:line="240" w:lineRule="auto"/>
              <w:rPr>
                <w:rFonts w:ascii="Calibri" w:eastAsia="Times New Roman" w:hAnsi="Calibri" w:cs="Calibri"/>
                <w:lang w:eastAsia="hr-HR"/>
              </w:rPr>
            </w:pPr>
            <w:r w:rsidRPr="001752B7">
              <w:rPr>
                <w:rFonts w:ascii="Calibri" w:eastAsia="Times New Roman" w:hAnsi="Calibri" w:cs="Calibri"/>
                <w:lang w:eastAsia="hr-HR"/>
              </w:rPr>
              <w:t>Dob</w:t>
            </w:r>
          </w:p>
        </w:tc>
        <w:tc>
          <w:tcPr>
            <w:tcW w:w="545" w:type="dxa"/>
            <w:tcBorders>
              <w:top w:val="nil"/>
              <w:left w:val="nil"/>
              <w:bottom w:val="single" w:sz="4" w:space="0" w:color="auto"/>
              <w:right w:val="single" w:sz="4" w:space="0" w:color="auto"/>
            </w:tcBorders>
            <w:shd w:val="clear" w:color="000000" w:fill="CCFFCC"/>
            <w:vAlign w:val="center"/>
            <w:hideMark/>
          </w:tcPr>
          <w:p w14:paraId="713FDFFB" w14:textId="77777777" w:rsidR="001752B7" w:rsidRPr="001752B7" w:rsidRDefault="001752B7" w:rsidP="001752B7">
            <w:pPr>
              <w:spacing w:after="0" w:line="240" w:lineRule="auto"/>
              <w:jc w:val="right"/>
              <w:rPr>
                <w:rFonts w:ascii="Calibri" w:eastAsia="Times New Roman" w:hAnsi="Calibri" w:cs="Calibri"/>
                <w:lang w:eastAsia="hr-HR"/>
              </w:rPr>
            </w:pPr>
            <w:r w:rsidRPr="001752B7">
              <w:rPr>
                <w:rFonts w:ascii="Calibri" w:eastAsia="Times New Roman" w:hAnsi="Calibri" w:cs="Calibri"/>
                <w:lang w:eastAsia="hr-HR"/>
              </w:rPr>
              <w:t> </w:t>
            </w:r>
          </w:p>
        </w:tc>
        <w:tc>
          <w:tcPr>
            <w:tcW w:w="573" w:type="dxa"/>
            <w:tcBorders>
              <w:top w:val="nil"/>
              <w:left w:val="nil"/>
              <w:bottom w:val="single" w:sz="4" w:space="0" w:color="auto"/>
              <w:right w:val="single" w:sz="4" w:space="0" w:color="auto"/>
            </w:tcBorders>
            <w:shd w:val="clear" w:color="000000" w:fill="FFCC99"/>
            <w:noWrap/>
            <w:vAlign w:val="bottom"/>
            <w:hideMark/>
          </w:tcPr>
          <w:p w14:paraId="3A80A4F5" w14:textId="77777777" w:rsidR="001752B7" w:rsidRPr="001752B7" w:rsidRDefault="001752B7" w:rsidP="001752B7">
            <w:pPr>
              <w:spacing w:after="0" w:line="240" w:lineRule="auto"/>
              <w:jc w:val="right"/>
              <w:rPr>
                <w:rFonts w:ascii="Calibri" w:eastAsia="Times New Roman" w:hAnsi="Calibri" w:cs="Calibri"/>
                <w:lang w:eastAsia="hr-HR"/>
              </w:rPr>
            </w:pPr>
            <w:r w:rsidRPr="001752B7">
              <w:rPr>
                <w:rFonts w:ascii="Calibri" w:eastAsia="Times New Roman" w:hAnsi="Calibri" w:cs="Calibri"/>
                <w:lang w:eastAsia="hr-HR"/>
              </w:rPr>
              <w:t> </w:t>
            </w:r>
          </w:p>
        </w:tc>
        <w:tc>
          <w:tcPr>
            <w:tcW w:w="855" w:type="dxa"/>
            <w:tcBorders>
              <w:top w:val="nil"/>
              <w:left w:val="nil"/>
              <w:bottom w:val="single" w:sz="4" w:space="0" w:color="auto"/>
              <w:right w:val="single" w:sz="4" w:space="0" w:color="auto"/>
            </w:tcBorders>
            <w:shd w:val="clear" w:color="000000" w:fill="CCFFFF"/>
            <w:noWrap/>
            <w:vAlign w:val="bottom"/>
            <w:hideMark/>
          </w:tcPr>
          <w:p w14:paraId="74451FBF" w14:textId="77777777" w:rsidR="001752B7" w:rsidRPr="001752B7" w:rsidRDefault="001752B7" w:rsidP="001752B7">
            <w:pPr>
              <w:spacing w:after="0" w:line="240" w:lineRule="auto"/>
              <w:jc w:val="right"/>
              <w:rPr>
                <w:rFonts w:ascii="Calibri" w:eastAsia="Times New Roman" w:hAnsi="Calibri" w:cs="Calibri"/>
                <w:lang w:eastAsia="hr-HR"/>
              </w:rPr>
            </w:pPr>
            <w:r w:rsidRPr="001752B7">
              <w:rPr>
                <w:rFonts w:ascii="Calibri" w:eastAsia="Times New Roman" w:hAnsi="Calibri" w:cs="Calibri"/>
                <w:lang w:eastAsia="hr-HR"/>
              </w:rPr>
              <w:t> </w:t>
            </w:r>
          </w:p>
        </w:tc>
        <w:tc>
          <w:tcPr>
            <w:tcW w:w="638" w:type="dxa"/>
            <w:tcBorders>
              <w:top w:val="nil"/>
              <w:left w:val="nil"/>
              <w:bottom w:val="single" w:sz="4" w:space="0" w:color="auto"/>
              <w:right w:val="single" w:sz="4" w:space="0" w:color="auto"/>
            </w:tcBorders>
            <w:shd w:val="clear" w:color="000000" w:fill="CCFFFF"/>
            <w:noWrap/>
            <w:vAlign w:val="bottom"/>
            <w:hideMark/>
          </w:tcPr>
          <w:p w14:paraId="1ADFCCF0" w14:textId="77777777" w:rsidR="001752B7" w:rsidRPr="001752B7" w:rsidRDefault="001752B7" w:rsidP="001752B7">
            <w:pPr>
              <w:spacing w:after="0" w:line="240" w:lineRule="auto"/>
              <w:jc w:val="right"/>
              <w:rPr>
                <w:rFonts w:ascii="Calibri" w:eastAsia="Times New Roman" w:hAnsi="Calibri" w:cs="Calibri"/>
                <w:lang w:eastAsia="hr-HR"/>
              </w:rPr>
            </w:pPr>
            <w:r w:rsidRPr="001752B7">
              <w:rPr>
                <w:rFonts w:ascii="Calibri" w:eastAsia="Times New Roman" w:hAnsi="Calibri" w:cs="Calibri"/>
                <w:lang w:eastAsia="hr-HR"/>
              </w:rPr>
              <w:t> </w:t>
            </w:r>
          </w:p>
        </w:tc>
        <w:tc>
          <w:tcPr>
            <w:tcW w:w="580" w:type="dxa"/>
            <w:tcBorders>
              <w:top w:val="nil"/>
              <w:left w:val="nil"/>
              <w:bottom w:val="single" w:sz="4" w:space="0" w:color="auto"/>
              <w:right w:val="single" w:sz="4" w:space="0" w:color="auto"/>
            </w:tcBorders>
            <w:shd w:val="clear" w:color="000000" w:fill="FFFF99"/>
            <w:noWrap/>
            <w:vAlign w:val="bottom"/>
            <w:hideMark/>
          </w:tcPr>
          <w:p w14:paraId="16C5D20E" w14:textId="77777777" w:rsidR="001752B7" w:rsidRPr="001752B7" w:rsidRDefault="001752B7" w:rsidP="001752B7">
            <w:pPr>
              <w:spacing w:after="0" w:line="240" w:lineRule="auto"/>
              <w:jc w:val="right"/>
              <w:rPr>
                <w:rFonts w:ascii="Calibri" w:eastAsia="Times New Roman" w:hAnsi="Calibri" w:cs="Calibri"/>
                <w:lang w:eastAsia="hr-HR"/>
              </w:rPr>
            </w:pPr>
            <w:r w:rsidRPr="001752B7">
              <w:rPr>
                <w:rFonts w:ascii="Calibri" w:eastAsia="Times New Roman" w:hAnsi="Calibri" w:cs="Calibri"/>
                <w:lang w:eastAsia="hr-HR"/>
              </w:rPr>
              <w:t> </w:t>
            </w:r>
          </w:p>
        </w:tc>
        <w:tc>
          <w:tcPr>
            <w:tcW w:w="447" w:type="dxa"/>
            <w:tcBorders>
              <w:top w:val="nil"/>
              <w:left w:val="nil"/>
              <w:bottom w:val="single" w:sz="4" w:space="0" w:color="auto"/>
              <w:right w:val="single" w:sz="4" w:space="0" w:color="auto"/>
            </w:tcBorders>
            <w:shd w:val="clear" w:color="000000" w:fill="FFFF99"/>
            <w:noWrap/>
            <w:vAlign w:val="bottom"/>
            <w:hideMark/>
          </w:tcPr>
          <w:p w14:paraId="3E1825C6" w14:textId="77777777" w:rsidR="001752B7" w:rsidRPr="001752B7" w:rsidRDefault="001752B7" w:rsidP="001752B7">
            <w:pPr>
              <w:spacing w:after="0" w:line="240" w:lineRule="auto"/>
              <w:jc w:val="right"/>
              <w:rPr>
                <w:rFonts w:ascii="Calibri" w:eastAsia="Times New Roman" w:hAnsi="Calibri" w:cs="Calibri"/>
                <w:lang w:eastAsia="hr-HR"/>
              </w:rPr>
            </w:pPr>
            <w:r w:rsidRPr="001752B7">
              <w:rPr>
                <w:rFonts w:ascii="Calibri" w:eastAsia="Times New Roman" w:hAnsi="Calibri" w:cs="Calibri"/>
                <w:lang w:eastAsia="hr-HR"/>
              </w:rPr>
              <w:t> </w:t>
            </w:r>
          </w:p>
        </w:tc>
        <w:tc>
          <w:tcPr>
            <w:tcW w:w="447" w:type="dxa"/>
            <w:tcBorders>
              <w:top w:val="nil"/>
              <w:left w:val="nil"/>
              <w:bottom w:val="single" w:sz="4" w:space="0" w:color="auto"/>
              <w:right w:val="single" w:sz="4" w:space="0" w:color="auto"/>
            </w:tcBorders>
            <w:shd w:val="clear" w:color="000000" w:fill="FFFF99"/>
            <w:noWrap/>
            <w:vAlign w:val="bottom"/>
            <w:hideMark/>
          </w:tcPr>
          <w:p w14:paraId="3F6DE9BB" w14:textId="77777777" w:rsidR="001752B7" w:rsidRPr="001752B7" w:rsidRDefault="001752B7" w:rsidP="001752B7">
            <w:pPr>
              <w:spacing w:after="0" w:line="240" w:lineRule="auto"/>
              <w:jc w:val="right"/>
              <w:rPr>
                <w:rFonts w:ascii="Calibri" w:eastAsia="Times New Roman" w:hAnsi="Calibri" w:cs="Calibri"/>
                <w:lang w:eastAsia="hr-HR"/>
              </w:rPr>
            </w:pPr>
            <w:r w:rsidRPr="001752B7">
              <w:rPr>
                <w:rFonts w:ascii="Calibri" w:eastAsia="Times New Roman" w:hAnsi="Calibri" w:cs="Calibri"/>
                <w:lang w:eastAsia="hr-HR"/>
              </w:rPr>
              <w:t> </w:t>
            </w:r>
          </w:p>
        </w:tc>
        <w:tc>
          <w:tcPr>
            <w:tcW w:w="447" w:type="dxa"/>
            <w:tcBorders>
              <w:top w:val="nil"/>
              <w:left w:val="nil"/>
              <w:bottom w:val="single" w:sz="4" w:space="0" w:color="auto"/>
              <w:right w:val="single" w:sz="4" w:space="0" w:color="auto"/>
            </w:tcBorders>
            <w:shd w:val="clear" w:color="000000" w:fill="FFFF99"/>
            <w:noWrap/>
            <w:vAlign w:val="bottom"/>
            <w:hideMark/>
          </w:tcPr>
          <w:p w14:paraId="76AC8BBD" w14:textId="77777777" w:rsidR="001752B7" w:rsidRPr="001752B7" w:rsidRDefault="001752B7" w:rsidP="001752B7">
            <w:pPr>
              <w:spacing w:after="0" w:line="240" w:lineRule="auto"/>
              <w:jc w:val="right"/>
              <w:rPr>
                <w:rFonts w:ascii="Calibri" w:eastAsia="Times New Roman" w:hAnsi="Calibri" w:cs="Calibri"/>
                <w:lang w:eastAsia="hr-HR"/>
              </w:rPr>
            </w:pPr>
            <w:r w:rsidRPr="001752B7">
              <w:rPr>
                <w:rFonts w:ascii="Calibri" w:eastAsia="Times New Roman" w:hAnsi="Calibri" w:cs="Calibri"/>
                <w:lang w:eastAsia="hr-HR"/>
              </w:rPr>
              <w:t> </w:t>
            </w:r>
          </w:p>
        </w:tc>
        <w:tc>
          <w:tcPr>
            <w:tcW w:w="447" w:type="dxa"/>
            <w:tcBorders>
              <w:top w:val="nil"/>
              <w:left w:val="nil"/>
              <w:bottom w:val="single" w:sz="4" w:space="0" w:color="auto"/>
              <w:right w:val="single" w:sz="4" w:space="0" w:color="auto"/>
            </w:tcBorders>
            <w:shd w:val="clear" w:color="000000" w:fill="FFFF99"/>
            <w:noWrap/>
            <w:vAlign w:val="bottom"/>
            <w:hideMark/>
          </w:tcPr>
          <w:p w14:paraId="5479C593" w14:textId="77777777" w:rsidR="001752B7" w:rsidRPr="001752B7" w:rsidRDefault="001752B7" w:rsidP="001752B7">
            <w:pPr>
              <w:spacing w:after="0" w:line="240" w:lineRule="auto"/>
              <w:jc w:val="right"/>
              <w:rPr>
                <w:rFonts w:ascii="Calibri" w:eastAsia="Times New Roman" w:hAnsi="Calibri" w:cs="Calibri"/>
                <w:lang w:eastAsia="hr-HR"/>
              </w:rPr>
            </w:pPr>
            <w:r w:rsidRPr="001752B7">
              <w:rPr>
                <w:rFonts w:ascii="Calibri" w:eastAsia="Times New Roman" w:hAnsi="Calibri" w:cs="Calibri"/>
                <w:lang w:eastAsia="hr-HR"/>
              </w:rPr>
              <w:t> </w:t>
            </w:r>
          </w:p>
        </w:tc>
        <w:tc>
          <w:tcPr>
            <w:tcW w:w="572" w:type="dxa"/>
            <w:tcBorders>
              <w:top w:val="nil"/>
              <w:left w:val="nil"/>
              <w:bottom w:val="single" w:sz="4" w:space="0" w:color="auto"/>
              <w:right w:val="single" w:sz="4" w:space="0" w:color="auto"/>
            </w:tcBorders>
            <w:shd w:val="clear" w:color="000000" w:fill="FF9900"/>
            <w:noWrap/>
            <w:vAlign w:val="bottom"/>
            <w:hideMark/>
          </w:tcPr>
          <w:p w14:paraId="5E9D723D" w14:textId="77777777" w:rsidR="001752B7" w:rsidRPr="001752B7" w:rsidRDefault="001752B7" w:rsidP="001752B7">
            <w:pPr>
              <w:spacing w:after="0" w:line="240" w:lineRule="auto"/>
              <w:jc w:val="right"/>
              <w:rPr>
                <w:rFonts w:ascii="Calibri" w:eastAsia="Times New Roman" w:hAnsi="Calibri" w:cs="Calibri"/>
                <w:lang w:eastAsia="hr-HR"/>
              </w:rPr>
            </w:pPr>
            <w:r w:rsidRPr="001752B7">
              <w:rPr>
                <w:rFonts w:ascii="Calibri" w:eastAsia="Times New Roman" w:hAnsi="Calibri" w:cs="Calibri"/>
                <w:lang w:eastAsia="hr-HR"/>
              </w:rPr>
              <w:t> </w:t>
            </w:r>
          </w:p>
        </w:tc>
        <w:tc>
          <w:tcPr>
            <w:tcW w:w="467" w:type="dxa"/>
            <w:tcBorders>
              <w:top w:val="nil"/>
              <w:left w:val="nil"/>
              <w:bottom w:val="single" w:sz="4" w:space="0" w:color="auto"/>
              <w:right w:val="single" w:sz="4" w:space="0" w:color="auto"/>
            </w:tcBorders>
            <w:shd w:val="clear" w:color="000000" w:fill="FF9900"/>
            <w:noWrap/>
            <w:vAlign w:val="bottom"/>
            <w:hideMark/>
          </w:tcPr>
          <w:p w14:paraId="59348632" w14:textId="77777777" w:rsidR="001752B7" w:rsidRPr="001752B7" w:rsidRDefault="001752B7" w:rsidP="001752B7">
            <w:pPr>
              <w:spacing w:after="0" w:line="240" w:lineRule="auto"/>
              <w:jc w:val="right"/>
              <w:rPr>
                <w:rFonts w:ascii="Calibri" w:eastAsia="Times New Roman" w:hAnsi="Calibri" w:cs="Calibri"/>
                <w:lang w:eastAsia="hr-HR"/>
              </w:rPr>
            </w:pPr>
            <w:r w:rsidRPr="001752B7">
              <w:rPr>
                <w:rFonts w:ascii="Calibri" w:eastAsia="Times New Roman" w:hAnsi="Calibri" w:cs="Calibri"/>
                <w:lang w:eastAsia="hr-HR"/>
              </w:rPr>
              <w:t> </w:t>
            </w:r>
          </w:p>
        </w:tc>
        <w:tc>
          <w:tcPr>
            <w:tcW w:w="579" w:type="dxa"/>
            <w:tcBorders>
              <w:top w:val="nil"/>
              <w:left w:val="nil"/>
              <w:bottom w:val="single" w:sz="4" w:space="0" w:color="auto"/>
              <w:right w:val="single" w:sz="4" w:space="0" w:color="auto"/>
            </w:tcBorders>
            <w:shd w:val="clear" w:color="000000" w:fill="FF9900"/>
            <w:noWrap/>
            <w:vAlign w:val="bottom"/>
            <w:hideMark/>
          </w:tcPr>
          <w:p w14:paraId="4F0D058E" w14:textId="77777777" w:rsidR="001752B7" w:rsidRPr="001752B7" w:rsidRDefault="001752B7" w:rsidP="001752B7">
            <w:pPr>
              <w:spacing w:after="0" w:line="240" w:lineRule="auto"/>
              <w:jc w:val="right"/>
              <w:rPr>
                <w:rFonts w:ascii="Calibri" w:eastAsia="Times New Roman" w:hAnsi="Calibri" w:cs="Calibri"/>
                <w:lang w:eastAsia="hr-HR"/>
              </w:rPr>
            </w:pPr>
            <w:r w:rsidRPr="001752B7">
              <w:rPr>
                <w:rFonts w:ascii="Calibri" w:eastAsia="Times New Roman" w:hAnsi="Calibri" w:cs="Calibri"/>
                <w:lang w:eastAsia="hr-HR"/>
              </w:rPr>
              <w:t> </w:t>
            </w:r>
          </w:p>
        </w:tc>
        <w:tc>
          <w:tcPr>
            <w:tcW w:w="447" w:type="dxa"/>
            <w:tcBorders>
              <w:top w:val="nil"/>
              <w:left w:val="nil"/>
              <w:bottom w:val="single" w:sz="4" w:space="0" w:color="auto"/>
              <w:right w:val="single" w:sz="4" w:space="0" w:color="auto"/>
            </w:tcBorders>
            <w:shd w:val="clear" w:color="000000" w:fill="66FFCC"/>
            <w:noWrap/>
            <w:vAlign w:val="bottom"/>
            <w:hideMark/>
          </w:tcPr>
          <w:p w14:paraId="419AE6D0" w14:textId="77777777" w:rsidR="001752B7" w:rsidRPr="001752B7" w:rsidRDefault="001752B7" w:rsidP="001752B7">
            <w:pPr>
              <w:spacing w:after="0" w:line="240" w:lineRule="auto"/>
              <w:jc w:val="right"/>
              <w:rPr>
                <w:rFonts w:ascii="Calibri" w:eastAsia="Times New Roman" w:hAnsi="Calibri" w:cs="Calibri"/>
                <w:lang w:eastAsia="hr-HR"/>
              </w:rPr>
            </w:pPr>
            <w:r w:rsidRPr="001752B7">
              <w:rPr>
                <w:rFonts w:ascii="Calibri" w:eastAsia="Times New Roman" w:hAnsi="Calibri" w:cs="Calibri"/>
                <w:lang w:eastAsia="hr-HR"/>
              </w:rPr>
              <w:t> </w:t>
            </w:r>
          </w:p>
        </w:tc>
        <w:tc>
          <w:tcPr>
            <w:tcW w:w="447" w:type="dxa"/>
            <w:tcBorders>
              <w:top w:val="nil"/>
              <w:left w:val="nil"/>
              <w:bottom w:val="single" w:sz="4" w:space="0" w:color="auto"/>
              <w:right w:val="single" w:sz="4" w:space="0" w:color="auto"/>
            </w:tcBorders>
            <w:shd w:val="clear" w:color="000000" w:fill="66FFCC"/>
            <w:noWrap/>
            <w:vAlign w:val="bottom"/>
            <w:hideMark/>
          </w:tcPr>
          <w:p w14:paraId="6E958550" w14:textId="77777777" w:rsidR="001752B7" w:rsidRPr="001752B7" w:rsidRDefault="001752B7" w:rsidP="001752B7">
            <w:pPr>
              <w:spacing w:after="0" w:line="240" w:lineRule="auto"/>
              <w:jc w:val="right"/>
              <w:rPr>
                <w:rFonts w:ascii="Calibri" w:eastAsia="Times New Roman" w:hAnsi="Calibri" w:cs="Calibri"/>
                <w:lang w:eastAsia="hr-HR"/>
              </w:rPr>
            </w:pPr>
            <w:r w:rsidRPr="001752B7">
              <w:rPr>
                <w:rFonts w:ascii="Calibri" w:eastAsia="Times New Roman" w:hAnsi="Calibri" w:cs="Calibri"/>
                <w:lang w:eastAsia="hr-HR"/>
              </w:rPr>
              <w:t> </w:t>
            </w:r>
          </w:p>
        </w:tc>
        <w:tc>
          <w:tcPr>
            <w:tcW w:w="698" w:type="dxa"/>
            <w:tcBorders>
              <w:top w:val="nil"/>
              <w:left w:val="nil"/>
              <w:bottom w:val="single" w:sz="4" w:space="0" w:color="auto"/>
              <w:right w:val="single" w:sz="4" w:space="0" w:color="auto"/>
            </w:tcBorders>
            <w:shd w:val="clear" w:color="000000" w:fill="66FFCC"/>
            <w:noWrap/>
            <w:vAlign w:val="bottom"/>
            <w:hideMark/>
          </w:tcPr>
          <w:p w14:paraId="79284066" w14:textId="77777777" w:rsidR="001752B7" w:rsidRPr="001752B7" w:rsidRDefault="001752B7" w:rsidP="001752B7">
            <w:pPr>
              <w:spacing w:after="0" w:line="240" w:lineRule="auto"/>
              <w:jc w:val="right"/>
              <w:rPr>
                <w:rFonts w:ascii="Calibri" w:eastAsia="Times New Roman" w:hAnsi="Calibri" w:cs="Calibri"/>
                <w:lang w:eastAsia="hr-HR"/>
              </w:rPr>
            </w:pPr>
            <w:r w:rsidRPr="001752B7">
              <w:rPr>
                <w:rFonts w:ascii="Calibri" w:eastAsia="Times New Roman" w:hAnsi="Calibri" w:cs="Calibri"/>
                <w:lang w:eastAsia="hr-HR"/>
              </w:rPr>
              <w:t> </w:t>
            </w:r>
          </w:p>
        </w:tc>
        <w:tc>
          <w:tcPr>
            <w:tcW w:w="447" w:type="dxa"/>
            <w:tcBorders>
              <w:top w:val="nil"/>
              <w:left w:val="nil"/>
              <w:bottom w:val="single" w:sz="4" w:space="0" w:color="auto"/>
              <w:right w:val="single" w:sz="4" w:space="0" w:color="auto"/>
            </w:tcBorders>
            <w:shd w:val="clear" w:color="000000" w:fill="66FFCC"/>
            <w:noWrap/>
            <w:vAlign w:val="bottom"/>
            <w:hideMark/>
          </w:tcPr>
          <w:p w14:paraId="183B9074" w14:textId="77777777" w:rsidR="001752B7" w:rsidRPr="001752B7" w:rsidRDefault="001752B7" w:rsidP="001752B7">
            <w:pPr>
              <w:spacing w:after="0" w:line="240" w:lineRule="auto"/>
              <w:jc w:val="right"/>
              <w:rPr>
                <w:rFonts w:ascii="Calibri" w:eastAsia="Times New Roman" w:hAnsi="Calibri" w:cs="Calibri"/>
                <w:lang w:eastAsia="hr-HR"/>
              </w:rPr>
            </w:pPr>
            <w:r w:rsidRPr="001752B7">
              <w:rPr>
                <w:rFonts w:ascii="Calibri" w:eastAsia="Times New Roman" w:hAnsi="Calibri" w:cs="Calibri"/>
                <w:lang w:eastAsia="hr-HR"/>
              </w:rPr>
              <w:t> </w:t>
            </w:r>
          </w:p>
        </w:tc>
        <w:tc>
          <w:tcPr>
            <w:tcW w:w="652" w:type="dxa"/>
            <w:tcBorders>
              <w:top w:val="nil"/>
              <w:left w:val="nil"/>
              <w:bottom w:val="single" w:sz="4" w:space="0" w:color="auto"/>
              <w:right w:val="single" w:sz="4" w:space="0" w:color="auto"/>
            </w:tcBorders>
            <w:shd w:val="clear" w:color="000000" w:fill="FFFF00"/>
            <w:vAlign w:val="center"/>
            <w:hideMark/>
          </w:tcPr>
          <w:p w14:paraId="40216E4F" w14:textId="77777777" w:rsidR="001752B7" w:rsidRPr="001752B7" w:rsidRDefault="001752B7" w:rsidP="001752B7">
            <w:pPr>
              <w:spacing w:after="0" w:line="240" w:lineRule="auto"/>
              <w:jc w:val="right"/>
              <w:rPr>
                <w:rFonts w:ascii="Calibri" w:eastAsia="Times New Roman" w:hAnsi="Calibri" w:cs="Calibri"/>
                <w:lang w:eastAsia="hr-HR"/>
              </w:rPr>
            </w:pPr>
            <w:r w:rsidRPr="001752B7">
              <w:rPr>
                <w:rFonts w:ascii="Calibri" w:eastAsia="Times New Roman" w:hAnsi="Calibri" w:cs="Calibri"/>
                <w:lang w:eastAsia="hr-HR"/>
              </w:rPr>
              <w:t> </w:t>
            </w:r>
          </w:p>
        </w:tc>
        <w:tc>
          <w:tcPr>
            <w:tcW w:w="614" w:type="dxa"/>
            <w:tcBorders>
              <w:top w:val="nil"/>
              <w:left w:val="nil"/>
              <w:bottom w:val="single" w:sz="4" w:space="0" w:color="auto"/>
              <w:right w:val="single" w:sz="4" w:space="0" w:color="auto"/>
            </w:tcBorders>
            <w:shd w:val="clear" w:color="000000" w:fill="FFFF99"/>
            <w:vAlign w:val="center"/>
            <w:hideMark/>
          </w:tcPr>
          <w:p w14:paraId="5D91A111" w14:textId="77777777" w:rsidR="001752B7" w:rsidRPr="001752B7" w:rsidRDefault="001752B7" w:rsidP="001752B7">
            <w:pPr>
              <w:spacing w:after="0" w:line="240" w:lineRule="auto"/>
              <w:jc w:val="right"/>
              <w:rPr>
                <w:rFonts w:ascii="Calibri" w:eastAsia="Times New Roman" w:hAnsi="Calibri" w:cs="Calibri"/>
                <w:lang w:eastAsia="hr-HR"/>
              </w:rPr>
            </w:pPr>
            <w:r w:rsidRPr="001752B7">
              <w:rPr>
                <w:rFonts w:ascii="Calibri" w:eastAsia="Times New Roman" w:hAnsi="Calibri" w:cs="Calibri"/>
                <w:lang w:eastAsia="hr-HR"/>
              </w:rPr>
              <w:t> </w:t>
            </w:r>
          </w:p>
        </w:tc>
        <w:tc>
          <w:tcPr>
            <w:tcW w:w="519" w:type="dxa"/>
            <w:tcBorders>
              <w:top w:val="nil"/>
              <w:left w:val="nil"/>
              <w:bottom w:val="single" w:sz="4" w:space="0" w:color="auto"/>
              <w:right w:val="single" w:sz="4" w:space="0" w:color="auto"/>
            </w:tcBorders>
            <w:shd w:val="clear" w:color="000000" w:fill="FF9900"/>
            <w:vAlign w:val="center"/>
            <w:hideMark/>
          </w:tcPr>
          <w:p w14:paraId="36DCF73F" w14:textId="77777777" w:rsidR="001752B7" w:rsidRPr="001752B7" w:rsidRDefault="001752B7" w:rsidP="001752B7">
            <w:pPr>
              <w:spacing w:after="0" w:line="240" w:lineRule="auto"/>
              <w:jc w:val="right"/>
              <w:rPr>
                <w:rFonts w:ascii="Calibri" w:eastAsia="Times New Roman" w:hAnsi="Calibri" w:cs="Calibri"/>
                <w:lang w:eastAsia="hr-HR"/>
              </w:rPr>
            </w:pPr>
            <w:r w:rsidRPr="001752B7">
              <w:rPr>
                <w:rFonts w:ascii="Calibri" w:eastAsia="Times New Roman" w:hAnsi="Calibri" w:cs="Calibri"/>
                <w:lang w:eastAsia="hr-HR"/>
              </w:rPr>
              <w:t> </w:t>
            </w:r>
          </w:p>
        </w:tc>
        <w:tc>
          <w:tcPr>
            <w:tcW w:w="477" w:type="dxa"/>
            <w:tcBorders>
              <w:top w:val="nil"/>
              <w:left w:val="nil"/>
              <w:bottom w:val="single" w:sz="4" w:space="0" w:color="auto"/>
              <w:right w:val="single" w:sz="4" w:space="0" w:color="auto"/>
            </w:tcBorders>
            <w:shd w:val="clear" w:color="000000" w:fill="CCFFFF"/>
            <w:vAlign w:val="bottom"/>
            <w:hideMark/>
          </w:tcPr>
          <w:p w14:paraId="5605FF35" w14:textId="77777777" w:rsidR="001752B7" w:rsidRPr="001752B7" w:rsidRDefault="001752B7" w:rsidP="001752B7">
            <w:pPr>
              <w:spacing w:after="0" w:line="240" w:lineRule="auto"/>
              <w:jc w:val="right"/>
              <w:rPr>
                <w:rFonts w:ascii="Calibri" w:eastAsia="Times New Roman" w:hAnsi="Calibri" w:cs="Calibri"/>
                <w:lang w:eastAsia="hr-HR"/>
              </w:rPr>
            </w:pPr>
            <w:r w:rsidRPr="001752B7">
              <w:rPr>
                <w:rFonts w:ascii="Calibri" w:eastAsia="Times New Roman" w:hAnsi="Calibri" w:cs="Calibri"/>
                <w:lang w:eastAsia="hr-HR"/>
              </w:rPr>
              <w:t> </w:t>
            </w:r>
          </w:p>
        </w:tc>
        <w:tc>
          <w:tcPr>
            <w:tcW w:w="506" w:type="dxa"/>
            <w:tcBorders>
              <w:top w:val="nil"/>
              <w:left w:val="nil"/>
              <w:bottom w:val="single" w:sz="4" w:space="0" w:color="auto"/>
              <w:right w:val="single" w:sz="4" w:space="0" w:color="auto"/>
            </w:tcBorders>
            <w:shd w:val="clear" w:color="000000" w:fill="CCFFFF"/>
            <w:vAlign w:val="bottom"/>
            <w:hideMark/>
          </w:tcPr>
          <w:p w14:paraId="3F1C6D7E" w14:textId="77777777" w:rsidR="001752B7" w:rsidRPr="001752B7" w:rsidRDefault="001752B7" w:rsidP="001752B7">
            <w:pPr>
              <w:spacing w:after="0" w:line="240" w:lineRule="auto"/>
              <w:jc w:val="right"/>
              <w:rPr>
                <w:rFonts w:ascii="Calibri" w:eastAsia="Times New Roman" w:hAnsi="Calibri" w:cs="Calibri"/>
                <w:lang w:eastAsia="hr-HR"/>
              </w:rPr>
            </w:pPr>
            <w:r w:rsidRPr="001752B7">
              <w:rPr>
                <w:rFonts w:ascii="Calibri" w:eastAsia="Times New Roman" w:hAnsi="Calibri" w:cs="Calibri"/>
                <w:lang w:eastAsia="hr-HR"/>
              </w:rPr>
              <w:t> </w:t>
            </w:r>
          </w:p>
        </w:tc>
        <w:tc>
          <w:tcPr>
            <w:tcW w:w="485" w:type="dxa"/>
            <w:tcBorders>
              <w:top w:val="nil"/>
              <w:left w:val="nil"/>
              <w:bottom w:val="single" w:sz="4" w:space="0" w:color="auto"/>
              <w:right w:val="single" w:sz="4" w:space="0" w:color="auto"/>
            </w:tcBorders>
            <w:shd w:val="clear" w:color="000000" w:fill="CCFFFF"/>
            <w:vAlign w:val="bottom"/>
            <w:hideMark/>
          </w:tcPr>
          <w:p w14:paraId="40A1616D" w14:textId="77777777" w:rsidR="001752B7" w:rsidRPr="001752B7" w:rsidRDefault="001752B7" w:rsidP="001752B7">
            <w:pPr>
              <w:spacing w:after="0" w:line="240" w:lineRule="auto"/>
              <w:jc w:val="right"/>
              <w:rPr>
                <w:rFonts w:ascii="Calibri" w:eastAsia="Times New Roman" w:hAnsi="Calibri" w:cs="Calibri"/>
                <w:lang w:eastAsia="hr-HR"/>
              </w:rPr>
            </w:pPr>
            <w:r w:rsidRPr="001752B7">
              <w:rPr>
                <w:rFonts w:ascii="Calibri" w:eastAsia="Times New Roman" w:hAnsi="Calibri" w:cs="Calibri"/>
                <w:lang w:eastAsia="hr-HR"/>
              </w:rPr>
              <w:t> </w:t>
            </w:r>
          </w:p>
        </w:tc>
        <w:tc>
          <w:tcPr>
            <w:tcW w:w="561" w:type="dxa"/>
            <w:tcBorders>
              <w:top w:val="nil"/>
              <w:left w:val="nil"/>
              <w:bottom w:val="single" w:sz="4" w:space="0" w:color="auto"/>
              <w:right w:val="nil"/>
            </w:tcBorders>
            <w:shd w:val="clear" w:color="000000" w:fill="33CCCC"/>
            <w:noWrap/>
            <w:vAlign w:val="bottom"/>
            <w:hideMark/>
          </w:tcPr>
          <w:p w14:paraId="0A236699" w14:textId="77777777" w:rsidR="001752B7" w:rsidRPr="001752B7" w:rsidRDefault="001752B7" w:rsidP="001752B7">
            <w:pPr>
              <w:spacing w:after="0" w:line="240" w:lineRule="auto"/>
              <w:jc w:val="right"/>
              <w:rPr>
                <w:rFonts w:ascii="Calibri" w:eastAsia="Times New Roman" w:hAnsi="Calibri" w:cs="Calibri"/>
                <w:lang w:eastAsia="hr-HR"/>
              </w:rPr>
            </w:pPr>
            <w:r w:rsidRPr="001752B7">
              <w:rPr>
                <w:rFonts w:ascii="Calibri" w:eastAsia="Times New Roman" w:hAnsi="Calibri" w:cs="Calibri"/>
                <w:lang w:eastAsia="hr-HR"/>
              </w:rPr>
              <w:t> </w:t>
            </w:r>
          </w:p>
        </w:tc>
        <w:tc>
          <w:tcPr>
            <w:tcW w:w="595" w:type="dxa"/>
            <w:tcBorders>
              <w:top w:val="nil"/>
              <w:left w:val="single" w:sz="4" w:space="0" w:color="auto"/>
              <w:bottom w:val="single" w:sz="4" w:space="0" w:color="auto"/>
              <w:right w:val="single" w:sz="8" w:space="0" w:color="auto"/>
            </w:tcBorders>
            <w:shd w:val="clear" w:color="000000" w:fill="33CCCC"/>
            <w:noWrap/>
            <w:vAlign w:val="bottom"/>
            <w:hideMark/>
          </w:tcPr>
          <w:p w14:paraId="0B23A073" w14:textId="77777777" w:rsidR="001752B7" w:rsidRPr="001752B7" w:rsidRDefault="001752B7" w:rsidP="001752B7">
            <w:pPr>
              <w:spacing w:after="0" w:line="240" w:lineRule="auto"/>
              <w:jc w:val="right"/>
              <w:rPr>
                <w:rFonts w:ascii="Calibri" w:eastAsia="Times New Roman" w:hAnsi="Calibri" w:cs="Calibri"/>
                <w:lang w:eastAsia="hr-HR"/>
              </w:rPr>
            </w:pPr>
            <w:r w:rsidRPr="001752B7">
              <w:rPr>
                <w:rFonts w:ascii="Calibri" w:eastAsia="Times New Roman" w:hAnsi="Calibri" w:cs="Calibri"/>
                <w:lang w:eastAsia="hr-HR"/>
              </w:rPr>
              <w:t> </w:t>
            </w:r>
          </w:p>
        </w:tc>
        <w:tc>
          <w:tcPr>
            <w:tcW w:w="266" w:type="dxa"/>
            <w:gridSpan w:val="3"/>
            <w:vAlign w:val="center"/>
            <w:hideMark/>
          </w:tcPr>
          <w:p w14:paraId="70CF1D56" w14:textId="77777777" w:rsidR="001752B7" w:rsidRPr="001752B7" w:rsidRDefault="001752B7" w:rsidP="001752B7">
            <w:pPr>
              <w:spacing w:after="0" w:line="240" w:lineRule="auto"/>
              <w:rPr>
                <w:rFonts w:ascii="Times New Roman" w:eastAsia="Times New Roman" w:hAnsi="Times New Roman" w:cs="Times New Roman"/>
                <w:sz w:val="20"/>
                <w:szCs w:val="20"/>
                <w:lang w:eastAsia="hr-HR"/>
              </w:rPr>
            </w:pPr>
          </w:p>
        </w:tc>
      </w:tr>
      <w:tr w:rsidR="001752B7" w:rsidRPr="001752B7" w14:paraId="720C79D7" w14:textId="77777777" w:rsidTr="000271A1">
        <w:trPr>
          <w:trHeight w:val="300"/>
        </w:trPr>
        <w:tc>
          <w:tcPr>
            <w:tcW w:w="1404" w:type="dxa"/>
            <w:tcBorders>
              <w:top w:val="single" w:sz="4" w:space="0" w:color="auto"/>
              <w:left w:val="single" w:sz="8" w:space="0" w:color="auto"/>
              <w:bottom w:val="single" w:sz="4" w:space="0" w:color="auto"/>
              <w:right w:val="single" w:sz="4" w:space="0" w:color="auto"/>
            </w:tcBorders>
            <w:shd w:val="clear" w:color="000000" w:fill="CCFFCC"/>
            <w:vAlign w:val="center"/>
            <w:hideMark/>
          </w:tcPr>
          <w:p w14:paraId="68DF4780" w14:textId="77777777" w:rsidR="001752B7" w:rsidRPr="001752B7" w:rsidRDefault="001752B7" w:rsidP="001752B7">
            <w:pPr>
              <w:spacing w:after="0" w:line="240" w:lineRule="auto"/>
              <w:rPr>
                <w:rFonts w:ascii="Calibri" w:eastAsia="Times New Roman" w:hAnsi="Calibri" w:cs="Calibri"/>
                <w:lang w:eastAsia="hr-HR"/>
              </w:rPr>
            </w:pPr>
            <w:r w:rsidRPr="001752B7">
              <w:rPr>
                <w:rFonts w:ascii="Calibri" w:eastAsia="Times New Roman" w:hAnsi="Calibri" w:cs="Calibri"/>
                <w:lang w:eastAsia="hr-HR"/>
              </w:rPr>
              <w:t>Obrazovanje</w:t>
            </w:r>
          </w:p>
        </w:tc>
        <w:tc>
          <w:tcPr>
            <w:tcW w:w="545" w:type="dxa"/>
            <w:tcBorders>
              <w:top w:val="nil"/>
              <w:left w:val="nil"/>
              <w:bottom w:val="single" w:sz="4" w:space="0" w:color="auto"/>
              <w:right w:val="single" w:sz="4" w:space="0" w:color="auto"/>
            </w:tcBorders>
            <w:shd w:val="clear" w:color="000000" w:fill="CCFFCC"/>
            <w:vAlign w:val="center"/>
            <w:hideMark/>
          </w:tcPr>
          <w:p w14:paraId="58C6F5BB" w14:textId="77777777" w:rsidR="001752B7" w:rsidRPr="001752B7" w:rsidRDefault="001752B7" w:rsidP="001752B7">
            <w:pPr>
              <w:spacing w:after="0" w:line="240" w:lineRule="auto"/>
              <w:jc w:val="right"/>
              <w:rPr>
                <w:rFonts w:ascii="Calibri" w:eastAsia="Times New Roman" w:hAnsi="Calibri" w:cs="Calibri"/>
                <w:lang w:eastAsia="hr-HR"/>
              </w:rPr>
            </w:pPr>
            <w:r w:rsidRPr="001752B7">
              <w:rPr>
                <w:rFonts w:ascii="Calibri" w:eastAsia="Times New Roman" w:hAnsi="Calibri" w:cs="Calibri"/>
                <w:lang w:eastAsia="hr-HR"/>
              </w:rPr>
              <w:t> </w:t>
            </w:r>
          </w:p>
        </w:tc>
        <w:tc>
          <w:tcPr>
            <w:tcW w:w="573" w:type="dxa"/>
            <w:tcBorders>
              <w:top w:val="nil"/>
              <w:left w:val="nil"/>
              <w:bottom w:val="single" w:sz="4" w:space="0" w:color="auto"/>
              <w:right w:val="single" w:sz="4" w:space="0" w:color="auto"/>
            </w:tcBorders>
            <w:shd w:val="clear" w:color="000000" w:fill="FFCC99"/>
            <w:noWrap/>
            <w:vAlign w:val="bottom"/>
            <w:hideMark/>
          </w:tcPr>
          <w:p w14:paraId="63CDE6EA" w14:textId="77777777" w:rsidR="001752B7" w:rsidRPr="001752B7" w:rsidRDefault="001752B7" w:rsidP="001752B7">
            <w:pPr>
              <w:spacing w:after="0" w:line="240" w:lineRule="auto"/>
              <w:jc w:val="right"/>
              <w:rPr>
                <w:rFonts w:ascii="Calibri" w:eastAsia="Times New Roman" w:hAnsi="Calibri" w:cs="Calibri"/>
                <w:lang w:eastAsia="hr-HR"/>
              </w:rPr>
            </w:pPr>
            <w:r w:rsidRPr="001752B7">
              <w:rPr>
                <w:rFonts w:ascii="Calibri" w:eastAsia="Times New Roman" w:hAnsi="Calibri" w:cs="Calibri"/>
                <w:lang w:eastAsia="hr-HR"/>
              </w:rPr>
              <w:t> </w:t>
            </w:r>
          </w:p>
        </w:tc>
        <w:tc>
          <w:tcPr>
            <w:tcW w:w="855" w:type="dxa"/>
            <w:tcBorders>
              <w:top w:val="nil"/>
              <w:left w:val="nil"/>
              <w:bottom w:val="single" w:sz="4" w:space="0" w:color="auto"/>
              <w:right w:val="single" w:sz="4" w:space="0" w:color="auto"/>
            </w:tcBorders>
            <w:shd w:val="clear" w:color="000000" w:fill="CCFFFF"/>
            <w:noWrap/>
            <w:vAlign w:val="bottom"/>
            <w:hideMark/>
          </w:tcPr>
          <w:p w14:paraId="6D2092FF" w14:textId="77777777" w:rsidR="001752B7" w:rsidRPr="001752B7" w:rsidRDefault="001752B7" w:rsidP="001752B7">
            <w:pPr>
              <w:spacing w:after="0" w:line="240" w:lineRule="auto"/>
              <w:jc w:val="right"/>
              <w:rPr>
                <w:rFonts w:ascii="Calibri" w:eastAsia="Times New Roman" w:hAnsi="Calibri" w:cs="Calibri"/>
                <w:lang w:eastAsia="hr-HR"/>
              </w:rPr>
            </w:pPr>
            <w:r w:rsidRPr="001752B7">
              <w:rPr>
                <w:rFonts w:ascii="Calibri" w:eastAsia="Times New Roman" w:hAnsi="Calibri" w:cs="Calibri"/>
                <w:lang w:eastAsia="hr-HR"/>
              </w:rPr>
              <w:t> </w:t>
            </w:r>
          </w:p>
        </w:tc>
        <w:tc>
          <w:tcPr>
            <w:tcW w:w="638" w:type="dxa"/>
            <w:tcBorders>
              <w:top w:val="nil"/>
              <w:left w:val="nil"/>
              <w:bottom w:val="single" w:sz="4" w:space="0" w:color="auto"/>
              <w:right w:val="single" w:sz="4" w:space="0" w:color="auto"/>
            </w:tcBorders>
            <w:shd w:val="clear" w:color="000000" w:fill="CCFFFF"/>
            <w:noWrap/>
            <w:vAlign w:val="bottom"/>
            <w:hideMark/>
          </w:tcPr>
          <w:p w14:paraId="15B4215F" w14:textId="77777777" w:rsidR="001752B7" w:rsidRPr="001752B7" w:rsidRDefault="001752B7" w:rsidP="001752B7">
            <w:pPr>
              <w:spacing w:after="0" w:line="240" w:lineRule="auto"/>
              <w:jc w:val="right"/>
              <w:rPr>
                <w:rFonts w:ascii="Calibri" w:eastAsia="Times New Roman" w:hAnsi="Calibri" w:cs="Calibri"/>
                <w:lang w:eastAsia="hr-HR"/>
              </w:rPr>
            </w:pPr>
            <w:r w:rsidRPr="001752B7">
              <w:rPr>
                <w:rFonts w:ascii="Calibri" w:eastAsia="Times New Roman" w:hAnsi="Calibri" w:cs="Calibri"/>
                <w:lang w:eastAsia="hr-HR"/>
              </w:rPr>
              <w:t> </w:t>
            </w:r>
          </w:p>
        </w:tc>
        <w:tc>
          <w:tcPr>
            <w:tcW w:w="580" w:type="dxa"/>
            <w:tcBorders>
              <w:top w:val="nil"/>
              <w:left w:val="nil"/>
              <w:bottom w:val="single" w:sz="4" w:space="0" w:color="auto"/>
              <w:right w:val="single" w:sz="4" w:space="0" w:color="auto"/>
            </w:tcBorders>
            <w:shd w:val="clear" w:color="000000" w:fill="FFFF99"/>
            <w:noWrap/>
            <w:vAlign w:val="bottom"/>
            <w:hideMark/>
          </w:tcPr>
          <w:p w14:paraId="3A71002B" w14:textId="77777777" w:rsidR="001752B7" w:rsidRPr="001752B7" w:rsidRDefault="001752B7" w:rsidP="001752B7">
            <w:pPr>
              <w:spacing w:after="0" w:line="240" w:lineRule="auto"/>
              <w:jc w:val="right"/>
              <w:rPr>
                <w:rFonts w:ascii="Calibri" w:eastAsia="Times New Roman" w:hAnsi="Calibri" w:cs="Calibri"/>
                <w:lang w:eastAsia="hr-HR"/>
              </w:rPr>
            </w:pPr>
            <w:r w:rsidRPr="001752B7">
              <w:rPr>
                <w:rFonts w:ascii="Calibri" w:eastAsia="Times New Roman" w:hAnsi="Calibri" w:cs="Calibri"/>
                <w:lang w:eastAsia="hr-HR"/>
              </w:rPr>
              <w:t> </w:t>
            </w:r>
          </w:p>
        </w:tc>
        <w:tc>
          <w:tcPr>
            <w:tcW w:w="447" w:type="dxa"/>
            <w:tcBorders>
              <w:top w:val="nil"/>
              <w:left w:val="nil"/>
              <w:bottom w:val="single" w:sz="4" w:space="0" w:color="auto"/>
              <w:right w:val="single" w:sz="4" w:space="0" w:color="auto"/>
            </w:tcBorders>
            <w:shd w:val="clear" w:color="000000" w:fill="FFFF99"/>
            <w:noWrap/>
            <w:vAlign w:val="bottom"/>
            <w:hideMark/>
          </w:tcPr>
          <w:p w14:paraId="1C20567A" w14:textId="77777777" w:rsidR="001752B7" w:rsidRPr="001752B7" w:rsidRDefault="001752B7" w:rsidP="001752B7">
            <w:pPr>
              <w:spacing w:after="0" w:line="240" w:lineRule="auto"/>
              <w:jc w:val="right"/>
              <w:rPr>
                <w:rFonts w:ascii="Calibri" w:eastAsia="Times New Roman" w:hAnsi="Calibri" w:cs="Calibri"/>
                <w:lang w:eastAsia="hr-HR"/>
              </w:rPr>
            </w:pPr>
            <w:r w:rsidRPr="001752B7">
              <w:rPr>
                <w:rFonts w:ascii="Calibri" w:eastAsia="Times New Roman" w:hAnsi="Calibri" w:cs="Calibri"/>
                <w:lang w:eastAsia="hr-HR"/>
              </w:rPr>
              <w:t> </w:t>
            </w:r>
          </w:p>
        </w:tc>
        <w:tc>
          <w:tcPr>
            <w:tcW w:w="447" w:type="dxa"/>
            <w:tcBorders>
              <w:top w:val="nil"/>
              <w:left w:val="nil"/>
              <w:bottom w:val="single" w:sz="4" w:space="0" w:color="auto"/>
              <w:right w:val="single" w:sz="4" w:space="0" w:color="auto"/>
            </w:tcBorders>
            <w:shd w:val="clear" w:color="000000" w:fill="FFFF99"/>
            <w:noWrap/>
            <w:vAlign w:val="bottom"/>
            <w:hideMark/>
          </w:tcPr>
          <w:p w14:paraId="1FA24C88" w14:textId="77777777" w:rsidR="001752B7" w:rsidRPr="001752B7" w:rsidRDefault="001752B7" w:rsidP="001752B7">
            <w:pPr>
              <w:spacing w:after="0" w:line="240" w:lineRule="auto"/>
              <w:jc w:val="right"/>
              <w:rPr>
                <w:rFonts w:ascii="Calibri" w:eastAsia="Times New Roman" w:hAnsi="Calibri" w:cs="Calibri"/>
                <w:lang w:eastAsia="hr-HR"/>
              </w:rPr>
            </w:pPr>
            <w:r w:rsidRPr="001752B7">
              <w:rPr>
                <w:rFonts w:ascii="Calibri" w:eastAsia="Times New Roman" w:hAnsi="Calibri" w:cs="Calibri"/>
                <w:lang w:eastAsia="hr-HR"/>
              </w:rPr>
              <w:t> </w:t>
            </w:r>
          </w:p>
        </w:tc>
        <w:tc>
          <w:tcPr>
            <w:tcW w:w="447" w:type="dxa"/>
            <w:tcBorders>
              <w:top w:val="nil"/>
              <w:left w:val="nil"/>
              <w:bottom w:val="single" w:sz="4" w:space="0" w:color="auto"/>
              <w:right w:val="single" w:sz="4" w:space="0" w:color="auto"/>
            </w:tcBorders>
            <w:shd w:val="clear" w:color="000000" w:fill="FFFF99"/>
            <w:noWrap/>
            <w:vAlign w:val="bottom"/>
            <w:hideMark/>
          </w:tcPr>
          <w:p w14:paraId="305EB873" w14:textId="77777777" w:rsidR="001752B7" w:rsidRPr="001752B7" w:rsidRDefault="001752B7" w:rsidP="001752B7">
            <w:pPr>
              <w:spacing w:after="0" w:line="240" w:lineRule="auto"/>
              <w:jc w:val="right"/>
              <w:rPr>
                <w:rFonts w:ascii="Calibri" w:eastAsia="Times New Roman" w:hAnsi="Calibri" w:cs="Calibri"/>
                <w:lang w:eastAsia="hr-HR"/>
              </w:rPr>
            </w:pPr>
            <w:r w:rsidRPr="001752B7">
              <w:rPr>
                <w:rFonts w:ascii="Calibri" w:eastAsia="Times New Roman" w:hAnsi="Calibri" w:cs="Calibri"/>
                <w:lang w:eastAsia="hr-HR"/>
              </w:rPr>
              <w:t> </w:t>
            </w:r>
          </w:p>
        </w:tc>
        <w:tc>
          <w:tcPr>
            <w:tcW w:w="447" w:type="dxa"/>
            <w:tcBorders>
              <w:top w:val="nil"/>
              <w:left w:val="nil"/>
              <w:bottom w:val="single" w:sz="4" w:space="0" w:color="auto"/>
              <w:right w:val="single" w:sz="4" w:space="0" w:color="auto"/>
            </w:tcBorders>
            <w:shd w:val="clear" w:color="000000" w:fill="FFFF99"/>
            <w:noWrap/>
            <w:vAlign w:val="bottom"/>
            <w:hideMark/>
          </w:tcPr>
          <w:p w14:paraId="3CD6F2B6" w14:textId="77777777" w:rsidR="001752B7" w:rsidRPr="001752B7" w:rsidRDefault="001752B7" w:rsidP="001752B7">
            <w:pPr>
              <w:spacing w:after="0" w:line="240" w:lineRule="auto"/>
              <w:jc w:val="right"/>
              <w:rPr>
                <w:rFonts w:ascii="Calibri" w:eastAsia="Times New Roman" w:hAnsi="Calibri" w:cs="Calibri"/>
                <w:lang w:eastAsia="hr-HR"/>
              </w:rPr>
            </w:pPr>
            <w:r w:rsidRPr="001752B7">
              <w:rPr>
                <w:rFonts w:ascii="Calibri" w:eastAsia="Times New Roman" w:hAnsi="Calibri" w:cs="Calibri"/>
                <w:lang w:eastAsia="hr-HR"/>
              </w:rPr>
              <w:t> </w:t>
            </w:r>
          </w:p>
        </w:tc>
        <w:tc>
          <w:tcPr>
            <w:tcW w:w="572" w:type="dxa"/>
            <w:tcBorders>
              <w:top w:val="nil"/>
              <w:left w:val="nil"/>
              <w:bottom w:val="single" w:sz="4" w:space="0" w:color="auto"/>
              <w:right w:val="single" w:sz="4" w:space="0" w:color="auto"/>
            </w:tcBorders>
            <w:shd w:val="clear" w:color="000000" w:fill="FF9900"/>
            <w:noWrap/>
            <w:vAlign w:val="bottom"/>
            <w:hideMark/>
          </w:tcPr>
          <w:p w14:paraId="1D2A0F47" w14:textId="77777777" w:rsidR="001752B7" w:rsidRPr="001752B7" w:rsidRDefault="001752B7" w:rsidP="001752B7">
            <w:pPr>
              <w:spacing w:after="0" w:line="240" w:lineRule="auto"/>
              <w:jc w:val="right"/>
              <w:rPr>
                <w:rFonts w:ascii="Calibri" w:eastAsia="Times New Roman" w:hAnsi="Calibri" w:cs="Calibri"/>
                <w:lang w:eastAsia="hr-HR"/>
              </w:rPr>
            </w:pPr>
            <w:r w:rsidRPr="001752B7">
              <w:rPr>
                <w:rFonts w:ascii="Calibri" w:eastAsia="Times New Roman" w:hAnsi="Calibri" w:cs="Calibri"/>
                <w:lang w:eastAsia="hr-HR"/>
              </w:rPr>
              <w:t> </w:t>
            </w:r>
          </w:p>
        </w:tc>
        <w:tc>
          <w:tcPr>
            <w:tcW w:w="467" w:type="dxa"/>
            <w:tcBorders>
              <w:top w:val="nil"/>
              <w:left w:val="nil"/>
              <w:bottom w:val="single" w:sz="4" w:space="0" w:color="auto"/>
              <w:right w:val="single" w:sz="4" w:space="0" w:color="auto"/>
            </w:tcBorders>
            <w:shd w:val="clear" w:color="000000" w:fill="FF9900"/>
            <w:noWrap/>
            <w:vAlign w:val="bottom"/>
            <w:hideMark/>
          </w:tcPr>
          <w:p w14:paraId="7198E47E" w14:textId="77777777" w:rsidR="001752B7" w:rsidRPr="001752B7" w:rsidRDefault="001752B7" w:rsidP="001752B7">
            <w:pPr>
              <w:spacing w:after="0" w:line="240" w:lineRule="auto"/>
              <w:jc w:val="right"/>
              <w:rPr>
                <w:rFonts w:ascii="Calibri" w:eastAsia="Times New Roman" w:hAnsi="Calibri" w:cs="Calibri"/>
                <w:lang w:eastAsia="hr-HR"/>
              </w:rPr>
            </w:pPr>
            <w:r w:rsidRPr="001752B7">
              <w:rPr>
                <w:rFonts w:ascii="Calibri" w:eastAsia="Times New Roman" w:hAnsi="Calibri" w:cs="Calibri"/>
                <w:lang w:eastAsia="hr-HR"/>
              </w:rPr>
              <w:t> </w:t>
            </w:r>
          </w:p>
        </w:tc>
        <w:tc>
          <w:tcPr>
            <w:tcW w:w="579" w:type="dxa"/>
            <w:tcBorders>
              <w:top w:val="nil"/>
              <w:left w:val="nil"/>
              <w:bottom w:val="single" w:sz="4" w:space="0" w:color="auto"/>
              <w:right w:val="single" w:sz="4" w:space="0" w:color="auto"/>
            </w:tcBorders>
            <w:shd w:val="clear" w:color="000000" w:fill="FF9900"/>
            <w:noWrap/>
            <w:vAlign w:val="bottom"/>
            <w:hideMark/>
          </w:tcPr>
          <w:p w14:paraId="11829D7A" w14:textId="77777777" w:rsidR="001752B7" w:rsidRPr="001752B7" w:rsidRDefault="001752B7" w:rsidP="001752B7">
            <w:pPr>
              <w:spacing w:after="0" w:line="240" w:lineRule="auto"/>
              <w:jc w:val="right"/>
              <w:rPr>
                <w:rFonts w:ascii="Calibri" w:eastAsia="Times New Roman" w:hAnsi="Calibri" w:cs="Calibri"/>
                <w:lang w:eastAsia="hr-HR"/>
              </w:rPr>
            </w:pPr>
            <w:r w:rsidRPr="001752B7">
              <w:rPr>
                <w:rFonts w:ascii="Calibri" w:eastAsia="Times New Roman" w:hAnsi="Calibri" w:cs="Calibri"/>
                <w:lang w:eastAsia="hr-HR"/>
              </w:rPr>
              <w:t> </w:t>
            </w:r>
          </w:p>
        </w:tc>
        <w:tc>
          <w:tcPr>
            <w:tcW w:w="447" w:type="dxa"/>
            <w:tcBorders>
              <w:top w:val="nil"/>
              <w:left w:val="nil"/>
              <w:bottom w:val="single" w:sz="4" w:space="0" w:color="auto"/>
              <w:right w:val="single" w:sz="4" w:space="0" w:color="auto"/>
            </w:tcBorders>
            <w:shd w:val="clear" w:color="000000" w:fill="66FFCC"/>
            <w:noWrap/>
            <w:vAlign w:val="bottom"/>
            <w:hideMark/>
          </w:tcPr>
          <w:p w14:paraId="5AE013C8" w14:textId="77777777" w:rsidR="001752B7" w:rsidRPr="001752B7" w:rsidRDefault="001752B7" w:rsidP="001752B7">
            <w:pPr>
              <w:spacing w:after="0" w:line="240" w:lineRule="auto"/>
              <w:jc w:val="right"/>
              <w:rPr>
                <w:rFonts w:ascii="Calibri" w:eastAsia="Times New Roman" w:hAnsi="Calibri" w:cs="Calibri"/>
                <w:lang w:eastAsia="hr-HR"/>
              </w:rPr>
            </w:pPr>
            <w:r w:rsidRPr="001752B7">
              <w:rPr>
                <w:rFonts w:ascii="Calibri" w:eastAsia="Times New Roman" w:hAnsi="Calibri" w:cs="Calibri"/>
                <w:lang w:eastAsia="hr-HR"/>
              </w:rPr>
              <w:t> </w:t>
            </w:r>
          </w:p>
        </w:tc>
        <w:tc>
          <w:tcPr>
            <w:tcW w:w="447" w:type="dxa"/>
            <w:tcBorders>
              <w:top w:val="nil"/>
              <w:left w:val="nil"/>
              <w:bottom w:val="single" w:sz="4" w:space="0" w:color="auto"/>
              <w:right w:val="single" w:sz="4" w:space="0" w:color="auto"/>
            </w:tcBorders>
            <w:shd w:val="clear" w:color="000000" w:fill="66FFCC"/>
            <w:noWrap/>
            <w:vAlign w:val="bottom"/>
            <w:hideMark/>
          </w:tcPr>
          <w:p w14:paraId="6163BDEA" w14:textId="77777777" w:rsidR="001752B7" w:rsidRPr="001752B7" w:rsidRDefault="001752B7" w:rsidP="001752B7">
            <w:pPr>
              <w:spacing w:after="0" w:line="240" w:lineRule="auto"/>
              <w:jc w:val="right"/>
              <w:rPr>
                <w:rFonts w:ascii="Calibri" w:eastAsia="Times New Roman" w:hAnsi="Calibri" w:cs="Calibri"/>
                <w:lang w:eastAsia="hr-HR"/>
              </w:rPr>
            </w:pPr>
            <w:r w:rsidRPr="001752B7">
              <w:rPr>
                <w:rFonts w:ascii="Calibri" w:eastAsia="Times New Roman" w:hAnsi="Calibri" w:cs="Calibri"/>
                <w:lang w:eastAsia="hr-HR"/>
              </w:rPr>
              <w:t> </w:t>
            </w:r>
          </w:p>
        </w:tc>
        <w:tc>
          <w:tcPr>
            <w:tcW w:w="698" w:type="dxa"/>
            <w:tcBorders>
              <w:top w:val="nil"/>
              <w:left w:val="nil"/>
              <w:bottom w:val="single" w:sz="4" w:space="0" w:color="auto"/>
              <w:right w:val="single" w:sz="4" w:space="0" w:color="auto"/>
            </w:tcBorders>
            <w:shd w:val="clear" w:color="000000" w:fill="66FFCC"/>
            <w:noWrap/>
            <w:vAlign w:val="bottom"/>
            <w:hideMark/>
          </w:tcPr>
          <w:p w14:paraId="4A79A72E" w14:textId="77777777" w:rsidR="001752B7" w:rsidRPr="001752B7" w:rsidRDefault="001752B7" w:rsidP="001752B7">
            <w:pPr>
              <w:spacing w:after="0" w:line="240" w:lineRule="auto"/>
              <w:jc w:val="right"/>
              <w:rPr>
                <w:rFonts w:ascii="Calibri" w:eastAsia="Times New Roman" w:hAnsi="Calibri" w:cs="Calibri"/>
                <w:lang w:eastAsia="hr-HR"/>
              </w:rPr>
            </w:pPr>
            <w:r w:rsidRPr="001752B7">
              <w:rPr>
                <w:rFonts w:ascii="Calibri" w:eastAsia="Times New Roman" w:hAnsi="Calibri" w:cs="Calibri"/>
                <w:lang w:eastAsia="hr-HR"/>
              </w:rPr>
              <w:t> </w:t>
            </w:r>
          </w:p>
        </w:tc>
        <w:tc>
          <w:tcPr>
            <w:tcW w:w="447" w:type="dxa"/>
            <w:tcBorders>
              <w:top w:val="nil"/>
              <w:left w:val="nil"/>
              <w:bottom w:val="single" w:sz="4" w:space="0" w:color="auto"/>
              <w:right w:val="single" w:sz="4" w:space="0" w:color="auto"/>
            </w:tcBorders>
            <w:shd w:val="clear" w:color="000000" w:fill="66FFCC"/>
            <w:noWrap/>
            <w:vAlign w:val="bottom"/>
            <w:hideMark/>
          </w:tcPr>
          <w:p w14:paraId="380F5C23" w14:textId="77777777" w:rsidR="001752B7" w:rsidRPr="001752B7" w:rsidRDefault="001752B7" w:rsidP="001752B7">
            <w:pPr>
              <w:spacing w:after="0" w:line="240" w:lineRule="auto"/>
              <w:jc w:val="right"/>
              <w:rPr>
                <w:rFonts w:ascii="Calibri" w:eastAsia="Times New Roman" w:hAnsi="Calibri" w:cs="Calibri"/>
                <w:lang w:eastAsia="hr-HR"/>
              </w:rPr>
            </w:pPr>
            <w:r w:rsidRPr="001752B7">
              <w:rPr>
                <w:rFonts w:ascii="Calibri" w:eastAsia="Times New Roman" w:hAnsi="Calibri" w:cs="Calibri"/>
                <w:lang w:eastAsia="hr-HR"/>
              </w:rPr>
              <w:t> </w:t>
            </w:r>
          </w:p>
        </w:tc>
        <w:tc>
          <w:tcPr>
            <w:tcW w:w="652" w:type="dxa"/>
            <w:tcBorders>
              <w:top w:val="nil"/>
              <w:left w:val="nil"/>
              <w:bottom w:val="single" w:sz="4" w:space="0" w:color="auto"/>
              <w:right w:val="single" w:sz="4" w:space="0" w:color="auto"/>
            </w:tcBorders>
            <w:shd w:val="clear" w:color="000000" w:fill="FFFF00"/>
            <w:vAlign w:val="center"/>
            <w:hideMark/>
          </w:tcPr>
          <w:p w14:paraId="404E8F0B" w14:textId="77777777" w:rsidR="001752B7" w:rsidRPr="001752B7" w:rsidRDefault="001752B7" w:rsidP="001752B7">
            <w:pPr>
              <w:spacing w:after="0" w:line="240" w:lineRule="auto"/>
              <w:jc w:val="right"/>
              <w:rPr>
                <w:rFonts w:ascii="Calibri" w:eastAsia="Times New Roman" w:hAnsi="Calibri" w:cs="Calibri"/>
                <w:lang w:eastAsia="hr-HR"/>
              </w:rPr>
            </w:pPr>
            <w:r w:rsidRPr="001752B7">
              <w:rPr>
                <w:rFonts w:ascii="Calibri" w:eastAsia="Times New Roman" w:hAnsi="Calibri" w:cs="Calibri"/>
                <w:lang w:eastAsia="hr-HR"/>
              </w:rPr>
              <w:t> </w:t>
            </w:r>
          </w:p>
        </w:tc>
        <w:tc>
          <w:tcPr>
            <w:tcW w:w="614" w:type="dxa"/>
            <w:tcBorders>
              <w:top w:val="nil"/>
              <w:left w:val="nil"/>
              <w:bottom w:val="single" w:sz="4" w:space="0" w:color="auto"/>
              <w:right w:val="single" w:sz="4" w:space="0" w:color="auto"/>
            </w:tcBorders>
            <w:shd w:val="clear" w:color="000000" w:fill="FFFF99"/>
            <w:vAlign w:val="center"/>
            <w:hideMark/>
          </w:tcPr>
          <w:p w14:paraId="20D27B28" w14:textId="77777777" w:rsidR="001752B7" w:rsidRPr="001752B7" w:rsidRDefault="001752B7" w:rsidP="001752B7">
            <w:pPr>
              <w:spacing w:after="0" w:line="240" w:lineRule="auto"/>
              <w:jc w:val="right"/>
              <w:rPr>
                <w:rFonts w:ascii="Calibri" w:eastAsia="Times New Roman" w:hAnsi="Calibri" w:cs="Calibri"/>
                <w:lang w:eastAsia="hr-HR"/>
              </w:rPr>
            </w:pPr>
            <w:r w:rsidRPr="001752B7">
              <w:rPr>
                <w:rFonts w:ascii="Calibri" w:eastAsia="Times New Roman" w:hAnsi="Calibri" w:cs="Calibri"/>
                <w:lang w:eastAsia="hr-HR"/>
              </w:rPr>
              <w:t> </w:t>
            </w:r>
          </w:p>
        </w:tc>
        <w:tc>
          <w:tcPr>
            <w:tcW w:w="519" w:type="dxa"/>
            <w:tcBorders>
              <w:top w:val="nil"/>
              <w:left w:val="nil"/>
              <w:bottom w:val="single" w:sz="4" w:space="0" w:color="auto"/>
              <w:right w:val="single" w:sz="4" w:space="0" w:color="auto"/>
            </w:tcBorders>
            <w:shd w:val="clear" w:color="000000" w:fill="FF9900"/>
            <w:vAlign w:val="center"/>
            <w:hideMark/>
          </w:tcPr>
          <w:p w14:paraId="45CB5F0F" w14:textId="77777777" w:rsidR="001752B7" w:rsidRPr="001752B7" w:rsidRDefault="001752B7" w:rsidP="001752B7">
            <w:pPr>
              <w:spacing w:after="0" w:line="240" w:lineRule="auto"/>
              <w:jc w:val="right"/>
              <w:rPr>
                <w:rFonts w:ascii="Calibri" w:eastAsia="Times New Roman" w:hAnsi="Calibri" w:cs="Calibri"/>
                <w:lang w:eastAsia="hr-HR"/>
              </w:rPr>
            </w:pPr>
            <w:r w:rsidRPr="001752B7">
              <w:rPr>
                <w:rFonts w:ascii="Calibri" w:eastAsia="Times New Roman" w:hAnsi="Calibri" w:cs="Calibri"/>
                <w:lang w:eastAsia="hr-HR"/>
              </w:rPr>
              <w:t> </w:t>
            </w:r>
          </w:p>
        </w:tc>
        <w:tc>
          <w:tcPr>
            <w:tcW w:w="477" w:type="dxa"/>
            <w:tcBorders>
              <w:top w:val="nil"/>
              <w:left w:val="nil"/>
              <w:bottom w:val="single" w:sz="4" w:space="0" w:color="auto"/>
              <w:right w:val="single" w:sz="4" w:space="0" w:color="auto"/>
            </w:tcBorders>
            <w:shd w:val="clear" w:color="000000" w:fill="CCFFFF"/>
            <w:vAlign w:val="bottom"/>
            <w:hideMark/>
          </w:tcPr>
          <w:p w14:paraId="260A9EC3" w14:textId="77777777" w:rsidR="001752B7" w:rsidRPr="001752B7" w:rsidRDefault="001752B7" w:rsidP="001752B7">
            <w:pPr>
              <w:spacing w:after="0" w:line="240" w:lineRule="auto"/>
              <w:jc w:val="right"/>
              <w:rPr>
                <w:rFonts w:ascii="Calibri" w:eastAsia="Times New Roman" w:hAnsi="Calibri" w:cs="Calibri"/>
                <w:lang w:eastAsia="hr-HR"/>
              </w:rPr>
            </w:pPr>
            <w:r w:rsidRPr="001752B7">
              <w:rPr>
                <w:rFonts w:ascii="Calibri" w:eastAsia="Times New Roman" w:hAnsi="Calibri" w:cs="Calibri"/>
                <w:lang w:eastAsia="hr-HR"/>
              </w:rPr>
              <w:t> </w:t>
            </w:r>
          </w:p>
        </w:tc>
        <w:tc>
          <w:tcPr>
            <w:tcW w:w="506" w:type="dxa"/>
            <w:tcBorders>
              <w:top w:val="nil"/>
              <w:left w:val="nil"/>
              <w:bottom w:val="single" w:sz="4" w:space="0" w:color="auto"/>
              <w:right w:val="single" w:sz="4" w:space="0" w:color="auto"/>
            </w:tcBorders>
            <w:shd w:val="clear" w:color="000000" w:fill="CCFFFF"/>
            <w:vAlign w:val="bottom"/>
            <w:hideMark/>
          </w:tcPr>
          <w:p w14:paraId="0079704B" w14:textId="77777777" w:rsidR="001752B7" w:rsidRPr="001752B7" w:rsidRDefault="001752B7" w:rsidP="001752B7">
            <w:pPr>
              <w:spacing w:after="0" w:line="240" w:lineRule="auto"/>
              <w:jc w:val="right"/>
              <w:rPr>
                <w:rFonts w:ascii="Calibri" w:eastAsia="Times New Roman" w:hAnsi="Calibri" w:cs="Calibri"/>
                <w:lang w:eastAsia="hr-HR"/>
              </w:rPr>
            </w:pPr>
            <w:r w:rsidRPr="001752B7">
              <w:rPr>
                <w:rFonts w:ascii="Calibri" w:eastAsia="Times New Roman" w:hAnsi="Calibri" w:cs="Calibri"/>
                <w:lang w:eastAsia="hr-HR"/>
              </w:rPr>
              <w:t> </w:t>
            </w:r>
          </w:p>
        </w:tc>
        <w:tc>
          <w:tcPr>
            <w:tcW w:w="485" w:type="dxa"/>
            <w:tcBorders>
              <w:top w:val="nil"/>
              <w:left w:val="nil"/>
              <w:bottom w:val="single" w:sz="4" w:space="0" w:color="auto"/>
              <w:right w:val="single" w:sz="4" w:space="0" w:color="auto"/>
            </w:tcBorders>
            <w:shd w:val="clear" w:color="000000" w:fill="CCFFFF"/>
            <w:vAlign w:val="bottom"/>
            <w:hideMark/>
          </w:tcPr>
          <w:p w14:paraId="4DD58B5E" w14:textId="77777777" w:rsidR="001752B7" w:rsidRPr="001752B7" w:rsidRDefault="001752B7" w:rsidP="001752B7">
            <w:pPr>
              <w:spacing w:after="0" w:line="240" w:lineRule="auto"/>
              <w:jc w:val="right"/>
              <w:rPr>
                <w:rFonts w:ascii="Calibri" w:eastAsia="Times New Roman" w:hAnsi="Calibri" w:cs="Calibri"/>
                <w:lang w:eastAsia="hr-HR"/>
              </w:rPr>
            </w:pPr>
            <w:r w:rsidRPr="001752B7">
              <w:rPr>
                <w:rFonts w:ascii="Calibri" w:eastAsia="Times New Roman" w:hAnsi="Calibri" w:cs="Calibri"/>
                <w:lang w:eastAsia="hr-HR"/>
              </w:rPr>
              <w:t> </w:t>
            </w:r>
          </w:p>
        </w:tc>
        <w:tc>
          <w:tcPr>
            <w:tcW w:w="561" w:type="dxa"/>
            <w:tcBorders>
              <w:top w:val="nil"/>
              <w:left w:val="nil"/>
              <w:bottom w:val="single" w:sz="4" w:space="0" w:color="auto"/>
              <w:right w:val="nil"/>
            </w:tcBorders>
            <w:shd w:val="clear" w:color="000000" w:fill="33CCCC"/>
            <w:noWrap/>
            <w:vAlign w:val="bottom"/>
            <w:hideMark/>
          </w:tcPr>
          <w:p w14:paraId="14506FBE" w14:textId="77777777" w:rsidR="001752B7" w:rsidRPr="001752B7" w:rsidRDefault="001752B7" w:rsidP="001752B7">
            <w:pPr>
              <w:spacing w:after="0" w:line="240" w:lineRule="auto"/>
              <w:jc w:val="right"/>
              <w:rPr>
                <w:rFonts w:ascii="Calibri" w:eastAsia="Times New Roman" w:hAnsi="Calibri" w:cs="Calibri"/>
                <w:lang w:eastAsia="hr-HR"/>
              </w:rPr>
            </w:pPr>
            <w:r w:rsidRPr="001752B7">
              <w:rPr>
                <w:rFonts w:ascii="Calibri" w:eastAsia="Times New Roman" w:hAnsi="Calibri" w:cs="Calibri"/>
                <w:lang w:eastAsia="hr-HR"/>
              </w:rPr>
              <w:t> </w:t>
            </w:r>
          </w:p>
        </w:tc>
        <w:tc>
          <w:tcPr>
            <w:tcW w:w="595" w:type="dxa"/>
            <w:tcBorders>
              <w:top w:val="nil"/>
              <w:left w:val="single" w:sz="4" w:space="0" w:color="auto"/>
              <w:bottom w:val="single" w:sz="4" w:space="0" w:color="auto"/>
              <w:right w:val="single" w:sz="8" w:space="0" w:color="auto"/>
            </w:tcBorders>
            <w:shd w:val="clear" w:color="000000" w:fill="33CCCC"/>
            <w:noWrap/>
            <w:vAlign w:val="bottom"/>
            <w:hideMark/>
          </w:tcPr>
          <w:p w14:paraId="6CDB7BC0" w14:textId="77777777" w:rsidR="001752B7" w:rsidRPr="001752B7" w:rsidRDefault="001752B7" w:rsidP="001752B7">
            <w:pPr>
              <w:spacing w:after="0" w:line="240" w:lineRule="auto"/>
              <w:jc w:val="right"/>
              <w:rPr>
                <w:rFonts w:ascii="Calibri" w:eastAsia="Times New Roman" w:hAnsi="Calibri" w:cs="Calibri"/>
                <w:lang w:eastAsia="hr-HR"/>
              </w:rPr>
            </w:pPr>
            <w:r w:rsidRPr="001752B7">
              <w:rPr>
                <w:rFonts w:ascii="Calibri" w:eastAsia="Times New Roman" w:hAnsi="Calibri" w:cs="Calibri"/>
                <w:lang w:eastAsia="hr-HR"/>
              </w:rPr>
              <w:t> </w:t>
            </w:r>
          </w:p>
        </w:tc>
        <w:tc>
          <w:tcPr>
            <w:tcW w:w="266" w:type="dxa"/>
            <w:gridSpan w:val="3"/>
            <w:vAlign w:val="center"/>
            <w:hideMark/>
          </w:tcPr>
          <w:p w14:paraId="3B2769A4" w14:textId="77777777" w:rsidR="001752B7" w:rsidRPr="001752B7" w:rsidRDefault="001752B7" w:rsidP="001752B7">
            <w:pPr>
              <w:spacing w:after="0" w:line="240" w:lineRule="auto"/>
              <w:rPr>
                <w:rFonts w:ascii="Times New Roman" w:eastAsia="Times New Roman" w:hAnsi="Times New Roman" w:cs="Times New Roman"/>
                <w:sz w:val="20"/>
                <w:szCs w:val="20"/>
                <w:lang w:eastAsia="hr-HR"/>
              </w:rPr>
            </w:pPr>
          </w:p>
        </w:tc>
      </w:tr>
      <w:tr w:rsidR="001752B7" w:rsidRPr="001752B7" w14:paraId="2A00E806" w14:textId="77777777" w:rsidTr="000271A1">
        <w:trPr>
          <w:trHeight w:val="300"/>
        </w:trPr>
        <w:tc>
          <w:tcPr>
            <w:tcW w:w="1404" w:type="dxa"/>
            <w:tcBorders>
              <w:top w:val="single" w:sz="4" w:space="0" w:color="auto"/>
              <w:left w:val="single" w:sz="8" w:space="0" w:color="auto"/>
              <w:bottom w:val="single" w:sz="4" w:space="0" w:color="auto"/>
              <w:right w:val="single" w:sz="4" w:space="0" w:color="auto"/>
            </w:tcBorders>
            <w:shd w:val="clear" w:color="000000" w:fill="CCFFCC"/>
            <w:vAlign w:val="center"/>
            <w:hideMark/>
          </w:tcPr>
          <w:p w14:paraId="63AB0EF6" w14:textId="77777777" w:rsidR="001752B7" w:rsidRPr="001752B7" w:rsidRDefault="001752B7" w:rsidP="001752B7">
            <w:pPr>
              <w:spacing w:after="0" w:line="240" w:lineRule="auto"/>
              <w:rPr>
                <w:rFonts w:ascii="Calibri" w:eastAsia="Times New Roman" w:hAnsi="Calibri" w:cs="Calibri"/>
                <w:lang w:eastAsia="hr-HR"/>
              </w:rPr>
            </w:pPr>
            <w:r w:rsidRPr="001752B7">
              <w:rPr>
                <w:rFonts w:ascii="Calibri" w:eastAsia="Times New Roman" w:hAnsi="Calibri" w:cs="Calibri"/>
                <w:lang w:eastAsia="hr-HR"/>
              </w:rPr>
              <w:t>Zdravstveno stanje</w:t>
            </w:r>
          </w:p>
        </w:tc>
        <w:tc>
          <w:tcPr>
            <w:tcW w:w="545" w:type="dxa"/>
            <w:tcBorders>
              <w:top w:val="nil"/>
              <w:left w:val="nil"/>
              <w:bottom w:val="single" w:sz="4" w:space="0" w:color="auto"/>
              <w:right w:val="single" w:sz="4" w:space="0" w:color="auto"/>
            </w:tcBorders>
            <w:shd w:val="clear" w:color="000000" w:fill="CCFFCC"/>
            <w:vAlign w:val="center"/>
            <w:hideMark/>
          </w:tcPr>
          <w:p w14:paraId="3469D5E6" w14:textId="77777777" w:rsidR="001752B7" w:rsidRPr="001752B7" w:rsidRDefault="001752B7" w:rsidP="001752B7">
            <w:pPr>
              <w:spacing w:after="0" w:line="240" w:lineRule="auto"/>
              <w:jc w:val="right"/>
              <w:rPr>
                <w:rFonts w:ascii="Calibri" w:eastAsia="Times New Roman" w:hAnsi="Calibri" w:cs="Calibri"/>
                <w:lang w:eastAsia="hr-HR"/>
              </w:rPr>
            </w:pPr>
            <w:r w:rsidRPr="001752B7">
              <w:rPr>
                <w:rFonts w:ascii="Calibri" w:eastAsia="Times New Roman" w:hAnsi="Calibri" w:cs="Calibri"/>
                <w:lang w:eastAsia="hr-HR"/>
              </w:rPr>
              <w:t> </w:t>
            </w:r>
          </w:p>
        </w:tc>
        <w:tc>
          <w:tcPr>
            <w:tcW w:w="573" w:type="dxa"/>
            <w:tcBorders>
              <w:top w:val="nil"/>
              <w:left w:val="nil"/>
              <w:bottom w:val="single" w:sz="4" w:space="0" w:color="auto"/>
              <w:right w:val="single" w:sz="4" w:space="0" w:color="auto"/>
            </w:tcBorders>
            <w:shd w:val="clear" w:color="000000" w:fill="FFCC99"/>
            <w:noWrap/>
            <w:vAlign w:val="bottom"/>
            <w:hideMark/>
          </w:tcPr>
          <w:p w14:paraId="5B3FACEC" w14:textId="77777777" w:rsidR="001752B7" w:rsidRPr="001752B7" w:rsidRDefault="001752B7" w:rsidP="001752B7">
            <w:pPr>
              <w:spacing w:after="0" w:line="240" w:lineRule="auto"/>
              <w:jc w:val="right"/>
              <w:rPr>
                <w:rFonts w:ascii="Calibri" w:eastAsia="Times New Roman" w:hAnsi="Calibri" w:cs="Calibri"/>
                <w:lang w:eastAsia="hr-HR"/>
              </w:rPr>
            </w:pPr>
            <w:r w:rsidRPr="001752B7">
              <w:rPr>
                <w:rFonts w:ascii="Calibri" w:eastAsia="Times New Roman" w:hAnsi="Calibri" w:cs="Calibri"/>
                <w:lang w:eastAsia="hr-HR"/>
              </w:rPr>
              <w:t> </w:t>
            </w:r>
          </w:p>
        </w:tc>
        <w:tc>
          <w:tcPr>
            <w:tcW w:w="855" w:type="dxa"/>
            <w:tcBorders>
              <w:top w:val="nil"/>
              <w:left w:val="nil"/>
              <w:bottom w:val="single" w:sz="4" w:space="0" w:color="auto"/>
              <w:right w:val="single" w:sz="4" w:space="0" w:color="auto"/>
            </w:tcBorders>
            <w:shd w:val="clear" w:color="000000" w:fill="CCFFFF"/>
            <w:noWrap/>
            <w:vAlign w:val="bottom"/>
            <w:hideMark/>
          </w:tcPr>
          <w:p w14:paraId="34D9C7CE" w14:textId="77777777" w:rsidR="001752B7" w:rsidRPr="001752B7" w:rsidRDefault="001752B7" w:rsidP="001752B7">
            <w:pPr>
              <w:spacing w:after="0" w:line="240" w:lineRule="auto"/>
              <w:jc w:val="right"/>
              <w:rPr>
                <w:rFonts w:ascii="Calibri" w:eastAsia="Times New Roman" w:hAnsi="Calibri" w:cs="Calibri"/>
                <w:lang w:eastAsia="hr-HR"/>
              </w:rPr>
            </w:pPr>
            <w:r w:rsidRPr="001752B7">
              <w:rPr>
                <w:rFonts w:ascii="Calibri" w:eastAsia="Times New Roman" w:hAnsi="Calibri" w:cs="Calibri"/>
                <w:lang w:eastAsia="hr-HR"/>
              </w:rPr>
              <w:t> </w:t>
            </w:r>
          </w:p>
        </w:tc>
        <w:tc>
          <w:tcPr>
            <w:tcW w:w="638" w:type="dxa"/>
            <w:tcBorders>
              <w:top w:val="nil"/>
              <w:left w:val="nil"/>
              <w:bottom w:val="single" w:sz="4" w:space="0" w:color="auto"/>
              <w:right w:val="single" w:sz="4" w:space="0" w:color="auto"/>
            </w:tcBorders>
            <w:shd w:val="clear" w:color="000000" w:fill="CCFFFF"/>
            <w:noWrap/>
            <w:vAlign w:val="bottom"/>
            <w:hideMark/>
          </w:tcPr>
          <w:p w14:paraId="21D2FD29" w14:textId="77777777" w:rsidR="001752B7" w:rsidRPr="001752B7" w:rsidRDefault="001752B7" w:rsidP="001752B7">
            <w:pPr>
              <w:spacing w:after="0" w:line="240" w:lineRule="auto"/>
              <w:jc w:val="right"/>
              <w:rPr>
                <w:rFonts w:ascii="Calibri" w:eastAsia="Times New Roman" w:hAnsi="Calibri" w:cs="Calibri"/>
                <w:lang w:eastAsia="hr-HR"/>
              </w:rPr>
            </w:pPr>
            <w:r w:rsidRPr="001752B7">
              <w:rPr>
                <w:rFonts w:ascii="Calibri" w:eastAsia="Times New Roman" w:hAnsi="Calibri" w:cs="Calibri"/>
                <w:lang w:eastAsia="hr-HR"/>
              </w:rPr>
              <w:t> </w:t>
            </w:r>
          </w:p>
        </w:tc>
        <w:tc>
          <w:tcPr>
            <w:tcW w:w="580" w:type="dxa"/>
            <w:tcBorders>
              <w:top w:val="nil"/>
              <w:left w:val="nil"/>
              <w:bottom w:val="single" w:sz="4" w:space="0" w:color="auto"/>
              <w:right w:val="single" w:sz="4" w:space="0" w:color="auto"/>
            </w:tcBorders>
            <w:shd w:val="clear" w:color="000000" w:fill="FFFF99"/>
            <w:noWrap/>
            <w:vAlign w:val="bottom"/>
            <w:hideMark/>
          </w:tcPr>
          <w:p w14:paraId="3646C0C6" w14:textId="77777777" w:rsidR="001752B7" w:rsidRPr="001752B7" w:rsidRDefault="001752B7" w:rsidP="001752B7">
            <w:pPr>
              <w:spacing w:after="0" w:line="240" w:lineRule="auto"/>
              <w:jc w:val="right"/>
              <w:rPr>
                <w:rFonts w:ascii="Calibri" w:eastAsia="Times New Roman" w:hAnsi="Calibri" w:cs="Calibri"/>
                <w:lang w:eastAsia="hr-HR"/>
              </w:rPr>
            </w:pPr>
            <w:r w:rsidRPr="001752B7">
              <w:rPr>
                <w:rFonts w:ascii="Calibri" w:eastAsia="Times New Roman" w:hAnsi="Calibri" w:cs="Calibri"/>
                <w:lang w:eastAsia="hr-HR"/>
              </w:rPr>
              <w:t> </w:t>
            </w:r>
          </w:p>
        </w:tc>
        <w:tc>
          <w:tcPr>
            <w:tcW w:w="447" w:type="dxa"/>
            <w:tcBorders>
              <w:top w:val="nil"/>
              <w:left w:val="nil"/>
              <w:bottom w:val="single" w:sz="4" w:space="0" w:color="auto"/>
              <w:right w:val="single" w:sz="4" w:space="0" w:color="auto"/>
            </w:tcBorders>
            <w:shd w:val="clear" w:color="000000" w:fill="FFFF99"/>
            <w:noWrap/>
            <w:vAlign w:val="bottom"/>
            <w:hideMark/>
          </w:tcPr>
          <w:p w14:paraId="535E2C38" w14:textId="77777777" w:rsidR="001752B7" w:rsidRPr="001752B7" w:rsidRDefault="001752B7" w:rsidP="001752B7">
            <w:pPr>
              <w:spacing w:after="0" w:line="240" w:lineRule="auto"/>
              <w:jc w:val="right"/>
              <w:rPr>
                <w:rFonts w:ascii="Calibri" w:eastAsia="Times New Roman" w:hAnsi="Calibri" w:cs="Calibri"/>
                <w:lang w:eastAsia="hr-HR"/>
              </w:rPr>
            </w:pPr>
            <w:r w:rsidRPr="001752B7">
              <w:rPr>
                <w:rFonts w:ascii="Calibri" w:eastAsia="Times New Roman" w:hAnsi="Calibri" w:cs="Calibri"/>
                <w:lang w:eastAsia="hr-HR"/>
              </w:rPr>
              <w:t> </w:t>
            </w:r>
          </w:p>
        </w:tc>
        <w:tc>
          <w:tcPr>
            <w:tcW w:w="447" w:type="dxa"/>
            <w:tcBorders>
              <w:top w:val="nil"/>
              <w:left w:val="nil"/>
              <w:bottom w:val="single" w:sz="4" w:space="0" w:color="auto"/>
              <w:right w:val="single" w:sz="4" w:space="0" w:color="auto"/>
            </w:tcBorders>
            <w:shd w:val="clear" w:color="000000" w:fill="FFFF99"/>
            <w:noWrap/>
            <w:vAlign w:val="bottom"/>
            <w:hideMark/>
          </w:tcPr>
          <w:p w14:paraId="5ED33456" w14:textId="77777777" w:rsidR="001752B7" w:rsidRPr="001752B7" w:rsidRDefault="001752B7" w:rsidP="001752B7">
            <w:pPr>
              <w:spacing w:after="0" w:line="240" w:lineRule="auto"/>
              <w:jc w:val="right"/>
              <w:rPr>
                <w:rFonts w:ascii="Calibri" w:eastAsia="Times New Roman" w:hAnsi="Calibri" w:cs="Calibri"/>
                <w:lang w:eastAsia="hr-HR"/>
              </w:rPr>
            </w:pPr>
            <w:r w:rsidRPr="001752B7">
              <w:rPr>
                <w:rFonts w:ascii="Calibri" w:eastAsia="Times New Roman" w:hAnsi="Calibri" w:cs="Calibri"/>
                <w:lang w:eastAsia="hr-HR"/>
              </w:rPr>
              <w:t> </w:t>
            </w:r>
          </w:p>
        </w:tc>
        <w:tc>
          <w:tcPr>
            <w:tcW w:w="447" w:type="dxa"/>
            <w:tcBorders>
              <w:top w:val="nil"/>
              <w:left w:val="nil"/>
              <w:bottom w:val="single" w:sz="4" w:space="0" w:color="auto"/>
              <w:right w:val="single" w:sz="4" w:space="0" w:color="auto"/>
            </w:tcBorders>
            <w:shd w:val="clear" w:color="000000" w:fill="FFFF99"/>
            <w:noWrap/>
            <w:vAlign w:val="bottom"/>
            <w:hideMark/>
          </w:tcPr>
          <w:p w14:paraId="678BB8D5" w14:textId="77777777" w:rsidR="001752B7" w:rsidRPr="001752B7" w:rsidRDefault="001752B7" w:rsidP="001752B7">
            <w:pPr>
              <w:spacing w:after="0" w:line="240" w:lineRule="auto"/>
              <w:jc w:val="right"/>
              <w:rPr>
                <w:rFonts w:ascii="Calibri" w:eastAsia="Times New Roman" w:hAnsi="Calibri" w:cs="Calibri"/>
                <w:lang w:eastAsia="hr-HR"/>
              </w:rPr>
            </w:pPr>
            <w:r w:rsidRPr="001752B7">
              <w:rPr>
                <w:rFonts w:ascii="Calibri" w:eastAsia="Times New Roman" w:hAnsi="Calibri" w:cs="Calibri"/>
                <w:lang w:eastAsia="hr-HR"/>
              </w:rPr>
              <w:t> </w:t>
            </w:r>
          </w:p>
        </w:tc>
        <w:tc>
          <w:tcPr>
            <w:tcW w:w="447" w:type="dxa"/>
            <w:tcBorders>
              <w:top w:val="nil"/>
              <w:left w:val="nil"/>
              <w:bottom w:val="single" w:sz="4" w:space="0" w:color="auto"/>
              <w:right w:val="single" w:sz="4" w:space="0" w:color="auto"/>
            </w:tcBorders>
            <w:shd w:val="clear" w:color="000000" w:fill="FFFF99"/>
            <w:noWrap/>
            <w:vAlign w:val="bottom"/>
            <w:hideMark/>
          </w:tcPr>
          <w:p w14:paraId="763EAB4D" w14:textId="77777777" w:rsidR="001752B7" w:rsidRPr="001752B7" w:rsidRDefault="001752B7" w:rsidP="001752B7">
            <w:pPr>
              <w:spacing w:after="0" w:line="240" w:lineRule="auto"/>
              <w:jc w:val="right"/>
              <w:rPr>
                <w:rFonts w:ascii="Calibri" w:eastAsia="Times New Roman" w:hAnsi="Calibri" w:cs="Calibri"/>
                <w:lang w:eastAsia="hr-HR"/>
              </w:rPr>
            </w:pPr>
            <w:r w:rsidRPr="001752B7">
              <w:rPr>
                <w:rFonts w:ascii="Calibri" w:eastAsia="Times New Roman" w:hAnsi="Calibri" w:cs="Calibri"/>
                <w:lang w:eastAsia="hr-HR"/>
              </w:rPr>
              <w:t> </w:t>
            </w:r>
          </w:p>
        </w:tc>
        <w:tc>
          <w:tcPr>
            <w:tcW w:w="572" w:type="dxa"/>
            <w:tcBorders>
              <w:top w:val="nil"/>
              <w:left w:val="nil"/>
              <w:bottom w:val="single" w:sz="4" w:space="0" w:color="auto"/>
              <w:right w:val="single" w:sz="4" w:space="0" w:color="auto"/>
            </w:tcBorders>
            <w:shd w:val="clear" w:color="000000" w:fill="FF9900"/>
            <w:noWrap/>
            <w:vAlign w:val="bottom"/>
            <w:hideMark/>
          </w:tcPr>
          <w:p w14:paraId="5D3EA6B3" w14:textId="77777777" w:rsidR="001752B7" w:rsidRPr="001752B7" w:rsidRDefault="001752B7" w:rsidP="001752B7">
            <w:pPr>
              <w:spacing w:after="0" w:line="240" w:lineRule="auto"/>
              <w:jc w:val="right"/>
              <w:rPr>
                <w:rFonts w:ascii="Calibri" w:eastAsia="Times New Roman" w:hAnsi="Calibri" w:cs="Calibri"/>
                <w:lang w:eastAsia="hr-HR"/>
              </w:rPr>
            </w:pPr>
            <w:r w:rsidRPr="001752B7">
              <w:rPr>
                <w:rFonts w:ascii="Calibri" w:eastAsia="Times New Roman" w:hAnsi="Calibri" w:cs="Calibri"/>
                <w:lang w:eastAsia="hr-HR"/>
              </w:rPr>
              <w:t> </w:t>
            </w:r>
          </w:p>
        </w:tc>
        <w:tc>
          <w:tcPr>
            <w:tcW w:w="467" w:type="dxa"/>
            <w:tcBorders>
              <w:top w:val="nil"/>
              <w:left w:val="nil"/>
              <w:bottom w:val="single" w:sz="4" w:space="0" w:color="auto"/>
              <w:right w:val="single" w:sz="4" w:space="0" w:color="auto"/>
            </w:tcBorders>
            <w:shd w:val="clear" w:color="000000" w:fill="FF9900"/>
            <w:noWrap/>
            <w:vAlign w:val="bottom"/>
            <w:hideMark/>
          </w:tcPr>
          <w:p w14:paraId="478E1970" w14:textId="77777777" w:rsidR="001752B7" w:rsidRPr="001752B7" w:rsidRDefault="001752B7" w:rsidP="001752B7">
            <w:pPr>
              <w:spacing w:after="0" w:line="240" w:lineRule="auto"/>
              <w:jc w:val="right"/>
              <w:rPr>
                <w:rFonts w:ascii="Calibri" w:eastAsia="Times New Roman" w:hAnsi="Calibri" w:cs="Calibri"/>
                <w:lang w:eastAsia="hr-HR"/>
              </w:rPr>
            </w:pPr>
            <w:r w:rsidRPr="001752B7">
              <w:rPr>
                <w:rFonts w:ascii="Calibri" w:eastAsia="Times New Roman" w:hAnsi="Calibri" w:cs="Calibri"/>
                <w:lang w:eastAsia="hr-HR"/>
              </w:rPr>
              <w:t> </w:t>
            </w:r>
          </w:p>
        </w:tc>
        <w:tc>
          <w:tcPr>
            <w:tcW w:w="579" w:type="dxa"/>
            <w:tcBorders>
              <w:top w:val="nil"/>
              <w:left w:val="nil"/>
              <w:bottom w:val="single" w:sz="4" w:space="0" w:color="auto"/>
              <w:right w:val="single" w:sz="4" w:space="0" w:color="auto"/>
            </w:tcBorders>
            <w:shd w:val="clear" w:color="000000" w:fill="FF9900"/>
            <w:noWrap/>
            <w:vAlign w:val="bottom"/>
            <w:hideMark/>
          </w:tcPr>
          <w:p w14:paraId="3172B38E" w14:textId="77777777" w:rsidR="001752B7" w:rsidRPr="001752B7" w:rsidRDefault="001752B7" w:rsidP="001752B7">
            <w:pPr>
              <w:spacing w:after="0" w:line="240" w:lineRule="auto"/>
              <w:jc w:val="right"/>
              <w:rPr>
                <w:rFonts w:ascii="Calibri" w:eastAsia="Times New Roman" w:hAnsi="Calibri" w:cs="Calibri"/>
                <w:lang w:eastAsia="hr-HR"/>
              </w:rPr>
            </w:pPr>
            <w:r w:rsidRPr="001752B7">
              <w:rPr>
                <w:rFonts w:ascii="Calibri" w:eastAsia="Times New Roman" w:hAnsi="Calibri" w:cs="Calibri"/>
                <w:lang w:eastAsia="hr-HR"/>
              </w:rPr>
              <w:t> </w:t>
            </w:r>
          </w:p>
        </w:tc>
        <w:tc>
          <w:tcPr>
            <w:tcW w:w="447" w:type="dxa"/>
            <w:tcBorders>
              <w:top w:val="nil"/>
              <w:left w:val="nil"/>
              <w:bottom w:val="single" w:sz="4" w:space="0" w:color="auto"/>
              <w:right w:val="single" w:sz="4" w:space="0" w:color="auto"/>
            </w:tcBorders>
            <w:shd w:val="clear" w:color="000000" w:fill="66FFCC"/>
            <w:noWrap/>
            <w:vAlign w:val="bottom"/>
            <w:hideMark/>
          </w:tcPr>
          <w:p w14:paraId="185F2E92" w14:textId="77777777" w:rsidR="001752B7" w:rsidRPr="001752B7" w:rsidRDefault="001752B7" w:rsidP="001752B7">
            <w:pPr>
              <w:spacing w:after="0" w:line="240" w:lineRule="auto"/>
              <w:jc w:val="right"/>
              <w:rPr>
                <w:rFonts w:ascii="Calibri" w:eastAsia="Times New Roman" w:hAnsi="Calibri" w:cs="Calibri"/>
                <w:lang w:eastAsia="hr-HR"/>
              </w:rPr>
            </w:pPr>
            <w:r w:rsidRPr="001752B7">
              <w:rPr>
                <w:rFonts w:ascii="Calibri" w:eastAsia="Times New Roman" w:hAnsi="Calibri" w:cs="Calibri"/>
                <w:lang w:eastAsia="hr-HR"/>
              </w:rPr>
              <w:t> </w:t>
            </w:r>
          </w:p>
        </w:tc>
        <w:tc>
          <w:tcPr>
            <w:tcW w:w="447" w:type="dxa"/>
            <w:tcBorders>
              <w:top w:val="nil"/>
              <w:left w:val="nil"/>
              <w:bottom w:val="single" w:sz="4" w:space="0" w:color="auto"/>
              <w:right w:val="single" w:sz="4" w:space="0" w:color="auto"/>
            </w:tcBorders>
            <w:shd w:val="clear" w:color="000000" w:fill="66FFCC"/>
            <w:noWrap/>
            <w:vAlign w:val="bottom"/>
            <w:hideMark/>
          </w:tcPr>
          <w:p w14:paraId="168A64AB" w14:textId="77777777" w:rsidR="001752B7" w:rsidRPr="001752B7" w:rsidRDefault="001752B7" w:rsidP="001752B7">
            <w:pPr>
              <w:spacing w:after="0" w:line="240" w:lineRule="auto"/>
              <w:jc w:val="right"/>
              <w:rPr>
                <w:rFonts w:ascii="Calibri" w:eastAsia="Times New Roman" w:hAnsi="Calibri" w:cs="Calibri"/>
                <w:lang w:eastAsia="hr-HR"/>
              </w:rPr>
            </w:pPr>
            <w:r w:rsidRPr="001752B7">
              <w:rPr>
                <w:rFonts w:ascii="Calibri" w:eastAsia="Times New Roman" w:hAnsi="Calibri" w:cs="Calibri"/>
                <w:lang w:eastAsia="hr-HR"/>
              </w:rPr>
              <w:t> </w:t>
            </w:r>
          </w:p>
        </w:tc>
        <w:tc>
          <w:tcPr>
            <w:tcW w:w="698" w:type="dxa"/>
            <w:tcBorders>
              <w:top w:val="nil"/>
              <w:left w:val="nil"/>
              <w:bottom w:val="single" w:sz="4" w:space="0" w:color="auto"/>
              <w:right w:val="single" w:sz="4" w:space="0" w:color="auto"/>
            </w:tcBorders>
            <w:shd w:val="clear" w:color="000000" w:fill="66FFCC"/>
            <w:noWrap/>
            <w:vAlign w:val="bottom"/>
            <w:hideMark/>
          </w:tcPr>
          <w:p w14:paraId="5644AE7D" w14:textId="77777777" w:rsidR="001752B7" w:rsidRPr="001752B7" w:rsidRDefault="001752B7" w:rsidP="001752B7">
            <w:pPr>
              <w:spacing w:after="0" w:line="240" w:lineRule="auto"/>
              <w:jc w:val="right"/>
              <w:rPr>
                <w:rFonts w:ascii="Calibri" w:eastAsia="Times New Roman" w:hAnsi="Calibri" w:cs="Calibri"/>
                <w:lang w:eastAsia="hr-HR"/>
              </w:rPr>
            </w:pPr>
            <w:r w:rsidRPr="001752B7">
              <w:rPr>
                <w:rFonts w:ascii="Calibri" w:eastAsia="Times New Roman" w:hAnsi="Calibri" w:cs="Calibri"/>
                <w:lang w:eastAsia="hr-HR"/>
              </w:rPr>
              <w:t> </w:t>
            </w:r>
          </w:p>
        </w:tc>
        <w:tc>
          <w:tcPr>
            <w:tcW w:w="447" w:type="dxa"/>
            <w:tcBorders>
              <w:top w:val="nil"/>
              <w:left w:val="nil"/>
              <w:bottom w:val="single" w:sz="4" w:space="0" w:color="auto"/>
              <w:right w:val="single" w:sz="4" w:space="0" w:color="auto"/>
            </w:tcBorders>
            <w:shd w:val="clear" w:color="000000" w:fill="66FFCC"/>
            <w:noWrap/>
            <w:vAlign w:val="bottom"/>
            <w:hideMark/>
          </w:tcPr>
          <w:p w14:paraId="23E6DE5C" w14:textId="77777777" w:rsidR="001752B7" w:rsidRPr="001752B7" w:rsidRDefault="001752B7" w:rsidP="001752B7">
            <w:pPr>
              <w:spacing w:after="0" w:line="240" w:lineRule="auto"/>
              <w:jc w:val="right"/>
              <w:rPr>
                <w:rFonts w:ascii="Calibri" w:eastAsia="Times New Roman" w:hAnsi="Calibri" w:cs="Calibri"/>
                <w:lang w:eastAsia="hr-HR"/>
              </w:rPr>
            </w:pPr>
            <w:r w:rsidRPr="001752B7">
              <w:rPr>
                <w:rFonts w:ascii="Calibri" w:eastAsia="Times New Roman" w:hAnsi="Calibri" w:cs="Calibri"/>
                <w:lang w:eastAsia="hr-HR"/>
              </w:rPr>
              <w:t> </w:t>
            </w:r>
          </w:p>
        </w:tc>
        <w:tc>
          <w:tcPr>
            <w:tcW w:w="652" w:type="dxa"/>
            <w:tcBorders>
              <w:top w:val="nil"/>
              <w:left w:val="nil"/>
              <w:bottom w:val="single" w:sz="4" w:space="0" w:color="auto"/>
              <w:right w:val="single" w:sz="4" w:space="0" w:color="auto"/>
            </w:tcBorders>
            <w:shd w:val="clear" w:color="000000" w:fill="FFFF00"/>
            <w:vAlign w:val="center"/>
            <w:hideMark/>
          </w:tcPr>
          <w:p w14:paraId="6AED26F1" w14:textId="77777777" w:rsidR="001752B7" w:rsidRPr="001752B7" w:rsidRDefault="001752B7" w:rsidP="001752B7">
            <w:pPr>
              <w:spacing w:after="0" w:line="240" w:lineRule="auto"/>
              <w:jc w:val="right"/>
              <w:rPr>
                <w:rFonts w:ascii="Calibri" w:eastAsia="Times New Roman" w:hAnsi="Calibri" w:cs="Calibri"/>
                <w:lang w:eastAsia="hr-HR"/>
              </w:rPr>
            </w:pPr>
            <w:r w:rsidRPr="001752B7">
              <w:rPr>
                <w:rFonts w:ascii="Calibri" w:eastAsia="Times New Roman" w:hAnsi="Calibri" w:cs="Calibri"/>
                <w:lang w:eastAsia="hr-HR"/>
              </w:rPr>
              <w:t> </w:t>
            </w:r>
          </w:p>
        </w:tc>
        <w:tc>
          <w:tcPr>
            <w:tcW w:w="614" w:type="dxa"/>
            <w:tcBorders>
              <w:top w:val="nil"/>
              <w:left w:val="nil"/>
              <w:bottom w:val="single" w:sz="4" w:space="0" w:color="auto"/>
              <w:right w:val="single" w:sz="4" w:space="0" w:color="auto"/>
            </w:tcBorders>
            <w:shd w:val="clear" w:color="000000" w:fill="FFFF99"/>
            <w:vAlign w:val="center"/>
            <w:hideMark/>
          </w:tcPr>
          <w:p w14:paraId="26FBDC3F" w14:textId="77777777" w:rsidR="001752B7" w:rsidRPr="001752B7" w:rsidRDefault="001752B7" w:rsidP="001752B7">
            <w:pPr>
              <w:spacing w:after="0" w:line="240" w:lineRule="auto"/>
              <w:jc w:val="right"/>
              <w:rPr>
                <w:rFonts w:ascii="Calibri" w:eastAsia="Times New Roman" w:hAnsi="Calibri" w:cs="Calibri"/>
                <w:lang w:eastAsia="hr-HR"/>
              </w:rPr>
            </w:pPr>
            <w:r w:rsidRPr="001752B7">
              <w:rPr>
                <w:rFonts w:ascii="Calibri" w:eastAsia="Times New Roman" w:hAnsi="Calibri" w:cs="Calibri"/>
                <w:lang w:eastAsia="hr-HR"/>
              </w:rPr>
              <w:t> </w:t>
            </w:r>
          </w:p>
        </w:tc>
        <w:tc>
          <w:tcPr>
            <w:tcW w:w="519" w:type="dxa"/>
            <w:tcBorders>
              <w:top w:val="nil"/>
              <w:left w:val="nil"/>
              <w:bottom w:val="single" w:sz="4" w:space="0" w:color="auto"/>
              <w:right w:val="single" w:sz="4" w:space="0" w:color="auto"/>
            </w:tcBorders>
            <w:shd w:val="clear" w:color="000000" w:fill="FF9900"/>
            <w:vAlign w:val="center"/>
            <w:hideMark/>
          </w:tcPr>
          <w:p w14:paraId="273D178F" w14:textId="77777777" w:rsidR="001752B7" w:rsidRPr="001752B7" w:rsidRDefault="001752B7" w:rsidP="001752B7">
            <w:pPr>
              <w:spacing w:after="0" w:line="240" w:lineRule="auto"/>
              <w:jc w:val="right"/>
              <w:rPr>
                <w:rFonts w:ascii="Calibri" w:eastAsia="Times New Roman" w:hAnsi="Calibri" w:cs="Calibri"/>
                <w:lang w:eastAsia="hr-HR"/>
              </w:rPr>
            </w:pPr>
            <w:r w:rsidRPr="001752B7">
              <w:rPr>
                <w:rFonts w:ascii="Calibri" w:eastAsia="Times New Roman" w:hAnsi="Calibri" w:cs="Calibri"/>
                <w:lang w:eastAsia="hr-HR"/>
              </w:rPr>
              <w:t> </w:t>
            </w:r>
          </w:p>
        </w:tc>
        <w:tc>
          <w:tcPr>
            <w:tcW w:w="477" w:type="dxa"/>
            <w:tcBorders>
              <w:top w:val="nil"/>
              <w:left w:val="nil"/>
              <w:bottom w:val="single" w:sz="4" w:space="0" w:color="auto"/>
              <w:right w:val="single" w:sz="4" w:space="0" w:color="auto"/>
            </w:tcBorders>
            <w:shd w:val="clear" w:color="000000" w:fill="CCFFFF"/>
            <w:vAlign w:val="bottom"/>
            <w:hideMark/>
          </w:tcPr>
          <w:p w14:paraId="6DBD850A" w14:textId="77777777" w:rsidR="001752B7" w:rsidRPr="001752B7" w:rsidRDefault="001752B7" w:rsidP="001752B7">
            <w:pPr>
              <w:spacing w:after="0" w:line="240" w:lineRule="auto"/>
              <w:jc w:val="right"/>
              <w:rPr>
                <w:rFonts w:ascii="Calibri" w:eastAsia="Times New Roman" w:hAnsi="Calibri" w:cs="Calibri"/>
                <w:lang w:eastAsia="hr-HR"/>
              </w:rPr>
            </w:pPr>
            <w:r w:rsidRPr="001752B7">
              <w:rPr>
                <w:rFonts w:ascii="Calibri" w:eastAsia="Times New Roman" w:hAnsi="Calibri" w:cs="Calibri"/>
                <w:lang w:eastAsia="hr-HR"/>
              </w:rPr>
              <w:t> </w:t>
            </w:r>
          </w:p>
        </w:tc>
        <w:tc>
          <w:tcPr>
            <w:tcW w:w="506" w:type="dxa"/>
            <w:tcBorders>
              <w:top w:val="nil"/>
              <w:left w:val="nil"/>
              <w:bottom w:val="single" w:sz="4" w:space="0" w:color="auto"/>
              <w:right w:val="single" w:sz="4" w:space="0" w:color="auto"/>
            </w:tcBorders>
            <w:shd w:val="clear" w:color="000000" w:fill="CCFFFF"/>
            <w:vAlign w:val="bottom"/>
            <w:hideMark/>
          </w:tcPr>
          <w:p w14:paraId="1AA5C466" w14:textId="77777777" w:rsidR="001752B7" w:rsidRPr="001752B7" w:rsidRDefault="001752B7" w:rsidP="001752B7">
            <w:pPr>
              <w:spacing w:after="0" w:line="240" w:lineRule="auto"/>
              <w:jc w:val="right"/>
              <w:rPr>
                <w:rFonts w:ascii="Calibri" w:eastAsia="Times New Roman" w:hAnsi="Calibri" w:cs="Calibri"/>
                <w:lang w:eastAsia="hr-HR"/>
              </w:rPr>
            </w:pPr>
            <w:r w:rsidRPr="001752B7">
              <w:rPr>
                <w:rFonts w:ascii="Calibri" w:eastAsia="Times New Roman" w:hAnsi="Calibri" w:cs="Calibri"/>
                <w:lang w:eastAsia="hr-HR"/>
              </w:rPr>
              <w:t> </w:t>
            </w:r>
          </w:p>
        </w:tc>
        <w:tc>
          <w:tcPr>
            <w:tcW w:w="485" w:type="dxa"/>
            <w:tcBorders>
              <w:top w:val="nil"/>
              <w:left w:val="nil"/>
              <w:bottom w:val="single" w:sz="4" w:space="0" w:color="auto"/>
              <w:right w:val="single" w:sz="4" w:space="0" w:color="auto"/>
            </w:tcBorders>
            <w:shd w:val="clear" w:color="000000" w:fill="CCFFFF"/>
            <w:vAlign w:val="bottom"/>
            <w:hideMark/>
          </w:tcPr>
          <w:p w14:paraId="646C48F5" w14:textId="77777777" w:rsidR="001752B7" w:rsidRPr="001752B7" w:rsidRDefault="001752B7" w:rsidP="001752B7">
            <w:pPr>
              <w:spacing w:after="0" w:line="240" w:lineRule="auto"/>
              <w:jc w:val="right"/>
              <w:rPr>
                <w:rFonts w:ascii="Calibri" w:eastAsia="Times New Roman" w:hAnsi="Calibri" w:cs="Calibri"/>
                <w:lang w:eastAsia="hr-HR"/>
              </w:rPr>
            </w:pPr>
            <w:r w:rsidRPr="001752B7">
              <w:rPr>
                <w:rFonts w:ascii="Calibri" w:eastAsia="Times New Roman" w:hAnsi="Calibri" w:cs="Calibri"/>
                <w:lang w:eastAsia="hr-HR"/>
              </w:rPr>
              <w:t> </w:t>
            </w:r>
          </w:p>
        </w:tc>
        <w:tc>
          <w:tcPr>
            <w:tcW w:w="561" w:type="dxa"/>
            <w:tcBorders>
              <w:top w:val="nil"/>
              <w:left w:val="nil"/>
              <w:bottom w:val="single" w:sz="4" w:space="0" w:color="auto"/>
              <w:right w:val="nil"/>
            </w:tcBorders>
            <w:shd w:val="clear" w:color="000000" w:fill="33CCCC"/>
            <w:noWrap/>
            <w:vAlign w:val="bottom"/>
            <w:hideMark/>
          </w:tcPr>
          <w:p w14:paraId="2937B8EB" w14:textId="77777777" w:rsidR="001752B7" w:rsidRPr="001752B7" w:rsidRDefault="001752B7" w:rsidP="001752B7">
            <w:pPr>
              <w:spacing w:after="0" w:line="240" w:lineRule="auto"/>
              <w:jc w:val="right"/>
              <w:rPr>
                <w:rFonts w:ascii="Calibri" w:eastAsia="Times New Roman" w:hAnsi="Calibri" w:cs="Calibri"/>
                <w:lang w:eastAsia="hr-HR"/>
              </w:rPr>
            </w:pPr>
            <w:r w:rsidRPr="001752B7">
              <w:rPr>
                <w:rFonts w:ascii="Calibri" w:eastAsia="Times New Roman" w:hAnsi="Calibri" w:cs="Calibri"/>
                <w:lang w:eastAsia="hr-HR"/>
              </w:rPr>
              <w:t> </w:t>
            </w:r>
          </w:p>
        </w:tc>
        <w:tc>
          <w:tcPr>
            <w:tcW w:w="595" w:type="dxa"/>
            <w:tcBorders>
              <w:top w:val="nil"/>
              <w:left w:val="single" w:sz="4" w:space="0" w:color="auto"/>
              <w:bottom w:val="single" w:sz="4" w:space="0" w:color="auto"/>
              <w:right w:val="single" w:sz="8" w:space="0" w:color="auto"/>
            </w:tcBorders>
            <w:shd w:val="clear" w:color="000000" w:fill="33CCCC"/>
            <w:noWrap/>
            <w:vAlign w:val="bottom"/>
            <w:hideMark/>
          </w:tcPr>
          <w:p w14:paraId="59BDE803" w14:textId="77777777" w:rsidR="001752B7" w:rsidRPr="001752B7" w:rsidRDefault="001752B7" w:rsidP="001752B7">
            <w:pPr>
              <w:spacing w:after="0" w:line="240" w:lineRule="auto"/>
              <w:jc w:val="right"/>
              <w:rPr>
                <w:rFonts w:ascii="Calibri" w:eastAsia="Times New Roman" w:hAnsi="Calibri" w:cs="Calibri"/>
                <w:lang w:eastAsia="hr-HR"/>
              </w:rPr>
            </w:pPr>
            <w:r w:rsidRPr="001752B7">
              <w:rPr>
                <w:rFonts w:ascii="Calibri" w:eastAsia="Times New Roman" w:hAnsi="Calibri" w:cs="Calibri"/>
                <w:lang w:eastAsia="hr-HR"/>
              </w:rPr>
              <w:t> </w:t>
            </w:r>
          </w:p>
        </w:tc>
        <w:tc>
          <w:tcPr>
            <w:tcW w:w="266" w:type="dxa"/>
            <w:gridSpan w:val="3"/>
            <w:vAlign w:val="center"/>
            <w:hideMark/>
          </w:tcPr>
          <w:p w14:paraId="657A905B" w14:textId="77777777" w:rsidR="001752B7" w:rsidRPr="001752B7" w:rsidRDefault="001752B7" w:rsidP="001752B7">
            <w:pPr>
              <w:spacing w:after="0" w:line="240" w:lineRule="auto"/>
              <w:rPr>
                <w:rFonts w:ascii="Times New Roman" w:eastAsia="Times New Roman" w:hAnsi="Times New Roman" w:cs="Times New Roman"/>
                <w:sz w:val="20"/>
                <w:szCs w:val="20"/>
                <w:lang w:eastAsia="hr-HR"/>
              </w:rPr>
            </w:pPr>
          </w:p>
        </w:tc>
      </w:tr>
      <w:tr w:rsidR="001752B7" w:rsidRPr="001752B7" w14:paraId="75E905B8" w14:textId="77777777" w:rsidTr="000271A1">
        <w:trPr>
          <w:trHeight w:val="300"/>
        </w:trPr>
        <w:tc>
          <w:tcPr>
            <w:tcW w:w="1404" w:type="dxa"/>
            <w:tcBorders>
              <w:top w:val="single" w:sz="4" w:space="0" w:color="auto"/>
              <w:left w:val="single" w:sz="8" w:space="0" w:color="auto"/>
              <w:bottom w:val="single" w:sz="4" w:space="0" w:color="auto"/>
              <w:right w:val="single" w:sz="4" w:space="0" w:color="auto"/>
            </w:tcBorders>
            <w:shd w:val="clear" w:color="000000" w:fill="CCFFCC"/>
            <w:vAlign w:val="center"/>
            <w:hideMark/>
          </w:tcPr>
          <w:p w14:paraId="7FD1F668" w14:textId="77777777" w:rsidR="001752B7" w:rsidRPr="001752B7" w:rsidRDefault="001752B7" w:rsidP="001752B7">
            <w:pPr>
              <w:spacing w:after="0" w:line="240" w:lineRule="auto"/>
              <w:rPr>
                <w:rFonts w:ascii="Calibri" w:eastAsia="Times New Roman" w:hAnsi="Calibri" w:cs="Calibri"/>
                <w:lang w:eastAsia="hr-HR"/>
              </w:rPr>
            </w:pPr>
            <w:r w:rsidRPr="001752B7">
              <w:rPr>
                <w:rFonts w:ascii="Calibri" w:eastAsia="Times New Roman" w:hAnsi="Calibri" w:cs="Calibri"/>
                <w:lang w:eastAsia="hr-HR"/>
              </w:rPr>
              <w:t>Invaliditet</w:t>
            </w:r>
          </w:p>
        </w:tc>
        <w:tc>
          <w:tcPr>
            <w:tcW w:w="545" w:type="dxa"/>
            <w:tcBorders>
              <w:top w:val="nil"/>
              <w:left w:val="nil"/>
              <w:bottom w:val="single" w:sz="4" w:space="0" w:color="auto"/>
              <w:right w:val="single" w:sz="4" w:space="0" w:color="auto"/>
            </w:tcBorders>
            <w:shd w:val="clear" w:color="000000" w:fill="CCFFCC"/>
            <w:vAlign w:val="center"/>
            <w:hideMark/>
          </w:tcPr>
          <w:p w14:paraId="34E6F7E1" w14:textId="77777777" w:rsidR="001752B7" w:rsidRPr="001752B7" w:rsidRDefault="001752B7" w:rsidP="001752B7">
            <w:pPr>
              <w:spacing w:after="0" w:line="240" w:lineRule="auto"/>
              <w:jc w:val="right"/>
              <w:rPr>
                <w:rFonts w:ascii="Calibri" w:eastAsia="Times New Roman" w:hAnsi="Calibri" w:cs="Calibri"/>
                <w:lang w:eastAsia="hr-HR"/>
              </w:rPr>
            </w:pPr>
            <w:r w:rsidRPr="001752B7">
              <w:rPr>
                <w:rFonts w:ascii="Calibri" w:eastAsia="Times New Roman" w:hAnsi="Calibri" w:cs="Calibri"/>
                <w:lang w:eastAsia="hr-HR"/>
              </w:rPr>
              <w:t>1</w:t>
            </w:r>
          </w:p>
        </w:tc>
        <w:tc>
          <w:tcPr>
            <w:tcW w:w="573" w:type="dxa"/>
            <w:tcBorders>
              <w:top w:val="nil"/>
              <w:left w:val="nil"/>
              <w:bottom w:val="single" w:sz="4" w:space="0" w:color="auto"/>
              <w:right w:val="single" w:sz="4" w:space="0" w:color="auto"/>
            </w:tcBorders>
            <w:shd w:val="clear" w:color="000000" w:fill="FFCC99"/>
            <w:noWrap/>
            <w:vAlign w:val="bottom"/>
            <w:hideMark/>
          </w:tcPr>
          <w:p w14:paraId="1BC05592" w14:textId="77777777" w:rsidR="001752B7" w:rsidRPr="001752B7" w:rsidRDefault="001752B7" w:rsidP="001752B7">
            <w:pPr>
              <w:spacing w:after="0" w:line="240" w:lineRule="auto"/>
              <w:jc w:val="right"/>
              <w:rPr>
                <w:rFonts w:ascii="Calibri" w:eastAsia="Times New Roman" w:hAnsi="Calibri" w:cs="Calibri"/>
                <w:lang w:eastAsia="hr-HR"/>
              </w:rPr>
            </w:pPr>
            <w:r w:rsidRPr="001752B7">
              <w:rPr>
                <w:rFonts w:ascii="Calibri" w:eastAsia="Times New Roman" w:hAnsi="Calibri" w:cs="Calibri"/>
                <w:lang w:eastAsia="hr-HR"/>
              </w:rPr>
              <w:t>1</w:t>
            </w:r>
          </w:p>
        </w:tc>
        <w:tc>
          <w:tcPr>
            <w:tcW w:w="855" w:type="dxa"/>
            <w:tcBorders>
              <w:top w:val="nil"/>
              <w:left w:val="nil"/>
              <w:bottom w:val="single" w:sz="4" w:space="0" w:color="auto"/>
              <w:right w:val="single" w:sz="4" w:space="0" w:color="auto"/>
            </w:tcBorders>
            <w:shd w:val="clear" w:color="000000" w:fill="CCFFFF"/>
            <w:noWrap/>
            <w:vAlign w:val="bottom"/>
            <w:hideMark/>
          </w:tcPr>
          <w:p w14:paraId="3C9F8BEB" w14:textId="77777777" w:rsidR="001752B7" w:rsidRPr="001752B7" w:rsidRDefault="001752B7" w:rsidP="001752B7">
            <w:pPr>
              <w:spacing w:after="0" w:line="240" w:lineRule="auto"/>
              <w:jc w:val="right"/>
              <w:rPr>
                <w:rFonts w:ascii="Calibri" w:eastAsia="Times New Roman" w:hAnsi="Calibri" w:cs="Calibri"/>
                <w:lang w:eastAsia="hr-HR"/>
              </w:rPr>
            </w:pPr>
            <w:r w:rsidRPr="001752B7">
              <w:rPr>
                <w:rFonts w:ascii="Calibri" w:eastAsia="Times New Roman" w:hAnsi="Calibri" w:cs="Calibri"/>
                <w:lang w:eastAsia="hr-HR"/>
              </w:rPr>
              <w:t> </w:t>
            </w:r>
          </w:p>
        </w:tc>
        <w:tc>
          <w:tcPr>
            <w:tcW w:w="638" w:type="dxa"/>
            <w:tcBorders>
              <w:top w:val="nil"/>
              <w:left w:val="nil"/>
              <w:bottom w:val="single" w:sz="4" w:space="0" w:color="auto"/>
              <w:right w:val="single" w:sz="4" w:space="0" w:color="auto"/>
            </w:tcBorders>
            <w:shd w:val="clear" w:color="000000" w:fill="CCFFFF"/>
            <w:noWrap/>
            <w:vAlign w:val="bottom"/>
            <w:hideMark/>
          </w:tcPr>
          <w:p w14:paraId="4FC793F5" w14:textId="77777777" w:rsidR="001752B7" w:rsidRPr="001752B7" w:rsidRDefault="001752B7" w:rsidP="001752B7">
            <w:pPr>
              <w:spacing w:after="0" w:line="240" w:lineRule="auto"/>
              <w:jc w:val="right"/>
              <w:rPr>
                <w:rFonts w:ascii="Calibri" w:eastAsia="Times New Roman" w:hAnsi="Calibri" w:cs="Calibri"/>
                <w:lang w:eastAsia="hr-HR"/>
              </w:rPr>
            </w:pPr>
            <w:r w:rsidRPr="001752B7">
              <w:rPr>
                <w:rFonts w:ascii="Calibri" w:eastAsia="Times New Roman" w:hAnsi="Calibri" w:cs="Calibri"/>
                <w:lang w:eastAsia="hr-HR"/>
              </w:rPr>
              <w:t>1</w:t>
            </w:r>
          </w:p>
        </w:tc>
        <w:tc>
          <w:tcPr>
            <w:tcW w:w="580" w:type="dxa"/>
            <w:tcBorders>
              <w:top w:val="nil"/>
              <w:left w:val="nil"/>
              <w:bottom w:val="single" w:sz="4" w:space="0" w:color="auto"/>
              <w:right w:val="single" w:sz="4" w:space="0" w:color="auto"/>
            </w:tcBorders>
            <w:shd w:val="clear" w:color="000000" w:fill="FFFF99"/>
            <w:noWrap/>
            <w:vAlign w:val="bottom"/>
            <w:hideMark/>
          </w:tcPr>
          <w:p w14:paraId="3683F2D3" w14:textId="77777777" w:rsidR="001752B7" w:rsidRPr="001752B7" w:rsidRDefault="001752B7" w:rsidP="001752B7">
            <w:pPr>
              <w:spacing w:after="0" w:line="240" w:lineRule="auto"/>
              <w:jc w:val="right"/>
              <w:rPr>
                <w:rFonts w:ascii="Calibri" w:eastAsia="Times New Roman" w:hAnsi="Calibri" w:cs="Calibri"/>
                <w:lang w:eastAsia="hr-HR"/>
              </w:rPr>
            </w:pPr>
            <w:r w:rsidRPr="001752B7">
              <w:rPr>
                <w:rFonts w:ascii="Calibri" w:eastAsia="Times New Roman" w:hAnsi="Calibri" w:cs="Calibri"/>
                <w:lang w:eastAsia="hr-HR"/>
              </w:rPr>
              <w:t>1</w:t>
            </w:r>
          </w:p>
        </w:tc>
        <w:tc>
          <w:tcPr>
            <w:tcW w:w="447" w:type="dxa"/>
            <w:tcBorders>
              <w:top w:val="nil"/>
              <w:left w:val="nil"/>
              <w:bottom w:val="single" w:sz="4" w:space="0" w:color="auto"/>
              <w:right w:val="single" w:sz="4" w:space="0" w:color="auto"/>
            </w:tcBorders>
            <w:shd w:val="clear" w:color="000000" w:fill="FFFF99"/>
            <w:noWrap/>
            <w:vAlign w:val="bottom"/>
            <w:hideMark/>
          </w:tcPr>
          <w:p w14:paraId="7F0753CD" w14:textId="77777777" w:rsidR="001752B7" w:rsidRPr="001752B7" w:rsidRDefault="001752B7" w:rsidP="001752B7">
            <w:pPr>
              <w:spacing w:after="0" w:line="240" w:lineRule="auto"/>
              <w:jc w:val="right"/>
              <w:rPr>
                <w:rFonts w:ascii="Calibri" w:eastAsia="Times New Roman" w:hAnsi="Calibri" w:cs="Calibri"/>
                <w:lang w:eastAsia="hr-HR"/>
              </w:rPr>
            </w:pPr>
            <w:r w:rsidRPr="001752B7">
              <w:rPr>
                <w:rFonts w:ascii="Calibri" w:eastAsia="Times New Roman" w:hAnsi="Calibri" w:cs="Calibri"/>
                <w:lang w:eastAsia="hr-HR"/>
              </w:rPr>
              <w:t> </w:t>
            </w:r>
          </w:p>
        </w:tc>
        <w:tc>
          <w:tcPr>
            <w:tcW w:w="447" w:type="dxa"/>
            <w:tcBorders>
              <w:top w:val="nil"/>
              <w:left w:val="nil"/>
              <w:bottom w:val="single" w:sz="4" w:space="0" w:color="auto"/>
              <w:right w:val="single" w:sz="4" w:space="0" w:color="auto"/>
            </w:tcBorders>
            <w:shd w:val="clear" w:color="000000" w:fill="FFFF99"/>
            <w:noWrap/>
            <w:vAlign w:val="bottom"/>
            <w:hideMark/>
          </w:tcPr>
          <w:p w14:paraId="5726E6CB" w14:textId="77777777" w:rsidR="001752B7" w:rsidRPr="001752B7" w:rsidRDefault="001752B7" w:rsidP="001752B7">
            <w:pPr>
              <w:spacing w:after="0" w:line="240" w:lineRule="auto"/>
              <w:jc w:val="right"/>
              <w:rPr>
                <w:rFonts w:ascii="Calibri" w:eastAsia="Times New Roman" w:hAnsi="Calibri" w:cs="Calibri"/>
                <w:lang w:eastAsia="hr-HR"/>
              </w:rPr>
            </w:pPr>
            <w:r w:rsidRPr="001752B7">
              <w:rPr>
                <w:rFonts w:ascii="Calibri" w:eastAsia="Times New Roman" w:hAnsi="Calibri" w:cs="Calibri"/>
                <w:lang w:eastAsia="hr-HR"/>
              </w:rPr>
              <w:t> </w:t>
            </w:r>
          </w:p>
        </w:tc>
        <w:tc>
          <w:tcPr>
            <w:tcW w:w="447" w:type="dxa"/>
            <w:tcBorders>
              <w:top w:val="nil"/>
              <w:left w:val="nil"/>
              <w:bottom w:val="single" w:sz="4" w:space="0" w:color="auto"/>
              <w:right w:val="single" w:sz="4" w:space="0" w:color="auto"/>
            </w:tcBorders>
            <w:shd w:val="clear" w:color="000000" w:fill="FFFF99"/>
            <w:noWrap/>
            <w:vAlign w:val="bottom"/>
            <w:hideMark/>
          </w:tcPr>
          <w:p w14:paraId="0A70D563" w14:textId="77777777" w:rsidR="001752B7" w:rsidRPr="001752B7" w:rsidRDefault="001752B7" w:rsidP="001752B7">
            <w:pPr>
              <w:spacing w:after="0" w:line="240" w:lineRule="auto"/>
              <w:jc w:val="right"/>
              <w:rPr>
                <w:rFonts w:ascii="Calibri" w:eastAsia="Times New Roman" w:hAnsi="Calibri" w:cs="Calibri"/>
                <w:lang w:eastAsia="hr-HR"/>
              </w:rPr>
            </w:pPr>
            <w:r w:rsidRPr="001752B7">
              <w:rPr>
                <w:rFonts w:ascii="Calibri" w:eastAsia="Times New Roman" w:hAnsi="Calibri" w:cs="Calibri"/>
                <w:lang w:eastAsia="hr-HR"/>
              </w:rPr>
              <w:t> </w:t>
            </w:r>
          </w:p>
        </w:tc>
        <w:tc>
          <w:tcPr>
            <w:tcW w:w="447" w:type="dxa"/>
            <w:tcBorders>
              <w:top w:val="nil"/>
              <w:left w:val="nil"/>
              <w:bottom w:val="single" w:sz="4" w:space="0" w:color="auto"/>
              <w:right w:val="single" w:sz="4" w:space="0" w:color="auto"/>
            </w:tcBorders>
            <w:shd w:val="clear" w:color="000000" w:fill="FFFF99"/>
            <w:noWrap/>
            <w:vAlign w:val="bottom"/>
            <w:hideMark/>
          </w:tcPr>
          <w:p w14:paraId="25B6F010" w14:textId="77777777" w:rsidR="001752B7" w:rsidRPr="001752B7" w:rsidRDefault="001752B7" w:rsidP="001752B7">
            <w:pPr>
              <w:spacing w:after="0" w:line="240" w:lineRule="auto"/>
              <w:jc w:val="right"/>
              <w:rPr>
                <w:rFonts w:ascii="Calibri" w:eastAsia="Times New Roman" w:hAnsi="Calibri" w:cs="Calibri"/>
                <w:lang w:eastAsia="hr-HR"/>
              </w:rPr>
            </w:pPr>
            <w:r w:rsidRPr="001752B7">
              <w:rPr>
                <w:rFonts w:ascii="Calibri" w:eastAsia="Times New Roman" w:hAnsi="Calibri" w:cs="Calibri"/>
                <w:lang w:eastAsia="hr-HR"/>
              </w:rPr>
              <w:t> </w:t>
            </w:r>
          </w:p>
        </w:tc>
        <w:tc>
          <w:tcPr>
            <w:tcW w:w="572" w:type="dxa"/>
            <w:tcBorders>
              <w:top w:val="nil"/>
              <w:left w:val="nil"/>
              <w:bottom w:val="single" w:sz="4" w:space="0" w:color="auto"/>
              <w:right w:val="single" w:sz="4" w:space="0" w:color="auto"/>
            </w:tcBorders>
            <w:shd w:val="clear" w:color="000000" w:fill="FF9900"/>
            <w:noWrap/>
            <w:vAlign w:val="bottom"/>
            <w:hideMark/>
          </w:tcPr>
          <w:p w14:paraId="76245905" w14:textId="77777777" w:rsidR="001752B7" w:rsidRPr="001752B7" w:rsidRDefault="001752B7" w:rsidP="001752B7">
            <w:pPr>
              <w:spacing w:after="0" w:line="240" w:lineRule="auto"/>
              <w:jc w:val="right"/>
              <w:rPr>
                <w:rFonts w:ascii="Calibri" w:eastAsia="Times New Roman" w:hAnsi="Calibri" w:cs="Calibri"/>
                <w:lang w:eastAsia="hr-HR"/>
              </w:rPr>
            </w:pPr>
            <w:r w:rsidRPr="001752B7">
              <w:rPr>
                <w:rFonts w:ascii="Calibri" w:eastAsia="Times New Roman" w:hAnsi="Calibri" w:cs="Calibri"/>
                <w:lang w:eastAsia="hr-HR"/>
              </w:rPr>
              <w:t>2</w:t>
            </w:r>
          </w:p>
        </w:tc>
        <w:tc>
          <w:tcPr>
            <w:tcW w:w="467" w:type="dxa"/>
            <w:tcBorders>
              <w:top w:val="nil"/>
              <w:left w:val="nil"/>
              <w:bottom w:val="single" w:sz="4" w:space="0" w:color="auto"/>
              <w:right w:val="single" w:sz="4" w:space="0" w:color="auto"/>
            </w:tcBorders>
            <w:shd w:val="clear" w:color="000000" w:fill="FF9900"/>
            <w:noWrap/>
            <w:vAlign w:val="bottom"/>
            <w:hideMark/>
          </w:tcPr>
          <w:p w14:paraId="6B781265" w14:textId="77777777" w:rsidR="001752B7" w:rsidRPr="001752B7" w:rsidRDefault="001752B7" w:rsidP="001752B7">
            <w:pPr>
              <w:spacing w:after="0" w:line="240" w:lineRule="auto"/>
              <w:jc w:val="right"/>
              <w:rPr>
                <w:rFonts w:ascii="Calibri" w:eastAsia="Times New Roman" w:hAnsi="Calibri" w:cs="Calibri"/>
                <w:lang w:eastAsia="hr-HR"/>
              </w:rPr>
            </w:pPr>
            <w:r w:rsidRPr="001752B7">
              <w:rPr>
                <w:rFonts w:ascii="Calibri" w:eastAsia="Times New Roman" w:hAnsi="Calibri" w:cs="Calibri"/>
                <w:lang w:eastAsia="hr-HR"/>
              </w:rPr>
              <w:t> </w:t>
            </w:r>
          </w:p>
        </w:tc>
        <w:tc>
          <w:tcPr>
            <w:tcW w:w="579" w:type="dxa"/>
            <w:tcBorders>
              <w:top w:val="nil"/>
              <w:left w:val="nil"/>
              <w:bottom w:val="single" w:sz="4" w:space="0" w:color="auto"/>
              <w:right w:val="single" w:sz="4" w:space="0" w:color="auto"/>
            </w:tcBorders>
            <w:shd w:val="clear" w:color="000000" w:fill="FF9900"/>
            <w:noWrap/>
            <w:vAlign w:val="bottom"/>
            <w:hideMark/>
          </w:tcPr>
          <w:p w14:paraId="78669703" w14:textId="77777777" w:rsidR="001752B7" w:rsidRPr="001752B7" w:rsidRDefault="001752B7" w:rsidP="001752B7">
            <w:pPr>
              <w:spacing w:after="0" w:line="240" w:lineRule="auto"/>
              <w:jc w:val="right"/>
              <w:rPr>
                <w:rFonts w:ascii="Calibri" w:eastAsia="Times New Roman" w:hAnsi="Calibri" w:cs="Calibri"/>
                <w:lang w:eastAsia="hr-HR"/>
              </w:rPr>
            </w:pPr>
            <w:r w:rsidRPr="001752B7">
              <w:rPr>
                <w:rFonts w:ascii="Calibri" w:eastAsia="Times New Roman" w:hAnsi="Calibri" w:cs="Calibri"/>
                <w:lang w:eastAsia="hr-HR"/>
              </w:rPr>
              <w:t> </w:t>
            </w:r>
          </w:p>
        </w:tc>
        <w:tc>
          <w:tcPr>
            <w:tcW w:w="447" w:type="dxa"/>
            <w:tcBorders>
              <w:top w:val="nil"/>
              <w:left w:val="nil"/>
              <w:bottom w:val="single" w:sz="4" w:space="0" w:color="auto"/>
              <w:right w:val="single" w:sz="4" w:space="0" w:color="auto"/>
            </w:tcBorders>
            <w:shd w:val="clear" w:color="000000" w:fill="66FFCC"/>
            <w:noWrap/>
            <w:vAlign w:val="bottom"/>
            <w:hideMark/>
          </w:tcPr>
          <w:p w14:paraId="12BC44B4" w14:textId="77777777" w:rsidR="001752B7" w:rsidRPr="001752B7" w:rsidRDefault="001752B7" w:rsidP="001752B7">
            <w:pPr>
              <w:spacing w:after="0" w:line="240" w:lineRule="auto"/>
              <w:jc w:val="right"/>
              <w:rPr>
                <w:rFonts w:ascii="Calibri" w:eastAsia="Times New Roman" w:hAnsi="Calibri" w:cs="Calibri"/>
                <w:lang w:eastAsia="hr-HR"/>
              </w:rPr>
            </w:pPr>
            <w:r w:rsidRPr="001752B7">
              <w:rPr>
                <w:rFonts w:ascii="Calibri" w:eastAsia="Times New Roman" w:hAnsi="Calibri" w:cs="Calibri"/>
                <w:lang w:eastAsia="hr-HR"/>
              </w:rPr>
              <w:t> </w:t>
            </w:r>
          </w:p>
        </w:tc>
        <w:tc>
          <w:tcPr>
            <w:tcW w:w="447" w:type="dxa"/>
            <w:tcBorders>
              <w:top w:val="nil"/>
              <w:left w:val="nil"/>
              <w:bottom w:val="single" w:sz="4" w:space="0" w:color="auto"/>
              <w:right w:val="single" w:sz="4" w:space="0" w:color="auto"/>
            </w:tcBorders>
            <w:shd w:val="clear" w:color="000000" w:fill="66FFCC"/>
            <w:noWrap/>
            <w:vAlign w:val="bottom"/>
            <w:hideMark/>
          </w:tcPr>
          <w:p w14:paraId="5BA4758C" w14:textId="77777777" w:rsidR="001752B7" w:rsidRPr="001752B7" w:rsidRDefault="001752B7" w:rsidP="001752B7">
            <w:pPr>
              <w:spacing w:after="0" w:line="240" w:lineRule="auto"/>
              <w:jc w:val="right"/>
              <w:rPr>
                <w:rFonts w:ascii="Calibri" w:eastAsia="Times New Roman" w:hAnsi="Calibri" w:cs="Calibri"/>
                <w:lang w:eastAsia="hr-HR"/>
              </w:rPr>
            </w:pPr>
            <w:r w:rsidRPr="001752B7">
              <w:rPr>
                <w:rFonts w:ascii="Calibri" w:eastAsia="Times New Roman" w:hAnsi="Calibri" w:cs="Calibri"/>
                <w:lang w:eastAsia="hr-HR"/>
              </w:rPr>
              <w:t>1</w:t>
            </w:r>
          </w:p>
        </w:tc>
        <w:tc>
          <w:tcPr>
            <w:tcW w:w="698" w:type="dxa"/>
            <w:tcBorders>
              <w:top w:val="nil"/>
              <w:left w:val="nil"/>
              <w:bottom w:val="single" w:sz="4" w:space="0" w:color="auto"/>
              <w:right w:val="single" w:sz="4" w:space="0" w:color="auto"/>
            </w:tcBorders>
            <w:shd w:val="clear" w:color="000000" w:fill="66FFCC"/>
            <w:noWrap/>
            <w:vAlign w:val="bottom"/>
            <w:hideMark/>
          </w:tcPr>
          <w:p w14:paraId="4F3E52A0" w14:textId="77777777" w:rsidR="001752B7" w:rsidRPr="001752B7" w:rsidRDefault="001752B7" w:rsidP="001752B7">
            <w:pPr>
              <w:spacing w:after="0" w:line="240" w:lineRule="auto"/>
              <w:jc w:val="right"/>
              <w:rPr>
                <w:rFonts w:ascii="Calibri" w:eastAsia="Times New Roman" w:hAnsi="Calibri" w:cs="Calibri"/>
                <w:lang w:eastAsia="hr-HR"/>
              </w:rPr>
            </w:pPr>
            <w:r w:rsidRPr="001752B7">
              <w:rPr>
                <w:rFonts w:ascii="Calibri" w:eastAsia="Times New Roman" w:hAnsi="Calibri" w:cs="Calibri"/>
                <w:lang w:eastAsia="hr-HR"/>
              </w:rPr>
              <w:t>1</w:t>
            </w:r>
          </w:p>
        </w:tc>
        <w:tc>
          <w:tcPr>
            <w:tcW w:w="447" w:type="dxa"/>
            <w:tcBorders>
              <w:top w:val="nil"/>
              <w:left w:val="nil"/>
              <w:bottom w:val="single" w:sz="4" w:space="0" w:color="auto"/>
              <w:right w:val="single" w:sz="4" w:space="0" w:color="auto"/>
            </w:tcBorders>
            <w:shd w:val="clear" w:color="000000" w:fill="66FFCC"/>
            <w:noWrap/>
            <w:vAlign w:val="bottom"/>
            <w:hideMark/>
          </w:tcPr>
          <w:p w14:paraId="24F4AB01" w14:textId="77777777" w:rsidR="001752B7" w:rsidRPr="001752B7" w:rsidRDefault="001752B7" w:rsidP="001752B7">
            <w:pPr>
              <w:spacing w:after="0" w:line="240" w:lineRule="auto"/>
              <w:jc w:val="right"/>
              <w:rPr>
                <w:rFonts w:ascii="Calibri" w:eastAsia="Times New Roman" w:hAnsi="Calibri" w:cs="Calibri"/>
                <w:lang w:eastAsia="hr-HR"/>
              </w:rPr>
            </w:pPr>
            <w:r w:rsidRPr="001752B7">
              <w:rPr>
                <w:rFonts w:ascii="Calibri" w:eastAsia="Times New Roman" w:hAnsi="Calibri" w:cs="Calibri"/>
                <w:lang w:eastAsia="hr-HR"/>
              </w:rPr>
              <w:t>2</w:t>
            </w:r>
          </w:p>
        </w:tc>
        <w:tc>
          <w:tcPr>
            <w:tcW w:w="652" w:type="dxa"/>
            <w:tcBorders>
              <w:top w:val="nil"/>
              <w:left w:val="nil"/>
              <w:bottom w:val="single" w:sz="4" w:space="0" w:color="auto"/>
              <w:right w:val="single" w:sz="4" w:space="0" w:color="auto"/>
            </w:tcBorders>
            <w:shd w:val="clear" w:color="000000" w:fill="FFFF00"/>
            <w:vAlign w:val="center"/>
            <w:hideMark/>
          </w:tcPr>
          <w:p w14:paraId="595107E6" w14:textId="77777777" w:rsidR="001752B7" w:rsidRPr="001752B7" w:rsidRDefault="001752B7" w:rsidP="001752B7">
            <w:pPr>
              <w:spacing w:after="0" w:line="240" w:lineRule="auto"/>
              <w:jc w:val="right"/>
              <w:rPr>
                <w:rFonts w:ascii="Calibri" w:eastAsia="Times New Roman" w:hAnsi="Calibri" w:cs="Calibri"/>
                <w:lang w:eastAsia="hr-HR"/>
              </w:rPr>
            </w:pPr>
            <w:r w:rsidRPr="001752B7">
              <w:rPr>
                <w:rFonts w:ascii="Calibri" w:eastAsia="Times New Roman" w:hAnsi="Calibri" w:cs="Calibri"/>
                <w:lang w:eastAsia="hr-HR"/>
              </w:rPr>
              <w:t>2</w:t>
            </w:r>
          </w:p>
        </w:tc>
        <w:tc>
          <w:tcPr>
            <w:tcW w:w="614" w:type="dxa"/>
            <w:tcBorders>
              <w:top w:val="nil"/>
              <w:left w:val="nil"/>
              <w:bottom w:val="single" w:sz="4" w:space="0" w:color="auto"/>
              <w:right w:val="single" w:sz="4" w:space="0" w:color="auto"/>
            </w:tcBorders>
            <w:shd w:val="clear" w:color="000000" w:fill="FFFF99"/>
            <w:vAlign w:val="center"/>
            <w:hideMark/>
          </w:tcPr>
          <w:p w14:paraId="14A8E7C9" w14:textId="77777777" w:rsidR="001752B7" w:rsidRPr="001752B7" w:rsidRDefault="001752B7" w:rsidP="001752B7">
            <w:pPr>
              <w:spacing w:after="0" w:line="240" w:lineRule="auto"/>
              <w:jc w:val="right"/>
              <w:rPr>
                <w:rFonts w:ascii="Calibri" w:eastAsia="Times New Roman" w:hAnsi="Calibri" w:cs="Calibri"/>
                <w:lang w:eastAsia="hr-HR"/>
              </w:rPr>
            </w:pPr>
            <w:r w:rsidRPr="001752B7">
              <w:rPr>
                <w:rFonts w:ascii="Calibri" w:eastAsia="Times New Roman" w:hAnsi="Calibri" w:cs="Calibri"/>
                <w:lang w:eastAsia="hr-HR"/>
              </w:rPr>
              <w:t> </w:t>
            </w:r>
          </w:p>
        </w:tc>
        <w:tc>
          <w:tcPr>
            <w:tcW w:w="519" w:type="dxa"/>
            <w:tcBorders>
              <w:top w:val="nil"/>
              <w:left w:val="nil"/>
              <w:bottom w:val="single" w:sz="4" w:space="0" w:color="auto"/>
              <w:right w:val="single" w:sz="4" w:space="0" w:color="auto"/>
            </w:tcBorders>
            <w:shd w:val="clear" w:color="000000" w:fill="FF9900"/>
            <w:vAlign w:val="center"/>
            <w:hideMark/>
          </w:tcPr>
          <w:p w14:paraId="2ED0CCB5" w14:textId="77777777" w:rsidR="001752B7" w:rsidRPr="001752B7" w:rsidRDefault="001752B7" w:rsidP="001752B7">
            <w:pPr>
              <w:spacing w:after="0" w:line="240" w:lineRule="auto"/>
              <w:jc w:val="right"/>
              <w:rPr>
                <w:rFonts w:ascii="Calibri" w:eastAsia="Times New Roman" w:hAnsi="Calibri" w:cs="Calibri"/>
                <w:lang w:eastAsia="hr-HR"/>
              </w:rPr>
            </w:pPr>
            <w:r w:rsidRPr="001752B7">
              <w:rPr>
                <w:rFonts w:ascii="Calibri" w:eastAsia="Times New Roman" w:hAnsi="Calibri" w:cs="Calibri"/>
                <w:lang w:eastAsia="hr-HR"/>
              </w:rPr>
              <w:t>2</w:t>
            </w:r>
          </w:p>
        </w:tc>
        <w:tc>
          <w:tcPr>
            <w:tcW w:w="477" w:type="dxa"/>
            <w:tcBorders>
              <w:top w:val="nil"/>
              <w:left w:val="nil"/>
              <w:bottom w:val="single" w:sz="4" w:space="0" w:color="auto"/>
              <w:right w:val="single" w:sz="4" w:space="0" w:color="auto"/>
            </w:tcBorders>
            <w:shd w:val="clear" w:color="000000" w:fill="CCFFFF"/>
            <w:vAlign w:val="bottom"/>
            <w:hideMark/>
          </w:tcPr>
          <w:p w14:paraId="1B4A088F" w14:textId="77777777" w:rsidR="001752B7" w:rsidRPr="001752B7" w:rsidRDefault="001752B7" w:rsidP="001752B7">
            <w:pPr>
              <w:spacing w:after="0" w:line="240" w:lineRule="auto"/>
              <w:jc w:val="right"/>
              <w:rPr>
                <w:rFonts w:ascii="Calibri" w:eastAsia="Times New Roman" w:hAnsi="Calibri" w:cs="Calibri"/>
                <w:lang w:eastAsia="hr-HR"/>
              </w:rPr>
            </w:pPr>
            <w:r w:rsidRPr="001752B7">
              <w:rPr>
                <w:rFonts w:ascii="Calibri" w:eastAsia="Times New Roman" w:hAnsi="Calibri" w:cs="Calibri"/>
                <w:lang w:eastAsia="hr-HR"/>
              </w:rPr>
              <w:t>1</w:t>
            </w:r>
          </w:p>
        </w:tc>
        <w:tc>
          <w:tcPr>
            <w:tcW w:w="506" w:type="dxa"/>
            <w:tcBorders>
              <w:top w:val="nil"/>
              <w:left w:val="nil"/>
              <w:bottom w:val="single" w:sz="4" w:space="0" w:color="auto"/>
              <w:right w:val="single" w:sz="4" w:space="0" w:color="auto"/>
            </w:tcBorders>
            <w:shd w:val="clear" w:color="000000" w:fill="CCFFFF"/>
            <w:vAlign w:val="bottom"/>
            <w:hideMark/>
          </w:tcPr>
          <w:p w14:paraId="02371066" w14:textId="77777777" w:rsidR="001752B7" w:rsidRPr="001752B7" w:rsidRDefault="001752B7" w:rsidP="001752B7">
            <w:pPr>
              <w:spacing w:after="0" w:line="240" w:lineRule="auto"/>
              <w:jc w:val="right"/>
              <w:rPr>
                <w:rFonts w:ascii="Calibri" w:eastAsia="Times New Roman" w:hAnsi="Calibri" w:cs="Calibri"/>
                <w:lang w:eastAsia="hr-HR"/>
              </w:rPr>
            </w:pPr>
            <w:r w:rsidRPr="001752B7">
              <w:rPr>
                <w:rFonts w:ascii="Calibri" w:eastAsia="Times New Roman" w:hAnsi="Calibri" w:cs="Calibri"/>
                <w:lang w:eastAsia="hr-HR"/>
              </w:rPr>
              <w:t>1</w:t>
            </w:r>
          </w:p>
        </w:tc>
        <w:tc>
          <w:tcPr>
            <w:tcW w:w="485" w:type="dxa"/>
            <w:tcBorders>
              <w:top w:val="nil"/>
              <w:left w:val="nil"/>
              <w:bottom w:val="single" w:sz="4" w:space="0" w:color="auto"/>
              <w:right w:val="single" w:sz="4" w:space="0" w:color="auto"/>
            </w:tcBorders>
            <w:shd w:val="clear" w:color="000000" w:fill="CCFFFF"/>
            <w:vAlign w:val="bottom"/>
            <w:hideMark/>
          </w:tcPr>
          <w:p w14:paraId="157CC03F" w14:textId="77777777" w:rsidR="001752B7" w:rsidRPr="001752B7" w:rsidRDefault="001752B7" w:rsidP="001752B7">
            <w:pPr>
              <w:spacing w:after="0" w:line="240" w:lineRule="auto"/>
              <w:jc w:val="right"/>
              <w:rPr>
                <w:rFonts w:ascii="Calibri" w:eastAsia="Times New Roman" w:hAnsi="Calibri" w:cs="Calibri"/>
                <w:lang w:eastAsia="hr-HR"/>
              </w:rPr>
            </w:pPr>
            <w:r w:rsidRPr="001752B7">
              <w:rPr>
                <w:rFonts w:ascii="Calibri" w:eastAsia="Times New Roman" w:hAnsi="Calibri" w:cs="Calibri"/>
                <w:lang w:eastAsia="hr-HR"/>
              </w:rPr>
              <w:t> </w:t>
            </w:r>
          </w:p>
        </w:tc>
        <w:tc>
          <w:tcPr>
            <w:tcW w:w="561" w:type="dxa"/>
            <w:tcBorders>
              <w:top w:val="nil"/>
              <w:left w:val="nil"/>
              <w:bottom w:val="single" w:sz="4" w:space="0" w:color="auto"/>
              <w:right w:val="nil"/>
            </w:tcBorders>
            <w:shd w:val="clear" w:color="000000" w:fill="33CCCC"/>
            <w:noWrap/>
            <w:vAlign w:val="bottom"/>
            <w:hideMark/>
          </w:tcPr>
          <w:p w14:paraId="6DE7E44A" w14:textId="77777777" w:rsidR="001752B7" w:rsidRPr="001752B7" w:rsidRDefault="001752B7" w:rsidP="001752B7">
            <w:pPr>
              <w:spacing w:after="0" w:line="240" w:lineRule="auto"/>
              <w:jc w:val="right"/>
              <w:rPr>
                <w:rFonts w:ascii="Calibri" w:eastAsia="Times New Roman" w:hAnsi="Calibri" w:cs="Calibri"/>
                <w:lang w:eastAsia="hr-HR"/>
              </w:rPr>
            </w:pPr>
            <w:r w:rsidRPr="001752B7">
              <w:rPr>
                <w:rFonts w:ascii="Calibri" w:eastAsia="Times New Roman" w:hAnsi="Calibri" w:cs="Calibri"/>
                <w:lang w:eastAsia="hr-HR"/>
              </w:rPr>
              <w:t>1</w:t>
            </w:r>
          </w:p>
        </w:tc>
        <w:tc>
          <w:tcPr>
            <w:tcW w:w="595" w:type="dxa"/>
            <w:tcBorders>
              <w:top w:val="nil"/>
              <w:left w:val="single" w:sz="4" w:space="0" w:color="auto"/>
              <w:bottom w:val="single" w:sz="4" w:space="0" w:color="auto"/>
              <w:right w:val="single" w:sz="8" w:space="0" w:color="auto"/>
            </w:tcBorders>
            <w:shd w:val="clear" w:color="000000" w:fill="33CCCC"/>
            <w:noWrap/>
            <w:vAlign w:val="bottom"/>
            <w:hideMark/>
          </w:tcPr>
          <w:p w14:paraId="742DCC96" w14:textId="77777777" w:rsidR="001752B7" w:rsidRPr="001752B7" w:rsidRDefault="001752B7" w:rsidP="001752B7">
            <w:pPr>
              <w:spacing w:after="0" w:line="240" w:lineRule="auto"/>
              <w:jc w:val="right"/>
              <w:rPr>
                <w:rFonts w:ascii="Calibri" w:eastAsia="Times New Roman" w:hAnsi="Calibri" w:cs="Calibri"/>
                <w:lang w:eastAsia="hr-HR"/>
              </w:rPr>
            </w:pPr>
            <w:r w:rsidRPr="001752B7">
              <w:rPr>
                <w:rFonts w:ascii="Calibri" w:eastAsia="Times New Roman" w:hAnsi="Calibri" w:cs="Calibri"/>
                <w:lang w:eastAsia="hr-HR"/>
              </w:rPr>
              <w:t>1</w:t>
            </w:r>
          </w:p>
        </w:tc>
        <w:tc>
          <w:tcPr>
            <w:tcW w:w="266" w:type="dxa"/>
            <w:gridSpan w:val="3"/>
            <w:vAlign w:val="center"/>
            <w:hideMark/>
          </w:tcPr>
          <w:p w14:paraId="1C0E914D" w14:textId="77777777" w:rsidR="001752B7" w:rsidRPr="001752B7" w:rsidRDefault="001752B7" w:rsidP="001752B7">
            <w:pPr>
              <w:spacing w:after="0" w:line="240" w:lineRule="auto"/>
              <w:rPr>
                <w:rFonts w:ascii="Times New Roman" w:eastAsia="Times New Roman" w:hAnsi="Times New Roman" w:cs="Times New Roman"/>
                <w:sz w:val="20"/>
                <w:szCs w:val="20"/>
                <w:lang w:eastAsia="hr-HR"/>
              </w:rPr>
            </w:pPr>
          </w:p>
        </w:tc>
      </w:tr>
      <w:tr w:rsidR="001752B7" w:rsidRPr="001752B7" w14:paraId="399E8CFF" w14:textId="77777777" w:rsidTr="000271A1">
        <w:trPr>
          <w:trHeight w:val="300"/>
        </w:trPr>
        <w:tc>
          <w:tcPr>
            <w:tcW w:w="1404" w:type="dxa"/>
            <w:tcBorders>
              <w:top w:val="single" w:sz="4" w:space="0" w:color="auto"/>
              <w:left w:val="single" w:sz="8" w:space="0" w:color="auto"/>
              <w:bottom w:val="single" w:sz="4" w:space="0" w:color="auto"/>
              <w:right w:val="single" w:sz="4" w:space="0" w:color="auto"/>
            </w:tcBorders>
            <w:shd w:val="clear" w:color="000000" w:fill="CCFFCC"/>
            <w:vAlign w:val="center"/>
            <w:hideMark/>
          </w:tcPr>
          <w:p w14:paraId="078D6061" w14:textId="77777777" w:rsidR="001752B7" w:rsidRPr="001752B7" w:rsidRDefault="001752B7" w:rsidP="001752B7">
            <w:pPr>
              <w:spacing w:after="0" w:line="240" w:lineRule="auto"/>
              <w:rPr>
                <w:rFonts w:ascii="Calibri" w:eastAsia="Times New Roman" w:hAnsi="Calibri" w:cs="Calibri"/>
                <w:lang w:eastAsia="hr-HR"/>
              </w:rPr>
            </w:pPr>
            <w:r w:rsidRPr="001752B7">
              <w:rPr>
                <w:rFonts w:ascii="Calibri" w:eastAsia="Times New Roman" w:hAnsi="Calibri" w:cs="Calibri"/>
                <w:lang w:eastAsia="hr-HR"/>
              </w:rPr>
              <w:t>Genetsko nasljeđe</w:t>
            </w:r>
          </w:p>
        </w:tc>
        <w:tc>
          <w:tcPr>
            <w:tcW w:w="545" w:type="dxa"/>
            <w:tcBorders>
              <w:top w:val="nil"/>
              <w:left w:val="nil"/>
              <w:bottom w:val="single" w:sz="4" w:space="0" w:color="auto"/>
              <w:right w:val="single" w:sz="4" w:space="0" w:color="auto"/>
            </w:tcBorders>
            <w:shd w:val="clear" w:color="000000" w:fill="CCFFCC"/>
            <w:vAlign w:val="center"/>
            <w:hideMark/>
          </w:tcPr>
          <w:p w14:paraId="55B71884" w14:textId="77777777" w:rsidR="001752B7" w:rsidRPr="001752B7" w:rsidRDefault="001752B7" w:rsidP="001752B7">
            <w:pPr>
              <w:spacing w:after="0" w:line="240" w:lineRule="auto"/>
              <w:jc w:val="right"/>
              <w:rPr>
                <w:rFonts w:ascii="Calibri" w:eastAsia="Times New Roman" w:hAnsi="Calibri" w:cs="Calibri"/>
                <w:lang w:eastAsia="hr-HR"/>
              </w:rPr>
            </w:pPr>
            <w:r w:rsidRPr="001752B7">
              <w:rPr>
                <w:rFonts w:ascii="Calibri" w:eastAsia="Times New Roman" w:hAnsi="Calibri" w:cs="Calibri"/>
                <w:lang w:eastAsia="hr-HR"/>
              </w:rPr>
              <w:t> </w:t>
            </w:r>
          </w:p>
        </w:tc>
        <w:tc>
          <w:tcPr>
            <w:tcW w:w="573" w:type="dxa"/>
            <w:tcBorders>
              <w:top w:val="nil"/>
              <w:left w:val="nil"/>
              <w:bottom w:val="single" w:sz="4" w:space="0" w:color="auto"/>
              <w:right w:val="single" w:sz="4" w:space="0" w:color="auto"/>
            </w:tcBorders>
            <w:shd w:val="clear" w:color="000000" w:fill="FFCC99"/>
            <w:noWrap/>
            <w:vAlign w:val="bottom"/>
            <w:hideMark/>
          </w:tcPr>
          <w:p w14:paraId="6C347164" w14:textId="77777777" w:rsidR="001752B7" w:rsidRPr="001752B7" w:rsidRDefault="001752B7" w:rsidP="001752B7">
            <w:pPr>
              <w:spacing w:after="0" w:line="240" w:lineRule="auto"/>
              <w:jc w:val="right"/>
              <w:rPr>
                <w:rFonts w:ascii="Calibri" w:eastAsia="Times New Roman" w:hAnsi="Calibri" w:cs="Calibri"/>
                <w:lang w:eastAsia="hr-HR"/>
              </w:rPr>
            </w:pPr>
            <w:r w:rsidRPr="001752B7">
              <w:rPr>
                <w:rFonts w:ascii="Calibri" w:eastAsia="Times New Roman" w:hAnsi="Calibri" w:cs="Calibri"/>
                <w:lang w:eastAsia="hr-HR"/>
              </w:rPr>
              <w:t> </w:t>
            </w:r>
          </w:p>
        </w:tc>
        <w:tc>
          <w:tcPr>
            <w:tcW w:w="855" w:type="dxa"/>
            <w:tcBorders>
              <w:top w:val="nil"/>
              <w:left w:val="nil"/>
              <w:bottom w:val="single" w:sz="4" w:space="0" w:color="auto"/>
              <w:right w:val="single" w:sz="4" w:space="0" w:color="auto"/>
            </w:tcBorders>
            <w:shd w:val="clear" w:color="000000" w:fill="CCFFFF"/>
            <w:noWrap/>
            <w:vAlign w:val="bottom"/>
            <w:hideMark/>
          </w:tcPr>
          <w:p w14:paraId="32EF09AE" w14:textId="77777777" w:rsidR="001752B7" w:rsidRPr="001752B7" w:rsidRDefault="001752B7" w:rsidP="001752B7">
            <w:pPr>
              <w:spacing w:after="0" w:line="240" w:lineRule="auto"/>
              <w:jc w:val="right"/>
              <w:rPr>
                <w:rFonts w:ascii="Calibri" w:eastAsia="Times New Roman" w:hAnsi="Calibri" w:cs="Calibri"/>
                <w:lang w:eastAsia="hr-HR"/>
              </w:rPr>
            </w:pPr>
            <w:r w:rsidRPr="001752B7">
              <w:rPr>
                <w:rFonts w:ascii="Calibri" w:eastAsia="Times New Roman" w:hAnsi="Calibri" w:cs="Calibri"/>
                <w:lang w:eastAsia="hr-HR"/>
              </w:rPr>
              <w:t> </w:t>
            </w:r>
          </w:p>
        </w:tc>
        <w:tc>
          <w:tcPr>
            <w:tcW w:w="638" w:type="dxa"/>
            <w:tcBorders>
              <w:top w:val="nil"/>
              <w:left w:val="nil"/>
              <w:bottom w:val="single" w:sz="4" w:space="0" w:color="auto"/>
              <w:right w:val="single" w:sz="4" w:space="0" w:color="auto"/>
            </w:tcBorders>
            <w:shd w:val="clear" w:color="000000" w:fill="CCFFFF"/>
            <w:noWrap/>
            <w:vAlign w:val="bottom"/>
            <w:hideMark/>
          </w:tcPr>
          <w:p w14:paraId="175337E6" w14:textId="77777777" w:rsidR="001752B7" w:rsidRPr="001752B7" w:rsidRDefault="001752B7" w:rsidP="001752B7">
            <w:pPr>
              <w:spacing w:after="0" w:line="240" w:lineRule="auto"/>
              <w:jc w:val="right"/>
              <w:rPr>
                <w:rFonts w:ascii="Calibri" w:eastAsia="Times New Roman" w:hAnsi="Calibri" w:cs="Calibri"/>
                <w:lang w:eastAsia="hr-HR"/>
              </w:rPr>
            </w:pPr>
            <w:r w:rsidRPr="001752B7">
              <w:rPr>
                <w:rFonts w:ascii="Calibri" w:eastAsia="Times New Roman" w:hAnsi="Calibri" w:cs="Calibri"/>
                <w:lang w:eastAsia="hr-HR"/>
              </w:rPr>
              <w:t> </w:t>
            </w:r>
          </w:p>
        </w:tc>
        <w:tc>
          <w:tcPr>
            <w:tcW w:w="580" w:type="dxa"/>
            <w:tcBorders>
              <w:top w:val="nil"/>
              <w:left w:val="nil"/>
              <w:bottom w:val="single" w:sz="4" w:space="0" w:color="auto"/>
              <w:right w:val="single" w:sz="4" w:space="0" w:color="auto"/>
            </w:tcBorders>
            <w:shd w:val="clear" w:color="000000" w:fill="FFFF99"/>
            <w:noWrap/>
            <w:vAlign w:val="bottom"/>
            <w:hideMark/>
          </w:tcPr>
          <w:p w14:paraId="6E94244E" w14:textId="77777777" w:rsidR="001752B7" w:rsidRPr="001752B7" w:rsidRDefault="001752B7" w:rsidP="001752B7">
            <w:pPr>
              <w:spacing w:after="0" w:line="240" w:lineRule="auto"/>
              <w:jc w:val="right"/>
              <w:rPr>
                <w:rFonts w:ascii="Calibri" w:eastAsia="Times New Roman" w:hAnsi="Calibri" w:cs="Calibri"/>
                <w:lang w:eastAsia="hr-HR"/>
              </w:rPr>
            </w:pPr>
            <w:r w:rsidRPr="001752B7">
              <w:rPr>
                <w:rFonts w:ascii="Calibri" w:eastAsia="Times New Roman" w:hAnsi="Calibri" w:cs="Calibri"/>
                <w:lang w:eastAsia="hr-HR"/>
              </w:rPr>
              <w:t> </w:t>
            </w:r>
          </w:p>
        </w:tc>
        <w:tc>
          <w:tcPr>
            <w:tcW w:w="447" w:type="dxa"/>
            <w:tcBorders>
              <w:top w:val="nil"/>
              <w:left w:val="nil"/>
              <w:bottom w:val="single" w:sz="4" w:space="0" w:color="auto"/>
              <w:right w:val="single" w:sz="4" w:space="0" w:color="auto"/>
            </w:tcBorders>
            <w:shd w:val="clear" w:color="000000" w:fill="FFFF99"/>
            <w:noWrap/>
            <w:vAlign w:val="bottom"/>
            <w:hideMark/>
          </w:tcPr>
          <w:p w14:paraId="4441B58D" w14:textId="77777777" w:rsidR="001752B7" w:rsidRPr="001752B7" w:rsidRDefault="001752B7" w:rsidP="001752B7">
            <w:pPr>
              <w:spacing w:after="0" w:line="240" w:lineRule="auto"/>
              <w:jc w:val="right"/>
              <w:rPr>
                <w:rFonts w:ascii="Calibri" w:eastAsia="Times New Roman" w:hAnsi="Calibri" w:cs="Calibri"/>
                <w:lang w:eastAsia="hr-HR"/>
              </w:rPr>
            </w:pPr>
            <w:r w:rsidRPr="001752B7">
              <w:rPr>
                <w:rFonts w:ascii="Calibri" w:eastAsia="Times New Roman" w:hAnsi="Calibri" w:cs="Calibri"/>
                <w:lang w:eastAsia="hr-HR"/>
              </w:rPr>
              <w:t> </w:t>
            </w:r>
          </w:p>
        </w:tc>
        <w:tc>
          <w:tcPr>
            <w:tcW w:w="447" w:type="dxa"/>
            <w:tcBorders>
              <w:top w:val="nil"/>
              <w:left w:val="nil"/>
              <w:bottom w:val="single" w:sz="4" w:space="0" w:color="auto"/>
              <w:right w:val="single" w:sz="4" w:space="0" w:color="auto"/>
            </w:tcBorders>
            <w:shd w:val="clear" w:color="000000" w:fill="FFFF99"/>
            <w:noWrap/>
            <w:vAlign w:val="bottom"/>
            <w:hideMark/>
          </w:tcPr>
          <w:p w14:paraId="27DECDBF" w14:textId="77777777" w:rsidR="001752B7" w:rsidRPr="001752B7" w:rsidRDefault="001752B7" w:rsidP="001752B7">
            <w:pPr>
              <w:spacing w:after="0" w:line="240" w:lineRule="auto"/>
              <w:jc w:val="right"/>
              <w:rPr>
                <w:rFonts w:ascii="Calibri" w:eastAsia="Times New Roman" w:hAnsi="Calibri" w:cs="Calibri"/>
                <w:lang w:eastAsia="hr-HR"/>
              </w:rPr>
            </w:pPr>
            <w:r w:rsidRPr="001752B7">
              <w:rPr>
                <w:rFonts w:ascii="Calibri" w:eastAsia="Times New Roman" w:hAnsi="Calibri" w:cs="Calibri"/>
                <w:lang w:eastAsia="hr-HR"/>
              </w:rPr>
              <w:t> </w:t>
            </w:r>
          </w:p>
        </w:tc>
        <w:tc>
          <w:tcPr>
            <w:tcW w:w="447" w:type="dxa"/>
            <w:tcBorders>
              <w:top w:val="nil"/>
              <w:left w:val="nil"/>
              <w:bottom w:val="single" w:sz="4" w:space="0" w:color="auto"/>
              <w:right w:val="single" w:sz="4" w:space="0" w:color="auto"/>
            </w:tcBorders>
            <w:shd w:val="clear" w:color="000000" w:fill="FFFF99"/>
            <w:noWrap/>
            <w:vAlign w:val="bottom"/>
            <w:hideMark/>
          </w:tcPr>
          <w:p w14:paraId="2987E4F7" w14:textId="77777777" w:rsidR="001752B7" w:rsidRPr="001752B7" w:rsidRDefault="001752B7" w:rsidP="001752B7">
            <w:pPr>
              <w:spacing w:after="0" w:line="240" w:lineRule="auto"/>
              <w:jc w:val="right"/>
              <w:rPr>
                <w:rFonts w:ascii="Calibri" w:eastAsia="Times New Roman" w:hAnsi="Calibri" w:cs="Calibri"/>
                <w:lang w:eastAsia="hr-HR"/>
              </w:rPr>
            </w:pPr>
            <w:r w:rsidRPr="001752B7">
              <w:rPr>
                <w:rFonts w:ascii="Calibri" w:eastAsia="Times New Roman" w:hAnsi="Calibri" w:cs="Calibri"/>
                <w:lang w:eastAsia="hr-HR"/>
              </w:rPr>
              <w:t> </w:t>
            </w:r>
          </w:p>
        </w:tc>
        <w:tc>
          <w:tcPr>
            <w:tcW w:w="447" w:type="dxa"/>
            <w:tcBorders>
              <w:top w:val="nil"/>
              <w:left w:val="nil"/>
              <w:bottom w:val="single" w:sz="4" w:space="0" w:color="auto"/>
              <w:right w:val="single" w:sz="4" w:space="0" w:color="auto"/>
            </w:tcBorders>
            <w:shd w:val="clear" w:color="000000" w:fill="FFFF99"/>
            <w:noWrap/>
            <w:vAlign w:val="bottom"/>
            <w:hideMark/>
          </w:tcPr>
          <w:p w14:paraId="5D67A3A2" w14:textId="77777777" w:rsidR="001752B7" w:rsidRPr="001752B7" w:rsidRDefault="001752B7" w:rsidP="001752B7">
            <w:pPr>
              <w:spacing w:after="0" w:line="240" w:lineRule="auto"/>
              <w:jc w:val="right"/>
              <w:rPr>
                <w:rFonts w:ascii="Calibri" w:eastAsia="Times New Roman" w:hAnsi="Calibri" w:cs="Calibri"/>
                <w:lang w:eastAsia="hr-HR"/>
              </w:rPr>
            </w:pPr>
            <w:r w:rsidRPr="001752B7">
              <w:rPr>
                <w:rFonts w:ascii="Calibri" w:eastAsia="Times New Roman" w:hAnsi="Calibri" w:cs="Calibri"/>
                <w:lang w:eastAsia="hr-HR"/>
              </w:rPr>
              <w:t> </w:t>
            </w:r>
          </w:p>
        </w:tc>
        <w:tc>
          <w:tcPr>
            <w:tcW w:w="572" w:type="dxa"/>
            <w:tcBorders>
              <w:top w:val="nil"/>
              <w:left w:val="nil"/>
              <w:bottom w:val="single" w:sz="4" w:space="0" w:color="auto"/>
              <w:right w:val="single" w:sz="4" w:space="0" w:color="auto"/>
            </w:tcBorders>
            <w:shd w:val="clear" w:color="000000" w:fill="FF9900"/>
            <w:noWrap/>
            <w:vAlign w:val="bottom"/>
            <w:hideMark/>
          </w:tcPr>
          <w:p w14:paraId="6BFD57C3" w14:textId="77777777" w:rsidR="001752B7" w:rsidRPr="001752B7" w:rsidRDefault="001752B7" w:rsidP="001752B7">
            <w:pPr>
              <w:spacing w:after="0" w:line="240" w:lineRule="auto"/>
              <w:jc w:val="right"/>
              <w:rPr>
                <w:rFonts w:ascii="Calibri" w:eastAsia="Times New Roman" w:hAnsi="Calibri" w:cs="Calibri"/>
                <w:lang w:eastAsia="hr-HR"/>
              </w:rPr>
            </w:pPr>
            <w:r w:rsidRPr="001752B7">
              <w:rPr>
                <w:rFonts w:ascii="Calibri" w:eastAsia="Times New Roman" w:hAnsi="Calibri" w:cs="Calibri"/>
                <w:lang w:eastAsia="hr-HR"/>
              </w:rPr>
              <w:t> </w:t>
            </w:r>
          </w:p>
        </w:tc>
        <w:tc>
          <w:tcPr>
            <w:tcW w:w="467" w:type="dxa"/>
            <w:tcBorders>
              <w:top w:val="nil"/>
              <w:left w:val="nil"/>
              <w:bottom w:val="single" w:sz="4" w:space="0" w:color="auto"/>
              <w:right w:val="single" w:sz="4" w:space="0" w:color="auto"/>
            </w:tcBorders>
            <w:shd w:val="clear" w:color="000000" w:fill="FF9900"/>
            <w:noWrap/>
            <w:vAlign w:val="bottom"/>
            <w:hideMark/>
          </w:tcPr>
          <w:p w14:paraId="711CD2D7" w14:textId="77777777" w:rsidR="001752B7" w:rsidRPr="001752B7" w:rsidRDefault="001752B7" w:rsidP="001752B7">
            <w:pPr>
              <w:spacing w:after="0" w:line="240" w:lineRule="auto"/>
              <w:jc w:val="right"/>
              <w:rPr>
                <w:rFonts w:ascii="Calibri" w:eastAsia="Times New Roman" w:hAnsi="Calibri" w:cs="Calibri"/>
                <w:lang w:eastAsia="hr-HR"/>
              </w:rPr>
            </w:pPr>
            <w:r w:rsidRPr="001752B7">
              <w:rPr>
                <w:rFonts w:ascii="Calibri" w:eastAsia="Times New Roman" w:hAnsi="Calibri" w:cs="Calibri"/>
                <w:lang w:eastAsia="hr-HR"/>
              </w:rPr>
              <w:t> </w:t>
            </w:r>
          </w:p>
        </w:tc>
        <w:tc>
          <w:tcPr>
            <w:tcW w:w="579" w:type="dxa"/>
            <w:tcBorders>
              <w:top w:val="nil"/>
              <w:left w:val="nil"/>
              <w:bottom w:val="single" w:sz="4" w:space="0" w:color="auto"/>
              <w:right w:val="single" w:sz="4" w:space="0" w:color="auto"/>
            </w:tcBorders>
            <w:shd w:val="clear" w:color="000000" w:fill="FF9900"/>
            <w:noWrap/>
            <w:vAlign w:val="bottom"/>
            <w:hideMark/>
          </w:tcPr>
          <w:p w14:paraId="79D17DCF" w14:textId="77777777" w:rsidR="001752B7" w:rsidRPr="001752B7" w:rsidRDefault="001752B7" w:rsidP="001752B7">
            <w:pPr>
              <w:spacing w:after="0" w:line="240" w:lineRule="auto"/>
              <w:jc w:val="right"/>
              <w:rPr>
                <w:rFonts w:ascii="Calibri" w:eastAsia="Times New Roman" w:hAnsi="Calibri" w:cs="Calibri"/>
                <w:lang w:eastAsia="hr-HR"/>
              </w:rPr>
            </w:pPr>
            <w:r w:rsidRPr="001752B7">
              <w:rPr>
                <w:rFonts w:ascii="Calibri" w:eastAsia="Times New Roman" w:hAnsi="Calibri" w:cs="Calibri"/>
                <w:lang w:eastAsia="hr-HR"/>
              </w:rPr>
              <w:t> </w:t>
            </w:r>
          </w:p>
        </w:tc>
        <w:tc>
          <w:tcPr>
            <w:tcW w:w="447" w:type="dxa"/>
            <w:tcBorders>
              <w:top w:val="nil"/>
              <w:left w:val="nil"/>
              <w:bottom w:val="single" w:sz="4" w:space="0" w:color="auto"/>
              <w:right w:val="single" w:sz="4" w:space="0" w:color="auto"/>
            </w:tcBorders>
            <w:shd w:val="clear" w:color="000000" w:fill="66FFCC"/>
            <w:noWrap/>
            <w:vAlign w:val="bottom"/>
            <w:hideMark/>
          </w:tcPr>
          <w:p w14:paraId="74D46A34" w14:textId="77777777" w:rsidR="001752B7" w:rsidRPr="001752B7" w:rsidRDefault="001752B7" w:rsidP="001752B7">
            <w:pPr>
              <w:spacing w:after="0" w:line="240" w:lineRule="auto"/>
              <w:jc w:val="right"/>
              <w:rPr>
                <w:rFonts w:ascii="Calibri" w:eastAsia="Times New Roman" w:hAnsi="Calibri" w:cs="Calibri"/>
                <w:lang w:eastAsia="hr-HR"/>
              </w:rPr>
            </w:pPr>
            <w:r w:rsidRPr="001752B7">
              <w:rPr>
                <w:rFonts w:ascii="Calibri" w:eastAsia="Times New Roman" w:hAnsi="Calibri" w:cs="Calibri"/>
                <w:lang w:eastAsia="hr-HR"/>
              </w:rPr>
              <w:t> </w:t>
            </w:r>
          </w:p>
        </w:tc>
        <w:tc>
          <w:tcPr>
            <w:tcW w:w="447" w:type="dxa"/>
            <w:tcBorders>
              <w:top w:val="nil"/>
              <w:left w:val="nil"/>
              <w:bottom w:val="single" w:sz="4" w:space="0" w:color="auto"/>
              <w:right w:val="single" w:sz="4" w:space="0" w:color="auto"/>
            </w:tcBorders>
            <w:shd w:val="clear" w:color="000000" w:fill="66FFCC"/>
            <w:noWrap/>
            <w:vAlign w:val="bottom"/>
            <w:hideMark/>
          </w:tcPr>
          <w:p w14:paraId="13FB3E69" w14:textId="77777777" w:rsidR="001752B7" w:rsidRPr="001752B7" w:rsidRDefault="001752B7" w:rsidP="001752B7">
            <w:pPr>
              <w:spacing w:after="0" w:line="240" w:lineRule="auto"/>
              <w:jc w:val="right"/>
              <w:rPr>
                <w:rFonts w:ascii="Calibri" w:eastAsia="Times New Roman" w:hAnsi="Calibri" w:cs="Calibri"/>
                <w:lang w:eastAsia="hr-HR"/>
              </w:rPr>
            </w:pPr>
            <w:r w:rsidRPr="001752B7">
              <w:rPr>
                <w:rFonts w:ascii="Calibri" w:eastAsia="Times New Roman" w:hAnsi="Calibri" w:cs="Calibri"/>
                <w:lang w:eastAsia="hr-HR"/>
              </w:rPr>
              <w:t> </w:t>
            </w:r>
          </w:p>
        </w:tc>
        <w:tc>
          <w:tcPr>
            <w:tcW w:w="698" w:type="dxa"/>
            <w:tcBorders>
              <w:top w:val="nil"/>
              <w:left w:val="nil"/>
              <w:bottom w:val="single" w:sz="4" w:space="0" w:color="auto"/>
              <w:right w:val="single" w:sz="4" w:space="0" w:color="auto"/>
            </w:tcBorders>
            <w:shd w:val="clear" w:color="000000" w:fill="66FFCC"/>
            <w:noWrap/>
            <w:vAlign w:val="bottom"/>
            <w:hideMark/>
          </w:tcPr>
          <w:p w14:paraId="2895FCD1" w14:textId="77777777" w:rsidR="001752B7" w:rsidRPr="001752B7" w:rsidRDefault="001752B7" w:rsidP="001752B7">
            <w:pPr>
              <w:spacing w:after="0" w:line="240" w:lineRule="auto"/>
              <w:jc w:val="right"/>
              <w:rPr>
                <w:rFonts w:ascii="Calibri" w:eastAsia="Times New Roman" w:hAnsi="Calibri" w:cs="Calibri"/>
                <w:lang w:eastAsia="hr-HR"/>
              </w:rPr>
            </w:pPr>
            <w:r w:rsidRPr="001752B7">
              <w:rPr>
                <w:rFonts w:ascii="Calibri" w:eastAsia="Times New Roman" w:hAnsi="Calibri" w:cs="Calibri"/>
                <w:lang w:eastAsia="hr-HR"/>
              </w:rPr>
              <w:t> </w:t>
            </w:r>
          </w:p>
        </w:tc>
        <w:tc>
          <w:tcPr>
            <w:tcW w:w="447" w:type="dxa"/>
            <w:tcBorders>
              <w:top w:val="nil"/>
              <w:left w:val="nil"/>
              <w:bottom w:val="single" w:sz="4" w:space="0" w:color="auto"/>
              <w:right w:val="single" w:sz="4" w:space="0" w:color="auto"/>
            </w:tcBorders>
            <w:shd w:val="clear" w:color="000000" w:fill="66FFCC"/>
            <w:noWrap/>
            <w:vAlign w:val="bottom"/>
            <w:hideMark/>
          </w:tcPr>
          <w:p w14:paraId="1D109A05" w14:textId="77777777" w:rsidR="001752B7" w:rsidRPr="001752B7" w:rsidRDefault="001752B7" w:rsidP="001752B7">
            <w:pPr>
              <w:spacing w:after="0" w:line="240" w:lineRule="auto"/>
              <w:jc w:val="right"/>
              <w:rPr>
                <w:rFonts w:ascii="Calibri" w:eastAsia="Times New Roman" w:hAnsi="Calibri" w:cs="Calibri"/>
                <w:lang w:eastAsia="hr-HR"/>
              </w:rPr>
            </w:pPr>
            <w:r w:rsidRPr="001752B7">
              <w:rPr>
                <w:rFonts w:ascii="Calibri" w:eastAsia="Times New Roman" w:hAnsi="Calibri" w:cs="Calibri"/>
                <w:lang w:eastAsia="hr-HR"/>
              </w:rPr>
              <w:t> </w:t>
            </w:r>
          </w:p>
        </w:tc>
        <w:tc>
          <w:tcPr>
            <w:tcW w:w="652" w:type="dxa"/>
            <w:tcBorders>
              <w:top w:val="nil"/>
              <w:left w:val="nil"/>
              <w:bottom w:val="single" w:sz="4" w:space="0" w:color="auto"/>
              <w:right w:val="single" w:sz="4" w:space="0" w:color="auto"/>
            </w:tcBorders>
            <w:shd w:val="clear" w:color="000000" w:fill="FFFF00"/>
            <w:vAlign w:val="center"/>
            <w:hideMark/>
          </w:tcPr>
          <w:p w14:paraId="20F17F38" w14:textId="77777777" w:rsidR="001752B7" w:rsidRPr="001752B7" w:rsidRDefault="001752B7" w:rsidP="001752B7">
            <w:pPr>
              <w:spacing w:after="0" w:line="240" w:lineRule="auto"/>
              <w:jc w:val="right"/>
              <w:rPr>
                <w:rFonts w:ascii="Calibri" w:eastAsia="Times New Roman" w:hAnsi="Calibri" w:cs="Calibri"/>
                <w:lang w:eastAsia="hr-HR"/>
              </w:rPr>
            </w:pPr>
            <w:r w:rsidRPr="001752B7">
              <w:rPr>
                <w:rFonts w:ascii="Calibri" w:eastAsia="Times New Roman" w:hAnsi="Calibri" w:cs="Calibri"/>
                <w:lang w:eastAsia="hr-HR"/>
              </w:rPr>
              <w:t> </w:t>
            </w:r>
          </w:p>
        </w:tc>
        <w:tc>
          <w:tcPr>
            <w:tcW w:w="614" w:type="dxa"/>
            <w:tcBorders>
              <w:top w:val="nil"/>
              <w:left w:val="nil"/>
              <w:bottom w:val="single" w:sz="4" w:space="0" w:color="auto"/>
              <w:right w:val="single" w:sz="4" w:space="0" w:color="auto"/>
            </w:tcBorders>
            <w:shd w:val="clear" w:color="000000" w:fill="FFFF99"/>
            <w:vAlign w:val="center"/>
            <w:hideMark/>
          </w:tcPr>
          <w:p w14:paraId="6BAA532B" w14:textId="77777777" w:rsidR="001752B7" w:rsidRPr="001752B7" w:rsidRDefault="001752B7" w:rsidP="001752B7">
            <w:pPr>
              <w:spacing w:after="0" w:line="240" w:lineRule="auto"/>
              <w:jc w:val="right"/>
              <w:rPr>
                <w:rFonts w:ascii="Calibri" w:eastAsia="Times New Roman" w:hAnsi="Calibri" w:cs="Calibri"/>
                <w:lang w:eastAsia="hr-HR"/>
              </w:rPr>
            </w:pPr>
            <w:r w:rsidRPr="001752B7">
              <w:rPr>
                <w:rFonts w:ascii="Calibri" w:eastAsia="Times New Roman" w:hAnsi="Calibri" w:cs="Calibri"/>
                <w:lang w:eastAsia="hr-HR"/>
              </w:rPr>
              <w:t> </w:t>
            </w:r>
          </w:p>
        </w:tc>
        <w:tc>
          <w:tcPr>
            <w:tcW w:w="519" w:type="dxa"/>
            <w:tcBorders>
              <w:top w:val="nil"/>
              <w:left w:val="nil"/>
              <w:bottom w:val="single" w:sz="4" w:space="0" w:color="auto"/>
              <w:right w:val="single" w:sz="4" w:space="0" w:color="auto"/>
            </w:tcBorders>
            <w:shd w:val="clear" w:color="000000" w:fill="FF9900"/>
            <w:vAlign w:val="center"/>
            <w:hideMark/>
          </w:tcPr>
          <w:p w14:paraId="004591EF" w14:textId="77777777" w:rsidR="001752B7" w:rsidRPr="001752B7" w:rsidRDefault="001752B7" w:rsidP="001752B7">
            <w:pPr>
              <w:spacing w:after="0" w:line="240" w:lineRule="auto"/>
              <w:jc w:val="right"/>
              <w:rPr>
                <w:rFonts w:ascii="Calibri" w:eastAsia="Times New Roman" w:hAnsi="Calibri" w:cs="Calibri"/>
                <w:lang w:eastAsia="hr-HR"/>
              </w:rPr>
            </w:pPr>
            <w:r w:rsidRPr="001752B7">
              <w:rPr>
                <w:rFonts w:ascii="Calibri" w:eastAsia="Times New Roman" w:hAnsi="Calibri" w:cs="Calibri"/>
                <w:lang w:eastAsia="hr-HR"/>
              </w:rPr>
              <w:t> </w:t>
            </w:r>
          </w:p>
        </w:tc>
        <w:tc>
          <w:tcPr>
            <w:tcW w:w="477" w:type="dxa"/>
            <w:tcBorders>
              <w:top w:val="nil"/>
              <w:left w:val="nil"/>
              <w:bottom w:val="single" w:sz="4" w:space="0" w:color="auto"/>
              <w:right w:val="single" w:sz="4" w:space="0" w:color="auto"/>
            </w:tcBorders>
            <w:shd w:val="clear" w:color="000000" w:fill="CCFFFF"/>
            <w:vAlign w:val="bottom"/>
            <w:hideMark/>
          </w:tcPr>
          <w:p w14:paraId="07FC344D" w14:textId="77777777" w:rsidR="001752B7" w:rsidRPr="001752B7" w:rsidRDefault="001752B7" w:rsidP="001752B7">
            <w:pPr>
              <w:spacing w:after="0" w:line="240" w:lineRule="auto"/>
              <w:jc w:val="right"/>
              <w:rPr>
                <w:rFonts w:ascii="Calibri" w:eastAsia="Times New Roman" w:hAnsi="Calibri" w:cs="Calibri"/>
                <w:lang w:eastAsia="hr-HR"/>
              </w:rPr>
            </w:pPr>
            <w:r w:rsidRPr="001752B7">
              <w:rPr>
                <w:rFonts w:ascii="Calibri" w:eastAsia="Times New Roman" w:hAnsi="Calibri" w:cs="Calibri"/>
                <w:lang w:eastAsia="hr-HR"/>
              </w:rPr>
              <w:t> </w:t>
            </w:r>
          </w:p>
        </w:tc>
        <w:tc>
          <w:tcPr>
            <w:tcW w:w="506" w:type="dxa"/>
            <w:tcBorders>
              <w:top w:val="nil"/>
              <w:left w:val="nil"/>
              <w:bottom w:val="single" w:sz="4" w:space="0" w:color="auto"/>
              <w:right w:val="single" w:sz="4" w:space="0" w:color="auto"/>
            </w:tcBorders>
            <w:shd w:val="clear" w:color="000000" w:fill="CCFFFF"/>
            <w:vAlign w:val="bottom"/>
            <w:hideMark/>
          </w:tcPr>
          <w:p w14:paraId="716F2378" w14:textId="77777777" w:rsidR="001752B7" w:rsidRPr="001752B7" w:rsidRDefault="001752B7" w:rsidP="001752B7">
            <w:pPr>
              <w:spacing w:after="0" w:line="240" w:lineRule="auto"/>
              <w:jc w:val="right"/>
              <w:rPr>
                <w:rFonts w:ascii="Calibri" w:eastAsia="Times New Roman" w:hAnsi="Calibri" w:cs="Calibri"/>
                <w:lang w:eastAsia="hr-HR"/>
              </w:rPr>
            </w:pPr>
            <w:r w:rsidRPr="001752B7">
              <w:rPr>
                <w:rFonts w:ascii="Calibri" w:eastAsia="Times New Roman" w:hAnsi="Calibri" w:cs="Calibri"/>
                <w:lang w:eastAsia="hr-HR"/>
              </w:rPr>
              <w:t> </w:t>
            </w:r>
          </w:p>
        </w:tc>
        <w:tc>
          <w:tcPr>
            <w:tcW w:w="485" w:type="dxa"/>
            <w:tcBorders>
              <w:top w:val="nil"/>
              <w:left w:val="nil"/>
              <w:bottom w:val="single" w:sz="4" w:space="0" w:color="auto"/>
              <w:right w:val="single" w:sz="4" w:space="0" w:color="auto"/>
            </w:tcBorders>
            <w:shd w:val="clear" w:color="000000" w:fill="CCFFFF"/>
            <w:vAlign w:val="bottom"/>
            <w:hideMark/>
          </w:tcPr>
          <w:p w14:paraId="4FB0B555" w14:textId="77777777" w:rsidR="001752B7" w:rsidRPr="001752B7" w:rsidRDefault="001752B7" w:rsidP="001752B7">
            <w:pPr>
              <w:spacing w:after="0" w:line="240" w:lineRule="auto"/>
              <w:jc w:val="right"/>
              <w:rPr>
                <w:rFonts w:ascii="Calibri" w:eastAsia="Times New Roman" w:hAnsi="Calibri" w:cs="Calibri"/>
                <w:lang w:eastAsia="hr-HR"/>
              </w:rPr>
            </w:pPr>
            <w:r w:rsidRPr="001752B7">
              <w:rPr>
                <w:rFonts w:ascii="Calibri" w:eastAsia="Times New Roman" w:hAnsi="Calibri" w:cs="Calibri"/>
                <w:lang w:eastAsia="hr-HR"/>
              </w:rPr>
              <w:t> </w:t>
            </w:r>
          </w:p>
        </w:tc>
        <w:tc>
          <w:tcPr>
            <w:tcW w:w="561" w:type="dxa"/>
            <w:tcBorders>
              <w:top w:val="nil"/>
              <w:left w:val="nil"/>
              <w:bottom w:val="single" w:sz="4" w:space="0" w:color="auto"/>
              <w:right w:val="nil"/>
            </w:tcBorders>
            <w:shd w:val="clear" w:color="000000" w:fill="33CCCC"/>
            <w:noWrap/>
            <w:vAlign w:val="bottom"/>
            <w:hideMark/>
          </w:tcPr>
          <w:p w14:paraId="49296D72" w14:textId="77777777" w:rsidR="001752B7" w:rsidRPr="001752B7" w:rsidRDefault="001752B7" w:rsidP="001752B7">
            <w:pPr>
              <w:spacing w:after="0" w:line="240" w:lineRule="auto"/>
              <w:jc w:val="right"/>
              <w:rPr>
                <w:rFonts w:ascii="Calibri" w:eastAsia="Times New Roman" w:hAnsi="Calibri" w:cs="Calibri"/>
                <w:lang w:eastAsia="hr-HR"/>
              </w:rPr>
            </w:pPr>
            <w:r w:rsidRPr="001752B7">
              <w:rPr>
                <w:rFonts w:ascii="Calibri" w:eastAsia="Times New Roman" w:hAnsi="Calibri" w:cs="Calibri"/>
                <w:lang w:eastAsia="hr-HR"/>
              </w:rPr>
              <w:t> </w:t>
            </w:r>
          </w:p>
        </w:tc>
        <w:tc>
          <w:tcPr>
            <w:tcW w:w="595" w:type="dxa"/>
            <w:tcBorders>
              <w:top w:val="nil"/>
              <w:left w:val="single" w:sz="4" w:space="0" w:color="auto"/>
              <w:bottom w:val="single" w:sz="4" w:space="0" w:color="auto"/>
              <w:right w:val="single" w:sz="8" w:space="0" w:color="auto"/>
            </w:tcBorders>
            <w:shd w:val="clear" w:color="000000" w:fill="33CCCC"/>
            <w:noWrap/>
            <w:vAlign w:val="bottom"/>
            <w:hideMark/>
          </w:tcPr>
          <w:p w14:paraId="55589A03" w14:textId="77777777" w:rsidR="001752B7" w:rsidRPr="001752B7" w:rsidRDefault="001752B7" w:rsidP="001752B7">
            <w:pPr>
              <w:spacing w:after="0" w:line="240" w:lineRule="auto"/>
              <w:jc w:val="right"/>
              <w:rPr>
                <w:rFonts w:ascii="Calibri" w:eastAsia="Times New Roman" w:hAnsi="Calibri" w:cs="Calibri"/>
                <w:lang w:eastAsia="hr-HR"/>
              </w:rPr>
            </w:pPr>
            <w:r w:rsidRPr="001752B7">
              <w:rPr>
                <w:rFonts w:ascii="Calibri" w:eastAsia="Times New Roman" w:hAnsi="Calibri" w:cs="Calibri"/>
                <w:lang w:eastAsia="hr-HR"/>
              </w:rPr>
              <w:t> </w:t>
            </w:r>
          </w:p>
        </w:tc>
        <w:tc>
          <w:tcPr>
            <w:tcW w:w="266" w:type="dxa"/>
            <w:gridSpan w:val="3"/>
            <w:vAlign w:val="center"/>
            <w:hideMark/>
          </w:tcPr>
          <w:p w14:paraId="431938A3" w14:textId="77777777" w:rsidR="001752B7" w:rsidRPr="001752B7" w:rsidRDefault="001752B7" w:rsidP="001752B7">
            <w:pPr>
              <w:spacing w:after="0" w:line="240" w:lineRule="auto"/>
              <w:rPr>
                <w:rFonts w:ascii="Times New Roman" w:eastAsia="Times New Roman" w:hAnsi="Times New Roman" w:cs="Times New Roman"/>
                <w:sz w:val="20"/>
                <w:szCs w:val="20"/>
                <w:lang w:eastAsia="hr-HR"/>
              </w:rPr>
            </w:pPr>
          </w:p>
        </w:tc>
      </w:tr>
      <w:tr w:rsidR="001752B7" w:rsidRPr="001752B7" w14:paraId="2B0CB9EE" w14:textId="77777777" w:rsidTr="000271A1">
        <w:trPr>
          <w:trHeight w:val="300"/>
        </w:trPr>
        <w:tc>
          <w:tcPr>
            <w:tcW w:w="1404" w:type="dxa"/>
            <w:tcBorders>
              <w:top w:val="single" w:sz="4" w:space="0" w:color="auto"/>
              <w:left w:val="single" w:sz="8" w:space="0" w:color="auto"/>
              <w:bottom w:val="single" w:sz="4" w:space="0" w:color="auto"/>
              <w:right w:val="single" w:sz="4" w:space="0" w:color="auto"/>
            </w:tcBorders>
            <w:shd w:val="clear" w:color="000000" w:fill="CCFFCC"/>
            <w:vAlign w:val="center"/>
            <w:hideMark/>
          </w:tcPr>
          <w:p w14:paraId="1293ECEE" w14:textId="77777777" w:rsidR="001752B7" w:rsidRPr="001752B7" w:rsidRDefault="001752B7" w:rsidP="001752B7">
            <w:pPr>
              <w:spacing w:after="0" w:line="240" w:lineRule="auto"/>
              <w:rPr>
                <w:rFonts w:ascii="Calibri" w:eastAsia="Times New Roman" w:hAnsi="Calibri" w:cs="Calibri"/>
                <w:lang w:eastAsia="hr-HR"/>
              </w:rPr>
            </w:pPr>
            <w:r w:rsidRPr="001752B7">
              <w:rPr>
                <w:rFonts w:ascii="Calibri" w:eastAsia="Times New Roman" w:hAnsi="Calibri" w:cs="Calibri"/>
                <w:lang w:eastAsia="hr-HR"/>
              </w:rPr>
              <w:t>Rodni identitet   rodno izražavanje</w:t>
            </w:r>
          </w:p>
        </w:tc>
        <w:tc>
          <w:tcPr>
            <w:tcW w:w="545" w:type="dxa"/>
            <w:tcBorders>
              <w:top w:val="nil"/>
              <w:left w:val="nil"/>
              <w:bottom w:val="single" w:sz="4" w:space="0" w:color="auto"/>
              <w:right w:val="single" w:sz="4" w:space="0" w:color="auto"/>
            </w:tcBorders>
            <w:shd w:val="clear" w:color="000000" w:fill="CCFFCC"/>
            <w:vAlign w:val="center"/>
            <w:hideMark/>
          </w:tcPr>
          <w:p w14:paraId="4FF51537" w14:textId="77777777" w:rsidR="001752B7" w:rsidRPr="001752B7" w:rsidRDefault="001752B7" w:rsidP="001752B7">
            <w:pPr>
              <w:spacing w:after="0" w:line="240" w:lineRule="auto"/>
              <w:jc w:val="right"/>
              <w:rPr>
                <w:rFonts w:ascii="Calibri" w:eastAsia="Times New Roman" w:hAnsi="Calibri" w:cs="Calibri"/>
                <w:lang w:eastAsia="hr-HR"/>
              </w:rPr>
            </w:pPr>
            <w:r w:rsidRPr="001752B7">
              <w:rPr>
                <w:rFonts w:ascii="Calibri" w:eastAsia="Times New Roman" w:hAnsi="Calibri" w:cs="Calibri"/>
                <w:lang w:eastAsia="hr-HR"/>
              </w:rPr>
              <w:t>1</w:t>
            </w:r>
          </w:p>
        </w:tc>
        <w:tc>
          <w:tcPr>
            <w:tcW w:w="573" w:type="dxa"/>
            <w:tcBorders>
              <w:top w:val="nil"/>
              <w:left w:val="nil"/>
              <w:bottom w:val="single" w:sz="4" w:space="0" w:color="auto"/>
              <w:right w:val="single" w:sz="4" w:space="0" w:color="auto"/>
            </w:tcBorders>
            <w:shd w:val="clear" w:color="000000" w:fill="FFCC99"/>
            <w:noWrap/>
            <w:vAlign w:val="bottom"/>
            <w:hideMark/>
          </w:tcPr>
          <w:p w14:paraId="083BC603" w14:textId="77777777" w:rsidR="001752B7" w:rsidRPr="001752B7" w:rsidRDefault="001752B7" w:rsidP="001752B7">
            <w:pPr>
              <w:spacing w:after="0" w:line="240" w:lineRule="auto"/>
              <w:jc w:val="right"/>
              <w:rPr>
                <w:rFonts w:ascii="Calibri" w:eastAsia="Times New Roman" w:hAnsi="Calibri" w:cs="Calibri"/>
                <w:lang w:eastAsia="hr-HR"/>
              </w:rPr>
            </w:pPr>
            <w:r w:rsidRPr="001752B7">
              <w:rPr>
                <w:rFonts w:ascii="Calibri" w:eastAsia="Times New Roman" w:hAnsi="Calibri" w:cs="Calibri"/>
                <w:lang w:eastAsia="hr-HR"/>
              </w:rPr>
              <w:t>1</w:t>
            </w:r>
          </w:p>
        </w:tc>
        <w:tc>
          <w:tcPr>
            <w:tcW w:w="855" w:type="dxa"/>
            <w:tcBorders>
              <w:top w:val="nil"/>
              <w:left w:val="nil"/>
              <w:bottom w:val="single" w:sz="4" w:space="0" w:color="auto"/>
              <w:right w:val="single" w:sz="4" w:space="0" w:color="auto"/>
            </w:tcBorders>
            <w:shd w:val="clear" w:color="000000" w:fill="CCFFFF"/>
            <w:noWrap/>
            <w:vAlign w:val="bottom"/>
            <w:hideMark/>
          </w:tcPr>
          <w:p w14:paraId="78280B32" w14:textId="77777777" w:rsidR="001752B7" w:rsidRPr="001752B7" w:rsidRDefault="001752B7" w:rsidP="001752B7">
            <w:pPr>
              <w:spacing w:after="0" w:line="240" w:lineRule="auto"/>
              <w:jc w:val="right"/>
              <w:rPr>
                <w:rFonts w:ascii="Calibri" w:eastAsia="Times New Roman" w:hAnsi="Calibri" w:cs="Calibri"/>
                <w:lang w:eastAsia="hr-HR"/>
              </w:rPr>
            </w:pPr>
            <w:r w:rsidRPr="001752B7">
              <w:rPr>
                <w:rFonts w:ascii="Calibri" w:eastAsia="Times New Roman" w:hAnsi="Calibri" w:cs="Calibri"/>
                <w:lang w:eastAsia="hr-HR"/>
              </w:rPr>
              <w:t>1</w:t>
            </w:r>
          </w:p>
        </w:tc>
        <w:tc>
          <w:tcPr>
            <w:tcW w:w="638" w:type="dxa"/>
            <w:tcBorders>
              <w:top w:val="nil"/>
              <w:left w:val="nil"/>
              <w:bottom w:val="single" w:sz="4" w:space="0" w:color="auto"/>
              <w:right w:val="single" w:sz="4" w:space="0" w:color="auto"/>
            </w:tcBorders>
            <w:shd w:val="clear" w:color="000000" w:fill="CCFFFF"/>
            <w:noWrap/>
            <w:vAlign w:val="bottom"/>
            <w:hideMark/>
          </w:tcPr>
          <w:p w14:paraId="33428084" w14:textId="77777777" w:rsidR="001752B7" w:rsidRPr="001752B7" w:rsidRDefault="001752B7" w:rsidP="001752B7">
            <w:pPr>
              <w:spacing w:after="0" w:line="240" w:lineRule="auto"/>
              <w:jc w:val="right"/>
              <w:rPr>
                <w:rFonts w:ascii="Calibri" w:eastAsia="Times New Roman" w:hAnsi="Calibri" w:cs="Calibri"/>
                <w:lang w:eastAsia="hr-HR"/>
              </w:rPr>
            </w:pPr>
            <w:r w:rsidRPr="001752B7">
              <w:rPr>
                <w:rFonts w:ascii="Calibri" w:eastAsia="Times New Roman" w:hAnsi="Calibri" w:cs="Calibri"/>
                <w:lang w:eastAsia="hr-HR"/>
              </w:rPr>
              <w:t> </w:t>
            </w:r>
          </w:p>
        </w:tc>
        <w:tc>
          <w:tcPr>
            <w:tcW w:w="580" w:type="dxa"/>
            <w:tcBorders>
              <w:top w:val="nil"/>
              <w:left w:val="nil"/>
              <w:bottom w:val="single" w:sz="4" w:space="0" w:color="auto"/>
              <w:right w:val="single" w:sz="4" w:space="0" w:color="auto"/>
            </w:tcBorders>
            <w:shd w:val="clear" w:color="000000" w:fill="FFFF99"/>
            <w:noWrap/>
            <w:vAlign w:val="bottom"/>
            <w:hideMark/>
          </w:tcPr>
          <w:p w14:paraId="19490B77" w14:textId="77777777" w:rsidR="001752B7" w:rsidRPr="001752B7" w:rsidRDefault="001752B7" w:rsidP="001752B7">
            <w:pPr>
              <w:spacing w:after="0" w:line="240" w:lineRule="auto"/>
              <w:jc w:val="right"/>
              <w:rPr>
                <w:rFonts w:ascii="Calibri" w:eastAsia="Times New Roman" w:hAnsi="Calibri" w:cs="Calibri"/>
                <w:lang w:eastAsia="hr-HR"/>
              </w:rPr>
            </w:pPr>
            <w:r w:rsidRPr="001752B7">
              <w:rPr>
                <w:rFonts w:ascii="Calibri" w:eastAsia="Times New Roman" w:hAnsi="Calibri" w:cs="Calibri"/>
                <w:lang w:eastAsia="hr-HR"/>
              </w:rPr>
              <w:t> </w:t>
            </w:r>
          </w:p>
        </w:tc>
        <w:tc>
          <w:tcPr>
            <w:tcW w:w="447" w:type="dxa"/>
            <w:tcBorders>
              <w:top w:val="nil"/>
              <w:left w:val="nil"/>
              <w:bottom w:val="single" w:sz="4" w:space="0" w:color="auto"/>
              <w:right w:val="single" w:sz="4" w:space="0" w:color="auto"/>
            </w:tcBorders>
            <w:shd w:val="clear" w:color="000000" w:fill="FFFF99"/>
            <w:noWrap/>
            <w:vAlign w:val="bottom"/>
            <w:hideMark/>
          </w:tcPr>
          <w:p w14:paraId="2249A0F6" w14:textId="77777777" w:rsidR="001752B7" w:rsidRPr="001752B7" w:rsidRDefault="001752B7" w:rsidP="001752B7">
            <w:pPr>
              <w:spacing w:after="0" w:line="240" w:lineRule="auto"/>
              <w:jc w:val="right"/>
              <w:rPr>
                <w:rFonts w:ascii="Calibri" w:eastAsia="Times New Roman" w:hAnsi="Calibri" w:cs="Calibri"/>
                <w:lang w:eastAsia="hr-HR"/>
              </w:rPr>
            </w:pPr>
            <w:r w:rsidRPr="001752B7">
              <w:rPr>
                <w:rFonts w:ascii="Calibri" w:eastAsia="Times New Roman" w:hAnsi="Calibri" w:cs="Calibri"/>
                <w:lang w:eastAsia="hr-HR"/>
              </w:rPr>
              <w:t>1</w:t>
            </w:r>
          </w:p>
        </w:tc>
        <w:tc>
          <w:tcPr>
            <w:tcW w:w="447" w:type="dxa"/>
            <w:tcBorders>
              <w:top w:val="nil"/>
              <w:left w:val="nil"/>
              <w:bottom w:val="single" w:sz="4" w:space="0" w:color="auto"/>
              <w:right w:val="single" w:sz="4" w:space="0" w:color="auto"/>
            </w:tcBorders>
            <w:shd w:val="clear" w:color="000000" w:fill="FFFF99"/>
            <w:noWrap/>
            <w:vAlign w:val="bottom"/>
            <w:hideMark/>
          </w:tcPr>
          <w:p w14:paraId="7DB0B0D7" w14:textId="77777777" w:rsidR="001752B7" w:rsidRPr="001752B7" w:rsidRDefault="001752B7" w:rsidP="001752B7">
            <w:pPr>
              <w:spacing w:after="0" w:line="240" w:lineRule="auto"/>
              <w:jc w:val="right"/>
              <w:rPr>
                <w:rFonts w:ascii="Calibri" w:eastAsia="Times New Roman" w:hAnsi="Calibri" w:cs="Calibri"/>
                <w:lang w:eastAsia="hr-HR"/>
              </w:rPr>
            </w:pPr>
            <w:r w:rsidRPr="001752B7">
              <w:rPr>
                <w:rFonts w:ascii="Calibri" w:eastAsia="Times New Roman" w:hAnsi="Calibri" w:cs="Calibri"/>
                <w:lang w:eastAsia="hr-HR"/>
              </w:rPr>
              <w:t> </w:t>
            </w:r>
          </w:p>
        </w:tc>
        <w:tc>
          <w:tcPr>
            <w:tcW w:w="447" w:type="dxa"/>
            <w:tcBorders>
              <w:top w:val="nil"/>
              <w:left w:val="nil"/>
              <w:bottom w:val="single" w:sz="4" w:space="0" w:color="auto"/>
              <w:right w:val="single" w:sz="4" w:space="0" w:color="auto"/>
            </w:tcBorders>
            <w:shd w:val="clear" w:color="000000" w:fill="FFFF99"/>
            <w:noWrap/>
            <w:vAlign w:val="bottom"/>
            <w:hideMark/>
          </w:tcPr>
          <w:p w14:paraId="7E7D2023" w14:textId="77777777" w:rsidR="001752B7" w:rsidRPr="001752B7" w:rsidRDefault="001752B7" w:rsidP="001752B7">
            <w:pPr>
              <w:spacing w:after="0" w:line="240" w:lineRule="auto"/>
              <w:jc w:val="right"/>
              <w:rPr>
                <w:rFonts w:ascii="Calibri" w:eastAsia="Times New Roman" w:hAnsi="Calibri" w:cs="Calibri"/>
                <w:lang w:eastAsia="hr-HR"/>
              </w:rPr>
            </w:pPr>
            <w:r w:rsidRPr="001752B7">
              <w:rPr>
                <w:rFonts w:ascii="Calibri" w:eastAsia="Times New Roman" w:hAnsi="Calibri" w:cs="Calibri"/>
                <w:lang w:eastAsia="hr-HR"/>
              </w:rPr>
              <w:t> </w:t>
            </w:r>
          </w:p>
        </w:tc>
        <w:tc>
          <w:tcPr>
            <w:tcW w:w="447" w:type="dxa"/>
            <w:tcBorders>
              <w:top w:val="nil"/>
              <w:left w:val="nil"/>
              <w:bottom w:val="single" w:sz="4" w:space="0" w:color="auto"/>
              <w:right w:val="single" w:sz="4" w:space="0" w:color="auto"/>
            </w:tcBorders>
            <w:shd w:val="clear" w:color="000000" w:fill="FFFF99"/>
            <w:noWrap/>
            <w:vAlign w:val="bottom"/>
            <w:hideMark/>
          </w:tcPr>
          <w:p w14:paraId="2146DE9F" w14:textId="77777777" w:rsidR="001752B7" w:rsidRPr="001752B7" w:rsidRDefault="001752B7" w:rsidP="001752B7">
            <w:pPr>
              <w:spacing w:after="0" w:line="240" w:lineRule="auto"/>
              <w:jc w:val="right"/>
              <w:rPr>
                <w:rFonts w:ascii="Calibri" w:eastAsia="Times New Roman" w:hAnsi="Calibri" w:cs="Calibri"/>
                <w:lang w:eastAsia="hr-HR"/>
              </w:rPr>
            </w:pPr>
            <w:r w:rsidRPr="001752B7">
              <w:rPr>
                <w:rFonts w:ascii="Calibri" w:eastAsia="Times New Roman" w:hAnsi="Calibri" w:cs="Calibri"/>
                <w:lang w:eastAsia="hr-HR"/>
              </w:rPr>
              <w:t> </w:t>
            </w:r>
          </w:p>
        </w:tc>
        <w:tc>
          <w:tcPr>
            <w:tcW w:w="572" w:type="dxa"/>
            <w:tcBorders>
              <w:top w:val="nil"/>
              <w:left w:val="nil"/>
              <w:bottom w:val="single" w:sz="4" w:space="0" w:color="auto"/>
              <w:right w:val="single" w:sz="4" w:space="0" w:color="auto"/>
            </w:tcBorders>
            <w:shd w:val="clear" w:color="000000" w:fill="FF9900"/>
            <w:noWrap/>
            <w:vAlign w:val="bottom"/>
            <w:hideMark/>
          </w:tcPr>
          <w:p w14:paraId="36D72FA3" w14:textId="77777777" w:rsidR="001752B7" w:rsidRPr="001752B7" w:rsidRDefault="001752B7" w:rsidP="001752B7">
            <w:pPr>
              <w:spacing w:after="0" w:line="240" w:lineRule="auto"/>
              <w:jc w:val="right"/>
              <w:rPr>
                <w:rFonts w:ascii="Calibri" w:eastAsia="Times New Roman" w:hAnsi="Calibri" w:cs="Calibri"/>
                <w:lang w:eastAsia="hr-HR"/>
              </w:rPr>
            </w:pPr>
            <w:r w:rsidRPr="001752B7">
              <w:rPr>
                <w:rFonts w:ascii="Calibri" w:eastAsia="Times New Roman" w:hAnsi="Calibri" w:cs="Calibri"/>
                <w:lang w:eastAsia="hr-HR"/>
              </w:rPr>
              <w:t>1</w:t>
            </w:r>
          </w:p>
        </w:tc>
        <w:tc>
          <w:tcPr>
            <w:tcW w:w="467" w:type="dxa"/>
            <w:tcBorders>
              <w:top w:val="nil"/>
              <w:left w:val="nil"/>
              <w:bottom w:val="single" w:sz="4" w:space="0" w:color="auto"/>
              <w:right w:val="single" w:sz="4" w:space="0" w:color="auto"/>
            </w:tcBorders>
            <w:shd w:val="clear" w:color="000000" w:fill="FF9900"/>
            <w:noWrap/>
            <w:vAlign w:val="bottom"/>
            <w:hideMark/>
          </w:tcPr>
          <w:p w14:paraId="784B4AB1" w14:textId="77777777" w:rsidR="001752B7" w:rsidRPr="001752B7" w:rsidRDefault="001752B7" w:rsidP="001752B7">
            <w:pPr>
              <w:spacing w:after="0" w:line="240" w:lineRule="auto"/>
              <w:jc w:val="right"/>
              <w:rPr>
                <w:rFonts w:ascii="Calibri" w:eastAsia="Times New Roman" w:hAnsi="Calibri" w:cs="Calibri"/>
                <w:lang w:eastAsia="hr-HR"/>
              </w:rPr>
            </w:pPr>
            <w:r w:rsidRPr="001752B7">
              <w:rPr>
                <w:rFonts w:ascii="Calibri" w:eastAsia="Times New Roman" w:hAnsi="Calibri" w:cs="Calibri"/>
                <w:lang w:eastAsia="hr-HR"/>
              </w:rPr>
              <w:t> </w:t>
            </w:r>
          </w:p>
        </w:tc>
        <w:tc>
          <w:tcPr>
            <w:tcW w:w="579" w:type="dxa"/>
            <w:tcBorders>
              <w:top w:val="nil"/>
              <w:left w:val="nil"/>
              <w:bottom w:val="single" w:sz="4" w:space="0" w:color="auto"/>
              <w:right w:val="single" w:sz="4" w:space="0" w:color="auto"/>
            </w:tcBorders>
            <w:shd w:val="clear" w:color="000000" w:fill="FF9900"/>
            <w:noWrap/>
            <w:vAlign w:val="bottom"/>
            <w:hideMark/>
          </w:tcPr>
          <w:p w14:paraId="7B7D5744" w14:textId="77777777" w:rsidR="001752B7" w:rsidRPr="001752B7" w:rsidRDefault="001752B7" w:rsidP="001752B7">
            <w:pPr>
              <w:spacing w:after="0" w:line="240" w:lineRule="auto"/>
              <w:jc w:val="right"/>
              <w:rPr>
                <w:rFonts w:ascii="Calibri" w:eastAsia="Times New Roman" w:hAnsi="Calibri" w:cs="Calibri"/>
                <w:lang w:eastAsia="hr-HR"/>
              </w:rPr>
            </w:pPr>
            <w:r w:rsidRPr="001752B7">
              <w:rPr>
                <w:rFonts w:ascii="Calibri" w:eastAsia="Times New Roman" w:hAnsi="Calibri" w:cs="Calibri"/>
                <w:lang w:eastAsia="hr-HR"/>
              </w:rPr>
              <w:t> </w:t>
            </w:r>
          </w:p>
        </w:tc>
        <w:tc>
          <w:tcPr>
            <w:tcW w:w="447" w:type="dxa"/>
            <w:tcBorders>
              <w:top w:val="nil"/>
              <w:left w:val="nil"/>
              <w:bottom w:val="single" w:sz="4" w:space="0" w:color="auto"/>
              <w:right w:val="single" w:sz="4" w:space="0" w:color="auto"/>
            </w:tcBorders>
            <w:shd w:val="clear" w:color="000000" w:fill="66FFCC"/>
            <w:noWrap/>
            <w:vAlign w:val="bottom"/>
            <w:hideMark/>
          </w:tcPr>
          <w:p w14:paraId="1289CC5C" w14:textId="77777777" w:rsidR="001752B7" w:rsidRPr="001752B7" w:rsidRDefault="001752B7" w:rsidP="001752B7">
            <w:pPr>
              <w:spacing w:after="0" w:line="240" w:lineRule="auto"/>
              <w:jc w:val="right"/>
              <w:rPr>
                <w:rFonts w:ascii="Calibri" w:eastAsia="Times New Roman" w:hAnsi="Calibri" w:cs="Calibri"/>
                <w:lang w:eastAsia="hr-HR"/>
              </w:rPr>
            </w:pPr>
            <w:r w:rsidRPr="001752B7">
              <w:rPr>
                <w:rFonts w:ascii="Calibri" w:eastAsia="Times New Roman" w:hAnsi="Calibri" w:cs="Calibri"/>
                <w:lang w:eastAsia="hr-HR"/>
              </w:rPr>
              <w:t> </w:t>
            </w:r>
          </w:p>
        </w:tc>
        <w:tc>
          <w:tcPr>
            <w:tcW w:w="447" w:type="dxa"/>
            <w:tcBorders>
              <w:top w:val="nil"/>
              <w:left w:val="nil"/>
              <w:bottom w:val="single" w:sz="4" w:space="0" w:color="auto"/>
              <w:right w:val="single" w:sz="4" w:space="0" w:color="auto"/>
            </w:tcBorders>
            <w:shd w:val="clear" w:color="000000" w:fill="66FFCC"/>
            <w:noWrap/>
            <w:vAlign w:val="bottom"/>
            <w:hideMark/>
          </w:tcPr>
          <w:p w14:paraId="4B719440" w14:textId="77777777" w:rsidR="001752B7" w:rsidRPr="001752B7" w:rsidRDefault="001752B7" w:rsidP="001752B7">
            <w:pPr>
              <w:spacing w:after="0" w:line="240" w:lineRule="auto"/>
              <w:jc w:val="right"/>
              <w:rPr>
                <w:rFonts w:ascii="Calibri" w:eastAsia="Times New Roman" w:hAnsi="Calibri" w:cs="Calibri"/>
                <w:lang w:eastAsia="hr-HR"/>
              </w:rPr>
            </w:pPr>
            <w:r w:rsidRPr="001752B7">
              <w:rPr>
                <w:rFonts w:ascii="Calibri" w:eastAsia="Times New Roman" w:hAnsi="Calibri" w:cs="Calibri"/>
                <w:lang w:eastAsia="hr-HR"/>
              </w:rPr>
              <w:t>1</w:t>
            </w:r>
          </w:p>
        </w:tc>
        <w:tc>
          <w:tcPr>
            <w:tcW w:w="698" w:type="dxa"/>
            <w:tcBorders>
              <w:top w:val="nil"/>
              <w:left w:val="nil"/>
              <w:bottom w:val="single" w:sz="4" w:space="0" w:color="auto"/>
              <w:right w:val="single" w:sz="4" w:space="0" w:color="auto"/>
            </w:tcBorders>
            <w:shd w:val="clear" w:color="000000" w:fill="66FFCC"/>
            <w:noWrap/>
            <w:vAlign w:val="bottom"/>
            <w:hideMark/>
          </w:tcPr>
          <w:p w14:paraId="5F51493E" w14:textId="77777777" w:rsidR="001752B7" w:rsidRPr="001752B7" w:rsidRDefault="001752B7" w:rsidP="001752B7">
            <w:pPr>
              <w:spacing w:after="0" w:line="240" w:lineRule="auto"/>
              <w:jc w:val="right"/>
              <w:rPr>
                <w:rFonts w:ascii="Calibri" w:eastAsia="Times New Roman" w:hAnsi="Calibri" w:cs="Calibri"/>
                <w:lang w:eastAsia="hr-HR"/>
              </w:rPr>
            </w:pPr>
            <w:r w:rsidRPr="001752B7">
              <w:rPr>
                <w:rFonts w:ascii="Calibri" w:eastAsia="Times New Roman" w:hAnsi="Calibri" w:cs="Calibri"/>
                <w:lang w:eastAsia="hr-HR"/>
              </w:rPr>
              <w:t> </w:t>
            </w:r>
          </w:p>
        </w:tc>
        <w:tc>
          <w:tcPr>
            <w:tcW w:w="447" w:type="dxa"/>
            <w:tcBorders>
              <w:top w:val="nil"/>
              <w:left w:val="nil"/>
              <w:bottom w:val="single" w:sz="4" w:space="0" w:color="auto"/>
              <w:right w:val="single" w:sz="4" w:space="0" w:color="auto"/>
            </w:tcBorders>
            <w:shd w:val="clear" w:color="000000" w:fill="66FFCC"/>
            <w:noWrap/>
            <w:vAlign w:val="bottom"/>
            <w:hideMark/>
          </w:tcPr>
          <w:p w14:paraId="4C73C23D" w14:textId="77777777" w:rsidR="001752B7" w:rsidRPr="001752B7" w:rsidRDefault="001752B7" w:rsidP="001752B7">
            <w:pPr>
              <w:spacing w:after="0" w:line="240" w:lineRule="auto"/>
              <w:jc w:val="right"/>
              <w:rPr>
                <w:rFonts w:ascii="Calibri" w:eastAsia="Times New Roman" w:hAnsi="Calibri" w:cs="Calibri"/>
                <w:lang w:eastAsia="hr-HR"/>
              </w:rPr>
            </w:pPr>
            <w:r w:rsidRPr="001752B7">
              <w:rPr>
                <w:rFonts w:ascii="Calibri" w:eastAsia="Times New Roman" w:hAnsi="Calibri" w:cs="Calibri"/>
                <w:lang w:eastAsia="hr-HR"/>
              </w:rPr>
              <w:t>1</w:t>
            </w:r>
          </w:p>
        </w:tc>
        <w:tc>
          <w:tcPr>
            <w:tcW w:w="652" w:type="dxa"/>
            <w:tcBorders>
              <w:top w:val="nil"/>
              <w:left w:val="nil"/>
              <w:bottom w:val="single" w:sz="4" w:space="0" w:color="auto"/>
              <w:right w:val="single" w:sz="4" w:space="0" w:color="auto"/>
            </w:tcBorders>
            <w:shd w:val="clear" w:color="000000" w:fill="FFFF00"/>
            <w:vAlign w:val="center"/>
            <w:hideMark/>
          </w:tcPr>
          <w:p w14:paraId="0FEF7B86" w14:textId="77777777" w:rsidR="001752B7" w:rsidRPr="001752B7" w:rsidRDefault="001752B7" w:rsidP="001752B7">
            <w:pPr>
              <w:spacing w:after="0" w:line="240" w:lineRule="auto"/>
              <w:jc w:val="right"/>
              <w:rPr>
                <w:rFonts w:ascii="Calibri" w:eastAsia="Times New Roman" w:hAnsi="Calibri" w:cs="Calibri"/>
                <w:lang w:eastAsia="hr-HR"/>
              </w:rPr>
            </w:pPr>
            <w:r w:rsidRPr="001752B7">
              <w:rPr>
                <w:rFonts w:ascii="Calibri" w:eastAsia="Times New Roman" w:hAnsi="Calibri" w:cs="Calibri"/>
                <w:lang w:eastAsia="hr-HR"/>
              </w:rPr>
              <w:t>1</w:t>
            </w:r>
          </w:p>
        </w:tc>
        <w:tc>
          <w:tcPr>
            <w:tcW w:w="614" w:type="dxa"/>
            <w:tcBorders>
              <w:top w:val="nil"/>
              <w:left w:val="nil"/>
              <w:bottom w:val="single" w:sz="4" w:space="0" w:color="auto"/>
              <w:right w:val="single" w:sz="4" w:space="0" w:color="auto"/>
            </w:tcBorders>
            <w:shd w:val="clear" w:color="000000" w:fill="FFFF99"/>
            <w:vAlign w:val="center"/>
            <w:hideMark/>
          </w:tcPr>
          <w:p w14:paraId="71628397" w14:textId="77777777" w:rsidR="001752B7" w:rsidRPr="001752B7" w:rsidRDefault="001752B7" w:rsidP="001752B7">
            <w:pPr>
              <w:spacing w:after="0" w:line="240" w:lineRule="auto"/>
              <w:jc w:val="right"/>
              <w:rPr>
                <w:rFonts w:ascii="Calibri" w:eastAsia="Times New Roman" w:hAnsi="Calibri" w:cs="Calibri"/>
                <w:lang w:eastAsia="hr-HR"/>
              </w:rPr>
            </w:pPr>
            <w:r w:rsidRPr="001752B7">
              <w:rPr>
                <w:rFonts w:ascii="Calibri" w:eastAsia="Times New Roman" w:hAnsi="Calibri" w:cs="Calibri"/>
                <w:lang w:eastAsia="hr-HR"/>
              </w:rPr>
              <w:t>1</w:t>
            </w:r>
          </w:p>
        </w:tc>
        <w:tc>
          <w:tcPr>
            <w:tcW w:w="519" w:type="dxa"/>
            <w:tcBorders>
              <w:top w:val="nil"/>
              <w:left w:val="nil"/>
              <w:bottom w:val="single" w:sz="4" w:space="0" w:color="auto"/>
              <w:right w:val="single" w:sz="4" w:space="0" w:color="auto"/>
            </w:tcBorders>
            <w:shd w:val="clear" w:color="000000" w:fill="FF9900"/>
            <w:vAlign w:val="center"/>
            <w:hideMark/>
          </w:tcPr>
          <w:p w14:paraId="6B5F35BC" w14:textId="77777777" w:rsidR="001752B7" w:rsidRPr="001752B7" w:rsidRDefault="001752B7" w:rsidP="001752B7">
            <w:pPr>
              <w:spacing w:after="0" w:line="240" w:lineRule="auto"/>
              <w:jc w:val="right"/>
              <w:rPr>
                <w:rFonts w:ascii="Calibri" w:eastAsia="Times New Roman" w:hAnsi="Calibri" w:cs="Calibri"/>
                <w:lang w:eastAsia="hr-HR"/>
              </w:rPr>
            </w:pPr>
            <w:r w:rsidRPr="001752B7">
              <w:rPr>
                <w:rFonts w:ascii="Calibri" w:eastAsia="Times New Roman" w:hAnsi="Calibri" w:cs="Calibri"/>
                <w:lang w:eastAsia="hr-HR"/>
              </w:rPr>
              <w:t>1</w:t>
            </w:r>
          </w:p>
        </w:tc>
        <w:tc>
          <w:tcPr>
            <w:tcW w:w="477" w:type="dxa"/>
            <w:tcBorders>
              <w:top w:val="nil"/>
              <w:left w:val="nil"/>
              <w:bottom w:val="single" w:sz="4" w:space="0" w:color="auto"/>
              <w:right w:val="single" w:sz="4" w:space="0" w:color="auto"/>
            </w:tcBorders>
            <w:shd w:val="clear" w:color="000000" w:fill="CCFFFF"/>
            <w:vAlign w:val="bottom"/>
            <w:hideMark/>
          </w:tcPr>
          <w:p w14:paraId="3E9D4D21" w14:textId="77777777" w:rsidR="001752B7" w:rsidRPr="001752B7" w:rsidRDefault="001752B7" w:rsidP="001752B7">
            <w:pPr>
              <w:spacing w:after="0" w:line="240" w:lineRule="auto"/>
              <w:jc w:val="right"/>
              <w:rPr>
                <w:rFonts w:ascii="Calibri" w:eastAsia="Times New Roman" w:hAnsi="Calibri" w:cs="Calibri"/>
                <w:lang w:eastAsia="hr-HR"/>
              </w:rPr>
            </w:pPr>
            <w:r w:rsidRPr="001752B7">
              <w:rPr>
                <w:rFonts w:ascii="Calibri" w:eastAsia="Times New Roman" w:hAnsi="Calibri" w:cs="Calibri"/>
                <w:lang w:eastAsia="hr-HR"/>
              </w:rPr>
              <w:t>1</w:t>
            </w:r>
          </w:p>
        </w:tc>
        <w:tc>
          <w:tcPr>
            <w:tcW w:w="506" w:type="dxa"/>
            <w:tcBorders>
              <w:top w:val="nil"/>
              <w:left w:val="nil"/>
              <w:bottom w:val="single" w:sz="4" w:space="0" w:color="auto"/>
              <w:right w:val="single" w:sz="4" w:space="0" w:color="auto"/>
            </w:tcBorders>
            <w:shd w:val="clear" w:color="000000" w:fill="CCFFFF"/>
            <w:vAlign w:val="bottom"/>
            <w:hideMark/>
          </w:tcPr>
          <w:p w14:paraId="33A4D11E" w14:textId="77777777" w:rsidR="001752B7" w:rsidRPr="001752B7" w:rsidRDefault="001752B7" w:rsidP="001752B7">
            <w:pPr>
              <w:spacing w:after="0" w:line="240" w:lineRule="auto"/>
              <w:jc w:val="right"/>
              <w:rPr>
                <w:rFonts w:ascii="Calibri" w:eastAsia="Times New Roman" w:hAnsi="Calibri" w:cs="Calibri"/>
                <w:lang w:eastAsia="hr-HR"/>
              </w:rPr>
            </w:pPr>
            <w:r w:rsidRPr="001752B7">
              <w:rPr>
                <w:rFonts w:ascii="Calibri" w:eastAsia="Times New Roman" w:hAnsi="Calibri" w:cs="Calibri"/>
                <w:lang w:eastAsia="hr-HR"/>
              </w:rPr>
              <w:t> </w:t>
            </w:r>
          </w:p>
        </w:tc>
        <w:tc>
          <w:tcPr>
            <w:tcW w:w="485" w:type="dxa"/>
            <w:tcBorders>
              <w:top w:val="nil"/>
              <w:left w:val="nil"/>
              <w:bottom w:val="single" w:sz="4" w:space="0" w:color="auto"/>
              <w:right w:val="single" w:sz="4" w:space="0" w:color="auto"/>
            </w:tcBorders>
            <w:shd w:val="clear" w:color="000000" w:fill="CCFFFF"/>
            <w:vAlign w:val="bottom"/>
            <w:hideMark/>
          </w:tcPr>
          <w:p w14:paraId="54F7357A" w14:textId="77777777" w:rsidR="001752B7" w:rsidRPr="001752B7" w:rsidRDefault="001752B7" w:rsidP="001752B7">
            <w:pPr>
              <w:spacing w:after="0" w:line="240" w:lineRule="auto"/>
              <w:jc w:val="right"/>
              <w:rPr>
                <w:rFonts w:ascii="Calibri" w:eastAsia="Times New Roman" w:hAnsi="Calibri" w:cs="Calibri"/>
                <w:lang w:eastAsia="hr-HR"/>
              </w:rPr>
            </w:pPr>
            <w:r w:rsidRPr="001752B7">
              <w:rPr>
                <w:rFonts w:ascii="Calibri" w:eastAsia="Times New Roman" w:hAnsi="Calibri" w:cs="Calibri"/>
                <w:lang w:eastAsia="hr-HR"/>
              </w:rPr>
              <w:t> </w:t>
            </w:r>
          </w:p>
        </w:tc>
        <w:tc>
          <w:tcPr>
            <w:tcW w:w="561" w:type="dxa"/>
            <w:tcBorders>
              <w:top w:val="nil"/>
              <w:left w:val="nil"/>
              <w:bottom w:val="single" w:sz="4" w:space="0" w:color="auto"/>
              <w:right w:val="nil"/>
            </w:tcBorders>
            <w:shd w:val="clear" w:color="000000" w:fill="33CCCC"/>
            <w:noWrap/>
            <w:vAlign w:val="bottom"/>
            <w:hideMark/>
          </w:tcPr>
          <w:p w14:paraId="2ACB7166" w14:textId="77777777" w:rsidR="001752B7" w:rsidRPr="001752B7" w:rsidRDefault="001752B7" w:rsidP="001752B7">
            <w:pPr>
              <w:spacing w:after="0" w:line="240" w:lineRule="auto"/>
              <w:jc w:val="right"/>
              <w:rPr>
                <w:rFonts w:ascii="Calibri" w:eastAsia="Times New Roman" w:hAnsi="Calibri" w:cs="Calibri"/>
                <w:lang w:eastAsia="hr-HR"/>
              </w:rPr>
            </w:pPr>
            <w:r w:rsidRPr="001752B7">
              <w:rPr>
                <w:rFonts w:ascii="Calibri" w:eastAsia="Times New Roman" w:hAnsi="Calibri" w:cs="Calibri"/>
                <w:lang w:eastAsia="hr-HR"/>
              </w:rPr>
              <w:t>1</w:t>
            </w:r>
          </w:p>
        </w:tc>
        <w:tc>
          <w:tcPr>
            <w:tcW w:w="595" w:type="dxa"/>
            <w:tcBorders>
              <w:top w:val="nil"/>
              <w:left w:val="single" w:sz="4" w:space="0" w:color="auto"/>
              <w:bottom w:val="single" w:sz="4" w:space="0" w:color="auto"/>
              <w:right w:val="single" w:sz="8" w:space="0" w:color="auto"/>
            </w:tcBorders>
            <w:shd w:val="clear" w:color="000000" w:fill="33CCCC"/>
            <w:noWrap/>
            <w:vAlign w:val="bottom"/>
            <w:hideMark/>
          </w:tcPr>
          <w:p w14:paraId="59CA14FE" w14:textId="77777777" w:rsidR="001752B7" w:rsidRPr="001752B7" w:rsidRDefault="001752B7" w:rsidP="001752B7">
            <w:pPr>
              <w:spacing w:after="0" w:line="240" w:lineRule="auto"/>
              <w:jc w:val="right"/>
              <w:rPr>
                <w:rFonts w:ascii="Calibri" w:eastAsia="Times New Roman" w:hAnsi="Calibri" w:cs="Calibri"/>
                <w:lang w:eastAsia="hr-HR"/>
              </w:rPr>
            </w:pPr>
            <w:r w:rsidRPr="001752B7">
              <w:rPr>
                <w:rFonts w:ascii="Calibri" w:eastAsia="Times New Roman" w:hAnsi="Calibri" w:cs="Calibri"/>
                <w:lang w:eastAsia="hr-HR"/>
              </w:rPr>
              <w:t> </w:t>
            </w:r>
          </w:p>
        </w:tc>
        <w:tc>
          <w:tcPr>
            <w:tcW w:w="266" w:type="dxa"/>
            <w:gridSpan w:val="3"/>
            <w:vAlign w:val="center"/>
            <w:hideMark/>
          </w:tcPr>
          <w:p w14:paraId="3894444B" w14:textId="77777777" w:rsidR="001752B7" w:rsidRPr="001752B7" w:rsidRDefault="001752B7" w:rsidP="001752B7">
            <w:pPr>
              <w:spacing w:after="0" w:line="240" w:lineRule="auto"/>
              <w:rPr>
                <w:rFonts w:ascii="Times New Roman" w:eastAsia="Times New Roman" w:hAnsi="Times New Roman" w:cs="Times New Roman"/>
                <w:sz w:val="20"/>
                <w:szCs w:val="20"/>
                <w:lang w:eastAsia="hr-HR"/>
              </w:rPr>
            </w:pPr>
          </w:p>
        </w:tc>
      </w:tr>
      <w:tr w:rsidR="001752B7" w:rsidRPr="001752B7" w14:paraId="409F1041" w14:textId="77777777" w:rsidTr="000271A1">
        <w:trPr>
          <w:trHeight w:val="300"/>
        </w:trPr>
        <w:tc>
          <w:tcPr>
            <w:tcW w:w="1404" w:type="dxa"/>
            <w:tcBorders>
              <w:top w:val="single" w:sz="4" w:space="0" w:color="auto"/>
              <w:left w:val="single" w:sz="8" w:space="0" w:color="auto"/>
              <w:bottom w:val="single" w:sz="4" w:space="0" w:color="auto"/>
              <w:right w:val="single" w:sz="4" w:space="0" w:color="auto"/>
            </w:tcBorders>
            <w:shd w:val="clear" w:color="000000" w:fill="CCFFCC"/>
            <w:hideMark/>
          </w:tcPr>
          <w:p w14:paraId="22459A48" w14:textId="77777777" w:rsidR="001752B7" w:rsidRPr="001752B7" w:rsidRDefault="001752B7" w:rsidP="001752B7">
            <w:pPr>
              <w:spacing w:after="0" w:line="240" w:lineRule="auto"/>
              <w:rPr>
                <w:rFonts w:ascii="Calibri" w:eastAsia="Times New Roman" w:hAnsi="Calibri" w:cs="Calibri"/>
                <w:lang w:eastAsia="hr-HR"/>
              </w:rPr>
            </w:pPr>
            <w:r w:rsidRPr="001752B7">
              <w:rPr>
                <w:rFonts w:ascii="Calibri" w:eastAsia="Times New Roman" w:hAnsi="Calibri" w:cs="Calibri"/>
                <w:lang w:eastAsia="hr-HR"/>
              </w:rPr>
              <w:t xml:space="preserve">Ostale osnove (upisati):     </w:t>
            </w:r>
          </w:p>
        </w:tc>
        <w:tc>
          <w:tcPr>
            <w:tcW w:w="545" w:type="dxa"/>
            <w:tcBorders>
              <w:top w:val="nil"/>
              <w:left w:val="nil"/>
              <w:bottom w:val="single" w:sz="4" w:space="0" w:color="auto"/>
              <w:right w:val="single" w:sz="4" w:space="0" w:color="auto"/>
            </w:tcBorders>
            <w:shd w:val="clear" w:color="000000" w:fill="CCFFCC"/>
            <w:vAlign w:val="center"/>
            <w:hideMark/>
          </w:tcPr>
          <w:p w14:paraId="633C862F" w14:textId="77777777" w:rsidR="001752B7" w:rsidRPr="001752B7" w:rsidRDefault="001752B7" w:rsidP="001752B7">
            <w:pPr>
              <w:spacing w:after="0" w:line="240" w:lineRule="auto"/>
              <w:jc w:val="right"/>
              <w:rPr>
                <w:rFonts w:ascii="Calibri" w:eastAsia="Times New Roman" w:hAnsi="Calibri" w:cs="Calibri"/>
                <w:lang w:eastAsia="hr-HR"/>
              </w:rPr>
            </w:pPr>
            <w:r w:rsidRPr="001752B7">
              <w:rPr>
                <w:rFonts w:ascii="Calibri" w:eastAsia="Times New Roman" w:hAnsi="Calibri" w:cs="Calibri"/>
                <w:lang w:eastAsia="hr-HR"/>
              </w:rPr>
              <w:t>3</w:t>
            </w:r>
          </w:p>
        </w:tc>
        <w:tc>
          <w:tcPr>
            <w:tcW w:w="573" w:type="dxa"/>
            <w:tcBorders>
              <w:top w:val="nil"/>
              <w:left w:val="nil"/>
              <w:bottom w:val="single" w:sz="4" w:space="0" w:color="auto"/>
              <w:right w:val="single" w:sz="4" w:space="0" w:color="auto"/>
            </w:tcBorders>
            <w:shd w:val="clear" w:color="000000" w:fill="FFCC99"/>
            <w:noWrap/>
            <w:vAlign w:val="bottom"/>
            <w:hideMark/>
          </w:tcPr>
          <w:p w14:paraId="23F4A499" w14:textId="77777777" w:rsidR="001752B7" w:rsidRPr="001752B7" w:rsidRDefault="001752B7" w:rsidP="001752B7">
            <w:pPr>
              <w:spacing w:after="0" w:line="240" w:lineRule="auto"/>
              <w:jc w:val="right"/>
              <w:rPr>
                <w:rFonts w:ascii="Calibri" w:eastAsia="Times New Roman" w:hAnsi="Calibri" w:cs="Calibri"/>
                <w:lang w:eastAsia="hr-HR"/>
              </w:rPr>
            </w:pPr>
            <w:r w:rsidRPr="001752B7">
              <w:rPr>
                <w:rFonts w:ascii="Calibri" w:eastAsia="Times New Roman" w:hAnsi="Calibri" w:cs="Calibri"/>
                <w:lang w:eastAsia="hr-HR"/>
              </w:rPr>
              <w:t>18</w:t>
            </w:r>
          </w:p>
        </w:tc>
        <w:tc>
          <w:tcPr>
            <w:tcW w:w="855" w:type="dxa"/>
            <w:tcBorders>
              <w:top w:val="nil"/>
              <w:left w:val="nil"/>
              <w:bottom w:val="single" w:sz="4" w:space="0" w:color="auto"/>
              <w:right w:val="single" w:sz="4" w:space="0" w:color="auto"/>
            </w:tcBorders>
            <w:shd w:val="clear" w:color="000000" w:fill="CCFFFF"/>
            <w:noWrap/>
            <w:vAlign w:val="bottom"/>
            <w:hideMark/>
          </w:tcPr>
          <w:p w14:paraId="7B5B4E28" w14:textId="77777777" w:rsidR="001752B7" w:rsidRPr="001752B7" w:rsidRDefault="001752B7" w:rsidP="001752B7">
            <w:pPr>
              <w:spacing w:after="0" w:line="240" w:lineRule="auto"/>
              <w:jc w:val="right"/>
              <w:rPr>
                <w:rFonts w:ascii="Calibri" w:eastAsia="Times New Roman" w:hAnsi="Calibri" w:cs="Calibri"/>
                <w:lang w:eastAsia="hr-HR"/>
              </w:rPr>
            </w:pPr>
            <w:r w:rsidRPr="001752B7">
              <w:rPr>
                <w:rFonts w:ascii="Calibri" w:eastAsia="Times New Roman" w:hAnsi="Calibri" w:cs="Calibri"/>
                <w:lang w:eastAsia="hr-HR"/>
              </w:rPr>
              <w:t>4</w:t>
            </w:r>
          </w:p>
        </w:tc>
        <w:tc>
          <w:tcPr>
            <w:tcW w:w="638" w:type="dxa"/>
            <w:tcBorders>
              <w:top w:val="nil"/>
              <w:left w:val="nil"/>
              <w:bottom w:val="single" w:sz="4" w:space="0" w:color="auto"/>
              <w:right w:val="single" w:sz="4" w:space="0" w:color="auto"/>
            </w:tcBorders>
            <w:shd w:val="clear" w:color="000000" w:fill="CCFFFF"/>
            <w:noWrap/>
            <w:vAlign w:val="bottom"/>
            <w:hideMark/>
          </w:tcPr>
          <w:p w14:paraId="78D246CB" w14:textId="77777777" w:rsidR="001752B7" w:rsidRPr="001752B7" w:rsidRDefault="001752B7" w:rsidP="001752B7">
            <w:pPr>
              <w:spacing w:after="0" w:line="240" w:lineRule="auto"/>
              <w:jc w:val="right"/>
              <w:rPr>
                <w:rFonts w:ascii="Calibri" w:eastAsia="Times New Roman" w:hAnsi="Calibri" w:cs="Calibri"/>
                <w:lang w:eastAsia="hr-HR"/>
              </w:rPr>
            </w:pPr>
            <w:r w:rsidRPr="001752B7">
              <w:rPr>
                <w:rFonts w:ascii="Calibri" w:eastAsia="Times New Roman" w:hAnsi="Calibri" w:cs="Calibri"/>
                <w:lang w:eastAsia="hr-HR"/>
              </w:rPr>
              <w:t>5</w:t>
            </w:r>
          </w:p>
        </w:tc>
        <w:tc>
          <w:tcPr>
            <w:tcW w:w="580" w:type="dxa"/>
            <w:tcBorders>
              <w:top w:val="nil"/>
              <w:left w:val="nil"/>
              <w:bottom w:val="single" w:sz="4" w:space="0" w:color="auto"/>
              <w:right w:val="single" w:sz="4" w:space="0" w:color="auto"/>
            </w:tcBorders>
            <w:shd w:val="clear" w:color="000000" w:fill="FFFF99"/>
            <w:noWrap/>
            <w:vAlign w:val="bottom"/>
            <w:hideMark/>
          </w:tcPr>
          <w:p w14:paraId="35F2DA19" w14:textId="77777777" w:rsidR="001752B7" w:rsidRPr="001752B7" w:rsidRDefault="001752B7" w:rsidP="001752B7">
            <w:pPr>
              <w:spacing w:after="0" w:line="240" w:lineRule="auto"/>
              <w:jc w:val="right"/>
              <w:rPr>
                <w:rFonts w:ascii="Calibri" w:eastAsia="Times New Roman" w:hAnsi="Calibri" w:cs="Calibri"/>
                <w:lang w:eastAsia="hr-HR"/>
              </w:rPr>
            </w:pPr>
            <w:r w:rsidRPr="001752B7">
              <w:rPr>
                <w:rFonts w:ascii="Calibri" w:eastAsia="Times New Roman" w:hAnsi="Calibri" w:cs="Calibri"/>
                <w:lang w:eastAsia="hr-HR"/>
              </w:rPr>
              <w:t>13</w:t>
            </w:r>
          </w:p>
        </w:tc>
        <w:tc>
          <w:tcPr>
            <w:tcW w:w="447" w:type="dxa"/>
            <w:tcBorders>
              <w:top w:val="nil"/>
              <w:left w:val="nil"/>
              <w:bottom w:val="single" w:sz="4" w:space="0" w:color="auto"/>
              <w:right w:val="single" w:sz="4" w:space="0" w:color="auto"/>
            </w:tcBorders>
            <w:shd w:val="clear" w:color="000000" w:fill="FFFF99"/>
            <w:noWrap/>
            <w:vAlign w:val="bottom"/>
            <w:hideMark/>
          </w:tcPr>
          <w:p w14:paraId="40A5D0C4" w14:textId="77777777" w:rsidR="001752B7" w:rsidRPr="001752B7" w:rsidRDefault="001752B7" w:rsidP="001752B7">
            <w:pPr>
              <w:spacing w:after="0" w:line="240" w:lineRule="auto"/>
              <w:jc w:val="right"/>
              <w:rPr>
                <w:rFonts w:ascii="Calibri" w:eastAsia="Times New Roman" w:hAnsi="Calibri" w:cs="Calibri"/>
                <w:lang w:eastAsia="hr-HR"/>
              </w:rPr>
            </w:pPr>
            <w:r w:rsidRPr="001752B7">
              <w:rPr>
                <w:rFonts w:ascii="Calibri" w:eastAsia="Times New Roman" w:hAnsi="Calibri" w:cs="Calibri"/>
                <w:lang w:eastAsia="hr-HR"/>
              </w:rPr>
              <w:t> </w:t>
            </w:r>
          </w:p>
        </w:tc>
        <w:tc>
          <w:tcPr>
            <w:tcW w:w="447" w:type="dxa"/>
            <w:tcBorders>
              <w:top w:val="nil"/>
              <w:left w:val="nil"/>
              <w:bottom w:val="single" w:sz="4" w:space="0" w:color="auto"/>
              <w:right w:val="single" w:sz="4" w:space="0" w:color="auto"/>
            </w:tcBorders>
            <w:shd w:val="clear" w:color="000000" w:fill="FFFF99"/>
            <w:noWrap/>
            <w:vAlign w:val="bottom"/>
            <w:hideMark/>
          </w:tcPr>
          <w:p w14:paraId="3446C752" w14:textId="77777777" w:rsidR="001752B7" w:rsidRPr="001752B7" w:rsidRDefault="001752B7" w:rsidP="001752B7">
            <w:pPr>
              <w:spacing w:after="0" w:line="240" w:lineRule="auto"/>
              <w:jc w:val="right"/>
              <w:rPr>
                <w:rFonts w:ascii="Calibri" w:eastAsia="Times New Roman" w:hAnsi="Calibri" w:cs="Calibri"/>
                <w:lang w:eastAsia="hr-HR"/>
              </w:rPr>
            </w:pPr>
            <w:r w:rsidRPr="001752B7">
              <w:rPr>
                <w:rFonts w:ascii="Calibri" w:eastAsia="Times New Roman" w:hAnsi="Calibri" w:cs="Calibri"/>
                <w:lang w:eastAsia="hr-HR"/>
              </w:rPr>
              <w:t>1</w:t>
            </w:r>
          </w:p>
        </w:tc>
        <w:tc>
          <w:tcPr>
            <w:tcW w:w="447" w:type="dxa"/>
            <w:tcBorders>
              <w:top w:val="nil"/>
              <w:left w:val="nil"/>
              <w:bottom w:val="single" w:sz="4" w:space="0" w:color="auto"/>
              <w:right w:val="single" w:sz="4" w:space="0" w:color="auto"/>
            </w:tcBorders>
            <w:shd w:val="clear" w:color="000000" w:fill="FFFF99"/>
            <w:noWrap/>
            <w:vAlign w:val="bottom"/>
            <w:hideMark/>
          </w:tcPr>
          <w:p w14:paraId="1A595FA5" w14:textId="77777777" w:rsidR="001752B7" w:rsidRPr="001752B7" w:rsidRDefault="001752B7" w:rsidP="001752B7">
            <w:pPr>
              <w:spacing w:after="0" w:line="240" w:lineRule="auto"/>
              <w:jc w:val="right"/>
              <w:rPr>
                <w:rFonts w:ascii="Calibri" w:eastAsia="Times New Roman" w:hAnsi="Calibri" w:cs="Calibri"/>
                <w:lang w:eastAsia="hr-HR"/>
              </w:rPr>
            </w:pPr>
            <w:r w:rsidRPr="001752B7">
              <w:rPr>
                <w:rFonts w:ascii="Calibri" w:eastAsia="Times New Roman" w:hAnsi="Calibri" w:cs="Calibri"/>
                <w:lang w:eastAsia="hr-HR"/>
              </w:rPr>
              <w:t> </w:t>
            </w:r>
          </w:p>
        </w:tc>
        <w:tc>
          <w:tcPr>
            <w:tcW w:w="447" w:type="dxa"/>
            <w:tcBorders>
              <w:top w:val="nil"/>
              <w:left w:val="nil"/>
              <w:bottom w:val="single" w:sz="4" w:space="0" w:color="auto"/>
              <w:right w:val="single" w:sz="4" w:space="0" w:color="auto"/>
            </w:tcBorders>
            <w:shd w:val="clear" w:color="000000" w:fill="FFFF99"/>
            <w:noWrap/>
            <w:vAlign w:val="bottom"/>
            <w:hideMark/>
          </w:tcPr>
          <w:p w14:paraId="71B70206" w14:textId="77777777" w:rsidR="001752B7" w:rsidRPr="001752B7" w:rsidRDefault="001752B7" w:rsidP="001752B7">
            <w:pPr>
              <w:spacing w:after="0" w:line="240" w:lineRule="auto"/>
              <w:jc w:val="right"/>
              <w:rPr>
                <w:rFonts w:ascii="Calibri" w:eastAsia="Times New Roman" w:hAnsi="Calibri" w:cs="Calibri"/>
                <w:lang w:eastAsia="hr-HR"/>
              </w:rPr>
            </w:pPr>
            <w:r w:rsidRPr="001752B7">
              <w:rPr>
                <w:rFonts w:ascii="Calibri" w:eastAsia="Times New Roman" w:hAnsi="Calibri" w:cs="Calibri"/>
                <w:lang w:eastAsia="hr-HR"/>
              </w:rPr>
              <w:t>6</w:t>
            </w:r>
          </w:p>
        </w:tc>
        <w:tc>
          <w:tcPr>
            <w:tcW w:w="572" w:type="dxa"/>
            <w:tcBorders>
              <w:top w:val="nil"/>
              <w:left w:val="nil"/>
              <w:bottom w:val="single" w:sz="4" w:space="0" w:color="auto"/>
              <w:right w:val="single" w:sz="4" w:space="0" w:color="auto"/>
            </w:tcBorders>
            <w:shd w:val="clear" w:color="000000" w:fill="FF9900"/>
            <w:noWrap/>
            <w:vAlign w:val="bottom"/>
            <w:hideMark/>
          </w:tcPr>
          <w:p w14:paraId="14D58C28" w14:textId="77777777" w:rsidR="001752B7" w:rsidRPr="001752B7" w:rsidRDefault="001752B7" w:rsidP="001752B7">
            <w:pPr>
              <w:spacing w:after="0" w:line="240" w:lineRule="auto"/>
              <w:jc w:val="right"/>
              <w:rPr>
                <w:rFonts w:ascii="Calibri" w:eastAsia="Times New Roman" w:hAnsi="Calibri" w:cs="Calibri"/>
                <w:lang w:eastAsia="hr-HR"/>
              </w:rPr>
            </w:pPr>
            <w:r w:rsidRPr="001752B7">
              <w:rPr>
                <w:rFonts w:ascii="Calibri" w:eastAsia="Times New Roman" w:hAnsi="Calibri" w:cs="Calibri"/>
                <w:lang w:eastAsia="hr-HR"/>
              </w:rPr>
              <w:t>6</w:t>
            </w:r>
          </w:p>
        </w:tc>
        <w:tc>
          <w:tcPr>
            <w:tcW w:w="467" w:type="dxa"/>
            <w:tcBorders>
              <w:top w:val="nil"/>
              <w:left w:val="nil"/>
              <w:bottom w:val="single" w:sz="4" w:space="0" w:color="auto"/>
              <w:right w:val="single" w:sz="4" w:space="0" w:color="auto"/>
            </w:tcBorders>
            <w:shd w:val="clear" w:color="000000" w:fill="FF9900"/>
            <w:noWrap/>
            <w:vAlign w:val="bottom"/>
            <w:hideMark/>
          </w:tcPr>
          <w:p w14:paraId="5F6E8444" w14:textId="77777777" w:rsidR="001752B7" w:rsidRPr="001752B7" w:rsidRDefault="001752B7" w:rsidP="001752B7">
            <w:pPr>
              <w:spacing w:after="0" w:line="240" w:lineRule="auto"/>
              <w:jc w:val="right"/>
              <w:rPr>
                <w:rFonts w:ascii="Calibri" w:eastAsia="Times New Roman" w:hAnsi="Calibri" w:cs="Calibri"/>
                <w:lang w:eastAsia="hr-HR"/>
              </w:rPr>
            </w:pPr>
            <w:r w:rsidRPr="001752B7">
              <w:rPr>
                <w:rFonts w:ascii="Calibri" w:eastAsia="Times New Roman" w:hAnsi="Calibri" w:cs="Calibri"/>
                <w:lang w:eastAsia="hr-HR"/>
              </w:rPr>
              <w:t>2</w:t>
            </w:r>
          </w:p>
        </w:tc>
        <w:tc>
          <w:tcPr>
            <w:tcW w:w="579" w:type="dxa"/>
            <w:tcBorders>
              <w:top w:val="nil"/>
              <w:left w:val="nil"/>
              <w:bottom w:val="single" w:sz="4" w:space="0" w:color="auto"/>
              <w:right w:val="single" w:sz="4" w:space="0" w:color="auto"/>
            </w:tcBorders>
            <w:shd w:val="clear" w:color="000000" w:fill="FF9900"/>
            <w:noWrap/>
            <w:vAlign w:val="bottom"/>
            <w:hideMark/>
          </w:tcPr>
          <w:p w14:paraId="2DD50536" w14:textId="77777777" w:rsidR="001752B7" w:rsidRPr="001752B7" w:rsidRDefault="001752B7" w:rsidP="001752B7">
            <w:pPr>
              <w:spacing w:after="0" w:line="240" w:lineRule="auto"/>
              <w:jc w:val="right"/>
              <w:rPr>
                <w:rFonts w:ascii="Calibri" w:eastAsia="Times New Roman" w:hAnsi="Calibri" w:cs="Calibri"/>
                <w:lang w:eastAsia="hr-HR"/>
              </w:rPr>
            </w:pPr>
            <w:r w:rsidRPr="001752B7">
              <w:rPr>
                <w:rFonts w:ascii="Calibri" w:eastAsia="Times New Roman" w:hAnsi="Calibri" w:cs="Calibri"/>
                <w:lang w:eastAsia="hr-HR"/>
              </w:rPr>
              <w:t>1</w:t>
            </w:r>
          </w:p>
        </w:tc>
        <w:tc>
          <w:tcPr>
            <w:tcW w:w="447" w:type="dxa"/>
            <w:tcBorders>
              <w:top w:val="nil"/>
              <w:left w:val="nil"/>
              <w:bottom w:val="single" w:sz="4" w:space="0" w:color="auto"/>
              <w:right w:val="single" w:sz="4" w:space="0" w:color="auto"/>
            </w:tcBorders>
            <w:shd w:val="clear" w:color="000000" w:fill="66FFCC"/>
            <w:noWrap/>
            <w:vAlign w:val="bottom"/>
            <w:hideMark/>
          </w:tcPr>
          <w:p w14:paraId="6035C0A8" w14:textId="77777777" w:rsidR="001752B7" w:rsidRPr="001752B7" w:rsidRDefault="001752B7" w:rsidP="001752B7">
            <w:pPr>
              <w:spacing w:after="0" w:line="240" w:lineRule="auto"/>
              <w:jc w:val="right"/>
              <w:rPr>
                <w:rFonts w:ascii="Calibri" w:eastAsia="Times New Roman" w:hAnsi="Calibri" w:cs="Calibri"/>
                <w:lang w:eastAsia="hr-HR"/>
              </w:rPr>
            </w:pPr>
            <w:r w:rsidRPr="001752B7">
              <w:rPr>
                <w:rFonts w:ascii="Calibri" w:eastAsia="Times New Roman" w:hAnsi="Calibri" w:cs="Calibri"/>
                <w:lang w:eastAsia="hr-HR"/>
              </w:rPr>
              <w:t>1</w:t>
            </w:r>
          </w:p>
        </w:tc>
        <w:tc>
          <w:tcPr>
            <w:tcW w:w="447" w:type="dxa"/>
            <w:tcBorders>
              <w:top w:val="nil"/>
              <w:left w:val="nil"/>
              <w:bottom w:val="single" w:sz="4" w:space="0" w:color="auto"/>
              <w:right w:val="single" w:sz="4" w:space="0" w:color="auto"/>
            </w:tcBorders>
            <w:shd w:val="clear" w:color="000000" w:fill="66FFCC"/>
            <w:noWrap/>
            <w:vAlign w:val="bottom"/>
            <w:hideMark/>
          </w:tcPr>
          <w:p w14:paraId="092CD749" w14:textId="77777777" w:rsidR="001752B7" w:rsidRPr="001752B7" w:rsidRDefault="001752B7" w:rsidP="001752B7">
            <w:pPr>
              <w:spacing w:after="0" w:line="240" w:lineRule="auto"/>
              <w:jc w:val="right"/>
              <w:rPr>
                <w:rFonts w:ascii="Calibri" w:eastAsia="Times New Roman" w:hAnsi="Calibri" w:cs="Calibri"/>
                <w:lang w:eastAsia="hr-HR"/>
              </w:rPr>
            </w:pPr>
            <w:r w:rsidRPr="001752B7">
              <w:rPr>
                <w:rFonts w:ascii="Calibri" w:eastAsia="Times New Roman" w:hAnsi="Calibri" w:cs="Calibri"/>
                <w:lang w:eastAsia="hr-HR"/>
              </w:rPr>
              <w:t>8</w:t>
            </w:r>
          </w:p>
        </w:tc>
        <w:tc>
          <w:tcPr>
            <w:tcW w:w="698" w:type="dxa"/>
            <w:tcBorders>
              <w:top w:val="nil"/>
              <w:left w:val="nil"/>
              <w:bottom w:val="single" w:sz="4" w:space="0" w:color="auto"/>
              <w:right w:val="single" w:sz="4" w:space="0" w:color="auto"/>
            </w:tcBorders>
            <w:shd w:val="clear" w:color="000000" w:fill="66FFCC"/>
            <w:noWrap/>
            <w:vAlign w:val="bottom"/>
            <w:hideMark/>
          </w:tcPr>
          <w:p w14:paraId="184BAE5D" w14:textId="77777777" w:rsidR="001752B7" w:rsidRPr="001752B7" w:rsidRDefault="001752B7" w:rsidP="001752B7">
            <w:pPr>
              <w:spacing w:after="0" w:line="240" w:lineRule="auto"/>
              <w:jc w:val="right"/>
              <w:rPr>
                <w:rFonts w:ascii="Calibri" w:eastAsia="Times New Roman" w:hAnsi="Calibri" w:cs="Calibri"/>
                <w:lang w:eastAsia="hr-HR"/>
              </w:rPr>
            </w:pPr>
            <w:r w:rsidRPr="001752B7">
              <w:rPr>
                <w:rFonts w:ascii="Calibri" w:eastAsia="Times New Roman" w:hAnsi="Calibri" w:cs="Calibri"/>
                <w:lang w:eastAsia="hr-HR"/>
              </w:rPr>
              <w:t> </w:t>
            </w:r>
          </w:p>
        </w:tc>
        <w:tc>
          <w:tcPr>
            <w:tcW w:w="447" w:type="dxa"/>
            <w:tcBorders>
              <w:top w:val="nil"/>
              <w:left w:val="nil"/>
              <w:bottom w:val="single" w:sz="4" w:space="0" w:color="auto"/>
              <w:right w:val="single" w:sz="4" w:space="0" w:color="auto"/>
            </w:tcBorders>
            <w:shd w:val="clear" w:color="000000" w:fill="66FFCC"/>
            <w:noWrap/>
            <w:vAlign w:val="bottom"/>
            <w:hideMark/>
          </w:tcPr>
          <w:p w14:paraId="2A6CEB05" w14:textId="77777777" w:rsidR="001752B7" w:rsidRPr="001752B7" w:rsidRDefault="001752B7" w:rsidP="001752B7">
            <w:pPr>
              <w:spacing w:after="0" w:line="240" w:lineRule="auto"/>
              <w:jc w:val="right"/>
              <w:rPr>
                <w:rFonts w:ascii="Calibri" w:eastAsia="Times New Roman" w:hAnsi="Calibri" w:cs="Calibri"/>
                <w:lang w:eastAsia="hr-HR"/>
              </w:rPr>
            </w:pPr>
            <w:r w:rsidRPr="001752B7">
              <w:rPr>
                <w:rFonts w:ascii="Calibri" w:eastAsia="Times New Roman" w:hAnsi="Calibri" w:cs="Calibri"/>
                <w:lang w:eastAsia="hr-HR"/>
              </w:rPr>
              <w:t>9</w:t>
            </w:r>
          </w:p>
        </w:tc>
        <w:tc>
          <w:tcPr>
            <w:tcW w:w="652" w:type="dxa"/>
            <w:tcBorders>
              <w:top w:val="nil"/>
              <w:left w:val="nil"/>
              <w:bottom w:val="single" w:sz="4" w:space="0" w:color="auto"/>
              <w:right w:val="single" w:sz="4" w:space="0" w:color="auto"/>
            </w:tcBorders>
            <w:shd w:val="clear" w:color="000000" w:fill="FFFF00"/>
            <w:vAlign w:val="center"/>
            <w:hideMark/>
          </w:tcPr>
          <w:p w14:paraId="2F80F25D" w14:textId="77777777" w:rsidR="001752B7" w:rsidRPr="001752B7" w:rsidRDefault="001752B7" w:rsidP="001752B7">
            <w:pPr>
              <w:spacing w:after="0" w:line="240" w:lineRule="auto"/>
              <w:jc w:val="right"/>
              <w:rPr>
                <w:rFonts w:ascii="Calibri" w:eastAsia="Times New Roman" w:hAnsi="Calibri" w:cs="Calibri"/>
                <w:lang w:eastAsia="hr-HR"/>
              </w:rPr>
            </w:pPr>
            <w:r w:rsidRPr="001752B7">
              <w:rPr>
                <w:rFonts w:ascii="Calibri" w:eastAsia="Times New Roman" w:hAnsi="Calibri" w:cs="Calibri"/>
                <w:lang w:eastAsia="hr-HR"/>
              </w:rPr>
              <w:t>9</w:t>
            </w:r>
          </w:p>
        </w:tc>
        <w:tc>
          <w:tcPr>
            <w:tcW w:w="614" w:type="dxa"/>
            <w:tcBorders>
              <w:top w:val="nil"/>
              <w:left w:val="nil"/>
              <w:bottom w:val="single" w:sz="4" w:space="0" w:color="auto"/>
              <w:right w:val="single" w:sz="4" w:space="0" w:color="auto"/>
            </w:tcBorders>
            <w:shd w:val="clear" w:color="000000" w:fill="FFFF99"/>
            <w:vAlign w:val="center"/>
            <w:hideMark/>
          </w:tcPr>
          <w:p w14:paraId="00DEA192" w14:textId="77777777" w:rsidR="001752B7" w:rsidRPr="001752B7" w:rsidRDefault="001752B7" w:rsidP="001752B7">
            <w:pPr>
              <w:spacing w:after="0" w:line="240" w:lineRule="auto"/>
              <w:jc w:val="right"/>
              <w:rPr>
                <w:rFonts w:ascii="Calibri" w:eastAsia="Times New Roman" w:hAnsi="Calibri" w:cs="Calibri"/>
                <w:lang w:eastAsia="hr-HR"/>
              </w:rPr>
            </w:pPr>
            <w:r w:rsidRPr="001752B7">
              <w:rPr>
                <w:rFonts w:ascii="Calibri" w:eastAsia="Times New Roman" w:hAnsi="Calibri" w:cs="Calibri"/>
                <w:lang w:eastAsia="hr-HR"/>
              </w:rPr>
              <w:t>12</w:t>
            </w:r>
          </w:p>
        </w:tc>
        <w:tc>
          <w:tcPr>
            <w:tcW w:w="519" w:type="dxa"/>
            <w:tcBorders>
              <w:top w:val="nil"/>
              <w:left w:val="nil"/>
              <w:bottom w:val="single" w:sz="4" w:space="0" w:color="auto"/>
              <w:right w:val="single" w:sz="4" w:space="0" w:color="auto"/>
            </w:tcBorders>
            <w:shd w:val="clear" w:color="000000" w:fill="FF9900"/>
            <w:vAlign w:val="center"/>
            <w:hideMark/>
          </w:tcPr>
          <w:p w14:paraId="77E911F6" w14:textId="77777777" w:rsidR="001752B7" w:rsidRPr="001752B7" w:rsidRDefault="001752B7" w:rsidP="001752B7">
            <w:pPr>
              <w:spacing w:after="0" w:line="240" w:lineRule="auto"/>
              <w:jc w:val="right"/>
              <w:rPr>
                <w:rFonts w:ascii="Calibri" w:eastAsia="Times New Roman" w:hAnsi="Calibri" w:cs="Calibri"/>
                <w:lang w:eastAsia="hr-HR"/>
              </w:rPr>
            </w:pPr>
            <w:r w:rsidRPr="001752B7">
              <w:rPr>
                <w:rFonts w:ascii="Calibri" w:eastAsia="Times New Roman" w:hAnsi="Calibri" w:cs="Calibri"/>
                <w:lang w:eastAsia="hr-HR"/>
              </w:rPr>
              <w:t>9</w:t>
            </w:r>
          </w:p>
        </w:tc>
        <w:tc>
          <w:tcPr>
            <w:tcW w:w="477" w:type="dxa"/>
            <w:tcBorders>
              <w:top w:val="nil"/>
              <w:left w:val="nil"/>
              <w:bottom w:val="single" w:sz="4" w:space="0" w:color="auto"/>
              <w:right w:val="single" w:sz="4" w:space="0" w:color="auto"/>
            </w:tcBorders>
            <w:shd w:val="clear" w:color="000000" w:fill="CCFFFF"/>
            <w:vAlign w:val="bottom"/>
            <w:hideMark/>
          </w:tcPr>
          <w:p w14:paraId="436305DA" w14:textId="77777777" w:rsidR="001752B7" w:rsidRPr="001752B7" w:rsidRDefault="001752B7" w:rsidP="001752B7">
            <w:pPr>
              <w:spacing w:after="0" w:line="240" w:lineRule="auto"/>
              <w:jc w:val="right"/>
              <w:rPr>
                <w:rFonts w:ascii="Calibri" w:eastAsia="Times New Roman" w:hAnsi="Calibri" w:cs="Calibri"/>
                <w:lang w:eastAsia="hr-HR"/>
              </w:rPr>
            </w:pPr>
            <w:r w:rsidRPr="001752B7">
              <w:rPr>
                <w:rFonts w:ascii="Calibri" w:eastAsia="Times New Roman" w:hAnsi="Calibri" w:cs="Calibri"/>
                <w:lang w:eastAsia="hr-HR"/>
              </w:rPr>
              <w:t>1</w:t>
            </w:r>
          </w:p>
        </w:tc>
        <w:tc>
          <w:tcPr>
            <w:tcW w:w="506" w:type="dxa"/>
            <w:tcBorders>
              <w:top w:val="nil"/>
              <w:left w:val="nil"/>
              <w:bottom w:val="single" w:sz="4" w:space="0" w:color="auto"/>
              <w:right w:val="single" w:sz="4" w:space="0" w:color="auto"/>
            </w:tcBorders>
            <w:shd w:val="clear" w:color="000000" w:fill="CCFFFF"/>
            <w:vAlign w:val="bottom"/>
            <w:hideMark/>
          </w:tcPr>
          <w:p w14:paraId="48E44866" w14:textId="77777777" w:rsidR="001752B7" w:rsidRPr="001752B7" w:rsidRDefault="001752B7" w:rsidP="001752B7">
            <w:pPr>
              <w:spacing w:after="0" w:line="240" w:lineRule="auto"/>
              <w:jc w:val="right"/>
              <w:rPr>
                <w:rFonts w:ascii="Calibri" w:eastAsia="Times New Roman" w:hAnsi="Calibri" w:cs="Calibri"/>
                <w:lang w:eastAsia="hr-HR"/>
              </w:rPr>
            </w:pPr>
            <w:r w:rsidRPr="001752B7">
              <w:rPr>
                <w:rFonts w:ascii="Calibri" w:eastAsia="Times New Roman" w:hAnsi="Calibri" w:cs="Calibri"/>
                <w:lang w:eastAsia="hr-HR"/>
              </w:rPr>
              <w:t> </w:t>
            </w:r>
          </w:p>
        </w:tc>
        <w:tc>
          <w:tcPr>
            <w:tcW w:w="485" w:type="dxa"/>
            <w:tcBorders>
              <w:top w:val="nil"/>
              <w:left w:val="nil"/>
              <w:bottom w:val="single" w:sz="4" w:space="0" w:color="auto"/>
              <w:right w:val="single" w:sz="4" w:space="0" w:color="auto"/>
            </w:tcBorders>
            <w:shd w:val="clear" w:color="000000" w:fill="CCFFFF"/>
            <w:vAlign w:val="bottom"/>
            <w:hideMark/>
          </w:tcPr>
          <w:p w14:paraId="78BA407A" w14:textId="77777777" w:rsidR="001752B7" w:rsidRPr="001752B7" w:rsidRDefault="001752B7" w:rsidP="001752B7">
            <w:pPr>
              <w:spacing w:after="0" w:line="240" w:lineRule="auto"/>
              <w:jc w:val="right"/>
              <w:rPr>
                <w:rFonts w:ascii="Calibri" w:eastAsia="Times New Roman" w:hAnsi="Calibri" w:cs="Calibri"/>
                <w:lang w:eastAsia="hr-HR"/>
              </w:rPr>
            </w:pPr>
            <w:r w:rsidRPr="001752B7">
              <w:rPr>
                <w:rFonts w:ascii="Calibri" w:eastAsia="Times New Roman" w:hAnsi="Calibri" w:cs="Calibri"/>
                <w:lang w:eastAsia="hr-HR"/>
              </w:rPr>
              <w:t>1</w:t>
            </w:r>
          </w:p>
        </w:tc>
        <w:tc>
          <w:tcPr>
            <w:tcW w:w="561" w:type="dxa"/>
            <w:tcBorders>
              <w:top w:val="nil"/>
              <w:left w:val="nil"/>
              <w:bottom w:val="single" w:sz="4" w:space="0" w:color="auto"/>
              <w:right w:val="nil"/>
            </w:tcBorders>
            <w:shd w:val="clear" w:color="000000" w:fill="33CCCC"/>
            <w:noWrap/>
            <w:vAlign w:val="bottom"/>
            <w:hideMark/>
          </w:tcPr>
          <w:p w14:paraId="1C4876D8" w14:textId="77777777" w:rsidR="001752B7" w:rsidRPr="001752B7" w:rsidRDefault="001752B7" w:rsidP="001752B7">
            <w:pPr>
              <w:spacing w:after="0" w:line="240" w:lineRule="auto"/>
              <w:jc w:val="right"/>
              <w:rPr>
                <w:rFonts w:ascii="Calibri" w:eastAsia="Times New Roman" w:hAnsi="Calibri" w:cs="Calibri"/>
                <w:lang w:eastAsia="hr-HR"/>
              </w:rPr>
            </w:pPr>
            <w:r w:rsidRPr="001752B7">
              <w:rPr>
                <w:rFonts w:ascii="Calibri" w:eastAsia="Times New Roman" w:hAnsi="Calibri" w:cs="Calibri"/>
                <w:lang w:eastAsia="hr-HR"/>
              </w:rPr>
              <w:t>9</w:t>
            </w:r>
          </w:p>
        </w:tc>
        <w:tc>
          <w:tcPr>
            <w:tcW w:w="595" w:type="dxa"/>
            <w:tcBorders>
              <w:top w:val="nil"/>
              <w:left w:val="single" w:sz="4" w:space="0" w:color="auto"/>
              <w:bottom w:val="single" w:sz="4" w:space="0" w:color="auto"/>
              <w:right w:val="single" w:sz="8" w:space="0" w:color="auto"/>
            </w:tcBorders>
            <w:shd w:val="clear" w:color="000000" w:fill="33CCCC"/>
            <w:noWrap/>
            <w:vAlign w:val="bottom"/>
            <w:hideMark/>
          </w:tcPr>
          <w:p w14:paraId="2303ECF3" w14:textId="77777777" w:rsidR="001752B7" w:rsidRPr="001752B7" w:rsidRDefault="001752B7" w:rsidP="001752B7">
            <w:pPr>
              <w:spacing w:after="0" w:line="240" w:lineRule="auto"/>
              <w:jc w:val="right"/>
              <w:rPr>
                <w:rFonts w:ascii="Calibri" w:eastAsia="Times New Roman" w:hAnsi="Calibri" w:cs="Calibri"/>
                <w:lang w:eastAsia="hr-HR"/>
              </w:rPr>
            </w:pPr>
            <w:r w:rsidRPr="001752B7">
              <w:rPr>
                <w:rFonts w:ascii="Calibri" w:eastAsia="Times New Roman" w:hAnsi="Calibri" w:cs="Calibri"/>
                <w:lang w:eastAsia="hr-HR"/>
              </w:rPr>
              <w:t> </w:t>
            </w:r>
          </w:p>
        </w:tc>
        <w:tc>
          <w:tcPr>
            <w:tcW w:w="266" w:type="dxa"/>
            <w:gridSpan w:val="3"/>
            <w:vAlign w:val="center"/>
            <w:hideMark/>
          </w:tcPr>
          <w:p w14:paraId="68A5EDC2" w14:textId="77777777" w:rsidR="001752B7" w:rsidRPr="001752B7" w:rsidRDefault="001752B7" w:rsidP="001752B7">
            <w:pPr>
              <w:spacing w:after="0" w:line="240" w:lineRule="auto"/>
              <w:rPr>
                <w:rFonts w:ascii="Times New Roman" w:eastAsia="Times New Roman" w:hAnsi="Times New Roman" w:cs="Times New Roman"/>
                <w:sz w:val="20"/>
                <w:szCs w:val="20"/>
                <w:lang w:eastAsia="hr-HR"/>
              </w:rPr>
            </w:pPr>
          </w:p>
        </w:tc>
      </w:tr>
      <w:tr w:rsidR="001752B7" w:rsidRPr="001752B7" w14:paraId="7401AB4C" w14:textId="77777777" w:rsidTr="000271A1">
        <w:trPr>
          <w:trHeight w:val="315"/>
        </w:trPr>
        <w:tc>
          <w:tcPr>
            <w:tcW w:w="1404" w:type="dxa"/>
            <w:tcBorders>
              <w:top w:val="single" w:sz="4" w:space="0" w:color="auto"/>
              <w:left w:val="single" w:sz="8" w:space="0" w:color="auto"/>
              <w:bottom w:val="single" w:sz="8" w:space="0" w:color="auto"/>
              <w:right w:val="single" w:sz="4" w:space="0" w:color="auto"/>
            </w:tcBorders>
            <w:shd w:val="clear" w:color="000000" w:fill="FFFF00"/>
            <w:vAlign w:val="center"/>
            <w:hideMark/>
          </w:tcPr>
          <w:p w14:paraId="313F7338" w14:textId="77777777" w:rsidR="001752B7" w:rsidRPr="001752B7" w:rsidRDefault="001752B7" w:rsidP="001752B7">
            <w:pPr>
              <w:spacing w:after="0" w:line="240" w:lineRule="auto"/>
              <w:jc w:val="center"/>
              <w:rPr>
                <w:rFonts w:ascii="Calibri" w:eastAsia="Times New Roman" w:hAnsi="Calibri" w:cs="Calibri"/>
                <w:b/>
                <w:bCs/>
                <w:lang w:eastAsia="hr-HR"/>
              </w:rPr>
            </w:pPr>
            <w:r w:rsidRPr="001752B7">
              <w:rPr>
                <w:rFonts w:ascii="Calibri" w:eastAsia="Times New Roman" w:hAnsi="Calibri" w:cs="Calibri"/>
                <w:b/>
                <w:bCs/>
                <w:lang w:eastAsia="hr-HR"/>
              </w:rPr>
              <w:t>UKUPNO</w:t>
            </w:r>
          </w:p>
        </w:tc>
        <w:tc>
          <w:tcPr>
            <w:tcW w:w="545" w:type="dxa"/>
            <w:tcBorders>
              <w:top w:val="nil"/>
              <w:left w:val="nil"/>
              <w:bottom w:val="single" w:sz="8" w:space="0" w:color="auto"/>
              <w:right w:val="single" w:sz="4" w:space="0" w:color="auto"/>
            </w:tcBorders>
            <w:shd w:val="clear" w:color="000000" w:fill="FFFF00"/>
            <w:hideMark/>
          </w:tcPr>
          <w:p w14:paraId="6A33EA82" w14:textId="77777777" w:rsidR="001752B7" w:rsidRPr="001752B7" w:rsidRDefault="001752B7" w:rsidP="001752B7">
            <w:pPr>
              <w:spacing w:after="0" w:line="240" w:lineRule="auto"/>
              <w:jc w:val="right"/>
              <w:rPr>
                <w:rFonts w:ascii="Calibri" w:eastAsia="Times New Roman" w:hAnsi="Calibri" w:cs="Calibri"/>
                <w:b/>
                <w:bCs/>
                <w:lang w:eastAsia="hr-HR"/>
              </w:rPr>
            </w:pPr>
            <w:r w:rsidRPr="001752B7">
              <w:rPr>
                <w:rFonts w:ascii="Calibri" w:eastAsia="Times New Roman" w:hAnsi="Calibri" w:cs="Calibri"/>
                <w:b/>
                <w:bCs/>
                <w:lang w:eastAsia="hr-HR"/>
              </w:rPr>
              <w:t>74</w:t>
            </w:r>
          </w:p>
        </w:tc>
        <w:tc>
          <w:tcPr>
            <w:tcW w:w="573" w:type="dxa"/>
            <w:tcBorders>
              <w:top w:val="nil"/>
              <w:left w:val="nil"/>
              <w:bottom w:val="single" w:sz="8" w:space="0" w:color="auto"/>
              <w:right w:val="single" w:sz="4" w:space="0" w:color="auto"/>
            </w:tcBorders>
            <w:shd w:val="clear" w:color="000000" w:fill="FFFF00"/>
            <w:hideMark/>
          </w:tcPr>
          <w:p w14:paraId="64B85BC9" w14:textId="77777777" w:rsidR="001752B7" w:rsidRPr="001752B7" w:rsidRDefault="001752B7" w:rsidP="001752B7">
            <w:pPr>
              <w:spacing w:after="0" w:line="240" w:lineRule="auto"/>
              <w:jc w:val="right"/>
              <w:rPr>
                <w:rFonts w:ascii="Calibri" w:eastAsia="Times New Roman" w:hAnsi="Calibri" w:cs="Calibri"/>
                <w:b/>
                <w:bCs/>
                <w:lang w:eastAsia="hr-HR"/>
              </w:rPr>
            </w:pPr>
            <w:r w:rsidRPr="001752B7">
              <w:rPr>
                <w:rFonts w:ascii="Calibri" w:eastAsia="Times New Roman" w:hAnsi="Calibri" w:cs="Calibri"/>
                <w:b/>
                <w:bCs/>
                <w:lang w:eastAsia="hr-HR"/>
              </w:rPr>
              <w:t>132</w:t>
            </w:r>
          </w:p>
        </w:tc>
        <w:tc>
          <w:tcPr>
            <w:tcW w:w="855" w:type="dxa"/>
            <w:tcBorders>
              <w:top w:val="nil"/>
              <w:left w:val="nil"/>
              <w:bottom w:val="single" w:sz="8" w:space="0" w:color="auto"/>
              <w:right w:val="single" w:sz="4" w:space="0" w:color="auto"/>
            </w:tcBorders>
            <w:shd w:val="clear" w:color="000000" w:fill="FFFF00"/>
            <w:hideMark/>
          </w:tcPr>
          <w:p w14:paraId="0FA610B4" w14:textId="77777777" w:rsidR="001752B7" w:rsidRPr="001752B7" w:rsidRDefault="001752B7" w:rsidP="001752B7">
            <w:pPr>
              <w:spacing w:after="0" w:line="240" w:lineRule="auto"/>
              <w:jc w:val="right"/>
              <w:rPr>
                <w:rFonts w:ascii="Calibri" w:eastAsia="Times New Roman" w:hAnsi="Calibri" w:cs="Calibri"/>
                <w:b/>
                <w:bCs/>
                <w:lang w:eastAsia="hr-HR"/>
              </w:rPr>
            </w:pPr>
            <w:r w:rsidRPr="001752B7">
              <w:rPr>
                <w:rFonts w:ascii="Calibri" w:eastAsia="Times New Roman" w:hAnsi="Calibri" w:cs="Calibri"/>
                <w:b/>
                <w:bCs/>
                <w:lang w:eastAsia="hr-HR"/>
              </w:rPr>
              <w:t>44</w:t>
            </w:r>
          </w:p>
        </w:tc>
        <w:tc>
          <w:tcPr>
            <w:tcW w:w="638" w:type="dxa"/>
            <w:tcBorders>
              <w:top w:val="nil"/>
              <w:left w:val="nil"/>
              <w:bottom w:val="single" w:sz="8" w:space="0" w:color="auto"/>
              <w:right w:val="single" w:sz="4" w:space="0" w:color="auto"/>
            </w:tcBorders>
            <w:shd w:val="clear" w:color="000000" w:fill="FFFF00"/>
            <w:hideMark/>
          </w:tcPr>
          <w:p w14:paraId="70DB8555" w14:textId="77777777" w:rsidR="001752B7" w:rsidRPr="001752B7" w:rsidRDefault="001752B7" w:rsidP="001752B7">
            <w:pPr>
              <w:spacing w:after="0" w:line="240" w:lineRule="auto"/>
              <w:jc w:val="right"/>
              <w:rPr>
                <w:rFonts w:ascii="Calibri" w:eastAsia="Times New Roman" w:hAnsi="Calibri" w:cs="Calibri"/>
                <w:b/>
                <w:bCs/>
                <w:lang w:eastAsia="hr-HR"/>
              </w:rPr>
            </w:pPr>
            <w:r w:rsidRPr="001752B7">
              <w:rPr>
                <w:rFonts w:ascii="Calibri" w:eastAsia="Times New Roman" w:hAnsi="Calibri" w:cs="Calibri"/>
                <w:b/>
                <w:bCs/>
                <w:lang w:eastAsia="hr-HR"/>
              </w:rPr>
              <w:t>97</w:t>
            </w:r>
          </w:p>
        </w:tc>
        <w:tc>
          <w:tcPr>
            <w:tcW w:w="580" w:type="dxa"/>
            <w:tcBorders>
              <w:top w:val="nil"/>
              <w:left w:val="nil"/>
              <w:bottom w:val="single" w:sz="8" w:space="0" w:color="auto"/>
              <w:right w:val="single" w:sz="4" w:space="0" w:color="auto"/>
            </w:tcBorders>
            <w:shd w:val="clear" w:color="000000" w:fill="FFFF00"/>
            <w:hideMark/>
          </w:tcPr>
          <w:p w14:paraId="3096F3B5" w14:textId="77777777" w:rsidR="001752B7" w:rsidRPr="001752B7" w:rsidRDefault="001752B7" w:rsidP="001752B7">
            <w:pPr>
              <w:spacing w:after="0" w:line="240" w:lineRule="auto"/>
              <w:jc w:val="right"/>
              <w:rPr>
                <w:rFonts w:ascii="Calibri" w:eastAsia="Times New Roman" w:hAnsi="Calibri" w:cs="Calibri"/>
                <w:b/>
                <w:bCs/>
                <w:lang w:eastAsia="hr-HR"/>
              </w:rPr>
            </w:pPr>
            <w:r w:rsidRPr="001752B7">
              <w:rPr>
                <w:rFonts w:ascii="Calibri" w:eastAsia="Times New Roman" w:hAnsi="Calibri" w:cs="Calibri"/>
                <w:b/>
                <w:bCs/>
                <w:lang w:eastAsia="hr-HR"/>
              </w:rPr>
              <w:t>103</w:t>
            </w:r>
          </w:p>
        </w:tc>
        <w:tc>
          <w:tcPr>
            <w:tcW w:w="447" w:type="dxa"/>
            <w:tcBorders>
              <w:top w:val="nil"/>
              <w:left w:val="nil"/>
              <w:bottom w:val="single" w:sz="8" w:space="0" w:color="auto"/>
              <w:right w:val="single" w:sz="4" w:space="0" w:color="auto"/>
            </w:tcBorders>
            <w:shd w:val="clear" w:color="000000" w:fill="FFFF00"/>
            <w:hideMark/>
          </w:tcPr>
          <w:p w14:paraId="2A103AE6" w14:textId="77777777" w:rsidR="001752B7" w:rsidRPr="001752B7" w:rsidRDefault="001752B7" w:rsidP="001752B7">
            <w:pPr>
              <w:spacing w:after="0" w:line="240" w:lineRule="auto"/>
              <w:jc w:val="right"/>
              <w:rPr>
                <w:rFonts w:ascii="Calibri" w:eastAsia="Times New Roman" w:hAnsi="Calibri" w:cs="Calibri"/>
                <w:b/>
                <w:bCs/>
                <w:lang w:eastAsia="hr-HR"/>
              </w:rPr>
            </w:pPr>
            <w:r w:rsidRPr="001752B7">
              <w:rPr>
                <w:rFonts w:ascii="Calibri" w:eastAsia="Times New Roman" w:hAnsi="Calibri" w:cs="Calibri"/>
                <w:b/>
                <w:bCs/>
                <w:lang w:eastAsia="hr-HR"/>
              </w:rPr>
              <w:t>18</w:t>
            </w:r>
          </w:p>
        </w:tc>
        <w:tc>
          <w:tcPr>
            <w:tcW w:w="447" w:type="dxa"/>
            <w:tcBorders>
              <w:top w:val="nil"/>
              <w:left w:val="nil"/>
              <w:bottom w:val="single" w:sz="8" w:space="0" w:color="auto"/>
              <w:right w:val="single" w:sz="4" w:space="0" w:color="auto"/>
            </w:tcBorders>
            <w:shd w:val="clear" w:color="000000" w:fill="FFFF00"/>
            <w:hideMark/>
          </w:tcPr>
          <w:p w14:paraId="4BB062B8" w14:textId="77777777" w:rsidR="001752B7" w:rsidRPr="001752B7" w:rsidRDefault="001752B7" w:rsidP="001752B7">
            <w:pPr>
              <w:spacing w:after="0" w:line="240" w:lineRule="auto"/>
              <w:jc w:val="right"/>
              <w:rPr>
                <w:rFonts w:ascii="Calibri" w:eastAsia="Times New Roman" w:hAnsi="Calibri" w:cs="Calibri"/>
                <w:b/>
                <w:bCs/>
                <w:lang w:eastAsia="hr-HR"/>
              </w:rPr>
            </w:pPr>
            <w:r w:rsidRPr="001752B7">
              <w:rPr>
                <w:rFonts w:ascii="Calibri" w:eastAsia="Times New Roman" w:hAnsi="Calibri" w:cs="Calibri"/>
                <w:b/>
                <w:bCs/>
                <w:lang w:eastAsia="hr-HR"/>
              </w:rPr>
              <w:t>2</w:t>
            </w:r>
          </w:p>
        </w:tc>
        <w:tc>
          <w:tcPr>
            <w:tcW w:w="447" w:type="dxa"/>
            <w:tcBorders>
              <w:top w:val="nil"/>
              <w:left w:val="nil"/>
              <w:bottom w:val="single" w:sz="8" w:space="0" w:color="auto"/>
              <w:right w:val="single" w:sz="4" w:space="0" w:color="auto"/>
            </w:tcBorders>
            <w:shd w:val="clear" w:color="000000" w:fill="FFFF00"/>
            <w:hideMark/>
          </w:tcPr>
          <w:p w14:paraId="48C80C87" w14:textId="77777777" w:rsidR="001752B7" w:rsidRPr="001752B7" w:rsidRDefault="001752B7" w:rsidP="001752B7">
            <w:pPr>
              <w:spacing w:after="0" w:line="240" w:lineRule="auto"/>
              <w:jc w:val="right"/>
              <w:rPr>
                <w:rFonts w:ascii="Calibri" w:eastAsia="Times New Roman" w:hAnsi="Calibri" w:cs="Calibri"/>
                <w:b/>
                <w:bCs/>
                <w:lang w:eastAsia="hr-HR"/>
              </w:rPr>
            </w:pPr>
            <w:r w:rsidRPr="001752B7">
              <w:rPr>
                <w:rFonts w:ascii="Calibri" w:eastAsia="Times New Roman" w:hAnsi="Calibri" w:cs="Calibri"/>
                <w:b/>
                <w:bCs/>
                <w:lang w:eastAsia="hr-HR"/>
              </w:rPr>
              <w:t> </w:t>
            </w:r>
          </w:p>
        </w:tc>
        <w:tc>
          <w:tcPr>
            <w:tcW w:w="447" w:type="dxa"/>
            <w:tcBorders>
              <w:top w:val="nil"/>
              <w:left w:val="nil"/>
              <w:bottom w:val="single" w:sz="8" w:space="0" w:color="auto"/>
              <w:right w:val="single" w:sz="4" w:space="0" w:color="auto"/>
            </w:tcBorders>
            <w:shd w:val="clear" w:color="000000" w:fill="FFFF00"/>
            <w:hideMark/>
          </w:tcPr>
          <w:p w14:paraId="3D956F29" w14:textId="77777777" w:rsidR="001752B7" w:rsidRPr="001752B7" w:rsidRDefault="001752B7" w:rsidP="001752B7">
            <w:pPr>
              <w:spacing w:after="0" w:line="240" w:lineRule="auto"/>
              <w:jc w:val="right"/>
              <w:rPr>
                <w:rFonts w:ascii="Calibri" w:eastAsia="Times New Roman" w:hAnsi="Calibri" w:cs="Calibri"/>
                <w:b/>
                <w:bCs/>
                <w:lang w:eastAsia="hr-HR"/>
              </w:rPr>
            </w:pPr>
            <w:r w:rsidRPr="001752B7">
              <w:rPr>
                <w:rFonts w:ascii="Calibri" w:eastAsia="Times New Roman" w:hAnsi="Calibri" w:cs="Calibri"/>
                <w:b/>
                <w:bCs/>
                <w:lang w:eastAsia="hr-HR"/>
              </w:rPr>
              <w:t>19</w:t>
            </w:r>
          </w:p>
        </w:tc>
        <w:tc>
          <w:tcPr>
            <w:tcW w:w="572" w:type="dxa"/>
            <w:tcBorders>
              <w:top w:val="nil"/>
              <w:left w:val="nil"/>
              <w:bottom w:val="single" w:sz="8" w:space="0" w:color="auto"/>
              <w:right w:val="single" w:sz="4" w:space="0" w:color="auto"/>
            </w:tcBorders>
            <w:shd w:val="clear" w:color="000000" w:fill="FFFF00"/>
            <w:hideMark/>
          </w:tcPr>
          <w:p w14:paraId="28D642C0" w14:textId="77777777" w:rsidR="001752B7" w:rsidRPr="001752B7" w:rsidRDefault="001752B7" w:rsidP="001752B7">
            <w:pPr>
              <w:spacing w:after="0" w:line="240" w:lineRule="auto"/>
              <w:jc w:val="right"/>
              <w:rPr>
                <w:rFonts w:ascii="Calibri" w:eastAsia="Times New Roman" w:hAnsi="Calibri" w:cs="Calibri"/>
                <w:b/>
                <w:bCs/>
                <w:lang w:eastAsia="hr-HR"/>
              </w:rPr>
            </w:pPr>
            <w:r w:rsidRPr="001752B7">
              <w:rPr>
                <w:rFonts w:ascii="Calibri" w:eastAsia="Times New Roman" w:hAnsi="Calibri" w:cs="Calibri"/>
                <w:b/>
                <w:bCs/>
                <w:lang w:eastAsia="hr-HR"/>
              </w:rPr>
              <w:t>56</w:t>
            </w:r>
          </w:p>
        </w:tc>
        <w:tc>
          <w:tcPr>
            <w:tcW w:w="467" w:type="dxa"/>
            <w:tcBorders>
              <w:top w:val="nil"/>
              <w:left w:val="nil"/>
              <w:bottom w:val="single" w:sz="8" w:space="0" w:color="auto"/>
              <w:right w:val="single" w:sz="4" w:space="0" w:color="auto"/>
            </w:tcBorders>
            <w:shd w:val="clear" w:color="000000" w:fill="FFFF00"/>
            <w:hideMark/>
          </w:tcPr>
          <w:p w14:paraId="3ECB84D6" w14:textId="77777777" w:rsidR="001752B7" w:rsidRPr="001752B7" w:rsidRDefault="001752B7" w:rsidP="001752B7">
            <w:pPr>
              <w:spacing w:after="0" w:line="240" w:lineRule="auto"/>
              <w:jc w:val="right"/>
              <w:rPr>
                <w:rFonts w:ascii="Calibri" w:eastAsia="Times New Roman" w:hAnsi="Calibri" w:cs="Calibri"/>
                <w:b/>
                <w:bCs/>
                <w:lang w:eastAsia="hr-HR"/>
              </w:rPr>
            </w:pPr>
            <w:r w:rsidRPr="001752B7">
              <w:rPr>
                <w:rFonts w:ascii="Calibri" w:eastAsia="Times New Roman" w:hAnsi="Calibri" w:cs="Calibri"/>
                <w:b/>
                <w:bCs/>
                <w:lang w:eastAsia="hr-HR"/>
              </w:rPr>
              <w:t>34</w:t>
            </w:r>
          </w:p>
        </w:tc>
        <w:tc>
          <w:tcPr>
            <w:tcW w:w="579" w:type="dxa"/>
            <w:tcBorders>
              <w:top w:val="nil"/>
              <w:left w:val="nil"/>
              <w:bottom w:val="single" w:sz="8" w:space="0" w:color="auto"/>
              <w:right w:val="single" w:sz="4" w:space="0" w:color="auto"/>
            </w:tcBorders>
            <w:shd w:val="clear" w:color="000000" w:fill="FFFF00"/>
            <w:hideMark/>
          </w:tcPr>
          <w:p w14:paraId="20B3CB5A" w14:textId="77777777" w:rsidR="001752B7" w:rsidRPr="001752B7" w:rsidRDefault="001752B7" w:rsidP="001752B7">
            <w:pPr>
              <w:spacing w:after="0" w:line="240" w:lineRule="auto"/>
              <w:jc w:val="right"/>
              <w:rPr>
                <w:rFonts w:ascii="Calibri" w:eastAsia="Times New Roman" w:hAnsi="Calibri" w:cs="Calibri"/>
                <w:b/>
                <w:bCs/>
                <w:lang w:eastAsia="hr-HR"/>
              </w:rPr>
            </w:pPr>
            <w:r w:rsidRPr="001752B7">
              <w:rPr>
                <w:rFonts w:ascii="Calibri" w:eastAsia="Times New Roman" w:hAnsi="Calibri" w:cs="Calibri"/>
                <w:b/>
                <w:bCs/>
                <w:lang w:eastAsia="hr-HR"/>
              </w:rPr>
              <w:t>15</w:t>
            </w:r>
          </w:p>
        </w:tc>
        <w:tc>
          <w:tcPr>
            <w:tcW w:w="447" w:type="dxa"/>
            <w:tcBorders>
              <w:top w:val="nil"/>
              <w:left w:val="nil"/>
              <w:bottom w:val="single" w:sz="8" w:space="0" w:color="auto"/>
              <w:right w:val="single" w:sz="4" w:space="0" w:color="auto"/>
            </w:tcBorders>
            <w:shd w:val="clear" w:color="000000" w:fill="FFFF00"/>
            <w:hideMark/>
          </w:tcPr>
          <w:p w14:paraId="2C8D0BB8" w14:textId="77777777" w:rsidR="001752B7" w:rsidRPr="001752B7" w:rsidRDefault="001752B7" w:rsidP="001752B7">
            <w:pPr>
              <w:spacing w:after="0" w:line="240" w:lineRule="auto"/>
              <w:jc w:val="right"/>
              <w:rPr>
                <w:rFonts w:ascii="Calibri" w:eastAsia="Times New Roman" w:hAnsi="Calibri" w:cs="Calibri"/>
                <w:b/>
                <w:bCs/>
                <w:lang w:eastAsia="hr-HR"/>
              </w:rPr>
            </w:pPr>
            <w:r w:rsidRPr="001752B7">
              <w:rPr>
                <w:rFonts w:ascii="Calibri" w:eastAsia="Times New Roman" w:hAnsi="Calibri" w:cs="Calibri"/>
                <w:b/>
                <w:bCs/>
                <w:lang w:eastAsia="hr-HR"/>
              </w:rPr>
              <w:t>1</w:t>
            </w:r>
          </w:p>
        </w:tc>
        <w:tc>
          <w:tcPr>
            <w:tcW w:w="447" w:type="dxa"/>
            <w:tcBorders>
              <w:top w:val="nil"/>
              <w:left w:val="nil"/>
              <w:bottom w:val="single" w:sz="8" w:space="0" w:color="auto"/>
              <w:right w:val="single" w:sz="4" w:space="0" w:color="auto"/>
            </w:tcBorders>
            <w:shd w:val="clear" w:color="000000" w:fill="FFFF00"/>
            <w:hideMark/>
          </w:tcPr>
          <w:p w14:paraId="3A076B62" w14:textId="77777777" w:rsidR="001752B7" w:rsidRPr="001752B7" w:rsidRDefault="001752B7" w:rsidP="001752B7">
            <w:pPr>
              <w:spacing w:after="0" w:line="240" w:lineRule="auto"/>
              <w:jc w:val="right"/>
              <w:rPr>
                <w:rFonts w:ascii="Calibri" w:eastAsia="Times New Roman" w:hAnsi="Calibri" w:cs="Calibri"/>
                <w:b/>
                <w:bCs/>
                <w:lang w:eastAsia="hr-HR"/>
              </w:rPr>
            </w:pPr>
            <w:r w:rsidRPr="001752B7">
              <w:rPr>
                <w:rFonts w:ascii="Calibri" w:eastAsia="Times New Roman" w:hAnsi="Calibri" w:cs="Calibri"/>
                <w:b/>
                <w:bCs/>
                <w:lang w:eastAsia="hr-HR"/>
              </w:rPr>
              <w:t>78</w:t>
            </w:r>
          </w:p>
        </w:tc>
        <w:tc>
          <w:tcPr>
            <w:tcW w:w="698" w:type="dxa"/>
            <w:tcBorders>
              <w:top w:val="nil"/>
              <w:left w:val="nil"/>
              <w:bottom w:val="single" w:sz="8" w:space="0" w:color="auto"/>
              <w:right w:val="single" w:sz="4" w:space="0" w:color="auto"/>
            </w:tcBorders>
            <w:shd w:val="clear" w:color="000000" w:fill="FFFF00"/>
            <w:hideMark/>
          </w:tcPr>
          <w:p w14:paraId="49AF6AC3" w14:textId="77777777" w:rsidR="001752B7" w:rsidRPr="001752B7" w:rsidRDefault="001752B7" w:rsidP="001752B7">
            <w:pPr>
              <w:spacing w:after="0" w:line="240" w:lineRule="auto"/>
              <w:jc w:val="right"/>
              <w:rPr>
                <w:rFonts w:ascii="Calibri" w:eastAsia="Times New Roman" w:hAnsi="Calibri" w:cs="Calibri"/>
                <w:b/>
                <w:bCs/>
                <w:lang w:eastAsia="hr-HR"/>
              </w:rPr>
            </w:pPr>
            <w:r w:rsidRPr="001752B7">
              <w:rPr>
                <w:rFonts w:ascii="Calibri" w:eastAsia="Times New Roman" w:hAnsi="Calibri" w:cs="Calibri"/>
                <w:b/>
                <w:bCs/>
                <w:lang w:eastAsia="hr-HR"/>
              </w:rPr>
              <w:t>16</w:t>
            </w:r>
          </w:p>
        </w:tc>
        <w:tc>
          <w:tcPr>
            <w:tcW w:w="447" w:type="dxa"/>
            <w:tcBorders>
              <w:top w:val="nil"/>
              <w:left w:val="nil"/>
              <w:bottom w:val="single" w:sz="8" w:space="0" w:color="auto"/>
              <w:right w:val="single" w:sz="4" w:space="0" w:color="auto"/>
            </w:tcBorders>
            <w:shd w:val="clear" w:color="000000" w:fill="FFFF00"/>
            <w:hideMark/>
          </w:tcPr>
          <w:p w14:paraId="699FA4B6" w14:textId="77777777" w:rsidR="001752B7" w:rsidRPr="001752B7" w:rsidRDefault="001752B7" w:rsidP="001752B7">
            <w:pPr>
              <w:spacing w:after="0" w:line="240" w:lineRule="auto"/>
              <w:jc w:val="right"/>
              <w:rPr>
                <w:rFonts w:ascii="Calibri" w:eastAsia="Times New Roman" w:hAnsi="Calibri" w:cs="Calibri"/>
                <w:b/>
                <w:bCs/>
                <w:lang w:eastAsia="hr-HR"/>
              </w:rPr>
            </w:pPr>
            <w:r w:rsidRPr="001752B7">
              <w:rPr>
                <w:rFonts w:ascii="Calibri" w:eastAsia="Times New Roman" w:hAnsi="Calibri" w:cs="Calibri"/>
                <w:b/>
                <w:bCs/>
                <w:lang w:eastAsia="hr-HR"/>
              </w:rPr>
              <w:t>95</w:t>
            </w:r>
          </w:p>
        </w:tc>
        <w:tc>
          <w:tcPr>
            <w:tcW w:w="652" w:type="dxa"/>
            <w:tcBorders>
              <w:top w:val="nil"/>
              <w:left w:val="nil"/>
              <w:bottom w:val="single" w:sz="8" w:space="0" w:color="auto"/>
              <w:right w:val="single" w:sz="4" w:space="0" w:color="auto"/>
            </w:tcBorders>
            <w:shd w:val="clear" w:color="000000" w:fill="FFFF00"/>
            <w:hideMark/>
          </w:tcPr>
          <w:p w14:paraId="2C7ECD35" w14:textId="77777777" w:rsidR="001752B7" w:rsidRPr="001752B7" w:rsidRDefault="001752B7" w:rsidP="001752B7">
            <w:pPr>
              <w:spacing w:after="0" w:line="240" w:lineRule="auto"/>
              <w:jc w:val="right"/>
              <w:rPr>
                <w:rFonts w:ascii="Calibri" w:eastAsia="Times New Roman" w:hAnsi="Calibri" w:cs="Calibri"/>
                <w:b/>
                <w:bCs/>
                <w:lang w:eastAsia="hr-HR"/>
              </w:rPr>
            </w:pPr>
            <w:r w:rsidRPr="001752B7">
              <w:rPr>
                <w:rFonts w:ascii="Calibri" w:eastAsia="Times New Roman" w:hAnsi="Calibri" w:cs="Calibri"/>
                <w:b/>
                <w:bCs/>
                <w:lang w:eastAsia="hr-HR"/>
              </w:rPr>
              <w:t>103</w:t>
            </w:r>
          </w:p>
        </w:tc>
        <w:tc>
          <w:tcPr>
            <w:tcW w:w="614" w:type="dxa"/>
            <w:tcBorders>
              <w:top w:val="nil"/>
              <w:left w:val="nil"/>
              <w:bottom w:val="single" w:sz="8" w:space="0" w:color="auto"/>
              <w:right w:val="single" w:sz="4" w:space="0" w:color="auto"/>
            </w:tcBorders>
            <w:shd w:val="clear" w:color="000000" w:fill="FFFF00"/>
            <w:hideMark/>
          </w:tcPr>
          <w:p w14:paraId="17934419" w14:textId="77777777" w:rsidR="001752B7" w:rsidRPr="001752B7" w:rsidRDefault="001752B7" w:rsidP="001752B7">
            <w:pPr>
              <w:spacing w:after="0" w:line="240" w:lineRule="auto"/>
              <w:jc w:val="right"/>
              <w:rPr>
                <w:rFonts w:ascii="Calibri" w:eastAsia="Times New Roman" w:hAnsi="Calibri" w:cs="Calibri"/>
                <w:b/>
                <w:bCs/>
                <w:lang w:eastAsia="hr-HR"/>
              </w:rPr>
            </w:pPr>
            <w:r w:rsidRPr="001752B7">
              <w:rPr>
                <w:rFonts w:ascii="Calibri" w:eastAsia="Times New Roman" w:hAnsi="Calibri" w:cs="Calibri"/>
                <w:b/>
                <w:bCs/>
                <w:lang w:eastAsia="hr-HR"/>
              </w:rPr>
              <w:t>103</w:t>
            </w:r>
          </w:p>
        </w:tc>
        <w:tc>
          <w:tcPr>
            <w:tcW w:w="519" w:type="dxa"/>
            <w:tcBorders>
              <w:top w:val="nil"/>
              <w:left w:val="nil"/>
              <w:bottom w:val="single" w:sz="8" w:space="0" w:color="auto"/>
              <w:right w:val="single" w:sz="4" w:space="0" w:color="auto"/>
            </w:tcBorders>
            <w:shd w:val="clear" w:color="000000" w:fill="FFFF00"/>
            <w:hideMark/>
          </w:tcPr>
          <w:p w14:paraId="07A81E65" w14:textId="77777777" w:rsidR="001752B7" w:rsidRPr="001752B7" w:rsidRDefault="001752B7" w:rsidP="001752B7">
            <w:pPr>
              <w:spacing w:after="0" w:line="240" w:lineRule="auto"/>
              <w:jc w:val="right"/>
              <w:rPr>
                <w:rFonts w:ascii="Calibri" w:eastAsia="Times New Roman" w:hAnsi="Calibri" w:cs="Calibri"/>
                <w:b/>
                <w:bCs/>
                <w:lang w:eastAsia="hr-HR"/>
              </w:rPr>
            </w:pPr>
            <w:r w:rsidRPr="001752B7">
              <w:rPr>
                <w:rFonts w:ascii="Calibri" w:eastAsia="Times New Roman" w:hAnsi="Calibri" w:cs="Calibri"/>
                <w:b/>
                <w:bCs/>
                <w:lang w:eastAsia="hr-HR"/>
              </w:rPr>
              <w:t>82</w:t>
            </w:r>
          </w:p>
        </w:tc>
        <w:tc>
          <w:tcPr>
            <w:tcW w:w="477" w:type="dxa"/>
            <w:tcBorders>
              <w:top w:val="nil"/>
              <w:left w:val="nil"/>
              <w:bottom w:val="single" w:sz="8" w:space="0" w:color="auto"/>
              <w:right w:val="single" w:sz="4" w:space="0" w:color="auto"/>
            </w:tcBorders>
            <w:shd w:val="clear" w:color="000000" w:fill="FFFF00"/>
            <w:hideMark/>
          </w:tcPr>
          <w:p w14:paraId="57A2BBB7" w14:textId="77777777" w:rsidR="001752B7" w:rsidRPr="001752B7" w:rsidRDefault="001752B7" w:rsidP="001752B7">
            <w:pPr>
              <w:spacing w:after="0" w:line="240" w:lineRule="auto"/>
              <w:jc w:val="right"/>
              <w:rPr>
                <w:rFonts w:ascii="Calibri" w:eastAsia="Times New Roman" w:hAnsi="Calibri" w:cs="Calibri"/>
                <w:b/>
                <w:bCs/>
                <w:lang w:eastAsia="hr-HR"/>
              </w:rPr>
            </w:pPr>
            <w:r w:rsidRPr="001752B7">
              <w:rPr>
                <w:rFonts w:ascii="Calibri" w:eastAsia="Times New Roman" w:hAnsi="Calibri" w:cs="Calibri"/>
                <w:b/>
                <w:bCs/>
                <w:lang w:eastAsia="hr-HR"/>
              </w:rPr>
              <w:t>30</w:t>
            </w:r>
          </w:p>
        </w:tc>
        <w:tc>
          <w:tcPr>
            <w:tcW w:w="506" w:type="dxa"/>
            <w:tcBorders>
              <w:top w:val="nil"/>
              <w:left w:val="nil"/>
              <w:bottom w:val="single" w:sz="8" w:space="0" w:color="auto"/>
              <w:right w:val="single" w:sz="4" w:space="0" w:color="auto"/>
            </w:tcBorders>
            <w:shd w:val="clear" w:color="000000" w:fill="FFFF00"/>
            <w:hideMark/>
          </w:tcPr>
          <w:p w14:paraId="19085012" w14:textId="77777777" w:rsidR="001752B7" w:rsidRPr="001752B7" w:rsidRDefault="001752B7" w:rsidP="001752B7">
            <w:pPr>
              <w:spacing w:after="0" w:line="240" w:lineRule="auto"/>
              <w:jc w:val="right"/>
              <w:rPr>
                <w:rFonts w:ascii="Calibri" w:eastAsia="Times New Roman" w:hAnsi="Calibri" w:cs="Calibri"/>
                <w:b/>
                <w:bCs/>
                <w:lang w:eastAsia="hr-HR"/>
              </w:rPr>
            </w:pPr>
            <w:r w:rsidRPr="001752B7">
              <w:rPr>
                <w:rFonts w:ascii="Calibri" w:eastAsia="Times New Roman" w:hAnsi="Calibri" w:cs="Calibri"/>
                <w:b/>
                <w:bCs/>
                <w:lang w:eastAsia="hr-HR"/>
              </w:rPr>
              <w:t>31</w:t>
            </w:r>
          </w:p>
        </w:tc>
        <w:tc>
          <w:tcPr>
            <w:tcW w:w="485" w:type="dxa"/>
            <w:tcBorders>
              <w:top w:val="nil"/>
              <w:left w:val="nil"/>
              <w:bottom w:val="single" w:sz="8" w:space="0" w:color="auto"/>
              <w:right w:val="single" w:sz="4" w:space="0" w:color="auto"/>
            </w:tcBorders>
            <w:shd w:val="clear" w:color="000000" w:fill="FFFF00"/>
            <w:hideMark/>
          </w:tcPr>
          <w:p w14:paraId="6EF48E4A" w14:textId="77777777" w:rsidR="001752B7" w:rsidRPr="001752B7" w:rsidRDefault="001752B7" w:rsidP="001752B7">
            <w:pPr>
              <w:spacing w:after="0" w:line="240" w:lineRule="auto"/>
              <w:jc w:val="right"/>
              <w:rPr>
                <w:rFonts w:ascii="Calibri" w:eastAsia="Times New Roman" w:hAnsi="Calibri" w:cs="Calibri"/>
                <w:b/>
                <w:bCs/>
                <w:lang w:eastAsia="hr-HR"/>
              </w:rPr>
            </w:pPr>
            <w:r w:rsidRPr="001752B7">
              <w:rPr>
                <w:rFonts w:ascii="Calibri" w:eastAsia="Times New Roman" w:hAnsi="Calibri" w:cs="Calibri"/>
                <w:b/>
                <w:bCs/>
                <w:lang w:eastAsia="hr-HR"/>
              </w:rPr>
              <w:t>1</w:t>
            </w:r>
          </w:p>
        </w:tc>
        <w:tc>
          <w:tcPr>
            <w:tcW w:w="561" w:type="dxa"/>
            <w:tcBorders>
              <w:top w:val="nil"/>
              <w:left w:val="nil"/>
              <w:bottom w:val="single" w:sz="8" w:space="0" w:color="auto"/>
              <w:right w:val="single" w:sz="4" w:space="0" w:color="auto"/>
            </w:tcBorders>
            <w:shd w:val="clear" w:color="000000" w:fill="FFFF00"/>
            <w:hideMark/>
          </w:tcPr>
          <w:p w14:paraId="37039F39" w14:textId="77777777" w:rsidR="001752B7" w:rsidRPr="001752B7" w:rsidRDefault="001752B7" w:rsidP="001752B7">
            <w:pPr>
              <w:spacing w:after="0" w:line="240" w:lineRule="auto"/>
              <w:jc w:val="right"/>
              <w:rPr>
                <w:rFonts w:ascii="Calibri" w:eastAsia="Times New Roman" w:hAnsi="Calibri" w:cs="Calibri"/>
                <w:b/>
                <w:bCs/>
                <w:lang w:eastAsia="hr-HR"/>
              </w:rPr>
            </w:pPr>
            <w:r w:rsidRPr="001752B7">
              <w:rPr>
                <w:rFonts w:ascii="Calibri" w:eastAsia="Times New Roman" w:hAnsi="Calibri" w:cs="Calibri"/>
                <w:b/>
                <w:bCs/>
                <w:lang w:eastAsia="hr-HR"/>
              </w:rPr>
              <w:t>87</w:t>
            </w:r>
          </w:p>
        </w:tc>
        <w:tc>
          <w:tcPr>
            <w:tcW w:w="595" w:type="dxa"/>
            <w:tcBorders>
              <w:top w:val="nil"/>
              <w:left w:val="nil"/>
              <w:bottom w:val="single" w:sz="8" w:space="0" w:color="auto"/>
              <w:right w:val="single" w:sz="8" w:space="0" w:color="auto"/>
            </w:tcBorders>
            <w:shd w:val="clear" w:color="000000" w:fill="FFFF00"/>
            <w:hideMark/>
          </w:tcPr>
          <w:p w14:paraId="21002EBE" w14:textId="77777777" w:rsidR="001752B7" w:rsidRPr="001752B7" w:rsidRDefault="001752B7" w:rsidP="001752B7">
            <w:pPr>
              <w:spacing w:after="0" w:line="240" w:lineRule="auto"/>
              <w:jc w:val="right"/>
              <w:rPr>
                <w:rFonts w:ascii="Calibri" w:eastAsia="Times New Roman" w:hAnsi="Calibri" w:cs="Calibri"/>
                <w:b/>
                <w:bCs/>
                <w:lang w:eastAsia="hr-HR"/>
              </w:rPr>
            </w:pPr>
            <w:r w:rsidRPr="001752B7">
              <w:rPr>
                <w:rFonts w:ascii="Calibri" w:eastAsia="Times New Roman" w:hAnsi="Calibri" w:cs="Calibri"/>
                <w:b/>
                <w:bCs/>
                <w:lang w:eastAsia="hr-HR"/>
              </w:rPr>
              <w:t>16</w:t>
            </w:r>
          </w:p>
        </w:tc>
        <w:tc>
          <w:tcPr>
            <w:tcW w:w="266" w:type="dxa"/>
            <w:gridSpan w:val="3"/>
            <w:vAlign w:val="center"/>
            <w:hideMark/>
          </w:tcPr>
          <w:p w14:paraId="1F0DEB1E" w14:textId="77777777" w:rsidR="001752B7" w:rsidRPr="001752B7" w:rsidRDefault="001752B7" w:rsidP="001752B7">
            <w:pPr>
              <w:spacing w:after="0" w:line="240" w:lineRule="auto"/>
              <w:rPr>
                <w:rFonts w:ascii="Times New Roman" w:eastAsia="Times New Roman" w:hAnsi="Times New Roman" w:cs="Times New Roman"/>
                <w:sz w:val="20"/>
                <w:szCs w:val="20"/>
                <w:lang w:eastAsia="hr-HR"/>
              </w:rPr>
            </w:pPr>
          </w:p>
        </w:tc>
      </w:tr>
    </w:tbl>
    <w:p w14:paraId="0F26A5AC" w14:textId="58AE7560" w:rsidR="001752B7" w:rsidRDefault="001752B7" w:rsidP="00E103B8">
      <w:pPr>
        <w:rPr>
          <w:rFonts w:ascii="Times New Roman" w:hAnsi="Times New Roman" w:cs="Times New Roman"/>
          <w:sz w:val="24"/>
          <w:szCs w:val="24"/>
        </w:rPr>
      </w:pPr>
    </w:p>
    <w:p w14:paraId="37D9BF10" w14:textId="71F89EA7" w:rsidR="001752B7" w:rsidRDefault="000271A1" w:rsidP="00E103B8">
      <w:pPr>
        <w:rPr>
          <w:rFonts w:ascii="Times New Roman" w:hAnsi="Times New Roman" w:cs="Times New Roman"/>
          <w:sz w:val="24"/>
          <w:szCs w:val="24"/>
        </w:rPr>
      </w:pPr>
      <w:r>
        <w:rPr>
          <w:rFonts w:ascii="Times New Roman" w:hAnsi="Times New Roman" w:cs="Times New Roman"/>
          <w:sz w:val="24"/>
          <w:szCs w:val="24"/>
        </w:rPr>
        <w:lastRenderedPageBreak/>
        <w:t>NAPOMENE:</w:t>
      </w:r>
    </w:p>
    <w:p w14:paraId="69EB6BE5" w14:textId="4EE5CC68" w:rsidR="000271A1" w:rsidRDefault="000271A1" w:rsidP="00E103B8">
      <w:pPr>
        <w:rPr>
          <w:rFonts w:ascii="Times New Roman" w:hAnsi="Times New Roman" w:cs="Times New Roman"/>
          <w:sz w:val="24"/>
          <w:szCs w:val="24"/>
        </w:rPr>
      </w:pPr>
      <w:r w:rsidRPr="000271A1">
        <w:rPr>
          <w:rFonts w:ascii="Times New Roman" w:hAnsi="Times New Roman" w:cs="Times New Roman"/>
          <w:sz w:val="24"/>
          <w:szCs w:val="24"/>
        </w:rPr>
        <w:t>*Zbog reorganizacije prekršajnih sudova te migracije velikog broja predmeta kao i primjene novog sustava JCMS mnogi prekršajni sudovi nisu mogli iskazati sve neriješene predmete sa kraja 2015. godine</w:t>
      </w:r>
    </w:p>
    <w:p w14:paraId="60DF9DE7" w14:textId="0C689F42" w:rsidR="000271A1" w:rsidRDefault="000271A1" w:rsidP="00E103B8">
      <w:pPr>
        <w:rPr>
          <w:rFonts w:ascii="Times New Roman" w:hAnsi="Times New Roman" w:cs="Times New Roman"/>
          <w:sz w:val="24"/>
          <w:szCs w:val="24"/>
        </w:rPr>
      </w:pPr>
      <w:r w:rsidRPr="000271A1">
        <w:rPr>
          <w:rFonts w:ascii="Times New Roman" w:hAnsi="Times New Roman" w:cs="Times New Roman"/>
          <w:sz w:val="24"/>
          <w:szCs w:val="24"/>
        </w:rPr>
        <w:t>*U 2 riješena predmeta bilo je više okrivljenika od kojih su neki dobili oslobađajuću, a neki osuđujuću presudu pa se iz tog razloga zbroj kolona 11.,12. i 13. ne poklapa sa brojem iskazanim u koloni 18. -"Ukupno riješeno"</w:t>
      </w:r>
    </w:p>
    <w:p w14:paraId="4AE10A20" w14:textId="24B26A6A" w:rsidR="000271A1" w:rsidRDefault="000271A1">
      <w:pPr>
        <w:rPr>
          <w:rFonts w:ascii="Times New Roman" w:hAnsi="Times New Roman" w:cs="Times New Roman"/>
          <w:sz w:val="24"/>
          <w:szCs w:val="24"/>
        </w:rPr>
      </w:pPr>
      <w:r>
        <w:rPr>
          <w:rFonts w:ascii="Times New Roman" w:hAnsi="Times New Roman" w:cs="Times New Roman"/>
          <w:sz w:val="24"/>
          <w:szCs w:val="24"/>
        </w:rPr>
        <w:br w:type="page"/>
      </w:r>
    </w:p>
    <w:p w14:paraId="66FEEB1A" w14:textId="605C0C19" w:rsidR="00E103B8" w:rsidRDefault="00E103B8" w:rsidP="00E103B8">
      <w:pPr>
        <w:rPr>
          <w:rFonts w:ascii="Times New Roman" w:hAnsi="Times New Roman" w:cs="Times New Roman"/>
          <w:sz w:val="24"/>
          <w:szCs w:val="24"/>
        </w:rPr>
      </w:pPr>
      <w:r w:rsidRPr="005E671C">
        <w:rPr>
          <w:rFonts w:ascii="Times New Roman" w:hAnsi="Times New Roman" w:cs="Times New Roman"/>
          <w:sz w:val="24"/>
          <w:szCs w:val="24"/>
        </w:rPr>
        <w:lastRenderedPageBreak/>
        <w:t>OPĆINSKI SUDOVI (GRAĐANSKI PREDMETI) - UKUPNO 201</w:t>
      </w:r>
      <w:r>
        <w:rPr>
          <w:rFonts w:ascii="Times New Roman" w:hAnsi="Times New Roman" w:cs="Times New Roman"/>
          <w:sz w:val="24"/>
          <w:szCs w:val="24"/>
        </w:rPr>
        <w:t>6</w:t>
      </w:r>
      <w:r w:rsidRPr="005E671C">
        <w:rPr>
          <w:rFonts w:ascii="Times New Roman" w:hAnsi="Times New Roman" w:cs="Times New Roman"/>
          <w:sz w:val="24"/>
          <w:szCs w:val="24"/>
        </w:rPr>
        <w:t>. godina</w:t>
      </w:r>
    </w:p>
    <w:tbl>
      <w:tblPr>
        <w:tblW w:w="14716" w:type="dxa"/>
        <w:tblLayout w:type="fixed"/>
        <w:tblLook w:val="04A0" w:firstRow="1" w:lastRow="0" w:firstColumn="1" w:lastColumn="0" w:noHBand="0" w:noVBand="1"/>
      </w:tblPr>
      <w:tblGrid>
        <w:gridCol w:w="1408"/>
        <w:gridCol w:w="673"/>
        <w:gridCol w:w="521"/>
        <w:gridCol w:w="477"/>
        <w:gridCol w:w="426"/>
        <w:gridCol w:w="698"/>
        <w:gridCol w:w="698"/>
        <w:gridCol w:w="698"/>
        <w:gridCol w:w="698"/>
        <w:gridCol w:w="698"/>
        <w:gridCol w:w="698"/>
        <w:gridCol w:w="469"/>
        <w:gridCol w:w="419"/>
        <w:gridCol w:w="521"/>
        <w:gridCol w:w="476"/>
        <w:gridCol w:w="698"/>
        <w:gridCol w:w="643"/>
        <w:gridCol w:w="605"/>
        <w:gridCol w:w="698"/>
        <w:gridCol w:w="464"/>
        <w:gridCol w:w="425"/>
        <w:gridCol w:w="426"/>
        <w:gridCol w:w="487"/>
        <w:gridCol w:w="425"/>
        <w:gridCol w:w="236"/>
        <w:gridCol w:w="31"/>
      </w:tblGrid>
      <w:tr w:rsidR="001752B7" w:rsidRPr="001752B7" w14:paraId="53C45913" w14:textId="77777777" w:rsidTr="000271A1">
        <w:trPr>
          <w:gridAfter w:val="2"/>
          <w:wAfter w:w="267" w:type="dxa"/>
          <w:trHeight w:val="450"/>
        </w:trPr>
        <w:tc>
          <w:tcPr>
            <w:tcW w:w="1408" w:type="dxa"/>
            <w:vMerge w:val="restart"/>
            <w:tcBorders>
              <w:top w:val="single" w:sz="8" w:space="0" w:color="auto"/>
              <w:left w:val="single" w:sz="8" w:space="0" w:color="auto"/>
              <w:bottom w:val="single" w:sz="4" w:space="0" w:color="auto"/>
              <w:right w:val="single" w:sz="4" w:space="0" w:color="auto"/>
            </w:tcBorders>
            <w:shd w:val="clear" w:color="000000" w:fill="CCFFCC"/>
            <w:vAlign w:val="center"/>
            <w:hideMark/>
          </w:tcPr>
          <w:p w14:paraId="4A274845" w14:textId="77777777" w:rsidR="001752B7" w:rsidRPr="000271A1" w:rsidRDefault="001752B7" w:rsidP="001752B7">
            <w:pPr>
              <w:spacing w:after="0" w:line="240" w:lineRule="auto"/>
              <w:jc w:val="center"/>
              <w:rPr>
                <w:rFonts w:ascii="Tahoma" w:eastAsia="Times New Roman" w:hAnsi="Tahoma" w:cs="Tahoma"/>
                <w:sz w:val="18"/>
                <w:szCs w:val="18"/>
                <w:lang w:eastAsia="hr-HR"/>
              </w:rPr>
            </w:pPr>
            <w:r w:rsidRPr="000271A1">
              <w:rPr>
                <w:rFonts w:ascii="Tahoma" w:eastAsia="Times New Roman" w:hAnsi="Tahoma" w:cs="Tahoma"/>
                <w:sz w:val="18"/>
                <w:szCs w:val="18"/>
                <w:lang w:eastAsia="hr-HR"/>
              </w:rPr>
              <w:t>OSNOVE DISKRIMINACIJE (čl. 1. Zakona o suzbijanju diskriminacije)</w:t>
            </w:r>
          </w:p>
        </w:tc>
        <w:tc>
          <w:tcPr>
            <w:tcW w:w="13041" w:type="dxa"/>
            <w:gridSpan w:val="23"/>
            <w:vMerge w:val="restart"/>
            <w:tcBorders>
              <w:top w:val="single" w:sz="8" w:space="0" w:color="auto"/>
              <w:left w:val="single" w:sz="4" w:space="0" w:color="auto"/>
              <w:bottom w:val="single" w:sz="4" w:space="0" w:color="000000"/>
              <w:right w:val="single" w:sz="8" w:space="0" w:color="000000"/>
            </w:tcBorders>
            <w:shd w:val="clear" w:color="000000" w:fill="CCFFCC"/>
            <w:noWrap/>
            <w:vAlign w:val="center"/>
            <w:hideMark/>
          </w:tcPr>
          <w:p w14:paraId="600C5276" w14:textId="77777777" w:rsidR="001752B7" w:rsidRPr="000271A1" w:rsidRDefault="001752B7" w:rsidP="001752B7">
            <w:pPr>
              <w:spacing w:after="0" w:line="240" w:lineRule="auto"/>
              <w:jc w:val="center"/>
              <w:rPr>
                <w:rFonts w:ascii="Tahoma" w:eastAsia="Times New Roman" w:hAnsi="Tahoma" w:cs="Tahoma"/>
                <w:b/>
                <w:bCs/>
                <w:sz w:val="18"/>
                <w:szCs w:val="18"/>
                <w:lang w:eastAsia="hr-HR"/>
              </w:rPr>
            </w:pPr>
            <w:r w:rsidRPr="000271A1">
              <w:rPr>
                <w:rFonts w:ascii="Tahoma" w:eastAsia="Times New Roman" w:hAnsi="Tahoma" w:cs="Tahoma"/>
                <w:b/>
                <w:bCs/>
                <w:sz w:val="18"/>
                <w:szCs w:val="18"/>
                <w:lang w:eastAsia="hr-HR"/>
              </w:rPr>
              <w:t>G R A Đ A N S K I  P R E D M E T I</w:t>
            </w:r>
          </w:p>
        </w:tc>
      </w:tr>
      <w:tr w:rsidR="001752B7" w:rsidRPr="001752B7" w14:paraId="5D6A29D5" w14:textId="77777777" w:rsidTr="000271A1">
        <w:trPr>
          <w:trHeight w:val="300"/>
        </w:trPr>
        <w:tc>
          <w:tcPr>
            <w:tcW w:w="1408" w:type="dxa"/>
            <w:vMerge/>
            <w:tcBorders>
              <w:top w:val="single" w:sz="8" w:space="0" w:color="auto"/>
              <w:left w:val="single" w:sz="8" w:space="0" w:color="auto"/>
              <w:bottom w:val="single" w:sz="4" w:space="0" w:color="auto"/>
              <w:right w:val="single" w:sz="4" w:space="0" w:color="auto"/>
            </w:tcBorders>
            <w:vAlign w:val="center"/>
            <w:hideMark/>
          </w:tcPr>
          <w:p w14:paraId="2E9A106F" w14:textId="77777777" w:rsidR="001752B7" w:rsidRPr="000271A1" w:rsidRDefault="001752B7" w:rsidP="001752B7">
            <w:pPr>
              <w:spacing w:after="0" w:line="240" w:lineRule="auto"/>
              <w:rPr>
                <w:rFonts w:ascii="Tahoma" w:eastAsia="Times New Roman" w:hAnsi="Tahoma" w:cs="Tahoma"/>
                <w:sz w:val="18"/>
                <w:szCs w:val="18"/>
                <w:lang w:eastAsia="hr-HR"/>
              </w:rPr>
            </w:pPr>
          </w:p>
        </w:tc>
        <w:tc>
          <w:tcPr>
            <w:tcW w:w="13041" w:type="dxa"/>
            <w:gridSpan w:val="23"/>
            <w:vMerge/>
            <w:tcBorders>
              <w:top w:val="single" w:sz="8" w:space="0" w:color="auto"/>
              <w:left w:val="single" w:sz="4" w:space="0" w:color="auto"/>
              <w:bottom w:val="single" w:sz="4" w:space="0" w:color="000000"/>
              <w:right w:val="single" w:sz="8" w:space="0" w:color="000000"/>
            </w:tcBorders>
            <w:vAlign w:val="center"/>
            <w:hideMark/>
          </w:tcPr>
          <w:p w14:paraId="677546B1" w14:textId="77777777" w:rsidR="001752B7" w:rsidRPr="000271A1" w:rsidRDefault="001752B7" w:rsidP="001752B7">
            <w:pPr>
              <w:spacing w:after="0" w:line="240" w:lineRule="auto"/>
              <w:rPr>
                <w:rFonts w:ascii="Tahoma" w:eastAsia="Times New Roman" w:hAnsi="Tahoma" w:cs="Tahoma"/>
                <w:b/>
                <w:bCs/>
                <w:sz w:val="18"/>
                <w:szCs w:val="18"/>
                <w:lang w:eastAsia="hr-HR"/>
              </w:rPr>
            </w:pPr>
          </w:p>
        </w:tc>
        <w:tc>
          <w:tcPr>
            <w:tcW w:w="267" w:type="dxa"/>
            <w:gridSpan w:val="2"/>
            <w:tcBorders>
              <w:top w:val="nil"/>
              <w:left w:val="nil"/>
              <w:bottom w:val="nil"/>
              <w:right w:val="nil"/>
            </w:tcBorders>
            <w:shd w:val="clear" w:color="auto" w:fill="auto"/>
            <w:noWrap/>
            <w:vAlign w:val="bottom"/>
            <w:hideMark/>
          </w:tcPr>
          <w:p w14:paraId="1925E260" w14:textId="77777777" w:rsidR="001752B7" w:rsidRPr="001752B7" w:rsidRDefault="001752B7" w:rsidP="001752B7">
            <w:pPr>
              <w:spacing w:after="0" w:line="240" w:lineRule="auto"/>
              <w:jc w:val="center"/>
              <w:rPr>
                <w:rFonts w:ascii="Tahoma" w:eastAsia="Times New Roman" w:hAnsi="Tahoma" w:cs="Tahoma"/>
                <w:b/>
                <w:bCs/>
                <w:sz w:val="20"/>
                <w:szCs w:val="20"/>
                <w:lang w:eastAsia="hr-HR"/>
              </w:rPr>
            </w:pPr>
          </w:p>
        </w:tc>
      </w:tr>
      <w:tr w:rsidR="001752B7" w:rsidRPr="001752B7" w14:paraId="23124D34" w14:textId="77777777" w:rsidTr="000271A1">
        <w:trPr>
          <w:gridAfter w:val="1"/>
          <w:wAfter w:w="31" w:type="dxa"/>
          <w:trHeight w:val="1832"/>
        </w:trPr>
        <w:tc>
          <w:tcPr>
            <w:tcW w:w="1408" w:type="dxa"/>
            <w:vMerge/>
            <w:tcBorders>
              <w:top w:val="single" w:sz="8" w:space="0" w:color="auto"/>
              <w:left w:val="single" w:sz="8" w:space="0" w:color="auto"/>
              <w:bottom w:val="single" w:sz="4" w:space="0" w:color="auto"/>
              <w:right w:val="single" w:sz="4" w:space="0" w:color="auto"/>
            </w:tcBorders>
            <w:vAlign w:val="center"/>
            <w:hideMark/>
          </w:tcPr>
          <w:p w14:paraId="4CD3A99E" w14:textId="77777777" w:rsidR="001752B7" w:rsidRPr="000271A1" w:rsidRDefault="001752B7" w:rsidP="001752B7">
            <w:pPr>
              <w:spacing w:after="0" w:line="240" w:lineRule="auto"/>
              <w:rPr>
                <w:rFonts w:ascii="Tahoma" w:eastAsia="Times New Roman" w:hAnsi="Tahoma" w:cs="Tahoma"/>
                <w:sz w:val="18"/>
                <w:szCs w:val="18"/>
                <w:lang w:eastAsia="hr-HR"/>
              </w:rPr>
            </w:pPr>
          </w:p>
        </w:tc>
        <w:tc>
          <w:tcPr>
            <w:tcW w:w="673" w:type="dxa"/>
            <w:vMerge w:val="restart"/>
            <w:tcBorders>
              <w:top w:val="nil"/>
              <w:left w:val="single" w:sz="4" w:space="0" w:color="auto"/>
              <w:bottom w:val="single" w:sz="4" w:space="0" w:color="auto"/>
              <w:right w:val="single" w:sz="4" w:space="0" w:color="auto"/>
            </w:tcBorders>
            <w:shd w:val="clear" w:color="000000" w:fill="CCFFCC"/>
            <w:textDirection w:val="btLr"/>
            <w:vAlign w:val="center"/>
            <w:hideMark/>
          </w:tcPr>
          <w:p w14:paraId="6F1EF90C" w14:textId="77777777" w:rsidR="001752B7" w:rsidRPr="000271A1" w:rsidRDefault="001752B7" w:rsidP="001752B7">
            <w:pPr>
              <w:spacing w:after="0" w:line="240" w:lineRule="auto"/>
              <w:jc w:val="center"/>
              <w:rPr>
                <w:rFonts w:ascii="Tahoma" w:eastAsia="Times New Roman" w:hAnsi="Tahoma" w:cs="Tahoma"/>
                <w:b/>
                <w:bCs/>
                <w:sz w:val="18"/>
                <w:szCs w:val="18"/>
                <w:lang w:eastAsia="hr-HR"/>
              </w:rPr>
            </w:pPr>
            <w:r w:rsidRPr="000271A1">
              <w:rPr>
                <w:rFonts w:ascii="Tahoma" w:eastAsia="Times New Roman" w:hAnsi="Tahoma" w:cs="Tahoma"/>
                <w:b/>
                <w:bCs/>
                <w:sz w:val="18"/>
                <w:szCs w:val="18"/>
                <w:lang w:eastAsia="hr-HR"/>
              </w:rPr>
              <w:t xml:space="preserve">Broj </w:t>
            </w:r>
            <w:proofErr w:type="spellStart"/>
            <w:r w:rsidRPr="000271A1">
              <w:rPr>
                <w:rFonts w:ascii="Tahoma" w:eastAsia="Times New Roman" w:hAnsi="Tahoma" w:cs="Tahoma"/>
                <w:b/>
                <w:bCs/>
                <w:sz w:val="18"/>
                <w:szCs w:val="18"/>
                <w:lang w:eastAsia="hr-HR"/>
              </w:rPr>
              <w:t>nerješenih</w:t>
            </w:r>
            <w:proofErr w:type="spellEnd"/>
            <w:r w:rsidRPr="000271A1">
              <w:rPr>
                <w:rFonts w:ascii="Tahoma" w:eastAsia="Times New Roman" w:hAnsi="Tahoma" w:cs="Tahoma"/>
                <w:b/>
                <w:bCs/>
                <w:sz w:val="18"/>
                <w:szCs w:val="18"/>
                <w:lang w:eastAsia="hr-HR"/>
              </w:rPr>
              <w:t xml:space="preserve"> predmeta na početku razdoblja</w:t>
            </w:r>
          </w:p>
        </w:tc>
        <w:tc>
          <w:tcPr>
            <w:tcW w:w="521" w:type="dxa"/>
            <w:vMerge w:val="restart"/>
            <w:tcBorders>
              <w:top w:val="nil"/>
              <w:left w:val="single" w:sz="4" w:space="0" w:color="auto"/>
              <w:bottom w:val="single" w:sz="4" w:space="0" w:color="000000"/>
              <w:right w:val="single" w:sz="4" w:space="0" w:color="000000"/>
            </w:tcBorders>
            <w:shd w:val="clear" w:color="000000" w:fill="CCFFCC"/>
            <w:textDirection w:val="btLr"/>
            <w:vAlign w:val="center"/>
            <w:hideMark/>
          </w:tcPr>
          <w:p w14:paraId="12453BB8" w14:textId="77777777" w:rsidR="001752B7" w:rsidRPr="000271A1" w:rsidRDefault="001752B7" w:rsidP="001752B7">
            <w:pPr>
              <w:spacing w:after="0" w:line="240" w:lineRule="auto"/>
              <w:jc w:val="center"/>
              <w:rPr>
                <w:rFonts w:ascii="Tahoma" w:eastAsia="Times New Roman" w:hAnsi="Tahoma" w:cs="Tahoma"/>
                <w:b/>
                <w:bCs/>
                <w:sz w:val="18"/>
                <w:szCs w:val="18"/>
                <w:lang w:eastAsia="hr-HR"/>
              </w:rPr>
            </w:pPr>
            <w:r w:rsidRPr="000271A1">
              <w:rPr>
                <w:rFonts w:ascii="Tahoma" w:eastAsia="Times New Roman" w:hAnsi="Tahoma" w:cs="Tahoma"/>
                <w:b/>
                <w:bCs/>
                <w:sz w:val="18"/>
                <w:szCs w:val="18"/>
                <w:lang w:eastAsia="hr-HR"/>
              </w:rPr>
              <w:t xml:space="preserve">Broj primljenih predmeta </w:t>
            </w:r>
          </w:p>
        </w:tc>
        <w:tc>
          <w:tcPr>
            <w:tcW w:w="903" w:type="dxa"/>
            <w:gridSpan w:val="2"/>
            <w:tcBorders>
              <w:top w:val="single" w:sz="4" w:space="0" w:color="auto"/>
              <w:left w:val="nil"/>
              <w:bottom w:val="single" w:sz="4" w:space="0" w:color="auto"/>
              <w:right w:val="single" w:sz="4" w:space="0" w:color="000000"/>
            </w:tcBorders>
            <w:shd w:val="clear" w:color="000000" w:fill="CCFFCC"/>
            <w:vAlign w:val="center"/>
            <w:hideMark/>
          </w:tcPr>
          <w:p w14:paraId="0510CD27" w14:textId="77777777" w:rsidR="001752B7" w:rsidRPr="000271A1" w:rsidRDefault="001752B7" w:rsidP="001752B7">
            <w:pPr>
              <w:spacing w:after="0" w:line="240" w:lineRule="auto"/>
              <w:jc w:val="center"/>
              <w:rPr>
                <w:rFonts w:ascii="Tahoma" w:eastAsia="Times New Roman" w:hAnsi="Tahoma" w:cs="Tahoma"/>
                <w:sz w:val="18"/>
                <w:szCs w:val="18"/>
                <w:lang w:eastAsia="hr-HR"/>
              </w:rPr>
            </w:pPr>
            <w:r w:rsidRPr="000271A1">
              <w:rPr>
                <w:rFonts w:ascii="Tahoma" w:eastAsia="Times New Roman" w:hAnsi="Tahoma" w:cs="Tahoma"/>
                <w:sz w:val="18"/>
                <w:szCs w:val="18"/>
                <w:lang w:eastAsia="hr-HR"/>
              </w:rPr>
              <w:t>Broj diskriminiranih osoba prema tužbi</w:t>
            </w:r>
          </w:p>
        </w:tc>
        <w:tc>
          <w:tcPr>
            <w:tcW w:w="4188" w:type="dxa"/>
            <w:gridSpan w:val="6"/>
            <w:tcBorders>
              <w:top w:val="single" w:sz="4" w:space="0" w:color="auto"/>
              <w:left w:val="nil"/>
              <w:bottom w:val="single" w:sz="4" w:space="0" w:color="auto"/>
              <w:right w:val="single" w:sz="4" w:space="0" w:color="auto"/>
            </w:tcBorders>
            <w:shd w:val="clear" w:color="000000" w:fill="CCFFCC"/>
            <w:vAlign w:val="center"/>
            <w:hideMark/>
          </w:tcPr>
          <w:p w14:paraId="709AF355" w14:textId="77777777" w:rsidR="001752B7" w:rsidRPr="000271A1" w:rsidRDefault="001752B7" w:rsidP="001752B7">
            <w:pPr>
              <w:spacing w:after="0" w:line="240" w:lineRule="auto"/>
              <w:jc w:val="center"/>
              <w:rPr>
                <w:rFonts w:ascii="Tahoma" w:eastAsia="Times New Roman" w:hAnsi="Tahoma" w:cs="Tahoma"/>
                <w:b/>
                <w:bCs/>
                <w:sz w:val="18"/>
                <w:szCs w:val="18"/>
                <w:lang w:eastAsia="hr-HR"/>
              </w:rPr>
            </w:pPr>
            <w:r w:rsidRPr="000271A1">
              <w:rPr>
                <w:rFonts w:ascii="Tahoma" w:eastAsia="Times New Roman" w:hAnsi="Tahoma" w:cs="Tahoma"/>
                <w:b/>
                <w:bCs/>
                <w:sz w:val="18"/>
                <w:szCs w:val="18"/>
                <w:lang w:eastAsia="hr-HR"/>
              </w:rPr>
              <w:t>VRSTA TUŽBE</w:t>
            </w:r>
          </w:p>
        </w:tc>
        <w:tc>
          <w:tcPr>
            <w:tcW w:w="1885" w:type="dxa"/>
            <w:gridSpan w:val="4"/>
            <w:tcBorders>
              <w:top w:val="single" w:sz="4" w:space="0" w:color="auto"/>
              <w:left w:val="nil"/>
              <w:bottom w:val="single" w:sz="4" w:space="0" w:color="auto"/>
              <w:right w:val="single" w:sz="4" w:space="0" w:color="auto"/>
            </w:tcBorders>
            <w:shd w:val="clear" w:color="000000" w:fill="CCFFCC"/>
            <w:vAlign w:val="center"/>
            <w:hideMark/>
          </w:tcPr>
          <w:p w14:paraId="0375FD7E" w14:textId="77777777" w:rsidR="001752B7" w:rsidRPr="000271A1" w:rsidRDefault="001752B7" w:rsidP="001752B7">
            <w:pPr>
              <w:spacing w:after="0" w:line="240" w:lineRule="auto"/>
              <w:jc w:val="center"/>
              <w:rPr>
                <w:rFonts w:ascii="Tahoma" w:eastAsia="Times New Roman" w:hAnsi="Tahoma" w:cs="Tahoma"/>
                <w:b/>
                <w:bCs/>
                <w:sz w:val="18"/>
                <w:szCs w:val="18"/>
                <w:lang w:eastAsia="hr-HR"/>
              </w:rPr>
            </w:pPr>
            <w:r w:rsidRPr="000271A1">
              <w:rPr>
                <w:rFonts w:ascii="Tahoma" w:eastAsia="Times New Roman" w:hAnsi="Tahoma" w:cs="Tahoma"/>
                <w:b/>
                <w:bCs/>
                <w:sz w:val="18"/>
                <w:szCs w:val="18"/>
                <w:lang w:eastAsia="hr-HR"/>
              </w:rPr>
              <w:t>PRAVOMOĆNO RIJEŠENO</w:t>
            </w:r>
          </w:p>
        </w:tc>
        <w:tc>
          <w:tcPr>
            <w:tcW w:w="698" w:type="dxa"/>
            <w:tcBorders>
              <w:top w:val="nil"/>
              <w:left w:val="single" w:sz="4" w:space="0" w:color="auto"/>
              <w:bottom w:val="single" w:sz="4" w:space="0" w:color="000000"/>
              <w:right w:val="single" w:sz="4" w:space="0" w:color="auto"/>
            </w:tcBorders>
            <w:shd w:val="clear" w:color="000000" w:fill="CCFFCC"/>
            <w:textDirection w:val="btLr"/>
            <w:vAlign w:val="center"/>
            <w:hideMark/>
          </w:tcPr>
          <w:p w14:paraId="608A76C1" w14:textId="77777777" w:rsidR="001752B7" w:rsidRPr="000271A1" w:rsidRDefault="001752B7" w:rsidP="001752B7">
            <w:pPr>
              <w:spacing w:after="0" w:line="240" w:lineRule="auto"/>
              <w:jc w:val="center"/>
              <w:rPr>
                <w:rFonts w:ascii="Tahoma" w:eastAsia="Times New Roman" w:hAnsi="Tahoma" w:cs="Tahoma"/>
                <w:b/>
                <w:bCs/>
                <w:sz w:val="18"/>
                <w:szCs w:val="18"/>
                <w:lang w:eastAsia="hr-HR"/>
              </w:rPr>
            </w:pPr>
            <w:r w:rsidRPr="000271A1">
              <w:rPr>
                <w:rFonts w:ascii="Tahoma" w:eastAsia="Times New Roman" w:hAnsi="Tahoma" w:cs="Tahoma"/>
                <w:b/>
                <w:bCs/>
                <w:sz w:val="18"/>
                <w:szCs w:val="18"/>
                <w:lang w:eastAsia="hr-HR"/>
              </w:rPr>
              <w:t xml:space="preserve">Broj </w:t>
            </w:r>
            <w:proofErr w:type="spellStart"/>
            <w:r w:rsidRPr="000271A1">
              <w:rPr>
                <w:rFonts w:ascii="Tahoma" w:eastAsia="Times New Roman" w:hAnsi="Tahoma" w:cs="Tahoma"/>
                <w:b/>
                <w:bCs/>
                <w:sz w:val="18"/>
                <w:szCs w:val="18"/>
                <w:lang w:eastAsia="hr-HR"/>
              </w:rPr>
              <w:t>nerješenih</w:t>
            </w:r>
            <w:proofErr w:type="spellEnd"/>
            <w:r w:rsidRPr="000271A1">
              <w:rPr>
                <w:rFonts w:ascii="Tahoma" w:eastAsia="Times New Roman" w:hAnsi="Tahoma" w:cs="Tahoma"/>
                <w:b/>
                <w:bCs/>
                <w:sz w:val="18"/>
                <w:szCs w:val="18"/>
                <w:lang w:eastAsia="hr-HR"/>
              </w:rPr>
              <w:t xml:space="preserve"> predmeta na kraju izvještajnog razdoblja</w:t>
            </w:r>
          </w:p>
        </w:tc>
        <w:tc>
          <w:tcPr>
            <w:tcW w:w="1248" w:type="dxa"/>
            <w:gridSpan w:val="2"/>
            <w:tcBorders>
              <w:top w:val="single" w:sz="4" w:space="0" w:color="auto"/>
              <w:left w:val="nil"/>
              <w:bottom w:val="single" w:sz="4" w:space="0" w:color="auto"/>
              <w:right w:val="single" w:sz="4" w:space="0" w:color="000000"/>
            </w:tcBorders>
            <w:shd w:val="clear" w:color="000000" w:fill="FFCC00"/>
            <w:vAlign w:val="center"/>
            <w:hideMark/>
          </w:tcPr>
          <w:p w14:paraId="3AFABBDB" w14:textId="77777777" w:rsidR="001752B7" w:rsidRPr="000271A1" w:rsidRDefault="001752B7" w:rsidP="001752B7">
            <w:pPr>
              <w:spacing w:after="0" w:line="240" w:lineRule="auto"/>
              <w:rPr>
                <w:rFonts w:ascii="Tahoma" w:eastAsia="Times New Roman" w:hAnsi="Tahoma" w:cs="Tahoma"/>
                <w:sz w:val="18"/>
                <w:szCs w:val="18"/>
                <w:lang w:eastAsia="hr-HR"/>
              </w:rPr>
            </w:pPr>
            <w:r w:rsidRPr="000271A1">
              <w:rPr>
                <w:rFonts w:ascii="Tahoma" w:eastAsia="Times New Roman" w:hAnsi="Tahoma" w:cs="Tahoma"/>
                <w:sz w:val="18"/>
                <w:szCs w:val="18"/>
                <w:lang w:eastAsia="hr-HR"/>
              </w:rPr>
              <w:t xml:space="preserve">OBLIK DISKIMINACIJE </w:t>
            </w:r>
          </w:p>
        </w:tc>
        <w:tc>
          <w:tcPr>
            <w:tcW w:w="698" w:type="dxa"/>
            <w:tcBorders>
              <w:top w:val="nil"/>
              <w:left w:val="single" w:sz="4" w:space="0" w:color="auto"/>
              <w:bottom w:val="single" w:sz="4" w:space="0" w:color="auto"/>
              <w:right w:val="single" w:sz="4" w:space="0" w:color="000000"/>
            </w:tcBorders>
            <w:shd w:val="clear" w:color="000000" w:fill="FFCC00"/>
            <w:textDirection w:val="btLr"/>
            <w:vAlign w:val="center"/>
            <w:hideMark/>
          </w:tcPr>
          <w:p w14:paraId="4005900F" w14:textId="77777777" w:rsidR="001752B7" w:rsidRPr="000271A1" w:rsidRDefault="001752B7" w:rsidP="001752B7">
            <w:pPr>
              <w:spacing w:after="0" w:line="240" w:lineRule="auto"/>
              <w:jc w:val="center"/>
              <w:rPr>
                <w:rFonts w:ascii="Tahoma" w:eastAsia="Times New Roman" w:hAnsi="Tahoma" w:cs="Tahoma"/>
                <w:sz w:val="18"/>
                <w:szCs w:val="18"/>
                <w:lang w:eastAsia="hr-HR"/>
              </w:rPr>
            </w:pPr>
            <w:r w:rsidRPr="000271A1">
              <w:rPr>
                <w:rFonts w:ascii="Tahoma" w:eastAsia="Times New Roman" w:hAnsi="Tahoma" w:cs="Tahoma"/>
                <w:sz w:val="18"/>
                <w:szCs w:val="18"/>
                <w:lang w:eastAsia="hr-HR"/>
              </w:rPr>
              <w:t xml:space="preserve">PODRUČJE DISKRIMINACIJE (iz čl.8 ZSD) </w:t>
            </w:r>
          </w:p>
        </w:tc>
        <w:tc>
          <w:tcPr>
            <w:tcW w:w="1315" w:type="dxa"/>
            <w:gridSpan w:val="3"/>
            <w:tcBorders>
              <w:top w:val="single" w:sz="4" w:space="0" w:color="auto"/>
              <w:left w:val="nil"/>
              <w:bottom w:val="single" w:sz="4" w:space="0" w:color="auto"/>
              <w:right w:val="single" w:sz="4" w:space="0" w:color="000000"/>
            </w:tcBorders>
            <w:shd w:val="clear" w:color="000000" w:fill="CCFFCC"/>
            <w:vAlign w:val="center"/>
            <w:hideMark/>
          </w:tcPr>
          <w:p w14:paraId="30745E93" w14:textId="77777777" w:rsidR="001752B7" w:rsidRPr="000271A1" w:rsidRDefault="001752B7" w:rsidP="001752B7">
            <w:pPr>
              <w:spacing w:after="0" w:line="240" w:lineRule="auto"/>
              <w:jc w:val="center"/>
              <w:rPr>
                <w:rFonts w:ascii="Tahoma" w:eastAsia="Times New Roman" w:hAnsi="Tahoma" w:cs="Tahoma"/>
                <w:sz w:val="18"/>
                <w:szCs w:val="18"/>
                <w:lang w:eastAsia="hr-HR"/>
              </w:rPr>
            </w:pPr>
            <w:r w:rsidRPr="000271A1">
              <w:rPr>
                <w:rFonts w:ascii="Tahoma" w:eastAsia="Times New Roman" w:hAnsi="Tahoma" w:cs="Tahoma"/>
                <w:sz w:val="18"/>
                <w:szCs w:val="18"/>
                <w:lang w:eastAsia="hr-HR"/>
              </w:rPr>
              <w:t>Broj diskriminiranih osoba prema pravomoćnoj presudi</w:t>
            </w:r>
          </w:p>
        </w:tc>
        <w:tc>
          <w:tcPr>
            <w:tcW w:w="912" w:type="dxa"/>
            <w:gridSpan w:val="2"/>
            <w:tcBorders>
              <w:top w:val="single" w:sz="4" w:space="0" w:color="auto"/>
              <w:left w:val="nil"/>
              <w:bottom w:val="single" w:sz="4" w:space="0" w:color="auto"/>
              <w:right w:val="single" w:sz="8" w:space="0" w:color="000000"/>
            </w:tcBorders>
            <w:shd w:val="clear" w:color="000000" w:fill="CCFFCC"/>
            <w:vAlign w:val="center"/>
            <w:hideMark/>
          </w:tcPr>
          <w:p w14:paraId="7B5D000C" w14:textId="77777777" w:rsidR="001752B7" w:rsidRPr="000271A1" w:rsidRDefault="001752B7" w:rsidP="001752B7">
            <w:pPr>
              <w:spacing w:after="0" w:line="240" w:lineRule="auto"/>
              <w:jc w:val="center"/>
              <w:rPr>
                <w:rFonts w:ascii="Tahoma" w:eastAsia="Times New Roman" w:hAnsi="Tahoma" w:cs="Tahoma"/>
                <w:sz w:val="18"/>
                <w:szCs w:val="18"/>
                <w:lang w:eastAsia="hr-HR"/>
              </w:rPr>
            </w:pPr>
            <w:r w:rsidRPr="000271A1">
              <w:rPr>
                <w:rFonts w:ascii="Tahoma" w:eastAsia="Times New Roman" w:hAnsi="Tahoma" w:cs="Tahoma"/>
                <w:sz w:val="18"/>
                <w:szCs w:val="18"/>
                <w:lang w:eastAsia="hr-HR"/>
              </w:rPr>
              <w:t>TRAJANJE POSTUPKA</w:t>
            </w:r>
          </w:p>
        </w:tc>
        <w:tc>
          <w:tcPr>
            <w:tcW w:w="236" w:type="dxa"/>
            <w:vAlign w:val="center"/>
            <w:hideMark/>
          </w:tcPr>
          <w:p w14:paraId="39D7B39C" w14:textId="77777777" w:rsidR="001752B7" w:rsidRPr="001752B7" w:rsidRDefault="001752B7" w:rsidP="001752B7">
            <w:pPr>
              <w:spacing w:after="0" w:line="240" w:lineRule="auto"/>
              <w:rPr>
                <w:rFonts w:ascii="Times New Roman" w:eastAsia="Times New Roman" w:hAnsi="Times New Roman" w:cs="Times New Roman"/>
                <w:sz w:val="20"/>
                <w:szCs w:val="20"/>
                <w:lang w:eastAsia="hr-HR"/>
              </w:rPr>
            </w:pPr>
          </w:p>
        </w:tc>
      </w:tr>
      <w:tr w:rsidR="001752B7" w:rsidRPr="001752B7" w14:paraId="2758453E" w14:textId="77777777" w:rsidTr="000271A1">
        <w:trPr>
          <w:gridAfter w:val="1"/>
          <w:wAfter w:w="31" w:type="dxa"/>
          <w:trHeight w:val="4242"/>
        </w:trPr>
        <w:tc>
          <w:tcPr>
            <w:tcW w:w="1408" w:type="dxa"/>
            <w:vMerge/>
            <w:tcBorders>
              <w:top w:val="single" w:sz="8" w:space="0" w:color="auto"/>
              <w:left w:val="single" w:sz="8" w:space="0" w:color="auto"/>
              <w:bottom w:val="single" w:sz="4" w:space="0" w:color="auto"/>
              <w:right w:val="single" w:sz="4" w:space="0" w:color="auto"/>
            </w:tcBorders>
            <w:vAlign w:val="center"/>
            <w:hideMark/>
          </w:tcPr>
          <w:p w14:paraId="10287C17" w14:textId="77777777" w:rsidR="001752B7" w:rsidRPr="000271A1" w:rsidRDefault="001752B7" w:rsidP="001752B7">
            <w:pPr>
              <w:spacing w:after="0" w:line="240" w:lineRule="auto"/>
              <w:rPr>
                <w:rFonts w:ascii="Tahoma" w:eastAsia="Times New Roman" w:hAnsi="Tahoma" w:cs="Tahoma"/>
                <w:sz w:val="18"/>
                <w:szCs w:val="18"/>
                <w:lang w:eastAsia="hr-HR"/>
              </w:rPr>
            </w:pPr>
          </w:p>
        </w:tc>
        <w:tc>
          <w:tcPr>
            <w:tcW w:w="673" w:type="dxa"/>
            <w:vMerge/>
            <w:tcBorders>
              <w:top w:val="nil"/>
              <w:left w:val="single" w:sz="4" w:space="0" w:color="auto"/>
              <w:bottom w:val="single" w:sz="4" w:space="0" w:color="auto"/>
              <w:right w:val="single" w:sz="4" w:space="0" w:color="auto"/>
            </w:tcBorders>
            <w:vAlign w:val="center"/>
            <w:hideMark/>
          </w:tcPr>
          <w:p w14:paraId="7C2D3AAB" w14:textId="77777777" w:rsidR="001752B7" w:rsidRPr="000271A1" w:rsidRDefault="001752B7" w:rsidP="001752B7">
            <w:pPr>
              <w:spacing w:after="0" w:line="240" w:lineRule="auto"/>
              <w:rPr>
                <w:rFonts w:ascii="Tahoma" w:eastAsia="Times New Roman" w:hAnsi="Tahoma" w:cs="Tahoma"/>
                <w:b/>
                <w:bCs/>
                <w:sz w:val="18"/>
                <w:szCs w:val="18"/>
                <w:lang w:eastAsia="hr-HR"/>
              </w:rPr>
            </w:pPr>
          </w:p>
        </w:tc>
        <w:tc>
          <w:tcPr>
            <w:tcW w:w="521" w:type="dxa"/>
            <w:vMerge/>
            <w:tcBorders>
              <w:top w:val="nil"/>
              <w:left w:val="single" w:sz="4" w:space="0" w:color="auto"/>
              <w:bottom w:val="single" w:sz="4" w:space="0" w:color="000000"/>
              <w:right w:val="single" w:sz="4" w:space="0" w:color="000000"/>
            </w:tcBorders>
            <w:vAlign w:val="center"/>
            <w:hideMark/>
          </w:tcPr>
          <w:p w14:paraId="6E30BACA" w14:textId="77777777" w:rsidR="001752B7" w:rsidRPr="000271A1" w:rsidRDefault="001752B7" w:rsidP="001752B7">
            <w:pPr>
              <w:spacing w:after="0" w:line="240" w:lineRule="auto"/>
              <w:rPr>
                <w:rFonts w:ascii="Tahoma" w:eastAsia="Times New Roman" w:hAnsi="Tahoma" w:cs="Tahoma"/>
                <w:b/>
                <w:bCs/>
                <w:sz w:val="18"/>
                <w:szCs w:val="18"/>
                <w:lang w:eastAsia="hr-HR"/>
              </w:rPr>
            </w:pPr>
          </w:p>
        </w:tc>
        <w:tc>
          <w:tcPr>
            <w:tcW w:w="477" w:type="dxa"/>
            <w:tcBorders>
              <w:top w:val="nil"/>
              <w:left w:val="nil"/>
              <w:bottom w:val="nil"/>
              <w:right w:val="single" w:sz="4" w:space="0" w:color="auto"/>
            </w:tcBorders>
            <w:shd w:val="clear" w:color="000000" w:fill="CCFFCC"/>
            <w:textDirection w:val="btLr"/>
            <w:vAlign w:val="center"/>
            <w:hideMark/>
          </w:tcPr>
          <w:p w14:paraId="5E7ABD35" w14:textId="77777777" w:rsidR="001752B7" w:rsidRPr="000271A1" w:rsidRDefault="001752B7" w:rsidP="001752B7">
            <w:pPr>
              <w:spacing w:after="0" w:line="240" w:lineRule="auto"/>
              <w:jc w:val="center"/>
              <w:rPr>
                <w:rFonts w:ascii="Tahoma" w:eastAsia="Times New Roman" w:hAnsi="Tahoma" w:cs="Tahoma"/>
                <w:sz w:val="18"/>
                <w:szCs w:val="18"/>
                <w:lang w:eastAsia="hr-HR"/>
              </w:rPr>
            </w:pPr>
            <w:r w:rsidRPr="000271A1">
              <w:rPr>
                <w:rFonts w:ascii="Tahoma" w:eastAsia="Times New Roman" w:hAnsi="Tahoma" w:cs="Tahoma"/>
                <w:sz w:val="18"/>
                <w:szCs w:val="18"/>
                <w:lang w:eastAsia="hr-HR"/>
              </w:rPr>
              <w:t>Žene</w:t>
            </w:r>
          </w:p>
        </w:tc>
        <w:tc>
          <w:tcPr>
            <w:tcW w:w="426" w:type="dxa"/>
            <w:tcBorders>
              <w:top w:val="nil"/>
              <w:left w:val="nil"/>
              <w:bottom w:val="nil"/>
              <w:right w:val="single" w:sz="4" w:space="0" w:color="auto"/>
            </w:tcBorders>
            <w:shd w:val="clear" w:color="000000" w:fill="CCFFCC"/>
            <w:textDirection w:val="btLr"/>
            <w:vAlign w:val="center"/>
            <w:hideMark/>
          </w:tcPr>
          <w:p w14:paraId="25B994C3" w14:textId="77777777" w:rsidR="001752B7" w:rsidRPr="000271A1" w:rsidRDefault="001752B7" w:rsidP="001752B7">
            <w:pPr>
              <w:spacing w:after="0" w:line="240" w:lineRule="auto"/>
              <w:jc w:val="center"/>
              <w:rPr>
                <w:rFonts w:ascii="Tahoma" w:eastAsia="Times New Roman" w:hAnsi="Tahoma" w:cs="Tahoma"/>
                <w:sz w:val="18"/>
                <w:szCs w:val="18"/>
                <w:lang w:eastAsia="hr-HR"/>
              </w:rPr>
            </w:pPr>
            <w:r w:rsidRPr="000271A1">
              <w:rPr>
                <w:rFonts w:ascii="Tahoma" w:eastAsia="Times New Roman" w:hAnsi="Tahoma" w:cs="Tahoma"/>
                <w:sz w:val="18"/>
                <w:szCs w:val="18"/>
                <w:lang w:eastAsia="hr-HR"/>
              </w:rPr>
              <w:t>Muškarci</w:t>
            </w:r>
          </w:p>
        </w:tc>
        <w:tc>
          <w:tcPr>
            <w:tcW w:w="698" w:type="dxa"/>
            <w:tcBorders>
              <w:top w:val="nil"/>
              <w:left w:val="nil"/>
              <w:bottom w:val="single" w:sz="4" w:space="0" w:color="auto"/>
              <w:right w:val="single" w:sz="4" w:space="0" w:color="auto"/>
            </w:tcBorders>
            <w:shd w:val="clear" w:color="000000" w:fill="CCFFCC"/>
            <w:textDirection w:val="btLr"/>
            <w:vAlign w:val="center"/>
            <w:hideMark/>
          </w:tcPr>
          <w:p w14:paraId="5B8CD601" w14:textId="77777777" w:rsidR="001752B7" w:rsidRPr="000271A1" w:rsidRDefault="001752B7" w:rsidP="001752B7">
            <w:pPr>
              <w:spacing w:after="0" w:line="240" w:lineRule="auto"/>
              <w:jc w:val="center"/>
              <w:rPr>
                <w:rFonts w:ascii="Tahoma" w:eastAsia="Times New Roman" w:hAnsi="Tahoma" w:cs="Tahoma"/>
                <w:sz w:val="18"/>
                <w:szCs w:val="18"/>
                <w:lang w:eastAsia="hr-HR"/>
              </w:rPr>
            </w:pPr>
            <w:r w:rsidRPr="000271A1">
              <w:rPr>
                <w:rFonts w:ascii="Tahoma" w:eastAsia="Times New Roman" w:hAnsi="Tahoma" w:cs="Tahoma"/>
                <w:sz w:val="18"/>
                <w:szCs w:val="18"/>
                <w:lang w:eastAsia="hr-HR"/>
              </w:rPr>
              <w:t>UTVRĐENJE DISKRIMINACIJE (čl.17. st.1. toč.1. ZSD)</w:t>
            </w:r>
          </w:p>
        </w:tc>
        <w:tc>
          <w:tcPr>
            <w:tcW w:w="698" w:type="dxa"/>
            <w:tcBorders>
              <w:top w:val="nil"/>
              <w:left w:val="nil"/>
              <w:bottom w:val="single" w:sz="4" w:space="0" w:color="auto"/>
              <w:right w:val="single" w:sz="4" w:space="0" w:color="auto"/>
            </w:tcBorders>
            <w:shd w:val="clear" w:color="000000" w:fill="CCFFCC"/>
            <w:textDirection w:val="btLr"/>
            <w:vAlign w:val="center"/>
            <w:hideMark/>
          </w:tcPr>
          <w:p w14:paraId="44FAC40C" w14:textId="77777777" w:rsidR="001752B7" w:rsidRPr="000271A1" w:rsidRDefault="001752B7" w:rsidP="001752B7">
            <w:pPr>
              <w:spacing w:after="0" w:line="240" w:lineRule="auto"/>
              <w:jc w:val="center"/>
              <w:rPr>
                <w:rFonts w:ascii="Tahoma" w:eastAsia="Times New Roman" w:hAnsi="Tahoma" w:cs="Tahoma"/>
                <w:sz w:val="18"/>
                <w:szCs w:val="18"/>
                <w:lang w:eastAsia="hr-HR"/>
              </w:rPr>
            </w:pPr>
            <w:r w:rsidRPr="000271A1">
              <w:rPr>
                <w:rFonts w:ascii="Tahoma" w:eastAsia="Times New Roman" w:hAnsi="Tahoma" w:cs="Tahoma"/>
                <w:sz w:val="18"/>
                <w:szCs w:val="18"/>
                <w:lang w:eastAsia="hr-HR"/>
              </w:rPr>
              <w:t>ZABRANA ILI OTKLANJANJE DISKRIMINACIJE (čl.17. st.1. toč.2. ZSD)</w:t>
            </w:r>
          </w:p>
        </w:tc>
        <w:tc>
          <w:tcPr>
            <w:tcW w:w="698" w:type="dxa"/>
            <w:tcBorders>
              <w:top w:val="nil"/>
              <w:left w:val="nil"/>
              <w:bottom w:val="single" w:sz="4" w:space="0" w:color="auto"/>
              <w:right w:val="single" w:sz="4" w:space="0" w:color="auto"/>
            </w:tcBorders>
            <w:shd w:val="clear" w:color="000000" w:fill="CCFFCC"/>
            <w:textDirection w:val="btLr"/>
            <w:vAlign w:val="center"/>
            <w:hideMark/>
          </w:tcPr>
          <w:p w14:paraId="633FD879" w14:textId="77777777" w:rsidR="001752B7" w:rsidRPr="000271A1" w:rsidRDefault="001752B7" w:rsidP="001752B7">
            <w:pPr>
              <w:spacing w:after="0" w:line="240" w:lineRule="auto"/>
              <w:jc w:val="center"/>
              <w:rPr>
                <w:rFonts w:ascii="Tahoma" w:eastAsia="Times New Roman" w:hAnsi="Tahoma" w:cs="Tahoma"/>
                <w:sz w:val="18"/>
                <w:szCs w:val="18"/>
                <w:lang w:eastAsia="hr-HR"/>
              </w:rPr>
            </w:pPr>
            <w:r w:rsidRPr="000271A1">
              <w:rPr>
                <w:rFonts w:ascii="Tahoma" w:eastAsia="Times New Roman" w:hAnsi="Tahoma" w:cs="Tahoma"/>
                <w:sz w:val="18"/>
                <w:szCs w:val="18"/>
                <w:lang w:eastAsia="hr-HR"/>
              </w:rPr>
              <w:t>NAKNADA ŠTETE (čl.17. st.1. toč.3. ZSD)</w:t>
            </w:r>
          </w:p>
        </w:tc>
        <w:tc>
          <w:tcPr>
            <w:tcW w:w="698" w:type="dxa"/>
            <w:tcBorders>
              <w:top w:val="nil"/>
              <w:left w:val="nil"/>
              <w:bottom w:val="single" w:sz="4" w:space="0" w:color="auto"/>
              <w:right w:val="single" w:sz="4" w:space="0" w:color="auto"/>
            </w:tcBorders>
            <w:shd w:val="clear" w:color="000000" w:fill="CCFFCC"/>
            <w:textDirection w:val="btLr"/>
            <w:vAlign w:val="center"/>
            <w:hideMark/>
          </w:tcPr>
          <w:p w14:paraId="23608B2D" w14:textId="77777777" w:rsidR="001752B7" w:rsidRPr="000271A1" w:rsidRDefault="001752B7" w:rsidP="001752B7">
            <w:pPr>
              <w:spacing w:after="0" w:line="240" w:lineRule="auto"/>
              <w:jc w:val="center"/>
              <w:rPr>
                <w:rFonts w:ascii="Tahoma" w:eastAsia="Times New Roman" w:hAnsi="Tahoma" w:cs="Tahoma"/>
                <w:sz w:val="18"/>
                <w:szCs w:val="18"/>
                <w:lang w:eastAsia="hr-HR"/>
              </w:rPr>
            </w:pPr>
            <w:r w:rsidRPr="000271A1">
              <w:rPr>
                <w:rFonts w:ascii="Tahoma" w:eastAsia="Times New Roman" w:hAnsi="Tahoma" w:cs="Tahoma"/>
                <w:sz w:val="18"/>
                <w:szCs w:val="18"/>
                <w:lang w:eastAsia="hr-HR"/>
              </w:rPr>
              <w:t xml:space="preserve">OBJAVA PRESUDE U MEDIJIMA (čl. 17. st. 1. </w:t>
            </w:r>
            <w:proofErr w:type="spellStart"/>
            <w:r w:rsidRPr="000271A1">
              <w:rPr>
                <w:rFonts w:ascii="Tahoma" w:eastAsia="Times New Roman" w:hAnsi="Tahoma" w:cs="Tahoma"/>
                <w:sz w:val="18"/>
                <w:szCs w:val="18"/>
                <w:lang w:eastAsia="hr-HR"/>
              </w:rPr>
              <w:t>toč</w:t>
            </w:r>
            <w:proofErr w:type="spellEnd"/>
            <w:r w:rsidRPr="000271A1">
              <w:rPr>
                <w:rFonts w:ascii="Tahoma" w:eastAsia="Times New Roman" w:hAnsi="Tahoma" w:cs="Tahoma"/>
                <w:sz w:val="18"/>
                <w:szCs w:val="18"/>
                <w:lang w:eastAsia="hr-HR"/>
              </w:rPr>
              <w:t>. 4.)</w:t>
            </w:r>
          </w:p>
        </w:tc>
        <w:tc>
          <w:tcPr>
            <w:tcW w:w="698" w:type="dxa"/>
            <w:tcBorders>
              <w:top w:val="nil"/>
              <w:left w:val="nil"/>
              <w:bottom w:val="single" w:sz="4" w:space="0" w:color="auto"/>
              <w:right w:val="single" w:sz="4" w:space="0" w:color="auto"/>
            </w:tcBorders>
            <w:shd w:val="clear" w:color="000000" w:fill="CCFFCC"/>
            <w:textDirection w:val="btLr"/>
            <w:vAlign w:val="center"/>
            <w:hideMark/>
          </w:tcPr>
          <w:p w14:paraId="49C8026E" w14:textId="77777777" w:rsidR="001752B7" w:rsidRPr="000271A1" w:rsidRDefault="001752B7" w:rsidP="001752B7">
            <w:pPr>
              <w:spacing w:after="0" w:line="240" w:lineRule="auto"/>
              <w:jc w:val="center"/>
              <w:rPr>
                <w:rFonts w:ascii="Tahoma" w:eastAsia="Times New Roman" w:hAnsi="Tahoma" w:cs="Tahoma"/>
                <w:sz w:val="18"/>
                <w:szCs w:val="18"/>
                <w:lang w:eastAsia="hr-HR"/>
              </w:rPr>
            </w:pPr>
            <w:proofErr w:type="spellStart"/>
            <w:r w:rsidRPr="000271A1">
              <w:rPr>
                <w:rFonts w:ascii="Tahoma" w:eastAsia="Times New Roman" w:hAnsi="Tahoma" w:cs="Tahoma"/>
                <w:sz w:val="18"/>
                <w:szCs w:val="18"/>
                <w:lang w:eastAsia="hr-HR"/>
              </w:rPr>
              <w:t>Udružne</w:t>
            </w:r>
            <w:proofErr w:type="spellEnd"/>
            <w:r w:rsidRPr="000271A1">
              <w:rPr>
                <w:rFonts w:ascii="Tahoma" w:eastAsia="Times New Roman" w:hAnsi="Tahoma" w:cs="Tahoma"/>
                <w:sz w:val="18"/>
                <w:szCs w:val="18"/>
                <w:lang w:eastAsia="hr-HR"/>
              </w:rPr>
              <w:t xml:space="preserve"> tužbe (čl. 24. ZSD)</w:t>
            </w:r>
          </w:p>
        </w:tc>
        <w:tc>
          <w:tcPr>
            <w:tcW w:w="698" w:type="dxa"/>
            <w:tcBorders>
              <w:top w:val="nil"/>
              <w:left w:val="nil"/>
              <w:bottom w:val="single" w:sz="4" w:space="0" w:color="auto"/>
              <w:right w:val="single" w:sz="4" w:space="0" w:color="auto"/>
            </w:tcBorders>
            <w:shd w:val="clear" w:color="000000" w:fill="CCFFCC"/>
            <w:textDirection w:val="btLr"/>
            <w:vAlign w:val="center"/>
            <w:hideMark/>
          </w:tcPr>
          <w:p w14:paraId="191221EF" w14:textId="77777777" w:rsidR="001752B7" w:rsidRPr="000271A1" w:rsidRDefault="001752B7" w:rsidP="001752B7">
            <w:pPr>
              <w:spacing w:after="0" w:line="240" w:lineRule="auto"/>
              <w:jc w:val="center"/>
              <w:rPr>
                <w:rFonts w:ascii="Tahoma" w:eastAsia="Times New Roman" w:hAnsi="Tahoma" w:cs="Tahoma"/>
                <w:sz w:val="18"/>
                <w:szCs w:val="18"/>
                <w:lang w:eastAsia="hr-HR"/>
              </w:rPr>
            </w:pPr>
            <w:r w:rsidRPr="000271A1">
              <w:rPr>
                <w:rFonts w:ascii="Tahoma" w:eastAsia="Times New Roman" w:hAnsi="Tahoma" w:cs="Tahoma"/>
                <w:sz w:val="18"/>
                <w:szCs w:val="18"/>
                <w:lang w:eastAsia="hr-HR"/>
              </w:rPr>
              <w:t>OSTALO (odnosi se na čl. 16 st. 1 ZDS diskriminacija kao prethodno pitanje i st. 2 radni sporovi)</w:t>
            </w:r>
          </w:p>
        </w:tc>
        <w:tc>
          <w:tcPr>
            <w:tcW w:w="469" w:type="dxa"/>
            <w:tcBorders>
              <w:top w:val="nil"/>
              <w:left w:val="nil"/>
              <w:bottom w:val="single" w:sz="4" w:space="0" w:color="auto"/>
              <w:right w:val="single" w:sz="4" w:space="0" w:color="auto"/>
            </w:tcBorders>
            <w:shd w:val="clear" w:color="000000" w:fill="CCFFCC"/>
            <w:textDirection w:val="btLr"/>
            <w:vAlign w:val="center"/>
            <w:hideMark/>
          </w:tcPr>
          <w:p w14:paraId="67AC9DD8" w14:textId="77777777" w:rsidR="001752B7" w:rsidRPr="000271A1" w:rsidRDefault="001752B7" w:rsidP="001752B7">
            <w:pPr>
              <w:spacing w:after="0" w:line="240" w:lineRule="auto"/>
              <w:jc w:val="center"/>
              <w:rPr>
                <w:rFonts w:ascii="Tahoma" w:eastAsia="Times New Roman" w:hAnsi="Tahoma" w:cs="Tahoma"/>
                <w:sz w:val="18"/>
                <w:szCs w:val="18"/>
                <w:lang w:eastAsia="hr-HR"/>
              </w:rPr>
            </w:pPr>
            <w:r w:rsidRPr="000271A1">
              <w:rPr>
                <w:rFonts w:ascii="Tahoma" w:eastAsia="Times New Roman" w:hAnsi="Tahoma" w:cs="Tahoma"/>
                <w:sz w:val="18"/>
                <w:szCs w:val="18"/>
                <w:lang w:eastAsia="hr-HR"/>
              </w:rPr>
              <w:t xml:space="preserve">USVOJEN TUŽBENI ZAHTJEV </w:t>
            </w:r>
          </w:p>
        </w:tc>
        <w:tc>
          <w:tcPr>
            <w:tcW w:w="419" w:type="dxa"/>
            <w:tcBorders>
              <w:top w:val="nil"/>
              <w:left w:val="nil"/>
              <w:bottom w:val="single" w:sz="4" w:space="0" w:color="auto"/>
              <w:right w:val="single" w:sz="4" w:space="0" w:color="auto"/>
            </w:tcBorders>
            <w:shd w:val="clear" w:color="000000" w:fill="CCFFCC"/>
            <w:textDirection w:val="btLr"/>
            <w:vAlign w:val="center"/>
            <w:hideMark/>
          </w:tcPr>
          <w:p w14:paraId="6430675F" w14:textId="77777777" w:rsidR="001752B7" w:rsidRPr="000271A1" w:rsidRDefault="001752B7" w:rsidP="001752B7">
            <w:pPr>
              <w:spacing w:after="0" w:line="240" w:lineRule="auto"/>
              <w:jc w:val="center"/>
              <w:rPr>
                <w:rFonts w:ascii="Tahoma" w:eastAsia="Times New Roman" w:hAnsi="Tahoma" w:cs="Tahoma"/>
                <w:sz w:val="18"/>
                <w:szCs w:val="18"/>
                <w:lang w:eastAsia="hr-HR"/>
              </w:rPr>
            </w:pPr>
            <w:r w:rsidRPr="000271A1">
              <w:rPr>
                <w:rFonts w:ascii="Tahoma" w:eastAsia="Times New Roman" w:hAnsi="Tahoma" w:cs="Tahoma"/>
                <w:sz w:val="18"/>
                <w:szCs w:val="18"/>
                <w:lang w:eastAsia="hr-HR"/>
              </w:rPr>
              <w:t>ODBIJEN TUŽBENI ZAHTJEV</w:t>
            </w:r>
          </w:p>
        </w:tc>
        <w:tc>
          <w:tcPr>
            <w:tcW w:w="521" w:type="dxa"/>
            <w:tcBorders>
              <w:top w:val="nil"/>
              <w:left w:val="nil"/>
              <w:bottom w:val="single" w:sz="4" w:space="0" w:color="auto"/>
              <w:right w:val="single" w:sz="4" w:space="0" w:color="auto"/>
            </w:tcBorders>
            <w:shd w:val="clear" w:color="000000" w:fill="CCFFCC"/>
            <w:textDirection w:val="btLr"/>
            <w:vAlign w:val="center"/>
            <w:hideMark/>
          </w:tcPr>
          <w:p w14:paraId="2FFA83AD" w14:textId="77777777" w:rsidR="001752B7" w:rsidRPr="000271A1" w:rsidRDefault="001752B7" w:rsidP="001752B7">
            <w:pPr>
              <w:spacing w:after="0" w:line="240" w:lineRule="auto"/>
              <w:jc w:val="center"/>
              <w:rPr>
                <w:rFonts w:ascii="Tahoma" w:eastAsia="Times New Roman" w:hAnsi="Tahoma" w:cs="Tahoma"/>
                <w:sz w:val="18"/>
                <w:szCs w:val="18"/>
                <w:lang w:eastAsia="hr-HR"/>
              </w:rPr>
            </w:pPr>
            <w:r w:rsidRPr="000271A1">
              <w:rPr>
                <w:rFonts w:ascii="Tahoma" w:eastAsia="Times New Roman" w:hAnsi="Tahoma" w:cs="Tahoma"/>
                <w:sz w:val="18"/>
                <w:szCs w:val="18"/>
                <w:lang w:eastAsia="hr-HR"/>
              </w:rPr>
              <w:t>NA DRUGI NAČIN</w:t>
            </w:r>
          </w:p>
        </w:tc>
        <w:tc>
          <w:tcPr>
            <w:tcW w:w="476" w:type="dxa"/>
            <w:tcBorders>
              <w:top w:val="nil"/>
              <w:left w:val="nil"/>
              <w:bottom w:val="single" w:sz="4" w:space="0" w:color="auto"/>
              <w:right w:val="single" w:sz="4" w:space="0" w:color="auto"/>
            </w:tcBorders>
            <w:shd w:val="clear" w:color="000000" w:fill="CCFFCC"/>
            <w:textDirection w:val="btLr"/>
            <w:vAlign w:val="center"/>
            <w:hideMark/>
          </w:tcPr>
          <w:p w14:paraId="389A475C" w14:textId="77777777" w:rsidR="001752B7" w:rsidRPr="000271A1" w:rsidRDefault="001752B7" w:rsidP="001752B7">
            <w:pPr>
              <w:spacing w:after="0" w:line="240" w:lineRule="auto"/>
              <w:jc w:val="center"/>
              <w:rPr>
                <w:rFonts w:ascii="Tahoma" w:eastAsia="Times New Roman" w:hAnsi="Tahoma" w:cs="Tahoma"/>
                <w:b/>
                <w:bCs/>
                <w:sz w:val="18"/>
                <w:szCs w:val="18"/>
                <w:lang w:eastAsia="hr-HR"/>
              </w:rPr>
            </w:pPr>
            <w:r w:rsidRPr="000271A1">
              <w:rPr>
                <w:rFonts w:ascii="Tahoma" w:eastAsia="Times New Roman" w:hAnsi="Tahoma" w:cs="Tahoma"/>
                <w:b/>
                <w:bCs/>
                <w:sz w:val="18"/>
                <w:szCs w:val="18"/>
                <w:lang w:eastAsia="hr-HR"/>
              </w:rPr>
              <w:t>Ukupno pravomoćno riješeno</w:t>
            </w:r>
          </w:p>
        </w:tc>
        <w:tc>
          <w:tcPr>
            <w:tcW w:w="698" w:type="dxa"/>
            <w:tcBorders>
              <w:top w:val="nil"/>
              <w:left w:val="single" w:sz="4" w:space="0" w:color="auto"/>
              <w:bottom w:val="single" w:sz="4" w:space="0" w:color="000000"/>
              <w:right w:val="single" w:sz="4" w:space="0" w:color="auto"/>
            </w:tcBorders>
            <w:vAlign w:val="center"/>
            <w:hideMark/>
          </w:tcPr>
          <w:p w14:paraId="11B06127" w14:textId="77777777" w:rsidR="001752B7" w:rsidRPr="000271A1" w:rsidRDefault="001752B7" w:rsidP="001752B7">
            <w:pPr>
              <w:spacing w:after="0" w:line="240" w:lineRule="auto"/>
              <w:rPr>
                <w:rFonts w:ascii="Tahoma" w:eastAsia="Times New Roman" w:hAnsi="Tahoma" w:cs="Tahoma"/>
                <w:b/>
                <w:bCs/>
                <w:sz w:val="18"/>
                <w:szCs w:val="18"/>
                <w:lang w:eastAsia="hr-HR"/>
              </w:rPr>
            </w:pPr>
          </w:p>
        </w:tc>
        <w:tc>
          <w:tcPr>
            <w:tcW w:w="643" w:type="dxa"/>
            <w:tcBorders>
              <w:top w:val="nil"/>
              <w:left w:val="nil"/>
              <w:bottom w:val="nil"/>
              <w:right w:val="single" w:sz="4" w:space="0" w:color="auto"/>
            </w:tcBorders>
            <w:shd w:val="clear" w:color="000000" w:fill="FFCC00"/>
            <w:textDirection w:val="btLr"/>
            <w:vAlign w:val="center"/>
            <w:hideMark/>
          </w:tcPr>
          <w:p w14:paraId="368BC8A5" w14:textId="77777777" w:rsidR="001752B7" w:rsidRPr="000271A1" w:rsidRDefault="001752B7" w:rsidP="001752B7">
            <w:pPr>
              <w:spacing w:after="0" w:line="240" w:lineRule="auto"/>
              <w:jc w:val="center"/>
              <w:rPr>
                <w:rFonts w:ascii="Tahoma" w:eastAsia="Times New Roman" w:hAnsi="Tahoma" w:cs="Tahoma"/>
                <w:sz w:val="18"/>
                <w:szCs w:val="18"/>
                <w:lang w:eastAsia="hr-HR"/>
              </w:rPr>
            </w:pPr>
            <w:r w:rsidRPr="000271A1">
              <w:rPr>
                <w:rFonts w:ascii="Tahoma" w:eastAsia="Times New Roman" w:hAnsi="Tahoma" w:cs="Tahoma"/>
                <w:sz w:val="18"/>
                <w:szCs w:val="18"/>
                <w:lang w:eastAsia="hr-HR"/>
              </w:rPr>
              <w:t>iz čl. 2. do 5. ZSD</w:t>
            </w:r>
          </w:p>
        </w:tc>
        <w:tc>
          <w:tcPr>
            <w:tcW w:w="605" w:type="dxa"/>
            <w:tcBorders>
              <w:top w:val="nil"/>
              <w:left w:val="nil"/>
              <w:bottom w:val="nil"/>
              <w:right w:val="single" w:sz="4" w:space="0" w:color="auto"/>
            </w:tcBorders>
            <w:shd w:val="clear" w:color="000000" w:fill="FFCC00"/>
            <w:textDirection w:val="btLr"/>
            <w:vAlign w:val="center"/>
            <w:hideMark/>
          </w:tcPr>
          <w:p w14:paraId="2B9D339D" w14:textId="77777777" w:rsidR="001752B7" w:rsidRPr="000271A1" w:rsidRDefault="001752B7" w:rsidP="001752B7">
            <w:pPr>
              <w:spacing w:after="0" w:line="240" w:lineRule="auto"/>
              <w:jc w:val="center"/>
              <w:rPr>
                <w:rFonts w:ascii="Tahoma" w:eastAsia="Times New Roman" w:hAnsi="Tahoma" w:cs="Tahoma"/>
                <w:sz w:val="18"/>
                <w:szCs w:val="18"/>
                <w:lang w:eastAsia="hr-HR"/>
              </w:rPr>
            </w:pPr>
            <w:r w:rsidRPr="000271A1">
              <w:rPr>
                <w:rFonts w:ascii="Tahoma" w:eastAsia="Times New Roman" w:hAnsi="Tahoma" w:cs="Tahoma"/>
                <w:sz w:val="18"/>
                <w:szCs w:val="18"/>
                <w:lang w:eastAsia="hr-HR"/>
              </w:rPr>
              <w:t xml:space="preserve">iz čl. 6 ZSD </w:t>
            </w:r>
          </w:p>
        </w:tc>
        <w:tc>
          <w:tcPr>
            <w:tcW w:w="698" w:type="dxa"/>
            <w:tcBorders>
              <w:top w:val="nil"/>
              <w:left w:val="single" w:sz="4" w:space="0" w:color="auto"/>
              <w:bottom w:val="single" w:sz="4" w:space="0" w:color="auto"/>
              <w:right w:val="single" w:sz="4" w:space="0" w:color="000000"/>
            </w:tcBorders>
            <w:vAlign w:val="center"/>
            <w:hideMark/>
          </w:tcPr>
          <w:p w14:paraId="48D1E76D" w14:textId="77777777" w:rsidR="001752B7" w:rsidRPr="000271A1" w:rsidRDefault="001752B7" w:rsidP="001752B7">
            <w:pPr>
              <w:spacing w:after="0" w:line="240" w:lineRule="auto"/>
              <w:rPr>
                <w:rFonts w:ascii="Tahoma" w:eastAsia="Times New Roman" w:hAnsi="Tahoma" w:cs="Tahoma"/>
                <w:sz w:val="18"/>
                <w:szCs w:val="18"/>
                <w:lang w:eastAsia="hr-HR"/>
              </w:rPr>
            </w:pPr>
          </w:p>
        </w:tc>
        <w:tc>
          <w:tcPr>
            <w:tcW w:w="464" w:type="dxa"/>
            <w:tcBorders>
              <w:top w:val="nil"/>
              <w:left w:val="nil"/>
              <w:bottom w:val="single" w:sz="4" w:space="0" w:color="auto"/>
              <w:right w:val="single" w:sz="4" w:space="0" w:color="auto"/>
            </w:tcBorders>
            <w:shd w:val="clear" w:color="000000" w:fill="CCFFCC"/>
            <w:textDirection w:val="btLr"/>
            <w:vAlign w:val="center"/>
            <w:hideMark/>
          </w:tcPr>
          <w:p w14:paraId="37A80ED3" w14:textId="77777777" w:rsidR="001752B7" w:rsidRPr="000271A1" w:rsidRDefault="001752B7" w:rsidP="001752B7">
            <w:pPr>
              <w:spacing w:after="0" w:line="240" w:lineRule="auto"/>
              <w:jc w:val="center"/>
              <w:rPr>
                <w:rFonts w:ascii="Tahoma" w:eastAsia="Times New Roman" w:hAnsi="Tahoma" w:cs="Tahoma"/>
                <w:sz w:val="18"/>
                <w:szCs w:val="18"/>
                <w:lang w:eastAsia="hr-HR"/>
              </w:rPr>
            </w:pPr>
            <w:r w:rsidRPr="000271A1">
              <w:rPr>
                <w:rFonts w:ascii="Tahoma" w:eastAsia="Times New Roman" w:hAnsi="Tahoma" w:cs="Tahoma"/>
                <w:sz w:val="18"/>
                <w:szCs w:val="18"/>
                <w:lang w:eastAsia="hr-HR"/>
              </w:rPr>
              <w:t xml:space="preserve">Žene </w:t>
            </w:r>
          </w:p>
        </w:tc>
        <w:tc>
          <w:tcPr>
            <w:tcW w:w="425" w:type="dxa"/>
            <w:tcBorders>
              <w:top w:val="nil"/>
              <w:left w:val="nil"/>
              <w:bottom w:val="single" w:sz="4" w:space="0" w:color="auto"/>
              <w:right w:val="single" w:sz="4" w:space="0" w:color="auto"/>
            </w:tcBorders>
            <w:shd w:val="clear" w:color="000000" w:fill="CCFFCC"/>
            <w:textDirection w:val="btLr"/>
            <w:vAlign w:val="center"/>
            <w:hideMark/>
          </w:tcPr>
          <w:p w14:paraId="454D8068" w14:textId="77777777" w:rsidR="001752B7" w:rsidRPr="000271A1" w:rsidRDefault="001752B7" w:rsidP="001752B7">
            <w:pPr>
              <w:spacing w:after="0" w:line="240" w:lineRule="auto"/>
              <w:jc w:val="center"/>
              <w:rPr>
                <w:rFonts w:ascii="Tahoma" w:eastAsia="Times New Roman" w:hAnsi="Tahoma" w:cs="Tahoma"/>
                <w:sz w:val="18"/>
                <w:szCs w:val="18"/>
                <w:lang w:eastAsia="hr-HR"/>
              </w:rPr>
            </w:pPr>
            <w:r w:rsidRPr="000271A1">
              <w:rPr>
                <w:rFonts w:ascii="Tahoma" w:eastAsia="Times New Roman" w:hAnsi="Tahoma" w:cs="Tahoma"/>
                <w:sz w:val="18"/>
                <w:szCs w:val="18"/>
                <w:lang w:eastAsia="hr-HR"/>
              </w:rPr>
              <w:t>Muškarci</w:t>
            </w:r>
          </w:p>
        </w:tc>
        <w:tc>
          <w:tcPr>
            <w:tcW w:w="426" w:type="dxa"/>
            <w:tcBorders>
              <w:top w:val="nil"/>
              <w:left w:val="nil"/>
              <w:bottom w:val="single" w:sz="4" w:space="0" w:color="auto"/>
              <w:right w:val="single" w:sz="4" w:space="0" w:color="auto"/>
            </w:tcBorders>
            <w:shd w:val="clear" w:color="000000" w:fill="CCFFCC"/>
            <w:textDirection w:val="btLr"/>
            <w:vAlign w:val="center"/>
            <w:hideMark/>
          </w:tcPr>
          <w:p w14:paraId="4943E1C2" w14:textId="77777777" w:rsidR="001752B7" w:rsidRPr="000271A1" w:rsidRDefault="001752B7" w:rsidP="001752B7">
            <w:pPr>
              <w:spacing w:after="0" w:line="240" w:lineRule="auto"/>
              <w:jc w:val="center"/>
              <w:rPr>
                <w:rFonts w:ascii="Tahoma" w:eastAsia="Times New Roman" w:hAnsi="Tahoma" w:cs="Tahoma"/>
                <w:sz w:val="18"/>
                <w:szCs w:val="18"/>
                <w:lang w:eastAsia="hr-HR"/>
              </w:rPr>
            </w:pPr>
            <w:r w:rsidRPr="000271A1">
              <w:rPr>
                <w:rFonts w:ascii="Tahoma" w:eastAsia="Times New Roman" w:hAnsi="Tahoma" w:cs="Tahoma"/>
                <w:sz w:val="18"/>
                <w:szCs w:val="18"/>
                <w:lang w:eastAsia="hr-HR"/>
              </w:rPr>
              <w:t>Ostalo</w:t>
            </w:r>
          </w:p>
        </w:tc>
        <w:tc>
          <w:tcPr>
            <w:tcW w:w="487" w:type="dxa"/>
            <w:tcBorders>
              <w:top w:val="nil"/>
              <w:left w:val="nil"/>
              <w:bottom w:val="single" w:sz="4" w:space="0" w:color="auto"/>
              <w:right w:val="single" w:sz="4" w:space="0" w:color="auto"/>
            </w:tcBorders>
            <w:shd w:val="clear" w:color="000000" w:fill="CCFFCC"/>
            <w:textDirection w:val="btLr"/>
            <w:vAlign w:val="center"/>
            <w:hideMark/>
          </w:tcPr>
          <w:p w14:paraId="4C38B05C" w14:textId="77777777" w:rsidR="001752B7" w:rsidRPr="000271A1" w:rsidRDefault="001752B7" w:rsidP="001752B7">
            <w:pPr>
              <w:spacing w:after="0" w:line="240" w:lineRule="auto"/>
              <w:jc w:val="center"/>
              <w:rPr>
                <w:rFonts w:ascii="Tahoma" w:eastAsia="Times New Roman" w:hAnsi="Tahoma" w:cs="Tahoma"/>
                <w:sz w:val="18"/>
                <w:szCs w:val="18"/>
                <w:lang w:eastAsia="hr-HR"/>
              </w:rPr>
            </w:pPr>
            <w:r w:rsidRPr="000271A1">
              <w:rPr>
                <w:rFonts w:ascii="Tahoma" w:eastAsia="Times New Roman" w:hAnsi="Tahoma" w:cs="Tahoma"/>
                <w:sz w:val="18"/>
                <w:szCs w:val="18"/>
                <w:lang w:eastAsia="hr-HR"/>
              </w:rPr>
              <w:t xml:space="preserve"> DO 12 MJESECI</w:t>
            </w:r>
          </w:p>
        </w:tc>
        <w:tc>
          <w:tcPr>
            <w:tcW w:w="425" w:type="dxa"/>
            <w:tcBorders>
              <w:top w:val="nil"/>
              <w:left w:val="nil"/>
              <w:bottom w:val="single" w:sz="4" w:space="0" w:color="auto"/>
              <w:right w:val="single" w:sz="8" w:space="0" w:color="auto"/>
            </w:tcBorders>
            <w:shd w:val="clear" w:color="000000" w:fill="CCFFCC"/>
            <w:textDirection w:val="btLr"/>
            <w:vAlign w:val="center"/>
            <w:hideMark/>
          </w:tcPr>
          <w:p w14:paraId="35D28DF1" w14:textId="77777777" w:rsidR="001752B7" w:rsidRPr="000271A1" w:rsidRDefault="001752B7" w:rsidP="001752B7">
            <w:pPr>
              <w:spacing w:after="0" w:line="240" w:lineRule="auto"/>
              <w:jc w:val="center"/>
              <w:rPr>
                <w:rFonts w:ascii="Tahoma" w:eastAsia="Times New Roman" w:hAnsi="Tahoma" w:cs="Tahoma"/>
                <w:sz w:val="18"/>
                <w:szCs w:val="18"/>
                <w:lang w:eastAsia="hr-HR"/>
              </w:rPr>
            </w:pPr>
            <w:r w:rsidRPr="000271A1">
              <w:rPr>
                <w:rFonts w:ascii="Tahoma" w:eastAsia="Times New Roman" w:hAnsi="Tahoma" w:cs="Tahoma"/>
                <w:sz w:val="18"/>
                <w:szCs w:val="18"/>
                <w:lang w:eastAsia="hr-HR"/>
              </w:rPr>
              <w:t>PREKO 12 MJESECI</w:t>
            </w:r>
          </w:p>
        </w:tc>
        <w:tc>
          <w:tcPr>
            <w:tcW w:w="236" w:type="dxa"/>
            <w:vAlign w:val="center"/>
            <w:hideMark/>
          </w:tcPr>
          <w:p w14:paraId="699C2C31" w14:textId="77777777" w:rsidR="001752B7" w:rsidRPr="001752B7" w:rsidRDefault="001752B7" w:rsidP="001752B7">
            <w:pPr>
              <w:spacing w:after="0" w:line="240" w:lineRule="auto"/>
              <w:rPr>
                <w:rFonts w:ascii="Times New Roman" w:eastAsia="Times New Roman" w:hAnsi="Times New Roman" w:cs="Times New Roman"/>
                <w:sz w:val="20"/>
                <w:szCs w:val="20"/>
                <w:lang w:eastAsia="hr-HR"/>
              </w:rPr>
            </w:pPr>
          </w:p>
        </w:tc>
      </w:tr>
      <w:tr w:rsidR="001752B7" w:rsidRPr="001752B7" w14:paraId="12C2C25B" w14:textId="77777777" w:rsidTr="000271A1">
        <w:trPr>
          <w:gridAfter w:val="1"/>
          <w:wAfter w:w="31" w:type="dxa"/>
          <w:trHeight w:val="300"/>
        </w:trPr>
        <w:tc>
          <w:tcPr>
            <w:tcW w:w="1408" w:type="dxa"/>
            <w:tcBorders>
              <w:top w:val="single" w:sz="4" w:space="0" w:color="auto"/>
              <w:left w:val="single" w:sz="8" w:space="0" w:color="auto"/>
              <w:bottom w:val="single" w:sz="4" w:space="0" w:color="auto"/>
              <w:right w:val="single" w:sz="4" w:space="0" w:color="000000"/>
            </w:tcBorders>
            <w:shd w:val="clear" w:color="000000" w:fill="CCFFCC"/>
            <w:vAlign w:val="center"/>
            <w:hideMark/>
          </w:tcPr>
          <w:p w14:paraId="00653584" w14:textId="77777777" w:rsidR="001752B7" w:rsidRPr="000271A1" w:rsidRDefault="001752B7" w:rsidP="001752B7">
            <w:pPr>
              <w:spacing w:after="0" w:line="240" w:lineRule="auto"/>
              <w:jc w:val="center"/>
              <w:rPr>
                <w:rFonts w:ascii="Tahoma" w:eastAsia="Times New Roman" w:hAnsi="Tahoma" w:cs="Tahoma"/>
                <w:sz w:val="16"/>
                <w:szCs w:val="16"/>
                <w:lang w:eastAsia="hr-HR"/>
              </w:rPr>
            </w:pPr>
            <w:r w:rsidRPr="000271A1">
              <w:rPr>
                <w:rFonts w:ascii="Tahoma" w:eastAsia="Times New Roman" w:hAnsi="Tahoma" w:cs="Tahoma"/>
                <w:sz w:val="16"/>
                <w:szCs w:val="16"/>
                <w:lang w:eastAsia="hr-HR"/>
              </w:rPr>
              <w:t>1.</w:t>
            </w:r>
          </w:p>
        </w:tc>
        <w:tc>
          <w:tcPr>
            <w:tcW w:w="673" w:type="dxa"/>
            <w:tcBorders>
              <w:top w:val="nil"/>
              <w:left w:val="nil"/>
              <w:bottom w:val="single" w:sz="4" w:space="0" w:color="auto"/>
              <w:right w:val="single" w:sz="4" w:space="0" w:color="auto"/>
            </w:tcBorders>
            <w:shd w:val="clear" w:color="000000" w:fill="CCFFCC"/>
            <w:noWrap/>
            <w:vAlign w:val="center"/>
            <w:hideMark/>
          </w:tcPr>
          <w:p w14:paraId="45C2C233" w14:textId="77777777" w:rsidR="001752B7" w:rsidRPr="000271A1" w:rsidRDefault="001752B7" w:rsidP="001752B7">
            <w:pPr>
              <w:spacing w:after="0" w:line="240" w:lineRule="auto"/>
              <w:jc w:val="center"/>
              <w:rPr>
                <w:rFonts w:ascii="Tahoma" w:eastAsia="Times New Roman" w:hAnsi="Tahoma" w:cs="Tahoma"/>
                <w:sz w:val="16"/>
                <w:szCs w:val="16"/>
                <w:lang w:eastAsia="hr-HR"/>
              </w:rPr>
            </w:pPr>
            <w:r w:rsidRPr="000271A1">
              <w:rPr>
                <w:rFonts w:ascii="Tahoma" w:eastAsia="Times New Roman" w:hAnsi="Tahoma" w:cs="Tahoma"/>
                <w:sz w:val="16"/>
                <w:szCs w:val="16"/>
                <w:lang w:eastAsia="hr-HR"/>
              </w:rPr>
              <w:t>2.</w:t>
            </w:r>
          </w:p>
        </w:tc>
        <w:tc>
          <w:tcPr>
            <w:tcW w:w="521" w:type="dxa"/>
            <w:tcBorders>
              <w:top w:val="nil"/>
              <w:left w:val="nil"/>
              <w:bottom w:val="single" w:sz="4" w:space="0" w:color="auto"/>
              <w:right w:val="single" w:sz="4" w:space="0" w:color="auto"/>
            </w:tcBorders>
            <w:shd w:val="clear" w:color="000000" w:fill="CCFFCC"/>
            <w:noWrap/>
            <w:vAlign w:val="center"/>
            <w:hideMark/>
          </w:tcPr>
          <w:p w14:paraId="5BA0EFAD" w14:textId="77777777" w:rsidR="001752B7" w:rsidRPr="000271A1" w:rsidRDefault="001752B7" w:rsidP="001752B7">
            <w:pPr>
              <w:spacing w:after="0" w:line="240" w:lineRule="auto"/>
              <w:jc w:val="center"/>
              <w:rPr>
                <w:rFonts w:ascii="Tahoma" w:eastAsia="Times New Roman" w:hAnsi="Tahoma" w:cs="Tahoma"/>
                <w:sz w:val="16"/>
                <w:szCs w:val="16"/>
                <w:lang w:eastAsia="hr-HR"/>
              </w:rPr>
            </w:pPr>
            <w:r w:rsidRPr="000271A1">
              <w:rPr>
                <w:rFonts w:ascii="Tahoma" w:eastAsia="Times New Roman" w:hAnsi="Tahoma" w:cs="Tahoma"/>
                <w:sz w:val="16"/>
                <w:szCs w:val="16"/>
                <w:lang w:eastAsia="hr-HR"/>
              </w:rPr>
              <w:t>3.</w:t>
            </w:r>
          </w:p>
        </w:tc>
        <w:tc>
          <w:tcPr>
            <w:tcW w:w="477" w:type="dxa"/>
            <w:tcBorders>
              <w:top w:val="single" w:sz="4" w:space="0" w:color="auto"/>
              <w:left w:val="nil"/>
              <w:bottom w:val="single" w:sz="4" w:space="0" w:color="auto"/>
              <w:right w:val="single" w:sz="4" w:space="0" w:color="auto"/>
            </w:tcBorders>
            <w:shd w:val="clear" w:color="000000" w:fill="CCFFCC"/>
            <w:noWrap/>
            <w:vAlign w:val="center"/>
            <w:hideMark/>
          </w:tcPr>
          <w:p w14:paraId="48179D35" w14:textId="77777777" w:rsidR="001752B7" w:rsidRPr="000271A1" w:rsidRDefault="001752B7" w:rsidP="001752B7">
            <w:pPr>
              <w:spacing w:after="0" w:line="240" w:lineRule="auto"/>
              <w:jc w:val="center"/>
              <w:rPr>
                <w:rFonts w:ascii="Tahoma" w:eastAsia="Times New Roman" w:hAnsi="Tahoma" w:cs="Tahoma"/>
                <w:sz w:val="16"/>
                <w:szCs w:val="16"/>
                <w:lang w:eastAsia="hr-HR"/>
              </w:rPr>
            </w:pPr>
            <w:r w:rsidRPr="000271A1">
              <w:rPr>
                <w:rFonts w:ascii="Tahoma" w:eastAsia="Times New Roman" w:hAnsi="Tahoma" w:cs="Tahoma"/>
                <w:sz w:val="16"/>
                <w:szCs w:val="16"/>
                <w:lang w:eastAsia="hr-HR"/>
              </w:rPr>
              <w:t>4.</w:t>
            </w:r>
          </w:p>
        </w:tc>
        <w:tc>
          <w:tcPr>
            <w:tcW w:w="426" w:type="dxa"/>
            <w:tcBorders>
              <w:top w:val="single" w:sz="4" w:space="0" w:color="auto"/>
              <w:left w:val="nil"/>
              <w:bottom w:val="single" w:sz="4" w:space="0" w:color="auto"/>
              <w:right w:val="single" w:sz="4" w:space="0" w:color="auto"/>
            </w:tcBorders>
            <w:shd w:val="clear" w:color="000000" w:fill="CCFFCC"/>
            <w:noWrap/>
            <w:vAlign w:val="center"/>
            <w:hideMark/>
          </w:tcPr>
          <w:p w14:paraId="4CF6E088" w14:textId="77777777" w:rsidR="001752B7" w:rsidRPr="000271A1" w:rsidRDefault="001752B7" w:rsidP="001752B7">
            <w:pPr>
              <w:spacing w:after="0" w:line="240" w:lineRule="auto"/>
              <w:jc w:val="center"/>
              <w:rPr>
                <w:rFonts w:ascii="Tahoma" w:eastAsia="Times New Roman" w:hAnsi="Tahoma" w:cs="Tahoma"/>
                <w:sz w:val="16"/>
                <w:szCs w:val="16"/>
                <w:lang w:eastAsia="hr-HR"/>
              </w:rPr>
            </w:pPr>
            <w:r w:rsidRPr="000271A1">
              <w:rPr>
                <w:rFonts w:ascii="Tahoma" w:eastAsia="Times New Roman" w:hAnsi="Tahoma" w:cs="Tahoma"/>
                <w:sz w:val="16"/>
                <w:szCs w:val="16"/>
                <w:lang w:eastAsia="hr-HR"/>
              </w:rPr>
              <w:t>5.</w:t>
            </w:r>
          </w:p>
        </w:tc>
        <w:tc>
          <w:tcPr>
            <w:tcW w:w="698" w:type="dxa"/>
            <w:tcBorders>
              <w:top w:val="nil"/>
              <w:left w:val="nil"/>
              <w:bottom w:val="single" w:sz="4" w:space="0" w:color="auto"/>
              <w:right w:val="single" w:sz="4" w:space="0" w:color="auto"/>
            </w:tcBorders>
            <w:shd w:val="clear" w:color="000000" w:fill="CCFFCC"/>
            <w:noWrap/>
            <w:vAlign w:val="center"/>
            <w:hideMark/>
          </w:tcPr>
          <w:p w14:paraId="361098EC" w14:textId="77777777" w:rsidR="001752B7" w:rsidRPr="000271A1" w:rsidRDefault="001752B7" w:rsidP="001752B7">
            <w:pPr>
              <w:spacing w:after="0" w:line="240" w:lineRule="auto"/>
              <w:jc w:val="center"/>
              <w:rPr>
                <w:rFonts w:ascii="Tahoma" w:eastAsia="Times New Roman" w:hAnsi="Tahoma" w:cs="Tahoma"/>
                <w:sz w:val="16"/>
                <w:szCs w:val="16"/>
                <w:lang w:eastAsia="hr-HR"/>
              </w:rPr>
            </w:pPr>
            <w:r w:rsidRPr="000271A1">
              <w:rPr>
                <w:rFonts w:ascii="Tahoma" w:eastAsia="Times New Roman" w:hAnsi="Tahoma" w:cs="Tahoma"/>
                <w:sz w:val="16"/>
                <w:szCs w:val="16"/>
                <w:lang w:eastAsia="hr-HR"/>
              </w:rPr>
              <w:t>6.</w:t>
            </w:r>
          </w:p>
        </w:tc>
        <w:tc>
          <w:tcPr>
            <w:tcW w:w="698" w:type="dxa"/>
            <w:tcBorders>
              <w:top w:val="nil"/>
              <w:left w:val="nil"/>
              <w:bottom w:val="single" w:sz="4" w:space="0" w:color="auto"/>
              <w:right w:val="single" w:sz="4" w:space="0" w:color="auto"/>
            </w:tcBorders>
            <w:shd w:val="clear" w:color="000000" w:fill="CCFFCC"/>
            <w:noWrap/>
            <w:vAlign w:val="center"/>
            <w:hideMark/>
          </w:tcPr>
          <w:p w14:paraId="35C77592" w14:textId="77777777" w:rsidR="001752B7" w:rsidRPr="000271A1" w:rsidRDefault="001752B7" w:rsidP="001752B7">
            <w:pPr>
              <w:spacing w:after="0" w:line="240" w:lineRule="auto"/>
              <w:jc w:val="center"/>
              <w:rPr>
                <w:rFonts w:ascii="Tahoma" w:eastAsia="Times New Roman" w:hAnsi="Tahoma" w:cs="Tahoma"/>
                <w:sz w:val="16"/>
                <w:szCs w:val="16"/>
                <w:lang w:eastAsia="hr-HR"/>
              </w:rPr>
            </w:pPr>
            <w:r w:rsidRPr="000271A1">
              <w:rPr>
                <w:rFonts w:ascii="Tahoma" w:eastAsia="Times New Roman" w:hAnsi="Tahoma" w:cs="Tahoma"/>
                <w:sz w:val="16"/>
                <w:szCs w:val="16"/>
                <w:lang w:eastAsia="hr-HR"/>
              </w:rPr>
              <w:t>7.</w:t>
            </w:r>
          </w:p>
        </w:tc>
        <w:tc>
          <w:tcPr>
            <w:tcW w:w="698" w:type="dxa"/>
            <w:tcBorders>
              <w:top w:val="nil"/>
              <w:left w:val="nil"/>
              <w:bottom w:val="single" w:sz="4" w:space="0" w:color="auto"/>
              <w:right w:val="single" w:sz="4" w:space="0" w:color="auto"/>
            </w:tcBorders>
            <w:shd w:val="clear" w:color="000000" w:fill="CCFFCC"/>
            <w:noWrap/>
            <w:vAlign w:val="center"/>
            <w:hideMark/>
          </w:tcPr>
          <w:p w14:paraId="3FF621BA" w14:textId="77777777" w:rsidR="001752B7" w:rsidRPr="000271A1" w:rsidRDefault="001752B7" w:rsidP="001752B7">
            <w:pPr>
              <w:spacing w:after="0" w:line="240" w:lineRule="auto"/>
              <w:jc w:val="center"/>
              <w:rPr>
                <w:rFonts w:ascii="Tahoma" w:eastAsia="Times New Roman" w:hAnsi="Tahoma" w:cs="Tahoma"/>
                <w:sz w:val="16"/>
                <w:szCs w:val="16"/>
                <w:lang w:eastAsia="hr-HR"/>
              </w:rPr>
            </w:pPr>
            <w:r w:rsidRPr="000271A1">
              <w:rPr>
                <w:rFonts w:ascii="Tahoma" w:eastAsia="Times New Roman" w:hAnsi="Tahoma" w:cs="Tahoma"/>
                <w:sz w:val="16"/>
                <w:szCs w:val="16"/>
                <w:lang w:eastAsia="hr-HR"/>
              </w:rPr>
              <w:t>8.</w:t>
            </w:r>
          </w:p>
        </w:tc>
        <w:tc>
          <w:tcPr>
            <w:tcW w:w="698" w:type="dxa"/>
            <w:tcBorders>
              <w:top w:val="nil"/>
              <w:left w:val="nil"/>
              <w:bottom w:val="single" w:sz="4" w:space="0" w:color="auto"/>
              <w:right w:val="single" w:sz="4" w:space="0" w:color="auto"/>
            </w:tcBorders>
            <w:shd w:val="clear" w:color="000000" w:fill="CCFFCC"/>
            <w:noWrap/>
            <w:vAlign w:val="center"/>
            <w:hideMark/>
          </w:tcPr>
          <w:p w14:paraId="6078C58B" w14:textId="77777777" w:rsidR="001752B7" w:rsidRPr="000271A1" w:rsidRDefault="001752B7" w:rsidP="001752B7">
            <w:pPr>
              <w:spacing w:after="0" w:line="240" w:lineRule="auto"/>
              <w:jc w:val="center"/>
              <w:rPr>
                <w:rFonts w:ascii="Tahoma" w:eastAsia="Times New Roman" w:hAnsi="Tahoma" w:cs="Tahoma"/>
                <w:sz w:val="16"/>
                <w:szCs w:val="16"/>
                <w:lang w:eastAsia="hr-HR"/>
              </w:rPr>
            </w:pPr>
            <w:r w:rsidRPr="000271A1">
              <w:rPr>
                <w:rFonts w:ascii="Tahoma" w:eastAsia="Times New Roman" w:hAnsi="Tahoma" w:cs="Tahoma"/>
                <w:sz w:val="16"/>
                <w:szCs w:val="16"/>
                <w:lang w:eastAsia="hr-HR"/>
              </w:rPr>
              <w:t>9.</w:t>
            </w:r>
          </w:p>
        </w:tc>
        <w:tc>
          <w:tcPr>
            <w:tcW w:w="698" w:type="dxa"/>
            <w:tcBorders>
              <w:top w:val="nil"/>
              <w:left w:val="nil"/>
              <w:bottom w:val="single" w:sz="4" w:space="0" w:color="auto"/>
              <w:right w:val="single" w:sz="4" w:space="0" w:color="auto"/>
            </w:tcBorders>
            <w:shd w:val="clear" w:color="000000" w:fill="CCFFCC"/>
            <w:noWrap/>
            <w:vAlign w:val="center"/>
            <w:hideMark/>
          </w:tcPr>
          <w:p w14:paraId="143F51B2" w14:textId="77777777" w:rsidR="001752B7" w:rsidRPr="000271A1" w:rsidRDefault="001752B7" w:rsidP="001752B7">
            <w:pPr>
              <w:spacing w:after="0" w:line="240" w:lineRule="auto"/>
              <w:jc w:val="center"/>
              <w:rPr>
                <w:rFonts w:ascii="Tahoma" w:eastAsia="Times New Roman" w:hAnsi="Tahoma" w:cs="Tahoma"/>
                <w:sz w:val="16"/>
                <w:szCs w:val="16"/>
                <w:lang w:eastAsia="hr-HR"/>
              </w:rPr>
            </w:pPr>
            <w:r w:rsidRPr="000271A1">
              <w:rPr>
                <w:rFonts w:ascii="Tahoma" w:eastAsia="Times New Roman" w:hAnsi="Tahoma" w:cs="Tahoma"/>
                <w:sz w:val="16"/>
                <w:szCs w:val="16"/>
                <w:lang w:eastAsia="hr-HR"/>
              </w:rPr>
              <w:t>10.</w:t>
            </w:r>
          </w:p>
        </w:tc>
        <w:tc>
          <w:tcPr>
            <w:tcW w:w="698" w:type="dxa"/>
            <w:tcBorders>
              <w:top w:val="nil"/>
              <w:left w:val="nil"/>
              <w:bottom w:val="single" w:sz="4" w:space="0" w:color="auto"/>
              <w:right w:val="single" w:sz="4" w:space="0" w:color="auto"/>
            </w:tcBorders>
            <w:shd w:val="clear" w:color="000000" w:fill="CCFFCC"/>
            <w:noWrap/>
            <w:vAlign w:val="center"/>
            <w:hideMark/>
          </w:tcPr>
          <w:p w14:paraId="5C2DD83A" w14:textId="77777777" w:rsidR="001752B7" w:rsidRPr="000271A1" w:rsidRDefault="001752B7" w:rsidP="001752B7">
            <w:pPr>
              <w:spacing w:after="0" w:line="240" w:lineRule="auto"/>
              <w:jc w:val="center"/>
              <w:rPr>
                <w:rFonts w:ascii="Tahoma" w:eastAsia="Times New Roman" w:hAnsi="Tahoma" w:cs="Tahoma"/>
                <w:sz w:val="16"/>
                <w:szCs w:val="16"/>
                <w:lang w:eastAsia="hr-HR"/>
              </w:rPr>
            </w:pPr>
            <w:r w:rsidRPr="000271A1">
              <w:rPr>
                <w:rFonts w:ascii="Tahoma" w:eastAsia="Times New Roman" w:hAnsi="Tahoma" w:cs="Tahoma"/>
                <w:sz w:val="16"/>
                <w:szCs w:val="16"/>
                <w:lang w:eastAsia="hr-HR"/>
              </w:rPr>
              <w:t>11.</w:t>
            </w:r>
          </w:p>
        </w:tc>
        <w:tc>
          <w:tcPr>
            <w:tcW w:w="469" w:type="dxa"/>
            <w:tcBorders>
              <w:top w:val="nil"/>
              <w:left w:val="nil"/>
              <w:bottom w:val="single" w:sz="4" w:space="0" w:color="auto"/>
              <w:right w:val="single" w:sz="4" w:space="0" w:color="auto"/>
            </w:tcBorders>
            <w:shd w:val="clear" w:color="000000" w:fill="CCFFCC"/>
            <w:noWrap/>
            <w:vAlign w:val="center"/>
            <w:hideMark/>
          </w:tcPr>
          <w:p w14:paraId="65CD1C9C" w14:textId="77777777" w:rsidR="001752B7" w:rsidRPr="000271A1" w:rsidRDefault="001752B7" w:rsidP="001752B7">
            <w:pPr>
              <w:spacing w:after="0" w:line="240" w:lineRule="auto"/>
              <w:jc w:val="center"/>
              <w:rPr>
                <w:rFonts w:ascii="Tahoma" w:eastAsia="Times New Roman" w:hAnsi="Tahoma" w:cs="Tahoma"/>
                <w:sz w:val="16"/>
                <w:szCs w:val="16"/>
                <w:lang w:eastAsia="hr-HR"/>
              </w:rPr>
            </w:pPr>
            <w:r w:rsidRPr="000271A1">
              <w:rPr>
                <w:rFonts w:ascii="Tahoma" w:eastAsia="Times New Roman" w:hAnsi="Tahoma" w:cs="Tahoma"/>
                <w:sz w:val="16"/>
                <w:szCs w:val="16"/>
                <w:lang w:eastAsia="hr-HR"/>
              </w:rPr>
              <w:t>12.</w:t>
            </w:r>
          </w:p>
        </w:tc>
        <w:tc>
          <w:tcPr>
            <w:tcW w:w="419" w:type="dxa"/>
            <w:tcBorders>
              <w:top w:val="nil"/>
              <w:left w:val="nil"/>
              <w:bottom w:val="single" w:sz="4" w:space="0" w:color="auto"/>
              <w:right w:val="single" w:sz="4" w:space="0" w:color="auto"/>
            </w:tcBorders>
            <w:shd w:val="clear" w:color="000000" w:fill="CCFFCC"/>
            <w:noWrap/>
            <w:vAlign w:val="center"/>
            <w:hideMark/>
          </w:tcPr>
          <w:p w14:paraId="08CF69F6" w14:textId="07DC9EE2" w:rsidR="001752B7" w:rsidRPr="000271A1" w:rsidRDefault="001752B7" w:rsidP="001752B7">
            <w:pPr>
              <w:spacing w:after="0" w:line="240" w:lineRule="auto"/>
              <w:jc w:val="center"/>
              <w:rPr>
                <w:rFonts w:ascii="Tahoma" w:eastAsia="Times New Roman" w:hAnsi="Tahoma" w:cs="Tahoma"/>
                <w:sz w:val="16"/>
                <w:szCs w:val="16"/>
                <w:lang w:eastAsia="hr-HR"/>
              </w:rPr>
            </w:pPr>
            <w:r w:rsidRPr="000271A1">
              <w:rPr>
                <w:rFonts w:ascii="Tahoma" w:eastAsia="Times New Roman" w:hAnsi="Tahoma" w:cs="Tahoma"/>
                <w:sz w:val="16"/>
                <w:szCs w:val="16"/>
                <w:lang w:eastAsia="hr-HR"/>
              </w:rPr>
              <w:t>13</w:t>
            </w:r>
          </w:p>
        </w:tc>
        <w:tc>
          <w:tcPr>
            <w:tcW w:w="521" w:type="dxa"/>
            <w:tcBorders>
              <w:top w:val="nil"/>
              <w:left w:val="nil"/>
              <w:bottom w:val="single" w:sz="4" w:space="0" w:color="auto"/>
              <w:right w:val="single" w:sz="4" w:space="0" w:color="auto"/>
            </w:tcBorders>
            <w:shd w:val="clear" w:color="000000" w:fill="CCFFCC"/>
            <w:noWrap/>
            <w:vAlign w:val="center"/>
            <w:hideMark/>
          </w:tcPr>
          <w:p w14:paraId="1820BB51" w14:textId="77777777" w:rsidR="001752B7" w:rsidRPr="000271A1" w:rsidRDefault="001752B7" w:rsidP="001752B7">
            <w:pPr>
              <w:spacing w:after="0" w:line="240" w:lineRule="auto"/>
              <w:jc w:val="center"/>
              <w:rPr>
                <w:rFonts w:ascii="Tahoma" w:eastAsia="Times New Roman" w:hAnsi="Tahoma" w:cs="Tahoma"/>
                <w:sz w:val="16"/>
                <w:szCs w:val="16"/>
                <w:lang w:eastAsia="hr-HR"/>
              </w:rPr>
            </w:pPr>
            <w:r w:rsidRPr="000271A1">
              <w:rPr>
                <w:rFonts w:ascii="Tahoma" w:eastAsia="Times New Roman" w:hAnsi="Tahoma" w:cs="Tahoma"/>
                <w:sz w:val="16"/>
                <w:szCs w:val="16"/>
                <w:lang w:eastAsia="hr-HR"/>
              </w:rPr>
              <w:t>14.</w:t>
            </w:r>
          </w:p>
        </w:tc>
        <w:tc>
          <w:tcPr>
            <w:tcW w:w="476" w:type="dxa"/>
            <w:tcBorders>
              <w:top w:val="nil"/>
              <w:left w:val="nil"/>
              <w:bottom w:val="single" w:sz="4" w:space="0" w:color="auto"/>
              <w:right w:val="single" w:sz="4" w:space="0" w:color="auto"/>
            </w:tcBorders>
            <w:shd w:val="clear" w:color="000000" w:fill="CCFFCC"/>
            <w:noWrap/>
            <w:vAlign w:val="center"/>
            <w:hideMark/>
          </w:tcPr>
          <w:p w14:paraId="3ABEC7B3" w14:textId="77777777" w:rsidR="001752B7" w:rsidRPr="000271A1" w:rsidRDefault="001752B7" w:rsidP="001752B7">
            <w:pPr>
              <w:spacing w:after="0" w:line="240" w:lineRule="auto"/>
              <w:jc w:val="center"/>
              <w:rPr>
                <w:rFonts w:ascii="Tahoma" w:eastAsia="Times New Roman" w:hAnsi="Tahoma" w:cs="Tahoma"/>
                <w:sz w:val="16"/>
                <w:szCs w:val="16"/>
                <w:lang w:eastAsia="hr-HR"/>
              </w:rPr>
            </w:pPr>
            <w:r w:rsidRPr="000271A1">
              <w:rPr>
                <w:rFonts w:ascii="Tahoma" w:eastAsia="Times New Roman" w:hAnsi="Tahoma" w:cs="Tahoma"/>
                <w:sz w:val="16"/>
                <w:szCs w:val="16"/>
                <w:lang w:eastAsia="hr-HR"/>
              </w:rPr>
              <w:t>15.</w:t>
            </w:r>
          </w:p>
        </w:tc>
        <w:tc>
          <w:tcPr>
            <w:tcW w:w="698" w:type="dxa"/>
            <w:tcBorders>
              <w:top w:val="nil"/>
              <w:left w:val="nil"/>
              <w:bottom w:val="single" w:sz="4" w:space="0" w:color="auto"/>
              <w:right w:val="single" w:sz="4" w:space="0" w:color="auto"/>
            </w:tcBorders>
            <w:shd w:val="clear" w:color="000000" w:fill="CCFFCC"/>
            <w:noWrap/>
            <w:vAlign w:val="center"/>
            <w:hideMark/>
          </w:tcPr>
          <w:p w14:paraId="43FFFD7C" w14:textId="77777777" w:rsidR="001752B7" w:rsidRPr="000271A1" w:rsidRDefault="001752B7" w:rsidP="001752B7">
            <w:pPr>
              <w:spacing w:after="0" w:line="240" w:lineRule="auto"/>
              <w:jc w:val="center"/>
              <w:rPr>
                <w:rFonts w:ascii="Tahoma" w:eastAsia="Times New Roman" w:hAnsi="Tahoma" w:cs="Tahoma"/>
                <w:sz w:val="16"/>
                <w:szCs w:val="16"/>
                <w:lang w:eastAsia="hr-HR"/>
              </w:rPr>
            </w:pPr>
            <w:r w:rsidRPr="000271A1">
              <w:rPr>
                <w:rFonts w:ascii="Tahoma" w:eastAsia="Times New Roman" w:hAnsi="Tahoma" w:cs="Tahoma"/>
                <w:sz w:val="16"/>
                <w:szCs w:val="16"/>
                <w:lang w:eastAsia="hr-HR"/>
              </w:rPr>
              <w:t>16.</w:t>
            </w:r>
          </w:p>
        </w:tc>
        <w:tc>
          <w:tcPr>
            <w:tcW w:w="643" w:type="dxa"/>
            <w:tcBorders>
              <w:top w:val="single" w:sz="4" w:space="0" w:color="auto"/>
              <w:left w:val="nil"/>
              <w:bottom w:val="single" w:sz="4" w:space="0" w:color="auto"/>
              <w:right w:val="single" w:sz="4" w:space="0" w:color="auto"/>
            </w:tcBorders>
            <w:shd w:val="clear" w:color="000000" w:fill="CCFFCC"/>
            <w:noWrap/>
            <w:vAlign w:val="center"/>
            <w:hideMark/>
          </w:tcPr>
          <w:p w14:paraId="4EAC679F" w14:textId="77777777" w:rsidR="001752B7" w:rsidRPr="000271A1" w:rsidRDefault="001752B7" w:rsidP="001752B7">
            <w:pPr>
              <w:spacing w:after="0" w:line="240" w:lineRule="auto"/>
              <w:jc w:val="center"/>
              <w:rPr>
                <w:rFonts w:ascii="Tahoma" w:eastAsia="Times New Roman" w:hAnsi="Tahoma" w:cs="Tahoma"/>
                <w:sz w:val="16"/>
                <w:szCs w:val="16"/>
                <w:lang w:eastAsia="hr-HR"/>
              </w:rPr>
            </w:pPr>
            <w:r w:rsidRPr="000271A1">
              <w:rPr>
                <w:rFonts w:ascii="Tahoma" w:eastAsia="Times New Roman" w:hAnsi="Tahoma" w:cs="Tahoma"/>
                <w:sz w:val="16"/>
                <w:szCs w:val="16"/>
                <w:lang w:eastAsia="hr-HR"/>
              </w:rPr>
              <w:t>17.</w:t>
            </w:r>
          </w:p>
        </w:tc>
        <w:tc>
          <w:tcPr>
            <w:tcW w:w="605" w:type="dxa"/>
            <w:tcBorders>
              <w:top w:val="single" w:sz="4" w:space="0" w:color="auto"/>
              <w:left w:val="nil"/>
              <w:bottom w:val="single" w:sz="4" w:space="0" w:color="auto"/>
              <w:right w:val="single" w:sz="4" w:space="0" w:color="auto"/>
            </w:tcBorders>
            <w:shd w:val="clear" w:color="000000" w:fill="CCFFCC"/>
            <w:noWrap/>
            <w:vAlign w:val="center"/>
            <w:hideMark/>
          </w:tcPr>
          <w:p w14:paraId="471015FA" w14:textId="77777777" w:rsidR="001752B7" w:rsidRPr="000271A1" w:rsidRDefault="001752B7" w:rsidP="001752B7">
            <w:pPr>
              <w:spacing w:after="0" w:line="240" w:lineRule="auto"/>
              <w:jc w:val="center"/>
              <w:rPr>
                <w:rFonts w:ascii="Tahoma" w:eastAsia="Times New Roman" w:hAnsi="Tahoma" w:cs="Tahoma"/>
                <w:sz w:val="16"/>
                <w:szCs w:val="16"/>
                <w:lang w:eastAsia="hr-HR"/>
              </w:rPr>
            </w:pPr>
            <w:r w:rsidRPr="000271A1">
              <w:rPr>
                <w:rFonts w:ascii="Tahoma" w:eastAsia="Times New Roman" w:hAnsi="Tahoma" w:cs="Tahoma"/>
                <w:sz w:val="16"/>
                <w:szCs w:val="16"/>
                <w:lang w:eastAsia="hr-HR"/>
              </w:rPr>
              <w:t>18.</w:t>
            </w:r>
          </w:p>
        </w:tc>
        <w:tc>
          <w:tcPr>
            <w:tcW w:w="698" w:type="dxa"/>
            <w:tcBorders>
              <w:top w:val="nil"/>
              <w:left w:val="nil"/>
              <w:bottom w:val="single" w:sz="4" w:space="0" w:color="auto"/>
              <w:right w:val="single" w:sz="4" w:space="0" w:color="auto"/>
            </w:tcBorders>
            <w:shd w:val="clear" w:color="000000" w:fill="CCFFCC"/>
            <w:noWrap/>
            <w:vAlign w:val="center"/>
            <w:hideMark/>
          </w:tcPr>
          <w:p w14:paraId="4F280225" w14:textId="77777777" w:rsidR="001752B7" w:rsidRPr="000271A1" w:rsidRDefault="001752B7" w:rsidP="001752B7">
            <w:pPr>
              <w:spacing w:after="0" w:line="240" w:lineRule="auto"/>
              <w:jc w:val="center"/>
              <w:rPr>
                <w:rFonts w:ascii="Tahoma" w:eastAsia="Times New Roman" w:hAnsi="Tahoma" w:cs="Tahoma"/>
                <w:sz w:val="16"/>
                <w:szCs w:val="16"/>
                <w:lang w:eastAsia="hr-HR"/>
              </w:rPr>
            </w:pPr>
            <w:r w:rsidRPr="000271A1">
              <w:rPr>
                <w:rFonts w:ascii="Tahoma" w:eastAsia="Times New Roman" w:hAnsi="Tahoma" w:cs="Tahoma"/>
                <w:sz w:val="16"/>
                <w:szCs w:val="16"/>
                <w:lang w:eastAsia="hr-HR"/>
              </w:rPr>
              <w:t>19.</w:t>
            </w:r>
          </w:p>
        </w:tc>
        <w:tc>
          <w:tcPr>
            <w:tcW w:w="464" w:type="dxa"/>
            <w:tcBorders>
              <w:top w:val="nil"/>
              <w:left w:val="nil"/>
              <w:bottom w:val="single" w:sz="4" w:space="0" w:color="auto"/>
              <w:right w:val="single" w:sz="4" w:space="0" w:color="auto"/>
            </w:tcBorders>
            <w:shd w:val="clear" w:color="000000" w:fill="CCFFCC"/>
            <w:noWrap/>
            <w:vAlign w:val="center"/>
            <w:hideMark/>
          </w:tcPr>
          <w:p w14:paraId="4CE7159D" w14:textId="77777777" w:rsidR="001752B7" w:rsidRPr="000271A1" w:rsidRDefault="001752B7" w:rsidP="001752B7">
            <w:pPr>
              <w:spacing w:after="0" w:line="240" w:lineRule="auto"/>
              <w:jc w:val="center"/>
              <w:rPr>
                <w:rFonts w:ascii="Tahoma" w:eastAsia="Times New Roman" w:hAnsi="Tahoma" w:cs="Tahoma"/>
                <w:sz w:val="16"/>
                <w:szCs w:val="16"/>
                <w:lang w:eastAsia="hr-HR"/>
              </w:rPr>
            </w:pPr>
            <w:r w:rsidRPr="000271A1">
              <w:rPr>
                <w:rFonts w:ascii="Tahoma" w:eastAsia="Times New Roman" w:hAnsi="Tahoma" w:cs="Tahoma"/>
                <w:sz w:val="16"/>
                <w:szCs w:val="16"/>
                <w:lang w:eastAsia="hr-HR"/>
              </w:rPr>
              <w:t>20.</w:t>
            </w:r>
          </w:p>
        </w:tc>
        <w:tc>
          <w:tcPr>
            <w:tcW w:w="425" w:type="dxa"/>
            <w:tcBorders>
              <w:top w:val="nil"/>
              <w:left w:val="nil"/>
              <w:bottom w:val="single" w:sz="4" w:space="0" w:color="auto"/>
              <w:right w:val="single" w:sz="4" w:space="0" w:color="auto"/>
            </w:tcBorders>
            <w:shd w:val="clear" w:color="000000" w:fill="CCFFCC"/>
            <w:noWrap/>
            <w:vAlign w:val="center"/>
            <w:hideMark/>
          </w:tcPr>
          <w:p w14:paraId="58350F83" w14:textId="58F000E3" w:rsidR="001752B7" w:rsidRPr="000271A1" w:rsidRDefault="001752B7" w:rsidP="001752B7">
            <w:pPr>
              <w:spacing w:after="0" w:line="240" w:lineRule="auto"/>
              <w:jc w:val="center"/>
              <w:rPr>
                <w:rFonts w:ascii="Tahoma" w:eastAsia="Times New Roman" w:hAnsi="Tahoma" w:cs="Tahoma"/>
                <w:sz w:val="16"/>
                <w:szCs w:val="16"/>
                <w:lang w:eastAsia="hr-HR"/>
              </w:rPr>
            </w:pPr>
            <w:r w:rsidRPr="000271A1">
              <w:rPr>
                <w:rFonts w:ascii="Tahoma" w:eastAsia="Times New Roman" w:hAnsi="Tahoma" w:cs="Tahoma"/>
                <w:sz w:val="16"/>
                <w:szCs w:val="16"/>
                <w:lang w:eastAsia="hr-HR"/>
              </w:rPr>
              <w:t>2</w:t>
            </w:r>
            <w:r w:rsidR="000271A1">
              <w:rPr>
                <w:rFonts w:ascii="Tahoma" w:eastAsia="Times New Roman" w:hAnsi="Tahoma" w:cs="Tahoma"/>
                <w:sz w:val="16"/>
                <w:szCs w:val="16"/>
                <w:lang w:eastAsia="hr-HR"/>
              </w:rPr>
              <w:t>1</w:t>
            </w:r>
          </w:p>
        </w:tc>
        <w:tc>
          <w:tcPr>
            <w:tcW w:w="426" w:type="dxa"/>
            <w:tcBorders>
              <w:top w:val="nil"/>
              <w:left w:val="nil"/>
              <w:bottom w:val="single" w:sz="4" w:space="0" w:color="auto"/>
              <w:right w:val="single" w:sz="4" w:space="0" w:color="auto"/>
            </w:tcBorders>
            <w:shd w:val="clear" w:color="000000" w:fill="CCFFCC"/>
            <w:noWrap/>
            <w:vAlign w:val="center"/>
            <w:hideMark/>
          </w:tcPr>
          <w:p w14:paraId="06A0E883" w14:textId="0A5EE893" w:rsidR="001752B7" w:rsidRPr="000271A1" w:rsidRDefault="001752B7" w:rsidP="001752B7">
            <w:pPr>
              <w:spacing w:after="0" w:line="240" w:lineRule="auto"/>
              <w:jc w:val="center"/>
              <w:rPr>
                <w:rFonts w:ascii="Tahoma" w:eastAsia="Times New Roman" w:hAnsi="Tahoma" w:cs="Tahoma"/>
                <w:sz w:val="16"/>
                <w:szCs w:val="16"/>
                <w:lang w:eastAsia="hr-HR"/>
              </w:rPr>
            </w:pPr>
            <w:r w:rsidRPr="000271A1">
              <w:rPr>
                <w:rFonts w:ascii="Tahoma" w:eastAsia="Times New Roman" w:hAnsi="Tahoma" w:cs="Tahoma"/>
                <w:sz w:val="16"/>
                <w:szCs w:val="16"/>
                <w:lang w:eastAsia="hr-HR"/>
              </w:rPr>
              <w:t>22</w:t>
            </w:r>
          </w:p>
        </w:tc>
        <w:tc>
          <w:tcPr>
            <w:tcW w:w="487" w:type="dxa"/>
            <w:tcBorders>
              <w:top w:val="nil"/>
              <w:left w:val="nil"/>
              <w:bottom w:val="single" w:sz="4" w:space="0" w:color="auto"/>
              <w:right w:val="single" w:sz="4" w:space="0" w:color="auto"/>
            </w:tcBorders>
            <w:shd w:val="clear" w:color="000000" w:fill="CCFFCC"/>
            <w:noWrap/>
            <w:vAlign w:val="center"/>
            <w:hideMark/>
          </w:tcPr>
          <w:p w14:paraId="6604ADD9" w14:textId="760CF64A" w:rsidR="001752B7" w:rsidRPr="000271A1" w:rsidRDefault="001752B7" w:rsidP="001752B7">
            <w:pPr>
              <w:spacing w:after="0" w:line="240" w:lineRule="auto"/>
              <w:jc w:val="center"/>
              <w:rPr>
                <w:rFonts w:ascii="Tahoma" w:eastAsia="Times New Roman" w:hAnsi="Tahoma" w:cs="Tahoma"/>
                <w:sz w:val="16"/>
                <w:szCs w:val="16"/>
                <w:lang w:eastAsia="hr-HR"/>
              </w:rPr>
            </w:pPr>
            <w:r w:rsidRPr="000271A1">
              <w:rPr>
                <w:rFonts w:ascii="Tahoma" w:eastAsia="Times New Roman" w:hAnsi="Tahoma" w:cs="Tahoma"/>
                <w:sz w:val="16"/>
                <w:szCs w:val="16"/>
                <w:lang w:eastAsia="hr-HR"/>
              </w:rPr>
              <w:t>23</w:t>
            </w:r>
          </w:p>
        </w:tc>
        <w:tc>
          <w:tcPr>
            <w:tcW w:w="425" w:type="dxa"/>
            <w:tcBorders>
              <w:top w:val="nil"/>
              <w:left w:val="nil"/>
              <w:bottom w:val="single" w:sz="4" w:space="0" w:color="auto"/>
              <w:right w:val="single" w:sz="4" w:space="0" w:color="auto"/>
            </w:tcBorders>
            <w:shd w:val="clear" w:color="000000" w:fill="CCFFCC"/>
            <w:noWrap/>
            <w:vAlign w:val="center"/>
            <w:hideMark/>
          </w:tcPr>
          <w:p w14:paraId="5C8E49E1" w14:textId="6A515922" w:rsidR="001752B7" w:rsidRPr="000271A1" w:rsidRDefault="001752B7" w:rsidP="001752B7">
            <w:pPr>
              <w:spacing w:after="0" w:line="240" w:lineRule="auto"/>
              <w:jc w:val="center"/>
              <w:rPr>
                <w:rFonts w:ascii="Tahoma" w:eastAsia="Times New Roman" w:hAnsi="Tahoma" w:cs="Tahoma"/>
                <w:sz w:val="16"/>
                <w:szCs w:val="16"/>
                <w:lang w:eastAsia="hr-HR"/>
              </w:rPr>
            </w:pPr>
            <w:r w:rsidRPr="000271A1">
              <w:rPr>
                <w:rFonts w:ascii="Tahoma" w:eastAsia="Times New Roman" w:hAnsi="Tahoma" w:cs="Tahoma"/>
                <w:sz w:val="16"/>
                <w:szCs w:val="16"/>
                <w:lang w:eastAsia="hr-HR"/>
              </w:rPr>
              <w:t>24</w:t>
            </w:r>
          </w:p>
        </w:tc>
        <w:tc>
          <w:tcPr>
            <w:tcW w:w="236" w:type="dxa"/>
            <w:vAlign w:val="center"/>
            <w:hideMark/>
          </w:tcPr>
          <w:p w14:paraId="59B513BB" w14:textId="77777777" w:rsidR="001752B7" w:rsidRPr="001752B7" w:rsidRDefault="001752B7" w:rsidP="001752B7">
            <w:pPr>
              <w:spacing w:after="0" w:line="240" w:lineRule="auto"/>
              <w:rPr>
                <w:rFonts w:ascii="Times New Roman" w:eastAsia="Times New Roman" w:hAnsi="Times New Roman" w:cs="Times New Roman"/>
                <w:sz w:val="20"/>
                <w:szCs w:val="20"/>
                <w:lang w:eastAsia="hr-HR"/>
              </w:rPr>
            </w:pPr>
          </w:p>
        </w:tc>
      </w:tr>
      <w:tr w:rsidR="001752B7" w:rsidRPr="001752B7" w14:paraId="779415C8" w14:textId="77777777" w:rsidTr="000271A1">
        <w:trPr>
          <w:gridAfter w:val="1"/>
          <w:wAfter w:w="31" w:type="dxa"/>
          <w:trHeight w:val="300"/>
        </w:trPr>
        <w:tc>
          <w:tcPr>
            <w:tcW w:w="1408" w:type="dxa"/>
            <w:tcBorders>
              <w:top w:val="single" w:sz="4" w:space="0" w:color="auto"/>
              <w:left w:val="single" w:sz="8" w:space="0" w:color="auto"/>
              <w:bottom w:val="single" w:sz="4" w:space="0" w:color="auto"/>
              <w:right w:val="single" w:sz="4" w:space="0" w:color="auto"/>
            </w:tcBorders>
            <w:shd w:val="clear" w:color="000000" w:fill="CCFFCC"/>
            <w:vAlign w:val="center"/>
            <w:hideMark/>
          </w:tcPr>
          <w:p w14:paraId="54A6D33B" w14:textId="77777777" w:rsidR="001752B7" w:rsidRPr="001752B7" w:rsidRDefault="001752B7" w:rsidP="001752B7">
            <w:pPr>
              <w:spacing w:after="0" w:line="240" w:lineRule="auto"/>
              <w:rPr>
                <w:rFonts w:ascii="Tahoma" w:eastAsia="Times New Roman" w:hAnsi="Tahoma" w:cs="Tahoma"/>
                <w:sz w:val="20"/>
                <w:szCs w:val="20"/>
                <w:lang w:eastAsia="hr-HR"/>
              </w:rPr>
            </w:pPr>
            <w:r w:rsidRPr="001752B7">
              <w:rPr>
                <w:rFonts w:ascii="Tahoma" w:eastAsia="Times New Roman" w:hAnsi="Tahoma" w:cs="Tahoma"/>
                <w:sz w:val="20"/>
                <w:szCs w:val="20"/>
                <w:lang w:eastAsia="hr-HR"/>
              </w:rPr>
              <w:t xml:space="preserve">Rasa ili etnička </w:t>
            </w:r>
            <w:proofErr w:type="spellStart"/>
            <w:r w:rsidRPr="001752B7">
              <w:rPr>
                <w:rFonts w:ascii="Tahoma" w:eastAsia="Times New Roman" w:hAnsi="Tahoma" w:cs="Tahoma"/>
                <w:sz w:val="20"/>
                <w:szCs w:val="20"/>
                <w:lang w:eastAsia="hr-HR"/>
              </w:rPr>
              <w:t>propadnost</w:t>
            </w:r>
            <w:proofErr w:type="spellEnd"/>
            <w:r w:rsidRPr="001752B7">
              <w:rPr>
                <w:rFonts w:ascii="Tahoma" w:eastAsia="Times New Roman" w:hAnsi="Tahoma" w:cs="Tahoma"/>
                <w:sz w:val="20"/>
                <w:szCs w:val="20"/>
                <w:lang w:eastAsia="hr-HR"/>
              </w:rPr>
              <w:t xml:space="preserve"> ili boja kože</w:t>
            </w:r>
          </w:p>
        </w:tc>
        <w:tc>
          <w:tcPr>
            <w:tcW w:w="673" w:type="dxa"/>
            <w:tcBorders>
              <w:top w:val="nil"/>
              <w:left w:val="nil"/>
              <w:bottom w:val="single" w:sz="4" w:space="0" w:color="auto"/>
              <w:right w:val="single" w:sz="4" w:space="0" w:color="auto"/>
            </w:tcBorders>
            <w:shd w:val="clear" w:color="000000" w:fill="FFCC99"/>
            <w:noWrap/>
            <w:vAlign w:val="center"/>
            <w:hideMark/>
          </w:tcPr>
          <w:p w14:paraId="1F0264CA" w14:textId="77777777" w:rsidR="001752B7" w:rsidRPr="001752B7" w:rsidRDefault="001752B7" w:rsidP="001752B7">
            <w:pPr>
              <w:spacing w:after="0" w:line="240" w:lineRule="auto"/>
              <w:jc w:val="right"/>
              <w:rPr>
                <w:rFonts w:ascii="Tahoma" w:eastAsia="Times New Roman" w:hAnsi="Tahoma" w:cs="Tahoma"/>
                <w:sz w:val="20"/>
                <w:szCs w:val="20"/>
                <w:lang w:eastAsia="hr-HR"/>
              </w:rPr>
            </w:pPr>
            <w:r w:rsidRPr="001752B7">
              <w:rPr>
                <w:rFonts w:ascii="Tahoma" w:eastAsia="Times New Roman" w:hAnsi="Tahoma" w:cs="Tahoma"/>
                <w:sz w:val="20"/>
                <w:szCs w:val="20"/>
                <w:lang w:eastAsia="hr-HR"/>
              </w:rPr>
              <w:t>7</w:t>
            </w:r>
          </w:p>
        </w:tc>
        <w:tc>
          <w:tcPr>
            <w:tcW w:w="521" w:type="dxa"/>
            <w:tcBorders>
              <w:top w:val="nil"/>
              <w:left w:val="nil"/>
              <w:bottom w:val="single" w:sz="4" w:space="0" w:color="auto"/>
              <w:right w:val="single" w:sz="4" w:space="0" w:color="auto"/>
            </w:tcBorders>
            <w:shd w:val="clear" w:color="000000" w:fill="FFFF00"/>
            <w:noWrap/>
            <w:vAlign w:val="center"/>
            <w:hideMark/>
          </w:tcPr>
          <w:p w14:paraId="39E15181" w14:textId="77777777" w:rsidR="001752B7" w:rsidRPr="001752B7" w:rsidRDefault="001752B7" w:rsidP="001752B7">
            <w:pPr>
              <w:spacing w:after="0" w:line="240" w:lineRule="auto"/>
              <w:jc w:val="right"/>
              <w:rPr>
                <w:rFonts w:ascii="Tahoma" w:eastAsia="Times New Roman" w:hAnsi="Tahoma" w:cs="Tahoma"/>
                <w:sz w:val="20"/>
                <w:szCs w:val="20"/>
                <w:lang w:eastAsia="hr-HR"/>
              </w:rPr>
            </w:pPr>
            <w:r w:rsidRPr="001752B7">
              <w:rPr>
                <w:rFonts w:ascii="Tahoma" w:eastAsia="Times New Roman" w:hAnsi="Tahoma" w:cs="Tahoma"/>
                <w:sz w:val="20"/>
                <w:szCs w:val="20"/>
                <w:lang w:eastAsia="hr-HR"/>
              </w:rPr>
              <w:t>1</w:t>
            </w:r>
          </w:p>
        </w:tc>
        <w:tc>
          <w:tcPr>
            <w:tcW w:w="477" w:type="dxa"/>
            <w:tcBorders>
              <w:top w:val="nil"/>
              <w:left w:val="nil"/>
              <w:bottom w:val="single" w:sz="4" w:space="0" w:color="auto"/>
              <w:right w:val="single" w:sz="4" w:space="0" w:color="auto"/>
            </w:tcBorders>
            <w:shd w:val="clear" w:color="000000" w:fill="CCFFFF"/>
            <w:noWrap/>
            <w:vAlign w:val="center"/>
            <w:hideMark/>
          </w:tcPr>
          <w:p w14:paraId="14009D94" w14:textId="77777777" w:rsidR="001752B7" w:rsidRPr="001752B7" w:rsidRDefault="001752B7" w:rsidP="001752B7">
            <w:pPr>
              <w:spacing w:after="0" w:line="240" w:lineRule="auto"/>
              <w:jc w:val="right"/>
              <w:rPr>
                <w:rFonts w:ascii="Tahoma" w:eastAsia="Times New Roman" w:hAnsi="Tahoma" w:cs="Tahoma"/>
                <w:sz w:val="20"/>
                <w:szCs w:val="20"/>
                <w:lang w:eastAsia="hr-HR"/>
              </w:rPr>
            </w:pPr>
            <w:r w:rsidRPr="001752B7">
              <w:rPr>
                <w:rFonts w:ascii="Tahoma" w:eastAsia="Times New Roman" w:hAnsi="Tahoma" w:cs="Tahoma"/>
                <w:sz w:val="20"/>
                <w:szCs w:val="20"/>
                <w:lang w:eastAsia="hr-HR"/>
              </w:rPr>
              <w:t> </w:t>
            </w:r>
          </w:p>
        </w:tc>
        <w:tc>
          <w:tcPr>
            <w:tcW w:w="426" w:type="dxa"/>
            <w:tcBorders>
              <w:top w:val="nil"/>
              <w:left w:val="nil"/>
              <w:bottom w:val="single" w:sz="4" w:space="0" w:color="auto"/>
              <w:right w:val="single" w:sz="4" w:space="0" w:color="auto"/>
            </w:tcBorders>
            <w:shd w:val="clear" w:color="000000" w:fill="CCFFFF"/>
            <w:noWrap/>
            <w:vAlign w:val="center"/>
            <w:hideMark/>
          </w:tcPr>
          <w:p w14:paraId="76A9F6D4" w14:textId="77777777" w:rsidR="001752B7" w:rsidRPr="001752B7" w:rsidRDefault="001752B7" w:rsidP="001752B7">
            <w:pPr>
              <w:spacing w:after="0" w:line="240" w:lineRule="auto"/>
              <w:jc w:val="right"/>
              <w:rPr>
                <w:rFonts w:ascii="Tahoma" w:eastAsia="Times New Roman" w:hAnsi="Tahoma" w:cs="Tahoma"/>
                <w:sz w:val="20"/>
                <w:szCs w:val="20"/>
                <w:lang w:eastAsia="hr-HR"/>
              </w:rPr>
            </w:pPr>
            <w:r w:rsidRPr="001752B7">
              <w:rPr>
                <w:rFonts w:ascii="Tahoma" w:eastAsia="Times New Roman" w:hAnsi="Tahoma" w:cs="Tahoma"/>
                <w:sz w:val="20"/>
                <w:szCs w:val="20"/>
                <w:lang w:eastAsia="hr-HR"/>
              </w:rPr>
              <w:t>1</w:t>
            </w:r>
          </w:p>
        </w:tc>
        <w:tc>
          <w:tcPr>
            <w:tcW w:w="698" w:type="dxa"/>
            <w:tcBorders>
              <w:top w:val="nil"/>
              <w:left w:val="nil"/>
              <w:bottom w:val="single" w:sz="4" w:space="0" w:color="auto"/>
              <w:right w:val="single" w:sz="4" w:space="0" w:color="auto"/>
            </w:tcBorders>
            <w:shd w:val="clear" w:color="000000" w:fill="FFFF99"/>
            <w:noWrap/>
            <w:vAlign w:val="center"/>
            <w:hideMark/>
          </w:tcPr>
          <w:p w14:paraId="716F0877" w14:textId="77777777" w:rsidR="001752B7" w:rsidRPr="001752B7" w:rsidRDefault="001752B7" w:rsidP="001752B7">
            <w:pPr>
              <w:spacing w:after="0" w:line="240" w:lineRule="auto"/>
              <w:jc w:val="right"/>
              <w:rPr>
                <w:rFonts w:ascii="Tahoma" w:eastAsia="Times New Roman" w:hAnsi="Tahoma" w:cs="Tahoma"/>
                <w:sz w:val="20"/>
                <w:szCs w:val="20"/>
                <w:lang w:eastAsia="hr-HR"/>
              </w:rPr>
            </w:pPr>
            <w:r w:rsidRPr="001752B7">
              <w:rPr>
                <w:rFonts w:ascii="Tahoma" w:eastAsia="Times New Roman" w:hAnsi="Tahoma" w:cs="Tahoma"/>
                <w:sz w:val="20"/>
                <w:szCs w:val="20"/>
                <w:lang w:eastAsia="hr-HR"/>
              </w:rPr>
              <w:t> </w:t>
            </w:r>
          </w:p>
        </w:tc>
        <w:tc>
          <w:tcPr>
            <w:tcW w:w="698" w:type="dxa"/>
            <w:tcBorders>
              <w:top w:val="nil"/>
              <w:left w:val="nil"/>
              <w:bottom w:val="single" w:sz="4" w:space="0" w:color="auto"/>
              <w:right w:val="single" w:sz="4" w:space="0" w:color="auto"/>
            </w:tcBorders>
            <w:shd w:val="clear" w:color="000000" w:fill="FFFF99"/>
            <w:noWrap/>
            <w:vAlign w:val="center"/>
            <w:hideMark/>
          </w:tcPr>
          <w:p w14:paraId="4BA4BB56" w14:textId="77777777" w:rsidR="001752B7" w:rsidRPr="001752B7" w:rsidRDefault="001752B7" w:rsidP="001752B7">
            <w:pPr>
              <w:spacing w:after="0" w:line="240" w:lineRule="auto"/>
              <w:jc w:val="right"/>
              <w:rPr>
                <w:rFonts w:ascii="Tahoma" w:eastAsia="Times New Roman" w:hAnsi="Tahoma" w:cs="Tahoma"/>
                <w:sz w:val="20"/>
                <w:szCs w:val="20"/>
                <w:lang w:eastAsia="hr-HR"/>
              </w:rPr>
            </w:pPr>
            <w:r w:rsidRPr="001752B7">
              <w:rPr>
                <w:rFonts w:ascii="Tahoma" w:eastAsia="Times New Roman" w:hAnsi="Tahoma" w:cs="Tahoma"/>
                <w:sz w:val="20"/>
                <w:szCs w:val="20"/>
                <w:lang w:eastAsia="hr-HR"/>
              </w:rPr>
              <w:t>1</w:t>
            </w:r>
          </w:p>
        </w:tc>
        <w:tc>
          <w:tcPr>
            <w:tcW w:w="698" w:type="dxa"/>
            <w:tcBorders>
              <w:top w:val="nil"/>
              <w:left w:val="nil"/>
              <w:bottom w:val="single" w:sz="4" w:space="0" w:color="auto"/>
              <w:right w:val="single" w:sz="4" w:space="0" w:color="auto"/>
            </w:tcBorders>
            <w:shd w:val="clear" w:color="000000" w:fill="FFFF99"/>
            <w:noWrap/>
            <w:vAlign w:val="center"/>
            <w:hideMark/>
          </w:tcPr>
          <w:p w14:paraId="09B3A0B2" w14:textId="77777777" w:rsidR="001752B7" w:rsidRPr="001752B7" w:rsidRDefault="001752B7" w:rsidP="001752B7">
            <w:pPr>
              <w:spacing w:after="0" w:line="240" w:lineRule="auto"/>
              <w:jc w:val="right"/>
              <w:rPr>
                <w:rFonts w:ascii="Tahoma" w:eastAsia="Times New Roman" w:hAnsi="Tahoma" w:cs="Tahoma"/>
                <w:sz w:val="20"/>
                <w:szCs w:val="20"/>
                <w:lang w:eastAsia="hr-HR"/>
              </w:rPr>
            </w:pPr>
            <w:r w:rsidRPr="001752B7">
              <w:rPr>
                <w:rFonts w:ascii="Tahoma" w:eastAsia="Times New Roman" w:hAnsi="Tahoma" w:cs="Tahoma"/>
                <w:sz w:val="20"/>
                <w:szCs w:val="20"/>
                <w:lang w:eastAsia="hr-HR"/>
              </w:rPr>
              <w:t>1</w:t>
            </w:r>
          </w:p>
        </w:tc>
        <w:tc>
          <w:tcPr>
            <w:tcW w:w="698" w:type="dxa"/>
            <w:tcBorders>
              <w:top w:val="nil"/>
              <w:left w:val="nil"/>
              <w:bottom w:val="single" w:sz="4" w:space="0" w:color="auto"/>
              <w:right w:val="single" w:sz="4" w:space="0" w:color="auto"/>
            </w:tcBorders>
            <w:shd w:val="clear" w:color="000000" w:fill="FFFF99"/>
            <w:noWrap/>
            <w:vAlign w:val="center"/>
            <w:hideMark/>
          </w:tcPr>
          <w:p w14:paraId="4B2886F5" w14:textId="77777777" w:rsidR="001752B7" w:rsidRPr="001752B7" w:rsidRDefault="001752B7" w:rsidP="001752B7">
            <w:pPr>
              <w:spacing w:after="0" w:line="240" w:lineRule="auto"/>
              <w:jc w:val="right"/>
              <w:rPr>
                <w:rFonts w:ascii="Tahoma" w:eastAsia="Times New Roman" w:hAnsi="Tahoma" w:cs="Tahoma"/>
                <w:sz w:val="20"/>
                <w:szCs w:val="20"/>
                <w:lang w:eastAsia="hr-HR"/>
              </w:rPr>
            </w:pPr>
            <w:r w:rsidRPr="001752B7">
              <w:rPr>
                <w:rFonts w:ascii="Tahoma" w:eastAsia="Times New Roman" w:hAnsi="Tahoma" w:cs="Tahoma"/>
                <w:sz w:val="20"/>
                <w:szCs w:val="20"/>
                <w:lang w:eastAsia="hr-HR"/>
              </w:rPr>
              <w:t> </w:t>
            </w:r>
          </w:p>
        </w:tc>
        <w:tc>
          <w:tcPr>
            <w:tcW w:w="698" w:type="dxa"/>
            <w:tcBorders>
              <w:top w:val="nil"/>
              <w:left w:val="nil"/>
              <w:bottom w:val="single" w:sz="4" w:space="0" w:color="auto"/>
              <w:right w:val="single" w:sz="4" w:space="0" w:color="auto"/>
            </w:tcBorders>
            <w:shd w:val="clear" w:color="000000" w:fill="FFFF99"/>
            <w:noWrap/>
            <w:vAlign w:val="center"/>
            <w:hideMark/>
          </w:tcPr>
          <w:p w14:paraId="6CCE4AFB" w14:textId="77777777" w:rsidR="001752B7" w:rsidRPr="001752B7" w:rsidRDefault="001752B7" w:rsidP="001752B7">
            <w:pPr>
              <w:spacing w:after="0" w:line="240" w:lineRule="auto"/>
              <w:jc w:val="right"/>
              <w:rPr>
                <w:rFonts w:ascii="Tahoma" w:eastAsia="Times New Roman" w:hAnsi="Tahoma" w:cs="Tahoma"/>
                <w:sz w:val="20"/>
                <w:szCs w:val="20"/>
                <w:lang w:eastAsia="hr-HR"/>
              </w:rPr>
            </w:pPr>
            <w:r w:rsidRPr="001752B7">
              <w:rPr>
                <w:rFonts w:ascii="Tahoma" w:eastAsia="Times New Roman" w:hAnsi="Tahoma" w:cs="Tahoma"/>
                <w:sz w:val="20"/>
                <w:szCs w:val="20"/>
                <w:lang w:eastAsia="hr-HR"/>
              </w:rPr>
              <w:t> </w:t>
            </w:r>
          </w:p>
        </w:tc>
        <w:tc>
          <w:tcPr>
            <w:tcW w:w="698" w:type="dxa"/>
            <w:tcBorders>
              <w:top w:val="nil"/>
              <w:left w:val="nil"/>
              <w:bottom w:val="single" w:sz="4" w:space="0" w:color="auto"/>
              <w:right w:val="single" w:sz="4" w:space="0" w:color="auto"/>
            </w:tcBorders>
            <w:shd w:val="clear" w:color="000000" w:fill="FFFF99"/>
            <w:noWrap/>
            <w:vAlign w:val="center"/>
            <w:hideMark/>
          </w:tcPr>
          <w:p w14:paraId="411F6131" w14:textId="77777777" w:rsidR="001752B7" w:rsidRPr="001752B7" w:rsidRDefault="001752B7" w:rsidP="001752B7">
            <w:pPr>
              <w:spacing w:after="0" w:line="240" w:lineRule="auto"/>
              <w:jc w:val="right"/>
              <w:rPr>
                <w:rFonts w:ascii="Tahoma" w:eastAsia="Times New Roman" w:hAnsi="Tahoma" w:cs="Tahoma"/>
                <w:sz w:val="20"/>
                <w:szCs w:val="20"/>
                <w:lang w:eastAsia="hr-HR"/>
              </w:rPr>
            </w:pPr>
            <w:r w:rsidRPr="001752B7">
              <w:rPr>
                <w:rFonts w:ascii="Tahoma" w:eastAsia="Times New Roman" w:hAnsi="Tahoma" w:cs="Tahoma"/>
                <w:sz w:val="20"/>
                <w:szCs w:val="20"/>
                <w:lang w:eastAsia="hr-HR"/>
              </w:rPr>
              <w:t> </w:t>
            </w:r>
          </w:p>
        </w:tc>
        <w:tc>
          <w:tcPr>
            <w:tcW w:w="469" w:type="dxa"/>
            <w:tcBorders>
              <w:top w:val="nil"/>
              <w:left w:val="nil"/>
              <w:bottom w:val="single" w:sz="4" w:space="0" w:color="auto"/>
              <w:right w:val="single" w:sz="4" w:space="0" w:color="auto"/>
            </w:tcBorders>
            <w:shd w:val="clear" w:color="000000" w:fill="FF9900"/>
            <w:noWrap/>
            <w:vAlign w:val="center"/>
            <w:hideMark/>
          </w:tcPr>
          <w:p w14:paraId="6BE05EC1" w14:textId="77777777" w:rsidR="001752B7" w:rsidRPr="001752B7" w:rsidRDefault="001752B7" w:rsidP="001752B7">
            <w:pPr>
              <w:spacing w:after="0" w:line="240" w:lineRule="auto"/>
              <w:jc w:val="right"/>
              <w:rPr>
                <w:rFonts w:ascii="Tahoma" w:eastAsia="Times New Roman" w:hAnsi="Tahoma" w:cs="Tahoma"/>
                <w:sz w:val="20"/>
                <w:szCs w:val="20"/>
                <w:lang w:eastAsia="hr-HR"/>
              </w:rPr>
            </w:pPr>
            <w:r w:rsidRPr="001752B7">
              <w:rPr>
                <w:rFonts w:ascii="Tahoma" w:eastAsia="Times New Roman" w:hAnsi="Tahoma" w:cs="Tahoma"/>
                <w:sz w:val="20"/>
                <w:szCs w:val="20"/>
                <w:lang w:eastAsia="hr-HR"/>
              </w:rPr>
              <w:t> </w:t>
            </w:r>
          </w:p>
        </w:tc>
        <w:tc>
          <w:tcPr>
            <w:tcW w:w="419" w:type="dxa"/>
            <w:tcBorders>
              <w:top w:val="nil"/>
              <w:left w:val="nil"/>
              <w:bottom w:val="single" w:sz="4" w:space="0" w:color="auto"/>
              <w:right w:val="single" w:sz="4" w:space="0" w:color="auto"/>
            </w:tcBorders>
            <w:shd w:val="clear" w:color="000000" w:fill="FF9900"/>
            <w:noWrap/>
            <w:vAlign w:val="center"/>
            <w:hideMark/>
          </w:tcPr>
          <w:p w14:paraId="199FF6AB" w14:textId="77777777" w:rsidR="001752B7" w:rsidRPr="001752B7" w:rsidRDefault="001752B7" w:rsidP="001752B7">
            <w:pPr>
              <w:spacing w:after="0" w:line="240" w:lineRule="auto"/>
              <w:jc w:val="right"/>
              <w:rPr>
                <w:rFonts w:ascii="Tahoma" w:eastAsia="Times New Roman" w:hAnsi="Tahoma" w:cs="Tahoma"/>
                <w:sz w:val="20"/>
                <w:szCs w:val="20"/>
                <w:lang w:eastAsia="hr-HR"/>
              </w:rPr>
            </w:pPr>
            <w:r w:rsidRPr="001752B7">
              <w:rPr>
                <w:rFonts w:ascii="Tahoma" w:eastAsia="Times New Roman" w:hAnsi="Tahoma" w:cs="Tahoma"/>
                <w:sz w:val="20"/>
                <w:szCs w:val="20"/>
                <w:lang w:eastAsia="hr-HR"/>
              </w:rPr>
              <w:t> </w:t>
            </w:r>
          </w:p>
        </w:tc>
        <w:tc>
          <w:tcPr>
            <w:tcW w:w="521" w:type="dxa"/>
            <w:tcBorders>
              <w:top w:val="nil"/>
              <w:left w:val="nil"/>
              <w:bottom w:val="single" w:sz="4" w:space="0" w:color="auto"/>
              <w:right w:val="single" w:sz="4" w:space="0" w:color="auto"/>
            </w:tcBorders>
            <w:shd w:val="clear" w:color="000000" w:fill="FF9900"/>
            <w:noWrap/>
            <w:vAlign w:val="center"/>
            <w:hideMark/>
          </w:tcPr>
          <w:p w14:paraId="28C6CEF8" w14:textId="77777777" w:rsidR="001752B7" w:rsidRPr="001752B7" w:rsidRDefault="001752B7" w:rsidP="001752B7">
            <w:pPr>
              <w:spacing w:after="0" w:line="240" w:lineRule="auto"/>
              <w:jc w:val="right"/>
              <w:rPr>
                <w:rFonts w:ascii="Tahoma" w:eastAsia="Times New Roman" w:hAnsi="Tahoma" w:cs="Tahoma"/>
                <w:sz w:val="20"/>
                <w:szCs w:val="20"/>
                <w:lang w:eastAsia="hr-HR"/>
              </w:rPr>
            </w:pPr>
            <w:r w:rsidRPr="001752B7">
              <w:rPr>
                <w:rFonts w:ascii="Tahoma" w:eastAsia="Times New Roman" w:hAnsi="Tahoma" w:cs="Tahoma"/>
                <w:sz w:val="20"/>
                <w:szCs w:val="20"/>
                <w:lang w:eastAsia="hr-HR"/>
              </w:rPr>
              <w:t>1</w:t>
            </w:r>
          </w:p>
        </w:tc>
        <w:tc>
          <w:tcPr>
            <w:tcW w:w="476" w:type="dxa"/>
            <w:tcBorders>
              <w:top w:val="nil"/>
              <w:left w:val="nil"/>
              <w:bottom w:val="single" w:sz="4" w:space="0" w:color="auto"/>
              <w:right w:val="single" w:sz="4" w:space="0" w:color="auto"/>
            </w:tcBorders>
            <w:shd w:val="clear" w:color="000000" w:fill="FFFF00"/>
            <w:vAlign w:val="center"/>
            <w:hideMark/>
          </w:tcPr>
          <w:p w14:paraId="6DFED98E" w14:textId="77777777" w:rsidR="001752B7" w:rsidRPr="001752B7" w:rsidRDefault="001752B7" w:rsidP="001752B7">
            <w:pPr>
              <w:spacing w:after="0" w:line="240" w:lineRule="auto"/>
              <w:jc w:val="right"/>
              <w:rPr>
                <w:rFonts w:ascii="Tahoma" w:eastAsia="Times New Roman" w:hAnsi="Tahoma" w:cs="Tahoma"/>
                <w:sz w:val="20"/>
                <w:szCs w:val="20"/>
                <w:lang w:eastAsia="hr-HR"/>
              </w:rPr>
            </w:pPr>
            <w:r w:rsidRPr="001752B7">
              <w:rPr>
                <w:rFonts w:ascii="Tahoma" w:eastAsia="Times New Roman" w:hAnsi="Tahoma" w:cs="Tahoma"/>
                <w:sz w:val="20"/>
                <w:szCs w:val="20"/>
                <w:lang w:eastAsia="hr-HR"/>
              </w:rPr>
              <w:t>1</w:t>
            </w:r>
          </w:p>
        </w:tc>
        <w:tc>
          <w:tcPr>
            <w:tcW w:w="698" w:type="dxa"/>
            <w:tcBorders>
              <w:top w:val="nil"/>
              <w:left w:val="nil"/>
              <w:bottom w:val="single" w:sz="4" w:space="0" w:color="auto"/>
              <w:right w:val="single" w:sz="4" w:space="0" w:color="auto"/>
            </w:tcBorders>
            <w:shd w:val="clear" w:color="000000" w:fill="FF9900"/>
            <w:vAlign w:val="center"/>
            <w:hideMark/>
          </w:tcPr>
          <w:p w14:paraId="64ED1824" w14:textId="77777777" w:rsidR="001752B7" w:rsidRPr="001752B7" w:rsidRDefault="001752B7" w:rsidP="001752B7">
            <w:pPr>
              <w:spacing w:after="0" w:line="240" w:lineRule="auto"/>
              <w:jc w:val="right"/>
              <w:rPr>
                <w:rFonts w:ascii="Tahoma" w:eastAsia="Times New Roman" w:hAnsi="Tahoma" w:cs="Tahoma"/>
                <w:sz w:val="20"/>
                <w:szCs w:val="20"/>
                <w:lang w:eastAsia="hr-HR"/>
              </w:rPr>
            </w:pPr>
            <w:r w:rsidRPr="001752B7">
              <w:rPr>
                <w:rFonts w:ascii="Tahoma" w:eastAsia="Times New Roman" w:hAnsi="Tahoma" w:cs="Tahoma"/>
                <w:sz w:val="20"/>
                <w:szCs w:val="20"/>
                <w:lang w:eastAsia="hr-HR"/>
              </w:rPr>
              <w:t>7</w:t>
            </w:r>
          </w:p>
        </w:tc>
        <w:tc>
          <w:tcPr>
            <w:tcW w:w="643" w:type="dxa"/>
            <w:tcBorders>
              <w:top w:val="nil"/>
              <w:left w:val="nil"/>
              <w:bottom w:val="single" w:sz="4" w:space="0" w:color="auto"/>
              <w:right w:val="single" w:sz="4" w:space="0" w:color="auto"/>
            </w:tcBorders>
            <w:shd w:val="clear" w:color="000000" w:fill="FF9900"/>
            <w:vAlign w:val="center"/>
            <w:hideMark/>
          </w:tcPr>
          <w:p w14:paraId="76C40B25" w14:textId="77777777" w:rsidR="001752B7" w:rsidRPr="001752B7" w:rsidRDefault="001752B7" w:rsidP="001752B7">
            <w:pPr>
              <w:spacing w:after="0" w:line="240" w:lineRule="auto"/>
              <w:jc w:val="right"/>
              <w:rPr>
                <w:rFonts w:ascii="Tahoma" w:eastAsia="Times New Roman" w:hAnsi="Tahoma" w:cs="Tahoma"/>
                <w:sz w:val="20"/>
                <w:szCs w:val="20"/>
                <w:lang w:eastAsia="hr-HR"/>
              </w:rPr>
            </w:pPr>
            <w:r w:rsidRPr="001752B7">
              <w:rPr>
                <w:rFonts w:ascii="Tahoma" w:eastAsia="Times New Roman" w:hAnsi="Tahoma" w:cs="Tahoma"/>
                <w:sz w:val="20"/>
                <w:szCs w:val="20"/>
                <w:lang w:eastAsia="hr-HR"/>
              </w:rPr>
              <w:t> </w:t>
            </w:r>
          </w:p>
        </w:tc>
        <w:tc>
          <w:tcPr>
            <w:tcW w:w="605" w:type="dxa"/>
            <w:tcBorders>
              <w:top w:val="nil"/>
              <w:left w:val="nil"/>
              <w:bottom w:val="single" w:sz="4" w:space="0" w:color="auto"/>
              <w:right w:val="single" w:sz="4" w:space="0" w:color="auto"/>
            </w:tcBorders>
            <w:shd w:val="clear" w:color="000000" w:fill="FF9900"/>
            <w:vAlign w:val="center"/>
            <w:hideMark/>
          </w:tcPr>
          <w:p w14:paraId="59EC8420" w14:textId="77777777" w:rsidR="001752B7" w:rsidRPr="001752B7" w:rsidRDefault="001752B7" w:rsidP="001752B7">
            <w:pPr>
              <w:spacing w:after="0" w:line="240" w:lineRule="auto"/>
              <w:jc w:val="right"/>
              <w:rPr>
                <w:rFonts w:ascii="Tahoma" w:eastAsia="Times New Roman" w:hAnsi="Tahoma" w:cs="Tahoma"/>
                <w:sz w:val="20"/>
                <w:szCs w:val="20"/>
                <w:lang w:eastAsia="hr-HR"/>
              </w:rPr>
            </w:pPr>
            <w:r w:rsidRPr="001752B7">
              <w:rPr>
                <w:rFonts w:ascii="Tahoma" w:eastAsia="Times New Roman" w:hAnsi="Tahoma" w:cs="Tahoma"/>
                <w:sz w:val="20"/>
                <w:szCs w:val="20"/>
                <w:lang w:eastAsia="hr-HR"/>
              </w:rPr>
              <w:t> </w:t>
            </w:r>
          </w:p>
        </w:tc>
        <w:tc>
          <w:tcPr>
            <w:tcW w:w="698" w:type="dxa"/>
            <w:tcBorders>
              <w:top w:val="nil"/>
              <w:left w:val="nil"/>
              <w:bottom w:val="single" w:sz="4" w:space="0" w:color="auto"/>
              <w:right w:val="single" w:sz="4" w:space="0" w:color="auto"/>
            </w:tcBorders>
            <w:shd w:val="clear" w:color="000000" w:fill="FF9900"/>
            <w:vAlign w:val="center"/>
            <w:hideMark/>
          </w:tcPr>
          <w:p w14:paraId="619598DD" w14:textId="77777777" w:rsidR="001752B7" w:rsidRPr="001752B7" w:rsidRDefault="001752B7" w:rsidP="001752B7">
            <w:pPr>
              <w:spacing w:after="0" w:line="240" w:lineRule="auto"/>
              <w:jc w:val="right"/>
              <w:rPr>
                <w:rFonts w:ascii="Tahoma" w:eastAsia="Times New Roman" w:hAnsi="Tahoma" w:cs="Tahoma"/>
                <w:sz w:val="20"/>
                <w:szCs w:val="20"/>
                <w:lang w:eastAsia="hr-HR"/>
              </w:rPr>
            </w:pPr>
            <w:r w:rsidRPr="001752B7">
              <w:rPr>
                <w:rFonts w:ascii="Tahoma" w:eastAsia="Times New Roman" w:hAnsi="Tahoma" w:cs="Tahoma"/>
                <w:sz w:val="20"/>
                <w:szCs w:val="20"/>
                <w:lang w:eastAsia="hr-HR"/>
              </w:rPr>
              <w:t> </w:t>
            </w:r>
          </w:p>
        </w:tc>
        <w:tc>
          <w:tcPr>
            <w:tcW w:w="464" w:type="dxa"/>
            <w:tcBorders>
              <w:top w:val="nil"/>
              <w:left w:val="nil"/>
              <w:bottom w:val="single" w:sz="4" w:space="0" w:color="auto"/>
              <w:right w:val="single" w:sz="4" w:space="0" w:color="auto"/>
            </w:tcBorders>
            <w:shd w:val="clear" w:color="000000" w:fill="CCFFFF"/>
            <w:noWrap/>
            <w:vAlign w:val="center"/>
            <w:hideMark/>
          </w:tcPr>
          <w:p w14:paraId="43163CF0" w14:textId="77777777" w:rsidR="001752B7" w:rsidRPr="001752B7" w:rsidRDefault="001752B7" w:rsidP="001752B7">
            <w:pPr>
              <w:spacing w:after="0" w:line="240" w:lineRule="auto"/>
              <w:jc w:val="right"/>
              <w:rPr>
                <w:rFonts w:ascii="Tahoma" w:eastAsia="Times New Roman" w:hAnsi="Tahoma" w:cs="Tahoma"/>
                <w:sz w:val="20"/>
                <w:szCs w:val="20"/>
                <w:lang w:eastAsia="hr-HR"/>
              </w:rPr>
            </w:pPr>
            <w:r w:rsidRPr="001752B7">
              <w:rPr>
                <w:rFonts w:ascii="Tahoma" w:eastAsia="Times New Roman" w:hAnsi="Tahoma" w:cs="Tahoma"/>
                <w:sz w:val="20"/>
                <w:szCs w:val="20"/>
                <w:lang w:eastAsia="hr-HR"/>
              </w:rPr>
              <w:t> </w:t>
            </w:r>
          </w:p>
        </w:tc>
        <w:tc>
          <w:tcPr>
            <w:tcW w:w="425" w:type="dxa"/>
            <w:tcBorders>
              <w:top w:val="nil"/>
              <w:left w:val="nil"/>
              <w:bottom w:val="single" w:sz="4" w:space="0" w:color="auto"/>
              <w:right w:val="single" w:sz="4" w:space="0" w:color="auto"/>
            </w:tcBorders>
            <w:shd w:val="clear" w:color="000000" w:fill="CCFFFF"/>
            <w:noWrap/>
            <w:vAlign w:val="center"/>
            <w:hideMark/>
          </w:tcPr>
          <w:p w14:paraId="472C972F" w14:textId="77777777" w:rsidR="001752B7" w:rsidRPr="001752B7" w:rsidRDefault="001752B7" w:rsidP="001752B7">
            <w:pPr>
              <w:spacing w:after="0" w:line="240" w:lineRule="auto"/>
              <w:jc w:val="right"/>
              <w:rPr>
                <w:rFonts w:ascii="Tahoma" w:eastAsia="Times New Roman" w:hAnsi="Tahoma" w:cs="Tahoma"/>
                <w:sz w:val="20"/>
                <w:szCs w:val="20"/>
                <w:lang w:eastAsia="hr-HR"/>
              </w:rPr>
            </w:pPr>
            <w:r w:rsidRPr="001752B7">
              <w:rPr>
                <w:rFonts w:ascii="Tahoma" w:eastAsia="Times New Roman" w:hAnsi="Tahoma" w:cs="Tahoma"/>
                <w:sz w:val="20"/>
                <w:szCs w:val="20"/>
                <w:lang w:eastAsia="hr-HR"/>
              </w:rPr>
              <w:t> </w:t>
            </w:r>
          </w:p>
        </w:tc>
        <w:tc>
          <w:tcPr>
            <w:tcW w:w="426" w:type="dxa"/>
            <w:tcBorders>
              <w:top w:val="nil"/>
              <w:left w:val="nil"/>
              <w:bottom w:val="single" w:sz="4" w:space="0" w:color="auto"/>
              <w:right w:val="single" w:sz="4" w:space="0" w:color="auto"/>
            </w:tcBorders>
            <w:shd w:val="clear" w:color="000000" w:fill="CCFFFF"/>
            <w:noWrap/>
            <w:vAlign w:val="center"/>
            <w:hideMark/>
          </w:tcPr>
          <w:p w14:paraId="14B0B14E" w14:textId="77777777" w:rsidR="001752B7" w:rsidRPr="001752B7" w:rsidRDefault="001752B7" w:rsidP="001752B7">
            <w:pPr>
              <w:spacing w:after="0" w:line="240" w:lineRule="auto"/>
              <w:jc w:val="right"/>
              <w:rPr>
                <w:rFonts w:ascii="Tahoma" w:eastAsia="Times New Roman" w:hAnsi="Tahoma" w:cs="Tahoma"/>
                <w:sz w:val="20"/>
                <w:szCs w:val="20"/>
                <w:lang w:eastAsia="hr-HR"/>
              </w:rPr>
            </w:pPr>
            <w:r w:rsidRPr="001752B7">
              <w:rPr>
                <w:rFonts w:ascii="Tahoma" w:eastAsia="Times New Roman" w:hAnsi="Tahoma" w:cs="Tahoma"/>
                <w:sz w:val="20"/>
                <w:szCs w:val="20"/>
                <w:lang w:eastAsia="hr-HR"/>
              </w:rPr>
              <w:t> </w:t>
            </w:r>
          </w:p>
        </w:tc>
        <w:tc>
          <w:tcPr>
            <w:tcW w:w="487" w:type="dxa"/>
            <w:tcBorders>
              <w:top w:val="nil"/>
              <w:left w:val="nil"/>
              <w:bottom w:val="single" w:sz="4" w:space="0" w:color="auto"/>
              <w:right w:val="nil"/>
            </w:tcBorders>
            <w:shd w:val="clear" w:color="000000" w:fill="33CCCC"/>
            <w:noWrap/>
            <w:vAlign w:val="center"/>
            <w:hideMark/>
          </w:tcPr>
          <w:p w14:paraId="598EBEE6" w14:textId="77777777" w:rsidR="001752B7" w:rsidRPr="001752B7" w:rsidRDefault="001752B7" w:rsidP="001752B7">
            <w:pPr>
              <w:spacing w:after="0" w:line="240" w:lineRule="auto"/>
              <w:jc w:val="right"/>
              <w:rPr>
                <w:rFonts w:ascii="Tahoma" w:eastAsia="Times New Roman" w:hAnsi="Tahoma" w:cs="Tahoma"/>
                <w:sz w:val="20"/>
                <w:szCs w:val="20"/>
                <w:lang w:eastAsia="hr-HR"/>
              </w:rPr>
            </w:pPr>
            <w:r w:rsidRPr="001752B7">
              <w:rPr>
                <w:rFonts w:ascii="Tahoma" w:eastAsia="Times New Roman" w:hAnsi="Tahoma" w:cs="Tahoma"/>
                <w:sz w:val="20"/>
                <w:szCs w:val="20"/>
                <w:lang w:eastAsia="hr-HR"/>
              </w:rPr>
              <w:t>1</w:t>
            </w:r>
          </w:p>
        </w:tc>
        <w:tc>
          <w:tcPr>
            <w:tcW w:w="425" w:type="dxa"/>
            <w:tcBorders>
              <w:top w:val="nil"/>
              <w:left w:val="single" w:sz="4" w:space="0" w:color="auto"/>
              <w:bottom w:val="single" w:sz="4" w:space="0" w:color="auto"/>
              <w:right w:val="single" w:sz="8" w:space="0" w:color="auto"/>
            </w:tcBorders>
            <w:shd w:val="clear" w:color="000000" w:fill="33CCCC"/>
            <w:noWrap/>
            <w:vAlign w:val="center"/>
            <w:hideMark/>
          </w:tcPr>
          <w:p w14:paraId="543E54EC" w14:textId="77777777" w:rsidR="001752B7" w:rsidRPr="001752B7" w:rsidRDefault="001752B7" w:rsidP="001752B7">
            <w:pPr>
              <w:spacing w:after="0" w:line="240" w:lineRule="auto"/>
              <w:jc w:val="right"/>
              <w:rPr>
                <w:rFonts w:ascii="Tahoma" w:eastAsia="Times New Roman" w:hAnsi="Tahoma" w:cs="Tahoma"/>
                <w:sz w:val="20"/>
                <w:szCs w:val="20"/>
                <w:lang w:eastAsia="hr-HR"/>
              </w:rPr>
            </w:pPr>
            <w:r w:rsidRPr="001752B7">
              <w:rPr>
                <w:rFonts w:ascii="Tahoma" w:eastAsia="Times New Roman" w:hAnsi="Tahoma" w:cs="Tahoma"/>
                <w:sz w:val="20"/>
                <w:szCs w:val="20"/>
                <w:lang w:eastAsia="hr-HR"/>
              </w:rPr>
              <w:t> </w:t>
            </w:r>
          </w:p>
        </w:tc>
        <w:tc>
          <w:tcPr>
            <w:tcW w:w="236" w:type="dxa"/>
            <w:vAlign w:val="center"/>
            <w:hideMark/>
          </w:tcPr>
          <w:p w14:paraId="764CB3A1" w14:textId="77777777" w:rsidR="001752B7" w:rsidRPr="001752B7" w:rsidRDefault="001752B7" w:rsidP="001752B7">
            <w:pPr>
              <w:spacing w:after="0" w:line="240" w:lineRule="auto"/>
              <w:rPr>
                <w:rFonts w:ascii="Times New Roman" w:eastAsia="Times New Roman" w:hAnsi="Times New Roman" w:cs="Times New Roman"/>
                <w:sz w:val="20"/>
                <w:szCs w:val="20"/>
                <w:lang w:eastAsia="hr-HR"/>
              </w:rPr>
            </w:pPr>
          </w:p>
        </w:tc>
      </w:tr>
      <w:tr w:rsidR="001752B7" w:rsidRPr="001752B7" w14:paraId="034D65C1" w14:textId="77777777" w:rsidTr="000271A1">
        <w:trPr>
          <w:gridAfter w:val="1"/>
          <w:wAfter w:w="31" w:type="dxa"/>
          <w:trHeight w:val="300"/>
        </w:trPr>
        <w:tc>
          <w:tcPr>
            <w:tcW w:w="1408" w:type="dxa"/>
            <w:tcBorders>
              <w:top w:val="single" w:sz="4" w:space="0" w:color="auto"/>
              <w:left w:val="single" w:sz="8" w:space="0" w:color="auto"/>
              <w:bottom w:val="single" w:sz="4" w:space="0" w:color="auto"/>
              <w:right w:val="single" w:sz="4" w:space="0" w:color="auto"/>
            </w:tcBorders>
            <w:shd w:val="clear" w:color="000000" w:fill="CCFFCC"/>
            <w:vAlign w:val="center"/>
            <w:hideMark/>
          </w:tcPr>
          <w:p w14:paraId="071481E3" w14:textId="77777777" w:rsidR="001752B7" w:rsidRPr="001752B7" w:rsidRDefault="001752B7" w:rsidP="001752B7">
            <w:pPr>
              <w:spacing w:after="0" w:line="240" w:lineRule="auto"/>
              <w:rPr>
                <w:rFonts w:ascii="Tahoma" w:eastAsia="Times New Roman" w:hAnsi="Tahoma" w:cs="Tahoma"/>
                <w:sz w:val="20"/>
                <w:szCs w:val="20"/>
                <w:lang w:eastAsia="hr-HR"/>
              </w:rPr>
            </w:pPr>
            <w:r w:rsidRPr="001752B7">
              <w:rPr>
                <w:rFonts w:ascii="Tahoma" w:eastAsia="Times New Roman" w:hAnsi="Tahoma" w:cs="Tahoma"/>
                <w:sz w:val="20"/>
                <w:szCs w:val="20"/>
                <w:lang w:eastAsia="hr-HR"/>
              </w:rPr>
              <w:t>Spol</w:t>
            </w:r>
          </w:p>
        </w:tc>
        <w:tc>
          <w:tcPr>
            <w:tcW w:w="673" w:type="dxa"/>
            <w:tcBorders>
              <w:top w:val="nil"/>
              <w:left w:val="nil"/>
              <w:bottom w:val="single" w:sz="4" w:space="0" w:color="auto"/>
              <w:right w:val="single" w:sz="4" w:space="0" w:color="auto"/>
            </w:tcBorders>
            <w:shd w:val="clear" w:color="000000" w:fill="FFCC99"/>
            <w:noWrap/>
            <w:vAlign w:val="center"/>
            <w:hideMark/>
          </w:tcPr>
          <w:p w14:paraId="38C7880E" w14:textId="77777777" w:rsidR="001752B7" w:rsidRPr="001752B7" w:rsidRDefault="001752B7" w:rsidP="001752B7">
            <w:pPr>
              <w:spacing w:after="0" w:line="240" w:lineRule="auto"/>
              <w:jc w:val="right"/>
              <w:rPr>
                <w:rFonts w:ascii="Tahoma" w:eastAsia="Times New Roman" w:hAnsi="Tahoma" w:cs="Tahoma"/>
                <w:sz w:val="20"/>
                <w:szCs w:val="20"/>
                <w:lang w:eastAsia="hr-HR"/>
              </w:rPr>
            </w:pPr>
            <w:r w:rsidRPr="001752B7">
              <w:rPr>
                <w:rFonts w:ascii="Tahoma" w:eastAsia="Times New Roman" w:hAnsi="Tahoma" w:cs="Tahoma"/>
                <w:sz w:val="20"/>
                <w:szCs w:val="20"/>
                <w:lang w:eastAsia="hr-HR"/>
              </w:rPr>
              <w:t>14</w:t>
            </w:r>
          </w:p>
        </w:tc>
        <w:tc>
          <w:tcPr>
            <w:tcW w:w="521" w:type="dxa"/>
            <w:tcBorders>
              <w:top w:val="nil"/>
              <w:left w:val="nil"/>
              <w:bottom w:val="single" w:sz="4" w:space="0" w:color="auto"/>
              <w:right w:val="single" w:sz="4" w:space="0" w:color="auto"/>
            </w:tcBorders>
            <w:shd w:val="clear" w:color="000000" w:fill="FFFF00"/>
            <w:noWrap/>
            <w:vAlign w:val="center"/>
            <w:hideMark/>
          </w:tcPr>
          <w:p w14:paraId="59BB4977" w14:textId="77777777" w:rsidR="001752B7" w:rsidRPr="001752B7" w:rsidRDefault="001752B7" w:rsidP="001752B7">
            <w:pPr>
              <w:spacing w:after="0" w:line="240" w:lineRule="auto"/>
              <w:jc w:val="right"/>
              <w:rPr>
                <w:rFonts w:ascii="Tahoma" w:eastAsia="Times New Roman" w:hAnsi="Tahoma" w:cs="Tahoma"/>
                <w:sz w:val="20"/>
                <w:szCs w:val="20"/>
                <w:lang w:eastAsia="hr-HR"/>
              </w:rPr>
            </w:pPr>
            <w:r w:rsidRPr="001752B7">
              <w:rPr>
                <w:rFonts w:ascii="Tahoma" w:eastAsia="Times New Roman" w:hAnsi="Tahoma" w:cs="Tahoma"/>
                <w:sz w:val="20"/>
                <w:szCs w:val="20"/>
                <w:lang w:eastAsia="hr-HR"/>
              </w:rPr>
              <w:t>6</w:t>
            </w:r>
          </w:p>
        </w:tc>
        <w:tc>
          <w:tcPr>
            <w:tcW w:w="477" w:type="dxa"/>
            <w:tcBorders>
              <w:top w:val="nil"/>
              <w:left w:val="nil"/>
              <w:bottom w:val="single" w:sz="4" w:space="0" w:color="auto"/>
              <w:right w:val="single" w:sz="4" w:space="0" w:color="auto"/>
            </w:tcBorders>
            <w:shd w:val="clear" w:color="000000" w:fill="CCFFFF"/>
            <w:noWrap/>
            <w:vAlign w:val="center"/>
            <w:hideMark/>
          </w:tcPr>
          <w:p w14:paraId="00FE45E8" w14:textId="77777777" w:rsidR="001752B7" w:rsidRPr="001752B7" w:rsidRDefault="001752B7" w:rsidP="001752B7">
            <w:pPr>
              <w:spacing w:after="0" w:line="240" w:lineRule="auto"/>
              <w:jc w:val="right"/>
              <w:rPr>
                <w:rFonts w:ascii="Tahoma" w:eastAsia="Times New Roman" w:hAnsi="Tahoma" w:cs="Tahoma"/>
                <w:sz w:val="20"/>
                <w:szCs w:val="20"/>
                <w:lang w:eastAsia="hr-HR"/>
              </w:rPr>
            </w:pPr>
            <w:r w:rsidRPr="001752B7">
              <w:rPr>
                <w:rFonts w:ascii="Tahoma" w:eastAsia="Times New Roman" w:hAnsi="Tahoma" w:cs="Tahoma"/>
                <w:sz w:val="20"/>
                <w:szCs w:val="20"/>
                <w:lang w:eastAsia="hr-HR"/>
              </w:rPr>
              <w:t>9</w:t>
            </w:r>
          </w:p>
        </w:tc>
        <w:tc>
          <w:tcPr>
            <w:tcW w:w="426" w:type="dxa"/>
            <w:tcBorders>
              <w:top w:val="nil"/>
              <w:left w:val="nil"/>
              <w:bottom w:val="single" w:sz="4" w:space="0" w:color="auto"/>
              <w:right w:val="single" w:sz="4" w:space="0" w:color="auto"/>
            </w:tcBorders>
            <w:shd w:val="clear" w:color="000000" w:fill="CCFFFF"/>
            <w:noWrap/>
            <w:vAlign w:val="center"/>
            <w:hideMark/>
          </w:tcPr>
          <w:p w14:paraId="35CC896F" w14:textId="77777777" w:rsidR="001752B7" w:rsidRPr="001752B7" w:rsidRDefault="001752B7" w:rsidP="001752B7">
            <w:pPr>
              <w:spacing w:after="0" w:line="240" w:lineRule="auto"/>
              <w:jc w:val="right"/>
              <w:rPr>
                <w:rFonts w:ascii="Tahoma" w:eastAsia="Times New Roman" w:hAnsi="Tahoma" w:cs="Tahoma"/>
                <w:sz w:val="20"/>
                <w:szCs w:val="20"/>
                <w:lang w:eastAsia="hr-HR"/>
              </w:rPr>
            </w:pPr>
            <w:r w:rsidRPr="001752B7">
              <w:rPr>
                <w:rFonts w:ascii="Tahoma" w:eastAsia="Times New Roman" w:hAnsi="Tahoma" w:cs="Tahoma"/>
                <w:sz w:val="20"/>
                <w:szCs w:val="20"/>
                <w:lang w:eastAsia="hr-HR"/>
              </w:rPr>
              <w:t>1</w:t>
            </w:r>
          </w:p>
        </w:tc>
        <w:tc>
          <w:tcPr>
            <w:tcW w:w="698" w:type="dxa"/>
            <w:tcBorders>
              <w:top w:val="nil"/>
              <w:left w:val="nil"/>
              <w:bottom w:val="single" w:sz="4" w:space="0" w:color="auto"/>
              <w:right w:val="single" w:sz="4" w:space="0" w:color="auto"/>
            </w:tcBorders>
            <w:shd w:val="clear" w:color="000000" w:fill="FFFF99"/>
            <w:noWrap/>
            <w:vAlign w:val="center"/>
            <w:hideMark/>
          </w:tcPr>
          <w:p w14:paraId="02C12AFD" w14:textId="77777777" w:rsidR="001752B7" w:rsidRPr="001752B7" w:rsidRDefault="001752B7" w:rsidP="001752B7">
            <w:pPr>
              <w:spacing w:after="0" w:line="240" w:lineRule="auto"/>
              <w:jc w:val="right"/>
              <w:rPr>
                <w:rFonts w:ascii="Tahoma" w:eastAsia="Times New Roman" w:hAnsi="Tahoma" w:cs="Tahoma"/>
                <w:sz w:val="20"/>
                <w:szCs w:val="20"/>
                <w:lang w:eastAsia="hr-HR"/>
              </w:rPr>
            </w:pPr>
            <w:r w:rsidRPr="001752B7">
              <w:rPr>
                <w:rFonts w:ascii="Tahoma" w:eastAsia="Times New Roman" w:hAnsi="Tahoma" w:cs="Tahoma"/>
                <w:sz w:val="20"/>
                <w:szCs w:val="20"/>
                <w:lang w:eastAsia="hr-HR"/>
              </w:rPr>
              <w:t>3</w:t>
            </w:r>
          </w:p>
        </w:tc>
        <w:tc>
          <w:tcPr>
            <w:tcW w:w="698" w:type="dxa"/>
            <w:tcBorders>
              <w:top w:val="nil"/>
              <w:left w:val="nil"/>
              <w:bottom w:val="single" w:sz="4" w:space="0" w:color="auto"/>
              <w:right w:val="single" w:sz="4" w:space="0" w:color="auto"/>
            </w:tcBorders>
            <w:shd w:val="clear" w:color="000000" w:fill="FFFF99"/>
            <w:noWrap/>
            <w:vAlign w:val="center"/>
            <w:hideMark/>
          </w:tcPr>
          <w:p w14:paraId="479AEBAD" w14:textId="77777777" w:rsidR="001752B7" w:rsidRPr="001752B7" w:rsidRDefault="001752B7" w:rsidP="001752B7">
            <w:pPr>
              <w:spacing w:after="0" w:line="240" w:lineRule="auto"/>
              <w:jc w:val="right"/>
              <w:rPr>
                <w:rFonts w:ascii="Tahoma" w:eastAsia="Times New Roman" w:hAnsi="Tahoma" w:cs="Tahoma"/>
                <w:sz w:val="20"/>
                <w:szCs w:val="20"/>
                <w:lang w:eastAsia="hr-HR"/>
              </w:rPr>
            </w:pPr>
            <w:r w:rsidRPr="001752B7">
              <w:rPr>
                <w:rFonts w:ascii="Tahoma" w:eastAsia="Times New Roman" w:hAnsi="Tahoma" w:cs="Tahoma"/>
                <w:sz w:val="20"/>
                <w:szCs w:val="20"/>
                <w:lang w:eastAsia="hr-HR"/>
              </w:rPr>
              <w:t>3</w:t>
            </w:r>
          </w:p>
        </w:tc>
        <w:tc>
          <w:tcPr>
            <w:tcW w:w="698" w:type="dxa"/>
            <w:tcBorders>
              <w:top w:val="nil"/>
              <w:left w:val="nil"/>
              <w:bottom w:val="single" w:sz="4" w:space="0" w:color="auto"/>
              <w:right w:val="single" w:sz="4" w:space="0" w:color="auto"/>
            </w:tcBorders>
            <w:shd w:val="clear" w:color="000000" w:fill="FFFF99"/>
            <w:noWrap/>
            <w:vAlign w:val="center"/>
            <w:hideMark/>
          </w:tcPr>
          <w:p w14:paraId="1D50156F" w14:textId="77777777" w:rsidR="001752B7" w:rsidRPr="001752B7" w:rsidRDefault="001752B7" w:rsidP="001752B7">
            <w:pPr>
              <w:spacing w:after="0" w:line="240" w:lineRule="auto"/>
              <w:jc w:val="right"/>
              <w:rPr>
                <w:rFonts w:ascii="Tahoma" w:eastAsia="Times New Roman" w:hAnsi="Tahoma" w:cs="Tahoma"/>
                <w:sz w:val="20"/>
                <w:szCs w:val="20"/>
                <w:lang w:eastAsia="hr-HR"/>
              </w:rPr>
            </w:pPr>
            <w:r w:rsidRPr="001752B7">
              <w:rPr>
                <w:rFonts w:ascii="Tahoma" w:eastAsia="Times New Roman" w:hAnsi="Tahoma" w:cs="Tahoma"/>
                <w:sz w:val="20"/>
                <w:szCs w:val="20"/>
                <w:lang w:eastAsia="hr-HR"/>
              </w:rPr>
              <w:t>2</w:t>
            </w:r>
          </w:p>
        </w:tc>
        <w:tc>
          <w:tcPr>
            <w:tcW w:w="698" w:type="dxa"/>
            <w:tcBorders>
              <w:top w:val="nil"/>
              <w:left w:val="nil"/>
              <w:bottom w:val="single" w:sz="4" w:space="0" w:color="auto"/>
              <w:right w:val="single" w:sz="4" w:space="0" w:color="auto"/>
            </w:tcBorders>
            <w:shd w:val="clear" w:color="000000" w:fill="FFFF99"/>
            <w:noWrap/>
            <w:vAlign w:val="center"/>
            <w:hideMark/>
          </w:tcPr>
          <w:p w14:paraId="2452F5AE" w14:textId="77777777" w:rsidR="001752B7" w:rsidRPr="001752B7" w:rsidRDefault="001752B7" w:rsidP="001752B7">
            <w:pPr>
              <w:spacing w:after="0" w:line="240" w:lineRule="auto"/>
              <w:jc w:val="right"/>
              <w:rPr>
                <w:rFonts w:ascii="Tahoma" w:eastAsia="Times New Roman" w:hAnsi="Tahoma" w:cs="Tahoma"/>
                <w:sz w:val="20"/>
                <w:szCs w:val="20"/>
                <w:lang w:eastAsia="hr-HR"/>
              </w:rPr>
            </w:pPr>
            <w:r w:rsidRPr="001752B7">
              <w:rPr>
                <w:rFonts w:ascii="Tahoma" w:eastAsia="Times New Roman" w:hAnsi="Tahoma" w:cs="Tahoma"/>
                <w:sz w:val="20"/>
                <w:szCs w:val="20"/>
                <w:lang w:eastAsia="hr-HR"/>
              </w:rPr>
              <w:t> </w:t>
            </w:r>
          </w:p>
        </w:tc>
        <w:tc>
          <w:tcPr>
            <w:tcW w:w="698" w:type="dxa"/>
            <w:tcBorders>
              <w:top w:val="nil"/>
              <w:left w:val="nil"/>
              <w:bottom w:val="single" w:sz="4" w:space="0" w:color="auto"/>
              <w:right w:val="single" w:sz="4" w:space="0" w:color="auto"/>
            </w:tcBorders>
            <w:shd w:val="clear" w:color="000000" w:fill="FFFF99"/>
            <w:noWrap/>
            <w:vAlign w:val="center"/>
            <w:hideMark/>
          </w:tcPr>
          <w:p w14:paraId="1DA7CA16" w14:textId="77777777" w:rsidR="001752B7" w:rsidRPr="001752B7" w:rsidRDefault="001752B7" w:rsidP="001752B7">
            <w:pPr>
              <w:spacing w:after="0" w:line="240" w:lineRule="auto"/>
              <w:jc w:val="right"/>
              <w:rPr>
                <w:rFonts w:ascii="Tahoma" w:eastAsia="Times New Roman" w:hAnsi="Tahoma" w:cs="Tahoma"/>
                <w:sz w:val="20"/>
                <w:szCs w:val="20"/>
                <w:lang w:eastAsia="hr-HR"/>
              </w:rPr>
            </w:pPr>
            <w:r w:rsidRPr="001752B7">
              <w:rPr>
                <w:rFonts w:ascii="Tahoma" w:eastAsia="Times New Roman" w:hAnsi="Tahoma" w:cs="Tahoma"/>
                <w:sz w:val="20"/>
                <w:szCs w:val="20"/>
                <w:lang w:eastAsia="hr-HR"/>
              </w:rPr>
              <w:t> </w:t>
            </w:r>
          </w:p>
        </w:tc>
        <w:tc>
          <w:tcPr>
            <w:tcW w:w="698" w:type="dxa"/>
            <w:tcBorders>
              <w:top w:val="nil"/>
              <w:left w:val="nil"/>
              <w:bottom w:val="single" w:sz="4" w:space="0" w:color="auto"/>
              <w:right w:val="single" w:sz="4" w:space="0" w:color="auto"/>
            </w:tcBorders>
            <w:shd w:val="clear" w:color="000000" w:fill="FFFF99"/>
            <w:noWrap/>
            <w:vAlign w:val="center"/>
            <w:hideMark/>
          </w:tcPr>
          <w:p w14:paraId="49007878" w14:textId="77777777" w:rsidR="001752B7" w:rsidRPr="001752B7" w:rsidRDefault="001752B7" w:rsidP="001752B7">
            <w:pPr>
              <w:spacing w:after="0" w:line="240" w:lineRule="auto"/>
              <w:jc w:val="right"/>
              <w:rPr>
                <w:rFonts w:ascii="Tahoma" w:eastAsia="Times New Roman" w:hAnsi="Tahoma" w:cs="Tahoma"/>
                <w:sz w:val="20"/>
                <w:szCs w:val="20"/>
                <w:lang w:eastAsia="hr-HR"/>
              </w:rPr>
            </w:pPr>
            <w:r w:rsidRPr="001752B7">
              <w:rPr>
                <w:rFonts w:ascii="Tahoma" w:eastAsia="Times New Roman" w:hAnsi="Tahoma" w:cs="Tahoma"/>
                <w:sz w:val="20"/>
                <w:szCs w:val="20"/>
                <w:lang w:eastAsia="hr-HR"/>
              </w:rPr>
              <w:t> </w:t>
            </w:r>
          </w:p>
        </w:tc>
        <w:tc>
          <w:tcPr>
            <w:tcW w:w="469" w:type="dxa"/>
            <w:tcBorders>
              <w:top w:val="nil"/>
              <w:left w:val="nil"/>
              <w:bottom w:val="single" w:sz="4" w:space="0" w:color="auto"/>
              <w:right w:val="single" w:sz="4" w:space="0" w:color="auto"/>
            </w:tcBorders>
            <w:shd w:val="clear" w:color="000000" w:fill="FF9900"/>
            <w:noWrap/>
            <w:vAlign w:val="center"/>
            <w:hideMark/>
          </w:tcPr>
          <w:p w14:paraId="321A8290" w14:textId="77777777" w:rsidR="001752B7" w:rsidRPr="001752B7" w:rsidRDefault="001752B7" w:rsidP="001752B7">
            <w:pPr>
              <w:spacing w:after="0" w:line="240" w:lineRule="auto"/>
              <w:jc w:val="right"/>
              <w:rPr>
                <w:rFonts w:ascii="Tahoma" w:eastAsia="Times New Roman" w:hAnsi="Tahoma" w:cs="Tahoma"/>
                <w:sz w:val="20"/>
                <w:szCs w:val="20"/>
                <w:lang w:eastAsia="hr-HR"/>
              </w:rPr>
            </w:pPr>
            <w:r w:rsidRPr="001752B7">
              <w:rPr>
                <w:rFonts w:ascii="Tahoma" w:eastAsia="Times New Roman" w:hAnsi="Tahoma" w:cs="Tahoma"/>
                <w:sz w:val="20"/>
                <w:szCs w:val="20"/>
                <w:lang w:eastAsia="hr-HR"/>
              </w:rPr>
              <w:t> </w:t>
            </w:r>
          </w:p>
        </w:tc>
        <w:tc>
          <w:tcPr>
            <w:tcW w:w="419" w:type="dxa"/>
            <w:tcBorders>
              <w:top w:val="nil"/>
              <w:left w:val="nil"/>
              <w:bottom w:val="single" w:sz="4" w:space="0" w:color="auto"/>
              <w:right w:val="single" w:sz="4" w:space="0" w:color="auto"/>
            </w:tcBorders>
            <w:shd w:val="clear" w:color="000000" w:fill="FF9900"/>
            <w:noWrap/>
            <w:vAlign w:val="center"/>
            <w:hideMark/>
          </w:tcPr>
          <w:p w14:paraId="3E0FA887" w14:textId="77777777" w:rsidR="001752B7" w:rsidRPr="001752B7" w:rsidRDefault="001752B7" w:rsidP="001752B7">
            <w:pPr>
              <w:spacing w:after="0" w:line="240" w:lineRule="auto"/>
              <w:jc w:val="right"/>
              <w:rPr>
                <w:rFonts w:ascii="Tahoma" w:eastAsia="Times New Roman" w:hAnsi="Tahoma" w:cs="Tahoma"/>
                <w:sz w:val="20"/>
                <w:szCs w:val="20"/>
                <w:lang w:eastAsia="hr-HR"/>
              </w:rPr>
            </w:pPr>
            <w:r w:rsidRPr="001752B7">
              <w:rPr>
                <w:rFonts w:ascii="Tahoma" w:eastAsia="Times New Roman" w:hAnsi="Tahoma" w:cs="Tahoma"/>
                <w:sz w:val="20"/>
                <w:szCs w:val="20"/>
                <w:lang w:eastAsia="hr-HR"/>
              </w:rPr>
              <w:t>1</w:t>
            </w:r>
          </w:p>
        </w:tc>
        <w:tc>
          <w:tcPr>
            <w:tcW w:w="521" w:type="dxa"/>
            <w:tcBorders>
              <w:top w:val="nil"/>
              <w:left w:val="nil"/>
              <w:bottom w:val="single" w:sz="4" w:space="0" w:color="auto"/>
              <w:right w:val="single" w:sz="4" w:space="0" w:color="auto"/>
            </w:tcBorders>
            <w:shd w:val="clear" w:color="000000" w:fill="FF9900"/>
            <w:noWrap/>
            <w:vAlign w:val="center"/>
            <w:hideMark/>
          </w:tcPr>
          <w:p w14:paraId="79C11131" w14:textId="77777777" w:rsidR="001752B7" w:rsidRPr="001752B7" w:rsidRDefault="001752B7" w:rsidP="001752B7">
            <w:pPr>
              <w:spacing w:after="0" w:line="240" w:lineRule="auto"/>
              <w:jc w:val="right"/>
              <w:rPr>
                <w:rFonts w:ascii="Tahoma" w:eastAsia="Times New Roman" w:hAnsi="Tahoma" w:cs="Tahoma"/>
                <w:sz w:val="20"/>
                <w:szCs w:val="20"/>
                <w:lang w:eastAsia="hr-HR"/>
              </w:rPr>
            </w:pPr>
            <w:r w:rsidRPr="001752B7">
              <w:rPr>
                <w:rFonts w:ascii="Tahoma" w:eastAsia="Times New Roman" w:hAnsi="Tahoma" w:cs="Tahoma"/>
                <w:sz w:val="20"/>
                <w:szCs w:val="20"/>
                <w:lang w:eastAsia="hr-HR"/>
              </w:rPr>
              <w:t>1</w:t>
            </w:r>
          </w:p>
        </w:tc>
        <w:tc>
          <w:tcPr>
            <w:tcW w:w="476" w:type="dxa"/>
            <w:tcBorders>
              <w:top w:val="nil"/>
              <w:left w:val="nil"/>
              <w:bottom w:val="single" w:sz="4" w:space="0" w:color="auto"/>
              <w:right w:val="single" w:sz="4" w:space="0" w:color="auto"/>
            </w:tcBorders>
            <w:shd w:val="clear" w:color="000000" w:fill="FFFF00"/>
            <w:vAlign w:val="center"/>
            <w:hideMark/>
          </w:tcPr>
          <w:p w14:paraId="7EBD6FF2" w14:textId="77777777" w:rsidR="001752B7" w:rsidRPr="001752B7" w:rsidRDefault="001752B7" w:rsidP="001752B7">
            <w:pPr>
              <w:spacing w:after="0" w:line="240" w:lineRule="auto"/>
              <w:jc w:val="right"/>
              <w:rPr>
                <w:rFonts w:ascii="Tahoma" w:eastAsia="Times New Roman" w:hAnsi="Tahoma" w:cs="Tahoma"/>
                <w:sz w:val="20"/>
                <w:szCs w:val="20"/>
                <w:lang w:eastAsia="hr-HR"/>
              </w:rPr>
            </w:pPr>
            <w:r w:rsidRPr="001752B7">
              <w:rPr>
                <w:rFonts w:ascii="Tahoma" w:eastAsia="Times New Roman" w:hAnsi="Tahoma" w:cs="Tahoma"/>
                <w:sz w:val="20"/>
                <w:szCs w:val="20"/>
                <w:lang w:eastAsia="hr-HR"/>
              </w:rPr>
              <w:t>2</w:t>
            </w:r>
          </w:p>
        </w:tc>
        <w:tc>
          <w:tcPr>
            <w:tcW w:w="698" w:type="dxa"/>
            <w:tcBorders>
              <w:top w:val="nil"/>
              <w:left w:val="nil"/>
              <w:bottom w:val="single" w:sz="4" w:space="0" w:color="auto"/>
              <w:right w:val="single" w:sz="4" w:space="0" w:color="auto"/>
            </w:tcBorders>
            <w:shd w:val="clear" w:color="000000" w:fill="FF9900"/>
            <w:vAlign w:val="center"/>
            <w:hideMark/>
          </w:tcPr>
          <w:p w14:paraId="447C8D87" w14:textId="77777777" w:rsidR="001752B7" w:rsidRPr="001752B7" w:rsidRDefault="001752B7" w:rsidP="001752B7">
            <w:pPr>
              <w:spacing w:after="0" w:line="240" w:lineRule="auto"/>
              <w:jc w:val="right"/>
              <w:rPr>
                <w:rFonts w:ascii="Tahoma" w:eastAsia="Times New Roman" w:hAnsi="Tahoma" w:cs="Tahoma"/>
                <w:sz w:val="20"/>
                <w:szCs w:val="20"/>
                <w:lang w:eastAsia="hr-HR"/>
              </w:rPr>
            </w:pPr>
            <w:r w:rsidRPr="001752B7">
              <w:rPr>
                <w:rFonts w:ascii="Tahoma" w:eastAsia="Times New Roman" w:hAnsi="Tahoma" w:cs="Tahoma"/>
                <w:sz w:val="20"/>
                <w:szCs w:val="20"/>
                <w:lang w:eastAsia="hr-HR"/>
              </w:rPr>
              <w:t>18</w:t>
            </w:r>
          </w:p>
        </w:tc>
        <w:tc>
          <w:tcPr>
            <w:tcW w:w="643" w:type="dxa"/>
            <w:tcBorders>
              <w:top w:val="nil"/>
              <w:left w:val="nil"/>
              <w:bottom w:val="single" w:sz="4" w:space="0" w:color="auto"/>
              <w:right w:val="single" w:sz="4" w:space="0" w:color="auto"/>
            </w:tcBorders>
            <w:shd w:val="clear" w:color="000000" w:fill="FF9900"/>
            <w:vAlign w:val="center"/>
            <w:hideMark/>
          </w:tcPr>
          <w:p w14:paraId="794E3C32" w14:textId="77777777" w:rsidR="001752B7" w:rsidRPr="001752B7" w:rsidRDefault="001752B7" w:rsidP="001752B7">
            <w:pPr>
              <w:spacing w:after="0" w:line="240" w:lineRule="auto"/>
              <w:jc w:val="right"/>
              <w:rPr>
                <w:rFonts w:ascii="Tahoma" w:eastAsia="Times New Roman" w:hAnsi="Tahoma" w:cs="Tahoma"/>
                <w:sz w:val="20"/>
                <w:szCs w:val="20"/>
                <w:lang w:eastAsia="hr-HR"/>
              </w:rPr>
            </w:pPr>
            <w:r w:rsidRPr="001752B7">
              <w:rPr>
                <w:rFonts w:ascii="Tahoma" w:eastAsia="Times New Roman" w:hAnsi="Tahoma" w:cs="Tahoma"/>
                <w:sz w:val="20"/>
                <w:szCs w:val="20"/>
                <w:lang w:eastAsia="hr-HR"/>
              </w:rPr>
              <w:t>1</w:t>
            </w:r>
          </w:p>
        </w:tc>
        <w:tc>
          <w:tcPr>
            <w:tcW w:w="605" w:type="dxa"/>
            <w:tcBorders>
              <w:top w:val="nil"/>
              <w:left w:val="nil"/>
              <w:bottom w:val="single" w:sz="4" w:space="0" w:color="auto"/>
              <w:right w:val="single" w:sz="4" w:space="0" w:color="auto"/>
            </w:tcBorders>
            <w:shd w:val="clear" w:color="000000" w:fill="FF9900"/>
            <w:vAlign w:val="center"/>
            <w:hideMark/>
          </w:tcPr>
          <w:p w14:paraId="4968474B" w14:textId="77777777" w:rsidR="001752B7" w:rsidRPr="001752B7" w:rsidRDefault="001752B7" w:rsidP="001752B7">
            <w:pPr>
              <w:spacing w:after="0" w:line="240" w:lineRule="auto"/>
              <w:jc w:val="right"/>
              <w:rPr>
                <w:rFonts w:ascii="Tahoma" w:eastAsia="Times New Roman" w:hAnsi="Tahoma" w:cs="Tahoma"/>
                <w:sz w:val="20"/>
                <w:szCs w:val="20"/>
                <w:lang w:eastAsia="hr-HR"/>
              </w:rPr>
            </w:pPr>
            <w:r w:rsidRPr="001752B7">
              <w:rPr>
                <w:rFonts w:ascii="Tahoma" w:eastAsia="Times New Roman" w:hAnsi="Tahoma" w:cs="Tahoma"/>
                <w:sz w:val="20"/>
                <w:szCs w:val="20"/>
                <w:lang w:eastAsia="hr-HR"/>
              </w:rPr>
              <w:t> </w:t>
            </w:r>
          </w:p>
        </w:tc>
        <w:tc>
          <w:tcPr>
            <w:tcW w:w="698" w:type="dxa"/>
            <w:tcBorders>
              <w:top w:val="nil"/>
              <w:left w:val="nil"/>
              <w:bottom w:val="single" w:sz="4" w:space="0" w:color="auto"/>
              <w:right w:val="single" w:sz="4" w:space="0" w:color="auto"/>
            </w:tcBorders>
            <w:shd w:val="clear" w:color="000000" w:fill="FF9900"/>
            <w:vAlign w:val="center"/>
            <w:hideMark/>
          </w:tcPr>
          <w:p w14:paraId="4083EF46" w14:textId="77777777" w:rsidR="001752B7" w:rsidRPr="001752B7" w:rsidRDefault="001752B7" w:rsidP="001752B7">
            <w:pPr>
              <w:spacing w:after="0" w:line="240" w:lineRule="auto"/>
              <w:jc w:val="right"/>
              <w:rPr>
                <w:rFonts w:ascii="Tahoma" w:eastAsia="Times New Roman" w:hAnsi="Tahoma" w:cs="Tahoma"/>
                <w:sz w:val="20"/>
                <w:szCs w:val="20"/>
                <w:lang w:eastAsia="hr-HR"/>
              </w:rPr>
            </w:pPr>
            <w:r w:rsidRPr="001752B7">
              <w:rPr>
                <w:rFonts w:ascii="Tahoma" w:eastAsia="Times New Roman" w:hAnsi="Tahoma" w:cs="Tahoma"/>
                <w:sz w:val="20"/>
                <w:szCs w:val="20"/>
                <w:lang w:eastAsia="hr-HR"/>
              </w:rPr>
              <w:t>1</w:t>
            </w:r>
          </w:p>
        </w:tc>
        <w:tc>
          <w:tcPr>
            <w:tcW w:w="464" w:type="dxa"/>
            <w:tcBorders>
              <w:top w:val="nil"/>
              <w:left w:val="nil"/>
              <w:bottom w:val="single" w:sz="4" w:space="0" w:color="auto"/>
              <w:right w:val="single" w:sz="4" w:space="0" w:color="auto"/>
            </w:tcBorders>
            <w:shd w:val="clear" w:color="000000" w:fill="CCFFFF"/>
            <w:noWrap/>
            <w:vAlign w:val="center"/>
            <w:hideMark/>
          </w:tcPr>
          <w:p w14:paraId="207F20E8" w14:textId="77777777" w:rsidR="001752B7" w:rsidRPr="001752B7" w:rsidRDefault="001752B7" w:rsidP="001752B7">
            <w:pPr>
              <w:spacing w:after="0" w:line="240" w:lineRule="auto"/>
              <w:jc w:val="right"/>
              <w:rPr>
                <w:rFonts w:ascii="Tahoma" w:eastAsia="Times New Roman" w:hAnsi="Tahoma" w:cs="Tahoma"/>
                <w:sz w:val="20"/>
                <w:szCs w:val="20"/>
                <w:lang w:eastAsia="hr-HR"/>
              </w:rPr>
            </w:pPr>
            <w:r w:rsidRPr="001752B7">
              <w:rPr>
                <w:rFonts w:ascii="Tahoma" w:eastAsia="Times New Roman" w:hAnsi="Tahoma" w:cs="Tahoma"/>
                <w:sz w:val="20"/>
                <w:szCs w:val="20"/>
                <w:lang w:eastAsia="hr-HR"/>
              </w:rPr>
              <w:t> </w:t>
            </w:r>
          </w:p>
        </w:tc>
        <w:tc>
          <w:tcPr>
            <w:tcW w:w="425" w:type="dxa"/>
            <w:tcBorders>
              <w:top w:val="nil"/>
              <w:left w:val="nil"/>
              <w:bottom w:val="single" w:sz="4" w:space="0" w:color="auto"/>
              <w:right w:val="single" w:sz="4" w:space="0" w:color="auto"/>
            </w:tcBorders>
            <w:shd w:val="clear" w:color="000000" w:fill="CCFFFF"/>
            <w:noWrap/>
            <w:vAlign w:val="center"/>
            <w:hideMark/>
          </w:tcPr>
          <w:p w14:paraId="481E1AE7" w14:textId="77777777" w:rsidR="001752B7" w:rsidRPr="001752B7" w:rsidRDefault="001752B7" w:rsidP="001752B7">
            <w:pPr>
              <w:spacing w:after="0" w:line="240" w:lineRule="auto"/>
              <w:jc w:val="right"/>
              <w:rPr>
                <w:rFonts w:ascii="Tahoma" w:eastAsia="Times New Roman" w:hAnsi="Tahoma" w:cs="Tahoma"/>
                <w:sz w:val="20"/>
                <w:szCs w:val="20"/>
                <w:lang w:eastAsia="hr-HR"/>
              </w:rPr>
            </w:pPr>
            <w:r w:rsidRPr="001752B7">
              <w:rPr>
                <w:rFonts w:ascii="Tahoma" w:eastAsia="Times New Roman" w:hAnsi="Tahoma" w:cs="Tahoma"/>
                <w:sz w:val="20"/>
                <w:szCs w:val="20"/>
                <w:lang w:eastAsia="hr-HR"/>
              </w:rPr>
              <w:t> </w:t>
            </w:r>
          </w:p>
        </w:tc>
        <w:tc>
          <w:tcPr>
            <w:tcW w:w="426" w:type="dxa"/>
            <w:tcBorders>
              <w:top w:val="nil"/>
              <w:left w:val="nil"/>
              <w:bottom w:val="single" w:sz="4" w:space="0" w:color="auto"/>
              <w:right w:val="single" w:sz="4" w:space="0" w:color="auto"/>
            </w:tcBorders>
            <w:shd w:val="clear" w:color="000000" w:fill="CCFFFF"/>
            <w:noWrap/>
            <w:vAlign w:val="center"/>
            <w:hideMark/>
          </w:tcPr>
          <w:p w14:paraId="45FAF9B7" w14:textId="77777777" w:rsidR="001752B7" w:rsidRPr="001752B7" w:rsidRDefault="001752B7" w:rsidP="001752B7">
            <w:pPr>
              <w:spacing w:after="0" w:line="240" w:lineRule="auto"/>
              <w:jc w:val="right"/>
              <w:rPr>
                <w:rFonts w:ascii="Tahoma" w:eastAsia="Times New Roman" w:hAnsi="Tahoma" w:cs="Tahoma"/>
                <w:sz w:val="20"/>
                <w:szCs w:val="20"/>
                <w:lang w:eastAsia="hr-HR"/>
              </w:rPr>
            </w:pPr>
            <w:r w:rsidRPr="001752B7">
              <w:rPr>
                <w:rFonts w:ascii="Tahoma" w:eastAsia="Times New Roman" w:hAnsi="Tahoma" w:cs="Tahoma"/>
                <w:sz w:val="20"/>
                <w:szCs w:val="20"/>
                <w:lang w:eastAsia="hr-HR"/>
              </w:rPr>
              <w:t> </w:t>
            </w:r>
          </w:p>
        </w:tc>
        <w:tc>
          <w:tcPr>
            <w:tcW w:w="487" w:type="dxa"/>
            <w:tcBorders>
              <w:top w:val="nil"/>
              <w:left w:val="nil"/>
              <w:bottom w:val="single" w:sz="4" w:space="0" w:color="auto"/>
              <w:right w:val="nil"/>
            </w:tcBorders>
            <w:shd w:val="clear" w:color="000000" w:fill="33CCCC"/>
            <w:noWrap/>
            <w:vAlign w:val="center"/>
            <w:hideMark/>
          </w:tcPr>
          <w:p w14:paraId="484ACD9A" w14:textId="77777777" w:rsidR="001752B7" w:rsidRPr="001752B7" w:rsidRDefault="001752B7" w:rsidP="001752B7">
            <w:pPr>
              <w:spacing w:after="0" w:line="240" w:lineRule="auto"/>
              <w:jc w:val="right"/>
              <w:rPr>
                <w:rFonts w:ascii="Tahoma" w:eastAsia="Times New Roman" w:hAnsi="Tahoma" w:cs="Tahoma"/>
                <w:sz w:val="20"/>
                <w:szCs w:val="20"/>
                <w:lang w:eastAsia="hr-HR"/>
              </w:rPr>
            </w:pPr>
            <w:r w:rsidRPr="001752B7">
              <w:rPr>
                <w:rFonts w:ascii="Tahoma" w:eastAsia="Times New Roman" w:hAnsi="Tahoma" w:cs="Tahoma"/>
                <w:sz w:val="20"/>
                <w:szCs w:val="20"/>
                <w:lang w:eastAsia="hr-HR"/>
              </w:rPr>
              <w:t> </w:t>
            </w:r>
          </w:p>
        </w:tc>
        <w:tc>
          <w:tcPr>
            <w:tcW w:w="425" w:type="dxa"/>
            <w:tcBorders>
              <w:top w:val="nil"/>
              <w:left w:val="single" w:sz="4" w:space="0" w:color="auto"/>
              <w:bottom w:val="single" w:sz="4" w:space="0" w:color="auto"/>
              <w:right w:val="single" w:sz="8" w:space="0" w:color="auto"/>
            </w:tcBorders>
            <w:shd w:val="clear" w:color="000000" w:fill="33CCCC"/>
            <w:noWrap/>
            <w:vAlign w:val="center"/>
            <w:hideMark/>
          </w:tcPr>
          <w:p w14:paraId="78BE6AE7" w14:textId="77777777" w:rsidR="001752B7" w:rsidRPr="001752B7" w:rsidRDefault="001752B7" w:rsidP="001752B7">
            <w:pPr>
              <w:spacing w:after="0" w:line="240" w:lineRule="auto"/>
              <w:jc w:val="right"/>
              <w:rPr>
                <w:rFonts w:ascii="Tahoma" w:eastAsia="Times New Roman" w:hAnsi="Tahoma" w:cs="Tahoma"/>
                <w:sz w:val="20"/>
                <w:szCs w:val="20"/>
                <w:lang w:eastAsia="hr-HR"/>
              </w:rPr>
            </w:pPr>
            <w:r w:rsidRPr="001752B7">
              <w:rPr>
                <w:rFonts w:ascii="Tahoma" w:eastAsia="Times New Roman" w:hAnsi="Tahoma" w:cs="Tahoma"/>
                <w:sz w:val="20"/>
                <w:szCs w:val="20"/>
                <w:lang w:eastAsia="hr-HR"/>
              </w:rPr>
              <w:t>2</w:t>
            </w:r>
          </w:p>
        </w:tc>
        <w:tc>
          <w:tcPr>
            <w:tcW w:w="236" w:type="dxa"/>
            <w:vAlign w:val="center"/>
            <w:hideMark/>
          </w:tcPr>
          <w:p w14:paraId="3C181794" w14:textId="77777777" w:rsidR="001752B7" w:rsidRPr="001752B7" w:rsidRDefault="001752B7" w:rsidP="001752B7">
            <w:pPr>
              <w:spacing w:after="0" w:line="240" w:lineRule="auto"/>
              <w:rPr>
                <w:rFonts w:ascii="Times New Roman" w:eastAsia="Times New Roman" w:hAnsi="Times New Roman" w:cs="Times New Roman"/>
                <w:sz w:val="20"/>
                <w:szCs w:val="20"/>
                <w:lang w:eastAsia="hr-HR"/>
              </w:rPr>
            </w:pPr>
          </w:p>
        </w:tc>
      </w:tr>
      <w:tr w:rsidR="001752B7" w:rsidRPr="001752B7" w14:paraId="060B218D" w14:textId="77777777" w:rsidTr="000271A1">
        <w:trPr>
          <w:gridAfter w:val="1"/>
          <w:wAfter w:w="31" w:type="dxa"/>
          <w:trHeight w:val="300"/>
        </w:trPr>
        <w:tc>
          <w:tcPr>
            <w:tcW w:w="1408" w:type="dxa"/>
            <w:tcBorders>
              <w:top w:val="single" w:sz="4" w:space="0" w:color="auto"/>
              <w:left w:val="single" w:sz="8" w:space="0" w:color="auto"/>
              <w:bottom w:val="single" w:sz="4" w:space="0" w:color="auto"/>
              <w:right w:val="single" w:sz="4" w:space="0" w:color="auto"/>
            </w:tcBorders>
            <w:shd w:val="clear" w:color="000000" w:fill="CCFFCC"/>
            <w:vAlign w:val="center"/>
            <w:hideMark/>
          </w:tcPr>
          <w:p w14:paraId="4B45608C" w14:textId="77777777" w:rsidR="001752B7" w:rsidRPr="001752B7" w:rsidRDefault="001752B7" w:rsidP="001752B7">
            <w:pPr>
              <w:spacing w:after="0" w:line="240" w:lineRule="auto"/>
              <w:rPr>
                <w:rFonts w:ascii="Tahoma" w:eastAsia="Times New Roman" w:hAnsi="Tahoma" w:cs="Tahoma"/>
                <w:sz w:val="20"/>
                <w:szCs w:val="20"/>
                <w:lang w:eastAsia="hr-HR"/>
              </w:rPr>
            </w:pPr>
            <w:r w:rsidRPr="001752B7">
              <w:rPr>
                <w:rFonts w:ascii="Tahoma" w:eastAsia="Times New Roman" w:hAnsi="Tahoma" w:cs="Tahoma"/>
                <w:sz w:val="20"/>
                <w:szCs w:val="20"/>
                <w:lang w:eastAsia="hr-HR"/>
              </w:rPr>
              <w:lastRenderedPageBreak/>
              <w:t>Spolna orijentacija</w:t>
            </w:r>
          </w:p>
        </w:tc>
        <w:tc>
          <w:tcPr>
            <w:tcW w:w="673" w:type="dxa"/>
            <w:tcBorders>
              <w:top w:val="nil"/>
              <w:left w:val="nil"/>
              <w:bottom w:val="single" w:sz="4" w:space="0" w:color="auto"/>
              <w:right w:val="single" w:sz="4" w:space="0" w:color="auto"/>
            </w:tcBorders>
            <w:shd w:val="clear" w:color="000000" w:fill="FFCC99"/>
            <w:noWrap/>
            <w:vAlign w:val="center"/>
            <w:hideMark/>
          </w:tcPr>
          <w:p w14:paraId="3F95C6FC" w14:textId="77777777" w:rsidR="001752B7" w:rsidRPr="001752B7" w:rsidRDefault="001752B7" w:rsidP="001752B7">
            <w:pPr>
              <w:spacing w:after="0" w:line="240" w:lineRule="auto"/>
              <w:jc w:val="right"/>
              <w:rPr>
                <w:rFonts w:ascii="Tahoma" w:eastAsia="Times New Roman" w:hAnsi="Tahoma" w:cs="Tahoma"/>
                <w:sz w:val="20"/>
                <w:szCs w:val="20"/>
                <w:lang w:eastAsia="hr-HR"/>
              </w:rPr>
            </w:pPr>
            <w:r w:rsidRPr="001752B7">
              <w:rPr>
                <w:rFonts w:ascii="Tahoma" w:eastAsia="Times New Roman" w:hAnsi="Tahoma" w:cs="Tahoma"/>
                <w:sz w:val="20"/>
                <w:szCs w:val="20"/>
                <w:lang w:eastAsia="hr-HR"/>
              </w:rPr>
              <w:t>2</w:t>
            </w:r>
          </w:p>
        </w:tc>
        <w:tc>
          <w:tcPr>
            <w:tcW w:w="521" w:type="dxa"/>
            <w:tcBorders>
              <w:top w:val="nil"/>
              <w:left w:val="nil"/>
              <w:bottom w:val="single" w:sz="4" w:space="0" w:color="auto"/>
              <w:right w:val="single" w:sz="4" w:space="0" w:color="auto"/>
            </w:tcBorders>
            <w:shd w:val="clear" w:color="000000" w:fill="FFFF00"/>
            <w:noWrap/>
            <w:vAlign w:val="center"/>
            <w:hideMark/>
          </w:tcPr>
          <w:p w14:paraId="6FFF8025" w14:textId="77777777" w:rsidR="001752B7" w:rsidRPr="001752B7" w:rsidRDefault="001752B7" w:rsidP="001752B7">
            <w:pPr>
              <w:spacing w:after="0" w:line="240" w:lineRule="auto"/>
              <w:jc w:val="right"/>
              <w:rPr>
                <w:rFonts w:ascii="Tahoma" w:eastAsia="Times New Roman" w:hAnsi="Tahoma" w:cs="Tahoma"/>
                <w:sz w:val="20"/>
                <w:szCs w:val="20"/>
                <w:lang w:eastAsia="hr-HR"/>
              </w:rPr>
            </w:pPr>
            <w:r w:rsidRPr="001752B7">
              <w:rPr>
                <w:rFonts w:ascii="Tahoma" w:eastAsia="Times New Roman" w:hAnsi="Tahoma" w:cs="Tahoma"/>
                <w:sz w:val="20"/>
                <w:szCs w:val="20"/>
                <w:lang w:eastAsia="hr-HR"/>
              </w:rPr>
              <w:t>1</w:t>
            </w:r>
          </w:p>
        </w:tc>
        <w:tc>
          <w:tcPr>
            <w:tcW w:w="477" w:type="dxa"/>
            <w:tcBorders>
              <w:top w:val="nil"/>
              <w:left w:val="nil"/>
              <w:bottom w:val="single" w:sz="4" w:space="0" w:color="auto"/>
              <w:right w:val="single" w:sz="4" w:space="0" w:color="auto"/>
            </w:tcBorders>
            <w:shd w:val="clear" w:color="000000" w:fill="CCFFFF"/>
            <w:noWrap/>
            <w:vAlign w:val="center"/>
            <w:hideMark/>
          </w:tcPr>
          <w:p w14:paraId="37E3FA09" w14:textId="77777777" w:rsidR="001752B7" w:rsidRPr="001752B7" w:rsidRDefault="001752B7" w:rsidP="001752B7">
            <w:pPr>
              <w:spacing w:after="0" w:line="240" w:lineRule="auto"/>
              <w:jc w:val="right"/>
              <w:rPr>
                <w:rFonts w:ascii="Tahoma" w:eastAsia="Times New Roman" w:hAnsi="Tahoma" w:cs="Tahoma"/>
                <w:sz w:val="20"/>
                <w:szCs w:val="20"/>
                <w:lang w:eastAsia="hr-HR"/>
              </w:rPr>
            </w:pPr>
            <w:r w:rsidRPr="001752B7">
              <w:rPr>
                <w:rFonts w:ascii="Tahoma" w:eastAsia="Times New Roman" w:hAnsi="Tahoma" w:cs="Tahoma"/>
                <w:sz w:val="20"/>
                <w:szCs w:val="20"/>
                <w:lang w:eastAsia="hr-HR"/>
              </w:rPr>
              <w:t> </w:t>
            </w:r>
          </w:p>
        </w:tc>
        <w:tc>
          <w:tcPr>
            <w:tcW w:w="426" w:type="dxa"/>
            <w:tcBorders>
              <w:top w:val="nil"/>
              <w:left w:val="nil"/>
              <w:bottom w:val="single" w:sz="4" w:space="0" w:color="auto"/>
              <w:right w:val="single" w:sz="4" w:space="0" w:color="auto"/>
            </w:tcBorders>
            <w:shd w:val="clear" w:color="000000" w:fill="CCFFFF"/>
            <w:noWrap/>
            <w:vAlign w:val="center"/>
            <w:hideMark/>
          </w:tcPr>
          <w:p w14:paraId="3FFC0901" w14:textId="77777777" w:rsidR="001752B7" w:rsidRPr="001752B7" w:rsidRDefault="001752B7" w:rsidP="001752B7">
            <w:pPr>
              <w:spacing w:after="0" w:line="240" w:lineRule="auto"/>
              <w:jc w:val="right"/>
              <w:rPr>
                <w:rFonts w:ascii="Tahoma" w:eastAsia="Times New Roman" w:hAnsi="Tahoma" w:cs="Tahoma"/>
                <w:sz w:val="20"/>
                <w:szCs w:val="20"/>
                <w:lang w:eastAsia="hr-HR"/>
              </w:rPr>
            </w:pPr>
            <w:r w:rsidRPr="001752B7">
              <w:rPr>
                <w:rFonts w:ascii="Tahoma" w:eastAsia="Times New Roman" w:hAnsi="Tahoma" w:cs="Tahoma"/>
                <w:sz w:val="20"/>
                <w:szCs w:val="20"/>
                <w:lang w:eastAsia="hr-HR"/>
              </w:rPr>
              <w:t> </w:t>
            </w:r>
          </w:p>
        </w:tc>
        <w:tc>
          <w:tcPr>
            <w:tcW w:w="698" w:type="dxa"/>
            <w:tcBorders>
              <w:top w:val="nil"/>
              <w:left w:val="nil"/>
              <w:bottom w:val="single" w:sz="4" w:space="0" w:color="auto"/>
              <w:right w:val="single" w:sz="4" w:space="0" w:color="auto"/>
            </w:tcBorders>
            <w:shd w:val="clear" w:color="000000" w:fill="FFFF99"/>
            <w:noWrap/>
            <w:vAlign w:val="center"/>
            <w:hideMark/>
          </w:tcPr>
          <w:p w14:paraId="42F24E1E" w14:textId="77777777" w:rsidR="001752B7" w:rsidRPr="001752B7" w:rsidRDefault="001752B7" w:rsidP="001752B7">
            <w:pPr>
              <w:spacing w:after="0" w:line="240" w:lineRule="auto"/>
              <w:jc w:val="right"/>
              <w:rPr>
                <w:rFonts w:ascii="Tahoma" w:eastAsia="Times New Roman" w:hAnsi="Tahoma" w:cs="Tahoma"/>
                <w:sz w:val="20"/>
                <w:szCs w:val="20"/>
                <w:lang w:eastAsia="hr-HR"/>
              </w:rPr>
            </w:pPr>
            <w:r w:rsidRPr="001752B7">
              <w:rPr>
                <w:rFonts w:ascii="Tahoma" w:eastAsia="Times New Roman" w:hAnsi="Tahoma" w:cs="Tahoma"/>
                <w:sz w:val="20"/>
                <w:szCs w:val="20"/>
                <w:lang w:eastAsia="hr-HR"/>
              </w:rPr>
              <w:t> </w:t>
            </w:r>
          </w:p>
        </w:tc>
        <w:tc>
          <w:tcPr>
            <w:tcW w:w="698" w:type="dxa"/>
            <w:tcBorders>
              <w:top w:val="nil"/>
              <w:left w:val="nil"/>
              <w:bottom w:val="single" w:sz="4" w:space="0" w:color="auto"/>
              <w:right w:val="single" w:sz="4" w:space="0" w:color="auto"/>
            </w:tcBorders>
            <w:shd w:val="clear" w:color="000000" w:fill="FFFF99"/>
            <w:noWrap/>
            <w:vAlign w:val="center"/>
            <w:hideMark/>
          </w:tcPr>
          <w:p w14:paraId="64ABBE2C" w14:textId="77777777" w:rsidR="001752B7" w:rsidRPr="001752B7" w:rsidRDefault="001752B7" w:rsidP="001752B7">
            <w:pPr>
              <w:spacing w:after="0" w:line="240" w:lineRule="auto"/>
              <w:jc w:val="right"/>
              <w:rPr>
                <w:rFonts w:ascii="Tahoma" w:eastAsia="Times New Roman" w:hAnsi="Tahoma" w:cs="Tahoma"/>
                <w:sz w:val="20"/>
                <w:szCs w:val="20"/>
                <w:lang w:eastAsia="hr-HR"/>
              </w:rPr>
            </w:pPr>
            <w:r w:rsidRPr="001752B7">
              <w:rPr>
                <w:rFonts w:ascii="Tahoma" w:eastAsia="Times New Roman" w:hAnsi="Tahoma" w:cs="Tahoma"/>
                <w:sz w:val="20"/>
                <w:szCs w:val="20"/>
                <w:lang w:eastAsia="hr-HR"/>
              </w:rPr>
              <w:t> </w:t>
            </w:r>
          </w:p>
        </w:tc>
        <w:tc>
          <w:tcPr>
            <w:tcW w:w="698" w:type="dxa"/>
            <w:tcBorders>
              <w:top w:val="nil"/>
              <w:left w:val="nil"/>
              <w:bottom w:val="single" w:sz="4" w:space="0" w:color="auto"/>
              <w:right w:val="single" w:sz="4" w:space="0" w:color="auto"/>
            </w:tcBorders>
            <w:shd w:val="clear" w:color="000000" w:fill="FFFF99"/>
            <w:noWrap/>
            <w:vAlign w:val="center"/>
            <w:hideMark/>
          </w:tcPr>
          <w:p w14:paraId="2BAB7FB1" w14:textId="77777777" w:rsidR="001752B7" w:rsidRPr="001752B7" w:rsidRDefault="001752B7" w:rsidP="001752B7">
            <w:pPr>
              <w:spacing w:after="0" w:line="240" w:lineRule="auto"/>
              <w:jc w:val="right"/>
              <w:rPr>
                <w:rFonts w:ascii="Tahoma" w:eastAsia="Times New Roman" w:hAnsi="Tahoma" w:cs="Tahoma"/>
                <w:sz w:val="20"/>
                <w:szCs w:val="20"/>
                <w:lang w:eastAsia="hr-HR"/>
              </w:rPr>
            </w:pPr>
            <w:r w:rsidRPr="001752B7">
              <w:rPr>
                <w:rFonts w:ascii="Tahoma" w:eastAsia="Times New Roman" w:hAnsi="Tahoma" w:cs="Tahoma"/>
                <w:sz w:val="20"/>
                <w:szCs w:val="20"/>
                <w:lang w:eastAsia="hr-HR"/>
              </w:rPr>
              <w:t> </w:t>
            </w:r>
          </w:p>
        </w:tc>
        <w:tc>
          <w:tcPr>
            <w:tcW w:w="698" w:type="dxa"/>
            <w:tcBorders>
              <w:top w:val="nil"/>
              <w:left w:val="nil"/>
              <w:bottom w:val="single" w:sz="4" w:space="0" w:color="auto"/>
              <w:right w:val="single" w:sz="4" w:space="0" w:color="auto"/>
            </w:tcBorders>
            <w:shd w:val="clear" w:color="000000" w:fill="FFFF99"/>
            <w:noWrap/>
            <w:vAlign w:val="center"/>
            <w:hideMark/>
          </w:tcPr>
          <w:p w14:paraId="6D4E7DBE" w14:textId="77777777" w:rsidR="001752B7" w:rsidRPr="001752B7" w:rsidRDefault="001752B7" w:rsidP="001752B7">
            <w:pPr>
              <w:spacing w:after="0" w:line="240" w:lineRule="auto"/>
              <w:jc w:val="right"/>
              <w:rPr>
                <w:rFonts w:ascii="Tahoma" w:eastAsia="Times New Roman" w:hAnsi="Tahoma" w:cs="Tahoma"/>
                <w:sz w:val="20"/>
                <w:szCs w:val="20"/>
                <w:lang w:eastAsia="hr-HR"/>
              </w:rPr>
            </w:pPr>
            <w:r w:rsidRPr="001752B7">
              <w:rPr>
                <w:rFonts w:ascii="Tahoma" w:eastAsia="Times New Roman" w:hAnsi="Tahoma" w:cs="Tahoma"/>
                <w:sz w:val="20"/>
                <w:szCs w:val="20"/>
                <w:lang w:eastAsia="hr-HR"/>
              </w:rPr>
              <w:t> </w:t>
            </w:r>
          </w:p>
        </w:tc>
        <w:tc>
          <w:tcPr>
            <w:tcW w:w="698" w:type="dxa"/>
            <w:tcBorders>
              <w:top w:val="nil"/>
              <w:left w:val="nil"/>
              <w:bottom w:val="single" w:sz="4" w:space="0" w:color="auto"/>
              <w:right w:val="single" w:sz="4" w:space="0" w:color="auto"/>
            </w:tcBorders>
            <w:shd w:val="clear" w:color="000000" w:fill="FFFF99"/>
            <w:noWrap/>
            <w:vAlign w:val="center"/>
            <w:hideMark/>
          </w:tcPr>
          <w:p w14:paraId="773AD70F" w14:textId="77777777" w:rsidR="001752B7" w:rsidRPr="001752B7" w:rsidRDefault="001752B7" w:rsidP="001752B7">
            <w:pPr>
              <w:spacing w:after="0" w:line="240" w:lineRule="auto"/>
              <w:jc w:val="right"/>
              <w:rPr>
                <w:rFonts w:ascii="Tahoma" w:eastAsia="Times New Roman" w:hAnsi="Tahoma" w:cs="Tahoma"/>
                <w:sz w:val="20"/>
                <w:szCs w:val="20"/>
                <w:lang w:eastAsia="hr-HR"/>
              </w:rPr>
            </w:pPr>
            <w:r w:rsidRPr="001752B7">
              <w:rPr>
                <w:rFonts w:ascii="Tahoma" w:eastAsia="Times New Roman" w:hAnsi="Tahoma" w:cs="Tahoma"/>
                <w:sz w:val="20"/>
                <w:szCs w:val="20"/>
                <w:lang w:eastAsia="hr-HR"/>
              </w:rPr>
              <w:t> </w:t>
            </w:r>
          </w:p>
        </w:tc>
        <w:tc>
          <w:tcPr>
            <w:tcW w:w="698" w:type="dxa"/>
            <w:tcBorders>
              <w:top w:val="nil"/>
              <w:left w:val="nil"/>
              <w:bottom w:val="single" w:sz="4" w:space="0" w:color="auto"/>
              <w:right w:val="single" w:sz="4" w:space="0" w:color="auto"/>
            </w:tcBorders>
            <w:shd w:val="clear" w:color="000000" w:fill="FFFF99"/>
            <w:noWrap/>
            <w:vAlign w:val="center"/>
            <w:hideMark/>
          </w:tcPr>
          <w:p w14:paraId="2759502A" w14:textId="77777777" w:rsidR="001752B7" w:rsidRPr="001752B7" w:rsidRDefault="001752B7" w:rsidP="001752B7">
            <w:pPr>
              <w:spacing w:after="0" w:line="240" w:lineRule="auto"/>
              <w:jc w:val="right"/>
              <w:rPr>
                <w:rFonts w:ascii="Tahoma" w:eastAsia="Times New Roman" w:hAnsi="Tahoma" w:cs="Tahoma"/>
                <w:sz w:val="20"/>
                <w:szCs w:val="20"/>
                <w:lang w:eastAsia="hr-HR"/>
              </w:rPr>
            </w:pPr>
            <w:r w:rsidRPr="001752B7">
              <w:rPr>
                <w:rFonts w:ascii="Tahoma" w:eastAsia="Times New Roman" w:hAnsi="Tahoma" w:cs="Tahoma"/>
                <w:sz w:val="20"/>
                <w:szCs w:val="20"/>
                <w:lang w:eastAsia="hr-HR"/>
              </w:rPr>
              <w:t> </w:t>
            </w:r>
          </w:p>
        </w:tc>
        <w:tc>
          <w:tcPr>
            <w:tcW w:w="469" w:type="dxa"/>
            <w:tcBorders>
              <w:top w:val="nil"/>
              <w:left w:val="nil"/>
              <w:bottom w:val="single" w:sz="4" w:space="0" w:color="auto"/>
              <w:right w:val="single" w:sz="4" w:space="0" w:color="auto"/>
            </w:tcBorders>
            <w:shd w:val="clear" w:color="000000" w:fill="FF9900"/>
            <w:noWrap/>
            <w:vAlign w:val="center"/>
            <w:hideMark/>
          </w:tcPr>
          <w:p w14:paraId="28651C86" w14:textId="77777777" w:rsidR="001752B7" w:rsidRPr="001752B7" w:rsidRDefault="001752B7" w:rsidP="001752B7">
            <w:pPr>
              <w:spacing w:after="0" w:line="240" w:lineRule="auto"/>
              <w:jc w:val="right"/>
              <w:rPr>
                <w:rFonts w:ascii="Tahoma" w:eastAsia="Times New Roman" w:hAnsi="Tahoma" w:cs="Tahoma"/>
                <w:sz w:val="20"/>
                <w:szCs w:val="20"/>
                <w:lang w:eastAsia="hr-HR"/>
              </w:rPr>
            </w:pPr>
            <w:r w:rsidRPr="001752B7">
              <w:rPr>
                <w:rFonts w:ascii="Tahoma" w:eastAsia="Times New Roman" w:hAnsi="Tahoma" w:cs="Tahoma"/>
                <w:sz w:val="20"/>
                <w:szCs w:val="20"/>
                <w:lang w:eastAsia="hr-HR"/>
              </w:rPr>
              <w:t>1</w:t>
            </w:r>
          </w:p>
        </w:tc>
        <w:tc>
          <w:tcPr>
            <w:tcW w:w="419" w:type="dxa"/>
            <w:tcBorders>
              <w:top w:val="nil"/>
              <w:left w:val="nil"/>
              <w:bottom w:val="single" w:sz="4" w:space="0" w:color="auto"/>
              <w:right w:val="single" w:sz="4" w:space="0" w:color="auto"/>
            </w:tcBorders>
            <w:shd w:val="clear" w:color="000000" w:fill="FF9900"/>
            <w:noWrap/>
            <w:vAlign w:val="center"/>
            <w:hideMark/>
          </w:tcPr>
          <w:p w14:paraId="4A03FC2C" w14:textId="77777777" w:rsidR="001752B7" w:rsidRPr="001752B7" w:rsidRDefault="001752B7" w:rsidP="001752B7">
            <w:pPr>
              <w:spacing w:after="0" w:line="240" w:lineRule="auto"/>
              <w:jc w:val="right"/>
              <w:rPr>
                <w:rFonts w:ascii="Tahoma" w:eastAsia="Times New Roman" w:hAnsi="Tahoma" w:cs="Tahoma"/>
                <w:sz w:val="20"/>
                <w:szCs w:val="20"/>
                <w:lang w:eastAsia="hr-HR"/>
              </w:rPr>
            </w:pPr>
            <w:r w:rsidRPr="001752B7">
              <w:rPr>
                <w:rFonts w:ascii="Tahoma" w:eastAsia="Times New Roman" w:hAnsi="Tahoma" w:cs="Tahoma"/>
                <w:sz w:val="20"/>
                <w:szCs w:val="20"/>
                <w:lang w:eastAsia="hr-HR"/>
              </w:rPr>
              <w:t> </w:t>
            </w:r>
          </w:p>
        </w:tc>
        <w:tc>
          <w:tcPr>
            <w:tcW w:w="521" w:type="dxa"/>
            <w:tcBorders>
              <w:top w:val="nil"/>
              <w:left w:val="nil"/>
              <w:bottom w:val="single" w:sz="4" w:space="0" w:color="auto"/>
              <w:right w:val="single" w:sz="4" w:space="0" w:color="auto"/>
            </w:tcBorders>
            <w:shd w:val="clear" w:color="000000" w:fill="FF9900"/>
            <w:noWrap/>
            <w:vAlign w:val="center"/>
            <w:hideMark/>
          </w:tcPr>
          <w:p w14:paraId="15EE065E" w14:textId="77777777" w:rsidR="001752B7" w:rsidRPr="001752B7" w:rsidRDefault="001752B7" w:rsidP="001752B7">
            <w:pPr>
              <w:spacing w:after="0" w:line="240" w:lineRule="auto"/>
              <w:jc w:val="right"/>
              <w:rPr>
                <w:rFonts w:ascii="Tahoma" w:eastAsia="Times New Roman" w:hAnsi="Tahoma" w:cs="Tahoma"/>
                <w:sz w:val="20"/>
                <w:szCs w:val="20"/>
                <w:lang w:eastAsia="hr-HR"/>
              </w:rPr>
            </w:pPr>
            <w:r w:rsidRPr="001752B7">
              <w:rPr>
                <w:rFonts w:ascii="Tahoma" w:eastAsia="Times New Roman" w:hAnsi="Tahoma" w:cs="Tahoma"/>
                <w:sz w:val="20"/>
                <w:szCs w:val="20"/>
                <w:lang w:eastAsia="hr-HR"/>
              </w:rPr>
              <w:t>1</w:t>
            </w:r>
          </w:p>
        </w:tc>
        <w:tc>
          <w:tcPr>
            <w:tcW w:w="476" w:type="dxa"/>
            <w:tcBorders>
              <w:top w:val="nil"/>
              <w:left w:val="nil"/>
              <w:bottom w:val="single" w:sz="4" w:space="0" w:color="auto"/>
              <w:right w:val="single" w:sz="4" w:space="0" w:color="auto"/>
            </w:tcBorders>
            <w:shd w:val="clear" w:color="000000" w:fill="FFFF00"/>
            <w:vAlign w:val="center"/>
            <w:hideMark/>
          </w:tcPr>
          <w:p w14:paraId="67770A94" w14:textId="77777777" w:rsidR="001752B7" w:rsidRPr="001752B7" w:rsidRDefault="001752B7" w:rsidP="001752B7">
            <w:pPr>
              <w:spacing w:after="0" w:line="240" w:lineRule="auto"/>
              <w:jc w:val="right"/>
              <w:rPr>
                <w:rFonts w:ascii="Tahoma" w:eastAsia="Times New Roman" w:hAnsi="Tahoma" w:cs="Tahoma"/>
                <w:sz w:val="20"/>
                <w:szCs w:val="20"/>
                <w:lang w:eastAsia="hr-HR"/>
              </w:rPr>
            </w:pPr>
            <w:r w:rsidRPr="001752B7">
              <w:rPr>
                <w:rFonts w:ascii="Tahoma" w:eastAsia="Times New Roman" w:hAnsi="Tahoma" w:cs="Tahoma"/>
                <w:sz w:val="20"/>
                <w:szCs w:val="20"/>
                <w:lang w:eastAsia="hr-HR"/>
              </w:rPr>
              <w:t>2</w:t>
            </w:r>
          </w:p>
        </w:tc>
        <w:tc>
          <w:tcPr>
            <w:tcW w:w="698" w:type="dxa"/>
            <w:tcBorders>
              <w:top w:val="nil"/>
              <w:left w:val="nil"/>
              <w:bottom w:val="single" w:sz="4" w:space="0" w:color="auto"/>
              <w:right w:val="single" w:sz="4" w:space="0" w:color="auto"/>
            </w:tcBorders>
            <w:shd w:val="clear" w:color="000000" w:fill="FF9900"/>
            <w:vAlign w:val="center"/>
            <w:hideMark/>
          </w:tcPr>
          <w:p w14:paraId="5CDDC613" w14:textId="77777777" w:rsidR="001752B7" w:rsidRPr="001752B7" w:rsidRDefault="001752B7" w:rsidP="001752B7">
            <w:pPr>
              <w:spacing w:after="0" w:line="240" w:lineRule="auto"/>
              <w:jc w:val="right"/>
              <w:rPr>
                <w:rFonts w:ascii="Tahoma" w:eastAsia="Times New Roman" w:hAnsi="Tahoma" w:cs="Tahoma"/>
                <w:sz w:val="20"/>
                <w:szCs w:val="20"/>
                <w:lang w:eastAsia="hr-HR"/>
              </w:rPr>
            </w:pPr>
            <w:r w:rsidRPr="001752B7">
              <w:rPr>
                <w:rFonts w:ascii="Tahoma" w:eastAsia="Times New Roman" w:hAnsi="Tahoma" w:cs="Tahoma"/>
                <w:sz w:val="20"/>
                <w:szCs w:val="20"/>
                <w:lang w:eastAsia="hr-HR"/>
              </w:rPr>
              <w:t>1</w:t>
            </w:r>
          </w:p>
        </w:tc>
        <w:tc>
          <w:tcPr>
            <w:tcW w:w="643" w:type="dxa"/>
            <w:tcBorders>
              <w:top w:val="nil"/>
              <w:left w:val="nil"/>
              <w:bottom w:val="single" w:sz="4" w:space="0" w:color="auto"/>
              <w:right w:val="single" w:sz="4" w:space="0" w:color="auto"/>
            </w:tcBorders>
            <w:shd w:val="clear" w:color="000000" w:fill="FF9900"/>
            <w:noWrap/>
            <w:vAlign w:val="center"/>
            <w:hideMark/>
          </w:tcPr>
          <w:p w14:paraId="4304BFD6" w14:textId="77777777" w:rsidR="001752B7" w:rsidRPr="001752B7" w:rsidRDefault="001752B7" w:rsidP="001752B7">
            <w:pPr>
              <w:spacing w:after="0" w:line="240" w:lineRule="auto"/>
              <w:jc w:val="right"/>
              <w:rPr>
                <w:rFonts w:ascii="Tahoma" w:eastAsia="Times New Roman" w:hAnsi="Tahoma" w:cs="Tahoma"/>
                <w:sz w:val="20"/>
                <w:szCs w:val="20"/>
                <w:lang w:eastAsia="hr-HR"/>
              </w:rPr>
            </w:pPr>
            <w:r w:rsidRPr="001752B7">
              <w:rPr>
                <w:rFonts w:ascii="Tahoma" w:eastAsia="Times New Roman" w:hAnsi="Tahoma" w:cs="Tahoma"/>
                <w:sz w:val="20"/>
                <w:szCs w:val="20"/>
                <w:lang w:eastAsia="hr-HR"/>
              </w:rPr>
              <w:t>1</w:t>
            </w:r>
          </w:p>
        </w:tc>
        <w:tc>
          <w:tcPr>
            <w:tcW w:w="605" w:type="dxa"/>
            <w:tcBorders>
              <w:top w:val="nil"/>
              <w:left w:val="nil"/>
              <w:bottom w:val="single" w:sz="4" w:space="0" w:color="auto"/>
              <w:right w:val="single" w:sz="4" w:space="0" w:color="auto"/>
            </w:tcBorders>
            <w:shd w:val="clear" w:color="000000" w:fill="FF9900"/>
            <w:noWrap/>
            <w:vAlign w:val="center"/>
            <w:hideMark/>
          </w:tcPr>
          <w:p w14:paraId="28405507" w14:textId="77777777" w:rsidR="001752B7" w:rsidRPr="001752B7" w:rsidRDefault="001752B7" w:rsidP="001752B7">
            <w:pPr>
              <w:spacing w:after="0" w:line="240" w:lineRule="auto"/>
              <w:jc w:val="right"/>
              <w:rPr>
                <w:rFonts w:ascii="Tahoma" w:eastAsia="Times New Roman" w:hAnsi="Tahoma" w:cs="Tahoma"/>
                <w:sz w:val="20"/>
                <w:szCs w:val="20"/>
                <w:lang w:eastAsia="hr-HR"/>
              </w:rPr>
            </w:pPr>
            <w:r w:rsidRPr="001752B7">
              <w:rPr>
                <w:rFonts w:ascii="Tahoma" w:eastAsia="Times New Roman" w:hAnsi="Tahoma" w:cs="Tahoma"/>
                <w:sz w:val="20"/>
                <w:szCs w:val="20"/>
                <w:lang w:eastAsia="hr-HR"/>
              </w:rPr>
              <w:t> </w:t>
            </w:r>
          </w:p>
        </w:tc>
        <w:tc>
          <w:tcPr>
            <w:tcW w:w="698" w:type="dxa"/>
            <w:tcBorders>
              <w:top w:val="nil"/>
              <w:left w:val="nil"/>
              <w:bottom w:val="single" w:sz="4" w:space="0" w:color="auto"/>
              <w:right w:val="single" w:sz="4" w:space="0" w:color="auto"/>
            </w:tcBorders>
            <w:shd w:val="clear" w:color="000000" w:fill="FF9900"/>
            <w:noWrap/>
            <w:vAlign w:val="center"/>
            <w:hideMark/>
          </w:tcPr>
          <w:p w14:paraId="470AB0AE" w14:textId="77777777" w:rsidR="001752B7" w:rsidRPr="001752B7" w:rsidRDefault="001752B7" w:rsidP="001752B7">
            <w:pPr>
              <w:spacing w:after="0" w:line="240" w:lineRule="auto"/>
              <w:jc w:val="right"/>
              <w:rPr>
                <w:rFonts w:ascii="Tahoma" w:eastAsia="Times New Roman" w:hAnsi="Tahoma" w:cs="Tahoma"/>
                <w:sz w:val="20"/>
                <w:szCs w:val="20"/>
                <w:lang w:eastAsia="hr-HR"/>
              </w:rPr>
            </w:pPr>
            <w:r w:rsidRPr="001752B7">
              <w:rPr>
                <w:rFonts w:ascii="Tahoma" w:eastAsia="Times New Roman" w:hAnsi="Tahoma" w:cs="Tahoma"/>
                <w:sz w:val="20"/>
                <w:szCs w:val="20"/>
                <w:lang w:eastAsia="hr-HR"/>
              </w:rPr>
              <w:t> </w:t>
            </w:r>
          </w:p>
        </w:tc>
        <w:tc>
          <w:tcPr>
            <w:tcW w:w="464" w:type="dxa"/>
            <w:tcBorders>
              <w:top w:val="nil"/>
              <w:left w:val="nil"/>
              <w:bottom w:val="single" w:sz="4" w:space="0" w:color="auto"/>
              <w:right w:val="single" w:sz="4" w:space="0" w:color="auto"/>
            </w:tcBorders>
            <w:shd w:val="clear" w:color="000000" w:fill="CCFFFF"/>
            <w:noWrap/>
            <w:vAlign w:val="center"/>
            <w:hideMark/>
          </w:tcPr>
          <w:p w14:paraId="0028D377" w14:textId="77777777" w:rsidR="001752B7" w:rsidRPr="001752B7" w:rsidRDefault="001752B7" w:rsidP="001752B7">
            <w:pPr>
              <w:spacing w:after="0" w:line="240" w:lineRule="auto"/>
              <w:jc w:val="right"/>
              <w:rPr>
                <w:rFonts w:ascii="Tahoma" w:eastAsia="Times New Roman" w:hAnsi="Tahoma" w:cs="Tahoma"/>
                <w:sz w:val="20"/>
                <w:szCs w:val="20"/>
                <w:lang w:eastAsia="hr-HR"/>
              </w:rPr>
            </w:pPr>
            <w:r w:rsidRPr="001752B7">
              <w:rPr>
                <w:rFonts w:ascii="Tahoma" w:eastAsia="Times New Roman" w:hAnsi="Tahoma" w:cs="Tahoma"/>
                <w:sz w:val="20"/>
                <w:szCs w:val="20"/>
                <w:lang w:eastAsia="hr-HR"/>
              </w:rPr>
              <w:t> </w:t>
            </w:r>
          </w:p>
        </w:tc>
        <w:tc>
          <w:tcPr>
            <w:tcW w:w="425" w:type="dxa"/>
            <w:tcBorders>
              <w:top w:val="nil"/>
              <w:left w:val="nil"/>
              <w:bottom w:val="single" w:sz="4" w:space="0" w:color="auto"/>
              <w:right w:val="single" w:sz="4" w:space="0" w:color="auto"/>
            </w:tcBorders>
            <w:shd w:val="clear" w:color="000000" w:fill="CCFFFF"/>
            <w:noWrap/>
            <w:vAlign w:val="center"/>
            <w:hideMark/>
          </w:tcPr>
          <w:p w14:paraId="39451DF3" w14:textId="77777777" w:rsidR="001752B7" w:rsidRPr="001752B7" w:rsidRDefault="001752B7" w:rsidP="001752B7">
            <w:pPr>
              <w:spacing w:after="0" w:line="240" w:lineRule="auto"/>
              <w:jc w:val="right"/>
              <w:rPr>
                <w:rFonts w:ascii="Tahoma" w:eastAsia="Times New Roman" w:hAnsi="Tahoma" w:cs="Tahoma"/>
                <w:sz w:val="20"/>
                <w:szCs w:val="20"/>
                <w:lang w:eastAsia="hr-HR"/>
              </w:rPr>
            </w:pPr>
            <w:r w:rsidRPr="001752B7">
              <w:rPr>
                <w:rFonts w:ascii="Tahoma" w:eastAsia="Times New Roman" w:hAnsi="Tahoma" w:cs="Tahoma"/>
                <w:sz w:val="20"/>
                <w:szCs w:val="20"/>
                <w:lang w:eastAsia="hr-HR"/>
              </w:rPr>
              <w:t>2</w:t>
            </w:r>
          </w:p>
        </w:tc>
        <w:tc>
          <w:tcPr>
            <w:tcW w:w="426" w:type="dxa"/>
            <w:tcBorders>
              <w:top w:val="nil"/>
              <w:left w:val="nil"/>
              <w:bottom w:val="single" w:sz="4" w:space="0" w:color="auto"/>
              <w:right w:val="single" w:sz="4" w:space="0" w:color="auto"/>
            </w:tcBorders>
            <w:shd w:val="clear" w:color="000000" w:fill="CCFFFF"/>
            <w:noWrap/>
            <w:vAlign w:val="center"/>
            <w:hideMark/>
          </w:tcPr>
          <w:p w14:paraId="2B9AC314" w14:textId="77777777" w:rsidR="001752B7" w:rsidRPr="001752B7" w:rsidRDefault="001752B7" w:rsidP="001752B7">
            <w:pPr>
              <w:spacing w:after="0" w:line="240" w:lineRule="auto"/>
              <w:jc w:val="right"/>
              <w:rPr>
                <w:rFonts w:ascii="Tahoma" w:eastAsia="Times New Roman" w:hAnsi="Tahoma" w:cs="Tahoma"/>
                <w:sz w:val="20"/>
                <w:szCs w:val="20"/>
                <w:lang w:eastAsia="hr-HR"/>
              </w:rPr>
            </w:pPr>
            <w:r w:rsidRPr="001752B7">
              <w:rPr>
                <w:rFonts w:ascii="Tahoma" w:eastAsia="Times New Roman" w:hAnsi="Tahoma" w:cs="Tahoma"/>
                <w:sz w:val="20"/>
                <w:szCs w:val="20"/>
                <w:lang w:eastAsia="hr-HR"/>
              </w:rPr>
              <w:t> </w:t>
            </w:r>
          </w:p>
        </w:tc>
        <w:tc>
          <w:tcPr>
            <w:tcW w:w="487" w:type="dxa"/>
            <w:tcBorders>
              <w:top w:val="nil"/>
              <w:left w:val="nil"/>
              <w:bottom w:val="single" w:sz="4" w:space="0" w:color="auto"/>
              <w:right w:val="nil"/>
            </w:tcBorders>
            <w:shd w:val="clear" w:color="000000" w:fill="33CCCC"/>
            <w:noWrap/>
            <w:vAlign w:val="center"/>
            <w:hideMark/>
          </w:tcPr>
          <w:p w14:paraId="6B3AA949" w14:textId="77777777" w:rsidR="001752B7" w:rsidRPr="001752B7" w:rsidRDefault="001752B7" w:rsidP="001752B7">
            <w:pPr>
              <w:spacing w:after="0" w:line="240" w:lineRule="auto"/>
              <w:jc w:val="right"/>
              <w:rPr>
                <w:rFonts w:ascii="Tahoma" w:eastAsia="Times New Roman" w:hAnsi="Tahoma" w:cs="Tahoma"/>
                <w:sz w:val="20"/>
                <w:szCs w:val="20"/>
                <w:lang w:eastAsia="hr-HR"/>
              </w:rPr>
            </w:pPr>
            <w:r w:rsidRPr="001752B7">
              <w:rPr>
                <w:rFonts w:ascii="Tahoma" w:eastAsia="Times New Roman" w:hAnsi="Tahoma" w:cs="Tahoma"/>
                <w:sz w:val="20"/>
                <w:szCs w:val="20"/>
                <w:lang w:eastAsia="hr-HR"/>
              </w:rPr>
              <w:t>1</w:t>
            </w:r>
          </w:p>
        </w:tc>
        <w:tc>
          <w:tcPr>
            <w:tcW w:w="425" w:type="dxa"/>
            <w:tcBorders>
              <w:top w:val="nil"/>
              <w:left w:val="single" w:sz="4" w:space="0" w:color="auto"/>
              <w:bottom w:val="single" w:sz="4" w:space="0" w:color="auto"/>
              <w:right w:val="single" w:sz="8" w:space="0" w:color="auto"/>
            </w:tcBorders>
            <w:shd w:val="clear" w:color="000000" w:fill="33CCCC"/>
            <w:noWrap/>
            <w:vAlign w:val="center"/>
            <w:hideMark/>
          </w:tcPr>
          <w:p w14:paraId="447D3940" w14:textId="77777777" w:rsidR="001752B7" w:rsidRPr="001752B7" w:rsidRDefault="001752B7" w:rsidP="001752B7">
            <w:pPr>
              <w:spacing w:after="0" w:line="240" w:lineRule="auto"/>
              <w:jc w:val="right"/>
              <w:rPr>
                <w:rFonts w:ascii="Tahoma" w:eastAsia="Times New Roman" w:hAnsi="Tahoma" w:cs="Tahoma"/>
                <w:sz w:val="20"/>
                <w:szCs w:val="20"/>
                <w:lang w:eastAsia="hr-HR"/>
              </w:rPr>
            </w:pPr>
            <w:r w:rsidRPr="001752B7">
              <w:rPr>
                <w:rFonts w:ascii="Tahoma" w:eastAsia="Times New Roman" w:hAnsi="Tahoma" w:cs="Tahoma"/>
                <w:sz w:val="20"/>
                <w:szCs w:val="20"/>
                <w:lang w:eastAsia="hr-HR"/>
              </w:rPr>
              <w:t>1</w:t>
            </w:r>
          </w:p>
        </w:tc>
        <w:tc>
          <w:tcPr>
            <w:tcW w:w="236" w:type="dxa"/>
            <w:vAlign w:val="center"/>
            <w:hideMark/>
          </w:tcPr>
          <w:p w14:paraId="130A1D1A" w14:textId="77777777" w:rsidR="001752B7" w:rsidRPr="001752B7" w:rsidRDefault="001752B7" w:rsidP="001752B7">
            <w:pPr>
              <w:spacing w:after="0" w:line="240" w:lineRule="auto"/>
              <w:rPr>
                <w:rFonts w:ascii="Times New Roman" w:eastAsia="Times New Roman" w:hAnsi="Times New Roman" w:cs="Times New Roman"/>
                <w:sz w:val="20"/>
                <w:szCs w:val="20"/>
                <w:lang w:eastAsia="hr-HR"/>
              </w:rPr>
            </w:pPr>
          </w:p>
        </w:tc>
      </w:tr>
      <w:tr w:rsidR="001752B7" w:rsidRPr="001752B7" w14:paraId="3A7BD809" w14:textId="77777777" w:rsidTr="000271A1">
        <w:trPr>
          <w:gridAfter w:val="1"/>
          <w:wAfter w:w="31" w:type="dxa"/>
          <w:trHeight w:val="300"/>
        </w:trPr>
        <w:tc>
          <w:tcPr>
            <w:tcW w:w="1408" w:type="dxa"/>
            <w:tcBorders>
              <w:top w:val="single" w:sz="4" w:space="0" w:color="auto"/>
              <w:left w:val="single" w:sz="8" w:space="0" w:color="auto"/>
              <w:bottom w:val="single" w:sz="4" w:space="0" w:color="auto"/>
              <w:right w:val="single" w:sz="4" w:space="0" w:color="auto"/>
            </w:tcBorders>
            <w:shd w:val="clear" w:color="000000" w:fill="CCFFCC"/>
            <w:vAlign w:val="center"/>
            <w:hideMark/>
          </w:tcPr>
          <w:p w14:paraId="7412CD0D" w14:textId="77777777" w:rsidR="001752B7" w:rsidRPr="001752B7" w:rsidRDefault="001752B7" w:rsidP="001752B7">
            <w:pPr>
              <w:spacing w:after="0" w:line="240" w:lineRule="auto"/>
              <w:rPr>
                <w:rFonts w:ascii="Tahoma" w:eastAsia="Times New Roman" w:hAnsi="Tahoma" w:cs="Tahoma"/>
                <w:sz w:val="20"/>
                <w:szCs w:val="20"/>
                <w:lang w:eastAsia="hr-HR"/>
              </w:rPr>
            </w:pPr>
            <w:r w:rsidRPr="001752B7">
              <w:rPr>
                <w:rFonts w:ascii="Tahoma" w:eastAsia="Times New Roman" w:hAnsi="Tahoma" w:cs="Tahoma"/>
                <w:sz w:val="20"/>
                <w:szCs w:val="20"/>
                <w:lang w:eastAsia="hr-HR"/>
              </w:rPr>
              <w:t>Jezik</w:t>
            </w:r>
          </w:p>
        </w:tc>
        <w:tc>
          <w:tcPr>
            <w:tcW w:w="673" w:type="dxa"/>
            <w:tcBorders>
              <w:top w:val="nil"/>
              <w:left w:val="nil"/>
              <w:bottom w:val="single" w:sz="4" w:space="0" w:color="auto"/>
              <w:right w:val="single" w:sz="4" w:space="0" w:color="auto"/>
            </w:tcBorders>
            <w:shd w:val="clear" w:color="000000" w:fill="FFCC99"/>
            <w:noWrap/>
            <w:vAlign w:val="center"/>
            <w:hideMark/>
          </w:tcPr>
          <w:p w14:paraId="105159B8" w14:textId="77777777" w:rsidR="001752B7" w:rsidRPr="001752B7" w:rsidRDefault="001752B7" w:rsidP="001752B7">
            <w:pPr>
              <w:spacing w:after="0" w:line="240" w:lineRule="auto"/>
              <w:jc w:val="right"/>
              <w:rPr>
                <w:rFonts w:ascii="Tahoma" w:eastAsia="Times New Roman" w:hAnsi="Tahoma" w:cs="Tahoma"/>
                <w:sz w:val="20"/>
                <w:szCs w:val="20"/>
                <w:lang w:eastAsia="hr-HR"/>
              </w:rPr>
            </w:pPr>
            <w:r w:rsidRPr="001752B7">
              <w:rPr>
                <w:rFonts w:ascii="Tahoma" w:eastAsia="Times New Roman" w:hAnsi="Tahoma" w:cs="Tahoma"/>
                <w:sz w:val="20"/>
                <w:szCs w:val="20"/>
                <w:lang w:eastAsia="hr-HR"/>
              </w:rPr>
              <w:t> </w:t>
            </w:r>
          </w:p>
        </w:tc>
        <w:tc>
          <w:tcPr>
            <w:tcW w:w="521" w:type="dxa"/>
            <w:tcBorders>
              <w:top w:val="nil"/>
              <w:left w:val="nil"/>
              <w:bottom w:val="single" w:sz="4" w:space="0" w:color="auto"/>
              <w:right w:val="single" w:sz="4" w:space="0" w:color="auto"/>
            </w:tcBorders>
            <w:shd w:val="clear" w:color="000000" w:fill="FFFF00"/>
            <w:noWrap/>
            <w:vAlign w:val="center"/>
            <w:hideMark/>
          </w:tcPr>
          <w:p w14:paraId="1BEBB433" w14:textId="77777777" w:rsidR="001752B7" w:rsidRPr="001752B7" w:rsidRDefault="001752B7" w:rsidP="001752B7">
            <w:pPr>
              <w:spacing w:after="0" w:line="240" w:lineRule="auto"/>
              <w:jc w:val="right"/>
              <w:rPr>
                <w:rFonts w:ascii="Tahoma" w:eastAsia="Times New Roman" w:hAnsi="Tahoma" w:cs="Tahoma"/>
                <w:sz w:val="20"/>
                <w:szCs w:val="20"/>
                <w:lang w:eastAsia="hr-HR"/>
              </w:rPr>
            </w:pPr>
            <w:r w:rsidRPr="001752B7">
              <w:rPr>
                <w:rFonts w:ascii="Tahoma" w:eastAsia="Times New Roman" w:hAnsi="Tahoma" w:cs="Tahoma"/>
                <w:sz w:val="20"/>
                <w:szCs w:val="20"/>
                <w:lang w:eastAsia="hr-HR"/>
              </w:rPr>
              <w:t> </w:t>
            </w:r>
          </w:p>
        </w:tc>
        <w:tc>
          <w:tcPr>
            <w:tcW w:w="477" w:type="dxa"/>
            <w:tcBorders>
              <w:top w:val="nil"/>
              <w:left w:val="nil"/>
              <w:bottom w:val="single" w:sz="4" w:space="0" w:color="auto"/>
              <w:right w:val="single" w:sz="4" w:space="0" w:color="auto"/>
            </w:tcBorders>
            <w:shd w:val="clear" w:color="000000" w:fill="CCFFFF"/>
            <w:noWrap/>
            <w:vAlign w:val="center"/>
            <w:hideMark/>
          </w:tcPr>
          <w:p w14:paraId="3C6CBF86" w14:textId="77777777" w:rsidR="001752B7" w:rsidRPr="001752B7" w:rsidRDefault="001752B7" w:rsidP="001752B7">
            <w:pPr>
              <w:spacing w:after="0" w:line="240" w:lineRule="auto"/>
              <w:jc w:val="right"/>
              <w:rPr>
                <w:rFonts w:ascii="Tahoma" w:eastAsia="Times New Roman" w:hAnsi="Tahoma" w:cs="Tahoma"/>
                <w:sz w:val="20"/>
                <w:szCs w:val="20"/>
                <w:lang w:eastAsia="hr-HR"/>
              </w:rPr>
            </w:pPr>
            <w:r w:rsidRPr="001752B7">
              <w:rPr>
                <w:rFonts w:ascii="Tahoma" w:eastAsia="Times New Roman" w:hAnsi="Tahoma" w:cs="Tahoma"/>
                <w:sz w:val="20"/>
                <w:szCs w:val="20"/>
                <w:lang w:eastAsia="hr-HR"/>
              </w:rPr>
              <w:t> </w:t>
            </w:r>
          </w:p>
        </w:tc>
        <w:tc>
          <w:tcPr>
            <w:tcW w:w="426" w:type="dxa"/>
            <w:tcBorders>
              <w:top w:val="nil"/>
              <w:left w:val="nil"/>
              <w:bottom w:val="single" w:sz="4" w:space="0" w:color="auto"/>
              <w:right w:val="single" w:sz="4" w:space="0" w:color="auto"/>
            </w:tcBorders>
            <w:shd w:val="clear" w:color="000000" w:fill="CCFFFF"/>
            <w:noWrap/>
            <w:vAlign w:val="center"/>
            <w:hideMark/>
          </w:tcPr>
          <w:p w14:paraId="32FC5DF5" w14:textId="77777777" w:rsidR="001752B7" w:rsidRPr="001752B7" w:rsidRDefault="001752B7" w:rsidP="001752B7">
            <w:pPr>
              <w:spacing w:after="0" w:line="240" w:lineRule="auto"/>
              <w:jc w:val="right"/>
              <w:rPr>
                <w:rFonts w:ascii="Tahoma" w:eastAsia="Times New Roman" w:hAnsi="Tahoma" w:cs="Tahoma"/>
                <w:sz w:val="20"/>
                <w:szCs w:val="20"/>
                <w:lang w:eastAsia="hr-HR"/>
              </w:rPr>
            </w:pPr>
            <w:r w:rsidRPr="001752B7">
              <w:rPr>
                <w:rFonts w:ascii="Tahoma" w:eastAsia="Times New Roman" w:hAnsi="Tahoma" w:cs="Tahoma"/>
                <w:sz w:val="20"/>
                <w:szCs w:val="20"/>
                <w:lang w:eastAsia="hr-HR"/>
              </w:rPr>
              <w:t> </w:t>
            </w:r>
          </w:p>
        </w:tc>
        <w:tc>
          <w:tcPr>
            <w:tcW w:w="698" w:type="dxa"/>
            <w:tcBorders>
              <w:top w:val="nil"/>
              <w:left w:val="nil"/>
              <w:bottom w:val="single" w:sz="4" w:space="0" w:color="auto"/>
              <w:right w:val="single" w:sz="4" w:space="0" w:color="auto"/>
            </w:tcBorders>
            <w:shd w:val="clear" w:color="000000" w:fill="FFFF99"/>
            <w:noWrap/>
            <w:vAlign w:val="center"/>
            <w:hideMark/>
          </w:tcPr>
          <w:p w14:paraId="16AD5786" w14:textId="77777777" w:rsidR="001752B7" w:rsidRPr="001752B7" w:rsidRDefault="001752B7" w:rsidP="001752B7">
            <w:pPr>
              <w:spacing w:after="0" w:line="240" w:lineRule="auto"/>
              <w:jc w:val="right"/>
              <w:rPr>
                <w:rFonts w:ascii="Tahoma" w:eastAsia="Times New Roman" w:hAnsi="Tahoma" w:cs="Tahoma"/>
                <w:sz w:val="20"/>
                <w:szCs w:val="20"/>
                <w:lang w:eastAsia="hr-HR"/>
              </w:rPr>
            </w:pPr>
            <w:r w:rsidRPr="001752B7">
              <w:rPr>
                <w:rFonts w:ascii="Tahoma" w:eastAsia="Times New Roman" w:hAnsi="Tahoma" w:cs="Tahoma"/>
                <w:sz w:val="20"/>
                <w:szCs w:val="20"/>
                <w:lang w:eastAsia="hr-HR"/>
              </w:rPr>
              <w:t> </w:t>
            </w:r>
          </w:p>
        </w:tc>
        <w:tc>
          <w:tcPr>
            <w:tcW w:w="698" w:type="dxa"/>
            <w:tcBorders>
              <w:top w:val="nil"/>
              <w:left w:val="nil"/>
              <w:bottom w:val="single" w:sz="4" w:space="0" w:color="auto"/>
              <w:right w:val="single" w:sz="4" w:space="0" w:color="auto"/>
            </w:tcBorders>
            <w:shd w:val="clear" w:color="000000" w:fill="FFFF99"/>
            <w:noWrap/>
            <w:vAlign w:val="center"/>
            <w:hideMark/>
          </w:tcPr>
          <w:p w14:paraId="13036927" w14:textId="77777777" w:rsidR="001752B7" w:rsidRPr="001752B7" w:rsidRDefault="001752B7" w:rsidP="001752B7">
            <w:pPr>
              <w:spacing w:after="0" w:line="240" w:lineRule="auto"/>
              <w:jc w:val="right"/>
              <w:rPr>
                <w:rFonts w:ascii="Tahoma" w:eastAsia="Times New Roman" w:hAnsi="Tahoma" w:cs="Tahoma"/>
                <w:sz w:val="20"/>
                <w:szCs w:val="20"/>
                <w:lang w:eastAsia="hr-HR"/>
              </w:rPr>
            </w:pPr>
            <w:r w:rsidRPr="001752B7">
              <w:rPr>
                <w:rFonts w:ascii="Tahoma" w:eastAsia="Times New Roman" w:hAnsi="Tahoma" w:cs="Tahoma"/>
                <w:sz w:val="20"/>
                <w:szCs w:val="20"/>
                <w:lang w:eastAsia="hr-HR"/>
              </w:rPr>
              <w:t> </w:t>
            </w:r>
          </w:p>
        </w:tc>
        <w:tc>
          <w:tcPr>
            <w:tcW w:w="698" w:type="dxa"/>
            <w:tcBorders>
              <w:top w:val="nil"/>
              <w:left w:val="nil"/>
              <w:bottom w:val="single" w:sz="4" w:space="0" w:color="auto"/>
              <w:right w:val="single" w:sz="4" w:space="0" w:color="auto"/>
            </w:tcBorders>
            <w:shd w:val="clear" w:color="000000" w:fill="FFFF99"/>
            <w:noWrap/>
            <w:vAlign w:val="center"/>
            <w:hideMark/>
          </w:tcPr>
          <w:p w14:paraId="04E5BCDC" w14:textId="77777777" w:rsidR="001752B7" w:rsidRPr="001752B7" w:rsidRDefault="001752B7" w:rsidP="001752B7">
            <w:pPr>
              <w:spacing w:after="0" w:line="240" w:lineRule="auto"/>
              <w:jc w:val="right"/>
              <w:rPr>
                <w:rFonts w:ascii="Tahoma" w:eastAsia="Times New Roman" w:hAnsi="Tahoma" w:cs="Tahoma"/>
                <w:sz w:val="20"/>
                <w:szCs w:val="20"/>
                <w:lang w:eastAsia="hr-HR"/>
              </w:rPr>
            </w:pPr>
            <w:r w:rsidRPr="001752B7">
              <w:rPr>
                <w:rFonts w:ascii="Tahoma" w:eastAsia="Times New Roman" w:hAnsi="Tahoma" w:cs="Tahoma"/>
                <w:sz w:val="20"/>
                <w:szCs w:val="20"/>
                <w:lang w:eastAsia="hr-HR"/>
              </w:rPr>
              <w:t> </w:t>
            </w:r>
          </w:p>
        </w:tc>
        <w:tc>
          <w:tcPr>
            <w:tcW w:w="698" w:type="dxa"/>
            <w:tcBorders>
              <w:top w:val="nil"/>
              <w:left w:val="nil"/>
              <w:bottom w:val="single" w:sz="4" w:space="0" w:color="auto"/>
              <w:right w:val="single" w:sz="4" w:space="0" w:color="auto"/>
            </w:tcBorders>
            <w:shd w:val="clear" w:color="000000" w:fill="FFFF99"/>
            <w:noWrap/>
            <w:vAlign w:val="center"/>
            <w:hideMark/>
          </w:tcPr>
          <w:p w14:paraId="7C8B0688" w14:textId="77777777" w:rsidR="001752B7" w:rsidRPr="001752B7" w:rsidRDefault="001752B7" w:rsidP="001752B7">
            <w:pPr>
              <w:spacing w:after="0" w:line="240" w:lineRule="auto"/>
              <w:jc w:val="right"/>
              <w:rPr>
                <w:rFonts w:ascii="Tahoma" w:eastAsia="Times New Roman" w:hAnsi="Tahoma" w:cs="Tahoma"/>
                <w:sz w:val="20"/>
                <w:szCs w:val="20"/>
                <w:lang w:eastAsia="hr-HR"/>
              </w:rPr>
            </w:pPr>
            <w:r w:rsidRPr="001752B7">
              <w:rPr>
                <w:rFonts w:ascii="Tahoma" w:eastAsia="Times New Roman" w:hAnsi="Tahoma" w:cs="Tahoma"/>
                <w:sz w:val="20"/>
                <w:szCs w:val="20"/>
                <w:lang w:eastAsia="hr-HR"/>
              </w:rPr>
              <w:t> </w:t>
            </w:r>
          </w:p>
        </w:tc>
        <w:tc>
          <w:tcPr>
            <w:tcW w:w="698" w:type="dxa"/>
            <w:tcBorders>
              <w:top w:val="nil"/>
              <w:left w:val="nil"/>
              <w:bottom w:val="single" w:sz="4" w:space="0" w:color="auto"/>
              <w:right w:val="single" w:sz="4" w:space="0" w:color="auto"/>
            </w:tcBorders>
            <w:shd w:val="clear" w:color="000000" w:fill="FFFF99"/>
            <w:noWrap/>
            <w:vAlign w:val="center"/>
            <w:hideMark/>
          </w:tcPr>
          <w:p w14:paraId="7C867B99" w14:textId="77777777" w:rsidR="001752B7" w:rsidRPr="001752B7" w:rsidRDefault="001752B7" w:rsidP="001752B7">
            <w:pPr>
              <w:spacing w:after="0" w:line="240" w:lineRule="auto"/>
              <w:jc w:val="right"/>
              <w:rPr>
                <w:rFonts w:ascii="Tahoma" w:eastAsia="Times New Roman" w:hAnsi="Tahoma" w:cs="Tahoma"/>
                <w:sz w:val="20"/>
                <w:szCs w:val="20"/>
                <w:lang w:eastAsia="hr-HR"/>
              </w:rPr>
            </w:pPr>
            <w:r w:rsidRPr="001752B7">
              <w:rPr>
                <w:rFonts w:ascii="Tahoma" w:eastAsia="Times New Roman" w:hAnsi="Tahoma" w:cs="Tahoma"/>
                <w:sz w:val="20"/>
                <w:szCs w:val="20"/>
                <w:lang w:eastAsia="hr-HR"/>
              </w:rPr>
              <w:t> </w:t>
            </w:r>
          </w:p>
        </w:tc>
        <w:tc>
          <w:tcPr>
            <w:tcW w:w="698" w:type="dxa"/>
            <w:tcBorders>
              <w:top w:val="nil"/>
              <w:left w:val="nil"/>
              <w:bottom w:val="single" w:sz="4" w:space="0" w:color="auto"/>
              <w:right w:val="single" w:sz="4" w:space="0" w:color="auto"/>
            </w:tcBorders>
            <w:shd w:val="clear" w:color="000000" w:fill="FFFF99"/>
            <w:noWrap/>
            <w:vAlign w:val="center"/>
            <w:hideMark/>
          </w:tcPr>
          <w:p w14:paraId="4E40A7E0" w14:textId="77777777" w:rsidR="001752B7" w:rsidRPr="001752B7" w:rsidRDefault="001752B7" w:rsidP="001752B7">
            <w:pPr>
              <w:spacing w:after="0" w:line="240" w:lineRule="auto"/>
              <w:jc w:val="right"/>
              <w:rPr>
                <w:rFonts w:ascii="Tahoma" w:eastAsia="Times New Roman" w:hAnsi="Tahoma" w:cs="Tahoma"/>
                <w:sz w:val="20"/>
                <w:szCs w:val="20"/>
                <w:lang w:eastAsia="hr-HR"/>
              </w:rPr>
            </w:pPr>
            <w:r w:rsidRPr="001752B7">
              <w:rPr>
                <w:rFonts w:ascii="Tahoma" w:eastAsia="Times New Roman" w:hAnsi="Tahoma" w:cs="Tahoma"/>
                <w:sz w:val="20"/>
                <w:szCs w:val="20"/>
                <w:lang w:eastAsia="hr-HR"/>
              </w:rPr>
              <w:t> </w:t>
            </w:r>
          </w:p>
        </w:tc>
        <w:tc>
          <w:tcPr>
            <w:tcW w:w="469" w:type="dxa"/>
            <w:tcBorders>
              <w:top w:val="nil"/>
              <w:left w:val="nil"/>
              <w:bottom w:val="single" w:sz="4" w:space="0" w:color="auto"/>
              <w:right w:val="single" w:sz="4" w:space="0" w:color="auto"/>
            </w:tcBorders>
            <w:shd w:val="clear" w:color="000000" w:fill="FF9900"/>
            <w:noWrap/>
            <w:vAlign w:val="center"/>
            <w:hideMark/>
          </w:tcPr>
          <w:p w14:paraId="217509A1" w14:textId="77777777" w:rsidR="001752B7" w:rsidRPr="001752B7" w:rsidRDefault="001752B7" w:rsidP="001752B7">
            <w:pPr>
              <w:spacing w:after="0" w:line="240" w:lineRule="auto"/>
              <w:jc w:val="right"/>
              <w:rPr>
                <w:rFonts w:ascii="Tahoma" w:eastAsia="Times New Roman" w:hAnsi="Tahoma" w:cs="Tahoma"/>
                <w:sz w:val="20"/>
                <w:szCs w:val="20"/>
                <w:lang w:eastAsia="hr-HR"/>
              </w:rPr>
            </w:pPr>
            <w:r w:rsidRPr="001752B7">
              <w:rPr>
                <w:rFonts w:ascii="Tahoma" w:eastAsia="Times New Roman" w:hAnsi="Tahoma" w:cs="Tahoma"/>
                <w:sz w:val="20"/>
                <w:szCs w:val="20"/>
                <w:lang w:eastAsia="hr-HR"/>
              </w:rPr>
              <w:t> </w:t>
            </w:r>
          </w:p>
        </w:tc>
        <w:tc>
          <w:tcPr>
            <w:tcW w:w="419" w:type="dxa"/>
            <w:tcBorders>
              <w:top w:val="nil"/>
              <w:left w:val="nil"/>
              <w:bottom w:val="single" w:sz="4" w:space="0" w:color="auto"/>
              <w:right w:val="single" w:sz="4" w:space="0" w:color="auto"/>
            </w:tcBorders>
            <w:shd w:val="clear" w:color="000000" w:fill="FF9900"/>
            <w:noWrap/>
            <w:vAlign w:val="center"/>
            <w:hideMark/>
          </w:tcPr>
          <w:p w14:paraId="21FF2362" w14:textId="77777777" w:rsidR="001752B7" w:rsidRPr="001752B7" w:rsidRDefault="001752B7" w:rsidP="001752B7">
            <w:pPr>
              <w:spacing w:after="0" w:line="240" w:lineRule="auto"/>
              <w:jc w:val="right"/>
              <w:rPr>
                <w:rFonts w:ascii="Tahoma" w:eastAsia="Times New Roman" w:hAnsi="Tahoma" w:cs="Tahoma"/>
                <w:sz w:val="20"/>
                <w:szCs w:val="20"/>
                <w:lang w:eastAsia="hr-HR"/>
              </w:rPr>
            </w:pPr>
            <w:r w:rsidRPr="001752B7">
              <w:rPr>
                <w:rFonts w:ascii="Tahoma" w:eastAsia="Times New Roman" w:hAnsi="Tahoma" w:cs="Tahoma"/>
                <w:sz w:val="20"/>
                <w:szCs w:val="20"/>
                <w:lang w:eastAsia="hr-HR"/>
              </w:rPr>
              <w:t> </w:t>
            </w:r>
          </w:p>
        </w:tc>
        <w:tc>
          <w:tcPr>
            <w:tcW w:w="521" w:type="dxa"/>
            <w:tcBorders>
              <w:top w:val="nil"/>
              <w:left w:val="nil"/>
              <w:bottom w:val="single" w:sz="4" w:space="0" w:color="auto"/>
              <w:right w:val="single" w:sz="4" w:space="0" w:color="auto"/>
            </w:tcBorders>
            <w:shd w:val="clear" w:color="000000" w:fill="FF9900"/>
            <w:noWrap/>
            <w:vAlign w:val="center"/>
            <w:hideMark/>
          </w:tcPr>
          <w:p w14:paraId="53FD1B6D" w14:textId="77777777" w:rsidR="001752B7" w:rsidRPr="001752B7" w:rsidRDefault="001752B7" w:rsidP="001752B7">
            <w:pPr>
              <w:spacing w:after="0" w:line="240" w:lineRule="auto"/>
              <w:jc w:val="right"/>
              <w:rPr>
                <w:rFonts w:ascii="Tahoma" w:eastAsia="Times New Roman" w:hAnsi="Tahoma" w:cs="Tahoma"/>
                <w:sz w:val="20"/>
                <w:szCs w:val="20"/>
                <w:lang w:eastAsia="hr-HR"/>
              </w:rPr>
            </w:pPr>
            <w:r w:rsidRPr="001752B7">
              <w:rPr>
                <w:rFonts w:ascii="Tahoma" w:eastAsia="Times New Roman" w:hAnsi="Tahoma" w:cs="Tahoma"/>
                <w:sz w:val="20"/>
                <w:szCs w:val="20"/>
                <w:lang w:eastAsia="hr-HR"/>
              </w:rPr>
              <w:t> </w:t>
            </w:r>
          </w:p>
        </w:tc>
        <w:tc>
          <w:tcPr>
            <w:tcW w:w="476" w:type="dxa"/>
            <w:tcBorders>
              <w:top w:val="nil"/>
              <w:left w:val="nil"/>
              <w:bottom w:val="single" w:sz="4" w:space="0" w:color="auto"/>
              <w:right w:val="single" w:sz="4" w:space="0" w:color="auto"/>
            </w:tcBorders>
            <w:shd w:val="clear" w:color="000000" w:fill="FFFF00"/>
            <w:vAlign w:val="center"/>
            <w:hideMark/>
          </w:tcPr>
          <w:p w14:paraId="3012009C" w14:textId="77777777" w:rsidR="001752B7" w:rsidRPr="001752B7" w:rsidRDefault="001752B7" w:rsidP="001752B7">
            <w:pPr>
              <w:spacing w:after="0" w:line="240" w:lineRule="auto"/>
              <w:jc w:val="right"/>
              <w:rPr>
                <w:rFonts w:ascii="Tahoma" w:eastAsia="Times New Roman" w:hAnsi="Tahoma" w:cs="Tahoma"/>
                <w:sz w:val="20"/>
                <w:szCs w:val="20"/>
                <w:lang w:eastAsia="hr-HR"/>
              </w:rPr>
            </w:pPr>
            <w:r w:rsidRPr="001752B7">
              <w:rPr>
                <w:rFonts w:ascii="Tahoma" w:eastAsia="Times New Roman" w:hAnsi="Tahoma" w:cs="Tahoma"/>
                <w:sz w:val="20"/>
                <w:szCs w:val="20"/>
                <w:lang w:eastAsia="hr-HR"/>
              </w:rPr>
              <w:t> </w:t>
            </w:r>
          </w:p>
        </w:tc>
        <w:tc>
          <w:tcPr>
            <w:tcW w:w="698" w:type="dxa"/>
            <w:tcBorders>
              <w:top w:val="nil"/>
              <w:left w:val="nil"/>
              <w:bottom w:val="single" w:sz="4" w:space="0" w:color="auto"/>
              <w:right w:val="single" w:sz="4" w:space="0" w:color="auto"/>
            </w:tcBorders>
            <w:shd w:val="clear" w:color="000000" w:fill="FF9900"/>
            <w:vAlign w:val="center"/>
            <w:hideMark/>
          </w:tcPr>
          <w:p w14:paraId="3DAE3C9C" w14:textId="77777777" w:rsidR="001752B7" w:rsidRPr="001752B7" w:rsidRDefault="001752B7" w:rsidP="001752B7">
            <w:pPr>
              <w:spacing w:after="0" w:line="240" w:lineRule="auto"/>
              <w:jc w:val="right"/>
              <w:rPr>
                <w:rFonts w:ascii="Tahoma" w:eastAsia="Times New Roman" w:hAnsi="Tahoma" w:cs="Tahoma"/>
                <w:sz w:val="20"/>
                <w:szCs w:val="20"/>
                <w:lang w:eastAsia="hr-HR"/>
              </w:rPr>
            </w:pPr>
            <w:r w:rsidRPr="001752B7">
              <w:rPr>
                <w:rFonts w:ascii="Tahoma" w:eastAsia="Times New Roman" w:hAnsi="Tahoma" w:cs="Tahoma"/>
                <w:sz w:val="20"/>
                <w:szCs w:val="20"/>
                <w:lang w:eastAsia="hr-HR"/>
              </w:rPr>
              <w:t> </w:t>
            </w:r>
          </w:p>
        </w:tc>
        <w:tc>
          <w:tcPr>
            <w:tcW w:w="643" w:type="dxa"/>
            <w:tcBorders>
              <w:top w:val="nil"/>
              <w:left w:val="nil"/>
              <w:bottom w:val="single" w:sz="4" w:space="0" w:color="auto"/>
              <w:right w:val="single" w:sz="4" w:space="0" w:color="auto"/>
            </w:tcBorders>
            <w:shd w:val="clear" w:color="000000" w:fill="FF9900"/>
            <w:vAlign w:val="center"/>
            <w:hideMark/>
          </w:tcPr>
          <w:p w14:paraId="605801A4" w14:textId="77777777" w:rsidR="001752B7" w:rsidRPr="001752B7" w:rsidRDefault="001752B7" w:rsidP="001752B7">
            <w:pPr>
              <w:spacing w:after="0" w:line="240" w:lineRule="auto"/>
              <w:jc w:val="right"/>
              <w:rPr>
                <w:rFonts w:ascii="Tahoma" w:eastAsia="Times New Roman" w:hAnsi="Tahoma" w:cs="Tahoma"/>
                <w:sz w:val="20"/>
                <w:szCs w:val="20"/>
                <w:lang w:eastAsia="hr-HR"/>
              </w:rPr>
            </w:pPr>
            <w:r w:rsidRPr="001752B7">
              <w:rPr>
                <w:rFonts w:ascii="Tahoma" w:eastAsia="Times New Roman" w:hAnsi="Tahoma" w:cs="Tahoma"/>
                <w:sz w:val="20"/>
                <w:szCs w:val="20"/>
                <w:lang w:eastAsia="hr-HR"/>
              </w:rPr>
              <w:t> </w:t>
            </w:r>
          </w:p>
        </w:tc>
        <w:tc>
          <w:tcPr>
            <w:tcW w:w="605" w:type="dxa"/>
            <w:tcBorders>
              <w:top w:val="nil"/>
              <w:left w:val="nil"/>
              <w:bottom w:val="single" w:sz="4" w:space="0" w:color="auto"/>
              <w:right w:val="single" w:sz="4" w:space="0" w:color="auto"/>
            </w:tcBorders>
            <w:shd w:val="clear" w:color="000000" w:fill="FF9900"/>
            <w:vAlign w:val="center"/>
            <w:hideMark/>
          </w:tcPr>
          <w:p w14:paraId="2B43C9AB" w14:textId="77777777" w:rsidR="001752B7" w:rsidRPr="001752B7" w:rsidRDefault="001752B7" w:rsidP="001752B7">
            <w:pPr>
              <w:spacing w:after="0" w:line="240" w:lineRule="auto"/>
              <w:jc w:val="right"/>
              <w:rPr>
                <w:rFonts w:ascii="Tahoma" w:eastAsia="Times New Roman" w:hAnsi="Tahoma" w:cs="Tahoma"/>
                <w:sz w:val="20"/>
                <w:szCs w:val="20"/>
                <w:lang w:eastAsia="hr-HR"/>
              </w:rPr>
            </w:pPr>
            <w:r w:rsidRPr="001752B7">
              <w:rPr>
                <w:rFonts w:ascii="Tahoma" w:eastAsia="Times New Roman" w:hAnsi="Tahoma" w:cs="Tahoma"/>
                <w:sz w:val="20"/>
                <w:szCs w:val="20"/>
                <w:lang w:eastAsia="hr-HR"/>
              </w:rPr>
              <w:t> </w:t>
            </w:r>
          </w:p>
        </w:tc>
        <w:tc>
          <w:tcPr>
            <w:tcW w:w="698" w:type="dxa"/>
            <w:tcBorders>
              <w:top w:val="nil"/>
              <w:left w:val="nil"/>
              <w:bottom w:val="single" w:sz="4" w:space="0" w:color="auto"/>
              <w:right w:val="single" w:sz="4" w:space="0" w:color="auto"/>
            </w:tcBorders>
            <w:shd w:val="clear" w:color="000000" w:fill="FF9900"/>
            <w:vAlign w:val="center"/>
            <w:hideMark/>
          </w:tcPr>
          <w:p w14:paraId="629C7DD6" w14:textId="77777777" w:rsidR="001752B7" w:rsidRPr="001752B7" w:rsidRDefault="001752B7" w:rsidP="001752B7">
            <w:pPr>
              <w:spacing w:after="0" w:line="240" w:lineRule="auto"/>
              <w:jc w:val="right"/>
              <w:rPr>
                <w:rFonts w:ascii="Tahoma" w:eastAsia="Times New Roman" w:hAnsi="Tahoma" w:cs="Tahoma"/>
                <w:sz w:val="20"/>
                <w:szCs w:val="20"/>
                <w:lang w:eastAsia="hr-HR"/>
              </w:rPr>
            </w:pPr>
            <w:r w:rsidRPr="001752B7">
              <w:rPr>
                <w:rFonts w:ascii="Tahoma" w:eastAsia="Times New Roman" w:hAnsi="Tahoma" w:cs="Tahoma"/>
                <w:sz w:val="20"/>
                <w:szCs w:val="20"/>
                <w:lang w:eastAsia="hr-HR"/>
              </w:rPr>
              <w:t> </w:t>
            </w:r>
          </w:p>
        </w:tc>
        <w:tc>
          <w:tcPr>
            <w:tcW w:w="464" w:type="dxa"/>
            <w:tcBorders>
              <w:top w:val="nil"/>
              <w:left w:val="nil"/>
              <w:bottom w:val="single" w:sz="4" w:space="0" w:color="auto"/>
              <w:right w:val="single" w:sz="4" w:space="0" w:color="auto"/>
            </w:tcBorders>
            <w:shd w:val="clear" w:color="000000" w:fill="CCFFFF"/>
            <w:noWrap/>
            <w:vAlign w:val="center"/>
            <w:hideMark/>
          </w:tcPr>
          <w:p w14:paraId="289456FB" w14:textId="77777777" w:rsidR="001752B7" w:rsidRPr="001752B7" w:rsidRDefault="001752B7" w:rsidP="001752B7">
            <w:pPr>
              <w:spacing w:after="0" w:line="240" w:lineRule="auto"/>
              <w:jc w:val="right"/>
              <w:rPr>
                <w:rFonts w:ascii="Tahoma" w:eastAsia="Times New Roman" w:hAnsi="Tahoma" w:cs="Tahoma"/>
                <w:sz w:val="20"/>
                <w:szCs w:val="20"/>
                <w:lang w:eastAsia="hr-HR"/>
              </w:rPr>
            </w:pPr>
            <w:r w:rsidRPr="001752B7">
              <w:rPr>
                <w:rFonts w:ascii="Tahoma" w:eastAsia="Times New Roman" w:hAnsi="Tahoma" w:cs="Tahoma"/>
                <w:sz w:val="20"/>
                <w:szCs w:val="20"/>
                <w:lang w:eastAsia="hr-HR"/>
              </w:rPr>
              <w:t> </w:t>
            </w:r>
          </w:p>
        </w:tc>
        <w:tc>
          <w:tcPr>
            <w:tcW w:w="425" w:type="dxa"/>
            <w:tcBorders>
              <w:top w:val="nil"/>
              <w:left w:val="nil"/>
              <w:bottom w:val="single" w:sz="4" w:space="0" w:color="auto"/>
              <w:right w:val="single" w:sz="4" w:space="0" w:color="auto"/>
            </w:tcBorders>
            <w:shd w:val="clear" w:color="000000" w:fill="CCFFFF"/>
            <w:noWrap/>
            <w:vAlign w:val="center"/>
            <w:hideMark/>
          </w:tcPr>
          <w:p w14:paraId="5DD9A5A9" w14:textId="77777777" w:rsidR="001752B7" w:rsidRPr="001752B7" w:rsidRDefault="001752B7" w:rsidP="001752B7">
            <w:pPr>
              <w:spacing w:after="0" w:line="240" w:lineRule="auto"/>
              <w:jc w:val="right"/>
              <w:rPr>
                <w:rFonts w:ascii="Tahoma" w:eastAsia="Times New Roman" w:hAnsi="Tahoma" w:cs="Tahoma"/>
                <w:sz w:val="20"/>
                <w:szCs w:val="20"/>
                <w:lang w:eastAsia="hr-HR"/>
              </w:rPr>
            </w:pPr>
            <w:r w:rsidRPr="001752B7">
              <w:rPr>
                <w:rFonts w:ascii="Tahoma" w:eastAsia="Times New Roman" w:hAnsi="Tahoma" w:cs="Tahoma"/>
                <w:sz w:val="20"/>
                <w:szCs w:val="20"/>
                <w:lang w:eastAsia="hr-HR"/>
              </w:rPr>
              <w:t> </w:t>
            </w:r>
          </w:p>
        </w:tc>
        <w:tc>
          <w:tcPr>
            <w:tcW w:w="426" w:type="dxa"/>
            <w:tcBorders>
              <w:top w:val="nil"/>
              <w:left w:val="nil"/>
              <w:bottom w:val="single" w:sz="4" w:space="0" w:color="auto"/>
              <w:right w:val="single" w:sz="4" w:space="0" w:color="auto"/>
            </w:tcBorders>
            <w:shd w:val="clear" w:color="000000" w:fill="CCFFFF"/>
            <w:noWrap/>
            <w:vAlign w:val="center"/>
            <w:hideMark/>
          </w:tcPr>
          <w:p w14:paraId="01B5335E" w14:textId="77777777" w:rsidR="001752B7" w:rsidRPr="001752B7" w:rsidRDefault="001752B7" w:rsidP="001752B7">
            <w:pPr>
              <w:spacing w:after="0" w:line="240" w:lineRule="auto"/>
              <w:jc w:val="right"/>
              <w:rPr>
                <w:rFonts w:ascii="Tahoma" w:eastAsia="Times New Roman" w:hAnsi="Tahoma" w:cs="Tahoma"/>
                <w:sz w:val="20"/>
                <w:szCs w:val="20"/>
                <w:lang w:eastAsia="hr-HR"/>
              </w:rPr>
            </w:pPr>
            <w:r w:rsidRPr="001752B7">
              <w:rPr>
                <w:rFonts w:ascii="Tahoma" w:eastAsia="Times New Roman" w:hAnsi="Tahoma" w:cs="Tahoma"/>
                <w:sz w:val="20"/>
                <w:szCs w:val="20"/>
                <w:lang w:eastAsia="hr-HR"/>
              </w:rPr>
              <w:t> </w:t>
            </w:r>
          </w:p>
        </w:tc>
        <w:tc>
          <w:tcPr>
            <w:tcW w:w="487" w:type="dxa"/>
            <w:tcBorders>
              <w:top w:val="nil"/>
              <w:left w:val="nil"/>
              <w:bottom w:val="single" w:sz="4" w:space="0" w:color="auto"/>
              <w:right w:val="nil"/>
            </w:tcBorders>
            <w:shd w:val="clear" w:color="000000" w:fill="33CCCC"/>
            <w:noWrap/>
            <w:vAlign w:val="center"/>
            <w:hideMark/>
          </w:tcPr>
          <w:p w14:paraId="1F805100" w14:textId="77777777" w:rsidR="001752B7" w:rsidRPr="001752B7" w:rsidRDefault="001752B7" w:rsidP="001752B7">
            <w:pPr>
              <w:spacing w:after="0" w:line="240" w:lineRule="auto"/>
              <w:jc w:val="right"/>
              <w:rPr>
                <w:rFonts w:ascii="Tahoma" w:eastAsia="Times New Roman" w:hAnsi="Tahoma" w:cs="Tahoma"/>
                <w:sz w:val="20"/>
                <w:szCs w:val="20"/>
                <w:lang w:eastAsia="hr-HR"/>
              </w:rPr>
            </w:pPr>
            <w:r w:rsidRPr="001752B7">
              <w:rPr>
                <w:rFonts w:ascii="Tahoma" w:eastAsia="Times New Roman" w:hAnsi="Tahoma" w:cs="Tahoma"/>
                <w:sz w:val="20"/>
                <w:szCs w:val="20"/>
                <w:lang w:eastAsia="hr-HR"/>
              </w:rPr>
              <w:t> </w:t>
            </w:r>
          </w:p>
        </w:tc>
        <w:tc>
          <w:tcPr>
            <w:tcW w:w="425" w:type="dxa"/>
            <w:tcBorders>
              <w:top w:val="nil"/>
              <w:left w:val="single" w:sz="4" w:space="0" w:color="auto"/>
              <w:bottom w:val="single" w:sz="4" w:space="0" w:color="auto"/>
              <w:right w:val="single" w:sz="8" w:space="0" w:color="auto"/>
            </w:tcBorders>
            <w:shd w:val="clear" w:color="000000" w:fill="33CCCC"/>
            <w:noWrap/>
            <w:vAlign w:val="center"/>
            <w:hideMark/>
          </w:tcPr>
          <w:p w14:paraId="18B03B28" w14:textId="77777777" w:rsidR="001752B7" w:rsidRPr="001752B7" w:rsidRDefault="001752B7" w:rsidP="001752B7">
            <w:pPr>
              <w:spacing w:after="0" w:line="240" w:lineRule="auto"/>
              <w:jc w:val="right"/>
              <w:rPr>
                <w:rFonts w:ascii="Tahoma" w:eastAsia="Times New Roman" w:hAnsi="Tahoma" w:cs="Tahoma"/>
                <w:sz w:val="20"/>
                <w:szCs w:val="20"/>
                <w:lang w:eastAsia="hr-HR"/>
              </w:rPr>
            </w:pPr>
            <w:r w:rsidRPr="001752B7">
              <w:rPr>
                <w:rFonts w:ascii="Tahoma" w:eastAsia="Times New Roman" w:hAnsi="Tahoma" w:cs="Tahoma"/>
                <w:sz w:val="20"/>
                <w:szCs w:val="20"/>
                <w:lang w:eastAsia="hr-HR"/>
              </w:rPr>
              <w:t> </w:t>
            </w:r>
          </w:p>
        </w:tc>
        <w:tc>
          <w:tcPr>
            <w:tcW w:w="236" w:type="dxa"/>
            <w:vAlign w:val="center"/>
            <w:hideMark/>
          </w:tcPr>
          <w:p w14:paraId="3BDA22F5" w14:textId="77777777" w:rsidR="001752B7" w:rsidRPr="001752B7" w:rsidRDefault="001752B7" w:rsidP="001752B7">
            <w:pPr>
              <w:spacing w:after="0" w:line="240" w:lineRule="auto"/>
              <w:rPr>
                <w:rFonts w:ascii="Times New Roman" w:eastAsia="Times New Roman" w:hAnsi="Times New Roman" w:cs="Times New Roman"/>
                <w:sz w:val="20"/>
                <w:szCs w:val="20"/>
                <w:lang w:eastAsia="hr-HR"/>
              </w:rPr>
            </w:pPr>
          </w:p>
        </w:tc>
      </w:tr>
      <w:tr w:rsidR="001752B7" w:rsidRPr="001752B7" w14:paraId="583E14F9" w14:textId="77777777" w:rsidTr="000271A1">
        <w:trPr>
          <w:gridAfter w:val="1"/>
          <w:wAfter w:w="31" w:type="dxa"/>
          <w:trHeight w:val="300"/>
        </w:trPr>
        <w:tc>
          <w:tcPr>
            <w:tcW w:w="1408" w:type="dxa"/>
            <w:tcBorders>
              <w:top w:val="single" w:sz="4" w:space="0" w:color="auto"/>
              <w:left w:val="single" w:sz="8" w:space="0" w:color="auto"/>
              <w:bottom w:val="single" w:sz="4" w:space="0" w:color="auto"/>
              <w:right w:val="single" w:sz="4" w:space="0" w:color="auto"/>
            </w:tcBorders>
            <w:shd w:val="clear" w:color="000000" w:fill="CCFFCC"/>
            <w:vAlign w:val="center"/>
            <w:hideMark/>
          </w:tcPr>
          <w:p w14:paraId="3C1BB29A" w14:textId="77777777" w:rsidR="001752B7" w:rsidRPr="001752B7" w:rsidRDefault="001752B7" w:rsidP="001752B7">
            <w:pPr>
              <w:spacing w:after="0" w:line="240" w:lineRule="auto"/>
              <w:rPr>
                <w:rFonts w:ascii="Tahoma" w:eastAsia="Times New Roman" w:hAnsi="Tahoma" w:cs="Tahoma"/>
                <w:sz w:val="20"/>
                <w:szCs w:val="20"/>
                <w:lang w:eastAsia="hr-HR"/>
              </w:rPr>
            </w:pPr>
            <w:r w:rsidRPr="001752B7">
              <w:rPr>
                <w:rFonts w:ascii="Tahoma" w:eastAsia="Times New Roman" w:hAnsi="Tahoma" w:cs="Tahoma"/>
                <w:sz w:val="20"/>
                <w:szCs w:val="20"/>
                <w:lang w:eastAsia="hr-HR"/>
              </w:rPr>
              <w:t>Vjera</w:t>
            </w:r>
          </w:p>
        </w:tc>
        <w:tc>
          <w:tcPr>
            <w:tcW w:w="673" w:type="dxa"/>
            <w:tcBorders>
              <w:top w:val="nil"/>
              <w:left w:val="nil"/>
              <w:bottom w:val="single" w:sz="4" w:space="0" w:color="auto"/>
              <w:right w:val="single" w:sz="4" w:space="0" w:color="auto"/>
            </w:tcBorders>
            <w:shd w:val="clear" w:color="000000" w:fill="FFCC99"/>
            <w:noWrap/>
            <w:vAlign w:val="center"/>
            <w:hideMark/>
          </w:tcPr>
          <w:p w14:paraId="0D9F95EA" w14:textId="77777777" w:rsidR="001752B7" w:rsidRPr="001752B7" w:rsidRDefault="001752B7" w:rsidP="001752B7">
            <w:pPr>
              <w:spacing w:after="0" w:line="240" w:lineRule="auto"/>
              <w:jc w:val="right"/>
              <w:rPr>
                <w:rFonts w:ascii="Tahoma" w:eastAsia="Times New Roman" w:hAnsi="Tahoma" w:cs="Tahoma"/>
                <w:sz w:val="20"/>
                <w:szCs w:val="20"/>
                <w:lang w:eastAsia="hr-HR"/>
              </w:rPr>
            </w:pPr>
            <w:r w:rsidRPr="001752B7">
              <w:rPr>
                <w:rFonts w:ascii="Tahoma" w:eastAsia="Times New Roman" w:hAnsi="Tahoma" w:cs="Tahoma"/>
                <w:sz w:val="20"/>
                <w:szCs w:val="20"/>
                <w:lang w:eastAsia="hr-HR"/>
              </w:rPr>
              <w:t>3</w:t>
            </w:r>
          </w:p>
        </w:tc>
        <w:tc>
          <w:tcPr>
            <w:tcW w:w="521" w:type="dxa"/>
            <w:tcBorders>
              <w:top w:val="nil"/>
              <w:left w:val="nil"/>
              <w:bottom w:val="single" w:sz="4" w:space="0" w:color="auto"/>
              <w:right w:val="single" w:sz="4" w:space="0" w:color="auto"/>
            </w:tcBorders>
            <w:shd w:val="clear" w:color="000000" w:fill="FFFF00"/>
            <w:noWrap/>
            <w:vAlign w:val="center"/>
            <w:hideMark/>
          </w:tcPr>
          <w:p w14:paraId="3E46EEED" w14:textId="77777777" w:rsidR="001752B7" w:rsidRPr="001752B7" w:rsidRDefault="001752B7" w:rsidP="001752B7">
            <w:pPr>
              <w:spacing w:after="0" w:line="240" w:lineRule="auto"/>
              <w:jc w:val="right"/>
              <w:rPr>
                <w:rFonts w:ascii="Tahoma" w:eastAsia="Times New Roman" w:hAnsi="Tahoma" w:cs="Tahoma"/>
                <w:sz w:val="20"/>
                <w:szCs w:val="20"/>
                <w:lang w:eastAsia="hr-HR"/>
              </w:rPr>
            </w:pPr>
            <w:r w:rsidRPr="001752B7">
              <w:rPr>
                <w:rFonts w:ascii="Tahoma" w:eastAsia="Times New Roman" w:hAnsi="Tahoma" w:cs="Tahoma"/>
                <w:sz w:val="20"/>
                <w:szCs w:val="20"/>
                <w:lang w:eastAsia="hr-HR"/>
              </w:rPr>
              <w:t> </w:t>
            </w:r>
          </w:p>
        </w:tc>
        <w:tc>
          <w:tcPr>
            <w:tcW w:w="477" w:type="dxa"/>
            <w:tcBorders>
              <w:top w:val="nil"/>
              <w:left w:val="nil"/>
              <w:bottom w:val="single" w:sz="4" w:space="0" w:color="auto"/>
              <w:right w:val="single" w:sz="4" w:space="0" w:color="auto"/>
            </w:tcBorders>
            <w:shd w:val="clear" w:color="000000" w:fill="CCFFFF"/>
            <w:noWrap/>
            <w:vAlign w:val="center"/>
            <w:hideMark/>
          </w:tcPr>
          <w:p w14:paraId="4248C76D" w14:textId="77777777" w:rsidR="001752B7" w:rsidRPr="001752B7" w:rsidRDefault="001752B7" w:rsidP="001752B7">
            <w:pPr>
              <w:spacing w:after="0" w:line="240" w:lineRule="auto"/>
              <w:jc w:val="right"/>
              <w:rPr>
                <w:rFonts w:ascii="Tahoma" w:eastAsia="Times New Roman" w:hAnsi="Tahoma" w:cs="Tahoma"/>
                <w:sz w:val="20"/>
                <w:szCs w:val="20"/>
                <w:lang w:eastAsia="hr-HR"/>
              </w:rPr>
            </w:pPr>
            <w:r w:rsidRPr="001752B7">
              <w:rPr>
                <w:rFonts w:ascii="Tahoma" w:eastAsia="Times New Roman" w:hAnsi="Tahoma" w:cs="Tahoma"/>
                <w:sz w:val="20"/>
                <w:szCs w:val="20"/>
                <w:lang w:eastAsia="hr-HR"/>
              </w:rPr>
              <w:t> </w:t>
            </w:r>
          </w:p>
        </w:tc>
        <w:tc>
          <w:tcPr>
            <w:tcW w:w="426" w:type="dxa"/>
            <w:tcBorders>
              <w:top w:val="nil"/>
              <w:left w:val="nil"/>
              <w:bottom w:val="single" w:sz="4" w:space="0" w:color="auto"/>
              <w:right w:val="single" w:sz="4" w:space="0" w:color="auto"/>
            </w:tcBorders>
            <w:shd w:val="clear" w:color="000000" w:fill="CCFFFF"/>
            <w:noWrap/>
            <w:vAlign w:val="center"/>
            <w:hideMark/>
          </w:tcPr>
          <w:p w14:paraId="7D176574" w14:textId="77777777" w:rsidR="001752B7" w:rsidRPr="001752B7" w:rsidRDefault="001752B7" w:rsidP="001752B7">
            <w:pPr>
              <w:spacing w:after="0" w:line="240" w:lineRule="auto"/>
              <w:jc w:val="right"/>
              <w:rPr>
                <w:rFonts w:ascii="Tahoma" w:eastAsia="Times New Roman" w:hAnsi="Tahoma" w:cs="Tahoma"/>
                <w:sz w:val="20"/>
                <w:szCs w:val="20"/>
                <w:lang w:eastAsia="hr-HR"/>
              </w:rPr>
            </w:pPr>
            <w:r w:rsidRPr="001752B7">
              <w:rPr>
                <w:rFonts w:ascii="Tahoma" w:eastAsia="Times New Roman" w:hAnsi="Tahoma" w:cs="Tahoma"/>
                <w:sz w:val="20"/>
                <w:szCs w:val="20"/>
                <w:lang w:eastAsia="hr-HR"/>
              </w:rPr>
              <w:t> </w:t>
            </w:r>
          </w:p>
        </w:tc>
        <w:tc>
          <w:tcPr>
            <w:tcW w:w="698" w:type="dxa"/>
            <w:tcBorders>
              <w:top w:val="nil"/>
              <w:left w:val="nil"/>
              <w:bottom w:val="single" w:sz="4" w:space="0" w:color="auto"/>
              <w:right w:val="single" w:sz="4" w:space="0" w:color="auto"/>
            </w:tcBorders>
            <w:shd w:val="clear" w:color="000000" w:fill="FFFF99"/>
            <w:noWrap/>
            <w:vAlign w:val="center"/>
            <w:hideMark/>
          </w:tcPr>
          <w:p w14:paraId="059C1093" w14:textId="77777777" w:rsidR="001752B7" w:rsidRPr="001752B7" w:rsidRDefault="001752B7" w:rsidP="001752B7">
            <w:pPr>
              <w:spacing w:after="0" w:line="240" w:lineRule="auto"/>
              <w:jc w:val="right"/>
              <w:rPr>
                <w:rFonts w:ascii="Tahoma" w:eastAsia="Times New Roman" w:hAnsi="Tahoma" w:cs="Tahoma"/>
                <w:sz w:val="20"/>
                <w:szCs w:val="20"/>
                <w:lang w:eastAsia="hr-HR"/>
              </w:rPr>
            </w:pPr>
            <w:r w:rsidRPr="001752B7">
              <w:rPr>
                <w:rFonts w:ascii="Tahoma" w:eastAsia="Times New Roman" w:hAnsi="Tahoma" w:cs="Tahoma"/>
                <w:sz w:val="20"/>
                <w:szCs w:val="20"/>
                <w:lang w:eastAsia="hr-HR"/>
              </w:rPr>
              <w:t> </w:t>
            </w:r>
          </w:p>
        </w:tc>
        <w:tc>
          <w:tcPr>
            <w:tcW w:w="698" w:type="dxa"/>
            <w:tcBorders>
              <w:top w:val="nil"/>
              <w:left w:val="nil"/>
              <w:bottom w:val="single" w:sz="4" w:space="0" w:color="auto"/>
              <w:right w:val="single" w:sz="4" w:space="0" w:color="auto"/>
            </w:tcBorders>
            <w:shd w:val="clear" w:color="000000" w:fill="FFFF99"/>
            <w:noWrap/>
            <w:vAlign w:val="center"/>
            <w:hideMark/>
          </w:tcPr>
          <w:p w14:paraId="4F348D93" w14:textId="77777777" w:rsidR="001752B7" w:rsidRPr="001752B7" w:rsidRDefault="001752B7" w:rsidP="001752B7">
            <w:pPr>
              <w:spacing w:after="0" w:line="240" w:lineRule="auto"/>
              <w:jc w:val="right"/>
              <w:rPr>
                <w:rFonts w:ascii="Tahoma" w:eastAsia="Times New Roman" w:hAnsi="Tahoma" w:cs="Tahoma"/>
                <w:sz w:val="20"/>
                <w:szCs w:val="20"/>
                <w:lang w:eastAsia="hr-HR"/>
              </w:rPr>
            </w:pPr>
            <w:r w:rsidRPr="001752B7">
              <w:rPr>
                <w:rFonts w:ascii="Tahoma" w:eastAsia="Times New Roman" w:hAnsi="Tahoma" w:cs="Tahoma"/>
                <w:sz w:val="20"/>
                <w:szCs w:val="20"/>
                <w:lang w:eastAsia="hr-HR"/>
              </w:rPr>
              <w:t> </w:t>
            </w:r>
          </w:p>
        </w:tc>
        <w:tc>
          <w:tcPr>
            <w:tcW w:w="698" w:type="dxa"/>
            <w:tcBorders>
              <w:top w:val="nil"/>
              <w:left w:val="nil"/>
              <w:bottom w:val="single" w:sz="4" w:space="0" w:color="auto"/>
              <w:right w:val="single" w:sz="4" w:space="0" w:color="auto"/>
            </w:tcBorders>
            <w:shd w:val="clear" w:color="000000" w:fill="FFFF99"/>
            <w:noWrap/>
            <w:vAlign w:val="center"/>
            <w:hideMark/>
          </w:tcPr>
          <w:p w14:paraId="2E2826C1" w14:textId="77777777" w:rsidR="001752B7" w:rsidRPr="001752B7" w:rsidRDefault="001752B7" w:rsidP="001752B7">
            <w:pPr>
              <w:spacing w:after="0" w:line="240" w:lineRule="auto"/>
              <w:jc w:val="right"/>
              <w:rPr>
                <w:rFonts w:ascii="Tahoma" w:eastAsia="Times New Roman" w:hAnsi="Tahoma" w:cs="Tahoma"/>
                <w:sz w:val="20"/>
                <w:szCs w:val="20"/>
                <w:lang w:eastAsia="hr-HR"/>
              </w:rPr>
            </w:pPr>
            <w:r w:rsidRPr="001752B7">
              <w:rPr>
                <w:rFonts w:ascii="Tahoma" w:eastAsia="Times New Roman" w:hAnsi="Tahoma" w:cs="Tahoma"/>
                <w:sz w:val="20"/>
                <w:szCs w:val="20"/>
                <w:lang w:eastAsia="hr-HR"/>
              </w:rPr>
              <w:t> </w:t>
            </w:r>
          </w:p>
        </w:tc>
        <w:tc>
          <w:tcPr>
            <w:tcW w:w="698" w:type="dxa"/>
            <w:tcBorders>
              <w:top w:val="nil"/>
              <w:left w:val="nil"/>
              <w:bottom w:val="single" w:sz="4" w:space="0" w:color="auto"/>
              <w:right w:val="single" w:sz="4" w:space="0" w:color="auto"/>
            </w:tcBorders>
            <w:shd w:val="clear" w:color="000000" w:fill="FFFF99"/>
            <w:noWrap/>
            <w:vAlign w:val="center"/>
            <w:hideMark/>
          </w:tcPr>
          <w:p w14:paraId="55639899" w14:textId="77777777" w:rsidR="001752B7" w:rsidRPr="001752B7" w:rsidRDefault="001752B7" w:rsidP="001752B7">
            <w:pPr>
              <w:spacing w:after="0" w:line="240" w:lineRule="auto"/>
              <w:jc w:val="right"/>
              <w:rPr>
                <w:rFonts w:ascii="Tahoma" w:eastAsia="Times New Roman" w:hAnsi="Tahoma" w:cs="Tahoma"/>
                <w:sz w:val="20"/>
                <w:szCs w:val="20"/>
                <w:lang w:eastAsia="hr-HR"/>
              </w:rPr>
            </w:pPr>
            <w:r w:rsidRPr="001752B7">
              <w:rPr>
                <w:rFonts w:ascii="Tahoma" w:eastAsia="Times New Roman" w:hAnsi="Tahoma" w:cs="Tahoma"/>
                <w:sz w:val="20"/>
                <w:szCs w:val="20"/>
                <w:lang w:eastAsia="hr-HR"/>
              </w:rPr>
              <w:t> </w:t>
            </w:r>
          </w:p>
        </w:tc>
        <w:tc>
          <w:tcPr>
            <w:tcW w:w="698" w:type="dxa"/>
            <w:tcBorders>
              <w:top w:val="nil"/>
              <w:left w:val="nil"/>
              <w:bottom w:val="single" w:sz="4" w:space="0" w:color="auto"/>
              <w:right w:val="single" w:sz="4" w:space="0" w:color="auto"/>
            </w:tcBorders>
            <w:shd w:val="clear" w:color="000000" w:fill="FFFF99"/>
            <w:noWrap/>
            <w:vAlign w:val="center"/>
            <w:hideMark/>
          </w:tcPr>
          <w:p w14:paraId="68E2014B" w14:textId="77777777" w:rsidR="001752B7" w:rsidRPr="001752B7" w:rsidRDefault="001752B7" w:rsidP="001752B7">
            <w:pPr>
              <w:spacing w:after="0" w:line="240" w:lineRule="auto"/>
              <w:jc w:val="right"/>
              <w:rPr>
                <w:rFonts w:ascii="Tahoma" w:eastAsia="Times New Roman" w:hAnsi="Tahoma" w:cs="Tahoma"/>
                <w:sz w:val="20"/>
                <w:szCs w:val="20"/>
                <w:lang w:eastAsia="hr-HR"/>
              </w:rPr>
            </w:pPr>
            <w:r w:rsidRPr="001752B7">
              <w:rPr>
                <w:rFonts w:ascii="Tahoma" w:eastAsia="Times New Roman" w:hAnsi="Tahoma" w:cs="Tahoma"/>
                <w:sz w:val="20"/>
                <w:szCs w:val="20"/>
                <w:lang w:eastAsia="hr-HR"/>
              </w:rPr>
              <w:t> </w:t>
            </w:r>
          </w:p>
        </w:tc>
        <w:tc>
          <w:tcPr>
            <w:tcW w:w="698" w:type="dxa"/>
            <w:tcBorders>
              <w:top w:val="nil"/>
              <w:left w:val="nil"/>
              <w:bottom w:val="single" w:sz="4" w:space="0" w:color="auto"/>
              <w:right w:val="single" w:sz="4" w:space="0" w:color="auto"/>
            </w:tcBorders>
            <w:shd w:val="clear" w:color="000000" w:fill="FFFF99"/>
            <w:noWrap/>
            <w:vAlign w:val="center"/>
            <w:hideMark/>
          </w:tcPr>
          <w:p w14:paraId="415880AC" w14:textId="77777777" w:rsidR="001752B7" w:rsidRPr="001752B7" w:rsidRDefault="001752B7" w:rsidP="001752B7">
            <w:pPr>
              <w:spacing w:after="0" w:line="240" w:lineRule="auto"/>
              <w:jc w:val="right"/>
              <w:rPr>
                <w:rFonts w:ascii="Tahoma" w:eastAsia="Times New Roman" w:hAnsi="Tahoma" w:cs="Tahoma"/>
                <w:sz w:val="20"/>
                <w:szCs w:val="20"/>
                <w:lang w:eastAsia="hr-HR"/>
              </w:rPr>
            </w:pPr>
            <w:r w:rsidRPr="001752B7">
              <w:rPr>
                <w:rFonts w:ascii="Tahoma" w:eastAsia="Times New Roman" w:hAnsi="Tahoma" w:cs="Tahoma"/>
                <w:sz w:val="20"/>
                <w:szCs w:val="20"/>
                <w:lang w:eastAsia="hr-HR"/>
              </w:rPr>
              <w:t> </w:t>
            </w:r>
          </w:p>
        </w:tc>
        <w:tc>
          <w:tcPr>
            <w:tcW w:w="469" w:type="dxa"/>
            <w:tcBorders>
              <w:top w:val="nil"/>
              <w:left w:val="nil"/>
              <w:bottom w:val="single" w:sz="4" w:space="0" w:color="auto"/>
              <w:right w:val="single" w:sz="4" w:space="0" w:color="auto"/>
            </w:tcBorders>
            <w:shd w:val="clear" w:color="000000" w:fill="FF9900"/>
            <w:noWrap/>
            <w:vAlign w:val="center"/>
            <w:hideMark/>
          </w:tcPr>
          <w:p w14:paraId="7B4D2BEF" w14:textId="77777777" w:rsidR="001752B7" w:rsidRPr="001752B7" w:rsidRDefault="001752B7" w:rsidP="001752B7">
            <w:pPr>
              <w:spacing w:after="0" w:line="240" w:lineRule="auto"/>
              <w:jc w:val="right"/>
              <w:rPr>
                <w:rFonts w:ascii="Tahoma" w:eastAsia="Times New Roman" w:hAnsi="Tahoma" w:cs="Tahoma"/>
                <w:sz w:val="20"/>
                <w:szCs w:val="20"/>
                <w:lang w:eastAsia="hr-HR"/>
              </w:rPr>
            </w:pPr>
            <w:r w:rsidRPr="001752B7">
              <w:rPr>
                <w:rFonts w:ascii="Tahoma" w:eastAsia="Times New Roman" w:hAnsi="Tahoma" w:cs="Tahoma"/>
                <w:sz w:val="20"/>
                <w:szCs w:val="20"/>
                <w:lang w:eastAsia="hr-HR"/>
              </w:rPr>
              <w:t> </w:t>
            </w:r>
          </w:p>
        </w:tc>
        <w:tc>
          <w:tcPr>
            <w:tcW w:w="419" w:type="dxa"/>
            <w:tcBorders>
              <w:top w:val="nil"/>
              <w:left w:val="nil"/>
              <w:bottom w:val="single" w:sz="4" w:space="0" w:color="auto"/>
              <w:right w:val="single" w:sz="4" w:space="0" w:color="auto"/>
            </w:tcBorders>
            <w:shd w:val="clear" w:color="000000" w:fill="FF9900"/>
            <w:noWrap/>
            <w:vAlign w:val="center"/>
            <w:hideMark/>
          </w:tcPr>
          <w:p w14:paraId="5A9B6DC7" w14:textId="77777777" w:rsidR="001752B7" w:rsidRPr="001752B7" w:rsidRDefault="001752B7" w:rsidP="001752B7">
            <w:pPr>
              <w:spacing w:after="0" w:line="240" w:lineRule="auto"/>
              <w:jc w:val="right"/>
              <w:rPr>
                <w:rFonts w:ascii="Tahoma" w:eastAsia="Times New Roman" w:hAnsi="Tahoma" w:cs="Tahoma"/>
                <w:sz w:val="20"/>
                <w:szCs w:val="20"/>
                <w:lang w:eastAsia="hr-HR"/>
              </w:rPr>
            </w:pPr>
            <w:r w:rsidRPr="001752B7">
              <w:rPr>
                <w:rFonts w:ascii="Tahoma" w:eastAsia="Times New Roman" w:hAnsi="Tahoma" w:cs="Tahoma"/>
                <w:sz w:val="20"/>
                <w:szCs w:val="20"/>
                <w:lang w:eastAsia="hr-HR"/>
              </w:rPr>
              <w:t> </w:t>
            </w:r>
          </w:p>
        </w:tc>
        <w:tc>
          <w:tcPr>
            <w:tcW w:w="521" w:type="dxa"/>
            <w:tcBorders>
              <w:top w:val="nil"/>
              <w:left w:val="nil"/>
              <w:bottom w:val="single" w:sz="4" w:space="0" w:color="auto"/>
              <w:right w:val="single" w:sz="4" w:space="0" w:color="auto"/>
            </w:tcBorders>
            <w:shd w:val="clear" w:color="000000" w:fill="FF9900"/>
            <w:noWrap/>
            <w:vAlign w:val="center"/>
            <w:hideMark/>
          </w:tcPr>
          <w:p w14:paraId="17CF522C" w14:textId="77777777" w:rsidR="001752B7" w:rsidRPr="001752B7" w:rsidRDefault="001752B7" w:rsidP="001752B7">
            <w:pPr>
              <w:spacing w:after="0" w:line="240" w:lineRule="auto"/>
              <w:jc w:val="right"/>
              <w:rPr>
                <w:rFonts w:ascii="Tahoma" w:eastAsia="Times New Roman" w:hAnsi="Tahoma" w:cs="Tahoma"/>
                <w:sz w:val="20"/>
                <w:szCs w:val="20"/>
                <w:lang w:eastAsia="hr-HR"/>
              </w:rPr>
            </w:pPr>
            <w:r w:rsidRPr="001752B7">
              <w:rPr>
                <w:rFonts w:ascii="Tahoma" w:eastAsia="Times New Roman" w:hAnsi="Tahoma" w:cs="Tahoma"/>
                <w:sz w:val="20"/>
                <w:szCs w:val="20"/>
                <w:lang w:eastAsia="hr-HR"/>
              </w:rPr>
              <w:t>1</w:t>
            </w:r>
          </w:p>
        </w:tc>
        <w:tc>
          <w:tcPr>
            <w:tcW w:w="476" w:type="dxa"/>
            <w:tcBorders>
              <w:top w:val="nil"/>
              <w:left w:val="nil"/>
              <w:bottom w:val="single" w:sz="4" w:space="0" w:color="auto"/>
              <w:right w:val="single" w:sz="4" w:space="0" w:color="auto"/>
            </w:tcBorders>
            <w:shd w:val="clear" w:color="000000" w:fill="FFFF00"/>
            <w:vAlign w:val="center"/>
            <w:hideMark/>
          </w:tcPr>
          <w:p w14:paraId="07902486" w14:textId="77777777" w:rsidR="001752B7" w:rsidRPr="001752B7" w:rsidRDefault="001752B7" w:rsidP="001752B7">
            <w:pPr>
              <w:spacing w:after="0" w:line="240" w:lineRule="auto"/>
              <w:jc w:val="right"/>
              <w:rPr>
                <w:rFonts w:ascii="Tahoma" w:eastAsia="Times New Roman" w:hAnsi="Tahoma" w:cs="Tahoma"/>
                <w:sz w:val="20"/>
                <w:szCs w:val="20"/>
                <w:lang w:eastAsia="hr-HR"/>
              </w:rPr>
            </w:pPr>
            <w:r w:rsidRPr="001752B7">
              <w:rPr>
                <w:rFonts w:ascii="Tahoma" w:eastAsia="Times New Roman" w:hAnsi="Tahoma" w:cs="Tahoma"/>
                <w:sz w:val="20"/>
                <w:szCs w:val="20"/>
                <w:lang w:eastAsia="hr-HR"/>
              </w:rPr>
              <w:t>1</w:t>
            </w:r>
          </w:p>
        </w:tc>
        <w:tc>
          <w:tcPr>
            <w:tcW w:w="698" w:type="dxa"/>
            <w:tcBorders>
              <w:top w:val="nil"/>
              <w:left w:val="nil"/>
              <w:bottom w:val="single" w:sz="4" w:space="0" w:color="auto"/>
              <w:right w:val="single" w:sz="4" w:space="0" w:color="auto"/>
            </w:tcBorders>
            <w:shd w:val="clear" w:color="000000" w:fill="FF9900"/>
            <w:vAlign w:val="center"/>
            <w:hideMark/>
          </w:tcPr>
          <w:p w14:paraId="3FD5E78B" w14:textId="77777777" w:rsidR="001752B7" w:rsidRPr="001752B7" w:rsidRDefault="001752B7" w:rsidP="001752B7">
            <w:pPr>
              <w:spacing w:after="0" w:line="240" w:lineRule="auto"/>
              <w:jc w:val="right"/>
              <w:rPr>
                <w:rFonts w:ascii="Tahoma" w:eastAsia="Times New Roman" w:hAnsi="Tahoma" w:cs="Tahoma"/>
                <w:sz w:val="20"/>
                <w:szCs w:val="20"/>
                <w:lang w:eastAsia="hr-HR"/>
              </w:rPr>
            </w:pPr>
            <w:r w:rsidRPr="001752B7">
              <w:rPr>
                <w:rFonts w:ascii="Tahoma" w:eastAsia="Times New Roman" w:hAnsi="Tahoma" w:cs="Tahoma"/>
                <w:sz w:val="20"/>
                <w:szCs w:val="20"/>
                <w:lang w:eastAsia="hr-HR"/>
              </w:rPr>
              <w:t>2</w:t>
            </w:r>
          </w:p>
        </w:tc>
        <w:tc>
          <w:tcPr>
            <w:tcW w:w="643" w:type="dxa"/>
            <w:tcBorders>
              <w:top w:val="nil"/>
              <w:left w:val="nil"/>
              <w:bottom w:val="single" w:sz="4" w:space="0" w:color="auto"/>
              <w:right w:val="single" w:sz="4" w:space="0" w:color="auto"/>
            </w:tcBorders>
            <w:shd w:val="clear" w:color="000000" w:fill="FF9900"/>
            <w:noWrap/>
            <w:vAlign w:val="center"/>
            <w:hideMark/>
          </w:tcPr>
          <w:p w14:paraId="0C20A88D" w14:textId="77777777" w:rsidR="001752B7" w:rsidRPr="001752B7" w:rsidRDefault="001752B7" w:rsidP="001752B7">
            <w:pPr>
              <w:spacing w:after="0" w:line="240" w:lineRule="auto"/>
              <w:jc w:val="right"/>
              <w:rPr>
                <w:rFonts w:ascii="Tahoma" w:eastAsia="Times New Roman" w:hAnsi="Tahoma" w:cs="Tahoma"/>
                <w:sz w:val="20"/>
                <w:szCs w:val="20"/>
                <w:lang w:eastAsia="hr-HR"/>
              </w:rPr>
            </w:pPr>
            <w:r w:rsidRPr="001752B7">
              <w:rPr>
                <w:rFonts w:ascii="Tahoma" w:eastAsia="Times New Roman" w:hAnsi="Tahoma" w:cs="Tahoma"/>
                <w:sz w:val="20"/>
                <w:szCs w:val="20"/>
                <w:lang w:eastAsia="hr-HR"/>
              </w:rPr>
              <w:t>1</w:t>
            </w:r>
          </w:p>
        </w:tc>
        <w:tc>
          <w:tcPr>
            <w:tcW w:w="605" w:type="dxa"/>
            <w:tcBorders>
              <w:top w:val="nil"/>
              <w:left w:val="nil"/>
              <w:bottom w:val="single" w:sz="4" w:space="0" w:color="auto"/>
              <w:right w:val="single" w:sz="4" w:space="0" w:color="auto"/>
            </w:tcBorders>
            <w:shd w:val="clear" w:color="000000" w:fill="FF9900"/>
            <w:noWrap/>
            <w:vAlign w:val="center"/>
            <w:hideMark/>
          </w:tcPr>
          <w:p w14:paraId="5BEECFA9" w14:textId="77777777" w:rsidR="001752B7" w:rsidRPr="001752B7" w:rsidRDefault="001752B7" w:rsidP="001752B7">
            <w:pPr>
              <w:spacing w:after="0" w:line="240" w:lineRule="auto"/>
              <w:jc w:val="right"/>
              <w:rPr>
                <w:rFonts w:ascii="Tahoma" w:eastAsia="Times New Roman" w:hAnsi="Tahoma" w:cs="Tahoma"/>
                <w:sz w:val="20"/>
                <w:szCs w:val="20"/>
                <w:lang w:eastAsia="hr-HR"/>
              </w:rPr>
            </w:pPr>
            <w:r w:rsidRPr="001752B7">
              <w:rPr>
                <w:rFonts w:ascii="Tahoma" w:eastAsia="Times New Roman" w:hAnsi="Tahoma" w:cs="Tahoma"/>
                <w:sz w:val="20"/>
                <w:szCs w:val="20"/>
                <w:lang w:eastAsia="hr-HR"/>
              </w:rPr>
              <w:t> </w:t>
            </w:r>
          </w:p>
        </w:tc>
        <w:tc>
          <w:tcPr>
            <w:tcW w:w="698" w:type="dxa"/>
            <w:tcBorders>
              <w:top w:val="nil"/>
              <w:left w:val="nil"/>
              <w:bottom w:val="single" w:sz="4" w:space="0" w:color="auto"/>
              <w:right w:val="single" w:sz="4" w:space="0" w:color="auto"/>
            </w:tcBorders>
            <w:shd w:val="clear" w:color="000000" w:fill="FF9900"/>
            <w:noWrap/>
            <w:vAlign w:val="center"/>
            <w:hideMark/>
          </w:tcPr>
          <w:p w14:paraId="73A16733" w14:textId="77777777" w:rsidR="001752B7" w:rsidRPr="001752B7" w:rsidRDefault="001752B7" w:rsidP="001752B7">
            <w:pPr>
              <w:spacing w:after="0" w:line="240" w:lineRule="auto"/>
              <w:jc w:val="right"/>
              <w:rPr>
                <w:rFonts w:ascii="Tahoma" w:eastAsia="Times New Roman" w:hAnsi="Tahoma" w:cs="Tahoma"/>
                <w:sz w:val="20"/>
                <w:szCs w:val="20"/>
                <w:lang w:eastAsia="hr-HR"/>
              </w:rPr>
            </w:pPr>
            <w:r w:rsidRPr="001752B7">
              <w:rPr>
                <w:rFonts w:ascii="Tahoma" w:eastAsia="Times New Roman" w:hAnsi="Tahoma" w:cs="Tahoma"/>
                <w:sz w:val="20"/>
                <w:szCs w:val="20"/>
                <w:lang w:eastAsia="hr-HR"/>
              </w:rPr>
              <w:t> </w:t>
            </w:r>
          </w:p>
        </w:tc>
        <w:tc>
          <w:tcPr>
            <w:tcW w:w="464" w:type="dxa"/>
            <w:tcBorders>
              <w:top w:val="nil"/>
              <w:left w:val="nil"/>
              <w:bottom w:val="single" w:sz="4" w:space="0" w:color="auto"/>
              <w:right w:val="single" w:sz="4" w:space="0" w:color="auto"/>
            </w:tcBorders>
            <w:shd w:val="clear" w:color="000000" w:fill="CCFFFF"/>
            <w:noWrap/>
            <w:vAlign w:val="center"/>
            <w:hideMark/>
          </w:tcPr>
          <w:p w14:paraId="12010372" w14:textId="77777777" w:rsidR="001752B7" w:rsidRPr="001752B7" w:rsidRDefault="001752B7" w:rsidP="001752B7">
            <w:pPr>
              <w:spacing w:after="0" w:line="240" w:lineRule="auto"/>
              <w:jc w:val="right"/>
              <w:rPr>
                <w:rFonts w:ascii="Tahoma" w:eastAsia="Times New Roman" w:hAnsi="Tahoma" w:cs="Tahoma"/>
                <w:sz w:val="20"/>
                <w:szCs w:val="20"/>
                <w:lang w:eastAsia="hr-HR"/>
              </w:rPr>
            </w:pPr>
            <w:r w:rsidRPr="001752B7">
              <w:rPr>
                <w:rFonts w:ascii="Tahoma" w:eastAsia="Times New Roman" w:hAnsi="Tahoma" w:cs="Tahoma"/>
                <w:sz w:val="20"/>
                <w:szCs w:val="20"/>
                <w:lang w:eastAsia="hr-HR"/>
              </w:rPr>
              <w:t>1</w:t>
            </w:r>
          </w:p>
        </w:tc>
        <w:tc>
          <w:tcPr>
            <w:tcW w:w="425" w:type="dxa"/>
            <w:tcBorders>
              <w:top w:val="nil"/>
              <w:left w:val="nil"/>
              <w:bottom w:val="single" w:sz="4" w:space="0" w:color="auto"/>
              <w:right w:val="single" w:sz="4" w:space="0" w:color="auto"/>
            </w:tcBorders>
            <w:shd w:val="clear" w:color="000000" w:fill="CCFFFF"/>
            <w:noWrap/>
            <w:vAlign w:val="center"/>
            <w:hideMark/>
          </w:tcPr>
          <w:p w14:paraId="4BEDDFE4" w14:textId="77777777" w:rsidR="001752B7" w:rsidRPr="001752B7" w:rsidRDefault="001752B7" w:rsidP="001752B7">
            <w:pPr>
              <w:spacing w:after="0" w:line="240" w:lineRule="auto"/>
              <w:jc w:val="right"/>
              <w:rPr>
                <w:rFonts w:ascii="Tahoma" w:eastAsia="Times New Roman" w:hAnsi="Tahoma" w:cs="Tahoma"/>
                <w:sz w:val="20"/>
                <w:szCs w:val="20"/>
                <w:lang w:eastAsia="hr-HR"/>
              </w:rPr>
            </w:pPr>
            <w:r w:rsidRPr="001752B7">
              <w:rPr>
                <w:rFonts w:ascii="Tahoma" w:eastAsia="Times New Roman" w:hAnsi="Tahoma" w:cs="Tahoma"/>
                <w:sz w:val="20"/>
                <w:szCs w:val="20"/>
                <w:lang w:eastAsia="hr-HR"/>
              </w:rPr>
              <w:t> </w:t>
            </w:r>
          </w:p>
        </w:tc>
        <w:tc>
          <w:tcPr>
            <w:tcW w:w="426" w:type="dxa"/>
            <w:tcBorders>
              <w:top w:val="nil"/>
              <w:left w:val="nil"/>
              <w:bottom w:val="single" w:sz="4" w:space="0" w:color="auto"/>
              <w:right w:val="single" w:sz="4" w:space="0" w:color="auto"/>
            </w:tcBorders>
            <w:shd w:val="clear" w:color="000000" w:fill="CCFFFF"/>
            <w:noWrap/>
            <w:vAlign w:val="center"/>
            <w:hideMark/>
          </w:tcPr>
          <w:p w14:paraId="7FB2FF7F" w14:textId="77777777" w:rsidR="001752B7" w:rsidRPr="001752B7" w:rsidRDefault="001752B7" w:rsidP="001752B7">
            <w:pPr>
              <w:spacing w:after="0" w:line="240" w:lineRule="auto"/>
              <w:jc w:val="right"/>
              <w:rPr>
                <w:rFonts w:ascii="Tahoma" w:eastAsia="Times New Roman" w:hAnsi="Tahoma" w:cs="Tahoma"/>
                <w:sz w:val="20"/>
                <w:szCs w:val="20"/>
                <w:lang w:eastAsia="hr-HR"/>
              </w:rPr>
            </w:pPr>
            <w:r w:rsidRPr="001752B7">
              <w:rPr>
                <w:rFonts w:ascii="Tahoma" w:eastAsia="Times New Roman" w:hAnsi="Tahoma" w:cs="Tahoma"/>
                <w:sz w:val="20"/>
                <w:szCs w:val="20"/>
                <w:lang w:eastAsia="hr-HR"/>
              </w:rPr>
              <w:t> </w:t>
            </w:r>
          </w:p>
        </w:tc>
        <w:tc>
          <w:tcPr>
            <w:tcW w:w="487" w:type="dxa"/>
            <w:tcBorders>
              <w:top w:val="nil"/>
              <w:left w:val="nil"/>
              <w:bottom w:val="single" w:sz="4" w:space="0" w:color="auto"/>
              <w:right w:val="nil"/>
            </w:tcBorders>
            <w:shd w:val="clear" w:color="000000" w:fill="33CCCC"/>
            <w:noWrap/>
            <w:vAlign w:val="center"/>
            <w:hideMark/>
          </w:tcPr>
          <w:p w14:paraId="1100AAE5" w14:textId="77777777" w:rsidR="001752B7" w:rsidRPr="001752B7" w:rsidRDefault="001752B7" w:rsidP="001752B7">
            <w:pPr>
              <w:spacing w:after="0" w:line="240" w:lineRule="auto"/>
              <w:jc w:val="right"/>
              <w:rPr>
                <w:rFonts w:ascii="Tahoma" w:eastAsia="Times New Roman" w:hAnsi="Tahoma" w:cs="Tahoma"/>
                <w:sz w:val="20"/>
                <w:szCs w:val="20"/>
                <w:lang w:eastAsia="hr-HR"/>
              </w:rPr>
            </w:pPr>
            <w:r w:rsidRPr="001752B7">
              <w:rPr>
                <w:rFonts w:ascii="Tahoma" w:eastAsia="Times New Roman" w:hAnsi="Tahoma" w:cs="Tahoma"/>
                <w:sz w:val="20"/>
                <w:szCs w:val="20"/>
                <w:lang w:eastAsia="hr-HR"/>
              </w:rPr>
              <w:t> </w:t>
            </w:r>
          </w:p>
        </w:tc>
        <w:tc>
          <w:tcPr>
            <w:tcW w:w="425" w:type="dxa"/>
            <w:tcBorders>
              <w:top w:val="nil"/>
              <w:left w:val="single" w:sz="4" w:space="0" w:color="auto"/>
              <w:bottom w:val="single" w:sz="4" w:space="0" w:color="auto"/>
              <w:right w:val="single" w:sz="8" w:space="0" w:color="auto"/>
            </w:tcBorders>
            <w:shd w:val="clear" w:color="000000" w:fill="33CCCC"/>
            <w:noWrap/>
            <w:vAlign w:val="center"/>
            <w:hideMark/>
          </w:tcPr>
          <w:p w14:paraId="61A8BB20" w14:textId="77777777" w:rsidR="001752B7" w:rsidRPr="001752B7" w:rsidRDefault="001752B7" w:rsidP="001752B7">
            <w:pPr>
              <w:spacing w:after="0" w:line="240" w:lineRule="auto"/>
              <w:jc w:val="right"/>
              <w:rPr>
                <w:rFonts w:ascii="Tahoma" w:eastAsia="Times New Roman" w:hAnsi="Tahoma" w:cs="Tahoma"/>
                <w:sz w:val="20"/>
                <w:szCs w:val="20"/>
                <w:lang w:eastAsia="hr-HR"/>
              </w:rPr>
            </w:pPr>
            <w:r w:rsidRPr="001752B7">
              <w:rPr>
                <w:rFonts w:ascii="Tahoma" w:eastAsia="Times New Roman" w:hAnsi="Tahoma" w:cs="Tahoma"/>
                <w:sz w:val="20"/>
                <w:szCs w:val="20"/>
                <w:lang w:eastAsia="hr-HR"/>
              </w:rPr>
              <w:t>1</w:t>
            </w:r>
          </w:p>
        </w:tc>
        <w:tc>
          <w:tcPr>
            <w:tcW w:w="236" w:type="dxa"/>
            <w:vAlign w:val="center"/>
            <w:hideMark/>
          </w:tcPr>
          <w:p w14:paraId="211FB3B6" w14:textId="77777777" w:rsidR="001752B7" w:rsidRPr="001752B7" w:rsidRDefault="001752B7" w:rsidP="001752B7">
            <w:pPr>
              <w:spacing w:after="0" w:line="240" w:lineRule="auto"/>
              <w:rPr>
                <w:rFonts w:ascii="Times New Roman" w:eastAsia="Times New Roman" w:hAnsi="Times New Roman" w:cs="Times New Roman"/>
                <w:sz w:val="20"/>
                <w:szCs w:val="20"/>
                <w:lang w:eastAsia="hr-HR"/>
              </w:rPr>
            </w:pPr>
          </w:p>
        </w:tc>
      </w:tr>
      <w:tr w:rsidR="001752B7" w:rsidRPr="001752B7" w14:paraId="17777241" w14:textId="77777777" w:rsidTr="000271A1">
        <w:trPr>
          <w:gridAfter w:val="1"/>
          <w:wAfter w:w="31" w:type="dxa"/>
          <w:trHeight w:val="300"/>
        </w:trPr>
        <w:tc>
          <w:tcPr>
            <w:tcW w:w="1408" w:type="dxa"/>
            <w:tcBorders>
              <w:top w:val="single" w:sz="4" w:space="0" w:color="auto"/>
              <w:left w:val="single" w:sz="8" w:space="0" w:color="auto"/>
              <w:bottom w:val="single" w:sz="4" w:space="0" w:color="auto"/>
              <w:right w:val="single" w:sz="4" w:space="0" w:color="auto"/>
            </w:tcBorders>
            <w:shd w:val="clear" w:color="000000" w:fill="CCFFCC"/>
            <w:vAlign w:val="center"/>
            <w:hideMark/>
          </w:tcPr>
          <w:p w14:paraId="60B775B6" w14:textId="77777777" w:rsidR="001752B7" w:rsidRPr="001752B7" w:rsidRDefault="001752B7" w:rsidP="001752B7">
            <w:pPr>
              <w:spacing w:after="0" w:line="240" w:lineRule="auto"/>
              <w:rPr>
                <w:rFonts w:ascii="Tahoma" w:eastAsia="Times New Roman" w:hAnsi="Tahoma" w:cs="Tahoma"/>
                <w:sz w:val="20"/>
                <w:szCs w:val="20"/>
                <w:lang w:eastAsia="hr-HR"/>
              </w:rPr>
            </w:pPr>
            <w:r w:rsidRPr="001752B7">
              <w:rPr>
                <w:rFonts w:ascii="Tahoma" w:eastAsia="Times New Roman" w:hAnsi="Tahoma" w:cs="Tahoma"/>
                <w:sz w:val="20"/>
                <w:szCs w:val="20"/>
                <w:lang w:eastAsia="hr-HR"/>
              </w:rPr>
              <w:t>Političko ili drugo uvjerenje</w:t>
            </w:r>
          </w:p>
        </w:tc>
        <w:tc>
          <w:tcPr>
            <w:tcW w:w="673" w:type="dxa"/>
            <w:tcBorders>
              <w:top w:val="nil"/>
              <w:left w:val="nil"/>
              <w:bottom w:val="single" w:sz="4" w:space="0" w:color="auto"/>
              <w:right w:val="single" w:sz="4" w:space="0" w:color="auto"/>
            </w:tcBorders>
            <w:shd w:val="clear" w:color="000000" w:fill="FFCC99"/>
            <w:noWrap/>
            <w:vAlign w:val="center"/>
            <w:hideMark/>
          </w:tcPr>
          <w:p w14:paraId="792BBE7A" w14:textId="77777777" w:rsidR="001752B7" w:rsidRPr="001752B7" w:rsidRDefault="001752B7" w:rsidP="001752B7">
            <w:pPr>
              <w:spacing w:after="0" w:line="240" w:lineRule="auto"/>
              <w:jc w:val="right"/>
              <w:rPr>
                <w:rFonts w:ascii="Tahoma" w:eastAsia="Times New Roman" w:hAnsi="Tahoma" w:cs="Tahoma"/>
                <w:sz w:val="20"/>
                <w:szCs w:val="20"/>
                <w:lang w:eastAsia="hr-HR"/>
              </w:rPr>
            </w:pPr>
            <w:r w:rsidRPr="001752B7">
              <w:rPr>
                <w:rFonts w:ascii="Tahoma" w:eastAsia="Times New Roman" w:hAnsi="Tahoma" w:cs="Tahoma"/>
                <w:sz w:val="20"/>
                <w:szCs w:val="20"/>
                <w:lang w:eastAsia="hr-HR"/>
              </w:rPr>
              <w:t>16</w:t>
            </w:r>
          </w:p>
        </w:tc>
        <w:tc>
          <w:tcPr>
            <w:tcW w:w="521" w:type="dxa"/>
            <w:tcBorders>
              <w:top w:val="nil"/>
              <w:left w:val="nil"/>
              <w:bottom w:val="single" w:sz="4" w:space="0" w:color="auto"/>
              <w:right w:val="single" w:sz="4" w:space="0" w:color="auto"/>
            </w:tcBorders>
            <w:shd w:val="clear" w:color="000000" w:fill="FFFF00"/>
            <w:noWrap/>
            <w:vAlign w:val="center"/>
            <w:hideMark/>
          </w:tcPr>
          <w:p w14:paraId="1E3735B9" w14:textId="77777777" w:rsidR="001752B7" w:rsidRPr="001752B7" w:rsidRDefault="001752B7" w:rsidP="001752B7">
            <w:pPr>
              <w:spacing w:after="0" w:line="240" w:lineRule="auto"/>
              <w:jc w:val="right"/>
              <w:rPr>
                <w:rFonts w:ascii="Tahoma" w:eastAsia="Times New Roman" w:hAnsi="Tahoma" w:cs="Tahoma"/>
                <w:sz w:val="20"/>
                <w:szCs w:val="20"/>
                <w:lang w:eastAsia="hr-HR"/>
              </w:rPr>
            </w:pPr>
            <w:r w:rsidRPr="001752B7">
              <w:rPr>
                <w:rFonts w:ascii="Tahoma" w:eastAsia="Times New Roman" w:hAnsi="Tahoma" w:cs="Tahoma"/>
                <w:sz w:val="20"/>
                <w:szCs w:val="20"/>
                <w:lang w:eastAsia="hr-HR"/>
              </w:rPr>
              <w:t>2</w:t>
            </w:r>
          </w:p>
        </w:tc>
        <w:tc>
          <w:tcPr>
            <w:tcW w:w="477" w:type="dxa"/>
            <w:tcBorders>
              <w:top w:val="nil"/>
              <w:left w:val="nil"/>
              <w:bottom w:val="single" w:sz="4" w:space="0" w:color="auto"/>
              <w:right w:val="single" w:sz="4" w:space="0" w:color="auto"/>
            </w:tcBorders>
            <w:shd w:val="clear" w:color="000000" w:fill="CCFFFF"/>
            <w:noWrap/>
            <w:vAlign w:val="center"/>
            <w:hideMark/>
          </w:tcPr>
          <w:p w14:paraId="4714C729" w14:textId="77777777" w:rsidR="001752B7" w:rsidRPr="001752B7" w:rsidRDefault="001752B7" w:rsidP="001752B7">
            <w:pPr>
              <w:spacing w:after="0" w:line="240" w:lineRule="auto"/>
              <w:jc w:val="right"/>
              <w:rPr>
                <w:rFonts w:ascii="Tahoma" w:eastAsia="Times New Roman" w:hAnsi="Tahoma" w:cs="Tahoma"/>
                <w:sz w:val="20"/>
                <w:szCs w:val="20"/>
                <w:lang w:eastAsia="hr-HR"/>
              </w:rPr>
            </w:pPr>
            <w:r w:rsidRPr="001752B7">
              <w:rPr>
                <w:rFonts w:ascii="Tahoma" w:eastAsia="Times New Roman" w:hAnsi="Tahoma" w:cs="Tahoma"/>
                <w:sz w:val="20"/>
                <w:szCs w:val="20"/>
                <w:lang w:eastAsia="hr-HR"/>
              </w:rPr>
              <w:t> </w:t>
            </w:r>
          </w:p>
        </w:tc>
        <w:tc>
          <w:tcPr>
            <w:tcW w:w="426" w:type="dxa"/>
            <w:tcBorders>
              <w:top w:val="nil"/>
              <w:left w:val="nil"/>
              <w:bottom w:val="single" w:sz="4" w:space="0" w:color="auto"/>
              <w:right w:val="single" w:sz="4" w:space="0" w:color="auto"/>
            </w:tcBorders>
            <w:shd w:val="clear" w:color="000000" w:fill="CCFFFF"/>
            <w:noWrap/>
            <w:vAlign w:val="center"/>
            <w:hideMark/>
          </w:tcPr>
          <w:p w14:paraId="03293848" w14:textId="77777777" w:rsidR="001752B7" w:rsidRPr="001752B7" w:rsidRDefault="001752B7" w:rsidP="001752B7">
            <w:pPr>
              <w:spacing w:after="0" w:line="240" w:lineRule="auto"/>
              <w:jc w:val="right"/>
              <w:rPr>
                <w:rFonts w:ascii="Tahoma" w:eastAsia="Times New Roman" w:hAnsi="Tahoma" w:cs="Tahoma"/>
                <w:sz w:val="20"/>
                <w:szCs w:val="20"/>
                <w:lang w:eastAsia="hr-HR"/>
              </w:rPr>
            </w:pPr>
            <w:r w:rsidRPr="001752B7">
              <w:rPr>
                <w:rFonts w:ascii="Tahoma" w:eastAsia="Times New Roman" w:hAnsi="Tahoma" w:cs="Tahoma"/>
                <w:sz w:val="20"/>
                <w:szCs w:val="20"/>
                <w:lang w:eastAsia="hr-HR"/>
              </w:rPr>
              <w:t>2</w:t>
            </w:r>
          </w:p>
        </w:tc>
        <w:tc>
          <w:tcPr>
            <w:tcW w:w="698" w:type="dxa"/>
            <w:tcBorders>
              <w:top w:val="nil"/>
              <w:left w:val="nil"/>
              <w:bottom w:val="single" w:sz="4" w:space="0" w:color="auto"/>
              <w:right w:val="single" w:sz="4" w:space="0" w:color="auto"/>
            </w:tcBorders>
            <w:shd w:val="clear" w:color="000000" w:fill="FFFF99"/>
            <w:noWrap/>
            <w:vAlign w:val="center"/>
            <w:hideMark/>
          </w:tcPr>
          <w:p w14:paraId="5F60C11A" w14:textId="77777777" w:rsidR="001752B7" w:rsidRPr="001752B7" w:rsidRDefault="001752B7" w:rsidP="001752B7">
            <w:pPr>
              <w:spacing w:after="0" w:line="240" w:lineRule="auto"/>
              <w:jc w:val="right"/>
              <w:rPr>
                <w:rFonts w:ascii="Tahoma" w:eastAsia="Times New Roman" w:hAnsi="Tahoma" w:cs="Tahoma"/>
                <w:sz w:val="20"/>
                <w:szCs w:val="20"/>
                <w:lang w:eastAsia="hr-HR"/>
              </w:rPr>
            </w:pPr>
            <w:r w:rsidRPr="001752B7">
              <w:rPr>
                <w:rFonts w:ascii="Tahoma" w:eastAsia="Times New Roman" w:hAnsi="Tahoma" w:cs="Tahoma"/>
                <w:sz w:val="20"/>
                <w:szCs w:val="20"/>
                <w:lang w:eastAsia="hr-HR"/>
              </w:rPr>
              <w:t>2</w:t>
            </w:r>
          </w:p>
        </w:tc>
        <w:tc>
          <w:tcPr>
            <w:tcW w:w="698" w:type="dxa"/>
            <w:tcBorders>
              <w:top w:val="nil"/>
              <w:left w:val="nil"/>
              <w:bottom w:val="single" w:sz="4" w:space="0" w:color="auto"/>
              <w:right w:val="single" w:sz="4" w:space="0" w:color="auto"/>
            </w:tcBorders>
            <w:shd w:val="clear" w:color="000000" w:fill="FFFF99"/>
            <w:noWrap/>
            <w:vAlign w:val="center"/>
            <w:hideMark/>
          </w:tcPr>
          <w:p w14:paraId="1DDCDCF7" w14:textId="77777777" w:rsidR="001752B7" w:rsidRPr="001752B7" w:rsidRDefault="001752B7" w:rsidP="001752B7">
            <w:pPr>
              <w:spacing w:after="0" w:line="240" w:lineRule="auto"/>
              <w:jc w:val="right"/>
              <w:rPr>
                <w:rFonts w:ascii="Tahoma" w:eastAsia="Times New Roman" w:hAnsi="Tahoma" w:cs="Tahoma"/>
                <w:sz w:val="20"/>
                <w:szCs w:val="20"/>
                <w:lang w:eastAsia="hr-HR"/>
              </w:rPr>
            </w:pPr>
            <w:r w:rsidRPr="001752B7">
              <w:rPr>
                <w:rFonts w:ascii="Tahoma" w:eastAsia="Times New Roman" w:hAnsi="Tahoma" w:cs="Tahoma"/>
                <w:sz w:val="20"/>
                <w:szCs w:val="20"/>
                <w:lang w:eastAsia="hr-HR"/>
              </w:rPr>
              <w:t>1</w:t>
            </w:r>
          </w:p>
        </w:tc>
        <w:tc>
          <w:tcPr>
            <w:tcW w:w="698" w:type="dxa"/>
            <w:tcBorders>
              <w:top w:val="nil"/>
              <w:left w:val="nil"/>
              <w:bottom w:val="single" w:sz="4" w:space="0" w:color="auto"/>
              <w:right w:val="single" w:sz="4" w:space="0" w:color="auto"/>
            </w:tcBorders>
            <w:shd w:val="clear" w:color="000000" w:fill="FFFF99"/>
            <w:noWrap/>
            <w:vAlign w:val="center"/>
            <w:hideMark/>
          </w:tcPr>
          <w:p w14:paraId="3D15A408" w14:textId="77777777" w:rsidR="001752B7" w:rsidRPr="001752B7" w:rsidRDefault="001752B7" w:rsidP="001752B7">
            <w:pPr>
              <w:spacing w:after="0" w:line="240" w:lineRule="auto"/>
              <w:jc w:val="right"/>
              <w:rPr>
                <w:rFonts w:ascii="Tahoma" w:eastAsia="Times New Roman" w:hAnsi="Tahoma" w:cs="Tahoma"/>
                <w:sz w:val="20"/>
                <w:szCs w:val="20"/>
                <w:lang w:eastAsia="hr-HR"/>
              </w:rPr>
            </w:pPr>
            <w:r w:rsidRPr="001752B7">
              <w:rPr>
                <w:rFonts w:ascii="Tahoma" w:eastAsia="Times New Roman" w:hAnsi="Tahoma" w:cs="Tahoma"/>
                <w:sz w:val="20"/>
                <w:szCs w:val="20"/>
                <w:lang w:eastAsia="hr-HR"/>
              </w:rPr>
              <w:t> </w:t>
            </w:r>
          </w:p>
        </w:tc>
        <w:tc>
          <w:tcPr>
            <w:tcW w:w="698" w:type="dxa"/>
            <w:tcBorders>
              <w:top w:val="nil"/>
              <w:left w:val="nil"/>
              <w:bottom w:val="single" w:sz="4" w:space="0" w:color="auto"/>
              <w:right w:val="single" w:sz="4" w:space="0" w:color="auto"/>
            </w:tcBorders>
            <w:shd w:val="clear" w:color="000000" w:fill="FFFF99"/>
            <w:noWrap/>
            <w:vAlign w:val="center"/>
            <w:hideMark/>
          </w:tcPr>
          <w:p w14:paraId="02429882" w14:textId="77777777" w:rsidR="001752B7" w:rsidRPr="001752B7" w:rsidRDefault="001752B7" w:rsidP="001752B7">
            <w:pPr>
              <w:spacing w:after="0" w:line="240" w:lineRule="auto"/>
              <w:jc w:val="right"/>
              <w:rPr>
                <w:rFonts w:ascii="Tahoma" w:eastAsia="Times New Roman" w:hAnsi="Tahoma" w:cs="Tahoma"/>
                <w:sz w:val="20"/>
                <w:szCs w:val="20"/>
                <w:lang w:eastAsia="hr-HR"/>
              </w:rPr>
            </w:pPr>
            <w:r w:rsidRPr="001752B7">
              <w:rPr>
                <w:rFonts w:ascii="Tahoma" w:eastAsia="Times New Roman" w:hAnsi="Tahoma" w:cs="Tahoma"/>
                <w:sz w:val="20"/>
                <w:szCs w:val="20"/>
                <w:lang w:eastAsia="hr-HR"/>
              </w:rPr>
              <w:t> </w:t>
            </w:r>
          </w:p>
        </w:tc>
        <w:tc>
          <w:tcPr>
            <w:tcW w:w="698" w:type="dxa"/>
            <w:tcBorders>
              <w:top w:val="nil"/>
              <w:left w:val="nil"/>
              <w:bottom w:val="single" w:sz="4" w:space="0" w:color="auto"/>
              <w:right w:val="single" w:sz="4" w:space="0" w:color="auto"/>
            </w:tcBorders>
            <w:shd w:val="clear" w:color="000000" w:fill="FFFF99"/>
            <w:noWrap/>
            <w:vAlign w:val="center"/>
            <w:hideMark/>
          </w:tcPr>
          <w:p w14:paraId="4FE15F49" w14:textId="77777777" w:rsidR="001752B7" w:rsidRPr="001752B7" w:rsidRDefault="001752B7" w:rsidP="001752B7">
            <w:pPr>
              <w:spacing w:after="0" w:line="240" w:lineRule="auto"/>
              <w:jc w:val="right"/>
              <w:rPr>
                <w:rFonts w:ascii="Tahoma" w:eastAsia="Times New Roman" w:hAnsi="Tahoma" w:cs="Tahoma"/>
                <w:sz w:val="20"/>
                <w:szCs w:val="20"/>
                <w:lang w:eastAsia="hr-HR"/>
              </w:rPr>
            </w:pPr>
            <w:r w:rsidRPr="001752B7">
              <w:rPr>
                <w:rFonts w:ascii="Tahoma" w:eastAsia="Times New Roman" w:hAnsi="Tahoma" w:cs="Tahoma"/>
                <w:sz w:val="20"/>
                <w:szCs w:val="20"/>
                <w:lang w:eastAsia="hr-HR"/>
              </w:rPr>
              <w:t> </w:t>
            </w:r>
          </w:p>
        </w:tc>
        <w:tc>
          <w:tcPr>
            <w:tcW w:w="698" w:type="dxa"/>
            <w:tcBorders>
              <w:top w:val="nil"/>
              <w:left w:val="nil"/>
              <w:bottom w:val="single" w:sz="4" w:space="0" w:color="auto"/>
              <w:right w:val="single" w:sz="4" w:space="0" w:color="auto"/>
            </w:tcBorders>
            <w:shd w:val="clear" w:color="000000" w:fill="FFFF99"/>
            <w:noWrap/>
            <w:vAlign w:val="center"/>
            <w:hideMark/>
          </w:tcPr>
          <w:p w14:paraId="141145DF" w14:textId="77777777" w:rsidR="001752B7" w:rsidRPr="001752B7" w:rsidRDefault="001752B7" w:rsidP="001752B7">
            <w:pPr>
              <w:spacing w:after="0" w:line="240" w:lineRule="auto"/>
              <w:jc w:val="right"/>
              <w:rPr>
                <w:rFonts w:ascii="Tahoma" w:eastAsia="Times New Roman" w:hAnsi="Tahoma" w:cs="Tahoma"/>
                <w:sz w:val="20"/>
                <w:szCs w:val="20"/>
                <w:lang w:eastAsia="hr-HR"/>
              </w:rPr>
            </w:pPr>
            <w:r w:rsidRPr="001752B7">
              <w:rPr>
                <w:rFonts w:ascii="Tahoma" w:eastAsia="Times New Roman" w:hAnsi="Tahoma" w:cs="Tahoma"/>
                <w:sz w:val="20"/>
                <w:szCs w:val="20"/>
                <w:lang w:eastAsia="hr-HR"/>
              </w:rPr>
              <w:t> </w:t>
            </w:r>
          </w:p>
        </w:tc>
        <w:tc>
          <w:tcPr>
            <w:tcW w:w="469" w:type="dxa"/>
            <w:tcBorders>
              <w:top w:val="nil"/>
              <w:left w:val="nil"/>
              <w:bottom w:val="single" w:sz="4" w:space="0" w:color="auto"/>
              <w:right w:val="single" w:sz="4" w:space="0" w:color="auto"/>
            </w:tcBorders>
            <w:shd w:val="clear" w:color="000000" w:fill="FF9900"/>
            <w:noWrap/>
            <w:vAlign w:val="center"/>
            <w:hideMark/>
          </w:tcPr>
          <w:p w14:paraId="75B23807" w14:textId="77777777" w:rsidR="001752B7" w:rsidRPr="001752B7" w:rsidRDefault="001752B7" w:rsidP="001752B7">
            <w:pPr>
              <w:spacing w:after="0" w:line="240" w:lineRule="auto"/>
              <w:jc w:val="right"/>
              <w:rPr>
                <w:rFonts w:ascii="Tahoma" w:eastAsia="Times New Roman" w:hAnsi="Tahoma" w:cs="Tahoma"/>
                <w:sz w:val="20"/>
                <w:szCs w:val="20"/>
                <w:lang w:eastAsia="hr-HR"/>
              </w:rPr>
            </w:pPr>
            <w:r w:rsidRPr="001752B7">
              <w:rPr>
                <w:rFonts w:ascii="Tahoma" w:eastAsia="Times New Roman" w:hAnsi="Tahoma" w:cs="Tahoma"/>
                <w:sz w:val="20"/>
                <w:szCs w:val="20"/>
                <w:lang w:eastAsia="hr-HR"/>
              </w:rPr>
              <w:t> </w:t>
            </w:r>
          </w:p>
        </w:tc>
        <w:tc>
          <w:tcPr>
            <w:tcW w:w="419" w:type="dxa"/>
            <w:tcBorders>
              <w:top w:val="nil"/>
              <w:left w:val="nil"/>
              <w:bottom w:val="single" w:sz="4" w:space="0" w:color="auto"/>
              <w:right w:val="single" w:sz="4" w:space="0" w:color="auto"/>
            </w:tcBorders>
            <w:shd w:val="clear" w:color="000000" w:fill="FF9900"/>
            <w:noWrap/>
            <w:vAlign w:val="center"/>
            <w:hideMark/>
          </w:tcPr>
          <w:p w14:paraId="511C5157" w14:textId="77777777" w:rsidR="001752B7" w:rsidRPr="001752B7" w:rsidRDefault="001752B7" w:rsidP="001752B7">
            <w:pPr>
              <w:spacing w:after="0" w:line="240" w:lineRule="auto"/>
              <w:jc w:val="right"/>
              <w:rPr>
                <w:rFonts w:ascii="Tahoma" w:eastAsia="Times New Roman" w:hAnsi="Tahoma" w:cs="Tahoma"/>
                <w:sz w:val="20"/>
                <w:szCs w:val="20"/>
                <w:lang w:eastAsia="hr-HR"/>
              </w:rPr>
            </w:pPr>
            <w:r w:rsidRPr="001752B7">
              <w:rPr>
                <w:rFonts w:ascii="Tahoma" w:eastAsia="Times New Roman" w:hAnsi="Tahoma" w:cs="Tahoma"/>
                <w:sz w:val="20"/>
                <w:szCs w:val="20"/>
                <w:lang w:eastAsia="hr-HR"/>
              </w:rPr>
              <w:t>3</w:t>
            </w:r>
          </w:p>
        </w:tc>
        <w:tc>
          <w:tcPr>
            <w:tcW w:w="521" w:type="dxa"/>
            <w:tcBorders>
              <w:top w:val="nil"/>
              <w:left w:val="nil"/>
              <w:bottom w:val="single" w:sz="4" w:space="0" w:color="auto"/>
              <w:right w:val="single" w:sz="4" w:space="0" w:color="auto"/>
            </w:tcBorders>
            <w:shd w:val="clear" w:color="000000" w:fill="FF9900"/>
            <w:noWrap/>
            <w:vAlign w:val="center"/>
            <w:hideMark/>
          </w:tcPr>
          <w:p w14:paraId="4669468E" w14:textId="77777777" w:rsidR="001752B7" w:rsidRPr="001752B7" w:rsidRDefault="001752B7" w:rsidP="001752B7">
            <w:pPr>
              <w:spacing w:after="0" w:line="240" w:lineRule="auto"/>
              <w:jc w:val="right"/>
              <w:rPr>
                <w:rFonts w:ascii="Tahoma" w:eastAsia="Times New Roman" w:hAnsi="Tahoma" w:cs="Tahoma"/>
                <w:sz w:val="20"/>
                <w:szCs w:val="20"/>
                <w:lang w:eastAsia="hr-HR"/>
              </w:rPr>
            </w:pPr>
            <w:r w:rsidRPr="001752B7">
              <w:rPr>
                <w:rFonts w:ascii="Tahoma" w:eastAsia="Times New Roman" w:hAnsi="Tahoma" w:cs="Tahoma"/>
                <w:sz w:val="20"/>
                <w:szCs w:val="20"/>
                <w:lang w:eastAsia="hr-HR"/>
              </w:rPr>
              <w:t>3</w:t>
            </w:r>
          </w:p>
        </w:tc>
        <w:tc>
          <w:tcPr>
            <w:tcW w:w="476" w:type="dxa"/>
            <w:tcBorders>
              <w:top w:val="nil"/>
              <w:left w:val="nil"/>
              <w:bottom w:val="single" w:sz="4" w:space="0" w:color="auto"/>
              <w:right w:val="single" w:sz="4" w:space="0" w:color="auto"/>
            </w:tcBorders>
            <w:shd w:val="clear" w:color="000000" w:fill="FFFF00"/>
            <w:vAlign w:val="center"/>
            <w:hideMark/>
          </w:tcPr>
          <w:p w14:paraId="4FC48828" w14:textId="77777777" w:rsidR="001752B7" w:rsidRPr="001752B7" w:rsidRDefault="001752B7" w:rsidP="001752B7">
            <w:pPr>
              <w:spacing w:after="0" w:line="240" w:lineRule="auto"/>
              <w:jc w:val="right"/>
              <w:rPr>
                <w:rFonts w:ascii="Tahoma" w:eastAsia="Times New Roman" w:hAnsi="Tahoma" w:cs="Tahoma"/>
                <w:sz w:val="20"/>
                <w:szCs w:val="20"/>
                <w:lang w:eastAsia="hr-HR"/>
              </w:rPr>
            </w:pPr>
            <w:r w:rsidRPr="001752B7">
              <w:rPr>
                <w:rFonts w:ascii="Tahoma" w:eastAsia="Times New Roman" w:hAnsi="Tahoma" w:cs="Tahoma"/>
                <w:sz w:val="20"/>
                <w:szCs w:val="20"/>
                <w:lang w:eastAsia="hr-HR"/>
              </w:rPr>
              <w:t>6</w:t>
            </w:r>
          </w:p>
        </w:tc>
        <w:tc>
          <w:tcPr>
            <w:tcW w:w="698" w:type="dxa"/>
            <w:tcBorders>
              <w:top w:val="nil"/>
              <w:left w:val="nil"/>
              <w:bottom w:val="single" w:sz="4" w:space="0" w:color="auto"/>
              <w:right w:val="single" w:sz="4" w:space="0" w:color="auto"/>
            </w:tcBorders>
            <w:shd w:val="clear" w:color="000000" w:fill="FF9900"/>
            <w:vAlign w:val="center"/>
            <w:hideMark/>
          </w:tcPr>
          <w:p w14:paraId="41A846D0" w14:textId="77777777" w:rsidR="001752B7" w:rsidRPr="001752B7" w:rsidRDefault="001752B7" w:rsidP="001752B7">
            <w:pPr>
              <w:spacing w:after="0" w:line="240" w:lineRule="auto"/>
              <w:jc w:val="right"/>
              <w:rPr>
                <w:rFonts w:ascii="Tahoma" w:eastAsia="Times New Roman" w:hAnsi="Tahoma" w:cs="Tahoma"/>
                <w:sz w:val="20"/>
                <w:szCs w:val="20"/>
                <w:lang w:eastAsia="hr-HR"/>
              </w:rPr>
            </w:pPr>
            <w:r w:rsidRPr="001752B7">
              <w:rPr>
                <w:rFonts w:ascii="Tahoma" w:eastAsia="Times New Roman" w:hAnsi="Tahoma" w:cs="Tahoma"/>
                <w:sz w:val="20"/>
                <w:szCs w:val="20"/>
                <w:lang w:eastAsia="hr-HR"/>
              </w:rPr>
              <w:t>12</w:t>
            </w:r>
          </w:p>
        </w:tc>
        <w:tc>
          <w:tcPr>
            <w:tcW w:w="643" w:type="dxa"/>
            <w:tcBorders>
              <w:top w:val="nil"/>
              <w:left w:val="nil"/>
              <w:bottom w:val="single" w:sz="4" w:space="0" w:color="auto"/>
              <w:right w:val="single" w:sz="4" w:space="0" w:color="auto"/>
            </w:tcBorders>
            <w:shd w:val="clear" w:color="000000" w:fill="FF9900"/>
            <w:noWrap/>
            <w:vAlign w:val="center"/>
            <w:hideMark/>
          </w:tcPr>
          <w:p w14:paraId="6FB1830F" w14:textId="77777777" w:rsidR="001752B7" w:rsidRPr="001752B7" w:rsidRDefault="001752B7" w:rsidP="001752B7">
            <w:pPr>
              <w:spacing w:after="0" w:line="240" w:lineRule="auto"/>
              <w:jc w:val="right"/>
              <w:rPr>
                <w:rFonts w:ascii="Tahoma" w:eastAsia="Times New Roman" w:hAnsi="Tahoma" w:cs="Tahoma"/>
                <w:sz w:val="20"/>
                <w:szCs w:val="20"/>
                <w:lang w:eastAsia="hr-HR"/>
              </w:rPr>
            </w:pPr>
            <w:r w:rsidRPr="001752B7">
              <w:rPr>
                <w:rFonts w:ascii="Tahoma" w:eastAsia="Times New Roman" w:hAnsi="Tahoma" w:cs="Tahoma"/>
                <w:sz w:val="20"/>
                <w:szCs w:val="20"/>
                <w:lang w:eastAsia="hr-HR"/>
              </w:rPr>
              <w:t>2</w:t>
            </w:r>
          </w:p>
        </w:tc>
        <w:tc>
          <w:tcPr>
            <w:tcW w:w="605" w:type="dxa"/>
            <w:tcBorders>
              <w:top w:val="nil"/>
              <w:left w:val="nil"/>
              <w:bottom w:val="single" w:sz="4" w:space="0" w:color="auto"/>
              <w:right w:val="single" w:sz="4" w:space="0" w:color="auto"/>
            </w:tcBorders>
            <w:shd w:val="clear" w:color="000000" w:fill="FF9900"/>
            <w:noWrap/>
            <w:vAlign w:val="center"/>
            <w:hideMark/>
          </w:tcPr>
          <w:p w14:paraId="07FDCD11" w14:textId="77777777" w:rsidR="001752B7" w:rsidRPr="001752B7" w:rsidRDefault="001752B7" w:rsidP="001752B7">
            <w:pPr>
              <w:spacing w:after="0" w:line="240" w:lineRule="auto"/>
              <w:jc w:val="right"/>
              <w:rPr>
                <w:rFonts w:ascii="Tahoma" w:eastAsia="Times New Roman" w:hAnsi="Tahoma" w:cs="Tahoma"/>
                <w:sz w:val="20"/>
                <w:szCs w:val="20"/>
                <w:lang w:eastAsia="hr-HR"/>
              </w:rPr>
            </w:pPr>
            <w:r w:rsidRPr="001752B7">
              <w:rPr>
                <w:rFonts w:ascii="Tahoma" w:eastAsia="Times New Roman" w:hAnsi="Tahoma" w:cs="Tahoma"/>
                <w:sz w:val="20"/>
                <w:szCs w:val="20"/>
                <w:lang w:eastAsia="hr-HR"/>
              </w:rPr>
              <w:t>1</w:t>
            </w:r>
          </w:p>
        </w:tc>
        <w:tc>
          <w:tcPr>
            <w:tcW w:w="698" w:type="dxa"/>
            <w:tcBorders>
              <w:top w:val="nil"/>
              <w:left w:val="nil"/>
              <w:bottom w:val="single" w:sz="4" w:space="0" w:color="auto"/>
              <w:right w:val="single" w:sz="4" w:space="0" w:color="auto"/>
            </w:tcBorders>
            <w:shd w:val="clear" w:color="000000" w:fill="FF9900"/>
            <w:noWrap/>
            <w:vAlign w:val="center"/>
            <w:hideMark/>
          </w:tcPr>
          <w:p w14:paraId="2EB0A6F8" w14:textId="77777777" w:rsidR="001752B7" w:rsidRPr="001752B7" w:rsidRDefault="001752B7" w:rsidP="001752B7">
            <w:pPr>
              <w:spacing w:after="0" w:line="240" w:lineRule="auto"/>
              <w:jc w:val="right"/>
              <w:rPr>
                <w:rFonts w:ascii="Tahoma" w:eastAsia="Times New Roman" w:hAnsi="Tahoma" w:cs="Tahoma"/>
                <w:sz w:val="20"/>
                <w:szCs w:val="20"/>
                <w:lang w:eastAsia="hr-HR"/>
              </w:rPr>
            </w:pPr>
            <w:r w:rsidRPr="001752B7">
              <w:rPr>
                <w:rFonts w:ascii="Tahoma" w:eastAsia="Times New Roman" w:hAnsi="Tahoma" w:cs="Tahoma"/>
                <w:sz w:val="20"/>
                <w:szCs w:val="20"/>
                <w:lang w:eastAsia="hr-HR"/>
              </w:rPr>
              <w:t>2</w:t>
            </w:r>
          </w:p>
        </w:tc>
        <w:tc>
          <w:tcPr>
            <w:tcW w:w="464" w:type="dxa"/>
            <w:tcBorders>
              <w:top w:val="nil"/>
              <w:left w:val="nil"/>
              <w:bottom w:val="single" w:sz="4" w:space="0" w:color="auto"/>
              <w:right w:val="single" w:sz="4" w:space="0" w:color="auto"/>
            </w:tcBorders>
            <w:shd w:val="clear" w:color="000000" w:fill="CCFFFF"/>
            <w:noWrap/>
            <w:vAlign w:val="center"/>
            <w:hideMark/>
          </w:tcPr>
          <w:p w14:paraId="4A024EDC" w14:textId="77777777" w:rsidR="001752B7" w:rsidRPr="001752B7" w:rsidRDefault="001752B7" w:rsidP="001752B7">
            <w:pPr>
              <w:spacing w:after="0" w:line="240" w:lineRule="auto"/>
              <w:jc w:val="right"/>
              <w:rPr>
                <w:rFonts w:ascii="Tahoma" w:eastAsia="Times New Roman" w:hAnsi="Tahoma" w:cs="Tahoma"/>
                <w:sz w:val="20"/>
                <w:szCs w:val="20"/>
                <w:lang w:eastAsia="hr-HR"/>
              </w:rPr>
            </w:pPr>
            <w:r w:rsidRPr="001752B7">
              <w:rPr>
                <w:rFonts w:ascii="Tahoma" w:eastAsia="Times New Roman" w:hAnsi="Tahoma" w:cs="Tahoma"/>
                <w:sz w:val="20"/>
                <w:szCs w:val="20"/>
                <w:lang w:eastAsia="hr-HR"/>
              </w:rPr>
              <w:t>1</w:t>
            </w:r>
          </w:p>
        </w:tc>
        <w:tc>
          <w:tcPr>
            <w:tcW w:w="425" w:type="dxa"/>
            <w:tcBorders>
              <w:top w:val="nil"/>
              <w:left w:val="nil"/>
              <w:bottom w:val="single" w:sz="4" w:space="0" w:color="auto"/>
              <w:right w:val="single" w:sz="4" w:space="0" w:color="auto"/>
            </w:tcBorders>
            <w:shd w:val="clear" w:color="000000" w:fill="CCFFFF"/>
            <w:noWrap/>
            <w:vAlign w:val="center"/>
            <w:hideMark/>
          </w:tcPr>
          <w:p w14:paraId="559834CC" w14:textId="77777777" w:rsidR="001752B7" w:rsidRPr="001752B7" w:rsidRDefault="001752B7" w:rsidP="001752B7">
            <w:pPr>
              <w:spacing w:after="0" w:line="240" w:lineRule="auto"/>
              <w:jc w:val="right"/>
              <w:rPr>
                <w:rFonts w:ascii="Tahoma" w:eastAsia="Times New Roman" w:hAnsi="Tahoma" w:cs="Tahoma"/>
                <w:sz w:val="20"/>
                <w:szCs w:val="20"/>
                <w:lang w:eastAsia="hr-HR"/>
              </w:rPr>
            </w:pPr>
            <w:r w:rsidRPr="001752B7">
              <w:rPr>
                <w:rFonts w:ascii="Tahoma" w:eastAsia="Times New Roman" w:hAnsi="Tahoma" w:cs="Tahoma"/>
                <w:sz w:val="20"/>
                <w:szCs w:val="20"/>
                <w:lang w:eastAsia="hr-HR"/>
              </w:rPr>
              <w:t> </w:t>
            </w:r>
          </w:p>
        </w:tc>
        <w:tc>
          <w:tcPr>
            <w:tcW w:w="426" w:type="dxa"/>
            <w:tcBorders>
              <w:top w:val="nil"/>
              <w:left w:val="nil"/>
              <w:bottom w:val="single" w:sz="4" w:space="0" w:color="auto"/>
              <w:right w:val="single" w:sz="4" w:space="0" w:color="auto"/>
            </w:tcBorders>
            <w:shd w:val="clear" w:color="000000" w:fill="CCFFFF"/>
            <w:noWrap/>
            <w:vAlign w:val="center"/>
            <w:hideMark/>
          </w:tcPr>
          <w:p w14:paraId="4B2E5F02" w14:textId="77777777" w:rsidR="001752B7" w:rsidRPr="001752B7" w:rsidRDefault="001752B7" w:rsidP="001752B7">
            <w:pPr>
              <w:spacing w:after="0" w:line="240" w:lineRule="auto"/>
              <w:jc w:val="right"/>
              <w:rPr>
                <w:rFonts w:ascii="Tahoma" w:eastAsia="Times New Roman" w:hAnsi="Tahoma" w:cs="Tahoma"/>
                <w:sz w:val="20"/>
                <w:szCs w:val="20"/>
                <w:lang w:eastAsia="hr-HR"/>
              </w:rPr>
            </w:pPr>
            <w:r w:rsidRPr="001752B7">
              <w:rPr>
                <w:rFonts w:ascii="Tahoma" w:eastAsia="Times New Roman" w:hAnsi="Tahoma" w:cs="Tahoma"/>
                <w:sz w:val="20"/>
                <w:szCs w:val="20"/>
                <w:lang w:eastAsia="hr-HR"/>
              </w:rPr>
              <w:t> </w:t>
            </w:r>
          </w:p>
        </w:tc>
        <w:tc>
          <w:tcPr>
            <w:tcW w:w="487" w:type="dxa"/>
            <w:tcBorders>
              <w:top w:val="nil"/>
              <w:left w:val="nil"/>
              <w:bottom w:val="single" w:sz="4" w:space="0" w:color="auto"/>
              <w:right w:val="nil"/>
            </w:tcBorders>
            <w:shd w:val="clear" w:color="000000" w:fill="33CCCC"/>
            <w:noWrap/>
            <w:vAlign w:val="center"/>
            <w:hideMark/>
          </w:tcPr>
          <w:p w14:paraId="4CFFB4F4" w14:textId="77777777" w:rsidR="001752B7" w:rsidRPr="001752B7" w:rsidRDefault="001752B7" w:rsidP="001752B7">
            <w:pPr>
              <w:spacing w:after="0" w:line="240" w:lineRule="auto"/>
              <w:jc w:val="right"/>
              <w:rPr>
                <w:rFonts w:ascii="Tahoma" w:eastAsia="Times New Roman" w:hAnsi="Tahoma" w:cs="Tahoma"/>
                <w:sz w:val="20"/>
                <w:szCs w:val="20"/>
                <w:lang w:eastAsia="hr-HR"/>
              </w:rPr>
            </w:pPr>
            <w:r w:rsidRPr="001752B7">
              <w:rPr>
                <w:rFonts w:ascii="Tahoma" w:eastAsia="Times New Roman" w:hAnsi="Tahoma" w:cs="Tahoma"/>
                <w:sz w:val="20"/>
                <w:szCs w:val="20"/>
                <w:lang w:eastAsia="hr-HR"/>
              </w:rPr>
              <w:t> </w:t>
            </w:r>
          </w:p>
        </w:tc>
        <w:tc>
          <w:tcPr>
            <w:tcW w:w="425" w:type="dxa"/>
            <w:tcBorders>
              <w:top w:val="nil"/>
              <w:left w:val="single" w:sz="4" w:space="0" w:color="auto"/>
              <w:bottom w:val="single" w:sz="4" w:space="0" w:color="auto"/>
              <w:right w:val="single" w:sz="8" w:space="0" w:color="auto"/>
            </w:tcBorders>
            <w:shd w:val="clear" w:color="000000" w:fill="33CCCC"/>
            <w:noWrap/>
            <w:vAlign w:val="center"/>
            <w:hideMark/>
          </w:tcPr>
          <w:p w14:paraId="08CDDDB2" w14:textId="77777777" w:rsidR="001752B7" w:rsidRPr="001752B7" w:rsidRDefault="001752B7" w:rsidP="001752B7">
            <w:pPr>
              <w:spacing w:after="0" w:line="240" w:lineRule="auto"/>
              <w:jc w:val="right"/>
              <w:rPr>
                <w:rFonts w:ascii="Tahoma" w:eastAsia="Times New Roman" w:hAnsi="Tahoma" w:cs="Tahoma"/>
                <w:sz w:val="20"/>
                <w:szCs w:val="20"/>
                <w:lang w:eastAsia="hr-HR"/>
              </w:rPr>
            </w:pPr>
            <w:r w:rsidRPr="001752B7">
              <w:rPr>
                <w:rFonts w:ascii="Tahoma" w:eastAsia="Times New Roman" w:hAnsi="Tahoma" w:cs="Tahoma"/>
                <w:sz w:val="20"/>
                <w:szCs w:val="20"/>
                <w:lang w:eastAsia="hr-HR"/>
              </w:rPr>
              <w:t>6</w:t>
            </w:r>
          </w:p>
        </w:tc>
        <w:tc>
          <w:tcPr>
            <w:tcW w:w="236" w:type="dxa"/>
            <w:vAlign w:val="center"/>
            <w:hideMark/>
          </w:tcPr>
          <w:p w14:paraId="5CBE9C1A" w14:textId="77777777" w:rsidR="001752B7" w:rsidRPr="001752B7" w:rsidRDefault="001752B7" w:rsidP="001752B7">
            <w:pPr>
              <w:spacing w:after="0" w:line="240" w:lineRule="auto"/>
              <w:rPr>
                <w:rFonts w:ascii="Times New Roman" w:eastAsia="Times New Roman" w:hAnsi="Times New Roman" w:cs="Times New Roman"/>
                <w:sz w:val="20"/>
                <w:szCs w:val="20"/>
                <w:lang w:eastAsia="hr-HR"/>
              </w:rPr>
            </w:pPr>
          </w:p>
        </w:tc>
      </w:tr>
      <w:tr w:rsidR="001752B7" w:rsidRPr="001752B7" w14:paraId="6CF6A879" w14:textId="77777777" w:rsidTr="000271A1">
        <w:trPr>
          <w:gridAfter w:val="1"/>
          <w:wAfter w:w="31" w:type="dxa"/>
          <w:trHeight w:val="300"/>
        </w:trPr>
        <w:tc>
          <w:tcPr>
            <w:tcW w:w="1408" w:type="dxa"/>
            <w:tcBorders>
              <w:top w:val="single" w:sz="4" w:space="0" w:color="auto"/>
              <w:left w:val="single" w:sz="8" w:space="0" w:color="auto"/>
              <w:bottom w:val="single" w:sz="4" w:space="0" w:color="auto"/>
              <w:right w:val="single" w:sz="4" w:space="0" w:color="auto"/>
            </w:tcBorders>
            <w:shd w:val="clear" w:color="000000" w:fill="CCFFCC"/>
            <w:vAlign w:val="center"/>
            <w:hideMark/>
          </w:tcPr>
          <w:p w14:paraId="5C66F52A" w14:textId="77777777" w:rsidR="001752B7" w:rsidRPr="001752B7" w:rsidRDefault="001752B7" w:rsidP="001752B7">
            <w:pPr>
              <w:spacing w:after="0" w:line="240" w:lineRule="auto"/>
              <w:rPr>
                <w:rFonts w:ascii="Tahoma" w:eastAsia="Times New Roman" w:hAnsi="Tahoma" w:cs="Tahoma"/>
                <w:sz w:val="20"/>
                <w:szCs w:val="20"/>
                <w:lang w:eastAsia="hr-HR"/>
              </w:rPr>
            </w:pPr>
            <w:r w:rsidRPr="001752B7">
              <w:rPr>
                <w:rFonts w:ascii="Tahoma" w:eastAsia="Times New Roman" w:hAnsi="Tahoma" w:cs="Tahoma"/>
                <w:sz w:val="20"/>
                <w:szCs w:val="20"/>
                <w:lang w:eastAsia="hr-HR"/>
              </w:rPr>
              <w:t>Nacionalno podrijetlo</w:t>
            </w:r>
          </w:p>
        </w:tc>
        <w:tc>
          <w:tcPr>
            <w:tcW w:w="673" w:type="dxa"/>
            <w:tcBorders>
              <w:top w:val="nil"/>
              <w:left w:val="nil"/>
              <w:bottom w:val="single" w:sz="4" w:space="0" w:color="auto"/>
              <w:right w:val="single" w:sz="4" w:space="0" w:color="auto"/>
            </w:tcBorders>
            <w:shd w:val="clear" w:color="000000" w:fill="FFCC99"/>
            <w:noWrap/>
            <w:vAlign w:val="center"/>
            <w:hideMark/>
          </w:tcPr>
          <w:p w14:paraId="74D82605" w14:textId="77777777" w:rsidR="001752B7" w:rsidRPr="001752B7" w:rsidRDefault="001752B7" w:rsidP="001752B7">
            <w:pPr>
              <w:spacing w:after="0" w:line="240" w:lineRule="auto"/>
              <w:jc w:val="right"/>
              <w:rPr>
                <w:rFonts w:ascii="Tahoma" w:eastAsia="Times New Roman" w:hAnsi="Tahoma" w:cs="Tahoma"/>
                <w:sz w:val="20"/>
                <w:szCs w:val="20"/>
                <w:lang w:eastAsia="hr-HR"/>
              </w:rPr>
            </w:pPr>
            <w:r w:rsidRPr="001752B7">
              <w:rPr>
                <w:rFonts w:ascii="Tahoma" w:eastAsia="Times New Roman" w:hAnsi="Tahoma" w:cs="Tahoma"/>
                <w:sz w:val="20"/>
                <w:szCs w:val="20"/>
                <w:lang w:eastAsia="hr-HR"/>
              </w:rPr>
              <w:t>11</w:t>
            </w:r>
          </w:p>
        </w:tc>
        <w:tc>
          <w:tcPr>
            <w:tcW w:w="521" w:type="dxa"/>
            <w:tcBorders>
              <w:top w:val="nil"/>
              <w:left w:val="nil"/>
              <w:bottom w:val="single" w:sz="4" w:space="0" w:color="auto"/>
              <w:right w:val="single" w:sz="4" w:space="0" w:color="auto"/>
            </w:tcBorders>
            <w:shd w:val="clear" w:color="000000" w:fill="FFFF00"/>
            <w:noWrap/>
            <w:vAlign w:val="center"/>
            <w:hideMark/>
          </w:tcPr>
          <w:p w14:paraId="23377EE3" w14:textId="77777777" w:rsidR="001752B7" w:rsidRPr="001752B7" w:rsidRDefault="001752B7" w:rsidP="001752B7">
            <w:pPr>
              <w:spacing w:after="0" w:line="240" w:lineRule="auto"/>
              <w:jc w:val="right"/>
              <w:rPr>
                <w:rFonts w:ascii="Tahoma" w:eastAsia="Times New Roman" w:hAnsi="Tahoma" w:cs="Tahoma"/>
                <w:sz w:val="20"/>
                <w:szCs w:val="20"/>
                <w:lang w:eastAsia="hr-HR"/>
              </w:rPr>
            </w:pPr>
            <w:r w:rsidRPr="001752B7">
              <w:rPr>
                <w:rFonts w:ascii="Tahoma" w:eastAsia="Times New Roman" w:hAnsi="Tahoma" w:cs="Tahoma"/>
                <w:sz w:val="20"/>
                <w:szCs w:val="20"/>
                <w:lang w:eastAsia="hr-HR"/>
              </w:rPr>
              <w:t>2</w:t>
            </w:r>
          </w:p>
        </w:tc>
        <w:tc>
          <w:tcPr>
            <w:tcW w:w="477" w:type="dxa"/>
            <w:tcBorders>
              <w:top w:val="nil"/>
              <w:left w:val="nil"/>
              <w:bottom w:val="single" w:sz="4" w:space="0" w:color="auto"/>
              <w:right w:val="single" w:sz="4" w:space="0" w:color="auto"/>
            </w:tcBorders>
            <w:shd w:val="clear" w:color="000000" w:fill="CCFFFF"/>
            <w:noWrap/>
            <w:vAlign w:val="center"/>
            <w:hideMark/>
          </w:tcPr>
          <w:p w14:paraId="230B81B0" w14:textId="77777777" w:rsidR="001752B7" w:rsidRPr="001752B7" w:rsidRDefault="001752B7" w:rsidP="001752B7">
            <w:pPr>
              <w:spacing w:after="0" w:line="240" w:lineRule="auto"/>
              <w:jc w:val="right"/>
              <w:rPr>
                <w:rFonts w:ascii="Tahoma" w:eastAsia="Times New Roman" w:hAnsi="Tahoma" w:cs="Tahoma"/>
                <w:sz w:val="20"/>
                <w:szCs w:val="20"/>
                <w:lang w:eastAsia="hr-HR"/>
              </w:rPr>
            </w:pPr>
            <w:r w:rsidRPr="001752B7">
              <w:rPr>
                <w:rFonts w:ascii="Tahoma" w:eastAsia="Times New Roman" w:hAnsi="Tahoma" w:cs="Tahoma"/>
                <w:sz w:val="20"/>
                <w:szCs w:val="20"/>
                <w:lang w:eastAsia="hr-HR"/>
              </w:rPr>
              <w:t> </w:t>
            </w:r>
          </w:p>
        </w:tc>
        <w:tc>
          <w:tcPr>
            <w:tcW w:w="426" w:type="dxa"/>
            <w:tcBorders>
              <w:top w:val="nil"/>
              <w:left w:val="nil"/>
              <w:bottom w:val="single" w:sz="4" w:space="0" w:color="auto"/>
              <w:right w:val="single" w:sz="4" w:space="0" w:color="auto"/>
            </w:tcBorders>
            <w:shd w:val="clear" w:color="000000" w:fill="CCFFFF"/>
            <w:noWrap/>
            <w:vAlign w:val="center"/>
            <w:hideMark/>
          </w:tcPr>
          <w:p w14:paraId="0B7B11C3" w14:textId="77777777" w:rsidR="001752B7" w:rsidRPr="001752B7" w:rsidRDefault="001752B7" w:rsidP="001752B7">
            <w:pPr>
              <w:spacing w:after="0" w:line="240" w:lineRule="auto"/>
              <w:jc w:val="right"/>
              <w:rPr>
                <w:rFonts w:ascii="Tahoma" w:eastAsia="Times New Roman" w:hAnsi="Tahoma" w:cs="Tahoma"/>
                <w:sz w:val="20"/>
                <w:szCs w:val="20"/>
                <w:lang w:eastAsia="hr-HR"/>
              </w:rPr>
            </w:pPr>
            <w:r w:rsidRPr="001752B7">
              <w:rPr>
                <w:rFonts w:ascii="Tahoma" w:eastAsia="Times New Roman" w:hAnsi="Tahoma" w:cs="Tahoma"/>
                <w:sz w:val="20"/>
                <w:szCs w:val="20"/>
                <w:lang w:eastAsia="hr-HR"/>
              </w:rPr>
              <w:t>2</w:t>
            </w:r>
          </w:p>
        </w:tc>
        <w:tc>
          <w:tcPr>
            <w:tcW w:w="698" w:type="dxa"/>
            <w:tcBorders>
              <w:top w:val="nil"/>
              <w:left w:val="nil"/>
              <w:bottom w:val="single" w:sz="4" w:space="0" w:color="auto"/>
              <w:right w:val="single" w:sz="4" w:space="0" w:color="auto"/>
            </w:tcBorders>
            <w:shd w:val="clear" w:color="000000" w:fill="FFFF99"/>
            <w:noWrap/>
            <w:vAlign w:val="center"/>
            <w:hideMark/>
          </w:tcPr>
          <w:p w14:paraId="0B650AA2" w14:textId="77777777" w:rsidR="001752B7" w:rsidRPr="001752B7" w:rsidRDefault="001752B7" w:rsidP="001752B7">
            <w:pPr>
              <w:spacing w:after="0" w:line="240" w:lineRule="auto"/>
              <w:jc w:val="right"/>
              <w:rPr>
                <w:rFonts w:ascii="Tahoma" w:eastAsia="Times New Roman" w:hAnsi="Tahoma" w:cs="Tahoma"/>
                <w:sz w:val="20"/>
                <w:szCs w:val="20"/>
                <w:lang w:eastAsia="hr-HR"/>
              </w:rPr>
            </w:pPr>
            <w:r w:rsidRPr="001752B7">
              <w:rPr>
                <w:rFonts w:ascii="Tahoma" w:eastAsia="Times New Roman" w:hAnsi="Tahoma" w:cs="Tahoma"/>
                <w:sz w:val="20"/>
                <w:szCs w:val="20"/>
                <w:lang w:eastAsia="hr-HR"/>
              </w:rPr>
              <w:t>2</w:t>
            </w:r>
          </w:p>
        </w:tc>
        <w:tc>
          <w:tcPr>
            <w:tcW w:w="698" w:type="dxa"/>
            <w:tcBorders>
              <w:top w:val="nil"/>
              <w:left w:val="nil"/>
              <w:bottom w:val="single" w:sz="4" w:space="0" w:color="auto"/>
              <w:right w:val="single" w:sz="4" w:space="0" w:color="auto"/>
            </w:tcBorders>
            <w:shd w:val="clear" w:color="000000" w:fill="FFFF99"/>
            <w:noWrap/>
            <w:vAlign w:val="center"/>
            <w:hideMark/>
          </w:tcPr>
          <w:p w14:paraId="3E55A372" w14:textId="77777777" w:rsidR="001752B7" w:rsidRPr="001752B7" w:rsidRDefault="001752B7" w:rsidP="001752B7">
            <w:pPr>
              <w:spacing w:after="0" w:line="240" w:lineRule="auto"/>
              <w:jc w:val="right"/>
              <w:rPr>
                <w:rFonts w:ascii="Tahoma" w:eastAsia="Times New Roman" w:hAnsi="Tahoma" w:cs="Tahoma"/>
                <w:sz w:val="20"/>
                <w:szCs w:val="20"/>
                <w:lang w:eastAsia="hr-HR"/>
              </w:rPr>
            </w:pPr>
            <w:r w:rsidRPr="001752B7">
              <w:rPr>
                <w:rFonts w:ascii="Tahoma" w:eastAsia="Times New Roman" w:hAnsi="Tahoma" w:cs="Tahoma"/>
                <w:sz w:val="20"/>
                <w:szCs w:val="20"/>
                <w:lang w:eastAsia="hr-HR"/>
              </w:rPr>
              <w:t> </w:t>
            </w:r>
          </w:p>
        </w:tc>
        <w:tc>
          <w:tcPr>
            <w:tcW w:w="698" w:type="dxa"/>
            <w:tcBorders>
              <w:top w:val="nil"/>
              <w:left w:val="nil"/>
              <w:bottom w:val="single" w:sz="4" w:space="0" w:color="auto"/>
              <w:right w:val="single" w:sz="4" w:space="0" w:color="auto"/>
            </w:tcBorders>
            <w:shd w:val="clear" w:color="000000" w:fill="FFFF99"/>
            <w:noWrap/>
            <w:vAlign w:val="center"/>
            <w:hideMark/>
          </w:tcPr>
          <w:p w14:paraId="766C27E6" w14:textId="77777777" w:rsidR="001752B7" w:rsidRPr="001752B7" w:rsidRDefault="001752B7" w:rsidP="001752B7">
            <w:pPr>
              <w:spacing w:after="0" w:line="240" w:lineRule="auto"/>
              <w:jc w:val="right"/>
              <w:rPr>
                <w:rFonts w:ascii="Tahoma" w:eastAsia="Times New Roman" w:hAnsi="Tahoma" w:cs="Tahoma"/>
                <w:sz w:val="20"/>
                <w:szCs w:val="20"/>
                <w:lang w:eastAsia="hr-HR"/>
              </w:rPr>
            </w:pPr>
            <w:r w:rsidRPr="001752B7">
              <w:rPr>
                <w:rFonts w:ascii="Tahoma" w:eastAsia="Times New Roman" w:hAnsi="Tahoma" w:cs="Tahoma"/>
                <w:sz w:val="20"/>
                <w:szCs w:val="20"/>
                <w:lang w:eastAsia="hr-HR"/>
              </w:rPr>
              <w:t> </w:t>
            </w:r>
          </w:p>
        </w:tc>
        <w:tc>
          <w:tcPr>
            <w:tcW w:w="698" w:type="dxa"/>
            <w:tcBorders>
              <w:top w:val="nil"/>
              <w:left w:val="nil"/>
              <w:bottom w:val="single" w:sz="4" w:space="0" w:color="auto"/>
              <w:right w:val="single" w:sz="4" w:space="0" w:color="auto"/>
            </w:tcBorders>
            <w:shd w:val="clear" w:color="000000" w:fill="FFFF99"/>
            <w:noWrap/>
            <w:vAlign w:val="center"/>
            <w:hideMark/>
          </w:tcPr>
          <w:p w14:paraId="2E439A71" w14:textId="77777777" w:rsidR="001752B7" w:rsidRPr="001752B7" w:rsidRDefault="001752B7" w:rsidP="001752B7">
            <w:pPr>
              <w:spacing w:after="0" w:line="240" w:lineRule="auto"/>
              <w:jc w:val="right"/>
              <w:rPr>
                <w:rFonts w:ascii="Tahoma" w:eastAsia="Times New Roman" w:hAnsi="Tahoma" w:cs="Tahoma"/>
                <w:sz w:val="20"/>
                <w:szCs w:val="20"/>
                <w:lang w:eastAsia="hr-HR"/>
              </w:rPr>
            </w:pPr>
            <w:r w:rsidRPr="001752B7">
              <w:rPr>
                <w:rFonts w:ascii="Tahoma" w:eastAsia="Times New Roman" w:hAnsi="Tahoma" w:cs="Tahoma"/>
                <w:sz w:val="20"/>
                <w:szCs w:val="20"/>
                <w:lang w:eastAsia="hr-HR"/>
              </w:rPr>
              <w:t> </w:t>
            </w:r>
          </w:p>
        </w:tc>
        <w:tc>
          <w:tcPr>
            <w:tcW w:w="698" w:type="dxa"/>
            <w:tcBorders>
              <w:top w:val="nil"/>
              <w:left w:val="nil"/>
              <w:bottom w:val="single" w:sz="4" w:space="0" w:color="auto"/>
              <w:right w:val="single" w:sz="4" w:space="0" w:color="auto"/>
            </w:tcBorders>
            <w:shd w:val="clear" w:color="000000" w:fill="FFFF99"/>
            <w:noWrap/>
            <w:vAlign w:val="center"/>
            <w:hideMark/>
          </w:tcPr>
          <w:p w14:paraId="7288AC80" w14:textId="77777777" w:rsidR="001752B7" w:rsidRPr="001752B7" w:rsidRDefault="001752B7" w:rsidP="001752B7">
            <w:pPr>
              <w:spacing w:after="0" w:line="240" w:lineRule="auto"/>
              <w:jc w:val="right"/>
              <w:rPr>
                <w:rFonts w:ascii="Tahoma" w:eastAsia="Times New Roman" w:hAnsi="Tahoma" w:cs="Tahoma"/>
                <w:sz w:val="20"/>
                <w:szCs w:val="20"/>
                <w:lang w:eastAsia="hr-HR"/>
              </w:rPr>
            </w:pPr>
            <w:r w:rsidRPr="001752B7">
              <w:rPr>
                <w:rFonts w:ascii="Tahoma" w:eastAsia="Times New Roman" w:hAnsi="Tahoma" w:cs="Tahoma"/>
                <w:sz w:val="20"/>
                <w:szCs w:val="20"/>
                <w:lang w:eastAsia="hr-HR"/>
              </w:rPr>
              <w:t> </w:t>
            </w:r>
          </w:p>
        </w:tc>
        <w:tc>
          <w:tcPr>
            <w:tcW w:w="698" w:type="dxa"/>
            <w:tcBorders>
              <w:top w:val="nil"/>
              <w:left w:val="nil"/>
              <w:bottom w:val="single" w:sz="4" w:space="0" w:color="auto"/>
              <w:right w:val="single" w:sz="4" w:space="0" w:color="auto"/>
            </w:tcBorders>
            <w:shd w:val="clear" w:color="000000" w:fill="FFFF99"/>
            <w:noWrap/>
            <w:vAlign w:val="center"/>
            <w:hideMark/>
          </w:tcPr>
          <w:p w14:paraId="004EA756" w14:textId="77777777" w:rsidR="001752B7" w:rsidRPr="001752B7" w:rsidRDefault="001752B7" w:rsidP="001752B7">
            <w:pPr>
              <w:spacing w:after="0" w:line="240" w:lineRule="auto"/>
              <w:jc w:val="right"/>
              <w:rPr>
                <w:rFonts w:ascii="Tahoma" w:eastAsia="Times New Roman" w:hAnsi="Tahoma" w:cs="Tahoma"/>
                <w:sz w:val="20"/>
                <w:szCs w:val="20"/>
                <w:lang w:eastAsia="hr-HR"/>
              </w:rPr>
            </w:pPr>
            <w:r w:rsidRPr="001752B7">
              <w:rPr>
                <w:rFonts w:ascii="Tahoma" w:eastAsia="Times New Roman" w:hAnsi="Tahoma" w:cs="Tahoma"/>
                <w:sz w:val="20"/>
                <w:szCs w:val="20"/>
                <w:lang w:eastAsia="hr-HR"/>
              </w:rPr>
              <w:t> </w:t>
            </w:r>
          </w:p>
        </w:tc>
        <w:tc>
          <w:tcPr>
            <w:tcW w:w="469" w:type="dxa"/>
            <w:tcBorders>
              <w:top w:val="nil"/>
              <w:left w:val="nil"/>
              <w:bottom w:val="single" w:sz="4" w:space="0" w:color="auto"/>
              <w:right w:val="single" w:sz="4" w:space="0" w:color="auto"/>
            </w:tcBorders>
            <w:shd w:val="clear" w:color="000000" w:fill="FF9900"/>
            <w:noWrap/>
            <w:vAlign w:val="center"/>
            <w:hideMark/>
          </w:tcPr>
          <w:p w14:paraId="64763308" w14:textId="77777777" w:rsidR="001752B7" w:rsidRPr="001752B7" w:rsidRDefault="001752B7" w:rsidP="001752B7">
            <w:pPr>
              <w:spacing w:after="0" w:line="240" w:lineRule="auto"/>
              <w:jc w:val="right"/>
              <w:rPr>
                <w:rFonts w:ascii="Tahoma" w:eastAsia="Times New Roman" w:hAnsi="Tahoma" w:cs="Tahoma"/>
                <w:sz w:val="20"/>
                <w:szCs w:val="20"/>
                <w:lang w:eastAsia="hr-HR"/>
              </w:rPr>
            </w:pPr>
            <w:r w:rsidRPr="001752B7">
              <w:rPr>
                <w:rFonts w:ascii="Tahoma" w:eastAsia="Times New Roman" w:hAnsi="Tahoma" w:cs="Tahoma"/>
                <w:sz w:val="20"/>
                <w:szCs w:val="20"/>
                <w:lang w:eastAsia="hr-HR"/>
              </w:rPr>
              <w:t> </w:t>
            </w:r>
          </w:p>
        </w:tc>
        <w:tc>
          <w:tcPr>
            <w:tcW w:w="419" w:type="dxa"/>
            <w:tcBorders>
              <w:top w:val="nil"/>
              <w:left w:val="nil"/>
              <w:bottom w:val="single" w:sz="4" w:space="0" w:color="auto"/>
              <w:right w:val="single" w:sz="4" w:space="0" w:color="auto"/>
            </w:tcBorders>
            <w:shd w:val="clear" w:color="000000" w:fill="FF9900"/>
            <w:noWrap/>
            <w:vAlign w:val="center"/>
            <w:hideMark/>
          </w:tcPr>
          <w:p w14:paraId="25909ADE" w14:textId="77777777" w:rsidR="001752B7" w:rsidRPr="001752B7" w:rsidRDefault="001752B7" w:rsidP="001752B7">
            <w:pPr>
              <w:spacing w:after="0" w:line="240" w:lineRule="auto"/>
              <w:jc w:val="right"/>
              <w:rPr>
                <w:rFonts w:ascii="Tahoma" w:eastAsia="Times New Roman" w:hAnsi="Tahoma" w:cs="Tahoma"/>
                <w:sz w:val="20"/>
                <w:szCs w:val="20"/>
                <w:lang w:eastAsia="hr-HR"/>
              </w:rPr>
            </w:pPr>
            <w:r w:rsidRPr="001752B7">
              <w:rPr>
                <w:rFonts w:ascii="Tahoma" w:eastAsia="Times New Roman" w:hAnsi="Tahoma" w:cs="Tahoma"/>
                <w:sz w:val="20"/>
                <w:szCs w:val="20"/>
                <w:lang w:eastAsia="hr-HR"/>
              </w:rPr>
              <w:t>5</w:t>
            </w:r>
          </w:p>
        </w:tc>
        <w:tc>
          <w:tcPr>
            <w:tcW w:w="521" w:type="dxa"/>
            <w:tcBorders>
              <w:top w:val="nil"/>
              <w:left w:val="nil"/>
              <w:bottom w:val="single" w:sz="4" w:space="0" w:color="auto"/>
              <w:right w:val="single" w:sz="4" w:space="0" w:color="auto"/>
            </w:tcBorders>
            <w:shd w:val="clear" w:color="000000" w:fill="FF9900"/>
            <w:noWrap/>
            <w:vAlign w:val="center"/>
            <w:hideMark/>
          </w:tcPr>
          <w:p w14:paraId="3791FA29" w14:textId="77777777" w:rsidR="001752B7" w:rsidRPr="001752B7" w:rsidRDefault="001752B7" w:rsidP="001752B7">
            <w:pPr>
              <w:spacing w:after="0" w:line="240" w:lineRule="auto"/>
              <w:jc w:val="right"/>
              <w:rPr>
                <w:rFonts w:ascii="Tahoma" w:eastAsia="Times New Roman" w:hAnsi="Tahoma" w:cs="Tahoma"/>
                <w:sz w:val="20"/>
                <w:szCs w:val="20"/>
                <w:lang w:eastAsia="hr-HR"/>
              </w:rPr>
            </w:pPr>
            <w:r w:rsidRPr="001752B7">
              <w:rPr>
                <w:rFonts w:ascii="Tahoma" w:eastAsia="Times New Roman" w:hAnsi="Tahoma" w:cs="Tahoma"/>
                <w:sz w:val="20"/>
                <w:szCs w:val="20"/>
                <w:lang w:eastAsia="hr-HR"/>
              </w:rPr>
              <w:t>3</w:t>
            </w:r>
          </w:p>
        </w:tc>
        <w:tc>
          <w:tcPr>
            <w:tcW w:w="476" w:type="dxa"/>
            <w:tcBorders>
              <w:top w:val="nil"/>
              <w:left w:val="nil"/>
              <w:bottom w:val="single" w:sz="4" w:space="0" w:color="auto"/>
              <w:right w:val="single" w:sz="4" w:space="0" w:color="auto"/>
            </w:tcBorders>
            <w:shd w:val="clear" w:color="000000" w:fill="FFFF00"/>
            <w:vAlign w:val="center"/>
            <w:hideMark/>
          </w:tcPr>
          <w:p w14:paraId="7636C39E" w14:textId="77777777" w:rsidR="001752B7" w:rsidRPr="001752B7" w:rsidRDefault="001752B7" w:rsidP="001752B7">
            <w:pPr>
              <w:spacing w:after="0" w:line="240" w:lineRule="auto"/>
              <w:jc w:val="right"/>
              <w:rPr>
                <w:rFonts w:ascii="Tahoma" w:eastAsia="Times New Roman" w:hAnsi="Tahoma" w:cs="Tahoma"/>
                <w:sz w:val="20"/>
                <w:szCs w:val="20"/>
                <w:lang w:eastAsia="hr-HR"/>
              </w:rPr>
            </w:pPr>
            <w:r w:rsidRPr="001752B7">
              <w:rPr>
                <w:rFonts w:ascii="Tahoma" w:eastAsia="Times New Roman" w:hAnsi="Tahoma" w:cs="Tahoma"/>
                <w:sz w:val="20"/>
                <w:szCs w:val="20"/>
                <w:lang w:eastAsia="hr-HR"/>
              </w:rPr>
              <w:t>8</w:t>
            </w:r>
          </w:p>
        </w:tc>
        <w:tc>
          <w:tcPr>
            <w:tcW w:w="698" w:type="dxa"/>
            <w:tcBorders>
              <w:top w:val="nil"/>
              <w:left w:val="nil"/>
              <w:bottom w:val="single" w:sz="4" w:space="0" w:color="auto"/>
              <w:right w:val="single" w:sz="4" w:space="0" w:color="auto"/>
            </w:tcBorders>
            <w:shd w:val="clear" w:color="000000" w:fill="FF9900"/>
            <w:vAlign w:val="center"/>
            <w:hideMark/>
          </w:tcPr>
          <w:p w14:paraId="2DFB849A" w14:textId="77777777" w:rsidR="001752B7" w:rsidRPr="001752B7" w:rsidRDefault="001752B7" w:rsidP="001752B7">
            <w:pPr>
              <w:spacing w:after="0" w:line="240" w:lineRule="auto"/>
              <w:jc w:val="right"/>
              <w:rPr>
                <w:rFonts w:ascii="Tahoma" w:eastAsia="Times New Roman" w:hAnsi="Tahoma" w:cs="Tahoma"/>
                <w:sz w:val="20"/>
                <w:szCs w:val="20"/>
                <w:lang w:eastAsia="hr-HR"/>
              </w:rPr>
            </w:pPr>
            <w:r w:rsidRPr="001752B7">
              <w:rPr>
                <w:rFonts w:ascii="Tahoma" w:eastAsia="Times New Roman" w:hAnsi="Tahoma" w:cs="Tahoma"/>
                <w:sz w:val="20"/>
                <w:szCs w:val="20"/>
                <w:lang w:eastAsia="hr-HR"/>
              </w:rPr>
              <w:t>5</w:t>
            </w:r>
          </w:p>
        </w:tc>
        <w:tc>
          <w:tcPr>
            <w:tcW w:w="643" w:type="dxa"/>
            <w:tcBorders>
              <w:top w:val="nil"/>
              <w:left w:val="nil"/>
              <w:bottom w:val="single" w:sz="4" w:space="0" w:color="auto"/>
              <w:right w:val="single" w:sz="4" w:space="0" w:color="auto"/>
            </w:tcBorders>
            <w:shd w:val="clear" w:color="000000" w:fill="FF9900"/>
            <w:noWrap/>
            <w:vAlign w:val="center"/>
            <w:hideMark/>
          </w:tcPr>
          <w:p w14:paraId="251AD9B2" w14:textId="77777777" w:rsidR="001752B7" w:rsidRPr="001752B7" w:rsidRDefault="001752B7" w:rsidP="001752B7">
            <w:pPr>
              <w:spacing w:after="0" w:line="240" w:lineRule="auto"/>
              <w:jc w:val="right"/>
              <w:rPr>
                <w:rFonts w:ascii="Tahoma" w:eastAsia="Times New Roman" w:hAnsi="Tahoma" w:cs="Tahoma"/>
                <w:sz w:val="20"/>
                <w:szCs w:val="20"/>
                <w:lang w:eastAsia="hr-HR"/>
              </w:rPr>
            </w:pPr>
            <w:r w:rsidRPr="001752B7">
              <w:rPr>
                <w:rFonts w:ascii="Tahoma" w:eastAsia="Times New Roman" w:hAnsi="Tahoma" w:cs="Tahoma"/>
                <w:sz w:val="20"/>
                <w:szCs w:val="20"/>
                <w:lang w:eastAsia="hr-HR"/>
              </w:rPr>
              <w:t>2</w:t>
            </w:r>
          </w:p>
        </w:tc>
        <w:tc>
          <w:tcPr>
            <w:tcW w:w="605" w:type="dxa"/>
            <w:tcBorders>
              <w:top w:val="nil"/>
              <w:left w:val="nil"/>
              <w:bottom w:val="single" w:sz="4" w:space="0" w:color="auto"/>
              <w:right w:val="single" w:sz="4" w:space="0" w:color="auto"/>
            </w:tcBorders>
            <w:shd w:val="clear" w:color="000000" w:fill="FF9900"/>
            <w:noWrap/>
            <w:vAlign w:val="center"/>
            <w:hideMark/>
          </w:tcPr>
          <w:p w14:paraId="121E3BA9" w14:textId="77777777" w:rsidR="001752B7" w:rsidRPr="001752B7" w:rsidRDefault="001752B7" w:rsidP="001752B7">
            <w:pPr>
              <w:spacing w:after="0" w:line="240" w:lineRule="auto"/>
              <w:jc w:val="right"/>
              <w:rPr>
                <w:rFonts w:ascii="Tahoma" w:eastAsia="Times New Roman" w:hAnsi="Tahoma" w:cs="Tahoma"/>
                <w:sz w:val="20"/>
                <w:szCs w:val="20"/>
                <w:lang w:eastAsia="hr-HR"/>
              </w:rPr>
            </w:pPr>
            <w:r w:rsidRPr="001752B7">
              <w:rPr>
                <w:rFonts w:ascii="Tahoma" w:eastAsia="Times New Roman" w:hAnsi="Tahoma" w:cs="Tahoma"/>
                <w:sz w:val="20"/>
                <w:szCs w:val="20"/>
                <w:lang w:eastAsia="hr-HR"/>
              </w:rPr>
              <w:t> </w:t>
            </w:r>
          </w:p>
        </w:tc>
        <w:tc>
          <w:tcPr>
            <w:tcW w:w="698" w:type="dxa"/>
            <w:tcBorders>
              <w:top w:val="nil"/>
              <w:left w:val="nil"/>
              <w:bottom w:val="single" w:sz="4" w:space="0" w:color="auto"/>
              <w:right w:val="single" w:sz="4" w:space="0" w:color="auto"/>
            </w:tcBorders>
            <w:shd w:val="clear" w:color="000000" w:fill="FF9900"/>
            <w:noWrap/>
            <w:vAlign w:val="center"/>
            <w:hideMark/>
          </w:tcPr>
          <w:p w14:paraId="2CE38C80" w14:textId="77777777" w:rsidR="001752B7" w:rsidRPr="001752B7" w:rsidRDefault="001752B7" w:rsidP="001752B7">
            <w:pPr>
              <w:spacing w:after="0" w:line="240" w:lineRule="auto"/>
              <w:jc w:val="right"/>
              <w:rPr>
                <w:rFonts w:ascii="Tahoma" w:eastAsia="Times New Roman" w:hAnsi="Tahoma" w:cs="Tahoma"/>
                <w:sz w:val="20"/>
                <w:szCs w:val="20"/>
                <w:lang w:eastAsia="hr-HR"/>
              </w:rPr>
            </w:pPr>
            <w:r w:rsidRPr="001752B7">
              <w:rPr>
                <w:rFonts w:ascii="Tahoma" w:eastAsia="Times New Roman" w:hAnsi="Tahoma" w:cs="Tahoma"/>
                <w:sz w:val="20"/>
                <w:szCs w:val="20"/>
                <w:lang w:eastAsia="hr-HR"/>
              </w:rPr>
              <w:t>3</w:t>
            </w:r>
          </w:p>
        </w:tc>
        <w:tc>
          <w:tcPr>
            <w:tcW w:w="464" w:type="dxa"/>
            <w:tcBorders>
              <w:top w:val="nil"/>
              <w:left w:val="nil"/>
              <w:bottom w:val="single" w:sz="4" w:space="0" w:color="auto"/>
              <w:right w:val="single" w:sz="4" w:space="0" w:color="auto"/>
            </w:tcBorders>
            <w:shd w:val="clear" w:color="000000" w:fill="CCFFFF"/>
            <w:noWrap/>
            <w:vAlign w:val="center"/>
            <w:hideMark/>
          </w:tcPr>
          <w:p w14:paraId="3091D6A1" w14:textId="77777777" w:rsidR="001752B7" w:rsidRPr="001752B7" w:rsidRDefault="001752B7" w:rsidP="001752B7">
            <w:pPr>
              <w:spacing w:after="0" w:line="240" w:lineRule="auto"/>
              <w:jc w:val="right"/>
              <w:rPr>
                <w:rFonts w:ascii="Tahoma" w:eastAsia="Times New Roman" w:hAnsi="Tahoma" w:cs="Tahoma"/>
                <w:sz w:val="20"/>
                <w:szCs w:val="20"/>
                <w:lang w:eastAsia="hr-HR"/>
              </w:rPr>
            </w:pPr>
            <w:r w:rsidRPr="001752B7">
              <w:rPr>
                <w:rFonts w:ascii="Tahoma" w:eastAsia="Times New Roman" w:hAnsi="Tahoma" w:cs="Tahoma"/>
                <w:sz w:val="20"/>
                <w:szCs w:val="20"/>
                <w:lang w:eastAsia="hr-HR"/>
              </w:rPr>
              <w:t>1</w:t>
            </w:r>
          </w:p>
        </w:tc>
        <w:tc>
          <w:tcPr>
            <w:tcW w:w="425" w:type="dxa"/>
            <w:tcBorders>
              <w:top w:val="nil"/>
              <w:left w:val="nil"/>
              <w:bottom w:val="single" w:sz="4" w:space="0" w:color="auto"/>
              <w:right w:val="single" w:sz="4" w:space="0" w:color="auto"/>
            </w:tcBorders>
            <w:shd w:val="clear" w:color="000000" w:fill="CCFFFF"/>
            <w:noWrap/>
            <w:vAlign w:val="center"/>
            <w:hideMark/>
          </w:tcPr>
          <w:p w14:paraId="65E3A6F1" w14:textId="77777777" w:rsidR="001752B7" w:rsidRPr="001752B7" w:rsidRDefault="001752B7" w:rsidP="001752B7">
            <w:pPr>
              <w:spacing w:after="0" w:line="240" w:lineRule="auto"/>
              <w:jc w:val="right"/>
              <w:rPr>
                <w:rFonts w:ascii="Tahoma" w:eastAsia="Times New Roman" w:hAnsi="Tahoma" w:cs="Tahoma"/>
                <w:sz w:val="20"/>
                <w:szCs w:val="20"/>
                <w:lang w:eastAsia="hr-HR"/>
              </w:rPr>
            </w:pPr>
            <w:r w:rsidRPr="001752B7">
              <w:rPr>
                <w:rFonts w:ascii="Tahoma" w:eastAsia="Times New Roman" w:hAnsi="Tahoma" w:cs="Tahoma"/>
                <w:sz w:val="20"/>
                <w:szCs w:val="20"/>
                <w:lang w:eastAsia="hr-HR"/>
              </w:rPr>
              <w:t>1</w:t>
            </w:r>
          </w:p>
        </w:tc>
        <w:tc>
          <w:tcPr>
            <w:tcW w:w="426" w:type="dxa"/>
            <w:tcBorders>
              <w:top w:val="nil"/>
              <w:left w:val="nil"/>
              <w:bottom w:val="single" w:sz="4" w:space="0" w:color="auto"/>
              <w:right w:val="single" w:sz="4" w:space="0" w:color="auto"/>
            </w:tcBorders>
            <w:shd w:val="clear" w:color="000000" w:fill="CCFFFF"/>
            <w:noWrap/>
            <w:vAlign w:val="center"/>
            <w:hideMark/>
          </w:tcPr>
          <w:p w14:paraId="69885E30" w14:textId="77777777" w:rsidR="001752B7" w:rsidRPr="001752B7" w:rsidRDefault="001752B7" w:rsidP="001752B7">
            <w:pPr>
              <w:spacing w:after="0" w:line="240" w:lineRule="auto"/>
              <w:jc w:val="right"/>
              <w:rPr>
                <w:rFonts w:ascii="Tahoma" w:eastAsia="Times New Roman" w:hAnsi="Tahoma" w:cs="Tahoma"/>
                <w:sz w:val="20"/>
                <w:szCs w:val="20"/>
                <w:lang w:eastAsia="hr-HR"/>
              </w:rPr>
            </w:pPr>
            <w:r w:rsidRPr="001752B7">
              <w:rPr>
                <w:rFonts w:ascii="Tahoma" w:eastAsia="Times New Roman" w:hAnsi="Tahoma" w:cs="Tahoma"/>
                <w:sz w:val="20"/>
                <w:szCs w:val="20"/>
                <w:lang w:eastAsia="hr-HR"/>
              </w:rPr>
              <w:t> </w:t>
            </w:r>
          </w:p>
        </w:tc>
        <w:tc>
          <w:tcPr>
            <w:tcW w:w="487" w:type="dxa"/>
            <w:tcBorders>
              <w:top w:val="nil"/>
              <w:left w:val="nil"/>
              <w:bottom w:val="single" w:sz="4" w:space="0" w:color="auto"/>
              <w:right w:val="nil"/>
            </w:tcBorders>
            <w:shd w:val="clear" w:color="000000" w:fill="33CCCC"/>
            <w:noWrap/>
            <w:vAlign w:val="center"/>
            <w:hideMark/>
          </w:tcPr>
          <w:p w14:paraId="2F925432" w14:textId="77777777" w:rsidR="001752B7" w:rsidRPr="001752B7" w:rsidRDefault="001752B7" w:rsidP="001752B7">
            <w:pPr>
              <w:spacing w:after="0" w:line="240" w:lineRule="auto"/>
              <w:jc w:val="right"/>
              <w:rPr>
                <w:rFonts w:ascii="Tahoma" w:eastAsia="Times New Roman" w:hAnsi="Tahoma" w:cs="Tahoma"/>
                <w:sz w:val="20"/>
                <w:szCs w:val="20"/>
                <w:lang w:eastAsia="hr-HR"/>
              </w:rPr>
            </w:pPr>
            <w:r w:rsidRPr="001752B7">
              <w:rPr>
                <w:rFonts w:ascii="Tahoma" w:eastAsia="Times New Roman" w:hAnsi="Tahoma" w:cs="Tahoma"/>
                <w:sz w:val="20"/>
                <w:szCs w:val="20"/>
                <w:lang w:eastAsia="hr-HR"/>
              </w:rPr>
              <w:t>1</w:t>
            </w:r>
          </w:p>
        </w:tc>
        <w:tc>
          <w:tcPr>
            <w:tcW w:w="425" w:type="dxa"/>
            <w:tcBorders>
              <w:top w:val="nil"/>
              <w:left w:val="single" w:sz="4" w:space="0" w:color="auto"/>
              <w:bottom w:val="single" w:sz="4" w:space="0" w:color="auto"/>
              <w:right w:val="single" w:sz="8" w:space="0" w:color="auto"/>
            </w:tcBorders>
            <w:shd w:val="clear" w:color="000000" w:fill="33CCCC"/>
            <w:noWrap/>
            <w:vAlign w:val="center"/>
            <w:hideMark/>
          </w:tcPr>
          <w:p w14:paraId="1BB4C634" w14:textId="77777777" w:rsidR="001752B7" w:rsidRPr="001752B7" w:rsidRDefault="001752B7" w:rsidP="001752B7">
            <w:pPr>
              <w:spacing w:after="0" w:line="240" w:lineRule="auto"/>
              <w:jc w:val="right"/>
              <w:rPr>
                <w:rFonts w:ascii="Tahoma" w:eastAsia="Times New Roman" w:hAnsi="Tahoma" w:cs="Tahoma"/>
                <w:sz w:val="20"/>
                <w:szCs w:val="20"/>
                <w:lang w:eastAsia="hr-HR"/>
              </w:rPr>
            </w:pPr>
            <w:r w:rsidRPr="001752B7">
              <w:rPr>
                <w:rFonts w:ascii="Tahoma" w:eastAsia="Times New Roman" w:hAnsi="Tahoma" w:cs="Tahoma"/>
                <w:sz w:val="20"/>
                <w:szCs w:val="20"/>
                <w:lang w:eastAsia="hr-HR"/>
              </w:rPr>
              <w:t>7</w:t>
            </w:r>
          </w:p>
        </w:tc>
        <w:tc>
          <w:tcPr>
            <w:tcW w:w="236" w:type="dxa"/>
            <w:vAlign w:val="center"/>
            <w:hideMark/>
          </w:tcPr>
          <w:p w14:paraId="012469AC" w14:textId="77777777" w:rsidR="001752B7" w:rsidRPr="001752B7" w:rsidRDefault="001752B7" w:rsidP="001752B7">
            <w:pPr>
              <w:spacing w:after="0" w:line="240" w:lineRule="auto"/>
              <w:rPr>
                <w:rFonts w:ascii="Times New Roman" w:eastAsia="Times New Roman" w:hAnsi="Times New Roman" w:cs="Times New Roman"/>
                <w:sz w:val="20"/>
                <w:szCs w:val="20"/>
                <w:lang w:eastAsia="hr-HR"/>
              </w:rPr>
            </w:pPr>
          </w:p>
        </w:tc>
      </w:tr>
      <w:tr w:rsidR="001752B7" w:rsidRPr="001752B7" w14:paraId="60FE67EA" w14:textId="77777777" w:rsidTr="000271A1">
        <w:trPr>
          <w:gridAfter w:val="1"/>
          <w:wAfter w:w="31" w:type="dxa"/>
          <w:trHeight w:val="300"/>
        </w:trPr>
        <w:tc>
          <w:tcPr>
            <w:tcW w:w="1408" w:type="dxa"/>
            <w:tcBorders>
              <w:top w:val="single" w:sz="4" w:space="0" w:color="auto"/>
              <w:left w:val="single" w:sz="8" w:space="0" w:color="auto"/>
              <w:bottom w:val="single" w:sz="4" w:space="0" w:color="auto"/>
              <w:right w:val="single" w:sz="4" w:space="0" w:color="auto"/>
            </w:tcBorders>
            <w:shd w:val="clear" w:color="000000" w:fill="CCFFCC"/>
            <w:vAlign w:val="center"/>
            <w:hideMark/>
          </w:tcPr>
          <w:p w14:paraId="4DAA249E" w14:textId="77777777" w:rsidR="001752B7" w:rsidRPr="001752B7" w:rsidRDefault="001752B7" w:rsidP="001752B7">
            <w:pPr>
              <w:spacing w:after="0" w:line="240" w:lineRule="auto"/>
              <w:rPr>
                <w:rFonts w:ascii="Tahoma" w:eastAsia="Times New Roman" w:hAnsi="Tahoma" w:cs="Tahoma"/>
                <w:sz w:val="20"/>
                <w:szCs w:val="20"/>
                <w:lang w:eastAsia="hr-HR"/>
              </w:rPr>
            </w:pPr>
            <w:r w:rsidRPr="001752B7">
              <w:rPr>
                <w:rFonts w:ascii="Tahoma" w:eastAsia="Times New Roman" w:hAnsi="Tahoma" w:cs="Tahoma"/>
                <w:sz w:val="20"/>
                <w:szCs w:val="20"/>
                <w:lang w:eastAsia="hr-HR"/>
              </w:rPr>
              <w:t>Socijalno podrijetlo</w:t>
            </w:r>
          </w:p>
        </w:tc>
        <w:tc>
          <w:tcPr>
            <w:tcW w:w="673" w:type="dxa"/>
            <w:tcBorders>
              <w:top w:val="nil"/>
              <w:left w:val="nil"/>
              <w:bottom w:val="single" w:sz="4" w:space="0" w:color="auto"/>
              <w:right w:val="single" w:sz="4" w:space="0" w:color="auto"/>
            </w:tcBorders>
            <w:shd w:val="clear" w:color="000000" w:fill="FFCC99"/>
            <w:noWrap/>
            <w:vAlign w:val="center"/>
            <w:hideMark/>
          </w:tcPr>
          <w:p w14:paraId="134B8DC1" w14:textId="77777777" w:rsidR="001752B7" w:rsidRPr="001752B7" w:rsidRDefault="001752B7" w:rsidP="001752B7">
            <w:pPr>
              <w:spacing w:after="0" w:line="240" w:lineRule="auto"/>
              <w:jc w:val="right"/>
              <w:rPr>
                <w:rFonts w:ascii="Tahoma" w:eastAsia="Times New Roman" w:hAnsi="Tahoma" w:cs="Tahoma"/>
                <w:sz w:val="20"/>
                <w:szCs w:val="20"/>
                <w:lang w:eastAsia="hr-HR"/>
              </w:rPr>
            </w:pPr>
            <w:r w:rsidRPr="001752B7">
              <w:rPr>
                <w:rFonts w:ascii="Tahoma" w:eastAsia="Times New Roman" w:hAnsi="Tahoma" w:cs="Tahoma"/>
                <w:sz w:val="20"/>
                <w:szCs w:val="20"/>
                <w:lang w:eastAsia="hr-HR"/>
              </w:rPr>
              <w:t>1</w:t>
            </w:r>
          </w:p>
        </w:tc>
        <w:tc>
          <w:tcPr>
            <w:tcW w:w="521" w:type="dxa"/>
            <w:tcBorders>
              <w:top w:val="nil"/>
              <w:left w:val="nil"/>
              <w:bottom w:val="single" w:sz="4" w:space="0" w:color="auto"/>
              <w:right w:val="single" w:sz="4" w:space="0" w:color="auto"/>
            </w:tcBorders>
            <w:shd w:val="clear" w:color="000000" w:fill="FFFF00"/>
            <w:noWrap/>
            <w:vAlign w:val="center"/>
            <w:hideMark/>
          </w:tcPr>
          <w:p w14:paraId="5489DC1C" w14:textId="77777777" w:rsidR="001752B7" w:rsidRPr="001752B7" w:rsidRDefault="001752B7" w:rsidP="001752B7">
            <w:pPr>
              <w:spacing w:after="0" w:line="240" w:lineRule="auto"/>
              <w:jc w:val="right"/>
              <w:rPr>
                <w:rFonts w:ascii="Tahoma" w:eastAsia="Times New Roman" w:hAnsi="Tahoma" w:cs="Tahoma"/>
                <w:sz w:val="20"/>
                <w:szCs w:val="20"/>
                <w:lang w:eastAsia="hr-HR"/>
              </w:rPr>
            </w:pPr>
            <w:r w:rsidRPr="001752B7">
              <w:rPr>
                <w:rFonts w:ascii="Tahoma" w:eastAsia="Times New Roman" w:hAnsi="Tahoma" w:cs="Tahoma"/>
                <w:sz w:val="20"/>
                <w:szCs w:val="20"/>
                <w:lang w:eastAsia="hr-HR"/>
              </w:rPr>
              <w:t>1</w:t>
            </w:r>
          </w:p>
        </w:tc>
        <w:tc>
          <w:tcPr>
            <w:tcW w:w="477" w:type="dxa"/>
            <w:tcBorders>
              <w:top w:val="nil"/>
              <w:left w:val="nil"/>
              <w:bottom w:val="single" w:sz="4" w:space="0" w:color="auto"/>
              <w:right w:val="single" w:sz="4" w:space="0" w:color="auto"/>
            </w:tcBorders>
            <w:shd w:val="clear" w:color="000000" w:fill="CCFFFF"/>
            <w:noWrap/>
            <w:vAlign w:val="center"/>
            <w:hideMark/>
          </w:tcPr>
          <w:p w14:paraId="47CE0473" w14:textId="77777777" w:rsidR="001752B7" w:rsidRPr="001752B7" w:rsidRDefault="001752B7" w:rsidP="001752B7">
            <w:pPr>
              <w:spacing w:after="0" w:line="240" w:lineRule="auto"/>
              <w:jc w:val="right"/>
              <w:rPr>
                <w:rFonts w:ascii="Tahoma" w:eastAsia="Times New Roman" w:hAnsi="Tahoma" w:cs="Tahoma"/>
                <w:sz w:val="20"/>
                <w:szCs w:val="20"/>
                <w:lang w:eastAsia="hr-HR"/>
              </w:rPr>
            </w:pPr>
            <w:r w:rsidRPr="001752B7">
              <w:rPr>
                <w:rFonts w:ascii="Tahoma" w:eastAsia="Times New Roman" w:hAnsi="Tahoma" w:cs="Tahoma"/>
                <w:sz w:val="20"/>
                <w:szCs w:val="20"/>
                <w:lang w:eastAsia="hr-HR"/>
              </w:rPr>
              <w:t> </w:t>
            </w:r>
          </w:p>
        </w:tc>
        <w:tc>
          <w:tcPr>
            <w:tcW w:w="426" w:type="dxa"/>
            <w:tcBorders>
              <w:top w:val="nil"/>
              <w:left w:val="nil"/>
              <w:bottom w:val="single" w:sz="4" w:space="0" w:color="auto"/>
              <w:right w:val="single" w:sz="4" w:space="0" w:color="auto"/>
            </w:tcBorders>
            <w:shd w:val="clear" w:color="000000" w:fill="CCFFFF"/>
            <w:noWrap/>
            <w:vAlign w:val="center"/>
            <w:hideMark/>
          </w:tcPr>
          <w:p w14:paraId="458D874B" w14:textId="77777777" w:rsidR="001752B7" w:rsidRPr="001752B7" w:rsidRDefault="001752B7" w:rsidP="001752B7">
            <w:pPr>
              <w:spacing w:after="0" w:line="240" w:lineRule="auto"/>
              <w:jc w:val="right"/>
              <w:rPr>
                <w:rFonts w:ascii="Tahoma" w:eastAsia="Times New Roman" w:hAnsi="Tahoma" w:cs="Tahoma"/>
                <w:sz w:val="20"/>
                <w:szCs w:val="20"/>
                <w:lang w:eastAsia="hr-HR"/>
              </w:rPr>
            </w:pPr>
            <w:r w:rsidRPr="001752B7">
              <w:rPr>
                <w:rFonts w:ascii="Tahoma" w:eastAsia="Times New Roman" w:hAnsi="Tahoma" w:cs="Tahoma"/>
                <w:sz w:val="20"/>
                <w:szCs w:val="20"/>
                <w:lang w:eastAsia="hr-HR"/>
              </w:rPr>
              <w:t>1</w:t>
            </w:r>
          </w:p>
        </w:tc>
        <w:tc>
          <w:tcPr>
            <w:tcW w:w="698" w:type="dxa"/>
            <w:tcBorders>
              <w:top w:val="nil"/>
              <w:left w:val="nil"/>
              <w:bottom w:val="single" w:sz="4" w:space="0" w:color="auto"/>
              <w:right w:val="single" w:sz="4" w:space="0" w:color="auto"/>
            </w:tcBorders>
            <w:shd w:val="clear" w:color="000000" w:fill="FFFF99"/>
            <w:noWrap/>
            <w:vAlign w:val="center"/>
            <w:hideMark/>
          </w:tcPr>
          <w:p w14:paraId="618C2814" w14:textId="77777777" w:rsidR="001752B7" w:rsidRPr="001752B7" w:rsidRDefault="001752B7" w:rsidP="001752B7">
            <w:pPr>
              <w:spacing w:after="0" w:line="240" w:lineRule="auto"/>
              <w:jc w:val="right"/>
              <w:rPr>
                <w:rFonts w:ascii="Tahoma" w:eastAsia="Times New Roman" w:hAnsi="Tahoma" w:cs="Tahoma"/>
                <w:sz w:val="20"/>
                <w:szCs w:val="20"/>
                <w:lang w:eastAsia="hr-HR"/>
              </w:rPr>
            </w:pPr>
            <w:r w:rsidRPr="001752B7">
              <w:rPr>
                <w:rFonts w:ascii="Tahoma" w:eastAsia="Times New Roman" w:hAnsi="Tahoma" w:cs="Tahoma"/>
                <w:sz w:val="20"/>
                <w:szCs w:val="20"/>
                <w:lang w:eastAsia="hr-HR"/>
              </w:rPr>
              <w:t> </w:t>
            </w:r>
          </w:p>
        </w:tc>
        <w:tc>
          <w:tcPr>
            <w:tcW w:w="698" w:type="dxa"/>
            <w:tcBorders>
              <w:top w:val="nil"/>
              <w:left w:val="nil"/>
              <w:bottom w:val="single" w:sz="4" w:space="0" w:color="auto"/>
              <w:right w:val="single" w:sz="4" w:space="0" w:color="auto"/>
            </w:tcBorders>
            <w:shd w:val="clear" w:color="000000" w:fill="FFFF99"/>
            <w:noWrap/>
            <w:vAlign w:val="center"/>
            <w:hideMark/>
          </w:tcPr>
          <w:p w14:paraId="58EA6D51" w14:textId="77777777" w:rsidR="001752B7" w:rsidRPr="001752B7" w:rsidRDefault="001752B7" w:rsidP="001752B7">
            <w:pPr>
              <w:spacing w:after="0" w:line="240" w:lineRule="auto"/>
              <w:jc w:val="right"/>
              <w:rPr>
                <w:rFonts w:ascii="Tahoma" w:eastAsia="Times New Roman" w:hAnsi="Tahoma" w:cs="Tahoma"/>
                <w:sz w:val="20"/>
                <w:szCs w:val="20"/>
                <w:lang w:eastAsia="hr-HR"/>
              </w:rPr>
            </w:pPr>
            <w:r w:rsidRPr="001752B7">
              <w:rPr>
                <w:rFonts w:ascii="Tahoma" w:eastAsia="Times New Roman" w:hAnsi="Tahoma" w:cs="Tahoma"/>
                <w:sz w:val="20"/>
                <w:szCs w:val="20"/>
                <w:lang w:eastAsia="hr-HR"/>
              </w:rPr>
              <w:t> </w:t>
            </w:r>
          </w:p>
        </w:tc>
        <w:tc>
          <w:tcPr>
            <w:tcW w:w="698" w:type="dxa"/>
            <w:tcBorders>
              <w:top w:val="nil"/>
              <w:left w:val="nil"/>
              <w:bottom w:val="single" w:sz="4" w:space="0" w:color="auto"/>
              <w:right w:val="single" w:sz="4" w:space="0" w:color="auto"/>
            </w:tcBorders>
            <w:shd w:val="clear" w:color="000000" w:fill="FFFF99"/>
            <w:noWrap/>
            <w:vAlign w:val="center"/>
            <w:hideMark/>
          </w:tcPr>
          <w:p w14:paraId="3470A567" w14:textId="77777777" w:rsidR="001752B7" w:rsidRPr="001752B7" w:rsidRDefault="001752B7" w:rsidP="001752B7">
            <w:pPr>
              <w:spacing w:after="0" w:line="240" w:lineRule="auto"/>
              <w:jc w:val="right"/>
              <w:rPr>
                <w:rFonts w:ascii="Tahoma" w:eastAsia="Times New Roman" w:hAnsi="Tahoma" w:cs="Tahoma"/>
                <w:sz w:val="20"/>
                <w:szCs w:val="20"/>
                <w:lang w:eastAsia="hr-HR"/>
              </w:rPr>
            </w:pPr>
            <w:r w:rsidRPr="001752B7">
              <w:rPr>
                <w:rFonts w:ascii="Tahoma" w:eastAsia="Times New Roman" w:hAnsi="Tahoma" w:cs="Tahoma"/>
                <w:sz w:val="20"/>
                <w:szCs w:val="20"/>
                <w:lang w:eastAsia="hr-HR"/>
              </w:rPr>
              <w:t>1</w:t>
            </w:r>
          </w:p>
        </w:tc>
        <w:tc>
          <w:tcPr>
            <w:tcW w:w="698" w:type="dxa"/>
            <w:tcBorders>
              <w:top w:val="nil"/>
              <w:left w:val="nil"/>
              <w:bottom w:val="single" w:sz="4" w:space="0" w:color="auto"/>
              <w:right w:val="single" w:sz="4" w:space="0" w:color="auto"/>
            </w:tcBorders>
            <w:shd w:val="clear" w:color="000000" w:fill="FFFF99"/>
            <w:noWrap/>
            <w:vAlign w:val="center"/>
            <w:hideMark/>
          </w:tcPr>
          <w:p w14:paraId="60862640" w14:textId="77777777" w:rsidR="001752B7" w:rsidRPr="001752B7" w:rsidRDefault="001752B7" w:rsidP="001752B7">
            <w:pPr>
              <w:spacing w:after="0" w:line="240" w:lineRule="auto"/>
              <w:jc w:val="right"/>
              <w:rPr>
                <w:rFonts w:ascii="Tahoma" w:eastAsia="Times New Roman" w:hAnsi="Tahoma" w:cs="Tahoma"/>
                <w:sz w:val="20"/>
                <w:szCs w:val="20"/>
                <w:lang w:eastAsia="hr-HR"/>
              </w:rPr>
            </w:pPr>
            <w:r w:rsidRPr="001752B7">
              <w:rPr>
                <w:rFonts w:ascii="Tahoma" w:eastAsia="Times New Roman" w:hAnsi="Tahoma" w:cs="Tahoma"/>
                <w:sz w:val="20"/>
                <w:szCs w:val="20"/>
                <w:lang w:eastAsia="hr-HR"/>
              </w:rPr>
              <w:t> </w:t>
            </w:r>
          </w:p>
        </w:tc>
        <w:tc>
          <w:tcPr>
            <w:tcW w:w="698" w:type="dxa"/>
            <w:tcBorders>
              <w:top w:val="nil"/>
              <w:left w:val="nil"/>
              <w:bottom w:val="single" w:sz="4" w:space="0" w:color="auto"/>
              <w:right w:val="single" w:sz="4" w:space="0" w:color="auto"/>
            </w:tcBorders>
            <w:shd w:val="clear" w:color="000000" w:fill="FFFF99"/>
            <w:noWrap/>
            <w:vAlign w:val="center"/>
            <w:hideMark/>
          </w:tcPr>
          <w:p w14:paraId="15764A2E" w14:textId="77777777" w:rsidR="001752B7" w:rsidRPr="001752B7" w:rsidRDefault="001752B7" w:rsidP="001752B7">
            <w:pPr>
              <w:spacing w:after="0" w:line="240" w:lineRule="auto"/>
              <w:jc w:val="right"/>
              <w:rPr>
                <w:rFonts w:ascii="Tahoma" w:eastAsia="Times New Roman" w:hAnsi="Tahoma" w:cs="Tahoma"/>
                <w:sz w:val="20"/>
                <w:szCs w:val="20"/>
                <w:lang w:eastAsia="hr-HR"/>
              </w:rPr>
            </w:pPr>
            <w:r w:rsidRPr="001752B7">
              <w:rPr>
                <w:rFonts w:ascii="Tahoma" w:eastAsia="Times New Roman" w:hAnsi="Tahoma" w:cs="Tahoma"/>
                <w:sz w:val="20"/>
                <w:szCs w:val="20"/>
                <w:lang w:eastAsia="hr-HR"/>
              </w:rPr>
              <w:t> </w:t>
            </w:r>
          </w:p>
        </w:tc>
        <w:tc>
          <w:tcPr>
            <w:tcW w:w="698" w:type="dxa"/>
            <w:tcBorders>
              <w:top w:val="nil"/>
              <w:left w:val="nil"/>
              <w:bottom w:val="single" w:sz="4" w:space="0" w:color="auto"/>
              <w:right w:val="single" w:sz="4" w:space="0" w:color="auto"/>
            </w:tcBorders>
            <w:shd w:val="clear" w:color="000000" w:fill="FFFF99"/>
            <w:noWrap/>
            <w:vAlign w:val="center"/>
            <w:hideMark/>
          </w:tcPr>
          <w:p w14:paraId="760893E2" w14:textId="77777777" w:rsidR="001752B7" w:rsidRPr="001752B7" w:rsidRDefault="001752B7" w:rsidP="001752B7">
            <w:pPr>
              <w:spacing w:after="0" w:line="240" w:lineRule="auto"/>
              <w:jc w:val="right"/>
              <w:rPr>
                <w:rFonts w:ascii="Tahoma" w:eastAsia="Times New Roman" w:hAnsi="Tahoma" w:cs="Tahoma"/>
                <w:sz w:val="20"/>
                <w:szCs w:val="20"/>
                <w:lang w:eastAsia="hr-HR"/>
              </w:rPr>
            </w:pPr>
            <w:r w:rsidRPr="001752B7">
              <w:rPr>
                <w:rFonts w:ascii="Tahoma" w:eastAsia="Times New Roman" w:hAnsi="Tahoma" w:cs="Tahoma"/>
                <w:sz w:val="20"/>
                <w:szCs w:val="20"/>
                <w:lang w:eastAsia="hr-HR"/>
              </w:rPr>
              <w:t> </w:t>
            </w:r>
          </w:p>
        </w:tc>
        <w:tc>
          <w:tcPr>
            <w:tcW w:w="469" w:type="dxa"/>
            <w:tcBorders>
              <w:top w:val="nil"/>
              <w:left w:val="nil"/>
              <w:bottom w:val="single" w:sz="4" w:space="0" w:color="auto"/>
              <w:right w:val="single" w:sz="4" w:space="0" w:color="auto"/>
            </w:tcBorders>
            <w:shd w:val="clear" w:color="000000" w:fill="FF9900"/>
            <w:noWrap/>
            <w:vAlign w:val="center"/>
            <w:hideMark/>
          </w:tcPr>
          <w:p w14:paraId="421E48C0" w14:textId="77777777" w:rsidR="001752B7" w:rsidRPr="001752B7" w:rsidRDefault="001752B7" w:rsidP="001752B7">
            <w:pPr>
              <w:spacing w:after="0" w:line="240" w:lineRule="auto"/>
              <w:jc w:val="right"/>
              <w:rPr>
                <w:rFonts w:ascii="Tahoma" w:eastAsia="Times New Roman" w:hAnsi="Tahoma" w:cs="Tahoma"/>
                <w:sz w:val="20"/>
                <w:szCs w:val="20"/>
                <w:lang w:eastAsia="hr-HR"/>
              </w:rPr>
            </w:pPr>
            <w:r w:rsidRPr="001752B7">
              <w:rPr>
                <w:rFonts w:ascii="Tahoma" w:eastAsia="Times New Roman" w:hAnsi="Tahoma" w:cs="Tahoma"/>
                <w:sz w:val="20"/>
                <w:szCs w:val="20"/>
                <w:lang w:eastAsia="hr-HR"/>
              </w:rPr>
              <w:t> </w:t>
            </w:r>
          </w:p>
        </w:tc>
        <w:tc>
          <w:tcPr>
            <w:tcW w:w="419" w:type="dxa"/>
            <w:tcBorders>
              <w:top w:val="nil"/>
              <w:left w:val="nil"/>
              <w:bottom w:val="single" w:sz="4" w:space="0" w:color="auto"/>
              <w:right w:val="single" w:sz="4" w:space="0" w:color="auto"/>
            </w:tcBorders>
            <w:shd w:val="clear" w:color="000000" w:fill="FF9900"/>
            <w:noWrap/>
            <w:vAlign w:val="center"/>
            <w:hideMark/>
          </w:tcPr>
          <w:p w14:paraId="1ED9CD23" w14:textId="77777777" w:rsidR="001752B7" w:rsidRPr="001752B7" w:rsidRDefault="001752B7" w:rsidP="001752B7">
            <w:pPr>
              <w:spacing w:after="0" w:line="240" w:lineRule="auto"/>
              <w:jc w:val="right"/>
              <w:rPr>
                <w:rFonts w:ascii="Tahoma" w:eastAsia="Times New Roman" w:hAnsi="Tahoma" w:cs="Tahoma"/>
                <w:sz w:val="20"/>
                <w:szCs w:val="20"/>
                <w:lang w:eastAsia="hr-HR"/>
              </w:rPr>
            </w:pPr>
            <w:r w:rsidRPr="001752B7">
              <w:rPr>
                <w:rFonts w:ascii="Tahoma" w:eastAsia="Times New Roman" w:hAnsi="Tahoma" w:cs="Tahoma"/>
                <w:sz w:val="20"/>
                <w:szCs w:val="20"/>
                <w:lang w:eastAsia="hr-HR"/>
              </w:rPr>
              <w:t> </w:t>
            </w:r>
          </w:p>
        </w:tc>
        <w:tc>
          <w:tcPr>
            <w:tcW w:w="521" w:type="dxa"/>
            <w:tcBorders>
              <w:top w:val="nil"/>
              <w:left w:val="nil"/>
              <w:bottom w:val="single" w:sz="4" w:space="0" w:color="auto"/>
              <w:right w:val="single" w:sz="4" w:space="0" w:color="auto"/>
            </w:tcBorders>
            <w:shd w:val="clear" w:color="000000" w:fill="FF9900"/>
            <w:noWrap/>
            <w:vAlign w:val="center"/>
            <w:hideMark/>
          </w:tcPr>
          <w:p w14:paraId="249F73F6" w14:textId="77777777" w:rsidR="001752B7" w:rsidRPr="001752B7" w:rsidRDefault="001752B7" w:rsidP="001752B7">
            <w:pPr>
              <w:spacing w:after="0" w:line="240" w:lineRule="auto"/>
              <w:jc w:val="right"/>
              <w:rPr>
                <w:rFonts w:ascii="Tahoma" w:eastAsia="Times New Roman" w:hAnsi="Tahoma" w:cs="Tahoma"/>
                <w:sz w:val="20"/>
                <w:szCs w:val="20"/>
                <w:lang w:eastAsia="hr-HR"/>
              </w:rPr>
            </w:pPr>
            <w:r w:rsidRPr="001752B7">
              <w:rPr>
                <w:rFonts w:ascii="Tahoma" w:eastAsia="Times New Roman" w:hAnsi="Tahoma" w:cs="Tahoma"/>
                <w:sz w:val="20"/>
                <w:szCs w:val="20"/>
                <w:lang w:eastAsia="hr-HR"/>
              </w:rPr>
              <w:t> </w:t>
            </w:r>
          </w:p>
        </w:tc>
        <w:tc>
          <w:tcPr>
            <w:tcW w:w="476" w:type="dxa"/>
            <w:tcBorders>
              <w:top w:val="nil"/>
              <w:left w:val="nil"/>
              <w:bottom w:val="single" w:sz="4" w:space="0" w:color="auto"/>
              <w:right w:val="single" w:sz="4" w:space="0" w:color="auto"/>
            </w:tcBorders>
            <w:shd w:val="clear" w:color="000000" w:fill="FFFF00"/>
            <w:vAlign w:val="center"/>
            <w:hideMark/>
          </w:tcPr>
          <w:p w14:paraId="14305958" w14:textId="77777777" w:rsidR="001752B7" w:rsidRPr="001752B7" w:rsidRDefault="001752B7" w:rsidP="001752B7">
            <w:pPr>
              <w:spacing w:after="0" w:line="240" w:lineRule="auto"/>
              <w:jc w:val="right"/>
              <w:rPr>
                <w:rFonts w:ascii="Tahoma" w:eastAsia="Times New Roman" w:hAnsi="Tahoma" w:cs="Tahoma"/>
                <w:sz w:val="20"/>
                <w:szCs w:val="20"/>
                <w:lang w:eastAsia="hr-HR"/>
              </w:rPr>
            </w:pPr>
            <w:r w:rsidRPr="001752B7">
              <w:rPr>
                <w:rFonts w:ascii="Tahoma" w:eastAsia="Times New Roman" w:hAnsi="Tahoma" w:cs="Tahoma"/>
                <w:sz w:val="20"/>
                <w:szCs w:val="20"/>
                <w:lang w:eastAsia="hr-HR"/>
              </w:rPr>
              <w:t> </w:t>
            </w:r>
          </w:p>
        </w:tc>
        <w:tc>
          <w:tcPr>
            <w:tcW w:w="698" w:type="dxa"/>
            <w:tcBorders>
              <w:top w:val="nil"/>
              <w:left w:val="nil"/>
              <w:bottom w:val="single" w:sz="4" w:space="0" w:color="auto"/>
              <w:right w:val="single" w:sz="4" w:space="0" w:color="auto"/>
            </w:tcBorders>
            <w:shd w:val="clear" w:color="000000" w:fill="FF9900"/>
            <w:vAlign w:val="center"/>
            <w:hideMark/>
          </w:tcPr>
          <w:p w14:paraId="1DE0488E" w14:textId="77777777" w:rsidR="001752B7" w:rsidRPr="001752B7" w:rsidRDefault="001752B7" w:rsidP="001752B7">
            <w:pPr>
              <w:spacing w:after="0" w:line="240" w:lineRule="auto"/>
              <w:jc w:val="right"/>
              <w:rPr>
                <w:rFonts w:ascii="Tahoma" w:eastAsia="Times New Roman" w:hAnsi="Tahoma" w:cs="Tahoma"/>
                <w:sz w:val="20"/>
                <w:szCs w:val="20"/>
                <w:lang w:eastAsia="hr-HR"/>
              </w:rPr>
            </w:pPr>
            <w:r w:rsidRPr="001752B7">
              <w:rPr>
                <w:rFonts w:ascii="Tahoma" w:eastAsia="Times New Roman" w:hAnsi="Tahoma" w:cs="Tahoma"/>
                <w:sz w:val="20"/>
                <w:szCs w:val="20"/>
                <w:lang w:eastAsia="hr-HR"/>
              </w:rPr>
              <w:t>2</w:t>
            </w:r>
          </w:p>
        </w:tc>
        <w:tc>
          <w:tcPr>
            <w:tcW w:w="643" w:type="dxa"/>
            <w:tcBorders>
              <w:top w:val="nil"/>
              <w:left w:val="nil"/>
              <w:bottom w:val="single" w:sz="4" w:space="0" w:color="auto"/>
              <w:right w:val="single" w:sz="4" w:space="0" w:color="auto"/>
            </w:tcBorders>
            <w:shd w:val="clear" w:color="000000" w:fill="FF9900"/>
            <w:noWrap/>
            <w:vAlign w:val="center"/>
            <w:hideMark/>
          </w:tcPr>
          <w:p w14:paraId="404C4348" w14:textId="77777777" w:rsidR="001752B7" w:rsidRPr="001752B7" w:rsidRDefault="001752B7" w:rsidP="001752B7">
            <w:pPr>
              <w:spacing w:after="0" w:line="240" w:lineRule="auto"/>
              <w:jc w:val="right"/>
              <w:rPr>
                <w:rFonts w:ascii="Tahoma" w:eastAsia="Times New Roman" w:hAnsi="Tahoma" w:cs="Tahoma"/>
                <w:sz w:val="20"/>
                <w:szCs w:val="20"/>
                <w:lang w:eastAsia="hr-HR"/>
              </w:rPr>
            </w:pPr>
            <w:r w:rsidRPr="001752B7">
              <w:rPr>
                <w:rFonts w:ascii="Tahoma" w:eastAsia="Times New Roman" w:hAnsi="Tahoma" w:cs="Tahoma"/>
                <w:sz w:val="20"/>
                <w:szCs w:val="20"/>
                <w:lang w:eastAsia="hr-HR"/>
              </w:rPr>
              <w:t> </w:t>
            </w:r>
          </w:p>
        </w:tc>
        <w:tc>
          <w:tcPr>
            <w:tcW w:w="605" w:type="dxa"/>
            <w:tcBorders>
              <w:top w:val="nil"/>
              <w:left w:val="nil"/>
              <w:bottom w:val="single" w:sz="4" w:space="0" w:color="auto"/>
              <w:right w:val="single" w:sz="4" w:space="0" w:color="auto"/>
            </w:tcBorders>
            <w:shd w:val="clear" w:color="000000" w:fill="FF9900"/>
            <w:noWrap/>
            <w:vAlign w:val="center"/>
            <w:hideMark/>
          </w:tcPr>
          <w:p w14:paraId="48BDF6E0" w14:textId="77777777" w:rsidR="001752B7" w:rsidRPr="001752B7" w:rsidRDefault="001752B7" w:rsidP="001752B7">
            <w:pPr>
              <w:spacing w:after="0" w:line="240" w:lineRule="auto"/>
              <w:jc w:val="right"/>
              <w:rPr>
                <w:rFonts w:ascii="Tahoma" w:eastAsia="Times New Roman" w:hAnsi="Tahoma" w:cs="Tahoma"/>
                <w:sz w:val="20"/>
                <w:szCs w:val="20"/>
                <w:lang w:eastAsia="hr-HR"/>
              </w:rPr>
            </w:pPr>
            <w:r w:rsidRPr="001752B7">
              <w:rPr>
                <w:rFonts w:ascii="Tahoma" w:eastAsia="Times New Roman" w:hAnsi="Tahoma" w:cs="Tahoma"/>
                <w:sz w:val="20"/>
                <w:szCs w:val="20"/>
                <w:lang w:eastAsia="hr-HR"/>
              </w:rPr>
              <w:t> </w:t>
            </w:r>
          </w:p>
        </w:tc>
        <w:tc>
          <w:tcPr>
            <w:tcW w:w="698" w:type="dxa"/>
            <w:tcBorders>
              <w:top w:val="nil"/>
              <w:left w:val="nil"/>
              <w:bottom w:val="single" w:sz="4" w:space="0" w:color="auto"/>
              <w:right w:val="single" w:sz="4" w:space="0" w:color="auto"/>
            </w:tcBorders>
            <w:shd w:val="clear" w:color="000000" w:fill="FF9900"/>
            <w:noWrap/>
            <w:vAlign w:val="center"/>
            <w:hideMark/>
          </w:tcPr>
          <w:p w14:paraId="3AB4C16C" w14:textId="77777777" w:rsidR="001752B7" w:rsidRPr="001752B7" w:rsidRDefault="001752B7" w:rsidP="001752B7">
            <w:pPr>
              <w:spacing w:after="0" w:line="240" w:lineRule="auto"/>
              <w:jc w:val="right"/>
              <w:rPr>
                <w:rFonts w:ascii="Tahoma" w:eastAsia="Times New Roman" w:hAnsi="Tahoma" w:cs="Tahoma"/>
                <w:sz w:val="20"/>
                <w:szCs w:val="20"/>
                <w:lang w:eastAsia="hr-HR"/>
              </w:rPr>
            </w:pPr>
            <w:r w:rsidRPr="001752B7">
              <w:rPr>
                <w:rFonts w:ascii="Tahoma" w:eastAsia="Times New Roman" w:hAnsi="Tahoma" w:cs="Tahoma"/>
                <w:sz w:val="20"/>
                <w:szCs w:val="20"/>
                <w:lang w:eastAsia="hr-HR"/>
              </w:rPr>
              <w:t> </w:t>
            </w:r>
          </w:p>
        </w:tc>
        <w:tc>
          <w:tcPr>
            <w:tcW w:w="464" w:type="dxa"/>
            <w:tcBorders>
              <w:top w:val="nil"/>
              <w:left w:val="nil"/>
              <w:bottom w:val="single" w:sz="4" w:space="0" w:color="auto"/>
              <w:right w:val="single" w:sz="4" w:space="0" w:color="auto"/>
            </w:tcBorders>
            <w:shd w:val="clear" w:color="000000" w:fill="CCFFFF"/>
            <w:noWrap/>
            <w:vAlign w:val="center"/>
            <w:hideMark/>
          </w:tcPr>
          <w:p w14:paraId="436D221A" w14:textId="77777777" w:rsidR="001752B7" w:rsidRPr="001752B7" w:rsidRDefault="001752B7" w:rsidP="001752B7">
            <w:pPr>
              <w:spacing w:after="0" w:line="240" w:lineRule="auto"/>
              <w:jc w:val="right"/>
              <w:rPr>
                <w:rFonts w:ascii="Tahoma" w:eastAsia="Times New Roman" w:hAnsi="Tahoma" w:cs="Tahoma"/>
                <w:sz w:val="20"/>
                <w:szCs w:val="20"/>
                <w:lang w:eastAsia="hr-HR"/>
              </w:rPr>
            </w:pPr>
            <w:r w:rsidRPr="001752B7">
              <w:rPr>
                <w:rFonts w:ascii="Tahoma" w:eastAsia="Times New Roman" w:hAnsi="Tahoma" w:cs="Tahoma"/>
                <w:sz w:val="20"/>
                <w:szCs w:val="20"/>
                <w:lang w:eastAsia="hr-HR"/>
              </w:rPr>
              <w:t> </w:t>
            </w:r>
          </w:p>
        </w:tc>
        <w:tc>
          <w:tcPr>
            <w:tcW w:w="425" w:type="dxa"/>
            <w:tcBorders>
              <w:top w:val="nil"/>
              <w:left w:val="nil"/>
              <w:bottom w:val="single" w:sz="4" w:space="0" w:color="auto"/>
              <w:right w:val="single" w:sz="4" w:space="0" w:color="auto"/>
            </w:tcBorders>
            <w:shd w:val="clear" w:color="000000" w:fill="CCFFFF"/>
            <w:noWrap/>
            <w:vAlign w:val="center"/>
            <w:hideMark/>
          </w:tcPr>
          <w:p w14:paraId="4CC21F6E" w14:textId="77777777" w:rsidR="001752B7" w:rsidRPr="001752B7" w:rsidRDefault="001752B7" w:rsidP="001752B7">
            <w:pPr>
              <w:spacing w:after="0" w:line="240" w:lineRule="auto"/>
              <w:jc w:val="right"/>
              <w:rPr>
                <w:rFonts w:ascii="Tahoma" w:eastAsia="Times New Roman" w:hAnsi="Tahoma" w:cs="Tahoma"/>
                <w:sz w:val="20"/>
                <w:szCs w:val="20"/>
                <w:lang w:eastAsia="hr-HR"/>
              </w:rPr>
            </w:pPr>
            <w:r w:rsidRPr="001752B7">
              <w:rPr>
                <w:rFonts w:ascii="Tahoma" w:eastAsia="Times New Roman" w:hAnsi="Tahoma" w:cs="Tahoma"/>
                <w:sz w:val="20"/>
                <w:szCs w:val="20"/>
                <w:lang w:eastAsia="hr-HR"/>
              </w:rPr>
              <w:t> </w:t>
            </w:r>
          </w:p>
        </w:tc>
        <w:tc>
          <w:tcPr>
            <w:tcW w:w="426" w:type="dxa"/>
            <w:tcBorders>
              <w:top w:val="nil"/>
              <w:left w:val="nil"/>
              <w:bottom w:val="single" w:sz="4" w:space="0" w:color="auto"/>
              <w:right w:val="single" w:sz="4" w:space="0" w:color="auto"/>
            </w:tcBorders>
            <w:shd w:val="clear" w:color="000000" w:fill="CCFFFF"/>
            <w:noWrap/>
            <w:vAlign w:val="center"/>
            <w:hideMark/>
          </w:tcPr>
          <w:p w14:paraId="4E3C8C96" w14:textId="77777777" w:rsidR="001752B7" w:rsidRPr="001752B7" w:rsidRDefault="001752B7" w:rsidP="001752B7">
            <w:pPr>
              <w:spacing w:after="0" w:line="240" w:lineRule="auto"/>
              <w:jc w:val="right"/>
              <w:rPr>
                <w:rFonts w:ascii="Tahoma" w:eastAsia="Times New Roman" w:hAnsi="Tahoma" w:cs="Tahoma"/>
                <w:sz w:val="20"/>
                <w:szCs w:val="20"/>
                <w:lang w:eastAsia="hr-HR"/>
              </w:rPr>
            </w:pPr>
            <w:r w:rsidRPr="001752B7">
              <w:rPr>
                <w:rFonts w:ascii="Tahoma" w:eastAsia="Times New Roman" w:hAnsi="Tahoma" w:cs="Tahoma"/>
                <w:sz w:val="20"/>
                <w:szCs w:val="20"/>
                <w:lang w:eastAsia="hr-HR"/>
              </w:rPr>
              <w:t> </w:t>
            </w:r>
          </w:p>
        </w:tc>
        <w:tc>
          <w:tcPr>
            <w:tcW w:w="487" w:type="dxa"/>
            <w:tcBorders>
              <w:top w:val="nil"/>
              <w:left w:val="nil"/>
              <w:bottom w:val="single" w:sz="4" w:space="0" w:color="auto"/>
              <w:right w:val="nil"/>
            </w:tcBorders>
            <w:shd w:val="clear" w:color="000000" w:fill="33CCCC"/>
            <w:noWrap/>
            <w:vAlign w:val="center"/>
            <w:hideMark/>
          </w:tcPr>
          <w:p w14:paraId="03EA373B" w14:textId="77777777" w:rsidR="001752B7" w:rsidRPr="001752B7" w:rsidRDefault="001752B7" w:rsidP="001752B7">
            <w:pPr>
              <w:spacing w:after="0" w:line="240" w:lineRule="auto"/>
              <w:jc w:val="right"/>
              <w:rPr>
                <w:rFonts w:ascii="Tahoma" w:eastAsia="Times New Roman" w:hAnsi="Tahoma" w:cs="Tahoma"/>
                <w:sz w:val="20"/>
                <w:szCs w:val="20"/>
                <w:lang w:eastAsia="hr-HR"/>
              </w:rPr>
            </w:pPr>
            <w:r w:rsidRPr="001752B7">
              <w:rPr>
                <w:rFonts w:ascii="Tahoma" w:eastAsia="Times New Roman" w:hAnsi="Tahoma" w:cs="Tahoma"/>
                <w:sz w:val="20"/>
                <w:szCs w:val="20"/>
                <w:lang w:eastAsia="hr-HR"/>
              </w:rPr>
              <w:t> </w:t>
            </w:r>
          </w:p>
        </w:tc>
        <w:tc>
          <w:tcPr>
            <w:tcW w:w="425" w:type="dxa"/>
            <w:tcBorders>
              <w:top w:val="nil"/>
              <w:left w:val="single" w:sz="4" w:space="0" w:color="auto"/>
              <w:bottom w:val="single" w:sz="4" w:space="0" w:color="auto"/>
              <w:right w:val="single" w:sz="8" w:space="0" w:color="auto"/>
            </w:tcBorders>
            <w:shd w:val="clear" w:color="000000" w:fill="33CCCC"/>
            <w:noWrap/>
            <w:vAlign w:val="center"/>
            <w:hideMark/>
          </w:tcPr>
          <w:p w14:paraId="4B5572A7" w14:textId="77777777" w:rsidR="001752B7" w:rsidRPr="001752B7" w:rsidRDefault="001752B7" w:rsidP="001752B7">
            <w:pPr>
              <w:spacing w:after="0" w:line="240" w:lineRule="auto"/>
              <w:jc w:val="right"/>
              <w:rPr>
                <w:rFonts w:ascii="Tahoma" w:eastAsia="Times New Roman" w:hAnsi="Tahoma" w:cs="Tahoma"/>
                <w:sz w:val="20"/>
                <w:szCs w:val="20"/>
                <w:lang w:eastAsia="hr-HR"/>
              </w:rPr>
            </w:pPr>
            <w:r w:rsidRPr="001752B7">
              <w:rPr>
                <w:rFonts w:ascii="Tahoma" w:eastAsia="Times New Roman" w:hAnsi="Tahoma" w:cs="Tahoma"/>
                <w:sz w:val="20"/>
                <w:szCs w:val="20"/>
                <w:lang w:eastAsia="hr-HR"/>
              </w:rPr>
              <w:t> </w:t>
            </w:r>
          </w:p>
        </w:tc>
        <w:tc>
          <w:tcPr>
            <w:tcW w:w="236" w:type="dxa"/>
            <w:vAlign w:val="center"/>
            <w:hideMark/>
          </w:tcPr>
          <w:p w14:paraId="281C4E8E" w14:textId="77777777" w:rsidR="001752B7" w:rsidRPr="001752B7" w:rsidRDefault="001752B7" w:rsidP="001752B7">
            <w:pPr>
              <w:spacing w:after="0" w:line="240" w:lineRule="auto"/>
              <w:rPr>
                <w:rFonts w:ascii="Times New Roman" w:eastAsia="Times New Roman" w:hAnsi="Times New Roman" w:cs="Times New Roman"/>
                <w:sz w:val="20"/>
                <w:szCs w:val="20"/>
                <w:lang w:eastAsia="hr-HR"/>
              </w:rPr>
            </w:pPr>
          </w:p>
        </w:tc>
      </w:tr>
      <w:tr w:rsidR="001752B7" w:rsidRPr="001752B7" w14:paraId="6A5912E1" w14:textId="77777777" w:rsidTr="000271A1">
        <w:trPr>
          <w:gridAfter w:val="1"/>
          <w:wAfter w:w="31" w:type="dxa"/>
          <w:trHeight w:val="300"/>
        </w:trPr>
        <w:tc>
          <w:tcPr>
            <w:tcW w:w="1408" w:type="dxa"/>
            <w:tcBorders>
              <w:top w:val="single" w:sz="4" w:space="0" w:color="auto"/>
              <w:left w:val="single" w:sz="8" w:space="0" w:color="auto"/>
              <w:bottom w:val="single" w:sz="4" w:space="0" w:color="auto"/>
              <w:right w:val="single" w:sz="4" w:space="0" w:color="auto"/>
            </w:tcBorders>
            <w:shd w:val="clear" w:color="000000" w:fill="CCFFCC"/>
            <w:vAlign w:val="center"/>
            <w:hideMark/>
          </w:tcPr>
          <w:p w14:paraId="1AE55D0B" w14:textId="77777777" w:rsidR="001752B7" w:rsidRPr="001752B7" w:rsidRDefault="001752B7" w:rsidP="001752B7">
            <w:pPr>
              <w:spacing w:after="0" w:line="240" w:lineRule="auto"/>
              <w:rPr>
                <w:rFonts w:ascii="Tahoma" w:eastAsia="Times New Roman" w:hAnsi="Tahoma" w:cs="Tahoma"/>
                <w:sz w:val="20"/>
                <w:szCs w:val="20"/>
                <w:lang w:eastAsia="hr-HR"/>
              </w:rPr>
            </w:pPr>
            <w:r w:rsidRPr="001752B7">
              <w:rPr>
                <w:rFonts w:ascii="Tahoma" w:eastAsia="Times New Roman" w:hAnsi="Tahoma" w:cs="Tahoma"/>
                <w:sz w:val="20"/>
                <w:szCs w:val="20"/>
                <w:lang w:eastAsia="hr-HR"/>
              </w:rPr>
              <w:t>Imovno stanje</w:t>
            </w:r>
          </w:p>
        </w:tc>
        <w:tc>
          <w:tcPr>
            <w:tcW w:w="673" w:type="dxa"/>
            <w:tcBorders>
              <w:top w:val="nil"/>
              <w:left w:val="nil"/>
              <w:bottom w:val="single" w:sz="4" w:space="0" w:color="auto"/>
              <w:right w:val="single" w:sz="4" w:space="0" w:color="auto"/>
            </w:tcBorders>
            <w:shd w:val="clear" w:color="000000" w:fill="FFCC99"/>
            <w:noWrap/>
            <w:vAlign w:val="center"/>
            <w:hideMark/>
          </w:tcPr>
          <w:p w14:paraId="6C2F2B16" w14:textId="77777777" w:rsidR="001752B7" w:rsidRPr="001752B7" w:rsidRDefault="001752B7" w:rsidP="001752B7">
            <w:pPr>
              <w:spacing w:after="0" w:line="240" w:lineRule="auto"/>
              <w:jc w:val="right"/>
              <w:rPr>
                <w:rFonts w:ascii="Tahoma" w:eastAsia="Times New Roman" w:hAnsi="Tahoma" w:cs="Tahoma"/>
                <w:sz w:val="20"/>
                <w:szCs w:val="20"/>
                <w:lang w:eastAsia="hr-HR"/>
              </w:rPr>
            </w:pPr>
            <w:r w:rsidRPr="001752B7">
              <w:rPr>
                <w:rFonts w:ascii="Tahoma" w:eastAsia="Times New Roman" w:hAnsi="Tahoma" w:cs="Tahoma"/>
                <w:sz w:val="20"/>
                <w:szCs w:val="20"/>
                <w:lang w:eastAsia="hr-HR"/>
              </w:rPr>
              <w:t>2</w:t>
            </w:r>
          </w:p>
        </w:tc>
        <w:tc>
          <w:tcPr>
            <w:tcW w:w="521" w:type="dxa"/>
            <w:tcBorders>
              <w:top w:val="nil"/>
              <w:left w:val="nil"/>
              <w:bottom w:val="single" w:sz="4" w:space="0" w:color="auto"/>
              <w:right w:val="single" w:sz="4" w:space="0" w:color="auto"/>
            </w:tcBorders>
            <w:shd w:val="clear" w:color="000000" w:fill="FFFF00"/>
            <w:noWrap/>
            <w:vAlign w:val="center"/>
            <w:hideMark/>
          </w:tcPr>
          <w:p w14:paraId="6894DEC1" w14:textId="77777777" w:rsidR="001752B7" w:rsidRPr="001752B7" w:rsidRDefault="001752B7" w:rsidP="001752B7">
            <w:pPr>
              <w:spacing w:after="0" w:line="240" w:lineRule="auto"/>
              <w:jc w:val="right"/>
              <w:rPr>
                <w:rFonts w:ascii="Tahoma" w:eastAsia="Times New Roman" w:hAnsi="Tahoma" w:cs="Tahoma"/>
                <w:sz w:val="20"/>
                <w:szCs w:val="20"/>
                <w:lang w:eastAsia="hr-HR"/>
              </w:rPr>
            </w:pPr>
            <w:r w:rsidRPr="001752B7">
              <w:rPr>
                <w:rFonts w:ascii="Tahoma" w:eastAsia="Times New Roman" w:hAnsi="Tahoma" w:cs="Tahoma"/>
                <w:sz w:val="20"/>
                <w:szCs w:val="20"/>
                <w:lang w:eastAsia="hr-HR"/>
              </w:rPr>
              <w:t>1</w:t>
            </w:r>
          </w:p>
        </w:tc>
        <w:tc>
          <w:tcPr>
            <w:tcW w:w="477" w:type="dxa"/>
            <w:tcBorders>
              <w:top w:val="nil"/>
              <w:left w:val="nil"/>
              <w:bottom w:val="single" w:sz="4" w:space="0" w:color="auto"/>
              <w:right w:val="single" w:sz="4" w:space="0" w:color="auto"/>
            </w:tcBorders>
            <w:shd w:val="clear" w:color="000000" w:fill="CCFFFF"/>
            <w:noWrap/>
            <w:vAlign w:val="center"/>
            <w:hideMark/>
          </w:tcPr>
          <w:p w14:paraId="32328461" w14:textId="77777777" w:rsidR="001752B7" w:rsidRPr="001752B7" w:rsidRDefault="001752B7" w:rsidP="001752B7">
            <w:pPr>
              <w:spacing w:after="0" w:line="240" w:lineRule="auto"/>
              <w:jc w:val="right"/>
              <w:rPr>
                <w:rFonts w:ascii="Tahoma" w:eastAsia="Times New Roman" w:hAnsi="Tahoma" w:cs="Tahoma"/>
                <w:sz w:val="20"/>
                <w:szCs w:val="20"/>
                <w:lang w:eastAsia="hr-HR"/>
              </w:rPr>
            </w:pPr>
            <w:r w:rsidRPr="001752B7">
              <w:rPr>
                <w:rFonts w:ascii="Tahoma" w:eastAsia="Times New Roman" w:hAnsi="Tahoma" w:cs="Tahoma"/>
                <w:sz w:val="20"/>
                <w:szCs w:val="20"/>
                <w:lang w:eastAsia="hr-HR"/>
              </w:rPr>
              <w:t> </w:t>
            </w:r>
          </w:p>
        </w:tc>
        <w:tc>
          <w:tcPr>
            <w:tcW w:w="426" w:type="dxa"/>
            <w:tcBorders>
              <w:top w:val="nil"/>
              <w:left w:val="nil"/>
              <w:bottom w:val="single" w:sz="4" w:space="0" w:color="auto"/>
              <w:right w:val="single" w:sz="4" w:space="0" w:color="auto"/>
            </w:tcBorders>
            <w:shd w:val="clear" w:color="000000" w:fill="CCFFFF"/>
            <w:noWrap/>
            <w:vAlign w:val="center"/>
            <w:hideMark/>
          </w:tcPr>
          <w:p w14:paraId="570D5727" w14:textId="77777777" w:rsidR="001752B7" w:rsidRPr="001752B7" w:rsidRDefault="001752B7" w:rsidP="001752B7">
            <w:pPr>
              <w:spacing w:after="0" w:line="240" w:lineRule="auto"/>
              <w:jc w:val="right"/>
              <w:rPr>
                <w:rFonts w:ascii="Tahoma" w:eastAsia="Times New Roman" w:hAnsi="Tahoma" w:cs="Tahoma"/>
                <w:sz w:val="20"/>
                <w:szCs w:val="20"/>
                <w:lang w:eastAsia="hr-HR"/>
              </w:rPr>
            </w:pPr>
            <w:r w:rsidRPr="001752B7">
              <w:rPr>
                <w:rFonts w:ascii="Tahoma" w:eastAsia="Times New Roman" w:hAnsi="Tahoma" w:cs="Tahoma"/>
                <w:sz w:val="20"/>
                <w:szCs w:val="20"/>
                <w:lang w:eastAsia="hr-HR"/>
              </w:rPr>
              <w:t>1</w:t>
            </w:r>
          </w:p>
        </w:tc>
        <w:tc>
          <w:tcPr>
            <w:tcW w:w="698" w:type="dxa"/>
            <w:tcBorders>
              <w:top w:val="nil"/>
              <w:left w:val="nil"/>
              <w:bottom w:val="single" w:sz="4" w:space="0" w:color="auto"/>
              <w:right w:val="single" w:sz="4" w:space="0" w:color="auto"/>
            </w:tcBorders>
            <w:shd w:val="clear" w:color="000000" w:fill="FFFF99"/>
            <w:noWrap/>
            <w:vAlign w:val="center"/>
            <w:hideMark/>
          </w:tcPr>
          <w:p w14:paraId="35D54BCF" w14:textId="77777777" w:rsidR="001752B7" w:rsidRPr="001752B7" w:rsidRDefault="001752B7" w:rsidP="001752B7">
            <w:pPr>
              <w:spacing w:after="0" w:line="240" w:lineRule="auto"/>
              <w:jc w:val="right"/>
              <w:rPr>
                <w:rFonts w:ascii="Tahoma" w:eastAsia="Times New Roman" w:hAnsi="Tahoma" w:cs="Tahoma"/>
                <w:sz w:val="20"/>
                <w:szCs w:val="20"/>
                <w:lang w:eastAsia="hr-HR"/>
              </w:rPr>
            </w:pPr>
            <w:r w:rsidRPr="001752B7">
              <w:rPr>
                <w:rFonts w:ascii="Tahoma" w:eastAsia="Times New Roman" w:hAnsi="Tahoma" w:cs="Tahoma"/>
                <w:sz w:val="20"/>
                <w:szCs w:val="20"/>
                <w:lang w:eastAsia="hr-HR"/>
              </w:rPr>
              <w:t>1</w:t>
            </w:r>
          </w:p>
        </w:tc>
        <w:tc>
          <w:tcPr>
            <w:tcW w:w="698" w:type="dxa"/>
            <w:tcBorders>
              <w:top w:val="nil"/>
              <w:left w:val="nil"/>
              <w:bottom w:val="single" w:sz="4" w:space="0" w:color="auto"/>
              <w:right w:val="single" w:sz="4" w:space="0" w:color="auto"/>
            </w:tcBorders>
            <w:shd w:val="clear" w:color="000000" w:fill="FFFF99"/>
            <w:noWrap/>
            <w:vAlign w:val="center"/>
            <w:hideMark/>
          </w:tcPr>
          <w:p w14:paraId="52CA1977" w14:textId="77777777" w:rsidR="001752B7" w:rsidRPr="001752B7" w:rsidRDefault="001752B7" w:rsidP="001752B7">
            <w:pPr>
              <w:spacing w:after="0" w:line="240" w:lineRule="auto"/>
              <w:jc w:val="right"/>
              <w:rPr>
                <w:rFonts w:ascii="Tahoma" w:eastAsia="Times New Roman" w:hAnsi="Tahoma" w:cs="Tahoma"/>
                <w:sz w:val="20"/>
                <w:szCs w:val="20"/>
                <w:lang w:eastAsia="hr-HR"/>
              </w:rPr>
            </w:pPr>
            <w:r w:rsidRPr="001752B7">
              <w:rPr>
                <w:rFonts w:ascii="Tahoma" w:eastAsia="Times New Roman" w:hAnsi="Tahoma" w:cs="Tahoma"/>
                <w:sz w:val="20"/>
                <w:szCs w:val="20"/>
                <w:lang w:eastAsia="hr-HR"/>
              </w:rPr>
              <w:t> </w:t>
            </w:r>
          </w:p>
        </w:tc>
        <w:tc>
          <w:tcPr>
            <w:tcW w:w="698" w:type="dxa"/>
            <w:tcBorders>
              <w:top w:val="nil"/>
              <w:left w:val="nil"/>
              <w:bottom w:val="single" w:sz="4" w:space="0" w:color="auto"/>
              <w:right w:val="single" w:sz="4" w:space="0" w:color="auto"/>
            </w:tcBorders>
            <w:shd w:val="clear" w:color="000000" w:fill="FFFF99"/>
            <w:noWrap/>
            <w:vAlign w:val="center"/>
            <w:hideMark/>
          </w:tcPr>
          <w:p w14:paraId="2E3FDF32" w14:textId="77777777" w:rsidR="001752B7" w:rsidRPr="001752B7" w:rsidRDefault="001752B7" w:rsidP="001752B7">
            <w:pPr>
              <w:spacing w:after="0" w:line="240" w:lineRule="auto"/>
              <w:jc w:val="right"/>
              <w:rPr>
                <w:rFonts w:ascii="Tahoma" w:eastAsia="Times New Roman" w:hAnsi="Tahoma" w:cs="Tahoma"/>
                <w:sz w:val="20"/>
                <w:szCs w:val="20"/>
                <w:lang w:eastAsia="hr-HR"/>
              </w:rPr>
            </w:pPr>
            <w:r w:rsidRPr="001752B7">
              <w:rPr>
                <w:rFonts w:ascii="Tahoma" w:eastAsia="Times New Roman" w:hAnsi="Tahoma" w:cs="Tahoma"/>
                <w:sz w:val="20"/>
                <w:szCs w:val="20"/>
                <w:lang w:eastAsia="hr-HR"/>
              </w:rPr>
              <w:t> </w:t>
            </w:r>
          </w:p>
        </w:tc>
        <w:tc>
          <w:tcPr>
            <w:tcW w:w="698" w:type="dxa"/>
            <w:tcBorders>
              <w:top w:val="nil"/>
              <w:left w:val="nil"/>
              <w:bottom w:val="single" w:sz="4" w:space="0" w:color="auto"/>
              <w:right w:val="single" w:sz="4" w:space="0" w:color="auto"/>
            </w:tcBorders>
            <w:shd w:val="clear" w:color="000000" w:fill="FFFF99"/>
            <w:noWrap/>
            <w:vAlign w:val="center"/>
            <w:hideMark/>
          </w:tcPr>
          <w:p w14:paraId="63624965" w14:textId="77777777" w:rsidR="001752B7" w:rsidRPr="001752B7" w:rsidRDefault="001752B7" w:rsidP="001752B7">
            <w:pPr>
              <w:spacing w:after="0" w:line="240" w:lineRule="auto"/>
              <w:jc w:val="right"/>
              <w:rPr>
                <w:rFonts w:ascii="Tahoma" w:eastAsia="Times New Roman" w:hAnsi="Tahoma" w:cs="Tahoma"/>
                <w:sz w:val="20"/>
                <w:szCs w:val="20"/>
                <w:lang w:eastAsia="hr-HR"/>
              </w:rPr>
            </w:pPr>
            <w:r w:rsidRPr="001752B7">
              <w:rPr>
                <w:rFonts w:ascii="Tahoma" w:eastAsia="Times New Roman" w:hAnsi="Tahoma" w:cs="Tahoma"/>
                <w:sz w:val="20"/>
                <w:szCs w:val="20"/>
                <w:lang w:eastAsia="hr-HR"/>
              </w:rPr>
              <w:t> </w:t>
            </w:r>
          </w:p>
        </w:tc>
        <w:tc>
          <w:tcPr>
            <w:tcW w:w="698" w:type="dxa"/>
            <w:tcBorders>
              <w:top w:val="nil"/>
              <w:left w:val="nil"/>
              <w:bottom w:val="single" w:sz="4" w:space="0" w:color="auto"/>
              <w:right w:val="single" w:sz="4" w:space="0" w:color="auto"/>
            </w:tcBorders>
            <w:shd w:val="clear" w:color="000000" w:fill="FFFF99"/>
            <w:noWrap/>
            <w:vAlign w:val="center"/>
            <w:hideMark/>
          </w:tcPr>
          <w:p w14:paraId="4CA6856D" w14:textId="77777777" w:rsidR="001752B7" w:rsidRPr="001752B7" w:rsidRDefault="001752B7" w:rsidP="001752B7">
            <w:pPr>
              <w:spacing w:after="0" w:line="240" w:lineRule="auto"/>
              <w:jc w:val="right"/>
              <w:rPr>
                <w:rFonts w:ascii="Tahoma" w:eastAsia="Times New Roman" w:hAnsi="Tahoma" w:cs="Tahoma"/>
                <w:sz w:val="20"/>
                <w:szCs w:val="20"/>
                <w:lang w:eastAsia="hr-HR"/>
              </w:rPr>
            </w:pPr>
            <w:r w:rsidRPr="001752B7">
              <w:rPr>
                <w:rFonts w:ascii="Tahoma" w:eastAsia="Times New Roman" w:hAnsi="Tahoma" w:cs="Tahoma"/>
                <w:sz w:val="20"/>
                <w:szCs w:val="20"/>
                <w:lang w:eastAsia="hr-HR"/>
              </w:rPr>
              <w:t> </w:t>
            </w:r>
          </w:p>
        </w:tc>
        <w:tc>
          <w:tcPr>
            <w:tcW w:w="698" w:type="dxa"/>
            <w:tcBorders>
              <w:top w:val="nil"/>
              <w:left w:val="nil"/>
              <w:bottom w:val="single" w:sz="4" w:space="0" w:color="auto"/>
              <w:right w:val="single" w:sz="4" w:space="0" w:color="auto"/>
            </w:tcBorders>
            <w:shd w:val="clear" w:color="000000" w:fill="FFFF99"/>
            <w:noWrap/>
            <w:vAlign w:val="center"/>
            <w:hideMark/>
          </w:tcPr>
          <w:p w14:paraId="2B59895B" w14:textId="77777777" w:rsidR="001752B7" w:rsidRPr="001752B7" w:rsidRDefault="001752B7" w:rsidP="001752B7">
            <w:pPr>
              <w:spacing w:after="0" w:line="240" w:lineRule="auto"/>
              <w:jc w:val="right"/>
              <w:rPr>
                <w:rFonts w:ascii="Tahoma" w:eastAsia="Times New Roman" w:hAnsi="Tahoma" w:cs="Tahoma"/>
                <w:sz w:val="20"/>
                <w:szCs w:val="20"/>
                <w:lang w:eastAsia="hr-HR"/>
              </w:rPr>
            </w:pPr>
            <w:r w:rsidRPr="001752B7">
              <w:rPr>
                <w:rFonts w:ascii="Tahoma" w:eastAsia="Times New Roman" w:hAnsi="Tahoma" w:cs="Tahoma"/>
                <w:sz w:val="20"/>
                <w:szCs w:val="20"/>
                <w:lang w:eastAsia="hr-HR"/>
              </w:rPr>
              <w:t> </w:t>
            </w:r>
          </w:p>
        </w:tc>
        <w:tc>
          <w:tcPr>
            <w:tcW w:w="469" w:type="dxa"/>
            <w:tcBorders>
              <w:top w:val="nil"/>
              <w:left w:val="nil"/>
              <w:bottom w:val="single" w:sz="4" w:space="0" w:color="auto"/>
              <w:right w:val="single" w:sz="4" w:space="0" w:color="auto"/>
            </w:tcBorders>
            <w:shd w:val="clear" w:color="000000" w:fill="FF9900"/>
            <w:noWrap/>
            <w:vAlign w:val="center"/>
            <w:hideMark/>
          </w:tcPr>
          <w:p w14:paraId="24F72AF9" w14:textId="77777777" w:rsidR="001752B7" w:rsidRPr="001752B7" w:rsidRDefault="001752B7" w:rsidP="001752B7">
            <w:pPr>
              <w:spacing w:after="0" w:line="240" w:lineRule="auto"/>
              <w:jc w:val="right"/>
              <w:rPr>
                <w:rFonts w:ascii="Tahoma" w:eastAsia="Times New Roman" w:hAnsi="Tahoma" w:cs="Tahoma"/>
                <w:sz w:val="20"/>
                <w:szCs w:val="20"/>
                <w:lang w:eastAsia="hr-HR"/>
              </w:rPr>
            </w:pPr>
            <w:r w:rsidRPr="001752B7">
              <w:rPr>
                <w:rFonts w:ascii="Tahoma" w:eastAsia="Times New Roman" w:hAnsi="Tahoma" w:cs="Tahoma"/>
                <w:sz w:val="20"/>
                <w:szCs w:val="20"/>
                <w:lang w:eastAsia="hr-HR"/>
              </w:rPr>
              <w:t> </w:t>
            </w:r>
          </w:p>
        </w:tc>
        <w:tc>
          <w:tcPr>
            <w:tcW w:w="419" w:type="dxa"/>
            <w:tcBorders>
              <w:top w:val="nil"/>
              <w:left w:val="nil"/>
              <w:bottom w:val="single" w:sz="4" w:space="0" w:color="auto"/>
              <w:right w:val="single" w:sz="4" w:space="0" w:color="auto"/>
            </w:tcBorders>
            <w:shd w:val="clear" w:color="000000" w:fill="FF9900"/>
            <w:noWrap/>
            <w:vAlign w:val="center"/>
            <w:hideMark/>
          </w:tcPr>
          <w:p w14:paraId="39384DCD" w14:textId="77777777" w:rsidR="001752B7" w:rsidRPr="001752B7" w:rsidRDefault="001752B7" w:rsidP="001752B7">
            <w:pPr>
              <w:spacing w:after="0" w:line="240" w:lineRule="auto"/>
              <w:jc w:val="right"/>
              <w:rPr>
                <w:rFonts w:ascii="Tahoma" w:eastAsia="Times New Roman" w:hAnsi="Tahoma" w:cs="Tahoma"/>
                <w:sz w:val="20"/>
                <w:szCs w:val="20"/>
                <w:lang w:eastAsia="hr-HR"/>
              </w:rPr>
            </w:pPr>
            <w:r w:rsidRPr="001752B7">
              <w:rPr>
                <w:rFonts w:ascii="Tahoma" w:eastAsia="Times New Roman" w:hAnsi="Tahoma" w:cs="Tahoma"/>
                <w:sz w:val="20"/>
                <w:szCs w:val="20"/>
                <w:lang w:eastAsia="hr-HR"/>
              </w:rPr>
              <w:t> </w:t>
            </w:r>
          </w:p>
        </w:tc>
        <w:tc>
          <w:tcPr>
            <w:tcW w:w="521" w:type="dxa"/>
            <w:tcBorders>
              <w:top w:val="nil"/>
              <w:left w:val="nil"/>
              <w:bottom w:val="single" w:sz="4" w:space="0" w:color="auto"/>
              <w:right w:val="single" w:sz="4" w:space="0" w:color="auto"/>
            </w:tcBorders>
            <w:shd w:val="clear" w:color="000000" w:fill="FF9900"/>
            <w:noWrap/>
            <w:vAlign w:val="center"/>
            <w:hideMark/>
          </w:tcPr>
          <w:p w14:paraId="400D85EB" w14:textId="77777777" w:rsidR="001752B7" w:rsidRPr="001752B7" w:rsidRDefault="001752B7" w:rsidP="001752B7">
            <w:pPr>
              <w:spacing w:after="0" w:line="240" w:lineRule="auto"/>
              <w:jc w:val="right"/>
              <w:rPr>
                <w:rFonts w:ascii="Tahoma" w:eastAsia="Times New Roman" w:hAnsi="Tahoma" w:cs="Tahoma"/>
                <w:sz w:val="20"/>
                <w:szCs w:val="20"/>
                <w:lang w:eastAsia="hr-HR"/>
              </w:rPr>
            </w:pPr>
            <w:r w:rsidRPr="001752B7">
              <w:rPr>
                <w:rFonts w:ascii="Tahoma" w:eastAsia="Times New Roman" w:hAnsi="Tahoma" w:cs="Tahoma"/>
                <w:sz w:val="20"/>
                <w:szCs w:val="20"/>
                <w:lang w:eastAsia="hr-HR"/>
              </w:rPr>
              <w:t>1</w:t>
            </w:r>
          </w:p>
        </w:tc>
        <w:tc>
          <w:tcPr>
            <w:tcW w:w="476" w:type="dxa"/>
            <w:tcBorders>
              <w:top w:val="nil"/>
              <w:left w:val="nil"/>
              <w:bottom w:val="single" w:sz="4" w:space="0" w:color="auto"/>
              <w:right w:val="single" w:sz="4" w:space="0" w:color="auto"/>
            </w:tcBorders>
            <w:shd w:val="clear" w:color="000000" w:fill="FFFF00"/>
            <w:vAlign w:val="center"/>
            <w:hideMark/>
          </w:tcPr>
          <w:p w14:paraId="61D7570B" w14:textId="77777777" w:rsidR="001752B7" w:rsidRPr="001752B7" w:rsidRDefault="001752B7" w:rsidP="001752B7">
            <w:pPr>
              <w:spacing w:after="0" w:line="240" w:lineRule="auto"/>
              <w:jc w:val="right"/>
              <w:rPr>
                <w:rFonts w:ascii="Tahoma" w:eastAsia="Times New Roman" w:hAnsi="Tahoma" w:cs="Tahoma"/>
                <w:sz w:val="20"/>
                <w:szCs w:val="20"/>
                <w:lang w:eastAsia="hr-HR"/>
              </w:rPr>
            </w:pPr>
            <w:r w:rsidRPr="001752B7">
              <w:rPr>
                <w:rFonts w:ascii="Tahoma" w:eastAsia="Times New Roman" w:hAnsi="Tahoma" w:cs="Tahoma"/>
                <w:sz w:val="20"/>
                <w:szCs w:val="20"/>
                <w:lang w:eastAsia="hr-HR"/>
              </w:rPr>
              <w:t>1</w:t>
            </w:r>
          </w:p>
        </w:tc>
        <w:tc>
          <w:tcPr>
            <w:tcW w:w="698" w:type="dxa"/>
            <w:tcBorders>
              <w:top w:val="nil"/>
              <w:left w:val="nil"/>
              <w:bottom w:val="single" w:sz="4" w:space="0" w:color="auto"/>
              <w:right w:val="single" w:sz="4" w:space="0" w:color="auto"/>
            </w:tcBorders>
            <w:shd w:val="clear" w:color="000000" w:fill="FF9900"/>
            <w:vAlign w:val="center"/>
            <w:hideMark/>
          </w:tcPr>
          <w:p w14:paraId="1D333690" w14:textId="77777777" w:rsidR="001752B7" w:rsidRPr="001752B7" w:rsidRDefault="001752B7" w:rsidP="001752B7">
            <w:pPr>
              <w:spacing w:after="0" w:line="240" w:lineRule="auto"/>
              <w:jc w:val="right"/>
              <w:rPr>
                <w:rFonts w:ascii="Tahoma" w:eastAsia="Times New Roman" w:hAnsi="Tahoma" w:cs="Tahoma"/>
                <w:sz w:val="20"/>
                <w:szCs w:val="20"/>
                <w:lang w:eastAsia="hr-HR"/>
              </w:rPr>
            </w:pPr>
            <w:r w:rsidRPr="001752B7">
              <w:rPr>
                <w:rFonts w:ascii="Tahoma" w:eastAsia="Times New Roman" w:hAnsi="Tahoma" w:cs="Tahoma"/>
                <w:sz w:val="20"/>
                <w:szCs w:val="20"/>
                <w:lang w:eastAsia="hr-HR"/>
              </w:rPr>
              <w:t>2</w:t>
            </w:r>
          </w:p>
        </w:tc>
        <w:tc>
          <w:tcPr>
            <w:tcW w:w="643" w:type="dxa"/>
            <w:tcBorders>
              <w:top w:val="nil"/>
              <w:left w:val="nil"/>
              <w:bottom w:val="single" w:sz="4" w:space="0" w:color="auto"/>
              <w:right w:val="single" w:sz="4" w:space="0" w:color="auto"/>
            </w:tcBorders>
            <w:shd w:val="clear" w:color="000000" w:fill="FF9900"/>
            <w:noWrap/>
            <w:vAlign w:val="center"/>
            <w:hideMark/>
          </w:tcPr>
          <w:p w14:paraId="50C0E590" w14:textId="77777777" w:rsidR="001752B7" w:rsidRPr="001752B7" w:rsidRDefault="001752B7" w:rsidP="001752B7">
            <w:pPr>
              <w:spacing w:after="0" w:line="240" w:lineRule="auto"/>
              <w:jc w:val="right"/>
              <w:rPr>
                <w:rFonts w:ascii="Tahoma" w:eastAsia="Times New Roman" w:hAnsi="Tahoma" w:cs="Tahoma"/>
                <w:sz w:val="20"/>
                <w:szCs w:val="20"/>
                <w:lang w:eastAsia="hr-HR"/>
              </w:rPr>
            </w:pPr>
            <w:r w:rsidRPr="001752B7">
              <w:rPr>
                <w:rFonts w:ascii="Tahoma" w:eastAsia="Times New Roman" w:hAnsi="Tahoma" w:cs="Tahoma"/>
                <w:sz w:val="20"/>
                <w:szCs w:val="20"/>
                <w:lang w:eastAsia="hr-HR"/>
              </w:rPr>
              <w:t> </w:t>
            </w:r>
          </w:p>
        </w:tc>
        <w:tc>
          <w:tcPr>
            <w:tcW w:w="605" w:type="dxa"/>
            <w:tcBorders>
              <w:top w:val="nil"/>
              <w:left w:val="nil"/>
              <w:bottom w:val="single" w:sz="4" w:space="0" w:color="auto"/>
              <w:right w:val="single" w:sz="4" w:space="0" w:color="auto"/>
            </w:tcBorders>
            <w:shd w:val="clear" w:color="000000" w:fill="FF9900"/>
            <w:noWrap/>
            <w:vAlign w:val="center"/>
            <w:hideMark/>
          </w:tcPr>
          <w:p w14:paraId="1333A872" w14:textId="77777777" w:rsidR="001752B7" w:rsidRPr="001752B7" w:rsidRDefault="001752B7" w:rsidP="001752B7">
            <w:pPr>
              <w:spacing w:after="0" w:line="240" w:lineRule="auto"/>
              <w:jc w:val="right"/>
              <w:rPr>
                <w:rFonts w:ascii="Tahoma" w:eastAsia="Times New Roman" w:hAnsi="Tahoma" w:cs="Tahoma"/>
                <w:sz w:val="20"/>
                <w:szCs w:val="20"/>
                <w:lang w:eastAsia="hr-HR"/>
              </w:rPr>
            </w:pPr>
            <w:r w:rsidRPr="001752B7">
              <w:rPr>
                <w:rFonts w:ascii="Tahoma" w:eastAsia="Times New Roman" w:hAnsi="Tahoma" w:cs="Tahoma"/>
                <w:sz w:val="20"/>
                <w:szCs w:val="20"/>
                <w:lang w:eastAsia="hr-HR"/>
              </w:rPr>
              <w:t>1</w:t>
            </w:r>
          </w:p>
        </w:tc>
        <w:tc>
          <w:tcPr>
            <w:tcW w:w="698" w:type="dxa"/>
            <w:tcBorders>
              <w:top w:val="nil"/>
              <w:left w:val="nil"/>
              <w:bottom w:val="single" w:sz="4" w:space="0" w:color="auto"/>
              <w:right w:val="single" w:sz="4" w:space="0" w:color="auto"/>
            </w:tcBorders>
            <w:shd w:val="clear" w:color="000000" w:fill="FF9900"/>
            <w:noWrap/>
            <w:vAlign w:val="center"/>
            <w:hideMark/>
          </w:tcPr>
          <w:p w14:paraId="3FD1DCCE" w14:textId="77777777" w:rsidR="001752B7" w:rsidRPr="001752B7" w:rsidRDefault="001752B7" w:rsidP="001752B7">
            <w:pPr>
              <w:spacing w:after="0" w:line="240" w:lineRule="auto"/>
              <w:jc w:val="right"/>
              <w:rPr>
                <w:rFonts w:ascii="Tahoma" w:eastAsia="Times New Roman" w:hAnsi="Tahoma" w:cs="Tahoma"/>
                <w:sz w:val="20"/>
                <w:szCs w:val="20"/>
                <w:lang w:eastAsia="hr-HR"/>
              </w:rPr>
            </w:pPr>
            <w:r w:rsidRPr="001752B7">
              <w:rPr>
                <w:rFonts w:ascii="Tahoma" w:eastAsia="Times New Roman" w:hAnsi="Tahoma" w:cs="Tahoma"/>
                <w:sz w:val="20"/>
                <w:szCs w:val="20"/>
                <w:lang w:eastAsia="hr-HR"/>
              </w:rPr>
              <w:t>1</w:t>
            </w:r>
          </w:p>
        </w:tc>
        <w:tc>
          <w:tcPr>
            <w:tcW w:w="464" w:type="dxa"/>
            <w:tcBorders>
              <w:top w:val="nil"/>
              <w:left w:val="nil"/>
              <w:bottom w:val="single" w:sz="4" w:space="0" w:color="auto"/>
              <w:right w:val="single" w:sz="4" w:space="0" w:color="auto"/>
            </w:tcBorders>
            <w:shd w:val="clear" w:color="000000" w:fill="CCFFFF"/>
            <w:noWrap/>
            <w:vAlign w:val="center"/>
            <w:hideMark/>
          </w:tcPr>
          <w:p w14:paraId="711097EF" w14:textId="77777777" w:rsidR="001752B7" w:rsidRPr="001752B7" w:rsidRDefault="001752B7" w:rsidP="001752B7">
            <w:pPr>
              <w:spacing w:after="0" w:line="240" w:lineRule="auto"/>
              <w:jc w:val="right"/>
              <w:rPr>
                <w:rFonts w:ascii="Tahoma" w:eastAsia="Times New Roman" w:hAnsi="Tahoma" w:cs="Tahoma"/>
                <w:sz w:val="20"/>
                <w:szCs w:val="20"/>
                <w:lang w:eastAsia="hr-HR"/>
              </w:rPr>
            </w:pPr>
            <w:r w:rsidRPr="001752B7">
              <w:rPr>
                <w:rFonts w:ascii="Tahoma" w:eastAsia="Times New Roman" w:hAnsi="Tahoma" w:cs="Tahoma"/>
                <w:sz w:val="20"/>
                <w:szCs w:val="20"/>
                <w:lang w:eastAsia="hr-HR"/>
              </w:rPr>
              <w:t> </w:t>
            </w:r>
          </w:p>
        </w:tc>
        <w:tc>
          <w:tcPr>
            <w:tcW w:w="425" w:type="dxa"/>
            <w:tcBorders>
              <w:top w:val="nil"/>
              <w:left w:val="nil"/>
              <w:bottom w:val="single" w:sz="4" w:space="0" w:color="auto"/>
              <w:right w:val="single" w:sz="4" w:space="0" w:color="auto"/>
            </w:tcBorders>
            <w:shd w:val="clear" w:color="000000" w:fill="CCFFFF"/>
            <w:noWrap/>
            <w:vAlign w:val="center"/>
            <w:hideMark/>
          </w:tcPr>
          <w:p w14:paraId="24A1A882" w14:textId="77777777" w:rsidR="001752B7" w:rsidRPr="001752B7" w:rsidRDefault="001752B7" w:rsidP="001752B7">
            <w:pPr>
              <w:spacing w:after="0" w:line="240" w:lineRule="auto"/>
              <w:jc w:val="right"/>
              <w:rPr>
                <w:rFonts w:ascii="Tahoma" w:eastAsia="Times New Roman" w:hAnsi="Tahoma" w:cs="Tahoma"/>
                <w:sz w:val="20"/>
                <w:szCs w:val="20"/>
                <w:lang w:eastAsia="hr-HR"/>
              </w:rPr>
            </w:pPr>
            <w:r w:rsidRPr="001752B7">
              <w:rPr>
                <w:rFonts w:ascii="Tahoma" w:eastAsia="Times New Roman" w:hAnsi="Tahoma" w:cs="Tahoma"/>
                <w:sz w:val="20"/>
                <w:szCs w:val="20"/>
                <w:lang w:eastAsia="hr-HR"/>
              </w:rPr>
              <w:t> </w:t>
            </w:r>
          </w:p>
        </w:tc>
        <w:tc>
          <w:tcPr>
            <w:tcW w:w="426" w:type="dxa"/>
            <w:tcBorders>
              <w:top w:val="nil"/>
              <w:left w:val="nil"/>
              <w:bottom w:val="single" w:sz="4" w:space="0" w:color="auto"/>
              <w:right w:val="single" w:sz="4" w:space="0" w:color="auto"/>
            </w:tcBorders>
            <w:shd w:val="clear" w:color="000000" w:fill="CCFFFF"/>
            <w:noWrap/>
            <w:vAlign w:val="center"/>
            <w:hideMark/>
          </w:tcPr>
          <w:p w14:paraId="68CA404A" w14:textId="77777777" w:rsidR="001752B7" w:rsidRPr="001752B7" w:rsidRDefault="001752B7" w:rsidP="001752B7">
            <w:pPr>
              <w:spacing w:after="0" w:line="240" w:lineRule="auto"/>
              <w:jc w:val="right"/>
              <w:rPr>
                <w:rFonts w:ascii="Tahoma" w:eastAsia="Times New Roman" w:hAnsi="Tahoma" w:cs="Tahoma"/>
                <w:sz w:val="20"/>
                <w:szCs w:val="20"/>
                <w:lang w:eastAsia="hr-HR"/>
              </w:rPr>
            </w:pPr>
            <w:r w:rsidRPr="001752B7">
              <w:rPr>
                <w:rFonts w:ascii="Tahoma" w:eastAsia="Times New Roman" w:hAnsi="Tahoma" w:cs="Tahoma"/>
                <w:sz w:val="20"/>
                <w:szCs w:val="20"/>
                <w:lang w:eastAsia="hr-HR"/>
              </w:rPr>
              <w:t> </w:t>
            </w:r>
          </w:p>
        </w:tc>
        <w:tc>
          <w:tcPr>
            <w:tcW w:w="487" w:type="dxa"/>
            <w:tcBorders>
              <w:top w:val="nil"/>
              <w:left w:val="nil"/>
              <w:bottom w:val="single" w:sz="4" w:space="0" w:color="auto"/>
              <w:right w:val="nil"/>
            </w:tcBorders>
            <w:shd w:val="clear" w:color="000000" w:fill="33CCCC"/>
            <w:noWrap/>
            <w:vAlign w:val="center"/>
            <w:hideMark/>
          </w:tcPr>
          <w:p w14:paraId="32115883" w14:textId="77777777" w:rsidR="001752B7" w:rsidRPr="001752B7" w:rsidRDefault="001752B7" w:rsidP="001752B7">
            <w:pPr>
              <w:spacing w:after="0" w:line="240" w:lineRule="auto"/>
              <w:jc w:val="right"/>
              <w:rPr>
                <w:rFonts w:ascii="Tahoma" w:eastAsia="Times New Roman" w:hAnsi="Tahoma" w:cs="Tahoma"/>
                <w:sz w:val="20"/>
                <w:szCs w:val="20"/>
                <w:lang w:eastAsia="hr-HR"/>
              </w:rPr>
            </w:pPr>
            <w:r w:rsidRPr="001752B7">
              <w:rPr>
                <w:rFonts w:ascii="Tahoma" w:eastAsia="Times New Roman" w:hAnsi="Tahoma" w:cs="Tahoma"/>
                <w:sz w:val="20"/>
                <w:szCs w:val="20"/>
                <w:lang w:eastAsia="hr-HR"/>
              </w:rPr>
              <w:t> </w:t>
            </w:r>
          </w:p>
        </w:tc>
        <w:tc>
          <w:tcPr>
            <w:tcW w:w="425" w:type="dxa"/>
            <w:tcBorders>
              <w:top w:val="nil"/>
              <w:left w:val="single" w:sz="4" w:space="0" w:color="auto"/>
              <w:bottom w:val="single" w:sz="4" w:space="0" w:color="auto"/>
              <w:right w:val="single" w:sz="8" w:space="0" w:color="auto"/>
            </w:tcBorders>
            <w:shd w:val="clear" w:color="000000" w:fill="33CCCC"/>
            <w:noWrap/>
            <w:vAlign w:val="center"/>
            <w:hideMark/>
          </w:tcPr>
          <w:p w14:paraId="5E7D5635" w14:textId="77777777" w:rsidR="001752B7" w:rsidRPr="001752B7" w:rsidRDefault="001752B7" w:rsidP="001752B7">
            <w:pPr>
              <w:spacing w:after="0" w:line="240" w:lineRule="auto"/>
              <w:jc w:val="right"/>
              <w:rPr>
                <w:rFonts w:ascii="Tahoma" w:eastAsia="Times New Roman" w:hAnsi="Tahoma" w:cs="Tahoma"/>
                <w:sz w:val="20"/>
                <w:szCs w:val="20"/>
                <w:lang w:eastAsia="hr-HR"/>
              </w:rPr>
            </w:pPr>
            <w:r w:rsidRPr="001752B7">
              <w:rPr>
                <w:rFonts w:ascii="Tahoma" w:eastAsia="Times New Roman" w:hAnsi="Tahoma" w:cs="Tahoma"/>
                <w:sz w:val="20"/>
                <w:szCs w:val="20"/>
                <w:lang w:eastAsia="hr-HR"/>
              </w:rPr>
              <w:t>1</w:t>
            </w:r>
          </w:p>
        </w:tc>
        <w:tc>
          <w:tcPr>
            <w:tcW w:w="236" w:type="dxa"/>
            <w:vAlign w:val="center"/>
            <w:hideMark/>
          </w:tcPr>
          <w:p w14:paraId="09610713" w14:textId="77777777" w:rsidR="001752B7" w:rsidRPr="001752B7" w:rsidRDefault="001752B7" w:rsidP="001752B7">
            <w:pPr>
              <w:spacing w:after="0" w:line="240" w:lineRule="auto"/>
              <w:rPr>
                <w:rFonts w:ascii="Times New Roman" w:eastAsia="Times New Roman" w:hAnsi="Times New Roman" w:cs="Times New Roman"/>
                <w:sz w:val="20"/>
                <w:szCs w:val="20"/>
                <w:lang w:eastAsia="hr-HR"/>
              </w:rPr>
            </w:pPr>
          </w:p>
        </w:tc>
      </w:tr>
      <w:tr w:rsidR="001752B7" w:rsidRPr="001752B7" w14:paraId="5A8FDE1F" w14:textId="77777777" w:rsidTr="000271A1">
        <w:trPr>
          <w:gridAfter w:val="1"/>
          <w:wAfter w:w="31" w:type="dxa"/>
          <w:trHeight w:val="300"/>
        </w:trPr>
        <w:tc>
          <w:tcPr>
            <w:tcW w:w="1408" w:type="dxa"/>
            <w:tcBorders>
              <w:top w:val="single" w:sz="4" w:space="0" w:color="auto"/>
              <w:left w:val="single" w:sz="8" w:space="0" w:color="auto"/>
              <w:bottom w:val="single" w:sz="4" w:space="0" w:color="auto"/>
              <w:right w:val="single" w:sz="4" w:space="0" w:color="auto"/>
            </w:tcBorders>
            <w:shd w:val="clear" w:color="000000" w:fill="CCFFCC"/>
            <w:vAlign w:val="center"/>
            <w:hideMark/>
          </w:tcPr>
          <w:p w14:paraId="76363DAB" w14:textId="77777777" w:rsidR="001752B7" w:rsidRPr="001752B7" w:rsidRDefault="001752B7" w:rsidP="001752B7">
            <w:pPr>
              <w:spacing w:after="0" w:line="240" w:lineRule="auto"/>
              <w:rPr>
                <w:rFonts w:ascii="Tahoma" w:eastAsia="Times New Roman" w:hAnsi="Tahoma" w:cs="Tahoma"/>
                <w:sz w:val="20"/>
                <w:szCs w:val="20"/>
                <w:lang w:eastAsia="hr-HR"/>
              </w:rPr>
            </w:pPr>
            <w:r w:rsidRPr="001752B7">
              <w:rPr>
                <w:rFonts w:ascii="Tahoma" w:eastAsia="Times New Roman" w:hAnsi="Tahoma" w:cs="Tahoma"/>
                <w:sz w:val="20"/>
                <w:szCs w:val="20"/>
                <w:lang w:eastAsia="hr-HR"/>
              </w:rPr>
              <w:t>Članstvo u sindikatu</w:t>
            </w:r>
          </w:p>
        </w:tc>
        <w:tc>
          <w:tcPr>
            <w:tcW w:w="673" w:type="dxa"/>
            <w:tcBorders>
              <w:top w:val="nil"/>
              <w:left w:val="nil"/>
              <w:bottom w:val="single" w:sz="4" w:space="0" w:color="auto"/>
              <w:right w:val="single" w:sz="4" w:space="0" w:color="auto"/>
            </w:tcBorders>
            <w:shd w:val="clear" w:color="000000" w:fill="FFCC99"/>
            <w:noWrap/>
            <w:vAlign w:val="center"/>
            <w:hideMark/>
          </w:tcPr>
          <w:p w14:paraId="19E8B399" w14:textId="77777777" w:rsidR="001752B7" w:rsidRPr="001752B7" w:rsidRDefault="001752B7" w:rsidP="001752B7">
            <w:pPr>
              <w:spacing w:after="0" w:line="240" w:lineRule="auto"/>
              <w:jc w:val="right"/>
              <w:rPr>
                <w:rFonts w:ascii="Tahoma" w:eastAsia="Times New Roman" w:hAnsi="Tahoma" w:cs="Tahoma"/>
                <w:sz w:val="20"/>
                <w:szCs w:val="20"/>
                <w:lang w:eastAsia="hr-HR"/>
              </w:rPr>
            </w:pPr>
            <w:r w:rsidRPr="001752B7">
              <w:rPr>
                <w:rFonts w:ascii="Tahoma" w:eastAsia="Times New Roman" w:hAnsi="Tahoma" w:cs="Tahoma"/>
                <w:sz w:val="20"/>
                <w:szCs w:val="20"/>
                <w:lang w:eastAsia="hr-HR"/>
              </w:rPr>
              <w:t>20</w:t>
            </w:r>
          </w:p>
        </w:tc>
        <w:tc>
          <w:tcPr>
            <w:tcW w:w="521" w:type="dxa"/>
            <w:tcBorders>
              <w:top w:val="nil"/>
              <w:left w:val="nil"/>
              <w:bottom w:val="single" w:sz="4" w:space="0" w:color="auto"/>
              <w:right w:val="single" w:sz="4" w:space="0" w:color="auto"/>
            </w:tcBorders>
            <w:shd w:val="clear" w:color="000000" w:fill="FFFF00"/>
            <w:noWrap/>
            <w:vAlign w:val="center"/>
            <w:hideMark/>
          </w:tcPr>
          <w:p w14:paraId="0F3EAC68" w14:textId="77777777" w:rsidR="001752B7" w:rsidRPr="001752B7" w:rsidRDefault="001752B7" w:rsidP="001752B7">
            <w:pPr>
              <w:spacing w:after="0" w:line="240" w:lineRule="auto"/>
              <w:jc w:val="right"/>
              <w:rPr>
                <w:rFonts w:ascii="Tahoma" w:eastAsia="Times New Roman" w:hAnsi="Tahoma" w:cs="Tahoma"/>
                <w:sz w:val="20"/>
                <w:szCs w:val="20"/>
                <w:lang w:eastAsia="hr-HR"/>
              </w:rPr>
            </w:pPr>
            <w:r w:rsidRPr="001752B7">
              <w:rPr>
                <w:rFonts w:ascii="Tahoma" w:eastAsia="Times New Roman" w:hAnsi="Tahoma" w:cs="Tahoma"/>
                <w:sz w:val="20"/>
                <w:szCs w:val="20"/>
                <w:lang w:eastAsia="hr-HR"/>
              </w:rPr>
              <w:t>3</w:t>
            </w:r>
          </w:p>
        </w:tc>
        <w:tc>
          <w:tcPr>
            <w:tcW w:w="477" w:type="dxa"/>
            <w:tcBorders>
              <w:top w:val="nil"/>
              <w:left w:val="nil"/>
              <w:bottom w:val="single" w:sz="4" w:space="0" w:color="auto"/>
              <w:right w:val="single" w:sz="4" w:space="0" w:color="auto"/>
            </w:tcBorders>
            <w:shd w:val="clear" w:color="000000" w:fill="CCFFFF"/>
            <w:noWrap/>
            <w:vAlign w:val="center"/>
            <w:hideMark/>
          </w:tcPr>
          <w:p w14:paraId="7268D19E" w14:textId="77777777" w:rsidR="001752B7" w:rsidRPr="001752B7" w:rsidRDefault="001752B7" w:rsidP="001752B7">
            <w:pPr>
              <w:spacing w:after="0" w:line="240" w:lineRule="auto"/>
              <w:jc w:val="right"/>
              <w:rPr>
                <w:rFonts w:ascii="Tahoma" w:eastAsia="Times New Roman" w:hAnsi="Tahoma" w:cs="Tahoma"/>
                <w:sz w:val="20"/>
                <w:szCs w:val="20"/>
                <w:lang w:eastAsia="hr-HR"/>
              </w:rPr>
            </w:pPr>
            <w:r w:rsidRPr="001752B7">
              <w:rPr>
                <w:rFonts w:ascii="Tahoma" w:eastAsia="Times New Roman" w:hAnsi="Tahoma" w:cs="Tahoma"/>
                <w:sz w:val="20"/>
                <w:szCs w:val="20"/>
                <w:lang w:eastAsia="hr-HR"/>
              </w:rPr>
              <w:t> </w:t>
            </w:r>
          </w:p>
        </w:tc>
        <w:tc>
          <w:tcPr>
            <w:tcW w:w="426" w:type="dxa"/>
            <w:tcBorders>
              <w:top w:val="nil"/>
              <w:left w:val="nil"/>
              <w:bottom w:val="single" w:sz="4" w:space="0" w:color="auto"/>
              <w:right w:val="single" w:sz="4" w:space="0" w:color="auto"/>
            </w:tcBorders>
            <w:shd w:val="clear" w:color="000000" w:fill="CCFFFF"/>
            <w:noWrap/>
            <w:vAlign w:val="center"/>
            <w:hideMark/>
          </w:tcPr>
          <w:p w14:paraId="3A3E914F" w14:textId="77777777" w:rsidR="001752B7" w:rsidRPr="001752B7" w:rsidRDefault="001752B7" w:rsidP="001752B7">
            <w:pPr>
              <w:spacing w:after="0" w:line="240" w:lineRule="auto"/>
              <w:jc w:val="right"/>
              <w:rPr>
                <w:rFonts w:ascii="Tahoma" w:eastAsia="Times New Roman" w:hAnsi="Tahoma" w:cs="Tahoma"/>
                <w:sz w:val="20"/>
                <w:szCs w:val="20"/>
                <w:lang w:eastAsia="hr-HR"/>
              </w:rPr>
            </w:pPr>
            <w:r w:rsidRPr="001752B7">
              <w:rPr>
                <w:rFonts w:ascii="Tahoma" w:eastAsia="Times New Roman" w:hAnsi="Tahoma" w:cs="Tahoma"/>
                <w:sz w:val="20"/>
                <w:szCs w:val="20"/>
                <w:lang w:eastAsia="hr-HR"/>
              </w:rPr>
              <w:t>3</w:t>
            </w:r>
          </w:p>
        </w:tc>
        <w:tc>
          <w:tcPr>
            <w:tcW w:w="698" w:type="dxa"/>
            <w:tcBorders>
              <w:top w:val="nil"/>
              <w:left w:val="nil"/>
              <w:bottom w:val="single" w:sz="4" w:space="0" w:color="auto"/>
              <w:right w:val="single" w:sz="4" w:space="0" w:color="auto"/>
            </w:tcBorders>
            <w:shd w:val="clear" w:color="000000" w:fill="FFFF99"/>
            <w:noWrap/>
            <w:vAlign w:val="center"/>
            <w:hideMark/>
          </w:tcPr>
          <w:p w14:paraId="0D5967BB" w14:textId="77777777" w:rsidR="001752B7" w:rsidRPr="001752B7" w:rsidRDefault="001752B7" w:rsidP="001752B7">
            <w:pPr>
              <w:spacing w:after="0" w:line="240" w:lineRule="auto"/>
              <w:jc w:val="right"/>
              <w:rPr>
                <w:rFonts w:ascii="Tahoma" w:eastAsia="Times New Roman" w:hAnsi="Tahoma" w:cs="Tahoma"/>
                <w:sz w:val="20"/>
                <w:szCs w:val="20"/>
                <w:lang w:eastAsia="hr-HR"/>
              </w:rPr>
            </w:pPr>
            <w:r w:rsidRPr="001752B7">
              <w:rPr>
                <w:rFonts w:ascii="Tahoma" w:eastAsia="Times New Roman" w:hAnsi="Tahoma" w:cs="Tahoma"/>
                <w:sz w:val="20"/>
                <w:szCs w:val="20"/>
                <w:lang w:eastAsia="hr-HR"/>
              </w:rPr>
              <w:t>3</w:t>
            </w:r>
          </w:p>
        </w:tc>
        <w:tc>
          <w:tcPr>
            <w:tcW w:w="698" w:type="dxa"/>
            <w:tcBorders>
              <w:top w:val="nil"/>
              <w:left w:val="nil"/>
              <w:bottom w:val="single" w:sz="4" w:space="0" w:color="auto"/>
              <w:right w:val="single" w:sz="4" w:space="0" w:color="auto"/>
            </w:tcBorders>
            <w:shd w:val="clear" w:color="000000" w:fill="FFFF99"/>
            <w:noWrap/>
            <w:vAlign w:val="center"/>
            <w:hideMark/>
          </w:tcPr>
          <w:p w14:paraId="39ED3738" w14:textId="77777777" w:rsidR="001752B7" w:rsidRPr="001752B7" w:rsidRDefault="001752B7" w:rsidP="001752B7">
            <w:pPr>
              <w:spacing w:after="0" w:line="240" w:lineRule="auto"/>
              <w:jc w:val="right"/>
              <w:rPr>
                <w:rFonts w:ascii="Tahoma" w:eastAsia="Times New Roman" w:hAnsi="Tahoma" w:cs="Tahoma"/>
                <w:sz w:val="20"/>
                <w:szCs w:val="20"/>
                <w:lang w:eastAsia="hr-HR"/>
              </w:rPr>
            </w:pPr>
            <w:r w:rsidRPr="001752B7">
              <w:rPr>
                <w:rFonts w:ascii="Tahoma" w:eastAsia="Times New Roman" w:hAnsi="Tahoma" w:cs="Tahoma"/>
                <w:sz w:val="20"/>
                <w:szCs w:val="20"/>
                <w:lang w:eastAsia="hr-HR"/>
              </w:rPr>
              <w:t>1</w:t>
            </w:r>
          </w:p>
        </w:tc>
        <w:tc>
          <w:tcPr>
            <w:tcW w:w="698" w:type="dxa"/>
            <w:tcBorders>
              <w:top w:val="nil"/>
              <w:left w:val="nil"/>
              <w:bottom w:val="single" w:sz="4" w:space="0" w:color="auto"/>
              <w:right w:val="single" w:sz="4" w:space="0" w:color="auto"/>
            </w:tcBorders>
            <w:shd w:val="clear" w:color="000000" w:fill="FFFF99"/>
            <w:noWrap/>
            <w:vAlign w:val="center"/>
            <w:hideMark/>
          </w:tcPr>
          <w:p w14:paraId="5C6C215B" w14:textId="77777777" w:rsidR="001752B7" w:rsidRPr="001752B7" w:rsidRDefault="001752B7" w:rsidP="001752B7">
            <w:pPr>
              <w:spacing w:after="0" w:line="240" w:lineRule="auto"/>
              <w:jc w:val="right"/>
              <w:rPr>
                <w:rFonts w:ascii="Tahoma" w:eastAsia="Times New Roman" w:hAnsi="Tahoma" w:cs="Tahoma"/>
                <w:sz w:val="20"/>
                <w:szCs w:val="20"/>
                <w:lang w:eastAsia="hr-HR"/>
              </w:rPr>
            </w:pPr>
            <w:r w:rsidRPr="001752B7">
              <w:rPr>
                <w:rFonts w:ascii="Tahoma" w:eastAsia="Times New Roman" w:hAnsi="Tahoma" w:cs="Tahoma"/>
                <w:sz w:val="20"/>
                <w:szCs w:val="20"/>
                <w:lang w:eastAsia="hr-HR"/>
              </w:rPr>
              <w:t> </w:t>
            </w:r>
          </w:p>
        </w:tc>
        <w:tc>
          <w:tcPr>
            <w:tcW w:w="698" w:type="dxa"/>
            <w:tcBorders>
              <w:top w:val="nil"/>
              <w:left w:val="nil"/>
              <w:bottom w:val="single" w:sz="4" w:space="0" w:color="auto"/>
              <w:right w:val="single" w:sz="4" w:space="0" w:color="auto"/>
            </w:tcBorders>
            <w:shd w:val="clear" w:color="000000" w:fill="FFFF99"/>
            <w:noWrap/>
            <w:vAlign w:val="center"/>
            <w:hideMark/>
          </w:tcPr>
          <w:p w14:paraId="3B487ADF" w14:textId="77777777" w:rsidR="001752B7" w:rsidRPr="001752B7" w:rsidRDefault="001752B7" w:rsidP="001752B7">
            <w:pPr>
              <w:spacing w:after="0" w:line="240" w:lineRule="auto"/>
              <w:jc w:val="right"/>
              <w:rPr>
                <w:rFonts w:ascii="Tahoma" w:eastAsia="Times New Roman" w:hAnsi="Tahoma" w:cs="Tahoma"/>
                <w:sz w:val="20"/>
                <w:szCs w:val="20"/>
                <w:lang w:eastAsia="hr-HR"/>
              </w:rPr>
            </w:pPr>
            <w:r w:rsidRPr="001752B7">
              <w:rPr>
                <w:rFonts w:ascii="Tahoma" w:eastAsia="Times New Roman" w:hAnsi="Tahoma" w:cs="Tahoma"/>
                <w:sz w:val="20"/>
                <w:szCs w:val="20"/>
                <w:lang w:eastAsia="hr-HR"/>
              </w:rPr>
              <w:t> </w:t>
            </w:r>
          </w:p>
        </w:tc>
        <w:tc>
          <w:tcPr>
            <w:tcW w:w="698" w:type="dxa"/>
            <w:tcBorders>
              <w:top w:val="nil"/>
              <w:left w:val="nil"/>
              <w:bottom w:val="single" w:sz="4" w:space="0" w:color="auto"/>
              <w:right w:val="single" w:sz="4" w:space="0" w:color="auto"/>
            </w:tcBorders>
            <w:shd w:val="clear" w:color="000000" w:fill="FFFF99"/>
            <w:noWrap/>
            <w:vAlign w:val="center"/>
            <w:hideMark/>
          </w:tcPr>
          <w:p w14:paraId="669E9C8B" w14:textId="77777777" w:rsidR="001752B7" w:rsidRPr="001752B7" w:rsidRDefault="001752B7" w:rsidP="001752B7">
            <w:pPr>
              <w:spacing w:after="0" w:line="240" w:lineRule="auto"/>
              <w:jc w:val="right"/>
              <w:rPr>
                <w:rFonts w:ascii="Tahoma" w:eastAsia="Times New Roman" w:hAnsi="Tahoma" w:cs="Tahoma"/>
                <w:sz w:val="20"/>
                <w:szCs w:val="20"/>
                <w:lang w:eastAsia="hr-HR"/>
              </w:rPr>
            </w:pPr>
            <w:r w:rsidRPr="001752B7">
              <w:rPr>
                <w:rFonts w:ascii="Tahoma" w:eastAsia="Times New Roman" w:hAnsi="Tahoma" w:cs="Tahoma"/>
                <w:sz w:val="20"/>
                <w:szCs w:val="20"/>
                <w:lang w:eastAsia="hr-HR"/>
              </w:rPr>
              <w:t> </w:t>
            </w:r>
          </w:p>
        </w:tc>
        <w:tc>
          <w:tcPr>
            <w:tcW w:w="698" w:type="dxa"/>
            <w:tcBorders>
              <w:top w:val="nil"/>
              <w:left w:val="nil"/>
              <w:bottom w:val="single" w:sz="4" w:space="0" w:color="auto"/>
              <w:right w:val="single" w:sz="4" w:space="0" w:color="auto"/>
            </w:tcBorders>
            <w:shd w:val="clear" w:color="000000" w:fill="FFFF99"/>
            <w:noWrap/>
            <w:vAlign w:val="center"/>
            <w:hideMark/>
          </w:tcPr>
          <w:p w14:paraId="6DE87109" w14:textId="77777777" w:rsidR="001752B7" w:rsidRPr="001752B7" w:rsidRDefault="001752B7" w:rsidP="001752B7">
            <w:pPr>
              <w:spacing w:after="0" w:line="240" w:lineRule="auto"/>
              <w:jc w:val="right"/>
              <w:rPr>
                <w:rFonts w:ascii="Tahoma" w:eastAsia="Times New Roman" w:hAnsi="Tahoma" w:cs="Tahoma"/>
                <w:sz w:val="20"/>
                <w:szCs w:val="20"/>
                <w:lang w:eastAsia="hr-HR"/>
              </w:rPr>
            </w:pPr>
            <w:r w:rsidRPr="001752B7">
              <w:rPr>
                <w:rFonts w:ascii="Tahoma" w:eastAsia="Times New Roman" w:hAnsi="Tahoma" w:cs="Tahoma"/>
                <w:sz w:val="20"/>
                <w:szCs w:val="20"/>
                <w:lang w:eastAsia="hr-HR"/>
              </w:rPr>
              <w:t> </w:t>
            </w:r>
          </w:p>
        </w:tc>
        <w:tc>
          <w:tcPr>
            <w:tcW w:w="469" w:type="dxa"/>
            <w:tcBorders>
              <w:top w:val="nil"/>
              <w:left w:val="nil"/>
              <w:bottom w:val="single" w:sz="4" w:space="0" w:color="auto"/>
              <w:right w:val="single" w:sz="4" w:space="0" w:color="auto"/>
            </w:tcBorders>
            <w:shd w:val="clear" w:color="000000" w:fill="FF9900"/>
            <w:noWrap/>
            <w:vAlign w:val="center"/>
            <w:hideMark/>
          </w:tcPr>
          <w:p w14:paraId="09455FBB" w14:textId="77777777" w:rsidR="001752B7" w:rsidRPr="001752B7" w:rsidRDefault="001752B7" w:rsidP="001752B7">
            <w:pPr>
              <w:spacing w:after="0" w:line="240" w:lineRule="auto"/>
              <w:jc w:val="right"/>
              <w:rPr>
                <w:rFonts w:ascii="Tahoma" w:eastAsia="Times New Roman" w:hAnsi="Tahoma" w:cs="Tahoma"/>
                <w:sz w:val="20"/>
                <w:szCs w:val="20"/>
                <w:lang w:eastAsia="hr-HR"/>
              </w:rPr>
            </w:pPr>
            <w:r w:rsidRPr="001752B7">
              <w:rPr>
                <w:rFonts w:ascii="Tahoma" w:eastAsia="Times New Roman" w:hAnsi="Tahoma" w:cs="Tahoma"/>
                <w:sz w:val="20"/>
                <w:szCs w:val="20"/>
                <w:lang w:eastAsia="hr-HR"/>
              </w:rPr>
              <w:t> </w:t>
            </w:r>
          </w:p>
        </w:tc>
        <w:tc>
          <w:tcPr>
            <w:tcW w:w="419" w:type="dxa"/>
            <w:tcBorders>
              <w:top w:val="nil"/>
              <w:left w:val="nil"/>
              <w:bottom w:val="single" w:sz="4" w:space="0" w:color="auto"/>
              <w:right w:val="single" w:sz="4" w:space="0" w:color="auto"/>
            </w:tcBorders>
            <w:shd w:val="clear" w:color="000000" w:fill="FF9900"/>
            <w:noWrap/>
            <w:vAlign w:val="center"/>
            <w:hideMark/>
          </w:tcPr>
          <w:p w14:paraId="45764D58" w14:textId="77777777" w:rsidR="001752B7" w:rsidRPr="001752B7" w:rsidRDefault="001752B7" w:rsidP="001752B7">
            <w:pPr>
              <w:spacing w:after="0" w:line="240" w:lineRule="auto"/>
              <w:jc w:val="right"/>
              <w:rPr>
                <w:rFonts w:ascii="Tahoma" w:eastAsia="Times New Roman" w:hAnsi="Tahoma" w:cs="Tahoma"/>
                <w:sz w:val="20"/>
                <w:szCs w:val="20"/>
                <w:lang w:eastAsia="hr-HR"/>
              </w:rPr>
            </w:pPr>
            <w:r w:rsidRPr="001752B7">
              <w:rPr>
                <w:rFonts w:ascii="Tahoma" w:eastAsia="Times New Roman" w:hAnsi="Tahoma" w:cs="Tahoma"/>
                <w:sz w:val="20"/>
                <w:szCs w:val="20"/>
                <w:lang w:eastAsia="hr-HR"/>
              </w:rPr>
              <w:t>1</w:t>
            </w:r>
          </w:p>
        </w:tc>
        <w:tc>
          <w:tcPr>
            <w:tcW w:w="521" w:type="dxa"/>
            <w:tcBorders>
              <w:top w:val="nil"/>
              <w:left w:val="nil"/>
              <w:bottom w:val="single" w:sz="4" w:space="0" w:color="auto"/>
              <w:right w:val="single" w:sz="4" w:space="0" w:color="auto"/>
            </w:tcBorders>
            <w:shd w:val="clear" w:color="000000" w:fill="FF9900"/>
            <w:noWrap/>
            <w:vAlign w:val="center"/>
            <w:hideMark/>
          </w:tcPr>
          <w:p w14:paraId="6681FC96" w14:textId="77777777" w:rsidR="001752B7" w:rsidRPr="001752B7" w:rsidRDefault="001752B7" w:rsidP="001752B7">
            <w:pPr>
              <w:spacing w:after="0" w:line="240" w:lineRule="auto"/>
              <w:jc w:val="right"/>
              <w:rPr>
                <w:rFonts w:ascii="Tahoma" w:eastAsia="Times New Roman" w:hAnsi="Tahoma" w:cs="Tahoma"/>
                <w:sz w:val="20"/>
                <w:szCs w:val="20"/>
                <w:lang w:eastAsia="hr-HR"/>
              </w:rPr>
            </w:pPr>
            <w:r w:rsidRPr="001752B7">
              <w:rPr>
                <w:rFonts w:ascii="Tahoma" w:eastAsia="Times New Roman" w:hAnsi="Tahoma" w:cs="Tahoma"/>
                <w:sz w:val="20"/>
                <w:szCs w:val="20"/>
                <w:lang w:eastAsia="hr-HR"/>
              </w:rPr>
              <w:t>4</w:t>
            </w:r>
          </w:p>
        </w:tc>
        <w:tc>
          <w:tcPr>
            <w:tcW w:w="476" w:type="dxa"/>
            <w:tcBorders>
              <w:top w:val="nil"/>
              <w:left w:val="nil"/>
              <w:bottom w:val="single" w:sz="4" w:space="0" w:color="auto"/>
              <w:right w:val="single" w:sz="4" w:space="0" w:color="auto"/>
            </w:tcBorders>
            <w:shd w:val="clear" w:color="000000" w:fill="FFFF00"/>
            <w:vAlign w:val="center"/>
            <w:hideMark/>
          </w:tcPr>
          <w:p w14:paraId="23C3FB9B" w14:textId="77777777" w:rsidR="001752B7" w:rsidRPr="001752B7" w:rsidRDefault="001752B7" w:rsidP="001752B7">
            <w:pPr>
              <w:spacing w:after="0" w:line="240" w:lineRule="auto"/>
              <w:jc w:val="right"/>
              <w:rPr>
                <w:rFonts w:ascii="Tahoma" w:eastAsia="Times New Roman" w:hAnsi="Tahoma" w:cs="Tahoma"/>
                <w:sz w:val="20"/>
                <w:szCs w:val="20"/>
                <w:lang w:eastAsia="hr-HR"/>
              </w:rPr>
            </w:pPr>
            <w:r w:rsidRPr="001752B7">
              <w:rPr>
                <w:rFonts w:ascii="Tahoma" w:eastAsia="Times New Roman" w:hAnsi="Tahoma" w:cs="Tahoma"/>
                <w:sz w:val="20"/>
                <w:szCs w:val="20"/>
                <w:lang w:eastAsia="hr-HR"/>
              </w:rPr>
              <w:t>5</w:t>
            </w:r>
          </w:p>
        </w:tc>
        <w:tc>
          <w:tcPr>
            <w:tcW w:w="698" w:type="dxa"/>
            <w:tcBorders>
              <w:top w:val="nil"/>
              <w:left w:val="nil"/>
              <w:bottom w:val="single" w:sz="4" w:space="0" w:color="auto"/>
              <w:right w:val="single" w:sz="4" w:space="0" w:color="auto"/>
            </w:tcBorders>
            <w:shd w:val="clear" w:color="000000" w:fill="FF9900"/>
            <w:vAlign w:val="center"/>
            <w:hideMark/>
          </w:tcPr>
          <w:p w14:paraId="30983F7A" w14:textId="77777777" w:rsidR="001752B7" w:rsidRPr="001752B7" w:rsidRDefault="001752B7" w:rsidP="001752B7">
            <w:pPr>
              <w:spacing w:after="0" w:line="240" w:lineRule="auto"/>
              <w:jc w:val="right"/>
              <w:rPr>
                <w:rFonts w:ascii="Tahoma" w:eastAsia="Times New Roman" w:hAnsi="Tahoma" w:cs="Tahoma"/>
                <w:sz w:val="20"/>
                <w:szCs w:val="20"/>
                <w:lang w:eastAsia="hr-HR"/>
              </w:rPr>
            </w:pPr>
            <w:r w:rsidRPr="001752B7">
              <w:rPr>
                <w:rFonts w:ascii="Tahoma" w:eastAsia="Times New Roman" w:hAnsi="Tahoma" w:cs="Tahoma"/>
                <w:sz w:val="20"/>
                <w:szCs w:val="20"/>
                <w:lang w:eastAsia="hr-HR"/>
              </w:rPr>
              <w:t>18</w:t>
            </w:r>
          </w:p>
        </w:tc>
        <w:tc>
          <w:tcPr>
            <w:tcW w:w="643" w:type="dxa"/>
            <w:tcBorders>
              <w:top w:val="nil"/>
              <w:left w:val="nil"/>
              <w:bottom w:val="single" w:sz="4" w:space="0" w:color="auto"/>
              <w:right w:val="single" w:sz="4" w:space="0" w:color="auto"/>
            </w:tcBorders>
            <w:shd w:val="clear" w:color="000000" w:fill="FF9900"/>
            <w:noWrap/>
            <w:vAlign w:val="center"/>
            <w:hideMark/>
          </w:tcPr>
          <w:p w14:paraId="5BC800D0" w14:textId="77777777" w:rsidR="001752B7" w:rsidRPr="001752B7" w:rsidRDefault="001752B7" w:rsidP="001752B7">
            <w:pPr>
              <w:spacing w:after="0" w:line="240" w:lineRule="auto"/>
              <w:jc w:val="right"/>
              <w:rPr>
                <w:rFonts w:ascii="Tahoma" w:eastAsia="Times New Roman" w:hAnsi="Tahoma" w:cs="Tahoma"/>
                <w:sz w:val="20"/>
                <w:szCs w:val="20"/>
                <w:lang w:eastAsia="hr-HR"/>
              </w:rPr>
            </w:pPr>
            <w:r w:rsidRPr="001752B7">
              <w:rPr>
                <w:rFonts w:ascii="Tahoma" w:eastAsia="Times New Roman" w:hAnsi="Tahoma" w:cs="Tahoma"/>
                <w:sz w:val="20"/>
                <w:szCs w:val="20"/>
                <w:lang w:eastAsia="hr-HR"/>
              </w:rPr>
              <w:t>2</w:t>
            </w:r>
          </w:p>
        </w:tc>
        <w:tc>
          <w:tcPr>
            <w:tcW w:w="605" w:type="dxa"/>
            <w:tcBorders>
              <w:top w:val="nil"/>
              <w:left w:val="nil"/>
              <w:bottom w:val="single" w:sz="4" w:space="0" w:color="auto"/>
              <w:right w:val="single" w:sz="4" w:space="0" w:color="auto"/>
            </w:tcBorders>
            <w:shd w:val="clear" w:color="000000" w:fill="FF9900"/>
            <w:noWrap/>
            <w:vAlign w:val="center"/>
            <w:hideMark/>
          </w:tcPr>
          <w:p w14:paraId="22D40F12" w14:textId="77777777" w:rsidR="001752B7" w:rsidRPr="001752B7" w:rsidRDefault="001752B7" w:rsidP="001752B7">
            <w:pPr>
              <w:spacing w:after="0" w:line="240" w:lineRule="auto"/>
              <w:jc w:val="right"/>
              <w:rPr>
                <w:rFonts w:ascii="Tahoma" w:eastAsia="Times New Roman" w:hAnsi="Tahoma" w:cs="Tahoma"/>
                <w:sz w:val="20"/>
                <w:szCs w:val="20"/>
                <w:lang w:eastAsia="hr-HR"/>
              </w:rPr>
            </w:pPr>
            <w:r w:rsidRPr="001752B7">
              <w:rPr>
                <w:rFonts w:ascii="Tahoma" w:eastAsia="Times New Roman" w:hAnsi="Tahoma" w:cs="Tahoma"/>
                <w:sz w:val="20"/>
                <w:szCs w:val="20"/>
                <w:lang w:eastAsia="hr-HR"/>
              </w:rPr>
              <w:t>2</w:t>
            </w:r>
          </w:p>
        </w:tc>
        <w:tc>
          <w:tcPr>
            <w:tcW w:w="698" w:type="dxa"/>
            <w:tcBorders>
              <w:top w:val="nil"/>
              <w:left w:val="nil"/>
              <w:bottom w:val="single" w:sz="4" w:space="0" w:color="auto"/>
              <w:right w:val="single" w:sz="4" w:space="0" w:color="auto"/>
            </w:tcBorders>
            <w:shd w:val="clear" w:color="000000" w:fill="FF9900"/>
            <w:noWrap/>
            <w:vAlign w:val="center"/>
            <w:hideMark/>
          </w:tcPr>
          <w:p w14:paraId="3C52E168" w14:textId="77777777" w:rsidR="001752B7" w:rsidRPr="001752B7" w:rsidRDefault="001752B7" w:rsidP="001752B7">
            <w:pPr>
              <w:spacing w:after="0" w:line="240" w:lineRule="auto"/>
              <w:jc w:val="right"/>
              <w:rPr>
                <w:rFonts w:ascii="Tahoma" w:eastAsia="Times New Roman" w:hAnsi="Tahoma" w:cs="Tahoma"/>
                <w:sz w:val="20"/>
                <w:szCs w:val="20"/>
                <w:lang w:eastAsia="hr-HR"/>
              </w:rPr>
            </w:pPr>
            <w:r w:rsidRPr="001752B7">
              <w:rPr>
                <w:rFonts w:ascii="Tahoma" w:eastAsia="Times New Roman" w:hAnsi="Tahoma" w:cs="Tahoma"/>
                <w:sz w:val="20"/>
                <w:szCs w:val="20"/>
                <w:lang w:eastAsia="hr-HR"/>
              </w:rPr>
              <w:t>3</w:t>
            </w:r>
          </w:p>
        </w:tc>
        <w:tc>
          <w:tcPr>
            <w:tcW w:w="464" w:type="dxa"/>
            <w:tcBorders>
              <w:top w:val="nil"/>
              <w:left w:val="nil"/>
              <w:bottom w:val="single" w:sz="4" w:space="0" w:color="auto"/>
              <w:right w:val="single" w:sz="4" w:space="0" w:color="auto"/>
            </w:tcBorders>
            <w:shd w:val="clear" w:color="000000" w:fill="CCFFFF"/>
            <w:noWrap/>
            <w:vAlign w:val="center"/>
            <w:hideMark/>
          </w:tcPr>
          <w:p w14:paraId="529E31A4" w14:textId="77777777" w:rsidR="001752B7" w:rsidRPr="001752B7" w:rsidRDefault="001752B7" w:rsidP="001752B7">
            <w:pPr>
              <w:spacing w:after="0" w:line="240" w:lineRule="auto"/>
              <w:jc w:val="right"/>
              <w:rPr>
                <w:rFonts w:ascii="Tahoma" w:eastAsia="Times New Roman" w:hAnsi="Tahoma" w:cs="Tahoma"/>
                <w:sz w:val="20"/>
                <w:szCs w:val="20"/>
                <w:lang w:eastAsia="hr-HR"/>
              </w:rPr>
            </w:pPr>
            <w:r w:rsidRPr="001752B7">
              <w:rPr>
                <w:rFonts w:ascii="Tahoma" w:eastAsia="Times New Roman" w:hAnsi="Tahoma" w:cs="Tahoma"/>
                <w:sz w:val="20"/>
                <w:szCs w:val="20"/>
                <w:lang w:eastAsia="hr-HR"/>
              </w:rPr>
              <w:t>1</w:t>
            </w:r>
          </w:p>
        </w:tc>
        <w:tc>
          <w:tcPr>
            <w:tcW w:w="425" w:type="dxa"/>
            <w:tcBorders>
              <w:top w:val="nil"/>
              <w:left w:val="nil"/>
              <w:bottom w:val="single" w:sz="4" w:space="0" w:color="auto"/>
              <w:right w:val="single" w:sz="4" w:space="0" w:color="auto"/>
            </w:tcBorders>
            <w:shd w:val="clear" w:color="000000" w:fill="CCFFFF"/>
            <w:noWrap/>
            <w:vAlign w:val="center"/>
            <w:hideMark/>
          </w:tcPr>
          <w:p w14:paraId="19E338C5" w14:textId="77777777" w:rsidR="001752B7" w:rsidRPr="001752B7" w:rsidRDefault="001752B7" w:rsidP="001752B7">
            <w:pPr>
              <w:spacing w:after="0" w:line="240" w:lineRule="auto"/>
              <w:jc w:val="right"/>
              <w:rPr>
                <w:rFonts w:ascii="Tahoma" w:eastAsia="Times New Roman" w:hAnsi="Tahoma" w:cs="Tahoma"/>
                <w:sz w:val="20"/>
                <w:szCs w:val="20"/>
                <w:lang w:eastAsia="hr-HR"/>
              </w:rPr>
            </w:pPr>
            <w:r w:rsidRPr="001752B7">
              <w:rPr>
                <w:rFonts w:ascii="Tahoma" w:eastAsia="Times New Roman" w:hAnsi="Tahoma" w:cs="Tahoma"/>
                <w:sz w:val="20"/>
                <w:szCs w:val="20"/>
                <w:lang w:eastAsia="hr-HR"/>
              </w:rPr>
              <w:t> </w:t>
            </w:r>
          </w:p>
        </w:tc>
        <w:tc>
          <w:tcPr>
            <w:tcW w:w="426" w:type="dxa"/>
            <w:tcBorders>
              <w:top w:val="nil"/>
              <w:left w:val="nil"/>
              <w:bottom w:val="single" w:sz="4" w:space="0" w:color="auto"/>
              <w:right w:val="single" w:sz="4" w:space="0" w:color="auto"/>
            </w:tcBorders>
            <w:shd w:val="clear" w:color="000000" w:fill="CCFFFF"/>
            <w:noWrap/>
            <w:vAlign w:val="center"/>
            <w:hideMark/>
          </w:tcPr>
          <w:p w14:paraId="3D05AF63" w14:textId="77777777" w:rsidR="001752B7" w:rsidRPr="001752B7" w:rsidRDefault="001752B7" w:rsidP="001752B7">
            <w:pPr>
              <w:spacing w:after="0" w:line="240" w:lineRule="auto"/>
              <w:jc w:val="right"/>
              <w:rPr>
                <w:rFonts w:ascii="Tahoma" w:eastAsia="Times New Roman" w:hAnsi="Tahoma" w:cs="Tahoma"/>
                <w:sz w:val="20"/>
                <w:szCs w:val="20"/>
                <w:lang w:eastAsia="hr-HR"/>
              </w:rPr>
            </w:pPr>
            <w:r w:rsidRPr="001752B7">
              <w:rPr>
                <w:rFonts w:ascii="Tahoma" w:eastAsia="Times New Roman" w:hAnsi="Tahoma" w:cs="Tahoma"/>
                <w:sz w:val="20"/>
                <w:szCs w:val="20"/>
                <w:lang w:eastAsia="hr-HR"/>
              </w:rPr>
              <w:t> </w:t>
            </w:r>
          </w:p>
        </w:tc>
        <w:tc>
          <w:tcPr>
            <w:tcW w:w="487" w:type="dxa"/>
            <w:tcBorders>
              <w:top w:val="nil"/>
              <w:left w:val="nil"/>
              <w:bottom w:val="single" w:sz="4" w:space="0" w:color="auto"/>
              <w:right w:val="nil"/>
            </w:tcBorders>
            <w:shd w:val="clear" w:color="000000" w:fill="33CCCC"/>
            <w:noWrap/>
            <w:vAlign w:val="center"/>
            <w:hideMark/>
          </w:tcPr>
          <w:p w14:paraId="1E26504B" w14:textId="77777777" w:rsidR="001752B7" w:rsidRPr="001752B7" w:rsidRDefault="001752B7" w:rsidP="001752B7">
            <w:pPr>
              <w:spacing w:after="0" w:line="240" w:lineRule="auto"/>
              <w:jc w:val="right"/>
              <w:rPr>
                <w:rFonts w:ascii="Tahoma" w:eastAsia="Times New Roman" w:hAnsi="Tahoma" w:cs="Tahoma"/>
                <w:sz w:val="20"/>
                <w:szCs w:val="20"/>
                <w:lang w:eastAsia="hr-HR"/>
              </w:rPr>
            </w:pPr>
            <w:r w:rsidRPr="001752B7">
              <w:rPr>
                <w:rFonts w:ascii="Tahoma" w:eastAsia="Times New Roman" w:hAnsi="Tahoma" w:cs="Tahoma"/>
                <w:sz w:val="20"/>
                <w:szCs w:val="20"/>
                <w:lang w:eastAsia="hr-HR"/>
              </w:rPr>
              <w:t>1</w:t>
            </w:r>
          </w:p>
        </w:tc>
        <w:tc>
          <w:tcPr>
            <w:tcW w:w="425" w:type="dxa"/>
            <w:tcBorders>
              <w:top w:val="nil"/>
              <w:left w:val="single" w:sz="4" w:space="0" w:color="auto"/>
              <w:bottom w:val="single" w:sz="4" w:space="0" w:color="auto"/>
              <w:right w:val="single" w:sz="8" w:space="0" w:color="auto"/>
            </w:tcBorders>
            <w:shd w:val="clear" w:color="000000" w:fill="33CCCC"/>
            <w:noWrap/>
            <w:vAlign w:val="center"/>
            <w:hideMark/>
          </w:tcPr>
          <w:p w14:paraId="3EE3133B" w14:textId="77777777" w:rsidR="001752B7" w:rsidRPr="001752B7" w:rsidRDefault="001752B7" w:rsidP="001752B7">
            <w:pPr>
              <w:spacing w:after="0" w:line="240" w:lineRule="auto"/>
              <w:jc w:val="right"/>
              <w:rPr>
                <w:rFonts w:ascii="Tahoma" w:eastAsia="Times New Roman" w:hAnsi="Tahoma" w:cs="Tahoma"/>
                <w:sz w:val="20"/>
                <w:szCs w:val="20"/>
                <w:lang w:eastAsia="hr-HR"/>
              </w:rPr>
            </w:pPr>
            <w:r w:rsidRPr="001752B7">
              <w:rPr>
                <w:rFonts w:ascii="Tahoma" w:eastAsia="Times New Roman" w:hAnsi="Tahoma" w:cs="Tahoma"/>
                <w:sz w:val="20"/>
                <w:szCs w:val="20"/>
                <w:lang w:eastAsia="hr-HR"/>
              </w:rPr>
              <w:t>4</w:t>
            </w:r>
          </w:p>
        </w:tc>
        <w:tc>
          <w:tcPr>
            <w:tcW w:w="236" w:type="dxa"/>
            <w:vAlign w:val="center"/>
            <w:hideMark/>
          </w:tcPr>
          <w:p w14:paraId="28658AF0" w14:textId="77777777" w:rsidR="001752B7" w:rsidRPr="001752B7" w:rsidRDefault="001752B7" w:rsidP="001752B7">
            <w:pPr>
              <w:spacing w:after="0" w:line="240" w:lineRule="auto"/>
              <w:rPr>
                <w:rFonts w:ascii="Times New Roman" w:eastAsia="Times New Roman" w:hAnsi="Times New Roman" w:cs="Times New Roman"/>
                <w:sz w:val="20"/>
                <w:szCs w:val="20"/>
                <w:lang w:eastAsia="hr-HR"/>
              </w:rPr>
            </w:pPr>
          </w:p>
        </w:tc>
      </w:tr>
      <w:tr w:rsidR="001752B7" w:rsidRPr="001752B7" w14:paraId="2CFD69F2" w14:textId="77777777" w:rsidTr="000271A1">
        <w:trPr>
          <w:gridAfter w:val="1"/>
          <w:wAfter w:w="31" w:type="dxa"/>
          <w:trHeight w:val="300"/>
        </w:trPr>
        <w:tc>
          <w:tcPr>
            <w:tcW w:w="1408" w:type="dxa"/>
            <w:tcBorders>
              <w:top w:val="single" w:sz="4" w:space="0" w:color="auto"/>
              <w:left w:val="single" w:sz="8" w:space="0" w:color="auto"/>
              <w:bottom w:val="single" w:sz="4" w:space="0" w:color="auto"/>
              <w:right w:val="single" w:sz="4" w:space="0" w:color="auto"/>
            </w:tcBorders>
            <w:shd w:val="clear" w:color="000000" w:fill="CCFFCC"/>
            <w:vAlign w:val="center"/>
            <w:hideMark/>
          </w:tcPr>
          <w:p w14:paraId="5C49294C" w14:textId="77777777" w:rsidR="001752B7" w:rsidRPr="001752B7" w:rsidRDefault="001752B7" w:rsidP="001752B7">
            <w:pPr>
              <w:spacing w:after="0" w:line="240" w:lineRule="auto"/>
              <w:rPr>
                <w:rFonts w:ascii="Tahoma" w:eastAsia="Times New Roman" w:hAnsi="Tahoma" w:cs="Tahoma"/>
                <w:sz w:val="20"/>
                <w:szCs w:val="20"/>
                <w:lang w:eastAsia="hr-HR"/>
              </w:rPr>
            </w:pPr>
            <w:r w:rsidRPr="001752B7">
              <w:rPr>
                <w:rFonts w:ascii="Tahoma" w:eastAsia="Times New Roman" w:hAnsi="Tahoma" w:cs="Tahoma"/>
                <w:sz w:val="20"/>
                <w:szCs w:val="20"/>
                <w:lang w:eastAsia="hr-HR"/>
              </w:rPr>
              <w:t>Društveni položaj</w:t>
            </w:r>
          </w:p>
        </w:tc>
        <w:tc>
          <w:tcPr>
            <w:tcW w:w="673" w:type="dxa"/>
            <w:tcBorders>
              <w:top w:val="nil"/>
              <w:left w:val="nil"/>
              <w:bottom w:val="single" w:sz="4" w:space="0" w:color="auto"/>
              <w:right w:val="single" w:sz="4" w:space="0" w:color="auto"/>
            </w:tcBorders>
            <w:shd w:val="clear" w:color="000000" w:fill="FFCC99"/>
            <w:noWrap/>
            <w:vAlign w:val="center"/>
            <w:hideMark/>
          </w:tcPr>
          <w:p w14:paraId="7DC220DF" w14:textId="77777777" w:rsidR="001752B7" w:rsidRPr="001752B7" w:rsidRDefault="001752B7" w:rsidP="001752B7">
            <w:pPr>
              <w:spacing w:after="0" w:line="240" w:lineRule="auto"/>
              <w:jc w:val="right"/>
              <w:rPr>
                <w:rFonts w:ascii="Tahoma" w:eastAsia="Times New Roman" w:hAnsi="Tahoma" w:cs="Tahoma"/>
                <w:sz w:val="20"/>
                <w:szCs w:val="20"/>
                <w:lang w:eastAsia="hr-HR"/>
              </w:rPr>
            </w:pPr>
            <w:r w:rsidRPr="001752B7">
              <w:rPr>
                <w:rFonts w:ascii="Tahoma" w:eastAsia="Times New Roman" w:hAnsi="Tahoma" w:cs="Tahoma"/>
                <w:sz w:val="20"/>
                <w:szCs w:val="20"/>
                <w:lang w:eastAsia="hr-HR"/>
              </w:rPr>
              <w:t>31</w:t>
            </w:r>
          </w:p>
        </w:tc>
        <w:tc>
          <w:tcPr>
            <w:tcW w:w="521" w:type="dxa"/>
            <w:tcBorders>
              <w:top w:val="nil"/>
              <w:left w:val="nil"/>
              <w:bottom w:val="single" w:sz="4" w:space="0" w:color="auto"/>
              <w:right w:val="single" w:sz="4" w:space="0" w:color="auto"/>
            </w:tcBorders>
            <w:shd w:val="clear" w:color="000000" w:fill="FFFF00"/>
            <w:noWrap/>
            <w:vAlign w:val="center"/>
            <w:hideMark/>
          </w:tcPr>
          <w:p w14:paraId="1B740A2B" w14:textId="77777777" w:rsidR="001752B7" w:rsidRPr="001752B7" w:rsidRDefault="001752B7" w:rsidP="001752B7">
            <w:pPr>
              <w:spacing w:after="0" w:line="240" w:lineRule="auto"/>
              <w:jc w:val="right"/>
              <w:rPr>
                <w:rFonts w:ascii="Tahoma" w:eastAsia="Times New Roman" w:hAnsi="Tahoma" w:cs="Tahoma"/>
                <w:sz w:val="20"/>
                <w:szCs w:val="20"/>
                <w:lang w:eastAsia="hr-HR"/>
              </w:rPr>
            </w:pPr>
            <w:r w:rsidRPr="001752B7">
              <w:rPr>
                <w:rFonts w:ascii="Tahoma" w:eastAsia="Times New Roman" w:hAnsi="Tahoma" w:cs="Tahoma"/>
                <w:sz w:val="20"/>
                <w:szCs w:val="20"/>
                <w:lang w:eastAsia="hr-HR"/>
              </w:rPr>
              <w:t>13</w:t>
            </w:r>
          </w:p>
        </w:tc>
        <w:tc>
          <w:tcPr>
            <w:tcW w:w="477" w:type="dxa"/>
            <w:tcBorders>
              <w:top w:val="nil"/>
              <w:left w:val="nil"/>
              <w:bottom w:val="single" w:sz="4" w:space="0" w:color="auto"/>
              <w:right w:val="single" w:sz="4" w:space="0" w:color="auto"/>
            </w:tcBorders>
            <w:shd w:val="clear" w:color="000000" w:fill="CCFFFF"/>
            <w:noWrap/>
            <w:vAlign w:val="center"/>
            <w:hideMark/>
          </w:tcPr>
          <w:p w14:paraId="4DB6D08A" w14:textId="77777777" w:rsidR="001752B7" w:rsidRPr="001752B7" w:rsidRDefault="001752B7" w:rsidP="001752B7">
            <w:pPr>
              <w:spacing w:after="0" w:line="240" w:lineRule="auto"/>
              <w:jc w:val="right"/>
              <w:rPr>
                <w:rFonts w:ascii="Tahoma" w:eastAsia="Times New Roman" w:hAnsi="Tahoma" w:cs="Tahoma"/>
                <w:sz w:val="20"/>
                <w:szCs w:val="20"/>
                <w:lang w:eastAsia="hr-HR"/>
              </w:rPr>
            </w:pPr>
            <w:r w:rsidRPr="001752B7">
              <w:rPr>
                <w:rFonts w:ascii="Tahoma" w:eastAsia="Times New Roman" w:hAnsi="Tahoma" w:cs="Tahoma"/>
                <w:sz w:val="20"/>
                <w:szCs w:val="20"/>
                <w:lang w:eastAsia="hr-HR"/>
              </w:rPr>
              <w:t>5</w:t>
            </w:r>
          </w:p>
        </w:tc>
        <w:tc>
          <w:tcPr>
            <w:tcW w:w="426" w:type="dxa"/>
            <w:tcBorders>
              <w:top w:val="nil"/>
              <w:left w:val="nil"/>
              <w:bottom w:val="single" w:sz="4" w:space="0" w:color="auto"/>
              <w:right w:val="single" w:sz="4" w:space="0" w:color="auto"/>
            </w:tcBorders>
            <w:shd w:val="clear" w:color="000000" w:fill="CCFFFF"/>
            <w:noWrap/>
            <w:vAlign w:val="center"/>
            <w:hideMark/>
          </w:tcPr>
          <w:p w14:paraId="796B0B75" w14:textId="77777777" w:rsidR="001752B7" w:rsidRPr="001752B7" w:rsidRDefault="001752B7" w:rsidP="001752B7">
            <w:pPr>
              <w:spacing w:after="0" w:line="240" w:lineRule="auto"/>
              <w:jc w:val="right"/>
              <w:rPr>
                <w:rFonts w:ascii="Tahoma" w:eastAsia="Times New Roman" w:hAnsi="Tahoma" w:cs="Tahoma"/>
                <w:sz w:val="20"/>
                <w:szCs w:val="20"/>
                <w:lang w:eastAsia="hr-HR"/>
              </w:rPr>
            </w:pPr>
            <w:r w:rsidRPr="001752B7">
              <w:rPr>
                <w:rFonts w:ascii="Tahoma" w:eastAsia="Times New Roman" w:hAnsi="Tahoma" w:cs="Tahoma"/>
                <w:sz w:val="20"/>
                <w:szCs w:val="20"/>
                <w:lang w:eastAsia="hr-HR"/>
              </w:rPr>
              <w:t>9</w:t>
            </w:r>
          </w:p>
        </w:tc>
        <w:tc>
          <w:tcPr>
            <w:tcW w:w="698" w:type="dxa"/>
            <w:tcBorders>
              <w:top w:val="nil"/>
              <w:left w:val="nil"/>
              <w:bottom w:val="single" w:sz="4" w:space="0" w:color="auto"/>
              <w:right w:val="single" w:sz="4" w:space="0" w:color="auto"/>
            </w:tcBorders>
            <w:shd w:val="clear" w:color="000000" w:fill="FFFF99"/>
            <w:noWrap/>
            <w:vAlign w:val="center"/>
            <w:hideMark/>
          </w:tcPr>
          <w:p w14:paraId="1AA372BB" w14:textId="77777777" w:rsidR="001752B7" w:rsidRPr="001752B7" w:rsidRDefault="001752B7" w:rsidP="001752B7">
            <w:pPr>
              <w:spacing w:after="0" w:line="240" w:lineRule="auto"/>
              <w:jc w:val="right"/>
              <w:rPr>
                <w:rFonts w:ascii="Tahoma" w:eastAsia="Times New Roman" w:hAnsi="Tahoma" w:cs="Tahoma"/>
                <w:sz w:val="20"/>
                <w:szCs w:val="20"/>
                <w:lang w:eastAsia="hr-HR"/>
              </w:rPr>
            </w:pPr>
            <w:r w:rsidRPr="001752B7">
              <w:rPr>
                <w:rFonts w:ascii="Tahoma" w:eastAsia="Times New Roman" w:hAnsi="Tahoma" w:cs="Tahoma"/>
                <w:sz w:val="20"/>
                <w:szCs w:val="20"/>
                <w:lang w:eastAsia="hr-HR"/>
              </w:rPr>
              <w:t>9</w:t>
            </w:r>
          </w:p>
        </w:tc>
        <w:tc>
          <w:tcPr>
            <w:tcW w:w="698" w:type="dxa"/>
            <w:tcBorders>
              <w:top w:val="nil"/>
              <w:left w:val="nil"/>
              <w:bottom w:val="single" w:sz="4" w:space="0" w:color="auto"/>
              <w:right w:val="single" w:sz="4" w:space="0" w:color="auto"/>
            </w:tcBorders>
            <w:shd w:val="clear" w:color="000000" w:fill="FFFF99"/>
            <w:noWrap/>
            <w:vAlign w:val="center"/>
            <w:hideMark/>
          </w:tcPr>
          <w:p w14:paraId="0B7520B7" w14:textId="77777777" w:rsidR="001752B7" w:rsidRPr="001752B7" w:rsidRDefault="001752B7" w:rsidP="001752B7">
            <w:pPr>
              <w:spacing w:after="0" w:line="240" w:lineRule="auto"/>
              <w:jc w:val="right"/>
              <w:rPr>
                <w:rFonts w:ascii="Tahoma" w:eastAsia="Times New Roman" w:hAnsi="Tahoma" w:cs="Tahoma"/>
                <w:sz w:val="20"/>
                <w:szCs w:val="20"/>
                <w:lang w:eastAsia="hr-HR"/>
              </w:rPr>
            </w:pPr>
            <w:r w:rsidRPr="001752B7">
              <w:rPr>
                <w:rFonts w:ascii="Tahoma" w:eastAsia="Times New Roman" w:hAnsi="Tahoma" w:cs="Tahoma"/>
                <w:sz w:val="20"/>
                <w:szCs w:val="20"/>
                <w:lang w:eastAsia="hr-HR"/>
              </w:rPr>
              <w:t>2</w:t>
            </w:r>
          </w:p>
        </w:tc>
        <w:tc>
          <w:tcPr>
            <w:tcW w:w="698" w:type="dxa"/>
            <w:tcBorders>
              <w:top w:val="nil"/>
              <w:left w:val="nil"/>
              <w:bottom w:val="single" w:sz="4" w:space="0" w:color="auto"/>
              <w:right w:val="single" w:sz="4" w:space="0" w:color="auto"/>
            </w:tcBorders>
            <w:shd w:val="clear" w:color="000000" w:fill="FFFF99"/>
            <w:noWrap/>
            <w:vAlign w:val="center"/>
            <w:hideMark/>
          </w:tcPr>
          <w:p w14:paraId="2774C979" w14:textId="77777777" w:rsidR="001752B7" w:rsidRPr="001752B7" w:rsidRDefault="001752B7" w:rsidP="001752B7">
            <w:pPr>
              <w:spacing w:after="0" w:line="240" w:lineRule="auto"/>
              <w:jc w:val="right"/>
              <w:rPr>
                <w:rFonts w:ascii="Tahoma" w:eastAsia="Times New Roman" w:hAnsi="Tahoma" w:cs="Tahoma"/>
                <w:sz w:val="20"/>
                <w:szCs w:val="20"/>
                <w:lang w:eastAsia="hr-HR"/>
              </w:rPr>
            </w:pPr>
            <w:r w:rsidRPr="001752B7">
              <w:rPr>
                <w:rFonts w:ascii="Tahoma" w:eastAsia="Times New Roman" w:hAnsi="Tahoma" w:cs="Tahoma"/>
                <w:sz w:val="20"/>
                <w:szCs w:val="20"/>
                <w:lang w:eastAsia="hr-HR"/>
              </w:rPr>
              <w:t> </w:t>
            </w:r>
          </w:p>
        </w:tc>
        <w:tc>
          <w:tcPr>
            <w:tcW w:w="698" w:type="dxa"/>
            <w:tcBorders>
              <w:top w:val="nil"/>
              <w:left w:val="nil"/>
              <w:bottom w:val="single" w:sz="4" w:space="0" w:color="auto"/>
              <w:right w:val="single" w:sz="4" w:space="0" w:color="auto"/>
            </w:tcBorders>
            <w:shd w:val="clear" w:color="000000" w:fill="FFFF99"/>
            <w:noWrap/>
            <w:vAlign w:val="center"/>
            <w:hideMark/>
          </w:tcPr>
          <w:p w14:paraId="4661FB40" w14:textId="77777777" w:rsidR="001752B7" w:rsidRPr="001752B7" w:rsidRDefault="001752B7" w:rsidP="001752B7">
            <w:pPr>
              <w:spacing w:after="0" w:line="240" w:lineRule="auto"/>
              <w:jc w:val="right"/>
              <w:rPr>
                <w:rFonts w:ascii="Tahoma" w:eastAsia="Times New Roman" w:hAnsi="Tahoma" w:cs="Tahoma"/>
                <w:sz w:val="20"/>
                <w:szCs w:val="20"/>
                <w:lang w:eastAsia="hr-HR"/>
              </w:rPr>
            </w:pPr>
            <w:r w:rsidRPr="001752B7">
              <w:rPr>
                <w:rFonts w:ascii="Tahoma" w:eastAsia="Times New Roman" w:hAnsi="Tahoma" w:cs="Tahoma"/>
                <w:sz w:val="20"/>
                <w:szCs w:val="20"/>
                <w:lang w:eastAsia="hr-HR"/>
              </w:rPr>
              <w:t> </w:t>
            </w:r>
          </w:p>
        </w:tc>
        <w:tc>
          <w:tcPr>
            <w:tcW w:w="698" w:type="dxa"/>
            <w:tcBorders>
              <w:top w:val="nil"/>
              <w:left w:val="nil"/>
              <w:bottom w:val="single" w:sz="4" w:space="0" w:color="auto"/>
              <w:right w:val="single" w:sz="4" w:space="0" w:color="auto"/>
            </w:tcBorders>
            <w:shd w:val="clear" w:color="000000" w:fill="FFFF99"/>
            <w:noWrap/>
            <w:vAlign w:val="center"/>
            <w:hideMark/>
          </w:tcPr>
          <w:p w14:paraId="37F0AD5A" w14:textId="77777777" w:rsidR="001752B7" w:rsidRPr="001752B7" w:rsidRDefault="001752B7" w:rsidP="001752B7">
            <w:pPr>
              <w:spacing w:after="0" w:line="240" w:lineRule="auto"/>
              <w:jc w:val="right"/>
              <w:rPr>
                <w:rFonts w:ascii="Tahoma" w:eastAsia="Times New Roman" w:hAnsi="Tahoma" w:cs="Tahoma"/>
                <w:sz w:val="20"/>
                <w:szCs w:val="20"/>
                <w:lang w:eastAsia="hr-HR"/>
              </w:rPr>
            </w:pPr>
            <w:r w:rsidRPr="001752B7">
              <w:rPr>
                <w:rFonts w:ascii="Tahoma" w:eastAsia="Times New Roman" w:hAnsi="Tahoma" w:cs="Tahoma"/>
                <w:sz w:val="20"/>
                <w:szCs w:val="20"/>
                <w:lang w:eastAsia="hr-HR"/>
              </w:rPr>
              <w:t> </w:t>
            </w:r>
          </w:p>
        </w:tc>
        <w:tc>
          <w:tcPr>
            <w:tcW w:w="698" w:type="dxa"/>
            <w:tcBorders>
              <w:top w:val="nil"/>
              <w:left w:val="nil"/>
              <w:bottom w:val="single" w:sz="4" w:space="0" w:color="auto"/>
              <w:right w:val="single" w:sz="4" w:space="0" w:color="auto"/>
            </w:tcBorders>
            <w:shd w:val="clear" w:color="000000" w:fill="FFFF99"/>
            <w:noWrap/>
            <w:vAlign w:val="center"/>
            <w:hideMark/>
          </w:tcPr>
          <w:p w14:paraId="27372D23" w14:textId="77777777" w:rsidR="001752B7" w:rsidRPr="001752B7" w:rsidRDefault="001752B7" w:rsidP="001752B7">
            <w:pPr>
              <w:spacing w:after="0" w:line="240" w:lineRule="auto"/>
              <w:jc w:val="right"/>
              <w:rPr>
                <w:rFonts w:ascii="Tahoma" w:eastAsia="Times New Roman" w:hAnsi="Tahoma" w:cs="Tahoma"/>
                <w:sz w:val="20"/>
                <w:szCs w:val="20"/>
                <w:lang w:eastAsia="hr-HR"/>
              </w:rPr>
            </w:pPr>
            <w:r w:rsidRPr="001752B7">
              <w:rPr>
                <w:rFonts w:ascii="Tahoma" w:eastAsia="Times New Roman" w:hAnsi="Tahoma" w:cs="Tahoma"/>
                <w:sz w:val="20"/>
                <w:szCs w:val="20"/>
                <w:lang w:eastAsia="hr-HR"/>
              </w:rPr>
              <w:t>1</w:t>
            </w:r>
          </w:p>
        </w:tc>
        <w:tc>
          <w:tcPr>
            <w:tcW w:w="469" w:type="dxa"/>
            <w:tcBorders>
              <w:top w:val="nil"/>
              <w:left w:val="nil"/>
              <w:bottom w:val="single" w:sz="4" w:space="0" w:color="auto"/>
              <w:right w:val="single" w:sz="4" w:space="0" w:color="auto"/>
            </w:tcBorders>
            <w:shd w:val="clear" w:color="000000" w:fill="FF9900"/>
            <w:noWrap/>
            <w:vAlign w:val="center"/>
            <w:hideMark/>
          </w:tcPr>
          <w:p w14:paraId="0ACB7095" w14:textId="77777777" w:rsidR="001752B7" w:rsidRPr="001752B7" w:rsidRDefault="001752B7" w:rsidP="001752B7">
            <w:pPr>
              <w:spacing w:after="0" w:line="240" w:lineRule="auto"/>
              <w:jc w:val="right"/>
              <w:rPr>
                <w:rFonts w:ascii="Tahoma" w:eastAsia="Times New Roman" w:hAnsi="Tahoma" w:cs="Tahoma"/>
                <w:sz w:val="20"/>
                <w:szCs w:val="20"/>
                <w:lang w:eastAsia="hr-HR"/>
              </w:rPr>
            </w:pPr>
            <w:r w:rsidRPr="001752B7">
              <w:rPr>
                <w:rFonts w:ascii="Tahoma" w:eastAsia="Times New Roman" w:hAnsi="Tahoma" w:cs="Tahoma"/>
                <w:sz w:val="20"/>
                <w:szCs w:val="20"/>
                <w:lang w:eastAsia="hr-HR"/>
              </w:rPr>
              <w:t> </w:t>
            </w:r>
          </w:p>
        </w:tc>
        <w:tc>
          <w:tcPr>
            <w:tcW w:w="419" w:type="dxa"/>
            <w:tcBorders>
              <w:top w:val="nil"/>
              <w:left w:val="nil"/>
              <w:bottom w:val="single" w:sz="4" w:space="0" w:color="auto"/>
              <w:right w:val="single" w:sz="4" w:space="0" w:color="auto"/>
            </w:tcBorders>
            <w:shd w:val="clear" w:color="000000" w:fill="FF9900"/>
            <w:noWrap/>
            <w:vAlign w:val="center"/>
            <w:hideMark/>
          </w:tcPr>
          <w:p w14:paraId="39AAC7F1" w14:textId="77777777" w:rsidR="001752B7" w:rsidRPr="001752B7" w:rsidRDefault="001752B7" w:rsidP="001752B7">
            <w:pPr>
              <w:spacing w:after="0" w:line="240" w:lineRule="auto"/>
              <w:jc w:val="right"/>
              <w:rPr>
                <w:rFonts w:ascii="Tahoma" w:eastAsia="Times New Roman" w:hAnsi="Tahoma" w:cs="Tahoma"/>
                <w:sz w:val="20"/>
                <w:szCs w:val="20"/>
                <w:lang w:eastAsia="hr-HR"/>
              </w:rPr>
            </w:pPr>
            <w:r w:rsidRPr="001752B7">
              <w:rPr>
                <w:rFonts w:ascii="Tahoma" w:eastAsia="Times New Roman" w:hAnsi="Tahoma" w:cs="Tahoma"/>
                <w:sz w:val="20"/>
                <w:szCs w:val="20"/>
                <w:lang w:eastAsia="hr-HR"/>
              </w:rPr>
              <w:t>4</w:t>
            </w:r>
          </w:p>
        </w:tc>
        <w:tc>
          <w:tcPr>
            <w:tcW w:w="521" w:type="dxa"/>
            <w:tcBorders>
              <w:top w:val="nil"/>
              <w:left w:val="nil"/>
              <w:bottom w:val="single" w:sz="4" w:space="0" w:color="auto"/>
              <w:right w:val="single" w:sz="4" w:space="0" w:color="auto"/>
            </w:tcBorders>
            <w:shd w:val="clear" w:color="000000" w:fill="FF9900"/>
            <w:noWrap/>
            <w:vAlign w:val="center"/>
            <w:hideMark/>
          </w:tcPr>
          <w:p w14:paraId="67C52AC9" w14:textId="77777777" w:rsidR="001752B7" w:rsidRPr="001752B7" w:rsidRDefault="001752B7" w:rsidP="001752B7">
            <w:pPr>
              <w:spacing w:after="0" w:line="240" w:lineRule="auto"/>
              <w:jc w:val="right"/>
              <w:rPr>
                <w:rFonts w:ascii="Tahoma" w:eastAsia="Times New Roman" w:hAnsi="Tahoma" w:cs="Tahoma"/>
                <w:sz w:val="20"/>
                <w:szCs w:val="20"/>
                <w:lang w:eastAsia="hr-HR"/>
              </w:rPr>
            </w:pPr>
            <w:r w:rsidRPr="001752B7">
              <w:rPr>
                <w:rFonts w:ascii="Tahoma" w:eastAsia="Times New Roman" w:hAnsi="Tahoma" w:cs="Tahoma"/>
                <w:sz w:val="20"/>
                <w:szCs w:val="20"/>
                <w:lang w:eastAsia="hr-HR"/>
              </w:rPr>
              <w:t>3</w:t>
            </w:r>
          </w:p>
        </w:tc>
        <w:tc>
          <w:tcPr>
            <w:tcW w:w="476" w:type="dxa"/>
            <w:tcBorders>
              <w:top w:val="nil"/>
              <w:left w:val="nil"/>
              <w:bottom w:val="single" w:sz="4" w:space="0" w:color="auto"/>
              <w:right w:val="single" w:sz="4" w:space="0" w:color="auto"/>
            </w:tcBorders>
            <w:shd w:val="clear" w:color="000000" w:fill="FFFF00"/>
            <w:vAlign w:val="center"/>
            <w:hideMark/>
          </w:tcPr>
          <w:p w14:paraId="120750BE" w14:textId="77777777" w:rsidR="001752B7" w:rsidRPr="001752B7" w:rsidRDefault="001752B7" w:rsidP="001752B7">
            <w:pPr>
              <w:spacing w:after="0" w:line="240" w:lineRule="auto"/>
              <w:jc w:val="right"/>
              <w:rPr>
                <w:rFonts w:ascii="Tahoma" w:eastAsia="Times New Roman" w:hAnsi="Tahoma" w:cs="Tahoma"/>
                <w:sz w:val="20"/>
                <w:szCs w:val="20"/>
                <w:lang w:eastAsia="hr-HR"/>
              </w:rPr>
            </w:pPr>
            <w:r w:rsidRPr="001752B7">
              <w:rPr>
                <w:rFonts w:ascii="Tahoma" w:eastAsia="Times New Roman" w:hAnsi="Tahoma" w:cs="Tahoma"/>
                <w:sz w:val="20"/>
                <w:szCs w:val="20"/>
                <w:lang w:eastAsia="hr-HR"/>
              </w:rPr>
              <w:t>7</w:t>
            </w:r>
          </w:p>
        </w:tc>
        <w:tc>
          <w:tcPr>
            <w:tcW w:w="698" w:type="dxa"/>
            <w:tcBorders>
              <w:top w:val="nil"/>
              <w:left w:val="nil"/>
              <w:bottom w:val="single" w:sz="4" w:space="0" w:color="auto"/>
              <w:right w:val="single" w:sz="4" w:space="0" w:color="auto"/>
            </w:tcBorders>
            <w:shd w:val="clear" w:color="000000" w:fill="FF9900"/>
            <w:vAlign w:val="center"/>
            <w:hideMark/>
          </w:tcPr>
          <w:p w14:paraId="3DB135D5" w14:textId="77777777" w:rsidR="001752B7" w:rsidRPr="001752B7" w:rsidRDefault="001752B7" w:rsidP="001752B7">
            <w:pPr>
              <w:spacing w:after="0" w:line="240" w:lineRule="auto"/>
              <w:jc w:val="right"/>
              <w:rPr>
                <w:rFonts w:ascii="Tahoma" w:eastAsia="Times New Roman" w:hAnsi="Tahoma" w:cs="Tahoma"/>
                <w:sz w:val="20"/>
                <w:szCs w:val="20"/>
                <w:lang w:eastAsia="hr-HR"/>
              </w:rPr>
            </w:pPr>
            <w:r w:rsidRPr="001752B7">
              <w:rPr>
                <w:rFonts w:ascii="Tahoma" w:eastAsia="Times New Roman" w:hAnsi="Tahoma" w:cs="Tahoma"/>
                <w:sz w:val="20"/>
                <w:szCs w:val="20"/>
                <w:lang w:eastAsia="hr-HR"/>
              </w:rPr>
              <w:t>37</w:t>
            </w:r>
          </w:p>
        </w:tc>
        <w:tc>
          <w:tcPr>
            <w:tcW w:w="643" w:type="dxa"/>
            <w:tcBorders>
              <w:top w:val="nil"/>
              <w:left w:val="nil"/>
              <w:bottom w:val="single" w:sz="4" w:space="0" w:color="auto"/>
              <w:right w:val="single" w:sz="4" w:space="0" w:color="auto"/>
            </w:tcBorders>
            <w:shd w:val="clear" w:color="000000" w:fill="FF9900"/>
            <w:noWrap/>
            <w:vAlign w:val="center"/>
            <w:hideMark/>
          </w:tcPr>
          <w:p w14:paraId="526AF7AE" w14:textId="77777777" w:rsidR="001752B7" w:rsidRPr="001752B7" w:rsidRDefault="001752B7" w:rsidP="001752B7">
            <w:pPr>
              <w:spacing w:after="0" w:line="240" w:lineRule="auto"/>
              <w:jc w:val="right"/>
              <w:rPr>
                <w:rFonts w:ascii="Tahoma" w:eastAsia="Times New Roman" w:hAnsi="Tahoma" w:cs="Tahoma"/>
                <w:sz w:val="20"/>
                <w:szCs w:val="20"/>
                <w:lang w:eastAsia="hr-HR"/>
              </w:rPr>
            </w:pPr>
            <w:r w:rsidRPr="001752B7">
              <w:rPr>
                <w:rFonts w:ascii="Tahoma" w:eastAsia="Times New Roman" w:hAnsi="Tahoma" w:cs="Tahoma"/>
                <w:sz w:val="20"/>
                <w:szCs w:val="20"/>
                <w:lang w:eastAsia="hr-HR"/>
              </w:rPr>
              <w:t>2</w:t>
            </w:r>
          </w:p>
        </w:tc>
        <w:tc>
          <w:tcPr>
            <w:tcW w:w="605" w:type="dxa"/>
            <w:tcBorders>
              <w:top w:val="nil"/>
              <w:left w:val="nil"/>
              <w:bottom w:val="single" w:sz="4" w:space="0" w:color="auto"/>
              <w:right w:val="single" w:sz="4" w:space="0" w:color="auto"/>
            </w:tcBorders>
            <w:shd w:val="clear" w:color="000000" w:fill="FF9900"/>
            <w:noWrap/>
            <w:vAlign w:val="center"/>
            <w:hideMark/>
          </w:tcPr>
          <w:p w14:paraId="6CACBD1A" w14:textId="77777777" w:rsidR="001752B7" w:rsidRPr="001752B7" w:rsidRDefault="001752B7" w:rsidP="001752B7">
            <w:pPr>
              <w:spacing w:after="0" w:line="240" w:lineRule="auto"/>
              <w:jc w:val="right"/>
              <w:rPr>
                <w:rFonts w:ascii="Tahoma" w:eastAsia="Times New Roman" w:hAnsi="Tahoma" w:cs="Tahoma"/>
                <w:sz w:val="20"/>
                <w:szCs w:val="20"/>
                <w:lang w:eastAsia="hr-HR"/>
              </w:rPr>
            </w:pPr>
            <w:r w:rsidRPr="001752B7">
              <w:rPr>
                <w:rFonts w:ascii="Tahoma" w:eastAsia="Times New Roman" w:hAnsi="Tahoma" w:cs="Tahoma"/>
                <w:sz w:val="20"/>
                <w:szCs w:val="20"/>
                <w:lang w:eastAsia="hr-HR"/>
              </w:rPr>
              <w:t> </w:t>
            </w:r>
          </w:p>
        </w:tc>
        <w:tc>
          <w:tcPr>
            <w:tcW w:w="698" w:type="dxa"/>
            <w:tcBorders>
              <w:top w:val="nil"/>
              <w:left w:val="nil"/>
              <w:bottom w:val="single" w:sz="4" w:space="0" w:color="auto"/>
              <w:right w:val="single" w:sz="4" w:space="0" w:color="auto"/>
            </w:tcBorders>
            <w:shd w:val="clear" w:color="000000" w:fill="FF9900"/>
            <w:noWrap/>
            <w:vAlign w:val="center"/>
            <w:hideMark/>
          </w:tcPr>
          <w:p w14:paraId="39DF880E" w14:textId="77777777" w:rsidR="001752B7" w:rsidRPr="001752B7" w:rsidRDefault="001752B7" w:rsidP="001752B7">
            <w:pPr>
              <w:spacing w:after="0" w:line="240" w:lineRule="auto"/>
              <w:jc w:val="right"/>
              <w:rPr>
                <w:rFonts w:ascii="Tahoma" w:eastAsia="Times New Roman" w:hAnsi="Tahoma" w:cs="Tahoma"/>
                <w:sz w:val="20"/>
                <w:szCs w:val="20"/>
                <w:lang w:eastAsia="hr-HR"/>
              </w:rPr>
            </w:pPr>
            <w:r w:rsidRPr="001752B7">
              <w:rPr>
                <w:rFonts w:ascii="Tahoma" w:eastAsia="Times New Roman" w:hAnsi="Tahoma" w:cs="Tahoma"/>
                <w:sz w:val="20"/>
                <w:szCs w:val="20"/>
                <w:lang w:eastAsia="hr-HR"/>
              </w:rPr>
              <w:t> </w:t>
            </w:r>
          </w:p>
        </w:tc>
        <w:tc>
          <w:tcPr>
            <w:tcW w:w="464" w:type="dxa"/>
            <w:tcBorders>
              <w:top w:val="nil"/>
              <w:left w:val="nil"/>
              <w:bottom w:val="single" w:sz="4" w:space="0" w:color="auto"/>
              <w:right w:val="single" w:sz="4" w:space="0" w:color="auto"/>
            </w:tcBorders>
            <w:shd w:val="clear" w:color="000000" w:fill="CCFFFF"/>
            <w:noWrap/>
            <w:vAlign w:val="center"/>
            <w:hideMark/>
          </w:tcPr>
          <w:p w14:paraId="4F73536E" w14:textId="77777777" w:rsidR="001752B7" w:rsidRPr="001752B7" w:rsidRDefault="001752B7" w:rsidP="001752B7">
            <w:pPr>
              <w:spacing w:after="0" w:line="240" w:lineRule="auto"/>
              <w:jc w:val="right"/>
              <w:rPr>
                <w:rFonts w:ascii="Tahoma" w:eastAsia="Times New Roman" w:hAnsi="Tahoma" w:cs="Tahoma"/>
                <w:sz w:val="20"/>
                <w:szCs w:val="20"/>
                <w:lang w:eastAsia="hr-HR"/>
              </w:rPr>
            </w:pPr>
            <w:r w:rsidRPr="001752B7">
              <w:rPr>
                <w:rFonts w:ascii="Tahoma" w:eastAsia="Times New Roman" w:hAnsi="Tahoma" w:cs="Tahoma"/>
                <w:sz w:val="20"/>
                <w:szCs w:val="20"/>
                <w:lang w:eastAsia="hr-HR"/>
              </w:rPr>
              <w:t>1</w:t>
            </w:r>
          </w:p>
        </w:tc>
        <w:tc>
          <w:tcPr>
            <w:tcW w:w="425" w:type="dxa"/>
            <w:tcBorders>
              <w:top w:val="nil"/>
              <w:left w:val="nil"/>
              <w:bottom w:val="single" w:sz="4" w:space="0" w:color="auto"/>
              <w:right w:val="single" w:sz="4" w:space="0" w:color="auto"/>
            </w:tcBorders>
            <w:shd w:val="clear" w:color="000000" w:fill="CCFFFF"/>
            <w:noWrap/>
            <w:vAlign w:val="center"/>
            <w:hideMark/>
          </w:tcPr>
          <w:p w14:paraId="165494B4" w14:textId="77777777" w:rsidR="001752B7" w:rsidRPr="001752B7" w:rsidRDefault="001752B7" w:rsidP="001752B7">
            <w:pPr>
              <w:spacing w:after="0" w:line="240" w:lineRule="auto"/>
              <w:jc w:val="right"/>
              <w:rPr>
                <w:rFonts w:ascii="Tahoma" w:eastAsia="Times New Roman" w:hAnsi="Tahoma" w:cs="Tahoma"/>
                <w:sz w:val="20"/>
                <w:szCs w:val="20"/>
                <w:lang w:eastAsia="hr-HR"/>
              </w:rPr>
            </w:pPr>
            <w:r w:rsidRPr="001752B7">
              <w:rPr>
                <w:rFonts w:ascii="Tahoma" w:eastAsia="Times New Roman" w:hAnsi="Tahoma" w:cs="Tahoma"/>
                <w:sz w:val="20"/>
                <w:szCs w:val="20"/>
                <w:lang w:eastAsia="hr-HR"/>
              </w:rPr>
              <w:t>1</w:t>
            </w:r>
          </w:p>
        </w:tc>
        <w:tc>
          <w:tcPr>
            <w:tcW w:w="426" w:type="dxa"/>
            <w:tcBorders>
              <w:top w:val="nil"/>
              <w:left w:val="nil"/>
              <w:bottom w:val="single" w:sz="4" w:space="0" w:color="auto"/>
              <w:right w:val="single" w:sz="4" w:space="0" w:color="auto"/>
            </w:tcBorders>
            <w:shd w:val="clear" w:color="000000" w:fill="CCFFFF"/>
            <w:noWrap/>
            <w:vAlign w:val="center"/>
            <w:hideMark/>
          </w:tcPr>
          <w:p w14:paraId="45D98CE4" w14:textId="77777777" w:rsidR="001752B7" w:rsidRPr="001752B7" w:rsidRDefault="001752B7" w:rsidP="001752B7">
            <w:pPr>
              <w:spacing w:after="0" w:line="240" w:lineRule="auto"/>
              <w:jc w:val="right"/>
              <w:rPr>
                <w:rFonts w:ascii="Tahoma" w:eastAsia="Times New Roman" w:hAnsi="Tahoma" w:cs="Tahoma"/>
                <w:sz w:val="20"/>
                <w:szCs w:val="20"/>
                <w:lang w:eastAsia="hr-HR"/>
              </w:rPr>
            </w:pPr>
            <w:r w:rsidRPr="001752B7">
              <w:rPr>
                <w:rFonts w:ascii="Tahoma" w:eastAsia="Times New Roman" w:hAnsi="Tahoma" w:cs="Tahoma"/>
                <w:sz w:val="20"/>
                <w:szCs w:val="20"/>
                <w:lang w:eastAsia="hr-HR"/>
              </w:rPr>
              <w:t> </w:t>
            </w:r>
          </w:p>
        </w:tc>
        <w:tc>
          <w:tcPr>
            <w:tcW w:w="487" w:type="dxa"/>
            <w:tcBorders>
              <w:top w:val="nil"/>
              <w:left w:val="nil"/>
              <w:bottom w:val="single" w:sz="4" w:space="0" w:color="auto"/>
              <w:right w:val="nil"/>
            </w:tcBorders>
            <w:shd w:val="clear" w:color="000000" w:fill="33CCCC"/>
            <w:noWrap/>
            <w:vAlign w:val="center"/>
            <w:hideMark/>
          </w:tcPr>
          <w:p w14:paraId="45FED5F4" w14:textId="77777777" w:rsidR="001752B7" w:rsidRPr="001752B7" w:rsidRDefault="001752B7" w:rsidP="001752B7">
            <w:pPr>
              <w:spacing w:after="0" w:line="240" w:lineRule="auto"/>
              <w:jc w:val="right"/>
              <w:rPr>
                <w:rFonts w:ascii="Tahoma" w:eastAsia="Times New Roman" w:hAnsi="Tahoma" w:cs="Tahoma"/>
                <w:sz w:val="20"/>
                <w:szCs w:val="20"/>
                <w:lang w:eastAsia="hr-HR"/>
              </w:rPr>
            </w:pPr>
            <w:r w:rsidRPr="001752B7">
              <w:rPr>
                <w:rFonts w:ascii="Tahoma" w:eastAsia="Times New Roman" w:hAnsi="Tahoma" w:cs="Tahoma"/>
                <w:sz w:val="20"/>
                <w:szCs w:val="20"/>
                <w:lang w:eastAsia="hr-HR"/>
              </w:rPr>
              <w:t>3</w:t>
            </w:r>
          </w:p>
        </w:tc>
        <w:tc>
          <w:tcPr>
            <w:tcW w:w="425" w:type="dxa"/>
            <w:tcBorders>
              <w:top w:val="nil"/>
              <w:left w:val="single" w:sz="4" w:space="0" w:color="auto"/>
              <w:bottom w:val="single" w:sz="4" w:space="0" w:color="auto"/>
              <w:right w:val="single" w:sz="8" w:space="0" w:color="auto"/>
            </w:tcBorders>
            <w:shd w:val="clear" w:color="000000" w:fill="33CCCC"/>
            <w:noWrap/>
            <w:vAlign w:val="center"/>
            <w:hideMark/>
          </w:tcPr>
          <w:p w14:paraId="5C62C449" w14:textId="77777777" w:rsidR="001752B7" w:rsidRPr="001752B7" w:rsidRDefault="001752B7" w:rsidP="001752B7">
            <w:pPr>
              <w:spacing w:after="0" w:line="240" w:lineRule="auto"/>
              <w:jc w:val="right"/>
              <w:rPr>
                <w:rFonts w:ascii="Tahoma" w:eastAsia="Times New Roman" w:hAnsi="Tahoma" w:cs="Tahoma"/>
                <w:sz w:val="20"/>
                <w:szCs w:val="20"/>
                <w:lang w:eastAsia="hr-HR"/>
              </w:rPr>
            </w:pPr>
            <w:r w:rsidRPr="001752B7">
              <w:rPr>
                <w:rFonts w:ascii="Tahoma" w:eastAsia="Times New Roman" w:hAnsi="Tahoma" w:cs="Tahoma"/>
                <w:sz w:val="20"/>
                <w:szCs w:val="20"/>
                <w:lang w:eastAsia="hr-HR"/>
              </w:rPr>
              <w:t>4</w:t>
            </w:r>
          </w:p>
        </w:tc>
        <w:tc>
          <w:tcPr>
            <w:tcW w:w="236" w:type="dxa"/>
            <w:vAlign w:val="center"/>
            <w:hideMark/>
          </w:tcPr>
          <w:p w14:paraId="54110BC5" w14:textId="77777777" w:rsidR="001752B7" w:rsidRPr="001752B7" w:rsidRDefault="001752B7" w:rsidP="001752B7">
            <w:pPr>
              <w:spacing w:after="0" w:line="240" w:lineRule="auto"/>
              <w:rPr>
                <w:rFonts w:ascii="Times New Roman" w:eastAsia="Times New Roman" w:hAnsi="Times New Roman" w:cs="Times New Roman"/>
                <w:sz w:val="20"/>
                <w:szCs w:val="20"/>
                <w:lang w:eastAsia="hr-HR"/>
              </w:rPr>
            </w:pPr>
          </w:p>
        </w:tc>
      </w:tr>
      <w:tr w:rsidR="001752B7" w:rsidRPr="001752B7" w14:paraId="4B78CCD2" w14:textId="77777777" w:rsidTr="000271A1">
        <w:trPr>
          <w:gridAfter w:val="1"/>
          <w:wAfter w:w="31" w:type="dxa"/>
          <w:trHeight w:val="300"/>
        </w:trPr>
        <w:tc>
          <w:tcPr>
            <w:tcW w:w="1408" w:type="dxa"/>
            <w:tcBorders>
              <w:top w:val="single" w:sz="4" w:space="0" w:color="auto"/>
              <w:left w:val="single" w:sz="8" w:space="0" w:color="auto"/>
              <w:bottom w:val="single" w:sz="4" w:space="0" w:color="auto"/>
              <w:right w:val="single" w:sz="4" w:space="0" w:color="auto"/>
            </w:tcBorders>
            <w:shd w:val="clear" w:color="000000" w:fill="CCFFCC"/>
            <w:vAlign w:val="center"/>
            <w:hideMark/>
          </w:tcPr>
          <w:p w14:paraId="10D6398A" w14:textId="77777777" w:rsidR="001752B7" w:rsidRPr="001752B7" w:rsidRDefault="001752B7" w:rsidP="001752B7">
            <w:pPr>
              <w:spacing w:after="0" w:line="240" w:lineRule="auto"/>
              <w:rPr>
                <w:rFonts w:ascii="Tahoma" w:eastAsia="Times New Roman" w:hAnsi="Tahoma" w:cs="Tahoma"/>
                <w:sz w:val="20"/>
                <w:szCs w:val="20"/>
                <w:lang w:eastAsia="hr-HR"/>
              </w:rPr>
            </w:pPr>
            <w:r w:rsidRPr="001752B7">
              <w:rPr>
                <w:rFonts w:ascii="Tahoma" w:eastAsia="Times New Roman" w:hAnsi="Tahoma" w:cs="Tahoma"/>
                <w:sz w:val="20"/>
                <w:szCs w:val="20"/>
                <w:lang w:eastAsia="hr-HR"/>
              </w:rPr>
              <w:t>Bračni ili obiteljski status</w:t>
            </w:r>
          </w:p>
        </w:tc>
        <w:tc>
          <w:tcPr>
            <w:tcW w:w="673" w:type="dxa"/>
            <w:tcBorders>
              <w:top w:val="nil"/>
              <w:left w:val="nil"/>
              <w:bottom w:val="single" w:sz="4" w:space="0" w:color="auto"/>
              <w:right w:val="single" w:sz="4" w:space="0" w:color="auto"/>
            </w:tcBorders>
            <w:shd w:val="clear" w:color="000000" w:fill="FFCC99"/>
            <w:noWrap/>
            <w:vAlign w:val="center"/>
            <w:hideMark/>
          </w:tcPr>
          <w:p w14:paraId="056A27B2" w14:textId="77777777" w:rsidR="001752B7" w:rsidRPr="001752B7" w:rsidRDefault="001752B7" w:rsidP="001752B7">
            <w:pPr>
              <w:spacing w:after="0" w:line="240" w:lineRule="auto"/>
              <w:jc w:val="right"/>
              <w:rPr>
                <w:rFonts w:ascii="Tahoma" w:eastAsia="Times New Roman" w:hAnsi="Tahoma" w:cs="Tahoma"/>
                <w:sz w:val="20"/>
                <w:szCs w:val="20"/>
                <w:lang w:eastAsia="hr-HR"/>
              </w:rPr>
            </w:pPr>
            <w:r w:rsidRPr="001752B7">
              <w:rPr>
                <w:rFonts w:ascii="Tahoma" w:eastAsia="Times New Roman" w:hAnsi="Tahoma" w:cs="Tahoma"/>
                <w:sz w:val="20"/>
                <w:szCs w:val="20"/>
                <w:lang w:eastAsia="hr-HR"/>
              </w:rPr>
              <w:t>3</w:t>
            </w:r>
          </w:p>
        </w:tc>
        <w:tc>
          <w:tcPr>
            <w:tcW w:w="521" w:type="dxa"/>
            <w:tcBorders>
              <w:top w:val="nil"/>
              <w:left w:val="nil"/>
              <w:bottom w:val="single" w:sz="4" w:space="0" w:color="auto"/>
              <w:right w:val="single" w:sz="4" w:space="0" w:color="auto"/>
            </w:tcBorders>
            <w:shd w:val="clear" w:color="000000" w:fill="FFFF00"/>
            <w:noWrap/>
            <w:vAlign w:val="center"/>
            <w:hideMark/>
          </w:tcPr>
          <w:p w14:paraId="548192DB" w14:textId="77777777" w:rsidR="001752B7" w:rsidRPr="001752B7" w:rsidRDefault="001752B7" w:rsidP="001752B7">
            <w:pPr>
              <w:spacing w:after="0" w:line="240" w:lineRule="auto"/>
              <w:jc w:val="right"/>
              <w:rPr>
                <w:rFonts w:ascii="Tahoma" w:eastAsia="Times New Roman" w:hAnsi="Tahoma" w:cs="Tahoma"/>
                <w:sz w:val="20"/>
                <w:szCs w:val="20"/>
                <w:lang w:eastAsia="hr-HR"/>
              </w:rPr>
            </w:pPr>
            <w:r w:rsidRPr="001752B7">
              <w:rPr>
                <w:rFonts w:ascii="Tahoma" w:eastAsia="Times New Roman" w:hAnsi="Tahoma" w:cs="Tahoma"/>
                <w:sz w:val="20"/>
                <w:szCs w:val="20"/>
                <w:lang w:eastAsia="hr-HR"/>
              </w:rPr>
              <w:t>2</w:t>
            </w:r>
          </w:p>
        </w:tc>
        <w:tc>
          <w:tcPr>
            <w:tcW w:w="477" w:type="dxa"/>
            <w:tcBorders>
              <w:top w:val="nil"/>
              <w:left w:val="nil"/>
              <w:bottom w:val="single" w:sz="4" w:space="0" w:color="auto"/>
              <w:right w:val="single" w:sz="4" w:space="0" w:color="auto"/>
            </w:tcBorders>
            <w:shd w:val="clear" w:color="000000" w:fill="CCFFFF"/>
            <w:noWrap/>
            <w:vAlign w:val="center"/>
            <w:hideMark/>
          </w:tcPr>
          <w:p w14:paraId="09EBC86F" w14:textId="77777777" w:rsidR="001752B7" w:rsidRPr="001752B7" w:rsidRDefault="001752B7" w:rsidP="001752B7">
            <w:pPr>
              <w:spacing w:after="0" w:line="240" w:lineRule="auto"/>
              <w:jc w:val="right"/>
              <w:rPr>
                <w:rFonts w:ascii="Tahoma" w:eastAsia="Times New Roman" w:hAnsi="Tahoma" w:cs="Tahoma"/>
                <w:sz w:val="20"/>
                <w:szCs w:val="20"/>
                <w:lang w:eastAsia="hr-HR"/>
              </w:rPr>
            </w:pPr>
            <w:r w:rsidRPr="001752B7">
              <w:rPr>
                <w:rFonts w:ascii="Tahoma" w:eastAsia="Times New Roman" w:hAnsi="Tahoma" w:cs="Tahoma"/>
                <w:sz w:val="20"/>
                <w:szCs w:val="20"/>
                <w:lang w:eastAsia="hr-HR"/>
              </w:rPr>
              <w:t>1</w:t>
            </w:r>
          </w:p>
        </w:tc>
        <w:tc>
          <w:tcPr>
            <w:tcW w:w="426" w:type="dxa"/>
            <w:tcBorders>
              <w:top w:val="nil"/>
              <w:left w:val="nil"/>
              <w:bottom w:val="single" w:sz="4" w:space="0" w:color="auto"/>
              <w:right w:val="single" w:sz="4" w:space="0" w:color="auto"/>
            </w:tcBorders>
            <w:shd w:val="clear" w:color="000000" w:fill="CCFFFF"/>
            <w:noWrap/>
            <w:vAlign w:val="center"/>
            <w:hideMark/>
          </w:tcPr>
          <w:p w14:paraId="3574FAE1" w14:textId="77777777" w:rsidR="001752B7" w:rsidRPr="001752B7" w:rsidRDefault="001752B7" w:rsidP="001752B7">
            <w:pPr>
              <w:spacing w:after="0" w:line="240" w:lineRule="auto"/>
              <w:jc w:val="right"/>
              <w:rPr>
                <w:rFonts w:ascii="Tahoma" w:eastAsia="Times New Roman" w:hAnsi="Tahoma" w:cs="Tahoma"/>
                <w:sz w:val="20"/>
                <w:szCs w:val="20"/>
                <w:lang w:eastAsia="hr-HR"/>
              </w:rPr>
            </w:pPr>
            <w:r w:rsidRPr="001752B7">
              <w:rPr>
                <w:rFonts w:ascii="Tahoma" w:eastAsia="Times New Roman" w:hAnsi="Tahoma" w:cs="Tahoma"/>
                <w:sz w:val="20"/>
                <w:szCs w:val="20"/>
                <w:lang w:eastAsia="hr-HR"/>
              </w:rPr>
              <w:t>1</w:t>
            </w:r>
          </w:p>
        </w:tc>
        <w:tc>
          <w:tcPr>
            <w:tcW w:w="698" w:type="dxa"/>
            <w:tcBorders>
              <w:top w:val="nil"/>
              <w:left w:val="nil"/>
              <w:bottom w:val="single" w:sz="4" w:space="0" w:color="auto"/>
              <w:right w:val="single" w:sz="4" w:space="0" w:color="auto"/>
            </w:tcBorders>
            <w:shd w:val="clear" w:color="000000" w:fill="FFFF99"/>
            <w:noWrap/>
            <w:vAlign w:val="center"/>
            <w:hideMark/>
          </w:tcPr>
          <w:p w14:paraId="63C95830" w14:textId="77777777" w:rsidR="001752B7" w:rsidRPr="001752B7" w:rsidRDefault="001752B7" w:rsidP="001752B7">
            <w:pPr>
              <w:spacing w:after="0" w:line="240" w:lineRule="auto"/>
              <w:jc w:val="right"/>
              <w:rPr>
                <w:rFonts w:ascii="Tahoma" w:eastAsia="Times New Roman" w:hAnsi="Tahoma" w:cs="Tahoma"/>
                <w:sz w:val="20"/>
                <w:szCs w:val="20"/>
                <w:lang w:eastAsia="hr-HR"/>
              </w:rPr>
            </w:pPr>
            <w:r w:rsidRPr="001752B7">
              <w:rPr>
                <w:rFonts w:ascii="Tahoma" w:eastAsia="Times New Roman" w:hAnsi="Tahoma" w:cs="Tahoma"/>
                <w:sz w:val="20"/>
                <w:szCs w:val="20"/>
                <w:lang w:eastAsia="hr-HR"/>
              </w:rPr>
              <w:t>2</w:t>
            </w:r>
          </w:p>
        </w:tc>
        <w:tc>
          <w:tcPr>
            <w:tcW w:w="698" w:type="dxa"/>
            <w:tcBorders>
              <w:top w:val="nil"/>
              <w:left w:val="nil"/>
              <w:bottom w:val="single" w:sz="4" w:space="0" w:color="auto"/>
              <w:right w:val="single" w:sz="4" w:space="0" w:color="auto"/>
            </w:tcBorders>
            <w:shd w:val="clear" w:color="000000" w:fill="FFFF99"/>
            <w:noWrap/>
            <w:vAlign w:val="center"/>
            <w:hideMark/>
          </w:tcPr>
          <w:p w14:paraId="3E490A18" w14:textId="77777777" w:rsidR="001752B7" w:rsidRPr="001752B7" w:rsidRDefault="001752B7" w:rsidP="001752B7">
            <w:pPr>
              <w:spacing w:after="0" w:line="240" w:lineRule="auto"/>
              <w:jc w:val="right"/>
              <w:rPr>
                <w:rFonts w:ascii="Tahoma" w:eastAsia="Times New Roman" w:hAnsi="Tahoma" w:cs="Tahoma"/>
                <w:sz w:val="20"/>
                <w:szCs w:val="20"/>
                <w:lang w:eastAsia="hr-HR"/>
              </w:rPr>
            </w:pPr>
            <w:r w:rsidRPr="001752B7">
              <w:rPr>
                <w:rFonts w:ascii="Tahoma" w:eastAsia="Times New Roman" w:hAnsi="Tahoma" w:cs="Tahoma"/>
                <w:sz w:val="20"/>
                <w:szCs w:val="20"/>
                <w:lang w:eastAsia="hr-HR"/>
              </w:rPr>
              <w:t> </w:t>
            </w:r>
          </w:p>
        </w:tc>
        <w:tc>
          <w:tcPr>
            <w:tcW w:w="698" w:type="dxa"/>
            <w:tcBorders>
              <w:top w:val="nil"/>
              <w:left w:val="nil"/>
              <w:bottom w:val="single" w:sz="4" w:space="0" w:color="auto"/>
              <w:right w:val="single" w:sz="4" w:space="0" w:color="auto"/>
            </w:tcBorders>
            <w:shd w:val="clear" w:color="000000" w:fill="FFFF99"/>
            <w:noWrap/>
            <w:vAlign w:val="center"/>
            <w:hideMark/>
          </w:tcPr>
          <w:p w14:paraId="131520B3" w14:textId="77777777" w:rsidR="001752B7" w:rsidRPr="001752B7" w:rsidRDefault="001752B7" w:rsidP="001752B7">
            <w:pPr>
              <w:spacing w:after="0" w:line="240" w:lineRule="auto"/>
              <w:jc w:val="right"/>
              <w:rPr>
                <w:rFonts w:ascii="Tahoma" w:eastAsia="Times New Roman" w:hAnsi="Tahoma" w:cs="Tahoma"/>
                <w:sz w:val="20"/>
                <w:szCs w:val="20"/>
                <w:lang w:eastAsia="hr-HR"/>
              </w:rPr>
            </w:pPr>
            <w:r w:rsidRPr="001752B7">
              <w:rPr>
                <w:rFonts w:ascii="Tahoma" w:eastAsia="Times New Roman" w:hAnsi="Tahoma" w:cs="Tahoma"/>
                <w:sz w:val="20"/>
                <w:szCs w:val="20"/>
                <w:lang w:eastAsia="hr-HR"/>
              </w:rPr>
              <w:t> </w:t>
            </w:r>
          </w:p>
        </w:tc>
        <w:tc>
          <w:tcPr>
            <w:tcW w:w="698" w:type="dxa"/>
            <w:tcBorders>
              <w:top w:val="nil"/>
              <w:left w:val="nil"/>
              <w:bottom w:val="single" w:sz="4" w:space="0" w:color="auto"/>
              <w:right w:val="single" w:sz="4" w:space="0" w:color="auto"/>
            </w:tcBorders>
            <w:shd w:val="clear" w:color="000000" w:fill="FFFF99"/>
            <w:noWrap/>
            <w:vAlign w:val="center"/>
            <w:hideMark/>
          </w:tcPr>
          <w:p w14:paraId="2C942EAC" w14:textId="77777777" w:rsidR="001752B7" w:rsidRPr="001752B7" w:rsidRDefault="001752B7" w:rsidP="001752B7">
            <w:pPr>
              <w:spacing w:after="0" w:line="240" w:lineRule="auto"/>
              <w:jc w:val="right"/>
              <w:rPr>
                <w:rFonts w:ascii="Tahoma" w:eastAsia="Times New Roman" w:hAnsi="Tahoma" w:cs="Tahoma"/>
                <w:sz w:val="20"/>
                <w:szCs w:val="20"/>
                <w:lang w:eastAsia="hr-HR"/>
              </w:rPr>
            </w:pPr>
            <w:r w:rsidRPr="001752B7">
              <w:rPr>
                <w:rFonts w:ascii="Tahoma" w:eastAsia="Times New Roman" w:hAnsi="Tahoma" w:cs="Tahoma"/>
                <w:sz w:val="20"/>
                <w:szCs w:val="20"/>
                <w:lang w:eastAsia="hr-HR"/>
              </w:rPr>
              <w:t> </w:t>
            </w:r>
          </w:p>
        </w:tc>
        <w:tc>
          <w:tcPr>
            <w:tcW w:w="698" w:type="dxa"/>
            <w:tcBorders>
              <w:top w:val="nil"/>
              <w:left w:val="nil"/>
              <w:bottom w:val="single" w:sz="4" w:space="0" w:color="auto"/>
              <w:right w:val="single" w:sz="4" w:space="0" w:color="auto"/>
            </w:tcBorders>
            <w:shd w:val="clear" w:color="000000" w:fill="FFFF99"/>
            <w:noWrap/>
            <w:vAlign w:val="center"/>
            <w:hideMark/>
          </w:tcPr>
          <w:p w14:paraId="4BCF4670" w14:textId="77777777" w:rsidR="001752B7" w:rsidRPr="001752B7" w:rsidRDefault="001752B7" w:rsidP="001752B7">
            <w:pPr>
              <w:spacing w:after="0" w:line="240" w:lineRule="auto"/>
              <w:jc w:val="right"/>
              <w:rPr>
                <w:rFonts w:ascii="Tahoma" w:eastAsia="Times New Roman" w:hAnsi="Tahoma" w:cs="Tahoma"/>
                <w:sz w:val="20"/>
                <w:szCs w:val="20"/>
                <w:lang w:eastAsia="hr-HR"/>
              </w:rPr>
            </w:pPr>
            <w:r w:rsidRPr="001752B7">
              <w:rPr>
                <w:rFonts w:ascii="Tahoma" w:eastAsia="Times New Roman" w:hAnsi="Tahoma" w:cs="Tahoma"/>
                <w:sz w:val="20"/>
                <w:szCs w:val="20"/>
                <w:lang w:eastAsia="hr-HR"/>
              </w:rPr>
              <w:t> </w:t>
            </w:r>
          </w:p>
        </w:tc>
        <w:tc>
          <w:tcPr>
            <w:tcW w:w="698" w:type="dxa"/>
            <w:tcBorders>
              <w:top w:val="nil"/>
              <w:left w:val="nil"/>
              <w:bottom w:val="single" w:sz="4" w:space="0" w:color="auto"/>
              <w:right w:val="single" w:sz="4" w:space="0" w:color="auto"/>
            </w:tcBorders>
            <w:shd w:val="clear" w:color="000000" w:fill="FFFF99"/>
            <w:noWrap/>
            <w:vAlign w:val="center"/>
            <w:hideMark/>
          </w:tcPr>
          <w:p w14:paraId="69CE1B3D" w14:textId="77777777" w:rsidR="001752B7" w:rsidRPr="001752B7" w:rsidRDefault="001752B7" w:rsidP="001752B7">
            <w:pPr>
              <w:spacing w:after="0" w:line="240" w:lineRule="auto"/>
              <w:jc w:val="right"/>
              <w:rPr>
                <w:rFonts w:ascii="Tahoma" w:eastAsia="Times New Roman" w:hAnsi="Tahoma" w:cs="Tahoma"/>
                <w:sz w:val="20"/>
                <w:szCs w:val="20"/>
                <w:lang w:eastAsia="hr-HR"/>
              </w:rPr>
            </w:pPr>
            <w:r w:rsidRPr="001752B7">
              <w:rPr>
                <w:rFonts w:ascii="Tahoma" w:eastAsia="Times New Roman" w:hAnsi="Tahoma" w:cs="Tahoma"/>
                <w:sz w:val="20"/>
                <w:szCs w:val="20"/>
                <w:lang w:eastAsia="hr-HR"/>
              </w:rPr>
              <w:t> </w:t>
            </w:r>
          </w:p>
        </w:tc>
        <w:tc>
          <w:tcPr>
            <w:tcW w:w="469" w:type="dxa"/>
            <w:tcBorders>
              <w:top w:val="nil"/>
              <w:left w:val="nil"/>
              <w:bottom w:val="single" w:sz="4" w:space="0" w:color="auto"/>
              <w:right w:val="single" w:sz="4" w:space="0" w:color="auto"/>
            </w:tcBorders>
            <w:shd w:val="clear" w:color="000000" w:fill="FF9900"/>
            <w:noWrap/>
            <w:vAlign w:val="center"/>
            <w:hideMark/>
          </w:tcPr>
          <w:p w14:paraId="22F7EA39" w14:textId="77777777" w:rsidR="001752B7" w:rsidRPr="001752B7" w:rsidRDefault="001752B7" w:rsidP="001752B7">
            <w:pPr>
              <w:spacing w:after="0" w:line="240" w:lineRule="auto"/>
              <w:jc w:val="right"/>
              <w:rPr>
                <w:rFonts w:ascii="Tahoma" w:eastAsia="Times New Roman" w:hAnsi="Tahoma" w:cs="Tahoma"/>
                <w:sz w:val="20"/>
                <w:szCs w:val="20"/>
                <w:lang w:eastAsia="hr-HR"/>
              </w:rPr>
            </w:pPr>
            <w:r w:rsidRPr="001752B7">
              <w:rPr>
                <w:rFonts w:ascii="Tahoma" w:eastAsia="Times New Roman" w:hAnsi="Tahoma" w:cs="Tahoma"/>
                <w:sz w:val="20"/>
                <w:szCs w:val="20"/>
                <w:lang w:eastAsia="hr-HR"/>
              </w:rPr>
              <w:t> </w:t>
            </w:r>
          </w:p>
        </w:tc>
        <w:tc>
          <w:tcPr>
            <w:tcW w:w="419" w:type="dxa"/>
            <w:tcBorders>
              <w:top w:val="nil"/>
              <w:left w:val="nil"/>
              <w:bottom w:val="single" w:sz="4" w:space="0" w:color="auto"/>
              <w:right w:val="single" w:sz="4" w:space="0" w:color="auto"/>
            </w:tcBorders>
            <w:shd w:val="clear" w:color="000000" w:fill="FF9900"/>
            <w:noWrap/>
            <w:vAlign w:val="center"/>
            <w:hideMark/>
          </w:tcPr>
          <w:p w14:paraId="1BE1583D" w14:textId="77777777" w:rsidR="001752B7" w:rsidRPr="001752B7" w:rsidRDefault="001752B7" w:rsidP="001752B7">
            <w:pPr>
              <w:spacing w:after="0" w:line="240" w:lineRule="auto"/>
              <w:jc w:val="right"/>
              <w:rPr>
                <w:rFonts w:ascii="Tahoma" w:eastAsia="Times New Roman" w:hAnsi="Tahoma" w:cs="Tahoma"/>
                <w:sz w:val="20"/>
                <w:szCs w:val="20"/>
                <w:lang w:eastAsia="hr-HR"/>
              </w:rPr>
            </w:pPr>
            <w:r w:rsidRPr="001752B7">
              <w:rPr>
                <w:rFonts w:ascii="Tahoma" w:eastAsia="Times New Roman" w:hAnsi="Tahoma" w:cs="Tahoma"/>
                <w:sz w:val="20"/>
                <w:szCs w:val="20"/>
                <w:lang w:eastAsia="hr-HR"/>
              </w:rPr>
              <w:t> </w:t>
            </w:r>
          </w:p>
        </w:tc>
        <w:tc>
          <w:tcPr>
            <w:tcW w:w="521" w:type="dxa"/>
            <w:tcBorders>
              <w:top w:val="nil"/>
              <w:left w:val="nil"/>
              <w:bottom w:val="single" w:sz="4" w:space="0" w:color="auto"/>
              <w:right w:val="single" w:sz="4" w:space="0" w:color="auto"/>
            </w:tcBorders>
            <w:shd w:val="clear" w:color="000000" w:fill="FF9900"/>
            <w:noWrap/>
            <w:vAlign w:val="center"/>
            <w:hideMark/>
          </w:tcPr>
          <w:p w14:paraId="2F02D33C" w14:textId="77777777" w:rsidR="001752B7" w:rsidRPr="001752B7" w:rsidRDefault="001752B7" w:rsidP="001752B7">
            <w:pPr>
              <w:spacing w:after="0" w:line="240" w:lineRule="auto"/>
              <w:jc w:val="right"/>
              <w:rPr>
                <w:rFonts w:ascii="Tahoma" w:eastAsia="Times New Roman" w:hAnsi="Tahoma" w:cs="Tahoma"/>
                <w:sz w:val="20"/>
                <w:szCs w:val="20"/>
                <w:lang w:eastAsia="hr-HR"/>
              </w:rPr>
            </w:pPr>
            <w:r w:rsidRPr="001752B7">
              <w:rPr>
                <w:rFonts w:ascii="Tahoma" w:eastAsia="Times New Roman" w:hAnsi="Tahoma" w:cs="Tahoma"/>
                <w:sz w:val="20"/>
                <w:szCs w:val="20"/>
                <w:lang w:eastAsia="hr-HR"/>
              </w:rPr>
              <w:t> </w:t>
            </w:r>
          </w:p>
        </w:tc>
        <w:tc>
          <w:tcPr>
            <w:tcW w:w="476" w:type="dxa"/>
            <w:tcBorders>
              <w:top w:val="nil"/>
              <w:left w:val="nil"/>
              <w:bottom w:val="single" w:sz="4" w:space="0" w:color="auto"/>
              <w:right w:val="single" w:sz="4" w:space="0" w:color="auto"/>
            </w:tcBorders>
            <w:shd w:val="clear" w:color="000000" w:fill="FFFF00"/>
            <w:vAlign w:val="center"/>
            <w:hideMark/>
          </w:tcPr>
          <w:p w14:paraId="1A6E6BAF" w14:textId="77777777" w:rsidR="001752B7" w:rsidRPr="001752B7" w:rsidRDefault="001752B7" w:rsidP="001752B7">
            <w:pPr>
              <w:spacing w:after="0" w:line="240" w:lineRule="auto"/>
              <w:jc w:val="right"/>
              <w:rPr>
                <w:rFonts w:ascii="Tahoma" w:eastAsia="Times New Roman" w:hAnsi="Tahoma" w:cs="Tahoma"/>
                <w:sz w:val="20"/>
                <w:szCs w:val="20"/>
                <w:lang w:eastAsia="hr-HR"/>
              </w:rPr>
            </w:pPr>
            <w:r w:rsidRPr="001752B7">
              <w:rPr>
                <w:rFonts w:ascii="Tahoma" w:eastAsia="Times New Roman" w:hAnsi="Tahoma" w:cs="Tahoma"/>
                <w:sz w:val="20"/>
                <w:szCs w:val="20"/>
                <w:lang w:eastAsia="hr-HR"/>
              </w:rPr>
              <w:t> </w:t>
            </w:r>
          </w:p>
        </w:tc>
        <w:tc>
          <w:tcPr>
            <w:tcW w:w="698" w:type="dxa"/>
            <w:tcBorders>
              <w:top w:val="nil"/>
              <w:left w:val="nil"/>
              <w:bottom w:val="single" w:sz="4" w:space="0" w:color="auto"/>
              <w:right w:val="single" w:sz="4" w:space="0" w:color="auto"/>
            </w:tcBorders>
            <w:shd w:val="clear" w:color="000000" w:fill="FF9900"/>
            <w:vAlign w:val="center"/>
            <w:hideMark/>
          </w:tcPr>
          <w:p w14:paraId="1925C59C" w14:textId="77777777" w:rsidR="001752B7" w:rsidRPr="001752B7" w:rsidRDefault="001752B7" w:rsidP="001752B7">
            <w:pPr>
              <w:spacing w:after="0" w:line="240" w:lineRule="auto"/>
              <w:jc w:val="right"/>
              <w:rPr>
                <w:rFonts w:ascii="Tahoma" w:eastAsia="Times New Roman" w:hAnsi="Tahoma" w:cs="Tahoma"/>
                <w:sz w:val="20"/>
                <w:szCs w:val="20"/>
                <w:lang w:eastAsia="hr-HR"/>
              </w:rPr>
            </w:pPr>
            <w:r w:rsidRPr="001752B7">
              <w:rPr>
                <w:rFonts w:ascii="Tahoma" w:eastAsia="Times New Roman" w:hAnsi="Tahoma" w:cs="Tahoma"/>
                <w:sz w:val="20"/>
                <w:szCs w:val="20"/>
                <w:lang w:eastAsia="hr-HR"/>
              </w:rPr>
              <w:t>5</w:t>
            </w:r>
          </w:p>
        </w:tc>
        <w:tc>
          <w:tcPr>
            <w:tcW w:w="643" w:type="dxa"/>
            <w:tcBorders>
              <w:top w:val="nil"/>
              <w:left w:val="nil"/>
              <w:bottom w:val="single" w:sz="4" w:space="0" w:color="auto"/>
              <w:right w:val="single" w:sz="4" w:space="0" w:color="auto"/>
            </w:tcBorders>
            <w:shd w:val="clear" w:color="000000" w:fill="FF9900"/>
            <w:noWrap/>
            <w:vAlign w:val="center"/>
            <w:hideMark/>
          </w:tcPr>
          <w:p w14:paraId="591AAB84" w14:textId="77777777" w:rsidR="001752B7" w:rsidRPr="001752B7" w:rsidRDefault="001752B7" w:rsidP="001752B7">
            <w:pPr>
              <w:spacing w:after="0" w:line="240" w:lineRule="auto"/>
              <w:jc w:val="right"/>
              <w:rPr>
                <w:rFonts w:ascii="Tahoma" w:eastAsia="Times New Roman" w:hAnsi="Tahoma" w:cs="Tahoma"/>
                <w:sz w:val="20"/>
                <w:szCs w:val="20"/>
                <w:lang w:eastAsia="hr-HR"/>
              </w:rPr>
            </w:pPr>
            <w:r w:rsidRPr="001752B7">
              <w:rPr>
                <w:rFonts w:ascii="Tahoma" w:eastAsia="Times New Roman" w:hAnsi="Tahoma" w:cs="Tahoma"/>
                <w:sz w:val="20"/>
                <w:szCs w:val="20"/>
                <w:lang w:eastAsia="hr-HR"/>
              </w:rPr>
              <w:t> </w:t>
            </w:r>
          </w:p>
        </w:tc>
        <w:tc>
          <w:tcPr>
            <w:tcW w:w="605" w:type="dxa"/>
            <w:tcBorders>
              <w:top w:val="nil"/>
              <w:left w:val="nil"/>
              <w:bottom w:val="single" w:sz="4" w:space="0" w:color="auto"/>
              <w:right w:val="single" w:sz="4" w:space="0" w:color="auto"/>
            </w:tcBorders>
            <w:shd w:val="clear" w:color="000000" w:fill="FF9900"/>
            <w:noWrap/>
            <w:vAlign w:val="center"/>
            <w:hideMark/>
          </w:tcPr>
          <w:p w14:paraId="6F32C97B" w14:textId="77777777" w:rsidR="001752B7" w:rsidRPr="001752B7" w:rsidRDefault="001752B7" w:rsidP="001752B7">
            <w:pPr>
              <w:spacing w:after="0" w:line="240" w:lineRule="auto"/>
              <w:jc w:val="right"/>
              <w:rPr>
                <w:rFonts w:ascii="Tahoma" w:eastAsia="Times New Roman" w:hAnsi="Tahoma" w:cs="Tahoma"/>
                <w:sz w:val="20"/>
                <w:szCs w:val="20"/>
                <w:lang w:eastAsia="hr-HR"/>
              </w:rPr>
            </w:pPr>
            <w:r w:rsidRPr="001752B7">
              <w:rPr>
                <w:rFonts w:ascii="Tahoma" w:eastAsia="Times New Roman" w:hAnsi="Tahoma" w:cs="Tahoma"/>
                <w:sz w:val="20"/>
                <w:szCs w:val="20"/>
                <w:lang w:eastAsia="hr-HR"/>
              </w:rPr>
              <w:t> </w:t>
            </w:r>
          </w:p>
        </w:tc>
        <w:tc>
          <w:tcPr>
            <w:tcW w:w="698" w:type="dxa"/>
            <w:tcBorders>
              <w:top w:val="nil"/>
              <w:left w:val="nil"/>
              <w:bottom w:val="single" w:sz="4" w:space="0" w:color="auto"/>
              <w:right w:val="single" w:sz="4" w:space="0" w:color="auto"/>
            </w:tcBorders>
            <w:shd w:val="clear" w:color="000000" w:fill="FF9900"/>
            <w:noWrap/>
            <w:vAlign w:val="center"/>
            <w:hideMark/>
          </w:tcPr>
          <w:p w14:paraId="0A686E6B" w14:textId="77777777" w:rsidR="001752B7" w:rsidRPr="001752B7" w:rsidRDefault="001752B7" w:rsidP="001752B7">
            <w:pPr>
              <w:spacing w:after="0" w:line="240" w:lineRule="auto"/>
              <w:jc w:val="right"/>
              <w:rPr>
                <w:rFonts w:ascii="Tahoma" w:eastAsia="Times New Roman" w:hAnsi="Tahoma" w:cs="Tahoma"/>
                <w:sz w:val="20"/>
                <w:szCs w:val="20"/>
                <w:lang w:eastAsia="hr-HR"/>
              </w:rPr>
            </w:pPr>
            <w:r w:rsidRPr="001752B7">
              <w:rPr>
                <w:rFonts w:ascii="Tahoma" w:eastAsia="Times New Roman" w:hAnsi="Tahoma" w:cs="Tahoma"/>
                <w:sz w:val="20"/>
                <w:szCs w:val="20"/>
                <w:lang w:eastAsia="hr-HR"/>
              </w:rPr>
              <w:t> </w:t>
            </w:r>
          </w:p>
        </w:tc>
        <w:tc>
          <w:tcPr>
            <w:tcW w:w="464" w:type="dxa"/>
            <w:tcBorders>
              <w:top w:val="nil"/>
              <w:left w:val="nil"/>
              <w:bottom w:val="single" w:sz="4" w:space="0" w:color="auto"/>
              <w:right w:val="single" w:sz="4" w:space="0" w:color="auto"/>
            </w:tcBorders>
            <w:shd w:val="clear" w:color="000000" w:fill="CCFFFF"/>
            <w:noWrap/>
            <w:vAlign w:val="center"/>
            <w:hideMark/>
          </w:tcPr>
          <w:p w14:paraId="6360C6BA" w14:textId="77777777" w:rsidR="001752B7" w:rsidRPr="001752B7" w:rsidRDefault="001752B7" w:rsidP="001752B7">
            <w:pPr>
              <w:spacing w:after="0" w:line="240" w:lineRule="auto"/>
              <w:jc w:val="right"/>
              <w:rPr>
                <w:rFonts w:ascii="Tahoma" w:eastAsia="Times New Roman" w:hAnsi="Tahoma" w:cs="Tahoma"/>
                <w:sz w:val="20"/>
                <w:szCs w:val="20"/>
                <w:lang w:eastAsia="hr-HR"/>
              </w:rPr>
            </w:pPr>
            <w:r w:rsidRPr="001752B7">
              <w:rPr>
                <w:rFonts w:ascii="Tahoma" w:eastAsia="Times New Roman" w:hAnsi="Tahoma" w:cs="Tahoma"/>
                <w:sz w:val="20"/>
                <w:szCs w:val="20"/>
                <w:lang w:eastAsia="hr-HR"/>
              </w:rPr>
              <w:t> </w:t>
            </w:r>
          </w:p>
        </w:tc>
        <w:tc>
          <w:tcPr>
            <w:tcW w:w="425" w:type="dxa"/>
            <w:tcBorders>
              <w:top w:val="nil"/>
              <w:left w:val="nil"/>
              <w:bottom w:val="single" w:sz="4" w:space="0" w:color="auto"/>
              <w:right w:val="single" w:sz="4" w:space="0" w:color="auto"/>
            </w:tcBorders>
            <w:shd w:val="clear" w:color="000000" w:fill="CCFFFF"/>
            <w:noWrap/>
            <w:vAlign w:val="center"/>
            <w:hideMark/>
          </w:tcPr>
          <w:p w14:paraId="12B4AED5" w14:textId="77777777" w:rsidR="001752B7" w:rsidRPr="001752B7" w:rsidRDefault="001752B7" w:rsidP="001752B7">
            <w:pPr>
              <w:spacing w:after="0" w:line="240" w:lineRule="auto"/>
              <w:jc w:val="right"/>
              <w:rPr>
                <w:rFonts w:ascii="Tahoma" w:eastAsia="Times New Roman" w:hAnsi="Tahoma" w:cs="Tahoma"/>
                <w:sz w:val="20"/>
                <w:szCs w:val="20"/>
                <w:lang w:eastAsia="hr-HR"/>
              </w:rPr>
            </w:pPr>
            <w:r w:rsidRPr="001752B7">
              <w:rPr>
                <w:rFonts w:ascii="Tahoma" w:eastAsia="Times New Roman" w:hAnsi="Tahoma" w:cs="Tahoma"/>
                <w:sz w:val="20"/>
                <w:szCs w:val="20"/>
                <w:lang w:eastAsia="hr-HR"/>
              </w:rPr>
              <w:t> </w:t>
            </w:r>
          </w:p>
        </w:tc>
        <w:tc>
          <w:tcPr>
            <w:tcW w:w="426" w:type="dxa"/>
            <w:tcBorders>
              <w:top w:val="nil"/>
              <w:left w:val="nil"/>
              <w:bottom w:val="single" w:sz="4" w:space="0" w:color="auto"/>
              <w:right w:val="single" w:sz="4" w:space="0" w:color="auto"/>
            </w:tcBorders>
            <w:shd w:val="clear" w:color="000000" w:fill="CCFFFF"/>
            <w:noWrap/>
            <w:vAlign w:val="center"/>
            <w:hideMark/>
          </w:tcPr>
          <w:p w14:paraId="38A3CC04" w14:textId="77777777" w:rsidR="001752B7" w:rsidRPr="001752B7" w:rsidRDefault="001752B7" w:rsidP="001752B7">
            <w:pPr>
              <w:spacing w:after="0" w:line="240" w:lineRule="auto"/>
              <w:jc w:val="right"/>
              <w:rPr>
                <w:rFonts w:ascii="Tahoma" w:eastAsia="Times New Roman" w:hAnsi="Tahoma" w:cs="Tahoma"/>
                <w:sz w:val="20"/>
                <w:szCs w:val="20"/>
                <w:lang w:eastAsia="hr-HR"/>
              </w:rPr>
            </w:pPr>
            <w:r w:rsidRPr="001752B7">
              <w:rPr>
                <w:rFonts w:ascii="Tahoma" w:eastAsia="Times New Roman" w:hAnsi="Tahoma" w:cs="Tahoma"/>
                <w:sz w:val="20"/>
                <w:szCs w:val="20"/>
                <w:lang w:eastAsia="hr-HR"/>
              </w:rPr>
              <w:t> </w:t>
            </w:r>
          </w:p>
        </w:tc>
        <w:tc>
          <w:tcPr>
            <w:tcW w:w="487" w:type="dxa"/>
            <w:tcBorders>
              <w:top w:val="nil"/>
              <w:left w:val="nil"/>
              <w:bottom w:val="single" w:sz="4" w:space="0" w:color="auto"/>
              <w:right w:val="nil"/>
            </w:tcBorders>
            <w:shd w:val="clear" w:color="000000" w:fill="33CCCC"/>
            <w:noWrap/>
            <w:vAlign w:val="center"/>
            <w:hideMark/>
          </w:tcPr>
          <w:p w14:paraId="7ED6767D" w14:textId="77777777" w:rsidR="001752B7" w:rsidRPr="001752B7" w:rsidRDefault="001752B7" w:rsidP="001752B7">
            <w:pPr>
              <w:spacing w:after="0" w:line="240" w:lineRule="auto"/>
              <w:jc w:val="right"/>
              <w:rPr>
                <w:rFonts w:ascii="Tahoma" w:eastAsia="Times New Roman" w:hAnsi="Tahoma" w:cs="Tahoma"/>
                <w:sz w:val="20"/>
                <w:szCs w:val="20"/>
                <w:lang w:eastAsia="hr-HR"/>
              </w:rPr>
            </w:pPr>
            <w:r w:rsidRPr="001752B7">
              <w:rPr>
                <w:rFonts w:ascii="Tahoma" w:eastAsia="Times New Roman" w:hAnsi="Tahoma" w:cs="Tahoma"/>
                <w:sz w:val="20"/>
                <w:szCs w:val="20"/>
                <w:lang w:eastAsia="hr-HR"/>
              </w:rPr>
              <w:t> </w:t>
            </w:r>
          </w:p>
        </w:tc>
        <w:tc>
          <w:tcPr>
            <w:tcW w:w="425" w:type="dxa"/>
            <w:tcBorders>
              <w:top w:val="nil"/>
              <w:left w:val="single" w:sz="4" w:space="0" w:color="auto"/>
              <w:bottom w:val="single" w:sz="4" w:space="0" w:color="auto"/>
              <w:right w:val="single" w:sz="8" w:space="0" w:color="auto"/>
            </w:tcBorders>
            <w:shd w:val="clear" w:color="000000" w:fill="33CCCC"/>
            <w:noWrap/>
            <w:vAlign w:val="center"/>
            <w:hideMark/>
          </w:tcPr>
          <w:p w14:paraId="048C8CBB" w14:textId="77777777" w:rsidR="001752B7" w:rsidRPr="001752B7" w:rsidRDefault="001752B7" w:rsidP="001752B7">
            <w:pPr>
              <w:spacing w:after="0" w:line="240" w:lineRule="auto"/>
              <w:jc w:val="right"/>
              <w:rPr>
                <w:rFonts w:ascii="Tahoma" w:eastAsia="Times New Roman" w:hAnsi="Tahoma" w:cs="Tahoma"/>
                <w:sz w:val="20"/>
                <w:szCs w:val="20"/>
                <w:lang w:eastAsia="hr-HR"/>
              </w:rPr>
            </w:pPr>
            <w:r w:rsidRPr="001752B7">
              <w:rPr>
                <w:rFonts w:ascii="Tahoma" w:eastAsia="Times New Roman" w:hAnsi="Tahoma" w:cs="Tahoma"/>
                <w:sz w:val="20"/>
                <w:szCs w:val="20"/>
                <w:lang w:eastAsia="hr-HR"/>
              </w:rPr>
              <w:t> </w:t>
            </w:r>
          </w:p>
        </w:tc>
        <w:tc>
          <w:tcPr>
            <w:tcW w:w="236" w:type="dxa"/>
            <w:vAlign w:val="center"/>
            <w:hideMark/>
          </w:tcPr>
          <w:p w14:paraId="1EFF8407" w14:textId="77777777" w:rsidR="001752B7" w:rsidRPr="001752B7" w:rsidRDefault="001752B7" w:rsidP="001752B7">
            <w:pPr>
              <w:spacing w:after="0" w:line="240" w:lineRule="auto"/>
              <w:rPr>
                <w:rFonts w:ascii="Times New Roman" w:eastAsia="Times New Roman" w:hAnsi="Times New Roman" w:cs="Times New Roman"/>
                <w:sz w:val="20"/>
                <w:szCs w:val="20"/>
                <w:lang w:eastAsia="hr-HR"/>
              </w:rPr>
            </w:pPr>
          </w:p>
        </w:tc>
      </w:tr>
      <w:tr w:rsidR="001752B7" w:rsidRPr="001752B7" w14:paraId="4D507F69" w14:textId="77777777" w:rsidTr="000271A1">
        <w:trPr>
          <w:gridAfter w:val="1"/>
          <w:wAfter w:w="31" w:type="dxa"/>
          <w:trHeight w:val="300"/>
        </w:trPr>
        <w:tc>
          <w:tcPr>
            <w:tcW w:w="1408" w:type="dxa"/>
            <w:tcBorders>
              <w:top w:val="single" w:sz="4" w:space="0" w:color="auto"/>
              <w:left w:val="single" w:sz="8" w:space="0" w:color="auto"/>
              <w:bottom w:val="single" w:sz="4" w:space="0" w:color="auto"/>
              <w:right w:val="single" w:sz="4" w:space="0" w:color="auto"/>
            </w:tcBorders>
            <w:shd w:val="clear" w:color="000000" w:fill="CCFFCC"/>
            <w:vAlign w:val="center"/>
            <w:hideMark/>
          </w:tcPr>
          <w:p w14:paraId="74566AAE" w14:textId="77777777" w:rsidR="001752B7" w:rsidRPr="001752B7" w:rsidRDefault="001752B7" w:rsidP="001752B7">
            <w:pPr>
              <w:spacing w:after="0" w:line="240" w:lineRule="auto"/>
              <w:rPr>
                <w:rFonts w:ascii="Tahoma" w:eastAsia="Times New Roman" w:hAnsi="Tahoma" w:cs="Tahoma"/>
                <w:sz w:val="20"/>
                <w:szCs w:val="20"/>
                <w:lang w:eastAsia="hr-HR"/>
              </w:rPr>
            </w:pPr>
            <w:r w:rsidRPr="001752B7">
              <w:rPr>
                <w:rFonts w:ascii="Tahoma" w:eastAsia="Times New Roman" w:hAnsi="Tahoma" w:cs="Tahoma"/>
                <w:sz w:val="20"/>
                <w:szCs w:val="20"/>
                <w:lang w:eastAsia="hr-HR"/>
              </w:rPr>
              <w:t>Dob</w:t>
            </w:r>
          </w:p>
        </w:tc>
        <w:tc>
          <w:tcPr>
            <w:tcW w:w="673" w:type="dxa"/>
            <w:tcBorders>
              <w:top w:val="nil"/>
              <w:left w:val="nil"/>
              <w:bottom w:val="single" w:sz="4" w:space="0" w:color="auto"/>
              <w:right w:val="single" w:sz="4" w:space="0" w:color="auto"/>
            </w:tcBorders>
            <w:shd w:val="clear" w:color="000000" w:fill="FFCC99"/>
            <w:noWrap/>
            <w:vAlign w:val="center"/>
            <w:hideMark/>
          </w:tcPr>
          <w:p w14:paraId="32477F9C" w14:textId="77777777" w:rsidR="001752B7" w:rsidRPr="001752B7" w:rsidRDefault="001752B7" w:rsidP="001752B7">
            <w:pPr>
              <w:spacing w:after="0" w:line="240" w:lineRule="auto"/>
              <w:jc w:val="right"/>
              <w:rPr>
                <w:rFonts w:ascii="Tahoma" w:eastAsia="Times New Roman" w:hAnsi="Tahoma" w:cs="Tahoma"/>
                <w:sz w:val="20"/>
                <w:szCs w:val="20"/>
                <w:lang w:eastAsia="hr-HR"/>
              </w:rPr>
            </w:pPr>
            <w:r w:rsidRPr="001752B7">
              <w:rPr>
                <w:rFonts w:ascii="Tahoma" w:eastAsia="Times New Roman" w:hAnsi="Tahoma" w:cs="Tahoma"/>
                <w:sz w:val="20"/>
                <w:szCs w:val="20"/>
                <w:lang w:eastAsia="hr-HR"/>
              </w:rPr>
              <w:t>9</w:t>
            </w:r>
          </w:p>
        </w:tc>
        <w:tc>
          <w:tcPr>
            <w:tcW w:w="521" w:type="dxa"/>
            <w:tcBorders>
              <w:top w:val="nil"/>
              <w:left w:val="nil"/>
              <w:bottom w:val="single" w:sz="4" w:space="0" w:color="auto"/>
              <w:right w:val="single" w:sz="4" w:space="0" w:color="auto"/>
            </w:tcBorders>
            <w:shd w:val="clear" w:color="000000" w:fill="FFFF00"/>
            <w:noWrap/>
            <w:vAlign w:val="center"/>
            <w:hideMark/>
          </w:tcPr>
          <w:p w14:paraId="7BF75ACF" w14:textId="77777777" w:rsidR="001752B7" w:rsidRPr="001752B7" w:rsidRDefault="001752B7" w:rsidP="001752B7">
            <w:pPr>
              <w:spacing w:after="0" w:line="240" w:lineRule="auto"/>
              <w:jc w:val="right"/>
              <w:rPr>
                <w:rFonts w:ascii="Tahoma" w:eastAsia="Times New Roman" w:hAnsi="Tahoma" w:cs="Tahoma"/>
                <w:sz w:val="20"/>
                <w:szCs w:val="20"/>
                <w:lang w:eastAsia="hr-HR"/>
              </w:rPr>
            </w:pPr>
            <w:r w:rsidRPr="001752B7">
              <w:rPr>
                <w:rFonts w:ascii="Tahoma" w:eastAsia="Times New Roman" w:hAnsi="Tahoma" w:cs="Tahoma"/>
                <w:sz w:val="20"/>
                <w:szCs w:val="20"/>
                <w:lang w:eastAsia="hr-HR"/>
              </w:rPr>
              <w:t>5</w:t>
            </w:r>
          </w:p>
        </w:tc>
        <w:tc>
          <w:tcPr>
            <w:tcW w:w="477" w:type="dxa"/>
            <w:tcBorders>
              <w:top w:val="nil"/>
              <w:left w:val="nil"/>
              <w:bottom w:val="single" w:sz="4" w:space="0" w:color="auto"/>
              <w:right w:val="single" w:sz="4" w:space="0" w:color="auto"/>
            </w:tcBorders>
            <w:shd w:val="clear" w:color="000000" w:fill="CCFFFF"/>
            <w:noWrap/>
            <w:vAlign w:val="center"/>
            <w:hideMark/>
          </w:tcPr>
          <w:p w14:paraId="5B63C0EB" w14:textId="77777777" w:rsidR="001752B7" w:rsidRPr="001752B7" w:rsidRDefault="001752B7" w:rsidP="001752B7">
            <w:pPr>
              <w:spacing w:after="0" w:line="240" w:lineRule="auto"/>
              <w:jc w:val="right"/>
              <w:rPr>
                <w:rFonts w:ascii="Tahoma" w:eastAsia="Times New Roman" w:hAnsi="Tahoma" w:cs="Tahoma"/>
                <w:sz w:val="20"/>
                <w:szCs w:val="20"/>
                <w:lang w:eastAsia="hr-HR"/>
              </w:rPr>
            </w:pPr>
            <w:r w:rsidRPr="001752B7">
              <w:rPr>
                <w:rFonts w:ascii="Tahoma" w:eastAsia="Times New Roman" w:hAnsi="Tahoma" w:cs="Tahoma"/>
                <w:sz w:val="20"/>
                <w:szCs w:val="20"/>
                <w:lang w:eastAsia="hr-HR"/>
              </w:rPr>
              <w:t>2</w:t>
            </w:r>
          </w:p>
        </w:tc>
        <w:tc>
          <w:tcPr>
            <w:tcW w:w="426" w:type="dxa"/>
            <w:tcBorders>
              <w:top w:val="nil"/>
              <w:left w:val="nil"/>
              <w:bottom w:val="single" w:sz="4" w:space="0" w:color="auto"/>
              <w:right w:val="single" w:sz="4" w:space="0" w:color="auto"/>
            </w:tcBorders>
            <w:shd w:val="clear" w:color="000000" w:fill="CCFFFF"/>
            <w:noWrap/>
            <w:vAlign w:val="center"/>
            <w:hideMark/>
          </w:tcPr>
          <w:p w14:paraId="1CECCBD1" w14:textId="77777777" w:rsidR="001752B7" w:rsidRPr="001752B7" w:rsidRDefault="001752B7" w:rsidP="001752B7">
            <w:pPr>
              <w:spacing w:after="0" w:line="240" w:lineRule="auto"/>
              <w:jc w:val="right"/>
              <w:rPr>
                <w:rFonts w:ascii="Tahoma" w:eastAsia="Times New Roman" w:hAnsi="Tahoma" w:cs="Tahoma"/>
                <w:sz w:val="20"/>
                <w:szCs w:val="20"/>
                <w:lang w:eastAsia="hr-HR"/>
              </w:rPr>
            </w:pPr>
            <w:r w:rsidRPr="001752B7">
              <w:rPr>
                <w:rFonts w:ascii="Tahoma" w:eastAsia="Times New Roman" w:hAnsi="Tahoma" w:cs="Tahoma"/>
                <w:sz w:val="20"/>
                <w:szCs w:val="20"/>
                <w:lang w:eastAsia="hr-HR"/>
              </w:rPr>
              <w:t>3</w:t>
            </w:r>
          </w:p>
        </w:tc>
        <w:tc>
          <w:tcPr>
            <w:tcW w:w="698" w:type="dxa"/>
            <w:tcBorders>
              <w:top w:val="nil"/>
              <w:left w:val="nil"/>
              <w:bottom w:val="single" w:sz="4" w:space="0" w:color="auto"/>
              <w:right w:val="single" w:sz="4" w:space="0" w:color="auto"/>
            </w:tcBorders>
            <w:shd w:val="clear" w:color="000000" w:fill="FFFF99"/>
            <w:noWrap/>
            <w:vAlign w:val="center"/>
            <w:hideMark/>
          </w:tcPr>
          <w:p w14:paraId="4353DF9A" w14:textId="77777777" w:rsidR="001752B7" w:rsidRPr="001752B7" w:rsidRDefault="001752B7" w:rsidP="001752B7">
            <w:pPr>
              <w:spacing w:after="0" w:line="240" w:lineRule="auto"/>
              <w:jc w:val="right"/>
              <w:rPr>
                <w:rFonts w:ascii="Tahoma" w:eastAsia="Times New Roman" w:hAnsi="Tahoma" w:cs="Tahoma"/>
                <w:sz w:val="20"/>
                <w:szCs w:val="20"/>
                <w:lang w:eastAsia="hr-HR"/>
              </w:rPr>
            </w:pPr>
            <w:r w:rsidRPr="001752B7">
              <w:rPr>
                <w:rFonts w:ascii="Tahoma" w:eastAsia="Times New Roman" w:hAnsi="Tahoma" w:cs="Tahoma"/>
                <w:sz w:val="20"/>
                <w:szCs w:val="20"/>
                <w:lang w:eastAsia="hr-HR"/>
              </w:rPr>
              <w:t>4</w:t>
            </w:r>
          </w:p>
        </w:tc>
        <w:tc>
          <w:tcPr>
            <w:tcW w:w="698" w:type="dxa"/>
            <w:tcBorders>
              <w:top w:val="nil"/>
              <w:left w:val="nil"/>
              <w:bottom w:val="single" w:sz="4" w:space="0" w:color="auto"/>
              <w:right w:val="single" w:sz="4" w:space="0" w:color="auto"/>
            </w:tcBorders>
            <w:shd w:val="clear" w:color="000000" w:fill="FFFF99"/>
            <w:noWrap/>
            <w:vAlign w:val="center"/>
            <w:hideMark/>
          </w:tcPr>
          <w:p w14:paraId="03B5E626" w14:textId="77777777" w:rsidR="001752B7" w:rsidRPr="001752B7" w:rsidRDefault="001752B7" w:rsidP="001752B7">
            <w:pPr>
              <w:spacing w:after="0" w:line="240" w:lineRule="auto"/>
              <w:jc w:val="right"/>
              <w:rPr>
                <w:rFonts w:ascii="Tahoma" w:eastAsia="Times New Roman" w:hAnsi="Tahoma" w:cs="Tahoma"/>
                <w:sz w:val="20"/>
                <w:szCs w:val="20"/>
                <w:lang w:eastAsia="hr-HR"/>
              </w:rPr>
            </w:pPr>
            <w:r w:rsidRPr="001752B7">
              <w:rPr>
                <w:rFonts w:ascii="Tahoma" w:eastAsia="Times New Roman" w:hAnsi="Tahoma" w:cs="Tahoma"/>
                <w:sz w:val="20"/>
                <w:szCs w:val="20"/>
                <w:lang w:eastAsia="hr-HR"/>
              </w:rPr>
              <w:t> </w:t>
            </w:r>
          </w:p>
        </w:tc>
        <w:tc>
          <w:tcPr>
            <w:tcW w:w="698" w:type="dxa"/>
            <w:tcBorders>
              <w:top w:val="nil"/>
              <w:left w:val="nil"/>
              <w:bottom w:val="single" w:sz="4" w:space="0" w:color="auto"/>
              <w:right w:val="single" w:sz="4" w:space="0" w:color="auto"/>
            </w:tcBorders>
            <w:shd w:val="clear" w:color="000000" w:fill="FFFF99"/>
            <w:noWrap/>
            <w:vAlign w:val="center"/>
            <w:hideMark/>
          </w:tcPr>
          <w:p w14:paraId="744AF30E" w14:textId="77777777" w:rsidR="001752B7" w:rsidRPr="001752B7" w:rsidRDefault="001752B7" w:rsidP="001752B7">
            <w:pPr>
              <w:spacing w:after="0" w:line="240" w:lineRule="auto"/>
              <w:jc w:val="right"/>
              <w:rPr>
                <w:rFonts w:ascii="Tahoma" w:eastAsia="Times New Roman" w:hAnsi="Tahoma" w:cs="Tahoma"/>
                <w:sz w:val="20"/>
                <w:szCs w:val="20"/>
                <w:lang w:eastAsia="hr-HR"/>
              </w:rPr>
            </w:pPr>
            <w:r w:rsidRPr="001752B7">
              <w:rPr>
                <w:rFonts w:ascii="Tahoma" w:eastAsia="Times New Roman" w:hAnsi="Tahoma" w:cs="Tahoma"/>
                <w:sz w:val="20"/>
                <w:szCs w:val="20"/>
                <w:lang w:eastAsia="hr-HR"/>
              </w:rPr>
              <w:t>1</w:t>
            </w:r>
          </w:p>
        </w:tc>
        <w:tc>
          <w:tcPr>
            <w:tcW w:w="698" w:type="dxa"/>
            <w:tcBorders>
              <w:top w:val="nil"/>
              <w:left w:val="nil"/>
              <w:bottom w:val="single" w:sz="4" w:space="0" w:color="auto"/>
              <w:right w:val="single" w:sz="4" w:space="0" w:color="auto"/>
            </w:tcBorders>
            <w:shd w:val="clear" w:color="000000" w:fill="FFFF99"/>
            <w:noWrap/>
            <w:vAlign w:val="center"/>
            <w:hideMark/>
          </w:tcPr>
          <w:p w14:paraId="7A5B4336" w14:textId="77777777" w:rsidR="001752B7" w:rsidRPr="001752B7" w:rsidRDefault="001752B7" w:rsidP="001752B7">
            <w:pPr>
              <w:spacing w:after="0" w:line="240" w:lineRule="auto"/>
              <w:jc w:val="right"/>
              <w:rPr>
                <w:rFonts w:ascii="Tahoma" w:eastAsia="Times New Roman" w:hAnsi="Tahoma" w:cs="Tahoma"/>
                <w:sz w:val="20"/>
                <w:szCs w:val="20"/>
                <w:lang w:eastAsia="hr-HR"/>
              </w:rPr>
            </w:pPr>
            <w:r w:rsidRPr="001752B7">
              <w:rPr>
                <w:rFonts w:ascii="Tahoma" w:eastAsia="Times New Roman" w:hAnsi="Tahoma" w:cs="Tahoma"/>
                <w:sz w:val="20"/>
                <w:szCs w:val="20"/>
                <w:lang w:eastAsia="hr-HR"/>
              </w:rPr>
              <w:t> </w:t>
            </w:r>
          </w:p>
        </w:tc>
        <w:tc>
          <w:tcPr>
            <w:tcW w:w="698" w:type="dxa"/>
            <w:tcBorders>
              <w:top w:val="nil"/>
              <w:left w:val="nil"/>
              <w:bottom w:val="single" w:sz="4" w:space="0" w:color="auto"/>
              <w:right w:val="single" w:sz="4" w:space="0" w:color="auto"/>
            </w:tcBorders>
            <w:shd w:val="clear" w:color="000000" w:fill="FFFF99"/>
            <w:noWrap/>
            <w:vAlign w:val="center"/>
            <w:hideMark/>
          </w:tcPr>
          <w:p w14:paraId="1A2E7AD0" w14:textId="77777777" w:rsidR="001752B7" w:rsidRPr="001752B7" w:rsidRDefault="001752B7" w:rsidP="001752B7">
            <w:pPr>
              <w:spacing w:after="0" w:line="240" w:lineRule="auto"/>
              <w:jc w:val="right"/>
              <w:rPr>
                <w:rFonts w:ascii="Tahoma" w:eastAsia="Times New Roman" w:hAnsi="Tahoma" w:cs="Tahoma"/>
                <w:sz w:val="20"/>
                <w:szCs w:val="20"/>
                <w:lang w:eastAsia="hr-HR"/>
              </w:rPr>
            </w:pPr>
            <w:r w:rsidRPr="001752B7">
              <w:rPr>
                <w:rFonts w:ascii="Tahoma" w:eastAsia="Times New Roman" w:hAnsi="Tahoma" w:cs="Tahoma"/>
                <w:sz w:val="20"/>
                <w:szCs w:val="20"/>
                <w:lang w:eastAsia="hr-HR"/>
              </w:rPr>
              <w:t> </w:t>
            </w:r>
          </w:p>
        </w:tc>
        <w:tc>
          <w:tcPr>
            <w:tcW w:w="698" w:type="dxa"/>
            <w:tcBorders>
              <w:top w:val="nil"/>
              <w:left w:val="nil"/>
              <w:bottom w:val="single" w:sz="4" w:space="0" w:color="auto"/>
              <w:right w:val="single" w:sz="4" w:space="0" w:color="auto"/>
            </w:tcBorders>
            <w:shd w:val="clear" w:color="000000" w:fill="FFFF99"/>
            <w:noWrap/>
            <w:vAlign w:val="center"/>
            <w:hideMark/>
          </w:tcPr>
          <w:p w14:paraId="042A2B59" w14:textId="77777777" w:rsidR="001752B7" w:rsidRPr="001752B7" w:rsidRDefault="001752B7" w:rsidP="001752B7">
            <w:pPr>
              <w:spacing w:after="0" w:line="240" w:lineRule="auto"/>
              <w:jc w:val="right"/>
              <w:rPr>
                <w:rFonts w:ascii="Tahoma" w:eastAsia="Times New Roman" w:hAnsi="Tahoma" w:cs="Tahoma"/>
                <w:sz w:val="20"/>
                <w:szCs w:val="20"/>
                <w:lang w:eastAsia="hr-HR"/>
              </w:rPr>
            </w:pPr>
            <w:r w:rsidRPr="001752B7">
              <w:rPr>
                <w:rFonts w:ascii="Tahoma" w:eastAsia="Times New Roman" w:hAnsi="Tahoma" w:cs="Tahoma"/>
                <w:sz w:val="20"/>
                <w:szCs w:val="20"/>
                <w:lang w:eastAsia="hr-HR"/>
              </w:rPr>
              <w:t>1</w:t>
            </w:r>
          </w:p>
        </w:tc>
        <w:tc>
          <w:tcPr>
            <w:tcW w:w="469" w:type="dxa"/>
            <w:tcBorders>
              <w:top w:val="nil"/>
              <w:left w:val="nil"/>
              <w:bottom w:val="single" w:sz="4" w:space="0" w:color="auto"/>
              <w:right w:val="single" w:sz="4" w:space="0" w:color="auto"/>
            </w:tcBorders>
            <w:shd w:val="clear" w:color="000000" w:fill="FF9900"/>
            <w:noWrap/>
            <w:vAlign w:val="center"/>
            <w:hideMark/>
          </w:tcPr>
          <w:p w14:paraId="60CDA822" w14:textId="77777777" w:rsidR="001752B7" w:rsidRPr="001752B7" w:rsidRDefault="001752B7" w:rsidP="001752B7">
            <w:pPr>
              <w:spacing w:after="0" w:line="240" w:lineRule="auto"/>
              <w:jc w:val="right"/>
              <w:rPr>
                <w:rFonts w:ascii="Tahoma" w:eastAsia="Times New Roman" w:hAnsi="Tahoma" w:cs="Tahoma"/>
                <w:sz w:val="20"/>
                <w:szCs w:val="20"/>
                <w:lang w:eastAsia="hr-HR"/>
              </w:rPr>
            </w:pPr>
            <w:r w:rsidRPr="001752B7">
              <w:rPr>
                <w:rFonts w:ascii="Tahoma" w:eastAsia="Times New Roman" w:hAnsi="Tahoma" w:cs="Tahoma"/>
                <w:sz w:val="20"/>
                <w:szCs w:val="20"/>
                <w:lang w:eastAsia="hr-HR"/>
              </w:rPr>
              <w:t> </w:t>
            </w:r>
          </w:p>
        </w:tc>
        <w:tc>
          <w:tcPr>
            <w:tcW w:w="419" w:type="dxa"/>
            <w:tcBorders>
              <w:top w:val="nil"/>
              <w:left w:val="nil"/>
              <w:bottom w:val="single" w:sz="4" w:space="0" w:color="auto"/>
              <w:right w:val="single" w:sz="4" w:space="0" w:color="auto"/>
            </w:tcBorders>
            <w:shd w:val="clear" w:color="000000" w:fill="FF9900"/>
            <w:noWrap/>
            <w:vAlign w:val="center"/>
            <w:hideMark/>
          </w:tcPr>
          <w:p w14:paraId="4CB80009" w14:textId="77777777" w:rsidR="001752B7" w:rsidRPr="001752B7" w:rsidRDefault="001752B7" w:rsidP="001752B7">
            <w:pPr>
              <w:spacing w:after="0" w:line="240" w:lineRule="auto"/>
              <w:jc w:val="right"/>
              <w:rPr>
                <w:rFonts w:ascii="Tahoma" w:eastAsia="Times New Roman" w:hAnsi="Tahoma" w:cs="Tahoma"/>
                <w:sz w:val="20"/>
                <w:szCs w:val="20"/>
                <w:lang w:eastAsia="hr-HR"/>
              </w:rPr>
            </w:pPr>
            <w:r w:rsidRPr="001752B7">
              <w:rPr>
                <w:rFonts w:ascii="Tahoma" w:eastAsia="Times New Roman" w:hAnsi="Tahoma" w:cs="Tahoma"/>
                <w:sz w:val="20"/>
                <w:szCs w:val="20"/>
                <w:lang w:eastAsia="hr-HR"/>
              </w:rPr>
              <w:t>1</w:t>
            </w:r>
          </w:p>
        </w:tc>
        <w:tc>
          <w:tcPr>
            <w:tcW w:w="521" w:type="dxa"/>
            <w:tcBorders>
              <w:top w:val="nil"/>
              <w:left w:val="nil"/>
              <w:bottom w:val="single" w:sz="4" w:space="0" w:color="auto"/>
              <w:right w:val="single" w:sz="4" w:space="0" w:color="auto"/>
            </w:tcBorders>
            <w:shd w:val="clear" w:color="000000" w:fill="FF9900"/>
            <w:noWrap/>
            <w:vAlign w:val="center"/>
            <w:hideMark/>
          </w:tcPr>
          <w:p w14:paraId="49E63163" w14:textId="77777777" w:rsidR="001752B7" w:rsidRPr="001752B7" w:rsidRDefault="001752B7" w:rsidP="001752B7">
            <w:pPr>
              <w:spacing w:after="0" w:line="240" w:lineRule="auto"/>
              <w:jc w:val="right"/>
              <w:rPr>
                <w:rFonts w:ascii="Tahoma" w:eastAsia="Times New Roman" w:hAnsi="Tahoma" w:cs="Tahoma"/>
                <w:sz w:val="20"/>
                <w:szCs w:val="20"/>
                <w:lang w:eastAsia="hr-HR"/>
              </w:rPr>
            </w:pPr>
            <w:r w:rsidRPr="001752B7">
              <w:rPr>
                <w:rFonts w:ascii="Tahoma" w:eastAsia="Times New Roman" w:hAnsi="Tahoma" w:cs="Tahoma"/>
                <w:sz w:val="20"/>
                <w:szCs w:val="20"/>
                <w:lang w:eastAsia="hr-HR"/>
              </w:rPr>
              <w:t>2</w:t>
            </w:r>
          </w:p>
        </w:tc>
        <w:tc>
          <w:tcPr>
            <w:tcW w:w="476" w:type="dxa"/>
            <w:tcBorders>
              <w:top w:val="nil"/>
              <w:left w:val="nil"/>
              <w:bottom w:val="single" w:sz="4" w:space="0" w:color="auto"/>
              <w:right w:val="single" w:sz="4" w:space="0" w:color="auto"/>
            </w:tcBorders>
            <w:shd w:val="clear" w:color="000000" w:fill="FFFF00"/>
            <w:vAlign w:val="center"/>
            <w:hideMark/>
          </w:tcPr>
          <w:p w14:paraId="1F016DD2" w14:textId="77777777" w:rsidR="001752B7" w:rsidRPr="001752B7" w:rsidRDefault="001752B7" w:rsidP="001752B7">
            <w:pPr>
              <w:spacing w:after="0" w:line="240" w:lineRule="auto"/>
              <w:jc w:val="right"/>
              <w:rPr>
                <w:rFonts w:ascii="Tahoma" w:eastAsia="Times New Roman" w:hAnsi="Tahoma" w:cs="Tahoma"/>
                <w:sz w:val="20"/>
                <w:szCs w:val="20"/>
                <w:lang w:eastAsia="hr-HR"/>
              </w:rPr>
            </w:pPr>
            <w:r w:rsidRPr="001752B7">
              <w:rPr>
                <w:rFonts w:ascii="Tahoma" w:eastAsia="Times New Roman" w:hAnsi="Tahoma" w:cs="Tahoma"/>
                <w:sz w:val="20"/>
                <w:szCs w:val="20"/>
                <w:lang w:eastAsia="hr-HR"/>
              </w:rPr>
              <w:t>3</w:t>
            </w:r>
          </w:p>
        </w:tc>
        <w:tc>
          <w:tcPr>
            <w:tcW w:w="698" w:type="dxa"/>
            <w:tcBorders>
              <w:top w:val="nil"/>
              <w:left w:val="nil"/>
              <w:bottom w:val="single" w:sz="4" w:space="0" w:color="auto"/>
              <w:right w:val="single" w:sz="4" w:space="0" w:color="auto"/>
            </w:tcBorders>
            <w:shd w:val="clear" w:color="000000" w:fill="FF9900"/>
            <w:vAlign w:val="center"/>
            <w:hideMark/>
          </w:tcPr>
          <w:p w14:paraId="14DED660" w14:textId="77777777" w:rsidR="001752B7" w:rsidRPr="001752B7" w:rsidRDefault="001752B7" w:rsidP="001752B7">
            <w:pPr>
              <w:spacing w:after="0" w:line="240" w:lineRule="auto"/>
              <w:jc w:val="right"/>
              <w:rPr>
                <w:rFonts w:ascii="Tahoma" w:eastAsia="Times New Roman" w:hAnsi="Tahoma" w:cs="Tahoma"/>
                <w:sz w:val="20"/>
                <w:szCs w:val="20"/>
                <w:lang w:eastAsia="hr-HR"/>
              </w:rPr>
            </w:pPr>
            <w:r w:rsidRPr="001752B7">
              <w:rPr>
                <w:rFonts w:ascii="Tahoma" w:eastAsia="Times New Roman" w:hAnsi="Tahoma" w:cs="Tahoma"/>
                <w:sz w:val="20"/>
                <w:szCs w:val="20"/>
                <w:lang w:eastAsia="hr-HR"/>
              </w:rPr>
              <w:t>11</w:t>
            </w:r>
          </w:p>
        </w:tc>
        <w:tc>
          <w:tcPr>
            <w:tcW w:w="643" w:type="dxa"/>
            <w:tcBorders>
              <w:top w:val="nil"/>
              <w:left w:val="nil"/>
              <w:bottom w:val="single" w:sz="4" w:space="0" w:color="auto"/>
              <w:right w:val="single" w:sz="4" w:space="0" w:color="auto"/>
            </w:tcBorders>
            <w:shd w:val="clear" w:color="000000" w:fill="FF9900"/>
            <w:noWrap/>
            <w:vAlign w:val="center"/>
            <w:hideMark/>
          </w:tcPr>
          <w:p w14:paraId="43D2E67C" w14:textId="77777777" w:rsidR="001752B7" w:rsidRPr="001752B7" w:rsidRDefault="001752B7" w:rsidP="001752B7">
            <w:pPr>
              <w:spacing w:after="0" w:line="240" w:lineRule="auto"/>
              <w:jc w:val="right"/>
              <w:rPr>
                <w:rFonts w:ascii="Tahoma" w:eastAsia="Times New Roman" w:hAnsi="Tahoma" w:cs="Tahoma"/>
                <w:sz w:val="20"/>
                <w:szCs w:val="20"/>
                <w:lang w:eastAsia="hr-HR"/>
              </w:rPr>
            </w:pPr>
            <w:r w:rsidRPr="001752B7">
              <w:rPr>
                <w:rFonts w:ascii="Tahoma" w:eastAsia="Times New Roman" w:hAnsi="Tahoma" w:cs="Tahoma"/>
                <w:sz w:val="20"/>
                <w:szCs w:val="20"/>
                <w:lang w:eastAsia="hr-HR"/>
              </w:rPr>
              <w:t> </w:t>
            </w:r>
          </w:p>
        </w:tc>
        <w:tc>
          <w:tcPr>
            <w:tcW w:w="605" w:type="dxa"/>
            <w:tcBorders>
              <w:top w:val="nil"/>
              <w:left w:val="nil"/>
              <w:bottom w:val="single" w:sz="4" w:space="0" w:color="auto"/>
              <w:right w:val="single" w:sz="4" w:space="0" w:color="auto"/>
            </w:tcBorders>
            <w:shd w:val="clear" w:color="000000" w:fill="FF9900"/>
            <w:noWrap/>
            <w:vAlign w:val="center"/>
            <w:hideMark/>
          </w:tcPr>
          <w:p w14:paraId="0CE0F313" w14:textId="77777777" w:rsidR="001752B7" w:rsidRPr="001752B7" w:rsidRDefault="001752B7" w:rsidP="001752B7">
            <w:pPr>
              <w:spacing w:after="0" w:line="240" w:lineRule="auto"/>
              <w:jc w:val="right"/>
              <w:rPr>
                <w:rFonts w:ascii="Tahoma" w:eastAsia="Times New Roman" w:hAnsi="Tahoma" w:cs="Tahoma"/>
                <w:sz w:val="20"/>
                <w:szCs w:val="20"/>
                <w:lang w:eastAsia="hr-HR"/>
              </w:rPr>
            </w:pPr>
            <w:r w:rsidRPr="001752B7">
              <w:rPr>
                <w:rFonts w:ascii="Tahoma" w:eastAsia="Times New Roman" w:hAnsi="Tahoma" w:cs="Tahoma"/>
                <w:sz w:val="20"/>
                <w:szCs w:val="20"/>
                <w:lang w:eastAsia="hr-HR"/>
              </w:rPr>
              <w:t> </w:t>
            </w:r>
          </w:p>
        </w:tc>
        <w:tc>
          <w:tcPr>
            <w:tcW w:w="698" w:type="dxa"/>
            <w:tcBorders>
              <w:top w:val="nil"/>
              <w:left w:val="nil"/>
              <w:bottom w:val="single" w:sz="4" w:space="0" w:color="auto"/>
              <w:right w:val="single" w:sz="4" w:space="0" w:color="auto"/>
            </w:tcBorders>
            <w:shd w:val="clear" w:color="000000" w:fill="FF9900"/>
            <w:noWrap/>
            <w:vAlign w:val="center"/>
            <w:hideMark/>
          </w:tcPr>
          <w:p w14:paraId="2CD9D314" w14:textId="77777777" w:rsidR="001752B7" w:rsidRPr="001752B7" w:rsidRDefault="001752B7" w:rsidP="001752B7">
            <w:pPr>
              <w:spacing w:after="0" w:line="240" w:lineRule="auto"/>
              <w:jc w:val="right"/>
              <w:rPr>
                <w:rFonts w:ascii="Tahoma" w:eastAsia="Times New Roman" w:hAnsi="Tahoma" w:cs="Tahoma"/>
                <w:sz w:val="20"/>
                <w:szCs w:val="20"/>
                <w:lang w:eastAsia="hr-HR"/>
              </w:rPr>
            </w:pPr>
            <w:r w:rsidRPr="001752B7">
              <w:rPr>
                <w:rFonts w:ascii="Tahoma" w:eastAsia="Times New Roman" w:hAnsi="Tahoma" w:cs="Tahoma"/>
                <w:sz w:val="20"/>
                <w:szCs w:val="20"/>
                <w:lang w:eastAsia="hr-HR"/>
              </w:rPr>
              <w:t> </w:t>
            </w:r>
          </w:p>
        </w:tc>
        <w:tc>
          <w:tcPr>
            <w:tcW w:w="464" w:type="dxa"/>
            <w:tcBorders>
              <w:top w:val="nil"/>
              <w:left w:val="nil"/>
              <w:bottom w:val="single" w:sz="4" w:space="0" w:color="auto"/>
              <w:right w:val="single" w:sz="4" w:space="0" w:color="auto"/>
            </w:tcBorders>
            <w:shd w:val="clear" w:color="000000" w:fill="CCFFFF"/>
            <w:noWrap/>
            <w:vAlign w:val="center"/>
            <w:hideMark/>
          </w:tcPr>
          <w:p w14:paraId="3B83826E" w14:textId="77777777" w:rsidR="001752B7" w:rsidRPr="001752B7" w:rsidRDefault="001752B7" w:rsidP="001752B7">
            <w:pPr>
              <w:spacing w:after="0" w:line="240" w:lineRule="auto"/>
              <w:jc w:val="right"/>
              <w:rPr>
                <w:rFonts w:ascii="Tahoma" w:eastAsia="Times New Roman" w:hAnsi="Tahoma" w:cs="Tahoma"/>
                <w:sz w:val="20"/>
                <w:szCs w:val="20"/>
                <w:lang w:eastAsia="hr-HR"/>
              </w:rPr>
            </w:pPr>
            <w:r w:rsidRPr="001752B7">
              <w:rPr>
                <w:rFonts w:ascii="Tahoma" w:eastAsia="Times New Roman" w:hAnsi="Tahoma" w:cs="Tahoma"/>
                <w:sz w:val="20"/>
                <w:szCs w:val="20"/>
                <w:lang w:eastAsia="hr-HR"/>
              </w:rPr>
              <w:t>1</w:t>
            </w:r>
          </w:p>
        </w:tc>
        <w:tc>
          <w:tcPr>
            <w:tcW w:w="425" w:type="dxa"/>
            <w:tcBorders>
              <w:top w:val="nil"/>
              <w:left w:val="nil"/>
              <w:bottom w:val="single" w:sz="4" w:space="0" w:color="auto"/>
              <w:right w:val="single" w:sz="4" w:space="0" w:color="auto"/>
            </w:tcBorders>
            <w:shd w:val="clear" w:color="000000" w:fill="CCFFFF"/>
            <w:noWrap/>
            <w:vAlign w:val="center"/>
            <w:hideMark/>
          </w:tcPr>
          <w:p w14:paraId="3F2F7979" w14:textId="77777777" w:rsidR="001752B7" w:rsidRPr="001752B7" w:rsidRDefault="001752B7" w:rsidP="001752B7">
            <w:pPr>
              <w:spacing w:after="0" w:line="240" w:lineRule="auto"/>
              <w:jc w:val="right"/>
              <w:rPr>
                <w:rFonts w:ascii="Tahoma" w:eastAsia="Times New Roman" w:hAnsi="Tahoma" w:cs="Tahoma"/>
                <w:sz w:val="20"/>
                <w:szCs w:val="20"/>
                <w:lang w:eastAsia="hr-HR"/>
              </w:rPr>
            </w:pPr>
            <w:r w:rsidRPr="001752B7">
              <w:rPr>
                <w:rFonts w:ascii="Tahoma" w:eastAsia="Times New Roman" w:hAnsi="Tahoma" w:cs="Tahoma"/>
                <w:sz w:val="20"/>
                <w:szCs w:val="20"/>
                <w:lang w:eastAsia="hr-HR"/>
              </w:rPr>
              <w:t>1</w:t>
            </w:r>
          </w:p>
        </w:tc>
        <w:tc>
          <w:tcPr>
            <w:tcW w:w="426" w:type="dxa"/>
            <w:tcBorders>
              <w:top w:val="nil"/>
              <w:left w:val="nil"/>
              <w:bottom w:val="single" w:sz="4" w:space="0" w:color="auto"/>
              <w:right w:val="single" w:sz="4" w:space="0" w:color="auto"/>
            </w:tcBorders>
            <w:shd w:val="clear" w:color="000000" w:fill="CCFFFF"/>
            <w:noWrap/>
            <w:vAlign w:val="center"/>
            <w:hideMark/>
          </w:tcPr>
          <w:p w14:paraId="1B53E3B0" w14:textId="77777777" w:rsidR="001752B7" w:rsidRPr="001752B7" w:rsidRDefault="001752B7" w:rsidP="001752B7">
            <w:pPr>
              <w:spacing w:after="0" w:line="240" w:lineRule="auto"/>
              <w:jc w:val="right"/>
              <w:rPr>
                <w:rFonts w:ascii="Tahoma" w:eastAsia="Times New Roman" w:hAnsi="Tahoma" w:cs="Tahoma"/>
                <w:sz w:val="20"/>
                <w:szCs w:val="20"/>
                <w:lang w:eastAsia="hr-HR"/>
              </w:rPr>
            </w:pPr>
            <w:r w:rsidRPr="001752B7">
              <w:rPr>
                <w:rFonts w:ascii="Tahoma" w:eastAsia="Times New Roman" w:hAnsi="Tahoma" w:cs="Tahoma"/>
                <w:sz w:val="20"/>
                <w:szCs w:val="20"/>
                <w:lang w:eastAsia="hr-HR"/>
              </w:rPr>
              <w:t> </w:t>
            </w:r>
          </w:p>
        </w:tc>
        <w:tc>
          <w:tcPr>
            <w:tcW w:w="487" w:type="dxa"/>
            <w:tcBorders>
              <w:top w:val="nil"/>
              <w:left w:val="nil"/>
              <w:bottom w:val="single" w:sz="4" w:space="0" w:color="auto"/>
              <w:right w:val="nil"/>
            </w:tcBorders>
            <w:shd w:val="clear" w:color="000000" w:fill="33CCCC"/>
            <w:noWrap/>
            <w:vAlign w:val="center"/>
            <w:hideMark/>
          </w:tcPr>
          <w:p w14:paraId="7C528A69" w14:textId="77777777" w:rsidR="001752B7" w:rsidRPr="001752B7" w:rsidRDefault="001752B7" w:rsidP="001752B7">
            <w:pPr>
              <w:spacing w:after="0" w:line="240" w:lineRule="auto"/>
              <w:jc w:val="right"/>
              <w:rPr>
                <w:rFonts w:ascii="Tahoma" w:eastAsia="Times New Roman" w:hAnsi="Tahoma" w:cs="Tahoma"/>
                <w:sz w:val="20"/>
                <w:szCs w:val="20"/>
                <w:lang w:eastAsia="hr-HR"/>
              </w:rPr>
            </w:pPr>
            <w:r w:rsidRPr="001752B7">
              <w:rPr>
                <w:rFonts w:ascii="Tahoma" w:eastAsia="Times New Roman" w:hAnsi="Tahoma" w:cs="Tahoma"/>
                <w:sz w:val="20"/>
                <w:szCs w:val="20"/>
                <w:lang w:eastAsia="hr-HR"/>
              </w:rPr>
              <w:t>2</w:t>
            </w:r>
          </w:p>
        </w:tc>
        <w:tc>
          <w:tcPr>
            <w:tcW w:w="425" w:type="dxa"/>
            <w:tcBorders>
              <w:top w:val="nil"/>
              <w:left w:val="single" w:sz="4" w:space="0" w:color="auto"/>
              <w:bottom w:val="single" w:sz="4" w:space="0" w:color="auto"/>
              <w:right w:val="single" w:sz="8" w:space="0" w:color="auto"/>
            </w:tcBorders>
            <w:shd w:val="clear" w:color="000000" w:fill="33CCCC"/>
            <w:noWrap/>
            <w:vAlign w:val="center"/>
            <w:hideMark/>
          </w:tcPr>
          <w:p w14:paraId="0594D62F" w14:textId="77777777" w:rsidR="001752B7" w:rsidRPr="001752B7" w:rsidRDefault="001752B7" w:rsidP="001752B7">
            <w:pPr>
              <w:spacing w:after="0" w:line="240" w:lineRule="auto"/>
              <w:jc w:val="right"/>
              <w:rPr>
                <w:rFonts w:ascii="Tahoma" w:eastAsia="Times New Roman" w:hAnsi="Tahoma" w:cs="Tahoma"/>
                <w:sz w:val="20"/>
                <w:szCs w:val="20"/>
                <w:lang w:eastAsia="hr-HR"/>
              </w:rPr>
            </w:pPr>
            <w:r w:rsidRPr="001752B7">
              <w:rPr>
                <w:rFonts w:ascii="Tahoma" w:eastAsia="Times New Roman" w:hAnsi="Tahoma" w:cs="Tahoma"/>
                <w:sz w:val="20"/>
                <w:szCs w:val="20"/>
                <w:lang w:eastAsia="hr-HR"/>
              </w:rPr>
              <w:t>1</w:t>
            </w:r>
          </w:p>
        </w:tc>
        <w:tc>
          <w:tcPr>
            <w:tcW w:w="236" w:type="dxa"/>
            <w:vAlign w:val="center"/>
            <w:hideMark/>
          </w:tcPr>
          <w:p w14:paraId="39E97C40" w14:textId="77777777" w:rsidR="001752B7" w:rsidRPr="001752B7" w:rsidRDefault="001752B7" w:rsidP="001752B7">
            <w:pPr>
              <w:spacing w:after="0" w:line="240" w:lineRule="auto"/>
              <w:rPr>
                <w:rFonts w:ascii="Times New Roman" w:eastAsia="Times New Roman" w:hAnsi="Times New Roman" w:cs="Times New Roman"/>
                <w:sz w:val="20"/>
                <w:szCs w:val="20"/>
                <w:lang w:eastAsia="hr-HR"/>
              </w:rPr>
            </w:pPr>
          </w:p>
        </w:tc>
      </w:tr>
      <w:tr w:rsidR="001752B7" w:rsidRPr="001752B7" w14:paraId="3FBE591A" w14:textId="77777777" w:rsidTr="000271A1">
        <w:trPr>
          <w:gridAfter w:val="1"/>
          <w:wAfter w:w="31" w:type="dxa"/>
          <w:trHeight w:val="300"/>
        </w:trPr>
        <w:tc>
          <w:tcPr>
            <w:tcW w:w="1408" w:type="dxa"/>
            <w:tcBorders>
              <w:top w:val="single" w:sz="4" w:space="0" w:color="auto"/>
              <w:left w:val="single" w:sz="8" w:space="0" w:color="auto"/>
              <w:bottom w:val="single" w:sz="4" w:space="0" w:color="auto"/>
              <w:right w:val="single" w:sz="4" w:space="0" w:color="auto"/>
            </w:tcBorders>
            <w:shd w:val="clear" w:color="000000" w:fill="CCFFCC"/>
            <w:vAlign w:val="center"/>
            <w:hideMark/>
          </w:tcPr>
          <w:p w14:paraId="2434C905" w14:textId="77777777" w:rsidR="001752B7" w:rsidRPr="001752B7" w:rsidRDefault="001752B7" w:rsidP="001752B7">
            <w:pPr>
              <w:spacing w:after="0" w:line="240" w:lineRule="auto"/>
              <w:rPr>
                <w:rFonts w:ascii="Tahoma" w:eastAsia="Times New Roman" w:hAnsi="Tahoma" w:cs="Tahoma"/>
                <w:sz w:val="20"/>
                <w:szCs w:val="20"/>
                <w:lang w:eastAsia="hr-HR"/>
              </w:rPr>
            </w:pPr>
            <w:r w:rsidRPr="001752B7">
              <w:rPr>
                <w:rFonts w:ascii="Tahoma" w:eastAsia="Times New Roman" w:hAnsi="Tahoma" w:cs="Tahoma"/>
                <w:sz w:val="20"/>
                <w:szCs w:val="20"/>
                <w:lang w:eastAsia="hr-HR"/>
              </w:rPr>
              <w:t>Obrazovanje</w:t>
            </w:r>
          </w:p>
        </w:tc>
        <w:tc>
          <w:tcPr>
            <w:tcW w:w="673" w:type="dxa"/>
            <w:tcBorders>
              <w:top w:val="nil"/>
              <w:left w:val="nil"/>
              <w:bottom w:val="single" w:sz="4" w:space="0" w:color="auto"/>
              <w:right w:val="single" w:sz="4" w:space="0" w:color="auto"/>
            </w:tcBorders>
            <w:shd w:val="clear" w:color="000000" w:fill="FFCC99"/>
            <w:noWrap/>
            <w:vAlign w:val="center"/>
            <w:hideMark/>
          </w:tcPr>
          <w:p w14:paraId="1810918C" w14:textId="77777777" w:rsidR="001752B7" w:rsidRPr="001752B7" w:rsidRDefault="001752B7" w:rsidP="001752B7">
            <w:pPr>
              <w:spacing w:after="0" w:line="240" w:lineRule="auto"/>
              <w:jc w:val="right"/>
              <w:rPr>
                <w:rFonts w:ascii="Tahoma" w:eastAsia="Times New Roman" w:hAnsi="Tahoma" w:cs="Tahoma"/>
                <w:sz w:val="20"/>
                <w:szCs w:val="20"/>
                <w:lang w:eastAsia="hr-HR"/>
              </w:rPr>
            </w:pPr>
            <w:r w:rsidRPr="001752B7">
              <w:rPr>
                <w:rFonts w:ascii="Tahoma" w:eastAsia="Times New Roman" w:hAnsi="Tahoma" w:cs="Tahoma"/>
                <w:sz w:val="20"/>
                <w:szCs w:val="20"/>
                <w:lang w:eastAsia="hr-HR"/>
              </w:rPr>
              <w:t>12</w:t>
            </w:r>
          </w:p>
        </w:tc>
        <w:tc>
          <w:tcPr>
            <w:tcW w:w="521" w:type="dxa"/>
            <w:tcBorders>
              <w:top w:val="nil"/>
              <w:left w:val="nil"/>
              <w:bottom w:val="single" w:sz="4" w:space="0" w:color="auto"/>
              <w:right w:val="single" w:sz="4" w:space="0" w:color="auto"/>
            </w:tcBorders>
            <w:shd w:val="clear" w:color="000000" w:fill="FFFF00"/>
            <w:noWrap/>
            <w:vAlign w:val="center"/>
            <w:hideMark/>
          </w:tcPr>
          <w:p w14:paraId="4EAC5B56" w14:textId="77777777" w:rsidR="001752B7" w:rsidRPr="001752B7" w:rsidRDefault="001752B7" w:rsidP="001752B7">
            <w:pPr>
              <w:spacing w:after="0" w:line="240" w:lineRule="auto"/>
              <w:jc w:val="right"/>
              <w:rPr>
                <w:rFonts w:ascii="Tahoma" w:eastAsia="Times New Roman" w:hAnsi="Tahoma" w:cs="Tahoma"/>
                <w:sz w:val="20"/>
                <w:szCs w:val="20"/>
                <w:lang w:eastAsia="hr-HR"/>
              </w:rPr>
            </w:pPr>
            <w:r w:rsidRPr="001752B7">
              <w:rPr>
                <w:rFonts w:ascii="Tahoma" w:eastAsia="Times New Roman" w:hAnsi="Tahoma" w:cs="Tahoma"/>
                <w:sz w:val="20"/>
                <w:szCs w:val="20"/>
                <w:lang w:eastAsia="hr-HR"/>
              </w:rPr>
              <w:t>3</w:t>
            </w:r>
          </w:p>
        </w:tc>
        <w:tc>
          <w:tcPr>
            <w:tcW w:w="477" w:type="dxa"/>
            <w:tcBorders>
              <w:top w:val="nil"/>
              <w:left w:val="nil"/>
              <w:bottom w:val="single" w:sz="4" w:space="0" w:color="auto"/>
              <w:right w:val="single" w:sz="4" w:space="0" w:color="auto"/>
            </w:tcBorders>
            <w:shd w:val="clear" w:color="000000" w:fill="CCFFFF"/>
            <w:noWrap/>
            <w:vAlign w:val="center"/>
            <w:hideMark/>
          </w:tcPr>
          <w:p w14:paraId="4538C3EA" w14:textId="77777777" w:rsidR="001752B7" w:rsidRPr="001752B7" w:rsidRDefault="001752B7" w:rsidP="001752B7">
            <w:pPr>
              <w:spacing w:after="0" w:line="240" w:lineRule="auto"/>
              <w:jc w:val="right"/>
              <w:rPr>
                <w:rFonts w:ascii="Tahoma" w:eastAsia="Times New Roman" w:hAnsi="Tahoma" w:cs="Tahoma"/>
                <w:sz w:val="20"/>
                <w:szCs w:val="20"/>
                <w:lang w:eastAsia="hr-HR"/>
              </w:rPr>
            </w:pPr>
            <w:r w:rsidRPr="001752B7">
              <w:rPr>
                <w:rFonts w:ascii="Tahoma" w:eastAsia="Times New Roman" w:hAnsi="Tahoma" w:cs="Tahoma"/>
                <w:sz w:val="20"/>
                <w:szCs w:val="20"/>
                <w:lang w:eastAsia="hr-HR"/>
              </w:rPr>
              <w:t>1</w:t>
            </w:r>
          </w:p>
        </w:tc>
        <w:tc>
          <w:tcPr>
            <w:tcW w:w="426" w:type="dxa"/>
            <w:tcBorders>
              <w:top w:val="nil"/>
              <w:left w:val="nil"/>
              <w:bottom w:val="single" w:sz="4" w:space="0" w:color="auto"/>
              <w:right w:val="single" w:sz="4" w:space="0" w:color="auto"/>
            </w:tcBorders>
            <w:shd w:val="clear" w:color="000000" w:fill="CCFFFF"/>
            <w:noWrap/>
            <w:vAlign w:val="center"/>
            <w:hideMark/>
          </w:tcPr>
          <w:p w14:paraId="2DC0C166" w14:textId="77777777" w:rsidR="001752B7" w:rsidRPr="001752B7" w:rsidRDefault="001752B7" w:rsidP="001752B7">
            <w:pPr>
              <w:spacing w:after="0" w:line="240" w:lineRule="auto"/>
              <w:jc w:val="right"/>
              <w:rPr>
                <w:rFonts w:ascii="Tahoma" w:eastAsia="Times New Roman" w:hAnsi="Tahoma" w:cs="Tahoma"/>
                <w:sz w:val="20"/>
                <w:szCs w:val="20"/>
                <w:lang w:eastAsia="hr-HR"/>
              </w:rPr>
            </w:pPr>
            <w:r w:rsidRPr="001752B7">
              <w:rPr>
                <w:rFonts w:ascii="Tahoma" w:eastAsia="Times New Roman" w:hAnsi="Tahoma" w:cs="Tahoma"/>
                <w:sz w:val="20"/>
                <w:szCs w:val="20"/>
                <w:lang w:eastAsia="hr-HR"/>
              </w:rPr>
              <w:t>2</w:t>
            </w:r>
          </w:p>
        </w:tc>
        <w:tc>
          <w:tcPr>
            <w:tcW w:w="698" w:type="dxa"/>
            <w:tcBorders>
              <w:top w:val="nil"/>
              <w:left w:val="nil"/>
              <w:bottom w:val="single" w:sz="4" w:space="0" w:color="auto"/>
              <w:right w:val="single" w:sz="4" w:space="0" w:color="auto"/>
            </w:tcBorders>
            <w:shd w:val="clear" w:color="000000" w:fill="FFFF99"/>
            <w:noWrap/>
            <w:vAlign w:val="center"/>
            <w:hideMark/>
          </w:tcPr>
          <w:p w14:paraId="56C83447" w14:textId="77777777" w:rsidR="001752B7" w:rsidRPr="001752B7" w:rsidRDefault="001752B7" w:rsidP="001752B7">
            <w:pPr>
              <w:spacing w:after="0" w:line="240" w:lineRule="auto"/>
              <w:jc w:val="right"/>
              <w:rPr>
                <w:rFonts w:ascii="Tahoma" w:eastAsia="Times New Roman" w:hAnsi="Tahoma" w:cs="Tahoma"/>
                <w:sz w:val="20"/>
                <w:szCs w:val="20"/>
                <w:lang w:eastAsia="hr-HR"/>
              </w:rPr>
            </w:pPr>
            <w:r w:rsidRPr="001752B7">
              <w:rPr>
                <w:rFonts w:ascii="Tahoma" w:eastAsia="Times New Roman" w:hAnsi="Tahoma" w:cs="Tahoma"/>
                <w:sz w:val="20"/>
                <w:szCs w:val="20"/>
                <w:lang w:eastAsia="hr-HR"/>
              </w:rPr>
              <w:t>1</w:t>
            </w:r>
          </w:p>
        </w:tc>
        <w:tc>
          <w:tcPr>
            <w:tcW w:w="698" w:type="dxa"/>
            <w:tcBorders>
              <w:top w:val="nil"/>
              <w:left w:val="nil"/>
              <w:bottom w:val="single" w:sz="4" w:space="0" w:color="auto"/>
              <w:right w:val="single" w:sz="4" w:space="0" w:color="auto"/>
            </w:tcBorders>
            <w:shd w:val="clear" w:color="000000" w:fill="FFFF99"/>
            <w:noWrap/>
            <w:vAlign w:val="center"/>
            <w:hideMark/>
          </w:tcPr>
          <w:p w14:paraId="598A79E8" w14:textId="77777777" w:rsidR="001752B7" w:rsidRPr="001752B7" w:rsidRDefault="001752B7" w:rsidP="001752B7">
            <w:pPr>
              <w:spacing w:after="0" w:line="240" w:lineRule="auto"/>
              <w:jc w:val="right"/>
              <w:rPr>
                <w:rFonts w:ascii="Tahoma" w:eastAsia="Times New Roman" w:hAnsi="Tahoma" w:cs="Tahoma"/>
                <w:sz w:val="20"/>
                <w:szCs w:val="20"/>
                <w:lang w:eastAsia="hr-HR"/>
              </w:rPr>
            </w:pPr>
            <w:r w:rsidRPr="001752B7">
              <w:rPr>
                <w:rFonts w:ascii="Tahoma" w:eastAsia="Times New Roman" w:hAnsi="Tahoma" w:cs="Tahoma"/>
                <w:sz w:val="20"/>
                <w:szCs w:val="20"/>
                <w:lang w:eastAsia="hr-HR"/>
              </w:rPr>
              <w:t>1</w:t>
            </w:r>
          </w:p>
        </w:tc>
        <w:tc>
          <w:tcPr>
            <w:tcW w:w="698" w:type="dxa"/>
            <w:tcBorders>
              <w:top w:val="nil"/>
              <w:left w:val="nil"/>
              <w:bottom w:val="single" w:sz="4" w:space="0" w:color="auto"/>
              <w:right w:val="single" w:sz="4" w:space="0" w:color="auto"/>
            </w:tcBorders>
            <w:shd w:val="clear" w:color="000000" w:fill="FFFF99"/>
            <w:noWrap/>
            <w:vAlign w:val="center"/>
            <w:hideMark/>
          </w:tcPr>
          <w:p w14:paraId="3073ABA0" w14:textId="77777777" w:rsidR="001752B7" w:rsidRPr="001752B7" w:rsidRDefault="001752B7" w:rsidP="001752B7">
            <w:pPr>
              <w:spacing w:after="0" w:line="240" w:lineRule="auto"/>
              <w:jc w:val="right"/>
              <w:rPr>
                <w:rFonts w:ascii="Tahoma" w:eastAsia="Times New Roman" w:hAnsi="Tahoma" w:cs="Tahoma"/>
                <w:sz w:val="20"/>
                <w:szCs w:val="20"/>
                <w:lang w:eastAsia="hr-HR"/>
              </w:rPr>
            </w:pPr>
            <w:r w:rsidRPr="001752B7">
              <w:rPr>
                <w:rFonts w:ascii="Tahoma" w:eastAsia="Times New Roman" w:hAnsi="Tahoma" w:cs="Tahoma"/>
                <w:sz w:val="20"/>
                <w:szCs w:val="20"/>
                <w:lang w:eastAsia="hr-HR"/>
              </w:rPr>
              <w:t>1</w:t>
            </w:r>
          </w:p>
        </w:tc>
        <w:tc>
          <w:tcPr>
            <w:tcW w:w="698" w:type="dxa"/>
            <w:tcBorders>
              <w:top w:val="nil"/>
              <w:left w:val="nil"/>
              <w:bottom w:val="single" w:sz="4" w:space="0" w:color="auto"/>
              <w:right w:val="single" w:sz="4" w:space="0" w:color="auto"/>
            </w:tcBorders>
            <w:shd w:val="clear" w:color="000000" w:fill="FFFF99"/>
            <w:noWrap/>
            <w:vAlign w:val="center"/>
            <w:hideMark/>
          </w:tcPr>
          <w:p w14:paraId="608BD3A4" w14:textId="77777777" w:rsidR="001752B7" w:rsidRPr="001752B7" w:rsidRDefault="001752B7" w:rsidP="001752B7">
            <w:pPr>
              <w:spacing w:after="0" w:line="240" w:lineRule="auto"/>
              <w:jc w:val="right"/>
              <w:rPr>
                <w:rFonts w:ascii="Tahoma" w:eastAsia="Times New Roman" w:hAnsi="Tahoma" w:cs="Tahoma"/>
                <w:sz w:val="20"/>
                <w:szCs w:val="20"/>
                <w:lang w:eastAsia="hr-HR"/>
              </w:rPr>
            </w:pPr>
            <w:r w:rsidRPr="001752B7">
              <w:rPr>
                <w:rFonts w:ascii="Tahoma" w:eastAsia="Times New Roman" w:hAnsi="Tahoma" w:cs="Tahoma"/>
                <w:sz w:val="20"/>
                <w:szCs w:val="20"/>
                <w:lang w:eastAsia="hr-HR"/>
              </w:rPr>
              <w:t> </w:t>
            </w:r>
          </w:p>
        </w:tc>
        <w:tc>
          <w:tcPr>
            <w:tcW w:w="698" w:type="dxa"/>
            <w:tcBorders>
              <w:top w:val="nil"/>
              <w:left w:val="nil"/>
              <w:bottom w:val="single" w:sz="4" w:space="0" w:color="auto"/>
              <w:right w:val="single" w:sz="4" w:space="0" w:color="auto"/>
            </w:tcBorders>
            <w:shd w:val="clear" w:color="000000" w:fill="FFFF99"/>
            <w:noWrap/>
            <w:vAlign w:val="center"/>
            <w:hideMark/>
          </w:tcPr>
          <w:p w14:paraId="6F433575" w14:textId="77777777" w:rsidR="001752B7" w:rsidRPr="001752B7" w:rsidRDefault="001752B7" w:rsidP="001752B7">
            <w:pPr>
              <w:spacing w:after="0" w:line="240" w:lineRule="auto"/>
              <w:jc w:val="right"/>
              <w:rPr>
                <w:rFonts w:ascii="Tahoma" w:eastAsia="Times New Roman" w:hAnsi="Tahoma" w:cs="Tahoma"/>
                <w:sz w:val="20"/>
                <w:szCs w:val="20"/>
                <w:lang w:eastAsia="hr-HR"/>
              </w:rPr>
            </w:pPr>
            <w:r w:rsidRPr="001752B7">
              <w:rPr>
                <w:rFonts w:ascii="Tahoma" w:eastAsia="Times New Roman" w:hAnsi="Tahoma" w:cs="Tahoma"/>
                <w:sz w:val="20"/>
                <w:szCs w:val="20"/>
                <w:lang w:eastAsia="hr-HR"/>
              </w:rPr>
              <w:t> </w:t>
            </w:r>
          </w:p>
        </w:tc>
        <w:tc>
          <w:tcPr>
            <w:tcW w:w="698" w:type="dxa"/>
            <w:tcBorders>
              <w:top w:val="nil"/>
              <w:left w:val="nil"/>
              <w:bottom w:val="single" w:sz="4" w:space="0" w:color="auto"/>
              <w:right w:val="single" w:sz="4" w:space="0" w:color="auto"/>
            </w:tcBorders>
            <w:shd w:val="clear" w:color="000000" w:fill="FFFF99"/>
            <w:noWrap/>
            <w:vAlign w:val="center"/>
            <w:hideMark/>
          </w:tcPr>
          <w:p w14:paraId="0066C584" w14:textId="77777777" w:rsidR="001752B7" w:rsidRPr="001752B7" w:rsidRDefault="001752B7" w:rsidP="001752B7">
            <w:pPr>
              <w:spacing w:after="0" w:line="240" w:lineRule="auto"/>
              <w:jc w:val="right"/>
              <w:rPr>
                <w:rFonts w:ascii="Tahoma" w:eastAsia="Times New Roman" w:hAnsi="Tahoma" w:cs="Tahoma"/>
                <w:sz w:val="20"/>
                <w:szCs w:val="20"/>
                <w:lang w:eastAsia="hr-HR"/>
              </w:rPr>
            </w:pPr>
            <w:r w:rsidRPr="001752B7">
              <w:rPr>
                <w:rFonts w:ascii="Tahoma" w:eastAsia="Times New Roman" w:hAnsi="Tahoma" w:cs="Tahoma"/>
                <w:sz w:val="20"/>
                <w:szCs w:val="20"/>
                <w:lang w:eastAsia="hr-HR"/>
              </w:rPr>
              <w:t>1</w:t>
            </w:r>
          </w:p>
        </w:tc>
        <w:tc>
          <w:tcPr>
            <w:tcW w:w="469" w:type="dxa"/>
            <w:tcBorders>
              <w:top w:val="nil"/>
              <w:left w:val="nil"/>
              <w:bottom w:val="single" w:sz="4" w:space="0" w:color="auto"/>
              <w:right w:val="single" w:sz="4" w:space="0" w:color="auto"/>
            </w:tcBorders>
            <w:shd w:val="clear" w:color="000000" w:fill="FF9900"/>
            <w:noWrap/>
            <w:vAlign w:val="center"/>
            <w:hideMark/>
          </w:tcPr>
          <w:p w14:paraId="01B3FDBF" w14:textId="77777777" w:rsidR="001752B7" w:rsidRPr="001752B7" w:rsidRDefault="001752B7" w:rsidP="001752B7">
            <w:pPr>
              <w:spacing w:after="0" w:line="240" w:lineRule="auto"/>
              <w:jc w:val="right"/>
              <w:rPr>
                <w:rFonts w:ascii="Tahoma" w:eastAsia="Times New Roman" w:hAnsi="Tahoma" w:cs="Tahoma"/>
                <w:sz w:val="20"/>
                <w:szCs w:val="20"/>
                <w:lang w:eastAsia="hr-HR"/>
              </w:rPr>
            </w:pPr>
            <w:r w:rsidRPr="001752B7">
              <w:rPr>
                <w:rFonts w:ascii="Tahoma" w:eastAsia="Times New Roman" w:hAnsi="Tahoma" w:cs="Tahoma"/>
                <w:sz w:val="20"/>
                <w:szCs w:val="20"/>
                <w:lang w:eastAsia="hr-HR"/>
              </w:rPr>
              <w:t> </w:t>
            </w:r>
          </w:p>
        </w:tc>
        <w:tc>
          <w:tcPr>
            <w:tcW w:w="419" w:type="dxa"/>
            <w:tcBorders>
              <w:top w:val="nil"/>
              <w:left w:val="nil"/>
              <w:bottom w:val="single" w:sz="4" w:space="0" w:color="auto"/>
              <w:right w:val="single" w:sz="4" w:space="0" w:color="auto"/>
            </w:tcBorders>
            <w:shd w:val="clear" w:color="000000" w:fill="FF9900"/>
            <w:noWrap/>
            <w:vAlign w:val="center"/>
            <w:hideMark/>
          </w:tcPr>
          <w:p w14:paraId="711A42FB" w14:textId="77777777" w:rsidR="001752B7" w:rsidRPr="001752B7" w:rsidRDefault="001752B7" w:rsidP="001752B7">
            <w:pPr>
              <w:spacing w:after="0" w:line="240" w:lineRule="auto"/>
              <w:jc w:val="right"/>
              <w:rPr>
                <w:rFonts w:ascii="Tahoma" w:eastAsia="Times New Roman" w:hAnsi="Tahoma" w:cs="Tahoma"/>
                <w:sz w:val="20"/>
                <w:szCs w:val="20"/>
                <w:lang w:eastAsia="hr-HR"/>
              </w:rPr>
            </w:pPr>
            <w:r w:rsidRPr="001752B7">
              <w:rPr>
                <w:rFonts w:ascii="Tahoma" w:eastAsia="Times New Roman" w:hAnsi="Tahoma" w:cs="Tahoma"/>
                <w:sz w:val="20"/>
                <w:szCs w:val="20"/>
                <w:lang w:eastAsia="hr-HR"/>
              </w:rPr>
              <w:t>4</w:t>
            </w:r>
          </w:p>
        </w:tc>
        <w:tc>
          <w:tcPr>
            <w:tcW w:w="521" w:type="dxa"/>
            <w:tcBorders>
              <w:top w:val="nil"/>
              <w:left w:val="nil"/>
              <w:bottom w:val="single" w:sz="4" w:space="0" w:color="auto"/>
              <w:right w:val="single" w:sz="4" w:space="0" w:color="auto"/>
            </w:tcBorders>
            <w:shd w:val="clear" w:color="000000" w:fill="FF9900"/>
            <w:noWrap/>
            <w:vAlign w:val="center"/>
            <w:hideMark/>
          </w:tcPr>
          <w:p w14:paraId="1788810C" w14:textId="77777777" w:rsidR="001752B7" w:rsidRPr="001752B7" w:rsidRDefault="001752B7" w:rsidP="001752B7">
            <w:pPr>
              <w:spacing w:after="0" w:line="240" w:lineRule="auto"/>
              <w:jc w:val="right"/>
              <w:rPr>
                <w:rFonts w:ascii="Tahoma" w:eastAsia="Times New Roman" w:hAnsi="Tahoma" w:cs="Tahoma"/>
                <w:sz w:val="20"/>
                <w:szCs w:val="20"/>
                <w:lang w:eastAsia="hr-HR"/>
              </w:rPr>
            </w:pPr>
            <w:r w:rsidRPr="001752B7">
              <w:rPr>
                <w:rFonts w:ascii="Tahoma" w:eastAsia="Times New Roman" w:hAnsi="Tahoma" w:cs="Tahoma"/>
                <w:sz w:val="20"/>
                <w:szCs w:val="20"/>
                <w:lang w:eastAsia="hr-HR"/>
              </w:rPr>
              <w:t> </w:t>
            </w:r>
          </w:p>
        </w:tc>
        <w:tc>
          <w:tcPr>
            <w:tcW w:w="476" w:type="dxa"/>
            <w:tcBorders>
              <w:top w:val="nil"/>
              <w:left w:val="nil"/>
              <w:bottom w:val="single" w:sz="4" w:space="0" w:color="auto"/>
              <w:right w:val="single" w:sz="4" w:space="0" w:color="auto"/>
            </w:tcBorders>
            <w:shd w:val="clear" w:color="000000" w:fill="FFFF00"/>
            <w:vAlign w:val="center"/>
            <w:hideMark/>
          </w:tcPr>
          <w:p w14:paraId="6ACB764F" w14:textId="77777777" w:rsidR="001752B7" w:rsidRPr="001752B7" w:rsidRDefault="001752B7" w:rsidP="001752B7">
            <w:pPr>
              <w:spacing w:after="0" w:line="240" w:lineRule="auto"/>
              <w:jc w:val="right"/>
              <w:rPr>
                <w:rFonts w:ascii="Tahoma" w:eastAsia="Times New Roman" w:hAnsi="Tahoma" w:cs="Tahoma"/>
                <w:sz w:val="20"/>
                <w:szCs w:val="20"/>
                <w:lang w:eastAsia="hr-HR"/>
              </w:rPr>
            </w:pPr>
            <w:r w:rsidRPr="001752B7">
              <w:rPr>
                <w:rFonts w:ascii="Tahoma" w:eastAsia="Times New Roman" w:hAnsi="Tahoma" w:cs="Tahoma"/>
                <w:sz w:val="20"/>
                <w:szCs w:val="20"/>
                <w:lang w:eastAsia="hr-HR"/>
              </w:rPr>
              <w:t>4</w:t>
            </w:r>
          </w:p>
        </w:tc>
        <w:tc>
          <w:tcPr>
            <w:tcW w:w="698" w:type="dxa"/>
            <w:tcBorders>
              <w:top w:val="nil"/>
              <w:left w:val="nil"/>
              <w:bottom w:val="single" w:sz="4" w:space="0" w:color="auto"/>
              <w:right w:val="single" w:sz="4" w:space="0" w:color="auto"/>
            </w:tcBorders>
            <w:shd w:val="clear" w:color="000000" w:fill="FF9900"/>
            <w:vAlign w:val="center"/>
            <w:hideMark/>
          </w:tcPr>
          <w:p w14:paraId="1A86A372" w14:textId="77777777" w:rsidR="001752B7" w:rsidRPr="001752B7" w:rsidRDefault="001752B7" w:rsidP="001752B7">
            <w:pPr>
              <w:spacing w:after="0" w:line="240" w:lineRule="auto"/>
              <w:jc w:val="right"/>
              <w:rPr>
                <w:rFonts w:ascii="Tahoma" w:eastAsia="Times New Roman" w:hAnsi="Tahoma" w:cs="Tahoma"/>
                <w:sz w:val="20"/>
                <w:szCs w:val="20"/>
                <w:lang w:eastAsia="hr-HR"/>
              </w:rPr>
            </w:pPr>
            <w:r w:rsidRPr="001752B7">
              <w:rPr>
                <w:rFonts w:ascii="Tahoma" w:eastAsia="Times New Roman" w:hAnsi="Tahoma" w:cs="Tahoma"/>
                <w:sz w:val="20"/>
                <w:szCs w:val="20"/>
                <w:lang w:eastAsia="hr-HR"/>
              </w:rPr>
              <w:t>11</w:t>
            </w:r>
          </w:p>
        </w:tc>
        <w:tc>
          <w:tcPr>
            <w:tcW w:w="643" w:type="dxa"/>
            <w:tcBorders>
              <w:top w:val="nil"/>
              <w:left w:val="nil"/>
              <w:bottom w:val="single" w:sz="4" w:space="0" w:color="auto"/>
              <w:right w:val="single" w:sz="4" w:space="0" w:color="auto"/>
            </w:tcBorders>
            <w:shd w:val="clear" w:color="000000" w:fill="FF9900"/>
            <w:noWrap/>
            <w:vAlign w:val="center"/>
            <w:hideMark/>
          </w:tcPr>
          <w:p w14:paraId="3A3911E0" w14:textId="77777777" w:rsidR="001752B7" w:rsidRPr="001752B7" w:rsidRDefault="001752B7" w:rsidP="001752B7">
            <w:pPr>
              <w:spacing w:after="0" w:line="240" w:lineRule="auto"/>
              <w:jc w:val="right"/>
              <w:rPr>
                <w:rFonts w:ascii="Tahoma" w:eastAsia="Times New Roman" w:hAnsi="Tahoma" w:cs="Tahoma"/>
                <w:sz w:val="20"/>
                <w:szCs w:val="20"/>
                <w:lang w:eastAsia="hr-HR"/>
              </w:rPr>
            </w:pPr>
            <w:r w:rsidRPr="001752B7">
              <w:rPr>
                <w:rFonts w:ascii="Tahoma" w:eastAsia="Times New Roman" w:hAnsi="Tahoma" w:cs="Tahoma"/>
                <w:sz w:val="20"/>
                <w:szCs w:val="20"/>
                <w:lang w:eastAsia="hr-HR"/>
              </w:rPr>
              <w:t> </w:t>
            </w:r>
          </w:p>
        </w:tc>
        <w:tc>
          <w:tcPr>
            <w:tcW w:w="605" w:type="dxa"/>
            <w:tcBorders>
              <w:top w:val="nil"/>
              <w:left w:val="nil"/>
              <w:bottom w:val="single" w:sz="4" w:space="0" w:color="auto"/>
              <w:right w:val="single" w:sz="4" w:space="0" w:color="auto"/>
            </w:tcBorders>
            <w:shd w:val="clear" w:color="000000" w:fill="FF9900"/>
            <w:noWrap/>
            <w:vAlign w:val="center"/>
            <w:hideMark/>
          </w:tcPr>
          <w:p w14:paraId="3A6F8076" w14:textId="77777777" w:rsidR="001752B7" w:rsidRPr="001752B7" w:rsidRDefault="001752B7" w:rsidP="001752B7">
            <w:pPr>
              <w:spacing w:after="0" w:line="240" w:lineRule="auto"/>
              <w:jc w:val="right"/>
              <w:rPr>
                <w:rFonts w:ascii="Tahoma" w:eastAsia="Times New Roman" w:hAnsi="Tahoma" w:cs="Tahoma"/>
                <w:sz w:val="20"/>
                <w:szCs w:val="20"/>
                <w:lang w:eastAsia="hr-HR"/>
              </w:rPr>
            </w:pPr>
            <w:r w:rsidRPr="001752B7">
              <w:rPr>
                <w:rFonts w:ascii="Tahoma" w:eastAsia="Times New Roman" w:hAnsi="Tahoma" w:cs="Tahoma"/>
                <w:sz w:val="20"/>
                <w:szCs w:val="20"/>
                <w:lang w:eastAsia="hr-HR"/>
              </w:rPr>
              <w:t> </w:t>
            </w:r>
          </w:p>
        </w:tc>
        <w:tc>
          <w:tcPr>
            <w:tcW w:w="698" w:type="dxa"/>
            <w:tcBorders>
              <w:top w:val="nil"/>
              <w:left w:val="nil"/>
              <w:bottom w:val="single" w:sz="4" w:space="0" w:color="auto"/>
              <w:right w:val="single" w:sz="4" w:space="0" w:color="auto"/>
            </w:tcBorders>
            <w:shd w:val="clear" w:color="000000" w:fill="FF9900"/>
            <w:noWrap/>
            <w:vAlign w:val="center"/>
            <w:hideMark/>
          </w:tcPr>
          <w:p w14:paraId="62A010A6" w14:textId="77777777" w:rsidR="001752B7" w:rsidRPr="001752B7" w:rsidRDefault="001752B7" w:rsidP="001752B7">
            <w:pPr>
              <w:spacing w:after="0" w:line="240" w:lineRule="auto"/>
              <w:jc w:val="right"/>
              <w:rPr>
                <w:rFonts w:ascii="Tahoma" w:eastAsia="Times New Roman" w:hAnsi="Tahoma" w:cs="Tahoma"/>
                <w:sz w:val="20"/>
                <w:szCs w:val="20"/>
                <w:lang w:eastAsia="hr-HR"/>
              </w:rPr>
            </w:pPr>
            <w:r w:rsidRPr="001752B7">
              <w:rPr>
                <w:rFonts w:ascii="Tahoma" w:eastAsia="Times New Roman" w:hAnsi="Tahoma" w:cs="Tahoma"/>
                <w:sz w:val="20"/>
                <w:szCs w:val="20"/>
                <w:lang w:eastAsia="hr-HR"/>
              </w:rPr>
              <w:t> </w:t>
            </w:r>
          </w:p>
        </w:tc>
        <w:tc>
          <w:tcPr>
            <w:tcW w:w="464" w:type="dxa"/>
            <w:tcBorders>
              <w:top w:val="nil"/>
              <w:left w:val="nil"/>
              <w:bottom w:val="single" w:sz="4" w:space="0" w:color="auto"/>
              <w:right w:val="single" w:sz="4" w:space="0" w:color="auto"/>
            </w:tcBorders>
            <w:shd w:val="clear" w:color="000000" w:fill="CCFFFF"/>
            <w:noWrap/>
            <w:vAlign w:val="center"/>
            <w:hideMark/>
          </w:tcPr>
          <w:p w14:paraId="31AB8BB8" w14:textId="77777777" w:rsidR="001752B7" w:rsidRPr="001752B7" w:rsidRDefault="001752B7" w:rsidP="001752B7">
            <w:pPr>
              <w:spacing w:after="0" w:line="240" w:lineRule="auto"/>
              <w:jc w:val="right"/>
              <w:rPr>
                <w:rFonts w:ascii="Tahoma" w:eastAsia="Times New Roman" w:hAnsi="Tahoma" w:cs="Tahoma"/>
                <w:sz w:val="20"/>
                <w:szCs w:val="20"/>
                <w:lang w:eastAsia="hr-HR"/>
              </w:rPr>
            </w:pPr>
            <w:r w:rsidRPr="001752B7">
              <w:rPr>
                <w:rFonts w:ascii="Tahoma" w:eastAsia="Times New Roman" w:hAnsi="Tahoma" w:cs="Tahoma"/>
                <w:sz w:val="20"/>
                <w:szCs w:val="20"/>
                <w:lang w:eastAsia="hr-HR"/>
              </w:rPr>
              <w:t> </w:t>
            </w:r>
          </w:p>
        </w:tc>
        <w:tc>
          <w:tcPr>
            <w:tcW w:w="425" w:type="dxa"/>
            <w:tcBorders>
              <w:top w:val="nil"/>
              <w:left w:val="nil"/>
              <w:bottom w:val="single" w:sz="4" w:space="0" w:color="auto"/>
              <w:right w:val="single" w:sz="4" w:space="0" w:color="auto"/>
            </w:tcBorders>
            <w:shd w:val="clear" w:color="000000" w:fill="CCFFFF"/>
            <w:noWrap/>
            <w:vAlign w:val="center"/>
            <w:hideMark/>
          </w:tcPr>
          <w:p w14:paraId="1D1BDC66" w14:textId="77777777" w:rsidR="001752B7" w:rsidRPr="001752B7" w:rsidRDefault="001752B7" w:rsidP="001752B7">
            <w:pPr>
              <w:spacing w:after="0" w:line="240" w:lineRule="auto"/>
              <w:jc w:val="right"/>
              <w:rPr>
                <w:rFonts w:ascii="Tahoma" w:eastAsia="Times New Roman" w:hAnsi="Tahoma" w:cs="Tahoma"/>
                <w:sz w:val="20"/>
                <w:szCs w:val="20"/>
                <w:lang w:eastAsia="hr-HR"/>
              </w:rPr>
            </w:pPr>
            <w:r w:rsidRPr="001752B7">
              <w:rPr>
                <w:rFonts w:ascii="Tahoma" w:eastAsia="Times New Roman" w:hAnsi="Tahoma" w:cs="Tahoma"/>
                <w:sz w:val="20"/>
                <w:szCs w:val="20"/>
                <w:lang w:eastAsia="hr-HR"/>
              </w:rPr>
              <w:t> </w:t>
            </w:r>
          </w:p>
        </w:tc>
        <w:tc>
          <w:tcPr>
            <w:tcW w:w="426" w:type="dxa"/>
            <w:tcBorders>
              <w:top w:val="nil"/>
              <w:left w:val="nil"/>
              <w:bottom w:val="single" w:sz="4" w:space="0" w:color="auto"/>
              <w:right w:val="single" w:sz="4" w:space="0" w:color="auto"/>
            </w:tcBorders>
            <w:shd w:val="clear" w:color="000000" w:fill="CCFFFF"/>
            <w:noWrap/>
            <w:vAlign w:val="center"/>
            <w:hideMark/>
          </w:tcPr>
          <w:p w14:paraId="50E304A1" w14:textId="77777777" w:rsidR="001752B7" w:rsidRPr="001752B7" w:rsidRDefault="001752B7" w:rsidP="001752B7">
            <w:pPr>
              <w:spacing w:after="0" w:line="240" w:lineRule="auto"/>
              <w:jc w:val="right"/>
              <w:rPr>
                <w:rFonts w:ascii="Tahoma" w:eastAsia="Times New Roman" w:hAnsi="Tahoma" w:cs="Tahoma"/>
                <w:sz w:val="20"/>
                <w:szCs w:val="20"/>
                <w:lang w:eastAsia="hr-HR"/>
              </w:rPr>
            </w:pPr>
            <w:r w:rsidRPr="001752B7">
              <w:rPr>
                <w:rFonts w:ascii="Tahoma" w:eastAsia="Times New Roman" w:hAnsi="Tahoma" w:cs="Tahoma"/>
                <w:sz w:val="20"/>
                <w:szCs w:val="20"/>
                <w:lang w:eastAsia="hr-HR"/>
              </w:rPr>
              <w:t> </w:t>
            </w:r>
          </w:p>
        </w:tc>
        <w:tc>
          <w:tcPr>
            <w:tcW w:w="487" w:type="dxa"/>
            <w:tcBorders>
              <w:top w:val="nil"/>
              <w:left w:val="nil"/>
              <w:bottom w:val="single" w:sz="4" w:space="0" w:color="auto"/>
              <w:right w:val="nil"/>
            </w:tcBorders>
            <w:shd w:val="clear" w:color="000000" w:fill="33CCCC"/>
            <w:noWrap/>
            <w:vAlign w:val="center"/>
            <w:hideMark/>
          </w:tcPr>
          <w:p w14:paraId="30356A95" w14:textId="77777777" w:rsidR="001752B7" w:rsidRPr="001752B7" w:rsidRDefault="001752B7" w:rsidP="001752B7">
            <w:pPr>
              <w:spacing w:after="0" w:line="240" w:lineRule="auto"/>
              <w:jc w:val="right"/>
              <w:rPr>
                <w:rFonts w:ascii="Tahoma" w:eastAsia="Times New Roman" w:hAnsi="Tahoma" w:cs="Tahoma"/>
                <w:sz w:val="20"/>
                <w:szCs w:val="20"/>
                <w:lang w:eastAsia="hr-HR"/>
              </w:rPr>
            </w:pPr>
            <w:r w:rsidRPr="001752B7">
              <w:rPr>
                <w:rFonts w:ascii="Tahoma" w:eastAsia="Times New Roman" w:hAnsi="Tahoma" w:cs="Tahoma"/>
                <w:sz w:val="20"/>
                <w:szCs w:val="20"/>
                <w:lang w:eastAsia="hr-HR"/>
              </w:rPr>
              <w:t>1</w:t>
            </w:r>
          </w:p>
        </w:tc>
        <w:tc>
          <w:tcPr>
            <w:tcW w:w="425" w:type="dxa"/>
            <w:tcBorders>
              <w:top w:val="nil"/>
              <w:left w:val="single" w:sz="4" w:space="0" w:color="auto"/>
              <w:bottom w:val="single" w:sz="4" w:space="0" w:color="auto"/>
              <w:right w:val="single" w:sz="8" w:space="0" w:color="auto"/>
            </w:tcBorders>
            <w:shd w:val="clear" w:color="000000" w:fill="33CCCC"/>
            <w:noWrap/>
            <w:vAlign w:val="center"/>
            <w:hideMark/>
          </w:tcPr>
          <w:p w14:paraId="0C46A4A8" w14:textId="77777777" w:rsidR="001752B7" w:rsidRPr="001752B7" w:rsidRDefault="001752B7" w:rsidP="001752B7">
            <w:pPr>
              <w:spacing w:after="0" w:line="240" w:lineRule="auto"/>
              <w:jc w:val="right"/>
              <w:rPr>
                <w:rFonts w:ascii="Tahoma" w:eastAsia="Times New Roman" w:hAnsi="Tahoma" w:cs="Tahoma"/>
                <w:sz w:val="20"/>
                <w:szCs w:val="20"/>
                <w:lang w:eastAsia="hr-HR"/>
              </w:rPr>
            </w:pPr>
            <w:r w:rsidRPr="001752B7">
              <w:rPr>
                <w:rFonts w:ascii="Tahoma" w:eastAsia="Times New Roman" w:hAnsi="Tahoma" w:cs="Tahoma"/>
                <w:sz w:val="20"/>
                <w:szCs w:val="20"/>
                <w:lang w:eastAsia="hr-HR"/>
              </w:rPr>
              <w:t>3</w:t>
            </w:r>
          </w:p>
        </w:tc>
        <w:tc>
          <w:tcPr>
            <w:tcW w:w="236" w:type="dxa"/>
            <w:vAlign w:val="center"/>
            <w:hideMark/>
          </w:tcPr>
          <w:p w14:paraId="0D27824C" w14:textId="77777777" w:rsidR="001752B7" w:rsidRPr="001752B7" w:rsidRDefault="001752B7" w:rsidP="001752B7">
            <w:pPr>
              <w:spacing w:after="0" w:line="240" w:lineRule="auto"/>
              <w:rPr>
                <w:rFonts w:ascii="Times New Roman" w:eastAsia="Times New Roman" w:hAnsi="Times New Roman" w:cs="Times New Roman"/>
                <w:sz w:val="20"/>
                <w:szCs w:val="20"/>
                <w:lang w:eastAsia="hr-HR"/>
              </w:rPr>
            </w:pPr>
          </w:p>
        </w:tc>
      </w:tr>
      <w:tr w:rsidR="001752B7" w:rsidRPr="001752B7" w14:paraId="176BC975" w14:textId="77777777" w:rsidTr="000271A1">
        <w:trPr>
          <w:gridAfter w:val="1"/>
          <w:wAfter w:w="31" w:type="dxa"/>
          <w:trHeight w:val="300"/>
        </w:trPr>
        <w:tc>
          <w:tcPr>
            <w:tcW w:w="1408" w:type="dxa"/>
            <w:tcBorders>
              <w:top w:val="single" w:sz="4" w:space="0" w:color="auto"/>
              <w:left w:val="single" w:sz="8" w:space="0" w:color="auto"/>
              <w:bottom w:val="single" w:sz="4" w:space="0" w:color="auto"/>
              <w:right w:val="single" w:sz="4" w:space="0" w:color="auto"/>
            </w:tcBorders>
            <w:shd w:val="clear" w:color="000000" w:fill="CCFFCC"/>
            <w:vAlign w:val="center"/>
            <w:hideMark/>
          </w:tcPr>
          <w:p w14:paraId="046D1CD5" w14:textId="77777777" w:rsidR="001752B7" w:rsidRPr="001752B7" w:rsidRDefault="001752B7" w:rsidP="001752B7">
            <w:pPr>
              <w:spacing w:after="0" w:line="240" w:lineRule="auto"/>
              <w:rPr>
                <w:rFonts w:ascii="Tahoma" w:eastAsia="Times New Roman" w:hAnsi="Tahoma" w:cs="Tahoma"/>
                <w:sz w:val="20"/>
                <w:szCs w:val="20"/>
                <w:lang w:eastAsia="hr-HR"/>
              </w:rPr>
            </w:pPr>
            <w:r w:rsidRPr="001752B7">
              <w:rPr>
                <w:rFonts w:ascii="Tahoma" w:eastAsia="Times New Roman" w:hAnsi="Tahoma" w:cs="Tahoma"/>
                <w:sz w:val="20"/>
                <w:szCs w:val="20"/>
                <w:lang w:eastAsia="hr-HR"/>
              </w:rPr>
              <w:t>Zdravstveno stanje</w:t>
            </w:r>
          </w:p>
        </w:tc>
        <w:tc>
          <w:tcPr>
            <w:tcW w:w="673" w:type="dxa"/>
            <w:tcBorders>
              <w:top w:val="nil"/>
              <w:left w:val="nil"/>
              <w:bottom w:val="single" w:sz="4" w:space="0" w:color="auto"/>
              <w:right w:val="single" w:sz="4" w:space="0" w:color="auto"/>
            </w:tcBorders>
            <w:shd w:val="clear" w:color="000000" w:fill="FFCC99"/>
            <w:noWrap/>
            <w:vAlign w:val="center"/>
            <w:hideMark/>
          </w:tcPr>
          <w:p w14:paraId="68F7B772" w14:textId="77777777" w:rsidR="001752B7" w:rsidRPr="001752B7" w:rsidRDefault="001752B7" w:rsidP="001752B7">
            <w:pPr>
              <w:spacing w:after="0" w:line="240" w:lineRule="auto"/>
              <w:jc w:val="right"/>
              <w:rPr>
                <w:rFonts w:ascii="Tahoma" w:eastAsia="Times New Roman" w:hAnsi="Tahoma" w:cs="Tahoma"/>
                <w:sz w:val="20"/>
                <w:szCs w:val="20"/>
                <w:lang w:eastAsia="hr-HR"/>
              </w:rPr>
            </w:pPr>
            <w:r w:rsidRPr="001752B7">
              <w:rPr>
                <w:rFonts w:ascii="Tahoma" w:eastAsia="Times New Roman" w:hAnsi="Tahoma" w:cs="Tahoma"/>
                <w:sz w:val="20"/>
                <w:szCs w:val="20"/>
                <w:lang w:eastAsia="hr-HR"/>
              </w:rPr>
              <w:t>6</w:t>
            </w:r>
          </w:p>
        </w:tc>
        <w:tc>
          <w:tcPr>
            <w:tcW w:w="521" w:type="dxa"/>
            <w:tcBorders>
              <w:top w:val="nil"/>
              <w:left w:val="nil"/>
              <w:bottom w:val="single" w:sz="4" w:space="0" w:color="auto"/>
              <w:right w:val="single" w:sz="4" w:space="0" w:color="auto"/>
            </w:tcBorders>
            <w:shd w:val="clear" w:color="000000" w:fill="FFFF00"/>
            <w:noWrap/>
            <w:vAlign w:val="center"/>
            <w:hideMark/>
          </w:tcPr>
          <w:p w14:paraId="024586BB" w14:textId="77777777" w:rsidR="001752B7" w:rsidRPr="001752B7" w:rsidRDefault="001752B7" w:rsidP="001752B7">
            <w:pPr>
              <w:spacing w:after="0" w:line="240" w:lineRule="auto"/>
              <w:jc w:val="right"/>
              <w:rPr>
                <w:rFonts w:ascii="Tahoma" w:eastAsia="Times New Roman" w:hAnsi="Tahoma" w:cs="Tahoma"/>
                <w:sz w:val="20"/>
                <w:szCs w:val="20"/>
                <w:lang w:eastAsia="hr-HR"/>
              </w:rPr>
            </w:pPr>
            <w:r w:rsidRPr="001752B7">
              <w:rPr>
                <w:rFonts w:ascii="Tahoma" w:eastAsia="Times New Roman" w:hAnsi="Tahoma" w:cs="Tahoma"/>
                <w:sz w:val="20"/>
                <w:szCs w:val="20"/>
                <w:lang w:eastAsia="hr-HR"/>
              </w:rPr>
              <w:t>5</w:t>
            </w:r>
          </w:p>
        </w:tc>
        <w:tc>
          <w:tcPr>
            <w:tcW w:w="477" w:type="dxa"/>
            <w:tcBorders>
              <w:top w:val="nil"/>
              <w:left w:val="nil"/>
              <w:bottom w:val="single" w:sz="4" w:space="0" w:color="auto"/>
              <w:right w:val="single" w:sz="4" w:space="0" w:color="auto"/>
            </w:tcBorders>
            <w:shd w:val="clear" w:color="000000" w:fill="CCFFFF"/>
            <w:noWrap/>
            <w:vAlign w:val="center"/>
            <w:hideMark/>
          </w:tcPr>
          <w:p w14:paraId="404E6024" w14:textId="77777777" w:rsidR="001752B7" w:rsidRPr="001752B7" w:rsidRDefault="001752B7" w:rsidP="001752B7">
            <w:pPr>
              <w:spacing w:after="0" w:line="240" w:lineRule="auto"/>
              <w:jc w:val="right"/>
              <w:rPr>
                <w:rFonts w:ascii="Tahoma" w:eastAsia="Times New Roman" w:hAnsi="Tahoma" w:cs="Tahoma"/>
                <w:sz w:val="20"/>
                <w:szCs w:val="20"/>
                <w:lang w:eastAsia="hr-HR"/>
              </w:rPr>
            </w:pPr>
            <w:r w:rsidRPr="001752B7">
              <w:rPr>
                <w:rFonts w:ascii="Tahoma" w:eastAsia="Times New Roman" w:hAnsi="Tahoma" w:cs="Tahoma"/>
                <w:sz w:val="20"/>
                <w:szCs w:val="20"/>
                <w:lang w:eastAsia="hr-HR"/>
              </w:rPr>
              <w:t>3</w:t>
            </w:r>
          </w:p>
        </w:tc>
        <w:tc>
          <w:tcPr>
            <w:tcW w:w="426" w:type="dxa"/>
            <w:tcBorders>
              <w:top w:val="nil"/>
              <w:left w:val="nil"/>
              <w:bottom w:val="single" w:sz="4" w:space="0" w:color="auto"/>
              <w:right w:val="single" w:sz="4" w:space="0" w:color="auto"/>
            </w:tcBorders>
            <w:shd w:val="clear" w:color="000000" w:fill="CCFFFF"/>
            <w:noWrap/>
            <w:vAlign w:val="center"/>
            <w:hideMark/>
          </w:tcPr>
          <w:p w14:paraId="19CB255E" w14:textId="77777777" w:rsidR="001752B7" w:rsidRPr="001752B7" w:rsidRDefault="001752B7" w:rsidP="001752B7">
            <w:pPr>
              <w:spacing w:after="0" w:line="240" w:lineRule="auto"/>
              <w:jc w:val="right"/>
              <w:rPr>
                <w:rFonts w:ascii="Tahoma" w:eastAsia="Times New Roman" w:hAnsi="Tahoma" w:cs="Tahoma"/>
                <w:sz w:val="20"/>
                <w:szCs w:val="20"/>
                <w:lang w:eastAsia="hr-HR"/>
              </w:rPr>
            </w:pPr>
            <w:r w:rsidRPr="001752B7">
              <w:rPr>
                <w:rFonts w:ascii="Tahoma" w:eastAsia="Times New Roman" w:hAnsi="Tahoma" w:cs="Tahoma"/>
                <w:sz w:val="20"/>
                <w:szCs w:val="20"/>
                <w:lang w:eastAsia="hr-HR"/>
              </w:rPr>
              <w:t>2</w:t>
            </w:r>
          </w:p>
        </w:tc>
        <w:tc>
          <w:tcPr>
            <w:tcW w:w="698" w:type="dxa"/>
            <w:tcBorders>
              <w:top w:val="nil"/>
              <w:left w:val="nil"/>
              <w:bottom w:val="single" w:sz="4" w:space="0" w:color="auto"/>
              <w:right w:val="single" w:sz="4" w:space="0" w:color="auto"/>
            </w:tcBorders>
            <w:shd w:val="clear" w:color="000000" w:fill="FFFF99"/>
            <w:noWrap/>
            <w:vAlign w:val="center"/>
            <w:hideMark/>
          </w:tcPr>
          <w:p w14:paraId="21653AED" w14:textId="77777777" w:rsidR="001752B7" w:rsidRPr="001752B7" w:rsidRDefault="001752B7" w:rsidP="001752B7">
            <w:pPr>
              <w:spacing w:after="0" w:line="240" w:lineRule="auto"/>
              <w:jc w:val="right"/>
              <w:rPr>
                <w:rFonts w:ascii="Tahoma" w:eastAsia="Times New Roman" w:hAnsi="Tahoma" w:cs="Tahoma"/>
                <w:sz w:val="20"/>
                <w:szCs w:val="20"/>
                <w:lang w:eastAsia="hr-HR"/>
              </w:rPr>
            </w:pPr>
            <w:r w:rsidRPr="001752B7">
              <w:rPr>
                <w:rFonts w:ascii="Tahoma" w:eastAsia="Times New Roman" w:hAnsi="Tahoma" w:cs="Tahoma"/>
                <w:sz w:val="20"/>
                <w:szCs w:val="20"/>
                <w:lang w:eastAsia="hr-HR"/>
              </w:rPr>
              <w:t>3</w:t>
            </w:r>
          </w:p>
        </w:tc>
        <w:tc>
          <w:tcPr>
            <w:tcW w:w="698" w:type="dxa"/>
            <w:tcBorders>
              <w:top w:val="nil"/>
              <w:left w:val="nil"/>
              <w:bottom w:val="single" w:sz="4" w:space="0" w:color="auto"/>
              <w:right w:val="single" w:sz="4" w:space="0" w:color="auto"/>
            </w:tcBorders>
            <w:shd w:val="clear" w:color="000000" w:fill="FFFF99"/>
            <w:noWrap/>
            <w:vAlign w:val="center"/>
            <w:hideMark/>
          </w:tcPr>
          <w:p w14:paraId="43925D48" w14:textId="77777777" w:rsidR="001752B7" w:rsidRPr="001752B7" w:rsidRDefault="001752B7" w:rsidP="001752B7">
            <w:pPr>
              <w:spacing w:after="0" w:line="240" w:lineRule="auto"/>
              <w:jc w:val="right"/>
              <w:rPr>
                <w:rFonts w:ascii="Tahoma" w:eastAsia="Times New Roman" w:hAnsi="Tahoma" w:cs="Tahoma"/>
                <w:sz w:val="20"/>
                <w:szCs w:val="20"/>
                <w:lang w:eastAsia="hr-HR"/>
              </w:rPr>
            </w:pPr>
            <w:r w:rsidRPr="001752B7">
              <w:rPr>
                <w:rFonts w:ascii="Tahoma" w:eastAsia="Times New Roman" w:hAnsi="Tahoma" w:cs="Tahoma"/>
                <w:sz w:val="20"/>
                <w:szCs w:val="20"/>
                <w:lang w:eastAsia="hr-HR"/>
              </w:rPr>
              <w:t>1</w:t>
            </w:r>
          </w:p>
        </w:tc>
        <w:tc>
          <w:tcPr>
            <w:tcW w:w="698" w:type="dxa"/>
            <w:tcBorders>
              <w:top w:val="nil"/>
              <w:left w:val="nil"/>
              <w:bottom w:val="single" w:sz="4" w:space="0" w:color="auto"/>
              <w:right w:val="single" w:sz="4" w:space="0" w:color="auto"/>
            </w:tcBorders>
            <w:shd w:val="clear" w:color="000000" w:fill="FFFF99"/>
            <w:noWrap/>
            <w:vAlign w:val="center"/>
            <w:hideMark/>
          </w:tcPr>
          <w:p w14:paraId="61115C0F" w14:textId="77777777" w:rsidR="001752B7" w:rsidRPr="001752B7" w:rsidRDefault="001752B7" w:rsidP="001752B7">
            <w:pPr>
              <w:spacing w:after="0" w:line="240" w:lineRule="auto"/>
              <w:jc w:val="right"/>
              <w:rPr>
                <w:rFonts w:ascii="Tahoma" w:eastAsia="Times New Roman" w:hAnsi="Tahoma" w:cs="Tahoma"/>
                <w:sz w:val="20"/>
                <w:szCs w:val="20"/>
                <w:lang w:eastAsia="hr-HR"/>
              </w:rPr>
            </w:pPr>
            <w:r w:rsidRPr="001752B7">
              <w:rPr>
                <w:rFonts w:ascii="Tahoma" w:eastAsia="Times New Roman" w:hAnsi="Tahoma" w:cs="Tahoma"/>
                <w:sz w:val="20"/>
                <w:szCs w:val="20"/>
                <w:lang w:eastAsia="hr-HR"/>
              </w:rPr>
              <w:t>2</w:t>
            </w:r>
          </w:p>
        </w:tc>
        <w:tc>
          <w:tcPr>
            <w:tcW w:w="698" w:type="dxa"/>
            <w:tcBorders>
              <w:top w:val="nil"/>
              <w:left w:val="nil"/>
              <w:bottom w:val="single" w:sz="4" w:space="0" w:color="auto"/>
              <w:right w:val="single" w:sz="4" w:space="0" w:color="auto"/>
            </w:tcBorders>
            <w:shd w:val="clear" w:color="000000" w:fill="FFFF99"/>
            <w:noWrap/>
            <w:vAlign w:val="center"/>
            <w:hideMark/>
          </w:tcPr>
          <w:p w14:paraId="7205A189" w14:textId="77777777" w:rsidR="001752B7" w:rsidRPr="001752B7" w:rsidRDefault="001752B7" w:rsidP="001752B7">
            <w:pPr>
              <w:spacing w:after="0" w:line="240" w:lineRule="auto"/>
              <w:jc w:val="right"/>
              <w:rPr>
                <w:rFonts w:ascii="Tahoma" w:eastAsia="Times New Roman" w:hAnsi="Tahoma" w:cs="Tahoma"/>
                <w:sz w:val="20"/>
                <w:szCs w:val="20"/>
                <w:lang w:eastAsia="hr-HR"/>
              </w:rPr>
            </w:pPr>
            <w:r w:rsidRPr="001752B7">
              <w:rPr>
                <w:rFonts w:ascii="Tahoma" w:eastAsia="Times New Roman" w:hAnsi="Tahoma" w:cs="Tahoma"/>
                <w:sz w:val="20"/>
                <w:szCs w:val="20"/>
                <w:lang w:eastAsia="hr-HR"/>
              </w:rPr>
              <w:t> </w:t>
            </w:r>
          </w:p>
        </w:tc>
        <w:tc>
          <w:tcPr>
            <w:tcW w:w="698" w:type="dxa"/>
            <w:tcBorders>
              <w:top w:val="nil"/>
              <w:left w:val="nil"/>
              <w:bottom w:val="single" w:sz="4" w:space="0" w:color="auto"/>
              <w:right w:val="single" w:sz="4" w:space="0" w:color="auto"/>
            </w:tcBorders>
            <w:shd w:val="clear" w:color="000000" w:fill="FFFF99"/>
            <w:noWrap/>
            <w:vAlign w:val="center"/>
            <w:hideMark/>
          </w:tcPr>
          <w:p w14:paraId="5D12E8CC" w14:textId="77777777" w:rsidR="001752B7" w:rsidRPr="001752B7" w:rsidRDefault="001752B7" w:rsidP="001752B7">
            <w:pPr>
              <w:spacing w:after="0" w:line="240" w:lineRule="auto"/>
              <w:jc w:val="right"/>
              <w:rPr>
                <w:rFonts w:ascii="Tahoma" w:eastAsia="Times New Roman" w:hAnsi="Tahoma" w:cs="Tahoma"/>
                <w:sz w:val="20"/>
                <w:szCs w:val="20"/>
                <w:lang w:eastAsia="hr-HR"/>
              </w:rPr>
            </w:pPr>
            <w:r w:rsidRPr="001752B7">
              <w:rPr>
                <w:rFonts w:ascii="Tahoma" w:eastAsia="Times New Roman" w:hAnsi="Tahoma" w:cs="Tahoma"/>
                <w:sz w:val="20"/>
                <w:szCs w:val="20"/>
                <w:lang w:eastAsia="hr-HR"/>
              </w:rPr>
              <w:t> </w:t>
            </w:r>
          </w:p>
        </w:tc>
        <w:tc>
          <w:tcPr>
            <w:tcW w:w="698" w:type="dxa"/>
            <w:tcBorders>
              <w:top w:val="nil"/>
              <w:left w:val="nil"/>
              <w:bottom w:val="single" w:sz="4" w:space="0" w:color="auto"/>
              <w:right w:val="single" w:sz="4" w:space="0" w:color="auto"/>
            </w:tcBorders>
            <w:shd w:val="clear" w:color="000000" w:fill="FFFF99"/>
            <w:noWrap/>
            <w:vAlign w:val="center"/>
            <w:hideMark/>
          </w:tcPr>
          <w:p w14:paraId="3979C6D5" w14:textId="77777777" w:rsidR="001752B7" w:rsidRPr="001752B7" w:rsidRDefault="001752B7" w:rsidP="001752B7">
            <w:pPr>
              <w:spacing w:after="0" w:line="240" w:lineRule="auto"/>
              <w:jc w:val="right"/>
              <w:rPr>
                <w:rFonts w:ascii="Tahoma" w:eastAsia="Times New Roman" w:hAnsi="Tahoma" w:cs="Tahoma"/>
                <w:sz w:val="20"/>
                <w:szCs w:val="20"/>
                <w:lang w:eastAsia="hr-HR"/>
              </w:rPr>
            </w:pPr>
            <w:r w:rsidRPr="001752B7">
              <w:rPr>
                <w:rFonts w:ascii="Tahoma" w:eastAsia="Times New Roman" w:hAnsi="Tahoma" w:cs="Tahoma"/>
                <w:sz w:val="20"/>
                <w:szCs w:val="20"/>
                <w:lang w:eastAsia="hr-HR"/>
              </w:rPr>
              <w:t> </w:t>
            </w:r>
          </w:p>
        </w:tc>
        <w:tc>
          <w:tcPr>
            <w:tcW w:w="469" w:type="dxa"/>
            <w:tcBorders>
              <w:top w:val="nil"/>
              <w:left w:val="nil"/>
              <w:bottom w:val="single" w:sz="4" w:space="0" w:color="auto"/>
              <w:right w:val="single" w:sz="4" w:space="0" w:color="auto"/>
            </w:tcBorders>
            <w:shd w:val="clear" w:color="000000" w:fill="FF9900"/>
            <w:noWrap/>
            <w:vAlign w:val="center"/>
            <w:hideMark/>
          </w:tcPr>
          <w:p w14:paraId="0FCDA25D" w14:textId="77777777" w:rsidR="001752B7" w:rsidRPr="001752B7" w:rsidRDefault="001752B7" w:rsidP="001752B7">
            <w:pPr>
              <w:spacing w:after="0" w:line="240" w:lineRule="auto"/>
              <w:jc w:val="right"/>
              <w:rPr>
                <w:rFonts w:ascii="Tahoma" w:eastAsia="Times New Roman" w:hAnsi="Tahoma" w:cs="Tahoma"/>
                <w:sz w:val="20"/>
                <w:szCs w:val="20"/>
                <w:lang w:eastAsia="hr-HR"/>
              </w:rPr>
            </w:pPr>
            <w:r w:rsidRPr="001752B7">
              <w:rPr>
                <w:rFonts w:ascii="Tahoma" w:eastAsia="Times New Roman" w:hAnsi="Tahoma" w:cs="Tahoma"/>
                <w:sz w:val="20"/>
                <w:szCs w:val="20"/>
                <w:lang w:eastAsia="hr-HR"/>
              </w:rPr>
              <w:t> </w:t>
            </w:r>
          </w:p>
        </w:tc>
        <w:tc>
          <w:tcPr>
            <w:tcW w:w="419" w:type="dxa"/>
            <w:tcBorders>
              <w:top w:val="nil"/>
              <w:left w:val="nil"/>
              <w:bottom w:val="single" w:sz="4" w:space="0" w:color="auto"/>
              <w:right w:val="single" w:sz="4" w:space="0" w:color="auto"/>
            </w:tcBorders>
            <w:shd w:val="clear" w:color="000000" w:fill="FF9900"/>
            <w:noWrap/>
            <w:vAlign w:val="center"/>
            <w:hideMark/>
          </w:tcPr>
          <w:p w14:paraId="5EDA7A1D" w14:textId="77777777" w:rsidR="001752B7" w:rsidRPr="001752B7" w:rsidRDefault="001752B7" w:rsidP="001752B7">
            <w:pPr>
              <w:spacing w:after="0" w:line="240" w:lineRule="auto"/>
              <w:jc w:val="right"/>
              <w:rPr>
                <w:rFonts w:ascii="Tahoma" w:eastAsia="Times New Roman" w:hAnsi="Tahoma" w:cs="Tahoma"/>
                <w:sz w:val="20"/>
                <w:szCs w:val="20"/>
                <w:lang w:eastAsia="hr-HR"/>
              </w:rPr>
            </w:pPr>
            <w:r w:rsidRPr="001752B7">
              <w:rPr>
                <w:rFonts w:ascii="Tahoma" w:eastAsia="Times New Roman" w:hAnsi="Tahoma" w:cs="Tahoma"/>
                <w:sz w:val="20"/>
                <w:szCs w:val="20"/>
                <w:lang w:eastAsia="hr-HR"/>
              </w:rPr>
              <w:t>3</w:t>
            </w:r>
          </w:p>
        </w:tc>
        <w:tc>
          <w:tcPr>
            <w:tcW w:w="521" w:type="dxa"/>
            <w:tcBorders>
              <w:top w:val="nil"/>
              <w:left w:val="nil"/>
              <w:bottom w:val="single" w:sz="4" w:space="0" w:color="auto"/>
              <w:right w:val="single" w:sz="4" w:space="0" w:color="auto"/>
            </w:tcBorders>
            <w:shd w:val="clear" w:color="000000" w:fill="FF9900"/>
            <w:noWrap/>
            <w:vAlign w:val="center"/>
            <w:hideMark/>
          </w:tcPr>
          <w:p w14:paraId="7E8B8A71" w14:textId="77777777" w:rsidR="001752B7" w:rsidRPr="001752B7" w:rsidRDefault="001752B7" w:rsidP="001752B7">
            <w:pPr>
              <w:spacing w:after="0" w:line="240" w:lineRule="auto"/>
              <w:jc w:val="right"/>
              <w:rPr>
                <w:rFonts w:ascii="Tahoma" w:eastAsia="Times New Roman" w:hAnsi="Tahoma" w:cs="Tahoma"/>
                <w:sz w:val="20"/>
                <w:szCs w:val="20"/>
                <w:lang w:eastAsia="hr-HR"/>
              </w:rPr>
            </w:pPr>
            <w:r w:rsidRPr="001752B7">
              <w:rPr>
                <w:rFonts w:ascii="Tahoma" w:eastAsia="Times New Roman" w:hAnsi="Tahoma" w:cs="Tahoma"/>
                <w:sz w:val="20"/>
                <w:szCs w:val="20"/>
                <w:lang w:eastAsia="hr-HR"/>
              </w:rPr>
              <w:t> </w:t>
            </w:r>
          </w:p>
        </w:tc>
        <w:tc>
          <w:tcPr>
            <w:tcW w:w="476" w:type="dxa"/>
            <w:tcBorders>
              <w:top w:val="nil"/>
              <w:left w:val="nil"/>
              <w:bottom w:val="single" w:sz="4" w:space="0" w:color="auto"/>
              <w:right w:val="single" w:sz="4" w:space="0" w:color="auto"/>
            </w:tcBorders>
            <w:shd w:val="clear" w:color="000000" w:fill="FFFF00"/>
            <w:vAlign w:val="center"/>
            <w:hideMark/>
          </w:tcPr>
          <w:p w14:paraId="4A4AFE12" w14:textId="77777777" w:rsidR="001752B7" w:rsidRPr="001752B7" w:rsidRDefault="001752B7" w:rsidP="001752B7">
            <w:pPr>
              <w:spacing w:after="0" w:line="240" w:lineRule="auto"/>
              <w:jc w:val="right"/>
              <w:rPr>
                <w:rFonts w:ascii="Tahoma" w:eastAsia="Times New Roman" w:hAnsi="Tahoma" w:cs="Tahoma"/>
                <w:sz w:val="20"/>
                <w:szCs w:val="20"/>
                <w:lang w:eastAsia="hr-HR"/>
              </w:rPr>
            </w:pPr>
            <w:r w:rsidRPr="001752B7">
              <w:rPr>
                <w:rFonts w:ascii="Tahoma" w:eastAsia="Times New Roman" w:hAnsi="Tahoma" w:cs="Tahoma"/>
                <w:sz w:val="20"/>
                <w:szCs w:val="20"/>
                <w:lang w:eastAsia="hr-HR"/>
              </w:rPr>
              <w:t>3</w:t>
            </w:r>
          </w:p>
        </w:tc>
        <w:tc>
          <w:tcPr>
            <w:tcW w:w="698" w:type="dxa"/>
            <w:tcBorders>
              <w:top w:val="nil"/>
              <w:left w:val="nil"/>
              <w:bottom w:val="single" w:sz="4" w:space="0" w:color="auto"/>
              <w:right w:val="single" w:sz="4" w:space="0" w:color="auto"/>
            </w:tcBorders>
            <w:shd w:val="clear" w:color="000000" w:fill="FF9900"/>
            <w:vAlign w:val="center"/>
            <w:hideMark/>
          </w:tcPr>
          <w:p w14:paraId="3A01DD78" w14:textId="77777777" w:rsidR="001752B7" w:rsidRPr="001752B7" w:rsidRDefault="001752B7" w:rsidP="001752B7">
            <w:pPr>
              <w:spacing w:after="0" w:line="240" w:lineRule="auto"/>
              <w:jc w:val="right"/>
              <w:rPr>
                <w:rFonts w:ascii="Tahoma" w:eastAsia="Times New Roman" w:hAnsi="Tahoma" w:cs="Tahoma"/>
                <w:sz w:val="20"/>
                <w:szCs w:val="20"/>
                <w:lang w:eastAsia="hr-HR"/>
              </w:rPr>
            </w:pPr>
            <w:r w:rsidRPr="001752B7">
              <w:rPr>
                <w:rFonts w:ascii="Tahoma" w:eastAsia="Times New Roman" w:hAnsi="Tahoma" w:cs="Tahoma"/>
                <w:sz w:val="20"/>
                <w:szCs w:val="20"/>
                <w:lang w:eastAsia="hr-HR"/>
              </w:rPr>
              <w:t>8</w:t>
            </w:r>
          </w:p>
        </w:tc>
        <w:tc>
          <w:tcPr>
            <w:tcW w:w="643" w:type="dxa"/>
            <w:tcBorders>
              <w:top w:val="nil"/>
              <w:left w:val="nil"/>
              <w:bottom w:val="single" w:sz="4" w:space="0" w:color="auto"/>
              <w:right w:val="single" w:sz="4" w:space="0" w:color="auto"/>
            </w:tcBorders>
            <w:shd w:val="clear" w:color="000000" w:fill="FF9900"/>
            <w:noWrap/>
            <w:vAlign w:val="center"/>
            <w:hideMark/>
          </w:tcPr>
          <w:p w14:paraId="749A11C4" w14:textId="77777777" w:rsidR="001752B7" w:rsidRPr="001752B7" w:rsidRDefault="001752B7" w:rsidP="001752B7">
            <w:pPr>
              <w:spacing w:after="0" w:line="240" w:lineRule="auto"/>
              <w:jc w:val="right"/>
              <w:rPr>
                <w:rFonts w:ascii="Tahoma" w:eastAsia="Times New Roman" w:hAnsi="Tahoma" w:cs="Tahoma"/>
                <w:sz w:val="20"/>
                <w:szCs w:val="20"/>
                <w:lang w:eastAsia="hr-HR"/>
              </w:rPr>
            </w:pPr>
            <w:r w:rsidRPr="001752B7">
              <w:rPr>
                <w:rFonts w:ascii="Tahoma" w:eastAsia="Times New Roman" w:hAnsi="Tahoma" w:cs="Tahoma"/>
                <w:sz w:val="20"/>
                <w:szCs w:val="20"/>
                <w:lang w:eastAsia="hr-HR"/>
              </w:rPr>
              <w:t> </w:t>
            </w:r>
          </w:p>
        </w:tc>
        <w:tc>
          <w:tcPr>
            <w:tcW w:w="605" w:type="dxa"/>
            <w:tcBorders>
              <w:top w:val="nil"/>
              <w:left w:val="nil"/>
              <w:bottom w:val="single" w:sz="4" w:space="0" w:color="auto"/>
              <w:right w:val="single" w:sz="4" w:space="0" w:color="auto"/>
            </w:tcBorders>
            <w:shd w:val="clear" w:color="000000" w:fill="FF9900"/>
            <w:noWrap/>
            <w:vAlign w:val="center"/>
            <w:hideMark/>
          </w:tcPr>
          <w:p w14:paraId="55A88FDA" w14:textId="77777777" w:rsidR="001752B7" w:rsidRPr="001752B7" w:rsidRDefault="001752B7" w:rsidP="001752B7">
            <w:pPr>
              <w:spacing w:after="0" w:line="240" w:lineRule="auto"/>
              <w:jc w:val="right"/>
              <w:rPr>
                <w:rFonts w:ascii="Tahoma" w:eastAsia="Times New Roman" w:hAnsi="Tahoma" w:cs="Tahoma"/>
                <w:sz w:val="20"/>
                <w:szCs w:val="20"/>
                <w:lang w:eastAsia="hr-HR"/>
              </w:rPr>
            </w:pPr>
            <w:r w:rsidRPr="001752B7">
              <w:rPr>
                <w:rFonts w:ascii="Tahoma" w:eastAsia="Times New Roman" w:hAnsi="Tahoma" w:cs="Tahoma"/>
                <w:sz w:val="20"/>
                <w:szCs w:val="20"/>
                <w:lang w:eastAsia="hr-HR"/>
              </w:rPr>
              <w:t> </w:t>
            </w:r>
          </w:p>
        </w:tc>
        <w:tc>
          <w:tcPr>
            <w:tcW w:w="698" w:type="dxa"/>
            <w:tcBorders>
              <w:top w:val="nil"/>
              <w:left w:val="nil"/>
              <w:bottom w:val="single" w:sz="4" w:space="0" w:color="auto"/>
              <w:right w:val="single" w:sz="4" w:space="0" w:color="auto"/>
            </w:tcBorders>
            <w:shd w:val="clear" w:color="000000" w:fill="FF9900"/>
            <w:noWrap/>
            <w:vAlign w:val="center"/>
            <w:hideMark/>
          </w:tcPr>
          <w:p w14:paraId="3EA37D94" w14:textId="77777777" w:rsidR="001752B7" w:rsidRPr="001752B7" w:rsidRDefault="001752B7" w:rsidP="001752B7">
            <w:pPr>
              <w:spacing w:after="0" w:line="240" w:lineRule="auto"/>
              <w:jc w:val="right"/>
              <w:rPr>
                <w:rFonts w:ascii="Tahoma" w:eastAsia="Times New Roman" w:hAnsi="Tahoma" w:cs="Tahoma"/>
                <w:sz w:val="20"/>
                <w:szCs w:val="20"/>
                <w:lang w:eastAsia="hr-HR"/>
              </w:rPr>
            </w:pPr>
            <w:r w:rsidRPr="001752B7">
              <w:rPr>
                <w:rFonts w:ascii="Tahoma" w:eastAsia="Times New Roman" w:hAnsi="Tahoma" w:cs="Tahoma"/>
                <w:sz w:val="20"/>
                <w:szCs w:val="20"/>
                <w:lang w:eastAsia="hr-HR"/>
              </w:rPr>
              <w:t> </w:t>
            </w:r>
          </w:p>
        </w:tc>
        <w:tc>
          <w:tcPr>
            <w:tcW w:w="464" w:type="dxa"/>
            <w:tcBorders>
              <w:top w:val="nil"/>
              <w:left w:val="nil"/>
              <w:bottom w:val="single" w:sz="4" w:space="0" w:color="auto"/>
              <w:right w:val="single" w:sz="4" w:space="0" w:color="auto"/>
            </w:tcBorders>
            <w:shd w:val="clear" w:color="000000" w:fill="CCFFFF"/>
            <w:noWrap/>
            <w:vAlign w:val="center"/>
            <w:hideMark/>
          </w:tcPr>
          <w:p w14:paraId="21157960" w14:textId="77777777" w:rsidR="001752B7" w:rsidRPr="001752B7" w:rsidRDefault="001752B7" w:rsidP="001752B7">
            <w:pPr>
              <w:spacing w:after="0" w:line="240" w:lineRule="auto"/>
              <w:jc w:val="right"/>
              <w:rPr>
                <w:rFonts w:ascii="Tahoma" w:eastAsia="Times New Roman" w:hAnsi="Tahoma" w:cs="Tahoma"/>
                <w:sz w:val="20"/>
                <w:szCs w:val="20"/>
                <w:lang w:eastAsia="hr-HR"/>
              </w:rPr>
            </w:pPr>
            <w:r w:rsidRPr="001752B7">
              <w:rPr>
                <w:rFonts w:ascii="Tahoma" w:eastAsia="Times New Roman" w:hAnsi="Tahoma" w:cs="Tahoma"/>
                <w:sz w:val="20"/>
                <w:szCs w:val="20"/>
                <w:lang w:eastAsia="hr-HR"/>
              </w:rPr>
              <w:t> </w:t>
            </w:r>
          </w:p>
        </w:tc>
        <w:tc>
          <w:tcPr>
            <w:tcW w:w="425" w:type="dxa"/>
            <w:tcBorders>
              <w:top w:val="nil"/>
              <w:left w:val="nil"/>
              <w:bottom w:val="single" w:sz="4" w:space="0" w:color="auto"/>
              <w:right w:val="single" w:sz="4" w:space="0" w:color="auto"/>
            </w:tcBorders>
            <w:shd w:val="clear" w:color="000000" w:fill="CCFFFF"/>
            <w:noWrap/>
            <w:vAlign w:val="center"/>
            <w:hideMark/>
          </w:tcPr>
          <w:p w14:paraId="4FDE0CD9" w14:textId="77777777" w:rsidR="001752B7" w:rsidRPr="001752B7" w:rsidRDefault="001752B7" w:rsidP="001752B7">
            <w:pPr>
              <w:spacing w:after="0" w:line="240" w:lineRule="auto"/>
              <w:jc w:val="right"/>
              <w:rPr>
                <w:rFonts w:ascii="Tahoma" w:eastAsia="Times New Roman" w:hAnsi="Tahoma" w:cs="Tahoma"/>
                <w:sz w:val="20"/>
                <w:szCs w:val="20"/>
                <w:lang w:eastAsia="hr-HR"/>
              </w:rPr>
            </w:pPr>
            <w:r w:rsidRPr="001752B7">
              <w:rPr>
                <w:rFonts w:ascii="Tahoma" w:eastAsia="Times New Roman" w:hAnsi="Tahoma" w:cs="Tahoma"/>
                <w:sz w:val="20"/>
                <w:szCs w:val="20"/>
                <w:lang w:eastAsia="hr-HR"/>
              </w:rPr>
              <w:t> </w:t>
            </w:r>
          </w:p>
        </w:tc>
        <w:tc>
          <w:tcPr>
            <w:tcW w:w="426" w:type="dxa"/>
            <w:tcBorders>
              <w:top w:val="nil"/>
              <w:left w:val="nil"/>
              <w:bottom w:val="single" w:sz="4" w:space="0" w:color="auto"/>
              <w:right w:val="single" w:sz="4" w:space="0" w:color="auto"/>
            </w:tcBorders>
            <w:shd w:val="clear" w:color="000000" w:fill="CCFFFF"/>
            <w:noWrap/>
            <w:vAlign w:val="center"/>
            <w:hideMark/>
          </w:tcPr>
          <w:p w14:paraId="149FCAC9" w14:textId="77777777" w:rsidR="001752B7" w:rsidRPr="001752B7" w:rsidRDefault="001752B7" w:rsidP="001752B7">
            <w:pPr>
              <w:spacing w:after="0" w:line="240" w:lineRule="auto"/>
              <w:jc w:val="right"/>
              <w:rPr>
                <w:rFonts w:ascii="Tahoma" w:eastAsia="Times New Roman" w:hAnsi="Tahoma" w:cs="Tahoma"/>
                <w:sz w:val="20"/>
                <w:szCs w:val="20"/>
                <w:lang w:eastAsia="hr-HR"/>
              </w:rPr>
            </w:pPr>
            <w:r w:rsidRPr="001752B7">
              <w:rPr>
                <w:rFonts w:ascii="Tahoma" w:eastAsia="Times New Roman" w:hAnsi="Tahoma" w:cs="Tahoma"/>
                <w:sz w:val="20"/>
                <w:szCs w:val="20"/>
                <w:lang w:eastAsia="hr-HR"/>
              </w:rPr>
              <w:t> </w:t>
            </w:r>
          </w:p>
        </w:tc>
        <w:tc>
          <w:tcPr>
            <w:tcW w:w="487" w:type="dxa"/>
            <w:tcBorders>
              <w:top w:val="nil"/>
              <w:left w:val="nil"/>
              <w:bottom w:val="single" w:sz="4" w:space="0" w:color="auto"/>
              <w:right w:val="nil"/>
            </w:tcBorders>
            <w:shd w:val="clear" w:color="000000" w:fill="33CCCC"/>
            <w:noWrap/>
            <w:vAlign w:val="center"/>
            <w:hideMark/>
          </w:tcPr>
          <w:p w14:paraId="51332E5A" w14:textId="77777777" w:rsidR="001752B7" w:rsidRPr="001752B7" w:rsidRDefault="001752B7" w:rsidP="001752B7">
            <w:pPr>
              <w:spacing w:after="0" w:line="240" w:lineRule="auto"/>
              <w:jc w:val="right"/>
              <w:rPr>
                <w:rFonts w:ascii="Tahoma" w:eastAsia="Times New Roman" w:hAnsi="Tahoma" w:cs="Tahoma"/>
                <w:sz w:val="20"/>
                <w:szCs w:val="20"/>
                <w:lang w:eastAsia="hr-HR"/>
              </w:rPr>
            </w:pPr>
            <w:r w:rsidRPr="001752B7">
              <w:rPr>
                <w:rFonts w:ascii="Tahoma" w:eastAsia="Times New Roman" w:hAnsi="Tahoma" w:cs="Tahoma"/>
                <w:sz w:val="20"/>
                <w:szCs w:val="20"/>
                <w:lang w:eastAsia="hr-HR"/>
              </w:rPr>
              <w:t> </w:t>
            </w:r>
          </w:p>
        </w:tc>
        <w:tc>
          <w:tcPr>
            <w:tcW w:w="425" w:type="dxa"/>
            <w:tcBorders>
              <w:top w:val="nil"/>
              <w:left w:val="single" w:sz="4" w:space="0" w:color="auto"/>
              <w:bottom w:val="single" w:sz="4" w:space="0" w:color="auto"/>
              <w:right w:val="single" w:sz="8" w:space="0" w:color="auto"/>
            </w:tcBorders>
            <w:shd w:val="clear" w:color="000000" w:fill="33CCCC"/>
            <w:noWrap/>
            <w:vAlign w:val="center"/>
            <w:hideMark/>
          </w:tcPr>
          <w:p w14:paraId="3386086A" w14:textId="77777777" w:rsidR="001752B7" w:rsidRPr="001752B7" w:rsidRDefault="001752B7" w:rsidP="001752B7">
            <w:pPr>
              <w:spacing w:after="0" w:line="240" w:lineRule="auto"/>
              <w:jc w:val="right"/>
              <w:rPr>
                <w:rFonts w:ascii="Tahoma" w:eastAsia="Times New Roman" w:hAnsi="Tahoma" w:cs="Tahoma"/>
                <w:sz w:val="20"/>
                <w:szCs w:val="20"/>
                <w:lang w:eastAsia="hr-HR"/>
              </w:rPr>
            </w:pPr>
            <w:r w:rsidRPr="001752B7">
              <w:rPr>
                <w:rFonts w:ascii="Tahoma" w:eastAsia="Times New Roman" w:hAnsi="Tahoma" w:cs="Tahoma"/>
                <w:sz w:val="20"/>
                <w:szCs w:val="20"/>
                <w:lang w:eastAsia="hr-HR"/>
              </w:rPr>
              <w:t>3</w:t>
            </w:r>
          </w:p>
        </w:tc>
        <w:tc>
          <w:tcPr>
            <w:tcW w:w="236" w:type="dxa"/>
            <w:vAlign w:val="center"/>
            <w:hideMark/>
          </w:tcPr>
          <w:p w14:paraId="37FD9C8E" w14:textId="77777777" w:rsidR="001752B7" w:rsidRPr="001752B7" w:rsidRDefault="001752B7" w:rsidP="001752B7">
            <w:pPr>
              <w:spacing w:after="0" w:line="240" w:lineRule="auto"/>
              <w:rPr>
                <w:rFonts w:ascii="Times New Roman" w:eastAsia="Times New Roman" w:hAnsi="Times New Roman" w:cs="Times New Roman"/>
                <w:sz w:val="20"/>
                <w:szCs w:val="20"/>
                <w:lang w:eastAsia="hr-HR"/>
              </w:rPr>
            </w:pPr>
          </w:p>
        </w:tc>
      </w:tr>
      <w:tr w:rsidR="001752B7" w:rsidRPr="001752B7" w14:paraId="70C3E627" w14:textId="77777777" w:rsidTr="000271A1">
        <w:trPr>
          <w:gridAfter w:val="1"/>
          <w:wAfter w:w="31" w:type="dxa"/>
          <w:trHeight w:val="300"/>
        </w:trPr>
        <w:tc>
          <w:tcPr>
            <w:tcW w:w="1408" w:type="dxa"/>
            <w:tcBorders>
              <w:top w:val="single" w:sz="4" w:space="0" w:color="auto"/>
              <w:left w:val="single" w:sz="8" w:space="0" w:color="auto"/>
              <w:bottom w:val="single" w:sz="4" w:space="0" w:color="auto"/>
              <w:right w:val="single" w:sz="4" w:space="0" w:color="auto"/>
            </w:tcBorders>
            <w:shd w:val="clear" w:color="000000" w:fill="CCFFCC"/>
            <w:vAlign w:val="center"/>
            <w:hideMark/>
          </w:tcPr>
          <w:p w14:paraId="1D1C4720" w14:textId="77777777" w:rsidR="001752B7" w:rsidRPr="001752B7" w:rsidRDefault="001752B7" w:rsidP="001752B7">
            <w:pPr>
              <w:spacing w:after="0" w:line="240" w:lineRule="auto"/>
              <w:rPr>
                <w:rFonts w:ascii="Tahoma" w:eastAsia="Times New Roman" w:hAnsi="Tahoma" w:cs="Tahoma"/>
                <w:sz w:val="20"/>
                <w:szCs w:val="20"/>
                <w:lang w:eastAsia="hr-HR"/>
              </w:rPr>
            </w:pPr>
            <w:r w:rsidRPr="001752B7">
              <w:rPr>
                <w:rFonts w:ascii="Tahoma" w:eastAsia="Times New Roman" w:hAnsi="Tahoma" w:cs="Tahoma"/>
                <w:sz w:val="20"/>
                <w:szCs w:val="20"/>
                <w:lang w:eastAsia="hr-HR"/>
              </w:rPr>
              <w:t>Invaliditet</w:t>
            </w:r>
          </w:p>
        </w:tc>
        <w:tc>
          <w:tcPr>
            <w:tcW w:w="673" w:type="dxa"/>
            <w:tcBorders>
              <w:top w:val="nil"/>
              <w:left w:val="nil"/>
              <w:bottom w:val="single" w:sz="4" w:space="0" w:color="auto"/>
              <w:right w:val="single" w:sz="4" w:space="0" w:color="auto"/>
            </w:tcBorders>
            <w:shd w:val="clear" w:color="000000" w:fill="FFCC99"/>
            <w:noWrap/>
            <w:vAlign w:val="center"/>
            <w:hideMark/>
          </w:tcPr>
          <w:p w14:paraId="60E16440" w14:textId="77777777" w:rsidR="001752B7" w:rsidRPr="001752B7" w:rsidRDefault="001752B7" w:rsidP="001752B7">
            <w:pPr>
              <w:spacing w:after="0" w:line="240" w:lineRule="auto"/>
              <w:jc w:val="right"/>
              <w:rPr>
                <w:rFonts w:ascii="Tahoma" w:eastAsia="Times New Roman" w:hAnsi="Tahoma" w:cs="Tahoma"/>
                <w:sz w:val="20"/>
                <w:szCs w:val="20"/>
                <w:lang w:eastAsia="hr-HR"/>
              </w:rPr>
            </w:pPr>
            <w:r w:rsidRPr="001752B7">
              <w:rPr>
                <w:rFonts w:ascii="Tahoma" w:eastAsia="Times New Roman" w:hAnsi="Tahoma" w:cs="Tahoma"/>
                <w:sz w:val="20"/>
                <w:szCs w:val="20"/>
                <w:lang w:eastAsia="hr-HR"/>
              </w:rPr>
              <w:t>3</w:t>
            </w:r>
          </w:p>
        </w:tc>
        <w:tc>
          <w:tcPr>
            <w:tcW w:w="521" w:type="dxa"/>
            <w:tcBorders>
              <w:top w:val="nil"/>
              <w:left w:val="nil"/>
              <w:bottom w:val="single" w:sz="4" w:space="0" w:color="auto"/>
              <w:right w:val="single" w:sz="4" w:space="0" w:color="auto"/>
            </w:tcBorders>
            <w:shd w:val="clear" w:color="000000" w:fill="FFFF00"/>
            <w:noWrap/>
            <w:vAlign w:val="center"/>
            <w:hideMark/>
          </w:tcPr>
          <w:p w14:paraId="41CFCBFC" w14:textId="77777777" w:rsidR="001752B7" w:rsidRPr="001752B7" w:rsidRDefault="001752B7" w:rsidP="001752B7">
            <w:pPr>
              <w:spacing w:after="0" w:line="240" w:lineRule="auto"/>
              <w:jc w:val="right"/>
              <w:rPr>
                <w:rFonts w:ascii="Tahoma" w:eastAsia="Times New Roman" w:hAnsi="Tahoma" w:cs="Tahoma"/>
                <w:sz w:val="20"/>
                <w:szCs w:val="20"/>
                <w:lang w:eastAsia="hr-HR"/>
              </w:rPr>
            </w:pPr>
            <w:r w:rsidRPr="001752B7">
              <w:rPr>
                <w:rFonts w:ascii="Tahoma" w:eastAsia="Times New Roman" w:hAnsi="Tahoma" w:cs="Tahoma"/>
                <w:sz w:val="20"/>
                <w:szCs w:val="20"/>
                <w:lang w:eastAsia="hr-HR"/>
              </w:rPr>
              <w:t>1</w:t>
            </w:r>
          </w:p>
        </w:tc>
        <w:tc>
          <w:tcPr>
            <w:tcW w:w="477" w:type="dxa"/>
            <w:tcBorders>
              <w:top w:val="nil"/>
              <w:left w:val="nil"/>
              <w:bottom w:val="single" w:sz="4" w:space="0" w:color="auto"/>
              <w:right w:val="single" w:sz="4" w:space="0" w:color="auto"/>
            </w:tcBorders>
            <w:shd w:val="clear" w:color="000000" w:fill="CCFFFF"/>
            <w:noWrap/>
            <w:vAlign w:val="center"/>
            <w:hideMark/>
          </w:tcPr>
          <w:p w14:paraId="5BD14921" w14:textId="77777777" w:rsidR="001752B7" w:rsidRPr="001752B7" w:rsidRDefault="001752B7" w:rsidP="001752B7">
            <w:pPr>
              <w:spacing w:after="0" w:line="240" w:lineRule="auto"/>
              <w:jc w:val="right"/>
              <w:rPr>
                <w:rFonts w:ascii="Tahoma" w:eastAsia="Times New Roman" w:hAnsi="Tahoma" w:cs="Tahoma"/>
                <w:sz w:val="20"/>
                <w:szCs w:val="20"/>
                <w:lang w:eastAsia="hr-HR"/>
              </w:rPr>
            </w:pPr>
            <w:r w:rsidRPr="001752B7">
              <w:rPr>
                <w:rFonts w:ascii="Tahoma" w:eastAsia="Times New Roman" w:hAnsi="Tahoma" w:cs="Tahoma"/>
                <w:sz w:val="20"/>
                <w:szCs w:val="20"/>
                <w:lang w:eastAsia="hr-HR"/>
              </w:rPr>
              <w:t>1</w:t>
            </w:r>
          </w:p>
        </w:tc>
        <w:tc>
          <w:tcPr>
            <w:tcW w:w="426" w:type="dxa"/>
            <w:tcBorders>
              <w:top w:val="nil"/>
              <w:left w:val="nil"/>
              <w:bottom w:val="single" w:sz="4" w:space="0" w:color="auto"/>
              <w:right w:val="single" w:sz="4" w:space="0" w:color="auto"/>
            </w:tcBorders>
            <w:shd w:val="clear" w:color="000000" w:fill="CCFFFF"/>
            <w:noWrap/>
            <w:vAlign w:val="center"/>
            <w:hideMark/>
          </w:tcPr>
          <w:p w14:paraId="06EF54E1" w14:textId="77777777" w:rsidR="001752B7" w:rsidRPr="001752B7" w:rsidRDefault="001752B7" w:rsidP="001752B7">
            <w:pPr>
              <w:spacing w:after="0" w:line="240" w:lineRule="auto"/>
              <w:jc w:val="right"/>
              <w:rPr>
                <w:rFonts w:ascii="Tahoma" w:eastAsia="Times New Roman" w:hAnsi="Tahoma" w:cs="Tahoma"/>
                <w:sz w:val="20"/>
                <w:szCs w:val="20"/>
                <w:lang w:eastAsia="hr-HR"/>
              </w:rPr>
            </w:pPr>
            <w:r w:rsidRPr="001752B7">
              <w:rPr>
                <w:rFonts w:ascii="Tahoma" w:eastAsia="Times New Roman" w:hAnsi="Tahoma" w:cs="Tahoma"/>
                <w:sz w:val="20"/>
                <w:szCs w:val="20"/>
                <w:lang w:eastAsia="hr-HR"/>
              </w:rPr>
              <w:t> </w:t>
            </w:r>
          </w:p>
        </w:tc>
        <w:tc>
          <w:tcPr>
            <w:tcW w:w="698" w:type="dxa"/>
            <w:tcBorders>
              <w:top w:val="nil"/>
              <w:left w:val="nil"/>
              <w:bottom w:val="single" w:sz="4" w:space="0" w:color="auto"/>
              <w:right w:val="single" w:sz="4" w:space="0" w:color="auto"/>
            </w:tcBorders>
            <w:shd w:val="clear" w:color="000000" w:fill="FFFF99"/>
            <w:noWrap/>
            <w:vAlign w:val="center"/>
            <w:hideMark/>
          </w:tcPr>
          <w:p w14:paraId="2697DFB5" w14:textId="77777777" w:rsidR="001752B7" w:rsidRPr="001752B7" w:rsidRDefault="001752B7" w:rsidP="001752B7">
            <w:pPr>
              <w:spacing w:after="0" w:line="240" w:lineRule="auto"/>
              <w:jc w:val="right"/>
              <w:rPr>
                <w:rFonts w:ascii="Tahoma" w:eastAsia="Times New Roman" w:hAnsi="Tahoma" w:cs="Tahoma"/>
                <w:sz w:val="20"/>
                <w:szCs w:val="20"/>
                <w:lang w:eastAsia="hr-HR"/>
              </w:rPr>
            </w:pPr>
            <w:r w:rsidRPr="001752B7">
              <w:rPr>
                <w:rFonts w:ascii="Tahoma" w:eastAsia="Times New Roman" w:hAnsi="Tahoma" w:cs="Tahoma"/>
                <w:sz w:val="20"/>
                <w:szCs w:val="20"/>
                <w:lang w:eastAsia="hr-HR"/>
              </w:rPr>
              <w:t>1</w:t>
            </w:r>
          </w:p>
        </w:tc>
        <w:tc>
          <w:tcPr>
            <w:tcW w:w="698" w:type="dxa"/>
            <w:tcBorders>
              <w:top w:val="nil"/>
              <w:left w:val="nil"/>
              <w:bottom w:val="single" w:sz="4" w:space="0" w:color="auto"/>
              <w:right w:val="single" w:sz="4" w:space="0" w:color="auto"/>
            </w:tcBorders>
            <w:shd w:val="clear" w:color="000000" w:fill="FFFF99"/>
            <w:noWrap/>
            <w:vAlign w:val="center"/>
            <w:hideMark/>
          </w:tcPr>
          <w:p w14:paraId="2B6DDD6D" w14:textId="77777777" w:rsidR="001752B7" w:rsidRPr="001752B7" w:rsidRDefault="001752B7" w:rsidP="001752B7">
            <w:pPr>
              <w:spacing w:after="0" w:line="240" w:lineRule="auto"/>
              <w:jc w:val="right"/>
              <w:rPr>
                <w:rFonts w:ascii="Tahoma" w:eastAsia="Times New Roman" w:hAnsi="Tahoma" w:cs="Tahoma"/>
                <w:sz w:val="20"/>
                <w:szCs w:val="20"/>
                <w:lang w:eastAsia="hr-HR"/>
              </w:rPr>
            </w:pPr>
            <w:r w:rsidRPr="001752B7">
              <w:rPr>
                <w:rFonts w:ascii="Tahoma" w:eastAsia="Times New Roman" w:hAnsi="Tahoma" w:cs="Tahoma"/>
                <w:sz w:val="20"/>
                <w:szCs w:val="20"/>
                <w:lang w:eastAsia="hr-HR"/>
              </w:rPr>
              <w:t> </w:t>
            </w:r>
          </w:p>
        </w:tc>
        <w:tc>
          <w:tcPr>
            <w:tcW w:w="698" w:type="dxa"/>
            <w:tcBorders>
              <w:top w:val="nil"/>
              <w:left w:val="nil"/>
              <w:bottom w:val="single" w:sz="4" w:space="0" w:color="auto"/>
              <w:right w:val="single" w:sz="4" w:space="0" w:color="auto"/>
            </w:tcBorders>
            <w:shd w:val="clear" w:color="000000" w:fill="FFFF99"/>
            <w:noWrap/>
            <w:vAlign w:val="center"/>
            <w:hideMark/>
          </w:tcPr>
          <w:p w14:paraId="30D45AB1" w14:textId="77777777" w:rsidR="001752B7" w:rsidRPr="001752B7" w:rsidRDefault="001752B7" w:rsidP="001752B7">
            <w:pPr>
              <w:spacing w:after="0" w:line="240" w:lineRule="auto"/>
              <w:jc w:val="right"/>
              <w:rPr>
                <w:rFonts w:ascii="Tahoma" w:eastAsia="Times New Roman" w:hAnsi="Tahoma" w:cs="Tahoma"/>
                <w:sz w:val="20"/>
                <w:szCs w:val="20"/>
                <w:lang w:eastAsia="hr-HR"/>
              </w:rPr>
            </w:pPr>
            <w:r w:rsidRPr="001752B7">
              <w:rPr>
                <w:rFonts w:ascii="Tahoma" w:eastAsia="Times New Roman" w:hAnsi="Tahoma" w:cs="Tahoma"/>
                <w:sz w:val="20"/>
                <w:szCs w:val="20"/>
                <w:lang w:eastAsia="hr-HR"/>
              </w:rPr>
              <w:t> </w:t>
            </w:r>
          </w:p>
        </w:tc>
        <w:tc>
          <w:tcPr>
            <w:tcW w:w="698" w:type="dxa"/>
            <w:tcBorders>
              <w:top w:val="nil"/>
              <w:left w:val="nil"/>
              <w:bottom w:val="single" w:sz="4" w:space="0" w:color="auto"/>
              <w:right w:val="single" w:sz="4" w:space="0" w:color="auto"/>
            </w:tcBorders>
            <w:shd w:val="clear" w:color="000000" w:fill="FFFF99"/>
            <w:noWrap/>
            <w:vAlign w:val="center"/>
            <w:hideMark/>
          </w:tcPr>
          <w:p w14:paraId="5DA805B3" w14:textId="77777777" w:rsidR="001752B7" w:rsidRPr="001752B7" w:rsidRDefault="001752B7" w:rsidP="001752B7">
            <w:pPr>
              <w:spacing w:after="0" w:line="240" w:lineRule="auto"/>
              <w:jc w:val="right"/>
              <w:rPr>
                <w:rFonts w:ascii="Tahoma" w:eastAsia="Times New Roman" w:hAnsi="Tahoma" w:cs="Tahoma"/>
                <w:sz w:val="20"/>
                <w:szCs w:val="20"/>
                <w:lang w:eastAsia="hr-HR"/>
              </w:rPr>
            </w:pPr>
            <w:r w:rsidRPr="001752B7">
              <w:rPr>
                <w:rFonts w:ascii="Tahoma" w:eastAsia="Times New Roman" w:hAnsi="Tahoma" w:cs="Tahoma"/>
                <w:sz w:val="20"/>
                <w:szCs w:val="20"/>
                <w:lang w:eastAsia="hr-HR"/>
              </w:rPr>
              <w:t> </w:t>
            </w:r>
          </w:p>
        </w:tc>
        <w:tc>
          <w:tcPr>
            <w:tcW w:w="698" w:type="dxa"/>
            <w:tcBorders>
              <w:top w:val="nil"/>
              <w:left w:val="nil"/>
              <w:bottom w:val="single" w:sz="4" w:space="0" w:color="auto"/>
              <w:right w:val="single" w:sz="4" w:space="0" w:color="auto"/>
            </w:tcBorders>
            <w:shd w:val="clear" w:color="000000" w:fill="FFFF99"/>
            <w:noWrap/>
            <w:vAlign w:val="center"/>
            <w:hideMark/>
          </w:tcPr>
          <w:p w14:paraId="11EF9639" w14:textId="77777777" w:rsidR="001752B7" w:rsidRPr="001752B7" w:rsidRDefault="001752B7" w:rsidP="001752B7">
            <w:pPr>
              <w:spacing w:after="0" w:line="240" w:lineRule="auto"/>
              <w:jc w:val="right"/>
              <w:rPr>
                <w:rFonts w:ascii="Tahoma" w:eastAsia="Times New Roman" w:hAnsi="Tahoma" w:cs="Tahoma"/>
                <w:sz w:val="20"/>
                <w:szCs w:val="20"/>
                <w:lang w:eastAsia="hr-HR"/>
              </w:rPr>
            </w:pPr>
            <w:r w:rsidRPr="001752B7">
              <w:rPr>
                <w:rFonts w:ascii="Tahoma" w:eastAsia="Times New Roman" w:hAnsi="Tahoma" w:cs="Tahoma"/>
                <w:sz w:val="20"/>
                <w:szCs w:val="20"/>
                <w:lang w:eastAsia="hr-HR"/>
              </w:rPr>
              <w:t> </w:t>
            </w:r>
          </w:p>
        </w:tc>
        <w:tc>
          <w:tcPr>
            <w:tcW w:w="698" w:type="dxa"/>
            <w:tcBorders>
              <w:top w:val="nil"/>
              <w:left w:val="nil"/>
              <w:bottom w:val="single" w:sz="4" w:space="0" w:color="auto"/>
              <w:right w:val="single" w:sz="4" w:space="0" w:color="auto"/>
            </w:tcBorders>
            <w:shd w:val="clear" w:color="000000" w:fill="FFFF99"/>
            <w:noWrap/>
            <w:vAlign w:val="center"/>
            <w:hideMark/>
          </w:tcPr>
          <w:p w14:paraId="2F62B54A" w14:textId="77777777" w:rsidR="001752B7" w:rsidRPr="001752B7" w:rsidRDefault="001752B7" w:rsidP="001752B7">
            <w:pPr>
              <w:spacing w:after="0" w:line="240" w:lineRule="auto"/>
              <w:jc w:val="right"/>
              <w:rPr>
                <w:rFonts w:ascii="Tahoma" w:eastAsia="Times New Roman" w:hAnsi="Tahoma" w:cs="Tahoma"/>
                <w:sz w:val="20"/>
                <w:szCs w:val="20"/>
                <w:lang w:eastAsia="hr-HR"/>
              </w:rPr>
            </w:pPr>
            <w:r w:rsidRPr="001752B7">
              <w:rPr>
                <w:rFonts w:ascii="Tahoma" w:eastAsia="Times New Roman" w:hAnsi="Tahoma" w:cs="Tahoma"/>
                <w:sz w:val="20"/>
                <w:szCs w:val="20"/>
                <w:lang w:eastAsia="hr-HR"/>
              </w:rPr>
              <w:t> </w:t>
            </w:r>
          </w:p>
        </w:tc>
        <w:tc>
          <w:tcPr>
            <w:tcW w:w="469" w:type="dxa"/>
            <w:tcBorders>
              <w:top w:val="nil"/>
              <w:left w:val="nil"/>
              <w:bottom w:val="single" w:sz="4" w:space="0" w:color="auto"/>
              <w:right w:val="single" w:sz="4" w:space="0" w:color="auto"/>
            </w:tcBorders>
            <w:shd w:val="clear" w:color="000000" w:fill="FF9900"/>
            <w:noWrap/>
            <w:vAlign w:val="center"/>
            <w:hideMark/>
          </w:tcPr>
          <w:p w14:paraId="78D1B4A4" w14:textId="77777777" w:rsidR="001752B7" w:rsidRPr="001752B7" w:rsidRDefault="001752B7" w:rsidP="001752B7">
            <w:pPr>
              <w:spacing w:after="0" w:line="240" w:lineRule="auto"/>
              <w:jc w:val="right"/>
              <w:rPr>
                <w:rFonts w:ascii="Tahoma" w:eastAsia="Times New Roman" w:hAnsi="Tahoma" w:cs="Tahoma"/>
                <w:sz w:val="20"/>
                <w:szCs w:val="20"/>
                <w:lang w:eastAsia="hr-HR"/>
              </w:rPr>
            </w:pPr>
            <w:r w:rsidRPr="001752B7">
              <w:rPr>
                <w:rFonts w:ascii="Tahoma" w:eastAsia="Times New Roman" w:hAnsi="Tahoma" w:cs="Tahoma"/>
                <w:sz w:val="20"/>
                <w:szCs w:val="20"/>
                <w:lang w:eastAsia="hr-HR"/>
              </w:rPr>
              <w:t> </w:t>
            </w:r>
          </w:p>
        </w:tc>
        <w:tc>
          <w:tcPr>
            <w:tcW w:w="419" w:type="dxa"/>
            <w:tcBorders>
              <w:top w:val="nil"/>
              <w:left w:val="nil"/>
              <w:bottom w:val="single" w:sz="4" w:space="0" w:color="auto"/>
              <w:right w:val="single" w:sz="4" w:space="0" w:color="auto"/>
            </w:tcBorders>
            <w:shd w:val="clear" w:color="000000" w:fill="FF9900"/>
            <w:noWrap/>
            <w:vAlign w:val="center"/>
            <w:hideMark/>
          </w:tcPr>
          <w:p w14:paraId="200BF2D6" w14:textId="77777777" w:rsidR="001752B7" w:rsidRPr="001752B7" w:rsidRDefault="001752B7" w:rsidP="001752B7">
            <w:pPr>
              <w:spacing w:after="0" w:line="240" w:lineRule="auto"/>
              <w:jc w:val="right"/>
              <w:rPr>
                <w:rFonts w:ascii="Tahoma" w:eastAsia="Times New Roman" w:hAnsi="Tahoma" w:cs="Tahoma"/>
                <w:sz w:val="20"/>
                <w:szCs w:val="20"/>
                <w:lang w:eastAsia="hr-HR"/>
              </w:rPr>
            </w:pPr>
            <w:r w:rsidRPr="001752B7">
              <w:rPr>
                <w:rFonts w:ascii="Tahoma" w:eastAsia="Times New Roman" w:hAnsi="Tahoma" w:cs="Tahoma"/>
                <w:sz w:val="20"/>
                <w:szCs w:val="20"/>
                <w:lang w:eastAsia="hr-HR"/>
              </w:rPr>
              <w:t>1</w:t>
            </w:r>
          </w:p>
        </w:tc>
        <w:tc>
          <w:tcPr>
            <w:tcW w:w="521" w:type="dxa"/>
            <w:tcBorders>
              <w:top w:val="nil"/>
              <w:left w:val="nil"/>
              <w:bottom w:val="single" w:sz="4" w:space="0" w:color="auto"/>
              <w:right w:val="single" w:sz="4" w:space="0" w:color="auto"/>
            </w:tcBorders>
            <w:shd w:val="clear" w:color="000000" w:fill="FF9900"/>
            <w:noWrap/>
            <w:vAlign w:val="center"/>
            <w:hideMark/>
          </w:tcPr>
          <w:p w14:paraId="056FCDF1" w14:textId="77777777" w:rsidR="001752B7" w:rsidRPr="001752B7" w:rsidRDefault="001752B7" w:rsidP="001752B7">
            <w:pPr>
              <w:spacing w:after="0" w:line="240" w:lineRule="auto"/>
              <w:jc w:val="right"/>
              <w:rPr>
                <w:rFonts w:ascii="Tahoma" w:eastAsia="Times New Roman" w:hAnsi="Tahoma" w:cs="Tahoma"/>
                <w:sz w:val="20"/>
                <w:szCs w:val="20"/>
                <w:lang w:eastAsia="hr-HR"/>
              </w:rPr>
            </w:pPr>
            <w:r w:rsidRPr="001752B7">
              <w:rPr>
                <w:rFonts w:ascii="Tahoma" w:eastAsia="Times New Roman" w:hAnsi="Tahoma" w:cs="Tahoma"/>
                <w:sz w:val="20"/>
                <w:szCs w:val="20"/>
                <w:lang w:eastAsia="hr-HR"/>
              </w:rPr>
              <w:t> </w:t>
            </w:r>
          </w:p>
        </w:tc>
        <w:tc>
          <w:tcPr>
            <w:tcW w:w="476" w:type="dxa"/>
            <w:tcBorders>
              <w:top w:val="nil"/>
              <w:left w:val="nil"/>
              <w:bottom w:val="single" w:sz="4" w:space="0" w:color="auto"/>
              <w:right w:val="single" w:sz="4" w:space="0" w:color="auto"/>
            </w:tcBorders>
            <w:shd w:val="clear" w:color="000000" w:fill="FFFF00"/>
            <w:vAlign w:val="center"/>
            <w:hideMark/>
          </w:tcPr>
          <w:p w14:paraId="2D3C53FE" w14:textId="77777777" w:rsidR="001752B7" w:rsidRPr="001752B7" w:rsidRDefault="001752B7" w:rsidP="001752B7">
            <w:pPr>
              <w:spacing w:after="0" w:line="240" w:lineRule="auto"/>
              <w:jc w:val="right"/>
              <w:rPr>
                <w:rFonts w:ascii="Tahoma" w:eastAsia="Times New Roman" w:hAnsi="Tahoma" w:cs="Tahoma"/>
                <w:sz w:val="20"/>
                <w:szCs w:val="20"/>
                <w:lang w:eastAsia="hr-HR"/>
              </w:rPr>
            </w:pPr>
            <w:r w:rsidRPr="001752B7">
              <w:rPr>
                <w:rFonts w:ascii="Tahoma" w:eastAsia="Times New Roman" w:hAnsi="Tahoma" w:cs="Tahoma"/>
                <w:sz w:val="20"/>
                <w:szCs w:val="20"/>
                <w:lang w:eastAsia="hr-HR"/>
              </w:rPr>
              <w:t>1</w:t>
            </w:r>
          </w:p>
        </w:tc>
        <w:tc>
          <w:tcPr>
            <w:tcW w:w="698" w:type="dxa"/>
            <w:tcBorders>
              <w:top w:val="nil"/>
              <w:left w:val="nil"/>
              <w:bottom w:val="single" w:sz="4" w:space="0" w:color="auto"/>
              <w:right w:val="single" w:sz="4" w:space="0" w:color="auto"/>
            </w:tcBorders>
            <w:shd w:val="clear" w:color="000000" w:fill="FF9900"/>
            <w:vAlign w:val="center"/>
            <w:hideMark/>
          </w:tcPr>
          <w:p w14:paraId="7E6F0F03" w14:textId="77777777" w:rsidR="001752B7" w:rsidRPr="001752B7" w:rsidRDefault="001752B7" w:rsidP="001752B7">
            <w:pPr>
              <w:spacing w:after="0" w:line="240" w:lineRule="auto"/>
              <w:jc w:val="right"/>
              <w:rPr>
                <w:rFonts w:ascii="Tahoma" w:eastAsia="Times New Roman" w:hAnsi="Tahoma" w:cs="Tahoma"/>
                <w:sz w:val="20"/>
                <w:szCs w:val="20"/>
                <w:lang w:eastAsia="hr-HR"/>
              </w:rPr>
            </w:pPr>
            <w:r w:rsidRPr="001752B7">
              <w:rPr>
                <w:rFonts w:ascii="Tahoma" w:eastAsia="Times New Roman" w:hAnsi="Tahoma" w:cs="Tahoma"/>
                <w:sz w:val="20"/>
                <w:szCs w:val="20"/>
                <w:lang w:eastAsia="hr-HR"/>
              </w:rPr>
              <w:t>3</w:t>
            </w:r>
          </w:p>
        </w:tc>
        <w:tc>
          <w:tcPr>
            <w:tcW w:w="643" w:type="dxa"/>
            <w:tcBorders>
              <w:top w:val="nil"/>
              <w:left w:val="nil"/>
              <w:bottom w:val="single" w:sz="4" w:space="0" w:color="auto"/>
              <w:right w:val="single" w:sz="4" w:space="0" w:color="auto"/>
            </w:tcBorders>
            <w:shd w:val="clear" w:color="000000" w:fill="FF9900"/>
            <w:noWrap/>
            <w:vAlign w:val="center"/>
            <w:hideMark/>
          </w:tcPr>
          <w:p w14:paraId="059FDAD5" w14:textId="77777777" w:rsidR="001752B7" w:rsidRPr="001752B7" w:rsidRDefault="001752B7" w:rsidP="001752B7">
            <w:pPr>
              <w:spacing w:after="0" w:line="240" w:lineRule="auto"/>
              <w:jc w:val="right"/>
              <w:rPr>
                <w:rFonts w:ascii="Tahoma" w:eastAsia="Times New Roman" w:hAnsi="Tahoma" w:cs="Tahoma"/>
                <w:sz w:val="20"/>
                <w:szCs w:val="20"/>
                <w:lang w:eastAsia="hr-HR"/>
              </w:rPr>
            </w:pPr>
            <w:r w:rsidRPr="001752B7">
              <w:rPr>
                <w:rFonts w:ascii="Tahoma" w:eastAsia="Times New Roman" w:hAnsi="Tahoma" w:cs="Tahoma"/>
                <w:sz w:val="20"/>
                <w:szCs w:val="20"/>
                <w:lang w:eastAsia="hr-HR"/>
              </w:rPr>
              <w:t> </w:t>
            </w:r>
          </w:p>
        </w:tc>
        <w:tc>
          <w:tcPr>
            <w:tcW w:w="605" w:type="dxa"/>
            <w:tcBorders>
              <w:top w:val="nil"/>
              <w:left w:val="nil"/>
              <w:bottom w:val="single" w:sz="4" w:space="0" w:color="auto"/>
              <w:right w:val="single" w:sz="4" w:space="0" w:color="auto"/>
            </w:tcBorders>
            <w:shd w:val="clear" w:color="000000" w:fill="FF9900"/>
            <w:noWrap/>
            <w:vAlign w:val="center"/>
            <w:hideMark/>
          </w:tcPr>
          <w:p w14:paraId="609AD0DA" w14:textId="77777777" w:rsidR="001752B7" w:rsidRPr="001752B7" w:rsidRDefault="001752B7" w:rsidP="001752B7">
            <w:pPr>
              <w:spacing w:after="0" w:line="240" w:lineRule="auto"/>
              <w:jc w:val="right"/>
              <w:rPr>
                <w:rFonts w:ascii="Tahoma" w:eastAsia="Times New Roman" w:hAnsi="Tahoma" w:cs="Tahoma"/>
                <w:sz w:val="20"/>
                <w:szCs w:val="20"/>
                <w:lang w:eastAsia="hr-HR"/>
              </w:rPr>
            </w:pPr>
            <w:r w:rsidRPr="001752B7">
              <w:rPr>
                <w:rFonts w:ascii="Tahoma" w:eastAsia="Times New Roman" w:hAnsi="Tahoma" w:cs="Tahoma"/>
                <w:sz w:val="20"/>
                <w:szCs w:val="20"/>
                <w:lang w:eastAsia="hr-HR"/>
              </w:rPr>
              <w:t> </w:t>
            </w:r>
          </w:p>
        </w:tc>
        <w:tc>
          <w:tcPr>
            <w:tcW w:w="698" w:type="dxa"/>
            <w:tcBorders>
              <w:top w:val="nil"/>
              <w:left w:val="nil"/>
              <w:bottom w:val="single" w:sz="4" w:space="0" w:color="auto"/>
              <w:right w:val="single" w:sz="4" w:space="0" w:color="auto"/>
            </w:tcBorders>
            <w:shd w:val="clear" w:color="000000" w:fill="FF9900"/>
            <w:noWrap/>
            <w:vAlign w:val="center"/>
            <w:hideMark/>
          </w:tcPr>
          <w:p w14:paraId="2E4B333B" w14:textId="77777777" w:rsidR="001752B7" w:rsidRPr="001752B7" w:rsidRDefault="001752B7" w:rsidP="001752B7">
            <w:pPr>
              <w:spacing w:after="0" w:line="240" w:lineRule="auto"/>
              <w:jc w:val="right"/>
              <w:rPr>
                <w:rFonts w:ascii="Tahoma" w:eastAsia="Times New Roman" w:hAnsi="Tahoma" w:cs="Tahoma"/>
                <w:sz w:val="20"/>
                <w:szCs w:val="20"/>
                <w:lang w:eastAsia="hr-HR"/>
              </w:rPr>
            </w:pPr>
            <w:r w:rsidRPr="001752B7">
              <w:rPr>
                <w:rFonts w:ascii="Tahoma" w:eastAsia="Times New Roman" w:hAnsi="Tahoma" w:cs="Tahoma"/>
                <w:sz w:val="20"/>
                <w:szCs w:val="20"/>
                <w:lang w:eastAsia="hr-HR"/>
              </w:rPr>
              <w:t> </w:t>
            </w:r>
          </w:p>
        </w:tc>
        <w:tc>
          <w:tcPr>
            <w:tcW w:w="464" w:type="dxa"/>
            <w:tcBorders>
              <w:top w:val="nil"/>
              <w:left w:val="nil"/>
              <w:bottom w:val="single" w:sz="4" w:space="0" w:color="auto"/>
              <w:right w:val="single" w:sz="4" w:space="0" w:color="auto"/>
            </w:tcBorders>
            <w:shd w:val="clear" w:color="000000" w:fill="CCFFFF"/>
            <w:noWrap/>
            <w:vAlign w:val="center"/>
            <w:hideMark/>
          </w:tcPr>
          <w:p w14:paraId="15F937D3" w14:textId="77777777" w:rsidR="001752B7" w:rsidRPr="001752B7" w:rsidRDefault="001752B7" w:rsidP="001752B7">
            <w:pPr>
              <w:spacing w:after="0" w:line="240" w:lineRule="auto"/>
              <w:jc w:val="right"/>
              <w:rPr>
                <w:rFonts w:ascii="Tahoma" w:eastAsia="Times New Roman" w:hAnsi="Tahoma" w:cs="Tahoma"/>
                <w:sz w:val="20"/>
                <w:szCs w:val="20"/>
                <w:lang w:eastAsia="hr-HR"/>
              </w:rPr>
            </w:pPr>
            <w:r w:rsidRPr="001752B7">
              <w:rPr>
                <w:rFonts w:ascii="Tahoma" w:eastAsia="Times New Roman" w:hAnsi="Tahoma" w:cs="Tahoma"/>
                <w:sz w:val="20"/>
                <w:szCs w:val="20"/>
                <w:lang w:eastAsia="hr-HR"/>
              </w:rPr>
              <w:t> </w:t>
            </w:r>
          </w:p>
        </w:tc>
        <w:tc>
          <w:tcPr>
            <w:tcW w:w="425" w:type="dxa"/>
            <w:tcBorders>
              <w:top w:val="nil"/>
              <w:left w:val="nil"/>
              <w:bottom w:val="single" w:sz="4" w:space="0" w:color="auto"/>
              <w:right w:val="single" w:sz="4" w:space="0" w:color="auto"/>
            </w:tcBorders>
            <w:shd w:val="clear" w:color="000000" w:fill="CCFFFF"/>
            <w:noWrap/>
            <w:vAlign w:val="center"/>
            <w:hideMark/>
          </w:tcPr>
          <w:p w14:paraId="14DF67E1" w14:textId="77777777" w:rsidR="001752B7" w:rsidRPr="001752B7" w:rsidRDefault="001752B7" w:rsidP="001752B7">
            <w:pPr>
              <w:spacing w:after="0" w:line="240" w:lineRule="auto"/>
              <w:jc w:val="right"/>
              <w:rPr>
                <w:rFonts w:ascii="Tahoma" w:eastAsia="Times New Roman" w:hAnsi="Tahoma" w:cs="Tahoma"/>
                <w:sz w:val="20"/>
                <w:szCs w:val="20"/>
                <w:lang w:eastAsia="hr-HR"/>
              </w:rPr>
            </w:pPr>
            <w:r w:rsidRPr="001752B7">
              <w:rPr>
                <w:rFonts w:ascii="Tahoma" w:eastAsia="Times New Roman" w:hAnsi="Tahoma" w:cs="Tahoma"/>
                <w:sz w:val="20"/>
                <w:szCs w:val="20"/>
                <w:lang w:eastAsia="hr-HR"/>
              </w:rPr>
              <w:t> </w:t>
            </w:r>
          </w:p>
        </w:tc>
        <w:tc>
          <w:tcPr>
            <w:tcW w:w="426" w:type="dxa"/>
            <w:tcBorders>
              <w:top w:val="nil"/>
              <w:left w:val="nil"/>
              <w:bottom w:val="single" w:sz="4" w:space="0" w:color="auto"/>
              <w:right w:val="single" w:sz="4" w:space="0" w:color="auto"/>
            </w:tcBorders>
            <w:shd w:val="clear" w:color="000000" w:fill="CCFFFF"/>
            <w:noWrap/>
            <w:vAlign w:val="center"/>
            <w:hideMark/>
          </w:tcPr>
          <w:p w14:paraId="59A0EE7D" w14:textId="77777777" w:rsidR="001752B7" w:rsidRPr="001752B7" w:rsidRDefault="001752B7" w:rsidP="001752B7">
            <w:pPr>
              <w:spacing w:after="0" w:line="240" w:lineRule="auto"/>
              <w:jc w:val="right"/>
              <w:rPr>
                <w:rFonts w:ascii="Tahoma" w:eastAsia="Times New Roman" w:hAnsi="Tahoma" w:cs="Tahoma"/>
                <w:sz w:val="20"/>
                <w:szCs w:val="20"/>
                <w:lang w:eastAsia="hr-HR"/>
              </w:rPr>
            </w:pPr>
            <w:r w:rsidRPr="001752B7">
              <w:rPr>
                <w:rFonts w:ascii="Tahoma" w:eastAsia="Times New Roman" w:hAnsi="Tahoma" w:cs="Tahoma"/>
                <w:sz w:val="20"/>
                <w:szCs w:val="20"/>
                <w:lang w:eastAsia="hr-HR"/>
              </w:rPr>
              <w:t> </w:t>
            </w:r>
          </w:p>
        </w:tc>
        <w:tc>
          <w:tcPr>
            <w:tcW w:w="487" w:type="dxa"/>
            <w:tcBorders>
              <w:top w:val="nil"/>
              <w:left w:val="nil"/>
              <w:bottom w:val="single" w:sz="4" w:space="0" w:color="auto"/>
              <w:right w:val="nil"/>
            </w:tcBorders>
            <w:shd w:val="clear" w:color="000000" w:fill="33CCCC"/>
            <w:noWrap/>
            <w:vAlign w:val="center"/>
            <w:hideMark/>
          </w:tcPr>
          <w:p w14:paraId="0DEA23C1" w14:textId="77777777" w:rsidR="001752B7" w:rsidRPr="001752B7" w:rsidRDefault="001752B7" w:rsidP="001752B7">
            <w:pPr>
              <w:spacing w:after="0" w:line="240" w:lineRule="auto"/>
              <w:jc w:val="right"/>
              <w:rPr>
                <w:rFonts w:ascii="Tahoma" w:eastAsia="Times New Roman" w:hAnsi="Tahoma" w:cs="Tahoma"/>
                <w:sz w:val="20"/>
                <w:szCs w:val="20"/>
                <w:lang w:eastAsia="hr-HR"/>
              </w:rPr>
            </w:pPr>
            <w:r w:rsidRPr="001752B7">
              <w:rPr>
                <w:rFonts w:ascii="Tahoma" w:eastAsia="Times New Roman" w:hAnsi="Tahoma" w:cs="Tahoma"/>
                <w:sz w:val="20"/>
                <w:szCs w:val="20"/>
                <w:lang w:eastAsia="hr-HR"/>
              </w:rPr>
              <w:t> </w:t>
            </w:r>
          </w:p>
        </w:tc>
        <w:tc>
          <w:tcPr>
            <w:tcW w:w="425" w:type="dxa"/>
            <w:tcBorders>
              <w:top w:val="nil"/>
              <w:left w:val="single" w:sz="4" w:space="0" w:color="auto"/>
              <w:bottom w:val="single" w:sz="4" w:space="0" w:color="auto"/>
              <w:right w:val="single" w:sz="8" w:space="0" w:color="auto"/>
            </w:tcBorders>
            <w:shd w:val="clear" w:color="000000" w:fill="33CCCC"/>
            <w:noWrap/>
            <w:vAlign w:val="center"/>
            <w:hideMark/>
          </w:tcPr>
          <w:p w14:paraId="6A6A5DA1" w14:textId="77777777" w:rsidR="001752B7" w:rsidRPr="001752B7" w:rsidRDefault="001752B7" w:rsidP="001752B7">
            <w:pPr>
              <w:spacing w:after="0" w:line="240" w:lineRule="auto"/>
              <w:jc w:val="right"/>
              <w:rPr>
                <w:rFonts w:ascii="Tahoma" w:eastAsia="Times New Roman" w:hAnsi="Tahoma" w:cs="Tahoma"/>
                <w:sz w:val="20"/>
                <w:szCs w:val="20"/>
                <w:lang w:eastAsia="hr-HR"/>
              </w:rPr>
            </w:pPr>
            <w:r w:rsidRPr="001752B7">
              <w:rPr>
                <w:rFonts w:ascii="Tahoma" w:eastAsia="Times New Roman" w:hAnsi="Tahoma" w:cs="Tahoma"/>
                <w:sz w:val="20"/>
                <w:szCs w:val="20"/>
                <w:lang w:eastAsia="hr-HR"/>
              </w:rPr>
              <w:t>1</w:t>
            </w:r>
          </w:p>
        </w:tc>
        <w:tc>
          <w:tcPr>
            <w:tcW w:w="236" w:type="dxa"/>
            <w:vAlign w:val="center"/>
            <w:hideMark/>
          </w:tcPr>
          <w:p w14:paraId="0D96E460" w14:textId="77777777" w:rsidR="001752B7" w:rsidRPr="001752B7" w:rsidRDefault="001752B7" w:rsidP="001752B7">
            <w:pPr>
              <w:spacing w:after="0" w:line="240" w:lineRule="auto"/>
              <w:rPr>
                <w:rFonts w:ascii="Times New Roman" w:eastAsia="Times New Roman" w:hAnsi="Times New Roman" w:cs="Times New Roman"/>
                <w:sz w:val="20"/>
                <w:szCs w:val="20"/>
                <w:lang w:eastAsia="hr-HR"/>
              </w:rPr>
            </w:pPr>
          </w:p>
        </w:tc>
      </w:tr>
      <w:tr w:rsidR="001752B7" w:rsidRPr="001752B7" w14:paraId="2CC37383" w14:textId="77777777" w:rsidTr="000271A1">
        <w:trPr>
          <w:gridAfter w:val="1"/>
          <w:wAfter w:w="31" w:type="dxa"/>
          <w:trHeight w:val="300"/>
        </w:trPr>
        <w:tc>
          <w:tcPr>
            <w:tcW w:w="1408" w:type="dxa"/>
            <w:tcBorders>
              <w:top w:val="single" w:sz="4" w:space="0" w:color="auto"/>
              <w:left w:val="single" w:sz="8" w:space="0" w:color="auto"/>
              <w:bottom w:val="single" w:sz="4" w:space="0" w:color="auto"/>
              <w:right w:val="single" w:sz="4" w:space="0" w:color="auto"/>
            </w:tcBorders>
            <w:shd w:val="clear" w:color="000000" w:fill="CCFFCC"/>
            <w:vAlign w:val="center"/>
            <w:hideMark/>
          </w:tcPr>
          <w:p w14:paraId="2661579C" w14:textId="77777777" w:rsidR="001752B7" w:rsidRPr="001752B7" w:rsidRDefault="001752B7" w:rsidP="001752B7">
            <w:pPr>
              <w:spacing w:after="0" w:line="240" w:lineRule="auto"/>
              <w:rPr>
                <w:rFonts w:ascii="Tahoma" w:eastAsia="Times New Roman" w:hAnsi="Tahoma" w:cs="Tahoma"/>
                <w:sz w:val="20"/>
                <w:szCs w:val="20"/>
                <w:lang w:eastAsia="hr-HR"/>
              </w:rPr>
            </w:pPr>
            <w:r w:rsidRPr="001752B7">
              <w:rPr>
                <w:rFonts w:ascii="Tahoma" w:eastAsia="Times New Roman" w:hAnsi="Tahoma" w:cs="Tahoma"/>
                <w:sz w:val="20"/>
                <w:szCs w:val="20"/>
                <w:lang w:eastAsia="hr-HR"/>
              </w:rPr>
              <w:t>Genetsko nasljeđe</w:t>
            </w:r>
          </w:p>
        </w:tc>
        <w:tc>
          <w:tcPr>
            <w:tcW w:w="673" w:type="dxa"/>
            <w:tcBorders>
              <w:top w:val="nil"/>
              <w:left w:val="nil"/>
              <w:bottom w:val="single" w:sz="4" w:space="0" w:color="auto"/>
              <w:right w:val="single" w:sz="4" w:space="0" w:color="auto"/>
            </w:tcBorders>
            <w:shd w:val="clear" w:color="000000" w:fill="FFCC99"/>
            <w:noWrap/>
            <w:vAlign w:val="center"/>
            <w:hideMark/>
          </w:tcPr>
          <w:p w14:paraId="7F6AD5CF" w14:textId="77777777" w:rsidR="001752B7" w:rsidRPr="001752B7" w:rsidRDefault="001752B7" w:rsidP="001752B7">
            <w:pPr>
              <w:spacing w:after="0" w:line="240" w:lineRule="auto"/>
              <w:jc w:val="right"/>
              <w:rPr>
                <w:rFonts w:ascii="Tahoma" w:eastAsia="Times New Roman" w:hAnsi="Tahoma" w:cs="Tahoma"/>
                <w:sz w:val="20"/>
                <w:szCs w:val="20"/>
                <w:lang w:eastAsia="hr-HR"/>
              </w:rPr>
            </w:pPr>
            <w:r w:rsidRPr="001752B7">
              <w:rPr>
                <w:rFonts w:ascii="Tahoma" w:eastAsia="Times New Roman" w:hAnsi="Tahoma" w:cs="Tahoma"/>
                <w:sz w:val="20"/>
                <w:szCs w:val="20"/>
                <w:lang w:eastAsia="hr-HR"/>
              </w:rPr>
              <w:t>1</w:t>
            </w:r>
          </w:p>
        </w:tc>
        <w:tc>
          <w:tcPr>
            <w:tcW w:w="521" w:type="dxa"/>
            <w:tcBorders>
              <w:top w:val="nil"/>
              <w:left w:val="nil"/>
              <w:bottom w:val="single" w:sz="4" w:space="0" w:color="auto"/>
              <w:right w:val="single" w:sz="4" w:space="0" w:color="auto"/>
            </w:tcBorders>
            <w:shd w:val="clear" w:color="000000" w:fill="FFFF00"/>
            <w:noWrap/>
            <w:vAlign w:val="center"/>
            <w:hideMark/>
          </w:tcPr>
          <w:p w14:paraId="409953BF" w14:textId="77777777" w:rsidR="001752B7" w:rsidRPr="001752B7" w:rsidRDefault="001752B7" w:rsidP="001752B7">
            <w:pPr>
              <w:spacing w:after="0" w:line="240" w:lineRule="auto"/>
              <w:jc w:val="right"/>
              <w:rPr>
                <w:rFonts w:ascii="Tahoma" w:eastAsia="Times New Roman" w:hAnsi="Tahoma" w:cs="Tahoma"/>
                <w:sz w:val="20"/>
                <w:szCs w:val="20"/>
                <w:lang w:eastAsia="hr-HR"/>
              </w:rPr>
            </w:pPr>
            <w:r w:rsidRPr="001752B7">
              <w:rPr>
                <w:rFonts w:ascii="Tahoma" w:eastAsia="Times New Roman" w:hAnsi="Tahoma" w:cs="Tahoma"/>
                <w:sz w:val="20"/>
                <w:szCs w:val="20"/>
                <w:lang w:eastAsia="hr-HR"/>
              </w:rPr>
              <w:t> </w:t>
            </w:r>
          </w:p>
        </w:tc>
        <w:tc>
          <w:tcPr>
            <w:tcW w:w="477" w:type="dxa"/>
            <w:tcBorders>
              <w:top w:val="nil"/>
              <w:left w:val="nil"/>
              <w:bottom w:val="single" w:sz="4" w:space="0" w:color="auto"/>
              <w:right w:val="single" w:sz="4" w:space="0" w:color="auto"/>
            </w:tcBorders>
            <w:shd w:val="clear" w:color="000000" w:fill="CCFFFF"/>
            <w:noWrap/>
            <w:vAlign w:val="center"/>
            <w:hideMark/>
          </w:tcPr>
          <w:p w14:paraId="552E8F71" w14:textId="77777777" w:rsidR="001752B7" w:rsidRPr="001752B7" w:rsidRDefault="001752B7" w:rsidP="001752B7">
            <w:pPr>
              <w:spacing w:after="0" w:line="240" w:lineRule="auto"/>
              <w:jc w:val="right"/>
              <w:rPr>
                <w:rFonts w:ascii="Tahoma" w:eastAsia="Times New Roman" w:hAnsi="Tahoma" w:cs="Tahoma"/>
                <w:sz w:val="20"/>
                <w:szCs w:val="20"/>
                <w:lang w:eastAsia="hr-HR"/>
              </w:rPr>
            </w:pPr>
            <w:r w:rsidRPr="001752B7">
              <w:rPr>
                <w:rFonts w:ascii="Tahoma" w:eastAsia="Times New Roman" w:hAnsi="Tahoma" w:cs="Tahoma"/>
                <w:sz w:val="20"/>
                <w:szCs w:val="20"/>
                <w:lang w:eastAsia="hr-HR"/>
              </w:rPr>
              <w:t> </w:t>
            </w:r>
          </w:p>
        </w:tc>
        <w:tc>
          <w:tcPr>
            <w:tcW w:w="426" w:type="dxa"/>
            <w:tcBorders>
              <w:top w:val="nil"/>
              <w:left w:val="nil"/>
              <w:bottom w:val="single" w:sz="4" w:space="0" w:color="auto"/>
              <w:right w:val="single" w:sz="4" w:space="0" w:color="auto"/>
            </w:tcBorders>
            <w:shd w:val="clear" w:color="000000" w:fill="CCFFFF"/>
            <w:noWrap/>
            <w:vAlign w:val="center"/>
            <w:hideMark/>
          </w:tcPr>
          <w:p w14:paraId="7641BFB5" w14:textId="77777777" w:rsidR="001752B7" w:rsidRPr="001752B7" w:rsidRDefault="001752B7" w:rsidP="001752B7">
            <w:pPr>
              <w:spacing w:after="0" w:line="240" w:lineRule="auto"/>
              <w:jc w:val="right"/>
              <w:rPr>
                <w:rFonts w:ascii="Tahoma" w:eastAsia="Times New Roman" w:hAnsi="Tahoma" w:cs="Tahoma"/>
                <w:sz w:val="20"/>
                <w:szCs w:val="20"/>
                <w:lang w:eastAsia="hr-HR"/>
              </w:rPr>
            </w:pPr>
            <w:r w:rsidRPr="001752B7">
              <w:rPr>
                <w:rFonts w:ascii="Tahoma" w:eastAsia="Times New Roman" w:hAnsi="Tahoma" w:cs="Tahoma"/>
                <w:sz w:val="20"/>
                <w:szCs w:val="20"/>
                <w:lang w:eastAsia="hr-HR"/>
              </w:rPr>
              <w:t> </w:t>
            </w:r>
          </w:p>
        </w:tc>
        <w:tc>
          <w:tcPr>
            <w:tcW w:w="698" w:type="dxa"/>
            <w:tcBorders>
              <w:top w:val="nil"/>
              <w:left w:val="nil"/>
              <w:bottom w:val="single" w:sz="4" w:space="0" w:color="auto"/>
              <w:right w:val="single" w:sz="4" w:space="0" w:color="auto"/>
            </w:tcBorders>
            <w:shd w:val="clear" w:color="000000" w:fill="FFFF99"/>
            <w:noWrap/>
            <w:vAlign w:val="center"/>
            <w:hideMark/>
          </w:tcPr>
          <w:p w14:paraId="536484E7" w14:textId="77777777" w:rsidR="001752B7" w:rsidRPr="001752B7" w:rsidRDefault="001752B7" w:rsidP="001752B7">
            <w:pPr>
              <w:spacing w:after="0" w:line="240" w:lineRule="auto"/>
              <w:jc w:val="right"/>
              <w:rPr>
                <w:rFonts w:ascii="Tahoma" w:eastAsia="Times New Roman" w:hAnsi="Tahoma" w:cs="Tahoma"/>
                <w:sz w:val="20"/>
                <w:szCs w:val="20"/>
                <w:lang w:eastAsia="hr-HR"/>
              </w:rPr>
            </w:pPr>
            <w:r w:rsidRPr="001752B7">
              <w:rPr>
                <w:rFonts w:ascii="Tahoma" w:eastAsia="Times New Roman" w:hAnsi="Tahoma" w:cs="Tahoma"/>
                <w:sz w:val="20"/>
                <w:szCs w:val="20"/>
                <w:lang w:eastAsia="hr-HR"/>
              </w:rPr>
              <w:t> </w:t>
            </w:r>
          </w:p>
        </w:tc>
        <w:tc>
          <w:tcPr>
            <w:tcW w:w="698" w:type="dxa"/>
            <w:tcBorders>
              <w:top w:val="nil"/>
              <w:left w:val="nil"/>
              <w:bottom w:val="single" w:sz="4" w:space="0" w:color="auto"/>
              <w:right w:val="single" w:sz="4" w:space="0" w:color="auto"/>
            </w:tcBorders>
            <w:shd w:val="clear" w:color="000000" w:fill="FFFF99"/>
            <w:noWrap/>
            <w:vAlign w:val="center"/>
            <w:hideMark/>
          </w:tcPr>
          <w:p w14:paraId="524B7F63" w14:textId="77777777" w:rsidR="001752B7" w:rsidRPr="001752B7" w:rsidRDefault="001752B7" w:rsidP="001752B7">
            <w:pPr>
              <w:spacing w:after="0" w:line="240" w:lineRule="auto"/>
              <w:jc w:val="right"/>
              <w:rPr>
                <w:rFonts w:ascii="Tahoma" w:eastAsia="Times New Roman" w:hAnsi="Tahoma" w:cs="Tahoma"/>
                <w:sz w:val="20"/>
                <w:szCs w:val="20"/>
                <w:lang w:eastAsia="hr-HR"/>
              </w:rPr>
            </w:pPr>
            <w:r w:rsidRPr="001752B7">
              <w:rPr>
                <w:rFonts w:ascii="Tahoma" w:eastAsia="Times New Roman" w:hAnsi="Tahoma" w:cs="Tahoma"/>
                <w:sz w:val="20"/>
                <w:szCs w:val="20"/>
                <w:lang w:eastAsia="hr-HR"/>
              </w:rPr>
              <w:t> </w:t>
            </w:r>
          </w:p>
        </w:tc>
        <w:tc>
          <w:tcPr>
            <w:tcW w:w="698" w:type="dxa"/>
            <w:tcBorders>
              <w:top w:val="nil"/>
              <w:left w:val="nil"/>
              <w:bottom w:val="single" w:sz="4" w:space="0" w:color="auto"/>
              <w:right w:val="single" w:sz="4" w:space="0" w:color="auto"/>
            </w:tcBorders>
            <w:shd w:val="clear" w:color="000000" w:fill="FFFF99"/>
            <w:noWrap/>
            <w:vAlign w:val="center"/>
            <w:hideMark/>
          </w:tcPr>
          <w:p w14:paraId="3562E144" w14:textId="77777777" w:rsidR="001752B7" w:rsidRPr="001752B7" w:rsidRDefault="001752B7" w:rsidP="001752B7">
            <w:pPr>
              <w:spacing w:after="0" w:line="240" w:lineRule="auto"/>
              <w:jc w:val="right"/>
              <w:rPr>
                <w:rFonts w:ascii="Tahoma" w:eastAsia="Times New Roman" w:hAnsi="Tahoma" w:cs="Tahoma"/>
                <w:sz w:val="20"/>
                <w:szCs w:val="20"/>
                <w:lang w:eastAsia="hr-HR"/>
              </w:rPr>
            </w:pPr>
            <w:r w:rsidRPr="001752B7">
              <w:rPr>
                <w:rFonts w:ascii="Tahoma" w:eastAsia="Times New Roman" w:hAnsi="Tahoma" w:cs="Tahoma"/>
                <w:sz w:val="20"/>
                <w:szCs w:val="20"/>
                <w:lang w:eastAsia="hr-HR"/>
              </w:rPr>
              <w:t> </w:t>
            </w:r>
          </w:p>
        </w:tc>
        <w:tc>
          <w:tcPr>
            <w:tcW w:w="698" w:type="dxa"/>
            <w:tcBorders>
              <w:top w:val="nil"/>
              <w:left w:val="nil"/>
              <w:bottom w:val="single" w:sz="4" w:space="0" w:color="auto"/>
              <w:right w:val="single" w:sz="4" w:space="0" w:color="auto"/>
            </w:tcBorders>
            <w:shd w:val="clear" w:color="000000" w:fill="FFFF99"/>
            <w:noWrap/>
            <w:vAlign w:val="center"/>
            <w:hideMark/>
          </w:tcPr>
          <w:p w14:paraId="2D68C18D" w14:textId="77777777" w:rsidR="001752B7" w:rsidRPr="001752B7" w:rsidRDefault="001752B7" w:rsidP="001752B7">
            <w:pPr>
              <w:spacing w:after="0" w:line="240" w:lineRule="auto"/>
              <w:jc w:val="right"/>
              <w:rPr>
                <w:rFonts w:ascii="Tahoma" w:eastAsia="Times New Roman" w:hAnsi="Tahoma" w:cs="Tahoma"/>
                <w:sz w:val="20"/>
                <w:szCs w:val="20"/>
                <w:lang w:eastAsia="hr-HR"/>
              </w:rPr>
            </w:pPr>
            <w:r w:rsidRPr="001752B7">
              <w:rPr>
                <w:rFonts w:ascii="Tahoma" w:eastAsia="Times New Roman" w:hAnsi="Tahoma" w:cs="Tahoma"/>
                <w:sz w:val="20"/>
                <w:szCs w:val="20"/>
                <w:lang w:eastAsia="hr-HR"/>
              </w:rPr>
              <w:t> </w:t>
            </w:r>
          </w:p>
        </w:tc>
        <w:tc>
          <w:tcPr>
            <w:tcW w:w="698" w:type="dxa"/>
            <w:tcBorders>
              <w:top w:val="nil"/>
              <w:left w:val="nil"/>
              <w:bottom w:val="single" w:sz="4" w:space="0" w:color="auto"/>
              <w:right w:val="single" w:sz="4" w:space="0" w:color="auto"/>
            </w:tcBorders>
            <w:shd w:val="clear" w:color="000000" w:fill="FFFF99"/>
            <w:noWrap/>
            <w:vAlign w:val="center"/>
            <w:hideMark/>
          </w:tcPr>
          <w:p w14:paraId="26D5FB84" w14:textId="77777777" w:rsidR="001752B7" w:rsidRPr="001752B7" w:rsidRDefault="001752B7" w:rsidP="001752B7">
            <w:pPr>
              <w:spacing w:after="0" w:line="240" w:lineRule="auto"/>
              <w:jc w:val="right"/>
              <w:rPr>
                <w:rFonts w:ascii="Tahoma" w:eastAsia="Times New Roman" w:hAnsi="Tahoma" w:cs="Tahoma"/>
                <w:sz w:val="20"/>
                <w:szCs w:val="20"/>
                <w:lang w:eastAsia="hr-HR"/>
              </w:rPr>
            </w:pPr>
            <w:r w:rsidRPr="001752B7">
              <w:rPr>
                <w:rFonts w:ascii="Tahoma" w:eastAsia="Times New Roman" w:hAnsi="Tahoma" w:cs="Tahoma"/>
                <w:sz w:val="20"/>
                <w:szCs w:val="20"/>
                <w:lang w:eastAsia="hr-HR"/>
              </w:rPr>
              <w:t> </w:t>
            </w:r>
          </w:p>
        </w:tc>
        <w:tc>
          <w:tcPr>
            <w:tcW w:w="698" w:type="dxa"/>
            <w:tcBorders>
              <w:top w:val="nil"/>
              <w:left w:val="nil"/>
              <w:bottom w:val="single" w:sz="4" w:space="0" w:color="auto"/>
              <w:right w:val="single" w:sz="4" w:space="0" w:color="auto"/>
            </w:tcBorders>
            <w:shd w:val="clear" w:color="000000" w:fill="FFFF99"/>
            <w:noWrap/>
            <w:vAlign w:val="center"/>
            <w:hideMark/>
          </w:tcPr>
          <w:p w14:paraId="7A1EC0C1" w14:textId="77777777" w:rsidR="001752B7" w:rsidRPr="001752B7" w:rsidRDefault="001752B7" w:rsidP="001752B7">
            <w:pPr>
              <w:spacing w:after="0" w:line="240" w:lineRule="auto"/>
              <w:jc w:val="right"/>
              <w:rPr>
                <w:rFonts w:ascii="Tahoma" w:eastAsia="Times New Roman" w:hAnsi="Tahoma" w:cs="Tahoma"/>
                <w:sz w:val="20"/>
                <w:szCs w:val="20"/>
                <w:lang w:eastAsia="hr-HR"/>
              </w:rPr>
            </w:pPr>
            <w:r w:rsidRPr="001752B7">
              <w:rPr>
                <w:rFonts w:ascii="Tahoma" w:eastAsia="Times New Roman" w:hAnsi="Tahoma" w:cs="Tahoma"/>
                <w:sz w:val="20"/>
                <w:szCs w:val="20"/>
                <w:lang w:eastAsia="hr-HR"/>
              </w:rPr>
              <w:t> </w:t>
            </w:r>
          </w:p>
        </w:tc>
        <w:tc>
          <w:tcPr>
            <w:tcW w:w="469" w:type="dxa"/>
            <w:tcBorders>
              <w:top w:val="nil"/>
              <w:left w:val="nil"/>
              <w:bottom w:val="single" w:sz="4" w:space="0" w:color="auto"/>
              <w:right w:val="single" w:sz="4" w:space="0" w:color="auto"/>
            </w:tcBorders>
            <w:shd w:val="clear" w:color="000000" w:fill="FF9900"/>
            <w:noWrap/>
            <w:vAlign w:val="center"/>
            <w:hideMark/>
          </w:tcPr>
          <w:p w14:paraId="08D5A919" w14:textId="77777777" w:rsidR="001752B7" w:rsidRPr="001752B7" w:rsidRDefault="001752B7" w:rsidP="001752B7">
            <w:pPr>
              <w:spacing w:after="0" w:line="240" w:lineRule="auto"/>
              <w:jc w:val="right"/>
              <w:rPr>
                <w:rFonts w:ascii="Tahoma" w:eastAsia="Times New Roman" w:hAnsi="Tahoma" w:cs="Tahoma"/>
                <w:sz w:val="20"/>
                <w:szCs w:val="20"/>
                <w:lang w:eastAsia="hr-HR"/>
              </w:rPr>
            </w:pPr>
            <w:r w:rsidRPr="001752B7">
              <w:rPr>
                <w:rFonts w:ascii="Tahoma" w:eastAsia="Times New Roman" w:hAnsi="Tahoma" w:cs="Tahoma"/>
                <w:sz w:val="20"/>
                <w:szCs w:val="20"/>
                <w:lang w:eastAsia="hr-HR"/>
              </w:rPr>
              <w:t> </w:t>
            </w:r>
          </w:p>
        </w:tc>
        <w:tc>
          <w:tcPr>
            <w:tcW w:w="419" w:type="dxa"/>
            <w:tcBorders>
              <w:top w:val="nil"/>
              <w:left w:val="nil"/>
              <w:bottom w:val="single" w:sz="4" w:space="0" w:color="auto"/>
              <w:right w:val="single" w:sz="4" w:space="0" w:color="auto"/>
            </w:tcBorders>
            <w:shd w:val="clear" w:color="000000" w:fill="FF9900"/>
            <w:noWrap/>
            <w:vAlign w:val="center"/>
            <w:hideMark/>
          </w:tcPr>
          <w:p w14:paraId="07C4D6AA" w14:textId="77777777" w:rsidR="001752B7" w:rsidRPr="001752B7" w:rsidRDefault="001752B7" w:rsidP="001752B7">
            <w:pPr>
              <w:spacing w:after="0" w:line="240" w:lineRule="auto"/>
              <w:jc w:val="right"/>
              <w:rPr>
                <w:rFonts w:ascii="Tahoma" w:eastAsia="Times New Roman" w:hAnsi="Tahoma" w:cs="Tahoma"/>
                <w:sz w:val="20"/>
                <w:szCs w:val="20"/>
                <w:lang w:eastAsia="hr-HR"/>
              </w:rPr>
            </w:pPr>
            <w:r w:rsidRPr="001752B7">
              <w:rPr>
                <w:rFonts w:ascii="Tahoma" w:eastAsia="Times New Roman" w:hAnsi="Tahoma" w:cs="Tahoma"/>
                <w:sz w:val="20"/>
                <w:szCs w:val="20"/>
                <w:lang w:eastAsia="hr-HR"/>
              </w:rPr>
              <w:t> </w:t>
            </w:r>
          </w:p>
        </w:tc>
        <w:tc>
          <w:tcPr>
            <w:tcW w:w="521" w:type="dxa"/>
            <w:tcBorders>
              <w:top w:val="nil"/>
              <w:left w:val="nil"/>
              <w:bottom w:val="single" w:sz="4" w:space="0" w:color="auto"/>
              <w:right w:val="single" w:sz="4" w:space="0" w:color="auto"/>
            </w:tcBorders>
            <w:shd w:val="clear" w:color="000000" w:fill="FF9900"/>
            <w:noWrap/>
            <w:vAlign w:val="center"/>
            <w:hideMark/>
          </w:tcPr>
          <w:p w14:paraId="256BDC2D" w14:textId="77777777" w:rsidR="001752B7" w:rsidRPr="001752B7" w:rsidRDefault="001752B7" w:rsidP="001752B7">
            <w:pPr>
              <w:spacing w:after="0" w:line="240" w:lineRule="auto"/>
              <w:jc w:val="right"/>
              <w:rPr>
                <w:rFonts w:ascii="Tahoma" w:eastAsia="Times New Roman" w:hAnsi="Tahoma" w:cs="Tahoma"/>
                <w:sz w:val="20"/>
                <w:szCs w:val="20"/>
                <w:lang w:eastAsia="hr-HR"/>
              </w:rPr>
            </w:pPr>
            <w:r w:rsidRPr="001752B7">
              <w:rPr>
                <w:rFonts w:ascii="Tahoma" w:eastAsia="Times New Roman" w:hAnsi="Tahoma" w:cs="Tahoma"/>
                <w:sz w:val="20"/>
                <w:szCs w:val="20"/>
                <w:lang w:eastAsia="hr-HR"/>
              </w:rPr>
              <w:t> </w:t>
            </w:r>
          </w:p>
        </w:tc>
        <w:tc>
          <w:tcPr>
            <w:tcW w:w="476" w:type="dxa"/>
            <w:tcBorders>
              <w:top w:val="nil"/>
              <w:left w:val="nil"/>
              <w:bottom w:val="single" w:sz="4" w:space="0" w:color="auto"/>
              <w:right w:val="single" w:sz="4" w:space="0" w:color="auto"/>
            </w:tcBorders>
            <w:shd w:val="clear" w:color="000000" w:fill="FFFF00"/>
            <w:vAlign w:val="center"/>
            <w:hideMark/>
          </w:tcPr>
          <w:p w14:paraId="35EA6877" w14:textId="77777777" w:rsidR="001752B7" w:rsidRPr="001752B7" w:rsidRDefault="001752B7" w:rsidP="001752B7">
            <w:pPr>
              <w:spacing w:after="0" w:line="240" w:lineRule="auto"/>
              <w:jc w:val="right"/>
              <w:rPr>
                <w:rFonts w:ascii="Tahoma" w:eastAsia="Times New Roman" w:hAnsi="Tahoma" w:cs="Tahoma"/>
                <w:sz w:val="20"/>
                <w:szCs w:val="20"/>
                <w:lang w:eastAsia="hr-HR"/>
              </w:rPr>
            </w:pPr>
            <w:r w:rsidRPr="001752B7">
              <w:rPr>
                <w:rFonts w:ascii="Tahoma" w:eastAsia="Times New Roman" w:hAnsi="Tahoma" w:cs="Tahoma"/>
                <w:sz w:val="20"/>
                <w:szCs w:val="20"/>
                <w:lang w:eastAsia="hr-HR"/>
              </w:rPr>
              <w:t> </w:t>
            </w:r>
          </w:p>
        </w:tc>
        <w:tc>
          <w:tcPr>
            <w:tcW w:w="698" w:type="dxa"/>
            <w:tcBorders>
              <w:top w:val="nil"/>
              <w:left w:val="nil"/>
              <w:bottom w:val="single" w:sz="4" w:space="0" w:color="auto"/>
              <w:right w:val="single" w:sz="4" w:space="0" w:color="auto"/>
            </w:tcBorders>
            <w:shd w:val="clear" w:color="000000" w:fill="FF9900"/>
            <w:vAlign w:val="center"/>
            <w:hideMark/>
          </w:tcPr>
          <w:p w14:paraId="7CB666F5" w14:textId="77777777" w:rsidR="001752B7" w:rsidRPr="001752B7" w:rsidRDefault="001752B7" w:rsidP="001752B7">
            <w:pPr>
              <w:spacing w:after="0" w:line="240" w:lineRule="auto"/>
              <w:jc w:val="right"/>
              <w:rPr>
                <w:rFonts w:ascii="Tahoma" w:eastAsia="Times New Roman" w:hAnsi="Tahoma" w:cs="Tahoma"/>
                <w:sz w:val="20"/>
                <w:szCs w:val="20"/>
                <w:lang w:eastAsia="hr-HR"/>
              </w:rPr>
            </w:pPr>
            <w:r w:rsidRPr="001752B7">
              <w:rPr>
                <w:rFonts w:ascii="Tahoma" w:eastAsia="Times New Roman" w:hAnsi="Tahoma" w:cs="Tahoma"/>
                <w:sz w:val="20"/>
                <w:szCs w:val="20"/>
                <w:lang w:eastAsia="hr-HR"/>
              </w:rPr>
              <w:t>1</w:t>
            </w:r>
          </w:p>
        </w:tc>
        <w:tc>
          <w:tcPr>
            <w:tcW w:w="643" w:type="dxa"/>
            <w:tcBorders>
              <w:top w:val="nil"/>
              <w:left w:val="nil"/>
              <w:bottom w:val="single" w:sz="4" w:space="0" w:color="auto"/>
              <w:right w:val="single" w:sz="4" w:space="0" w:color="auto"/>
            </w:tcBorders>
            <w:shd w:val="clear" w:color="000000" w:fill="FF9900"/>
            <w:noWrap/>
            <w:vAlign w:val="center"/>
            <w:hideMark/>
          </w:tcPr>
          <w:p w14:paraId="7C98BB03" w14:textId="77777777" w:rsidR="001752B7" w:rsidRPr="001752B7" w:rsidRDefault="001752B7" w:rsidP="001752B7">
            <w:pPr>
              <w:spacing w:after="0" w:line="240" w:lineRule="auto"/>
              <w:jc w:val="right"/>
              <w:rPr>
                <w:rFonts w:ascii="Tahoma" w:eastAsia="Times New Roman" w:hAnsi="Tahoma" w:cs="Tahoma"/>
                <w:sz w:val="20"/>
                <w:szCs w:val="20"/>
                <w:lang w:eastAsia="hr-HR"/>
              </w:rPr>
            </w:pPr>
            <w:r w:rsidRPr="001752B7">
              <w:rPr>
                <w:rFonts w:ascii="Tahoma" w:eastAsia="Times New Roman" w:hAnsi="Tahoma" w:cs="Tahoma"/>
                <w:sz w:val="20"/>
                <w:szCs w:val="20"/>
                <w:lang w:eastAsia="hr-HR"/>
              </w:rPr>
              <w:t> </w:t>
            </w:r>
          </w:p>
        </w:tc>
        <w:tc>
          <w:tcPr>
            <w:tcW w:w="605" w:type="dxa"/>
            <w:tcBorders>
              <w:top w:val="nil"/>
              <w:left w:val="nil"/>
              <w:bottom w:val="single" w:sz="4" w:space="0" w:color="auto"/>
              <w:right w:val="single" w:sz="4" w:space="0" w:color="auto"/>
            </w:tcBorders>
            <w:shd w:val="clear" w:color="000000" w:fill="FF9900"/>
            <w:noWrap/>
            <w:vAlign w:val="center"/>
            <w:hideMark/>
          </w:tcPr>
          <w:p w14:paraId="0A4B6598" w14:textId="77777777" w:rsidR="001752B7" w:rsidRPr="001752B7" w:rsidRDefault="001752B7" w:rsidP="001752B7">
            <w:pPr>
              <w:spacing w:after="0" w:line="240" w:lineRule="auto"/>
              <w:jc w:val="right"/>
              <w:rPr>
                <w:rFonts w:ascii="Tahoma" w:eastAsia="Times New Roman" w:hAnsi="Tahoma" w:cs="Tahoma"/>
                <w:sz w:val="20"/>
                <w:szCs w:val="20"/>
                <w:lang w:eastAsia="hr-HR"/>
              </w:rPr>
            </w:pPr>
            <w:r w:rsidRPr="001752B7">
              <w:rPr>
                <w:rFonts w:ascii="Tahoma" w:eastAsia="Times New Roman" w:hAnsi="Tahoma" w:cs="Tahoma"/>
                <w:sz w:val="20"/>
                <w:szCs w:val="20"/>
                <w:lang w:eastAsia="hr-HR"/>
              </w:rPr>
              <w:t> </w:t>
            </w:r>
          </w:p>
        </w:tc>
        <w:tc>
          <w:tcPr>
            <w:tcW w:w="698" w:type="dxa"/>
            <w:tcBorders>
              <w:top w:val="nil"/>
              <w:left w:val="nil"/>
              <w:bottom w:val="single" w:sz="4" w:space="0" w:color="auto"/>
              <w:right w:val="single" w:sz="4" w:space="0" w:color="auto"/>
            </w:tcBorders>
            <w:shd w:val="clear" w:color="000000" w:fill="FF9900"/>
            <w:noWrap/>
            <w:vAlign w:val="center"/>
            <w:hideMark/>
          </w:tcPr>
          <w:p w14:paraId="0985234E" w14:textId="77777777" w:rsidR="001752B7" w:rsidRPr="001752B7" w:rsidRDefault="001752B7" w:rsidP="001752B7">
            <w:pPr>
              <w:spacing w:after="0" w:line="240" w:lineRule="auto"/>
              <w:jc w:val="right"/>
              <w:rPr>
                <w:rFonts w:ascii="Tahoma" w:eastAsia="Times New Roman" w:hAnsi="Tahoma" w:cs="Tahoma"/>
                <w:sz w:val="20"/>
                <w:szCs w:val="20"/>
                <w:lang w:eastAsia="hr-HR"/>
              </w:rPr>
            </w:pPr>
            <w:r w:rsidRPr="001752B7">
              <w:rPr>
                <w:rFonts w:ascii="Tahoma" w:eastAsia="Times New Roman" w:hAnsi="Tahoma" w:cs="Tahoma"/>
                <w:sz w:val="20"/>
                <w:szCs w:val="20"/>
                <w:lang w:eastAsia="hr-HR"/>
              </w:rPr>
              <w:t> </w:t>
            </w:r>
          </w:p>
        </w:tc>
        <w:tc>
          <w:tcPr>
            <w:tcW w:w="464" w:type="dxa"/>
            <w:tcBorders>
              <w:top w:val="nil"/>
              <w:left w:val="nil"/>
              <w:bottom w:val="single" w:sz="4" w:space="0" w:color="auto"/>
              <w:right w:val="single" w:sz="4" w:space="0" w:color="auto"/>
            </w:tcBorders>
            <w:shd w:val="clear" w:color="000000" w:fill="CCFFFF"/>
            <w:noWrap/>
            <w:vAlign w:val="center"/>
            <w:hideMark/>
          </w:tcPr>
          <w:p w14:paraId="53A82BD2" w14:textId="77777777" w:rsidR="001752B7" w:rsidRPr="001752B7" w:rsidRDefault="001752B7" w:rsidP="001752B7">
            <w:pPr>
              <w:spacing w:after="0" w:line="240" w:lineRule="auto"/>
              <w:jc w:val="right"/>
              <w:rPr>
                <w:rFonts w:ascii="Tahoma" w:eastAsia="Times New Roman" w:hAnsi="Tahoma" w:cs="Tahoma"/>
                <w:sz w:val="20"/>
                <w:szCs w:val="20"/>
                <w:lang w:eastAsia="hr-HR"/>
              </w:rPr>
            </w:pPr>
            <w:r w:rsidRPr="001752B7">
              <w:rPr>
                <w:rFonts w:ascii="Tahoma" w:eastAsia="Times New Roman" w:hAnsi="Tahoma" w:cs="Tahoma"/>
                <w:sz w:val="20"/>
                <w:szCs w:val="20"/>
                <w:lang w:eastAsia="hr-HR"/>
              </w:rPr>
              <w:t> </w:t>
            </w:r>
          </w:p>
        </w:tc>
        <w:tc>
          <w:tcPr>
            <w:tcW w:w="425" w:type="dxa"/>
            <w:tcBorders>
              <w:top w:val="nil"/>
              <w:left w:val="nil"/>
              <w:bottom w:val="single" w:sz="4" w:space="0" w:color="auto"/>
              <w:right w:val="single" w:sz="4" w:space="0" w:color="auto"/>
            </w:tcBorders>
            <w:shd w:val="clear" w:color="000000" w:fill="CCFFFF"/>
            <w:noWrap/>
            <w:vAlign w:val="center"/>
            <w:hideMark/>
          </w:tcPr>
          <w:p w14:paraId="75A5F1E0" w14:textId="77777777" w:rsidR="001752B7" w:rsidRPr="001752B7" w:rsidRDefault="001752B7" w:rsidP="001752B7">
            <w:pPr>
              <w:spacing w:after="0" w:line="240" w:lineRule="auto"/>
              <w:jc w:val="right"/>
              <w:rPr>
                <w:rFonts w:ascii="Tahoma" w:eastAsia="Times New Roman" w:hAnsi="Tahoma" w:cs="Tahoma"/>
                <w:sz w:val="20"/>
                <w:szCs w:val="20"/>
                <w:lang w:eastAsia="hr-HR"/>
              </w:rPr>
            </w:pPr>
            <w:r w:rsidRPr="001752B7">
              <w:rPr>
                <w:rFonts w:ascii="Tahoma" w:eastAsia="Times New Roman" w:hAnsi="Tahoma" w:cs="Tahoma"/>
                <w:sz w:val="20"/>
                <w:szCs w:val="20"/>
                <w:lang w:eastAsia="hr-HR"/>
              </w:rPr>
              <w:t> </w:t>
            </w:r>
          </w:p>
        </w:tc>
        <w:tc>
          <w:tcPr>
            <w:tcW w:w="426" w:type="dxa"/>
            <w:tcBorders>
              <w:top w:val="nil"/>
              <w:left w:val="nil"/>
              <w:bottom w:val="single" w:sz="4" w:space="0" w:color="auto"/>
              <w:right w:val="single" w:sz="4" w:space="0" w:color="auto"/>
            </w:tcBorders>
            <w:shd w:val="clear" w:color="000000" w:fill="CCFFFF"/>
            <w:noWrap/>
            <w:vAlign w:val="center"/>
            <w:hideMark/>
          </w:tcPr>
          <w:p w14:paraId="7A3D0F5D" w14:textId="77777777" w:rsidR="001752B7" w:rsidRPr="001752B7" w:rsidRDefault="001752B7" w:rsidP="001752B7">
            <w:pPr>
              <w:spacing w:after="0" w:line="240" w:lineRule="auto"/>
              <w:jc w:val="right"/>
              <w:rPr>
                <w:rFonts w:ascii="Tahoma" w:eastAsia="Times New Roman" w:hAnsi="Tahoma" w:cs="Tahoma"/>
                <w:sz w:val="20"/>
                <w:szCs w:val="20"/>
                <w:lang w:eastAsia="hr-HR"/>
              </w:rPr>
            </w:pPr>
            <w:r w:rsidRPr="001752B7">
              <w:rPr>
                <w:rFonts w:ascii="Tahoma" w:eastAsia="Times New Roman" w:hAnsi="Tahoma" w:cs="Tahoma"/>
                <w:sz w:val="20"/>
                <w:szCs w:val="20"/>
                <w:lang w:eastAsia="hr-HR"/>
              </w:rPr>
              <w:t> </w:t>
            </w:r>
          </w:p>
        </w:tc>
        <w:tc>
          <w:tcPr>
            <w:tcW w:w="487" w:type="dxa"/>
            <w:tcBorders>
              <w:top w:val="nil"/>
              <w:left w:val="nil"/>
              <w:bottom w:val="single" w:sz="4" w:space="0" w:color="auto"/>
              <w:right w:val="nil"/>
            </w:tcBorders>
            <w:shd w:val="clear" w:color="000000" w:fill="33CCCC"/>
            <w:noWrap/>
            <w:vAlign w:val="center"/>
            <w:hideMark/>
          </w:tcPr>
          <w:p w14:paraId="13835FB2" w14:textId="77777777" w:rsidR="001752B7" w:rsidRPr="001752B7" w:rsidRDefault="001752B7" w:rsidP="001752B7">
            <w:pPr>
              <w:spacing w:after="0" w:line="240" w:lineRule="auto"/>
              <w:jc w:val="right"/>
              <w:rPr>
                <w:rFonts w:ascii="Tahoma" w:eastAsia="Times New Roman" w:hAnsi="Tahoma" w:cs="Tahoma"/>
                <w:sz w:val="20"/>
                <w:szCs w:val="20"/>
                <w:lang w:eastAsia="hr-HR"/>
              </w:rPr>
            </w:pPr>
            <w:r w:rsidRPr="001752B7">
              <w:rPr>
                <w:rFonts w:ascii="Tahoma" w:eastAsia="Times New Roman" w:hAnsi="Tahoma" w:cs="Tahoma"/>
                <w:sz w:val="20"/>
                <w:szCs w:val="20"/>
                <w:lang w:eastAsia="hr-HR"/>
              </w:rPr>
              <w:t> </w:t>
            </w:r>
          </w:p>
        </w:tc>
        <w:tc>
          <w:tcPr>
            <w:tcW w:w="425" w:type="dxa"/>
            <w:tcBorders>
              <w:top w:val="nil"/>
              <w:left w:val="single" w:sz="4" w:space="0" w:color="auto"/>
              <w:bottom w:val="single" w:sz="4" w:space="0" w:color="auto"/>
              <w:right w:val="single" w:sz="8" w:space="0" w:color="auto"/>
            </w:tcBorders>
            <w:shd w:val="clear" w:color="000000" w:fill="33CCCC"/>
            <w:noWrap/>
            <w:vAlign w:val="center"/>
            <w:hideMark/>
          </w:tcPr>
          <w:p w14:paraId="31FADB59" w14:textId="77777777" w:rsidR="001752B7" w:rsidRPr="001752B7" w:rsidRDefault="001752B7" w:rsidP="001752B7">
            <w:pPr>
              <w:spacing w:after="0" w:line="240" w:lineRule="auto"/>
              <w:jc w:val="right"/>
              <w:rPr>
                <w:rFonts w:ascii="Tahoma" w:eastAsia="Times New Roman" w:hAnsi="Tahoma" w:cs="Tahoma"/>
                <w:sz w:val="20"/>
                <w:szCs w:val="20"/>
                <w:lang w:eastAsia="hr-HR"/>
              </w:rPr>
            </w:pPr>
            <w:r w:rsidRPr="001752B7">
              <w:rPr>
                <w:rFonts w:ascii="Tahoma" w:eastAsia="Times New Roman" w:hAnsi="Tahoma" w:cs="Tahoma"/>
                <w:sz w:val="20"/>
                <w:szCs w:val="20"/>
                <w:lang w:eastAsia="hr-HR"/>
              </w:rPr>
              <w:t> </w:t>
            </w:r>
          </w:p>
        </w:tc>
        <w:tc>
          <w:tcPr>
            <w:tcW w:w="236" w:type="dxa"/>
            <w:vAlign w:val="center"/>
            <w:hideMark/>
          </w:tcPr>
          <w:p w14:paraId="7FBDBB32" w14:textId="77777777" w:rsidR="001752B7" w:rsidRPr="001752B7" w:rsidRDefault="001752B7" w:rsidP="001752B7">
            <w:pPr>
              <w:spacing w:after="0" w:line="240" w:lineRule="auto"/>
              <w:rPr>
                <w:rFonts w:ascii="Times New Roman" w:eastAsia="Times New Roman" w:hAnsi="Times New Roman" w:cs="Times New Roman"/>
                <w:sz w:val="20"/>
                <w:szCs w:val="20"/>
                <w:lang w:eastAsia="hr-HR"/>
              </w:rPr>
            </w:pPr>
          </w:p>
        </w:tc>
      </w:tr>
      <w:tr w:rsidR="001752B7" w:rsidRPr="001752B7" w14:paraId="4077E534" w14:textId="77777777" w:rsidTr="000271A1">
        <w:trPr>
          <w:gridAfter w:val="1"/>
          <w:wAfter w:w="31" w:type="dxa"/>
          <w:trHeight w:val="300"/>
        </w:trPr>
        <w:tc>
          <w:tcPr>
            <w:tcW w:w="1408" w:type="dxa"/>
            <w:tcBorders>
              <w:top w:val="single" w:sz="4" w:space="0" w:color="auto"/>
              <w:left w:val="single" w:sz="8" w:space="0" w:color="auto"/>
              <w:bottom w:val="single" w:sz="4" w:space="0" w:color="auto"/>
              <w:right w:val="single" w:sz="4" w:space="0" w:color="auto"/>
            </w:tcBorders>
            <w:shd w:val="clear" w:color="000000" w:fill="CCFFCC"/>
            <w:vAlign w:val="center"/>
            <w:hideMark/>
          </w:tcPr>
          <w:p w14:paraId="6133364A" w14:textId="77777777" w:rsidR="001752B7" w:rsidRPr="001752B7" w:rsidRDefault="001752B7" w:rsidP="001752B7">
            <w:pPr>
              <w:spacing w:after="0" w:line="240" w:lineRule="auto"/>
              <w:rPr>
                <w:rFonts w:ascii="Tahoma" w:eastAsia="Times New Roman" w:hAnsi="Tahoma" w:cs="Tahoma"/>
                <w:sz w:val="20"/>
                <w:szCs w:val="20"/>
                <w:lang w:eastAsia="hr-HR"/>
              </w:rPr>
            </w:pPr>
            <w:r w:rsidRPr="001752B7">
              <w:rPr>
                <w:rFonts w:ascii="Tahoma" w:eastAsia="Times New Roman" w:hAnsi="Tahoma" w:cs="Tahoma"/>
                <w:sz w:val="20"/>
                <w:szCs w:val="20"/>
                <w:lang w:eastAsia="hr-HR"/>
              </w:rPr>
              <w:t>Rodni identitet rodno izražavanje</w:t>
            </w:r>
          </w:p>
        </w:tc>
        <w:tc>
          <w:tcPr>
            <w:tcW w:w="673" w:type="dxa"/>
            <w:tcBorders>
              <w:top w:val="nil"/>
              <w:left w:val="nil"/>
              <w:bottom w:val="single" w:sz="4" w:space="0" w:color="auto"/>
              <w:right w:val="single" w:sz="4" w:space="0" w:color="auto"/>
            </w:tcBorders>
            <w:shd w:val="clear" w:color="000000" w:fill="FFCC99"/>
            <w:noWrap/>
            <w:vAlign w:val="center"/>
            <w:hideMark/>
          </w:tcPr>
          <w:p w14:paraId="04B69C96" w14:textId="77777777" w:rsidR="001752B7" w:rsidRPr="001752B7" w:rsidRDefault="001752B7" w:rsidP="001752B7">
            <w:pPr>
              <w:spacing w:after="0" w:line="240" w:lineRule="auto"/>
              <w:jc w:val="right"/>
              <w:rPr>
                <w:rFonts w:ascii="Tahoma" w:eastAsia="Times New Roman" w:hAnsi="Tahoma" w:cs="Tahoma"/>
                <w:sz w:val="20"/>
                <w:szCs w:val="20"/>
                <w:lang w:eastAsia="hr-HR"/>
              </w:rPr>
            </w:pPr>
            <w:r w:rsidRPr="001752B7">
              <w:rPr>
                <w:rFonts w:ascii="Tahoma" w:eastAsia="Times New Roman" w:hAnsi="Tahoma" w:cs="Tahoma"/>
                <w:sz w:val="20"/>
                <w:szCs w:val="20"/>
                <w:lang w:eastAsia="hr-HR"/>
              </w:rPr>
              <w:t> </w:t>
            </w:r>
          </w:p>
        </w:tc>
        <w:tc>
          <w:tcPr>
            <w:tcW w:w="521" w:type="dxa"/>
            <w:tcBorders>
              <w:top w:val="nil"/>
              <w:left w:val="nil"/>
              <w:bottom w:val="single" w:sz="4" w:space="0" w:color="auto"/>
              <w:right w:val="single" w:sz="4" w:space="0" w:color="auto"/>
            </w:tcBorders>
            <w:shd w:val="clear" w:color="000000" w:fill="FFFF00"/>
            <w:noWrap/>
            <w:vAlign w:val="center"/>
            <w:hideMark/>
          </w:tcPr>
          <w:p w14:paraId="6CA1E8F4" w14:textId="77777777" w:rsidR="001752B7" w:rsidRPr="001752B7" w:rsidRDefault="001752B7" w:rsidP="001752B7">
            <w:pPr>
              <w:spacing w:after="0" w:line="240" w:lineRule="auto"/>
              <w:jc w:val="right"/>
              <w:rPr>
                <w:rFonts w:ascii="Tahoma" w:eastAsia="Times New Roman" w:hAnsi="Tahoma" w:cs="Tahoma"/>
                <w:sz w:val="20"/>
                <w:szCs w:val="20"/>
                <w:lang w:eastAsia="hr-HR"/>
              </w:rPr>
            </w:pPr>
            <w:r w:rsidRPr="001752B7">
              <w:rPr>
                <w:rFonts w:ascii="Tahoma" w:eastAsia="Times New Roman" w:hAnsi="Tahoma" w:cs="Tahoma"/>
                <w:sz w:val="20"/>
                <w:szCs w:val="20"/>
                <w:lang w:eastAsia="hr-HR"/>
              </w:rPr>
              <w:t> </w:t>
            </w:r>
          </w:p>
        </w:tc>
        <w:tc>
          <w:tcPr>
            <w:tcW w:w="477" w:type="dxa"/>
            <w:tcBorders>
              <w:top w:val="nil"/>
              <w:left w:val="nil"/>
              <w:bottom w:val="single" w:sz="4" w:space="0" w:color="auto"/>
              <w:right w:val="single" w:sz="4" w:space="0" w:color="auto"/>
            </w:tcBorders>
            <w:shd w:val="clear" w:color="000000" w:fill="CCFFFF"/>
            <w:noWrap/>
            <w:vAlign w:val="center"/>
            <w:hideMark/>
          </w:tcPr>
          <w:p w14:paraId="1A72B6E7" w14:textId="77777777" w:rsidR="001752B7" w:rsidRPr="001752B7" w:rsidRDefault="001752B7" w:rsidP="001752B7">
            <w:pPr>
              <w:spacing w:after="0" w:line="240" w:lineRule="auto"/>
              <w:jc w:val="right"/>
              <w:rPr>
                <w:rFonts w:ascii="Tahoma" w:eastAsia="Times New Roman" w:hAnsi="Tahoma" w:cs="Tahoma"/>
                <w:sz w:val="20"/>
                <w:szCs w:val="20"/>
                <w:lang w:eastAsia="hr-HR"/>
              </w:rPr>
            </w:pPr>
            <w:r w:rsidRPr="001752B7">
              <w:rPr>
                <w:rFonts w:ascii="Tahoma" w:eastAsia="Times New Roman" w:hAnsi="Tahoma" w:cs="Tahoma"/>
                <w:sz w:val="20"/>
                <w:szCs w:val="20"/>
                <w:lang w:eastAsia="hr-HR"/>
              </w:rPr>
              <w:t> </w:t>
            </w:r>
          </w:p>
        </w:tc>
        <w:tc>
          <w:tcPr>
            <w:tcW w:w="426" w:type="dxa"/>
            <w:tcBorders>
              <w:top w:val="nil"/>
              <w:left w:val="nil"/>
              <w:bottom w:val="single" w:sz="4" w:space="0" w:color="auto"/>
              <w:right w:val="single" w:sz="4" w:space="0" w:color="auto"/>
            </w:tcBorders>
            <w:shd w:val="clear" w:color="000000" w:fill="CCFFFF"/>
            <w:noWrap/>
            <w:vAlign w:val="center"/>
            <w:hideMark/>
          </w:tcPr>
          <w:p w14:paraId="3DDF82E0" w14:textId="77777777" w:rsidR="001752B7" w:rsidRPr="001752B7" w:rsidRDefault="001752B7" w:rsidP="001752B7">
            <w:pPr>
              <w:spacing w:after="0" w:line="240" w:lineRule="auto"/>
              <w:jc w:val="right"/>
              <w:rPr>
                <w:rFonts w:ascii="Tahoma" w:eastAsia="Times New Roman" w:hAnsi="Tahoma" w:cs="Tahoma"/>
                <w:sz w:val="20"/>
                <w:szCs w:val="20"/>
                <w:lang w:eastAsia="hr-HR"/>
              </w:rPr>
            </w:pPr>
            <w:r w:rsidRPr="001752B7">
              <w:rPr>
                <w:rFonts w:ascii="Tahoma" w:eastAsia="Times New Roman" w:hAnsi="Tahoma" w:cs="Tahoma"/>
                <w:sz w:val="20"/>
                <w:szCs w:val="20"/>
                <w:lang w:eastAsia="hr-HR"/>
              </w:rPr>
              <w:t> </w:t>
            </w:r>
          </w:p>
        </w:tc>
        <w:tc>
          <w:tcPr>
            <w:tcW w:w="698" w:type="dxa"/>
            <w:tcBorders>
              <w:top w:val="nil"/>
              <w:left w:val="nil"/>
              <w:bottom w:val="single" w:sz="4" w:space="0" w:color="auto"/>
              <w:right w:val="single" w:sz="4" w:space="0" w:color="auto"/>
            </w:tcBorders>
            <w:shd w:val="clear" w:color="000000" w:fill="FFFF99"/>
            <w:noWrap/>
            <w:vAlign w:val="center"/>
            <w:hideMark/>
          </w:tcPr>
          <w:p w14:paraId="42ACA5BD" w14:textId="77777777" w:rsidR="001752B7" w:rsidRPr="001752B7" w:rsidRDefault="001752B7" w:rsidP="001752B7">
            <w:pPr>
              <w:spacing w:after="0" w:line="240" w:lineRule="auto"/>
              <w:jc w:val="right"/>
              <w:rPr>
                <w:rFonts w:ascii="Tahoma" w:eastAsia="Times New Roman" w:hAnsi="Tahoma" w:cs="Tahoma"/>
                <w:sz w:val="20"/>
                <w:szCs w:val="20"/>
                <w:lang w:eastAsia="hr-HR"/>
              </w:rPr>
            </w:pPr>
            <w:r w:rsidRPr="001752B7">
              <w:rPr>
                <w:rFonts w:ascii="Tahoma" w:eastAsia="Times New Roman" w:hAnsi="Tahoma" w:cs="Tahoma"/>
                <w:sz w:val="20"/>
                <w:szCs w:val="20"/>
                <w:lang w:eastAsia="hr-HR"/>
              </w:rPr>
              <w:t> </w:t>
            </w:r>
          </w:p>
        </w:tc>
        <w:tc>
          <w:tcPr>
            <w:tcW w:w="698" w:type="dxa"/>
            <w:tcBorders>
              <w:top w:val="nil"/>
              <w:left w:val="nil"/>
              <w:bottom w:val="single" w:sz="4" w:space="0" w:color="auto"/>
              <w:right w:val="single" w:sz="4" w:space="0" w:color="auto"/>
            </w:tcBorders>
            <w:shd w:val="clear" w:color="000000" w:fill="FFFF99"/>
            <w:noWrap/>
            <w:vAlign w:val="center"/>
            <w:hideMark/>
          </w:tcPr>
          <w:p w14:paraId="745F1FBF" w14:textId="77777777" w:rsidR="001752B7" w:rsidRPr="001752B7" w:rsidRDefault="001752B7" w:rsidP="001752B7">
            <w:pPr>
              <w:spacing w:after="0" w:line="240" w:lineRule="auto"/>
              <w:jc w:val="right"/>
              <w:rPr>
                <w:rFonts w:ascii="Tahoma" w:eastAsia="Times New Roman" w:hAnsi="Tahoma" w:cs="Tahoma"/>
                <w:sz w:val="20"/>
                <w:szCs w:val="20"/>
                <w:lang w:eastAsia="hr-HR"/>
              </w:rPr>
            </w:pPr>
            <w:r w:rsidRPr="001752B7">
              <w:rPr>
                <w:rFonts w:ascii="Tahoma" w:eastAsia="Times New Roman" w:hAnsi="Tahoma" w:cs="Tahoma"/>
                <w:sz w:val="20"/>
                <w:szCs w:val="20"/>
                <w:lang w:eastAsia="hr-HR"/>
              </w:rPr>
              <w:t> </w:t>
            </w:r>
          </w:p>
        </w:tc>
        <w:tc>
          <w:tcPr>
            <w:tcW w:w="698" w:type="dxa"/>
            <w:tcBorders>
              <w:top w:val="nil"/>
              <w:left w:val="nil"/>
              <w:bottom w:val="single" w:sz="4" w:space="0" w:color="auto"/>
              <w:right w:val="single" w:sz="4" w:space="0" w:color="auto"/>
            </w:tcBorders>
            <w:shd w:val="clear" w:color="000000" w:fill="FFFF99"/>
            <w:noWrap/>
            <w:vAlign w:val="center"/>
            <w:hideMark/>
          </w:tcPr>
          <w:p w14:paraId="0051C54C" w14:textId="77777777" w:rsidR="001752B7" w:rsidRPr="001752B7" w:rsidRDefault="001752B7" w:rsidP="001752B7">
            <w:pPr>
              <w:spacing w:after="0" w:line="240" w:lineRule="auto"/>
              <w:jc w:val="right"/>
              <w:rPr>
                <w:rFonts w:ascii="Tahoma" w:eastAsia="Times New Roman" w:hAnsi="Tahoma" w:cs="Tahoma"/>
                <w:sz w:val="20"/>
                <w:szCs w:val="20"/>
                <w:lang w:eastAsia="hr-HR"/>
              </w:rPr>
            </w:pPr>
            <w:r w:rsidRPr="001752B7">
              <w:rPr>
                <w:rFonts w:ascii="Tahoma" w:eastAsia="Times New Roman" w:hAnsi="Tahoma" w:cs="Tahoma"/>
                <w:sz w:val="20"/>
                <w:szCs w:val="20"/>
                <w:lang w:eastAsia="hr-HR"/>
              </w:rPr>
              <w:t> </w:t>
            </w:r>
          </w:p>
        </w:tc>
        <w:tc>
          <w:tcPr>
            <w:tcW w:w="698" w:type="dxa"/>
            <w:tcBorders>
              <w:top w:val="nil"/>
              <w:left w:val="nil"/>
              <w:bottom w:val="single" w:sz="4" w:space="0" w:color="auto"/>
              <w:right w:val="single" w:sz="4" w:space="0" w:color="auto"/>
            </w:tcBorders>
            <w:shd w:val="clear" w:color="000000" w:fill="FFFF99"/>
            <w:noWrap/>
            <w:vAlign w:val="center"/>
            <w:hideMark/>
          </w:tcPr>
          <w:p w14:paraId="5C0A9F18" w14:textId="77777777" w:rsidR="001752B7" w:rsidRPr="001752B7" w:rsidRDefault="001752B7" w:rsidP="001752B7">
            <w:pPr>
              <w:spacing w:after="0" w:line="240" w:lineRule="auto"/>
              <w:jc w:val="right"/>
              <w:rPr>
                <w:rFonts w:ascii="Tahoma" w:eastAsia="Times New Roman" w:hAnsi="Tahoma" w:cs="Tahoma"/>
                <w:sz w:val="20"/>
                <w:szCs w:val="20"/>
                <w:lang w:eastAsia="hr-HR"/>
              </w:rPr>
            </w:pPr>
            <w:r w:rsidRPr="001752B7">
              <w:rPr>
                <w:rFonts w:ascii="Tahoma" w:eastAsia="Times New Roman" w:hAnsi="Tahoma" w:cs="Tahoma"/>
                <w:sz w:val="20"/>
                <w:szCs w:val="20"/>
                <w:lang w:eastAsia="hr-HR"/>
              </w:rPr>
              <w:t> </w:t>
            </w:r>
          </w:p>
        </w:tc>
        <w:tc>
          <w:tcPr>
            <w:tcW w:w="698" w:type="dxa"/>
            <w:tcBorders>
              <w:top w:val="nil"/>
              <w:left w:val="nil"/>
              <w:bottom w:val="single" w:sz="4" w:space="0" w:color="auto"/>
              <w:right w:val="single" w:sz="4" w:space="0" w:color="auto"/>
            </w:tcBorders>
            <w:shd w:val="clear" w:color="000000" w:fill="FFFF99"/>
            <w:noWrap/>
            <w:vAlign w:val="center"/>
            <w:hideMark/>
          </w:tcPr>
          <w:p w14:paraId="1E863530" w14:textId="77777777" w:rsidR="001752B7" w:rsidRPr="001752B7" w:rsidRDefault="001752B7" w:rsidP="001752B7">
            <w:pPr>
              <w:spacing w:after="0" w:line="240" w:lineRule="auto"/>
              <w:jc w:val="right"/>
              <w:rPr>
                <w:rFonts w:ascii="Tahoma" w:eastAsia="Times New Roman" w:hAnsi="Tahoma" w:cs="Tahoma"/>
                <w:sz w:val="20"/>
                <w:szCs w:val="20"/>
                <w:lang w:eastAsia="hr-HR"/>
              </w:rPr>
            </w:pPr>
            <w:r w:rsidRPr="001752B7">
              <w:rPr>
                <w:rFonts w:ascii="Tahoma" w:eastAsia="Times New Roman" w:hAnsi="Tahoma" w:cs="Tahoma"/>
                <w:sz w:val="20"/>
                <w:szCs w:val="20"/>
                <w:lang w:eastAsia="hr-HR"/>
              </w:rPr>
              <w:t> </w:t>
            </w:r>
          </w:p>
        </w:tc>
        <w:tc>
          <w:tcPr>
            <w:tcW w:w="698" w:type="dxa"/>
            <w:tcBorders>
              <w:top w:val="nil"/>
              <w:left w:val="nil"/>
              <w:bottom w:val="single" w:sz="4" w:space="0" w:color="auto"/>
              <w:right w:val="single" w:sz="4" w:space="0" w:color="auto"/>
            </w:tcBorders>
            <w:shd w:val="clear" w:color="000000" w:fill="FFFF99"/>
            <w:noWrap/>
            <w:vAlign w:val="center"/>
            <w:hideMark/>
          </w:tcPr>
          <w:p w14:paraId="1DB32FA8" w14:textId="77777777" w:rsidR="001752B7" w:rsidRPr="001752B7" w:rsidRDefault="001752B7" w:rsidP="001752B7">
            <w:pPr>
              <w:spacing w:after="0" w:line="240" w:lineRule="auto"/>
              <w:jc w:val="right"/>
              <w:rPr>
                <w:rFonts w:ascii="Tahoma" w:eastAsia="Times New Roman" w:hAnsi="Tahoma" w:cs="Tahoma"/>
                <w:sz w:val="20"/>
                <w:szCs w:val="20"/>
                <w:lang w:eastAsia="hr-HR"/>
              </w:rPr>
            </w:pPr>
            <w:r w:rsidRPr="001752B7">
              <w:rPr>
                <w:rFonts w:ascii="Tahoma" w:eastAsia="Times New Roman" w:hAnsi="Tahoma" w:cs="Tahoma"/>
                <w:sz w:val="20"/>
                <w:szCs w:val="20"/>
                <w:lang w:eastAsia="hr-HR"/>
              </w:rPr>
              <w:t> </w:t>
            </w:r>
          </w:p>
        </w:tc>
        <w:tc>
          <w:tcPr>
            <w:tcW w:w="469" w:type="dxa"/>
            <w:tcBorders>
              <w:top w:val="nil"/>
              <w:left w:val="nil"/>
              <w:bottom w:val="single" w:sz="4" w:space="0" w:color="auto"/>
              <w:right w:val="single" w:sz="4" w:space="0" w:color="auto"/>
            </w:tcBorders>
            <w:shd w:val="clear" w:color="000000" w:fill="FF9900"/>
            <w:noWrap/>
            <w:vAlign w:val="center"/>
            <w:hideMark/>
          </w:tcPr>
          <w:p w14:paraId="7E3802DD" w14:textId="77777777" w:rsidR="001752B7" w:rsidRPr="001752B7" w:rsidRDefault="001752B7" w:rsidP="001752B7">
            <w:pPr>
              <w:spacing w:after="0" w:line="240" w:lineRule="auto"/>
              <w:jc w:val="right"/>
              <w:rPr>
                <w:rFonts w:ascii="Tahoma" w:eastAsia="Times New Roman" w:hAnsi="Tahoma" w:cs="Tahoma"/>
                <w:sz w:val="20"/>
                <w:szCs w:val="20"/>
                <w:lang w:eastAsia="hr-HR"/>
              </w:rPr>
            </w:pPr>
            <w:r w:rsidRPr="001752B7">
              <w:rPr>
                <w:rFonts w:ascii="Tahoma" w:eastAsia="Times New Roman" w:hAnsi="Tahoma" w:cs="Tahoma"/>
                <w:sz w:val="20"/>
                <w:szCs w:val="20"/>
                <w:lang w:eastAsia="hr-HR"/>
              </w:rPr>
              <w:t> </w:t>
            </w:r>
          </w:p>
        </w:tc>
        <w:tc>
          <w:tcPr>
            <w:tcW w:w="419" w:type="dxa"/>
            <w:tcBorders>
              <w:top w:val="nil"/>
              <w:left w:val="nil"/>
              <w:bottom w:val="single" w:sz="4" w:space="0" w:color="auto"/>
              <w:right w:val="single" w:sz="4" w:space="0" w:color="auto"/>
            </w:tcBorders>
            <w:shd w:val="clear" w:color="000000" w:fill="FF9900"/>
            <w:noWrap/>
            <w:vAlign w:val="center"/>
            <w:hideMark/>
          </w:tcPr>
          <w:p w14:paraId="45D2D963" w14:textId="77777777" w:rsidR="001752B7" w:rsidRPr="001752B7" w:rsidRDefault="001752B7" w:rsidP="001752B7">
            <w:pPr>
              <w:spacing w:after="0" w:line="240" w:lineRule="auto"/>
              <w:jc w:val="right"/>
              <w:rPr>
                <w:rFonts w:ascii="Tahoma" w:eastAsia="Times New Roman" w:hAnsi="Tahoma" w:cs="Tahoma"/>
                <w:sz w:val="20"/>
                <w:szCs w:val="20"/>
                <w:lang w:eastAsia="hr-HR"/>
              </w:rPr>
            </w:pPr>
            <w:r w:rsidRPr="001752B7">
              <w:rPr>
                <w:rFonts w:ascii="Tahoma" w:eastAsia="Times New Roman" w:hAnsi="Tahoma" w:cs="Tahoma"/>
                <w:sz w:val="20"/>
                <w:szCs w:val="20"/>
                <w:lang w:eastAsia="hr-HR"/>
              </w:rPr>
              <w:t> </w:t>
            </w:r>
          </w:p>
        </w:tc>
        <w:tc>
          <w:tcPr>
            <w:tcW w:w="521" w:type="dxa"/>
            <w:tcBorders>
              <w:top w:val="nil"/>
              <w:left w:val="nil"/>
              <w:bottom w:val="single" w:sz="4" w:space="0" w:color="auto"/>
              <w:right w:val="single" w:sz="4" w:space="0" w:color="auto"/>
            </w:tcBorders>
            <w:shd w:val="clear" w:color="000000" w:fill="FF9900"/>
            <w:noWrap/>
            <w:vAlign w:val="center"/>
            <w:hideMark/>
          </w:tcPr>
          <w:p w14:paraId="44EA839B" w14:textId="77777777" w:rsidR="001752B7" w:rsidRPr="001752B7" w:rsidRDefault="001752B7" w:rsidP="001752B7">
            <w:pPr>
              <w:spacing w:after="0" w:line="240" w:lineRule="auto"/>
              <w:jc w:val="right"/>
              <w:rPr>
                <w:rFonts w:ascii="Tahoma" w:eastAsia="Times New Roman" w:hAnsi="Tahoma" w:cs="Tahoma"/>
                <w:sz w:val="20"/>
                <w:szCs w:val="20"/>
                <w:lang w:eastAsia="hr-HR"/>
              </w:rPr>
            </w:pPr>
            <w:r w:rsidRPr="001752B7">
              <w:rPr>
                <w:rFonts w:ascii="Tahoma" w:eastAsia="Times New Roman" w:hAnsi="Tahoma" w:cs="Tahoma"/>
                <w:sz w:val="20"/>
                <w:szCs w:val="20"/>
                <w:lang w:eastAsia="hr-HR"/>
              </w:rPr>
              <w:t> </w:t>
            </w:r>
          </w:p>
        </w:tc>
        <w:tc>
          <w:tcPr>
            <w:tcW w:w="476" w:type="dxa"/>
            <w:tcBorders>
              <w:top w:val="nil"/>
              <w:left w:val="nil"/>
              <w:bottom w:val="single" w:sz="4" w:space="0" w:color="auto"/>
              <w:right w:val="single" w:sz="4" w:space="0" w:color="auto"/>
            </w:tcBorders>
            <w:shd w:val="clear" w:color="000000" w:fill="FFFF00"/>
            <w:vAlign w:val="center"/>
            <w:hideMark/>
          </w:tcPr>
          <w:p w14:paraId="73C7A693" w14:textId="77777777" w:rsidR="001752B7" w:rsidRPr="001752B7" w:rsidRDefault="001752B7" w:rsidP="001752B7">
            <w:pPr>
              <w:spacing w:after="0" w:line="240" w:lineRule="auto"/>
              <w:jc w:val="right"/>
              <w:rPr>
                <w:rFonts w:ascii="Tahoma" w:eastAsia="Times New Roman" w:hAnsi="Tahoma" w:cs="Tahoma"/>
                <w:sz w:val="20"/>
                <w:szCs w:val="20"/>
                <w:lang w:eastAsia="hr-HR"/>
              </w:rPr>
            </w:pPr>
            <w:r w:rsidRPr="001752B7">
              <w:rPr>
                <w:rFonts w:ascii="Tahoma" w:eastAsia="Times New Roman" w:hAnsi="Tahoma" w:cs="Tahoma"/>
                <w:sz w:val="20"/>
                <w:szCs w:val="20"/>
                <w:lang w:eastAsia="hr-HR"/>
              </w:rPr>
              <w:t> </w:t>
            </w:r>
          </w:p>
        </w:tc>
        <w:tc>
          <w:tcPr>
            <w:tcW w:w="698" w:type="dxa"/>
            <w:tcBorders>
              <w:top w:val="nil"/>
              <w:left w:val="nil"/>
              <w:bottom w:val="single" w:sz="4" w:space="0" w:color="auto"/>
              <w:right w:val="single" w:sz="4" w:space="0" w:color="auto"/>
            </w:tcBorders>
            <w:shd w:val="clear" w:color="000000" w:fill="FF9900"/>
            <w:vAlign w:val="center"/>
            <w:hideMark/>
          </w:tcPr>
          <w:p w14:paraId="4D4E4A5D" w14:textId="77777777" w:rsidR="001752B7" w:rsidRPr="001752B7" w:rsidRDefault="001752B7" w:rsidP="001752B7">
            <w:pPr>
              <w:spacing w:after="0" w:line="240" w:lineRule="auto"/>
              <w:jc w:val="right"/>
              <w:rPr>
                <w:rFonts w:ascii="Tahoma" w:eastAsia="Times New Roman" w:hAnsi="Tahoma" w:cs="Tahoma"/>
                <w:sz w:val="20"/>
                <w:szCs w:val="20"/>
                <w:lang w:eastAsia="hr-HR"/>
              </w:rPr>
            </w:pPr>
            <w:r w:rsidRPr="001752B7">
              <w:rPr>
                <w:rFonts w:ascii="Tahoma" w:eastAsia="Times New Roman" w:hAnsi="Tahoma" w:cs="Tahoma"/>
                <w:sz w:val="20"/>
                <w:szCs w:val="20"/>
                <w:lang w:eastAsia="hr-HR"/>
              </w:rPr>
              <w:t> </w:t>
            </w:r>
          </w:p>
        </w:tc>
        <w:tc>
          <w:tcPr>
            <w:tcW w:w="643" w:type="dxa"/>
            <w:tcBorders>
              <w:top w:val="nil"/>
              <w:left w:val="nil"/>
              <w:bottom w:val="single" w:sz="4" w:space="0" w:color="auto"/>
              <w:right w:val="single" w:sz="4" w:space="0" w:color="auto"/>
            </w:tcBorders>
            <w:shd w:val="clear" w:color="000000" w:fill="FF9900"/>
            <w:noWrap/>
            <w:vAlign w:val="center"/>
            <w:hideMark/>
          </w:tcPr>
          <w:p w14:paraId="4F87C074" w14:textId="77777777" w:rsidR="001752B7" w:rsidRPr="001752B7" w:rsidRDefault="001752B7" w:rsidP="001752B7">
            <w:pPr>
              <w:spacing w:after="0" w:line="240" w:lineRule="auto"/>
              <w:jc w:val="right"/>
              <w:rPr>
                <w:rFonts w:ascii="Tahoma" w:eastAsia="Times New Roman" w:hAnsi="Tahoma" w:cs="Tahoma"/>
                <w:sz w:val="20"/>
                <w:szCs w:val="20"/>
                <w:lang w:eastAsia="hr-HR"/>
              </w:rPr>
            </w:pPr>
            <w:r w:rsidRPr="001752B7">
              <w:rPr>
                <w:rFonts w:ascii="Tahoma" w:eastAsia="Times New Roman" w:hAnsi="Tahoma" w:cs="Tahoma"/>
                <w:sz w:val="20"/>
                <w:szCs w:val="20"/>
                <w:lang w:eastAsia="hr-HR"/>
              </w:rPr>
              <w:t> </w:t>
            </w:r>
          </w:p>
        </w:tc>
        <w:tc>
          <w:tcPr>
            <w:tcW w:w="605" w:type="dxa"/>
            <w:tcBorders>
              <w:top w:val="nil"/>
              <w:left w:val="nil"/>
              <w:bottom w:val="single" w:sz="4" w:space="0" w:color="auto"/>
              <w:right w:val="single" w:sz="4" w:space="0" w:color="auto"/>
            </w:tcBorders>
            <w:shd w:val="clear" w:color="000000" w:fill="FF9900"/>
            <w:noWrap/>
            <w:vAlign w:val="center"/>
            <w:hideMark/>
          </w:tcPr>
          <w:p w14:paraId="25EF06D9" w14:textId="77777777" w:rsidR="001752B7" w:rsidRPr="001752B7" w:rsidRDefault="001752B7" w:rsidP="001752B7">
            <w:pPr>
              <w:spacing w:after="0" w:line="240" w:lineRule="auto"/>
              <w:jc w:val="right"/>
              <w:rPr>
                <w:rFonts w:ascii="Tahoma" w:eastAsia="Times New Roman" w:hAnsi="Tahoma" w:cs="Tahoma"/>
                <w:sz w:val="20"/>
                <w:szCs w:val="20"/>
                <w:lang w:eastAsia="hr-HR"/>
              </w:rPr>
            </w:pPr>
            <w:r w:rsidRPr="001752B7">
              <w:rPr>
                <w:rFonts w:ascii="Tahoma" w:eastAsia="Times New Roman" w:hAnsi="Tahoma" w:cs="Tahoma"/>
                <w:sz w:val="20"/>
                <w:szCs w:val="20"/>
                <w:lang w:eastAsia="hr-HR"/>
              </w:rPr>
              <w:t> </w:t>
            </w:r>
          </w:p>
        </w:tc>
        <w:tc>
          <w:tcPr>
            <w:tcW w:w="698" w:type="dxa"/>
            <w:tcBorders>
              <w:top w:val="nil"/>
              <w:left w:val="nil"/>
              <w:bottom w:val="single" w:sz="4" w:space="0" w:color="auto"/>
              <w:right w:val="single" w:sz="4" w:space="0" w:color="auto"/>
            </w:tcBorders>
            <w:shd w:val="clear" w:color="000000" w:fill="FF9900"/>
            <w:noWrap/>
            <w:vAlign w:val="center"/>
            <w:hideMark/>
          </w:tcPr>
          <w:p w14:paraId="5DE66B1A" w14:textId="77777777" w:rsidR="001752B7" w:rsidRPr="001752B7" w:rsidRDefault="001752B7" w:rsidP="001752B7">
            <w:pPr>
              <w:spacing w:after="0" w:line="240" w:lineRule="auto"/>
              <w:jc w:val="right"/>
              <w:rPr>
                <w:rFonts w:ascii="Tahoma" w:eastAsia="Times New Roman" w:hAnsi="Tahoma" w:cs="Tahoma"/>
                <w:sz w:val="20"/>
                <w:szCs w:val="20"/>
                <w:lang w:eastAsia="hr-HR"/>
              </w:rPr>
            </w:pPr>
            <w:r w:rsidRPr="001752B7">
              <w:rPr>
                <w:rFonts w:ascii="Tahoma" w:eastAsia="Times New Roman" w:hAnsi="Tahoma" w:cs="Tahoma"/>
                <w:sz w:val="20"/>
                <w:szCs w:val="20"/>
                <w:lang w:eastAsia="hr-HR"/>
              </w:rPr>
              <w:t> </w:t>
            </w:r>
          </w:p>
        </w:tc>
        <w:tc>
          <w:tcPr>
            <w:tcW w:w="464" w:type="dxa"/>
            <w:tcBorders>
              <w:top w:val="nil"/>
              <w:left w:val="nil"/>
              <w:bottom w:val="single" w:sz="4" w:space="0" w:color="auto"/>
              <w:right w:val="single" w:sz="4" w:space="0" w:color="auto"/>
            </w:tcBorders>
            <w:shd w:val="clear" w:color="000000" w:fill="CCFFFF"/>
            <w:noWrap/>
            <w:vAlign w:val="center"/>
            <w:hideMark/>
          </w:tcPr>
          <w:p w14:paraId="6BA7AE18" w14:textId="77777777" w:rsidR="001752B7" w:rsidRPr="001752B7" w:rsidRDefault="001752B7" w:rsidP="001752B7">
            <w:pPr>
              <w:spacing w:after="0" w:line="240" w:lineRule="auto"/>
              <w:jc w:val="right"/>
              <w:rPr>
                <w:rFonts w:ascii="Tahoma" w:eastAsia="Times New Roman" w:hAnsi="Tahoma" w:cs="Tahoma"/>
                <w:sz w:val="20"/>
                <w:szCs w:val="20"/>
                <w:lang w:eastAsia="hr-HR"/>
              </w:rPr>
            </w:pPr>
            <w:r w:rsidRPr="001752B7">
              <w:rPr>
                <w:rFonts w:ascii="Tahoma" w:eastAsia="Times New Roman" w:hAnsi="Tahoma" w:cs="Tahoma"/>
                <w:sz w:val="20"/>
                <w:szCs w:val="20"/>
                <w:lang w:eastAsia="hr-HR"/>
              </w:rPr>
              <w:t> </w:t>
            </w:r>
          </w:p>
        </w:tc>
        <w:tc>
          <w:tcPr>
            <w:tcW w:w="425" w:type="dxa"/>
            <w:tcBorders>
              <w:top w:val="nil"/>
              <w:left w:val="nil"/>
              <w:bottom w:val="single" w:sz="4" w:space="0" w:color="auto"/>
              <w:right w:val="single" w:sz="4" w:space="0" w:color="auto"/>
            </w:tcBorders>
            <w:shd w:val="clear" w:color="000000" w:fill="CCFFFF"/>
            <w:noWrap/>
            <w:vAlign w:val="center"/>
            <w:hideMark/>
          </w:tcPr>
          <w:p w14:paraId="1ACEACE8" w14:textId="77777777" w:rsidR="001752B7" w:rsidRPr="001752B7" w:rsidRDefault="001752B7" w:rsidP="001752B7">
            <w:pPr>
              <w:spacing w:after="0" w:line="240" w:lineRule="auto"/>
              <w:jc w:val="right"/>
              <w:rPr>
                <w:rFonts w:ascii="Tahoma" w:eastAsia="Times New Roman" w:hAnsi="Tahoma" w:cs="Tahoma"/>
                <w:sz w:val="20"/>
                <w:szCs w:val="20"/>
                <w:lang w:eastAsia="hr-HR"/>
              </w:rPr>
            </w:pPr>
            <w:r w:rsidRPr="001752B7">
              <w:rPr>
                <w:rFonts w:ascii="Tahoma" w:eastAsia="Times New Roman" w:hAnsi="Tahoma" w:cs="Tahoma"/>
                <w:sz w:val="20"/>
                <w:szCs w:val="20"/>
                <w:lang w:eastAsia="hr-HR"/>
              </w:rPr>
              <w:t> </w:t>
            </w:r>
          </w:p>
        </w:tc>
        <w:tc>
          <w:tcPr>
            <w:tcW w:w="426" w:type="dxa"/>
            <w:tcBorders>
              <w:top w:val="nil"/>
              <w:left w:val="nil"/>
              <w:bottom w:val="single" w:sz="4" w:space="0" w:color="auto"/>
              <w:right w:val="single" w:sz="4" w:space="0" w:color="auto"/>
            </w:tcBorders>
            <w:shd w:val="clear" w:color="000000" w:fill="CCFFFF"/>
            <w:noWrap/>
            <w:vAlign w:val="center"/>
            <w:hideMark/>
          </w:tcPr>
          <w:p w14:paraId="05CC0033" w14:textId="77777777" w:rsidR="001752B7" w:rsidRPr="001752B7" w:rsidRDefault="001752B7" w:rsidP="001752B7">
            <w:pPr>
              <w:spacing w:after="0" w:line="240" w:lineRule="auto"/>
              <w:jc w:val="right"/>
              <w:rPr>
                <w:rFonts w:ascii="Tahoma" w:eastAsia="Times New Roman" w:hAnsi="Tahoma" w:cs="Tahoma"/>
                <w:sz w:val="20"/>
                <w:szCs w:val="20"/>
                <w:lang w:eastAsia="hr-HR"/>
              </w:rPr>
            </w:pPr>
            <w:r w:rsidRPr="001752B7">
              <w:rPr>
                <w:rFonts w:ascii="Tahoma" w:eastAsia="Times New Roman" w:hAnsi="Tahoma" w:cs="Tahoma"/>
                <w:sz w:val="20"/>
                <w:szCs w:val="20"/>
                <w:lang w:eastAsia="hr-HR"/>
              </w:rPr>
              <w:t> </w:t>
            </w:r>
          </w:p>
        </w:tc>
        <w:tc>
          <w:tcPr>
            <w:tcW w:w="487" w:type="dxa"/>
            <w:tcBorders>
              <w:top w:val="nil"/>
              <w:left w:val="nil"/>
              <w:bottom w:val="single" w:sz="4" w:space="0" w:color="auto"/>
              <w:right w:val="nil"/>
            </w:tcBorders>
            <w:shd w:val="clear" w:color="000000" w:fill="33CCCC"/>
            <w:noWrap/>
            <w:vAlign w:val="center"/>
            <w:hideMark/>
          </w:tcPr>
          <w:p w14:paraId="7E3055AD" w14:textId="77777777" w:rsidR="001752B7" w:rsidRPr="001752B7" w:rsidRDefault="001752B7" w:rsidP="001752B7">
            <w:pPr>
              <w:spacing w:after="0" w:line="240" w:lineRule="auto"/>
              <w:jc w:val="right"/>
              <w:rPr>
                <w:rFonts w:ascii="Tahoma" w:eastAsia="Times New Roman" w:hAnsi="Tahoma" w:cs="Tahoma"/>
                <w:sz w:val="20"/>
                <w:szCs w:val="20"/>
                <w:lang w:eastAsia="hr-HR"/>
              </w:rPr>
            </w:pPr>
            <w:r w:rsidRPr="001752B7">
              <w:rPr>
                <w:rFonts w:ascii="Tahoma" w:eastAsia="Times New Roman" w:hAnsi="Tahoma" w:cs="Tahoma"/>
                <w:sz w:val="20"/>
                <w:szCs w:val="20"/>
                <w:lang w:eastAsia="hr-HR"/>
              </w:rPr>
              <w:t> </w:t>
            </w:r>
          </w:p>
        </w:tc>
        <w:tc>
          <w:tcPr>
            <w:tcW w:w="425" w:type="dxa"/>
            <w:tcBorders>
              <w:top w:val="nil"/>
              <w:left w:val="single" w:sz="4" w:space="0" w:color="auto"/>
              <w:bottom w:val="single" w:sz="4" w:space="0" w:color="auto"/>
              <w:right w:val="single" w:sz="8" w:space="0" w:color="auto"/>
            </w:tcBorders>
            <w:shd w:val="clear" w:color="000000" w:fill="33CCCC"/>
            <w:noWrap/>
            <w:vAlign w:val="center"/>
            <w:hideMark/>
          </w:tcPr>
          <w:p w14:paraId="1F53D40C" w14:textId="77777777" w:rsidR="001752B7" w:rsidRPr="001752B7" w:rsidRDefault="001752B7" w:rsidP="001752B7">
            <w:pPr>
              <w:spacing w:after="0" w:line="240" w:lineRule="auto"/>
              <w:jc w:val="right"/>
              <w:rPr>
                <w:rFonts w:ascii="Tahoma" w:eastAsia="Times New Roman" w:hAnsi="Tahoma" w:cs="Tahoma"/>
                <w:sz w:val="20"/>
                <w:szCs w:val="20"/>
                <w:lang w:eastAsia="hr-HR"/>
              </w:rPr>
            </w:pPr>
            <w:r w:rsidRPr="001752B7">
              <w:rPr>
                <w:rFonts w:ascii="Tahoma" w:eastAsia="Times New Roman" w:hAnsi="Tahoma" w:cs="Tahoma"/>
                <w:sz w:val="20"/>
                <w:szCs w:val="20"/>
                <w:lang w:eastAsia="hr-HR"/>
              </w:rPr>
              <w:t> </w:t>
            </w:r>
          </w:p>
        </w:tc>
        <w:tc>
          <w:tcPr>
            <w:tcW w:w="236" w:type="dxa"/>
            <w:vAlign w:val="center"/>
            <w:hideMark/>
          </w:tcPr>
          <w:p w14:paraId="6DFA901F" w14:textId="77777777" w:rsidR="001752B7" w:rsidRPr="001752B7" w:rsidRDefault="001752B7" w:rsidP="001752B7">
            <w:pPr>
              <w:spacing w:after="0" w:line="240" w:lineRule="auto"/>
              <w:rPr>
                <w:rFonts w:ascii="Times New Roman" w:eastAsia="Times New Roman" w:hAnsi="Times New Roman" w:cs="Times New Roman"/>
                <w:sz w:val="20"/>
                <w:szCs w:val="20"/>
                <w:lang w:eastAsia="hr-HR"/>
              </w:rPr>
            </w:pPr>
          </w:p>
        </w:tc>
      </w:tr>
      <w:tr w:rsidR="001752B7" w:rsidRPr="001752B7" w14:paraId="2427F655" w14:textId="77777777" w:rsidTr="000271A1">
        <w:trPr>
          <w:gridAfter w:val="1"/>
          <w:wAfter w:w="31" w:type="dxa"/>
          <w:trHeight w:val="300"/>
        </w:trPr>
        <w:tc>
          <w:tcPr>
            <w:tcW w:w="1408" w:type="dxa"/>
            <w:tcBorders>
              <w:top w:val="single" w:sz="4" w:space="0" w:color="auto"/>
              <w:left w:val="single" w:sz="8" w:space="0" w:color="auto"/>
              <w:bottom w:val="single" w:sz="4" w:space="0" w:color="auto"/>
              <w:right w:val="single" w:sz="4" w:space="0" w:color="000000"/>
            </w:tcBorders>
            <w:shd w:val="clear" w:color="000000" w:fill="CCFFCC"/>
            <w:vAlign w:val="center"/>
            <w:hideMark/>
          </w:tcPr>
          <w:p w14:paraId="52A0E41D" w14:textId="77777777" w:rsidR="001752B7" w:rsidRPr="001752B7" w:rsidRDefault="001752B7" w:rsidP="001752B7">
            <w:pPr>
              <w:spacing w:after="0" w:line="240" w:lineRule="auto"/>
              <w:jc w:val="center"/>
              <w:rPr>
                <w:rFonts w:ascii="Tahoma" w:eastAsia="Times New Roman" w:hAnsi="Tahoma" w:cs="Tahoma"/>
                <w:b/>
                <w:bCs/>
                <w:sz w:val="20"/>
                <w:szCs w:val="20"/>
                <w:lang w:eastAsia="hr-HR"/>
              </w:rPr>
            </w:pPr>
            <w:r w:rsidRPr="001752B7">
              <w:rPr>
                <w:rFonts w:ascii="Tahoma" w:eastAsia="Times New Roman" w:hAnsi="Tahoma" w:cs="Tahoma"/>
                <w:b/>
                <w:bCs/>
                <w:sz w:val="20"/>
                <w:szCs w:val="20"/>
                <w:lang w:eastAsia="hr-HR"/>
              </w:rPr>
              <w:t>Ukupno</w:t>
            </w:r>
          </w:p>
        </w:tc>
        <w:tc>
          <w:tcPr>
            <w:tcW w:w="673" w:type="dxa"/>
            <w:tcBorders>
              <w:top w:val="nil"/>
              <w:left w:val="nil"/>
              <w:bottom w:val="single" w:sz="4" w:space="0" w:color="auto"/>
              <w:right w:val="single" w:sz="4" w:space="0" w:color="auto"/>
            </w:tcBorders>
            <w:shd w:val="clear" w:color="000000" w:fill="FFFF00"/>
            <w:noWrap/>
            <w:vAlign w:val="center"/>
            <w:hideMark/>
          </w:tcPr>
          <w:p w14:paraId="015C1FC7" w14:textId="77777777" w:rsidR="001752B7" w:rsidRPr="001752B7" w:rsidRDefault="001752B7" w:rsidP="001752B7">
            <w:pPr>
              <w:spacing w:after="0" w:line="240" w:lineRule="auto"/>
              <w:jc w:val="right"/>
              <w:rPr>
                <w:rFonts w:ascii="Tahoma" w:eastAsia="Times New Roman" w:hAnsi="Tahoma" w:cs="Tahoma"/>
                <w:b/>
                <w:bCs/>
                <w:sz w:val="24"/>
                <w:szCs w:val="24"/>
                <w:lang w:eastAsia="hr-HR"/>
              </w:rPr>
            </w:pPr>
            <w:r w:rsidRPr="001752B7">
              <w:rPr>
                <w:rFonts w:ascii="Tahoma" w:eastAsia="Times New Roman" w:hAnsi="Tahoma" w:cs="Tahoma"/>
                <w:b/>
                <w:bCs/>
                <w:sz w:val="24"/>
                <w:szCs w:val="24"/>
                <w:lang w:eastAsia="hr-HR"/>
              </w:rPr>
              <w:t>147</w:t>
            </w:r>
          </w:p>
        </w:tc>
        <w:tc>
          <w:tcPr>
            <w:tcW w:w="521" w:type="dxa"/>
            <w:tcBorders>
              <w:top w:val="nil"/>
              <w:left w:val="nil"/>
              <w:bottom w:val="single" w:sz="4" w:space="0" w:color="auto"/>
              <w:right w:val="single" w:sz="4" w:space="0" w:color="auto"/>
            </w:tcBorders>
            <w:shd w:val="clear" w:color="000000" w:fill="FFFF00"/>
            <w:noWrap/>
            <w:vAlign w:val="center"/>
            <w:hideMark/>
          </w:tcPr>
          <w:p w14:paraId="463BD6B5" w14:textId="77777777" w:rsidR="001752B7" w:rsidRPr="001752B7" w:rsidRDefault="001752B7" w:rsidP="001752B7">
            <w:pPr>
              <w:spacing w:after="0" w:line="240" w:lineRule="auto"/>
              <w:jc w:val="right"/>
              <w:rPr>
                <w:rFonts w:ascii="Tahoma" w:eastAsia="Times New Roman" w:hAnsi="Tahoma" w:cs="Tahoma"/>
                <w:b/>
                <w:bCs/>
                <w:sz w:val="24"/>
                <w:szCs w:val="24"/>
                <w:lang w:eastAsia="hr-HR"/>
              </w:rPr>
            </w:pPr>
            <w:r w:rsidRPr="001752B7">
              <w:rPr>
                <w:rFonts w:ascii="Tahoma" w:eastAsia="Times New Roman" w:hAnsi="Tahoma" w:cs="Tahoma"/>
                <w:b/>
                <w:bCs/>
                <w:sz w:val="24"/>
                <w:szCs w:val="24"/>
                <w:lang w:eastAsia="hr-HR"/>
              </w:rPr>
              <w:t>53</w:t>
            </w:r>
          </w:p>
        </w:tc>
        <w:tc>
          <w:tcPr>
            <w:tcW w:w="477" w:type="dxa"/>
            <w:tcBorders>
              <w:top w:val="nil"/>
              <w:left w:val="nil"/>
              <w:bottom w:val="single" w:sz="4" w:space="0" w:color="auto"/>
              <w:right w:val="single" w:sz="4" w:space="0" w:color="auto"/>
            </w:tcBorders>
            <w:shd w:val="clear" w:color="000000" w:fill="FFFF00"/>
            <w:noWrap/>
            <w:vAlign w:val="center"/>
            <w:hideMark/>
          </w:tcPr>
          <w:p w14:paraId="00A8A730" w14:textId="77777777" w:rsidR="001752B7" w:rsidRPr="001752B7" w:rsidRDefault="001752B7" w:rsidP="001752B7">
            <w:pPr>
              <w:spacing w:after="0" w:line="240" w:lineRule="auto"/>
              <w:jc w:val="right"/>
              <w:rPr>
                <w:rFonts w:ascii="Tahoma" w:eastAsia="Times New Roman" w:hAnsi="Tahoma" w:cs="Tahoma"/>
                <w:b/>
                <w:bCs/>
                <w:sz w:val="24"/>
                <w:szCs w:val="24"/>
                <w:lang w:eastAsia="hr-HR"/>
              </w:rPr>
            </w:pPr>
            <w:r w:rsidRPr="001752B7">
              <w:rPr>
                <w:rFonts w:ascii="Tahoma" w:eastAsia="Times New Roman" w:hAnsi="Tahoma" w:cs="Tahoma"/>
                <w:b/>
                <w:bCs/>
                <w:sz w:val="24"/>
                <w:szCs w:val="24"/>
                <w:lang w:eastAsia="hr-HR"/>
              </w:rPr>
              <w:t>25</w:t>
            </w:r>
          </w:p>
        </w:tc>
        <w:tc>
          <w:tcPr>
            <w:tcW w:w="426" w:type="dxa"/>
            <w:tcBorders>
              <w:top w:val="nil"/>
              <w:left w:val="nil"/>
              <w:bottom w:val="single" w:sz="4" w:space="0" w:color="auto"/>
              <w:right w:val="single" w:sz="4" w:space="0" w:color="auto"/>
            </w:tcBorders>
            <w:shd w:val="clear" w:color="000000" w:fill="FFFF00"/>
            <w:noWrap/>
            <w:vAlign w:val="center"/>
            <w:hideMark/>
          </w:tcPr>
          <w:p w14:paraId="61229BAD" w14:textId="77777777" w:rsidR="001752B7" w:rsidRPr="001752B7" w:rsidRDefault="001752B7" w:rsidP="001752B7">
            <w:pPr>
              <w:spacing w:after="0" w:line="240" w:lineRule="auto"/>
              <w:jc w:val="right"/>
              <w:rPr>
                <w:rFonts w:ascii="Tahoma" w:eastAsia="Times New Roman" w:hAnsi="Tahoma" w:cs="Tahoma"/>
                <w:b/>
                <w:bCs/>
                <w:sz w:val="24"/>
                <w:szCs w:val="24"/>
                <w:lang w:eastAsia="hr-HR"/>
              </w:rPr>
            </w:pPr>
            <w:r w:rsidRPr="001752B7">
              <w:rPr>
                <w:rFonts w:ascii="Tahoma" w:eastAsia="Times New Roman" w:hAnsi="Tahoma" w:cs="Tahoma"/>
                <w:b/>
                <w:bCs/>
                <w:sz w:val="24"/>
                <w:szCs w:val="24"/>
                <w:lang w:eastAsia="hr-HR"/>
              </w:rPr>
              <w:t>36</w:t>
            </w:r>
          </w:p>
        </w:tc>
        <w:tc>
          <w:tcPr>
            <w:tcW w:w="698" w:type="dxa"/>
            <w:tcBorders>
              <w:top w:val="nil"/>
              <w:left w:val="nil"/>
              <w:bottom w:val="single" w:sz="4" w:space="0" w:color="auto"/>
              <w:right w:val="single" w:sz="4" w:space="0" w:color="auto"/>
            </w:tcBorders>
            <w:shd w:val="clear" w:color="000000" w:fill="FFFF00"/>
            <w:noWrap/>
            <w:vAlign w:val="center"/>
            <w:hideMark/>
          </w:tcPr>
          <w:p w14:paraId="07BB2161" w14:textId="77777777" w:rsidR="001752B7" w:rsidRPr="001752B7" w:rsidRDefault="001752B7" w:rsidP="001752B7">
            <w:pPr>
              <w:spacing w:after="0" w:line="240" w:lineRule="auto"/>
              <w:jc w:val="right"/>
              <w:rPr>
                <w:rFonts w:ascii="Tahoma" w:eastAsia="Times New Roman" w:hAnsi="Tahoma" w:cs="Tahoma"/>
                <w:b/>
                <w:bCs/>
                <w:sz w:val="24"/>
                <w:szCs w:val="24"/>
                <w:lang w:eastAsia="hr-HR"/>
              </w:rPr>
            </w:pPr>
            <w:r w:rsidRPr="001752B7">
              <w:rPr>
                <w:rFonts w:ascii="Tahoma" w:eastAsia="Times New Roman" w:hAnsi="Tahoma" w:cs="Tahoma"/>
                <w:b/>
                <w:bCs/>
                <w:sz w:val="24"/>
                <w:szCs w:val="24"/>
                <w:lang w:eastAsia="hr-HR"/>
              </w:rPr>
              <w:t>32</w:t>
            </w:r>
          </w:p>
        </w:tc>
        <w:tc>
          <w:tcPr>
            <w:tcW w:w="698" w:type="dxa"/>
            <w:tcBorders>
              <w:top w:val="nil"/>
              <w:left w:val="nil"/>
              <w:bottom w:val="single" w:sz="4" w:space="0" w:color="auto"/>
              <w:right w:val="single" w:sz="4" w:space="0" w:color="auto"/>
            </w:tcBorders>
            <w:shd w:val="clear" w:color="000000" w:fill="FFFF00"/>
            <w:noWrap/>
            <w:vAlign w:val="center"/>
            <w:hideMark/>
          </w:tcPr>
          <w:p w14:paraId="30FC49E6" w14:textId="77777777" w:rsidR="001752B7" w:rsidRPr="001752B7" w:rsidRDefault="001752B7" w:rsidP="001752B7">
            <w:pPr>
              <w:spacing w:after="0" w:line="240" w:lineRule="auto"/>
              <w:jc w:val="right"/>
              <w:rPr>
                <w:rFonts w:ascii="Tahoma" w:eastAsia="Times New Roman" w:hAnsi="Tahoma" w:cs="Tahoma"/>
                <w:b/>
                <w:bCs/>
                <w:sz w:val="24"/>
                <w:szCs w:val="24"/>
                <w:lang w:eastAsia="hr-HR"/>
              </w:rPr>
            </w:pPr>
            <w:r w:rsidRPr="001752B7">
              <w:rPr>
                <w:rFonts w:ascii="Tahoma" w:eastAsia="Times New Roman" w:hAnsi="Tahoma" w:cs="Tahoma"/>
                <w:b/>
                <w:bCs/>
                <w:sz w:val="24"/>
                <w:szCs w:val="24"/>
                <w:lang w:eastAsia="hr-HR"/>
              </w:rPr>
              <w:t>11</w:t>
            </w:r>
          </w:p>
        </w:tc>
        <w:tc>
          <w:tcPr>
            <w:tcW w:w="698" w:type="dxa"/>
            <w:tcBorders>
              <w:top w:val="nil"/>
              <w:left w:val="nil"/>
              <w:bottom w:val="single" w:sz="4" w:space="0" w:color="auto"/>
              <w:right w:val="single" w:sz="4" w:space="0" w:color="auto"/>
            </w:tcBorders>
            <w:shd w:val="clear" w:color="000000" w:fill="FFFF00"/>
            <w:noWrap/>
            <w:vAlign w:val="center"/>
            <w:hideMark/>
          </w:tcPr>
          <w:p w14:paraId="59ABD737" w14:textId="77777777" w:rsidR="001752B7" w:rsidRPr="001752B7" w:rsidRDefault="001752B7" w:rsidP="001752B7">
            <w:pPr>
              <w:spacing w:after="0" w:line="240" w:lineRule="auto"/>
              <w:jc w:val="right"/>
              <w:rPr>
                <w:rFonts w:ascii="Tahoma" w:eastAsia="Times New Roman" w:hAnsi="Tahoma" w:cs="Tahoma"/>
                <w:b/>
                <w:bCs/>
                <w:sz w:val="24"/>
                <w:szCs w:val="24"/>
                <w:lang w:eastAsia="hr-HR"/>
              </w:rPr>
            </w:pPr>
            <w:r w:rsidRPr="001752B7">
              <w:rPr>
                <w:rFonts w:ascii="Tahoma" w:eastAsia="Times New Roman" w:hAnsi="Tahoma" w:cs="Tahoma"/>
                <w:b/>
                <w:bCs/>
                <w:sz w:val="24"/>
                <w:szCs w:val="24"/>
                <w:lang w:eastAsia="hr-HR"/>
              </w:rPr>
              <w:t>9</w:t>
            </w:r>
          </w:p>
        </w:tc>
        <w:tc>
          <w:tcPr>
            <w:tcW w:w="698" w:type="dxa"/>
            <w:tcBorders>
              <w:top w:val="nil"/>
              <w:left w:val="nil"/>
              <w:bottom w:val="single" w:sz="4" w:space="0" w:color="auto"/>
              <w:right w:val="single" w:sz="4" w:space="0" w:color="auto"/>
            </w:tcBorders>
            <w:shd w:val="clear" w:color="000000" w:fill="FFFF00"/>
            <w:noWrap/>
            <w:vAlign w:val="center"/>
            <w:hideMark/>
          </w:tcPr>
          <w:p w14:paraId="306C50F1" w14:textId="77777777" w:rsidR="001752B7" w:rsidRPr="001752B7" w:rsidRDefault="001752B7" w:rsidP="001752B7">
            <w:pPr>
              <w:spacing w:after="0" w:line="240" w:lineRule="auto"/>
              <w:jc w:val="right"/>
              <w:rPr>
                <w:rFonts w:ascii="Tahoma" w:eastAsia="Times New Roman" w:hAnsi="Tahoma" w:cs="Tahoma"/>
                <w:b/>
                <w:bCs/>
                <w:sz w:val="24"/>
                <w:szCs w:val="24"/>
                <w:lang w:eastAsia="hr-HR"/>
              </w:rPr>
            </w:pPr>
            <w:r w:rsidRPr="001752B7">
              <w:rPr>
                <w:rFonts w:ascii="Tahoma" w:eastAsia="Times New Roman" w:hAnsi="Tahoma" w:cs="Tahoma"/>
                <w:b/>
                <w:bCs/>
                <w:sz w:val="24"/>
                <w:szCs w:val="24"/>
                <w:lang w:eastAsia="hr-HR"/>
              </w:rPr>
              <w:t> </w:t>
            </w:r>
          </w:p>
        </w:tc>
        <w:tc>
          <w:tcPr>
            <w:tcW w:w="698" w:type="dxa"/>
            <w:tcBorders>
              <w:top w:val="nil"/>
              <w:left w:val="nil"/>
              <w:bottom w:val="single" w:sz="4" w:space="0" w:color="auto"/>
              <w:right w:val="single" w:sz="4" w:space="0" w:color="auto"/>
            </w:tcBorders>
            <w:shd w:val="clear" w:color="000000" w:fill="FFFF00"/>
            <w:noWrap/>
            <w:vAlign w:val="center"/>
            <w:hideMark/>
          </w:tcPr>
          <w:p w14:paraId="4669FFF9" w14:textId="77777777" w:rsidR="001752B7" w:rsidRPr="001752B7" w:rsidRDefault="001752B7" w:rsidP="001752B7">
            <w:pPr>
              <w:spacing w:after="0" w:line="240" w:lineRule="auto"/>
              <w:jc w:val="right"/>
              <w:rPr>
                <w:rFonts w:ascii="Tahoma" w:eastAsia="Times New Roman" w:hAnsi="Tahoma" w:cs="Tahoma"/>
                <w:b/>
                <w:bCs/>
                <w:sz w:val="24"/>
                <w:szCs w:val="24"/>
                <w:lang w:eastAsia="hr-HR"/>
              </w:rPr>
            </w:pPr>
            <w:r w:rsidRPr="001752B7">
              <w:rPr>
                <w:rFonts w:ascii="Tahoma" w:eastAsia="Times New Roman" w:hAnsi="Tahoma" w:cs="Tahoma"/>
                <w:b/>
                <w:bCs/>
                <w:sz w:val="24"/>
                <w:szCs w:val="24"/>
                <w:lang w:eastAsia="hr-HR"/>
              </w:rPr>
              <w:t> </w:t>
            </w:r>
          </w:p>
        </w:tc>
        <w:tc>
          <w:tcPr>
            <w:tcW w:w="698" w:type="dxa"/>
            <w:tcBorders>
              <w:top w:val="nil"/>
              <w:left w:val="nil"/>
              <w:bottom w:val="single" w:sz="4" w:space="0" w:color="auto"/>
              <w:right w:val="single" w:sz="4" w:space="0" w:color="auto"/>
            </w:tcBorders>
            <w:shd w:val="clear" w:color="000000" w:fill="FFFF00"/>
            <w:noWrap/>
            <w:vAlign w:val="center"/>
            <w:hideMark/>
          </w:tcPr>
          <w:p w14:paraId="6B8DC5CD" w14:textId="77777777" w:rsidR="001752B7" w:rsidRPr="001752B7" w:rsidRDefault="001752B7" w:rsidP="001752B7">
            <w:pPr>
              <w:spacing w:after="0" w:line="240" w:lineRule="auto"/>
              <w:jc w:val="right"/>
              <w:rPr>
                <w:rFonts w:ascii="Tahoma" w:eastAsia="Times New Roman" w:hAnsi="Tahoma" w:cs="Tahoma"/>
                <w:b/>
                <w:bCs/>
                <w:sz w:val="24"/>
                <w:szCs w:val="24"/>
                <w:lang w:eastAsia="hr-HR"/>
              </w:rPr>
            </w:pPr>
            <w:r w:rsidRPr="001752B7">
              <w:rPr>
                <w:rFonts w:ascii="Tahoma" w:eastAsia="Times New Roman" w:hAnsi="Tahoma" w:cs="Tahoma"/>
                <w:b/>
                <w:bCs/>
                <w:sz w:val="24"/>
                <w:szCs w:val="24"/>
                <w:lang w:eastAsia="hr-HR"/>
              </w:rPr>
              <w:t>3</w:t>
            </w:r>
          </w:p>
        </w:tc>
        <w:tc>
          <w:tcPr>
            <w:tcW w:w="469" w:type="dxa"/>
            <w:tcBorders>
              <w:top w:val="nil"/>
              <w:left w:val="nil"/>
              <w:bottom w:val="single" w:sz="4" w:space="0" w:color="auto"/>
              <w:right w:val="single" w:sz="4" w:space="0" w:color="auto"/>
            </w:tcBorders>
            <w:shd w:val="clear" w:color="000000" w:fill="FFFF00"/>
            <w:noWrap/>
            <w:vAlign w:val="center"/>
            <w:hideMark/>
          </w:tcPr>
          <w:p w14:paraId="38EA3B37" w14:textId="77777777" w:rsidR="001752B7" w:rsidRPr="001752B7" w:rsidRDefault="001752B7" w:rsidP="001752B7">
            <w:pPr>
              <w:spacing w:after="0" w:line="240" w:lineRule="auto"/>
              <w:jc w:val="right"/>
              <w:rPr>
                <w:rFonts w:ascii="Tahoma" w:eastAsia="Times New Roman" w:hAnsi="Tahoma" w:cs="Tahoma"/>
                <w:b/>
                <w:bCs/>
                <w:sz w:val="24"/>
                <w:szCs w:val="24"/>
                <w:lang w:eastAsia="hr-HR"/>
              </w:rPr>
            </w:pPr>
            <w:r w:rsidRPr="001752B7">
              <w:rPr>
                <w:rFonts w:ascii="Tahoma" w:eastAsia="Times New Roman" w:hAnsi="Tahoma" w:cs="Tahoma"/>
                <w:b/>
                <w:bCs/>
                <w:sz w:val="24"/>
                <w:szCs w:val="24"/>
                <w:lang w:eastAsia="hr-HR"/>
              </w:rPr>
              <w:t>1</w:t>
            </w:r>
          </w:p>
        </w:tc>
        <w:tc>
          <w:tcPr>
            <w:tcW w:w="419" w:type="dxa"/>
            <w:tcBorders>
              <w:top w:val="nil"/>
              <w:left w:val="nil"/>
              <w:bottom w:val="single" w:sz="4" w:space="0" w:color="auto"/>
              <w:right w:val="single" w:sz="4" w:space="0" w:color="auto"/>
            </w:tcBorders>
            <w:shd w:val="clear" w:color="000000" w:fill="FFFF00"/>
            <w:noWrap/>
            <w:vAlign w:val="center"/>
            <w:hideMark/>
          </w:tcPr>
          <w:p w14:paraId="0CEE7CA2" w14:textId="77777777" w:rsidR="001752B7" w:rsidRPr="001752B7" w:rsidRDefault="001752B7" w:rsidP="001752B7">
            <w:pPr>
              <w:spacing w:after="0" w:line="240" w:lineRule="auto"/>
              <w:jc w:val="right"/>
              <w:rPr>
                <w:rFonts w:ascii="Tahoma" w:eastAsia="Times New Roman" w:hAnsi="Tahoma" w:cs="Tahoma"/>
                <w:b/>
                <w:bCs/>
                <w:sz w:val="24"/>
                <w:szCs w:val="24"/>
                <w:lang w:eastAsia="hr-HR"/>
              </w:rPr>
            </w:pPr>
            <w:r w:rsidRPr="001752B7">
              <w:rPr>
                <w:rFonts w:ascii="Tahoma" w:eastAsia="Times New Roman" w:hAnsi="Tahoma" w:cs="Tahoma"/>
                <w:b/>
                <w:bCs/>
                <w:sz w:val="24"/>
                <w:szCs w:val="24"/>
                <w:lang w:eastAsia="hr-HR"/>
              </w:rPr>
              <w:t>23</w:t>
            </w:r>
          </w:p>
        </w:tc>
        <w:tc>
          <w:tcPr>
            <w:tcW w:w="521" w:type="dxa"/>
            <w:tcBorders>
              <w:top w:val="nil"/>
              <w:left w:val="nil"/>
              <w:bottom w:val="single" w:sz="4" w:space="0" w:color="auto"/>
              <w:right w:val="single" w:sz="4" w:space="0" w:color="auto"/>
            </w:tcBorders>
            <w:shd w:val="clear" w:color="000000" w:fill="FFFF00"/>
            <w:noWrap/>
            <w:vAlign w:val="center"/>
            <w:hideMark/>
          </w:tcPr>
          <w:p w14:paraId="3430098D" w14:textId="77777777" w:rsidR="001752B7" w:rsidRPr="001752B7" w:rsidRDefault="001752B7" w:rsidP="001752B7">
            <w:pPr>
              <w:spacing w:after="0" w:line="240" w:lineRule="auto"/>
              <w:jc w:val="right"/>
              <w:rPr>
                <w:rFonts w:ascii="Tahoma" w:eastAsia="Times New Roman" w:hAnsi="Tahoma" w:cs="Tahoma"/>
                <w:b/>
                <w:bCs/>
                <w:sz w:val="24"/>
                <w:szCs w:val="24"/>
                <w:lang w:eastAsia="hr-HR"/>
              </w:rPr>
            </w:pPr>
            <w:r w:rsidRPr="001752B7">
              <w:rPr>
                <w:rFonts w:ascii="Tahoma" w:eastAsia="Times New Roman" w:hAnsi="Tahoma" w:cs="Tahoma"/>
                <w:b/>
                <w:bCs/>
                <w:sz w:val="24"/>
                <w:szCs w:val="24"/>
                <w:lang w:eastAsia="hr-HR"/>
              </w:rPr>
              <w:t>21</w:t>
            </w:r>
          </w:p>
        </w:tc>
        <w:tc>
          <w:tcPr>
            <w:tcW w:w="476" w:type="dxa"/>
            <w:tcBorders>
              <w:top w:val="nil"/>
              <w:left w:val="nil"/>
              <w:bottom w:val="single" w:sz="4" w:space="0" w:color="auto"/>
              <w:right w:val="single" w:sz="4" w:space="0" w:color="auto"/>
            </w:tcBorders>
            <w:shd w:val="clear" w:color="000000" w:fill="FFFF00"/>
            <w:noWrap/>
            <w:vAlign w:val="center"/>
            <w:hideMark/>
          </w:tcPr>
          <w:p w14:paraId="31EB30A1" w14:textId="77777777" w:rsidR="001752B7" w:rsidRPr="001752B7" w:rsidRDefault="001752B7" w:rsidP="001752B7">
            <w:pPr>
              <w:spacing w:after="0" w:line="240" w:lineRule="auto"/>
              <w:jc w:val="right"/>
              <w:rPr>
                <w:rFonts w:ascii="Tahoma" w:eastAsia="Times New Roman" w:hAnsi="Tahoma" w:cs="Tahoma"/>
                <w:b/>
                <w:bCs/>
                <w:sz w:val="24"/>
                <w:szCs w:val="24"/>
                <w:lang w:eastAsia="hr-HR"/>
              </w:rPr>
            </w:pPr>
            <w:r w:rsidRPr="001752B7">
              <w:rPr>
                <w:rFonts w:ascii="Tahoma" w:eastAsia="Times New Roman" w:hAnsi="Tahoma" w:cs="Tahoma"/>
                <w:b/>
                <w:bCs/>
                <w:sz w:val="24"/>
                <w:szCs w:val="24"/>
                <w:lang w:eastAsia="hr-HR"/>
              </w:rPr>
              <w:t>44</w:t>
            </w:r>
          </w:p>
        </w:tc>
        <w:tc>
          <w:tcPr>
            <w:tcW w:w="698" w:type="dxa"/>
            <w:tcBorders>
              <w:top w:val="nil"/>
              <w:left w:val="nil"/>
              <w:bottom w:val="single" w:sz="4" w:space="0" w:color="auto"/>
              <w:right w:val="single" w:sz="4" w:space="0" w:color="auto"/>
            </w:tcBorders>
            <w:shd w:val="clear" w:color="000000" w:fill="FFFF00"/>
            <w:noWrap/>
            <w:vAlign w:val="center"/>
            <w:hideMark/>
          </w:tcPr>
          <w:p w14:paraId="26B55221" w14:textId="77777777" w:rsidR="001752B7" w:rsidRPr="001752B7" w:rsidRDefault="001752B7" w:rsidP="001752B7">
            <w:pPr>
              <w:spacing w:after="0" w:line="240" w:lineRule="auto"/>
              <w:jc w:val="right"/>
              <w:rPr>
                <w:rFonts w:ascii="Tahoma" w:eastAsia="Times New Roman" w:hAnsi="Tahoma" w:cs="Tahoma"/>
                <w:b/>
                <w:bCs/>
                <w:sz w:val="24"/>
                <w:szCs w:val="24"/>
                <w:lang w:eastAsia="hr-HR"/>
              </w:rPr>
            </w:pPr>
            <w:r w:rsidRPr="001752B7">
              <w:rPr>
                <w:rFonts w:ascii="Tahoma" w:eastAsia="Times New Roman" w:hAnsi="Tahoma" w:cs="Tahoma"/>
                <w:b/>
                <w:bCs/>
                <w:sz w:val="24"/>
                <w:szCs w:val="24"/>
                <w:lang w:eastAsia="hr-HR"/>
              </w:rPr>
              <w:t>155</w:t>
            </w:r>
          </w:p>
        </w:tc>
        <w:tc>
          <w:tcPr>
            <w:tcW w:w="643" w:type="dxa"/>
            <w:tcBorders>
              <w:top w:val="nil"/>
              <w:left w:val="nil"/>
              <w:bottom w:val="single" w:sz="4" w:space="0" w:color="auto"/>
              <w:right w:val="single" w:sz="4" w:space="0" w:color="auto"/>
            </w:tcBorders>
            <w:shd w:val="clear" w:color="000000" w:fill="FFFF00"/>
            <w:noWrap/>
            <w:vAlign w:val="center"/>
            <w:hideMark/>
          </w:tcPr>
          <w:p w14:paraId="151C73F6" w14:textId="77777777" w:rsidR="001752B7" w:rsidRPr="001752B7" w:rsidRDefault="001752B7" w:rsidP="001752B7">
            <w:pPr>
              <w:spacing w:after="0" w:line="240" w:lineRule="auto"/>
              <w:jc w:val="right"/>
              <w:rPr>
                <w:rFonts w:ascii="Tahoma" w:eastAsia="Times New Roman" w:hAnsi="Tahoma" w:cs="Tahoma"/>
                <w:b/>
                <w:bCs/>
                <w:sz w:val="24"/>
                <w:szCs w:val="24"/>
                <w:lang w:eastAsia="hr-HR"/>
              </w:rPr>
            </w:pPr>
            <w:r w:rsidRPr="001752B7">
              <w:rPr>
                <w:rFonts w:ascii="Tahoma" w:eastAsia="Times New Roman" w:hAnsi="Tahoma" w:cs="Tahoma"/>
                <w:b/>
                <w:bCs/>
                <w:sz w:val="24"/>
                <w:szCs w:val="24"/>
                <w:lang w:eastAsia="hr-HR"/>
              </w:rPr>
              <w:t>11</w:t>
            </w:r>
          </w:p>
        </w:tc>
        <w:tc>
          <w:tcPr>
            <w:tcW w:w="605" w:type="dxa"/>
            <w:tcBorders>
              <w:top w:val="nil"/>
              <w:left w:val="nil"/>
              <w:bottom w:val="single" w:sz="4" w:space="0" w:color="auto"/>
              <w:right w:val="single" w:sz="4" w:space="0" w:color="auto"/>
            </w:tcBorders>
            <w:shd w:val="clear" w:color="000000" w:fill="FFFF00"/>
            <w:noWrap/>
            <w:vAlign w:val="center"/>
            <w:hideMark/>
          </w:tcPr>
          <w:p w14:paraId="7F997224" w14:textId="77777777" w:rsidR="001752B7" w:rsidRPr="001752B7" w:rsidRDefault="001752B7" w:rsidP="001752B7">
            <w:pPr>
              <w:spacing w:after="0" w:line="240" w:lineRule="auto"/>
              <w:jc w:val="right"/>
              <w:rPr>
                <w:rFonts w:ascii="Tahoma" w:eastAsia="Times New Roman" w:hAnsi="Tahoma" w:cs="Tahoma"/>
                <w:b/>
                <w:bCs/>
                <w:sz w:val="24"/>
                <w:szCs w:val="24"/>
                <w:lang w:eastAsia="hr-HR"/>
              </w:rPr>
            </w:pPr>
            <w:r w:rsidRPr="001752B7">
              <w:rPr>
                <w:rFonts w:ascii="Tahoma" w:eastAsia="Times New Roman" w:hAnsi="Tahoma" w:cs="Tahoma"/>
                <w:b/>
                <w:bCs/>
                <w:sz w:val="24"/>
                <w:szCs w:val="24"/>
                <w:lang w:eastAsia="hr-HR"/>
              </w:rPr>
              <w:t>4</w:t>
            </w:r>
          </w:p>
        </w:tc>
        <w:tc>
          <w:tcPr>
            <w:tcW w:w="698" w:type="dxa"/>
            <w:tcBorders>
              <w:top w:val="nil"/>
              <w:left w:val="nil"/>
              <w:bottom w:val="single" w:sz="4" w:space="0" w:color="auto"/>
              <w:right w:val="single" w:sz="4" w:space="0" w:color="auto"/>
            </w:tcBorders>
            <w:shd w:val="clear" w:color="000000" w:fill="FFFF00"/>
            <w:noWrap/>
            <w:vAlign w:val="center"/>
            <w:hideMark/>
          </w:tcPr>
          <w:p w14:paraId="3CBCBDBF" w14:textId="77777777" w:rsidR="001752B7" w:rsidRPr="001752B7" w:rsidRDefault="001752B7" w:rsidP="001752B7">
            <w:pPr>
              <w:spacing w:after="0" w:line="240" w:lineRule="auto"/>
              <w:jc w:val="right"/>
              <w:rPr>
                <w:rFonts w:ascii="Tahoma" w:eastAsia="Times New Roman" w:hAnsi="Tahoma" w:cs="Tahoma"/>
                <w:b/>
                <w:bCs/>
                <w:sz w:val="24"/>
                <w:szCs w:val="24"/>
                <w:lang w:eastAsia="hr-HR"/>
              </w:rPr>
            </w:pPr>
            <w:r w:rsidRPr="001752B7">
              <w:rPr>
                <w:rFonts w:ascii="Tahoma" w:eastAsia="Times New Roman" w:hAnsi="Tahoma" w:cs="Tahoma"/>
                <w:b/>
                <w:bCs/>
                <w:sz w:val="24"/>
                <w:szCs w:val="24"/>
                <w:lang w:eastAsia="hr-HR"/>
              </w:rPr>
              <w:t>10</w:t>
            </w:r>
          </w:p>
        </w:tc>
        <w:tc>
          <w:tcPr>
            <w:tcW w:w="464" w:type="dxa"/>
            <w:tcBorders>
              <w:top w:val="nil"/>
              <w:left w:val="nil"/>
              <w:bottom w:val="single" w:sz="4" w:space="0" w:color="auto"/>
              <w:right w:val="single" w:sz="4" w:space="0" w:color="auto"/>
            </w:tcBorders>
            <w:shd w:val="clear" w:color="000000" w:fill="FFFF00"/>
            <w:noWrap/>
            <w:vAlign w:val="center"/>
            <w:hideMark/>
          </w:tcPr>
          <w:p w14:paraId="2FC82D2B" w14:textId="77777777" w:rsidR="001752B7" w:rsidRPr="001752B7" w:rsidRDefault="001752B7" w:rsidP="001752B7">
            <w:pPr>
              <w:spacing w:after="0" w:line="240" w:lineRule="auto"/>
              <w:jc w:val="right"/>
              <w:rPr>
                <w:rFonts w:ascii="Tahoma" w:eastAsia="Times New Roman" w:hAnsi="Tahoma" w:cs="Tahoma"/>
                <w:b/>
                <w:bCs/>
                <w:sz w:val="24"/>
                <w:szCs w:val="24"/>
                <w:lang w:eastAsia="hr-HR"/>
              </w:rPr>
            </w:pPr>
            <w:r w:rsidRPr="001752B7">
              <w:rPr>
                <w:rFonts w:ascii="Tahoma" w:eastAsia="Times New Roman" w:hAnsi="Tahoma" w:cs="Tahoma"/>
                <w:b/>
                <w:bCs/>
                <w:sz w:val="24"/>
                <w:szCs w:val="24"/>
                <w:lang w:eastAsia="hr-HR"/>
              </w:rPr>
              <w:t>6</w:t>
            </w:r>
          </w:p>
        </w:tc>
        <w:tc>
          <w:tcPr>
            <w:tcW w:w="425" w:type="dxa"/>
            <w:tcBorders>
              <w:top w:val="nil"/>
              <w:left w:val="nil"/>
              <w:bottom w:val="single" w:sz="4" w:space="0" w:color="auto"/>
              <w:right w:val="single" w:sz="4" w:space="0" w:color="auto"/>
            </w:tcBorders>
            <w:shd w:val="clear" w:color="000000" w:fill="FFFF00"/>
            <w:noWrap/>
            <w:vAlign w:val="center"/>
            <w:hideMark/>
          </w:tcPr>
          <w:p w14:paraId="2D7989DD" w14:textId="77777777" w:rsidR="001752B7" w:rsidRPr="001752B7" w:rsidRDefault="001752B7" w:rsidP="001752B7">
            <w:pPr>
              <w:spacing w:after="0" w:line="240" w:lineRule="auto"/>
              <w:jc w:val="right"/>
              <w:rPr>
                <w:rFonts w:ascii="Tahoma" w:eastAsia="Times New Roman" w:hAnsi="Tahoma" w:cs="Tahoma"/>
                <w:b/>
                <w:bCs/>
                <w:sz w:val="24"/>
                <w:szCs w:val="24"/>
                <w:lang w:eastAsia="hr-HR"/>
              </w:rPr>
            </w:pPr>
            <w:r w:rsidRPr="001752B7">
              <w:rPr>
                <w:rFonts w:ascii="Tahoma" w:eastAsia="Times New Roman" w:hAnsi="Tahoma" w:cs="Tahoma"/>
                <w:b/>
                <w:bCs/>
                <w:sz w:val="24"/>
                <w:szCs w:val="24"/>
                <w:lang w:eastAsia="hr-HR"/>
              </w:rPr>
              <w:t>5</w:t>
            </w:r>
          </w:p>
        </w:tc>
        <w:tc>
          <w:tcPr>
            <w:tcW w:w="426" w:type="dxa"/>
            <w:tcBorders>
              <w:top w:val="nil"/>
              <w:left w:val="nil"/>
              <w:bottom w:val="single" w:sz="4" w:space="0" w:color="auto"/>
              <w:right w:val="single" w:sz="4" w:space="0" w:color="auto"/>
            </w:tcBorders>
            <w:shd w:val="clear" w:color="000000" w:fill="FFFF00"/>
            <w:noWrap/>
            <w:vAlign w:val="center"/>
            <w:hideMark/>
          </w:tcPr>
          <w:p w14:paraId="2AAAA274" w14:textId="77777777" w:rsidR="001752B7" w:rsidRPr="001752B7" w:rsidRDefault="001752B7" w:rsidP="001752B7">
            <w:pPr>
              <w:spacing w:after="0" w:line="240" w:lineRule="auto"/>
              <w:jc w:val="right"/>
              <w:rPr>
                <w:rFonts w:ascii="Tahoma" w:eastAsia="Times New Roman" w:hAnsi="Tahoma" w:cs="Tahoma"/>
                <w:b/>
                <w:bCs/>
                <w:sz w:val="24"/>
                <w:szCs w:val="24"/>
                <w:lang w:eastAsia="hr-HR"/>
              </w:rPr>
            </w:pPr>
            <w:r w:rsidRPr="001752B7">
              <w:rPr>
                <w:rFonts w:ascii="Tahoma" w:eastAsia="Times New Roman" w:hAnsi="Tahoma" w:cs="Tahoma"/>
                <w:b/>
                <w:bCs/>
                <w:sz w:val="24"/>
                <w:szCs w:val="24"/>
                <w:lang w:eastAsia="hr-HR"/>
              </w:rPr>
              <w:t> </w:t>
            </w:r>
          </w:p>
        </w:tc>
        <w:tc>
          <w:tcPr>
            <w:tcW w:w="487" w:type="dxa"/>
            <w:tcBorders>
              <w:top w:val="nil"/>
              <w:left w:val="nil"/>
              <w:bottom w:val="single" w:sz="4" w:space="0" w:color="auto"/>
              <w:right w:val="single" w:sz="4" w:space="0" w:color="auto"/>
            </w:tcBorders>
            <w:shd w:val="clear" w:color="000000" w:fill="FFFF00"/>
            <w:noWrap/>
            <w:vAlign w:val="center"/>
            <w:hideMark/>
          </w:tcPr>
          <w:p w14:paraId="6F26F456" w14:textId="77777777" w:rsidR="001752B7" w:rsidRPr="001752B7" w:rsidRDefault="001752B7" w:rsidP="001752B7">
            <w:pPr>
              <w:spacing w:after="0" w:line="240" w:lineRule="auto"/>
              <w:jc w:val="right"/>
              <w:rPr>
                <w:rFonts w:ascii="Tahoma" w:eastAsia="Times New Roman" w:hAnsi="Tahoma" w:cs="Tahoma"/>
                <w:b/>
                <w:bCs/>
                <w:sz w:val="24"/>
                <w:szCs w:val="24"/>
                <w:lang w:eastAsia="hr-HR"/>
              </w:rPr>
            </w:pPr>
            <w:r w:rsidRPr="001752B7">
              <w:rPr>
                <w:rFonts w:ascii="Tahoma" w:eastAsia="Times New Roman" w:hAnsi="Tahoma" w:cs="Tahoma"/>
                <w:b/>
                <w:bCs/>
                <w:sz w:val="24"/>
                <w:szCs w:val="24"/>
                <w:lang w:eastAsia="hr-HR"/>
              </w:rPr>
              <w:t>10</w:t>
            </w:r>
          </w:p>
        </w:tc>
        <w:tc>
          <w:tcPr>
            <w:tcW w:w="425" w:type="dxa"/>
            <w:tcBorders>
              <w:top w:val="nil"/>
              <w:left w:val="nil"/>
              <w:bottom w:val="single" w:sz="4" w:space="0" w:color="auto"/>
              <w:right w:val="single" w:sz="4" w:space="0" w:color="auto"/>
            </w:tcBorders>
            <w:shd w:val="clear" w:color="000000" w:fill="FFFF00"/>
            <w:noWrap/>
            <w:vAlign w:val="center"/>
            <w:hideMark/>
          </w:tcPr>
          <w:p w14:paraId="447869EC" w14:textId="77777777" w:rsidR="001752B7" w:rsidRPr="001752B7" w:rsidRDefault="001752B7" w:rsidP="001752B7">
            <w:pPr>
              <w:spacing w:after="0" w:line="240" w:lineRule="auto"/>
              <w:jc w:val="right"/>
              <w:rPr>
                <w:rFonts w:ascii="Tahoma" w:eastAsia="Times New Roman" w:hAnsi="Tahoma" w:cs="Tahoma"/>
                <w:b/>
                <w:bCs/>
                <w:sz w:val="24"/>
                <w:szCs w:val="24"/>
                <w:lang w:eastAsia="hr-HR"/>
              </w:rPr>
            </w:pPr>
            <w:r w:rsidRPr="001752B7">
              <w:rPr>
                <w:rFonts w:ascii="Tahoma" w:eastAsia="Times New Roman" w:hAnsi="Tahoma" w:cs="Tahoma"/>
                <w:b/>
                <w:bCs/>
                <w:sz w:val="24"/>
                <w:szCs w:val="24"/>
                <w:lang w:eastAsia="hr-HR"/>
              </w:rPr>
              <w:t>34</w:t>
            </w:r>
          </w:p>
        </w:tc>
        <w:tc>
          <w:tcPr>
            <w:tcW w:w="236" w:type="dxa"/>
            <w:vAlign w:val="center"/>
            <w:hideMark/>
          </w:tcPr>
          <w:p w14:paraId="5A84651D" w14:textId="77777777" w:rsidR="001752B7" w:rsidRPr="001752B7" w:rsidRDefault="001752B7" w:rsidP="001752B7">
            <w:pPr>
              <w:spacing w:after="0" w:line="240" w:lineRule="auto"/>
              <w:rPr>
                <w:rFonts w:ascii="Times New Roman" w:eastAsia="Times New Roman" w:hAnsi="Times New Roman" w:cs="Times New Roman"/>
                <w:sz w:val="20"/>
                <w:szCs w:val="20"/>
                <w:lang w:eastAsia="hr-HR"/>
              </w:rPr>
            </w:pPr>
          </w:p>
        </w:tc>
      </w:tr>
    </w:tbl>
    <w:p w14:paraId="3F31277F" w14:textId="109ED7BB" w:rsidR="001752B7" w:rsidRDefault="001752B7" w:rsidP="00E103B8">
      <w:pPr>
        <w:rPr>
          <w:rFonts w:ascii="Times New Roman" w:hAnsi="Times New Roman" w:cs="Times New Roman"/>
          <w:sz w:val="24"/>
          <w:szCs w:val="24"/>
        </w:rPr>
      </w:pPr>
    </w:p>
    <w:p w14:paraId="38C6D0E3" w14:textId="7208944C" w:rsidR="001752B7" w:rsidRDefault="001752B7" w:rsidP="001752B7">
      <w:pPr>
        <w:spacing w:after="0" w:line="240" w:lineRule="auto"/>
        <w:rPr>
          <w:rFonts w:ascii="Times New Roman" w:hAnsi="Times New Roman" w:cs="Times New Roman"/>
          <w:sz w:val="24"/>
          <w:szCs w:val="24"/>
        </w:rPr>
      </w:pPr>
      <w:r w:rsidRPr="001752B7">
        <w:rPr>
          <w:rFonts w:ascii="Times New Roman" w:hAnsi="Times New Roman" w:cs="Times New Roman"/>
          <w:sz w:val="24"/>
          <w:szCs w:val="24"/>
        </w:rPr>
        <w:lastRenderedPageBreak/>
        <w:t>NAPOMENE</w:t>
      </w:r>
    </w:p>
    <w:p w14:paraId="4E2E10CF" w14:textId="6E616028" w:rsidR="001752B7" w:rsidRDefault="001752B7" w:rsidP="001752B7">
      <w:pPr>
        <w:spacing w:after="0" w:line="240" w:lineRule="auto"/>
        <w:rPr>
          <w:rFonts w:ascii="Times New Roman" w:hAnsi="Times New Roman" w:cs="Times New Roman"/>
          <w:sz w:val="24"/>
          <w:szCs w:val="24"/>
        </w:rPr>
      </w:pPr>
    </w:p>
    <w:p w14:paraId="28B2DB24" w14:textId="708DAA40" w:rsidR="001752B7" w:rsidRDefault="001752B7" w:rsidP="001752B7">
      <w:pPr>
        <w:spacing w:after="0" w:line="240" w:lineRule="auto"/>
        <w:rPr>
          <w:rFonts w:ascii="Times New Roman" w:hAnsi="Times New Roman" w:cs="Times New Roman"/>
          <w:sz w:val="24"/>
          <w:szCs w:val="24"/>
        </w:rPr>
      </w:pPr>
      <w:r w:rsidRPr="001752B7">
        <w:rPr>
          <w:rFonts w:ascii="Times New Roman" w:eastAsia="Times New Roman" w:hAnsi="Times New Roman" w:cs="Times New Roman"/>
          <w:color w:val="000000"/>
          <w:sz w:val="24"/>
          <w:szCs w:val="24"/>
          <w:lang w:eastAsia="hr-HR"/>
        </w:rPr>
        <w:t>1. OS Šibenik i OS Bjelovar prikazali su samo ukupno predmete, a ne po osnovama diskriminacije jer u samoj tužbi nije navedena osnova (iz istog razloga je tužba bila vraćena tužitelju na dopunu); također nisu prikazani niti ostali parametri koji se inače popunjavaju za primljene predmete u izvještajnom razdoblju</w:t>
      </w:r>
    </w:p>
    <w:p w14:paraId="535D49EC" w14:textId="62086757" w:rsidR="001752B7" w:rsidRDefault="001752B7" w:rsidP="001752B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 </w:t>
      </w:r>
      <w:r w:rsidRPr="001752B7">
        <w:rPr>
          <w:rFonts w:ascii="Times New Roman" w:eastAsia="Times New Roman" w:hAnsi="Times New Roman" w:cs="Times New Roman"/>
          <w:color w:val="000000"/>
          <w:sz w:val="24"/>
          <w:szCs w:val="24"/>
          <w:lang w:eastAsia="hr-HR"/>
        </w:rPr>
        <w:t>Za pojedine predmete koji su se u ranijim razdobljima iskazivali kao diskriminacija naknadno je utvrđeno da se ne radi o diskriminaciji ili je naknadno u predmetu prom</w:t>
      </w:r>
      <w:r>
        <w:rPr>
          <w:rFonts w:ascii="Times New Roman" w:eastAsia="Times New Roman" w:hAnsi="Times New Roman" w:cs="Times New Roman"/>
          <w:color w:val="000000"/>
          <w:sz w:val="24"/>
          <w:szCs w:val="24"/>
          <w:lang w:eastAsia="hr-HR"/>
        </w:rPr>
        <w:t>i</w:t>
      </w:r>
      <w:r w:rsidRPr="001752B7">
        <w:rPr>
          <w:rFonts w:ascii="Times New Roman" w:eastAsia="Times New Roman" w:hAnsi="Times New Roman" w:cs="Times New Roman"/>
          <w:color w:val="000000"/>
          <w:sz w:val="24"/>
          <w:szCs w:val="24"/>
          <w:lang w:eastAsia="hr-HR"/>
        </w:rPr>
        <w:t>jenjena osnova diskriminacije te se zato stanje na početku 2016. godine ne poklapa sa stanjem na kraju 2015. godine</w:t>
      </w:r>
    </w:p>
    <w:p w14:paraId="0E50CA1A" w14:textId="4C660051" w:rsidR="001752B7" w:rsidRDefault="001752B7" w:rsidP="001752B7">
      <w:pPr>
        <w:spacing w:after="0" w:line="240" w:lineRule="auto"/>
        <w:rPr>
          <w:rFonts w:ascii="Times New Roman" w:hAnsi="Times New Roman" w:cs="Times New Roman"/>
          <w:sz w:val="24"/>
          <w:szCs w:val="24"/>
        </w:rPr>
      </w:pPr>
    </w:p>
    <w:p w14:paraId="0026F819" w14:textId="77777777" w:rsidR="001752B7" w:rsidRPr="001752B7" w:rsidRDefault="001752B7" w:rsidP="001752B7">
      <w:pPr>
        <w:spacing w:after="0" w:line="240" w:lineRule="auto"/>
        <w:rPr>
          <w:rFonts w:ascii="Times New Roman" w:hAnsi="Times New Roman" w:cs="Times New Roman"/>
          <w:sz w:val="24"/>
          <w:szCs w:val="24"/>
        </w:rPr>
      </w:pPr>
    </w:p>
    <w:p w14:paraId="57F2513A" w14:textId="26AE3C92" w:rsidR="00E103B8" w:rsidRPr="005E671C" w:rsidRDefault="00E103B8" w:rsidP="00E103B8">
      <w:pPr>
        <w:rPr>
          <w:rFonts w:ascii="Times New Roman" w:hAnsi="Times New Roman" w:cs="Times New Roman"/>
          <w:sz w:val="24"/>
          <w:szCs w:val="24"/>
        </w:rPr>
      </w:pPr>
      <w:r w:rsidRPr="005E671C">
        <w:rPr>
          <w:rFonts w:ascii="Times New Roman" w:hAnsi="Times New Roman" w:cs="Times New Roman"/>
          <w:sz w:val="24"/>
          <w:szCs w:val="24"/>
        </w:rPr>
        <w:t>OPĆINSKI SUDOVI (KAZNENI PREDMETI) - UKUPNO 201</w:t>
      </w:r>
      <w:r>
        <w:rPr>
          <w:rFonts w:ascii="Times New Roman" w:hAnsi="Times New Roman" w:cs="Times New Roman"/>
          <w:sz w:val="24"/>
          <w:szCs w:val="24"/>
        </w:rPr>
        <w:t>6</w:t>
      </w:r>
      <w:r w:rsidRPr="005E671C">
        <w:rPr>
          <w:rFonts w:ascii="Times New Roman" w:hAnsi="Times New Roman" w:cs="Times New Roman"/>
          <w:sz w:val="24"/>
          <w:szCs w:val="24"/>
        </w:rPr>
        <w:t>. godina</w:t>
      </w:r>
    </w:p>
    <w:tbl>
      <w:tblPr>
        <w:tblW w:w="14296" w:type="dxa"/>
        <w:tblLayout w:type="fixed"/>
        <w:tblLook w:val="04A0" w:firstRow="1" w:lastRow="0" w:firstColumn="1" w:lastColumn="0" w:noHBand="0" w:noVBand="1"/>
      </w:tblPr>
      <w:tblGrid>
        <w:gridCol w:w="1119"/>
        <w:gridCol w:w="671"/>
        <w:gridCol w:w="519"/>
        <w:gridCol w:w="365"/>
        <w:gridCol w:w="379"/>
        <w:gridCol w:w="698"/>
        <w:gridCol w:w="698"/>
        <w:gridCol w:w="512"/>
        <w:gridCol w:w="698"/>
        <w:gridCol w:w="444"/>
        <w:gridCol w:w="698"/>
        <w:gridCol w:w="21"/>
        <w:gridCol w:w="423"/>
        <w:gridCol w:w="521"/>
        <w:gridCol w:w="521"/>
        <w:gridCol w:w="511"/>
        <w:gridCol w:w="10"/>
        <w:gridCol w:w="702"/>
        <w:gridCol w:w="907"/>
        <w:gridCol w:w="553"/>
        <w:gridCol w:w="918"/>
        <w:gridCol w:w="428"/>
        <w:gridCol w:w="428"/>
        <w:gridCol w:w="425"/>
        <w:gridCol w:w="425"/>
        <w:gridCol w:w="430"/>
        <w:gridCol w:w="10"/>
        <w:gridCol w:w="236"/>
        <w:gridCol w:w="26"/>
      </w:tblGrid>
      <w:tr w:rsidR="000271A1" w:rsidRPr="000271A1" w14:paraId="7AD42C27" w14:textId="77777777" w:rsidTr="000271A1">
        <w:trPr>
          <w:gridAfter w:val="3"/>
          <w:wAfter w:w="272" w:type="dxa"/>
          <w:trHeight w:val="450"/>
        </w:trPr>
        <w:tc>
          <w:tcPr>
            <w:tcW w:w="1119" w:type="dxa"/>
            <w:vMerge w:val="restart"/>
            <w:tcBorders>
              <w:top w:val="single" w:sz="8" w:space="0" w:color="auto"/>
              <w:left w:val="single" w:sz="8" w:space="0" w:color="auto"/>
              <w:bottom w:val="single" w:sz="4" w:space="0" w:color="auto"/>
              <w:right w:val="single" w:sz="4" w:space="0" w:color="auto"/>
            </w:tcBorders>
            <w:shd w:val="clear" w:color="000000" w:fill="CCFFCC"/>
            <w:vAlign w:val="center"/>
            <w:hideMark/>
          </w:tcPr>
          <w:p w14:paraId="70239B60" w14:textId="77777777" w:rsidR="000271A1" w:rsidRPr="000271A1" w:rsidRDefault="000271A1" w:rsidP="000271A1">
            <w:pPr>
              <w:spacing w:after="0" w:line="240" w:lineRule="auto"/>
              <w:jc w:val="center"/>
              <w:rPr>
                <w:rFonts w:ascii="Tahoma" w:eastAsia="Times New Roman" w:hAnsi="Tahoma" w:cs="Tahoma"/>
                <w:sz w:val="18"/>
                <w:szCs w:val="18"/>
                <w:lang w:eastAsia="hr-HR"/>
              </w:rPr>
            </w:pPr>
            <w:r w:rsidRPr="000271A1">
              <w:rPr>
                <w:rFonts w:ascii="Tahoma" w:eastAsia="Times New Roman" w:hAnsi="Tahoma" w:cs="Tahoma"/>
                <w:sz w:val="18"/>
                <w:szCs w:val="18"/>
                <w:lang w:eastAsia="hr-HR"/>
              </w:rPr>
              <w:t>OSNOVE DISKRIMINACIJE (čl. 1. Zakona o suzbijanju diskriminacije)</w:t>
            </w:r>
          </w:p>
        </w:tc>
        <w:tc>
          <w:tcPr>
            <w:tcW w:w="12905" w:type="dxa"/>
            <w:gridSpan w:val="25"/>
            <w:vMerge w:val="restart"/>
            <w:tcBorders>
              <w:top w:val="single" w:sz="8" w:space="0" w:color="auto"/>
              <w:left w:val="single" w:sz="4" w:space="0" w:color="auto"/>
              <w:bottom w:val="single" w:sz="4" w:space="0" w:color="000000"/>
              <w:right w:val="single" w:sz="8" w:space="0" w:color="000000"/>
            </w:tcBorders>
            <w:shd w:val="clear" w:color="000000" w:fill="CCFFCC"/>
            <w:noWrap/>
            <w:vAlign w:val="center"/>
            <w:hideMark/>
          </w:tcPr>
          <w:p w14:paraId="210C959B" w14:textId="77777777" w:rsidR="000271A1" w:rsidRPr="000271A1" w:rsidRDefault="000271A1" w:rsidP="000271A1">
            <w:pPr>
              <w:spacing w:after="0" w:line="240" w:lineRule="auto"/>
              <w:jc w:val="center"/>
              <w:rPr>
                <w:rFonts w:ascii="Tahoma" w:eastAsia="Times New Roman" w:hAnsi="Tahoma" w:cs="Tahoma"/>
                <w:b/>
                <w:bCs/>
                <w:sz w:val="18"/>
                <w:szCs w:val="18"/>
                <w:lang w:eastAsia="hr-HR"/>
              </w:rPr>
            </w:pPr>
            <w:r w:rsidRPr="000271A1">
              <w:rPr>
                <w:rFonts w:ascii="Tahoma" w:eastAsia="Times New Roman" w:hAnsi="Tahoma" w:cs="Tahoma"/>
                <w:b/>
                <w:bCs/>
                <w:sz w:val="18"/>
                <w:szCs w:val="18"/>
                <w:lang w:eastAsia="hr-HR"/>
              </w:rPr>
              <w:t>G R A Đ A N S K I  P R E D M E T I</w:t>
            </w:r>
          </w:p>
        </w:tc>
      </w:tr>
      <w:tr w:rsidR="000271A1" w:rsidRPr="000271A1" w14:paraId="51DDDC39" w14:textId="77777777" w:rsidTr="000271A1">
        <w:trPr>
          <w:trHeight w:val="300"/>
        </w:trPr>
        <w:tc>
          <w:tcPr>
            <w:tcW w:w="1119" w:type="dxa"/>
            <w:vMerge/>
            <w:tcBorders>
              <w:top w:val="single" w:sz="8" w:space="0" w:color="auto"/>
              <w:left w:val="single" w:sz="8" w:space="0" w:color="auto"/>
              <w:bottom w:val="single" w:sz="4" w:space="0" w:color="auto"/>
              <w:right w:val="single" w:sz="4" w:space="0" w:color="auto"/>
            </w:tcBorders>
            <w:vAlign w:val="center"/>
            <w:hideMark/>
          </w:tcPr>
          <w:p w14:paraId="38AED3FF" w14:textId="77777777" w:rsidR="000271A1" w:rsidRPr="000271A1" w:rsidRDefault="000271A1" w:rsidP="000271A1">
            <w:pPr>
              <w:spacing w:after="0" w:line="240" w:lineRule="auto"/>
              <w:rPr>
                <w:rFonts w:ascii="Tahoma" w:eastAsia="Times New Roman" w:hAnsi="Tahoma" w:cs="Tahoma"/>
                <w:sz w:val="18"/>
                <w:szCs w:val="18"/>
                <w:lang w:eastAsia="hr-HR"/>
              </w:rPr>
            </w:pPr>
          </w:p>
        </w:tc>
        <w:tc>
          <w:tcPr>
            <w:tcW w:w="12905" w:type="dxa"/>
            <w:gridSpan w:val="25"/>
            <w:vMerge/>
            <w:tcBorders>
              <w:top w:val="single" w:sz="8" w:space="0" w:color="auto"/>
              <w:left w:val="single" w:sz="4" w:space="0" w:color="auto"/>
              <w:bottom w:val="single" w:sz="4" w:space="0" w:color="000000"/>
              <w:right w:val="single" w:sz="8" w:space="0" w:color="000000"/>
            </w:tcBorders>
            <w:vAlign w:val="center"/>
            <w:hideMark/>
          </w:tcPr>
          <w:p w14:paraId="2607B2FB" w14:textId="77777777" w:rsidR="000271A1" w:rsidRPr="000271A1" w:rsidRDefault="000271A1" w:rsidP="000271A1">
            <w:pPr>
              <w:spacing w:after="0" w:line="240" w:lineRule="auto"/>
              <w:rPr>
                <w:rFonts w:ascii="Tahoma" w:eastAsia="Times New Roman" w:hAnsi="Tahoma" w:cs="Tahoma"/>
                <w:b/>
                <w:bCs/>
                <w:sz w:val="18"/>
                <w:szCs w:val="18"/>
                <w:lang w:eastAsia="hr-HR"/>
              </w:rPr>
            </w:pPr>
          </w:p>
        </w:tc>
        <w:tc>
          <w:tcPr>
            <w:tcW w:w="272" w:type="dxa"/>
            <w:gridSpan w:val="3"/>
            <w:tcBorders>
              <w:top w:val="nil"/>
              <w:left w:val="nil"/>
              <w:bottom w:val="nil"/>
              <w:right w:val="nil"/>
            </w:tcBorders>
            <w:shd w:val="clear" w:color="auto" w:fill="auto"/>
            <w:noWrap/>
            <w:vAlign w:val="bottom"/>
            <w:hideMark/>
          </w:tcPr>
          <w:p w14:paraId="106A1CC1" w14:textId="77777777" w:rsidR="000271A1" w:rsidRPr="000271A1" w:rsidRDefault="000271A1" w:rsidP="000271A1">
            <w:pPr>
              <w:spacing w:after="0" w:line="240" w:lineRule="auto"/>
              <w:jc w:val="center"/>
              <w:rPr>
                <w:rFonts w:ascii="Tahoma" w:eastAsia="Times New Roman" w:hAnsi="Tahoma" w:cs="Tahoma"/>
                <w:b/>
                <w:bCs/>
                <w:sz w:val="20"/>
                <w:szCs w:val="20"/>
                <w:lang w:eastAsia="hr-HR"/>
              </w:rPr>
            </w:pPr>
          </w:p>
        </w:tc>
      </w:tr>
      <w:tr w:rsidR="000271A1" w:rsidRPr="000271A1" w14:paraId="691D7991" w14:textId="77777777" w:rsidTr="000271A1">
        <w:trPr>
          <w:gridAfter w:val="1"/>
          <w:wAfter w:w="26" w:type="dxa"/>
          <w:trHeight w:val="1246"/>
        </w:trPr>
        <w:tc>
          <w:tcPr>
            <w:tcW w:w="1119" w:type="dxa"/>
            <w:vMerge/>
            <w:tcBorders>
              <w:top w:val="single" w:sz="8" w:space="0" w:color="auto"/>
              <w:left w:val="single" w:sz="8" w:space="0" w:color="auto"/>
              <w:bottom w:val="single" w:sz="4" w:space="0" w:color="auto"/>
              <w:right w:val="single" w:sz="4" w:space="0" w:color="auto"/>
            </w:tcBorders>
            <w:vAlign w:val="center"/>
            <w:hideMark/>
          </w:tcPr>
          <w:p w14:paraId="475654D1" w14:textId="77777777" w:rsidR="000271A1" w:rsidRPr="000271A1" w:rsidRDefault="000271A1" w:rsidP="000271A1">
            <w:pPr>
              <w:spacing w:after="0" w:line="240" w:lineRule="auto"/>
              <w:rPr>
                <w:rFonts w:ascii="Tahoma" w:eastAsia="Times New Roman" w:hAnsi="Tahoma" w:cs="Tahoma"/>
                <w:sz w:val="18"/>
                <w:szCs w:val="18"/>
                <w:lang w:eastAsia="hr-HR"/>
              </w:rPr>
            </w:pPr>
          </w:p>
        </w:tc>
        <w:tc>
          <w:tcPr>
            <w:tcW w:w="671" w:type="dxa"/>
            <w:vMerge w:val="restart"/>
            <w:tcBorders>
              <w:top w:val="nil"/>
              <w:left w:val="single" w:sz="4" w:space="0" w:color="auto"/>
              <w:bottom w:val="single" w:sz="4" w:space="0" w:color="auto"/>
              <w:right w:val="single" w:sz="4" w:space="0" w:color="auto"/>
            </w:tcBorders>
            <w:shd w:val="clear" w:color="000000" w:fill="CCFFCC"/>
            <w:textDirection w:val="btLr"/>
            <w:vAlign w:val="center"/>
            <w:hideMark/>
          </w:tcPr>
          <w:p w14:paraId="5600B529" w14:textId="77777777" w:rsidR="000271A1" w:rsidRPr="000271A1" w:rsidRDefault="000271A1" w:rsidP="000271A1">
            <w:pPr>
              <w:spacing w:after="0" w:line="240" w:lineRule="auto"/>
              <w:jc w:val="center"/>
              <w:rPr>
                <w:rFonts w:ascii="Tahoma" w:eastAsia="Times New Roman" w:hAnsi="Tahoma" w:cs="Tahoma"/>
                <w:b/>
                <w:bCs/>
                <w:sz w:val="18"/>
                <w:szCs w:val="18"/>
                <w:lang w:eastAsia="hr-HR"/>
              </w:rPr>
            </w:pPr>
            <w:r w:rsidRPr="000271A1">
              <w:rPr>
                <w:rFonts w:ascii="Tahoma" w:eastAsia="Times New Roman" w:hAnsi="Tahoma" w:cs="Tahoma"/>
                <w:b/>
                <w:bCs/>
                <w:sz w:val="18"/>
                <w:szCs w:val="18"/>
                <w:lang w:eastAsia="hr-HR"/>
              </w:rPr>
              <w:t xml:space="preserve">Broj </w:t>
            </w:r>
            <w:proofErr w:type="spellStart"/>
            <w:r w:rsidRPr="000271A1">
              <w:rPr>
                <w:rFonts w:ascii="Tahoma" w:eastAsia="Times New Roman" w:hAnsi="Tahoma" w:cs="Tahoma"/>
                <w:b/>
                <w:bCs/>
                <w:sz w:val="18"/>
                <w:szCs w:val="18"/>
                <w:lang w:eastAsia="hr-HR"/>
              </w:rPr>
              <w:t>nerješenih</w:t>
            </w:r>
            <w:proofErr w:type="spellEnd"/>
            <w:r w:rsidRPr="000271A1">
              <w:rPr>
                <w:rFonts w:ascii="Tahoma" w:eastAsia="Times New Roman" w:hAnsi="Tahoma" w:cs="Tahoma"/>
                <w:b/>
                <w:bCs/>
                <w:sz w:val="18"/>
                <w:szCs w:val="18"/>
                <w:lang w:eastAsia="hr-HR"/>
              </w:rPr>
              <w:t xml:space="preserve"> predmeta na početku razdoblja</w:t>
            </w:r>
          </w:p>
        </w:tc>
        <w:tc>
          <w:tcPr>
            <w:tcW w:w="519" w:type="dxa"/>
            <w:vMerge w:val="restart"/>
            <w:tcBorders>
              <w:top w:val="nil"/>
              <w:left w:val="single" w:sz="4" w:space="0" w:color="auto"/>
              <w:bottom w:val="single" w:sz="4" w:space="0" w:color="000000"/>
              <w:right w:val="single" w:sz="4" w:space="0" w:color="000000"/>
            </w:tcBorders>
            <w:shd w:val="clear" w:color="000000" w:fill="CCFFCC"/>
            <w:textDirection w:val="btLr"/>
            <w:vAlign w:val="center"/>
            <w:hideMark/>
          </w:tcPr>
          <w:p w14:paraId="7432BA90" w14:textId="77777777" w:rsidR="000271A1" w:rsidRPr="000271A1" w:rsidRDefault="000271A1" w:rsidP="000271A1">
            <w:pPr>
              <w:spacing w:after="0" w:line="240" w:lineRule="auto"/>
              <w:jc w:val="center"/>
              <w:rPr>
                <w:rFonts w:ascii="Tahoma" w:eastAsia="Times New Roman" w:hAnsi="Tahoma" w:cs="Tahoma"/>
                <w:b/>
                <w:bCs/>
                <w:sz w:val="18"/>
                <w:szCs w:val="18"/>
                <w:lang w:eastAsia="hr-HR"/>
              </w:rPr>
            </w:pPr>
            <w:r w:rsidRPr="000271A1">
              <w:rPr>
                <w:rFonts w:ascii="Tahoma" w:eastAsia="Times New Roman" w:hAnsi="Tahoma" w:cs="Tahoma"/>
                <w:b/>
                <w:bCs/>
                <w:sz w:val="18"/>
                <w:szCs w:val="18"/>
                <w:lang w:eastAsia="hr-HR"/>
              </w:rPr>
              <w:t xml:space="preserve">Broj primljenih predmeta </w:t>
            </w:r>
          </w:p>
        </w:tc>
        <w:tc>
          <w:tcPr>
            <w:tcW w:w="744" w:type="dxa"/>
            <w:gridSpan w:val="2"/>
            <w:tcBorders>
              <w:top w:val="single" w:sz="4" w:space="0" w:color="auto"/>
              <w:left w:val="nil"/>
              <w:bottom w:val="single" w:sz="4" w:space="0" w:color="auto"/>
              <w:right w:val="single" w:sz="4" w:space="0" w:color="000000"/>
            </w:tcBorders>
            <w:shd w:val="clear" w:color="000000" w:fill="CCFFCC"/>
            <w:vAlign w:val="center"/>
            <w:hideMark/>
          </w:tcPr>
          <w:p w14:paraId="592C09E4" w14:textId="77777777" w:rsidR="000271A1" w:rsidRPr="000271A1" w:rsidRDefault="000271A1" w:rsidP="000271A1">
            <w:pPr>
              <w:spacing w:after="0" w:line="240" w:lineRule="auto"/>
              <w:jc w:val="center"/>
              <w:rPr>
                <w:rFonts w:ascii="Tahoma" w:eastAsia="Times New Roman" w:hAnsi="Tahoma" w:cs="Tahoma"/>
                <w:sz w:val="18"/>
                <w:szCs w:val="18"/>
                <w:lang w:eastAsia="hr-HR"/>
              </w:rPr>
            </w:pPr>
            <w:r w:rsidRPr="000271A1">
              <w:rPr>
                <w:rFonts w:ascii="Tahoma" w:eastAsia="Times New Roman" w:hAnsi="Tahoma" w:cs="Tahoma"/>
                <w:sz w:val="18"/>
                <w:szCs w:val="18"/>
                <w:lang w:eastAsia="hr-HR"/>
              </w:rPr>
              <w:t>Broj diskriminiranih osoba prema tužbi</w:t>
            </w:r>
          </w:p>
        </w:tc>
        <w:tc>
          <w:tcPr>
            <w:tcW w:w="3769" w:type="dxa"/>
            <w:gridSpan w:val="7"/>
            <w:tcBorders>
              <w:top w:val="single" w:sz="4" w:space="0" w:color="auto"/>
              <w:left w:val="nil"/>
              <w:bottom w:val="single" w:sz="4" w:space="0" w:color="auto"/>
              <w:right w:val="single" w:sz="4" w:space="0" w:color="auto"/>
            </w:tcBorders>
            <w:shd w:val="clear" w:color="000000" w:fill="CCFFCC"/>
            <w:vAlign w:val="center"/>
            <w:hideMark/>
          </w:tcPr>
          <w:p w14:paraId="0984591B" w14:textId="77777777" w:rsidR="000271A1" w:rsidRPr="000271A1" w:rsidRDefault="000271A1" w:rsidP="000271A1">
            <w:pPr>
              <w:spacing w:after="0" w:line="240" w:lineRule="auto"/>
              <w:jc w:val="center"/>
              <w:rPr>
                <w:rFonts w:ascii="Tahoma" w:eastAsia="Times New Roman" w:hAnsi="Tahoma" w:cs="Tahoma"/>
                <w:b/>
                <w:bCs/>
                <w:sz w:val="18"/>
                <w:szCs w:val="18"/>
                <w:lang w:eastAsia="hr-HR"/>
              </w:rPr>
            </w:pPr>
            <w:r w:rsidRPr="000271A1">
              <w:rPr>
                <w:rFonts w:ascii="Tahoma" w:eastAsia="Times New Roman" w:hAnsi="Tahoma" w:cs="Tahoma"/>
                <w:b/>
                <w:bCs/>
                <w:sz w:val="18"/>
                <w:szCs w:val="18"/>
                <w:lang w:eastAsia="hr-HR"/>
              </w:rPr>
              <w:t>VRSTA TUŽBE</w:t>
            </w:r>
          </w:p>
        </w:tc>
        <w:tc>
          <w:tcPr>
            <w:tcW w:w="1976" w:type="dxa"/>
            <w:gridSpan w:val="4"/>
            <w:tcBorders>
              <w:top w:val="single" w:sz="4" w:space="0" w:color="auto"/>
              <w:left w:val="nil"/>
              <w:bottom w:val="single" w:sz="4" w:space="0" w:color="auto"/>
              <w:right w:val="single" w:sz="4" w:space="0" w:color="auto"/>
            </w:tcBorders>
            <w:shd w:val="clear" w:color="000000" w:fill="CCFFCC"/>
            <w:vAlign w:val="center"/>
            <w:hideMark/>
          </w:tcPr>
          <w:p w14:paraId="355B1C27" w14:textId="77777777" w:rsidR="000271A1" w:rsidRPr="000271A1" w:rsidRDefault="000271A1" w:rsidP="000271A1">
            <w:pPr>
              <w:spacing w:after="0" w:line="240" w:lineRule="auto"/>
              <w:jc w:val="center"/>
              <w:rPr>
                <w:rFonts w:ascii="Tahoma" w:eastAsia="Times New Roman" w:hAnsi="Tahoma" w:cs="Tahoma"/>
                <w:b/>
                <w:bCs/>
                <w:sz w:val="18"/>
                <w:szCs w:val="18"/>
                <w:lang w:eastAsia="hr-HR"/>
              </w:rPr>
            </w:pPr>
            <w:r w:rsidRPr="000271A1">
              <w:rPr>
                <w:rFonts w:ascii="Tahoma" w:eastAsia="Times New Roman" w:hAnsi="Tahoma" w:cs="Tahoma"/>
                <w:b/>
                <w:bCs/>
                <w:sz w:val="18"/>
                <w:szCs w:val="18"/>
                <w:lang w:eastAsia="hr-HR"/>
              </w:rPr>
              <w:t>PRAVOMOĆNO RIJEŠENO</w:t>
            </w:r>
          </w:p>
        </w:tc>
        <w:tc>
          <w:tcPr>
            <w:tcW w:w="712" w:type="dxa"/>
            <w:gridSpan w:val="2"/>
            <w:tcBorders>
              <w:top w:val="nil"/>
              <w:left w:val="single" w:sz="4" w:space="0" w:color="auto"/>
              <w:bottom w:val="single" w:sz="4" w:space="0" w:color="000000"/>
              <w:right w:val="single" w:sz="4" w:space="0" w:color="auto"/>
            </w:tcBorders>
            <w:shd w:val="clear" w:color="000000" w:fill="CCFFCC"/>
            <w:textDirection w:val="btLr"/>
            <w:vAlign w:val="center"/>
            <w:hideMark/>
          </w:tcPr>
          <w:p w14:paraId="0353D89E" w14:textId="77777777" w:rsidR="000271A1" w:rsidRPr="000271A1" w:rsidRDefault="000271A1" w:rsidP="000271A1">
            <w:pPr>
              <w:spacing w:after="0" w:line="240" w:lineRule="auto"/>
              <w:jc w:val="center"/>
              <w:rPr>
                <w:rFonts w:ascii="Tahoma" w:eastAsia="Times New Roman" w:hAnsi="Tahoma" w:cs="Tahoma"/>
                <w:b/>
                <w:bCs/>
                <w:sz w:val="18"/>
                <w:szCs w:val="18"/>
                <w:lang w:eastAsia="hr-HR"/>
              </w:rPr>
            </w:pPr>
            <w:r w:rsidRPr="00BF5E3C">
              <w:rPr>
                <w:rFonts w:ascii="Tahoma" w:eastAsia="Times New Roman" w:hAnsi="Tahoma" w:cs="Tahoma"/>
                <w:b/>
                <w:bCs/>
                <w:sz w:val="14"/>
                <w:szCs w:val="14"/>
                <w:lang w:eastAsia="hr-HR"/>
              </w:rPr>
              <w:t xml:space="preserve">Broj </w:t>
            </w:r>
            <w:proofErr w:type="spellStart"/>
            <w:r w:rsidRPr="00BF5E3C">
              <w:rPr>
                <w:rFonts w:ascii="Tahoma" w:eastAsia="Times New Roman" w:hAnsi="Tahoma" w:cs="Tahoma"/>
                <w:sz w:val="14"/>
                <w:szCs w:val="14"/>
                <w:lang w:eastAsia="hr-HR"/>
              </w:rPr>
              <w:t>nerješenih</w:t>
            </w:r>
            <w:proofErr w:type="spellEnd"/>
            <w:r w:rsidRPr="00BF5E3C">
              <w:rPr>
                <w:rFonts w:ascii="Tahoma" w:eastAsia="Times New Roman" w:hAnsi="Tahoma" w:cs="Tahoma"/>
                <w:b/>
                <w:bCs/>
                <w:sz w:val="14"/>
                <w:szCs w:val="14"/>
                <w:lang w:eastAsia="hr-HR"/>
              </w:rPr>
              <w:t xml:space="preserve"> predmeta na kraju izvještajnog </w:t>
            </w:r>
            <w:r w:rsidRPr="000271A1">
              <w:rPr>
                <w:rFonts w:ascii="Tahoma" w:eastAsia="Times New Roman" w:hAnsi="Tahoma" w:cs="Tahoma"/>
                <w:b/>
                <w:bCs/>
                <w:sz w:val="18"/>
                <w:szCs w:val="18"/>
                <w:lang w:eastAsia="hr-HR"/>
              </w:rPr>
              <w:t>razdoblja</w:t>
            </w:r>
          </w:p>
        </w:tc>
        <w:tc>
          <w:tcPr>
            <w:tcW w:w="1460" w:type="dxa"/>
            <w:gridSpan w:val="2"/>
            <w:tcBorders>
              <w:top w:val="single" w:sz="4" w:space="0" w:color="auto"/>
              <w:left w:val="nil"/>
              <w:bottom w:val="single" w:sz="4" w:space="0" w:color="auto"/>
              <w:right w:val="single" w:sz="4" w:space="0" w:color="000000"/>
            </w:tcBorders>
            <w:shd w:val="clear" w:color="000000" w:fill="FFCC00"/>
            <w:vAlign w:val="center"/>
            <w:hideMark/>
          </w:tcPr>
          <w:p w14:paraId="42A9CDB6" w14:textId="77777777" w:rsidR="000271A1" w:rsidRPr="000271A1" w:rsidRDefault="000271A1" w:rsidP="000271A1">
            <w:pPr>
              <w:spacing w:after="0" w:line="240" w:lineRule="auto"/>
              <w:rPr>
                <w:rFonts w:ascii="Tahoma" w:eastAsia="Times New Roman" w:hAnsi="Tahoma" w:cs="Tahoma"/>
                <w:sz w:val="18"/>
                <w:szCs w:val="18"/>
                <w:lang w:eastAsia="hr-HR"/>
              </w:rPr>
            </w:pPr>
            <w:r w:rsidRPr="000271A1">
              <w:rPr>
                <w:rFonts w:ascii="Tahoma" w:eastAsia="Times New Roman" w:hAnsi="Tahoma" w:cs="Tahoma"/>
                <w:sz w:val="18"/>
                <w:szCs w:val="18"/>
                <w:lang w:eastAsia="hr-HR"/>
              </w:rPr>
              <w:t xml:space="preserve">OBLIK DISKIMINACIJE </w:t>
            </w:r>
          </w:p>
        </w:tc>
        <w:tc>
          <w:tcPr>
            <w:tcW w:w="918" w:type="dxa"/>
            <w:tcBorders>
              <w:top w:val="nil"/>
              <w:left w:val="single" w:sz="4" w:space="0" w:color="auto"/>
              <w:bottom w:val="single" w:sz="4" w:space="0" w:color="auto"/>
              <w:right w:val="single" w:sz="4" w:space="0" w:color="000000"/>
            </w:tcBorders>
            <w:shd w:val="clear" w:color="000000" w:fill="FFCC00"/>
            <w:textDirection w:val="btLr"/>
            <w:vAlign w:val="center"/>
            <w:hideMark/>
          </w:tcPr>
          <w:p w14:paraId="07458E53" w14:textId="77777777" w:rsidR="000271A1" w:rsidRPr="000271A1" w:rsidRDefault="000271A1" w:rsidP="000271A1">
            <w:pPr>
              <w:spacing w:after="0" w:line="240" w:lineRule="auto"/>
              <w:jc w:val="center"/>
              <w:rPr>
                <w:rFonts w:ascii="Tahoma" w:eastAsia="Times New Roman" w:hAnsi="Tahoma" w:cs="Tahoma"/>
                <w:sz w:val="18"/>
                <w:szCs w:val="18"/>
                <w:lang w:eastAsia="hr-HR"/>
              </w:rPr>
            </w:pPr>
            <w:r w:rsidRPr="000271A1">
              <w:rPr>
                <w:rFonts w:ascii="Tahoma" w:eastAsia="Times New Roman" w:hAnsi="Tahoma" w:cs="Tahoma"/>
                <w:sz w:val="18"/>
                <w:szCs w:val="18"/>
                <w:lang w:eastAsia="hr-HR"/>
              </w:rPr>
              <w:t xml:space="preserve">PODRUČJE DISKRIMINACIJE (iz čl.8 ZSD) </w:t>
            </w:r>
          </w:p>
        </w:tc>
        <w:tc>
          <w:tcPr>
            <w:tcW w:w="1281" w:type="dxa"/>
            <w:gridSpan w:val="3"/>
            <w:tcBorders>
              <w:top w:val="single" w:sz="4" w:space="0" w:color="auto"/>
              <w:left w:val="nil"/>
              <w:bottom w:val="single" w:sz="4" w:space="0" w:color="auto"/>
              <w:right w:val="single" w:sz="4" w:space="0" w:color="000000"/>
            </w:tcBorders>
            <w:shd w:val="clear" w:color="000000" w:fill="CCFFCC"/>
            <w:vAlign w:val="center"/>
            <w:hideMark/>
          </w:tcPr>
          <w:p w14:paraId="1271AA0C" w14:textId="77777777" w:rsidR="000271A1" w:rsidRPr="000271A1" w:rsidRDefault="000271A1" w:rsidP="000271A1">
            <w:pPr>
              <w:spacing w:after="0" w:line="240" w:lineRule="auto"/>
              <w:jc w:val="center"/>
              <w:rPr>
                <w:rFonts w:ascii="Tahoma" w:eastAsia="Times New Roman" w:hAnsi="Tahoma" w:cs="Tahoma"/>
                <w:sz w:val="18"/>
                <w:szCs w:val="18"/>
                <w:lang w:eastAsia="hr-HR"/>
              </w:rPr>
            </w:pPr>
            <w:r w:rsidRPr="000271A1">
              <w:rPr>
                <w:rFonts w:ascii="Tahoma" w:eastAsia="Times New Roman" w:hAnsi="Tahoma" w:cs="Tahoma"/>
                <w:sz w:val="18"/>
                <w:szCs w:val="18"/>
                <w:lang w:eastAsia="hr-HR"/>
              </w:rPr>
              <w:t>Broj diskriminiranih osoba prema pravomoćnoj presudi</w:t>
            </w:r>
          </w:p>
        </w:tc>
        <w:tc>
          <w:tcPr>
            <w:tcW w:w="865" w:type="dxa"/>
            <w:gridSpan w:val="3"/>
            <w:tcBorders>
              <w:top w:val="single" w:sz="4" w:space="0" w:color="auto"/>
              <w:left w:val="nil"/>
              <w:bottom w:val="single" w:sz="4" w:space="0" w:color="auto"/>
              <w:right w:val="single" w:sz="8" w:space="0" w:color="000000"/>
            </w:tcBorders>
            <w:shd w:val="clear" w:color="000000" w:fill="CCFFCC"/>
            <w:vAlign w:val="center"/>
            <w:hideMark/>
          </w:tcPr>
          <w:p w14:paraId="2D954210" w14:textId="77777777" w:rsidR="000271A1" w:rsidRPr="000271A1" w:rsidRDefault="000271A1" w:rsidP="000271A1">
            <w:pPr>
              <w:spacing w:after="0" w:line="240" w:lineRule="auto"/>
              <w:jc w:val="center"/>
              <w:rPr>
                <w:rFonts w:ascii="Tahoma" w:eastAsia="Times New Roman" w:hAnsi="Tahoma" w:cs="Tahoma"/>
                <w:sz w:val="20"/>
                <w:szCs w:val="20"/>
                <w:lang w:eastAsia="hr-HR"/>
              </w:rPr>
            </w:pPr>
            <w:r w:rsidRPr="000271A1">
              <w:rPr>
                <w:rFonts w:ascii="Tahoma" w:eastAsia="Times New Roman" w:hAnsi="Tahoma" w:cs="Tahoma"/>
                <w:sz w:val="20"/>
                <w:szCs w:val="20"/>
                <w:lang w:eastAsia="hr-HR"/>
              </w:rPr>
              <w:t>TRAJANJE POSTUPKA</w:t>
            </w:r>
          </w:p>
        </w:tc>
        <w:tc>
          <w:tcPr>
            <w:tcW w:w="236" w:type="dxa"/>
            <w:vAlign w:val="center"/>
            <w:hideMark/>
          </w:tcPr>
          <w:p w14:paraId="52142006" w14:textId="77777777" w:rsidR="000271A1" w:rsidRPr="000271A1" w:rsidRDefault="000271A1" w:rsidP="000271A1">
            <w:pPr>
              <w:spacing w:after="0" w:line="240" w:lineRule="auto"/>
              <w:rPr>
                <w:rFonts w:ascii="Times New Roman" w:eastAsia="Times New Roman" w:hAnsi="Times New Roman" w:cs="Times New Roman"/>
                <w:sz w:val="20"/>
                <w:szCs w:val="20"/>
                <w:lang w:eastAsia="hr-HR"/>
              </w:rPr>
            </w:pPr>
          </w:p>
        </w:tc>
      </w:tr>
      <w:tr w:rsidR="000271A1" w:rsidRPr="000271A1" w14:paraId="59E8C246" w14:textId="77777777" w:rsidTr="000271A1">
        <w:trPr>
          <w:gridAfter w:val="1"/>
          <w:wAfter w:w="26" w:type="dxa"/>
          <w:trHeight w:val="3240"/>
        </w:trPr>
        <w:tc>
          <w:tcPr>
            <w:tcW w:w="1119" w:type="dxa"/>
            <w:vMerge/>
            <w:tcBorders>
              <w:top w:val="single" w:sz="8" w:space="0" w:color="auto"/>
              <w:left w:val="single" w:sz="8" w:space="0" w:color="auto"/>
              <w:bottom w:val="single" w:sz="4" w:space="0" w:color="auto"/>
              <w:right w:val="single" w:sz="4" w:space="0" w:color="auto"/>
            </w:tcBorders>
            <w:vAlign w:val="center"/>
            <w:hideMark/>
          </w:tcPr>
          <w:p w14:paraId="2ACDA564" w14:textId="77777777" w:rsidR="000271A1" w:rsidRPr="000271A1" w:rsidRDefault="000271A1" w:rsidP="000271A1">
            <w:pPr>
              <w:spacing w:after="0" w:line="240" w:lineRule="auto"/>
              <w:rPr>
                <w:rFonts w:ascii="Tahoma" w:eastAsia="Times New Roman" w:hAnsi="Tahoma" w:cs="Tahoma"/>
                <w:sz w:val="18"/>
                <w:szCs w:val="18"/>
                <w:lang w:eastAsia="hr-HR"/>
              </w:rPr>
            </w:pPr>
          </w:p>
        </w:tc>
        <w:tc>
          <w:tcPr>
            <w:tcW w:w="671" w:type="dxa"/>
            <w:vMerge/>
            <w:tcBorders>
              <w:top w:val="nil"/>
              <w:left w:val="single" w:sz="4" w:space="0" w:color="auto"/>
              <w:bottom w:val="single" w:sz="4" w:space="0" w:color="auto"/>
              <w:right w:val="single" w:sz="4" w:space="0" w:color="auto"/>
            </w:tcBorders>
            <w:vAlign w:val="center"/>
            <w:hideMark/>
          </w:tcPr>
          <w:p w14:paraId="2E4EAE84" w14:textId="77777777" w:rsidR="000271A1" w:rsidRPr="000271A1" w:rsidRDefault="000271A1" w:rsidP="000271A1">
            <w:pPr>
              <w:spacing w:after="0" w:line="240" w:lineRule="auto"/>
              <w:rPr>
                <w:rFonts w:ascii="Tahoma" w:eastAsia="Times New Roman" w:hAnsi="Tahoma" w:cs="Tahoma"/>
                <w:b/>
                <w:bCs/>
                <w:sz w:val="18"/>
                <w:szCs w:val="18"/>
                <w:lang w:eastAsia="hr-HR"/>
              </w:rPr>
            </w:pPr>
          </w:p>
        </w:tc>
        <w:tc>
          <w:tcPr>
            <w:tcW w:w="519" w:type="dxa"/>
            <w:vMerge/>
            <w:tcBorders>
              <w:top w:val="nil"/>
              <w:left w:val="single" w:sz="4" w:space="0" w:color="auto"/>
              <w:bottom w:val="single" w:sz="4" w:space="0" w:color="000000"/>
              <w:right w:val="single" w:sz="4" w:space="0" w:color="000000"/>
            </w:tcBorders>
            <w:vAlign w:val="center"/>
            <w:hideMark/>
          </w:tcPr>
          <w:p w14:paraId="1B89D8D8" w14:textId="77777777" w:rsidR="000271A1" w:rsidRPr="000271A1" w:rsidRDefault="000271A1" w:rsidP="000271A1">
            <w:pPr>
              <w:spacing w:after="0" w:line="240" w:lineRule="auto"/>
              <w:rPr>
                <w:rFonts w:ascii="Tahoma" w:eastAsia="Times New Roman" w:hAnsi="Tahoma" w:cs="Tahoma"/>
                <w:b/>
                <w:bCs/>
                <w:sz w:val="18"/>
                <w:szCs w:val="18"/>
                <w:lang w:eastAsia="hr-HR"/>
              </w:rPr>
            </w:pPr>
          </w:p>
        </w:tc>
        <w:tc>
          <w:tcPr>
            <w:tcW w:w="365" w:type="dxa"/>
            <w:tcBorders>
              <w:top w:val="nil"/>
              <w:left w:val="nil"/>
              <w:bottom w:val="nil"/>
              <w:right w:val="single" w:sz="4" w:space="0" w:color="auto"/>
            </w:tcBorders>
            <w:shd w:val="clear" w:color="000000" w:fill="CCFFCC"/>
            <w:textDirection w:val="btLr"/>
            <w:vAlign w:val="center"/>
            <w:hideMark/>
          </w:tcPr>
          <w:p w14:paraId="1250969C" w14:textId="77777777" w:rsidR="000271A1" w:rsidRPr="000271A1" w:rsidRDefault="000271A1" w:rsidP="000271A1">
            <w:pPr>
              <w:spacing w:after="0" w:line="240" w:lineRule="auto"/>
              <w:jc w:val="center"/>
              <w:rPr>
                <w:rFonts w:ascii="Tahoma" w:eastAsia="Times New Roman" w:hAnsi="Tahoma" w:cs="Tahoma"/>
                <w:sz w:val="18"/>
                <w:szCs w:val="18"/>
                <w:lang w:eastAsia="hr-HR"/>
              </w:rPr>
            </w:pPr>
            <w:r w:rsidRPr="000271A1">
              <w:rPr>
                <w:rFonts w:ascii="Tahoma" w:eastAsia="Times New Roman" w:hAnsi="Tahoma" w:cs="Tahoma"/>
                <w:sz w:val="18"/>
                <w:szCs w:val="18"/>
                <w:lang w:eastAsia="hr-HR"/>
              </w:rPr>
              <w:t>Žene</w:t>
            </w:r>
          </w:p>
        </w:tc>
        <w:tc>
          <w:tcPr>
            <w:tcW w:w="379" w:type="dxa"/>
            <w:tcBorders>
              <w:top w:val="nil"/>
              <w:left w:val="nil"/>
              <w:bottom w:val="nil"/>
              <w:right w:val="single" w:sz="4" w:space="0" w:color="auto"/>
            </w:tcBorders>
            <w:shd w:val="clear" w:color="000000" w:fill="CCFFCC"/>
            <w:textDirection w:val="btLr"/>
            <w:vAlign w:val="center"/>
            <w:hideMark/>
          </w:tcPr>
          <w:p w14:paraId="38AEA4BB" w14:textId="77777777" w:rsidR="000271A1" w:rsidRPr="000271A1" w:rsidRDefault="000271A1" w:rsidP="000271A1">
            <w:pPr>
              <w:spacing w:after="0" w:line="240" w:lineRule="auto"/>
              <w:jc w:val="center"/>
              <w:rPr>
                <w:rFonts w:ascii="Tahoma" w:eastAsia="Times New Roman" w:hAnsi="Tahoma" w:cs="Tahoma"/>
                <w:sz w:val="18"/>
                <w:szCs w:val="18"/>
                <w:lang w:eastAsia="hr-HR"/>
              </w:rPr>
            </w:pPr>
            <w:r w:rsidRPr="000271A1">
              <w:rPr>
                <w:rFonts w:ascii="Tahoma" w:eastAsia="Times New Roman" w:hAnsi="Tahoma" w:cs="Tahoma"/>
                <w:sz w:val="18"/>
                <w:szCs w:val="18"/>
                <w:lang w:eastAsia="hr-HR"/>
              </w:rPr>
              <w:t>Muškarci</w:t>
            </w:r>
          </w:p>
        </w:tc>
        <w:tc>
          <w:tcPr>
            <w:tcW w:w="698" w:type="dxa"/>
            <w:tcBorders>
              <w:top w:val="nil"/>
              <w:left w:val="nil"/>
              <w:bottom w:val="single" w:sz="4" w:space="0" w:color="auto"/>
              <w:right w:val="single" w:sz="4" w:space="0" w:color="auto"/>
            </w:tcBorders>
            <w:shd w:val="clear" w:color="000000" w:fill="CCFFCC"/>
            <w:textDirection w:val="btLr"/>
            <w:vAlign w:val="center"/>
            <w:hideMark/>
          </w:tcPr>
          <w:p w14:paraId="1EF26D68" w14:textId="77777777" w:rsidR="000271A1" w:rsidRPr="000271A1" w:rsidRDefault="000271A1" w:rsidP="000271A1">
            <w:pPr>
              <w:spacing w:after="0" w:line="240" w:lineRule="auto"/>
              <w:jc w:val="center"/>
              <w:rPr>
                <w:rFonts w:ascii="Tahoma" w:eastAsia="Times New Roman" w:hAnsi="Tahoma" w:cs="Tahoma"/>
                <w:sz w:val="18"/>
                <w:szCs w:val="18"/>
                <w:lang w:eastAsia="hr-HR"/>
              </w:rPr>
            </w:pPr>
            <w:r w:rsidRPr="000271A1">
              <w:rPr>
                <w:rFonts w:ascii="Tahoma" w:eastAsia="Times New Roman" w:hAnsi="Tahoma" w:cs="Tahoma"/>
                <w:sz w:val="18"/>
                <w:szCs w:val="18"/>
                <w:lang w:eastAsia="hr-HR"/>
              </w:rPr>
              <w:t>UTVRĐENJE DISKRIMINACIJE (čl.17. st.1. toč.1. ZSD)</w:t>
            </w:r>
          </w:p>
        </w:tc>
        <w:tc>
          <w:tcPr>
            <w:tcW w:w="698" w:type="dxa"/>
            <w:tcBorders>
              <w:top w:val="nil"/>
              <w:left w:val="nil"/>
              <w:bottom w:val="single" w:sz="4" w:space="0" w:color="auto"/>
              <w:right w:val="single" w:sz="4" w:space="0" w:color="auto"/>
            </w:tcBorders>
            <w:shd w:val="clear" w:color="000000" w:fill="CCFFCC"/>
            <w:textDirection w:val="btLr"/>
            <w:vAlign w:val="center"/>
            <w:hideMark/>
          </w:tcPr>
          <w:p w14:paraId="555BEF98" w14:textId="77777777" w:rsidR="000271A1" w:rsidRPr="000271A1" w:rsidRDefault="000271A1" w:rsidP="000271A1">
            <w:pPr>
              <w:spacing w:after="0" w:line="240" w:lineRule="auto"/>
              <w:jc w:val="center"/>
              <w:rPr>
                <w:rFonts w:ascii="Tahoma" w:eastAsia="Times New Roman" w:hAnsi="Tahoma" w:cs="Tahoma"/>
                <w:sz w:val="18"/>
                <w:szCs w:val="18"/>
                <w:lang w:eastAsia="hr-HR"/>
              </w:rPr>
            </w:pPr>
            <w:r w:rsidRPr="000271A1">
              <w:rPr>
                <w:rFonts w:ascii="Tahoma" w:eastAsia="Times New Roman" w:hAnsi="Tahoma" w:cs="Tahoma"/>
                <w:sz w:val="18"/>
                <w:szCs w:val="18"/>
                <w:lang w:eastAsia="hr-HR"/>
              </w:rPr>
              <w:t>ZABRANA ILI OTKLANJANJE DISKRIMINACIJE (čl.17. st.1. toč.2. ZSD)</w:t>
            </w:r>
          </w:p>
        </w:tc>
        <w:tc>
          <w:tcPr>
            <w:tcW w:w="512" w:type="dxa"/>
            <w:tcBorders>
              <w:top w:val="nil"/>
              <w:left w:val="nil"/>
              <w:bottom w:val="single" w:sz="4" w:space="0" w:color="auto"/>
              <w:right w:val="single" w:sz="4" w:space="0" w:color="auto"/>
            </w:tcBorders>
            <w:shd w:val="clear" w:color="000000" w:fill="CCFFCC"/>
            <w:textDirection w:val="btLr"/>
            <w:vAlign w:val="center"/>
            <w:hideMark/>
          </w:tcPr>
          <w:p w14:paraId="430378A1" w14:textId="77777777" w:rsidR="000271A1" w:rsidRPr="000271A1" w:rsidRDefault="000271A1" w:rsidP="000271A1">
            <w:pPr>
              <w:spacing w:after="0" w:line="240" w:lineRule="auto"/>
              <w:jc w:val="center"/>
              <w:rPr>
                <w:rFonts w:ascii="Tahoma" w:eastAsia="Times New Roman" w:hAnsi="Tahoma" w:cs="Tahoma"/>
                <w:sz w:val="18"/>
                <w:szCs w:val="18"/>
                <w:lang w:eastAsia="hr-HR"/>
              </w:rPr>
            </w:pPr>
            <w:r w:rsidRPr="000271A1">
              <w:rPr>
                <w:rFonts w:ascii="Tahoma" w:eastAsia="Times New Roman" w:hAnsi="Tahoma" w:cs="Tahoma"/>
                <w:sz w:val="18"/>
                <w:szCs w:val="18"/>
                <w:lang w:eastAsia="hr-HR"/>
              </w:rPr>
              <w:t>NAKNADA ŠTETE (čl.17. st.1. toč.3. ZSD)</w:t>
            </w:r>
          </w:p>
        </w:tc>
        <w:tc>
          <w:tcPr>
            <w:tcW w:w="698" w:type="dxa"/>
            <w:tcBorders>
              <w:top w:val="nil"/>
              <w:left w:val="nil"/>
              <w:bottom w:val="single" w:sz="4" w:space="0" w:color="auto"/>
              <w:right w:val="single" w:sz="4" w:space="0" w:color="auto"/>
            </w:tcBorders>
            <w:shd w:val="clear" w:color="000000" w:fill="CCFFCC"/>
            <w:textDirection w:val="btLr"/>
            <w:vAlign w:val="center"/>
            <w:hideMark/>
          </w:tcPr>
          <w:p w14:paraId="77378D3B" w14:textId="77777777" w:rsidR="000271A1" w:rsidRPr="000271A1" w:rsidRDefault="000271A1" w:rsidP="000271A1">
            <w:pPr>
              <w:spacing w:after="0" w:line="240" w:lineRule="auto"/>
              <w:jc w:val="center"/>
              <w:rPr>
                <w:rFonts w:ascii="Tahoma" w:eastAsia="Times New Roman" w:hAnsi="Tahoma" w:cs="Tahoma"/>
                <w:sz w:val="18"/>
                <w:szCs w:val="18"/>
                <w:lang w:eastAsia="hr-HR"/>
              </w:rPr>
            </w:pPr>
            <w:r w:rsidRPr="000271A1">
              <w:rPr>
                <w:rFonts w:ascii="Tahoma" w:eastAsia="Times New Roman" w:hAnsi="Tahoma" w:cs="Tahoma"/>
                <w:sz w:val="18"/>
                <w:szCs w:val="18"/>
                <w:lang w:eastAsia="hr-HR"/>
              </w:rPr>
              <w:t xml:space="preserve">OBJAVA PRESUDE U MEDIJIMA (čl. 17. st. 1. </w:t>
            </w:r>
            <w:proofErr w:type="spellStart"/>
            <w:r w:rsidRPr="000271A1">
              <w:rPr>
                <w:rFonts w:ascii="Tahoma" w:eastAsia="Times New Roman" w:hAnsi="Tahoma" w:cs="Tahoma"/>
                <w:sz w:val="18"/>
                <w:szCs w:val="18"/>
                <w:lang w:eastAsia="hr-HR"/>
              </w:rPr>
              <w:t>toč</w:t>
            </w:r>
            <w:proofErr w:type="spellEnd"/>
            <w:r w:rsidRPr="000271A1">
              <w:rPr>
                <w:rFonts w:ascii="Tahoma" w:eastAsia="Times New Roman" w:hAnsi="Tahoma" w:cs="Tahoma"/>
                <w:sz w:val="18"/>
                <w:szCs w:val="18"/>
                <w:lang w:eastAsia="hr-HR"/>
              </w:rPr>
              <w:t>. 4.)</w:t>
            </w:r>
          </w:p>
        </w:tc>
        <w:tc>
          <w:tcPr>
            <w:tcW w:w="444" w:type="dxa"/>
            <w:tcBorders>
              <w:top w:val="nil"/>
              <w:left w:val="nil"/>
              <w:bottom w:val="single" w:sz="4" w:space="0" w:color="auto"/>
              <w:right w:val="single" w:sz="4" w:space="0" w:color="auto"/>
            </w:tcBorders>
            <w:shd w:val="clear" w:color="000000" w:fill="CCFFCC"/>
            <w:textDirection w:val="btLr"/>
            <w:vAlign w:val="center"/>
            <w:hideMark/>
          </w:tcPr>
          <w:p w14:paraId="2931FAFC" w14:textId="77777777" w:rsidR="000271A1" w:rsidRPr="000271A1" w:rsidRDefault="000271A1" w:rsidP="000271A1">
            <w:pPr>
              <w:spacing w:after="0" w:line="240" w:lineRule="auto"/>
              <w:jc w:val="center"/>
              <w:rPr>
                <w:rFonts w:ascii="Tahoma" w:eastAsia="Times New Roman" w:hAnsi="Tahoma" w:cs="Tahoma"/>
                <w:sz w:val="18"/>
                <w:szCs w:val="18"/>
                <w:lang w:eastAsia="hr-HR"/>
              </w:rPr>
            </w:pPr>
            <w:proofErr w:type="spellStart"/>
            <w:r w:rsidRPr="000271A1">
              <w:rPr>
                <w:rFonts w:ascii="Tahoma" w:eastAsia="Times New Roman" w:hAnsi="Tahoma" w:cs="Tahoma"/>
                <w:sz w:val="18"/>
                <w:szCs w:val="18"/>
                <w:lang w:eastAsia="hr-HR"/>
              </w:rPr>
              <w:t>Udružne</w:t>
            </w:r>
            <w:proofErr w:type="spellEnd"/>
            <w:r w:rsidRPr="000271A1">
              <w:rPr>
                <w:rFonts w:ascii="Tahoma" w:eastAsia="Times New Roman" w:hAnsi="Tahoma" w:cs="Tahoma"/>
                <w:sz w:val="18"/>
                <w:szCs w:val="18"/>
                <w:lang w:eastAsia="hr-HR"/>
              </w:rPr>
              <w:t xml:space="preserve"> tužbe (čl. 24. ZSD)</w:t>
            </w:r>
          </w:p>
        </w:tc>
        <w:tc>
          <w:tcPr>
            <w:tcW w:w="698" w:type="dxa"/>
            <w:tcBorders>
              <w:top w:val="nil"/>
              <w:left w:val="nil"/>
              <w:bottom w:val="single" w:sz="4" w:space="0" w:color="auto"/>
              <w:right w:val="single" w:sz="4" w:space="0" w:color="auto"/>
            </w:tcBorders>
            <w:shd w:val="clear" w:color="000000" w:fill="CCFFCC"/>
            <w:textDirection w:val="btLr"/>
            <w:vAlign w:val="center"/>
            <w:hideMark/>
          </w:tcPr>
          <w:p w14:paraId="7D765469" w14:textId="77777777" w:rsidR="000271A1" w:rsidRPr="000271A1" w:rsidRDefault="000271A1" w:rsidP="000271A1">
            <w:pPr>
              <w:spacing w:after="0" w:line="240" w:lineRule="auto"/>
              <w:jc w:val="center"/>
              <w:rPr>
                <w:rFonts w:ascii="Tahoma" w:eastAsia="Times New Roman" w:hAnsi="Tahoma" w:cs="Tahoma"/>
                <w:sz w:val="18"/>
                <w:szCs w:val="18"/>
                <w:lang w:eastAsia="hr-HR"/>
              </w:rPr>
            </w:pPr>
            <w:r w:rsidRPr="000271A1">
              <w:rPr>
                <w:rFonts w:ascii="Tahoma" w:eastAsia="Times New Roman" w:hAnsi="Tahoma" w:cs="Tahoma"/>
                <w:sz w:val="18"/>
                <w:szCs w:val="18"/>
                <w:lang w:eastAsia="hr-HR"/>
              </w:rPr>
              <w:t>OSTALO (odnosi se na čl. 16 st. 1 ZDS diskriminacija kao prethodno pitanje i st. 2 radni sporovi)</w:t>
            </w:r>
          </w:p>
        </w:tc>
        <w:tc>
          <w:tcPr>
            <w:tcW w:w="444" w:type="dxa"/>
            <w:gridSpan w:val="2"/>
            <w:tcBorders>
              <w:top w:val="nil"/>
              <w:left w:val="nil"/>
              <w:bottom w:val="single" w:sz="4" w:space="0" w:color="auto"/>
              <w:right w:val="single" w:sz="4" w:space="0" w:color="auto"/>
            </w:tcBorders>
            <w:shd w:val="clear" w:color="000000" w:fill="CCFFCC"/>
            <w:textDirection w:val="btLr"/>
            <w:vAlign w:val="center"/>
            <w:hideMark/>
          </w:tcPr>
          <w:p w14:paraId="3F912932" w14:textId="77777777" w:rsidR="000271A1" w:rsidRPr="000271A1" w:rsidRDefault="000271A1" w:rsidP="000271A1">
            <w:pPr>
              <w:spacing w:after="0" w:line="240" w:lineRule="auto"/>
              <w:jc w:val="center"/>
              <w:rPr>
                <w:rFonts w:ascii="Tahoma" w:eastAsia="Times New Roman" w:hAnsi="Tahoma" w:cs="Tahoma"/>
                <w:sz w:val="18"/>
                <w:szCs w:val="18"/>
                <w:lang w:eastAsia="hr-HR"/>
              </w:rPr>
            </w:pPr>
            <w:r w:rsidRPr="000271A1">
              <w:rPr>
                <w:rFonts w:ascii="Tahoma" w:eastAsia="Times New Roman" w:hAnsi="Tahoma" w:cs="Tahoma"/>
                <w:sz w:val="18"/>
                <w:szCs w:val="18"/>
                <w:lang w:eastAsia="hr-HR"/>
              </w:rPr>
              <w:t xml:space="preserve">USVOJEN TUŽBENI ZAHTJEV </w:t>
            </w:r>
          </w:p>
        </w:tc>
        <w:tc>
          <w:tcPr>
            <w:tcW w:w="521" w:type="dxa"/>
            <w:tcBorders>
              <w:top w:val="nil"/>
              <w:left w:val="nil"/>
              <w:bottom w:val="single" w:sz="4" w:space="0" w:color="auto"/>
              <w:right w:val="single" w:sz="4" w:space="0" w:color="auto"/>
            </w:tcBorders>
            <w:shd w:val="clear" w:color="000000" w:fill="CCFFCC"/>
            <w:textDirection w:val="btLr"/>
            <w:vAlign w:val="center"/>
            <w:hideMark/>
          </w:tcPr>
          <w:p w14:paraId="3EE6301E" w14:textId="77777777" w:rsidR="000271A1" w:rsidRPr="000271A1" w:rsidRDefault="000271A1" w:rsidP="000271A1">
            <w:pPr>
              <w:spacing w:after="0" w:line="240" w:lineRule="auto"/>
              <w:jc w:val="center"/>
              <w:rPr>
                <w:rFonts w:ascii="Tahoma" w:eastAsia="Times New Roman" w:hAnsi="Tahoma" w:cs="Tahoma"/>
                <w:sz w:val="18"/>
                <w:szCs w:val="18"/>
                <w:lang w:eastAsia="hr-HR"/>
              </w:rPr>
            </w:pPr>
            <w:r w:rsidRPr="000271A1">
              <w:rPr>
                <w:rFonts w:ascii="Tahoma" w:eastAsia="Times New Roman" w:hAnsi="Tahoma" w:cs="Tahoma"/>
                <w:sz w:val="18"/>
                <w:szCs w:val="18"/>
                <w:lang w:eastAsia="hr-HR"/>
              </w:rPr>
              <w:t>ODBIJEN TUŽBENI ZAHTJEV</w:t>
            </w:r>
          </w:p>
        </w:tc>
        <w:tc>
          <w:tcPr>
            <w:tcW w:w="521" w:type="dxa"/>
            <w:tcBorders>
              <w:top w:val="nil"/>
              <w:left w:val="nil"/>
              <w:bottom w:val="single" w:sz="4" w:space="0" w:color="auto"/>
              <w:right w:val="single" w:sz="4" w:space="0" w:color="auto"/>
            </w:tcBorders>
            <w:shd w:val="clear" w:color="000000" w:fill="CCFFCC"/>
            <w:textDirection w:val="btLr"/>
            <w:vAlign w:val="center"/>
            <w:hideMark/>
          </w:tcPr>
          <w:p w14:paraId="1FD0B748" w14:textId="77777777" w:rsidR="000271A1" w:rsidRPr="000271A1" w:rsidRDefault="000271A1" w:rsidP="000271A1">
            <w:pPr>
              <w:spacing w:after="0" w:line="240" w:lineRule="auto"/>
              <w:jc w:val="center"/>
              <w:rPr>
                <w:rFonts w:ascii="Tahoma" w:eastAsia="Times New Roman" w:hAnsi="Tahoma" w:cs="Tahoma"/>
                <w:sz w:val="18"/>
                <w:szCs w:val="18"/>
                <w:lang w:eastAsia="hr-HR"/>
              </w:rPr>
            </w:pPr>
            <w:r w:rsidRPr="000271A1">
              <w:rPr>
                <w:rFonts w:ascii="Tahoma" w:eastAsia="Times New Roman" w:hAnsi="Tahoma" w:cs="Tahoma"/>
                <w:sz w:val="18"/>
                <w:szCs w:val="18"/>
                <w:lang w:eastAsia="hr-HR"/>
              </w:rPr>
              <w:t>NA DRUGI NAČIN</w:t>
            </w:r>
          </w:p>
        </w:tc>
        <w:tc>
          <w:tcPr>
            <w:tcW w:w="521" w:type="dxa"/>
            <w:gridSpan w:val="2"/>
            <w:tcBorders>
              <w:top w:val="nil"/>
              <w:left w:val="nil"/>
              <w:bottom w:val="single" w:sz="4" w:space="0" w:color="auto"/>
              <w:right w:val="single" w:sz="4" w:space="0" w:color="auto"/>
            </w:tcBorders>
            <w:shd w:val="clear" w:color="000000" w:fill="CCFFCC"/>
            <w:textDirection w:val="btLr"/>
            <w:vAlign w:val="center"/>
            <w:hideMark/>
          </w:tcPr>
          <w:p w14:paraId="25140A78" w14:textId="77777777" w:rsidR="000271A1" w:rsidRPr="000271A1" w:rsidRDefault="000271A1" w:rsidP="000271A1">
            <w:pPr>
              <w:spacing w:after="0" w:line="240" w:lineRule="auto"/>
              <w:jc w:val="center"/>
              <w:rPr>
                <w:rFonts w:ascii="Tahoma" w:eastAsia="Times New Roman" w:hAnsi="Tahoma" w:cs="Tahoma"/>
                <w:b/>
                <w:bCs/>
                <w:sz w:val="18"/>
                <w:szCs w:val="18"/>
                <w:lang w:eastAsia="hr-HR"/>
              </w:rPr>
            </w:pPr>
            <w:r w:rsidRPr="000271A1">
              <w:rPr>
                <w:rFonts w:ascii="Tahoma" w:eastAsia="Times New Roman" w:hAnsi="Tahoma" w:cs="Tahoma"/>
                <w:b/>
                <w:bCs/>
                <w:sz w:val="18"/>
                <w:szCs w:val="18"/>
                <w:lang w:eastAsia="hr-HR"/>
              </w:rPr>
              <w:t>Ukupno pravomoćno riješeno</w:t>
            </w:r>
          </w:p>
        </w:tc>
        <w:tc>
          <w:tcPr>
            <w:tcW w:w="702" w:type="dxa"/>
            <w:tcBorders>
              <w:top w:val="nil"/>
              <w:left w:val="single" w:sz="4" w:space="0" w:color="auto"/>
              <w:bottom w:val="single" w:sz="4" w:space="0" w:color="000000"/>
              <w:right w:val="single" w:sz="4" w:space="0" w:color="auto"/>
            </w:tcBorders>
            <w:vAlign w:val="center"/>
            <w:hideMark/>
          </w:tcPr>
          <w:p w14:paraId="0CE251BF" w14:textId="77777777" w:rsidR="000271A1" w:rsidRPr="000271A1" w:rsidRDefault="000271A1" w:rsidP="000271A1">
            <w:pPr>
              <w:spacing w:after="0" w:line="240" w:lineRule="auto"/>
              <w:rPr>
                <w:rFonts w:ascii="Tahoma" w:eastAsia="Times New Roman" w:hAnsi="Tahoma" w:cs="Tahoma"/>
                <w:b/>
                <w:bCs/>
                <w:sz w:val="18"/>
                <w:szCs w:val="18"/>
                <w:lang w:eastAsia="hr-HR"/>
              </w:rPr>
            </w:pPr>
          </w:p>
        </w:tc>
        <w:tc>
          <w:tcPr>
            <w:tcW w:w="907" w:type="dxa"/>
            <w:tcBorders>
              <w:top w:val="nil"/>
              <w:left w:val="nil"/>
              <w:bottom w:val="nil"/>
              <w:right w:val="single" w:sz="4" w:space="0" w:color="auto"/>
            </w:tcBorders>
            <w:shd w:val="clear" w:color="000000" w:fill="FFCC00"/>
            <w:textDirection w:val="btLr"/>
            <w:vAlign w:val="center"/>
            <w:hideMark/>
          </w:tcPr>
          <w:p w14:paraId="6166D00C" w14:textId="77777777" w:rsidR="000271A1" w:rsidRPr="000271A1" w:rsidRDefault="000271A1" w:rsidP="000271A1">
            <w:pPr>
              <w:spacing w:after="0" w:line="240" w:lineRule="auto"/>
              <w:jc w:val="center"/>
              <w:rPr>
                <w:rFonts w:ascii="Tahoma" w:eastAsia="Times New Roman" w:hAnsi="Tahoma" w:cs="Tahoma"/>
                <w:sz w:val="18"/>
                <w:szCs w:val="18"/>
                <w:lang w:eastAsia="hr-HR"/>
              </w:rPr>
            </w:pPr>
            <w:r w:rsidRPr="000271A1">
              <w:rPr>
                <w:rFonts w:ascii="Tahoma" w:eastAsia="Times New Roman" w:hAnsi="Tahoma" w:cs="Tahoma"/>
                <w:sz w:val="18"/>
                <w:szCs w:val="18"/>
                <w:lang w:eastAsia="hr-HR"/>
              </w:rPr>
              <w:t>iz čl. 2. do 5. ZSD</w:t>
            </w:r>
          </w:p>
        </w:tc>
        <w:tc>
          <w:tcPr>
            <w:tcW w:w="553" w:type="dxa"/>
            <w:tcBorders>
              <w:top w:val="nil"/>
              <w:left w:val="nil"/>
              <w:bottom w:val="nil"/>
              <w:right w:val="single" w:sz="4" w:space="0" w:color="auto"/>
            </w:tcBorders>
            <w:shd w:val="clear" w:color="000000" w:fill="FFCC00"/>
            <w:textDirection w:val="btLr"/>
            <w:vAlign w:val="center"/>
            <w:hideMark/>
          </w:tcPr>
          <w:p w14:paraId="40483706" w14:textId="77777777" w:rsidR="000271A1" w:rsidRPr="000271A1" w:rsidRDefault="000271A1" w:rsidP="000271A1">
            <w:pPr>
              <w:spacing w:after="0" w:line="240" w:lineRule="auto"/>
              <w:jc w:val="center"/>
              <w:rPr>
                <w:rFonts w:ascii="Tahoma" w:eastAsia="Times New Roman" w:hAnsi="Tahoma" w:cs="Tahoma"/>
                <w:sz w:val="18"/>
                <w:szCs w:val="18"/>
                <w:lang w:eastAsia="hr-HR"/>
              </w:rPr>
            </w:pPr>
            <w:r w:rsidRPr="000271A1">
              <w:rPr>
                <w:rFonts w:ascii="Tahoma" w:eastAsia="Times New Roman" w:hAnsi="Tahoma" w:cs="Tahoma"/>
                <w:sz w:val="18"/>
                <w:szCs w:val="18"/>
                <w:lang w:eastAsia="hr-HR"/>
              </w:rPr>
              <w:t xml:space="preserve">iz čl. 6 ZSD </w:t>
            </w:r>
          </w:p>
        </w:tc>
        <w:tc>
          <w:tcPr>
            <w:tcW w:w="918" w:type="dxa"/>
            <w:tcBorders>
              <w:top w:val="nil"/>
              <w:left w:val="single" w:sz="4" w:space="0" w:color="auto"/>
              <w:bottom w:val="single" w:sz="4" w:space="0" w:color="auto"/>
              <w:right w:val="single" w:sz="4" w:space="0" w:color="000000"/>
            </w:tcBorders>
            <w:vAlign w:val="center"/>
            <w:hideMark/>
          </w:tcPr>
          <w:p w14:paraId="2D73B2C7" w14:textId="77777777" w:rsidR="000271A1" w:rsidRPr="000271A1" w:rsidRDefault="000271A1" w:rsidP="000271A1">
            <w:pPr>
              <w:spacing w:after="0" w:line="240" w:lineRule="auto"/>
              <w:rPr>
                <w:rFonts w:ascii="Tahoma" w:eastAsia="Times New Roman" w:hAnsi="Tahoma" w:cs="Tahoma"/>
                <w:sz w:val="18"/>
                <w:szCs w:val="18"/>
                <w:lang w:eastAsia="hr-HR"/>
              </w:rPr>
            </w:pPr>
          </w:p>
        </w:tc>
        <w:tc>
          <w:tcPr>
            <w:tcW w:w="428" w:type="dxa"/>
            <w:tcBorders>
              <w:top w:val="nil"/>
              <w:left w:val="nil"/>
              <w:bottom w:val="single" w:sz="4" w:space="0" w:color="auto"/>
              <w:right w:val="single" w:sz="4" w:space="0" w:color="auto"/>
            </w:tcBorders>
            <w:shd w:val="clear" w:color="000000" w:fill="CCFFCC"/>
            <w:textDirection w:val="btLr"/>
            <w:vAlign w:val="center"/>
            <w:hideMark/>
          </w:tcPr>
          <w:p w14:paraId="4A9E4EB7" w14:textId="77777777" w:rsidR="000271A1" w:rsidRPr="000271A1" w:rsidRDefault="000271A1" w:rsidP="000271A1">
            <w:pPr>
              <w:spacing w:after="0" w:line="240" w:lineRule="auto"/>
              <w:jc w:val="center"/>
              <w:rPr>
                <w:rFonts w:ascii="Tahoma" w:eastAsia="Times New Roman" w:hAnsi="Tahoma" w:cs="Tahoma"/>
                <w:sz w:val="18"/>
                <w:szCs w:val="18"/>
                <w:lang w:eastAsia="hr-HR"/>
              </w:rPr>
            </w:pPr>
            <w:r w:rsidRPr="000271A1">
              <w:rPr>
                <w:rFonts w:ascii="Tahoma" w:eastAsia="Times New Roman" w:hAnsi="Tahoma" w:cs="Tahoma"/>
                <w:sz w:val="18"/>
                <w:szCs w:val="18"/>
                <w:lang w:eastAsia="hr-HR"/>
              </w:rPr>
              <w:t xml:space="preserve">Žene </w:t>
            </w:r>
          </w:p>
        </w:tc>
        <w:tc>
          <w:tcPr>
            <w:tcW w:w="428" w:type="dxa"/>
            <w:tcBorders>
              <w:top w:val="nil"/>
              <w:left w:val="nil"/>
              <w:bottom w:val="single" w:sz="4" w:space="0" w:color="auto"/>
              <w:right w:val="single" w:sz="4" w:space="0" w:color="auto"/>
            </w:tcBorders>
            <w:shd w:val="clear" w:color="000000" w:fill="CCFFCC"/>
            <w:textDirection w:val="btLr"/>
            <w:vAlign w:val="center"/>
            <w:hideMark/>
          </w:tcPr>
          <w:p w14:paraId="363E94D4" w14:textId="77777777" w:rsidR="000271A1" w:rsidRPr="000271A1" w:rsidRDefault="000271A1" w:rsidP="000271A1">
            <w:pPr>
              <w:spacing w:after="0" w:line="240" w:lineRule="auto"/>
              <w:jc w:val="center"/>
              <w:rPr>
                <w:rFonts w:ascii="Tahoma" w:eastAsia="Times New Roman" w:hAnsi="Tahoma" w:cs="Tahoma"/>
                <w:sz w:val="18"/>
                <w:szCs w:val="18"/>
                <w:lang w:eastAsia="hr-HR"/>
              </w:rPr>
            </w:pPr>
            <w:r w:rsidRPr="000271A1">
              <w:rPr>
                <w:rFonts w:ascii="Tahoma" w:eastAsia="Times New Roman" w:hAnsi="Tahoma" w:cs="Tahoma"/>
                <w:sz w:val="18"/>
                <w:szCs w:val="18"/>
                <w:lang w:eastAsia="hr-HR"/>
              </w:rPr>
              <w:t>Muškarci</w:t>
            </w:r>
          </w:p>
        </w:tc>
        <w:tc>
          <w:tcPr>
            <w:tcW w:w="425" w:type="dxa"/>
            <w:tcBorders>
              <w:top w:val="nil"/>
              <w:left w:val="nil"/>
              <w:bottom w:val="single" w:sz="4" w:space="0" w:color="auto"/>
              <w:right w:val="single" w:sz="4" w:space="0" w:color="auto"/>
            </w:tcBorders>
            <w:shd w:val="clear" w:color="000000" w:fill="CCFFCC"/>
            <w:textDirection w:val="btLr"/>
            <w:vAlign w:val="center"/>
            <w:hideMark/>
          </w:tcPr>
          <w:p w14:paraId="19E05465" w14:textId="77777777" w:rsidR="000271A1" w:rsidRPr="000271A1" w:rsidRDefault="000271A1" w:rsidP="000271A1">
            <w:pPr>
              <w:spacing w:after="0" w:line="240" w:lineRule="auto"/>
              <w:jc w:val="center"/>
              <w:rPr>
                <w:rFonts w:ascii="Tahoma" w:eastAsia="Times New Roman" w:hAnsi="Tahoma" w:cs="Tahoma"/>
                <w:sz w:val="20"/>
                <w:szCs w:val="20"/>
                <w:lang w:eastAsia="hr-HR"/>
              </w:rPr>
            </w:pPr>
            <w:r w:rsidRPr="000271A1">
              <w:rPr>
                <w:rFonts w:ascii="Tahoma" w:eastAsia="Times New Roman" w:hAnsi="Tahoma" w:cs="Tahoma"/>
                <w:sz w:val="20"/>
                <w:szCs w:val="20"/>
                <w:lang w:eastAsia="hr-HR"/>
              </w:rPr>
              <w:t>Ostalo</w:t>
            </w:r>
          </w:p>
        </w:tc>
        <w:tc>
          <w:tcPr>
            <w:tcW w:w="425" w:type="dxa"/>
            <w:tcBorders>
              <w:top w:val="nil"/>
              <w:left w:val="nil"/>
              <w:bottom w:val="single" w:sz="4" w:space="0" w:color="auto"/>
              <w:right w:val="single" w:sz="4" w:space="0" w:color="auto"/>
            </w:tcBorders>
            <w:shd w:val="clear" w:color="000000" w:fill="CCFFCC"/>
            <w:textDirection w:val="btLr"/>
            <w:vAlign w:val="center"/>
            <w:hideMark/>
          </w:tcPr>
          <w:p w14:paraId="4E127631" w14:textId="77777777" w:rsidR="000271A1" w:rsidRPr="000271A1" w:rsidRDefault="000271A1" w:rsidP="000271A1">
            <w:pPr>
              <w:spacing w:after="0" w:line="240" w:lineRule="auto"/>
              <w:jc w:val="center"/>
              <w:rPr>
                <w:rFonts w:ascii="Tahoma" w:eastAsia="Times New Roman" w:hAnsi="Tahoma" w:cs="Tahoma"/>
                <w:sz w:val="20"/>
                <w:szCs w:val="20"/>
                <w:lang w:eastAsia="hr-HR"/>
              </w:rPr>
            </w:pPr>
            <w:r w:rsidRPr="000271A1">
              <w:rPr>
                <w:rFonts w:ascii="Tahoma" w:eastAsia="Times New Roman" w:hAnsi="Tahoma" w:cs="Tahoma"/>
                <w:sz w:val="20"/>
                <w:szCs w:val="20"/>
                <w:lang w:eastAsia="hr-HR"/>
              </w:rPr>
              <w:t xml:space="preserve"> DO 12 MJESECI</w:t>
            </w:r>
          </w:p>
        </w:tc>
        <w:tc>
          <w:tcPr>
            <w:tcW w:w="440" w:type="dxa"/>
            <w:gridSpan w:val="2"/>
            <w:tcBorders>
              <w:top w:val="nil"/>
              <w:left w:val="nil"/>
              <w:bottom w:val="single" w:sz="4" w:space="0" w:color="auto"/>
              <w:right w:val="single" w:sz="8" w:space="0" w:color="auto"/>
            </w:tcBorders>
            <w:shd w:val="clear" w:color="000000" w:fill="CCFFCC"/>
            <w:textDirection w:val="btLr"/>
            <w:vAlign w:val="center"/>
            <w:hideMark/>
          </w:tcPr>
          <w:p w14:paraId="354D04ED" w14:textId="77777777" w:rsidR="000271A1" w:rsidRPr="000271A1" w:rsidRDefault="000271A1" w:rsidP="000271A1">
            <w:pPr>
              <w:spacing w:after="0" w:line="240" w:lineRule="auto"/>
              <w:jc w:val="center"/>
              <w:rPr>
                <w:rFonts w:ascii="Tahoma" w:eastAsia="Times New Roman" w:hAnsi="Tahoma" w:cs="Tahoma"/>
                <w:sz w:val="20"/>
                <w:szCs w:val="20"/>
                <w:lang w:eastAsia="hr-HR"/>
              </w:rPr>
            </w:pPr>
            <w:r w:rsidRPr="000271A1">
              <w:rPr>
                <w:rFonts w:ascii="Tahoma" w:eastAsia="Times New Roman" w:hAnsi="Tahoma" w:cs="Tahoma"/>
                <w:sz w:val="20"/>
                <w:szCs w:val="20"/>
                <w:lang w:eastAsia="hr-HR"/>
              </w:rPr>
              <w:t>PREKO 12 MJESECI</w:t>
            </w:r>
          </w:p>
        </w:tc>
        <w:tc>
          <w:tcPr>
            <w:tcW w:w="236" w:type="dxa"/>
            <w:vAlign w:val="center"/>
            <w:hideMark/>
          </w:tcPr>
          <w:p w14:paraId="66C2CABE" w14:textId="77777777" w:rsidR="000271A1" w:rsidRPr="000271A1" w:rsidRDefault="000271A1" w:rsidP="000271A1">
            <w:pPr>
              <w:spacing w:after="0" w:line="240" w:lineRule="auto"/>
              <w:rPr>
                <w:rFonts w:ascii="Times New Roman" w:eastAsia="Times New Roman" w:hAnsi="Times New Roman" w:cs="Times New Roman"/>
                <w:sz w:val="20"/>
                <w:szCs w:val="20"/>
                <w:lang w:eastAsia="hr-HR"/>
              </w:rPr>
            </w:pPr>
          </w:p>
        </w:tc>
      </w:tr>
      <w:tr w:rsidR="000271A1" w:rsidRPr="000271A1" w14:paraId="5D767ED2" w14:textId="77777777" w:rsidTr="000271A1">
        <w:trPr>
          <w:gridAfter w:val="1"/>
          <w:wAfter w:w="26" w:type="dxa"/>
          <w:trHeight w:val="300"/>
        </w:trPr>
        <w:tc>
          <w:tcPr>
            <w:tcW w:w="1119" w:type="dxa"/>
            <w:tcBorders>
              <w:top w:val="single" w:sz="4" w:space="0" w:color="auto"/>
              <w:left w:val="single" w:sz="8" w:space="0" w:color="auto"/>
              <w:bottom w:val="single" w:sz="4" w:space="0" w:color="auto"/>
              <w:right w:val="single" w:sz="4" w:space="0" w:color="000000"/>
            </w:tcBorders>
            <w:shd w:val="clear" w:color="000000" w:fill="CCFFCC"/>
            <w:vAlign w:val="center"/>
            <w:hideMark/>
          </w:tcPr>
          <w:p w14:paraId="5171DCCF" w14:textId="77777777" w:rsidR="000271A1" w:rsidRPr="000271A1" w:rsidRDefault="000271A1" w:rsidP="000271A1">
            <w:pPr>
              <w:spacing w:after="0" w:line="240" w:lineRule="auto"/>
              <w:jc w:val="center"/>
              <w:rPr>
                <w:rFonts w:ascii="Tahoma" w:eastAsia="Times New Roman" w:hAnsi="Tahoma" w:cs="Tahoma"/>
                <w:sz w:val="16"/>
                <w:szCs w:val="16"/>
                <w:lang w:eastAsia="hr-HR"/>
              </w:rPr>
            </w:pPr>
            <w:r w:rsidRPr="000271A1">
              <w:rPr>
                <w:rFonts w:ascii="Tahoma" w:eastAsia="Times New Roman" w:hAnsi="Tahoma" w:cs="Tahoma"/>
                <w:sz w:val="16"/>
                <w:szCs w:val="16"/>
                <w:lang w:eastAsia="hr-HR"/>
              </w:rPr>
              <w:t>1.</w:t>
            </w:r>
          </w:p>
        </w:tc>
        <w:tc>
          <w:tcPr>
            <w:tcW w:w="671" w:type="dxa"/>
            <w:tcBorders>
              <w:top w:val="nil"/>
              <w:left w:val="nil"/>
              <w:bottom w:val="single" w:sz="4" w:space="0" w:color="auto"/>
              <w:right w:val="single" w:sz="4" w:space="0" w:color="auto"/>
            </w:tcBorders>
            <w:shd w:val="clear" w:color="000000" w:fill="CCFFCC"/>
            <w:noWrap/>
            <w:vAlign w:val="center"/>
            <w:hideMark/>
          </w:tcPr>
          <w:p w14:paraId="1830C1D3" w14:textId="77777777" w:rsidR="000271A1" w:rsidRPr="000271A1" w:rsidRDefault="000271A1" w:rsidP="000271A1">
            <w:pPr>
              <w:spacing w:after="0" w:line="240" w:lineRule="auto"/>
              <w:jc w:val="center"/>
              <w:rPr>
                <w:rFonts w:ascii="Tahoma" w:eastAsia="Times New Roman" w:hAnsi="Tahoma" w:cs="Tahoma"/>
                <w:sz w:val="16"/>
                <w:szCs w:val="16"/>
                <w:lang w:eastAsia="hr-HR"/>
              </w:rPr>
            </w:pPr>
            <w:r w:rsidRPr="000271A1">
              <w:rPr>
                <w:rFonts w:ascii="Tahoma" w:eastAsia="Times New Roman" w:hAnsi="Tahoma" w:cs="Tahoma"/>
                <w:sz w:val="16"/>
                <w:szCs w:val="16"/>
                <w:lang w:eastAsia="hr-HR"/>
              </w:rPr>
              <w:t>2.</w:t>
            </w:r>
          </w:p>
        </w:tc>
        <w:tc>
          <w:tcPr>
            <w:tcW w:w="519" w:type="dxa"/>
            <w:tcBorders>
              <w:top w:val="nil"/>
              <w:left w:val="nil"/>
              <w:bottom w:val="single" w:sz="4" w:space="0" w:color="auto"/>
              <w:right w:val="single" w:sz="4" w:space="0" w:color="auto"/>
            </w:tcBorders>
            <w:shd w:val="clear" w:color="000000" w:fill="CCFFCC"/>
            <w:noWrap/>
            <w:vAlign w:val="center"/>
            <w:hideMark/>
          </w:tcPr>
          <w:p w14:paraId="21888037" w14:textId="77777777" w:rsidR="000271A1" w:rsidRPr="000271A1" w:rsidRDefault="000271A1" w:rsidP="000271A1">
            <w:pPr>
              <w:spacing w:after="0" w:line="240" w:lineRule="auto"/>
              <w:jc w:val="center"/>
              <w:rPr>
                <w:rFonts w:ascii="Tahoma" w:eastAsia="Times New Roman" w:hAnsi="Tahoma" w:cs="Tahoma"/>
                <w:sz w:val="16"/>
                <w:szCs w:val="16"/>
                <w:lang w:eastAsia="hr-HR"/>
              </w:rPr>
            </w:pPr>
            <w:r w:rsidRPr="000271A1">
              <w:rPr>
                <w:rFonts w:ascii="Tahoma" w:eastAsia="Times New Roman" w:hAnsi="Tahoma" w:cs="Tahoma"/>
                <w:sz w:val="16"/>
                <w:szCs w:val="16"/>
                <w:lang w:eastAsia="hr-HR"/>
              </w:rPr>
              <w:t>3.</w:t>
            </w:r>
          </w:p>
        </w:tc>
        <w:tc>
          <w:tcPr>
            <w:tcW w:w="365" w:type="dxa"/>
            <w:tcBorders>
              <w:top w:val="single" w:sz="4" w:space="0" w:color="auto"/>
              <w:left w:val="nil"/>
              <w:bottom w:val="single" w:sz="4" w:space="0" w:color="auto"/>
              <w:right w:val="single" w:sz="4" w:space="0" w:color="auto"/>
            </w:tcBorders>
            <w:shd w:val="clear" w:color="000000" w:fill="CCFFCC"/>
            <w:noWrap/>
            <w:vAlign w:val="center"/>
            <w:hideMark/>
          </w:tcPr>
          <w:p w14:paraId="0CAB792D" w14:textId="77777777" w:rsidR="000271A1" w:rsidRPr="000271A1" w:rsidRDefault="000271A1" w:rsidP="000271A1">
            <w:pPr>
              <w:spacing w:after="0" w:line="240" w:lineRule="auto"/>
              <w:jc w:val="center"/>
              <w:rPr>
                <w:rFonts w:ascii="Tahoma" w:eastAsia="Times New Roman" w:hAnsi="Tahoma" w:cs="Tahoma"/>
                <w:sz w:val="16"/>
                <w:szCs w:val="16"/>
                <w:lang w:eastAsia="hr-HR"/>
              </w:rPr>
            </w:pPr>
            <w:r w:rsidRPr="000271A1">
              <w:rPr>
                <w:rFonts w:ascii="Tahoma" w:eastAsia="Times New Roman" w:hAnsi="Tahoma" w:cs="Tahoma"/>
                <w:sz w:val="16"/>
                <w:szCs w:val="16"/>
                <w:lang w:eastAsia="hr-HR"/>
              </w:rPr>
              <w:t>4.</w:t>
            </w:r>
          </w:p>
        </w:tc>
        <w:tc>
          <w:tcPr>
            <w:tcW w:w="379" w:type="dxa"/>
            <w:tcBorders>
              <w:top w:val="single" w:sz="4" w:space="0" w:color="auto"/>
              <w:left w:val="nil"/>
              <w:bottom w:val="single" w:sz="4" w:space="0" w:color="auto"/>
              <w:right w:val="single" w:sz="4" w:space="0" w:color="auto"/>
            </w:tcBorders>
            <w:shd w:val="clear" w:color="000000" w:fill="CCFFCC"/>
            <w:noWrap/>
            <w:vAlign w:val="center"/>
            <w:hideMark/>
          </w:tcPr>
          <w:p w14:paraId="295479DB" w14:textId="77777777" w:rsidR="000271A1" w:rsidRPr="000271A1" w:rsidRDefault="000271A1" w:rsidP="000271A1">
            <w:pPr>
              <w:spacing w:after="0" w:line="240" w:lineRule="auto"/>
              <w:jc w:val="center"/>
              <w:rPr>
                <w:rFonts w:ascii="Tahoma" w:eastAsia="Times New Roman" w:hAnsi="Tahoma" w:cs="Tahoma"/>
                <w:sz w:val="16"/>
                <w:szCs w:val="16"/>
                <w:lang w:eastAsia="hr-HR"/>
              </w:rPr>
            </w:pPr>
            <w:r w:rsidRPr="000271A1">
              <w:rPr>
                <w:rFonts w:ascii="Tahoma" w:eastAsia="Times New Roman" w:hAnsi="Tahoma" w:cs="Tahoma"/>
                <w:sz w:val="16"/>
                <w:szCs w:val="16"/>
                <w:lang w:eastAsia="hr-HR"/>
              </w:rPr>
              <w:t>5.</w:t>
            </w:r>
          </w:p>
        </w:tc>
        <w:tc>
          <w:tcPr>
            <w:tcW w:w="698" w:type="dxa"/>
            <w:tcBorders>
              <w:top w:val="nil"/>
              <w:left w:val="nil"/>
              <w:bottom w:val="single" w:sz="4" w:space="0" w:color="auto"/>
              <w:right w:val="single" w:sz="4" w:space="0" w:color="auto"/>
            </w:tcBorders>
            <w:shd w:val="clear" w:color="000000" w:fill="CCFFCC"/>
            <w:noWrap/>
            <w:vAlign w:val="center"/>
            <w:hideMark/>
          </w:tcPr>
          <w:p w14:paraId="28D39D7A" w14:textId="77777777" w:rsidR="000271A1" w:rsidRPr="000271A1" w:rsidRDefault="000271A1" w:rsidP="000271A1">
            <w:pPr>
              <w:spacing w:after="0" w:line="240" w:lineRule="auto"/>
              <w:jc w:val="center"/>
              <w:rPr>
                <w:rFonts w:ascii="Tahoma" w:eastAsia="Times New Roman" w:hAnsi="Tahoma" w:cs="Tahoma"/>
                <w:sz w:val="16"/>
                <w:szCs w:val="16"/>
                <w:lang w:eastAsia="hr-HR"/>
              </w:rPr>
            </w:pPr>
            <w:r w:rsidRPr="000271A1">
              <w:rPr>
                <w:rFonts w:ascii="Tahoma" w:eastAsia="Times New Roman" w:hAnsi="Tahoma" w:cs="Tahoma"/>
                <w:sz w:val="16"/>
                <w:szCs w:val="16"/>
                <w:lang w:eastAsia="hr-HR"/>
              </w:rPr>
              <w:t>6.</w:t>
            </w:r>
          </w:p>
        </w:tc>
        <w:tc>
          <w:tcPr>
            <w:tcW w:w="698" w:type="dxa"/>
            <w:tcBorders>
              <w:top w:val="nil"/>
              <w:left w:val="nil"/>
              <w:bottom w:val="single" w:sz="4" w:space="0" w:color="auto"/>
              <w:right w:val="single" w:sz="4" w:space="0" w:color="auto"/>
            </w:tcBorders>
            <w:shd w:val="clear" w:color="000000" w:fill="CCFFCC"/>
            <w:noWrap/>
            <w:vAlign w:val="center"/>
            <w:hideMark/>
          </w:tcPr>
          <w:p w14:paraId="594D1FC5" w14:textId="77777777" w:rsidR="000271A1" w:rsidRPr="000271A1" w:rsidRDefault="000271A1" w:rsidP="000271A1">
            <w:pPr>
              <w:spacing w:after="0" w:line="240" w:lineRule="auto"/>
              <w:jc w:val="center"/>
              <w:rPr>
                <w:rFonts w:ascii="Tahoma" w:eastAsia="Times New Roman" w:hAnsi="Tahoma" w:cs="Tahoma"/>
                <w:sz w:val="16"/>
                <w:szCs w:val="16"/>
                <w:lang w:eastAsia="hr-HR"/>
              </w:rPr>
            </w:pPr>
            <w:r w:rsidRPr="000271A1">
              <w:rPr>
                <w:rFonts w:ascii="Tahoma" w:eastAsia="Times New Roman" w:hAnsi="Tahoma" w:cs="Tahoma"/>
                <w:sz w:val="16"/>
                <w:szCs w:val="16"/>
                <w:lang w:eastAsia="hr-HR"/>
              </w:rPr>
              <w:t>7.</w:t>
            </w:r>
          </w:p>
        </w:tc>
        <w:tc>
          <w:tcPr>
            <w:tcW w:w="512" w:type="dxa"/>
            <w:tcBorders>
              <w:top w:val="nil"/>
              <w:left w:val="nil"/>
              <w:bottom w:val="single" w:sz="4" w:space="0" w:color="auto"/>
              <w:right w:val="single" w:sz="4" w:space="0" w:color="auto"/>
            </w:tcBorders>
            <w:shd w:val="clear" w:color="000000" w:fill="CCFFCC"/>
            <w:noWrap/>
            <w:vAlign w:val="center"/>
            <w:hideMark/>
          </w:tcPr>
          <w:p w14:paraId="7EC8A938" w14:textId="77777777" w:rsidR="000271A1" w:rsidRPr="000271A1" w:rsidRDefault="000271A1" w:rsidP="000271A1">
            <w:pPr>
              <w:spacing w:after="0" w:line="240" w:lineRule="auto"/>
              <w:jc w:val="center"/>
              <w:rPr>
                <w:rFonts w:ascii="Tahoma" w:eastAsia="Times New Roman" w:hAnsi="Tahoma" w:cs="Tahoma"/>
                <w:sz w:val="16"/>
                <w:szCs w:val="16"/>
                <w:lang w:eastAsia="hr-HR"/>
              </w:rPr>
            </w:pPr>
            <w:r w:rsidRPr="000271A1">
              <w:rPr>
                <w:rFonts w:ascii="Tahoma" w:eastAsia="Times New Roman" w:hAnsi="Tahoma" w:cs="Tahoma"/>
                <w:sz w:val="16"/>
                <w:szCs w:val="16"/>
                <w:lang w:eastAsia="hr-HR"/>
              </w:rPr>
              <w:t>8.</w:t>
            </w:r>
          </w:p>
        </w:tc>
        <w:tc>
          <w:tcPr>
            <w:tcW w:w="698" w:type="dxa"/>
            <w:tcBorders>
              <w:top w:val="nil"/>
              <w:left w:val="nil"/>
              <w:bottom w:val="single" w:sz="4" w:space="0" w:color="auto"/>
              <w:right w:val="single" w:sz="4" w:space="0" w:color="auto"/>
            </w:tcBorders>
            <w:shd w:val="clear" w:color="000000" w:fill="CCFFCC"/>
            <w:noWrap/>
            <w:vAlign w:val="center"/>
            <w:hideMark/>
          </w:tcPr>
          <w:p w14:paraId="7310D5AF" w14:textId="77777777" w:rsidR="000271A1" w:rsidRPr="000271A1" w:rsidRDefault="000271A1" w:rsidP="000271A1">
            <w:pPr>
              <w:spacing w:after="0" w:line="240" w:lineRule="auto"/>
              <w:jc w:val="center"/>
              <w:rPr>
                <w:rFonts w:ascii="Tahoma" w:eastAsia="Times New Roman" w:hAnsi="Tahoma" w:cs="Tahoma"/>
                <w:sz w:val="16"/>
                <w:szCs w:val="16"/>
                <w:lang w:eastAsia="hr-HR"/>
              </w:rPr>
            </w:pPr>
            <w:r w:rsidRPr="000271A1">
              <w:rPr>
                <w:rFonts w:ascii="Tahoma" w:eastAsia="Times New Roman" w:hAnsi="Tahoma" w:cs="Tahoma"/>
                <w:sz w:val="16"/>
                <w:szCs w:val="16"/>
                <w:lang w:eastAsia="hr-HR"/>
              </w:rPr>
              <w:t>9.</w:t>
            </w:r>
          </w:p>
        </w:tc>
        <w:tc>
          <w:tcPr>
            <w:tcW w:w="444" w:type="dxa"/>
            <w:tcBorders>
              <w:top w:val="nil"/>
              <w:left w:val="nil"/>
              <w:bottom w:val="single" w:sz="4" w:space="0" w:color="auto"/>
              <w:right w:val="single" w:sz="4" w:space="0" w:color="auto"/>
            </w:tcBorders>
            <w:shd w:val="clear" w:color="000000" w:fill="CCFFCC"/>
            <w:noWrap/>
            <w:vAlign w:val="center"/>
            <w:hideMark/>
          </w:tcPr>
          <w:p w14:paraId="67E27CA7" w14:textId="77777777" w:rsidR="000271A1" w:rsidRPr="000271A1" w:rsidRDefault="000271A1" w:rsidP="000271A1">
            <w:pPr>
              <w:spacing w:after="0" w:line="240" w:lineRule="auto"/>
              <w:jc w:val="center"/>
              <w:rPr>
                <w:rFonts w:ascii="Tahoma" w:eastAsia="Times New Roman" w:hAnsi="Tahoma" w:cs="Tahoma"/>
                <w:sz w:val="16"/>
                <w:szCs w:val="16"/>
                <w:lang w:eastAsia="hr-HR"/>
              </w:rPr>
            </w:pPr>
            <w:r w:rsidRPr="000271A1">
              <w:rPr>
                <w:rFonts w:ascii="Tahoma" w:eastAsia="Times New Roman" w:hAnsi="Tahoma" w:cs="Tahoma"/>
                <w:sz w:val="16"/>
                <w:szCs w:val="16"/>
                <w:lang w:eastAsia="hr-HR"/>
              </w:rPr>
              <w:t>10.</w:t>
            </w:r>
          </w:p>
        </w:tc>
        <w:tc>
          <w:tcPr>
            <w:tcW w:w="698" w:type="dxa"/>
            <w:tcBorders>
              <w:top w:val="nil"/>
              <w:left w:val="nil"/>
              <w:bottom w:val="single" w:sz="4" w:space="0" w:color="auto"/>
              <w:right w:val="single" w:sz="4" w:space="0" w:color="auto"/>
            </w:tcBorders>
            <w:shd w:val="clear" w:color="000000" w:fill="CCFFCC"/>
            <w:noWrap/>
            <w:vAlign w:val="center"/>
            <w:hideMark/>
          </w:tcPr>
          <w:p w14:paraId="76D50A07" w14:textId="77777777" w:rsidR="000271A1" w:rsidRPr="000271A1" w:rsidRDefault="000271A1" w:rsidP="000271A1">
            <w:pPr>
              <w:spacing w:after="0" w:line="240" w:lineRule="auto"/>
              <w:jc w:val="center"/>
              <w:rPr>
                <w:rFonts w:ascii="Tahoma" w:eastAsia="Times New Roman" w:hAnsi="Tahoma" w:cs="Tahoma"/>
                <w:sz w:val="16"/>
                <w:szCs w:val="16"/>
                <w:lang w:eastAsia="hr-HR"/>
              </w:rPr>
            </w:pPr>
            <w:r w:rsidRPr="000271A1">
              <w:rPr>
                <w:rFonts w:ascii="Tahoma" w:eastAsia="Times New Roman" w:hAnsi="Tahoma" w:cs="Tahoma"/>
                <w:sz w:val="16"/>
                <w:szCs w:val="16"/>
                <w:lang w:eastAsia="hr-HR"/>
              </w:rPr>
              <w:t>11.</w:t>
            </w:r>
          </w:p>
        </w:tc>
        <w:tc>
          <w:tcPr>
            <w:tcW w:w="444" w:type="dxa"/>
            <w:gridSpan w:val="2"/>
            <w:tcBorders>
              <w:top w:val="nil"/>
              <w:left w:val="nil"/>
              <w:bottom w:val="single" w:sz="4" w:space="0" w:color="auto"/>
              <w:right w:val="single" w:sz="4" w:space="0" w:color="auto"/>
            </w:tcBorders>
            <w:shd w:val="clear" w:color="000000" w:fill="CCFFCC"/>
            <w:noWrap/>
            <w:vAlign w:val="center"/>
            <w:hideMark/>
          </w:tcPr>
          <w:p w14:paraId="65EE95F1" w14:textId="77777777" w:rsidR="000271A1" w:rsidRPr="000271A1" w:rsidRDefault="000271A1" w:rsidP="000271A1">
            <w:pPr>
              <w:spacing w:after="0" w:line="240" w:lineRule="auto"/>
              <w:jc w:val="center"/>
              <w:rPr>
                <w:rFonts w:ascii="Tahoma" w:eastAsia="Times New Roman" w:hAnsi="Tahoma" w:cs="Tahoma"/>
                <w:sz w:val="16"/>
                <w:szCs w:val="16"/>
                <w:lang w:eastAsia="hr-HR"/>
              </w:rPr>
            </w:pPr>
            <w:r w:rsidRPr="000271A1">
              <w:rPr>
                <w:rFonts w:ascii="Tahoma" w:eastAsia="Times New Roman" w:hAnsi="Tahoma" w:cs="Tahoma"/>
                <w:sz w:val="16"/>
                <w:szCs w:val="16"/>
                <w:lang w:eastAsia="hr-HR"/>
              </w:rPr>
              <w:t>12.</w:t>
            </w:r>
          </w:p>
        </w:tc>
        <w:tc>
          <w:tcPr>
            <w:tcW w:w="521" w:type="dxa"/>
            <w:tcBorders>
              <w:top w:val="nil"/>
              <w:left w:val="nil"/>
              <w:bottom w:val="single" w:sz="4" w:space="0" w:color="auto"/>
              <w:right w:val="single" w:sz="4" w:space="0" w:color="auto"/>
            </w:tcBorders>
            <w:shd w:val="clear" w:color="000000" w:fill="CCFFCC"/>
            <w:noWrap/>
            <w:vAlign w:val="center"/>
            <w:hideMark/>
          </w:tcPr>
          <w:p w14:paraId="0CFB31DE" w14:textId="77777777" w:rsidR="000271A1" w:rsidRPr="000271A1" w:rsidRDefault="000271A1" w:rsidP="000271A1">
            <w:pPr>
              <w:spacing w:after="0" w:line="240" w:lineRule="auto"/>
              <w:jc w:val="center"/>
              <w:rPr>
                <w:rFonts w:ascii="Tahoma" w:eastAsia="Times New Roman" w:hAnsi="Tahoma" w:cs="Tahoma"/>
                <w:sz w:val="16"/>
                <w:szCs w:val="16"/>
                <w:lang w:eastAsia="hr-HR"/>
              </w:rPr>
            </w:pPr>
            <w:r w:rsidRPr="000271A1">
              <w:rPr>
                <w:rFonts w:ascii="Tahoma" w:eastAsia="Times New Roman" w:hAnsi="Tahoma" w:cs="Tahoma"/>
                <w:sz w:val="16"/>
                <w:szCs w:val="16"/>
                <w:lang w:eastAsia="hr-HR"/>
              </w:rPr>
              <w:t>13.</w:t>
            </w:r>
          </w:p>
        </w:tc>
        <w:tc>
          <w:tcPr>
            <w:tcW w:w="521" w:type="dxa"/>
            <w:tcBorders>
              <w:top w:val="nil"/>
              <w:left w:val="nil"/>
              <w:bottom w:val="single" w:sz="4" w:space="0" w:color="auto"/>
              <w:right w:val="single" w:sz="4" w:space="0" w:color="auto"/>
            </w:tcBorders>
            <w:shd w:val="clear" w:color="000000" w:fill="CCFFCC"/>
            <w:noWrap/>
            <w:vAlign w:val="center"/>
            <w:hideMark/>
          </w:tcPr>
          <w:p w14:paraId="1BB4DA08" w14:textId="77777777" w:rsidR="000271A1" w:rsidRPr="000271A1" w:rsidRDefault="000271A1" w:rsidP="000271A1">
            <w:pPr>
              <w:spacing w:after="0" w:line="240" w:lineRule="auto"/>
              <w:jc w:val="center"/>
              <w:rPr>
                <w:rFonts w:ascii="Tahoma" w:eastAsia="Times New Roman" w:hAnsi="Tahoma" w:cs="Tahoma"/>
                <w:sz w:val="16"/>
                <w:szCs w:val="16"/>
                <w:lang w:eastAsia="hr-HR"/>
              </w:rPr>
            </w:pPr>
            <w:r w:rsidRPr="000271A1">
              <w:rPr>
                <w:rFonts w:ascii="Tahoma" w:eastAsia="Times New Roman" w:hAnsi="Tahoma" w:cs="Tahoma"/>
                <w:sz w:val="16"/>
                <w:szCs w:val="16"/>
                <w:lang w:eastAsia="hr-HR"/>
              </w:rPr>
              <w:t>14.</w:t>
            </w:r>
          </w:p>
        </w:tc>
        <w:tc>
          <w:tcPr>
            <w:tcW w:w="521" w:type="dxa"/>
            <w:gridSpan w:val="2"/>
            <w:tcBorders>
              <w:top w:val="nil"/>
              <w:left w:val="nil"/>
              <w:bottom w:val="single" w:sz="4" w:space="0" w:color="auto"/>
              <w:right w:val="single" w:sz="4" w:space="0" w:color="auto"/>
            </w:tcBorders>
            <w:shd w:val="clear" w:color="000000" w:fill="CCFFCC"/>
            <w:noWrap/>
            <w:vAlign w:val="center"/>
            <w:hideMark/>
          </w:tcPr>
          <w:p w14:paraId="041D2A38" w14:textId="77777777" w:rsidR="000271A1" w:rsidRPr="000271A1" w:rsidRDefault="000271A1" w:rsidP="000271A1">
            <w:pPr>
              <w:spacing w:after="0" w:line="240" w:lineRule="auto"/>
              <w:jc w:val="center"/>
              <w:rPr>
                <w:rFonts w:ascii="Tahoma" w:eastAsia="Times New Roman" w:hAnsi="Tahoma" w:cs="Tahoma"/>
                <w:sz w:val="16"/>
                <w:szCs w:val="16"/>
                <w:lang w:eastAsia="hr-HR"/>
              </w:rPr>
            </w:pPr>
            <w:r w:rsidRPr="000271A1">
              <w:rPr>
                <w:rFonts w:ascii="Tahoma" w:eastAsia="Times New Roman" w:hAnsi="Tahoma" w:cs="Tahoma"/>
                <w:sz w:val="16"/>
                <w:szCs w:val="16"/>
                <w:lang w:eastAsia="hr-HR"/>
              </w:rPr>
              <w:t>15.</w:t>
            </w:r>
          </w:p>
        </w:tc>
        <w:tc>
          <w:tcPr>
            <w:tcW w:w="702" w:type="dxa"/>
            <w:tcBorders>
              <w:top w:val="nil"/>
              <w:left w:val="nil"/>
              <w:bottom w:val="single" w:sz="4" w:space="0" w:color="auto"/>
              <w:right w:val="single" w:sz="4" w:space="0" w:color="auto"/>
            </w:tcBorders>
            <w:shd w:val="clear" w:color="000000" w:fill="CCFFCC"/>
            <w:noWrap/>
            <w:vAlign w:val="center"/>
            <w:hideMark/>
          </w:tcPr>
          <w:p w14:paraId="6DE95A7E" w14:textId="77777777" w:rsidR="000271A1" w:rsidRPr="000271A1" w:rsidRDefault="000271A1" w:rsidP="000271A1">
            <w:pPr>
              <w:spacing w:after="0" w:line="240" w:lineRule="auto"/>
              <w:jc w:val="center"/>
              <w:rPr>
                <w:rFonts w:ascii="Tahoma" w:eastAsia="Times New Roman" w:hAnsi="Tahoma" w:cs="Tahoma"/>
                <w:sz w:val="16"/>
                <w:szCs w:val="16"/>
                <w:lang w:eastAsia="hr-HR"/>
              </w:rPr>
            </w:pPr>
            <w:r w:rsidRPr="000271A1">
              <w:rPr>
                <w:rFonts w:ascii="Tahoma" w:eastAsia="Times New Roman" w:hAnsi="Tahoma" w:cs="Tahoma"/>
                <w:sz w:val="16"/>
                <w:szCs w:val="16"/>
                <w:lang w:eastAsia="hr-HR"/>
              </w:rPr>
              <w:t>16.</w:t>
            </w:r>
          </w:p>
        </w:tc>
        <w:tc>
          <w:tcPr>
            <w:tcW w:w="907" w:type="dxa"/>
            <w:tcBorders>
              <w:top w:val="single" w:sz="4" w:space="0" w:color="auto"/>
              <w:left w:val="nil"/>
              <w:bottom w:val="single" w:sz="4" w:space="0" w:color="auto"/>
              <w:right w:val="single" w:sz="4" w:space="0" w:color="auto"/>
            </w:tcBorders>
            <w:shd w:val="clear" w:color="000000" w:fill="CCFFCC"/>
            <w:noWrap/>
            <w:vAlign w:val="center"/>
            <w:hideMark/>
          </w:tcPr>
          <w:p w14:paraId="2C417DCC" w14:textId="77777777" w:rsidR="000271A1" w:rsidRPr="000271A1" w:rsidRDefault="000271A1" w:rsidP="000271A1">
            <w:pPr>
              <w:spacing w:after="0" w:line="240" w:lineRule="auto"/>
              <w:jc w:val="center"/>
              <w:rPr>
                <w:rFonts w:ascii="Tahoma" w:eastAsia="Times New Roman" w:hAnsi="Tahoma" w:cs="Tahoma"/>
                <w:sz w:val="16"/>
                <w:szCs w:val="16"/>
                <w:lang w:eastAsia="hr-HR"/>
              </w:rPr>
            </w:pPr>
            <w:r w:rsidRPr="000271A1">
              <w:rPr>
                <w:rFonts w:ascii="Tahoma" w:eastAsia="Times New Roman" w:hAnsi="Tahoma" w:cs="Tahoma"/>
                <w:sz w:val="16"/>
                <w:szCs w:val="16"/>
                <w:lang w:eastAsia="hr-HR"/>
              </w:rPr>
              <w:t>17.</w:t>
            </w:r>
          </w:p>
        </w:tc>
        <w:tc>
          <w:tcPr>
            <w:tcW w:w="553" w:type="dxa"/>
            <w:tcBorders>
              <w:top w:val="single" w:sz="4" w:space="0" w:color="auto"/>
              <w:left w:val="nil"/>
              <w:bottom w:val="single" w:sz="4" w:space="0" w:color="auto"/>
              <w:right w:val="single" w:sz="4" w:space="0" w:color="auto"/>
            </w:tcBorders>
            <w:shd w:val="clear" w:color="000000" w:fill="CCFFCC"/>
            <w:noWrap/>
            <w:vAlign w:val="center"/>
            <w:hideMark/>
          </w:tcPr>
          <w:p w14:paraId="6783D5D8" w14:textId="77777777" w:rsidR="000271A1" w:rsidRPr="000271A1" w:rsidRDefault="000271A1" w:rsidP="000271A1">
            <w:pPr>
              <w:spacing w:after="0" w:line="240" w:lineRule="auto"/>
              <w:jc w:val="center"/>
              <w:rPr>
                <w:rFonts w:ascii="Tahoma" w:eastAsia="Times New Roman" w:hAnsi="Tahoma" w:cs="Tahoma"/>
                <w:sz w:val="16"/>
                <w:szCs w:val="16"/>
                <w:lang w:eastAsia="hr-HR"/>
              </w:rPr>
            </w:pPr>
            <w:r w:rsidRPr="000271A1">
              <w:rPr>
                <w:rFonts w:ascii="Tahoma" w:eastAsia="Times New Roman" w:hAnsi="Tahoma" w:cs="Tahoma"/>
                <w:sz w:val="16"/>
                <w:szCs w:val="16"/>
                <w:lang w:eastAsia="hr-HR"/>
              </w:rPr>
              <w:t>18.</w:t>
            </w:r>
          </w:p>
        </w:tc>
        <w:tc>
          <w:tcPr>
            <w:tcW w:w="918" w:type="dxa"/>
            <w:tcBorders>
              <w:top w:val="nil"/>
              <w:left w:val="nil"/>
              <w:bottom w:val="single" w:sz="4" w:space="0" w:color="auto"/>
              <w:right w:val="single" w:sz="4" w:space="0" w:color="auto"/>
            </w:tcBorders>
            <w:shd w:val="clear" w:color="000000" w:fill="CCFFCC"/>
            <w:noWrap/>
            <w:vAlign w:val="center"/>
            <w:hideMark/>
          </w:tcPr>
          <w:p w14:paraId="47AFBE66" w14:textId="77777777" w:rsidR="000271A1" w:rsidRPr="000271A1" w:rsidRDefault="000271A1" w:rsidP="000271A1">
            <w:pPr>
              <w:spacing w:after="0" w:line="240" w:lineRule="auto"/>
              <w:jc w:val="center"/>
              <w:rPr>
                <w:rFonts w:ascii="Tahoma" w:eastAsia="Times New Roman" w:hAnsi="Tahoma" w:cs="Tahoma"/>
                <w:sz w:val="16"/>
                <w:szCs w:val="16"/>
                <w:lang w:eastAsia="hr-HR"/>
              </w:rPr>
            </w:pPr>
            <w:r w:rsidRPr="000271A1">
              <w:rPr>
                <w:rFonts w:ascii="Tahoma" w:eastAsia="Times New Roman" w:hAnsi="Tahoma" w:cs="Tahoma"/>
                <w:sz w:val="16"/>
                <w:szCs w:val="16"/>
                <w:lang w:eastAsia="hr-HR"/>
              </w:rPr>
              <w:t>19.</w:t>
            </w:r>
          </w:p>
        </w:tc>
        <w:tc>
          <w:tcPr>
            <w:tcW w:w="428" w:type="dxa"/>
            <w:tcBorders>
              <w:top w:val="nil"/>
              <w:left w:val="nil"/>
              <w:bottom w:val="single" w:sz="4" w:space="0" w:color="auto"/>
              <w:right w:val="single" w:sz="4" w:space="0" w:color="auto"/>
            </w:tcBorders>
            <w:shd w:val="clear" w:color="000000" w:fill="CCFFCC"/>
            <w:noWrap/>
            <w:vAlign w:val="center"/>
            <w:hideMark/>
          </w:tcPr>
          <w:p w14:paraId="3C281D5B" w14:textId="77777777" w:rsidR="000271A1" w:rsidRPr="000271A1" w:rsidRDefault="000271A1" w:rsidP="000271A1">
            <w:pPr>
              <w:spacing w:after="0" w:line="240" w:lineRule="auto"/>
              <w:jc w:val="center"/>
              <w:rPr>
                <w:rFonts w:ascii="Tahoma" w:eastAsia="Times New Roman" w:hAnsi="Tahoma" w:cs="Tahoma"/>
                <w:sz w:val="16"/>
                <w:szCs w:val="16"/>
                <w:lang w:eastAsia="hr-HR"/>
              </w:rPr>
            </w:pPr>
            <w:r w:rsidRPr="000271A1">
              <w:rPr>
                <w:rFonts w:ascii="Tahoma" w:eastAsia="Times New Roman" w:hAnsi="Tahoma" w:cs="Tahoma"/>
                <w:sz w:val="16"/>
                <w:szCs w:val="16"/>
                <w:lang w:eastAsia="hr-HR"/>
              </w:rPr>
              <w:t>20.</w:t>
            </w:r>
          </w:p>
        </w:tc>
        <w:tc>
          <w:tcPr>
            <w:tcW w:w="428" w:type="dxa"/>
            <w:tcBorders>
              <w:top w:val="nil"/>
              <w:left w:val="nil"/>
              <w:bottom w:val="single" w:sz="4" w:space="0" w:color="auto"/>
              <w:right w:val="single" w:sz="4" w:space="0" w:color="auto"/>
            </w:tcBorders>
            <w:shd w:val="clear" w:color="000000" w:fill="CCFFCC"/>
            <w:noWrap/>
            <w:vAlign w:val="center"/>
            <w:hideMark/>
          </w:tcPr>
          <w:p w14:paraId="69FAFEC7" w14:textId="77777777" w:rsidR="000271A1" w:rsidRPr="000271A1" w:rsidRDefault="000271A1" w:rsidP="000271A1">
            <w:pPr>
              <w:spacing w:after="0" w:line="240" w:lineRule="auto"/>
              <w:jc w:val="center"/>
              <w:rPr>
                <w:rFonts w:ascii="Tahoma" w:eastAsia="Times New Roman" w:hAnsi="Tahoma" w:cs="Tahoma"/>
                <w:sz w:val="16"/>
                <w:szCs w:val="16"/>
                <w:lang w:eastAsia="hr-HR"/>
              </w:rPr>
            </w:pPr>
            <w:r w:rsidRPr="000271A1">
              <w:rPr>
                <w:rFonts w:ascii="Tahoma" w:eastAsia="Times New Roman" w:hAnsi="Tahoma" w:cs="Tahoma"/>
                <w:sz w:val="16"/>
                <w:szCs w:val="16"/>
                <w:lang w:eastAsia="hr-HR"/>
              </w:rPr>
              <w:t>21.</w:t>
            </w:r>
          </w:p>
        </w:tc>
        <w:tc>
          <w:tcPr>
            <w:tcW w:w="425" w:type="dxa"/>
            <w:tcBorders>
              <w:top w:val="nil"/>
              <w:left w:val="nil"/>
              <w:bottom w:val="single" w:sz="4" w:space="0" w:color="auto"/>
              <w:right w:val="single" w:sz="4" w:space="0" w:color="auto"/>
            </w:tcBorders>
            <w:shd w:val="clear" w:color="000000" w:fill="CCFFCC"/>
            <w:noWrap/>
            <w:vAlign w:val="center"/>
            <w:hideMark/>
          </w:tcPr>
          <w:p w14:paraId="5D0D0683" w14:textId="77777777" w:rsidR="000271A1" w:rsidRPr="000271A1" w:rsidRDefault="000271A1" w:rsidP="000271A1">
            <w:pPr>
              <w:spacing w:after="0" w:line="240" w:lineRule="auto"/>
              <w:jc w:val="center"/>
              <w:rPr>
                <w:rFonts w:ascii="Tahoma" w:eastAsia="Times New Roman" w:hAnsi="Tahoma" w:cs="Tahoma"/>
                <w:sz w:val="16"/>
                <w:szCs w:val="16"/>
                <w:lang w:eastAsia="hr-HR"/>
              </w:rPr>
            </w:pPr>
            <w:r w:rsidRPr="000271A1">
              <w:rPr>
                <w:rFonts w:ascii="Tahoma" w:eastAsia="Times New Roman" w:hAnsi="Tahoma" w:cs="Tahoma"/>
                <w:sz w:val="16"/>
                <w:szCs w:val="16"/>
                <w:lang w:eastAsia="hr-HR"/>
              </w:rPr>
              <w:t>22.</w:t>
            </w:r>
          </w:p>
        </w:tc>
        <w:tc>
          <w:tcPr>
            <w:tcW w:w="425" w:type="dxa"/>
            <w:tcBorders>
              <w:top w:val="nil"/>
              <w:left w:val="nil"/>
              <w:bottom w:val="single" w:sz="4" w:space="0" w:color="auto"/>
              <w:right w:val="single" w:sz="4" w:space="0" w:color="auto"/>
            </w:tcBorders>
            <w:shd w:val="clear" w:color="000000" w:fill="CCFFCC"/>
            <w:noWrap/>
            <w:vAlign w:val="center"/>
            <w:hideMark/>
          </w:tcPr>
          <w:p w14:paraId="57BFB0D8" w14:textId="77777777" w:rsidR="000271A1" w:rsidRPr="000271A1" w:rsidRDefault="000271A1" w:rsidP="000271A1">
            <w:pPr>
              <w:spacing w:after="0" w:line="240" w:lineRule="auto"/>
              <w:jc w:val="center"/>
              <w:rPr>
                <w:rFonts w:ascii="Tahoma" w:eastAsia="Times New Roman" w:hAnsi="Tahoma" w:cs="Tahoma"/>
                <w:sz w:val="16"/>
                <w:szCs w:val="16"/>
                <w:lang w:eastAsia="hr-HR"/>
              </w:rPr>
            </w:pPr>
            <w:r w:rsidRPr="000271A1">
              <w:rPr>
                <w:rFonts w:ascii="Tahoma" w:eastAsia="Times New Roman" w:hAnsi="Tahoma" w:cs="Tahoma"/>
                <w:sz w:val="16"/>
                <w:szCs w:val="16"/>
                <w:lang w:eastAsia="hr-HR"/>
              </w:rPr>
              <w:t>23.</w:t>
            </w:r>
          </w:p>
        </w:tc>
        <w:tc>
          <w:tcPr>
            <w:tcW w:w="440" w:type="dxa"/>
            <w:gridSpan w:val="2"/>
            <w:tcBorders>
              <w:top w:val="nil"/>
              <w:left w:val="nil"/>
              <w:bottom w:val="single" w:sz="4" w:space="0" w:color="auto"/>
              <w:right w:val="single" w:sz="4" w:space="0" w:color="auto"/>
            </w:tcBorders>
            <w:shd w:val="clear" w:color="000000" w:fill="CCFFCC"/>
            <w:noWrap/>
            <w:vAlign w:val="center"/>
            <w:hideMark/>
          </w:tcPr>
          <w:p w14:paraId="6FF045D4" w14:textId="77777777" w:rsidR="000271A1" w:rsidRPr="000271A1" w:rsidRDefault="000271A1" w:rsidP="000271A1">
            <w:pPr>
              <w:spacing w:after="0" w:line="240" w:lineRule="auto"/>
              <w:jc w:val="center"/>
              <w:rPr>
                <w:rFonts w:ascii="Tahoma" w:eastAsia="Times New Roman" w:hAnsi="Tahoma" w:cs="Tahoma"/>
                <w:sz w:val="16"/>
                <w:szCs w:val="16"/>
                <w:lang w:eastAsia="hr-HR"/>
              </w:rPr>
            </w:pPr>
            <w:r w:rsidRPr="000271A1">
              <w:rPr>
                <w:rFonts w:ascii="Tahoma" w:eastAsia="Times New Roman" w:hAnsi="Tahoma" w:cs="Tahoma"/>
                <w:sz w:val="16"/>
                <w:szCs w:val="16"/>
                <w:lang w:eastAsia="hr-HR"/>
              </w:rPr>
              <w:t>24.</w:t>
            </w:r>
          </w:p>
        </w:tc>
        <w:tc>
          <w:tcPr>
            <w:tcW w:w="236" w:type="dxa"/>
            <w:vAlign w:val="center"/>
            <w:hideMark/>
          </w:tcPr>
          <w:p w14:paraId="6FB3BD6A" w14:textId="77777777" w:rsidR="000271A1" w:rsidRPr="000271A1" w:rsidRDefault="000271A1" w:rsidP="000271A1">
            <w:pPr>
              <w:spacing w:after="0" w:line="240" w:lineRule="auto"/>
              <w:rPr>
                <w:rFonts w:ascii="Times New Roman" w:eastAsia="Times New Roman" w:hAnsi="Times New Roman" w:cs="Times New Roman"/>
                <w:sz w:val="20"/>
                <w:szCs w:val="20"/>
                <w:lang w:eastAsia="hr-HR"/>
              </w:rPr>
            </w:pPr>
          </w:p>
        </w:tc>
      </w:tr>
      <w:tr w:rsidR="000271A1" w:rsidRPr="000271A1" w14:paraId="53BC5162" w14:textId="77777777" w:rsidTr="000271A1">
        <w:trPr>
          <w:gridAfter w:val="1"/>
          <w:wAfter w:w="26" w:type="dxa"/>
          <w:trHeight w:val="300"/>
        </w:trPr>
        <w:tc>
          <w:tcPr>
            <w:tcW w:w="1119" w:type="dxa"/>
            <w:tcBorders>
              <w:top w:val="single" w:sz="4" w:space="0" w:color="auto"/>
              <w:left w:val="single" w:sz="8" w:space="0" w:color="auto"/>
              <w:bottom w:val="single" w:sz="4" w:space="0" w:color="auto"/>
              <w:right w:val="single" w:sz="4" w:space="0" w:color="auto"/>
            </w:tcBorders>
            <w:shd w:val="clear" w:color="000000" w:fill="CCFFCC"/>
            <w:vAlign w:val="center"/>
            <w:hideMark/>
          </w:tcPr>
          <w:p w14:paraId="25EC2D1C" w14:textId="77777777" w:rsidR="000271A1" w:rsidRPr="000271A1" w:rsidRDefault="000271A1" w:rsidP="000271A1">
            <w:pPr>
              <w:spacing w:after="0" w:line="240" w:lineRule="auto"/>
              <w:rPr>
                <w:rFonts w:ascii="Tahoma" w:eastAsia="Times New Roman" w:hAnsi="Tahoma" w:cs="Tahoma"/>
                <w:sz w:val="20"/>
                <w:szCs w:val="20"/>
                <w:lang w:eastAsia="hr-HR"/>
              </w:rPr>
            </w:pPr>
            <w:r w:rsidRPr="000271A1">
              <w:rPr>
                <w:rFonts w:ascii="Tahoma" w:eastAsia="Times New Roman" w:hAnsi="Tahoma" w:cs="Tahoma"/>
                <w:sz w:val="20"/>
                <w:szCs w:val="20"/>
                <w:lang w:eastAsia="hr-HR"/>
              </w:rPr>
              <w:lastRenderedPageBreak/>
              <w:t xml:space="preserve">Rasa ili etnička </w:t>
            </w:r>
            <w:proofErr w:type="spellStart"/>
            <w:r w:rsidRPr="000271A1">
              <w:rPr>
                <w:rFonts w:ascii="Tahoma" w:eastAsia="Times New Roman" w:hAnsi="Tahoma" w:cs="Tahoma"/>
                <w:sz w:val="20"/>
                <w:szCs w:val="20"/>
                <w:lang w:eastAsia="hr-HR"/>
              </w:rPr>
              <w:t>propadnost</w:t>
            </w:r>
            <w:proofErr w:type="spellEnd"/>
            <w:r w:rsidRPr="000271A1">
              <w:rPr>
                <w:rFonts w:ascii="Tahoma" w:eastAsia="Times New Roman" w:hAnsi="Tahoma" w:cs="Tahoma"/>
                <w:sz w:val="20"/>
                <w:szCs w:val="20"/>
                <w:lang w:eastAsia="hr-HR"/>
              </w:rPr>
              <w:t xml:space="preserve"> ili boja kože</w:t>
            </w:r>
          </w:p>
        </w:tc>
        <w:tc>
          <w:tcPr>
            <w:tcW w:w="671" w:type="dxa"/>
            <w:tcBorders>
              <w:top w:val="nil"/>
              <w:left w:val="nil"/>
              <w:bottom w:val="single" w:sz="4" w:space="0" w:color="auto"/>
              <w:right w:val="single" w:sz="4" w:space="0" w:color="auto"/>
            </w:tcBorders>
            <w:shd w:val="clear" w:color="000000" w:fill="FFCC99"/>
            <w:noWrap/>
            <w:vAlign w:val="center"/>
            <w:hideMark/>
          </w:tcPr>
          <w:p w14:paraId="708B5772" w14:textId="77777777" w:rsidR="000271A1" w:rsidRPr="000271A1" w:rsidRDefault="000271A1" w:rsidP="000271A1">
            <w:pPr>
              <w:spacing w:after="0" w:line="240" w:lineRule="auto"/>
              <w:jc w:val="right"/>
              <w:rPr>
                <w:rFonts w:ascii="Tahoma" w:eastAsia="Times New Roman" w:hAnsi="Tahoma" w:cs="Tahoma"/>
                <w:sz w:val="20"/>
                <w:szCs w:val="20"/>
                <w:lang w:eastAsia="hr-HR"/>
              </w:rPr>
            </w:pPr>
            <w:r w:rsidRPr="000271A1">
              <w:rPr>
                <w:rFonts w:ascii="Tahoma" w:eastAsia="Times New Roman" w:hAnsi="Tahoma" w:cs="Tahoma"/>
                <w:sz w:val="20"/>
                <w:szCs w:val="20"/>
                <w:lang w:eastAsia="hr-HR"/>
              </w:rPr>
              <w:t>7</w:t>
            </w:r>
          </w:p>
        </w:tc>
        <w:tc>
          <w:tcPr>
            <w:tcW w:w="519" w:type="dxa"/>
            <w:tcBorders>
              <w:top w:val="nil"/>
              <w:left w:val="nil"/>
              <w:bottom w:val="single" w:sz="4" w:space="0" w:color="auto"/>
              <w:right w:val="single" w:sz="4" w:space="0" w:color="auto"/>
            </w:tcBorders>
            <w:shd w:val="clear" w:color="000000" w:fill="FFFF00"/>
            <w:noWrap/>
            <w:vAlign w:val="center"/>
            <w:hideMark/>
          </w:tcPr>
          <w:p w14:paraId="2CA6AD2C" w14:textId="77777777" w:rsidR="000271A1" w:rsidRPr="000271A1" w:rsidRDefault="000271A1" w:rsidP="000271A1">
            <w:pPr>
              <w:spacing w:after="0" w:line="240" w:lineRule="auto"/>
              <w:jc w:val="right"/>
              <w:rPr>
                <w:rFonts w:ascii="Tahoma" w:eastAsia="Times New Roman" w:hAnsi="Tahoma" w:cs="Tahoma"/>
                <w:sz w:val="20"/>
                <w:szCs w:val="20"/>
                <w:lang w:eastAsia="hr-HR"/>
              </w:rPr>
            </w:pPr>
            <w:r w:rsidRPr="000271A1">
              <w:rPr>
                <w:rFonts w:ascii="Tahoma" w:eastAsia="Times New Roman" w:hAnsi="Tahoma" w:cs="Tahoma"/>
                <w:sz w:val="20"/>
                <w:szCs w:val="20"/>
                <w:lang w:eastAsia="hr-HR"/>
              </w:rPr>
              <w:t>1</w:t>
            </w:r>
          </w:p>
        </w:tc>
        <w:tc>
          <w:tcPr>
            <w:tcW w:w="365" w:type="dxa"/>
            <w:tcBorders>
              <w:top w:val="nil"/>
              <w:left w:val="nil"/>
              <w:bottom w:val="single" w:sz="4" w:space="0" w:color="auto"/>
              <w:right w:val="single" w:sz="4" w:space="0" w:color="auto"/>
            </w:tcBorders>
            <w:shd w:val="clear" w:color="000000" w:fill="CCFFFF"/>
            <w:noWrap/>
            <w:vAlign w:val="center"/>
            <w:hideMark/>
          </w:tcPr>
          <w:p w14:paraId="114E3519" w14:textId="77777777" w:rsidR="000271A1" w:rsidRPr="000271A1" w:rsidRDefault="000271A1" w:rsidP="000271A1">
            <w:pPr>
              <w:spacing w:after="0" w:line="240" w:lineRule="auto"/>
              <w:jc w:val="right"/>
              <w:rPr>
                <w:rFonts w:ascii="Tahoma" w:eastAsia="Times New Roman" w:hAnsi="Tahoma" w:cs="Tahoma"/>
                <w:sz w:val="20"/>
                <w:szCs w:val="20"/>
                <w:lang w:eastAsia="hr-HR"/>
              </w:rPr>
            </w:pPr>
            <w:r w:rsidRPr="000271A1">
              <w:rPr>
                <w:rFonts w:ascii="Tahoma" w:eastAsia="Times New Roman" w:hAnsi="Tahoma" w:cs="Tahoma"/>
                <w:sz w:val="20"/>
                <w:szCs w:val="20"/>
                <w:lang w:eastAsia="hr-HR"/>
              </w:rPr>
              <w:t> </w:t>
            </w:r>
          </w:p>
        </w:tc>
        <w:tc>
          <w:tcPr>
            <w:tcW w:w="379" w:type="dxa"/>
            <w:tcBorders>
              <w:top w:val="nil"/>
              <w:left w:val="nil"/>
              <w:bottom w:val="single" w:sz="4" w:space="0" w:color="auto"/>
              <w:right w:val="single" w:sz="4" w:space="0" w:color="auto"/>
            </w:tcBorders>
            <w:shd w:val="clear" w:color="000000" w:fill="CCFFFF"/>
            <w:noWrap/>
            <w:vAlign w:val="center"/>
            <w:hideMark/>
          </w:tcPr>
          <w:p w14:paraId="0057B7D5" w14:textId="77777777" w:rsidR="000271A1" w:rsidRPr="000271A1" w:rsidRDefault="000271A1" w:rsidP="000271A1">
            <w:pPr>
              <w:spacing w:after="0" w:line="240" w:lineRule="auto"/>
              <w:jc w:val="right"/>
              <w:rPr>
                <w:rFonts w:ascii="Tahoma" w:eastAsia="Times New Roman" w:hAnsi="Tahoma" w:cs="Tahoma"/>
                <w:sz w:val="20"/>
                <w:szCs w:val="20"/>
                <w:lang w:eastAsia="hr-HR"/>
              </w:rPr>
            </w:pPr>
            <w:r w:rsidRPr="000271A1">
              <w:rPr>
                <w:rFonts w:ascii="Tahoma" w:eastAsia="Times New Roman" w:hAnsi="Tahoma" w:cs="Tahoma"/>
                <w:sz w:val="20"/>
                <w:szCs w:val="20"/>
                <w:lang w:eastAsia="hr-HR"/>
              </w:rPr>
              <w:t>1</w:t>
            </w:r>
          </w:p>
        </w:tc>
        <w:tc>
          <w:tcPr>
            <w:tcW w:w="698" w:type="dxa"/>
            <w:tcBorders>
              <w:top w:val="nil"/>
              <w:left w:val="nil"/>
              <w:bottom w:val="single" w:sz="4" w:space="0" w:color="auto"/>
              <w:right w:val="single" w:sz="4" w:space="0" w:color="auto"/>
            </w:tcBorders>
            <w:shd w:val="clear" w:color="000000" w:fill="FFFF99"/>
            <w:noWrap/>
            <w:vAlign w:val="center"/>
            <w:hideMark/>
          </w:tcPr>
          <w:p w14:paraId="40341F40" w14:textId="77777777" w:rsidR="000271A1" w:rsidRPr="000271A1" w:rsidRDefault="000271A1" w:rsidP="000271A1">
            <w:pPr>
              <w:spacing w:after="0" w:line="240" w:lineRule="auto"/>
              <w:jc w:val="right"/>
              <w:rPr>
                <w:rFonts w:ascii="Tahoma" w:eastAsia="Times New Roman" w:hAnsi="Tahoma" w:cs="Tahoma"/>
                <w:sz w:val="20"/>
                <w:szCs w:val="20"/>
                <w:lang w:eastAsia="hr-HR"/>
              </w:rPr>
            </w:pPr>
            <w:r w:rsidRPr="000271A1">
              <w:rPr>
                <w:rFonts w:ascii="Tahoma" w:eastAsia="Times New Roman" w:hAnsi="Tahoma" w:cs="Tahoma"/>
                <w:sz w:val="20"/>
                <w:szCs w:val="20"/>
                <w:lang w:eastAsia="hr-HR"/>
              </w:rPr>
              <w:t> </w:t>
            </w:r>
          </w:p>
        </w:tc>
        <w:tc>
          <w:tcPr>
            <w:tcW w:w="698" w:type="dxa"/>
            <w:tcBorders>
              <w:top w:val="nil"/>
              <w:left w:val="nil"/>
              <w:bottom w:val="single" w:sz="4" w:space="0" w:color="auto"/>
              <w:right w:val="single" w:sz="4" w:space="0" w:color="auto"/>
            </w:tcBorders>
            <w:shd w:val="clear" w:color="000000" w:fill="FFFF99"/>
            <w:noWrap/>
            <w:vAlign w:val="center"/>
            <w:hideMark/>
          </w:tcPr>
          <w:p w14:paraId="2A9FAEEC" w14:textId="77777777" w:rsidR="000271A1" w:rsidRPr="000271A1" w:rsidRDefault="000271A1" w:rsidP="000271A1">
            <w:pPr>
              <w:spacing w:after="0" w:line="240" w:lineRule="auto"/>
              <w:jc w:val="right"/>
              <w:rPr>
                <w:rFonts w:ascii="Tahoma" w:eastAsia="Times New Roman" w:hAnsi="Tahoma" w:cs="Tahoma"/>
                <w:sz w:val="20"/>
                <w:szCs w:val="20"/>
                <w:lang w:eastAsia="hr-HR"/>
              </w:rPr>
            </w:pPr>
            <w:r w:rsidRPr="000271A1">
              <w:rPr>
                <w:rFonts w:ascii="Tahoma" w:eastAsia="Times New Roman" w:hAnsi="Tahoma" w:cs="Tahoma"/>
                <w:sz w:val="20"/>
                <w:szCs w:val="20"/>
                <w:lang w:eastAsia="hr-HR"/>
              </w:rPr>
              <w:t>1</w:t>
            </w:r>
          </w:p>
        </w:tc>
        <w:tc>
          <w:tcPr>
            <w:tcW w:w="512" w:type="dxa"/>
            <w:tcBorders>
              <w:top w:val="nil"/>
              <w:left w:val="nil"/>
              <w:bottom w:val="single" w:sz="4" w:space="0" w:color="auto"/>
              <w:right w:val="single" w:sz="4" w:space="0" w:color="auto"/>
            </w:tcBorders>
            <w:shd w:val="clear" w:color="000000" w:fill="FFFF99"/>
            <w:noWrap/>
            <w:vAlign w:val="center"/>
            <w:hideMark/>
          </w:tcPr>
          <w:p w14:paraId="4B065F56" w14:textId="77777777" w:rsidR="000271A1" w:rsidRPr="000271A1" w:rsidRDefault="000271A1" w:rsidP="000271A1">
            <w:pPr>
              <w:spacing w:after="0" w:line="240" w:lineRule="auto"/>
              <w:jc w:val="right"/>
              <w:rPr>
                <w:rFonts w:ascii="Tahoma" w:eastAsia="Times New Roman" w:hAnsi="Tahoma" w:cs="Tahoma"/>
                <w:sz w:val="20"/>
                <w:szCs w:val="20"/>
                <w:lang w:eastAsia="hr-HR"/>
              </w:rPr>
            </w:pPr>
            <w:r w:rsidRPr="000271A1">
              <w:rPr>
                <w:rFonts w:ascii="Tahoma" w:eastAsia="Times New Roman" w:hAnsi="Tahoma" w:cs="Tahoma"/>
                <w:sz w:val="20"/>
                <w:szCs w:val="20"/>
                <w:lang w:eastAsia="hr-HR"/>
              </w:rPr>
              <w:t>1</w:t>
            </w:r>
          </w:p>
        </w:tc>
        <w:tc>
          <w:tcPr>
            <w:tcW w:w="698" w:type="dxa"/>
            <w:tcBorders>
              <w:top w:val="nil"/>
              <w:left w:val="nil"/>
              <w:bottom w:val="single" w:sz="4" w:space="0" w:color="auto"/>
              <w:right w:val="single" w:sz="4" w:space="0" w:color="auto"/>
            </w:tcBorders>
            <w:shd w:val="clear" w:color="000000" w:fill="FFFF99"/>
            <w:noWrap/>
            <w:vAlign w:val="center"/>
            <w:hideMark/>
          </w:tcPr>
          <w:p w14:paraId="4E844AA5" w14:textId="77777777" w:rsidR="000271A1" w:rsidRPr="000271A1" w:rsidRDefault="000271A1" w:rsidP="000271A1">
            <w:pPr>
              <w:spacing w:after="0" w:line="240" w:lineRule="auto"/>
              <w:jc w:val="right"/>
              <w:rPr>
                <w:rFonts w:ascii="Tahoma" w:eastAsia="Times New Roman" w:hAnsi="Tahoma" w:cs="Tahoma"/>
                <w:sz w:val="20"/>
                <w:szCs w:val="20"/>
                <w:lang w:eastAsia="hr-HR"/>
              </w:rPr>
            </w:pPr>
            <w:r w:rsidRPr="000271A1">
              <w:rPr>
                <w:rFonts w:ascii="Tahoma" w:eastAsia="Times New Roman" w:hAnsi="Tahoma" w:cs="Tahoma"/>
                <w:sz w:val="20"/>
                <w:szCs w:val="20"/>
                <w:lang w:eastAsia="hr-HR"/>
              </w:rPr>
              <w:t> </w:t>
            </w:r>
          </w:p>
        </w:tc>
        <w:tc>
          <w:tcPr>
            <w:tcW w:w="444" w:type="dxa"/>
            <w:tcBorders>
              <w:top w:val="nil"/>
              <w:left w:val="nil"/>
              <w:bottom w:val="single" w:sz="4" w:space="0" w:color="auto"/>
              <w:right w:val="single" w:sz="4" w:space="0" w:color="auto"/>
            </w:tcBorders>
            <w:shd w:val="clear" w:color="000000" w:fill="FFFF99"/>
            <w:noWrap/>
            <w:vAlign w:val="center"/>
            <w:hideMark/>
          </w:tcPr>
          <w:p w14:paraId="44308511" w14:textId="77777777" w:rsidR="000271A1" w:rsidRPr="000271A1" w:rsidRDefault="000271A1" w:rsidP="000271A1">
            <w:pPr>
              <w:spacing w:after="0" w:line="240" w:lineRule="auto"/>
              <w:jc w:val="right"/>
              <w:rPr>
                <w:rFonts w:ascii="Tahoma" w:eastAsia="Times New Roman" w:hAnsi="Tahoma" w:cs="Tahoma"/>
                <w:sz w:val="20"/>
                <w:szCs w:val="20"/>
                <w:lang w:eastAsia="hr-HR"/>
              </w:rPr>
            </w:pPr>
            <w:r w:rsidRPr="000271A1">
              <w:rPr>
                <w:rFonts w:ascii="Tahoma" w:eastAsia="Times New Roman" w:hAnsi="Tahoma" w:cs="Tahoma"/>
                <w:sz w:val="20"/>
                <w:szCs w:val="20"/>
                <w:lang w:eastAsia="hr-HR"/>
              </w:rPr>
              <w:t> </w:t>
            </w:r>
          </w:p>
        </w:tc>
        <w:tc>
          <w:tcPr>
            <w:tcW w:w="698" w:type="dxa"/>
            <w:tcBorders>
              <w:top w:val="nil"/>
              <w:left w:val="nil"/>
              <w:bottom w:val="single" w:sz="4" w:space="0" w:color="auto"/>
              <w:right w:val="single" w:sz="4" w:space="0" w:color="auto"/>
            </w:tcBorders>
            <w:shd w:val="clear" w:color="000000" w:fill="FFFF99"/>
            <w:noWrap/>
            <w:vAlign w:val="center"/>
            <w:hideMark/>
          </w:tcPr>
          <w:p w14:paraId="146DB0F3" w14:textId="77777777" w:rsidR="000271A1" w:rsidRPr="000271A1" w:rsidRDefault="000271A1" w:rsidP="000271A1">
            <w:pPr>
              <w:spacing w:after="0" w:line="240" w:lineRule="auto"/>
              <w:jc w:val="right"/>
              <w:rPr>
                <w:rFonts w:ascii="Tahoma" w:eastAsia="Times New Roman" w:hAnsi="Tahoma" w:cs="Tahoma"/>
                <w:sz w:val="20"/>
                <w:szCs w:val="20"/>
                <w:lang w:eastAsia="hr-HR"/>
              </w:rPr>
            </w:pPr>
            <w:r w:rsidRPr="000271A1">
              <w:rPr>
                <w:rFonts w:ascii="Tahoma" w:eastAsia="Times New Roman" w:hAnsi="Tahoma" w:cs="Tahoma"/>
                <w:sz w:val="20"/>
                <w:szCs w:val="20"/>
                <w:lang w:eastAsia="hr-HR"/>
              </w:rPr>
              <w:t> </w:t>
            </w:r>
          </w:p>
        </w:tc>
        <w:tc>
          <w:tcPr>
            <w:tcW w:w="444" w:type="dxa"/>
            <w:gridSpan w:val="2"/>
            <w:tcBorders>
              <w:top w:val="nil"/>
              <w:left w:val="nil"/>
              <w:bottom w:val="single" w:sz="4" w:space="0" w:color="auto"/>
              <w:right w:val="single" w:sz="4" w:space="0" w:color="auto"/>
            </w:tcBorders>
            <w:shd w:val="clear" w:color="000000" w:fill="FF9900"/>
            <w:noWrap/>
            <w:vAlign w:val="center"/>
            <w:hideMark/>
          </w:tcPr>
          <w:p w14:paraId="4F2A109A" w14:textId="77777777" w:rsidR="000271A1" w:rsidRPr="000271A1" w:rsidRDefault="000271A1" w:rsidP="000271A1">
            <w:pPr>
              <w:spacing w:after="0" w:line="240" w:lineRule="auto"/>
              <w:jc w:val="right"/>
              <w:rPr>
                <w:rFonts w:ascii="Tahoma" w:eastAsia="Times New Roman" w:hAnsi="Tahoma" w:cs="Tahoma"/>
                <w:sz w:val="20"/>
                <w:szCs w:val="20"/>
                <w:lang w:eastAsia="hr-HR"/>
              </w:rPr>
            </w:pPr>
            <w:r w:rsidRPr="000271A1">
              <w:rPr>
                <w:rFonts w:ascii="Tahoma" w:eastAsia="Times New Roman" w:hAnsi="Tahoma" w:cs="Tahoma"/>
                <w:sz w:val="20"/>
                <w:szCs w:val="20"/>
                <w:lang w:eastAsia="hr-HR"/>
              </w:rPr>
              <w:t> </w:t>
            </w:r>
          </w:p>
        </w:tc>
        <w:tc>
          <w:tcPr>
            <w:tcW w:w="521" w:type="dxa"/>
            <w:tcBorders>
              <w:top w:val="nil"/>
              <w:left w:val="nil"/>
              <w:bottom w:val="single" w:sz="4" w:space="0" w:color="auto"/>
              <w:right w:val="single" w:sz="4" w:space="0" w:color="auto"/>
            </w:tcBorders>
            <w:shd w:val="clear" w:color="000000" w:fill="FF9900"/>
            <w:noWrap/>
            <w:vAlign w:val="center"/>
            <w:hideMark/>
          </w:tcPr>
          <w:p w14:paraId="1BCBB1E0" w14:textId="77777777" w:rsidR="000271A1" w:rsidRPr="000271A1" w:rsidRDefault="000271A1" w:rsidP="000271A1">
            <w:pPr>
              <w:spacing w:after="0" w:line="240" w:lineRule="auto"/>
              <w:jc w:val="right"/>
              <w:rPr>
                <w:rFonts w:ascii="Tahoma" w:eastAsia="Times New Roman" w:hAnsi="Tahoma" w:cs="Tahoma"/>
                <w:sz w:val="20"/>
                <w:szCs w:val="20"/>
                <w:lang w:eastAsia="hr-HR"/>
              </w:rPr>
            </w:pPr>
            <w:r w:rsidRPr="000271A1">
              <w:rPr>
                <w:rFonts w:ascii="Tahoma" w:eastAsia="Times New Roman" w:hAnsi="Tahoma" w:cs="Tahoma"/>
                <w:sz w:val="20"/>
                <w:szCs w:val="20"/>
                <w:lang w:eastAsia="hr-HR"/>
              </w:rPr>
              <w:t> </w:t>
            </w:r>
          </w:p>
        </w:tc>
        <w:tc>
          <w:tcPr>
            <w:tcW w:w="521" w:type="dxa"/>
            <w:tcBorders>
              <w:top w:val="nil"/>
              <w:left w:val="nil"/>
              <w:bottom w:val="single" w:sz="4" w:space="0" w:color="auto"/>
              <w:right w:val="single" w:sz="4" w:space="0" w:color="auto"/>
            </w:tcBorders>
            <w:shd w:val="clear" w:color="000000" w:fill="FF9900"/>
            <w:noWrap/>
            <w:vAlign w:val="center"/>
            <w:hideMark/>
          </w:tcPr>
          <w:p w14:paraId="70738E40" w14:textId="77777777" w:rsidR="000271A1" w:rsidRPr="000271A1" w:rsidRDefault="000271A1" w:rsidP="000271A1">
            <w:pPr>
              <w:spacing w:after="0" w:line="240" w:lineRule="auto"/>
              <w:jc w:val="right"/>
              <w:rPr>
                <w:rFonts w:ascii="Tahoma" w:eastAsia="Times New Roman" w:hAnsi="Tahoma" w:cs="Tahoma"/>
                <w:sz w:val="20"/>
                <w:szCs w:val="20"/>
                <w:lang w:eastAsia="hr-HR"/>
              </w:rPr>
            </w:pPr>
            <w:r w:rsidRPr="000271A1">
              <w:rPr>
                <w:rFonts w:ascii="Tahoma" w:eastAsia="Times New Roman" w:hAnsi="Tahoma" w:cs="Tahoma"/>
                <w:sz w:val="20"/>
                <w:szCs w:val="20"/>
                <w:lang w:eastAsia="hr-HR"/>
              </w:rPr>
              <w:t>1</w:t>
            </w:r>
          </w:p>
        </w:tc>
        <w:tc>
          <w:tcPr>
            <w:tcW w:w="521" w:type="dxa"/>
            <w:gridSpan w:val="2"/>
            <w:tcBorders>
              <w:top w:val="nil"/>
              <w:left w:val="nil"/>
              <w:bottom w:val="single" w:sz="4" w:space="0" w:color="auto"/>
              <w:right w:val="single" w:sz="4" w:space="0" w:color="auto"/>
            </w:tcBorders>
            <w:shd w:val="clear" w:color="000000" w:fill="FFFF00"/>
            <w:vAlign w:val="center"/>
            <w:hideMark/>
          </w:tcPr>
          <w:p w14:paraId="1C253014" w14:textId="77777777" w:rsidR="000271A1" w:rsidRPr="000271A1" w:rsidRDefault="000271A1" w:rsidP="000271A1">
            <w:pPr>
              <w:spacing w:after="0" w:line="240" w:lineRule="auto"/>
              <w:jc w:val="right"/>
              <w:rPr>
                <w:rFonts w:ascii="Tahoma" w:eastAsia="Times New Roman" w:hAnsi="Tahoma" w:cs="Tahoma"/>
                <w:sz w:val="20"/>
                <w:szCs w:val="20"/>
                <w:lang w:eastAsia="hr-HR"/>
              </w:rPr>
            </w:pPr>
            <w:r w:rsidRPr="000271A1">
              <w:rPr>
                <w:rFonts w:ascii="Tahoma" w:eastAsia="Times New Roman" w:hAnsi="Tahoma" w:cs="Tahoma"/>
                <w:sz w:val="20"/>
                <w:szCs w:val="20"/>
                <w:lang w:eastAsia="hr-HR"/>
              </w:rPr>
              <w:t>1</w:t>
            </w:r>
          </w:p>
        </w:tc>
        <w:tc>
          <w:tcPr>
            <w:tcW w:w="702" w:type="dxa"/>
            <w:tcBorders>
              <w:top w:val="nil"/>
              <w:left w:val="nil"/>
              <w:bottom w:val="single" w:sz="4" w:space="0" w:color="auto"/>
              <w:right w:val="single" w:sz="4" w:space="0" w:color="auto"/>
            </w:tcBorders>
            <w:shd w:val="clear" w:color="000000" w:fill="FF9900"/>
            <w:vAlign w:val="center"/>
            <w:hideMark/>
          </w:tcPr>
          <w:p w14:paraId="59B2286F" w14:textId="77777777" w:rsidR="000271A1" w:rsidRPr="000271A1" w:rsidRDefault="000271A1" w:rsidP="000271A1">
            <w:pPr>
              <w:spacing w:after="0" w:line="240" w:lineRule="auto"/>
              <w:jc w:val="right"/>
              <w:rPr>
                <w:rFonts w:ascii="Tahoma" w:eastAsia="Times New Roman" w:hAnsi="Tahoma" w:cs="Tahoma"/>
                <w:sz w:val="20"/>
                <w:szCs w:val="20"/>
                <w:lang w:eastAsia="hr-HR"/>
              </w:rPr>
            </w:pPr>
            <w:r w:rsidRPr="000271A1">
              <w:rPr>
                <w:rFonts w:ascii="Tahoma" w:eastAsia="Times New Roman" w:hAnsi="Tahoma" w:cs="Tahoma"/>
                <w:sz w:val="20"/>
                <w:szCs w:val="20"/>
                <w:lang w:eastAsia="hr-HR"/>
              </w:rPr>
              <w:t>7</w:t>
            </w:r>
          </w:p>
        </w:tc>
        <w:tc>
          <w:tcPr>
            <w:tcW w:w="907" w:type="dxa"/>
            <w:tcBorders>
              <w:top w:val="nil"/>
              <w:left w:val="nil"/>
              <w:bottom w:val="single" w:sz="4" w:space="0" w:color="auto"/>
              <w:right w:val="single" w:sz="4" w:space="0" w:color="auto"/>
            </w:tcBorders>
            <w:shd w:val="clear" w:color="000000" w:fill="FF9900"/>
            <w:vAlign w:val="center"/>
            <w:hideMark/>
          </w:tcPr>
          <w:p w14:paraId="22C61ADE" w14:textId="77777777" w:rsidR="000271A1" w:rsidRPr="000271A1" w:rsidRDefault="000271A1" w:rsidP="000271A1">
            <w:pPr>
              <w:spacing w:after="0" w:line="240" w:lineRule="auto"/>
              <w:jc w:val="right"/>
              <w:rPr>
                <w:rFonts w:ascii="Tahoma" w:eastAsia="Times New Roman" w:hAnsi="Tahoma" w:cs="Tahoma"/>
                <w:sz w:val="20"/>
                <w:szCs w:val="20"/>
                <w:lang w:eastAsia="hr-HR"/>
              </w:rPr>
            </w:pPr>
            <w:r w:rsidRPr="000271A1">
              <w:rPr>
                <w:rFonts w:ascii="Tahoma" w:eastAsia="Times New Roman" w:hAnsi="Tahoma" w:cs="Tahoma"/>
                <w:sz w:val="20"/>
                <w:szCs w:val="20"/>
                <w:lang w:eastAsia="hr-HR"/>
              </w:rPr>
              <w:t> </w:t>
            </w:r>
          </w:p>
        </w:tc>
        <w:tc>
          <w:tcPr>
            <w:tcW w:w="553" w:type="dxa"/>
            <w:tcBorders>
              <w:top w:val="nil"/>
              <w:left w:val="nil"/>
              <w:bottom w:val="single" w:sz="4" w:space="0" w:color="auto"/>
              <w:right w:val="single" w:sz="4" w:space="0" w:color="auto"/>
            </w:tcBorders>
            <w:shd w:val="clear" w:color="000000" w:fill="FF9900"/>
            <w:vAlign w:val="center"/>
            <w:hideMark/>
          </w:tcPr>
          <w:p w14:paraId="250189BF" w14:textId="77777777" w:rsidR="000271A1" w:rsidRPr="000271A1" w:rsidRDefault="000271A1" w:rsidP="000271A1">
            <w:pPr>
              <w:spacing w:after="0" w:line="240" w:lineRule="auto"/>
              <w:jc w:val="right"/>
              <w:rPr>
                <w:rFonts w:ascii="Tahoma" w:eastAsia="Times New Roman" w:hAnsi="Tahoma" w:cs="Tahoma"/>
                <w:sz w:val="20"/>
                <w:szCs w:val="20"/>
                <w:lang w:eastAsia="hr-HR"/>
              </w:rPr>
            </w:pPr>
            <w:r w:rsidRPr="000271A1">
              <w:rPr>
                <w:rFonts w:ascii="Tahoma" w:eastAsia="Times New Roman" w:hAnsi="Tahoma" w:cs="Tahoma"/>
                <w:sz w:val="20"/>
                <w:szCs w:val="20"/>
                <w:lang w:eastAsia="hr-HR"/>
              </w:rPr>
              <w:t> </w:t>
            </w:r>
          </w:p>
        </w:tc>
        <w:tc>
          <w:tcPr>
            <w:tcW w:w="918" w:type="dxa"/>
            <w:tcBorders>
              <w:top w:val="nil"/>
              <w:left w:val="nil"/>
              <w:bottom w:val="single" w:sz="4" w:space="0" w:color="auto"/>
              <w:right w:val="single" w:sz="4" w:space="0" w:color="auto"/>
            </w:tcBorders>
            <w:shd w:val="clear" w:color="000000" w:fill="FF9900"/>
            <w:vAlign w:val="center"/>
            <w:hideMark/>
          </w:tcPr>
          <w:p w14:paraId="470E28B9" w14:textId="77777777" w:rsidR="000271A1" w:rsidRPr="000271A1" w:rsidRDefault="000271A1" w:rsidP="000271A1">
            <w:pPr>
              <w:spacing w:after="0" w:line="240" w:lineRule="auto"/>
              <w:jc w:val="right"/>
              <w:rPr>
                <w:rFonts w:ascii="Tahoma" w:eastAsia="Times New Roman" w:hAnsi="Tahoma" w:cs="Tahoma"/>
                <w:sz w:val="20"/>
                <w:szCs w:val="20"/>
                <w:lang w:eastAsia="hr-HR"/>
              </w:rPr>
            </w:pPr>
            <w:r w:rsidRPr="000271A1">
              <w:rPr>
                <w:rFonts w:ascii="Tahoma" w:eastAsia="Times New Roman" w:hAnsi="Tahoma" w:cs="Tahoma"/>
                <w:sz w:val="20"/>
                <w:szCs w:val="20"/>
                <w:lang w:eastAsia="hr-HR"/>
              </w:rPr>
              <w:t> </w:t>
            </w:r>
          </w:p>
        </w:tc>
        <w:tc>
          <w:tcPr>
            <w:tcW w:w="428" w:type="dxa"/>
            <w:tcBorders>
              <w:top w:val="nil"/>
              <w:left w:val="nil"/>
              <w:bottom w:val="single" w:sz="4" w:space="0" w:color="auto"/>
              <w:right w:val="single" w:sz="4" w:space="0" w:color="auto"/>
            </w:tcBorders>
            <w:shd w:val="clear" w:color="000000" w:fill="CCFFFF"/>
            <w:noWrap/>
            <w:vAlign w:val="center"/>
            <w:hideMark/>
          </w:tcPr>
          <w:p w14:paraId="053D0DDD" w14:textId="77777777" w:rsidR="000271A1" w:rsidRPr="000271A1" w:rsidRDefault="000271A1" w:rsidP="000271A1">
            <w:pPr>
              <w:spacing w:after="0" w:line="240" w:lineRule="auto"/>
              <w:jc w:val="right"/>
              <w:rPr>
                <w:rFonts w:ascii="Tahoma" w:eastAsia="Times New Roman" w:hAnsi="Tahoma" w:cs="Tahoma"/>
                <w:sz w:val="20"/>
                <w:szCs w:val="20"/>
                <w:lang w:eastAsia="hr-HR"/>
              </w:rPr>
            </w:pPr>
            <w:r w:rsidRPr="000271A1">
              <w:rPr>
                <w:rFonts w:ascii="Tahoma" w:eastAsia="Times New Roman" w:hAnsi="Tahoma" w:cs="Tahoma"/>
                <w:sz w:val="20"/>
                <w:szCs w:val="20"/>
                <w:lang w:eastAsia="hr-HR"/>
              </w:rPr>
              <w:t> </w:t>
            </w:r>
          </w:p>
        </w:tc>
        <w:tc>
          <w:tcPr>
            <w:tcW w:w="428" w:type="dxa"/>
            <w:tcBorders>
              <w:top w:val="nil"/>
              <w:left w:val="nil"/>
              <w:bottom w:val="single" w:sz="4" w:space="0" w:color="auto"/>
              <w:right w:val="single" w:sz="4" w:space="0" w:color="auto"/>
            </w:tcBorders>
            <w:shd w:val="clear" w:color="000000" w:fill="CCFFFF"/>
            <w:noWrap/>
            <w:vAlign w:val="center"/>
            <w:hideMark/>
          </w:tcPr>
          <w:p w14:paraId="124983CC" w14:textId="77777777" w:rsidR="000271A1" w:rsidRPr="000271A1" w:rsidRDefault="000271A1" w:rsidP="000271A1">
            <w:pPr>
              <w:spacing w:after="0" w:line="240" w:lineRule="auto"/>
              <w:jc w:val="right"/>
              <w:rPr>
                <w:rFonts w:ascii="Tahoma" w:eastAsia="Times New Roman" w:hAnsi="Tahoma" w:cs="Tahoma"/>
                <w:sz w:val="20"/>
                <w:szCs w:val="20"/>
                <w:lang w:eastAsia="hr-HR"/>
              </w:rPr>
            </w:pPr>
            <w:r w:rsidRPr="000271A1">
              <w:rPr>
                <w:rFonts w:ascii="Tahoma" w:eastAsia="Times New Roman" w:hAnsi="Tahoma" w:cs="Tahoma"/>
                <w:sz w:val="20"/>
                <w:szCs w:val="20"/>
                <w:lang w:eastAsia="hr-HR"/>
              </w:rPr>
              <w:t> </w:t>
            </w:r>
          </w:p>
        </w:tc>
        <w:tc>
          <w:tcPr>
            <w:tcW w:w="425" w:type="dxa"/>
            <w:tcBorders>
              <w:top w:val="nil"/>
              <w:left w:val="nil"/>
              <w:bottom w:val="single" w:sz="4" w:space="0" w:color="auto"/>
              <w:right w:val="single" w:sz="4" w:space="0" w:color="auto"/>
            </w:tcBorders>
            <w:shd w:val="clear" w:color="000000" w:fill="CCFFFF"/>
            <w:noWrap/>
            <w:vAlign w:val="center"/>
            <w:hideMark/>
          </w:tcPr>
          <w:p w14:paraId="2951D88A" w14:textId="77777777" w:rsidR="000271A1" w:rsidRPr="000271A1" w:rsidRDefault="000271A1" w:rsidP="000271A1">
            <w:pPr>
              <w:spacing w:after="0" w:line="240" w:lineRule="auto"/>
              <w:jc w:val="right"/>
              <w:rPr>
                <w:rFonts w:ascii="Tahoma" w:eastAsia="Times New Roman" w:hAnsi="Tahoma" w:cs="Tahoma"/>
                <w:sz w:val="20"/>
                <w:szCs w:val="20"/>
                <w:lang w:eastAsia="hr-HR"/>
              </w:rPr>
            </w:pPr>
            <w:r w:rsidRPr="000271A1">
              <w:rPr>
                <w:rFonts w:ascii="Tahoma" w:eastAsia="Times New Roman" w:hAnsi="Tahoma" w:cs="Tahoma"/>
                <w:sz w:val="20"/>
                <w:szCs w:val="20"/>
                <w:lang w:eastAsia="hr-HR"/>
              </w:rPr>
              <w:t> </w:t>
            </w:r>
          </w:p>
        </w:tc>
        <w:tc>
          <w:tcPr>
            <w:tcW w:w="425" w:type="dxa"/>
            <w:tcBorders>
              <w:top w:val="nil"/>
              <w:left w:val="nil"/>
              <w:bottom w:val="single" w:sz="4" w:space="0" w:color="auto"/>
              <w:right w:val="nil"/>
            </w:tcBorders>
            <w:shd w:val="clear" w:color="000000" w:fill="33CCCC"/>
            <w:noWrap/>
            <w:vAlign w:val="center"/>
            <w:hideMark/>
          </w:tcPr>
          <w:p w14:paraId="43ECFF26" w14:textId="77777777" w:rsidR="000271A1" w:rsidRPr="000271A1" w:rsidRDefault="000271A1" w:rsidP="000271A1">
            <w:pPr>
              <w:spacing w:after="0" w:line="240" w:lineRule="auto"/>
              <w:jc w:val="right"/>
              <w:rPr>
                <w:rFonts w:ascii="Tahoma" w:eastAsia="Times New Roman" w:hAnsi="Tahoma" w:cs="Tahoma"/>
                <w:sz w:val="20"/>
                <w:szCs w:val="20"/>
                <w:lang w:eastAsia="hr-HR"/>
              </w:rPr>
            </w:pPr>
            <w:r w:rsidRPr="000271A1">
              <w:rPr>
                <w:rFonts w:ascii="Tahoma" w:eastAsia="Times New Roman" w:hAnsi="Tahoma" w:cs="Tahoma"/>
                <w:sz w:val="20"/>
                <w:szCs w:val="20"/>
                <w:lang w:eastAsia="hr-HR"/>
              </w:rPr>
              <w:t>1</w:t>
            </w:r>
          </w:p>
        </w:tc>
        <w:tc>
          <w:tcPr>
            <w:tcW w:w="440" w:type="dxa"/>
            <w:gridSpan w:val="2"/>
            <w:tcBorders>
              <w:top w:val="nil"/>
              <w:left w:val="single" w:sz="4" w:space="0" w:color="auto"/>
              <w:bottom w:val="single" w:sz="4" w:space="0" w:color="auto"/>
              <w:right w:val="single" w:sz="8" w:space="0" w:color="auto"/>
            </w:tcBorders>
            <w:shd w:val="clear" w:color="000000" w:fill="33CCCC"/>
            <w:noWrap/>
            <w:vAlign w:val="center"/>
            <w:hideMark/>
          </w:tcPr>
          <w:p w14:paraId="7605268C" w14:textId="77777777" w:rsidR="000271A1" w:rsidRPr="000271A1" w:rsidRDefault="000271A1" w:rsidP="000271A1">
            <w:pPr>
              <w:spacing w:after="0" w:line="240" w:lineRule="auto"/>
              <w:jc w:val="right"/>
              <w:rPr>
                <w:rFonts w:ascii="Tahoma" w:eastAsia="Times New Roman" w:hAnsi="Tahoma" w:cs="Tahoma"/>
                <w:sz w:val="20"/>
                <w:szCs w:val="20"/>
                <w:lang w:eastAsia="hr-HR"/>
              </w:rPr>
            </w:pPr>
            <w:r w:rsidRPr="000271A1">
              <w:rPr>
                <w:rFonts w:ascii="Tahoma" w:eastAsia="Times New Roman" w:hAnsi="Tahoma" w:cs="Tahoma"/>
                <w:sz w:val="20"/>
                <w:szCs w:val="20"/>
                <w:lang w:eastAsia="hr-HR"/>
              </w:rPr>
              <w:t> </w:t>
            </w:r>
          </w:p>
        </w:tc>
        <w:tc>
          <w:tcPr>
            <w:tcW w:w="236" w:type="dxa"/>
            <w:vAlign w:val="center"/>
            <w:hideMark/>
          </w:tcPr>
          <w:p w14:paraId="3EA4CF95" w14:textId="77777777" w:rsidR="000271A1" w:rsidRPr="000271A1" w:rsidRDefault="000271A1" w:rsidP="000271A1">
            <w:pPr>
              <w:spacing w:after="0" w:line="240" w:lineRule="auto"/>
              <w:rPr>
                <w:rFonts w:ascii="Times New Roman" w:eastAsia="Times New Roman" w:hAnsi="Times New Roman" w:cs="Times New Roman"/>
                <w:sz w:val="20"/>
                <w:szCs w:val="20"/>
                <w:lang w:eastAsia="hr-HR"/>
              </w:rPr>
            </w:pPr>
          </w:p>
        </w:tc>
      </w:tr>
      <w:tr w:rsidR="000271A1" w:rsidRPr="000271A1" w14:paraId="4116A4B6" w14:textId="77777777" w:rsidTr="000271A1">
        <w:trPr>
          <w:gridAfter w:val="1"/>
          <w:wAfter w:w="26" w:type="dxa"/>
          <w:trHeight w:val="300"/>
        </w:trPr>
        <w:tc>
          <w:tcPr>
            <w:tcW w:w="1119" w:type="dxa"/>
            <w:tcBorders>
              <w:top w:val="single" w:sz="4" w:space="0" w:color="auto"/>
              <w:left w:val="single" w:sz="8" w:space="0" w:color="auto"/>
              <w:bottom w:val="single" w:sz="4" w:space="0" w:color="auto"/>
              <w:right w:val="single" w:sz="4" w:space="0" w:color="auto"/>
            </w:tcBorders>
            <w:shd w:val="clear" w:color="000000" w:fill="CCFFCC"/>
            <w:vAlign w:val="center"/>
            <w:hideMark/>
          </w:tcPr>
          <w:p w14:paraId="7A8AF6AA" w14:textId="77777777" w:rsidR="000271A1" w:rsidRPr="000271A1" w:rsidRDefault="000271A1" w:rsidP="000271A1">
            <w:pPr>
              <w:spacing w:after="0" w:line="240" w:lineRule="auto"/>
              <w:rPr>
                <w:rFonts w:ascii="Tahoma" w:eastAsia="Times New Roman" w:hAnsi="Tahoma" w:cs="Tahoma"/>
                <w:sz w:val="20"/>
                <w:szCs w:val="20"/>
                <w:lang w:eastAsia="hr-HR"/>
              </w:rPr>
            </w:pPr>
            <w:r w:rsidRPr="000271A1">
              <w:rPr>
                <w:rFonts w:ascii="Tahoma" w:eastAsia="Times New Roman" w:hAnsi="Tahoma" w:cs="Tahoma"/>
                <w:sz w:val="20"/>
                <w:szCs w:val="20"/>
                <w:lang w:eastAsia="hr-HR"/>
              </w:rPr>
              <w:t>Spol</w:t>
            </w:r>
          </w:p>
        </w:tc>
        <w:tc>
          <w:tcPr>
            <w:tcW w:w="671" w:type="dxa"/>
            <w:tcBorders>
              <w:top w:val="nil"/>
              <w:left w:val="nil"/>
              <w:bottom w:val="single" w:sz="4" w:space="0" w:color="auto"/>
              <w:right w:val="single" w:sz="4" w:space="0" w:color="auto"/>
            </w:tcBorders>
            <w:shd w:val="clear" w:color="000000" w:fill="FFCC99"/>
            <w:noWrap/>
            <w:vAlign w:val="center"/>
            <w:hideMark/>
          </w:tcPr>
          <w:p w14:paraId="4025BE56" w14:textId="77777777" w:rsidR="000271A1" w:rsidRPr="000271A1" w:rsidRDefault="000271A1" w:rsidP="000271A1">
            <w:pPr>
              <w:spacing w:after="0" w:line="240" w:lineRule="auto"/>
              <w:jc w:val="right"/>
              <w:rPr>
                <w:rFonts w:ascii="Tahoma" w:eastAsia="Times New Roman" w:hAnsi="Tahoma" w:cs="Tahoma"/>
                <w:sz w:val="20"/>
                <w:szCs w:val="20"/>
                <w:lang w:eastAsia="hr-HR"/>
              </w:rPr>
            </w:pPr>
            <w:r w:rsidRPr="000271A1">
              <w:rPr>
                <w:rFonts w:ascii="Tahoma" w:eastAsia="Times New Roman" w:hAnsi="Tahoma" w:cs="Tahoma"/>
                <w:sz w:val="20"/>
                <w:szCs w:val="20"/>
                <w:lang w:eastAsia="hr-HR"/>
              </w:rPr>
              <w:t>14</w:t>
            </w:r>
          </w:p>
        </w:tc>
        <w:tc>
          <w:tcPr>
            <w:tcW w:w="519" w:type="dxa"/>
            <w:tcBorders>
              <w:top w:val="nil"/>
              <w:left w:val="nil"/>
              <w:bottom w:val="single" w:sz="4" w:space="0" w:color="auto"/>
              <w:right w:val="single" w:sz="4" w:space="0" w:color="auto"/>
            </w:tcBorders>
            <w:shd w:val="clear" w:color="000000" w:fill="FFFF00"/>
            <w:noWrap/>
            <w:vAlign w:val="center"/>
            <w:hideMark/>
          </w:tcPr>
          <w:p w14:paraId="0303B659" w14:textId="77777777" w:rsidR="000271A1" w:rsidRPr="000271A1" w:rsidRDefault="000271A1" w:rsidP="000271A1">
            <w:pPr>
              <w:spacing w:after="0" w:line="240" w:lineRule="auto"/>
              <w:jc w:val="right"/>
              <w:rPr>
                <w:rFonts w:ascii="Tahoma" w:eastAsia="Times New Roman" w:hAnsi="Tahoma" w:cs="Tahoma"/>
                <w:sz w:val="20"/>
                <w:szCs w:val="20"/>
                <w:lang w:eastAsia="hr-HR"/>
              </w:rPr>
            </w:pPr>
            <w:r w:rsidRPr="000271A1">
              <w:rPr>
                <w:rFonts w:ascii="Tahoma" w:eastAsia="Times New Roman" w:hAnsi="Tahoma" w:cs="Tahoma"/>
                <w:sz w:val="20"/>
                <w:szCs w:val="20"/>
                <w:lang w:eastAsia="hr-HR"/>
              </w:rPr>
              <w:t>6</w:t>
            </w:r>
          </w:p>
        </w:tc>
        <w:tc>
          <w:tcPr>
            <w:tcW w:w="365" w:type="dxa"/>
            <w:tcBorders>
              <w:top w:val="nil"/>
              <w:left w:val="nil"/>
              <w:bottom w:val="single" w:sz="4" w:space="0" w:color="auto"/>
              <w:right w:val="single" w:sz="4" w:space="0" w:color="auto"/>
            </w:tcBorders>
            <w:shd w:val="clear" w:color="000000" w:fill="CCFFFF"/>
            <w:noWrap/>
            <w:vAlign w:val="center"/>
            <w:hideMark/>
          </w:tcPr>
          <w:p w14:paraId="40772449" w14:textId="77777777" w:rsidR="000271A1" w:rsidRPr="000271A1" w:rsidRDefault="000271A1" w:rsidP="000271A1">
            <w:pPr>
              <w:spacing w:after="0" w:line="240" w:lineRule="auto"/>
              <w:jc w:val="right"/>
              <w:rPr>
                <w:rFonts w:ascii="Tahoma" w:eastAsia="Times New Roman" w:hAnsi="Tahoma" w:cs="Tahoma"/>
                <w:sz w:val="20"/>
                <w:szCs w:val="20"/>
                <w:lang w:eastAsia="hr-HR"/>
              </w:rPr>
            </w:pPr>
            <w:r w:rsidRPr="000271A1">
              <w:rPr>
                <w:rFonts w:ascii="Tahoma" w:eastAsia="Times New Roman" w:hAnsi="Tahoma" w:cs="Tahoma"/>
                <w:sz w:val="20"/>
                <w:szCs w:val="20"/>
                <w:lang w:eastAsia="hr-HR"/>
              </w:rPr>
              <w:t>9</w:t>
            </w:r>
          </w:p>
        </w:tc>
        <w:tc>
          <w:tcPr>
            <w:tcW w:w="379" w:type="dxa"/>
            <w:tcBorders>
              <w:top w:val="nil"/>
              <w:left w:val="nil"/>
              <w:bottom w:val="single" w:sz="4" w:space="0" w:color="auto"/>
              <w:right w:val="single" w:sz="4" w:space="0" w:color="auto"/>
            </w:tcBorders>
            <w:shd w:val="clear" w:color="000000" w:fill="CCFFFF"/>
            <w:noWrap/>
            <w:vAlign w:val="center"/>
            <w:hideMark/>
          </w:tcPr>
          <w:p w14:paraId="35B7E7F4" w14:textId="77777777" w:rsidR="000271A1" w:rsidRPr="000271A1" w:rsidRDefault="000271A1" w:rsidP="000271A1">
            <w:pPr>
              <w:spacing w:after="0" w:line="240" w:lineRule="auto"/>
              <w:jc w:val="right"/>
              <w:rPr>
                <w:rFonts w:ascii="Tahoma" w:eastAsia="Times New Roman" w:hAnsi="Tahoma" w:cs="Tahoma"/>
                <w:sz w:val="20"/>
                <w:szCs w:val="20"/>
                <w:lang w:eastAsia="hr-HR"/>
              </w:rPr>
            </w:pPr>
            <w:r w:rsidRPr="000271A1">
              <w:rPr>
                <w:rFonts w:ascii="Tahoma" w:eastAsia="Times New Roman" w:hAnsi="Tahoma" w:cs="Tahoma"/>
                <w:sz w:val="20"/>
                <w:szCs w:val="20"/>
                <w:lang w:eastAsia="hr-HR"/>
              </w:rPr>
              <w:t>1</w:t>
            </w:r>
          </w:p>
        </w:tc>
        <w:tc>
          <w:tcPr>
            <w:tcW w:w="698" w:type="dxa"/>
            <w:tcBorders>
              <w:top w:val="nil"/>
              <w:left w:val="nil"/>
              <w:bottom w:val="single" w:sz="4" w:space="0" w:color="auto"/>
              <w:right w:val="single" w:sz="4" w:space="0" w:color="auto"/>
            </w:tcBorders>
            <w:shd w:val="clear" w:color="000000" w:fill="FFFF99"/>
            <w:noWrap/>
            <w:vAlign w:val="center"/>
            <w:hideMark/>
          </w:tcPr>
          <w:p w14:paraId="6B4A478A" w14:textId="77777777" w:rsidR="000271A1" w:rsidRPr="000271A1" w:rsidRDefault="000271A1" w:rsidP="000271A1">
            <w:pPr>
              <w:spacing w:after="0" w:line="240" w:lineRule="auto"/>
              <w:jc w:val="right"/>
              <w:rPr>
                <w:rFonts w:ascii="Tahoma" w:eastAsia="Times New Roman" w:hAnsi="Tahoma" w:cs="Tahoma"/>
                <w:sz w:val="20"/>
                <w:szCs w:val="20"/>
                <w:lang w:eastAsia="hr-HR"/>
              </w:rPr>
            </w:pPr>
            <w:r w:rsidRPr="000271A1">
              <w:rPr>
                <w:rFonts w:ascii="Tahoma" w:eastAsia="Times New Roman" w:hAnsi="Tahoma" w:cs="Tahoma"/>
                <w:sz w:val="20"/>
                <w:szCs w:val="20"/>
                <w:lang w:eastAsia="hr-HR"/>
              </w:rPr>
              <w:t>3</w:t>
            </w:r>
          </w:p>
        </w:tc>
        <w:tc>
          <w:tcPr>
            <w:tcW w:w="698" w:type="dxa"/>
            <w:tcBorders>
              <w:top w:val="nil"/>
              <w:left w:val="nil"/>
              <w:bottom w:val="single" w:sz="4" w:space="0" w:color="auto"/>
              <w:right w:val="single" w:sz="4" w:space="0" w:color="auto"/>
            </w:tcBorders>
            <w:shd w:val="clear" w:color="000000" w:fill="FFFF99"/>
            <w:noWrap/>
            <w:vAlign w:val="center"/>
            <w:hideMark/>
          </w:tcPr>
          <w:p w14:paraId="1BA7796A" w14:textId="77777777" w:rsidR="000271A1" w:rsidRPr="000271A1" w:rsidRDefault="000271A1" w:rsidP="000271A1">
            <w:pPr>
              <w:spacing w:after="0" w:line="240" w:lineRule="auto"/>
              <w:jc w:val="right"/>
              <w:rPr>
                <w:rFonts w:ascii="Tahoma" w:eastAsia="Times New Roman" w:hAnsi="Tahoma" w:cs="Tahoma"/>
                <w:sz w:val="20"/>
                <w:szCs w:val="20"/>
                <w:lang w:eastAsia="hr-HR"/>
              </w:rPr>
            </w:pPr>
            <w:r w:rsidRPr="000271A1">
              <w:rPr>
                <w:rFonts w:ascii="Tahoma" w:eastAsia="Times New Roman" w:hAnsi="Tahoma" w:cs="Tahoma"/>
                <w:sz w:val="20"/>
                <w:szCs w:val="20"/>
                <w:lang w:eastAsia="hr-HR"/>
              </w:rPr>
              <w:t>3</w:t>
            </w:r>
          </w:p>
        </w:tc>
        <w:tc>
          <w:tcPr>
            <w:tcW w:w="512" w:type="dxa"/>
            <w:tcBorders>
              <w:top w:val="nil"/>
              <w:left w:val="nil"/>
              <w:bottom w:val="single" w:sz="4" w:space="0" w:color="auto"/>
              <w:right w:val="single" w:sz="4" w:space="0" w:color="auto"/>
            </w:tcBorders>
            <w:shd w:val="clear" w:color="000000" w:fill="FFFF99"/>
            <w:noWrap/>
            <w:vAlign w:val="center"/>
            <w:hideMark/>
          </w:tcPr>
          <w:p w14:paraId="02E989CA" w14:textId="77777777" w:rsidR="000271A1" w:rsidRPr="000271A1" w:rsidRDefault="000271A1" w:rsidP="000271A1">
            <w:pPr>
              <w:spacing w:after="0" w:line="240" w:lineRule="auto"/>
              <w:jc w:val="right"/>
              <w:rPr>
                <w:rFonts w:ascii="Tahoma" w:eastAsia="Times New Roman" w:hAnsi="Tahoma" w:cs="Tahoma"/>
                <w:sz w:val="20"/>
                <w:szCs w:val="20"/>
                <w:lang w:eastAsia="hr-HR"/>
              </w:rPr>
            </w:pPr>
            <w:r w:rsidRPr="000271A1">
              <w:rPr>
                <w:rFonts w:ascii="Tahoma" w:eastAsia="Times New Roman" w:hAnsi="Tahoma" w:cs="Tahoma"/>
                <w:sz w:val="20"/>
                <w:szCs w:val="20"/>
                <w:lang w:eastAsia="hr-HR"/>
              </w:rPr>
              <w:t>2</w:t>
            </w:r>
          </w:p>
        </w:tc>
        <w:tc>
          <w:tcPr>
            <w:tcW w:w="698" w:type="dxa"/>
            <w:tcBorders>
              <w:top w:val="nil"/>
              <w:left w:val="nil"/>
              <w:bottom w:val="single" w:sz="4" w:space="0" w:color="auto"/>
              <w:right w:val="single" w:sz="4" w:space="0" w:color="auto"/>
            </w:tcBorders>
            <w:shd w:val="clear" w:color="000000" w:fill="FFFF99"/>
            <w:noWrap/>
            <w:vAlign w:val="center"/>
            <w:hideMark/>
          </w:tcPr>
          <w:p w14:paraId="5457B949" w14:textId="77777777" w:rsidR="000271A1" w:rsidRPr="000271A1" w:rsidRDefault="000271A1" w:rsidP="000271A1">
            <w:pPr>
              <w:spacing w:after="0" w:line="240" w:lineRule="auto"/>
              <w:jc w:val="right"/>
              <w:rPr>
                <w:rFonts w:ascii="Tahoma" w:eastAsia="Times New Roman" w:hAnsi="Tahoma" w:cs="Tahoma"/>
                <w:sz w:val="20"/>
                <w:szCs w:val="20"/>
                <w:lang w:eastAsia="hr-HR"/>
              </w:rPr>
            </w:pPr>
            <w:r w:rsidRPr="000271A1">
              <w:rPr>
                <w:rFonts w:ascii="Tahoma" w:eastAsia="Times New Roman" w:hAnsi="Tahoma" w:cs="Tahoma"/>
                <w:sz w:val="20"/>
                <w:szCs w:val="20"/>
                <w:lang w:eastAsia="hr-HR"/>
              </w:rPr>
              <w:t> </w:t>
            </w:r>
          </w:p>
        </w:tc>
        <w:tc>
          <w:tcPr>
            <w:tcW w:w="444" w:type="dxa"/>
            <w:tcBorders>
              <w:top w:val="nil"/>
              <w:left w:val="nil"/>
              <w:bottom w:val="single" w:sz="4" w:space="0" w:color="auto"/>
              <w:right w:val="single" w:sz="4" w:space="0" w:color="auto"/>
            </w:tcBorders>
            <w:shd w:val="clear" w:color="000000" w:fill="FFFF99"/>
            <w:noWrap/>
            <w:vAlign w:val="center"/>
            <w:hideMark/>
          </w:tcPr>
          <w:p w14:paraId="446C1A7C" w14:textId="77777777" w:rsidR="000271A1" w:rsidRPr="000271A1" w:rsidRDefault="000271A1" w:rsidP="000271A1">
            <w:pPr>
              <w:spacing w:after="0" w:line="240" w:lineRule="auto"/>
              <w:jc w:val="right"/>
              <w:rPr>
                <w:rFonts w:ascii="Tahoma" w:eastAsia="Times New Roman" w:hAnsi="Tahoma" w:cs="Tahoma"/>
                <w:sz w:val="20"/>
                <w:szCs w:val="20"/>
                <w:lang w:eastAsia="hr-HR"/>
              </w:rPr>
            </w:pPr>
            <w:r w:rsidRPr="000271A1">
              <w:rPr>
                <w:rFonts w:ascii="Tahoma" w:eastAsia="Times New Roman" w:hAnsi="Tahoma" w:cs="Tahoma"/>
                <w:sz w:val="20"/>
                <w:szCs w:val="20"/>
                <w:lang w:eastAsia="hr-HR"/>
              </w:rPr>
              <w:t> </w:t>
            </w:r>
          </w:p>
        </w:tc>
        <w:tc>
          <w:tcPr>
            <w:tcW w:w="698" w:type="dxa"/>
            <w:tcBorders>
              <w:top w:val="nil"/>
              <w:left w:val="nil"/>
              <w:bottom w:val="single" w:sz="4" w:space="0" w:color="auto"/>
              <w:right w:val="single" w:sz="4" w:space="0" w:color="auto"/>
            </w:tcBorders>
            <w:shd w:val="clear" w:color="000000" w:fill="FFFF99"/>
            <w:noWrap/>
            <w:vAlign w:val="center"/>
            <w:hideMark/>
          </w:tcPr>
          <w:p w14:paraId="0240E649" w14:textId="77777777" w:rsidR="000271A1" w:rsidRPr="000271A1" w:rsidRDefault="000271A1" w:rsidP="000271A1">
            <w:pPr>
              <w:spacing w:after="0" w:line="240" w:lineRule="auto"/>
              <w:jc w:val="right"/>
              <w:rPr>
                <w:rFonts w:ascii="Tahoma" w:eastAsia="Times New Roman" w:hAnsi="Tahoma" w:cs="Tahoma"/>
                <w:sz w:val="20"/>
                <w:szCs w:val="20"/>
                <w:lang w:eastAsia="hr-HR"/>
              </w:rPr>
            </w:pPr>
            <w:r w:rsidRPr="000271A1">
              <w:rPr>
                <w:rFonts w:ascii="Tahoma" w:eastAsia="Times New Roman" w:hAnsi="Tahoma" w:cs="Tahoma"/>
                <w:sz w:val="20"/>
                <w:szCs w:val="20"/>
                <w:lang w:eastAsia="hr-HR"/>
              </w:rPr>
              <w:t> </w:t>
            </w:r>
          </w:p>
        </w:tc>
        <w:tc>
          <w:tcPr>
            <w:tcW w:w="444" w:type="dxa"/>
            <w:gridSpan w:val="2"/>
            <w:tcBorders>
              <w:top w:val="nil"/>
              <w:left w:val="nil"/>
              <w:bottom w:val="single" w:sz="4" w:space="0" w:color="auto"/>
              <w:right w:val="single" w:sz="4" w:space="0" w:color="auto"/>
            </w:tcBorders>
            <w:shd w:val="clear" w:color="000000" w:fill="FF9900"/>
            <w:noWrap/>
            <w:vAlign w:val="center"/>
            <w:hideMark/>
          </w:tcPr>
          <w:p w14:paraId="0ECF2CD4" w14:textId="77777777" w:rsidR="000271A1" w:rsidRPr="000271A1" w:rsidRDefault="000271A1" w:rsidP="000271A1">
            <w:pPr>
              <w:spacing w:after="0" w:line="240" w:lineRule="auto"/>
              <w:jc w:val="right"/>
              <w:rPr>
                <w:rFonts w:ascii="Tahoma" w:eastAsia="Times New Roman" w:hAnsi="Tahoma" w:cs="Tahoma"/>
                <w:sz w:val="20"/>
                <w:szCs w:val="20"/>
                <w:lang w:eastAsia="hr-HR"/>
              </w:rPr>
            </w:pPr>
            <w:r w:rsidRPr="000271A1">
              <w:rPr>
                <w:rFonts w:ascii="Tahoma" w:eastAsia="Times New Roman" w:hAnsi="Tahoma" w:cs="Tahoma"/>
                <w:sz w:val="20"/>
                <w:szCs w:val="20"/>
                <w:lang w:eastAsia="hr-HR"/>
              </w:rPr>
              <w:t> </w:t>
            </w:r>
          </w:p>
        </w:tc>
        <w:tc>
          <w:tcPr>
            <w:tcW w:w="521" w:type="dxa"/>
            <w:tcBorders>
              <w:top w:val="nil"/>
              <w:left w:val="nil"/>
              <w:bottom w:val="single" w:sz="4" w:space="0" w:color="auto"/>
              <w:right w:val="single" w:sz="4" w:space="0" w:color="auto"/>
            </w:tcBorders>
            <w:shd w:val="clear" w:color="000000" w:fill="FF9900"/>
            <w:noWrap/>
            <w:vAlign w:val="center"/>
            <w:hideMark/>
          </w:tcPr>
          <w:p w14:paraId="3CF77E3C" w14:textId="77777777" w:rsidR="000271A1" w:rsidRPr="000271A1" w:rsidRDefault="000271A1" w:rsidP="000271A1">
            <w:pPr>
              <w:spacing w:after="0" w:line="240" w:lineRule="auto"/>
              <w:jc w:val="right"/>
              <w:rPr>
                <w:rFonts w:ascii="Tahoma" w:eastAsia="Times New Roman" w:hAnsi="Tahoma" w:cs="Tahoma"/>
                <w:sz w:val="20"/>
                <w:szCs w:val="20"/>
                <w:lang w:eastAsia="hr-HR"/>
              </w:rPr>
            </w:pPr>
            <w:r w:rsidRPr="000271A1">
              <w:rPr>
                <w:rFonts w:ascii="Tahoma" w:eastAsia="Times New Roman" w:hAnsi="Tahoma" w:cs="Tahoma"/>
                <w:sz w:val="20"/>
                <w:szCs w:val="20"/>
                <w:lang w:eastAsia="hr-HR"/>
              </w:rPr>
              <w:t>1</w:t>
            </w:r>
          </w:p>
        </w:tc>
        <w:tc>
          <w:tcPr>
            <w:tcW w:w="521" w:type="dxa"/>
            <w:tcBorders>
              <w:top w:val="nil"/>
              <w:left w:val="nil"/>
              <w:bottom w:val="single" w:sz="4" w:space="0" w:color="auto"/>
              <w:right w:val="single" w:sz="4" w:space="0" w:color="auto"/>
            </w:tcBorders>
            <w:shd w:val="clear" w:color="000000" w:fill="FF9900"/>
            <w:noWrap/>
            <w:vAlign w:val="center"/>
            <w:hideMark/>
          </w:tcPr>
          <w:p w14:paraId="7DB29DA2" w14:textId="77777777" w:rsidR="000271A1" w:rsidRPr="000271A1" w:rsidRDefault="000271A1" w:rsidP="000271A1">
            <w:pPr>
              <w:spacing w:after="0" w:line="240" w:lineRule="auto"/>
              <w:jc w:val="right"/>
              <w:rPr>
                <w:rFonts w:ascii="Tahoma" w:eastAsia="Times New Roman" w:hAnsi="Tahoma" w:cs="Tahoma"/>
                <w:sz w:val="20"/>
                <w:szCs w:val="20"/>
                <w:lang w:eastAsia="hr-HR"/>
              </w:rPr>
            </w:pPr>
            <w:r w:rsidRPr="000271A1">
              <w:rPr>
                <w:rFonts w:ascii="Tahoma" w:eastAsia="Times New Roman" w:hAnsi="Tahoma" w:cs="Tahoma"/>
                <w:sz w:val="20"/>
                <w:szCs w:val="20"/>
                <w:lang w:eastAsia="hr-HR"/>
              </w:rPr>
              <w:t>1</w:t>
            </w:r>
          </w:p>
        </w:tc>
        <w:tc>
          <w:tcPr>
            <w:tcW w:w="521" w:type="dxa"/>
            <w:gridSpan w:val="2"/>
            <w:tcBorders>
              <w:top w:val="nil"/>
              <w:left w:val="nil"/>
              <w:bottom w:val="single" w:sz="4" w:space="0" w:color="auto"/>
              <w:right w:val="single" w:sz="4" w:space="0" w:color="auto"/>
            </w:tcBorders>
            <w:shd w:val="clear" w:color="000000" w:fill="FFFF00"/>
            <w:vAlign w:val="center"/>
            <w:hideMark/>
          </w:tcPr>
          <w:p w14:paraId="485647E3" w14:textId="77777777" w:rsidR="000271A1" w:rsidRPr="000271A1" w:rsidRDefault="000271A1" w:rsidP="000271A1">
            <w:pPr>
              <w:spacing w:after="0" w:line="240" w:lineRule="auto"/>
              <w:jc w:val="right"/>
              <w:rPr>
                <w:rFonts w:ascii="Tahoma" w:eastAsia="Times New Roman" w:hAnsi="Tahoma" w:cs="Tahoma"/>
                <w:sz w:val="20"/>
                <w:szCs w:val="20"/>
                <w:lang w:eastAsia="hr-HR"/>
              </w:rPr>
            </w:pPr>
            <w:r w:rsidRPr="000271A1">
              <w:rPr>
                <w:rFonts w:ascii="Tahoma" w:eastAsia="Times New Roman" w:hAnsi="Tahoma" w:cs="Tahoma"/>
                <w:sz w:val="20"/>
                <w:szCs w:val="20"/>
                <w:lang w:eastAsia="hr-HR"/>
              </w:rPr>
              <w:t>2</w:t>
            </w:r>
          </w:p>
        </w:tc>
        <w:tc>
          <w:tcPr>
            <w:tcW w:w="702" w:type="dxa"/>
            <w:tcBorders>
              <w:top w:val="nil"/>
              <w:left w:val="nil"/>
              <w:bottom w:val="single" w:sz="4" w:space="0" w:color="auto"/>
              <w:right w:val="single" w:sz="4" w:space="0" w:color="auto"/>
            </w:tcBorders>
            <w:shd w:val="clear" w:color="000000" w:fill="FF9900"/>
            <w:vAlign w:val="center"/>
            <w:hideMark/>
          </w:tcPr>
          <w:p w14:paraId="3110A901" w14:textId="77777777" w:rsidR="000271A1" w:rsidRPr="000271A1" w:rsidRDefault="000271A1" w:rsidP="000271A1">
            <w:pPr>
              <w:spacing w:after="0" w:line="240" w:lineRule="auto"/>
              <w:jc w:val="right"/>
              <w:rPr>
                <w:rFonts w:ascii="Tahoma" w:eastAsia="Times New Roman" w:hAnsi="Tahoma" w:cs="Tahoma"/>
                <w:sz w:val="20"/>
                <w:szCs w:val="20"/>
                <w:lang w:eastAsia="hr-HR"/>
              </w:rPr>
            </w:pPr>
            <w:r w:rsidRPr="000271A1">
              <w:rPr>
                <w:rFonts w:ascii="Tahoma" w:eastAsia="Times New Roman" w:hAnsi="Tahoma" w:cs="Tahoma"/>
                <w:sz w:val="20"/>
                <w:szCs w:val="20"/>
                <w:lang w:eastAsia="hr-HR"/>
              </w:rPr>
              <w:t>18</w:t>
            </w:r>
          </w:p>
        </w:tc>
        <w:tc>
          <w:tcPr>
            <w:tcW w:w="907" w:type="dxa"/>
            <w:tcBorders>
              <w:top w:val="nil"/>
              <w:left w:val="nil"/>
              <w:bottom w:val="single" w:sz="4" w:space="0" w:color="auto"/>
              <w:right w:val="single" w:sz="4" w:space="0" w:color="auto"/>
            </w:tcBorders>
            <w:shd w:val="clear" w:color="000000" w:fill="FF9900"/>
            <w:vAlign w:val="center"/>
            <w:hideMark/>
          </w:tcPr>
          <w:p w14:paraId="67306786" w14:textId="77777777" w:rsidR="000271A1" w:rsidRPr="000271A1" w:rsidRDefault="000271A1" w:rsidP="000271A1">
            <w:pPr>
              <w:spacing w:after="0" w:line="240" w:lineRule="auto"/>
              <w:jc w:val="right"/>
              <w:rPr>
                <w:rFonts w:ascii="Tahoma" w:eastAsia="Times New Roman" w:hAnsi="Tahoma" w:cs="Tahoma"/>
                <w:sz w:val="20"/>
                <w:szCs w:val="20"/>
                <w:lang w:eastAsia="hr-HR"/>
              </w:rPr>
            </w:pPr>
            <w:r w:rsidRPr="000271A1">
              <w:rPr>
                <w:rFonts w:ascii="Tahoma" w:eastAsia="Times New Roman" w:hAnsi="Tahoma" w:cs="Tahoma"/>
                <w:sz w:val="20"/>
                <w:szCs w:val="20"/>
                <w:lang w:eastAsia="hr-HR"/>
              </w:rPr>
              <w:t>1</w:t>
            </w:r>
          </w:p>
        </w:tc>
        <w:tc>
          <w:tcPr>
            <w:tcW w:w="553" w:type="dxa"/>
            <w:tcBorders>
              <w:top w:val="nil"/>
              <w:left w:val="nil"/>
              <w:bottom w:val="single" w:sz="4" w:space="0" w:color="auto"/>
              <w:right w:val="single" w:sz="4" w:space="0" w:color="auto"/>
            </w:tcBorders>
            <w:shd w:val="clear" w:color="000000" w:fill="FF9900"/>
            <w:vAlign w:val="center"/>
            <w:hideMark/>
          </w:tcPr>
          <w:p w14:paraId="4700698E" w14:textId="77777777" w:rsidR="000271A1" w:rsidRPr="000271A1" w:rsidRDefault="000271A1" w:rsidP="000271A1">
            <w:pPr>
              <w:spacing w:after="0" w:line="240" w:lineRule="auto"/>
              <w:jc w:val="right"/>
              <w:rPr>
                <w:rFonts w:ascii="Tahoma" w:eastAsia="Times New Roman" w:hAnsi="Tahoma" w:cs="Tahoma"/>
                <w:sz w:val="20"/>
                <w:szCs w:val="20"/>
                <w:lang w:eastAsia="hr-HR"/>
              </w:rPr>
            </w:pPr>
            <w:r w:rsidRPr="000271A1">
              <w:rPr>
                <w:rFonts w:ascii="Tahoma" w:eastAsia="Times New Roman" w:hAnsi="Tahoma" w:cs="Tahoma"/>
                <w:sz w:val="20"/>
                <w:szCs w:val="20"/>
                <w:lang w:eastAsia="hr-HR"/>
              </w:rPr>
              <w:t> </w:t>
            </w:r>
          </w:p>
        </w:tc>
        <w:tc>
          <w:tcPr>
            <w:tcW w:w="918" w:type="dxa"/>
            <w:tcBorders>
              <w:top w:val="nil"/>
              <w:left w:val="nil"/>
              <w:bottom w:val="single" w:sz="4" w:space="0" w:color="auto"/>
              <w:right w:val="single" w:sz="4" w:space="0" w:color="auto"/>
            </w:tcBorders>
            <w:shd w:val="clear" w:color="000000" w:fill="FF9900"/>
            <w:vAlign w:val="center"/>
            <w:hideMark/>
          </w:tcPr>
          <w:p w14:paraId="75DE394F" w14:textId="77777777" w:rsidR="000271A1" w:rsidRPr="000271A1" w:rsidRDefault="000271A1" w:rsidP="000271A1">
            <w:pPr>
              <w:spacing w:after="0" w:line="240" w:lineRule="auto"/>
              <w:jc w:val="right"/>
              <w:rPr>
                <w:rFonts w:ascii="Tahoma" w:eastAsia="Times New Roman" w:hAnsi="Tahoma" w:cs="Tahoma"/>
                <w:sz w:val="20"/>
                <w:szCs w:val="20"/>
                <w:lang w:eastAsia="hr-HR"/>
              </w:rPr>
            </w:pPr>
            <w:r w:rsidRPr="000271A1">
              <w:rPr>
                <w:rFonts w:ascii="Tahoma" w:eastAsia="Times New Roman" w:hAnsi="Tahoma" w:cs="Tahoma"/>
                <w:sz w:val="20"/>
                <w:szCs w:val="20"/>
                <w:lang w:eastAsia="hr-HR"/>
              </w:rPr>
              <w:t>1</w:t>
            </w:r>
          </w:p>
        </w:tc>
        <w:tc>
          <w:tcPr>
            <w:tcW w:w="428" w:type="dxa"/>
            <w:tcBorders>
              <w:top w:val="nil"/>
              <w:left w:val="nil"/>
              <w:bottom w:val="single" w:sz="4" w:space="0" w:color="auto"/>
              <w:right w:val="single" w:sz="4" w:space="0" w:color="auto"/>
            </w:tcBorders>
            <w:shd w:val="clear" w:color="000000" w:fill="CCFFFF"/>
            <w:noWrap/>
            <w:vAlign w:val="center"/>
            <w:hideMark/>
          </w:tcPr>
          <w:p w14:paraId="69498BE6" w14:textId="77777777" w:rsidR="000271A1" w:rsidRPr="000271A1" w:rsidRDefault="000271A1" w:rsidP="000271A1">
            <w:pPr>
              <w:spacing w:after="0" w:line="240" w:lineRule="auto"/>
              <w:jc w:val="right"/>
              <w:rPr>
                <w:rFonts w:ascii="Tahoma" w:eastAsia="Times New Roman" w:hAnsi="Tahoma" w:cs="Tahoma"/>
                <w:sz w:val="20"/>
                <w:szCs w:val="20"/>
                <w:lang w:eastAsia="hr-HR"/>
              </w:rPr>
            </w:pPr>
            <w:r w:rsidRPr="000271A1">
              <w:rPr>
                <w:rFonts w:ascii="Tahoma" w:eastAsia="Times New Roman" w:hAnsi="Tahoma" w:cs="Tahoma"/>
                <w:sz w:val="20"/>
                <w:szCs w:val="20"/>
                <w:lang w:eastAsia="hr-HR"/>
              </w:rPr>
              <w:t> </w:t>
            </w:r>
          </w:p>
        </w:tc>
        <w:tc>
          <w:tcPr>
            <w:tcW w:w="428" w:type="dxa"/>
            <w:tcBorders>
              <w:top w:val="nil"/>
              <w:left w:val="nil"/>
              <w:bottom w:val="single" w:sz="4" w:space="0" w:color="auto"/>
              <w:right w:val="single" w:sz="4" w:space="0" w:color="auto"/>
            </w:tcBorders>
            <w:shd w:val="clear" w:color="000000" w:fill="CCFFFF"/>
            <w:noWrap/>
            <w:vAlign w:val="center"/>
            <w:hideMark/>
          </w:tcPr>
          <w:p w14:paraId="4588EEAA" w14:textId="77777777" w:rsidR="000271A1" w:rsidRPr="000271A1" w:rsidRDefault="000271A1" w:rsidP="000271A1">
            <w:pPr>
              <w:spacing w:after="0" w:line="240" w:lineRule="auto"/>
              <w:jc w:val="right"/>
              <w:rPr>
                <w:rFonts w:ascii="Tahoma" w:eastAsia="Times New Roman" w:hAnsi="Tahoma" w:cs="Tahoma"/>
                <w:sz w:val="20"/>
                <w:szCs w:val="20"/>
                <w:lang w:eastAsia="hr-HR"/>
              </w:rPr>
            </w:pPr>
            <w:r w:rsidRPr="000271A1">
              <w:rPr>
                <w:rFonts w:ascii="Tahoma" w:eastAsia="Times New Roman" w:hAnsi="Tahoma" w:cs="Tahoma"/>
                <w:sz w:val="20"/>
                <w:szCs w:val="20"/>
                <w:lang w:eastAsia="hr-HR"/>
              </w:rPr>
              <w:t> </w:t>
            </w:r>
          </w:p>
        </w:tc>
        <w:tc>
          <w:tcPr>
            <w:tcW w:w="425" w:type="dxa"/>
            <w:tcBorders>
              <w:top w:val="nil"/>
              <w:left w:val="nil"/>
              <w:bottom w:val="single" w:sz="4" w:space="0" w:color="auto"/>
              <w:right w:val="single" w:sz="4" w:space="0" w:color="auto"/>
            </w:tcBorders>
            <w:shd w:val="clear" w:color="000000" w:fill="CCFFFF"/>
            <w:noWrap/>
            <w:vAlign w:val="center"/>
            <w:hideMark/>
          </w:tcPr>
          <w:p w14:paraId="3138D01E" w14:textId="77777777" w:rsidR="000271A1" w:rsidRPr="000271A1" w:rsidRDefault="000271A1" w:rsidP="000271A1">
            <w:pPr>
              <w:spacing w:after="0" w:line="240" w:lineRule="auto"/>
              <w:jc w:val="right"/>
              <w:rPr>
                <w:rFonts w:ascii="Tahoma" w:eastAsia="Times New Roman" w:hAnsi="Tahoma" w:cs="Tahoma"/>
                <w:sz w:val="20"/>
                <w:szCs w:val="20"/>
                <w:lang w:eastAsia="hr-HR"/>
              </w:rPr>
            </w:pPr>
            <w:r w:rsidRPr="000271A1">
              <w:rPr>
                <w:rFonts w:ascii="Tahoma" w:eastAsia="Times New Roman" w:hAnsi="Tahoma" w:cs="Tahoma"/>
                <w:sz w:val="20"/>
                <w:szCs w:val="20"/>
                <w:lang w:eastAsia="hr-HR"/>
              </w:rPr>
              <w:t> </w:t>
            </w:r>
          </w:p>
        </w:tc>
        <w:tc>
          <w:tcPr>
            <w:tcW w:w="425" w:type="dxa"/>
            <w:tcBorders>
              <w:top w:val="nil"/>
              <w:left w:val="nil"/>
              <w:bottom w:val="single" w:sz="4" w:space="0" w:color="auto"/>
              <w:right w:val="nil"/>
            </w:tcBorders>
            <w:shd w:val="clear" w:color="000000" w:fill="33CCCC"/>
            <w:noWrap/>
            <w:vAlign w:val="center"/>
            <w:hideMark/>
          </w:tcPr>
          <w:p w14:paraId="6B94D900" w14:textId="77777777" w:rsidR="000271A1" w:rsidRPr="000271A1" w:rsidRDefault="000271A1" w:rsidP="000271A1">
            <w:pPr>
              <w:spacing w:after="0" w:line="240" w:lineRule="auto"/>
              <w:jc w:val="right"/>
              <w:rPr>
                <w:rFonts w:ascii="Tahoma" w:eastAsia="Times New Roman" w:hAnsi="Tahoma" w:cs="Tahoma"/>
                <w:sz w:val="20"/>
                <w:szCs w:val="20"/>
                <w:lang w:eastAsia="hr-HR"/>
              </w:rPr>
            </w:pPr>
            <w:r w:rsidRPr="000271A1">
              <w:rPr>
                <w:rFonts w:ascii="Tahoma" w:eastAsia="Times New Roman" w:hAnsi="Tahoma" w:cs="Tahoma"/>
                <w:sz w:val="20"/>
                <w:szCs w:val="20"/>
                <w:lang w:eastAsia="hr-HR"/>
              </w:rPr>
              <w:t> </w:t>
            </w:r>
          </w:p>
        </w:tc>
        <w:tc>
          <w:tcPr>
            <w:tcW w:w="440" w:type="dxa"/>
            <w:gridSpan w:val="2"/>
            <w:tcBorders>
              <w:top w:val="nil"/>
              <w:left w:val="single" w:sz="4" w:space="0" w:color="auto"/>
              <w:bottom w:val="single" w:sz="4" w:space="0" w:color="auto"/>
              <w:right w:val="single" w:sz="8" w:space="0" w:color="auto"/>
            </w:tcBorders>
            <w:shd w:val="clear" w:color="000000" w:fill="33CCCC"/>
            <w:noWrap/>
            <w:vAlign w:val="center"/>
            <w:hideMark/>
          </w:tcPr>
          <w:p w14:paraId="4855C77E" w14:textId="77777777" w:rsidR="000271A1" w:rsidRPr="000271A1" w:rsidRDefault="000271A1" w:rsidP="000271A1">
            <w:pPr>
              <w:spacing w:after="0" w:line="240" w:lineRule="auto"/>
              <w:jc w:val="right"/>
              <w:rPr>
                <w:rFonts w:ascii="Tahoma" w:eastAsia="Times New Roman" w:hAnsi="Tahoma" w:cs="Tahoma"/>
                <w:sz w:val="20"/>
                <w:szCs w:val="20"/>
                <w:lang w:eastAsia="hr-HR"/>
              </w:rPr>
            </w:pPr>
            <w:r w:rsidRPr="000271A1">
              <w:rPr>
                <w:rFonts w:ascii="Tahoma" w:eastAsia="Times New Roman" w:hAnsi="Tahoma" w:cs="Tahoma"/>
                <w:sz w:val="20"/>
                <w:szCs w:val="20"/>
                <w:lang w:eastAsia="hr-HR"/>
              </w:rPr>
              <w:t>2</w:t>
            </w:r>
          </w:p>
        </w:tc>
        <w:tc>
          <w:tcPr>
            <w:tcW w:w="236" w:type="dxa"/>
            <w:vAlign w:val="center"/>
            <w:hideMark/>
          </w:tcPr>
          <w:p w14:paraId="1DD2F53B" w14:textId="77777777" w:rsidR="000271A1" w:rsidRPr="000271A1" w:rsidRDefault="000271A1" w:rsidP="000271A1">
            <w:pPr>
              <w:spacing w:after="0" w:line="240" w:lineRule="auto"/>
              <w:rPr>
                <w:rFonts w:ascii="Times New Roman" w:eastAsia="Times New Roman" w:hAnsi="Times New Roman" w:cs="Times New Roman"/>
                <w:sz w:val="20"/>
                <w:szCs w:val="20"/>
                <w:lang w:eastAsia="hr-HR"/>
              </w:rPr>
            </w:pPr>
          </w:p>
        </w:tc>
      </w:tr>
      <w:tr w:rsidR="000271A1" w:rsidRPr="000271A1" w14:paraId="2ACE9485" w14:textId="77777777" w:rsidTr="000271A1">
        <w:trPr>
          <w:gridAfter w:val="1"/>
          <w:wAfter w:w="26" w:type="dxa"/>
          <w:trHeight w:val="300"/>
        </w:trPr>
        <w:tc>
          <w:tcPr>
            <w:tcW w:w="1119" w:type="dxa"/>
            <w:tcBorders>
              <w:top w:val="single" w:sz="4" w:space="0" w:color="auto"/>
              <w:left w:val="single" w:sz="8" w:space="0" w:color="auto"/>
              <w:bottom w:val="single" w:sz="4" w:space="0" w:color="auto"/>
              <w:right w:val="single" w:sz="4" w:space="0" w:color="auto"/>
            </w:tcBorders>
            <w:shd w:val="clear" w:color="000000" w:fill="CCFFCC"/>
            <w:vAlign w:val="center"/>
            <w:hideMark/>
          </w:tcPr>
          <w:p w14:paraId="1CB9B083" w14:textId="77777777" w:rsidR="000271A1" w:rsidRPr="000271A1" w:rsidRDefault="000271A1" w:rsidP="000271A1">
            <w:pPr>
              <w:spacing w:after="0" w:line="240" w:lineRule="auto"/>
              <w:rPr>
                <w:rFonts w:ascii="Tahoma" w:eastAsia="Times New Roman" w:hAnsi="Tahoma" w:cs="Tahoma"/>
                <w:sz w:val="20"/>
                <w:szCs w:val="20"/>
                <w:lang w:eastAsia="hr-HR"/>
              </w:rPr>
            </w:pPr>
            <w:r w:rsidRPr="000271A1">
              <w:rPr>
                <w:rFonts w:ascii="Tahoma" w:eastAsia="Times New Roman" w:hAnsi="Tahoma" w:cs="Tahoma"/>
                <w:sz w:val="20"/>
                <w:szCs w:val="20"/>
                <w:lang w:eastAsia="hr-HR"/>
              </w:rPr>
              <w:t>Spolna orijentacija</w:t>
            </w:r>
          </w:p>
        </w:tc>
        <w:tc>
          <w:tcPr>
            <w:tcW w:w="671" w:type="dxa"/>
            <w:tcBorders>
              <w:top w:val="nil"/>
              <w:left w:val="nil"/>
              <w:bottom w:val="single" w:sz="4" w:space="0" w:color="auto"/>
              <w:right w:val="single" w:sz="4" w:space="0" w:color="auto"/>
            </w:tcBorders>
            <w:shd w:val="clear" w:color="000000" w:fill="FFCC99"/>
            <w:noWrap/>
            <w:vAlign w:val="center"/>
            <w:hideMark/>
          </w:tcPr>
          <w:p w14:paraId="1AB555A1" w14:textId="77777777" w:rsidR="000271A1" w:rsidRPr="000271A1" w:rsidRDefault="000271A1" w:rsidP="000271A1">
            <w:pPr>
              <w:spacing w:after="0" w:line="240" w:lineRule="auto"/>
              <w:jc w:val="right"/>
              <w:rPr>
                <w:rFonts w:ascii="Tahoma" w:eastAsia="Times New Roman" w:hAnsi="Tahoma" w:cs="Tahoma"/>
                <w:sz w:val="20"/>
                <w:szCs w:val="20"/>
                <w:lang w:eastAsia="hr-HR"/>
              </w:rPr>
            </w:pPr>
            <w:r w:rsidRPr="000271A1">
              <w:rPr>
                <w:rFonts w:ascii="Tahoma" w:eastAsia="Times New Roman" w:hAnsi="Tahoma" w:cs="Tahoma"/>
                <w:sz w:val="20"/>
                <w:szCs w:val="20"/>
                <w:lang w:eastAsia="hr-HR"/>
              </w:rPr>
              <w:t>2</w:t>
            </w:r>
          </w:p>
        </w:tc>
        <w:tc>
          <w:tcPr>
            <w:tcW w:w="519" w:type="dxa"/>
            <w:tcBorders>
              <w:top w:val="nil"/>
              <w:left w:val="nil"/>
              <w:bottom w:val="single" w:sz="4" w:space="0" w:color="auto"/>
              <w:right w:val="single" w:sz="4" w:space="0" w:color="auto"/>
            </w:tcBorders>
            <w:shd w:val="clear" w:color="000000" w:fill="FFFF00"/>
            <w:noWrap/>
            <w:vAlign w:val="center"/>
            <w:hideMark/>
          </w:tcPr>
          <w:p w14:paraId="39A2B244" w14:textId="77777777" w:rsidR="000271A1" w:rsidRPr="000271A1" w:rsidRDefault="000271A1" w:rsidP="000271A1">
            <w:pPr>
              <w:spacing w:after="0" w:line="240" w:lineRule="auto"/>
              <w:jc w:val="right"/>
              <w:rPr>
                <w:rFonts w:ascii="Tahoma" w:eastAsia="Times New Roman" w:hAnsi="Tahoma" w:cs="Tahoma"/>
                <w:sz w:val="20"/>
                <w:szCs w:val="20"/>
                <w:lang w:eastAsia="hr-HR"/>
              </w:rPr>
            </w:pPr>
            <w:r w:rsidRPr="000271A1">
              <w:rPr>
                <w:rFonts w:ascii="Tahoma" w:eastAsia="Times New Roman" w:hAnsi="Tahoma" w:cs="Tahoma"/>
                <w:sz w:val="20"/>
                <w:szCs w:val="20"/>
                <w:lang w:eastAsia="hr-HR"/>
              </w:rPr>
              <w:t>1</w:t>
            </w:r>
          </w:p>
        </w:tc>
        <w:tc>
          <w:tcPr>
            <w:tcW w:w="365" w:type="dxa"/>
            <w:tcBorders>
              <w:top w:val="nil"/>
              <w:left w:val="nil"/>
              <w:bottom w:val="single" w:sz="4" w:space="0" w:color="auto"/>
              <w:right w:val="single" w:sz="4" w:space="0" w:color="auto"/>
            </w:tcBorders>
            <w:shd w:val="clear" w:color="000000" w:fill="CCFFFF"/>
            <w:noWrap/>
            <w:vAlign w:val="center"/>
            <w:hideMark/>
          </w:tcPr>
          <w:p w14:paraId="319DBE0F" w14:textId="77777777" w:rsidR="000271A1" w:rsidRPr="000271A1" w:rsidRDefault="000271A1" w:rsidP="000271A1">
            <w:pPr>
              <w:spacing w:after="0" w:line="240" w:lineRule="auto"/>
              <w:jc w:val="right"/>
              <w:rPr>
                <w:rFonts w:ascii="Tahoma" w:eastAsia="Times New Roman" w:hAnsi="Tahoma" w:cs="Tahoma"/>
                <w:sz w:val="20"/>
                <w:szCs w:val="20"/>
                <w:lang w:eastAsia="hr-HR"/>
              </w:rPr>
            </w:pPr>
            <w:r w:rsidRPr="000271A1">
              <w:rPr>
                <w:rFonts w:ascii="Tahoma" w:eastAsia="Times New Roman" w:hAnsi="Tahoma" w:cs="Tahoma"/>
                <w:sz w:val="20"/>
                <w:szCs w:val="20"/>
                <w:lang w:eastAsia="hr-HR"/>
              </w:rPr>
              <w:t> </w:t>
            </w:r>
          </w:p>
        </w:tc>
        <w:tc>
          <w:tcPr>
            <w:tcW w:w="379" w:type="dxa"/>
            <w:tcBorders>
              <w:top w:val="nil"/>
              <w:left w:val="nil"/>
              <w:bottom w:val="single" w:sz="4" w:space="0" w:color="auto"/>
              <w:right w:val="single" w:sz="4" w:space="0" w:color="auto"/>
            </w:tcBorders>
            <w:shd w:val="clear" w:color="000000" w:fill="CCFFFF"/>
            <w:noWrap/>
            <w:vAlign w:val="center"/>
            <w:hideMark/>
          </w:tcPr>
          <w:p w14:paraId="0B9119BF" w14:textId="77777777" w:rsidR="000271A1" w:rsidRPr="000271A1" w:rsidRDefault="000271A1" w:rsidP="000271A1">
            <w:pPr>
              <w:spacing w:after="0" w:line="240" w:lineRule="auto"/>
              <w:jc w:val="right"/>
              <w:rPr>
                <w:rFonts w:ascii="Tahoma" w:eastAsia="Times New Roman" w:hAnsi="Tahoma" w:cs="Tahoma"/>
                <w:sz w:val="20"/>
                <w:szCs w:val="20"/>
                <w:lang w:eastAsia="hr-HR"/>
              </w:rPr>
            </w:pPr>
            <w:r w:rsidRPr="000271A1">
              <w:rPr>
                <w:rFonts w:ascii="Tahoma" w:eastAsia="Times New Roman" w:hAnsi="Tahoma" w:cs="Tahoma"/>
                <w:sz w:val="20"/>
                <w:szCs w:val="20"/>
                <w:lang w:eastAsia="hr-HR"/>
              </w:rPr>
              <w:t> </w:t>
            </w:r>
          </w:p>
        </w:tc>
        <w:tc>
          <w:tcPr>
            <w:tcW w:w="698" w:type="dxa"/>
            <w:tcBorders>
              <w:top w:val="nil"/>
              <w:left w:val="nil"/>
              <w:bottom w:val="single" w:sz="4" w:space="0" w:color="auto"/>
              <w:right w:val="single" w:sz="4" w:space="0" w:color="auto"/>
            </w:tcBorders>
            <w:shd w:val="clear" w:color="000000" w:fill="FFFF99"/>
            <w:noWrap/>
            <w:vAlign w:val="center"/>
            <w:hideMark/>
          </w:tcPr>
          <w:p w14:paraId="58957520" w14:textId="77777777" w:rsidR="000271A1" w:rsidRPr="000271A1" w:rsidRDefault="000271A1" w:rsidP="000271A1">
            <w:pPr>
              <w:spacing w:after="0" w:line="240" w:lineRule="auto"/>
              <w:jc w:val="right"/>
              <w:rPr>
                <w:rFonts w:ascii="Tahoma" w:eastAsia="Times New Roman" w:hAnsi="Tahoma" w:cs="Tahoma"/>
                <w:sz w:val="20"/>
                <w:szCs w:val="20"/>
                <w:lang w:eastAsia="hr-HR"/>
              </w:rPr>
            </w:pPr>
            <w:r w:rsidRPr="000271A1">
              <w:rPr>
                <w:rFonts w:ascii="Tahoma" w:eastAsia="Times New Roman" w:hAnsi="Tahoma" w:cs="Tahoma"/>
                <w:sz w:val="20"/>
                <w:szCs w:val="20"/>
                <w:lang w:eastAsia="hr-HR"/>
              </w:rPr>
              <w:t> </w:t>
            </w:r>
          </w:p>
        </w:tc>
        <w:tc>
          <w:tcPr>
            <w:tcW w:w="698" w:type="dxa"/>
            <w:tcBorders>
              <w:top w:val="nil"/>
              <w:left w:val="nil"/>
              <w:bottom w:val="single" w:sz="4" w:space="0" w:color="auto"/>
              <w:right w:val="single" w:sz="4" w:space="0" w:color="auto"/>
            </w:tcBorders>
            <w:shd w:val="clear" w:color="000000" w:fill="FFFF99"/>
            <w:noWrap/>
            <w:vAlign w:val="center"/>
            <w:hideMark/>
          </w:tcPr>
          <w:p w14:paraId="78BB2410" w14:textId="77777777" w:rsidR="000271A1" w:rsidRPr="000271A1" w:rsidRDefault="000271A1" w:rsidP="000271A1">
            <w:pPr>
              <w:spacing w:after="0" w:line="240" w:lineRule="auto"/>
              <w:jc w:val="right"/>
              <w:rPr>
                <w:rFonts w:ascii="Tahoma" w:eastAsia="Times New Roman" w:hAnsi="Tahoma" w:cs="Tahoma"/>
                <w:sz w:val="20"/>
                <w:szCs w:val="20"/>
                <w:lang w:eastAsia="hr-HR"/>
              </w:rPr>
            </w:pPr>
            <w:r w:rsidRPr="000271A1">
              <w:rPr>
                <w:rFonts w:ascii="Tahoma" w:eastAsia="Times New Roman" w:hAnsi="Tahoma" w:cs="Tahoma"/>
                <w:sz w:val="20"/>
                <w:szCs w:val="20"/>
                <w:lang w:eastAsia="hr-HR"/>
              </w:rPr>
              <w:t> </w:t>
            </w:r>
          </w:p>
        </w:tc>
        <w:tc>
          <w:tcPr>
            <w:tcW w:w="512" w:type="dxa"/>
            <w:tcBorders>
              <w:top w:val="nil"/>
              <w:left w:val="nil"/>
              <w:bottom w:val="single" w:sz="4" w:space="0" w:color="auto"/>
              <w:right w:val="single" w:sz="4" w:space="0" w:color="auto"/>
            </w:tcBorders>
            <w:shd w:val="clear" w:color="000000" w:fill="FFFF99"/>
            <w:noWrap/>
            <w:vAlign w:val="center"/>
            <w:hideMark/>
          </w:tcPr>
          <w:p w14:paraId="3E63790B" w14:textId="77777777" w:rsidR="000271A1" w:rsidRPr="000271A1" w:rsidRDefault="000271A1" w:rsidP="000271A1">
            <w:pPr>
              <w:spacing w:after="0" w:line="240" w:lineRule="auto"/>
              <w:jc w:val="right"/>
              <w:rPr>
                <w:rFonts w:ascii="Tahoma" w:eastAsia="Times New Roman" w:hAnsi="Tahoma" w:cs="Tahoma"/>
                <w:sz w:val="20"/>
                <w:szCs w:val="20"/>
                <w:lang w:eastAsia="hr-HR"/>
              </w:rPr>
            </w:pPr>
            <w:r w:rsidRPr="000271A1">
              <w:rPr>
                <w:rFonts w:ascii="Tahoma" w:eastAsia="Times New Roman" w:hAnsi="Tahoma" w:cs="Tahoma"/>
                <w:sz w:val="20"/>
                <w:szCs w:val="20"/>
                <w:lang w:eastAsia="hr-HR"/>
              </w:rPr>
              <w:t> </w:t>
            </w:r>
          </w:p>
        </w:tc>
        <w:tc>
          <w:tcPr>
            <w:tcW w:w="698" w:type="dxa"/>
            <w:tcBorders>
              <w:top w:val="nil"/>
              <w:left w:val="nil"/>
              <w:bottom w:val="single" w:sz="4" w:space="0" w:color="auto"/>
              <w:right w:val="single" w:sz="4" w:space="0" w:color="auto"/>
            </w:tcBorders>
            <w:shd w:val="clear" w:color="000000" w:fill="FFFF99"/>
            <w:noWrap/>
            <w:vAlign w:val="center"/>
            <w:hideMark/>
          </w:tcPr>
          <w:p w14:paraId="09275EF6" w14:textId="77777777" w:rsidR="000271A1" w:rsidRPr="000271A1" w:rsidRDefault="000271A1" w:rsidP="000271A1">
            <w:pPr>
              <w:spacing w:after="0" w:line="240" w:lineRule="auto"/>
              <w:jc w:val="right"/>
              <w:rPr>
                <w:rFonts w:ascii="Tahoma" w:eastAsia="Times New Roman" w:hAnsi="Tahoma" w:cs="Tahoma"/>
                <w:sz w:val="20"/>
                <w:szCs w:val="20"/>
                <w:lang w:eastAsia="hr-HR"/>
              </w:rPr>
            </w:pPr>
            <w:r w:rsidRPr="000271A1">
              <w:rPr>
                <w:rFonts w:ascii="Tahoma" w:eastAsia="Times New Roman" w:hAnsi="Tahoma" w:cs="Tahoma"/>
                <w:sz w:val="20"/>
                <w:szCs w:val="20"/>
                <w:lang w:eastAsia="hr-HR"/>
              </w:rPr>
              <w:t> </w:t>
            </w:r>
          </w:p>
        </w:tc>
        <w:tc>
          <w:tcPr>
            <w:tcW w:w="444" w:type="dxa"/>
            <w:tcBorders>
              <w:top w:val="nil"/>
              <w:left w:val="nil"/>
              <w:bottom w:val="single" w:sz="4" w:space="0" w:color="auto"/>
              <w:right w:val="single" w:sz="4" w:space="0" w:color="auto"/>
            </w:tcBorders>
            <w:shd w:val="clear" w:color="000000" w:fill="FFFF99"/>
            <w:noWrap/>
            <w:vAlign w:val="center"/>
            <w:hideMark/>
          </w:tcPr>
          <w:p w14:paraId="4672AD2D" w14:textId="77777777" w:rsidR="000271A1" w:rsidRPr="000271A1" w:rsidRDefault="000271A1" w:rsidP="000271A1">
            <w:pPr>
              <w:spacing w:after="0" w:line="240" w:lineRule="auto"/>
              <w:jc w:val="right"/>
              <w:rPr>
                <w:rFonts w:ascii="Tahoma" w:eastAsia="Times New Roman" w:hAnsi="Tahoma" w:cs="Tahoma"/>
                <w:sz w:val="20"/>
                <w:szCs w:val="20"/>
                <w:lang w:eastAsia="hr-HR"/>
              </w:rPr>
            </w:pPr>
            <w:r w:rsidRPr="000271A1">
              <w:rPr>
                <w:rFonts w:ascii="Tahoma" w:eastAsia="Times New Roman" w:hAnsi="Tahoma" w:cs="Tahoma"/>
                <w:sz w:val="20"/>
                <w:szCs w:val="20"/>
                <w:lang w:eastAsia="hr-HR"/>
              </w:rPr>
              <w:t> </w:t>
            </w:r>
          </w:p>
        </w:tc>
        <w:tc>
          <w:tcPr>
            <w:tcW w:w="698" w:type="dxa"/>
            <w:tcBorders>
              <w:top w:val="nil"/>
              <w:left w:val="nil"/>
              <w:bottom w:val="single" w:sz="4" w:space="0" w:color="auto"/>
              <w:right w:val="single" w:sz="4" w:space="0" w:color="auto"/>
            </w:tcBorders>
            <w:shd w:val="clear" w:color="000000" w:fill="FFFF99"/>
            <w:noWrap/>
            <w:vAlign w:val="center"/>
            <w:hideMark/>
          </w:tcPr>
          <w:p w14:paraId="386A7ED3" w14:textId="77777777" w:rsidR="000271A1" w:rsidRPr="000271A1" w:rsidRDefault="000271A1" w:rsidP="000271A1">
            <w:pPr>
              <w:spacing w:after="0" w:line="240" w:lineRule="auto"/>
              <w:jc w:val="right"/>
              <w:rPr>
                <w:rFonts w:ascii="Tahoma" w:eastAsia="Times New Roman" w:hAnsi="Tahoma" w:cs="Tahoma"/>
                <w:sz w:val="20"/>
                <w:szCs w:val="20"/>
                <w:lang w:eastAsia="hr-HR"/>
              </w:rPr>
            </w:pPr>
            <w:r w:rsidRPr="000271A1">
              <w:rPr>
                <w:rFonts w:ascii="Tahoma" w:eastAsia="Times New Roman" w:hAnsi="Tahoma" w:cs="Tahoma"/>
                <w:sz w:val="20"/>
                <w:szCs w:val="20"/>
                <w:lang w:eastAsia="hr-HR"/>
              </w:rPr>
              <w:t> </w:t>
            </w:r>
          </w:p>
        </w:tc>
        <w:tc>
          <w:tcPr>
            <w:tcW w:w="444" w:type="dxa"/>
            <w:gridSpan w:val="2"/>
            <w:tcBorders>
              <w:top w:val="nil"/>
              <w:left w:val="nil"/>
              <w:bottom w:val="single" w:sz="4" w:space="0" w:color="auto"/>
              <w:right w:val="single" w:sz="4" w:space="0" w:color="auto"/>
            </w:tcBorders>
            <w:shd w:val="clear" w:color="000000" w:fill="FF9900"/>
            <w:noWrap/>
            <w:vAlign w:val="center"/>
            <w:hideMark/>
          </w:tcPr>
          <w:p w14:paraId="68903892" w14:textId="77777777" w:rsidR="000271A1" w:rsidRPr="000271A1" w:rsidRDefault="000271A1" w:rsidP="000271A1">
            <w:pPr>
              <w:spacing w:after="0" w:line="240" w:lineRule="auto"/>
              <w:jc w:val="right"/>
              <w:rPr>
                <w:rFonts w:ascii="Tahoma" w:eastAsia="Times New Roman" w:hAnsi="Tahoma" w:cs="Tahoma"/>
                <w:sz w:val="20"/>
                <w:szCs w:val="20"/>
                <w:lang w:eastAsia="hr-HR"/>
              </w:rPr>
            </w:pPr>
            <w:r w:rsidRPr="000271A1">
              <w:rPr>
                <w:rFonts w:ascii="Tahoma" w:eastAsia="Times New Roman" w:hAnsi="Tahoma" w:cs="Tahoma"/>
                <w:sz w:val="20"/>
                <w:szCs w:val="20"/>
                <w:lang w:eastAsia="hr-HR"/>
              </w:rPr>
              <w:t>1</w:t>
            </w:r>
          </w:p>
        </w:tc>
        <w:tc>
          <w:tcPr>
            <w:tcW w:w="521" w:type="dxa"/>
            <w:tcBorders>
              <w:top w:val="nil"/>
              <w:left w:val="nil"/>
              <w:bottom w:val="single" w:sz="4" w:space="0" w:color="auto"/>
              <w:right w:val="single" w:sz="4" w:space="0" w:color="auto"/>
            </w:tcBorders>
            <w:shd w:val="clear" w:color="000000" w:fill="FF9900"/>
            <w:noWrap/>
            <w:vAlign w:val="center"/>
            <w:hideMark/>
          </w:tcPr>
          <w:p w14:paraId="7FD723A9" w14:textId="77777777" w:rsidR="000271A1" w:rsidRPr="000271A1" w:rsidRDefault="000271A1" w:rsidP="000271A1">
            <w:pPr>
              <w:spacing w:after="0" w:line="240" w:lineRule="auto"/>
              <w:jc w:val="right"/>
              <w:rPr>
                <w:rFonts w:ascii="Tahoma" w:eastAsia="Times New Roman" w:hAnsi="Tahoma" w:cs="Tahoma"/>
                <w:sz w:val="20"/>
                <w:szCs w:val="20"/>
                <w:lang w:eastAsia="hr-HR"/>
              </w:rPr>
            </w:pPr>
            <w:r w:rsidRPr="000271A1">
              <w:rPr>
                <w:rFonts w:ascii="Tahoma" w:eastAsia="Times New Roman" w:hAnsi="Tahoma" w:cs="Tahoma"/>
                <w:sz w:val="20"/>
                <w:szCs w:val="20"/>
                <w:lang w:eastAsia="hr-HR"/>
              </w:rPr>
              <w:t> </w:t>
            </w:r>
          </w:p>
        </w:tc>
        <w:tc>
          <w:tcPr>
            <w:tcW w:w="521" w:type="dxa"/>
            <w:tcBorders>
              <w:top w:val="nil"/>
              <w:left w:val="nil"/>
              <w:bottom w:val="single" w:sz="4" w:space="0" w:color="auto"/>
              <w:right w:val="single" w:sz="4" w:space="0" w:color="auto"/>
            </w:tcBorders>
            <w:shd w:val="clear" w:color="000000" w:fill="FF9900"/>
            <w:noWrap/>
            <w:vAlign w:val="center"/>
            <w:hideMark/>
          </w:tcPr>
          <w:p w14:paraId="7B7FF670" w14:textId="77777777" w:rsidR="000271A1" w:rsidRPr="000271A1" w:rsidRDefault="000271A1" w:rsidP="000271A1">
            <w:pPr>
              <w:spacing w:after="0" w:line="240" w:lineRule="auto"/>
              <w:jc w:val="right"/>
              <w:rPr>
                <w:rFonts w:ascii="Tahoma" w:eastAsia="Times New Roman" w:hAnsi="Tahoma" w:cs="Tahoma"/>
                <w:sz w:val="20"/>
                <w:szCs w:val="20"/>
                <w:lang w:eastAsia="hr-HR"/>
              </w:rPr>
            </w:pPr>
            <w:r w:rsidRPr="000271A1">
              <w:rPr>
                <w:rFonts w:ascii="Tahoma" w:eastAsia="Times New Roman" w:hAnsi="Tahoma" w:cs="Tahoma"/>
                <w:sz w:val="20"/>
                <w:szCs w:val="20"/>
                <w:lang w:eastAsia="hr-HR"/>
              </w:rPr>
              <w:t>1</w:t>
            </w:r>
          </w:p>
        </w:tc>
        <w:tc>
          <w:tcPr>
            <w:tcW w:w="521" w:type="dxa"/>
            <w:gridSpan w:val="2"/>
            <w:tcBorders>
              <w:top w:val="nil"/>
              <w:left w:val="nil"/>
              <w:bottom w:val="single" w:sz="4" w:space="0" w:color="auto"/>
              <w:right w:val="single" w:sz="4" w:space="0" w:color="auto"/>
            </w:tcBorders>
            <w:shd w:val="clear" w:color="000000" w:fill="FFFF00"/>
            <w:vAlign w:val="center"/>
            <w:hideMark/>
          </w:tcPr>
          <w:p w14:paraId="771E2430" w14:textId="77777777" w:rsidR="000271A1" w:rsidRPr="000271A1" w:rsidRDefault="000271A1" w:rsidP="000271A1">
            <w:pPr>
              <w:spacing w:after="0" w:line="240" w:lineRule="auto"/>
              <w:jc w:val="right"/>
              <w:rPr>
                <w:rFonts w:ascii="Tahoma" w:eastAsia="Times New Roman" w:hAnsi="Tahoma" w:cs="Tahoma"/>
                <w:sz w:val="20"/>
                <w:szCs w:val="20"/>
                <w:lang w:eastAsia="hr-HR"/>
              </w:rPr>
            </w:pPr>
            <w:r w:rsidRPr="000271A1">
              <w:rPr>
                <w:rFonts w:ascii="Tahoma" w:eastAsia="Times New Roman" w:hAnsi="Tahoma" w:cs="Tahoma"/>
                <w:sz w:val="20"/>
                <w:szCs w:val="20"/>
                <w:lang w:eastAsia="hr-HR"/>
              </w:rPr>
              <w:t>2</w:t>
            </w:r>
          </w:p>
        </w:tc>
        <w:tc>
          <w:tcPr>
            <w:tcW w:w="702" w:type="dxa"/>
            <w:tcBorders>
              <w:top w:val="nil"/>
              <w:left w:val="nil"/>
              <w:bottom w:val="single" w:sz="4" w:space="0" w:color="auto"/>
              <w:right w:val="single" w:sz="4" w:space="0" w:color="auto"/>
            </w:tcBorders>
            <w:shd w:val="clear" w:color="000000" w:fill="FF9900"/>
            <w:vAlign w:val="center"/>
            <w:hideMark/>
          </w:tcPr>
          <w:p w14:paraId="5A5F4F3B" w14:textId="77777777" w:rsidR="000271A1" w:rsidRPr="000271A1" w:rsidRDefault="000271A1" w:rsidP="000271A1">
            <w:pPr>
              <w:spacing w:after="0" w:line="240" w:lineRule="auto"/>
              <w:jc w:val="right"/>
              <w:rPr>
                <w:rFonts w:ascii="Tahoma" w:eastAsia="Times New Roman" w:hAnsi="Tahoma" w:cs="Tahoma"/>
                <w:sz w:val="20"/>
                <w:szCs w:val="20"/>
                <w:lang w:eastAsia="hr-HR"/>
              </w:rPr>
            </w:pPr>
            <w:r w:rsidRPr="000271A1">
              <w:rPr>
                <w:rFonts w:ascii="Tahoma" w:eastAsia="Times New Roman" w:hAnsi="Tahoma" w:cs="Tahoma"/>
                <w:sz w:val="20"/>
                <w:szCs w:val="20"/>
                <w:lang w:eastAsia="hr-HR"/>
              </w:rPr>
              <w:t>1</w:t>
            </w:r>
          </w:p>
        </w:tc>
        <w:tc>
          <w:tcPr>
            <w:tcW w:w="907" w:type="dxa"/>
            <w:tcBorders>
              <w:top w:val="nil"/>
              <w:left w:val="nil"/>
              <w:bottom w:val="single" w:sz="4" w:space="0" w:color="auto"/>
              <w:right w:val="single" w:sz="4" w:space="0" w:color="auto"/>
            </w:tcBorders>
            <w:shd w:val="clear" w:color="000000" w:fill="FF9900"/>
            <w:noWrap/>
            <w:vAlign w:val="center"/>
            <w:hideMark/>
          </w:tcPr>
          <w:p w14:paraId="156F65C6" w14:textId="77777777" w:rsidR="000271A1" w:rsidRPr="000271A1" w:rsidRDefault="000271A1" w:rsidP="000271A1">
            <w:pPr>
              <w:spacing w:after="0" w:line="240" w:lineRule="auto"/>
              <w:jc w:val="right"/>
              <w:rPr>
                <w:rFonts w:ascii="Tahoma" w:eastAsia="Times New Roman" w:hAnsi="Tahoma" w:cs="Tahoma"/>
                <w:sz w:val="20"/>
                <w:szCs w:val="20"/>
                <w:lang w:eastAsia="hr-HR"/>
              </w:rPr>
            </w:pPr>
            <w:r w:rsidRPr="000271A1">
              <w:rPr>
                <w:rFonts w:ascii="Tahoma" w:eastAsia="Times New Roman" w:hAnsi="Tahoma" w:cs="Tahoma"/>
                <w:sz w:val="20"/>
                <w:szCs w:val="20"/>
                <w:lang w:eastAsia="hr-HR"/>
              </w:rPr>
              <w:t>1</w:t>
            </w:r>
          </w:p>
        </w:tc>
        <w:tc>
          <w:tcPr>
            <w:tcW w:w="553" w:type="dxa"/>
            <w:tcBorders>
              <w:top w:val="nil"/>
              <w:left w:val="nil"/>
              <w:bottom w:val="single" w:sz="4" w:space="0" w:color="auto"/>
              <w:right w:val="single" w:sz="4" w:space="0" w:color="auto"/>
            </w:tcBorders>
            <w:shd w:val="clear" w:color="000000" w:fill="FF9900"/>
            <w:noWrap/>
            <w:vAlign w:val="center"/>
            <w:hideMark/>
          </w:tcPr>
          <w:p w14:paraId="6DA02083" w14:textId="77777777" w:rsidR="000271A1" w:rsidRPr="000271A1" w:rsidRDefault="000271A1" w:rsidP="000271A1">
            <w:pPr>
              <w:spacing w:after="0" w:line="240" w:lineRule="auto"/>
              <w:jc w:val="right"/>
              <w:rPr>
                <w:rFonts w:ascii="Tahoma" w:eastAsia="Times New Roman" w:hAnsi="Tahoma" w:cs="Tahoma"/>
                <w:sz w:val="20"/>
                <w:szCs w:val="20"/>
                <w:lang w:eastAsia="hr-HR"/>
              </w:rPr>
            </w:pPr>
            <w:r w:rsidRPr="000271A1">
              <w:rPr>
                <w:rFonts w:ascii="Tahoma" w:eastAsia="Times New Roman" w:hAnsi="Tahoma" w:cs="Tahoma"/>
                <w:sz w:val="20"/>
                <w:szCs w:val="20"/>
                <w:lang w:eastAsia="hr-HR"/>
              </w:rPr>
              <w:t> </w:t>
            </w:r>
          </w:p>
        </w:tc>
        <w:tc>
          <w:tcPr>
            <w:tcW w:w="918" w:type="dxa"/>
            <w:tcBorders>
              <w:top w:val="nil"/>
              <w:left w:val="nil"/>
              <w:bottom w:val="single" w:sz="4" w:space="0" w:color="auto"/>
              <w:right w:val="single" w:sz="4" w:space="0" w:color="auto"/>
            </w:tcBorders>
            <w:shd w:val="clear" w:color="000000" w:fill="FF9900"/>
            <w:noWrap/>
            <w:vAlign w:val="center"/>
            <w:hideMark/>
          </w:tcPr>
          <w:p w14:paraId="330C3BA6" w14:textId="77777777" w:rsidR="000271A1" w:rsidRPr="000271A1" w:rsidRDefault="000271A1" w:rsidP="000271A1">
            <w:pPr>
              <w:spacing w:after="0" w:line="240" w:lineRule="auto"/>
              <w:jc w:val="right"/>
              <w:rPr>
                <w:rFonts w:ascii="Tahoma" w:eastAsia="Times New Roman" w:hAnsi="Tahoma" w:cs="Tahoma"/>
                <w:sz w:val="20"/>
                <w:szCs w:val="20"/>
                <w:lang w:eastAsia="hr-HR"/>
              </w:rPr>
            </w:pPr>
            <w:r w:rsidRPr="000271A1">
              <w:rPr>
                <w:rFonts w:ascii="Tahoma" w:eastAsia="Times New Roman" w:hAnsi="Tahoma" w:cs="Tahoma"/>
                <w:sz w:val="20"/>
                <w:szCs w:val="20"/>
                <w:lang w:eastAsia="hr-HR"/>
              </w:rPr>
              <w:t> </w:t>
            </w:r>
          </w:p>
        </w:tc>
        <w:tc>
          <w:tcPr>
            <w:tcW w:w="428" w:type="dxa"/>
            <w:tcBorders>
              <w:top w:val="nil"/>
              <w:left w:val="nil"/>
              <w:bottom w:val="single" w:sz="4" w:space="0" w:color="auto"/>
              <w:right w:val="single" w:sz="4" w:space="0" w:color="auto"/>
            </w:tcBorders>
            <w:shd w:val="clear" w:color="000000" w:fill="CCFFFF"/>
            <w:noWrap/>
            <w:vAlign w:val="center"/>
            <w:hideMark/>
          </w:tcPr>
          <w:p w14:paraId="77592518" w14:textId="77777777" w:rsidR="000271A1" w:rsidRPr="000271A1" w:rsidRDefault="000271A1" w:rsidP="000271A1">
            <w:pPr>
              <w:spacing w:after="0" w:line="240" w:lineRule="auto"/>
              <w:jc w:val="right"/>
              <w:rPr>
                <w:rFonts w:ascii="Tahoma" w:eastAsia="Times New Roman" w:hAnsi="Tahoma" w:cs="Tahoma"/>
                <w:sz w:val="20"/>
                <w:szCs w:val="20"/>
                <w:lang w:eastAsia="hr-HR"/>
              </w:rPr>
            </w:pPr>
            <w:r w:rsidRPr="000271A1">
              <w:rPr>
                <w:rFonts w:ascii="Tahoma" w:eastAsia="Times New Roman" w:hAnsi="Tahoma" w:cs="Tahoma"/>
                <w:sz w:val="20"/>
                <w:szCs w:val="20"/>
                <w:lang w:eastAsia="hr-HR"/>
              </w:rPr>
              <w:t> </w:t>
            </w:r>
          </w:p>
        </w:tc>
        <w:tc>
          <w:tcPr>
            <w:tcW w:w="428" w:type="dxa"/>
            <w:tcBorders>
              <w:top w:val="nil"/>
              <w:left w:val="nil"/>
              <w:bottom w:val="single" w:sz="4" w:space="0" w:color="auto"/>
              <w:right w:val="single" w:sz="4" w:space="0" w:color="auto"/>
            </w:tcBorders>
            <w:shd w:val="clear" w:color="000000" w:fill="CCFFFF"/>
            <w:noWrap/>
            <w:vAlign w:val="center"/>
            <w:hideMark/>
          </w:tcPr>
          <w:p w14:paraId="31F10919" w14:textId="77777777" w:rsidR="000271A1" w:rsidRPr="000271A1" w:rsidRDefault="000271A1" w:rsidP="000271A1">
            <w:pPr>
              <w:spacing w:after="0" w:line="240" w:lineRule="auto"/>
              <w:jc w:val="right"/>
              <w:rPr>
                <w:rFonts w:ascii="Tahoma" w:eastAsia="Times New Roman" w:hAnsi="Tahoma" w:cs="Tahoma"/>
                <w:sz w:val="20"/>
                <w:szCs w:val="20"/>
                <w:lang w:eastAsia="hr-HR"/>
              </w:rPr>
            </w:pPr>
            <w:r w:rsidRPr="000271A1">
              <w:rPr>
                <w:rFonts w:ascii="Tahoma" w:eastAsia="Times New Roman" w:hAnsi="Tahoma" w:cs="Tahoma"/>
                <w:sz w:val="20"/>
                <w:szCs w:val="20"/>
                <w:lang w:eastAsia="hr-HR"/>
              </w:rPr>
              <w:t>2</w:t>
            </w:r>
          </w:p>
        </w:tc>
        <w:tc>
          <w:tcPr>
            <w:tcW w:w="425" w:type="dxa"/>
            <w:tcBorders>
              <w:top w:val="nil"/>
              <w:left w:val="nil"/>
              <w:bottom w:val="single" w:sz="4" w:space="0" w:color="auto"/>
              <w:right w:val="single" w:sz="4" w:space="0" w:color="auto"/>
            </w:tcBorders>
            <w:shd w:val="clear" w:color="000000" w:fill="CCFFFF"/>
            <w:noWrap/>
            <w:vAlign w:val="center"/>
            <w:hideMark/>
          </w:tcPr>
          <w:p w14:paraId="06F6D5D5" w14:textId="77777777" w:rsidR="000271A1" w:rsidRPr="000271A1" w:rsidRDefault="000271A1" w:rsidP="000271A1">
            <w:pPr>
              <w:spacing w:after="0" w:line="240" w:lineRule="auto"/>
              <w:jc w:val="right"/>
              <w:rPr>
                <w:rFonts w:ascii="Tahoma" w:eastAsia="Times New Roman" w:hAnsi="Tahoma" w:cs="Tahoma"/>
                <w:sz w:val="20"/>
                <w:szCs w:val="20"/>
                <w:lang w:eastAsia="hr-HR"/>
              </w:rPr>
            </w:pPr>
            <w:r w:rsidRPr="000271A1">
              <w:rPr>
                <w:rFonts w:ascii="Tahoma" w:eastAsia="Times New Roman" w:hAnsi="Tahoma" w:cs="Tahoma"/>
                <w:sz w:val="20"/>
                <w:szCs w:val="20"/>
                <w:lang w:eastAsia="hr-HR"/>
              </w:rPr>
              <w:t> </w:t>
            </w:r>
          </w:p>
        </w:tc>
        <w:tc>
          <w:tcPr>
            <w:tcW w:w="425" w:type="dxa"/>
            <w:tcBorders>
              <w:top w:val="nil"/>
              <w:left w:val="nil"/>
              <w:bottom w:val="single" w:sz="4" w:space="0" w:color="auto"/>
              <w:right w:val="nil"/>
            </w:tcBorders>
            <w:shd w:val="clear" w:color="000000" w:fill="33CCCC"/>
            <w:noWrap/>
            <w:vAlign w:val="center"/>
            <w:hideMark/>
          </w:tcPr>
          <w:p w14:paraId="46760660" w14:textId="77777777" w:rsidR="000271A1" w:rsidRPr="000271A1" w:rsidRDefault="000271A1" w:rsidP="000271A1">
            <w:pPr>
              <w:spacing w:after="0" w:line="240" w:lineRule="auto"/>
              <w:jc w:val="right"/>
              <w:rPr>
                <w:rFonts w:ascii="Tahoma" w:eastAsia="Times New Roman" w:hAnsi="Tahoma" w:cs="Tahoma"/>
                <w:sz w:val="20"/>
                <w:szCs w:val="20"/>
                <w:lang w:eastAsia="hr-HR"/>
              </w:rPr>
            </w:pPr>
            <w:r w:rsidRPr="000271A1">
              <w:rPr>
                <w:rFonts w:ascii="Tahoma" w:eastAsia="Times New Roman" w:hAnsi="Tahoma" w:cs="Tahoma"/>
                <w:sz w:val="20"/>
                <w:szCs w:val="20"/>
                <w:lang w:eastAsia="hr-HR"/>
              </w:rPr>
              <w:t>1</w:t>
            </w:r>
          </w:p>
        </w:tc>
        <w:tc>
          <w:tcPr>
            <w:tcW w:w="440" w:type="dxa"/>
            <w:gridSpan w:val="2"/>
            <w:tcBorders>
              <w:top w:val="nil"/>
              <w:left w:val="single" w:sz="4" w:space="0" w:color="auto"/>
              <w:bottom w:val="single" w:sz="4" w:space="0" w:color="auto"/>
              <w:right w:val="single" w:sz="8" w:space="0" w:color="auto"/>
            </w:tcBorders>
            <w:shd w:val="clear" w:color="000000" w:fill="33CCCC"/>
            <w:noWrap/>
            <w:vAlign w:val="center"/>
            <w:hideMark/>
          </w:tcPr>
          <w:p w14:paraId="38DF5AFB" w14:textId="77777777" w:rsidR="000271A1" w:rsidRPr="000271A1" w:rsidRDefault="000271A1" w:rsidP="000271A1">
            <w:pPr>
              <w:spacing w:after="0" w:line="240" w:lineRule="auto"/>
              <w:jc w:val="right"/>
              <w:rPr>
                <w:rFonts w:ascii="Tahoma" w:eastAsia="Times New Roman" w:hAnsi="Tahoma" w:cs="Tahoma"/>
                <w:sz w:val="20"/>
                <w:szCs w:val="20"/>
                <w:lang w:eastAsia="hr-HR"/>
              </w:rPr>
            </w:pPr>
            <w:r w:rsidRPr="000271A1">
              <w:rPr>
                <w:rFonts w:ascii="Tahoma" w:eastAsia="Times New Roman" w:hAnsi="Tahoma" w:cs="Tahoma"/>
                <w:sz w:val="20"/>
                <w:szCs w:val="20"/>
                <w:lang w:eastAsia="hr-HR"/>
              </w:rPr>
              <w:t>1</w:t>
            </w:r>
          </w:p>
        </w:tc>
        <w:tc>
          <w:tcPr>
            <w:tcW w:w="236" w:type="dxa"/>
            <w:vAlign w:val="center"/>
            <w:hideMark/>
          </w:tcPr>
          <w:p w14:paraId="6BB21B4F" w14:textId="77777777" w:rsidR="000271A1" w:rsidRPr="000271A1" w:rsidRDefault="000271A1" w:rsidP="000271A1">
            <w:pPr>
              <w:spacing w:after="0" w:line="240" w:lineRule="auto"/>
              <w:rPr>
                <w:rFonts w:ascii="Times New Roman" w:eastAsia="Times New Roman" w:hAnsi="Times New Roman" w:cs="Times New Roman"/>
                <w:sz w:val="20"/>
                <w:szCs w:val="20"/>
                <w:lang w:eastAsia="hr-HR"/>
              </w:rPr>
            </w:pPr>
          </w:p>
        </w:tc>
      </w:tr>
      <w:tr w:rsidR="000271A1" w:rsidRPr="000271A1" w14:paraId="176FDDAF" w14:textId="77777777" w:rsidTr="000271A1">
        <w:trPr>
          <w:gridAfter w:val="1"/>
          <w:wAfter w:w="26" w:type="dxa"/>
          <w:trHeight w:val="300"/>
        </w:trPr>
        <w:tc>
          <w:tcPr>
            <w:tcW w:w="1119" w:type="dxa"/>
            <w:tcBorders>
              <w:top w:val="single" w:sz="4" w:space="0" w:color="auto"/>
              <w:left w:val="single" w:sz="8" w:space="0" w:color="auto"/>
              <w:bottom w:val="single" w:sz="4" w:space="0" w:color="auto"/>
              <w:right w:val="single" w:sz="4" w:space="0" w:color="auto"/>
            </w:tcBorders>
            <w:shd w:val="clear" w:color="000000" w:fill="CCFFCC"/>
            <w:vAlign w:val="center"/>
            <w:hideMark/>
          </w:tcPr>
          <w:p w14:paraId="52247EAB" w14:textId="77777777" w:rsidR="000271A1" w:rsidRPr="000271A1" w:rsidRDefault="000271A1" w:rsidP="000271A1">
            <w:pPr>
              <w:spacing w:after="0" w:line="240" w:lineRule="auto"/>
              <w:rPr>
                <w:rFonts w:ascii="Tahoma" w:eastAsia="Times New Roman" w:hAnsi="Tahoma" w:cs="Tahoma"/>
                <w:sz w:val="20"/>
                <w:szCs w:val="20"/>
                <w:lang w:eastAsia="hr-HR"/>
              </w:rPr>
            </w:pPr>
            <w:r w:rsidRPr="000271A1">
              <w:rPr>
                <w:rFonts w:ascii="Tahoma" w:eastAsia="Times New Roman" w:hAnsi="Tahoma" w:cs="Tahoma"/>
                <w:sz w:val="20"/>
                <w:szCs w:val="20"/>
                <w:lang w:eastAsia="hr-HR"/>
              </w:rPr>
              <w:t>Jezik</w:t>
            </w:r>
          </w:p>
        </w:tc>
        <w:tc>
          <w:tcPr>
            <w:tcW w:w="671" w:type="dxa"/>
            <w:tcBorders>
              <w:top w:val="nil"/>
              <w:left w:val="nil"/>
              <w:bottom w:val="single" w:sz="4" w:space="0" w:color="auto"/>
              <w:right w:val="single" w:sz="4" w:space="0" w:color="auto"/>
            </w:tcBorders>
            <w:shd w:val="clear" w:color="000000" w:fill="FFCC99"/>
            <w:noWrap/>
            <w:vAlign w:val="center"/>
            <w:hideMark/>
          </w:tcPr>
          <w:p w14:paraId="5D1C437B" w14:textId="77777777" w:rsidR="000271A1" w:rsidRPr="000271A1" w:rsidRDefault="000271A1" w:rsidP="000271A1">
            <w:pPr>
              <w:spacing w:after="0" w:line="240" w:lineRule="auto"/>
              <w:jc w:val="right"/>
              <w:rPr>
                <w:rFonts w:ascii="Tahoma" w:eastAsia="Times New Roman" w:hAnsi="Tahoma" w:cs="Tahoma"/>
                <w:sz w:val="20"/>
                <w:szCs w:val="20"/>
                <w:lang w:eastAsia="hr-HR"/>
              </w:rPr>
            </w:pPr>
            <w:r w:rsidRPr="000271A1">
              <w:rPr>
                <w:rFonts w:ascii="Tahoma" w:eastAsia="Times New Roman" w:hAnsi="Tahoma" w:cs="Tahoma"/>
                <w:sz w:val="20"/>
                <w:szCs w:val="20"/>
                <w:lang w:eastAsia="hr-HR"/>
              </w:rPr>
              <w:t> </w:t>
            </w:r>
          </w:p>
        </w:tc>
        <w:tc>
          <w:tcPr>
            <w:tcW w:w="519" w:type="dxa"/>
            <w:tcBorders>
              <w:top w:val="nil"/>
              <w:left w:val="nil"/>
              <w:bottom w:val="single" w:sz="4" w:space="0" w:color="auto"/>
              <w:right w:val="single" w:sz="4" w:space="0" w:color="auto"/>
            </w:tcBorders>
            <w:shd w:val="clear" w:color="000000" w:fill="FFFF00"/>
            <w:noWrap/>
            <w:vAlign w:val="center"/>
            <w:hideMark/>
          </w:tcPr>
          <w:p w14:paraId="2055ABF7" w14:textId="77777777" w:rsidR="000271A1" w:rsidRPr="000271A1" w:rsidRDefault="000271A1" w:rsidP="000271A1">
            <w:pPr>
              <w:spacing w:after="0" w:line="240" w:lineRule="auto"/>
              <w:jc w:val="right"/>
              <w:rPr>
                <w:rFonts w:ascii="Tahoma" w:eastAsia="Times New Roman" w:hAnsi="Tahoma" w:cs="Tahoma"/>
                <w:sz w:val="20"/>
                <w:szCs w:val="20"/>
                <w:lang w:eastAsia="hr-HR"/>
              </w:rPr>
            </w:pPr>
            <w:r w:rsidRPr="000271A1">
              <w:rPr>
                <w:rFonts w:ascii="Tahoma" w:eastAsia="Times New Roman" w:hAnsi="Tahoma" w:cs="Tahoma"/>
                <w:sz w:val="20"/>
                <w:szCs w:val="20"/>
                <w:lang w:eastAsia="hr-HR"/>
              </w:rPr>
              <w:t> </w:t>
            </w:r>
          </w:p>
        </w:tc>
        <w:tc>
          <w:tcPr>
            <w:tcW w:w="365" w:type="dxa"/>
            <w:tcBorders>
              <w:top w:val="nil"/>
              <w:left w:val="nil"/>
              <w:bottom w:val="single" w:sz="4" w:space="0" w:color="auto"/>
              <w:right w:val="single" w:sz="4" w:space="0" w:color="auto"/>
            </w:tcBorders>
            <w:shd w:val="clear" w:color="000000" w:fill="CCFFFF"/>
            <w:noWrap/>
            <w:vAlign w:val="center"/>
            <w:hideMark/>
          </w:tcPr>
          <w:p w14:paraId="11B2D3E3" w14:textId="77777777" w:rsidR="000271A1" w:rsidRPr="000271A1" w:rsidRDefault="000271A1" w:rsidP="000271A1">
            <w:pPr>
              <w:spacing w:after="0" w:line="240" w:lineRule="auto"/>
              <w:jc w:val="right"/>
              <w:rPr>
                <w:rFonts w:ascii="Tahoma" w:eastAsia="Times New Roman" w:hAnsi="Tahoma" w:cs="Tahoma"/>
                <w:sz w:val="20"/>
                <w:szCs w:val="20"/>
                <w:lang w:eastAsia="hr-HR"/>
              </w:rPr>
            </w:pPr>
            <w:r w:rsidRPr="000271A1">
              <w:rPr>
                <w:rFonts w:ascii="Tahoma" w:eastAsia="Times New Roman" w:hAnsi="Tahoma" w:cs="Tahoma"/>
                <w:sz w:val="20"/>
                <w:szCs w:val="20"/>
                <w:lang w:eastAsia="hr-HR"/>
              </w:rPr>
              <w:t> </w:t>
            </w:r>
          </w:p>
        </w:tc>
        <w:tc>
          <w:tcPr>
            <w:tcW w:w="379" w:type="dxa"/>
            <w:tcBorders>
              <w:top w:val="nil"/>
              <w:left w:val="nil"/>
              <w:bottom w:val="single" w:sz="4" w:space="0" w:color="auto"/>
              <w:right w:val="single" w:sz="4" w:space="0" w:color="auto"/>
            </w:tcBorders>
            <w:shd w:val="clear" w:color="000000" w:fill="CCFFFF"/>
            <w:noWrap/>
            <w:vAlign w:val="center"/>
            <w:hideMark/>
          </w:tcPr>
          <w:p w14:paraId="147764F0" w14:textId="77777777" w:rsidR="000271A1" w:rsidRPr="000271A1" w:rsidRDefault="000271A1" w:rsidP="000271A1">
            <w:pPr>
              <w:spacing w:after="0" w:line="240" w:lineRule="auto"/>
              <w:jc w:val="right"/>
              <w:rPr>
                <w:rFonts w:ascii="Tahoma" w:eastAsia="Times New Roman" w:hAnsi="Tahoma" w:cs="Tahoma"/>
                <w:sz w:val="20"/>
                <w:szCs w:val="20"/>
                <w:lang w:eastAsia="hr-HR"/>
              </w:rPr>
            </w:pPr>
            <w:r w:rsidRPr="000271A1">
              <w:rPr>
                <w:rFonts w:ascii="Tahoma" w:eastAsia="Times New Roman" w:hAnsi="Tahoma" w:cs="Tahoma"/>
                <w:sz w:val="20"/>
                <w:szCs w:val="20"/>
                <w:lang w:eastAsia="hr-HR"/>
              </w:rPr>
              <w:t> </w:t>
            </w:r>
          </w:p>
        </w:tc>
        <w:tc>
          <w:tcPr>
            <w:tcW w:w="698" w:type="dxa"/>
            <w:tcBorders>
              <w:top w:val="nil"/>
              <w:left w:val="nil"/>
              <w:bottom w:val="single" w:sz="4" w:space="0" w:color="auto"/>
              <w:right w:val="single" w:sz="4" w:space="0" w:color="auto"/>
            </w:tcBorders>
            <w:shd w:val="clear" w:color="000000" w:fill="FFFF99"/>
            <w:noWrap/>
            <w:vAlign w:val="center"/>
            <w:hideMark/>
          </w:tcPr>
          <w:p w14:paraId="43680AE0" w14:textId="77777777" w:rsidR="000271A1" w:rsidRPr="000271A1" w:rsidRDefault="000271A1" w:rsidP="000271A1">
            <w:pPr>
              <w:spacing w:after="0" w:line="240" w:lineRule="auto"/>
              <w:jc w:val="right"/>
              <w:rPr>
                <w:rFonts w:ascii="Tahoma" w:eastAsia="Times New Roman" w:hAnsi="Tahoma" w:cs="Tahoma"/>
                <w:sz w:val="20"/>
                <w:szCs w:val="20"/>
                <w:lang w:eastAsia="hr-HR"/>
              </w:rPr>
            </w:pPr>
            <w:r w:rsidRPr="000271A1">
              <w:rPr>
                <w:rFonts w:ascii="Tahoma" w:eastAsia="Times New Roman" w:hAnsi="Tahoma" w:cs="Tahoma"/>
                <w:sz w:val="20"/>
                <w:szCs w:val="20"/>
                <w:lang w:eastAsia="hr-HR"/>
              </w:rPr>
              <w:t> </w:t>
            </w:r>
          </w:p>
        </w:tc>
        <w:tc>
          <w:tcPr>
            <w:tcW w:w="698" w:type="dxa"/>
            <w:tcBorders>
              <w:top w:val="nil"/>
              <w:left w:val="nil"/>
              <w:bottom w:val="single" w:sz="4" w:space="0" w:color="auto"/>
              <w:right w:val="single" w:sz="4" w:space="0" w:color="auto"/>
            </w:tcBorders>
            <w:shd w:val="clear" w:color="000000" w:fill="FFFF99"/>
            <w:noWrap/>
            <w:vAlign w:val="center"/>
            <w:hideMark/>
          </w:tcPr>
          <w:p w14:paraId="09761C5A" w14:textId="77777777" w:rsidR="000271A1" w:rsidRPr="000271A1" w:rsidRDefault="000271A1" w:rsidP="000271A1">
            <w:pPr>
              <w:spacing w:after="0" w:line="240" w:lineRule="auto"/>
              <w:jc w:val="right"/>
              <w:rPr>
                <w:rFonts w:ascii="Tahoma" w:eastAsia="Times New Roman" w:hAnsi="Tahoma" w:cs="Tahoma"/>
                <w:sz w:val="20"/>
                <w:szCs w:val="20"/>
                <w:lang w:eastAsia="hr-HR"/>
              </w:rPr>
            </w:pPr>
            <w:r w:rsidRPr="000271A1">
              <w:rPr>
                <w:rFonts w:ascii="Tahoma" w:eastAsia="Times New Roman" w:hAnsi="Tahoma" w:cs="Tahoma"/>
                <w:sz w:val="20"/>
                <w:szCs w:val="20"/>
                <w:lang w:eastAsia="hr-HR"/>
              </w:rPr>
              <w:t> </w:t>
            </w:r>
          </w:p>
        </w:tc>
        <w:tc>
          <w:tcPr>
            <w:tcW w:w="512" w:type="dxa"/>
            <w:tcBorders>
              <w:top w:val="nil"/>
              <w:left w:val="nil"/>
              <w:bottom w:val="single" w:sz="4" w:space="0" w:color="auto"/>
              <w:right w:val="single" w:sz="4" w:space="0" w:color="auto"/>
            </w:tcBorders>
            <w:shd w:val="clear" w:color="000000" w:fill="FFFF99"/>
            <w:noWrap/>
            <w:vAlign w:val="center"/>
            <w:hideMark/>
          </w:tcPr>
          <w:p w14:paraId="132A6E88" w14:textId="77777777" w:rsidR="000271A1" w:rsidRPr="000271A1" w:rsidRDefault="000271A1" w:rsidP="000271A1">
            <w:pPr>
              <w:spacing w:after="0" w:line="240" w:lineRule="auto"/>
              <w:jc w:val="right"/>
              <w:rPr>
                <w:rFonts w:ascii="Tahoma" w:eastAsia="Times New Roman" w:hAnsi="Tahoma" w:cs="Tahoma"/>
                <w:sz w:val="20"/>
                <w:szCs w:val="20"/>
                <w:lang w:eastAsia="hr-HR"/>
              </w:rPr>
            </w:pPr>
            <w:r w:rsidRPr="000271A1">
              <w:rPr>
                <w:rFonts w:ascii="Tahoma" w:eastAsia="Times New Roman" w:hAnsi="Tahoma" w:cs="Tahoma"/>
                <w:sz w:val="20"/>
                <w:szCs w:val="20"/>
                <w:lang w:eastAsia="hr-HR"/>
              </w:rPr>
              <w:t> </w:t>
            </w:r>
          </w:p>
        </w:tc>
        <w:tc>
          <w:tcPr>
            <w:tcW w:w="698" w:type="dxa"/>
            <w:tcBorders>
              <w:top w:val="nil"/>
              <w:left w:val="nil"/>
              <w:bottom w:val="single" w:sz="4" w:space="0" w:color="auto"/>
              <w:right w:val="single" w:sz="4" w:space="0" w:color="auto"/>
            </w:tcBorders>
            <w:shd w:val="clear" w:color="000000" w:fill="FFFF99"/>
            <w:noWrap/>
            <w:vAlign w:val="center"/>
            <w:hideMark/>
          </w:tcPr>
          <w:p w14:paraId="5DDF15F8" w14:textId="77777777" w:rsidR="000271A1" w:rsidRPr="000271A1" w:rsidRDefault="000271A1" w:rsidP="000271A1">
            <w:pPr>
              <w:spacing w:after="0" w:line="240" w:lineRule="auto"/>
              <w:jc w:val="right"/>
              <w:rPr>
                <w:rFonts w:ascii="Tahoma" w:eastAsia="Times New Roman" w:hAnsi="Tahoma" w:cs="Tahoma"/>
                <w:sz w:val="20"/>
                <w:szCs w:val="20"/>
                <w:lang w:eastAsia="hr-HR"/>
              </w:rPr>
            </w:pPr>
            <w:r w:rsidRPr="000271A1">
              <w:rPr>
                <w:rFonts w:ascii="Tahoma" w:eastAsia="Times New Roman" w:hAnsi="Tahoma" w:cs="Tahoma"/>
                <w:sz w:val="20"/>
                <w:szCs w:val="20"/>
                <w:lang w:eastAsia="hr-HR"/>
              </w:rPr>
              <w:t> </w:t>
            </w:r>
          </w:p>
        </w:tc>
        <w:tc>
          <w:tcPr>
            <w:tcW w:w="444" w:type="dxa"/>
            <w:tcBorders>
              <w:top w:val="nil"/>
              <w:left w:val="nil"/>
              <w:bottom w:val="single" w:sz="4" w:space="0" w:color="auto"/>
              <w:right w:val="single" w:sz="4" w:space="0" w:color="auto"/>
            </w:tcBorders>
            <w:shd w:val="clear" w:color="000000" w:fill="FFFF99"/>
            <w:noWrap/>
            <w:vAlign w:val="center"/>
            <w:hideMark/>
          </w:tcPr>
          <w:p w14:paraId="525ABEA2" w14:textId="77777777" w:rsidR="000271A1" w:rsidRPr="000271A1" w:rsidRDefault="000271A1" w:rsidP="000271A1">
            <w:pPr>
              <w:spacing w:after="0" w:line="240" w:lineRule="auto"/>
              <w:jc w:val="right"/>
              <w:rPr>
                <w:rFonts w:ascii="Tahoma" w:eastAsia="Times New Roman" w:hAnsi="Tahoma" w:cs="Tahoma"/>
                <w:sz w:val="20"/>
                <w:szCs w:val="20"/>
                <w:lang w:eastAsia="hr-HR"/>
              </w:rPr>
            </w:pPr>
            <w:r w:rsidRPr="000271A1">
              <w:rPr>
                <w:rFonts w:ascii="Tahoma" w:eastAsia="Times New Roman" w:hAnsi="Tahoma" w:cs="Tahoma"/>
                <w:sz w:val="20"/>
                <w:szCs w:val="20"/>
                <w:lang w:eastAsia="hr-HR"/>
              </w:rPr>
              <w:t> </w:t>
            </w:r>
          </w:p>
        </w:tc>
        <w:tc>
          <w:tcPr>
            <w:tcW w:w="698" w:type="dxa"/>
            <w:tcBorders>
              <w:top w:val="nil"/>
              <w:left w:val="nil"/>
              <w:bottom w:val="single" w:sz="4" w:space="0" w:color="auto"/>
              <w:right w:val="single" w:sz="4" w:space="0" w:color="auto"/>
            </w:tcBorders>
            <w:shd w:val="clear" w:color="000000" w:fill="FFFF99"/>
            <w:noWrap/>
            <w:vAlign w:val="center"/>
            <w:hideMark/>
          </w:tcPr>
          <w:p w14:paraId="7E502A22" w14:textId="77777777" w:rsidR="000271A1" w:rsidRPr="000271A1" w:rsidRDefault="000271A1" w:rsidP="000271A1">
            <w:pPr>
              <w:spacing w:after="0" w:line="240" w:lineRule="auto"/>
              <w:jc w:val="right"/>
              <w:rPr>
                <w:rFonts w:ascii="Tahoma" w:eastAsia="Times New Roman" w:hAnsi="Tahoma" w:cs="Tahoma"/>
                <w:sz w:val="20"/>
                <w:szCs w:val="20"/>
                <w:lang w:eastAsia="hr-HR"/>
              </w:rPr>
            </w:pPr>
            <w:r w:rsidRPr="000271A1">
              <w:rPr>
                <w:rFonts w:ascii="Tahoma" w:eastAsia="Times New Roman" w:hAnsi="Tahoma" w:cs="Tahoma"/>
                <w:sz w:val="20"/>
                <w:szCs w:val="20"/>
                <w:lang w:eastAsia="hr-HR"/>
              </w:rPr>
              <w:t> </w:t>
            </w:r>
          </w:p>
        </w:tc>
        <w:tc>
          <w:tcPr>
            <w:tcW w:w="444" w:type="dxa"/>
            <w:gridSpan w:val="2"/>
            <w:tcBorders>
              <w:top w:val="nil"/>
              <w:left w:val="nil"/>
              <w:bottom w:val="single" w:sz="4" w:space="0" w:color="auto"/>
              <w:right w:val="single" w:sz="4" w:space="0" w:color="auto"/>
            </w:tcBorders>
            <w:shd w:val="clear" w:color="000000" w:fill="FF9900"/>
            <w:noWrap/>
            <w:vAlign w:val="center"/>
            <w:hideMark/>
          </w:tcPr>
          <w:p w14:paraId="646D6006" w14:textId="77777777" w:rsidR="000271A1" w:rsidRPr="000271A1" w:rsidRDefault="000271A1" w:rsidP="000271A1">
            <w:pPr>
              <w:spacing w:after="0" w:line="240" w:lineRule="auto"/>
              <w:jc w:val="right"/>
              <w:rPr>
                <w:rFonts w:ascii="Tahoma" w:eastAsia="Times New Roman" w:hAnsi="Tahoma" w:cs="Tahoma"/>
                <w:sz w:val="20"/>
                <w:szCs w:val="20"/>
                <w:lang w:eastAsia="hr-HR"/>
              </w:rPr>
            </w:pPr>
            <w:r w:rsidRPr="000271A1">
              <w:rPr>
                <w:rFonts w:ascii="Tahoma" w:eastAsia="Times New Roman" w:hAnsi="Tahoma" w:cs="Tahoma"/>
                <w:sz w:val="20"/>
                <w:szCs w:val="20"/>
                <w:lang w:eastAsia="hr-HR"/>
              </w:rPr>
              <w:t> </w:t>
            </w:r>
          </w:p>
        </w:tc>
        <w:tc>
          <w:tcPr>
            <w:tcW w:w="521" w:type="dxa"/>
            <w:tcBorders>
              <w:top w:val="nil"/>
              <w:left w:val="nil"/>
              <w:bottom w:val="single" w:sz="4" w:space="0" w:color="auto"/>
              <w:right w:val="single" w:sz="4" w:space="0" w:color="auto"/>
            </w:tcBorders>
            <w:shd w:val="clear" w:color="000000" w:fill="FF9900"/>
            <w:noWrap/>
            <w:vAlign w:val="center"/>
            <w:hideMark/>
          </w:tcPr>
          <w:p w14:paraId="5309A1D1" w14:textId="77777777" w:rsidR="000271A1" w:rsidRPr="000271A1" w:rsidRDefault="000271A1" w:rsidP="000271A1">
            <w:pPr>
              <w:spacing w:after="0" w:line="240" w:lineRule="auto"/>
              <w:jc w:val="right"/>
              <w:rPr>
                <w:rFonts w:ascii="Tahoma" w:eastAsia="Times New Roman" w:hAnsi="Tahoma" w:cs="Tahoma"/>
                <w:sz w:val="20"/>
                <w:szCs w:val="20"/>
                <w:lang w:eastAsia="hr-HR"/>
              </w:rPr>
            </w:pPr>
            <w:r w:rsidRPr="000271A1">
              <w:rPr>
                <w:rFonts w:ascii="Tahoma" w:eastAsia="Times New Roman" w:hAnsi="Tahoma" w:cs="Tahoma"/>
                <w:sz w:val="20"/>
                <w:szCs w:val="20"/>
                <w:lang w:eastAsia="hr-HR"/>
              </w:rPr>
              <w:t> </w:t>
            </w:r>
          </w:p>
        </w:tc>
        <w:tc>
          <w:tcPr>
            <w:tcW w:w="521" w:type="dxa"/>
            <w:tcBorders>
              <w:top w:val="nil"/>
              <w:left w:val="nil"/>
              <w:bottom w:val="single" w:sz="4" w:space="0" w:color="auto"/>
              <w:right w:val="single" w:sz="4" w:space="0" w:color="auto"/>
            </w:tcBorders>
            <w:shd w:val="clear" w:color="000000" w:fill="FF9900"/>
            <w:noWrap/>
            <w:vAlign w:val="center"/>
            <w:hideMark/>
          </w:tcPr>
          <w:p w14:paraId="3391AE63" w14:textId="77777777" w:rsidR="000271A1" w:rsidRPr="000271A1" w:rsidRDefault="000271A1" w:rsidP="000271A1">
            <w:pPr>
              <w:spacing w:after="0" w:line="240" w:lineRule="auto"/>
              <w:jc w:val="right"/>
              <w:rPr>
                <w:rFonts w:ascii="Tahoma" w:eastAsia="Times New Roman" w:hAnsi="Tahoma" w:cs="Tahoma"/>
                <w:sz w:val="20"/>
                <w:szCs w:val="20"/>
                <w:lang w:eastAsia="hr-HR"/>
              </w:rPr>
            </w:pPr>
            <w:r w:rsidRPr="000271A1">
              <w:rPr>
                <w:rFonts w:ascii="Tahoma" w:eastAsia="Times New Roman" w:hAnsi="Tahoma" w:cs="Tahoma"/>
                <w:sz w:val="20"/>
                <w:szCs w:val="20"/>
                <w:lang w:eastAsia="hr-HR"/>
              </w:rPr>
              <w:t> </w:t>
            </w:r>
          </w:p>
        </w:tc>
        <w:tc>
          <w:tcPr>
            <w:tcW w:w="521" w:type="dxa"/>
            <w:gridSpan w:val="2"/>
            <w:tcBorders>
              <w:top w:val="nil"/>
              <w:left w:val="nil"/>
              <w:bottom w:val="single" w:sz="4" w:space="0" w:color="auto"/>
              <w:right w:val="single" w:sz="4" w:space="0" w:color="auto"/>
            </w:tcBorders>
            <w:shd w:val="clear" w:color="000000" w:fill="FFFF00"/>
            <w:vAlign w:val="center"/>
            <w:hideMark/>
          </w:tcPr>
          <w:p w14:paraId="76DBCF2C" w14:textId="77777777" w:rsidR="000271A1" w:rsidRPr="000271A1" w:rsidRDefault="000271A1" w:rsidP="000271A1">
            <w:pPr>
              <w:spacing w:after="0" w:line="240" w:lineRule="auto"/>
              <w:jc w:val="right"/>
              <w:rPr>
                <w:rFonts w:ascii="Tahoma" w:eastAsia="Times New Roman" w:hAnsi="Tahoma" w:cs="Tahoma"/>
                <w:sz w:val="20"/>
                <w:szCs w:val="20"/>
                <w:lang w:eastAsia="hr-HR"/>
              </w:rPr>
            </w:pPr>
            <w:r w:rsidRPr="000271A1">
              <w:rPr>
                <w:rFonts w:ascii="Tahoma" w:eastAsia="Times New Roman" w:hAnsi="Tahoma" w:cs="Tahoma"/>
                <w:sz w:val="20"/>
                <w:szCs w:val="20"/>
                <w:lang w:eastAsia="hr-HR"/>
              </w:rPr>
              <w:t> </w:t>
            </w:r>
          </w:p>
        </w:tc>
        <w:tc>
          <w:tcPr>
            <w:tcW w:w="702" w:type="dxa"/>
            <w:tcBorders>
              <w:top w:val="nil"/>
              <w:left w:val="nil"/>
              <w:bottom w:val="single" w:sz="4" w:space="0" w:color="auto"/>
              <w:right w:val="single" w:sz="4" w:space="0" w:color="auto"/>
            </w:tcBorders>
            <w:shd w:val="clear" w:color="000000" w:fill="FF9900"/>
            <w:vAlign w:val="center"/>
            <w:hideMark/>
          </w:tcPr>
          <w:p w14:paraId="69A7C890" w14:textId="77777777" w:rsidR="000271A1" w:rsidRPr="000271A1" w:rsidRDefault="000271A1" w:rsidP="000271A1">
            <w:pPr>
              <w:spacing w:after="0" w:line="240" w:lineRule="auto"/>
              <w:jc w:val="right"/>
              <w:rPr>
                <w:rFonts w:ascii="Tahoma" w:eastAsia="Times New Roman" w:hAnsi="Tahoma" w:cs="Tahoma"/>
                <w:sz w:val="20"/>
                <w:szCs w:val="20"/>
                <w:lang w:eastAsia="hr-HR"/>
              </w:rPr>
            </w:pPr>
            <w:r w:rsidRPr="000271A1">
              <w:rPr>
                <w:rFonts w:ascii="Tahoma" w:eastAsia="Times New Roman" w:hAnsi="Tahoma" w:cs="Tahoma"/>
                <w:sz w:val="20"/>
                <w:szCs w:val="20"/>
                <w:lang w:eastAsia="hr-HR"/>
              </w:rPr>
              <w:t> </w:t>
            </w:r>
          </w:p>
        </w:tc>
        <w:tc>
          <w:tcPr>
            <w:tcW w:w="907" w:type="dxa"/>
            <w:tcBorders>
              <w:top w:val="nil"/>
              <w:left w:val="nil"/>
              <w:bottom w:val="single" w:sz="4" w:space="0" w:color="auto"/>
              <w:right w:val="single" w:sz="4" w:space="0" w:color="auto"/>
            </w:tcBorders>
            <w:shd w:val="clear" w:color="000000" w:fill="FF9900"/>
            <w:vAlign w:val="center"/>
            <w:hideMark/>
          </w:tcPr>
          <w:p w14:paraId="64C626A2" w14:textId="77777777" w:rsidR="000271A1" w:rsidRPr="000271A1" w:rsidRDefault="000271A1" w:rsidP="000271A1">
            <w:pPr>
              <w:spacing w:after="0" w:line="240" w:lineRule="auto"/>
              <w:jc w:val="right"/>
              <w:rPr>
                <w:rFonts w:ascii="Tahoma" w:eastAsia="Times New Roman" w:hAnsi="Tahoma" w:cs="Tahoma"/>
                <w:sz w:val="20"/>
                <w:szCs w:val="20"/>
                <w:lang w:eastAsia="hr-HR"/>
              </w:rPr>
            </w:pPr>
            <w:r w:rsidRPr="000271A1">
              <w:rPr>
                <w:rFonts w:ascii="Tahoma" w:eastAsia="Times New Roman" w:hAnsi="Tahoma" w:cs="Tahoma"/>
                <w:sz w:val="20"/>
                <w:szCs w:val="20"/>
                <w:lang w:eastAsia="hr-HR"/>
              </w:rPr>
              <w:t> </w:t>
            </w:r>
          </w:p>
        </w:tc>
        <w:tc>
          <w:tcPr>
            <w:tcW w:w="553" w:type="dxa"/>
            <w:tcBorders>
              <w:top w:val="nil"/>
              <w:left w:val="nil"/>
              <w:bottom w:val="single" w:sz="4" w:space="0" w:color="auto"/>
              <w:right w:val="single" w:sz="4" w:space="0" w:color="auto"/>
            </w:tcBorders>
            <w:shd w:val="clear" w:color="000000" w:fill="FF9900"/>
            <w:vAlign w:val="center"/>
            <w:hideMark/>
          </w:tcPr>
          <w:p w14:paraId="20C50B64" w14:textId="77777777" w:rsidR="000271A1" w:rsidRPr="000271A1" w:rsidRDefault="000271A1" w:rsidP="000271A1">
            <w:pPr>
              <w:spacing w:after="0" w:line="240" w:lineRule="auto"/>
              <w:jc w:val="right"/>
              <w:rPr>
                <w:rFonts w:ascii="Tahoma" w:eastAsia="Times New Roman" w:hAnsi="Tahoma" w:cs="Tahoma"/>
                <w:sz w:val="20"/>
                <w:szCs w:val="20"/>
                <w:lang w:eastAsia="hr-HR"/>
              </w:rPr>
            </w:pPr>
            <w:r w:rsidRPr="000271A1">
              <w:rPr>
                <w:rFonts w:ascii="Tahoma" w:eastAsia="Times New Roman" w:hAnsi="Tahoma" w:cs="Tahoma"/>
                <w:sz w:val="20"/>
                <w:szCs w:val="20"/>
                <w:lang w:eastAsia="hr-HR"/>
              </w:rPr>
              <w:t> </w:t>
            </w:r>
          </w:p>
        </w:tc>
        <w:tc>
          <w:tcPr>
            <w:tcW w:w="918" w:type="dxa"/>
            <w:tcBorders>
              <w:top w:val="nil"/>
              <w:left w:val="nil"/>
              <w:bottom w:val="single" w:sz="4" w:space="0" w:color="auto"/>
              <w:right w:val="single" w:sz="4" w:space="0" w:color="auto"/>
            </w:tcBorders>
            <w:shd w:val="clear" w:color="000000" w:fill="FF9900"/>
            <w:vAlign w:val="center"/>
            <w:hideMark/>
          </w:tcPr>
          <w:p w14:paraId="4252BC71" w14:textId="77777777" w:rsidR="000271A1" w:rsidRPr="000271A1" w:rsidRDefault="000271A1" w:rsidP="000271A1">
            <w:pPr>
              <w:spacing w:after="0" w:line="240" w:lineRule="auto"/>
              <w:jc w:val="right"/>
              <w:rPr>
                <w:rFonts w:ascii="Tahoma" w:eastAsia="Times New Roman" w:hAnsi="Tahoma" w:cs="Tahoma"/>
                <w:sz w:val="20"/>
                <w:szCs w:val="20"/>
                <w:lang w:eastAsia="hr-HR"/>
              </w:rPr>
            </w:pPr>
            <w:r w:rsidRPr="000271A1">
              <w:rPr>
                <w:rFonts w:ascii="Tahoma" w:eastAsia="Times New Roman" w:hAnsi="Tahoma" w:cs="Tahoma"/>
                <w:sz w:val="20"/>
                <w:szCs w:val="20"/>
                <w:lang w:eastAsia="hr-HR"/>
              </w:rPr>
              <w:t> </w:t>
            </w:r>
          </w:p>
        </w:tc>
        <w:tc>
          <w:tcPr>
            <w:tcW w:w="428" w:type="dxa"/>
            <w:tcBorders>
              <w:top w:val="nil"/>
              <w:left w:val="nil"/>
              <w:bottom w:val="single" w:sz="4" w:space="0" w:color="auto"/>
              <w:right w:val="single" w:sz="4" w:space="0" w:color="auto"/>
            </w:tcBorders>
            <w:shd w:val="clear" w:color="000000" w:fill="CCFFFF"/>
            <w:noWrap/>
            <w:vAlign w:val="center"/>
            <w:hideMark/>
          </w:tcPr>
          <w:p w14:paraId="7B140EF8" w14:textId="77777777" w:rsidR="000271A1" w:rsidRPr="000271A1" w:rsidRDefault="000271A1" w:rsidP="000271A1">
            <w:pPr>
              <w:spacing w:after="0" w:line="240" w:lineRule="auto"/>
              <w:jc w:val="right"/>
              <w:rPr>
                <w:rFonts w:ascii="Tahoma" w:eastAsia="Times New Roman" w:hAnsi="Tahoma" w:cs="Tahoma"/>
                <w:sz w:val="20"/>
                <w:szCs w:val="20"/>
                <w:lang w:eastAsia="hr-HR"/>
              </w:rPr>
            </w:pPr>
            <w:r w:rsidRPr="000271A1">
              <w:rPr>
                <w:rFonts w:ascii="Tahoma" w:eastAsia="Times New Roman" w:hAnsi="Tahoma" w:cs="Tahoma"/>
                <w:sz w:val="20"/>
                <w:szCs w:val="20"/>
                <w:lang w:eastAsia="hr-HR"/>
              </w:rPr>
              <w:t> </w:t>
            </w:r>
          </w:p>
        </w:tc>
        <w:tc>
          <w:tcPr>
            <w:tcW w:w="428" w:type="dxa"/>
            <w:tcBorders>
              <w:top w:val="nil"/>
              <w:left w:val="nil"/>
              <w:bottom w:val="single" w:sz="4" w:space="0" w:color="auto"/>
              <w:right w:val="single" w:sz="4" w:space="0" w:color="auto"/>
            </w:tcBorders>
            <w:shd w:val="clear" w:color="000000" w:fill="CCFFFF"/>
            <w:noWrap/>
            <w:vAlign w:val="center"/>
            <w:hideMark/>
          </w:tcPr>
          <w:p w14:paraId="4B8F2AB7" w14:textId="77777777" w:rsidR="000271A1" w:rsidRPr="000271A1" w:rsidRDefault="000271A1" w:rsidP="000271A1">
            <w:pPr>
              <w:spacing w:after="0" w:line="240" w:lineRule="auto"/>
              <w:jc w:val="right"/>
              <w:rPr>
                <w:rFonts w:ascii="Tahoma" w:eastAsia="Times New Roman" w:hAnsi="Tahoma" w:cs="Tahoma"/>
                <w:sz w:val="20"/>
                <w:szCs w:val="20"/>
                <w:lang w:eastAsia="hr-HR"/>
              </w:rPr>
            </w:pPr>
            <w:r w:rsidRPr="000271A1">
              <w:rPr>
                <w:rFonts w:ascii="Tahoma" w:eastAsia="Times New Roman" w:hAnsi="Tahoma" w:cs="Tahoma"/>
                <w:sz w:val="20"/>
                <w:szCs w:val="20"/>
                <w:lang w:eastAsia="hr-HR"/>
              </w:rPr>
              <w:t> </w:t>
            </w:r>
          </w:p>
        </w:tc>
        <w:tc>
          <w:tcPr>
            <w:tcW w:w="425" w:type="dxa"/>
            <w:tcBorders>
              <w:top w:val="nil"/>
              <w:left w:val="nil"/>
              <w:bottom w:val="single" w:sz="4" w:space="0" w:color="auto"/>
              <w:right w:val="single" w:sz="4" w:space="0" w:color="auto"/>
            </w:tcBorders>
            <w:shd w:val="clear" w:color="000000" w:fill="CCFFFF"/>
            <w:noWrap/>
            <w:vAlign w:val="center"/>
            <w:hideMark/>
          </w:tcPr>
          <w:p w14:paraId="4E669A9A" w14:textId="77777777" w:rsidR="000271A1" w:rsidRPr="000271A1" w:rsidRDefault="000271A1" w:rsidP="000271A1">
            <w:pPr>
              <w:spacing w:after="0" w:line="240" w:lineRule="auto"/>
              <w:jc w:val="right"/>
              <w:rPr>
                <w:rFonts w:ascii="Tahoma" w:eastAsia="Times New Roman" w:hAnsi="Tahoma" w:cs="Tahoma"/>
                <w:sz w:val="20"/>
                <w:szCs w:val="20"/>
                <w:lang w:eastAsia="hr-HR"/>
              </w:rPr>
            </w:pPr>
            <w:r w:rsidRPr="000271A1">
              <w:rPr>
                <w:rFonts w:ascii="Tahoma" w:eastAsia="Times New Roman" w:hAnsi="Tahoma" w:cs="Tahoma"/>
                <w:sz w:val="20"/>
                <w:szCs w:val="20"/>
                <w:lang w:eastAsia="hr-HR"/>
              </w:rPr>
              <w:t> </w:t>
            </w:r>
          </w:p>
        </w:tc>
        <w:tc>
          <w:tcPr>
            <w:tcW w:w="425" w:type="dxa"/>
            <w:tcBorders>
              <w:top w:val="nil"/>
              <w:left w:val="nil"/>
              <w:bottom w:val="single" w:sz="4" w:space="0" w:color="auto"/>
              <w:right w:val="nil"/>
            </w:tcBorders>
            <w:shd w:val="clear" w:color="000000" w:fill="33CCCC"/>
            <w:noWrap/>
            <w:vAlign w:val="center"/>
            <w:hideMark/>
          </w:tcPr>
          <w:p w14:paraId="5145E3E8" w14:textId="77777777" w:rsidR="000271A1" w:rsidRPr="000271A1" w:rsidRDefault="000271A1" w:rsidP="000271A1">
            <w:pPr>
              <w:spacing w:after="0" w:line="240" w:lineRule="auto"/>
              <w:jc w:val="right"/>
              <w:rPr>
                <w:rFonts w:ascii="Tahoma" w:eastAsia="Times New Roman" w:hAnsi="Tahoma" w:cs="Tahoma"/>
                <w:sz w:val="20"/>
                <w:szCs w:val="20"/>
                <w:lang w:eastAsia="hr-HR"/>
              </w:rPr>
            </w:pPr>
            <w:r w:rsidRPr="000271A1">
              <w:rPr>
                <w:rFonts w:ascii="Tahoma" w:eastAsia="Times New Roman" w:hAnsi="Tahoma" w:cs="Tahoma"/>
                <w:sz w:val="20"/>
                <w:szCs w:val="20"/>
                <w:lang w:eastAsia="hr-HR"/>
              </w:rPr>
              <w:t> </w:t>
            </w:r>
          </w:p>
        </w:tc>
        <w:tc>
          <w:tcPr>
            <w:tcW w:w="440" w:type="dxa"/>
            <w:gridSpan w:val="2"/>
            <w:tcBorders>
              <w:top w:val="nil"/>
              <w:left w:val="single" w:sz="4" w:space="0" w:color="auto"/>
              <w:bottom w:val="single" w:sz="4" w:space="0" w:color="auto"/>
              <w:right w:val="single" w:sz="8" w:space="0" w:color="auto"/>
            </w:tcBorders>
            <w:shd w:val="clear" w:color="000000" w:fill="33CCCC"/>
            <w:noWrap/>
            <w:vAlign w:val="center"/>
            <w:hideMark/>
          </w:tcPr>
          <w:p w14:paraId="01450C95" w14:textId="77777777" w:rsidR="000271A1" w:rsidRPr="000271A1" w:rsidRDefault="000271A1" w:rsidP="000271A1">
            <w:pPr>
              <w:spacing w:after="0" w:line="240" w:lineRule="auto"/>
              <w:jc w:val="right"/>
              <w:rPr>
                <w:rFonts w:ascii="Tahoma" w:eastAsia="Times New Roman" w:hAnsi="Tahoma" w:cs="Tahoma"/>
                <w:sz w:val="20"/>
                <w:szCs w:val="20"/>
                <w:lang w:eastAsia="hr-HR"/>
              </w:rPr>
            </w:pPr>
            <w:r w:rsidRPr="000271A1">
              <w:rPr>
                <w:rFonts w:ascii="Tahoma" w:eastAsia="Times New Roman" w:hAnsi="Tahoma" w:cs="Tahoma"/>
                <w:sz w:val="20"/>
                <w:szCs w:val="20"/>
                <w:lang w:eastAsia="hr-HR"/>
              </w:rPr>
              <w:t> </w:t>
            </w:r>
          </w:p>
        </w:tc>
        <w:tc>
          <w:tcPr>
            <w:tcW w:w="236" w:type="dxa"/>
            <w:vAlign w:val="center"/>
            <w:hideMark/>
          </w:tcPr>
          <w:p w14:paraId="510066AD" w14:textId="77777777" w:rsidR="000271A1" w:rsidRPr="000271A1" w:rsidRDefault="000271A1" w:rsidP="000271A1">
            <w:pPr>
              <w:spacing w:after="0" w:line="240" w:lineRule="auto"/>
              <w:rPr>
                <w:rFonts w:ascii="Times New Roman" w:eastAsia="Times New Roman" w:hAnsi="Times New Roman" w:cs="Times New Roman"/>
                <w:sz w:val="20"/>
                <w:szCs w:val="20"/>
                <w:lang w:eastAsia="hr-HR"/>
              </w:rPr>
            </w:pPr>
          </w:p>
        </w:tc>
      </w:tr>
      <w:tr w:rsidR="000271A1" w:rsidRPr="000271A1" w14:paraId="3BE2D629" w14:textId="77777777" w:rsidTr="000271A1">
        <w:trPr>
          <w:gridAfter w:val="1"/>
          <w:wAfter w:w="26" w:type="dxa"/>
          <w:trHeight w:val="300"/>
        </w:trPr>
        <w:tc>
          <w:tcPr>
            <w:tcW w:w="1119" w:type="dxa"/>
            <w:tcBorders>
              <w:top w:val="single" w:sz="4" w:space="0" w:color="auto"/>
              <w:left w:val="single" w:sz="8" w:space="0" w:color="auto"/>
              <w:bottom w:val="single" w:sz="4" w:space="0" w:color="auto"/>
              <w:right w:val="single" w:sz="4" w:space="0" w:color="auto"/>
            </w:tcBorders>
            <w:shd w:val="clear" w:color="000000" w:fill="CCFFCC"/>
            <w:vAlign w:val="center"/>
            <w:hideMark/>
          </w:tcPr>
          <w:p w14:paraId="3998318E" w14:textId="77777777" w:rsidR="000271A1" w:rsidRPr="000271A1" w:rsidRDefault="000271A1" w:rsidP="000271A1">
            <w:pPr>
              <w:spacing w:after="0" w:line="240" w:lineRule="auto"/>
              <w:rPr>
                <w:rFonts w:ascii="Tahoma" w:eastAsia="Times New Roman" w:hAnsi="Tahoma" w:cs="Tahoma"/>
                <w:sz w:val="20"/>
                <w:szCs w:val="20"/>
                <w:lang w:eastAsia="hr-HR"/>
              </w:rPr>
            </w:pPr>
            <w:r w:rsidRPr="000271A1">
              <w:rPr>
                <w:rFonts w:ascii="Tahoma" w:eastAsia="Times New Roman" w:hAnsi="Tahoma" w:cs="Tahoma"/>
                <w:sz w:val="20"/>
                <w:szCs w:val="20"/>
                <w:lang w:eastAsia="hr-HR"/>
              </w:rPr>
              <w:t>Vjera</w:t>
            </w:r>
          </w:p>
        </w:tc>
        <w:tc>
          <w:tcPr>
            <w:tcW w:w="671" w:type="dxa"/>
            <w:tcBorders>
              <w:top w:val="nil"/>
              <w:left w:val="nil"/>
              <w:bottom w:val="single" w:sz="4" w:space="0" w:color="auto"/>
              <w:right w:val="single" w:sz="4" w:space="0" w:color="auto"/>
            </w:tcBorders>
            <w:shd w:val="clear" w:color="000000" w:fill="FFCC99"/>
            <w:noWrap/>
            <w:vAlign w:val="center"/>
            <w:hideMark/>
          </w:tcPr>
          <w:p w14:paraId="1EB1EA28" w14:textId="77777777" w:rsidR="000271A1" w:rsidRPr="000271A1" w:rsidRDefault="000271A1" w:rsidP="000271A1">
            <w:pPr>
              <w:spacing w:after="0" w:line="240" w:lineRule="auto"/>
              <w:jc w:val="right"/>
              <w:rPr>
                <w:rFonts w:ascii="Tahoma" w:eastAsia="Times New Roman" w:hAnsi="Tahoma" w:cs="Tahoma"/>
                <w:sz w:val="20"/>
                <w:szCs w:val="20"/>
                <w:lang w:eastAsia="hr-HR"/>
              </w:rPr>
            </w:pPr>
            <w:r w:rsidRPr="000271A1">
              <w:rPr>
                <w:rFonts w:ascii="Tahoma" w:eastAsia="Times New Roman" w:hAnsi="Tahoma" w:cs="Tahoma"/>
                <w:sz w:val="20"/>
                <w:szCs w:val="20"/>
                <w:lang w:eastAsia="hr-HR"/>
              </w:rPr>
              <w:t>3</w:t>
            </w:r>
          </w:p>
        </w:tc>
        <w:tc>
          <w:tcPr>
            <w:tcW w:w="519" w:type="dxa"/>
            <w:tcBorders>
              <w:top w:val="nil"/>
              <w:left w:val="nil"/>
              <w:bottom w:val="single" w:sz="4" w:space="0" w:color="auto"/>
              <w:right w:val="single" w:sz="4" w:space="0" w:color="auto"/>
            </w:tcBorders>
            <w:shd w:val="clear" w:color="000000" w:fill="FFFF00"/>
            <w:noWrap/>
            <w:vAlign w:val="center"/>
            <w:hideMark/>
          </w:tcPr>
          <w:p w14:paraId="2A70C4A5" w14:textId="77777777" w:rsidR="000271A1" w:rsidRPr="000271A1" w:rsidRDefault="000271A1" w:rsidP="000271A1">
            <w:pPr>
              <w:spacing w:after="0" w:line="240" w:lineRule="auto"/>
              <w:jc w:val="right"/>
              <w:rPr>
                <w:rFonts w:ascii="Tahoma" w:eastAsia="Times New Roman" w:hAnsi="Tahoma" w:cs="Tahoma"/>
                <w:sz w:val="20"/>
                <w:szCs w:val="20"/>
                <w:lang w:eastAsia="hr-HR"/>
              </w:rPr>
            </w:pPr>
            <w:r w:rsidRPr="000271A1">
              <w:rPr>
                <w:rFonts w:ascii="Tahoma" w:eastAsia="Times New Roman" w:hAnsi="Tahoma" w:cs="Tahoma"/>
                <w:sz w:val="20"/>
                <w:szCs w:val="20"/>
                <w:lang w:eastAsia="hr-HR"/>
              </w:rPr>
              <w:t> </w:t>
            </w:r>
          </w:p>
        </w:tc>
        <w:tc>
          <w:tcPr>
            <w:tcW w:w="365" w:type="dxa"/>
            <w:tcBorders>
              <w:top w:val="nil"/>
              <w:left w:val="nil"/>
              <w:bottom w:val="single" w:sz="4" w:space="0" w:color="auto"/>
              <w:right w:val="single" w:sz="4" w:space="0" w:color="auto"/>
            </w:tcBorders>
            <w:shd w:val="clear" w:color="000000" w:fill="CCFFFF"/>
            <w:noWrap/>
            <w:vAlign w:val="center"/>
            <w:hideMark/>
          </w:tcPr>
          <w:p w14:paraId="4334A5B0" w14:textId="77777777" w:rsidR="000271A1" w:rsidRPr="000271A1" w:rsidRDefault="000271A1" w:rsidP="000271A1">
            <w:pPr>
              <w:spacing w:after="0" w:line="240" w:lineRule="auto"/>
              <w:jc w:val="right"/>
              <w:rPr>
                <w:rFonts w:ascii="Tahoma" w:eastAsia="Times New Roman" w:hAnsi="Tahoma" w:cs="Tahoma"/>
                <w:sz w:val="20"/>
                <w:szCs w:val="20"/>
                <w:lang w:eastAsia="hr-HR"/>
              </w:rPr>
            </w:pPr>
            <w:r w:rsidRPr="000271A1">
              <w:rPr>
                <w:rFonts w:ascii="Tahoma" w:eastAsia="Times New Roman" w:hAnsi="Tahoma" w:cs="Tahoma"/>
                <w:sz w:val="20"/>
                <w:szCs w:val="20"/>
                <w:lang w:eastAsia="hr-HR"/>
              </w:rPr>
              <w:t> </w:t>
            </w:r>
          </w:p>
        </w:tc>
        <w:tc>
          <w:tcPr>
            <w:tcW w:w="379" w:type="dxa"/>
            <w:tcBorders>
              <w:top w:val="nil"/>
              <w:left w:val="nil"/>
              <w:bottom w:val="single" w:sz="4" w:space="0" w:color="auto"/>
              <w:right w:val="single" w:sz="4" w:space="0" w:color="auto"/>
            </w:tcBorders>
            <w:shd w:val="clear" w:color="000000" w:fill="CCFFFF"/>
            <w:noWrap/>
            <w:vAlign w:val="center"/>
            <w:hideMark/>
          </w:tcPr>
          <w:p w14:paraId="55C5302C" w14:textId="77777777" w:rsidR="000271A1" w:rsidRPr="000271A1" w:rsidRDefault="000271A1" w:rsidP="000271A1">
            <w:pPr>
              <w:spacing w:after="0" w:line="240" w:lineRule="auto"/>
              <w:jc w:val="right"/>
              <w:rPr>
                <w:rFonts w:ascii="Tahoma" w:eastAsia="Times New Roman" w:hAnsi="Tahoma" w:cs="Tahoma"/>
                <w:sz w:val="20"/>
                <w:szCs w:val="20"/>
                <w:lang w:eastAsia="hr-HR"/>
              </w:rPr>
            </w:pPr>
            <w:r w:rsidRPr="000271A1">
              <w:rPr>
                <w:rFonts w:ascii="Tahoma" w:eastAsia="Times New Roman" w:hAnsi="Tahoma" w:cs="Tahoma"/>
                <w:sz w:val="20"/>
                <w:szCs w:val="20"/>
                <w:lang w:eastAsia="hr-HR"/>
              </w:rPr>
              <w:t> </w:t>
            </w:r>
          </w:p>
        </w:tc>
        <w:tc>
          <w:tcPr>
            <w:tcW w:w="698" w:type="dxa"/>
            <w:tcBorders>
              <w:top w:val="nil"/>
              <w:left w:val="nil"/>
              <w:bottom w:val="single" w:sz="4" w:space="0" w:color="auto"/>
              <w:right w:val="single" w:sz="4" w:space="0" w:color="auto"/>
            </w:tcBorders>
            <w:shd w:val="clear" w:color="000000" w:fill="FFFF99"/>
            <w:noWrap/>
            <w:vAlign w:val="center"/>
            <w:hideMark/>
          </w:tcPr>
          <w:p w14:paraId="08D5DCA8" w14:textId="77777777" w:rsidR="000271A1" w:rsidRPr="000271A1" w:rsidRDefault="000271A1" w:rsidP="000271A1">
            <w:pPr>
              <w:spacing w:after="0" w:line="240" w:lineRule="auto"/>
              <w:jc w:val="right"/>
              <w:rPr>
                <w:rFonts w:ascii="Tahoma" w:eastAsia="Times New Roman" w:hAnsi="Tahoma" w:cs="Tahoma"/>
                <w:sz w:val="20"/>
                <w:szCs w:val="20"/>
                <w:lang w:eastAsia="hr-HR"/>
              </w:rPr>
            </w:pPr>
            <w:r w:rsidRPr="000271A1">
              <w:rPr>
                <w:rFonts w:ascii="Tahoma" w:eastAsia="Times New Roman" w:hAnsi="Tahoma" w:cs="Tahoma"/>
                <w:sz w:val="20"/>
                <w:szCs w:val="20"/>
                <w:lang w:eastAsia="hr-HR"/>
              </w:rPr>
              <w:t> </w:t>
            </w:r>
          </w:p>
        </w:tc>
        <w:tc>
          <w:tcPr>
            <w:tcW w:w="698" w:type="dxa"/>
            <w:tcBorders>
              <w:top w:val="nil"/>
              <w:left w:val="nil"/>
              <w:bottom w:val="single" w:sz="4" w:space="0" w:color="auto"/>
              <w:right w:val="single" w:sz="4" w:space="0" w:color="auto"/>
            </w:tcBorders>
            <w:shd w:val="clear" w:color="000000" w:fill="FFFF99"/>
            <w:noWrap/>
            <w:vAlign w:val="center"/>
            <w:hideMark/>
          </w:tcPr>
          <w:p w14:paraId="0F7ED640" w14:textId="77777777" w:rsidR="000271A1" w:rsidRPr="000271A1" w:rsidRDefault="000271A1" w:rsidP="000271A1">
            <w:pPr>
              <w:spacing w:after="0" w:line="240" w:lineRule="auto"/>
              <w:jc w:val="right"/>
              <w:rPr>
                <w:rFonts w:ascii="Tahoma" w:eastAsia="Times New Roman" w:hAnsi="Tahoma" w:cs="Tahoma"/>
                <w:sz w:val="20"/>
                <w:szCs w:val="20"/>
                <w:lang w:eastAsia="hr-HR"/>
              </w:rPr>
            </w:pPr>
            <w:r w:rsidRPr="000271A1">
              <w:rPr>
                <w:rFonts w:ascii="Tahoma" w:eastAsia="Times New Roman" w:hAnsi="Tahoma" w:cs="Tahoma"/>
                <w:sz w:val="20"/>
                <w:szCs w:val="20"/>
                <w:lang w:eastAsia="hr-HR"/>
              </w:rPr>
              <w:t> </w:t>
            </w:r>
          </w:p>
        </w:tc>
        <w:tc>
          <w:tcPr>
            <w:tcW w:w="512" w:type="dxa"/>
            <w:tcBorders>
              <w:top w:val="nil"/>
              <w:left w:val="nil"/>
              <w:bottom w:val="single" w:sz="4" w:space="0" w:color="auto"/>
              <w:right w:val="single" w:sz="4" w:space="0" w:color="auto"/>
            </w:tcBorders>
            <w:shd w:val="clear" w:color="000000" w:fill="FFFF99"/>
            <w:noWrap/>
            <w:vAlign w:val="center"/>
            <w:hideMark/>
          </w:tcPr>
          <w:p w14:paraId="0FEE1817" w14:textId="77777777" w:rsidR="000271A1" w:rsidRPr="000271A1" w:rsidRDefault="000271A1" w:rsidP="000271A1">
            <w:pPr>
              <w:spacing w:after="0" w:line="240" w:lineRule="auto"/>
              <w:jc w:val="right"/>
              <w:rPr>
                <w:rFonts w:ascii="Tahoma" w:eastAsia="Times New Roman" w:hAnsi="Tahoma" w:cs="Tahoma"/>
                <w:sz w:val="20"/>
                <w:szCs w:val="20"/>
                <w:lang w:eastAsia="hr-HR"/>
              </w:rPr>
            </w:pPr>
            <w:r w:rsidRPr="000271A1">
              <w:rPr>
                <w:rFonts w:ascii="Tahoma" w:eastAsia="Times New Roman" w:hAnsi="Tahoma" w:cs="Tahoma"/>
                <w:sz w:val="20"/>
                <w:szCs w:val="20"/>
                <w:lang w:eastAsia="hr-HR"/>
              </w:rPr>
              <w:t> </w:t>
            </w:r>
          </w:p>
        </w:tc>
        <w:tc>
          <w:tcPr>
            <w:tcW w:w="698" w:type="dxa"/>
            <w:tcBorders>
              <w:top w:val="nil"/>
              <w:left w:val="nil"/>
              <w:bottom w:val="single" w:sz="4" w:space="0" w:color="auto"/>
              <w:right w:val="single" w:sz="4" w:space="0" w:color="auto"/>
            </w:tcBorders>
            <w:shd w:val="clear" w:color="000000" w:fill="FFFF99"/>
            <w:noWrap/>
            <w:vAlign w:val="center"/>
            <w:hideMark/>
          </w:tcPr>
          <w:p w14:paraId="3C1EDEBB" w14:textId="77777777" w:rsidR="000271A1" w:rsidRPr="000271A1" w:rsidRDefault="000271A1" w:rsidP="000271A1">
            <w:pPr>
              <w:spacing w:after="0" w:line="240" w:lineRule="auto"/>
              <w:jc w:val="right"/>
              <w:rPr>
                <w:rFonts w:ascii="Tahoma" w:eastAsia="Times New Roman" w:hAnsi="Tahoma" w:cs="Tahoma"/>
                <w:sz w:val="20"/>
                <w:szCs w:val="20"/>
                <w:lang w:eastAsia="hr-HR"/>
              </w:rPr>
            </w:pPr>
            <w:r w:rsidRPr="000271A1">
              <w:rPr>
                <w:rFonts w:ascii="Tahoma" w:eastAsia="Times New Roman" w:hAnsi="Tahoma" w:cs="Tahoma"/>
                <w:sz w:val="20"/>
                <w:szCs w:val="20"/>
                <w:lang w:eastAsia="hr-HR"/>
              </w:rPr>
              <w:t> </w:t>
            </w:r>
          </w:p>
        </w:tc>
        <w:tc>
          <w:tcPr>
            <w:tcW w:w="444" w:type="dxa"/>
            <w:tcBorders>
              <w:top w:val="nil"/>
              <w:left w:val="nil"/>
              <w:bottom w:val="single" w:sz="4" w:space="0" w:color="auto"/>
              <w:right w:val="single" w:sz="4" w:space="0" w:color="auto"/>
            </w:tcBorders>
            <w:shd w:val="clear" w:color="000000" w:fill="FFFF99"/>
            <w:noWrap/>
            <w:vAlign w:val="center"/>
            <w:hideMark/>
          </w:tcPr>
          <w:p w14:paraId="07538481" w14:textId="77777777" w:rsidR="000271A1" w:rsidRPr="000271A1" w:rsidRDefault="000271A1" w:rsidP="000271A1">
            <w:pPr>
              <w:spacing w:after="0" w:line="240" w:lineRule="auto"/>
              <w:jc w:val="right"/>
              <w:rPr>
                <w:rFonts w:ascii="Tahoma" w:eastAsia="Times New Roman" w:hAnsi="Tahoma" w:cs="Tahoma"/>
                <w:sz w:val="20"/>
                <w:szCs w:val="20"/>
                <w:lang w:eastAsia="hr-HR"/>
              </w:rPr>
            </w:pPr>
            <w:r w:rsidRPr="000271A1">
              <w:rPr>
                <w:rFonts w:ascii="Tahoma" w:eastAsia="Times New Roman" w:hAnsi="Tahoma" w:cs="Tahoma"/>
                <w:sz w:val="20"/>
                <w:szCs w:val="20"/>
                <w:lang w:eastAsia="hr-HR"/>
              </w:rPr>
              <w:t> </w:t>
            </w:r>
          </w:p>
        </w:tc>
        <w:tc>
          <w:tcPr>
            <w:tcW w:w="698" w:type="dxa"/>
            <w:tcBorders>
              <w:top w:val="nil"/>
              <w:left w:val="nil"/>
              <w:bottom w:val="single" w:sz="4" w:space="0" w:color="auto"/>
              <w:right w:val="single" w:sz="4" w:space="0" w:color="auto"/>
            </w:tcBorders>
            <w:shd w:val="clear" w:color="000000" w:fill="FFFF99"/>
            <w:noWrap/>
            <w:vAlign w:val="center"/>
            <w:hideMark/>
          </w:tcPr>
          <w:p w14:paraId="2A0EF0CD" w14:textId="77777777" w:rsidR="000271A1" w:rsidRPr="000271A1" w:rsidRDefault="000271A1" w:rsidP="000271A1">
            <w:pPr>
              <w:spacing w:after="0" w:line="240" w:lineRule="auto"/>
              <w:jc w:val="right"/>
              <w:rPr>
                <w:rFonts w:ascii="Tahoma" w:eastAsia="Times New Roman" w:hAnsi="Tahoma" w:cs="Tahoma"/>
                <w:sz w:val="20"/>
                <w:szCs w:val="20"/>
                <w:lang w:eastAsia="hr-HR"/>
              </w:rPr>
            </w:pPr>
            <w:r w:rsidRPr="000271A1">
              <w:rPr>
                <w:rFonts w:ascii="Tahoma" w:eastAsia="Times New Roman" w:hAnsi="Tahoma" w:cs="Tahoma"/>
                <w:sz w:val="20"/>
                <w:szCs w:val="20"/>
                <w:lang w:eastAsia="hr-HR"/>
              </w:rPr>
              <w:t> </w:t>
            </w:r>
          </w:p>
        </w:tc>
        <w:tc>
          <w:tcPr>
            <w:tcW w:w="444" w:type="dxa"/>
            <w:gridSpan w:val="2"/>
            <w:tcBorders>
              <w:top w:val="nil"/>
              <w:left w:val="nil"/>
              <w:bottom w:val="single" w:sz="4" w:space="0" w:color="auto"/>
              <w:right w:val="single" w:sz="4" w:space="0" w:color="auto"/>
            </w:tcBorders>
            <w:shd w:val="clear" w:color="000000" w:fill="FF9900"/>
            <w:noWrap/>
            <w:vAlign w:val="center"/>
            <w:hideMark/>
          </w:tcPr>
          <w:p w14:paraId="1A38BB32" w14:textId="77777777" w:rsidR="000271A1" w:rsidRPr="000271A1" w:rsidRDefault="000271A1" w:rsidP="000271A1">
            <w:pPr>
              <w:spacing w:after="0" w:line="240" w:lineRule="auto"/>
              <w:jc w:val="right"/>
              <w:rPr>
                <w:rFonts w:ascii="Tahoma" w:eastAsia="Times New Roman" w:hAnsi="Tahoma" w:cs="Tahoma"/>
                <w:sz w:val="20"/>
                <w:szCs w:val="20"/>
                <w:lang w:eastAsia="hr-HR"/>
              </w:rPr>
            </w:pPr>
            <w:r w:rsidRPr="000271A1">
              <w:rPr>
                <w:rFonts w:ascii="Tahoma" w:eastAsia="Times New Roman" w:hAnsi="Tahoma" w:cs="Tahoma"/>
                <w:sz w:val="20"/>
                <w:szCs w:val="20"/>
                <w:lang w:eastAsia="hr-HR"/>
              </w:rPr>
              <w:t> </w:t>
            </w:r>
          </w:p>
        </w:tc>
        <w:tc>
          <w:tcPr>
            <w:tcW w:w="521" w:type="dxa"/>
            <w:tcBorders>
              <w:top w:val="nil"/>
              <w:left w:val="nil"/>
              <w:bottom w:val="single" w:sz="4" w:space="0" w:color="auto"/>
              <w:right w:val="single" w:sz="4" w:space="0" w:color="auto"/>
            </w:tcBorders>
            <w:shd w:val="clear" w:color="000000" w:fill="FF9900"/>
            <w:noWrap/>
            <w:vAlign w:val="center"/>
            <w:hideMark/>
          </w:tcPr>
          <w:p w14:paraId="0D723506" w14:textId="77777777" w:rsidR="000271A1" w:rsidRPr="000271A1" w:rsidRDefault="000271A1" w:rsidP="000271A1">
            <w:pPr>
              <w:spacing w:after="0" w:line="240" w:lineRule="auto"/>
              <w:jc w:val="right"/>
              <w:rPr>
                <w:rFonts w:ascii="Tahoma" w:eastAsia="Times New Roman" w:hAnsi="Tahoma" w:cs="Tahoma"/>
                <w:sz w:val="20"/>
                <w:szCs w:val="20"/>
                <w:lang w:eastAsia="hr-HR"/>
              </w:rPr>
            </w:pPr>
            <w:r w:rsidRPr="000271A1">
              <w:rPr>
                <w:rFonts w:ascii="Tahoma" w:eastAsia="Times New Roman" w:hAnsi="Tahoma" w:cs="Tahoma"/>
                <w:sz w:val="20"/>
                <w:szCs w:val="20"/>
                <w:lang w:eastAsia="hr-HR"/>
              </w:rPr>
              <w:t> </w:t>
            </w:r>
          </w:p>
        </w:tc>
        <w:tc>
          <w:tcPr>
            <w:tcW w:w="521" w:type="dxa"/>
            <w:tcBorders>
              <w:top w:val="nil"/>
              <w:left w:val="nil"/>
              <w:bottom w:val="single" w:sz="4" w:space="0" w:color="auto"/>
              <w:right w:val="single" w:sz="4" w:space="0" w:color="auto"/>
            </w:tcBorders>
            <w:shd w:val="clear" w:color="000000" w:fill="FF9900"/>
            <w:noWrap/>
            <w:vAlign w:val="center"/>
            <w:hideMark/>
          </w:tcPr>
          <w:p w14:paraId="7168E212" w14:textId="77777777" w:rsidR="000271A1" w:rsidRPr="000271A1" w:rsidRDefault="000271A1" w:rsidP="000271A1">
            <w:pPr>
              <w:spacing w:after="0" w:line="240" w:lineRule="auto"/>
              <w:jc w:val="right"/>
              <w:rPr>
                <w:rFonts w:ascii="Tahoma" w:eastAsia="Times New Roman" w:hAnsi="Tahoma" w:cs="Tahoma"/>
                <w:sz w:val="20"/>
                <w:szCs w:val="20"/>
                <w:lang w:eastAsia="hr-HR"/>
              </w:rPr>
            </w:pPr>
            <w:r w:rsidRPr="000271A1">
              <w:rPr>
                <w:rFonts w:ascii="Tahoma" w:eastAsia="Times New Roman" w:hAnsi="Tahoma" w:cs="Tahoma"/>
                <w:sz w:val="20"/>
                <w:szCs w:val="20"/>
                <w:lang w:eastAsia="hr-HR"/>
              </w:rPr>
              <w:t>1</w:t>
            </w:r>
          </w:p>
        </w:tc>
        <w:tc>
          <w:tcPr>
            <w:tcW w:w="521" w:type="dxa"/>
            <w:gridSpan w:val="2"/>
            <w:tcBorders>
              <w:top w:val="nil"/>
              <w:left w:val="nil"/>
              <w:bottom w:val="single" w:sz="4" w:space="0" w:color="auto"/>
              <w:right w:val="single" w:sz="4" w:space="0" w:color="auto"/>
            </w:tcBorders>
            <w:shd w:val="clear" w:color="000000" w:fill="FFFF00"/>
            <w:vAlign w:val="center"/>
            <w:hideMark/>
          </w:tcPr>
          <w:p w14:paraId="5FB5C3E6" w14:textId="77777777" w:rsidR="000271A1" w:rsidRPr="000271A1" w:rsidRDefault="000271A1" w:rsidP="000271A1">
            <w:pPr>
              <w:spacing w:after="0" w:line="240" w:lineRule="auto"/>
              <w:jc w:val="right"/>
              <w:rPr>
                <w:rFonts w:ascii="Tahoma" w:eastAsia="Times New Roman" w:hAnsi="Tahoma" w:cs="Tahoma"/>
                <w:sz w:val="20"/>
                <w:szCs w:val="20"/>
                <w:lang w:eastAsia="hr-HR"/>
              </w:rPr>
            </w:pPr>
            <w:r w:rsidRPr="000271A1">
              <w:rPr>
                <w:rFonts w:ascii="Tahoma" w:eastAsia="Times New Roman" w:hAnsi="Tahoma" w:cs="Tahoma"/>
                <w:sz w:val="20"/>
                <w:szCs w:val="20"/>
                <w:lang w:eastAsia="hr-HR"/>
              </w:rPr>
              <w:t>1</w:t>
            </w:r>
          </w:p>
        </w:tc>
        <w:tc>
          <w:tcPr>
            <w:tcW w:w="702" w:type="dxa"/>
            <w:tcBorders>
              <w:top w:val="nil"/>
              <w:left w:val="nil"/>
              <w:bottom w:val="single" w:sz="4" w:space="0" w:color="auto"/>
              <w:right w:val="single" w:sz="4" w:space="0" w:color="auto"/>
            </w:tcBorders>
            <w:shd w:val="clear" w:color="000000" w:fill="FF9900"/>
            <w:vAlign w:val="center"/>
            <w:hideMark/>
          </w:tcPr>
          <w:p w14:paraId="5B293608" w14:textId="77777777" w:rsidR="000271A1" w:rsidRPr="000271A1" w:rsidRDefault="000271A1" w:rsidP="000271A1">
            <w:pPr>
              <w:spacing w:after="0" w:line="240" w:lineRule="auto"/>
              <w:jc w:val="right"/>
              <w:rPr>
                <w:rFonts w:ascii="Tahoma" w:eastAsia="Times New Roman" w:hAnsi="Tahoma" w:cs="Tahoma"/>
                <w:sz w:val="20"/>
                <w:szCs w:val="20"/>
                <w:lang w:eastAsia="hr-HR"/>
              </w:rPr>
            </w:pPr>
            <w:r w:rsidRPr="000271A1">
              <w:rPr>
                <w:rFonts w:ascii="Tahoma" w:eastAsia="Times New Roman" w:hAnsi="Tahoma" w:cs="Tahoma"/>
                <w:sz w:val="20"/>
                <w:szCs w:val="20"/>
                <w:lang w:eastAsia="hr-HR"/>
              </w:rPr>
              <w:t>2</w:t>
            </w:r>
          </w:p>
        </w:tc>
        <w:tc>
          <w:tcPr>
            <w:tcW w:w="907" w:type="dxa"/>
            <w:tcBorders>
              <w:top w:val="nil"/>
              <w:left w:val="nil"/>
              <w:bottom w:val="single" w:sz="4" w:space="0" w:color="auto"/>
              <w:right w:val="single" w:sz="4" w:space="0" w:color="auto"/>
            </w:tcBorders>
            <w:shd w:val="clear" w:color="000000" w:fill="FF9900"/>
            <w:noWrap/>
            <w:vAlign w:val="center"/>
            <w:hideMark/>
          </w:tcPr>
          <w:p w14:paraId="570AA4D3" w14:textId="77777777" w:rsidR="000271A1" w:rsidRPr="000271A1" w:rsidRDefault="000271A1" w:rsidP="000271A1">
            <w:pPr>
              <w:spacing w:after="0" w:line="240" w:lineRule="auto"/>
              <w:jc w:val="right"/>
              <w:rPr>
                <w:rFonts w:ascii="Tahoma" w:eastAsia="Times New Roman" w:hAnsi="Tahoma" w:cs="Tahoma"/>
                <w:sz w:val="20"/>
                <w:szCs w:val="20"/>
                <w:lang w:eastAsia="hr-HR"/>
              </w:rPr>
            </w:pPr>
            <w:r w:rsidRPr="000271A1">
              <w:rPr>
                <w:rFonts w:ascii="Tahoma" w:eastAsia="Times New Roman" w:hAnsi="Tahoma" w:cs="Tahoma"/>
                <w:sz w:val="20"/>
                <w:szCs w:val="20"/>
                <w:lang w:eastAsia="hr-HR"/>
              </w:rPr>
              <w:t>1</w:t>
            </w:r>
          </w:p>
        </w:tc>
        <w:tc>
          <w:tcPr>
            <w:tcW w:w="553" w:type="dxa"/>
            <w:tcBorders>
              <w:top w:val="nil"/>
              <w:left w:val="nil"/>
              <w:bottom w:val="single" w:sz="4" w:space="0" w:color="auto"/>
              <w:right w:val="single" w:sz="4" w:space="0" w:color="auto"/>
            </w:tcBorders>
            <w:shd w:val="clear" w:color="000000" w:fill="FF9900"/>
            <w:noWrap/>
            <w:vAlign w:val="center"/>
            <w:hideMark/>
          </w:tcPr>
          <w:p w14:paraId="4E621D46" w14:textId="77777777" w:rsidR="000271A1" w:rsidRPr="000271A1" w:rsidRDefault="000271A1" w:rsidP="000271A1">
            <w:pPr>
              <w:spacing w:after="0" w:line="240" w:lineRule="auto"/>
              <w:jc w:val="right"/>
              <w:rPr>
                <w:rFonts w:ascii="Tahoma" w:eastAsia="Times New Roman" w:hAnsi="Tahoma" w:cs="Tahoma"/>
                <w:sz w:val="20"/>
                <w:szCs w:val="20"/>
                <w:lang w:eastAsia="hr-HR"/>
              </w:rPr>
            </w:pPr>
            <w:r w:rsidRPr="000271A1">
              <w:rPr>
                <w:rFonts w:ascii="Tahoma" w:eastAsia="Times New Roman" w:hAnsi="Tahoma" w:cs="Tahoma"/>
                <w:sz w:val="20"/>
                <w:szCs w:val="20"/>
                <w:lang w:eastAsia="hr-HR"/>
              </w:rPr>
              <w:t> </w:t>
            </w:r>
          </w:p>
        </w:tc>
        <w:tc>
          <w:tcPr>
            <w:tcW w:w="918" w:type="dxa"/>
            <w:tcBorders>
              <w:top w:val="nil"/>
              <w:left w:val="nil"/>
              <w:bottom w:val="single" w:sz="4" w:space="0" w:color="auto"/>
              <w:right w:val="single" w:sz="4" w:space="0" w:color="auto"/>
            </w:tcBorders>
            <w:shd w:val="clear" w:color="000000" w:fill="FF9900"/>
            <w:noWrap/>
            <w:vAlign w:val="center"/>
            <w:hideMark/>
          </w:tcPr>
          <w:p w14:paraId="2509F27A" w14:textId="77777777" w:rsidR="000271A1" w:rsidRPr="000271A1" w:rsidRDefault="000271A1" w:rsidP="000271A1">
            <w:pPr>
              <w:spacing w:after="0" w:line="240" w:lineRule="auto"/>
              <w:jc w:val="right"/>
              <w:rPr>
                <w:rFonts w:ascii="Tahoma" w:eastAsia="Times New Roman" w:hAnsi="Tahoma" w:cs="Tahoma"/>
                <w:sz w:val="20"/>
                <w:szCs w:val="20"/>
                <w:lang w:eastAsia="hr-HR"/>
              </w:rPr>
            </w:pPr>
            <w:r w:rsidRPr="000271A1">
              <w:rPr>
                <w:rFonts w:ascii="Tahoma" w:eastAsia="Times New Roman" w:hAnsi="Tahoma" w:cs="Tahoma"/>
                <w:sz w:val="20"/>
                <w:szCs w:val="20"/>
                <w:lang w:eastAsia="hr-HR"/>
              </w:rPr>
              <w:t> </w:t>
            </w:r>
          </w:p>
        </w:tc>
        <w:tc>
          <w:tcPr>
            <w:tcW w:w="428" w:type="dxa"/>
            <w:tcBorders>
              <w:top w:val="nil"/>
              <w:left w:val="nil"/>
              <w:bottom w:val="single" w:sz="4" w:space="0" w:color="auto"/>
              <w:right w:val="single" w:sz="4" w:space="0" w:color="auto"/>
            </w:tcBorders>
            <w:shd w:val="clear" w:color="000000" w:fill="CCFFFF"/>
            <w:noWrap/>
            <w:vAlign w:val="center"/>
            <w:hideMark/>
          </w:tcPr>
          <w:p w14:paraId="09A80951" w14:textId="77777777" w:rsidR="000271A1" w:rsidRPr="000271A1" w:rsidRDefault="000271A1" w:rsidP="000271A1">
            <w:pPr>
              <w:spacing w:after="0" w:line="240" w:lineRule="auto"/>
              <w:jc w:val="right"/>
              <w:rPr>
                <w:rFonts w:ascii="Tahoma" w:eastAsia="Times New Roman" w:hAnsi="Tahoma" w:cs="Tahoma"/>
                <w:sz w:val="20"/>
                <w:szCs w:val="20"/>
                <w:lang w:eastAsia="hr-HR"/>
              </w:rPr>
            </w:pPr>
            <w:r w:rsidRPr="000271A1">
              <w:rPr>
                <w:rFonts w:ascii="Tahoma" w:eastAsia="Times New Roman" w:hAnsi="Tahoma" w:cs="Tahoma"/>
                <w:sz w:val="20"/>
                <w:szCs w:val="20"/>
                <w:lang w:eastAsia="hr-HR"/>
              </w:rPr>
              <w:t>1</w:t>
            </w:r>
          </w:p>
        </w:tc>
        <w:tc>
          <w:tcPr>
            <w:tcW w:w="428" w:type="dxa"/>
            <w:tcBorders>
              <w:top w:val="nil"/>
              <w:left w:val="nil"/>
              <w:bottom w:val="single" w:sz="4" w:space="0" w:color="auto"/>
              <w:right w:val="single" w:sz="4" w:space="0" w:color="auto"/>
            </w:tcBorders>
            <w:shd w:val="clear" w:color="000000" w:fill="CCFFFF"/>
            <w:noWrap/>
            <w:vAlign w:val="center"/>
            <w:hideMark/>
          </w:tcPr>
          <w:p w14:paraId="0E7A177C" w14:textId="77777777" w:rsidR="000271A1" w:rsidRPr="000271A1" w:rsidRDefault="000271A1" w:rsidP="000271A1">
            <w:pPr>
              <w:spacing w:after="0" w:line="240" w:lineRule="auto"/>
              <w:jc w:val="right"/>
              <w:rPr>
                <w:rFonts w:ascii="Tahoma" w:eastAsia="Times New Roman" w:hAnsi="Tahoma" w:cs="Tahoma"/>
                <w:sz w:val="20"/>
                <w:szCs w:val="20"/>
                <w:lang w:eastAsia="hr-HR"/>
              </w:rPr>
            </w:pPr>
            <w:r w:rsidRPr="000271A1">
              <w:rPr>
                <w:rFonts w:ascii="Tahoma" w:eastAsia="Times New Roman" w:hAnsi="Tahoma" w:cs="Tahoma"/>
                <w:sz w:val="20"/>
                <w:szCs w:val="20"/>
                <w:lang w:eastAsia="hr-HR"/>
              </w:rPr>
              <w:t> </w:t>
            </w:r>
          </w:p>
        </w:tc>
        <w:tc>
          <w:tcPr>
            <w:tcW w:w="425" w:type="dxa"/>
            <w:tcBorders>
              <w:top w:val="nil"/>
              <w:left w:val="nil"/>
              <w:bottom w:val="single" w:sz="4" w:space="0" w:color="auto"/>
              <w:right w:val="single" w:sz="4" w:space="0" w:color="auto"/>
            </w:tcBorders>
            <w:shd w:val="clear" w:color="000000" w:fill="CCFFFF"/>
            <w:noWrap/>
            <w:vAlign w:val="center"/>
            <w:hideMark/>
          </w:tcPr>
          <w:p w14:paraId="7CE3A637" w14:textId="77777777" w:rsidR="000271A1" w:rsidRPr="000271A1" w:rsidRDefault="000271A1" w:rsidP="000271A1">
            <w:pPr>
              <w:spacing w:after="0" w:line="240" w:lineRule="auto"/>
              <w:jc w:val="right"/>
              <w:rPr>
                <w:rFonts w:ascii="Tahoma" w:eastAsia="Times New Roman" w:hAnsi="Tahoma" w:cs="Tahoma"/>
                <w:sz w:val="20"/>
                <w:szCs w:val="20"/>
                <w:lang w:eastAsia="hr-HR"/>
              </w:rPr>
            </w:pPr>
            <w:r w:rsidRPr="000271A1">
              <w:rPr>
                <w:rFonts w:ascii="Tahoma" w:eastAsia="Times New Roman" w:hAnsi="Tahoma" w:cs="Tahoma"/>
                <w:sz w:val="20"/>
                <w:szCs w:val="20"/>
                <w:lang w:eastAsia="hr-HR"/>
              </w:rPr>
              <w:t> </w:t>
            </w:r>
          </w:p>
        </w:tc>
        <w:tc>
          <w:tcPr>
            <w:tcW w:w="425" w:type="dxa"/>
            <w:tcBorders>
              <w:top w:val="nil"/>
              <w:left w:val="nil"/>
              <w:bottom w:val="single" w:sz="4" w:space="0" w:color="auto"/>
              <w:right w:val="nil"/>
            </w:tcBorders>
            <w:shd w:val="clear" w:color="000000" w:fill="33CCCC"/>
            <w:noWrap/>
            <w:vAlign w:val="center"/>
            <w:hideMark/>
          </w:tcPr>
          <w:p w14:paraId="446C98B2" w14:textId="77777777" w:rsidR="000271A1" w:rsidRPr="000271A1" w:rsidRDefault="000271A1" w:rsidP="000271A1">
            <w:pPr>
              <w:spacing w:after="0" w:line="240" w:lineRule="auto"/>
              <w:jc w:val="right"/>
              <w:rPr>
                <w:rFonts w:ascii="Tahoma" w:eastAsia="Times New Roman" w:hAnsi="Tahoma" w:cs="Tahoma"/>
                <w:sz w:val="20"/>
                <w:szCs w:val="20"/>
                <w:lang w:eastAsia="hr-HR"/>
              </w:rPr>
            </w:pPr>
            <w:r w:rsidRPr="000271A1">
              <w:rPr>
                <w:rFonts w:ascii="Tahoma" w:eastAsia="Times New Roman" w:hAnsi="Tahoma" w:cs="Tahoma"/>
                <w:sz w:val="20"/>
                <w:szCs w:val="20"/>
                <w:lang w:eastAsia="hr-HR"/>
              </w:rPr>
              <w:t> </w:t>
            </w:r>
          </w:p>
        </w:tc>
        <w:tc>
          <w:tcPr>
            <w:tcW w:w="440" w:type="dxa"/>
            <w:gridSpan w:val="2"/>
            <w:tcBorders>
              <w:top w:val="nil"/>
              <w:left w:val="single" w:sz="4" w:space="0" w:color="auto"/>
              <w:bottom w:val="single" w:sz="4" w:space="0" w:color="auto"/>
              <w:right w:val="single" w:sz="8" w:space="0" w:color="auto"/>
            </w:tcBorders>
            <w:shd w:val="clear" w:color="000000" w:fill="33CCCC"/>
            <w:noWrap/>
            <w:vAlign w:val="center"/>
            <w:hideMark/>
          </w:tcPr>
          <w:p w14:paraId="152AC34D" w14:textId="77777777" w:rsidR="000271A1" w:rsidRPr="000271A1" w:rsidRDefault="000271A1" w:rsidP="000271A1">
            <w:pPr>
              <w:spacing w:after="0" w:line="240" w:lineRule="auto"/>
              <w:jc w:val="right"/>
              <w:rPr>
                <w:rFonts w:ascii="Tahoma" w:eastAsia="Times New Roman" w:hAnsi="Tahoma" w:cs="Tahoma"/>
                <w:sz w:val="20"/>
                <w:szCs w:val="20"/>
                <w:lang w:eastAsia="hr-HR"/>
              </w:rPr>
            </w:pPr>
            <w:r w:rsidRPr="000271A1">
              <w:rPr>
                <w:rFonts w:ascii="Tahoma" w:eastAsia="Times New Roman" w:hAnsi="Tahoma" w:cs="Tahoma"/>
                <w:sz w:val="20"/>
                <w:szCs w:val="20"/>
                <w:lang w:eastAsia="hr-HR"/>
              </w:rPr>
              <w:t>1</w:t>
            </w:r>
          </w:p>
        </w:tc>
        <w:tc>
          <w:tcPr>
            <w:tcW w:w="236" w:type="dxa"/>
            <w:vAlign w:val="center"/>
            <w:hideMark/>
          </w:tcPr>
          <w:p w14:paraId="24932443" w14:textId="77777777" w:rsidR="000271A1" w:rsidRPr="000271A1" w:rsidRDefault="000271A1" w:rsidP="000271A1">
            <w:pPr>
              <w:spacing w:after="0" w:line="240" w:lineRule="auto"/>
              <w:rPr>
                <w:rFonts w:ascii="Times New Roman" w:eastAsia="Times New Roman" w:hAnsi="Times New Roman" w:cs="Times New Roman"/>
                <w:sz w:val="20"/>
                <w:szCs w:val="20"/>
                <w:lang w:eastAsia="hr-HR"/>
              </w:rPr>
            </w:pPr>
          </w:p>
        </w:tc>
      </w:tr>
      <w:tr w:rsidR="000271A1" w:rsidRPr="000271A1" w14:paraId="7CA2DBBD" w14:textId="77777777" w:rsidTr="000271A1">
        <w:trPr>
          <w:gridAfter w:val="1"/>
          <w:wAfter w:w="26" w:type="dxa"/>
          <w:trHeight w:val="300"/>
        </w:trPr>
        <w:tc>
          <w:tcPr>
            <w:tcW w:w="1119" w:type="dxa"/>
            <w:tcBorders>
              <w:top w:val="single" w:sz="4" w:space="0" w:color="auto"/>
              <w:left w:val="single" w:sz="8" w:space="0" w:color="auto"/>
              <w:bottom w:val="single" w:sz="4" w:space="0" w:color="auto"/>
              <w:right w:val="single" w:sz="4" w:space="0" w:color="auto"/>
            </w:tcBorders>
            <w:shd w:val="clear" w:color="000000" w:fill="CCFFCC"/>
            <w:vAlign w:val="center"/>
            <w:hideMark/>
          </w:tcPr>
          <w:p w14:paraId="083EC91A" w14:textId="77777777" w:rsidR="000271A1" w:rsidRPr="000271A1" w:rsidRDefault="000271A1" w:rsidP="000271A1">
            <w:pPr>
              <w:spacing w:after="0" w:line="240" w:lineRule="auto"/>
              <w:rPr>
                <w:rFonts w:ascii="Tahoma" w:eastAsia="Times New Roman" w:hAnsi="Tahoma" w:cs="Tahoma"/>
                <w:sz w:val="20"/>
                <w:szCs w:val="20"/>
                <w:lang w:eastAsia="hr-HR"/>
              </w:rPr>
            </w:pPr>
            <w:r w:rsidRPr="000271A1">
              <w:rPr>
                <w:rFonts w:ascii="Tahoma" w:eastAsia="Times New Roman" w:hAnsi="Tahoma" w:cs="Tahoma"/>
                <w:sz w:val="20"/>
                <w:szCs w:val="20"/>
                <w:lang w:eastAsia="hr-HR"/>
              </w:rPr>
              <w:t>Političko ili drugo uvjerenje</w:t>
            </w:r>
          </w:p>
        </w:tc>
        <w:tc>
          <w:tcPr>
            <w:tcW w:w="671" w:type="dxa"/>
            <w:tcBorders>
              <w:top w:val="nil"/>
              <w:left w:val="nil"/>
              <w:bottom w:val="single" w:sz="4" w:space="0" w:color="auto"/>
              <w:right w:val="single" w:sz="4" w:space="0" w:color="auto"/>
            </w:tcBorders>
            <w:shd w:val="clear" w:color="000000" w:fill="FFCC99"/>
            <w:noWrap/>
            <w:vAlign w:val="center"/>
            <w:hideMark/>
          </w:tcPr>
          <w:p w14:paraId="6BB594A1" w14:textId="77777777" w:rsidR="000271A1" w:rsidRPr="000271A1" w:rsidRDefault="000271A1" w:rsidP="000271A1">
            <w:pPr>
              <w:spacing w:after="0" w:line="240" w:lineRule="auto"/>
              <w:jc w:val="right"/>
              <w:rPr>
                <w:rFonts w:ascii="Tahoma" w:eastAsia="Times New Roman" w:hAnsi="Tahoma" w:cs="Tahoma"/>
                <w:sz w:val="20"/>
                <w:szCs w:val="20"/>
                <w:lang w:eastAsia="hr-HR"/>
              </w:rPr>
            </w:pPr>
            <w:r w:rsidRPr="000271A1">
              <w:rPr>
                <w:rFonts w:ascii="Tahoma" w:eastAsia="Times New Roman" w:hAnsi="Tahoma" w:cs="Tahoma"/>
                <w:sz w:val="20"/>
                <w:szCs w:val="20"/>
                <w:lang w:eastAsia="hr-HR"/>
              </w:rPr>
              <w:t>16</w:t>
            </w:r>
          </w:p>
        </w:tc>
        <w:tc>
          <w:tcPr>
            <w:tcW w:w="519" w:type="dxa"/>
            <w:tcBorders>
              <w:top w:val="nil"/>
              <w:left w:val="nil"/>
              <w:bottom w:val="single" w:sz="4" w:space="0" w:color="auto"/>
              <w:right w:val="single" w:sz="4" w:space="0" w:color="auto"/>
            </w:tcBorders>
            <w:shd w:val="clear" w:color="000000" w:fill="FFFF00"/>
            <w:noWrap/>
            <w:vAlign w:val="center"/>
            <w:hideMark/>
          </w:tcPr>
          <w:p w14:paraId="3013C872" w14:textId="77777777" w:rsidR="000271A1" w:rsidRPr="000271A1" w:rsidRDefault="000271A1" w:rsidP="000271A1">
            <w:pPr>
              <w:spacing w:after="0" w:line="240" w:lineRule="auto"/>
              <w:jc w:val="right"/>
              <w:rPr>
                <w:rFonts w:ascii="Tahoma" w:eastAsia="Times New Roman" w:hAnsi="Tahoma" w:cs="Tahoma"/>
                <w:sz w:val="20"/>
                <w:szCs w:val="20"/>
                <w:lang w:eastAsia="hr-HR"/>
              </w:rPr>
            </w:pPr>
            <w:r w:rsidRPr="000271A1">
              <w:rPr>
                <w:rFonts w:ascii="Tahoma" w:eastAsia="Times New Roman" w:hAnsi="Tahoma" w:cs="Tahoma"/>
                <w:sz w:val="20"/>
                <w:szCs w:val="20"/>
                <w:lang w:eastAsia="hr-HR"/>
              </w:rPr>
              <w:t>2</w:t>
            </w:r>
          </w:p>
        </w:tc>
        <w:tc>
          <w:tcPr>
            <w:tcW w:w="365" w:type="dxa"/>
            <w:tcBorders>
              <w:top w:val="nil"/>
              <w:left w:val="nil"/>
              <w:bottom w:val="single" w:sz="4" w:space="0" w:color="auto"/>
              <w:right w:val="single" w:sz="4" w:space="0" w:color="auto"/>
            </w:tcBorders>
            <w:shd w:val="clear" w:color="000000" w:fill="CCFFFF"/>
            <w:noWrap/>
            <w:vAlign w:val="center"/>
            <w:hideMark/>
          </w:tcPr>
          <w:p w14:paraId="01FD7CE2" w14:textId="77777777" w:rsidR="000271A1" w:rsidRPr="000271A1" w:rsidRDefault="000271A1" w:rsidP="000271A1">
            <w:pPr>
              <w:spacing w:after="0" w:line="240" w:lineRule="auto"/>
              <w:jc w:val="right"/>
              <w:rPr>
                <w:rFonts w:ascii="Tahoma" w:eastAsia="Times New Roman" w:hAnsi="Tahoma" w:cs="Tahoma"/>
                <w:sz w:val="20"/>
                <w:szCs w:val="20"/>
                <w:lang w:eastAsia="hr-HR"/>
              </w:rPr>
            </w:pPr>
            <w:r w:rsidRPr="000271A1">
              <w:rPr>
                <w:rFonts w:ascii="Tahoma" w:eastAsia="Times New Roman" w:hAnsi="Tahoma" w:cs="Tahoma"/>
                <w:sz w:val="20"/>
                <w:szCs w:val="20"/>
                <w:lang w:eastAsia="hr-HR"/>
              </w:rPr>
              <w:t> </w:t>
            </w:r>
          </w:p>
        </w:tc>
        <w:tc>
          <w:tcPr>
            <w:tcW w:w="379" w:type="dxa"/>
            <w:tcBorders>
              <w:top w:val="nil"/>
              <w:left w:val="nil"/>
              <w:bottom w:val="single" w:sz="4" w:space="0" w:color="auto"/>
              <w:right w:val="single" w:sz="4" w:space="0" w:color="auto"/>
            </w:tcBorders>
            <w:shd w:val="clear" w:color="000000" w:fill="CCFFFF"/>
            <w:noWrap/>
            <w:vAlign w:val="center"/>
            <w:hideMark/>
          </w:tcPr>
          <w:p w14:paraId="74AC97CE" w14:textId="77777777" w:rsidR="000271A1" w:rsidRPr="000271A1" w:rsidRDefault="000271A1" w:rsidP="000271A1">
            <w:pPr>
              <w:spacing w:after="0" w:line="240" w:lineRule="auto"/>
              <w:jc w:val="right"/>
              <w:rPr>
                <w:rFonts w:ascii="Tahoma" w:eastAsia="Times New Roman" w:hAnsi="Tahoma" w:cs="Tahoma"/>
                <w:sz w:val="20"/>
                <w:szCs w:val="20"/>
                <w:lang w:eastAsia="hr-HR"/>
              </w:rPr>
            </w:pPr>
            <w:r w:rsidRPr="000271A1">
              <w:rPr>
                <w:rFonts w:ascii="Tahoma" w:eastAsia="Times New Roman" w:hAnsi="Tahoma" w:cs="Tahoma"/>
                <w:sz w:val="20"/>
                <w:szCs w:val="20"/>
                <w:lang w:eastAsia="hr-HR"/>
              </w:rPr>
              <w:t>2</w:t>
            </w:r>
          </w:p>
        </w:tc>
        <w:tc>
          <w:tcPr>
            <w:tcW w:w="698" w:type="dxa"/>
            <w:tcBorders>
              <w:top w:val="nil"/>
              <w:left w:val="nil"/>
              <w:bottom w:val="single" w:sz="4" w:space="0" w:color="auto"/>
              <w:right w:val="single" w:sz="4" w:space="0" w:color="auto"/>
            </w:tcBorders>
            <w:shd w:val="clear" w:color="000000" w:fill="FFFF99"/>
            <w:noWrap/>
            <w:vAlign w:val="center"/>
            <w:hideMark/>
          </w:tcPr>
          <w:p w14:paraId="1C48B267" w14:textId="77777777" w:rsidR="000271A1" w:rsidRPr="000271A1" w:rsidRDefault="000271A1" w:rsidP="000271A1">
            <w:pPr>
              <w:spacing w:after="0" w:line="240" w:lineRule="auto"/>
              <w:jc w:val="right"/>
              <w:rPr>
                <w:rFonts w:ascii="Tahoma" w:eastAsia="Times New Roman" w:hAnsi="Tahoma" w:cs="Tahoma"/>
                <w:sz w:val="20"/>
                <w:szCs w:val="20"/>
                <w:lang w:eastAsia="hr-HR"/>
              </w:rPr>
            </w:pPr>
            <w:r w:rsidRPr="000271A1">
              <w:rPr>
                <w:rFonts w:ascii="Tahoma" w:eastAsia="Times New Roman" w:hAnsi="Tahoma" w:cs="Tahoma"/>
                <w:sz w:val="20"/>
                <w:szCs w:val="20"/>
                <w:lang w:eastAsia="hr-HR"/>
              </w:rPr>
              <w:t>2</w:t>
            </w:r>
          </w:p>
        </w:tc>
        <w:tc>
          <w:tcPr>
            <w:tcW w:w="698" w:type="dxa"/>
            <w:tcBorders>
              <w:top w:val="nil"/>
              <w:left w:val="nil"/>
              <w:bottom w:val="single" w:sz="4" w:space="0" w:color="auto"/>
              <w:right w:val="single" w:sz="4" w:space="0" w:color="auto"/>
            </w:tcBorders>
            <w:shd w:val="clear" w:color="000000" w:fill="FFFF99"/>
            <w:noWrap/>
            <w:vAlign w:val="center"/>
            <w:hideMark/>
          </w:tcPr>
          <w:p w14:paraId="2BF0C780" w14:textId="77777777" w:rsidR="000271A1" w:rsidRPr="000271A1" w:rsidRDefault="000271A1" w:rsidP="000271A1">
            <w:pPr>
              <w:spacing w:after="0" w:line="240" w:lineRule="auto"/>
              <w:jc w:val="right"/>
              <w:rPr>
                <w:rFonts w:ascii="Tahoma" w:eastAsia="Times New Roman" w:hAnsi="Tahoma" w:cs="Tahoma"/>
                <w:sz w:val="20"/>
                <w:szCs w:val="20"/>
                <w:lang w:eastAsia="hr-HR"/>
              </w:rPr>
            </w:pPr>
            <w:r w:rsidRPr="000271A1">
              <w:rPr>
                <w:rFonts w:ascii="Tahoma" w:eastAsia="Times New Roman" w:hAnsi="Tahoma" w:cs="Tahoma"/>
                <w:sz w:val="20"/>
                <w:szCs w:val="20"/>
                <w:lang w:eastAsia="hr-HR"/>
              </w:rPr>
              <w:t>1</w:t>
            </w:r>
          </w:p>
        </w:tc>
        <w:tc>
          <w:tcPr>
            <w:tcW w:w="512" w:type="dxa"/>
            <w:tcBorders>
              <w:top w:val="nil"/>
              <w:left w:val="nil"/>
              <w:bottom w:val="single" w:sz="4" w:space="0" w:color="auto"/>
              <w:right w:val="single" w:sz="4" w:space="0" w:color="auto"/>
            </w:tcBorders>
            <w:shd w:val="clear" w:color="000000" w:fill="FFFF99"/>
            <w:noWrap/>
            <w:vAlign w:val="center"/>
            <w:hideMark/>
          </w:tcPr>
          <w:p w14:paraId="4F22482D" w14:textId="77777777" w:rsidR="000271A1" w:rsidRPr="000271A1" w:rsidRDefault="000271A1" w:rsidP="000271A1">
            <w:pPr>
              <w:spacing w:after="0" w:line="240" w:lineRule="auto"/>
              <w:jc w:val="right"/>
              <w:rPr>
                <w:rFonts w:ascii="Tahoma" w:eastAsia="Times New Roman" w:hAnsi="Tahoma" w:cs="Tahoma"/>
                <w:sz w:val="20"/>
                <w:szCs w:val="20"/>
                <w:lang w:eastAsia="hr-HR"/>
              </w:rPr>
            </w:pPr>
            <w:r w:rsidRPr="000271A1">
              <w:rPr>
                <w:rFonts w:ascii="Tahoma" w:eastAsia="Times New Roman" w:hAnsi="Tahoma" w:cs="Tahoma"/>
                <w:sz w:val="20"/>
                <w:szCs w:val="20"/>
                <w:lang w:eastAsia="hr-HR"/>
              </w:rPr>
              <w:t> </w:t>
            </w:r>
          </w:p>
        </w:tc>
        <w:tc>
          <w:tcPr>
            <w:tcW w:w="698" w:type="dxa"/>
            <w:tcBorders>
              <w:top w:val="nil"/>
              <w:left w:val="nil"/>
              <w:bottom w:val="single" w:sz="4" w:space="0" w:color="auto"/>
              <w:right w:val="single" w:sz="4" w:space="0" w:color="auto"/>
            </w:tcBorders>
            <w:shd w:val="clear" w:color="000000" w:fill="FFFF99"/>
            <w:noWrap/>
            <w:vAlign w:val="center"/>
            <w:hideMark/>
          </w:tcPr>
          <w:p w14:paraId="7137B58B" w14:textId="77777777" w:rsidR="000271A1" w:rsidRPr="000271A1" w:rsidRDefault="000271A1" w:rsidP="000271A1">
            <w:pPr>
              <w:spacing w:after="0" w:line="240" w:lineRule="auto"/>
              <w:jc w:val="right"/>
              <w:rPr>
                <w:rFonts w:ascii="Tahoma" w:eastAsia="Times New Roman" w:hAnsi="Tahoma" w:cs="Tahoma"/>
                <w:sz w:val="20"/>
                <w:szCs w:val="20"/>
                <w:lang w:eastAsia="hr-HR"/>
              </w:rPr>
            </w:pPr>
            <w:r w:rsidRPr="000271A1">
              <w:rPr>
                <w:rFonts w:ascii="Tahoma" w:eastAsia="Times New Roman" w:hAnsi="Tahoma" w:cs="Tahoma"/>
                <w:sz w:val="20"/>
                <w:szCs w:val="20"/>
                <w:lang w:eastAsia="hr-HR"/>
              </w:rPr>
              <w:t> </w:t>
            </w:r>
          </w:p>
        </w:tc>
        <w:tc>
          <w:tcPr>
            <w:tcW w:w="444" w:type="dxa"/>
            <w:tcBorders>
              <w:top w:val="nil"/>
              <w:left w:val="nil"/>
              <w:bottom w:val="single" w:sz="4" w:space="0" w:color="auto"/>
              <w:right w:val="single" w:sz="4" w:space="0" w:color="auto"/>
            </w:tcBorders>
            <w:shd w:val="clear" w:color="000000" w:fill="FFFF99"/>
            <w:noWrap/>
            <w:vAlign w:val="center"/>
            <w:hideMark/>
          </w:tcPr>
          <w:p w14:paraId="013C957A" w14:textId="77777777" w:rsidR="000271A1" w:rsidRPr="000271A1" w:rsidRDefault="000271A1" w:rsidP="000271A1">
            <w:pPr>
              <w:spacing w:after="0" w:line="240" w:lineRule="auto"/>
              <w:jc w:val="right"/>
              <w:rPr>
                <w:rFonts w:ascii="Tahoma" w:eastAsia="Times New Roman" w:hAnsi="Tahoma" w:cs="Tahoma"/>
                <w:sz w:val="20"/>
                <w:szCs w:val="20"/>
                <w:lang w:eastAsia="hr-HR"/>
              </w:rPr>
            </w:pPr>
            <w:r w:rsidRPr="000271A1">
              <w:rPr>
                <w:rFonts w:ascii="Tahoma" w:eastAsia="Times New Roman" w:hAnsi="Tahoma" w:cs="Tahoma"/>
                <w:sz w:val="20"/>
                <w:szCs w:val="20"/>
                <w:lang w:eastAsia="hr-HR"/>
              </w:rPr>
              <w:t> </w:t>
            </w:r>
          </w:p>
        </w:tc>
        <w:tc>
          <w:tcPr>
            <w:tcW w:w="698" w:type="dxa"/>
            <w:tcBorders>
              <w:top w:val="nil"/>
              <w:left w:val="nil"/>
              <w:bottom w:val="single" w:sz="4" w:space="0" w:color="auto"/>
              <w:right w:val="single" w:sz="4" w:space="0" w:color="auto"/>
            </w:tcBorders>
            <w:shd w:val="clear" w:color="000000" w:fill="FFFF99"/>
            <w:noWrap/>
            <w:vAlign w:val="center"/>
            <w:hideMark/>
          </w:tcPr>
          <w:p w14:paraId="0C3F2617" w14:textId="77777777" w:rsidR="000271A1" w:rsidRPr="000271A1" w:rsidRDefault="000271A1" w:rsidP="000271A1">
            <w:pPr>
              <w:spacing w:after="0" w:line="240" w:lineRule="auto"/>
              <w:jc w:val="right"/>
              <w:rPr>
                <w:rFonts w:ascii="Tahoma" w:eastAsia="Times New Roman" w:hAnsi="Tahoma" w:cs="Tahoma"/>
                <w:sz w:val="20"/>
                <w:szCs w:val="20"/>
                <w:lang w:eastAsia="hr-HR"/>
              </w:rPr>
            </w:pPr>
            <w:r w:rsidRPr="000271A1">
              <w:rPr>
                <w:rFonts w:ascii="Tahoma" w:eastAsia="Times New Roman" w:hAnsi="Tahoma" w:cs="Tahoma"/>
                <w:sz w:val="20"/>
                <w:szCs w:val="20"/>
                <w:lang w:eastAsia="hr-HR"/>
              </w:rPr>
              <w:t> </w:t>
            </w:r>
          </w:p>
        </w:tc>
        <w:tc>
          <w:tcPr>
            <w:tcW w:w="444" w:type="dxa"/>
            <w:gridSpan w:val="2"/>
            <w:tcBorders>
              <w:top w:val="nil"/>
              <w:left w:val="nil"/>
              <w:bottom w:val="single" w:sz="4" w:space="0" w:color="auto"/>
              <w:right w:val="single" w:sz="4" w:space="0" w:color="auto"/>
            </w:tcBorders>
            <w:shd w:val="clear" w:color="000000" w:fill="FF9900"/>
            <w:noWrap/>
            <w:vAlign w:val="center"/>
            <w:hideMark/>
          </w:tcPr>
          <w:p w14:paraId="6DA4FFBE" w14:textId="77777777" w:rsidR="000271A1" w:rsidRPr="000271A1" w:rsidRDefault="000271A1" w:rsidP="000271A1">
            <w:pPr>
              <w:spacing w:after="0" w:line="240" w:lineRule="auto"/>
              <w:jc w:val="right"/>
              <w:rPr>
                <w:rFonts w:ascii="Tahoma" w:eastAsia="Times New Roman" w:hAnsi="Tahoma" w:cs="Tahoma"/>
                <w:sz w:val="20"/>
                <w:szCs w:val="20"/>
                <w:lang w:eastAsia="hr-HR"/>
              </w:rPr>
            </w:pPr>
            <w:r w:rsidRPr="000271A1">
              <w:rPr>
                <w:rFonts w:ascii="Tahoma" w:eastAsia="Times New Roman" w:hAnsi="Tahoma" w:cs="Tahoma"/>
                <w:sz w:val="20"/>
                <w:szCs w:val="20"/>
                <w:lang w:eastAsia="hr-HR"/>
              </w:rPr>
              <w:t> </w:t>
            </w:r>
          </w:p>
        </w:tc>
        <w:tc>
          <w:tcPr>
            <w:tcW w:w="521" w:type="dxa"/>
            <w:tcBorders>
              <w:top w:val="nil"/>
              <w:left w:val="nil"/>
              <w:bottom w:val="single" w:sz="4" w:space="0" w:color="auto"/>
              <w:right w:val="single" w:sz="4" w:space="0" w:color="auto"/>
            </w:tcBorders>
            <w:shd w:val="clear" w:color="000000" w:fill="FF9900"/>
            <w:noWrap/>
            <w:vAlign w:val="center"/>
            <w:hideMark/>
          </w:tcPr>
          <w:p w14:paraId="6DF41AFD" w14:textId="77777777" w:rsidR="000271A1" w:rsidRPr="000271A1" w:rsidRDefault="000271A1" w:rsidP="000271A1">
            <w:pPr>
              <w:spacing w:after="0" w:line="240" w:lineRule="auto"/>
              <w:jc w:val="right"/>
              <w:rPr>
                <w:rFonts w:ascii="Tahoma" w:eastAsia="Times New Roman" w:hAnsi="Tahoma" w:cs="Tahoma"/>
                <w:sz w:val="20"/>
                <w:szCs w:val="20"/>
                <w:lang w:eastAsia="hr-HR"/>
              </w:rPr>
            </w:pPr>
            <w:r w:rsidRPr="000271A1">
              <w:rPr>
                <w:rFonts w:ascii="Tahoma" w:eastAsia="Times New Roman" w:hAnsi="Tahoma" w:cs="Tahoma"/>
                <w:sz w:val="20"/>
                <w:szCs w:val="20"/>
                <w:lang w:eastAsia="hr-HR"/>
              </w:rPr>
              <w:t>3</w:t>
            </w:r>
          </w:p>
        </w:tc>
        <w:tc>
          <w:tcPr>
            <w:tcW w:w="521" w:type="dxa"/>
            <w:tcBorders>
              <w:top w:val="nil"/>
              <w:left w:val="nil"/>
              <w:bottom w:val="single" w:sz="4" w:space="0" w:color="auto"/>
              <w:right w:val="single" w:sz="4" w:space="0" w:color="auto"/>
            </w:tcBorders>
            <w:shd w:val="clear" w:color="000000" w:fill="FF9900"/>
            <w:noWrap/>
            <w:vAlign w:val="center"/>
            <w:hideMark/>
          </w:tcPr>
          <w:p w14:paraId="48BC40FD" w14:textId="77777777" w:rsidR="000271A1" w:rsidRPr="000271A1" w:rsidRDefault="000271A1" w:rsidP="000271A1">
            <w:pPr>
              <w:spacing w:after="0" w:line="240" w:lineRule="auto"/>
              <w:jc w:val="right"/>
              <w:rPr>
                <w:rFonts w:ascii="Tahoma" w:eastAsia="Times New Roman" w:hAnsi="Tahoma" w:cs="Tahoma"/>
                <w:sz w:val="20"/>
                <w:szCs w:val="20"/>
                <w:lang w:eastAsia="hr-HR"/>
              </w:rPr>
            </w:pPr>
            <w:r w:rsidRPr="000271A1">
              <w:rPr>
                <w:rFonts w:ascii="Tahoma" w:eastAsia="Times New Roman" w:hAnsi="Tahoma" w:cs="Tahoma"/>
                <w:sz w:val="20"/>
                <w:szCs w:val="20"/>
                <w:lang w:eastAsia="hr-HR"/>
              </w:rPr>
              <w:t>3</w:t>
            </w:r>
          </w:p>
        </w:tc>
        <w:tc>
          <w:tcPr>
            <w:tcW w:w="521" w:type="dxa"/>
            <w:gridSpan w:val="2"/>
            <w:tcBorders>
              <w:top w:val="nil"/>
              <w:left w:val="nil"/>
              <w:bottom w:val="single" w:sz="4" w:space="0" w:color="auto"/>
              <w:right w:val="single" w:sz="4" w:space="0" w:color="auto"/>
            </w:tcBorders>
            <w:shd w:val="clear" w:color="000000" w:fill="FFFF00"/>
            <w:vAlign w:val="center"/>
            <w:hideMark/>
          </w:tcPr>
          <w:p w14:paraId="79160518" w14:textId="77777777" w:rsidR="000271A1" w:rsidRPr="000271A1" w:rsidRDefault="000271A1" w:rsidP="000271A1">
            <w:pPr>
              <w:spacing w:after="0" w:line="240" w:lineRule="auto"/>
              <w:jc w:val="right"/>
              <w:rPr>
                <w:rFonts w:ascii="Tahoma" w:eastAsia="Times New Roman" w:hAnsi="Tahoma" w:cs="Tahoma"/>
                <w:sz w:val="20"/>
                <w:szCs w:val="20"/>
                <w:lang w:eastAsia="hr-HR"/>
              </w:rPr>
            </w:pPr>
            <w:r w:rsidRPr="000271A1">
              <w:rPr>
                <w:rFonts w:ascii="Tahoma" w:eastAsia="Times New Roman" w:hAnsi="Tahoma" w:cs="Tahoma"/>
                <w:sz w:val="20"/>
                <w:szCs w:val="20"/>
                <w:lang w:eastAsia="hr-HR"/>
              </w:rPr>
              <w:t>6</w:t>
            </w:r>
          </w:p>
        </w:tc>
        <w:tc>
          <w:tcPr>
            <w:tcW w:w="702" w:type="dxa"/>
            <w:tcBorders>
              <w:top w:val="nil"/>
              <w:left w:val="nil"/>
              <w:bottom w:val="single" w:sz="4" w:space="0" w:color="auto"/>
              <w:right w:val="single" w:sz="4" w:space="0" w:color="auto"/>
            </w:tcBorders>
            <w:shd w:val="clear" w:color="000000" w:fill="FF9900"/>
            <w:vAlign w:val="center"/>
            <w:hideMark/>
          </w:tcPr>
          <w:p w14:paraId="5CCE6C18" w14:textId="77777777" w:rsidR="000271A1" w:rsidRPr="000271A1" w:rsidRDefault="000271A1" w:rsidP="000271A1">
            <w:pPr>
              <w:spacing w:after="0" w:line="240" w:lineRule="auto"/>
              <w:jc w:val="right"/>
              <w:rPr>
                <w:rFonts w:ascii="Tahoma" w:eastAsia="Times New Roman" w:hAnsi="Tahoma" w:cs="Tahoma"/>
                <w:sz w:val="20"/>
                <w:szCs w:val="20"/>
                <w:lang w:eastAsia="hr-HR"/>
              </w:rPr>
            </w:pPr>
            <w:r w:rsidRPr="000271A1">
              <w:rPr>
                <w:rFonts w:ascii="Tahoma" w:eastAsia="Times New Roman" w:hAnsi="Tahoma" w:cs="Tahoma"/>
                <w:sz w:val="20"/>
                <w:szCs w:val="20"/>
                <w:lang w:eastAsia="hr-HR"/>
              </w:rPr>
              <w:t>12</w:t>
            </w:r>
          </w:p>
        </w:tc>
        <w:tc>
          <w:tcPr>
            <w:tcW w:w="907" w:type="dxa"/>
            <w:tcBorders>
              <w:top w:val="nil"/>
              <w:left w:val="nil"/>
              <w:bottom w:val="single" w:sz="4" w:space="0" w:color="auto"/>
              <w:right w:val="single" w:sz="4" w:space="0" w:color="auto"/>
            </w:tcBorders>
            <w:shd w:val="clear" w:color="000000" w:fill="FF9900"/>
            <w:noWrap/>
            <w:vAlign w:val="center"/>
            <w:hideMark/>
          </w:tcPr>
          <w:p w14:paraId="7615B0A7" w14:textId="77777777" w:rsidR="000271A1" w:rsidRPr="000271A1" w:rsidRDefault="000271A1" w:rsidP="000271A1">
            <w:pPr>
              <w:spacing w:after="0" w:line="240" w:lineRule="auto"/>
              <w:jc w:val="right"/>
              <w:rPr>
                <w:rFonts w:ascii="Tahoma" w:eastAsia="Times New Roman" w:hAnsi="Tahoma" w:cs="Tahoma"/>
                <w:sz w:val="20"/>
                <w:szCs w:val="20"/>
                <w:lang w:eastAsia="hr-HR"/>
              </w:rPr>
            </w:pPr>
            <w:r w:rsidRPr="000271A1">
              <w:rPr>
                <w:rFonts w:ascii="Tahoma" w:eastAsia="Times New Roman" w:hAnsi="Tahoma" w:cs="Tahoma"/>
                <w:sz w:val="20"/>
                <w:szCs w:val="20"/>
                <w:lang w:eastAsia="hr-HR"/>
              </w:rPr>
              <w:t>2</w:t>
            </w:r>
          </w:p>
        </w:tc>
        <w:tc>
          <w:tcPr>
            <w:tcW w:w="553" w:type="dxa"/>
            <w:tcBorders>
              <w:top w:val="nil"/>
              <w:left w:val="nil"/>
              <w:bottom w:val="single" w:sz="4" w:space="0" w:color="auto"/>
              <w:right w:val="single" w:sz="4" w:space="0" w:color="auto"/>
            </w:tcBorders>
            <w:shd w:val="clear" w:color="000000" w:fill="FF9900"/>
            <w:noWrap/>
            <w:vAlign w:val="center"/>
            <w:hideMark/>
          </w:tcPr>
          <w:p w14:paraId="3926F200" w14:textId="77777777" w:rsidR="000271A1" w:rsidRPr="000271A1" w:rsidRDefault="000271A1" w:rsidP="000271A1">
            <w:pPr>
              <w:spacing w:after="0" w:line="240" w:lineRule="auto"/>
              <w:jc w:val="right"/>
              <w:rPr>
                <w:rFonts w:ascii="Tahoma" w:eastAsia="Times New Roman" w:hAnsi="Tahoma" w:cs="Tahoma"/>
                <w:sz w:val="20"/>
                <w:szCs w:val="20"/>
                <w:lang w:eastAsia="hr-HR"/>
              </w:rPr>
            </w:pPr>
            <w:r w:rsidRPr="000271A1">
              <w:rPr>
                <w:rFonts w:ascii="Tahoma" w:eastAsia="Times New Roman" w:hAnsi="Tahoma" w:cs="Tahoma"/>
                <w:sz w:val="20"/>
                <w:szCs w:val="20"/>
                <w:lang w:eastAsia="hr-HR"/>
              </w:rPr>
              <w:t>1</w:t>
            </w:r>
          </w:p>
        </w:tc>
        <w:tc>
          <w:tcPr>
            <w:tcW w:w="918" w:type="dxa"/>
            <w:tcBorders>
              <w:top w:val="nil"/>
              <w:left w:val="nil"/>
              <w:bottom w:val="single" w:sz="4" w:space="0" w:color="auto"/>
              <w:right w:val="single" w:sz="4" w:space="0" w:color="auto"/>
            </w:tcBorders>
            <w:shd w:val="clear" w:color="000000" w:fill="FF9900"/>
            <w:noWrap/>
            <w:vAlign w:val="center"/>
            <w:hideMark/>
          </w:tcPr>
          <w:p w14:paraId="261EC33E" w14:textId="77777777" w:rsidR="000271A1" w:rsidRPr="000271A1" w:rsidRDefault="000271A1" w:rsidP="000271A1">
            <w:pPr>
              <w:spacing w:after="0" w:line="240" w:lineRule="auto"/>
              <w:jc w:val="right"/>
              <w:rPr>
                <w:rFonts w:ascii="Tahoma" w:eastAsia="Times New Roman" w:hAnsi="Tahoma" w:cs="Tahoma"/>
                <w:sz w:val="20"/>
                <w:szCs w:val="20"/>
                <w:lang w:eastAsia="hr-HR"/>
              </w:rPr>
            </w:pPr>
            <w:r w:rsidRPr="000271A1">
              <w:rPr>
                <w:rFonts w:ascii="Tahoma" w:eastAsia="Times New Roman" w:hAnsi="Tahoma" w:cs="Tahoma"/>
                <w:sz w:val="20"/>
                <w:szCs w:val="20"/>
                <w:lang w:eastAsia="hr-HR"/>
              </w:rPr>
              <w:t>2</w:t>
            </w:r>
          </w:p>
        </w:tc>
        <w:tc>
          <w:tcPr>
            <w:tcW w:w="428" w:type="dxa"/>
            <w:tcBorders>
              <w:top w:val="nil"/>
              <w:left w:val="nil"/>
              <w:bottom w:val="single" w:sz="4" w:space="0" w:color="auto"/>
              <w:right w:val="single" w:sz="4" w:space="0" w:color="auto"/>
            </w:tcBorders>
            <w:shd w:val="clear" w:color="000000" w:fill="CCFFFF"/>
            <w:noWrap/>
            <w:vAlign w:val="center"/>
            <w:hideMark/>
          </w:tcPr>
          <w:p w14:paraId="0534E1D1" w14:textId="77777777" w:rsidR="000271A1" w:rsidRPr="000271A1" w:rsidRDefault="000271A1" w:rsidP="000271A1">
            <w:pPr>
              <w:spacing w:after="0" w:line="240" w:lineRule="auto"/>
              <w:jc w:val="right"/>
              <w:rPr>
                <w:rFonts w:ascii="Tahoma" w:eastAsia="Times New Roman" w:hAnsi="Tahoma" w:cs="Tahoma"/>
                <w:sz w:val="20"/>
                <w:szCs w:val="20"/>
                <w:lang w:eastAsia="hr-HR"/>
              </w:rPr>
            </w:pPr>
            <w:r w:rsidRPr="000271A1">
              <w:rPr>
                <w:rFonts w:ascii="Tahoma" w:eastAsia="Times New Roman" w:hAnsi="Tahoma" w:cs="Tahoma"/>
                <w:sz w:val="20"/>
                <w:szCs w:val="20"/>
                <w:lang w:eastAsia="hr-HR"/>
              </w:rPr>
              <w:t>1</w:t>
            </w:r>
          </w:p>
        </w:tc>
        <w:tc>
          <w:tcPr>
            <w:tcW w:w="428" w:type="dxa"/>
            <w:tcBorders>
              <w:top w:val="nil"/>
              <w:left w:val="nil"/>
              <w:bottom w:val="single" w:sz="4" w:space="0" w:color="auto"/>
              <w:right w:val="single" w:sz="4" w:space="0" w:color="auto"/>
            </w:tcBorders>
            <w:shd w:val="clear" w:color="000000" w:fill="CCFFFF"/>
            <w:noWrap/>
            <w:vAlign w:val="center"/>
            <w:hideMark/>
          </w:tcPr>
          <w:p w14:paraId="58C7BC8E" w14:textId="77777777" w:rsidR="000271A1" w:rsidRPr="000271A1" w:rsidRDefault="000271A1" w:rsidP="000271A1">
            <w:pPr>
              <w:spacing w:after="0" w:line="240" w:lineRule="auto"/>
              <w:jc w:val="right"/>
              <w:rPr>
                <w:rFonts w:ascii="Tahoma" w:eastAsia="Times New Roman" w:hAnsi="Tahoma" w:cs="Tahoma"/>
                <w:sz w:val="20"/>
                <w:szCs w:val="20"/>
                <w:lang w:eastAsia="hr-HR"/>
              </w:rPr>
            </w:pPr>
            <w:r w:rsidRPr="000271A1">
              <w:rPr>
                <w:rFonts w:ascii="Tahoma" w:eastAsia="Times New Roman" w:hAnsi="Tahoma" w:cs="Tahoma"/>
                <w:sz w:val="20"/>
                <w:szCs w:val="20"/>
                <w:lang w:eastAsia="hr-HR"/>
              </w:rPr>
              <w:t> </w:t>
            </w:r>
          </w:p>
        </w:tc>
        <w:tc>
          <w:tcPr>
            <w:tcW w:w="425" w:type="dxa"/>
            <w:tcBorders>
              <w:top w:val="nil"/>
              <w:left w:val="nil"/>
              <w:bottom w:val="single" w:sz="4" w:space="0" w:color="auto"/>
              <w:right w:val="single" w:sz="4" w:space="0" w:color="auto"/>
            </w:tcBorders>
            <w:shd w:val="clear" w:color="000000" w:fill="CCFFFF"/>
            <w:noWrap/>
            <w:vAlign w:val="center"/>
            <w:hideMark/>
          </w:tcPr>
          <w:p w14:paraId="0199852E" w14:textId="77777777" w:rsidR="000271A1" w:rsidRPr="000271A1" w:rsidRDefault="000271A1" w:rsidP="000271A1">
            <w:pPr>
              <w:spacing w:after="0" w:line="240" w:lineRule="auto"/>
              <w:jc w:val="right"/>
              <w:rPr>
                <w:rFonts w:ascii="Tahoma" w:eastAsia="Times New Roman" w:hAnsi="Tahoma" w:cs="Tahoma"/>
                <w:sz w:val="20"/>
                <w:szCs w:val="20"/>
                <w:lang w:eastAsia="hr-HR"/>
              </w:rPr>
            </w:pPr>
            <w:r w:rsidRPr="000271A1">
              <w:rPr>
                <w:rFonts w:ascii="Tahoma" w:eastAsia="Times New Roman" w:hAnsi="Tahoma" w:cs="Tahoma"/>
                <w:sz w:val="20"/>
                <w:szCs w:val="20"/>
                <w:lang w:eastAsia="hr-HR"/>
              </w:rPr>
              <w:t> </w:t>
            </w:r>
          </w:p>
        </w:tc>
        <w:tc>
          <w:tcPr>
            <w:tcW w:w="425" w:type="dxa"/>
            <w:tcBorders>
              <w:top w:val="nil"/>
              <w:left w:val="nil"/>
              <w:bottom w:val="single" w:sz="4" w:space="0" w:color="auto"/>
              <w:right w:val="nil"/>
            </w:tcBorders>
            <w:shd w:val="clear" w:color="000000" w:fill="33CCCC"/>
            <w:noWrap/>
            <w:vAlign w:val="center"/>
            <w:hideMark/>
          </w:tcPr>
          <w:p w14:paraId="7996F745" w14:textId="77777777" w:rsidR="000271A1" w:rsidRPr="000271A1" w:rsidRDefault="000271A1" w:rsidP="000271A1">
            <w:pPr>
              <w:spacing w:after="0" w:line="240" w:lineRule="auto"/>
              <w:jc w:val="right"/>
              <w:rPr>
                <w:rFonts w:ascii="Tahoma" w:eastAsia="Times New Roman" w:hAnsi="Tahoma" w:cs="Tahoma"/>
                <w:sz w:val="20"/>
                <w:szCs w:val="20"/>
                <w:lang w:eastAsia="hr-HR"/>
              </w:rPr>
            </w:pPr>
            <w:r w:rsidRPr="000271A1">
              <w:rPr>
                <w:rFonts w:ascii="Tahoma" w:eastAsia="Times New Roman" w:hAnsi="Tahoma" w:cs="Tahoma"/>
                <w:sz w:val="20"/>
                <w:szCs w:val="20"/>
                <w:lang w:eastAsia="hr-HR"/>
              </w:rPr>
              <w:t> </w:t>
            </w:r>
          </w:p>
        </w:tc>
        <w:tc>
          <w:tcPr>
            <w:tcW w:w="440" w:type="dxa"/>
            <w:gridSpan w:val="2"/>
            <w:tcBorders>
              <w:top w:val="nil"/>
              <w:left w:val="single" w:sz="4" w:space="0" w:color="auto"/>
              <w:bottom w:val="single" w:sz="4" w:space="0" w:color="auto"/>
              <w:right w:val="single" w:sz="8" w:space="0" w:color="auto"/>
            </w:tcBorders>
            <w:shd w:val="clear" w:color="000000" w:fill="33CCCC"/>
            <w:noWrap/>
            <w:vAlign w:val="center"/>
            <w:hideMark/>
          </w:tcPr>
          <w:p w14:paraId="2F990FCC" w14:textId="77777777" w:rsidR="000271A1" w:rsidRPr="000271A1" w:rsidRDefault="000271A1" w:rsidP="000271A1">
            <w:pPr>
              <w:spacing w:after="0" w:line="240" w:lineRule="auto"/>
              <w:jc w:val="right"/>
              <w:rPr>
                <w:rFonts w:ascii="Tahoma" w:eastAsia="Times New Roman" w:hAnsi="Tahoma" w:cs="Tahoma"/>
                <w:sz w:val="20"/>
                <w:szCs w:val="20"/>
                <w:lang w:eastAsia="hr-HR"/>
              </w:rPr>
            </w:pPr>
            <w:r w:rsidRPr="000271A1">
              <w:rPr>
                <w:rFonts w:ascii="Tahoma" w:eastAsia="Times New Roman" w:hAnsi="Tahoma" w:cs="Tahoma"/>
                <w:sz w:val="20"/>
                <w:szCs w:val="20"/>
                <w:lang w:eastAsia="hr-HR"/>
              </w:rPr>
              <w:t>6</w:t>
            </w:r>
          </w:p>
        </w:tc>
        <w:tc>
          <w:tcPr>
            <w:tcW w:w="236" w:type="dxa"/>
            <w:vAlign w:val="center"/>
            <w:hideMark/>
          </w:tcPr>
          <w:p w14:paraId="1DFFE28C" w14:textId="77777777" w:rsidR="000271A1" w:rsidRPr="000271A1" w:rsidRDefault="000271A1" w:rsidP="000271A1">
            <w:pPr>
              <w:spacing w:after="0" w:line="240" w:lineRule="auto"/>
              <w:rPr>
                <w:rFonts w:ascii="Times New Roman" w:eastAsia="Times New Roman" w:hAnsi="Times New Roman" w:cs="Times New Roman"/>
                <w:sz w:val="20"/>
                <w:szCs w:val="20"/>
                <w:lang w:eastAsia="hr-HR"/>
              </w:rPr>
            </w:pPr>
          </w:p>
        </w:tc>
      </w:tr>
      <w:tr w:rsidR="000271A1" w:rsidRPr="000271A1" w14:paraId="4151BEF8" w14:textId="77777777" w:rsidTr="000271A1">
        <w:trPr>
          <w:gridAfter w:val="1"/>
          <w:wAfter w:w="26" w:type="dxa"/>
          <w:trHeight w:val="300"/>
        </w:trPr>
        <w:tc>
          <w:tcPr>
            <w:tcW w:w="1119" w:type="dxa"/>
            <w:tcBorders>
              <w:top w:val="single" w:sz="4" w:space="0" w:color="auto"/>
              <w:left w:val="single" w:sz="8" w:space="0" w:color="auto"/>
              <w:bottom w:val="single" w:sz="4" w:space="0" w:color="auto"/>
              <w:right w:val="single" w:sz="4" w:space="0" w:color="auto"/>
            </w:tcBorders>
            <w:shd w:val="clear" w:color="000000" w:fill="CCFFCC"/>
            <w:vAlign w:val="center"/>
            <w:hideMark/>
          </w:tcPr>
          <w:p w14:paraId="0ED4DB6C" w14:textId="77777777" w:rsidR="000271A1" w:rsidRPr="000271A1" w:rsidRDefault="000271A1" w:rsidP="000271A1">
            <w:pPr>
              <w:spacing w:after="0" w:line="240" w:lineRule="auto"/>
              <w:rPr>
                <w:rFonts w:ascii="Tahoma" w:eastAsia="Times New Roman" w:hAnsi="Tahoma" w:cs="Tahoma"/>
                <w:sz w:val="20"/>
                <w:szCs w:val="20"/>
                <w:lang w:eastAsia="hr-HR"/>
              </w:rPr>
            </w:pPr>
            <w:r w:rsidRPr="000271A1">
              <w:rPr>
                <w:rFonts w:ascii="Tahoma" w:eastAsia="Times New Roman" w:hAnsi="Tahoma" w:cs="Tahoma"/>
                <w:sz w:val="20"/>
                <w:szCs w:val="20"/>
                <w:lang w:eastAsia="hr-HR"/>
              </w:rPr>
              <w:t>Nacionalno podrijetlo</w:t>
            </w:r>
          </w:p>
        </w:tc>
        <w:tc>
          <w:tcPr>
            <w:tcW w:w="671" w:type="dxa"/>
            <w:tcBorders>
              <w:top w:val="nil"/>
              <w:left w:val="nil"/>
              <w:bottom w:val="single" w:sz="4" w:space="0" w:color="auto"/>
              <w:right w:val="single" w:sz="4" w:space="0" w:color="auto"/>
            </w:tcBorders>
            <w:shd w:val="clear" w:color="000000" w:fill="FFCC99"/>
            <w:noWrap/>
            <w:vAlign w:val="center"/>
            <w:hideMark/>
          </w:tcPr>
          <w:p w14:paraId="16F27828" w14:textId="77777777" w:rsidR="000271A1" w:rsidRPr="000271A1" w:rsidRDefault="000271A1" w:rsidP="000271A1">
            <w:pPr>
              <w:spacing w:after="0" w:line="240" w:lineRule="auto"/>
              <w:jc w:val="right"/>
              <w:rPr>
                <w:rFonts w:ascii="Tahoma" w:eastAsia="Times New Roman" w:hAnsi="Tahoma" w:cs="Tahoma"/>
                <w:sz w:val="20"/>
                <w:szCs w:val="20"/>
                <w:lang w:eastAsia="hr-HR"/>
              </w:rPr>
            </w:pPr>
            <w:r w:rsidRPr="000271A1">
              <w:rPr>
                <w:rFonts w:ascii="Tahoma" w:eastAsia="Times New Roman" w:hAnsi="Tahoma" w:cs="Tahoma"/>
                <w:sz w:val="20"/>
                <w:szCs w:val="20"/>
                <w:lang w:eastAsia="hr-HR"/>
              </w:rPr>
              <w:t>11</w:t>
            </w:r>
          </w:p>
        </w:tc>
        <w:tc>
          <w:tcPr>
            <w:tcW w:w="519" w:type="dxa"/>
            <w:tcBorders>
              <w:top w:val="nil"/>
              <w:left w:val="nil"/>
              <w:bottom w:val="single" w:sz="4" w:space="0" w:color="auto"/>
              <w:right w:val="single" w:sz="4" w:space="0" w:color="auto"/>
            </w:tcBorders>
            <w:shd w:val="clear" w:color="000000" w:fill="FFFF00"/>
            <w:noWrap/>
            <w:vAlign w:val="center"/>
            <w:hideMark/>
          </w:tcPr>
          <w:p w14:paraId="6EF859AA" w14:textId="77777777" w:rsidR="000271A1" w:rsidRPr="000271A1" w:rsidRDefault="000271A1" w:rsidP="000271A1">
            <w:pPr>
              <w:spacing w:after="0" w:line="240" w:lineRule="auto"/>
              <w:jc w:val="right"/>
              <w:rPr>
                <w:rFonts w:ascii="Tahoma" w:eastAsia="Times New Roman" w:hAnsi="Tahoma" w:cs="Tahoma"/>
                <w:sz w:val="20"/>
                <w:szCs w:val="20"/>
                <w:lang w:eastAsia="hr-HR"/>
              </w:rPr>
            </w:pPr>
            <w:r w:rsidRPr="000271A1">
              <w:rPr>
                <w:rFonts w:ascii="Tahoma" w:eastAsia="Times New Roman" w:hAnsi="Tahoma" w:cs="Tahoma"/>
                <w:sz w:val="20"/>
                <w:szCs w:val="20"/>
                <w:lang w:eastAsia="hr-HR"/>
              </w:rPr>
              <w:t>2</w:t>
            </w:r>
          </w:p>
        </w:tc>
        <w:tc>
          <w:tcPr>
            <w:tcW w:w="365" w:type="dxa"/>
            <w:tcBorders>
              <w:top w:val="nil"/>
              <w:left w:val="nil"/>
              <w:bottom w:val="single" w:sz="4" w:space="0" w:color="auto"/>
              <w:right w:val="single" w:sz="4" w:space="0" w:color="auto"/>
            </w:tcBorders>
            <w:shd w:val="clear" w:color="000000" w:fill="CCFFFF"/>
            <w:noWrap/>
            <w:vAlign w:val="center"/>
            <w:hideMark/>
          </w:tcPr>
          <w:p w14:paraId="4894C55E" w14:textId="77777777" w:rsidR="000271A1" w:rsidRPr="000271A1" w:rsidRDefault="000271A1" w:rsidP="000271A1">
            <w:pPr>
              <w:spacing w:after="0" w:line="240" w:lineRule="auto"/>
              <w:jc w:val="right"/>
              <w:rPr>
                <w:rFonts w:ascii="Tahoma" w:eastAsia="Times New Roman" w:hAnsi="Tahoma" w:cs="Tahoma"/>
                <w:sz w:val="20"/>
                <w:szCs w:val="20"/>
                <w:lang w:eastAsia="hr-HR"/>
              </w:rPr>
            </w:pPr>
            <w:r w:rsidRPr="000271A1">
              <w:rPr>
                <w:rFonts w:ascii="Tahoma" w:eastAsia="Times New Roman" w:hAnsi="Tahoma" w:cs="Tahoma"/>
                <w:sz w:val="20"/>
                <w:szCs w:val="20"/>
                <w:lang w:eastAsia="hr-HR"/>
              </w:rPr>
              <w:t> </w:t>
            </w:r>
          </w:p>
        </w:tc>
        <w:tc>
          <w:tcPr>
            <w:tcW w:w="379" w:type="dxa"/>
            <w:tcBorders>
              <w:top w:val="nil"/>
              <w:left w:val="nil"/>
              <w:bottom w:val="single" w:sz="4" w:space="0" w:color="auto"/>
              <w:right w:val="single" w:sz="4" w:space="0" w:color="auto"/>
            </w:tcBorders>
            <w:shd w:val="clear" w:color="000000" w:fill="CCFFFF"/>
            <w:noWrap/>
            <w:vAlign w:val="center"/>
            <w:hideMark/>
          </w:tcPr>
          <w:p w14:paraId="0E6495AC" w14:textId="77777777" w:rsidR="000271A1" w:rsidRPr="000271A1" w:rsidRDefault="000271A1" w:rsidP="000271A1">
            <w:pPr>
              <w:spacing w:after="0" w:line="240" w:lineRule="auto"/>
              <w:jc w:val="right"/>
              <w:rPr>
                <w:rFonts w:ascii="Tahoma" w:eastAsia="Times New Roman" w:hAnsi="Tahoma" w:cs="Tahoma"/>
                <w:sz w:val="20"/>
                <w:szCs w:val="20"/>
                <w:lang w:eastAsia="hr-HR"/>
              </w:rPr>
            </w:pPr>
            <w:r w:rsidRPr="000271A1">
              <w:rPr>
                <w:rFonts w:ascii="Tahoma" w:eastAsia="Times New Roman" w:hAnsi="Tahoma" w:cs="Tahoma"/>
                <w:sz w:val="20"/>
                <w:szCs w:val="20"/>
                <w:lang w:eastAsia="hr-HR"/>
              </w:rPr>
              <w:t>2</w:t>
            </w:r>
          </w:p>
        </w:tc>
        <w:tc>
          <w:tcPr>
            <w:tcW w:w="698" w:type="dxa"/>
            <w:tcBorders>
              <w:top w:val="nil"/>
              <w:left w:val="nil"/>
              <w:bottom w:val="single" w:sz="4" w:space="0" w:color="auto"/>
              <w:right w:val="single" w:sz="4" w:space="0" w:color="auto"/>
            </w:tcBorders>
            <w:shd w:val="clear" w:color="000000" w:fill="FFFF99"/>
            <w:noWrap/>
            <w:vAlign w:val="center"/>
            <w:hideMark/>
          </w:tcPr>
          <w:p w14:paraId="43CE97E3" w14:textId="77777777" w:rsidR="000271A1" w:rsidRPr="000271A1" w:rsidRDefault="000271A1" w:rsidP="000271A1">
            <w:pPr>
              <w:spacing w:after="0" w:line="240" w:lineRule="auto"/>
              <w:jc w:val="right"/>
              <w:rPr>
                <w:rFonts w:ascii="Tahoma" w:eastAsia="Times New Roman" w:hAnsi="Tahoma" w:cs="Tahoma"/>
                <w:sz w:val="20"/>
                <w:szCs w:val="20"/>
                <w:lang w:eastAsia="hr-HR"/>
              </w:rPr>
            </w:pPr>
            <w:r w:rsidRPr="000271A1">
              <w:rPr>
                <w:rFonts w:ascii="Tahoma" w:eastAsia="Times New Roman" w:hAnsi="Tahoma" w:cs="Tahoma"/>
                <w:sz w:val="20"/>
                <w:szCs w:val="20"/>
                <w:lang w:eastAsia="hr-HR"/>
              </w:rPr>
              <w:t>2</w:t>
            </w:r>
          </w:p>
        </w:tc>
        <w:tc>
          <w:tcPr>
            <w:tcW w:w="698" w:type="dxa"/>
            <w:tcBorders>
              <w:top w:val="nil"/>
              <w:left w:val="nil"/>
              <w:bottom w:val="single" w:sz="4" w:space="0" w:color="auto"/>
              <w:right w:val="single" w:sz="4" w:space="0" w:color="auto"/>
            </w:tcBorders>
            <w:shd w:val="clear" w:color="000000" w:fill="FFFF99"/>
            <w:noWrap/>
            <w:vAlign w:val="center"/>
            <w:hideMark/>
          </w:tcPr>
          <w:p w14:paraId="67A5C657" w14:textId="77777777" w:rsidR="000271A1" w:rsidRPr="000271A1" w:rsidRDefault="000271A1" w:rsidP="000271A1">
            <w:pPr>
              <w:spacing w:after="0" w:line="240" w:lineRule="auto"/>
              <w:jc w:val="right"/>
              <w:rPr>
                <w:rFonts w:ascii="Tahoma" w:eastAsia="Times New Roman" w:hAnsi="Tahoma" w:cs="Tahoma"/>
                <w:sz w:val="20"/>
                <w:szCs w:val="20"/>
                <w:lang w:eastAsia="hr-HR"/>
              </w:rPr>
            </w:pPr>
            <w:r w:rsidRPr="000271A1">
              <w:rPr>
                <w:rFonts w:ascii="Tahoma" w:eastAsia="Times New Roman" w:hAnsi="Tahoma" w:cs="Tahoma"/>
                <w:sz w:val="20"/>
                <w:szCs w:val="20"/>
                <w:lang w:eastAsia="hr-HR"/>
              </w:rPr>
              <w:t> </w:t>
            </w:r>
          </w:p>
        </w:tc>
        <w:tc>
          <w:tcPr>
            <w:tcW w:w="512" w:type="dxa"/>
            <w:tcBorders>
              <w:top w:val="nil"/>
              <w:left w:val="nil"/>
              <w:bottom w:val="single" w:sz="4" w:space="0" w:color="auto"/>
              <w:right w:val="single" w:sz="4" w:space="0" w:color="auto"/>
            </w:tcBorders>
            <w:shd w:val="clear" w:color="000000" w:fill="FFFF99"/>
            <w:noWrap/>
            <w:vAlign w:val="center"/>
            <w:hideMark/>
          </w:tcPr>
          <w:p w14:paraId="5DB6E081" w14:textId="77777777" w:rsidR="000271A1" w:rsidRPr="000271A1" w:rsidRDefault="000271A1" w:rsidP="000271A1">
            <w:pPr>
              <w:spacing w:after="0" w:line="240" w:lineRule="auto"/>
              <w:jc w:val="right"/>
              <w:rPr>
                <w:rFonts w:ascii="Tahoma" w:eastAsia="Times New Roman" w:hAnsi="Tahoma" w:cs="Tahoma"/>
                <w:sz w:val="20"/>
                <w:szCs w:val="20"/>
                <w:lang w:eastAsia="hr-HR"/>
              </w:rPr>
            </w:pPr>
            <w:r w:rsidRPr="000271A1">
              <w:rPr>
                <w:rFonts w:ascii="Tahoma" w:eastAsia="Times New Roman" w:hAnsi="Tahoma" w:cs="Tahoma"/>
                <w:sz w:val="20"/>
                <w:szCs w:val="20"/>
                <w:lang w:eastAsia="hr-HR"/>
              </w:rPr>
              <w:t> </w:t>
            </w:r>
          </w:p>
        </w:tc>
        <w:tc>
          <w:tcPr>
            <w:tcW w:w="698" w:type="dxa"/>
            <w:tcBorders>
              <w:top w:val="nil"/>
              <w:left w:val="nil"/>
              <w:bottom w:val="single" w:sz="4" w:space="0" w:color="auto"/>
              <w:right w:val="single" w:sz="4" w:space="0" w:color="auto"/>
            </w:tcBorders>
            <w:shd w:val="clear" w:color="000000" w:fill="FFFF99"/>
            <w:noWrap/>
            <w:vAlign w:val="center"/>
            <w:hideMark/>
          </w:tcPr>
          <w:p w14:paraId="4BCF9A17" w14:textId="77777777" w:rsidR="000271A1" w:rsidRPr="000271A1" w:rsidRDefault="000271A1" w:rsidP="000271A1">
            <w:pPr>
              <w:spacing w:after="0" w:line="240" w:lineRule="auto"/>
              <w:jc w:val="right"/>
              <w:rPr>
                <w:rFonts w:ascii="Tahoma" w:eastAsia="Times New Roman" w:hAnsi="Tahoma" w:cs="Tahoma"/>
                <w:sz w:val="20"/>
                <w:szCs w:val="20"/>
                <w:lang w:eastAsia="hr-HR"/>
              </w:rPr>
            </w:pPr>
            <w:r w:rsidRPr="000271A1">
              <w:rPr>
                <w:rFonts w:ascii="Tahoma" w:eastAsia="Times New Roman" w:hAnsi="Tahoma" w:cs="Tahoma"/>
                <w:sz w:val="20"/>
                <w:szCs w:val="20"/>
                <w:lang w:eastAsia="hr-HR"/>
              </w:rPr>
              <w:t> </w:t>
            </w:r>
          </w:p>
        </w:tc>
        <w:tc>
          <w:tcPr>
            <w:tcW w:w="444" w:type="dxa"/>
            <w:tcBorders>
              <w:top w:val="nil"/>
              <w:left w:val="nil"/>
              <w:bottom w:val="single" w:sz="4" w:space="0" w:color="auto"/>
              <w:right w:val="single" w:sz="4" w:space="0" w:color="auto"/>
            </w:tcBorders>
            <w:shd w:val="clear" w:color="000000" w:fill="FFFF99"/>
            <w:noWrap/>
            <w:vAlign w:val="center"/>
            <w:hideMark/>
          </w:tcPr>
          <w:p w14:paraId="76574D67" w14:textId="77777777" w:rsidR="000271A1" w:rsidRPr="000271A1" w:rsidRDefault="000271A1" w:rsidP="000271A1">
            <w:pPr>
              <w:spacing w:after="0" w:line="240" w:lineRule="auto"/>
              <w:jc w:val="right"/>
              <w:rPr>
                <w:rFonts w:ascii="Tahoma" w:eastAsia="Times New Roman" w:hAnsi="Tahoma" w:cs="Tahoma"/>
                <w:sz w:val="20"/>
                <w:szCs w:val="20"/>
                <w:lang w:eastAsia="hr-HR"/>
              </w:rPr>
            </w:pPr>
            <w:r w:rsidRPr="000271A1">
              <w:rPr>
                <w:rFonts w:ascii="Tahoma" w:eastAsia="Times New Roman" w:hAnsi="Tahoma" w:cs="Tahoma"/>
                <w:sz w:val="20"/>
                <w:szCs w:val="20"/>
                <w:lang w:eastAsia="hr-HR"/>
              </w:rPr>
              <w:t> </w:t>
            </w:r>
          </w:p>
        </w:tc>
        <w:tc>
          <w:tcPr>
            <w:tcW w:w="698" w:type="dxa"/>
            <w:tcBorders>
              <w:top w:val="nil"/>
              <w:left w:val="nil"/>
              <w:bottom w:val="single" w:sz="4" w:space="0" w:color="auto"/>
              <w:right w:val="single" w:sz="4" w:space="0" w:color="auto"/>
            </w:tcBorders>
            <w:shd w:val="clear" w:color="000000" w:fill="FFFF99"/>
            <w:noWrap/>
            <w:vAlign w:val="center"/>
            <w:hideMark/>
          </w:tcPr>
          <w:p w14:paraId="0E415B96" w14:textId="77777777" w:rsidR="000271A1" w:rsidRPr="000271A1" w:rsidRDefault="000271A1" w:rsidP="000271A1">
            <w:pPr>
              <w:spacing w:after="0" w:line="240" w:lineRule="auto"/>
              <w:jc w:val="right"/>
              <w:rPr>
                <w:rFonts w:ascii="Tahoma" w:eastAsia="Times New Roman" w:hAnsi="Tahoma" w:cs="Tahoma"/>
                <w:sz w:val="20"/>
                <w:szCs w:val="20"/>
                <w:lang w:eastAsia="hr-HR"/>
              </w:rPr>
            </w:pPr>
            <w:r w:rsidRPr="000271A1">
              <w:rPr>
                <w:rFonts w:ascii="Tahoma" w:eastAsia="Times New Roman" w:hAnsi="Tahoma" w:cs="Tahoma"/>
                <w:sz w:val="20"/>
                <w:szCs w:val="20"/>
                <w:lang w:eastAsia="hr-HR"/>
              </w:rPr>
              <w:t> </w:t>
            </w:r>
          </w:p>
        </w:tc>
        <w:tc>
          <w:tcPr>
            <w:tcW w:w="444" w:type="dxa"/>
            <w:gridSpan w:val="2"/>
            <w:tcBorders>
              <w:top w:val="nil"/>
              <w:left w:val="nil"/>
              <w:bottom w:val="single" w:sz="4" w:space="0" w:color="auto"/>
              <w:right w:val="single" w:sz="4" w:space="0" w:color="auto"/>
            </w:tcBorders>
            <w:shd w:val="clear" w:color="000000" w:fill="FF9900"/>
            <w:noWrap/>
            <w:vAlign w:val="center"/>
            <w:hideMark/>
          </w:tcPr>
          <w:p w14:paraId="7C634402" w14:textId="77777777" w:rsidR="000271A1" w:rsidRPr="000271A1" w:rsidRDefault="000271A1" w:rsidP="000271A1">
            <w:pPr>
              <w:spacing w:after="0" w:line="240" w:lineRule="auto"/>
              <w:jc w:val="right"/>
              <w:rPr>
                <w:rFonts w:ascii="Tahoma" w:eastAsia="Times New Roman" w:hAnsi="Tahoma" w:cs="Tahoma"/>
                <w:sz w:val="20"/>
                <w:szCs w:val="20"/>
                <w:lang w:eastAsia="hr-HR"/>
              </w:rPr>
            </w:pPr>
            <w:r w:rsidRPr="000271A1">
              <w:rPr>
                <w:rFonts w:ascii="Tahoma" w:eastAsia="Times New Roman" w:hAnsi="Tahoma" w:cs="Tahoma"/>
                <w:sz w:val="20"/>
                <w:szCs w:val="20"/>
                <w:lang w:eastAsia="hr-HR"/>
              </w:rPr>
              <w:t> </w:t>
            </w:r>
          </w:p>
        </w:tc>
        <w:tc>
          <w:tcPr>
            <w:tcW w:w="521" w:type="dxa"/>
            <w:tcBorders>
              <w:top w:val="nil"/>
              <w:left w:val="nil"/>
              <w:bottom w:val="single" w:sz="4" w:space="0" w:color="auto"/>
              <w:right w:val="single" w:sz="4" w:space="0" w:color="auto"/>
            </w:tcBorders>
            <w:shd w:val="clear" w:color="000000" w:fill="FF9900"/>
            <w:noWrap/>
            <w:vAlign w:val="center"/>
            <w:hideMark/>
          </w:tcPr>
          <w:p w14:paraId="0734FB9D" w14:textId="77777777" w:rsidR="000271A1" w:rsidRPr="000271A1" w:rsidRDefault="000271A1" w:rsidP="000271A1">
            <w:pPr>
              <w:spacing w:after="0" w:line="240" w:lineRule="auto"/>
              <w:jc w:val="right"/>
              <w:rPr>
                <w:rFonts w:ascii="Tahoma" w:eastAsia="Times New Roman" w:hAnsi="Tahoma" w:cs="Tahoma"/>
                <w:sz w:val="20"/>
                <w:szCs w:val="20"/>
                <w:lang w:eastAsia="hr-HR"/>
              </w:rPr>
            </w:pPr>
            <w:r w:rsidRPr="000271A1">
              <w:rPr>
                <w:rFonts w:ascii="Tahoma" w:eastAsia="Times New Roman" w:hAnsi="Tahoma" w:cs="Tahoma"/>
                <w:sz w:val="20"/>
                <w:szCs w:val="20"/>
                <w:lang w:eastAsia="hr-HR"/>
              </w:rPr>
              <w:t>5</w:t>
            </w:r>
          </w:p>
        </w:tc>
        <w:tc>
          <w:tcPr>
            <w:tcW w:w="521" w:type="dxa"/>
            <w:tcBorders>
              <w:top w:val="nil"/>
              <w:left w:val="nil"/>
              <w:bottom w:val="single" w:sz="4" w:space="0" w:color="auto"/>
              <w:right w:val="single" w:sz="4" w:space="0" w:color="auto"/>
            </w:tcBorders>
            <w:shd w:val="clear" w:color="000000" w:fill="FF9900"/>
            <w:noWrap/>
            <w:vAlign w:val="center"/>
            <w:hideMark/>
          </w:tcPr>
          <w:p w14:paraId="16A56551" w14:textId="77777777" w:rsidR="000271A1" w:rsidRPr="000271A1" w:rsidRDefault="000271A1" w:rsidP="000271A1">
            <w:pPr>
              <w:spacing w:after="0" w:line="240" w:lineRule="auto"/>
              <w:jc w:val="right"/>
              <w:rPr>
                <w:rFonts w:ascii="Tahoma" w:eastAsia="Times New Roman" w:hAnsi="Tahoma" w:cs="Tahoma"/>
                <w:sz w:val="20"/>
                <w:szCs w:val="20"/>
                <w:lang w:eastAsia="hr-HR"/>
              </w:rPr>
            </w:pPr>
            <w:r w:rsidRPr="000271A1">
              <w:rPr>
                <w:rFonts w:ascii="Tahoma" w:eastAsia="Times New Roman" w:hAnsi="Tahoma" w:cs="Tahoma"/>
                <w:sz w:val="20"/>
                <w:szCs w:val="20"/>
                <w:lang w:eastAsia="hr-HR"/>
              </w:rPr>
              <w:t>3</w:t>
            </w:r>
          </w:p>
        </w:tc>
        <w:tc>
          <w:tcPr>
            <w:tcW w:w="521" w:type="dxa"/>
            <w:gridSpan w:val="2"/>
            <w:tcBorders>
              <w:top w:val="nil"/>
              <w:left w:val="nil"/>
              <w:bottom w:val="single" w:sz="4" w:space="0" w:color="auto"/>
              <w:right w:val="single" w:sz="4" w:space="0" w:color="auto"/>
            </w:tcBorders>
            <w:shd w:val="clear" w:color="000000" w:fill="FFFF00"/>
            <w:vAlign w:val="center"/>
            <w:hideMark/>
          </w:tcPr>
          <w:p w14:paraId="622C9F81" w14:textId="77777777" w:rsidR="000271A1" w:rsidRPr="000271A1" w:rsidRDefault="000271A1" w:rsidP="000271A1">
            <w:pPr>
              <w:spacing w:after="0" w:line="240" w:lineRule="auto"/>
              <w:jc w:val="right"/>
              <w:rPr>
                <w:rFonts w:ascii="Tahoma" w:eastAsia="Times New Roman" w:hAnsi="Tahoma" w:cs="Tahoma"/>
                <w:sz w:val="20"/>
                <w:szCs w:val="20"/>
                <w:lang w:eastAsia="hr-HR"/>
              </w:rPr>
            </w:pPr>
            <w:r w:rsidRPr="000271A1">
              <w:rPr>
                <w:rFonts w:ascii="Tahoma" w:eastAsia="Times New Roman" w:hAnsi="Tahoma" w:cs="Tahoma"/>
                <w:sz w:val="20"/>
                <w:szCs w:val="20"/>
                <w:lang w:eastAsia="hr-HR"/>
              </w:rPr>
              <w:t>8</w:t>
            </w:r>
          </w:p>
        </w:tc>
        <w:tc>
          <w:tcPr>
            <w:tcW w:w="702" w:type="dxa"/>
            <w:tcBorders>
              <w:top w:val="nil"/>
              <w:left w:val="nil"/>
              <w:bottom w:val="single" w:sz="4" w:space="0" w:color="auto"/>
              <w:right w:val="single" w:sz="4" w:space="0" w:color="auto"/>
            </w:tcBorders>
            <w:shd w:val="clear" w:color="000000" w:fill="FF9900"/>
            <w:vAlign w:val="center"/>
            <w:hideMark/>
          </w:tcPr>
          <w:p w14:paraId="64EFF1DA" w14:textId="77777777" w:rsidR="000271A1" w:rsidRPr="000271A1" w:rsidRDefault="000271A1" w:rsidP="000271A1">
            <w:pPr>
              <w:spacing w:after="0" w:line="240" w:lineRule="auto"/>
              <w:jc w:val="right"/>
              <w:rPr>
                <w:rFonts w:ascii="Tahoma" w:eastAsia="Times New Roman" w:hAnsi="Tahoma" w:cs="Tahoma"/>
                <w:sz w:val="20"/>
                <w:szCs w:val="20"/>
                <w:lang w:eastAsia="hr-HR"/>
              </w:rPr>
            </w:pPr>
            <w:r w:rsidRPr="000271A1">
              <w:rPr>
                <w:rFonts w:ascii="Tahoma" w:eastAsia="Times New Roman" w:hAnsi="Tahoma" w:cs="Tahoma"/>
                <w:sz w:val="20"/>
                <w:szCs w:val="20"/>
                <w:lang w:eastAsia="hr-HR"/>
              </w:rPr>
              <w:t>5</w:t>
            </w:r>
          </w:p>
        </w:tc>
        <w:tc>
          <w:tcPr>
            <w:tcW w:w="907" w:type="dxa"/>
            <w:tcBorders>
              <w:top w:val="nil"/>
              <w:left w:val="nil"/>
              <w:bottom w:val="single" w:sz="4" w:space="0" w:color="auto"/>
              <w:right w:val="single" w:sz="4" w:space="0" w:color="auto"/>
            </w:tcBorders>
            <w:shd w:val="clear" w:color="000000" w:fill="FF9900"/>
            <w:noWrap/>
            <w:vAlign w:val="center"/>
            <w:hideMark/>
          </w:tcPr>
          <w:p w14:paraId="641E17CD" w14:textId="77777777" w:rsidR="000271A1" w:rsidRPr="000271A1" w:rsidRDefault="000271A1" w:rsidP="000271A1">
            <w:pPr>
              <w:spacing w:after="0" w:line="240" w:lineRule="auto"/>
              <w:jc w:val="right"/>
              <w:rPr>
                <w:rFonts w:ascii="Tahoma" w:eastAsia="Times New Roman" w:hAnsi="Tahoma" w:cs="Tahoma"/>
                <w:sz w:val="20"/>
                <w:szCs w:val="20"/>
                <w:lang w:eastAsia="hr-HR"/>
              </w:rPr>
            </w:pPr>
            <w:r w:rsidRPr="000271A1">
              <w:rPr>
                <w:rFonts w:ascii="Tahoma" w:eastAsia="Times New Roman" w:hAnsi="Tahoma" w:cs="Tahoma"/>
                <w:sz w:val="20"/>
                <w:szCs w:val="20"/>
                <w:lang w:eastAsia="hr-HR"/>
              </w:rPr>
              <w:t>2</w:t>
            </w:r>
          </w:p>
        </w:tc>
        <w:tc>
          <w:tcPr>
            <w:tcW w:w="553" w:type="dxa"/>
            <w:tcBorders>
              <w:top w:val="nil"/>
              <w:left w:val="nil"/>
              <w:bottom w:val="single" w:sz="4" w:space="0" w:color="auto"/>
              <w:right w:val="single" w:sz="4" w:space="0" w:color="auto"/>
            </w:tcBorders>
            <w:shd w:val="clear" w:color="000000" w:fill="FF9900"/>
            <w:noWrap/>
            <w:vAlign w:val="center"/>
            <w:hideMark/>
          </w:tcPr>
          <w:p w14:paraId="71840AFB" w14:textId="77777777" w:rsidR="000271A1" w:rsidRPr="000271A1" w:rsidRDefault="000271A1" w:rsidP="000271A1">
            <w:pPr>
              <w:spacing w:after="0" w:line="240" w:lineRule="auto"/>
              <w:jc w:val="right"/>
              <w:rPr>
                <w:rFonts w:ascii="Tahoma" w:eastAsia="Times New Roman" w:hAnsi="Tahoma" w:cs="Tahoma"/>
                <w:sz w:val="20"/>
                <w:szCs w:val="20"/>
                <w:lang w:eastAsia="hr-HR"/>
              </w:rPr>
            </w:pPr>
            <w:r w:rsidRPr="000271A1">
              <w:rPr>
                <w:rFonts w:ascii="Tahoma" w:eastAsia="Times New Roman" w:hAnsi="Tahoma" w:cs="Tahoma"/>
                <w:sz w:val="20"/>
                <w:szCs w:val="20"/>
                <w:lang w:eastAsia="hr-HR"/>
              </w:rPr>
              <w:t> </w:t>
            </w:r>
          </w:p>
        </w:tc>
        <w:tc>
          <w:tcPr>
            <w:tcW w:w="918" w:type="dxa"/>
            <w:tcBorders>
              <w:top w:val="nil"/>
              <w:left w:val="nil"/>
              <w:bottom w:val="single" w:sz="4" w:space="0" w:color="auto"/>
              <w:right w:val="single" w:sz="4" w:space="0" w:color="auto"/>
            </w:tcBorders>
            <w:shd w:val="clear" w:color="000000" w:fill="FF9900"/>
            <w:noWrap/>
            <w:vAlign w:val="center"/>
            <w:hideMark/>
          </w:tcPr>
          <w:p w14:paraId="71A63485" w14:textId="77777777" w:rsidR="000271A1" w:rsidRPr="000271A1" w:rsidRDefault="000271A1" w:rsidP="000271A1">
            <w:pPr>
              <w:spacing w:after="0" w:line="240" w:lineRule="auto"/>
              <w:jc w:val="right"/>
              <w:rPr>
                <w:rFonts w:ascii="Tahoma" w:eastAsia="Times New Roman" w:hAnsi="Tahoma" w:cs="Tahoma"/>
                <w:sz w:val="20"/>
                <w:szCs w:val="20"/>
                <w:lang w:eastAsia="hr-HR"/>
              </w:rPr>
            </w:pPr>
            <w:r w:rsidRPr="000271A1">
              <w:rPr>
                <w:rFonts w:ascii="Tahoma" w:eastAsia="Times New Roman" w:hAnsi="Tahoma" w:cs="Tahoma"/>
                <w:sz w:val="20"/>
                <w:szCs w:val="20"/>
                <w:lang w:eastAsia="hr-HR"/>
              </w:rPr>
              <w:t>3</w:t>
            </w:r>
          </w:p>
        </w:tc>
        <w:tc>
          <w:tcPr>
            <w:tcW w:w="428" w:type="dxa"/>
            <w:tcBorders>
              <w:top w:val="nil"/>
              <w:left w:val="nil"/>
              <w:bottom w:val="single" w:sz="4" w:space="0" w:color="auto"/>
              <w:right w:val="single" w:sz="4" w:space="0" w:color="auto"/>
            </w:tcBorders>
            <w:shd w:val="clear" w:color="000000" w:fill="CCFFFF"/>
            <w:noWrap/>
            <w:vAlign w:val="center"/>
            <w:hideMark/>
          </w:tcPr>
          <w:p w14:paraId="1039BD8B" w14:textId="77777777" w:rsidR="000271A1" w:rsidRPr="000271A1" w:rsidRDefault="000271A1" w:rsidP="000271A1">
            <w:pPr>
              <w:spacing w:after="0" w:line="240" w:lineRule="auto"/>
              <w:jc w:val="right"/>
              <w:rPr>
                <w:rFonts w:ascii="Tahoma" w:eastAsia="Times New Roman" w:hAnsi="Tahoma" w:cs="Tahoma"/>
                <w:sz w:val="20"/>
                <w:szCs w:val="20"/>
                <w:lang w:eastAsia="hr-HR"/>
              </w:rPr>
            </w:pPr>
            <w:r w:rsidRPr="000271A1">
              <w:rPr>
                <w:rFonts w:ascii="Tahoma" w:eastAsia="Times New Roman" w:hAnsi="Tahoma" w:cs="Tahoma"/>
                <w:sz w:val="20"/>
                <w:szCs w:val="20"/>
                <w:lang w:eastAsia="hr-HR"/>
              </w:rPr>
              <w:t>1</w:t>
            </w:r>
          </w:p>
        </w:tc>
        <w:tc>
          <w:tcPr>
            <w:tcW w:w="428" w:type="dxa"/>
            <w:tcBorders>
              <w:top w:val="nil"/>
              <w:left w:val="nil"/>
              <w:bottom w:val="single" w:sz="4" w:space="0" w:color="auto"/>
              <w:right w:val="single" w:sz="4" w:space="0" w:color="auto"/>
            </w:tcBorders>
            <w:shd w:val="clear" w:color="000000" w:fill="CCFFFF"/>
            <w:noWrap/>
            <w:vAlign w:val="center"/>
            <w:hideMark/>
          </w:tcPr>
          <w:p w14:paraId="12292E47" w14:textId="77777777" w:rsidR="000271A1" w:rsidRPr="000271A1" w:rsidRDefault="000271A1" w:rsidP="000271A1">
            <w:pPr>
              <w:spacing w:after="0" w:line="240" w:lineRule="auto"/>
              <w:jc w:val="right"/>
              <w:rPr>
                <w:rFonts w:ascii="Tahoma" w:eastAsia="Times New Roman" w:hAnsi="Tahoma" w:cs="Tahoma"/>
                <w:sz w:val="20"/>
                <w:szCs w:val="20"/>
                <w:lang w:eastAsia="hr-HR"/>
              </w:rPr>
            </w:pPr>
            <w:r w:rsidRPr="000271A1">
              <w:rPr>
                <w:rFonts w:ascii="Tahoma" w:eastAsia="Times New Roman" w:hAnsi="Tahoma" w:cs="Tahoma"/>
                <w:sz w:val="20"/>
                <w:szCs w:val="20"/>
                <w:lang w:eastAsia="hr-HR"/>
              </w:rPr>
              <w:t>1</w:t>
            </w:r>
          </w:p>
        </w:tc>
        <w:tc>
          <w:tcPr>
            <w:tcW w:w="425" w:type="dxa"/>
            <w:tcBorders>
              <w:top w:val="nil"/>
              <w:left w:val="nil"/>
              <w:bottom w:val="single" w:sz="4" w:space="0" w:color="auto"/>
              <w:right w:val="single" w:sz="4" w:space="0" w:color="auto"/>
            </w:tcBorders>
            <w:shd w:val="clear" w:color="000000" w:fill="CCFFFF"/>
            <w:noWrap/>
            <w:vAlign w:val="center"/>
            <w:hideMark/>
          </w:tcPr>
          <w:p w14:paraId="50E116C9" w14:textId="77777777" w:rsidR="000271A1" w:rsidRPr="000271A1" w:rsidRDefault="000271A1" w:rsidP="000271A1">
            <w:pPr>
              <w:spacing w:after="0" w:line="240" w:lineRule="auto"/>
              <w:jc w:val="right"/>
              <w:rPr>
                <w:rFonts w:ascii="Tahoma" w:eastAsia="Times New Roman" w:hAnsi="Tahoma" w:cs="Tahoma"/>
                <w:sz w:val="20"/>
                <w:szCs w:val="20"/>
                <w:lang w:eastAsia="hr-HR"/>
              </w:rPr>
            </w:pPr>
            <w:r w:rsidRPr="000271A1">
              <w:rPr>
                <w:rFonts w:ascii="Tahoma" w:eastAsia="Times New Roman" w:hAnsi="Tahoma" w:cs="Tahoma"/>
                <w:sz w:val="20"/>
                <w:szCs w:val="20"/>
                <w:lang w:eastAsia="hr-HR"/>
              </w:rPr>
              <w:t> </w:t>
            </w:r>
          </w:p>
        </w:tc>
        <w:tc>
          <w:tcPr>
            <w:tcW w:w="425" w:type="dxa"/>
            <w:tcBorders>
              <w:top w:val="nil"/>
              <w:left w:val="nil"/>
              <w:bottom w:val="single" w:sz="4" w:space="0" w:color="auto"/>
              <w:right w:val="nil"/>
            </w:tcBorders>
            <w:shd w:val="clear" w:color="000000" w:fill="33CCCC"/>
            <w:noWrap/>
            <w:vAlign w:val="center"/>
            <w:hideMark/>
          </w:tcPr>
          <w:p w14:paraId="6633F150" w14:textId="77777777" w:rsidR="000271A1" w:rsidRPr="000271A1" w:rsidRDefault="000271A1" w:rsidP="000271A1">
            <w:pPr>
              <w:spacing w:after="0" w:line="240" w:lineRule="auto"/>
              <w:jc w:val="right"/>
              <w:rPr>
                <w:rFonts w:ascii="Tahoma" w:eastAsia="Times New Roman" w:hAnsi="Tahoma" w:cs="Tahoma"/>
                <w:sz w:val="20"/>
                <w:szCs w:val="20"/>
                <w:lang w:eastAsia="hr-HR"/>
              </w:rPr>
            </w:pPr>
            <w:r w:rsidRPr="000271A1">
              <w:rPr>
                <w:rFonts w:ascii="Tahoma" w:eastAsia="Times New Roman" w:hAnsi="Tahoma" w:cs="Tahoma"/>
                <w:sz w:val="20"/>
                <w:szCs w:val="20"/>
                <w:lang w:eastAsia="hr-HR"/>
              </w:rPr>
              <w:t>1</w:t>
            </w:r>
          </w:p>
        </w:tc>
        <w:tc>
          <w:tcPr>
            <w:tcW w:w="440" w:type="dxa"/>
            <w:gridSpan w:val="2"/>
            <w:tcBorders>
              <w:top w:val="nil"/>
              <w:left w:val="single" w:sz="4" w:space="0" w:color="auto"/>
              <w:bottom w:val="single" w:sz="4" w:space="0" w:color="auto"/>
              <w:right w:val="single" w:sz="8" w:space="0" w:color="auto"/>
            </w:tcBorders>
            <w:shd w:val="clear" w:color="000000" w:fill="33CCCC"/>
            <w:noWrap/>
            <w:vAlign w:val="center"/>
            <w:hideMark/>
          </w:tcPr>
          <w:p w14:paraId="71BD7129" w14:textId="77777777" w:rsidR="000271A1" w:rsidRPr="000271A1" w:rsidRDefault="000271A1" w:rsidP="000271A1">
            <w:pPr>
              <w:spacing w:after="0" w:line="240" w:lineRule="auto"/>
              <w:jc w:val="right"/>
              <w:rPr>
                <w:rFonts w:ascii="Tahoma" w:eastAsia="Times New Roman" w:hAnsi="Tahoma" w:cs="Tahoma"/>
                <w:sz w:val="20"/>
                <w:szCs w:val="20"/>
                <w:lang w:eastAsia="hr-HR"/>
              </w:rPr>
            </w:pPr>
            <w:r w:rsidRPr="000271A1">
              <w:rPr>
                <w:rFonts w:ascii="Tahoma" w:eastAsia="Times New Roman" w:hAnsi="Tahoma" w:cs="Tahoma"/>
                <w:sz w:val="20"/>
                <w:szCs w:val="20"/>
                <w:lang w:eastAsia="hr-HR"/>
              </w:rPr>
              <w:t>7</w:t>
            </w:r>
          </w:p>
        </w:tc>
        <w:tc>
          <w:tcPr>
            <w:tcW w:w="236" w:type="dxa"/>
            <w:vAlign w:val="center"/>
            <w:hideMark/>
          </w:tcPr>
          <w:p w14:paraId="0BAB2FB4" w14:textId="77777777" w:rsidR="000271A1" w:rsidRPr="000271A1" w:rsidRDefault="000271A1" w:rsidP="000271A1">
            <w:pPr>
              <w:spacing w:after="0" w:line="240" w:lineRule="auto"/>
              <w:rPr>
                <w:rFonts w:ascii="Times New Roman" w:eastAsia="Times New Roman" w:hAnsi="Times New Roman" w:cs="Times New Roman"/>
                <w:sz w:val="20"/>
                <w:szCs w:val="20"/>
                <w:lang w:eastAsia="hr-HR"/>
              </w:rPr>
            </w:pPr>
          </w:p>
        </w:tc>
      </w:tr>
      <w:tr w:rsidR="000271A1" w:rsidRPr="000271A1" w14:paraId="23733473" w14:textId="77777777" w:rsidTr="000271A1">
        <w:trPr>
          <w:gridAfter w:val="1"/>
          <w:wAfter w:w="26" w:type="dxa"/>
          <w:trHeight w:val="300"/>
        </w:trPr>
        <w:tc>
          <w:tcPr>
            <w:tcW w:w="1119" w:type="dxa"/>
            <w:tcBorders>
              <w:top w:val="single" w:sz="4" w:space="0" w:color="auto"/>
              <w:left w:val="single" w:sz="8" w:space="0" w:color="auto"/>
              <w:bottom w:val="single" w:sz="4" w:space="0" w:color="auto"/>
              <w:right w:val="single" w:sz="4" w:space="0" w:color="auto"/>
            </w:tcBorders>
            <w:shd w:val="clear" w:color="000000" w:fill="CCFFCC"/>
            <w:vAlign w:val="center"/>
            <w:hideMark/>
          </w:tcPr>
          <w:p w14:paraId="7817FADE" w14:textId="77777777" w:rsidR="000271A1" w:rsidRPr="000271A1" w:rsidRDefault="000271A1" w:rsidP="000271A1">
            <w:pPr>
              <w:spacing w:after="0" w:line="240" w:lineRule="auto"/>
              <w:rPr>
                <w:rFonts w:ascii="Tahoma" w:eastAsia="Times New Roman" w:hAnsi="Tahoma" w:cs="Tahoma"/>
                <w:sz w:val="20"/>
                <w:szCs w:val="20"/>
                <w:lang w:eastAsia="hr-HR"/>
              </w:rPr>
            </w:pPr>
            <w:r w:rsidRPr="000271A1">
              <w:rPr>
                <w:rFonts w:ascii="Tahoma" w:eastAsia="Times New Roman" w:hAnsi="Tahoma" w:cs="Tahoma"/>
                <w:sz w:val="20"/>
                <w:szCs w:val="20"/>
                <w:lang w:eastAsia="hr-HR"/>
              </w:rPr>
              <w:t>Socijalno podrijetlo</w:t>
            </w:r>
          </w:p>
        </w:tc>
        <w:tc>
          <w:tcPr>
            <w:tcW w:w="671" w:type="dxa"/>
            <w:tcBorders>
              <w:top w:val="nil"/>
              <w:left w:val="nil"/>
              <w:bottom w:val="single" w:sz="4" w:space="0" w:color="auto"/>
              <w:right w:val="single" w:sz="4" w:space="0" w:color="auto"/>
            </w:tcBorders>
            <w:shd w:val="clear" w:color="000000" w:fill="FFCC99"/>
            <w:noWrap/>
            <w:vAlign w:val="center"/>
            <w:hideMark/>
          </w:tcPr>
          <w:p w14:paraId="4B00217D" w14:textId="77777777" w:rsidR="000271A1" w:rsidRPr="000271A1" w:rsidRDefault="000271A1" w:rsidP="000271A1">
            <w:pPr>
              <w:spacing w:after="0" w:line="240" w:lineRule="auto"/>
              <w:jc w:val="right"/>
              <w:rPr>
                <w:rFonts w:ascii="Tahoma" w:eastAsia="Times New Roman" w:hAnsi="Tahoma" w:cs="Tahoma"/>
                <w:sz w:val="20"/>
                <w:szCs w:val="20"/>
                <w:lang w:eastAsia="hr-HR"/>
              </w:rPr>
            </w:pPr>
            <w:r w:rsidRPr="000271A1">
              <w:rPr>
                <w:rFonts w:ascii="Tahoma" w:eastAsia="Times New Roman" w:hAnsi="Tahoma" w:cs="Tahoma"/>
                <w:sz w:val="20"/>
                <w:szCs w:val="20"/>
                <w:lang w:eastAsia="hr-HR"/>
              </w:rPr>
              <w:t>1</w:t>
            </w:r>
          </w:p>
        </w:tc>
        <w:tc>
          <w:tcPr>
            <w:tcW w:w="519" w:type="dxa"/>
            <w:tcBorders>
              <w:top w:val="nil"/>
              <w:left w:val="nil"/>
              <w:bottom w:val="single" w:sz="4" w:space="0" w:color="auto"/>
              <w:right w:val="single" w:sz="4" w:space="0" w:color="auto"/>
            </w:tcBorders>
            <w:shd w:val="clear" w:color="000000" w:fill="FFFF00"/>
            <w:noWrap/>
            <w:vAlign w:val="center"/>
            <w:hideMark/>
          </w:tcPr>
          <w:p w14:paraId="5F11A894" w14:textId="77777777" w:rsidR="000271A1" w:rsidRPr="000271A1" w:rsidRDefault="000271A1" w:rsidP="000271A1">
            <w:pPr>
              <w:spacing w:after="0" w:line="240" w:lineRule="auto"/>
              <w:jc w:val="right"/>
              <w:rPr>
                <w:rFonts w:ascii="Tahoma" w:eastAsia="Times New Roman" w:hAnsi="Tahoma" w:cs="Tahoma"/>
                <w:sz w:val="20"/>
                <w:szCs w:val="20"/>
                <w:lang w:eastAsia="hr-HR"/>
              </w:rPr>
            </w:pPr>
            <w:r w:rsidRPr="000271A1">
              <w:rPr>
                <w:rFonts w:ascii="Tahoma" w:eastAsia="Times New Roman" w:hAnsi="Tahoma" w:cs="Tahoma"/>
                <w:sz w:val="20"/>
                <w:szCs w:val="20"/>
                <w:lang w:eastAsia="hr-HR"/>
              </w:rPr>
              <w:t>1</w:t>
            </w:r>
          </w:p>
        </w:tc>
        <w:tc>
          <w:tcPr>
            <w:tcW w:w="365" w:type="dxa"/>
            <w:tcBorders>
              <w:top w:val="nil"/>
              <w:left w:val="nil"/>
              <w:bottom w:val="single" w:sz="4" w:space="0" w:color="auto"/>
              <w:right w:val="single" w:sz="4" w:space="0" w:color="auto"/>
            </w:tcBorders>
            <w:shd w:val="clear" w:color="000000" w:fill="CCFFFF"/>
            <w:noWrap/>
            <w:vAlign w:val="center"/>
            <w:hideMark/>
          </w:tcPr>
          <w:p w14:paraId="437D0C62" w14:textId="77777777" w:rsidR="000271A1" w:rsidRPr="000271A1" w:rsidRDefault="000271A1" w:rsidP="000271A1">
            <w:pPr>
              <w:spacing w:after="0" w:line="240" w:lineRule="auto"/>
              <w:jc w:val="right"/>
              <w:rPr>
                <w:rFonts w:ascii="Tahoma" w:eastAsia="Times New Roman" w:hAnsi="Tahoma" w:cs="Tahoma"/>
                <w:sz w:val="20"/>
                <w:szCs w:val="20"/>
                <w:lang w:eastAsia="hr-HR"/>
              </w:rPr>
            </w:pPr>
            <w:r w:rsidRPr="000271A1">
              <w:rPr>
                <w:rFonts w:ascii="Tahoma" w:eastAsia="Times New Roman" w:hAnsi="Tahoma" w:cs="Tahoma"/>
                <w:sz w:val="20"/>
                <w:szCs w:val="20"/>
                <w:lang w:eastAsia="hr-HR"/>
              </w:rPr>
              <w:t> </w:t>
            </w:r>
          </w:p>
        </w:tc>
        <w:tc>
          <w:tcPr>
            <w:tcW w:w="379" w:type="dxa"/>
            <w:tcBorders>
              <w:top w:val="nil"/>
              <w:left w:val="nil"/>
              <w:bottom w:val="single" w:sz="4" w:space="0" w:color="auto"/>
              <w:right w:val="single" w:sz="4" w:space="0" w:color="auto"/>
            </w:tcBorders>
            <w:shd w:val="clear" w:color="000000" w:fill="CCFFFF"/>
            <w:noWrap/>
            <w:vAlign w:val="center"/>
            <w:hideMark/>
          </w:tcPr>
          <w:p w14:paraId="2F50E48B" w14:textId="77777777" w:rsidR="000271A1" w:rsidRPr="000271A1" w:rsidRDefault="000271A1" w:rsidP="000271A1">
            <w:pPr>
              <w:spacing w:after="0" w:line="240" w:lineRule="auto"/>
              <w:jc w:val="right"/>
              <w:rPr>
                <w:rFonts w:ascii="Tahoma" w:eastAsia="Times New Roman" w:hAnsi="Tahoma" w:cs="Tahoma"/>
                <w:sz w:val="20"/>
                <w:szCs w:val="20"/>
                <w:lang w:eastAsia="hr-HR"/>
              </w:rPr>
            </w:pPr>
            <w:r w:rsidRPr="000271A1">
              <w:rPr>
                <w:rFonts w:ascii="Tahoma" w:eastAsia="Times New Roman" w:hAnsi="Tahoma" w:cs="Tahoma"/>
                <w:sz w:val="20"/>
                <w:szCs w:val="20"/>
                <w:lang w:eastAsia="hr-HR"/>
              </w:rPr>
              <w:t>1</w:t>
            </w:r>
          </w:p>
        </w:tc>
        <w:tc>
          <w:tcPr>
            <w:tcW w:w="698" w:type="dxa"/>
            <w:tcBorders>
              <w:top w:val="nil"/>
              <w:left w:val="nil"/>
              <w:bottom w:val="single" w:sz="4" w:space="0" w:color="auto"/>
              <w:right w:val="single" w:sz="4" w:space="0" w:color="auto"/>
            </w:tcBorders>
            <w:shd w:val="clear" w:color="000000" w:fill="FFFF99"/>
            <w:noWrap/>
            <w:vAlign w:val="center"/>
            <w:hideMark/>
          </w:tcPr>
          <w:p w14:paraId="4D5C7346" w14:textId="77777777" w:rsidR="000271A1" w:rsidRPr="000271A1" w:rsidRDefault="000271A1" w:rsidP="000271A1">
            <w:pPr>
              <w:spacing w:after="0" w:line="240" w:lineRule="auto"/>
              <w:jc w:val="right"/>
              <w:rPr>
                <w:rFonts w:ascii="Tahoma" w:eastAsia="Times New Roman" w:hAnsi="Tahoma" w:cs="Tahoma"/>
                <w:sz w:val="20"/>
                <w:szCs w:val="20"/>
                <w:lang w:eastAsia="hr-HR"/>
              </w:rPr>
            </w:pPr>
            <w:r w:rsidRPr="000271A1">
              <w:rPr>
                <w:rFonts w:ascii="Tahoma" w:eastAsia="Times New Roman" w:hAnsi="Tahoma" w:cs="Tahoma"/>
                <w:sz w:val="20"/>
                <w:szCs w:val="20"/>
                <w:lang w:eastAsia="hr-HR"/>
              </w:rPr>
              <w:t> </w:t>
            </w:r>
          </w:p>
        </w:tc>
        <w:tc>
          <w:tcPr>
            <w:tcW w:w="698" w:type="dxa"/>
            <w:tcBorders>
              <w:top w:val="nil"/>
              <w:left w:val="nil"/>
              <w:bottom w:val="single" w:sz="4" w:space="0" w:color="auto"/>
              <w:right w:val="single" w:sz="4" w:space="0" w:color="auto"/>
            </w:tcBorders>
            <w:shd w:val="clear" w:color="000000" w:fill="FFFF99"/>
            <w:noWrap/>
            <w:vAlign w:val="center"/>
            <w:hideMark/>
          </w:tcPr>
          <w:p w14:paraId="6EBF28E8" w14:textId="77777777" w:rsidR="000271A1" w:rsidRPr="000271A1" w:rsidRDefault="000271A1" w:rsidP="000271A1">
            <w:pPr>
              <w:spacing w:after="0" w:line="240" w:lineRule="auto"/>
              <w:jc w:val="right"/>
              <w:rPr>
                <w:rFonts w:ascii="Tahoma" w:eastAsia="Times New Roman" w:hAnsi="Tahoma" w:cs="Tahoma"/>
                <w:sz w:val="20"/>
                <w:szCs w:val="20"/>
                <w:lang w:eastAsia="hr-HR"/>
              </w:rPr>
            </w:pPr>
            <w:r w:rsidRPr="000271A1">
              <w:rPr>
                <w:rFonts w:ascii="Tahoma" w:eastAsia="Times New Roman" w:hAnsi="Tahoma" w:cs="Tahoma"/>
                <w:sz w:val="20"/>
                <w:szCs w:val="20"/>
                <w:lang w:eastAsia="hr-HR"/>
              </w:rPr>
              <w:t> </w:t>
            </w:r>
          </w:p>
        </w:tc>
        <w:tc>
          <w:tcPr>
            <w:tcW w:w="512" w:type="dxa"/>
            <w:tcBorders>
              <w:top w:val="nil"/>
              <w:left w:val="nil"/>
              <w:bottom w:val="single" w:sz="4" w:space="0" w:color="auto"/>
              <w:right w:val="single" w:sz="4" w:space="0" w:color="auto"/>
            </w:tcBorders>
            <w:shd w:val="clear" w:color="000000" w:fill="FFFF99"/>
            <w:noWrap/>
            <w:vAlign w:val="center"/>
            <w:hideMark/>
          </w:tcPr>
          <w:p w14:paraId="36913C60" w14:textId="77777777" w:rsidR="000271A1" w:rsidRPr="000271A1" w:rsidRDefault="000271A1" w:rsidP="000271A1">
            <w:pPr>
              <w:spacing w:after="0" w:line="240" w:lineRule="auto"/>
              <w:jc w:val="right"/>
              <w:rPr>
                <w:rFonts w:ascii="Tahoma" w:eastAsia="Times New Roman" w:hAnsi="Tahoma" w:cs="Tahoma"/>
                <w:sz w:val="20"/>
                <w:szCs w:val="20"/>
                <w:lang w:eastAsia="hr-HR"/>
              </w:rPr>
            </w:pPr>
            <w:r w:rsidRPr="000271A1">
              <w:rPr>
                <w:rFonts w:ascii="Tahoma" w:eastAsia="Times New Roman" w:hAnsi="Tahoma" w:cs="Tahoma"/>
                <w:sz w:val="20"/>
                <w:szCs w:val="20"/>
                <w:lang w:eastAsia="hr-HR"/>
              </w:rPr>
              <w:t>1</w:t>
            </w:r>
          </w:p>
        </w:tc>
        <w:tc>
          <w:tcPr>
            <w:tcW w:w="698" w:type="dxa"/>
            <w:tcBorders>
              <w:top w:val="nil"/>
              <w:left w:val="nil"/>
              <w:bottom w:val="single" w:sz="4" w:space="0" w:color="auto"/>
              <w:right w:val="single" w:sz="4" w:space="0" w:color="auto"/>
            </w:tcBorders>
            <w:shd w:val="clear" w:color="000000" w:fill="FFFF99"/>
            <w:noWrap/>
            <w:vAlign w:val="center"/>
            <w:hideMark/>
          </w:tcPr>
          <w:p w14:paraId="7CC5FE85" w14:textId="77777777" w:rsidR="000271A1" w:rsidRPr="000271A1" w:rsidRDefault="000271A1" w:rsidP="000271A1">
            <w:pPr>
              <w:spacing w:after="0" w:line="240" w:lineRule="auto"/>
              <w:jc w:val="right"/>
              <w:rPr>
                <w:rFonts w:ascii="Tahoma" w:eastAsia="Times New Roman" w:hAnsi="Tahoma" w:cs="Tahoma"/>
                <w:sz w:val="20"/>
                <w:szCs w:val="20"/>
                <w:lang w:eastAsia="hr-HR"/>
              </w:rPr>
            </w:pPr>
            <w:r w:rsidRPr="000271A1">
              <w:rPr>
                <w:rFonts w:ascii="Tahoma" w:eastAsia="Times New Roman" w:hAnsi="Tahoma" w:cs="Tahoma"/>
                <w:sz w:val="20"/>
                <w:szCs w:val="20"/>
                <w:lang w:eastAsia="hr-HR"/>
              </w:rPr>
              <w:t> </w:t>
            </w:r>
          </w:p>
        </w:tc>
        <w:tc>
          <w:tcPr>
            <w:tcW w:w="444" w:type="dxa"/>
            <w:tcBorders>
              <w:top w:val="nil"/>
              <w:left w:val="nil"/>
              <w:bottom w:val="single" w:sz="4" w:space="0" w:color="auto"/>
              <w:right w:val="single" w:sz="4" w:space="0" w:color="auto"/>
            </w:tcBorders>
            <w:shd w:val="clear" w:color="000000" w:fill="FFFF99"/>
            <w:noWrap/>
            <w:vAlign w:val="center"/>
            <w:hideMark/>
          </w:tcPr>
          <w:p w14:paraId="52C237BD" w14:textId="77777777" w:rsidR="000271A1" w:rsidRPr="000271A1" w:rsidRDefault="000271A1" w:rsidP="000271A1">
            <w:pPr>
              <w:spacing w:after="0" w:line="240" w:lineRule="auto"/>
              <w:jc w:val="right"/>
              <w:rPr>
                <w:rFonts w:ascii="Tahoma" w:eastAsia="Times New Roman" w:hAnsi="Tahoma" w:cs="Tahoma"/>
                <w:sz w:val="20"/>
                <w:szCs w:val="20"/>
                <w:lang w:eastAsia="hr-HR"/>
              </w:rPr>
            </w:pPr>
            <w:r w:rsidRPr="000271A1">
              <w:rPr>
                <w:rFonts w:ascii="Tahoma" w:eastAsia="Times New Roman" w:hAnsi="Tahoma" w:cs="Tahoma"/>
                <w:sz w:val="20"/>
                <w:szCs w:val="20"/>
                <w:lang w:eastAsia="hr-HR"/>
              </w:rPr>
              <w:t> </w:t>
            </w:r>
          </w:p>
        </w:tc>
        <w:tc>
          <w:tcPr>
            <w:tcW w:w="698" w:type="dxa"/>
            <w:tcBorders>
              <w:top w:val="nil"/>
              <w:left w:val="nil"/>
              <w:bottom w:val="single" w:sz="4" w:space="0" w:color="auto"/>
              <w:right w:val="single" w:sz="4" w:space="0" w:color="auto"/>
            </w:tcBorders>
            <w:shd w:val="clear" w:color="000000" w:fill="FFFF99"/>
            <w:noWrap/>
            <w:vAlign w:val="center"/>
            <w:hideMark/>
          </w:tcPr>
          <w:p w14:paraId="7FE13E93" w14:textId="77777777" w:rsidR="000271A1" w:rsidRPr="000271A1" w:rsidRDefault="000271A1" w:rsidP="000271A1">
            <w:pPr>
              <w:spacing w:after="0" w:line="240" w:lineRule="auto"/>
              <w:jc w:val="right"/>
              <w:rPr>
                <w:rFonts w:ascii="Tahoma" w:eastAsia="Times New Roman" w:hAnsi="Tahoma" w:cs="Tahoma"/>
                <w:sz w:val="20"/>
                <w:szCs w:val="20"/>
                <w:lang w:eastAsia="hr-HR"/>
              </w:rPr>
            </w:pPr>
            <w:r w:rsidRPr="000271A1">
              <w:rPr>
                <w:rFonts w:ascii="Tahoma" w:eastAsia="Times New Roman" w:hAnsi="Tahoma" w:cs="Tahoma"/>
                <w:sz w:val="20"/>
                <w:szCs w:val="20"/>
                <w:lang w:eastAsia="hr-HR"/>
              </w:rPr>
              <w:t> </w:t>
            </w:r>
          </w:p>
        </w:tc>
        <w:tc>
          <w:tcPr>
            <w:tcW w:w="444" w:type="dxa"/>
            <w:gridSpan w:val="2"/>
            <w:tcBorders>
              <w:top w:val="nil"/>
              <w:left w:val="nil"/>
              <w:bottom w:val="single" w:sz="4" w:space="0" w:color="auto"/>
              <w:right w:val="single" w:sz="4" w:space="0" w:color="auto"/>
            </w:tcBorders>
            <w:shd w:val="clear" w:color="000000" w:fill="FF9900"/>
            <w:noWrap/>
            <w:vAlign w:val="center"/>
            <w:hideMark/>
          </w:tcPr>
          <w:p w14:paraId="7F2A8356" w14:textId="77777777" w:rsidR="000271A1" w:rsidRPr="000271A1" w:rsidRDefault="000271A1" w:rsidP="000271A1">
            <w:pPr>
              <w:spacing w:after="0" w:line="240" w:lineRule="auto"/>
              <w:jc w:val="right"/>
              <w:rPr>
                <w:rFonts w:ascii="Tahoma" w:eastAsia="Times New Roman" w:hAnsi="Tahoma" w:cs="Tahoma"/>
                <w:sz w:val="20"/>
                <w:szCs w:val="20"/>
                <w:lang w:eastAsia="hr-HR"/>
              </w:rPr>
            </w:pPr>
            <w:r w:rsidRPr="000271A1">
              <w:rPr>
                <w:rFonts w:ascii="Tahoma" w:eastAsia="Times New Roman" w:hAnsi="Tahoma" w:cs="Tahoma"/>
                <w:sz w:val="20"/>
                <w:szCs w:val="20"/>
                <w:lang w:eastAsia="hr-HR"/>
              </w:rPr>
              <w:t> </w:t>
            </w:r>
          </w:p>
        </w:tc>
        <w:tc>
          <w:tcPr>
            <w:tcW w:w="521" w:type="dxa"/>
            <w:tcBorders>
              <w:top w:val="nil"/>
              <w:left w:val="nil"/>
              <w:bottom w:val="single" w:sz="4" w:space="0" w:color="auto"/>
              <w:right w:val="single" w:sz="4" w:space="0" w:color="auto"/>
            </w:tcBorders>
            <w:shd w:val="clear" w:color="000000" w:fill="FF9900"/>
            <w:noWrap/>
            <w:vAlign w:val="center"/>
            <w:hideMark/>
          </w:tcPr>
          <w:p w14:paraId="1CFD76DA" w14:textId="77777777" w:rsidR="000271A1" w:rsidRPr="000271A1" w:rsidRDefault="000271A1" w:rsidP="000271A1">
            <w:pPr>
              <w:spacing w:after="0" w:line="240" w:lineRule="auto"/>
              <w:jc w:val="right"/>
              <w:rPr>
                <w:rFonts w:ascii="Tahoma" w:eastAsia="Times New Roman" w:hAnsi="Tahoma" w:cs="Tahoma"/>
                <w:sz w:val="20"/>
                <w:szCs w:val="20"/>
                <w:lang w:eastAsia="hr-HR"/>
              </w:rPr>
            </w:pPr>
            <w:r w:rsidRPr="000271A1">
              <w:rPr>
                <w:rFonts w:ascii="Tahoma" w:eastAsia="Times New Roman" w:hAnsi="Tahoma" w:cs="Tahoma"/>
                <w:sz w:val="20"/>
                <w:szCs w:val="20"/>
                <w:lang w:eastAsia="hr-HR"/>
              </w:rPr>
              <w:t> </w:t>
            </w:r>
          </w:p>
        </w:tc>
        <w:tc>
          <w:tcPr>
            <w:tcW w:w="521" w:type="dxa"/>
            <w:tcBorders>
              <w:top w:val="nil"/>
              <w:left w:val="nil"/>
              <w:bottom w:val="single" w:sz="4" w:space="0" w:color="auto"/>
              <w:right w:val="single" w:sz="4" w:space="0" w:color="auto"/>
            </w:tcBorders>
            <w:shd w:val="clear" w:color="000000" w:fill="FF9900"/>
            <w:noWrap/>
            <w:vAlign w:val="center"/>
            <w:hideMark/>
          </w:tcPr>
          <w:p w14:paraId="42C53F5E" w14:textId="77777777" w:rsidR="000271A1" w:rsidRPr="000271A1" w:rsidRDefault="000271A1" w:rsidP="000271A1">
            <w:pPr>
              <w:spacing w:after="0" w:line="240" w:lineRule="auto"/>
              <w:jc w:val="right"/>
              <w:rPr>
                <w:rFonts w:ascii="Tahoma" w:eastAsia="Times New Roman" w:hAnsi="Tahoma" w:cs="Tahoma"/>
                <w:sz w:val="20"/>
                <w:szCs w:val="20"/>
                <w:lang w:eastAsia="hr-HR"/>
              </w:rPr>
            </w:pPr>
            <w:r w:rsidRPr="000271A1">
              <w:rPr>
                <w:rFonts w:ascii="Tahoma" w:eastAsia="Times New Roman" w:hAnsi="Tahoma" w:cs="Tahoma"/>
                <w:sz w:val="20"/>
                <w:szCs w:val="20"/>
                <w:lang w:eastAsia="hr-HR"/>
              </w:rPr>
              <w:t> </w:t>
            </w:r>
          </w:p>
        </w:tc>
        <w:tc>
          <w:tcPr>
            <w:tcW w:w="521" w:type="dxa"/>
            <w:gridSpan w:val="2"/>
            <w:tcBorders>
              <w:top w:val="nil"/>
              <w:left w:val="nil"/>
              <w:bottom w:val="single" w:sz="4" w:space="0" w:color="auto"/>
              <w:right w:val="single" w:sz="4" w:space="0" w:color="auto"/>
            </w:tcBorders>
            <w:shd w:val="clear" w:color="000000" w:fill="FFFF00"/>
            <w:vAlign w:val="center"/>
            <w:hideMark/>
          </w:tcPr>
          <w:p w14:paraId="241CDF81" w14:textId="77777777" w:rsidR="000271A1" w:rsidRPr="000271A1" w:rsidRDefault="000271A1" w:rsidP="000271A1">
            <w:pPr>
              <w:spacing w:after="0" w:line="240" w:lineRule="auto"/>
              <w:jc w:val="right"/>
              <w:rPr>
                <w:rFonts w:ascii="Tahoma" w:eastAsia="Times New Roman" w:hAnsi="Tahoma" w:cs="Tahoma"/>
                <w:sz w:val="20"/>
                <w:szCs w:val="20"/>
                <w:lang w:eastAsia="hr-HR"/>
              </w:rPr>
            </w:pPr>
            <w:r w:rsidRPr="000271A1">
              <w:rPr>
                <w:rFonts w:ascii="Tahoma" w:eastAsia="Times New Roman" w:hAnsi="Tahoma" w:cs="Tahoma"/>
                <w:sz w:val="20"/>
                <w:szCs w:val="20"/>
                <w:lang w:eastAsia="hr-HR"/>
              </w:rPr>
              <w:t> </w:t>
            </w:r>
          </w:p>
        </w:tc>
        <w:tc>
          <w:tcPr>
            <w:tcW w:w="702" w:type="dxa"/>
            <w:tcBorders>
              <w:top w:val="nil"/>
              <w:left w:val="nil"/>
              <w:bottom w:val="single" w:sz="4" w:space="0" w:color="auto"/>
              <w:right w:val="single" w:sz="4" w:space="0" w:color="auto"/>
            </w:tcBorders>
            <w:shd w:val="clear" w:color="000000" w:fill="FF9900"/>
            <w:vAlign w:val="center"/>
            <w:hideMark/>
          </w:tcPr>
          <w:p w14:paraId="02B70FFD" w14:textId="77777777" w:rsidR="000271A1" w:rsidRPr="000271A1" w:rsidRDefault="000271A1" w:rsidP="000271A1">
            <w:pPr>
              <w:spacing w:after="0" w:line="240" w:lineRule="auto"/>
              <w:jc w:val="right"/>
              <w:rPr>
                <w:rFonts w:ascii="Tahoma" w:eastAsia="Times New Roman" w:hAnsi="Tahoma" w:cs="Tahoma"/>
                <w:sz w:val="20"/>
                <w:szCs w:val="20"/>
                <w:lang w:eastAsia="hr-HR"/>
              </w:rPr>
            </w:pPr>
            <w:r w:rsidRPr="000271A1">
              <w:rPr>
                <w:rFonts w:ascii="Tahoma" w:eastAsia="Times New Roman" w:hAnsi="Tahoma" w:cs="Tahoma"/>
                <w:sz w:val="20"/>
                <w:szCs w:val="20"/>
                <w:lang w:eastAsia="hr-HR"/>
              </w:rPr>
              <w:t>2</w:t>
            </w:r>
          </w:p>
        </w:tc>
        <w:tc>
          <w:tcPr>
            <w:tcW w:w="907" w:type="dxa"/>
            <w:tcBorders>
              <w:top w:val="nil"/>
              <w:left w:val="nil"/>
              <w:bottom w:val="single" w:sz="4" w:space="0" w:color="auto"/>
              <w:right w:val="single" w:sz="4" w:space="0" w:color="auto"/>
            </w:tcBorders>
            <w:shd w:val="clear" w:color="000000" w:fill="FF9900"/>
            <w:noWrap/>
            <w:vAlign w:val="center"/>
            <w:hideMark/>
          </w:tcPr>
          <w:p w14:paraId="43ED1242" w14:textId="77777777" w:rsidR="000271A1" w:rsidRPr="000271A1" w:rsidRDefault="000271A1" w:rsidP="000271A1">
            <w:pPr>
              <w:spacing w:after="0" w:line="240" w:lineRule="auto"/>
              <w:jc w:val="right"/>
              <w:rPr>
                <w:rFonts w:ascii="Tahoma" w:eastAsia="Times New Roman" w:hAnsi="Tahoma" w:cs="Tahoma"/>
                <w:sz w:val="20"/>
                <w:szCs w:val="20"/>
                <w:lang w:eastAsia="hr-HR"/>
              </w:rPr>
            </w:pPr>
            <w:r w:rsidRPr="000271A1">
              <w:rPr>
                <w:rFonts w:ascii="Tahoma" w:eastAsia="Times New Roman" w:hAnsi="Tahoma" w:cs="Tahoma"/>
                <w:sz w:val="20"/>
                <w:szCs w:val="20"/>
                <w:lang w:eastAsia="hr-HR"/>
              </w:rPr>
              <w:t> </w:t>
            </w:r>
          </w:p>
        </w:tc>
        <w:tc>
          <w:tcPr>
            <w:tcW w:w="553" w:type="dxa"/>
            <w:tcBorders>
              <w:top w:val="nil"/>
              <w:left w:val="nil"/>
              <w:bottom w:val="single" w:sz="4" w:space="0" w:color="auto"/>
              <w:right w:val="single" w:sz="4" w:space="0" w:color="auto"/>
            </w:tcBorders>
            <w:shd w:val="clear" w:color="000000" w:fill="FF9900"/>
            <w:noWrap/>
            <w:vAlign w:val="center"/>
            <w:hideMark/>
          </w:tcPr>
          <w:p w14:paraId="78E25467" w14:textId="77777777" w:rsidR="000271A1" w:rsidRPr="000271A1" w:rsidRDefault="000271A1" w:rsidP="000271A1">
            <w:pPr>
              <w:spacing w:after="0" w:line="240" w:lineRule="auto"/>
              <w:jc w:val="right"/>
              <w:rPr>
                <w:rFonts w:ascii="Tahoma" w:eastAsia="Times New Roman" w:hAnsi="Tahoma" w:cs="Tahoma"/>
                <w:sz w:val="20"/>
                <w:szCs w:val="20"/>
                <w:lang w:eastAsia="hr-HR"/>
              </w:rPr>
            </w:pPr>
            <w:r w:rsidRPr="000271A1">
              <w:rPr>
                <w:rFonts w:ascii="Tahoma" w:eastAsia="Times New Roman" w:hAnsi="Tahoma" w:cs="Tahoma"/>
                <w:sz w:val="20"/>
                <w:szCs w:val="20"/>
                <w:lang w:eastAsia="hr-HR"/>
              </w:rPr>
              <w:t> </w:t>
            </w:r>
          </w:p>
        </w:tc>
        <w:tc>
          <w:tcPr>
            <w:tcW w:w="918" w:type="dxa"/>
            <w:tcBorders>
              <w:top w:val="nil"/>
              <w:left w:val="nil"/>
              <w:bottom w:val="single" w:sz="4" w:space="0" w:color="auto"/>
              <w:right w:val="single" w:sz="4" w:space="0" w:color="auto"/>
            </w:tcBorders>
            <w:shd w:val="clear" w:color="000000" w:fill="FF9900"/>
            <w:noWrap/>
            <w:vAlign w:val="center"/>
            <w:hideMark/>
          </w:tcPr>
          <w:p w14:paraId="1DCCEFE0" w14:textId="77777777" w:rsidR="000271A1" w:rsidRPr="000271A1" w:rsidRDefault="000271A1" w:rsidP="000271A1">
            <w:pPr>
              <w:spacing w:after="0" w:line="240" w:lineRule="auto"/>
              <w:jc w:val="right"/>
              <w:rPr>
                <w:rFonts w:ascii="Tahoma" w:eastAsia="Times New Roman" w:hAnsi="Tahoma" w:cs="Tahoma"/>
                <w:sz w:val="20"/>
                <w:szCs w:val="20"/>
                <w:lang w:eastAsia="hr-HR"/>
              </w:rPr>
            </w:pPr>
            <w:r w:rsidRPr="000271A1">
              <w:rPr>
                <w:rFonts w:ascii="Tahoma" w:eastAsia="Times New Roman" w:hAnsi="Tahoma" w:cs="Tahoma"/>
                <w:sz w:val="20"/>
                <w:szCs w:val="20"/>
                <w:lang w:eastAsia="hr-HR"/>
              </w:rPr>
              <w:t> </w:t>
            </w:r>
          </w:p>
        </w:tc>
        <w:tc>
          <w:tcPr>
            <w:tcW w:w="428" w:type="dxa"/>
            <w:tcBorders>
              <w:top w:val="nil"/>
              <w:left w:val="nil"/>
              <w:bottom w:val="single" w:sz="4" w:space="0" w:color="auto"/>
              <w:right w:val="single" w:sz="4" w:space="0" w:color="auto"/>
            </w:tcBorders>
            <w:shd w:val="clear" w:color="000000" w:fill="CCFFFF"/>
            <w:noWrap/>
            <w:vAlign w:val="center"/>
            <w:hideMark/>
          </w:tcPr>
          <w:p w14:paraId="5A1B32F9" w14:textId="77777777" w:rsidR="000271A1" w:rsidRPr="000271A1" w:rsidRDefault="000271A1" w:rsidP="000271A1">
            <w:pPr>
              <w:spacing w:after="0" w:line="240" w:lineRule="auto"/>
              <w:jc w:val="right"/>
              <w:rPr>
                <w:rFonts w:ascii="Tahoma" w:eastAsia="Times New Roman" w:hAnsi="Tahoma" w:cs="Tahoma"/>
                <w:sz w:val="20"/>
                <w:szCs w:val="20"/>
                <w:lang w:eastAsia="hr-HR"/>
              </w:rPr>
            </w:pPr>
            <w:r w:rsidRPr="000271A1">
              <w:rPr>
                <w:rFonts w:ascii="Tahoma" w:eastAsia="Times New Roman" w:hAnsi="Tahoma" w:cs="Tahoma"/>
                <w:sz w:val="20"/>
                <w:szCs w:val="20"/>
                <w:lang w:eastAsia="hr-HR"/>
              </w:rPr>
              <w:t> </w:t>
            </w:r>
          </w:p>
        </w:tc>
        <w:tc>
          <w:tcPr>
            <w:tcW w:w="428" w:type="dxa"/>
            <w:tcBorders>
              <w:top w:val="nil"/>
              <w:left w:val="nil"/>
              <w:bottom w:val="single" w:sz="4" w:space="0" w:color="auto"/>
              <w:right w:val="single" w:sz="4" w:space="0" w:color="auto"/>
            </w:tcBorders>
            <w:shd w:val="clear" w:color="000000" w:fill="CCFFFF"/>
            <w:noWrap/>
            <w:vAlign w:val="center"/>
            <w:hideMark/>
          </w:tcPr>
          <w:p w14:paraId="607F690D" w14:textId="77777777" w:rsidR="000271A1" w:rsidRPr="000271A1" w:rsidRDefault="000271A1" w:rsidP="000271A1">
            <w:pPr>
              <w:spacing w:after="0" w:line="240" w:lineRule="auto"/>
              <w:jc w:val="right"/>
              <w:rPr>
                <w:rFonts w:ascii="Tahoma" w:eastAsia="Times New Roman" w:hAnsi="Tahoma" w:cs="Tahoma"/>
                <w:sz w:val="20"/>
                <w:szCs w:val="20"/>
                <w:lang w:eastAsia="hr-HR"/>
              </w:rPr>
            </w:pPr>
            <w:r w:rsidRPr="000271A1">
              <w:rPr>
                <w:rFonts w:ascii="Tahoma" w:eastAsia="Times New Roman" w:hAnsi="Tahoma" w:cs="Tahoma"/>
                <w:sz w:val="20"/>
                <w:szCs w:val="20"/>
                <w:lang w:eastAsia="hr-HR"/>
              </w:rPr>
              <w:t> </w:t>
            </w:r>
          </w:p>
        </w:tc>
        <w:tc>
          <w:tcPr>
            <w:tcW w:w="425" w:type="dxa"/>
            <w:tcBorders>
              <w:top w:val="nil"/>
              <w:left w:val="nil"/>
              <w:bottom w:val="single" w:sz="4" w:space="0" w:color="auto"/>
              <w:right w:val="single" w:sz="4" w:space="0" w:color="auto"/>
            </w:tcBorders>
            <w:shd w:val="clear" w:color="000000" w:fill="CCFFFF"/>
            <w:noWrap/>
            <w:vAlign w:val="center"/>
            <w:hideMark/>
          </w:tcPr>
          <w:p w14:paraId="12EDF576" w14:textId="77777777" w:rsidR="000271A1" w:rsidRPr="000271A1" w:rsidRDefault="000271A1" w:rsidP="000271A1">
            <w:pPr>
              <w:spacing w:after="0" w:line="240" w:lineRule="auto"/>
              <w:jc w:val="right"/>
              <w:rPr>
                <w:rFonts w:ascii="Tahoma" w:eastAsia="Times New Roman" w:hAnsi="Tahoma" w:cs="Tahoma"/>
                <w:sz w:val="20"/>
                <w:szCs w:val="20"/>
                <w:lang w:eastAsia="hr-HR"/>
              </w:rPr>
            </w:pPr>
            <w:r w:rsidRPr="000271A1">
              <w:rPr>
                <w:rFonts w:ascii="Tahoma" w:eastAsia="Times New Roman" w:hAnsi="Tahoma" w:cs="Tahoma"/>
                <w:sz w:val="20"/>
                <w:szCs w:val="20"/>
                <w:lang w:eastAsia="hr-HR"/>
              </w:rPr>
              <w:t> </w:t>
            </w:r>
          </w:p>
        </w:tc>
        <w:tc>
          <w:tcPr>
            <w:tcW w:w="425" w:type="dxa"/>
            <w:tcBorders>
              <w:top w:val="nil"/>
              <w:left w:val="nil"/>
              <w:bottom w:val="single" w:sz="4" w:space="0" w:color="auto"/>
              <w:right w:val="nil"/>
            </w:tcBorders>
            <w:shd w:val="clear" w:color="000000" w:fill="33CCCC"/>
            <w:noWrap/>
            <w:vAlign w:val="center"/>
            <w:hideMark/>
          </w:tcPr>
          <w:p w14:paraId="4DEE6C42" w14:textId="77777777" w:rsidR="000271A1" w:rsidRPr="000271A1" w:rsidRDefault="000271A1" w:rsidP="000271A1">
            <w:pPr>
              <w:spacing w:after="0" w:line="240" w:lineRule="auto"/>
              <w:jc w:val="right"/>
              <w:rPr>
                <w:rFonts w:ascii="Tahoma" w:eastAsia="Times New Roman" w:hAnsi="Tahoma" w:cs="Tahoma"/>
                <w:sz w:val="20"/>
                <w:szCs w:val="20"/>
                <w:lang w:eastAsia="hr-HR"/>
              </w:rPr>
            </w:pPr>
            <w:r w:rsidRPr="000271A1">
              <w:rPr>
                <w:rFonts w:ascii="Tahoma" w:eastAsia="Times New Roman" w:hAnsi="Tahoma" w:cs="Tahoma"/>
                <w:sz w:val="20"/>
                <w:szCs w:val="20"/>
                <w:lang w:eastAsia="hr-HR"/>
              </w:rPr>
              <w:t> </w:t>
            </w:r>
          </w:p>
        </w:tc>
        <w:tc>
          <w:tcPr>
            <w:tcW w:w="440" w:type="dxa"/>
            <w:gridSpan w:val="2"/>
            <w:tcBorders>
              <w:top w:val="nil"/>
              <w:left w:val="single" w:sz="4" w:space="0" w:color="auto"/>
              <w:bottom w:val="single" w:sz="4" w:space="0" w:color="auto"/>
              <w:right w:val="single" w:sz="8" w:space="0" w:color="auto"/>
            </w:tcBorders>
            <w:shd w:val="clear" w:color="000000" w:fill="33CCCC"/>
            <w:noWrap/>
            <w:vAlign w:val="center"/>
            <w:hideMark/>
          </w:tcPr>
          <w:p w14:paraId="4EBC0940" w14:textId="77777777" w:rsidR="000271A1" w:rsidRPr="000271A1" w:rsidRDefault="000271A1" w:rsidP="000271A1">
            <w:pPr>
              <w:spacing w:after="0" w:line="240" w:lineRule="auto"/>
              <w:jc w:val="right"/>
              <w:rPr>
                <w:rFonts w:ascii="Tahoma" w:eastAsia="Times New Roman" w:hAnsi="Tahoma" w:cs="Tahoma"/>
                <w:sz w:val="20"/>
                <w:szCs w:val="20"/>
                <w:lang w:eastAsia="hr-HR"/>
              </w:rPr>
            </w:pPr>
            <w:r w:rsidRPr="000271A1">
              <w:rPr>
                <w:rFonts w:ascii="Tahoma" w:eastAsia="Times New Roman" w:hAnsi="Tahoma" w:cs="Tahoma"/>
                <w:sz w:val="20"/>
                <w:szCs w:val="20"/>
                <w:lang w:eastAsia="hr-HR"/>
              </w:rPr>
              <w:t> </w:t>
            </w:r>
          </w:p>
        </w:tc>
        <w:tc>
          <w:tcPr>
            <w:tcW w:w="236" w:type="dxa"/>
            <w:vAlign w:val="center"/>
            <w:hideMark/>
          </w:tcPr>
          <w:p w14:paraId="1EBBBDF5" w14:textId="77777777" w:rsidR="000271A1" w:rsidRPr="000271A1" w:rsidRDefault="000271A1" w:rsidP="000271A1">
            <w:pPr>
              <w:spacing w:after="0" w:line="240" w:lineRule="auto"/>
              <w:rPr>
                <w:rFonts w:ascii="Times New Roman" w:eastAsia="Times New Roman" w:hAnsi="Times New Roman" w:cs="Times New Roman"/>
                <w:sz w:val="20"/>
                <w:szCs w:val="20"/>
                <w:lang w:eastAsia="hr-HR"/>
              </w:rPr>
            </w:pPr>
          </w:p>
        </w:tc>
      </w:tr>
      <w:tr w:rsidR="000271A1" w:rsidRPr="000271A1" w14:paraId="36ECE87E" w14:textId="77777777" w:rsidTr="000271A1">
        <w:trPr>
          <w:gridAfter w:val="1"/>
          <w:wAfter w:w="26" w:type="dxa"/>
          <w:trHeight w:val="300"/>
        </w:trPr>
        <w:tc>
          <w:tcPr>
            <w:tcW w:w="1119" w:type="dxa"/>
            <w:tcBorders>
              <w:top w:val="single" w:sz="4" w:space="0" w:color="auto"/>
              <w:left w:val="single" w:sz="8" w:space="0" w:color="auto"/>
              <w:bottom w:val="single" w:sz="4" w:space="0" w:color="auto"/>
              <w:right w:val="single" w:sz="4" w:space="0" w:color="auto"/>
            </w:tcBorders>
            <w:shd w:val="clear" w:color="000000" w:fill="CCFFCC"/>
            <w:vAlign w:val="center"/>
            <w:hideMark/>
          </w:tcPr>
          <w:p w14:paraId="15AFEE74" w14:textId="77777777" w:rsidR="000271A1" w:rsidRPr="000271A1" w:rsidRDefault="000271A1" w:rsidP="000271A1">
            <w:pPr>
              <w:spacing w:after="0" w:line="240" w:lineRule="auto"/>
              <w:rPr>
                <w:rFonts w:ascii="Tahoma" w:eastAsia="Times New Roman" w:hAnsi="Tahoma" w:cs="Tahoma"/>
                <w:sz w:val="20"/>
                <w:szCs w:val="20"/>
                <w:lang w:eastAsia="hr-HR"/>
              </w:rPr>
            </w:pPr>
            <w:r w:rsidRPr="000271A1">
              <w:rPr>
                <w:rFonts w:ascii="Tahoma" w:eastAsia="Times New Roman" w:hAnsi="Tahoma" w:cs="Tahoma"/>
                <w:sz w:val="20"/>
                <w:szCs w:val="20"/>
                <w:lang w:eastAsia="hr-HR"/>
              </w:rPr>
              <w:t>Imovno stanje</w:t>
            </w:r>
          </w:p>
        </w:tc>
        <w:tc>
          <w:tcPr>
            <w:tcW w:w="671" w:type="dxa"/>
            <w:tcBorders>
              <w:top w:val="nil"/>
              <w:left w:val="nil"/>
              <w:bottom w:val="single" w:sz="4" w:space="0" w:color="auto"/>
              <w:right w:val="single" w:sz="4" w:space="0" w:color="auto"/>
            </w:tcBorders>
            <w:shd w:val="clear" w:color="000000" w:fill="FFCC99"/>
            <w:noWrap/>
            <w:vAlign w:val="center"/>
            <w:hideMark/>
          </w:tcPr>
          <w:p w14:paraId="195BA758" w14:textId="77777777" w:rsidR="000271A1" w:rsidRPr="000271A1" w:rsidRDefault="000271A1" w:rsidP="000271A1">
            <w:pPr>
              <w:spacing w:after="0" w:line="240" w:lineRule="auto"/>
              <w:jc w:val="right"/>
              <w:rPr>
                <w:rFonts w:ascii="Tahoma" w:eastAsia="Times New Roman" w:hAnsi="Tahoma" w:cs="Tahoma"/>
                <w:sz w:val="20"/>
                <w:szCs w:val="20"/>
                <w:lang w:eastAsia="hr-HR"/>
              </w:rPr>
            </w:pPr>
            <w:r w:rsidRPr="000271A1">
              <w:rPr>
                <w:rFonts w:ascii="Tahoma" w:eastAsia="Times New Roman" w:hAnsi="Tahoma" w:cs="Tahoma"/>
                <w:sz w:val="20"/>
                <w:szCs w:val="20"/>
                <w:lang w:eastAsia="hr-HR"/>
              </w:rPr>
              <w:t>2</w:t>
            </w:r>
          </w:p>
        </w:tc>
        <w:tc>
          <w:tcPr>
            <w:tcW w:w="519" w:type="dxa"/>
            <w:tcBorders>
              <w:top w:val="nil"/>
              <w:left w:val="nil"/>
              <w:bottom w:val="single" w:sz="4" w:space="0" w:color="auto"/>
              <w:right w:val="single" w:sz="4" w:space="0" w:color="auto"/>
            </w:tcBorders>
            <w:shd w:val="clear" w:color="000000" w:fill="FFFF00"/>
            <w:noWrap/>
            <w:vAlign w:val="center"/>
            <w:hideMark/>
          </w:tcPr>
          <w:p w14:paraId="6C2F8E38" w14:textId="77777777" w:rsidR="000271A1" w:rsidRPr="000271A1" w:rsidRDefault="000271A1" w:rsidP="000271A1">
            <w:pPr>
              <w:spacing w:after="0" w:line="240" w:lineRule="auto"/>
              <w:jc w:val="right"/>
              <w:rPr>
                <w:rFonts w:ascii="Tahoma" w:eastAsia="Times New Roman" w:hAnsi="Tahoma" w:cs="Tahoma"/>
                <w:sz w:val="20"/>
                <w:szCs w:val="20"/>
                <w:lang w:eastAsia="hr-HR"/>
              </w:rPr>
            </w:pPr>
            <w:r w:rsidRPr="000271A1">
              <w:rPr>
                <w:rFonts w:ascii="Tahoma" w:eastAsia="Times New Roman" w:hAnsi="Tahoma" w:cs="Tahoma"/>
                <w:sz w:val="20"/>
                <w:szCs w:val="20"/>
                <w:lang w:eastAsia="hr-HR"/>
              </w:rPr>
              <w:t>1</w:t>
            </w:r>
          </w:p>
        </w:tc>
        <w:tc>
          <w:tcPr>
            <w:tcW w:w="365" w:type="dxa"/>
            <w:tcBorders>
              <w:top w:val="nil"/>
              <w:left w:val="nil"/>
              <w:bottom w:val="single" w:sz="4" w:space="0" w:color="auto"/>
              <w:right w:val="single" w:sz="4" w:space="0" w:color="auto"/>
            </w:tcBorders>
            <w:shd w:val="clear" w:color="000000" w:fill="CCFFFF"/>
            <w:noWrap/>
            <w:vAlign w:val="center"/>
            <w:hideMark/>
          </w:tcPr>
          <w:p w14:paraId="776FDD79" w14:textId="77777777" w:rsidR="000271A1" w:rsidRPr="000271A1" w:rsidRDefault="000271A1" w:rsidP="000271A1">
            <w:pPr>
              <w:spacing w:after="0" w:line="240" w:lineRule="auto"/>
              <w:jc w:val="right"/>
              <w:rPr>
                <w:rFonts w:ascii="Tahoma" w:eastAsia="Times New Roman" w:hAnsi="Tahoma" w:cs="Tahoma"/>
                <w:sz w:val="20"/>
                <w:szCs w:val="20"/>
                <w:lang w:eastAsia="hr-HR"/>
              </w:rPr>
            </w:pPr>
            <w:r w:rsidRPr="000271A1">
              <w:rPr>
                <w:rFonts w:ascii="Tahoma" w:eastAsia="Times New Roman" w:hAnsi="Tahoma" w:cs="Tahoma"/>
                <w:sz w:val="20"/>
                <w:szCs w:val="20"/>
                <w:lang w:eastAsia="hr-HR"/>
              </w:rPr>
              <w:t> </w:t>
            </w:r>
          </w:p>
        </w:tc>
        <w:tc>
          <w:tcPr>
            <w:tcW w:w="379" w:type="dxa"/>
            <w:tcBorders>
              <w:top w:val="nil"/>
              <w:left w:val="nil"/>
              <w:bottom w:val="single" w:sz="4" w:space="0" w:color="auto"/>
              <w:right w:val="single" w:sz="4" w:space="0" w:color="auto"/>
            </w:tcBorders>
            <w:shd w:val="clear" w:color="000000" w:fill="CCFFFF"/>
            <w:noWrap/>
            <w:vAlign w:val="center"/>
            <w:hideMark/>
          </w:tcPr>
          <w:p w14:paraId="199050CA" w14:textId="77777777" w:rsidR="000271A1" w:rsidRPr="000271A1" w:rsidRDefault="000271A1" w:rsidP="000271A1">
            <w:pPr>
              <w:spacing w:after="0" w:line="240" w:lineRule="auto"/>
              <w:jc w:val="right"/>
              <w:rPr>
                <w:rFonts w:ascii="Tahoma" w:eastAsia="Times New Roman" w:hAnsi="Tahoma" w:cs="Tahoma"/>
                <w:sz w:val="20"/>
                <w:szCs w:val="20"/>
                <w:lang w:eastAsia="hr-HR"/>
              </w:rPr>
            </w:pPr>
            <w:r w:rsidRPr="000271A1">
              <w:rPr>
                <w:rFonts w:ascii="Tahoma" w:eastAsia="Times New Roman" w:hAnsi="Tahoma" w:cs="Tahoma"/>
                <w:sz w:val="20"/>
                <w:szCs w:val="20"/>
                <w:lang w:eastAsia="hr-HR"/>
              </w:rPr>
              <w:t>1</w:t>
            </w:r>
          </w:p>
        </w:tc>
        <w:tc>
          <w:tcPr>
            <w:tcW w:w="698" w:type="dxa"/>
            <w:tcBorders>
              <w:top w:val="nil"/>
              <w:left w:val="nil"/>
              <w:bottom w:val="single" w:sz="4" w:space="0" w:color="auto"/>
              <w:right w:val="single" w:sz="4" w:space="0" w:color="auto"/>
            </w:tcBorders>
            <w:shd w:val="clear" w:color="000000" w:fill="FFFF99"/>
            <w:noWrap/>
            <w:vAlign w:val="center"/>
            <w:hideMark/>
          </w:tcPr>
          <w:p w14:paraId="5078032A" w14:textId="77777777" w:rsidR="000271A1" w:rsidRPr="000271A1" w:rsidRDefault="000271A1" w:rsidP="000271A1">
            <w:pPr>
              <w:spacing w:after="0" w:line="240" w:lineRule="auto"/>
              <w:jc w:val="right"/>
              <w:rPr>
                <w:rFonts w:ascii="Tahoma" w:eastAsia="Times New Roman" w:hAnsi="Tahoma" w:cs="Tahoma"/>
                <w:sz w:val="20"/>
                <w:szCs w:val="20"/>
                <w:lang w:eastAsia="hr-HR"/>
              </w:rPr>
            </w:pPr>
            <w:r w:rsidRPr="000271A1">
              <w:rPr>
                <w:rFonts w:ascii="Tahoma" w:eastAsia="Times New Roman" w:hAnsi="Tahoma" w:cs="Tahoma"/>
                <w:sz w:val="20"/>
                <w:szCs w:val="20"/>
                <w:lang w:eastAsia="hr-HR"/>
              </w:rPr>
              <w:t>1</w:t>
            </w:r>
          </w:p>
        </w:tc>
        <w:tc>
          <w:tcPr>
            <w:tcW w:w="698" w:type="dxa"/>
            <w:tcBorders>
              <w:top w:val="nil"/>
              <w:left w:val="nil"/>
              <w:bottom w:val="single" w:sz="4" w:space="0" w:color="auto"/>
              <w:right w:val="single" w:sz="4" w:space="0" w:color="auto"/>
            </w:tcBorders>
            <w:shd w:val="clear" w:color="000000" w:fill="FFFF99"/>
            <w:noWrap/>
            <w:vAlign w:val="center"/>
            <w:hideMark/>
          </w:tcPr>
          <w:p w14:paraId="271E3B6D" w14:textId="77777777" w:rsidR="000271A1" w:rsidRPr="000271A1" w:rsidRDefault="000271A1" w:rsidP="000271A1">
            <w:pPr>
              <w:spacing w:after="0" w:line="240" w:lineRule="auto"/>
              <w:jc w:val="right"/>
              <w:rPr>
                <w:rFonts w:ascii="Tahoma" w:eastAsia="Times New Roman" w:hAnsi="Tahoma" w:cs="Tahoma"/>
                <w:sz w:val="20"/>
                <w:szCs w:val="20"/>
                <w:lang w:eastAsia="hr-HR"/>
              </w:rPr>
            </w:pPr>
            <w:r w:rsidRPr="000271A1">
              <w:rPr>
                <w:rFonts w:ascii="Tahoma" w:eastAsia="Times New Roman" w:hAnsi="Tahoma" w:cs="Tahoma"/>
                <w:sz w:val="20"/>
                <w:szCs w:val="20"/>
                <w:lang w:eastAsia="hr-HR"/>
              </w:rPr>
              <w:t> </w:t>
            </w:r>
          </w:p>
        </w:tc>
        <w:tc>
          <w:tcPr>
            <w:tcW w:w="512" w:type="dxa"/>
            <w:tcBorders>
              <w:top w:val="nil"/>
              <w:left w:val="nil"/>
              <w:bottom w:val="single" w:sz="4" w:space="0" w:color="auto"/>
              <w:right w:val="single" w:sz="4" w:space="0" w:color="auto"/>
            </w:tcBorders>
            <w:shd w:val="clear" w:color="000000" w:fill="FFFF99"/>
            <w:noWrap/>
            <w:vAlign w:val="center"/>
            <w:hideMark/>
          </w:tcPr>
          <w:p w14:paraId="4DDA7DEB" w14:textId="77777777" w:rsidR="000271A1" w:rsidRPr="000271A1" w:rsidRDefault="000271A1" w:rsidP="000271A1">
            <w:pPr>
              <w:spacing w:after="0" w:line="240" w:lineRule="auto"/>
              <w:jc w:val="right"/>
              <w:rPr>
                <w:rFonts w:ascii="Tahoma" w:eastAsia="Times New Roman" w:hAnsi="Tahoma" w:cs="Tahoma"/>
                <w:sz w:val="20"/>
                <w:szCs w:val="20"/>
                <w:lang w:eastAsia="hr-HR"/>
              </w:rPr>
            </w:pPr>
            <w:r w:rsidRPr="000271A1">
              <w:rPr>
                <w:rFonts w:ascii="Tahoma" w:eastAsia="Times New Roman" w:hAnsi="Tahoma" w:cs="Tahoma"/>
                <w:sz w:val="20"/>
                <w:szCs w:val="20"/>
                <w:lang w:eastAsia="hr-HR"/>
              </w:rPr>
              <w:t> </w:t>
            </w:r>
          </w:p>
        </w:tc>
        <w:tc>
          <w:tcPr>
            <w:tcW w:w="698" w:type="dxa"/>
            <w:tcBorders>
              <w:top w:val="nil"/>
              <w:left w:val="nil"/>
              <w:bottom w:val="single" w:sz="4" w:space="0" w:color="auto"/>
              <w:right w:val="single" w:sz="4" w:space="0" w:color="auto"/>
            </w:tcBorders>
            <w:shd w:val="clear" w:color="000000" w:fill="FFFF99"/>
            <w:noWrap/>
            <w:vAlign w:val="center"/>
            <w:hideMark/>
          </w:tcPr>
          <w:p w14:paraId="521D787C" w14:textId="77777777" w:rsidR="000271A1" w:rsidRPr="000271A1" w:rsidRDefault="000271A1" w:rsidP="000271A1">
            <w:pPr>
              <w:spacing w:after="0" w:line="240" w:lineRule="auto"/>
              <w:jc w:val="right"/>
              <w:rPr>
                <w:rFonts w:ascii="Tahoma" w:eastAsia="Times New Roman" w:hAnsi="Tahoma" w:cs="Tahoma"/>
                <w:sz w:val="20"/>
                <w:szCs w:val="20"/>
                <w:lang w:eastAsia="hr-HR"/>
              </w:rPr>
            </w:pPr>
            <w:r w:rsidRPr="000271A1">
              <w:rPr>
                <w:rFonts w:ascii="Tahoma" w:eastAsia="Times New Roman" w:hAnsi="Tahoma" w:cs="Tahoma"/>
                <w:sz w:val="20"/>
                <w:szCs w:val="20"/>
                <w:lang w:eastAsia="hr-HR"/>
              </w:rPr>
              <w:t> </w:t>
            </w:r>
          </w:p>
        </w:tc>
        <w:tc>
          <w:tcPr>
            <w:tcW w:w="444" w:type="dxa"/>
            <w:tcBorders>
              <w:top w:val="nil"/>
              <w:left w:val="nil"/>
              <w:bottom w:val="single" w:sz="4" w:space="0" w:color="auto"/>
              <w:right w:val="single" w:sz="4" w:space="0" w:color="auto"/>
            </w:tcBorders>
            <w:shd w:val="clear" w:color="000000" w:fill="FFFF99"/>
            <w:noWrap/>
            <w:vAlign w:val="center"/>
            <w:hideMark/>
          </w:tcPr>
          <w:p w14:paraId="4FA41E43" w14:textId="77777777" w:rsidR="000271A1" w:rsidRPr="000271A1" w:rsidRDefault="000271A1" w:rsidP="000271A1">
            <w:pPr>
              <w:spacing w:after="0" w:line="240" w:lineRule="auto"/>
              <w:jc w:val="right"/>
              <w:rPr>
                <w:rFonts w:ascii="Tahoma" w:eastAsia="Times New Roman" w:hAnsi="Tahoma" w:cs="Tahoma"/>
                <w:sz w:val="20"/>
                <w:szCs w:val="20"/>
                <w:lang w:eastAsia="hr-HR"/>
              </w:rPr>
            </w:pPr>
            <w:r w:rsidRPr="000271A1">
              <w:rPr>
                <w:rFonts w:ascii="Tahoma" w:eastAsia="Times New Roman" w:hAnsi="Tahoma" w:cs="Tahoma"/>
                <w:sz w:val="20"/>
                <w:szCs w:val="20"/>
                <w:lang w:eastAsia="hr-HR"/>
              </w:rPr>
              <w:t> </w:t>
            </w:r>
          </w:p>
        </w:tc>
        <w:tc>
          <w:tcPr>
            <w:tcW w:w="698" w:type="dxa"/>
            <w:tcBorders>
              <w:top w:val="nil"/>
              <w:left w:val="nil"/>
              <w:bottom w:val="single" w:sz="4" w:space="0" w:color="auto"/>
              <w:right w:val="single" w:sz="4" w:space="0" w:color="auto"/>
            </w:tcBorders>
            <w:shd w:val="clear" w:color="000000" w:fill="FFFF99"/>
            <w:noWrap/>
            <w:vAlign w:val="center"/>
            <w:hideMark/>
          </w:tcPr>
          <w:p w14:paraId="6629DBC9" w14:textId="77777777" w:rsidR="000271A1" w:rsidRPr="000271A1" w:rsidRDefault="000271A1" w:rsidP="000271A1">
            <w:pPr>
              <w:spacing w:after="0" w:line="240" w:lineRule="auto"/>
              <w:jc w:val="right"/>
              <w:rPr>
                <w:rFonts w:ascii="Tahoma" w:eastAsia="Times New Roman" w:hAnsi="Tahoma" w:cs="Tahoma"/>
                <w:sz w:val="20"/>
                <w:szCs w:val="20"/>
                <w:lang w:eastAsia="hr-HR"/>
              </w:rPr>
            </w:pPr>
            <w:r w:rsidRPr="000271A1">
              <w:rPr>
                <w:rFonts w:ascii="Tahoma" w:eastAsia="Times New Roman" w:hAnsi="Tahoma" w:cs="Tahoma"/>
                <w:sz w:val="20"/>
                <w:szCs w:val="20"/>
                <w:lang w:eastAsia="hr-HR"/>
              </w:rPr>
              <w:t> </w:t>
            </w:r>
          </w:p>
        </w:tc>
        <w:tc>
          <w:tcPr>
            <w:tcW w:w="444" w:type="dxa"/>
            <w:gridSpan w:val="2"/>
            <w:tcBorders>
              <w:top w:val="nil"/>
              <w:left w:val="nil"/>
              <w:bottom w:val="single" w:sz="4" w:space="0" w:color="auto"/>
              <w:right w:val="single" w:sz="4" w:space="0" w:color="auto"/>
            </w:tcBorders>
            <w:shd w:val="clear" w:color="000000" w:fill="FF9900"/>
            <w:noWrap/>
            <w:vAlign w:val="center"/>
            <w:hideMark/>
          </w:tcPr>
          <w:p w14:paraId="6EE199FD" w14:textId="77777777" w:rsidR="000271A1" w:rsidRPr="000271A1" w:rsidRDefault="000271A1" w:rsidP="000271A1">
            <w:pPr>
              <w:spacing w:after="0" w:line="240" w:lineRule="auto"/>
              <w:jc w:val="right"/>
              <w:rPr>
                <w:rFonts w:ascii="Tahoma" w:eastAsia="Times New Roman" w:hAnsi="Tahoma" w:cs="Tahoma"/>
                <w:sz w:val="20"/>
                <w:szCs w:val="20"/>
                <w:lang w:eastAsia="hr-HR"/>
              </w:rPr>
            </w:pPr>
            <w:r w:rsidRPr="000271A1">
              <w:rPr>
                <w:rFonts w:ascii="Tahoma" w:eastAsia="Times New Roman" w:hAnsi="Tahoma" w:cs="Tahoma"/>
                <w:sz w:val="20"/>
                <w:szCs w:val="20"/>
                <w:lang w:eastAsia="hr-HR"/>
              </w:rPr>
              <w:t> </w:t>
            </w:r>
          </w:p>
        </w:tc>
        <w:tc>
          <w:tcPr>
            <w:tcW w:w="521" w:type="dxa"/>
            <w:tcBorders>
              <w:top w:val="nil"/>
              <w:left w:val="nil"/>
              <w:bottom w:val="single" w:sz="4" w:space="0" w:color="auto"/>
              <w:right w:val="single" w:sz="4" w:space="0" w:color="auto"/>
            </w:tcBorders>
            <w:shd w:val="clear" w:color="000000" w:fill="FF9900"/>
            <w:noWrap/>
            <w:vAlign w:val="center"/>
            <w:hideMark/>
          </w:tcPr>
          <w:p w14:paraId="5FDD754C" w14:textId="77777777" w:rsidR="000271A1" w:rsidRPr="000271A1" w:rsidRDefault="000271A1" w:rsidP="000271A1">
            <w:pPr>
              <w:spacing w:after="0" w:line="240" w:lineRule="auto"/>
              <w:jc w:val="right"/>
              <w:rPr>
                <w:rFonts w:ascii="Tahoma" w:eastAsia="Times New Roman" w:hAnsi="Tahoma" w:cs="Tahoma"/>
                <w:sz w:val="20"/>
                <w:szCs w:val="20"/>
                <w:lang w:eastAsia="hr-HR"/>
              </w:rPr>
            </w:pPr>
            <w:r w:rsidRPr="000271A1">
              <w:rPr>
                <w:rFonts w:ascii="Tahoma" w:eastAsia="Times New Roman" w:hAnsi="Tahoma" w:cs="Tahoma"/>
                <w:sz w:val="20"/>
                <w:szCs w:val="20"/>
                <w:lang w:eastAsia="hr-HR"/>
              </w:rPr>
              <w:t> </w:t>
            </w:r>
          </w:p>
        </w:tc>
        <w:tc>
          <w:tcPr>
            <w:tcW w:w="521" w:type="dxa"/>
            <w:tcBorders>
              <w:top w:val="nil"/>
              <w:left w:val="nil"/>
              <w:bottom w:val="single" w:sz="4" w:space="0" w:color="auto"/>
              <w:right w:val="single" w:sz="4" w:space="0" w:color="auto"/>
            </w:tcBorders>
            <w:shd w:val="clear" w:color="000000" w:fill="FF9900"/>
            <w:noWrap/>
            <w:vAlign w:val="center"/>
            <w:hideMark/>
          </w:tcPr>
          <w:p w14:paraId="4DE9BE26" w14:textId="77777777" w:rsidR="000271A1" w:rsidRPr="000271A1" w:rsidRDefault="000271A1" w:rsidP="000271A1">
            <w:pPr>
              <w:spacing w:after="0" w:line="240" w:lineRule="auto"/>
              <w:jc w:val="right"/>
              <w:rPr>
                <w:rFonts w:ascii="Tahoma" w:eastAsia="Times New Roman" w:hAnsi="Tahoma" w:cs="Tahoma"/>
                <w:sz w:val="20"/>
                <w:szCs w:val="20"/>
                <w:lang w:eastAsia="hr-HR"/>
              </w:rPr>
            </w:pPr>
            <w:r w:rsidRPr="000271A1">
              <w:rPr>
                <w:rFonts w:ascii="Tahoma" w:eastAsia="Times New Roman" w:hAnsi="Tahoma" w:cs="Tahoma"/>
                <w:sz w:val="20"/>
                <w:szCs w:val="20"/>
                <w:lang w:eastAsia="hr-HR"/>
              </w:rPr>
              <w:t>1</w:t>
            </w:r>
          </w:p>
        </w:tc>
        <w:tc>
          <w:tcPr>
            <w:tcW w:w="521" w:type="dxa"/>
            <w:gridSpan w:val="2"/>
            <w:tcBorders>
              <w:top w:val="nil"/>
              <w:left w:val="nil"/>
              <w:bottom w:val="single" w:sz="4" w:space="0" w:color="auto"/>
              <w:right w:val="single" w:sz="4" w:space="0" w:color="auto"/>
            </w:tcBorders>
            <w:shd w:val="clear" w:color="000000" w:fill="FFFF00"/>
            <w:vAlign w:val="center"/>
            <w:hideMark/>
          </w:tcPr>
          <w:p w14:paraId="1B3093F8" w14:textId="77777777" w:rsidR="000271A1" w:rsidRPr="000271A1" w:rsidRDefault="000271A1" w:rsidP="000271A1">
            <w:pPr>
              <w:spacing w:after="0" w:line="240" w:lineRule="auto"/>
              <w:jc w:val="right"/>
              <w:rPr>
                <w:rFonts w:ascii="Tahoma" w:eastAsia="Times New Roman" w:hAnsi="Tahoma" w:cs="Tahoma"/>
                <w:sz w:val="20"/>
                <w:szCs w:val="20"/>
                <w:lang w:eastAsia="hr-HR"/>
              </w:rPr>
            </w:pPr>
            <w:r w:rsidRPr="000271A1">
              <w:rPr>
                <w:rFonts w:ascii="Tahoma" w:eastAsia="Times New Roman" w:hAnsi="Tahoma" w:cs="Tahoma"/>
                <w:sz w:val="20"/>
                <w:szCs w:val="20"/>
                <w:lang w:eastAsia="hr-HR"/>
              </w:rPr>
              <w:t>1</w:t>
            </w:r>
          </w:p>
        </w:tc>
        <w:tc>
          <w:tcPr>
            <w:tcW w:w="702" w:type="dxa"/>
            <w:tcBorders>
              <w:top w:val="nil"/>
              <w:left w:val="nil"/>
              <w:bottom w:val="single" w:sz="4" w:space="0" w:color="auto"/>
              <w:right w:val="single" w:sz="4" w:space="0" w:color="auto"/>
            </w:tcBorders>
            <w:shd w:val="clear" w:color="000000" w:fill="FF9900"/>
            <w:vAlign w:val="center"/>
            <w:hideMark/>
          </w:tcPr>
          <w:p w14:paraId="31A9549B" w14:textId="77777777" w:rsidR="000271A1" w:rsidRPr="000271A1" w:rsidRDefault="000271A1" w:rsidP="000271A1">
            <w:pPr>
              <w:spacing w:after="0" w:line="240" w:lineRule="auto"/>
              <w:jc w:val="right"/>
              <w:rPr>
                <w:rFonts w:ascii="Tahoma" w:eastAsia="Times New Roman" w:hAnsi="Tahoma" w:cs="Tahoma"/>
                <w:sz w:val="20"/>
                <w:szCs w:val="20"/>
                <w:lang w:eastAsia="hr-HR"/>
              </w:rPr>
            </w:pPr>
            <w:r w:rsidRPr="000271A1">
              <w:rPr>
                <w:rFonts w:ascii="Tahoma" w:eastAsia="Times New Roman" w:hAnsi="Tahoma" w:cs="Tahoma"/>
                <w:sz w:val="20"/>
                <w:szCs w:val="20"/>
                <w:lang w:eastAsia="hr-HR"/>
              </w:rPr>
              <w:t>2</w:t>
            </w:r>
          </w:p>
        </w:tc>
        <w:tc>
          <w:tcPr>
            <w:tcW w:w="907" w:type="dxa"/>
            <w:tcBorders>
              <w:top w:val="nil"/>
              <w:left w:val="nil"/>
              <w:bottom w:val="single" w:sz="4" w:space="0" w:color="auto"/>
              <w:right w:val="single" w:sz="4" w:space="0" w:color="auto"/>
            </w:tcBorders>
            <w:shd w:val="clear" w:color="000000" w:fill="FF9900"/>
            <w:noWrap/>
            <w:vAlign w:val="center"/>
            <w:hideMark/>
          </w:tcPr>
          <w:p w14:paraId="481F8B09" w14:textId="77777777" w:rsidR="000271A1" w:rsidRPr="000271A1" w:rsidRDefault="000271A1" w:rsidP="000271A1">
            <w:pPr>
              <w:spacing w:after="0" w:line="240" w:lineRule="auto"/>
              <w:jc w:val="right"/>
              <w:rPr>
                <w:rFonts w:ascii="Tahoma" w:eastAsia="Times New Roman" w:hAnsi="Tahoma" w:cs="Tahoma"/>
                <w:sz w:val="20"/>
                <w:szCs w:val="20"/>
                <w:lang w:eastAsia="hr-HR"/>
              </w:rPr>
            </w:pPr>
            <w:r w:rsidRPr="000271A1">
              <w:rPr>
                <w:rFonts w:ascii="Tahoma" w:eastAsia="Times New Roman" w:hAnsi="Tahoma" w:cs="Tahoma"/>
                <w:sz w:val="20"/>
                <w:szCs w:val="20"/>
                <w:lang w:eastAsia="hr-HR"/>
              </w:rPr>
              <w:t> </w:t>
            </w:r>
          </w:p>
        </w:tc>
        <w:tc>
          <w:tcPr>
            <w:tcW w:w="553" w:type="dxa"/>
            <w:tcBorders>
              <w:top w:val="nil"/>
              <w:left w:val="nil"/>
              <w:bottom w:val="single" w:sz="4" w:space="0" w:color="auto"/>
              <w:right w:val="single" w:sz="4" w:space="0" w:color="auto"/>
            </w:tcBorders>
            <w:shd w:val="clear" w:color="000000" w:fill="FF9900"/>
            <w:noWrap/>
            <w:vAlign w:val="center"/>
            <w:hideMark/>
          </w:tcPr>
          <w:p w14:paraId="7D25B21B" w14:textId="77777777" w:rsidR="000271A1" w:rsidRPr="000271A1" w:rsidRDefault="000271A1" w:rsidP="000271A1">
            <w:pPr>
              <w:spacing w:after="0" w:line="240" w:lineRule="auto"/>
              <w:jc w:val="right"/>
              <w:rPr>
                <w:rFonts w:ascii="Tahoma" w:eastAsia="Times New Roman" w:hAnsi="Tahoma" w:cs="Tahoma"/>
                <w:sz w:val="20"/>
                <w:szCs w:val="20"/>
                <w:lang w:eastAsia="hr-HR"/>
              </w:rPr>
            </w:pPr>
            <w:r w:rsidRPr="000271A1">
              <w:rPr>
                <w:rFonts w:ascii="Tahoma" w:eastAsia="Times New Roman" w:hAnsi="Tahoma" w:cs="Tahoma"/>
                <w:sz w:val="20"/>
                <w:szCs w:val="20"/>
                <w:lang w:eastAsia="hr-HR"/>
              </w:rPr>
              <w:t>1</w:t>
            </w:r>
          </w:p>
        </w:tc>
        <w:tc>
          <w:tcPr>
            <w:tcW w:w="918" w:type="dxa"/>
            <w:tcBorders>
              <w:top w:val="nil"/>
              <w:left w:val="nil"/>
              <w:bottom w:val="single" w:sz="4" w:space="0" w:color="auto"/>
              <w:right w:val="single" w:sz="4" w:space="0" w:color="auto"/>
            </w:tcBorders>
            <w:shd w:val="clear" w:color="000000" w:fill="FF9900"/>
            <w:noWrap/>
            <w:vAlign w:val="center"/>
            <w:hideMark/>
          </w:tcPr>
          <w:p w14:paraId="2A2EADD8" w14:textId="77777777" w:rsidR="000271A1" w:rsidRPr="000271A1" w:rsidRDefault="000271A1" w:rsidP="000271A1">
            <w:pPr>
              <w:spacing w:after="0" w:line="240" w:lineRule="auto"/>
              <w:jc w:val="right"/>
              <w:rPr>
                <w:rFonts w:ascii="Tahoma" w:eastAsia="Times New Roman" w:hAnsi="Tahoma" w:cs="Tahoma"/>
                <w:sz w:val="20"/>
                <w:szCs w:val="20"/>
                <w:lang w:eastAsia="hr-HR"/>
              </w:rPr>
            </w:pPr>
            <w:r w:rsidRPr="000271A1">
              <w:rPr>
                <w:rFonts w:ascii="Tahoma" w:eastAsia="Times New Roman" w:hAnsi="Tahoma" w:cs="Tahoma"/>
                <w:sz w:val="20"/>
                <w:szCs w:val="20"/>
                <w:lang w:eastAsia="hr-HR"/>
              </w:rPr>
              <w:t>1</w:t>
            </w:r>
          </w:p>
        </w:tc>
        <w:tc>
          <w:tcPr>
            <w:tcW w:w="428" w:type="dxa"/>
            <w:tcBorders>
              <w:top w:val="nil"/>
              <w:left w:val="nil"/>
              <w:bottom w:val="single" w:sz="4" w:space="0" w:color="auto"/>
              <w:right w:val="single" w:sz="4" w:space="0" w:color="auto"/>
            </w:tcBorders>
            <w:shd w:val="clear" w:color="000000" w:fill="CCFFFF"/>
            <w:noWrap/>
            <w:vAlign w:val="center"/>
            <w:hideMark/>
          </w:tcPr>
          <w:p w14:paraId="5BD01102" w14:textId="77777777" w:rsidR="000271A1" w:rsidRPr="000271A1" w:rsidRDefault="000271A1" w:rsidP="000271A1">
            <w:pPr>
              <w:spacing w:after="0" w:line="240" w:lineRule="auto"/>
              <w:jc w:val="right"/>
              <w:rPr>
                <w:rFonts w:ascii="Tahoma" w:eastAsia="Times New Roman" w:hAnsi="Tahoma" w:cs="Tahoma"/>
                <w:sz w:val="20"/>
                <w:szCs w:val="20"/>
                <w:lang w:eastAsia="hr-HR"/>
              </w:rPr>
            </w:pPr>
            <w:r w:rsidRPr="000271A1">
              <w:rPr>
                <w:rFonts w:ascii="Tahoma" w:eastAsia="Times New Roman" w:hAnsi="Tahoma" w:cs="Tahoma"/>
                <w:sz w:val="20"/>
                <w:szCs w:val="20"/>
                <w:lang w:eastAsia="hr-HR"/>
              </w:rPr>
              <w:t> </w:t>
            </w:r>
          </w:p>
        </w:tc>
        <w:tc>
          <w:tcPr>
            <w:tcW w:w="428" w:type="dxa"/>
            <w:tcBorders>
              <w:top w:val="nil"/>
              <w:left w:val="nil"/>
              <w:bottom w:val="single" w:sz="4" w:space="0" w:color="auto"/>
              <w:right w:val="single" w:sz="4" w:space="0" w:color="auto"/>
            </w:tcBorders>
            <w:shd w:val="clear" w:color="000000" w:fill="CCFFFF"/>
            <w:noWrap/>
            <w:vAlign w:val="center"/>
            <w:hideMark/>
          </w:tcPr>
          <w:p w14:paraId="582955E3" w14:textId="77777777" w:rsidR="000271A1" w:rsidRPr="000271A1" w:rsidRDefault="000271A1" w:rsidP="000271A1">
            <w:pPr>
              <w:spacing w:after="0" w:line="240" w:lineRule="auto"/>
              <w:jc w:val="right"/>
              <w:rPr>
                <w:rFonts w:ascii="Tahoma" w:eastAsia="Times New Roman" w:hAnsi="Tahoma" w:cs="Tahoma"/>
                <w:sz w:val="20"/>
                <w:szCs w:val="20"/>
                <w:lang w:eastAsia="hr-HR"/>
              </w:rPr>
            </w:pPr>
            <w:r w:rsidRPr="000271A1">
              <w:rPr>
                <w:rFonts w:ascii="Tahoma" w:eastAsia="Times New Roman" w:hAnsi="Tahoma" w:cs="Tahoma"/>
                <w:sz w:val="20"/>
                <w:szCs w:val="20"/>
                <w:lang w:eastAsia="hr-HR"/>
              </w:rPr>
              <w:t> </w:t>
            </w:r>
          </w:p>
        </w:tc>
        <w:tc>
          <w:tcPr>
            <w:tcW w:w="425" w:type="dxa"/>
            <w:tcBorders>
              <w:top w:val="nil"/>
              <w:left w:val="nil"/>
              <w:bottom w:val="single" w:sz="4" w:space="0" w:color="auto"/>
              <w:right w:val="single" w:sz="4" w:space="0" w:color="auto"/>
            </w:tcBorders>
            <w:shd w:val="clear" w:color="000000" w:fill="CCFFFF"/>
            <w:noWrap/>
            <w:vAlign w:val="center"/>
            <w:hideMark/>
          </w:tcPr>
          <w:p w14:paraId="44D0CF57" w14:textId="77777777" w:rsidR="000271A1" w:rsidRPr="000271A1" w:rsidRDefault="000271A1" w:rsidP="000271A1">
            <w:pPr>
              <w:spacing w:after="0" w:line="240" w:lineRule="auto"/>
              <w:jc w:val="right"/>
              <w:rPr>
                <w:rFonts w:ascii="Tahoma" w:eastAsia="Times New Roman" w:hAnsi="Tahoma" w:cs="Tahoma"/>
                <w:sz w:val="20"/>
                <w:szCs w:val="20"/>
                <w:lang w:eastAsia="hr-HR"/>
              </w:rPr>
            </w:pPr>
            <w:r w:rsidRPr="000271A1">
              <w:rPr>
                <w:rFonts w:ascii="Tahoma" w:eastAsia="Times New Roman" w:hAnsi="Tahoma" w:cs="Tahoma"/>
                <w:sz w:val="20"/>
                <w:szCs w:val="20"/>
                <w:lang w:eastAsia="hr-HR"/>
              </w:rPr>
              <w:t> </w:t>
            </w:r>
          </w:p>
        </w:tc>
        <w:tc>
          <w:tcPr>
            <w:tcW w:w="425" w:type="dxa"/>
            <w:tcBorders>
              <w:top w:val="nil"/>
              <w:left w:val="nil"/>
              <w:bottom w:val="single" w:sz="4" w:space="0" w:color="auto"/>
              <w:right w:val="nil"/>
            </w:tcBorders>
            <w:shd w:val="clear" w:color="000000" w:fill="33CCCC"/>
            <w:noWrap/>
            <w:vAlign w:val="center"/>
            <w:hideMark/>
          </w:tcPr>
          <w:p w14:paraId="19AF0956" w14:textId="77777777" w:rsidR="000271A1" w:rsidRPr="000271A1" w:rsidRDefault="000271A1" w:rsidP="000271A1">
            <w:pPr>
              <w:spacing w:after="0" w:line="240" w:lineRule="auto"/>
              <w:jc w:val="right"/>
              <w:rPr>
                <w:rFonts w:ascii="Tahoma" w:eastAsia="Times New Roman" w:hAnsi="Tahoma" w:cs="Tahoma"/>
                <w:sz w:val="20"/>
                <w:szCs w:val="20"/>
                <w:lang w:eastAsia="hr-HR"/>
              </w:rPr>
            </w:pPr>
            <w:r w:rsidRPr="000271A1">
              <w:rPr>
                <w:rFonts w:ascii="Tahoma" w:eastAsia="Times New Roman" w:hAnsi="Tahoma" w:cs="Tahoma"/>
                <w:sz w:val="20"/>
                <w:szCs w:val="20"/>
                <w:lang w:eastAsia="hr-HR"/>
              </w:rPr>
              <w:t> </w:t>
            </w:r>
          </w:p>
        </w:tc>
        <w:tc>
          <w:tcPr>
            <w:tcW w:w="440" w:type="dxa"/>
            <w:gridSpan w:val="2"/>
            <w:tcBorders>
              <w:top w:val="nil"/>
              <w:left w:val="single" w:sz="4" w:space="0" w:color="auto"/>
              <w:bottom w:val="single" w:sz="4" w:space="0" w:color="auto"/>
              <w:right w:val="single" w:sz="8" w:space="0" w:color="auto"/>
            </w:tcBorders>
            <w:shd w:val="clear" w:color="000000" w:fill="33CCCC"/>
            <w:noWrap/>
            <w:vAlign w:val="center"/>
            <w:hideMark/>
          </w:tcPr>
          <w:p w14:paraId="6B05DBB7" w14:textId="77777777" w:rsidR="000271A1" w:rsidRPr="000271A1" w:rsidRDefault="000271A1" w:rsidP="000271A1">
            <w:pPr>
              <w:spacing w:after="0" w:line="240" w:lineRule="auto"/>
              <w:jc w:val="right"/>
              <w:rPr>
                <w:rFonts w:ascii="Tahoma" w:eastAsia="Times New Roman" w:hAnsi="Tahoma" w:cs="Tahoma"/>
                <w:sz w:val="20"/>
                <w:szCs w:val="20"/>
                <w:lang w:eastAsia="hr-HR"/>
              </w:rPr>
            </w:pPr>
            <w:r w:rsidRPr="000271A1">
              <w:rPr>
                <w:rFonts w:ascii="Tahoma" w:eastAsia="Times New Roman" w:hAnsi="Tahoma" w:cs="Tahoma"/>
                <w:sz w:val="20"/>
                <w:szCs w:val="20"/>
                <w:lang w:eastAsia="hr-HR"/>
              </w:rPr>
              <w:t>1</w:t>
            </w:r>
          </w:p>
        </w:tc>
        <w:tc>
          <w:tcPr>
            <w:tcW w:w="236" w:type="dxa"/>
            <w:vAlign w:val="center"/>
            <w:hideMark/>
          </w:tcPr>
          <w:p w14:paraId="5ACAF384" w14:textId="77777777" w:rsidR="000271A1" w:rsidRPr="000271A1" w:rsidRDefault="000271A1" w:rsidP="000271A1">
            <w:pPr>
              <w:spacing w:after="0" w:line="240" w:lineRule="auto"/>
              <w:rPr>
                <w:rFonts w:ascii="Times New Roman" w:eastAsia="Times New Roman" w:hAnsi="Times New Roman" w:cs="Times New Roman"/>
                <w:sz w:val="20"/>
                <w:szCs w:val="20"/>
                <w:lang w:eastAsia="hr-HR"/>
              </w:rPr>
            </w:pPr>
          </w:p>
        </w:tc>
      </w:tr>
      <w:tr w:rsidR="000271A1" w:rsidRPr="000271A1" w14:paraId="54C5B6F8" w14:textId="77777777" w:rsidTr="000271A1">
        <w:trPr>
          <w:gridAfter w:val="1"/>
          <w:wAfter w:w="26" w:type="dxa"/>
          <w:trHeight w:val="300"/>
        </w:trPr>
        <w:tc>
          <w:tcPr>
            <w:tcW w:w="1119" w:type="dxa"/>
            <w:tcBorders>
              <w:top w:val="single" w:sz="4" w:space="0" w:color="auto"/>
              <w:left w:val="single" w:sz="8" w:space="0" w:color="auto"/>
              <w:bottom w:val="single" w:sz="4" w:space="0" w:color="auto"/>
              <w:right w:val="single" w:sz="4" w:space="0" w:color="auto"/>
            </w:tcBorders>
            <w:shd w:val="clear" w:color="000000" w:fill="CCFFCC"/>
            <w:vAlign w:val="center"/>
            <w:hideMark/>
          </w:tcPr>
          <w:p w14:paraId="39A005F0" w14:textId="77777777" w:rsidR="000271A1" w:rsidRPr="000271A1" w:rsidRDefault="000271A1" w:rsidP="000271A1">
            <w:pPr>
              <w:spacing w:after="0" w:line="240" w:lineRule="auto"/>
              <w:rPr>
                <w:rFonts w:ascii="Tahoma" w:eastAsia="Times New Roman" w:hAnsi="Tahoma" w:cs="Tahoma"/>
                <w:sz w:val="20"/>
                <w:szCs w:val="20"/>
                <w:lang w:eastAsia="hr-HR"/>
              </w:rPr>
            </w:pPr>
            <w:r w:rsidRPr="000271A1">
              <w:rPr>
                <w:rFonts w:ascii="Tahoma" w:eastAsia="Times New Roman" w:hAnsi="Tahoma" w:cs="Tahoma"/>
                <w:sz w:val="20"/>
                <w:szCs w:val="20"/>
                <w:lang w:eastAsia="hr-HR"/>
              </w:rPr>
              <w:t>Članstvo u sindikatu</w:t>
            </w:r>
          </w:p>
        </w:tc>
        <w:tc>
          <w:tcPr>
            <w:tcW w:w="671" w:type="dxa"/>
            <w:tcBorders>
              <w:top w:val="nil"/>
              <w:left w:val="nil"/>
              <w:bottom w:val="single" w:sz="4" w:space="0" w:color="auto"/>
              <w:right w:val="single" w:sz="4" w:space="0" w:color="auto"/>
            </w:tcBorders>
            <w:shd w:val="clear" w:color="000000" w:fill="FFCC99"/>
            <w:noWrap/>
            <w:vAlign w:val="center"/>
            <w:hideMark/>
          </w:tcPr>
          <w:p w14:paraId="4B108BB3" w14:textId="77777777" w:rsidR="000271A1" w:rsidRPr="000271A1" w:rsidRDefault="000271A1" w:rsidP="000271A1">
            <w:pPr>
              <w:spacing w:after="0" w:line="240" w:lineRule="auto"/>
              <w:jc w:val="right"/>
              <w:rPr>
                <w:rFonts w:ascii="Tahoma" w:eastAsia="Times New Roman" w:hAnsi="Tahoma" w:cs="Tahoma"/>
                <w:sz w:val="20"/>
                <w:szCs w:val="20"/>
                <w:lang w:eastAsia="hr-HR"/>
              </w:rPr>
            </w:pPr>
            <w:r w:rsidRPr="000271A1">
              <w:rPr>
                <w:rFonts w:ascii="Tahoma" w:eastAsia="Times New Roman" w:hAnsi="Tahoma" w:cs="Tahoma"/>
                <w:sz w:val="20"/>
                <w:szCs w:val="20"/>
                <w:lang w:eastAsia="hr-HR"/>
              </w:rPr>
              <w:t>20</w:t>
            </w:r>
          </w:p>
        </w:tc>
        <w:tc>
          <w:tcPr>
            <w:tcW w:w="519" w:type="dxa"/>
            <w:tcBorders>
              <w:top w:val="nil"/>
              <w:left w:val="nil"/>
              <w:bottom w:val="single" w:sz="4" w:space="0" w:color="auto"/>
              <w:right w:val="single" w:sz="4" w:space="0" w:color="auto"/>
            </w:tcBorders>
            <w:shd w:val="clear" w:color="000000" w:fill="FFFF00"/>
            <w:noWrap/>
            <w:vAlign w:val="center"/>
            <w:hideMark/>
          </w:tcPr>
          <w:p w14:paraId="54CC1EC1" w14:textId="77777777" w:rsidR="000271A1" w:rsidRPr="000271A1" w:rsidRDefault="000271A1" w:rsidP="000271A1">
            <w:pPr>
              <w:spacing w:after="0" w:line="240" w:lineRule="auto"/>
              <w:jc w:val="right"/>
              <w:rPr>
                <w:rFonts w:ascii="Tahoma" w:eastAsia="Times New Roman" w:hAnsi="Tahoma" w:cs="Tahoma"/>
                <w:sz w:val="20"/>
                <w:szCs w:val="20"/>
                <w:lang w:eastAsia="hr-HR"/>
              </w:rPr>
            </w:pPr>
            <w:r w:rsidRPr="000271A1">
              <w:rPr>
                <w:rFonts w:ascii="Tahoma" w:eastAsia="Times New Roman" w:hAnsi="Tahoma" w:cs="Tahoma"/>
                <w:sz w:val="20"/>
                <w:szCs w:val="20"/>
                <w:lang w:eastAsia="hr-HR"/>
              </w:rPr>
              <w:t>3</w:t>
            </w:r>
          </w:p>
        </w:tc>
        <w:tc>
          <w:tcPr>
            <w:tcW w:w="365" w:type="dxa"/>
            <w:tcBorders>
              <w:top w:val="nil"/>
              <w:left w:val="nil"/>
              <w:bottom w:val="single" w:sz="4" w:space="0" w:color="auto"/>
              <w:right w:val="single" w:sz="4" w:space="0" w:color="auto"/>
            </w:tcBorders>
            <w:shd w:val="clear" w:color="000000" w:fill="CCFFFF"/>
            <w:noWrap/>
            <w:vAlign w:val="center"/>
            <w:hideMark/>
          </w:tcPr>
          <w:p w14:paraId="35C4ABF4" w14:textId="77777777" w:rsidR="000271A1" w:rsidRPr="000271A1" w:rsidRDefault="000271A1" w:rsidP="000271A1">
            <w:pPr>
              <w:spacing w:after="0" w:line="240" w:lineRule="auto"/>
              <w:jc w:val="right"/>
              <w:rPr>
                <w:rFonts w:ascii="Tahoma" w:eastAsia="Times New Roman" w:hAnsi="Tahoma" w:cs="Tahoma"/>
                <w:sz w:val="20"/>
                <w:szCs w:val="20"/>
                <w:lang w:eastAsia="hr-HR"/>
              </w:rPr>
            </w:pPr>
            <w:r w:rsidRPr="000271A1">
              <w:rPr>
                <w:rFonts w:ascii="Tahoma" w:eastAsia="Times New Roman" w:hAnsi="Tahoma" w:cs="Tahoma"/>
                <w:sz w:val="20"/>
                <w:szCs w:val="20"/>
                <w:lang w:eastAsia="hr-HR"/>
              </w:rPr>
              <w:t> </w:t>
            </w:r>
          </w:p>
        </w:tc>
        <w:tc>
          <w:tcPr>
            <w:tcW w:w="379" w:type="dxa"/>
            <w:tcBorders>
              <w:top w:val="nil"/>
              <w:left w:val="nil"/>
              <w:bottom w:val="single" w:sz="4" w:space="0" w:color="auto"/>
              <w:right w:val="single" w:sz="4" w:space="0" w:color="auto"/>
            </w:tcBorders>
            <w:shd w:val="clear" w:color="000000" w:fill="CCFFFF"/>
            <w:noWrap/>
            <w:vAlign w:val="center"/>
            <w:hideMark/>
          </w:tcPr>
          <w:p w14:paraId="55058150" w14:textId="77777777" w:rsidR="000271A1" w:rsidRPr="000271A1" w:rsidRDefault="000271A1" w:rsidP="000271A1">
            <w:pPr>
              <w:spacing w:after="0" w:line="240" w:lineRule="auto"/>
              <w:jc w:val="right"/>
              <w:rPr>
                <w:rFonts w:ascii="Tahoma" w:eastAsia="Times New Roman" w:hAnsi="Tahoma" w:cs="Tahoma"/>
                <w:sz w:val="20"/>
                <w:szCs w:val="20"/>
                <w:lang w:eastAsia="hr-HR"/>
              </w:rPr>
            </w:pPr>
            <w:r w:rsidRPr="000271A1">
              <w:rPr>
                <w:rFonts w:ascii="Tahoma" w:eastAsia="Times New Roman" w:hAnsi="Tahoma" w:cs="Tahoma"/>
                <w:sz w:val="20"/>
                <w:szCs w:val="20"/>
                <w:lang w:eastAsia="hr-HR"/>
              </w:rPr>
              <w:t>3</w:t>
            </w:r>
          </w:p>
        </w:tc>
        <w:tc>
          <w:tcPr>
            <w:tcW w:w="698" w:type="dxa"/>
            <w:tcBorders>
              <w:top w:val="nil"/>
              <w:left w:val="nil"/>
              <w:bottom w:val="single" w:sz="4" w:space="0" w:color="auto"/>
              <w:right w:val="single" w:sz="4" w:space="0" w:color="auto"/>
            </w:tcBorders>
            <w:shd w:val="clear" w:color="000000" w:fill="FFFF99"/>
            <w:noWrap/>
            <w:vAlign w:val="center"/>
            <w:hideMark/>
          </w:tcPr>
          <w:p w14:paraId="4F3EB374" w14:textId="77777777" w:rsidR="000271A1" w:rsidRPr="000271A1" w:rsidRDefault="000271A1" w:rsidP="000271A1">
            <w:pPr>
              <w:spacing w:after="0" w:line="240" w:lineRule="auto"/>
              <w:jc w:val="right"/>
              <w:rPr>
                <w:rFonts w:ascii="Tahoma" w:eastAsia="Times New Roman" w:hAnsi="Tahoma" w:cs="Tahoma"/>
                <w:sz w:val="20"/>
                <w:szCs w:val="20"/>
                <w:lang w:eastAsia="hr-HR"/>
              </w:rPr>
            </w:pPr>
            <w:r w:rsidRPr="000271A1">
              <w:rPr>
                <w:rFonts w:ascii="Tahoma" w:eastAsia="Times New Roman" w:hAnsi="Tahoma" w:cs="Tahoma"/>
                <w:sz w:val="20"/>
                <w:szCs w:val="20"/>
                <w:lang w:eastAsia="hr-HR"/>
              </w:rPr>
              <w:t>3</w:t>
            </w:r>
          </w:p>
        </w:tc>
        <w:tc>
          <w:tcPr>
            <w:tcW w:w="698" w:type="dxa"/>
            <w:tcBorders>
              <w:top w:val="nil"/>
              <w:left w:val="nil"/>
              <w:bottom w:val="single" w:sz="4" w:space="0" w:color="auto"/>
              <w:right w:val="single" w:sz="4" w:space="0" w:color="auto"/>
            </w:tcBorders>
            <w:shd w:val="clear" w:color="000000" w:fill="FFFF99"/>
            <w:noWrap/>
            <w:vAlign w:val="center"/>
            <w:hideMark/>
          </w:tcPr>
          <w:p w14:paraId="3377375E" w14:textId="77777777" w:rsidR="000271A1" w:rsidRPr="000271A1" w:rsidRDefault="000271A1" w:rsidP="000271A1">
            <w:pPr>
              <w:spacing w:after="0" w:line="240" w:lineRule="auto"/>
              <w:jc w:val="right"/>
              <w:rPr>
                <w:rFonts w:ascii="Tahoma" w:eastAsia="Times New Roman" w:hAnsi="Tahoma" w:cs="Tahoma"/>
                <w:sz w:val="20"/>
                <w:szCs w:val="20"/>
                <w:lang w:eastAsia="hr-HR"/>
              </w:rPr>
            </w:pPr>
            <w:r w:rsidRPr="000271A1">
              <w:rPr>
                <w:rFonts w:ascii="Tahoma" w:eastAsia="Times New Roman" w:hAnsi="Tahoma" w:cs="Tahoma"/>
                <w:sz w:val="20"/>
                <w:szCs w:val="20"/>
                <w:lang w:eastAsia="hr-HR"/>
              </w:rPr>
              <w:t>1</w:t>
            </w:r>
          </w:p>
        </w:tc>
        <w:tc>
          <w:tcPr>
            <w:tcW w:w="512" w:type="dxa"/>
            <w:tcBorders>
              <w:top w:val="nil"/>
              <w:left w:val="nil"/>
              <w:bottom w:val="single" w:sz="4" w:space="0" w:color="auto"/>
              <w:right w:val="single" w:sz="4" w:space="0" w:color="auto"/>
            </w:tcBorders>
            <w:shd w:val="clear" w:color="000000" w:fill="FFFF99"/>
            <w:noWrap/>
            <w:vAlign w:val="center"/>
            <w:hideMark/>
          </w:tcPr>
          <w:p w14:paraId="7F93DCE6" w14:textId="77777777" w:rsidR="000271A1" w:rsidRPr="000271A1" w:rsidRDefault="000271A1" w:rsidP="000271A1">
            <w:pPr>
              <w:spacing w:after="0" w:line="240" w:lineRule="auto"/>
              <w:jc w:val="right"/>
              <w:rPr>
                <w:rFonts w:ascii="Tahoma" w:eastAsia="Times New Roman" w:hAnsi="Tahoma" w:cs="Tahoma"/>
                <w:sz w:val="20"/>
                <w:szCs w:val="20"/>
                <w:lang w:eastAsia="hr-HR"/>
              </w:rPr>
            </w:pPr>
            <w:r w:rsidRPr="000271A1">
              <w:rPr>
                <w:rFonts w:ascii="Tahoma" w:eastAsia="Times New Roman" w:hAnsi="Tahoma" w:cs="Tahoma"/>
                <w:sz w:val="20"/>
                <w:szCs w:val="20"/>
                <w:lang w:eastAsia="hr-HR"/>
              </w:rPr>
              <w:t> </w:t>
            </w:r>
          </w:p>
        </w:tc>
        <w:tc>
          <w:tcPr>
            <w:tcW w:w="698" w:type="dxa"/>
            <w:tcBorders>
              <w:top w:val="nil"/>
              <w:left w:val="nil"/>
              <w:bottom w:val="single" w:sz="4" w:space="0" w:color="auto"/>
              <w:right w:val="single" w:sz="4" w:space="0" w:color="auto"/>
            </w:tcBorders>
            <w:shd w:val="clear" w:color="000000" w:fill="FFFF99"/>
            <w:noWrap/>
            <w:vAlign w:val="center"/>
            <w:hideMark/>
          </w:tcPr>
          <w:p w14:paraId="668E55E5" w14:textId="77777777" w:rsidR="000271A1" w:rsidRPr="000271A1" w:rsidRDefault="000271A1" w:rsidP="000271A1">
            <w:pPr>
              <w:spacing w:after="0" w:line="240" w:lineRule="auto"/>
              <w:jc w:val="right"/>
              <w:rPr>
                <w:rFonts w:ascii="Tahoma" w:eastAsia="Times New Roman" w:hAnsi="Tahoma" w:cs="Tahoma"/>
                <w:sz w:val="20"/>
                <w:szCs w:val="20"/>
                <w:lang w:eastAsia="hr-HR"/>
              </w:rPr>
            </w:pPr>
            <w:r w:rsidRPr="000271A1">
              <w:rPr>
                <w:rFonts w:ascii="Tahoma" w:eastAsia="Times New Roman" w:hAnsi="Tahoma" w:cs="Tahoma"/>
                <w:sz w:val="20"/>
                <w:szCs w:val="20"/>
                <w:lang w:eastAsia="hr-HR"/>
              </w:rPr>
              <w:t> </w:t>
            </w:r>
          </w:p>
        </w:tc>
        <w:tc>
          <w:tcPr>
            <w:tcW w:w="444" w:type="dxa"/>
            <w:tcBorders>
              <w:top w:val="nil"/>
              <w:left w:val="nil"/>
              <w:bottom w:val="single" w:sz="4" w:space="0" w:color="auto"/>
              <w:right w:val="single" w:sz="4" w:space="0" w:color="auto"/>
            </w:tcBorders>
            <w:shd w:val="clear" w:color="000000" w:fill="FFFF99"/>
            <w:noWrap/>
            <w:vAlign w:val="center"/>
            <w:hideMark/>
          </w:tcPr>
          <w:p w14:paraId="7D821338" w14:textId="77777777" w:rsidR="000271A1" w:rsidRPr="000271A1" w:rsidRDefault="000271A1" w:rsidP="000271A1">
            <w:pPr>
              <w:spacing w:after="0" w:line="240" w:lineRule="auto"/>
              <w:jc w:val="right"/>
              <w:rPr>
                <w:rFonts w:ascii="Tahoma" w:eastAsia="Times New Roman" w:hAnsi="Tahoma" w:cs="Tahoma"/>
                <w:sz w:val="20"/>
                <w:szCs w:val="20"/>
                <w:lang w:eastAsia="hr-HR"/>
              </w:rPr>
            </w:pPr>
            <w:r w:rsidRPr="000271A1">
              <w:rPr>
                <w:rFonts w:ascii="Tahoma" w:eastAsia="Times New Roman" w:hAnsi="Tahoma" w:cs="Tahoma"/>
                <w:sz w:val="20"/>
                <w:szCs w:val="20"/>
                <w:lang w:eastAsia="hr-HR"/>
              </w:rPr>
              <w:t> </w:t>
            </w:r>
          </w:p>
        </w:tc>
        <w:tc>
          <w:tcPr>
            <w:tcW w:w="698" w:type="dxa"/>
            <w:tcBorders>
              <w:top w:val="nil"/>
              <w:left w:val="nil"/>
              <w:bottom w:val="single" w:sz="4" w:space="0" w:color="auto"/>
              <w:right w:val="single" w:sz="4" w:space="0" w:color="auto"/>
            </w:tcBorders>
            <w:shd w:val="clear" w:color="000000" w:fill="FFFF99"/>
            <w:noWrap/>
            <w:vAlign w:val="center"/>
            <w:hideMark/>
          </w:tcPr>
          <w:p w14:paraId="0228542B" w14:textId="77777777" w:rsidR="000271A1" w:rsidRPr="000271A1" w:rsidRDefault="000271A1" w:rsidP="000271A1">
            <w:pPr>
              <w:spacing w:after="0" w:line="240" w:lineRule="auto"/>
              <w:jc w:val="right"/>
              <w:rPr>
                <w:rFonts w:ascii="Tahoma" w:eastAsia="Times New Roman" w:hAnsi="Tahoma" w:cs="Tahoma"/>
                <w:sz w:val="20"/>
                <w:szCs w:val="20"/>
                <w:lang w:eastAsia="hr-HR"/>
              </w:rPr>
            </w:pPr>
            <w:r w:rsidRPr="000271A1">
              <w:rPr>
                <w:rFonts w:ascii="Tahoma" w:eastAsia="Times New Roman" w:hAnsi="Tahoma" w:cs="Tahoma"/>
                <w:sz w:val="20"/>
                <w:szCs w:val="20"/>
                <w:lang w:eastAsia="hr-HR"/>
              </w:rPr>
              <w:t> </w:t>
            </w:r>
          </w:p>
        </w:tc>
        <w:tc>
          <w:tcPr>
            <w:tcW w:w="444" w:type="dxa"/>
            <w:gridSpan w:val="2"/>
            <w:tcBorders>
              <w:top w:val="nil"/>
              <w:left w:val="nil"/>
              <w:bottom w:val="single" w:sz="4" w:space="0" w:color="auto"/>
              <w:right w:val="single" w:sz="4" w:space="0" w:color="auto"/>
            </w:tcBorders>
            <w:shd w:val="clear" w:color="000000" w:fill="FF9900"/>
            <w:noWrap/>
            <w:vAlign w:val="center"/>
            <w:hideMark/>
          </w:tcPr>
          <w:p w14:paraId="60319CCF" w14:textId="77777777" w:rsidR="000271A1" w:rsidRPr="000271A1" w:rsidRDefault="000271A1" w:rsidP="000271A1">
            <w:pPr>
              <w:spacing w:after="0" w:line="240" w:lineRule="auto"/>
              <w:jc w:val="right"/>
              <w:rPr>
                <w:rFonts w:ascii="Tahoma" w:eastAsia="Times New Roman" w:hAnsi="Tahoma" w:cs="Tahoma"/>
                <w:sz w:val="20"/>
                <w:szCs w:val="20"/>
                <w:lang w:eastAsia="hr-HR"/>
              </w:rPr>
            </w:pPr>
            <w:r w:rsidRPr="000271A1">
              <w:rPr>
                <w:rFonts w:ascii="Tahoma" w:eastAsia="Times New Roman" w:hAnsi="Tahoma" w:cs="Tahoma"/>
                <w:sz w:val="20"/>
                <w:szCs w:val="20"/>
                <w:lang w:eastAsia="hr-HR"/>
              </w:rPr>
              <w:t> </w:t>
            </w:r>
          </w:p>
        </w:tc>
        <w:tc>
          <w:tcPr>
            <w:tcW w:w="521" w:type="dxa"/>
            <w:tcBorders>
              <w:top w:val="nil"/>
              <w:left w:val="nil"/>
              <w:bottom w:val="single" w:sz="4" w:space="0" w:color="auto"/>
              <w:right w:val="single" w:sz="4" w:space="0" w:color="auto"/>
            </w:tcBorders>
            <w:shd w:val="clear" w:color="000000" w:fill="FF9900"/>
            <w:noWrap/>
            <w:vAlign w:val="center"/>
            <w:hideMark/>
          </w:tcPr>
          <w:p w14:paraId="6A598AF7" w14:textId="77777777" w:rsidR="000271A1" w:rsidRPr="000271A1" w:rsidRDefault="000271A1" w:rsidP="000271A1">
            <w:pPr>
              <w:spacing w:after="0" w:line="240" w:lineRule="auto"/>
              <w:jc w:val="right"/>
              <w:rPr>
                <w:rFonts w:ascii="Tahoma" w:eastAsia="Times New Roman" w:hAnsi="Tahoma" w:cs="Tahoma"/>
                <w:sz w:val="20"/>
                <w:szCs w:val="20"/>
                <w:lang w:eastAsia="hr-HR"/>
              </w:rPr>
            </w:pPr>
            <w:r w:rsidRPr="000271A1">
              <w:rPr>
                <w:rFonts w:ascii="Tahoma" w:eastAsia="Times New Roman" w:hAnsi="Tahoma" w:cs="Tahoma"/>
                <w:sz w:val="20"/>
                <w:szCs w:val="20"/>
                <w:lang w:eastAsia="hr-HR"/>
              </w:rPr>
              <w:t>1</w:t>
            </w:r>
          </w:p>
        </w:tc>
        <w:tc>
          <w:tcPr>
            <w:tcW w:w="521" w:type="dxa"/>
            <w:tcBorders>
              <w:top w:val="nil"/>
              <w:left w:val="nil"/>
              <w:bottom w:val="single" w:sz="4" w:space="0" w:color="auto"/>
              <w:right w:val="single" w:sz="4" w:space="0" w:color="auto"/>
            </w:tcBorders>
            <w:shd w:val="clear" w:color="000000" w:fill="FF9900"/>
            <w:noWrap/>
            <w:vAlign w:val="center"/>
            <w:hideMark/>
          </w:tcPr>
          <w:p w14:paraId="08350771" w14:textId="77777777" w:rsidR="000271A1" w:rsidRPr="000271A1" w:rsidRDefault="000271A1" w:rsidP="000271A1">
            <w:pPr>
              <w:spacing w:after="0" w:line="240" w:lineRule="auto"/>
              <w:jc w:val="right"/>
              <w:rPr>
                <w:rFonts w:ascii="Tahoma" w:eastAsia="Times New Roman" w:hAnsi="Tahoma" w:cs="Tahoma"/>
                <w:sz w:val="20"/>
                <w:szCs w:val="20"/>
                <w:lang w:eastAsia="hr-HR"/>
              </w:rPr>
            </w:pPr>
            <w:r w:rsidRPr="000271A1">
              <w:rPr>
                <w:rFonts w:ascii="Tahoma" w:eastAsia="Times New Roman" w:hAnsi="Tahoma" w:cs="Tahoma"/>
                <w:sz w:val="20"/>
                <w:szCs w:val="20"/>
                <w:lang w:eastAsia="hr-HR"/>
              </w:rPr>
              <w:t>4</w:t>
            </w:r>
          </w:p>
        </w:tc>
        <w:tc>
          <w:tcPr>
            <w:tcW w:w="521" w:type="dxa"/>
            <w:gridSpan w:val="2"/>
            <w:tcBorders>
              <w:top w:val="nil"/>
              <w:left w:val="nil"/>
              <w:bottom w:val="single" w:sz="4" w:space="0" w:color="auto"/>
              <w:right w:val="single" w:sz="4" w:space="0" w:color="auto"/>
            </w:tcBorders>
            <w:shd w:val="clear" w:color="000000" w:fill="FFFF00"/>
            <w:vAlign w:val="center"/>
            <w:hideMark/>
          </w:tcPr>
          <w:p w14:paraId="756B2821" w14:textId="77777777" w:rsidR="000271A1" w:rsidRPr="000271A1" w:rsidRDefault="000271A1" w:rsidP="000271A1">
            <w:pPr>
              <w:spacing w:after="0" w:line="240" w:lineRule="auto"/>
              <w:jc w:val="right"/>
              <w:rPr>
                <w:rFonts w:ascii="Tahoma" w:eastAsia="Times New Roman" w:hAnsi="Tahoma" w:cs="Tahoma"/>
                <w:sz w:val="20"/>
                <w:szCs w:val="20"/>
                <w:lang w:eastAsia="hr-HR"/>
              </w:rPr>
            </w:pPr>
            <w:r w:rsidRPr="000271A1">
              <w:rPr>
                <w:rFonts w:ascii="Tahoma" w:eastAsia="Times New Roman" w:hAnsi="Tahoma" w:cs="Tahoma"/>
                <w:sz w:val="20"/>
                <w:szCs w:val="20"/>
                <w:lang w:eastAsia="hr-HR"/>
              </w:rPr>
              <w:t>5</w:t>
            </w:r>
          </w:p>
        </w:tc>
        <w:tc>
          <w:tcPr>
            <w:tcW w:w="702" w:type="dxa"/>
            <w:tcBorders>
              <w:top w:val="nil"/>
              <w:left w:val="nil"/>
              <w:bottom w:val="single" w:sz="4" w:space="0" w:color="auto"/>
              <w:right w:val="single" w:sz="4" w:space="0" w:color="auto"/>
            </w:tcBorders>
            <w:shd w:val="clear" w:color="000000" w:fill="FF9900"/>
            <w:vAlign w:val="center"/>
            <w:hideMark/>
          </w:tcPr>
          <w:p w14:paraId="2AEF6F07" w14:textId="77777777" w:rsidR="000271A1" w:rsidRPr="000271A1" w:rsidRDefault="000271A1" w:rsidP="000271A1">
            <w:pPr>
              <w:spacing w:after="0" w:line="240" w:lineRule="auto"/>
              <w:jc w:val="right"/>
              <w:rPr>
                <w:rFonts w:ascii="Tahoma" w:eastAsia="Times New Roman" w:hAnsi="Tahoma" w:cs="Tahoma"/>
                <w:sz w:val="20"/>
                <w:szCs w:val="20"/>
                <w:lang w:eastAsia="hr-HR"/>
              </w:rPr>
            </w:pPr>
            <w:r w:rsidRPr="000271A1">
              <w:rPr>
                <w:rFonts w:ascii="Tahoma" w:eastAsia="Times New Roman" w:hAnsi="Tahoma" w:cs="Tahoma"/>
                <w:sz w:val="20"/>
                <w:szCs w:val="20"/>
                <w:lang w:eastAsia="hr-HR"/>
              </w:rPr>
              <w:t>18</w:t>
            </w:r>
          </w:p>
        </w:tc>
        <w:tc>
          <w:tcPr>
            <w:tcW w:w="907" w:type="dxa"/>
            <w:tcBorders>
              <w:top w:val="nil"/>
              <w:left w:val="nil"/>
              <w:bottom w:val="single" w:sz="4" w:space="0" w:color="auto"/>
              <w:right w:val="single" w:sz="4" w:space="0" w:color="auto"/>
            </w:tcBorders>
            <w:shd w:val="clear" w:color="000000" w:fill="FF9900"/>
            <w:noWrap/>
            <w:vAlign w:val="center"/>
            <w:hideMark/>
          </w:tcPr>
          <w:p w14:paraId="3E832EE4" w14:textId="77777777" w:rsidR="000271A1" w:rsidRPr="000271A1" w:rsidRDefault="000271A1" w:rsidP="000271A1">
            <w:pPr>
              <w:spacing w:after="0" w:line="240" w:lineRule="auto"/>
              <w:jc w:val="right"/>
              <w:rPr>
                <w:rFonts w:ascii="Tahoma" w:eastAsia="Times New Roman" w:hAnsi="Tahoma" w:cs="Tahoma"/>
                <w:sz w:val="20"/>
                <w:szCs w:val="20"/>
                <w:lang w:eastAsia="hr-HR"/>
              </w:rPr>
            </w:pPr>
            <w:r w:rsidRPr="000271A1">
              <w:rPr>
                <w:rFonts w:ascii="Tahoma" w:eastAsia="Times New Roman" w:hAnsi="Tahoma" w:cs="Tahoma"/>
                <w:sz w:val="20"/>
                <w:szCs w:val="20"/>
                <w:lang w:eastAsia="hr-HR"/>
              </w:rPr>
              <w:t>2</w:t>
            </w:r>
          </w:p>
        </w:tc>
        <w:tc>
          <w:tcPr>
            <w:tcW w:w="553" w:type="dxa"/>
            <w:tcBorders>
              <w:top w:val="nil"/>
              <w:left w:val="nil"/>
              <w:bottom w:val="single" w:sz="4" w:space="0" w:color="auto"/>
              <w:right w:val="single" w:sz="4" w:space="0" w:color="auto"/>
            </w:tcBorders>
            <w:shd w:val="clear" w:color="000000" w:fill="FF9900"/>
            <w:noWrap/>
            <w:vAlign w:val="center"/>
            <w:hideMark/>
          </w:tcPr>
          <w:p w14:paraId="49AAC861" w14:textId="77777777" w:rsidR="000271A1" w:rsidRPr="000271A1" w:rsidRDefault="000271A1" w:rsidP="000271A1">
            <w:pPr>
              <w:spacing w:after="0" w:line="240" w:lineRule="auto"/>
              <w:jc w:val="right"/>
              <w:rPr>
                <w:rFonts w:ascii="Tahoma" w:eastAsia="Times New Roman" w:hAnsi="Tahoma" w:cs="Tahoma"/>
                <w:sz w:val="20"/>
                <w:szCs w:val="20"/>
                <w:lang w:eastAsia="hr-HR"/>
              </w:rPr>
            </w:pPr>
            <w:r w:rsidRPr="000271A1">
              <w:rPr>
                <w:rFonts w:ascii="Tahoma" w:eastAsia="Times New Roman" w:hAnsi="Tahoma" w:cs="Tahoma"/>
                <w:sz w:val="20"/>
                <w:szCs w:val="20"/>
                <w:lang w:eastAsia="hr-HR"/>
              </w:rPr>
              <w:t>2</w:t>
            </w:r>
          </w:p>
        </w:tc>
        <w:tc>
          <w:tcPr>
            <w:tcW w:w="918" w:type="dxa"/>
            <w:tcBorders>
              <w:top w:val="nil"/>
              <w:left w:val="nil"/>
              <w:bottom w:val="single" w:sz="4" w:space="0" w:color="auto"/>
              <w:right w:val="single" w:sz="4" w:space="0" w:color="auto"/>
            </w:tcBorders>
            <w:shd w:val="clear" w:color="000000" w:fill="FF9900"/>
            <w:noWrap/>
            <w:vAlign w:val="center"/>
            <w:hideMark/>
          </w:tcPr>
          <w:p w14:paraId="37D60C21" w14:textId="77777777" w:rsidR="000271A1" w:rsidRPr="000271A1" w:rsidRDefault="000271A1" w:rsidP="000271A1">
            <w:pPr>
              <w:spacing w:after="0" w:line="240" w:lineRule="auto"/>
              <w:jc w:val="right"/>
              <w:rPr>
                <w:rFonts w:ascii="Tahoma" w:eastAsia="Times New Roman" w:hAnsi="Tahoma" w:cs="Tahoma"/>
                <w:sz w:val="20"/>
                <w:szCs w:val="20"/>
                <w:lang w:eastAsia="hr-HR"/>
              </w:rPr>
            </w:pPr>
            <w:r w:rsidRPr="000271A1">
              <w:rPr>
                <w:rFonts w:ascii="Tahoma" w:eastAsia="Times New Roman" w:hAnsi="Tahoma" w:cs="Tahoma"/>
                <w:sz w:val="20"/>
                <w:szCs w:val="20"/>
                <w:lang w:eastAsia="hr-HR"/>
              </w:rPr>
              <w:t>3</w:t>
            </w:r>
          </w:p>
        </w:tc>
        <w:tc>
          <w:tcPr>
            <w:tcW w:w="428" w:type="dxa"/>
            <w:tcBorders>
              <w:top w:val="nil"/>
              <w:left w:val="nil"/>
              <w:bottom w:val="single" w:sz="4" w:space="0" w:color="auto"/>
              <w:right w:val="single" w:sz="4" w:space="0" w:color="auto"/>
            </w:tcBorders>
            <w:shd w:val="clear" w:color="000000" w:fill="CCFFFF"/>
            <w:noWrap/>
            <w:vAlign w:val="center"/>
            <w:hideMark/>
          </w:tcPr>
          <w:p w14:paraId="299C0E21" w14:textId="77777777" w:rsidR="000271A1" w:rsidRPr="000271A1" w:rsidRDefault="000271A1" w:rsidP="000271A1">
            <w:pPr>
              <w:spacing w:after="0" w:line="240" w:lineRule="auto"/>
              <w:jc w:val="right"/>
              <w:rPr>
                <w:rFonts w:ascii="Tahoma" w:eastAsia="Times New Roman" w:hAnsi="Tahoma" w:cs="Tahoma"/>
                <w:sz w:val="20"/>
                <w:szCs w:val="20"/>
                <w:lang w:eastAsia="hr-HR"/>
              </w:rPr>
            </w:pPr>
            <w:r w:rsidRPr="000271A1">
              <w:rPr>
                <w:rFonts w:ascii="Tahoma" w:eastAsia="Times New Roman" w:hAnsi="Tahoma" w:cs="Tahoma"/>
                <w:sz w:val="20"/>
                <w:szCs w:val="20"/>
                <w:lang w:eastAsia="hr-HR"/>
              </w:rPr>
              <w:t>1</w:t>
            </w:r>
          </w:p>
        </w:tc>
        <w:tc>
          <w:tcPr>
            <w:tcW w:w="428" w:type="dxa"/>
            <w:tcBorders>
              <w:top w:val="nil"/>
              <w:left w:val="nil"/>
              <w:bottom w:val="single" w:sz="4" w:space="0" w:color="auto"/>
              <w:right w:val="single" w:sz="4" w:space="0" w:color="auto"/>
            </w:tcBorders>
            <w:shd w:val="clear" w:color="000000" w:fill="CCFFFF"/>
            <w:noWrap/>
            <w:vAlign w:val="center"/>
            <w:hideMark/>
          </w:tcPr>
          <w:p w14:paraId="62D6CE0B" w14:textId="77777777" w:rsidR="000271A1" w:rsidRPr="000271A1" w:rsidRDefault="000271A1" w:rsidP="000271A1">
            <w:pPr>
              <w:spacing w:after="0" w:line="240" w:lineRule="auto"/>
              <w:jc w:val="right"/>
              <w:rPr>
                <w:rFonts w:ascii="Tahoma" w:eastAsia="Times New Roman" w:hAnsi="Tahoma" w:cs="Tahoma"/>
                <w:sz w:val="20"/>
                <w:szCs w:val="20"/>
                <w:lang w:eastAsia="hr-HR"/>
              </w:rPr>
            </w:pPr>
            <w:r w:rsidRPr="000271A1">
              <w:rPr>
                <w:rFonts w:ascii="Tahoma" w:eastAsia="Times New Roman" w:hAnsi="Tahoma" w:cs="Tahoma"/>
                <w:sz w:val="20"/>
                <w:szCs w:val="20"/>
                <w:lang w:eastAsia="hr-HR"/>
              </w:rPr>
              <w:t> </w:t>
            </w:r>
          </w:p>
        </w:tc>
        <w:tc>
          <w:tcPr>
            <w:tcW w:w="425" w:type="dxa"/>
            <w:tcBorders>
              <w:top w:val="nil"/>
              <w:left w:val="nil"/>
              <w:bottom w:val="single" w:sz="4" w:space="0" w:color="auto"/>
              <w:right w:val="single" w:sz="4" w:space="0" w:color="auto"/>
            </w:tcBorders>
            <w:shd w:val="clear" w:color="000000" w:fill="CCFFFF"/>
            <w:noWrap/>
            <w:vAlign w:val="center"/>
            <w:hideMark/>
          </w:tcPr>
          <w:p w14:paraId="65AB75D4" w14:textId="77777777" w:rsidR="000271A1" w:rsidRPr="000271A1" w:rsidRDefault="000271A1" w:rsidP="000271A1">
            <w:pPr>
              <w:spacing w:after="0" w:line="240" w:lineRule="auto"/>
              <w:jc w:val="right"/>
              <w:rPr>
                <w:rFonts w:ascii="Tahoma" w:eastAsia="Times New Roman" w:hAnsi="Tahoma" w:cs="Tahoma"/>
                <w:sz w:val="20"/>
                <w:szCs w:val="20"/>
                <w:lang w:eastAsia="hr-HR"/>
              </w:rPr>
            </w:pPr>
            <w:r w:rsidRPr="000271A1">
              <w:rPr>
                <w:rFonts w:ascii="Tahoma" w:eastAsia="Times New Roman" w:hAnsi="Tahoma" w:cs="Tahoma"/>
                <w:sz w:val="20"/>
                <w:szCs w:val="20"/>
                <w:lang w:eastAsia="hr-HR"/>
              </w:rPr>
              <w:t> </w:t>
            </w:r>
          </w:p>
        </w:tc>
        <w:tc>
          <w:tcPr>
            <w:tcW w:w="425" w:type="dxa"/>
            <w:tcBorders>
              <w:top w:val="nil"/>
              <w:left w:val="nil"/>
              <w:bottom w:val="single" w:sz="4" w:space="0" w:color="auto"/>
              <w:right w:val="nil"/>
            </w:tcBorders>
            <w:shd w:val="clear" w:color="000000" w:fill="33CCCC"/>
            <w:noWrap/>
            <w:vAlign w:val="center"/>
            <w:hideMark/>
          </w:tcPr>
          <w:p w14:paraId="7DD42D30" w14:textId="77777777" w:rsidR="000271A1" w:rsidRPr="000271A1" w:rsidRDefault="000271A1" w:rsidP="000271A1">
            <w:pPr>
              <w:spacing w:after="0" w:line="240" w:lineRule="auto"/>
              <w:jc w:val="right"/>
              <w:rPr>
                <w:rFonts w:ascii="Tahoma" w:eastAsia="Times New Roman" w:hAnsi="Tahoma" w:cs="Tahoma"/>
                <w:sz w:val="20"/>
                <w:szCs w:val="20"/>
                <w:lang w:eastAsia="hr-HR"/>
              </w:rPr>
            </w:pPr>
            <w:r w:rsidRPr="000271A1">
              <w:rPr>
                <w:rFonts w:ascii="Tahoma" w:eastAsia="Times New Roman" w:hAnsi="Tahoma" w:cs="Tahoma"/>
                <w:sz w:val="20"/>
                <w:szCs w:val="20"/>
                <w:lang w:eastAsia="hr-HR"/>
              </w:rPr>
              <w:t>1</w:t>
            </w:r>
          </w:p>
        </w:tc>
        <w:tc>
          <w:tcPr>
            <w:tcW w:w="440" w:type="dxa"/>
            <w:gridSpan w:val="2"/>
            <w:tcBorders>
              <w:top w:val="nil"/>
              <w:left w:val="single" w:sz="4" w:space="0" w:color="auto"/>
              <w:bottom w:val="single" w:sz="4" w:space="0" w:color="auto"/>
              <w:right w:val="single" w:sz="8" w:space="0" w:color="auto"/>
            </w:tcBorders>
            <w:shd w:val="clear" w:color="000000" w:fill="33CCCC"/>
            <w:noWrap/>
            <w:vAlign w:val="center"/>
            <w:hideMark/>
          </w:tcPr>
          <w:p w14:paraId="4FD68F36" w14:textId="77777777" w:rsidR="000271A1" w:rsidRPr="000271A1" w:rsidRDefault="000271A1" w:rsidP="000271A1">
            <w:pPr>
              <w:spacing w:after="0" w:line="240" w:lineRule="auto"/>
              <w:jc w:val="right"/>
              <w:rPr>
                <w:rFonts w:ascii="Tahoma" w:eastAsia="Times New Roman" w:hAnsi="Tahoma" w:cs="Tahoma"/>
                <w:sz w:val="20"/>
                <w:szCs w:val="20"/>
                <w:lang w:eastAsia="hr-HR"/>
              </w:rPr>
            </w:pPr>
            <w:r w:rsidRPr="000271A1">
              <w:rPr>
                <w:rFonts w:ascii="Tahoma" w:eastAsia="Times New Roman" w:hAnsi="Tahoma" w:cs="Tahoma"/>
                <w:sz w:val="20"/>
                <w:szCs w:val="20"/>
                <w:lang w:eastAsia="hr-HR"/>
              </w:rPr>
              <w:t>4</w:t>
            </w:r>
          </w:p>
        </w:tc>
        <w:tc>
          <w:tcPr>
            <w:tcW w:w="236" w:type="dxa"/>
            <w:vAlign w:val="center"/>
            <w:hideMark/>
          </w:tcPr>
          <w:p w14:paraId="7540DF5C" w14:textId="77777777" w:rsidR="000271A1" w:rsidRPr="000271A1" w:rsidRDefault="000271A1" w:rsidP="000271A1">
            <w:pPr>
              <w:spacing w:after="0" w:line="240" w:lineRule="auto"/>
              <w:rPr>
                <w:rFonts w:ascii="Times New Roman" w:eastAsia="Times New Roman" w:hAnsi="Times New Roman" w:cs="Times New Roman"/>
                <w:sz w:val="20"/>
                <w:szCs w:val="20"/>
                <w:lang w:eastAsia="hr-HR"/>
              </w:rPr>
            </w:pPr>
          </w:p>
        </w:tc>
      </w:tr>
      <w:tr w:rsidR="000271A1" w:rsidRPr="000271A1" w14:paraId="46C6BE5C" w14:textId="77777777" w:rsidTr="000271A1">
        <w:trPr>
          <w:gridAfter w:val="1"/>
          <w:wAfter w:w="26" w:type="dxa"/>
          <w:trHeight w:val="300"/>
        </w:trPr>
        <w:tc>
          <w:tcPr>
            <w:tcW w:w="1119" w:type="dxa"/>
            <w:tcBorders>
              <w:top w:val="single" w:sz="4" w:space="0" w:color="auto"/>
              <w:left w:val="single" w:sz="8" w:space="0" w:color="auto"/>
              <w:bottom w:val="single" w:sz="4" w:space="0" w:color="auto"/>
              <w:right w:val="single" w:sz="4" w:space="0" w:color="auto"/>
            </w:tcBorders>
            <w:shd w:val="clear" w:color="000000" w:fill="CCFFCC"/>
            <w:vAlign w:val="center"/>
            <w:hideMark/>
          </w:tcPr>
          <w:p w14:paraId="40092D52" w14:textId="77777777" w:rsidR="000271A1" w:rsidRPr="000271A1" w:rsidRDefault="000271A1" w:rsidP="000271A1">
            <w:pPr>
              <w:spacing w:after="0" w:line="240" w:lineRule="auto"/>
              <w:rPr>
                <w:rFonts w:ascii="Tahoma" w:eastAsia="Times New Roman" w:hAnsi="Tahoma" w:cs="Tahoma"/>
                <w:sz w:val="20"/>
                <w:szCs w:val="20"/>
                <w:lang w:eastAsia="hr-HR"/>
              </w:rPr>
            </w:pPr>
            <w:r w:rsidRPr="000271A1">
              <w:rPr>
                <w:rFonts w:ascii="Tahoma" w:eastAsia="Times New Roman" w:hAnsi="Tahoma" w:cs="Tahoma"/>
                <w:sz w:val="20"/>
                <w:szCs w:val="20"/>
                <w:lang w:eastAsia="hr-HR"/>
              </w:rPr>
              <w:t>Društveni položaj</w:t>
            </w:r>
          </w:p>
        </w:tc>
        <w:tc>
          <w:tcPr>
            <w:tcW w:w="671" w:type="dxa"/>
            <w:tcBorders>
              <w:top w:val="nil"/>
              <w:left w:val="nil"/>
              <w:bottom w:val="single" w:sz="4" w:space="0" w:color="auto"/>
              <w:right w:val="single" w:sz="4" w:space="0" w:color="auto"/>
            </w:tcBorders>
            <w:shd w:val="clear" w:color="000000" w:fill="FFCC99"/>
            <w:noWrap/>
            <w:vAlign w:val="center"/>
            <w:hideMark/>
          </w:tcPr>
          <w:p w14:paraId="3B1C8BD7" w14:textId="77777777" w:rsidR="000271A1" w:rsidRPr="000271A1" w:rsidRDefault="000271A1" w:rsidP="000271A1">
            <w:pPr>
              <w:spacing w:after="0" w:line="240" w:lineRule="auto"/>
              <w:jc w:val="right"/>
              <w:rPr>
                <w:rFonts w:ascii="Tahoma" w:eastAsia="Times New Roman" w:hAnsi="Tahoma" w:cs="Tahoma"/>
                <w:sz w:val="20"/>
                <w:szCs w:val="20"/>
                <w:lang w:eastAsia="hr-HR"/>
              </w:rPr>
            </w:pPr>
            <w:r w:rsidRPr="000271A1">
              <w:rPr>
                <w:rFonts w:ascii="Tahoma" w:eastAsia="Times New Roman" w:hAnsi="Tahoma" w:cs="Tahoma"/>
                <w:sz w:val="20"/>
                <w:szCs w:val="20"/>
                <w:lang w:eastAsia="hr-HR"/>
              </w:rPr>
              <w:t>31</w:t>
            </w:r>
          </w:p>
        </w:tc>
        <w:tc>
          <w:tcPr>
            <w:tcW w:w="519" w:type="dxa"/>
            <w:tcBorders>
              <w:top w:val="nil"/>
              <w:left w:val="nil"/>
              <w:bottom w:val="single" w:sz="4" w:space="0" w:color="auto"/>
              <w:right w:val="single" w:sz="4" w:space="0" w:color="auto"/>
            </w:tcBorders>
            <w:shd w:val="clear" w:color="000000" w:fill="FFFF00"/>
            <w:noWrap/>
            <w:vAlign w:val="center"/>
            <w:hideMark/>
          </w:tcPr>
          <w:p w14:paraId="512D83E8" w14:textId="77777777" w:rsidR="000271A1" w:rsidRPr="000271A1" w:rsidRDefault="000271A1" w:rsidP="000271A1">
            <w:pPr>
              <w:spacing w:after="0" w:line="240" w:lineRule="auto"/>
              <w:jc w:val="right"/>
              <w:rPr>
                <w:rFonts w:ascii="Tahoma" w:eastAsia="Times New Roman" w:hAnsi="Tahoma" w:cs="Tahoma"/>
                <w:sz w:val="20"/>
                <w:szCs w:val="20"/>
                <w:lang w:eastAsia="hr-HR"/>
              </w:rPr>
            </w:pPr>
            <w:r w:rsidRPr="000271A1">
              <w:rPr>
                <w:rFonts w:ascii="Tahoma" w:eastAsia="Times New Roman" w:hAnsi="Tahoma" w:cs="Tahoma"/>
                <w:sz w:val="20"/>
                <w:szCs w:val="20"/>
                <w:lang w:eastAsia="hr-HR"/>
              </w:rPr>
              <w:t>13</w:t>
            </w:r>
          </w:p>
        </w:tc>
        <w:tc>
          <w:tcPr>
            <w:tcW w:w="365" w:type="dxa"/>
            <w:tcBorders>
              <w:top w:val="nil"/>
              <w:left w:val="nil"/>
              <w:bottom w:val="single" w:sz="4" w:space="0" w:color="auto"/>
              <w:right w:val="single" w:sz="4" w:space="0" w:color="auto"/>
            </w:tcBorders>
            <w:shd w:val="clear" w:color="000000" w:fill="CCFFFF"/>
            <w:noWrap/>
            <w:vAlign w:val="center"/>
            <w:hideMark/>
          </w:tcPr>
          <w:p w14:paraId="5A2A3C16" w14:textId="77777777" w:rsidR="000271A1" w:rsidRPr="000271A1" w:rsidRDefault="000271A1" w:rsidP="000271A1">
            <w:pPr>
              <w:spacing w:after="0" w:line="240" w:lineRule="auto"/>
              <w:jc w:val="right"/>
              <w:rPr>
                <w:rFonts w:ascii="Tahoma" w:eastAsia="Times New Roman" w:hAnsi="Tahoma" w:cs="Tahoma"/>
                <w:sz w:val="20"/>
                <w:szCs w:val="20"/>
                <w:lang w:eastAsia="hr-HR"/>
              </w:rPr>
            </w:pPr>
            <w:r w:rsidRPr="000271A1">
              <w:rPr>
                <w:rFonts w:ascii="Tahoma" w:eastAsia="Times New Roman" w:hAnsi="Tahoma" w:cs="Tahoma"/>
                <w:sz w:val="20"/>
                <w:szCs w:val="20"/>
                <w:lang w:eastAsia="hr-HR"/>
              </w:rPr>
              <w:t>5</w:t>
            </w:r>
          </w:p>
        </w:tc>
        <w:tc>
          <w:tcPr>
            <w:tcW w:w="379" w:type="dxa"/>
            <w:tcBorders>
              <w:top w:val="nil"/>
              <w:left w:val="nil"/>
              <w:bottom w:val="single" w:sz="4" w:space="0" w:color="auto"/>
              <w:right w:val="single" w:sz="4" w:space="0" w:color="auto"/>
            </w:tcBorders>
            <w:shd w:val="clear" w:color="000000" w:fill="CCFFFF"/>
            <w:noWrap/>
            <w:vAlign w:val="center"/>
            <w:hideMark/>
          </w:tcPr>
          <w:p w14:paraId="21500BE9" w14:textId="77777777" w:rsidR="000271A1" w:rsidRPr="000271A1" w:rsidRDefault="000271A1" w:rsidP="000271A1">
            <w:pPr>
              <w:spacing w:after="0" w:line="240" w:lineRule="auto"/>
              <w:jc w:val="right"/>
              <w:rPr>
                <w:rFonts w:ascii="Tahoma" w:eastAsia="Times New Roman" w:hAnsi="Tahoma" w:cs="Tahoma"/>
                <w:sz w:val="20"/>
                <w:szCs w:val="20"/>
                <w:lang w:eastAsia="hr-HR"/>
              </w:rPr>
            </w:pPr>
            <w:r w:rsidRPr="000271A1">
              <w:rPr>
                <w:rFonts w:ascii="Tahoma" w:eastAsia="Times New Roman" w:hAnsi="Tahoma" w:cs="Tahoma"/>
                <w:sz w:val="20"/>
                <w:szCs w:val="20"/>
                <w:lang w:eastAsia="hr-HR"/>
              </w:rPr>
              <w:t>9</w:t>
            </w:r>
          </w:p>
        </w:tc>
        <w:tc>
          <w:tcPr>
            <w:tcW w:w="698" w:type="dxa"/>
            <w:tcBorders>
              <w:top w:val="nil"/>
              <w:left w:val="nil"/>
              <w:bottom w:val="single" w:sz="4" w:space="0" w:color="auto"/>
              <w:right w:val="single" w:sz="4" w:space="0" w:color="auto"/>
            </w:tcBorders>
            <w:shd w:val="clear" w:color="000000" w:fill="FFFF99"/>
            <w:noWrap/>
            <w:vAlign w:val="center"/>
            <w:hideMark/>
          </w:tcPr>
          <w:p w14:paraId="16E59D0C" w14:textId="77777777" w:rsidR="000271A1" w:rsidRPr="000271A1" w:rsidRDefault="000271A1" w:rsidP="000271A1">
            <w:pPr>
              <w:spacing w:after="0" w:line="240" w:lineRule="auto"/>
              <w:jc w:val="right"/>
              <w:rPr>
                <w:rFonts w:ascii="Tahoma" w:eastAsia="Times New Roman" w:hAnsi="Tahoma" w:cs="Tahoma"/>
                <w:sz w:val="20"/>
                <w:szCs w:val="20"/>
                <w:lang w:eastAsia="hr-HR"/>
              </w:rPr>
            </w:pPr>
            <w:r w:rsidRPr="000271A1">
              <w:rPr>
                <w:rFonts w:ascii="Tahoma" w:eastAsia="Times New Roman" w:hAnsi="Tahoma" w:cs="Tahoma"/>
                <w:sz w:val="20"/>
                <w:szCs w:val="20"/>
                <w:lang w:eastAsia="hr-HR"/>
              </w:rPr>
              <w:t>9</w:t>
            </w:r>
          </w:p>
        </w:tc>
        <w:tc>
          <w:tcPr>
            <w:tcW w:w="698" w:type="dxa"/>
            <w:tcBorders>
              <w:top w:val="nil"/>
              <w:left w:val="nil"/>
              <w:bottom w:val="single" w:sz="4" w:space="0" w:color="auto"/>
              <w:right w:val="single" w:sz="4" w:space="0" w:color="auto"/>
            </w:tcBorders>
            <w:shd w:val="clear" w:color="000000" w:fill="FFFF99"/>
            <w:noWrap/>
            <w:vAlign w:val="center"/>
            <w:hideMark/>
          </w:tcPr>
          <w:p w14:paraId="01C6A011" w14:textId="77777777" w:rsidR="000271A1" w:rsidRPr="000271A1" w:rsidRDefault="000271A1" w:rsidP="000271A1">
            <w:pPr>
              <w:spacing w:after="0" w:line="240" w:lineRule="auto"/>
              <w:jc w:val="right"/>
              <w:rPr>
                <w:rFonts w:ascii="Tahoma" w:eastAsia="Times New Roman" w:hAnsi="Tahoma" w:cs="Tahoma"/>
                <w:sz w:val="20"/>
                <w:szCs w:val="20"/>
                <w:lang w:eastAsia="hr-HR"/>
              </w:rPr>
            </w:pPr>
            <w:r w:rsidRPr="000271A1">
              <w:rPr>
                <w:rFonts w:ascii="Tahoma" w:eastAsia="Times New Roman" w:hAnsi="Tahoma" w:cs="Tahoma"/>
                <w:sz w:val="20"/>
                <w:szCs w:val="20"/>
                <w:lang w:eastAsia="hr-HR"/>
              </w:rPr>
              <w:t>2</w:t>
            </w:r>
          </w:p>
        </w:tc>
        <w:tc>
          <w:tcPr>
            <w:tcW w:w="512" w:type="dxa"/>
            <w:tcBorders>
              <w:top w:val="nil"/>
              <w:left w:val="nil"/>
              <w:bottom w:val="single" w:sz="4" w:space="0" w:color="auto"/>
              <w:right w:val="single" w:sz="4" w:space="0" w:color="auto"/>
            </w:tcBorders>
            <w:shd w:val="clear" w:color="000000" w:fill="FFFF99"/>
            <w:noWrap/>
            <w:vAlign w:val="center"/>
            <w:hideMark/>
          </w:tcPr>
          <w:p w14:paraId="3BF76353" w14:textId="77777777" w:rsidR="000271A1" w:rsidRPr="000271A1" w:rsidRDefault="000271A1" w:rsidP="000271A1">
            <w:pPr>
              <w:spacing w:after="0" w:line="240" w:lineRule="auto"/>
              <w:jc w:val="right"/>
              <w:rPr>
                <w:rFonts w:ascii="Tahoma" w:eastAsia="Times New Roman" w:hAnsi="Tahoma" w:cs="Tahoma"/>
                <w:sz w:val="20"/>
                <w:szCs w:val="20"/>
                <w:lang w:eastAsia="hr-HR"/>
              </w:rPr>
            </w:pPr>
            <w:r w:rsidRPr="000271A1">
              <w:rPr>
                <w:rFonts w:ascii="Tahoma" w:eastAsia="Times New Roman" w:hAnsi="Tahoma" w:cs="Tahoma"/>
                <w:sz w:val="20"/>
                <w:szCs w:val="20"/>
                <w:lang w:eastAsia="hr-HR"/>
              </w:rPr>
              <w:t> </w:t>
            </w:r>
          </w:p>
        </w:tc>
        <w:tc>
          <w:tcPr>
            <w:tcW w:w="698" w:type="dxa"/>
            <w:tcBorders>
              <w:top w:val="nil"/>
              <w:left w:val="nil"/>
              <w:bottom w:val="single" w:sz="4" w:space="0" w:color="auto"/>
              <w:right w:val="single" w:sz="4" w:space="0" w:color="auto"/>
            </w:tcBorders>
            <w:shd w:val="clear" w:color="000000" w:fill="FFFF99"/>
            <w:noWrap/>
            <w:vAlign w:val="center"/>
            <w:hideMark/>
          </w:tcPr>
          <w:p w14:paraId="1CAA3502" w14:textId="77777777" w:rsidR="000271A1" w:rsidRPr="000271A1" w:rsidRDefault="000271A1" w:rsidP="000271A1">
            <w:pPr>
              <w:spacing w:after="0" w:line="240" w:lineRule="auto"/>
              <w:jc w:val="right"/>
              <w:rPr>
                <w:rFonts w:ascii="Tahoma" w:eastAsia="Times New Roman" w:hAnsi="Tahoma" w:cs="Tahoma"/>
                <w:sz w:val="20"/>
                <w:szCs w:val="20"/>
                <w:lang w:eastAsia="hr-HR"/>
              </w:rPr>
            </w:pPr>
            <w:r w:rsidRPr="000271A1">
              <w:rPr>
                <w:rFonts w:ascii="Tahoma" w:eastAsia="Times New Roman" w:hAnsi="Tahoma" w:cs="Tahoma"/>
                <w:sz w:val="20"/>
                <w:szCs w:val="20"/>
                <w:lang w:eastAsia="hr-HR"/>
              </w:rPr>
              <w:t> </w:t>
            </w:r>
          </w:p>
        </w:tc>
        <w:tc>
          <w:tcPr>
            <w:tcW w:w="444" w:type="dxa"/>
            <w:tcBorders>
              <w:top w:val="nil"/>
              <w:left w:val="nil"/>
              <w:bottom w:val="single" w:sz="4" w:space="0" w:color="auto"/>
              <w:right w:val="single" w:sz="4" w:space="0" w:color="auto"/>
            </w:tcBorders>
            <w:shd w:val="clear" w:color="000000" w:fill="FFFF99"/>
            <w:noWrap/>
            <w:vAlign w:val="center"/>
            <w:hideMark/>
          </w:tcPr>
          <w:p w14:paraId="48C04DA4" w14:textId="77777777" w:rsidR="000271A1" w:rsidRPr="000271A1" w:rsidRDefault="000271A1" w:rsidP="000271A1">
            <w:pPr>
              <w:spacing w:after="0" w:line="240" w:lineRule="auto"/>
              <w:jc w:val="right"/>
              <w:rPr>
                <w:rFonts w:ascii="Tahoma" w:eastAsia="Times New Roman" w:hAnsi="Tahoma" w:cs="Tahoma"/>
                <w:sz w:val="20"/>
                <w:szCs w:val="20"/>
                <w:lang w:eastAsia="hr-HR"/>
              </w:rPr>
            </w:pPr>
            <w:r w:rsidRPr="000271A1">
              <w:rPr>
                <w:rFonts w:ascii="Tahoma" w:eastAsia="Times New Roman" w:hAnsi="Tahoma" w:cs="Tahoma"/>
                <w:sz w:val="20"/>
                <w:szCs w:val="20"/>
                <w:lang w:eastAsia="hr-HR"/>
              </w:rPr>
              <w:t> </w:t>
            </w:r>
          </w:p>
        </w:tc>
        <w:tc>
          <w:tcPr>
            <w:tcW w:w="698" w:type="dxa"/>
            <w:tcBorders>
              <w:top w:val="nil"/>
              <w:left w:val="nil"/>
              <w:bottom w:val="single" w:sz="4" w:space="0" w:color="auto"/>
              <w:right w:val="single" w:sz="4" w:space="0" w:color="auto"/>
            </w:tcBorders>
            <w:shd w:val="clear" w:color="000000" w:fill="FFFF99"/>
            <w:noWrap/>
            <w:vAlign w:val="center"/>
            <w:hideMark/>
          </w:tcPr>
          <w:p w14:paraId="146F6419" w14:textId="77777777" w:rsidR="000271A1" w:rsidRPr="000271A1" w:rsidRDefault="000271A1" w:rsidP="000271A1">
            <w:pPr>
              <w:spacing w:after="0" w:line="240" w:lineRule="auto"/>
              <w:jc w:val="right"/>
              <w:rPr>
                <w:rFonts w:ascii="Tahoma" w:eastAsia="Times New Roman" w:hAnsi="Tahoma" w:cs="Tahoma"/>
                <w:sz w:val="20"/>
                <w:szCs w:val="20"/>
                <w:lang w:eastAsia="hr-HR"/>
              </w:rPr>
            </w:pPr>
            <w:r w:rsidRPr="000271A1">
              <w:rPr>
                <w:rFonts w:ascii="Tahoma" w:eastAsia="Times New Roman" w:hAnsi="Tahoma" w:cs="Tahoma"/>
                <w:sz w:val="20"/>
                <w:szCs w:val="20"/>
                <w:lang w:eastAsia="hr-HR"/>
              </w:rPr>
              <w:t>1</w:t>
            </w:r>
          </w:p>
        </w:tc>
        <w:tc>
          <w:tcPr>
            <w:tcW w:w="444" w:type="dxa"/>
            <w:gridSpan w:val="2"/>
            <w:tcBorders>
              <w:top w:val="nil"/>
              <w:left w:val="nil"/>
              <w:bottom w:val="single" w:sz="4" w:space="0" w:color="auto"/>
              <w:right w:val="single" w:sz="4" w:space="0" w:color="auto"/>
            </w:tcBorders>
            <w:shd w:val="clear" w:color="000000" w:fill="FF9900"/>
            <w:noWrap/>
            <w:vAlign w:val="center"/>
            <w:hideMark/>
          </w:tcPr>
          <w:p w14:paraId="105FCC8E" w14:textId="77777777" w:rsidR="000271A1" w:rsidRPr="000271A1" w:rsidRDefault="000271A1" w:rsidP="000271A1">
            <w:pPr>
              <w:spacing w:after="0" w:line="240" w:lineRule="auto"/>
              <w:jc w:val="right"/>
              <w:rPr>
                <w:rFonts w:ascii="Tahoma" w:eastAsia="Times New Roman" w:hAnsi="Tahoma" w:cs="Tahoma"/>
                <w:sz w:val="20"/>
                <w:szCs w:val="20"/>
                <w:lang w:eastAsia="hr-HR"/>
              </w:rPr>
            </w:pPr>
            <w:r w:rsidRPr="000271A1">
              <w:rPr>
                <w:rFonts w:ascii="Tahoma" w:eastAsia="Times New Roman" w:hAnsi="Tahoma" w:cs="Tahoma"/>
                <w:sz w:val="20"/>
                <w:szCs w:val="20"/>
                <w:lang w:eastAsia="hr-HR"/>
              </w:rPr>
              <w:t> </w:t>
            </w:r>
          </w:p>
        </w:tc>
        <w:tc>
          <w:tcPr>
            <w:tcW w:w="521" w:type="dxa"/>
            <w:tcBorders>
              <w:top w:val="nil"/>
              <w:left w:val="nil"/>
              <w:bottom w:val="single" w:sz="4" w:space="0" w:color="auto"/>
              <w:right w:val="single" w:sz="4" w:space="0" w:color="auto"/>
            </w:tcBorders>
            <w:shd w:val="clear" w:color="000000" w:fill="FF9900"/>
            <w:noWrap/>
            <w:vAlign w:val="center"/>
            <w:hideMark/>
          </w:tcPr>
          <w:p w14:paraId="46372346" w14:textId="77777777" w:rsidR="000271A1" w:rsidRPr="000271A1" w:rsidRDefault="000271A1" w:rsidP="000271A1">
            <w:pPr>
              <w:spacing w:after="0" w:line="240" w:lineRule="auto"/>
              <w:jc w:val="right"/>
              <w:rPr>
                <w:rFonts w:ascii="Tahoma" w:eastAsia="Times New Roman" w:hAnsi="Tahoma" w:cs="Tahoma"/>
                <w:sz w:val="20"/>
                <w:szCs w:val="20"/>
                <w:lang w:eastAsia="hr-HR"/>
              </w:rPr>
            </w:pPr>
            <w:r w:rsidRPr="000271A1">
              <w:rPr>
                <w:rFonts w:ascii="Tahoma" w:eastAsia="Times New Roman" w:hAnsi="Tahoma" w:cs="Tahoma"/>
                <w:sz w:val="20"/>
                <w:szCs w:val="20"/>
                <w:lang w:eastAsia="hr-HR"/>
              </w:rPr>
              <w:t>4</w:t>
            </w:r>
          </w:p>
        </w:tc>
        <w:tc>
          <w:tcPr>
            <w:tcW w:w="521" w:type="dxa"/>
            <w:tcBorders>
              <w:top w:val="nil"/>
              <w:left w:val="nil"/>
              <w:bottom w:val="single" w:sz="4" w:space="0" w:color="auto"/>
              <w:right w:val="single" w:sz="4" w:space="0" w:color="auto"/>
            </w:tcBorders>
            <w:shd w:val="clear" w:color="000000" w:fill="FF9900"/>
            <w:noWrap/>
            <w:vAlign w:val="center"/>
            <w:hideMark/>
          </w:tcPr>
          <w:p w14:paraId="4C511D67" w14:textId="77777777" w:rsidR="000271A1" w:rsidRPr="000271A1" w:rsidRDefault="000271A1" w:rsidP="000271A1">
            <w:pPr>
              <w:spacing w:after="0" w:line="240" w:lineRule="auto"/>
              <w:jc w:val="right"/>
              <w:rPr>
                <w:rFonts w:ascii="Tahoma" w:eastAsia="Times New Roman" w:hAnsi="Tahoma" w:cs="Tahoma"/>
                <w:sz w:val="20"/>
                <w:szCs w:val="20"/>
                <w:lang w:eastAsia="hr-HR"/>
              </w:rPr>
            </w:pPr>
            <w:r w:rsidRPr="000271A1">
              <w:rPr>
                <w:rFonts w:ascii="Tahoma" w:eastAsia="Times New Roman" w:hAnsi="Tahoma" w:cs="Tahoma"/>
                <w:sz w:val="20"/>
                <w:szCs w:val="20"/>
                <w:lang w:eastAsia="hr-HR"/>
              </w:rPr>
              <w:t>3</w:t>
            </w:r>
          </w:p>
        </w:tc>
        <w:tc>
          <w:tcPr>
            <w:tcW w:w="521" w:type="dxa"/>
            <w:gridSpan w:val="2"/>
            <w:tcBorders>
              <w:top w:val="nil"/>
              <w:left w:val="nil"/>
              <w:bottom w:val="single" w:sz="4" w:space="0" w:color="auto"/>
              <w:right w:val="single" w:sz="4" w:space="0" w:color="auto"/>
            </w:tcBorders>
            <w:shd w:val="clear" w:color="000000" w:fill="FFFF00"/>
            <w:vAlign w:val="center"/>
            <w:hideMark/>
          </w:tcPr>
          <w:p w14:paraId="5EE1E49D" w14:textId="77777777" w:rsidR="000271A1" w:rsidRPr="000271A1" w:rsidRDefault="000271A1" w:rsidP="000271A1">
            <w:pPr>
              <w:spacing w:after="0" w:line="240" w:lineRule="auto"/>
              <w:jc w:val="right"/>
              <w:rPr>
                <w:rFonts w:ascii="Tahoma" w:eastAsia="Times New Roman" w:hAnsi="Tahoma" w:cs="Tahoma"/>
                <w:sz w:val="20"/>
                <w:szCs w:val="20"/>
                <w:lang w:eastAsia="hr-HR"/>
              </w:rPr>
            </w:pPr>
            <w:r w:rsidRPr="000271A1">
              <w:rPr>
                <w:rFonts w:ascii="Tahoma" w:eastAsia="Times New Roman" w:hAnsi="Tahoma" w:cs="Tahoma"/>
                <w:sz w:val="20"/>
                <w:szCs w:val="20"/>
                <w:lang w:eastAsia="hr-HR"/>
              </w:rPr>
              <w:t>7</w:t>
            </w:r>
          </w:p>
        </w:tc>
        <w:tc>
          <w:tcPr>
            <w:tcW w:w="702" w:type="dxa"/>
            <w:tcBorders>
              <w:top w:val="nil"/>
              <w:left w:val="nil"/>
              <w:bottom w:val="single" w:sz="4" w:space="0" w:color="auto"/>
              <w:right w:val="single" w:sz="4" w:space="0" w:color="auto"/>
            </w:tcBorders>
            <w:shd w:val="clear" w:color="000000" w:fill="FF9900"/>
            <w:vAlign w:val="center"/>
            <w:hideMark/>
          </w:tcPr>
          <w:p w14:paraId="1B0C3FF7" w14:textId="77777777" w:rsidR="000271A1" w:rsidRPr="000271A1" w:rsidRDefault="000271A1" w:rsidP="000271A1">
            <w:pPr>
              <w:spacing w:after="0" w:line="240" w:lineRule="auto"/>
              <w:jc w:val="right"/>
              <w:rPr>
                <w:rFonts w:ascii="Tahoma" w:eastAsia="Times New Roman" w:hAnsi="Tahoma" w:cs="Tahoma"/>
                <w:sz w:val="20"/>
                <w:szCs w:val="20"/>
                <w:lang w:eastAsia="hr-HR"/>
              </w:rPr>
            </w:pPr>
            <w:r w:rsidRPr="000271A1">
              <w:rPr>
                <w:rFonts w:ascii="Tahoma" w:eastAsia="Times New Roman" w:hAnsi="Tahoma" w:cs="Tahoma"/>
                <w:sz w:val="20"/>
                <w:szCs w:val="20"/>
                <w:lang w:eastAsia="hr-HR"/>
              </w:rPr>
              <w:t>37</w:t>
            </w:r>
          </w:p>
        </w:tc>
        <w:tc>
          <w:tcPr>
            <w:tcW w:w="907" w:type="dxa"/>
            <w:tcBorders>
              <w:top w:val="nil"/>
              <w:left w:val="nil"/>
              <w:bottom w:val="single" w:sz="4" w:space="0" w:color="auto"/>
              <w:right w:val="single" w:sz="4" w:space="0" w:color="auto"/>
            </w:tcBorders>
            <w:shd w:val="clear" w:color="000000" w:fill="FF9900"/>
            <w:noWrap/>
            <w:vAlign w:val="center"/>
            <w:hideMark/>
          </w:tcPr>
          <w:p w14:paraId="3FFEB3E8" w14:textId="77777777" w:rsidR="000271A1" w:rsidRPr="000271A1" w:rsidRDefault="000271A1" w:rsidP="000271A1">
            <w:pPr>
              <w:spacing w:after="0" w:line="240" w:lineRule="auto"/>
              <w:jc w:val="right"/>
              <w:rPr>
                <w:rFonts w:ascii="Tahoma" w:eastAsia="Times New Roman" w:hAnsi="Tahoma" w:cs="Tahoma"/>
                <w:sz w:val="20"/>
                <w:szCs w:val="20"/>
                <w:lang w:eastAsia="hr-HR"/>
              </w:rPr>
            </w:pPr>
            <w:r w:rsidRPr="000271A1">
              <w:rPr>
                <w:rFonts w:ascii="Tahoma" w:eastAsia="Times New Roman" w:hAnsi="Tahoma" w:cs="Tahoma"/>
                <w:sz w:val="20"/>
                <w:szCs w:val="20"/>
                <w:lang w:eastAsia="hr-HR"/>
              </w:rPr>
              <w:t>2</w:t>
            </w:r>
          </w:p>
        </w:tc>
        <w:tc>
          <w:tcPr>
            <w:tcW w:w="553" w:type="dxa"/>
            <w:tcBorders>
              <w:top w:val="nil"/>
              <w:left w:val="nil"/>
              <w:bottom w:val="single" w:sz="4" w:space="0" w:color="auto"/>
              <w:right w:val="single" w:sz="4" w:space="0" w:color="auto"/>
            </w:tcBorders>
            <w:shd w:val="clear" w:color="000000" w:fill="FF9900"/>
            <w:noWrap/>
            <w:vAlign w:val="center"/>
            <w:hideMark/>
          </w:tcPr>
          <w:p w14:paraId="2948A892" w14:textId="77777777" w:rsidR="000271A1" w:rsidRPr="000271A1" w:rsidRDefault="000271A1" w:rsidP="000271A1">
            <w:pPr>
              <w:spacing w:after="0" w:line="240" w:lineRule="auto"/>
              <w:jc w:val="right"/>
              <w:rPr>
                <w:rFonts w:ascii="Tahoma" w:eastAsia="Times New Roman" w:hAnsi="Tahoma" w:cs="Tahoma"/>
                <w:sz w:val="20"/>
                <w:szCs w:val="20"/>
                <w:lang w:eastAsia="hr-HR"/>
              </w:rPr>
            </w:pPr>
            <w:r w:rsidRPr="000271A1">
              <w:rPr>
                <w:rFonts w:ascii="Tahoma" w:eastAsia="Times New Roman" w:hAnsi="Tahoma" w:cs="Tahoma"/>
                <w:sz w:val="20"/>
                <w:szCs w:val="20"/>
                <w:lang w:eastAsia="hr-HR"/>
              </w:rPr>
              <w:t> </w:t>
            </w:r>
          </w:p>
        </w:tc>
        <w:tc>
          <w:tcPr>
            <w:tcW w:w="918" w:type="dxa"/>
            <w:tcBorders>
              <w:top w:val="nil"/>
              <w:left w:val="nil"/>
              <w:bottom w:val="single" w:sz="4" w:space="0" w:color="auto"/>
              <w:right w:val="single" w:sz="4" w:space="0" w:color="auto"/>
            </w:tcBorders>
            <w:shd w:val="clear" w:color="000000" w:fill="FF9900"/>
            <w:noWrap/>
            <w:vAlign w:val="center"/>
            <w:hideMark/>
          </w:tcPr>
          <w:p w14:paraId="6377A1FC" w14:textId="77777777" w:rsidR="000271A1" w:rsidRPr="000271A1" w:rsidRDefault="000271A1" w:rsidP="000271A1">
            <w:pPr>
              <w:spacing w:after="0" w:line="240" w:lineRule="auto"/>
              <w:jc w:val="right"/>
              <w:rPr>
                <w:rFonts w:ascii="Tahoma" w:eastAsia="Times New Roman" w:hAnsi="Tahoma" w:cs="Tahoma"/>
                <w:sz w:val="20"/>
                <w:szCs w:val="20"/>
                <w:lang w:eastAsia="hr-HR"/>
              </w:rPr>
            </w:pPr>
            <w:r w:rsidRPr="000271A1">
              <w:rPr>
                <w:rFonts w:ascii="Tahoma" w:eastAsia="Times New Roman" w:hAnsi="Tahoma" w:cs="Tahoma"/>
                <w:sz w:val="20"/>
                <w:szCs w:val="20"/>
                <w:lang w:eastAsia="hr-HR"/>
              </w:rPr>
              <w:t> </w:t>
            </w:r>
          </w:p>
        </w:tc>
        <w:tc>
          <w:tcPr>
            <w:tcW w:w="428" w:type="dxa"/>
            <w:tcBorders>
              <w:top w:val="nil"/>
              <w:left w:val="nil"/>
              <w:bottom w:val="single" w:sz="4" w:space="0" w:color="auto"/>
              <w:right w:val="single" w:sz="4" w:space="0" w:color="auto"/>
            </w:tcBorders>
            <w:shd w:val="clear" w:color="000000" w:fill="CCFFFF"/>
            <w:noWrap/>
            <w:vAlign w:val="center"/>
            <w:hideMark/>
          </w:tcPr>
          <w:p w14:paraId="7F8E1C2E" w14:textId="77777777" w:rsidR="000271A1" w:rsidRPr="000271A1" w:rsidRDefault="000271A1" w:rsidP="000271A1">
            <w:pPr>
              <w:spacing w:after="0" w:line="240" w:lineRule="auto"/>
              <w:jc w:val="right"/>
              <w:rPr>
                <w:rFonts w:ascii="Tahoma" w:eastAsia="Times New Roman" w:hAnsi="Tahoma" w:cs="Tahoma"/>
                <w:sz w:val="20"/>
                <w:szCs w:val="20"/>
                <w:lang w:eastAsia="hr-HR"/>
              </w:rPr>
            </w:pPr>
            <w:r w:rsidRPr="000271A1">
              <w:rPr>
                <w:rFonts w:ascii="Tahoma" w:eastAsia="Times New Roman" w:hAnsi="Tahoma" w:cs="Tahoma"/>
                <w:sz w:val="20"/>
                <w:szCs w:val="20"/>
                <w:lang w:eastAsia="hr-HR"/>
              </w:rPr>
              <w:t>1</w:t>
            </w:r>
          </w:p>
        </w:tc>
        <w:tc>
          <w:tcPr>
            <w:tcW w:w="428" w:type="dxa"/>
            <w:tcBorders>
              <w:top w:val="nil"/>
              <w:left w:val="nil"/>
              <w:bottom w:val="single" w:sz="4" w:space="0" w:color="auto"/>
              <w:right w:val="single" w:sz="4" w:space="0" w:color="auto"/>
            </w:tcBorders>
            <w:shd w:val="clear" w:color="000000" w:fill="CCFFFF"/>
            <w:noWrap/>
            <w:vAlign w:val="center"/>
            <w:hideMark/>
          </w:tcPr>
          <w:p w14:paraId="09DC1689" w14:textId="77777777" w:rsidR="000271A1" w:rsidRPr="000271A1" w:rsidRDefault="000271A1" w:rsidP="000271A1">
            <w:pPr>
              <w:spacing w:after="0" w:line="240" w:lineRule="auto"/>
              <w:jc w:val="right"/>
              <w:rPr>
                <w:rFonts w:ascii="Tahoma" w:eastAsia="Times New Roman" w:hAnsi="Tahoma" w:cs="Tahoma"/>
                <w:sz w:val="20"/>
                <w:szCs w:val="20"/>
                <w:lang w:eastAsia="hr-HR"/>
              </w:rPr>
            </w:pPr>
            <w:r w:rsidRPr="000271A1">
              <w:rPr>
                <w:rFonts w:ascii="Tahoma" w:eastAsia="Times New Roman" w:hAnsi="Tahoma" w:cs="Tahoma"/>
                <w:sz w:val="20"/>
                <w:szCs w:val="20"/>
                <w:lang w:eastAsia="hr-HR"/>
              </w:rPr>
              <w:t>1</w:t>
            </w:r>
          </w:p>
        </w:tc>
        <w:tc>
          <w:tcPr>
            <w:tcW w:w="425" w:type="dxa"/>
            <w:tcBorders>
              <w:top w:val="nil"/>
              <w:left w:val="nil"/>
              <w:bottom w:val="single" w:sz="4" w:space="0" w:color="auto"/>
              <w:right w:val="single" w:sz="4" w:space="0" w:color="auto"/>
            </w:tcBorders>
            <w:shd w:val="clear" w:color="000000" w:fill="CCFFFF"/>
            <w:noWrap/>
            <w:vAlign w:val="center"/>
            <w:hideMark/>
          </w:tcPr>
          <w:p w14:paraId="5B594921" w14:textId="77777777" w:rsidR="000271A1" w:rsidRPr="000271A1" w:rsidRDefault="000271A1" w:rsidP="000271A1">
            <w:pPr>
              <w:spacing w:after="0" w:line="240" w:lineRule="auto"/>
              <w:jc w:val="right"/>
              <w:rPr>
                <w:rFonts w:ascii="Tahoma" w:eastAsia="Times New Roman" w:hAnsi="Tahoma" w:cs="Tahoma"/>
                <w:sz w:val="20"/>
                <w:szCs w:val="20"/>
                <w:lang w:eastAsia="hr-HR"/>
              </w:rPr>
            </w:pPr>
            <w:r w:rsidRPr="000271A1">
              <w:rPr>
                <w:rFonts w:ascii="Tahoma" w:eastAsia="Times New Roman" w:hAnsi="Tahoma" w:cs="Tahoma"/>
                <w:sz w:val="20"/>
                <w:szCs w:val="20"/>
                <w:lang w:eastAsia="hr-HR"/>
              </w:rPr>
              <w:t> </w:t>
            </w:r>
          </w:p>
        </w:tc>
        <w:tc>
          <w:tcPr>
            <w:tcW w:w="425" w:type="dxa"/>
            <w:tcBorders>
              <w:top w:val="nil"/>
              <w:left w:val="nil"/>
              <w:bottom w:val="single" w:sz="4" w:space="0" w:color="auto"/>
              <w:right w:val="nil"/>
            </w:tcBorders>
            <w:shd w:val="clear" w:color="000000" w:fill="33CCCC"/>
            <w:noWrap/>
            <w:vAlign w:val="center"/>
            <w:hideMark/>
          </w:tcPr>
          <w:p w14:paraId="0B575C25" w14:textId="77777777" w:rsidR="000271A1" w:rsidRPr="000271A1" w:rsidRDefault="000271A1" w:rsidP="000271A1">
            <w:pPr>
              <w:spacing w:after="0" w:line="240" w:lineRule="auto"/>
              <w:jc w:val="right"/>
              <w:rPr>
                <w:rFonts w:ascii="Tahoma" w:eastAsia="Times New Roman" w:hAnsi="Tahoma" w:cs="Tahoma"/>
                <w:sz w:val="20"/>
                <w:szCs w:val="20"/>
                <w:lang w:eastAsia="hr-HR"/>
              </w:rPr>
            </w:pPr>
            <w:r w:rsidRPr="000271A1">
              <w:rPr>
                <w:rFonts w:ascii="Tahoma" w:eastAsia="Times New Roman" w:hAnsi="Tahoma" w:cs="Tahoma"/>
                <w:sz w:val="20"/>
                <w:szCs w:val="20"/>
                <w:lang w:eastAsia="hr-HR"/>
              </w:rPr>
              <w:t>3</w:t>
            </w:r>
          </w:p>
        </w:tc>
        <w:tc>
          <w:tcPr>
            <w:tcW w:w="440" w:type="dxa"/>
            <w:gridSpan w:val="2"/>
            <w:tcBorders>
              <w:top w:val="nil"/>
              <w:left w:val="single" w:sz="4" w:space="0" w:color="auto"/>
              <w:bottom w:val="single" w:sz="4" w:space="0" w:color="auto"/>
              <w:right w:val="single" w:sz="8" w:space="0" w:color="auto"/>
            </w:tcBorders>
            <w:shd w:val="clear" w:color="000000" w:fill="33CCCC"/>
            <w:noWrap/>
            <w:vAlign w:val="center"/>
            <w:hideMark/>
          </w:tcPr>
          <w:p w14:paraId="3176B329" w14:textId="77777777" w:rsidR="000271A1" w:rsidRPr="000271A1" w:rsidRDefault="000271A1" w:rsidP="000271A1">
            <w:pPr>
              <w:spacing w:after="0" w:line="240" w:lineRule="auto"/>
              <w:jc w:val="right"/>
              <w:rPr>
                <w:rFonts w:ascii="Tahoma" w:eastAsia="Times New Roman" w:hAnsi="Tahoma" w:cs="Tahoma"/>
                <w:sz w:val="20"/>
                <w:szCs w:val="20"/>
                <w:lang w:eastAsia="hr-HR"/>
              </w:rPr>
            </w:pPr>
            <w:r w:rsidRPr="000271A1">
              <w:rPr>
                <w:rFonts w:ascii="Tahoma" w:eastAsia="Times New Roman" w:hAnsi="Tahoma" w:cs="Tahoma"/>
                <w:sz w:val="20"/>
                <w:szCs w:val="20"/>
                <w:lang w:eastAsia="hr-HR"/>
              </w:rPr>
              <w:t>4</w:t>
            </w:r>
          </w:p>
        </w:tc>
        <w:tc>
          <w:tcPr>
            <w:tcW w:w="236" w:type="dxa"/>
            <w:vAlign w:val="center"/>
            <w:hideMark/>
          </w:tcPr>
          <w:p w14:paraId="31C3FCD1" w14:textId="77777777" w:rsidR="000271A1" w:rsidRPr="000271A1" w:rsidRDefault="000271A1" w:rsidP="000271A1">
            <w:pPr>
              <w:spacing w:after="0" w:line="240" w:lineRule="auto"/>
              <w:rPr>
                <w:rFonts w:ascii="Times New Roman" w:eastAsia="Times New Roman" w:hAnsi="Times New Roman" w:cs="Times New Roman"/>
                <w:sz w:val="20"/>
                <w:szCs w:val="20"/>
                <w:lang w:eastAsia="hr-HR"/>
              </w:rPr>
            </w:pPr>
          </w:p>
        </w:tc>
      </w:tr>
      <w:tr w:rsidR="000271A1" w:rsidRPr="000271A1" w14:paraId="459C51B8" w14:textId="77777777" w:rsidTr="000271A1">
        <w:trPr>
          <w:gridAfter w:val="1"/>
          <w:wAfter w:w="26" w:type="dxa"/>
          <w:trHeight w:val="300"/>
        </w:trPr>
        <w:tc>
          <w:tcPr>
            <w:tcW w:w="1119" w:type="dxa"/>
            <w:tcBorders>
              <w:top w:val="single" w:sz="4" w:space="0" w:color="auto"/>
              <w:left w:val="single" w:sz="8" w:space="0" w:color="auto"/>
              <w:bottom w:val="single" w:sz="4" w:space="0" w:color="auto"/>
              <w:right w:val="single" w:sz="4" w:space="0" w:color="auto"/>
            </w:tcBorders>
            <w:shd w:val="clear" w:color="000000" w:fill="CCFFCC"/>
            <w:vAlign w:val="center"/>
            <w:hideMark/>
          </w:tcPr>
          <w:p w14:paraId="5181A07E" w14:textId="77777777" w:rsidR="000271A1" w:rsidRPr="000271A1" w:rsidRDefault="000271A1" w:rsidP="000271A1">
            <w:pPr>
              <w:spacing w:after="0" w:line="240" w:lineRule="auto"/>
              <w:rPr>
                <w:rFonts w:ascii="Tahoma" w:eastAsia="Times New Roman" w:hAnsi="Tahoma" w:cs="Tahoma"/>
                <w:sz w:val="20"/>
                <w:szCs w:val="20"/>
                <w:lang w:eastAsia="hr-HR"/>
              </w:rPr>
            </w:pPr>
            <w:r w:rsidRPr="000271A1">
              <w:rPr>
                <w:rFonts w:ascii="Tahoma" w:eastAsia="Times New Roman" w:hAnsi="Tahoma" w:cs="Tahoma"/>
                <w:sz w:val="20"/>
                <w:szCs w:val="20"/>
                <w:lang w:eastAsia="hr-HR"/>
              </w:rPr>
              <w:t>Bračni ili obiteljski status</w:t>
            </w:r>
          </w:p>
        </w:tc>
        <w:tc>
          <w:tcPr>
            <w:tcW w:w="671" w:type="dxa"/>
            <w:tcBorders>
              <w:top w:val="nil"/>
              <w:left w:val="nil"/>
              <w:bottom w:val="single" w:sz="4" w:space="0" w:color="auto"/>
              <w:right w:val="single" w:sz="4" w:space="0" w:color="auto"/>
            </w:tcBorders>
            <w:shd w:val="clear" w:color="000000" w:fill="FFCC99"/>
            <w:noWrap/>
            <w:vAlign w:val="center"/>
            <w:hideMark/>
          </w:tcPr>
          <w:p w14:paraId="74F6F024" w14:textId="77777777" w:rsidR="000271A1" w:rsidRPr="000271A1" w:rsidRDefault="000271A1" w:rsidP="000271A1">
            <w:pPr>
              <w:spacing w:after="0" w:line="240" w:lineRule="auto"/>
              <w:jc w:val="right"/>
              <w:rPr>
                <w:rFonts w:ascii="Tahoma" w:eastAsia="Times New Roman" w:hAnsi="Tahoma" w:cs="Tahoma"/>
                <w:sz w:val="20"/>
                <w:szCs w:val="20"/>
                <w:lang w:eastAsia="hr-HR"/>
              </w:rPr>
            </w:pPr>
            <w:r w:rsidRPr="000271A1">
              <w:rPr>
                <w:rFonts w:ascii="Tahoma" w:eastAsia="Times New Roman" w:hAnsi="Tahoma" w:cs="Tahoma"/>
                <w:sz w:val="20"/>
                <w:szCs w:val="20"/>
                <w:lang w:eastAsia="hr-HR"/>
              </w:rPr>
              <w:t>3</w:t>
            </w:r>
          </w:p>
        </w:tc>
        <w:tc>
          <w:tcPr>
            <w:tcW w:w="519" w:type="dxa"/>
            <w:tcBorders>
              <w:top w:val="nil"/>
              <w:left w:val="nil"/>
              <w:bottom w:val="single" w:sz="4" w:space="0" w:color="auto"/>
              <w:right w:val="single" w:sz="4" w:space="0" w:color="auto"/>
            </w:tcBorders>
            <w:shd w:val="clear" w:color="000000" w:fill="FFFF00"/>
            <w:noWrap/>
            <w:vAlign w:val="center"/>
            <w:hideMark/>
          </w:tcPr>
          <w:p w14:paraId="40678446" w14:textId="77777777" w:rsidR="000271A1" w:rsidRPr="000271A1" w:rsidRDefault="000271A1" w:rsidP="000271A1">
            <w:pPr>
              <w:spacing w:after="0" w:line="240" w:lineRule="auto"/>
              <w:jc w:val="right"/>
              <w:rPr>
                <w:rFonts w:ascii="Tahoma" w:eastAsia="Times New Roman" w:hAnsi="Tahoma" w:cs="Tahoma"/>
                <w:sz w:val="20"/>
                <w:szCs w:val="20"/>
                <w:lang w:eastAsia="hr-HR"/>
              </w:rPr>
            </w:pPr>
            <w:r w:rsidRPr="000271A1">
              <w:rPr>
                <w:rFonts w:ascii="Tahoma" w:eastAsia="Times New Roman" w:hAnsi="Tahoma" w:cs="Tahoma"/>
                <w:sz w:val="20"/>
                <w:szCs w:val="20"/>
                <w:lang w:eastAsia="hr-HR"/>
              </w:rPr>
              <w:t>2</w:t>
            </w:r>
          </w:p>
        </w:tc>
        <w:tc>
          <w:tcPr>
            <w:tcW w:w="365" w:type="dxa"/>
            <w:tcBorders>
              <w:top w:val="nil"/>
              <w:left w:val="nil"/>
              <w:bottom w:val="single" w:sz="4" w:space="0" w:color="auto"/>
              <w:right w:val="single" w:sz="4" w:space="0" w:color="auto"/>
            </w:tcBorders>
            <w:shd w:val="clear" w:color="000000" w:fill="CCFFFF"/>
            <w:noWrap/>
            <w:vAlign w:val="center"/>
            <w:hideMark/>
          </w:tcPr>
          <w:p w14:paraId="5E4A3A2F" w14:textId="77777777" w:rsidR="000271A1" w:rsidRPr="000271A1" w:rsidRDefault="000271A1" w:rsidP="000271A1">
            <w:pPr>
              <w:spacing w:after="0" w:line="240" w:lineRule="auto"/>
              <w:jc w:val="right"/>
              <w:rPr>
                <w:rFonts w:ascii="Tahoma" w:eastAsia="Times New Roman" w:hAnsi="Tahoma" w:cs="Tahoma"/>
                <w:sz w:val="20"/>
                <w:szCs w:val="20"/>
                <w:lang w:eastAsia="hr-HR"/>
              </w:rPr>
            </w:pPr>
            <w:r w:rsidRPr="000271A1">
              <w:rPr>
                <w:rFonts w:ascii="Tahoma" w:eastAsia="Times New Roman" w:hAnsi="Tahoma" w:cs="Tahoma"/>
                <w:sz w:val="20"/>
                <w:szCs w:val="20"/>
                <w:lang w:eastAsia="hr-HR"/>
              </w:rPr>
              <w:t>1</w:t>
            </w:r>
          </w:p>
        </w:tc>
        <w:tc>
          <w:tcPr>
            <w:tcW w:w="379" w:type="dxa"/>
            <w:tcBorders>
              <w:top w:val="nil"/>
              <w:left w:val="nil"/>
              <w:bottom w:val="single" w:sz="4" w:space="0" w:color="auto"/>
              <w:right w:val="single" w:sz="4" w:space="0" w:color="auto"/>
            </w:tcBorders>
            <w:shd w:val="clear" w:color="000000" w:fill="CCFFFF"/>
            <w:noWrap/>
            <w:vAlign w:val="center"/>
            <w:hideMark/>
          </w:tcPr>
          <w:p w14:paraId="60A70539" w14:textId="77777777" w:rsidR="000271A1" w:rsidRPr="000271A1" w:rsidRDefault="000271A1" w:rsidP="000271A1">
            <w:pPr>
              <w:spacing w:after="0" w:line="240" w:lineRule="auto"/>
              <w:jc w:val="right"/>
              <w:rPr>
                <w:rFonts w:ascii="Tahoma" w:eastAsia="Times New Roman" w:hAnsi="Tahoma" w:cs="Tahoma"/>
                <w:sz w:val="20"/>
                <w:szCs w:val="20"/>
                <w:lang w:eastAsia="hr-HR"/>
              </w:rPr>
            </w:pPr>
            <w:r w:rsidRPr="000271A1">
              <w:rPr>
                <w:rFonts w:ascii="Tahoma" w:eastAsia="Times New Roman" w:hAnsi="Tahoma" w:cs="Tahoma"/>
                <w:sz w:val="20"/>
                <w:szCs w:val="20"/>
                <w:lang w:eastAsia="hr-HR"/>
              </w:rPr>
              <w:t>1</w:t>
            </w:r>
          </w:p>
        </w:tc>
        <w:tc>
          <w:tcPr>
            <w:tcW w:w="698" w:type="dxa"/>
            <w:tcBorders>
              <w:top w:val="nil"/>
              <w:left w:val="nil"/>
              <w:bottom w:val="single" w:sz="4" w:space="0" w:color="auto"/>
              <w:right w:val="single" w:sz="4" w:space="0" w:color="auto"/>
            </w:tcBorders>
            <w:shd w:val="clear" w:color="000000" w:fill="FFFF99"/>
            <w:noWrap/>
            <w:vAlign w:val="center"/>
            <w:hideMark/>
          </w:tcPr>
          <w:p w14:paraId="028047FC" w14:textId="77777777" w:rsidR="000271A1" w:rsidRPr="000271A1" w:rsidRDefault="000271A1" w:rsidP="000271A1">
            <w:pPr>
              <w:spacing w:after="0" w:line="240" w:lineRule="auto"/>
              <w:jc w:val="right"/>
              <w:rPr>
                <w:rFonts w:ascii="Tahoma" w:eastAsia="Times New Roman" w:hAnsi="Tahoma" w:cs="Tahoma"/>
                <w:sz w:val="20"/>
                <w:szCs w:val="20"/>
                <w:lang w:eastAsia="hr-HR"/>
              </w:rPr>
            </w:pPr>
            <w:r w:rsidRPr="000271A1">
              <w:rPr>
                <w:rFonts w:ascii="Tahoma" w:eastAsia="Times New Roman" w:hAnsi="Tahoma" w:cs="Tahoma"/>
                <w:sz w:val="20"/>
                <w:szCs w:val="20"/>
                <w:lang w:eastAsia="hr-HR"/>
              </w:rPr>
              <w:t>2</w:t>
            </w:r>
          </w:p>
        </w:tc>
        <w:tc>
          <w:tcPr>
            <w:tcW w:w="698" w:type="dxa"/>
            <w:tcBorders>
              <w:top w:val="nil"/>
              <w:left w:val="nil"/>
              <w:bottom w:val="single" w:sz="4" w:space="0" w:color="auto"/>
              <w:right w:val="single" w:sz="4" w:space="0" w:color="auto"/>
            </w:tcBorders>
            <w:shd w:val="clear" w:color="000000" w:fill="FFFF99"/>
            <w:noWrap/>
            <w:vAlign w:val="center"/>
            <w:hideMark/>
          </w:tcPr>
          <w:p w14:paraId="0E562DB8" w14:textId="77777777" w:rsidR="000271A1" w:rsidRPr="000271A1" w:rsidRDefault="000271A1" w:rsidP="000271A1">
            <w:pPr>
              <w:spacing w:after="0" w:line="240" w:lineRule="auto"/>
              <w:jc w:val="right"/>
              <w:rPr>
                <w:rFonts w:ascii="Tahoma" w:eastAsia="Times New Roman" w:hAnsi="Tahoma" w:cs="Tahoma"/>
                <w:sz w:val="20"/>
                <w:szCs w:val="20"/>
                <w:lang w:eastAsia="hr-HR"/>
              </w:rPr>
            </w:pPr>
            <w:r w:rsidRPr="000271A1">
              <w:rPr>
                <w:rFonts w:ascii="Tahoma" w:eastAsia="Times New Roman" w:hAnsi="Tahoma" w:cs="Tahoma"/>
                <w:sz w:val="20"/>
                <w:szCs w:val="20"/>
                <w:lang w:eastAsia="hr-HR"/>
              </w:rPr>
              <w:t> </w:t>
            </w:r>
          </w:p>
        </w:tc>
        <w:tc>
          <w:tcPr>
            <w:tcW w:w="512" w:type="dxa"/>
            <w:tcBorders>
              <w:top w:val="nil"/>
              <w:left w:val="nil"/>
              <w:bottom w:val="single" w:sz="4" w:space="0" w:color="auto"/>
              <w:right w:val="single" w:sz="4" w:space="0" w:color="auto"/>
            </w:tcBorders>
            <w:shd w:val="clear" w:color="000000" w:fill="FFFF99"/>
            <w:noWrap/>
            <w:vAlign w:val="center"/>
            <w:hideMark/>
          </w:tcPr>
          <w:p w14:paraId="1B24B4E7" w14:textId="77777777" w:rsidR="000271A1" w:rsidRPr="000271A1" w:rsidRDefault="000271A1" w:rsidP="000271A1">
            <w:pPr>
              <w:spacing w:after="0" w:line="240" w:lineRule="auto"/>
              <w:jc w:val="right"/>
              <w:rPr>
                <w:rFonts w:ascii="Tahoma" w:eastAsia="Times New Roman" w:hAnsi="Tahoma" w:cs="Tahoma"/>
                <w:sz w:val="20"/>
                <w:szCs w:val="20"/>
                <w:lang w:eastAsia="hr-HR"/>
              </w:rPr>
            </w:pPr>
            <w:r w:rsidRPr="000271A1">
              <w:rPr>
                <w:rFonts w:ascii="Tahoma" w:eastAsia="Times New Roman" w:hAnsi="Tahoma" w:cs="Tahoma"/>
                <w:sz w:val="20"/>
                <w:szCs w:val="20"/>
                <w:lang w:eastAsia="hr-HR"/>
              </w:rPr>
              <w:t> </w:t>
            </w:r>
          </w:p>
        </w:tc>
        <w:tc>
          <w:tcPr>
            <w:tcW w:w="698" w:type="dxa"/>
            <w:tcBorders>
              <w:top w:val="nil"/>
              <w:left w:val="nil"/>
              <w:bottom w:val="single" w:sz="4" w:space="0" w:color="auto"/>
              <w:right w:val="single" w:sz="4" w:space="0" w:color="auto"/>
            </w:tcBorders>
            <w:shd w:val="clear" w:color="000000" w:fill="FFFF99"/>
            <w:noWrap/>
            <w:vAlign w:val="center"/>
            <w:hideMark/>
          </w:tcPr>
          <w:p w14:paraId="6A3CD037" w14:textId="77777777" w:rsidR="000271A1" w:rsidRPr="000271A1" w:rsidRDefault="000271A1" w:rsidP="000271A1">
            <w:pPr>
              <w:spacing w:after="0" w:line="240" w:lineRule="auto"/>
              <w:jc w:val="right"/>
              <w:rPr>
                <w:rFonts w:ascii="Tahoma" w:eastAsia="Times New Roman" w:hAnsi="Tahoma" w:cs="Tahoma"/>
                <w:sz w:val="20"/>
                <w:szCs w:val="20"/>
                <w:lang w:eastAsia="hr-HR"/>
              </w:rPr>
            </w:pPr>
            <w:r w:rsidRPr="000271A1">
              <w:rPr>
                <w:rFonts w:ascii="Tahoma" w:eastAsia="Times New Roman" w:hAnsi="Tahoma" w:cs="Tahoma"/>
                <w:sz w:val="20"/>
                <w:szCs w:val="20"/>
                <w:lang w:eastAsia="hr-HR"/>
              </w:rPr>
              <w:t> </w:t>
            </w:r>
          </w:p>
        </w:tc>
        <w:tc>
          <w:tcPr>
            <w:tcW w:w="444" w:type="dxa"/>
            <w:tcBorders>
              <w:top w:val="nil"/>
              <w:left w:val="nil"/>
              <w:bottom w:val="single" w:sz="4" w:space="0" w:color="auto"/>
              <w:right w:val="single" w:sz="4" w:space="0" w:color="auto"/>
            </w:tcBorders>
            <w:shd w:val="clear" w:color="000000" w:fill="FFFF99"/>
            <w:noWrap/>
            <w:vAlign w:val="center"/>
            <w:hideMark/>
          </w:tcPr>
          <w:p w14:paraId="3A0CC711" w14:textId="77777777" w:rsidR="000271A1" w:rsidRPr="000271A1" w:rsidRDefault="000271A1" w:rsidP="000271A1">
            <w:pPr>
              <w:spacing w:after="0" w:line="240" w:lineRule="auto"/>
              <w:jc w:val="right"/>
              <w:rPr>
                <w:rFonts w:ascii="Tahoma" w:eastAsia="Times New Roman" w:hAnsi="Tahoma" w:cs="Tahoma"/>
                <w:sz w:val="20"/>
                <w:szCs w:val="20"/>
                <w:lang w:eastAsia="hr-HR"/>
              </w:rPr>
            </w:pPr>
            <w:r w:rsidRPr="000271A1">
              <w:rPr>
                <w:rFonts w:ascii="Tahoma" w:eastAsia="Times New Roman" w:hAnsi="Tahoma" w:cs="Tahoma"/>
                <w:sz w:val="20"/>
                <w:szCs w:val="20"/>
                <w:lang w:eastAsia="hr-HR"/>
              </w:rPr>
              <w:t> </w:t>
            </w:r>
          </w:p>
        </w:tc>
        <w:tc>
          <w:tcPr>
            <w:tcW w:w="698" w:type="dxa"/>
            <w:tcBorders>
              <w:top w:val="nil"/>
              <w:left w:val="nil"/>
              <w:bottom w:val="single" w:sz="4" w:space="0" w:color="auto"/>
              <w:right w:val="single" w:sz="4" w:space="0" w:color="auto"/>
            </w:tcBorders>
            <w:shd w:val="clear" w:color="000000" w:fill="FFFF99"/>
            <w:noWrap/>
            <w:vAlign w:val="center"/>
            <w:hideMark/>
          </w:tcPr>
          <w:p w14:paraId="173D9F09" w14:textId="77777777" w:rsidR="000271A1" w:rsidRPr="000271A1" w:rsidRDefault="000271A1" w:rsidP="000271A1">
            <w:pPr>
              <w:spacing w:after="0" w:line="240" w:lineRule="auto"/>
              <w:jc w:val="right"/>
              <w:rPr>
                <w:rFonts w:ascii="Tahoma" w:eastAsia="Times New Roman" w:hAnsi="Tahoma" w:cs="Tahoma"/>
                <w:sz w:val="20"/>
                <w:szCs w:val="20"/>
                <w:lang w:eastAsia="hr-HR"/>
              </w:rPr>
            </w:pPr>
            <w:r w:rsidRPr="000271A1">
              <w:rPr>
                <w:rFonts w:ascii="Tahoma" w:eastAsia="Times New Roman" w:hAnsi="Tahoma" w:cs="Tahoma"/>
                <w:sz w:val="20"/>
                <w:szCs w:val="20"/>
                <w:lang w:eastAsia="hr-HR"/>
              </w:rPr>
              <w:t> </w:t>
            </w:r>
          </w:p>
        </w:tc>
        <w:tc>
          <w:tcPr>
            <w:tcW w:w="444" w:type="dxa"/>
            <w:gridSpan w:val="2"/>
            <w:tcBorders>
              <w:top w:val="nil"/>
              <w:left w:val="nil"/>
              <w:bottom w:val="single" w:sz="4" w:space="0" w:color="auto"/>
              <w:right w:val="single" w:sz="4" w:space="0" w:color="auto"/>
            </w:tcBorders>
            <w:shd w:val="clear" w:color="000000" w:fill="FF9900"/>
            <w:noWrap/>
            <w:vAlign w:val="center"/>
            <w:hideMark/>
          </w:tcPr>
          <w:p w14:paraId="320AD72A" w14:textId="77777777" w:rsidR="000271A1" w:rsidRPr="000271A1" w:rsidRDefault="000271A1" w:rsidP="000271A1">
            <w:pPr>
              <w:spacing w:after="0" w:line="240" w:lineRule="auto"/>
              <w:jc w:val="right"/>
              <w:rPr>
                <w:rFonts w:ascii="Tahoma" w:eastAsia="Times New Roman" w:hAnsi="Tahoma" w:cs="Tahoma"/>
                <w:sz w:val="20"/>
                <w:szCs w:val="20"/>
                <w:lang w:eastAsia="hr-HR"/>
              </w:rPr>
            </w:pPr>
            <w:r w:rsidRPr="000271A1">
              <w:rPr>
                <w:rFonts w:ascii="Tahoma" w:eastAsia="Times New Roman" w:hAnsi="Tahoma" w:cs="Tahoma"/>
                <w:sz w:val="20"/>
                <w:szCs w:val="20"/>
                <w:lang w:eastAsia="hr-HR"/>
              </w:rPr>
              <w:t> </w:t>
            </w:r>
          </w:p>
        </w:tc>
        <w:tc>
          <w:tcPr>
            <w:tcW w:w="521" w:type="dxa"/>
            <w:tcBorders>
              <w:top w:val="nil"/>
              <w:left w:val="nil"/>
              <w:bottom w:val="single" w:sz="4" w:space="0" w:color="auto"/>
              <w:right w:val="single" w:sz="4" w:space="0" w:color="auto"/>
            </w:tcBorders>
            <w:shd w:val="clear" w:color="000000" w:fill="FF9900"/>
            <w:noWrap/>
            <w:vAlign w:val="center"/>
            <w:hideMark/>
          </w:tcPr>
          <w:p w14:paraId="64ED3741" w14:textId="77777777" w:rsidR="000271A1" w:rsidRPr="000271A1" w:rsidRDefault="000271A1" w:rsidP="000271A1">
            <w:pPr>
              <w:spacing w:after="0" w:line="240" w:lineRule="auto"/>
              <w:jc w:val="right"/>
              <w:rPr>
                <w:rFonts w:ascii="Tahoma" w:eastAsia="Times New Roman" w:hAnsi="Tahoma" w:cs="Tahoma"/>
                <w:sz w:val="20"/>
                <w:szCs w:val="20"/>
                <w:lang w:eastAsia="hr-HR"/>
              </w:rPr>
            </w:pPr>
            <w:r w:rsidRPr="000271A1">
              <w:rPr>
                <w:rFonts w:ascii="Tahoma" w:eastAsia="Times New Roman" w:hAnsi="Tahoma" w:cs="Tahoma"/>
                <w:sz w:val="20"/>
                <w:szCs w:val="20"/>
                <w:lang w:eastAsia="hr-HR"/>
              </w:rPr>
              <w:t> </w:t>
            </w:r>
          </w:p>
        </w:tc>
        <w:tc>
          <w:tcPr>
            <w:tcW w:w="521" w:type="dxa"/>
            <w:tcBorders>
              <w:top w:val="nil"/>
              <w:left w:val="nil"/>
              <w:bottom w:val="single" w:sz="4" w:space="0" w:color="auto"/>
              <w:right w:val="single" w:sz="4" w:space="0" w:color="auto"/>
            </w:tcBorders>
            <w:shd w:val="clear" w:color="000000" w:fill="FF9900"/>
            <w:noWrap/>
            <w:vAlign w:val="center"/>
            <w:hideMark/>
          </w:tcPr>
          <w:p w14:paraId="7B6DA003" w14:textId="77777777" w:rsidR="000271A1" w:rsidRPr="000271A1" w:rsidRDefault="000271A1" w:rsidP="000271A1">
            <w:pPr>
              <w:spacing w:after="0" w:line="240" w:lineRule="auto"/>
              <w:jc w:val="right"/>
              <w:rPr>
                <w:rFonts w:ascii="Tahoma" w:eastAsia="Times New Roman" w:hAnsi="Tahoma" w:cs="Tahoma"/>
                <w:sz w:val="20"/>
                <w:szCs w:val="20"/>
                <w:lang w:eastAsia="hr-HR"/>
              </w:rPr>
            </w:pPr>
            <w:r w:rsidRPr="000271A1">
              <w:rPr>
                <w:rFonts w:ascii="Tahoma" w:eastAsia="Times New Roman" w:hAnsi="Tahoma" w:cs="Tahoma"/>
                <w:sz w:val="20"/>
                <w:szCs w:val="20"/>
                <w:lang w:eastAsia="hr-HR"/>
              </w:rPr>
              <w:t> </w:t>
            </w:r>
          </w:p>
        </w:tc>
        <w:tc>
          <w:tcPr>
            <w:tcW w:w="521" w:type="dxa"/>
            <w:gridSpan w:val="2"/>
            <w:tcBorders>
              <w:top w:val="nil"/>
              <w:left w:val="nil"/>
              <w:bottom w:val="single" w:sz="4" w:space="0" w:color="auto"/>
              <w:right w:val="single" w:sz="4" w:space="0" w:color="auto"/>
            </w:tcBorders>
            <w:shd w:val="clear" w:color="000000" w:fill="FFFF00"/>
            <w:vAlign w:val="center"/>
            <w:hideMark/>
          </w:tcPr>
          <w:p w14:paraId="37A08668" w14:textId="77777777" w:rsidR="000271A1" w:rsidRPr="000271A1" w:rsidRDefault="000271A1" w:rsidP="000271A1">
            <w:pPr>
              <w:spacing w:after="0" w:line="240" w:lineRule="auto"/>
              <w:jc w:val="right"/>
              <w:rPr>
                <w:rFonts w:ascii="Tahoma" w:eastAsia="Times New Roman" w:hAnsi="Tahoma" w:cs="Tahoma"/>
                <w:sz w:val="20"/>
                <w:szCs w:val="20"/>
                <w:lang w:eastAsia="hr-HR"/>
              </w:rPr>
            </w:pPr>
            <w:r w:rsidRPr="000271A1">
              <w:rPr>
                <w:rFonts w:ascii="Tahoma" w:eastAsia="Times New Roman" w:hAnsi="Tahoma" w:cs="Tahoma"/>
                <w:sz w:val="20"/>
                <w:szCs w:val="20"/>
                <w:lang w:eastAsia="hr-HR"/>
              </w:rPr>
              <w:t> </w:t>
            </w:r>
          </w:p>
        </w:tc>
        <w:tc>
          <w:tcPr>
            <w:tcW w:w="702" w:type="dxa"/>
            <w:tcBorders>
              <w:top w:val="nil"/>
              <w:left w:val="nil"/>
              <w:bottom w:val="single" w:sz="4" w:space="0" w:color="auto"/>
              <w:right w:val="single" w:sz="4" w:space="0" w:color="auto"/>
            </w:tcBorders>
            <w:shd w:val="clear" w:color="000000" w:fill="FF9900"/>
            <w:vAlign w:val="center"/>
            <w:hideMark/>
          </w:tcPr>
          <w:p w14:paraId="24510C3D" w14:textId="77777777" w:rsidR="000271A1" w:rsidRPr="000271A1" w:rsidRDefault="000271A1" w:rsidP="000271A1">
            <w:pPr>
              <w:spacing w:after="0" w:line="240" w:lineRule="auto"/>
              <w:jc w:val="right"/>
              <w:rPr>
                <w:rFonts w:ascii="Tahoma" w:eastAsia="Times New Roman" w:hAnsi="Tahoma" w:cs="Tahoma"/>
                <w:sz w:val="20"/>
                <w:szCs w:val="20"/>
                <w:lang w:eastAsia="hr-HR"/>
              </w:rPr>
            </w:pPr>
            <w:r w:rsidRPr="000271A1">
              <w:rPr>
                <w:rFonts w:ascii="Tahoma" w:eastAsia="Times New Roman" w:hAnsi="Tahoma" w:cs="Tahoma"/>
                <w:sz w:val="20"/>
                <w:szCs w:val="20"/>
                <w:lang w:eastAsia="hr-HR"/>
              </w:rPr>
              <w:t>5</w:t>
            </w:r>
          </w:p>
        </w:tc>
        <w:tc>
          <w:tcPr>
            <w:tcW w:w="907" w:type="dxa"/>
            <w:tcBorders>
              <w:top w:val="nil"/>
              <w:left w:val="nil"/>
              <w:bottom w:val="single" w:sz="4" w:space="0" w:color="auto"/>
              <w:right w:val="single" w:sz="4" w:space="0" w:color="auto"/>
            </w:tcBorders>
            <w:shd w:val="clear" w:color="000000" w:fill="FF9900"/>
            <w:noWrap/>
            <w:vAlign w:val="center"/>
            <w:hideMark/>
          </w:tcPr>
          <w:p w14:paraId="544F4C70" w14:textId="77777777" w:rsidR="000271A1" w:rsidRPr="000271A1" w:rsidRDefault="000271A1" w:rsidP="000271A1">
            <w:pPr>
              <w:spacing w:after="0" w:line="240" w:lineRule="auto"/>
              <w:jc w:val="right"/>
              <w:rPr>
                <w:rFonts w:ascii="Tahoma" w:eastAsia="Times New Roman" w:hAnsi="Tahoma" w:cs="Tahoma"/>
                <w:sz w:val="20"/>
                <w:szCs w:val="20"/>
                <w:lang w:eastAsia="hr-HR"/>
              </w:rPr>
            </w:pPr>
            <w:r w:rsidRPr="000271A1">
              <w:rPr>
                <w:rFonts w:ascii="Tahoma" w:eastAsia="Times New Roman" w:hAnsi="Tahoma" w:cs="Tahoma"/>
                <w:sz w:val="20"/>
                <w:szCs w:val="20"/>
                <w:lang w:eastAsia="hr-HR"/>
              </w:rPr>
              <w:t> </w:t>
            </w:r>
          </w:p>
        </w:tc>
        <w:tc>
          <w:tcPr>
            <w:tcW w:w="553" w:type="dxa"/>
            <w:tcBorders>
              <w:top w:val="nil"/>
              <w:left w:val="nil"/>
              <w:bottom w:val="single" w:sz="4" w:space="0" w:color="auto"/>
              <w:right w:val="single" w:sz="4" w:space="0" w:color="auto"/>
            </w:tcBorders>
            <w:shd w:val="clear" w:color="000000" w:fill="FF9900"/>
            <w:noWrap/>
            <w:vAlign w:val="center"/>
            <w:hideMark/>
          </w:tcPr>
          <w:p w14:paraId="01343B15" w14:textId="77777777" w:rsidR="000271A1" w:rsidRPr="000271A1" w:rsidRDefault="000271A1" w:rsidP="000271A1">
            <w:pPr>
              <w:spacing w:after="0" w:line="240" w:lineRule="auto"/>
              <w:jc w:val="right"/>
              <w:rPr>
                <w:rFonts w:ascii="Tahoma" w:eastAsia="Times New Roman" w:hAnsi="Tahoma" w:cs="Tahoma"/>
                <w:sz w:val="20"/>
                <w:szCs w:val="20"/>
                <w:lang w:eastAsia="hr-HR"/>
              </w:rPr>
            </w:pPr>
            <w:r w:rsidRPr="000271A1">
              <w:rPr>
                <w:rFonts w:ascii="Tahoma" w:eastAsia="Times New Roman" w:hAnsi="Tahoma" w:cs="Tahoma"/>
                <w:sz w:val="20"/>
                <w:szCs w:val="20"/>
                <w:lang w:eastAsia="hr-HR"/>
              </w:rPr>
              <w:t> </w:t>
            </w:r>
          </w:p>
        </w:tc>
        <w:tc>
          <w:tcPr>
            <w:tcW w:w="918" w:type="dxa"/>
            <w:tcBorders>
              <w:top w:val="nil"/>
              <w:left w:val="nil"/>
              <w:bottom w:val="single" w:sz="4" w:space="0" w:color="auto"/>
              <w:right w:val="single" w:sz="4" w:space="0" w:color="auto"/>
            </w:tcBorders>
            <w:shd w:val="clear" w:color="000000" w:fill="FF9900"/>
            <w:noWrap/>
            <w:vAlign w:val="center"/>
            <w:hideMark/>
          </w:tcPr>
          <w:p w14:paraId="4BCB58AA" w14:textId="77777777" w:rsidR="000271A1" w:rsidRPr="000271A1" w:rsidRDefault="000271A1" w:rsidP="000271A1">
            <w:pPr>
              <w:spacing w:after="0" w:line="240" w:lineRule="auto"/>
              <w:jc w:val="right"/>
              <w:rPr>
                <w:rFonts w:ascii="Tahoma" w:eastAsia="Times New Roman" w:hAnsi="Tahoma" w:cs="Tahoma"/>
                <w:sz w:val="20"/>
                <w:szCs w:val="20"/>
                <w:lang w:eastAsia="hr-HR"/>
              </w:rPr>
            </w:pPr>
            <w:r w:rsidRPr="000271A1">
              <w:rPr>
                <w:rFonts w:ascii="Tahoma" w:eastAsia="Times New Roman" w:hAnsi="Tahoma" w:cs="Tahoma"/>
                <w:sz w:val="20"/>
                <w:szCs w:val="20"/>
                <w:lang w:eastAsia="hr-HR"/>
              </w:rPr>
              <w:t> </w:t>
            </w:r>
          </w:p>
        </w:tc>
        <w:tc>
          <w:tcPr>
            <w:tcW w:w="428" w:type="dxa"/>
            <w:tcBorders>
              <w:top w:val="nil"/>
              <w:left w:val="nil"/>
              <w:bottom w:val="single" w:sz="4" w:space="0" w:color="auto"/>
              <w:right w:val="single" w:sz="4" w:space="0" w:color="auto"/>
            </w:tcBorders>
            <w:shd w:val="clear" w:color="000000" w:fill="CCFFFF"/>
            <w:noWrap/>
            <w:vAlign w:val="center"/>
            <w:hideMark/>
          </w:tcPr>
          <w:p w14:paraId="531548E6" w14:textId="77777777" w:rsidR="000271A1" w:rsidRPr="000271A1" w:rsidRDefault="000271A1" w:rsidP="000271A1">
            <w:pPr>
              <w:spacing w:after="0" w:line="240" w:lineRule="auto"/>
              <w:jc w:val="right"/>
              <w:rPr>
                <w:rFonts w:ascii="Tahoma" w:eastAsia="Times New Roman" w:hAnsi="Tahoma" w:cs="Tahoma"/>
                <w:sz w:val="20"/>
                <w:szCs w:val="20"/>
                <w:lang w:eastAsia="hr-HR"/>
              </w:rPr>
            </w:pPr>
            <w:r w:rsidRPr="000271A1">
              <w:rPr>
                <w:rFonts w:ascii="Tahoma" w:eastAsia="Times New Roman" w:hAnsi="Tahoma" w:cs="Tahoma"/>
                <w:sz w:val="20"/>
                <w:szCs w:val="20"/>
                <w:lang w:eastAsia="hr-HR"/>
              </w:rPr>
              <w:t> </w:t>
            </w:r>
          </w:p>
        </w:tc>
        <w:tc>
          <w:tcPr>
            <w:tcW w:w="428" w:type="dxa"/>
            <w:tcBorders>
              <w:top w:val="nil"/>
              <w:left w:val="nil"/>
              <w:bottom w:val="single" w:sz="4" w:space="0" w:color="auto"/>
              <w:right w:val="single" w:sz="4" w:space="0" w:color="auto"/>
            </w:tcBorders>
            <w:shd w:val="clear" w:color="000000" w:fill="CCFFFF"/>
            <w:noWrap/>
            <w:vAlign w:val="center"/>
            <w:hideMark/>
          </w:tcPr>
          <w:p w14:paraId="729A8E5F" w14:textId="77777777" w:rsidR="000271A1" w:rsidRPr="000271A1" w:rsidRDefault="000271A1" w:rsidP="000271A1">
            <w:pPr>
              <w:spacing w:after="0" w:line="240" w:lineRule="auto"/>
              <w:jc w:val="right"/>
              <w:rPr>
                <w:rFonts w:ascii="Tahoma" w:eastAsia="Times New Roman" w:hAnsi="Tahoma" w:cs="Tahoma"/>
                <w:sz w:val="20"/>
                <w:szCs w:val="20"/>
                <w:lang w:eastAsia="hr-HR"/>
              </w:rPr>
            </w:pPr>
            <w:r w:rsidRPr="000271A1">
              <w:rPr>
                <w:rFonts w:ascii="Tahoma" w:eastAsia="Times New Roman" w:hAnsi="Tahoma" w:cs="Tahoma"/>
                <w:sz w:val="20"/>
                <w:szCs w:val="20"/>
                <w:lang w:eastAsia="hr-HR"/>
              </w:rPr>
              <w:t> </w:t>
            </w:r>
          </w:p>
        </w:tc>
        <w:tc>
          <w:tcPr>
            <w:tcW w:w="425" w:type="dxa"/>
            <w:tcBorders>
              <w:top w:val="nil"/>
              <w:left w:val="nil"/>
              <w:bottom w:val="single" w:sz="4" w:space="0" w:color="auto"/>
              <w:right w:val="single" w:sz="4" w:space="0" w:color="auto"/>
            </w:tcBorders>
            <w:shd w:val="clear" w:color="000000" w:fill="CCFFFF"/>
            <w:noWrap/>
            <w:vAlign w:val="center"/>
            <w:hideMark/>
          </w:tcPr>
          <w:p w14:paraId="2E54C527" w14:textId="77777777" w:rsidR="000271A1" w:rsidRPr="000271A1" w:rsidRDefault="000271A1" w:rsidP="000271A1">
            <w:pPr>
              <w:spacing w:after="0" w:line="240" w:lineRule="auto"/>
              <w:jc w:val="right"/>
              <w:rPr>
                <w:rFonts w:ascii="Tahoma" w:eastAsia="Times New Roman" w:hAnsi="Tahoma" w:cs="Tahoma"/>
                <w:sz w:val="20"/>
                <w:szCs w:val="20"/>
                <w:lang w:eastAsia="hr-HR"/>
              </w:rPr>
            </w:pPr>
            <w:r w:rsidRPr="000271A1">
              <w:rPr>
                <w:rFonts w:ascii="Tahoma" w:eastAsia="Times New Roman" w:hAnsi="Tahoma" w:cs="Tahoma"/>
                <w:sz w:val="20"/>
                <w:szCs w:val="20"/>
                <w:lang w:eastAsia="hr-HR"/>
              </w:rPr>
              <w:t> </w:t>
            </w:r>
          </w:p>
        </w:tc>
        <w:tc>
          <w:tcPr>
            <w:tcW w:w="425" w:type="dxa"/>
            <w:tcBorders>
              <w:top w:val="nil"/>
              <w:left w:val="nil"/>
              <w:bottom w:val="single" w:sz="4" w:space="0" w:color="auto"/>
              <w:right w:val="nil"/>
            </w:tcBorders>
            <w:shd w:val="clear" w:color="000000" w:fill="33CCCC"/>
            <w:noWrap/>
            <w:vAlign w:val="center"/>
            <w:hideMark/>
          </w:tcPr>
          <w:p w14:paraId="051C3FB7" w14:textId="77777777" w:rsidR="000271A1" w:rsidRPr="000271A1" w:rsidRDefault="000271A1" w:rsidP="000271A1">
            <w:pPr>
              <w:spacing w:after="0" w:line="240" w:lineRule="auto"/>
              <w:jc w:val="right"/>
              <w:rPr>
                <w:rFonts w:ascii="Tahoma" w:eastAsia="Times New Roman" w:hAnsi="Tahoma" w:cs="Tahoma"/>
                <w:sz w:val="20"/>
                <w:szCs w:val="20"/>
                <w:lang w:eastAsia="hr-HR"/>
              </w:rPr>
            </w:pPr>
            <w:r w:rsidRPr="000271A1">
              <w:rPr>
                <w:rFonts w:ascii="Tahoma" w:eastAsia="Times New Roman" w:hAnsi="Tahoma" w:cs="Tahoma"/>
                <w:sz w:val="20"/>
                <w:szCs w:val="20"/>
                <w:lang w:eastAsia="hr-HR"/>
              </w:rPr>
              <w:t> </w:t>
            </w:r>
          </w:p>
        </w:tc>
        <w:tc>
          <w:tcPr>
            <w:tcW w:w="440" w:type="dxa"/>
            <w:gridSpan w:val="2"/>
            <w:tcBorders>
              <w:top w:val="nil"/>
              <w:left w:val="single" w:sz="4" w:space="0" w:color="auto"/>
              <w:bottom w:val="single" w:sz="4" w:space="0" w:color="auto"/>
              <w:right w:val="single" w:sz="8" w:space="0" w:color="auto"/>
            </w:tcBorders>
            <w:shd w:val="clear" w:color="000000" w:fill="33CCCC"/>
            <w:noWrap/>
            <w:vAlign w:val="center"/>
            <w:hideMark/>
          </w:tcPr>
          <w:p w14:paraId="27C4FB17" w14:textId="77777777" w:rsidR="000271A1" w:rsidRPr="000271A1" w:rsidRDefault="000271A1" w:rsidP="000271A1">
            <w:pPr>
              <w:spacing w:after="0" w:line="240" w:lineRule="auto"/>
              <w:jc w:val="right"/>
              <w:rPr>
                <w:rFonts w:ascii="Tahoma" w:eastAsia="Times New Roman" w:hAnsi="Tahoma" w:cs="Tahoma"/>
                <w:sz w:val="20"/>
                <w:szCs w:val="20"/>
                <w:lang w:eastAsia="hr-HR"/>
              </w:rPr>
            </w:pPr>
            <w:r w:rsidRPr="000271A1">
              <w:rPr>
                <w:rFonts w:ascii="Tahoma" w:eastAsia="Times New Roman" w:hAnsi="Tahoma" w:cs="Tahoma"/>
                <w:sz w:val="20"/>
                <w:szCs w:val="20"/>
                <w:lang w:eastAsia="hr-HR"/>
              </w:rPr>
              <w:t> </w:t>
            </w:r>
          </w:p>
        </w:tc>
        <w:tc>
          <w:tcPr>
            <w:tcW w:w="236" w:type="dxa"/>
            <w:vAlign w:val="center"/>
            <w:hideMark/>
          </w:tcPr>
          <w:p w14:paraId="4AE17041" w14:textId="77777777" w:rsidR="000271A1" w:rsidRPr="000271A1" w:rsidRDefault="000271A1" w:rsidP="000271A1">
            <w:pPr>
              <w:spacing w:after="0" w:line="240" w:lineRule="auto"/>
              <w:rPr>
                <w:rFonts w:ascii="Times New Roman" w:eastAsia="Times New Roman" w:hAnsi="Times New Roman" w:cs="Times New Roman"/>
                <w:sz w:val="20"/>
                <w:szCs w:val="20"/>
                <w:lang w:eastAsia="hr-HR"/>
              </w:rPr>
            </w:pPr>
          </w:p>
        </w:tc>
      </w:tr>
      <w:tr w:rsidR="000271A1" w:rsidRPr="000271A1" w14:paraId="4C45A45F" w14:textId="77777777" w:rsidTr="000271A1">
        <w:trPr>
          <w:gridAfter w:val="1"/>
          <w:wAfter w:w="26" w:type="dxa"/>
          <w:trHeight w:val="300"/>
        </w:trPr>
        <w:tc>
          <w:tcPr>
            <w:tcW w:w="1119" w:type="dxa"/>
            <w:tcBorders>
              <w:top w:val="single" w:sz="4" w:space="0" w:color="auto"/>
              <w:left w:val="single" w:sz="8" w:space="0" w:color="auto"/>
              <w:bottom w:val="single" w:sz="4" w:space="0" w:color="auto"/>
              <w:right w:val="single" w:sz="4" w:space="0" w:color="auto"/>
            </w:tcBorders>
            <w:shd w:val="clear" w:color="000000" w:fill="CCFFCC"/>
            <w:vAlign w:val="center"/>
            <w:hideMark/>
          </w:tcPr>
          <w:p w14:paraId="18F7CD19" w14:textId="77777777" w:rsidR="000271A1" w:rsidRPr="000271A1" w:rsidRDefault="000271A1" w:rsidP="000271A1">
            <w:pPr>
              <w:spacing w:after="0" w:line="240" w:lineRule="auto"/>
              <w:rPr>
                <w:rFonts w:ascii="Tahoma" w:eastAsia="Times New Roman" w:hAnsi="Tahoma" w:cs="Tahoma"/>
                <w:sz w:val="20"/>
                <w:szCs w:val="20"/>
                <w:lang w:eastAsia="hr-HR"/>
              </w:rPr>
            </w:pPr>
            <w:r w:rsidRPr="000271A1">
              <w:rPr>
                <w:rFonts w:ascii="Tahoma" w:eastAsia="Times New Roman" w:hAnsi="Tahoma" w:cs="Tahoma"/>
                <w:sz w:val="20"/>
                <w:szCs w:val="20"/>
                <w:lang w:eastAsia="hr-HR"/>
              </w:rPr>
              <w:t>Dob</w:t>
            </w:r>
          </w:p>
        </w:tc>
        <w:tc>
          <w:tcPr>
            <w:tcW w:w="671" w:type="dxa"/>
            <w:tcBorders>
              <w:top w:val="nil"/>
              <w:left w:val="nil"/>
              <w:bottom w:val="single" w:sz="4" w:space="0" w:color="auto"/>
              <w:right w:val="single" w:sz="4" w:space="0" w:color="auto"/>
            </w:tcBorders>
            <w:shd w:val="clear" w:color="000000" w:fill="FFCC99"/>
            <w:noWrap/>
            <w:vAlign w:val="center"/>
            <w:hideMark/>
          </w:tcPr>
          <w:p w14:paraId="7583F5F8" w14:textId="77777777" w:rsidR="000271A1" w:rsidRPr="000271A1" w:rsidRDefault="000271A1" w:rsidP="000271A1">
            <w:pPr>
              <w:spacing w:after="0" w:line="240" w:lineRule="auto"/>
              <w:jc w:val="right"/>
              <w:rPr>
                <w:rFonts w:ascii="Tahoma" w:eastAsia="Times New Roman" w:hAnsi="Tahoma" w:cs="Tahoma"/>
                <w:sz w:val="20"/>
                <w:szCs w:val="20"/>
                <w:lang w:eastAsia="hr-HR"/>
              </w:rPr>
            </w:pPr>
            <w:r w:rsidRPr="000271A1">
              <w:rPr>
                <w:rFonts w:ascii="Tahoma" w:eastAsia="Times New Roman" w:hAnsi="Tahoma" w:cs="Tahoma"/>
                <w:sz w:val="20"/>
                <w:szCs w:val="20"/>
                <w:lang w:eastAsia="hr-HR"/>
              </w:rPr>
              <w:t>9</w:t>
            </w:r>
          </w:p>
        </w:tc>
        <w:tc>
          <w:tcPr>
            <w:tcW w:w="519" w:type="dxa"/>
            <w:tcBorders>
              <w:top w:val="nil"/>
              <w:left w:val="nil"/>
              <w:bottom w:val="single" w:sz="4" w:space="0" w:color="auto"/>
              <w:right w:val="single" w:sz="4" w:space="0" w:color="auto"/>
            </w:tcBorders>
            <w:shd w:val="clear" w:color="000000" w:fill="FFFF00"/>
            <w:noWrap/>
            <w:vAlign w:val="center"/>
            <w:hideMark/>
          </w:tcPr>
          <w:p w14:paraId="62802CA5" w14:textId="77777777" w:rsidR="000271A1" w:rsidRPr="000271A1" w:rsidRDefault="000271A1" w:rsidP="000271A1">
            <w:pPr>
              <w:spacing w:after="0" w:line="240" w:lineRule="auto"/>
              <w:jc w:val="right"/>
              <w:rPr>
                <w:rFonts w:ascii="Tahoma" w:eastAsia="Times New Roman" w:hAnsi="Tahoma" w:cs="Tahoma"/>
                <w:sz w:val="20"/>
                <w:szCs w:val="20"/>
                <w:lang w:eastAsia="hr-HR"/>
              </w:rPr>
            </w:pPr>
            <w:r w:rsidRPr="000271A1">
              <w:rPr>
                <w:rFonts w:ascii="Tahoma" w:eastAsia="Times New Roman" w:hAnsi="Tahoma" w:cs="Tahoma"/>
                <w:sz w:val="20"/>
                <w:szCs w:val="20"/>
                <w:lang w:eastAsia="hr-HR"/>
              </w:rPr>
              <w:t>5</w:t>
            </w:r>
          </w:p>
        </w:tc>
        <w:tc>
          <w:tcPr>
            <w:tcW w:w="365" w:type="dxa"/>
            <w:tcBorders>
              <w:top w:val="nil"/>
              <w:left w:val="nil"/>
              <w:bottom w:val="single" w:sz="4" w:space="0" w:color="auto"/>
              <w:right w:val="single" w:sz="4" w:space="0" w:color="auto"/>
            </w:tcBorders>
            <w:shd w:val="clear" w:color="000000" w:fill="CCFFFF"/>
            <w:noWrap/>
            <w:vAlign w:val="center"/>
            <w:hideMark/>
          </w:tcPr>
          <w:p w14:paraId="6A3D9207" w14:textId="77777777" w:rsidR="000271A1" w:rsidRPr="000271A1" w:rsidRDefault="000271A1" w:rsidP="000271A1">
            <w:pPr>
              <w:spacing w:after="0" w:line="240" w:lineRule="auto"/>
              <w:jc w:val="right"/>
              <w:rPr>
                <w:rFonts w:ascii="Tahoma" w:eastAsia="Times New Roman" w:hAnsi="Tahoma" w:cs="Tahoma"/>
                <w:sz w:val="20"/>
                <w:szCs w:val="20"/>
                <w:lang w:eastAsia="hr-HR"/>
              </w:rPr>
            </w:pPr>
            <w:r w:rsidRPr="000271A1">
              <w:rPr>
                <w:rFonts w:ascii="Tahoma" w:eastAsia="Times New Roman" w:hAnsi="Tahoma" w:cs="Tahoma"/>
                <w:sz w:val="20"/>
                <w:szCs w:val="20"/>
                <w:lang w:eastAsia="hr-HR"/>
              </w:rPr>
              <w:t>2</w:t>
            </w:r>
          </w:p>
        </w:tc>
        <w:tc>
          <w:tcPr>
            <w:tcW w:w="379" w:type="dxa"/>
            <w:tcBorders>
              <w:top w:val="nil"/>
              <w:left w:val="nil"/>
              <w:bottom w:val="single" w:sz="4" w:space="0" w:color="auto"/>
              <w:right w:val="single" w:sz="4" w:space="0" w:color="auto"/>
            </w:tcBorders>
            <w:shd w:val="clear" w:color="000000" w:fill="CCFFFF"/>
            <w:noWrap/>
            <w:vAlign w:val="center"/>
            <w:hideMark/>
          </w:tcPr>
          <w:p w14:paraId="5717F972" w14:textId="77777777" w:rsidR="000271A1" w:rsidRPr="000271A1" w:rsidRDefault="000271A1" w:rsidP="000271A1">
            <w:pPr>
              <w:spacing w:after="0" w:line="240" w:lineRule="auto"/>
              <w:jc w:val="right"/>
              <w:rPr>
                <w:rFonts w:ascii="Tahoma" w:eastAsia="Times New Roman" w:hAnsi="Tahoma" w:cs="Tahoma"/>
                <w:sz w:val="20"/>
                <w:szCs w:val="20"/>
                <w:lang w:eastAsia="hr-HR"/>
              </w:rPr>
            </w:pPr>
            <w:r w:rsidRPr="000271A1">
              <w:rPr>
                <w:rFonts w:ascii="Tahoma" w:eastAsia="Times New Roman" w:hAnsi="Tahoma" w:cs="Tahoma"/>
                <w:sz w:val="20"/>
                <w:szCs w:val="20"/>
                <w:lang w:eastAsia="hr-HR"/>
              </w:rPr>
              <w:t>3</w:t>
            </w:r>
          </w:p>
        </w:tc>
        <w:tc>
          <w:tcPr>
            <w:tcW w:w="698" w:type="dxa"/>
            <w:tcBorders>
              <w:top w:val="nil"/>
              <w:left w:val="nil"/>
              <w:bottom w:val="single" w:sz="4" w:space="0" w:color="auto"/>
              <w:right w:val="single" w:sz="4" w:space="0" w:color="auto"/>
            </w:tcBorders>
            <w:shd w:val="clear" w:color="000000" w:fill="FFFF99"/>
            <w:noWrap/>
            <w:vAlign w:val="center"/>
            <w:hideMark/>
          </w:tcPr>
          <w:p w14:paraId="4DC981A0" w14:textId="77777777" w:rsidR="000271A1" w:rsidRPr="000271A1" w:rsidRDefault="000271A1" w:rsidP="000271A1">
            <w:pPr>
              <w:spacing w:after="0" w:line="240" w:lineRule="auto"/>
              <w:jc w:val="right"/>
              <w:rPr>
                <w:rFonts w:ascii="Tahoma" w:eastAsia="Times New Roman" w:hAnsi="Tahoma" w:cs="Tahoma"/>
                <w:sz w:val="20"/>
                <w:szCs w:val="20"/>
                <w:lang w:eastAsia="hr-HR"/>
              </w:rPr>
            </w:pPr>
            <w:r w:rsidRPr="000271A1">
              <w:rPr>
                <w:rFonts w:ascii="Tahoma" w:eastAsia="Times New Roman" w:hAnsi="Tahoma" w:cs="Tahoma"/>
                <w:sz w:val="20"/>
                <w:szCs w:val="20"/>
                <w:lang w:eastAsia="hr-HR"/>
              </w:rPr>
              <w:t>4</w:t>
            </w:r>
          </w:p>
        </w:tc>
        <w:tc>
          <w:tcPr>
            <w:tcW w:w="698" w:type="dxa"/>
            <w:tcBorders>
              <w:top w:val="nil"/>
              <w:left w:val="nil"/>
              <w:bottom w:val="single" w:sz="4" w:space="0" w:color="auto"/>
              <w:right w:val="single" w:sz="4" w:space="0" w:color="auto"/>
            </w:tcBorders>
            <w:shd w:val="clear" w:color="000000" w:fill="FFFF99"/>
            <w:noWrap/>
            <w:vAlign w:val="center"/>
            <w:hideMark/>
          </w:tcPr>
          <w:p w14:paraId="467EB097" w14:textId="77777777" w:rsidR="000271A1" w:rsidRPr="000271A1" w:rsidRDefault="000271A1" w:rsidP="000271A1">
            <w:pPr>
              <w:spacing w:after="0" w:line="240" w:lineRule="auto"/>
              <w:jc w:val="right"/>
              <w:rPr>
                <w:rFonts w:ascii="Tahoma" w:eastAsia="Times New Roman" w:hAnsi="Tahoma" w:cs="Tahoma"/>
                <w:sz w:val="20"/>
                <w:szCs w:val="20"/>
                <w:lang w:eastAsia="hr-HR"/>
              </w:rPr>
            </w:pPr>
            <w:r w:rsidRPr="000271A1">
              <w:rPr>
                <w:rFonts w:ascii="Tahoma" w:eastAsia="Times New Roman" w:hAnsi="Tahoma" w:cs="Tahoma"/>
                <w:sz w:val="20"/>
                <w:szCs w:val="20"/>
                <w:lang w:eastAsia="hr-HR"/>
              </w:rPr>
              <w:t> </w:t>
            </w:r>
          </w:p>
        </w:tc>
        <w:tc>
          <w:tcPr>
            <w:tcW w:w="512" w:type="dxa"/>
            <w:tcBorders>
              <w:top w:val="nil"/>
              <w:left w:val="nil"/>
              <w:bottom w:val="single" w:sz="4" w:space="0" w:color="auto"/>
              <w:right w:val="single" w:sz="4" w:space="0" w:color="auto"/>
            </w:tcBorders>
            <w:shd w:val="clear" w:color="000000" w:fill="FFFF99"/>
            <w:noWrap/>
            <w:vAlign w:val="center"/>
            <w:hideMark/>
          </w:tcPr>
          <w:p w14:paraId="0549660E" w14:textId="77777777" w:rsidR="000271A1" w:rsidRPr="000271A1" w:rsidRDefault="000271A1" w:rsidP="000271A1">
            <w:pPr>
              <w:spacing w:after="0" w:line="240" w:lineRule="auto"/>
              <w:jc w:val="right"/>
              <w:rPr>
                <w:rFonts w:ascii="Tahoma" w:eastAsia="Times New Roman" w:hAnsi="Tahoma" w:cs="Tahoma"/>
                <w:sz w:val="20"/>
                <w:szCs w:val="20"/>
                <w:lang w:eastAsia="hr-HR"/>
              </w:rPr>
            </w:pPr>
            <w:r w:rsidRPr="000271A1">
              <w:rPr>
                <w:rFonts w:ascii="Tahoma" w:eastAsia="Times New Roman" w:hAnsi="Tahoma" w:cs="Tahoma"/>
                <w:sz w:val="20"/>
                <w:szCs w:val="20"/>
                <w:lang w:eastAsia="hr-HR"/>
              </w:rPr>
              <w:t>1</w:t>
            </w:r>
          </w:p>
        </w:tc>
        <w:tc>
          <w:tcPr>
            <w:tcW w:w="698" w:type="dxa"/>
            <w:tcBorders>
              <w:top w:val="nil"/>
              <w:left w:val="nil"/>
              <w:bottom w:val="single" w:sz="4" w:space="0" w:color="auto"/>
              <w:right w:val="single" w:sz="4" w:space="0" w:color="auto"/>
            </w:tcBorders>
            <w:shd w:val="clear" w:color="000000" w:fill="FFFF99"/>
            <w:noWrap/>
            <w:vAlign w:val="center"/>
            <w:hideMark/>
          </w:tcPr>
          <w:p w14:paraId="6BDCC85A" w14:textId="77777777" w:rsidR="000271A1" w:rsidRPr="000271A1" w:rsidRDefault="000271A1" w:rsidP="000271A1">
            <w:pPr>
              <w:spacing w:after="0" w:line="240" w:lineRule="auto"/>
              <w:jc w:val="right"/>
              <w:rPr>
                <w:rFonts w:ascii="Tahoma" w:eastAsia="Times New Roman" w:hAnsi="Tahoma" w:cs="Tahoma"/>
                <w:sz w:val="20"/>
                <w:szCs w:val="20"/>
                <w:lang w:eastAsia="hr-HR"/>
              </w:rPr>
            </w:pPr>
            <w:r w:rsidRPr="000271A1">
              <w:rPr>
                <w:rFonts w:ascii="Tahoma" w:eastAsia="Times New Roman" w:hAnsi="Tahoma" w:cs="Tahoma"/>
                <w:sz w:val="20"/>
                <w:szCs w:val="20"/>
                <w:lang w:eastAsia="hr-HR"/>
              </w:rPr>
              <w:t> </w:t>
            </w:r>
          </w:p>
        </w:tc>
        <w:tc>
          <w:tcPr>
            <w:tcW w:w="444" w:type="dxa"/>
            <w:tcBorders>
              <w:top w:val="nil"/>
              <w:left w:val="nil"/>
              <w:bottom w:val="single" w:sz="4" w:space="0" w:color="auto"/>
              <w:right w:val="single" w:sz="4" w:space="0" w:color="auto"/>
            </w:tcBorders>
            <w:shd w:val="clear" w:color="000000" w:fill="FFFF99"/>
            <w:noWrap/>
            <w:vAlign w:val="center"/>
            <w:hideMark/>
          </w:tcPr>
          <w:p w14:paraId="0FFF176A" w14:textId="77777777" w:rsidR="000271A1" w:rsidRPr="000271A1" w:rsidRDefault="000271A1" w:rsidP="000271A1">
            <w:pPr>
              <w:spacing w:after="0" w:line="240" w:lineRule="auto"/>
              <w:jc w:val="right"/>
              <w:rPr>
                <w:rFonts w:ascii="Tahoma" w:eastAsia="Times New Roman" w:hAnsi="Tahoma" w:cs="Tahoma"/>
                <w:sz w:val="20"/>
                <w:szCs w:val="20"/>
                <w:lang w:eastAsia="hr-HR"/>
              </w:rPr>
            </w:pPr>
            <w:r w:rsidRPr="000271A1">
              <w:rPr>
                <w:rFonts w:ascii="Tahoma" w:eastAsia="Times New Roman" w:hAnsi="Tahoma" w:cs="Tahoma"/>
                <w:sz w:val="20"/>
                <w:szCs w:val="20"/>
                <w:lang w:eastAsia="hr-HR"/>
              </w:rPr>
              <w:t> </w:t>
            </w:r>
          </w:p>
        </w:tc>
        <w:tc>
          <w:tcPr>
            <w:tcW w:w="698" w:type="dxa"/>
            <w:tcBorders>
              <w:top w:val="nil"/>
              <w:left w:val="nil"/>
              <w:bottom w:val="single" w:sz="4" w:space="0" w:color="auto"/>
              <w:right w:val="single" w:sz="4" w:space="0" w:color="auto"/>
            </w:tcBorders>
            <w:shd w:val="clear" w:color="000000" w:fill="FFFF99"/>
            <w:noWrap/>
            <w:vAlign w:val="center"/>
            <w:hideMark/>
          </w:tcPr>
          <w:p w14:paraId="4831F494" w14:textId="77777777" w:rsidR="000271A1" w:rsidRPr="000271A1" w:rsidRDefault="000271A1" w:rsidP="000271A1">
            <w:pPr>
              <w:spacing w:after="0" w:line="240" w:lineRule="auto"/>
              <w:jc w:val="right"/>
              <w:rPr>
                <w:rFonts w:ascii="Tahoma" w:eastAsia="Times New Roman" w:hAnsi="Tahoma" w:cs="Tahoma"/>
                <w:sz w:val="20"/>
                <w:szCs w:val="20"/>
                <w:lang w:eastAsia="hr-HR"/>
              </w:rPr>
            </w:pPr>
            <w:r w:rsidRPr="000271A1">
              <w:rPr>
                <w:rFonts w:ascii="Tahoma" w:eastAsia="Times New Roman" w:hAnsi="Tahoma" w:cs="Tahoma"/>
                <w:sz w:val="20"/>
                <w:szCs w:val="20"/>
                <w:lang w:eastAsia="hr-HR"/>
              </w:rPr>
              <w:t>1</w:t>
            </w:r>
          </w:p>
        </w:tc>
        <w:tc>
          <w:tcPr>
            <w:tcW w:w="444" w:type="dxa"/>
            <w:gridSpan w:val="2"/>
            <w:tcBorders>
              <w:top w:val="nil"/>
              <w:left w:val="nil"/>
              <w:bottom w:val="single" w:sz="4" w:space="0" w:color="auto"/>
              <w:right w:val="single" w:sz="4" w:space="0" w:color="auto"/>
            </w:tcBorders>
            <w:shd w:val="clear" w:color="000000" w:fill="FF9900"/>
            <w:noWrap/>
            <w:vAlign w:val="center"/>
            <w:hideMark/>
          </w:tcPr>
          <w:p w14:paraId="3F80BF03" w14:textId="77777777" w:rsidR="000271A1" w:rsidRPr="000271A1" w:rsidRDefault="000271A1" w:rsidP="000271A1">
            <w:pPr>
              <w:spacing w:after="0" w:line="240" w:lineRule="auto"/>
              <w:jc w:val="right"/>
              <w:rPr>
                <w:rFonts w:ascii="Tahoma" w:eastAsia="Times New Roman" w:hAnsi="Tahoma" w:cs="Tahoma"/>
                <w:sz w:val="20"/>
                <w:szCs w:val="20"/>
                <w:lang w:eastAsia="hr-HR"/>
              </w:rPr>
            </w:pPr>
            <w:r w:rsidRPr="000271A1">
              <w:rPr>
                <w:rFonts w:ascii="Tahoma" w:eastAsia="Times New Roman" w:hAnsi="Tahoma" w:cs="Tahoma"/>
                <w:sz w:val="20"/>
                <w:szCs w:val="20"/>
                <w:lang w:eastAsia="hr-HR"/>
              </w:rPr>
              <w:t> </w:t>
            </w:r>
          </w:p>
        </w:tc>
        <w:tc>
          <w:tcPr>
            <w:tcW w:w="521" w:type="dxa"/>
            <w:tcBorders>
              <w:top w:val="nil"/>
              <w:left w:val="nil"/>
              <w:bottom w:val="single" w:sz="4" w:space="0" w:color="auto"/>
              <w:right w:val="single" w:sz="4" w:space="0" w:color="auto"/>
            </w:tcBorders>
            <w:shd w:val="clear" w:color="000000" w:fill="FF9900"/>
            <w:noWrap/>
            <w:vAlign w:val="center"/>
            <w:hideMark/>
          </w:tcPr>
          <w:p w14:paraId="492CA97C" w14:textId="77777777" w:rsidR="000271A1" w:rsidRPr="000271A1" w:rsidRDefault="000271A1" w:rsidP="000271A1">
            <w:pPr>
              <w:spacing w:after="0" w:line="240" w:lineRule="auto"/>
              <w:jc w:val="right"/>
              <w:rPr>
                <w:rFonts w:ascii="Tahoma" w:eastAsia="Times New Roman" w:hAnsi="Tahoma" w:cs="Tahoma"/>
                <w:sz w:val="20"/>
                <w:szCs w:val="20"/>
                <w:lang w:eastAsia="hr-HR"/>
              </w:rPr>
            </w:pPr>
            <w:r w:rsidRPr="000271A1">
              <w:rPr>
                <w:rFonts w:ascii="Tahoma" w:eastAsia="Times New Roman" w:hAnsi="Tahoma" w:cs="Tahoma"/>
                <w:sz w:val="20"/>
                <w:szCs w:val="20"/>
                <w:lang w:eastAsia="hr-HR"/>
              </w:rPr>
              <w:t>1</w:t>
            </w:r>
          </w:p>
        </w:tc>
        <w:tc>
          <w:tcPr>
            <w:tcW w:w="521" w:type="dxa"/>
            <w:tcBorders>
              <w:top w:val="nil"/>
              <w:left w:val="nil"/>
              <w:bottom w:val="single" w:sz="4" w:space="0" w:color="auto"/>
              <w:right w:val="single" w:sz="4" w:space="0" w:color="auto"/>
            </w:tcBorders>
            <w:shd w:val="clear" w:color="000000" w:fill="FF9900"/>
            <w:noWrap/>
            <w:vAlign w:val="center"/>
            <w:hideMark/>
          </w:tcPr>
          <w:p w14:paraId="516EDA41" w14:textId="77777777" w:rsidR="000271A1" w:rsidRPr="000271A1" w:rsidRDefault="000271A1" w:rsidP="000271A1">
            <w:pPr>
              <w:spacing w:after="0" w:line="240" w:lineRule="auto"/>
              <w:jc w:val="right"/>
              <w:rPr>
                <w:rFonts w:ascii="Tahoma" w:eastAsia="Times New Roman" w:hAnsi="Tahoma" w:cs="Tahoma"/>
                <w:sz w:val="20"/>
                <w:szCs w:val="20"/>
                <w:lang w:eastAsia="hr-HR"/>
              </w:rPr>
            </w:pPr>
            <w:r w:rsidRPr="000271A1">
              <w:rPr>
                <w:rFonts w:ascii="Tahoma" w:eastAsia="Times New Roman" w:hAnsi="Tahoma" w:cs="Tahoma"/>
                <w:sz w:val="20"/>
                <w:szCs w:val="20"/>
                <w:lang w:eastAsia="hr-HR"/>
              </w:rPr>
              <w:t>2</w:t>
            </w:r>
          </w:p>
        </w:tc>
        <w:tc>
          <w:tcPr>
            <w:tcW w:w="521" w:type="dxa"/>
            <w:gridSpan w:val="2"/>
            <w:tcBorders>
              <w:top w:val="nil"/>
              <w:left w:val="nil"/>
              <w:bottom w:val="single" w:sz="4" w:space="0" w:color="auto"/>
              <w:right w:val="single" w:sz="4" w:space="0" w:color="auto"/>
            </w:tcBorders>
            <w:shd w:val="clear" w:color="000000" w:fill="FFFF00"/>
            <w:vAlign w:val="center"/>
            <w:hideMark/>
          </w:tcPr>
          <w:p w14:paraId="24B7D225" w14:textId="77777777" w:rsidR="000271A1" w:rsidRPr="000271A1" w:rsidRDefault="000271A1" w:rsidP="000271A1">
            <w:pPr>
              <w:spacing w:after="0" w:line="240" w:lineRule="auto"/>
              <w:jc w:val="right"/>
              <w:rPr>
                <w:rFonts w:ascii="Tahoma" w:eastAsia="Times New Roman" w:hAnsi="Tahoma" w:cs="Tahoma"/>
                <w:sz w:val="20"/>
                <w:szCs w:val="20"/>
                <w:lang w:eastAsia="hr-HR"/>
              </w:rPr>
            </w:pPr>
            <w:r w:rsidRPr="000271A1">
              <w:rPr>
                <w:rFonts w:ascii="Tahoma" w:eastAsia="Times New Roman" w:hAnsi="Tahoma" w:cs="Tahoma"/>
                <w:sz w:val="20"/>
                <w:szCs w:val="20"/>
                <w:lang w:eastAsia="hr-HR"/>
              </w:rPr>
              <w:t>3</w:t>
            </w:r>
          </w:p>
        </w:tc>
        <w:tc>
          <w:tcPr>
            <w:tcW w:w="702" w:type="dxa"/>
            <w:tcBorders>
              <w:top w:val="nil"/>
              <w:left w:val="nil"/>
              <w:bottom w:val="single" w:sz="4" w:space="0" w:color="auto"/>
              <w:right w:val="single" w:sz="4" w:space="0" w:color="auto"/>
            </w:tcBorders>
            <w:shd w:val="clear" w:color="000000" w:fill="FF9900"/>
            <w:vAlign w:val="center"/>
            <w:hideMark/>
          </w:tcPr>
          <w:p w14:paraId="3B05A9D0" w14:textId="77777777" w:rsidR="000271A1" w:rsidRPr="000271A1" w:rsidRDefault="000271A1" w:rsidP="000271A1">
            <w:pPr>
              <w:spacing w:after="0" w:line="240" w:lineRule="auto"/>
              <w:jc w:val="right"/>
              <w:rPr>
                <w:rFonts w:ascii="Tahoma" w:eastAsia="Times New Roman" w:hAnsi="Tahoma" w:cs="Tahoma"/>
                <w:sz w:val="20"/>
                <w:szCs w:val="20"/>
                <w:lang w:eastAsia="hr-HR"/>
              </w:rPr>
            </w:pPr>
            <w:r w:rsidRPr="000271A1">
              <w:rPr>
                <w:rFonts w:ascii="Tahoma" w:eastAsia="Times New Roman" w:hAnsi="Tahoma" w:cs="Tahoma"/>
                <w:sz w:val="20"/>
                <w:szCs w:val="20"/>
                <w:lang w:eastAsia="hr-HR"/>
              </w:rPr>
              <w:t>11</w:t>
            </w:r>
          </w:p>
        </w:tc>
        <w:tc>
          <w:tcPr>
            <w:tcW w:w="907" w:type="dxa"/>
            <w:tcBorders>
              <w:top w:val="nil"/>
              <w:left w:val="nil"/>
              <w:bottom w:val="single" w:sz="4" w:space="0" w:color="auto"/>
              <w:right w:val="single" w:sz="4" w:space="0" w:color="auto"/>
            </w:tcBorders>
            <w:shd w:val="clear" w:color="000000" w:fill="FF9900"/>
            <w:noWrap/>
            <w:vAlign w:val="center"/>
            <w:hideMark/>
          </w:tcPr>
          <w:p w14:paraId="63505844" w14:textId="77777777" w:rsidR="000271A1" w:rsidRPr="000271A1" w:rsidRDefault="000271A1" w:rsidP="000271A1">
            <w:pPr>
              <w:spacing w:after="0" w:line="240" w:lineRule="auto"/>
              <w:jc w:val="right"/>
              <w:rPr>
                <w:rFonts w:ascii="Tahoma" w:eastAsia="Times New Roman" w:hAnsi="Tahoma" w:cs="Tahoma"/>
                <w:sz w:val="20"/>
                <w:szCs w:val="20"/>
                <w:lang w:eastAsia="hr-HR"/>
              </w:rPr>
            </w:pPr>
            <w:r w:rsidRPr="000271A1">
              <w:rPr>
                <w:rFonts w:ascii="Tahoma" w:eastAsia="Times New Roman" w:hAnsi="Tahoma" w:cs="Tahoma"/>
                <w:sz w:val="20"/>
                <w:szCs w:val="20"/>
                <w:lang w:eastAsia="hr-HR"/>
              </w:rPr>
              <w:t> </w:t>
            </w:r>
          </w:p>
        </w:tc>
        <w:tc>
          <w:tcPr>
            <w:tcW w:w="553" w:type="dxa"/>
            <w:tcBorders>
              <w:top w:val="nil"/>
              <w:left w:val="nil"/>
              <w:bottom w:val="single" w:sz="4" w:space="0" w:color="auto"/>
              <w:right w:val="single" w:sz="4" w:space="0" w:color="auto"/>
            </w:tcBorders>
            <w:shd w:val="clear" w:color="000000" w:fill="FF9900"/>
            <w:noWrap/>
            <w:vAlign w:val="center"/>
            <w:hideMark/>
          </w:tcPr>
          <w:p w14:paraId="1C572264" w14:textId="77777777" w:rsidR="000271A1" w:rsidRPr="000271A1" w:rsidRDefault="000271A1" w:rsidP="000271A1">
            <w:pPr>
              <w:spacing w:after="0" w:line="240" w:lineRule="auto"/>
              <w:jc w:val="right"/>
              <w:rPr>
                <w:rFonts w:ascii="Tahoma" w:eastAsia="Times New Roman" w:hAnsi="Tahoma" w:cs="Tahoma"/>
                <w:sz w:val="20"/>
                <w:szCs w:val="20"/>
                <w:lang w:eastAsia="hr-HR"/>
              </w:rPr>
            </w:pPr>
            <w:r w:rsidRPr="000271A1">
              <w:rPr>
                <w:rFonts w:ascii="Tahoma" w:eastAsia="Times New Roman" w:hAnsi="Tahoma" w:cs="Tahoma"/>
                <w:sz w:val="20"/>
                <w:szCs w:val="20"/>
                <w:lang w:eastAsia="hr-HR"/>
              </w:rPr>
              <w:t> </w:t>
            </w:r>
          </w:p>
        </w:tc>
        <w:tc>
          <w:tcPr>
            <w:tcW w:w="918" w:type="dxa"/>
            <w:tcBorders>
              <w:top w:val="nil"/>
              <w:left w:val="nil"/>
              <w:bottom w:val="single" w:sz="4" w:space="0" w:color="auto"/>
              <w:right w:val="single" w:sz="4" w:space="0" w:color="auto"/>
            </w:tcBorders>
            <w:shd w:val="clear" w:color="000000" w:fill="FF9900"/>
            <w:noWrap/>
            <w:vAlign w:val="center"/>
            <w:hideMark/>
          </w:tcPr>
          <w:p w14:paraId="55CF0934" w14:textId="77777777" w:rsidR="000271A1" w:rsidRPr="000271A1" w:rsidRDefault="000271A1" w:rsidP="000271A1">
            <w:pPr>
              <w:spacing w:after="0" w:line="240" w:lineRule="auto"/>
              <w:jc w:val="right"/>
              <w:rPr>
                <w:rFonts w:ascii="Tahoma" w:eastAsia="Times New Roman" w:hAnsi="Tahoma" w:cs="Tahoma"/>
                <w:sz w:val="20"/>
                <w:szCs w:val="20"/>
                <w:lang w:eastAsia="hr-HR"/>
              </w:rPr>
            </w:pPr>
            <w:r w:rsidRPr="000271A1">
              <w:rPr>
                <w:rFonts w:ascii="Tahoma" w:eastAsia="Times New Roman" w:hAnsi="Tahoma" w:cs="Tahoma"/>
                <w:sz w:val="20"/>
                <w:szCs w:val="20"/>
                <w:lang w:eastAsia="hr-HR"/>
              </w:rPr>
              <w:t> </w:t>
            </w:r>
          </w:p>
        </w:tc>
        <w:tc>
          <w:tcPr>
            <w:tcW w:w="428" w:type="dxa"/>
            <w:tcBorders>
              <w:top w:val="nil"/>
              <w:left w:val="nil"/>
              <w:bottom w:val="single" w:sz="4" w:space="0" w:color="auto"/>
              <w:right w:val="single" w:sz="4" w:space="0" w:color="auto"/>
            </w:tcBorders>
            <w:shd w:val="clear" w:color="000000" w:fill="CCFFFF"/>
            <w:noWrap/>
            <w:vAlign w:val="center"/>
            <w:hideMark/>
          </w:tcPr>
          <w:p w14:paraId="02A0F68C" w14:textId="77777777" w:rsidR="000271A1" w:rsidRPr="000271A1" w:rsidRDefault="000271A1" w:rsidP="000271A1">
            <w:pPr>
              <w:spacing w:after="0" w:line="240" w:lineRule="auto"/>
              <w:jc w:val="right"/>
              <w:rPr>
                <w:rFonts w:ascii="Tahoma" w:eastAsia="Times New Roman" w:hAnsi="Tahoma" w:cs="Tahoma"/>
                <w:sz w:val="20"/>
                <w:szCs w:val="20"/>
                <w:lang w:eastAsia="hr-HR"/>
              </w:rPr>
            </w:pPr>
            <w:r w:rsidRPr="000271A1">
              <w:rPr>
                <w:rFonts w:ascii="Tahoma" w:eastAsia="Times New Roman" w:hAnsi="Tahoma" w:cs="Tahoma"/>
                <w:sz w:val="20"/>
                <w:szCs w:val="20"/>
                <w:lang w:eastAsia="hr-HR"/>
              </w:rPr>
              <w:t>1</w:t>
            </w:r>
          </w:p>
        </w:tc>
        <w:tc>
          <w:tcPr>
            <w:tcW w:w="428" w:type="dxa"/>
            <w:tcBorders>
              <w:top w:val="nil"/>
              <w:left w:val="nil"/>
              <w:bottom w:val="single" w:sz="4" w:space="0" w:color="auto"/>
              <w:right w:val="single" w:sz="4" w:space="0" w:color="auto"/>
            </w:tcBorders>
            <w:shd w:val="clear" w:color="000000" w:fill="CCFFFF"/>
            <w:noWrap/>
            <w:vAlign w:val="center"/>
            <w:hideMark/>
          </w:tcPr>
          <w:p w14:paraId="741F067D" w14:textId="77777777" w:rsidR="000271A1" w:rsidRPr="000271A1" w:rsidRDefault="000271A1" w:rsidP="000271A1">
            <w:pPr>
              <w:spacing w:after="0" w:line="240" w:lineRule="auto"/>
              <w:jc w:val="right"/>
              <w:rPr>
                <w:rFonts w:ascii="Tahoma" w:eastAsia="Times New Roman" w:hAnsi="Tahoma" w:cs="Tahoma"/>
                <w:sz w:val="20"/>
                <w:szCs w:val="20"/>
                <w:lang w:eastAsia="hr-HR"/>
              </w:rPr>
            </w:pPr>
            <w:r w:rsidRPr="000271A1">
              <w:rPr>
                <w:rFonts w:ascii="Tahoma" w:eastAsia="Times New Roman" w:hAnsi="Tahoma" w:cs="Tahoma"/>
                <w:sz w:val="20"/>
                <w:szCs w:val="20"/>
                <w:lang w:eastAsia="hr-HR"/>
              </w:rPr>
              <w:t>1</w:t>
            </w:r>
          </w:p>
        </w:tc>
        <w:tc>
          <w:tcPr>
            <w:tcW w:w="425" w:type="dxa"/>
            <w:tcBorders>
              <w:top w:val="nil"/>
              <w:left w:val="nil"/>
              <w:bottom w:val="single" w:sz="4" w:space="0" w:color="auto"/>
              <w:right w:val="single" w:sz="4" w:space="0" w:color="auto"/>
            </w:tcBorders>
            <w:shd w:val="clear" w:color="000000" w:fill="CCFFFF"/>
            <w:noWrap/>
            <w:vAlign w:val="center"/>
            <w:hideMark/>
          </w:tcPr>
          <w:p w14:paraId="6548DB00" w14:textId="77777777" w:rsidR="000271A1" w:rsidRPr="000271A1" w:rsidRDefault="000271A1" w:rsidP="000271A1">
            <w:pPr>
              <w:spacing w:after="0" w:line="240" w:lineRule="auto"/>
              <w:jc w:val="right"/>
              <w:rPr>
                <w:rFonts w:ascii="Tahoma" w:eastAsia="Times New Roman" w:hAnsi="Tahoma" w:cs="Tahoma"/>
                <w:sz w:val="20"/>
                <w:szCs w:val="20"/>
                <w:lang w:eastAsia="hr-HR"/>
              </w:rPr>
            </w:pPr>
            <w:r w:rsidRPr="000271A1">
              <w:rPr>
                <w:rFonts w:ascii="Tahoma" w:eastAsia="Times New Roman" w:hAnsi="Tahoma" w:cs="Tahoma"/>
                <w:sz w:val="20"/>
                <w:szCs w:val="20"/>
                <w:lang w:eastAsia="hr-HR"/>
              </w:rPr>
              <w:t> </w:t>
            </w:r>
          </w:p>
        </w:tc>
        <w:tc>
          <w:tcPr>
            <w:tcW w:w="425" w:type="dxa"/>
            <w:tcBorders>
              <w:top w:val="nil"/>
              <w:left w:val="nil"/>
              <w:bottom w:val="single" w:sz="4" w:space="0" w:color="auto"/>
              <w:right w:val="nil"/>
            </w:tcBorders>
            <w:shd w:val="clear" w:color="000000" w:fill="33CCCC"/>
            <w:noWrap/>
            <w:vAlign w:val="center"/>
            <w:hideMark/>
          </w:tcPr>
          <w:p w14:paraId="37068E01" w14:textId="77777777" w:rsidR="000271A1" w:rsidRPr="000271A1" w:rsidRDefault="000271A1" w:rsidP="000271A1">
            <w:pPr>
              <w:spacing w:after="0" w:line="240" w:lineRule="auto"/>
              <w:jc w:val="right"/>
              <w:rPr>
                <w:rFonts w:ascii="Tahoma" w:eastAsia="Times New Roman" w:hAnsi="Tahoma" w:cs="Tahoma"/>
                <w:sz w:val="20"/>
                <w:szCs w:val="20"/>
                <w:lang w:eastAsia="hr-HR"/>
              </w:rPr>
            </w:pPr>
            <w:r w:rsidRPr="000271A1">
              <w:rPr>
                <w:rFonts w:ascii="Tahoma" w:eastAsia="Times New Roman" w:hAnsi="Tahoma" w:cs="Tahoma"/>
                <w:sz w:val="20"/>
                <w:szCs w:val="20"/>
                <w:lang w:eastAsia="hr-HR"/>
              </w:rPr>
              <w:t>2</w:t>
            </w:r>
          </w:p>
        </w:tc>
        <w:tc>
          <w:tcPr>
            <w:tcW w:w="440" w:type="dxa"/>
            <w:gridSpan w:val="2"/>
            <w:tcBorders>
              <w:top w:val="nil"/>
              <w:left w:val="single" w:sz="4" w:space="0" w:color="auto"/>
              <w:bottom w:val="single" w:sz="4" w:space="0" w:color="auto"/>
              <w:right w:val="single" w:sz="8" w:space="0" w:color="auto"/>
            </w:tcBorders>
            <w:shd w:val="clear" w:color="000000" w:fill="33CCCC"/>
            <w:noWrap/>
            <w:vAlign w:val="center"/>
            <w:hideMark/>
          </w:tcPr>
          <w:p w14:paraId="118291A3" w14:textId="77777777" w:rsidR="000271A1" w:rsidRPr="000271A1" w:rsidRDefault="000271A1" w:rsidP="000271A1">
            <w:pPr>
              <w:spacing w:after="0" w:line="240" w:lineRule="auto"/>
              <w:jc w:val="right"/>
              <w:rPr>
                <w:rFonts w:ascii="Tahoma" w:eastAsia="Times New Roman" w:hAnsi="Tahoma" w:cs="Tahoma"/>
                <w:sz w:val="20"/>
                <w:szCs w:val="20"/>
                <w:lang w:eastAsia="hr-HR"/>
              </w:rPr>
            </w:pPr>
            <w:r w:rsidRPr="000271A1">
              <w:rPr>
                <w:rFonts w:ascii="Tahoma" w:eastAsia="Times New Roman" w:hAnsi="Tahoma" w:cs="Tahoma"/>
                <w:sz w:val="20"/>
                <w:szCs w:val="20"/>
                <w:lang w:eastAsia="hr-HR"/>
              </w:rPr>
              <w:t>1</w:t>
            </w:r>
          </w:p>
        </w:tc>
        <w:tc>
          <w:tcPr>
            <w:tcW w:w="236" w:type="dxa"/>
            <w:vAlign w:val="center"/>
            <w:hideMark/>
          </w:tcPr>
          <w:p w14:paraId="5919C273" w14:textId="77777777" w:rsidR="000271A1" w:rsidRPr="000271A1" w:rsidRDefault="000271A1" w:rsidP="000271A1">
            <w:pPr>
              <w:spacing w:after="0" w:line="240" w:lineRule="auto"/>
              <w:rPr>
                <w:rFonts w:ascii="Times New Roman" w:eastAsia="Times New Roman" w:hAnsi="Times New Roman" w:cs="Times New Roman"/>
                <w:sz w:val="20"/>
                <w:szCs w:val="20"/>
                <w:lang w:eastAsia="hr-HR"/>
              </w:rPr>
            </w:pPr>
          </w:p>
        </w:tc>
      </w:tr>
      <w:tr w:rsidR="000271A1" w:rsidRPr="000271A1" w14:paraId="6E30DFED" w14:textId="77777777" w:rsidTr="000271A1">
        <w:trPr>
          <w:gridAfter w:val="1"/>
          <w:wAfter w:w="26" w:type="dxa"/>
          <w:trHeight w:val="300"/>
        </w:trPr>
        <w:tc>
          <w:tcPr>
            <w:tcW w:w="1119" w:type="dxa"/>
            <w:tcBorders>
              <w:top w:val="single" w:sz="4" w:space="0" w:color="auto"/>
              <w:left w:val="single" w:sz="8" w:space="0" w:color="auto"/>
              <w:bottom w:val="single" w:sz="4" w:space="0" w:color="auto"/>
              <w:right w:val="single" w:sz="4" w:space="0" w:color="auto"/>
            </w:tcBorders>
            <w:shd w:val="clear" w:color="000000" w:fill="CCFFCC"/>
            <w:vAlign w:val="center"/>
            <w:hideMark/>
          </w:tcPr>
          <w:p w14:paraId="26BFAE40" w14:textId="77777777" w:rsidR="000271A1" w:rsidRPr="000271A1" w:rsidRDefault="000271A1" w:rsidP="000271A1">
            <w:pPr>
              <w:spacing w:after="0" w:line="240" w:lineRule="auto"/>
              <w:rPr>
                <w:rFonts w:ascii="Tahoma" w:eastAsia="Times New Roman" w:hAnsi="Tahoma" w:cs="Tahoma"/>
                <w:sz w:val="20"/>
                <w:szCs w:val="20"/>
                <w:lang w:eastAsia="hr-HR"/>
              </w:rPr>
            </w:pPr>
            <w:r w:rsidRPr="000271A1">
              <w:rPr>
                <w:rFonts w:ascii="Tahoma" w:eastAsia="Times New Roman" w:hAnsi="Tahoma" w:cs="Tahoma"/>
                <w:sz w:val="20"/>
                <w:szCs w:val="20"/>
                <w:lang w:eastAsia="hr-HR"/>
              </w:rPr>
              <w:t>Obrazovanje</w:t>
            </w:r>
          </w:p>
        </w:tc>
        <w:tc>
          <w:tcPr>
            <w:tcW w:w="671" w:type="dxa"/>
            <w:tcBorders>
              <w:top w:val="nil"/>
              <w:left w:val="nil"/>
              <w:bottom w:val="single" w:sz="4" w:space="0" w:color="auto"/>
              <w:right w:val="single" w:sz="4" w:space="0" w:color="auto"/>
            </w:tcBorders>
            <w:shd w:val="clear" w:color="000000" w:fill="FFCC99"/>
            <w:noWrap/>
            <w:vAlign w:val="center"/>
            <w:hideMark/>
          </w:tcPr>
          <w:p w14:paraId="228C89A5" w14:textId="77777777" w:rsidR="000271A1" w:rsidRPr="000271A1" w:rsidRDefault="000271A1" w:rsidP="000271A1">
            <w:pPr>
              <w:spacing w:after="0" w:line="240" w:lineRule="auto"/>
              <w:jc w:val="right"/>
              <w:rPr>
                <w:rFonts w:ascii="Tahoma" w:eastAsia="Times New Roman" w:hAnsi="Tahoma" w:cs="Tahoma"/>
                <w:sz w:val="20"/>
                <w:szCs w:val="20"/>
                <w:lang w:eastAsia="hr-HR"/>
              </w:rPr>
            </w:pPr>
            <w:r w:rsidRPr="000271A1">
              <w:rPr>
                <w:rFonts w:ascii="Tahoma" w:eastAsia="Times New Roman" w:hAnsi="Tahoma" w:cs="Tahoma"/>
                <w:sz w:val="20"/>
                <w:szCs w:val="20"/>
                <w:lang w:eastAsia="hr-HR"/>
              </w:rPr>
              <w:t>12</w:t>
            </w:r>
          </w:p>
        </w:tc>
        <w:tc>
          <w:tcPr>
            <w:tcW w:w="519" w:type="dxa"/>
            <w:tcBorders>
              <w:top w:val="nil"/>
              <w:left w:val="nil"/>
              <w:bottom w:val="single" w:sz="4" w:space="0" w:color="auto"/>
              <w:right w:val="single" w:sz="4" w:space="0" w:color="auto"/>
            </w:tcBorders>
            <w:shd w:val="clear" w:color="000000" w:fill="FFFF00"/>
            <w:noWrap/>
            <w:vAlign w:val="center"/>
            <w:hideMark/>
          </w:tcPr>
          <w:p w14:paraId="048941DB" w14:textId="77777777" w:rsidR="000271A1" w:rsidRPr="000271A1" w:rsidRDefault="000271A1" w:rsidP="000271A1">
            <w:pPr>
              <w:spacing w:after="0" w:line="240" w:lineRule="auto"/>
              <w:jc w:val="right"/>
              <w:rPr>
                <w:rFonts w:ascii="Tahoma" w:eastAsia="Times New Roman" w:hAnsi="Tahoma" w:cs="Tahoma"/>
                <w:sz w:val="20"/>
                <w:szCs w:val="20"/>
                <w:lang w:eastAsia="hr-HR"/>
              </w:rPr>
            </w:pPr>
            <w:r w:rsidRPr="000271A1">
              <w:rPr>
                <w:rFonts w:ascii="Tahoma" w:eastAsia="Times New Roman" w:hAnsi="Tahoma" w:cs="Tahoma"/>
                <w:sz w:val="20"/>
                <w:szCs w:val="20"/>
                <w:lang w:eastAsia="hr-HR"/>
              </w:rPr>
              <w:t>3</w:t>
            </w:r>
          </w:p>
        </w:tc>
        <w:tc>
          <w:tcPr>
            <w:tcW w:w="365" w:type="dxa"/>
            <w:tcBorders>
              <w:top w:val="nil"/>
              <w:left w:val="nil"/>
              <w:bottom w:val="single" w:sz="4" w:space="0" w:color="auto"/>
              <w:right w:val="single" w:sz="4" w:space="0" w:color="auto"/>
            </w:tcBorders>
            <w:shd w:val="clear" w:color="000000" w:fill="CCFFFF"/>
            <w:noWrap/>
            <w:vAlign w:val="center"/>
            <w:hideMark/>
          </w:tcPr>
          <w:p w14:paraId="20B029E7" w14:textId="77777777" w:rsidR="000271A1" w:rsidRPr="000271A1" w:rsidRDefault="000271A1" w:rsidP="000271A1">
            <w:pPr>
              <w:spacing w:after="0" w:line="240" w:lineRule="auto"/>
              <w:jc w:val="right"/>
              <w:rPr>
                <w:rFonts w:ascii="Tahoma" w:eastAsia="Times New Roman" w:hAnsi="Tahoma" w:cs="Tahoma"/>
                <w:sz w:val="20"/>
                <w:szCs w:val="20"/>
                <w:lang w:eastAsia="hr-HR"/>
              </w:rPr>
            </w:pPr>
            <w:r w:rsidRPr="000271A1">
              <w:rPr>
                <w:rFonts w:ascii="Tahoma" w:eastAsia="Times New Roman" w:hAnsi="Tahoma" w:cs="Tahoma"/>
                <w:sz w:val="20"/>
                <w:szCs w:val="20"/>
                <w:lang w:eastAsia="hr-HR"/>
              </w:rPr>
              <w:t>1</w:t>
            </w:r>
          </w:p>
        </w:tc>
        <w:tc>
          <w:tcPr>
            <w:tcW w:w="379" w:type="dxa"/>
            <w:tcBorders>
              <w:top w:val="nil"/>
              <w:left w:val="nil"/>
              <w:bottom w:val="single" w:sz="4" w:space="0" w:color="auto"/>
              <w:right w:val="single" w:sz="4" w:space="0" w:color="auto"/>
            </w:tcBorders>
            <w:shd w:val="clear" w:color="000000" w:fill="CCFFFF"/>
            <w:noWrap/>
            <w:vAlign w:val="center"/>
            <w:hideMark/>
          </w:tcPr>
          <w:p w14:paraId="2144575D" w14:textId="77777777" w:rsidR="000271A1" w:rsidRPr="000271A1" w:rsidRDefault="000271A1" w:rsidP="000271A1">
            <w:pPr>
              <w:spacing w:after="0" w:line="240" w:lineRule="auto"/>
              <w:jc w:val="right"/>
              <w:rPr>
                <w:rFonts w:ascii="Tahoma" w:eastAsia="Times New Roman" w:hAnsi="Tahoma" w:cs="Tahoma"/>
                <w:sz w:val="20"/>
                <w:szCs w:val="20"/>
                <w:lang w:eastAsia="hr-HR"/>
              </w:rPr>
            </w:pPr>
            <w:r w:rsidRPr="000271A1">
              <w:rPr>
                <w:rFonts w:ascii="Tahoma" w:eastAsia="Times New Roman" w:hAnsi="Tahoma" w:cs="Tahoma"/>
                <w:sz w:val="20"/>
                <w:szCs w:val="20"/>
                <w:lang w:eastAsia="hr-HR"/>
              </w:rPr>
              <w:t>2</w:t>
            </w:r>
          </w:p>
        </w:tc>
        <w:tc>
          <w:tcPr>
            <w:tcW w:w="698" w:type="dxa"/>
            <w:tcBorders>
              <w:top w:val="nil"/>
              <w:left w:val="nil"/>
              <w:bottom w:val="single" w:sz="4" w:space="0" w:color="auto"/>
              <w:right w:val="single" w:sz="4" w:space="0" w:color="auto"/>
            </w:tcBorders>
            <w:shd w:val="clear" w:color="000000" w:fill="FFFF99"/>
            <w:noWrap/>
            <w:vAlign w:val="center"/>
            <w:hideMark/>
          </w:tcPr>
          <w:p w14:paraId="55D85975" w14:textId="77777777" w:rsidR="000271A1" w:rsidRPr="000271A1" w:rsidRDefault="000271A1" w:rsidP="000271A1">
            <w:pPr>
              <w:spacing w:after="0" w:line="240" w:lineRule="auto"/>
              <w:jc w:val="right"/>
              <w:rPr>
                <w:rFonts w:ascii="Tahoma" w:eastAsia="Times New Roman" w:hAnsi="Tahoma" w:cs="Tahoma"/>
                <w:sz w:val="20"/>
                <w:szCs w:val="20"/>
                <w:lang w:eastAsia="hr-HR"/>
              </w:rPr>
            </w:pPr>
            <w:r w:rsidRPr="000271A1">
              <w:rPr>
                <w:rFonts w:ascii="Tahoma" w:eastAsia="Times New Roman" w:hAnsi="Tahoma" w:cs="Tahoma"/>
                <w:sz w:val="20"/>
                <w:szCs w:val="20"/>
                <w:lang w:eastAsia="hr-HR"/>
              </w:rPr>
              <w:t>1</w:t>
            </w:r>
          </w:p>
        </w:tc>
        <w:tc>
          <w:tcPr>
            <w:tcW w:w="698" w:type="dxa"/>
            <w:tcBorders>
              <w:top w:val="nil"/>
              <w:left w:val="nil"/>
              <w:bottom w:val="single" w:sz="4" w:space="0" w:color="auto"/>
              <w:right w:val="single" w:sz="4" w:space="0" w:color="auto"/>
            </w:tcBorders>
            <w:shd w:val="clear" w:color="000000" w:fill="FFFF99"/>
            <w:noWrap/>
            <w:vAlign w:val="center"/>
            <w:hideMark/>
          </w:tcPr>
          <w:p w14:paraId="67ECD310" w14:textId="77777777" w:rsidR="000271A1" w:rsidRPr="000271A1" w:rsidRDefault="000271A1" w:rsidP="000271A1">
            <w:pPr>
              <w:spacing w:after="0" w:line="240" w:lineRule="auto"/>
              <w:jc w:val="right"/>
              <w:rPr>
                <w:rFonts w:ascii="Tahoma" w:eastAsia="Times New Roman" w:hAnsi="Tahoma" w:cs="Tahoma"/>
                <w:sz w:val="20"/>
                <w:szCs w:val="20"/>
                <w:lang w:eastAsia="hr-HR"/>
              </w:rPr>
            </w:pPr>
            <w:r w:rsidRPr="000271A1">
              <w:rPr>
                <w:rFonts w:ascii="Tahoma" w:eastAsia="Times New Roman" w:hAnsi="Tahoma" w:cs="Tahoma"/>
                <w:sz w:val="20"/>
                <w:szCs w:val="20"/>
                <w:lang w:eastAsia="hr-HR"/>
              </w:rPr>
              <w:t>1</w:t>
            </w:r>
          </w:p>
        </w:tc>
        <w:tc>
          <w:tcPr>
            <w:tcW w:w="512" w:type="dxa"/>
            <w:tcBorders>
              <w:top w:val="nil"/>
              <w:left w:val="nil"/>
              <w:bottom w:val="single" w:sz="4" w:space="0" w:color="auto"/>
              <w:right w:val="single" w:sz="4" w:space="0" w:color="auto"/>
            </w:tcBorders>
            <w:shd w:val="clear" w:color="000000" w:fill="FFFF99"/>
            <w:noWrap/>
            <w:vAlign w:val="center"/>
            <w:hideMark/>
          </w:tcPr>
          <w:p w14:paraId="036A0CCB" w14:textId="77777777" w:rsidR="000271A1" w:rsidRPr="000271A1" w:rsidRDefault="000271A1" w:rsidP="000271A1">
            <w:pPr>
              <w:spacing w:after="0" w:line="240" w:lineRule="auto"/>
              <w:jc w:val="right"/>
              <w:rPr>
                <w:rFonts w:ascii="Tahoma" w:eastAsia="Times New Roman" w:hAnsi="Tahoma" w:cs="Tahoma"/>
                <w:sz w:val="20"/>
                <w:szCs w:val="20"/>
                <w:lang w:eastAsia="hr-HR"/>
              </w:rPr>
            </w:pPr>
            <w:r w:rsidRPr="000271A1">
              <w:rPr>
                <w:rFonts w:ascii="Tahoma" w:eastAsia="Times New Roman" w:hAnsi="Tahoma" w:cs="Tahoma"/>
                <w:sz w:val="20"/>
                <w:szCs w:val="20"/>
                <w:lang w:eastAsia="hr-HR"/>
              </w:rPr>
              <w:t>1</w:t>
            </w:r>
          </w:p>
        </w:tc>
        <w:tc>
          <w:tcPr>
            <w:tcW w:w="698" w:type="dxa"/>
            <w:tcBorders>
              <w:top w:val="nil"/>
              <w:left w:val="nil"/>
              <w:bottom w:val="single" w:sz="4" w:space="0" w:color="auto"/>
              <w:right w:val="single" w:sz="4" w:space="0" w:color="auto"/>
            </w:tcBorders>
            <w:shd w:val="clear" w:color="000000" w:fill="FFFF99"/>
            <w:noWrap/>
            <w:vAlign w:val="center"/>
            <w:hideMark/>
          </w:tcPr>
          <w:p w14:paraId="16798484" w14:textId="77777777" w:rsidR="000271A1" w:rsidRPr="000271A1" w:rsidRDefault="000271A1" w:rsidP="000271A1">
            <w:pPr>
              <w:spacing w:after="0" w:line="240" w:lineRule="auto"/>
              <w:jc w:val="right"/>
              <w:rPr>
                <w:rFonts w:ascii="Tahoma" w:eastAsia="Times New Roman" w:hAnsi="Tahoma" w:cs="Tahoma"/>
                <w:sz w:val="20"/>
                <w:szCs w:val="20"/>
                <w:lang w:eastAsia="hr-HR"/>
              </w:rPr>
            </w:pPr>
            <w:r w:rsidRPr="000271A1">
              <w:rPr>
                <w:rFonts w:ascii="Tahoma" w:eastAsia="Times New Roman" w:hAnsi="Tahoma" w:cs="Tahoma"/>
                <w:sz w:val="20"/>
                <w:szCs w:val="20"/>
                <w:lang w:eastAsia="hr-HR"/>
              </w:rPr>
              <w:t> </w:t>
            </w:r>
          </w:p>
        </w:tc>
        <w:tc>
          <w:tcPr>
            <w:tcW w:w="444" w:type="dxa"/>
            <w:tcBorders>
              <w:top w:val="nil"/>
              <w:left w:val="nil"/>
              <w:bottom w:val="single" w:sz="4" w:space="0" w:color="auto"/>
              <w:right w:val="single" w:sz="4" w:space="0" w:color="auto"/>
            </w:tcBorders>
            <w:shd w:val="clear" w:color="000000" w:fill="FFFF99"/>
            <w:noWrap/>
            <w:vAlign w:val="center"/>
            <w:hideMark/>
          </w:tcPr>
          <w:p w14:paraId="4EDD7B58" w14:textId="77777777" w:rsidR="000271A1" w:rsidRPr="000271A1" w:rsidRDefault="000271A1" w:rsidP="000271A1">
            <w:pPr>
              <w:spacing w:after="0" w:line="240" w:lineRule="auto"/>
              <w:jc w:val="right"/>
              <w:rPr>
                <w:rFonts w:ascii="Tahoma" w:eastAsia="Times New Roman" w:hAnsi="Tahoma" w:cs="Tahoma"/>
                <w:sz w:val="20"/>
                <w:szCs w:val="20"/>
                <w:lang w:eastAsia="hr-HR"/>
              </w:rPr>
            </w:pPr>
            <w:r w:rsidRPr="000271A1">
              <w:rPr>
                <w:rFonts w:ascii="Tahoma" w:eastAsia="Times New Roman" w:hAnsi="Tahoma" w:cs="Tahoma"/>
                <w:sz w:val="20"/>
                <w:szCs w:val="20"/>
                <w:lang w:eastAsia="hr-HR"/>
              </w:rPr>
              <w:t> </w:t>
            </w:r>
          </w:p>
        </w:tc>
        <w:tc>
          <w:tcPr>
            <w:tcW w:w="698" w:type="dxa"/>
            <w:tcBorders>
              <w:top w:val="nil"/>
              <w:left w:val="nil"/>
              <w:bottom w:val="single" w:sz="4" w:space="0" w:color="auto"/>
              <w:right w:val="single" w:sz="4" w:space="0" w:color="auto"/>
            </w:tcBorders>
            <w:shd w:val="clear" w:color="000000" w:fill="FFFF99"/>
            <w:noWrap/>
            <w:vAlign w:val="center"/>
            <w:hideMark/>
          </w:tcPr>
          <w:p w14:paraId="21D1AC12" w14:textId="77777777" w:rsidR="000271A1" w:rsidRPr="000271A1" w:rsidRDefault="000271A1" w:rsidP="000271A1">
            <w:pPr>
              <w:spacing w:after="0" w:line="240" w:lineRule="auto"/>
              <w:jc w:val="right"/>
              <w:rPr>
                <w:rFonts w:ascii="Tahoma" w:eastAsia="Times New Roman" w:hAnsi="Tahoma" w:cs="Tahoma"/>
                <w:sz w:val="20"/>
                <w:szCs w:val="20"/>
                <w:lang w:eastAsia="hr-HR"/>
              </w:rPr>
            </w:pPr>
            <w:r w:rsidRPr="000271A1">
              <w:rPr>
                <w:rFonts w:ascii="Tahoma" w:eastAsia="Times New Roman" w:hAnsi="Tahoma" w:cs="Tahoma"/>
                <w:sz w:val="20"/>
                <w:szCs w:val="20"/>
                <w:lang w:eastAsia="hr-HR"/>
              </w:rPr>
              <w:t>1</w:t>
            </w:r>
          </w:p>
        </w:tc>
        <w:tc>
          <w:tcPr>
            <w:tcW w:w="444" w:type="dxa"/>
            <w:gridSpan w:val="2"/>
            <w:tcBorders>
              <w:top w:val="nil"/>
              <w:left w:val="nil"/>
              <w:bottom w:val="single" w:sz="4" w:space="0" w:color="auto"/>
              <w:right w:val="single" w:sz="4" w:space="0" w:color="auto"/>
            </w:tcBorders>
            <w:shd w:val="clear" w:color="000000" w:fill="FF9900"/>
            <w:noWrap/>
            <w:vAlign w:val="center"/>
            <w:hideMark/>
          </w:tcPr>
          <w:p w14:paraId="03C304DC" w14:textId="77777777" w:rsidR="000271A1" w:rsidRPr="000271A1" w:rsidRDefault="000271A1" w:rsidP="000271A1">
            <w:pPr>
              <w:spacing w:after="0" w:line="240" w:lineRule="auto"/>
              <w:jc w:val="right"/>
              <w:rPr>
                <w:rFonts w:ascii="Tahoma" w:eastAsia="Times New Roman" w:hAnsi="Tahoma" w:cs="Tahoma"/>
                <w:sz w:val="20"/>
                <w:szCs w:val="20"/>
                <w:lang w:eastAsia="hr-HR"/>
              </w:rPr>
            </w:pPr>
            <w:r w:rsidRPr="000271A1">
              <w:rPr>
                <w:rFonts w:ascii="Tahoma" w:eastAsia="Times New Roman" w:hAnsi="Tahoma" w:cs="Tahoma"/>
                <w:sz w:val="20"/>
                <w:szCs w:val="20"/>
                <w:lang w:eastAsia="hr-HR"/>
              </w:rPr>
              <w:t> </w:t>
            </w:r>
          </w:p>
        </w:tc>
        <w:tc>
          <w:tcPr>
            <w:tcW w:w="521" w:type="dxa"/>
            <w:tcBorders>
              <w:top w:val="nil"/>
              <w:left w:val="nil"/>
              <w:bottom w:val="single" w:sz="4" w:space="0" w:color="auto"/>
              <w:right w:val="single" w:sz="4" w:space="0" w:color="auto"/>
            </w:tcBorders>
            <w:shd w:val="clear" w:color="000000" w:fill="FF9900"/>
            <w:noWrap/>
            <w:vAlign w:val="center"/>
            <w:hideMark/>
          </w:tcPr>
          <w:p w14:paraId="6B9E28FC" w14:textId="77777777" w:rsidR="000271A1" w:rsidRPr="000271A1" w:rsidRDefault="000271A1" w:rsidP="000271A1">
            <w:pPr>
              <w:spacing w:after="0" w:line="240" w:lineRule="auto"/>
              <w:jc w:val="right"/>
              <w:rPr>
                <w:rFonts w:ascii="Tahoma" w:eastAsia="Times New Roman" w:hAnsi="Tahoma" w:cs="Tahoma"/>
                <w:sz w:val="20"/>
                <w:szCs w:val="20"/>
                <w:lang w:eastAsia="hr-HR"/>
              </w:rPr>
            </w:pPr>
            <w:r w:rsidRPr="000271A1">
              <w:rPr>
                <w:rFonts w:ascii="Tahoma" w:eastAsia="Times New Roman" w:hAnsi="Tahoma" w:cs="Tahoma"/>
                <w:sz w:val="20"/>
                <w:szCs w:val="20"/>
                <w:lang w:eastAsia="hr-HR"/>
              </w:rPr>
              <w:t>4</w:t>
            </w:r>
          </w:p>
        </w:tc>
        <w:tc>
          <w:tcPr>
            <w:tcW w:w="521" w:type="dxa"/>
            <w:tcBorders>
              <w:top w:val="nil"/>
              <w:left w:val="nil"/>
              <w:bottom w:val="single" w:sz="4" w:space="0" w:color="auto"/>
              <w:right w:val="single" w:sz="4" w:space="0" w:color="auto"/>
            </w:tcBorders>
            <w:shd w:val="clear" w:color="000000" w:fill="FF9900"/>
            <w:noWrap/>
            <w:vAlign w:val="center"/>
            <w:hideMark/>
          </w:tcPr>
          <w:p w14:paraId="2D974D2D" w14:textId="77777777" w:rsidR="000271A1" w:rsidRPr="000271A1" w:rsidRDefault="000271A1" w:rsidP="000271A1">
            <w:pPr>
              <w:spacing w:after="0" w:line="240" w:lineRule="auto"/>
              <w:jc w:val="right"/>
              <w:rPr>
                <w:rFonts w:ascii="Tahoma" w:eastAsia="Times New Roman" w:hAnsi="Tahoma" w:cs="Tahoma"/>
                <w:sz w:val="20"/>
                <w:szCs w:val="20"/>
                <w:lang w:eastAsia="hr-HR"/>
              </w:rPr>
            </w:pPr>
            <w:r w:rsidRPr="000271A1">
              <w:rPr>
                <w:rFonts w:ascii="Tahoma" w:eastAsia="Times New Roman" w:hAnsi="Tahoma" w:cs="Tahoma"/>
                <w:sz w:val="20"/>
                <w:szCs w:val="20"/>
                <w:lang w:eastAsia="hr-HR"/>
              </w:rPr>
              <w:t> </w:t>
            </w:r>
          </w:p>
        </w:tc>
        <w:tc>
          <w:tcPr>
            <w:tcW w:w="521" w:type="dxa"/>
            <w:gridSpan w:val="2"/>
            <w:tcBorders>
              <w:top w:val="nil"/>
              <w:left w:val="nil"/>
              <w:bottom w:val="single" w:sz="4" w:space="0" w:color="auto"/>
              <w:right w:val="single" w:sz="4" w:space="0" w:color="auto"/>
            </w:tcBorders>
            <w:shd w:val="clear" w:color="000000" w:fill="FFFF00"/>
            <w:vAlign w:val="center"/>
            <w:hideMark/>
          </w:tcPr>
          <w:p w14:paraId="2078741E" w14:textId="77777777" w:rsidR="000271A1" w:rsidRPr="000271A1" w:rsidRDefault="000271A1" w:rsidP="000271A1">
            <w:pPr>
              <w:spacing w:after="0" w:line="240" w:lineRule="auto"/>
              <w:jc w:val="right"/>
              <w:rPr>
                <w:rFonts w:ascii="Tahoma" w:eastAsia="Times New Roman" w:hAnsi="Tahoma" w:cs="Tahoma"/>
                <w:sz w:val="20"/>
                <w:szCs w:val="20"/>
                <w:lang w:eastAsia="hr-HR"/>
              </w:rPr>
            </w:pPr>
            <w:r w:rsidRPr="000271A1">
              <w:rPr>
                <w:rFonts w:ascii="Tahoma" w:eastAsia="Times New Roman" w:hAnsi="Tahoma" w:cs="Tahoma"/>
                <w:sz w:val="20"/>
                <w:szCs w:val="20"/>
                <w:lang w:eastAsia="hr-HR"/>
              </w:rPr>
              <w:t>4</w:t>
            </w:r>
          </w:p>
        </w:tc>
        <w:tc>
          <w:tcPr>
            <w:tcW w:w="702" w:type="dxa"/>
            <w:tcBorders>
              <w:top w:val="nil"/>
              <w:left w:val="nil"/>
              <w:bottom w:val="single" w:sz="4" w:space="0" w:color="auto"/>
              <w:right w:val="single" w:sz="4" w:space="0" w:color="auto"/>
            </w:tcBorders>
            <w:shd w:val="clear" w:color="000000" w:fill="FF9900"/>
            <w:vAlign w:val="center"/>
            <w:hideMark/>
          </w:tcPr>
          <w:p w14:paraId="480B624A" w14:textId="77777777" w:rsidR="000271A1" w:rsidRPr="000271A1" w:rsidRDefault="000271A1" w:rsidP="000271A1">
            <w:pPr>
              <w:spacing w:after="0" w:line="240" w:lineRule="auto"/>
              <w:jc w:val="right"/>
              <w:rPr>
                <w:rFonts w:ascii="Tahoma" w:eastAsia="Times New Roman" w:hAnsi="Tahoma" w:cs="Tahoma"/>
                <w:sz w:val="20"/>
                <w:szCs w:val="20"/>
                <w:lang w:eastAsia="hr-HR"/>
              </w:rPr>
            </w:pPr>
            <w:r w:rsidRPr="000271A1">
              <w:rPr>
                <w:rFonts w:ascii="Tahoma" w:eastAsia="Times New Roman" w:hAnsi="Tahoma" w:cs="Tahoma"/>
                <w:sz w:val="20"/>
                <w:szCs w:val="20"/>
                <w:lang w:eastAsia="hr-HR"/>
              </w:rPr>
              <w:t>11</w:t>
            </w:r>
          </w:p>
        </w:tc>
        <w:tc>
          <w:tcPr>
            <w:tcW w:w="907" w:type="dxa"/>
            <w:tcBorders>
              <w:top w:val="nil"/>
              <w:left w:val="nil"/>
              <w:bottom w:val="single" w:sz="4" w:space="0" w:color="auto"/>
              <w:right w:val="single" w:sz="4" w:space="0" w:color="auto"/>
            </w:tcBorders>
            <w:shd w:val="clear" w:color="000000" w:fill="FF9900"/>
            <w:noWrap/>
            <w:vAlign w:val="center"/>
            <w:hideMark/>
          </w:tcPr>
          <w:p w14:paraId="77C67DFB" w14:textId="77777777" w:rsidR="000271A1" w:rsidRPr="000271A1" w:rsidRDefault="000271A1" w:rsidP="000271A1">
            <w:pPr>
              <w:spacing w:after="0" w:line="240" w:lineRule="auto"/>
              <w:jc w:val="right"/>
              <w:rPr>
                <w:rFonts w:ascii="Tahoma" w:eastAsia="Times New Roman" w:hAnsi="Tahoma" w:cs="Tahoma"/>
                <w:sz w:val="20"/>
                <w:szCs w:val="20"/>
                <w:lang w:eastAsia="hr-HR"/>
              </w:rPr>
            </w:pPr>
            <w:r w:rsidRPr="000271A1">
              <w:rPr>
                <w:rFonts w:ascii="Tahoma" w:eastAsia="Times New Roman" w:hAnsi="Tahoma" w:cs="Tahoma"/>
                <w:sz w:val="20"/>
                <w:szCs w:val="20"/>
                <w:lang w:eastAsia="hr-HR"/>
              </w:rPr>
              <w:t> </w:t>
            </w:r>
          </w:p>
        </w:tc>
        <w:tc>
          <w:tcPr>
            <w:tcW w:w="553" w:type="dxa"/>
            <w:tcBorders>
              <w:top w:val="nil"/>
              <w:left w:val="nil"/>
              <w:bottom w:val="single" w:sz="4" w:space="0" w:color="auto"/>
              <w:right w:val="single" w:sz="4" w:space="0" w:color="auto"/>
            </w:tcBorders>
            <w:shd w:val="clear" w:color="000000" w:fill="FF9900"/>
            <w:noWrap/>
            <w:vAlign w:val="center"/>
            <w:hideMark/>
          </w:tcPr>
          <w:p w14:paraId="14DC02DE" w14:textId="77777777" w:rsidR="000271A1" w:rsidRPr="000271A1" w:rsidRDefault="000271A1" w:rsidP="000271A1">
            <w:pPr>
              <w:spacing w:after="0" w:line="240" w:lineRule="auto"/>
              <w:jc w:val="right"/>
              <w:rPr>
                <w:rFonts w:ascii="Tahoma" w:eastAsia="Times New Roman" w:hAnsi="Tahoma" w:cs="Tahoma"/>
                <w:sz w:val="20"/>
                <w:szCs w:val="20"/>
                <w:lang w:eastAsia="hr-HR"/>
              </w:rPr>
            </w:pPr>
            <w:r w:rsidRPr="000271A1">
              <w:rPr>
                <w:rFonts w:ascii="Tahoma" w:eastAsia="Times New Roman" w:hAnsi="Tahoma" w:cs="Tahoma"/>
                <w:sz w:val="20"/>
                <w:szCs w:val="20"/>
                <w:lang w:eastAsia="hr-HR"/>
              </w:rPr>
              <w:t> </w:t>
            </w:r>
          </w:p>
        </w:tc>
        <w:tc>
          <w:tcPr>
            <w:tcW w:w="918" w:type="dxa"/>
            <w:tcBorders>
              <w:top w:val="nil"/>
              <w:left w:val="nil"/>
              <w:bottom w:val="single" w:sz="4" w:space="0" w:color="auto"/>
              <w:right w:val="single" w:sz="4" w:space="0" w:color="auto"/>
            </w:tcBorders>
            <w:shd w:val="clear" w:color="000000" w:fill="FF9900"/>
            <w:noWrap/>
            <w:vAlign w:val="center"/>
            <w:hideMark/>
          </w:tcPr>
          <w:p w14:paraId="5766BBB7" w14:textId="77777777" w:rsidR="000271A1" w:rsidRPr="000271A1" w:rsidRDefault="000271A1" w:rsidP="000271A1">
            <w:pPr>
              <w:spacing w:after="0" w:line="240" w:lineRule="auto"/>
              <w:jc w:val="right"/>
              <w:rPr>
                <w:rFonts w:ascii="Tahoma" w:eastAsia="Times New Roman" w:hAnsi="Tahoma" w:cs="Tahoma"/>
                <w:sz w:val="20"/>
                <w:szCs w:val="20"/>
                <w:lang w:eastAsia="hr-HR"/>
              </w:rPr>
            </w:pPr>
            <w:r w:rsidRPr="000271A1">
              <w:rPr>
                <w:rFonts w:ascii="Tahoma" w:eastAsia="Times New Roman" w:hAnsi="Tahoma" w:cs="Tahoma"/>
                <w:sz w:val="20"/>
                <w:szCs w:val="20"/>
                <w:lang w:eastAsia="hr-HR"/>
              </w:rPr>
              <w:t> </w:t>
            </w:r>
          </w:p>
        </w:tc>
        <w:tc>
          <w:tcPr>
            <w:tcW w:w="428" w:type="dxa"/>
            <w:tcBorders>
              <w:top w:val="nil"/>
              <w:left w:val="nil"/>
              <w:bottom w:val="single" w:sz="4" w:space="0" w:color="auto"/>
              <w:right w:val="single" w:sz="4" w:space="0" w:color="auto"/>
            </w:tcBorders>
            <w:shd w:val="clear" w:color="000000" w:fill="CCFFFF"/>
            <w:noWrap/>
            <w:vAlign w:val="center"/>
            <w:hideMark/>
          </w:tcPr>
          <w:p w14:paraId="1B3C36BF" w14:textId="77777777" w:rsidR="000271A1" w:rsidRPr="000271A1" w:rsidRDefault="000271A1" w:rsidP="000271A1">
            <w:pPr>
              <w:spacing w:after="0" w:line="240" w:lineRule="auto"/>
              <w:jc w:val="right"/>
              <w:rPr>
                <w:rFonts w:ascii="Tahoma" w:eastAsia="Times New Roman" w:hAnsi="Tahoma" w:cs="Tahoma"/>
                <w:sz w:val="20"/>
                <w:szCs w:val="20"/>
                <w:lang w:eastAsia="hr-HR"/>
              </w:rPr>
            </w:pPr>
            <w:r w:rsidRPr="000271A1">
              <w:rPr>
                <w:rFonts w:ascii="Tahoma" w:eastAsia="Times New Roman" w:hAnsi="Tahoma" w:cs="Tahoma"/>
                <w:sz w:val="20"/>
                <w:szCs w:val="20"/>
                <w:lang w:eastAsia="hr-HR"/>
              </w:rPr>
              <w:t> </w:t>
            </w:r>
          </w:p>
        </w:tc>
        <w:tc>
          <w:tcPr>
            <w:tcW w:w="428" w:type="dxa"/>
            <w:tcBorders>
              <w:top w:val="nil"/>
              <w:left w:val="nil"/>
              <w:bottom w:val="single" w:sz="4" w:space="0" w:color="auto"/>
              <w:right w:val="single" w:sz="4" w:space="0" w:color="auto"/>
            </w:tcBorders>
            <w:shd w:val="clear" w:color="000000" w:fill="CCFFFF"/>
            <w:noWrap/>
            <w:vAlign w:val="center"/>
            <w:hideMark/>
          </w:tcPr>
          <w:p w14:paraId="700CFA00" w14:textId="77777777" w:rsidR="000271A1" w:rsidRPr="000271A1" w:rsidRDefault="000271A1" w:rsidP="000271A1">
            <w:pPr>
              <w:spacing w:after="0" w:line="240" w:lineRule="auto"/>
              <w:jc w:val="right"/>
              <w:rPr>
                <w:rFonts w:ascii="Tahoma" w:eastAsia="Times New Roman" w:hAnsi="Tahoma" w:cs="Tahoma"/>
                <w:sz w:val="20"/>
                <w:szCs w:val="20"/>
                <w:lang w:eastAsia="hr-HR"/>
              </w:rPr>
            </w:pPr>
            <w:r w:rsidRPr="000271A1">
              <w:rPr>
                <w:rFonts w:ascii="Tahoma" w:eastAsia="Times New Roman" w:hAnsi="Tahoma" w:cs="Tahoma"/>
                <w:sz w:val="20"/>
                <w:szCs w:val="20"/>
                <w:lang w:eastAsia="hr-HR"/>
              </w:rPr>
              <w:t> </w:t>
            </w:r>
          </w:p>
        </w:tc>
        <w:tc>
          <w:tcPr>
            <w:tcW w:w="425" w:type="dxa"/>
            <w:tcBorders>
              <w:top w:val="nil"/>
              <w:left w:val="nil"/>
              <w:bottom w:val="single" w:sz="4" w:space="0" w:color="auto"/>
              <w:right w:val="single" w:sz="4" w:space="0" w:color="auto"/>
            </w:tcBorders>
            <w:shd w:val="clear" w:color="000000" w:fill="CCFFFF"/>
            <w:noWrap/>
            <w:vAlign w:val="center"/>
            <w:hideMark/>
          </w:tcPr>
          <w:p w14:paraId="3CDFD02E" w14:textId="77777777" w:rsidR="000271A1" w:rsidRPr="000271A1" w:rsidRDefault="000271A1" w:rsidP="000271A1">
            <w:pPr>
              <w:spacing w:after="0" w:line="240" w:lineRule="auto"/>
              <w:jc w:val="right"/>
              <w:rPr>
                <w:rFonts w:ascii="Tahoma" w:eastAsia="Times New Roman" w:hAnsi="Tahoma" w:cs="Tahoma"/>
                <w:sz w:val="20"/>
                <w:szCs w:val="20"/>
                <w:lang w:eastAsia="hr-HR"/>
              </w:rPr>
            </w:pPr>
            <w:r w:rsidRPr="000271A1">
              <w:rPr>
                <w:rFonts w:ascii="Tahoma" w:eastAsia="Times New Roman" w:hAnsi="Tahoma" w:cs="Tahoma"/>
                <w:sz w:val="20"/>
                <w:szCs w:val="20"/>
                <w:lang w:eastAsia="hr-HR"/>
              </w:rPr>
              <w:t> </w:t>
            </w:r>
          </w:p>
        </w:tc>
        <w:tc>
          <w:tcPr>
            <w:tcW w:w="425" w:type="dxa"/>
            <w:tcBorders>
              <w:top w:val="nil"/>
              <w:left w:val="nil"/>
              <w:bottom w:val="single" w:sz="4" w:space="0" w:color="auto"/>
              <w:right w:val="nil"/>
            </w:tcBorders>
            <w:shd w:val="clear" w:color="000000" w:fill="33CCCC"/>
            <w:noWrap/>
            <w:vAlign w:val="center"/>
            <w:hideMark/>
          </w:tcPr>
          <w:p w14:paraId="71424A0D" w14:textId="77777777" w:rsidR="000271A1" w:rsidRPr="000271A1" w:rsidRDefault="000271A1" w:rsidP="000271A1">
            <w:pPr>
              <w:spacing w:after="0" w:line="240" w:lineRule="auto"/>
              <w:jc w:val="right"/>
              <w:rPr>
                <w:rFonts w:ascii="Tahoma" w:eastAsia="Times New Roman" w:hAnsi="Tahoma" w:cs="Tahoma"/>
                <w:sz w:val="20"/>
                <w:szCs w:val="20"/>
                <w:lang w:eastAsia="hr-HR"/>
              </w:rPr>
            </w:pPr>
            <w:r w:rsidRPr="000271A1">
              <w:rPr>
                <w:rFonts w:ascii="Tahoma" w:eastAsia="Times New Roman" w:hAnsi="Tahoma" w:cs="Tahoma"/>
                <w:sz w:val="20"/>
                <w:szCs w:val="20"/>
                <w:lang w:eastAsia="hr-HR"/>
              </w:rPr>
              <w:t>1</w:t>
            </w:r>
          </w:p>
        </w:tc>
        <w:tc>
          <w:tcPr>
            <w:tcW w:w="440" w:type="dxa"/>
            <w:gridSpan w:val="2"/>
            <w:tcBorders>
              <w:top w:val="nil"/>
              <w:left w:val="single" w:sz="4" w:space="0" w:color="auto"/>
              <w:bottom w:val="single" w:sz="4" w:space="0" w:color="auto"/>
              <w:right w:val="single" w:sz="8" w:space="0" w:color="auto"/>
            </w:tcBorders>
            <w:shd w:val="clear" w:color="000000" w:fill="33CCCC"/>
            <w:noWrap/>
            <w:vAlign w:val="center"/>
            <w:hideMark/>
          </w:tcPr>
          <w:p w14:paraId="171FD0A8" w14:textId="77777777" w:rsidR="000271A1" w:rsidRPr="000271A1" w:rsidRDefault="000271A1" w:rsidP="000271A1">
            <w:pPr>
              <w:spacing w:after="0" w:line="240" w:lineRule="auto"/>
              <w:jc w:val="right"/>
              <w:rPr>
                <w:rFonts w:ascii="Tahoma" w:eastAsia="Times New Roman" w:hAnsi="Tahoma" w:cs="Tahoma"/>
                <w:sz w:val="20"/>
                <w:szCs w:val="20"/>
                <w:lang w:eastAsia="hr-HR"/>
              </w:rPr>
            </w:pPr>
            <w:r w:rsidRPr="000271A1">
              <w:rPr>
                <w:rFonts w:ascii="Tahoma" w:eastAsia="Times New Roman" w:hAnsi="Tahoma" w:cs="Tahoma"/>
                <w:sz w:val="20"/>
                <w:szCs w:val="20"/>
                <w:lang w:eastAsia="hr-HR"/>
              </w:rPr>
              <w:t>3</w:t>
            </w:r>
          </w:p>
        </w:tc>
        <w:tc>
          <w:tcPr>
            <w:tcW w:w="236" w:type="dxa"/>
            <w:vAlign w:val="center"/>
            <w:hideMark/>
          </w:tcPr>
          <w:p w14:paraId="3A94814B" w14:textId="77777777" w:rsidR="000271A1" w:rsidRPr="000271A1" w:rsidRDefault="000271A1" w:rsidP="000271A1">
            <w:pPr>
              <w:spacing w:after="0" w:line="240" w:lineRule="auto"/>
              <w:rPr>
                <w:rFonts w:ascii="Times New Roman" w:eastAsia="Times New Roman" w:hAnsi="Times New Roman" w:cs="Times New Roman"/>
                <w:sz w:val="20"/>
                <w:szCs w:val="20"/>
                <w:lang w:eastAsia="hr-HR"/>
              </w:rPr>
            </w:pPr>
          </w:p>
        </w:tc>
      </w:tr>
      <w:tr w:rsidR="000271A1" w:rsidRPr="000271A1" w14:paraId="36899D9B" w14:textId="77777777" w:rsidTr="000271A1">
        <w:trPr>
          <w:gridAfter w:val="1"/>
          <w:wAfter w:w="26" w:type="dxa"/>
          <w:trHeight w:val="300"/>
        </w:trPr>
        <w:tc>
          <w:tcPr>
            <w:tcW w:w="1119" w:type="dxa"/>
            <w:tcBorders>
              <w:top w:val="single" w:sz="4" w:space="0" w:color="auto"/>
              <w:left w:val="single" w:sz="8" w:space="0" w:color="auto"/>
              <w:bottom w:val="single" w:sz="4" w:space="0" w:color="auto"/>
              <w:right w:val="single" w:sz="4" w:space="0" w:color="auto"/>
            </w:tcBorders>
            <w:shd w:val="clear" w:color="000000" w:fill="CCFFCC"/>
            <w:vAlign w:val="center"/>
            <w:hideMark/>
          </w:tcPr>
          <w:p w14:paraId="640B8473" w14:textId="77777777" w:rsidR="000271A1" w:rsidRPr="000271A1" w:rsidRDefault="000271A1" w:rsidP="000271A1">
            <w:pPr>
              <w:spacing w:after="0" w:line="240" w:lineRule="auto"/>
              <w:rPr>
                <w:rFonts w:ascii="Tahoma" w:eastAsia="Times New Roman" w:hAnsi="Tahoma" w:cs="Tahoma"/>
                <w:sz w:val="20"/>
                <w:szCs w:val="20"/>
                <w:lang w:eastAsia="hr-HR"/>
              </w:rPr>
            </w:pPr>
            <w:r w:rsidRPr="000271A1">
              <w:rPr>
                <w:rFonts w:ascii="Tahoma" w:eastAsia="Times New Roman" w:hAnsi="Tahoma" w:cs="Tahoma"/>
                <w:sz w:val="20"/>
                <w:szCs w:val="20"/>
                <w:lang w:eastAsia="hr-HR"/>
              </w:rPr>
              <w:t>Zdravstveno stanje</w:t>
            </w:r>
          </w:p>
        </w:tc>
        <w:tc>
          <w:tcPr>
            <w:tcW w:w="671" w:type="dxa"/>
            <w:tcBorders>
              <w:top w:val="nil"/>
              <w:left w:val="nil"/>
              <w:bottom w:val="single" w:sz="4" w:space="0" w:color="auto"/>
              <w:right w:val="single" w:sz="4" w:space="0" w:color="auto"/>
            </w:tcBorders>
            <w:shd w:val="clear" w:color="000000" w:fill="FFCC99"/>
            <w:noWrap/>
            <w:vAlign w:val="center"/>
            <w:hideMark/>
          </w:tcPr>
          <w:p w14:paraId="28E52BA3" w14:textId="77777777" w:rsidR="000271A1" w:rsidRPr="000271A1" w:rsidRDefault="000271A1" w:rsidP="000271A1">
            <w:pPr>
              <w:spacing w:after="0" w:line="240" w:lineRule="auto"/>
              <w:jc w:val="right"/>
              <w:rPr>
                <w:rFonts w:ascii="Tahoma" w:eastAsia="Times New Roman" w:hAnsi="Tahoma" w:cs="Tahoma"/>
                <w:sz w:val="20"/>
                <w:szCs w:val="20"/>
                <w:lang w:eastAsia="hr-HR"/>
              </w:rPr>
            </w:pPr>
            <w:r w:rsidRPr="000271A1">
              <w:rPr>
                <w:rFonts w:ascii="Tahoma" w:eastAsia="Times New Roman" w:hAnsi="Tahoma" w:cs="Tahoma"/>
                <w:sz w:val="20"/>
                <w:szCs w:val="20"/>
                <w:lang w:eastAsia="hr-HR"/>
              </w:rPr>
              <w:t>6</w:t>
            </w:r>
          </w:p>
        </w:tc>
        <w:tc>
          <w:tcPr>
            <w:tcW w:w="519" w:type="dxa"/>
            <w:tcBorders>
              <w:top w:val="nil"/>
              <w:left w:val="nil"/>
              <w:bottom w:val="single" w:sz="4" w:space="0" w:color="auto"/>
              <w:right w:val="single" w:sz="4" w:space="0" w:color="auto"/>
            </w:tcBorders>
            <w:shd w:val="clear" w:color="000000" w:fill="FFFF00"/>
            <w:noWrap/>
            <w:vAlign w:val="center"/>
            <w:hideMark/>
          </w:tcPr>
          <w:p w14:paraId="7AC7C95A" w14:textId="77777777" w:rsidR="000271A1" w:rsidRPr="000271A1" w:rsidRDefault="000271A1" w:rsidP="000271A1">
            <w:pPr>
              <w:spacing w:after="0" w:line="240" w:lineRule="auto"/>
              <w:jc w:val="right"/>
              <w:rPr>
                <w:rFonts w:ascii="Tahoma" w:eastAsia="Times New Roman" w:hAnsi="Tahoma" w:cs="Tahoma"/>
                <w:sz w:val="20"/>
                <w:szCs w:val="20"/>
                <w:lang w:eastAsia="hr-HR"/>
              </w:rPr>
            </w:pPr>
            <w:r w:rsidRPr="000271A1">
              <w:rPr>
                <w:rFonts w:ascii="Tahoma" w:eastAsia="Times New Roman" w:hAnsi="Tahoma" w:cs="Tahoma"/>
                <w:sz w:val="20"/>
                <w:szCs w:val="20"/>
                <w:lang w:eastAsia="hr-HR"/>
              </w:rPr>
              <w:t>5</w:t>
            </w:r>
          </w:p>
        </w:tc>
        <w:tc>
          <w:tcPr>
            <w:tcW w:w="365" w:type="dxa"/>
            <w:tcBorders>
              <w:top w:val="nil"/>
              <w:left w:val="nil"/>
              <w:bottom w:val="single" w:sz="4" w:space="0" w:color="auto"/>
              <w:right w:val="single" w:sz="4" w:space="0" w:color="auto"/>
            </w:tcBorders>
            <w:shd w:val="clear" w:color="000000" w:fill="CCFFFF"/>
            <w:noWrap/>
            <w:vAlign w:val="center"/>
            <w:hideMark/>
          </w:tcPr>
          <w:p w14:paraId="5D848A4A" w14:textId="77777777" w:rsidR="000271A1" w:rsidRPr="000271A1" w:rsidRDefault="000271A1" w:rsidP="000271A1">
            <w:pPr>
              <w:spacing w:after="0" w:line="240" w:lineRule="auto"/>
              <w:jc w:val="right"/>
              <w:rPr>
                <w:rFonts w:ascii="Tahoma" w:eastAsia="Times New Roman" w:hAnsi="Tahoma" w:cs="Tahoma"/>
                <w:sz w:val="20"/>
                <w:szCs w:val="20"/>
                <w:lang w:eastAsia="hr-HR"/>
              </w:rPr>
            </w:pPr>
            <w:r w:rsidRPr="000271A1">
              <w:rPr>
                <w:rFonts w:ascii="Tahoma" w:eastAsia="Times New Roman" w:hAnsi="Tahoma" w:cs="Tahoma"/>
                <w:sz w:val="20"/>
                <w:szCs w:val="20"/>
                <w:lang w:eastAsia="hr-HR"/>
              </w:rPr>
              <w:t>3</w:t>
            </w:r>
          </w:p>
        </w:tc>
        <w:tc>
          <w:tcPr>
            <w:tcW w:w="379" w:type="dxa"/>
            <w:tcBorders>
              <w:top w:val="nil"/>
              <w:left w:val="nil"/>
              <w:bottom w:val="single" w:sz="4" w:space="0" w:color="auto"/>
              <w:right w:val="single" w:sz="4" w:space="0" w:color="auto"/>
            </w:tcBorders>
            <w:shd w:val="clear" w:color="000000" w:fill="CCFFFF"/>
            <w:noWrap/>
            <w:vAlign w:val="center"/>
            <w:hideMark/>
          </w:tcPr>
          <w:p w14:paraId="40BA17D1" w14:textId="77777777" w:rsidR="000271A1" w:rsidRPr="000271A1" w:rsidRDefault="000271A1" w:rsidP="000271A1">
            <w:pPr>
              <w:spacing w:after="0" w:line="240" w:lineRule="auto"/>
              <w:jc w:val="right"/>
              <w:rPr>
                <w:rFonts w:ascii="Tahoma" w:eastAsia="Times New Roman" w:hAnsi="Tahoma" w:cs="Tahoma"/>
                <w:sz w:val="20"/>
                <w:szCs w:val="20"/>
                <w:lang w:eastAsia="hr-HR"/>
              </w:rPr>
            </w:pPr>
            <w:r w:rsidRPr="000271A1">
              <w:rPr>
                <w:rFonts w:ascii="Tahoma" w:eastAsia="Times New Roman" w:hAnsi="Tahoma" w:cs="Tahoma"/>
                <w:sz w:val="20"/>
                <w:szCs w:val="20"/>
                <w:lang w:eastAsia="hr-HR"/>
              </w:rPr>
              <w:t>2</w:t>
            </w:r>
          </w:p>
        </w:tc>
        <w:tc>
          <w:tcPr>
            <w:tcW w:w="698" w:type="dxa"/>
            <w:tcBorders>
              <w:top w:val="nil"/>
              <w:left w:val="nil"/>
              <w:bottom w:val="single" w:sz="4" w:space="0" w:color="auto"/>
              <w:right w:val="single" w:sz="4" w:space="0" w:color="auto"/>
            </w:tcBorders>
            <w:shd w:val="clear" w:color="000000" w:fill="FFFF99"/>
            <w:noWrap/>
            <w:vAlign w:val="center"/>
            <w:hideMark/>
          </w:tcPr>
          <w:p w14:paraId="3E308C16" w14:textId="77777777" w:rsidR="000271A1" w:rsidRPr="000271A1" w:rsidRDefault="000271A1" w:rsidP="000271A1">
            <w:pPr>
              <w:spacing w:after="0" w:line="240" w:lineRule="auto"/>
              <w:jc w:val="right"/>
              <w:rPr>
                <w:rFonts w:ascii="Tahoma" w:eastAsia="Times New Roman" w:hAnsi="Tahoma" w:cs="Tahoma"/>
                <w:sz w:val="20"/>
                <w:szCs w:val="20"/>
                <w:lang w:eastAsia="hr-HR"/>
              </w:rPr>
            </w:pPr>
            <w:r w:rsidRPr="000271A1">
              <w:rPr>
                <w:rFonts w:ascii="Tahoma" w:eastAsia="Times New Roman" w:hAnsi="Tahoma" w:cs="Tahoma"/>
                <w:sz w:val="20"/>
                <w:szCs w:val="20"/>
                <w:lang w:eastAsia="hr-HR"/>
              </w:rPr>
              <w:t>3</w:t>
            </w:r>
          </w:p>
        </w:tc>
        <w:tc>
          <w:tcPr>
            <w:tcW w:w="698" w:type="dxa"/>
            <w:tcBorders>
              <w:top w:val="nil"/>
              <w:left w:val="nil"/>
              <w:bottom w:val="single" w:sz="4" w:space="0" w:color="auto"/>
              <w:right w:val="single" w:sz="4" w:space="0" w:color="auto"/>
            </w:tcBorders>
            <w:shd w:val="clear" w:color="000000" w:fill="FFFF99"/>
            <w:noWrap/>
            <w:vAlign w:val="center"/>
            <w:hideMark/>
          </w:tcPr>
          <w:p w14:paraId="677AF5B1" w14:textId="77777777" w:rsidR="000271A1" w:rsidRPr="000271A1" w:rsidRDefault="000271A1" w:rsidP="000271A1">
            <w:pPr>
              <w:spacing w:after="0" w:line="240" w:lineRule="auto"/>
              <w:jc w:val="right"/>
              <w:rPr>
                <w:rFonts w:ascii="Tahoma" w:eastAsia="Times New Roman" w:hAnsi="Tahoma" w:cs="Tahoma"/>
                <w:sz w:val="20"/>
                <w:szCs w:val="20"/>
                <w:lang w:eastAsia="hr-HR"/>
              </w:rPr>
            </w:pPr>
            <w:r w:rsidRPr="000271A1">
              <w:rPr>
                <w:rFonts w:ascii="Tahoma" w:eastAsia="Times New Roman" w:hAnsi="Tahoma" w:cs="Tahoma"/>
                <w:sz w:val="20"/>
                <w:szCs w:val="20"/>
                <w:lang w:eastAsia="hr-HR"/>
              </w:rPr>
              <w:t>1</w:t>
            </w:r>
          </w:p>
        </w:tc>
        <w:tc>
          <w:tcPr>
            <w:tcW w:w="512" w:type="dxa"/>
            <w:tcBorders>
              <w:top w:val="nil"/>
              <w:left w:val="nil"/>
              <w:bottom w:val="single" w:sz="4" w:space="0" w:color="auto"/>
              <w:right w:val="single" w:sz="4" w:space="0" w:color="auto"/>
            </w:tcBorders>
            <w:shd w:val="clear" w:color="000000" w:fill="FFFF99"/>
            <w:noWrap/>
            <w:vAlign w:val="center"/>
            <w:hideMark/>
          </w:tcPr>
          <w:p w14:paraId="73306F00" w14:textId="77777777" w:rsidR="000271A1" w:rsidRPr="000271A1" w:rsidRDefault="000271A1" w:rsidP="000271A1">
            <w:pPr>
              <w:spacing w:after="0" w:line="240" w:lineRule="auto"/>
              <w:jc w:val="right"/>
              <w:rPr>
                <w:rFonts w:ascii="Tahoma" w:eastAsia="Times New Roman" w:hAnsi="Tahoma" w:cs="Tahoma"/>
                <w:sz w:val="20"/>
                <w:szCs w:val="20"/>
                <w:lang w:eastAsia="hr-HR"/>
              </w:rPr>
            </w:pPr>
            <w:r w:rsidRPr="000271A1">
              <w:rPr>
                <w:rFonts w:ascii="Tahoma" w:eastAsia="Times New Roman" w:hAnsi="Tahoma" w:cs="Tahoma"/>
                <w:sz w:val="20"/>
                <w:szCs w:val="20"/>
                <w:lang w:eastAsia="hr-HR"/>
              </w:rPr>
              <w:t>2</w:t>
            </w:r>
          </w:p>
        </w:tc>
        <w:tc>
          <w:tcPr>
            <w:tcW w:w="698" w:type="dxa"/>
            <w:tcBorders>
              <w:top w:val="nil"/>
              <w:left w:val="nil"/>
              <w:bottom w:val="single" w:sz="4" w:space="0" w:color="auto"/>
              <w:right w:val="single" w:sz="4" w:space="0" w:color="auto"/>
            </w:tcBorders>
            <w:shd w:val="clear" w:color="000000" w:fill="FFFF99"/>
            <w:noWrap/>
            <w:vAlign w:val="center"/>
            <w:hideMark/>
          </w:tcPr>
          <w:p w14:paraId="241F3BD4" w14:textId="77777777" w:rsidR="000271A1" w:rsidRPr="000271A1" w:rsidRDefault="000271A1" w:rsidP="000271A1">
            <w:pPr>
              <w:spacing w:after="0" w:line="240" w:lineRule="auto"/>
              <w:jc w:val="right"/>
              <w:rPr>
                <w:rFonts w:ascii="Tahoma" w:eastAsia="Times New Roman" w:hAnsi="Tahoma" w:cs="Tahoma"/>
                <w:sz w:val="20"/>
                <w:szCs w:val="20"/>
                <w:lang w:eastAsia="hr-HR"/>
              </w:rPr>
            </w:pPr>
            <w:r w:rsidRPr="000271A1">
              <w:rPr>
                <w:rFonts w:ascii="Tahoma" w:eastAsia="Times New Roman" w:hAnsi="Tahoma" w:cs="Tahoma"/>
                <w:sz w:val="20"/>
                <w:szCs w:val="20"/>
                <w:lang w:eastAsia="hr-HR"/>
              </w:rPr>
              <w:t> </w:t>
            </w:r>
          </w:p>
        </w:tc>
        <w:tc>
          <w:tcPr>
            <w:tcW w:w="444" w:type="dxa"/>
            <w:tcBorders>
              <w:top w:val="nil"/>
              <w:left w:val="nil"/>
              <w:bottom w:val="single" w:sz="4" w:space="0" w:color="auto"/>
              <w:right w:val="single" w:sz="4" w:space="0" w:color="auto"/>
            </w:tcBorders>
            <w:shd w:val="clear" w:color="000000" w:fill="FFFF99"/>
            <w:noWrap/>
            <w:vAlign w:val="center"/>
            <w:hideMark/>
          </w:tcPr>
          <w:p w14:paraId="5D46EBFC" w14:textId="77777777" w:rsidR="000271A1" w:rsidRPr="000271A1" w:rsidRDefault="000271A1" w:rsidP="000271A1">
            <w:pPr>
              <w:spacing w:after="0" w:line="240" w:lineRule="auto"/>
              <w:jc w:val="right"/>
              <w:rPr>
                <w:rFonts w:ascii="Tahoma" w:eastAsia="Times New Roman" w:hAnsi="Tahoma" w:cs="Tahoma"/>
                <w:sz w:val="20"/>
                <w:szCs w:val="20"/>
                <w:lang w:eastAsia="hr-HR"/>
              </w:rPr>
            </w:pPr>
            <w:r w:rsidRPr="000271A1">
              <w:rPr>
                <w:rFonts w:ascii="Tahoma" w:eastAsia="Times New Roman" w:hAnsi="Tahoma" w:cs="Tahoma"/>
                <w:sz w:val="20"/>
                <w:szCs w:val="20"/>
                <w:lang w:eastAsia="hr-HR"/>
              </w:rPr>
              <w:t> </w:t>
            </w:r>
          </w:p>
        </w:tc>
        <w:tc>
          <w:tcPr>
            <w:tcW w:w="698" w:type="dxa"/>
            <w:tcBorders>
              <w:top w:val="nil"/>
              <w:left w:val="nil"/>
              <w:bottom w:val="single" w:sz="4" w:space="0" w:color="auto"/>
              <w:right w:val="single" w:sz="4" w:space="0" w:color="auto"/>
            </w:tcBorders>
            <w:shd w:val="clear" w:color="000000" w:fill="FFFF99"/>
            <w:noWrap/>
            <w:vAlign w:val="center"/>
            <w:hideMark/>
          </w:tcPr>
          <w:p w14:paraId="04D816B1" w14:textId="77777777" w:rsidR="000271A1" w:rsidRPr="000271A1" w:rsidRDefault="000271A1" w:rsidP="000271A1">
            <w:pPr>
              <w:spacing w:after="0" w:line="240" w:lineRule="auto"/>
              <w:jc w:val="right"/>
              <w:rPr>
                <w:rFonts w:ascii="Tahoma" w:eastAsia="Times New Roman" w:hAnsi="Tahoma" w:cs="Tahoma"/>
                <w:sz w:val="20"/>
                <w:szCs w:val="20"/>
                <w:lang w:eastAsia="hr-HR"/>
              </w:rPr>
            </w:pPr>
            <w:r w:rsidRPr="000271A1">
              <w:rPr>
                <w:rFonts w:ascii="Tahoma" w:eastAsia="Times New Roman" w:hAnsi="Tahoma" w:cs="Tahoma"/>
                <w:sz w:val="20"/>
                <w:szCs w:val="20"/>
                <w:lang w:eastAsia="hr-HR"/>
              </w:rPr>
              <w:t> </w:t>
            </w:r>
          </w:p>
        </w:tc>
        <w:tc>
          <w:tcPr>
            <w:tcW w:w="444" w:type="dxa"/>
            <w:gridSpan w:val="2"/>
            <w:tcBorders>
              <w:top w:val="nil"/>
              <w:left w:val="nil"/>
              <w:bottom w:val="single" w:sz="4" w:space="0" w:color="auto"/>
              <w:right w:val="single" w:sz="4" w:space="0" w:color="auto"/>
            </w:tcBorders>
            <w:shd w:val="clear" w:color="000000" w:fill="FF9900"/>
            <w:noWrap/>
            <w:vAlign w:val="center"/>
            <w:hideMark/>
          </w:tcPr>
          <w:p w14:paraId="70EB263E" w14:textId="77777777" w:rsidR="000271A1" w:rsidRPr="000271A1" w:rsidRDefault="000271A1" w:rsidP="000271A1">
            <w:pPr>
              <w:spacing w:after="0" w:line="240" w:lineRule="auto"/>
              <w:jc w:val="right"/>
              <w:rPr>
                <w:rFonts w:ascii="Tahoma" w:eastAsia="Times New Roman" w:hAnsi="Tahoma" w:cs="Tahoma"/>
                <w:sz w:val="20"/>
                <w:szCs w:val="20"/>
                <w:lang w:eastAsia="hr-HR"/>
              </w:rPr>
            </w:pPr>
            <w:r w:rsidRPr="000271A1">
              <w:rPr>
                <w:rFonts w:ascii="Tahoma" w:eastAsia="Times New Roman" w:hAnsi="Tahoma" w:cs="Tahoma"/>
                <w:sz w:val="20"/>
                <w:szCs w:val="20"/>
                <w:lang w:eastAsia="hr-HR"/>
              </w:rPr>
              <w:t> </w:t>
            </w:r>
          </w:p>
        </w:tc>
        <w:tc>
          <w:tcPr>
            <w:tcW w:w="521" w:type="dxa"/>
            <w:tcBorders>
              <w:top w:val="nil"/>
              <w:left w:val="nil"/>
              <w:bottom w:val="single" w:sz="4" w:space="0" w:color="auto"/>
              <w:right w:val="single" w:sz="4" w:space="0" w:color="auto"/>
            </w:tcBorders>
            <w:shd w:val="clear" w:color="000000" w:fill="FF9900"/>
            <w:noWrap/>
            <w:vAlign w:val="center"/>
            <w:hideMark/>
          </w:tcPr>
          <w:p w14:paraId="0826FD3B" w14:textId="77777777" w:rsidR="000271A1" w:rsidRPr="000271A1" w:rsidRDefault="000271A1" w:rsidP="000271A1">
            <w:pPr>
              <w:spacing w:after="0" w:line="240" w:lineRule="auto"/>
              <w:jc w:val="right"/>
              <w:rPr>
                <w:rFonts w:ascii="Tahoma" w:eastAsia="Times New Roman" w:hAnsi="Tahoma" w:cs="Tahoma"/>
                <w:sz w:val="20"/>
                <w:szCs w:val="20"/>
                <w:lang w:eastAsia="hr-HR"/>
              </w:rPr>
            </w:pPr>
            <w:r w:rsidRPr="000271A1">
              <w:rPr>
                <w:rFonts w:ascii="Tahoma" w:eastAsia="Times New Roman" w:hAnsi="Tahoma" w:cs="Tahoma"/>
                <w:sz w:val="20"/>
                <w:szCs w:val="20"/>
                <w:lang w:eastAsia="hr-HR"/>
              </w:rPr>
              <w:t>3</w:t>
            </w:r>
          </w:p>
        </w:tc>
        <w:tc>
          <w:tcPr>
            <w:tcW w:w="521" w:type="dxa"/>
            <w:tcBorders>
              <w:top w:val="nil"/>
              <w:left w:val="nil"/>
              <w:bottom w:val="single" w:sz="4" w:space="0" w:color="auto"/>
              <w:right w:val="single" w:sz="4" w:space="0" w:color="auto"/>
            </w:tcBorders>
            <w:shd w:val="clear" w:color="000000" w:fill="FF9900"/>
            <w:noWrap/>
            <w:vAlign w:val="center"/>
            <w:hideMark/>
          </w:tcPr>
          <w:p w14:paraId="5ACD78B4" w14:textId="77777777" w:rsidR="000271A1" w:rsidRPr="000271A1" w:rsidRDefault="000271A1" w:rsidP="000271A1">
            <w:pPr>
              <w:spacing w:after="0" w:line="240" w:lineRule="auto"/>
              <w:jc w:val="right"/>
              <w:rPr>
                <w:rFonts w:ascii="Tahoma" w:eastAsia="Times New Roman" w:hAnsi="Tahoma" w:cs="Tahoma"/>
                <w:sz w:val="20"/>
                <w:szCs w:val="20"/>
                <w:lang w:eastAsia="hr-HR"/>
              </w:rPr>
            </w:pPr>
            <w:r w:rsidRPr="000271A1">
              <w:rPr>
                <w:rFonts w:ascii="Tahoma" w:eastAsia="Times New Roman" w:hAnsi="Tahoma" w:cs="Tahoma"/>
                <w:sz w:val="20"/>
                <w:szCs w:val="20"/>
                <w:lang w:eastAsia="hr-HR"/>
              </w:rPr>
              <w:t> </w:t>
            </w:r>
          </w:p>
        </w:tc>
        <w:tc>
          <w:tcPr>
            <w:tcW w:w="521" w:type="dxa"/>
            <w:gridSpan w:val="2"/>
            <w:tcBorders>
              <w:top w:val="nil"/>
              <w:left w:val="nil"/>
              <w:bottom w:val="single" w:sz="4" w:space="0" w:color="auto"/>
              <w:right w:val="single" w:sz="4" w:space="0" w:color="auto"/>
            </w:tcBorders>
            <w:shd w:val="clear" w:color="000000" w:fill="FFFF00"/>
            <w:vAlign w:val="center"/>
            <w:hideMark/>
          </w:tcPr>
          <w:p w14:paraId="179C7B0B" w14:textId="77777777" w:rsidR="000271A1" w:rsidRPr="000271A1" w:rsidRDefault="000271A1" w:rsidP="000271A1">
            <w:pPr>
              <w:spacing w:after="0" w:line="240" w:lineRule="auto"/>
              <w:jc w:val="right"/>
              <w:rPr>
                <w:rFonts w:ascii="Tahoma" w:eastAsia="Times New Roman" w:hAnsi="Tahoma" w:cs="Tahoma"/>
                <w:sz w:val="20"/>
                <w:szCs w:val="20"/>
                <w:lang w:eastAsia="hr-HR"/>
              </w:rPr>
            </w:pPr>
            <w:r w:rsidRPr="000271A1">
              <w:rPr>
                <w:rFonts w:ascii="Tahoma" w:eastAsia="Times New Roman" w:hAnsi="Tahoma" w:cs="Tahoma"/>
                <w:sz w:val="20"/>
                <w:szCs w:val="20"/>
                <w:lang w:eastAsia="hr-HR"/>
              </w:rPr>
              <w:t>3</w:t>
            </w:r>
          </w:p>
        </w:tc>
        <w:tc>
          <w:tcPr>
            <w:tcW w:w="702" w:type="dxa"/>
            <w:tcBorders>
              <w:top w:val="nil"/>
              <w:left w:val="nil"/>
              <w:bottom w:val="single" w:sz="4" w:space="0" w:color="auto"/>
              <w:right w:val="single" w:sz="4" w:space="0" w:color="auto"/>
            </w:tcBorders>
            <w:shd w:val="clear" w:color="000000" w:fill="FF9900"/>
            <w:vAlign w:val="center"/>
            <w:hideMark/>
          </w:tcPr>
          <w:p w14:paraId="69290CD1" w14:textId="77777777" w:rsidR="000271A1" w:rsidRPr="000271A1" w:rsidRDefault="000271A1" w:rsidP="000271A1">
            <w:pPr>
              <w:spacing w:after="0" w:line="240" w:lineRule="auto"/>
              <w:jc w:val="right"/>
              <w:rPr>
                <w:rFonts w:ascii="Tahoma" w:eastAsia="Times New Roman" w:hAnsi="Tahoma" w:cs="Tahoma"/>
                <w:sz w:val="20"/>
                <w:szCs w:val="20"/>
                <w:lang w:eastAsia="hr-HR"/>
              </w:rPr>
            </w:pPr>
            <w:r w:rsidRPr="000271A1">
              <w:rPr>
                <w:rFonts w:ascii="Tahoma" w:eastAsia="Times New Roman" w:hAnsi="Tahoma" w:cs="Tahoma"/>
                <w:sz w:val="20"/>
                <w:szCs w:val="20"/>
                <w:lang w:eastAsia="hr-HR"/>
              </w:rPr>
              <w:t>8</w:t>
            </w:r>
          </w:p>
        </w:tc>
        <w:tc>
          <w:tcPr>
            <w:tcW w:w="907" w:type="dxa"/>
            <w:tcBorders>
              <w:top w:val="nil"/>
              <w:left w:val="nil"/>
              <w:bottom w:val="single" w:sz="4" w:space="0" w:color="auto"/>
              <w:right w:val="single" w:sz="4" w:space="0" w:color="auto"/>
            </w:tcBorders>
            <w:shd w:val="clear" w:color="000000" w:fill="FF9900"/>
            <w:noWrap/>
            <w:vAlign w:val="center"/>
            <w:hideMark/>
          </w:tcPr>
          <w:p w14:paraId="66DD9420" w14:textId="77777777" w:rsidR="000271A1" w:rsidRPr="000271A1" w:rsidRDefault="000271A1" w:rsidP="000271A1">
            <w:pPr>
              <w:spacing w:after="0" w:line="240" w:lineRule="auto"/>
              <w:jc w:val="right"/>
              <w:rPr>
                <w:rFonts w:ascii="Tahoma" w:eastAsia="Times New Roman" w:hAnsi="Tahoma" w:cs="Tahoma"/>
                <w:sz w:val="20"/>
                <w:szCs w:val="20"/>
                <w:lang w:eastAsia="hr-HR"/>
              </w:rPr>
            </w:pPr>
            <w:r w:rsidRPr="000271A1">
              <w:rPr>
                <w:rFonts w:ascii="Tahoma" w:eastAsia="Times New Roman" w:hAnsi="Tahoma" w:cs="Tahoma"/>
                <w:sz w:val="20"/>
                <w:szCs w:val="20"/>
                <w:lang w:eastAsia="hr-HR"/>
              </w:rPr>
              <w:t> </w:t>
            </w:r>
          </w:p>
        </w:tc>
        <w:tc>
          <w:tcPr>
            <w:tcW w:w="553" w:type="dxa"/>
            <w:tcBorders>
              <w:top w:val="nil"/>
              <w:left w:val="nil"/>
              <w:bottom w:val="single" w:sz="4" w:space="0" w:color="auto"/>
              <w:right w:val="single" w:sz="4" w:space="0" w:color="auto"/>
            </w:tcBorders>
            <w:shd w:val="clear" w:color="000000" w:fill="FF9900"/>
            <w:noWrap/>
            <w:vAlign w:val="center"/>
            <w:hideMark/>
          </w:tcPr>
          <w:p w14:paraId="5D888689" w14:textId="77777777" w:rsidR="000271A1" w:rsidRPr="000271A1" w:rsidRDefault="000271A1" w:rsidP="000271A1">
            <w:pPr>
              <w:spacing w:after="0" w:line="240" w:lineRule="auto"/>
              <w:jc w:val="right"/>
              <w:rPr>
                <w:rFonts w:ascii="Tahoma" w:eastAsia="Times New Roman" w:hAnsi="Tahoma" w:cs="Tahoma"/>
                <w:sz w:val="20"/>
                <w:szCs w:val="20"/>
                <w:lang w:eastAsia="hr-HR"/>
              </w:rPr>
            </w:pPr>
            <w:r w:rsidRPr="000271A1">
              <w:rPr>
                <w:rFonts w:ascii="Tahoma" w:eastAsia="Times New Roman" w:hAnsi="Tahoma" w:cs="Tahoma"/>
                <w:sz w:val="20"/>
                <w:szCs w:val="20"/>
                <w:lang w:eastAsia="hr-HR"/>
              </w:rPr>
              <w:t> </w:t>
            </w:r>
          </w:p>
        </w:tc>
        <w:tc>
          <w:tcPr>
            <w:tcW w:w="918" w:type="dxa"/>
            <w:tcBorders>
              <w:top w:val="nil"/>
              <w:left w:val="nil"/>
              <w:bottom w:val="single" w:sz="4" w:space="0" w:color="auto"/>
              <w:right w:val="single" w:sz="4" w:space="0" w:color="auto"/>
            </w:tcBorders>
            <w:shd w:val="clear" w:color="000000" w:fill="FF9900"/>
            <w:noWrap/>
            <w:vAlign w:val="center"/>
            <w:hideMark/>
          </w:tcPr>
          <w:p w14:paraId="599E19B9" w14:textId="77777777" w:rsidR="000271A1" w:rsidRPr="000271A1" w:rsidRDefault="000271A1" w:rsidP="000271A1">
            <w:pPr>
              <w:spacing w:after="0" w:line="240" w:lineRule="auto"/>
              <w:jc w:val="right"/>
              <w:rPr>
                <w:rFonts w:ascii="Tahoma" w:eastAsia="Times New Roman" w:hAnsi="Tahoma" w:cs="Tahoma"/>
                <w:sz w:val="20"/>
                <w:szCs w:val="20"/>
                <w:lang w:eastAsia="hr-HR"/>
              </w:rPr>
            </w:pPr>
            <w:r w:rsidRPr="000271A1">
              <w:rPr>
                <w:rFonts w:ascii="Tahoma" w:eastAsia="Times New Roman" w:hAnsi="Tahoma" w:cs="Tahoma"/>
                <w:sz w:val="20"/>
                <w:szCs w:val="20"/>
                <w:lang w:eastAsia="hr-HR"/>
              </w:rPr>
              <w:t> </w:t>
            </w:r>
          </w:p>
        </w:tc>
        <w:tc>
          <w:tcPr>
            <w:tcW w:w="428" w:type="dxa"/>
            <w:tcBorders>
              <w:top w:val="nil"/>
              <w:left w:val="nil"/>
              <w:bottom w:val="single" w:sz="4" w:space="0" w:color="auto"/>
              <w:right w:val="single" w:sz="4" w:space="0" w:color="auto"/>
            </w:tcBorders>
            <w:shd w:val="clear" w:color="000000" w:fill="CCFFFF"/>
            <w:noWrap/>
            <w:vAlign w:val="center"/>
            <w:hideMark/>
          </w:tcPr>
          <w:p w14:paraId="214DB3E3" w14:textId="77777777" w:rsidR="000271A1" w:rsidRPr="000271A1" w:rsidRDefault="000271A1" w:rsidP="000271A1">
            <w:pPr>
              <w:spacing w:after="0" w:line="240" w:lineRule="auto"/>
              <w:jc w:val="right"/>
              <w:rPr>
                <w:rFonts w:ascii="Tahoma" w:eastAsia="Times New Roman" w:hAnsi="Tahoma" w:cs="Tahoma"/>
                <w:sz w:val="20"/>
                <w:szCs w:val="20"/>
                <w:lang w:eastAsia="hr-HR"/>
              </w:rPr>
            </w:pPr>
            <w:r w:rsidRPr="000271A1">
              <w:rPr>
                <w:rFonts w:ascii="Tahoma" w:eastAsia="Times New Roman" w:hAnsi="Tahoma" w:cs="Tahoma"/>
                <w:sz w:val="20"/>
                <w:szCs w:val="20"/>
                <w:lang w:eastAsia="hr-HR"/>
              </w:rPr>
              <w:t> </w:t>
            </w:r>
          </w:p>
        </w:tc>
        <w:tc>
          <w:tcPr>
            <w:tcW w:w="428" w:type="dxa"/>
            <w:tcBorders>
              <w:top w:val="nil"/>
              <w:left w:val="nil"/>
              <w:bottom w:val="single" w:sz="4" w:space="0" w:color="auto"/>
              <w:right w:val="single" w:sz="4" w:space="0" w:color="auto"/>
            </w:tcBorders>
            <w:shd w:val="clear" w:color="000000" w:fill="CCFFFF"/>
            <w:noWrap/>
            <w:vAlign w:val="center"/>
            <w:hideMark/>
          </w:tcPr>
          <w:p w14:paraId="3CFAD199" w14:textId="77777777" w:rsidR="000271A1" w:rsidRPr="000271A1" w:rsidRDefault="000271A1" w:rsidP="000271A1">
            <w:pPr>
              <w:spacing w:after="0" w:line="240" w:lineRule="auto"/>
              <w:jc w:val="right"/>
              <w:rPr>
                <w:rFonts w:ascii="Tahoma" w:eastAsia="Times New Roman" w:hAnsi="Tahoma" w:cs="Tahoma"/>
                <w:sz w:val="20"/>
                <w:szCs w:val="20"/>
                <w:lang w:eastAsia="hr-HR"/>
              </w:rPr>
            </w:pPr>
            <w:r w:rsidRPr="000271A1">
              <w:rPr>
                <w:rFonts w:ascii="Tahoma" w:eastAsia="Times New Roman" w:hAnsi="Tahoma" w:cs="Tahoma"/>
                <w:sz w:val="20"/>
                <w:szCs w:val="20"/>
                <w:lang w:eastAsia="hr-HR"/>
              </w:rPr>
              <w:t> </w:t>
            </w:r>
          </w:p>
        </w:tc>
        <w:tc>
          <w:tcPr>
            <w:tcW w:w="425" w:type="dxa"/>
            <w:tcBorders>
              <w:top w:val="nil"/>
              <w:left w:val="nil"/>
              <w:bottom w:val="single" w:sz="4" w:space="0" w:color="auto"/>
              <w:right w:val="single" w:sz="4" w:space="0" w:color="auto"/>
            </w:tcBorders>
            <w:shd w:val="clear" w:color="000000" w:fill="CCFFFF"/>
            <w:noWrap/>
            <w:vAlign w:val="center"/>
            <w:hideMark/>
          </w:tcPr>
          <w:p w14:paraId="7D47B504" w14:textId="77777777" w:rsidR="000271A1" w:rsidRPr="000271A1" w:rsidRDefault="000271A1" w:rsidP="000271A1">
            <w:pPr>
              <w:spacing w:after="0" w:line="240" w:lineRule="auto"/>
              <w:jc w:val="right"/>
              <w:rPr>
                <w:rFonts w:ascii="Tahoma" w:eastAsia="Times New Roman" w:hAnsi="Tahoma" w:cs="Tahoma"/>
                <w:sz w:val="20"/>
                <w:szCs w:val="20"/>
                <w:lang w:eastAsia="hr-HR"/>
              </w:rPr>
            </w:pPr>
            <w:r w:rsidRPr="000271A1">
              <w:rPr>
                <w:rFonts w:ascii="Tahoma" w:eastAsia="Times New Roman" w:hAnsi="Tahoma" w:cs="Tahoma"/>
                <w:sz w:val="20"/>
                <w:szCs w:val="20"/>
                <w:lang w:eastAsia="hr-HR"/>
              </w:rPr>
              <w:t> </w:t>
            </w:r>
          </w:p>
        </w:tc>
        <w:tc>
          <w:tcPr>
            <w:tcW w:w="425" w:type="dxa"/>
            <w:tcBorders>
              <w:top w:val="nil"/>
              <w:left w:val="nil"/>
              <w:bottom w:val="single" w:sz="4" w:space="0" w:color="auto"/>
              <w:right w:val="nil"/>
            </w:tcBorders>
            <w:shd w:val="clear" w:color="000000" w:fill="33CCCC"/>
            <w:noWrap/>
            <w:vAlign w:val="center"/>
            <w:hideMark/>
          </w:tcPr>
          <w:p w14:paraId="42F863DF" w14:textId="77777777" w:rsidR="000271A1" w:rsidRPr="000271A1" w:rsidRDefault="000271A1" w:rsidP="000271A1">
            <w:pPr>
              <w:spacing w:after="0" w:line="240" w:lineRule="auto"/>
              <w:jc w:val="right"/>
              <w:rPr>
                <w:rFonts w:ascii="Tahoma" w:eastAsia="Times New Roman" w:hAnsi="Tahoma" w:cs="Tahoma"/>
                <w:sz w:val="20"/>
                <w:szCs w:val="20"/>
                <w:lang w:eastAsia="hr-HR"/>
              </w:rPr>
            </w:pPr>
            <w:r w:rsidRPr="000271A1">
              <w:rPr>
                <w:rFonts w:ascii="Tahoma" w:eastAsia="Times New Roman" w:hAnsi="Tahoma" w:cs="Tahoma"/>
                <w:sz w:val="20"/>
                <w:szCs w:val="20"/>
                <w:lang w:eastAsia="hr-HR"/>
              </w:rPr>
              <w:t> </w:t>
            </w:r>
          </w:p>
        </w:tc>
        <w:tc>
          <w:tcPr>
            <w:tcW w:w="440" w:type="dxa"/>
            <w:gridSpan w:val="2"/>
            <w:tcBorders>
              <w:top w:val="nil"/>
              <w:left w:val="single" w:sz="4" w:space="0" w:color="auto"/>
              <w:bottom w:val="single" w:sz="4" w:space="0" w:color="auto"/>
              <w:right w:val="single" w:sz="8" w:space="0" w:color="auto"/>
            </w:tcBorders>
            <w:shd w:val="clear" w:color="000000" w:fill="33CCCC"/>
            <w:noWrap/>
            <w:vAlign w:val="center"/>
            <w:hideMark/>
          </w:tcPr>
          <w:p w14:paraId="4E1C40F2" w14:textId="77777777" w:rsidR="000271A1" w:rsidRPr="000271A1" w:rsidRDefault="000271A1" w:rsidP="000271A1">
            <w:pPr>
              <w:spacing w:after="0" w:line="240" w:lineRule="auto"/>
              <w:jc w:val="right"/>
              <w:rPr>
                <w:rFonts w:ascii="Tahoma" w:eastAsia="Times New Roman" w:hAnsi="Tahoma" w:cs="Tahoma"/>
                <w:sz w:val="20"/>
                <w:szCs w:val="20"/>
                <w:lang w:eastAsia="hr-HR"/>
              </w:rPr>
            </w:pPr>
            <w:r w:rsidRPr="000271A1">
              <w:rPr>
                <w:rFonts w:ascii="Tahoma" w:eastAsia="Times New Roman" w:hAnsi="Tahoma" w:cs="Tahoma"/>
                <w:sz w:val="20"/>
                <w:szCs w:val="20"/>
                <w:lang w:eastAsia="hr-HR"/>
              </w:rPr>
              <w:t>3</w:t>
            </w:r>
          </w:p>
        </w:tc>
        <w:tc>
          <w:tcPr>
            <w:tcW w:w="236" w:type="dxa"/>
            <w:vAlign w:val="center"/>
            <w:hideMark/>
          </w:tcPr>
          <w:p w14:paraId="2CF46313" w14:textId="77777777" w:rsidR="000271A1" w:rsidRPr="000271A1" w:rsidRDefault="000271A1" w:rsidP="000271A1">
            <w:pPr>
              <w:spacing w:after="0" w:line="240" w:lineRule="auto"/>
              <w:rPr>
                <w:rFonts w:ascii="Times New Roman" w:eastAsia="Times New Roman" w:hAnsi="Times New Roman" w:cs="Times New Roman"/>
                <w:sz w:val="20"/>
                <w:szCs w:val="20"/>
                <w:lang w:eastAsia="hr-HR"/>
              </w:rPr>
            </w:pPr>
          </w:p>
        </w:tc>
      </w:tr>
      <w:tr w:rsidR="000271A1" w:rsidRPr="000271A1" w14:paraId="4ADAF3D9" w14:textId="77777777" w:rsidTr="000271A1">
        <w:trPr>
          <w:gridAfter w:val="1"/>
          <w:wAfter w:w="26" w:type="dxa"/>
          <w:trHeight w:val="300"/>
        </w:trPr>
        <w:tc>
          <w:tcPr>
            <w:tcW w:w="1119" w:type="dxa"/>
            <w:tcBorders>
              <w:top w:val="single" w:sz="4" w:space="0" w:color="auto"/>
              <w:left w:val="single" w:sz="8" w:space="0" w:color="auto"/>
              <w:bottom w:val="single" w:sz="4" w:space="0" w:color="auto"/>
              <w:right w:val="single" w:sz="4" w:space="0" w:color="auto"/>
            </w:tcBorders>
            <w:shd w:val="clear" w:color="000000" w:fill="CCFFCC"/>
            <w:vAlign w:val="center"/>
            <w:hideMark/>
          </w:tcPr>
          <w:p w14:paraId="587004A5" w14:textId="77777777" w:rsidR="000271A1" w:rsidRPr="000271A1" w:rsidRDefault="000271A1" w:rsidP="000271A1">
            <w:pPr>
              <w:spacing w:after="0" w:line="240" w:lineRule="auto"/>
              <w:rPr>
                <w:rFonts w:ascii="Tahoma" w:eastAsia="Times New Roman" w:hAnsi="Tahoma" w:cs="Tahoma"/>
                <w:sz w:val="20"/>
                <w:szCs w:val="20"/>
                <w:lang w:eastAsia="hr-HR"/>
              </w:rPr>
            </w:pPr>
            <w:r w:rsidRPr="000271A1">
              <w:rPr>
                <w:rFonts w:ascii="Tahoma" w:eastAsia="Times New Roman" w:hAnsi="Tahoma" w:cs="Tahoma"/>
                <w:sz w:val="20"/>
                <w:szCs w:val="20"/>
                <w:lang w:eastAsia="hr-HR"/>
              </w:rPr>
              <w:t>Invaliditet</w:t>
            </w:r>
          </w:p>
        </w:tc>
        <w:tc>
          <w:tcPr>
            <w:tcW w:w="671" w:type="dxa"/>
            <w:tcBorders>
              <w:top w:val="nil"/>
              <w:left w:val="nil"/>
              <w:bottom w:val="single" w:sz="4" w:space="0" w:color="auto"/>
              <w:right w:val="single" w:sz="4" w:space="0" w:color="auto"/>
            </w:tcBorders>
            <w:shd w:val="clear" w:color="000000" w:fill="FFCC99"/>
            <w:noWrap/>
            <w:vAlign w:val="center"/>
            <w:hideMark/>
          </w:tcPr>
          <w:p w14:paraId="5C6F16C4" w14:textId="77777777" w:rsidR="000271A1" w:rsidRPr="000271A1" w:rsidRDefault="000271A1" w:rsidP="000271A1">
            <w:pPr>
              <w:spacing w:after="0" w:line="240" w:lineRule="auto"/>
              <w:jc w:val="right"/>
              <w:rPr>
                <w:rFonts w:ascii="Tahoma" w:eastAsia="Times New Roman" w:hAnsi="Tahoma" w:cs="Tahoma"/>
                <w:sz w:val="20"/>
                <w:szCs w:val="20"/>
                <w:lang w:eastAsia="hr-HR"/>
              </w:rPr>
            </w:pPr>
            <w:r w:rsidRPr="000271A1">
              <w:rPr>
                <w:rFonts w:ascii="Tahoma" w:eastAsia="Times New Roman" w:hAnsi="Tahoma" w:cs="Tahoma"/>
                <w:sz w:val="20"/>
                <w:szCs w:val="20"/>
                <w:lang w:eastAsia="hr-HR"/>
              </w:rPr>
              <w:t>3</w:t>
            </w:r>
          </w:p>
        </w:tc>
        <w:tc>
          <w:tcPr>
            <w:tcW w:w="519" w:type="dxa"/>
            <w:tcBorders>
              <w:top w:val="nil"/>
              <w:left w:val="nil"/>
              <w:bottom w:val="single" w:sz="4" w:space="0" w:color="auto"/>
              <w:right w:val="single" w:sz="4" w:space="0" w:color="auto"/>
            </w:tcBorders>
            <w:shd w:val="clear" w:color="000000" w:fill="FFFF00"/>
            <w:noWrap/>
            <w:vAlign w:val="center"/>
            <w:hideMark/>
          </w:tcPr>
          <w:p w14:paraId="2CC93B77" w14:textId="77777777" w:rsidR="000271A1" w:rsidRPr="000271A1" w:rsidRDefault="000271A1" w:rsidP="000271A1">
            <w:pPr>
              <w:spacing w:after="0" w:line="240" w:lineRule="auto"/>
              <w:jc w:val="right"/>
              <w:rPr>
                <w:rFonts w:ascii="Tahoma" w:eastAsia="Times New Roman" w:hAnsi="Tahoma" w:cs="Tahoma"/>
                <w:sz w:val="20"/>
                <w:szCs w:val="20"/>
                <w:lang w:eastAsia="hr-HR"/>
              </w:rPr>
            </w:pPr>
            <w:r w:rsidRPr="000271A1">
              <w:rPr>
                <w:rFonts w:ascii="Tahoma" w:eastAsia="Times New Roman" w:hAnsi="Tahoma" w:cs="Tahoma"/>
                <w:sz w:val="20"/>
                <w:szCs w:val="20"/>
                <w:lang w:eastAsia="hr-HR"/>
              </w:rPr>
              <w:t>1</w:t>
            </w:r>
          </w:p>
        </w:tc>
        <w:tc>
          <w:tcPr>
            <w:tcW w:w="365" w:type="dxa"/>
            <w:tcBorders>
              <w:top w:val="nil"/>
              <w:left w:val="nil"/>
              <w:bottom w:val="single" w:sz="4" w:space="0" w:color="auto"/>
              <w:right w:val="single" w:sz="4" w:space="0" w:color="auto"/>
            </w:tcBorders>
            <w:shd w:val="clear" w:color="000000" w:fill="CCFFFF"/>
            <w:noWrap/>
            <w:vAlign w:val="center"/>
            <w:hideMark/>
          </w:tcPr>
          <w:p w14:paraId="3EFB0B0A" w14:textId="77777777" w:rsidR="000271A1" w:rsidRPr="000271A1" w:rsidRDefault="000271A1" w:rsidP="000271A1">
            <w:pPr>
              <w:spacing w:after="0" w:line="240" w:lineRule="auto"/>
              <w:jc w:val="right"/>
              <w:rPr>
                <w:rFonts w:ascii="Tahoma" w:eastAsia="Times New Roman" w:hAnsi="Tahoma" w:cs="Tahoma"/>
                <w:sz w:val="20"/>
                <w:szCs w:val="20"/>
                <w:lang w:eastAsia="hr-HR"/>
              </w:rPr>
            </w:pPr>
            <w:r w:rsidRPr="000271A1">
              <w:rPr>
                <w:rFonts w:ascii="Tahoma" w:eastAsia="Times New Roman" w:hAnsi="Tahoma" w:cs="Tahoma"/>
                <w:sz w:val="20"/>
                <w:szCs w:val="20"/>
                <w:lang w:eastAsia="hr-HR"/>
              </w:rPr>
              <w:t>1</w:t>
            </w:r>
          </w:p>
        </w:tc>
        <w:tc>
          <w:tcPr>
            <w:tcW w:w="379" w:type="dxa"/>
            <w:tcBorders>
              <w:top w:val="nil"/>
              <w:left w:val="nil"/>
              <w:bottom w:val="single" w:sz="4" w:space="0" w:color="auto"/>
              <w:right w:val="single" w:sz="4" w:space="0" w:color="auto"/>
            </w:tcBorders>
            <w:shd w:val="clear" w:color="000000" w:fill="CCFFFF"/>
            <w:noWrap/>
            <w:vAlign w:val="center"/>
            <w:hideMark/>
          </w:tcPr>
          <w:p w14:paraId="3FE34B0F" w14:textId="77777777" w:rsidR="000271A1" w:rsidRPr="000271A1" w:rsidRDefault="000271A1" w:rsidP="000271A1">
            <w:pPr>
              <w:spacing w:after="0" w:line="240" w:lineRule="auto"/>
              <w:jc w:val="right"/>
              <w:rPr>
                <w:rFonts w:ascii="Tahoma" w:eastAsia="Times New Roman" w:hAnsi="Tahoma" w:cs="Tahoma"/>
                <w:sz w:val="20"/>
                <w:szCs w:val="20"/>
                <w:lang w:eastAsia="hr-HR"/>
              </w:rPr>
            </w:pPr>
            <w:r w:rsidRPr="000271A1">
              <w:rPr>
                <w:rFonts w:ascii="Tahoma" w:eastAsia="Times New Roman" w:hAnsi="Tahoma" w:cs="Tahoma"/>
                <w:sz w:val="20"/>
                <w:szCs w:val="20"/>
                <w:lang w:eastAsia="hr-HR"/>
              </w:rPr>
              <w:t> </w:t>
            </w:r>
          </w:p>
        </w:tc>
        <w:tc>
          <w:tcPr>
            <w:tcW w:w="698" w:type="dxa"/>
            <w:tcBorders>
              <w:top w:val="nil"/>
              <w:left w:val="nil"/>
              <w:bottom w:val="single" w:sz="4" w:space="0" w:color="auto"/>
              <w:right w:val="single" w:sz="4" w:space="0" w:color="auto"/>
            </w:tcBorders>
            <w:shd w:val="clear" w:color="000000" w:fill="FFFF99"/>
            <w:noWrap/>
            <w:vAlign w:val="center"/>
            <w:hideMark/>
          </w:tcPr>
          <w:p w14:paraId="0DC362C8" w14:textId="77777777" w:rsidR="000271A1" w:rsidRPr="000271A1" w:rsidRDefault="000271A1" w:rsidP="000271A1">
            <w:pPr>
              <w:spacing w:after="0" w:line="240" w:lineRule="auto"/>
              <w:jc w:val="right"/>
              <w:rPr>
                <w:rFonts w:ascii="Tahoma" w:eastAsia="Times New Roman" w:hAnsi="Tahoma" w:cs="Tahoma"/>
                <w:sz w:val="20"/>
                <w:szCs w:val="20"/>
                <w:lang w:eastAsia="hr-HR"/>
              </w:rPr>
            </w:pPr>
            <w:r w:rsidRPr="000271A1">
              <w:rPr>
                <w:rFonts w:ascii="Tahoma" w:eastAsia="Times New Roman" w:hAnsi="Tahoma" w:cs="Tahoma"/>
                <w:sz w:val="20"/>
                <w:szCs w:val="20"/>
                <w:lang w:eastAsia="hr-HR"/>
              </w:rPr>
              <w:t>1</w:t>
            </w:r>
          </w:p>
        </w:tc>
        <w:tc>
          <w:tcPr>
            <w:tcW w:w="698" w:type="dxa"/>
            <w:tcBorders>
              <w:top w:val="nil"/>
              <w:left w:val="nil"/>
              <w:bottom w:val="single" w:sz="4" w:space="0" w:color="auto"/>
              <w:right w:val="single" w:sz="4" w:space="0" w:color="auto"/>
            </w:tcBorders>
            <w:shd w:val="clear" w:color="000000" w:fill="FFFF99"/>
            <w:noWrap/>
            <w:vAlign w:val="center"/>
            <w:hideMark/>
          </w:tcPr>
          <w:p w14:paraId="1BB14E74" w14:textId="77777777" w:rsidR="000271A1" w:rsidRPr="000271A1" w:rsidRDefault="000271A1" w:rsidP="000271A1">
            <w:pPr>
              <w:spacing w:after="0" w:line="240" w:lineRule="auto"/>
              <w:jc w:val="right"/>
              <w:rPr>
                <w:rFonts w:ascii="Tahoma" w:eastAsia="Times New Roman" w:hAnsi="Tahoma" w:cs="Tahoma"/>
                <w:sz w:val="20"/>
                <w:szCs w:val="20"/>
                <w:lang w:eastAsia="hr-HR"/>
              </w:rPr>
            </w:pPr>
            <w:r w:rsidRPr="000271A1">
              <w:rPr>
                <w:rFonts w:ascii="Tahoma" w:eastAsia="Times New Roman" w:hAnsi="Tahoma" w:cs="Tahoma"/>
                <w:sz w:val="20"/>
                <w:szCs w:val="20"/>
                <w:lang w:eastAsia="hr-HR"/>
              </w:rPr>
              <w:t> </w:t>
            </w:r>
          </w:p>
        </w:tc>
        <w:tc>
          <w:tcPr>
            <w:tcW w:w="512" w:type="dxa"/>
            <w:tcBorders>
              <w:top w:val="nil"/>
              <w:left w:val="nil"/>
              <w:bottom w:val="single" w:sz="4" w:space="0" w:color="auto"/>
              <w:right w:val="single" w:sz="4" w:space="0" w:color="auto"/>
            </w:tcBorders>
            <w:shd w:val="clear" w:color="000000" w:fill="FFFF99"/>
            <w:noWrap/>
            <w:vAlign w:val="center"/>
            <w:hideMark/>
          </w:tcPr>
          <w:p w14:paraId="7C1B69AA" w14:textId="77777777" w:rsidR="000271A1" w:rsidRPr="000271A1" w:rsidRDefault="000271A1" w:rsidP="000271A1">
            <w:pPr>
              <w:spacing w:after="0" w:line="240" w:lineRule="auto"/>
              <w:jc w:val="right"/>
              <w:rPr>
                <w:rFonts w:ascii="Tahoma" w:eastAsia="Times New Roman" w:hAnsi="Tahoma" w:cs="Tahoma"/>
                <w:sz w:val="20"/>
                <w:szCs w:val="20"/>
                <w:lang w:eastAsia="hr-HR"/>
              </w:rPr>
            </w:pPr>
            <w:r w:rsidRPr="000271A1">
              <w:rPr>
                <w:rFonts w:ascii="Tahoma" w:eastAsia="Times New Roman" w:hAnsi="Tahoma" w:cs="Tahoma"/>
                <w:sz w:val="20"/>
                <w:szCs w:val="20"/>
                <w:lang w:eastAsia="hr-HR"/>
              </w:rPr>
              <w:t> </w:t>
            </w:r>
          </w:p>
        </w:tc>
        <w:tc>
          <w:tcPr>
            <w:tcW w:w="698" w:type="dxa"/>
            <w:tcBorders>
              <w:top w:val="nil"/>
              <w:left w:val="nil"/>
              <w:bottom w:val="single" w:sz="4" w:space="0" w:color="auto"/>
              <w:right w:val="single" w:sz="4" w:space="0" w:color="auto"/>
            </w:tcBorders>
            <w:shd w:val="clear" w:color="000000" w:fill="FFFF99"/>
            <w:noWrap/>
            <w:vAlign w:val="center"/>
            <w:hideMark/>
          </w:tcPr>
          <w:p w14:paraId="42B1A16F" w14:textId="77777777" w:rsidR="000271A1" w:rsidRPr="000271A1" w:rsidRDefault="000271A1" w:rsidP="000271A1">
            <w:pPr>
              <w:spacing w:after="0" w:line="240" w:lineRule="auto"/>
              <w:jc w:val="right"/>
              <w:rPr>
                <w:rFonts w:ascii="Tahoma" w:eastAsia="Times New Roman" w:hAnsi="Tahoma" w:cs="Tahoma"/>
                <w:sz w:val="20"/>
                <w:szCs w:val="20"/>
                <w:lang w:eastAsia="hr-HR"/>
              </w:rPr>
            </w:pPr>
            <w:r w:rsidRPr="000271A1">
              <w:rPr>
                <w:rFonts w:ascii="Tahoma" w:eastAsia="Times New Roman" w:hAnsi="Tahoma" w:cs="Tahoma"/>
                <w:sz w:val="20"/>
                <w:szCs w:val="20"/>
                <w:lang w:eastAsia="hr-HR"/>
              </w:rPr>
              <w:t> </w:t>
            </w:r>
          </w:p>
        </w:tc>
        <w:tc>
          <w:tcPr>
            <w:tcW w:w="444" w:type="dxa"/>
            <w:tcBorders>
              <w:top w:val="nil"/>
              <w:left w:val="nil"/>
              <w:bottom w:val="single" w:sz="4" w:space="0" w:color="auto"/>
              <w:right w:val="single" w:sz="4" w:space="0" w:color="auto"/>
            </w:tcBorders>
            <w:shd w:val="clear" w:color="000000" w:fill="FFFF99"/>
            <w:noWrap/>
            <w:vAlign w:val="center"/>
            <w:hideMark/>
          </w:tcPr>
          <w:p w14:paraId="338AF0C6" w14:textId="77777777" w:rsidR="000271A1" w:rsidRPr="000271A1" w:rsidRDefault="000271A1" w:rsidP="000271A1">
            <w:pPr>
              <w:spacing w:after="0" w:line="240" w:lineRule="auto"/>
              <w:jc w:val="right"/>
              <w:rPr>
                <w:rFonts w:ascii="Tahoma" w:eastAsia="Times New Roman" w:hAnsi="Tahoma" w:cs="Tahoma"/>
                <w:sz w:val="20"/>
                <w:szCs w:val="20"/>
                <w:lang w:eastAsia="hr-HR"/>
              </w:rPr>
            </w:pPr>
            <w:r w:rsidRPr="000271A1">
              <w:rPr>
                <w:rFonts w:ascii="Tahoma" w:eastAsia="Times New Roman" w:hAnsi="Tahoma" w:cs="Tahoma"/>
                <w:sz w:val="20"/>
                <w:szCs w:val="20"/>
                <w:lang w:eastAsia="hr-HR"/>
              </w:rPr>
              <w:t> </w:t>
            </w:r>
          </w:p>
        </w:tc>
        <w:tc>
          <w:tcPr>
            <w:tcW w:w="698" w:type="dxa"/>
            <w:tcBorders>
              <w:top w:val="nil"/>
              <w:left w:val="nil"/>
              <w:bottom w:val="single" w:sz="4" w:space="0" w:color="auto"/>
              <w:right w:val="single" w:sz="4" w:space="0" w:color="auto"/>
            </w:tcBorders>
            <w:shd w:val="clear" w:color="000000" w:fill="FFFF99"/>
            <w:noWrap/>
            <w:vAlign w:val="center"/>
            <w:hideMark/>
          </w:tcPr>
          <w:p w14:paraId="7443A069" w14:textId="77777777" w:rsidR="000271A1" w:rsidRPr="000271A1" w:rsidRDefault="000271A1" w:rsidP="000271A1">
            <w:pPr>
              <w:spacing w:after="0" w:line="240" w:lineRule="auto"/>
              <w:jc w:val="right"/>
              <w:rPr>
                <w:rFonts w:ascii="Tahoma" w:eastAsia="Times New Roman" w:hAnsi="Tahoma" w:cs="Tahoma"/>
                <w:sz w:val="20"/>
                <w:szCs w:val="20"/>
                <w:lang w:eastAsia="hr-HR"/>
              </w:rPr>
            </w:pPr>
            <w:r w:rsidRPr="000271A1">
              <w:rPr>
                <w:rFonts w:ascii="Tahoma" w:eastAsia="Times New Roman" w:hAnsi="Tahoma" w:cs="Tahoma"/>
                <w:sz w:val="20"/>
                <w:szCs w:val="20"/>
                <w:lang w:eastAsia="hr-HR"/>
              </w:rPr>
              <w:t> </w:t>
            </w:r>
          </w:p>
        </w:tc>
        <w:tc>
          <w:tcPr>
            <w:tcW w:w="444" w:type="dxa"/>
            <w:gridSpan w:val="2"/>
            <w:tcBorders>
              <w:top w:val="nil"/>
              <w:left w:val="nil"/>
              <w:bottom w:val="single" w:sz="4" w:space="0" w:color="auto"/>
              <w:right w:val="single" w:sz="4" w:space="0" w:color="auto"/>
            </w:tcBorders>
            <w:shd w:val="clear" w:color="000000" w:fill="FF9900"/>
            <w:noWrap/>
            <w:vAlign w:val="center"/>
            <w:hideMark/>
          </w:tcPr>
          <w:p w14:paraId="616DDD18" w14:textId="77777777" w:rsidR="000271A1" w:rsidRPr="000271A1" w:rsidRDefault="000271A1" w:rsidP="000271A1">
            <w:pPr>
              <w:spacing w:after="0" w:line="240" w:lineRule="auto"/>
              <w:jc w:val="right"/>
              <w:rPr>
                <w:rFonts w:ascii="Tahoma" w:eastAsia="Times New Roman" w:hAnsi="Tahoma" w:cs="Tahoma"/>
                <w:sz w:val="20"/>
                <w:szCs w:val="20"/>
                <w:lang w:eastAsia="hr-HR"/>
              </w:rPr>
            </w:pPr>
            <w:r w:rsidRPr="000271A1">
              <w:rPr>
                <w:rFonts w:ascii="Tahoma" w:eastAsia="Times New Roman" w:hAnsi="Tahoma" w:cs="Tahoma"/>
                <w:sz w:val="20"/>
                <w:szCs w:val="20"/>
                <w:lang w:eastAsia="hr-HR"/>
              </w:rPr>
              <w:t> </w:t>
            </w:r>
          </w:p>
        </w:tc>
        <w:tc>
          <w:tcPr>
            <w:tcW w:w="521" w:type="dxa"/>
            <w:tcBorders>
              <w:top w:val="nil"/>
              <w:left w:val="nil"/>
              <w:bottom w:val="single" w:sz="4" w:space="0" w:color="auto"/>
              <w:right w:val="single" w:sz="4" w:space="0" w:color="auto"/>
            </w:tcBorders>
            <w:shd w:val="clear" w:color="000000" w:fill="FF9900"/>
            <w:noWrap/>
            <w:vAlign w:val="center"/>
            <w:hideMark/>
          </w:tcPr>
          <w:p w14:paraId="4EC7D2C9" w14:textId="77777777" w:rsidR="000271A1" w:rsidRPr="000271A1" w:rsidRDefault="000271A1" w:rsidP="000271A1">
            <w:pPr>
              <w:spacing w:after="0" w:line="240" w:lineRule="auto"/>
              <w:jc w:val="right"/>
              <w:rPr>
                <w:rFonts w:ascii="Tahoma" w:eastAsia="Times New Roman" w:hAnsi="Tahoma" w:cs="Tahoma"/>
                <w:sz w:val="20"/>
                <w:szCs w:val="20"/>
                <w:lang w:eastAsia="hr-HR"/>
              </w:rPr>
            </w:pPr>
            <w:r w:rsidRPr="000271A1">
              <w:rPr>
                <w:rFonts w:ascii="Tahoma" w:eastAsia="Times New Roman" w:hAnsi="Tahoma" w:cs="Tahoma"/>
                <w:sz w:val="20"/>
                <w:szCs w:val="20"/>
                <w:lang w:eastAsia="hr-HR"/>
              </w:rPr>
              <w:t>1</w:t>
            </w:r>
          </w:p>
        </w:tc>
        <w:tc>
          <w:tcPr>
            <w:tcW w:w="521" w:type="dxa"/>
            <w:tcBorders>
              <w:top w:val="nil"/>
              <w:left w:val="nil"/>
              <w:bottom w:val="single" w:sz="4" w:space="0" w:color="auto"/>
              <w:right w:val="single" w:sz="4" w:space="0" w:color="auto"/>
            </w:tcBorders>
            <w:shd w:val="clear" w:color="000000" w:fill="FF9900"/>
            <w:noWrap/>
            <w:vAlign w:val="center"/>
            <w:hideMark/>
          </w:tcPr>
          <w:p w14:paraId="62EE4687" w14:textId="77777777" w:rsidR="000271A1" w:rsidRPr="000271A1" w:rsidRDefault="000271A1" w:rsidP="000271A1">
            <w:pPr>
              <w:spacing w:after="0" w:line="240" w:lineRule="auto"/>
              <w:jc w:val="right"/>
              <w:rPr>
                <w:rFonts w:ascii="Tahoma" w:eastAsia="Times New Roman" w:hAnsi="Tahoma" w:cs="Tahoma"/>
                <w:sz w:val="20"/>
                <w:szCs w:val="20"/>
                <w:lang w:eastAsia="hr-HR"/>
              </w:rPr>
            </w:pPr>
            <w:r w:rsidRPr="000271A1">
              <w:rPr>
                <w:rFonts w:ascii="Tahoma" w:eastAsia="Times New Roman" w:hAnsi="Tahoma" w:cs="Tahoma"/>
                <w:sz w:val="20"/>
                <w:szCs w:val="20"/>
                <w:lang w:eastAsia="hr-HR"/>
              </w:rPr>
              <w:t> </w:t>
            </w:r>
          </w:p>
        </w:tc>
        <w:tc>
          <w:tcPr>
            <w:tcW w:w="521" w:type="dxa"/>
            <w:gridSpan w:val="2"/>
            <w:tcBorders>
              <w:top w:val="nil"/>
              <w:left w:val="nil"/>
              <w:bottom w:val="single" w:sz="4" w:space="0" w:color="auto"/>
              <w:right w:val="single" w:sz="4" w:space="0" w:color="auto"/>
            </w:tcBorders>
            <w:shd w:val="clear" w:color="000000" w:fill="FFFF00"/>
            <w:vAlign w:val="center"/>
            <w:hideMark/>
          </w:tcPr>
          <w:p w14:paraId="6A149D41" w14:textId="77777777" w:rsidR="000271A1" w:rsidRPr="000271A1" w:rsidRDefault="000271A1" w:rsidP="000271A1">
            <w:pPr>
              <w:spacing w:after="0" w:line="240" w:lineRule="auto"/>
              <w:jc w:val="right"/>
              <w:rPr>
                <w:rFonts w:ascii="Tahoma" w:eastAsia="Times New Roman" w:hAnsi="Tahoma" w:cs="Tahoma"/>
                <w:sz w:val="20"/>
                <w:szCs w:val="20"/>
                <w:lang w:eastAsia="hr-HR"/>
              </w:rPr>
            </w:pPr>
            <w:r w:rsidRPr="000271A1">
              <w:rPr>
                <w:rFonts w:ascii="Tahoma" w:eastAsia="Times New Roman" w:hAnsi="Tahoma" w:cs="Tahoma"/>
                <w:sz w:val="20"/>
                <w:szCs w:val="20"/>
                <w:lang w:eastAsia="hr-HR"/>
              </w:rPr>
              <w:t>1</w:t>
            </w:r>
          </w:p>
        </w:tc>
        <w:tc>
          <w:tcPr>
            <w:tcW w:w="702" w:type="dxa"/>
            <w:tcBorders>
              <w:top w:val="nil"/>
              <w:left w:val="nil"/>
              <w:bottom w:val="single" w:sz="4" w:space="0" w:color="auto"/>
              <w:right w:val="single" w:sz="4" w:space="0" w:color="auto"/>
            </w:tcBorders>
            <w:shd w:val="clear" w:color="000000" w:fill="FF9900"/>
            <w:vAlign w:val="center"/>
            <w:hideMark/>
          </w:tcPr>
          <w:p w14:paraId="33E1BC40" w14:textId="77777777" w:rsidR="000271A1" w:rsidRPr="000271A1" w:rsidRDefault="000271A1" w:rsidP="000271A1">
            <w:pPr>
              <w:spacing w:after="0" w:line="240" w:lineRule="auto"/>
              <w:jc w:val="right"/>
              <w:rPr>
                <w:rFonts w:ascii="Tahoma" w:eastAsia="Times New Roman" w:hAnsi="Tahoma" w:cs="Tahoma"/>
                <w:sz w:val="20"/>
                <w:szCs w:val="20"/>
                <w:lang w:eastAsia="hr-HR"/>
              </w:rPr>
            </w:pPr>
            <w:r w:rsidRPr="000271A1">
              <w:rPr>
                <w:rFonts w:ascii="Tahoma" w:eastAsia="Times New Roman" w:hAnsi="Tahoma" w:cs="Tahoma"/>
                <w:sz w:val="20"/>
                <w:szCs w:val="20"/>
                <w:lang w:eastAsia="hr-HR"/>
              </w:rPr>
              <w:t>3</w:t>
            </w:r>
          </w:p>
        </w:tc>
        <w:tc>
          <w:tcPr>
            <w:tcW w:w="907" w:type="dxa"/>
            <w:tcBorders>
              <w:top w:val="nil"/>
              <w:left w:val="nil"/>
              <w:bottom w:val="single" w:sz="4" w:space="0" w:color="auto"/>
              <w:right w:val="single" w:sz="4" w:space="0" w:color="auto"/>
            </w:tcBorders>
            <w:shd w:val="clear" w:color="000000" w:fill="FF9900"/>
            <w:noWrap/>
            <w:vAlign w:val="center"/>
            <w:hideMark/>
          </w:tcPr>
          <w:p w14:paraId="75FFC3D4" w14:textId="77777777" w:rsidR="000271A1" w:rsidRPr="000271A1" w:rsidRDefault="000271A1" w:rsidP="000271A1">
            <w:pPr>
              <w:spacing w:after="0" w:line="240" w:lineRule="auto"/>
              <w:jc w:val="right"/>
              <w:rPr>
                <w:rFonts w:ascii="Tahoma" w:eastAsia="Times New Roman" w:hAnsi="Tahoma" w:cs="Tahoma"/>
                <w:sz w:val="20"/>
                <w:szCs w:val="20"/>
                <w:lang w:eastAsia="hr-HR"/>
              </w:rPr>
            </w:pPr>
            <w:r w:rsidRPr="000271A1">
              <w:rPr>
                <w:rFonts w:ascii="Tahoma" w:eastAsia="Times New Roman" w:hAnsi="Tahoma" w:cs="Tahoma"/>
                <w:sz w:val="20"/>
                <w:szCs w:val="20"/>
                <w:lang w:eastAsia="hr-HR"/>
              </w:rPr>
              <w:t> </w:t>
            </w:r>
          </w:p>
        </w:tc>
        <w:tc>
          <w:tcPr>
            <w:tcW w:w="553" w:type="dxa"/>
            <w:tcBorders>
              <w:top w:val="nil"/>
              <w:left w:val="nil"/>
              <w:bottom w:val="single" w:sz="4" w:space="0" w:color="auto"/>
              <w:right w:val="single" w:sz="4" w:space="0" w:color="auto"/>
            </w:tcBorders>
            <w:shd w:val="clear" w:color="000000" w:fill="FF9900"/>
            <w:noWrap/>
            <w:vAlign w:val="center"/>
            <w:hideMark/>
          </w:tcPr>
          <w:p w14:paraId="7008A163" w14:textId="77777777" w:rsidR="000271A1" w:rsidRPr="000271A1" w:rsidRDefault="000271A1" w:rsidP="000271A1">
            <w:pPr>
              <w:spacing w:after="0" w:line="240" w:lineRule="auto"/>
              <w:jc w:val="right"/>
              <w:rPr>
                <w:rFonts w:ascii="Tahoma" w:eastAsia="Times New Roman" w:hAnsi="Tahoma" w:cs="Tahoma"/>
                <w:sz w:val="20"/>
                <w:szCs w:val="20"/>
                <w:lang w:eastAsia="hr-HR"/>
              </w:rPr>
            </w:pPr>
            <w:r w:rsidRPr="000271A1">
              <w:rPr>
                <w:rFonts w:ascii="Tahoma" w:eastAsia="Times New Roman" w:hAnsi="Tahoma" w:cs="Tahoma"/>
                <w:sz w:val="20"/>
                <w:szCs w:val="20"/>
                <w:lang w:eastAsia="hr-HR"/>
              </w:rPr>
              <w:t> </w:t>
            </w:r>
          </w:p>
        </w:tc>
        <w:tc>
          <w:tcPr>
            <w:tcW w:w="918" w:type="dxa"/>
            <w:tcBorders>
              <w:top w:val="nil"/>
              <w:left w:val="nil"/>
              <w:bottom w:val="single" w:sz="4" w:space="0" w:color="auto"/>
              <w:right w:val="single" w:sz="4" w:space="0" w:color="auto"/>
            </w:tcBorders>
            <w:shd w:val="clear" w:color="000000" w:fill="FF9900"/>
            <w:noWrap/>
            <w:vAlign w:val="center"/>
            <w:hideMark/>
          </w:tcPr>
          <w:p w14:paraId="16243918" w14:textId="77777777" w:rsidR="000271A1" w:rsidRPr="000271A1" w:rsidRDefault="000271A1" w:rsidP="000271A1">
            <w:pPr>
              <w:spacing w:after="0" w:line="240" w:lineRule="auto"/>
              <w:jc w:val="right"/>
              <w:rPr>
                <w:rFonts w:ascii="Tahoma" w:eastAsia="Times New Roman" w:hAnsi="Tahoma" w:cs="Tahoma"/>
                <w:sz w:val="20"/>
                <w:szCs w:val="20"/>
                <w:lang w:eastAsia="hr-HR"/>
              </w:rPr>
            </w:pPr>
            <w:r w:rsidRPr="000271A1">
              <w:rPr>
                <w:rFonts w:ascii="Tahoma" w:eastAsia="Times New Roman" w:hAnsi="Tahoma" w:cs="Tahoma"/>
                <w:sz w:val="20"/>
                <w:szCs w:val="20"/>
                <w:lang w:eastAsia="hr-HR"/>
              </w:rPr>
              <w:t> </w:t>
            </w:r>
          </w:p>
        </w:tc>
        <w:tc>
          <w:tcPr>
            <w:tcW w:w="428" w:type="dxa"/>
            <w:tcBorders>
              <w:top w:val="nil"/>
              <w:left w:val="nil"/>
              <w:bottom w:val="single" w:sz="4" w:space="0" w:color="auto"/>
              <w:right w:val="single" w:sz="4" w:space="0" w:color="auto"/>
            </w:tcBorders>
            <w:shd w:val="clear" w:color="000000" w:fill="CCFFFF"/>
            <w:noWrap/>
            <w:vAlign w:val="center"/>
            <w:hideMark/>
          </w:tcPr>
          <w:p w14:paraId="06AF1761" w14:textId="77777777" w:rsidR="000271A1" w:rsidRPr="000271A1" w:rsidRDefault="000271A1" w:rsidP="000271A1">
            <w:pPr>
              <w:spacing w:after="0" w:line="240" w:lineRule="auto"/>
              <w:jc w:val="right"/>
              <w:rPr>
                <w:rFonts w:ascii="Tahoma" w:eastAsia="Times New Roman" w:hAnsi="Tahoma" w:cs="Tahoma"/>
                <w:sz w:val="20"/>
                <w:szCs w:val="20"/>
                <w:lang w:eastAsia="hr-HR"/>
              </w:rPr>
            </w:pPr>
            <w:r w:rsidRPr="000271A1">
              <w:rPr>
                <w:rFonts w:ascii="Tahoma" w:eastAsia="Times New Roman" w:hAnsi="Tahoma" w:cs="Tahoma"/>
                <w:sz w:val="20"/>
                <w:szCs w:val="20"/>
                <w:lang w:eastAsia="hr-HR"/>
              </w:rPr>
              <w:t> </w:t>
            </w:r>
          </w:p>
        </w:tc>
        <w:tc>
          <w:tcPr>
            <w:tcW w:w="428" w:type="dxa"/>
            <w:tcBorders>
              <w:top w:val="nil"/>
              <w:left w:val="nil"/>
              <w:bottom w:val="single" w:sz="4" w:space="0" w:color="auto"/>
              <w:right w:val="single" w:sz="4" w:space="0" w:color="auto"/>
            </w:tcBorders>
            <w:shd w:val="clear" w:color="000000" w:fill="CCFFFF"/>
            <w:noWrap/>
            <w:vAlign w:val="center"/>
            <w:hideMark/>
          </w:tcPr>
          <w:p w14:paraId="0620868F" w14:textId="77777777" w:rsidR="000271A1" w:rsidRPr="000271A1" w:rsidRDefault="000271A1" w:rsidP="000271A1">
            <w:pPr>
              <w:spacing w:after="0" w:line="240" w:lineRule="auto"/>
              <w:jc w:val="right"/>
              <w:rPr>
                <w:rFonts w:ascii="Tahoma" w:eastAsia="Times New Roman" w:hAnsi="Tahoma" w:cs="Tahoma"/>
                <w:sz w:val="20"/>
                <w:szCs w:val="20"/>
                <w:lang w:eastAsia="hr-HR"/>
              </w:rPr>
            </w:pPr>
            <w:r w:rsidRPr="000271A1">
              <w:rPr>
                <w:rFonts w:ascii="Tahoma" w:eastAsia="Times New Roman" w:hAnsi="Tahoma" w:cs="Tahoma"/>
                <w:sz w:val="20"/>
                <w:szCs w:val="20"/>
                <w:lang w:eastAsia="hr-HR"/>
              </w:rPr>
              <w:t> </w:t>
            </w:r>
          </w:p>
        </w:tc>
        <w:tc>
          <w:tcPr>
            <w:tcW w:w="425" w:type="dxa"/>
            <w:tcBorders>
              <w:top w:val="nil"/>
              <w:left w:val="nil"/>
              <w:bottom w:val="single" w:sz="4" w:space="0" w:color="auto"/>
              <w:right w:val="single" w:sz="4" w:space="0" w:color="auto"/>
            </w:tcBorders>
            <w:shd w:val="clear" w:color="000000" w:fill="CCFFFF"/>
            <w:noWrap/>
            <w:vAlign w:val="center"/>
            <w:hideMark/>
          </w:tcPr>
          <w:p w14:paraId="28D6D6C5" w14:textId="77777777" w:rsidR="000271A1" w:rsidRPr="000271A1" w:rsidRDefault="000271A1" w:rsidP="000271A1">
            <w:pPr>
              <w:spacing w:after="0" w:line="240" w:lineRule="auto"/>
              <w:jc w:val="right"/>
              <w:rPr>
                <w:rFonts w:ascii="Tahoma" w:eastAsia="Times New Roman" w:hAnsi="Tahoma" w:cs="Tahoma"/>
                <w:sz w:val="20"/>
                <w:szCs w:val="20"/>
                <w:lang w:eastAsia="hr-HR"/>
              </w:rPr>
            </w:pPr>
            <w:r w:rsidRPr="000271A1">
              <w:rPr>
                <w:rFonts w:ascii="Tahoma" w:eastAsia="Times New Roman" w:hAnsi="Tahoma" w:cs="Tahoma"/>
                <w:sz w:val="20"/>
                <w:szCs w:val="20"/>
                <w:lang w:eastAsia="hr-HR"/>
              </w:rPr>
              <w:t> </w:t>
            </w:r>
          </w:p>
        </w:tc>
        <w:tc>
          <w:tcPr>
            <w:tcW w:w="425" w:type="dxa"/>
            <w:tcBorders>
              <w:top w:val="nil"/>
              <w:left w:val="nil"/>
              <w:bottom w:val="single" w:sz="4" w:space="0" w:color="auto"/>
              <w:right w:val="nil"/>
            </w:tcBorders>
            <w:shd w:val="clear" w:color="000000" w:fill="33CCCC"/>
            <w:noWrap/>
            <w:vAlign w:val="center"/>
            <w:hideMark/>
          </w:tcPr>
          <w:p w14:paraId="54FA0D98" w14:textId="77777777" w:rsidR="000271A1" w:rsidRPr="000271A1" w:rsidRDefault="000271A1" w:rsidP="000271A1">
            <w:pPr>
              <w:spacing w:after="0" w:line="240" w:lineRule="auto"/>
              <w:jc w:val="right"/>
              <w:rPr>
                <w:rFonts w:ascii="Tahoma" w:eastAsia="Times New Roman" w:hAnsi="Tahoma" w:cs="Tahoma"/>
                <w:sz w:val="20"/>
                <w:szCs w:val="20"/>
                <w:lang w:eastAsia="hr-HR"/>
              </w:rPr>
            </w:pPr>
            <w:r w:rsidRPr="000271A1">
              <w:rPr>
                <w:rFonts w:ascii="Tahoma" w:eastAsia="Times New Roman" w:hAnsi="Tahoma" w:cs="Tahoma"/>
                <w:sz w:val="20"/>
                <w:szCs w:val="20"/>
                <w:lang w:eastAsia="hr-HR"/>
              </w:rPr>
              <w:t> </w:t>
            </w:r>
          </w:p>
        </w:tc>
        <w:tc>
          <w:tcPr>
            <w:tcW w:w="440" w:type="dxa"/>
            <w:gridSpan w:val="2"/>
            <w:tcBorders>
              <w:top w:val="nil"/>
              <w:left w:val="single" w:sz="4" w:space="0" w:color="auto"/>
              <w:bottom w:val="single" w:sz="4" w:space="0" w:color="auto"/>
              <w:right w:val="single" w:sz="8" w:space="0" w:color="auto"/>
            </w:tcBorders>
            <w:shd w:val="clear" w:color="000000" w:fill="33CCCC"/>
            <w:noWrap/>
            <w:vAlign w:val="center"/>
            <w:hideMark/>
          </w:tcPr>
          <w:p w14:paraId="17E86BBE" w14:textId="77777777" w:rsidR="000271A1" w:rsidRPr="000271A1" w:rsidRDefault="000271A1" w:rsidP="000271A1">
            <w:pPr>
              <w:spacing w:after="0" w:line="240" w:lineRule="auto"/>
              <w:jc w:val="right"/>
              <w:rPr>
                <w:rFonts w:ascii="Tahoma" w:eastAsia="Times New Roman" w:hAnsi="Tahoma" w:cs="Tahoma"/>
                <w:sz w:val="20"/>
                <w:szCs w:val="20"/>
                <w:lang w:eastAsia="hr-HR"/>
              </w:rPr>
            </w:pPr>
            <w:r w:rsidRPr="000271A1">
              <w:rPr>
                <w:rFonts w:ascii="Tahoma" w:eastAsia="Times New Roman" w:hAnsi="Tahoma" w:cs="Tahoma"/>
                <w:sz w:val="20"/>
                <w:szCs w:val="20"/>
                <w:lang w:eastAsia="hr-HR"/>
              </w:rPr>
              <w:t>1</w:t>
            </w:r>
          </w:p>
        </w:tc>
        <w:tc>
          <w:tcPr>
            <w:tcW w:w="236" w:type="dxa"/>
            <w:vAlign w:val="center"/>
            <w:hideMark/>
          </w:tcPr>
          <w:p w14:paraId="4A7A249A" w14:textId="77777777" w:rsidR="000271A1" w:rsidRPr="000271A1" w:rsidRDefault="000271A1" w:rsidP="000271A1">
            <w:pPr>
              <w:spacing w:after="0" w:line="240" w:lineRule="auto"/>
              <w:rPr>
                <w:rFonts w:ascii="Times New Roman" w:eastAsia="Times New Roman" w:hAnsi="Times New Roman" w:cs="Times New Roman"/>
                <w:sz w:val="20"/>
                <w:szCs w:val="20"/>
                <w:lang w:eastAsia="hr-HR"/>
              </w:rPr>
            </w:pPr>
          </w:p>
        </w:tc>
      </w:tr>
      <w:tr w:rsidR="000271A1" w:rsidRPr="000271A1" w14:paraId="174BFD26" w14:textId="77777777" w:rsidTr="000271A1">
        <w:trPr>
          <w:gridAfter w:val="1"/>
          <w:wAfter w:w="26" w:type="dxa"/>
          <w:trHeight w:val="300"/>
        </w:trPr>
        <w:tc>
          <w:tcPr>
            <w:tcW w:w="1119" w:type="dxa"/>
            <w:tcBorders>
              <w:top w:val="single" w:sz="4" w:space="0" w:color="auto"/>
              <w:left w:val="single" w:sz="8" w:space="0" w:color="auto"/>
              <w:bottom w:val="single" w:sz="4" w:space="0" w:color="auto"/>
              <w:right w:val="single" w:sz="4" w:space="0" w:color="auto"/>
            </w:tcBorders>
            <w:shd w:val="clear" w:color="000000" w:fill="CCFFCC"/>
            <w:vAlign w:val="center"/>
            <w:hideMark/>
          </w:tcPr>
          <w:p w14:paraId="4CC9A5BF" w14:textId="77777777" w:rsidR="000271A1" w:rsidRPr="000271A1" w:rsidRDefault="000271A1" w:rsidP="000271A1">
            <w:pPr>
              <w:spacing w:after="0" w:line="240" w:lineRule="auto"/>
              <w:rPr>
                <w:rFonts w:ascii="Tahoma" w:eastAsia="Times New Roman" w:hAnsi="Tahoma" w:cs="Tahoma"/>
                <w:sz w:val="20"/>
                <w:szCs w:val="20"/>
                <w:lang w:eastAsia="hr-HR"/>
              </w:rPr>
            </w:pPr>
            <w:r w:rsidRPr="000271A1">
              <w:rPr>
                <w:rFonts w:ascii="Tahoma" w:eastAsia="Times New Roman" w:hAnsi="Tahoma" w:cs="Tahoma"/>
                <w:sz w:val="20"/>
                <w:szCs w:val="20"/>
                <w:lang w:eastAsia="hr-HR"/>
              </w:rPr>
              <w:lastRenderedPageBreak/>
              <w:t>Genetsko nasljeđe</w:t>
            </w:r>
          </w:p>
        </w:tc>
        <w:tc>
          <w:tcPr>
            <w:tcW w:w="671" w:type="dxa"/>
            <w:tcBorders>
              <w:top w:val="nil"/>
              <w:left w:val="nil"/>
              <w:bottom w:val="single" w:sz="4" w:space="0" w:color="auto"/>
              <w:right w:val="single" w:sz="4" w:space="0" w:color="auto"/>
            </w:tcBorders>
            <w:shd w:val="clear" w:color="000000" w:fill="FFCC99"/>
            <w:noWrap/>
            <w:vAlign w:val="center"/>
            <w:hideMark/>
          </w:tcPr>
          <w:p w14:paraId="6EE86906" w14:textId="77777777" w:rsidR="000271A1" w:rsidRPr="000271A1" w:rsidRDefault="000271A1" w:rsidP="000271A1">
            <w:pPr>
              <w:spacing w:after="0" w:line="240" w:lineRule="auto"/>
              <w:jc w:val="right"/>
              <w:rPr>
                <w:rFonts w:ascii="Tahoma" w:eastAsia="Times New Roman" w:hAnsi="Tahoma" w:cs="Tahoma"/>
                <w:sz w:val="20"/>
                <w:szCs w:val="20"/>
                <w:lang w:eastAsia="hr-HR"/>
              </w:rPr>
            </w:pPr>
            <w:r w:rsidRPr="000271A1">
              <w:rPr>
                <w:rFonts w:ascii="Tahoma" w:eastAsia="Times New Roman" w:hAnsi="Tahoma" w:cs="Tahoma"/>
                <w:sz w:val="20"/>
                <w:szCs w:val="20"/>
                <w:lang w:eastAsia="hr-HR"/>
              </w:rPr>
              <w:t>1</w:t>
            </w:r>
          </w:p>
        </w:tc>
        <w:tc>
          <w:tcPr>
            <w:tcW w:w="519" w:type="dxa"/>
            <w:tcBorders>
              <w:top w:val="nil"/>
              <w:left w:val="nil"/>
              <w:bottom w:val="single" w:sz="4" w:space="0" w:color="auto"/>
              <w:right w:val="single" w:sz="4" w:space="0" w:color="auto"/>
            </w:tcBorders>
            <w:shd w:val="clear" w:color="000000" w:fill="FFFF00"/>
            <w:noWrap/>
            <w:vAlign w:val="center"/>
            <w:hideMark/>
          </w:tcPr>
          <w:p w14:paraId="651206CF" w14:textId="77777777" w:rsidR="000271A1" w:rsidRPr="000271A1" w:rsidRDefault="000271A1" w:rsidP="000271A1">
            <w:pPr>
              <w:spacing w:after="0" w:line="240" w:lineRule="auto"/>
              <w:jc w:val="right"/>
              <w:rPr>
                <w:rFonts w:ascii="Tahoma" w:eastAsia="Times New Roman" w:hAnsi="Tahoma" w:cs="Tahoma"/>
                <w:sz w:val="20"/>
                <w:szCs w:val="20"/>
                <w:lang w:eastAsia="hr-HR"/>
              </w:rPr>
            </w:pPr>
            <w:r w:rsidRPr="000271A1">
              <w:rPr>
                <w:rFonts w:ascii="Tahoma" w:eastAsia="Times New Roman" w:hAnsi="Tahoma" w:cs="Tahoma"/>
                <w:sz w:val="20"/>
                <w:szCs w:val="20"/>
                <w:lang w:eastAsia="hr-HR"/>
              </w:rPr>
              <w:t> </w:t>
            </w:r>
          </w:p>
        </w:tc>
        <w:tc>
          <w:tcPr>
            <w:tcW w:w="365" w:type="dxa"/>
            <w:tcBorders>
              <w:top w:val="nil"/>
              <w:left w:val="nil"/>
              <w:bottom w:val="single" w:sz="4" w:space="0" w:color="auto"/>
              <w:right w:val="single" w:sz="4" w:space="0" w:color="auto"/>
            </w:tcBorders>
            <w:shd w:val="clear" w:color="000000" w:fill="CCFFFF"/>
            <w:noWrap/>
            <w:vAlign w:val="center"/>
            <w:hideMark/>
          </w:tcPr>
          <w:p w14:paraId="7F9C284F" w14:textId="77777777" w:rsidR="000271A1" w:rsidRPr="000271A1" w:rsidRDefault="000271A1" w:rsidP="000271A1">
            <w:pPr>
              <w:spacing w:after="0" w:line="240" w:lineRule="auto"/>
              <w:jc w:val="right"/>
              <w:rPr>
                <w:rFonts w:ascii="Tahoma" w:eastAsia="Times New Roman" w:hAnsi="Tahoma" w:cs="Tahoma"/>
                <w:sz w:val="20"/>
                <w:szCs w:val="20"/>
                <w:lang w:eastAsia="hr-HR"/>
              </w:rPr>
            </w:pPr>
            <w:r w:rsidRPr="000271A1">
              <w:rPr>
                <w:rFonts w:ascii="Tahoma" w:eastAsia="Times New Roman" w:hAnsi="Tahoma" w:cs="Tahoma"/>
                <w:sz w:val="20"/>
                <w:szCs w:val="20"/>
                <w:lang w:eastAsia="hr-HR"/>
              </w:rPr>
              <w:t> </w:t>
            </w:r>
          </w:p>
        </w:tc>
        <w:tc>
          <w:tcPr>
            <w:tcW w:w="379" w:type="dxa"/>
            <w:tcBorders>
              <w:top w:val="nil"/>
              <w:left w:val="nil"/>
              <w:bottom w:val="single" w:sz="4" w:space="0" w:color="auto"/>
              <w:right w:val="single" w:sz="4" w:space="0" w:color="auto"/>
            </w:tcBorders>
            <w:shd w:val="clear" w:color="000000" w:fill="CCFFFF"/>
            <w:noWrap/>
            <w:vAlign w:val="center"/>
            <w:hideMark/>
          </w:tcPr>
          <w:p w14:paraId="24C35B3B" w14:textId="77777777" w:rsidR="000271A1" w:rsidRPr="000271A1" w:rsidRDefault="000271A1" w:rsidP="000271A1">
            <w:pPr>
              <w:spacing w:after="0" w:line="240" w:lineRule="auto"/>
              <w:jc w:val="right"/>
              <w:rPr>
                <w:rFonts w:ascii="Tahoma" w:eastAsia="Times New Roman" w:hAnsi="Tahoma" w:cs="Tahoma"/>
                <w:sz w:val="20"/>
                <w:szCs w:val="20"/>
                <w:lang w:eastAsia="hr-HR"/>
              </w:rPr>
            </w:pPr>
            <w:r w:rsidRPr="000271A1">
              <w:rPr>
                <w:rFonts w:ascii="Tahoma" w:eastAsia="Times New Roman" w:hAnsi="Tahoma" w:cs="Tahoma"/>
                <w:sz w:val="20"/>
                <w:szCs w:val="20"/>
                <w:lang w:eastAsia="hr-HR"/>
              </w:rPr>
              <w:t> </w:t>
            </w:r>
          </w:p>
        </w:tc>
        <w:tc>
          <w:tcPr>
            <w:tcW w:w="698" w:type="dxa"/>
            <w:tcBorders>
              <w:top w:val="nil"/>
              <w:left w:val="nil"/>
              <w:bottom w:val="single" w:sz="4" w:space="0" w:color="auto"/>
              <w:right w:val="single" w:sz="4" w:space="0" w:color="auto"/>
            </w:tcBorders>
            <w:shd w:val="clear" w:color="000000" w:fill="FFFF99"/>
            <w:noWrap/>
            <w:vAlign w:val="center"/>
            <w:hideMark/>
          </w:tcPr>
          <w:p w14:paraId="758FBC13" w14:textId="77777777" w:rsidR="000271A1" w:rsidRPr="000271A1" w:rsidRDefault="000271A1" w:rsidP="000271A1">
            <w:pPr>
              <w:spacing w:after="0" w:line="240" w:lineRule="auto"/>
              <w:jc w:val="right"/>
              <w:rPr>
                <w:rFonts w:ascii="Tahoma" w:eastAsia="Times New Roman" w:hAnsi="Tahoma" w:cs="Tahoma"/>
                <w:sz w:val="20"/>
                <w:szCs w:val="20"/>
                <w:lang w:eastAsia="hr-HR"/>
              </w:rPr>
            </w:pPr>
            <w:r w:rsidRPr="000271A1">
              <w:rPr>
                <w:rFonts w:ascii="Tahoma" w:eastAsia="Times New Roman" w:hAnsi="Tahoma" w:cs="Tahoma"/>
                <w:sz w:val="20"/>
                <w:szCs w:val="20"/>
                <w:lang w:eastAsia="hr-HR"/>
              </w:rPr>
              <w:t> </w:t>
            </w:r>
          </w:p>
        </w:tc>
        <w:tc>
          <w:tcPr>
            <w:tcW w:w="698" w:type="dxa"/>
            <w:tcBorders>
              <w:top w:val="nil"/>
              <w:left w:val="nil"/>
              <w:bottom w:val="single" w:sz="4" w:space="0" w:color="auto"/>
              <w:right w:val="single" w:sz="4" w:space="0" w:color="auto"/>
            </w:tcBorders>
            <w:shd w:val="clear" w:color="000000" w:fill="FFFF99"/>
            <w:noWrap/>
            <w:vAlign w:val="center"/>
            <w:hideMark/>
          </w:tcPr>
          <w:p w14:paraId="262F1658" w14:textId="77777777" w:rsidR="000271A1" w:rsidRPr="000271A1" w:rsidRDefault="000271A1" w:rsidP="000271A1">
            <w:pPr>
              <w:spacing w:after="0" w:line="240" w:lineRule="auto"/>
              <w:jc w:val="right"/>
              <w:rPr>
                <w:rFonts w:ascii="Tahoma" w:eastAsia="Times New Roman" w:hAnsi="Tahoma" w:cs="Tahoma"/>
                <w:sz w:val="20"/>
                <w:szCs w:val="20"/>
                <w:lang w:eastAsia="hr-HR"/>
              </w:rPr>
            </w:pPr>
            <w:r w:rsidRPr="000271A1">
              <w:rPr>
                <w:rFonts w:ascii="Tahoma" w:eastAsia="Times New Roman" w:hAnsi="Tahoma" w:cs="Tahoma"/>
                <w:sz w:val="20"/>
                <w:szCs w:val="20"/>
                <w:lang w:eastAsia="hr-HR"/>
              </w:rPr>
              <w:t> </w:t>
            </w:r>
          </w:p>
        </w:tc>
        <w:tc>
          <w:tcPr>
            <w:tcW w:w="512" w:type="dxa"/>
            <w:tcBorders>
              <w:top w:val="nil"/>
              <w:left w:val="nil"/>
              <w:bottom w:val="single" w:sz="4" w:space="0" w:color="auto"/>
              <w:right w:val="single" w:sz="4" w:space="0" w:color="auto"/>
            </w:tcBorders>
            <w:shd w:val="clear" w:color="000000" w:fill="FFFF99"/>
            <w:noWrap/>
            <w:vAlign w:val="center"/>
            <w:hideMark/>
          </w:tcPr>
          <w:p w14:paraId="7779081B" w14:textId="77777777" w:rsidR="000271A1" w:rsidRPr="000271A1" w:rsidRDefault="000271A1" w:rsidP="000271A1">
            <w:pPr>
              <w:spacing w:after="0" w:line="240" w:lineRule="auto"/>
              <w:jc w:val="right"/>
              <w:rPr>
                <w:rFonts w:ascii="Tahoma" w:eastAsia="Times New Roman" w:hAnsi="Tahoma" w:cs="Tahoma"/>
                <w:sz w:val="20"/>
                <w:szCs w:val="20"/>
                <w:lang w:eastAsia="hr-HR"/>
              </w:rPr>
            </w:pPr>
            <w:r w:rsidRPr="000271A1">
              <w:rPr>
                <w:rFonts w:ascii="Tahoma" w:eastAsia="Times New Roman" w:hAnsi="Tahoma" w:cs="Tahoma"/>
                <w:sz w:val="20"/>
                <w:szCs w:val="20"/>
                <w:lang w:eastAsia="hr-HR"/>
              </w:rPr>
              <w:t> </w:t>
            </w:r>
          </w:p>
        </w:tc>
        <w:tc>
          <w:tcPr>
            <w:tcW w:w="698" w:type="dxa"/>
            <w:tcBorders>
              <w:top w:val="nil"/>
              <w:left w:val="nil"/>
              <w:bottom w:val="single" w:sz="4" w:space="0" w:color="auto"/>
              <w:right w:val="single" w:sz="4" w:space="0" w:color="auto"/>
            </w:tcBorders>
            <w:shd w:val="clear" w:color="000000" w:fill="FFFF99"/>
            <w:noWrap/>
            <w:vAlign w:val="center"/>
            <w:hideMark/>
          </w:tcPr>
          <w:p w14:paraId="7938E15A" w14:textId="77777777" w:rsidR="000271A1" w:rsidRPr="000271A1" w:rsidRDefault="000271A1" w:rsidP="000271A1">
            <w:pPr>
              <w:spacing w:after="0" w:line="240" w:lineRule="auto"/>
              <w:jc w:val="right"/>
              <w:rPr>
                <w:rFonts w:ascii="Tahoma" w:eastAsia="Times New Roman" w:hAnsi="Tahoma" w:cs="Tahoma"/>
                <w:sz w:val="20"/>
                <w:szCs w:val="20"/>
                <w:lang w:eastAsia="hr-HR"/>
              </w:rPr>
            </w:pPr>
            <w:r w:rsidRPr="000271A1">
              <w:rPr>
                <w:rFonts w:ascii="Tahoma" w:eastAsia="Times New Roman" w:hAnsi="Tahoma" w:cs="Tahoma"/>
                <w:sz w:val="20"/>
                <w:szCs w:val="20"/>
                <w:lang w:eastAsia="hr-HR"/>
              </w:rPr>
              <w:t> </w:t>
            </w:r>
          </w:p>
        </w:tc>
        <w:tc>
          <w:tcPr>
            <w:tcW w:w="444" w:type="dxa"/>
            <w:tcBorders>
              <w:top w:val="nil"/>
              <w:left w:val="nil"/>
              <w:bottom w:val="single" w:sz="4" w:space="0" w:color="auto"/>
              <w:right w:val="single" w:sz="4" w:space="0" w:color="auto"/>
            </w:tcBorders>
            <w:shd w:val="clear" w:color="000000" w:fill="FFFF99"/>
            <w:noWrap/>
            <w:vAlign w:val="center"/>
            <w:hideMark/>
          </w:tcPr>
          <w:p w14:paraId="162A291E" w14:textId="77777777" w:rsidR="000271A1" w:rsidRPr="000271A1" w:rsidRDefault="000271A1" w:rsidP="000271A1">
            <w:pPr>
              <w:spacing w:after="0" w:line="240" w:lineRule="auto"/>
              <w:jc w:val="right"/>
              <w:rPr>
                <w:rFonts w:ascii="Tahoma" w:eastAsia="Times New Roman" w:hAnsi="Tahoma" w:cs="Tahoma"/>
                <w:sz w:val="20"/>
                <w:szCs w:val="20"/>
                <w:lang w:eastAsia="hr-HR"/>
              </w:rPr>
            </w:pPr>
            <w:r w:rsidRPr="000271A1">
              <w:rPr>
                <w:rFonts w:ascii="Tahoma" w:eastAsia="Times New Roman" w:hAnsi="Tahoma" w:cs="Tahoma"/>
                <w:sz w:val="20"/>
                <w:szCs w:val="20"/>
                <w:lang w:eastAsia="hr-HR"/>
              </w:rPr>
              <w:t> </w:t>
            </w:r>
          </w:p>
        </w:tc>
        <w:tc>
          <w:tcPr>
            <w:tcW w:w="698" w:type="dxa"/>
            <w:tcBorders>
              <w:top w:val="nil"/>
              <w:left w:val="nil"/>
              <w:bottom w:val="single" w:sz="4" w:space="0" w:color="auto"/>
              <w:right w:val="single" w:sz="4" w:space="0" w:color="auto"/>
            </w:tcBorders>
            <w:shd w:val="clear" w:color="000000" w:fill="FFFF99"/>
            <w:noWrap/>
            <w:vAlign w:val="center"/>
            <w:hideMark/>
          </w:tcPr>
          <w:p w14:paraId="6A781B45" w14:textId="77777777" w:rsidR="000271A1" w:rsidRPr="000271A1" w:rsidRDefault="000271A1" w:rsidP="000271A1">
            <w:pPr>
              <w:spacing w:after="0" w:line="240" w:lineRule="auto"/>
              <w:jc w:val="right"/>
              <w:rPr>
                <w:rFonts w:ascii="Tahoma" w:eastAsia="Times New Roman" w:hAnsi="Tahoma" w:cs="Tahoma"/>
                <w:sz w:val="20"/>
                <w:szCs w:val="20"/>
                <w:lang w:eastAsia="hr-HR"/>
              </w:rPr>
            </w:pPr>
            <w:r w:rsidRPr="000271A1">
              <w:rPr>
                <w:rFonts w:ascii="Tahoma" w:eastAsia="Times New Roman" w:hAnsi="Tahoma" w:cs="Tahoma"/>
                <w:sz w:val="20"/>
                <w:szCs w:val="20"/>
                <w:lang w:eastAsia="hr-HR"/>
              </w:rPr>
              <w:t> </w:t>
            </w:r>
          </w:p>
        </w:tc>
        <w:tc>
          <w:tcPr>
            <w:tcW w:w="444" w:type="dxa"/>
            <w:gridSpan w:val="2"/>
            <w:tcBorders>
              <w:top w:val="nil"/>
              <w:left w:val="nil"/>
              <w:bottom w:val="single" w:sz="4" w:space="0" w:color="auto"/>
              <w:right w:val="single" w:sz="4" w:space="0" w:color="auto"/>
            </w:tcBorders>
            <w:shd w:val="clear" w:color="000000" w:fill="FF9900"/>
            <w:noWrap/>
            <w:vAlign w:val="center"/>
            <w:hideMark/>
          </w:tcPr>
          <w:p w14:paraId="1CBB08D3" w14:textId="77777777" w:rsidR="000271A1" w:rsidRPr="000271A1" w:rsidRDefault="000271A1" w:rsidP="000271A1">
            <w:pPr>
              <w:spacing w:after="0" w:line="240" w:lineRule="auto"/>
              <w:jc w:val="right"/>
              <w:rPr>
                <w:rFonts w:ascii="Tahoma" w:eastAsia="Times New Roman" w:hAnsi="Tahoma" w:cs="Tahoma"/>
                <w:sz w:val="20"/>
                <w:szCs w:val="20"/>
                <w:lang w:eastAsia="hr-HR"/>
              </w:rPr>
            </w:pPr>
            <w:r w:rsidRPr="000271A1">
              <w:rPr>
                <w:rFonts w:ascii="Tahoma" w:eastAsia="Times New Roman" w:hAnsi="Tahoma" w:cs="Tahoma"/>
                <w:sz w:val="20"/>
                <w:szCs w:val="20"/>
                <w:lang w:eastAsia="hr-HR"/>
              </w:rPr>
              <w:t> </w:t>
            </w:r>
          </w:p>
        </w:tc>
        <w:tc>
          <w:tcPr>
            <w:tcW w:w="521" w:type="dxa"/>
            <w:tcBorders>
              <w:top w:val="nil"/>
              <w:left w:val="nil"/>
              <w:bottom w:val="single" w:sz="4" w:space="0" w:color="auto"/>
              <w:right w:val="single" w:sz="4" w:space="0" w:color="auto"/>
            </w:tcBorders>
            <w:shd w:val="clear" w:color="000000" w:fill="FF9900"/>
            <w:noWrap/>
            <w:vAlign w:val="center"/>
            <w:hideMark/>
          </w:tcPr>
          <w:p w14:paraId="4E4E4990" w14:textId="77777777" w:rsidR="000271A1" w:rsidRPr="000271A1" w:rsidRDefault="000271A1" w:rsidP="000271A1">
            <w:pPr>
              <w:spacing w:after="0" w:line="240" w:lineRule="auto"/>
              <w:jc w:val="right"/>
              <w:rPr>
                <w:rFonts w:ascii="Tahoma" w:eastAsia="Times New Roman" w:hAnsi="Tahoma" w:cs="Tahoma"/>
                <w:sz w:val="20"/>
                <w:szCs w:val="20"/>
                <w:lang w:eastAsia="hr-HR"/>
              </w:rPr>
            </w:pPr>
            <w:r w:rsidRPr="000271A1">
              <w:rPr>
                <w:rFonts w:ascii="Tahoma" w:eastAsia="Times New Roman" w:hAnsi="Tahoma" w:cs="Tahoma"/>
                <w:sz w:val="20"/>
                <w:szCs w:val="20"/>
                <w:lang w:eastAsia="hr-HR"/>
              </w:rPr>
              <w:t> </w:t>
            </w:r>
          </w:p>
        </w:tc>
        <w:tc>
          <w:tcPr>
            <w:tcW w:w="521" w:type="dxa"/>
            <w:tcBorders>
              <w:top w:val="nil"/>
              <w:left w:val="nil"/>
              <w:bottom w:val="single" w:sz="4" w:space="0" w:color="auto"/>
              <w:right w:val="single" w:sz="4" w:space="0" w:color="auto"/>
            </w:tcBorders>
            <w:shd w:val="clear" w:color="000000" w:fill="FF9900"/>
            <w:noWrap/>
            <w:vAlign w:val="center"/>
            <w:hideMark/>
          </w:tcPr>
          <w:p w14:paraId="2C68FB05" w14:textId="77777777" w:rsidR="000271A1" w:rsidRPr="000271A1" w:rsidRDefault="000271A1" w:rsidP="000271A1">
            <w:pPr>
              <w:spacing w:after="0" w:line="240" w:lineRule="auto"/>
              <w:jc w:val="right"/>
              <w:rPr>
                <w:rFonts w:ascii="Tahoma" w:eastAsia="Times New Roman" w:hAnsi="Tahoma" w:cs="Tahoma"/>
                <w:sz w:val="20"/>
                <w:szCs w:val="20"/>
                <w:lang w:eastAsia="hr-HR"/>
              </w:rPr>
            </w:pPr>
            <w:r w:rsidRPr="000271A1">
              <w:rPr>
                <w:rFonts w:ascii="Tahoma" w:eastAsia="Times New Roman" w:hAnsi="Tahoma" w:cs="Tahoma"/>
                <w:sz w:val="20"/>
                <w:szCs w:val="20"/>
                <w:lang w:eastAsia="hr-HR"/>
              </w:rPr>
              <w:t> </w:t>
            </w:r>
          </w:p>
        </w:tc>
        <w:tc>
          <w:tcPr>
            <w:tcW w:w="521" w:type="dxa"/>
            <w:gridSpan w:val="2"/>
            <w:tcBorders>
              <w:top w:val="nil"/>
              <w:left w:val="nil"/>
              <w:bottom w:val="single" w:sz="4" w:space="0" w:color="auto"/>
              <w:right w:val="single" w:sz="4" w:space="0" w:color="auto"/>
            </w:tcBorders>
            <w:shd w:val="clear" w:color="000000" w:fill="FFFF00"/>
            <w:vAlign w:val="center"/>
            <w:hideMark/>
          </w:tcPr>
          <w:p w14:paraId="5272C343" w14:textId="77777777" w:rsidR="000271A1" w:rsidRPr="000271A1" w:rsidRDefault="000271A1" w:rsidP="000271A1">
            <w:pPr>
              <w:spacing w:after="0" w:line="240" w:lineRule="auto"/>
              <w:jc w:val="right"/>
              <w:rPr>
                <w:rFonts w:ascii="Tahoma" w:eastAsia="Times New Roman" w:hAnsi="Tahoma" w:cs="Tahoma"/>
                <w:sz w:val="20"/>
                <w:szCs w:val="20"/>
                <w:lang w:eastAsia="hr-HR"/>
              </w:rPr>
            </w:pPr>
            <w:r w:rsidRPr="000271A1">
              <w:rPr>
                <w:rFonts w:ascii="Tahoma" w:eastAsia="Times New Roman" w:hAnsi="Tahoma" w:cs="Tahoma"/>
                <w:sz w:val="20"/>
                <w:szCs w:val="20"/>
                <w:lang w:eastAsia="hr-HR"/>
              </w:rPr>
              <w:t> </w:t>
            </w:r>
          </w:p>
        </w:tc>
        <w:tc>
          <w:tcPr>
            <w:tcW w:w="702" w:type="dxa"/>
            <w:tcBorders>
              <w:top w:val="nil"/>
              <w:left w:val="nil"/>
              <w:bottom w:val="single" w:sz="4" w:space="0" w:color="auto"/>
              <w:right w:val="single" w:sz="4" w:space="0" w:color="auto"/>
            </w:tcBorders>
            <w:shd w:val="clear" w:color="000000" w:fill="FF9900"/>
            <w:vAlign w:val="center"/>
            <w:hideMark/>
          </w:tcPr>
          <w:p w14:paraId="17B9B004" w14:textId="77777777" w:rsidR="000271A1" w:rsidRPr="000271A1" w:rsidRDefault="000271A1" w:rsidP="000271A1">
            <w:pPr>
              <w:spacing w:after="0" w:line="240" w:lineRule="auto"/>
              <w:jc w:val="right"/>
              <w:rPr>
                <w:rFonts w:ascii="Tahoma" w:eastAsia="Times New Roman" w:hAnsi="Tahoma" w:cs="Tahoma"/>
                <w:sz w:val="20"/>
                <w:szCs w:val="20"/>
                <w:lang w:eastAsia="hr-HR"/>
              </w:rPr>
            </w:pPr>
            <w:r w:rsidRPr="000271A1">
              <w:rPr>
                <w:rFonts w:ascii="Tahoma" w:eastAsia="Times New Roman" w:hAnsi="Tahoma" w:cs="Tahoma"/>
                <w:sz w:val="20"/>
                <w:szCs w:val="20"/>
                <w:lang w:eastAsia="hr-HR"/>
              </w:rPr>
              <w:t>1</w:t>
            </w:r>
          </w:p>
        </w:tc>
        <w:tc>
          <w:tcPr>
            <w:tcW w:w="907" w:type="dxa"/>
            <w:tcBorders>
              <w:top w:val="nil"/>
              <w:left w:val="nil"/>
              <w:bottom w:val="single" w:sz="4" w:space="0" w:color="auto"/>
              <w:right w:val="single" w:sz="4" w:space="0" w:color="auto"/>
            </w:tcBorders>
            <w:shd w:val="clear" w:color="000000" w:fill="FF9900"/>
            <w:noWrap/>
            <w:vAlign w:val="center"/>
            <w:hideMark/>
          </w:tcPr>
          <w:p w14:paraId="49A258A7" w14:textId="77777777" w:rsidR="000271A1" w:rsidRPr="000271A1" w:rsidRDefault="000271A1" w:rsidP="000271A1">
            <w:pPr>
              <w:spacing w:after="0" w:line="240" w:lineRule="auto"/>
              <w:jc w:val="right"/>
              <w:rPr>
                <w:rFonts w:ascii="Tahoma" w:eastAsia="Times New Roman" w:hAnsi="Tahoma" w:cs="Tahoma"/>
                <w:sz w:val="20"/>
                <w:szCs w:val="20"/>
                <w:lang w:eastAsia="hr-HR"/>
              </w:rPr>
            </w:pPr>
            <w:r w:rsidRPr="000271A1">
              <w:rPr>
                <w:rFonts w:ascii="Tahoma" w:eastAsia="Times New Roman" w:hAnsi="Tahoma" w:cs="Tahoma"/>
                <w:sz w:val="20"/>
                <w:szCs w:val="20"/>
                <w:lang w:eastAsia="hr-HR"/>
              </w:rPr>
              <w:t> </w:t>
            </w:r>
          </w:p>
        </w:tc>
        <w:tc>
          <w:tcPr>
            <w:tcW w:w="553" w:type="dxa"/>
            <w:tcBorders>
              <w:top w:val="nil"/>
              <w:left w:val="nil"/>
              <w:bottom w:val="single" w:sz="4" w:space="0" w:color="auto"/>
              <w:right w:val="single" w:sz="4" w:space="0" w:color="auto"/>
            </w:tcBorders>
            <w:shd w:val="clear" w:color="000000" w:fill="FF9900"/>
            <w:noWrap/>
            <w:vAlign w:val="center"/>
            <w:hideMark/>
          </w:tcPr>
          <w:p w14:paraId="742FD848" w14:textId="77777777" w:rsidR="000271A1" w:rsidRPr="000271A1" w:rsidRDefault="000271A1" w:rsidP="000271A1">
            <w:pPr>
              <w:spacing w:after="0" w:line="240" w:lineRule="auto"/>
              <w:jc w:val="right"/>
              <w:rPr>
                <w:rFonts w:ascii="Tahoma" w:eastAsia="Times New Roman" w:hAnsi="Tahoma" w:cs="Tahoma"/>
                <w:sz w:val="20"/>
                <w:szCs w:val="20"/>
                <w:lang w:eastAsia="hr-HR"/>
              </w:rPr>
            </w:pPr>
            <w:r w:rsidRPr="000271A1">
              <w:rPr>
                <w:rFonts w:ascii="Tahoma" w:eastAsia="Times New Roman" w:hAnsi="Tahoma" w:cs="Tahoma"/>
                <w:sz w:val="20"/>
                <w:szCs w:val="20"/>
                <w:lang w:eastAsia="hr-HR"/>
              </w:rPr>
              <w:t> </w:t>
            </w:r>
          </w:p>
        </w:tc>
        <w:tc>
          <w:tcPr>
            <w:tcW w:w="918" w:type="dxa"/>
            <w:tcBorders>
              <w:top w:val="nil"/>
              <w:left w:val="nil"/>
              <w:bottom w:val="single" w:sz="4" w:space="0" w:color="auto"/>
              <w:right w:val="single" w:sz="4" w:space="0" w:color="auto"/>
            </w:tcBorders>
            <w:shd w:val="clear" w:color="000000" w:fill="FF9900"/>
            <w:noWrap/>
            <w:vAlign w:val="center"/>
            <w:hideMark/>
          </w:tcPr>
          <w:p w14:paraId="6A892549" w14:textId="77777777" w:rsidR="000271A1" w:rsidRPr="000271A1" w:rsidRDefault="000271A1" w:rsidP="000271A1">
            <w:pPr>
              <w:spacing w:after="0" w:line="240" w:lineRule="auto"/>
              <w:jc w:val="right"/>
              <w:rPr>
                <w:rFonts w:ascii="Tahoma" w:eastAsia="Times New Roman" w:hAnsi="Tahoma" w:cs="Tahoma"/>
                <w:sz w:val="20"/>
                <w:szCs w:val="20"/>
                <w:lang w:eastAsia="hr-HR"/>
              </w:rPr>
            </w:pPr>
            <w:r w:rsidRPr="000271A1">
              <w:rPr>
                <w:rFonts w:ascii="Tahoma" w:eastAsia="Times New Roman" w:hAnsi="Tahoma" w:cs="Tahoma"/>
                <w:sz w:val="20"/>
                <w:szCs w:val="20"/>
                <w:lang w:eastAsia="hr-HR"/>
              </w:rPr>
              <w:t> </w:t>
            </w:r>
          </w:p>
        </w:tc>
        <w:tc>
          <w:tcPr>
            <w:tcW w:w="428" w:type="dxa"/>
            <w:tcBorders>
              <w:top w:val="nil"/>
              <w:left w:val="nil"/>
              <w:bottom w:val="single" w:sz="4" w:space="0" w:color="auto"/>
              <w:right w:val="single" w:sz="4" w:space="0" w:color="auto"/>
            </w:tcBorders>
            <w:shd w:val="clear" w:color="000000" w:fill="CCFFFF"/>
            <w:noWrap/>
            <w:vAlign w:val="center"/>
            <w:hideMark/>
          </w:tcPr>
          <w:p w14:paraId="2A684759" w14:textId="77777777" w:rsidR="000271A1" w:rsidRPr="000271A1" w:rsidRDefault="000271A1" w:rsidP="000271A1">
            <w:pPr>
              <w:spacing w:after="0" w:line="240" w:lineRule="auto"/>
              <w:jc w:val="right"/>
              <w:rPr>
                <w:rFonts w:ascii="Tahoma" w:eastAsia="Times New Roman" w:hAnsi="Tahoma" w:cs="Tahoma"/>
                <w:sz w:val="20"/>
                <w:szCs w:val="20"/>
                <w:lang w:eastAsia="hr-HR"/>
              </w:rPr>
            </w:pPr>
            <w:r w:rsidRPr="000271A1">
              <w:rPr>
                <w:rFonts w:ascii="Tahoma" w:eastAsia="Times New Roman" w:hAnsi="Tahoma" w:cs="Tahoma"/>
                <w:sz w:val="20"/>
                <w:szCs w:val="20"/>
                <w:lang w:eastAsia="hr-HR"/>
              </w:rPr>
              <w:t> </w:t>
            </w:r>
          </w:p>
        </w:tc>
        <w:tc>
          <w:tcPr>
            <w:tcW w:w="428" w:type="dxa"/>
            <w:tcBorders>
              <w:top w:val="nil"/>
              <w:left w:val="nil"/>
              <w:bottom w:val="single" w:sz="4" w:space="0" w:color="auto"/>
              <w:right w:val="single" w:sz="4" w:space="0" w:color="auto"/>
            </w:tcBorders>
            <w:shd w:val="clear" w:color="000000" w:fill="CCFFFF"/>
            <w:noWrap/>
            <w:vAlign w:val="center"/>
            <w:hideMark/>
          </w:tcPr>
          <w:p w14:paraId="7D85F566" w14:textId="77777777" w:rsidR="000271A1" w:rsidRPr="000271A1" w:rsidRDefault="000271A1" w:rsidP="000271A1">
            <w:pPr>
              <w:spacing w:after="0" w:line="240" w:lineRule="auto"/>
              <w:jc w:val="right"/>
              <w:rPr>
                <w:rFonts w:ascii="Tahoma" w:eastAsia="Times New Roman" w:hAnsi="Tahoma" w:cs="Tahoma"/>
                <w:sz w:val="20"/>
                <w:szCs w:val="20"/>
                <w:lang w:eastAsia="hr-HR"/>
              </w:rPr>
            </w:pPr>
            <w:r w:rsidRPr="000271A1">
              <w:rPr>
                <w:rFonts w:ascii="Tahoma" w:eastAsia="Times New Roman" w:hAnsi="Tahoma" w:cs="Tahoma"/>
                <w:sz w:val="20"/>
                <w:szCs w:val="20"/>
                <w:lang w:eastAsia="hr-HR"/>
              </w:rPr>
              <w:t> </w:t>
            </w:r>
          </w:p>
        </w:tc>
        <w:tc>
          <w:tcPr>
            <w:tcW w:w="425" w:type="dxa"/>
            <w:tcBorders>
              <w:top w:val="nil"/>
              <w:left w:val="nil"/>
              <w:bottom w:val="single" w:sz="4" w:space="0" w:color="auto"/>
              <w:right w:val="single" w:sz="4" w:space="0" w:color="auto"/>
            </w:tcBorders>
            <w:shd w:val="clear" w:color="000000" w:fill="CCFFFF"/>
            <w:noWrap/>
            <w:vAlign w:val="center"/>
            <w:hideMark/>
          </w:tcPr>
          <w:p w14:paraId="1724429E" w14:textId="77777777" w:rsidR="000271A1" w:rsidRPr="000271A1" w:rsidRDefault="000271A1" w:rsidP="000271A1">
            <w:pPr>
              <w:spacing w:after="0" w:line="240" w:lineRule="auto"/>
              <w:jc w:val="right"/>
              <w:rPr>
                <w:rFonts w:ascii="Tahoma" w:eastAsia="Times New Roman" w:hAnsi="Tahoma" w:cs="Tahoma"/>
                <w:sz w:val="20"/>
                <w:szCs w:val="20"/>
                <w:lang w:eastAsia="hr-HR"/>
              </w:rPr>
            </w:pPr>
            <w:r w:rsidRPr="000271A1">
              <w:rPr>
                <w:rFonts w:ascii="Tahoma" w:eastAsia="Times New Roman" w:hAnsi="Tahoma" w:cs="Tahoma"/>
                <w:sz w:val="20"/>
                <w:szCs w:val="20"/>
                <w:lang w:eastAsia="hr-HR"/>
              </w:rPr>
              <w:t> </w:t>
            </w:r>
          </w:p>
        </w:tc>
        <w:tc>
          <w:tcPr>
            <w:tcW w:w="425" w:type="dxa"/>
            <w:tcBorders>
              <w:top w:val="nil"/>
              <w:left w:val="nil"/>
              <w:bottom w:val="single" w:sz="4" w:space="0" w:color="auto"/>
              <w:right w:val="nil"/>
            </w:tcBorders>
            <w:shd w:val="clear" w:color="000000" w:fill="33CCCC"/>
            <w:noWrap/>
            <w:vAlign w:val="center"/>
            <w:hideMark/>
          </w:tcPr>
          <w:p w14:paraId="651C64EA" w14:textId="77777777" w:rsidR="000271A1" w:rsidRPr="000271A1" w:rsidRDefault="000271A1" w:rsidP="000271A1">
            <w:pPr>
              <w:spacing w:after="0" w:line="240" w:lineRule="auto"/>
              <w:jc w:val="right"/>
              <w:rPr>
                <w:rFonts w:ascii="Tahoma" w:eastAsia="Times New Roman" w:hAnsi="Tahoma" w:cs="Tahoma"/>
                <w:sz w:val="20"/>
                <w:szCs w:val="20"/>
                <w:lang w:eastAsia="hr-HR"/>
              </w:rPr>
            </w:pPr>
            <w:r w:rsidRPr="000271A1">
              <w:rPr>
                <w:rFonts w:ascii="Tahoma" w:eastAsia="Times New Roman" w:hAnsi="Tahoma" w:cs="Tahoma"/>
                <w:sz w:val="20"/>
                <w:szCs w:val="20"/>
                <w:lang w:eastAsia="hr-HR"/>
              </w:rPr>
              <w:t> </w:t>
            </w:r>
          </w:p>
        </w:tc>
        <w:tc>
          <w:tcPr>
            <w:tcW w:w="440" w:type="dxa"/>
            <w:gridSpan w:val="2"/>
            <w:tcBorders>
              <w:top w:val="nil"/>
              <w:left w:val="single" w:sz="4" w:space="0" w:color="auto"/>
              <w:bottom w:val="single" w:sz="4" w:space="0" w:color="auto"/>
              <w:right w:val="single" w:sz="8" w:space="0" w:color="auto"/>
            </w:tcBorders>
            <w:shd w:val="clear" w:color="000000" w:fill="33CCCC"/>
            <w:noWrap/>
            <w:vAlign w:val="center"/>
            <w:hideMark/>
          </w:tcPr>
          <w:p w14:paraId="0D5843B8" w14:textId="77777777" w:rsidR="000271A1" w:rsidRPr="000271A1" w:rsidRDefault="000271A1" w:rsidP="000271A1">
            <w:pPr>
              <w:spacing w:after="0" w:line="240" w:lineRule="auto"/>
              <w:jc w:val="right"/>
              <w:rPr>
                <w:rFonts w:ascii="Tahoma" w:eastAsia="Times New Roman" w:hAnsi="Tahoma" w:cs="Tahoma"/>
                <w:sz w:val="20"/>
                <w:szCs w:val="20"/>
                <w:lang w:eastAsia="hr-HR"/>
              </w:rPr>
            </w:pPr>
            <w:r w:rsidRPr="000271A1">
              <w:rPr>
                <w:rFonts w:ascii="Tahoma" w:eastAsia="Times New Roman" w:hAnsi="Tahoma" w:cs="Tahoma"/>
                <w:sz w:val="20"/>
                <w:szCs w:val="20"/>
                <w:lang w:eastAsia="hr-HR"/>
              </w:rPr>
              <w:t> </w:t>
            </w:r>
          </w:p>
        </w:tc>
        <w:tc>
          <w:tcPr>
            <w:tcW w:w="236" w:type="dxa"/>
            <w:vAlign w:val="center"/>
            <w:hideMark/>
          </w:tcPr>
          <w:p w14:paraId="0E2AB41A" w14:textId="77777777" w:rsidR="000271A1" w:rsidRPr="000271A1" w:rsidRDefault="000271A1" w:rsidP="000271A1">
            <w:pPr>
              <w:spacing w:after="0" w:line="240" w:lineRule="auto"/>
              <w:rPr>
                <w:rFonts w:ascii="Times New Roman" w:eastAsia="Times New Roman" w:hAnsi="Times New Roman" w:cs="Times New Roman"/>
                <w:sz w:val="20"/>
                <w:szCs w:val="20"/>
                <w:lang w:eastAsia="hr-HR"/>
              </w:rPr>
            </w:pPr>
          </w:p>
        </w:tc>
      </w:tr>
      <w:tr w:rsidR="000271A1" w:rsidRPr="000271A1" w14:paraId="715A438C" w14:textId="77777777" w:rsidTr="000271A1">
        <w:trPr>
          <w:gridAfter w:val="1"/>
          <w:wAfter w:w="26" w:type="dxa"/>
          <w:trHeight w:val="300"/>
        </w:trPr>
        <w:tc>
          <w:tcPr>
            <w:tcW w:w="1119" w:type="dxa"/>
            <w:tcBorders>
              <w:top w:val="single" w:sz="4" w:space="0" w:color="auto"/>
              <w:left w:val="single" w:sz="8" w:space="0" w:color="auto"/>
              <w:bottom w:val="single" w:sz="4" w:space="0" w:color="auto"/>
              <w:right w:val="single" w:sz="4" w:space="0" w:color="auto"/>
            </w:tcBorders>
            <w:shd w:val="clear" w:color="000000" w:fill="CCFFCC"/>
            <w:vAlign w:val="center"/>
            <w:hideMark/>
          </w:tcPr>
          <w:p w14:paraId="593B5B04" w14:textId="77777777" w:rsidR="000271A1" w:rsidRPr="000271A1" w:rsidRDefault="000271A1" w:rsidP="000271A1">
            <w:pPr>
              <w:spacing w:after="0" w:line="240" w:lineRule="auto"/>
              <w:rPr>
                <w:rFonts w:ascii="Tahoma" w:eastAsia="Times New Roman" w:hAnsi="Tahoma" w:cs="Tahoma"/>
                <w:sz w:val="20"/>
                <w:szCs w:val="20"/>
                <w:lang w:eastAsia="hr-HR"/>
              </w:rPr>
            </w:pPr>
            <w:r w:rsidRPr="000271A1">
              <w:rPr>
                <w:rFonts w:ascii="Tahoma" w:eastAsia="Times New Roman" w:hAnsi="Tahoma" w:cs="Tahoma"/>
                <w:sz w:val="20"/>
                <w:szCs w:val="20"/>
                <w:lang w:eastAsia="hr-HR"/>
              </w:rPr>
              <w:t>Rodni identitet rodno izražavanje</w:t>
            </w:r>
          </w:p>
        </w:tc>
        <w:tc>
          <w:tcPr>
            <w:tcW w:w="671" w:type="dxa"/>
            <w:tcBorders>
              <w:top w:val="nil"/>
              <w:left w:val="nil"/>
              <w:bottom w:val="single" w:sz="4" w:space="0" w:color="auto"/>
              <w:right w:val="single" w:sz="4" w:space="0" w:color="auto"/>
            </w:tcBorders>
            <w:shd w:val="clear" w:color="000000" w:fill="FFCC99"/>
            <w:noWrap/>
            <w:vAlign w:val="center"/>
            <w:hideMark/>
          </w:tcPr>
          <w:p w14:paraId="551F9BD7" w14:textId="77777777" w:rsidR="000271A1" w:rsidRPr="000271A1" w:rsidRDefault="000271A1" w:rsidP="000271A1">
            <w:pPr>
              <w:spacing w:after="0" w:line="240" w:lineRule="auto"/>
              <w:jc w:val="right"/>
              <w:rPr>
                <w:rFonts w:ascii="Tahoma" w:eastAsia="Times New Roman" w:hAnsi="Tahoma" w:cs="Tahoma"/>
                <w:sz w:val="20"/>
                <w:szCs w:val="20"/>
                <w:lang w:eastAsia="hr-HR"/>
              </w:rPr>
            </w:pPr>
            <w:r w:rsidRPr="000271A1">
              <w:rPr>
                <w:rFonts w:ascii="Tahoma" w:eastAsia="Times New Roman" w:hAnsi="Tahoma" w:cs="Tahoma"/>
                <w:sz w:val="20"/>
                <w:szCs w:val="20"/>
                <w:lang w:eastAsia="hr-HR"/>
              </w:rPr>
              <w:t> </w:t>
            </w:r>
          </w:p>
        </w:tc>
        <w:tc>
          <w:tcPr>
            <w:tcW w:w="519" w:type="dxa"/>
            <w:tcBorders>
              <w:top w:val="nil"/>
              <w:left w:val="nil"/>
              <w:bottom w:val="single" w:sz="4" w:space="0" w:color="auto"/>
              <w:right w:val="single" w:sz="4" w:space="0" w:color="auto"/>
            </w:tcBorders>
            <w:shd w:val="clear" w:color="000000" w:fill="FFFF00"/>
            <w:noWrap/>
            <w:vAlign w:val="center"/>
            <w:hideMark/>
          </w:tcPr>
          <w:p w14:paraId="38AA7CD2" w14:textId="77777777" w:rsidR="000271A1" w:rsidRPr="000271A1" w:rsidRDefault="000271A1" w:rsidP="000271A1">
            <w:pPr>
              <w:spacing w:after="0" w:line="240" w:lineRule="auto"/>
              <w:jc w:val="right"/>
              <w:rPr>
                <w:rFonts w:ascii="Tahoma" w:eastAsia="Times New Roman" w:hAnsi="Tahoma" w:cs="Tahoma"/>
                <w:sz w:val="20"/>
                <w:szCs w:val="20"/>
                <w:lang w:eastAsia="hr-HR"/>
              </w:rPr>
            </w:pPr>
            <w:r w:rsidRPr="000271A1">
              <w:rPr>
                <w:rFonts w:ascii="Tahoma" w:eastAsia="Times New Roman" w:hAnsi="Tahoma" w:cs="Tahoma"/>
                <w:sz w:val="20"/>
                <w:szCs w:val="20"/>
                <w:lang w:eastAsia="hr-HR"/>
              </w:rPr>
              <w:t> </w:t>
            </w:r>
          </w:p>
        </w:tc>
        <w:tc>
          <w:tcPr>
            <w:tcW w:w="365" w:type="dxa"/>
            <w:tcBorders>
              <w:top w:val="nil"/>
              <w:left w:val="nil"/>
              <w:bottom w:val="single" w:sz="4" w:space="0" w:color="auto"/>
              <w:right w:val="single" w:sz="4" w:space="0" w:color="auto"/>
            </w:tcBorders>
            <w:shd w:val="clear" w:color="000000" w:fill="CCFFFF"/>
            <w:noWrap/>
            <w:vAlign w:val="center"/>
            <w:hideMark/>
          </w:tcPr>
          <w:p w14:paraId="7F834579" w14:textId="77777777" w:rsidR="000271A1" w:rsidRPr="000271A1" w:rsidRDefault="000271A1" w:rsidP="000271A1">
            <w:pPr>
              <w:spacing w:after="0" w:line="240" w:lineRule="auto"/>
              <w:jc w:val="right"/>
              <w:rPr>
                <w:rFonts w:ascii="Tahoma" w:eastAsia="Times New Roman" w:hAnsi="Tahoma" w:cs="Tahoma"/>
                <w:sz w:val="20"/>
                <w:szCs w:val="20"/>
                <w:lang w:eastAsia="hr-HR"/>
              </w:rPr>
            </w:pPr>
            <w:r w:rsidRPr="000271A1">
              <w:rPr>
                <w:rFonts w:ascii="Tahoma" w:eastAsia="Times New Roman" w:hAnsi="Tahoma" w:cs="Tahoma"/>
                <w:sz w:val="20"/>
                <w:szCs w:val="20"/>
                <w:lang w:eastAsia="hr-HR"/>
              </w:rPr>
              <w:t> </w:t>
            </w:r>
          </w:p>
        </w:tc>
        <w:tc>
          <w:tcPr>
            <w:tcW w:w="379" w:type="dxa"/>
            <w:tcBorders>
              <w:top w:val="nil"/>
              <w:left w:val="nil"/>
              <w:bottom w:val="single" w:sz="4" w:space="0" w:color="auto"/>
              <w:right w:val="single" w:sz="4" w:space="0" w:color="auto"/>
            </w:tcBorders>
            <w:shd w:val="clear" w:color="000000" w:fill="CCFFFF"/>
            <w:noWrap/>
            <w:vAlign w:val="center"/>
            <w:hideMark/>
          </w:tcPr>
          <w:p w14:paraId="6A0D3435" w14:textId="77777777" w:rsidR="000271A1" w:rsidRPr="000271A1" w:rsidRDefault="000271A1" w:rsidP="000271A1">
            <w:pPr>
              <w:spacing w:after="0" w:line="240" w:lineRule="auto"/>
              <w:jc w:val="right"/>
              <w:rPr>
                <w:rFonts w:ascii="Tahoma" w:eastAsia="Times New Roman" w:hAnsi="Tahoma" w:cs="Tahoma"/>
                <w:sz w:val="20"/>
                <w:szCs w:val="20"/>
                <w:lang w:eastAsia="hr-HR"/>
              </w:rPr>
            </w:pPr>
            <w:r w:rsidRPr="000271A1">
              <w:rPr>
                <w:rFonts w:ascii="Tahoma" w:eastAsia="Times New Roman" w:hAnsi="Tahoma" w:cs="Tahoma"/>
                <w:sz w:val="20"/>
                <w:szCs w:val="20"/>
                <w:lang w:eastAsia="hr-HR"/>
              </w:rPr>
              <w:t> </w:t>
            </w:r>
          </w:p>
        </w:tc>
        <w:tc>
          <w:tcPr>
            <w:tcW w:w="698" w:type="dxa"/>
            <w:tcBorders>
              <w:top w:val="nil"/>
              <w:left w:val="nil"/>
              <w:bottom w:val="single" w:sz="4" w:space="0" w:color="auto"/>
              <w:right w:val="single" w:sz="4" w:space="0" w:color="auto"/>
            </w:tcBorders>
            <w:shd w:val="clear" w:color="000000" w:fill="FFFF99"/>
            <w:noWrap/>
            <w:vAlign w:val="center"/>
            <w:hideMark/>
          </w:tcPr>
          <w:p w14:paraId="1798BBD5" w14:textId="77777777" w:rsidR="000271A1" w:rsidRPr="000271A1" w:rsidRDefault="000271A1" w:rsidP="000271A1">
            <w:pPr>
              <w:spacing w:after="0" w:line="240" w:lineRule="auto"/>
              <w:jc w:val="right"/>
              <w:rPr>
                <w:rFonts w:ascii="Tahoma" w:eastAsia="Times New Roman" w:hAnsi="Tahoma" w:cs="Tahoma"/>
                <w:sz w:val="20"/>
                <w:szCs w:val="20"/>
                <w:lang w:eastAsia="hr-HR"/>
              </w:rPr>
            </w:pPr>
            <w:r w:rsidRPr="000271A1">
              <w:rPr>
                <w:rFonts w:ascii="Tahoma" w:eastAsia="Times New Roman" w:hAnsi="Tahoma" w:cs="Tahoma"/>
                <w:sz w:val="20"/>
                <w:szCs w:val="20"/>
                <w:lang w:eastAsia="hr-HR"/>
              </w:rPr>
              <w:t> </w:t>
            </w:r>
          </w:p>
        </w:tc>
        <w:tc>
          <w:tcPr>
            <w:tcW w:w="698" w:type="dxa"/>
            <w:tcBorders>
              <w:top w:val="nil"/>
              <w:left w:val="nil"/>
              <w:bottom w:val="single" w:sz="4" w:space="0" w:color="auto"/>
              <w:right w:val="single" w:sz="4" w:space="0" w:color="auto"/>
            </w:tcBorders>
            <w:shd w:val="clear" w:color="000000" w:fill="FFFF99"/>
            <w:noWrap/>
            <w:vAlign w:val="center"/>
            <w:hideMark/>
          </w:tcPr>
          <w:p w14:paraId="596AA767" w14:textId="77777777" w:rsidR="000271A1" w:rsidRPr="000271A1" w:rsidRDefault="000271A1" w:rsidP="000271A1">
            <w:pPr>
              <w:spacing w:after="0" w:line="240" w:lineRule="auto"/>
              <w:jc w:val="right"/>
              <w:rPr>
                <w:rFonts w:ascii="Tahoma" w:eastAsia="Times New Roman" w:hAnsi="Tahoma" w:cs="Tahoma"/>
                <w:sz w:val="20"/>
                <w:szCs w:val="20"/>
                <w:lang w:eastAsia="hr-HR"/>
              </w:rPr>
            </w:pPr>
            <w:r w:rsidRPr="000271A1">
              <w:rPr>
                <w:rFonts w:ascii="Tahoma" w:eastAsia="Times New Roman" w:hAnsi="Tahoma" w:cs="Tahoma"/>
                <w:sz w:val="20"/>
                <w:szCs w:val="20"/>
                <w:lang w:eastAsia="hr-HR"/>
              </w:rPr>
              <w:t> </w:t>
            </w:r>
          </w:p>
        </w:tc>
        <w:tc>
          <w:tcPr>
            <w:tcW w:w="512" w:type="dxa"/>
            <w:tcBorders>
              <w:top w:val="nil"/>
              <w:left w:val="nil"/>
              <w:bottom w:val="single" w:sz="4" w:space="0" w:color="auto"/>
              <w:right w:val="single" w:sz="4" w:space="0" w:color="auto"/>
            </w:tcBorders>
            <w:shd w:val="clear" w:color="000000" w:fill="FFFF99"/>
            <w:noWrap/>
            <w:vAlign w:val="center"/>
            <w:hideMark/>
          </w:tcPr>
          <w:p w14:paraId="6BA51021" w14:textId="77777777" w:rsidR="000271A1" w:rsidRPr="000271A1" w:rsidRDefault="000271A1" w:rsidP="000271A1">
            <w:pPr>
              <w:spacing w:after="0" w:line="240" w:lineRule="auto"/>
              <w:jc w:val="right"/>
              <w:rPr>
                <w:rFonts w:ascii="Tahoma" w:eastAsia="Times New Roman" w:hAnsi="Tahoma" w:cs="Tahoma"/>
                <w:sz w:val="20"/>
                <w:szCs w:val="20"/>
                <w:lang w:eastAsia="hr-HR"/>
              </w:rPr>
            </w:pPr>
            <w:r w:rsidRPr="000271A1">
              <w:rPr>
                <w:rFonts w:ascii="Tahoma" w:eastAsia="Times New Roman" w:hAnsi="Tahoma" w:cs="Tahoma"/>
                <w:sz w:val="20"/>
                <w:szCs w:val="20"/>
                <w:lang w:eastAsia="hr-HR"/>
              </w:rPr>
              <w:t> </w:t>
            </w:r>
          </w:p>
        </w:tc>
        <w:tc>
          <w:tcPr>
            <w:tcW w:w="698" w:type="dxa"/>
            <w:tcBorders>
              <w:top w:val="nil"/>
              <w:left w:val="nil"/>
              <w:bottom w:val="single" w:sz="4" w:space="0" w:color="auto"/>
              <w:right w:val="single" w:sz="4" w:space="0" w:color="auto"/>
            </w:tcBorders>
            <w:shd w:val="clear" w:color="000000" w:fill="FFFF99"/>
            <w:noWrap/>
            <w:vAlign w:val="center"/>
            <w:hideMark/>
          </w:tcPr>
          <w:p w14:paraId="3668A98A" w14:textId="77777777" w:rsidR="000271A1" w:rsidRPr="000271A1" w:rsidRDefault="000271A1" w:rsidP="000271A1">
            <w:pPr>
              <w:spacing w:after="0" w:line="240" w:lineRule="auto"/>
              <w:jc w:val="right"/>
              <w:rPr>
                <w:rFonts w:ascii="Tahoma" w:eastAsia="Times New Roman" w:hAnsi="Tahoma" w:cs="Tahoma"/>
                <w:sz w:val="20"/>
                <w:szCs w:val="20"/>
                <w:lang w:eastAsia="hr-HR"/>
              </w:rPr>
            </w:pPr>
            <w:r w:rsidRPr="000271A1">
              <w:rPr>
                <w:rFonts w:ascii="Tahoma" w:eastAsia="Times New Roman" w:hAnsi="Tahoma" w:cs="Tahoma"/>
                <w:sz w:val="20"/>
                <w:szCs w:val="20"/>
                <w:lang w:eastAsia="hr-HR"/>
              </w:rPr>
              <w:t> </w:t>
            </w:r>
          </w:p>
        </w:tc>
        <w:tc>
          <w:tcPr>
            <w:tcW w:w="444" w:type="dxa"/>
            <w:tcBorders>
              <w:top w:val="nil"/>
              <w:left w:val="nil"/>
              <w:bottom w:val="single" w:sz="4" w:space="0" w:color="auto"/>
              <w:right w:val="single" w:sz="4" w:space="0" w:color="auto"/>
            </w:tcBorders>
            <w:shd w:val="clear" w:color="000000" w:fill="FFFF99"/>
            <w:noWrap/>
            <w:vAlign w:val="center"/>
            <w:hideMark/>
          </w:tcPr>
          <w:p w14:paraId="683CEE2B" w14:textId="77777777" w:rsidR="000271A1" w:rsidRPr="000271A1" w:rsidRDefault="000271A1" w:rsidP="000271A1">
            <w:pPr>
              <w:spacing w:after="0" w:line="240" w:lineRule="auto"/>
              <w:jc w:val="right"/>
              <w:rPr>
                <w:rFonts w:ascii="Tahoma" w:eastAsia="Times New Roman" w:hAnsi="Tahoma" w:cs="Tahoma"/>
                <w:sz w:val="20"/>
                <w:szCs w:val="20"/>
                <w:lang w:eastAsia="hr-HR"/>
              </w:rPr>
            </w:pPr>
            <w:r w:rsidRPr="000271A1">
              <w:rPr>
                <w:rFonts w:ascii="Tahoma" w:eastAsia="Times New Roman" w:hAnsi="Tahoma" w:cs="Tahoma"/>
                <w:sz w:val="20"/>
                <w:szCs w:val="20"/>
                <w:lang w:eastAsia="hr-HR"/>
              </w:rPr>
              <w:t> </w:t>
            </w:r>
          </w:p>
        </w:tc>
        <w:tc>
          <w:tcPr>
            <w:tcW w:w="698" w:type="dxa"/>
            <w:tcBorders>
              <w:top w:val="nil"/>
              <w:left w:val="nil"/>
              <w:bottom w:val="single" w:sz="4" w:space="0" w:color="auto"/>
              <w:right w:val="single" w:sz="4" w:space="0" w:color="auto"/>
            </w:tcBorders>
            <w:shd w:val="clear" w:color="000000" w:fill="FFFF99"/>
            <w:noWrap/>
            <w:vAlign w:val="center"/>
            <w:hideMark/>
          </w:tcPr>
          <w:p w14:paraId="0489DC10" w14:textId="77777777" w:rsidR="000271A1" w:rsidRPr="000271A1" w:rsidRDefault="000271A1" w:rsidP="000271A1">
            <w:pPr>
              <w:spacing w:after="0" w:line="240" w:lineRule="auto"/>
              <w:jc w:val="right"/>
              <w:rPr>
                <w:rFonts w:ascii="Tahoma" w:eastAsia="Times New Roman" w:hAnsi="Tahoma" w:cs="Tahoma"/>
                <w:sz w:val="20"/>
                <w:szCs w:val="20"/>
                <w:lang w:eastAsia="hr-HR"/>
              </w:rPr>
            </w:pPr>
            <w:r w:rsidRPr="000271A1">
              <w:rPr>
                <w:rFonts w:ascii="Tahoma" w:eastAsia="Times New Roman" w:hAnsi="Tahoma" w:cs="Tahoma"/>
                <w:sz w:val="20"/>
                <w:szCs w:val="20"/>
                <w:lang w:eastAsia="hr-HR"/>
              </w:rPr>
              <w:t> </w:t>
            </w:r>
          </w:p>
        </w:tc>
        <w:tc>
          <w:tcPr>
            <w:tcW w:w="444" w:type="dxa"/>
            <w:gridSpan w:val="2"/>
            <w:tcBorders>
              <w:top w:val="nil"/>
              <w:left w:val="nil"/>
              <w:bottom w:val="single" w:sz="4" w:space="0" w:color="auto"/>
              <w:right w:val="single" w:sz="4" w:space="0" w:color="auto"/>
            </w:tcBorders>
            <w:shd w:val="clear" w:color="000000" w:fill="FF9900"/>
            <w:noWrap/>
            <w:vAlign w:val="center"/>
            <w:hideMark/>
          </w:tcPr>
          <w:p w14:paraId="37CC0FA1" w14:textId="77777777" w:rsidR="000271A1" w:rsidRPr="000271A1" w:rsidRDefault="000271A1" w:rsidP="000271A1">
            <w:pPr>
              <w:spacing w:after="0" w:line="240" w:lineRule="auto"/>
              <w:jc w:val="right"/>
              <w:rPr>
                <w:rFonts w:ascii="Tahoma" w:eastAsia="Times New Roman" w:hAnsi="Tahoma" w:cs="Tahoma"/>
                <w:sz w:val="20"/>
                <w:szCs w:val="20"/>
                <w:lang w:eastAsia="hr-HR"/>
              </w:rPr>
            </w:pPr>
            <w:r w:rsidRPr="000271A1">
              <w:rPr>
                <w:rFonts w:ascii="Tahoma" w:eastAsia="Times New Roman" w:hAnsi="Tahoma" w:cs="Tahoma"/>
                <w:sz w:val="20"/>
                <w:szCs w:val="20"/>
                <w:lang w:eastAsia="hr-HR"/>
              </w:rPr>
              <w:t> </w:t>
            </w:r>
          </w:p>
        </w:tc>
        <w:tc>
          <w:tcPr>
            <w:tcW w:w="521" w:type="dxa"/>
            <w:tcBorders>
              <w:top w:val="nil"/>
              <w:left w:val="nil"/>
              <w:bottom w:val="single" w:sz="4" w:space="0" w:color="auto"/>
              <w:right w:val="single" w:sz="4" w:space="0" w:color="auto"/>
            </w:tcBorders>
            <w:shd w:val="clear" w:color="000000" w:fill="FF9900"/>
            <w:noWrap/>
            <w:vAlign w:val="center"/>
            <w:hideMark/>
          </w:tcPr>
          <w:p w14:paraId="2A8067B6" w14:textId="77777777" w:rsidR="000271A1" w:rsidRPr="000271A1" w:rsidRDefault="000271A1" w:rsidP="000271A1">
            <w:pPr>
              <w:spacing w:after="0" w:line="240" w:lineRule="auto"/>
              <w:jc w:val="right"/>
              <w:rPr>
                <w:rFonts w:ascii="Tahoma" w:eastAsia="Times New Roman" w:hAnsi="Tahoma" w:cs="Tahoma"/>
                <w:sz w:val="20"/>
                <w:szCs w:val="20"/>
                <w:lang w:eastAsia="hr-HR"/>
              </w:rPr>
            </w:pPr>
            <w:r w:rsidRPr="000271A1">
              <w:rPr>
                <w:rFonts w:ascii="Tahoma" w:eastAsia="Times New Roman" w:hAnsi="Tahoma" w:cs="Tahoma"/>
                <w:sz w:val="20"/>
                <w:szCs w:val="20"/>
                <w:lang w:eastAsia="hr-HR"/>
              </w:rPr>
              <w:t> </w:t>
            </w:r>
          </w:p>
        </w:tc>
        <w:tc>
          <w:tcPr>
            <w:tcW w:w="521" w:type="dxa"/>
            <w:tcBorders>
              <w:top w:val="nil"/>
              <w:left w:val="nil"/>
              <w:bottom w:val="single" w:sz="4" w:space="0" w:color="auto"/>
              <w:right w:val="single" w:sz="4" w:space="0" w:color="auto"/>
            </w:tcBorders>
            <w:shd w:val="clear" w:color="000000" w:fill="FF9900"/>
            <w:noWrap/>
            <w:vAlign w:val="center"/>
            <w:hideMark/>
          </w:tcPr>
          <w:p w14:paraId="1B176AE4" w14:textId="77777777" w:rsidR="000271A1" w:rsidRPr="000271A1" w:rsidRDefault="000271A1" w:rsidP="000271A1">
            <w:pPr>
              <w:spacing w:after="0" w:line="240" w:lineRule="auto"/>
              <w:jc w:val="right"/>
              <w:rPr>
                <w:rFonts w:ascii="Tahoma" w:eastAsia="Times New Roman" w:hAnsi="Tahoma" w:cs="Tahoma"/>
                <w:sz w:val="20"/>
                <w:szCs w:val="20"/>
                <w:lang w:eastAsia="hr-HR"/>
              </w:rPr>
            </w:pPr>
            <w:r w:rsidRPr="000271A1">
              <w:rPr>
                <w:rFonts w:ascii="Tahoma" w:eastAsia="Times New Roman" w:hAnsi="Tahoma" w:cs="Tahoma"/>
                <w:sz w:val="20"/>
                <w:szCs w:val="20"/>
                <w:lang w:eastAsia="hr-HR"/>
              </w:rPr>
              <w:t> </w:t>
            </w:r>
          </w:p>
        </w:tc>
        <w:tc>
          <w:tcPr>
            <w:tcW w:w="521" w:type="dxa"/>
            <w:gridSpan w:val="2"/>
            <w:tcBorders>
              <w:top w:val="nil"/>
              <w:left w:val="nil"/>
              <w:bottom w:val="single" w:sz="4" w:space="0" w:color="auto"/>
              <w:right w:val="single" w:sz="4" w:space="0" w:color="auto"/>
            </w:tcBorders>
            <w:shd w:val="clear" w:color="000000" w:fill="FFFF00"/>
            <w:vAlign w:val="center"/>
            <w:hideMark/>
          </w:tcPr>
          <w:p w14:paraId="6C6C6206" w14:textId="77777777" w:rsidR="000271A1" w:rsidRPr="000271A1" w:rsidRDefault="000271A1" w:rsidP="000271A1">
            <w:pPr>
              <w:spacing w:after="0" w:line="240" w:lineRule="auto"/>
              <w:jc w:val="right"/>
              <w:rPr>
                <w:rFonts w:ascii="Tahoma" w:eastAsia="Times New Roman" w:hAnsi="Tahoma" w:cs="Tahoma"/>
                <w:sz w:val="20"/>
                <w:szCs w:val="20"/>
                <w:lang w:eastAsia="hr-HR"/>
              </w:rPr>
            </w:pPr>
            <w:r w:rsidRPr="000271A1">
              <w:rPr>
                <w:rFonts w:ascii="Tahoma" w:eastAsia="Times New Roman" w:hAnsi="Tahoma" w:cs="Tahoma"/>
                <w:sz w:val="20"/>
                <w:szCs w:val="20"/>
                <w:lang w:eastAsia="hr-HR"/>
              </w:rPr>
              <w:t> </w:t>
            </w:r>
          </w:p>
        </w:tc>
        <w:tc>
          <w:tcPr>
            <w:tcW w:w="702" w:type="dxa"/>
            <w:tcBorders>
              <w:top w:val="nil"/>
              <w:left w:val="nil"/>
              <w:bottom w:val="single" w:sz="4" w:space="0" w:color="auto"/>
              <w:right w:val="single" w:sz="4" w:space="0" w:color="auto"/>
            </w:tcBorders>
            <w:shd w:val="clear" w:color="000000" w:fill="FF9900"/>
            <w:vAlign w:val="center"/>
            <w:hideMark/>
          </w:tcPr>
          <w:p w14:paraId="14F97F09" w14:textId="77777777" w:rsidR="000271A1" w:rsidRPr="000271A1" w:rsidRDefault="000271A1" w:rsidP="000271A1">
            <w:pPr>
              <w:spacing w:after="0" w:line="240" w:lineRule="auto"/>
              <w:jc w:val="right"/>
              <w:rPr>
                <w:rFonts w:ascii="Tahoma" w:eastAsia="Times New Roman" w:hAnsi="Tahoma" w:cs="Tahoma"/>
                <w:sz w:val="20"/>
                <w:szCs w:val="20"/>
                <w:lang w:eastAsia="hr-HR"/>
              </w:rPr>
            </w:pPr>
            <w:r w:rsidRPr="000271A1">
              <w:rPr>
                <w:rFonts w:ascii="Tahoma" w:eastAsia="Times New Roman" w:hAnsi="Tahoma" w:cs="Tahoma"/>
                <w:sz w:val="20"/>
                <w:szCs w:val="20"/>
                <w:lang w:eastAsia="hr-HR"/>
              </w:rPr>
              <w:t> </w:t>
            </w:r>
          </w:p>
        </w:tc>
        <w:tc>
          <w:tcPr>
            <w:tcW w:w="907" w:type="dxa"/>
            <w:tcBorders>
              <w:top w:val="nil"/>
              <w:left w:val="nil"/>
              <w:bottom w:val="single" w:sz="4" w:space="0" w:color="auto"/>
              <w:right w:val="single" w:sz="4" w:space="0" w:color="auto"/>
            </w:tcBorders>
            <w:shd w:val="clear" w:color="000000" w:fill="FF9900"/>
            <w:noWrap/>
            <w:vAlign w:val="center"/>
            <w:hideMark/>
          </w:tcPr>
          <w:p w14:paraId="428B43AD" w14:textId="77777777" w:rsidR="000271A1" w:rsidRPr="000271A1" w:rsidRDefault="000271A1" w:rsidP="000271A1">
            <w:pPr>
              <w:spacing w:after="0" w:line="240" w:lineRule="auto"/>
              <w:jc w:val="right"/>
              <w:rPr>
                <w:rFonts w:ascii="Tahoma" w:eastAsia="Times New Roman" w:hAnsi="Tahoma" w:cs="Tahoma"/>
                <w:sz w:val="20"/>
                <w:szCs w:val="20"/>
                <w:lang w:eastAsia="hr-HR"/>
              </w:rPr>
            </w:pPr>
            <w:r w:rsidRPr="000271A1">
              <w:rPr>
                <w:rFonts w:ascii="Tahoma" w:eastAsia="Times New Roman" w:hAnsi="Tahoma" w:cs="Tahoma"/>
                <w:sz w:val="20"/>
                <w:szCs w:val="20"/>
                <w:lang w:eastAsia="hr-HR"/>
              </w:rPr>
              <w:t> </w:t>
            </w:r>
          </w:p>
        </w:tc>
        <w:tc>
          <w:tcPr>
            <w:tcW w:w="553" w:type="dxa"/>
            <w:tcBorders>
              <w:top w:val="nil"/>
              <w:left w:val="nil"/>
              <w:bottom w:val="single" w:sz="4" w:space="0" w:color="auto"/>
              <w:right w:val="single" w:sz="4" w:space="0" w:color="auto"/>
            </w:tcBorders>
            <w:shd w:val="clear" w:color="000000" w:fill="FF9900"/>
            <w:noWrap/>
            <w:vAlign w:val="center"/>
            <w:hideMark/>
          </w:tcPr>
          <w:p w14:paraId="73B021A8" w14:textId="77777777" w:rsidR="000271A1" w:rsidRPr="000271A1" w:rsidRDefault="000271A1" w:rsidP="000271A1">
            <w:pPr>
              <w:spacing w:after="0" w:line="240" w:lineRule="auto"/>
              <w:jc w:val="right"/>
              <w:rPr>
                <w:rFonts w:ascii="Tahoma" w:eastAsia="Times New Roman" w:hAnsi="Tahoma" w:cs="Tahoma"/>
                <w:sz w:val="20"/>
                <w:szCs w:val="20"/>
                <w:lang w:eastAsia="hr-HR"/>
              </w:rPr>
            </w:pPr>
            <w:r w:rsidRPr="000271A1">
              <w:rPr>
                <w:rFonts w:ascii="Tahoma" w:eastAsia="Times New Roman" w:hAnsi="Tahoma" w:cs="Tahoma"/>
                <w:sz w:val="20"/>
                <w:szCs w:val="20"/>
                <w:lang w:eastAsia="hr-HR"/>
              </w:rPr>
              <w:t> </w:t>
            </w:r>
          </w:p>
        </w:tc>
        <w:tc>
          <w:tcPr>
            <w:tcW w:w="918" w:type="dxa"/>
            <w:tcBorders>
              <w:top w:val="nil"/>
              <w:left w:val="nil"/>
              <w:bottom w:val="single" w:sz="4" w:space="0" w:color="auto"/>
              <w:right w:val="single" w:sz="4" w:space="0" w:color="auto"/>
            </w:tcBorders>
            <w:shd w:val="clear" w:color="000000" w:fill="FF9900"/>
            <w:noWrap/>
            <w:vAlign w:val="center"/>
            <w:hideMark/>
          </w:tcPr>
          <w:p w14:paraId="470813C1" w14:textId="77777777" w:rsidR="000271A1" w:rsidRPr="000271A1" w:rsidRDefault="000271A1" w:rsidP="000271A1">
            <w:pPr>
              <w:spacing w:after="0" w:line="240" w:lineRule="auto"/>
              <w:jc w:val="right"/>
              <w:rPr>
                <w:rFonts w:ascii="Tahoma" w:eastAsia="Times New Roman" w:hAnsi="Tahoma" w:cs="Tahoma"/>
                <w:sz w:val="20"/>
                <w:szCs w:val="20"/>
                <w:lang w:eastAsia="hr-HR"/>
              </w:rPr>
            </w:pPr>
            <w:r w:rsidRPr="000271A1">
              <w:rPr>
                <w:rFonts w:ascii="Tahoma" w:eastAsia="Times New Roman" w:hAnsi="Tahoma" w:cs="Tahoma"/>
                <w:sz w:val="20"/>
                <w:szCs w:val="20"/>
                <w:lang w:eastAsia="hr-HR"/>
              </w:rPr>
              <w:t> </w:t>
            </w:r>
          </w:p>
        </w:tc>
        <w:tc>
          <w:tcPr>
            <w:tcW w:w="428" w:type="dxa"/>
            <w:tcBorders>
              <w:top w:val="nil"/>
              <w:left w:val="nil"/>
              <w:bottom w:val="single" w:sz="4" w:space="0" w:color="auto"/>
              <w:right w:val="single" w:sz="4" w:space="0" w:color="auto"/>
            </w:tcBorders>
            <w:shd w:val="clear" w:color="000000" w:fill="CCFFFF"/>
            <w:noWrap/>
            <w:vAlign w:val="center"/>
            <w:hideMark/>
          </w:tcPr>
          <w:p w14:paraId="1BEAB858" w14:textId="77777777" w:rsidR="000271A1" w:rsidRPr="000271A1" w:rsidRDefault="000271A1" w:rsidP="000271A1">
            <w:pPr>
              <w:spacing w:after="0" w:line="240" w:lineRule="auto"/>
              <w:jc w:val="right"/>
              <w:rPr>
                <w:rFonts w:ascii="Tahoma" w:eastAsia="Times New Roman" w:hAnsi="Tahoma" w:cs="Tahoma"/>
                <w:sz w:val="20"/>
                <w:szCs w:val="20"/>
                <w:lang w:eastAsia="hr-HR"/>
              </w:rPr>
            </w:pPr>
            <w:r w:rsidRPr="000271A1">
              <w:rPr>
                <w:rFonts w:ascii="Tahoma" w:eastAsia="Times New Roman" w:hAnsi="Tahoma" w:cs="Tahoma"/>
                <w:sz w:val="20"/>
                <w:szCs w:val="20"/>
                <w:lang w:eastAsia="hr-HR"/>
              </w:rPr>
              <w:t> </w:t>
            </w:r>
          </w:p>
        </w:tc>
        <w:tc>
          <w:tcPr>
            <w:tcW w:w="428" w:type="dxa"/>
            <w:tcBorders>
              <w:top w:val="nil"/>
              <w:left w:val="nil"/>
              <w:bottom w:val="single" w:sz="4" w:space="0" w:color="auto"/>
              <w:right w:val="single" w:sz="4" w:space="0" w:color="auto"/>
            </w:tcBorders>
            <w:shd w:val="clear" w:color="000000" w:fill="CCFFFF"/>
            <w:noWrap/>
            <w:vAlign w:val="center"/>
            <w:hideMark/>
          </w:tcPr>
          <w:p w14:paraId="16AECAA8" w14:textId="77777777" w:rsidR="000271A1" w:rsidRPr="000271A1" w:rsidRDefault="000271A1" w:rsidP="000271A1">
            <w:pPr>
              <w:spacing w:after="0" w:line="240" w:lineRule="auto"/>
              <w:jc w:val="right"/>
              <w:rPr>
                <w:rFonts w:ascii="Tahoma" w:eastAsia="Times New Roman" w:hAnsi="Tahoma" w:cs="Tahoma"/>
                <w:sz w:val="20"/>
                <w:szCs w:val="20"/>
                <w:lang w:eastAsia="hr-HR"/>
              </w:rPr>
            </w:pPr>
            <w:r w:rsidRPr="000271A1">
              <w:rPr>
                <w:rFonts w:ascii="Tahoma" w:eastAsia="Times New Roman" w:hAnsi="Tahoma" w:cs="Tahoma"/>
                <w:sz w:val="20"/>
                <w:szCs w:val="20"/>
                <w:lang w:eastAsia="hr-HR"/>
              </w:rPr>
              <w:t> </w:t>
            </w:r>
          </w:p>
        </w:tc>
        <w:tc>
          <w:tcPr>
            <w:tcW w:w="425" w:type="dxa"/>
            <w:tcBorders>
              <w:top w:val="nil"/>
              <w:left w:val="nil"/>
              <w:bottom w:val="single" w:sz="4" w:space="0" w:color="auto"/>
              <w:right w:val="single" w:sz="4" w:space="0" w:color="auto"/>
            </w:tcBorders>
            <w:shd w:val="clear" w:color="000000" w:fill="CCFFFF"/>
            <w:noWrap/>
            <w:vAlign w:val="center"/>
            <w:hideMark/>
          </w:tcPr>
          <w:p w14:paraId="4AA15BD5" w14:textId="77777777" w:rsidR="000271A1" w:rsidRPr="000271A1" w:rsidRDefault="000271A1" w:rsidP="000271A1">
            <w:pPr>
              <w:spacing w:after="0" w:line="240" w:lineRule="auto"/>
              <w:jc w:val="right"/>
              <w:rPr>
                <w:rFonts w:ascii="Tahoma" w:eastAsia="Times New Roman" w:hAnsi="Tahoma" w:cs="Tahoma"/>
                <w:sz w:val="20"/>
                <w:szCs w:val="20"/>
                <w:lang w:eastAsia="hr-HR"/>
              </w:rPr>
            </w:pPr>
            <w:r w:rsidRPr="000271A1">
              <w:rPr>
                <w:rFonts w:ascii="Tahoma" w:eastAsia="Times New Roman" w:hAnsi="Tahoma" w:cs="Tahoma"/>
                <w:sz w:val="20"/>
                <w:szCs w:val="20"/>
                <w:lang w:eastAsia="hr-HR"/>
              </w:rPr>
              <w:t> </w:t>
            </w:r>
          </w:p>
        </w:tc>
        <w:tc>
          <w:tcPr>
            <w:tcW w:w="425" w:type="dxa"/>
            <w:tcBorders>
              <w:top w:val="nil"/>
              <w:left w:val="nil"/>
              <w:bottom w:val="single" w:sz="4" w:space="0" w:color="auto"/>
              <w:right w:val="nil"/>
            </w:tcBorders>
            <w:shd w:val="clear" w:color="000000" w:fill="33CCCC"/>
            <w:noWrap/>
            <w:vAlign w:val="center"/>
            <w:hideMark/>
          </w:tcPr>
          <w:p w14:paraId="2B4CDB30" w14:textId="77777777" w:rsidR="000271A1" w:rsidRPr="000271A1" w:rsidRDefault="000271A1" w:rsidP="000271A1">
            <w:pPr>
              <w:spacing w:after="0" w:line="240" w:lineRule="auto"/>
              <w:jc w:val="right"/>
              <w:rPr>
                <w:rFonts w:ascii="Tahoma" w:eastAsia="Times New Roman" w:hAnsi="Tahoma" w:cs="Tahoma"/>
                <w:sz w:val="20"/>
                <w:szCs w:val="20"/>
                <w:lang w:eastAsia="hr-HR"/>
              </w:rPr>
            </w:pPr>
            <w:r w:rsidRPr="000271A1">
              <w:rPr>
                <w:rFonts w:ascii="Tahoma" w:eastAsia="Times New Roman" w:hAnsi="Tahoma" w:cs="Tahoma"/>
                <w:sz w:val="20"/>
                <w:szCs w:val="20"/>
                <w:lang w:eastAsia="hr-HR"/>
              </w:rPr>
              <w:t> </w:t>
            </w:r>
          </w:p>
        </w:tc>
        <w:tc>
          <w:tcPr>
            <w:tcW w:w="440" w:type="dxa"/>
            <w:gridSpan w:val="2"/>
            <w:tcBorders>
              <w:top w:val="nil"/>
              <w:left w:val="single" w:sz="4" w:space="0" w:color="auto"/>
              <w:bottom w:val="single" w:sz="4" w:space="0" w:color="auto"/>
              <w:right w:val="single" w:sz="8" w:space="0" w:color="auto"/>
            </w:tcBorders>
            <w:shd w:val="clear" w:color="000000" w:fill="33CCCC"/>
            <w:noWrap/>
            <w:vAlign w:val="center"/>
            <w:hideMark/>
          </w:tcPr>
          <w:p w14:paraId="3E818DFD" w14:textId="77777777" w:rsidR="000271A1" w:rsidRPr="000271A1" w:rsidRDefault="000271A1" w:rsidP="000271A1">
            <w:pPr>
              <w:spacing w:after="0" w:line="240" w:lineRule="auto"/>
              <w:jc w:val="right"/>
              <w:rPr>
                <w:rFonts w:ascii="Tahoma" w:eastAsia="Times New Roman" w:hAnsi="Tahoma" w:cs="Tahoma"/>
                <w:sz w:val="20"/>
                <w:szCs w:val="20"/>
                <w:lang w:eastAsia="hr-HR"/>
              </w:rPr>
            </w:pPr>
            <w:r w:rsidRPr="000271A1">
              <w:rPr>
                <w:rFonts w:ascii="Tahoma" w:eastAsia="Times New Roman" w:hAnsi="Tahoma" w:cs="Tahoma"/>
                <w:sz w:val="20"/>
                <w:szCs w:val="20"/>
                <w:lang w:eastAsia="hr-HR"/>
              </w:rPr>
              <w:t> </w:t>
            </w:r>
          </w:p>
        </w:tc>
        <w:tc>
          <w:tcPr>
            <w:tcW w:w="236" w:type="dxa"/>
            <w:vAlign w:val="center"/>
            <w:hideMark/>
          </w:tcPr>
          <w:p w14:paraId="0B30FCAE" w14:textId="77777777" w:rsidR="000271A1" w:rsidRPr="000271A1" w:rsidRDefault="000271A1" w:rsidP="000271A1">
            <w:pPr>
              <w:spacing w:after="0" w:line="240" w:lineRule="auto"/>
              <w:rPr>
                <w:rFonts w:ascii="Times New Roman" w:eastAsia="Times New Roman" w:hAnsi="Times New Roman" w:cs="Times New Roman"/>
                <w:sz w:val="20"/>
                <w:szCs w:val="20"/>
                <w:lang w:eastAsia="hr-HR"/>
              </w:rPr>
            </w:pPr>
          </w:p>
        </w:tc>
      </w:tr>
      <w:tr w:rsidR="000271A1" w:rsidRPr="000271A1" w14:paraId="6066EBDD" w14:textId="77777777" w:rsidTr="000271A1">
        <w:trPr>
          <w:gridAfter w:val="1"/>
          <w:wAfter w:w="26" w:type="dxa"/>
          <w:trHeight w:val="300"/>
        </w:trPr>
        <w:tc>
          <w:tcPr>
            <w:tcW w:w="1119" w:type="dxa"/>
            <w:tcBorders>
              <w:top w:val="single" w:sz="4" w:space="0" w:color="auto"/>
              <w:left w:val="single" w:sz="8" w:space="0" w:color="auto"/>
              <w:bottom w:val="single" w:sz="4" w:space="0" w:color="auto"/>
              <w:right w:val="single" w:sz="4" w:space="0" w:color="000000"/>
            </w:tcBorders>
            <w:shd w:val="clear" w:color="000000" w:fill="CCFFCC"/>
            <w:vAlign w:val="center"/>
            <w:hideMark/>
          </w:tcPr>
          <w:p w14:paraId="2EDE55BC" w14:textId="77777777" w:rsidR="000271A1" w:rsidRPr="000271A1" w:rsidRDefault="000271A1" w:rsidP="000271A1">
            <w:pPr>
              <w:spacing w:after="0" w:line="240" w:lineRule="auto"/>
              <w:jc w:val="center"/>
              <w:rPr>
                <w:rFonts w:ascii="Tahoma" w:eastAsia="Times New Roman" w:hAnsi="Tahoma" w:cs="Tahoma"/>
                <w:b/>
                <w:bCs/>
                <w:sz w:val="20"/>
                <w:szCs w:val="20"/>
                <w:lang w:eastAsia="hr-HR"/>
              </w:rPr>
            </w:pPr>
            <w:r w:rsidRPr="000271A1">
              <w:rPr>
                <w:rFonts w:ascii="Tahoma" w:eastAsia="Times New Roman" w:hAnsi="Tahoma" w:cs="Tahoma"/>
                <w:b/>
                <w:bCs/>
                <w:sz w:val="20"/>
                <w:szCs w:val="20"/>
                <w:lang w:eastAsia="hr-HR"/>
              </w:rPr>
              <w:t>Ukupno</w:t>
            </w:r>
          </w:p>
        </w:tc>
        <w:tc>
          <w:tcPr>
            <w:tcW w:w="671" w:type="dxa"/>
            <w:tcBorders>
              <w:top w:val="nil"/>
              <w:left w:val="nil"/>
              <w:bottom w:val="single" w:sz="4" w:space="0" w:color="auto"/>
              <w:right w:val="single" w:sz="4" w:space="0" w:color="auto"/>
            </w:tcBorders>
            <w:shd w:val="clear" w:color="000000" w:fill="FFFF00"/>
            <w:noWrap/>
            <w:vAlign w:val="center"/>
            <w:hideMark/>
          </w:tcPr>
          <w:p w14:paraId="228BDB26" w14:textId="77777777" w:rsidR="000271A1" w:rsidRPr="000271A1" w:rsidRDefault="000271A1" w:rsidP="000271A1">
            <w:pPr>
              <w:spacing w:after="0" w:line="240" w:lineRule="auto"/>
              <w:jc w:val="right"/>
              <w:rPr>
                <w:rFonts w:ascii="Tahoma" w:eastAsia="Times New Roman" w:hAnsi="Tahoma" w:cs="Tahoma"/>
                <w:b/>
                <w:bCs/>
                <w:sz w:val="24"/>
                <w:szCs w:val="24"/>
                <w:lang w:eastAsia="hr-HR"/>
              </w:rPr>
            </w:pPr>
            <w:r w:rsidRPr="000271A1">
              <w:rPr>
                <w:rFonts w:ascii="Tahoma" w:eastAsia="Times New Roman" w:hAnsi="Tahoma" w:cs="Tahoma"/>
                <w:b/>
                <w:bCs/>
                <w:sz w:val="24"/>
                <w:szCs w:val="24"/>
                <w:lang w:eastAsia="hr-HR"/>
              </w:rPr>
              <w:t>147</w:t>
            </w:r>
          </w:p>
        </w:tc>
        <w:tc>
          <w:tcPr>
            <w:tcW w:w="519" w:type="dxa"/>
            <w:tcBorders>
              <w:top w:val="nil"/>
              <w:left w:val="nil"/>
              <w:bottom w:val="single" w:sz="4" w:space="0" w:color="auto"/>
              <w:right w:val="single" w:sz="4" w:space="0" w:color="auto"/>
            </w:tcBorders>
            <w:shd w:val="clear" w:color="000000" w:fill="FFFF00"/>
            <w:noWrap/>
            <w:vAlign w:val="center"/>
            <w:hideMark/>
          </w:tcPr>
          <w:p w14:paraId="6A631014" w14:textId="77777777" w:rsidR="000271A1" w:rsidRPr="000271A1" w:rsidRDefault="000271A1" w:rsidP="000271A1">
            <w:pPr>
              <w:spacing w:after="0" w:line="240" w:lineRule="auto"/>
              <w:jc w:val="right"/>
              <w:rPr>
                <w:rFonts w:ascii="Tahoma" w:eastAsia="Times New Roman" w:hAnsi="Tahoma" w:cs="Tahoma"/>
                <w:b/>
                <w:bCs/>
                <w:sz w:val="24"/>
                <w:szCs w:val="24"/>
                <w:lang w:eastAsia="hr-HR"/>
              </w:rPr>
            </w:pPr>
            <w:r w:rsidRPr="000271A1">
              <w:rPr>
                <w:rFonts w:ascii="Tahoma" w:eastAsia="Times New Roman" w:hAnsi="Tahoma" w:cs="Tahoma"/>
                <w:b/>
                <w:bCs/>
                <w:sz w:val="24"/>
                <w:szCs w:val="24"/>
                <w:lang w:eastAsia="hr-HR"/>
              </w:rPr>
              <w:t>53</w:t>
            </w:r>
          </w:p>
        </w:tc>
        <w:tc>
          <w:tcPr>
            <w:tcW w:w="365" w:type="dxa"/>
            <w:tcBorders>
              <w:top w:val="nil"/>
              <w:left w:val="nil"/>
              <w:bottom w:val="single" w:sz="4" w:space="0" w:color="auto"/>
              <w:right w:val="single" w:sz="4" w:space="0" w:color="auto"/>
            </w:tcBorders>
            <w:shd w:val="clear" w:color="000000" w:fill="FFFF00"/>
            <w:noWrap/>
            <w:vAlign w:val="center"/>
            <w:hideMark/>
          </w:tcPr>
          <w:p w14:paraId="756CAFD8" w14:textId="77777777" w:rsidR="000271A1" w:rsidRPr="000271A1" w:rsidRDefault="000271A1" w:rsidP="000271A1">
            <w:pPr>
              <w:spacing w:after="0" w:line="240" w:lineRule="auto"/>
              <w:jc w:val="right"/>
              <w:rPr>
                <w:rFonts w:ascii="Tahoma" w:eastAsia="Times New Roman" w:hAnsi="Tahoma" w:cs="Tahoma"/>
                <w:b/>
                <w:bCs/>
                <w:sz w:val="24"/>
                <w:szCs w:val="24"/>
                <w:lang w:eastAsia="hr-HR"/>
              </w:rPr>
            </w:pPr>
            <w:r w:rsidRPr="000271A1">
              <w:rPr>
                <w:rFonts w:ascii="Tahoma" w:eastAsia="Times New Roman" w:hAnsi="Tahoma" w:cs="Tahoma"/>
                <w:b/>
                <w:bCs/>
                <w:sz w:val="24"/>
                <w:szCs w:val="24"/>
                <w:lang w:eastAsia="hr-HR"/>
              </w:rPr>
              <w:t>25</w:t>
            </w:r>
          </w:p>
        </w:tc>
        <w:tc>
          <w:tcPr>
            <w:tcW w:w="379" w:type="dxa"/>
            <w:tcBorders>
              <w:top w:val="nil"/>
              <w:left w:val="nil"/>
              <w:bottom w:val="single" w:sz="4" w:space="0" w:color="auto"/>
              <w:right w:val="single" w:sz="4" w:space="0" w:color="auto"/>
            </w:tcBorders>
            <w:shd w:val="clear" w:color="000000" w:fill="FFFF00"/>
            <w:noWrap/>
            <w:vAlign w:val="center"/>
            <w:hideMark/>
          </w:tcPr>
          <w:p w14:paraId="65A2F6D7" w14:textId="77777777" w:rsidR="000271A1" w:rsidRPr="000271A1" w:rsidRDefault="000271A1" w:rsidP="000271A1">
            <w:pPr>
              <w:spacing w:after="0" w:line="240" w:lineRule="auto"/>
              <w:jc w:val="right"/>
              <w:rPr>
                <w:rFonts w:ascii="Tahoma" w:eastAsia="Times New Roman" w:hAnsi="Tahoma" w:cs="Tahoma"/>
                <w:b/>
                <w:bCs/>
                <w:sz w:val="24"/>
                <w:szCs w:val="24"/>
                <w:lang w:eastAsia="hr-HR"/>
              </w:rPr>
            </w:pPr>
            <w:r w:rsidRPr="000271A1">
              <w:rPr>
                <w:rFonts w:ascii="Tahoma" w:eastAsia="Times New Roman" w:hAnsi="Tahoma" w:cs="Tahoma"/>
                <w:b/>
                <w:bCs/>
                <w:sz w:val="24"/>
                <w:szCs w:val="24"/>
                <w:lang w:eastAsia="hr-HR"/>
              </w:rPr>
              <w:t>36</w:t>
            </w:r>
          </w:p>
        </w:tc>
        <w:tc>
          <w:tcPr>
            <w:tcW w:w="698" w:type="dxa"/>
            <w:tcBorders>
              <w:top w:val="nil"/>
              <w:left w:val="nil"/>
              <w:bottom w:val="single" w:sz="4" w:space="0" w:color="auto"/>
              <w:right w:val="single" w:sz="4" w:space="0" w:color="auto"/>
            </w:tcBorders>
            <w:shd w:val="clear" w:color="000000" w:fill="FFFF00"/>
            <w:noWrap/>
            <w:vAlign w:val="center"/>
            <w:hideMark/>
          </w:tcPr>
          <w:p w14:paraId="37E47C3C" w14:textId="77777777" w:rsidR="000271A1" w:rsidRPr="000271A1" w:rsidRDefault="000271A1" w:rsidP="000271A1">
            <w:pPr>
              <w:spacing w:after="0" w:line="240" w:lineRule="auto"/>
              <w:jc w:val="right"/>
              <w:rPr>
                <w:rFonts w:ascii="Tahoma" w:eastAsia="Times New Roman" w:hAnsi="Tahoma" w:cs="Tahoma"/>
                <w:b/>
                <w:bCs/>
                <w:sz w:val="24"/>
                <w:szCs w:val="24"/>
                <w:lang w:eastAsia="hr-HR"/>
              </w:rPr>
            </w:pPr>
            <w:r w:rsidRPr="000271A1">
              <w:rPr>
                <w:rFonts w:ascii="Tahoma" w:eastAsia="Times New Roman" w:hAnsi="Tahoma" w:cs="Tahoma"/>
                <w:b/>
                <w:bCs/>
                <w:sz w:val="24"/>
                <w:szCs w:val="24"/>
                <w:lang w:eastAsia="hr-HR"/>
              </w:rPr>
              <w:t>32</w:t>
            </w:r>
          </w:p>
        </w:tc>
        <w:tc>
          <w:tcPr>
            <w:tcW w:w="698" w:type="dxa"/>
            <w:tcBorders>
              <w:top w:val="nil"/>
              <w:left w:val="nil"/>
              <w:bottom w:val="single" w:sz="4" w:space="0" w:color="auto"/>
              <w:right w:val="single" w:sz="4" w:space="0" w:color="auto"/>
            </w:tcBorders>
            <w:shd w:val="clear" w:color="000000" w:fill="FFFF00"/>
            <w:noWrap/>
            <w:vAlign w:val="center"/>
            <w:hideMark/>
          </w:tcPr>
          <w:p w14:paraId="537ED360" w14:textId="77777777" w:rsidR="000271A1" w:rsidRPr="000271A1" w:rsidRDefault="000271A1" w:rsidP="000271A1">
            <w:pPr>
              <w:spacing w:after="0" w:line="240" w:lineRule="auto"/>
              <w:jc w:val="right"/>
              <w:rPr>
                <w:rFonts w:ascii="Tahoma" w:eastAsia="Times New Roman" w:hAnsi="Tahoma" w:cs="Tahoma"/>
                <w:b/>
                <w:bCs/>
                <w:sz w:val="24"/>
                <w:szCs w:val="24"/>
                <w:lang w:eastAsia="hr-HR"/>
              </w:rPr>
            </w:pPr>
            <w:r w:rsidRPr="000271A1">
              <w:rPr>
                <w:rFonts w:ascii="Tahoma" w:eastAsia="Times New Roman" w:hAnsi="Tahoma" w:cs="Tahoma"/>
                <w:b/>
                <w:bCs/>
                <w:sz w:val="24"/>
                <w:szCs w:val="24"/>
                <w:lang w:eastAsia="hr-HR"/>
              </w:rPr>
              <w:t>11</w:t>
            </w:r>
          </w:p>
        </w:tc>
        <w:tc>
          <w:tcPr>
            <w:tcW w:w="512" w:type="dxa"/>
            <w:tcBorders>
              <w:top w:val="nil"/>
              <w:left w:val="nil"/>
              <w:bottom w:val="single" w:sz="4" w:space="0" w:color="auto"/>
              <w:right w:val="single" w:sz="4" w:space="0" w:color="auto"/>
            </w:tcBorders>
            <w:shd w:val="clear" w:color="000000" w:fill="FFFF00"/>
            <w:noWrap/>
            <w:vAlign w:val="center"/>
            <w:hideMark/>
          </w:tcPr>
          <w:p w14:paraId="437FF1F3" w14:textId="77777777" w:rsidR="000271A1" w:rsidRPr="000271A1" w:rsidRDefault="000271A1" w:rsidP="000271A1">
            <w:pPr>
              <w:spacing w:after="0" w:line="240" w:lineRule="auto"/>
              <w:jc w:val="right"/>
              <w:rPr>
                <w:rFonts w:ascii="Tahoma" w:eastAsia="Times New Roman" w:hAnsi="Tahoma" w:cs="Tahoma"/>
                <w:b/>
                <w:bCs/>
                <w:sz w:val="24"/>
                <w:szCs w:val="24"/>
                <w:lang w:eastAsia="hr-HR"/>
              </w:rPr>
            </w:pPr>
            <w:r w:rsidRPr="000271A1">
              <w:rPr>
                <w:rFonts w:ascii="Tahoma" w:eastAsia="Times New Roman" w:hAnsi="Tahoma" w:cs="Tahoma"/>
                <w:b/>
                <w:bCs/>
                <w:sz w:val="24"/>
                <w:szCs w:val="24"/>
                <w:lang w:eastAsia="hr-HR"/>
              </w:rPr>
              <w:t>9</w:t>
            </w:r>
          </w:p>
        </w:tc>
        <w:tc>
          <w:tcPr>
            <w:tcW w:w="698" w:type="dxa"/>
            <w:tcBorders>
              <w:top w:val="nil"/>
              <w:left w:val="nil"/>
              <w:bottom w:val="single" w:sz="4" w:space="0" w:color="auto"/>
              <w:right w:val="single" w:sz="4" w:space="0" w:color="auto"/>
            </w:tcBorders>
            <w:shd w:val="clear" w:color="000000" w:fill="FFFF00"/>
            <w:noWrap/>
            <w:vAlign w:val="center"/>
            <w:hideMark/>
          </w:tcPr>
          <w:p w14:paraId="1E71DC95" w14:textId="77777777" w:rsidR="000271A1" w:rsidRPr="000271A1" w:rsidRDefault="000271A1" w:rsidP="000271A1">
            <w:pPr>
              <w:spacing w:after="0" w:line="240" w:lineRule="auto"/>
              <w:jc w:val="right"/>
              <w:rPr>
                <w:rFonts w:ascii="Tahoma" w:eastAsia="Times New Roman" w:hAnsi="Tahoma" w:cs="Tahoma"/>
                <w:b/>
                <w:bCs/>
                <w:sz w:val="24"/>
                <w:szCs w:val="24"/>
                <w:lang w:eastAsia="hr-HR"/>
              </w:rPr>
            </w:pPr>
            <w:r w:rsidRPr="000271A1">
              <w:rPr>
                <w:rFonts w:ascii="Tahoma" w:eastAsia="Times New Roman" w:hAnsi="Tahoma" w:cs="Tahoma"/>
                <w:b/>
                <w:bCs/>
                <w:sz w:val="24"/>
                <w:szCs w:val="24"/>
                <w:lang w:eastAsia="hr-HR"/>
              </w:rPr>
              <w:t> </w:t>
            </w:r>
          </w:p>
        </w:tc>
        <w:tc>
          <w:tcPr>
            <w:tcW w:w="444" w:type="dxa"/>
            <w:tcBorders>
              <w:top w:val="nil"/>
              <w:left w:val="nil"/>
              <w:bottom w:val="single" w:sz="4" w:space="0" w:color="auto"/>
              <w:right w:val="single" w:sz="4" w:space="0" w:color="auto"/>
            </w:tcBorders>
            <w:shd w:val="clear" w:color="000000" w:fill="FFFF00"/>
            <w:noWrap/>
            <w:vAlign w:val="center"/>
            <w:hideMark/>
          </w:tcPr>
          <w:p w14:paraId="112809C9" w14:textId="77777777" w:rsidR="000271A1" w:rsidRPr="000271A1" w:rsidRDefault="000271A1" w:rsidP="000271A1">
            <w:pPr>
              <w:spacing w:after="0" w:line="240" w:lineRule="auto"/>
              <w:jc w:val="right"/>
              <w:rPr>
                <w:rFonts w:ascii="Tahoma" w:eastAsia="Times New Roman" w:hAnsi="Tahoma" w:cs="Tahoma"/>
                <w:b/>
                <w:bCs/>
                <w:sz w:val="24"/>
                <w:szCs w:val="24"/>
                <w:lang w:eastAsia="hr-HR"/>
              </w:rPr>
            </w:pPr>
            <w:r w:rsidRPr="000271A1">
              <w:rPr>
                <w:rFonts w:ascii="Tahoma" w:eastAsia="Times New Roman" w:hAnsi="Tahoma" w:cs="Tahoma"/>
                <w:b/>
                <w:bCs/>
                <w:sz w:val="24"/>
                <w:szCs w:val="24"/>
                <w:lang w:eastAsia="hr-HR"/>
              </w:rPr>
              <w:t> </w:t>
            </w:r>
          </w:p>
        </w:tc>
        <w:tc>
          <w:tcPr>
            <w:tcW w:w="698" w:type="dxa"/>
            <w:tcBorders>
              <w:top w:val="nil"/>
              <w:left w:val="nil"/>
              <w:bottom w:val="single" w:sz="4" w:space="0" w:color="auto"/>
              <w:right w:val="single" w:sz="4" w:space="0" w:color="auto"/>
            </w:tcBorders>
            <w:shd w:val="clear" w:color="000000" w:fill="FFFF00"/>
            <w:noWrap/>
            <w:vAlign w:val="center"/>
            <w:hideMark/>
          </w:tcPr>
          <w:p w14:paraId="480C2CB3" w14:textId="77777777" w:rsidR="000271A1" w:rsidRPr="000271A1" w:rsidRDefault="000271A1" w:rsidP="000271A1">
            <w:pPr>
              <w:spacing w:after="0" w:line="240" w:lineRule="auto"/>
              <w:jc w:val="right"/>
              <w:rPr>
                <w:rFonts w:ascii="Tahoma" w:eastAsia="Times New Roman" w:hAnsi="Tahoma" w:cs="Tahoma"/>
                <w:b/>
                <w:bCs/>
                <w:sz w:val="24"/>
                <w:szCs w:val="24"/>
                <w:lang w:eastAsia="hr-HR"/>
              </w:rPr>
            </w:pPr>
            <w:r w:rsidRPr="000271A1">
              <w:rPr>
                <w:rFonts w:ascii="Tahoma" w:eastAsia="Times New Roman" w:hAnsi="Tahoma" w:cs="Tahoma"/>
                <w:b/>
                <w:bCs/>
                <w:sz w:val="24"/>
                <w:szCs w:val="24"/>
                <w:lang w:eastAsia="hr-HR"/>
              </w:rPr>
              <w:t>3</w:t>
            </w:r>
          </w:p>
        </w:tc>
        <w:tc>
          <w:tcPr>
            <w:tcW w:w="444" w:type="dxa"/>
            <w:gridSpan w:val="2"/>
            <w:tcBorders>
              <w:top w:val="nil"/>
              <w:left w:val="nil"/>
              <w:bottom w:val="single" w:sz="4" w:space="0" w:color="auto"/>
              <w:right w:val="single" w:sz="4" w:space="0" w:color="auto"/>
            </w:tcBorders>
            <w:shd w:val="clear" w:color="000000" w:fill="FFFF00"/>
            <w:noWrap/>
            <w:vAlign w:val="center"/>
            <w:hideMark/>
          </w:tcPr>
          <w:p w14:paraId="161BB036" w14:textId="77777777" w:rsidR="000271A1" w:rsidRPr="000271A1" w:rsidRDefault="000271A1" w:rsidP="000271A1">
            <w:pPr>
              <w:spacing w:after="0" w:line="240" w:lineRule="auto"/>
              <w:jc w:val="right"/>
              <w:rPr>
                <w:rFonts w:ascii="Tahoma" w:eastAsia="Times New Roman" w:hAnsi="Tahoma" w:cs="Tahoma"/>
                <w:b/>
                <w:bCs/>
                <w:sz w:val="24"/>
                <w:szCs w:val="24"/>
                <w:lang w:eastAsia="hr-HR"/>
              </w:rPr>
            </w:pPr>
            <w:r w:rsidRPr="000271A1">
              <w:rPr>
                <w:rFonts w:ascii="Tahoma" w:eastAsia="Times New Roman" w:hAnsi="Tahoma" w:cs="Tahoma"/>
                <w:b/>
                <w:bCs/>
                <w:sz w:val="24"/>
                <w:szCs w:val="24"/>
                <w:lang w:eastAsia="hr-HR"/>
              </w:rPr>
              <w:t>1</w:t>
            </w:r>
          </w:p>
        </w:tc>
        <w:tc>
          <w:tcPr>
            <w:tcW w:w="521" w:type="dxa"/>
            <w:tcBorders>
              <w:top w:val="nil"/>
              <w:left w:val="nil"/>
              <w:bottom w:val="single" w:sz="4" w:space="0" w:color="auto"/>
              <w:right w:val="single" w:sz="4" w:space="0" w:color="auto"/>
            </w:tcBorders>
            <w:shd w:val="clear" w:color="000000" w:fill="FFFF00"/>
            <w:noWrap/>
            <w:vAlign w:val="center"/>
            <w:hideMark/>
          </w:tcPr>
          <w:p w14:paraId="3F43D1A6" w14:textId="77777777" w:rsidR="000271A1" w:rsidRPr="000271A1" w:rsidRDefault="000271A1" w:rsidP="000271A1">
            <w:pPr>
              <w:spacing w:after="0" w:line="240" w:lineRule="auto"/>
              <w:jc w:val="right"/>
              <w:rPr>
                <w:rFonts w:ascii="Tahoma" w:eastAsia="Times New Roman" w:hAnsi="Tahoma" w:cs="Tahoma"/>
                <w:b/>
                <w:bCs/>
                <w:sz w:val="24"/>
                <w:szCs w:val="24"/>
                <w:lang w:eastAsia="hr-HR"/>
              </w:rPr>
            </w:pPr>
            <w:r w:rsidRPr="000271A1">
              <w:rPr>
                <w:rFonts w:ascii="Tahoma" w:eastAsia="Times New Roman" w:hAnsi="Tahoma" w:cs="Tahoma"/>
                <w:b/>
                <w:bCs/>
                <w:sz w:val="24"/>
                <w:szCs w:val="24"/>
                <w:lang w:eastAsia="hr-HR"/>
              </w:rPr>
              <w:t>23</w:t>
            </w:r>
          </w:p>
        </w:tc>
        <w:tc>
          <w:tcPr>
            <w:tcW w:w="521" w:type="dxa"/>
            <w:tcBorders>
              <w:top w:val="nil"/>
              <w:left w:val="nil"/>
              <w:bottom w:val="single" w:sz="4" w:space="0" w:color="auto"/>
              <w:right w:val="single" w:sz="4" w:space="0" w:color="auto"/>
            </w:tcBorders>
            <w:shd w:val="clear" w:color="000000" w:fill="FFFF00"/>
            <w:noWrap/>
            <w:vAlign w:val="center"/>
            <w:hideMark/>
          </w:tcPr>
          <w:p w14:paraId="27CE9277" w14:textId="77777777" w:rsidR="000271A1" w:rsidRPr="000271A1" w:rsidRDefault="000271A1" w:rsidP="000271A1">
            <w:pPr>
              <w:spacing w:after="0" w:line="240" w:lineRule="auto"/>
              <w:jc w:val="right"/>
              <w:rPr>
                <w:rFonts w:ascii="Tahoma" w:eastAsia="Times New Roman" w:hAnsi="Tahoma" w:cs="Tahoma"/>
                <w:b/>
                <w:bCs/>
                <w:sz w:val="24"/>
                <w:szCs w:val="24"/>
                <w:lang w:eastAsia="hr-HR"/>
              </w:rPr>
            </w:pPr>
            <w:r w:rsidRPr="000271A1">
              <w:rPr>
                <w:rFonts w:ascii="Tahoma" w:eastAsia="Times New Roman" w:hAnsi="Tahoma" w:cs="Tahoma"/>
                <w:b/>
                <w:bCs/>
                <w:sz w:val="24"/>
                <w:szCs w:val="24"/>
                <w:lang w:eastAsia="hr-HR"/>
              </w:rPr>
              <w:t>21</w:t>
            </w:r>
          </w:p>
        </w:tc>
        <w:tc>
          <w:tcPr>
            <w:tcW w:w="521" w:type="dxa"/>
            <w:gridSpan w:val="2"/>
            <w:tcBorders>
              <w:top w:val="nil"/>
              <w:left w:val="nil"/>
              <w:bottom w:val="single" w:sz="4" w:space="0" w:color="auto"/>
              <w:right w:val="single" w:sz="4" w:space="0" w:color="auto"/>
            </w:tcBorders>
            <w:shd w:val="clear" w:color="000000" w:fill="FFFF00"/>
            <w:noWrap/>
            <w:vAlign w:val="center"/>
            <w:hideMark/>
          </w:tcPr>
          <w:p w14:paraId="3AD5ABCF" w14:textId="77777777" w:rsidR="000271A1" w:rsidRPr="000271A1" w:rsidRDefault="000271A1" w:rsidP="000271A1">
            <w:pPr>
              <w:spacing w:after="0" w:line="240" w:lineRule="auto"/>
              <w:jc w:val="right"/>
              <w:rPr>
                <w:rFonts w:ascii="Tahoma" w:eastAsia="Times New Roman" w:hAnsi="Tahoma" w:cs="Tahoma"/>
                <w:b/>
                <w:bCs/>
                <w:sz w:val="24"/>
                <w:szCs w:val="24"/>
                <w:lang w:eastAsia="hr-HR"/>
              </w:rPr>
            </w:pPr>
            <w:r w:rsidRPr="000271A1">
              <w:rPr>
                <w:rFonts w:ascii="Tahoma" w:eastAsia="Times New Roman" w:hAnsi="Tahoma" w:cs="Tahoma"/>
                <w:b/>
                <w:bCs/>
                <w:sz w:val="24"/>
                <w:szCs w:val="24"/>
                <w:lang w:eastAsia="hr-HR"/>
              </w:rPr>
              <w:t>44</w:t>
            </w:r>
          </w:p>
        </w:tc>
        <w:tc>
          <w:tcPr>
            <w:tcW w:w="702" w:type="dxa"/>
            <w:tcBorders>
              <w:top w:val="nil"/>
              <w:left w:val="nil"/>
              <w:bottom w:val="single" w:sz="4" w:space="0" w:color="auto"/>
              <w:right w:val="single" w:sz="4" w:space="0" w:color="auto"/>
            </w:tcBorders>
            <w:shd w:val="clear" w:color="000000" w:fill="FFFF00"/>
            <w:noWrap/>
            <w:vAlign w:val="center"/>
            <w:hideMark/>
          </w:tcPr>
          <w:p w14:paraId="322CF01A" w14:textId="77777777" w:rsidR="000271A1" w:rsidRPr="000271A1" w:rsidRDefault="000271A1" w:rsidP="000271A1">
            <w:pPr>
              <w:spacing w:after="0" w:line="240" w:lineRule="auto"/>
              <w:jc w:val="right"/>
              <w:rPr>
                <w:rFonts w:ascii="Tahoma" w:eastAsia="Times New Roman" w:hAnsi="Tahoma" w:cs="Tahoma"/>
                <w:b/>
                <w:bCs/>
                <w:sz w:val="24"/>
                <w:szCs w:val="24"/>
                <w:lang w:eastAsia="hr-HR"/>
              </w:rPr>
            </w:pPr>
            <w:r w:rsidRPr="000271A1">
              <w:rPr>
                <w:rFonts w:ascii="Tahoma" w:eastAsia="Times New Roman" w:hAnsi="Tahoma" w:cs="Tahoma"/>
                <w:b/>
                <w:bCs/>
                <w:sz w:val="24"/>
                <w:szCs w:val="24"/>
                <w:lang w:eastAsia="hr-HR"/>
              </w:rPr>
              <w:t>155</w:t>
            </w:r>
          </w:p>
        </w:tc>
        <w:tc>
          <w:tcPr>
            <w:tcW w:w="907" w:type="dxa"/>
            <w:tcBorders>
              <w:top w:val="nil"/>
              <w:left w:val="nil"/>
              <w:bottom w:val="single" w:sz="4" w:space="0" w:color="auto"/>
              <w:right w:val="single" w:sz="4" w:space="0" w:color="auto"/>
            </w:tcBorders>
            <w:shd w:val="clear" w:color="000000" w:fill="FFFF00"/>
            <w:noWrap/>
            <w:vAlign w:val="center"/>
            <w:hideMark/>
          </w:tcPr>
          <w:p w14:paraId="0103EF5D" w14:textId="77777777" w:rsidR="000271A1" w:rsidRPr="000271A1" w:rsidRDefault="000271A1" w:rsidP="000271A1">
            <w:pPr>
              <w:spacing w:after="0" w:line="240" w:lineRule="auto"/>
              <w:jc w:val="right"/>
              <w:rPr>
                <w:rFonts w:ascii="Tahoma" w:eastAsia="Times New Roman" w:hAnsi="Tahoma" w:cs="Tahoma"/>
                <w:b/>
                <w:bCs/>
                <w:sz w:val="24"/>
                <w:szCs w:val="24"/>
                <w:lang w:eastAsia="hr-HR"/>
              </w:rPr>
            </w:pPr>
            <w:r w:rsidRPr="000271A1">
              <w:rPr>
                <w:rFonts w:ascii="Tahoma" w:eastAsia="Times New Roman" w:hAnsi="Tahoma" w:cs="Tahoma"/>
                <w:b/>
                <w:bCs/>
                <w:sz w:val="24"/>
                <w:szCs w:val="24"/>
                <w:lang w:eastAsia="hr-HR"/>
              </w:rPr>
              <w:t>11</w:t>
            </w:r>
          </w:p>
        </w:tc>
        <w:tc>
          <w:tcPr>
            <w:tcW w:w="553" w:type="dxa"/>
            <w:tcBorders>
              <w:top w:val="nil"/>
              <w:left w:val="nil"/>
              <w:bottom w:val="single" w:sz="4" w:space="0" w:color="auto"/>
              <w:right w:val="single" w:sz="4" w:space="0" w:color="auto"/>
            </w:tcBorders>
            <w:shd w:val="clear" w:color="000000" w:fill="FFFF00"/>
            <w:noWrap/>
            <w:vAlign w:val="center"/>
            <w:hideMark/>
          </w:tcPr>
          <w:p w14:paraId="0F027511" w14:textId="77777777" w:rsidR="000271A1" w:rsidRPr="000271A1" w:rsidRDefault="000271A1" w:rsidP="000271A1">
            <w:pPr>
              <w:spacing w:after="0" w:line="240" w:lineRule="auto"/>
              <w:jc w:val="right"/>
              <w:rPr>
                <w:rFonts w:ascii="Tahoma" w:eastAsia="Times New Roman" w:hAnsi="Tahoma" w:cs="Tahoma"/>
                <w:b/>
                <w:bCs/>
                <w:sz w:val="24"/>
                <w:szCs w:val="24"/>
                <w:lang w:eastAsia="hr-HR"/>
              </w:rPr>
            </w:pPr>
            <w:r w:rsidRPr="000271A1">
              <w:rPr>
                <w:rFonts w:ascii="Tahoma" w:eastAsia="Times New Roman" w:hAnsi="Tahoma" w:cs="Tahoma"/>
                <w:b/>
                <w:bCs/>
                <w:sz w:val="24"/>
                <w:szCs w:val="24"/>
                <w:lang w:eastAsia="hr-HR"/>
              </w:rPr>
              <w:t>4</w:t>
            </w:r>
          </w:p>
        </w:tc>
        <w:tc>
          <w:tcPr>
            <w:tcW w:w="918" w:type="dxa"/>
            <w:tcBorders>
              <w:top w:val="nil"/>
              <w:left w:val="nil"/>
              <w:bottom w:val="single" w:sz="4" w:space="0" w:color="auto"/>
              <w:right w:val="single" w:sz="4" w:space="0" w:color="auto"/>
            </w:tcBorders>
            <w:shd w:val="clear" w:color="000000" w:fill="FFFF00"/>
            <w:noWrap/>
            <w:vAlign w:val="center"/>
            <w:hideMark/>
          </w:tcPr>
          <w:p w14:paraId="6C51BC14" w14:textId="77777777" w:rsidR="000271A1" w:rsidRPr="000271A1" w:rsidRDefault="000271A1" w:rsidP="000271A1">
            <w:pPr>
              <w:spacing w:after="0" w:line="240" w:lineRule="auto"/>
              <w:jc w:val="right"/>
              <w:rPr>
                <w:rFonts w:ascii="Tahoma" w:eastAsia="Times New Roman" w:hAnsi="Tahoma" w:cs="Tahoma"/>
                <w:b/>
                <w:bCs/>
                <w:sz w:val="24"/>
                <w:szCs w:val="24"/>
                <w:lang w:eastAsia="hr-HR"/>
              </w:rPr>
            </w:pPr>
            <w:r w:rsidRPr="000271A1">
              <w:rPr>
                <w:rFonts w:ascii="Tahoma" w:eastAsia="Times New Roman" w:hAnsi="Tahoma" w:cs="Tahoma"/>
                <w:b/>
                <w:bCs/>
                <w:sz w:val="24"/>
                <w:szCs w:val="24"/>
                <w:lang w:eastAsia="hr-HR"/>
              </w:rPr>
              <w:t>10</w:t>
            </w:r>
          </w:p>
        </w:tc>
        <w:tc>
          <w:tcPr>
            <w:tcW w:w="428" w:type="dxa"/>
            <w:tcBorders>
              <w:top w:val="nil"/>
              <w:left w:val="nil"/>
              <w:bottom w:val="single" w:sz="4" w:space="0" w:color="auto"/>
              <w:right w:val="single" w:sz="4" w:space="0" w:color="auto"/>
            </w:tcBorders>
            <w:shd w:val="clear" w:color="000000" w:fill="FFFF00"/>
            <w:noWrap/>
            <w:vAlign w:val="center"/>
            <w:hideMark/>
          </w:tcPr>
          <w:p w14:paraId="16A94BBC" w14:textId="77777777" w:rsidR="000271A1" w:rsidRPr="000271A1" w:rsidRDefault="000271A1" w:rsidP="000271A1">
            <w:pPr>
              <w:spacing w:after="0" w:line="240" w:lineRule="auto"/>
              <w:jc w:val="right"/>
              <w:rPr>
                <w:rFonts w:ascii="Tahoma" w:eastAsia="Times New Roman" w:hAnsi="Tahoma" w:cs="Tahoma"/>
                <w:b/>
                <w:bCs/>
                <w:sz w:val="24"/>
                <w:szCs w:val="24"/>
                <w:lang w:eastAsia="hr-HR"/>
              </w:rPr>
            </w:pPr>
            <w:r w:rsidRPr="000271A1">
              <w:rPr>
                <w:rFonts w:ascii="Tahoma" w:eastAsia="Times New Roman" w:hAnsi="Tahoma" w:cs="Tahoma"/>
                <w:b/>
                <w:bCs/>
                <w:sz w:val="24"/>
                <w:szCs w:val="24"/>
                <w:lang w:eastAsia="hr-HR"/>
              </w:rPr>
              <w:t>6</w:t>
            </w:r>
          </w:p>
        </w:tc>
        <w:tc>
          <w:tcPr>
            <w:tcW w:w="428" w:type="dxa"/>
            <w:tcBorders>
              <w:top w:val="nil"/>
              <w:left w:val="nil"/>
              <w:bottom w:val="single" w:sz="4" w:space="0" w:color="auto"/>
              <w:right w:val="single" w:sz="4" w:space="0" w:color="auto"/>
            </w:tcBorders>
            <w:shd w:val="clear" w:color="000000" w:fill="FFFF00"/>
            <w:noWrap/>
            <w:vAlign w:val="center"/>
            <w:hideMark/>
          </w:tcPr>
          <w:p w14:paraId="77CB1BEC" w14:textId="77777777" w:rsidR="000271A1" w:rsidRPr="000271A1" w:rsidRDefault="000271A1" w:rsidP="000271A1">
            <w:pPr>
              <w:spacing w:after="0" w:line="240" w:lineRule="auto"/>
              <w:jc w:val="right"/>
              <w:rPr>
                <w:rFonts w:ascii="Tahoma" w:eastAsia="Times New Roman" w:hAnsi="Tahoma" w:cs="Tahoma"/>
                <w:b/>
                <w:bCs/>
                <w:sz w:val="24"/>
                <w:szCs w:val="24"/>
                <w:lang w:eastAsia="hr-HR"/>
              </w:rPr>
            </w:pPr>
            <w:r w:rsidRPr="000271A1">
              <w:rPr>
                <w:rFonts w:ascii="Tahoma" w:eastAsia="Times New Roman" w:hAnsi="Tahoma" w:cs="Tahoma"/>
                <w:b/>
                <w:bCs/>
                <w:sz w:val="24"/>
                <w:szCs w:val="24"/>
                <w:lang w:eastAsia="hr-HR"/>
              </w:rPr>
              <w:t>5</w:t>
            </w:r>
          </w:p>
        </w:tc>
        <w:tc>
          <w:tcPr>
            <w:tcW w:w="425" w:type="dxa"/>
            <w:tcBorders>
              <w:top w:val="nil"/>
              <w:left w:val="nil"/>
              <w:bottom w:val="single" w:sz="4" w:space="0" w:color="auto"/>
              <w:right w:val="single" w:sz="4" w:space="0" w:color="auto"/>
            </w:tcBorders>
            <w:shd w:val="clear" w:color="000000" w:fill="FFFF00"/>
            <w:noWrap/>
            <w:vAlign w:val="center"/>
            <w:hideMark/>
          </w:tcPr>
          <w:p w14:paraId="45FB2884" w14:textId="77777777" w:rsidR="000271A1" w:rsidRPr="000271A1" w:rsidRDefault="000271A1" w:rsidP="000271A1">
            <w:pPr>
              <w:spacing w:after="0" w:line="240" w:lineRule="auto"/>
              <w:jc w:val="right"/>
              <w:rPr>
                <w:rFonts w:ascii="Tahoma" w:eastAsia="Times New Roman" w:hAnsi="Tahoma" w:cs="Tahoma"/>
                <w:b/>
                <w:bCs/>
                <w:sz w:val="24"/>
                <w:szCs w:val="24"/>
                <w:lang w:eastAsia="hr-HR"/>
              </w:rPr>
            </w:pPr>
            <w:r w:rsidRPr="000271A1">
              <w:rPr>
                <w:rFonts w:ascii="Tahoma" w:eastAsia="Times New Roman" w:hAnsi="Tahoma" w:cs="Tahoma"/>
                <w:b/>
                <w:bCs/>
                <w:sz w:val="24"/>
                <w:szCs w:val="24"/>
                <w:lang w:eastAsia="hr-HR"/>
              </w:rPr>
              <w:t> </w:t>
            </w:r>
          </w:p>
        </w:tc>
        <w:tc>
          <w:tcPr>
            <w:tcW w:w="425" w:type="dxa"/>
            <w:tcBorders>
              <w:top w:val="nil"/>
              <w:left w:val="nil"/>
              <w:bottom w:val="single" w:sz="4" w:space="0" w:color="auto"/>
              <w:right w:val="single" w:sz="4" w:space="0" w:color="auto"/>
            </w:tcBorders>
            <w:shd w:val="clear" w:color="000000" w:fill="FFFF00"/>
            <w:noWrap/>
            <w:vAlign w:val="center"/>
            <w:hideMark/>
          </w:tcPr>
          <w:p w14:paraId="4F4E2C7D" w14:textId="77777777" w:rsidR="000271A1" w:rsidRPr="000271A1" w:rsidRDefault="000271A1" w:rsidP="000271A1">
            <w:pPr>
              <w:spacing w:after="0" w:line="240" w:lineRule="auto"/>
              <w:jc w:val="right"/>
              <w:rPr>
                <w:rFonts w:ascii="Tahoma" w:eastAsia="Times New Roman" w:hAnsi="Tahoma" w:cs="Tahoma"/>
                <w:b/>
                <w:bCs/>
                <w:sz w:val="24"/>
                <w:szCs w:val="24"/>
                <w:lang w:eastAsia="hr-HR"/>
              </w:rPr>
            </w:pPr>
            <w:r w:rsidRPr="000271A1">
              <w:rPr>
                <w:rFonts w:ascii="Tahoma" w:eastAsia="Times New Roman" w:hAnsi="Tahoma" w:cs="Tahoma"/>
                <w:b/>
                <w:bCs/>
                <w:sz w:val="24"/>
                <w:szCs w:val="24"/>
                <w:lang w:eastAsia="hr-HR"/>
              </w:rPr>
              <w:t>10</w:t>
            </w:r>
          </w:p>
        </w:tc>
        <w:tc>
          <w:tcPr>
            <w:tcW w:w="440" w:type="dxa"/>
            <w:gridSpan w:val="2"/>
            <w:tcBorders>
              <w:top w:val="nil"/>
              <w:left w:val="nil"/>
              <w:bottom w:val="single" w:sz="4" w:space="0" w:color="auto"/>
              <w:right w:val="single" w:sz="4" w:space="0" w:color="auto"/>
            </w:tcBorders>
            <w:shd w:val="clear" w:color="000000" w:fill="FFFF00"/>
            <w:noWrap/>
            <w:vAlign w:val="center"/>
            <w:hideMark/>
          </w:tcPr>
          <w:p w14:paraId="050D9DC4" w14:textId="77777777" w:rsidR="000271A1" w:rsidRPr="000271A1" w:rsidRDefault="000271A1" w:rsidP="000271A1">
            <w:pPr>
              <w:spacing w:after="0" w:line="240" w:lineRule="auto"/>
              <w:jc w:val="right"/>
              <w:rPr>
                <w:rFonts w:ascii="Tahoma" w:eastAsia="Times New Roman" w:hAnsi="Tahoma" w:cs="Tahoma"/>
                <w:b/>
                <w:bCs/>
                <w:sz w:val="24"/>
                <w:szCs w:val="24"/>
                <w:lang w:eastAsia="hr-HR"/>
              </w:rPr>
            </w:pPr>
            <w:r w:rsidRPr="000271A1">
              <w:rPr>
                <w:rFonts w:ascii="Tahoma" w:eastAsia="Times New Roman" w:hAnsi="Tahoma" w:cs="Tahoma"/>
                <w:b/>
                <w:bCs/>
                <w:sz w:val="24"/>
                <w:szCs w:val="24"/>
                <w:lang w:eastAsia="hr-HR"/>
              </w:rPr>
              <w:t>34</w:t>
            </w:r>
          </w:p>
        </w:tc>
        <w:tc>
          <w:tcPr>
            <w:tcW w:w="236" w:type="dxa"/>
            <w:vAlign w:val="center"/>
            <w:hideMark/>
          </w:tcPr>
          <w:p w14:paraId="766A2052" w14:textId="77777777" w:rsidR="000271A1" w:rsidRPr="000271A1" w:rsidRDefault="000271A1" w:rsidP="000271A1">
            <w:pPr>
              <w:spacing w:after="0" w:line="240" w:lineRule="auto"/>
              <w:rPr>
                <w:rFonts w:ascii="Times New Roman" w:eastAsia="Times New Roman" w:hAnsi="Times New Roman" w:cs="Times New Roman"/>
                <w:sz w:val="20"/>
                <w:szCs w:val="20"/>
                <w:lang w:eastAsia="hr-HR"/>
              </w:rPr>
            </w:pPr>
          </w:p>
        </w:tc>
      </w:tr>
    </w:tbl>
    <w:p w14:paraId="4B019B19" w14:textId="4E4782D0" w:rsidR="000271A1" w:rsidRPr="00A72067" w:rsidRDefault="00A72067" w:rsidP="005E671C">
      <w:pPr>
        <w:rPr>
          <w:rFonts w:ascii="Times New Roman" w:eastAsiaTheme="majorEastAsia" w:hAnsi="Times New Roman" w:cs="Times New Roman"/>
          <w:sz w:val="24"/>
          <w:szCs w:val="24"/>
        </w:rPr>
      </w:pPr>
      <w:r>
        <w:rPr>
          <w:rFonts w:ascii="Times New Roman" w:eastAsiaTheme="majorEastAsia" w:hAnsi="Times New Roman" w:cs="Times New Roman"/>
          <w:b/>
          <w:bCs/>
          <w:sz w:val="24"/>
          <w:szCs w:val="24"/>
          <w:u w:val="single"/>
        </w:rPr>
        <w:br/>
      </w:r>
      <w:r>
        <w:rPr>
          <w:rFonts w:ascii="Times New Roman" w:eastAsiaTheme="majorEastAsia" w:hAnsi="Times New Roman" w:cs="Times New Roman"/>
          <w:b/>
          <w:bCs/>
          <w:sz w:val="24"/>
          <w:szCs w:val="24"/>
          <w:u w:val="single"/>
        </w:rPr>
        <w:br/>
      </w:r>
      <w:r w:rsidRPr="00A72067">
        <w:rPr>
          <w:rFonts w:ascii="Times New Roman" w:eastAsiaTheme="majorEastAsia" w:hAnsi="Times New Roman" w:cs="Times New Roman"/>
          <w:sz w:val="24"/>
          <w:szCs w:val="24"/>
        </w:rPr>
        <w:t>NAPOMENE:</w:t>
      </w:r>
    </w:p>
    <w:p w14:paraId="3D1523AA" w14:textId="26653701" w:rsidR="000271A1" w:rsidRPr="00A72067" w:rsidRDefault="00A72067" w:rsidP="00FB05F1">
      <w:pPr>
        <w:pStyle w:val="Odlomakpopisa"/>
        <w:numPr>
          <w:ilvl w:val="0"/>
          <w:numId w:val="12"/>
        </w:numPr>
        <w:ind w:left="426"/>
        <w:rPr>
          <w:rFonts w:ascii="Times New Roman" w:eastAsiaTheme="majorEastAsia" w:hAnsi="Times New Roman" w:cs="Times New Roman"/>
          <w:sz w:val="24"/>
          <w:szCs w:val="24"/>
        </w:rPr>
      </w:pPr>
      <w:r w:rsidRPr="00A72067">
        <w:rPr>
          <w:rFonts w:ascii="Times New Roman" w:eastAsiaTheme="majorEastAsia" w:hAnsi="Times New Roman" w:cs="Times New Roman"/>
          <w:sz w:val="24"/>
          <w:szCs w:val="24"/>
        </w:rPr>
        <w:t>. OS Šibenik i OS Bjelovar prikazali su samo ukupno predmete, a ne po osnovama diskriminacije jer u samoj tužbi nije navedena osnova (iz istog razloga je tužba bila vraćena tužitelju na dopunu); također nisu prikazani niti ostali parametri koji se inače popunjavaju za primljene predmete u izvještajnom razdoblju</w:t>
      </w:r>
    </w:p>
    <w:p w14:paraId="13FBF270" w14:textId="2025683F" w:rsidR="00A72067" w:rsidRPr="00A72067" w:rsidRDefault="00A72067" w:rsidP="00FB05F1">
      <w:pPr>
        <w:pStyle w:val="Odlomakpopisa"/>
        <w:numPr>
          <w:ilvl w:val="0"/>
          <w:numId w:val="12"/>
        </w:numPr>
        <w:ind w:left="426"/>
        <w:rPr>
          <w:rFonts w:ascii="Times New Roman" w:eastAsiaTheme="majorEastAsia" w:hAnsi="Times New Roman" w:cs="Times New Roman"/>
          <w:sz w:val="24"/>
          <w:szCs w:val="24"/>
        </w:rPr>
      </w:pPr>
      <w:r w:rsidRPr="00A72067">
        <w:rPr>
          <w:rFonts w:ascii="Times New Roman" w:eastAsiaTheme="majorEastAsia" w:hAnsi="Times New Roman" w:cs="Times New Roman"/>
          <w:sz w:val="24"/>
          <w:szCs w:val="24"/>
        </w:rPr>
        <w:t>Za pojedine predmete koji su se u ranijim razdobljima iskazivali kao diskriminacija naknadno je utvrđeno da se ne radi o diskriminaciji ili je naknadno u predmetu prom</w:t>
      </w:r>
      <w:r>
        <w:rPr>
          <w:rFonts w:ascii="Times New Roman" w:eastAsiaTheme="majorEastAsia" w:hAnsi="Times New Roman" w:cs="Times New Roman"/>
          <w:sz w:val="24"/>
          <w:szCs w:val="24"/>
        </w:rPr>
        <w:t>i</w:t>
      </w:r>
      <w:r w:rsidRPr="00A72067">
        <w:rPr>
          <w:rFonts w:ascii="Times New Roman" w:eastAsiaTheme="majorEastAsia" w:hAnsi="Times New Roman" w:cs="Times New Roman"/>
          <w:sz w:val="24"/>
          <w:szCs w:val="24"/>
        </w:rPr>
        <w:t>jenjena osnova diskriminacije te se zato stanje na početku 2016. godine ne poklapa sa stanjem na kraju 2015. godine</w:t>
      </w:r>
    </w:p>
    <w:p w14:paraId="4867139C" w14:textId="3568312C" w:rsidR="000271A1" w:rsidRDefault="000271A1" w:rsidP="005E671C">
      <w:pPr>
        <w:rPr>
          <w:rFonts w:ascii="Times New Roman" w:eastAsiaTheme="majorEastAsia" w:hAnsi="Times New Roman" w:cs="Times New Roman"/>
          <w:b/>
          <w:bCs/>
          <w:sz w:val="24"/>
          <w:szCs w:val="24"/>
          <w:u w:val="single"/>
        </w:rPr>
      </w:pPr>
    </w:p>
    <w:p w14:paraId="7933353B" w14:textId="77777777" w:rsidR="000271A1" w:rsidRDefault="000271A1" w:rsidP="005E671C">
      <w:pPr>
        <w:rPr>
          <w:rFonts w:ascii="Times New Roman" w:eastAsiaTheme="majorEastAsia" w:hAnsi="Times New Roman" w:cs="Times New Roman"/>
          <w:b/>
          <w:bCs/>
          <w:sz w:val="24"/>
          <w:szCs w:val="24"/>
          <w:u w:val="single"/>
        </w:rPr>
      </w:pPr>
    </w:p>
    <w:p w14:paraId="309329D9" w14:textId="658E5D2A" w:rsidR="00A72067" w:rsidRDefault="00A72067">
      <w:pPr>
        <w:rPr>
          <w:rFonts w:ascii="Times New Roman" w:eastAsiaTheme="majorEastAsia" w:hAnsi="Times New Roman" w:cs="Times New Roman"/>
          <w:b/>
          <w:bCs/>
          <w:sz w:val="24"/>
          <w:szCs w:val="24"/>
          <w:u w:val="single"/>
        </w:rPr>
      </w:pPr>
      <w:r>
        <w:rPr>
          <w:rFonts w:ascii="Times New Roman" w:eastAsiaTheme="majorEastAsia" w:hAnsi="Times New Roman" w:cs="Times New Roman"/>
          <w:b/>
          <w:bCs/>
          <w:sz w:val="24"/>
          <w:szCs w:val="24"/>
          <w:u w:val="single"/>
        </w:rPr>
        <w:br w:type="page"/>
      </w:r>
    </w:p>
    <w:p w14:paraId="6BAF4F04" w14:textId="45663B36" w:rsidR="00E103B8" w:rsidRDefault="00E103B8" w:rsidP="00E103B8">
      <w:pPr>
        <w:rPr>
          <w:rFonts w:ascii="Times New Roman" w:eastAsiaTheme="majorEastAsia" w:hAnsi="Times New Roman" w:cs="Times New Roman"/>
          <w:b/>
          <w:bCs/>
          <w:sz w:val="24"/>
          <w:szCs w:val="24"/>
          <w:u w:val="single"/>
        </w:rPr>
      </w:pPr>
      <w:r w:rsidRPr="005E671C">
        <w:rPr>
          <w:rFonts w:ascii="Times New Roman" w:eastAsiaTheme="majorEastAsia" w:hAnsi="Times New Roman" w:cs="Times New Roman"/>
          <w:b/>
          <w:bCs/>
          <w:sz w:val="24"/>
          <w:szCs w:val="24"/>
          <w:u w:val="single"/>
        </w:rPr>
        <w:lastRenderedPageBreak/>
        <w:t xml:space="preserve">Prilog </w:t>
      </w:r>
      <w:r>
        <w:rPr>
          <w:rFonts w:ascii="Times New Roman" w:eastAsiaTheme="majorEastAsia" w:hAnsi="Times New Roman" w:cs="Times New Roman"/>
          <w:b/>
          <w:bCs/>
          <w:sz w:val="24"/>
          <w:szCs w:val="24"/>
          <w:u w:val="single"/>
        </w:rPr>
        <w:t>6</w:t>
      </w:r>
    </w:p>
    <w:p w14:paraId="3F7744B7" w14:textId="7F74D53F" w:rsidR="00E103B8" w:rsidRPr="005E671C" w:rsidRDefault="00E103B8" w:rsidP="00E103B8">
      <w:pPr>
        <w:rPr>
          <w:rFonts w:ascii="Times New Roman" w:hAnsi="Times New Roman" w:cs="Times New Roman"/>
          <w:sz w:val="24"/>
          <w:szCs w:val="24"/>
        </w:rPr>
      </w:pPr>
      <w:r w:rsidRPr="005E671C">
        <w:rPr>
          <w:rFonts w:ascii="Times New Roman" w:hAnsi="Times New Roman" w:cs="Times New Roman"/>
          <w:sz w:val="24"/>
          <w:szCs w:val="24"/>
        </w:rPr>
        <w:t>PREKRŠAJNI SUDOVI - UKUPNO 201</w:t>
      </w:r>
      <w:r>
        <w:rPr>
          <w:rFonts w:ascii="Times New Roman" w:hAnsi="Times New Roman" w:cs="Times New Roman"/>
          <w:sz w:val="24"/>
          <w:szCs w:val="24"/>
        </w:rPr>
        <w:t>7</w:t>
      </w:r>
      <w:r w:rsidRPr="005E671C">
        <w:rPr>
          <w:rFonts w:ascii="Times New Roman" w:hAnsi="Times New Roman" w:cs="Times New Roman"/>
          <w:sz w:val="24"/>
          <w:szCs w:val="24"/>
        </w:rPr>
        <w:t>. godin</w:t>
      </w:r>
      <w:r>
        <w:rPr>
          <w:rFonts w:ascii="Times New Roman" w:hAnsi="Times New Roman" w:cs="Times New Roman"/>
          <w:sz w:val="24"/>
          <w:szCs w:val="24"/>
        </w:rPr>
        <w:t>a</w:t>
      </w:r>
    </w:p>
    <w:tbl>
      <w:tblPr>
        <w:tblW w:w="14062" w:type="dxa"/>
        <w:tblLayout w:type="fixed"/>
        <w:tblLook w:val="04A0" w:firstRow="1" w:lastRow="0" w:firstColumn="1" w:lastColumn="0" w:noHBand="0" w:noVBand="1"/>
      </w:tblPr>
      <w:tblGrid>
        <w:gridCol w:w="1264"/>
        <w:gridCol w:w="460"/>
        <w:gridCol w:w="434"/>
        <w:gridCol w:w="585"/>
        <w:gridCol w:w="652"/>
        <w:gridCol w:w="422"/>
        <w:gridCol w:w="424"/>
        <w:gridCol w:w="698"/>
        <w:gridCol w:w="438"/>
        <w:gridCol w:w="577"/>
        <w:gridCol w:w="11"/>
        <w:gridCol w:w="404"/>
        <w:gridCol w:w="425"/>
        <w:gridCol w:w="436"/>
        <w:gridCol w:w="6"/>
        <w:gridCol w:w="409"/>
        <w:gridCol w:w="425"/>
        <w:gridCol w:w="425"/>
        <w:gridCol w:w="426"/>
        <w:gridCol w:w="49"/>
        <w:gridCol w:w="387"/>
        <w:gridCol w:w="13"/>
        <w:gridCol w:w="543"/>
        <w:gridCol w:w="665"/>
        <w:gridCol w:w="632"/>
        <w:gridCol w:w="610"/>
        <w:gridCol w:w="592"/>
        <w:gridCol w:w="698"/>
        <w:gridCol w:w="630"/>
        <w:gridCol w:w="86"/>
        <w:gridCol w:w="175"/>
        <w:gridCol w:w="61"/>
      </w:tblGrid>
      <w:tr w:rsidR="00A72067" w:rsidRPr="00A72067" w14:paraId="5146546C" w14:textId="77777777" w:rsidTr="00A72067">
        <w:trPr>
          <w:gridAfter w:val="3"/>
          <w:wAfter w:w="322" w:type="dxa"/>
          <w:trHeight w:val="450"/>
        </w:trPr>
        <w:tc>
          <w:tcPr>
            <w:tcW w:w="1264" w:type="dxa"/>
            <w:vMerge w:val="restart"/>
            <w:tcBorders>
              <w:top w:val="single" w:sz="8" w:space="0" w:color="auto"/>
              <w:left w:val="single" w:sz="8" w:space="0" w:color="auto"/>
              <w:bottom w:val="single" w:sz="4" w:space="0" w:color="000000"/>
              <w:right w:val="nil"/>
            </w:tcBorders>
            <w:shd w:val="clear" w:color="000000" w:fill="CCFFCC"/>
            <w:vAlign w:val="center"/>
            <w:hideMark/>
          </w:tcPr>
          <w:p w14:paraId="0FC83991" w14:textId="77777777" w:rsidR="00A72067" w:rsidRPr="00A72067" w:rsidRDefault="00A72067" w:rsidP="00A72067">
            <w:pPr>
              <w:spacing w:after="0" w:line="240" w:lineRule="auto"/>
              <w:jc w:val="center"/>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 xml:space="preserve">OSNOVE DISKRIMINACIJE </w:t>
            </w:r>
          </w:p>
        </w:tc>
        <w:tc>
          <w:tcPr>
            <w:tcW w:w="12476" w:type="dxa"/>
            <w:gridSpan w:val="28"/>
            <w:vMerge w:val="restart"/>
            <w:tcBorders>
              <w:top w:val="single" w:sz="8" w:space="0" w:color="auto"/>
              <w:left w:val="single" w:sz="8" w:space="0" w:color="auto"/>
              <w:bottom w:val="single" w:sz="4" w:space="0" w:color="000000"/>
              <w:right w:val="single" w:sz="8" w:space="0" w:color="000000"/>
            </w:tcBorders>
            <w:shd w:val="clear" w:color="000000" w:fill="CCFFCC"/>
            <w:noWrap/>
            <w:vAlign w:val="center"/>
            <w:hideMark/>
          </w:tcPr>
          <w:p w14:paraId="0F552A59" w14:textId="77777777" w:rsidR="00A72067" w:rsidRPr="00A72067" w:rsidRDefault="00A72067" w:rsidP="00A72067">
            <w:pPr>
              <w:spacing w:after="0" w:line="240" w:lineRule="auto"/>
              <w:ind w:right="-253"/>
              <w:jc w:val="center"/>
              <w:rPr>
                <w:rFonts w:ascii="Calibri" w:eastAsia="Times New Roman" w:hAnsi="Calibri" w:cs="Calibri"/>
                <w:b/>
                <w:bCs/>
                <w:sz w:val="16"/>
                <w:szCs w:val="16"/>
                <w:lang w:eastAsia="hr-HR"/>
              </w:rPr>
            </w:pPr>
            <w:r w:rsidRPr="00A72067">
              <w:rPr>
                <w:rFonts w:ascii="Calibri" w:eastAsia="Times New Roman" w:hAnsi="Calibri" w:cs="Calibri"/>
                <w:b/>
                <w:bCs/>
                <w:sz w:val="16"/>
                <w:szCs w:val="16"/>
                <w:lang w:eastAsia="hr-HR"/>
              </w:rPr>
              <w:t>P R E K R Š A J N I     P R E D M E T I</w:t>
            </w:r>
          </w:p>
        </w:tc>
      </w:tr>
      <w:tr w:rsidR="00A72067" w:rsidRPr="00A72067" w14:paraId="06D93B22" w14:textId="77777777" w:rsidTr="00A72067">
        <w:trPr>
          <w:gridAfter w:val="1"/>
          <w:wAfter w:w="61" w:type="dxa"/>
          <w:trHeight w:val="300"/>
        </w:trPr>
        <w:tc>
          <w:tcPr>
            <w:tcW w:w="1264" w:type="dxa"/>
            <w:vMerge/>
            <w:tcBorders>
              <w:top w:val="single" w:sz="8" w:space="0" w:color="auto"/>
              <w:left w:val="single" w:sz="8" w:space="0" w:color="auto"/>
              <w:bottom w:val="single" w:sz="4" w:space="0" w:color="000000"/>
              <w:right w:val="nil"/>
            </w:tcBorders>
            <w:vAlign w:val="center"/>
            <w:hideMark/>
          </w:tcPr>
          <w:p w14:paraId="1221A700" w14:textId="77777777" w:rsidR="00A72067" w:rsidRPr="00A72067" w:rsidRDefault="00A72067" w:rsidP="00A72067">
            <w:pPr>
              <w:spacing w:after="0" w:line="240" w:lineRule="auto"/>
              <w:rPr>
                <w:rFonts w:ascii="Calibri" w:eastAsia="Times New Roman" w:hAnsi="Calibri" w:cs="Calibri"/>
                <w:sz w:val="16"/>
                <w:szCs w:val="16"/>
                <w:lang w:eastAsia="hr-HR"/>
              </w:rPr>
            </w:pPr>
          </w:p>
        </w:tc>
        <w:tc>
          <w:tcPr>
            <w:tcW w:w="12476" w:type="dxa"/>
            <w:gridSpan w:val="28"/>
            <w:vMerge/>
            <w:tcBorders>
              <w:top w:val="single" w:sz="8" w:space="0" w:color="auto"/>
              <w:left w:val="single" w:sz="8" w:space="0" w:color="auto"/>
              <w:bottom w:val="single" w:sz="4" w:space="0" w:color="000000"/>
              <w:right w:val="single" w:sz="8" w:space="0" w:color="000000"/>
            </w:tcBorders>
            <w:vAlign w:val="center"/>
            <w:hideMark/>
          </w:tcPr>
          <w:p w14:paraId="301076D4" w14:textId="77777777" w:rsidR="00A72067" w:rsidRPr="00A72067" w:rsidRDefault="00A72067" w:rsidP="00A72067">
            <w:pPr>
              <w:spacing w:after="0" w:line="240" w:lineRule="auto"/>
              <w:rPr>
                <w:rFonts w:ascii="Calibri" w:eastAsia="Times New Roman" w:hAnsi="Calibri" w:cs="Calibri"/>
                <w:b/>
                <w:bCs/>
                <w:sz w:val="16"/>
                <w:szCs w:val="16"/>
                <w:lang w:eastAsia="hr-HR"/>
              </w:rPr>
            </w:pPr>
          </w:p>
        </w:tc>
        <w:tc>
          <w:tcPr>
            <w:tcW w:w="261" w:type="dxa"/>
            <w:gridSpan w:val="2"/>
            <w:tcBorders>
              <w:top w:val="nil"/>
              <w:left w:val="nil"/>
              <w:bottom w:val="nil"/>
              <w:right w:val="nil"/>
            </w:tcBorders>
            <w:shd w:val="clear" w:color="auto" w:fill="auto"/>
            <w:noWrap/>
            <w:vAlign w:val="bottom"/>
            <w:hideMark/>
          </w:tcPr>
          <w:p w14:paraId="02AB75F7" w14:textId="77777777" w:rsidR="00A72067" w:rsidRPr="00A72067" w:rsidRDefault="00A72067" w:rsidP="00A72067">
            <w:pPr>
              <w:spacing w:after="0" w:line="240" w:lineRule="auto"/>
              <w:jc w:val="center"/>
              <w:rPr>
                <w:rFonts w:ascii="Calibri" w:eastAsia="Times New Roman" w:hAnsi="Calibri" w:cs="Calibri"/>
                <w:b/>
                <w:bCs/>
                <w:sz w:val="16"/>
                <w:szCs w:val="16"/>
                <w:lang w:eastAsia="hr-HR"/>
              </w:rPr>
            </w:pPr>
          </w:p>
        </w:tc>
      </w:tr>
      <w:tr w:rsidR="00A72067" w:rsidRPr="00A72067" w14:paraId="5C583B7C" w14:textId="77777777" w:rsidTr="00A72067">
        <w:trPr>
          <w:trHeight w:val="982"/>
        </w:trPr>
        <w:tc>
          <w:tcPr>
            <w:tcW w:w="1264" w:type="dxa"/>
            <w:vMerge/>
            <w:tcBorders>
              <w:top w:val="single" w:sz="8" w:space="0" w:color="auto"/>
              <w:left w:val="single" w:sz="8" w:space="0" w:color="auto"/>
              <w:bottom w:val="single" w:sz="4" w:space="0" w:color="000000"/>
              <w:right w:val="nil"/>
            </w:tcBorders>
            <w:vAlign w:val="center"/>
            <w:hideMark/>
          </w:tcPr>
          <w:p w14:paraId="56BE35E2" w14:textId="77777777" w:rsidR="00A72067" w:rsidRPr="00A72067" w:rsidRDefault="00A72067" w:rsidP="00A72067">
            <w:pPr>
              <w:spacing w:after="0" w:line="240" w:lineRule="auto"/>
              <w:rPr>
                <w:rFonts w:ascii="Calibri" w:eastAsia="Times New Roman" w:hAnsi="Calibri" w:cs="Calibri"/>
                <w:sz w:val="16"/>
                <w:szCs w:val="16"/>
                <w:lang w:eastAsia="hr-HR"/>
              </w:rPr>
            </w:pPr>
          </w:p>
        </w:tc>
        <w:tc>
          <w:tcPr>
            <w:tcW w:w="460" w:type="dxa"/>
            <w:vMerge w:val="restart"/>
            <w:tcBorders>
              <w:top w:val="nil"/>
              <w:left w:val="single" w:sz="8" w:space="0" w:color="auto"/>
              <w:bottom w:val="single" w:sz="4" w:space="0" w:color="auto"/>
              <w:right w:val="single" w:sz="4" w:space="0" w:color="auto"/>
            </w:tcBorders>
            <w:shd w:val="clear" w:color="000000" w:fill="CCFFCC"/>
            <w:textDirection w:val="btLr"/>
            <w:vAlign w:val="center"/>
            <w:hideMark/>
          </w:tcPr>
          <w:p w14:paraId="5A260837" w14:textId="77777777" w:rsidR="00A72067" w:rsidRPr="00A72067" w:rsidRDefault="00A72067" w:rsidP="00A72067">
            <w:pPr>
              <w:spacing w:after="0" w:line="240" w:lineRule="auto"/>
              <w:jc w:val="center"/>
              <w:rPr>
                <w:rFonts w:ascii="Tahoma" w:eastAsia="Times New Roman" w:hAnsi="Tahoma" w:cs="Tahoma"/>
                <w:b/>
                <w:bCs/>
                <w:sz w:val="16"/>
                <w:szCs w:val="16"/>
                <w:lang w:eastAsia="hr-HR"/>
              </w:rPr>
            </w:pPr>
            <w:r w:rsidRPr="00A72067">
              <w:rPr>
                <w:rFonts w:ascii="Tahoma" w:eastAsia="Times New Roman" w:hAnsi="Tahoma" w:cs="Tahoma"/>
                <w:b/>
                <w:bCs/>
                <w:sz w:val="16"/>
                <w:szCs w:val="16"/>
                <w:lang w:eastAsia="hr-HR"/>
              </w:rPr>
              <w:t xml:space="preserve">Broj </w:t>
            </w:r>
            <w:proofErr w:type="spellStart"/>
            <w:r w:rsidRPr="00A72067">
              <w:rPr>
                <w:rFonts w:ascii="Tahoma" w:eastAsia="Times New Roman" w:hAnsi="Tahoma" w:cs="Tahoma"/>
                <w:b/>
                <w:bCs/>
                <w:sz w:val="16"/>
                <w:szCs w:val="16"/>
                <w:lang w:eastAsia="hr-HR"/>
              </w:rPr>
              <w:t>nerješenih</w:t>
            </w:r>
            <w:proofErr w:type="spellEnd"/>
            <w:r w:rsidRPr="00A72067">
              <w:rPr>
                <w:rFonts w:ascii="Tahoma" w:eastAsia="Times New Roman" w:hAnsi="Tahoma" w:cs="Tahoma"/>
                <w:b/>
                <w:bCs/>
                <w:sz w:val="16"/>
                <w:szCs w:val="16"/>
                <w:lang w:eastAsia="hr-HR"/>
              </w:rPr>
              <w:t xml:space="preserve"> predmeta na početku razdoblja</w:t>
            </w:r>
          </w:p>
        </w:tc>
        <w:tc>
          <w:tcPr>
            <w:tcW w:w="434" w:type="dxa"/>
            <w:vMerge w:val="restart"/>
            <w:tcBorders>
              <w:top w:val="nil"/>
              <w:left w:val="single" w:sz="4" w:space="0" w:color="auto"/>
              <w:bottom w:val="single" w:sz="4" w:space="0" w:color="auto"/>
              <w:right w:val="single" w:sz="4" w:space="0" w:color="000000"/>
            </w:tcBorders>
            <w:shd w:val="clear" w:color="000000" w:fill="CCFFCC"/>
            <w:textDirection w:val="btLr"/>
            <w:vAlign w:val="center"/>
            <w:hideMark/>
          </w:tcPr>
          <w:p w14:paraId="001610D5" w14:textId="77777777" w:rsidR="00A72067" w:rsidRPr="00A72067" w:rsidRDefault="00A72067" w:rsidP="00A72067">
            <w:pPr>
              <w:spacing w:after="0" w:line="240" w:lineRule="auto"/>
              <w:jc w:val="center"/>
              <w:rPr>
                <w:rFonts w:ascii="Tahoma" w:eastAsia="Times New Roman" w:hAnsi="Tahoma" w:cs="Tahoma"/>
                <w:b/>
                <w:bCs/>
                <w:sz w:val="16"/>
                <w:szCs w:val="16"/>
                <w:lang w:eastAsia="hr-HR"/>
              </w:rPr>
            </w:pPr>
            <w:r w:rsidRPr="00A72067">
              <w:rPr>
                <w:rFonts w:ascii="Tahoma" w:eastAsia="Times New Roman" w:hAnsi="Tahoma" w:cs="Tahoma"/>
                <w:b/>
                <w:bCs/>
                <w:sz w:val="16"/>
                <w:szCs w:val="16"/>
                <w:lang w:eastAsia="hr-HR"/>
              </w:rPr>
              <w:t xml:space="preserve">Broj primljenih predmeta </w:t>
            </w:r>
          </w:p>
        </w:tc>
        <w:tc>
          <w:tcPr>
            <w:tcW w:w="1237" w:type="dxa"/>
            <w:gridSpan w:val="2"/>
            <w:tcBorders>
              <w:top w:val="single" w:sz="4" w:space="0" w:color="auto"/>
              <w:left w:val="nil"/>
              <w:bottom w:val="single" w:sz="4" w:space="0" w:color="auto"/>
              <w:right w:val="single" w:sz="4" w:space="0" w:color="000000"/>
            </w:tcBorders>
            <w:shd w:val="clear" w:color="000000" w:fill="CCFFCC"/>
            <w:vAlign w:val="center"/>
            <w:hideMark/>
          </w:tcPr>
          <w:p w14:paraId="69906F9A" w14:textId="77777777" w:rsidR="00A72067" w:rsidRPr="00A72067" w:rsidRDefault="00A72067" w:rsidP="00A72067">
            <w:pPr>
              <w:spacing w:after="0" w:line="240" w:lineRule="auto"/>
              <w:jc w:val="center"/>
              <w:rPr>
                <w:rFonts w:ascii="Tahoma" w:eastAsia="Times New Roman" w:hAnsi="Tahoma" w:cs="Tahoma"/>
                <w:sz w:val="16"/>
                <w:szCs w:val="16"/>
                <w:lang w:eastAsia="hr-HR"/>
              </w:rPr>
            </w:pPr>
            <w:r w:rsidRPr="00A72067">
              <w:rPr>
                <w:rFonts w:ascii="Tahoma" w:eastAsia="Times New Roman" w:hAnsi="Tahoma" w:cs="Tahoma"/>
                <w:sz w:val="16"/>
                <w:szCs w:val="16"/>
                <w:lang w:eastAsia="hr-HR"/>
              </w:rPr>
              <w:t>Broj diskriminiranih osoba prema prijavi</w:t>
            </w:r>
          </w:p>
        </w:tc>
        <w:tc>
          <w:tcPr>
            <w:tcW w:w="2570" w:type="dxa"/>
            <w:gridSpan w:val="6"/>
            <w:tcBorders>
              <w:top w:val="single" w:sz="4" w:space="0" w:color="auto"/>
              <w:left w:val="nil"/>
              <w:bottom w:val="single" w:sz="4" w:space="0" w:color="auto"/>
              <w:right w:val="single" w:sz="4" w:space="0" w:color="auto"/>
            </w:tcBorders>
            <w:shd w:val="clear" w:color="000000" w:fill="CCFFCC"/>
            <w:vAlign w:val="center"/>
            <w:hideMark/>
          </w:tcPr>
          <w:p w14:paraId="651657F0" w14:textId="77777777" w:rsidR="00A72067" w:rsidRPr="00A72067" w:rsidRDefault="00A72067" w:rsidP="00A72067">
            <w:pPr>
              <w:spacing w:after="0" w:line="240" w:lineRule="auto"/>
              <w:jc w:val="center"/>
              <w:rPr>
                <w:rFonts w:ascii="Calibri" w:eastAsia="Times New Roman" w:hAnsi="Calibri" w:cs="Calibri"/>
                <w:b/>
                <w:bCs/>
                <w:sz w:val="16"/>
                <w:szCs w:val="16"/>
                <w:lang w:eastAsia="hr-HR"/>
              </w:rPr>
            </w:pPr>
            <w:r w:rsidRPr="00A72067">
              <w:rPr>
                <w:rFonts w:ascii="Calibri" w:eastAsia="Times New Roman" w:hAnsi="Calibri" w:cs="Calibri"/>
                <w:b/>
                <w:bCs/>
                <w:sz w:val="16"/>
                <w:szCs w:val="16"/>
                <w:lang w:eastAsia="hr-HR"/>
              </w:rPr>
              <w:t>PREKRŠAJ</w:t>
            </w:r>
          </w:p>
        </w:tc>
        <w:tc>
          <w:tcPr>
            <w:tcW w:w="1271" w:type="dxa"/>
            <w:gridSpan w:val="4"/>
            <w:tcBorders>
              <w:top w:val="single" w:sz="4" w:space="0" w:color="auto"/>
              <w:left w:val="nil"/>
              <w:bottom w:val="single" w:sz="4" w:space="0" w:color="auto"/>
              <w:right w:val="single" w:sz="4" w:space="0" w:color="auto"/>
            </w:tcBorders>
            <w:shd w:val="clear" w:color="000000" w:fill="CCFFCC"/>
            <w:vAlign w:val="center"/>
            <w:hideMark/>
          </w:tcPr>
          <w:p w14:paraId="2538765E" w14:textId="77777777" w:rsidR="00A72067" w:rsidRPr="00A72067" w:rsidRDefault="00A72067" w:rsidP="00A72067">
            <w:pPr>
              <w:spacing w:after="0" w:line="240" w:lineRule="auto"/>
              <w:jc w:val="center"/>
              <w:rPr>
                <w:rFonts w:ascii="Calibri" w:eastAsia="Times New Roman" w:hAnsi="Calibri" w:cs="Calibri"/>
                <w:b/>
                <w:bCs/>
                <w:sz w:val="16"/>
                <w:szCs w:val="16"/>
                <w:lang w:eastAsia="hr-HR"/>
              </w:rPr>
            </w:pPr>
            <w:r w:rsidRPr="00A72067">
              <w:rPr>
                <w:rFonts w:ascii="Calibri" w:eastAsia="Times New Roman" w:hAnsi="Calibri" w:cs="Calibri"/>
                <w:b/>
                <w:bCs/>
                <w:sz w:val="16"/>
                <w:szCs w:val="16"/>
                <w:lang w:eastAsia="hr-HR"/>
              </w:rPr>
              <w:t>PRAVOMOĆNO RIJEŠENO</w:t>
            </w:r>
          </w:p>
        </w:tc>
        <w:tc>
          <w:tcPr>
            <w:tcW w:w="1734" w:type="dxa"/>
            <w:gridSpan w:val="5"/>
            <w:tcBorders>
              <w:top w:val="single" w:sz="4" w:space="0" w:color="auto"/>
              <w:left w:val="nil"/>
              <w:bottom w:val="single" w:sz="4" w:space="0" w:color="auto"/>
              <w:right w:val="single" w:sz="4" w:space="0" w:color="000000"/>
            </w:tcBorders>
            <w:shd w:val="clear" w:color="000000" w:fill="CCFFCC"/>
            <w:vAlign w:val="center"/>
            <w:hideMark/>
          </w:tcPr>
          <w:p w14:paraId="0221C85F" w14:textId="77777777" w:rsidR="00A72067" w:rsidRPr="00A72067" w:rsidRDefault="00A72067" w:rsidP="00A72067">
            <w:pPr>
              <w:spacing w:after="0" w:line="240" w:lineRule="auto"/>
              <w:jc w:val="center"/>
              <w:rPr>
                <w:rFonts w:ascii="Calibri" w:eastAsia="Times New Roman" w:hAnsi="Calibri" w:cs="Calibri"/>
                <w:b/>
                <w:bCs/>
                <w:sz w:val="16"/>
                <w:szCs w:val="16"/>
                <w:lang w:eastAsia="hr-HR"/>
              </w:rPr>
            </w:pPr>
            <w:r w:rsidRPr="00A72067">
              <w:rPr>
                <w:rFonts w:ascii="Calibri" w:eastAsia="Times New Roman" w:hAnsi="Calibri" w:cs="Calibri"/>
                <w:b/>
                <w:bCs/>
                <w:sz w:val="16"/>
                <w:szCs w:val="16"/>
                <w:lang w:eastAsia="hr-HR"/>
              </w:rPr>
              <w:t>Broj i vrsta kazni</w:t>
            </w:r>
          </w:p>
        </w:tc>
        <w:tc>
          <w:tcPr>
            <w:tcW w:w="400" w:type="dxa"/>
            <w:gridSpan w:val="2"/>
            <w:tcBorders>
              <w:top w:val="nil"/>
              <w:left w:val="single" w:sz="4" w:space="0" w:color="auto"/>
              <w:bottom w:val="single" w:sz="4" w:space="0" w:color="000000"/>
              <w:right w:val="single" w:sz="4" w:space="0" w:color="auto"/>
            </w:tcBorders>
            <w:shd w:val="clear" w:color="000000" w:fill="CCFFCC"/>
            <w:textDirection w:val="btLr"/>
            <w:vAlign w:val="center"/>
            <w:hideMark/>
          </w:tcPr>
          <w:p w14:paraId="65109E48" w14:textId="77777777" w:rsidR="00A72067" w:rsidRPr="00A72067" w:rsidRDefault="00A72067" w:rsidP="00A72067">
            <w:pPr>
              <w:spacing w:after="0" w:line="240" w:lineRule="auto"/>
              <w:jc w:val="center"/>
              <w:rPr>
                <w:rFonts w:ascii="Calibri" w:eastAsia="Times New Roman" w:hAnsi="Calibri" w:cs="Calibri"/>
                <w:b/>
                <w:bCs/>
                <w:sz w:val="16"/>
                <w:szCs w:val="16"/>
                <w:lang w:eastAsia="hr-HR"/>
              </w:rPr>
            </w:pPr>
            <w:r w:rsidRPr="00A72067">
              <w:rPr>
                <w:rFonts w:ascii="Calibri" w:eastAsia="Times New Roman" w:hAnsi="Calibri" w:cs="Calibri"/>
                <w:b/>
                <w:bCs/>
                <w:sz w:val="16"/>
                <w:szCs w:val="16"/>
                <w:lang w:eastAsia="hr-HR"/>
              </w:rPr>
              <w:t>Ukupno riješeno</w:t>
            </w:r>
          </w:p>
        </w:tc>
        <w:tc>
          <w:tcPr>
            <w:tcW w:w="543" w:type="dxa"/>
            <w:tcBorders>
              <w:top w:val="nil"/>
              <w:left w:val="single" w:sz="4" w:space="0" w:color="auto"/>
              <w:bottom w:val="single" w:sz="4" w:space="0" w:color="000000"/>
              <w:right w:val="single" w:sz="4" w:space="0" w:color="auto"/>
            </w:tcBorders>
            <w:shd w:val="clear" w:color="000000" w:fill="CCFFCC"/>
            <w:textDirection w:val="btLr"/>
            <w:vAlign w:val="center"/>
            <w:hideMark/>
          </w:tcPr>
          <w:p w14:paraId="49950BB9" w14:textId="77777777" w:rsidR="00A72067" w:rsidRPr="00A72067" w:rsidRDefault="00A72067" w:rsidP="00A72067">
            <w:pPr>
              <w:spacing w:after="0" w:line="240" w:lineRule="auto"/>
              <w:jc w:val="center"/>
              <w:rPr>
                <w:rFonts w:ascii="Calibri" w:eastAsia="Times New Roman" w:hAnsi="Calibri" w:cs="Calibri"/>
                <w:b/>
                <w:bCs/>
                <w:sz w:val="16"/>
                <w:szCs w:val="16"/>
                <w:lang w:eastAsia="hr-HR"/>
              </w:rPr>
            </w:pPr>
            <w:r w:rsidRPr="00A72067">
              <w:rPr>
                <w:rFonts w:ascii="Calibri" w:eastAsia="Times New Roman" w:hAnsi="Calibri" w:cs="Calibri"/>
                <w:b/>
                <w:bCs/>
                <w:sz w:val="16"/>
                <w:szCs w:val="16"/>
                <w:lang w:eastAsia="hr-HR"/>
              </w:rPr>
              <w:t>Ukupno neriješeno</w:t>
            </w:r>
          </w:p>
        </w:tc>
        <w:tc>
          <w:tcPr>
            <w:tcW w:w="665" w:type="dxa"/>
            <w:tcBorders>
              <w:top w:val="nil"/>
              <w:left w:val="single" w:sz="4" w:space="0" w:color="auto"/>
              <w:bottom w:val="single" w:sz="4" w:space="0" w:color="000000"/>
              <w:right w:val="single" w:sz="4" w:space="0" w:color="auto"/>
            </w:tcBorders>
            <w:shd w:val="clear" w:color="000000" w:fill="CCFFCC"/>
            <w:textDirection w:val="btLr"/>
            <w:vAlign w:val="center"/>
            <w:hideMark/>
          </w:tcPr>
          <w:p w14:paraId="75EF8156" w14:textId="77777777" w:rsidR="00A72067" w:rsidRPr="00A72067" w:rsidRDefault="00A72067" w:rsidP="00A72067">
            <w:pPr>
              <w:spacing w:after="0" w:line="240" w:lineRule="auto"/>
              <w:jc w:val="center"/>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BROJ OSUĐENIH OSOBA</w:t>
            </w:r>
          </w:p>
        </w:tc>
        <w:tc>
          <w:tcPr>
            <w:tcW w:w="1834" w:type="dxa"/>
            <w:gridSpan w:val="3"/>
            <w:tcBorders>
              <w:top w:val="single" w:sz="4" w:space="0" w:color="auto"/>
              <w:left w:val="nil"/>
              <w:bottom w:val="single" w:sz="4" w:space="0" w:color="auto"/>
              <w:right w:val="single" w:sz="4" w:space="0" w:color="000000"/>
            </w:tcBorders>
            <w:shd w:val="clear" w:color="000000" w:fill="CCFFCC"/>
            <w:vAlign w:val="center"/>
            <w:hideMark/>
          </w:tcPr>
          <w:p w14:paraId="0041A4E0" w14:textId="77777777" w:rsidR="00A72067" w:rsidRPr="00A72067" w:rsidRDefault="00A72067" w:rsidP="00A72067">
            <w:pPr>
              <w:spacing w:after="0" w:line="240" w:lineRule="auto"/>
              <w:jc w:val="center"/>
              <w:rPr>
                <w:rFonts w:ascii="Tahoma" w:eastAsia="Times New Roman" w:hAnsi="Tahoma" w:cs="Tahoma"/>
                <w:sz w:val="16"/>
                <w:szCs w:val="16"/>
                <w:lang w:eastAsia="hr-HR"/>
              </w:rPr>
            </w:pPr>
            <w:r w:rsidRPr="00A72067">
              <w:rPr>
                <w:rFonts w:ascii="Tahoma" w:eastAsia="Times New Roman" w:hAnsi="Tahoma" w:cs="Tahoma"/>
                <w:sz w:val="16"/>
                <w:szCs w:val="16"/>
                <w:lang w:eastAsia="hr-HR"/>
              </w:rPr>
              <w:t>Broj diskriminiranih osoba prema pravomoćnoj presudi</w:t>
            </w:r>
          </w:p>
        </w:tc>
        <w:tc>
          <w:tcPr>
            <w:tcW w:w="1414" w:type="dxa"/>
            <w:gridSpan w:val="3"/>
            <w:tcBorders>
              <w:top w:val="single" w:sz="4" w:space="0" w:color="auto"/>
              <w:left w:val="nil"/>
              <w:bottom w:val="single" w:sz="4" w:space="0" w:color="auto"/>
              <w:right w:val="single" w:sz="8" w:space="0" w:color="000000"/>
            </w:tcBorders>
            <w:shd w:val="clear" w:color="000000" w:fill="CCFFCC"/>
            <w:vAlign w:val="center"/>
            <w:hideMark/>
          </w:tcPr>
          <w:p w14:paraId="715ED6C0" w14:textId="77777777" w:rsidR="00A72067" w:rsidRPr="00A72067" w:rsidRDefault="00A72067" w:rsidP="00A72067">
            <w:pPr>
              <w:spacing w:after="0" w:line="240" w:lineRule="auto"/>
              <w:jc w:val="center"/>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TRAJANJE POSTUPKA</w:t>
            </w:r>
          </w:p>
        </w:tc>
        <w:tc>
          <w:tcPr>
            <w:tcW w:w="236" w:type="dxa"/>
            <w:gridSpan w:val="2"/>
            <w:vAlign w:val="center"/>
            <w:hideMark/>
          </w:tcPr>
          <w:p w14:paraId="5E61787D" w14:textId="77777777" w:rsidR="00A72067" w:rsidRPr="00A72067" w:rsidRDefault="00A72067" w:rsidP="00A72067">
            <w:pPr>
              <w:spacing w:after="0" w:line="240" w:lineRule="auto"/>
              <w:rPr>
                <w:rFonts w:ascii="Times New Roman" w:eastAsia="Times New Roman" w:hAnsi="Times New Roman" w:cs="Times New Roman"/>
                <w:sz w:val="16"/>
                <w:szCs w:val="16"/>
                <w:lang w:eastAsia="hr-HR"/>
              </w:rPr>
            </w:pPr>
          </w:p>
        </w:tc>
      </w:tr>
      <w:tr w:rsidR="00A72067" w:rsidRPr="00A72067" w14:paraId="6F3B0E53" w14:textId="77777777" w:rsidTr="00A72067">
        <w:trPr>
          <w:trHeight w:val="2550"/>
        </w:trPr>
        <w:tc>
          <w:tcPr>
            <w:tcW w:w="1264" w:type="dxa"/>
            <w:vMerge/>
            <w:tcBorders>
              <w:top w:val="single" w:sz="8" w:space="0" w:color="auto"/>
              <w:left w:val="single" w:sz="8" w:space="0" w:color="auto"/>
              <w:bottom w:val="single" w:sz="4" w:space="0" w:color="000000"/>
              <w:right w:val="nil"/>
            </w:tcBorders>
            <w:vAlign w:val="center"/>
            <w:hideMark/>
          </w:tcPr>
          <w:p w14:paraId="3FEEE95A" w14:textId="77777777" w:rsidR="00A72067" w:rsidRPr="00A72067" w:rsidRDefault="00A72067" w:rsidP="00A72067">
            <w:pPr>
              <w:spacing w:after="0" w:line="240" w:lineRule="auto"/>
              <w:rPr>
                <w:rFonts w:ascii="Calibri" w:eastAsia="Times New Roman" w:hAnsi="Calibri" w:cs="Calibri"/>
                <w:sz w:val="16"/>
                <w:szCs w:val="16"/>
                <w:lang w:eastAsia="hr-HR"/>
              </w:rPr>
            </w:pPr>
          </w:p>
        </w:tc>
        <w:tc>
          <w:tcPr>
            <w:tcW w:w="460" w:type="dxa"/>
            <w:vMerge/>
            <w:tcBorders>
              <w:top w:val="nil"/>
              <w:left w:val="single" w:sz="8" w:space="0" w:color="auto"/>
              <w:bottom w:val="single" w:sz="4" w:space="0" w:color="auto"/>
              <w:right w:val="single" w:sz="4" w:space="0" w:color="auto"/>
            </w:tcBorders>
            <w:vAlign w:val="center"/>
            <w:hideMark/>
          </w:tcPr>
          <w:p w14:paraId="4B7AEB59" w14:textId="77777777" w:rsidR="00A72067" w:rsidRPr="00A72067" w:rsidRDefault="00A72067" w:rsidP="00A72067">
            <w:pPr>
              <w:spacing w:after="0" w:line="240" w:lineRule="auto"/>
              <w:rPr>
                <w:rFonts w:ascii="Tahoma" w:eastAsia="Times New Roman" w:hAnsi="Tahoma" w:cs="Tahoma"/>
                <w:b/>
                <w:bCs/>
                <w:sz w:val="16"/>
                <w:szCs w:val="16"/>
                <w:lang w:eastAsia="hr-HR"/>
              </w:rPr>
            </w:pPr>
          </w:p>
        </w:tc>
        <w:tc>
          <w:tcPr>
            <w:tcW w:w="434" w:type="dxa"/>
            <w:vMerge/>
            <w:tcBorders>
              <w:top w:val="nil"/>
              <w:left w:val="single" w:sz="4" w:space="0" w:color="auto"/>
              <w:bottom w:val="single" w:sz="4" w:space="0" w:color="auto"/>
              <w:right w:val="single" w:sz="4" w:space="0" w:color="000000"/>
            </w:tcBorders>
            <w:vAlign w:val="center"/>
            <w:hideMark/>
          </w:tcPr>
          <w:p w14:paraId="45A3A460" w14:textId="77777777" w:rsidR="00A72067" w:rsidRPr="00A72067" w:rsidRDefault="00A72067" w:rsidP="00A72067">
            <w:pPr>
              <w:spacing w:after="0" w:line="240" w:lineRule="auto"/>
              <w:rPr>
                <w:rFonts w:ascii="Tahoma" w:eastAsia="Times New Roman" w:hAnsi="Tahoma" w:cs="Tahoma"/>
                <w:b/>
                <w:bCs/>
                <w:sz w:val="16"/>
                <w:szCs w:val="16"/>
                <w:lang w:eastAsia="hr-HR"/>
              </w:rPr>
            </w:pPr>
          </w:p>
        </w:tc>
        <w:tc>
          <w:tcPr>
            <w:tcW w:w="585" w:type="dxa"/>
            <w:tcBorders>
              <w:top w:val="nil"/>
              <w:left w:val="nil"/>
              <w:bottom w:val="nil"/>
              <w:right w:val="single" w:sz="4" w:space="0" w:color="auto"/>
            </w:tcBorders>
            <w:shd w:val="clear" w:color="000000" w:fill="CCFFCC"/>
            <w:textDirection w:val="btLr"/>
            <w:vAlign w:val="center"/>
            <w:hideMark/>
          </w:tcPr>
          <w:p w14:paraId="31E5D80F" w14:textId="77777777" w:rsidR="00A72067" w:rsidRPr="00A72067" w:rsidRDefault="00A72067" w:rsidP="00A72067">
            <w:pPr>
              <w:spacing w:after="0" w:line="240" w:lineRule="auto"/>
              <w:jc w:val="center"/>
              <w:rPr>
                <w:rFonts w:ascii="Tahoma" w:eastAsia="Times New Roman" w:hAnsi="Tahoma" w:cs="Tahoma"/>
                <w:sz w:val="16"/>
                <w:szCs w:val="16"/>
                <w:lang w:eastAsia="hr-HR"/>
              </w:rPr>
            </w:pPr>
            <w:r w:rsidRPr="00A72067">
              <w:rPr>
                <w:rFonts w:ascii="Tahoma" w:eastAsia="Times New Roman" w:hAnsi="Tahoma" w:cs="Tahoma"/>
                <w:sz w:val="16"/>
                <w:szCs w:val="16"/>
                <w:lang w:eastAsia="hr-HR"/>
              </w:rPr>
              <w:t>Žene</w:t>
            </w:r>
          </w:p>
        </w:tc>
        <w:tc>
          <w:tcPr>
            <w:tcW w:w="652" w:type="dxa"/>
            <w:tcBorders>
              <w:top w:val="nil"/>
              <w:left w:val="nil"/>
              <w:bottom w:val="nil"/>
              <w:right w:val="single" w:sz="4" w:space="0" w:color="auto"/>
            </w:tcBorders>
            <w:shd w:val="clear" w:color="000000" w:fill="CCFFCC"/>
            <w:textDirection w:val="btLr"/>
            <w:vAlign w:val="center"/>
            <w:hideMark/>
          </w:tcPr>
          <w:p w14:paraId="599E817A" w14:textId="77777777" w:rsidR="00A72067" w:rsidRPr="00A72067" w:rsidRDefault="00A72067" w:rsidP="00A72067">
            <w:pPr>
              <w:spacing w:after="0" w:line="240" w:lineRule="auto"/>
              <w:jc w:val="center"/>
              <w:rPr>
                <w:rFonts w:ascii="Tahoma" w:eastAsia="Times New Roman" w:hAnsi="Tahoma" w:cs="Tahoma"/>
                <w:sz w:val="16"/>
                <w:szCs w:val="16"/>
                <w:lang w:eastAsia="hr-HR"/>
              </w:rPr>
            </w:pPr>
            <w:r w:rsidRPr="00A72067">
              <w:rPr>
                <w:rFonts w:ascii="Tahoma" w:eastAsia="Times New Roman" w:hAnsi="Tahoma" w:cs="Tahoma"/>
                <w:sz w:val="16"/>
                <w:szCs w:val="16"/>
                <w:lang w:eastAsia="hr-HR"/>
              </w:rPr>
              <w:t>Muškarci</w:t>
            </w:r>
          </w:p>
        </w:tc>
        <w:tc>
          <w:tcPr>
            <w:tcW w:w="422" w:type="dxa"/>
            <w:tcBorders>
              <w:top w:val="nil"/>
              <w:left w:val="nil"/>
              <w:bottom w:val="single" w:sz="4" w:space="0" w:color="auto"/>
              <w:right w:val="single" w:sz="4" w:space="0" w:color="auto"/>
            </w:tcBorders>
            <w:shd w:val="clear" w:color="000000" w:fill="CCFFCC"/>
            <w:textDirection w:val="btLr"/>
            <w:vAlign w:val="center"/>
            <w:hideMark/>
          </w:tcPr>
          <w:p w14:paraId="30DA10D8" w14:textId="77777777" w:rsidR="00A72067" w:rsidRPr="00A72067" w:rsidRDefault="00A72067" w:rsidP="00A72067">
            <w:pPr>
              <w:spacing w:after="0" w:line="240" w:lineRule="auto"/>
              <w:jc w:val="center"/>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UZNEMIRAVANJE čl. 25. ZSD</w:t>
            </w:r>
          </w:p>
        </w:tc>
        <w:tc>
          <w:tcPr>
            <w:tcW w:w="424" w:type="dxa"/>
            <w:tcBorders>
              <w:top w:val="nil"/>
              <w:left w:val="nil"/>
              <w:bottom w:val="single" w:sz="4" w:space="0" w:color="auto"/>
              <w:right w:val="single" w:sz="4" w:space="0" w:color="auto"/>
            </w:tcBorders>
            <w:shd w:val="clear" w:color="000000" w:fill="CCFFCC"/>
            <w:textDirection w:val="btLr"/>
            <w:vAlign w:val="center"/>
            <w:hideMark/>
          </w:tcPr>
          <w:p w14:paraId="38C4FB0C" w14:textId="77777777" w:rsidR="00A72067" w:rsidRPr="00A72067" w:rsidRDefault="00A72067" w:rsidP="00A72067">
            <w:pPr>
              <w:spacing w:after="0" w:line="240" w:lineRule="auto"/>
              <w:jc w:val="center"/>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SPOLNO UZNEMIRAVANJE čl. 26. ZSD</w:t>
            </w:r>
          </w:p>
        </w:tc>
        <w:tc>
          <w:tcPr>
            <w:tcW w:w="698" w:type="dxa"/>
            <w:tcBorders>
              <w:top w:val="nil"/>
              <w:left w:val="nil"/>
              <w:bottom w:val="single" w:sz="4" w:space="0" w:color="auto"/>
              <w:right w:val="single" w:sz="4" w:space="0" w:color="auto"/>
            </w:tcBorders>
            <w:shd w:val="clear" w:color="000000" w:fill="CCFFCC"/>
            <w:textDirection w:val="btLr"/>
            <w:vAlign w:val="center"/>
            <w:hideMark/>
          </w:tcPr>
          <w:p w14:paraId="77DFC742" w14:textId="77777777" w:rsidR="00A72067" w:rsidRPr="00A72067" w:rsidRDefault="00A72067" w:rsidP="00A72067">
            <w:pPr>
              <w:spacing w:after="0" w:line="240" w:lineRule="auto"/>
              <w:jc w:val="center"/>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NEDOSTAVLJANJE PODATAKA čl. 27. ZSD</w:t>
            </w:r>
          </w:p>
        </w:tc>
        <w:tc>
          <w:tcPr>
            <w:tcW w:w="438" w:type="dxa"/>
            <w:tcBorders>
              <w:top w:val="nil"/>
              <w:left w:val="nil"/>
              <w:bottom w:val="single" w:sz="4" w:space="0" w:color="auto"/>
              <w:right w:val="single" w:sz="4" w:space="0" w:color="auto"/>
            </w:tcBorders>
            <w:shd w:val="clear" w:color="000000" w:fill="CCFFCC"/>
            <w:textDirection w:val="btLr"/>
            <w:vAlign w:val="center"/>
            <w:hideMark/>
          </w:tcPr>
          <w:p w14:paraId="5EEC2F41" w14:textId="77777777" w:rsidR="00A72067" w:rsidRPr="00A72067" w:rsidRDefault="00A72067" w:rsidP="00A72067">
            <w:pPr>
              <w:spacing w:after="0" w:line="240" w:lineRule="auto"/>
              <w:jc w:val="center"/>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VIKTIMIZACIJA čl. 28. ZSD</w:t>
            </w:r>
          </w:p>
        </w:tc>
        <w:tc>
          <w:tcPr>
            <w:tcW w:w="577" w:type="dxa"/>
            <w:tcBorders>
              <w:top w:val="nil"/>
              <w:left w:val="nil"/>
              <w:bottom w:val="single" w:sz="4" w:space="0" w:color="auto"/>
              <w:right w:val="single" w:sz="4" w:space="0" w:color="auto"/>
            </w:tcBorders>
            <w:shd w:val="clear" w:color="000000" w:fill="CCFFCC"/>
            <w:textDirection w:val="btLr"/>
            <w:vAlign w:val="center"/>
            <w:hideMark/>
          </w:tcPr>
          <w:p w14:paraId="25DDA941" w14:textId="77777777" w:rsidR="00A72067" w:rsidRPr="00A72067" w:rsidRDefault="00A72067" w:rsidP="00A72067">
            <w:pPr>
              <w:spacing w:after="0" w:line="240" w:lineRule="auto"/>
              <w:jc w:val="center"/>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 xml:space="preserve">OSTALO - po drugim. propisima: </w:t>
            </w:r>
          </w:p>
        </w:tc>
        <w:tc>
          <w:tcPr>
            <w:tcW w:w="415" w:type="dxa"/>
            <w:gridSpan w:val="2"/>
            <w:tcBorders>
              <w:top w:val="nil"/>
              <w:left w:val="nil"/>
              <w:bottom w:val="single" w:sz="4" w:space="0" w:color="auto"/>
              <w:right w:val="single" w:sz="4" w:space="0" w:color="auto"/>
            </w:tcBorders>
            <w:shd w:val="clear" w:color="000000" w:fill="CCFFCC"/>
            <w:textDirection w:val="btLr"/>
            <w:vAlign w:val="center"/>
            <w:hideMark/>
          </w:tcPr>
          <w:p w14:paraId="43B2F7E2" w14:textId="77777777" w:rsidR="00A72067" w:rsidRPr="00A72067" w:rsidRDefault="00A72067" w:rsidP="00A72067">
            <w:pPr>
              <w:spacing w:after="0" w:line="240" w:lineRule="auto"/>
              <w:jc w:val="center"/>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OSUĐUJUĆA PRESUDA</w:t>
            </w:r>
          </w:p>
        </w:tc>
        <w:tc>
          <w:tcPr>
            <w:tcW w:w="425" w:type="dxa"/>
            <w:tcBorders>
              <w:top w:val="nil"/>
              <w:left w:val="nil"/>
              <w:bottom w:val="single" w:sz="4" w:space="0" w:color="auto"/>
              <w:right w:val="single" w:sz="4" w:space="0" w:color="auto"/>
            </w:tcBorders>
            <w:shd w:val="clear" w:color="000000" w:fill="CCFFCC"/>
            <w:textDirection w:val="btLr"/>
            <w:vAlign w:val="center"/>
            <w:hideMark/>
          </w:tcPr>
          <w:p w14:paraId="43DC67B4" w14:textId="77777777" w:rsidR="00A72067" w:rsidRPr="00A72067" w:rsidRDefault="00A72067" w:rsidP="00A72067">
            <w:pPr>
              <w:spacing w:after="0" w:line="240" w:lineRule="auto"/>
              <w:jc w:val="center"/>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OSLOBAĐAJUĆA PRESUDA</w:t>
            </w:r>
          </w:p>
        </w:tc>
        <w:tc>
          <w:tcPr>
            <w:tcW w:w="436" w:type="dxa"/>
            <w:tcBorders>
              <w:top w:val="nil"/>
              <w:left w:val="nil"/>
              <w:bottom w:val="single" w:sz="4" w:space="0" w:color="auto"/>
              <w:right w:val="single" w:sz="4" w:space="0" w:color="auto"/>
            </w:tcBorders>
            <w:shd w:val="clear" w:color="000000" w:fill="CCFFCC"/>
            <w:textDirection w:val="btLr"/>
            <w:vAlign w:val="center"/>
            <w:hideMark/>
          </w:tcPr>
          <w:p w14:paraId="79832C9E" w14:textId="77777777" w:rsidR="00A72067" w:rsidRPr="00A72067" w:rsidRDefault="00A72067" w:rsidP="00A72067">
            <w:pPr>
              <w:spacing w:after="0" w:line="240" w:lineRule="auto"/>
              <w:jc w:val="center"/>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NA DRUGI NAČIN</w:t>
            </w:r>
          </w:p>
        </w:tc>
        <w:tc>
          <w:tcPr>
            <w:tcW w:w="415" w:type="dxa"/>
            <w:gridSpan w:val="2"/>
            <w:tcBorders>
              <w:top w:val="nil"/>
              <w:left w:val="nil"/>
              <w:bottom w:val="single" w:sz="4" w:space="0" w:color="auto"/>
              <w:right w:val="single" w:sz="4" w:space="0" w:color="auto"/>
            </w:tcBorders>
            <w:shd w:val="clear" w:color="000000" w:fill="CCFFCC"/>
            <w:textDirection w:val="btLr"/>
            <w:vAlign w:val="center"/>
            <w:hideMark/>
          </w:tcPr>
          <w:p w14:paraId="3853AD7F" w14:textId="77777777" w:rsidR="00A72067" w:rsidRPr="00A72067" w:rsidRDefault="00A72067" w:rsidP="00A72067">
            <w:pPr>
              <w:spacing w:after="0" w:line="240" w:lineRule="auto"/>
              <w:jc w:val="center"/>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Kazna zatvora</w:t>
            </w:r>
          </w:p>
        </w:tc>
        <w:tc>
          <w:tcPr>
            <w:tcW w:w="425" w:type="dxa"/>
            <w:tcBorders>
              <w:top w:val="nil"/>
              <w:left w:val="nil"/>
              <w:bottom w:val="single" w:sz="4" w:space="0" w:color="auto"/>
              <w:right w:val="single" w:sz="4" w:space="0" w:color="auto"/>
            </w:tcBorders>
            <w:shd w:val="clear" w:color="000000" w:fill="CCFFCC"/>
            <w:textDirection w:val="btLr"/>
            <w:vAlign w:val="center"/>
            <w:hideMark/>
          </w:tcPr>
          <w:p w14:paraId="7D33C3F7" w14:textId="77777777" w:rsidR="00A72067" w:rsidRPr="00A72067" w:rsidRDefault="00A72067" w:rsidP="00A72067">
            <w:pPr>
              <w:spacing w:after="0" w:line="240" w:lineRule="auto"/>
              <w:jc w:val="center"/>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Novčana kazna</w:t>
            </w:r>
          </w:p>
        </w:tc>
        <w:tc>
          <w:tcPr>
            <w:tcW w:w="425" w:type="dxa"/>
            <w:tcBorders>
              <w:top w:val="nil"/>
              <w:left w:val="nil"/>
              <w:bottom w:val="single" w:sz="4" w:space="0" w:color="auto"/>
              <w:right w:val="single" w:sz="4" w:space="0" w:color="auto"/>
            </w:tcBorders>
            <w:shd w:val="clear" w:color="000000" w:fill="CCFFCC"/>
            <w:textDirection w:val="btLr"/>
            <w:vAlign w:val="center"/>
            <w:hideMark/>
          </w:tcPr>
          <w:p w14:paraId="45F1CAF9" w14:textId="77777777" w:rsidR="00A72067" w:rsidRPr="00A72067" w:rsidRDefault="00A72067" w:rsidP="00A72067">
            <w:pPr>
              <w:spacing w:after="0" w:line="240" w:lineRule="auto"/>
              <w:jc w:val="center"/>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Rad za opće dobro</w:t>
            </w:r>
          </w:p>
        </w:tc>
        <w:tc>
          <w:tcPr>
            <w:tcW w:w="426" w:type="dxa"/>
            <w:tcBorders>
              <w:top w:val="nil"/>
              <w:left w:val="nil"/>
              <w:bottom w:val="single" w:sz="4" w:space="0" w:color="auto"/>
              <w:right w:val="single" w:sz="4" w:space="0" w:color="auto"/>
            </w:tcBorders>
            <w:shd w:val="clear" w:color="000000" w:fill="CCFFCC"/>
            <w:textDirection w:val="btLr"/>
            <w:vAlign w:val="center"/>
            <w:hideMark/>
          </w:tcPr>
          <w:p w14:paraId="68049031" w14:textId="77777777" w:rsidR="00A72067" w:rsidRPr="00A72067" w:rsidRDefault="00A72067" w:rsidP="00A72067">
            <w:pPr>
              <w:spacing w:after="0" w:line="240" w:lineRule="auto"/>
              <w:jc w:val="center"/>
              <w:rPr>
                <w:rFonts w:ascii="Calibri" w:eastAsia="Times New Roman" w:hAnsi="Calibri" w:cs="Calibri"/>
                <w:b/>
                <w:bCs/>
                <w:sz w:val="16"/>
                <w:szCs w:val="16"/>
                <w:lang w:eastAsia="hr-HR"/>
              </w:rPr>
            </w:pPr>
            <w:r w:rsidRPr="00A72067">
              <w:rPr>
                <w:rFonts w:ascii="Calibri" w:eastAsia="Times New Roman" w:hAnsi="Calibri" w:cs="Calibri"/>
                <w:b/>
                <w:bCs/>
                <w:sz w:val="16"/>
                <w:szCs w:val="16"/>
                <w:lang w:eastAsia="hr-HR"/>
              </w:rPr>
              <w:t>Ukupno</w:t>
            </w:r>
          </w:p>
        </w:tc>
        <w:tc>
          <w:tcPr>
            <w:tcW w:w="436" w:type="dxa"/>
            <w:gridSpan w:val="2"/>
            <w:tcBorders>
              <w:top w:val="nil"/>
              <w:left w:val="single" w:sz="4" w:space="0" w:color="auto"/>
              <w:bottom w:val="single" w:sz="4" w:space="0" w:color="000000"/>
              <w:right w:val="single" w:sz="4" w:space="0" w:color="auto"/>
            </w:tcBorders>
            <w:vAlign w:val="center"/>
            <w:hideMark/>
          </w:tcPr>
          <w:p w14:paraId="121C8A8F" w14:textId="77777777" w:rsidR="00A72067" w:rsidRPr="00A72067" w:rsidRDefault="00A72067" w:rsidP="00A72067">
            <w:pPr>
              <w:spacing w:after="0" w:line="240" w:lineRule="auto"/>
              <w:rPr>
                <w:rFonts w:ascii="Calibri" w:eastAsia="Times New Roman" w:hAnsi="Calibri" w:cs="Calibri"/>
                <w:b/>
                <w:bCs/>
                <w:sz w:val="16"/>
                <w:szCs w:val="16"/>
                <w:lang w:eastAsia="hr-HR"/>
              </w:rPr>
            </w:pPr>
          </w:p>
        </w:tc>
        <w:tc>
          <w:tcPr>
            <w:tcW w:w="556" w:type="dxa"/>
            <w:gridSpan w:val="2"/>
            <w:tcBorders>
              <w:top w:val="nil"/>
              <w:left w:val="single" w:sz="4" w:space="0" w:color="auto"/>
              <w:bottom w:val="single" w:sz="4" w:space="0" w:color="000000"/>
              <w:right w:val="single" w:sz="4" w:space="0" w:color="auto"/>
            </w:tcBorders>
            <w:vAlign w:val="center"/>
            <w:hideMark/>
          </w:tcPr>
          <w:p w14:paraId="6BFC52DC" w14:textId="77777777" w:rsidR="00A72067" w:rsidRPr="00A72067" w:rsidRDefault="00A72067" w:rsidP="00A72067">
            <w:pPr>
              <w:spacing w:after="0" w:line="240" w:lineRule="auto"/>
              <w:rPr>
                <w:rFonts w:ascii="Calibri" w:eastAsia="Times New Roman" w:hAnsi="Calibri" w:cs="Calibri"/>
                <w:b/>
                <w:bCs/>
                <w:sz w:val="16"/>
                <w:szCs w:val="16"/>
                <w:lang w:eastAsia="hr-HR"/>
              </w:rPr>
            </w:pPr>
          </w:p>
        </w:tc>
        <w:tc>
          <w:tcPr>
            <w:tcW w:w="665" w:type="dxa"/>
            <w:tcBorders>
              <w:top w:val="nil"/>
              <w:left w:val="single" w:sz="4" w:space="0" w:color="auto"/>
              <w:bottom w:val="single" w:sz="4" w:space="0" w:color="000000"/>
              <w:right w:val="single" w:sz="4" w:space="0" w:color="auto"/>
            </w:tcBorders>
            <w:vAlign w:val="center"/>
            <w:hideMark/>
          </w:tcPr>
          <w:p w14:paraId="4A03A3A1" w14:textId="77777777" w:rsidR="00A72067" w:rsidRPr="00A72067" w:rsidRDefault="00A72067" w:rsidP="00A72067">
            <w:pPr>
              <w:spacing w:after="0" w:line="240" w:lineRule="auto"/>
              <w:rPr>
                <w:rFonts w:ascii="Calibri" w:eastAsia="Times New Roman" w:hAnsi="Calibri" w:cs="Calibri"/>
                <w:sz w:val="16"/>
                <w:szCs w:val="16"/>
                <w:lang w:eastAsia="hr-HR"/>
              </w:rPr>
            </w:pPr>
          </w:p>
        </w:tc>
        <w:tc>
          <w:tcPr>
            <w:tcW w:w="632" w:type="dxa"/>
            <w:tcBorders>
              <w:top w:val="nil"/>
              <w:left w:val="nil"/>
              <w:bottom w:val="single" w:sz="4" w:space="0" w:color="auto"/>
              <w:right w:val="single" w:sz="4" w:space="0" w:color="auto"/>
            </w:tcBorders>
            <w:shd w:val="clear" w:color="000000" w:fill="CCFFCC"/>
            <w:textDirection w:val="btLr"/>
            <w:vAlign w:val="center"/>
            <w:hideMark/>
          </w:tcPr>
          <w:p w14:paraId="08A92BF0" w14:textId="77777777" w:rsidR="00A72067" w:rsidRPr="00A72067" w:rsidRDefault="00A72067" w:rsidP="00A72067">
            <w:pPr>
              <w:spacing w:after="0" w:line="240" w:lineRule="auto"/>
              <w:jc w:val="center"/>
              <w:rPr>
                <w:rFonts w:ascii="Tahoma" w:eastAsia="Times New Roman" w:hAnsi="Tahoma" w:cs="Tahoma"/>
                <w:sz w:val="16"/>
                <w:szCs w:val="16"/>
                <w:lang w:eastAsia="hr-HR"/>
              </w:rPr>
            </w:pPr>
            <w:r w:rsidRPr="00A72067">
              <w:rPr>
                <w:rFonts w:ascii="Tahoma" w:eastAsia="Times New Roman" w:hAnsi="Tahoma" w:cs="Tahoma"/>
                <w:sz w:val="16"/>
                <w:szCs w:val="16"/>
                <w:lang w:eastAsia="hr-HR"/>
              </w:rPr>
              <w:t xml:space="preserve">Žene </w:t>
            </w:r>
          </w:p>
        </w:tc>
        <w:tc>
          <w:tcPr>
            <w:tcW w:w="610" w:type="dxa"/>
            <w:tcBorders>
              <w:top w:val="nil"/>
              <w:left w:val="nil"/>
              <w:bottom w:val="single" w:sz="4" w:space="0" w:color="auto"/>
              <w:right w:val="single" w:sz="4" w:space="0" w:color="auto"/>
            </w:tcBorders>
            <w:shd w:val="clear" w:color="000000" w:fill="CCFFCC"/>
            <w:textDirection w:val="btLr"/>
            <w:vAlign w:val="center"/>
            <w:hideMark/>
          </w:tcPr>
          <w:p w14:paraId="5D073E7F" w14:textId="77777777" w:rsidR="00A72067" w:rsidRPr="00A72067" w:rsidRDefault="00A72067" w:rsidP="00A72067">
            <w:pPr>
              <w:spacing w:after="0" w:line="240" w:lineRule="auto"/>
              <w:jc w:val="center"/>
              <w:rPr>
                <w:rFonts w:ascii="Tahoma" w:eastAsia="Times New Roman" w:hAnsi="Tahoma" w:cs="Tahoma"/>
                <w:sz w:val="16"/>
                <w:szCs w:val="16"/>
                <w:lang w:eastAsia="hr-HR"/>
              </w:rPr>
            </w:pPr>
            <w:r w:rsidRPr="00A72067">
              <w:rPr>
                <w:rFonts w:ascii="Tahoma" w:eastAsia="Times New Roman" w:hAnsi="Tahoma" w:cs="Tahoma"/>
                <w:sz w:val="16"/>
                <w:szCs w:val="16"/>
                <w:lang w:eastAsia="hr-HR"/>
              </w:rPr>
              <w:t>Muškarci</w:t>
            </w:r>
          </w:p>
        </w:tc>
        <w:tc>
          <w:tcPr>
            <w:tcW w:w="592" w:type="dxa"/>
            <w:tcBorders>
              <w:top w:val="nil"/>
              <w:left w:val="nil"/>
              <w:bottom w:val="single" w:sz="4" w:space="0" w:color="auto"/>
              <w:right w:val="single" w:sz="4" w:space="0" w:color="auto"/>
            </w:tcBorders>
            <w:shd w:val="clear" w:color="000000" w:fill="CCFFCC"/>
            <w:textDirection w:val="btLr"/>
            <w:vAlign w:val="center"/>
            <w:hideMark/>
          </w:tcPr>
          <w:p w14:paraId="79F583B2" w14:textId="77777777" w:rsidR="00A72067" w:rsidRPr="00A72067" w:rsidRDefault="00A72067" w:rsidP="00A72067">
            <w:pPr>
              <w:spacing w:after="0" w:line="240" w:lineRule="auto"/>
              <w:jc w:val="center"/>
              <w:rPr>
                <w:rFonts w:ascii="Tahoma" w:eastAsia="Times New Roman" w:hAnsi="Tahoma" w:cs="Tahoma"/>
                <w:sz w:val="16"/>
                <w:szCs w:val="16"/>
                <w:lang w:eastAsia="hr-HR"/>
              </w:rPr>
            </w:pPr>
            <w:r w:rsidRPr="00A72067">
              <w:rPr>
                <w:rFonts w:ascii="Tahoma" w:eastAsia="Times New Roman" w:hAnsi="Tahoma" w:cs="Tahoma"/>
                <w:sz w:val="16"/>
                <w:szCs w:val="16"/>
                <w:lang w:eastAsia="hr-HR"/>
              </w:rPr>
              <w:t>Ostalo</w:t>
            </w:r>
          </w:p>
        </w:tc>
        <w:tc>
          <w:tcPr>
            <w:tcW w:w="698" w:type="dxa"/>
            <w:tcBorders>
              <w:top w:val="nil"/>
              <w:left w:val="nil"/>
              <w:bottom w:val="single" w:sz="4" w:space="0" w:color="auto"/>
              <w:right w:val="single" w:sz="4" w:space="0" w:color="auto"/>
            </w:tcBorders>
            <w:shd w:val="clear" w:color="000000" w:fill="CCFFCC"/>
            <w:textDirection w:val="btLr"/>
            <w:vAlign w:val="center"/>
            <w:hideMark/>
          </w:tcPr>
          <w:p w14:paraId="5ACA43A4" w14:textId="77777777" w:rsidR="00A72067" w:rsidRPr="00A72067" w:rsidRDefault="00A72067" w:rsidP="00A72067">
            <w:pPr>
              <w:spacing w:after="0" w:line="240" w:lineRule="auto"/>
              <w:jc w:val="center"/>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 xml:space="preserve"> DO 12 MJESECI</w:t>
            </w:r>
          </w:p>
        </w:tc>
        <w:tc>
          <w:tcPr>
            <w:tcW w:w="716" w:type="dxa"/>
            <w:gridSpan w:val="2"/>
            <w:tcBorders>
              <w:top w:val="nil"/>
              <w:left w:val="nil"/>
              <w:bottom w:val="single" w:sz="4" w:space="0" w:color="auto"/>
              <w:right w:val="single" w:sz="8" w:space="0" w:color="auto"/>
            </w:tcBorders>
            <w:shd w:val="clear" w:color="000000" w:fill="CCFFCC"/>
            <w:textDirection w:val="btLr"/>
            <w:vAlign w:val="center"/>
            <w:hideMark/>
          </w:tcPr>
          <w:p w14:paraId="1C91CDB6" w14:textId="77777777" w:rsidR="00A72067" w:rsidRPr="00A72067" w:rsidRDefault="00A72067" w:rsidP="00A72067">
            <w:pPr>
              <w:spacing w:after="0" w:line="240" w:lineRule="auto"/>
              <w:jc w:val="center"/>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PREKO 12 MJESECI</w:t>
            </w:r>
          </w:p>
        </w:tc>
        <w:tc>
          <w:tcPr>
            <w:tcW w:w="236" w:type="dxa"/>
            <w:gridSpan w:val="2"/>
            <w:vAlign w:val="center"/>
            <w:hideMark/>
          </w:tcPr>
          <w:p w14:paraId="208D7E82" w14:textId="77777777" w:rsidR="00A72067" w:rsidRPr="00A72067" w:rsidRDefault="00A72067" w:rsidP="00A72067">
            <w:pPr>
              <w:spacing w:after="0" w:line="240" w:lineRule="auto"/>
              <w:rPr>
                <w:rFonts w:ascii="Times New Roman" w:eastAsia="Times New Roman" w:hAnsi="Times New Roman" w:cs="Times New Roman"/>
                <w:sz w:val="16"/>
                <w:szCs w:val="16"/>
                <w:lang w:eastAsia="hr-HR"/>
              </w:rPr>
            </w:pPr>
          </w:p>
        </w:tc>
      </w:tr>
      <w:tr w:rsidR="00A72067" w:rsidRPr="00A72067" w14:paraId="021C75B3" w14:textId="77777777" w:rsidTr="00A72067">
        <w:trPr>
          <w:trHeight w:val="300"/>
        </w:trPr>
        <w:tc>
          <w:tcPr>
            <w:tcW w:w="1264" w:type="dxa"/>
            <w:tcBorders>
              <w:top w:val="nil"/>
              <w:left w:val="single" w:sz="8" w:space="0" w:color="auto"/>
              <w:bottom w:val="single" w:sz="4" w:space="0" w:color="auto"/>
              <w:right w:val="nil"/>
            </w:tcBorders>
            <w:shd w:val="clear" w:color="000000" w:fill="CCFFCC"/>
            <w:vAlign w:val="center"/>
            <w:hideMark/>
          </w:tcPr>
          <w:p w14:paraId="47A182D5" w14:textId="77777777" w:rsidR="00A72067" w:rsidRPr="00A72067" w:rsidRDefault="00A72067" w:rsidP="00A72067">
            <w:pPr>
              <w:spacing w:after="0" w:line="240" w:lineRule="auto"/>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1.</w:t>
            </w:r>
          </w:p>
        </w:tc>
        <w:tc>
          <w:tcPr>
            <w:tcW w:w="460" w:type="dxa"/>
            <w:tcBorders>
              <w:top w:val="nil"/>
              <w:left w:val="single" w:sz="8" w:space="0" w:color="auto"/>
              <w:bottom w:val="single" w:sz="4" w:space="0" w:color="auto"/>
              <w:right w:val="single" w:sz="4" w:space="0" w:color="auto"/>
            </w:tcBorders>
            <w:shd w:val="clear" w:color="000000" w:fill="CCFFCC"/>
            <w:vAlign w:val="center"/>
            <w:hideMark/>
          </w:tcPr>
          <w:p w14:paraId="1A2508D0" w14:textId="77777777" w:rsidR="00A72067" w:rsidRPr="00A72067" w:rsidRDefault="00A72067" w:rsidP="00A72067">
            <w:pPr>
              <w:spacing w:after="0" w:line="240" w:lineRule="auto"/>
              <w:jc w:val="center"/>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2.</w:t>
            </w:r>
          </w:p>
        </w:tc>
        <w:tc>
          <w:tcPr>
            <w:tcW w:w="434" w:type="dxa"/>
            <w:tcBorders>
              <w:top w:val="nil"/>
              <w:left w:val="nil"/>
              <w:bottom w:val="single" w:sz="4" w:space="0" w:color="auto"/>
              <w:right w:val="single" w:sz="4" w:space="0" w:color="auto"/>
            </w:tcBorders>
            <w:shd w:val="clear" w:color="000000" w:fill="CCFFCC"/>
            <w:vAlign w:val="center"/>
            <w:hideMark/>
          </w:tcPr>
          <w:p w14:paraId="19CFC877" w14:textId="77777777" w:rsidR="00A72067" w:rsidRPr="00A72067" w:rsidRDefault="00A72067" w:rsidP="00A72067">
            <w:pPr>
              <w:spacing w:after="0" w:line="240" w:lineRule="auto"/>
              <w:jc w:val="center"/>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3.</w:t>
            </w:r>
          </w:p>
        </w:tc>
        <w:tc>
          <w:tcPr>
            <w:tcW w:w="585" w:type="dxa"/>
            <w:tcBorders>
              <w:top w:val="single" w:sz="4" w:space="0" w:color="auto"/>
              <w:left w:val="nil"/>
              <w:bottom w:val="single" w:sz="4" w:space="0" w:color="auto"/>
              <w:right w:val="single" w:sz="4" w:space="0" w:color="auto"/>
            </w:tcBorders>
            <w:shd w:val="clear" w:color="000000" w:fill="CCFFCC"/>
            <w:vAlign w:val="center"/>
            <w:hideMark/>
          </w:tcPr>
          <w:p w14:paraId="534A39D9" w14:textId="77777777" w:rsidR="00A72067" w:rsidRPr="00A72067" w:rsidRDefault="00A72067" w:rsidP="00A72067">
            <w:pPr>
              <w:spacing w:after="0" w:line="240" w:lineRule="auto"/>
              <w:jc w:val="center"/>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4.</w:t>
            </w:r>
          </w:p>
        </w:tc>
        <w:tc>
          <w:tcPr>
            <w:tcW w:w="652" w:type="dxa"/>
            <w:tcBorders>
              <w:top w:val="single" w:sz="4" w:space="0" w:color="auto"/>
              <w:left w:val="nil"/>
              <w:bottom w:val="single" w:sz="4" w:space="0" w:color="auto"/>
              <w:right w:val="single" w:sz="4" w:space="0" w:color="auto"/>
            </w:tcBorders>
            <w:shd w:val="clear" w:color="000000" w:fill="CCFFCC"/>
            <w:vAlign w:val="center"/>
            <w:hideMark/>
          </w:tcPr>
          <w:p w14:paraId="619A11A5" w14:textId="77777777" w:rsidR="00A72067" w:rsidRPr="00A72067" w:rsidRDefault="00A72067" w:rsidP="00A72067">
            <w:pPr>
              <w:spacing w:after="0" w:line="240" w:lineRule="auto"/>
              <w:jc w:val="center"/>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5.</w:t>
            </w:r>
          </w:p>
        </w:tc>
        <w:tc>
          <w:tcPr>
            <w:tcW w:w="422" w:type="dxa"/>
            <w:tcBorders>
              <w:top w:val="nil"/>
              <w:left w:val="nil"/>
              <w:bottom w:val="single" w:sz="4" w:space="0" w:color="auto"/>
              <w:right w:val="single" w:sz="4" w:space="0" w:color="auto"/>
            </w:tcBorders>
            <w:shd w:val="clear" w:color="000000" w:fill="CCFFCC"/>
            <w:vAlign w:val="center"/>
            <w:hideMark/>
          </w:tcPr>
          <w:p w14:paraId="6EA3E2A5" w14:textId="77777777" w:rsidR="00A72067" w:rsidRPr="00A72067" w:rsidRDefault="00A72067" w:rsidP="00A72067">
            <w:pPr>
              <w:spacing w:after="0" w:line="240" w:lineRule="auto"/>
              <w:jc w:val="center"/>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6.</w:t>
            </w:r>
          </w:p>
        </w:tc>
        <w:tc>
          <w:tcPr>
            <w:tcW w:w="424" w:type="dxa"/>
            <w:tcBorders>
              <w:top w:val="nil"/>
              <w:left w:val="nil"/>
              <w:bottom w:val="single" w:sz="4" w:space="0" w:color="auto"/>
              <w:right w:val="single" w:sz="4" w:space="0" w:color="auto"/>
            </w:tcBorders>
            <w:shd w:val="clear" w:color="000000" w:fill="CCFFCC"/>
            <w:vAlign w:val="center"/>
            <w:hideMark/>
          </w:tcPr>
          <w:p w14:paraId="203ACFE0" w14:textId="77777777" w:rsidR="00A72067" w:rsidRPr="00A72067" w:rsidRDefault="00A72067" w:rsidP="00A72067">
            <w:pPr>
              <w:spacing w:after="0" w:line="240" w:lineRule="auto"/>
              <w:jc w:val="center"/>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7.</w:t>
            </w:r>
          </w:p>
        </w:tc>
        <w:tc>
          <w:tcPr>
            <w:tcW w:w="698" w:type="dxa"/>
            <w:tcBorders>
              <w:top w:val="nil"/>
              <w:left w:val="nil"/>
              <w:bottom w:val="single" w:sz="4" w:space="0" w:color="auto"/>
              <w:right w:val="single" w:sz="4" w:space="0" w:color="auto"/>
            </w:tcBorders>
            <w:shd w:val="clear" w:color="000000" w:fill="CCFFCC"/>
            <w:vAlign w:val="center"/>
            <w:hideMark/>
          </w:tcPr>
          <w:p w14:paraId="0B4588A3" w14:textId="77777777" w:rsidR="00A72067" w:rsidRPr="00A72067" w:rsidRDefault="00A72067" w:rsidP="00A72067">
            <w:pPr>
              <w:spacing w:after="0" w:line="240" w:lineRule="auto"/>
              <w:jc w:val="center"/>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8.</w:t>
            </w:r>
          </w:p>
        </w:tc>
        <w:tc>
          <w:tcPr>
            <w:tcW w:w="438" w:type="dxa"/>
            <w:tcBorders>
              <w:top w:val="nil"/>
              <w:left w:val="nil"/>
              <w:bottom w:val="single" w:sz="4" w:space="0" w:color="auto"/>
              <w:right w:val="single" w:sz="4" w:space="0" w:color="auto"/>
            </w:tcBorders>
            <w:shd w:val="clear" w:color="000000" w:fill="CCFFCC"/>
            <w:vAlign w:val="center"/>
            <w:hideMark/>
          </w:tcPr>
          <w:p w14:paraId="05979AE7" w14:textId="77777777" w:rsidR="00A72067" w:rsidRPr="00A72067" w:rsidRDefault="00A72067" w:rsidP="00A72067">
            <w:pPr>
              <w:spacing w:after="0" w:line="240" w:lineRule="auto"/>
              <w:jc w:val="center"/>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9.</w:t>
            </w:r>
          </w:p>
        </w:tc>
        <w:tc>
          <w:tcPr>
            <w:tcW w:w="577" w:type="dxa"/>
            <w:tcBorders>
              <w:top w:val="nil"/>
              <w:left w:val="nil"/>
              <w:bottom w:val="single" w:sz="4" w:space="0" w:color="auto"/>
              <w:right w:val="single" w:sz="4" w:space="0" w:color="auto"/>
            </w:tcBorders>
            <w:shd w:val="clear" w:color="000000" w:fill="CCFFCC"/>
            <w:vAlign w:val="center"/>
            <w:hideMark/>
          </w:tcPr>
          <w:p w14:paraId="241E408C" w14:textId="77777777" w:rsidR="00A72067" w:rsidRPr="00A72067" w:rsidRDefault="00A72067" w:rsidP="00A72067">
            <w:pPr>
              <w:spacing w:after="0" w:line="240" w:lineRule="auto"/>
              <w:jc w:val="center"/>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10.</w:t>
            </w:r>
          </w:p>
        </w:tc>
        <w:tc>
          <w:tcPr>
            <w:tcW w:w="415" w:type="dxa"/>
            <w:gridSpan w:val="2"/>
            <w:tcBorders>
              <w:top w:val="nil"/>
              <w:left w:val="nil"/>
              <w:bottom w:val="single" w:sz="4" w:space="0" w:color="auto"/>
              <w:right w:val="single" w:sz="4" w:space="0" w:color="auto"/>
            </w:tcBorders>
            <w:shd w:val="clear" w:color="000000" w:fill="CCFFCC"/>
            <w:vAlign w:val="center"/>
            <w:hideMark/>
          </w:tcPr>
          <w:p w14:paraId="379F1047" w14:textId="77777777" w:rsidR="00A72067" w:rsidRPr="00A72067" w:rsidRDefault="00A72067" w:rsidP="00A72067">
            <w:pPr>
              <w:spacing w:after="0" w:line="240" w:lineRule="auto"/>
              <w:jc w:val="center"/>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11.</w:t>
            </w:r>
          </w:p>
        </w:tc>
        <w:tc>
          <w:tcPr>
            <w:tcW w:w="425" w:type="dxa"/>
            <w:tcBorders>
              <w:top w:val="nil"/>
              <w:left w:val="nil"/>
              <w:bottom w:val="single" w:sz="4" w:space="0" w:color="auto"/>
              <w:right w:val="single" w:sz="4" w:space="0" w:color="auto"/>
            </w:tcBorders>
            <w:shd w:val="clear" w:color="000000" w:fill="CCFFCC"/>
            <w:vAlign w:val="center"/>
            <w:hideMark/>
          </w:tcPr>
          <w:p w14:paraId="6C405054" w14:textId="77777777" w:rsidR="00A72067" w:rsidRPr="00A72067" w:rsidRDefault="00A72067" w:rsidP="00A72067">
            <w:pPr>
              <w:spacing w:after="0" w:line="240" w:lineRule="auto"/>
              <w:jc w:val="center"/>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12.</w:t>
            </w:r>
          </w:p>
        </w:tc>
        <w:tc>
          <w:tcPr>
            <w:tcW w:w="436" w:type="dxa"/>
            <w:tcBorders>
              <w:top w:val="nil"/>
              <w:left w:val="nil"/>
              <w:bottom w:val="single" w:sz="4" w:space="0" w:color="auto"/>
              <w:right w:val="single" w:sz="4" w:space="0" w:color="auto"/>
            </w:tcBorders>
            <w:shd w:val="clear" w:color="000000" w:fill="CCFFCC"/>
            <w:vAlign w:val="center"/>
            <w:hideMark/>
          </w:tcPr>
          <w:p w14:paraId="7A568CDD" w14:textId="77777777" w:rsidR="00A72067" w:rsidRPr="00A72067" w:rsidRDefault="00A72067" w:rsidP="00A72067">
            <w:pPr>
              <w:spacing w:after="0" w:line="240" w:lineRule="auto"/>
              <w:jc w:val="center"/>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13.</w:t>
            </w:r>
          </w:p>
        </w:tc>
        <w:tc>
          <w:tcPr>
            <w:tcW w:w="415" w:type="dxa"/>
            <w:gridSpan w:val="2"/>
            <w:tcBorders>
              <w:top w:val="nil"/>
              <w:left w:val="nil"/>
              <w:bottom w:val="single" w:sz="4" w:space="0" w:color="auto"/>
              <w:right w:val="single" w:sz="4" w:space="0" w:color="auto"/>
            </w:tcBorders>
            <w:shd w:val="clear" w:color="000000" w:fill="CCFFCC"/>
            <w:vAlign w:val="center"/>
            <w:hideMark/>
          </w:tcPr>
          <w:p w14:paraId="6566FF48" w14:textId="77777777" w:rsidR="00A72067" w:rsidRPr="00A72067" w:rsidRDefault="00A72067" w:rsidP="00A72067">
            <w:pPr>
              <w:spacing w:after="0" w:line="240" w:lineRule="auto"/>
              <w:jc w:val="center"/>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14.</w:t>
            </w:r>
          </w:p>
        </w:tc>
        <w:tc>
          <w:tcPr>
            <w:tcW w:w="425" w:type="dxa"/>
            <w:tcBorders>
              <w:top w:val="nil"/>
              <w:left w:val="nil"/>
              <w:bottom w:val="single" w:sz="4" w:space="0" w:color="auto"/>
              <w:right w:val="single" w:sz="4" w:space="0" w:color="auto"/>
            </w:tcBorders>
            <w:shd w:val="clear" w:color="000000" w:fill="CCFFCC"/>
            <w:vAlign w:val="center"/>
            <w:hideMark/>
          </w:tcPr>
          <w:p w14:paraId="3B5C56E1" w14:textId="77777777" w:rsidR="00A72067" w:rsidRPr="00A72067" w:rsidRDefault="00A72067" w:rsidP="00A72067">
            <w:pPr>
              <w:spacing w:after="0" w:line="240" w:lineRule="auto"/>
              <w:jc w:val="center"/>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15.</w:t>
            </w:r>
          </w:p>
        </w:tc>
        <w:tc>
          <w:tcPr>
            <w:tcW w:w="425" w:type="dxa"/>
            <w:tcBorders>
              <w:top w:val="nil"/>
              <w:left w:val="nil"/>
              <w:bottom w:val="single" w:sz="4" w:space="0" w:color="auto"/>
              <w:right w:val="single" w:sz="4" w:space="0" w:color="auto"/>
            </w:tcBorders>
            <w:shd w:val="clear" w:color="000000" w:fill="CCFFCC"/>
            <w:vAlign w:val="center"/>
            <w:hideMark/>
          </w:tcPr>
          <w:p w14:paraId="607DDAE4" w14:textId="77777777" w:rsidR="00A72067" w:rsidRPr="00A72067" w:rsidRDefault="00A72067" w:rsidP="00A72067">
            <w:pPr>
              <w:spacing w:after="0" w:line="240" w:lineRule="auto"/>
              <w:jc w:val="center"/>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16.</w:t>
            </w:r>
          </w:p>
        </w:tc>
        <w:tc>
          <w:tcPr>
            <w:tcW w:w="426" w:type="dxa"/>
            <w:tcBorders>
              <w:top w:val="nil"/>
              <w:left w:val="nil"/>
              <w:bottom w:val="single" w:sz="4" w:space="0" w:color="auto"/>
              <w:right w:val="single" w:sz="4" w:space="0" w:color="auto"/>
            </w:tcBorders>
            <w:shd w:val="clear" w:color="000000" w:fill="CCFFCC"/>
            <w:vAlign w:val="center"/>
            <w:hideMark/>
          </w:tcPr>
          <w:p w14:paraId="57433EE8" w14:textId="77777777" w:rsidR="00A72067" w:rsidRPr="00A72067" w:rsidRDefault="00A72067" w:rsidP="00A72067">
            <w:pPr>
              <w:spacing w:after="0" w:line="240" w:lineRule="auto"/>
              <w:jc w:val="center"/>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17.</w:t>
            </w:r>
          </w:p>
        </w:tc>
        <w:tc>
          <w:tcPr>
            <w:tcW w:w="436" w:type="dxa"/>
            <w:gridSpan w:val="2"/>
            <w:tcBorders>
              <w:top w:val="nil"/>
              <w:left w:val="nil"/>
              <w:bottom w:val="single" w:sz="4" w:space="0" w:color="auto"/>
              <w:right w:val="single" w:sz="4" w:space="0" w:color="auto"/>
            </w:tcBorders>
            <w:shd w:val="clear" w:color="000000" w:fill="CCFFCC"/>
            <w:vAlign w:val="center"/>
            <w:hideMark/>
          </w:tcPr>
          <w:p w14:paraId="49D14191" w14:textId="77777777" w:rsidR="00A72067" w:rsidRPr="00A72067" w:rsidRDefault="00A72067" w:rsidP="00A72067">
            <w:pPr>
              <w:spacing w:after="0" w:line="240" w:lineRule="auto"/>
              <w:jc w:val="center"/>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18.</w:t>
            </w:r>
          </w:p>
        </w:tc>
        <w:tc>
          <w:tcPr>
            <w:tcW w:w="556" w:type="dxa"/>
            <w:gridSpan w:val="2"/>
            <w:tcBorders>
              <w:top w:val="nil"/>
              <w:left w:val="nil"/>
              <w:bottom w:val="single" w:sz="4" w:space="0" w:color="auto"/>
              <w:right w:val="single" w:sz="4" w:space="0" w:color="auto"/>
            </w:tcBorders>
            <w:shd w:val="clear" w:color="000000" w:fill="CCFFCC"/>
            <w:vAlign w:val="center"/>
            <w:hideMark/>
          </w:tcPr>
          <w:p w14:paraId="7BCD381B" w14:textId="77777777" w:rsidR="00A72067" w:rsidRPr="00A72067" w:rsidRDefault="00A72067" w:rsidP="00A72067">
            <w:pPr>
              <w:spacing w:after="0" w:line="240" w:lineRule="auto"/>
              <w:jc w:val="center"/>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19.</w:t>
            </w:r>
          </w:p>
        </w:tc>
        <w:tc>
          <w:tcPr>
            <w:tcW w:w="665" w:type="dxa"/>
            <w:tcBorders>
              <w:top w:val="nil"/>
              <w:left w:val="nil"/>
              <w:bottom w:val="single" w:sz="4" w:space="0" w:color="auto"/>
              <w:right w:val="single" w:sz="4" w:space="0" w:color="auto"/>
            </w:tcBorders>
            <w:shd w:val="clear" w:color="000000" w:fill="CCFFCC"/>
            <w:vAlign w:val="center"/>
            <w:hideMark/>
          </w:tcPr>
          <w:p w14:paraId="0AEE5B3F" w14:textId="77777777" w:rsidR="00A72067" w:rsidRPr="00A72067" w:rsidRDefault="00A72067" w:rsidP="00A72067">
            <w:pPr>
              <w:spacing w:after="0" w:line="240" w:lineRule="auto"/>
              <w:jc w:val="center"/>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20.</w:t>
            </w:r>
          </w:p>
        </w:tc>
        <w:tc>
          <w:tcPr>
            <w:tcW w:w="632" w:type="dxa"/>
            <w:tcBorders>
              <w:top w:val="nil"/>
              <w:left w:val="nil"/>
              <w:bottom w:val="single" w:sz="4" w:space="0" w:color="auto"/>
              <w:right w:val="single" w:sz="4" w:space="0" w:color="auto"/>
            </w:tcBorders>
            <w:shd w:val="clear" w:color="000000" w:fill="CCFFCC"/>
            <w:vAlign w:val="center"/>
            <w:hideMark/>
          </w:tcPr>
          <w:p w14:paraId="752F480A" w14:textId="77777777" w:rsidR="00A72067" w:rsidRPr="00A72067" w:rsidRDefault="00A72067" w:rsidP="00A72067">
            <w:pPr>
              <w:spacing w:after="0" w:line="240" w:lineRule="auto"/>
              <w:jc w:val="center"/>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21.</w:t>
            </w:r>
          </w:p>
        </w:tc>
        <w:tc>
          <w:tcPr>
            <w:tcW w:w="610" w:type="dxa"/>
            <w:tcBorders>
              <w:top w:val="nil"/>
              <w:left w:val="nil"/>
              <w:bottom w:val="single" w:sz="4" w:space="0" w:color="auto"/>
              <w:right w:val="single" w:sz="4" w:space="0" w:color="auto"/>
            </w:tcBorders>
            <w:shd w:val="clear" w:color="000000" w:fill="CCFFCC"/>
            <w:vAlign w:val="center"/>
            <w:hideMark/>
          </w:tcPr>
          <w:p w14:paraId="31EBA4C4" w14:textId="77777777" w:rsidR="00A72067" w:rsidRPr="00A72067" w:rsidRDefault="00A72067" w:rsidP="00A72067">
            <w:pPr>
              <w:spacing w:after="0" w:line="240" w:lineRule="auto"/>
              <w:jc w:val="center"/>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22.</w:t>
            </w:r>
          </w:p>
        </w:tc>
        <w:tc>
          <w:tcPr>
            <w:tcW w:w="592" w:type="dxa"/>
            <w:tcBorders>
              <w:top w:val="nil"/>
              <w:left w:val="nil"/>
              <w:bottom w:val="single" w:sz="4" w:space="0" w:color="auto"/>
              <w:right w:val="single" w:sz="4" w:space="0" w:color="auto"/>
            </w:tcBorders>
            <w:shd w:val="clear" w:color="000000" w:fill="CCFFCC"/>
            <w:vAlign w:val="center"/>
            <w:hideMark/>
          </w:tcPr>
          <w:p w14:paraId="381CB3DE" w14:textId="77777777" w:rsidR="00A72067" w:rsidRPr="00A72067" w:rsidRDefault="00A72067" w:rsidP="00A72067">
            <w:pPr>
              <w:spacing w:after="0" w:line="240" w:lineRule="auto"/>
              <w:jc w:val="center"/>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23.</w:t>
            </w:r>
          </w:p>
        </w:tc>
        <w:tc>
          <w:tcPr>
            <w:tcW w:w="698" w:type="dxa"/>
            <w:tcBorders>
              <w:top w:val="nil"/>
              <w:left w:val="nil"/>
              <w:bottom w:val="single" w:sz="4" w:space="0" w:color="auto"/>
              <w:right w:val="single" w:sz="4" w:space="0" w:color="auto"/>
            </w:tcBorders>
            <w:shd w:val="clear" w:color="000000" w:fill="CCFFCC"/>
            <w:vAlign w:val="center"/>
            <w:hideMark/>
          </w:tcPr>
          <w:p w14:paraId="402D1C1F" w14:textId="77777777" w:rsidR="00A72067" w:rsidRPr="00A72067" w:rsidRDefault="00A72067" w:rsidP="00A72067">
            <w:pPr>
              <w:spacing w:after="0" w:line="240" w:lineRule="auto"/>
              <w:jc w:val="center"/>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24.</w:t>
            </w:r>
          </w:p>
        </w:tc>
        <w:tc>
          <w:tcPr>
            <w:tcW w:w="716" w:type="dxa"/>
            <w:gridSpan w:val="2"/>
            <w:tcBorders>
              <w:top w:val="nil"/>
              <w:left w:val="nil"/>
              <w:bottom w:val="single" w:sz="4" w:space="0" w:color="auto"/>
              <w:right w:val="single" w:sz="8" w:space="0" w:color="auto"/>
            </w:tcBorders>
            <w:shd w:val="clear" w:color="000000" w:fill="CCFFCC"/>
            <w:vAlign w:val="center"/>
            <w:hideMark/>
          </w:tcPr>
          <w:p w14:paraId="1D9CAE40" w14:textId="77777777" w:rsidR="00A72067" w:rsidRPr="00A72067" w:rsidRDefault="00A72067" w:rsidP="00A72067">
            <w:pPr>
              <w:spacing w:after="0" w:line="240" w:lineRule="auto"/>
              <w:jc w:val="center"/>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25.</w:t>
            </w:r>
          </w:p>
        </w:tc>
        <w:tc>
          <w:tcPr>
            <w:tcW w:w="236" w:type="dxa"/>
            <w:gridSpan w:val="2"/>
            <w:vAlign w:val="center"/>
            <w:hideMark/>
          </w:tcPr>
          <w:p w14:paraId="1ED590B0" w14:textId="77777777" w:rsidR="00A72067" w:rsidRPr="00A72067" w:rsidRDefault="00A72067" w:rsidP="00A72067">
            <w:pPr>
              <w:spacing w:after="0" w:line="240" w:lineRule="auto"/>
              <w:rPr>
                <w:rFonts w:ascii="Times New Roman" w:eastAsia="Times New Roman" w:hAnsi="Times New Roman" w:cs="Times New Roman"/>
                <w:sz w:val="16"/>
                <w:szCs w:val="16"/>
                <w:lang w:eastAsia="hr-HR"/>
              </w:rPr>
            </w:pPr>
          </w:p>
        </w:tc>
      </w:tr>
      <w:tr w:rsidR="00A72067" w:rsidRPr="00A72067" w14:paraId="704D3976" w14:textId="77777777" w:rsidTr="00A72067">
        <w:trPr>
          <w:trHeight w:val="402"/>
        </w:trPr>
        <w:tc>
          <w:tcPr>
            <w:tcW w:w="1264" w:type="dxa"/>
            <w:tcBorders>
              <w:top w:val="nil"/>
              <w:left w:val="single" w:sz="8" w:space="0" w:color="auto"/>
              <w:bottom w:val="single" w:sz="4" w:space="0" w:color="auto"/>
              <w:right w:val="nil"/>
            </w:tcBorders>
            <w:shd w:val="clear" w:color="000000" w:fill="CCFFCC"/>
            <w:vAlign w:val="center"/>
            <w:hideMark/>
          </w:tcPr>
          <w:p w14:paraId="18DC0BA0" w14:textId="77777777" w:rsidR="00A72067" w:rsidRPr="00A72067" w:rsidRDefault="00A72067" w:rsidP="00A72067">
            <w:pPr>
              <w:spacing w:after="0" w:line="240" w:lineRule="auto"/>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 xml:space="preserve">Rasa ili etnička </w:t>
            </w:r>
            <w:proofErr w:type="spellStart"/>
            <w:r w:rsidRPr="00A72067">
              <w:rPr>
                <w:rFonts w:ascii="Calibri" w:eastAsia="Times New Roman" w:hAnsi="Calibri" w:cs="Calibri"/>
                <w:sz w:val="16"/>
                <w:szCs w:val="16"/>
                <w:lang w:eastAsia="hr-HR"/>
              </w:rPr>
              <w:t>propadnost</w:t>
            </w:r>
            <w:proofErr w:type="spellEnd"/>
            <w:r w:rsidRPr="00A72067">
              <w:rPr>
                <w:rFonts w:ascii="Calibri" w:eastAsia="Times New Roman" w:hAnsi="Calibri" w:cs="Calibri"/>
                <w:sz w:val="16"/>
                <w:szCs w:val="16"/>
                <w:lang w:eastAsia="hr-HR"/>
              </w:rPr>
              <w:t xml:space="preserve"> ili boja kože</w:t>
            </w:r>
          </w:p>
        </w:tc>
        <w:tc>
          <w:tcPr>
            <w:tcW w:w="460" w:type="dxa"/>
            <w:tcBorders>
              <w:top w:val="nil"/>
              <w:left w:val="single" w:sz="8" w:space="0" w:color="auto"/>
              <w:bottom w:val="single" w:sz="4" w:space="0" w:color="auto"/>
              <w:right w:val="single" w:sz="4" w:space="0" w:color="auto"/>
            </w:tcBorders>
            <w:shd w:val="clear" w:color="000000" w:fill="CCFFCC"/>
            <w:vAlign w:val="center"/>
            <w:hideMark/>
          </w:tcPr>
          <w:p w14:paraId="4CB6CA6D" w14:textId="77777777" w:rsidR="00A72067" w:rsidRPr="00A72067" w:rsidRDefault="00A72067" w:rsidP="00A72067">
            <w:pPr>
              <w:spacing w:after="0" w:line="240" w:lineRule="auto"/>
              <w:jc w:val="center"/>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12</w:t>
            </w:r>
          </w:p>
        </w:tc>
        <w:tc>
          <w:tcPr>
            <w:tcW w:w="434" w:type="dxa"/>
            <w:tcBorders>
              <w:top w:val="nil"/>
              <w:left w:val="nil"/>
              <w:bottom w:val="single" w:sz="4" w:space="0" w:color="auto"/>
              <w:right w:val="single" w:sz="4" w:space="0" w:color="auto"/>
            </w:tcBorders>
            <w:shd w:val="clear" w:color="000000" w:fill="FFCC99"/>
            <w:noWrap/>
            <w:vAlign w:val="bottom"/>
            <w:hideMark/>
          </w:tcPr>
          <w:p w14:paraId="1B808527" w14:textId="77777777" w:rsidR="00A72067" w:rsidRPr="00A72067" w:rsidRDefault="00A72067" w:rsidP="00A72067">
            <w:pPr>
              <w:spacing w:after="0" w:line="240" w:lineRule="auto"/>
              <w:jc w:val="center"/>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5</w:t>
            </w:r>
          </w:p>
        </w:tc>
        <w:tc>
          <w:tcPr>
            <w:tcW w:w="585" w:type="dxa"/>
            <w:tcBorders>
              <w:top w:val="nil"/>
              <w:left w:val="nil"/>
              <w:bottom w:val="single" w:sz="4" w:space="0" w:color="auto"/>
              <w:right w:val="single" w:sz="4" w:space="0" w:color="auto"/>
            </w:tcBorders>
            <w:shd w:val="clear" w:color="000000" w:fill="CCFFFF"/>
            <w:noWrap/>
            <w:vAlign w:val="bottom"/>
            <w:hideMark/>
          </w:tcPr>
          <w:p w14:paraId="2C80DC92"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4</w:t>
            </w:r>
          </w:p>
        </w:tc>
        <w:tc>
          <w:tcPr>
            <w:tcW w:w="652" w:type="dxa"/>
            <w:tcBorders>
              <w:top w:val="nil"/>
              <w:left w:val="nil"/>
              <w:bottom w:val="single" w:sz="4" w:space="0" w:color="auto"/>
              <w:right w:val="single" w:sz="4" w:space="0" w:color="auto"/>
            </w:tcBorders>
            <w:shd w:val="clear" w:color="000000" w:fill="CCFFFF"/>
            <w:noWrap/>
            <w:vAlign w:val="bottom"/>
            <w:hideMark/>
          </w:tcPr>
          <w:p w14:paraId="669A97BE"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3</w:t>
            </w:r>
          </w:p>
        </w:tc>
        <w:tc>
          <w:tcPr>
            <w:tcW w:w="422" w:type="dxa"/>
            <w:tcBorders>
              <w:top w:val="nil"/>
              <w:left w:val="nil"/>
              <w:bottom w:val="single" w:sz="4" w:space="0" w:color="auto"/>
              <w:right w:val="single" w:sz="4" w:space="0" w:color="auto"/>
            </w:tcBorders>
            <w:shd w:val="clear" w:color="000000" w:fill="FFFF99"/>
            <w:noWrap/>
            <w:vAlign w:val="bottom"/>
            <w:hideMark/>
          </w:tcPr>
          <w:p w14:paraId="53BC3188" w14:textId="77777777" w:rsidR="00A72067" w:rsidRPr="00A72067" w:rsidRDefault="00A72067" w:rsidP="00A72067">
            <w:pPr>
              <w:spacing w:after="0" w:line="240" w:lineRule="auto"/>
              <w:jc w:val="center"/>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5</w:t>
            </w:r>
          </w:p>
        </w:tc>
        <w:tc>
          <w:tcPr>
            <w:tcW w:w="424" w:type="dxa"/>
            <w:tcBorders>
              <w:top w:val="nil"/>
              <w:left w:val="nil"/>
              <w:bottom w:val="single" w:sz="4" w:space="0" w:color="auto"/>
              <w:right w:val="single" w:sz="4" w:space="0" w:color="auto"/>
            </w:tcBorders>
            <w:shd w:val="clear" w:color="000000" w:fill="FFFF99"/>
            <w:noWrap/>
            <w:vAlign w:val="bottom"/>
            <w:hideMark/>
          </w:tcPr>
          <w:p w14:paraId="75C5229E" w14:textId="77777777" w:rsidR="00A72067" w:rsidRPr="00A72067" w:rsidRDefault="00A72067" w:rsidP="00A72067">
            <w:pPr>
              <w:spacing w:after="0" w:line="240" w:lineRule="auto"/>
              <w:jc w:val="center"/>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698" w:type="dxa"/>
            <w:tcBorders>
              <w:top w:val="nil"/>
              <w:left w:val="nil"/>
              <w:bottom w:val="single" w:sz="4" w:space="0" w:color="auto"/>
              <w:right w:val="single" w:sz="4" w:space="0" w:color="auto"/>
            </w:tcBorders>
            <w:shd w:val="clear" w:color="000000" w:fill="FFFF99"/>
            <w:noWrap/>
            <w:vAlign w:val="bottom"/>
            <w:hideMark/>
          </w:tcPr>
          <w:p w14:paraId="26CDFD0A" w14:textId="77777777" w:rsidR="00A72067" w:rsidRPr="00A72067" w:rsidRDefault="00A72067" w:rsidP="00A72067">
            <w:pPr>
              <w:spacing w:after="0" w:line="240" w:lineRule="auto"/>
              <w:jc w:val="center"/>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438" w:type="dxa"/>
            <w:tcBorders>
              <w:top w:val="nil"/>
              <w:left w:val="nil"/>
              <w:bottom w:val="single" w:sz="4" w:space="0" w:color="auto"/>
              <w:right w:val="single" w:sz="4" w:space="0" w:color="auto"/>
            </w:tcBorders>
            <w:shd w:val="clear" w:color="000000" w:fill="FFFF99"/>
            <w:noWrap/>
            <w:vAlign w:val="bottom"/>
            <w:hideMark/>
          </w:tcPr>
          <w:p w14:paraId="47712300" w14:textId="77777777" w:rsidR="00A72067" w:rsidRPr="00A72067" w:rsidRDefault="00A72067" w:rsidP="00A72067">
            <w:pPr>
              <w:spacing w:after="0" w:line="240" w:lineRule="auto"/>
              <w:jc w:val="center"/>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577" w:type="dxa"/>
            <w:tcBorders>
              <w:top w:val="nil"/>
              <w:left w:val="nil"/>
              <w:bottom w:val="single" w:sz="4" w:space="0" w:color="auto"/>
              <w:right w:val="single" w:sz="4" w:space="0" w:color="auto"/>
            </w:tcBorders>
            <w:shd w:val="clear" w:color="000000" w:fill="FFFF99"/>
            <w:noWrap/>
            <w:vAlign w:val="bottom"/>
            <w:hideMark/>
          </w:tcPr>
          <w:p w14:paraId="5A58A3F2" w14:textId="77777777" w:rsidR="00A72067" w:rsidRPr="00A72067" w:rsidRDefault="00A72067" w:rsidP="00A72067">
            <w:pPr>
              <w:spacing w:after="0" w:line="240" w:lineRule="auto"/>
              <w:jc w:val="center"/>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415" w:type="dxa"/>
            <w:gridSpan w:val="2"/>
            <w:tcBorders>
              <w:top w:val="nil"/>
              <w:left w:val="nil"/>
              <w:bottom w:val="single" w:sz="4" w:space="0" w:color="auto"/>
              <w:right w:val="single" w:sz="4" w:space="0" w:color="auto"/>
            </w:tcBorders>
            <w:shd w:val="clear" w:color="000000" w:fill="FF9900"/>
            <w:noWrap/>
            <w:vAlign w:val="bottom"/>
            <w:hideMark/>
          </w:tcPr>
          <w:p w14:paraId="159658CD"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5</w:t>
            </w:r>
          </w:p>
        </w:tc>
        <w:tc>
          <w:tcPr>
            <w:tcW w:w="425" w:type="dxa"/>
            <w:tcBorders>
              <w:top w:val="nil"/>
              <w:left w:val="nil"/>
              <w:bottom w:val="single" w:sz="4" w:space="0" w:color="auto"/>
              <w:right w:val="single" w:sz="4" w:space="0" w:color="auto"/>
            </w:tcBorders>
            <w:shd w:val="clear" w:color="000000" w:fill="FF9900"/>
            <w:noWrap/>
            <w:vAlign w:val="bottom"/>
            <w:hideMark/>
          </w:tcPr>
          <w:p w14:paraId="43D97ACD"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4</w:t>
            </w:r>
          </w:p>
        </w:tc>
        <w:tc>
          <w:tcPr>
            <w:tcW w:w="436" w:type="dxa"/>
            <w:tcBorders>
              <w:top w:val="nil"/>
              <w:left w:val="nil"/>
              <w:bottom w:val="single" w:sz="4" w:space="0" w:color="auto"/>
              <w:right w:val="single" w:sz="4" w:space="0" w:color="auto"/>
            </w:tcBorders>
            <w:shd w:val="clear" w:color="000000" w:fill="FF9900"/>
            <w:noWrap/>
            <w:vAlign w:val="bottom"/>
            <w:hideMark/>
          </w:tcPr>
          <w:p w14:paraId="0948EB82"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1</w:t>
            </w:r>
          </w:p>
        </w:tc>
        <w:tc>
          <w:tcPr>
            <w:tcW w:w="415" w:type="dxa"/>
            <w:gridSpan w:val="2"/>
            <w:tcBorders>
              <w:top w:val="nil"/>
              <w:left w:val="nil"/>
              <w:bottom w:val="single" w:sz="4" w:space="0" w:color="auto"/>
              <w:right w:val="single" w:sz="4" w:space="0" w:color="auto"/>
            </w:tcBorders>
            <w:shd w:val="clear" w:color="000000" w:fill="66FFCC"/>
            <w:noWrap/>
            <w:vAlign w:val="bottom"/>
            <w:hideMark/>
          </w:tcPr>
          <w:p w14:paraId="4D7F9652"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425" w:type="dxa"/>
            <w:tcBorders>
              <w:top w:val="nil"/>
              <w:left w:val="nil"/>
              <w:bottom w:val="single" w:sz="4" w:space="0" w:color="auto"/>
              <w:right w:val="single" w:sz="4" w:space="0" w:color="auto"/>
            </w:tcBorders>
            <w:shd w:val="clear" w:color="000000" w:fill="66FFCC"/>
            <w:noWrap/>
            <w:vAlign w:val="bottom"/>
            <w:hideMark/>
          </w:tcPr>
          <w:p w14:paraId="32B69531"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5</w:t>
            </w:r>
          </w:p>
        </w:tc>
        <w:tc>
          <w:tcPr>
            <w:tcW w:w="425" w:type="dxa"/>
            <w:tcBorders>
              <w:top w:val="nil"/>
              <w:left w:val="nil"/>
              <w:bottom w:val="single" w:sz="4" w:space="0" w:color="auto"/>
              <w:right w:val="single" w:sz="4" w:space="0" w:color="auto"/>
            </w:tcBorders>
            <w:shd w:val="clear" w:color="000000" w:fill="66FFCC"/>
            <w:noWrap/>
            <w:vAlign w:val="bottom"/>
            <w:hideMark/>
          </w:tcPr>
          <w:p w14:paraId="218644A1"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426" w:type="dxa"/>
            <w:tcBorders>
              <w:top w:val="nil"/>
              <w:left w:val="nil"/>
              <w:bottom w:val="single" w:sz="4" w:space="0" w:color="auto"/>
              <w:right w:val="single" w:sz="4" w:space="0" w:color="auto"/>
            </w:tcBorders>
            <w:shd w:val="clear" w:color="000000" w:fill="66FFCC"/>
            <w:noWrap/>
            <w:vAlign w:val="bottom"/>
            <w:hideMark/>
          </w:tcPr>
          <w:p w14:paraId="3703A76F"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5</w:t>
            </w:r>
          </w:p>
        </w:tc>
        <w:tc>
          <w:tcPr>
            <w:tcW w:w="436" w:type="dxa"/>
            <w:gridSpan w:val="2"/>
            <w:tcBorders>
              <w:top w:val="nil"/>
              <w:left w:val="nil"/>
              <w:bottom w:val="single" w:sz="4" w:space="0" w:color="auto"/>
              <w:right w:val="single" w:sz="4" w:space="0" w:color="auto"/>
            </w:tcBorders>
            <w:shd w:val="clear" w:color="000000" w:fill="FFFF00"/>
            <w:vAlign w:val="center"/>
            <w:hideMark/>
          </w:tcPr>
          <w:p w14:paraId="223B2A16" w14:textId="77777777" w:rsidR="00A72067" w:rsidRPr="00A72067" w:rsidRDefault="00A72067" w:rsidP="00A72067">
            <w:pPr>
              <w:spacing w:after="0" w:line="240" w:lineRule="auto"/>
              <w:jc w:val="center"/>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10</w:t>
            </w:r>
          </w:p>
        </w:tc>
        <w:tc>
          <w:tcPr>
            <w:tcW w:w="556" w:type="dxa"/>
            <w:gridSpan w:val="2"/>
            <w:tcBorders>
              <w:top w:val="nil"/>
              <w:left w:val="nil"/>
              <w:bottom w:val="single" w:sz="4" w:space="0" w:color="auto"/>
              <w:right w:val="single" w:sz="4" w:space="0" w:color="auto"/>
            </w:tcBorders>
            <w:shd w:val="clear" w:color="000000" w:fill="FFFF99"/>
            <w:vAlign w:val="center"/>
            <w:hideMark/>
          </w:tcPr>
          <w:p w14:paraId="52CA62E3" w14:textId="77777777" w:rsidR="00A72067" w:rsidRPr="00A72067" w:rsidRDefault="00A72067" w:rsidP="00A72067">
            <w:pPr>
              <w:spacing w:after="0" w:line="240" w:lineRule="auto"/>
              <w:jc w:val="center"/>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7</w:t>
            </w:r>
          </w:p>
        </w:tc>
        <w:tc>
          <w:tcPr>
            <w:tcW w:w="665" w:type="dxa"/>
            <w:tcBorders>
              <w:top w:val="nil"/>
              <w:left w:val="nil"/>
              <w:bottom w:val="single" w:sz="4" w:space="0" w:color="auto"/>
              <w:right w:val="single" w:sz="4" w:space="0" w:color="auto"/>
            </w:tcBorders>
            <w:shd w:val="clear" w:color="000000" w:fill="FF9900"/>
            <w:vAlign w:val="center"/>
            <w:hideMark/>
          </w:tcPr>
          <w:p w14:paraId="39407096" w14:textId="77777777" w:rsidR="00A72067" w:rsidRPr="00A72067" w:rsidRDefault="00A72067" w:rsidP="00A72067">
            <w:pPr>
              <w:spacing w:after="0" w:line="240" w:lineRule="auto"/>
              <w:jc w:val="center"/>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5</w:t>
            </w:r>
          </w:p>
        </w:tc>
        <w:tc>
          <w:tcPr>
            <w:tcW w:w="632" w:type="dxa"/>
            <w:tcBorders>
              <w:top w:val="nil"/>
              <w:left w:val="nil"/>
              <w:bottom w:val="single" w:sz="4" w:space="0" w:color="auto"/>
              <w:right w:val="single" w:sz="4" w:space="0" w:color="auto"/>
            </w:tcBorders>
            <w:shd w:val="clear" w:color="000000" w:fill="CCFFFF"/>
            <w:vAlign w:val="bottom"/>
            <w:hideMark/>
          </w:tcPr>
          <w:p w14:paraId="782C0753"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3</w:t>
            </w:r>
          </w:p>
        </w:tc>
        <w:tc>
          <w:tcPr>
            <w:tcW w:w="610" w:type="dxa"/>
            <w:tcBorders>
              <w:top w:val="nil"/>
              <w:left w:val="nil"/>
              <w:bottom w:val="single" w:sz="4" w:space="0" w:color="auto"/>
              <w:right w:val="single" w:sz="4" w:space="0" w:color="auto"/>
            </w:tcBorders>
            <w:shd w:val="clear" w:color="000000" w:fill="CCFFFF"/>
            <w:vAlign w:val="bottom"/>
            <w:hideMark/>
          </w:tcPr>
          <w:p w14:paraId="4C21FD61"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3</w:t>
            </w:r>
          </w:p>
        </w:tc>
        <w:tc>
          <w:tcPr>
            <w:tcW w:w="592" w:type="dxa"/>
            <w:tcBorders>
              <w:top w:val="nil"/>
              <w:left w:val="nil"/>
              <w:bottom w:val="single" w:sz="4" w:space="0" w:color="auto"/>
              <w:right w:val="single" w:sz="4" w:space="0" w:color="auto"/>
            </w:tcBorders>
            <w:shd w:val="clear" w:color="000000" w:fill="CCFFFF"/>
            <w:vAlign w:val="bottom"/>
            <w:hideMark/>
          </w:tcPr>
          <w:p w14:paraId="4F024063"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698" w:type="dxa"/>
            <w:tcBorders>
              <w:top w:val="nil"/>
              <w:left w:val="nil"/>
              <w:bottom w:val="single" w:sz="4" w:space="0" w:color="auto"/>
              <w:right w:val="nil"/>
            </w:tcBorders>
            <w:shd w:val="clear" w:color="000000" w:fill="33CCCC"/>
            <w:noWrap/>
            <w:vAlign w:val="bottom"/>
            <w:hideMark/>
          </w:tcPr>
          <w:p w14:paraId="246D011D"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6</w:t>
            </w:r>
          </w:p>
        </w:tc>
        <w:tc>
          <w:tcPr>
            <w:tcW w:w="716" w:type="dxa"/>
            <w:gridSpan w:val="2"/>
            <w:tcBorders>
              <w:top w:val="nil"/>
              <w:left w:val="single" w:sz="4" w:space="0" w:color="auto"/>
              <w:bottom w:val="single" w:sz="4" w:space="0" w:color="auto"/>
              <w:right w:val="single" w:sz="8" w:space="0" w:color="auto"/>
            </w:tcBorders>
            <w:shd w:val="clear" w:color="000000" w:fill="33CCCC"/>
            <w:noWrap/>
            <w:vAlign w:val="bottom"/>
            <w:hideMark/>
          </w:tcPr>
          <w:p w14:paraId="04D085A3"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4</w:t>
            </w:r>
          </w:p>
        </w:tc>
        <w:tc>
          <w:tcPr>
            <w:tcW w:w="236" w:type="dxa"/>
            <w:gridSpan w:val="2"/>
            <w:vAlign w:val="center"/>
            <w:hideMark/>
          </w:tcPr>
          <w:p w14:paraId="4EA3785C" w14:textId="77777777" w:rsidR="00A72067" w:rsidRPr="00A72067" w:rsidRDefault="00A72067" w:rsidP="00A72067">
            <w:pPr>
              <w:spacing w:after="0" w:line="240" w:lineRule="auto"/>
              <w:rPr>
                <w:rFonts w:ascii="Times New Roman" w:eastAsia="Times New Roman" w:hAnsi="Times New Roman" w:cs="Times New Roman"/>
                <w:sz w:val="16"/>
                <w:szCs w:val="16"/>
                <w:lang w:eastAsia="hr-HR"/>
              </w:rPr>
            </w:pPr>
          </w:p>
        </w:tc>
      </w:tr>
      <w:tr w:rsidR="00A72067" w:rsidRPr="00A72067" w14:paraId="68149133" w14:textId="77777777" w:rsidTr="00A72067">
        <w:trPr>
          <w:trHeight w:val="402"/>
        </w:trPr>
        <w:tc>
          <w:tcPr>
            <w:tcW w:w="1264" w:type="dxa"/>
            <w:tcBorders>
              <w:top w:val="nil"/>
              <w:left w:val="single" w:sz="8" w:space="0" w:color="auto"/>
              <w:bottom w:val="single" w:sz="4" w:space="0" w:color="auto"/>
              <w:right w:val="nil"/>
            </w:tcBorders>
            <w:shd w:val="clear" w:color="000000" w:fill="CCFFCC"/>
            <w:vAlign w:val="center"/>
            <w:hideMark/>
          </w:tcPr>
          <w:p w14:paraId="5DA24E1D" w14:textId="77777777" w:rsidR="00A72067" w:rsidRPr="00A72067" w:rsidRDefault="00A72067" w:rsidP="00A72067">
            <w:pPr>
              <w:spacing w:after="0" w:line="240" w:lineRule="auto"/>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Spol</w:t>
            </w:r>
          </w:p>
        </w:tc>
        <w:tc>
          <w:tcPr>
            <w:tcW w:w="460" w:type="dxa"/>
            <w:tcBorders>
              <w:top w:val="nil"/>
              <w:left w:val="single" w:sz="8" w:space="0" w:color="auto"/>
              <w:bottom w:val="single" w:sz="4" w:space="0" w:color="auto"/>
              <w:right w:val="single" w:sz="4" w:space="0" w:color="auto"/>
            </w:tcBorders>
            <w:shd w:val="clear" w:color="000000" w:fill="CCFFCC"/>
            <w:vAlign w:val="center"/>
            <w:hideMark/>
          </w:tcPr>
          <w:p w14:paraId="369B9E41" w14:textId="77777777" w:rsidR="00A72067" w:rsidRPr="00A72067" w:rsidRDefault="00A72067" w:rsidP="00A72067">
            <w:pPr>
              <w:spacing w:after="0" w:line="240" w:lineRule="auto"/>
              <w:jc w:val="center"/>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5</w:t>
            </w:r>
          </w:p>
        </w:tc>
        <w:tc>
          <w:tcPr>
            <w:tcW w:w="434" w:type="dxa"/>
            <w:tcBorders>
              <w:top w:val="nil"/>
              <w:left w:val="nil"/>
              <w:bottom w:val="single" w:sz="4" w:space="0" w:color="auto"/>
              <w:right w:val="single" w:sz="4" w:space="0" w:color="auto"/>
            </w:tcBorders>
            <w:shd w:val="clear" w:color="000000" w:fill="FFCC99"/>
            <w:noWrap/>
            <w:vAlign w:val="bottom"/>
            <w:hideMark/>
          </w:tcPr>
          <w:p w14:paraId="0B12F6CA" w14:textId="77777777" w:rsidR="00A72067" w:rsidRPr="00A72067" w:rsidRDefault="00A72067" w:rsidP="00A72067">
            <w:pPr>
              <w:spacing w:after="0" w:line="240" w:lineRule="auto"/>
              <w:jc w:val="center"/>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11</w:t>
            </w:r>
          </w:p>
        </w:tc>
        <w:tc>
          <w:tcPr>
            <w:tcW w:w="585" w:type="dxa"/>
            <w:tcBorders>
              <w:top w:val="nil"/>
              <w:left w:val="nil"/>
              <w:bottom w:val="single" w:sz="4" w:space="0" w:color="auto"/>
              <w:right w:val="single" w:sz="4" w:space="0" w:color="auto"/>
            </w:tcBorders>
            <w:shd w:val="clear" w:color="000000" w:fill="CCFFFF"/>
            <w:noWrap/>
            <w:vAlign w:val="bottom"/>
            <w:hideMark/>
          </w:tcPr>
          <w:p w14:paraId="71924852"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8</w:t>
            </w:r>
          </w:p>
        </w:tc>
        <w:tc>
          <w:tcPr>
            <w:tcW w:w="652" w:type="dxa"/>
            <w:tcBorders>
              <w:top w:val="nil"/>
              <w:left w:val="nil"/>
              <w:bottom w:val="single" w:sz="4" w:space="0" w:color="auto"/>
              <w:right w:val="single" w:sz="4" w:space="0" w:color="auto"/>
            </w:tcBorders>
            <w:shd w:val="clear" w:color="000000" w:fill="CCFFFF"/>
            <w:noWrap/>
            <w:vAlign w:val="bottom"/>
            <w:hideMark/>
          </w:tcPr>
          <w:p w14:paraId="13ED60B0"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1</w:t>
            </w:r>
          </w:p>
        </w:tc>
        <w:tc>
          <w:tcPr>
            <w:tcW w:w="422" w:type="dxa"/>
            <w:tcBorders>
              <w:top w:val="nil"/>
              <w:left w:val="nil"/>
              <w:bottom w:val="single" w:sz="4" w:space="0" w:color="auto"/>
              <w:right w:val="single" w:sz="4" w:space="0" w:color="auto"/>
            </w:tcBorders>
            <w:shd w:val="clear" w:color="000000" w:fill="FFFF99"/>
            <w:noWrap/>
            <w:vAlign w:val="bottom"/>
            <w:hideMark/>
          </w:tcPr>
          <w:p w14:paraId="14A2ECD3" w14:textId="77777777" w:rsidR="00A72067" w:rsidRPr="00A72067" w:rsidRDefault="00A72067" w:rsidP="00A72067">
            <w:pPr>
              <w:spacing w:after="0" w:line="240" w:lineRule="auto"/>
              <w:jc w:val="center"/>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4</w:t>
            </w:r>
          </w:p>
        </w:tc>
        <w:tc>
          <w:tcPr>
            <w:tcW w:w="424" w:type="dxa"/>
            <w:tcBorders>
              <w:top w:val="nil"/>
              <w:left w:val="nil"/>
              <w:bottom w:val="single" w:sz="4" w:space="0" w:color="auto"/>
              <w:right w:val="single" w:sz="4" w:space="0" w:color="auto"/>
            </w:tcBorders>
            <w:shd w:val="clear" w:color="000000" w:fill="FFFF99"/>
            <w:noWrap/>
            <w:vAlign w:val="bottom"/>
            <w:hideMark/>
          </w:tcPr>
          <w:p w14:paraId="4964068F" w14:textId="77777777" w:rsidR="00A72067" w:rsidRPr="00A72067" w:rsidRDefault="00A72067" w:rsidP="00A72067">
            <w:pPr>
              <w:spacing w:after="0" w:line="240" w:lineRule="auto"/>
              <w:jc w:val="center"/>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1</w:t>
            </w:r>
          </w:p>
        </w:tc>
        <w:tc>
          <w:tcPr>
            <w:tcW w:w="698" w:type="dxa"/>
            <w:tcBorders>
              <w:top w:val="nil"/>
              <w:left w:val="nil"/>
              <w:bottom w:val="single" w:sz="4" w:space="0" w:color="auto"/>
              <w:right w:val="single" w:sz="4" w:space="0" w:color="auto"/>
            </w:tcBorders>
            <w:shd w:val="clear" w:color="000000" w:fill="FFFF99"/>
            <w:noWrap/>
            <w:vAlign w:val="bottom"/>
            <w:hideMark/>
          </w:tcPr>
          <w:p w14:paraId="1D5C86B9" w14:textId="77777777" w:rsidR="00A72067" w:rsidRPr="00A72067" w:rsidRDefault="00A72067" w:rsidP="00A72067">
            <w:pPr>
              <w:spacing w:after="0" w:line="240" w:lineRule="auto"/>
              <w:jc w:val="center"/>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438" w:type="dxa"/>
            <w:tcBorders>
              <w:top w:val="nil"/>
              <w:left w:val="nil"/>
              <w:bottom w:val="single" w:sz="4" w:space="0" w:color="auto"/>
              <w:right w:val="single" w:sz="4" w:space="0" w:color="auto"/>
            </w:tcBorders>
            <w:shd w:val="clear" w:color="000000" w:fill="FFFF99"/>
            <w:noWrap/>
            <w:vAlign w:val="bottom"/>
            <w:hideMark/>
          </w:tcPr>
          <w:p w14:paraId="01A93AD5" w14:textId="77777777" w:rsidR="00A72067" w:rsidRPr="00A72067" w:rsidRDefault="00A72067" w:rsidP="00A72067">
            <w:pPr>
              <w:spacing w:after="0" w:line="240" w:lineRule="auto"/>
              <w:jc w:val="center"/>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1</w:t>
            </w:r>
          </w:p>
        </w:tc>
        <w:tc>
          <w:tcPr>
            <w:tcW w:w="577" w:type="dxa"/>
            <w:tcBorders>
              <w:top w:val="nil"/>
              <w:left w:val="nil"/>
              <w:bottom w:val="single" w:sz="4" w:space="0" w:color="auto"/>
              <w:right w:val="single" w:sz="4" w:space="0" w:color="auto"/>
            </w:tcBorders>
            <w:shd w:val="clear" w:color="000000" w:fill="FFFF99"/>
            <w:noWrap/>
            <w:vAlign w:val="bottom"/>
            <w:hideMark/>
          </w:tcPr>
          <w:p w14:paraId="5442A5C4" w14:textId="77777777" w:rsidR="00A72067" w:rsidRPr="00A72067" w:rsidRDefault="00A72067" w:rsidP="00A72067">
            <w:pPr>
              <w:spacing w:after="0" w:line="240" w:lineRule="auto"/>
              <w:jc w:val="center"/>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8</w:t>
            </w:r>
          </w:p>
        </w:tc>
        <w:tc>
          <w:tcPr>
            <w:tcW w:w="415" w:type="dxa"/>
            <w:gridSpan w:val="2"/>
            <w:tcBorders>
              <w:top w:val="nil"/>
              <w:left w:val="nil"/>
              <w:bottom w:val="single" w:sz="4" w:space="0" w:color="auto"/>
              <w:right w:val="single" w:sz="4" w:space="0" w:color="auto"/>
            </w:tcBorders>
            <w:shd w:val="clear" w:color="000000" w:fill="FF9900"/>
            <w:noWrap/>
            <w:vAlign w:val="bottom"/>
            <w:hideMark/>
          </w:tcPr>
          <w:p w14:paraId="1BDE2660"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8</w:t>
            </w:r>
          </w:p>
        </w:tc>
        <w:tc>
          <w:tcPr>
            <w:tcW w:w="425" w:type="dxa"/>
            <w:tcBorders>
              <w:top w:val="nil"/>
              <w:left w:val="nil"/>
              <w:bottom w:val="single" w:sz="4" w:space="0" w:color="auto"/>
              <w:right w:val="single" w:sz="4" w:space="0" w:color="auto"/>
            </w:tcBorders>
            <w:shd w:val="clear" w:color="000000" w:fill="FF9900"/>
            <w:noWrap/>
            <w:vAlign w:val="bottom"/>
            <w:hideMark/>
          </w:tcPr>
          <w:p w14:paraId="3472EB78"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1</w:t>
            </w:r>
          </w:p>
        </w:tc>
        <w:tc>
          <w:tcPr>
            <w:tcW w:w="436" w:type="dxa"/>
            <w:tcBorders>
              <w:top w:val="nil"/>
              <w:left w:val="nil"/>
              <w:bottom w:val="single" w:sz="4" w:space="0" w:color="auto"/>
              <w:right w:val="single" w:sz="4" w:space="0" w:color="auto"/>
            </w:tcBorders>
            <w:shd w:val="clear" w:color="000000" w:fill="FF9900"/>
            <w:noWrap/>
            <w:vAlign w:val="bottom"/>
            <w:hideMark/>
          </w:tcPr>
          <w:p w14:paraId="37C03615"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1</w:t>
            </w:r>
          </w:p>
        </w:tc>
        <w:tc>
          <w:tcPr>
            <w:tcW w:w="415" w:type="dxa"/>
            <w:gridSpan w:val="2"/>
            <w:tcBorders>
              <w:top w:val="nil"/>
              <w:left w:val="nil"/>
              <w:bottom w:val="single" w:sz="4" w:space="0" w:color="auto"/>
              <w:right w:val="single" w:sz="4" w:space="0" w:color="auto"/>
            </w:tcBorders>
            <w:shd w:val="clear" w:color="000000" w:fill="66FFCC"/>
            <w:noWrap/>
            <w:vAlign w:val="bottom"/>
            <w:hideMark/>
          </w:tcPr>
          <w:p w14:paraId="63E79526"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425" w:type="dxa"/>
            <w:tcBorders>
              <w:top w:val="nil"/>
              <w:left w:val="nil"/>
              <w:bottom w:val="single" w:sz="4" w:space="0" w:color="auto"/>
              <w:right w:val="single" w:sz="4" w:space="0" w:color="auto"/>
            </w:tcBorders>
            <w:shd w:val="clear" w:color="000000" w:fill="66FFCC"/>
            <w:noWrap/>
            <w:vAlign w:val="bottom"/>
            <w:hideMark/>
          </w:tcPr>
          <w:p w14:paraId="4651C49F"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9</w:t>
            </w:r>
          </w:p>
        </w:tc>
        <w:tc>
          <w:tcPr>
            <w:tcW w:w="425" w:type="dxa"/>
            <w:tcBorders>
              <w:top w:val="nil"/>
              <w:left w:val="nil"/>
              <w:bottom w:val="single" w:sz="4" w:space="0" w:color="auto"/>
              <w:right w:val="single" w:sz="4" w:space="0" w:color="auto"/>
            </w:tcBorders>
            <w:shd w:val="clear" w:color="000000" w:fill="66FFCC"/>
            <w:noWrap/>
            <w:vAlign w:val="bottom"/>
            <w:hideMark/>
          </w:tcPr>
          <w:p w14:paraId="49F0DE3B"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2</w:t>
            </w:r>
          </w:p>
        </w:tc>
        <w:tc>
          <w:tcPr>
            <w:tcW w:w="426" w:type="dxa"/>
            <w:tcBorders>
              <w:top w:val="nil"/>
              <w:left w:val="nil"/>
              <w:bottom w:val="single" w:sz="4" w:space="0" w:color="auto"/>
              <w:right w:val="single" w:sz="4" w:space="0" w:color="auto"/>
            </w:tcBorders>
            <w:shd w:val="clear" w:color="000000" w:fill="66FFCC"/>
            <w:noWrap/>
            <w:vAlign w:val="bottom"/>
            <w:hideMark/>
          </w:tcPr>
          <w:p w14:paraId="388A4870"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11</w:t>
            </w:r>
          </w:p>
        </w:tc>
        <w:tc>
          <w:tcPr>
            <w:tcW w:w="436" w:type="dxa"/>
            <w:gridSpan w:val="2"/>
            <w:tcBorders>
              <w:top w:val="nil"/>
              <w:left w:val="nil"/>
              <w:bottom w:val="single" w:sz="4" w:space="0" w:color="auto"/>
              <w:right w:val="single" w:sz="4" w:space="0" w:color="auto"/>
            </w:tcBorders>
            <w:shd w:val="clear" w:color="000000" w:fill="FFFF00"/>
            <w:vAlign w:val="center"/>
            <w:hideMark/>
          </w:tcPr>
          <w:p w14:paraId="2C09C3B6" w14:textId="77777777" w:rsidR="00A72067" w:rsidRPr="00A72067" w:rsidRDefault="00A72067" w:rsidP="00A72067">
            <w:pPr>
              <w:spacing w:after="0" w:line="240" w:lineRule="auto"/>
              <w:jc w:val="center"/>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10</w:t>
            </w:r>
          </w:p>
        </w:tc>
        <w:tc>
          <w:tcPr>
            <w:tcW w:w="556" w:type="dxa"/>
            <w:gridSpan w:val="2"/>
            <w:tcBorders>
              <w:top w:val="nil"/>
              <w:left w:val="nil"/>
              <w:bottom w:val="single" w:sz="4" w:space="0" w:color="auto"/>
              <w:right w:val="single" w:sz="4" w:space="0" w:color="auto"/>
            </w:tcBorders>
            <w:shd w:val="clear" w:color="000000" w:fill="FFFF99"/>
            <w:vAlign w:val="center"/>
            <w:hideMark/>
          </w:tcPr>
          <w:p w14:paraId="0DA5DA7D" w14:textId="77777777" w:rsidR="00A72067" w:rsidRPr="00A72067" w:rsidRDefault="00A72067" w:rsidP="00A72067">
            <w:pPr>
              <w:spacing w:after="0" w:line="240" w:lineRule="auto"/>
              <w:jc w:val="center"/>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6</w:t>
            </w:r>
          </w:p>
        </w:tc>
        <w:tc>
          <w:tcPr>
            <w:tcW w:w="665" w:type="dxa"/>
            <w:tcBorders>
              <w:top w:val="nil"/>
              <w:left w:val="nil"/>
              <w:bottom w:val="single" w:sz="4" w:space="0" w:color="auto"/>
              <w:right w:val="single" w:sz="4" w:space="0" w:color="auto"/>
            </w:tcBorders>
            <w:shd w:val="clear" w:color="000000" w:fill="FF9900"/>
            <w:vAlign w:val="center"/>
            <w:hideMark/>
          </w:tcPr>
          <w:p w14:paraId="2EBB97D2" w14:textId="77777777" w:rsidR="00A72067" w:rsidRPr="00A72067" w:rsidRDefault="00A72067" w:rsidP="00A72067">
            <w:pPr>
              <w:spacing w:after="0" w:line="240" w:lineRule="auto"/>
              <w:jc w:val="center"/>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11</w:t>
            </w:r>
          </w:p>
        </w:tc>
        <w:tc>
          <w:tcPr>
            <w:tcW w:w="632" w:type="dxa"/>
            <w:tcBorders>
              <w:top w:val="nil"/>
              <w:left w:val="nil"/>
              <w:bottom w:val="single" w:sz="4" w:space="0" w:color="auto"/>
              <w:right w:val="single" w:sz="4" w:space="0" w:color="auto"/>
            </w:tcBorders>
            <w:shd w:val="clear" w:color="000000" w:fill="CCFFFF"/>
            <w:vAlign w:val="bottom"/>
            <w:hideMark/>
          </w:tcPr>
          <w:p w14:paraId="6DBC25C8"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5</w:t>
            </w:r>
          </w:p>
        </w:tc>
        <w:tc>
          <w:tcPr>
            <w:tcW w:w="610" w:type="dxa"/>
            <w:tcBorders>
              <w:top w:val="nil"/>
              <w:left w:val="nil"/>
              <w:bottom w:val="single" w:sz="4" w:space="0" w:color="auto"/>
              <w:right w:val="single" w:sz="4" w:space="0" w:color="auto"/>
            </w:tcBorders>
            <w:shd w:val="clear" w:color="000000" w:fill="CCFFFF"/>
            <w:vAlign w:val="bottom"/>
            <w:hideMark/>
          </w:tcPr>
          <w:p w14:paraId="66026955"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1</w:t>
            </w:r>
          </w:p>
        </w:tc>
        <w:tc>
          <w:tcPr>
            <w:tcW w:w="592" w:type="dxa"/>
            <w:tcBorders>
              <w:top w:val="nil"/>
              <w:left w:val="nil"/>
              <w:bottom w:val="single" w:sz="4" w:space="0" w:color="auto"/>
              <w:right w:val="single" w:sz="4" w:space="0" w:color="auto"/>
            </w:tcBorders>
            <w:shd w:val="clear" w:color="000000" w:fill="CCFFFF"/>
            <w:vAlign w:val="bottom"/>
            <w:hideMark/>
          </w:tcPr>
          <w:p w14:paraId="058FCF81"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3</w:t>
            </w:r>
          </w:p>
        </w:tc>
        <w:tc>
          <w:tcPr>
            <w:tcW w:w="698" w:type="dxa"/>
            <w:tcBorders>
              <w:top w:val="nil"/>
              <w:left w:val="nil"/>
              <w:bottom w:val="single" w:sz="4" w:space="0" w:color="auto"/>
              <w:right w:val="nil"/>
            </w:tcBorders>
            <w:shd w:val="clear" w:color="000000" w:fill="33CCCC"/>
            <w:noWrap/>
            <w:vAlign w:val="bottom"/>
            <w:hideMark/>
          </w:tcPr>
          <w:p w14:paraId="7918315F"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10</w:t>
            </w:r>
          </w:p>
        </w:tc>
        <w:tc>
          <w:tcPr>
            <w:tcW w:w="716" w:type="dxa"/>
            <w:gridSpan w:val="2"/>
            <w:tcBorders>
              <w:top w:val="nil"/>
              <w:left w:val="single" w:sz="4" w:space="0" w:color="auto"/>
              <w:bottom w:val="single" w:sz="4" w:space="0" w:color="auto"/>
              <w:right w:val="single" w:sz="8" w:space="0" w:color="auto"/>
            </w:tcBorders>
            <w:shd w:val="clear" w:color="000000" w:fill="33CCCC"/>
            <w:noWrap/>
            <w:vAlign w:val="bottom"/>
            <w:hideMark/>
          </w:tcPr>
          <w:p w14:paraId="302AFB7B"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236" w:type="dxa"/>
            <w:gridSpan w:val="2"/>
            <w:vAlign w:val="center"/>
            <w:hideMark/>
          </w:tcPr>
          <w:p w14:paraId="7BFE5BCC" w14:textId="77777777" w:rsidR="00A72067" w:rsidRPr="00A72067" w:rsidRDefault="00A72067" w:rsidP="00A72067">
            <w:pPr>
              <w:spacing w:after="0" w:line="240" w:lineRule="auto"/>
              <w:rPr>
                <w:rFonts w:ascii="Times New Roman" w:eastAsia="Times New Roman" w:hAnsi="Times New Roman" w:cs="Times New Roman"/>
                <w:sz w:val="16"/>
                <w:szCs w:val="16"/>
                <w:lang w:eastAsia="hr-HR"/>
              </w:rPr>
            </w:pPr>
          </w:p>
        </w:tc>
      </w:tr>
      <w:tr w:rsidR="00A72067" w:rsidRPr="00A72067" w14:paraId="0AF4165D" w14:textId="77777777" w:rsidTr="00A72067">
        <w:trPr>
          <w:trHeight w:val="402"/>
        </w:trPr>
        <w:tc>
          <w:tcPr>
            <w:tcW w:w="1264" w:type="dxa"/>
            <w:tcBorders>
              <w:top w:val="nil"/>
              <w:left w:val="single" w:sz="8" w:space="0" w:color="auto"/>
              <w:bottom w:val="single" w:sz="4" w:space="0" w:color="auto"/>
              <w:right w:val="nil"/>
            </w:tcBorders>
            <w:shd w:val="clear" w:color="000000" w:fill="CCFFCC"/>
            <w:vAlign w:val="center"/>
            <w:hideMark/>
          </w:tcPr>
          <w:p w14:paraId="78134789" w14:textId="77777777" w:rsidR="00A72067" w:rsidRPr="00A72067" w:rsidRDefault="00A72067" w:rsidP="00A72067">
            <w:pPr>
              <w:spacing w:after="0" w:line="240" w:lineRule="auto"/>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Spolna orijentacija</w:t>
            </w:r>
          </w:p>
        </w:tc>
        <w:tc>
          <w:tcPr>
            <w:tcW w:w="460" w:type="dxa"/>
            <w:tcBorders>
              <w:top w:val="nil"/>
              <w:left w:val="single" w:sz="8" w:space="0" w:color="auto"/>
              <w:bottom w:val="single" w:sz="4" w:space="0" w:color="auto"/>
              <w:right w:val="single" w:sz="4" w:space="0" w:color="auto"/>
            </w:tcBorders>
            <w:shd w:val="clear" w:color="000000" w:fill="CCFFCC"/>
            <w:vAlign w:val="center"/>
            <w:hideMark/>
          </w:tcPr>
          <w:p w14:paraId="16AC5632" w14:textId="77777777" w:rsidR="00A72067" w:rsidRPr="00A72067" w:rsidRDefault="00A72067" w:rsidP="00A72067">
            <w:pPr>
              <w:spacing w:after="0" w:line="240" w:lineRule="auto"/>
              <w:jc w:val="center"/>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4</w:t>
            </w:r>
          </w:p>
        </w:tc>
        <w:tc>
          <w:tcPr>
            <w:tcW w:w="434" w:type="dxa"/>
            <w:tcBorders>
              <w:top w:val="nil"/>
              <w:left w:val="nil"/>
              <w:bottom w:val="single" w:sz="4" w:space="0" w:color="auto"/>
              <w:right w:val="single" w:sz="4" w:space="0" w:color="auto"/>
            </w:tcBorders>
            <w:shd w:val="clear" w:color="000000" w:fill="FFCC99"/>
            <w:noWrap/>
            <w:vAlign w:val="bottom"/>
            <w:hideMark/>
          </w:tcPr>
          <w:p w14:paraId="6C7386B7" w14:textId="77777777" w:rsidR="00A72067" w:rsidRPr="00A72067" w:rsidRDefault="00A72067" w:rsidP="00A72067">
            <w:pPr>
              <w:spacing w:after="0" w:line="240" w:lineRule="auto"/>
              <w:jc w:val="center"/>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3</w:t>
            </w:r>
          </w:p>
        </w:tc>
        <w:tc>
          <w:tcPr>
            <w:tcW w:w="585" w:type="dxa"/>
            <w:tcBorders>
              <w:top w:val="nil"/>
              <w:left w:val="nil"/>
              <w:bottom w:val="single" w:sz="4" w:space="0" w:color="auto"/>
              <w:right w:val="single" w:sz="4" w:space="0" w:color="auto"/>
            </w:tcBorders>
            <w:shd w:val="clear" w:color="000000" w:fill="CCFFFF"/>
            <w:noWrap/>
            <w:vAlign w:val="bottom"/>
            <w:hideMark/>
          </w:tcPr>
          <w:p w14:paraId="2704106B"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1</w:t>
            </w:r>
          </w:p>
        </w:tc>
        <w:tc>
          <w:tcPr>
            <w:tcW w:w="652" w:type="dxa"/>
            <w:tcBorders>
              <w:top w:val="nil"/>
              <w:left w:val="nil"/>
              <w:bottom w:val="single" w:sz="4" w:space="0" w:color="auto"/>
              <w:right w:val="single" w:sz="4" w:space="0" w:color="auto"/>
            </w:tcBorders>
            <w:shd w:val="clear" w:color="000000" w:fill="CCFFFF"/>
            <w:noWrap/>
            <w:vAlign w:val="bottom"/>
            <w:hideMark/>
          </w:tcPr>
          <w:p w14:paraId="61F6AF1D"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1</w:t>
            </w:r>
          </w:p>
        </w:tc>
        <w:tc>
          <w:tcPr>
            <w:tcW w:w="422" w:type="dxa"/>
            <w:tcBorders>
              <w:top w:val="nil"/>
              <w:left w:val="nil"/>
              <w:bottom w:val="single" w:sz="4" w:space="0" w:color="auto"/>
              <w:right w:val="single" w:sz="4" w:space="0" w:color="auto"/>
            </w:tcBorders>
            <w:shd w:val="clear" w:color="000000" w:fill="FFFF99"/>
            <w:noWrap/>
            <w:vAlign w:val="bottom"/>
            <w:hideMark/>
          </w:tcPr>
          <w:p w14:paraId="4FA8C7FF" w14:textId="77777777" w:rsidR="00A72067" w:rsidRPr="00A72067" w:rsidRDefault="00A72067" w:rsidP="00A72067">
            <w:pPr>
              <w:spacing w:after="0" w:line="240" w:lineRule="auto"/>
              <w:jc w:val="center"/>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2</w:t>
            </w:r>
          </w:p>
        </w:tc>
        <w:tc>
          <w:tcPr>
            <w:tcW w:w="424" w:type="dxa"/>
            <w:tcBorders>
              <w:top w:val="nil"/>
              <w:left w:val="nil"/>
              <w:bottom w:val="single" w:sz="4" w:space="0" w:color="auto"/>
              <w:right w:val="single" w:sz="4" w:space="0" w:color="auto"/>
            </w:tcBorders>
            <w:shd w:val="clear" w:color="000000" w:fill="FFFF99"/>
            <w:noWrap/>
            <w:vAlign w:val="bottom"/>
            <w:hideMark/>
          </w:tcPr>
          <w:p w14:paraId="190D6106" w14:textId="77777777" w:rsidR="00A72067" w:rsidRPr="00A72067" w:rsidRDefault="00A72067" w:rsidP="00A72067">
            <w:pPr>
              <w:spacing w:after="0" w:line="240" w:lineRule="auto"/>
              <w:jc w:val="center"/>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1</w:t>
            </w:r>
          </w:p>
        </w:tc>
        <w:tc>
          <w:tcPr>
            <w:tcW w:w="698" w:type="dxa"/>
            <w:tcBorders>
              <w:top w:val="nil"/>
              <w:left w:val="nil"/>
              <w:bottom w:val="single" w:sz="4" w:space="0" w:color="auto"/>
              <w:right w:val="single" w:sz="4" w:space="0" w:color="auto"/>
            </w:tcBorders>
            <w:shd w:val="clear" w:color="000000" w:fill="FFFF99"/>
            <w:noWrap/>
            <w:vAlign w:val="bottom"/>
            <w:hideMark/>
          </w:tcPr>
          <w:p w14:paraId="314FDF6C" w14:textId="77777777" w:rsidR="00A72067" w:rsidRPr="00A72067" w:rsidRDefault="00A72067" w:rsidP="00A72067">
            <w:pPr>
              <w:spacing w:after="0" w:line="240" w:lineRule="auto"/>
              <w:jc w:val="center"/>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438" w:type="dxa"/>
            <w:tcBorders>
              <w:top w:val="nil"/>
              <w:left w:val="nil"/>
              <w:bottom w:val="single" w:sz="4" w:space="0" w:color="auto"/>
              <w:right w:val="single" w:sz="4" w:space="0" w:color="auto"/>
            </w:tcBorders>
            <w:shd w:val="clear" w:color="000000" w:fill="FFFF99"/>
            <w:noWrap/>
            <w:vAlign w:val="bottom"/>
            <w:hideMark/>
          </w:tcPr>
          <w:p w14:paraId="603B0D92" w14:textId="77777777" w:rsidR="00A72067" w:rsidRPr="00A72067" w:rsidRDefault="00A72067" w:rsidP="00A72067">
            <w:pPr>
              <w:spacing w:after="0" w:line="240" w:lineRule="auto"/>
              <w:jc w:val="center"/>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577" w:type="dxa"/>
            <w:tcBorders>
              <w:top w:val="nil"/>
              <w:left w:val="nil"/>
              <w:bottom w:val="single" w:sz="4" w:space="0" w:color="auto"/>
              <w:right w:val="single" w:sz="4" w:space="0" w:color="auto"/>
            </w:tcBorders>
            <w:shd w:val="clear" w:color="000000" w:fill="FFFF99"/>
            <w:noWrap/>
            <w:vAlign w:val="bottom"/>
            <w:hideMark/>
          </w:tcPr>
          <w:p w14:paraId="548483FD" w14:textId="77777777" w:rsidR="00A72067" w:rsidRPr="00A72067" w:rsidRDefault="00A72067" w:rsidP="00A72067">
            <w:pPr>
              <w:spacing w:after="0" w:line="240" w:lineRule="auto"/>
              <w:jc w:val="center"/>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415" w:type="dxa"/>
            <w:gridSpan w:val="2"/>
            <w:tcBorders>
              <w:top w:val="nil"/>
              <w:left w:val="nil"/>
              <w:bottom w:val="single" w:sz="4" w:space="0" w:color="auto"/>
              <w:right w:val="single" w:sz="4" w:space="0" w:color="auto"/>
            </w:tcBorders>
            <w:shd w:val="clear" w:color="000000" w:fill="FF9900"/>
            <w:noWrap/>
            <w:vAlign w:val="bottom"/>
            <w:hideMark/>
          </w:tcPr>
          <w:p w14:paraId="7AC8549A"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1</w:t>
            </w:r>
          </w:p>
        </w:tc>
        <w:tc>
          <w:tcPr>
            <w:tcW w:w="425" w:type="dxa"/>
            <w:tcBorders>
              <w:top w:val="nil"/>
              <w:left w:val="nil"/>
              <w:bottom w:val="single" w:sz="4" w:space="0" w:color="auto"/>
              <w:right w:val="single" w:sz="4" w:space="0" w:color="auto"/>
            </w:tcBorders>
            <w:shd w:val="clear" w:color="000000" w:fill="FF9900"/>
            <w:noWrap/>
            <w:vAlign w:val="bottom"/>
            <w:hideMark/>
          </w:tcPr>
          <w:p w14:paraId="72629406"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3</w:t>
            </w:r>
          </w:p>
        </w:tc>
        <w:tc>
          <w:tcPr>
            <w:tcW w:w="436" w:type="dxa"/>
            <w:tcBorders>
              <w:top w:val="nil"/>
              <w:left w:val="nil"/>
              <w:bottom w:val="single" w:sz="4" w:space="0" w:color="auto"/>
              <w:right w:val="single" w:sz="4" w:space="0" w:color="auto"/>
            </w:tcBorders>
            <w:shd w:val="clear" w:color="000000" w:fill="FF9900"/>
            <w:noWrap/>
            <w:vAlign w:val="bottom"/>
            <w:hideMark/>
          </w:tcPr>
          <w:p w14:paraId="4AD5A297"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2</w:t>
            </w:r>
          </w:p>
        </w:tc>
        <w:tc>
          <w:tcPr>
            <w:tcW w:w="415" w:type="dxa"/>
            <w:gridSpan w:val="2"/>
            <w:tcBorders>
              <w:top w:val="nil"/>
              <w:left w:val="nil"/>
              <w:bottom w:val="single" w:sz="4" w:space="0" w:color="auto"/>
              <w:right w:val="single" w:sz="4" w:space="0" w:color="auto"/>
            </w:tcBorders>
            <w:shd w:val="clear" w:color="000000" w:fill="66FFCC"/>
            <w:noWrap/>
            <w:vAlign w:val="bottom"/>
            <w:hideMark/>
          </w:tcPr>
          <w:p w14:paraId="00CB50CD"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425" w:type="dxa"/>
            <w:tcBorders>
              <w:top w:val="nil"/>
              <w:left w:val="nil"/>
              <w:bottom w:val="single" w:sz="4" w:space="0" w:color="auto"/>
              <w:right w:val="single" w:sz="4" w:space="0" w:color="auto"/>
            </w:tcBorders>
            <w:shd w:val="clear" w:color="000000" w:fill="66FFCC"/>
            <w:noWrap/>
            <w:vAlign w:val="bottom"/>
            <w:hideMark/>
          </w:tcPr>
          <w:p w14:paraId="12E78910"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1</w:t>
            </w:r>
          </w:p>
        </w:tc>
        <w:tc>
          <w:tcPr>
            <w:tcW w:w="425" w:type="dxa"/>
            <w:tcBorders>
              <w:top w:val="nil"/>
              <w:left w:val="nil"/>
              <w:bottom w:val="single" w:sz="4" w:space="0" w:color="auto"/>
              <w:right w:val="single" w:sz="4" w:space="0" w:color="auto"/>
            </w:tcBorders>
            <w:shd w:val="clear" w:color="000000" w:fill="66FFCC"/>
            <w:noWrap/>
            <w:vAlign w:val="bottom"/>
            <w:hideMark/>
          </w:tcPr>
          <w:p w14:paraId="5781F451"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426" w:type="dxa"/>
            <w:tcBorders>
              <w:top w:val="nil"/>
              <w:left w:val="nil"/>
              <w:bottom w:val="single" w:sz="4" w:space="0" w:color="auto"/>
              <w:right w:val="single" w:sz="4" w:space="0" w:color="auto"/>
            </w:tcBorders>
            <w:shd w:val="clear" w:color="000000" w:fill="66FFCC"/>
            <w:noWrap/>
            <w:vAlign w:val="bottom"/>
            <w:hideMark/>
          </w:tcPr>
          <w:p w14:paraId="2F86B409"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1</w:t>
            </w:r>
          </w:p>
        </w:tc>
        <w:tc>
          <w:tcPr>
            <w:tcW w:w="436" w:type="dxa"/>
            <w:gridSpan w:val="2"/>
            <w:tcBorders>
              <w:top w:val="nil"/>
              <w:left w:val="nil"/>
              <w:bottom w:val="single" w:sz="4" w:space="0" w:color="auto"/>
              <w:right w:val="single" w:sz="4" w:space="0" w:color="auto"/>
            </w:tcBorders>
            <w:shd w:val="clear" w:color="000000" w:fill="FFFF00"/>
            <w:vAlign w:val="center"/>
            <w:hideMark/>
          </w:tcPr>
          <w:p w14:paraId="5DB58EF1" w14:textId="77777777" w:rsidR="00A72067" w:rsidRPr="00A72067" w:rsidRDefault="00A72067" w:rsidP="00A72067">
            <w:pPr>
              <w:spacing w:after="0" w:line="240" w:lineRule="auto"/>
              <w:jc w:val="center"/>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6</w:t>
            </w:r>
          </w:p>
        </w:tc>
        <w:tc>
          <w:tcPr>
            <w:tcW w:w="556" w:type="dxa"/>
            <w:gridSpan w:val="2"/>
            <w:tcBorders>
              <w:top w:val="nil"/>
              <w:left w:val="nil"/>
              <w:bottom w:val="single" w:sz="4" w:space="0" w:color="auto"/>
              <w:right w:val="single" w:sz="4" w:space="0" w:color="auto"/>
            </w:tcBorders>
            <w:shd w:val="clear" w:color="000000" w:fill="FFFF99"/>
            <w:vAlign w:val="center"/>
            <w:hideMark/>
          </w:tcPr>
          <w:p w14:paraId="19398CF1" w14:textId="77777777" w:rsidR="00A72067" w:rsidRPr="00A72067" w:rsidRDefault="00A72067" w:rsidP="00A72067">
            <w:pPr>
              <w:spacing w:after="0" w:line="240" w:lineRule="auto"/>
              <w:jc w:val="center"/>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1</w:t>
            </w:r>
          </w:p>
        </w:tc>
        <w:tc>
          <w:tcPr>
            <w:tcW w:w="665" w:type="dxa"/>
            <w:tcBorders>
              <w:top w:val="nil"/>
              <w:left w:val="nil"/>
              <w:bottom w:val="single" w:sz="4" w:space="0" w:color="auto"/>
              <w:right w:val="single" w:sz="4" w:space="0" w:color="auto"/>
            </w:tcBorders>
            <w:shd w:val="clear" w:color="000000" w:fill="FF9900"/>
            <w:vAlign w:val="center"/>
            <w:hideMark/>
          </w:tcPr>
          <w:p w14:paraId="4FE0C7C6" w14:textId="77777777" w:rsidR="00A72067" w:rsidRPr="00A72067" w:rsidRDefault="00A72067" w:rsidP="00A72067">
            <w:pPr>
              <w:spacing w:after="0" w:line="240" w:lineRule="auto"/>
              <w:jc w:val="center"/>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1</w:t>
            </w:r>
          </w:p>
        </w:tc>
        <w:tc>
          <w:tcPr>
            <w:tcW w:w="632" w:type="dxa"/>
            <w:tcBorders>
              <w:top w:val="nil"/>
              <w:left w:val="nil"/>
              <w:bottom w:val="single" w:sz="4" w:space="0" w:color="auto"/>
              <w:right w:val="single" w:sz="4" w:space="0" w:color="auto"/>
            </w:tcBorders>
            <w:shd w:val="clear" w:color="000000" w:fill="CCFFFF"/>
            <w:vAlign w:val="bottom"/>
            <w:hideMark/>
          </w:tcPr>
          <w:p w14:paraId="7D5CE90B"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610" w:type="dxa"/>
            <w:tcBorders>
              <w:top w:val="nil"/>
              <w:left w:val="nil"/>
              <w:bottom w:val="single" w:sz="4" w:space="0" w:color="auto"/>
              <w:right w:val="single" w:sz="4" w:space="0" w:color="auto"/>
            </w:tcBorders>
            <w:shd w:val="clear" w:color="000000" w:fill="CCFFFF"/>
            <w:vAlign w:val="bottom"/>
            <w:hideMark/>
          </w:tcPr>
          <w:p w14:paraId="70653D56"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1</w:t>
            </w:r>
          </w:p>
        </w:tc>
        <w:tc>
          <w:tcPr>
            <w:tcW w:w="592" w:type="dxa"/>
            <w:tcBorders>
              <w:top w:val="nil"/>
              <w:left w:val="nil"/>
              <w:bottom w:val="single" w:sz="4" w:space="0" w:color="auto"/>
              <w:right w:val="single" w:sz="4" w:space="0" w:color="auto"/>
            </w:tcBorders>
            <w:shd w:val="clear" w:color="000000" w:fill="CCFFFF"/>
            <w:vAlign w:val="bottom"/>
            <w:hideMark/>
          </w:tcPr>
          <w:p w14:paraId="76EEED45"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698" w:type="dxa"/>
            <w:tcBorders>
              <w:top w:val="nil"/>
              <w:left w:val="nil"/>
              <w:bottom w:val="single" w:sz="4" w:space="0" w:color="auto"/>
              <w:right w:val="nil"/>
            </w:tcBorders>
            <w:shd w:val="clear" w:color="000000" w:fill="33CCCC"/>
            <w:noWrap/>
            <w:vAlign w:val="bottom"/>
            <w:hideMark/>
          </w:tcPr>
          <w:p w14:paraId="471178F6"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3</w:t>
            </w:r>
          </w:p>
        </w:tc>
        <w:tc>
          <w:tcPr>
            <w:tcW w:w="716" w:type="dxa"/>
            <w:gridSpan w:val="2"/>
            <w:tcBorders>
              <w:top w:val="nil"/>
              <w:left w:val="single" w:sz="4" w:space="0" w:color="auto"/>
              <w:bottom w:val="single" w:sz="4" w:space="0" w:color="auto"/>
              <w:right w:val="single" w:sz="8" w:space="0" w:color="auto"/>
            </w:tcBorders>
            <w:shd w:val="clear" w:color="000000" w:fill="33CCCC"/>
            <w:noWrap/>
            <w:vAlign w:val="bottom"/>
            <w:hideMark/>
          </w:tcPr>
          <w:p w14:paraId="045A49D1"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3</w:t>
            </w:r>
          </w:p>
        </w:tc>
        <w:tc>
          <w:tcPr>
            <w:tcW w:w="236" w:type="dxa"/>
            <w:gridSpan w:val="2"/>
            <w:vAlign w:val="center"/>
            <w:hideMark/>
          </w:tcPr>
          <w:p w14:paraId="16CE7F3D" w14:textId="77777777" w:rsidR="00A72067" w:rsidRPr="00A72067" w:rsidRDefault="00A72067" w:rsidP="00A72067">
            <w:pPr>
              <w:spacing w:after="0" w:line="240" w:lineRule="auto"/>
              <w:rPr>
                <w:rFonts w:ascii="Times New Roman" w:eastAsia="Times New Roman" w:hAnsi="Times New Roman" w:cs="Times New Roman"/>
                <w:sz w:val="16"/>
                <w:szCs w:val="16"/>
                <w:lang w:eastAsia="hr-HR"/>
              </w:rPr>
            </w:pPr>
          </w:p>
        </w:tc>
      </w:tr>
      <w:tr w:rsidR="00A72067" w:rsidRPr="00A72067" w14:paraId="0B2CABC0" w14:textId="77777777" w:rsidTr="00A72067">
        <w:trPr>
          <w:trHeight w:val="402"/>
        </w:trPr>
        <w:tc>
          <w:tcPr>
            <w:tcW w:w="1264" w:type="dxa"/>
            <w:tcBorders>
              <w:top w:val="nil"/>
              <w:left w:val="single" w:sz="8" w:space="0" w:color="auto"/>
              <w:bottom w:val="single" w:sz="4" w:space="0" w:color="auto"/>
              <w:right w:val="nil"/>
            </w:tcBorders>
            <w:shd w:val="clear" w:color="000000" w:fill="CCFFCC"/>
            <w:vAlign w:val="center"/>
            <w:hideMark/>
          </w:tcPr>
          <w:p w14:paraId="510AA109" w14:textId="77777777" w:rsidR="00A72067" w:rsidRPr="00A72067" w:rsidRDefault="00A72067" w:rsidP="00A72067">
            <w:pPr>
              <w:spacing w:after="0" w:line="240" w:lineRule="auto"/>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Jezik</w:t>
            </w:r>
          </w:p>
        </w:tc>
        <w:tc>
          <w:tcPr>
            <w:tcW w:w="460" w:type="dxa"/>
            <w:tcBorders>
              <w:top w:val="nil"/>
              <w:left w:val="single" w:sz="8" w:space="0" w:color="auto"/>
              <w:bottom w:val="single" w:sz="4" w:space="0" w:color="auto"/>
              <w:right w:val="single" w:sz="4" w:space="0" w:color="auto"/>
            </w:tcBorders>
            <w:shd w:val="clear" w:color="000000" w:fill="CCFFCC"/>
            <w:vAlign w:val="center"/>
            <w:hideMark/>
          </w:tcPr>
          <w:p w14:paraId="1FD0B967" w14:textId="77777777" w:rsidR="00A72067" w:rsidRPr="00A72067" w:rsidRDefault="00A72067" w:rsidP="00A72067">
            <w:pPr>
              <w:spacing w:after="0" w:line="240" w:lineRule="auto"/>
              <w:jc w:val="center"/>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434" w:type="dxa"/>
            <w:tcBorders>
              <w:top w:val="nil"/>
              <w:left w:val="nil"/>
              <w:bottom w:val="single" w:sz="4" w:space="0" w:color="auto"/>
              <w:right w:val="single" w:sz="4" w:space="0" w:color="auto"/>
            </w:tcBorders>
            <w:shd w:val="clear" w:color="000000" w:fill="FFCC99"/>
            <w:noWrap/>
            <w:vAlign w:val="bottom"/>
            <w:hideMark/>
          </w:tcPr>
          <w:p w14:paraId="256563CF" w14:textId="77777777" w:rsidR="00A72067" w:rsidRPr="00A72067" w:rsidRDefault="00A72067" w:rsidP="00A72067">
            <w:pPr>
              <w:spacing w:after="0" w:line="240" w:lineRule="auto"/>
              <w:jc w:val="center"/>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585" w:type="dxa"/>
            <w:tcBorders>
              <w:top w:val="nil"/>
              <w:left w:val="nil"/>
              <w:bottom w:val="single" w:sz="4" w:space="0" w:color="auto"/>
              <w:right w:val="single" w:sz="4" w:space="0" w:color="auto"/>
            </w:tcBorders>
            <w:shd w:val="clear" w:color="000000" w:fill="CCFFFF"/>
            <w:noWrap/>
            <w:vAlign w:val="bottom"/>
            <w:hideMark/>
          </w:tcPr>
          <w:p w14:paraId="3DB2C94D"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652" w:type="dxa"/>
            <w:tcBorders>
              <w:top w:val="nil"/>
              <w:left w:val="nil"/>
              <w:bottom w:val="single" w:sz="4" w:space="0" w:color="auto"/>
              <w:right w:val="single" w:sz="4" w:space="0" w:color="auto"/>
            </w:tcBorders>
            <w:shd w:val="clear" w:color="000000" w:fill="CCFFFF"/>
            <w:noWrap/>
            <w:vAlign w:val="bottom"/>
            <w:hideMark/>
          </w:tcPr>
          <w:p w14:paraId="0EE1654B"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422" w:type="dxa"/>
            <w:tcBorders>
              <w:top w:val="nil"/>
              <w:left w:val="nil"/>
              <w:bottom w:val="single" w:sz="4" w:space="0" w:color="auto"/>
              <w:right w:val="single" w:sz="4" w:space="0" w:color="auto"/>
            </w:tcBorders>
            <w:shd w:val="clear" w:color="000000" w:fill="FFFF99"/>
            <w:noWrap/>
            <w:vAlign w:val="bottom"/>
            <w:hideMark/>
          </w:tcPr>
          <w:p w14:paraId="77F7AB4F" w14:textId="77777777" w:rsidR="00A72067" w:rsidRPr="00A72067" w:rsidRDefault="00A72067" w:rsidP="00A72067">
            <w:pPr>
              <w:spacing w:after="0" w:line="240" w:lineRule="auto"/>
              <w:jc w:val="center"/>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424" w:type="dxa"/>
            <w:tcBorders>
              <w:top w:val="nil"/>
              <w:left w:val="nil"/>
              <w:bottom w:val="single" w:sz="4" w:space="0" w:color="auto"/>
              <w:right w:val="single" w:sz="4" w:space="0" w:color="auto"/>
            </w:tcBorders>
            <w:shd w:val="clear" w:color="000000" w:fill="FFFF99"/>
            <w:noWrap/>
            <w:vAlign w:val="bottom"/>
            <w:hideMark/>
          </w:tcPr>
          <w:p w14:paraId="7373F753" w14:textId="77777777" w:rsidR="00A72067" w:rsidRPr="00A72067" w:rsidRDefault="00A72067" w:rsidP="00A72067">
            <w:pPr>
              <w:spacing w:after="0" w:line="240" w:lineRule="auto"/>
              <w:jc w:val="center"/>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698" w:type="dxa"/>
            <w:tcBorders>
              <w:top w:val="nil"/>
              <w:left w:val="nil"/>
              <w:bottom w:val="single" w:sz="4" w:space="0" w:color="auto"/>
              <w:right w:val="single" w:sz="4" w:space="0" w:color="auto"/>
            </w:tcBorders>
            <w:shd w:val="clear" w:color="000000" w:fill="FFFF99"/>
            <w:noWrap/>
            <w:vAlign w:val="bottom"/>
            <w:hideMark/>
          </w:tcPr>
          <w:p w14:paraId="42E40E48" w14:textId="77777777" w:rsidR="00A72067" w:rsidRPr="00A72067" w:rsidRDefault="00A72067" w:rsidP="00A72067">
            <w:pPr>
              <w:spacing w:after="0" w:line="240" w:lineRule="auto"/>
              <w:jc w:val="center"/>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438" w:type="dxa"/>
            <w:tcBorders>
              <w:top w:val="nil"/>
              <w:left w:val="nil"/>
              <w:bottom w:val="single" w:sz="4" w:space="0" w:color="auto"/>
              <w:right w:val="single" w:sz="4" w:space="0" w:color="auto"/>
            </w:tcBorders>
            <w:shd w:val="clear" w:color="000000" w:fill="FFFF99"/>
            <w:noWrap/>
            <w:vAlign w:val="bottom"/>
            <w:hideMark/>
          </w:tcPr>
          <w:p w14:paraId="4204C5FC" w14:textId="77777777" w:rsidR="00A72067" w:rsidRPr="00A72067" w:rsidRDefault="00A72067" w:rsidP="00A72067">
            <w:pPr>
              <w:spacing w:after="0" w:line="240" w:lineRule="auto"/>
              <w:jc w:val="center"/>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577" w:type="dxa"/>
            <w:tcBorders>
              <w:top w:val="nil"/>
              <w:left w:val="nil"/>
              <w:bottom w:val="single" w:sz="4" w:space="0" w:color="auto"/>
              <w:right w:val="single" w:sz="4" w:space="0" w:color="auto"/>
            </w:tcBorders>
            <w:shd w:val="clear" w:color="000000" w:fill="FFFF99"/>
            <w:noWrap/>
            <w:vAlign w:val="bottom"/>
            <w:hideMark/>
          </w:tcPr>
          <w:p w14:paraId="4C2C289E" w14:textId="77777777" w:rsidR="00A72067" w:rsidRPr="00A72067" w:rsidRDefault="00A72067" w:rsidP="00A72067">
            <w:pPr>
              <w:spacing w:after="0" w:line="240" w:lineRule="auto"/>
              <w:jc w:val="center"/>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415" w:type="dxa"/>
            <w:gridSpan w:val="2"/>
            <w:tcBorders>
              <w:top w:val="nil"/>
              <w:left w:val="nil"/>
              <w:bottom w:val="single" w:sz="4" w:space="0" w:color="auto"/>
              <w:right w:val="single" w:sz="4" w:space="0" w:color="auto"/>
            </w:tcBorders>
            <w:shd w:val="clear" w:color="000000" w:fill="FF9900"/>
            <w:noWrap/>
            <w:vAlign w:val="bottom"/>
            <w:hideMark/>
          </w:tcPr>
          <w:p w14:paraId="551F0798"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425" w:type="dxa"/>
            <w:tcBorders>
              <w:top w:val="nil"/>
              <w:left w:val="nil"/>
              <w:bottom w:val="single" w:sz="4" w:space="0" w:color="auto"/>
              <w:right w:val="single" w:sz="4" w:space="0" w:color="auto"/>
            </w:tcBorders>
            <w:shd w:val="clear" w:color="000000" w:fill="FF9900"/>
            <w:noWrap/>
            <w:vAlign w:val="bottom"/>
            <w:hideMark/>
          </w:tcPr>
          <w:p w14:paraId="22733606"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436" w:type="dxa"/>
            <w:tcBorders>
              <w:top w:val="nil"/>
              <w:left w:val="nil"/>
              <w:bottom w:val="single" w:sz="4" w:space="0" w:color="auto"/>
              <w:right w:val="single" w:sz="4" w:space="0" w:color="auto"/>
            </w:tcBorders>
            <w:shd w:val="clear" w:color="000000" w:fill="FF9900"/>
            <w:noWrap/>
            <w:vAlign w:val="bottom"/>
            <w:hideMark/>
          </w:tcPr>
          <w:p w14:paraId="38EC5BEC"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415" w:type="dxa"/>
            <w:gridSpan w:val="2"/>
            <w:tcBorders>
              <w:top w:val="nil"/>
              <w:left w:val="nil"/>
              <w:bottom w:val="single" w:sz="4" w:space="0" w:color="auto"/>
              <w:right w:val="single" w:sz="4" w:space="0" w:color="auto"/>
            </w:tcBorders>
            <w:shd w:val="clear" w:color="000000" w:fill="66FFCC"/>
            <w:noWrap/>
            <w:vAlign w:val="bottom"/>
            <w:hideMark/>
          </w:tcPr>
          <w:p w14:paraId="5E8F3B1C"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425" w:type="dxa"/>
            <w:tcBorders>
              <w:top w:val="nil"/>
              <w:left w:val="nil"/>
              <w:bottom w:val="single" w:sz="4" w:space="0" w:color="auto"/>
              <w:right w:val="single" w:sz="4" w:space="0" w:color="auto"/>
            </w:tcBorders>
            <w:shd w:val="clear" w:color="000000" w:fill="66FFCC"/>
            <w:noWrap/>
            <w:vAlign w:val="bottom"/>
            <w:hideMark/>
          </w:tcPr>
          <w:p w14:paraId="37DB7ADD"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425" w:type="dxa"/>
            <w:tcBorders>
              <w:top w:val="nil"/>
              <w:left w:val="nil"/>
              <w:bottom w:val="single" w:sz="4" w:space="0" w:color="auto"/>
              <w:right w:val="single" w:sz="4" w:space="0" w:color="auto"/>
            </w:tcBorders>
            <w:shd w:val="clear" w:color="000000" w:fill="66FFCC"/>
            <w:noWrap/>
            <w:vAlign w:val="bottom"/>
            <w:hideMark/>
          </w:tcPr>
          <w:p w14:paraId="7A053404"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426" w:type="dxa"/>
            <w:tcBorders>
              <w:top w:val="nil"/>
              <w:left w:val="nil"/>
              <w:bottom w:val="single" w:sz="4" w:space="0" w:color="auto"/>
              <w:right w:val="single" w:sz="4" w:space="0" w:color="auto"/>
            </w:tcBorders>
            <w:shd w:val="clear" w:color="000000" w:fill="66FFCC"/>
            <w:noWrap/>
            <w:vAlign w:val="bottom"/>
            <w:hideMark/>
          </w:tcPr>
          <w:p w14:paraId="34A98573"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436" w:type="dxa"/>
            <w:gridSpan w:val="2"/>
            <w:tcBorders>
              <w:top w:val="nil"/>
              <w:left w:val="nil"/>
              <w:bottom w:val="single" w:sz="4" w:space="0" w:color="auto"/>
              <w:right w:val="single" w:sz="4" w:space="0" w:color="auto"/>
            </w:tcBorders>
            <w:shd w:val="clear" w:color="000000" w:fill="FFFF00"/>
            <w:vAlign w:val="center"/>
            <w:hideMark/>
          </w:tcPr>
          <w:p w14:paraId="66715A53" w14:textId="77777777" w:rsidR="00A72067" w:rsidRPr="00A72067" w:rsidRDefault="00A72067" w:rsidP="00A72067">
            <w:pPr>
              <w:spacing w:after="0" w:line="240" w:lineRule="auto"/>
              <w:jc w:val="center"/>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556" w:type="dxa"/>
            <w:gridSpan w:val="2"/>
            <w:tcBorders>
              <w:top w:val="nil"/>
              <w:left w:val="nil"/>
              <w:bottom w:val="single" w:sz="4" w:space="0" w:color="auto"/>
              <w:right w:val="single" w:sz="4" w:space="0" w:color="auto"/>
            </w:tcBorders>
            <w:shd w:val="clear" w:color="000000" w:fill="FFFF99"/>
            <w:vAlign w:val="center"/>
            <w:hideMark/>
          </w:tcPr>
          <w:p w14:paraId="25A32248" w14:textId="77777777" w:rsidR="00A72067" w:rsidRPr="00A72067" w:rsidRDefault="00A72067" w:rsidP="00A72067">
            <w:pPr>
              <w:spacing w:after="0" w:line="240" w:lineRule="auto"/>
              <w:jc w:val="center"/>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665" w:type="dxa"/>
            <w:tcBorders>
              <w:top w:val="nil"/>
              <w:left w:val="nil"/>
              <w:bottom w:val="single" w:sz="4" w:space="0" w:color="auto"/>
              <w:right w:val="single" w:sz="4" w:space="0" w:color="auto"/>
            </w:tcBorders>
            <w:shd w:val="clear" w:color="000000" w:fill="FF9900"/>
            <w:vAlign w:val="center"/>
            <w:hideMark/>
          </w:tcPr>
          <w:p w14:paraId="7E66EEDB" w14:textId="77777777" w:rsidR="00A72067" w:rsidRPr="00A72067" w:rsidRDefault="00A72067" w:rsidP="00A72067">
            <w:pPr>
              <w:spacing w:after="0" w:line="240" w:lineRule="auto"/>
              <w:jc w:val="center"/>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632" w:type="dxa"/>
            <w:tcBorders>
              <w:top w:val="nil"/>
              <w:left w:val="nil"/>
              <w:bottom w:val="single" w:sz="4" w:space="0" w:color="auto"/>
              <w:right w:val="single" w:sz="4" w:space="0" w:color="auto"/>
            </w:tcBorders>
            <w:shd w:val="clear" w:color="000000" w:fill="CCFFFF"/>
            <w:vAlign w:val="bottom"/>
            <w:hideMark/>
          </w:tcPr>
          <w:p w14:paraId="4DE64B6F"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610" w:type="dxa"/>
            <w:tcBorders>
              <w:top w:val="nil"/>
              <w:left w:val="nil"/>
              <w:bottom w:val="single" w:sz="4" w:space="0" w:color="auto"/>
              <w:right w:val="single" w:sz="4" w:space="0" w:color="auto"/>
            </w:tcBorders>
            <w:shd w:val="clear" w:color="000000" w:fill="CCFFFF"/>
            <w:vAlign w:val="bottom"/>
            <w:hideMark/>
          </w:tcPr>
          <w:p w14:paraId="16E8AF2D"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592" w:type="dxa"/>
            <w:tcBorders>
              <w:top w:val="nil"/>
              <w:left w:val="nil"/>
              <w:bottom w:val="single" w:sz="4" w:space="0" w:color="auto"/>
              <w:right w:val="single" w:sz="4" w:space="0" w:color="auto"/>
            </w:tcBorders>
            <w:shd w:val="clear" w:color="000000" w:fill="CCFFFF"/>
            <w:vAlign w:val="bottom"/>
            <w:hideMark/>
          </w:tcPr>
          <w:p w14:paraId="7795209E"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698" w:type="dxa"/>
            <w:tcBorders>
              <w:top w:val="nil"/>
              <w:left w:val="nil"/>
              <w:bottom w:val="single" w:sz="4" w:space="0" w:color="auto"/>
              <w:right w:val="nil"/>
            </w:tcBorders>
            <w:shd w:val="clear" w:color="000000" w:fill="33CCCC"/>
            <w:noWrap/>
            <w:vAlign w:val="bottom"/>
            <w:hideMark/>
          </w:tcPr>
          <w:p w14:paraId="2F115458"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716" w:type="dxa"/>
            <w:gridSpan w:val="2"/>
            <w:tcBorders>
              <w:top w:val="nil"/>
              <w:left w:val="single" w:sz="4" w:space="0" w:color="auto"/>
              <w:bottom w:val="single" w:sz="4" w:space="0" w:color="auto"/>
              <w:right w:val="single" w:sz="8" w:space="0" w:color="auto"/>
            </w:tcBorders>
            <w:shd w:val="clear" w:color="000000" w:fill="33CCCC"/>
            <w:noWrap/>
            <w:vAlign w:val="bottom"/>
            <w:hideMark/>
          </w:tcPr>
          <w:p w14:paraId="46DD930D"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236" w:type="dxa"/>
            <w:gridSpan w:val="2"/>
            <w:vAlign w:val="center"/>
            <w:hideMark/>
          </w:tcPr>
          <w:p w14:paraId="3D5F46D2" w14:textId="77777777" w:rsidR="00A72067" w:rsidRPr="00A72067" w:rsidRDefault="00A72067" w:rsidP="00A72067">
            <w:pPr>
              <w:spacing w:after="0" w:line="240" w:lineRule="auto"/>
              <w:rPr>
                <w:rFonts w:ascii="Times New Roman" w:eastAsia="Times New Roman" w:hAnsi="Times New Roman" w:cs="Times New Roman"/>
                <w:sz w:val="16"/>
                <w:szCs w:val="16"/>
                <w:lang w:eastAsia="hr-HR"/>
              </w:rPr>
            </w:pPr>
          </w:p>
        </w:tc>
      </w:tr>
      <w:tr w:rsidR="00A72067" w:rsidRPr="00A72067" w14:paraId="7B87C1FC" w14:textId="77777777" w:rsidTr="00A72067">
        <w:trPr>
          <w:trHeight w:val="402"/>
        </w:trPr>
        <w:tc>
          <w:tcPr>
            <w:tcW w:w="1264" w:type="dxa"/>
            <w:tcBorders>
              <w:top w:val="nil"/>
              <w:left w:val="single" w:sz="8" w:space="0" w:color="auto"/>
              <w:bottom w:val="single" w:sz="4" w:space="0" w:color="auto"/>
              <w:right w:val="nil"/>
            </w:tcBorders>
            <w:shd w:val="clear" w:color="000000" w:fill="CCFFCC"/>
            <w:vAlign w:val="center"/>
            <w:hideMark/>
          </w:tcPr>
          <w:p w14:paraId="4BC5A6D6" w14:textId="77777777" w:rsidR="00A72067" w:rsidRPr="00A72067" w:rsidRDefault="00A72067" w:rsidP="00A72067">
            <w:pPr>
              <w:spacing w:after="0" w:line="240" w:lineRule="auto"/>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Vjera</w:t>
            </w:r>
          </w:p>
        </w:tc>
        <w:tc>
          <w:tcPr>
            <w:tcW w:w="460" w:type="dxa"/>
            <w:tcBorders>
              <w:top w:val="nil"/>
              <w:left w:val="single" w:sz="8" w:space="0" w:color="auto"/>
              <w:bottom w:val="single" w:sz="4" w:space="0" w:color="auto"/>
              <w:right w:val="single" w:sz="4" w:space="0" w:color="auto"/>
            </w:tcBorders>
            <w:shd w:val="clear" w:color="000000" w:fill="CCFFCC"/>
            <w:vAlign w:val="center"/>
            <w:hideMark/>
          </w:tcPr>
          <w:p w14:paraId="789E4185" w14:textId="77777777" w:rsidR="00A72067" w:rsidRPr="00A72067" w:rsidRDefault="00A72067" w:rsidP="00A72067">
            <w:pPr>
              <w:spacing w:after="0" w:line="240" w:lineRule="auto"/>
              <w:jc w:val="center"/>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1</w:t>
            </w:r>
          </w:p>
        </w:tc>
        <w:tc>
          <w:tcPr>
            <w:tcW w:w="434" w:type="dxa"/>
            <w:tcBorders>
              <w:top w:val="nil"/>
              <w:left w:val="nil"/>
              <w:bottom w:val="single" w:sz="4" w:space="0" w:color="auto"/>
              <w:right w:val="single" w:sz="4" w:space="0" w:color="auto"/>
            </w:tcBorders>
            <w:shd w:val="clear" w:color="000000" w:fill="FFCC99"/>
            <w:noWrap/>
            <w:vAlign w:val="bottom"/>
            <w:hideMark/>
          </w:tcPr>
          <w:p w14:paraId="6A448D17" w14:textId="77777777" w:rsidR="00A72067" w:rsidRPr="00A72067" w:rsidRDefault="00A72067" w:rsidP="00A72067">
            <w:pPr>
              <w:spacing w:after="0" w:line="240" w:lineRule="auto"/>
              <w:jc w:val="center"/>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4</w:t>
            </w:r>
          </w:p>
        </w:tc>
        <w:tc>
          <w:tcPr>
            <w:tcW w:w="585" w:type="dxa"/>
            <w:tcBorders>
              <w:top w:val="nil"/>
              <w:left w:val="nil"/>
              <w:bottom w:val="single" w:sz="4" w:space="0" w:color="auto"/>
              <w:right w:val="single" w:sz="4" w:space="0" w:color="auto"/>
            </w:tcBorders>
            <w:shd w:val="clear" w:color="000000" w:fill="CCFFFF"/>
            <w:noWrap/>
            <w:vAlign w:val="bottom"/>
            <w:hideMark/>
          </w:tcPr>
          <w:p w14:paraId="62E59C45"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1</w:t>
            </w:r>
          </w:p>
        </w:tc>
        <w:tc>
          <w:tcPr>
            <w:tcW w:w="652" w:type="dxa"/>
            <w:tcBorders>
              <w:top w:val="nil"/>
              <w:left w:val="nil"/>
              <w:bottom w:val="single" w:sz="4" w:space="0" w:color="auto"/>
              <w:right w:val="single" w:sz="4" w:space="0" w:color="auto"/>
            </w:tcBorders>
            <w:shd w:val="clear" w:color="000000" w:fill="CCFFFF"/>
            <w:noWrap/>
            <w:vAlign w:val="bottom"/>
            <w:hideMark/>
          </w:tcPr>
          <w:p w14:paraId="1DA8F902"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2</w:t>
            </w:r>
          </w:p>
        </w:tc>
        <w:tc>
          <w:tcPr>
            <w:tcW w:w="422" w:type="dxa"/>
            <w:tcBorders>
              <w:top w:val="nil"/>
              <w:left w:val="nil"/>
              <w:bottom w:val="single" w:sz="4" w:space="0" w:color="auto"/>
              <w:right w:val="single" w:sz="4" w:space="0" w:color="auto"/>
            </w:tcBorders>
            <w:shd w:val="clear" w:color="000000" w:fill="FFFF99"/>
            <w:noWrap/>
            <w:vAlign w:val="bottom"/>
            <w:hideMark/>
          </w:tcPr>
          <w:p w14:paraId="76657174" w14:textId="77777777" w:rsidR="00A72067" w:rsidRPr="00A72067" w:rsidRDefault="00A72067" w:rsidP="00A72067">
            <w:pPr>
              <w:spacing w:after="0" w:line="240" w:lineRule="auto"/>
              <w:jc w:val="center"/>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4</w:t>
            </w:r>
          </w:p>
        </w:tc>
        <w:tc>
          <w:tcPr>
            <w:tcW w:w="424" w:type="dxa"/>
            <w:tcBorders>
              <w:top w:val="nil"/>
              <w:left w:val="nil"/>
              <w:bottom w:val="single" w:sz="4" w:space="0" w:color="auto"/>
              <w:right w:val="single" w:sz="4" w:space="0" w:color="auto"/>
            </w:tcBorders>
            <w:shd w:val="clear" w:color="000000" w:fill="FFFF99"/>
            <w:noWrap/>
            <w:vAlign w:val="bottom"/>
            <w:hideMark/>
          </w:tcPr>
          <w:p w14:paraId="2CBE6408" w14:textId="77777777" w:rsidR="00A72067" w:rsidRPr="00A72067" w:rsidRDefault="00A72067" w:rsidP="00A72067">
            <w:pPr>
              <w:spacing w:after="0" w:line="240" w:lineRule="auto"/>
              <w:jc w:val="center"/>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698" w:type="dxa"/>
            <w:tcBorders>
              <w:top w:val="nil"/>
              <w:left w:val="nil"/>
              <w:bottom w:val="single" w:sz="4" w:space="0" w:color="auto"/>
              <w:right w:val="single" w:sz="4" w:space="0" w:color="auto"/>
            </w:tcBorders>
            <w:shd w:val="clear" w:color="000000" w:fill="FFFF99"/>
            <w:noWrap/>
            <w:vAlign w:val="bottom"/>
            <w:hideMark/>
          </w:tcPr>
          <w:p w14:paraId="1F10482C" w14:textId="77777777" w:rsidR="00A72067" w:rsidRPr="00A72067" w:rsidRDefault="00A72067" w:rsidP="00A72067">
            <w:pPr>
              <w:spacing w:after="0" w:line="240" w:lineRule="auto"/>
              <w:jc w:val="center"/>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438" w:type="dxa"/>
            <w:tcBorders>
              <w:top w:val="nil"/>
              <w:left w:val="nil"/>
              <w:bottom w:val="single" w:sz="4" w:space="0" w:color="auto"/>
              <w:right w:val="single" w:sz="4" w:space="0" w:color="auto"/>
            </w:tcBorders>
            <w:shd w:val="clear" w:color="000000" w:fill="FFFF99"/>
            <w:noWrap/>
            <w:vAlign w:val="bottom"/>
            <w:hideMark/>
          </w:tcPr>
          <w:p w14:paraId="4EAD7B7A" w14:textId="77777777" w:rsidR="00A72067" w:rsidRPr="00A72067" w:rsidRDefault="00A72067" w:rsidP="00A72067">
            <w:pPr>
              <w:spacing w:after="0" w:line="240" w:lineRule="auto"/>
              <w:jc w:val="center"/>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577" w:type="dxa"/>
            <w:tcBorders>
              <w:top w:val="nil"/>
              <w:left w:val="nil"/>
              <w:bottom w:val="single" w:sz="4" w:space="0" w:color="auto"/>
              <w:right w:val="single" w:sz="4" w:space="0" w:color="auto"/>
            </w:tcBorders>
            <w:shd w:val="clear" w:color="000000" w:fill="FFFF99"/>
            <w:noWrap/>
            <w:vAlign w:val="bottom"/>
            <w:hideMark/>
          </w:tcPr>
          <w:p w14:paraId="7066D9B3" w14:textId="77777777" w:rsidR="00A72067" w:rsidRPr="00A72067" w:rsidRDefault="00A72067" w:rsidP="00A72067">
            <w:pPr>
              <w:spacing w:after="0" w:line="240" w:lineRule="auto"/>
              <w:jc w:val="center"/>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415" w:type="dxa"/>
            <w:gridSpan w:val="2"/>
            <w:tcBorders>
              <w:top w:val="nil"/>
              <w:left w:val="nil"/>
              <w:bottom w:val="single" w:sz="4" w:space="0" w:color="auto"/>
              <w:right w:val="single" w:sz="4" w:space="0" w:color="auto"/>
            </w:tcBorders>
            <w:shd w:val="clear" w:color="000000" w:fill="FF9900"/>
            <w:noWrap/>
            <w:vAlign w:val="bottom"/>
            <w:hideMark/>
          </w:tcPr>
          <w:p w14:paraId="34BA94D3"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3</w:t>
            </w:r>
          </w:p>
        </w:tc>
        <w:tc>
          <w:tcPr>
            <w:tcW w:w="425" w:type="dxa"/>
            <w:tcBorders>
              <w:top w:val="nil"/>
              <w:left w:val="nil"/>
              <w:bottom w:val="single" w:sz="4" w:space="0" w:color="auto"/>
              <w:right w:val="single" w:sz="4" w:space="0" w:color="auto"/>
            </w:tcBorders>
            <w:shd w:val="clear" w:color="000000" w:fill="FF9900"/>
            <w:noWrap/>
            <w:vAlign w:val="bottom"/>
            <w:hideMark/>
          </w:tcPr>
          <w:p w14:paraId="74EC3299"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436" w:type="dxa"/>
            <w:tcBorders>
              <w:top w:val="nil"/>
              <w:left w:val="nil"/>
              <w:bottom w:val="single" w:sz="4" w:space="0" w:color="auto"/>
              <w:right w:val="single" w:sz="4" w:space="0" w:color="auto"/>
            </w:tcBorders>
            <w:shd w:val="clear" w:color="000000" w:fill="FF9900"/>
            <w:noWrap/>
            <w:vAlign w:val="bottom"/>
            <w:hideMark/>
          </w:tcPr>
          <w:p w14:paraId="245E1085"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415" w:type="dxa"/>
            <w:gridSpan w:val="2"/>
            <w:tcBorders>
              <w:top w:val="nil"/>
              <w:left w:val="nil"/>
              <w:bottom w:val="single" w:sz="4" w:space="0" w:color="auto"/>
              <w:right w:val="single" w:sz="4" w:space="0" w:color="auto"/>
            </w:tcBorders>
            <w:shd w:val="clear" w:color="000000" w:fill="66FFCC"/>
            <w:noWrap/>
            <w:vAlign w:val="bottom"/>
            <w:hideMark/>
          </w:tcPr>
          <w:p w14:paraId="47AC7863"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425" w:type="dxa"/>
            <w:tcBorders>
              <w:top w:val="nil"/>
              <w:left w:val="nil"/>
              <w:bottom w:val="single" w:sz="4" w:space="0" w:color="auto"/>
              <w:right w:val="single" w:sz="4" w:space="0" w:color="auto"/>
            </w:tcBorders>
            <w:shd w:val="clear" w:color="000000" w:fill="66FFCC"/>
            <w:noWrap/>
            <w:vAlign w:val="bottom"/>
            <w:hideMark/>
          </w:tcPr>
          <w:p w14:paraId="3E933F0A"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3</w:t>
            </w:r>
          </w:p>
        </w:tc>
        <w:tc>
          <w:tcPr>
            <w:tcW w:w="425" w:type="dxa"/>
            <w:tcBorders>
              <w:top w:val="nil"/>
              <w:left w:val="nil"/>
              <w:bottom w:val="single" w:sz="4" w:space="0" w:color="auto"/>
              <w:right w:val="single" w:sz="4" w:space="0" w:color="auto"/>
            </w:tcBorders>
            <w:shd w:val="clear" w:color="000000" w:fill="66FFCC"/>
            <w:noWrap/>
            <w:vAlign w:val="bottom"/>
            <w:hideMark/>
          </w:tcPr>
          <w:p w14:paraId="31E62AA4"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426" w:type="dxa"/>
            <w:tcBorders>
              <w:top w:val="nil"/>
              <w:left w:val="nil"/>
              <w:bottom w:val="single" w:sz="4" w:space="0" w:color="auto"/>
              <w:right w:val="single" w:sz="4" w:space="0" w:color="auto"/>
            </w:tcBorders>
            <w:shd w:val="clear" w:color="000000" w:fill="66FFCC"/>
            <w:noWrap/>
            <w:vAlign w:val="bottom"/>
            <w:hideMark/>
          </w:tcPr>
          <w:p w14:paraId="65FE9E68"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3</w:t>
            </w:r>
          </w:p>
        </w:tc>
        <w:tc>
          <w:tcPr>
            <w:tcW w:w="436" w:type="dxa"/>
            <w:gridSpan w:val="2"/>
            <w:tcBorders>
              <w:top w:val="nil"/>
              <w:left w:val="nil"/>
              <w:bottom w:val="single" w:sz="4" w:space="0" w:color="auto"/>
              <w:right w:val="single" w:sz="4" w:space="0" w:color="auto"/>
            </w:tcBorders>
            <w:shd w:val="clear" w:color="000000" w:fill="FFFF00"/>
            <w:vAlign w:val="center"/>
            <w:hideMark/>
          </w:tcPr>
          <w:p w14:paraId="740FEAE6" w14:textId="77777777" w:rsidR="00A72067" w:rsidRPr="00A72067" w:rsidRDefault="00A72067" w:rsidP="00A72067">
            <w:pPr>
              <w:spacing w:after="0" w:line="240" w:lineRule="auto"/>
              <w:jc w:val="center"/>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3</w:t>
            </w:r>
          </w:p>
        </w:tc>
        <w:tc>
          <w:tcPr>
            <w:tcW w:w="556" w:type="dxa"/>
            <w:gridSpan w:val="2"/>
            <w:tcBorders>
              <w:top w:val="nil"/>
              <w:left w:val="nil"/>
              <w:bottom w:val="single" w:sz="4" w:space="0" w:color="auto"/>
              <w:right w:val="single" w:sz="4" w:space="0" w:color="auto"/>
            </w:tcBorders>
            <w:shd w:val="clear" w:color="000000" w:fill="FFFF99"/>
            <w:vAlign w:val="center"/>
            <w:hideMark/>
          </w:tcPr>
          <w:p w14:paraId="21B361B5" w14:textId="77777777" w:rsidR="00A72067" w:rsidRPr="00A72067" w:rsidRDefault="00A72067" w:rsidP="00A72067">
            <w:pPr>
              <w:spacing w:after="0" w:line="240" w:lineRule="auto"/>
              <w:jc w:val="center"/>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2</w:t>
            </w:r>
          </w:p>
        </w:tc>
        <w:tc>
          <w:tcPr>
            <w:tcW w:w="665" w:type="dxa"/>
            <w:tcBorders>
              <w:top w:val="nil"/>
              <w:left w:val="nil"/>
              <w:bottom w:val="single" w:sz="4" w:space="0" w:color="auto"/>
              <w:right w:val="single" w:sz="4" w:space="0" w:color="auto"/>
            </w:tcBorders>
            <w:shd w:val="clear" w:color="000000" w:fill="FF9900"/>
            <w:vAlign w:val="center"/>
            <w:hideMark/>
          </w:tcPr>
          <w:p w14:paraId="79B822CF" w14:textId="77777777" w:rsidR="00A72067" w:rsidRPr="00A72067" w:rsidRDefault="00A72067" w:rsidP="00A72067">
            <w:pPr>
              <w:spacing w:after="0" w:line="240" w:lineRule="auto"/>
              <w:jc w:val="center"/>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3</w:t>
            </w:r>
          </w:p>
        </w:tc>
        <w:tc>
          <w:tcPr>
            <w:tcW w:w="632" w:type="dxa"/>
            <w:tcBorders>
              <w:top w:val="nil"/>
              <w:left w:val="nil"/>
              <w:bottom w:val="single" w:sz="4" w:space="0" w:color="auto"/>
              <w:right w:val="single" w:sz="4" w:space="0" w:color="auto"/>
            </w:tcBorders>
            <w:shd w:val="clear" w:color="000000" w:fill="CCFFFF"/>
            <w:vAlign w:val="bottom"/>
            <w:hideMark/>
          </w:tcPr>
          <w:p w14:paraId="281C5909"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1</w:t>
            </w:r>
          </w:p>
        </w:tc>
        <w:tc>
          <w:tcPr>
            <w:tcW w:w="610" w:type="dxa"/>
            <w:tcBorders>
              <w:top w:val="nil"/>
              <w:left w:val="nil"/>
              <w:bottom w:val="single" w:sz="4" w:space="0" w:color="auto"/>
              <w:right w:val="single" w:sz="4" w:space="0" w:color="auto"/>
            </w:tcBorders>
            <w:shd w:val="clear" w:color="000000" w:fill="CCFFFF"/>
            <w:vAlign w:val="bottom"/>
            <w:hideMark/>
          </w:tcPr>
          <w:p w14:paraId="62906F3B"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1</w:t>
            </w:r>
          </w:p>
        </w:tc>
        <w:tc>
          <w:tcPr>
            <w:tcW w:w="592" w:type="dxa"/>
            <w:tcBorders>
              <w:top w:val="nil"/>
              <w:left w:val="nil"/>
              <w:bottom w:val="single" w:sz="4" w:space="0" w:color="auto"/>
              <w:right w:val="single" w:sz="4" w:space="0" w:color="auto"/>
            </w:tcBorders>
            <w:shd w:val="clear" w:color="000000" w:fill="CCFFFF"/>
            <w:vAlign w:val="bottom"/>
            <w:hideMark/>
          </w:tcPr>
          <w:p w14:paraId="5A0816C7"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1</w:t>
            </w:r>
          </w:p>
        </w:tc>
        <w:tc>
          <w:tcPr>
            <w:tcW w:w="698" w:type="dxa"/>
            <w:tcBorders>
              <w:top w:val="nil"/>
              <w:left w:val="nil"/>
              <w:bottom w:val="single" w:sz="4" w:space="0" w:color="auto"/>
              <w:right w:val="nil"/>
            </w:tcBorders>
            <w:shd w:val="clear" w:color="000000" w:fill="33CCCC"/>
            <w:noWrap/>
            <w:vAlign w:val="bottom"/>
            <w:hideMark/>
          </w:tcPr>
          <w:p w14:paraId="035EC329"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3</w:t>
            </w:r>
          </w:p>
        </w:tc>
        <w:tc>
          <w:tcPr>
            <w:tcW w:w="716" w:type="dxa"/>
            <w:gridSpan w:val="2"/>
            <w:tcBorders>
              <w:top w:val="nil"/>
              <w:left w:val="single" w:sz="4" w:space="0" w:color="auto"/>
              <w:bottom w:val="single" w:sz="4" w:space="0" w:color="auto"/>
              <w:right w:val="single" w:sz="8" w:space="0" w:color="auto"/>
            </w:tcBorders>
            <w:shd w:val="clear" w:color="000000" w:fill="33CCCC"/>
            <w:noWrap/>
            <w:vAlign w:val="bottom"/>
            <w:hideMark/>
          </w:tcPr>
          <w:p w14:paraId="6571C0D4"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236" w:type="dxa"/>
            <w:gridSpan w:val="2"/>
            <w:vAlign w:val="center"/>
            <w:hideMark/>
          </w:tcPr>
          <w:p w14:paraId="57FF630D" w14:textId="77777777" w:rsidR="00A72067" w:rsidRPr="00A72067" w:rsidRDefault="00A72067" w:rsidP="00A72067">
            <w:pPr>
              <w:spacing w:after="0" w:line="240" w:lineRule="auto"/>
              <w:rPr>
                <w:rFonts w:ascii="Times New Roman" w:eastAsia="Times New Roman" w:hAnsi="Times New Roman" w:cs="Times New Roman"/>
                <w:sz w:val="16"/>
                <w:szCs w:val="16"/>
                <w:lang w:eastAsia="hr-HR"/>
              </w:rPr>
            </w:pPr>
          </w:p>
        </w:tc>
      </w:tr>
      <w:tr w:rsidR="00A72067" w:rsidRPr="00A72067" w14:paraId="0274439B" w14:textId="77777777" w:rsidTr="00A72067">
        <w:trPr>
          <w:trHeight w:val="402"/>
        </w:trPr>
        <w:tc>
          <w:tcPr>
            <w:tcW w:w="1264" w:type="dxa"/>
            <w:tcBorders>
              <w:top w:val="nil"/>
              <w:left w:val="single" w:sz="8" w:space="0" w:color="auto"/>
              <w:bottom w:val="single" w:sz="4" w:space="0" w:color="auto"/>
              <w:right w:val="nil"/>
            </w:tcBorders>
            <w:shd w:val="clear" w:color="000000" w:fill="CCFFCC"/>
            <w:vAlign w:val="center"/>
            <w:hideMark/>
          </w:tcPr>
          <w:p w14:paraId="2229DFB4" w14:textId="77777777" w:rsidR="00A72067" w:rsidRPr="00A72067" w:rsidRDefault="00A72067" w:rsidP="00A72067">
            <w:pPr>
              <w:spacing w:after="0" w:line="240" w:lineRule="auto"/>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Političko ili drugo uvjerenje</w:t>
            </w:r>
          </w:p>
        </w:tc>
        <w:tc>
          <w:tcPr>
            <w:tcW w:w="460" w:type="dxa"/>
            <w:tcBorders>
              <w:top w:val="nil"/>
              <w:left w:val="single" w:sz="8" w:space="0" w:color="auto"/>
              <w:bottom w:val="single" w:sz="4" w:space="0" w:color="auto"/>
              <w:right w:val="single" w:sz="4" w:space="0" w:color="auto"/>
            </w:tcBorders>
            <w:shd w:val="clear" w:color="000000" w:fill="CCFFCC"/>
            <w:vAlign w:val="center"/>
            <w:hideMark/>
          </w:tcPr>
          <w:p w14:paraId="3B77B94F" w14:textId="77777777" w:rsidR="00A72067" w:rsidRPr="00A72067" w:rsidRDefault="00A72067" w:rsidP="00A72067">
            <w:pPr>
              <w:spacing w:after="0" w:line="240" w:lineRule="auto"/>
              <w:jc w:val="center"/>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4</w:t>
            </w:r>
          </w:p>
        </w:tc>
        <w:tc>
          <w:tcPr>
            <w:tcW w:w="434" w:type="dxa"/>
            <w:tcBorders>
              <w:top w:val="nil"/>
              <w:left w:val="nil"/>
              <w:bottom w:val="single" w:sz="4" w:space="0" w:color="auto"/>
              <w:right w:val="single" w:sz="4" w:space="0" w:color="auto"/>
            </w:tcBorders>
            <w:shd w:val="clear" w:color="000000" w:fill="FFCC99"/>
            <w:noWrap/>
            <w:vAlign w:val="bottom"/>
            <w:hideMark/>
          </w:tcPr>
          <w:p w14:paraId="7B0CD906" w14:textId="77777777" w:rsidR="00A72067" w:rsidRPr="00A72067" w:rsidRDefault="00A72067" w:rsidP="00A72067">
            <w:pPr>
              <w:spacing w:after="0" w:line="240" w:lineRule="auto"/>
              <w:jc w:val="center"/>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2</w:t>
            </w:r>
          </w:p>
        </w:tc>
        <w:tc>
          <w:tcPr>
            <w:tcW w:w="585" w:type="dxa"/>
            <w:tcBorders>
              <w:top w:val="nil"/>
              <w:left w:val="nil"/>
              <w:bottom w:val="single" w:sz="4" w:space="0" w:color="auto"/>
              <w:right w:val="single" w:sz="4" w:space="0" w:color="auto"/>
            </w:tcBorders>
            <w:shd w:val="clear" w:color="000000" w:fill="CCFFFF"/>
            <w:noWrap/>
            <w:vAlign w:val="bottom"/>
            <w:hideMark/>
          </w:tcPr>
          <w:p w14:paraId="36EEA667"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652" w:type="dxa"/>
            <w:tcBorders>
              <w:top w:val="nil"/>
              <w:left w:val="nil"/>
              <w:bottom w:val="single" w:sz="4" w:space="0" w:color="auto"/>
              <w:right w:val="single" w:sz="4" w:space="0" w:color="auto"/>
            </w:tcBorders>
            <w:shd w:val="clear" w:color="000000" w:fill="CCFFFF"/>
            <w:noWrap/>
            <w:vAlign w:val="bottom"/>
            <w:hideMark/>
          </w:tcPr>
          <w:p w14:paraId="7C72948E"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1</w:t>
            </w:r>
          </w:p>
        </w:tc>
        <w:tc>
          <w:tcPr>
            <w:tcW w:w="422" w:type="dxa"/>
            <w:tcBorders>
              <w:top w:val="nil"/>
              <w:left w:val="nil"/>
              <w:bottom w:val="single" w:sz="4" w:space="0" w:color="auto"/>
              <w:right w:val="single" w:sz="4" w:space="0" w:color="auto"/>
            </w:tcBorders>
            <w:shd w:val="clear" w:color="000000" w:fill="FFFF99"/>
            <w:noWrap/>
            <w:vAlign w:val="bottom"/>
            <w:hideMark/>
          </w:tcPr>
          <w:p w14:paraId="52BA154E" w14:textId="77777777" w:rsidR="00A72067" w:rsidRPr="00A72067" w:rsidRDefault="00A72067" w:rsidP="00A72067">
            <w:pPr>
              <w:spacing w:after="0" w:line="240" w:lineRule="auto"/>
              <w:jc w:val="center"/>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2</w:t>
            </w:r>
          </w:p>
        </w:tc>
        <w:tc>
          <w:tcPr>
            <w:tcW w:w="424" w:type="dxa"/>
            <w:tcBorders>
              <w:top w:val="nil"/>
              <w:left w:val="nil"/>
              <w:bottom w:val="single" w:sz="4" w:space="0" w:color="auto"/>
              <w:right w:val="single" w:sz="4" w:space="0" w:color="auto"/>
            </w:tcBorders>
            <w:shd w:val="clear" w:color="000000" w:fill="FFFF99"/>
            <w:noWrap/>
            <w:vAlign w:val="bottom"/>
            <w:hideMark/>
          </w:tcPr>
          <w:p w14:paraId="47D025C8" w14:textId="77777777" w:rsidR="00A72067" w:rsidRPr="00A72067" w:rsidRDefault="00A72067" w:rsidP="00A72067">
            <w:pPr>
              <w:spacing w:after="0" w:line="240" w:lineRule="auto"/>
              <w:jc w:val="center"/>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698" w:type="dxa"/>
            <w:tcBorders>
              <w:top w:val="nil"/>
              <w:left w:val="nil"/>
              <w:bottom w:val="single" w:sz="4" w:space="0" w:color="auto"/>
              <w:right w:val="single" w:sz="4" w:space="0" w:color="auto"/>
            </w:tcBorders>
            <w:shd w:val="clear" w:color="000000" w:fill="FFFF99"/>
            <w:noWrap/>
            <w:vAlign w:val="bottom"/>
            <w:hideMark/>
          </w:tcPr>
          <w:p w14:paraId="17463855" w14:textId="77777777" w:rsidR="00A72067" w:rsidRPr="00A72067" w:rsidRDefault="00A72067" w:rsidP="00A72067">
            <w:pPr>
              <w:spacing w:after="0" w:line="240" w:lineRule="auto"/>
              <w:jc w:val="center"/>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438" w:type="dxa"/>
            <w:tcBorders>
              <w:top w:val="nil"/>
              <w:left w:val="nil"/>
              <w:bottom w:val="single" w:sz="4" w:space="0" w:color="auto"/>
              <w:right w:val="single" w:sz="4" w:space="0" w:color="auto"/>
            </w:tcBorders>
            <w:shd w:val="clear" w:color="000000" w:fill="FFFF99"/>
            <w:noWrap/>
            <w:vAlign w:val="bottom"/>
            <w:hideMark/>
          </w:tcPr>
          <w:p w14:paraId="7BEBE413" w14:textId="77777777" w:rsidR="00A72067" w:rsidRPr="00A72067" w:rsidRDefault="00A72067" w:rsidP="00A72067">
            <w:pPr>
              <w:spacing w:after="0" w:line="240" w:lineRule="auto"/>
              <w:jc w:val="center"/>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577" w:type="dxa"/>
            <w:tcBorders>
              <w:top w:val="nil"/>
              <w:left w:val="nil"/>
              <w:bottom w:val="single" w:sz="4" w:space="0" w:color="auto"/>
              <w:right w:val="single" w:sz="4" w:space="0" w:color="auto"/>
            </w:tcBorders>
            <w:shd w:val="clear" w:color="000000" w:fill="FFFF99"/>
            <w:noWrap/>
            <w:vAlign w:val="bottom"/>
            <w:hideMark/>
          </w:tcPr>
          <w:p w14:paraId="2399ACE2" w14:textId="77777777" w:rsidR="00A72067" w:rsidRPr="00A72067" w:rsidRDefault="00A72067" w:rsidP="00A72067">
            <w:pPr>
              <w:spacing w:after="0" w:line="240" w:lineRule="auto"/>
              <w:jc w:val="center"/>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415" w:type="dxa"/>
            <w:gridSpan w:val="2"/>
            <w:tcBorders>
              <w:top w:val="nil"/>
              <w:left w:val="nil"/>
              <w:bottom w:val="single" w:sz="4" w:space="0" w:color="auto"/>
              <w:right w:val="single" w:sz="4" w:space="0" w:color="auto"/>
            </w:tcBorders>
            <w:shd w:val="clear" w:color="000000" w:fill="FF9900"/>
            <w:noWrap/>
            <w:vAlign w:val="bottom"/>
            <w:hideMark/>
          </w:tcPr>
          <w:p w14:paraId="598A16DE"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425" w:type="dxa"/>
            <w:tcBorders>
              <w:top w:val="nil"/>
              <w:left w:val="nil"/>
              <w:bottom w:val="single" w:sz="4" w:space="0" w:color="auto"/>
              <w:right w:val="single" w:sz="4" w:space="0" w:color="auto"/>
            </w:tcBorders>
            <w:shd w:val="clear" w:color="000000" w:fill="FF9900"/>
            <w:noWrap/>
            <w:vAlign w:val="bottom"/>
            <w:hideMark/>
          </w:tcPr>
          <w:p w14:paraId="219C2867"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2</w:t>
            </w:r>
          </w:p>
        </w:tc>
        <w:tc>
          <w:tcPr>
            <w:tcW w:w="436" w:type="dxa"/>
            <w:tcBorders>
              <w:top w:val="nil"/>
              <w:left w:val="nil"/>
              <w:bottom w:val="single" w:sz="4" w:space="0" w:color="auto"/>
              <w:right w:val="single" w:sz="4" w:space="0" w:color="auto"/>
            </w:tcBorders>
            <w:shd w:val="clear" w:color="000000" w:fill="FF9900"/>
            <w:noWrap/>
            <w:vAlign w:val="bottom"/>
            <w:hideMark/>
          </w:tcPr>
          <w:p w14:paraId="7EC6C484"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415" w:type="dxa"/>
            <w:gridSpan w:val="2"/>
            <w:tcBorders>
              <w:top w:val="nil"/>
              <w:left w:val="nil"/>
              <w:bottom w:val="single" w:sz="4" w:space="0" w:color="auto"/>
              <w:right w:val="single" w:sz="4" w:space="0" w:color="auto"/>
            </w:tcBorders>
            <w:shd w:val="clear" w:color="000000" w:fill="66FFCC"/>
            <w:noWrap/>
            <w:vAlign w:val="bottom"/>
            <w:hideMark/>
          </w:tcPr>
          <w:p w14:paraId="2A6DF8A3"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425" w:type="dxa"/>
            <w:tcBorders>
              <w:top w:val="nil"/>
              <w:left w:val="nil"/>
              <w:bottom w:val="single" w:sz="4" w:space="0" w:color="auto"/>
              <w:right w:val="single" w:sz="4" w:space="0" w:color="auto"/>
            </w:tcBorders>
            <w:shd w:val="clear" w:color="000000" w:fill="66FFCC"/>
            <w:noWrap/>
            <w:vAlign w:val="bottom"/>
            <w:hideMark/>
          </w:tcPr>
          <w:p w14:paraId="57E84248"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425" w:type="dxa"/>
            <w:tcBorders>
              <w:top w:val="nil"/>
              <w:left w:val="nil"/>
              <w:bottom w:val="single" w:sz="4" w:space="0" w:color="auto"/>
              <w:right w:val="single" w:sz="4" w:space="0" w:color="auto"/>
            </w:tcBorders>
            <w:shd w:val="clear" w:color="000000" w:fill="66FFCC"/>
            <w:noWrap/>
            <w:vAlign w:val="bottom"/>
            <w:hideMark/>
          </w:tcPr>
          <w:p w14:paraId="04439F6C"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426" w:type="dxa"/>
            <w:tcBorders>
              <w:top w:val="nil"/>
              <w:left w:val="nil"/>
              <w:bottom w:val="single" w:sz="4" w:space="0" w:color="auto"/>
              <w:right w:val="single" w:sz="4" w:space="0" w:color="auto"/>
            </w:tcBorders>
            <w:shd w:val="clear" w:color="000000" w:fill="66FFCC"/>
            <w:noWrap/>
            <w:vAlign w:val="bottom"/>
            <w:hideMark/>
          </w:tcPr>
          <w:p w14:paraId="3147AEDA"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436" w:type="dxa"/>
            <w:gridSpan w:val="2"/>
            <w:tcBorders>
              <w:top w:val="nil"/>
              <w:left w:val="nil"/>
              <w:bottom w:val="single" w:sz="4" w:space="0" w:color="auto"/>
              <w:right w:val="single" w:sz="4" w:space="0" w:color="auto"/>
            </w:tcBorders>
            <w:shd w:val="clear" w:color="000000" w:fill="FFFF00"/>
            <w:vAlign w:val="center"/>
            <w:hideMark/>
          </w:tcPr>
          <w:p w14:paraId="260BB903" w14:textId="77777777" w:rsidR="00A72067" w:rsidRPr="00A72067" w:rsidRDefault="00A72067" w:rsidP="00A72067">
            <w:pPr>
              <w:spacing w:after="0" w:line="240" w:lineRule="auto"/>
              <w:jc w:val="center"/>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2</w:t>
            </w:r>
          </w:p>
        </w:tc>
        <w:tc>
          <w:tcPr>
            <w:tcW w:w="556" w:type="dxa"/>
            <w:gridSpan w:val="2"/>
            <w:tcBorders>
              <w:top w:val="nil"/>
              <w:left w:val="nil"/>
              <w:bottom w:val="single" w:sz="4" w:space="0" w:color="auto"/>
              <w:right w:val="single" w:sz="4" w:space="0" w:color="auto"/>
            </w:tcBorders>
            <w:shd w:val="clear" w:color="000000" w:fill="FFFF99"/>
            <w:vAlign w:val="center"/>
            <w:hideMark/>
          </w:tcPr>
          <w:p w14:paraId="2AC57D6F" w14:textId="77777777" w:rsidR="00A72067" w:rsidRPr="00A72067" w:rsidRDefault="00A72067" w:rsidP="00A72067">
            <w:pPr>
              <w:spacing w:after="0" w:line="240" w:lineRule="auto"/>
              <w:jc w:val="center"/>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4</w:t>
            </w:r>
          </w:p>
        </w:tc>
        <w:tc>
          <w:tcPr>
            <w:tcW w:w="665" w:type="dxa"/>
            <w:tcBorders>
              <w:top w:val="nil"/>
              <w:left w:val="nil"/>
              <w:bottom w:val="single" w:sz="4" w:space="0" w:color="auto"/>
              <w:right w:val="single" w:sz="4" w:space="0" w:color="auto"/>
            </w:tcBorders>
            <w:shd w:val="clear" w:color="000000" w:fill="FF9900"/>
            <w:vAlign w:val="center"/>
            <w:hideMark/>
          </w:tcPr>
          <w:p w14:paraId="7569E0E4" w14:textId="77777777" w:rsidR="00A72067" w:rsidRPr="00A72067" w:rsidRDefault="00A72067" w:rsidP="00A72067">
            <w:pPr>
              <w:spacing w:after="0" w:line="240" w:lineRule="auto"/>
              <w:jc w:val="center"/>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632" w:type="dxa"/>
            <w:tcBorders>
              <w:top w:val="nil"/>
              <w:left w:val="nil"/>
              <w:bottom w:val="single" w:sz="4" w:space="0" w:color="auto"/>
              <w:right w:val="single" w:sz="4" w:space="0" w:color="auto"/>
            </w:tcBorders>
            <w:shd w:val="clear" w:color="000000" w:fill="CCFFFF"/>
            <w:vAlign w:val="bottom"/>
            <w:hideMark/>
          </w:tcPr>
          <w:p w14:paraId="79E5754C"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610" w:type="dxa"/>
            <w:tcBorders>
              <w:top w:val="nil"/>
              <w:left w:val="nil"/>
              <w:bottom w:val="single" w:sz="4" w:space="0" w:color="auto"/>
              <w:right w:val="single" w:sz="4" w:space="0" w:color="auto"/>
            </w:tcBorders>
            <w:shd w:val="clear" w:color="000000" w:fill="CCFFFF"/>
            <w:vAlign w:val="bottom"/>
            <w:hideMark/>
          </w:tcPr>
          <w:p w14:paraId="72D1E928"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592" w:type="dxa"/>
            <w:tcBorders>
              <w:top w:val="nil"/>
              <w:left w:val="nil"/>
              <w:bottom w:val="single" w:sz="4" w:space="0" w:color="auto"/>
              <w:right w:val="single" w:sz="4" w:space="0" w:color="auto"/>
            </w:tcBorders>
            <w:shd w:val="clear" w:color="000000" w:fill="CCFFFF"/>
            <w:vAlign w:val="bottom"/>
            <w:hideMark/>
          </w:tcPr>
          <w:p w14:paraId="79EA89CE"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698" w:type="dxa"/>
            <w:tcBorders>
              <w:top w:val="nil"/>
              <w:left w:val="nil"/>
              <w:bottom w:val="single" w:sz="4" w:space="0" w:color="auto"/>
              <w:right w:val="nil"/>
            </w:tcBorders>
            <w:shd w:val="clear" w:color="000000" w:fill="33CCCC"/>
            <w:noWrap/>
            <w:vAlign w:val="bottom"/>
            <w:hideMark/>
          </w:tcPr>
          <w:p w14:paraId="35B5A1CB"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1</w:t>
            </w:r>
          </w:p>
        </w:tc>
        <w:tc>
          <w:tcPr>
            <w:tcW w:w="716" w:type="dxa"/>
            <w:gridSpan w:val="2"/>
            <w:tcBorders>
              <w:top w:val="nil"/>
              <w:left w:val="single" w:sz="4" w:space="0" w:color="auto"/>
              <w:bottom w:val="single" w:sz="4" w:space="0" w:color="auto"/>
              <w:right w:val="single" w:sz="8" w:space="0" w:color="auto"/>
            </w:tcBorders>
            <w:shd w:val="clear" w:color="000000" w:fill="33CCCC"/>
            <w:noWrap/>
            <w:vAlign w:val="bottom"/>
            <w:hideMark/>
          </w:tcPr>
          <w:p w14:paraId="140CA943"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1</w:t>
            </w:r>
          </w:p>
        </w:tc>
        <w:tc>
          <w:tcPr>
            <w:tcW w:w="236" w:type="dxa"/>
            <w:gridSpan w:val="2"/>
            <w:vAlign w:val="center"/>
            <w:hideMark/>
          </w:tcPr>
          <w:p w14:paraId="44C631E0" w14:textId="77777777" w:rsidR="00A72067" w:rsidRPr="00A72067" w:rsidRDefault="00A72067" w:rsidP="00A72067">
            <w:pPr>
              <w:spacing w:after="0" w:line="240" w:lineRule="auto"/>
              <w:rPr>
                <w:rFonts w:ascii="Times New Roman" w:eastAsia="Times New Roman" w:hAnsi="Times New Roman" w:cs="Times New Roman"/>
                <w:sz w:val="16"/>
                <w:szCs w:val="16"/>
                <w:lang w:eastAsia="hr-HR"/>
              </w:rPr>
            </w:pPr>
          </w:p>
        </w:tc>
      </w:tr>
      <w:tr w:rsidR="00A72067" w:rsidRPr="00A72067" w14:paraId="6B61E0D2" w14:textId="77777777" w:rsidTr="00A72067">
        <w:trPr>
          <w:trHeight w:val="402"/>
        </w:trPr>
        <w:tc>
          <w:tcPr>
            <w:tcW w:w="1264" w:type="dxa"/>
            <w:tcBorders>
              <w:top w:val="nil"/>
              <w:left w:val="single" w:sz="8" w:space="0" w:color="auto"/>
              <w:bottom w:val="single" w:sz="4" w:space="0" w:color="auto"/>
              <w:right w:val="nil"/>
            </w:tcBorders>
            <w:shd w:val="clear" w:color="000000" w:fill="CCFFCC"/>
            <w:vAlign w:val="center"/>
            <w:hideMark/>
          </w:tcPr>
          <w:p w14:paraId="415253FF" w14:textId="77777777" w:rsidR="00A72067" w:rsidRPr="00A72067" w:rsidRDefault="00A72067" w:rsidP="00A72067">
            <w:pPr>
              <w:spacing w:after="0" w:line="240" w:lineRule="auto"/>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Nacionalno podrijetlo</w:t>
            </w:r>
          </w:p>
        </w:tc>
        <w:tc>
          <w:tcPr>
            <w:tcW w:w="460" w:type="dxa"/>
            <w:tcBorders>
              <w:top w:val="nil"/>
              <w:left w:val="single" w:sz="8" w:space="0" w:color="auto"/>
              <w:bottom w:val="single" w:sz="4" w:space="0" w:color="auto"/>
              <w:right w:val="single" w:sz="4" w:space="0" w:color="auto"/>
            </w:tcBorders>
            <w:shd w:val="clear" w:color="000000" w:fill="CCFFCC"/>
            <w:vAlign w:val="center"/>
            <w:hideMark/>
          </w:tcPr>
          <w:p w14:paraId="0E6D2A72" w14:textId="77777777" w:rsidR="00A72067" w:rsidRPr="00A72067" w:rsidRDefault="00A72067" w:rsidP="00A72067">
            <w:pPr>
              <w:spacing w:after="0" w:line="240" w:lineRule="auto"/>
              <w:jc w:val="center"/>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56</w:t>
            </w:r>
          </w:p>
        </w:tc>
        <w:tc>
          <w:tcPr>
            <w:tcW w:w="434" w:type="dxa"/>
            <w:tcBorders>
              <w:top w:val="nil"/>
              <w:left w:val="nil"/>
              <w:bottom w:val="single" w:sz="4" w:space="0" w:color="auto"/>
              <w:right w:val="single" w:sz="4" w:space="0" w:color="auto"/>
            </w:tcBorders>
            <w:shd w:val="clear" w:color="000000" w:fill="FFCC99"/>
            <w:noWrap/>
            <w:vAlign w:val="bottom"/>
            <w:hideMark/>
          </w:tcPr>
          <w:p w14:paraId="0D020280" w14:textId="77777777" w:rsidR="00A72067" w:rsidRPr="00A72067" w:rsidRDefault="00A72067" w:rsidP="00A72067">
            <w:pPr>
              <w:spacing w:after="0" w:line="240" w:lineRule="auto"/>
              <w:jc w:val="center"/>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39</w:t>
            </w:r>
          </w:p>
        </w:tc>
        <w:tc>
          <w:tcPr>
            <w:tcW w:w="585" w:type="dxa"/>
            <w:tcBorders>
              <w:top w:val="nil"/>
              <w:left w:val="nil"/>
              <w:bottom w:val="single" w:sz="4" w:space="0" w:color="auto"/>
              <w:right w:val="single" w:sz="4" w:space="0" w:color="auto"/>
            </w:tcBorders>
            <w:shd w:val="clear" w:color="000000" w:fill="CCFFFF"/>
            <w:noWrap/>
            <w:vAlign w:val="bottom"/>
            <w:hideMark/>
          </w:tcPr>
          <w:p w14:paraId="2126ACFD"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7</w:t>
            </w:r>
          </w:p>
        </w:tc>
        <w:tc>
          <w:tcPr>
            <w:tcW w:w="652" w:type="dxa"/>
            <w:tcBorders>
              <w:top w:val="nil"/>
              <w:left w:val="nil"/>
              <w:bottom w:val="single" w:sz="4" w:space="0" w:color="auto"/>
              <w:right w:val="single" w:sz="4" w:space="0" w:color="auto"/>
            </w:tcBorders>
            <w:shd w:val="clear" w:color="000000" w:fill="CCFFFF"/>
            <w:noWrap/>
            <w:vAlign w:val="bottom"/>
            <w:hideMark/>
          </w:tcPr>
          <w:p w14:paraId="63C71A22"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30</w:t>
            </w:r>
          </w:p>
        </w:tc>
        <w:tc>
          <w:tcPr>
            <w:tcW w:w="422" w:type="dxa"/>
            <w:tcBorders>
              <w:top w:val="nil"/>
              <w:left w:val="nil"/>
              <w:bottom w:val="single" w:sz="4" w:space="0" w:color="auto"/>
              <w:right w:val="single" w:sz="4" w:space="0" w:color="auto"/>
            </w:tcBorders>
            <w:shd w:val="clear" w:color="000000" w:fill="FFFF99"/>
            <w:noWrap/>
            <w:vAlign w:val="bottom"/>
            <w:hideMark/>
          </w:tcPr>
          <w:p w14:paraId="68427B57" w14:textId="77777777" w:rsidR="00A72067" w:rsidRPr="00A72067" w:rsidRDefault="00A72067" w:rsidP="00A72067">
            <w:pPr>
              <w:spacing w:after="0" w:line="240" w:lineRule="auto"/>
              <w:jc w:val="center"/>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40</w:t>
            </w:r>
          </w:p>
        </w:tc>
        <w:tc>
          <w:tcPr>
            <w:tcW w:w="424" w:type="dxa"/>
            <w:tcBorders>
              <w:top w:val="nil"/>
              <w:left w:val="nil"/>
              <w:bottom w:val="single" w:sz="4" w:space="0" w:color="auto"/>
              <w:right w:val="single" w:sz="4" w:space="0" w:color="auto"/>
            </w:tcBorders>
            <w:shd w:val="clear" w:color="000000" w:fill="FFFF99"/>
            <w:noWrap/>
            <w:vAlign w:val="bottom"/>
            <w:hideMark/>
          </w:tcPr>
          <w:p w14:paraId="5982B582" w14:textId="77777777" w:rsidR="00A72067" w:rsidRPr="00A72067" w:rsidRDefault="00A72067" w:rsidP="00A72067">
            <w:pPr>
              <w:spacing w:after="0" w:line="240" w:lineRule="auto"/>
              <w:jc w:val="center"/>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698" w:type="dxa"/>
            <w:tcBorders>
              <w:top w:val="nil"/>
              <w:left w:val="nil"/>
              <w:bottom w:val="single" w:sz="4" w:space="0" w:color="auto"/>
              <w:right w:val="single" w:sz="4" w:space="0" w:color="auto"/>
            </w:tcBorders>
            <w:shd w:val="clear" w:color="000000" w:fill="FFFF99"/>
            <w:noWrap/>
            <w:vAlign w:val="bottom"/>
            <w:hideMark/>
          </w:tcPr>
          <w:p w14:paraId="067A3491" w14:textId="77777777" w:rsidR="00A72067" w:rsidRPr="00A72067" w:rsidRDefault="00A72067" w:rsidP="00A72067">
            <w:pPr>
              <w:spacing w:after="0" w:line="240" w:lineRule="auto"/>
              <w:jc w:val="center"/>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438" w:type="dxa"/>
            <w:tcBorders>
              <w:top w:val="nil"/>
              <w:left w:val="nil"/>
              <w:bottom w:val="single" w:sz="4" w:space="0" w:color="auto"/>
              <w:right w:val="single" w:sz="4" w:space="0" w:color="auto"/>
            </w:tcBorders>
            <w:shd w:val="clear" w:color="000000" w:fill="FFFF99"/>
            <w:noWrap/>
            <w:vAlign w:val="bottom"/>
            <w:hideMark/>
          </w:tcPr>
          <w:p w14:paraId="193F4737" w14:textId="77777777" w:rsidR="00A72067" w:rsidRPr="00A72067" w:rsidRDefault="00A72067" w:rsidP="00A72067">
            <w:pPr>
              <w:spacing w:after="0" w:line="240" w:lineRule="auto"/>
              <w:jc w:val="center"/>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577" w:type="dxa"/>
            <w:tcBorders>
              <w:top w:val="nil"/>
              <w:left w:val="nil"/>
              <w:bottom w:val="single" w:sz="4" w:space="0" w:color="auto"/>
              <w:right w:val="single" w:sz="4" w:space="0" w:color="auto"/>
            </w:tcBorders>
            <w:shd w:val="clear" w:color="000000" w:fill="FFFF99"/>
            <w:noWrap/>
            <w:vAlign w:val="bottom"/>
            <w:hideMark/>
          </w:tcPr>
          <w:p w14:paraId="2B9BC6B9" w14:textId="77777777" w:rsidR="00A72067" w:rsidRPr="00A72067" w:rsidRDefault="00A72067" w:rsidP="00A72067">
            <w:pPr>
              <w:spacing w:after="0" w:line="240" w:lineRule="auto"/>
              <w:jc w:val="center"/>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1</w:t>
            </w:r>
          </w:p>
        </w:tc>
        <w:tc>
          <w:tcPr>
            <w:tcW w:w="415" w:type="dxa"/>
            <w:gridSpan w:val="2"/>
            <w:tcBorders>
              <w:top w:val="nil"/>
              <w:left w:val="nil"/>
              <w:bottom w:val="single" w:sz="4" w:space="0" w:color="auto"/>
              <w:right w:val="single" w:sz="4" w:space="0" w:color="auto"/>
            </w:tcBorders>
            <w:shd w:val="clear" w:color="000000" w:fill="FF9900"/>
            <w:noWrap/>
            <w:vAlign w:val="bottom"/>
            <w:hideMark/>
          </w:tcPr>
          <w:p w14:paraId="12237476"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31</w:t>
            </w:r>
          </w:p>
        </w:tc>
        <w:tc>
          <w:tcPr>
            <w:tcW w:w="425" w:type="dxa"/>
            <w:tcBorders>
              <w:top w:val="nil"/>
              <w:left w:val="nil"/>
              <w:bottom w:val="single" w:sz="4" w:space="0" w:color="auto"/>
              <w:right w:val="single" w:sz="4" w:space="0" w:color="auto"/>
            </w:tcBorders>
            <w:shd w:val="clear" w:color="000000" w:fill="FF9900"/>
            <w:noWrap/>
            <w:vAlign w:val="bottom"/>
            <w:hideMark/>
          </w:tcPr>
          <w:p w14:paraId="753790C1"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22</w:t>
            </w:r>
          </w:p>
        </w:tc>
        <w:tc>
          <w:tcPr>
            <w:tcW w:w="436" w:type="dxa"/>
            <w:tcBorders>
              <w:top w:val="nil"/>
              <w:left w:val="nil"/>
              <w:bottom w:val="single" w:sz="4" w:space="0" w:color="auto"/>
              <w:right w:val="single" w:sz="4" w:space="0" w:color="auto"/>
            </w:tcBorders>
            <w:shd w:val="clear" w:color="000000" w:fill="FF9900"/>
            <w:noWrap/>
            <w:vAlign w:val="bottom"/>
            <w:hideMark/>
          </w:tcPr>
          <w:p w14:paraId="6FB93DA9"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9</w:t>
            </w:r>
          </w:p>
        </w:tc>
        <w:tc>
          <w:tcPr>
            <w:tcW w:w="415" w:type="dxa"/>
            <w:gridSpan w:val="2"/>
            <w:tcBorders>
              <w:top w:val="nil"/>
              <w:left w:val="nil"/>
              <w:bottom w:val="single" w:sz="4" w:space="0" w:color="auto"/>
              <w:right w:val="single" w:sz="4" w:space="0" w:color="auto"/>
            </w:tcBorders>
            <w:shd w:val="clear" w:color="000000" w:fill="66FFCC"/>
            <w:noWrap/>
            <w:vAlign w:val="bottom"/>
            <w:hideMark/>
          </w:tcPr>
          <w:p w14:paraId="307F7ED9"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425" w:type="dxa"/>
            <w:tcBorders>
              <w:top w:val="nil"/>
              <w:left w:val="nil"/>
              <w:bottom w:val="single" w:sz="4" w:space="0" w:color="auto"/>
              <w:right w:val="single" w:sz="4" w:space="0" w:color="auto"/>
            </w:tcBorders>
            <w:shd w:val="clear" w:color="000000" w:fill="66FFCC"/>
            <w:noWrap/>
            <w:vAlign w:val="bottom"/>
            <w:hideMark/>
          </w:tcPr>
          <w:p w14:paraId="26320773"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30</w:t>
            </w:r>
          </w:p>
        </w:tc>
        <w:tc>
          <w:tcPr>
            <w:tcW w:w="425" w:type="dxa"/>
            <w:tcBorders>
              <w:top w:val="nil"/>
              <w:left w:val="nil"/>
              <w:bottom w:val="single" w:sz="4" w:space="0" w:color="auto"/>
              <w:right w:val="single" w:sz="4" w:space="0" w:color="auto"/>
            </w:tcBorders>
            <w:shd w:val="clear" w:color="000000" w:fill="66FFCC"/>
            <w:noWrap/>
            <w:vAlign w:val="bottom"/>
            <w:hideMark/>
          </w:tcPr>
          <w:p w14:paraId="68549E97"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1</w:t>
            </w:r>
          </w:p>
        </w:tc>
        <w:tc>
          <w:tcPr>
            <w:tcW w:w="426" w:type="dxa"/>
            <w:tcBorders>
              <w:top w:val="nil"/>
              <w:left w:val="nil"/>
              <w:bottom w:val="single" w:sz="4" w:space="0" w:color="auto"/>
              <w:right w:val="single" w:sz="4" w:space="0" w:color="auto"/>
            </w:tcBorders>
            <w:shd w:val="clear" w:color="000000" w:fill="66FFCC"/>
            <w:noWrap/>
            <w:vAlign w:val="bottom"/>
            <w:hideMark/>
          </w:tcPr>
          <w:p w14:paraId="11550291"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32</w:t>
            </w:r>
          </w:p>
        </w:tc>
        <w:tc>
          <w:tcPr>
            <w:tcW w:w="436" w:type="dxa"/>
            <w:gridSpan w:val="2"/>
            <w:tcBorders>
              <w:top w:val="nil"/>
              <w:left w:val="nil"/>
              <w:bottom w:val="single" w:sz="4" w:space="0" w:color="auto"/>
              <w:right w:val="single" w:sz="4" w:space="0" w:color="auto"/>
            </w:tcBorders>
            <w:shd w:val="clear" w:color="000000" w:fill="FFFF00"/>
            <w:vAlign w:val="center"/>
            <w:hideMark/>
          </w:tcPr>
          <w:p w14:paraId="055023E2" w14:textId="77777777" w:rsidR="00A72067" w:rsidRPr="00A72067" w:rsidRDefault="00A72067" w:rsidP="00A72067">
            <w:pPr>
              <w:spacing w:after="0" w:line="240" w:lineRule="auto"/>
              <w:jc w:val="center"/>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62</w:t>
            </w:r>
          </w:p>
        </w:tc>
        <w:tc>
          <w:tcPr>
            <w:tcW w:w="556" w:type="dxa"/>
            <w:gridSpan w:val="2"/>
            <w:tcBorders>
              <w:top w:val="nil"/>
              <w:left w:val="nil"/>
              <w:bottom w:val="single" w:sz="4" w:space="0" w:color="auto"/>
              <w:right w:val="single" w:sz="4" w:space="0" w:color="auto"/>
            </w:tcBorders>
            <w:shd w:val="clear" w:color="000000" w:fill="FFFF99"/>
            <w:vAlign w:val="center"/>
            <w:hideMark/>
          </w:tcPr>
          <w:p w14:paraId="6E7D5935" w14:textId="77777777" w:rsidR="00A72067" w:rsidRPr="00A72067" w:rsidRDefault="00A72067" w:rsidP="00A72067">
            <w:pPr>
              <w:spacing w:after="0" w:line="240" w:lineRule="auto"/>
              <w:jc w:val="center"/>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33</w:t>
            </w:r>
          </w:p>
        </w:tc>
        <w:tc>
          <w:tcPr>
            <w:tcW w:w="665" w:type="dxa"/>
            <w:tcBorders>
              <w:top w:val="nil"/>
              <w:left w:val="nil"/>
              <w:bottom w:val="single" w:sz="4" w:space="0" w:color="auto"/>
              <w:right w:val="single" w:sz="4" w:space="0" w:color="auto"/>
            </w:tcBorders>
            <w:shd w:val="clear" w:color="000000" w:fill="FF9900"/>
            <w:vAlign w:val="center"/>
            <w:hideMark/>
          </w:tcPr>
          <w:p w14:paraId="59D44ABA" w14:textId="77777777" w:rsidR="00A72067" w:rsidRPr="00A72067" w:rsidRDefault="00A72067" w:rsidP="00A72067">
            <w:pPr>
              <w:spacing w:after="0" w:line="240" w:lineRule="auto"/>
              <w:jc w:val="center"/>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34</w:t>
            </w:r>
          </w:p>
        </w:tc>
        <w:tc>
          <w:tcPr>
            <w:tcW w:w="632" w:type="dxa"/>
            <w:tcBorders>
              <w:top w:val="nil"/>
              <w:left w:val="nil"/>
              <w:bottom w:val="single" w:sz="4" w:space="0" w:color="auto"/>
              <w:right w:val="single" w:sz="4" w:space="0" w:color="auto"/>
            </w:tcBorders>
            <w:shd w:val="clear" w:color="000000" w:fill="CCFFFF"/>
            <w:vAlign w:val="bottom"/>
            <w:hideMark/>
          </w:tcPr>
          <w:p w14:paraId="4043A0CE"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12</w:t>
            </w:r>
          </w:p>
        </w:tc>
        <w:tc>
          <w:tcPr>
            <w:tcW w:w="610" w:type="dxa"/>
            <w:tcBorders>
              <w:top w:val="nil"/>
              <w:left w:val="nil"/>
              <w:bottom w:val="single" w:sz="4" w:space="0" w:color="auto"/>
              <w:right w:val="single" w:sz="4" w:space="0" w:color="auto"/>
            </w:tcBorders>
            <w:shd w:val="clear" w:color="000000" w:fill="CCFFFF"/>
            <w:vAlign w:val="bottom"/>
            <w:hideMark/>
          </w:tcPr>
          <w:p w14:paraId="7D7CD380"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24</w:t>
            </w:r>
          </w:p>
        </w:tc>
        <w:tc>
          <w:tcPr>
            <w:tcW w:w="592" w:type="dxa"/>
            <w:tcBorders>
              <w:top w:val="nil"/>
              <w:left w:val="nil"/>
              <w:bottom w:val="single" w:sz="4" w:space="0" w:color="auto"/>
              <w:right w:val="single" w:sz="4" w:space="0" w:color="auto"/>
            </w:tcBorders>
            <w:shd w:val="clear" w:color="000000" w:fill="CCFFFF"/>
            <w:vAlign w:val="bottom"/>
            <w:hideMark/>
          </w:tcPr>
          <w:p w14:paraId="38CADF72"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3</w:t>
            </w:r>
          </w:p>
        </w:tc>
        <w:tc>
          <w:tcPr>
            <w:tcW w:w="698" w:type="dxa"/>
            <w:tcBorders>
              <w:top w:val="nil"/>
              <w:left w:val="nil"/>
              <w:bottom w:val="single" w:sz="4" w:space="0" w:color="auto"/>
              <w:right w:val="nil"/>
            </w:tcBorders>
            <w:shd w:val="clear" w:color="000000" w:fill="33CCCC"/>
            <w:noWrap/>
            <w:vAlign w:val="bottom"/>
            <w:hideMark/>
          </w:tcPr>
          <w:p w14:paraId="59EADB53"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38</w:t>
            </w:r>
          </w:p>
        </w:tc>
        <w:tc>
          <w:tcPr>
            <w:tcW w:w="716" w:type="dxa"/>
            <w:gridSpan w:val="2"/>
            <w:tcBorders>
              <w:top w:val="nil"/>
              <w:left w:val="single" w:sz="4" w:space="0" w:color="auto"/>
              <w:bottom w:val="single" w:sz="4" w:space="0" w:color="auto"/>
              <w:right w:val="single" w:sz="8" w:space="0" w:color="auto"/>
            </w:tcBorders>
            <w:shd w:val="clear" w:color="000000" w:fill="33CCCC"/>
            <w:noWrap/>
            <w:vAlign w:val="bottom"/>
            <w:hideMark/>
          </w:tcPr>
          <w:p w14:paraId="21ECE0DC"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24</w:t>
            </w:r>
          </w:p>
        </w:tc>
        <w:tc>
          <w:tcPr>
            <w:tcW w:w="236" w:type="dxa"/>
            <w:gridSpan w:val="2"/>
            <w:vAlign w:val="center"/>
            <w:hideMark/>
          </w:tcPr>
          <w:p w14:paraId="177B2C5E" w14:textId="77777777" w:rsidR="00A72067" w:rsidRPr="00A72067" w:rsidRDefault="00A72067" w:rsidP="00A72067">
            <w:pPr>
              <w:spacing w:after="0" w:line="240" w:lineRule="auto"/>
              <w:rPr>
                <w:rFonts w:ascii="Times New Roman" w:eastAsia="Times New Roman" w:hAnsi="Times New Roman" w:cs="Times New Roman"/>
                <w:sz w:val="16"/>
                <w:szCs w:val="16"/>
                <w:lang w:eastAsia="hr-HR"/>
              </w:rPr>
            </w:pPr>
          </w:p>
        </w:tc>
      </w:tr>
      <w:tr w:rsidR="00A72067" w:rsidRPr="00A72067" w14:paraId="5D8BB9CD" w14:textId="77777777" w:rsidTr="00A72067">
        <w:trPr>
          <w:trHeight w:val="402"/>
        </w:trPr>
        <w:tc>
          <w:tcPr>
            <w:tcW w:w="1264" w:type="dxa"/>
            <w:tcBorders>
              <w:top w:val="nil"/>
              <w:left w:val="single" w:sz="8" w:space="0" w:color="auto"/>
              <w:bottom w:val="single" w:sz="4" w:space="0" w:color="auto"/>
              <w:right w:val="nil"/>
            </w:tcBorders>
            <w:shd w:val="clear" w:color="000000" w:fill="CCFFCC"/>
            <w:vAlign w:val="center"/>
            <w:hideMark/>
          </w:tcPr>
          <w:p w14:paraId="24FACDDB" w14:textId="77777777" w:rsidR="00A72067" w:rsidRPr="00A72067" w:rsidRDefault="00A72067" w:rsidP="00A72067">
            <w:pPr>
              <w:spacing w:after="0" w:line="240" w:lineRule="auto"/>
              <w:rPr>
                <w:rFonts w:ascii="Calibri" w:eastAsia="Times New Roman" w:hAnsi="Calibri" w:cs="Calibri"/>
                <w:sz w:val="16"/>
                <w:szCs w:val="16"/>
                <w:lang w:eastAsia="hr-HR"/>
              </w:rPr>
            </w:pPr>
            <w:r w:rsidRPr="00A72067">
              <w:rPr>
                <w:rFonts w:ascii="Calibri" w:eastAsia="Times New Roman" w:hAnsi="Calibri" w:cs="Calibri"/>
                <w:sz w:val="16"/>
                <w:szCs w:val="16"/>
                <w:lang w:eastAsia="hr-HR"/>
              </w:rPr>
              <w:lastRenderedPageBreak/>
              <w:t>Socijalno podrijetlo</w:t>
            </w:r>
          </w:p>
        </w:tc>
        <w:tc>
          <w:tcPr>
            <w:tcW w:w="460" w:type="dxa"/>
            <w:tcBorders>
              <w:top w:val="nil"/>
              <w:left w:val="single" w:sz="8" w:space="0" w:color="auto"/>
              <w:bottom w:val="single" w:sz="4" w:space="0" w:color="auto"/>
              <w:right w:val="single" w:sz="4" w:space="0" w:color="auto"/>
            </w:tcBorders>
            <w:shd w:val="clear" w:color="000000" w:fill="CCFFCC"/>
            <w:vAlign w:val="center"/>
            <w:hideMark/>
          </w:tcPr>
          <w:p w14:paraId="44B7FDE2" w14:textId="77777777" w:rsidR="00A72067" w:rsidRPr="00A72067" w:rsidRDefault="00A72067" w:rsidP="00A72067">
            <w:pPr>
              <w:spacing w:after="0" w:line="240" w:lineRule="auto"/>
              <w:jc w:val="center"/>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434" w:type="dxa"/>
            <w:tcBorders>
              <w:top w:val="nil"/>
              <w:left w:val="nil"/>
              <w:bottom w:val="single" w:sz="4" w:space="0" w:color="auto"/>
              <w:right w:val="single" w:sz="4" w:space="0" w:color="auto"/>
            </w:tcBorders>
            <w:shd w:val="clear" w:color="000000" w:fill="FFCC99"/>
            <w:noWrap/>
            <w:vAlign w:val="bottom"/>
            <w:hideMark/>
          </w:tcPr>
          <w:p w14:paraId="6193B133" w14:textId="77777777" w:rsidR="00A72067" w:rsidRPr="00A72067" w:rsidRDefault="00A72067" w:rsidP="00A72067">
            <w:pPr>
              <w:spacing w:after="0" w:line="240" w:lineRule="auto"/>
              <w:jc w:val="center"/>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585" w:type="dxa"/>
            <w:tcBorders>
              <w:top w:val="nil"/>
              <w:left w:val="nil"/>
              <w:bottom w:val="single" w:sz="4" w:space="0" w:color="auto"/>
              <w:right w:val="single" w:sz="4" w:space="0" w:color="auto"/>
            </w:tcBorders>
            <w:shd w:val="clear" w:color="000000" w:fill="CCFFFF"/>
            <w:noWrap/>
            <w:vAlign w:val="bottom"/>
            <w:hideMark/>
          </w:tcPr>
          <w:p w14:paraId="7A01D328"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652" w:type="dxa"/>
            <w:tcBorders>
              <w:top w:val="nil"/>
              <w:left w:val="nil"/>
              <w:bottom w:val="single" w:sz="4" w:space="0" w:color="auto"/>
              <w:right w:val="single" w:sz="4" w:space="0" w:color="auto"/>
            </w:tcBorders>
            <w:shd w:val="clear" w:color="000000" w:fill="CCFFFF"/>
            <w:noWrap/>
            <w:vAlign w:val="bottom"/>
            <w:hideMark/>
          </w:tcPr>
          <w:p w14:paraId="330E995F"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422" w:type="dxa"/>
            <w:tcBorders>
              <w:top w:val="nil"/>
              <w:left w:val="nil"/>
              <w:bottom w:val="single" w:sz="4" w:space="0" w:color="auto"/>
              <w:right w:val="single" w:sz="4" w:space="0" w:color="auto"/>
            </w:tcBorders>
            <w:shd w:val="clear" w:color="000000" w:fill="FFFF99"/>
            <w:noWrap/>
            <w:vAlign w:val="bottom"/>
            <w:hideMark/>
          </w:tcPr>
          <w:p w14:paraId="521EA475" w14:textId="77777777" w:rsidR="00A72067" w:rsidRPr="00A72067" w:rsidRDefault="00A72067" w:rsidP="00A72067">
            <w:pPr>
              <w:spacing w:after="0" w:line="240" w:lineRule="auto"/>
              <w:jc w:val="center"/>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424" w:type="dxa"/>
            <w:tcBorders>
              <w:top w:val="nil"/>
              <w:left w:val="nil"/>
              <w:bottom w:val="single" w:sz="4" w:space="0" w:color="auto"/>
              <w:right w:val="single" w:sz="4" w:space="0" w:color="auto"/>
            </w:tcBorders>
            <w:shd w:val="clear" w:color="000000" w:fill="FFFF99"/>
            <w:noWrap/>
            <w:vAlign w:val="bottom"/>
            <w:hideMark/>
          </w:tcPr>
          <w:p w14:paraId="7C97F943" w14:textId="77777777" w:rsidR="00A72067" w:rsidRPr="00A72067" w:rsidRDefault="00A72067" w:rsidP="00A72067">
            <w:pPr>
              <w:spacing w:after="0" w:line="240" w:lineRule="auto"/>
              <w:jc w:val="center"/>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698" w:type="dxa"/>
            <w:tcBorders>
              <w:top w:val="nil"/>
              <w:left w:val="nil"/>
              <w:bottom w:val="single" w:sz="4" w:space="0" w:color="auto"/>
              <w:right w:val="single" w:sz="4" w:space="0" w:color="auto"/>
            </w:tcBorders>
            <w:shd w:val="clear" w:color="000000" w:fill="FFFF99"/>
            <w:noWrap/>
            <w:vAlign w:val="bottom"/>
            <w:hideMark/>
          </w:tcPr>
          <w:p w14:paraId="6D427A98" w14:textId="77777777" w:rsidR="00A72067" w:rsidRPr="00A72067" w:rsidRDefault="00A72067" w:rsidP="00A72067">
            <w:pPr>
              <w:spacing w:after="0" w:line="240" w:lineRule="auto"/>
              <w:jc w:val="center"/>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438" w:type="dxa"/>
            <w:tcBorders>
              <w:top w:val="nil"/>
              <w:left w:val="nil"/>
              <w:bottom w:val="single" w:sz="4" w:space="0" w:color="auto"/>
              <w:right w:val="single" w:sz="4" w:space="0" w:color="auto"/>
            </w:tcBorders>
            <w:shd w:val="clear" w:color="000000" w:fill="FFFF99"/>
            <w:noWrap/>
            <w:vAlign w:val="bottom"/>
            <w:hideMark/>
          </w:tcPr>
          <w:p w14:paraId="2A6611C8" w14:textId="77777777" w:rsidR="00A72067" w:rsidRPr="00A72067" w:rsidRDefault="00A72067" w:rsidP="00A72067">
            <w:pPr>
              <w:spacing w:after="0" w:line="240" w:lineRule="auto"/>
              <w:jc w:val="center"/>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577" w:type="dxa"/>
            <w:tcBorders>
              <w:top w:val="nil"/>
              <w:left w:val="nil"/>
              <w:bottom w:val="single" w:sz="4" w:space="0" w:color="auto"/>
              <w:right w:val="single" w:sz="4" w:space="0" w:color="auto"/>
            </w:tcBorders>
            <w:shd w:val="clear" w:color="000000" w:fill="FFFF99"/>
            <w:noWrap/>
            <w:vAlign w:val="bottom"/>
            <w:hideMark/>
          </w:tcPr>
          <w:p w14:paraId="28C4E32D" w14:textId="77777777" w:rsidR="00A72067" w:rsidRPr="00A72067" w:rsidRDefault="00A72067" w:rsidP="00A72067">
            <w:pPr>
              <w:spacing w:after="0" w:line="240" w:lineRule="auto"/>
              <w:jc w:val="center"/>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415" w:type="dxa"/>
            <w:gridSpan w:val="2"/>
            <w:tcBorders>
              <w:top w:val="nil"/>
              <w:left w:val="nil"/>
              <w:bottom w:val="single" w:sz="4" w:space="0" w:color="auto"/>
              <w:right w:val="single" w:sz="4" w:space="0" w:color="auto"/>
            </w:tcBorders>
            <w:shd w:val="clear" w:color="000000" w:fill="FF9900"/>
            <w:noWrap/>
            <w:vAlign w:val="bottom"/>
            <w:hideMark/>
          </w:tcPr>
          <w:p w14:paraId="244BEDB2"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425" w:type="dxa"/>
            <w:tcBorders>
              <w:top w:val="nil"/>
              <w:left w:val="nil"/>
              <w:bottom w:val="single" w:sz="4" w:space="0" w:color="auto"/>
              <w:right w:val="single" w:sz="4" w:space="0" w:color="auto"/>
            </w:tcBorders>
            <w:shd w:val="clear" w:color="000000" w:fill="FF9900"/>
            <w:noWrap/>
            <w:vAlign w:val="bottom"/>
            <w:hideMark/>
          </w:tcPr>
          <w:p w14:paraId="0FEA8FEC"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436" w:type="dxa"/>
            <w:tcBorders>
              <w:top w:val="nil"/>
              <w:left w:val="nil"/>
              <w:bottom w:val="single" w:sz="4" w:space="0" w:color="auto"/>
              <w:right w:val="single" w:sz="4" w:space="0" w:color="auto"/>
            </w:tcBorders>
            <w:shd w:val="clear" w:color="000000" w:fill="FF9900"/>
            <w:noWrap/>
            <w:vAlign w:val="bottom"/>
            <w:hideMark/>
          </w:tcPr>
          <w:p w14:paraId="34A00470"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415" w:type="dxa"/>
            <w:gridSpan w:val="2"/>
            <w:tcBorders>
              <w:top w:val="nil"/>
              <w:left w:val="nil"/>
              <w:bottom w:val="single" w:sz="4" w:space="0" w:color="auto"/>
              <w:right w:val="single" w:sz="4" w:space="0" w:color="auto"/>
            </w:tcBorders>
            <w:shd w:val="clear" w:color="000000" w:fill="66FFCC"/>
            <w:noWrap/>
            <w:vAlign w:val="bottom"/>
            <w:hideMark/>
          </w:tcPr>
          <w:p w14:paraId="79D6FCE6"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425" w:type="dxa"/>
            <w:tcBorders>
              <w:top w:val="nil"/>
              <w:left w:val="nil"/>
              <w:bottom w:val="single" w:sz="4" w:space="0" w:color="auto"/>
              <w:right w:val="single" w:sz="4" w:space="0" w:color="auto"/>
            </w:tcBorders>
            <w:shd w:val="clear" w:color="000000" w:fill="66FFCC"/>
            <w:noWrap/>
            <w:vAlign w:val="bottom"/>
            <w:hideMark/>
          </w:tcPr>
          <w:p w14:paraId="47B0F6F2"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425" w:type="dxa"/>
            <w:tcBorders>
              <w:top w:val="nil"/>
              <w:left w:val="nil"/>
              <w:bottom w:val="single" w:sz="4" w:space="0" w:color="auto"/>
              <w:right w:val="single" w:sz="4" w:space="0" w:color="auto"/>
            </w:tcBorders>
            <w:shd w:val="clear" w:color="000000" w:fill="66FFCC"/>
            <w:noWrap/>
            <w:vAlign w:val="bottom"/>
            <w:hideMark/>
          </w:tcPr>
          <w:p w14:paraId="6AFE7143"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426" w:type="dxa"/>
            <w:tcBorders>
              <w:top w:val="nil"/>
              <w:left w:val="nil"/>
              <w:bottom w:val="single" w:sz="4" w:space="0" w:color="auto"/>
              <w:right w:val="single" w:sz="4" w:space="0" w:color="auto"/>
            </w:tcBorders>
            <w:shd w:val="clear" w:color="000000" w:fill="66FFCC"/>
            <w:noWrap/>
            <w:vAlign w:val="bottom"/>
            <w:hideMark/>
          </w:tcPr>
          <w:p w14:paraId="3E4BFEE4"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436" w:type="dxa"/>
            <w:gridSpan w:val="2"/>
            <w:tcBorders>
              <w:top w:val="nil"/>
              <w:left w:val="nil"/>
              <w:bottom w:val="single" w:sz="4" w:space="0" w:color="auto"/>
              <w:right w:val="single" w:sz="4" w:space="0" w:color="auto"/>
            </w:tcBorders>
            <w:shd w:val="clear" w:color="000000" w:fill="FFFF00"/>
            <w:vAlign w:val="center"/>
            <w:hideMark/>
          </w:tcPr>
          <w:p w14:paraId="047E4BDF" w14:textId="77777777" w:rsidR="00A72067" w:rsidRPr="00A72067" w:rsidRDefault="00A72067" w:rsidP="00A72067">
            <w:pPr>
              <w:spacing w:after="0" w:line="240" w:lineRule="auto"/>
              <w:jc w:val="center"/>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556" w:type="dxa"/>
            <w:gridSpan w:val="2"/>
            <w:tcBorders>
              <w:top w:val="nil"/>
              <w:left w:val="nil"/>
              <w:bottom w:val="single" w:sz="4" w:space="0" w:color="auto"/>
              <w:right w:val="single" w:sz="4" w:space="0" w:color="auto"/>
            </w:tcBorders>
            <w:shd w:val="clear" w:color="000000" w:fill="FFFF99"/>
            <w:vAlign w:val="center"/>
            <w:hideMark/>
          </w:tcPr>
          <w:p w14:paraId="7C3151B8" w14:textId="77777777" w:rsidR="00A72067" w:rsidRPr="00A72067" w:rsidRDefault="00A72067" w:rsidP="00A72067">
            <w:pPr>
              <w:spacing w:after="0" w:line="240" w:lineRule="auto"/>
              <w:jc w:val="center"/>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665" w:type="dxa"/>
            <w:tcBorders>
              <w:top w:val="nil"/>
              <w:left w:val="nil"/>
              <w:bottom w:val="single" w:sz="4" w:space="0" w:color="auto"/>
              <w:right w:val="single" w:sz="4" w:space="0" w:color="auto"/>
            </w:tcBorders>
            <w:shd w:val="clear" w:color="000000" w:fill="FF9900"/>
            <w:vAlign w:val="center"/>
            <w:hideMark/>
          </w:tcPr>
          <w:p w14:paraId="0B190A64" w14:textId="77777777" w:rsidR="00A72067" w:rsidRPr="00A72067" w:rsidRDefault="00A72067" w:rsidP="00A72067">
            <w:pPr>
              <w:spacing w:after="0" w:line="240" w:lineRule="auto"/>
              <w:jc w:val="center"/>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632" w:type="dxa"/>
            <w:tcBorders>
              <w:top w:val="nil"/>
              <w:left w:val="nil"/>
              <w:bottom w:val="single" w:sz="4" w:space="0" w:color="auto"/>
              <w:right w:val="single" w:sz="4" w:space="0" w:color="auto"/>
            </w:tcBorders>
            <w:shd w:val="clear" w:color="000000" w:fill="CCFFFF"/>
            <w:vAlign w:val="bottom"/>
            <w:hideMark/>
          </w:tcPr>
          <w:p w14:paraId="5AB04C42"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610" w:type="dxa"/>
            <w:tcBorders>
              <w:top w:val="nil"/>
              <w:left w:val="nil"/>
              <w:bottom w:val="single" w:sz="4" w:space="0" w:color="auto"/>
              <w:right w:val="single" w:sz="4" w:space="0" w:color="auto"/>
            </w:tcBorders>
            <w:shd w:val="clear" w:color="000000" w:fill="CCFFFF"/>
            <w:vAlign w:val="bottom"/>
            <w:hideMark/>
          </w:tcPr>
          <w:p w14:paraId="386A6714"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592" w:type="dxa"/>
            <w:tcBorders>
              <w:top w:val="nil"/>
              <w:left w:val="nil"/>
              <w:bottom w:val="single" w:sz="4" w:space="0" w:color="auto"/>
              <w:right w:val="single" w:sz="4" w:space="0" w:color="auto"/>
            </w:tcBorders>
            <w:shd w:val="clear" w:color="000000" w:fill="CCFFFF"/>
            <w:vAlign w:val="bottom"/>
            <w:hideMark/>
          </w:tcPr>
          <w:p w14:paraId="650141B4"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698" w:type="dxa"/>
            <w:tcBorders>
              <w:top w:val="nil"/>
              <w:left w:val="nil"/>
              <w:bottom w:val="single" w:sz="4" w:space="0" w:color="auto"/>
              <w:right w:val="nil"/>
            </w:tcBorders>
            <w:shd w:val="clear" w:color="000000" w:fill="33CCCC"/>
            <w:noWrap/>
            <w:vAlign w:val="bottom"/>
            <w:hideMark/>
          </w:tcPr>
          <w:p w14:paraId="7C42959E"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716" w:type="dxa"/>
            <w:gridSpan w:val="2"/>
            <w:tcBorders>
              <w:top w:val="nil"/>
              <w:left w:val="single" w:sz="4" w:space="0" w:color="auto"/>
              <w:bottom w:val="single" w:sz="4" w:space="0" w:color="auto"/>
              <w:right w:val="single" w:sz="8" w:space="0" w:color="auto"/>
            </w:tcBorders>
            <w:shd w:val="clear" w:color="000000" w:fill="33CCCC"/>
            <w:noWrap/>
            <w:vAlign w:val="bottom"/>
            <w:hideMark/>
          </w:tcPr>
          <w:p w14:paraId="2172B893"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236" w:type="dxa"/>
            <w:gridSpan w:val="2"/>
            <w:vAlign w:val="center"/>
            <w:hideMark/>
          </w:tcPr>
          <w:p w14:paraId="491FA1B7" w14:textId="77777777" w:rsidR="00A72067" w:rsidRPr="00A72067" w:rsidRDefault="00A72067" w:rsidP="00A72067">
            <w:pPr>
              <w:spacing w:after="0" w:line="240" w:lineRule="auto"/>
              <w:rPr>
                <w:rFonts w:ascii="Times New Roman" w:eastAsia="Times New Roman" w:hAnsi="Times New Roman" w:cs="Times New Roman"/>
                <w:sz w:val="16"/>
                <w:szCs w:val="16"/>
                <w:lang w:eastAsia="hr-HR"/>
              </w:rPr>
            </w:pPr>
          </w:p>
        </w:tc>
      </w:tr>
      <w:tr w:rsidR="00A72067" w:rsidRPr="00A72067" w14:paraId="570BF1E6" w14:textId="77777777" w:rsidTr="00A72067">
        <w:trPr>
          <w:trHeight w:val="402"/>
        </w:trPr>
        <w:tc>
          <w:tcPr>
            <w:tcW w:w="1264" w:type="dxa"/>
            <w:tcBorders>
              <w:top w:val="nil"/>
              <w:left w:val="single" w:sz="8" w:space="0" w:color="auto"/>
              <w:bottom w:val="single" w:sz="4" w:space="0" w:color="auto"/>
              <w:right w:val="nil"/>
            </w:tcBorders>
            <w:shd w:val="clear" w:color="000000" w:fill="CCFFCC"/>
            <w:vAlign w:val="center"/>
            <w:hideMark/>
          </w:tcPr>
          <w:p w14:paraId="5463E2E2" w14:textId="77777777" w:rsidR="00A72067" w:rsidRPr="00A72067" w:rsidRDefault="00A72067" w:rsidP="00A72067">
            <w:pPr>
              <w:spacing w:after="0" w:line="240" w:lineRule="auto"/>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Imovno stanje</w:t>
            </w:r>
          </w:p>
        </w:tc>
        <w:tc>
          <w:tcPr>
            <w:tcW w:w="460" w:type="dxa"/>
            <w:tcBorders>
              <w:top w:val="nil"/>
              <w:left w:val="single" w:sz="8" w:space="0" w:color="auto"/>
              <w:bottom w:val="single" w:sz="4" w:space="0" w:color="auto"/>
              <w:right w:val="single" w:sz="4" w:space="0" w:color="auto"/>
            </w:tcBorders>
            <w:shd w:val="clear" w:color="000000" w:fill="CCFFCC"/>
            <w:vAlign w:val="center"/>
            <w:hideMark/>
          </w:tcPr>
          <w:p w14:paraId="1703EA25" w14:textId="77777777" w:rsidR="00A72067" w:rsidRPr="00A72067" w:rsidRDefault="00A72067" w:rsidP="00A72067">
            <w:pPr>
              <w:spacing w:after="0" w:line="240" w:lineRule="auto"/>
              <w:jc w:val="center"/>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434" w:type="dxa"/>
            <w:tcBorders>
              <w:top w:val="nil"/>
              <w:left w:val="nil"/>
              <w:bottom w:val="single" w:sz="4" w:space="0" w:color="auto"/>
              <w:right w:val="single" w:sz="4" w:space="0" w:color="auto"/>
            </w:tcBorders>
            <w:shd w:val="clear" w:color="000000" w:fill="FFCC99"/>
            <w:noWrap/>
            <w:vAlign w:val="bottom"/>
            <w:hideMark/>
          </w:tcPr>
          <w:p w14:paraId="0C3A5274" w14:textId="77777777" w:rsidR="00A72067" w:rsidRPr="00A72067" w:rsidRDefault="00A72067" w:rsidP="00A72067">
            <w:pPr>
              <w:spacing w:after="0" w:line="240" w:lineRule="auto"/>
              <w:jc w:val="center"/>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585" w:type="dxa"/>
            <w:tcBorders>
              <w:top w:val="nil"/>
              <w:left w:val="nil"/>
              <w:bottom w:val="single" w:sz="4" w:space="0" w:color="auto"/>
              <w:right w:val="single" w:sz="4" w:space="0" w:color="auto"/>
            </w:tcBorders>
            <w:shd w:val="clear" w:color="000000" w:fill="CCFFFF"/>
            <w:noWrap/>
            <w:vAlign w:val="bottom"/>
            <w:hideMark/>
          </w:tcPr>
          <w:p w14:paraId="3479EAC8"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652" w:type="dxa"/>
            <w:tcBorders>
              <w:top w:val="nil"/>
              <w:left w:val="nil"/>
              <w:bottom w:val="single" w:sz="4" w:space="0" w:color="auto"/>
              <w:right w:val="single" w:sz="4" w:space="0" w:color="auto"/>
            </w:tcBorders>
            <w:shd w:val="clear" w:color="000000" w:fill="CCFFFF"/>
            <w:noWrap/>
            <w:vAlign w:val="bottom"/>
            <w:hideMark/>
          </w:tcPr>
          <w:p w14:paraId="4430CECD"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422" w:type="dxa"/>
            <w:tcBorders>
              <w:top w:val="nil"/>
              <w:left w:val="nil"/>
              <w:bottom w:val="single" w:sz="4" w:space="0" w:color="auto"/>
              <w:right w:val="single" w:sz="4" w:space="0" w:color="auto"/>
            </w:tcBorders>
            <w:shd w:val="clear" w:color="000000" w:fill="FFFF99"/>
            <w:noWrap/>
            <w:vAlign w:val="bottom"/>
            <w:hideMark/>
          </w:tcPr>
          <w:p w14:paraId="1F7A67A4" w14:textId="77777777" w:rsidR="00A72067" w:rsidRPr="00A72067" w:rsidRDefault="00A72067" w:rsidP="00A72067">
            <w:pPr>
              <w:spacing w:after="0" w:line="240" w:lineRule="auto"/>
              <w:jc w:val="center"/>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424" w:type="dxa"/>
            <w:tcBorders>
              <w:top w:val="nil"/>
              <w:left w:val="nil"/>
              <w:bottom w:val="single" w:sz="4" w:space="0" w:color="auto"/>
              <w:right w:val="single" w:sz="4" w:space="0" w:color="auto"/>
            </w:tcBorders>
            <w:shd w:val="clear" w:color="000000" w:fill="FFFF99"/>
            <w:noWrap/>
            <w:vAlign w:val="bottom"/>
            <w:hideMark/>
          </w:tcPr>
          <w:p w14:paraId="35E6B7E6" w14:textId="77777777" w:rsidR="00A72067" w:rsidRPr="00A72067" w:rsidRDefault="00A72067" w:rsidP="00A72067">
            <w:pPr>
              <w:spacing w:after="0" w:line="240" w:lineRule="auto"/>
              <w:jc w:val="center"/>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698" w:type="dxa"/>
            <w:tcBorders>
              <w:top w:val="nil"/>
              <w:left w:val="nil"/>
              <w:bottom w:val="single" w:sz="4" w:space="0" w:color="auto"/>
              <w:right w:val="single" w:sz="4" w:space="0" w:color="auto"/>
            </w:tcBorders>
            <w:shd w:val="clear" w:color="000000" w:fill="FFFF99"/>
            <w:noWrap/>
            <w:vAlign w:val="bottom"/>
            <w:hideMark/>
          </w:tcPr>
          <w:p w14:paraId="6F29CAAB" w14:textId="77777777" w:rsidR="00A72067" w:rsidRPr="00A72067" w:rsidRDefault="00A72067" w:rsidP="00A72067">
            <w:pPr>
              <w:spacing w:after="0" w:line="240" w:lineRule="auto"/>
              <w:jc w:val="center"/>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438" w:type="dxa"/>
            <w:tcBorders>
              <w:top w:val="nil"/>
              <w:left w:val="nil"/>
              <w:bottom w:val="single" w:sz="4" w:space="0" w:color="auto"/>
              <w:right w:val="single" w:sz="4" w:space="0" w:color="auto"/>
            </w:tcBorders>
            <w:shd w:val="clear" w:color="000000" w:fill="FFFF99"/>
            <w:noWrap/>
            <w:vAlign w:val="bottom"/>
            <w:hideMark/>
          </w:tcPr>
          <w:p w14:paraId="3150F357" w14:textId="77777777" w:rsidR="00A72067" w:rsidRPr="00A72067" w:rsidRDefault="00A72067" w:rsidP="00A72067">
            <w:pPr>
              <w:spacing w:after="0" w:line="240" w:lineRule="auto"/>
              <w:jc w:val="center"/>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577" w:type="dxa"/>
            <w:tcBorders>
              <w:top w:val="nil"/>
              <w:left w:val="nil"/>
              <w:bottom w:val="single" w:sz="4" w:space="0" w:color="auto"/>
              <w:right w:val="single" w:sz="4" w:space="0" w:color="auto"/>
            </w:tcBorders>
            <w:shd w:val="clear" w:color="000000" w:fill="FFFF99"/>
            <w:noWrap/>
            <w:vAlign w:val="bottom"/>
            <w:hideMark/>
          </w:tcPr>
          <w:p w14:paraId="099415C5" w14:textId="77777777" w:rsidR="00A72067" w:rsidRPr="00A72067" w:rsidRDefault="00A72067" w:rsidP="00A72067">
            <w:pPr>
              <w:spacing w:after="0" w:line="240" w:lineRule="auto"/>
              <w:jc w:val="center"/>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415" w:type="dxa"/>
            <w:gridSpan w:val="2"/>
            <w:tcBorders>
              <w:top w:val="nil"/>
              <w:left w:val="nil"/>
              <w:bottom w:val="single" w:sz="4" w:space="0" w:color="auto"/>
              <w:right w:val="single" w:sz="4" w:space="0" w:color="auto"/>
            </w:tcBorders>
            <w:shd w:val="clear" w:color="000000" w:fill="FF9900"/>
            <w:noWrap/>
            <w:vAlign w:val="bottom"/>
            <w:hideMark/>
          </w:tcPr>
          <w:p w14:paraId="1113CCC8"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425" w:type="dxa"/>
            <w:tcBorders>
              <w:top w:val="nil"/>
              <w:left w:val="nil"/>
              <w:bottom w:val="single" w:sz="4" w:space="0" w:color="auto"/>
              <w:right w:val="single" w:sz="4" w:space="0" w:color="auto"/>
            </w:tcBorders>
            <w:shd w:val="clear" w:color="000000" w:fill="FF9900"/>
            <w:noWrap/>
            <w:vAlign w:val="bottom"/>
            <w:hideMark/>
          </w:tcPr>
          <w:p w14:paraId="3FA3E08F"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436" w:type="dxa"/>
            <w:tcBorders>
              <w:top w:val="nil"/>
              <w:left w:val="nil"/>
              <w:bottom w:val="single" w:sz="4" w:space="0" w:color="auto"/>
              <w:right w:val="single" w:sz="4" w:space="0" w:color="auto"/>
            </w:tcBorders>
            <w:shd w:val="clear" w:color="000000" w:fill="FF9900"/>
            <w:noWrap/>
            <w:vAlign w:val="bottom"/>
            <w:hideMark/>
          </w:tcPr>
          <w:p w14:paraId="0CEAA7DE"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415" w:type="dxa"/>
            <w:gridSpan w:val="2"/>
            <w:tcBorders>
              <w:top w:val="nil"/>
              <w:left w:val="nil"/>
              <w:bottom w:val="single" w:sz="4" w:space="0" w:color="auto"/>
              <w:right w:val="single" w:sz="4" w:space="0" w:color="auto"/>
            </w:tcBorders>
            <w:shd w:val="clear" w:color="000000" w:fill="66FFCC"/>
            <w:noWrap/>
            <w:vAlign w:val="bottom"/>
            <w:hideMark/>
          </w:tcPr>
          <w:p w14:paraId="2136A1ED"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425" w:type="dxa"/>
            <w:tcBorders>
              <w:top w:val="nil"/>
              <w:left w:val="nil"/>
              <w:bottom w:val="single" w:sz="4" w:space="0" w:color="auto"/>
              <w:right w:val="single" w:sz="4" w:space="0" w:color="auto"/>
            </w:tcBorders>
            <w:shd w:val="clear" w:color="000000" w:fill="66FFCC"/>
            <w:noWrap/>
            <w:vAlign w:val="bottom"/>
            <w:hideMark/>
          </w:tcPr>
          <w:p w14:paraId="47EED65E"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425" w:type="dxa"/>
            <w:tcBorders>
              <w:top w:val="nil"/>
              <w:left w:val="nil"/>
              <w:bottom w:val="single" w:sz="4" w:space="0" w:color="auto"/>
              <w:right w:val="single" w:sz="4" w:space="0" w:color="auto"/>
            </w:tcBorders>
            <w:shd w:val="clear" w:color="000000" w:fill="66FFCC"/>
            <w:noWrap/>
            <w:vAlign w:val="bottom"/>
            <w:hideMark/>
          </w:tcPr>
          <w:p w14:paraId="30A2A2C0"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426" w:type="dxa"/>
            <w:tcBorders>
              <w:top w:val="nil"/>
              <w:left w:val="nil"/>
              <w:bottom w:val="single" w:sz="4" w:space="0" w:color="auto"/>
              <w:right w:val="single" w:sz="4" w:space="0" w:color="auto"/>
            </w:tcBorders>
            <w:shd w:val="clear" w:color="000000" w:fill="66FFCC"/>
            <w:noWrap/>
            <w:vAlign w:val="bottom"/>
            <w:hideMark/>
          </w:tcPr>
          <w:p w14:paraId="6A4A67FB"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436" w:type="dxa"/>
            <w:gridSpan w:val="2"/>
            <w:tcBorders>
              <w:top w:val="nil"/>
              <w:left w:val="nil"/>
              <w:bottom w:val="single" w:sz="4" w:space="0" w:color="auto"/>
              <w:right w:val="single" w:sz="4" w:space="0" w:color="auto"/>
            </w:tcBorders>
            <w:shd w:val="clear" w:color="000000" w:fill="FFFF00"/>
            <w:vAlign w:val="center"/>
            <w:hideMark/>
          </w:tcPr>
          <w:p w14:paraId="4383E5EB" w14:textId="77777777" w:rsidR="00A72067" w:rsidRPr="00A72067" w:rsidRDefault="00A72067" w:rsidP="00A72067">
            <w:pPr>
              <w:spacing w:after="0" w:line="240" w:lineRule="auto"/>
              <w:jc w:val="center"/>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556" w:type="dxa"/>
            <w:gridSpan w:val="2"/>
            <w:tcBorders>
              <w:top w:val="nil"/>
              <w:left w:val="nil"/>
              <w:bottom w:val="single" w:sz="4" w:space="0" w:color="auto"/>
              <w:right w:val="single" w:sz="4" w:space="0" w:color="auto"/>
            </w:tcBorders>
            <w:shd w:val="clear" w:color="000000" w:fill="FFFF99"/>
            <w:vAlign w:val="center"/>
            <w:hideMark/>
          </w:tcPr>
          <w:p w14:paraId="36184B21" w14:textId="77777777" w:rsidR="00A72067" w:rsidRPr="00A72067" w:rsidRDefault="00A72067" w:rsidP="00A72067">
            <w:pPr>
              <w:spacing w:after="0" w:line="240" w:lineRule="auto"/>
              <w:jc w:val="center"/>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665" w:type="dxa"/>
            <w:tcBorders>
              <w:top w:val="nil"/>
              <w:left w:val="nil"/>
              <w:bottom w:val="single" w:sz="4" w:space="0" w:color="auto"/>
              <w:right w:val="single" w:sz="4" w:space="0" w:color="auto"/>
            </w:tcBorders>
            <w:shd w:val="clear" w:color="000000" w:fill="FF9900"/>
            <w:vAlign w:val="center"/>
            <w:hideMark/>
          </w:tcPr>
          <w:p w14:paraId="5D06F3E6" w14:textId="77777777" w:rsidR="00A72067" w:rsidRPr="00A72067" w:rsidRDefault="00A72067" w:rsidP="00A72067">
            <w:pPr>
              <w:spacing w:after="0" w:line="240" w:lineRule="auto"/>
              <w:jc w:val="center"/>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632" w:type="dxa"/>
            <w:tcBorders>
              <w:top w:val="nil"/>
              <w:left w:val="nil"/>
              <w:bottom w:val="single" w:sz="4" w:space="0" w:color="auto"/>
              <w:right w:val="single" w:sz="4" w:space="0" w:color="auto"/>
            </w:tcBorders>
            <w:shd w:val="clear" w:color="000000" w:fill="CCFFFF"/>
            <w:vAlign w:val="bottom"/>
            <w:hideMark/>
          </w:tcPr>
          <w:p w14:paraId="6EC7A042"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610" w:type="dxa"/>
            <w:tcBorders>
              <w:top w:val="nil"/>
              <w:left w:val="nil"/>
              <w:bottom w:val="single" w:sz="4" w:space="0" w:color="auto"/>
              <w:right w:val="single" w:sz="4" w:space="0" w:color="auto"/>
            </w:tcBorders>
            <w:shd w:val="clear" w:color="000000" w:fill="CCFFFF"/>
            <w:vAlign w:val="bottom"/>
            <w:hideMark/>
          </w:tcPr>
          <w:p w14:paraId="7B5BFEC8"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592" w:type="dxa"/>
            <w:tcBorders>
              <w:top w:val="nil"/>
              <w:left w:val="nil"/>
              <w:bottom w:val="single" w:sz="4" w:space="0" w:color="auto"/>
              <w:right w:val="single" w:sz="4" w:space="0" w:color="auto"/>
            </w:tcBorders>
            <w:shd w:val="clear" w:color="000000" w:fill="CCFFFF"/>
            <w:vAlign w:val="bottom"/>
            <w:hideMark/>
          </w:tcPr>
          <w:p w14:paraId="134A33C6"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698" w:type="dxa"/>
            <w:tcBorders>
              <w:top w:val="nil"/>
              <w:left w:val="nil"/>
              <w:bottom w:val="single" w:sz="4" w:space="0" w:color="auto"/>
              <w:right w:val="nil"/>
            </w:tcBorders>
            <w:shd w:val="clear" w:color="000000" w:fill="33CCCC"/>
            <w:noWrap/>
            <w:vAlign w:val="bottom"/>
            <w:hideMark/>
          </w:tcPr>
          <w:p w14:paraId="20B0E2D0"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716" w:type="dxa"/>
            <w:gridSpan w:val="2"/>
            <w:tcBorders>
              <w:top w:val="nil"/>
              <w:left w:val="single" w:sz="4" w:space="0" w:color="auto"/>
              <w:bottom w:val="single" w:sz="4" w:space="0" w:color="auto"/>
              <w:right w:val="single" w:sz="8" w:space="0" w:color="auto"/>
            </w:tcBorders>
            <w:shd w:val="clear" w:color="000000" w:fill="33CCCC"/>
            <w:noWrap/>
            <w:vAlign w:val="bottom"/>
            <w:hideMark/>
          </w:tcPr>
          <w:p w14:paraId="3CF9FBA9"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236" w:type="dxa"/>
            <w:gridSpan w:val="2"/>
            <w:vAlign w:val="center"/>
            <w:hideMark/>
          </w:tcPr>
          <w:p w14:paraId="5D3861C7" w14:textId="77777777" w:rsidR="00A72067" w:rsidRPr="00A72067" w:rsidRDefault="00A72067" w:rsidP="00A72067">
            <w:pPr>
              <w:spacing w:after="0" w:line="240" w:lineRule="auto"/>
              <w:rPr>
                <w:rFonts w:ascii="Times New Roman" w:eastAsia="Times New Roman" w:hAnsi="Times New Roman" w:cs="Times New Roman"/>
                <w:sz w:val="16"/>
                <w:szCs w:val="16"/>
                <w:lang w:eastAsia="hr-HR"/>
              </w:rPr>
            </w:pPr>
          </w:p>
        </w:tc>
      </w:tr>
      <w:tr w:rsidR="00A72067" w:rsidRPr="00A72067" w14:paraId="5AF06129" w14:textId="77777777" w:rsidTr="00A72067">
        <w:trPr>
          <w:trHeight w:val="402"/>
        </w:trPr>
        <w:tc>
          <w:tcPr>
            <w:tcW w:w="1264" w:type="dxa"/>
            <w:tcBorders>
              <w:top w:val="nil"/>
              <w:left w:val="single" w:sz="8" w:space="0" w:color="auto"/>
              <w:bottom w:val="single" w:sz="4" w:space="0" w:color="auto"/>
              <w:right w:val="nil"/>
            </w:tcBorders>
            <w:shd w:val="clear" w:color="000000" w:fill="CCFFCC"/>
            <w:vAlign w:val="center"/>
            <w:hideMark/>
          </w:tcPr>
          <w:p w14:paraId="004BDFE6" w14:textId="77777777" w:rsidR="00A72067" w:rsidRPr="00A72067" w:rsidRDefault="00A72067" w:rsidP="00A72067">
            <w:pPr>
              <w:spacing w:after="0" w:line="240" w:lineRule="auto"/>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Članstvo u sindikatu</w:t>
            </w:r>
          </w:p>
        </w:tc>
        <w:tc>
          <w:tcPr>
            <w:tcW w:w="460" w:type="dxa"/>
            <w:tcBorders>
              <w:top w:val="nil"/>
              <w:left w:val="single" w:sz="8" w:space="0" w:color="auto"/>
              <w:bottom w:val="single" w:sz="4" w:space="0" w:color="auto"/>
              <w:right w:val="single" w:sz="4" w:space="0" w:color="auto"/>
            </w:tcBorders>
            <w:shd w:val="clear" w:color="000000" w:fill="CCFFCC"/>
            <w:vAlign w:val="center"/>
            <w:hideMark/>
          </w:tcPr>
          <w:p w14:paraId="79D917C6" w14:textId="77777777" w:rsidR="00A72067" w:rsidRPr="00A72067" w:rsidRDefault="00A72067" w:rsidP="00A72067">
            <w:pPr>
              <w:spacing w:after="0" w:line="240" w:lineRule="auto"/>
              <w:jc w:val="center"/>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434" w:type="dxa"/>
            <w:tcBorders>
              <w:top w:val="nil"/>
              <w:left w:val="nil"/>
              <w:bottom w:val="single" w:sz="4" w:space="0" w:color="auto"/>
              <w:right w:val="single" w:sz="4" w:space="0" w:color="auto"/>
            </w:tcBorders>
            <w:shd w:val="clear" w:color="000000" w:fill="FFCC99"/>
            <w:noWrap/>
            <w:vAlign w:val="bottom"/>
            <w:hideMark/>
          </w:tcPr>
          <w:p w14:paraId="187200FE" w14:textId="77777777" w:rsidR="00A72067" w:rsidRPr="00A72067" w:rsidRDefault="00A72067" w:rsidP="00A72067">
            <w:pPr>
              <w:spacing w:after="0" w:line="240" w:lineRule="auto"/>
              <w:jc w:val="center"/>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585" w:type="dxa"/>
            <w:tcBorders>
              <w:top w:val="nil"/>
              <w:left w:val="nil"/>
              <w:bottom w:val="single" w:sz="4" w:space="0" w:color="auto"/>
              <w:right w:val="single" w:sz="4" w:space="0" w:color="auto"/>
            </w:tcBorders>
            <w:shd w:val="clear" w:color="000000" w:fill="CCFFFF"/>
            <w:noWrap/>
            <w:vAlign w:val="bottom"/>
            <w:hideMark/>
          </w:tcPr>
          <w:p w14:paraId="689CCE16"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652" w:type="dxa"/>
            <w:tcBorders>
              <w:top w:val="nil"/>
              <w:left w:val="nil"/>
              <w:bottom w:val="single" w:sz="4" w:space="0" w:color="auto"/>
              <w:right w:val="single" w:sz="4" w:space="0" w:color="auto"/>
            </w:tcBorders>
            <w:shd w:val="clear" w:color="000000" w:fill="CCFFFF"/>
            <w:noWrap/>
            <w:vAlign w:val="bottom"/>
            <w:hideMark/>
          </w:tcPr>
          <w:p w14:paraId="629B1C93"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422" w:type="dxa"/>
            <w:tcBorders>
              <w:top w:val="nil"/>
              <w:left w:val="nil"/>
              <w:bottom w:val="single" w:sz="4" w:space="0" w:color="auto"/>
              <w:right w:val="single" w:sz="4" w:space="0" w:color="auto"/>
            </w:tcBorders>
            <w:shd w:val="clear" w:color="000000" w:fill="FFFF99"/>
            <w:noWrap/>
            <w:vAlign w:val="bottom"/>
            <w:hideMark/>
          </w:tcPr>
          <w:p w14:paraId="73A41388" w14:textId="77777777" w:rsidR="00A72067" w:rsidRPr="00A72067" w:rsidRDefault="00A72067" w:rsidP="00A72067">
            <w:pPr>
              <w:spacing w:after="0" w:line="240" w:lineRule="auto"/>
              <w:jc w:val="center"/>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424" w:type="dxa"/>
            <w:tcBorders>
              <w:top w:val="nil"/>
              <w:left w:val="nil"/>
              <w:bottom w:val="single" w:sz="4" w:space="0" w:color="auto"/>
              <w:right w:val="single" w:sz="4" w:space="0" w:color="auto"/>
            </w:tcBorders>
            <w:shd w:val="clear" w:color="000000" w:fill="FFFF99"/>
            <w:noWrap/>
            <w:vAlign w:val="bottom"/>
            <w:hideMark/>
          </w:tcPr>
          <w:p w14:paraId="788E4A54" w14:textId="77777777" w:rsidR="00A72067" w:rsidRPr="00A72067" w:rsidRDefault="00A72067" w:rsidP="00A72067">
            <w:pPr>
              <w:spacing w:after="0" w:line="240" w:lineRule="auto"/>
              <w:jc w:val="center"/>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698" w:type="dxa"/>
            <w:tcBorders>
              <w:top w:val="nil"/>
              <w:left w:val="nil"/>
              <w:bottom w:val="single" w:sz="4" w:space="0" w:color="auto"/>
              <w:right w:val="single" w:sz="4" w:space="0" w:color="auto"/>
            </w:tcBorders>
            <w:shd w:val="clear" w:color="000000" w:fill="FFFF99"/>
            <w:noWrap/>
            <w:vAlign w:val="bottom"/>
            <w:hideMark/>
          </w:tcPr>
          <w:p w14:paraId="05C67786" w14:textId="77777777" w:rsidR="00A72067" w:rsidRPr="00A72067" w:rsidRDefault="00A72067" w:rsidP="00A72067">
            <w:pPr>
              <w:spacing w:after="0" w:line="240" w:lineRule="auto"/>
              <w:jc w:val="center"/>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438" w:type="dxa"/>
            <w:tcBorders>
              <w:top w:val="nil"/>
              <w:left w:val="nil"/>
              <w:bottom w:val="single" w:sz="4" w:space="0" w:color="auto"/>
              <w:right w:val="single" w:sz="4" w:space="0" w:color="auto"/>
            </w:tcBorders>
            <w:shd w:val="clear" w:color="000000" w:fill="FFFF99"/>
            <w:noWrap/>
            <w:vAlign w:val="bottom"/>
            <w:hideMark/>
          </w:tcPr>
          <w:p w14:paraId="29E3FEA9" w14:textId="77777777" w:rsidR="00A72067" w:rsidRPr="00A72067" w:rsidRDefault="00A72067" w:rsidP="00A72067">
            <w:pPr>
              <w:spacing w:after="0" w:line="240" w:lineRule="auto"/>
              <w:jc w:val="center"/>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577" w:type="dxa"/>
            <w:tcBorders>
              <w:top w:val="nil"/>
              <w:left w:val="nil"/>
              <w:bottom w:val="single" w:sz="4" w:space="0" w:color="auto"/>
              <w:right w:val="single" w:sz="4" w:space="0" w:color="auto"/>
            </w:tcBorders>
            <w:shd w:val="clear" w:color="000000" w:fill="FFFF99"/>
            <w:noWrap/>
            <w:vAlign w:val="bottom"/>
            <w:hideMark/>
          </w:tcPr>
          <w:p w14:paraId="2AAD6EF7" w14:textId="77777777" w:rsidR="00A72067" w:rsidRPr="00A72067" w:rsidRDefault="00A72067" w:rsidP="00A72067">
            <w:pPr>
              <w:spacing w:after="0" w:line="240" w:lineRule="auto"/>
              <w:jc w:val="center"/>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415" w:type="dxa"/>
            <w:gridSpan w:val="2"/>
            <w:tcBorders>
              <w:top w:val="nil"/>
              <w:left w:val="nil"/>
              <w:bottom w:val="single" w:sz="4" w:space="0" w:color="auto"/>
              <w:right w:val="single" w:sz="4" w:space="0" w:color="auto"/>
            </w:tcBorders>
            <w:shd w:val="clear" w:color="000000" w:fill="FF9900"/>
            <w:noWrap/>
            <w:vAlign w:val="bottom"/>
            <w:hideMark/>
          </w:tcPr>
          <w:p w14:paraId="5A86BDD7"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425" w:type="dxa"/>
            <w:tcBorders>
              <w:top w:val="nil"/>
              <w:left w:val="nil"/>
              <w:bottom w:val="single" w:sz="4" w:space="0" w:color="auto"/>
              <w:right w:val="single" w:sz="4" w:space="0" w:color="auto"/>
            </w:tcBorders>
            <w:shd w:val="clear" w:color="000000" w:fill="FF9900"/>
            <w:noWrap/>
            <w:vAlign w:val="bottom"/>
            <w:hideMark/>
          </w:tcPr>
          <w:p w14:paraId="7E2DBF36"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436" w:type="dxa"/>
            <w:tcBorders>
              <w:top w:val="nil"/>
              <w:left w:val="nil"/>
              <w:bottom w:val="single" w:sz="4" w:space="0" w:color="auto"/>
              <w:right w:val="single" w:sz="4" w:space="0" w:color="auto"/>
            </w:tcBorders>
            <w:shd w:val="clear" w:color="000000" w:fill="FF9900"/>
            <w:noWrap/>
            <w:vAlign w:val="bottom"/>
            <w:hideMark/>
          </w:tcPr>
          <w:p w14:paraId="3C0D8037"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415" w:type="dxa"/>
            <w:gridSpan w:val="2"/>
            <w:tcBorders>
              <w:top w:val="nil"/>
              <w:left w:val="nil"/>
              <w:bottom w:val="single" w:sz="4" w:space="0" w:color="auto"/>
              <w:right w:val="single" w:sz="4" w:space="0" w:color="auto"/>
            </w:tcBorders>
            <w:shd w:val="clear" w:color="000000" w:fill="66FFCC"/>
            <w:noWrap/>
            <w:vAlign w:val="bottom"/>
            <w:hideMark/>
          </w:tcPr>
          <w:p w14:paraId="6CFC92B9"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425" w:type="dxa"/>
            <w:tcBorders>
              <w:top w:val="nil"/>
              <w:left w:val="nil"/>
              <w:bottom w:val="single" w:sz="4" w:space="0" w:color="auto"/>
              <w:right w:val="single" w:sz="4" w:space="0" w:color="auto"/>
            </w:tcBorders>
            <w:shd w:val="clear" w:color="000000" w:fill="66FFCC"/>
            <w:noWrap/>
            <w:vAlign w:val="bottom"/>
            <w:hideMark/>
          </w:tcPr>
          <w:p w14:paraId="3095ADC2"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425" w:type="dxa"/>
            <w:tcBorders>
              <w:top w:val="nil"/>
              <w:left w:val="nil"/>
              <w:bottom w:val="single" w:sz="4" w:space="0" w:color="auto"/>
              <w:right w:val="single" w:sz="4" w:space="0" w:color="auto"/>
            </w:tcBorders>
            <w:shd w:val="clear" w:color="000000" w:fill="66FFCC"/>
            <w:noWrap/>
            <w:vAlign w:val="bottom"/>
            <w:hideMark/>
          </w:tcPr>
          <w:p w14:paraId="7937AA57"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426" w:type="dxa"/>
            <w:tcBorders>
              <w:top w:val="nil"/>
              <w:left w:val="nil"/>
              <w:bottom w:val="single" w:sz="4" w:space="0" w:color="auto"/>
              <w:right w:val="single" w:sz="4" w:space="0" w:color="auto"/>
            </w:tcBorders>
            <w:shd w:val="clear" w:color="000000" w:fill="66FFCC"/>
            <w:noWrap/>
            <w:vAlign w:val="bottom"/>
            <w:hideMark/>
          </w:tcPr>
          <w:p w14:paraId="678EB4A7"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436" w:type="dxa"/>
            <w:gridSpan w:val="2"/>
            <w:tcBorders>
              <w:top w:val="nil"/>
              <w:left w:val="nil"/>
              <w:bottom w:val="single" w:sz="4" w:space="0" w:color="auto"/>
              <w:right w:val="single" w:sz="4" w:space="0" w:color="auto"/>
            </w:tcBorders>
            <w:shd w:val="clear" w:color="000000" w:fill="FFFF00"/>
            <w:vAlign w:val="center"/>
            <w:hideMark/>
          </w:tcPr>
          <w:p w14:paraId="68B55DFB" w14:textId="77777777" w:rsidR="00A72067" w:rsidRPr="00A72067" w:rsidRDefault="00A72067" w:rsidP="00A72067">
            <w:pPr>
              <w:spacing w:after="0" w:line="240" w:lineRule="auto"/>
              <w:jc w:val="center"/>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556" w:type="dxa"/>
            <w:gridSpan w:val="2"/>
            <w:tcBorders>
              <w:top w:val="nil"/>
              <w:left w:val="nil"/>
              <w:bottom w:val="single" w:sz="4" w:space="0" w:color="auto"/>
              <w:right w:val="single" w:sz="4" w:space="0" w:color="auto"/>
            </w:tcBorders>
            <w:shd w:val="clear" w:color="000000" w:fill="FFFF99"/>
            <w:vAlign w:val="center"/>
            <w:hideMark/>
          </w:tcPr>
          <w:p w14:paraId="10E354EE" w14:textId="77777777" w:rsidR="00A72067" w:rsidRPr="00A72067" w:rsidRDefault="00A72067" w:rsidP="00A72067">
            <w:pPr>
              <w:spacing w:after="0" w:line="240" w:lineRule="auto"/>
              <w:jc w:val="center"/>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665" w:type="dxa"/>
            <w:tcBorders>
              <w:top w:val="nil"/>
              <w:left w:val="nil"/>
              <w:bottom w:val="single" w:sz="4" w:space="0" w:color="auto"/>
              <w:right w:val="single" w:sz="4" w:space="0" w:color="auto"/>
            </w:tcBorders>
            <w:shd w:val="clear" w:color="000000" w:fill="FF9900"/>
            <w:vAlign w:val="center"/>
            <w:hideMark/>
          </w:tcPr>
          <w:p w14:paraId="7C3DF3C4" w14:textId="77777777" w:rsidR="00A72067" w:rsidRPr="00A72067" w:rsidRDefault="00A72067" w:rsidP="00A72067">
            <w:pPr>
              <w:spacing w:after="0" w:line="240" w:lineRule="auto"/>
              <w:jc w:val="center"/>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632" w:type="dxa"/>
            <w:tcBorders>
              <w:top w:val="nil"/>
              <w:left w:val="nil"/>
              <w:bottom w:val="single" w:sz="4" w:space="0" w:color="auto"/>
              <w:right w:val="single" w:sz="4" w:space="0" w:color="auto"/>
            </w:tcBorders>
            <w:shd w:val="clear" w:color="000000" w:fill="CCFFFF"/>
            <w:vAlign w:val="bottom"/>
            <w:hideMark/>
          </w:tcPr>
          <w:p w14:paraId="6FBDA714"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610" w:type="dxa"/>
            <w:tcBorders>
              <w:top w:val="nil"/>
              <w:left w:val="nil"/>
              <w:bottom w:val="single" w:sz="4" w:space="0" w:color="auto"/>
              <w:right w:val="single" w:sz="4" w:space="0" w:color="auto"/>
            </w:tcBorders>
            <w:shd w:val="clear" w:color="000000" w:fill="CCFFFF"/>
            <w:vAlign w:val="bottom"/>
            <w:hideMark/>
          </w:tcPr>
          <w:p w14:paraId="59BF944A"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592" w:type="dxa"/>
            <w:tcBorders>
              <w:top w:val="nil"/>
              <w:left w:val="nil"/>
              <w:bottom w:val="single" w:sz="4" w:space="0" w:color="auto"/>
              <w:right w:val="single" w:sz="4" w:space="0" w:color="auto"/>
            </w:tcBorders>
            <w:shd w:val="clear" w:color="000000" w:fill="CCFFFF"/>
            <w:vAlign w:val="bottom"/>
            <w:hideMark/>
          </w:tcPr>
          <w:p w14:paraId="25A8B59F"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698" w:type="dxa"/>
            <w:tcBorders>
              <w:top w:val="nil"/>
              <w:left w:val="nil"/>
              <w:bottom w:val="single" w:sz="4" w:space="0" w:color="auto"/>
              <w:right w:val="nil"/>
            </w:tcBorders>
            <w:shd w:val="clear" w:color="000000" w:fill="33CCCC"/>
            <w:noWrap/>
            <w:vAlign w:val="bottom"/>
            <w:hideMark/>
          </w:tcPr>
          <w:p w14:paraId="544C6D53"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716" w:type="dxa"/>
            <w:gridSpan w:val="2"/>
            <w:tcBorders>
              <w:top w:val="nil"/>
              <w:left w:val="single" w:sz="4" w:space="0" w:color="auto"/>
              <w:bottom w:val="single" w:sz="4" w:space="0" w:color="auto"/>
              <w:right w:val="single" w:sz="8" w:space="0" w:color="auto"/>
            </w:tcBorders>
            <w:shd w:val="clear" w:color="000000" w:fill="33CCCC"/>
            <w:noWrap/>
            <w:vAlign w:val="bottom"/>
            <w:hideMark/>
          </w:tcPr>
          <w:p w14:paraId="130AFDD2"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236" w:type="dxa"/>
            <w:gridSpan w:val="2"/>
            <w:vAlign w:val="center"/>
            <w:hideMark/>
          </w:tcPr>
          <w:p w14:paraId="27B80DA6" w14:textId="77777777" w:rsidR="00A72067" w:rsidRPr="00A72067" w:rsidRDefault="00A72067" w:rsidP="00A72067">
            <w:pPr>
              <w:spacing w:after="0" w:line="240" w:lineRule="auto"/>
              <w:rPr>
                <w:rFonts w:ascii="Times New Roman" w:eastAsia="Times New Roman" w:hAnsi="Times New Roman" w:cs="Times New Roman"/>
                <w:sz w:val="16"/>
                <w:szCs w:val="16"/>
                <w:lang w:eastAsia="hr-HR"/>
              </w:rPr>
            </w:pPr>
          </w:p>
        </w:tc>
      </w:tr>
      <w:tr w:rsidR="00A72067" w:rsidRPr="00A72067" w14:paraId="769CBE55" w14:textId="77777777" w:rsidTr="00A72067">
        <w:trPr>
          <w:trHeight w:val="402"/>
        </w:trPr>
        <w:tc>
          <w:tcPr>
            <w:tcW w:w="1264" w:type="dxa"/>
            <w:tcBorders>
              <w:top w:val="nil"/>
              <w:left w:val="single" w:sz="8" w:space="0" w:color="auto"/>
              <w:bottom w:val="single" w:sz="4" w:space="0" w:color="auto"/>
              <w:right w:val="nil"/>
            </w:tcBorders>
            <w:shd w:val="clear" w:color="000000" w:fill="CCFFCC"/>
            <w:vAlign w:val="center"/>
            <w:hideMark/>
          </w:tcPr>
          <w:p w14:paraId="52CC4327" w14:textId="77777777" w:rsidR="00A72067" w:rsidRPr="00A72067" w:rsidRDefault="00A72067" w:rsidP="00A72067">
            <w:pPr>
              <w:spacing w:after="0" w:line="240" w:lineRule="auto"/>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Društveni položaj</w:t>
            </w:r>
          </w:p>
        </w:tc>
        <w:tc>
          <w:tcPr>
            <w:tcW w:w="460" w:type="dxa"/>
            <w:tcBorders>
              <w:top w:val="nil"/>
              <w:left w:val="single" w:sz="8" w:space="0" w:color="auto"/>
              <w:bottom w:val="single" w:sz="4" w:space="0" w:color="auto"/>
              <w:right w:val="single" w:sz="4" w:space="0" w:color="auto"/>
            </w:tcBorders>
            <w:shd w:val="clear" w:color="000000" w:fill="CCFFCC"/>
            <w:vAlign w:val="center"/>
            <w:hideMark/>
          </w:tcPr>
          <w:p w14:paraId="0139002B" w14:textId="77777777" w:rsidR="00A72067" w:rsidRPr="00A72067" w:rsidRDefault="00A72067" w:rsidP="00A72067">
            <w:pPr>
              <w:spacing w:after="0" w:line="240" w:lineRule="auto"/>
              <w:jc w:val="center"/>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12</w:t>
            </w:r>
          </w:p>
        </w:tc>
        <w:tc>
          <w:tcPr>
            <w:tcW w:w="434" w:type="dxa"/>
            <w:tcBorders>
              <w:top w:val="nil"/>
              <w:left w:val="nil"/>
              <w:bottom w:val="single" w:sz="4" w:space="0" w:color="auto"/>
              <w:right w:val="single" w:sz="4" w:space="0" w:color="auto"/>
            </w:tcBorders>
            <w:shd w:val="clear" w:color="000000" w:fill="FFCC99"/>
            <w:noWrap/>
            <w:vAlign w:val="bottom"/>
            <w:hideMark/>
          </w:tcPr>
          <w:p w14:paraId="02C832AA" w14:textId="77777777" w:rsidR="00A72067" w:rsidRPr="00A72067" w:rsidRDefault="00A72067" w:rsidP="00A72067">
            <w:pPr>
              <w:spacing w:after="0" w:line="240" w:lineRule="auto"/>
              <w:jc w:val="center"/>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6</w:t>
            </w:r>
          </w:p>
        </w:tc>
        <w:tc>
          <w:tcPr>
            <w:tcW w:w="585" w:type="dxa"/>
            <w:tcBorders>
              <w:top w:val="nil"/>
              <w:left w:val="nil"/>
              <w:bottom w:val="single" w:sz="4" w:space="0" w:color="auto"/>
              <w:right w:val="single" w:sz="4" w:space="0" w:color="auto"/>
            </w:tcBorders>
            <w:shd w:val="clear" w:color="000000" w:fill="CCFFFF"/>
            <w:noWrap/>
            <w:vAlign w:val="bottom"/>
            <w:hideMark/>
          </w:tcPr>
          <w:p w14:paraId="554C4A59"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652" w:type="dxa"/>
            <w:tcBorders>
              <w:top w:val="nil"/>
              <w:left w:val="nil"/>
              <w:bottom w:val="single" w:sz="4" w:space="0" w:color="auto"/>
              <w:right w:val="single" w:sz="4" w:space="0" w:color="auto"/>
            </w:tcBorders>
            <w:shd w:val="clear" w:color="000000" w:fill="CCFFFF"/>
            <w:noWrap/>
            <w:vAlign w:val="bottom"/>
            <w:hideMark/>
          </w:tcPr>
          <w:p w14:paraId="6ACD0C36"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2</w:t>
            </w:r>
          </w:p>
        </w:tc>
        <w:tc>
          <w:tcPr>
            <w:tcW w:w="422" w:type="dxa"/>
            <w:tcBorders>
              <w:top w:val="nil"/>
              <w:left w:val="nil"/>
              <w:bottom w:val="single" w:sz="4" w:space="0" w:color="auto"/>
              <w:right w:val="single" w:sz="4" w:space="0" w:color="auto"/>
            </w:tcBorders>
            <w:shd w:val="clear" w:color="000000" w:fill="FFFF99"/>
            <w:noWrap/>
            <w:vAlign w:val="bottom"/>
            <w:hideMark/>
          </w:tcPr>
          <w:p w14:paraId="575A56F9" w14:textId="77777777" w:rsidR="00A72067" w:rsidRPr="00A72067" w:rsidRDefault="00A72067" w:rsidP="00A72067">
            <w:pPr>
              <w:spacing w:after="0" w:line="240" w:lineRule="auto"/>
              <w:jc w:val="center"/>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5</w:t>
            </w:r>
          </w:p>
        </w:tc>
        <w:tc>
          <w:tcPr>
            <w:tcW w:w="424" w:type="dxa"/>
            <w:tcBorders>
              <w:top w:val="nil"/>
              <w:left w:val="nil"/>
              <w:bottom w:val="single" w:sz="4" w:space="0" w:color="auto"/>
              <w:right w:val="single" w:sz="4" w:space="0" w:color="auto"/>
            </w:tcBorders>
            <w:shd w:val="clear" w:color="000000" w:fill="FFFF99"/>
            <w:noWrap/>
            <w:vAlign w:val="bottom"/>
            <w:hideMark/>
          </w:tcPr>
          <w:p w14:paraId="3FC762E7" w14:textId="77777777" w:rsidR="00A72067" w:rsidRPr="00A72067" w:rsidRDefault="00A72067" w:rsidP="00A72067">
            <w:pPr>
              <w:spacing w:after="0" w:line="240" w:lineRule="auto"/>
              <w:jc w:val="center"/>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698" w:type="dxa"/>
            <w:tcBorders>
              <w:top w:val="nil"/>
              <w:left w:val="nil"/>
              <w:bottom w:val="single" w:sz="4" w:space="0" w:color="auto"/>
              <w:right w:val="single" w:sz="4" w:space="0" w:color="auto"/>
            </w:tcBorders>
            <w:shd w:val="clear" w:color="000000" w:fill="FFFF99"/>
            <w:noWrap/>
            <w:vAlign w:val="bottom"/>
            <w:hideMark/>
          </w:tcPr>
          <w:p w14:paraId="5F2A0697" w14:textId="77777777" w:rsidR="00A72067" w:rsidRPr="00A72067" w:rsidRDefault="00A72067" w:rsidP="00A72067">
            <w:pPr>
              <w:spacing w:after="0" w:line="240" w:lineRule="auto"/>
              <w:jc w:val="center"/>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438" w:type="dxa"/>
            <w:tcBorders>
              <w:top w:val="nil"/>
              <w:left w:val="nil"/>
              <w:bottom w:val="single" w:sz="4" w:space="0" w:color="auto"/>
              <w:right w:val="single" w:sz="4" w:space="0" w:color="auto"/>
            </w:tcBorders>
            <w:shd w:val="clear" w:color="000000" w:fill="FFFF99"/>
            <w:noWrap/>
            <w:vAlign w:val="bottom"/>
            <w:hideMark/>
          </w:tcPr>
          <w:p w14:paraId="6A4BC46A" w14:textId="77777777" w:rsidR="00A72067" w:rsidRPr="00A72067" w:rsidRDefault="00A72067" w:rsidP="00A72067">
            <w:pPr>
              <w:spacing w:after="0" w:line="240" w:lineRule="auto"/>
              <w:jc w:val="center"/>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577" w:type="dxa"/>
            <w:tcBorders>
              <w:top w:val="nil"/>
              <w:left w:val="nil"/>
              <w:bottom w:val="single" w:sz="4" w:space="0" w:color="auto"/>
              <w:right w:val="single" w:sz="4" w:space="0" w:color="auto"/>
            </w:tcBorders>
            <w:shd w:val="clear" w:color="000000" w:fill="FFFF99"/>
            <w:noWrap/>
            <w:vAlign w:val="bottom"/>
            <w:hideMark/>
          </w:tcPr>
          <w:p w14:paraId="77BB167B" w14:textId="77777777" w:rsidR="00A72067" w:rsidRPr="00A72067" w:rsidRDefault="00A72067" w:rsidP="00A72067">
            <w:pPr>
              <w:spacing w:after="0" w:line="240" w:lineRule="auto"/>
              <w:jc w:val="center"/>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1</w:t>
            </w:r>
          </w:p>
        </w:tc>
        <w:tc>
          <w:tcPr>
            <w:tcW w:w="415" w:type="dxa"/>
            <w:gridSpan w:val="2"/>
            <w:tcBorders>
              <w:top w:val="nil"/>
              <w:left w:val="nil"/>
              <w:bottom w:val="single" w:sz="4" w:space="0" w:color="auto"/>
              <w:right w:val="single" w:sz="4" w:space="0" w:color="auto"/>
            </w:tcBorders>
            <w:shd w:val="clear" w:color="000000" w:fill="FF9900"/>
            <w:noWrap/>
            <w:vAlign w:val="bottom"/>
            <w:hideMark/>
          </w:tcPr>
          <w:p w14:paraId="5F5A762D"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1</w:t>
            </w:r>
          </w:p>
        </w:tc>
        <w:tc>
          <w:tcPr>
            <w:tcW w:w="425" w:type="dxa"/>
            <w:tcBorders>
              <w:top w:val="nil"/>
              <w:left w:val="nil"/>
              <w:bottom w:val="single" w:sz="4" w:space="0" w:color="auto"/>
              <w:right w:val="single" w:sz="4" w:space="0" w:color="auto"/>
            </w:tcBorders>
            <w:shd w:val="clear" w:color="000000" w:fill="FF9900"/>
            <w:noWrap/>
            <w:vAlign w:val="bottom"/>
            <w:hideMark/>
          </w:tcPr>
          <w:p w14:paraId="2C74822D"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8</w:t>
            </w:r>
          </w:p>
        </w:tc>
        <w:tc>
          <w:tcPr>
            <w:tcW w:w="436" w:type="dxa"/>
            <w:tcBorders>
              <w:top w:val="nil"/>
              <w:left w:val="nil"/>
              <w:bottom w:val="single" w:sz="4" w:space="0" w:color="auto"/>
              <w:right w:val="single" w:sz="4" w:space="0" w:color="auto"/>
            </w:tcBorders>
            <w:shd w:val="clear" w:color="000000" w:fill="FF9900"/>
            <w:noWrap/>
            <w:vAlign w:val="bottom"/>
            <w:hideMark/>
          </w:tcPr>
          <w:p w14:paraId="0CB2CC6C"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415" w:type="dxa"/>
            <w:gridSpan w:val="2"/>
            <w:tcBorders>
              <w:top w:val="nil"/>
              <w:left w:val="nil"/>
              <w:bottom w:val="single" w:sz="4" w:space="0" w:color="auto"/>
              <w:right w:val="single" w:sz="4" w:space="0" w:color="auto"/>
            </w:tcBorders>
            <w:shd w:val="clear" w:color="000000" w:fill="66FFCC"/>
            <w:noWrap/>
            <w:vAlign w:val="bottom"/>
            <w:hideMark/>
          </w:tcPr>
          <w:p w14:paraId="4258F711"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425" w:type="dxa"/>
            <w:tcBorders>
              <w:top w:val="nil"/>
              <w:left w:val="nil"/>
              <w:bottom w:val="single" w:sz="4" w:space="0" w:color="auto"/>
              <w:right w:val="single" w:sz="4" w:space="0" w:color="auto"/>
            </w:tcBorders>
            <w:shd w:val="clear" w:color="000000" w:fill="66FFCC"/>
            <w:noWrap/>
            <w:vAlign w:val="bottom"/>
            <w:hideMark/>
          </w:tcPr>
          <w:p w14:paraId="6A0B2AFA"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2</w:t>
            </w:r>
          </w:p>
        </w:tc>
        <w:tc>
          <w:tcPr>
            <w:tcW w:w="425" w:type="dxa"/>
            <w:tcBorders>
              <w:top w:val="nil"/>
              <w:left w:val="nil"/>
              <w:bottom w:val="single" w:sz="4" w:space="0" w:color="auto"/>
              <w:right w:val="single" w:sz="4" w:space="0" w:color="auto"/>
            </w:tcBorders>
            <w:shd w:val="clear" w:color="000000" w:fill="66FFCC"/>
            <w:noWrap/>
            <w:vAlign w:val="bottom"/>
            <w:hideMark/>
          </w:tcPr>
          <w:p w14:paraId="497CB6ED"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426" w:type="dxa"/>
            <w:tcBorders>
              <w:top w:val="nil"/>
              <w:left w:val="nil"/>
              <w:bottom w:val="single" w:sz="4" w:space="0" w:color="auto"/>
              <w:right w:val="single" w:sz="4" w:space="0" w:color="auto"/>
            </w:tcBorders>
            <w:shd w:val="clear" w:color="000000" w:fill="66FFCC"/>
            <w:noWrap/>
            <w:vAlign w:val="bottom"/>
            <w:hideMark/>
          </w:tcPr>
          <w:p w14:paraId="50827079"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2</w:t>
            </w:r>
          </w:p>
        </w:tc>
        <w:tc>
          <w:tcPr>
            <w:tcW w:w="436" w:type="dxa"/>
            <w:gridSpan w:val="2"/>
            <w:tcBorders>
              <w:top w:val="nil"/>
              <w:left w:val="nil"/>
              <w:bottom w:val="single" w:sz="4" w:space="0" w:color="auto"/>
              <w:right w:val="single" w:sz="4" w:space="0" w:color="auto"/>
            </w:tcBorders>
            <w:shd w:val="clear" w:color="000000" w:fill="FFFF00"/>
            <w:vAlign w:val="center"/>
            <w:hideMark/>
          </w:tcPr>
          <w:p w14:paraId="3721ABA6" w14:textId="77777777" w:rsidR="00A72067" w:rsidRPr="00A72067" w:rsidRDefault="00A72067" w:rsidP="00A72067">
            <w:pPr>
              <w:spacing w:after="0" w:line="240" w:lineRule="auto"/>
              <w:jc w:val="center"/>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9</w:t>
            </w:r>
          </w:p>
        </w:tc>
        <w:tc>
          <w:tcPr>
            <w:tcW w:w="556" w:type="dxa"/>
            <w:gridSpan w:val="2"/>
            <w:tcBorders>
              <w:top w:val="nil"/>
              <w:left w:val="nil"/>
              <w:bottom w:val="single" w:sz="4" w:space="0" w:color="auto"/>
              <w:right w:val="single" w:sz="4" w:space="0" w:color="auto"/>
            </w:tcBorders>
            <w:shd w:val="clear" w:color="000000" w:fill="FFFF99"/>
            <w:vAlign w:val="center"/>
            <w:hideMark/>
          </w:tcPr>
          <w:p w14:paraId="21C2C30B" w14:textId="77777777" w:rsidR="00A72067" w:rsidRPr="00A72067" w:rsidRDefault="00A72067" w:rsidP="00A72067">
            <w:pPr>
              <w:spacing w:after="0" w:line="240" w:lineRule="auto"/>
              <w:jc w:val="center"/>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9</w:t>
            </w:r>
          </w:p>
        </w:tc>
        <w:tc>
          <w:tcPr>
            <w:tcW w:w="665" w:type="dxa"/>
            <w:tcBorders>
              <w:top w:val="nil"/>
              <w:left w:val="nil"/>
              <w:bottom w:val="single" w:sz="4" w:space="0" w:color="auto"/>
              <w:right w:val="single" w:sz="4" w:space="0" w:color="auto"/>
            </w:tcBorders>
            <w:shd w:val="clear" w:color="000000" w:fill="FF9900"/>
            <w:vAlign w:val="center"/>
            <w:hideMark/>
          </w:tcPr>
          <w:p w14:paraId="47C13844" w14:textId="77777777" w:rsidR="00A72067" w:rsidRPr="00A72067" w:rsidRDefault="00A72067" w:rsidP="00A72067">
            <w:pPr>
              <w:spacing w:after="0" w:line="240" w:lineRule="auto"/>
              <w:jc w:val="center"/>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1</w:t>
            </w:r>
          </w:p>
        </w:tc>
        <w:tc>
          <w:tcPr>
            <w:tcW w:w="632" w:type="dxa"/>
            <w:tcBorders>
              <w:top w:val="nil"/>
              <w:left w:val="nil"/>
              <w:bottom w:val="single" w:sz="4" w:space="0" w:color="auto"/>
              <w:right w:val="single" w:sz="4" w:space="0" w:color="auto"/>
            </w:tcBorders>
            <w:shd w:val="clear" w:color="000000" w:fill="CCFFFF"/>
            <w:vAlign w:val="bottom"/>
            <w:hideMark/>
          </w:tcPr>
          <w:p w14:paraId="5A98562D"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610" w:type="dxa"/>
            <w:tcBorders>
              <w:top w:val="nil"/>
              <w:left w:val="nil"/>
              <w:bottom w:val="single" w:sz="4" w:space="0" w:color="auto"/>
              <w:right w:val="single" w:sz="4" w:space="0" w:color="auto"/>
            </w:tcBorders>
            <w:shd w:val="clear" w:color="000000" w:fill="CCFFFF"/>
            <w:vAlign w:val="bottom"/>
            <w:hideMark/>
          </w:tcPr>
          <w:p w14:paraId="212EF582"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592" w:type="dxa"/>
            <w:tcBorders>
              <w:top w:val="nil"/>
              <w:left w:val="nil"/>
              <w:bottom w:val="single" w:sz="4" w:space="0" w:color="auto"/>
              <w:right w:val="single" w:sz="4" w:space="0" w:color="auto"/>
            </w:tcBorders>
            <w:shd w:val="clear" w:color="000000" w:fill="CCFFFF"/>
            <w:vAlign w:val="bottom"/>
            <w:hideMark/>
          </w:tcPr>
          <w:p w14:paraId="218D4B0E"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698" w:type="dxa"/>
            <w:tcBorders>
              <w:top w:val="nil"/>
              <w:left w:val="nil"/>
              <w:bottom w:val="single" w:sz="4" w:space="0" w:color="auto"/>
              <w:right w:val="nil"/>
            </w:tcBorders>
            <w:shd w:val="clear" w:color="000000" w:fill="33CCCC"/>
            <w:noWrap/>
            <w:vAlign w:val="bottom"/>
            <w:hideMark/>
          </w:tcPr>
          <w:p w14:paraId="44850EDC"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5</w:t>
            </w:r>
          </w:p>
        </w:tc>
        <w:tc>
          <w:tcPr>
            <w:tcW w:w="716" w:type="dxa"/>
            <w:gridSpan w:val="2"/>
            <w:tcBorders>
              <w:top w:val="nil"/>
              <w:left w:val="single" w:sz="4" w:space="0" w:color="auto"/>
              <w:bottom w:val="single" w:sz="4" w:space="0" w:color="auto"/>
              <w:right w:val="single" w:sz="8" w:space="0" w:color="auto"/>
            </w:tcBorders>
            <w:shd w:val="clear" w:color="000000" w:fill="33CCCC"/>
            <w:noWrap/>
            <w:vAlign w:val="bottom"/>
            <w:hideMark/>
          </w:tcPr>
          <w:p w14:paraId="3F97DF4B"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4</w:t>
            </w:r>
          </w:p>
        </w:tc>
        <w:tc>
          <w:tcPr>
            <w:tcW w:w="236" w:type="dxa"/>
            <w:gridSpan w:val="2"/>
            <w:vAlign w:val="center"/>
            <w:hideMark/>
          </w:tcPr>
          <w:p w14:paraId="405E2420" w14:textId="77777777" w:rsidR="00A72067" w:rsidRPr="00A72067" w:rsidRDefault="00A72067" w:rsidP="00A72067">
            <w:pPr>
              <w:spacing w:after="0" w:line="240" w:lineRule="auto"/>
              <w:rPr>
                <w:rFonts w:ascii="Times New Roman" w:eastAsia="Times New Roman" w:hAnsi="Times New Roman" w:cs="Times New Roman"/>
                <w:sz w:val="16"/>
                <w:szCs w:val="16"/>
                <w:lang w:eastAsia="hr-HR"/>
              </w:rPr>
            </w:pPr>
          </w:p>
        </w:tc>
      </w:tr>
      <w:tr w:rsidR="00A72067" w:rsidRPr="00A72067" w14:paraId="6199FEAA" w14:textId="77777777" w:rsidTr="00A72067">
        <w:trPr>
          <w:trHeight w:val="402"/>
        </w:trPr>
        <w:tc>
          <w:tcPr>
            <w:tcW w:w="1264" w:type="dxa"/>
            <w:tcBorders>
              <w:top w:val="nil"/>
              <w:left w:val="single" w:sz="8" w:space="0" w:color="auto"/>
              <w:bottom w:val="single" w:sz="4" w:space="0" w:color="auto"/>
              <w:right w:val="nil"/>
            </w:tcBorders>
            <w:shd w:val="clear" w:color="000000" w:fill="CCFFCC"/>
            <w:vAlign w:val="center"/>
            <w:hideMark/>
          </w:tcPr>
          <w:p w14:paraId="763EB37E" w14:textId="77777777" w:rsidR="00A72067" w:rsidRPr="00A72067" w:rsidRDefault="00A72067" w:rsidP="00A72067">
            <w:pPr>
              <w:spacing w:after="0" w:line="240" w:lineRule="auto"/>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Bračni ili obiteljski status</w:t>
            </w:r>
          </w:p>
        </w:tc>
        <w:tc>
          <w:tcPr>
            <w:tcW w:w="460" w:type="dxa"/>
            <w:tcBorders>
              <w:top w:val="nil"/>
              <w:left w:val="single" w:sz="8" w:space="0" w:color="auto"/>
              <w:bottom w:val="single" w:sz="4" w:space="0" w:color="auto"/>
              <w:right w:val="single" w:sz="4" w:space="0" w:color="auto"/>
            </w:tcBorders>
            <w:shd w:val="clear" w:color="000000" w:fill="CCFFCC"/>
            <w:vAlign w:val="center"/>
            <w:hideMark/>
          </w:tcPr>
          <w:p w14:paraId="5E78E946" w14:textId="77777777" w:rsidR="00A72067" w:rsidRPr="00A72067" w:rsidRDefault="00A72067" w:rsidP="00A72067">
            <w:pPr>
              <w:spacing w:after="0" w:line="240" w:lineRule="auto"/>
              <w:jc w:val="center"/>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434" w:type="dxa"/>
            <w:tcBorders>
              <w:top w:val="nil"/>
              <w:left w:val="nil"/>
              <w:bottom w:val="single" w:sz="4" w:space="0" w:color="auto"/>
              <w:right w:val="single" w:sz="4" w:space="0" w:color="auto"/>
            </w:tcBorders>
            <w:shd w:val="clear" w:color="000000" w:fill="FFCC99"/>
            <w:noWrap/>
            <w:vAlign w:val="bottom"/>
            <w:hideMark/>
          </w:tcPr>
          <w:p w14:paraId="5F9A100C" w14:textId="77777777" w:rsidR="00A72067" w:rsidRPr="00A72067" w:rsidRDefault="00A72067" w:rsidP="00A72067">
            <w:pPr>
              <w:spacing w:after="0" w:line="240" w:lineRule="auto"/>
              <w:jc w:val="center"/>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585" w:type="dxa"/>
            <w:tcBorders>
              <w:top w:val="nil"/>
              <w:left w:val="nil"/>
              <w:bottom w:val="single" w:sz="4" w:space="0" w:color="auto"/>
              <w:right w:val="single" w:sz="4" w:space="0" w:color="auto"/>
            </w:tcBorders>
            <w:shd w:val="clear" w:color="000000" w:fill="CCFFFF"/>
            <w:noWrap/>
            <w:vAlign w:val="bottom"/>
            <w:hideMark/>
          </w:tcPr>
          <w:p w14:paraId="34669299"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652" w:type="dxa"/>
            <w:tcBorders>
              <w:top w:val="nil"/>
              <w:left w:val="nil"/>
              <w:bottom w:val="single" w:sz="4" w:space="0" w:color="auto"/>
              <w:right w:val="single" w:sz="4" w:space="0" w:color="auto"/>
            </w:tcBorders>
            <w:shd w:val="clear" w:color="000000" w:fill="CCFFFF"/>
            <w:noWrap/>
            <w:vAlign w:val="bottom"/>
            <w:hideMark/>
          </w:tcPr>
          <w:p w14:paraId="5E12C32F"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422" w:type="dxa"/>
            <w:tcBorders>
              <w:top w:val="nil"/>
              <w:left w:val="nil"/>
              <w:bottom w:val="single" w:sz="4" w:space="0" w:color="auto"/>
              <w:right w:val="single" w:sz="4" w:space="0" w:color="auto"/>
            </w:tcBorders>
            <w:shd w:val="clear" w:color="000000" w:fill="FFFF99"/>
            <w:noWrap/>
            <w:vAlign w:val="bottom"/>
            <w:hideMark/>
          </w:tcPr>
          <w:p w14:paraId="10D6C67B" w14:textId="77777777" w:rsidR="00A72067" w:rsidRPr="00A72067" w:rsidRDefault="00A72067" w:rsidP="00A72067">
            <w:pPr>
              <w:spacing w:after="0" w:line="240" w:lineRule="auto"/>
              <w:jc w:val="center"/>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424" w:type="dxa"/>
            <w:tcBorders>
              <w:top w:val="nil"/>
              <w:left w:val="nil"/>
              <w:bottom w:val="single" w:sz="4" w:space="0" w:color="auto"/>
              <w:right w:val="single" w:sz="4" w:space="0" w:color="auto"/>
            </w:tcBorders>
            <w:shd w:val="clear" w:color="000000" w:fill="FFFF99"/>
            <w:noWrap/>
            <w:vAlign w:val="bottom"/>
            <w:hideMark/>
          </w:tcPr>
          <w:p w14:paraId="1A891F73" w14:textId="77777777" w:rsidR="00A72067" w:rsidRPr="00A72067" w:rsidRDefault="00A72067" w:rsidP="00A72067">
            <w:pPr>
              <w:spacing w:after="0" w:line="240" w:lineRule="auto"/>
              <w:jc w:val="center"/>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698" w:type="dxa"/>
            <w:tcBorders>
              <w:top w:val="nil"/>
              <w:left w:val="nil"/>
              <w:bottom w:val="single" w:sz="4" w:space="0" w:color="auto"/>
              <w:right w:val="single" w:sz="4" w:space="0" w:color="auto"/>
            </w:tcBorders>
            <w:shd w:val="clear" w:color="000000" w:fill="FFFF99"/>
            <w:noWrap/>
            <w:vAlign w:val="bottom"/>
            <w:hideMark/>
          </w:tcPr>
          <w:p w14:paraId="19882C30" w14:textId="77777777" w:rsidR="00A72067" w:rsidRPr="00A72067" w:rsidRDefault="00A72067" w:rsidP="00A72067">
            <w:pPr>
              <w:spacing w:after="0" w:line="240" w:lineRule="auto"/>
              <w:jc w:val="center"/>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438" w:type="dxa"/>
            <w:tcBorders>
              <w:top w:val="nil"/>
              <w:left w:val="nil"/>
              <w:bottom w:val="single" w:sz="4" w:space="0" w:color="auto"/>
              <w:right w:val="single" w:sz="4" w:space="0" w:color="auto"/>
            </w:tcBorders>
            <w:shd w:val="clear" w:color="000000" w:fill="FFFF99"/>
            <w:noWrap/>
            <w:vAlign w:val="bottom"/>
            <w:hideMark/>
          </w:tcPr>
          <w:p w14:paraId="1813E3C3" w14:textId="77777777" w:rsidR="00A72067" w:rsidRPr="00A72067" w:rsidRDefault="00A72067" w:rsidP="00A72067">
            <w:pPr>
              <w:spacing w:after="0" w:line="240" w:lineRule="auto"/>
              <w:jc w:val="center"/>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577" w:type="dxa"/>
            <w:tcBorders>
              <w:top w:val="nil"/>
              <w:left w:val="nil"/>
              <w:bottom w:val="single" w:sz="4" w:space="0" w:color="auto"/>
              <w:right w:val="single" w:sz="4" w:space="0" w:color="auto"/>
            </w:tcBorders>
            <w:shd w:val="clear" w:color="000000" w:fill="FFFF99"/>
            <w:noWrap/>
            <w:vAlign w:val="bottom"/>
            <w:hideMark/>
          </w:tcPr>
          <w:p w14:paraId="4E157DC4" w14:textId="77777777" w:rsidR="00A72067" w:rsidRPr="00A72067" w:rsidRDefault="00A72067" w:rsidP="00A72067">
            <w:pPr>
              <w:spacing w:after="0" w:line="240" w:lineRule="auto"/>
              <w:jc w:val="center"/>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415" w:type="dxa"/>
            <w:gridSpan w:val="2"/>
            <w:tcBorders>
              <w:top w:val="nil"/>
              <w:left w:val="nil"/>
              <w:bottom w:val="single" w:sz="4" w:space="0" w:color="auto"/>
              <w:right w:val="single" w:sz="4" w:space="0" w:color="auto"/>
            </w:tcBorders>
            <w:shd w:val="clear" w:color="000000" w:fill="FF9900"/>
            <w:noWrap/>
            <w:vAlign w:val="bottom"/>
            <w:hideMark/>
          </w:tcPr>
          <w:p w14:paraId="29869E73"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425" w:type="dxa"/>
            <w:tcBorders>
              <w:top w:val="nil"/>
              <w:left w:val="nil"/>
              <w:bottom w:val="single" w:sz="4" w:space="0" w:color="auto"/>
              <w:right w:val="single" w:sz="4" w:space="0" w:color="auto"/>
            </w:tcBorders>
            <w:shd w:val="clear" w:color="000000" w:fill="FF9900"/>
            <w:noWrap/>
            <w:vAlign w:val="bottom"/>
            <w:hideMark/>
          </w:tcPr>
          <w:p w14:paraId="2C7957E1"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436" w:type="dxa"/>
            <w:tcBorders>
              <w:top w:val="nil"/>
              <w:left w:val="nil"/>
              <w:bottom w:val="single" w:sz="4" w:space="0" w:color="auto"/>
              <w:right w:val="single" w:sz="4" w:space="0" w:color="auto"/>
            </w:tcBorders>
            <w:shd w:val="clear" w:color="000000" w:fill="FF9900"/>
            <w:noWrap/>
            <w:vAlign w:val="bottom"/>
            <w:hideMark/>
          </w:tcPr>
          <w:p w14:paraId="462D0BC2"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415" w:type="dxa"/>
            <w:gridSpan w:val="2"/>
            <w:tcBorders>
              <w:top w:val="nil"/>
              <w:left w:val="nil"/>
              <w:bottom w:val="single" w:sz="4" w:space="0" w:color="auto"/>
              <w:right w:val="single" w:sz="4" w:space="0" w:color="auto"/>
            </w:tcBorders>
            <w:shd w:val="clear" w:color="000000" w:fill="66FFCC"/>
            <w:noWrap/>
            <w:vAlign w:val="bottom"/>
            <w:hideMark/>
          </w:tcPr>
          <w:p w14:paraId="4928F415"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425" w:type="dxa"/>
            <w:tcBorders>
              <w:top w:val="nil"/>
              <w:left w:val="nil"/>
              <w:bottom w:val="single" w:sz="4" w:space="0" w:color="auto"/>
              <w:right w:val="single" w:sz="4" w:space="0" w:color="auto"/>
            </w:tcBorders>
            <w:shd w:val="clear" w:color="000000" w:fill="66FFCC"/>
            <w:noWrap/>
            <w:vAlign w:val="bottom"/>
            <w:hideMark/>
          </w:tcPr>
          <w:p w14:paraId="4328A4F7"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425" w:type="dxa"/>
            <w:tcBorders>
              <w:top w:val="nil"/>
              <w:left w:val="nil"/>
              <w:bottom w:val="single" w:sz="4" w:space="0" w:color="auto"/>
              <w:right w:val="single" w:sz="4" w:space="0" w:color="auto"/>
            </w:tcBorders>
            <w:shd w:val="clear" w:color="000000" w:fill="66FFCC"/>
            <w:noWrap/>
            <w:vAlign w:val="bottom"/>
            <w:hideMark/>
          </w:tcPr>
          <w:p w14:paraId="094D81AF"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426" w:type="dxa"/>
            <w:tcBorders>
              <w:top w:val="nil"/>
              <w:left w:val="nil"/>
              <w:bottom w:val="single" w:sz="4" w:space="0" w:color="auto"/>
              <w:right w:val="single" w:sz="4" w:space="0" w:color="auto"/>
            </w:tcBorders>
            <w:shd w:val="clear" w:color="000000" w:fill="66FFCC"/>
            <w:noWrap/>
            <w:vAlign w:val="bottom"/>
            <w:hideMark/>
          </w:tcPr>
          <w:p w14:paraId="7D74C3E7"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436" w:type="dxa"/>
            <w:gridSpan w:val="2"/>
            <w:tcBorders>
              <w:top w:val="nil"/>
              <w:left w:val="nil"/>
              <w:bottom w:val="single" w:sz="4" w:space="0" w:color="auto"/>
              <w:right w:val="single" w:sz="4" w:space="0" w:color="auto"/>
            </w:tcBorders>
            <w:shd w:val="clear" w:color="000000" w:fill="FFFF00"/>
            <w:vAlign w:val="center"/>
            <w:hideMark/>
          </w:tcPr>
          <w:p w14:paraId="038C7101" w14:textId="77777777" w:rsidR="00A72067" w:rsidRPr="00A72067" w:rsidRDefault="00A72067" w:rsidP="00A72067">
            <w:pPr>
              <w:spacing w:after="0" w:line="240" w:lineRule="auto"/>
              <w:jc w:val="center"/>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556" w:type="dxa"/>
            <w:gridSpan w:val="2"/>
            <w:tcBorders>
              <w:top w:val="nil"/>
              <w:left w:val="nil"/>
              <w:bottom w:val="single" w:sz="4" w:space="0" w:color="auto"/>
              <w:right w:val="single" w:sz="4" w:space="0" w:color="auto"/>
            </w:tcBorders>
            <w:shd w:val="clear" w:color="000000" w:fill="FFFF99"/>
            <w:vAlign w:val="center"/>
            <w:hideMark/>
          </w:tcPr>
          <w:p w14:paraId="3DD7DF0C" w14:textId="77777777" w:rsidR="00A72067" w:rsidRPr="00A72067" w:rsidRDefault="00A72067" w:rsidP="00A72067">
            <w:pPr>
              <w:spacing w:after="0" w:line="240" w:lineRule="auto"/>
              <w:jc w:val="center"/>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665" w:type="dxa"/>
            <w:tcBorders>
              <w:top w:val="nil"/>
              <w:left w:val="nil"/>
              <w:bottom w:val="single" w:sz="4" w:space="0" w:color="auto"/>
              <w:right w:val="single" w:sz="4" w:space="0" w:color="auto"/>
            </w:tcBorders>
            <w:shd w:val="clear" w:color="000000" w:fill="FF9900"/>
            <w:vAlign w:val="center"/>
            <w:hideMark/>
          </w:tcPr>
          <w:p w14:paraId="1D94A53B" w14:textId="77777777" w:rsidR="00A72067" w:rsidRPr="00A72067" w:rsidRDefault="00A72067" w:rsidP="00A72067">
            <w:pPr>
              <w:spacing w:after="0" w:line="240" w:lineRule="auto"/>
              <w:jc w:val="center"/>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632" w:type="dxa"/>
            <w:tcBorders>
              <w:top w:val="nil"/>
              <w:left w:val="nil"/>
              <w:bottom w:val="single" w:sz="4" w:space="0" w:color="auto"/>
              <w:right w:val="single" w:sz="4" w:space="0" w:color="auto"/>
            </w:tcBorders>
            <w:shd w:val="clear" w:color="000000" w:fill="CCFFFF"/>
            <w:vAlign w:val="bottom"/>
            <w:hideMark/>
          </w:tcPr>
          <w:p w14:paraId="6A93820D"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610" w:type="dxa"/>
            <w:tcBorders>
              <w:top w:val="nil"/>
              <w:left w:val="nil"/>
              <w:bottom w:val="single" w:sz="4" w:space="0" w:color="auto"/>
              <w:right w:val="single" w:sz="4" w:space="0" w:color="auto"/>
            </w:tcBorders>
            <w:shd w:val="clear" w:color="000000" w:fill="CCFFFF"/>
            <w:vAlign w:val="bottom"/>
            <w:hideMark/>
          </w:tcPr>
          <w:p w14:paraId="37F120B6"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592" w:type="dxa"/>
            <w:tcBorders>
              <w:top w:val="nil"/>
              <w:left w:val="nil"/>
              <w:bottom w:val="single" w:sz="4" w:space="0" w:color="auto"/>
              <w:right w:val="single" w:sz="4" w:space="0" w:color="auto"/>
            </w:tcBorders>
            <w:shd w:val="clear" w:color="000000" w:fill="CCFFFF"/>
            <w:vAlign w:val="bottom"/>
            <w:hideMark/>
          </w:tcPr>
          <w:p w14:paraId="3880C6DA"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698" w:type="dxa"/>
            <w:tcBorders>
              <w:top w:val="nil"/>
              <w:left w:val="nil"/>
              <w:bottom w:val="single" w:sz="4" w:space="0" w:color="auto"/>
              <w:right w:val="nil"/>
            </w:tcBorders>
            <w:shd w:val="clear" w:color="000000" w:fill="33CCCC"/>
            <w:noWrap/>
            <w:vAlign w:val="bottom"/>
            <w:hideMark/>
          </w:tcPr>
          <w:p w14:paraId="3F595FC7"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716" w:type="dxa"/>
            <w:gridSpan w:val="2"/>
            <w:tcBorders>
              <w:top w:val="nil"/>
              <w:left w:val="single" w:sz="4" w:space="0" w:color="auto"/>
              <w:bottom w:val="single" w:sz="4" w:space="0" w:color="auto"/>
              <w:right w:val="single" w:sz="8" w:space="0" w:color="auto"/>
            </w:tcBorders>
            <w:shd w:val="clear" w:color="000000" w:fill="33CCCC"/>
            <w:noWrap/>
            <w:vAlign w:val="bottom"/>
            <w:hideMark/>
          </w:tcPr>
          <w:p w14:paraId="62BC332D"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236" w:type="dxa"/>
            <w:gridSpan w:val="2"/>
            <w:vAlign w:val="center"/>
            <w:hideMark/>
          </w:tcPr>
          <w:p w14:paraId="6904360A" w14:textId="77777777" w:rsidR="00A72067" w:rsidRPr="00A72067" w:rsidRDefault="00A72067" w:rsidP="00A72067">
            <w:pPr>
              <w:spacing w:after="0" w:line="240" w:lineRule="auto"/>
              <w:rPr>
                <w:rFonts w:ascii="Times New Roman" w:eastAsia="Times New Roman" w:hAnsi="Times New Roman" w:cs="Times New Roman"/>
                <w:sz w:val="16"/>
                <w:szCs w:val="16"/>
                <w:lang w:eastAsia="hr-HR"/>
              </w:rPr>
            </w:pPr>
          </w:p>
        </w:tc>
      </w:tr>
      <w:tr w:rsidR="00A72067" w:rsidRPr="00A72067" w14:paraId="6D23926B" w14:textId="77777777" w:rsidTr="00A72067">
        <w:trPr>
          <w:trHeight w:val="402"/>
        </w:trPr>
        <w:tc>
          <w:tcPr>
            <w:tcW w:w="1264" w:type="dxa"/>
            <w:tcBorders>
              <w:top w:val="nil"/>
              <w:left w:val="single" w:sz="8" w:space="0" w:color="auto"/>
              <w:bottom w:val="single" w:sz="4" w:space="0" w:color="auto"/>
              <w:right w:val="nil"/>
            </w:tcBorders>
            <w:shd w:val="clear" w:color="000000" w:fill="CCFFCC"/>
            <w:vAlign w:val="center"/>
            <w:hideMark/>
          </w:tcPr>
          <w:p w14:paraId="6BCBA236" w14:textId="77777777" w:rsidR="00A72067" w:rsidRPr="00A72067" w:rsidRDefault="00A72067" w:rsidP="00A72067">
            <w:pPr>
              <w:spacing w:after="0" w:line="240" w:lineRule="auto"/>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Dob</w:t>
            </w:r>
          </w:p>
        </w:tc>
        <w:tc>
          <w:tcPr>
            <w:tcW w:w="460" w:type="dxa"/>
            <w:tcBorders>
              <w:top w:val="nil"/>
              <w:left w:val="single" w:sz="8" w:space="0" w:color="auto"/>
              <w:bottom w:val="single" w:sz="4" w:space="0" w:color="auto"/>
              <w:right w:val="single" w:sz="4" w:space="0" w:color="auto"/>
            </w:tcBorders>
            <w:shd w:val="clear" w:color="000000" w:fill="CCFFCC"/>
            <w:vAlign w:val="center"/>
            <w:hideMark/>
          </w:tcPr>
          <w:p w14:paraId="7E1AE561" w14:textId="77777777" w:rsidR="00A72067" w:rsidRPr="00A72067" w:rsidRDefault="00A72067" w:rsidP="00A72067">
            <w:pPr>
              <w:spacing w:after="0" w:line="240" w:lineRule="auto"/>
              <w:jc w:val="center"/>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434" w:type="dxa"/>
            <w:tcBorders>
              <w:top w:val="nil"/>
              <w:left w:val="nil"/>
              <w:bottom w:val="single" w:sz="4" w:space="0" w:color="auto"/>
              <w:right w:val="single" w:sz="4" w:space="0" w:color="auto"/>
            </w:tcBorders>
            <w:shd w:val="clear" w:color="000000" w:fill="FFCC99"/>
            <w:noWrap/>
            <w:vAlign w:val="bottom"/>
            <w:hideMark/>
          </w:tcPr>
          <w:p w14:paraId="68DEAC80" w14:textId="77777777" w:rsidR="00A72067" w:rsidRPr="00A72067" w:rsidRDefault="00A72067" w:rsidP="00A72067">
            <w:pPr>
              <w:spacing w:after="0" w:line="240" w:lineRule="auto"/>
              <w:jc w:val="center"/>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585" w:type="dxa"/>
            <w:tcBorders>
              <w:top w:val="nil"/>
              <w:left w:val="nil"/>
              <w:bottom w:val="single" w:sz="4" w:space="0" w:color="auto"/>
              <w:right w:val="single" w:sz="4" w:space="0" w:color="auto"/>
            </w:tcBorders>
            <w:shd w:val="clear" w:color="000000" w:fill="CCFFFF"/>
            <w:noWrap/>
            <w:vAlign w:val="bottom"/>
            <w:hideMark/>
          </w:tcPr>
          <w:p w14:paraId="418CAADA"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652" w:type="dxa"/>
            <w:tcBorders>
              <w:top w:val="nil"/>
              <w:left w:val="nil"/>
              <w:bottom w:val="single" w:sz="4" w:space="0" w:color="auto"/>
              <w:right w:val="single" w:sz="4" w:space="0" w:color="auto"/>
            </w:tcBorders>
            <w:shd w:val="clear" w:color="000000" w:fill="CCFFFF"/>
            <w:noWrap/>
            <w:vAlign w:val="bottom"/>
            <w:hideMark/>
          </w:tcPr>
          <w:p w14:paraId="4C834CCE"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422" w:type="dxa"/>
            <w:tcBorders>
              <w:top w:val="nil"/>
              <w:left w:val="nil"/>
              <w:bottom w:val="single" w:sz="4" w:space="0" w:color="auto"/>
              <w:right w:val="single" w:sz="4" w:space="0" w:color="auto"/>
            </w:tcBorders>
            <w:shd w:val="clear" w:color="000000" w:fill="FFFF99"/>
            <w:noWrap/>
            <w:vAlign w:val="bottom"/>
            <w:hideMark/>
          </w:tcPr>
          <w:p w14:paraId="64264BFB" w14:textId="77777777" w:rsidR="00A72067" w:rsidRPr="00A72067" w:rsidRDefault="00A72067" w:rsidP="00A72067">
            <w:pPr>
              <w:spacing w:after="0" w:line="240" w:lineRule="auto"/>
              <w:jc w:val="center"/>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424" w:type="dxa"/>
            <w:tcBorders>
              <w:top w:val="nil"/>
              <w:left w:val="nil"/>
              <w:bottom w:val="single" w:sz="4" w:space="0" w:color="auto"/>
              <w:right w:val="single" w:sz="4" w:space="0" w:color="auto"/>
            </w:tcBorders>
            <w:shd w:val="clear" w:color="000000" w:fill="FFFF99"/>
            <w:noWrap/>
            <w:vAlign w:val="bottom"/>
            <w:hideMark/>
          </w:tcPr>
          <w:p w14:paraId="2C3DD186" w14:textId="77777777" w:rsidR="00A72067" w:rsidRPr="00A72067" w:rsidRDefault="00A72067" w:rsidP="00A72067">
            <w:pPr>
              <w:spacing w:after="0" w:line="240" w:lineRule="auto"/>
              <w:jc w:val="center"/>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698" w:type="dxa"/>
            <w:tcBorders>
              <w:top w:val="nil"/>
              <w:left w:val="nil"/>
              <w:bottom w:val="single" w:sz="4" w:space="0" w:color="auto"/>
              <w:right w:val="single" w:sz="4" w:space="0" w:color="auto"/>
            </w:tcBorders>
            <w:shd w:val="clear" w:color="000000" w:fill="FFFF99"/>
            <w:noWrap/>
            <w:vAlign w:val="bottom"/>
            <w:hideMark/>
          </w:tcPr>
          <w:p w14:paraId="5A9BC663" w14:textId="77777777" w:rsidR="00A72067" w:rsidRPr="00A72067" w:rsidRDefault="00A72067" w:rsidP="00A72067">
            <w:pPr>
              <w:spacing w:after="0" w:line="240" w:lineRule="auto"/>
              <w:jc w:val="center"/>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438" w:type="dxa"/>
            <w:tcBorders>
              <w:top w:val="nil"/>
              <w:left w:val="nil"/>
              <w:bottom w:val="single" w:sz="4" w:space="0" w:color="auto"/>
              <w:right w:val="single" w:sz="4" w:space="0" w:color="auto"/>
            </w:tcBorders>
            <w:shd w:val="clear" w:color="000000" w:fill="FFFF99"/>
            <w:noWrap/>
            <w:vAlign w:val="bottom"/>
            <w:hideMark/>
          </w:tcPr>
          <w:p w14:paraId="2516B376" w14:textId="77777777" w:rsidR="00A72067" w:rsidRPr="00A72067" w:rsidRDefault="00A72067" w:rsidP="00A72067">
            <w:pPr>
              <w:spacing w:after="0" w:line="240" w:lineRule="auto"/>
              <w:jc w:val="center"/>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577" w:type="dxa"/>
            <w:tcBorders>
              <w:top w:val="nil"/>
              <w:left w:val="nil"/>
              <w:bottom w:val="single" w:sz="4" w:space="0" w:color="auto"/>
              <w:right w:val="single" w:sz="4" w:space="0" w:color="auto"/>
            </w:tcBorders>
            <w:shd w:val="clear" w:color="000000" w:fill="FFFF99"/>
            <w:noWrap/>
            <w:vAlign w:val="bottom"/>
            <w:hideMark/>
          </w:tcPr>
          <w:p w14:paraId="72EF7421" w14:textId="77777777" w:rsidR="00A72067" w:rsidRPr="00A72067" w:rsidRDefault="00A72067" w:rsidP="00A72067">
            <w:pPr>
              <w:spacing w:after="0" w:line="240" w:lineRule="auto"/>
              <w:jc w:val="center"/>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415" w:type="dxa"/>
            <w:gridSpan w:val="2"/>
            <w:tcBorders>
              <w:top w:val="nil"/>
              <w:left w:val="nil"/>
              <w:bottom w:val="single" w:sz="4" w:space="0" w:color="auto"/>
              <w:right w:val="single" w:sz="4" w:space="0" w:color="auto"/>
            </w:tcBorders>
            <w:shd w:val="clear" w:color="000000" w:fill="FF9900"/>
            <w:noWrap/>
            <w:vAlign w:val="bottom"/>
            <w:hideMark/>
          </w:tcPr>
          <w:p w14:paraId="67471404"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425" w:type="dxa"/>
            <w:tcBorders>
              <w:top w:val="nil"/>
              <w:left w:val="nil"/>
              <w:bottom w:val="single" w:sz="4" w:space="0" w:color="auto"/>
              <w:right w:val="single" w:sz="4" w:space="0" w:color="auto"/>
            </w:tcBorders>
            <w:shd w:val="clear" w:color="000000" w:fill="FF9900"/>
            <w:noWrap/>
            <w:vAlign w:val="bottom"/>
            <w:hideMark/>
          </w:tcPr>
          <w:p w14:paraId="2CD7CB60"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436" w:type="dxa"/>
            <w:tcBorders>
              <w:top w:val="nil"/>
              <w:left w:val="nil"/>
              <w:bottom w:val="single" w:sz="4" w:space="0" w:color="auto"/>
              <w:right w:val="single" w:sz="4" w:space="0" w:color="auto"/>
            </w:tcBorders>
            <w:shd w:val="clear" w:color="000000" w:fill="FF9900"/>
            <w:noWrap/>
            <w:vAlign w:val="bottom"/>
            <w:hideMark/>
          </w:tcPr>
          <w:p w14:paraId="6DA1E742"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415" w:type="dxa"/>
            <w:gridSpan w:val="2"/>
            <w:tcBorders>
              <w:top w:val="nil"/>
              <w:left w:val="nil"/>
              <w:bottom w:val="single" w:sz="4" w:space="0" w:color="auto"/>
              <w:right w:val="single" w:sz="4" w:space="0" w:color="auto"/>
            </w:tcBorders>
            <w:shd w:val="clear" w:color="000000" w:fill="66FFCC"/>
            <w:noWrap/>
            <w:vAlign w:val="bottom"/>
            <w:hideMark/>
          </w:tcPr>
          <w:p w14:paraId="7731B075"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425" w:type="dxa"/>
            <w:tcBorders>
              <w:top w:val="nil"/>
              <w:left w:val="nil"/>
              <w:bottom w:val="single" w:sz="4" w:space="0" w:color="auto"/>
              <w:right w:val="single" w:sz="4" w:space="0" w:color="auto"/>
            </w:tcBorders>
            <w:shd w:val="clear" w:color="000000" w:fill="66FFCC"/>
            <w:noWrap/>
            <w:vAlign w:val="bottom"/>
            <w:hideMark/>
          </w:tcPr>
          <w:p w14:paraId="484B5E7B"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425" w:type="dxa"/>
            <w:tcBorders>
              <w:top w:val="nil"/>
              <w:left w:val="nil"/>
              <w:bottom w:val="single" w:sz="4" w:space="0" w:color="auto"/>
              <w:right w:val="single" w:sz="4" w:space="0" w:color="auto"/>
            </w:tcBorders>
            <w:shd w:val="clear" w:color="000000" w:fill="66FFCC"/>
            <w:noWrap/>
            <w:vAlign w:val="bottom"/>
            <w:hideMark/>
          </w:tcPr>
          <w:p w14:paraId="0E7476C5"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426" w:type="dxa"/>
            <w:tcBorders>
              <w:top w:val="nil"/>
              <w:left w:val="nil"/>
              <w:bottom w:val="single" w:sz="4" w:space="0" w:color="auto"/>
              <w:right w:val="single" w:sz="4" w:space="0" w:color="auto"/>
            </w:tcBorders>
            <w:shd w:val="clear" w:color="000000" w:fill="66FFCC"/>
            <w:noWrap/>
            <w:vAlign w:val="bottom"/>
            <w:hideMark/>
          </w:tcPr>
          <w:p w14:paraId="24FD0E21"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436" w:type="dxa"/>
            <w:gridSpan w:val="2"/>
            <w:tcBorders>
              <w:top w:val="nil"/>
              <w:left w:val="nil"/>
              <w:bottom w:val="single" w:sz="4" w:space="0" w:color="auto"/>
              <w:right w:val="single" w:sz="4" w:space="0" w:color="auto"/>
            </w:tcBorders>
            <w:shd w:val="clear" w:color="000000" w:fill="FFFF00"/>
            <w:vAlign w:val="center"/>
            <w:hideMark/>
          </w:tcPr>
          <w:p w14:paraId="1B13C20F" w14:textId="77777777" w:rsidR="00A72067" w:rsidRPr="00A72067" w:rsidRDefault="00A72067" w:rsidP="00A72067">
            <w:pPr>
              <w:spacing w:after="0" w:line="240" w:lineRule="auto"/>
              <w:jc w:val="center"/>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556" w:type="dxa"/>
            <w:gridSpan w:val="2"/>
            <w:tcBorders>
              <w:top w:val="nil"/>
              <w:left w:val="nil"/>
              <w:bottom w:val="single" w:sz="4" w:space="0" w:color="auto"/>
              <w:right w:val="single" w:sz="4" w:space="0" w:color="auto"/>
            </w:tcBorders>
            <w:shd w:val="clear" w:color="000000" w:fill="FFFF99"/>
            <w:vAlign w:val="center"/>
            <w:hideMark/>
          </w:tcPr>
          <w:p w14:paraId="60088A85" w14:textId="77777777" w:rsidR="00A72067" w:rsidRPr="00A72067" w:rsidRDefault="00A72067" w:rsidP="00A72067">
            <w:pPr>
              <w:spacing w:after="0" w:line="240" w:lineRule="auto"/>
              <w:jc w:val="center"/>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665" w:type="dxa"/>
            <w:tcBorders>
              <w:top w:val="nil"/>
              <w:left w:val="nil"/>
              <w:bottom w:val="single" w:sz="4" w:space="0" w:color="auto"/>
              <w:right w:val="single" w:sz="4" w:space="0" w:color="auto"/>
            </w:tcBorders>
            <w:shd w:val="clear" w:color="000000" w:fill="FF9900"/>
            <w:vAlign w:val="center"/>
            <w:hideMark/>
          </w:tcPr>
          <w:p w14:paraId="42B6FEB0" w14:textId="77777777" w:rsidR="00A72067" w:rsidRPr="00A72067" w:rsidRDefault="00A72067" w:rsidP="00A72067">
            <w:pPr>
              <w:spacing w:after="0" w:line="240" w:lineRule="auto"/>
              <w:jc w:val="center"/>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632" w:type="dxa"/>
            <w:tcBorders>
              <w:top w:val="nil"/>
              <w:left w:val="nil"/>
              <w:bottom w:val="single" w:sz="4" w:space="0" w:color="auto"/>
              <w:right w:val="single" w:sz="4" w:space="0" w:color="auto"/>
            </w:tcBorders>
            <w:shd w:val="clear" w:color="000000" w:fill="CCFFFF"/>
            <w:vAlign w:val="bottom"/>
            <w:hideMark/>
          </w:tcPr>
          <w:p w14:paraId="01556EC6"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610" w:type="dxa"/>
            <w:tcBorders>
              <w:top w:val="nil"/>
              <w:left w:val="nil"/>
              <w:bottom w:val="single" w:sz="4" w:space="0" w:color="auto"/>
              <w:right w:val="single" w:sz="4" w:space="0" w:color="auto"/>
            </w:tcBorders>
            <w:shd w:val="clear" w:color="000000" w:fill="CCFFFF"/>
            <w:vAlign w:val="bottom"/>
            <w:hideMark/>
          </w:tcPr>
          <w:p w14:paraId="45874452"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592" w:type="dxa"/>
            <w:tcBorders>
              <w:top w:val="nil"/>
              <w:left w:val="nil"/>
              <w:bottom w:val="single" w:sz="4" w:space="0" w:color="auto"/>
              <w:right w:val="single" w:sz="4" w:space="0" w:color="auto"/>
            </w:tcBorders>
            <w:shd w:val="clear" w:color="000000" w:fill="CCFFFF"/>
            <w:vAlign w:val="bottom"/>
            <w:hideMark/>
          </w:tcPr>
          <w:p w14:paraId="7154E5F0"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698" w:type="dxa"/>
            <w:tcBorders>
              <w:top w:val="nil"/>
              <w:left w:val="nil"/>
              <w:bottom w:val="single" w:sz="4" w:space="0" w:color="auto"/>
              <w:right w:val="nil"/>
            </w:tcBorders>
            <w:shd w:val="clear" w:color="000000" w:fill="33CCCC"/>
            <w:noWrap/>
            <w:vAlign w:val="bottom"/>
            <w:hideMark/>
          </w:tcPr>
          <w:p w14:paraId="61061FEC"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716" w:type="dxa"/>
            <w:gridSpan w:val="2"/>
            <w:tcBorders>
              <w:top w:val="nil"/>
              <w:left w:val="single" w:sz="4" w:space="0" w:color="auto"/>
              <w:bottom w:val="single" w:sz="4" w:space="0" w:color="auto"/>
              <w:right w:val="single" w:sz="8" w:space="0" w:color="auto"/>
            </w:tcBorders>
            <w:shd w:val="clear" w:color="000000" w:fill="33CCCC"/>
            <w:noWrap/>
            <w:vAlign w:val="bottom"/>
            <w:hideMark/>
          </w:tcPr>
          <w:p w14:paraId="430384C4"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236" w:type="dxa"/>
            <w:gridSpan w:val="2"/>
            <w:vAlign w:val="center"/>
            <w:hideMark/>
          </w:tcPr>
          <w:p w14:paraId="7909197C" w14:textId="77777777" w:rsidR="00A72067" w:rsidRPr="00A72067" w:rsidRDefault="00A72067" w:rsidP="00A72067">
            <w:pPr>
              <w:spacing w:after="0" w:line="240" w:lineRule="auto"/>
              <w:rPr>
                <w:rFonts w:ascii="Times New Roman" w:eastAsia="Times New Roman" w:hAnsi="Times New Roman" w:cs="Times New Roman"/>
                <w:sz w:val="16"/>
                <w:szCs w:val="16"/>
                <w:lang w:eastAsia="hr-HR"/>
              </w:rPr>
            </w:pPr>
          </w:p>
        </w:tc>
      </w:tr>
      <w:tr w:rsidR="00A72067" w:rsidRPr="00A72067" w14:paraId="548783C9" w14:textId="77777777" w:rsidTr="00A72067">
        <w:trPr>
          <w:trHeight w:val="402"/>
        </w:trPr>
        <w:tc>
          <w:tcPr>
            <w:tcW w:w="1264" w:type="dxa"/>
            <w:tcBorders>
              <w:top w:val="nil"/>
              <w:left w:val="single" w:sz="8" w:space="0" w:color="auto"/>
              <w:bottom w:val="single" w:sz="4" w:space="0" w:color="auto"/>
              <w:right w:val="nil"/>
            </w:tcBorders>
            <w:shd w:val="clear" w:color="000000" w:fill="CCFFCC"/>
            <w:vAlign w:val="center"/>
            <w:hideMark/>
          </w:tcPr>
          <w:p w14:paraId="08B51420" w14:textId="77777777" w:rsidR="00A72067" w:rsidRPr="00A72067" w:rsidRDefault="00A72067" w:rsidP="00A72067">
            <w:pPr>
              <w:spacing w:after="0" w:line="240" w:lineRule="auto"/>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Obrazovanje</w:t>
            </w:r>
          </w:p>
        </w:tc>
        <w:tc>
          <w:tcPr>
            <w:tcW w:w="460" w:type="dxa"/>
            <w:tcBorders>
              <w:top w:val="nil"/>
              <w:left w:val="single" w:sz="8" w:space="0" w:color="auto"/>
              <w:bottom w:val="single" w:sz="4" w:space="0" w:color="auto"/>
              <w:right w:val="single" w:sz="4" w:space="0" w:color="auto"/>
            </w:tcBorders>
            <w:shd w:val="clear" w:color="000000" w:fill="CCFFCC"/>
            <w:vAlign w:val="center"/>
            <w:hideMark/>
          </w:tcPr>
          <w:p w14:paraId="25D1CFD7" w14:textId="77777777" w:rsidR="00A72067" w:rsidRPr="00A72067" w:rsidRDefault="00A72067" w:rsidP="00A72067">
            <w:pPr>
              <w:spacing w:after="0" w:line="240" w:lineRule="auto"/>
              <w:jc w:val="center"/>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434" w:type="dxa"/>
            <w:tcBorders>
              <w:top w:val="nil"/>
              <w:left w:val="nil"/>
              <w:bottom w:val="single" w:sz="4" w:space="0" w:color="auto"/>
              <w:right w:val="single" w:sz="4" w:space="0" w:color="auto"/>
            </w:tcBorders>
            <w:shd w:val="clear" w:color="000000" w:fill="FFCC99"/>
            <w:noWrap/>
            <w:vAlign w:val="bottom"/>
            <w:hideMark/>
          </w:tcPr>
          <w:p w14:paraId="7D1F3821" w14:textId="77777777" w:rsidR="00A72067" w:rsidRPr="00A72067" w:rsidRDefault="00A72067" w:rsidP="00A72067">
            <w:pPr>
              <w:spacing w:after="0" w:line="240" w:lineRule="auto"/>
              <w:jc w:val="center"/>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1</w:t>
            </w:r>
          </w:p>
        </w:tc>
        <w:tc>
          <w:tcPr>
            <w:tcW w:w="585" w:type="dxa"/>
            <w:tcBorders>
              <w:top w:val="nil"/>
              <w:left w:val="nil"/>
              <w:bottom w:val="single" w:sz="4" w:space="0" w:color="auto"/>
              <w:right w:val="single" w:sz="4" w:space="0" w:color="auto"/>
            </w:tcBorders>
            <w:shd w:val="clear" w:color="000000" w:fill="CCFFFF"/>
            <w:noWrap/>
            <w:vAlign w:val="bottom"/>
            <w:hideMark/>
          </w:tcPr>
          <w:p w14:paraId="31B93FB4"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652" w:type="dxa"/>
            <w:tcBorders>
              <w:top w:val="nil"/>
              <w:left w:val="nil"/>
              <w:bottom w:val="single" w:sz="4" w:space="0" w:color="auto"/>
              <w:right w:val="single" w:sz="4" w:space="0" w:color="auto"/>
            </w:tcBorders>
            <w:shd w:val="clear" w:color="000000" w:fill="CCFFFF"/>
            <w:noWrap/>
            <w:vAlign w:val="bottom"/>
            <w:hideMark/>
          </w:tcPr>
          <w:p w14:paraId="2ACD9DA8"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422" w:type="dxa"/>
            <w:tcBorders>
              <w:top w:val="nil"/>
              <w:left w:val="nil"/>
              <w:bottom w:val="single" w:sz="4" w:space="0" w:color="auto"/>
              <w:right w:val="single" w:sz="4" w:space="0" w:color="auto"/>
            </w:tcBorders>
            <w:shd w:val="clear" w:color="000000" w:fill="FFFF99"/>
            <w:noWrap/>
            <w:vAlign w:val="bottom"/>
            <w:hideMark/>
          </w:tcPr>
          <w:p w14:paraId="2D25F187" w14:textId="77777777" w:rsidR="00A72067" w:rsidRPr="00A72067" w:rsidRDefault="00A72067" w:rsidP="00A72067">
            <w:pPr>
              <w:spacing w:after="0" w:line="240" w:lineRule="auto"/>
              <w:jc w:val="center"/>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424" w:type="dxa"/>
            <w:tcBorders>
              <w:top w:val="nil"/>
              <w:left w:val="nil"/>
              <w:bottom w:val="single" w:sz="4" w:space="0" w:color="auto"/>
              <w:right w:val="single" w:sz="4" w:space="0" w:color="auto"/>
            </w:tcBorders>
            <w:shd w:val="clear" w:color="000000" w:fill="FFFF99"/>
            <w:noWrap/>
            <w:vAlign w:val="bottom"/>
            <w:hideMark/>
          </w:tcPr>
          <w:p w14:paraId="23AF8410" w14:textId="77777777" w:rsidR="00A72067" w:rsidRPr="00A72067" w:rsidRDefault="00A72067" w:rsidP="00A72067">
            <w:pPr>
              <w:spacing w:after="0" w:line="240" w:lineRule="auto"/>
              <w:jc w:val="center"/>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698" w:type="dxa"/>
            <w:tcBorders>
              <w:top w:val="nil"/>
              <w:left w:val="nil"/>
              <w:bottom w:val="single" w:sz="4" w:space="0" w:color="auto"/>
              <w:right w:val="single" w:sz="4" w:space="0" w:color="auto"/>
            </w:tcBorders>
            <w:shd w:val="clear" w:color="000000" w:fill="FFFF99"/>
            <w:noWrap/>
            <w:vAlign w:val="bottom"/>
            <w:hideMark/>
          </w:tcPr>
          <w:p w14:paraId="1F6A203F" w14:textId="77777777" w:rsidR="00A72067" w:rsidRPr="00A72067" w:rsidRDefault="00A72067" w:rsidP="00A72067">
            <w:pPr>
              <w:spacing w:after="0" w:line="240" w:lineRule="auto"/>
              <w:jc w:val="center"/>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438" w:type="dxa"/>
            <w:tcBorders>
              <w:top w:val="nil"/>
              <w:left w:val="nil"/>
              <w:bottom w:val="single" w:sz="4" w:space="0" w:color="auto"/>
              <w:right w:val="single" w:sz="4" w:space="0" w:color="auto"/>
            </w:tcBorders>
            <w:shd w:val="clear" w:color="000000" w:fill="FFFF99"/>
            <w:noWrap/>
            <w:vAlign w:val="bottom"/>
            <w:hideMark/>
          </w:tcPr>
          <w:p w14:paraId="4563E0D6" w14:textId="77777777" w:rsidR="00A72067" w:rsidRPr="00A72067" w:rsidRDefault="00A72067" w:rsidP="00A72067">
            <w:pPr>
              <w:spacing w:after="0" w:line="240" w:lineRule="auto"/>
              <w:jc w:val="center"/>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577" w:type="dxa"/>
            <w:tcBorders>
              <w:top w:val="nil"/>
              <w:left w:val="nil"/>
              <w:bottom w:val="single" w:sz="4" w:space="0" w:color="auto"/>
              <w:right w:val="single" w:sz="4" w:space="0" w:color="auto"/>
            </w:tcBorders>
            <w:shd w:val="clear" w:color="000000" w:fill="FFFF99"/>
            <w:noWrap/>
            <w:vAlign w:val="bottom"/>
            <w:hideMark/>
          </w:tcPr>
          <w:p w14:paraId="23B54451" w14:textId="77777777" w:rsidR="00A72067" w:rsidRPr="00A72067" w:rsidRDefault="00A72067" w:rsidP="00A72067">
            <w:pPr>
              <w:spacing w:after="0" w:line="240" w:lineRule="auto"/>
              <w:jc w:val="center"/>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1</w:t>
            </w:r>
          </w:p>
        </w:tc>
        <w:tc>
          <w:tcPr>
            <w:tcW w:w="415" w:type="dxa"/>
            <w:gridSpan w:val="2"/>
            <w:tcBorders>
              <w:top w:val="nil"/>
              <w:left w:val="nil"/>
              <w:bottom w:val="single" w:sz="4" w:space="0" w:color="auto"/>
              <w:right w:val="single" w:sz="4" w:space="0" w:color="auto"/>
            </w:tcBorders>
            <w:shd w:val="clear" w:color="000000" w:fill="FF9900"/>
            <w:noWrap/>
            <w:vAlign w:val="bottom"/>
            <w:hideMark/>
          </w:tcPr>
          <w:p w14:paraId="7C0A9158"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425" w:type="dxa"/>
            <w:tcBorders>
              <w:top w:val="nil"/>
              <w:left w:val="nil"/>
              <w:bottom w:val="single" w:sz="4" w:space="0" w:color="auto"/>
              <w:right w:val="single" w:sz="4" w:space="0" w:color="auto"/>
            </w:tcBorders>
            <w:shd w:val="clear" w:color="000000" w:fill="FF9900"/>
            <w:noWrap/>
            <w:vAlign w:val="bottom"/>
            <w:hideMark/>
          </w:tcPr>
          <w:p w14:paraId="3C76C678"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436" w:type="dxa"/>
            <w:tcBorders>
              <w:top w:val="nil"/>
              <w:left w:val="nil"/>
              <w:bottom w:val="single" w:sz="4" w:space="0" w:color="auto"/>
              <w:right w:val="single" w:sz="4" w:space="0" w:color="auto"/>
            </w:tcBorders>
            <w:shd w:val="clear" w:color="000000" w:fill="FF9900"/>
            <w:noWrap/>
            <w:vAlign w:val="bottom"/>
            <w:hideMark/>
          </w:tcPr>
          <w:p w14:paraId="33A8B9D8"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1</w:t>
            </w:r>
          </w:p>
        </w:tc>
        <w:tc>
          <w:tcPr>
            <w:tcW w:w="415" w:type="dxa"/>
            <w:gridSpan w:val="2"/>
            <w:tcBorders>
              <w:top w:val="nil"/>
              <w:left w:val="nil"/>
              <w:bottom w:val="single" w:sz="4" w:space="0" w:color="auto"/>
              <w:right w:val="single" w:sz="4" w:space="0" w:color="auto"/>
            </w:tcBorders>
            <w:shd w:val="clear" w:color="000000" w:fill="66FFCC"/>
            <w:noWrap/>
            <w:vAlign w:val="bottom"/>
            <w:hideMark/>
          </w:tcPr>
          <w:p w14:paraId="6AEE5B8C"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425" w:type="dxa"/>
            <w:tcBorders>
              <w:top w:val="nil"/>
              <w:left w:val="nil"/>
              <w:bottom w:val="single" w:sz="4" w:space="0" w:color="auto"/>
              <w:right w:val="single" w:sz="4" w:space="0" w:color="auto"/>
            </w:tcBorders>
            <w:shd w:val="clear" w:color="000000" w:fill="66FFCC"/>
            <w:noWrap/>
            <w:vAlign w:val="bottom"/>
            <w:hideMark/>
          </w:tcPr>
          <w:p w14:paraId="553B0005"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425" w:type="dxa"/>
            <w:tcBorders>
              <w:top w:val="nil"/>
              <w:left w:val="nil"/>
              <w:bottom w:val="single" w:sz="4" w:space="0" w:color="auto"/>
              <w:right w:val="single" w:sz="4" w:space="0" w:color="auto"/>
            </w:tcBorders>
            <w:shd w:val="clear" w:color="000000" w:fill="66FFCC"/>
            <w:noWrap/>
            <w:vAlign w:val="bottom"/>
            <w:hideMark/>
          </w:tcPr>
          <w:p w14:paraId="537CAAE3"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426" w:type="dxa"/>
            <w:tcBorders>
              <w:top w:val="nil"/>
              <w:left w:val="nil"/>
              <w:bottom w:val="single" w:sz="4" w:space="0" w:color="auto"/>
              <w:right w:val="single" w:sz="4" w:space="0" w:color="auto"/>
            </w:tcBorders>
            <w:shd w:val="clear" w:color="000000" w:fill="66FFCC"/>
            <w:noWrap/>
            <w:vAlign w:val="bottom"/>
            <w:hideMark/>
          </w:tcPr>
          <w:p w14:paraId="70B4B5F5"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436" w:type="dxa"/>
            <w:gridSpan w:val="2"/>
            <w:tcBorders>
              <w:top w:val="nil"/>
              <w:left w:val="nil"/>
              <w:bottom w:val="single" w:sz="4" w:space="0" w:color="auto"/>
              <w:right w:val="single" w:sz="4" w:space="0" w:color="auto"/>
            </w:tcBorders>
            <w:shd w:val="clear" w:color="000000" w:fill="FFFF00"/>
            <w:vAlign w:val="center"/>
            <w:hideMark/>
          </w:tcPr>
          <w:p w14:paraId="5FB55CA2" w14:textId="77777777" w:rsidR="00A72067" w:rsidRPr="00A72067" w:rsidRDefault="00A72067" w:rsidP="00A72067">
            <w:pPr>
              <w:spacing w:after="0" w:line="240" w:lineRule="auto"/>
              <w:jc w:val="center"/>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1</w:t>
            </w:r>
          </w:p>
        </w:tc>
        <w:tc>
          <w:tcPr>
            <w:tcW w:w="556" w:type="dxa"/>
            <w:gridSpan w:val="2"/>
            <w:tcBorders>
              <w:top w:val="nil"/>
              <w:left w:val="nil"/>
              <w:bottom w:val="single" w:sz="4" w:space="0" w:color="auto"/>
              <w:right w:val="single" w:sz="4" w:space="0" w:color="auto"/>
            </w:tcBorders>
            <w:shd w:val="clear" w:color="000000" w:fill="FFFF99"/>
            <w:vAlign w:val="center"/>
            <w:hideMark/>
          </w:tcPr>
          <w:p w14:paraId="4BAF8A98" w14:textId="77777777" w:rsidR="00A72067" w:rsidRPr="00A72067" w:rsidRDefault="00A72067" w:rsidP="00A72067">
            <w:pPr>
              <w:spacing w:after="0" w:line="240" w:lineRule="auto"/>
              <w:jc w:val="center"/>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665" w:type="dxa"/>
            <w:tcBorders>
              <w:top w:val="nil"/>
              <w:left w:val="nil"/>
              <w:bottom w:val="single" w:sz="4" w:space="0" w:color="auto"/>
              <w:right w:val="single" w:sz="4" w:space="0" w:color="auto"/>
            </w:tcBorders>
            <w:shd w:val="clear" w:color="000000" w:fill="FF9900"/>
            <w:vAlign w:val="center"/>
            <w:hideMark/>
          </w:tcPr>
          <w:p w14:paraId="2864B798" w14:textId="77777777" w:rsidR="00A72067" w:rsidRPr="00A72067" w:rsidRDefault="00A72067" w:rsidP="00A72067">
            <w:pPr>
              <w:spacing w:after="0" w:line="240" w:lineRule="auto"/>
              <w:jc w:val="center"/>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632" w:type="dxa"/>
            <w:tcBorders>
              <w:top w:val="nil"/>
              <w:left w:val="nil"/>
              <w:bottom w:val="single" w:sz="4" w:space="0" w:color="auto"/>
              <w:right w:val="single" w:sz="4" w:space="0" w:color="auto"/>
            </w:tcBorders>
            <w:shd w:val="clear" w:color="000000" w:fill="CCFFFF"/>
            <w:vAlign w:val="bottom"/>
            <w:hideMark/>
          </w:tcPr>
          <w:p w14:paraId="3AE41BE9"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610" w:type="dxa"/>
            <w:tcBorders>
              <w:top w:val="nil"/>
              <w:left w:val="nil"/>
              <w:bottom w:val="single" w:sz="4" w:space="0" w:color="auto"/>
              <w:right w:val="single" w:sz="4" w:space="0" w:color="auto"/>
            </w:tcBorders>
            <w:shd w:val="clear" w:color="000000" w:fill="CCFFFF"/>
            <w:vAlign w:val="bottom"/>
            <w:hideMark/>
          </w:tcPr>
          <w:p w14:paraId="5C0F7D61"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592" w:type="dxa"/>
            <w:tcBorders>
              <w:top w:val="nil"/>
              <w:left w:val="nil"/>
              <w:bottom w:val="single" w:sz="4" w:space="0" w:color="auto"/>
              <w:right w:val="single" w:sz="4" w:space="0" w:color="auto"/>
            </w:tcBorders>
            <w:shd w:val="clear" w:color="000000" w:fill="CCFFFF"/>
            <w:vAlign w:val="bottom"/>
            <w:hideMark/>
          </w:tcPr>
          <w:p w14:paraId="5949D3DE"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698" w:type="dxa"/>
            <w:tcBorders>
              <w:top w:val="nil"/>
              <w:left w:val="nil"/>
              <w:bottom w:val="single" w:sz="4" w:space="0" w:color="auto"/>
              <w:right w:val="nil"/>
            </w:tcBorders>
            <w:shd w:val="clear" w:color="000000" w:fill="33CCCC"/>
            <w:noWrap/>
            <w:vAlign w:val="bottom"/>
            <w:hideMark/>
          </w:tcPr>
          <w:p w14:paraId="0051DF7E"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1</w:t>
            </w:r>
          </w:p>
        </w:tc>
        <w:tc>
          <w:tcPr>
            <w:tcW w:w="716" w:type="dxa"/>
            <w:gridSpan w:val="2"/>
            <w:tcBorders>
              <w:top w:val="nil"/>
              <w:left w:val="single" w:sz="4" w:space="0" w:color="auto"/>
              <w:bottom w:val="single" w:sz="4" w:space="0" w:color="auto"/>
              <w:right w:val="single" w:sz="8" w:space="0" w:color="auto"/>
            </w:tcBorders>
            <w:shd w:val="clear" w:color="000000" w:fill="33CCCC"/>
            <w:noWrap/>
            <w:vAlign w:val="bottom"/>
            <w:hideMark/>
          </w:tcPr>
          <w:p w14:paraId="5FF79134"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236" w:type="dxa"/>
            <w:gridSpan w:val="2"/>
            <w:vAlign w:val="center"/>
            <w:hideMark/>
          </w:tcPr>
          <w:p w14:paraId="378A6D15" w14:textId="77777777" w:rsidR="00A72067" w:rsidRPr="00A72067" w:rsidRDefault="00A72067" w:rsidP="00A72067">
            <w:pPr>
              <w:spacing w:after="0" w:line="240" w:lineRule="auto"/>
              <w:rPr>
                <w:rFonts w:ascii="Times New Roman" w:eastAsia="Times New Roman" w:hAnsi="Times New Roman" w:cs="Times New Roman"/>
                <w:sz w:val="16"/>
                <w:szCs w:val="16"/>
                <w:lang w:eastAsia="hr-HR"/>
              </w:rPr>
            </w:pPr>
          </w:p>
        </w:tc>
      </w:tr>
      <w:tr w:rsidR="00A72067" w:rsidRPr="00A72067" w14:paraId="1CD4196E" w14:textId="77777777" w:rsidTr="00A72067">
        <w:trPr>
          <w:trHeight w:val="402"/>
        </w:trPr>
        <w:tc>
          <w:tcPr>
            <w:tcW w:w="1264" w:type="dxa"/>
            <w:tcBorders>
              <w:top w:val="nil"/>
              <w:left w:val="single" w:sz="8" w:space="0" w:color="auto"/>
              <w:bottom w:val="single" w:sz="4" w:space="0" w:color="auto"/>
              <w:right w:val="nil"/>
            </w:tcBorders>
            <w:shd w:val="clear" w:color="000000" w:fill="CCFFCC"/>
            <w:vAlign w:val="center"/>
            <w:hideMark/>
          </w:tcPr>
          <w:p w14:paraId="6DD7A8F5" w14:textId="77777777" w:rsidR="00A72067" w:rsidRPr="00A72067" w:rsidRDefault="00A72067" w:rsidP="00A72067">
            <w:pPr>
              <w:spacing w:after="0" w:line="240" w:lineRule="auto"/>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Zdravstveno stanje</w:t>
            </w:r>
          </w:p>
        </w:tc>
        <w:tc>
          <w:tcPr>
            <w:tcW w:w="460" w:type="dxa"/>
            <w:tcBorders>
              <w:top w:val="nil"/>
              <w:left w:val="single" w:sz="8" w:space="0" w:color="auto"/>
              <w:bottom w:val="single" w:sz="4" w:space="0" w:color="auto"/>
              <w:right w:val="single" w:sz="4" w:space="0" w:color="auto"/>
            </w:tcBorders>
            <w:shd w:val="clear" w:color="000000" w:fill="CCFFCC"/>
            <w:vAlign w:val="center"/>
            <w:hideMark/>
          </w:tcPr>
          <w:p w14:paraId="0579B146" w14:textId="77777777" w:rsidR="00A72067" w:rsidRPr="00A72067" w:rsidRDefault="00A72067" w:rsidP="00A72067">
            <w:pPr>
              <w:spacing w:after="0" w:line="240" w:lineRule="auto"/>
              <w:jc w:val="center"/>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434" w:type="dxa"/>
            <w:tcBorders>
              <w:top w:val="nil"/>
              <w:left w:val="nil"/>
              <w:bottom w:val="single" w:sz="4" w:space="0" w:color="auto"/>
              <w:right w:val="single" w:sz="4" w:space="0" w:color="auto"/>
            </w:tcBorders>
            <w:shd w:val="clear" w:color="000000" w:fill="FFCC99"/>
            <w:noWrap/>
            <w:vAlign w:val="bottom"/>
            <w:hideMark/>
          </w:tcPr>
          <w:p w14:paraId="28927E0F" w14:textId="77777777" w:rsidR="00A72067" w:rsidRPr="00A72067" w:rsidRDefault="00A72067" w:rsidP="00A72067">
            <w:pPr>
              <w:spacing w:after="0" w:line="240" w:lineRule="auto"/>
              <w:jc w:val="center"/>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2</w:t>
            </w:r>
          </w:p>
        </w:tc>
        <w:tc>
          <w:tcPr>
            <w:tcW w:w="585" w:type="dxa"/>
            <w:tcBorders>
              <w:top w:val="nil"/>
              <w:left w:val="nil"/>
              <w:bottom w:val="single" w:sz="4" w:space="0" w:color="auto"/>
              <w:right w:val="single" w:sz="4" w:space="0" w:color="auto"/>
            </w:tcBorders>
            <w:shd w:val="clear" w:color="000000" w:fill="CCFFFF"/>
            <w:noWrap/>
            <w:vAlign w:val="bottom"/>
            <w:hideMark/>
          </w:tcPr>
          <w:p w14:paraId="16FABEB3"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2</w:t>
            </w:r>
          </w:p>
        </w:tc>
        <w:tc>
          <w:tcPr>
            <w:tcW w:w="652" w:type="dxa"/>
            <w:tcBorders>
              <w:top w:val="nil"/>
              <w:left w:val="nil"/>
              <w:bottom w:val="single" w:sz="4" w:space="0" w:color="auto"/>
              <w:right w:val="single" w:sz="4" w:space="0" w:color="auto"/>
            </w:tcBorders>
            <w:shd w:val="clear" w:color="000000" w:fill="CCFFFF"/>
            <w:noWrap/>
            <w:vAlign w:val="bottom"/>
            <w:hideMark/>
          </w:tcPr>
          <w:p w14:paraId="2C7283D0"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422" w:type="dxa"/>
            <w:tcBorders>
              <w:top w:val="nil"/>
              <w:left w:val="nil"/>
              <w:bottom w:val="single" w:sz="4" w:space="0" w:color="auto"/>
              <w:right w:val="single" w:sz="4" w:space="0" w:color="auto"/>
            </w:tcBorders>
            <w:shd w:val="clear" w:color="000000" w:fill="FFFF99"/>
            <w:noWrap/>
            <w:vAlign w:val="bottom"/>
            <w:hideMark/>
          </w:tcPr>
          <w:p w14:paraId="4037918A" w14:textId="77777777" w:rsidR="00A72067" w:rsidRPr="00A72067" w:rsidRDefault="00A72067" w:rsidP="00A72067">
            <w:pPr>
              <w:spacing w:after="0" w:line="240" w:lineRule="auto"/>
              <w:jc w:val="center"/>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2</w:t>
            </w:r>
          </w:p>
        </w:tc>
        <w:tc>
          <w:tcPr>
            <w:tcW w:w="424" w:type="dxa"/>
            <w:tcBorders>
              <w:top w:val="nil"/>
              <w:left w:val="nil"/>
              <w:bottom w:val="single" w:sz="4" w:space="0" w:color="auto"/>
              <w:right w:val="single" w:sz="4" w:space="0" w:color="auto"/>
            </w:tcBorders>
            <w:shd w:val="clear" w:color="000000" w:fill="FFFF99"/>
            <w:noWrap/>
            <w:vAlign w:val="bottom"/>
            <w:hideMark/>
          </w:tcPr>
          <w:p w14:paraId="2ED71FD8" w14:textId="77777777" w:rsidR="00A72067" w:rsidRPr="00A72067" w:rsidRDefault="00A72067" w:rsidP="00A72067">
            <w:pPr>
              <w:spacing w:after="0" w:line="240" w:lineRule="auto"/>
              <w:jc w:val="center"/>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698" w:type="dxa"/>
            <w:tcBorders>
              <w:top w:val="nil"/>
              <w:left w:val="nil"/>
              <w:bottom w:val="single" w:sz="4" w:space="0" w:color="auto"/>
              <w:right w:val="single" w:sz="4" w:space="0" w:color="auto"/>
            </w:tcBorders>
            <w:shd w:val="clear" w:color="000000" w:fill="FFFF99"/>
            <w:noWrap/>
            <w:vAlign w:val="bottom"/>
            <w:hideMark/>
          </w:tcPr>
          <w:p w14:paraId="0DED6A9A" w14:textId="77777777" w:rsidR="00A72067" w:rsidRPr="00A72067" w:rsidRDefault="00A72067" w:rsidP="00A72067">
            <w:pPr>
              <w:spacing w:after="0" w:line="240" w:lineRule="auto"/>
              <w:jc w:val="center"/>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438" w:type="dxa"/>
            <w:tcBorders>
              <w:top w:val="nil"/>
              <w:left w:val="nil"/>
              <w:bottom w:val="single" w:sz="4" w:space="0" w:color="auto"/>
              <w:right w:val="single" w:sz="4" w:space="0" w:color="auto"/>
            </w:tcBorders>
            <w:shd w:val="clear" w:color="000000" w:fill="FFFF99"/>
            <w:noWrap/>
            <w:vAlign w:val="bottom"/>
            <w:hideMark/>
          </w:tcPr>
          <w:p w14:paraId="681F5435" w14:textId="77777777" w:rsidR="00A72067" w:rsidRPr="00A72067" w:rsidRDefault="00A72067" w:rsidP="00A72067">
            <w:pPr>
              <w:spacing w:after="0" w:line="240" w:lineRule="auto"/>
              <w:jc w:val="center"/>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577" w:type="dxa"/>
            <w:tcBorders>
              <w:top w:val="nil"/>
              <w:left w:val="nil"/>
              <w:bottom w:val="single" w:sz="4" w:space="0" w:color="auto"/>
              <w:right w:val="single" w:sz="4" w:space="0" w:color="auto"/>
            </w:tcBorders>
            <w:shd w:val="clear" w:color="000000" w:fill="FFFF99"/>
            <w:noWrap/>
            <w:vAlign w:val="bottom"/>
            <w:hideMark/>
          </w:tcPr>
          <w:p w14:paraId="14EE7349" w14:textId="77777777" w:rsidR="00A72067" w:rsidRPr="00A72067" w:rsidRDefault="00A72067" w:rsidP="00A72067">
            <w:pPr>
              <w:spacing w:after="0" w:line="240" w:lineRule="auto"/>
              <w:jc w:val="center"/>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415" w:type="dxa"/>
            <w:gridSpan w:val="2"/>
            <w:tcBorders>
              <w:top w:val="nil"/>
              <w:left w:val="nil"/>
              <w:bottom w:val="single" w:sz="4" w:space="0" w:color="auto"/>
              <w:right w:val="single" w:sz="4" w:space="0" w:color="auto"/>
            </w:tcBorders>
            <w:shd w:val="clear" w:color="000000" w:fill="FF9900"/>
            <w:noWrap/>
            <w:vAlign w:val="bottom"/>
            <w:hideMark/>
          </w:tcPr>
          <w:p w14:paraId="1AC97EEE"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425" w:type="dxa"/>
            <w:tcBorders>
              <w:top w:val="nil"/>
              <w:left w:val="nil"/>
              <w:bottom w:val="single" w:sz="4" w:space="0" w:color="auto"/>
              <w:right w:val="single" w:sz="4" w:space="0" w:color="auto"/>
            </w:tcBorders>
            <w:shd w:val="clear" w:color="000000" w:fill="FF9900"/>
            <w:noWrap/>
            <w:vAlign w:val="bottom"/>
            <w:hideMark/>
          </w:tcPr>
          <w:p w14:paraId="3F1727E9"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2</w:t>
            </w:r>
          </w:p>
        </w:tc>
        <w:tc>
          <w:tcPr>
            <w:tcW w:w="436" w:type="dxa"/>
            <w:tcBorders>
              <w:top w:val="nil"/>
              <w:left w:val="nil"/>
              <w:bottom w:val="single" w:sz="4" w:space="0" w:color="auto"/>
              <w:right w:val="single" w:sz="4" w:space="0" w:color="auto"/>
            </w:tcBorders>
            <w:shd w:val="clear" w:color="000000" w:fill="FF9900"/>
            <w:noWrap/>
            <w:vAlign w:val="bottom"/>
            <w:hideMark/>
          </w:tcPr>
          <w:p w14:paraId="7662D901"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415" w:type="dxa"/>
            <w:gridSpan w:val="2"/>
            <w:tcBorders>
              <w:top w:val="nil"/>
              <w:left w:val="nil"/>
              <w:bottom w:val="single" w:sz="4" w:space="0" w:color="auto"/>
              <w:right w:val="single" w:sz="4" w:space="0" w:color="auto"/>
            </w:tcBorders>
            <w:shd w:val="clear" w:color="000000" w:fill="66FFCC"/>
            <w:noWrap/>
            <w:vAlign w:val="bottom"/>
            <w:hideMark/>
          </w:tcPr>
          <w:p w14:paraId="492BE084"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425" w:type="dxa"/>
            <w:tcBorders>
              <w:top w:val="nil"/>
              <w:left w:val="nil"/>
              <w:bottom w:val="single" w:sz="4" w:space="0" w:color="auto"/>
              <w:right w:val="single" w:sz="4" w:space="0" w:color="auto"/>
            </w:tcBorders>
            <w:shd w:val="clear" w:color="000000" w:fill="66FFCC"/>
            <w:noWrap/>
            <w:vAlign w:val="bottom"/>
            <w:hideMark/>
          </w:tcPr>
          <w:p w14:paraId="33510A2F"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425" w:type="dxa"/>
            <w:tcBorders>
              <w:top w:val="nil"/>
              <w:left w:val="nil"/>
              <w:bottom w:val="single" w:sz="4" w:space="0" w:color="auto"/>
              <w:right w:val="single" w:sz="4" w:space="0" w:color="auto"/>
            </w:tcBorders>
            <w:shd w:val="clear" w:color="000000" w:fill="66FFCC"/>
            <w:noWrap/>
            <w:vAlign w:val="bottom"/>
            <w:hideMark/>
          </w:tcPr>
          <w:p w14:paraId="47008BEF"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426" w:type="dxa"/>
            <w:tcBorders>
              <w:top w:val="nil"/>
              <w:left w:val="nil"/>
              <w:bottom w:val="single" w:sz="4" w:space="0" w:color="auto"/>
              <w:right w:val="single" w:sz="4" w:space="0" w:color="auto"/>
            </w:tcBorders>
            <w:shd w:val="clear" w:color="000000" w:fill="66FFCC"/>
            <w:noWrap/>
            <w:vAlign w:val="bottom"/>
            <w:hideMark/>
          </w:tcPr>
          <w:p w14:paraId="7B052803"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436" w:type="dxa"/>
            <w:gridSpan w:val="2"/>
            <w:tcBorders>
              <w:top w:val="nil"/>
              <w:left w:val="nil"/>
              <w:bottom w:val="single" w:sz="4" w:space="0" w:color="auto"/>
              <w:right w:val="single" w:sz="4" w:space="0" w:color="auto"/>
            </w:tcBorders>
            <w:shd w:val="clear" w:color="000000" w:fill="FFFF00"/>
            <w:vAlign w:val="center"/>
            <w:hideMark/>
          </w:tcPr>
          <w:p w14:paraId="0FDCF347" w14:textId="77777777" w:rsidR="00A72067" w:rsidRPr="00A72067" w:rsidRDefault="00A72067" w:rsidP="00A72067">
            <w:pPr>
              <w:spacing w:after="0" w:line="240" w:lineRule="auto"/>
              <w:jc w:val="center"/>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2</w:t>
            </w:r>
          </w:p>
        </w:tc>
        <w:tc>
          <w:tcPr>
            <w:tcW w:w="556" w:type="dxa"/>
            <w:gridSpan w:val="2"/>
            <w:tcBorders>
              <w:top w:val="nil"/>
              <w:left w:val="nil"/>
              <w:bottom w:val="single" w:sz="4" w:space="0" w:color="auto"/>
              <w:right w:val="single" w:sz="4" w:space="0" w:color="auto"/>
            </w:tcBorders>
            <w:shd w:val="clear" w:color="000000" w:fill="FFFF99"/>
            <w:vAlign w:val="center"/>
            <w:hideMark/>
          </w:tcPr>
          <w:p w14:paraId="2A6DABC2" w14:textId="77777777" w:rsidR="00A72067" w:rsidRPr="00A72067" w:rsidRDefault="00A72067" w:rsidP="00A72067">
            <w:pPr>
              <w:spacing w:after="0" w:line="240" w:lineRule="auto"/>
              <w:jc w:val="center"/>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665" w:type="dxa"/>
            <w:tcBorders>
              <w:top w:val="nil"/>
              <w:left w:val="nil"/>
              <w:bottom w:val="single" w:sz="4" w:space="0" w:color="auto"/>
              <w:right w:val="single" w:sz="4" w:space="0" w:color="auto"/>
            </w:tcBorders>
            <w:shd w:val="clear" w:color="000000" w:fill="FF9900"/>
            <w:vAlign w:val="center"/>
            <w:hideMark/>
          </w:tcPr>
          <w:p w14:paraId="4C62F776" w14:textId="77777777" w:rsidR="00A72067" w:rsidRPr="00A72067" w:rsidRDefault="00A72067" w:rsidP="00A72067">
            <w:pPr>
              <w:spacing w:after="0" w:line="240" w:lineRule="auto"/>
              <w:jc w:val="center"/>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632" w:type="dxa"/>
            <w:tcBorders>
              <w:top w:val="nil"/>
              <w:left w:val="nil"/>
              <w:bottom w:val="single" w:sz="4" w:space="0" w:color="auto"/>
              <w:right w:val="single" w:sz="4" w:space="0" w:color="auto"/>
            </w:tcBorders>
            <w:shd w:val="clear" w:color="000000" w:fill="CCFFFF"/>
            <w:vAlign w:val="bottom"/>
            <w:hideMark/>
          </w:tcPr>
          <w:p w14:paraId="0BBC365F"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610" w:type="dxa"/>
            <w:tcBorders>
              <w:top w:val="nil"/>
              <w:left w:val="nil"/>
              <w:bottom w:val="single" w:sz="4" w:space="0" w:color="auto"/>
              <w:right w:val="single" w:sz="4" w:space="0" w:color="auto"/>
            </w:tcBorders>
            <w:shd w:val="clear" w:color="000000" w:fill="CCFFFF"/>
            <w:vAlign w:val="bottom"/>
            <w:hideMark/>
          </w:tcPr>
          <w:p w14:paraId="4E7E9F72"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592" w:type="dxa"/>
            <w:tcBorders>
              <w:top w:val="nil"/>
              <w:left w:val="nil"/>
              <w:bottom w:val="single" w:sz="4" w:space="0" w:color="auto"/>
              <w:right w:val="single" w:sz="4" w:space="0" w:color="auto"/>
            </w:tcBorders>
            <w:shd w:val="clear" w:color="000000" w:fill="CCFFFF"/>
            <w:vAlign w:val="bottom"/>
            <w:hideMark/>
          </w:tcPr>
          <w:p w14:paraId="6AB7B672"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698" w:type="dxa"/>
            <w:tcBorders>
              <w:top w:val="nil"/>
              <w:left w:val="nil"/>
              <w:bottom w:val="single" w:sz="4" w:space="0" w:color="auto"/>
              <w:right w:val="nil"/>
            </w:tcBorders>
            <w:shd w:val="clear" w:color="000000" w:fill="33CCCC"/>
            <w:noWrap/>
            <w:vAlign w:val="bottom"/>
            <w:hideMark/>
          </w:tcPr>
          <w:p w14:paraId="24DF320B"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2</w:t>
            </w:r>
          </w:p>
        </w:tc>
        <w:tc>
          <w:tcPr>
            <w:tcW w:w="716" w:type="dxa"/>
            <w:gridSpan w:val="2"/>
            <w:tcBorders>
              <w:top w:val="nil"/>
              <w:left w:val="single" w:sz="4" w:space="0" w:color="auto"/>
              <w:bottom w:val="single" w:sz="4" w:space="0" w:color="auto"/>
              <w:right w:val="single" w:sz="8" w:space="0" w:color="auto"/>
            </w:tcBorders>
            <w:shd w:val="clear" w:color="000000" w:fill="33CCCC"/>
            <w:noWrap/>
            <w:vAlign w:val="bottom"/>
            <w:hideMark/>
          </w:tcPr>
          <w:p w14:paraId="218FA8CA"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236" w:type="dxa"/>
            <w:gridSpan w:val="2"/>
            <w:vAlign w:val="center"/>
            <w:hideMark/>
          </w:tcPr>
          <w:p w14:paraId="1F4B0A3A" w14:textId="77777777" w:rsidR="00A72067" w:rsidRPr="00A72067" w:rsidRDefault="00A72067" w:rsidP="00A72067">
            <w:pPr>
              <w:spacing w:after="0" w:line="240" w:lineRule="auto"/>
              <w:rPr>
                <w:rFonts w:ascii="Times New Roman" w:eastAsia="Times New Roman" w:hAnsi="Times New Roman" w:cs="Times New Roman"/>
                <w:sz w:val="16"/>
                <w:szCs w:val="16"/>
                <w:lang w:eastAsia="hr-HR"/>
              </w:rPr>
            </w:pPr>
          </w:p>
        </w:tc>
      </w:tr>
      <w:tr w:rsidR="00A72067" w:rsidRPr="00A72067" w14:paraId="304C2340" w14:textId="77777777" w:rsidTr="00A72067">
        <w:trPr>
          <w:trHeight w:val="402"/>
        </w:trPr>
        <w:tc>
          <w:tcPr>
            <w:tcW w:w="1264" w:type="dxa"/>
            <w:tcBorders>
              <w:top w:val="nil"/>
              <w:left w:val="single" w:sz="8" w:space="0" w:color="auto"/>
              <w:bottom w:val="single" w:sz="4" w:space="0" w:color="auto"/>
              <w:right w:val="nil"/>
            </w:tcBorders>
            <w:shd w:val="clear" w:color="000000" w:fill="CCFFCC"/>
            <w:vAlign w:val="center"/>
            <w:hideMark/>
          </w:tcPr>
          <w:p w14:paraId="0FE059F2" w14:textId="77777777" w:rsidR="00A72067" w:rsidRPr="00A72067" w:rsidRDefault="00A72067" w:rsidP="00A72067">
            <w:pPr>
              <w:spacing w:after="0" w:line="240" w:lineRule="auto"/>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Invaliditet</w:t>
            </w:r>
          </w:p>
        </w:tc>
        <w:tc>
          <w:tcPr>
            <w:tcW w:w="460" w:type="dxa"/>
            <w:tcBorders>
              <w:top w:val="nil"/>
              <w:left w:val="single" w:sz="8" w:space="0" w:color="auto"/>
              <w:bottom w:val="single" w:sz="4" w:space="0" w:color="auto"/>
              <w:right w:val="single" w:sz="4" w:space="0" w:color="auto"/>
            </w:tcBorders>
            <w:shd w:val="clear" w:color="000000" w:fill="CCFFCC"/>
            <w:vAlign w:val="center"/>
            <w:hideMark/>
          </w:tcPr>
          <w:p w14:paraId="2CE7493F" w14:textId="77777777" w:rsidR="00A72067" w:rsidRPr="00A72067" w:rsidRDefault="00A72067" w:rsidP="00A72067">
            <w:pPr>
              <w:spacing w:after="0" w:line="240" w:lineRule="auto"/>
              <w:jc w:val="center"/>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434" w:type="dxa"/>
            <w:tcBorders>
              <w:top w:val="nil"/>
              <w:left w:val="nil"/>
              <w:bottom w:val="single" w:sz="4" w:space="0" w:color="auto"/>
              <w:right w:val="single" w:sz="4" w:space="0" w:color="auto"/>
            </w:tcBorders>
            <w:shd w:val="clear" w:color="000000" w:fill="FFCC99"/>
            <w:noWrap/>
            <w:vAlign w:val="bottom"/>
            <w:hideMark/>
          </w:tcPr>
          <w:p w14:paraId="3FF1AF6F" w14:textId="77777777" w:rsidR="00A72067" w:rsidRPr="00A72067" w:rsidRDefault="00A72067" w:rsidP="00A72067">
            <w:pPr>
              <w:spacing w:after="0" w:line="240" w:lineRule="auto"/>
              <w:jc w:val="center"/>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1</w:t>
            </w:r>
          </w:p>
        </w:tc>
        <w:tc>
          <w:tcPr>
            <w:tcW w:w="585" w:type="dxa"/>
            <w:tcBorders>
              <w:top w:val="nil"/>
              <w:left w:val="nil"/>
              <w:bottom w:val="single" w:sz="4" w:space="0" w:color="auto"/>
              <w:right w:val="single" w:sz="4" w:space="0" w:color="auto"/>
            </w:tcBorders>
            <w:shd w:val="clear" w:color="000000" w:fill="CCFFFF"/>
            <w:noWrap/>
            <w:vAlign w:val="bottom"/>
            <w:hideMark/>
          </w:tcPr>
          <w:p w14:paraId="35E3FBFC"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652" w:type="dxa"/>
            <w:tcBorders>
              <w:top w:val="nil"/>
              <w:left w:val="nil"/>
              <w:bottom w:val="single" w:sz="4" w:space="0" w:color="auto"/>
              <w:right w:val="single" w:sz="4" w:space="0" w:color="auto"/>
            </w:tcBorders>
            <w:shd w:val="clear" w:color="000000" w:fill="CCFFFF"/>
            <w:noWrap/>
            <w:vAlign w:val="bottom"/>
            <w:hideMark/>
          </w:tcPr>
          <w:p w14:paraId="0646B10A"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1</w:t>
            </w:r>
          </w:p>
        </w:tc>
        <w:tc>
          <w:tcPr>
            <w:tcW w:w="422" w:type="dxa"/>
            <w:tcBorders>
              <w:top w:val="nil"/>
              <w:left w:val="nil"/>
              <w:bottom w:val="single" w:sz="4" w:space="0" w:color="auto"/>
              <w:right w:val="single" w:sz="4" w:space="0" w:color="auto"/>
            </w:tcBorders>
            <w:shd w:val="clear" w:color="000000" w:fill="FFFF99"/>
            <w:noWrap/>
            <w:vAlign w:val="bottom"/>
            <w:hideMark/>
          </w:tcPr>
          <w:p w14:paraId="610292D7" w14:textId="77777777" w:rsidR="00A72067" w:rsidRPr="00A72067" w:rsidRDefault="00A72067" w:rsidP="00A72067">
            <w:pPr>
              <w:spacing w:after="0" w:line="240" w:lineRule="auto"/>
              <w:jc w:val="center"/>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424" w:type="dxa"/>
            <w:tcBorders>
              <w:top w:val="nil"/>
              <w:left w:val="nil"/>
              <w:bottom w:val="single" w:sz="4" w:space="0" w:color="auto"/>
              <w:right w:val="single" w:sz="4" w:space="0" w:color="auto"/>
            </w:tcBorders>
            <w:shd w:val="clear" w:color="000000" w:fill="FFFF99"/>
            <w:noWrap/>
            <w:vAlign w:val="bottom"/>
            <w:hideMark/>
          </w:tcPr>
          <w:p w14:paraId="3AC82383" w14:textId="77777777" w:rsidR="00A72067" w:rsidRPr="00A72067" w:rsidRDefault="00A72067" w:rsidP="00A72067">
            <w:pPr>
              <w:spacing w:after="0" w:line="240" w:lineRule="auto"/>
              <w:jc w:val="center"/>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698" w:type="dxa"/>
            <w:tcBorders>
              <w:top w:val="nil"/>
              <w:left w:val="nil"/>
              <w:bottom w:val="single" w:sz="4" w:space="0" w:color="auto"/>
              <w:right w:val="single" w:sz="4" w:space="0" w:color="auto"/>
            </w:tcBorders>
            <w:shd w:val="clear" w:color="000000" w:fill="FFFF99"/>
            <w:noWrap/>
            <w:vAlign w:val="bottom"/>
            <w:hideMark/>
          </w:tcPr>
          <w:p w14:paraId="2B073787" w14:textId="77777777" w:rsidR="00A72067" w:rsidRPr="00A72067" w:rsidRDefault="00A72067" w:rsidP="00A72067">
            <w:pPr>
              <w:spacing w:after="0" w:line="240" w:lineRule="auto"/>
              <w:jc w:val="center"/>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438" w:type="dxa"/>
            <w:tcBorders>
              <w:top w:val="nil"/>
              <w:left w:val="nil"/>
              <w:bottom w:val="single" w:sz="4" w:space="0" w:color="auto"/>
              <w:right w:val="single" w:sz="4" w:space="0" w:color="auto"/>
            </w:tcBorders>
            <w:shd w:val="clear" w:color="000000" w:fill="FFFF99"/>
            <w:noWrap/>
            <w:vAlign w:val="bottom"/>
            <w:hideMark/>
          </w:tcPr>
          <w:p w14:paraId="4EE9EED7" w14:textId="77777777" w:rsidR="00A72067" w:rsidRPr="00A72067" w:rsidRDefault="00A72067" w:rsidP="00A72067">
            <w:pPr>
              <w:spacing w:after="0" w:line="240" w:lineRule="auto"/>
              <w:jc w:val="center"/>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1</w:t>
            </w:r>
          </w:p>
        </w:tc>
        <w:tc>
          <w:tcPr>
            <w:tcW w:w="577" w:type="dxa"/>
            <w:tcBorders>
              <w:top w:val="nil"/>
              <w:left w:val="nil"/>
              <w:bottom w:val="single" w:sz="4" w:space="0" w:color="auto"/>
              <w:right w:val="single" w:sz="4" w:space="0" w:color="auto"/>
            </w:tcBorders>
            <w:shd w:val="clear" w:color="000000" w:fill="FFFF99"/>
            <w:noWrap/>
            <w:vAlign w:val="bottom"/>
            <w:hideMark/>
          </w:tcPr>
          <w:p w14:paraId="7F7C7BCD" w14:textId="77777777" w:rsidR="00A72067" w:rsidRPr="00A72067" w:rsidRDefault="00A72067" w:rsidP="00A72067">
            <w:pPr>
              <w:spacing w:after="0" w:line="240" w:lineRule="auto"/>
              <w:jc w:val="center"/>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415" w:type="dxa"/>
            <w:gridSpan w:val="2"/>
            <w:tcBorders>
              <w:top w:val="nil"/>
              <w:left w:val="nil"/>
              <w:bottom w:val="single" w:sz="4" w:space="0" w:color="auto"/>
              <w:right w:val="single" w:sz="4" w:space="0" w:color="auto"/>
            </w:tcBorders>
            <w:shd w:val="clear" w:color="000000" w:fill="FF9900"/>
            <w:noWrap/>
            <w:vAlign w:val="bottom"/>
            <w:hideMark/>
          </w:tcPr>
          <w:p w14:paraId="65A67589"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425" w:type="dxa"/>
            <w:tcBorders>
              <w:top w:val="nil"/>
              <w:left w:val="nil"/>
              <w:bottom w:val="single" w:sz="4" w:space="0" w:color="auto"/>
              <w:right w:val="single" w:sz="4" w:space="0" w:color="auto"/>
            </w:tcBorders>
            <w:shd w:val="clear" w:color="000000" w:fill="FF9900"/>
            <w:noWrap/>
            <w:vAlign w:val="bottom"/>
            <w:hideMark/>
          </w:tcPr>
          <w:p w14:paraId="3DF7F198"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436" w:type="dxa"/>
            <w:tcBorders>
              <w:top w:val="nil"/>
              <w:left w:val="nil"/>
              <w:bottom w:val="single" w:sz="4" w:space="0" w:color="auto"/>
              <w:right w:val="single" w:sz="4" w:space="0" w:color="auto"/>
            </w:tcBorders>
            <w:shd w:val="clear" w:color="000000" w:fill="FF9900"/>
            <w:noWrap/>
            <w:vAlign w:val="bottom"/>
            <w:hideMark/>
          </w:tcPr>
          <w:p w14:paraId="6BFC327A"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415" w:type="dxa"/>
            <w:gridSpan w:val="2"/>
            <w:tcBorders>
              <w:top w:val="nil"/>
              <w:left w:val="nil"/>
              <w:bottom w:val="single" w:sz="4" w:space="0" w:color="auto"/>
              <w:right w:val="single" w:sz="4" w:space="0" w:color="auto"/>
            </w:tcBorders>
            <w:shd w:val="clear" w:color="000000" w:fill="66FFCC"/>
            <w:noWrap/>
            <w:vAlign w:val="bottom"/>
            <w:hideMark/>
          </w:tcPr>
          <w:p w14:paraId="45295F7E"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425" w:type="dxa"/>
            <w:tcBorders>
              <w:top w:val="nil"/>
              <w:left w:val="nil"/>
              <w:bottom w:val="single" w:sz="4" w:space="0" w:color="auto"/>
              <w:right w:val="single" w:sz="4" w:space="0" w:color="auto"/>
            </w:tcBorders>
            <w:shd w:val="clear" w:color="000000" w:fill="66FFCC"/>
            <w:noWrap/>
            <w:vAlign w:val="bottom"/>
            <w:hideMark/>
          </w:tcPr>
          <w:p w14:paraId="5F413146"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425" w:type="dxa"/>
            <w:tcBorders>
              <w:top w:val="nil"/>
              <w:left w:val="nil"/>
              <w:bottom w:val="single" w:sz="4" w:space="0" w:color="auto"/>
              <w:right w:val="single" w:sz="4" w:space="0" w:color="auto"/>
            </w:tcBorders>
            <w:shd w:val="clear" w:color="000000" w:fill="66FFCC"/>
            <w:noWrap/>
            <w:vAlign w:val="bottom"/>
            <w:hideMark/>
          </w:tcPr>
          <w:p w14:paraId="630C35BA"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426" w:type="dxa"/>
            <w:tcBorders>
              <w:top w:val="nil"/>
              <w:left w:val="nil"/>
              <w:bottom w:val="single" w:sz="4" w:space="0" w:color="auto"/>
              <w:right w:val="single" w:sz="4" w:space="0" w:color="auto"/>
            </w:tcBorders>
            <w:shd w:val="clear" w:color="000000" w:fill="66FFCC"/>
            <w:noWrap/>
            <w:vAlign w:val="bottom"/>
            <w:hideMark/>
          </w:tcPr>
          <w:p w14:paraId="6675FE9A"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436" w:type="dxa"/>
            <w:gridSpan w:val="2"/>
            <w:tcBorders>
              <w:top w:val="nil"/>
              <w:left w:val="nil"/>
              <w:bottom w:val="single" w:sz="4" w:space="0" w:color="auto"/>
              <w:right w:val="single" w:sz="4" w:space="0" w:color="auto"/>
            </w:tcBorders>
            <w:shd w:val="clear" w:color="000000" w:fill="FFFF00"/>
            <w:vAlign w:val="center"/>
            <w:hideMark/>
          </w:tcPr>
          <w:p w14:paraId="57B55893" w14:textId="77777777" w:rsidR="00A72067" w:rsidRPr="00A72067" w:rsidRDefault="00A72067" w:rsidP="00A72067">
            <w:pPr>
              <w:spacing w:after="0" w:line="240" w:lineRule="auto"/>
              <w:jc w:val="center"/>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556" w:type="dxa"/>
            <w:gridSpan w:val="2"/>
            <w:tcBorders>
              <w:top w:val="nil"/>
              <w:left w:val="nil"/>
              <w:bottom w:val="single" w:sz="4" w:space="0" w:color="auto"/>
              <w:right w:val="single" w:sz="4" w:space="0" w:color="auto"/>
            </w:tcBorders>
            <w:shd w:val="clear" w:color="000000" w:fill="FFFF99"/>
            <w:vAlign w:val="center"/>
            <w:hideMark/>
          </w:tcPr>
          <w:p w14:paraId="6313D831" w14:textId="77777777" w:rsidR="00A72067" w:rsidRPr="00A72067" w:rsidRDefault="00A72067" w:rsidP="00A72067">
            <w:pPr>
              <w:spacing w:after="0" w:line="240" w:lineRule="auto"/>
              <w:jc w:val="center"/>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1</w:t>
            </w:r>
          </w:p>
        </w:tc>
        <w:tc>
          <w:tcPr>
            <w:tcW w:w="665" w:type="dxa"/>
            <w:tcBorders>
              <w:top w:val="nil"/>
              <w:left w:val="nil"/>
              <w:bottom w:val="single" w:sz="4" w:space="0" w:color="auto"/>
              <w:right w:val="single" w:sz="4" w:space="0" w:color="auto"/>
            </w:tcBorders>
            <w:shd w:val="clear" w:color="000000" w:fill="FF9900"/>
            <w:vAlign w:val="center"/>
            <w:hideMark/>
          </w:tcPr>
          <w:p w14:paraId="0B59B302" w14:textId="77777777" w:rsidR="00A72067" w:rsidRPr="00A72067" w:rsidRDefault="00A72067" w:rsidP="00A72067">
            <w:pPr>
              <w:spacing w:after="0" w:line="240" w:lineRule="auto"/>
              <w:jc w:val="center"/>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632" w:type="dxa"/>
            <w:tcBorders>
              <w:top w:val="nil"/>
              <w:left w:val="nil"/>
              <w:bottom w:val="single" w:sz="4" w:space="0" w:color="auto"/>
              <w:right w:val="single" w:sz="4" w:space="0" w:color="auto"/>
            </w:tcBorders>
            <w:shd w:val="clear" w:color="000000" w:fill="CCFFFF"/>
            <w:vAlign w:val="bottom"/>
            <w:hideMark/>
          </w:tcPr>
          <w:p w14:paraId="0B351A16"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610" w:type="dxa"/>
            <w:tcBorders>
              <w:top w:val="nil"/>
              <w:left w:val="nil"/>
              <w:bottom w:val="single" w:sz="4" w:space="0" w:color="auto"/>
              <w:right w:val="single" w:sz="4" w:space="0" w:color="auto"/>
            </w:tcBorders>
            <w:shd w:val="clear" w:color="000000" w:fill="CCFFFF"/>
            <w:vAlign w:val="bottom"/>
            <w:hideMark/>
          </w:tcPr>
          <w:p w14:paraId="0F3686FA"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592" w:type="dxa"/>
            <w:tcBorders>
              <w:top w:val="nil"/>
              <w:left w:val="nil"/>
              <w:bottom w:val="single" w:sz="4" w:space="0" w:color="auto"/>
              <w:right w:val="single" w:sz="4" w:space="0" w:color="auto"/>
            </w:tcBorders>
            <w:shd w:val="clear" w:color="000000" w:fill="CCFFFF"/>
            <w:vAlign w:val="bottom"/>
            <w:hideMark/>
          </w:tcPr>
          <w:p w14:paraId="39E4D526"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698" w:type="dxa"/>
            <w:tcBorders>
              <w:top w:val="nil"/>
              <w:left w:val="nil"/>
              <w:bottom w:val="single" w:sz="4" w:space="0" w:color="auto"/>
              <w:right w:val="nil"/>
            </w:tcBorders>
            <w:shd w:val="clear" w:color="000000" w:fill="33CCCC"/>
            <w:noWrap/>
            <w:vAlign w:val="bottom"/>
            <w:hideMark/>
          </w:tcPr>
          <w:p w14:paraId="1AD1F2B7"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716" w:type="dxa"/>
            <w:gridSpan w:val="2"/>
            <w:tcBorders>
              <w:top w:val="nil"/>
              <w:left w:val="single" w:sz="4" w:space="0" w:color="auto"/>
              <w:bottom w:val="single" w:sz="4" w:space="0" w:color="auto"/>
              <w:right w:val="single" w:sz="8" w:space="0" w:color="auto"/>
            </w:tcBorders>
            <w:shd w:val="clear" w:color="000000" w:fill="33CCCC"/>
            <w:noWrap/>
            <w:vAlign w:val="bottom"/>
            <w:hideMark/>
          </w:tcPr>
          <w:p w14:paraId="03591D24"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236" w:type="dxa"/>
            <w:gridSpan w:val="2"/>
            <w:vAlign w:val="center"/>
            <w:hideMark/>
          </w:tcPr>
          <w:p w14:paraId="0CBFAC92" w14:textId="77777777" w:rsidR="00A72067" w:rsidRPr="00A72067" w:rsidRDefault="00A72067" w:rsidP="00A72067">
            <w:pPr>
              <w:spacing w:after="0" w:line="240" w:lineRule="auto"/>
              <w:rPr>
                <w:rFonts w:ascii="Times New Roman" w:eastAsia="Times New Roman" w:hAnsi="Times New Roman" w:cs="Times New Roman"/>
                <w:sz w:val="16"/>
                <w:szCs w:val="16"/>
                <w:lang w:eastAsia="hr-HR"/>
              </w:rPr>
            </w:pPr>
          </w:p>
        </w:tc>
      </w:tr>
      <w:tr w:rsidR="00A72067" w:rsidRPr="00A72067" w14:paraId="4320614A" w14:textId="77777777" w:rsidTr="00A72067">
        <w:trPr>
          <w:trHeight w:val="402"/>
        </w:trPr>
        <w:tc>
          <w:tcPr>
            <w:tcW w:w="1264" w:type="dxa"/>
            <w:tcBorders>
              <w:top w:val="nil"/>
              <w:left w:val="single" w:sz="8" w:space="0" w:color="auto"/>
              <w:bottom w:val="single" w:sz="4" w:space="0" w:color="auto"/>
              <w:right w:val="nil"/>
            </w:tcBorders>
            <w:shd w:val="clear" w:color="000000" w:fill="CCFFCC"/>
            <w:vAlign w:val="center"/>
            <w:hideMark/>
          </w:tcPr>
          <w:p w14:paraId="73F1094A" w14:textId="77777777" w:rsidR="00A72067" w:rsidRPr="00A72067" w:rsidRDefault="00A72067" w:rsidP="00A72067">
            <w:pPr>
              <w:spacing w:after="0" w:line="240" w:lineRule="auto"/>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Genetsko nasljeđe</w:t>
            </w:r>
          </w:p>
        </w:tc>
        <w:tc>
          <w:tcPr>
            <w:tcW w:w="460" w:type="dxa"/>
            <w:tcBorders>
              <w:top w:val="nil"/>
              <w:left w:val="single" w:sz="8" w:space="0" w:color="auto"/>
              <w:bottom w:val="single" w:sz="4" w:space="0" w:color="auto"/>
              <w:right w:val="single" w:sz="4" w:space="0" w:color="auto"/>
            </w:tcBorders>
            <w:shd w:val="clear" w:color="000000" w:fill="CCFFCC"/>
            <w:vAlign w:val="center"/>
            <w:hideMark/>
          </w:tcPr>
          <w:p w14:paraId="00FE612F" w14:textId="77777777" w:rsidR="00A72067" w:rsidRPr="00A72067" w:rsidRDefault="00A72067" w:rsidP="00A72067">
            <w:pPr>
              <w:spacing w:after="0" w:line="240" w:lineRule="auto"/>
              <w:jc w:val="center"/>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434" w:type="dxa"/>
            <w:tcBorders>
              <w:top w:val="nil"/>
              <w:left w:val="nil"/>
              <w:bottom w:val="single" w:sz="4" w:space="0" w:color="auto"/>
              <w:right w:val="single" w:sz="4" w:space="0" w:color="auto"/>
            </w:tcBorders>
            <w:shd w:val="clear" w:color="000000" w:fill="FFCC99"/>
            <w:noWrap/>
            <w:vAlign w:val="bottom"/>
            <w:hideMark/>
          </w:tcPr>
          <w:p w14:paraId="39E300F2" w14:textId="77777777" w:rsidR="00A72067" w:rsidRPr="00A72067" w:rsidRDefault="00A72067" w:rsidP="00A72067">
            <w:pPr>
              <w:spacing w:after="0" w:line="240" w:lineRule="auto"/>
              <w:jc w:val="center"/>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585" w:type="dxa"/>
            <w:tcBorders>
              <w:top w:val="nil"/>
              <w:left w:val="nil"/>
              <w:bottom w:val="single" w:sz="4" w:space="0" w:color="auto"/>
              <w:right w:val="single" w:sz="4" w:space="0" w:color="auto"/>
            </w:tcBorders>
            <w:shd w:val="clear" w:color="000000" w:fill="CCFFFF"/>
            <w:noWrap/>
            <w:vAlign w:val="bottom"/>
            <w:hideMark/>
          </w:tcPr>
          <w:p w14:paraId="54A81895"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652" w:type="dxa"/>
            <w:tcBorders>
              <w:top w:val="nil"/>
              <w:left w:val="nil"/>
              <w:bottom w:val="single" w:sz="4" w:space="0" w:color="auto"/>
              <w:right w:val="single" w:sz="4" w:space="0" w:color="auto"/>
            </w:tcBorders>
            <w:shd w:val="clear" w:color="000000" w:fill="CCFFFF"/>
            <w:noWrap/>
            <w:vAlign w:val="bottom"/>
            <w:hideMark/>
          </w:tcPr>
          <w:p w14:paraId="4FC3FB2C"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422" w:type="dxa"/>
            <w:tcBorders>
              <w:top w:val="nil"/>
              <w:left w:val="nil"/>
              <w:bottom w:val="single" w:sz="4" w:space="0" w:color="auto"/>
              <w:right w:val="single" w:sz="4" w:space="0" w:color="auto"/>
            </w:tcBorders>
            <w:shd w:val="clear" w:color="000000" w:fill="FFFF99"/>
            <w:noWrap/>
            <w:vAlign w:val="bottom"/>
            <w:hideMark/>
          </w:tcPr>
          <w:p w14:paraId="2C87A82B" w14:textId="77777777" w:rsidR="00A72067" w:rsidRPr="00A72067" w:rsidRDefault="00A72067" w:rsidP="00A72067">
            <w:pPr>
              <w:spacing w:after="0" w:line="240" w:lineRule="auto"/>
              <w:jc w:val="center"/>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424" w:type="dxa"/>
            <w:tcBorders>
              <w:top w:val="nil"/>
              <w:left w:val="nil"/>
              <w:bottom w:val="single" w:sz="4" w:space="0" w:color="auto"/>
              <w:right w:val="single" w:sz="4" w:space="0" w:color="auto"/>
            </w:tcBorders>
            <w:shd w:val="clear" w:color="000000" w:fill="FFFF99"/>
            <w:noWrap/>
            <w:vAlign w:val="bottom"/>
            <w:hideMark/>
          </w:tcPr>
          <w:p w14:paraId="6B4B43A6" w14:textId="77777777" w:rsidR="00A72067" w:rsidRPr="00A72067" w:rsidRDefault="00A72067" w:rsidP="00A72067">
            <w:pPr>
              <w:spacing w:after="0" w:line="240" w:lineRule="auto"/>
              <w:jc w:val="center"/>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698" w:type="dxa"/>
            <w:tcBorders>
              <w:top w:val="nil"/>
              <w:left w:val="nil"/>
              <w:bottom w:val="single" w:sz="4" w:space="0" w:color="auto"/>
              <w:right w:val="single" w:sz="4" w:space="0" w:color="auto"/>
            </w:tcBorders>
            <w:shd w:val="clear" w:color="000000" w:fill="FFFF99"/>
            <w:noWrap/>
            <w:vAlign w:val="bottom"/>
            <w:hideMark/>
          </w:tcPr>
          <w:p w14:paraId="416F22D4" w14:textId="77777777" w:rsidR="00A72067" w:rsidRPr="00A72067" w:rsidRDefault="00A72067" w:rsidP="00A72067">
            <w:pPr>
              <w:spacing w:after="0" w:line="240" w:lineRule="auto"/>
              <w:jc w:val="center"/>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438" w:type="dxa"/>
            <w:tcBorders>
              <w:top w:val="nil"/>
              <w:left w:val="nil"/>
              <w:bottom w:val="single" w:sz="4" w:space="0" w:color="auto"/>
              <w:right w:val="single" w:sz="4" w:space="0" w:color="auto"/>
            </w:tcBorders>
            <w:shd w:val="clear" w:color="000000" w:fill="FFFF99"/>
            <w:noWrap/>
            <w:vAlign w:val="bottom"/>
            <w:hideMark/>
          </w:tcPr>
          <w:p w14:paraId="5F97EBAA" w14:textId="77777777" w:rsidR="00A72067" w:rsidRPr="00A72067" w:rsidRDefault="00A72067" w:rsidP="00A72067">
            <w:pPr>
              <w:spacing w:after="0" w:line="240" w:lineRule="auto"/>
              <w:jc w:val="center"/>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577" w:type="dxa"/>
            <w:tcBorders>
              <w:top w:val="nil"/>
              <w:left w:val="nil"/>
              <w:bottom w:val="single" w:sz="4" w:space="0" w:color="auto"/>
              <w:right w:val="single" w:sz="4" w:space="0" w:color="auto"/>
            </w:tcBorders>
            <w:shd w:val="clear" w:color="000000" w:fill="FFFF99"/>
            <w:noWrap/>
            <w:vAlign w:val="bottom"/>
            <w:hideMark/>
          </w:tcPr>
          <w:p w14:paraId="6238D1FD" w14:textId="77777777" w:rsidR="00A72067" w:rsidRPr="00A72067" w:rsidRDefault="00A72067" w:rsidP="00A72067">
            <w:pPr>
              <w:spacing w:after="0" w:line="240" w:lineRule="auto"/>
              <w:jc w:val="center"/>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415" w:type="dxa"/>
            <w:gridSpan w:val="2"/>
            <w:tcBorders>
              <w:top w:val="nil"/>
              <w:left w:val="nil"/>
              <w:bottom w:val="single" w:sz="4" w:space="0" w:color="auto"/>
              <w:right w:val="single" w:sz="4" w:space="0" w:color="auto"/>
            </w:tcBorders>
            <w:shd w:val="clear" w:color="000000" w:fill="FF9900"/>
            <w:noWrap/>
            <w:vAlign w:val="bottom"/>
            <w:hideMark/>
          </w:tcPr>
          <w:p w14:paraId="38DCD311"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425" w:type="dxa"/>
            <w:tcBorders>
              <w:top w:val="nil"/>
              <w:left w:val="nil"/>
              <w:bottom w:val="single" w:sz="4" w:space="0" w:color="auto"/>
              <w:right w:val="single" w:sz="4" w:space="0" w:color="auto"/>
            </w:tcBorders>
            <w:shd w:val="clear" w:color="000000" w:fill="FF9900"/>
            <w:noWrap/>
            <w:vAlign w:val="bottom"/>
            <w:hideMark/>
          </w:tcPr>
          <w:p w14:paraId="0A9A0C32"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436" w:type="dxa"/>
            <w:tcBorders>
              <w:top w:val="nil"/>
              <w:left w:val="nil"/>
              <w:bottom w:val="single" w:sz="4" w:space="0" w:color="auto"/>
              <w:right w:val="single" w:sz="4" w:space="0" w:color="auto"/>
            </w:tcBorders>
            <w:shd w:val="clear" w:color="000000" w:fill="FF9900"/>
            <w:noWrap/>
            <w:vAlign w:val="bottom"/>
            <w:hideMark/>
          </w:tcPr>
          <w:p w14:paraId="52D2858C"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415" w:type="dxa"/>
            <w:gridSpan w:val="2"/>
            <w:tcBorders>
              <w:top w:val="nil"/>
              <w:left w:val="nil"/>
              <w:bottom w:val="single" w:sz="4" w:space="0" w:color="auto"/>
              <w:right w:val="single" w:sz="4" w:space="0" w:color="auto"/>
            </w:tcBorders>
            <w:shd w:val="clear" w:color="000000" w:fill="66FFCC"/>
            <w:noWrap/>
            <w:vAlign w:val="bottom"/>
            <w:hideMark/>
          </w:tcPr>
          <w:p w14:paraId="715A2C37"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425" w:type="dxa"/>
            <w:tcBorders>
              <w:top w:val="nil"/>
              <w:left w:val="nil"/>
              <w:bottom w:val="single" w:sz="4" w:space="0" w:color="auto"/>
              <w:right w:val="single" w:sz="4" w:space="0" w:color="auto"/>
            </w:tcBorders>
            <w:shd w:val="clear" w:color="000000" w:fill="66FFCC"/>
            <w:noWrap/>
            <w:vAlign w:val="bottom"/>
            <w:hideMark/>
          </w:tcPr>
          <w:p w14:paraId="2B5F2A73"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425" w:type="dxa"/>
            <w:tcBorders>
              <w:top w:val="nil"/>
              <w:left w:val="nil"/>
              <w:bottom w:val="single" w:sz="4" w:space="0" w:color="auto"/>
              <w:right w:val="single" w:sz="4" w:space="0" w:color="auto"/>
            </w:tcBorders>
            <w:shd w:val="clear" w:color="000000" w:fill="66FFCC"/>
            <w:noWrap/>
            <w:vAlign w:val="bottom"/>
            <w:hideMark/>
          </w:tcPr>
          <w:p w14:paraId="7CEC49FA"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426" w:type="dxa"/>
            <w:tcBorders>
              <w:top w:val="nil"/>
              <w:left w:val="nil"/>
              <w:bottom w:val="single" w:sz="4" w:space="0" w:color="auto"/>
              <w:right w:val="single" w:sz="4" w:space="0" w:color="auto"/>
            </w:tcBorders>
            <w:shd w:val="clear" w:color="000000" w:fill="66FFCC"/>
            <w:noWrap/>
            <w:vAlign w:val="bottom"/>
            <w:hideMark/>
          </w:tcPr>
          <w:p w14:paraId="0FDEF19C"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436" w:type="dxa"/>
            <w:gridSpan w:val="2"/>
            <w:tcBorders>
              <w:top w:val="nil"/>
              <w:left w:val="nil"/>
              <w:bottom w:val="single" w:sz="4" w:space="0" w:color="auto"/>
              <w:right w:val="single" w:sz="4" w:space="0" w:color="auto"/>
            </w:tcBorders>
            <w:shd w:val="clear" w:color="000000" w:fill="FFFF00"/>
            <w:vAlign w:val="center"/>
            <w:hideMark/>
          </w:tcPr>
          <w:p w14:paraId="76E7B5D3" w14:textId="77777777" w:rsidR="00A72067" w:rsidRPr="00A72067" w:rsidRDefault="00A72067" w:rsidP="00A72067">
            <w:pPr>
              <w:spacing w:after="0" w:line="240" w:lineRule="auto"/>
              <w:jc w:val="center"/>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556" w:type="dxa"/>
            <w:gridSpan w:val="2"/>
            <w:tcBorders>
              <w:top w:val="nil"/>
              <w:left w:val="nil"/>
              <w:bottom w:val="single" w:sz="4" w:space="0" w:color="auto"/>
              <w:right w:val="single" w:sz="4" w:space="0" w:color="auto"/>
            </w:tcBorders>
            <w:shd w:val="clear" w:color="000000" w:fill="FFFF99"/>
            <w:vAlign w:val="center"/>
            <w:hideMark/>
          </w:tcPr>
          <w:p w14:paraId="32375CC9" w14:textId="77777777" w:rsidR="00A72067" w:rsidRPr="00A72067" w:rsidRDefault="00A72067" w:rsidP="00A72067">
            <w:pPr>
              <w:spacing w:after="0" w:line="240" w:lineRule="auto"/>
              <w:jc w:val="center"/>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665" w:type="dxa"/>
            <w:tcBorders>
              <w:top w:val="nil"/>
              <w:left w:val="nil"/>
              <w:bottom w:val="single" w:sz="4" w:space="0" w:color="auto"/>
              <w:right w:val="single" w:sz="4" w:space="0" w:color="auto"/>
            </w:tcBorders>
            <w:shd w:val="clear" w:color="000000" w:fill="FF9900"/>
            <w:vAlign w:val="center"/>
            <w:hideMark/>
          </w:tcPr>
          <w:p w14:paraId="10EF4BB0" w14:textId="77777777" w:rsidR="00A72067" w:rsidRPr="00A72067" w:rsidRDefault="00A72067" w:rsidP="00A72067">
            <w:pPr>
              <w:spacing w:after="0" w:line="240" w:lineRule="auto"/>
              <w:jc w:val="center"/>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632" w:type="dxa"/>
            <w:tcBorders>
              <w:top w:val="nil"/>
              <w:left w:val="nil"/>
              <w:bottom w:val="single" w:sz="4" w:space="0" w:color="auto"/>
              <w:right w:val="single" w:sz="4" w:space="0" w:color="auto"/>
            </w:tcBorders>
            <w:shd w:val="clear" w:color="000000" w:fill="CCFFFF"/>
            <w:vAlign w:val="bottom"/>
            <w:hideMark/>
          </w:tcPr>
          <w:p w14:paraId="4737490C"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610" w:type="dxa"/>
            <w:tcBorders>
              <w:top w:val="nil"/>
              <w:left w:val="nil"/>
              <w:bottom w:val="single" w:sz="4" w:space="0" w:color="auto"/>
              <w:right w:val="single" w:sz="4" w:space="0" w:color="auto"/>
            </w:tcBorders>
            <w:shd w:val="clear" w:color="000000" w:fill="CCFFFF"/>
            <w:vAlign w:val="bottom"/>
            <w:hideMark/>
          </w:tcPr>
          <w:p w14:paraId="2EFA2E59"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592" w:type="dxa"/>
            <w:tcBorders>
              <w:top w:val="nil"/>
              <w:left w:val="nil"/>
              <w:bottom w:val="single" w:sz="4" w:space="0" w:color="auto"/>
              <w:right w:val="single" w:sz="4" w:space="0" w:color="auto"/>
            </w:tcBorders>
            <w:shd w:val="clear" w:color="000000" w:fill="CCFFFF"/>
            <w:vAlign w:val="bottom"/>
            <w:hideMark/>
          </w:tcPr>
          <w:p w14:paraId="4ED0CFC4"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698" w:type="dxa"/>
            <w:tcBorders>
              <w:top w:val="nil"/>
              <w:left w:val="nil"/>
              <w:bottom w:val="single" w:sz="4" w:space="0" w:color="auto"/>
              <w:right w:val="nil"/>
            </w:tcBorders>
            <w:shd w:val="clear" w:color="000000" w:fill="33CCCC"/>
            <w:noWrap/>
            <w:vAlign w:val="bottom"/>
            <w:hideMark/>
          </w:tcPr>
          <w:p w14:paraId="3BBF7E53"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716" w:type="dxa"/>
            <w:gridSpan w:val="2"/>
            <w:tcBorders>
              <w:top w:val="nil"/>
              <w:left w:val="single" w:sz="4" w:space="0" w:color="auto"/>
              <w:bottom w:val="single" w:sz="4" w:space="0" w:color="auto"/>
              <w:right w:val="single" w:sz="8" w:space="0" w:color="auto"/>
            </w:tcBorders>
            <w:shd w:val="clear" w:color="000000" w:fill="33CCCC"/>
            <w:noWrap/>
            <w:vAlign w:val="bottom"/>
            <w:hideMark/>
          </w:tcPr>
          <w:p w14:paraId="3C5E141D"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236" w:type="dxa"/>
            <w:gridSpan w:val="2"/>
            <w:vAlign w:val="center"/>
            <w:hideMark/>
          </w:tcPr>
          <w:p w14:paraId="00366DD6" w14:textId="77777777" w:rsidR="00A72067" w:rsidRPr="00A72067" w:rsidRDefault="00A72067" w:rsidP="00A72067">
            <w:pPr>
              <w:spacing w:after="0" w:line="240" w:lineRule="auto"/>
              <w:rPr>
                <w:rFonts w:ascii="Times New Roman" w:eastAsia="Times New Roman" w:hAnsi="Times New Roman" w:cs="Times New Roman"/>
                <w:sz w:val="16"/>
                <w:szCs w:val="16"/>
                <w:lang w:eastAsia="hr-HR"/>
              </w:rPr>
            </w:pPr>
          </w:p>
        </w:tc>
      </w:tr>
      <w:tr w:rsidR="00A72067" w:rsidRPr="00A72067" w14:paraId="71DEB0BC" w14:textId="77777777" w:rsidTr="00A72067">
        <w:trPr>
          <w:trHeight w:val="402"/>
        </w:trPr>
        <w:tc>
          <w:tcPr>
            <w:tcW w:w="1264" w:type="dxa"/>
            <w:tcBorders>
              <w:top w:val="nil"/>
              <w:left w:val="single" w:sz="8" w:space="0" w:color="auto"/>
              <w:bottom w:val="single" w:sz="4" w:space="0" w:color="auto"/>
              <w:right w:val="nil"/>
            </w:tcBorders>
            <w:shd w:val="clear" w:color="000000" w:fill="CCFFCC"/>
            <w:vAlign w:val="center"/>
            <w:hideMark/>
          </w:tcPr>
          <w:p w14:paraId="4C4136B7" w14:textId="77777777" w:rsidR="00A72067" w:rsidRPr="00A72067" w:rsidRDefault="00A72067" w:rsidP="00A72067">
            <w:pPr>
              <w:spacing w:after="0" w:line="240" w:lineRule="auto"/>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Rodni identitet   rodno izražavanje</w:t>
            </w:r>
          </w:p>
        </w:tc>
        <w:tc>
          <w:tcPr>
            <w:tcW w:w="460" w:type="dxa"/>
            <w:tcBorders>
              <w:top w:val="nil"/>
              <w:left w:val="single" w:sz="8" w:space="0" w:color="auto"/>
              <w:bottom w:val="single" w:sz="4" w:space="0" w:color="auto"/>
              <w:right w:val="single" w:sz="4" w:space="0" w:color="auto"/>
            </w:tcBorders>
            <w:shd w:val="clear" w:color="000000" w:fill="CCFFCC"/>
            <w:vAlign w:val="center"/>
            <w:hideMark/>
          </w:tcPr>
          <w:p w14:paraId="7CDCE2BE" w14:textId="77777777" w:rsidR="00A72067" w:rsidRPr="00A72067" w:rsidRDefault="00A72067" w:rsidP="00A72067">
            <w:pPr>
              <w:spacing w:after="0" w:line="240" w:lineRule="auto"/>
              <w:jc w:val="center"/>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434" w:type="dxa"/>
            <w:tcBorders>
              <w:top w:val="nil"/>
              <w:left w:val="nil"/>
              <w:bottom w:val="single" w:sz="4" w:space="0" w:color="auto"/>
              <w:right w:val="single" w:sz="4" w:space="0" w:color="auto"/>
            </w:tcBorders>
            <w:shd w:val="clear" w:color="000000" w:fill="FFCC99"/>
            <w:noWrap/>
            <w:vAlign w:val="bottom"/>
            <w:hideMark/>
          </w:tcPr>
          <w:p w14:paraId="40F3922D" w14:textId="77777777" w:rsidR="00A72067" w:rsidRPr="00A72067" w:rsidRDefault="00A72067" w:rsidP="00A72067">
            <w:pPr>
              <w:spacing w:after="0" w:line="240" w:lineRule="auto"/>
              <w:jc w:val="center"/>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2</w:t>
            </w:r>
          </w:p>
        </w:tc>
        <w:tc>
          <w:tcPr>
            <w:tcW w:w="585" w:type="dxa"/>
            <w:tcBorders>
              <w:top w:val="nil"/>
              <w:left w:val="nil"/>
              <w:bottom w:val="single" w:sz="4" w:space="0" w:color="auto"/>
              <w:right w:val="single" w:sz="4" w:space="0" w:color="auto"/>
            </w:tcBorders>
            <w:shd w:val="clear" w:color="000000" w:fill="CCFFFF"/>
            <w:noWrap/>
            <w:vAlign w:val="bottom"/>
            <w:hideMark/>
          </w:tcPr>
          <w:p w14:paraId="5B3BABA0"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652" w:type="dxa"/>
            <w:tcBorders>
              <w:top w:val="nil"/>
              <w:left w:val="nil"/>
              <w:bottom w:val="single" w:sz="4" w:space="0" w:color="auto"/>
              <w:right w:val="single" w:sz="4" w:space="0" w:color="auto"/>
            </w:tcBorders>
            <w:shd w:val="clear" w:color="000000" w:fill="CCFFFF"/>
            <w:noWrap/>
            <w:vAlign w:val="bottom"/>
            <w:hideMark/>
          </w:tcPr>
          <w:p w14:paraId="1B340CD1"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2</w:t>
            </w:r>
          </w:p>
        </w:tc>
        <w:tc>
          <w:tcPr>
            <w:tcW w:w="422" w:type="dxa"/>
            <w:tcBorders>
              <w:top w:val="nil"/>
              <w:left w:val="nil"/>
              <w:bottom w:val="single" w:sz="4" w:space="0" w:color="auto"/>
              <w:right w:val="single" w:sz="4" w:space="0" w:color="auto"/>
            </w:tcBorders>
            <w:shd w:val="clear" w:color="000000" w:fill="FFFF99"/>
            <w:noWrap/>
            <w:vAlign w:val="bottom"/>
            <w:hideMark/>
          </w:tcPr>
          <w:p w14:paraId="36DC72C9" w14:textId="77777777" w:rsidR="00A72067" w:rsidRPr="00A72067" w:rsidRDefault="00A72067" w:rsidP="00A72067">
            <w:pPr>
              <w:spacing w:after="0" w:line="240" w:lineRule="auto"/>
              <w:jc w:val="center"/>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2</w:t>
            </w:r>
          </w:p>
        </w:tc>
        <w:tc>
          <w:tcPr>
            <w:tcW w:w="424" w:type="dxa"/>
            <w:tcBorders>
              <w:top w:val="nil"/>
              <w:left w:val="nil"/>
              <w:bottom w:val="single" w:sz="4" w:space="0" w:color="auto"/>
              <w:right w:val="single" w:sz="4" w:space="0" w:color="auto"/>
            </w:tcBorders>
            <w:shd w:val="clear" w:color="000000" w:fill="FFFF99"/>
            <w:noWrap/>
            <w:vAlign w:val="bottom"/>
            <w:hideMark/>
          </w:tcPr>
          <w:p w14:paraId="422C6016" w14:textId="77777777" w:rsidR="00A72067" w:rsidRPr="00A72067" w:rsidRDefault="00A72067" w:rsidP="00A72067">
            <w:pPr>
              <w:spacing w:after="0" w:line="240" w:lineRule="auto"/>
              <w:jc w:val="center"/>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698" w:type="dxa"/>
            <w:tcBorders>
              <w:top w:val="nil"/>
              <w:left w:val="nil"/>
              <w:bottom w:val="single" w:sz="4" w:space="0" w:color="auto"/>
              <w:right w:val="single" w:sz="4" w:space="0" w:color="auto"/>
            </w:tcBorders>
            <w:shd w:val="clear" w:color="000000" w:fill="FFFF99"/>
            <w:noWrap/>
            <w:vAlign w:val="bottom"/>
            <w:hideMark/>
          </w:tcPr>
          <w:p w14:paraId="3B6F0861" w14:textId="77777777" w:rsidR="00A72067" w:rsidRPr="00A72067" w:rsidRDefault="00A72067" w:rsidP="00A72067">
            <w:pPr>
              <w:spacing w:after="0" w:line="240" w:lineRule="auto"/>
              <w:jc w:val="center"/>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438" w:type="dxa"/>
            <w:tcBorders>
              <w:top w:val="nil"/>
              <w:left w:val="nil"/>
              <w:bottom w:val="single" w:sz="4" w:space="0" w:color="auto"/>
              <w:right w:val="single" w:sz="4" w:space="0" w:color="auto"/>
            </w:tcBorders>
            <w:shd w:val="clear" w:color="000000" w:fill="FFFF99"/>
            <w:noWrap/>
            <w:vAlign w:val="bottom"/>
            <w:hideMark/>
          </w:tcPr>
          <w:p w14:paraId="2DA149A8" w14:textId="77777777" w:rsidR="00A72067" w:rsidRPr="00A72067" w:rsidRDefault="00A72067" w:rsidP="00A72067">
            <w:pPr>
              <w:spacing w:after="0" w:line="240" w:lineRule="auto"/>
              <w:jc w:val="center"/>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577" w:type="dxa"/>
            <w:tcBorders>
              <w:top w:val="nil"/>
              <w:left w:val="nil"/>
              <w:bottom w:val="single" w:sz="4" w:space="0" w:color="auto"/>
              <w:right w:val="single" w:sz="4" w:space="0" w:color="auto"/>
            </w:tcBorders>
            <w:shd w:val="clear" w:color="000000" w:fill="FFFF99"/>
            <w:noWrap/>
            <w:vAlign w:val="bottom"/>
            <w:hideMark/>
          </w:tcPr>
          <w:p w14:paraId="1F937266" w14:textId="77777777" w:rsidR="00A72067" w:rsidRPr="00A72067" w:rsidRDefault="00A72067" w:rsidP="00A72067">
            <w:pPr>
              <w:spacing w:after="0" w:line="240" w:lineRule="auto"/>
              <w:jc w:val="center"/>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415" w:type="dxa"/>
            <w:gridSpan w:val="2"/>
            <w:tcBorders>
              <w:top w:val="nil"/>
              <w:left w:val="nil"/>
              <w:bottom w:val="single" w:sz="4" w:space="0" w:color="auto"/>
              <w:right w:val="single" w:sz="4" w:space="0" w:color="auto"/>
            </w:tcBorders>
            <w:shd w:val="clear" w:color="000000" w:fill="FF9900"/>
            <w:noWrap/>
            <w:vAlign w:val="bottom"/>
            <w:hideMark/>
          </w:tcPr>
          <w:p w14:paraId="769867A7"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425" w:type="dxa"/>
            <w:tcBorders>
              <w:top w:val="nil"/>
              <w:left w:val="nil"/>
              <w:bottom w:val="single" w:sz="4" w:space="0" w:color="auto"/>
              <w:right w:val="single" w:sz="4" w:space="0" w:color="auto"/>
            </w:tcBorders>
            <w:shd w:val="clear" w:color="000000" w:fill="FF9900"/>
            <w:noWrap/>
            <w:vAlign w:val="bottom"/>
            <w:hideMark/>
          </w:tcPr>
          <w:p w14:paraId="4FCD5F23"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436" w:type="dxa"/>
            <w:tcBorders>
              <w:top w:val="nil"/>
              <w:left w:val="nil"/>
              <w:bottom w:val="single" w:sz="4" w:space="0" w:color="auto"/>
              <w:right w:val="single" w:sz="4" w:space="0" w:color="auto"/>
            </w:tcBorders>
            <w:shd w:val="clear" w:color="000000" w:fill="FF9900"/>
            <w:noWrap/>
            <w:vAlign w:val="bottom"/>
            <w:hideMark/>
          </w:tcPr>
          <w:p w14:paraId="14C7AA18"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415" w:type="dxa"/>
            <w:gridSpan w:val="2"/>
            <w:tcBorders>
              <w:top w:val="nil"/>
              <w:left w:val="nil"/>
              <w:bottom w:val="single" w:sz="4" w:space="0" w:color="auto"/>
              <w:right w:val="single" w:sz="4" w:space="0" w:color="auto"/>
            </w:tcBorders>
            <w:shd w:val="clear" w:color="000000" w:fill="66FFCC"/>
            <w:noWrap/>
            <w:vAlign w:val="bottom"/>
            <w:hideMark/>
          </w:tcPr>
          <w:p w14:paraId="4AD50F2B"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425" w:type="dxa"/>
            <w:tcBorders>
              <w:top w:val="nil"/>
              <w:left w:val="nil"/>
              <w:bottom w:val="single" w:sz="4" w:space="0" w:color="auto"/>
              <w:right w:val="single" w:sz="4" w:space="0" w:color="auto"/>
            </w:tcBorders>
            <w:shd w:val="clear" w:color="000000" w:fill="66FFCC"/>
            <w:noWrap/>
            <w:vAlign w:val="bottom"/>
            <w:hideMark/>
          </w:tcPr>
          <w:p w14:paraId="6AB3C427"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425" w:type="dxa"/>
            <w:tcBorders>
              <w:top w:val="nil"/>
              <w:left w:val="nil"/>
              <w:bottom w:val="single" w:sz="4" w:space="0" w:color="auto"/>
              <w:right w:val="single" w:sz="4" w:space="0" w:color="auto"/>
            </w:tcBorders>
            <w:shd w:val="clear" w:color="000000" w:fill="66FFCC"/>
            <w:noWrap/>
            <w:vAlign w:val="bottom"/>
            <w:hideMark/>
          </w:tcPr>
          <w:p w14:paraId="0D78FCB7"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426" w:type="dxa"/>
            <w:tcBorders>
              <w:top w:val="nil"/>
              <w:left w:val="nil"/>
              <w:bottom w:val="single" w:sz="4" w:space="0" w:color="auto"/>
              <w:right w:val="single" w:sz="4" w:space="0" w:color="auto"/>
            </w:tcBorders>
            <w:shd w:val="clear" w:color="000000" w:fill="66FFCC"/>
            <w:noWrap/>
            <w:vAlign w:val="bottom"/>
            <w:hideMark/>
          </w:tcPr>
          <w:p w14:paraId="7583A536"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436" w:type="dxa"/>
            <w:gridSpan w:val="2"/>
            <w:tcBorders>
              <w:top w:val="nil"/>
              <w:left w:val="nil"/>
              <w:bottom w:val="single" w:sz="4" w:space="0" w:color="auto"/>
              <w:right w:val="single" w:sz="4" w:space="0" w:color="auto"/>
            </w:tcBorders>
            <w:shd w:val="clear" w:color="000000" w:fill="FFFF00"/>
            <w:vAlign w:val="center"/>
            <w:hideMark/>
          </w:tcPr>
          <w:p w14:paraId="5665F350" w14:textId="77777777" w:rsidR="00A72067" w:rsidRPr="00A72067" w:rsidRDefault="00A72067" w:rsidP="00A72067">
            <w:pPr>
              <w:spacing w:after="0" w:line="240" w:lineRule="auto"/>
              <w:jc w:val="center"/>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556" w:type="dxa"/>
            <w:gridSpan w:val="2"/>
            <w:tcBorders>
              <w:top w:val="nil"/>
              <w:left w:val="nil"/>
              <w:bottom w:val="single" w:sz="4" w:space="0" w:color="auto"/>
              <w:right w:val="single" w:sz="4" w:space="0" w:color="auto"/>
            </w:tcBorders>
            <w:shd w:val="clear" w:color="000000" w:fill="FFFF99"/>
            <w:vAlign w:val="center"/>
            <w:hideMark/>
          </w:tcPr>
          <w:p w14:paraId="20343714" w14:textId="77777777" w:rsidR="00A72067" w:rsidRPr="00A72067" w:rsidRDefault="00A72067" w:rsidP="00A72067">
            <w:pPr>
              <w:spacing w:after="0" w:line="240" w:lineRule="auto"/>
              <w:jc w:val="center"/>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2</w:t>
            </w:r>
          </w:p>
        </w:tc>
        <w:tc>
          <w:tcPr>
            <w:tcW w:w="665" w:type="dxa"/>
            <w:tcBorders>
              <w:top w:val="nil"/>
              <w:left w:val="nil"/>
              <w:bottom w:val="single" w:sz="4" w:space="0" w:color="auto"/>
              <w:right w:val="single" w:sz="4" w:space="0" w:color="auto"/>
            </w:tcBorders>
            <w:shd w:val="clear" w:color="000000" w:fill="FF9900"/>
            <w:vAlign w:val="center"/>
            <w:hideMark/>
          </w:tcPr>
          <w:p w14:paraId="0E31CD24" w14:textId="77777777" w:rsidR="00A72067" w:rsidRPr="00A72067" w:rsidRDefault="00A72067" w:rsidP="00A72067">
            <w:pPr>
              <w:spacing w:after="0" w:line="240" w:lineRule="auto"/>
              <w:jc w:val="center"/>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632" w:type="dxa"/>
            <w:tcBorders>
              <w:top w:val="nil"/>
              <w:left w:val="nil"/>
              <w:bottom w:val="single" w:sz="4" w:space="0" w:color="auto"/>
              <w:right w:val="single" w:sz="4" w:space="0" w:color="auto"/>
            </w:tcBorders>
            <w:shd w:val="clear" w:color="000000" w:fill="CCFFFF"/>
            <w:vAlign w:val="bottom"/>
            <w:hideMark/>
          </w:tcPr>
          <w:p w14:paraId="27978D82"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610" w:type="dxa"/>
            <w:tcBorders>
              <w:top w:val="nil"/>
              <w:left w:val="nil"/>
              <w:bottom w:val="single" w:sz="4" w:space="0" w:color="auto"/>
              <w:right w:val="single" w:sz="4" w:space="0" w:color="auto"/>
            </w:tcBorders>
            <w:shd w:val="clear" w:color="000000" w:fill="CCFFFF"/>
            <w:vAlign w:val="bottom"/>
            <w:hideMark/>
          </w:tcPr>
          <w:p w14:paraId="7C1C8D3D"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592" w:type="dxa"/>
            <w:tcBorders>
              <w:top w:val="nil"/>
              <w:left w:val="nil"/>
              <w:bottom w:val="single" w:sz="4" w:space="0" w:color="auto"/>
              <w:right w:val="single" w:sz="4" w:space="0" w:color="auto"/>
            </w:tcBorders>
            <w:shd w:val="clear" w:color="000000" w:fill="CCFFFF"/>
            <w:vAlign w:val="bottom"/>
            <w:hideMark/>
          </w:tcPr>
          <w:p w14:paraId="6E635545"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698" w:type="dxa"/>
            <w:tcBorders>
              <w:top w:val="nil"/>
              <w:left w:val="nil"/>
              <w:bottom w:val="single" w:sz="4" w:space="0" w:color="auto"/>
              <w:right w:val="nil"/>
            </w:tcBorders>
            <w:shd w:val="clear" w:color="000000" w:fill="33CCCC"/>
            <w:noWrap/>
            <w:vAlign w:val="bottom"/>
            <w:hideMark/>
          </w:tcPr>
          <w:p w14:paraId="73CB187F"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716" w:type="dxa"/>
            <w:gridSpan w:val="2"/>
            <w:tcBorders>
              <w:top w:val="nil"/>
              <w:left w:val="single" w:sz="4" w:space="0" w:color="auto"/>
              <w:bottom w:val="single" w:sz="4" w:space="0" w:color="auto"/>
              <w:right w:val="single" w:sz="8" w:space="0" w:color="auto"/>
            </w:tcBorders>
            <w:shd w:val="clear" w:color="000000" w:fill="33CCCC"/>
            <w:noWrap/>
            <w:vAlign w:val="bottom"/>
            <w:hideMark/>
          </w:tcPr>
          <w:p w14:paraId="5177B7A6"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236" w:type="dxa"/>
            <w:gridSpan w:val="2"/>
            <w:vAlign w:val="center"/>
            <w:hideMark/>
          </w:tcPr>
          <w:p w14:paraId="78CD2A5A" w14:textId="77777777" w:rsidR="00A72067" w:rsidRPr="00A72067" w:rsidRDefault="00A72067" w:rsidP="00A72067">
            <w:pPr>
              <w:spacing w:after="0" w:line="240" w:lineRule="auto"/>
              <w:rPr>
                <w:rFonts w:ascii="Times New Roman" w:eastAsia="Times New Roman" w:hAnsi="Times New Roman" w:cs="Times New Roman"/>
                <w:sz w:val="16"/>
                <w:szCs w:val="16"/>
                <w:lang w:eastAsia="hr-HR"/>
              </w:rPr>
            </w:pPr>
          </w:p>
        </w:tc>
      </w:tr>
      <w:tr w:rsidR="00A72067" w:rsidRPr="00A72067" w14:paraId="38D55372" w14:textId="77777777" w:rsidTr="00A72067">
        <w:trPr>
          <w:trHeight w:val="402"/>
        </w:trPr>
        <w:tc>
          <w:tcPr>
            <w:tcW w:w="1264" w:type="dxa"/>
            <w:tcBorders>
              <w:top w:val="nil"/>
              <w:left w:val="single" w:sz="8" w:space="0" w:color="auto"/>
              <w:bottom w:val="single" w:sz="4" w:space="0" w:color="auto"/>
              <w:right w:val="nil"/>
            </w:tcBorders>
            <w:shd w:val="clear" w:color="000000" w:fill="CCFFCC"/>
            <w:hideMark/>
          </w:tcPr>
          <w:p w14:paraId="072F07D3" w14:textId="77777777" w:rsidR="00A72067" w:rsidRPr="00A72067" w:rsidRDefault="00A72067" w:rsidP="00A72067">
            <w:pPr>
              <w:spacing w:after="0" w:line="240" w:lineRule="auto"/>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 xml:space="preserve">Ostale osnove (upisati):     </w:t>
            </w:r>
          </w:p>
        </w:tc>
        <w:tc>
          <w:tcPr>
            <w:tcW w:w="460" w:type="dxa"/>
            <w:tcBorders>
              <w:top w:val="nil"/>
              <w:left w:val="single" w:sz="8" w:space="0" w:color="auto"/>
              <w:bottom w:val="single" w:sz="4" w:space="0" w:color="auto"/>
              <w:right w:val="single" w:sz="4" w:space="0" w:color="auto"/>
            </w:tcBorders>
            <w:shd w:val="clear" w:color="000000" w:fill="CCFFCC"/>
            <w:vAlign w:val="center"/>
            <w:hideMark/>
          </w:tcPr>
          <w:p w14:paraId="324BCFF1" w14:textId="77777777" w:rsidR="00A72067" w:rsidRPr="00A72067" w:rsidRDefault="00A72067" w:rsidP="00A72067">
            <w:pPr>
              <w:spacing w:after="0" w:line="240" w:lineRule="auto"/>
              <w:jc w:val="center"/>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10</w:t>
            </w:r>
          </w:p>
        </w:tc>
        <w:tc>
          <w:tcPr>
            <w:tcW w:w="434" w:type="dxa"/>
            <w:tcBorders>
              <w:top w:val="nil"/>
              <w:left w:val="nil"/>
              <w:bottom w:val="single" w:sz="4" w:space="0" w:color="auto"/>
              <w:right w:val="single" w:sz="4" w:space="0" w:color="auto"/>
            </w:tcBorders>
            <w:shd w:val="clear" w:color="000000" w:fill="FFCC99"/>
            <w:noWrap/>
            <w:vAlign w:val="bottom"/>
            <w:hideMark/>
          </w:tcPr>
          <w:p w14:paraId="2175236C" w14:textId="77777777" w:rsidR="00A72067" w:rsidRPr="00A72067" w:rsidRDefault="00A72067" w:rsidP="00A72067">
            <w:pPr>
              <w:spacing w:after="0" w:line="240" w:lineRule="auto"/>
              <w:jc w:val="center"/>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13</w:t>
            </w:r>
          </w:p>
        </w:tc>
        <w:tc>
          <w:tcPr>
            <w:tcW w:w="585" w:type="dxa"/>
            <w:tcBorders>
              <w:top w:val="nil"/>
              <w:left w:val="nil"/>
              <w:bottom w:val="single" w:sz="4" w:space="0" w:color="auto"/>
              <w:right w:val="single" w:sz="4" w:space="0" w:color="auto"/>
            </w:tcBorders>
            <w:shd w:val="clear" w:color="000000" w:fill="CCFFFF"/>
            <w:noWrap/>
            <w:vAlign w:val="bottom"/>
            <w:hideMark/>
          </w:tcPr>
          <w:p w14:paraId="25DCBC07"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2</w:t>
            </w:r>
          </w:p>
        </w:tc>
        <w:tc>
          <w:tcPr>
            <w:tcW w:w="652" w:type="dxa"/>
            <w:tcBorders>
              <w:top w:val="nil"/>
              <w:left w:val="nil"/>
              <w:bottom w:val="single" w:sz="4" w:space="0" w:color="auto"/>
              <w:right w:val="single" w:sz="4" w:space="0" w:color="auto"/>
            </w:tcBorders>
            <w:shd w:val="clear" w:color="000000" w:fill="CCFFFF"/>
            <w:noWrap/>
            <w:vAlign w:val="bottom"/>
            <w:hideMark/>
          </w:tcPr>
          <w:p w14:paraId="2026318F"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3</w:t>
            </w:r>
          </w:p>
        </w:tc>
        <w:tc>
          <w:tcPr>
            <w:tcW w:w="422" w:type="dxa"/>
            <w:tcBorders>
              <w:top w:val="nil"/>
              <w:left w:val="nil"/>
              <w:bottom w:val="single" w:sz="4" w:space="0" w:color="auto"/>
              <w:right w:val="single" w:sz="4" w:space="0" w:color="auto"/>
            </w:tcBorders>
            <w:shd w:val="clear" w:color="000000" w:fill="FFFF99"/>
            <w:noWrap/>
            <w:vAlign w:val="bottom"/>
            <w:hideMark/>
          </w:tcPr>
          <w:p w14:paraId="74480CB1" w14:textId="77777777" w:rsidR="00A72067" w:rsidRPr="00A72067" w:rsidRDefault="00A72067" w:rsidP="00A72067">
            <w:pPr>
              <w:spacing w:after="0" w:line="240" w:lineRule="auto"/>
              <w:jc w:val="center"/>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8</w:t>
            </w:r>
          </w:p>
        </w:tc>
        <w:tc>
          <w:tcPr>
            <w:tcW w:w="424" w:type="dxa"/>
            <w:tcBorders>
              <w:top w:val="nil"/>
              <w:left w:val="nil"/>
              <w:bottom w:val="single" w:sz="4" w:space="0" w:color="auto"/>
              <w:right w:val="single" w:sz="4" w:space="0" w:color="auto"/>
            </w:tcBorders>
            <w:shd w:val="clear" w:color="000000" w:fill="FFFF99"/>
            <w:noWrap/>
            <w:vAlign w:val="bottom"/>
            <w:hideMark/>
          </w:tcPr>
          <w:p w14:paraId="0B1BE907" w14:textId="77777777" w:rsidR="00A72067" w:rsidRPr="00A72067" w:rsidRDefault="00A72067" w:rsidP="00A72067">
            <w:pPr>
              <w:spacing w:after="0" w:line="240" w:lineRule="auto"/>
              <w:jc w:val="center"/>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1</w:t>
            </w:r>
          </w:p>
        </w:tc>
        <w:tc>
          <w:tcPr>
            <w:tcW w:w="698" w:type="dxa"/>
            <w:tcBorders>
              <w:top w:val="nil"/>
              <w:left w:val="nil"/>
              <w:bottom w:val="single" w:sz="4" w:space="0" w:color="auto"/>
              <w:right w:val="single" w:sz="4" w:space="0" w:color="auto"/>
            </w:tcBorders>
            <w:shd w:val="clear" w:color="000000" w:fill="FFFF99"/>
            <w:noWrap/>
            <w:vAlign w:val="bottom"/>
            <w:hideMark/>
          </w:tcPr>
          <w:p w14:paraId="48C7556F" w14:textId="77777777" w:rsidR="00A72067" w:rsidRPr="00A72067" w:rsidRDefault="00A72067" w:rsidP="00A72067">
            <w:pPr>
              <w:spacing w:after="0" w:line="240" w:lineRule="auto"/>
              <w:jc w:val="center"/>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438" w:type="dxa"/>
            <w:tcBorders>
              <w:top w:val="nil"/>
              <w:left w:val="nil"/>
              <w:bottom w:val="single" w:sz="4" w:space="0" w:color="auto"/>
              <w:right w:val="single" w:sz="4" w:space="0" w:color="auto"/>
            </w:tcBorders>
            <w:shd w:val="clear" w:color="000000" w:fill="FFFF99"/>
            <w:noWrap/>
            <w:vAlign w:val="bottom"/>
            <w:hideMark/>
          </w:tcPr>
          <w:p w14:paraId="22255D64" w14:textId="77777777" w:rsidR="00A72067" w:rsidRPr="00A72067" w:rsidRDefault="00A72067" w:rsidP="00A72067">
            <w:pPr>
              <w:spacing w:after="0" w:line="240" w:lineRule="auto"/>
              <w:jc w:val="center"/>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577" w:type="dxa"/>
            <w:tcBorders>
              <w:top w:val="nil"/>
              <w:left w:val="nil"/>
              <w:bottom w:val="single" w:sz="4" w:space="0" w:color="auto"/>
              <w:right w:val="single" w:sz="4" w:space="0" w:color="auto"/>
            </w:tcBorders>
            <w:shd w:val="clear" w:color="000000" w:fill="FFFF99"/>
            <w:noWrap/>
            <w:vAlign w:val="bottom"/>
            <w:hideMark/>
          </w:tcPr>
          <w:p w14:paraId="0E7C858C" w14:textId="77777777" w:rsidR="00A72067" w:rsidRPr="00A72067" w:rsidRDefault="00A72067" w:rsidP="00A72067">
            <w:pPr>
              <w:spacing w:after="0" w:line="240" w:lineRule="auto"/>
              <w:jc w:val="center"/>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4</w:t>
            </w:r>
          </w:p>
        </w:tc>
        <w:tc>
          <w:tcPr>
            <w:tcW w:w="415" w:type="dxa"/>
            <w:gridSpan w:val="2"/>
            <w:tcBorders>
              <w:top w:val="nil"/>
              <w:left w:val="nil"/>
              <w:bottom w:val="single" w:sz="4" w:space="0" w:color="auto"/>
              <w:right w:val="single" w:sz="4" w:space="0" w:color="auto"/>
            </w:tcBorders>
            <w:shd w:val="clear" w:color="000000" w:fill="FF9900"/>
            <w:noWrap/>
            <w:vAlign w:val="bottom"/>
            <w:hideMark/>
          </w:tcPr>
          <w:p w14:paraId="5A1BF285"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6</w:t>
            </w:r>
          </w:p>
        </w:tc>
        <w:tc>
          <w:tcPr>
            <w:tcW w:w="425" w:type="dxa"/>
            <w:tcBorders>
              <w:top w:val="nil"/>
              <w:left w:val="nil"/>
              <w:bottom w:val="single" w:sz="4" w:space="0" w:color="auto"/>
              <w:right w:val="single" w:sz="4" w:space="0" w:color="auto"/>
            </w:tcBorders>
            <w:shd w:val="clear" w:color="000000" w:fill="FF9900"/>
            <w:noWrap/>
            <w:vAlign w:val="bottom"/>
            <w:hideMark/>
          </w:tcPr>
          <w:p w14:paraId="7D33CE06"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5</w:t>
            </w:r>
          </w:p>
        </w:tc>
        <w:tc>
          <w:tcPr>
            <w:tcW w:w="436" w:type="dxa"/>
            <w:tcBorders>
              <w:top w:val="nil"/>
              <w:left w:val="nil"/>
              <w:bottom w:val="single" w:sz="4" w:space="0" w:color="auto"/>
              <w:right w:val="single" w:sz="4" w:space="0" w:color="auto"/>
            </w:tcBorders>
            <w:shd w:val="clear" w:color="000000" w:fill="FF9900"/>
            <w:noWrap/>
            <w:vAlign w:val="bottom"/>
            <w:hideMark/>
          </w:tcPr>
          <w:p w14:paraId="4773CA18"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1</w:t>
            </w:r>
          </w:p>
        </w:tc>
        <w:tc>
          <w:tcPr>
            <w:tcW w:w="415" w:type="dxa"/>
            <w:gridSpan w:val="2"/>
            <w:tcBorders>
              <w:top w:val="nil"/>
              <w:left w:val="nil"/>
              <w:bottom w:val="single" w:sz="4" w:space="0" w:color="auto"/>
              <w:right w:val="single" w:sz="4" w:space="0" w:color="auto"/>
            </w:tcBorders>
            <w:shd w:val="clear" w:color="000000" w:fill="66FFCC"/>
            <w:noWrap/>
            <w:vAlign w:val="bottom"/>
            <w:hideMark/>
          </w:tcPr>
          <w:p w14:paraId="401CD5C2"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425" w:type="dxa"/>
            <w:tcBorders>
              <w:top w:val="nil"/>
              <w:left w:val="nil"/>
              <w:bottom w:val="single" w:sz="4" w:space="0" w:color="auto"/>
              <w:right w:val="single" w:sz="4" w:space="0" w:color="auto"/>
            </w:tcBorders>
            <w:shd w:val="clear" w:color="000000" w:fill="66FFCC"/>
            <w:noWrap/>
            <w:vAlign w:val="bottom"/>
            <w:hideMark/>
          </w:tcPr>
          <w:p w14:paraId="2D41418E"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6</w:t>
            </w:r>
          </w:p>
        </w:tc>
        <w:tc>
          <w:tcPr>
            <w:tcW w:w="425" w:type="dxa"/>
            <w:tcBorders>
              <w:top w:val="nil"/>
              <w:left w:val="nil"/>
              <w:bottom w:val="single" w:sz="4" w:space="0" w:color="auto"/>
              <w:right w:val="single" w:sz="4" w:space="0" w:color="auto"/>
            </w:tcBorders>
            <w:shd w:val="clear" w:color="000000" w:fill="66FFCC"/>
            <w:noWrap/>
            <w:vAlign w:val="bottom"/>
            <w:hideMark/>
          </w:tcPr>
          <w:p w14:paraId="3B7CA267"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426" w:type="dxa"/>
            <w:tcBorders>
              <w:top w:val="nil"/>
              <w:left w:val="nil"/>
              <w:bottom w:val="single" w:sz="4" w:space="0" w:color="auto"/>
              <w:right w:val="single" w:sz="4" w:space="0" w:color="auto"/>
            </w:tcBorders>
            <w:shd w:val="clear" w:color="000000" w:fill="66FFCC"/>
            <w:noWrap/>
            <w:vAlign w:val="bottom"/>
            <w:hideMark/>
          </w:tcPr>
          <w:p w14:paraId="376F1DA3"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6</w:t>
            </w:r>
          </w:p>
        </w:tc>
        <w:tc>
          <w:tcPr>
            <w:tcW w:w="436" w:type="dxa"/>
            <w:gridSpan w:val="2"/>
            <w:tcBorders>
              <w:top w:val="nil"/>
              <w:left w:val="nil"/>
              <w:bottom w:val="single" w:sz="4" w:space="0" w:color="auto"/>
              <w:right w:val="single" w:sz="4" w:space="0" w:color="auto"/>
            </w:tcBorders>
            <w:shd w:val="clear" w:color="000000" w:fill="FFFF00"/>
            <w:vAlign w:val="center"/>
            <w:hideMark/>
          </w:tcPr>
          <w:p w14:paraId="3CD0D659" w14:textId="77777777" w:rsidR="00A72067" w:rsidRPr="00A72067" w:rsidRDefault="00A72067" w:rsidP="00A72067">
            <w:pPr>
              <w:spacing w:after="0" w:line="240" w:lineRule="auto"/>
              <w:jc w:val="center"/>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12</w:t>
            </w:r>
          </w:p>
        </w:tc>
        <w:tc>
          <w:tcPr>
            <w:tcW w:w="556" w:type="dxa"/>
            <w:gridSpan w:val="2"/>
            <w:tcBorders>
              <w:top w:val="nil"/>
              <w:left w:val="nil"/>
              <w:bottom w:val="single" w:sz="4" w:space="0" w:color="auto"/>
              <w:right w:val="single" w:sz="4" w:space="0" w:color="auto"/>
            </w:tcBorders>
            <w:shd w:val="clear" w:color="000000" w:fill="FFFF99"/>
            <w:vAlign w:val="center"/>
            <w:hideMark/>
          </w:tcPr>
          <w:p w14:paraId="32BBEFE5" w14:textId="77777777" w:rsidR="00A72067" w:rsidRPr="00A72067" w:rsidRDefault="00A72067" w:rsidP="00A72067">
            <w:pPr>
              <w:spacing w:after="0" w:line="240" w:lineRule="auto"/>
              <w:jc w:val="center"/>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11</w:t>
            </w:r>
          </w:p>
        </w:tc>
        <w:tc>
          <w:tcPr>
            <w:tcW w:w="665" w:type="dxa"/>
            <w:tcBorders>
              <w:top w:val="nil"/>
              <w:left w:val="nil"/>
              <w:bottom w:val="single" w:sz="4" w:space="0" w:color="auto"/>
              <w:right w:val="single" w:sz="4" w:space="0" w:color="auto"/>
            </w:tcBorders>
            <w:shd w:val="clear" w:color="000000" w:fill="FF9900"/>
            <w:vAlign w:val="center"/>
            <w:hideMark/>
          </w:tcPr>
          <w:p w14:paraId="6EEEFCAE" w14:textId="77777777" w:rsidR="00A72067" w:rsidRPr="00A72067" w:rsidRDefault="00A72067" w:rsidP="00A72067">
            <w:pPr>
              <w:spacing w:after="0" w:line="240" w:lineRule="auto"/>
              <w:jc w:val="center"/>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6</w:t>
            </w:r>
          </w:p>
        </w:tc>
        <w:tc>
          <w:tcPr>
            <w:tcW w:w="632" w:type="dxa"/>
            <w:tcBorders>
              <w:top w:val="nil"/>
              <w:left w:val="nil"/>
              <w:bottom w:val="single" w:sz="4" w:space="0" w:color="auto"/>
              <w:right w:val="single" w:sz="4" w:space="0" w:color="auto"/>
            </w:tcBorders>
            <w:shd w:val="clear" w:color="000000" w:fill="CCFFFF"/>
            <w:vAlign w:val="bottom"/>
            <w:hideMark/>
          </w:tcPr>
          <w:p w14:paraId="61608CE7"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1</w:t>
            </w:r>
          </w:p>
        </w:tc>
        <w:tc>
          <w:tcPr>
            <w:tcW w:w="610" w:type="dxa"/>
            <w:tcBorders>
              <w:top w:val="nil"/>
              <w:left w:val="nil"/>
              <w:bottom w:val="single" w:sz="4" w:space="0" w:color="auto"/>
              <w:right w:val="single" w:sz="4" w:space="0" w:color="auto"/>
            </w:tcBorders>
            <w:shd w:val="clear" w:color="000000" w:fill="CCFFFF"/>
            <w:vAlign w:val="bottom"/>
            <w:hideMark/>
          </w:tcPr>
          <w:p w14:paraId="500A771F"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2</w:t>
            </w:r>
          </w:p>
        </w:tc>
        <w:tc>
          <w:tcPr>
            <w:tcW w:w="592" w:type="dxa"/>
            <w:tcBorders>
              <w:top w:val="nil"/>
              <w:left w:val="nil"/>
              <w:bottom w:val="single" w:sz="4" w:space="0" w:color="auto"/>
              <w:right w:val="single" w:sz="4" w:space="0" w:color="auto"/>
            </w:tcBorders>
            <w:shd w:val="clear" w:color="000000" w:fill="CCFFFF"/>
            <w:vAlign w:val="bottom"/>
            <w:hideMark/>
          </w:tcPr>
          <w:p w14:paraId="3C88CE1B"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1</w:t>
            </w:r>
          </w:p>
        </w:tc>
        <w:tc>
          <w:tcPr>
            <w:tcW w:w="698" w:type="dxa"/>
            <w:tcBorders>
              <w:top w:val="nil"/>
              <w:left w:val="nil"/>
              <w:bottom w:val="single" w:sz="4" w:space="0" w:color="auto"/>
              <w:right w:val="nil"/>
            </w:tcBorders>
            <w:shd w:val="clear" w:color="000000" w:fill="33CCCC"/>
            <w:noWrap/>
            <w:vAlign w:val="bottom"/>
            <w:hideMark/>
          </w:tcPr>
          <w:p w14:paraId="6757C696"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9</w:t>
            </w:r>
          </w:p>
        </w:tc>
        <w:tc>
          <w:tcPr>
            <w:tcW w:w="716" w:type="dxa"/>
            <w:gridSpan w:val="2"/>
            <w:tcBorders>
              <w:top w:val="nil"/>
              <w:left w:val="single" w:sz="4" w:space="0" w:color="auto"/>
              <w:bottom w:val="single" w:sz="4" w:space="0" w:color="auto"/>
              <w:right w:val="single" w:sz="8" w:space="0" w:color="auto"/>
            </w:tcBorders>
            <w:shd w:val="clear" w:color="000000" w:fill="33CCCC"/>
            <w:noWrap/>
            <w:vAlign w:val="bottom"/>
            <w:hideMark/>
          </w:tcPr>
          <w:p w14:paraId="2D6A4E19"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3</w:t>
            </w:r>
          </w:p>
        </w:tc>
        <w:tc>
          <w:tcPr>
            <w:tcW w:w="236" w:type="dxa"/>
            <w:gridSpan w:val="2"/>
            <w:vAlign w:val="center"/>
            <w:hideMark/>
          </w:tcPr>
          <w:p w14:paraId="6242D43F" w14:textId="77777777" w:rsidR="00A72067" w:rsidRPr="00A72067" w:rsidRDefault="00A72067" w:rsidP="00A72067">
            <w:pPr>
              <w:spacing w:after="0" w:line="240" w:lineRule="auto"/>
              <w:rPr>
                <w:rFonts w:ascii="Times New Roman" w:eastAsia="Times New Roman" w:hAnsi="Times New Roman" w:cs="Times New Roman"/>
                <w:sz w:val="16"/>
                <w:szCs w:val="16"/>
                <w:lang w:eastAsia="hr-HR"/>
              </w:rPr>
            </w:pPr>
          </w:p>
        </w:tc>
      </w:tr>
      <w:tr w:rsidR="00A72067" w:rsidRPr="00A72067" w14:paraId="3C41404B" w14:textId="77777777" w:rsidTr="00A72067">
        <w:trPr>
          <w:trHeight w:val="402"/>
        </w:trPr>
        <w:tc>
          <w:tcPr>
            <w:tcW w:w="1264" w:type="dxa"/>
            <w:tcBorders>
              <w:top w:val="nil"/>
              <w:left w:val="single" w:sz="8" w:space="0" w:color="auto"/>
              <w:bottom w:val="single" w:sz="8" w:space="0" w:color="auto"/>
              <w:right w:val="nil"/>
            </w:tcBorders>
            <w:shd w:val="clear" w:color="000000" w:fill="FFFF00"/>
            <w:vAlign w:val="center"/>
            <w:hideMark/>
          </w:tcPr>
          <w:p w14:paraId="6AEF1F18" w14:textId="77777777" w:rsidR="00A72067" w:rsidRPr="00A72067" w:rsidRDefault="00A72067" w:rsidP="00A72067">
            <w:pPr>
              <w:spacing w:after="0" w:line="240" w:lineRule="auto"/>
              <w:rPr>
                <w:rFonts w:ascii="Calibri" w:eastAsia="Times New Roman" w:hAnsi="Calibri" w:cs="Calibri"/>
                <w:b/>
                <w:bCs/>
                <w:sz w:val="16"/>
                <w:szCs w:val="16"/>
                <w:lang w:eastAsia="hr-HR"/>
              </w:rPr>
            </w:pPr>
            <w:r w:rsidRPr="00A72067">
              <w:rPr>
                <w:rFonts w:ascii="Calibri" w:eastAsia="Times New Roman" w:hAnsi="Calibri" w:cs="Calibri"/>
                <w:b/>
                <w:bCs/>
                <w:sz w:val="16"/>
                <w:szCs w:val="16"/>
                <w:lang w:eastAsia="hr-HR"/>
              </w:rPr>
              <w:t>UKUPNO</w:t>
            </w:r>
          </w:p>
        </w:tc>
        <w:tc>
          <w:tcPr>
            <w:tcW w:w="460" w:type="dxa"/>
            <w:tcBorders>
              <w:top w:val="nil"/>
              <w:left w:val="single" w:sz="8" w:space="0" w:color="auto"/>
              <w:bottom w:val="single" w:sz="8" w:space="0" w:color="auto"/>
              <w:right w:val="single" w:sz="4" w:space="0" w:color="auto"/>
            </w:tcBorders>
            <w:shd w:val="clear" w:color="000000" w:fill="FFFF00"/>
            <w:hideMark/>
          </w:tcPr>
          <w:p w14:paraId="7288BE06" w14:textId="77777777" w:rsidR="00A72067" w:rsidRPr="00A72067" w:rsidRDefault="00A72067" w:rsidP="00A72067">
            <w:pPr>
              <w:spacing w:after="0" w:line="240" w:lineRule="auto"/>
              <w:jc w:val="center"/>
              <w:rPr>
                <w:rFonts w:ascii="Calibri" w:eastAsia="Times New Roman" w:hAnsi="Calibri" w:cs="Calibri"/>
                <w:b/>
                <w:bCs/>
                <w:sz w:val="16"/>
                <w:szCs w:val="16"/>
                <w:lang w:eastAsia="hr-HR"/>
              </w:rPr>
            </w:pPr>
            <w:r w:rsidRPr="00A72067">
              <w:rPr>
                <w:rFonts w:ascii="Calibri" w:eastAsia="Times New Roman" w:hAnsi="Calibri" w:cs="Calibri"/>
                <w:b/>
                <w:bCs/>
                <w:sz w:val="16"/>
                <w:szCs w:val="16"/>
                <w:lang w:eastAsia="hr-HR"/>
              </w:rPr>
              <w:t>104</w:t>
            </w:r>
          </w:p>
        </w:tc>
        <w:tc>
          <w:tcPr>
            <w:tcW w:w="434" w:type="dxa"/>
            <w:tcBorders>
              <w:top w:val="nil"/>
              <w:left w:val="nil"/>
              <w:bottom w:val="single" w:sz="8" w:space="0" w:color="auto"/>
              <w:right w:val="single" w:sz="4" w:space="0" w:color="auto"/>
            </w:tcBorders>
            <w:shd w:val="clear" w:color="000000" w:fill="FFFF00"/>
            <w:hideMark/>
          </w:tcPr>
          <w:p w14:paraId="02EED203" w14:textId="77777777" w:rsidR="00A72067" w:rsidRPr="00A72067" w:rsidRDefault="00A72067" w:rsidP="00A72067">
            <w:pPr>
              <w:spacing w:after="0" w:line="240" w:lineRule="auto"/>
              <w:jc w:val="center"/>
              <w:rPr>
                <w:rFonts w:ascii="Calibri" w:eastAsia="Times New Roman" w:hAnsi="Calibri" w:cs="Calibri"/>
                <w:b/>
                <w:bCs/>
                <w:sz w:val="16"/>
                <w:szCs w:val="16"/>
                <w:lang w:eastAsia="hr-HR"/>
              </w:rPr>
            </w:pPr>
            <w:r w:rsidRPr="00A72067">
              <w:rPr>
                <w:rFonts w:ascii="Calibri" w:eastAsia="Times New Roman" w:hAnsi="Calibri" w:cs="Calibri"/>
                <w:b/>
                <w:bCs/>
                <w:sz w:val="16"/>
                <w:szCs w:val="16"/>
                <w:lang w:eastAsia="hr-HR"/>
              </w:rPr>
              <w:t>89</w:t>
            </w:r>
          </w:p>
        </w:tc>
        <w:tc>
          <w:tcPr>
            <w:tcW w:w="585" w:type="dxa"/>
            <w:tcBorders>
              <w:top w:val="nil"/>
              <w:left w:val="nil"/>
              <w:bottom w:val="single" w:sz="8" w:space="0" w:color="auto"/>
              <w:right w:val="single" w:sz="4" w:space="0" w:color="auto"/>
            </w:tcBorders>
            <w:shd w:val="clear" w:color="000000" w:fill="FFFF00"/>
            <w:hideMark/>
          </w:tcPr>
          <w:p w14:paraId="1EFB6AE0" w14:textId="77777777" w:rsidR="00A72067" w:rsidRPr="00A72067" w:rsidRDefault="00A72067" w:rsidP="00A72067">
            <w:pPr>
              <w:spacing w:after="0" w:line="240" w:lineRule="auto"/>
              <w:jc w:val="center"/>
              <w:rPr>
                <w:rFonts w:ascii="Calibri" w:eastAsia="Times New Roman" w:hAnsi="Calibri" w:cs="Calibri"/>
                <w:b/>
                <w:bCs/>
                <w:sz w:val="16"/>
                <w:szCs w:val="16"/>
                <w:lang w:eastAsia="hr-HR"/>
              </w:rPr>
            </w:pPr>
            <w:r w:rsidRPr="00A72067">
              <w:rPr>
                <w:rFonts w:ascii="Calibri" w:eastAsia="Times New Roman" w:hAnsi="Calibri" w:cs="Calibri"/>
                <w:b/>
                <w:bCs/>
                <w:sz w:val="16"/>
                <w:szCs w:val="16"/>
                <w:lang w:eastAsia="hr-HR"/>
              </w:rPr>
              <w:t>25</w:t>
            </w:r>
          </w:p>
        </w:tc>
        <w:tc>
          <w:tcPr>
            <w:tcW w:w="652" w:type="dxa"/>
            <w:tcBorders>
              <w:top w:val="nil"/>
              <w:left w:val="nil"/>
              <w:bottom w:val="single" w:sz="8" w:space="0" w:color="auto"/>
              <w:right w:val="single" w:sz="4" w:space="0" w:color="auto"/>
            </w:tcBorders>
            <w:shd w:val="clear" w:color="000000" w:fill="FFFF00"/>
            <w:hideMark/>
          </w:tcPr>
          <w:p w14:paraId="2E3FC62E" w14:textId="77777777" w:rsidR="00A72067" w:rsidRPr="00A72067" w:rsidRDefault="00A72067" w:rsidP="00A72067">
            <w:pPr>
              <w:spacing w:after="0" w:line="240" w:lineRule="auto"/>
              <w:jc w:val="center"/>
              <w:rPr>
                <w:rFonts w:ascii="Calibri" w:eastAsia="Times New Roman" w:hAnsi="Calibri" w:cs="Calibri"/>
                <w:b/>
                <w:bCs/>
                <w:sz w:val="16"/>
                <w:szCs w:val="16"/>
                <w:lang w:eastAsia="hr-HR"/>
              </w:rPr>
            </w:pPr>
            <w:r w:rsidRPr="00A72067">
              <w:rPr>
                <w:rFonts w:ascii="Calibri" w:eastAsia="Times New Roman" w:hAnsi="Calibri" w:cs="Calibri"/>
                <w:b/>
                <w:bCs/>
                <w:sz w:val="16"/>
                <w:szCs w:val="16"/>
                <w:lang w:eastAsia="hr-HR"/>
              </w:rPr>
              <w:t>46</w:t>
            </w:r>
          </w:p>
        </w:tc>
        <w:tc>
          <w:tcPr>
            <w:tcW w:w="422" w:type="dxa"/>
            <w:tcBorders>
              <w:top w:val="nil"/>
              <w:left w:val="nil"/>
              <w:bottom w:val="single" w:sz="8" w:space="0" w:color="auto"/>
              <w:right w:val="single" w:sz="4" w:space="0" w:color="auto"/>
            </w:tcBorders>
            <w:shd w:val="clear" w:color="000000" w:fill="FFFF00"/>
            <w:hideMark/>
          </w:tcPr>
          <w:p w14:paraId="5FA2A308" w14:textId="77777777" w:rsidR="00A72067" w:rsidRPr="00A72067" w:rsidRDefault="00A72067" w:rsidP="00A72067">
            <w:pPr>
              <w:spacing w:after="0" w:line="240" w:lineRule="auto"/>
              <w:jc w:val="center"/>
              <w:rPr>
                <w:rFonts w:ascii="Calibri" w:eastAsia="Times New Roman" w:hAnsi="Calibri" w:cs="Calibri"/>
                <w:b/>
                <w:bCs/>
                <w:sz w:val="16"/>
                <w:szCs w:val="16"/>
                <w:lang w:eastAsia="hr-HR"/>
              </w:rPr>
            </w:pPr>
            <w:r w:rsidRPr="00A72067">
              <w:rPr>
                <w:rFonts w:ascii="Calibri" w:eastAsia="Times New Roman" w:hAnsi="Calibri" w:cs="Calibri"/>
                <w:b/>
                <w:bCs/>
                <w:sz w:val="16"/>
                <w:szCs w:val="16"/>
                <w:lang w:eastAsia="hr-HR"/>
              </w:rPr>
              <w:t>74</w:t>
            </w:r>
          </w:p>
        </w:tc>
        <w:tc>
          <w:tcPr>
            <w:tcW w:w="424" w:type="dxa"/>
            <w:tcBorders>
              <w:top w:val="nil"/>
              <w:left w:val="nil"/>
              <w:bottom w:val="single" w:sz="8" w:space="0" w:color="auto"/>
              <w:right w:val="single" w:sz="4" w:space="0" w:color="auto"/>
            </w:tcBorders>
            <w:shd w:val="clear" w:color="000000" w:fill="FFFF00"/>
            <w:hideMark/>
          </w:tcPr>
          <w:p w14:paraId="7D555F51" w14:textId="77777777" w:rsidR="00A72067" w:rsidRPr="00A72067" w:rsidRDefault="00A72067" w:rsidP="00A72067">
            <w:pPr>
              <w:spacing w:after="0" w:line="240" w:lineRule="auto"/>
              <w:jc w:val="center"/>
              <w:rPr>
                <w:rFonts w:ascii="Calibri" w:eastAsia="Times New Roman" w:hAnsi="Calibri" w:cs="Calibri"/>
                <w:b/>
                <w:bCs/>
                <w:sz w:val="16"/>
                <w:szCs w:val="16"/>
                <w:lang w:eastAsia="hr-HR"/>
              </w:rPr>
            </w:pPr>
            <w:r w:rsidRPr="00A72067">
              <w:rPr>
                <w:rFonts w:ascii="Calibri" w:eastAsia="Times New Roman" w:hAnsi="Calibri" w:cs="Calibri"/>
                <w:b/>
                <w:bCs/>
                <w:sz w:val="16"/>
                <w:szCs w:val="16"/>
                <w:lang w:eastAsia="hr-HR"/>
              </w:rPr>
              <w:t>3</w:t>
            </w:r>
          </w:p>
        </w:tc>
        <w:tc>
          <w:tcPr>
            <w:tcW w:w="698" w:type="dxa"/>
            <w:tcBorders>
              <w:top w:val="nil"/>
              <w:left w:val="nil"/>
              <w:bottom w:val="single" w:sz="8" w:space="0" w:color="auto"/>
              <w:right w:val="single" w:sz="4" w:space="0" w:color="auto"/>
            </w:tcBorders>
            <w:shd w:val="clear" w:color="000000" w:fill="FFFF00"/>
            <w:hideMark/>
          </w:tcPr>
          <w:p w14:paraId="4F369877" w14:textId="77777777" w:rsidR="00A72067" w:rsidRPr="00A72067" w:rsidRDefault="00A72067" w:rsidP="00A72067">
            <w:pPr>
              <w:spacing w:after="0" w:line="240" w:lineRule="auto"/>
              <w:jc w:val="center"/>
              <w:rPr>
                <w:rFonts w:ascii="Calibri" w:eastAsia="Times New Roman" w:hAnsi="Calibri" w:cs="Calibri"/>
                <w:b/>
                <w:bCs/>
                <w:sz w:val="16"/>
                <w:szCs w:val="16"/>
                <w:lang w:eastAsia="hr-HR"/>
              </w:rPr>
            </w:pPr>
            <w:r w:rsidRPr="00A72067">
              <w:rPr>
                <w:rFonts w:ascii="Calibri" w:eastAsia="Times New Roman" w:hAnsi="Calibri" w:cs="Calibri"/>
                <w:b/>
                <w:bCs/>
                <w:sz w:val="16"/>
                <w:szCs w:val="16"/>
                <w:lang w:eastAsia="hr-HR"/>
              </w:rPr>
              <w:t>0</w:t>
            </w:r>
          </w:p>
        </w:tc>
        <w:tc>
          <w:tcPr>
            <w:tcW w:w="438" w:type="dxa"/>
            <w:tcBorders>
              <w:top w:val="nil"/>
              <w:left w:val="nil"/>
              <w:bottom w:val="single" w:sz="8" w:space="0" w:color="auto"/>
              <w:right w:val="single" w:sz="4" w:space="0" w:color="auto"/>
            </w:tcBorders>
            <w:shd w:val="clear" w:color="000000" w:fill="FFFF00"/>
            <w:hideMark/>
          </w:tcPr>
          <w:p w14:paraId="7C83F8C0" w14:textId="77777777" w:rsidR="00A72067" w:rsidRPr="00A72067" w:rsidRDefault="00A72067" w:rsidP="00A72067">
            <w:pPr>
              <w:spacing w:after="0" w:line="240" w:lineRule="auto"/>
              <w:jc w:val="center"/>
              <w:rPr>
                <w:rFonts w:ascii="Calibri" w:eastAsia="Times New Roman" w:hAnsi="Calibri" w:cs="Calibri"/>
                <w:b/>
                <w:bCs/>
                <w:sz w:val="16"/>
                <w:szCs w:val="16"/>
                <w:lang w:eastAsia="hr-HR"/>
              </w:rPr>
            </w:pPr>
            <w:r w:rsidRPr="00A72067">
              <w:rPr>
                <w:rFonts w:ascii="Calibri" w:eastAsia="Times New Roman" w:hAnsi="Calibri" w:cs="Calibri"/>
                <w:b/>
                <w:bCs/>
                <w:sz w:val="16"/>
                <w:szCs w:val="16"/>
                <w:lang w:eastAsia="hr-HR"/>
              </w:rPr>
              <w:t>2</w:t>
            </w:r>
          </w:p>
        </w:tc>
        <w:tc>
          <w:tcPr>
            <w:tcW w:w="577" w:type="dxa"/>
            <w:tcBorders>
              <w:top w:val="nil"/>
              <w:left w:val="nil"/>
              <w:bottom w:val="single" w:sz="8" w:space="0" w:color="auto"/>
              <w:right w:val="single" w:sz="4" w:space="0" w:color="auto"/>
            </w:tcBorders>
            <w:shd w:val="clear" w:color="000000" w:fill="FFFF00"/>
            <w:hideMark/>
          </w:tcPr>
          <w:p w14:paraId="6DEAD0B0" w14:textId="77777777" w:rsidR="00A72067" w:rsidRPr="00A72067" w:rsidRDefault="00A72067" w:rsidP="00A72067">
            <w:pPr>
              <w:spacing w:after="0" w:line="240" w:lineRule="auto"/>
              <w:jc w:val="center"/>
              <w:rPr>
                <w:rFonts w:ascii="Calibri" w:eastAsia="Times New Roman" w:hAnsi="Calibri" w:cs="Calibri"/>
                <w:b/>
                <w:bCs/>
                <w:sz w:val="16"/>
                <w:szCs w:val="16"/>
                <w:lang w:eastAsia="hr-HR"/>
              </w:rPr>
            </w:pPr>
            <w:r w:rsidRPr="00A72067">
              <w:rPr>
                <w:rFonts w:ascii="Calibri" w:eastAsia="Times New Roman" w:hAnsi="Calibri" w:cs="Calibri"/>
                <w:b/>
                <w:bCs/>
                <w:sz w:val="16"/>
                <w:szCs w:val="16"/>
                <w:lang w:eastAsia="hr-HR"/>
              </w:rPr>
              <w:t>15</w:t>
            </w:r>
          </w:p>
        </w:tc>
        <w:tc>
          <w:tcPr>
            <w:tcW w:w="415" w:type="dxa"/>
            <w:gridSpan w:val="2"/>
            <w:tcBorders>
              <w:top w:val="nil"/>
              <w:left w:val="nil"/>
              <w:bottom w:val="single" w:sz="8" w:space="0" w:color="auto"/>
              <w:right w:val="single" w:sz="4" w:space="0" w:color="auto"/>
            </w:tcBorders>
            <w:shd w:val="clear" w:color="000000" w:fill="FFFF00"/>
            <w:hideMark/>
          </w:tcPr>
          <w:p w14:paraId="6454E25A" w14:textId="77777777" w:rsidR="00A72067" w:rsidRPr="00A72067" w:rsidRDefault="00A72067" w:rsidP="00A72067">
            <w:pPr>
              <w:spacing w:after="0" w:line="240" w:lineRule="auto"/>
              <w:jc w:val="center"/>
              <w:rPr>
                <w:rFonts w:ascii="Calibri" w:eastAsia="Times New Roman" w:hAnsi="Calibri" w:cs="Calibri"/>
                <w:b/>
                <w:bCs/>
                <w:sz w:val="16"/>
                <w:szCs w:val="16"/>
                <w:lang w:eastAsia="hr-HR"/>
              </w:rPr>
            </w:pPr>
            <w:r w:rsidRPr="00A72067">
              <w:rPr>
                <w:rFonts w:ascii="Calibri" w:eastAsia="Times New Roman" w:hAnsi="Calibri" w:cs="Calibri"/>
                <w:b/>
                <w:bCs/>
                <w:sz w:val="16"/>
                <w:szCs w:val="16"/>
                <w:lang w:eastAsia="hr-HR"/>
              </w:rPr>
              <w:t>55</w:t>
            </w:r>
          </w:p>
        </w:tc>
        <w:tc>
          <w:tcPr>
            <w:tcW w:w="425" w:type="dxa"/>
            <w:tcBorders>
              <w:top w:val="nil"/>
              <w:left w:val="nil"/>
              <w:bottom w:val="single" w:sz="8" w:space="0" w:color="auto"/>
              <w:right w:val="single" w:sz="4" w:space="0" w:color="auto"/>
            </w:tcBorders>
            <w:shd w:val="clear" w:color="000000" w:fill="FFFF00"/>
            <w:hideMark/>
          </w:tcPr>
          <w:p w14:paraId="277C7E9F" w14:textId="77777777" w:rsidR="00A72067" w:rsidRPr="00A72067" w:rsidRDefault="00A72067" w:rsidP="00A72067">
            <w:pPr>
              <w:spacing w:after="0" w:line="240" w:lineRule="auto"/>
              <w:jc w:val="center"/>
              <w:rPr>
                <w:rFonts w:ascii="Calibri" w:eastAsia="Times New Roman" w:hAnsi="Calibri" w:cs="Calibri"/>
                <w:b/>
                <w:bCs/>
                <w:sz w:val="16"/>
                <w:szCs w:val="16"/>
                <w:lang w:eastAsia="hr-HR"/>
              </w:rPr>
            </w:pPr>
            <w:r w:rsidRPr="00A72067">
              <w:rPr>
                <w:rFonts w:ascii="Calibri" w:eastAsia="Times New Roman" w:hAnsi="Calibri" w:cs="Calibri"/>
                <w:b/>
                <w:bCs/>
                <w:sz w:val="16"/>
                <w:szCs w:val="16"/>
                <w:lang w:eastAsia="hr-HR"/>
              </w:rPr>
              <w:t>47</w:t>
            </w:r>
          </w:p>
        </w:tc>
        <w:tc>
          <w:tcPr>
            <w:tcW w:w="436" w:type="dxa"/>
            <w:tcBorders>
              <w:top w:val="nil"/>
              <w:left w:val="nil"/>
              <w:bottom w:val="single" w:sz="8" w:space="0" w:color="auto"/>
              <w:right w:val="single" w:sz="4" w:space="0" w:color="auto"/>
            </w:tcBorders>
            <w:shd w:val="clear" w:color="000000" w:fill="FFFF00"/>
            <w:hideMark/>
          </w:tcPr>
          <w:p w14:paraId="6E127120" w14:textId="77777777" w:rsidR="00A72067" w:rsidRPr="00A72067" w:rsidRDefault="00A72067" w:rsidP="00A72067">
            <w:pPr>
              <w:spacing w:after="0" w:line="240" w:lineRule="auto"/>
              <w:jc w:val="center"/>
              <w:rPr>
                <w:rFonts w:ascii="Calibri" w:eastAsia="Times New Roman" w:hAnsi="Calibri" w:cs="Calibri"/>
                <w:b/>
                <w:bCs/>
                <w:sz w:val="16"/>
                <w:szCs w:val="16"/>
                <w:lang w:eastAsia="hr-HR"/>
              </w:rPr>
            </w:pPr>
            <w:r w:rsidRPr="00A72067">
              <w:rPr>
                <w:rFonts w:ascii="Calibri" w:eastAsia="Times New Roman" w:hAnsi="Calibri" w:cs="Calibri"/>
                <w:b/>
                <w:bCs/>
                <w:sz w:val="16"/>
                <w:szCs w:val="16"/>
                <w:lang w:eastAsia="hr-HR"/>
              </w:rPr>
              <w:t>15</w:t>
            </w:r>
          </w:p>
        </w:tc>
        <w:tc>
          <w:tcPr>
            <w:tcW w:w="415" w:type="dxa"/>
            <w:gridSpan w:val="2"/>
            <w:tcBorders>
              <w:top w:val="nil"/>
              <w:left w:val="nil"/>
              <w:bottom w:val="single" w:sz="8" w:space="0" w:color="auto"/>
              <w:right w:val="single" w:sz="4" w:space="0" w:color="auto"/>
            </w:tcBorders>
            <w:shd w:val="clear" w:color="000000" w:fill="FFFF00"/>
            <w:hideMark/>
          </w:tcPr>
          <w:p w14:paraId="548AD0E2" w14:textId="77777777" w:rsidR="00A72067" w:rsidRPr="00A72067" w:rsidRDefault="00A72067" w:rsidP="00A72067">
            <w:pPr>
              <w:spacing w:after="0" w:line="240" w:lineRule="auto"/>
              <w:jc w:val="center"/>
              <w:rPr>
                <w:rFonts w:ascii="Calibri" w:eastAsia="Times New Roman" w:hAnsi="Calibri" w:cs="Calibri"/>
                <w:b/>
                <w:bCs/>
                <w:sz w:val="16"/>
                <w:szCs w:val="16"/>
                <w:lang w:eastAsia="hr-HR"/>
              </w:rPr>
            </w:pPr>
            <w:r w:rsidRPr="00A72067">
              <w:rPr>
                <w:rFonts w:ascii="Calibri" w:eastAsia="Times New Roman" w:hAnsi="Calibri" w:cs="Calibri"/>
                <w:b/>
                <w:bCs/>
                <w:sz w:val="16"/>
                <w:szCs w:val="16"/>
                <w:lang w:eastAsia="hr-HR"/>
              </w:rPr>
              <w:t>0</w:t>
            </w:r>
          </w:p>
        </w:tc>
        <w:tc>
          <w:tcPr>
            <w:tcW w:w="425" w:type="dxa"/>
            <w:tcBorders>
              <w:top w:val="nil"/>
              <w:left w:val="nil"/>
              <w:bottom w:val="single" w:sz="8" w:space="0" w:color="auto"/>
              <w:right w:val="single" w:sz="4" w:space="0" w:color="auto"/>
            </w:tcBorders>
            <w:shd w:val="clear" w:color="000000" w:fill="FFFF00"/>
            <w:hideMark/>
          </w:tcPr>
          <w:p w14:paraId="6C7C5C78" w14:textId="77777777" w:rsidR="00A72067" w:rsidRPr="00A72067" w:rsidRDefault="00A72067" w:rsidP="00A72067">
            <w:pPr>
              <w:spacing w:after="0" w:line="240" w:lineRule="auto"/>
              <w:jc w:val="center"/>
              <w:rPr>
                <w:rFonts w:ascii="Calibri" w:eastAsia="Times New Roman" w:hAnsi="Calibri" w:cs="Calibri"/>
                <w:b/>
                <w:bCs/>
                <w:sz w:val="16"/>
                <w:szCs w:val="16"/>
                <w:lang w:eastAsia="hr-HR"/>
              </w:rPr>
            </w:pPr>
            <w:r w:rsidRPr="00A72067">
              <w:rPr>
                <w:rFonts w:ascii="Calibri" w:eastAsia="Times New Roman" w:hAnsi="Calibri" w:cs="Calibri"/>
                <w:b/>
                <w:bCs/>
                <w:sz w:val="16"/>
                <w:szCs w:val="16"/>
                <w:lang w:eastAsia="hr-HR"/>
              </w:rPr>
              <w:t>56</w:t>
            </w:r>
          </w:p>
        </w:tc>
        <w:tc>
          <w:tcPr>
            <w:tcW w:w="425" w:type="dxa"/>
            <w:tcBorders>
              <w:top w:val="nil"/>
              <w:left w:val="nil"/>
              <w:bottom w:val="single" w:sz="8" w:space="0" w:color="auto"/>
              <w:right w:val="single" w:sz="4" w:space="0" w:color="auto"/>
            </w:tcBorders>
            <w:shd w:val="clear" w:color="000000" w:fill="FFFF00"/>
            <w:hideMark/>
          </w:tcPr>
          <w:p w14:paraId="79F456C9" w14:textId="77777777" w:rsidR="00A72067" w:rsidRPr="00A72067" w:rsidRDefault="00A72067" w:rsidP="00A72067">
            <w:pPr>
              <w:spacing w:after="0" w:line="240" w:lineRule="auto"/>
              <w:jc w:val="center"/>
              <w:rPr>
                <w:rFonts w:ascii="Calibri" w:eastAsia="Times New Roman" w:hAnsi="Calibri" w:cs="Calibri"/>
                <w:b/>
                <w:bCs/>
                <w:sz w:val="16"/>
                <w:szCs w:val="16"/>
                <w:lang w:eastAsia="hr-HR"/>
              </w:rPr>
            </w:pPr>
            <w:r w:rsidRPr="00A72067">
              <w:rPr>
                <w:rFonts w:ascii="Calibri" w:eastAsia="Times New Roman" w:hAnsi="Calibri" w:cs="Calibri"/>
                <w:b/>
                <w:bCs/>
                <w:sz w:val="16"/>
                <w:szCs w:val="16"/>
                <w:lang w:eastAsia="hr-HR"/>
              </w:rPr>
              <w:t>3</w:t>
            </w:r>
          </w:p>
        </w:tc>
        <w:tc>
          <w:tcPr>
            <w:tcW w:w="426" w:type="dxa"/>
            <w:tcBorders>
              <w:top w:val="nil"/>
              <w:left w:val="nil"/>
              <w:bottom w:val="single" w:sz="8" w:space="0" w:color="auto"/>
              <w:right w:val="single" w:sz="4" w:space="0" w:color="auto"/>
            </w:tcBorders>
            <w:shd w:val="clear" w:color="000000" w:fill="FFFF00"/>
            <w:hideMark/>
          </w:tcPr>
          <w:p w14:paraId="2DB24C24" w14:textId="77777777" w:rsidR="00A72067" w:rsidRPr="00A72067" w:rsidRDefault="00A72067" w:rsidP="00A72067">
            <w:pPr>
              <w:spacing w:after="0" w:line="240" w:lineRule="auto"/>
              <w:jc w:val="center"/>
              <w:rPr>
                <w:rFonts w:ascii="Calibri" w:eastAsia="Times New Roman" w:hAnsi="Calibri" w:cs="Calibri"/>
                <w:b/>
                <w:bCs/>
                <w:sz w:val="16"/>
                <w:szCs w:val="16"/>
                <w:lang w:eastAsia="hr-HR"/>
              </w:rPr>
            </w:pPr>
            <w:r w:rsidRPr="00A72067">
              <w:rPr>
                <w:rFonts w:ascii="Calibri" w:eastAsia="Times New Roman" w:hAnsi="Calibri" w:cs="Calibri"/>
                <w:b/>
                <w:bCs/>
                <w:sz w:val="16"/>
                <w:szCs w:val="16"/>
                <w:lang w:eastAsia="hr-HR"/>
              </w:rPr>
              <w:t>60</w:t>
            </w:r>
          </w:p>
        </w:tc>
        <w:tc>
          <w:tcPr>
            <w:tcW w:w="436" w:type="dxa"/>
            <w:gridSpan w:val="2"/>
            <w:tcBorders>
              <w:top w:val="nil"/>
              <w:left w:val="nil"/>
              <w:bottom w:val="single" w:sz="8" w:space="0" w:color="auto"/>
              <w:right w:val="single" w:sz="4" w:space="0" w:color="auto"/>
            </w:tcBorders>
            <w:shd w:val="clear" w:color="000000" w:fill="FFFF00"/>
            <w:hideMark/>
          </w:tcPr>
          <w:p w14:paraId="2C1FC2F1" w14:textId="77777777" w:rsidR="00A72067" w:rsidRPr="00A72067" w:rsidRDefault="00A72067" w:rsidP="00A72067">
            <w:pPr>
              <w:spacing w:after="0" w:line="240" w:lineRule="auto"/>
              <w:jc w:val="center"/>
              <w:rPr>
                <w:rFonts w:ascii="Calibri" w:eastAsia="Times New Roman" w:hAnsi="Calibri" w:cs="Calibri"/>
                <w:b/>
                <w:bCs/>
                <w:sz w:val="16"/>
                <w:szCs w:val="16"/>
                <w:lang w:eastAsia="hr-HR"/>
              </w:rPr>
            </w:pPr>
            <w:r w:rsidRPr="00A72067">
              <w:rPr>
                <w:rFonts w:ascii="Calibri" w:eastAsia="Times New Roman" w:hAnsi="Calibri" w:cs="Calibri"/>
                <w:b/>
                <w:bCs/>
                <w:sz w:val="16"/>
                <w:szCs w:val="16"/>
                <w:lang w:eastAsia="hr-HR"/>
              </w:rPr>
              <w:t>117</w:t>
            </w:r>
          </w:p>
        </w:tc>
        <w:tc>
          <w:tcPr>
            <w:tcW w:w="556" w:type="dxa"/>
            <w:gridSpan w:val="2"/>
            <w:tcBorders>
              <w:top w:val="nil"/>
              <w:left w:val="nil"/>
              <w:bottom w:val="single" w:sz="8" w:space="0" w:color="auto"/>
              <w:right w:val="single" w:sz="4" w:space="0" w:color="auto"/>
            </w:tcBorders>
            <w:shd w:val="clear" w:color="000000" w:fill="FFFF00"/>
            <w:hideMark/>
          </w:tcPr>
          <w:p w14:paraId="5986646D" w14:textId="77777777" w:rsidR="00A72067" w:rsidRPr="00A72067" w:rsidRDefault="00A72067" w:rsidP="00A72067">
            <w:pPr>
              <w:spacing w:after="0" w:line="240" w:lineRule="auto"/>
              <w:jc w:val="center"/>
              <w:rPr>
                <w:rFonts w:ascii="Calibri" w:eastAsia="Times New Roman" w:hAnsi="Calibri" w:cs="Calibri"/>
                <w:b/>
                <w:bCs/>
                <w:sz w:val="16"/>
                <w:szCs w:val="16"/>
                <w:lang w:eastAsia="hr-HR"/>
              </w:rPr>
            </w:pPr>
            <w:r w:rsidRPr="00A72067">
              <w:rPr>
                <w:rFonts w:ascii="Calibri" w:eastAsia="Times New Roman" w:hAnsi="Calibri" w:cs="Calibri"/>
                <w:b/>
                <w:bCs/>
                <w:sz w:val="16"/>
                <w:szCs w:val="16"/>
                <w:lang w:eastAsia="hr-HR"/>
              </w:rPr>
              <w:t>76</w:t>
            </w:r>
          </w:p>
        </w:tc>
        <w:tc>
          <w:tcPr>
            <w:tcW w:w="665" w:type="dxa"/>
            <w:tcBorders>
              <w:top w:val="nil"/>
              <w:left w:val="nil"/>
              <w:bottom w:val="single" w:sz="8" w:space="0" w:color="auto"/>
              <w:right w:val="single" w:sz="4" w:space="0" w:color="auto"/>
            </w:tcBorders>
            <w:shd w:val="clear" w:color="000000" w:fill="FFFF00"/>
            <w:hideMark/>
          </w:tcPr>
          <w:p w14:paraId="13C79160" w14:textId="77777777" w:rsidR="00A72067" w:rsidRPr="00A72067" w:rsidRDefault="00A72067" w:rsidP="00A72067">
            <w:pPr>
              <w:spacing w:after="0" w:line="240" w:lineRule="auto"/>
              <w:jc w:val="center"/>
              <w:rPr>
                <w:rFonts w:ascii="Calibri" w:eastAsia="Times New Roman" w:hAnsi="Calibri" w:cs="Calibri"/>
                <w:b/>
                <w:bCs/>
                <w:sz w:val="16"/>
                <w:szCs w:val="16"/>
                <w:lang w:eastAsia="hr-HR"/>
              </w:rPr>
            </w:pPr>
            <w:r w:rsidRPr="00A72067">
              <w:rPr>
                <w:rFonts w:ascii="Calibri" w:eastAsia="Times New Roman" w:hAnsi="Calibri" w:cs="Calibri"/>
                <w:b/>
                <w:bCs/>
                <w:sz w:val="16"/>
                <w:szCs w:val="16"/>
                <w:lang w:eastAsia="hr-HR"/>
              </w:rPr>
              <w:t>61</w:t>
            </w:r>
          </w:p>
        </w:tc>
        <w:tc>
          <w:tcPr>
            <w:tcW w:w="632" w:type="dxa"/>
            <w:tcBorders>
              <w:top w:val="nil"/>
              <w:left w:val="nil"/>
              <w:bottom w:val="single" w:sz="8" w:space="0" w:color="auto"/>
              <w:right w:val="single" w:sz="4" w:space="0" w:color="auto"/>
            </w:tcBorders>
            <w:shd w:val="clear" w:color="000000" w:fill="FFFF00"/>
            <w:hideMark/>
          </w:tcPr>
          <w:p w14:paraId="6A20D94D" w14:textId="77777777" w:rsidR="00A72067" w:rsidRPr="00A72067" w:rsidRDefault="00A72067" w:rsidP="00A72067">
            <w:pPr>
              <w:spacing w:after="0" w:line="240" w:lineRule="auto"/>
              <w:jc w:val="center"/>
              <w:rPr>
                <w:rFonts w:ascii="Calibri" w:eastAsia="Times New Roman" w:hAnsi="Calibri" w:cs="Calibri"/>
                <w:b/>
                <w:bCs/>
                <w:sz w:val="16"/>
                <w:szCs w:val="16"/>
                <w:lang w:eastAsia="hr-HR"/>
              </w:rPr>
            </w:pPr>
            <w:r w:rsidRPr="00A72067">
              <w:rPr>
                <w:rFonts w:ascii="Calibri" w:eastAsia="Times New Roman" w:hAnsi="Calibri" w:cs="Calibri"/>
                <w:b/>
                <w:bCs/>
                <w:sz w:val="16"/>
                <w:szCs w:val="16"/>
                <w:lang w:eastAsia="hr-HR"/>
              </w:rPr>
              <w:t>22</w:t>
            </w:r>
          </w:p>
        </w:tc>
        <w:tc>
          <w:tcPr>
            <w:tcW w:w="610" w:type="dxa"/>
            <w:tcBorders>
              <w:top w:val="nil"/>
              <w:left w:val="nil"/>
              <w:bottom w:val="single" w:sz="8" w:space="0" w:color="auto"/>
              <w:right w:val="single" w:sz="4" w:space="0" w:color="auto"/>
            </w:tcBorders>
            <w:shd w:val="clear" w:color="000000" w:fill="FFFF00"/>
            <w:hideMark/>
          </w:tcPr>
          <w:p w14:paraId="093D5F7A" w14:textId="77777777" w:rsidR="00A72067" w:rsidRPr="00A72067" w:rsidRDefault="00A72067" w:rsidP="00A72067">
            <w:pPr>
              <w:spacing w:after="0" w:line="240" w:lineRule="auto"/>
              <w:jc w:val="center"/>
              <w:rPr>
                <w:rFonts w:ascii="Calibri" w:eastAsia="Times New Roman" w:hAnsi="Calibri" w:cs="Calibri"/>
                <w:b/>
                <w:bCs/>
                <w:sz w:val="16"/>
                <w:szCs w:val="16"/>
                <w:lang w:eastAsia="hr-HR"/>
              </w:rPr>
            </w:pPr>
            <w:r w:rsidRPr="00A72067">
              <w:rPr>
                <w:rFonts w:ascii="Calibri" w:eastAsia="Times New Roman" w:hAnsi="Calibri" w:cs="Calibri"/>
                <w:b/>
                <w:bCs/>
                <w:sz w:val="16"/>
                <w:szCs w:val="16"/>
                <w:lang w:eastAsia="hr-HR"/>
              </w:rPr>
              <w:t>32</w:t>
            </w:r>
          </w:p>
        </w:tc>
        <w:tc>
          <w:tcPr>
            <w:tcW w:w="592" w:type="dxa"/>
            <w:tcBorders>
              <w:top w:val="nil"/>
              <w:left w:val="nil"/>
              <w:bottom w:val="single" w:sz="8" w:space="0" w:color="auto"/>
              <w:right w:val="single" w:sz="4" w:space="0" w:color="auto"/>
            </w:tcBorders>
            <w:shd w:val="clear" w:color="000000" w:fill="FFFF00"/>
            <w:hideMark/>
          </w:tcPr>
          <w:p w14:paraId="12849281" w14:textId="77777777" w:rsidR="00A72067" w:rsidRPr="00A72067" w:rsidRDefault="00A72067" w:rsidP="00A72067">
            <w:pPr>
              <w:spacing w:after="0" w:line="240" w:lineRule="auto"/>
              <w:jc w:val="center"/>
              <w:rPr>
                <w:rFonts w:ascii="Calibri" w:eastAsia="Times New Roman" w:hAnsi="Calibri" w:cs="Calibri"/>
                <w:b/>
                <w:bCs/>
                <w:sz w:val="16"/>
                <w:szCs w:val="16"/>
                <w:lang w:eastAsia="hr-HR"/>
              </w:rPr>
            </w:pPr>
            <w:r w:rsidRPr="00A72067">
              <w:rPr>
                <w:rFonts w:ascii="Calibri" w:eastAsia="Times New Roman" w:hAnsi="Calibri" w:cs="Calibri"/>
                <w:b/>
                <w:bCs/>
                <w:sz w:val="16"/>
                <w:szCs w:val="16"/>
                <w:lang w:eastAsia="hr-HR"/>
              </w:rPr>
              <w:t>8</w:t>
            </w:r>
          </w:p>
        </w:tc>
        <w:tc>
          <w:tcPr>
            <w:tcW w:w="698" w:type="dxa"/>
            <w:tcBorders>
              <w:top w:val="nil"/>
              <w:left w:val="nil"/>
              <w:bottom w:val="single" w:sz="8" w:space="0" w:color="auto"/>
              <w:right w:val="single" w:sz="4" w:space="0" w:color="auto"/>
            </w:tcBorders>
            <w:shd w:val="clear" w:color="000000" w:fill="FFFF00"/>
            <w:hideMark/>
          </w:tcPr>
          <w:p w14:paraId="02F527C6" w14:textId="77777777" w:rsidR="00A72067" w:rsidRPr="00A72067" w:rsidRDefault="00A72067" w:rsidP="00A72067">
            <w:pPr>
              <w:spacing w:after="0" w:line="240" w:lineRule="auto"/>
              <w:jc w:val="center"/>
              <w:rPr>
                <w:rFonts w:ascii="Calibri" w:eastAsia="Times New Roman" w:hAnsi="Calibri" w:cs="Calibri"/>
                <w:b/>
                <w:bCs/>
                <w:sz w:val="16"/>
                <w:szCs w:val="16"/>
                <w:lang w:eastAsia="hr-HR"/>
              </w:rPr>
            </w:pPr>
            <w:r w:rsidRPr="00A72067">
              <w:rPr>
                <w:rFonts w:ascii="Calibri" w:eastAsia="Times New Roman" w:hAnsi="Calibri" w:cs="Calibri"/>
                <w:b/>
                <w:bCs/>
                <w:sz w:val="16"/>
                <w:szCs w:val="16"/>
                <w:lang w:eastAsia="hr-HR"/>
              </w:rPr>
              <w:t>78</w:t>
            </w:r>
          </w:p>
        </w:tc>
        <w:tc>
          <w:tcPr>
            <w:tcW w:w="716" w:type="dxa"/>
            <w:gridSpan w:val="2"/>
            <w:tcBorders>
              <w:top w:val="nil"/>
              <w:left w:val="nil"/>
              <w:bottom w:val="single" w:sz="8" w:space="0" w:color="auto"/>
              <w:right w:val="single" w:sz="8" w:space="0" w:color="auto"/>
            </w:tcBorders>
            <w:shd w:val="clear" w:color="000000" w:fill="FFFF00"/>
            <w:hideMark/>
          </w:tcPr>
          <w:p w14:paraId="1203804B" w14:textId="77777777" w:rsidR="00A72067" w:rsidRPr="00A72067" w:rsidRDefault="00A72067" w:rsidP="00A72067">
            <w:pPr>
              <w:spacing w:after="0" w:line="240" w:lineRule="auto"/>
              <w:jc w:val="center"/>
              <w:rPr>
                <w:rFonts w:ascii="Calibri" w:eastAsia="Times New Roman" w:hAnsi="Calibri" w:cs="Calibri"/>
                <w:b/>
                <w:bCs/>
                <w:sz w:val="16"/>
                <w:szCs w:val="16"/>
                <w:lang w:eastAsia="hr-HR"/>
              </w:rPr>
            </w:pPr>
            <w:r w:rsidRPr="00A72067">
              <w:rPr>
                <w:rFonts w:ascii="Calibri" w:eastAsia="Times New Roman" w:hAnsi="Calibri" w:cs="Calibri"/>
                <w:b/>
                <w:bCs/>
                <w:sz w:val="16"/>
                <w:szCs w:val="16"/>
                <w:lang w:eastAsia="hr-HR"/>
              </w:rPr>
              <w:t>39</w:t>
            </w:r>
          </w:p>
        </w:tc>
        <w:tc>
          <w:tcPr>
            <w:tcW w:w="236" w:type="dxa"/>
            <w:gridSpan w:val="2"/>
            <w:vAlign w:val="center"/>
            <w:hideMark/>
          </w:tcPr>
          <w:p w14:paraId="2B5D7AEA" w14:textId="77777777" w:rsidR="00A72067" w:rsidRPr="00A72067" w:rsidRDefault="00A72067" w:rsidP="00A72067">
            <w:pPr>
              <w:spacing w:after="0" w:line="240" w:lineRule="auto"/>
              <w:rPr>
                <w:rFonts w:ascii="Times New Roman" w:eastAsia="Times New Roman" w:hAnsi="Times New Roman" w:cs="Times New Roman"/>
                <w:sz w:val="16"/>
                <w:szCs w:val="16"/>
                <w:lang w:eastAsia="hr-HR"/>
              </w:rPr>
            </w:pPr>
          </w:p>
        </w:tc>
      </w:tr>
    </w:tbl>
    <w:p w14:paraId="31E8EFC1" w14:textId="40712C83" w:rsidR="00A72067" w:rsidRDefault="00A72067" w:rsidP="00E103B8">
      <w:pPr>
        <w:rPr>
          <w:rFonts w:ascii="Times New Roman" w:hAnsi="Times New Roman" w:cs="Times New Roman"/>
          <w:sz w:val="24"/>
          <w:szCs w:val="24"/>
        </w:rPr>
      </w:pPr>
    </w:p>
    <w:p w14:paraId="50C5630C" w14:textId="3C9181AC" w:rsidR="00A72067" w:rsidRDefault="00A72067" w:rsidP="00E103B8">
      <w:pPr>
        <w:rPr>
          <w:rFonts w:ascii="Times New Roman" w:hAnsi="Times New Roman" w:cs="Times New Roman"/>
          <w:sz w:val="24"/>
          <w:szCs w:val="24"/>
        </w:rPr>
      </w:pPr>
      <w:r>
        <w:rPr>
          <w:rFonts w:ascii="Times New Roman" w:hAnsi="Times New Roman" w:cs="Times New Roman"/>
          <w:sz w:val="24"/>
          <w:szCs w:val="24"/>
        </w:rPr>
        <w:t>NAPOMENE:</w:t>
      </w:r>
    </w:p>
    <w:p w14:paraId="35288A36" w14:textId="5C56B2EE" w:rsidR="00A72067" w:rsidRDefault="00A72067" w:rsidP="00A72067">
      <w:pPr>
        <w:spacing w:after="0" w:line="240" w:lineRule="auto"/>
        <w:rPr>
          <w:rFonts w:ascii="Times New Roman" w:hAnsi="Times New Roman" w:cs="Times New Roman"/>
          <w:sz w:val="24"/>
          <w:szCs w:val="24"/>
        </w:rPr>
      </w:pPr>
      <w:r w:rsidRPr="00A72067">
        <w:rPr>
          <w:rFonts w:ascii="Times New Roman" w:hAnsi="Times New Roman" w:cs="Times New Roman"/>
          <w:sz w:val="24"/>
          <w:szCs w:val="24"/>
        </w:rPr>
        <w:t xml:space="preserve">Neriješeni predmeti na početku 2017. ne poklapaju se neriješenim predmetima s kraja 2016. godine jer su sudovi naknadno </w:t>
      </w:r>
      <w:proofErr w:type="spellStart"/>
      <w:r w:rsidRPr="00A72067">
        <w:rPr>
          <w:rFonts w:ascii="Times New Roman" w:hAnsi="Times New Roman" w:cs="Times New Roman"/>
          <w:sz w:val="24"/>
          <w:szCs w:val="24"/>
        </w:rPr>
        <w:t>mjenjali</w:t>
      </w:r>
      <w:proofErr w:type="spellEnd"/>
      <w:r w:rsidRPr="00A72067">
        <w:rPr>
          <w:rFonts w:ascii="Times New Roman" w:hAnsi="Times New Roman" w:cs="Times New Roman"/>
          <w:sz w:val="24"/>
          <w:szCs w:val="24"/>
        </w:rPr>
        <w:t xml:space="preserve"> osnove diskriminacije ili ih nisu prikazali u prethodnom razdoblju obzirom da je tek naknadno utvrđeno da se radi o predmetima koji imaju obilježja diskriminacije</w:t>
      </w:r>
      <w:r>
        <w:rPr>
          <w:rFonts w:ascii="Times New Roman" w:hAnsi="Times New Roman" w:cs="Times New Roman"/>
          <w:sz w:val="24"/>
          <w:szCs w:val="24"/>
        </w:rPr>
        <w:t>.</w:t>
      </w:r>
    </w:p>
    <w:p w14:paraId="24464CA5" w14:textId="051B2995" w:rsidR="00A72067" w:rsidRDefault="00A72067" w:rsidP="00A72067">
      <w:pPr>
        <w:spacing w:after="0" w:line="240" w:lineRule="auto"/>
        <w:rPr>
          <w:rFonts w:ascii="Times New Roman" w:hAnsi="Times New Roman" w:cs="Times New Roman"/>
          <w:sz w:val="24"/>
          <w:szCs w:val="24"/>
        </w:rPr>
      </w:pPr>
      <w:r w:rsidRPr="00A72067">
        <w:rPr>
          <w:rFonts w:ascii="Times New Roman" w:hAnsi="Times New Roman" w:cs="Times New Roman"/>
          <w:sz w:val="24"/>
          <w:szCs w:val="24"/>
        </w:rPr>
        <w:t>U pojedinim predmetima diskriminirana osoba podrazumijeva kolektiv (npr. pripadnici nacionalnih manjina, pripadnici LGBT populacije, učenici i sl.) - taj se podatak može svrstati jedino u parametar "Ostalo" po pravomoćno donesenoj presudi</w:t>
      </w:r>
      <w:r>
        <w:rPr>
          <w:rFonts w:ascii="Times New Roman" w:hAnsi="Times New Roman" w:cs="Times New Roman"/>
          <w:sz w:val="24"/>
          <w:szCs w:val="24"/>
        </w:rPr>
        <w:t>.</w:t>
      </w:r>
    </w:p>
    <w:p w14:paraId="2690B334" w14:textId="7E16F9CA" w:rsidR="00A72067" w:rsidRDefault="00A72067" w:rsidP="00A72067">
      <w:pPr>
        <w:spacing w:after="0" w:line="240" w:lineRule="auto"/>
        <w:rPr>
          <w:rFonts w:ascii="Times New Roman" w:hAnsi="Times New Roman" w:cs="Times New Roman"/>
          <w:sz w:val="24"/>
          <w:szCs w:val="24"/>
        </w:rPr>
      </w:pPr>
      <w:r w:rsidRPr="00A72067">
        <w:rPr>
          <w:rFonts w:ascii="Times New Roman" w:hAnsi="Times New Roman" w:cs="Times New Roman"/>
          <w:sz w:val="24"/>
          <w:szCs w:val="24"/>
        </w:rPr>
        <w:t>U pojedinim predmetima diskriminirana osoba podrazumijeva kolektiv (npr. pripadnici nacionalnih manjina, pripadnici LGBT populacije, učenici i sl.) - taj se podatak može svrstati jedino u parametar "Ostalo" po pravomoćno donesenoj presudi</w:t>
      </w:r>
      <w:r>
        <w:rPr>
          <w:rFonts w:ascii="Times New Roman" w:hAnsi="Times New Roman" w:cs="Times New Roman"/>
          <w:sz w:val="24"/>
          <w:szCs w:val="24"/>
        </w:rPr>
        <w:t>.</w:t>
      </w:r>
    </w:p>
    <w:p w14:paraId="5D2C83C1" w14:textId="5279B138" w:rsidR="00A72067" w:rsidRDefault="00A72067" w:rsidP="00A72067">
      <w:pPr>
        <w:spacing w:after="0" w:line="240" w:lineRule="auto"/>
        <w:rPr>
          <w:rFonts w:ascii="Times New Roman" w:hAnsi="Times New Roman" w:cs="Times New Roman"/>
          <w:sz w:val="24"/>
          <w:szCs w:val="24"/>
        </w:rPr>
      </w:pPr>
      <w:r w:rsidRPr="00A72067">
        <w:rPr>
          <w:rFonts w:ascii="Times New Roman" w:hAnsi="Times New Roman" w:cs="Times New Roman"/>
          <w:sz w:val="24"/>
          <w:szCs w:val="24"/>
        </w:rPr>
        <w:t>U par predmeta donesena je osuđujuća presuda dvama okrivljenicima od kojih je jednomu izrečena novčana kazna, a drugom okrivljeniku odgojna mjera ili ukor (iz tog je razloga broj vrsta kazni malo veći od samog broja donesenih presuda)</w:t>
      </w:r>
      <w:r>
        <w:rPr>
          <w:rFonts w:ascii="Times New Roman" w:hAnsi="Times New Roman" w:cs="Times New Roman"/>
          <w:sz w:val="24"/>
          <w:szCs w:val="24"/>
        </w:rPr>
        <w:t>.</w:t>
      </w:r>
    </w:p>
    <w:p w14:paraId="5D93E87C" w14:textId="6ECE4AE5" w:rsidR="00E103B8" w:rsidRDefault="00E103B8" w:rsidP="00E103B8">
      <w:pPr>
        <w:rPr>
          <w:rFonts w:ascii="Times New Roman" w:hAnsi="Times New Roman" w:cs="Times New Roman"/>
          <w:sz w:val="24"/>
          <w:szCs w:val="24"/>
        </w:rPr>
      </w:pPr>
      <w:r w:rsidRPr="005E671C">
        <w:rPr>
          <w:rFonts w:ascii="Times New Roman" w:hAnsi="Times New Roman" w:cs="Times New Roman"/>
          <w:sz w:val="24"/>
          <w:szCs w:val="24"/>
        </w:rPr>
        <w:lastRenderedPageBreak/>
        <w:t>OPĆINSKI SUDOVI (GRAĐANSKI PREDMETI) - UKUPNO 201</w:t>
      </w:r>
      <w:r>
        <w:rPr>
          <w:rFonts w:ascii="Times New Roman" w:hAnsi="Times New Roman" w:cs="Times New Roman"/>
          <w:sz w:val="24"/>
          <w:szCs w:val="24"/>
        </w:rPr>
        <w:t>7</w:t>
      </w:r>
      <w:r w:rsidRPr="005E671C">
        <w:rPr>
          <w:rFonts w:ascii="Times New Roman" w:hAnsi="Times New Roman" w:cs="Times New Roman"/>
          <w:sz w:val="24"/>
          <w:szCs w:val="24"/>
        </w:rPr>
        <w:t>. godina</w:t>
      </w:r>
    </w:p>
    <w:tbl>
      <w:tblPr>
        <w:tblW w:w="14575" w:type="dxa"/>
        <w:tblLayout w:type="fixed"/>
        <w:tblLook w:val="04A0" w:firstRow="1" w:lastRow="0" w:firstColumn="1" w:lastColumn="0" w:noHBand="0" w:noVBand="1"/>
      </w:tblPr>
      <w:tblGrid>
        <w:gridCol w:w="979"/>
        <w:gridCol w:w="520"/>
        <w:gridCol w:w="420"/>
        <w:gridCol w:w="665"/>
        <w:gridCol w:w="571"/>
        <w:gridCol w:w="700"/>
        <w:gridCol w:w="698"/>
        <w:gridCol w:w="698"/>
        <w:gridCol w:w="698"/>
        <w:gridCol w:w="527"/>
        <w:gridCol w:w="702"/>
        <w:gridCol w:w="698"/>
        <w:gridCol w:w="439"/>
        <w:gridCol w:w="439"/>
        <w:gridCol w:w="665"/>
        <w:gridCol w:w="698"/>
        <w:gridCol w:w="707"/>
        <w:gridCol w:w="707"/>
        <w:gridCol w:w="698"/>
        <w:gridCol w:w="377"/>
        <w:gridCol w:w="388"/>
        <w:gridCol w:w="399"/>
        <w:gridCol w:w="14"/>
        <w:gridCol w:w="475"/>
        <w:gridCol w:w="425"/>
        <w:gridCol w:w="236"/>
        <w:gridCol w:w="32"/>
      </w:tblGrid>
      <w:tr w:rsidR="00A72067" w:rsidRPr="00BF5E3C" w14:paraId="75BA0ADA" w14:textId="77777777" w:rsidTr="00F90F6F">
        <w:trPr>
          <w:gridAfter w:val="2"/>
          <w:wAfter w:w="268" w:type="dxa"/>
          <w:trHeight w:val="450"/>
        </w:trPr>
        <w:tc>
          <w:tcPr>
            <w:tcW w:w="979" w:type="dxa"/>
            <w:vMerge w:val="restart"/>
            <w:tcBorders>
              <w:top w:val="single" w:sz="8" w:space="0" w:color="auto"/>
              <w:left w:val="single" w:sz="8" w:space="0" w:color="auto"/>
              <w:bottom w:val="single" w:sz="4" w:space="0" w:color="auto"/>
              <w:right w:val="single" w:sz="4" w:space="0" w:color="auto"/>
            </w:tcBorders>
            <w:shd w:val="clear" w:color="000000" w:fill="CCFFCC"/>
            <w:vAlign w:val="center"/>
            <w:hideMark/>
          </w:tcPr>
          <w:p w14:paraId="5599CD6B" w14:textId="77777777" w:rsidR="00A72067" w:rsidRPr="00BF5E3C" w:rsidRDefault="00A72067" w:rsidP="00A72067">
            <w:pPr>
              <w:spacing w:after="0" w:line="240" w:lineRule="auto"/>
              <w:jc w:val="center"/>
              <w:rPr>
                <w:rFonts w:ascii="Tahoma" w:eastAsia="Times New Roman" w:hAnsi="Tahoma" w:cs="Tahoma"/>
                <w:sz w:val="16"/>
                <w:szCs w:val="16"/>
                <w:lang w:eastAsia="hr-HR"/>
              </w:rPr>
            </w:pPr>
            <w:r w:rsidRPr="00BF5E3C">
              <w:rPr>
                <w:rFonts w:ascii="Tahoma" w:eastAsia="Times New Roman" w:hAnsi="Tahoma" w:cs="Tahoma"/>
                <w:sz w:val="16"/>
                <w:szCs w:val="16"/>
                <w:lang w:eastAsia="hr-HR"/>
              </w:rPr>
              <w:t>OSNOVE DISKRIMINACIJE (čl. 1. Zakona o suzbijanju diskriminacije)</w:t>
            </w:r>
          </w:p>
        </w:tc>
        <w:tc>
          <w:tcPr>
            <w:tcW w:w="13328" w:type="dxa"/>
            <w:gridSpan w:val="24"/>
            <w:vMerge w:val="restart"/>
            <w:tcBorders>
              <w:top w:val="single" w:sz="8" w:space="0" w:color="auto"/>
              <w:left w:val="single" w:sz="4" w:space="0" w:color="auto"/>
              <w:bottom w:val="single" w:sz="4" w:space="0" w:color="000000"/>
              <w:right w:val="single" w:sz="8" w:space="0" w:color="000000"/>
            </w:tcBorders>
            <w:shd w:val="clear" w:color="000000" w:fill="CCFFCC"/>
            <w:noWrap/>
            <w:vAlign w:val="center"/>
            <w:hideMark/>
          </w:tcPr>
          <w:p w14:paraId="086A6BE6" w14:textId="77777777" w:rsidR="00A72067" w:rsidRPr="00BF5E3C" w:rsidRDefault="00A72067" w:rsidP="00A72067">
            <w:pPr>
              <w:spacing w:after="0" w:line="240" w:lineRule="auto"/>
              <w:jc w:val="center"/>
              <w:rPr>
                <w:rFonts w:ascii="Tahoma" w:eastAsia="Times New Roman" w:hAnsi="Tahoma" w:cs="Tahoma"/>
                <w:b/>
                <w:bCs/>
                <w:sz w:val="16"/>
                <w:szCs w:val="16"/>
                <w:lang w:eastAsia="hr-HR"/>
              </w:rPr>
            </w:pPr>
            <w:r w:rsidRPr="00BF5E3C">
              <w:rPr>
                <w:rFonts w:ascii="Tahoma" w:eastAsia="Times New Roman" w:hAnsi="Tahoma" w:cs="Tahoma"/>
                <w:b/>
                <w:bCs/>
                <w:sz w:val="16"/>
                <w:szCs w:val="16"/>
                <w:lang w:eastAsia="hr-HR"/>
              </w:rPr>
              <w:t>G R A Đ A N S K I  P R E D M E T I</w:t>
            </w:r>
          </w:p>
        </w:tc>
      </w:tr>
      <w:tr w:rsidR="00A72067" w:rsidRPr="00BF5E3C" w14:paraId="53724220" w14:textId="77777777" w:rsidTr="00F90F6F">
        <w:trPr>
          <w:trHeight w:val="300"/>
        </w:trPr>
        <w:tc>
          <w:tcPr>
            <w:tcW w:w="979" w:type="dxa"/>
            <w:vMerge/>
            <w:tcBorders>
              <w:top w:val="single" w:sz="8" w:space="0" w:color="auto"/>
              <w:left w:val="single" w:sz="8" w:space="0" w:color="auto"/>
              <w:bottom w:val="single" w:sz="4" w:space="0" w:color="auto"/>
              <w:right w:val="single" w:sz="4" w:space="0" w:color="auto"/>
            </w:tcBorders>
            <w:vAlign w:val="center"/>
            <w:hideMark/>
          </w:tcPr>
          <w:p w14:paraId="7D3F4527" w14:textId="77777777" w:rsidR="00A72067" w:rsidRPr="00BF5E3C" w:rsidRDefault="00A72067" w:rsidP="00A72067">
            <w:pPr>
              <w:spacing w:after="0" w:line="240" w:lineRule="auto"/>
              <w:rPr>
                <w:rFonts w:ascii="Tahoma" w:eastAsia="Times New Roman" w:hAnsi="Tahoma" w:cs="Tahoma"/>
                <w:sz w:val="16"/>
                <w:szCs w:val="16"/>
                <w:lang w:eastAsia="hr-HR"/>
              </w:rPr>
            </w:pPr>
          </w:p>
        </w:tc>
        <w:tc>
          <w:tcPr>
            <w:tcW w:w="13328" w:type="dxa"/>
            <w:gridSpan w:val="24"/>
            <w:vMerge/>
            <w:tcBorders>
              <w:top w:val="single" w:sz="8" w:space="0" w:color="auto"/>
              <w:left w:val="single" w:sz="4" w:space="0" w:color="auto"/>
              <w:bottom w:val="single" w:sz="4" w:space="0" w:color="000000"/>
              <w:right w:val="single" w:sz="8" w:space="0" w:color="000000"/>
            </w:tcBorders>
            <w:vAlign w:val="center"/>
            <w:hideMark/>
          </w:tcPr>
          <w:p w14:paraId="7F4CE206" w14:textId="77777777" w:rsidR="00A72067" w:rsidRPr="00BF5E3C" w:rsidRDefault="00A72067" w:rsidP="00A72067">
            <w:pPr>
              <w:spacing w:after="0" w:line="240" w:lineRule="auto"/>
              <w:rPr>
                <w:rFonts w:ascii="Tahoma" w:eastAsia="Times New Roman" w:hAnsi="Tahoma" w:cs="Tahoma"/>
                <w:b/>
                <w:bCs/>
                <w:sz w:val="16"/>
                <w:szCs w:val="16"/>
                <w:lang w:eastAsia="hr-HR"/>
              </w:rPr>
            </w:pPr>
          </w:p>
        </w:tc>
        <w:tc>
          <w:tcPr>
            <w:tcW w:w="268" w:type="dxa"/>
            <w:gridSpan w:val="2"/>
            <w:tcBorders>
              <w:top w:val="nil"/>
              <w:left w:val="nil"/>
              <w:bottom w:val="nil"/>
              <w:right w:val="nil"/>
            </w:tcBorders>
            <w:shd w:val="clear" w:color="auto" w:fill="auto"/>
            <w:noWrap/>
            <w:vAlign w:val="bottom"/>
            <w:hideMark/>
          </w:tcPr>
          <w:p w14:paraId="4387FFEF" w14:textId="77777777" w:rsidR="00A72067" w:rsidRPr="00BF5E3C" w:rsidRDefault="00A72067" w:rsidP="00A72067">
            <w:pPr>
              <w:spacing w:after="0" w:line="240" w:lineRule="auto"/>
              <w:jc w:val="center"/>
              <w:rPr>
                <w:rFonts w:ascii="Tahoma" w:eastAsia="Times New Roman" w:hAnsi="Tahoma" w:cs="Tahoma"/>
                <w:b/>
                <w:bCs/>
                <w:sz w:val="16"/>
                <w:szCs w:val="16"/>
                <w:lang w:eastAsia="hr-HR"/>
              </w:rPr>
            </w:pPr>
          </w:p>
        </w:tc>
      </w:tr>
      <w:tr w:rsidR="00A72067" w:rsidRPr="00BF5E3C" w14:paraId="1C912CA1" w14:textId="77777777" w:rsidTr="00F90F6F">
        <w:trPr>
          <w:gridAfter w:val="1"/>
          <w:wAfter w:w="32" w:type="dxa"/>
          <w:trHeight w:val="960"/>
        </w:trPr>
        <w:tc>
          <w:tcPr>
            <w:tcW w:w="979" w:type="dxa"/>
            <w:vMerge/>
            <w:tcBorders>
              <w:top w:val="single" w:sz="8" w:space="0" w:color="auto"/>
              <w:left w:val="single" w:sz="8" w:space="0" w:color="auto"/>
              <w:bottom w:val="single" w:sz="4" w:space="0" w:color="auto"/>
              <w:right w:val="single" w:sz="4" w:space="0" w:color="auto"/>
            </w:tcBorders>
            <w:vAlign w:val="center"/>
            <w:hideMark/>
          </w:tcPr>
          <w:p w14:paraId="615F9858" w14:textId="77777777" w:rsidR="00A72067" w:rsidRPr="00BF5E3C" w:rsidRDefault="00A72067" w:rsidP="00A72067">
            <w:pPr>
              <w:spacing w:after="0" w:line="240" w:lineRule="auto"/>
              <w:rPr>
                <w:rFonts w:ascii="Tahoma" w:eastAsia="Times New Roman" w:hAnsi="Tahoma" w:cs="Tahoma"/>
                <w:sz w:val="16"/>
                <w:szCs w:val="16"/>
                <w:lang w:eastAsia="hr-HR"/>
              </w:rPr>
            </w:pPr>
          </w:p>
        </w:tc>
        <w:tc>
          <w:tcPr>
            <w:tcW w:w="520" w:type="dxa"/>
            <w:vMerge w:val="restart"/>
            <w:tcBorders>
              <w:top w:val="nil"/>
              <w:left w:val="single" w:sz="4" w:space="0" w:color="auto"/>
              <w:bottom w:val="single" w:sz="4" w:space="0" w:color="auto"/>
              <w:right w:val="single" w:sz="4" w:space="0" w:color="auto"/>
            </w:tcBorders>
            <w:shd w:val="clear" w:color="000000" w:fill="CCFFCC"/>
            <w:textDirection w:val="btLr"/>
            <w:vAlign w:val="center"/>
            <w:hideMark/>
          </w:tcPr>
          <w:p w14:paraId="2B645631" w14:textId="77777777" w:rsidR="00A72067" w:rsidRPr="00BF5E3C" w:rsidRDefault="00A72067" w:rsidP="00A72067">
            <w:pPr>
              <w:spacing w:after="0" w:line="240" w:lineRule="auto"/>
              <w:jc w:val="center"/>
              <w:rPr>
                <w:rFonts w:ascii="Tahoma" w:eastAsia="Times New Roman" w:hAnsi="Tahoma" w:cs="Tahoma"/>
                <w:b/>
                <w:bCs/>
                <w:sz w:val="16"/>
                <w:szCs w:val="16"/>
                <w:lang w:eastAsia="hr-HR"/>
              </w:rPr>
            </w:pPr>
            <w:r w:rsidRPr="00BF5E3C">
              <w:rPr>
                <w:rFonts w:ascii="Tahoma" w:eastAsia="Times New Roman" w:hAnsi="Tahoma" w:cs="Tahoma"/>
                <w:b/>
                <w:bCs/>
                <w:sz w:val="16"/>
                <w:szCs w:val="16"/>
                <w:lang w:eastAsia="hr-HR"/>
              </w:rPr>
              <w:t xml:space="preserve">Broj </w:t>
            </w:r>
            <w:proofErr w:type="spellStart"/>
            <w:r w:rsidRPr="00BF5E3C">
              <w:rPr>
                <w:rFonts w:ascii="Tahoma" w:eastAsia="Times New Roman" w:hAnsi="Tahoma" w:cs="Tahoma"/>
                <w:b/>
                <w:bCs/>
                <w:sz w:val="16"/>
                <w:szCs w:val="16"/>
                <w:lang w:eastAsia="hr-HR"/>
              </w:rPr>
              <w:t>nerješenih</w:t>
            </w:r>
            <w:proofErr w:type="spellEnd"/>
            <w:r w:rsidRPr="00BF5E3C">
              <w:rPr>
                <w:rFonts w:ascii="Tahoma" w:eastAsia="Times New Roman" w:hAnsi="Tahoma" w:cs="Tahoma"/>
                <w:b/>
                <w:bCs/>
                <w:sz w:val="16"/>
                <w:szCs w:val="16"/>
                <w:lang w:eastAsia="hr-HR"/>
              </w:rPr>
              <w:t xml:space="preserve"> predmeta na početku razdoblja</w:t>
            </w:r>
          </w:p>
        </w:tc>
        <w:tc>
          <w:tcPr>
            <w:tcW w:w="420" w:type="dxa"/>
            <w:vMerge w:val="restart"/>
            <w:tcBorders>
              <w:top w:val="nil"/>
              <w:left w:val="single" w:sz="4" w:space="0" w:color="auto"/>
              <w:bottom w:val="single" w:sz="4" w:space="0" w:color="000000"/>
              <w:right w:val="single" w:sz="4" w:space="0" w:color="000000"/>
            </w:tcBorders>
            <w:shd w:val="clear" w:color="000000" w:fill="CCFFCC"/>
            <w:textDirection w:val="btLr"/>
            <w:vAlign w:val="center"/>
            <w:hideMark/>
          </w:tcPr>
          <w:p w14:paraId="434B50B2" w14:textId="77777777" w:rsidR="00A72067" w:rsidRPr="00BF5E3C" w:rsidRDefault="00A72067" w:rsidP="00A72067">
            <w:pPr>
              <w:spacing w:after="0" w:line="240" w:lineRule="auto"/>
              <w:jc w:val="center"/>
              <w:rPr>
                <w:rFonts w:ascii="Tahoma" w:eastAsia="Times New Roman" w:hAnsi="Tahoma" w:cs="Tahoma"/>
                <w:b/>
                <w:bCs/>
                <w:sz w:val="16"/>
                <w:szCs w:val="16"/>
                <w:lang w:eastAsia="hr-HR"/>
              </w:rPr>
            </w:pPr>
            <w:r w:rsidRPr="00BF5E3C">
              <w:rPr>
                <w:rFonts w:ascii="Tahoma" w:eastAsia="Times New Roman" w:hAnsi="Tahoma" w:cs="Tahoma"/>
                <w:b/>
                <w:bCs/>
                <w:sz w:val="16"/>
                <w:szCs w:val="16"/>
                <w:lang w:eastAsia="hr-HR"/>
              </w:rPr>
              <w:t xml:space="preserve">Broj primljenih predmeta </w:t>
            </w:r>
          </w:p>
        </w:tc>
        <w:tc>
          <w:tcPr>
            <w:tcW w:w="1236" w:type="dxa"/>
            <w:gridSpan w:val="2"/>
            <w:tcBorders>
              <w:top w:val="single" w:sz="4" w:space="0" w:color="auto"/>
              <w:left w:val="nil"/>
              <w:bottom w:val="single" w:sz="4" w:space="0" w:color="auto"/>
              <w:right w:val="single" w:sz="4" w:space="0" w:color="000000"/>
            </w:tcBorders>
            <w:shd w:val="clear" w:color="000000" w:fill="CCFFCC"/>
            <w:vAlign w:val="center"/>
            <w:hideMark/>
          </w:tcPr>
          <w:p w14:paraId="3B638DAA" w14:textId="77777777" w:rsidR="00A72067" w:rsidRPr="00BF5E3C" w:rsidRDefault="00A72067" w:rsidP="00A72067">
            <w:pPr>
              <w:spacing w:after="0" w:line="240" w:lineRule="auto"/>
              <w:jc w:val="center"/>
              <w:rPr>
                <w:rFonts w:ascii="Tahoma" w:eastAsia="Times New Roman" w:hAnsi="Tahoma" w:cs="Tahoma"/>
                <w:sz w:val="16"/>
                <w:szCs w:val="16"/>
                <w:lang w:eastAsia="hr-HR"/>
              </w:rPr>
            </w:pPr>
            <w:r w:rsidRPr="00BF5E3C">
              <w:rPr>
                <w:rFonts w:ascii="Tahoma" w:eastAsia="Times New Roman" w:hAnsi="Tahoma" w:cs="Tahoma"/>
                <w:sz w:val="16"/>
                <w:szCs w:val="16"/>
                <w:lang w:eastAsia="hr-HR"/>
              </w:rPr>
              <w:t>Broj diskriminiranih osoba prema tužbi</w:t>
            </w:r>
          </w:p>
        </w:tc>
        <w:tc>
          <w:tcPr>
            <w:tcW w:w="4023" w:type="dxa"/>
            <w:gridSpan w:val="6"/>
            <w:tcBorders>
              <w:top w:val="single" w:sz="4" w:space="0" w:color="auto"/>
              <w:left w:val="nil"/>
              <w:bottom w:val="single" w:sz="4" w:space="0" w:color="auto"/>
              <w:right w:val="single" w:sz="4" w:space="0" w:color="auto"/>
            </w:tcBorders>
            <w:shd w:val="clear" w:color="000000" w:fill="CCFFCC"/>
            <w:vAlign w:val="center"/>
            <w:hideMark/>
          </w:tcPr>
          <w:p w14:paraId="753E73CB" w14:textId="77777777" w:rsidR="00A72067" w:rsidRPr="00BF5E3C" w:rsidRDefault="00A72067" w:rsidP="00A72067">
            <w:pPr>
              <w:spacing w:after="0" w:line="240" w:lineRule="auto"/>
              <w:jc w:val="center"/>
              <w:rPr>
                <w:rFonts w:ascii="Tahoma" w:eastAsia="Times New Roman" w:hAnsi="Tahoma" w:cs="Tahoma"/>
                <w:b/>
                <w:bCs/>
                <w:sz w:val="16"/>
                <w:szCs w:val="16"/>
                <w:lang w:eastAsia="hr-HR"/>
              </w:rPr>
            </w:pPr>
            <w:r w:rsidRPr="00BF5E3C">
              <w:rPr>
                <w:rFonts w:ascii="Tahoma" w:eastAsia="Times New Roman" w:hAnsi="Tahoma" w:cs="Tahoma"/>
                <w:b/>
                <w:bCs/>
                <w:sz w:val="16"/>
                <w:szCs w:val="16"/>
                <w:lang w:eastAsia="hr-HR"/>
              </w:rPr>
              <w:t>VRSTA TUŽBE</w:t>
            </w:r>
          </w:p>
        </w:tc>
        <w:tc>
          <w:tcPr>
            <w:tcW w:w="2241" w:type="dxa"/>
            <w:gridSpan w:val="4"/>
            <w:tcBorders>
              <w:top w:val="single" w:sz="4" w:space="0" w:color="auto"/>
              <w:left w:val="nil"/>
              <w:bottom w:val="single" w:sz="4" w:space="0" w:color="auto"/>
              <w:right w:val="single" w:sz="4" w:space="0" w:color="auto"/>
            </w:tcBorders>
            <w:shd w:val="clear" w:color="000000" w:fill="CCFFCC"/>
            <w:vAlign w:val="center"/>
            <w:hideMark/>
          </w:tcPr>
          <w:p w14:paraId="77ED260F" w14:textId="77777777" w:rsidR="00A72067" w:rsidRPr="00BF5E3C" w:rsidRDefault="00A72067" w:rsidP="00A72067">
            <w:pPr>
              <w:spacing w:after="0" w:line="240" w:lineRule="auto"/>
              <w:jc w:val="center"/>
              <w:rPr>
                <w:rFonts w:ascii="Tahoma" w:eastAsia="Times New Roman" w:hAnsi="Tahoma" w:cs="Tahoma"/>
                <w:b/>
                <w:bCs/>
                <w:sz w:val="16"/>
                <w:szCs w:val="16"/>
                <w:lang w:eastAsia="hr-HR"/>
              </w:rPr>
            </w:pPr>
            <w:r w:rsidRPr="00BF5E3C">
              <w:rPr>
                <w:rFonts w:ascii="Tahoma" w:eastAsia="Times New Roman" w:hAnsi="Tahoma" w:cs="Tahoma"/>
                <w:b/>
                <w:bCs/>
                <w:sz w:val="16"/>
                <w:szCs w:val="16"/>
                <w:lang w:eastAsia="hr-HR"/>
              </w:rPr>
              <w:t>PRAVOMOĆNO RIJEŠENO</w:t>
            </w:r>
          </w:p>
        </w:tc>
        <w:tc>
          <w:tcPr>
            <w:tcW w:w="698" w:type="dxa"/>
            <w:tcBorders>
              <w:top w:val="nil"/>
              <w:left w:val="single" w:sz="4" w:space="0" w:color="auto"/>
              <w:bottom w:val="single" w:sz="4" w:space="0" w:color="000000"/>
              <w:right w:val="single" w:sz="4" w:space="0" w:color="auto"/>
            </w:tcBorders>
            <w:shd w:val="clear" w:color="000000" w:fill="CCFFCC"/>
            <w:textDirection w:val="btLr"/>
            <w:vAlign w:val="center"/>
            <w:hideMark/>
          </w:tcPr>
          <w:p w14:paraId="5FD9FC44" w14:textId="77777777" w:rsidR="00A72067" w:rsidRPr="00BF5E3C" w:rsidRDefault="00A72067" w:rsidP="00A72067">
            <w:pPr>
              <w:spacing w:after="0" w:line="240" w:lineRule="auto"/>
              <w:jc w:val="center"/>
              <w:rPr>
                <w:rFonts w:ascii="Tahoma" w:eastAsia="Times New Roman" w:hAnsi="Tahoma" w:cs="Tahoma"/>
                <w:b/>
                <w:bCs/>
                <w:sz w:val="16"/>
                <w:szCs w:val="16"/>
                <w:lang w:eastAsia="hr-HR"/>
              </w:rPr>
            </w:pPr>
            <w:r w:rsidRPr="00BF5E3C">
              <w:rPr>
                <w:rFonts w:ascii="Tahoma" w:eastAsia="Times New Roman" w:hAnsi="Tahoma" w:cs="Tahoma"/>
                <w:b/>
                <w:bCs/>
                <w:sz w:val="16"/>
                <w:szCs w:val="16"/>
                <w:lang w:eastAsia="hr-HR"/>
              </w:rPr>
              <w:t xml:space="preserve">Broj </w:t>
            </w:r>
            <w:proofErr w:type="spellStart"/>
            <w:r w:rsidRPr="00BF5E3C">
              <w:rPr>
                <w:rFonts w:ascii="Tahoma" w:eastAsia="Times New Roman" w:hAnsi="Tahoma" w:cs="Tahoma"/>
                <w:b/>
                <w:bCs/>
                <w:sz w:val="16"/>
                <w:szCs w:val="16"/>
                <w:lang w:eastAsia="hr-HR"/>
              </w:rPr>
              <w:t>nerješenih</w:t>
            </w:r>
            <w:proofErr w:type="spellEnd"/>
            <w:r w:rsidRPr="00BF5E3C">
              <w:rPr>
                <w:rFonts w:ascii="Tahoma" w:eastAsia="Times New Roman" w:hAnsi="Tahoma" w:cs="Tahoma"/>
                <w:b/>
                <w:bCs/>
                <w:sz w:val="16"/>
                <w:szCs w:val="16"/>
                <w:lang w:eastAsia="hr-HR"/>
              </w:rPr>
              <w:t xml:space="preserve"> predmeta na kraju izvještajnog razdoblja</w:t>
            </w:r>
          </w:p>
        </w:tc>
        <w:tc>
          <w:tcPr>
            <w:tcW w:w="1414" w:type="dxa"/>
            <w:gridSpan w:val="2"/>
            <w:tcBorders>
              <w:top w:val="single" w:sz="4" w:space="0" w:color="auto"/>
              <w:left w:val="nil"/>
              <w:bottom w:val="single" w:sz="4" w:space="0" w:color="auto"/>
              <w:right w:val="single" w:sz="4" w:space="0" w:color="000000"/>
            </w:tcBorders>
            <w:shd w:val="clear" w:color="000000" w:fill="FFCC00"/>
            <w:vAlign w:val="center"/>
            <w:hideMark/>
          </w:tcPr>
          <w:p w14:paraId="48AFAF6B" w14:textId="77777777" w:rsidR="00A72067" w:rsidRPr="00BF5E3C" w:rsidRDefault="00A72067" w:rsidP="00A72067">
            <w:pPr>
              <w:spacing w:after="0" w:line="240" w:lineRule="auto"/>
              <w:rPr>
                <w:rFonts w:ascii="Tahoma" w:eastAsia="Times New Roman" w:hAnsi="Tahoma" w:cs="Tahoma"/>
                <w:sz w:val="16"/>
                <w:szCs w:val="16"/>
                <w:lang w:eastAsia="hr-HR"/>
              </w:rPr>
            </w:pPr>
            <w:r w:rsidRPr="00BF5E3C">
              <w:rPr>
                <w:rFonts w:ascii="Tahoma" w:eastAsia="Times New Roman" w:hAnsi="Tahoma" w:cs="Tahoma"/>
                <w:sz w:val="16"/>
                <w:szCs w:val="16"/>
                <w:lang w:eastAsia="hr-HR"/>
              </w:rPr>
              <w:t xml:space="preserve">OBLIK DISKIMINACIJE </w:t>
            </w:r>
          </w:p>
        </w:tc>
        <w:tc>
          <w:tcPr>
            <w:tcW w:w="698" w:type="dxa"/>
            <w:tcBorders>
              <w:top w:val="nil"/>
              <w:left w:val="single" w:sz="4" w:space="0" w:color="auto"/>
              <w:bottom w:val="single" w:sz="4" w:space="0" w:color="auto"/>
              <w:right w:val="single" w:sz="4" w:space="0" w:color="000000"/>
            </w:tcBorders>
            <w:shd w:val="clear" w:color="000000" w:fill="FFCC00"/>
            <w:textDirection w:val="btLr"/>
            <w:vAlign w:val="center"/>
            <w:hideMark/>
          </w:tcPr>
          <w:p w14:paraId="16E9793C" w14:textId="77777777" w:rsidR="00A72067" w:rsidRPr="00BF5E3C" w:rsidRDefault="00A72067" w:rsidP="00A72067">
            <w:pPr>
              <w:spacing w:after="0" w:line="240" w:lineRule="auto"/>
              <w:jc w:val="center"/>
              <w:rPr>
                <w:rFonts w:ascii="Tahoma" w:eastAsia="Times New Roman" w:hAnsi="Tahoma" w:cs="Tahoma"/>
                <w:sz w:val="16"/>
                <w:szCs w:val="16"/>
                <w:lang w:eastAsia="hr-HR"/>
              </w:rPr>
            </w:pPr>
            <w:r w:rsidRPr="00BF5E3C">
              <w:rPr>
                <w:rFonts w:ascii="Tahoma" w:eastAsia="Times New Roman" w:hAnsi="Tahoma" w:cs="Tahoma"/>
                <w:sz w:val="16"/>
                <w:szCs w:val="16"/>
                <w:lang w:eastAsia="hr-HR"/>
              </w:rPr>
              <w:t xml:space="preserve">PODRUČJE DISKRIMINACIJE (iz čl.8 ZSD) </w:t>
            </w:r>
          </w:p>
        </w:tc>
        <w:tc>
          <w:tcPr>
            <w:tcW w:w="1178" w:type="dxa"/>
            <w:gridSpan w:val="4"/>
            <w:tcBorders>
              <w:top w:val="single" w:sz="4" w:space="0" w:color="auto"/>
              <w:left w:val="nil"/>
              <w:bottom w:val="single" w:sz="4" w:space="0" w:color="auto"/>
              <w:right w:val="single" w:sz="4" w:space="0" w:color="000000"/>
            </w:tcBorders>
            <w:shd w:val="clear" w:color="000000" w:fill="CCFFCC"/>
            <w:vAlign w:val="center"/>
            <w:hideMark/>
          </w:tcPr>
          <w:p w14:paraId="15DCB2B7" w14:textId="77777777" w:rsidR="00A72067" w:rsidRPr="00BF5E3C" w:rsidRDefault="00A72067" w:rsidP="00A72067">
            <w:pPr>
              <w:spacing w:after="0" w:line="240" w:lineRule="auto"/>
              <w:jc w:val="center"/>
              <w:rPr>
                <w:rFonts w:ascii="Tahoma" w:eastAsia="Times New Roman" w:hAnsi="Tahoma" w:cs="Tahoma"/>
                <w:sz w:val="16"/>
                <w:szCs w:val="16"/>
                <w:lang w:eastAsia="hr-HR"/>
              </w:rPr>
            </w:pPr>
            <w:r w:rsidRPr="00BF5E3C">
              <w:rPr>
                <w:rFonts w:ascii="Tahoma" w:eastAsia="Times New Roman" w:hAnsi="Tahoma" w:cs="Tahoma"/>
                <w:sz w:val="16"/>
                <w:szCs w:val="16"/>
                <w:lang w:eastAsia="hr-HR"/>
              </w:rPr>
              <w:t>Broj diskriminiranih osoba prema pravomoćnoj presudi</w:t>
            </w:r>
          </w:p>
        </w:tc>
        <w:tc>
          <w:tcPr>
            <w:tcW w:w="900" w:type="dxa"/>
            <w:gridSpan w:val="2"/>
            <w:tcBorders>
              <w:top w:val="single" w:sz="4" w:space="0" w:color="auto"/>
              <w:left w:val="nil"/>
              <w:bottom w:val="single" w:sz="4" w:space="0" w:color="auto"/>
              <w:right w:val="single" w:sz="8" w:space="0" w:color="000000"/>
            </w:tcBorders>
            <w:shd w:val="clear" w:color="000000" w:fill="CCFFCC"/>
            <w:vAlign w:val="center"/>
            <w:hideMark/>
          </w:tcPr>
          <w:p w14:paraId="4EC0C7A2" w14:textId="77777777" w:rsidR="00A72067" w:rsidRPr="00BF5E3C" w:rsidRDefault="00A72067" w:rsidP="00A72067">
            <w:pPr>
              <w:spacing w:after="0" w:line="240" w:lineRule="auto"/>
              <w:jc w:val="center"/>
              <w:rPr>
                <w:rFonts w:ascii="Tahoma" w:eastAsia="Times New Roman" w:hAnsi="Tahoma" w:cs="Tahoma"/>
                <w:sz w:val="16"/>
                <w:szCs w:val="16"/>
                <w:lang w:eastAsia="hr-HR"/>
              </w:rPr>
            </w:pPr>
            <w:r w:rsidRPr="00BF5E3C">
              <w:rPr>
                <w:rFonts w:ascii="Tahoma" w:eastAsia="Times New Roman" w:hAnsi="Tahoma" w:cs="Tahoma"/>
                <w:sz w:val="16"/>
                <w:szCs w:val="16"/>
                <w:lang w:eastAsia="hr-HR"/>
              </w:rPr>
              <w:t>TRAJANJE POSTUPKA</w:t>
            </w:r>
          </w:p>
        </w:tc>
        <w:tc>
          <w:tcPr>
            <w:tcW w:w="236" w:type="dxa"/>
            <w:vAlign w:val="center"/>
            <w:hideMark/>
          </w:tcPr>
          <w:p w14:paraId="54B771AF" w14:textId="77777777" w:rsidR="00A72067" w:rsidRPr="00BF5E3C" w:rsidRDefault="00A72067" w:rsidP="00A72067">
            <w:pPr>
              <w:spacing w:after="0" w:line="240" w:lineRule="auto"/>
              <w:rPr>
                <w:rFonts w:ascii="Times New Roman" w:eastAsia="Times New Roman" w:hAnsi="Times New Roman" w:cs="Times New Roman"/>
                <w:sz w:val="16"/>
                <w:szCs w:val="16"/>
                <w:lang w:eastAsia="hr-HR"/>
              </w:rPr>
            </w:pPr>
          </w:p>
        </w:tc>
      </w:tr>
      <w:tr w:rsidR="00F90F6F" w:rsidRPr="00BF5E3C" w14:paraId="36BC744C" w14:textId="77777777" w:rsidTr="00F90F6F">
        <w:trPr>
          <w:gridAfter w:val="1"/>
          <w:wAfter w:w="32" w:type="dxa"/>
          <w:trHeight w:val="2325"/>
        </w:trPr>
        <w:tc>
          <w:tcPr>
            <w:tcW w:w="979" w:type="dxa"/>
            <w:vMerge/>
            <w:tcBorders>
              <w:top w:val="single" w:sz="8" w:space="0" w:color="auto"/>
              <w:left w:val="single" w:sz="8" w:space="0" w:color="auto"/>
              <w:bottom w:val="single" w:sz="4" w:space="0" w:color="auto"/>
              <w:right w:val="single" w:sz="4" w:space="0" w:color="auto"/>
            </w:tcBorders>
            <w:vAlign w:val="center"/>
            <w:hideMark/>
          </w:tcPr>
          <w:p w14:paraId="0869DF1A" w14:textId="77777777" w:rsidR="00A72067" w:rsidRPr="00BF5E3C" w:rsidRDefault="00A72067" w:rsidP="00A72067">
            <w:pPr>
              <w:spacing w:after="0" w:line="240" w:lineRule="auto"/>
              <w:rPr>
                <w:rFonts w:ascii="Tahoma" w:eastAsia="Times New Roman" w:hAnsi="Tahoma" w:cs="Tahoma"/>
                <w:sz w:val="16"/>
                <w:szCs w:val="16"/>
                <w:lang w:eastAsia="hr-HR"/>
              </w:rPr>
            </w:pPr>
          </w:p>
        </w:tc>
        <w:tc>
          <w:tcPr>
            <w:tcW w:w="520" w:type="dxa"/>
            <w:vMerge/>
            <w:tcBorders>
              <w:top w:val="nil"/>
              <w:left w:val="single" w:sz="4" w:space="0" w:color="auto"/>
              <w:bottom w:val="single" w:sz="4" w:space="0" w:color="auto"/>
              <w:right w:val="single" w:sz="4" w:space="0" w:color="auto"/>
            </w:tcBorders>
            <w:vAlign w:val="center"/>
            <w:hideMark/>
          </w:tcPr>
          <w:p w14:paraId="60A0AE47" w14:textId="77777777" w:rsidR="00A72067" w:rsidRPr="00BF5E3C" w:rsidRDefault="00A72067" w:rsidP="00A72067">
            <w:pPr>
              <w:spacing w:after="0" w:line="240" w:lineRule="auto"/>
              <w:rPr>
                <w:rFonts w:ascii="Tahoma" w:eastAsia="Times New Roman" w:hAnsi="Tahoma" w:cs="Tahoma"/>
                <w:b/>
                <w:bCs/>
                <w:sz w:val="16"/>
                <w:szCs w:val="16"/>
                <w:lang w:eastAsia="hr-HR"/>
              </w:rPr>
            </w:pPr>
          </w:p>
        </w:tc>
        <w:tc>
          <w:tcPr>
            <w:tcW w:w="420" w:type="dxa"/>
            <w:vMerge/>
            <w:tcBorders>
              <w:top w:val="nil"/>
              <w:left w:val="single" w:sz="4" w:space="0" w:color="auto"/>
              <w:bottom w:val="single" w:sz="4" w:space="0" w:color="000000"/>
              <w:right w:val="single" w:sz="4" w:space="0" w:color="000000"/>
            </w:tcBorders>
            <w:vAlign w:val="center"/>
            <w:hideMark/>
          </w:tcPr>
          <w:p w14:paraId="0F4ABEBA" w14:textId="77777777" w:rsidR="00A72067" w:rsidRPr="00BF5E3C" w:rsidRDefault="00A72067" w:rsidP="00A72067">
            <w:pPr>
              <w:spacing w:after="0" w:line="240" w:lineRule="auto"/>
              <w:rPr>
                <w:rFonts w:ascii="Tahoma" w:eastAsia="Times New Roman" w:hAnsi="Tahoma" w:cs="Tahoma"/>
                <w:b/>
                <w:bCs/>
                <w:sz w:val="16"/>
                <w:szCs w:val="16"/>
                <w:lang w:eastAsia="hr-HR"/>
              </w:rPr>
            </w:pPr>
          </w:p>
        </w:tc>
        <w:tc>
          <w:tcPr>
            <w:tcW w:w="665" w:type="dxa"/>
            <w:tcBorders>
              <w:top w:val="nil"/>
              <w:left w:val="nil"/>
              <w:bottom w:val="nil"/>
              <w:right w:val="single" w:sz="4" w:space="0" w:color="auto"/>
            </w:tcBorders>
            <w:shd w:val="clear" w:color="000000" w:fill="CCFFCC"/>
            <w:textDirection w:val="btLr"/>
            <w:vAlign w:val="center"/>
            <w:hideMark/>
          </w:tcPr>
          <w:p w14:paraId="41838C62" w14:textId="77777777" w:rsidR="00A72067" w:rsidRPr="00BF5E3C" w:rsidRDefault="00A72067" w:rsidP="00A72067">
            <w:pPr>
              <w:spacing w:after="0" w:line="240" w:lineRule="auto"/>
              <w:jc w:val="center"/>
              <w:rPr>
                <w:rFonts w:ascii="Tahoma" w:eastAsia="Times New Roman" w:hAnsi="Tahoma" w:cs="Tahoma"/>
                <w:sz w:val="16"/>
                <w:szCs w:val="16"/>
                <w:lang w:eastAsia="hr-HR"/>
              </w:rPr>
            </w:pPr>
            <w:r w:rsidRPr="00BF5E3C">
              <w:rPr>
                <w:rFonts w:ascii="Tahoma" w:eastAsia="Times New Roman" w:hAnsi="Tahoma" w:cs="Tahoma"/>
                <w:sz w:val="16"/>
                <w:szCs w:val="16"/>
                <w:lang w:eastAsia="hr-HR"/>
              </w:rPr>
              <w:t>Žene</w:t>
            </w:r>
          </w:p>
        </w:tc>
        <w:tc>
          <w:tcPr>
            <w:tcW w:w="571" w:type="dxa"/>
            <w:tcBorders>
              <w:top w:val="nil"/>
              <w:left w:val="nil"/>
              <w:bottom w:val="nil"/>
              <w:right w:val="single" w:sz="4" w:space="0" w:color="auto"/>
            </w:tcBorders>
            <w:shd w:val="clear" w:color="000000" w:fill="CCFFCC"/>
            <w:textDirection w:val="btLr"/>
            <w:vAlign w:val="center"/>
            <w:hideMark/>
          </w:tcPr>
          <w:p w14:paraId="6EAD68E2" w14:textId="77777777" w:rsidR="00A72067" w:rsidRPr="00BF5E3C" w:rsidRDefault="00A72067" w:rsidP="00A72067">
            <w:pPr>
              <w:spacing w:after="0" w:line="240" w:lineRule="auto"/>
              <w:jc w:val="center"/>
              <w:rPr>
                <w:rFonts w:ascii="Tahoma" w:eastAsia="Times New Roman" w:hAnsi="Tahoma" w:cs="Tahoma"/>
                <w:sz w:val="16"/>
                <w:szCs w:val="16"/>
                <w:lang w:eastAsia="hr-HR"/>
              </w:rPr>
            </w:pPr>
            <w:r w:rsidRPr="00BF5E3C">
              <w:rPr>
                <w:rFonts w:ascii="Tahoma" w:eastAsia="Times New Roman" w:hAnsi="Tahoma" w:cs="Tahoma"/>
                <w:sz w:val="16"/>
                <w:szCs w:val="16"/>
                <w:lang w:eastAsia="hr-HR"/>
              </w:rPr>
              <w:t>Muškarci</w:t>
            </w:r>
          </w:p>
        </w:tc>
        <w:tc>
          <w:tcPr>
            <w:tcW w:w="700" w:type="dxa"/>
            <w:tcBorders>
              <w:top w:val="nil"/>
              <w:left w:val="nil"/>
              <w:bottom w:val="single" w:sz="4" w:space="0" w:color="auto"/>
              <w:right w:val="single" w:sz="4" w:space="0" w:color="auto"/>
            </w:tcBorders>
            <w:shd w:val="clear" w:color="000000" w:fill="CCFFCC"/>
            <w:textDirection w:val="btLr"/>
            <w:vAlign w:val="center"/>
            <w:hideMark/>
          </w:tcPr>
          <w:p w14:paraId="0D9DABC7" w14:textId="77777777" w:rsidR="00A72067" w:rsidRPr="00BF5E3C" w:rsidRDefault="00A72067" w:rsidP="00A72067">
            <w:pPr>
              <w:spacing w:after="0" w:line="240" w:lineRule="auto"/>
              <w:jc w:val="center"/>
              <w:rPr>
                <w:rFonts w:ascii="Tahoma" w:eastAsia="Times New Roman" w:hAnsi="Tahoma" w:cs="Tahoma"/>
                <w:sz w:val="16"/>
                <w:szCs w:val="16"/>
                <w:lang w:eastAsia="hr-HR"/>
              </w:rPr>
            </w:pPr>
            <w:r w:rsidRPr="00BF5E3C">
              <w:rPr>
                <w:rFonts w:ascii="Tahoma" w:eastAsia="Times New Roman" w:hAnsi="Tahoma" w:cs="Tahoma"/>
                <w:sz w:val="16"/>
                <w:szCs w:val="16"/>
                <w:lang w:eastAsia="hr-HR"/>
              </w:rPr>
              <w:t>UTVRĐENJE DISKRIMINACIJE (čl.17. st.1. toč.1. ZSD)</w:t>
            </w:r>
          </w:p>
        </w:tc>
        <w:tc>
          <w:tcPr>
            <w:tcW w:w="698" w:type="dxa"/>
            <w:tcBorders>
              <w:top w:val="nil"/>
              <w:left w:val="nil"/>
              <w:bottom w:val="single" w:sz="4" w:space="0" w:color="auto"/>
              <w:right w:val="single" w:sz="4" w:space="0" w:color="auto"/>
            </w:tcBorders>
            <w:shd w:val="clear" w:color="000000" w:fill="CCFFCC"/>
            <w:textDirection w:val="btLr"/>
            <w:vAlign w:val="center"/>
            <w:hideMark/>
          </w:tcPr>
          <w:p w14:paraId="74D3A690" w14:textId="77777777" w:rsidR="00A72067" w:rsidRPr="00BF5E3C" w:rsidRDefault="00A72067" w:rsidP="00A72067">
            <w:pPr>
              <w:spacing w:after="0" w:line="240" w:lineRule="auto"/>
              <w:jc w:val="center"/>
              <w:rPr>
                <w:rFonts w:ascii="Tahoma" w:eastAsia="Times New Roman" w:hAnsi="Tahoma" w:cs="Tahoma"/>
                <w:sz w:val="16"/>
                <w:szCs w:val="16"/>
                <w:lang w:eastAsia="hr-HR"/>
              </w:rPr>
            </w:pPr>
            <w:r w:rsidRPr="00BF5E3C">
              <w:rPr>
                <w:rFonts w:ascii="Tahoma" w:eastAsia="Times New Roman" w:hAnsi="Tahoma" w:cs="Tahoma"/>
                <w:sz w:val="16"/>
                <w:szCs w:val="16"/>
                <w:lang w:eastAsia="hr-HR"/>
              </w:rPr>
              <w:t>ZABRANA ILI OTKLANJANJE DISKRIMINACIJE (čl.17. st.1. toč.2. ZSD)</w:t>
            </w:r>
          </w:p>
        </w:tc>
        <w:tc>
          <w:tcPr>
            <w:tcW w:w="698" w:type="dxa"/>
            <w:tcBorders>
              <w:top w:val="nil"/>
              <w:left w:val="nil"/>
              <w:bottom w:val="single" w:sz="4" w:space="0" w:color="auto"/>
              <w:right w:val="single" w:sz="4" w:space="0" w:color="auto"/>
            </w:tcBorders>
            <w:shd w:val="clear" w:color="000000" w:fill="CCFFCC"/>
            <w:textDirection w:val="btLr"/>
            <w:vAlign w:val="center"/>
            <w:hideMark/>
          </w:tcPr>
          <w:p w14:paraId="76A9E822" w14:textId="77777777" w:rsidR="00A72067" w:rsidRPr="00BF5E3C" w:rsidRDefault="00A72067" w:rsidP="00A72067">
            <w:pPr>
              <w:spacing w:after="0" w:line="240" w:lineRule="auto"/>
              <w:jc w:val="center"/>
              <w:rPr>
                <w:rFonts w:ascii="Tahoma" w:eastAsia="Times New Roman" w:hAnsi="Tahoma" w:cs="Tahoma"/>
                <w:sz w:val="16"/>
                <w:szCs w:val="16"/>
                <w:lang w:eastAsia="hr-HR"/>
              </w:rPr>
            </w:pPr>
            <w:r w:rsidRPr="00BF5E3C">
              <w:rPr>
                <w:rFonts w:ascii="Tahoma" w:eastAsia="Times New Roman" w:hAnsi="Tahoma" w:cs="Tahoma"/>
                <w:sz w:val="16"/>
                <w:szCs w:val="16"/>
                <w:lang w:eastAsia="hr-HR"/>
              </w:rPr>
              <w:t>NAKNADA ŠTETE (čl.17. st.1. toč.3. ZSD)</w:t>
            </w:r>
          </w:p>
        </w:tc>
        <w:tc>
          <w:tcPr>
            <w:tcW w:w="698" w:type="dxa"/>
            <w:tcBorders>
              <w:top w:val="nil"/>
              <w:left w:val="nil"/>
              <w:bottom w:val="single" w:sz="4" w:space="0" w:color="auto"/>
              <w:right w:val="single" w:sz="4" w:space="0" w:color="auto"/>
            </w:tcBorders>
            <w:shd w:val="clear" w:color="000000" w:fill="CCFFCC"/>
            <w:textDirection w:val="btLr"/>
            <w:vAlign w:val="center"/>
            <w:hideMark/>
          </w:tcPr>
          <w:p w14:paraId="6F3B4A13" w14:textId="77777777" w:rsidR="00A72067" w:rsidRPr="00BF5E3C" w:rsidRDefault="00A72067" w:rsidP="00A72067">
            <w:pPr>
              <w:spacing w:after="0" w:line="240" w:lineRule="auto"/>
              <w:jc w:val="center"/>
              <w:rPr>
                <w:rFonts w:ascii="Tahoma" w:eastAsia="Times New Roman" w:hAnsi="Tahoma" w:cs="Tahoma"/>
                <w:sz w:val="16"/>
                <w:szCs w:val="16"/>
                <w:lang w:eastAsia="hr-HR"/>
              </w:rPr>
            </w:pPr>
            <w:r w:rsidRPr="00BF5E3C">
              <w:rPr>
                <w:rFonts w:ascii="Tahoma" w:eastAsia="Times New Roman" w:hAnsi="Tahoma" w:cs="Tahoma"/>
                <w:sz w:val="16"/>
                <w:szCs w:val="16"/>
                <w:lang w:eastAsia="hr-HR"/>
              </w:rPr>
              <w:t xml:space="preserve">OBJAVA PRESUDE U MEDIJIMA (čl. 17. st. 1. </w:t>
            </w:r>
            <w:proofErr w:type="spellStart"/>
            <w:r w:rsidRPr="00BF5E3C">
              <w:rPr>
                <w:rFonts w:ascii="Tahoma" w:eastAsia="Times New Roman" w:hAnsi="Tahoma" w:cs="Tahoma"/>
                <w:sz w:val="16"/>
                <w:szCs w:val="16"/>
                <w:lang w:eastAsia="hr-HR"/>
              </w:rPr>
              <w:t>toč</w:t>
            </w:r>
            <w:proofErr w:type="spellEnd"/>
            <w:r w:rsidRPr="00BF5E3C">
              <w:rPr>
                <w:rFonts w:ascii="Tahoma" w:eastAsia="Times New Roman" w:hAnsi="Tahoma" w:cs="Tahoma"/>
                <w:sz w:val="16"/>
                <w:szCs w:val="16"/>
                <w:lang w:eastAsia="hr-HR"/>
              </w:rPr>
              <w:t>. 4.)</w:t>
            </w:r>
          </w:p>
        </w:tc>
        <w:tc>
          <w:tcPr>
            <w:tcW w:w="527" w:type="dxa"/>
            <w:tcBorders>
              <w:top w:val="nil"/>
              <w:left w:val="nil"/>
              <w:bottom w:val="single" w:sz="4" w:space="0" w:color="auto"/>
              <w:right w:val="single" w:sz="4" w:space="0" w:color="auto"/>
            </w:tcBorders>
            <w:shd w:val="clear" w:color="000000" w:fill="CCFFCC"/>
            <w:textDirection w:val="btLr"/>
            <w:vAlign w:val="center"/>
            <w:hideMark/>
          </w:tcPr>
          <w:p w14:paraId="5095A021" w14:textId="77777777" w:rsidR="00A72067" w:rsidRPr="00BF5E3C" w:rsidRDefault="00A72067" w:rsidP="00A72067">
            <w:pPr>
              <w:spacing w:after="0" w:line="240" w:lineRule="auto"/>
              <w:jc w:val="center"/>
              <w:rPr>
                <w:rFonts w:ascii="Tahoma" w:eastAsia="Times New Roman" w:hAnsi="Tahoma" w:cs="Tahoma"/>
                <w:sz w:val="16"/>
                <w:szCs w:val="16"/>
                <w:lang w:eastAsia="hr-HR"/>
              </w:rPr>
            </w:pPr>
            <w:proofErr w:type="spellStart"/>
            <w:r w:rsidRPr="00BF5E3C">
              <w:rPr>
                <w:rFonts w:ascii="Tahoma" w:eastAsia="Times New Roman" w:hAnsi="Tahoma" w:cs="Tahoma"/>
                <w:sz w:val="16"/>
                <w:szCs w:val="16"/>
                <w:lang w:eastAsia="hr-HR"/>
              </w:rPr>
              <w:t>Udružne</w:t>
            </w:r>
            <w:proofErr w:type="spellEnd"/>
            <w:r w:rsidRPr="00BF5E3C">
              <w:rPr>
                <w:rFonts w:ascii="Tahoma" w:eastAsia="Times New Roman" w:hAnsi="Tahoma" w:cs="Tahoma"/>
                <w:sz w:val="16"/>
                <w:szCs w:val="16"/>
                <w:lang w:eastAsia="hr-HR"/>
              </w:rPr>
              <w:t xml:space="preserve"> tužbe (čl. 24. ZSD)</w:t>
            </w:r>
          </w:p>
        </w:tc>
        <w:tc>
          <w:tcPr>
            <w:tcW w:w="702" w:type="dxa"/>
            <w:tcBorders>
              <w:top w:val="nil"/>
              <w:left w:val="nil"/>
              <w:bottom w:val="single" w:sz="4" w:space="0" w:color="auto"/>
              <w:right w:val="single" w:sz="4" w:space="0" w:color="auto"/>
            </w:tcBorders>
            <w:shd w:val="clear" w:color="000000" w:fill="CCFFCC"/>
            <w:textDirection w:val="btLr"/>
            <w:vAlign w:val="center"/>
            <w:hideMark/>
          </w:tcPr>
          <w:p w14:paraId="172CFB1E" w14:textId="77777777" w:rsidR="00A72067" w:rsidRPr="00BF5E3C" w:rsidRDefault="00A72067" w:rsidP="00A72067">
            <w:pPr>
              <w:spacing w:after="0" w:line="240" w:lineRule="auto"/>
              <w:jc w:val="center"/>
              <w:rPr>
                <w:rFonts w:ascii="Tahoma" w:eastAsia="Times New Roman" w:hAnsi="Tahoma" w:cs="Tahoma"/>
                <w:sz w:val="16"/>
                <w:szCs w:val="16"/>
                <w:lang w:eastAsia="hr-HR"/>
              </w:rPr>
            </w:pPr>
            <w:r w:rsidRPr="00BF5E3C">
              <w:rPr>
                <w:rFonts w:ascii="Tahoma" w:eastAsia="Times New Roman" w:hAnsi="Tahoma" w:cs="Tahoma"/>
                <w:sz w:val="16"/>
                <w:szCs w:val="16"/>
                <w:lang w:eastAsia="hr-HR"/>
              </w:rPr>
              <w:t>OSTALO (odnosi se na čl. 16 st. 1 ZDS diskriminacija kao prethodno pitanje i st. 2 radni sporovi)</w:t>
            </w:r>
          </w:p>
        </w:tc>
        <w:tc>
          <w:tcPr>
            <w:tcW w:w="698" w:type="dxa"/>
            <w:tcBorders>
              <w:top w:val="nil"/>
              <w:left w:val="nil"/>
              <w:bottom w:val="single" w:sz="4" w:space="0" w:color="auto"/>
              <w:right w:val="single" w:sz="4" w:space="0" w:color="auto"/>
            </w:tcBorders>
            <w:shd w:val="clear" w:color="000000" w:fill="CCFFCC"/>
            <w:textDirection w:val="btLr"/>
            <w:vAlign w:val="center"/>
            <w:hideMark/>
          </w:tcPr>
          <w:p w14:paraId="33AA5B4E" w14:textId="77777777" w:rsidR="00A72067" w:rsidRPr="00BF5E3C" w:rsidRDefault="00A72067" w:rsidP="00A72067">
            <w:pPr>
              <w:spacing w:after="0" w:line="240" w:lineRule="auto"/>
              <w:jc w:val="center"/>
              <w:rPr>
                <w:rFonts w:ascii="Tahoma" w:eastAsia="Times New Roman" w:hAnsi="Tahoma" w:cs="Tahoma"/>
                <w:sz w:val="16"/>
                <w:szCs w:val="16"/>
                <w:lang w:eastAsia="hr-HR"/>
              </w:rPr>
            </w:pPr>
            <w:r w:rsidRPr="00BF5E3C">
              <w:rPr>
                <w:rFonts w:ascii="Tahoma" w:eastAsia="Times New Roman" w:hAnsi="Tahoma" w:cs="Tahoma"/>
                <w:sz w:val="16"/>
                <w:szCs w:val="16"/>
                <w:lang w:eastAsia="hr-HR"/>
              </w:rPr>
              <w:t xml:space="preserve">USVOJEN TUŽBENI ZAHTJEV </w:t>
            </w:r>
          </w:p>
        </w:tc>
        <w:tc>
          <w:tcPr>
            <w:tcW w:w="439" w:type="dxa"/>
            <w:tcBorders>
              <w:top w:val="nil"/>
              <w:left w:val="nil"/>
              <w:bottom w:val="single" w:sz="4" w:space="0" w:color="auto"/>
              <w:right w:val="single" w:sz="4" w:space="0" w:color="auto"/>
            </w:tcBorders>
            <w:shd w:val="clear" w:color="000000" w:fill="CCFFCC"/>
            <w:textDirection w:val="btLr"/>
            <w:vAlign w:val="center"/>
            <w:hideMark/>
          </w:tcPr>
          <w:p w14:paraId="297D9C06" w14:textId="77777777" w:rsidR="00A72067" w:rsidRPr="00BF5E3C" w:rsidRDefault="00A72067" w:rsidP="00A72067">
            <w:pPr>
              <w:spacing w:after="0" w:line="240" w:lineRule="auto"/>
              <w:jc w:val="center"/>
              <w:rPr>
                <w:rFonts w:ascii="Tahoma" w:eastAsia="Times New Roman" w:hAnsi="Tahoma" w:cs="Tahoma"/>
                <w:sz w:val="16"/>
                <w:szCs w:val="16"/>
                <w:lang w:eastAsia="hr-HR"/>
              </w:rPr>
            </w:pPr>
            <w:r w:rsidRPr="00BF5E3C">
              <w:rPr>
                <w:rFonts w:ascii="Tahoma" w:eastAsia="Times New Roman" w:hAnsi="Tahoma" w:cs="Tahoma"/>
                <w:sz w:val="16"/>
                <w:szCs w:val="16"/>
                <w:lang w:eastAsia="hr-HR"/>
              </w:rPr>
              <w:t>ODBIJEN TUŽBENI ZAHTJEV</w:t>
            </w:r>
          </w:p>
        </w:tc>
        <w:tc>
          <w:tcPr>
            <w:tcW w:w="439" w:type="dxa"/>
            <w:tcBorders>
              <w:top w:val="nil"/>
              <w:left w:val="nil"/>
              <w:bottom w:val="single" w:sz="4" w:space="0" w:color="auto"/>
              <w:right w:val="single" w:sz="4" w:space="0" w:color="auto"/>
            </w:tcBorders>
            <w:shd w:val="clear" w:color="000000" w:fill="CCFFCC"/>
            <w:textDirection w:val="btLr"/>
            <w:vAlign w:val="center"/>
            <w:hideMark/>
          </w:tcPr>
          <w:p w14:paraId="52D7601B" w14:textId="77777777" w:rsidR="00A72067" w:rsidRPr="00BF5E3C" w:rsidRDefault="00A72067" w:rsidP="00A72067">
            <w:pPr>
              <w:spacing w:after="0" w:line="240" w:lineRule="auto"/>
              <w:jc w:val="center"/>
              <w:rPr>
                <w:rFonts w:ascii="Tahoma" w:eastAsia="Times New Roman" w:hAnsi="Tahoma" w:cs="Tahoma"/>
                <w:sz w:val="16"/>
                <w:szCs w:val="16"/>
                <w:lang w:eastAsia="hr-HR"/>
              </w:rPr>
            </w:pPr>
            <w:r w:rsidRPr="00BF5E3C">
              <w:rPr>
                <w:rFonts w:ascii="Tahoma" w:eastAsia="Times New Roman" w:hAnsi="Tahoma" w:cs="Tahoma"/>
                <w:sz w:val="16"/>
                <w:szCs w:val="16"/>
                <w:lang w:eastAsia="hr-HR"/>
              </w:rPr>
              <w:t>NA DRUGI NAČIN</w:t>
            </w:r>
          </w:p>
        </w:tc>
        <w:tc>
          <w:tcPr>
            <w:tcW w:w="665" w:type="dxa"/>
            <w:tcBorders>
              <w:top w:val="nil"/>
              <w:left w:val="nil"/>
              <w:bottom w:val="single" w:sz="4" w:space="0" w:color="auto"/>
              <w:right w:val="single" w:sz="4" w:space="0" w:color="auto"/>
            </w:tcBorders>
            <w:shd w:val="clear" w:color="000000" w:fill="CCFFCC"/>
            <w:textDirection w:val="btLr"/>
            <w:vAlign w:val="center"/>
            <w:hideMark/>
          </w:tcPr>
          <w:p w14:paraId="2B8EC20D" w14:textId="77777777" w:rsidR="00A72067" w:rsidRPr="00BF5E3C" w:rsidRDefault="00A72067" w:rsidP="00A72067">
            <w:pPr>
              <w:spacing w:after="0" w:line="240" w:lineRule="auto"/>
              <w:jc w:val="center"/>
              <w:rPr>
                <w:rFonts w:ascii="Tahoma" w:eastAsia="Times New Roman" w:hAnsi="Tahoma" w:cs="Tahoma"/>
                <w:b/>
                <w:bCs/>
                <w:sz w:val="16"/>
                <w:szCs w:val="16"/>
                <w:lang w:eastAsia="hr-HR"/>
              </w:rPr>
            </w:pPr>
            <w:r w:rsidRPr="00BF5E3C">
              <w:rPr>
                <w:rFonts w:ascii="Tahoma" w:eastAsia="Times New Roman" w:hAnsi="Tahoma" w:cs="Tahoma"/>
                <w:b/>
                <w:bCs/>
                <w:sz w:val="16"/>
                <w:szCs w:val="16"/>
                <w:lang w:eastAsia="hr-HR"/>
              </w:rPr>
              <w:t>Ukupno pravomoćno riješeno</w:t>
            </w:r>
          </w:p>
        </w:tc>
        <w:tc>
          <w:tcPr>
            <w:tcW w:w="698" w:type="dxa"/>
            <w:tcBorders>
              <w:top w:val="nil"/>
              <w:left w:val="single" w:sz="4" w:space="0" w:color="auto"/>
              <w:bottom w:val="single" w:sz="4" w:space="0" w:color="000000"/>
              <w:right w:val="single" w:sz="4" w:space="0" w:color="auto"/>
            </w:tcBorders>
            <w:vAlign w:val="center"/>
            <w:hideMark/>
          </w:tcPr>
          <w:p w14:paraId="1EB74930" w14:textId="77777777" w:rsidR="00A72067" w:rsidRPr="00BF5E3C" w:rsidRDefault="00A72067" w:rsidP="00A72067">
            <w:pPr>
              <w:spacing w:after="0" w:line="240" w:lineRule="auto"/>
              <w:rPr>
                <w:rFonts w:ascii="Tahoma" w:eastAsia="Times New Roman" w:hAnsi="Tahoma" w:cs="Tahoma"/>
                <w:b/>
                <w:bCs/>
                <w:sz w:val="16"/>
                <w:szCs w:val="16"/>
                <w:lang w:eastAsia="hr-HR"/>
              </w:rPr>
            </w:pPr>
          </w:p>
        </w:tc>
        <w:tc>
          <w:tcPr>
            <w:tcW w:w="707" w:type="dxa"/>
            <w:tcBorders>
              <w:top w:val="nil"/>
              <w:left w:val="nil"/>
              <w:bottom w:val="nil"/>
              <w:right w:val="single" w:sz="4" w:space="0" w:color="auto"/>
            </w:tcBorders>
            <w:shd w:val="clear" w:color="000000" w:fill="FFCC00"/>
            <w:textDirection w:val="btLr"/>
            <w:vAlign w:val="center"/>
            <w:hideMark/>
          </w:tcPr>
          <w:p w14:paraId="787F6F74" w14:textId="77777777" w:rsidR="00A72067" w:rsidRPr="00BF5E3C" w:rsidRDefault="00A72067" w:rsidP="00A72067">
            <w:pPr>
              <w:spacing w:after="0" w:line="240" w:lineRule="auto"/>
              <w:jc w:val="center"/>
              <w:rPr>
                <w:rFonts w:ascii="Tahoma" w:eastAsia="Times New Roman" w:hAnsi="Tahoma" w:cs="Tahoma"/>
                <w:sz w:val="16"/>
                <w:szCs w:val="16"/>
                <w:lang w:eastAsia="hr-HR"/>
              </w:rPr>
            </w:pPr>
            <w:r w:rsidRPr="00BF5E3C">
              <w:rPr>
                <w:rFonts w:ascii="Tahoma" w:eastAsia="Times New Roman" w:hAnsi="Tahoma" w:cs="Tahoma"/>
                <w:sz w:val="16"/>
                <w:szCs w:val="16"/>
                <w:lang w:eastAsia="hr-HR"/>
              </w:rPr>
              <w:t>iz čl. 2. do 5. ZSD</w:t>
            </w:r>
          </w:p>
        </w:tc>
        <w:tc>
          <w:tcPr>
            <w:tcW w:w="707" w:type="dxa"/>
            <w:tcBorders>
              <w:top w:val="nil"/>
              <w:left w:val="nil"/>
              <w:bottom w:val="nil"/>
              <w:right w:val="single" w:sz="4" w:space="0" w:color="auto"/>
            </w:tcBorders>
            <w:shd w:val="clear" w:color="000000" w:fill="FFCC00"/>
            <w:textDirection w:val="btLr"/>
            <w:vAlign w:val="center"/>
            <w:hideMark/>
          </w:tcPr>
          <w:p w14:paraId="4BE3BE1C" w14:textId="77777777" w:rsidR="00A72067" w:rsidRPr="00BF5E3C" w:rsidRDefault="00A72067" w:rsidP="00A72067">
            <w:pPr>
              <w:spacing w:after="0" w:line="240" w:lineRule="auto"/>
              <w:jc w:val="center"/>
              <w:rPr>
                <w:rFonts w:ascii="Tahoma" w:eastAsia="Times New Roman" w:hAnsi="Tahoma" w:cs="Tahoma"/>
                <w:sz w:val="16"/>
                <w:szCs w:val="16"/>
                <w:lang w:eastAsia="hr-HR"/>
              </w:rPr>
            </w:pPr>
            <w:r w:rsidRPr="00BF5E3C">
              <w:rPr>
                <w:rFonts w:ascii="Tahoma" w:eastAsia="Times New Roman" w:hAnsi="Tahoma" w:cs="Tahoma"/>
                <w:sz w:val="16"/>
                <w:szCs w:val="16"/>
                <w:lang w:eastAsia="hr-HR"/>
              </w:rPr>
              <w:t xml:space="preserve">iz čl. 6 ZSD </w:t>
            </w:r>
          </w:p>
        </w:tc>
        <w:tc>
          <w:tcPr>
            <w:tcW w:w="698" w:type="dxa"/>
            <w:tcBorders>
              <w:top w:val="nil"/>
              <w:left w:val="single" w:sz="4" w:space="0" w:color="auto"/>
              <w:bottom w:val="single" w:sz="4" w:space="0" w:color="auto"/>
              <w:right w:val="single" w:sz="4" w:space="0" w:color="000000"/>
            </w:tcBorders>
            <w:vAlign w:val="center"/>
            <w:hideMark/>
          </w:tcPr>
          <w:p w14:paraId="7B011382" w14:textId="77777777" w:rsidR="00A72067" w:rsidRPr="00BF5E3C" w:rsidRDefault="00A72067" w:rsidP="00A72067">
            <w:pPr>
              <w:spacing w:after="0" w:line="240" w:lineRule="auto"/>
              <w:rPr>
                <w:rFonts w:ascii="Tahoma" w:eastAsia="Times New Roman" w:hAnsi="Tahoma" w:cs="Tahoma"/>
                <w:sz w:val="16"/>
                <w:szCs w:val="16"/>
                <w:lang w:eastAsia="hr-HR"/>
              </w:rPr>
            </w:pPr>
          </w:p>
        </w:tc>
        <w:tc>
          <w:tcPr>
            <w:tcW w:w="377" w:type="dxa"/>
            <w:tcBorders>
              <w:top w:val="nil"/>
              <w:left w:val="nil"/>
              <w:bottom w:val="single" w:sz="4" w:space="0" w:color="auto"/>
              <w:right w:val="single" w:sz="4" w:space="0" w:color="auto"/>
            </w:tcBorders>
            <w:shd w:val="clear" w:color="000000" w:fill="CCFFCC"/>
            <w:textDirection w:val="btLr"/>
            <w:vAlign w:val="center"/>
            <w:hideMark/>
          </w:tcPr>
          <w:p w14:paraId="73564C2C" w14:textId="77777777" w:rsidR="00A72067" w:rsidRPr="00BF5E3C" w:rsidRDefault="00A72067" w:rsidP="00A72067">
            <w:pPr>
              <w:spacing w:after="0" w:line="240" w:lineRule="auto"/>
              <w:jc w:val="center"/>
              <w:rPr>
                <w:rFonts w:ascii="Tahoma" w:eastAsia="Times New Roman" w:hAnsi="Tahoma" w:cs="Tahoma"/>
                <w:sz w:val="16"/>
                <w:szCs w:val="16"/>
                <w:lang w:eastAsia="hr-HR"/>
              </w:rPr>
            </w:pPr>
            <w:r w:rsidRPr="00BF5E3C">
              <w:rPr>
                <w:rFonts w:ascii="Tahoma" w:eastAsia="Times New Roman" w:hAnsi="Tahoma" w:cs="Tahoma"/>
                <w:sz w:val="16"/>
                <w:szCs w:val="16"/>
                <w:lang w:eastAsia="hr-HR"/>
              </w:rPr>
              <w:t xml:space="preserve">Žene </w:t>
            </w:r>
          </w:p>
        </w:tc>
        <w:tc>
          <w:tcPr>
            <w:tcW w:w="388" w:type="dxa"/>
            <w:tcBorders>
              <w:top w:val="nil"/>
              <w:left w:val="nil"/>
              <w:bottom w:val="single" w:sz="4" w:space="0" w:color="auto"/>
              <w:right w:val="single" w:sz="4" w:space="0" w:color="auto"/>
            </w:tcBorders>
            <w:shd w:val="clear" w:color="000000" w:fill="CCFFCC"/>
            <w:textDirection w:val="btLr"/>
            <w:vAlign w:val="center"/>
            <w:hideMark/>
          </w:tcPr>
          <w:p w14:paraId="50B52E31" w14:textId="77777777" w:rsidR="00A72067" w:rsidRPr="00BF5E3C" w:rsidRDefault="00A72067" w:rsidP="00A72067">
            <w:pPr>
              <w:spacing w:after="0" w:line="240" w:lineRule="auto"/>
              <w:jc w:val="center"/>
              <w:rPr>
                <w:rFonts w:ascii="Tahoma" w:eastAsia="Times New Roman" w:hAnsi="Tahoma" w:cs="Tahoma"/>
                <w:sz w:val="16"/>
                <w:szCs w:val="16"/>
                <w:lang w:eastAsia="hr-HR"/>
              </w:rPr>
            </w:pPr>
            <w:r w:rsidRPr="00BF5E3C">
              <w:rPr>
                <w:rFonts w:ascii="Tahoma" w:eastAsia="Times New Roman" w:hAnsi="Tahoma" w:cs="Tahoma"/>
                <w:sz w:val="16"/>
                <w:szCs w:val="16"/>
                <w:lang w:eastAsia="hr-HR"/>
              </w:rPr>
              <w:t>Muškarci</w:t>
            </w:r>
          </w:p>
        </w:tc>
        <w:tc>
          <w:tcPr>
            <w:tcW w:w="399" w:type="dxa"/>
            <w:tcBorders>
              <w:top w:val="nil"/>
              <w:left w:val="nil"/>
              <w:bottom w:val="single" w:sz="4" w:space="0" w:color="auto"/>
              <w:right w:val="single" w:sz="4" w:space="0" w:color="auto"/>
            </w:tcBorders>
            <w:shd w:val="clear" w:color="000000" w:fill="CCFFCC"/>
            <w:textDirection w:val="btLr"/>
            <w:vAlign w:val="center"/>
            <w:hideMark/>
          </w:tcPr>
          <w:p w14:paraId="51B9F188" w14:textId="77777777" w:rsidR="00A72067" w:rsidRPr="00BF5E3C" w:rsidRDefault="00A72067" w:rsidP="00A72067">
            <w:pPr>
              <w:spacing w:after="0" w:line="240" w:lineRule="auto"/>
              <w:jc w:val="center"/>
              <w:rPr>
                <w:rFonts w:ascii="Tahoma" w:eastAsia="Times New Roman" w:hAnsi="Tahoma" w:cs="Tahoma"/>
                <w:sz w:val="16"/>
                <w:szCs w:val="16"/>
                <w:lang w:eastAsia="hr-HR"/>
              </w:rPr>
            </w:pPr>
            <w:r w:rsidRPr="00BF5E3C">
              <w:rPr>
                <w:rFonts w:ascii="Tahoma" w:eastAsia="Times New Roman" w:hAnsi="Tahoma" w:cs="Tahoma"/>
                <w:sz w:val="16"/>
                <w:szCs w:val="16"/>
                <w:lang w:eastAsia="hr-HR"/>
              </w:rPr>
              <w:t>Ostalo</w:t>
            </w:r>
          </w:p>
        </w:tc>
        <w:tc>
          <w:tcPr>
            <w:tcW w:w="489" w:type="dxa"/>
            <w:gridSpan w:val="2"/>
            <w:tcBorders>
              <w:top w:val="nil"/>
              <w:left w:val="nil"/>
              <w:bottom w:val="single" w:sz="4" w:space="0" w:color="auto"/>
              <w:right w:val="single" w:sz="4" w:space="0" w:color="auto"/>
            </w:tcBorders>
            <w:shd w:val="clear" w:color="000000" w:fill="CCFFCC"/>
            <w:textDirection w:val="btLr"/>
            <w:vAlign w:val="center"/>
            <w:hideMark/>
          </w:tcPr>
          <w:p w14:paraId="6573BF2D" w14:textId="77777777" w:rsidR="00A72067" w:rsidRPr="00BF5E3C" w:rsidRDefault="00A72067" w:rsidP="00A72067">
            <w:pPr>
              <w:spacing w:after="0" w:line="240" w:lineRule="auto"/>
              <w:jc w:val="center"/>
              <w:rPr>
                <w:rFonts w:ascii="Tahoma" w:eastAsia="Times New Roman" w:hAnsi="Tahoma" w:cs="Tahoma"/>
                <w:sz w:val="16"/>
                <w:szCs w:val="16"/>
                <w:lang w:eastAsia="hr-HR"/>
              </w:rPr>
            </w:pPr>
            <w:r w:rsidRPr="00BF5E3C">
              <w:rPr>
                <w:rFonts w:ascii="Tahoma" w:eastAsia="Times New Roman" w:hAnsi="Tahoma" w:cs="Tahoma"/>
                <w:sz w:val="16"/>
                <w:szCs w:val="16"/>
                <w:lang w:eastAsia="hr-HR"/>
              </w:rPr>
              <w:t xml:space="preserve"> DO 12 MJESECI</w:t>
            </w:r>
          </w:p>
        </w:tc>
        <w:tc>
          <w:tcPr>
            <w:tcW w:w="425" w:type="dxa"/>
            <w:tcBorders>
              <w:top w:val="nil"/>
              <w:left w:val="nil"/>
              <w:bottom w:val="single" w:sz="4" w:space="0" w:color="auto"/>
              <w:right w:val="single" w:sz="8" w:space="0" w:color="auto"/>
            </w:tcBorders>
            <w:shd w:val="clear" w:color="000000" w:fill="CCFFCC"/>
            <w:textDirection w:val="btLr"/>
            <w:vAlign w:val="center"/>
            <w:hideMark/>
          </w:tcPr>
          <w:p w14:paraId="247A1A36" w14:textId="77777777" w:rsidR="00A72067" w:rsidRPr="00BF5E3C" w:rsidRDefault="00A72067" w:rsidP="00A72067">
            <w:pPr>
              <w:spacing w:after="0" w:line="240" w:lineRule="auto"/>
              <w:jc w:val="center"/>
              <w:rPr>
                <w:rFonts w:ascii="Tahoma" w:eastAsia="Times New Roman" w:hAnsi="Tahoma" w:cs="Tahoma"/>
                <w:sz w:val="16"/>
                <w:szCs w:val="16"/>
                <w:lang w:eastAsia="hr-HR"/>
              </w:rPr>
            </w:pPr>
            <w:r w:rsidRPr="00BF5E3C">
              <w:rPr>
                <w:rFonts w:ascii="Tahoma" w:eastAsia="Times New Roman" w:hAnsi="Tahoma" w:cs="Tahoma"/>
                <w:sz w:val="16"/>
                <w:szCs w:val="16"/>
                <w:lang w:eastAsia="hr-HR"/>
              </w:rPr>
              <w:t>PREKO 12 MJESECI</w:t>
            </w:r>
          </w:p>
        </w:tc>
        <w:tc>
          <w:tcPr>
            <w:tcW w:w="236" w:type="dxa"/>
            <w:vAlign w:val="center"/>
            <w:hideMark/>
          </w:tcPr>
          <w:p w14:paraId="7B4C3C91" w14:textId="77777777" w:rsidR="00A72067" w:rsidRPr="00BF5E3C" w:rsidRDefault="00A72067" w:rsidP="00A72067">
            <w:pPr>
              <w:spacing w:after="0" w:line="240" w:lineRule="auto"/>
              <w:rPr>
                <w:rFonts w:ascii="Times New Roman" w:eastAsia="Times New Roman" w:hAnsi="Times New Roman" w:cs="Times New Roman"/>
                <w:sz w:val="16"/>
                <w:szCs w:val="16"/>
                <w:lang w:eastAsia="hr-HR"/>
              </w:rPr>
            </w:pPr>
          </w:p>
        </w:tc>
      </w:tr>
      <w:tr w:rsidR="00F90F6F" w:rsidRPr="00BF5E3C" w14:paraId="597C6FC6" w14:textId="77777777" w:rsidTr="00F90F6F">
        <w:trPr>
          <w:gridAfter w:val="1"/>
          <w:wAfter w:w="32" w:type="dxa"/>
          <w:trHeight w:val="330"/>
        </w:trPr>
        <w:tc>
          <w:tcPr>
            <w:tcW w:w="979" w:type="dxa"/>
            <w:tcBorders>
              <w:top w:val="nil"/>
              <w:left w:val="single" w:sz="8" w:space="0" w:color="auto"/>
              <w:bottom w:val="single" w:sz="4" w:space="0" w:color="auto"/>
              <w:right w:val="nil"/>
            </w:tcBorders>
            <w:shd w:val="clear" w:color="000000" w:fill="CCFFCC"/>
            <w:vAlign w:val="center"/>
            <w:hideMark/>
          </w:tcPr>
          <w:p w14:paraId="76C6578E" w14:textId="77777777" w:rsidR="00A72067" w:rsidRPr="00BF5E3C" w:rsidRDefault="00A72067" w:rsidP="00A72067">
            <w:pPr>
              <w:spacing w:after="0" w:line="240" w:lineRule="auto"/>
              <w:jc w:val="center"/>
              <w:rPr>
                <w:rFonts w:ascii="Tahoma" w:eastAsia="Times New Roman" w:hAnsi="Tahoma" w:cs="Tahoma"/>
                <w:sz w:val="16"/>
                <w:szCs w:val="16"/>
                <w:lang w:eastAsia="hr-HR"/>
              </w:rPr>
            </w:pPr>
            <w:r w:rsidRPr="00BF5E3C">
              <w:rPr>
                <w:rFonts w:ascii="Tahoma" w:eastAsia="Times New Roman" w:hAnsi="Tahoma" w:cs="Tahoma"/>
                <w:sz w:val="16"/>
                <w:szCs w:val="16"/>
                <w:lang w:eastAsia="hr-HR"/>
              </w:rPr>
              <w:t>1.</w:t>
            </w:r>
          </w:p>
        </w:tc>
        <w:tc>
          <w:tcPr>
            <w:tcW w:w="520" w:type="dxa"/>
            <w:tcBorders>
              <w:top w:val="nil"/>
              <w:left w:val="single" w:sz="4" w:space="0" w:color="auto"/>
              <w:bottom w:val="single" w:sz="4" w:space="0" w:color="auto"/>
              <w:right w:val="single" w:sz="4" w:space="0" w:color="auto"/>
            </w:tcBorders>
            <w:shd w:val="clear" w:color="000000" w:fill="CCFFCC"/>
            <w:noWrap/>
            <w:vAlign w:val="center"/>
            <w:hideMark/>
          </w:tcPr>
          <w:p w14:paraId="3219DB85" w14:textId="77777777" w:rsidR="00A72067" w:rsidRPr="00BF5E3C" w:rsidRDefault="00A72067" w:rsidP="00A72067">
            <w:pPr>
              <w:spacing w:after="0" w:line="240" w:lineRule="auto"/>
              <w:jc w:val="center"/>
              <w:rPr>
                <w:rFonts w:ascii="Tahoma" w:eastAsia="Times New Roman" w:hAnsi="Tahoma" w:cs="Tahoma"/>
                <w:sz w:val="16"/>
                <w:szCs w:val="16"/>
                <w:lang w:eastAsia="hr-HR"/>
              </w:rPr>
            </w:pPr>
            <w:r w:rsidRPr="00BF5E3C">
              <w:rPr>
                <w:rFonts w:ascii="Tahoma" w:eastAsia="Times New Roman" w:hAnsi="Tahoma" w:cs="Tahoma"/>
                <w:sz w:val="16"/>
                <w:szCs w:val="16"/>
                <w:lang w:eastAsia="hr-HR"/>
              </w:rPr>
              <w:t>2.</w:t>
            </w:r>
          </w:p>
        </w:tc>
        <w:tc>
          <w:tcPr>
            <w:tcW w:w="420" w:type="dxa"/>
            <w:tcBorders>
              <w:top w:val="nil"/>
              <w:left w:val="nil"/>
              <w:bottom w:val="single" w:sz="4" w:space="0" w:color="auto"/>
              <w:right w:val="single" w:sz="4" w:space="0" w:color="auto"/>
            </w:tcBorders>
            <w:shd w:val="clear" w:color="000000" w:fill="CCFFCC"/>
            <w:noWrap/>
            <w:vAlign w:val="center"/>
            <w:hideMark/>
          </w:tcPr>
          <w:p w14:paraId="25075DC0" w14:textId="77777777" w:rsidR="00A72067" w:rsidRPr="00BF5E3C" w:rsidRDefault="00A72067" w:rsidP="00A72067">
            <w:pPr>
              <w:spacing w:after="0" w:line="240" w:lineRule="auto"/>
              <w:jc w:val="center"/>
              <w:rPr>
                <w:rFonts w:ascii="Tahoma" w:eastAsia="Times New Roman" w:hAnsi="Tahoma" w:cs="Tahoma"/>
                <w:sz w:val="16"/>
                <w:szCs w:val="16"/>
                <w:lang w:eastAsia="hr-HR"/>
              </w:rPr>
            </w:pPr>
            <w:r w:rsidRPr="00BF5E3C">
              <w:rPr>
                <w:rFonts w:ascii="Tahoma" w:eastAsia="Times New Roman" w:hAnsi="Tahoma" w:cs="Tahoma"/>
                <w:sz w:val="16"/>
                <w:szCs w:val="16"/>
                <w:lang w:eastAsia="hr-HR"/>
              </w:rPr>
              <w:t>3.</w:t>
            </w:r>
          </w:p>
        </w:tc>
        <w:tc>
          <w:tcPr>
            <w:tcW w:w="665" w:type="dxa"/>
            <w:tcBorders>
              <w:top w:val="single" w:sz="4" w:space="0" w:color="auto"/>
              <w:left w:val="nil"/>
              <w:bottom w:val="single" w:sz="4" w:space="0" w:color="auto"/>
              <w:right w:val="single" w:sz="4" w:space="0" w:color="auto"/>
            </w:tcBorders>
            <w:shd w:val="clear" w:color="000000" w:fill="CCFFCC"/>
            <w:noWrap/>
            <w:vAlign w:val="center"/>
            <w:hideMark/>
          </w:tcPr>
          <w:p w14:paraId="26A45FD3" w14:textId="77777777" w:rsidR="00A72067" w:rsidRPr="00BF5E3C" w:rsidRDefault="00A72067" w:rsidP="00A72067">
            <w:pPr>
              <w:spacing w:after="0" w:line="240" w:lineRule="auto"/>
              <w:jc w:val="center"/>
              <w:rPr>
                <w:rFonts w:ascii="Tahoma" w:eastAsia="Times New Roman" w:hAnsi="Tahoma" w:cs="Tahoma"/>
                <w:sz w:val="16"/>
                <w:szCs w:val="16"/>
                <w:lang w:eastAsia="hr-HR"/>
              </w:rPr>
            </w:pPr>
            <w:r w:rsidRPr="00BF5E3C">
              <w:rPr>
                <w:rFonts w:ascii="Tahoma" w:eastAsia="Times New Roman" w:hAnsi="Tahoma" w:cs="Tahoma"/>
                <w:sz w:val="16"/>
                <w:szCs w:val="16"/>
                <w:lang w:eastAsia="hr-HR"/>
              </w:rPr>
              <w:t>4.</w:t>
            </w:r>
          </w:p>
        </w:tc>
        <w:tc>
          <w:tcPr>
            <w:tcW w:w="571" w:type="dxa"/>
            <w:tcBorders>
              <w:top w:val="single" w:sz="4" w:space="0" w:color="auto"/>
              <w:left w:val="nil"/>
              <w:bottom w:val="single" w:sz="4" w:space="0" w:color="auto"/>
              <w:right w:val="single" w:sz="4" w:space="0" w:color="auto"/>
            </w:tcBorders>
            <w:shd w:val="clear" w:color="000000" w:fill="CCFFCC"/>
            <w:noWrap/>
            <w:vAlign w:val="center"/>
            <w:hideMark/>
          </w:tcPr>
          <w:p w14:paraId="0AFCE9A9" w14:textId="77777777" w:rsidR="00A72067" w:rsidRPr="00BF5E3C" w:rsidRDefault="00A72067" w:rsidP="00A72067">
            <w:pPr>
              <w:spacing w:after="0" w:line="240" w:lineRule="auto"/>
              <w:jc w:val="center"/>
              <w:rPr>
                <w:rFonts w:ascii="Tahoma" w:eastAsia="Times New Roman" w:hAnsi="Tahoma" w:cs="Tahoma"/>
                <w:sz w:val="16"/>
                <w:szCs w:val="16"/>
                <w:lang w:eastAsia="hr-HR"/>
              </w:rPr>
            </w:pPr>
            <w:r w:rsidRPr="00BF5E3C">
              <w:rPr>
                <w:rFonts w:ascii="Tahoma" w:eastAsia="Times New Roman" w:hAnsi="Tahoma" w:cs="Tahoma"/>
                <w:sz w:val="16"/>
                <w:szCs w:val="16"/>
                <w:lang w:eastAsia="hr-HR"/>
              </w:rPr>
              <w:t>5.</w:t>
            </w:r>
          </w:p>
        </w:tc>
        <w:tc>
          <w:tcPr>
            <w:tcW w:w="700" w:type="dxa"/>
            <w:tcBorders>
              <w:top w:val="nil"/>
              <w:left w:val="nil"/>
              <w:bottom w:val="single" w:sz="4" w:space="0" w:color="auto"/>
              <w:right w:val="single" w:sz="4" w:space="0" w:color="auto"/>
            </w:tcBorders>
            <w:shd w:val="clear" w:color="000000" w:fill="CCFFCC"/>
            <w:noWrap/>
            <w:vAlign w:val="center"/>
            <w:hideMark/>
          </w:tcPr>
          <w:p w14:paraId="239CC13A" w14:textId="77777777" w:rsidR="00A72067" w:rsidRPr="00BF5E3C" w:rsidRDefault="00A72067" w:rsidP="00A72067">
            <w:pPr>
              <w:spacing w:after="0" w:line="240" w:lineRule="auto"/>
              <w:jc w:val="center"/>
              <w:rPr>
                <w:rFonts w:ascii="Tahoma" w:eastAsia="Times New Roman" w:hAnsi="Tahoma" w:cs="Tahoma"/>
                <w:sz w:val="16"/>
                <w:szCs w:val="16"/>
                <w:lang w:eastAsia="hr-HR"/>
              </w:rPr>
            </w:pPr>
            <w:r w:rsidRPr="00BF5E3C">
              <w:rPr>
                <w:rFonts w:ascii="Tahoma" w:eastAsia="Times New Roman" w:hAnsi="Tahoma" w:cs="Tahoma"/>
                <w:sz w:val="16"/>
                <w:szCs w:val="16"/>
                <w:lang w:eastAsia="hr-HR"/>
              </w:rPr>
              <w:t>6.</w:t>
            </w:r>
          </w:p>
        </w:tc>
        <w:tc>
          <w:tcPr>
            <w:tcW w:w="698" w:type="dxa"/>
            <w:tcBorders>
              <w:top w:val="nil"/>
              <w:left w:val="nil"/>
              <w:bottom w:val="single" w:sz="4" w:space="0" w:color="auto"/>
              <w:right w:val="single" w:sz="4" w:space="0" w:color="auto"/>
            </w:tcBorders>
            <w:shd w:val="clear" w:color="000000" w:fill="CCFFCC"/>
            <w:noWrap/>
            <w:vAlign w:val="center"/>
            <w:hideMark/>
          </w:tcPr>
          <w:p w14:paraId="4FAD96D3" w14:textId="77777777" w:rsidR="00A72067" w:rsidRPr="00BF5E3C" w:rsidRDefault="00A72067" w:rsidP="00A72067">
            <w:pPr>
              <w:spacing w:after="0" w:line="240" w:lineRule="auto"/>
              <w:jc w:val="center"/>
              <w:rPr>
                <w:rFonts w:ascii="Tahoma" w:eastAsia="Times New Roman" w:hAnsi="Tahoma" w:cs="Tahoma"/>
                <w:sz w:val="16"/>
                <w:szCs w:val="16"/>
                <w:lang w:eastAsia="hr-HR"/>
              </w:rPr>
            </w:pPr>
            <w:r w:rsidRPr="00BF5E3C">
              <w:rPr>
                <w:rFonts w:ascii="Tahoma" w:eastAsia="Times New Roman" w:hAnsi="Tahoma" w:cs="Tahoma"/>
                <w:sz w:val="16"/>
                <w:szCs w:val="16"/>
                <w:lang w:eastAsia="hr-HR"/>
              </w:rPr>
              <w:t>7.</w:t>
            </w:r>
          </w:p>
        </w:tc>
        <w:tc>
          <w:tcPr>
            <w:tcW w:w="698" w:type="dxa"/>
            <w:tcBorders>
              <w:top w:val="nil"/>
              <w:left w:val="nil"/>
              <w:bottom w:val="single" w:sz="4" w:space="0" w:color="auto"/>
              <w:right w:val="single" w:sz="4" w:space="0" w:color="auto"/>
            </w:tcBorders>
            <w:shd w:val="clear" w:color="000000" w:fill="CCFFCC"/>
            <w:noWrap/>
            <w:vAlign w:val="center"/>
            <w:hideMark/>
          </w:tcPr>
          <w:p w14:paraId="518004CD" w14:textId="77777777" w:rsidR="00A72067" w:rsidRPr="00BF5E3C" w:rsidRDefault="00A72067" w:rsidP="00A72067">
            <w:pPr>
              <w:spacing w:after="0" w:line="240" w:lineRule="auto"/>
              <w:jc w:val="center"/>
              <w:rPr>
                <w:rFonts w:ascii="Tahoma" w:eastAsia="Times New Roman" w:hAnsi="Tahoma" w:cs="Tahoma"/>
                <w:sz w:val="16"/>
                <w:szCs w:val="16"/>
                <w:lang w:eastAsia="hr-HR"/>
              </w:rPr>
            </w:pPr>
            <w:r w:rsidRPr="00BF5E3C">
              <w:rPr>
                <w:rFonts w:ascii="Tahoma" w:eastAsia="Times New Roman" w:hAnsi="Tahoma" w:cs="Tahoma"/>
                <w:sz w:val="16"/>
                <w:szCs w:val="16"/>
                <w:lang w:eastAsia="hr-HR"/>
              </w:rPr>
              <w:t>8.</w:t>
            </w:r>
          </w:p>
        </w:tc>
        <w:tc>
          <w:tcPr>
            <w:tcW w:w="698" w:type="dxa"/>
            <w:tcBorders>
              <w:top w:val="nil"/>
              <w:left w:val="nil"/>
              <w:bottom w:val="single" w:sz="4" w:space="0" w:color="auto"/>
              <w:right w:val="single" w:sz="4" w:space="0" w:color="auto"/>
            </w:tcBorders>
            <w:shd w:val="clear" w:color="000000" w:fill="CCFFCC"/>
            <w:noWrap/>
            <w:vAlign w:val="center"/>
            <w:hideMark/>
          </w:tcPr>
          <w:p w14:paraId="374518BF" w14:textId="77777777" w:rsidR="00A72067" w:rsidRPr="00BF5E3C" w:rsidRDefault="00A72067" w:rsidP="00A72067">
            <w:pPr>
              <w:spacing w:after="0" w:line="240" w:lineRule="auto"/>
              <w:jc w:val="center"/>
              <w:rPr>
                <w:rFonts w:ascii="Tahoma" w:eastAsia="Times New Roman" w:hAnsi="Tahoma" w:cs="Tahoma"/>
                <w:sz w:val="16"/>
                <w:szCs w:val="16"/>
                <w:lang w:eastAsia="hr-HR"/>
              </w:rPr>
            </w:pPr>
            <w:r w:rsidRPr="00BF5E3C">
              <w:rPr>
                <w:rFonts w:ascii="Tahoma" w:eastAsia="Times New Roman" w:hAnsi="Tahoma" w:cs="Tahoma"/>
                <w:sz w:val="16"/>
                <w:szCs w:val="16"/>
                <w:lang w:eastAsia="hr-HR"/>
              </w:rPr>
              <w:t>9.</w:t>
            </w:r>
          </w:p>
        </w:tc>
        <w:tc>
          <w:tcPr>
            <w:tcW w:w="527" w:type="dxa"/>
            <w:tcBorders>
              <w:top w:val="nil"/>
              <w:left w:val="nil"/>
              <w:bottom w:val="single" w:sz="4" w:space="0" w:color="auto"/>
              <w:right w:val="single" w:sz="4" w:space="0" w:color="auto"/>
            </w:tcBorders>
            <w:shd w:val="clear" w:color="000000" w:fill="CCFFCC"/>
            <w:noWrap/>
            <w:vAlign w:val="center"/>
            <w:hideMark/>
          </w:tcPr>
          <w:p w14:paraId="70D31CEB" w14:textId="77777777" w:rsidR="00A72067" w:rsidRPr="00BF5E3C" w:rsidRDefault="00A72067" w:rsidP="00A72067">
            <w:pPr>
              <w:spacing w:after="0" w:line="240" w:lineRule="auto"/>
              <w:jc w:val="center"/>
              <w:rPr>
                <w:rFonts w:ascii="Tahoma" w:eastAsia="Times New Roman" w:hAnsi="Tahoma" w:cs="Tahoma"/>
                <w:sz w:val="16"/>
                <w:szCs w:val="16"/>
                <w:lang w:eastAsia="hr-HR"/>
              </w:rPr>
            </w:pPr>
            <w:r w:rsidRPr="00BF5E3C">
              <w:rPr>
                <w:rFonts w:ascii="Tahoma" w:eastAsia="Times New Roman" w:hAnsi="Tahoma" w:cs="Tahoma"/>
                <w:sz w:val="16"/>
                <w:szCs w:val="16"/>
                <w:lang w:eastAsia="hr-HR"/>
              </w:rPr>
              <w:t>10.</w:t>
            </w:r>
          </w:p>
        </w:tc>
        <w:tc>
          <w:tcPr>
            <w:tcW w:w="702" w:type="dxa"/>
            <w:tcBorders>
              <w:top w:val="nil"/>
              <w:left w:val="nil"/>
              <w:bottom w:val="single" w:sz="4" w:space="0" w:color="auto"/>
              <w:right w:val="single" w:sz="4" w:space="0" w:color="auto"/>
            </w:tcBorders>
            <w:shd w:val="clear" w:color="000000" w:fill="CCFFCC"/>
            <w:noWrap/>
            <w:vAlign w:val="center"/>
            <w:hideMark/>
          </w:tcPr>
          <w:p w14:paraId="6E0952C9" w14:textId="77777777" w:rsidR="00A72067" w:rsidRPr="00BF5E3C" w:rsidRDefault="00A72067" w:rsidP="00A72067">
            <w:pPr>
              <w:spacing w:after="0" w:line="240" w:lineRule="auto"/>
              <w:jc w:val="center"/>
              <w:rPr>
                <w:rFonts w:ascii="Tahoma" w:eastAsia="Times New Roman" w:hAnsi="Tahoma" w:cs="Tahoma"/>
                <w:sz w:val="16"/>
                <w:szCs w:val="16"/>
                <w:lang w:eastAsia="hr-HR"/>
              </w:rPr>
            </w:pPr>
            <w:r w:rsidRPr="00BF5E3C">
              <w:rPr>
                <w:rFonts w:ascii="Tahoma" w:eastAsia="Times New Roman" w:hAnsi="Tahoma" w:cs="Tahoma"/>
                <w:sz w:val="16"/>
                <w:szCs w:val="16"/>
                <w:lang w:eastAsia="hr-HR"/>
              </w:rPr>
              <w:t>11.</w:t>
            </w:r>
          </w:p>
        </w:tc>
        <w:tc>
          <w:tcPr>
            <w:tcW w:w="698" w:type="dxa"/>
            <w:tcBorders>
              <w:top w:val="nil"/>
              <w:left w:val="nil"/>
              <w:bottom w:val="single" w:sz="4" w:space="0" w:color="auto"/>
              <w:right w:val="single" w:sz="4" w:space="0" w:color="auto"/>
            </w:tcBorders>
            <w:shd w:val="clear" w:color="000000" w:fill="CCFFCC"/>
            <w:noWrap/>
            <w:vAlign w:val="center"/>
            <w:hideMark/>
          </w:tcPr>
          <w:p w14:paraId="76B9ED1D" w14:textId="77777777" w:rsidR="00A72067" w:rsidRPr="00BF5E3C" w:rsidRDefault="00A72067" w:rsidP="00A72067">
            <w:pPr>
              <w:spacing w:after="0" w:line="240" w:lineRule="auto"/>
              <w:jc w:val="center"/>
              <w:rPr>
                <w:rFonts w:ascii="Tahoma" w:eastAsia="Times New Roman" w:hAnsi="Tahoma" w:cs="Tahoma"/>
                <w:sz w:val="16"/>
                <w:szCs w:val="16"/>
                <w:lang w:eastAsia="hr-HR"/>
              </w:rPr>
            </w:pPr>
            <w:r w:rsidRPr="00BF5E3C">
              <w:rPr>
                <w:rFonts w:ascii="Tahoma" w:eastAsia="Times New Roman" w:hAnsi="Tahoma" w:cs="Tahoma"/>
                <w:sz w:val="16"/>
                <w:szCs w:val="16"/>
                <w:lang w:eastAsia="hr-HR"/>
              </w:rPr>
              <w:t>12.</w:t>
            </w:r>
          </w:p>
        </w:tc>
        <w:tc>
          <w:tcPr>
            <w:tcW w:w="439" w:type="dxa"/>
            <w:tcBorders>
              <w:top w:val="nil"/>
              <w:left w:val="nil"/>
              <w:bottom w:val="single" w:sz="4" w:space="0" w:color="auto"/>
              <w:right w:val="single" w:sz="4" w:space="0" w:color="auto"/>
            </w:tcBorders>
            <w:shd w:val="clear" w:color="000000" w:fill="CCFFCC"/>
            <w:noWrap/>
            <w:vAlign w:val="center"/>
            <w:hideMark/>
          </w:tcPr>
          <w:p w14:paraId="55CA7ABA" w14:textId="77777777" w:rsidR="00A72067" w:rsidRPr="00BF5E3C" w:rsidRDefault="00A72067" w:rsidP="00A72067">
            <w:pPr>
              <w:spacing w:after="0" w:line="240" w:lineRule="auto"/>
              <w:jc w:val="center"/>
              <w:rPr>
                <w:rFonts w:ascii="Tahoma" w:eastAsia="Times New Roman" w:hAnsi="Tahoma" w:cs="Tahoma"/>
                <w:sz w:val="16"/>
                <w:szCs w:val="16"/>
                <w:lang w:eastAsia="hr-HR"/>
              </w:rPr>
            </w:pPr>
            <w:r w:rsidRPr="00BF5E3C">
              <w:rPr>
                <w:rFonts w:ascii="Tahoma" w:eastAsia="Times New Roman" w:hAnsi="Tahoma" w:cs="Tahoma"/>
                <w:sz w:val="16"/>
                <w:szCs w:val="16"/>
                <w:lang w:eastAsia="hr-HR"/>
              </w:rPr>
              <w:t>13.</w:t>
            </w:r>
          </w:p>
        </w:tc>
        <w:tc>
          <w:tcPr>
            <w:tcW w:w="439" w:type="dxa"/>
            <w:tcBorders>
              <w:top w:val="nil"/>
              <w:left w:val="nil"/>
              <w:bottom w:val="single" w:sz="4" w:space="0" w:color="auto"/>
              <w:right w:val="single" w:sz="4" w:space="0" w:color="auto"/>
            </w:tcBorders>
            <w:shd w:val="clear" w:color="000000" w:fill="CCFFCC"/>
            <w:noWrap/>
            <w:vAlign w:val="center"/>
            <w:hideMark/>
          </w:tcPr>
          <w:p w14:paraId="53D321E3" w14:textId="77777777" w:rsidR="00A72067" w:rsidRPr="00BF5E3C" w:rsidRDefault="00A72067" w:rsidP="00A72067">
            <w:pPr>
              <w:spacing w:after="0" w:line="240" w:lineRule="auto"/>
              <w:jc w:val="center"/>
              <w:rPr>
                <w:rFonts w:ascii="Tahoma" w:eastAsia="Times New Roman" w:hAnsi="Tahoma" w:cs="Tahoma"/>
                <w:sz w:val="16"/>
                <w:szCs w:val="16"/>
                <w:lang w:eastAsia="hr-HR"/>
              </w:rPr>
            </w:pPr>
            <w:r w:rsidRPr="00BF5E3C">
              <w:rPr>
                <w:rFonts w:ascii="Tahoma" w:eastAsia="Times New Roman" w:hAnsi="Tahoma" w:cs="Tahoma"/>
                <w:sz w:val="16"/>
                <w:szCs w:val="16"/>
                <w:lang w:eastAsia="hr-HR"/>
              </w:rPr>
              <w:t>14.</w:t>
            </w:r>
          </w:p>
        </w:tc>
        <w:tc>
          <w:tcPr>
            <w:tcW w:w="665" w:type="dxa"/>
            <w:tcBorders>
              <w:top w:val="nil"/>
              <w:left w:val="nil"/>
              <w:bottom w:val="single" w:sz="4" w:space="0" w:color="auto"/>
              <w:right w:val="single" w:sz="4" w:space="0" w:color="auto"/>
            </w:tcBorders>
            <w:shd w:val="clear" w:color="000000" w:fill="CCFFCC"/>
            <w:noWrap/>
            <w:vAlign w:val="center"/>
            <w:hideMark/>
          </w:tcPr>
          <w:p w14:paraId="65C7E604" w14:textId="77777777" w:rsidR="00A72067" w:rsidRPr="00BF5E3C" w:rsidRDefault="00A72067" w:rsidP="00A72067">
            <w:pPr>
              <w:spacing w:after="0" w:line="240" w:lineRule="auto"/>
              <w:jc w:val="center"/>
              <w:rPr>
                <w:rFonts w:ascii="Tahoma" w:eastAsia="Times New Roman" w:hAnsi="Tahoma" w:cs="Tahoma"/>
                <w:sz w:val="16"/>
                <w:szCs w:val="16"/>
                <w:lang w:eastAsia="hr-HR"/>
              </w:rPr>
            </w:pPr>
            <w:r w:rsidRPr="00BF5E3C">
              <w:rPr>
                <w:rFonts w:ascii="Tahoma" w:eastAsia="Times New Roman" w:hAnsi="Tahoma" w:cs="Tahoma"/>
                <w:sz w:val="16"/>
                <w:szCs w:val="16"/>
                <w:lang w:eastAsia="hr-HR"/>
              </w:rPr>
              <w:t>15.</w:t>
            </w:r>
          </w:p>
        </w:tc>
        <w:tc>
          <w:tcPr>
            <w:tcW w:w="698" w:type="dxa"/>
            <w:tcBorders>
              <w:top w:val="nil"/>
              <w:left w:val="nil"/>
              <w:bottom w:val="single" w:sz="4" w:space="0" w:color="auto"/>
              <w:right w:val="single" w:sz="4" w:space="0" w:color="auto"/>
            </w:tcBorders>
            <w:shd w:val="clear" w:color="000000" w:fill="CCFFCC"/>
            <w:noWrap/>
            <w:vAlign w:val="center"/>
            <w:hideMark/>
          </w:tcPr>
          <w:p w14:paraId="40D01E84" w14:textId="77777777" w:rsidR="00A72067" w:rsidRPr="00BF5E3C" w:rsidRDefault="00A72067" w:rsidP="00A72067">
            <w:pPr>
              <w:spacing w:after="0" w:line="240" w:lineRule="auto"/>
              <w:jc w:val="center"/>
              <w:rPr>
                <w:rFonts w:ascii="Tahoma" w:eastAsia="Times New Roman" w:hAnsi="Tahoma" w:cs="Tahoma"/>
                <w:sz w:val="16"/>
                <w:szCs w:val="16"/>
                <w:lang w:eastAsia="hr-HR"/>
              </w:rPr>
            </w:pPr>
            <w:r w:rsidRPr="00BF5E3C">
              <w:rPr>
                <w:rFonts w:ascii="Tahoma" w:eastAsia="Times New Roman" w:hAnsi="Tahoma" w:cs="Tahoma"/>
                <w:sz w:val="16"/>
                <w:szCs w:val="16"/>
                <w:lang w:eastAsia="hr-HR"/>
              </w:rPr>
              <w:t>16.</w:t>
            </w:r>
          </w:p>
        </w:tc>
        <w:tc>
          <w:tcPr>
            <w:tcW w:w="707" w:type="dxa"/>
            <w:tcBorders>
              <w:top w:val="single" w:sz="4" w:space="0" w:color="auto"/>
              <w:left w:val="nil"/>
              <w:bottom w:val="single" w:sz="4" w:space="0" w:color="auto"/>
              <w:right w:val="single" w:sz="4" w:space="0" w:color="auto"/>
            </w:tcBorders>
            <w:shd w:val="clear" w:color="000000" w:fill="CCFFCC"/>
            <w:noWrap/>
            <w:vAlign w:val="center"/>
            <w:hideMark/>
          </w:tcPr>
          <w:p w14:paraId="0B2F797C" w14:textId="77777777" w:rsidR="00A72067" w:rsidRPr="00BF5E3C" w:rsidRDefault="00A72067" w:rsidP="00A72067">
            <w:pPr>
              <w:spacing w:after="0" w:line="240" w:lineRule="auto"/>
              <w:jc w:val="center"/>
              <w:rPr>
                <w:rFonts w:ascii="Tahoma" w:eastAsia="Times New Roman" w:hAnsi="Tahoma" w:cs="Tahoma"/>
                <w:sz w:val="16"/>
                <w:szCs w:val="16"/>
                <w:lang w:eastAsia="hr-HR"/>
              </w:rPr>
            </w:pPr>
            <w:r w:rsidRPr="00BF5E3C">
              <w:rPr>
                <w:rFonts w:ascii="Tahoma" w:eastAsia="Times New Roman" w:hAnsi="Tahoma" w:cs="Tahoma"/>
                <w:sz w:val="16"/>
                <w:szCs w:val="16"/>
                <w:lang w:eastAsia="hr-HR"/>
              </w:rPr>
              <w:t>17.</w:t>
            </w:r>
          </w:p>
        </w:tc>
        <w:tc>
          <w:tcPr>
            <w:tcW w:w="707" w:type="dxa"/>
            <w:tcBorders>
              <w:top w:val="single" w:sz="4" w:space="0" w:color="auto"/>
              <w:left w:val="nil"/>
              <w:bottom w:val="single" w:sz="4" w:space="0" w:color="auto"/>
              <w:right w:val="single" w:sz="4" w:space="0" w:color="auto"/>
            </w:tcBorders>
            <w:shd w:val="clear" w:color="000000" w:fill="CCFFCC"/>
            <w:noWrap/>
            <w:vAlign w:val="center"/>
            <w:hideMark/>
          </w:tcPr>
          <w:p w14:paraId="3754411F" w14:textId="77777777" w:rsidR="00A72067" w:rsidRPr="00BF5E3C" w:rsidRDefault="00A72067" w:rsidP="00A72067">
            <w:pPr>
              <w:spacing w:after="0" w:line="240" w:lineRule="auto"/>
              <w:jc w:val="center"/>
              <w:rPr>
                <w:rFonts w:ascii="Tahoma" w:eastAsia="Times New Roman" w:hAnsi="Tahoma" w:cs="Tahoma"/>
                <w:sz w:val="16"/>
                <w:szCs w:val="16"/>
                <w:lang w:eastAsia="hr-HR"/>
              </w:rPr>
            </w:pPr>
            <w:r w:rsidRPr="00BF5E3C">
              <w:rPr>
                <w:rFonts w:ascii="Tahoma" w:eastAsia="Times New Roman" w:hAnsi="Tahoma" w:cs="Tahoma"/>
                <w:sz w:val="16"/>
                <w:szCs w:val="16"/>
                <w:lang w:eastAsia="hr-HR"/>
              </w:rPr>
              <w:t>18.</w:t>
            </w:r>
          </w:p>
        </w:tc>
        <w:tc>
          <w:tcPr>
            <w:tcW w:w="698" w:type="dxa"/>
            <w:tcBorders>
              <w:top w:val="nil"/>
              <w:left w:val="nil"/>
              <w:bottom w:val="single" w:sz="4" w:space="0" w:color="auto"/>
              <w:right w:val="single" w:sz="4" w:space="0" w:color="auto"/>
            </w:tcBorders>
            <w:shd w:val="clear" w:color="000000" w:fill="CCFFCC"/>
            <w:noWrap/>
            <w:vAlign w:val="center"/>
            <w:hideMark/>
          </w:tcPr>
          <w:p w14:paraId="36530925" w14:textId="77777777" w:rsidR="00A72067" w:rsidRPr="00BF5E3C" w:rsidRDefault="00A72067" w:rsidP="00A72067">
            <w:pPr>
              <w:spacing w:after="0" w:line="240" w:lineRule="auto"/>
              <w:jc w:val="center"/>
              <w:rPr>
                <w:rFonts w:ascii="Tahoma" w:eastAsia="Times New Roman" w:hAnsi="Tahoma" w:cs="Tahoma"/>
                <w:sz w:val="16"/>
                <w:szCs w:val="16"/>
                <w:lang w:eastAsia="hr-HR"/>
              </w:rPr>
            </w:pPr>
            <w:r w:rsidRPr="00BF5E3C">
              <w:rPr>
                <w:rFonts w:ascii="Tahoma" w:eastAsia="Times New Roman" w:hAnsi="Tahoma" w:cs="Tahoma"/>
                <w:sz w:val="16"/>
                <w:szCs w:val="16"/>
                <w:lang w:eastAsia="hr-HR"/>
              </w:rPr>
              <w:t>19.</w:t>
            </w:r>
          </w:p>
        </w:tc>
        <w:tc>
          <w:tcPr>
            <w:tcW w:w="377" w:type="dxa"/>
            <w:tcBorders>
              <w:top w:val="nil"/>
              <w:left w:val="nil"/>
              <w:bottom w:val="single" w:sz="4" w:space="0" w:color="auto"/>
              <w:right w:val="single" w:sz="4" w:space="0" w:color="auto"/>
            </w:tcBorders>
            <w:shd w:val="clear" w:color="000000" w:fill="CCFFCC"/>
            <w:noWrap/>
            <w:vAlign w:val="center"/>
            <w:hideMark/>
          </w:tcPr>
          <w:p w14:paraId="2A92A3D7" w14:textId="77777777" w:rsidR="00A72067" w:rsidRPr="00BF5E3C" w:rsidRDefault="00A72067" w:rsidP="00A72067">
            <w:pPr>
              <w:spacing w:after="0" w:line="240" w:lineRule="auto"/>
              <w:jc w:val="center"/>
              <w:rPr>
                <w:rFonts w:ascii="Tahoma" w:eastAsia="Times New Roman" w:hAnsi="Tahoma" w:cs="Tahoma"/>
                <w:sz w:val="16"/>
                <w:szCs w:val="16"/>
                <w:lang w:eastAsia="hr-HR"/>
              </w:rPr>
            </w:pPr>
            <w:r w:rsidRPr="00BF5E3C">
              <w:rPr>
                <w:rFonts w:ascii="Tahoma" w:eastAsia="Times New Roman" w:hAnsi="Tahoma" w:cs="Tahoma"/>
                <w:sz w:val="16"/>
                <w:szCs w:val="16"/>
                <w:lang w:eastAsia="hr-HR"/>
              </w:rPr>
              <w:t>20.</w:t>
            </w:r>
          </w:p>
        </w:tc>
        <w:tc>
          <w:tcPr>
            <w:tcW w:w="388" w:type="dxa"/>
            <w:tcBorders>
              <w:top w:val="nil"/>
              <w:left w:val="nil"/>
              <w:bottom w:val="single" w:sz="4" w:space="0" w:color="auto"/>
              <w:right w:val="single" w:sz="4" w:space="0" w:color="auto"/>
            </w:tcBorders>
            <w:shd w:val="clear" w:color="000000" w:fill="CCFFCC"/>
            <w:noWrap/>
            <w:vAlign w:val="center"/>
            <w:hideMark/>
          </w:tcPr>
          <w:p w14:paraId="56A428F3" w14:textId="77777777" w:rsidR="00A72067" w:rsidRPr="00BF5E3C" w:rsidRDefault="00A72067" w:rsidP="00A72067">
            <w:pPr>
              <w:spacing w:after="0" w:line="240" w:lineRule="auto"/>
              <w:jc w:val="center"/>
              <w:rPr>
                <w:rFonts w:ascii="Tahoma" w:eastAsia="Times New Roman" w:hAnsi="Tahoma" w:cs="Tahoma"/>
                <w:sz w:val="16"/>
                <w:szCs w:val="16"/>
                <w:lang w:eastAsia="hr-HR"/>
              </w:rPr>
            </w:pPr>
            <w:r w:rsidRPr="00BF5E3C">
              <w:rPr>
                <w:rFonts w:ascii="Tahoma" w:eastAsia="Times New Roman" w:hAnsi="Tahoma" w:cs="Tahoma"/>
                <w:sz w:val="16"/>
                <w:szCs w:val="16"/>
                <w:lang w:eastAsia="hr-HR"/>
              </w:rPr>
              <w:t>21.</w:t>
            </w:r>
          </w:p>
        </w:tc>
        <w:tc>
          <w:tcPr>
            <w:tcW w:w="399" w:type="dxa"/>
            <w:tcBorders>
              <w:top w:val="nil"/>
              <w:left w:val="nil"/>
              <w:bottom w:val="single" w:sz="4" w:space="0" w:color="auto"/>
              <w:right w:val="single" w:sz="4" w:space="0" w:color="auto"/>
            </w:tcBorders>
            <w:shd w:val="clear" w:color="000000" w:fill="CCFFCC"/>
            <w:noWrap/>
            <w:vAlign w:val="center"/>
            <w:hideMark/>
          </w:tcPr>
          <w:p w14:paraId="72C3D4CE" w14:textId="77777777" w:rsidR="00A72067" w:rsidRPr="00BF5E3C" w:rsidRDefault="00A72067" w:rsidP="00A72067">
            <w:pPr>
              <w:spacing w:after="0" w:line="240" w:lineRule="auto"/>
              <w:jc w:val="center"/>
              <w:rPr>
                <w:rFonts w:ascii="Tahoma" w:eastAsia="Times New Roman" w:hAnsi="Tahoma" w:cs="Tahoma"/>
                <w:sz w:val="16"/>
                <w:szCs w:val="16"/>
                <w:lang w:eastAsia="hr-HR"/>
              </w:rPr>
            </w:pPr>
            <w:r w:rsidRPr="00BF5E3C">
              <w:rPr>
                <w:rFonts w:ascii="Tahoma" w:eastAsia="Times New Roman" w:hAnsi="Tahoma" w:cs="Tahoma"/>
                <w:sz w:val="16"/>
                <w:szCs w:val="16"/>
                <w:lang w:eastAsia="hr-HR"/>
              </w:rPr>
              <w:t>22.</w:t>
            </w:r>
          </w:p>
        </w:tc>
        <w:tc>
          <w:tcPr>
            <w:tcW w:w="489" w:type="dxa"/>
            <w:gridSpan w:val="2"/>
            <w:tcBorders>
              <w:top w:val="nil"/>
              <w:left w:val="nil"/>
              <w:bottom w:val="single" w:sz="4" w:space="0" w:color="auto"/>
              <w:right w:val="single" w:sz="4" w:space="0" w:color="auto"/>
            </w:tcBorders>
            <w:shd w:val="clear" w:color="000000" w:fill="CCFFCC"/>
            <w:noWrap/>
            <w:vAlign w:val="center"/>
            <w:hideMark/>
          </w:tcPr>
          <w:p w14:paraId="5DC7DD91" w14:textId="77777777" w:rsidR="00A72067" w:rsidRPr="00BF5E3C" w:rsidRDefault="00A72067" w:rsidP="00A72067">
            <w:pPr>
              <w:spacing w:after="0" w:line="240" w:lineRule="auto"/>
              <w:jc w:val="center"/>
              <w:rPr>
                <w:rFonts w:ascii="Tahoma" w:eastAsia="Times New Roman" w:hAnsi="Tahoma" w:cs="Tahoma"/>
                <w:sz w:val="16"/>
                <w:szCs w:val="16"/>
                <w:lang w:eastAsia="hr-HR"/>
              </w:rPr>
            </w:pPr>
            <w:r w:rsidRPr="00BF5E3C">
              <w:rPr>
                <w:rFonts w:ascii="Tahoma" w:eastAsia="Times New Roman" w:hAnsi="Tahoma" w:cs="Tahoma"/>
                <w:sz w:val="16"/>
                <w:szCs w:val="16"/>
                <w:lang w:eastAsia="hr-HR"/>
              </w:rPr>
              <w:t>23.</w:t>
            </w:r>
          </w:p>
        </w:tc>
        <w:tc>
          <w:tcPr>
            <w:tcW w:w="425" w:type="dxa"/>
            <w:tcBorders>
              <w:top w:val="nil"/>
              <w:left w:val="nil"/>
              <w:bottom w:val="single" w:sz="4" w:space="0" w:color="auto"/>
              <w:right w:val="single" w:sz="4" w:space="0" w:color="auto"/>
            </w:tcBorders>
            <w:shd w:val="clear" w:color="000000" w:fill="CCFFCC"/>
            <w:noWrap/>
            <w:vAlign w:val="center"/>
            <w:hideMark/>
          </w:tcPr>
          <w:p w14:paraId="578BF1E5" w14:textId="77777777" w:rsidR="00A72067" w:rsidRPr="00BF5E3C" w:rsidRDefault="00A72067" w:rsidP="00A72067">
            <w:pPr>
              <w:spacing w:after="0" w:line="240" w:lineRule="auto"/>
              <w:jc w:val="center"/>
              <w:rPr>
                <w:rFonts w:ascii="Tahoma" w:eastAsia="Times New Roman" w:hAnsi="Tahoma" w:cs="Tahoma"/>
                <w:sz w:val="16"/>
                <w:szCs w:val="16"/>
                <w:lang w:eastAsia="hr-HR"/>
              </w:rPr>
            </w:pPr>
            <w:r w:rsidRPr="00BF5E3C">
              <w:rPr>
                <w:rFonts w:ascii="Tahoma" w:eastAsia="Times New Roman" w:hAnsi="Tahoma" w:cs="Tahoma"/>
                <w:sz w:val="16"/>
                <w:szCs w:val="16"/>
                <w:lang w:eastAsia="hr-HR"/>
              </w:rPr>
              <w:t>24.</w:t>
            </w:r>
          </w:p>
        </w:tc>
        <w:tc>
          <w:tcPr>
            <w:tcW w:w="236" w:type="dxa"/>
            <w:vAlign w:val="center"/>
            <w:hideMark/>
          </w:tcPr>
          <w:p w14:paraId="2ECBBF73" w14:textId="77777777" w:rsidR="00A72067" w:rsidRPr="00BF5E3C" w:rsidRDefault="00A72067" w:rsidP="00A72067">
            <w:pPr>
              <w:spacing w:after="0" w:line="240" w:lineRule="auto"/>
              <w:rPr>
                <w:rFonts w:ascii="Times New Roman" w:eastAsia="Times New Roman" w:hAnsi="Times New Roman" w:cs="Times New Roman"/>
                <w:sz w:val="16"/>
                <w:szCs w:val="16"/>
                <w:lang w:eastAsia="hr-HR"/>
              </w:rPr>
            </w:pPr>
          </w:p>
        </w:tc>
      </w:tr>
      <w:tr w:rsidR="00F90F6F" w:rsidRPr="00BF5E3C" w14:paraId="63E9B4EC" w14:textId="77777777" w:rsidTr="00F90F6F">
        <w:trPr>
          <w:gridAfter w:val="1"/>
          <w:wAfter w:w="32" w:type="dxa"/>
          <w:trHeight w:val="402"/>
        </w:trPr>
        <w:tc>
          <w:tcPr>
            <w:tcW w:w="979" w:type="dxa"/>
            <w:tcBorders>
              <w:top w:val="nil"/>
              <w:left w:val="single" w:sz="8" w:space="0" w:color="auto"/>
              <w:bottom w:val="single" w:sz="4" w:space="0" w:color="auto"/>
              <w:right w:val="single" w:sz="4" w:space="0" w:color="auto"/>
            </w:tcBorders>
            <w:shd w:val="clear" w:color="000000" w:fill="CCFFCC"/>
            <w:vAlign w:val="center"/>
            <w:hideMark/>
          </w:tcPr>
          <w:p w14:paraId="15D8E655" w14:textId="77777777" w:rsidR="00A72067" w:rsidRPr="00BF5E3C" w:rsidRDefault="00A72067" w:rsidP="00A72067">
            <w:pPr>
              <w:spacing w:after="0" w:line="240" w:lineRule="auto"/>
              <w:rPr>
                <w:rFonts w:ascii="Tahoma" w:eastAsia="Times New Roman" w:hAnsi="Tahoma" w:cs="Tahoma"/>
                <w:sz w:val="16"/>
                <w:szCs w:val="16"/>
                <w:lang w:eastAsia="hr-HR"/>
              </w:rPr>
            </w:pPr>
            <w:r w:rsidRPr="00BF5E3C">
              <w:rPr>
                <w:rFonts w:ascii="Tahoma" w:eastAsia="Times New Roman" w:hAnsi="Tahoma" w:cs="Tahoma"/>
                <w:sz w:val="16"/>
                <w:szCs w:val="16"/>
                <w:lang w:eastAsia="hr-HR"/>
              </w:rPr>
              <w:t xml:space="preserve">Rasa ili etnička </w:t>
            </w:r>
            <w:proofErr w:type="spellStart"/>
            <w:r w:rsidRPr="00BF5E3C">
              <w:rPr>
                <w:rFonts w:ascii="Tahoma" w:eastAsia="Times New Roman" w:hAnsi="Tahoma" w:cs="Tahoma"/>
                <w:sz w:val="16"/>
                <w:szCs w:val="16"/>
                <w:lang w:eastAsia="hr-HR"/>
              </w:rPr>
              <w:t>propadnost</w:t>
            </w:r>
            <w:proofErr w:type="spellEnd"/>
            <w:r w:rsidRPr="00BF5E3C">
              <w:rPr>
                <w:rFonts w:ascii="Tahoma" w:eastAsia="Times New Roman" w:hAnsi="Tahoma" w:cs="Tahoma"/>
                <w:sz w:val="16"/>
                <w:szCs w:val="16"/>
                <w:lang w:eastAsia="hr-HR"/>
              </w:rPr>
              <w:t xml:space="preserve"> ili boja kože</w:t>
            </w:r>
          </w:p>
        </w:tc>
        <w:tc>
          <w:tcPr>
            <w:tcW w:w="520" w:type="dxa"/>
            <w:tcBorders>
              <w:top w:val="nil"/>
              <w:left w:val="nil"/>
              <w:bottom w:val="single" w:sz="4" w:space="0" w:color="auto"/>
              <w:right w:val="single" w:sz="4" w:space="0" w:color="auto"/>
            </w:tcBorders>
            <w:shd w:val="clear" w:color="000000" w:fill="FFCC99"/>
            <w:noWrap/>
            <w:vAlign w:val="bottom"/>
            <w:hideMark/>
          </w:tcPr>
          <w:p w14:paraId="3D0917D5" w14:textId="77777777" w:rsidR="00A72067" w:rsidRPr="00BF5E3C" w:rsidRDefault="00A72067" w:rsidP="00A72067">
            <w:pPr>
              <w:spacing w:after="0" w:line="240" w:lineRule="auto"/>
              <w:jc w:val="center"/>
              <w:rPr>
                <w:rFonts w:ascii="Tahoma" w:eastAsia="Times New Roman" w:hAnsi="Tahoma" w:cs="Tahoma"/>
                <w:sz w:val="16"/>
                <w:szCs w:val="16"/>
                <w:lang w:eastAsia="hr-HR"/>
              </w:rPr>
            </w:pPr>
            <w:r w:rsidRPr="00BF5E3C">
              <w:rPr>
                <w:rFonts w:ascii="Tahoma" w:eastAsia="Times New Roman" w:hAnsi="Tahoma" w:cs="Tahoma"/>
                <w:sz w:val="16"/>
                <w:szCs w:val="16"/>
                <w:lang w:eastAsia="hr-HR"/>
              </w:rPr>
              <w:t>6</w:t>
            </w:r>
          </w:p>
        </w:tc>
        <w:tc>
          <w:tcPr>
            <w:tcW w:w="420" w:type="dxa"/>
            <w:tcBorders>
              <w:top w:val="nil"/>
              <w:left w:val="nil"/>
              <w:bottom w:val="single" w:sz="4" w:space="0" w:color="auto"/>
              <w:right w:val="single" w:sz="4" w:space="0" w:color="auto"/>
            </w:tcBorders>
            <w:shd w:val="clear" w:color="000000" w:fill="FFFF00"/>
            <w:noWrap/>
            <w:vAlign w:val="bottom"/>
            <w:hideMark/>
          </w:tcPr>
          <w:p w14:paraId="20E40EC3" w14:textId="77777777" w:rsidR="00A72067" w:rsidRPr="00BF5E3C" w:rsidRDefault="00A72067" w:rsidP="00A72067">
            <w:pPr>
              <w:spacing w:after="0" w:line="240" w:lineRule="auto"/>
              <w:jc w:val="center"/>
              <w:rPr>
                <w:rFonts w:ascii="Tahoma" w:eastAsia="Times New Roman" w:hAnsi="Tahoma" w:cs="Tahoma"/>
                <w:sz w:val="16"/>
                <w:szCs w:val="16"/>
                <w:lang w:eastAsia="hr-HR"/>
              </w:rPr>
            </w:pPr>
            <w:r w:rsidRPr="00BF5E3C">
              <w:rPr>
                <w:rFonts w:ascii="Tahoma" w:eastAsia="Times New Roman" w:hAnsi="Tahoma" w:cs="Tahoma"/>
                <w:sz w:val="16"/>
                <w:szCs w:val="16"/>
                <w:lang w:eastAsia="hr-HR"/>
              </w:rPr>
              <w:t>2</w:t>
            </w:r>
          </w:p>
        </w:tc>
        <w:tc>
          <w:tcPr>
            <w:tcW w:w="665" w:type="dxa"/>
            <w:tcBorders>
              <w:top w:val="nil"/>
              <w:left w:val="nil"/>
              <w:bottom w:val="single" w:sz="4" w:space="0" w:color="auto"/>
              <w:right w:val="single" w:sz="4" w:space="0" w:color="auto"/>
            </w:tcBorders>
            <w:shd w:val="clear" w:color="000000" w:fill="CCFFFF"/>
            <w:noWrap/>
            <w:vAlign w:val="bottom"/>
            <w:hideMark/>
          </w:tcPr>
          <w:p w14:paraId="68171425" w14:textId="77777777" w:rsidR="00A72067" w:rsidRPr="00BF5E3C" w:rsidRDefault="00A72067" w:rsidP="00A72067">
            <w:pPr>
              <w:spacing w:after="0" w:line="240" w:lineRule="auto"/>
              <w:jc w:val="right"/>
              <w:rPr>
                <w:rFonts w:ascii="Tahoma" w:eastAsia="Times New Roman" w:hAnsi="Tahoma" w:cs="Tahoma"/>
                <w:sz w:val="16"/>
                <w:szCs w:val="16"/>
                <w:lang w:eastAsia="hr-HR"/>
              </w:rPr>
            </w:pPr>
            <w:r w:rsidRPr="00BF5E3C">
              <w:rPr>
                <w:rFonts w:ascii="Tahoma" w:eastAsia="Times New Roman" w:hAnsi="Tahoma" w:cs="Tahoma"/>
                <w:sz w:val="16"/>
                <w:szCs w:val="16"/>
                <w:lang w:eastAsia="hr-HR"/>
              </w:rPr>
              <w:t>1</w:t>
            </w:r>
          </w:p>
        </w:tc>
        <w:tc>
          <w:tcPr>
            <w:tcW w:w="571" w:type="dxa"/>
            <w:tcBorders>
              <w:top w:val="nil"/>
              <w:left w:val="nil"/>
              <w:bottom w:val="single" w:sz="4" w:space="0" w:color="auto"/>
              <w:right w:val="single" w:sz="4" w:space="0" w:color="auto"/>
            </w:tcBorders>
            <w:shd w:val="clear" w:color="000000" w:fill="CCFFFF"/>
            <w:noWrap/>
            <w:vAlign w:val="bottom"/>
            <w:hideMark/>
          </w:tcPr>
          <w:p w14:paraId="586CD051" w14:textId="77777777" w:rsidR="00A72067" w:rsidRPr="00BF5E3C" w:rsidRDefault="00A72067" w:rsidP="00A72067">
            <w:pPr>
              <w:spacing w:after="0" w:line="240" w:lineRule="auto"/>
              <w:jc w:val="right"/>
              <w:rPr>
                <w:rFonts w:ascii="Tahoma" w:eastAsia="Times New Roman" w:hAnsi="Tahoma" w:cs="Tahoma"/>
                <w:sz w:val="16"/>
                <w:szCs w:val="16"/>
                <w:lang w:eastAsia="hr-HR"/>
              </w:rPr>
            </w:pPr>
            <w:r w:rsidRPr="00BF5E3C">
              <w:rPr>
                <w:rFonts w:ascii="Tahoma" w:eastAsia="Times New Roman" w:hAnsi="Tahoma" w:cs="Tahoma"/>
                <w:sz w:val="16"/>
                <w:szCs w:val="16"/>
                <w:lang w:eastAsia="hr-HR"/>
              </w:rPr>
              <w:t>2</w:t>
            </w:r>
          </w:p>
        </w:tc>
        <w:tc>
          <w:tcPr>
            <w:tcW w:w="700" w:type="dxa"/>
            <w:tcBorders>
              <w:top w:val="nil"/>
              <w:left w:val="nil"/>
              <w:bottom w:val="single" w:sz="4" w:space="0" w:color="auto"/>
              <w:right w:val="single" w:sz="4" w:space="0" w:color="auto"/>
            </w:tcBorders>
            <w:shd w:val="clear" w:color="000000" w:fill="FFFF99"/>
            <w:noWrap/>
            <w:vAlign w:val="bottom"/>
            <w:hideMark/>
          </w:tcPr>
          <w:p w14:paraId="61809D73" w14:textId="77777777" w:rsidR="00A72067" w:rsidRPr="00BF5E3C" w:rsidRDefault="00A72067" w:rsidP="00A72067">
            <w:pPr>
              <w:spacing w:after="0" w:line="240" w:lineRule="auto"/>
              <w:jc w:val="center"/>
              <w:rPr>
                <w:rFonts w:ascii="Tahoma" w:eastAsia="Times New Roman" w:hAnsi="Tahoma" w:cs="Tahoma"/>
                <w:sz w:val="16"/>
                <w:szCs w:val="16"/>
                <w:lang w:eastAsia="hr-HR"/>
              </w:rPr>
            </w:pPr>
            <w:r w:rsidRPr="00BF5E3C">
              <w:rPr>
                <w:rFonts w:ascii="Tahoma" w:eastAsia="Times New Roman" w:hAnsi="Tahoma" w:cs="Tahoma"/>
                <w:sz w:val="16"/>
                <w:szCs w:val="16"/>
                <w:lang w:eastAsia="hr-HR"/>
              </w:rPr>
              <w:t>1</w:t>
            </w:r>
          </w:p>
        </w:tc>
        <w:tc>
          <w:tcPr>
            <w:tcW w:w="698" w:type="dxa"/>
            <w:tcBorders>
              <w:top w:val="nil"/>
              <w:left w:val="nil"/>
              <w:bottom w:val="single" w:sz="4" w:space="0" w:color="auto"/>
              <w:right w:val="single" w:sz="4" w:space="0" w:color="auto"/>
            </w:tcBorders>
            <w:shd w:val="clear" w:color="000000" w:fill="FFFF99"/>
            <w:noWrap/>
            <w:vAlign w:val="bottom"/>
            <w:hideMark/>
          </w:tcPr>
          <w:p w14:paraId="1E251F71" w14:textId="77777777" w:rsidR="00A72067" w:rsidRPr="00BF5E3C" w:rsidRDefault="00A72067" w:rsidP="00A72067">
            <w:pPr>
              <w:spacing w:after="0" w:line="240" w:lineRule="auto"/>
              <w:jc w:val="center"/>
              <w:rPr>
                <w:rFonts w:ascii="Tahoma" w:eastAsia="Times New Roman" w:hAnsi="Tahoma" w:cs="Tahoma"/>
                <w:sz w:val="16"/>
                <w:szCs w:val="16"/>
                <w:lang w:eastAsia="hr-HR"/>
              </w:rPr>
            </w:pPr>
            <w:r w:rsidRPr="00BF5E3C">
              <w:rPr>
                <w:rFonts w:ascii="Tahoma" w:eastAsia="Times New Roman" w:hAnsi="Tahoma" w:cs="Tahoma"/>
                <w:sz w:val="16"/>
                <w:szCs w:val="16"/>
                <w:lang w:eastAsia="hr-HR"/>
              </w:rPr>
              <w:t>0</w:t>
            </w:r>
          </w:p>
        </w:tc>
        <w:tc>
          <w:tcPr>
            <w:tcW w:w="698" w:type="dxa"/>
            <w:tcBorders>
              <w:top w:val="nil"/>
              <w:left w:val="nil"/>
              <w:bottom w:val="single" w:sz="4" w:space="0" w:color="auto"/>
              <w:right w:val="single" w:sz="4" w:space="0" w:color="auto"/>
            </w:tcBorders>
            <w:shd w:val="clear" w:color="000000" w:fill="FFFF99"/>
            <w:noWrap/>
            <w:vAlign w:val="bottom"/>
            <w:hideMark/>
          </w:tcPr>
          <w:p w14:paraId="113403A7" w14:textId="77777777" w:rsidR="00A72067" w:rsidRPr="00BF5E3C" w:rsidRDefault="00A72067" w:rsidP="00A72067">
            <w:pPr>
              <w:spacing w:after="0" w:line="240" w:lineRule="auto"/>
              <w:jc w:val="center"/>
              <w:rPr>
                <w:rFonts w:ascii="Tahoma" w:eastAsia="Times New Roman" w:hAnsi="Tahoma" w:cs="Tahoma"/>
                <w:sz w:val="16"/>
                <w:szCs w:val="16"/>
                <w:lang w:eastAsia="hr-HR"/>
              </w:rPr>
            </w:pPr>
            <w:r w:rsidRPr="00BF5E3C">
              <w:rPr>
                <w:rFonts w:ascii="Tahoma" w:eastAsia="Times New Roman" w:hAnsi="Tahoma" w:cs="Tahoma"/>
                <w:sz w:val="16"/>
                <w:szCs w:val="16"/>
                <w:lang w:eastAsia="hr-HR"/>
              </w:rPr>
              <w:t>2</w:t>
            </w:r>
          </w:p>
        </w:tc>
        <w:tc>
          <w:tcPr>
            <w:tcW w:w="698" w:type="dxa"/>
            <w:tcBorders>
              <w:top w:val="nil"/>
              <w:left w:val="nil"/>
              <w:bottom w:val="single" w:sz="4" w:space="0" w:color="auto"/>
              <w:right w:val="single" w:sz="4" w:space="0" w:color="auto"/>
            </w:tcBorders>
            <w:shd w:val="clear" w:color="000000" w:fill="FFFF99"/>
            <w:noWrap/>
            <w:vAlign w:val="bottom"/>
            <w:hideMark/>
          </w:tcPr>
          <w:p w14:paraId="137CC9BB" w14:textId="77777777" w:rsidR="00A72067" w:rsidRPr="00BF5E3C" w:rsidRDefault="00A72067" w:rsidP="00A72067">
            <w:pPr>
              <w:spacing w:after="0" w:line="240" w:lineRule="auto"/>
              <w:jc w:val="center"/>
              <w:rPr>
                <w:rFonts w:ascii="Tahoma" w:eastAsia="Times New Roman" w:hAnsi="Tahoma" w:cs="Tahoma"/>
                <w:sz w:val="16"/>
                <w:szCs w:val="16"/>
                <w:lang w:eastAsia="hr-HR"/>
              </w:rPr>
            </w:pPr>
            <w:r w:rsidRPr="00BF5E3C">
              <w:rPr>
                <w:rFonts w:ascii="Tahoma" w:eastAsia="Times New Roman" w:hAnsi="Tahoma" w:cs="Tahoma"/>
                <w:sz w:val="16"/>
                <w:szCs w:val="16"/>
                <w:lang w:eastAsia="hr-HR"/>
              </w:rPr>
              <w:t>0</w:t>
            </w:r>
          </w:p>
        </w:tc>
        <w:tc>
          <w:tcPr>
            <w:tcW w:w="527" w:type="dxa"/>
            <w:tcBorders>
              <w:top w:val="nil"/>
              <w:left w:val="nil"/>
              <w:bottom w:val="single" w:sz="4" w:space="0" w:color="auto"/>
              <w:right w:val="single" w:sz="4" w:space="0" w:color="auto"/>
            </w:tcBorders>
            <w:shd w:val="clear" w:color="000000" w:fill="FFFF99"/>
            <w:noWrap/>
            <w:vAlign w:val="bottom"/>
            <w:hideMark/>
          </w:tcPr>
          <w:p w14:paraId="3553B6EB" w14:textId="77777777" w:rsidR="00A72067" w:rsidRPr="00BF5E3C" w:rsidRDefault="00A72067" w:rsidP="00A72067">
            <w:pPr>
              <w:spacing w:after="0" w:line="240" w:lineRule="auto"/>
              <w:jc w:val="center"/>
              <w:rPr>
                <w:rFonts w:ascii="Tahoma" w:eastAsia="Times New Roman" w:hAnsi="Tahoma" w:cs="Tahoma"/>
                <w:sz w:val="16"/>
                <w:szCs w:val="16"/>
                <w:lang w:eastAsia="hr-HR"/>
              </w:rPr>
            </w:pPr>
            <w:r w:rsidRPr="00BF5E3C">
              <w:rPr>
                <w:rFonts w:ascii="Tahoma" w:eastAsia="Times New Roman" w:hAnsi="Tahoma" w:cs="Tahoma"/>
                <w:sz w:val="16"/>
                <w:szCs w:val="16"/>
                <w:lang w:eastAsia="hr-HR"/>
              </w:rPr>
              <w:t>0</w:t>
            </w:r>
          </w:p>
        </w:tc>
        <w:tc>
          <w:tcPr>
            <w:tcW w:w="702" w:type="dxa"/>
            <w:tcBorders>
              <w:top w:val="nil"/>
              <w:left w:val="nil"/>
              <w:bottom w:val="single" w:sz="4" w:space="0" w:color="auto"/>
              <w:right w:val="single" w:sz="4" w:space="0" w:color="auto"/>
            </w:tcBorders>
            <w:shd w:val="clear" w:color="000000" w:fill="FFFF99"/>
            <w:noWrap/>
            <w:vAlign w:val="bottom"/>
            <w:hideMark/>
          </w:tcPr>
          <w:p w14:paraId="679D20BF" w14:textId="77777777" w:rsidR="00A72067" w:rsidRPr="00BF5E3C" w:rsidRDefault="00A72067" w:rsidP="00A72067">
            <w:pPr>
              <w:spacing w:after="0" w:line="240" w:lineRule="auto"/>
              <w:jc w:val="center"/>
              <w:rPr>
                <w:rFonts w:ascii="Tahoma" w:eastAsia="Times New Roman" w:hAnsi="Tahoma" w:cs="Tahoma"/>
                <w:sz w:val="16"/>
                <w:szCs w:val="16"/>
                <w:lang w:eastAsia="hr-HR"/>
              </w:rPr>
            </w:pPr>
            <w:r w:rsidRPr="00BF5E3C">
              <w:rPr>
                <w:rFonts w:ascii="Tahoma" w:eastAsia="Times New Roman" w:hAnsi="Tahoma" w:cs="Tahoma"/>
                <w:sz w:val="16"/>
                <w:szCs w:val="16"/>
                <w:lang w:eastAsia="hr-HR"/>
              </w:rPr>
              <w:t>0</w:t>
            </w:r>
          </w:p>
        </w:tc>
        <w:tc>
          <w:tcPr>
            <w:tcW w:w="698" w:type="dxa"/>
            <w:tcBorders>
              <w:top w:val="nil"/>
              <w:left w:val="nil"/>
              <w:bottom w:val="single" w:sz="4" w:space="0" w:color="auto"/>
              <w:right w:val="single" w:sz="4" w:space="0" w:color="auto"/>
            </w:tcBorders>
            <w:shd w:val="clear" w:color="000000" w:fill="FF9900"/>
            <w:noWrap/>
            <w:vAlign w:val="bottom"/>
            <w:hideMark/>
          </w:tcPr>
          <w:p w14:paraId="11FE3541" w14:textId="77777777" w:rsidR="00A72067" w:rsidRPr="00BF5E3C" w:rsidRDefault="00A72067" w:rsidP="00A72067">
            <w:pPr>
              <w:spacing w:after="0" w:line="240" w:lineRule="auto"/>
              <w:jc w:val="right"/>
              <w:rPr>
                <w:rFonts w:ascii="Tahoma" w:eastAsia="Times New Roman" w:hAnsi="Tahoma" w:cs="Tahoma"/>
                <w:sz w:val="16"/>
                <w:szCs w:val="16"/>
                <w:lang w:eastAsia="hr-HR"/>
              </w:rPr>
            </w:pPr>
            <w:r w:rsidRPr="00BF5E3C">
              <w:rPr>
                <w:rFonts w:ascii="Tahoma" w:eastAsia="Times New Roman" w:hAnsi="Tahoma" w:cs="Tahoma"/>
                <w:sz w:val="16"/>
                <w:szCs w:val="16"/>
                <w:lang w:eastAsia="hr-HR"/>
              </w:rPr>
              <w:t>0</w:t>
            </w:r>
          </w:p>
        </w:tc>
        <w:tc>
          <w:tcPr>
            <w:tcW w:w="439" w:type="dxa"/>
            <w:tcBorders>
              <w:top w:val="nil"/>
              <w:left w:val="nil"/>
              <w:bottom w:val="single" w:sz="4" w:space="0" w:color="auto"/>
              <w:right w:val="single" w:sz="4" w:space="0" w:color="auto"/>
            </w:tcBorders>
            <w:shd w:val="clear" w:color="000000" w:fill="FF9900"/>
            <w:noWrap/>
            <w:vAlign w:val="bottom"/>
            <w:hideMark/>
          </w:tcPr>
          <w:p w14:paraId="604DA75F" w14:textId="77777777" w:rsidR="00A72067" w:rsidRPr="00BF5E3C" w:rsidRDefault="00A72067" w:rsidP="00A72067">
            <w:pPr>
              <w:spacing w:after="0" w:line="240" w:lineRule="auto"/>
              <w:jc w:val="right"/>
              <w:rPr>
                <w:rFonts w:ascii="Tahoma" w:eastAsia="Times New Roman" w:hAnsi="Tahoma" w:cs="Tahoma"/>
                <w:sz w:val="16"/>
                <w:szCs w:val="16"/>
                <w:lang w:eastAsia="hr-HR"/>
              </w:rPr>
            </w:pPr>
            <w:r w:rsidRPr="00BF5E3C">
              <w:rPr>
                <w:rFonts w:ascii="Tahoma" w:eastAsia="Times New Roman" w:hAnsi="Tahoma" w:cs="Tahoma"/>
                <w:sz w:val="16"/>
                <w:szCs w:val="16"/>
                <w:lang w:eastAsia="hr-HR"/>
              </w:rPr>
              <w:t>0</w:t>
            </w:r>
          </w:p>
        </w:tc>
        <w:tc>
          <w:tcPr>
            <w:tcW w:w="439" w:type="dxa"/>
            <w:tcBorders>
              <w:top w:val="nil"/>
              <w:left w:val="nil"/>
              <w:bottom w:val="single" w:sz="4" w:space="0" w:color="auto"/>
              <w:right w:val="single" w:sz="4" w:space="0" w:color="auto"/>
            </w:tcBorders>
            <w:shd w:val="clear" w:color="000000" w:fill="FF9900"/>
            <w:noWrap/>
            <w:vAlign w:val="bottom"/>
            <w:hideMark/>
          </w:tcPr>
          <w:p w14:paraId="1E1AE086" w14:textId="77777777" w:rsidR="00A72067" w:rsidRPr="00BF5E3C" w:rsidRDefault="00A72067" w:rsidP="00A72067">
            <w:pPr>
              <w:spacing w:after="0" w:line="240" w:lineRule="auto"/>
              <w:jc w:val="right"/>
              <w:rPr>
                <w:rFonts w:ascii="Tahoma" w:eastAsia="Times New Roman" w:hAnsi="Tahoma" w:cs="Tahoma"/>
                <w:sz w:val="16"/>
                <w:szCs w:val="16"/>
                <w:lang w:eastAsia="hr-HR"/>
              </w:rPr>
            </w:pPr>
            <w:r w:rsidRPr="00BF5E3C">
              <w:rPr>
                <w:rFonts w:ascii="Tahoma" w:eastAsia="Times New Roman" w:hAnsi="Tahoma" w:cs="Tahoma"/>
                <w:sz w:val="16"/>
                <w:szCs w:val="16"/>
                <w:lang w:eastAsia="hr-HR"/>
              </w:rPr>
              <w:t>1</w:t>
            </w:r>
          </w:p>
        </w:tc>
        <w:tc>
          <w:tcPr>
            <w:tcW w:w="665" w:type="dxa"/>
            <w:tcBorders>
              <w:top w:val="nil"/>
              <w:left w:val="nil"/>
              <w:bottom w:val="single" w:sz="4" w:space="0" w:color="auto"/>
              <w:right w:val="single" w:sz="4" w:space="0" w:color="auto"/>
            </w:tcBorders>
            <w:shd w:val="clear" w:color="000000" w:fill="FFFF00"/>
            <w:vAlign w:val="center"/>
            <w:hideMark/>
          </w:tcPr>
          <w:p w14:paraId="08243592" w14:textId="77777777" w:rsidR="00A72067" w:rsidRPr="00BF5E3C" w:rsidRDefault="00A72067" w:rsidP="00A72067">
            <w:pPr>
              <w:spacing w:after="0" w:line="240" w:lineRule="auto"/>
              <w:jc w:val="center"/>
              <w:rPr>
                <w:rFonts w:ascii="Tahoma" w:eastAsia="Times New Roman" w:hAnsi="Tahoma" w:cs="Tahoma"/>
                <w:sz w:val="16"/>
                <w:szCs w:val="16"/>
                <w:lang w:eastAsia="hr-HR"/>
              </w:rPr>
            </w:pPr>
            <w:r w:rsidRPr="00BF5E3C">
              <w:rPr>
                <w:rFonts w:ascii="Tahoma" w:eastAsia="Times New Roman" w:hAnsi="Tahoma" w:cs="Tahoma"/>
                <w:sz w:val="16"/>
                <w:szCs w:val="16"/>
                <w:lang w:eastAsia="hr-HR"/>
              </w:rPr>
              <w:t>1</w:t>
            </w:r>
          </w:p>
        </w:tc>
        <w:tc>
          <w:tcPr>
            <w:tcW w:w="698" w:type="dxa"/>
            <w:tcBorders>
              <w:top w:val="nil"/>
              <w:left w:val="nil"/>
              <w:bottom w:val="single" w:sz="4" w:space="0" w:color="auto"/>
              <w:right w:val="single" w:sz="4" w:space="0" w:color="auto"/>
            </w:tcBorders>
            <w:shd w:val="clear" w:color="000000" w:fill="FF9900"/>
            <w:vAlign w:val="center"/>
            <w:hideMark/>
          </w:tcPr>
          <w:p w14:paraId="7027E10D" w14:textId="77777777" w:rsidR="00A72067" w:rsidRPr="00BF5E3C" w:rsidRDefault="00A72067" w:rsidP="00A72067">
            <w:pPr>
              <w:spacing w:after="0" w:line="240" w:lineRule="auto"/>
              <w:jc w:val="center"/>
              <w:rPr>
                <w:rFonts w:ascii="Tahoma" w:eastAsia="Times New Roman" w:hAnsi="Tahoma" w:cs="Tahoma"/>
                <w:sz w:val="16"/>
                <w:szCs w:val="16"/>
                <w:lang w:eastAsia="hr-HR"/>
              </w:rPr>
            </w:pPr>
            <w:r w:rsidRPr="00BF5E3C">
              <w:rPr>
                <w:rFonts w:ascii="Tahoma" w:eastAsia="Times New Roman" w:hAnsi="Tahoma" w:cs="Tahoma"/>
                <w:sz w:val="16"/>
                <w:szCs w:val="16"/>
                <w:lang w:eastAsia="hr-HR"/>
              </w:rPr>
              <w:t>7</w:t>
            </w:r>
          </w:p>
        </w:tc>
        <w:tc>
          <w:tcPr>
            <w:tcW w:w="707" w:type="dxa"/>
            <w:tcBorders>
              <w:top w:val="nil"/>
              <w:left w:val="nil"/>
              <w:bottom w:val="single" w:sz="4" w:space="0" w:color="auto"/>
              <w:right w:val="single" w:sz="4" w:space="0" w:color="auto"/>
            </w:tcBorders>
            <w:shd w:val="clear" w:color="000000" w:fill="FF9900"/>
            <w:vAlign w:val="center"/>
            <w:hideMark/>
          </w:tcPr>
          <w:p w14:paraId="44F1A6B5" w14:textId="77777777" w:rsidR="00A72067" w:rsidRPr="00BF5E3C" w:rsidRDefault="00A72067" w:rsidP="00A72067">
            <w:pPr>
              <w:spacing w:after="0" w:line="240" w:lineRule="auto"/>
              <w:jc w:val="center"/>
              <w:rPr>
                <w:rFonts w:ascii="Tahoma" w:eastAsia="Times New Roman" w:hAnsi="Tahoma" w:cs="Tahoma"/>
                <w:sz w:val="16"/>
                <w:szCs w:val="16"/>
                <w:lang w:eastAsia="hr-HR"/>
              </w:rPr>
            </w:pPr>
            <w:r w:rsidRPr="00BF5E3C">
              <w:rPr>
                <w:rFonts w:ascii="Tahoma" w:eastAsia="Times New Roman" w:hAnsi="Tahoma" w:cs="Tahoma"/>
                <w:sz w:val="16"/>
                <w:szCs w:val="16"/>
                <w:lang w:eastAsia="hr-HR"/>
              </w:rPr>
              <w:t>0</w:t>
            </w:r>
          </w:p>
        </w:tc>
        <w:tc>
          <w:tcPr>
            <w:tcW w:w="707" w:type="dxa"/>
            <w:tcBorders>
              <w:top w:val="nil"/>
              <w:left w:val="nil"/>
              <w:bottom w:val="single" w:sz="4" w:space="0" w:color="auto"/>
              <w:right w:val="single" w:sz="4" w:space="0" w:color="auto"/>
            </w:tcBorders>
            <w:shd w:val="clear" w:color="000000" w:fill="FF9900"/>
            <w:vAlign w:val="center"/>
            <w:hideMark/>
          </w:tcPr>
          <w:p w14:paraId="059558AE" w14:textId="77777777" w:rsidR="00A72067" w:rsidRPr="00BF5E3C" w:rsidRDefault="00A72067" w:rsidP="00A72067">
            <w:pPr>
              <w:spacing w:after="0" w:line="240" w:lineRule="auto"/>
              <w:jc w:val="center"/>
              <w:rPr>
                <w:rFonts w:ascii="Tahoma" w:eastAsia="Times New Roman" w:hAnsi="Tahoma" w:cs="Tahoma"/>
                <w:sz w:val="16"/>
                <w:szCs w:val="16"/>
                <w:lang w:eastAsia="hr-HR"/>
              </w:rPr>
            </w:pPr>
            <w:r w:rsidRPr="00BF5E3C">
              <w:rPr>
                <w:rFonts w:ascii="Tahoma" w:eastAsia="Times New Roman" w:hAnsi="Tahoma" w:cs="Tahoma"/>
                <w:sz w:val="16"/>
                <w:szCs w:val="16"/>
                <w:lang w:eastAsia="hr-HR"/>
              </w:rPr>
              <w:t>0</w:t>
            </w:r>
          </w:p>
        </w:tc>
        <w:tc>
          <w:tcPr>
            <w:tcW w:w="698" w:type="dxa"/>
            <w:tcBorders>
              <w:top w:val="nil"/>
              <w:left w:val="nil"/>
              <w:bottom w:val="single" w:sz="4" w:space="0" w:color="auto"/>
              <w:right w:val="single" w:sz="4" w:space="0" w:color="auto"/>
            </w:tcBorders>
            <w:shd w:val="clear" w:color="000000" w:fill="FF9900"/>
            <w:vAlign w:val="center"/>
            <w:hideMark/>
          </w:tcPr>
          <w:p w14:paraId="4D77C667" w14:textId="77777777" w:rsidR="00A72067" w:rsidRPr="00BF5E3C" w:rsidRDefault="00A72067" w:rsidP="00A72067">
            <w:pPr>
              <w:spacing w:after="0" w:line="240" w:lineRule="auto"/>
              <w:jc w:val="center"/>
              <w:rPr>
                <w:rFonts w:ascii="Tahoma" w:eastAsia="Times New Roman" w:hAnsi="Tahoma" w:cs="Tahoma"/>
                <w:sz w:val="16"/>
                <w:szCs w:val="16"/>
                <w:lang w:eastAsia="hr-HR"/>
              </w:rPr>
            </w:pPr>
            <w:r w:rsidRPr="00BF5E3C">
              <w:rPr>
                <w:rFonts w:ascii="Tahoma" w:eastAsia="Times New Roman" w:hAnsi="Tahoma" w:cs="Tahoma"/>
                <w:sz w:val="16"/>
                <w:szCs w:val="16"/>
                <w:lang w:eastAsia="hr-HR"/>
              </w:rPr>
              <w:t>0</w:t>
            </w:r>
          </w:p>
        </w:tc>
        <w:tc>
          <w:tcPr>
            <w:tcW w:w="377" w:type="dxa"/>
            <w:tcBorders>
              <w:top w:val="nil"/>
              <w:left w:val="nil"/>
              <w:bottom w:val="single" w:sz="4" w:space="0" w:color="auto"/>
              <w:right w:val="single" w:sz="4" w:space="0" w:color="auto"/>
            </w:tcBorders>
            <w:shd w:val="clear" w:color="000000" w:fill="CCFFFF"/>
            <w:noWrap/>
            <w:vAlign w:val="bottom"/>
            <w:hideMark/>
          </w:tcPr>
          <w:p w14:paraId="07034A4B" w14:textId="77777777" w:rsidR="00A72067" w:rsidRPr="00BF5E3C" w:rsidRDefault="00A72067" w:rsidP="00A72067">
            <w:pPr>
              <w:spacing w:after="0" w:line="240" w:lineRule="auto"/>
              <w:jc w:val="right"/>
              <w:rPr>
                <w:rFonts w:ascii="Tahoma" w:eastAsia="Times New Roman" w:hAnsi="Tahoma" w:cs="Tahoma"/>
                <w:sz w:val="16"/>
                <w:szCs w:val="16"/>
                <w:lang w:eastAsia="hr-HR"/>
              </w:rPr>
            </w:pPr>
            <w:r w:rsidRPr="00BF5E3C">
              <w:rPr>
                <w:rFonts w:ascii="Tahoma" w:eastAsia="Times New Roman" w:hAnsi="Tahoma" w:cs="Tahoma"/>
                <w:sz w:val="16"/>
                <w:szCs w:val="16"/>
                <w:lang w:eastAsia="hr-HR"/>
              </w:rPr>
              <w:t>0</w:t>
            </w:r>
          </w:p>
        </w:tc>
        <w:tc>
          <w:tcPr>
            <w:tcW w:w="388" w:type="dxa"/>
            <w:tcBorders>
              <w:top w:val="nil"/>
              <w:left w:val="nil"/>
              <w:bottom w:val="single" w:sz="4" w:space="0" w:color="auto"/>
              <w:right w:val="single" w:sz="4" w:space="0" w:color="auto"/>
            </w:tcBorders>
            <w:shd w:val="clear" w:color="000000" w:fill="CCFFFF"/>
            <w:noWrap/>
            <w:vAlign w:val="bottom"/>
            <w:hideMark/>
          </w:tcPr>
          <w:p w14:paraId="2445CFCD" w14:textId="77777777" w:rsidR="00A72067" w:rsidRPr="00BF5E3C" w:rsidRDefault="00A72067" w:rsidP="00A72067">
            <w:pPr>
              <w:spacing w:after="0" w:line="240" w:lineRule="auto"/>
              <w:jc w:val="right"/>
              <w:rPr>
                <w:rFonts w:ascii="Tahoma" w:eastAsia="Times New Roman" w:hAnsi="Tahoma" w:cs="Tahoma"/>
                <w:sz w:val="16"/>
                <w:szCs w:val="16"/>
                <w:lang w:eastAsia="hr-HR"/>
              </w:rPr>
            </w:pPr>
            <w:r w:rsidRPr="00BF5E3C">
              <w:rPr>
                <w:rFonts w:ascii="Tahoma" w:eastAsia="Times New Roman" w:hAnsi="Tahoma" w:cs="Tahoma"/>
                <w:sz w:val="16"/>
                <w:szCs w:val="16"/>
                <w:lang w:eastAsia="hr-HR"/>
              </w:rPr>
              <w:t>0</w:t>
            </w:r>
          </w:p>
        </w:tc>
        <w:tc>
          <w:tcPr>
            <w:tcW w:w="399" w:type="dxa"/>
            <w:tcBorders>
              <w:top w:val="nil"/>
              <w:left w:val="nil"/>
              <w:bottom w:val="single" w:sz="4" w:space="0" w:color="auto"/>
              <w:right w:val="single" w:sz="4" w:space="0" w:color="auto"/>
            </w:tcBorders>
            <w:shd w:val="clear" w:color="000000" w:fill="CCFFFF"/>
            <w:noWrap/>
            <w:vAlign w:val="bottom"/>
            <w:hideMark/>
          </w:tcPr>
          <w:p w14:paraId="2541B9ED" w14:textId="77777777" w:rsidR="00A72067" w:rsidRPr="00BF5E3C" w:rsidRDefault="00A72067" w:rsidP="00A72067">
            <w:pPr>
              <w:spacing w:after="0" w:line="240" w:lineRule="auto"/>
              <w:jc w:val="right"/>
              <w:rPr>
                <w:rFonts w:ascii="Tahoma" w:eastAsia="Times New Roman" w:hAnsi="Tahoma" w:cs="Tahoma"/>
                <w:sz w:val="16"/>
                <w:szCs w:val="16"/>
                <w:lang w:eastAsia="hr-HR"/>
              </w:rPr>
            </w:pPr>
            <w:r w:rsidRPr="00BF5E3C">
              <w:rPr>
                <w:rFonts w:ascii="Tahoma" w:eastAsia="Times New Roman" w:hAnsi="Tahoma" w:cs="Tahoma"/>
                <w:sz w:val="16"/>
                <w:szCs w:val="16"/>
                <w:lang w:eastAsia="hr-HR"/>
              </w:rPr>
              <w:t>0</w:t>
            </w:r>
          </w:p>
        </w:tc>
        <w:tc>
          <w:tcPr>
            <w:tcW w:w="489" w:type="dxa"/>
            <w:gridSpan w:val="2"/>
            <w:tcBorders>
              <w:top w:val="nil"/>
              <w:left w:val="nil"/>
              <w:bottom w:val="single" w:sz="4" w:space="0" w:color="auto"/>
              <w:right w:val="nil"/>
            </w:tcBorders>
            <w:shd w:val="clear" w:color="000000" w:fill="33CCCC"/>
            <w:noWrap/>
            <w:vAlign w:val="bottom"/>
            <w:hideMark/>
          </w:tcPr>
          <w:p w14:paraId="65867364" w14:textId="77777777" w:rsidR="00A72067" w:rsidRPr="00BF5E3C" w:rsidRDefault="00A72067" w:rsidP="00A72067">
            <w:pPr>
              <w:spacing w:after="0" w:line="240" w:lineRule="auto"/>
              <w:jc w:val="right"/>
              <w:rPr>
                <w:rFonts w:ascii="Tahoma" w:eastAsia="Times New Roman" w:hAnsi="Tahoma" w:cs="Tahoma"/>
                <w:sz w:val="16"/>
                <w:szCs w:val="16"/>
                <w:lang w:eastAsia="hr-HR"/>
              </w:rPr>
            </w:pPr>
            <w:r w:rsidRPr="00BF5E3C">
              <w:rPr>
                <w:rFonts w:ascii="Tahoma" w:eastAsia="Times New Roman" w:hAnsi="Tahoma" w:cs="Tahoma"/>
                <w:sz w:val="16"/>
                <w:szCs w:val="16"/>
                <w:lang w:eastAsia="hr-HR"/>
              </w:rPr>
              <w:t>1</w:t>
            </w:r>
          </w:p>
        </w:tc>
        <w:tc>
          <w:tcPr>
            <w:tcW w:w="425" w:type="dxa"/>
            <w:tcBorders>
              <w:top w:val="nil"/>
              <w:left w:val="single" w:sz="4" w:space="0" w:color="auto"/>
              <w:bottom w:val="single" w:sz="4" w:space="0" w:color="auto"/>
              <w:right w:val="single" w:sz="8" w:space="0" w:color="auto"/>
            </w:tcBorders>
            <w:shd w:val="clear" w:color="000000" w:fill="33CCCC"/>
            <w:noWrap/>
            <w:vAlign w:val="bottom"/>
            <w:hideMark/>
          </w:tcPr>
          <w:p w14:paraId="7205A94E" w14:textId="77777777" w:rsidR="00A72067" w:rsidRPr="00BF5E3C" w:rsidRDefault="00A72067" w:rsidP="00A72067">
            <w:pPr>
              <w:spacing w:after="0" w:line="240" w:lineRule="auto"/>
              <w:jc w:val="right"/>
              <w:rPr>
                <w:rFonts w:ascii="Tahoma" w:eastAsia="Times New Roman" w:hAnsi="Tahoma" w:cs="Tahoma"/>
                <w:sz w:val="16"/>
                <w:szCs w:val="16"/>
                <w:lang w:eastAsia="hr-HR"/>
              </w:rPr>
            </w:pPr>
            <w:r w:rsidRPr="00BF5E3C">
              <w:rPr>
                <w:rFonts w:ascii="Tahoma" w:eastAsia="Times New Roman" w:hAnsi="Tahoma" w:cs="Tahoma"/>
                <w:sz w:val="16"/>
                <w:szCs w:val="16"/>
                <w:lang w:eastAsia="hr-HR"/>
              </w:rPr>
              <w:t>0</w:t>
            </w:r>
          </w:p>
        </w:tc>
        <w:tc>
          <w:tcPr>
            <w:tcW w:w="236" w:type="dxa"/>
            <w:vAlign w:val="center"/>
            <w:hideMark/>
          </w:tcPr>
          <w:p w14:paraId="5E3CF757" w14:textId="77777777" w:rsidR="00A72067" w:rsidRPr="00BF5E3C" w:rsidRDefault="00A72067" w:rsidP="00A72067">
            <w:pPr>
              <w:spacing w:after="0" w:line="240" w:lineRule="auto"/>
              <w:rPr>
                <w:rFonts w:ascii="Times New Roman" w:eastAsia="Times New Roman" w:hAnsi="Times New Roman" w:cs="Times New Roman"/>
                <w:sz w:val="16"/>
                <w:szCs w:val="16"/>
                <w:lang w:eastAsia="hr-HR"/>
              </w:rPr>
            </w:pPr>
          </w:p>
        </w:tc>
      </w:tr>
      <w:tr w:rsidR="00F90F6F" w:rsidRPr="00BF5E3C" w14:paraId="041513C1" w14:textId="77777777" w:rsidTr="00F90F6F">
        <w:trPr>
          <w:gridAfter w:val="1"/>
          <w:wAfter w:w="32" w:type="dxa"/>
          <w:trHeight w:val="402"/>
        </w:trPr>
        <w:tc>
          <w:tcPr>
            <w:tcW w:w="979" w:type="dxa"/>
            <w:tcBorders>
              <w:top w:val="nil"/>
              <w:left w:val="single" w:sz="8" w:space="0" w:color="auto"/>
              <w:bottom w:val="single" w:sz="4" w:space="0" w:color="auto"/>
              <w:right w:val="single" w:sz="4" w:space="0" w:color="auto"/>
            </w:tcBorders>
            <w:shd w:val="clear" w:color="000000" w:fill="CCFFCC"/>
            <w:vAlign w:val="center"/>
            <w:hideMark/>
          </w:tcPr>
          <w:p w14:paraId="17CEA64A" w14:textId="77777777" w:rsidR="00A72067" w:rsidRPr="00BF5E3C" w:rsidRDefault="00A72067" w:rsidP="00A72067">
            <w:pPr>
              <w:spacing w:after="0" w:line="240" w:lineRule="auto"/>
              <w:rPr>
                <w:rFonts w:ascii="Tahoma" w:eastAsia="Times New Roman" w:hAnsi="Tahoma" w:cs="Tahoma"/>
                <w:sz w:val="16"/>
                <w:szCs w:val="16"/>
                <w:lang w:eastAsia="hr-HR"/>
              </w:rPr>
            </w:pPr>
            <w:r w:rsidRPr="00BF5E3C">
              <w:rPr>
                <w:rFonts w:ascii="Tahoma" w:eastAsia="Times New Roman" w:hAnsi="Tahoma" w:cs="Tahoma"/>
                <w:sz w:val="16"/>
                <w:szCs w:val="16"/>
                <w:lang w:eastAsia="hr-HR"/>
              </w:rPr>
              <w:t>Spol</w:t>
            </w:r>
          </w:p>
        </w:tc>
        <w:tc>
          <w:tcPr>
            <w:tcW w:w="520" w:type="dxa"/>
            <w:tcBorders>
              <w:top w:val="nil"/>
              <w:left w:val="nil"/>
              <w:bottom w:val="single" w:sz="4" w:space="0" w:color="auto"/>
              <w:right w:val="single" w:sz="4" w:space="0" w:color="auto"/>
            </w:tcBorders>
            <w:shd w:val="clear" w:color="000000" w:fill="FFCC99"/>
            <w:noWrap/>
            <w:vAlign w:val="bottom"/>
            <w:hideMark/>
          </w:tcPr>
          <w:p w14:paraId="6DCE3594" w14:textId="77777777" w:rsidR="00A72067" w:rsidRPr="00BF5E3C" w:rsidRDefault="00A72067" w:rsidP="00A72067">
            <w:pPr>
              <w:spacing w:after="0" w:line="240" w:lineRule="auto"/>
              <w:jc w:val="center"/>
              <w:rPr>
                <w:rFonts w:ascii="Tahoma" w:eastAsia="Times New Roman" w:hAnsi="Tahoma" w:cs="Tahoma"/>
                <w:sz w:val="16"/>
                <w:szCs w:val="16"/>
                <w:lang w:eastAsia="hr-HR"/>
              </w:rPr>
            </w:pPr>
            <w:r w:rsidRPr="00BF5E3C">
              <w:rPr>
                <w:rFonts w:ascii="Tahoma" w:eastAsia="Times New Roman" w:hAnsi="Tahoma" w:cs="Tahoma"/>
                <w:sz w:val="16"/>
                <w:szCs w:val="16"/>
                <w:lang w:eastAsia="hr-HR"/>
              </w:rPr>
              <w:t>17</w:t>
            </w:r>
          </w:p>
        </w:tc>
        <w:tc>
          <w:tcPr>
            <w:tcW w:w="420" w:type="dxa"/>
            <w:tcBorders>
              <w:top w:val="nil"/>
              <w:left w:val="nil"/>
              <w:bottom w:val="single" w:sz="4" w:space="0" w:color="auto"/>
              <w:right w:val="single" w:sz="4" w:space="0" w:color="auto"/>
            </w:tcBorders>
            <w:shd w:val="clear" w:color="000000" w:fill="FFFF00"/>
            <w:noWrap/>
            <w:vAlign w:val="bottom"/>
            <w:hideMark/>
          </w:tcPr>
          <w:p w14:paraId="1AEA60A9" w14:textId="77777777" w:rsidR="00A72067" w:rsidRPr="00BF5E3C" w:rsidRDefault="00A72067" w:rsidP="00A72067">
            <w:pPr>
              <w:spacing w:after="0" w:line="240" w:lineRule="auto"/>
              <w:jc w:val="center"/>
              <w:rPr>
                <w:rFonts w:ascii="Tahoma" w:eastAsia="Times New Roman" w:hAnsi="Tahoma" w:cs="Tahoma"/>
                <w:sz w:val="16"/>
                <w:szCs w:val="16"/>
                <w:lang w:eastAsia="hr-HR"/>
              </w:rPr>
            </w:pPr>
            <w:r w:rsidRPr="00BF5E3C">
              <w:rPr>
                <w:rFonts w:ascii="Tahoma" w:eastAsia="Times New Roman" w:hAnsi="Tahoma" w:cs="Tahoma"/>
                <w:sz w:val="16"/>
                <w:szCs w:val="16"/>
                <w:lang w:eastAsia="hr-HR"/>
              </w:rPr>
              <w:t>4</w:t>
            </w:r>
          </w:p>
        </w:tc>
        <w:tc>
          <w:tcPr>
            <w:tcW w:w="665" w:type="dxa"/>
            <w:tcBorders>
              <w:top w:val="nil"/>
              <w:left w:val="nil"/>
              <w:bottom w:val="single" w:sz="4" w:space="0" w:color="auto"/>
              <w:right w:val="single" w:sz="4" w:space="0" w:color="auto"/>
            </w:tcBorders>
            <w:shd w:val="clear" w:color="000000" w:fill="CCFFFF"/>
            <w:noWrap/>
            <w:vAlign w:val="bottom"/>
            <w:hideMark/>
          </w:tcPr>
          <w:p w14:paraId="2C8AEA78" w14:textId="77777777" w:rsidR="00A72067" w:rsidRPr="00BF5E3C" w:rsidRDefault="00A72067" w:rsidP="00A72067">
            <w:pPr>
              <w:spacing w:after="0" w:line="240" w:lineRule="auto"/>
              <w:jc w:val="right"/>
              <w:rPr>
                <w:rFonts w:ascii="Tahoma" w:eastAsia="Times New Roman" w:hAnsi="Tahoma" w:cs="Tahoma"/>
                <w:sz w:val="16"/>
                <w:szCs w:val="16"/>
                <w:lang w:eastAsia="hr-HR"/>
              </w:rPr>
            </w:pPr>
            <w:r w:rsidRPr="00BF5E3C">
              <w:rPr>
                <w:rFonts w:ascii="Tahoma" w:eastAsia="Times New Roman" w:hAnsi="Tahoma" w:cs="Tahoma"/>
                <w:sz w:val="16"/>
                <w:szCs w:val="16"/>
                <w:lang w:eastAsia="hr-HR"/>
              </w:rPr>
              <w:t>4</w:t>
            </w:r>
          </w:p>
        </w:tc>
        <w:tc>
          <w:tcPr>
            <w:tcW w:w="571" w:type="dxa"/>
            <w:tcBorders>
              <w:top w:val="nil"/>
              <w:left w:val="nil"/>
              <w:bottom w:val="single" w:sz="4" w:space="0" w:color="auto"/>
              <w:right w:val="single" w:sz="4" w:space="0" w:color="auto"/>
            </w:tcBorders>
            <w:shd w:val="clear" w:color="000000" w:fill="CCFFFF"/>
            <w:noWrap/>
            <w:vAlign w:val="bottom"/>
            <w:hideMark/>
          </w:tcPr>
          <w:p w14:paraId="6851C479" w14:textId="77777777" w:rsidR="00A72067" w:rsidRPr="00BF5E3C" w:rsidRDefault="00A72067" w:rsidP="00A72067">
            <w:pPr>
              <w:spacing w:after="0" w:line="240" w:lineRule="auto"/>
              <w:jc w:val="right"/>
              <w:rPr>
                <w:rFonts w:ascii="Tahoma" w:eastAsia="Times New Roman" w:hAnsi="Tahoma" w:cs="Tahoma"/>
                <w:sz w:val="16"/>
                <w:szCs w:val="16"/>
                <w:lang w:eastAsia="hr-HR"/>
              </w:rPr>
            </w:pPr>
            <w:r w:rsidRPr="00BF5E3C">
              <w:rPr>
                <w:rFonts w:ascii="Tahoma" w:eastAsia="Times New Roman" w:hAnsi="Tahoma" w:cs="Tahoma"/>
                <w:sz w:val="16"/>
                <w:szCs w:val="16"/>
                <w:lang w:eastAsia="hr-HR"/>
              </w:rPr>
              <w:t>0</w:t>
            </w:r>
          </w:p>
        </w:tc>
        <w:tc>
          <w:tcPr>
            <w:tcW w:w="700" w:type="dxa"/>
            <w:tcBorders>
              <w:top w:val="nil"/>
              <w:left w:val="nil"/>
              <w:bottom w:val="single" w:sz="4" w:space="0" w:color="auto"/>
              <w:right w:val="single" w:sz="4" w:space="0" w:color="auto"/>
            </w:tcBorders>
            <w:shd w:val="clear" w:color="000000" w:fill="FFFF99"/>
            <w:noWrap/>
            <w:vAlign w:val="bottom"/>
            <w:hideMark/>
          </w:tcPr>
          <w:p w14:paraId="23EB4FB8" w14:textId="77777777" w:rsidR="00A72067" w:rsidRPr="00BF5E3C" w:rsidRDefault="00A72067" w:rsidP="00A72067">
            <w:pPr>
              <w:spacing w:after="0" w:line="240" w:lineRule="auto"/>
              <w:jc w:val="center"/>
              <w:rPr>
                <w:rFonts w:ascii="Tahoma" w:eastAsia="Times New Roman" w:hAnsi="Tahoma" w:cs="Tahoma"/>
                <w:sz w:val="16"/>
                <w:szCs w:val="16"/>
                <w:lang w:eastAsia="hr-HR"/>
              </w:rPr>
            </w:pPr>
            <w:r w:rsidRPr="00BF5E3C">
              <w:rPr>
                <w:rFonts w:ascii="Tahoma" w:eastAsia="Times New Roman" w:hAnsi="Tahoma" w:cs="Tahoma"/>
                <w:sz w:val="16"/>
                <w:szCs w:val="16"/>
                <w:lang w:eastAsia="hr-HR"/>
              </w:rPr>
              <w:t>4</w:t>
            </w:r>
          </w:p>
        </w:tc>
        <w:tc>
          <w:tcPr>
            <w:tcW w:w="698" w:type="dxa"/>
            <w:tcBorders>
              <w:top w:val="nil"/>
              <w:left w:val="nil"/>
              <w:bottom w:val="single" w:sz="4" w:space="0" w:color="auto"/>
              <w:right w:val="single" w:sz="4" w:space="0" w:color="auto"/>
            </w:tcBorders>
            <w:shd w:val="clear" w:color="000000" w:fill="FFFF99"/>
            <w:noWrap/>
            <w:vAlign w:val="bottom"/>
            <w:hideMark/>
          </w:tcPr>
          <w:p w14:paraId="155DFFB1" w14:textId="77777777" w:rsidR="00A72067" w:rsidRPr="00BF5E3C" w:rsidRDefault="00A72067" w:rsidP="00A72067">
            <w:pPr>
              <w:spacing w:after="0" w:line="240" w:lineRule="auto"/>
              <w:jc w:val="center"/>
              <w:rPr>
                <w:rFonts w:ascii="Tahoma" w:eastAsia="Times New Roman" w:hAnsi="Tahoma" w:cs="Tahoma"/>
                <w:sz w:val="16"/>
                <w:szCs w:val="16"/>
                <w:lang w:eastAsia="hr-HR"/>
              </w:rPr>
            </w:pPr>
            <w:r w:rsidRPr="00BF5E3C">
              <w:rPr>
                <w:rFonts w:ascii="Tahoma" w:eastAsia="Times New Roman" w:hAnsi="Tahoma" w:cs="Tahoma"/>
                <w:sz w:val="16"/>
                <w:szCs w:val="16"/>
                <w:lang w:eastAsia="hr-HR"/>
              </w:rPr>
              <w:t>0</w:t>
            </w:r>
          </w:p>
        </w:tc>
        <w:tc>
          <w:tcPr>
            <w:tcW w:w="698" w:type="dxa"/>
            <w:tcBorders>
              <w:top w:val="nil"/>
              <w:left w:val="nil"/>
              <w:bottom w:val="single" w:sz="4" w:space="0" w:color="auto"/>
              <w:right w:val="single" w:sz="4" w:space="0" w:color="auto"/>
            </w:tcBorders>
            <w:shd w:val="clear" w:color="000000" w:fill="FFFF99"/>
            <w:noWrap/>
            <w:vAlign w:val="bottom"/>
            <w:hideMark/>
          </w:tcPr>
          <w:p w14:paraId="5226E578" w14:textId="77777777" w:rsidR="00A72067" w:rsidRPr="00BF5E3C" w:rsidRDefault="00A72067" w:rsidP="00A72067">
            <w:pPr>
              <w:spacing w:after="0" w:line="240" w:lineRule="auto"/>
              <w:jc w:val="center"/>
              <w:rPr>
                <w:rFonts w:ascii="Tahoma" w:eastAsia="Times New Roman" w:hAnsi="Tahoma" w:cs="Tahoma"/>
                <w:sz w:val="16"/>
                <w:szCs w:val="16"/>
                <w:lang w:eastAsia="hr-HR"/>
              </w:rPr>
            </w:pPr>
            <w:r w:rsidRPr="00BF5E3C">
              <w:rPr>
                <w:rFonts w:ascii="Tahoma" w:eastAsia="Times New Roman" w:hAnsi="Tahoma" w:cs="Tahoma"/>
                <w:sz w:val="16"/>
                <w:szCs w:val="16"/>
                <w:lang w:eastAsia="hr-HR"/>
              </w:rPr>
              <w:t>0</w:t>
            </w:r>
          </w:p>
        </w:tc>
        <w:tc>
          <w:tcPr>
            <w:tcW w:w="698" w:type="dxa"/>
            <w:tcBorders>
              <w:top w:val="nil"/>
              <w:left w:val="nil"/>
              <w:bottom w:val="single" w:sz="4" w:space="0" w:color="auto"/>
              <w:right w:val="single" w:sz="4" w:space="0" w:color="auto"/>
            </w:tcBorders>
            <w:shd w:val="clear" w:color="000000" w:fill="FFFF99"/>
            <w:noWrap/>
            <w:vAlign w:val="bottom"/>
            <w:hideMark/>
          </w:tcPr>
          <w:p w14:paraId="393E00F7" w14:textId="77777777" w:rsidR="00A72067" w:rsidRPr="00BF5E3C" w:rsidRDefault="00A72067" w:rsidP="00A72067">
            <w:pPr>
              <w:spacing w:after="0" w:line="240" w:lineRule="auto"/>
              <w:jc w:val="center"/>
              <w:rPr>
                <w:rFonts w:ascii="Tahoma" w:eastAsia="Times New Roman" w:hAnsi="Tahoma" w:cs="Tahoma"/>
                <w:sz w:val="16"/>
                <w:szCs w:val="16"/>
                <w:lang w:eastAsia="hr-HR"/>
              </w:rPr>
            </w:pPr>
            <w:r w:rsidRPr="00BF5E3C">
              <w:rPr>
                <w:rFonts w:ascii="Tahoma" w:eastAsia="Times New Roman" w:hAnsi="Tahoma" w:cs="Tahoma"/>
                <w:sz w:val="16"/>
                <w:szCs w:val="16"/>
                <w:lang w:eastAsia="hr-HR"/>
              </w:rPr>
              <w:t>0</w:t>
            </w:r>
          </w:p>
        </w:tc>
        <w:tc>
          <w:tcPr>
            <w:tcW w:w="527" w:type="dxa"/>
            <w:tcBorders>
              <w:top w:val="nil"/>
              <w:left w:val="nil"/>
              <w:bottom w:val="single" w:sz="4" w:space="0" w:color="auto"/>
              <w:right w:val="single" w:sz="4" w:space="0" w:color="auto"/>
            </w:tcBorders>
            <w:shd w:val="clear" w:color="000000" w:fill="FFFF99"/>
            <w:noWrap/>
            <w:vAlign w:val="bottom"/>
            <w:hideMark/>
          </w:tcPr>
          <w:p w14:paraId="1AB7CB70" w14:textId="77777777" w:rsidR="00A72067" w:rsidRPr="00BF5E3C" w:rsidRDefault="00A72067" w:rsidP="00A72067">
            <w:pPr>
              <w:spacing w:after="0" w:line="240" w:lineRule="auto"/>
              <w:jc w:val="center"/>
              <w:rPr>
                <w:rFonts w:ascii="Tahoma" w:eastAsia="Times New Roman" w:hAnsi="Tahoma" w:cs="Tahoma"/>
                <w:sz w:val="16"/>
                <w:szCs w:val="16"/>
                <w:lang w:eastAsia="hr-HR"/>
              </w:rPr>
            </w:pPr>
            <w:r w:rsidRPr="00BF5E3C">
              <w:rPr>
                <w:rFonts w:ascii="Tahoma" w:eastAsia="Times New Roman" w:hAnsi="Tahoma" w:cs="Tahoma"/>
                <w:sz w:val="16"/>
                <w:szCs w:val="16"/>
                <w:lang w:eastAsia="hr-HR"/>
              </w:rPr>
              <w:t>0</w:t>
            </w:r>
          </w:p>
        </w:tc>
        <w:tc>
          <w:tcPr>
            <w:tcW w:w="702" w:type="dxa"/>
            <w:tcBorders>
              <w:top w:val="nil"/>
              <w:left w:val="nil"/>
              <w:bottom w:val="single" w:sz="4" w:space="0" w:color="auto"/>
              <w:right w:val="single" w:sz="4" w:space="0" w:color="auto"/>
            </w:tcBorders>
            <w:shd w:val="clear" w:color="000000" w:fill="FFFF99"/>
            <w:noWrap/>
            <w:vAlign w:val="bottom"/>
            <w:hideMark/>
          </w:tcPr>
          <w:p w14:paraId="18045B03" w14:textId="77777777" w:rsidR="00A72067" w:rsidRPr="00BF5E3C" w:rsidRDefault="00A72067" w:rsidP="00A72067">
            <w:pPr>
              <w:spacing w:after="0" w:line="240" w:lineRule="auto"/>
              <w:jc w:val="center"/>
              <w:rPr>
                <w:rFonts w:ascii="Tahoma" w:eastAsia="Times New Roman" w:hAnsi="Tahoma" w:cs="Tahoma"/>
                <w:sz w:val="16"/>
                <w:szCs w:val="16"/>
                <w:lang w:eastAsia="hr-HR"/>
              </w:rPr>
            </w:pPr>
            <w:r w:rsidRPr="00BF5E3C">
              <w:rPr>
                <w:rFonts w:ascii="Tahoma" w:eastAsia="Times New Roman" w:hAnsi="Tahoma" w:cs="Tahoma"/>
                <w:sz w:val="16"/>
                <w:szCs w:val="16"/>
                <w:lang w:eastAsia="hr-HR"/>
              </w:rPr>
              <w:t>0</w:t>
            </w:r>
          </w:p>
        </w:tc>
        <w:tc>
          <w:tcPr>
            <w:tcW w:w="698" w:type="dxa"/>
            <w:tcBorders>
              <w:top w:val="nil"/>
              <w:left w:val="nil"/>
              <w:bottom w:val="single" w:sz="4" w:space="0" w:color="auto"/>
              <w:right w:val="single" w:sz="4" w:space="0" w:color="auto"/>
            </w:tcBorders>
            <w:shd w:val="clear" w:color="000000" w:fill="FF9900"/>
            <w:noWrap/>
            <w:vAlign w:val="bottom"/>
            <w:hideMark/>
          </w:tcPr>
          <w:p w14:paraId="7A2434F7" w14:textId="77777777" w:rsidR="00A72067" w:rsidRPr="00BF5E3C" w:rsidRDefault="00A72067" w:rsidP="00A72067">
            <w:pPr>
              <w:spacing w:after="0" w:line="240" w:lineRule="auto"/>
              <w:jc w:val="right"/>
              <w:rPr>
                <w:rFonts w:ascii="Tahoma" w:eastAsia="Times New Roman" w:hAnsi="Tahoma" w:cs="Tahoma"/>
                <w:sz w:val="16"/>
                <w:szCs w:val="16"/>
                <w:lang w:eastAsia="hr-HR"/>
              </w:rPr>
            </w:pPr>
            <w:r w:rsidRPr="00BF5E3C">
              <w:rPr>
                <w:rFonts w:ascii="Tahoma" w:eastAsia="Times New Roman" w:hAnsi="Tahoma" w:cs="Tahoma"/>
                <w:sz w:val="16"/>
                <w:szCs w:val="16"/>
                <w:lang w:eastAsia="hr-HR"/>
              </w:rPr>
              <w:t>3</w:t>
            </w:r>
          </w:p>
        </w:tc>
        <w:tc>
          <w:tcPr>
            <w:tcW w:w="439" w:type="dxa"/>
            <w:tcBorders>
              <w:top w:val="nil"/>
              <w:left w:val="nil"/>
              <w:bottom w:val="single" w:sz="4" w:space="0" w:color="auto"/>
              <w:right w:val="single" w:sz="4" w:space="0" w:color="auto"/>
            </w:tcBorders>
            <w:shd w:val="clear" w:color="000000" w:fill="FF9900"/>
            <w:noWrap/>
            <w:vAlign w:val="bottom"/>
            <w:hideMark/>
          </w:tcPr>
          <w:p w14:paraId="5A10CE62" w14:textId="77777777" w:rsidR="00A72067" w:rsidRPr="00BF5E3C" w:rsidRDefault="00A72067" w:rsidP="00A72067">
            <w:pPr>
              <w:spacing w:after="0" w:line="240" w:lineRule="auto"/>
              <w:jc w:val="right"/>
              <w:rPr>
                <w:rFonts w:ascii="Tahoma" w:eastAsia="Times New Roman" w:hAnsi="Tahoma" w:cs="Tahoma"/>
                <w:sz w:val="16"/>
                <w:szCs w:val="16"/>
                <w:lang w:eastAsia="hr-HR"/>
              </w:rPr>
            </w:pPr>
            <w:r w:rsidRPr="00BF5E3C">
              <w:rPr>
                <w:rFonts w:ascii="Tahoma" w:eastAsia="Times New Roman" w:hAnsi="Tahoma" w:cs="Tahoma"/>
                <w:sz w:val="16"/>
                <w:szCs w:val="16"/>
                <w:lang w:eastAsia="hr-HR"/>
              </w:rPr>
              <w:t>3</w:t>
            </w:r>
          </w:p>
        </w:tc>
        <w:tc>
          <w:tcPr>
            <w:tcW w:w="439" w:type="dxa"/>
            <w:tcBorders>
              <w:top w:val="nil"/>
              <w:left w:val="nil"/>
              <w:bottom w:val="single" w:sz="4" w:space="0" w:color="auto"/>
              <w:right w:val="single" w:sz="4" w:space="0" w:color="auto"/>
            </w:tcBorders>
            <w:shd w:val="clear" w:color="000000" w:fill="FF9900"/>
            <w:noWrap/>
            <w:vAlign w:val="bottom"/>
            <w:hideMark/>
          </w:tcPr>
          <w:p w14:paraId="51CA59BF" w14:textId="77777777" w:rsidR="00A72067" w:rsidRPr="00BF5E3C" w:rsidRDefault="00A72067" w:rsidP="00A72067">
            <w:pPr>
              <w:spacing w:after="0" w:line="240" w:lineRule="auto"/>
              <w:jc w:val="right"/>
              <w:rPr>
                <w:rFonts w:ascii="Tahoma" w:eastAsia="Times New Roman" w:hAnsi="Tahoma" w:cs="Tahoma"/>
                <w:sz w:val="16"/>
                <w:szCs w:val="16"/>
                <w:lang w:eastAsia="hr-HR"/>
              </w:rPr>
            </w:pPr>
            <w:r w:rsidRPr="00BF5E3C">
              <w:rPr>
                <w:rFonts w:ascii="Tahoma" w:eastAsia="Times New Roman" w:hAnsi="Tahoma" w:cs="Tahoma"/>
                <w:sz w:val="16"/>
                <w:szCs w:val="16"/>
                <w:lang w:eastAsia="hr-HR"/>
              </w:rPr>
              <w:t>1</w:t>
            </w:r>
          </w:p>
        </w:tc>
        <w:tc>
          <w:tcPr>
            <w:tcW w:w="665" w:type="dxa"/>
            <w:tcBorders>
              <w:top w:val="nil"/>
              <w:left w:val="nil"/>
              <w:bottom w:val="single" w:sz="4" w:space="0" w:color="auto"/>
              <w:right w:val="single" w:sz="4" w:space="0" w:color="auto"/>
            </w:tcBorders>
            <w:shd w:val="clear" w:color="000000" w:fill="FFFF00"/>
            <w:vAlign w:val="center"/>
            <w:hideMark/>
          </w:tcPr>
          <w:p w14:paraId="5AE1CD8D" w14:textId="77777777" w:rsidR="00A72067" w:rsidRPr="00BF5E3C" w:rsidRDefault="00A72067" w:rsidP="00A72067">
            <w:pPr>
              <w:spacing w:after="0" w:line="240" w:lineRule="auto"/>
              <w:jc w:val="center"/>
              <w:rPr>
                <w:rFonts w:ascii="Tahoma" w:eastAsia="Times New Roman" w:hAnsi="Tahoma" w:cs="Tahoma"/>
                <w:sz w:val="16"/>
                <w:szCs w:val="16"/>
                <w:lang w:eastAsia="hr-HR"/>
              </w:rPr>
            </w:pPr>
            <w:r w:rsidRPr="00BF5E3C">
              <w:rPr>
                <w:rFonts w:ascii="Tahoma" w:eastAsia="Times New Roman" w:hAnsi="Tahoma" w:cs="Tahoma"/>
                <w:sz w:val="16"/>
                <w:szCs w:val="16"/>
                <w:lang w:eastAsia="hr-HR"/>
              </w:rPr>
              <w:t>7</w:t>
            </w:r>
          </w:p>
        </w:tc>
        <w:tc>
          <w:tcPr>
            <w:tcW w:w="698" w:type="dxa"/>
            <w:tcBorders>
              <w:top w:val="nil"/>
              <w:left w:val="nil"/>
              <w:bottom w:val="single" w:sz="4" w:space="0" w:color="auto"/>
              <w:right w:val="single" w:sz="4" w:space="0" w:color="auto"/>
            </w:tcBorders>
            <w:shd w:val="clear" w:color="000000" w:fill="FF9900"/>
            <w:vAlign w:val="center"/>
            <w:hideMark/>
          </w:tcPr>
          <w:p w14:paraId="239779E8" w14:textId="77777777" w:rsidR="00A72067" w:rsidRPr="00BF5E3C" w:rsidRDefault="00A72067" w:rsidP="00A72067">
            <w:pPr>
              <w:spacing w:after="0" w:line="240" w:lineRule="auto"/>
              <w:jc w:val="center"/>
              <w:rPr>
                <w:rFonts w:ascii="Tahoma" w:eastAsia="Times New Roman" w:hAnsi="Tahoma" w:cs="Tahoma"/>
                <w:sz w:val="16"/>
                <w:szCs w:val="16"/>
                <w:lang w:eastAsia="hr-HR"/>
              </w:rPr>
            </w:pPr>
            <w:r w:rsidRPr="00BF5E3C">
              <w:rPr>
                <w:rFonts w:ascii="Tahoma" w:eastAsia="Times New Roman" w:hAnsi="Tahoma" w:cs="Tahoma"/>
                <w:sz w:val="16"/>
                <w:szCs w:val="16"/>
                <w:lang w:eastAsia="hr-HR"/>
              </w:rPr>
              <w:t>14</w:t>
            </w:r>
          </w:p>
        </w:tc>
        <w:tc>
          <w:tcPr>
            <w:tcW w:w="707" w:type="dxa"/>
            <w:tcBorders>
              <w:top w:val="nil"/>
              <w:left w:val="nil"/>
              <w:bottom w:val="single" w:sz="4" w:space="0" w:color="auto"/>
              <w:right w:val="single" w:sz="4" w:space="0" w:color="auto"/>
            </w:tcBorders>
            <w:shd w:val="clear" w:color="000000" w:fill="FF9900"/>
            <w:vAlign w:val="center"/>
            <w:hideMark/>
          </w:tcPr>
          <w:p w14:paraId="052C9167" w14:textId="77777777" w:rsidR="00A72067" w:rsidRPr="00BF5E3C" w:rsidRDefault="00A72067" w:rsidP="00A72067">
            <w:pPr>
              <w:spacing w:after="0" w:line="240" w:lineRule="auto"/>
              <w:jc w:val="center"/>
              <w:rPr>
                <w:rFonts w:ascii="Tahoma" w:eastAsia="Times New Roman" w:hAnsi="Tahoma" w:cs="Tahoma"/>
                <w:sz w:val="16"/>
                <w:szCs w:val="16"/>
                <w:lang w:eastAsia="hr-HR"/>
              </w:rPr>
            </w:pPr>
            <w:r w:rsidRPr="00BF5E3C">
              <w:rPr>
                <w:rFonts w:ascii="Tahoma" w:eastAsia="Times New Roman" w:hAnsi="Tahoma" w:cs="Tahoma"/>
                <w:sz w:val="16"/>
                <w:szCs w:val="16"/>
                <w:lang w:eastAsia="hr-HR"/>
              </w:rPr>
              <w:t>3</w:t>
            </w:r>
          </w:p>
        </w:tc>
        <w:tc>
          <w:tcPr>
            <w:tcW w:w="707" w:type="dxa"/>
            <w:tcBorders>
              <w:top w:val="nil"/>
              <w:left w:val="nil"/>
              <w:bottom w:val="single" w:sz="4" w:space="0" w:color="auto"/>
              <w:right w:val="single" w:sz="4" w:space="0" w:color="auto"/>
            </w:tcBorders>
            <w:shd w:val="clear" w:color="000000" w:fill="FF9900"/>
            <w:vAlign w:val="center"/>
            <w:hideMark/>
          </w:tcPr>
          <w:p w14:paraId="19D2C0E9" w14:textId="77777777" w:rsidR="00A72067" w:rsidRPr="00BF5E3C" w:rsidRDefault="00A72067" w:rsidP="00A72067">
            <w:pPr>
              <w:spacing w:after="0" w:line="240" w:lineRule="auto"/>
              <w:jc w:val="center"/>
              <w:rPr>
                <w:rFonts w:ascii="Tahoma" w:eastAsia="Times New Roman" w:hAnsi="Tahoma" w:cs="Tahoma"/>
                <w:sz w:val="16"/>
                <w:szCs w:val="16"/>
                <w:lang w:eastAsia="hr-HR"/>
              </w:rPr>
            </w:pPr>
            <w:r w:rsidRPr="00BF5E3C">
              <w:rPr>
                <w:rFonts w:ascii="Tahoma" w:eastAsia="Times New Roman" w:hAnsi="Tahoma" w:cs="Tahoma"/>
                <w:sz w:val="16"/>
                <w:szCs w:val="16"/>
                <w:lang w:eastAsia="hr-HR"/>
              </w:rPr>
              <w:t>0</w:t>
            </w:r>
          </w:p>
        </w:tc>
        <w:tc>
          <w:tcPr>
            <w:tcW w:w="698" w:type="dxa"/>
            <w:tcBorders>
              <w:top w:val="nil"/>
              <w:left w:val="nil"/>
              <w:bottom w:val="single" w:sz="4" w:space="0" w:color="auto"/>
              <w:right w:val="single" w:sz="4" w:space="0" w:color="auto"/>
            </w:tcBorders>
            <w:shd w:val="clear" w:color="000000" w:fill="FF9900"/>
            <w:vAlign w:val="center"/>
            <w:hideMark/>
          </w:tcPr>
          <w:p w14:paraId="453F6FBA" w14:textId="77777777" w:rsidR="00A72067" w:rsidRPr="00BF5E3C" w:rsidRDefault="00A72067" w:rsidP="00A72067">
            <w:pPr>
              <w:spacing w:after="0" w:line="240" w:lineRule="auto"/>
              <w:jc w:val="center"/>
              <w:rPr>
                <w:rFonts w:ascii="Tahoma" w:eastAsia="Times New Roman" w:hAnsi="Tahoma" w:cs="Tahoma"/>
                <w:sz w:val="16"/>
                <w:szCs w:val="16"/>
                <w:lang w:eastAsia="hr-HR"/>
              </w:rPr>
            </w:pPr>
            <w:r w:rsidRPr="00BF5E3C">
              <w:rPr>
                <w:rFonts w:ascii="Tahoma" w:eastAsia="Times New Roman" w:hAnsi="Tahoma" w:cs="Tahoma"/>
                <w:sz w:val="16"/>
                <w:szCs w:val="16"/>
                <w:lang w:eastAsia="hr-HR"/>
              </w:rPr>
              <w:t>2</w:t>
            </w:r>
          </w:p>
        </w:tc>
        <w:tc>
          <w:tcPr>
            <w:tcW w:w="377" w:type="dxa"/>
            <w:tcBorders>
              <w:top w:val="nil"/>
              <w:left w:val="nil"/>
              <w:bottom w:val="single" w:sz="4" w:space="0" w:color="auto"/>
              <w:right w:val="single" w:sz="4" w:space="0" w:color="auto"/>
            </w:tcBorders>
            <w:shd w:val="clear" w:color="000000" w:fill="CCFFFF"/>
            <w:noWrap/>
            <w:vAlign w:val="bottom"/>
            <w:hideMark/>
          </w:tcPr>
          <w:p w14:paraId="2DAE1E8B" w14:textId="77777777" w:rsidR="00A72067" w:rsidRPr="00BF5E3C" w:rsidRDefault="00A72067" w:rsidP="00A72067">
            <w:pPr>
              <w:spacing w:after="0" w:line="240" w:lineRule="auto"/>
              <w:jc w:val="right"/>
              <w:rPr>
                <w:rFonts w:ascii="Tahoma" w:eastAsia="Times New Roman" w:hAnsi="Tahoma" w:cs="Tahoma"/>
                <w:sz w:val="16"/>
                <w:szCs w:val="16"/>
                <w:lang w:eastAsia="hr-HR"/>
              </w:rPr>
            </w:pPr>
            <w:r w:rsidRPr="00BF5E3C">
              <w:rPr>
                <w:rFonts w:ascii="Tahoma" w:eastAsia="Times New Roman" w:hAnsi="Tahoma" w:cs="Tahoma"/>
                <w:sz w:val="16"/>
                <w:szCs w:val="16"/>
                <w:lang w:eastAsia="hr-HR"/>
              </w:rPr>
              <w:t>6</w:t>
            </w:r>
          </w:p>
        </w:tc>
        <w:tc>
          <w:tcPr>
            <w:tcW w:w="388" w:type="dxa"/>
            <w:tcBorders>
              <w:top w:val="nil"/>
              <w:left w:val="nil"/>
              <w:bottom w:val="single" w:sz="4" w:space="0" w:color="auto"/>
              <w:right w:val="single" w:sz="4" w:space="0" w:color="auto"/>
            </w:tcBorders>
            <w:shd w:val="clear" w:color="000000" w:fill="CCFFFF"/>
            <w:noWrap/>
            <w:vAlign w:val="bottom"/>
            <w:hideMark/>
          </w:tcPr>
          <w:p w14:paraId="0BD68A86" w14:textId="77777777" w:rsidR="00A72067" w:rsidRPr="00BF5E3C" w:rsidRDefault="00A72067" w:rsidP="00A72067">
            <w:pPr>
              <w:spacing w:after="0" w:line="240" w:lineRule="auto"/>
              <w:jc w:val="right"/>
              <w:rPr>
                <w:rFonts w:ascii="Tahoma" w:eastAsia="Times New Roman" w:hAnsi="Tahoma" w:cs="Tahoma"/>
                <w:sz w:val="16"/>
                <w:szCs w:val="16"/>
                <w:lang w:eastAsia="hr-HR"/>
              </w:rPr>
            </w:pPr>
            <w:r w:rsidRPr="00BF5E3C">
              <w:rPr>
                <w:rFonts w:ascii="Tahoma" w:eastAsia="Times New Roman" w:hAnsi="Tahoma" w:cs="Tahoma"/>
                <w:sz w:val="16"/>
                <w:szCs w:val="16"/>
                <w:lang w:eastAsia="hr-HR"/>
              </w:rPr>
              <w:t>1</w:t>
            </w:r>
          </w:p>
        </w:tc>
        <w:tc>
          <w:tcPr>
            <w:tcW w:w="399" w:type="dxa"/>
            <w:tcBorders>
              <w:top w:val="nil"/>
              <w:left w:val="nil"/>
              <w:bottom w:val="single" w:sz="4" w:space="0" w:color="auto"/>
              <w:right w:val="single" w:sz="4" w:space="0" w:color="auto"/>
            </w:tcBorders>
            <w:shd w:val="clear" w:color="000000" w:fill="CCFFFF"/>
            <w:noWrap/>
            <w:vAlign w:val="bottom"/>
            <w:hideMark/>
          </w:tcPr>
          <w:p w14:paraId="408CE9DB" w14:textId="77777777" w:rsidR="00A72067" w:rsidRPr="00BF5E3C" w:rsidRDefault="00A72067" w:rsidP="00A72067">
            <w:pPr>
              <w:spacing w:after="0" w:line="240" w:lineRule="auto"/>
              <w:jc w:val="right"/>
              <w:rPr>
                <w:rFonts w:ascii="Tahoma" w:eastAsia="Times New Roman" w:hAnsi="Tahoma" w:cs="Tahoma"/>
                <w:sz w:val="16"/>
                <w:szCs w:val="16"/>
                <w:lang w:eastAsia="hr-HR"/>
              </w:rPr>
            </w:pPr>
            <w:r w:rsidRPr="00BF5E3C">
              <w:rPr>
                <w:rFonts w:ascii="Tahoma" w:eastAsia="Times New Roman" w:hAnsi="Tahoma" w:cs="Tahoma"/>
                <w:sz w:val="16"/>
                <w:szCs w:val="16"/>
                <w:lang w:eastAsia="hr-HR"/>
              </w:rPr>
              <w:t>0</w:t>
            </w:r>
          </w:p>
        </w:tc>
        <w:tc>
          <w:tcPr>
            <w:tcW w:w="489" w:type="dxa"/>
            <w:gridSpan w:val="2"/>
            <w:tcBorders>
              <w:top w:val="nil"/>
              <w:left w:val="nil"/>
              <w:bottom w:val="single" w:sz="4" w:space="0" w:color="auto"/>
              <w:right w:val="nil"/>
            </w:tcBorders>
            <w:shd w:val="clear" w:color="000000" w:fill="33CCCC"/>
            <w:noWrap/>
            <w:vAlign w:val="bottom"/>
            <w:hideMark/>
          </w:tcPr>
          <w:p w14:paraId="78F452B8" w14:textId="77777777" w:rsidR="00A72067" w:rsidRPr="00BF5E3C" w:rsidRDefault="00A72067" w:rsidP="00A72067">
            <w:pPr>
              <w:spacing w:after="0" w:line="240" w:lineRule="auto"/>
              <w:jc w:val="right"/>
              <w:rPr>
                <w:rFonts w:ascii="Tahoma" w:eastAsia="Times New Roman" w:hAnsi="Tahoma" w:cs="Tahoma"/>
                <w:sz w:val="16"/>
                <w:szCs w:val="16"/>
                <w:lang w:eastAsia="hr-HR"/>
              </w:rPr>
            </w:pPr>
            <w:r w:rsidRPr="00BF5E3C">
              <w:rPr>
                <w:rFonts w:ascii="Tahoma" w:eastAsia="Times New Roman" w:hAnsi="Tahoma" w:cs="Tahoma"/>
                <w:sz w:val="16"/>
                <w:szCs w:val="16"/>
                <w:lang w:eastAsia="hr-HR"/>
              </w:rPr>
              <w:t>0</w:t>
            </w:r>
          </w:p>
        </w:tc>
        <w:tc>
          <w:tcPr>
            <w:tcW w:w="425" w:type="dxa"/>
            <w:tcBorders>
              <w:top w:val="nil"/>
              <w:left w:val="single" w:sz="4" w:space="0" w:color="auto"/>
              <w:bottom w:val="single" w:sz="4" w:space="0" w:color="auto"/>
              <w:right w:val="single" w:sz="8" w:space="0" w:color="auto"/>
            </w:tcBorders>
            <w:shd w:val="clear" w:color="000000" w:fill="33CCCC"/>
            <w:noWrap/>
            <w:vAlign w:val="bottom"/>
            <w:hideMark/>
          </w:tcPr>
          <w:p w14:paraId="501646B7" w14:textId="77777777" w:rsidR="00A72067" w:rsidRPr="00BF5E3C" w:rsidRDefault="00A72067" w:rsidP="00A72067">
            <w:pPr>
              <w:spacing w:after="0" w:line="240" w:lineRule="auto"/>
              <w:jc w:val="right"/>
              <w:rPr>
                <w:rFonts w:ascii="Tahoma" w:eastAsia="Times New Roman" w:hAnsi="Tahoma" w:cs="Tahoma"/>
                <w:sz w:val="16"/>
                <w:szCs w:val="16"/>
                <w:lang w:eastAsia="hr-HR"/>
              </w:rPr>
            </w:pPr>
            <w:r w:rsidRPr="00BF5E3C">
              <w:rPr>
                <w:rFonts w:ascii="Tahoma" w:eastAsia="Times New Roman" w:hAnsi="Tahoma" w:cs="Tahoma"/>
                <w:sz w:val="16"/>
                <w:szCs w:val="16"/>
                <w:lang w:eastAsia="hr-HR"/>
              </w:rPr>
              <w:t>7</w:t>
            </w:r>
          </w:p>
        </w:tc>
        <w:tc>
          <w:tcPr>
            <w:tcW w:w="236" w:type="dxa"/>
            <w:vAlign w:val="center"/>
            <w:hideMark/>
          </w:tcPr>
          <w:p w14:paraId="01A3CDA6" w14:textId="77777777" w:rsidR="00A72067" w:rsidRPr="00BF5E3C" w:rsidRDefault="00A72067" w:rsidP="00A72067">
            <w:pPr>
              <w:spacing w:after="0" w:line="240" w:lineRule="auto"/>
              <w:rPr>
                <w:rFonts w:ascii="Times New Roman" w:eastAsia="Times New Roman" w:hAnsi="Times New Roman" w:cs="Times New Roman"/>
                <w:sz w:val="16"/>
                <w:szCs w:val="16"/>
                <w:lang w:eastAsia="hr-HR"/>
              </w:rPr>
            </w:pPr>
          </w:p>
        </w:tc>
      </w:tr>
      <w:tr w:rsidR="00F90F6F" w:rsidRPr="00BF5E3C" w14:paraId="486308EA" w14:textId="77777777" w:rsidTr="00F90F6F">
        <w:trPr>
          <w:gridAfter w:val="1"/>
          <w:wAfter w:w="32" w:type="dxa"/>
          <w:trHeight w:val="402"/>
        </w:trPr>
        <w:tc>
          <w:tcPr>
            <w:tcW w:w="979" w:type="dxa"/>
            <w:tcBorders>
              <w:top w:val="nil"/>
              <w:left w:val="single" w:sz="8" w:space="0" w:color="auto"/>
              <w:bottom w:val="single" w:sz="4" w:space="0" w:color="auto"/>
              <w:right w:val="single" w:sz="4" w:space="0" w:color="auto"/>
            </w:tcBorders>
            <w:shd w:val="clear" w:color="000000" w:fill="CCFFCC"/>
            <w:vAlign w:val="center"/>
            <w:hideMark/>
          </w:tcPr>
          <w:p w14:paraId="37A37A4E" w14:textId="77777777" w:rsidR="00A72067" w:rsidRPr="00BF5E3C" w:rsidRDefault="00A72067" w:rsidP="00A72067">
            <w:pPr>
              <w:spacing w:after="0" w:line="240" w:lineRule="auto"/>
              <w:rPr>
                <w:rFonts w:ascii="Tahoma" w:eastAsia="Times New Roman" w:hAnsi="Tahoma" w:cs="Tahoma"/>
                <w:sz w:val="16"/>
                <w:szCs w:val="16"/>
                <w:lang w:eastAsia="hr-HR"/>
              </w:rPr>
            </w:pPr>
            <w:r w:rsidRPr="00BF5E3C">
              <w:rPr>
                <w:rFonts w:ascii="Tahoma" w:eastAsia="Times New Roman" w:hAnsi="Tahoma" w:cs="Tahoma"/>
                <w:sz w:val="16"/>
                <w:szCs w:val="16"/>
                <w:lang w:eastAsia="hr-HR"/>
              </w:rPr>
              <w:t>Spolna orijentacija</w:t>
            </w:r>
          </w:p>
        </w:tc>
        <w:tc>
          <w:tcPr>
            <w:tcW w:w="520" w:type="dxa"/>
            <w:tcBorders>
              <w:top w:val="nil"/>
              <w:left w:val="nil"/>
              <w:bottom w:val="single" w:sz="4" w:space="0" w:color="auto"/>
              <w:right w:val="single" w:sz="4" w:space="0" w:color="auto"/>
            </w:tcBorders>
            <w:shd w:val="clear" w:color="000000" w:fill="FFCC99"/>
            <w:noWrap/>
            <w:vAlign w:val="bottom"/>
            <w:hideMark/>
          </w:tcPr>
          <w:p w14:paraId="1597C13D" w14:textId="77777777" w:rsidR="00A72067" w:rsidRPr="00BF5E3C" w:rsidRDefault="00A72067" w:rsidP="00A72067">
            <w:pPr>
              <w:spacing w:after="0" w:line="240" w:lineRule="auto"/>
              <w:jc w:val="center"/>
              <w:rPr>
                <w:rFonts w:ascii="Tahoma" w:eastAsia="Times New Roman" w:hAnsi="Tahoma" w:cs="Tahoma"/>
                <w:sz w:val="16"/>
                <w:szCs w:val="16"/>
                <w:lang w:eastAsia="hr-HR"/>
              </w:rPr>
            </w:pPr>
            <w:r w:rsidRPr="00BF5E3C">
              <w:rPr>
                <w:rFonts w:ascii="Tahoma" w:eastAsia="Times New Roman" w:hAnsi="Tahoma" w:cs="Tahoma"/>
                <w:sz w:val="16"/>
                <w:szCs w:val="16"/>
                <w:lang w:eastAsia="hr-HR"/>
              </w:rPr>
              <w:t>1</w:t>
            </w:r>
          </w:p>
        </w:tc>
        <w:tc>
          <w:tcPr>
            <w:tcW w:w="420" w:type="dxa"/>
            <w:tcBorders>
              <w:top w:val="nil"/>
              <w:left w:val="nil"/>
              <w:bottom w:val="single" w:sz="4" w:space="0" w:color="auto"/>
              <w:right w:val="single" w:sz="4" w:space="0" w:color="auto"/>
            </w:tcBorders>
            <w:shd w:val="clear" w:color="000000" w:fill="FFFF00"/>
            <w:noWrap/>
            <w:vAlign w:val="bottom"/>
            <w:hideMark/>
          </w:tcPr>
          <w:p w14:paraId="79DCEC8A" w14:textId="77777777" w:rsidR="00A72067" w:rsidRPr="00BF5E3C" w:rsidRDefault="00A72067" w:rsidP="00A72067">
            <w:pPr>
              <w:spacing w:after="0" w:line="240" w:lineRule="auto"/>
              <w:jc w:val="center"/>
              <w:rPr>
                <w:rFonts w:ascii="Tahoma" w:eastAsia="Times New Roman" w:hAnsi="Tahoma" w:cs="Tahoma"/>
                <w:sz w:val="16"/>
                <w:szCs w:val="16"/>
                <w:lang w:eastAsia="hr-HR"/>
              </w:rPr>
            </w:pPr>
            <w:r w:rsidRPr="00BF5E3C">
              <w:rPr>
                <w:rFonts w:ascii="Tahoma" w:eastAsia="Times New Roman" w:hAnsi="Tahoma" w:cs="Tahoma"/>
                <w:sz w:val="16"/>
                <w:szCs w:val="16"/>
                <w:lang w:eastAsia="hr-HR"/>
              </w:rPr>
              <w:t>2</w:t>
            </w:r>
          </w:p>
        </w:tc>
        <w:tc>
          <w:tcPr>
            <w:tcW w:w="665" w:type="dxa"/>
            <w:tcBorders>
              <w:top w:val="nil"/>
              <w:left w:val="nil"/>
              <w:bottom w:val="single" w:sz="4" w:space="0" w:color="auto"/>
              <w:right w:val="single" w:sz="4" w:space="0" w:color="auto"/>
            </w:tcBorders>
            <w:shd w:val="clear" w:color="000000" w:fill="CCFFFF"/>
            <w:noWrap/>
            <w:vAlign w:val="bottom"/>
            <w:hideMark/>
          </w:tcPr>
          <w:p w14:paraId="2B6B70DB" w14:textId="77777777" w:rsidR="00A72067" w:rsidRPr="00BF5E3C" w:rsidRDefault="00A72067" w:rsidP="00A72067">
            <w:pPr>
              <w:spacing w:after="0" w:line="240" w:lineRule="auto"/>
              <w:jc w:val="right"/>
              <w:rPr>
                <w:rFonts w:ascii="Tahoma" w:eastAsia="Times New Roman" w:hAnsi="Tahoma" w:cs="Tahoma"/>
                <w:sz w:val="16"/>
                <w:szCs w:val="16"/>
                <w:lang w:eastAsia="hr-HR"/>
              </w:rPr>
            </w:pPr>
            <w:r w:rsidRPr="00BF5E3C">
              <w:rPr>
                <w:rFonts w:ascii="Tahoma" w:eastAsia="Times New Roman" w:hAnsi="Tahoma" w:cs="Tahoma"/>
                <w:sz w:val="16"/>
                <w:szCs w:val="16"/>
                <w:lang w:eastAsia="hr-HR"/>
              </w:rPr>
              <w:t>1</w:t>
            </w:r>
          </w:p>
        </w:tc>
        <w:tc>
          <w:tcPr>
            <w:tcW w:w="571" w:type="dxa"/>
            <w:tcBorders>
              <w:top w:val="nil"/>
              <w:left w:val="nil"/>
              <w:bottom w:val="single" w:sz="4" w:space="0" w:color="auto"/>
              <w:right w:val="single" w:sz="4" w:space="0" w:color="auto"/>
            </w:tcBorders>
            <w:shd w:val="clear" w:color="000000" w:fill="CCFFFF"/>
            <w:noWrap/>
            <w:vAlign w:val="bottom"/>
            <w:hideMark/>
          </w:tcPr>
          <w:p w14:paraId="53D54BD0" w14:textId="77777777" w:rsidR="00A72067" w:rsidRPr="00BF5E3C" w:rsidRDefault="00A72067" w:rsidP="00A72067">
            <w:pPr>
              <w:spacing w:after="0" w:line="240" w:lineRule="auto"/>
              <w:jc w:val="right"/>
              <w:rPr>
                <w:rFonts w:ascii="Tahoma" w:eastAsia="Times New Roman" w:hAnsi="Tahoma" w:cs="Tahoma"/>
                <w:sz w:val="16"/>
                <w:szCs w:val="16"/>
                <w:lang w:eastAsia="hr-HR"/>
              </w:rPr>
            </w:pPr>
            <w:r w:rsidRPr="00BF5E3C">
              <w:rPr>
                <w:rFonts w:ascii="Tahoma" w:eastAsia="Times New Roman" w:hAnsi="Tahoma" w:cs="Tahoma"/>
                <w:sz w:val="16"/>
                <w:szCs w:val="16"/>
                <w:lang w:eastAsia="hr-HR"/>
              </w:rPr>
              <w:t>6</w:t>
            </w:r>
          </w:p>
        </w:tc>
        <w:tc>
          <w:tcPr>
            <w:tcW w:w="700" w:type="dxa"/>
            <w:tcBorders>
              <w:top w:val="nil"/>
              <w:left w:val="nil"/>
              <w:bottom w:val="single" w:sz="4" w:space="0" w:color="auto"/>
              <w:right w:val="single" w:sz="4" w:space="0" w:color="auto"/>
            </w:tcBorders>
            <w:shd w:val="clear" w:color="000000" w:fill="FFFF99"/>
            <w:noWrap/>
            <w:vAlign w:val="bottom"/>
            <w:hideMark/>
          </w:tcPr>
          <w:p w14:paraId="38CA44A1" w14:textId="77777777" w:rsidR="00A72067" w:rsidRPr="00BF5E3C" w:rsidRDefault="00A72067" w:rsidP="00A72067">
            <w:pPr>
              <w:spacing w:after="0" w:line="240" w:lineRule="auto"/>
              <w:jc w:val="center"/>
              <w:rPr>
                <w:rFonts w:ascii="Tahoma" w:eastAsia="Times New Roman" w:hAnsi="Tahoma" w:cs="Tahoma"/>
                <w:sz w:val="16"/>
                <w:szCs w:val="16"/>
                <w:lang w:eastAsia="hr-HR"/>
              </w:rPr>
            </w:pPr>
            <w:r w:rsidRPr="00BF5E3C">
              <w:rPr>
                <w:rFonts w:ascii="Tahoma" w:eastAsia="Times New Roman" w:hAnsi="Tahoma" w:cs="Tahoma"/>
                <w:sz w:val="16"/>
                <w:szCs w:val="16"/>
                <w:lang w:eastAsia="hr-HR"/>
              </w:rPr>
              <w:t>1</w:t>
            </w:r>
          </w:p>
        </w:tc>
        <w:tc>
          <w:tcPr>
            <w:tcW w:w="698" w:type="dxa"/>
            <w:tcBorders>
              <w:top w:val="nil"/>
              <w:left w:val="nil"/>
              <w:bottom w:val="single" w:sz="4" w:space="0" w:color="auto"/>
              <w:right w:val="single" w:sz="4" w:space="0" w:color="auto"/>
            </w:tcBorders>
            <w:shd w:val="clear" w:color="000000" w:fill="FFFF99"/>
            <w:noWrap/>
            <w:vAlign w:val="bottom"/>
            <w:hideMark/>
          </w:tcPr>
          <w:p w14:paraId="42B794B4" w14:textId="77777777" w:rsidR="00A72067" w:rsidRPr="00BF5E3C" w:rsidRDefault="00A72067" w:rsidP="00A72067">
            <w:pPr>
              <w:spacing w:after="0" w:line="240" w:lineRule="auto"/>
              <w:jc w:val="center"/>
              <w:rPr>
                <w:rFonts w:ascii="Tahoma" w:eastAsia="Times New Roman" w:hAnsi="Tahoma" w:cs="Tahoma"/>
                <w:sz w:val="16"/>
                <w:szCs w:val="16"/>
                <w:lang w:eastAsia="hr-HR"/>
              </w:rPr>
            </w:pPr>
            <w:r w:rsidRPr="00BF5E3C">
              <w:rPr>
                <w:rFonts w:ascii="Tahoma" w:eastAsia="Times New Roman" w:hAnsi="Tahoma" w:cs="Tahoma"/>
                <w:sz w:val="16"/>
                <w:szCs w:val="16"/>
                <w:lang w:eastAsia="hr-HR"/>
              </w:rPr>
              <w:t>2</w:t>
            </w:r>
          </w:p>
        </w:tc>
        <w:tc>
          <w:tcPr>
            <w:tcW w:w="698" w:type="dxa"/>
            <w:tcBorders>
              <w:top w:val="nil"/>
              <w:left w:val="nil"/>
              <w:bottom w:val="single" w:sz="4" w:space="0" w:color="auto"/>
              <w:right w:val="single" w:sz="4" w:space="0" w:color="auto"/>
            </w:tcBorders>
            <w:shd w:val="clear" w:color="000000" w:fill="FFFF99"/>
            <w:noWrap/>
            <w:vAlign w:val="bottom"/>
            <w:hideMark/>
          </w:tcPr>
          <w:p w14:paraId="17D08A6B" w14:textId="77777777" w:rsidR="00A72067" w:rsidRPr="00BF5E3C" w:rsidRDefault="00A72067" w:rsidP="00A72067">
            <w:pPr>
              <w:spacing w:after="0" w:line="240" w:lineRule="auto"/>
              <w:jc w:val="center"/>
              <w:rPr>
                <w:rFonts w:ascii="Tahoma" w:eastAsia="Times New Roman" w:hAnsi="Tahoma" w:cs="Tahoma"/>
                <w:sz w:val="16"/>
                <w:szCs w:val="16"/>
                <w:lang w:eastAsia="hr-HR"/>
              </w:rPr>
            </w:pPr>
            <w:r w:rsidRPr="00BF5E3C">
              <w:rPr>
                <w:rFonts w:ascii="Tahoma" w:eastAsia="Times New Roman" w:hAnsi="Tahoma" w:cs="Tahoma"/>
                <w:sz w:val="16"/>
                <w:szCs w:val="16"/>
                <w:lang w:eastAsia="hr-HR"/>
              </w:rPr>
              <w:t>2</w:t>
            </w:r>
          </w:p>
        </w:tc>
        <w:tc>
          <w:tcPr>
            <w:tcW w:w="698" w:type="dxa"/>
            <w:tcBorders>
              <w:top w:val="nil"/>
              <w:left w:val="nil"/>
              <w:bottom w:val="single" w:sz="4" w:space="0" w:color="auto"/>
              <w:right w:val="single" w:sz="4" w:space="0" w:color="auto"/>
            </w:tcBorders>
            <w:shd w:val="clear" w:color="000000" w:fill="FFFF99"/>
            <w:noWrap/>
            <w:vAlign w:val="bottom"/>
            <w:hideMark/>
          </w:tcPr>
          <w:p w14:paraId="365AFA39" w14:textId="77777777" w:rsidR="00A72067" w:rsidRPr="00BF5E3C" w:rsidRDefault="00A72067" w:rsidP="00A72067">
            <w:pPr>
              <w:spacing w:after="0" w:line="240" w:lineRule="auto"/>
              <w:jc w:val="center"/>
              <w:rPr>
                <w:rFonts w:ascii="Tahoma" w:eastAsia="Times New Roman" w:hAnsi="Tahoma" w:cs="Tahoma"/>
                <w:sz w:val="16"/>
                <w:szCs w:val="16"/>
                <w:lang w:eastAsia="hr-HR"/>
              </w:rPr>
            </w:pPr>
            <w:r w:rsidRPr="00BF5E3C">
              <w:rPr>
                <w:rFonts w:ascii="Tahoma" w:eastAsia="Times New Roman" w:hAnsi="Tahoma" w:cs="Tahoma"/>
                <w:sz w:val="16"/>
                <w:szCs w:val="16"/>
                <w:lang w:eastAsia="hr-HR"/>
              </w:rPr>
              <w:t>0</w:t>
            </w:r>
          </w:p>
        </w:tc>
        <w:tc>
          <w:tcPr>
            <w:tcW w:w="527" w:type="dxa"/>
            <w:tcBorders>
              <w:top w:val="nil"/>
              <w:left w:val="nil"/>
              <w:bottom w:val="single" w:sz="4" w:space="0" w:color="auto"/>
              <w:right w:val="single" w:sz="4" w:space="0" w:color="auto"/>
            </w:tcBorders>
            <w:shd w:val="clear" w:color="000000" w:fill="FFFF99"/>
            <w:noWrap/>
            <w:vAlign w:val="bottom"/>
            <w:hideMark/>
          </w:tcPr>
          <w:p w14:paraId="5B3E1DE5" w14:textId="77777777" w:rsidR="00A72067" w:rsidRPr="00BF5E3C" w:rsidRDefault="00A72067" w:rsidP="00A72067">
            <w:pPr>
              <w:spacing w:after="0" w:line="240" w:lineRule="auto"/>
              <w:jc w:val="center"/>
              <w:rPr>
                <w:rFonts w:ascii="Tahoma" w:eastAsia="Times New Roman" w:hAnsi="Tahoma" w:cs="Tahoma"/>
                <w:sz w:val="16"/>
                <w:szCs w:val="16"/>
                <w:lang w:eastAsia="hr-HR"/>
              </w:rPr>
            </w:pPr>
            <w:r w:rsidRPr="00BF5E3C">
              <w:rPr>
                <w:rFonts w:ascii="Tahoma" w:eastAsia="Times New Roman" w:hAnsi="Tahoma" w:cs="Tahoma"/>
                <w:sz w:val="16"/>
                <w:szCs w:val="16"/>
                <w:lang w:eastAsia="hr-HR"/>
              </w:rPr>
              <w:t>0</w:t>
            </w:r>
          </w:p>
        </w:tc>
        <w:tc>
          <w:tcPr>
            <w:tcW w:w="702" w:type="dxa"/>
            <w:tcBorders>
              <w:top w:val="nil"/>
              <w:left w:val="nil"/>
              <w:bottom w:val="single" w:sz="4" w:space="0" w:color="auto"/>
              <w:right w:val="single" w:sz="4" w:space="0" w:color="auto"/>
            </w:tcBorders>
            <w:shd w:val="clear" w:color="000000" w:fill="FFFF99"/>
            <w:noWrap/>
            <w:vAlign w:val="bottom"/>
            <w:hideMark/>
          </w:tcPr>
          <w:p w14:paraId="790DB514" w14:textId="77777777" w:rsidR="00A72067" w:rsidRPr="00BF5E3C" w:rsidRDefault="00A72067" w:rsidP="00A72067">
            <w:pPr>
              <w:spacing w:after="0" w:line="240" w:lineRule="auto"/>
              <w:jc w:val="center"/>
              <w:rPr>
                <w:rFonts w:ascii="Tahoma" w:eastAsia="Times New Roman" w:hAnsi="Tahoma" w:cs="Tahoma"/>
                <w:sz w:val="16"/>
                <w:szCs w:val="16"/>
                <w:lang w:eastAsia="hr-HR"/>
              </w:rPr>
            </w:pPr>
            <w:r w:rsidRPr="00BF5E3C">
              <w:rPr>
                <w:rFonts w:ascii="Tahoma" w:eastAsia="Times New Roman" w:hAnsi="Tahoma" w:cs="Tahoma"/>
                <w:sz w:val="16"/>
                <w:szCs w:val="16"/>
                <w:lang w:eastAsia="hr-HR"/>
              </w:rPr>
              <w:t>0</w:t>
            </w:r>
          </w:p>
        </w:tc>
        <w:tc>
          <w:tcPr>
            <w:tcW w:w="698" w:type="dxa"/>
            <w:tcBorders>
              <w:top w:val="nil"/>
              <w:left w:val="nil"/>
              <w:bottom w:val="single" w:sz="4" w:space="0" w:color="auto"/>
              <w:right w:val="single" w:sz="4" w:space="0" w:color="auto"/>
            </w:tcBorders>
            <w:shd w:val="clear" w:color="000000" w:fill="FF9900"/>
            <w:noWrap/>
            <w:vAlign w:val="bottom"/>
            <w:hideMark/>
          </w:tcPr>
          <w:p w14:paraId="1DE8A6C5" w14:textId="77777777" w:rsidR="00A72067" w:rsidRPr="00BF5E3C" w:rsidRDefault="00A72067" w:rsidP="00A72067">
            <w:pPr>
              <w:spacing w:after="0" w:line="240" w:lineRule="auto"/>
              <w:jc w:val="right"/>
              <w:rPr>
                <w:rFonts w:ascii="Tahoma" w:eastAsia="Times New Roman" w:hAnsi="Tahoma" w:cs="Tahoma"/>
                <w:sz w:val="16"/>
                <w:szCs w:val="16"/>
                <w:lang w:eastAsia="hr-HR"/>
              </w:rPr>
            </w:pPr>
            <w:r w:rsidRPr="00BF5E3C">
              <w:rPr>
                <w:rFonts w:ascii="Tahoma" w:eastAsia="Times New Roman" w:hAnsi="Tahoma" w:cs="Tahoma"/>
                <w:sz w:val="16"/>
                <w:szCs w:val="16"/>
                <w:lang w:eastAsia="hr-HR"/>
              </w:rPr>
              <w:t>0</w:t>
            </w:r>
          </w:p>
        </w:tc>
        <w:tc>
          <w:tcPr>
            <w:tcW w:w="439" w:type="dxa"/>
            <w:tcBorders>
              <w:top w:val="nil"/>
              <w:left w:val="nil"/>
              <w:bottom w:val="single" w:sz="4" w:space="0" w:color="auto"/>
              <w:right w:val="single" w:sz="4" w:space="0" w:color="auto"/>
            </w:tcBorders>
            <w:shd w:val="clear" w:color="000000" w:fill="FF9900"/>
            <w:noWrap/>
            <w:vAlign w:val="bottom"/>
            <w:hideMark/>
          </w:tcPr>
          <w:p w14:paraId="015299A1" w14:textId="77777777" w:rsidR="00A72067" w:rsidRPr="00BF5E3C" w:rsidRDefault="00A72067" w:rsidP="00A72067">
            <w:pPr>
              <w:spacing w:after="0" w:line="240" w:lineRule="auto"/>
              <w:jc w:val="right"/>
              <w:rPr>
                <w:rFonts w:ascii="Tahoma" w:eastAsia="Times New Roman" w:hAnsi="Tahoma" w:cs="Tahoma"/>
                <w:sz w:val="16"/>
                <w:szCs w:val="16"/>
                <w:lang w:eastAsia="hr-HR"/>
              </w:rPr>
            </w:pPr>
            <w:r w:rsidRPr="00BF5E3C">
              <w:rPr>
                <w:rFonts w:ascii="Tahoma" w:eastAsia="Times New Roman" w:hAnsi="Tahoma" w:cs="Tahoma"/>
                <w:sz w:val="16"/>
                <w:szCs w:val="16"/>
                <w:lang w:eastAsia="hr-HR"/>
              </w:rPr>
              <w:t>0</w:t>
            </w:r>
          </w:p>
        </w:tc>
        <w:tc>
          <w:tcPr>
            <w:tcW w:w="439" w:type="dxa"/>
            <w:tcBorders>
              <w:top w:val="nil"/>
              <w:left w:val="nil"/>
              <w:bottom w:val="single" w:sz="4" w:space="0" w:color="auto"/>
              <w:right w:val="single" w:sz="4" w:space="0" w:color="auto"/>
            </w:tcBorders>
            <w:shd w:val="clear" w:color="000000" w:fill="FF9900"/>
            <w:noWrap/>
            <w:vAlign w:val="bottom"/>
            <w:hideMark/>
          </w:tcPr>
          <w:p w14:paraId="58DC6298" w14:textId="77777777" w:rsidR="00A72067" w:rsidRPr="00BF5E3C" w:rsidRDefault="00A72067" w:rsidP="00A72067">
            <w:pPr>
              <w:spacing w:after="0" w:line="240" w:lineRule="auto"/>
              <w:jc w:val="right"/>
              <w:rPr>
                <w:rFonts w:ascii="Tahoma" w:eastAsia="Times New Roman" w:hAnsi="Tahoma" w:cs="Tahoma"/>
                <w:sz w:val="16"/>
                <w:szCs w:val="16"/>
                <w:lang w:eastAsia="hr-HR"/>
              </w:rPr>
            </w:pPr>
            <w:r w:rsidRPr="00BF5E3C">
              <w:rPr>
                <w:rFonts w:ascii="Tahoma" w:eastAsia="Times New Roman" w:hAnsi="Tahoma" w:cs="Tahoma"/>
                <w:sz w:val="16"/>
                <w:szCs w:val="16"/>
                <w:lang w:eastAsia="hr-HR"/>
              </w:rPr>
              <w:t>0</w:t>
            </w:r>
          </w:p>
        </w:tc>
        <w:tc>
          <w:tcPr>
            <w:tcW w:w="665" w:type="dxa"/>
            <w:tcBorders>
              <w:top w:val="nil"/>
              <w:left w:val="nil"/>
              <w:bottom w:val="single" w:sz="4" w:space="0" w:color="auto"/>
              <w:right w:val="single" w:sz="4" w:space="0" w:color="auto"/>
            </w:tcBorders>
            <w:shd w:val="clear" w:color="000000" w:fill="FFFF00"/>
            <w:vAlign w:val="center"/>
            <w:hideMark/>
          </w:tcPr>
          <w:p w14:paraId="19BF4866" w14:textId="77777777" w:rsidR="00A72067" w:rsidRPr="00BF5E3C" w:rsidRDefault="00A72067" w:rsidP="00A72067">
            <w:pPr>
              <w:spacing w:after="0" w:line="240" w:lineRule="auto"/>
              <w:jc w:val="center"/>
              <w:rPr>
                <w:rFonts w:ascii="Tahoma" w:eastAsia="Times New Roman" w:hAnsi="Tahoma" w:cs="Tahoma"/>
                <w:sz w:val="16"/>
                <w:szCs w:val="16"/>
                <w:lang w:eastAsia="hr-HR"/>
              </w:rPr>
            </w:pPr>
            <w:r w:rsidRPr="00BF5E3C">
              <w:rPr>
                <w:rFonts w:ascii="Tahoma" w:eastAsia="Times New Roman" w:hAnsi="Tahoma" w:cs="Tahoma"/>
                <w:sz w:val="16"/>
                <w:szCs w:val="16"/>
                <w:lang w:eastAsia="hr-HR"/>
              </w:rPr>
              <w:t>0</w:t>
            </w:r>
          </w:p>
        </w:tc>
        <w:tc>
          <w:tcPr>
            <w:tcW w:w="698" w:type="dxa"/>
            <w:tcBorders>
              <w:top w:val="nil"/>
              <w:left w:val="nil"/>
              <w:bottom w:val="single" w:sz="4" w:space="0" w:color="auto"/>
              <w:right w:val="single" w:sz="4" w:space="0" w:color="auto"/>
            </w:tcBorders>
            <w:shd w:val="clear" w:color="000000" w:fill="FF9900"/>
            <w:vAlign w:val="center"/>
            <w:hideMark/>
          </w:tcPr>
          <w:p w14:paraId="5A493490" w14:textId="77777777" w:rsidR="00A72067" w:rsidRPr="00BF5E3C" w:rsidRDefault="00A72067" w:rsidP="00A72067">
            <w:pPr>
              <w:spacing w:after="0" w:line="240" w:lineRule="auto"/>
              <w:jc w:val="center"/>
              <w:rPr>
                <w:rFonts w:ascii="Tahoma" w:eastAsia="Times New Roman" w:hAnsi="Tahoma" w:cs="Tahoma"/>
                <w:sz w:val="16"/>
                <w:szCs w:val="16"/>
                <w:lang w:eastAsia="hr-HR"/>
              </w:rPr>
            </w:pPr>
            <w:r w:rsidRPr="00BF5E3C">
              <w:rPr>
                <w:rFonts w:ascii="Tahoma" w:eastAsia="Times New Roman" w:hAnsi="Tahoma" w:cs="Tahoma"/>
                <w:sz w:val="16"/>
                <w:szCs w:val="16"/>
                <w:lang w:eastAsia="hr-HR"/>
              </w:rPr>
              <w:t>3</w:t>
            </w:r>
          </w:p>
        </w:tc>
        <w:tc>
          <w:tcPr>
            <w:tcW w:w="707" w:type="dxa"/>
            <w:tcBorders>
              <w:top w:val="nil"/>
              <w:left w:val="nil"/>
              <w:bottom w:val="single" w:sz="4" w:space="0" w:color="auto"/>
              <w:right w:val="single" w:sz="4" w:space="0" w:color="auto"/>
            </w:tcBorders>
            <w:shd w:val="clear" w:color="000000" w:fill="FF9900"/>
            <w:noWrap/>
            <w:vAlign w:val="center"/>
            <w:hideMark/>
          </w:tcPr>
          <w:p w14:paraId="45726B67" w14:textId="77777777" w:rsidR="00A72067" w:rsidRPr="00BF5E3C" w:rsidRDefault="00A72067" w:rsidP="00A72067">
            <w:pPr>
              <w:spacing w:after="0" w:line="240" w:lineRule="auto"/>
              <w:jc w:val="center"/>
              <w:rPr>
                <w:rFonts w:ascii="Tahoma" w:eastAsia="Times New Roman" w:hAnsi="Tahoma" w:cs="Tahoma"/>
                <w:sz w:val="16"/>
                <w:szCs w:val="16"/>
                <w:lang w:eastAsia="hr-HR"/>
              </w:rPr>
            </w:pPr>
            <w:r w:rsidRPr="00BF5E3C">
              <w:rPr>
                <w:rFonts w:ascii="Tahoma" w:eastAsia="Times New Roman" w:hAnsi="Tahoma" w:cs="Tahoma"/>
                <w:sz w:val="16"/>
                <w:szCs w:val="16"/>
                <w:lang w:eastAsia="hr-HR"/>
              </w:rPr>
              <w:t>0</w:t>
            </w:r>
          </w:p>
        </w:tc>
        <w:tc>
          <w:tcPr>
            <w:tcW w:w="707" w:type="dxa"/>
            <w:tcBorders>
              <w:top w:val="nil"/>
              <w:left w:val="nil"/>
              <w:bottom w:val="single" w:sz="4" w:space="0" w:color="auto"/>
              <w:right w:val="single" w:sz="4" w:space="0" w:color="auto"/>
            </w:tcBorders>
            <w:shd w:val="clear" w:color="000000" w:fill="FF9900"/>
            <w:noWrap/>
            <w:vAlign w:val="center"/>
            <w:hideMark/>
          </w:tcPr>
          <w:p w14:paraId="518F2842" w14:textId="77777777" w:rsidR="00A72067" w:rsidRPr="00BF5E3C" w:rsidRDefault="00A72067" w:rsidP="00A72067">
            <w:pPr>
              <w:spacing w:after="0" w:line="240" w:lineRule="auto"/>
              <w:jc w:val="center"/>
              <w:rPr>
                <w:rFonts w:ascii="Tahoma" w:eastAsia="Times New Roman" w:hAnsi="Tahoma" w:cs="Tahoma"/>
                <w:sz w:val="16"/>
                <w:szCs w:val="16"/>
                <w:lang w:eastAsia="hr-HR"/>
              </w:rPr>
            </w:pPr>
            <w:r w:rsidRPr="00BF5E3C">
              <w:rPr>
                <w:rFonts w:ascii="Tahoma" w:eastAsia="Times New Roman" w:hAnsi="Tahoma" w:cs="Tahoma"/>
                <w:sz w:val="16"/>
                <w:szCs w:val="16"/>
                <w:lang w:eastAsia="hr-HR"/>
              </w:rPr>
              <w:t>0</w:t>
            </w:r>
          </w:p>
        </w:tc>
        <w:tc>
          <w:tcPr>
            <w:tcW w:w="698" w:type="dxa"/>
            <w:tcBorders>
              <w:top w:val="nil"/>
              <w:left w:val="nil"/>
              <w:bottom w:val="single" w:sz="4" w:space="0" w:color="auto"/>
              <w:right w:val="single" w:sz="4" w:space="0" w:color="auto"/>
            </w:tcBorders>
            <w:shd w:val="clear" w:color="000000" w:fill="FF9900"/>
            <w:noWrap/>
            <w:vAlign w:val="center"/>
            <w:hideMark/>
          </w:tcPr>
          <w:p w14:paraId="7C083DA5" w14:textId="77777777" w:rsidR="00A72067" w:rsidRPr="00BF5E3C" w:rsidRDefault="00A72067" w:rsidP="00A72067">
            <w:pPr>
              <w:spacing w:after="0" w:line="240" w:lineRule="auto"/>
              <w:jc w:val="center"/>
              <w:rPr>
                <w:rFonts w:ascii="Tahoma" w:eastAsia="Times New Roman" w:hAnsi="Tahoma" w:cs="Tahoma"/>
                <w:sz w:val="16"/>
                <w:szCs w:val="16"/>
                <w:lang w:eastAsia="hr-HR"/>
              </w:rPr>
            </w:pPr>
            <w:r w:rsidRPr="00BF5E3C">
              <w:rPr>
                <w:rFonts w:ascii="Tahoma" w:eastAsia="Times New Roman" w:hAnsi="Tahoma" w:cs="Tahoma"/>
                <w:sz w:val="16"/>
                <w:szCs w:val="16"/>
                <w:lang w:eastAsia="hr-HR"/>
              </w:rPr>
              <w:t>0</w:t>
            </w:r>
          </w:p>
        </w:tc>
        <w:tc>
          <w:tcPr>
            <w:tcW w:w="377" w:type="dxa"/>
            <w:tcBorders>
              <w:top w:val="nil"/>
              <w:left w:val="nil"/>
              <w:bottom w:val="single" w:sz="4" w:space="0" w:color="auto"/>
              <w:right w:val="single" w:sz="4" w:space="0" w:color="auto"/>
            </w:tcBorders>
            <w:shd w:val="clear" w:color="000000" w:fill="CCFFFF"/>
            <w:noWrap/>
            <w:vAlign w:val="bottom"/>
            <w:hideMark/>
          </w:tcPr>
          <w:p w14:paraId="6331E2B1" w14:textId="77777777" w:rsidR="00A72067" w:rsidRPr="00BF5E3C" w:rsidRDefault="00A72067" w:rsidP="00A72067">
            <w:pPr>
              <w:spacing w:after="0" w:line="240" w:lineRule="auto"/>
              <w:jc w:val="right"/>
              <w:rPr>
                <w:rFonts w:ascii="Tahoma" w:eastAsia="Times New Roman" w:hAnsi="Tahoma" w:cs="Tahoma"/>
                <w:sz w:val="16"/>
                <w:szCs w:val="16"/>
                <w:lang w:eastAsia="hr-HR"/>
              </w:rPr>
            </w:pPr>
            <w:r w:rsidRPr="00BF5E3C">
              <w:rPr>
                <w:rFonts w:ascii="Tahoma" w:eastAsia="Times New Roman" w:hAnsi="Tahoma" w:cs="Tahoma"/>
                <w:sz w:val="16"/>
                <w:szCs w:val="16"/>
                <w:lang w:eastAsia="hr-HR"/>
              </w:rPr>
              <w:t>0</w:t>
            </w:r>
          </w:p>
        </w:tc>
        <w:tc>
          <w:tcPr>
            <w:tcW w:w="388" w:type="dxa"/>
            <w:tcBorders>
              <w:top w:val="nil"/>
              <w:left w:val="nil"/>
              <w:bottom w:val="single" w:sz="4" w:space="0" w:color="auto"/>
              <w:right w:val="single" w:sz="4" w:space="0" w:color="auto"/>
            </w:tcBorders>
            <w:shd w:val="clear" w:color="000000" w:fill="CCFFFF"/>
            <w:noWrap/>
            <w:vAlign w:val="bottom"/>
            <w:hideMark/>
          </w:tcPr>
          <w:p w14:paraId="0BD294F8" w14:textId="77777777" w:rsidR="00A72067" w:rsidRPr="00BF5E3C" w:rsidRDefault="00A72067" w:rsidP="00A72067">
            <w:pPr>
              <w:spacing w:after="0" w:line="240" w:lineRule="auto"/>
              <w:jc w:val="right"/>
              <w:rPr>
                <w:rFonts w:ascii="Tahoma" w:eastAsia="Times New Roman" w:hAnsi="Tahoma" w:cs="Tahoma"/>
                <w:sz w:val="16"/>
                <w:szCs w:val="16"/>
                <w:lang w:eastAsia="hr-HR"/>
              </w:rPr>
            </w:pPr>
            <w:r w:rsidRPr="00BF5E3C">
              <w:rPr>
                <w:rFonts w:ascii="Tahoma" w:eastAsia="Times New Roman" w:hAnsi="Tahoma" w:cs="Tahoma"/>
                <w:sz w:val="16"/>
                <w:szCs w:val="16"/>
                <w:lang w:eastAsia="hr-HR"/>
              </w:rPr>
              <w:t>0</w:t>
            </w:r>
          </w:p>
        </w:tc>
        <w:tc>
          <w:tcPr>
            <w:tcW w:w="399" w:type="dxa"/>
            <w:tcBorders>
              <w:top w:val="nil"/>
              <w:left w:val="nil"/>
              <w:bottom w:val="single" w:sz="4" w:space="0" w:color="auto"/>
              <w:right w:val="single" w:sz="4" w:space="0" w:color="auto"/>
            </w:tcBorders>
            <w:shd w:val="clear" w:color="000000" w:fill="CCFFFF"/>
            <w:noWrap/>
            <w:vAlign w:val="bottom"/>
            <w:hideMark/>
          </w:tcPr>
          <w:p w14:paraId="28A99A74" w14:textId="77777777" w:rsidR="00A72067" w:rsidRPr="00BF5E3C" w:rsidRDefault="00A72067" w:rsidP="00A72067">
            <w:pPr>
              <w:spacing w:after="0" w:line="240" w:lineRule="auto"/>
              <w:jc w:val="right"/>
              <w:rPr>
                <w:rFonts w:ascii="Tahoma" w:eastAsia="Times New Roman" w:hAnsi="Tahoma" w:cs="Tahoma"/>
                <w:sz w:val="16"/>
                <w:szCs w:val="16"/>
                <w:lang w:eastAsia="hr-HR"/>
              </w:rPr>
            </w:pPr>
            <w:r w:rsidRPr="00BF5E3C">
              <w:rPr>
                <w:rFonts w:ascii="Tahoma" w:eastAsia="Times New Roman" w:hAnsi="Tahoma" w:cs="Tahoma"/>
                <w:sz w:val="16"/>
                <w:szCs w:val="16"/>
                <w:lang w:eastAsia="hr-HR"/>
              </w:rPr>
              <w:t>0</w:t>
            </w:r>
          </w:p>
        </w:tc>
        <w:tc>
          <w:tcPr>
            <w:tcW w:w="489" w:type="dxa"/>
            <w:gridSpan w:val="2"/>
            <w:tcBorders>
              <w:top w:val="nil"/>
              <w:left w:val="nil"/>
              <w:bottom w:val="single" w:sz="4" w:space="0" w:color="auto"/>
              <w:right w:val="nil"/>
            </w:tcBorders>
            <w:shd w:val="clear" w:color="000000" w:fill="33CCCC"/>
            <w:noWrap/>
            <w:vAlign w:val="bottom"/>
            <w:hideMark/>
          </w:tcPr>
          <w:p w14:paraId="0D971C00" w14:textId="77777777" w:rsidR="00A72067" w:rsidRPr="00BF5E3C" w:rsidRDefault="00A72067" w:rsidP="00A72067">
            <w:pPr>
              <w:spacing w:after="0" w:line="240" w:lineRule="auto"/>
              <w:jc w:val="right"/>
              <w:rPr>
                <w:rFonts w:ascii="Tahoma" w:eastAsia="Times New Roman" w:hAnsi="Tahoma" w:cs="Tahoma"/>
                <w:sz w:val="16"/>
                <w:szCs w:val="16"/>
                <w:lang w:eastAsia="hr-HR"/>
              </w:rPr>
            </w:pPr>
            <w:r w:rsidRPr="00BF5E3C">
              <w:rPr>
                <w:rFonts w:ascii="Tahoma" w:eastAsia="Times New Roman" w:hAnsi="Tahoma" w:cs="Tahoma"/>
                <w:sz w:val="16"/>
                <w:szCs w:val="16"/>
                <w:lang w:eastAsia="hr-HR"/>
              </w:rPr>
              <w:t>0</w:t>
            </w:r>
          </w:p>
        </w:tc>
        <w:tc>
          <w:tcPr>
            <w:tcW w:w="425" w:type="dxa"/>
            <w:tcBorders>
              <w:top w:val="nil"/>
              <w:left w:val="single" w:sz="4" w:space="0" w:color="auto"/>
              <w:bottom w:val="single" w:sz="4" w:space="0" w:color="auto"/>
              <w:right w:val="single" w:sz="8" w:space="0" w:color="auto"/>
            </w:tcBorders>
            <w:shd w:val="clear" w:color="000000" w:fill="33CCCC"/>
            <w:noWrap/>
            <w:vAlign w:val="bottom"/>
            <w:hideMark/>
          </w:tcPr>
          <w:p w14:paraId="7919E6E4" w14:textId="77777777" w:rsidR="00A72067" w:rsidRPr="00BF5E3C" w:rsidRDefault="00A72067" w:rsidP="00A72067">
            <w:pPr>
              <w:spacing w:after="0" w:line="240" w:lineRule="auto"/>
              <w:jc w:val="right"/>
              <w:rPr>
                <w:rFonts w:ascii="Tahoma" w:eastAsia="Times New Roman" w:hAnsi="Tahoma" w:cs="Tahoma"/>
                <w:sz w:val="16"/>
                <w:szCs w:val="16"/>
                <w:lang w:eastAsia="hr-HR"/>
              </w:rPr>
            </w:pPr>
            <w:r w:rsidRPr="00BF5E3C">
              <w:rPr>
                <w:rFonts w:ascii="Tahoma" w:eastAsia="Times New Roman" w:hAnsi="Tahoma" w:cs="Tahoma"/>
                <w:sz w:val="16"/>
                <w:szCs w:val="16"/>
                <w:lang w:eastAsia="hr-HR"/>
              </w:rPr>
              <w:t>0</w:t>
            </w:r>
          </w:p>
        </w:tc>
        <w:tc>
          <w:tcPr>
            <w:tcW w:w="236" w:type="dxa"/>
            <w:vAlign w:val="center"/>
            <w:hideMark/>
          </w:tcPr>
          <w:p w14:paraId="71BBB030" w14:textId="77777777" w:rsidR="00A72067" w:rsidRPr="00BF5E3C" w:rsidRDefault="00A72067" w:rsidP="00A72067">
            <w:pPr>
              <w:spacing w:after="0" w:line="240" w:lineRule="auto"/>
              <w:rPr>
                <w:rFonts w:ascii="Times New Roman" w:eastAsia="Times New Roman" w:hAnsi="Times New Roman" w:cs="Times New Roman"/>
                <w:sz w:val="16"/>
                <w:szCs w:val="16"/>
                <w:lang w:eastAsia="hr-HR"/>
              </w:rPr>
            </w:pPr>
          </w:p>
        </w:tc>
      </w:tr>
      <w:tr w:rsidR="00F90F6F" w:rsidRPr="00BF5E3C" w14:paraId="7F0850E9" w14:textId="77777777" w:rsidTr="00F90F6F">
        <w:trPr>
          <w:gridAfter w:val="1"/>
          <w:wAfter w:w="32" w:type="dxa"/>
          <w:trHeight w:val="402"/>
        </w:trPr>
        <w:tc>
          <w:tcPr>
            <w:tcW w:w="979" w:type="dxa"/>
            <w:tcBorders>
              <w:top w:val="nil"/>
              <w:left w:val="single" w:sz="8" w:space="0" w:color="auto"/>
              <w:bottom w:val="single" w:sz="4" w:space="0" w:color="auto"/>
              <w:right w:val="single" w:sz="4" w:space="0" w:color="auto"/>
            </w:tcBorders>
            <w:shd w:val="clear" w:color="000000" w:fill="CCFFCC"/>
            <w:vAlign w:val="center"/>
            <w:hideMark/>
          </w:tcPr>
          <w:p w14:paraId="1A59CD01" w14:textId="77777777" w:rsidR="00A72067" w:rsidRPr="00BF5E3C" w:rsidRDefault="00A72067" w:rsidP="00A72067">
            <w:pPr>
              <w:spacing w:after="0" w:line="240" w:lineRule="auto"/>
              <w:rPr>
                <w:rFonts w:ascii="Tahoma" w:eastAsia="Times New Roman" w:hAnsi="Tahoma" w:cs="Tahoma"/>
                <w:sz w:val="16"/>
                <w:szCs w:val="16"/>
                <w:lang w:eastAsia="hr-HR"/>
              </w:rPr>
            </w:pPr>
            <w:r w:rsidRPr="00BF5E3C">
              <w:rPr>
                <w:rFonts w:ascii="Tahoma" w:eastAsia="Times New Roman" w:hAnsi="Tahoma" w:cs="Tahoma"/>
                <w:sz w:val="16"/>
                <w:szCs w:val="16"/>
                <w:lang w:eastAsia="hr-HR"/>
              </w:rPr>
              <w:t>Jezik</w:t>
            </w:r>
          </w:p>
        </w:tc>
        <w:tc>
          <w:tcPr>
            <w:tcW w:w="520" w:type="dxa"/>
            <w:tcBorders>
              <w:top w:val="nil"/>
              <w:left w:val="nil"/>
              <w:bottom w:val="single" w:sz="4" w:space="0" w:color="auto"/>
              <w:right w:val="single" w:sz="4" w:space="0" w:color="auto"/>
            </w:tcBorders>
            <w:shd w:val="clear" w:color="000000" w:fill="FFCC99"/>
            <w:noWrap/>
            <w:vAlign w:val="bottom"/>
            <w:hideMark/>
          </w:tcPr>
          <w:p w14:paraId="021A6A98" w14:textId="77777777" w:rsidR="00A72067" w:rsidRPr="00BF5E3C" w:rsidRDefault="00A72067" w:rsidP="00A72067">
            <w:pPr>
              <w:spacing w:after="0" w:line="240" w:lineRule="auto"/>
              <w:jc w:val="center"/>
              <w:rPr>
                <w:rFonts w:ascii="Tahoma" w:eastAsia="Times New Roman" w:hAnsi="Tahoma" w:cs="Tahoma"/>
                <w:sz w:val="16"/>
                <w:szCs w:val="16"/>
                <w:lang w:eastAsia="hr-HR"/>
              </w:rPr>
            </w:pPr>
            <w:r w:rsidRPr="00BF5E3C">
              <w:rPr>
                <w:rFonts w:ascii="Tahoma" w:eastAsia="Times New Roman" w:hAnsi="Tahoma" w:cs="Tahoma"/>
                <w:sz w:val="16"/>
                <w:szCs w:val="16"/>
                <w:lang w:eastAsia="hr-HR"/>
              </w:rPr>
              <w:t>0</w:t>
            </w:r>
          </w:p>
        </w:tc>
        <w:tc>
          <w:tcPr>
            <w:tcW w:w="420" w:type="dxa"/>
            <w:tcBorders>
              <w:top w:val="nil"/>
              <w:left w:val="nil"/>
              <w:bottom w:val="single" w:sz="4" w:space="0" w:color="auto"/>
              <w:right w:val="single" w:sz="4" w:space="0" w:color="auto"/>
            </w:tcBorders>
            <w:shd w:val="clear" w:color="000000" w:fill="FFFF00"/>
            <w:noWrap/>
            <w:vAlign w:val="bottom"/>
            <w:hideMark/>
          </w:tcPr>
          <w:p w14:paraId="4A780AC8" w14:textId="77777777" w:rsidR="00A72067" w:rsidRPr="00BF5E3C" w:rsidRDefault="00A72067" w:rsidP="00A72067">
            <w:pPr>
              <w:spacing w:after="0" w:line="240" w:lineRule="auto"/>
              <w:jc w:val="center"/>
              <w:rPr>
                <w:rFonts w:ascii="Tahoma" w:eastAsia="Times New Roman" w:hAnsi="Tahoma" w:cs="Tahoma"/>
                <w:sz w:val="16"/>
                <w:szCs w:val="16"/>
                <w:lang w:eastAsia="hr-HR"/>
              </w:rPr>
            </w:pPr>
            <w:r w:rsidRPr="00BF5E3C">
              <w:rPr>
                <w:rFonts w:ascii="Tahoma" w:eastAsia="Times New Roman" w:hAnsi="Tahoma" w:cs="Tahoma"/>
                <w:sz w:val="16"/>
                <w:szCs w:val="16"/>
                <w:lang w:eastAsia="hr-HR"/>
              </w:rPr>
              <w:t>0</w:t>
            </w:r>
          </w:p>
        </w:tc>
        <w:tc>
          <w:tcPr>
            <w:tcW w:w="665" w:type="dxa"/>
            <w:tcBorders>
              <w:top w:val="nil"/>
              <w:left w:val="nil"/>
              <w:bottom w:val="single" w:sz="4" w:space="0" w:color="auto"/>
              <w:right w:val="single" w:sz="4" w:space="0" w:color="auto"/>
            </w:tcBorders>
            <w:shd w:val="clear" w:color="000000" w:fill="CCFFFF"/>
            <w:noWrap/>
            <w:vAlign w:val="bottom"/>
            <w:hideMark/>
          </w:tcPr>
          <w:p w14:paraId="7A427206" w14:textId="77777777" w:rsidR="00A72067" w:rsidRPr="00BF5E3C" w:rsidRDefault="00A72067" w:rsidP="00A72067">
            <w:pPr>
              <w:spacing w:after="0" w:line="240" w:lineRule="auto"/>
              <w:jc w:val="right"/>
              <w:rPr>
                <w:rFonts w:ascii="Tahoma" w:eastAsia="Times New Roman" w:hAnsi="Tahoma" w:cs="Tahoma"/>
                <w:sz w:val="16"/>
                <w:szCs w:val="16"/>
                <w:lang w:eastAsia="hr-HR"/>
              </w:rPr>
            </w:pPr>
            <w:r w:rsidRPr="00BF5E3C">
              <w:rPr>
                <w:rFonts w:ascii="Tahoma" w:eastAsia="Times New Roman" w:hAnsi="Tahoma" w:cs="Tahoma"/>
                <w:sz w:val="16"/>
                <w:szCs w:val="16"/>
                <w:lang w:eastAsia="hr-HR"/>
              </w:rPr>
              <w:t>0</w:t>
            </w:r>
          </w:p>
        </w:tc>
        <w:tc>
          <w:tcPr>
            <w:tcW w:w="571" w:type="dxa"/>
            <w:tcBorders>
              <w:top w:val="nil"/>
              <w:left w:val="nil"/>
              <w:bottom w:val="single" w:sz="4" w:space="0" w:color="auto"/>
              <w:right w:val="single" w:sz="4" w:space="0" w:color="auto"/>
            </w:tcBorders>
            <w:shd w:val="clear" w:color="000000" w:fill="CCFFFF"/>
            <w:noWrap/>
            <w:vAlign w:val="bottom"/>
            <w:hideMark/>
          </w:tcPr>
          <w:p w14:paraId="621D3914" w14:textId="77777777" w:rsidR="00A72067" w:rsidRPr="00BF5E3C" w:rsidRDefault="00A72067" w:rsidP="00A72067">
            <w:pPr>
              <w:spacing w:after="0" w:line="240" w:lineRule="auto"/>
              <w:jc w:val="right"/>
              <w:rPr>
                <w:rFonts w:ascii="Tahoma" w:eastAsia="Times New Roman" w:hAnsi="Tahoma" w:cs="Tahoma"/>
                <w:sz w:val="16"/>
                <w:szCs w:val="16"/>
                <w:lang w:eastAsia="hr-HR"/>
              </w:rPr>
            </w:pPr>
            <w:r w:rsidRPr="00BF5E3C">
              <w:rPr>
                <w:rFonts w:ascii="Tahoma" w:eastAsia="Times New Roman" w:hAnsi="Tahoma" w:cs="Tahoma"/>
                <w:sz w:val="16"/>
                <w:szCs w:val="16"/>
                <w:lang w:eastAsia="hr-HR"/>
              </w:rPr>
              <w:t>0</w:t>
            </w:r>
          </w:p>
        </w:tc>
        <w:tc>
          <w:tcPr>
            <w:tcW w:w="700" w:type="dxa"/>
            <w:tcBorders>
              <w:top w:val="nil"/>
              <w:left w:val="nil"/>
              <w:bottom w:val="single" w:sz="4" w:space="0" w:color="auto"/>
              <w:right w:val="single" w:sz="4" w:space="0" w:color="auto"/>
            </w:tcBorders>
            <w:shd w:val="clear" w:color="000000" w:fill="FFFF99"/>
            <w:noWrap/>
            <w:vAlign w:val="bottom"/>
            <w:hideMark/>
          </w:tcPr>
          <w:p w14:paraId="1623997F" w14:textId="77777777" w:rsidR="00A72067" w:rsidRPr="00BF5E3C" w:rsidRDefault="00A72067" w:rsidP="00A72067">
            <w:pPr>
              <w:spacing w:after="0" w:line="240" w:lineRule="auto"/>
              <w:jc w:val="center"/>
              <w:rPr>
                <w:rFonts w:ascii="Tahoma" w:eastAsia="Times New Roman" w:hAnsi="Tahoma" w:cs="Tahoma"/>
                <w:sz w:val="16"/>
                <w:szCs w:val="16"/>
                <w:lang w:eastAsia="hr-HR"/>
              </w:rPr>
            </w:pPr>
            <w:r w:rsidRPr="00BF5E3C">
              <w:rPr>
                <w:rFonts w:ascii="Tahoma" w:eastAsia="Times New Roman" w:hAnsi="Tahoma" w:cs="Tahoma"/>
                <w:sz w:val="16"/>
                <w:szCs w:val="16"/>
                <w:lang w:eastAsia="hr-HR"/>
              </w:rPr>
              <w:t>0</w:t>
            </w:r>
          </w:p>
        </w:tc>
        <w:tc>
          <w:tcPr>
            <w:tcW w:w="698" w:type="dxa"/>
            <w:tcBorders>
              <w:top w:val="nil"/>
              <w:left w:val="nil"/>
              <w:bottom w:val="single" w:sz="4" w:space="0" w:color="auto"/>
              <w:right w:val="single" w:sz="4" w:space="0" w:color="auto"/>
            </w:tcBorders>
            <w:shd w:val="clear" w:color="000000" w:fill="FFFF99"/>
            <w:noWrap/>
            <w:vAlign w:val="bottom"/>
            <w:hideMark/>
          </w:tcPr>
          <w:p w14:paraId="6EC45FD2" w14:textId="77777777" w:rsidR="00A72067" w:rsidRPr="00BF5E3C" w:rsidRDefault="00A72067" w:rsidP="00A72067">
            <w:pPr>
              <w:spacing w:after="0" w:line="240" w:lineRule="auto"/>
              <w:jc w:val="center"/>
              <w:rPr>
                <w:rFonts w:ascii="Tahoma" w:eastAsia="Times New Roman" w:hAnsi="Tahoma" w:cs="Tahoma"/>
                <w:sz w:val="16"/>
                <w:szCs w:val="16"/>
                <w:lang w:eastAsia="hr-HR"/>
              </w:rPr>
            </w:pPr>
            <w:r w:rsidRPr="00BF5E3C">
              <w:rPr>
                <w:rFonts w:ascii="Tahoma" w:eastAsia="Times New Roman" w:hAnsi="Tahoma" w:cs="Tahoma"/>
                <w:sz w:val="16"/>
                <w:szCs w:val="16"/>
                <w:lang w:eastAsia="hr-HR"/>
              </w:rPr>
              <w:t>0</w:t>
            </w:r>
          </w:p>
        </w:tc>
        <w:tc>
          <w:tcPr>
            <w:tcW w:w="698" w:type="dxa"/>
            <w:tcBorders>
              <w:top w:val="nil"/>
              <w:left w:val="nil"/>
              <w:bottom w:val="single" w:sz="4" w:space="0" w:color="auto"/>
              <w:right w:val="single" w:sz="4" w:space="0" w:color="auto"/>
            </w:tcBorders>
            <w:shd w:val="clear" w:color="000000" w:fill="FFFF99"/>
            <w:noWrap/>
            <w:vAlign w:val="bottom"/>
            <w:hideMark/>
          </w:tcPr>
          <w:p w14:paraId="7E9CEE73" w14:textId="77777777" w:rsidR="00A72067" w:rsidRPr="00BF5E3C" w:rsidRDefault="00A72067" w:rsidP="00A72067">
            <w:pPr>
              <w:spacing w:after="0" w:line="240" w:lineRule="auto"/>
              <w:jc w:val="center"/>
              <w:rPr>
                <w:rFonts w:ascii="Tahoma" w:eastAsia="Times New Roman" w:hAnsi="Tahoma" w:cs="Tahoma"/>
                <w:sz w:val="16"/>
                <w:szCs w:val="16"/>
                <w:lang w:eastAsia="hr-HR"/>
              </w:rPr>
            </w:pPr>
            <w:r w:rsidRPr="00BF5E3C">
              <w:rPr>
                <w:rFonts w:ascii="Tahoma" w:eastAsia="Times New Roman" w:hAnsi="Tahoma" w:cs="Tahoma"/>
                <w:sz w:val="16"/>
                <w:szCs w:val="16"/>
                <w:lang w:eastAsia="hr-HR"/>
              </w:rPr>
              <w:t>0</w:t>
            </w:r>
          </w:p>
        </w:tc>
        <w:tc>
          <w:tcPr>
            <w:tcW w:w="698" w:type="dxa"/>
            <w:tcBorders>
              <w:top w:val="nil"/>
              <w:left w:val="nil"/>
              <w:bottom w:val="single" w:sz="4" w:space="0" w:color="auto"/>
              <w:right w:val="single" w:sz="4" w:space="0" w:color="auto"/>
            </w:tcBorders>
            <w:shd w:val="clear" w:color="000000" w:fill="FFFF99"/>
            <w:noWrap/>
            <w:vAlign w:val="bottom"/>
            <w:hideMark/>
          </w:tcPr>
          <w:p w14:paraId="6574B905" w14:textId="77777777" w:rsidR="00A72067" w:rsidRPr="00BF5E3C" w:rsidRDefault="00A72067" w:rsidP="00A72067">
            <w:pPr>
              <w:spacing w:after="0" w:line="240" w:lineRule="auto"/>
              <w:jc w:val="center"/>
              <w:rPr>
                <w:rFonts w:ascii="Tahoma" w:eastAsia="Times New Roman" w:hAnsi="Tahoma" w:cs="Tahoma"/>
                <w:sz w:val="16"/>
                <w:szCs w:val="16"/>
                <w:lang w:eastAsia="hr-HR"/>
              </w:rPr>
            </w:pPr>
            <w:r w:rsidRPr="00BF5E3C">
              <w:rPr>
                <w:rFonts w:ascii="Tahoma" w:eastAsia="Times New Roman" w:hAnsi="Tahoma" w:cs="Tahoma"/>
                <w:sz w:val="16"/>
                <w:szCs w:val="16"/>
                <w:lang w:eastAsia="hr-HR"/>
              </w:rPr>
              <w:t>0</w:t>
            </w:r>
          </w:p>
        </w:tc>
        <w:tc>
          <w:tcPr>
            <w:tcW w:w="527" w:type="dxa"/>
            <w:tcBorders>
              <w:top w:val="nil"/>
              <w:left w:val="nil"/>
              <w:bottom w:val="single" w:sz="4" w:space="0" w:color="auto"/>
              <w:right w:val="single" w:sz="4" w:space="0" w:color="auto"/>
            </w:tcBorders>
            <w:shd w:val="clear" w:color="000000" w:fill="FFFF99"/>
            <w:noWrap/>
            <w:vAlign w:val="bottom"/>
            <w:hideMark/>
          </w:tcPr>
          <w:p w14:paraId="49EAEFC6" w14:textId="77777777" w:rsidR="00A72067" w:rsidRPr="00BF5E3C" w:rsidRDefault="00A72067" w:rsidP="00A72067">
            <w:pPr>
              <w:spacing w:after="0" w:line="240" w:lineRule="auto"/>
              <w:jc w:val="center"/>
              <w:rPr>
                <w:rFonts w:ascii="Tahoma" w:eastAsia="Times New Roman" w:hAnsi="Tahoma" w:cs="Tahoma"/>
                <w:sz w:val="16"/>
                <w:szCs w:val="16"/>
                <w:lang w:eastAsia="hr-HR"/>
              </w:rPr>
            </w:pPr>
            <w:r w:rsidRPr="00BF5E3C">
              <w:rPr>
                <w:rFonts w:ascii="Tahoma" w:eastAsia="Times New Roman" w:hAnsi="Tahoma" w:cs="Tahoma"/>
                <w:sz w:val="16"/>
                <w:szCs w:val="16"/>
                <w:lang w:eastAsia="hr-HR"/>
              </w:rPr>
              <w:t>0</w:t>
            </w:r>
          </w:p>
        </w:tc>
        <w:tc>
          <w:tcPr>
            <w:tcW w:w="702" w:type="dxa"/>
            <w:tcBorders>
              <w:top w:val="nil"/>
              <w:left w:val="nil"/>
              <w:bottom w:val="single" w:sz="4" w:space="0" w:color="auto"/>
              <w:right w:val="single" w:sz="4" w:space="0" w:color="auto"/>
            </w:tcBorders>
            <w:shd w:val="clear" w:color="000000" w:fill="FFFF99"/>
            <w:noWrap/>
            <w:vAlign w:val="bottom"/>
            <w:hideMark/>
          </w:tcPr>
          <w:p w14:paraId="54FD5B8A" w14:textId="77777777" w:rsidR="00A72067" w:rsidRPr="00BF5E3C" w:rsidRDefault="00A72067" w:rsidP="00A72067">
            <w:pPr>
              <w:spacing w:after="0" w:line="240" w:lineRule="auto"/>
              <w:jc w:val="center"/>
              <w:rPr>
                <w:rFonts w:ascii="Tahoma" w:eastAsia="Times New Roman" w:hAnsi="Tahoma" w:cs="Tahoma"/>
                <w:sz w:val="16"/>
                <w:szCs w:val="16"/>
                <w:lang w:eastAsia="hr-HR"/>
              </w:rPr>
            </w:pPr>
            <w:r w:rsidRPr="00BF5E3C">
              <w:rPr>
                <w:rFonts w:ascii="Tahoma" w:eastAsia="Times New Roman" w:hAnsi="Tahoma" w:cs="Tahoma"/>
                <w:sz w:val="16"/>
                <w:szCs w:val="16"/>
                <w:lang w:eastAsia="hr-HR"/>
              </w:rPr>
              <w:t>0</w:t>
            </w:r>
          </w:p>
        </w:tc>
        <w:tc>
          <w:tcPr>
            <w:tcW w:w="698" w:type="dxa"/>
            <w:tcBorders>
              <w:top w:val="nil"/>
              <w:left w:val="nil"/>
              <w:bottom w:val="single" w:sz="4" w:space="0" w:color="auto"/>
              <w:right w:val="single" w:sz="4" w:space="0" w:color="auto"/>
            </w:tcBorders>
            <w:shd w:val="clear" w:color="000000" w:fill="FF9900"/>
            <w:noWrap/>
            <w:vAlign w:val="bottom"/>
            <w:hideMark/>
          </w:tcPr>
          <w:p w14:paraId="16ADAA75" w14:textId="77777777" w:rsidR="00A72067" w:rsidRPr="00BF5E3C" w:rsidRDefault="00A72067" w:rsidP="00A72067">
            <w:pPr>
              <w:spacing w:after="0" w:line="240" w:lineRule="auto"/>
              <w:jc w:val="right"/>
              <w:rPr>
                <w:rFonts w:ascii="Tahoma" w:eastAsia="Times New Roman" w:hAnsi="Tahoma" w:cs="Tahoma"/>
                <w:sz w:val="16"/>
                <w:szCs w:val="16"/>
                <w:lang w:eastAsia="hr-HR"/>
              </w:rPr>
            </w:pPr>
            <w:r w:rsidRPr="00BF5E3C">
              <w:rPr>
                <w:rFonts w:ascii="Tahoma" w:eastAsia="Times New Roman" w:hAnsi="Tahoma" w:cs="Tahoma"/>
                <w:sz w:val="16"/>
                <w:szCs w:val="16"/>
                <w:lang w:eastAsia="hr-HR"/>
              </w:rPr>
              <w:t>0</w:t>
            </w:r>
          </w:p>
        </w:tc>
        <w:tc>
          <w:tcPr>
            <w:tcW w:w="439" w:type="dxa"/>
            <w:tcBorders>
              <w:top w:val="nil"/>
              <w:left w:val="nil"/>
              <w:bottom w:val="single" w:sz="4" w:space="0" w:color="auto"/>
              <w:right w:val="single" w:sz="4" w:space="0" w:color="auto"/>
            </w:tcBorders>
            <w:shd w:val="clear" w:color="000000" w:fill="FF9900"/>
            <w:noWrap/>
            <w:vAlign w:val="bottom"/>
            <w:hideMark/>
          </w:tcPr>
          <w:p w14:paraId="1F70FE82" w14:textId="77777777" w:rsidR="00A72067" w:rsidRPr="00BF5E3C" w:rsidRDefault="00A72067" w:rsidP="00A72067">
            <w:pPr>
              <w:spacing w:after="0" w:line="240" w:lineRule="auto"/>
              <w:jc w:val="right"/>
              <w:rPr>
                <w:rFonts w:ascii="Tahoma" w:eastAsia="Times New Roman" w:hAnsi="Tahoma" w:cs="Tahoma"/>
                <w:sz w:val="16"/>
                <w:szCs w:val="16"/>
                <w:lang w:eastAsia="hr-HR"/>
              </w:rPr>
            </w:pPr>
            <w:r w:rsidRPr="00BF5E3C">
              <w:rPr>
                <w:rFonts w:ascii="Tahoma" w:eastAsia="Times New Roman" w:hAnsi="Tahoma" w:cs="Tahoma"/>
                <w:sz w:val="16"/>
                <w:szCs w:val="16"/>
                <w:lang w:eastAsia="hr-HR"/>
              </w:rPr>
              <w:t>0</w:t>
            </w:r>
          </w:p>
        </w:tc>
        <w:tc>
          <w:tcPr>
            <w:tcW w:w="439" w:type="dxa"/>
            <w:tcBorders>
              <w:top w:val="nil"/>
              <w:left w:val="nil"/>
              <w:bottom w:val="single" w:sz="4" w:space="0" w:color="auto"/>
              <w:right w:val="single" w:sz="4" w:space="0" w:color="auto"/>
            </w:tcBorders>
            <w:shd w:val="clear" w:color="000000" w:fill="FF9900"/>
            <w:noWrap/>
            <w:vAlign w:val="bottom"/>
            <w:hideMark/>
          </w:tcPr>
          <w:p w14:paraId="4CE076F3" w14:textId="77777777" w:rsidR="00A72067" w:rsidRPr="00BF5E3C" w:rsidRDefault="00A72067" w:rsidP="00A72067">
            <w:pPr>
              <w:spacing w:after="0" w:line="240" w:lineRule="auto"/>
              <w:jc w:val="right"/>
              <w:rPr>
                <w:rFonts w:ascii="Tahoma" w:eastAsia="Times New Roman" w:hAnsi="Tahoma" w:cs="Tahoma"/>
                <w:sz w:val="16"/>
                <w:szCs w:val="16"/>
                <w:lang w:eastAsia="hr-HR"/>
              </w:rPr>
            </w:pPr>
            <w:r w:rsidRPr="00BF5E3C">
              <w:rPr>
                <w:rFonts w:ascii="Tahoma" w:eastAsia="Times New Roman" w:hAnsi="Tahoma" w:cs="Tahoma"/>
                <w:sz w:val="16"/>
                <w:szCs w:val="16"/>
                <w:lang w:eastAsia="hr-HR"/>
              </w:rPr>
              <w:t>0</w:t>
            </w:r>
          </w:p>
        </w:tc>
        <w:tc>
          <w:tcPr>
            <w:tcW w:w="665" w:type="dxa"/>
            <w:tcBorders>
              <w:top w:val="nil"/>
              <w:left w:val="nil"/>
              <w:bottom w:val="single" w:sz="4" w:space="0" w:color="auto"/>
              <w:right w:val="single" w:sz="4" w:space="0" w:color="auto"/>
            </w:tcBorders>
            <w:shd w:val="clear" w:color="000000" w:fill="FFFF00"/>
            <w:vAlign w:val="center"/>
            <w:hideMark/>
          </w:tcPr>
          <w:p w14:paraId="5A402B2E" w14:textId="77777777" w:rsidR="00A72067" w:rsidRPr="00BF5E3C" w:rsidRDefault="00A72067" w:rsidP="00A72067">
            <w:pPr>
              <w:spacing w:after="0" w:line="240" w:lineRule="auto"/>
              <w:jc w:val="center"/>
              <w:rPr>
                <w:rFonts w:ascii="Tahoma" w:eastAsia="Times New Roman" w:hAnsi="Tahoma" w:cs="Tahoma"/>
                <w:sz w:val="16"/>
                <w:szCs w:val="16"/>
                <w:lang w:eastAsia="hr-HR"/>
              </w:rPr>
            </w:pPr>
            <w:r w:rsidRPr="00BF5E3C">
              <w:rPr>
                <w:rFonts w:ascii="Tahoma" w:eastAsia="Times New Roman" w:hAnsi="Tahoma" w:cs="Tahoma"/>
                <w:sz w:val="16"/>
                <w:szCs w:val="16"/>
                <w:lang w:eastAsia="hr-HR"/>
              </w:rPr>
              <w:t>0</w:t>
            </w:r>
          </w:p>
        </w:tc>
        <w:tc>
          <w:tcPr>
            <w:tcW w:w="698" w:type="dxa"/>
            <w:tcBorders>
              <w:top w:val="nil"/>
              <w:left w:val="nil"/>
              <w:bottom w:val="single" w:sz="4" w:space="0" w:color="auto"/>
              <w:right w:val="single" w:sz="4" w:space="0" w:color="auto"/>
            </w:tcBorders>
            <w:shd w:val="clear" w:color="000000" w:fill="FF9900"/>
            <w:vAlign w:val="center"/>
            <w:hideMark/>
          </w:tcPr>
          <w:p w14:paraId="6AC57AEB" w14:textId="77777777" w:rsidR="00A72067" w:rsidRPr="00BF5E3C" w:rsidRDefault="00A72067" w:rsidP="00A72067">
            <w:pPr>
              <w:spacing w:after="0" w:line="240" w:lineRule="auto"/>
              <w:jc w:val="center"/>
              <w:rPr>
                <w:rFonts w:ascii="Tahoma" w:eastAsia="Times New Roman" w:hAnsi="Tahoma" w:cs="Tahoma"/>
                <w:sz w:val="16"/>
                <w:szCs w:val="16"/>
                <w:lang w:eastAsia="hr-HR"/>
              </w:rPr>
            </w:pPr>
            <w:r w:rsidRPr="00BF5E3C">
              <w:rPr>
                <w:rFonts w:ascii="Tahoma" w:eastAsia="Times New Roman" w:hAnsi="Tahoma" w:cs="Tahoma"/>
                <w:sz w:val="16"/>
                <w:szCs w:val="16"/>
                <w:lang w:eastAsia="hr-HR"/>
              </w:rPr>
              <w:t>0</w:t>
            </w:r>
          </w:p>
        </w:tc>
        <w:tc>
          <w:tcPr>
            <w:tcW w:w="707" w:type="dxa"/>
            <w:tcBorders>
              <w:top w:val="nil"/>
              <w:left w:val="nil"/>
              <w:bottom w:val="single" w:sz="4" w:space="0" w:color="auto"/>
              <w:right w:val="single" w:sz="4" w:space="0" w:color="auto"/>
            </w:tcBorders>
            <w:shd w:val="clear" w:color="000000" w:fill="FF9900"/>
            <w:vAlign w:val="center"/>
            <w:hideMark/>
          </w:tcPr>
          <w:p w14:paraId="35098933" w14:textId="77777777" w:rsidR="00A72067" w:rsidRPr="00BF5E3C" w:rsidRDefault="00A72067" w:rsidP="00A72067">
            <w:pPr>
              <w:spacing w:after="0" w:line="240" w:lineRule="auto"/>
              <w:jc w:val="center"/>
              <w:rPr>
                <w:rFonts w:ascii="Tahoma" w:eastAsia="Times New Roman" w:hAnsi="Tahoma" w:cs="Tahoma"/>
                <w:sz w:val="16"/>
                <w:szCs w:val="16"/>
                <w:lang w:eastAsia="hr-HR"/>
              </w:rPr>
            </w:pPr>
            <w:r w:rsidRPr="00BF5E3C">
              <w:rPr>
                <w:rFonts w:ascii="Tahoma" w:eastAsia="Times New Roman" w:hAnsi="Tahoma" w:cs="Tahoma"/>
                <w:sz w:val="16"/>
                <w:szCs w:val="16"/>
                <w:lang w:eastAsia="hr-HR"/>
              </w:rPr>
              <w:t>0</w:t>
            </w:r>
          </w:p>
        </w:tc>
        <w:tc>
          <w:tcPr>
            <w:tcW w:w="707" w:type="dxa"/>
            <w:tcBorders>
              <w:top w:val="nil"/>
              <w:left w:val="nil"/>
              <w:bottom w:val="single" w:sz="4" w:space="0" w:color="auto"/>
              <w:right w:val="single" w:sz="4" w:space="0" w:color="auto"/>
            </w:tcBorders>
            <w:shd w:val="clear" w:color="000000" w:fill="FF9900"/>
            <w:vAlign w:val="center"/>
            <w:hideMark/>
          </w:tcPr>
          <w:p w14:paraId="49E13EDF" w14:textId="77777777" w:rsidR="00A72067" w:rsidRPr="00BF5E3C" w:rsidRDefault="00A72067" w:rsidP="00A72067">
            <w:pPr>
              <w:spacing w:after="0" w:line="240" w:lineRule="auto"/>
              <w:jc w:val="center"/>
              <w:rPr>
                <w:rFonts w:ascii="Tahoma" w:eastAsia="Times New Roman" w:hAnsi="Tahoma" w:cs="Tahoma"/>
                <w:sz w:val="16"/>
                <w:szCs w:val="16"/>
                <w:lang w:eastAsia="hr-HR"/>
              </w:rPr>
            </w:pPr>
            <w:r w:rsidRPr="00BF5E3C">
              <w:rPr>
                <w:rFonts w:ascii="Tahoma" w:eastAsia="Times New Roman" w:hAnsi="Tahoma" w:cs="Tahoma"/>
                <w:sz w:val="16"/>
                <w:szCs w:val="16"/>
                <w:lang w:eastAsia="hr-HR"/>
              </w:rPr>
              <w:t>0</w:t>
            </w:r>
          </w:p>
        </w:tc>
        <w:tc>
          <w:tcPr>
            <w:tcW w:w="698" w:type="dxa"/>
            <w:tcBorders>
              <w:top w:val="nil"/>
              <w:left w:val="nil"/>
              <w:bottom w:val="single" w:sz="4" w:space="0" w:color="auto"/>
              <w:right w:val="single" w:sz="4" w:space="0" w:color="auto"/>
            </w:tcBorders>
            <w:shd w:val="clear" w:color="000000" w:fill="FF9900"/>
            <w:vAlign w:val="center"/>
            <w:hideMark/>
          </w:tcPr>
          <w:p w14:paraId="6135C694" w14:textId="77777777" w:rsidR="00A72067" w:rsidRPr="00BF5E3C" w:rsidRDefault="00A72067" w:rsidP="00A72067">
            <w:pPr>
              <w:spacing w:after="0" w:line="240" w:lineRule="auto"/>
              <w:jc w:val="center"/>
              <w:rPr>
                <w:rFonts w:ascii="Tahoma" w:eastAsia="Times New Roman" w:hAnsi="Tahoma" w:cs="Tahoma"/>
                <w:sz w:val="16"/>
                <w:szCs w:val="16"/>
                <w:lang w:eastAsia="hr-HR"/>
              </w:rPr>
            </w:pPr>
            <w:r w:rsidRPr="00BF5E3C">
              <w:rPr>
                <w:rFonts w:ascii="Tahoma" w:eastAsia="Times New Roman" w:hAnsi="Tahoma" w:cs="Tahoma"/>
                <w:sz w:val="16"/>
                <w:szCs w:val="16"/>
                <w:lang w:eastAsia="hr-HR"/>
              </w:rPr>
              <w:t>0</w:t>
            </w:r>
          </w:p>
        </w:tc>
        <w:tc>
          <w:tcPr>
            <w:tcW w:w="377" w:type="dxa"/>
            <w:tcBorders>
              <w:top w:val="nil"/>
              <w:left w:val="nil"/>
              <w:bottom w:val="single" w:sz="4" w:space="0" w:color="auto"/>
              <w:right w:val="single" w:sz="4" w:space="0" w:color="auto"/>
            </w:tcBorders>
            <w:shd w:val="clear" w:color="000000" w:fill="CCFFFF"/>
            <w:noWrap/>
            <w:vAlign w:val="bottom"/>
            <w:hideMark/>
          </w:tcPr>
          <w:p w14:paraId="6710063D" w14:textId="77777777" w:rsidR="00A72067" w:rsidRPr="00BF5E3C" w:rsidRDefault="00A72067" w:rsidP="00A72067">
            <w:pPr>
              <w:spacing w:after="0" w:line="240" w:lineRule="auto"/>
              <w:jc w:val="right"/>
              <w:rPr>
                <w:rFonts w:ascii="Tahoma" w:eastAsia="Times New Roman" w:hAnsi="Tahoma" w:cs="Tahoma"/>
                <w:sz w:val="16"/>
                <w:szCs w:val="16"/>
                <w:lang w:eastAsia="hr-HR"/>
              </w:rPr>
            </w:pPr>
            <w:r w:rsidRPr="00BF5E3C">
              <w:rPr>
                <w:rFonts w:ascii="Tahoma" w:eastAsia="Times New Roman" w:hAnsi="Tahoma" w:cs="Tahoma"/>
                <w:sz w:val="16"/>
                <w:szCs w:val="16"/>
                <w:lang w:eastAsia="hr-HR"/>
              </w:rPr>
              <w:t>0</w:t>
            </w:r>
          </w:p>
        </w:tc>
        <w:tc>
          <w:tcPr>
            <w:tcW w:w="388" w:type="dxa"/>
            <w:tcBorders>
              <w:top w:val="nil"/>
              <w:left w:val="nil"/>
              <w:bottom w:val="single" w:sz="4" w:space="0" w:color="auto"/>
              <w:right w:val="single" w:sz="4" w:space="0" w:color="auto"/>
            </w:tcBorders>
            <w:shd w:val="clear" w:color="000000" w:fill="CCFFFF"/>
            <w:noWrap/>
            <w:vAlign w:val="bottom"/>
            <w:hideMark/>
          </w:tcPr>
          <w:p w14:paraId="6CCC3045" w14:textId="77777777" w:rsidR="00A72067" w:rsidRPr="00BF5E3C" w:rsidRDefault="00A72067" w:rsidP="00A72067">
            <w:pPr>
              <w:spacing w:after="0" w:line="240" w:lineRule="auto"/>
              <w:jc w:val="right"/>
              <w:rPr>
                <w:rFonts w:ascii="Tahoma" w:eastAsia="Times New Roman" w:hAnsi="Tahoma" w:cs="Tahoma"/>
                <w:sz w:val="16"/>
                <w:szCs w:val="16"/>
                <w:lang w:eastAsia="hr-HR"/>
              </w:rPr>
            </w:pPr>
            <w:r w:rsidRPr="00BF5E3C">
              <w:rPr>
                <w:rFonts w:ascii="Tahoma" w:eastAsia="Times New Roman" w:hAnsi="Tahoma" w:cs="Tahoma"/>
                <w:sz w:val="16"/>
                <w:szCs w:val="16"/>
                <w:lang w:eastAsia="hr-HR"/>
              </w:rPr>
              <w:t>0</w:t>
            </w:r>
          </w:p>
        </w:tc>
        <w:tc>
          <w:tcPr>
            <w:tcW w:w="399" w:type="dxa"/>
            <w:tcBorders>
              <w:top w:val="nil"/>
              <w:left w:val="nil"/>
              <w:bottom w:val="single" w:sz="4" w:space="0" w:color="auto"/>
              <w:right w:val="single" w:sz="4" w:space="0" w:color="auto"/>
            </w:tcBorders>
            <w:shd w:val="clear" w:color="000000" w:fill="CCFFFF"/>
            <w:noWrap/>
            <w:vAlign w:val="bottom"/>
            <w:hideMark/>
          </w:tcPr>
          <w:p w14:paraId="7064A64C" w14:textId="77777777" w:rsidR="00A72067" w:rsidRPr="00BF5E3C" w:rsidRDefault="00A72067" w:rsidP="00A72067">
            <w:pPr>
              <w:spacing w:after="0" w:line="240" w:lineRule="auto"/>
              <w:jc w:val="right"/>
              <w:rPr>
                <w:rFonts w:ascii="Tahoma" w:eastAsia="Times New Roman" w:hAnsi="Tahoma" w:cs="Tahoma"/>
                <w:sz w:val="16"/>
                <w:szCs w:val="16"/>
                <w:lang w:eastAsia="hr-HR"/>
              </w:rPr>
            </w:pPr>
            <w:r w:rsidRPr="00BF5E3C">
              <w:rPr>
                <w:rFonts w:ascii="Tahoma" w:eastAsia="Times New Roman" w:hAnsi="Tahoma" w:cs="Tahoma"/>
                <w:sz w:val="16"/>
                <w:szCs w:val="16"/>
                <w:lang w:eastAsia="hr-HR"/>
              </w:rPr>
              <w:t>0</w:t>
            </w:r>
          </w:p>
        </w:tc>
        <w:tc>
          <w:tcPr>
            <w:tcW w:w="489" w:type="dxa"/>
            <w:gridSpan w:val="2"/>
            <w:tcBorders>
              <w:top w:val="nil"/>
              <w:left w:val="nil"/>
              <w:bottom w:val="single" w:sz="4" w:space="0" w:color="auto"/>
              <w:right w:val="nil"/>
            </w:tcBorders>
            <w:shd w:val="clear" w:color="000000" w:fill="33CCCC"/>
            <w:noWrap/>
            <w:vAlign w:val="bottom"/>
            <w:hideMark/>
          </w:tcPr>
          <w:p w14:paraId="604CACB7" w14:textId="77777777" w:rsidR="00A72067" w:rsidRPr="00BF5E3C" w:rsidRDefault="00A72067" w:rsidP="00A72067">
            <w:pPr>
              <w:spacing w:after="0" w:line="240" w:lineRule="auto"/>
              <w:jc w:val="right"/>
              <w:rPr>
                <w:rFonts w:ascii="Tahoma" w:eastAsia="Times New Roman" w:hAnsi="Tahoma" w:cs="Tahoma"/>
                <w:sz w:val="16"/>
                <w:szCs w:val="16"/>
                <w:lang w:eastAsia="hr-HR"/>
              </w:rPr>
            </w:pPr>
            <w:r w:rsidRPr="00BF5E3C">
              <w:rPr>
                <w:rFonts w:ascii="Tahoma" w:eastAsia="Times New Roman" w:hAnsi="Tahoma" w:cs="Tahoma"/>
                <w:sz w:val="16"/>
                <w:szCs w:val="16"/>
                <w:lang w:eastAsia="hr-HR"/>
              </w:rPr>
              <w:t>0</w:t>
            </w:r>
          </w:p>
        </w:tc>
        <w:tc>
          <w:tcPr>
            <w:tcW w:w="425" w:type="dxa"/>
            <w:tcBorders>
              <w:top w:val="nil"/>
              <w:left w:val="single" w:sz="4" w:space="0" w:color="auto"/>
              <w:bottom w:val="single" w:sz="4" w:space="0" w:color="auto"/>
              <w:right w:val="single" w:sz="8" w:space="0" w:color="auto"/>
            </w:tcBorders>
            <w:shd w:val="clear" w:color="000000" w:fill="33CCCC"/>
            <w:noWrap/>
            <w:vAlign w:val="bottom"/>
            <w:hideMark/>
          </w:tcPr>
          <w:p w14:paraId="788AD31A" w14:textId="77777777" w:rsidR="00A72067" w:rsidRPr="00BF5E3C" w:rsidRDefault="00A72067" w:rsidP="00A72067">
            <w:pPr>
              <w:spacing w:after="0" w:line="240" w:lineRule="auto"/>
              <w:jc w:val="right"/>
              <w:rPr>
                <w:rFonts w:ascii="Tahoma" w:eastAsia="Times New Roman" w:hAnsi="Tahoma" w:cs="Tahoma"/>
                <w:sz w:val="16"/>
                <w:szCs w:val="16"/>
                <w:lang w:eastAsia="hr-HR"/>
              </w:rPr>
            </w:pPr>
            <w:r w:rsidRPr="00BF5E3C">
              <w:rPr>
                <w:rFonts w:ascii="Tahoma" w:eastAsia="Times New Roman" w:hAnsi="Tahoma" w:cs="Tahoma"/>
                <w:sz w:val="16"/>
                <w:szCs w:val="16"/>
                <w:lang w:eastAsia="hr-HR"/>
              </w:rPr>
              <w:t>0</w:t>
            </w:r>
          </w:p>
        </w:tc>
        <w:tc>
          <w:tcPr>
            <w:tcW w:w="236" w:type="dxa"/>
            <w:vAlign w:val="center"/>
            <w:hideMark/>
          </w:tcPr>
          <w:p w14:paraId="00D1787F" w14:textId="77777777" w:rsidR="00A72067" w:rsidRPr="00BF5E3C" w:rsidRDefault="00A72067" w:rsidP="00A72067">
            <w:pPr>
              <w:spacing w:after="0" w:line="240" w:lineRule="auto"/>
              <w:rPr>
                <w:rFonts w:ascii="Times New Roman" w:eastAsia="Times New Roman" w:hAnsi="Times New Roman" w:cs="Times New Roman"/>
                <w:sz w:val="16"/>
                <w:szCs w:val="16"/>
                <w:lang w:eastAsia="hr-HR"/>
              </w:rPr>
            </w:pPr>
          </w:p>
        </w:tc>
      </w:tr>
      <w:tr w:rsidR="00F90F6F" w:rsidRPr="00BF5E3C" w14:paraId="7778C98C" w14:textId="77777777" w:rsidTr="00F90F6F">
        <w:trPr>
          <w:gridAfter w:val="1"/>
          <w:wAfter w:w="32" w:type="dxa"/>
          <w:trHeight w:val="402"/>
        </w:trPr>
        <w:tc>
          <w:tcPr>
            <w:tcW w:w="979" w:type="dxa"/>
            <w:tcBorders>
              <w:top w:val="nil"/>
              <w:left w:val="single" w:sz="8" w:space="0" w:color="auto"/>
              <w:bottom w:val="single" w:sz="4" w:space="0" w:color="auto"/>
              <w:right w:val="single" w:sz="4" w:space="0" w:color="auto"/>
            </w:tcBorders>
            <w:shd w:val="clear" w:color="000000" w:fill="CCFFCC"/>
            <w:vAlign w:val="center"/>
            <w:hideMark/>
          </w:tcPr>
          <w:p w14:paraId="7D15045C" w14:textId="77777777" w:rsidR="00A72067" w:rsidRPr="00BF5E3C" w:rsidRDefault="00A72067" w:rsidP="00A72067">
            <w:pPr>
              <w:spacing w:after="0" w:line="240" w:lineRule="auto"/>
              <w:rPr>
                <w:rFonts w:ascii="Tahoma" w:eastAsia="Times New Roman" w:hAnsi="Tahoma" w:cs="Tahoma"/>
                <w:sz w:val="16"/>
                <w:szCs w:val="16"/>
                <w:lang w:eastAsia="hr-HR"/>
              </w:rPr>
            </w:pPr>
            <w:r w:rsidRPr="00BF5E3C">
              <w:rPr>
                <w:rFonts w:ascii="Tahoma" w:eastAsia="Times New Roman" w:hAnsi="Tahoma" w:cs="Tahoma"/>
                <w:sz w:val="16"/>
                <w:szCs w:val="16"/>
                <w:lang w:eastAsia="hr-HR"/>
              </w:rPr>
              <w:t>Vjera</w:t>
            </w:r>
          </w:p>
        </w:tc>
        <w:tc>
          <w:tcPr>
            <w:tcW w:w="520" w:type="dxa"/>
            <w:tcBorders>
              <w:top w:val="nil"/>
              <w:left w:val="nil"/>
              <w:bottom w:val="single" w:sz="4" w:space="0" w:color="auto"/>
              <w:right w:val="single" w:sz="4" w:space="0" w:color="auto"/>
            </w:tcBorders>
            <w:shd w:val="clear" w:color="000000" w:fill="FFCC99"/>
            <w:noWrap/>
            <w:vAlign w:val="bottom"/>
            <w:hideMark/>
          </w:tcPr>
          <w:p w14:paraId="2A55439F" w14:textId="77777777" w:rsidR="00A72067" w:rsidRPr="00BF5E3C" w:rsidRDefault="00A72067" w:rsidP="00A72067">
            <w:pPr>
              <w:spacing w:after="0" w:line="240" w:lineRule="auto"/>
              <w:jc w:val="center"/>
              <w:rPr>
                <w:rFonts w:ascii="Tahoma" w:eastAsia="Times New Roman" w:hAnsi="Tahoma" w:cs="Tahoma"/>
                <w:sz w:val="16"/>
                <w:szCs w:val="16"/>
                <w:lang w:eastAsia="hr-HR"/>
              </w:rPr>
            </w:pPr>
            <w:r w:rsidRPr="00BF5E3C">
              <w:rPr>
                <w:rFonts w:ascii="Tahoma" w:eastAsia="Times New Roman" w:hAnsi="Tahoma" w:cs="Tahoma"/>
                <w:sz w:val="16"/>
                <w:szCs w:val="16"/>
                <w:lang w:eastAsia="hr-HR"/>
              </w:rPr>
              <w:t>2</w:t>
            </w:r>
          </w:p>
        </w:tc>
        <w:tc>
          <w:tcPr>
            <w:tcW w:w="420" w:type="dxa"/>
            <w:tcBorders>
              <w:top w:val="nil"/>
              <w:left w:val="nil"/>
              <w:bottom w:val="single" w:sz="4" w:space="0" w:color="auto"/>
              <w:right w:val="single" w:sz="4" w:space="0" w:color="auto"/>
            </w:tcBorders>
            <w:shd w:val="clear" w:color="000000" w:fill="FFFF00"/>
            <w:noWrap/>
            <w:vAlign w:val="bottom"/>
            <w:hideMark/>
          </w:tcPr>
          <w:p w14:paraId="240FEA87" w14:textId="77777777" w:rsidR="00A72067" w:rsidRPr="00BF5E3C" w:rsidRDefault="00A72067" w:rsidP="00A72067">
            <w:pPr>
              <w:spacing w:after="0" w:line="240" w:lineRule="auto"/>
              <w:jc w:val="center"/>
              <w:rPr>
                <w:rFonts w:ascii="Tahoma" w:eastAsia="Times New Roman" w:hAnsi="Tahoma" w:cs="Tahoma"/>
                <w:sz w:val="16"/>
                <w:szCs w:val="16"/>
                <w:lang w:eastAsia="hr-HR"/>
              </w:rPr>
            </w:pPr>
            <w:r w:rsidRPr="00BF5E3C">
              <w:rPr>
                <w:rFonts w:ascii="Tahoma" w:eastAsia="Times New Roman" w:hAnsi="Tahoma" w:cs="Tahoma"/>
                <w:sz w:val="16"/>
                <w:szCs w:val="16"/>
                <w:lang w:eastAsia="hr-HR"/>
              </w:rPr>
              <w:t>0</w:t>
            </w:r>
          </w:p>
        </w:tc>
        <w:tc>
          <w:tcPr>
            <w:tcW w:w="665" w:type="dxa"/>
            <w:tcBorders>
              <w:top w:val="nil"/>
              <w:left w:val="nil"/>
              <w:bottom w:val="single" w:sz="4" w:space="0" w:color="auto"/>
              <w:right w:val="single" w:sz="4" w:space="0" w:color="auto"/>
            </w:tcBorders>
            <w:shd w:val="clear" w:color="000000" w:fill="CCFFFF"/>
            <w:noWrap/>
            <w:vAlign w:val="bottom"/>
            <w:hideMark/>
          </w:tcPr>
          <w:p w14:paraId="11A506A0" w14:textId="77777777" w:rsidR="00A72067" w:rsidRPr="00BF5E3C" w:rsidRDefault="00A72067" w:rsidP="00A72067">
            <w:pPr>
              <w:spacing w:after="0" w:line="240" w:lineRule="auto"/>
              <w:jc w:val="right"/>
              <w:rPr>
                <w:rFonts w:ascii="Tahoma" w:eastAsia="Times New Roman" w:hAnsi="Tahoma" w:cs="Tahoma"/>
                <w:sz w:val="16"/>
                <w:szCs w:val="16"/>
                <w:lang w:eastAsia="hr-HR"/>
              </w:rPr>
            </w:pPr>
            <w:r w:rsidRPr="00BF5E3C">
              <w:rPr>
                <w:rFonts w:ascii="Tahoma" w:eastAsia="Times New Roman" w:hAnsi="Tahoma" w:cs="Tahoma"/>
                <w:sz w:val="16"/>
                <w:szCs w:val="16"/>
                <w:lang w:eastAsia="hr-HR"/>
              </w:rPr>
              <w:t>0</w:t>
            </w:r>
          </w:p>
        </w:tc>
        <w:tc>
          <w:tcPr>
            <w:tcW w:w="571" w:type="dxa"/>
            <w:tcBorders>
              <w:top w:val="nil"/>
              <w:left w:val="nil"/>
              <w:bottom w:val="single" w:sz="4" w:space="0" w:color="auto"/>
              <w:right w:val="single" w:sz="4" w:space="0" w:color="auto"/>
            </w:tcBorders>
            <w:shd w:val="clear" w:color="000000" w:fill="CCFFFF"/>
            <w:noWrap/>
            <w:vAlign w:val="bottom"/>
            <w:hideMark/>
          </w:tcPr>
          <w:p w14:paraId="02FBE9D7" w14:textId="77777777" w:rsidR="00A72067" w:rsidRPr="00BF5E3C" w:rsidRDefault="00A72067" w:rsidP="00A72067">
            <w:pPr>
              <w:spacing w:after="0" w:line="240" w:lineRule="auto"/>
              <w:jc w:val="right"/>
              <w:rPr>
                <w:rFonts w:ascii="Tahoma" w:eastAsia="Times New Roman" w:hAnsi="Tahoma" w:cs="Tahoma"/>
                <w:sz w:val="16"/>
                <w:szCs w:val="16"/>
                <w:lang w:eastAsia="hr-HR"/>
              </w:rPr>
            </w:pPr>
            <w:r w:rsidRPr="00BF5E3C">
              <w:rPr>
                <w:rFonts w:ascii="Tahoma" w:eastAsia="Times New Roman" w:hAnsi="Tahoma" w:cs="Tahoma"/>
                <w:sz w:val="16"/>
                <w:szCs w:val="16"/>
                <w:lang w:eastAsia="hr-HR"/>
              </w:rPr>
              <w:t>0</w:t>
            </w:r>
          </w:p>
        </w:tc>
        <w:tc>
          <w:tcPr>
            <w:tcW w:w="700" w:type="dxa"/>
            <w:tcBorders>
              <w:top w:val="nil"/>
              <w:left w:val="nil"/>
              <w:bottom w:val="single" w:sz="4" w:space="0" w:color="auto"/>
              <w:right w:val="single" w:sz="4" w:space="0" w:color="auto"/>
            </w:tcBorders>
            <w:shd w:val="clear" w:color="000000" w:fill="FFFF99"/>
            <w:noWrap/>
            <w:vAlign w:val="bottom"/>
            <w:hideMark/>
          </w:tcPr>
          <w:p w14:paraId="15469C0C" w14:textId="77777777" w:rsidR="00A72067" w:rsidRPr="00BF5E3C" w:rsidRDefault="00A72067" w:rsidP="00A72067">
            <w:pPr>
              <w:spacing w:after="0" w:line="240" w:lineRule="auto"/>
              <w:jc w:val="center"/>
              <w:rPr>
                <w:rFonts w:ascii="Tahoma" w:eastAsia="Times New Roman" w:hAnsi="Tahoma" w:cs="Tahoma"/>
                <w:sz w:val="16"/>
                <w:szCs w:val="16"/>
                <w:lang w:eastAsia="hr-HR"/>
              </w:rPr>
            </w:pPr>
            <w:r w:rsidRPr="00BF5E3C">
              <w:rPr>
                <w:rFonts w:ascii="Tahoma" w:eastAsia="Times New Roman" w:hAnsi="Tahoma" w:cs="Tahoma"/>
                <w:sz w:val="16"/>
                <w:szCs w:val="16"/>
                <w:lang w:eastAsia="hr-HR"/>
              </w:rPr>
              <w:t>0</w:t>
            </w:r>
          </w:p>
        </w:tc>
        <w:tc>
          <w:tcPr>
            <w:tcW w:w="698" w:type="dxa"/>
            <w:tcBorders>
              <w:top w:val="nil"/>
              <w:left w:val="nil"/>
              <w:bottom w:val="single" w:sz="4" w:space="0" w:color="auto"/>
              <w:right w:val="single" w:sz="4" w:space="0" w:color="auto"/>
            </w:tcBorders>
            <w:shd w:val="clear" w:color="000000" w:fill="FFFF99"/>
            <w:noWrap/>
            <w:vAlign w:val="bottom"/>
            <w:hideMark/>
          </w:tcPr>
          <w:p w14:paraId="50DD4204" w14:textId="77777777" w:rsidR="00A72067" w:rsidRPr="00BF5E3C" w:rsidRDefault="00A72067" w:rsidP="00A72067">
            <w:pPr>
              <w:spacing w:after="0" w:line="240" w:lineRule="auto"/>
              <w:jc w:val="center"/>
              <w:rPr>
                <w:rFonts w:ascii="Tahoma" w:eastAsia="Times New Roman" w:hAnsi="Tahoma" w:cs="Tahoma"/>
                <w:sz w:val="16"/>
                <w:szCs w:val="16"/>
                <w:lang w:eastAsia="hr-HR"/>
              </w:rPr>
            </w:pPr>
            <w:r w:rsidRPr="00BF5E3C">
              <w:rPr>
                <w:rFonts w:ascii="Tahoma" w:eastAsia="Times New Roman" w:hAnsi="Tahoma" w:cs="Tahoma"/>
                <w:sz w:val="16"/>
                <w:szCs w:val="16"/>
                <w:lang w:eastAsia="hr-HR"/>
              </w:rPr>
              <w:t>0</w:t>
            </w:r>
          </w:p>
        </w:tc>
        <w:tc>
          <w:tcPr>
            <w:tcW w:w="698" w:type="dxa"/>
            <w:tcBorders>
              <w:top w:val="nil"/>
              <w:left w:val="nil"/>
              <w:bottom w:val="single" w:sz="4" w:space="0" w:color="auto"/>
              <w:right w:val="single" w:sz="4" w:space="0" w:color="auto"/>
            </w:tcBorders>
            <w:shd w:val="clear" w:color="000000" w:fill="FFFF99"/>
            <w:noWrap/>
            <w:vAlign w:val="bottom"/>
            <w:hideMark/>
          </w:tcPr>
          <w:p w14:paraId="533A7323" w14:textId="77777777" w:rsidR="00A72067" w:rsidRPr="00BF5E3C" w:rsidRDefault="00A72067" w:rsidP="00A72067">
            <w:pPr>
              <w:spacing w:after="0" w:line="240" w:lineRule="auto"/>
              <w:jc w:val="center"/>
              <w:rPr>
                <w:rFonts w:ascii="Tahoma" w:eastAsia="Times New Roman" w:hAnsi="Tahoma" w:cs="Tahoma"/>
                <w:sz w:val="16"/>
                <w:szCs w:val="16"/>
                <w:lang w:eastAsia="hr-HR"/>
              </w:rPr>
            </w:pPr>
            <w:r w:rsidRPr="00BF5E3C">
              <w:rPr>
                <w:rFonts w:ascii="Tahoma" w:eastAsia="Times New Roman" w:hAnsi="Tahoma" w:cs="Tahoma"/>
                <w:sz w:val="16"/>
                <w:szCs w:val="16"/>
                <w:lang w:eastAsia="hr-HR"/>
              </w:rPr>
              <w:t>0</w:t>
            </w:r>
          </w:p>
        </w:tc>
        <w:tc>
          <w:tcPr>
            <w:tcW w:w="698" w:type="dxa"/>
            <w:tcBorders>
              <w:top w:val="nil"/>
              <w:left w:val="nil"/>
              <w:bottom w:val="single" w:sz="4" w:space="0" w:color="auto"/>
              <w:right w:val="single" w:sz="4" w:space="0" w:color="auto"/>
            </w:tcBorders>
            <w:shd w:val="clear" w:color="000000" w:fill="FFFF99"/>
            <w:noWrap/>
            <w:vAlign w:val="bottom"/>
            <w:hideMark/>
          </w:tcPr>
          <w:p w14:paraId="045FDDD6" w14:textId="77777777" w:rsidR="00A72067" w:rsidRPr="00BF5E3C" w:rsidRDefault="00A72067" w:rsidP="00A72067">
            <w:pPr>
              <w:spacing w:after="0" w:line="240" w:lineRule="auto"/>
              <w:jc w:val="center"/>
              <w:rPr>
                <w:rFonts w:ascii="Tahoma" w:eastAsia="Times New Roman" w:hAnsi="Tahoma" w:cs="Tahoma"/>
                <w:sz w:val="16"/>
                <w:szCs w:val="16"/>
                <w:lang w:eastAsia="hr-HR"/>
              </w:rPr>
            </w:pPr>
            <w:r w:rsidRPr="00BF5E3C">
              <w:rPr>
                <w:rFonts w:ascii="Tahoma" w:eastAsia="Times New Roman" w:hAnsi="Tahoma" w:cs="Tahoma"/>
                <w:sz w:val="16"/>
                <w:szCs w:val="16"/>
                <w:lang w:eastAsia="hr-HR"/>
              </w:rPr>
              <w:t>0</w:t>
            </w:r>
          </w:p>
        </w:tc>
        <w:tc>
          <w:tcPr>
            <w:tcW w:w="527" w:type="dxa"/>
            <w:tcBorders>
              <w:top w:val="nil"/>
              <w:left w:val="nil"/>
              <w:bottom w:val="single" w:sz="4" w:space="0" w:color="auto"/>
              <w:right w:val="single" w:sz="4" w:space="0" w:color="auto"/>
            </w:tcBorders>
            <w:shd w:val="clear" w:color="000000" w:fill="FFFF99"/>
            <w:noWrap/>
            <w:vAlign w:val="bottom"/>
            <w:hideMark/>
          </w:tcPr>
          <w:p w14:paraId="6CCDFF3B" w14:textId="77777777" w:rsidR="00A72067" w:rsidRPr="00BF5E3C" w:rsidRDefault="00A72067" w:rsidP="00A72067">
            <w:pPr>
              <w:spacing w:after="0" w:line="240" w:lineRule="auto"/>
              <w:jc w:val="center"/>
              <w:rPr>
                <w:rFonts w:ascii="Tahoma" w:eastAsia="Times New Roman" w:hAnsi="Tahoma" w:cs="Tahoma"/>
                <w:sz w:val="16"/>
                <w:szCs w:val="16"/>
                <w:lang w:eastAsia="hr-HR"/>
              </w:rPr>
            </w:pPr>
            <w:r w:rsidRPr="00BF5E3C">
              <w:rPr>
                <w:rFonts w:ascii="Tahoma" w:eastAsia="Times New Roman" w:hAnsi="Tahoma" w:cs="Tahoma"/>
                <w:sz w:val="16"/>
                <w:szCs w:val="16"/>
                <w:lang w:eastAsia="hr-HR"/>
              </w:rPr>
              <w:t>0</w:t>
            </w:r>
          </w:p>
        </w:tc>
        <w:tc>
          <w:tcPr>
            <w:tcW w:w="702" w:type="dxa"/>
            <w:tcBorders>
              <w:top w:val="nil"/>
              <w:left w:val="nil"/>
              <w:bottom w:val="single" w:sz="4" w:space="0" w:color="auto"/>
              <w:right w:val="single" w:sz="4" w:space="0" w:color="auto"/>
            </w:tcBorders>
            <w:shd w:val="clear" w:color="000000" w:fill="FFFF99"/>
            <w:noWrap/>
            <w:vAlign w:val="bottom"/>
            <w:hideMark/>
          </w:tcPr>
          <w:p w14:paraId="35C565E2" w14:textId="77777777" w:rsidR="00A72067" w:rsidRPr="00BF5E3C" w:rsidRDefault="00A72067" w:rsidP="00A72067">
            <w:pPr>
              <w:spacing w:after="0" w:line="240" w:lineRule="auto"/>
              <w:jc w:val="center"/>
              <w:rPr>
                <w:rFonts w:ascii="Tahoma" w:eastAsia="Times New Roman" w:hAnsi="Tahoma" w:cs="Tahoma"/>
                <w:sz w:val="16"/>
                <w:szCs w:val="16"/>
                <w:lang w:eastAsia="hr-HR"/>
              </w:rPr>
            </w:pPr>
            <w:r w:rsidRPr="00BF5E3C">
              <w:rPr>
                <w:rFonts w:ascii="Tahoma" w:eastAsia="Times New Roman" w:hAnsi="Tahoma" w:cs="Tahoma"/>
                <w:sz w:val="16"/>
                <w:szCs w:val="16"/>
                <w:lang w:eastAsia="hr-HR"/>
              </w:rPr>
              <w:t>0</w:t>
            </w:r>
          </w:p>
        </w:tc>
        <w:tc>
          <w:tcPr>
            <w:tcW w:w="698" w:type="dxa"/>
            <w:tcBorders>
              <w:top w:val="nil"/>
              <w:left w:val="nil"/>
              <w:bottom w:val="single" w:sz="4" w:space="0" w:color="auto"/>
              <w:right w:val="single" w:sz="4" w:space="0" w:color="auto"/>
            </w:tcBorders>
            <w:shd w:val="clear" w:color="000000" w:fill="FF9900"/>
            <w:noWrap/>
            <w:vAlign w:val="bottom"/>
            <w:hideMark/>
          </w:tcPr>
          <w:p w14:paraId="70E254DB" w14:textId="77777777" w:rsidR="00A72067" w:rsidRPr="00BF5E3C" w:rsidRDefault="00A72067" w:rsidP="00A72067">
            <w:pPr>
              <w:spacing w:after="0" w:line="240" w:lineRule="auto"/>
              <w:jc w:val="right"/>
              <w:rPr>
                <w:rFonts w:ascii="Tahoma" w:eastAsia="Times New Roman" w:hAnsi="Tahoma" w:cs="Tahoma"/>
                <w:sz w:val="16"/>
                <w:szCs w:val="16"/>
                <w:lang w:eastAsia="hr-HR"/>
              </w:rPr>
            </w:pPr>
            <w:r w:rsidRPr="00BF5E3C">
              <w:rPr>
                <w:rFonts w:ascii="Tahoma" w:eastAsia="Times New Roman" w:hAnsi="Tahoma" w:cs="Tahoma"/>
                <w:sz w:val="16"/>
                <w:szCs w:val="16"/>
                <w:lang w:eastAsia="hr-HR"/>
              </w:rPr>
              <w:t>0</w:t>
            </w:r>
          </w:p>
        </w:tc>
        <w:tc>
          <w:tcPr>
            <w:tcW w:w="439" w:type="dxa"/>
            <w:tcBorders>
              <w:top w:val="nil"/>
              <w:left w:val="nil"/>
              <w:bottom w:val="single" w:sz="4" w:space="0" w:color="auto"/>
              <w:right w:val="single" w:sz="4" w:space="0" w:color="auto"/>
            </w:tcBorders>
            <w:shd w:val="clear" w:color="000000" w:fill="FF9900"/>
            <w:noWrap/>
            <w:vAlign w:val="bottom"/>
            <w:hideMark/>
          </w:tcPr>
          <w:p w14:paraId="35DE59E2" w14:textId="77777777" w:rsidR="00A72067" w:rsidRPr="00BF5E3C" w:rsidRDefault="00A72067" w:rsidP="00A72067">
            <w:pPr>
              <w:spacing w:after="0" w:line="240" w:lineRule="auto"/>
              <w:jc w:val="right"/>
              <w:rPr>
                <w:rFonts w:ascii="Tahoma" w:eastAsia="Times New Roman" w:hAnsi="Tahoma" w:cs="Tahoma"/>
                <w:sz w:val="16"/>
                <w:szCs w:val="16"/>
                <w:lang w:eastAsia="hr-HR"/>
              </w:rPr>
            </w:pPr>
            <w:r w:rsidRPr="00BF5E3C">
              <w:rPr>
                <w:rFonts w:ascii="Tahoma" w:eastAsia="Times New Roman" w:hAnsi="Tahoma" w:cs="Tahoma"/>
                <w:sz w:val="16"/>
                <w:szCs w:val="16"/>
                <w:lang w:eastAsia="hr-HR"/>
              </w:rPr>
              <w:t>1</w:t>
            </w:r>
          </w:p>
        </w:tc>
        <w:tc>
          <w:tcPr>
            <w:tcW w:w="439" w:type="dxa"/>
            <w:tcBorders>
              <w:top w:val="nil"/>
              <w:left w:val="nil"/>
              <w:bottom w:val="single" w:sz="4" w:space="0" w:color="auto"/>
              <w:right w:val="single" w:sz="4" w:space="0" w:color="auto"/>
            </w:tcBorders>
            <w:shd w:val="clear" w:color="000000" w:fill="FF9900"/>
            <w:noWrap/>
            <w:vAlign w:val="bottom"/>
            <w:hideMark/>
          </w:tcPr>
          <w:p w14:paraId="2E2B048D" w14:textId="77777777" w:rsidR="00A72067" w:rsidRPr="00BF5E3C" w:rsidRDefault="00A72067" w:rsidP="00A72067">
            <w:pPr>
              <w:spacing w:after="0" w:line="240" w:lineRule="auto"/>
              <w:jc w:val="right"/>
              <w:rPr>
                <w:rFonts w:ascii="Tahoma" w:eastAsia="Times New Roman" w:hAnsi="Tahoma" w:cs="Tahoma"/>
                <w:sz w:val="16"/>
                <w:szCs w:val="16"/>
                <w:lang w:eastAsia="hr-HR"/>
              </w:rPr>
            </w:pPr>
            <w:r w:rsidRPr="00BF5E3C">
              <w:rPr>
                <w:rFonts w:ascii="Tahoma" w:eastAsia="Times New Roman" w:hAnsi="Tahoma" w:cs="Tahoma"/>
                <w:sz w:val="16"/>
                <w:szCs w:val="16"/>
                <w:lang w:eastAsia="hr-HR"/>
              </w:rPr>
              <w:t>0</w:t>
            </w:r>
          </w:p>
        </w:tc>
        <w:tc>
          <w:tcPr>
            <w:tcW w:w="665" w:type="dxa"/>
            <w:tcBorders>
              <w:top w:val="nil"/>
              <w:left w:val="nil"/>
              <w:bottom w:val="single" w:sz="4" w:space="0" w:color="auto"/>
              <w:right w:val="single" w:sz="4" w:space="0" w:color="auto"/>
            </w:tcBorders>
            <w:shd w:val="clear" w:color="000000" w:fill="FFFF00"/>
            <w:vAlign w:val="center"/>
            <w:hideMark/>
          </w:tcPr>
          <w:p w14:paraId="435A59B5" w14:textId="77777777" w:rsidR="00A72067" w:rsidRPr="00BF5E3C" w:rsidRDefault="00A72067" w:rsidP="00A72067">
            <w:pPr>
              <w:spacing w:after="0" w:line="240" w:lineRule="auto"/>
              <w:jc w:val="center"/>
              <w:rPr>
                <w:rFonts w:ascii="Tahoma" w:eastAsia="Times New Roman" w:hAnsi="Tahoma" w:cs="Tahoma"/>
                <w:sz w:val="16"/>
                <w:szCs w:val="16"/>
                <w:lang w:eastAsia="hr-HR"/>
              </w:rPr>
            </w:pPr>
            <w:r w:rsidRPr="00BF5E3C">
              <w:rPr>
                <w:rFonts w:ascii="Tahoma" w:eastAsia="Times New Roman" w:hAnsi="Tahoma" w:cs="Tahoma"/>
                <w:sz w:val="16"/>
                <w:szCs w:val="16"/>
                <w:lang w:eastAsia="hr-HR"/>
              </w:rPr>
              <w:t>1</w:t>
            </w:r>
          </w:p>
        </w:tc>
        <w:tc>
          <w:tcPr>
            <w:tcW w:w="698" w:type="dxa"/>
            <w:tcBorders>
              <w:top w:val="nil"/>
              <w:left w:val="nil"/>
              <w:bottom w:val="single" w:sz="4" w:space="0" w:color="auto"/>
              <w:right w:val="single" w:sz="4" w:space="0" w:color="auto"/>
            </w:tcBorders>
            <w:shd w:val="clear" w:color="000000" w:fill="FF9900"/>
            <w:vAlign w:val="center"/>
            <w:hideMark/>
          </w:tcPr>
          <w:p w14:paraId="7C304F57" w14:textId="77777777" w:rsidR="00A72067" w:rsidRPr="00BF5E3C" w:rsidRDefault="00A72067" w:rsidP="00A72067">
            <w:pPr>
              <w:spacing w:after="0" w:line="240" w:lineRule="auto"/>
              <w:jc w:val="center"/>
              <w:rPr>
                <w:rFonts w:ascii="Tahoma" w:eastAsia="Times New Roman" w:hAnsi="Tahoma" w:cs="Tahoma"/>
                <w:sz w:val="16"/>
                <w:szCs w:val="16"/>
                <w:lang w:eastAsia="hr-HR"/>
              </w:rPr>
            </w:pPr>
            <w:r w:rsidRPr="00BF5E3C">
              <w:rPr>
                <w:rFonts w:ascii="Tahoma" w:eastAsia="Times New Roman" w:hAnsi="Tahoma" w:cs="Tahoma"/>
                <w:sz w:val="16"/>
                <w:szCs w:val="16"/>
                <w:lang w:eastAsia="hr-HR"/>
              </w:rPr>
              <w:t>1</w:t>
            </w:r>
          </w:p>
        </w:tc>
        <w:tc>
          <w:tcPr>
            <w:tcW w:w="707" w:type="dxa"/>
            <w:tcBorders>
              <w:top w:val="nil"/>
              <w:left w:val="nil"/>
              <w:bottom w:val="single" w:sz="4" w:space="0" w:color="auto"/>
              <w:right w:val="single" w:sz="4" w:space="0" w:color="auto"/>
            </w:tcBorders>
            <w:shd w:val="clear" w:color="000000" w:fill="FF9900"/>
            <w:noWrap/>
            <w:vAlign w:val="center"/>
            <w:hideMark/>
          </w:tcPr>
          <w:p w14:paraId="6460AD98" w14:textId="77777777" w:rsidR="00A72067" w:rsidRPr="00BF5E3C" w:rsidRDefault="00A72067" w:rsidP="00A72067">
            <w:pPr>
              <w:spacing w:after="0" w:line="240" w:lineRule="auto"/>
              <w:jc w:val="center"/>
              <w:rPr>
                <w:rFonts w:ascii="Tahoma" w:eastAsia="Times New Roman" w:hAnsi="Tahoma" w:cs="Tahoma"/>
                <w:sz w:val="16"/>
                <w:szCs w:val="16"/>
                <w:lang w:eastAsia="hr-HR"/>
              </w:rPr>
            </w:pPr>
            <w:r w:rsidRPr="00BF5E3C">
              <w:rPr>
                <w:rFonts w:ascii="Tahoma" w:eastAsia="Times New Roman" w:hAnsi="Tahoma" w:cs="Tahoma"/>
                <w:sz w:val="16"/>
                <w:szCs w:val="16"/>
                <w:lang w:eastAsia="hr-HR"/>
              </w:rPr>
              <w:t>0</w:t>
            </w:r>
          </w:p>
        </w:tc>
        <w:tc>
          <w:tcPr>
            <w:tcW w:w="707" w:type="dxa"/>
            <w:tcBorders>
              <w:top w:val="nil"/>
              <w:left w:val="nil"/>
              <w:bottom w:val="single" w:sz="4" w:space="0" w:color="auto"/>
              <w:right w:val="single" w:sz="4" w:space="0" w:color="auto"/>
            </w:tcBorders>
            <w:shd w:val="clear" w:color="000000" w:fill="FF9900"/>
            <w:noWrap/>
            <w:vAlign w:val="center"/>
            <w:hideMark/>
          </w:tcPr>
          <w:p w14:paraId="6BF09D1F" w14:textId="77777777" w:rsidR="00A72067" w:rsidRPr="00BF5E3C" w:rsidRDefault="00A72067" w:rsidP="00A72067">
            <w:pPr>
              <w:spacing w:after="0" w:line="240" w:lineRule="auto"/>
              <w:jc w:val="center"/>
              <w:rPr>
                <w:rFonts w:ascii="Tahoma" w:eastAsia="Times New Roman" w:hAnsi="Tahoma" w:cs="Tahoma"/>
                <w:sz w:val="16"/>
                <w:szCs w:val="16"/>
                <w:lang w:eastAsia="hr-HR"/>
              </w:rPr>
            </w:pPr>
            <w:r w:rsidRPr="00BF5E3C">
              <w:rPr>
                <w:rFonts w:ascii="Tahoma" w:eastAsia="Times New Roman" w:hAnsi="Tahoma" w:cs="Tahoma"/>
                <w:sz w:val="16"/>
                <w:szCs w:val="16"/>
                <w:lang w:eastAsia="hr-HR"/>
              </w:rPr>
              <w:t>0</w:t>
            </w:r>
          </w:p>
        </w:tc>
        <w:tc>
          <w:tcPr>
            <w:tcW w:w="698" w:type="dxa"/>
            <w:tcBorders>
              <w:top w:val="nil"/>
              <w:left w:val="nil"/>
              <w:bottom w:val="single" w:sz="4" w:space="0" w:color="auto"/>
              <w:right w:val="single" w:sz="4" w:space="0" w:color="auto"/>
            </w:tcBorders>
            <w:shd w:val="clear" w:color="000000" w:fill="FF9900"/>
            <w:noWrap/>
            <w:vAlign w:val="center"/>
            <w:hideMark/>
          </w:tcPr>
          <w:p w14:paraId="08C8A69A" w14:textId="77777777" w:rsidR="00A72067" w:rsidRPr="00BF5E3C" w:rsidRDefault="00A72067" w:rsidP="00A72067">
            <w:pPr>
              <w:spacing w:after="0" w:line="240" w:lineRule="auto"/>
              <w:jc w:val="center"/>
              <w:rPr>
                <w:rFonts w:ascii="Tahoma" w:eastAsia="Times New Roman" w:hAnsi="Tahoma" w:cs="Tahoma"/>
                <w:sz w:val="16"/>
                <w:szCs w:val="16"/>
                <w:lang w:eastAsia="hr-HR"/>
              </w:rPr>
            </w:pPr>
            <w:r w:rsidRPr="00BF5E3C">
              <w:rPr>
                <w:rFonts w:ascii="Tahoma" w:eastAsia="Times New Roman" w:hAnsi="Tahoma" w:cs="Tahoma"/>
                <w:sz w:val="16"/>
                <w:szCs w:val="16"/>
                <w:lang w:eastAsia="hr-HR"/>
              </w:rPr>
              <w:t>0</w:t>
            </w:r>
          </w:p>
        </w:tc>
        <w:tc>
          <w:tcPr>
            <w:tcW w:w="377" w:type="dxa"/>
            <w:tcBorders>
              <w:top w:val="nil"/>
              <w:left w:val="nil"/>
              <w:bottom w:val="single" w:sz="4" w:space="0" w:color="auto"/>
              <w:right w:val="single" w:sz="4" w:space="0" w:color="auto"/>
            </w:tcBorders>
            <w:shd w:val="clear" w:color="000000" w:fill="CCFFFF"/>
            <w:noWrap/>
            <w:vAlign w:val="bottom"/>
            <w:hideMark/>
          </w:tcPr>
          <w:p w14:paraId="14AC0AA2" w14:textId="77777777" w:rsidR="00A72067" w:rsidRPr="00BF5E3C" w:rsidRDefault="00A72067" w:rsidP="00A72067">
            <w:pPr>
              <w:spacing w:after="0" w:line="240" w:lineRule="auto"/>
              <w:jc w:val="right"/>
              <w:rPr>
                <w:rFonts w:ascii="Tahoma" w:eastAsia="Times New Roman" w:hAnsi="Tahoma" w:cs="Tahoma"/>
                <w:sz w:val="16"/>
                <w:szCs w:val="16"/>
                <w:lang w:eastAsia="hr-HR"/>
              </w:rPr>
            </w:pPr>
            <w:r w:rsidRPr="00BF5E3C">
              <w:rPr>
                <w:rFonts w:ascii="Tahoma" w:eastAsia="Times New Roman" w:hAnsi="Tahoma" w:cs="Tahoma"/>
                <w:sz w:val="16"/>
                <w:szCs w:val="16"/>
                <w:lang w:eastAsia="hr-HR"/>
              </w:rPr>
              <w:t>0</w:t>
            </w:r>
          </w:p>
        </w:tc>
        <w:tc>
          <w:tcPr>
            <w:tcW w:w="388" w:type="dxa"/>
            <w:tcBorders>
              <w:top w:val="nil"/>
              <w:left w:val="nil"/>
              <w:bottom w:val="single" w:sz="4" w:space="0" w:color="auto"/>
              <w:right w:val="single" w:sz="4" w:space="0" w:color="auto"/>
            </w:tcBorders>
            <w:shd w:val="clear" w:color="000000" w:fill="CCFFFF"/>
            <w:noWrap/>
            <w:vAlign w:val="bottom"/>
            <w:hideMark/>
          </w:tcPr>
          <w:p w14:paraId="2720B488" w14:textId="77777777" w:rsidR="00A72067" w:rsidRPr="00BF5E3C" w:rsidRDefault="00A72067" w:rsidP="00A72067">
            <w:pPr>
              <w:spacing w:after="0" w:line="240" w:lineRule="auto"/>
              <w:jc w:val="right"/>
              <w:rPr>
                <w:rFonts w:ascii="Tahoma" w:eastAsia="Times New Roman" w:hAnsi="Tahoma" w:cs="Tahoma"/>
                <w:sz w:val="16"/>
                <w:szCs w:val="16"/>
                <w:lang w:eastAsia="hr-HR"/>
              </w:rPr>
            </w:pPr>
            <w:r w:rsidRPr="00BF5E3C">
              <w:rPr>
                <w:rFonts w:ascii="Tahoma" w:eastAsia="Times New Roman" w:hAnsi="Tahoma" w:cs="Tahoma"/>
                <w:sz w:val="16"/>
                <w:szCs w:val="16"/>
                <w:lang w:eastAsia="hr-HR"/>
              </w:rPr>
              <w:t>0</w:t>
            </w:r>
          </w:p>
        </w:tc>
        <w:tc>
          <w:tcPr>
            <w:tcW w:w="399" w:type="dxa"/>
            <w:tcBorders>
              <w:top w:val="nil"/>
              <w:left w:val="nil"/>
              <w:bottom w:val="single" w:sz="4" w:space="0" w:color="auto"/>
              <w:right w:val="single" w:sz="4" w:space="0" w:color="auto"/>
            </w:tcBorders>
            <w:shd w:val="clear" w:color="000000" w:fill="CCFFFF"/>
            <w:noWrap/>
            <w:vAlign w:val="bottom"/>
            <w:hideMark/>
          </w:tcPr>
          <w:p w14:paraId="2CBA8A6B" w14:textId="77777777" w:rsidR="00A72067" w:rsidRPr="00BF5E3C" w:rsidRDefault="00A72067" w:rsidP="00A72067">
            <w:pPr>
              <w:spacing w:after="0" w:line="240" w:lineRule="auto"/>
              <w:jc w:val="right"/>
              <w:rPr>
                <w:rFonts w:ascii="Tahoma" w:eastAsia="Times New Roman" w:hAnsi="Tahoma" w:cs="Tahoma"/>
                <w:sz w:val="16"/>
                <w:szCs w:val="16"/>
                <w:lang w:eastAsia="hr-HR"/>
              </w:rPr>
            </w:pPr>
            <w:r w:rsidRPr="00BF5E3C">
              <w:rPr>
                <w:rFonts w:ascii="Tahoma" w:eastAsia="Times New Roman" w:hAnsi="Tahoma" w:cs="Tahoma"/>
                <w:sz w:val="16"/>
                <w:szCs w:val="16"/>
                <w:lang w:eastAsia="hr-HR"/>
              </w:rPr>
              <w:t>0</w:t>
            </w:r>
          </w:p>
        </w:tc>
        <w:tc>
          <w:tcPr>
            <w:tcW w:w="489" w:type="dxa"/>
            <w:gridSpan w:val="2"/>
            <w:tcBorders>
              <w:top w:val="nil"/>
              <w:left w:val="nil"/>
              <w:bottom w:val="single" w:sz="4" w:space="0" w:color="auto"/>
              <w:right w:val="nil"/>
            </w:tcBorders>
            <w:shd w:val="clear" w:color="000000" w:fill="33CCCC"/>
            <w:noWrap/>
            <w:vAlign w:val="bottom"/>
            <w:hideMark/>
          </w:tcPr>
          <w:p w14:paraId="0B5CE984" w14:textId="77777777" w:rsidR="00A72067" w:rsidRPr="00BF5E3C" w:rsidRDefault="00A72067" w:rsidP="00A72067">
            <w:pPr>
              <w:spacing w:after="0" w:line="240" w:lineRule="auto"/>
              <w:jc w:val="right"/>
              <w:rPr>
                <w:rFonts w:ascii="Tahoma" w:eastAsia="Times New Roman" w:hAnsi="Tahoma" w:cs="Tahoma"/>
                <w:sz w:val="16"/>
                <w:szCs w:val="16"/>
                <w:lang w:eastAsia="hr-HR"/>
              </w:rPr>
            </w:pPr>
            <w:r w:rsidRPr="00BF5E3C">
              <w:rPr>
                <w:rFonts w:ascii="Tahoma" w:eastAsia="Times New Roman" w:hAnsi="Tahoma" w:cs="Tahoma"/>
                <w:sz w:val="16"/>
                <w:szCs w:val="16"/>
                <w:lang w:eastAsia="hr-HR"/>
              </w:rPr>
              <w:t>0</w:t>
            </w:r>
          </w:p>
        </w:tc>
        <w:tc>
          <w:tcPr>
            <w:tcW w:w="425" w:type="dxa"/>
            <w:tcBorders>
              <w:top w:val="nil"/>
              <w:left w:val="single" w:sz="4" w:space="0" w:color="auto"/>
              <w:bottom w:val="single" w:sz="4" w:space="0" w:color="auto"/>
              <w:right w:val="single" w:sz="8" w:space="0" w:color="auto"/>
            </w:tcBorders>
            <w:shd w:val="clear" w:color="000000" w:fill="33CCCC"/>
            <w:noWrap/>
            <w:vAlign w:val="bottom"/>
            <w:hideMark/>
          </w:tcPr>
          <w:p w14:paraId="06771ABD" w14:textId="77777777" w:rsidR="00A72067" w:rsidRPr="00BF5E3C" w:rsidRDefault="00A72067" w:rsidP="00A72067">
            <w:pPr>
              <w:spacing w:after="0" w:line="240" w:lineRule="auto"/>
              <w:jc w:val="right"/>
              <w:rPr>
                <w:rFonts w:ascii="Tahoma" w:eastAsia="Times New Roman" w:hAnsi="Tahoma" w:cs="Tahoma"/>
                <w:sz w:val="16"/>
                <w:szCs w:val="16"/>
                <w:lang w:eastAsia="hr-HR"/>
              </w:rPr>
            </w:pPr>
            <w:r w:rsidRPr="00BF5E3C">
              <w:rPr>
                <w:rFonts w:ascii="Tahoma" w:eastAsia="Times New Roman" w:hAnsi="Tahoma" w:cs="Tahoma"/>
                <w:sz w:val="16"/>
                <w:szCs w:val="16"/>
                <w:lang w:eastAsia="hr-HR"/>
              </w:rPr>
              <w:t>1</w:t>
            </w:r>
          </w:p>
        </w:tc>
        <w:tc>
          <w:tcPr>
            <w:tcW w:w="236" w:type="dxa"/>
            <w:vAlign w:val="center"/>
            <w:hideMark/>
          </w:tcPr>
          <w:p w14:paraId="22497777" w14:textId="77777777" w:rsidR="00A72067" w:rsidRPr="00BF5E3C" w:rsidRDefault="00A72067" w:rsidP="00A72067">
            <w:pPr>
              <w:spacing w:after="0" w:line="240" w:lineRule="auto"/>
              <w:rPr>
                <w:rFonts w:ascii="Times New Roman" w:eastAsia="Times New Roman" w:hAnsi="Times New Roman" w:cs="Times New Roman"/>
                <w:sz w:val="16"/>
                <w:szCs w:val="16"/>
                <w:lang w:eastAsia="hr-HR"/>
              </w:rPr>
            </w:pPr>
          </w:p>
        </w:tc>
      </w:tr>
      <w:tr w:rsidR="00F90F6F" w:rsidRPr="00BF5E3C" w14:paraId="01E98C7E" w14:textId="77777777" w:rsidTr="00F90F6F">
        <w:trPr>
          <w:gridAfter w:val="1"/>
          <w:wAfter w:w="32" w:type="dxa"/>
          <w:trHeight w:val="402"/>
        </w:trPr>
        <w:tc>
          <w:tcPr>
            <w:tcW w:w="979" w:type="dxa"/>
            <w:tcBorders>
              <w:top w:val="nil"/>
              <w:left w:val="single" w:sz="8" w:space="0" w:color="auto"/>
              <w:bottom w:val="single" w:sz="4" w:space="0" w:color="auto"/>
              <w:right w:val="single" w:sz="4" w:space="0" w:color="auto"/>
            </w:tcBorders>
            <w:shd w:val="clear" w:color="000000" w:fill="CCFFCC"/>
            <w:vAlign w:val="center"/>
            <w:hideMark/>
          </w:tcPr>
          <w:p w14:paraId="6FD8FE56" w14:textId="77777777" w:rsidR="00A72067" w:rsidRPr="00BF5E3C" w:rsidRDefault="00A72067" w:rsidP="00A72067">
            <w:pPr>
              <w:spacing w:after="0" w:line="240" w:lineRule="auto"/>
              <w:rPr>
                <w:rFonts w:ascii="Tahoma" w:eastAsia="Times New Roman" w:hAnsi="Tahoma" w:cs="Tahoma"/>
                <w:sz w:val="16"/>
                <w:szCs w:val="16"/>
                <w:lang w:eastAsia="hr-HR"/>
              </w:rPr>
            </w:pPr>
            <w:r w:rsidRPr="00BF5E3C">
              <w:rPr>
                <w:rFonts w:ascii="Tahoma" w:eastAsia="Times New Roman" w:hAnsi="Tahoma" w:cs="Tahoma"/>
                <w:sz w:val="16"/>
                <w:szCs w:val="16"/>
                <w:lang w:eastAsia="hr-HR"/>
              </w:rPr>
              <w:t>Političko ili drugo uvjerenje</w:t>
            </w:r>
          </w:p>
        </w:tc>
        <w:tc>
          <w:tcPr>
            <w:tcW w:w="520" w:type="dxa"/>
            <w:tcBorders>
              <w:top w:val="nil"/>
              <w:left w:val="nil"/>
              <w:bottom w:val="single" w:sz="4" w:space="0" w:color="auto"/>
              <w:right w:val="single" w:sz="4" w:space="0" w:color="auto"/>
            </w:tcBorders>
            <w:shd w:val="clear" w:color="000000" w:fill="FFCC99"/>
            <w:noWrap/>
            <w:vAlign w:val="bottom"/>
            <w:hideMark/>
          </w:tcPr>
          <w:p w14:paraId="72A21A75" w14:textId="77777777" w:rsidR="00A72067" w:rsidRPr="00BF5E3C" w:rsidRDefault="00A72067" w:rsidP="00A72067">
            <w:pPr>
              <w:spacing w:after="0" w:line="240" w:lineRule="auto"/>
              <w:jc w:val="center"/>
              <w:rPr>
                <w:rFonts w:ascii="Tahoma" w:eastAsia="Times New Roman" w:hAnsi="Tahoma" w:cs="Tahoma"/>
                <w:sz w:val="16"/>
                <w:szCs w:val="16"/>
                <w:lang w:eastAsia="hr-HR"/>
              </w:rPr>
            </w:pPr>
            <w:r w:rsidRPr="00BF5E3C">
              <w:rPr>
                <w:rFonts w:ascii="Tahoma" w:eastAsia="Times New Roman" w:hAnsi="Tahoma" w:cs="Tahoma"/>
                <w:sz w:val="16"/>
                <w:szCs w:val="16"/>
                <w:lang w:eastAsia="hr-HR"/>
              </w:rPr>
              <w:t>9</w:t>
            </w:r>
          </w:p>
        </w:tc>
        <w:tc>
          <w:tcPr>
            <w:tcW w:w="420" w:type="dxa"/>
            <w:tcBorders>
              <w:top w:val="nil"/>
              <w:left w:val="nil"/>
              <w:bottom w:val="single" w:sz="4" w:space="0" w:color="auto"/>
              <w:right w:val="single" w:sz="4" w:space="0" w:color="auto"/>
            </w:tcBorders>
            <w:shd w:val="clear" w:color="000000" w:fill="FFFF00"/>
            <w:noWrap/>
            <w:vAlign w:val="bottom"/>
            <w:hideMark/>
          </w:tcPr>
          <w:p w14:paraId="4FDDE606" w14:textId="77777777" w:rsidR="00A72067" w:rsidRPr="00BF5E3C" w:rsidRDefault="00A72067" w:rsidP="00A72067">
            <w:pPr>
              <w:spacing w:after="0" w:line="240" w:lineRule="auto"/>
              <w:jc w:val="center"/>
              <w:rPr>
                <w:rFonts w:ascii="Tahoma" w:eastAsia="Times New Roman" w:hAnsi="Tahoma" w:cs="Tahoma"/>
                <w:sz w:val="16"/>
                <w:szCs w:val="16"/>
                <w:lang w:eastAsia="hr-HR"/>
              </w:rPr>
            </w:pPr>
            <w:r w:rsidRPr="00BF5E3C">
              <w:rPr>
                <w:rFonts w:ascii="Tahoma" w:eastAsia="Times New Roman" w:hAnsi="Tahoma" w:cs="Tahoma"/>
                <w:sz w:val="16"/>
                <w:szCs w:val="16"/>
                <w:lang w:eastAsia="hr-HR"/>
              </w:rPr>
              <w:t>3</w:t>
            </w:r>
          </w:p>
        </w:tc>
        <w:tc>
          <w:tcPr>
            <w:tcW w:w="665" w:type="dxa"/>
            <w:tcBorders>
              <w:top w:val="nil"/>
              <w:left w:val="nil"/>
              <w:bottom w:val="single" w:sz="4" w:space="0" w:color="auto"/>
              <w:right w:val="single" w:sz="4" w:space="0" w:color="auto"/>
            </w:tcBorders>
            <w:shd w:val="clear" w:color="000000" w:fill="CCFFFF"/>
            <w:noWrap/>
            <w:vAlign w:val="bottom"/>
            <w:hideMark/>
          </w:tcPr>
          <w:p w14:paraId="0ECE6733" w14:textId="77777777" w:rsidR="00A72067" w:rsidRPr="00BF5E3C" w:rsidRDefault="00A72067" w:rsidP="00A72067">
            <w:pPr>
              <w:spacing w:after="0" w:line="240" w:lineRule="auto"/>
              <w:jc w:val="right"/>
              <w:rPr>
                <w:rFonts w:ascii="Tahoma" w:eastAsia="Times New Roman" w:hAnsi="Tahoma" w:cs="Tahoma"/>
                <w:sz w:val="16"/>
                <w:szCs w:val="16"/>
                <w:lang w:eastAsia="hr-HR"/>
              </w:rPr>
            </w:pPr>
            <w:r w:rsidRPr="00BF5E3C">
              <w:rPr>
                <w:rFonts w:ascii="Tahoma" w:eastAsia="Times New Roman" w:hAnsi="Tahoma" w:cs="Tahoma"/>
                <w:sz w:val="16"/>
                <w:szCs w:val="16"/>
                <w:lang w:eastAsia="hr-HR"/>
              </w:rPr>
              <w:t>1</w:t>
            </w:r>
          </w:p>
        </w:tc>
        <w:tc>
          <w:tcPr>
            <w:tcW w:w="571" w:type="dxa"/>
            <w:tcBorders>
              <w:top w:val="nil"/>
              <w:left w:val="nil"/>
              <w:bottom w:val="single" w:sz="4" w:space="0" w:color="auto"/>
              <w:right w:val="single" w:sz="4" w:space="0" w:color="auto"/>
            </w:tcBorders>
            <w:shd w:val="clear" w:color="000000" w:fill="CCFFFF"/>
            <w:noWrap/>
            <w:vAlign w:val="bottom"/>
            <w:hideMark/>
          </w:tcPr>
          <w:p w14:paraId="1F59BC09" w14:textId="77777777" w:rsidR="00A72067" w:rsidRPr="00BF5E3C" w:rsidRDefault="00A72067" w:rsidP="00A72067">
            <w:pPr>
              <w:spacing w:after="0" w:line="240" w:lineRule="auto"/>
              <w:jc w:val="right"/>
              <w:rPr>
                <w:rFonts w:ascii="Tahoma" w:eastAsia="Times New Roman" w:hAnsi="Tahoma" w:cs="Tahoma"/>
                <w:sz w:val="16"/>
                <w:szCs w:val="16"/>
                <w:lang w:eastAsia="hr-HR"/>
              </w:rPr>
            </w:pPr>
            <w:r w:rsidRPr="00BF5E3C">
              <w:rPr>
                <w:rFonts w:ascii="Tahoma" w:eastAsia="Times New Roman" w:hAnsi="Tahoma" w:cs="Tahoma"/>
                <w:sz w:val="16"/>
                <w:szCs w:val="16"/>
                <w:lang w:eastAsia="hr-HR"/>
              </w:rPr>
              <w:t>2</w:t>
            </w:r>
          </w:p>
        </w:tc>
        <w:tc>
          <w:tcPr>
            <w:tcW w:w="700" w:type="dxa"/>
            <w:tcBorders>
              <w:top w:val="nil"/>
              <w:left w:val="nil"/>
              <w:bottom w:val="single" w:sz="4" w:space="0" w:color="auto"/>
              <w:right w:val="single" w:sz="4" w:space="0" w:color="auto"/>
            </w:tcBorders>
            <w:shd w:val="clear" w:color="000000" w:fill="FFFF99"/>
            <w:noWrap/>
            <w:vAlign w:val="bottom"/>
            <w:hideMark/>
          </w:tcPr>
          <w:p w14:paraId="508F7B10" w14:textId="77777777" w:rsidR="00A72067" w:rsidRPr="00BF5E3C" w:rsidRDefault="00A72067" w:rsidP="00A72067">
            <w:pPr>
              <w:spacing w:after="0" w:line="240" w:lineRule="auto"/>
              <w:jc w:val="center"/>
              <w:rPr>
                <w:rFonts w:ascii="Tahoma" w:eastAsia="Times New Roman" w:hAnsi="Tahoma" w:cs="Tahoma"/>
                <w:sz w:val="16"/>
                <w:szCs w:val="16"/>
                <w:lang w:eastAsia="hr-HR"/>
              </w:rPr>
            </w:pPr>
            <w:r w:rsidRPr="00BF5E3C">
              <w:rPr>
                <w:rFonts w:ascii="Tahoma" w:eastAsia="Times New Roman" w:hAnsi="Tahoma" w:cs="Tahoma"/>
                <w:sz w:val="16"/>
                <w:szCs w:val="16"/>
                <w:lang w:eastAsia="hr-HR"/>
              </w:rPr>
              <w:t>3</w:t>
            </w:r>
          </w:p>
        </w:tc>
        <w:tc>
          <w:tcPr>
            <w:tcW w:w="698" w:type="dxa"/>
            <w:tcBorders>
              <w:top w:val="nil"/>
              <w:left w:val="nil"/>
              <w:bottom w:val="single" w:sz="4" w:space="0" w:color="auto"/>
              <w:right w:val="single" w:sz="4" w:space="0" w:color="auto"/>
            </w:tcBorders>
            <w:shd w:val="clear" w:color="000000" w:fill="FFFF99"/>
            <w:noWrap/>
            <w:vAlign w:val="bottom"/>
            <w:hideMark/>
          </w:tcPr>
          <w:p w14:paraId="2B70EDD4" w14:textId="77777777" w:rsidR="00A72067" w:rsidRPr="00BF5E3C" w:rsidRDefault="00A72067" w:rsidP="00A72067">
            <w:pPr>
              <w:spacing w:after="0" w:line="240" w:lineRule="auto"/>
              <w:jc w:val="center"/>
              <w:rPr>
                <w:rFonts w:ascii="Tahoma" w:eastAsia="Times New Roman" w:hAnsi="Tahoma" w:cs="Tahoma"/>
                <w:sz w:val="16"/>
                <w:szCs w:val="16"/>
                <w:lang w:eastAsia="hr-HR"/>
              </w:rPr>
            </w:pPr>
            <w:r w:rsidRPr="00BF5E3C">
              <w:rPr>
                <w:rFonts w:ascii="Tahoma" w:eastAsia="Times New Roman" w:hAnsi="Tahoma" w:cs="Tahoma"/>
                <w:sz w:val="16"/>
                <w:szCs w:val="16"/>
                <w:lang w:eastAsia="hr-HR"/>
              </w:rPr>
              <w:t>0</w:t>
            </w:r>
          </w:p>
        </w:tc>
        <w:tc>
          <w:tcPr>
            <w:tcW w:w="698" w:type="dxa"/>
            <w:tcBorders>
              <w:top w:val="nil"/>
              <w:left w:val="nil"/>
              <w:bottom w:val="single" w:sz="4" w:space="0" w:color="auto"/>
              <w:right w:val="single" w:sz="4" w:space="0" w:color="auto"/>
            </w:tcBorders>
            <w:shd w:val="clear" w:color="000000" w:fill="FFFF99"/>
            <w:noWrap/>
            <w:vAlign w:val="bottom"/>
            <w:hideMark/>
          </w:tcPr>
          <w:p w14:paraId="2660AFC4" w14:textId="77777777" w:rsidR="00A72067" w:rsidRPr="00BF5E3C" w:rsidRDefault="00A72067" w:rsidP="00A72067">
            <w:pPr>
              <w:spacing w:after="0" w:line="240" w:lineRule="auto"/>
              <w:jc w:val="center"/>
              <w:rPr>
                <w:rFonts w:ascii="Tahoma" w:eastAsia="Times New Roman" w:hAnsi="Tahoma" w:cs="Tahoma"/>
                <w:sz w:val="16"/>
                <w:szCs w:val="16"/>
                <w:lang w:eastAsia="hr-HR"/>
              </w:rPr>
            </w:pPr>
            <w:r w:rsidRPr="00BF5E3C">
              <w:rPr>
                <w:rFonts w:ascii="Tahoma" w:eastAsia="Times New Roman" w:hAnsi="Tahoma" w:cs="Tahoma"/>
                <w:sz w:val="16"/>
                <w:szCs w:val="16"/>
                <w:lang w:eastAsia="hr-HR"/>
              </w:rPr>
              <w:t>0</w:t>
            </w:r>
          </w:p>
        </w:tc>
        <w:tc>
          <w:tcPr>
            <w:tcW w:w="698" w:type="dxa"/>
            <w:tcBorders>
              <w:top w:val="nil"/>
              <w:left w:val="nil"/>
              <w:bottom w:val="single" w:sz="4" w:space="0" w:color="auto"/>
              <w:right w:val="single" w:sz="4" w:space="0" w:color="auto"/>
            </w:tcBorders>
            <w:shd w:val="clear" w:color="000000" w:fill="FFFF99"/>
            <w:noWrap/>
            <w:vAlign w:val="bottom"/>
            <w:hideMark/>
          </w:tcPr>
          <w:p w14:paraId="6643AC32" w14:textId="77777777" w:rsidR="00A72067" w:rsidRPr="00BF5E3C" w:rsidRDefault="00A72067" w:rsidP="00A72067">
            <w:pPr>
              <w:spacing w:after="0" w:line="240" w:lineRule="auto"/>
              <w:jc w:val="center"/>
              <w:rPr>
                <w:rFonts w:ascii="Tahoma" w:eastAsia="Times New Roman" w:hAnsi="Tahoma" w:cs="Tahoma"/>
                <w:sz w:val="16"/>
                <w:szCs w:val="16"/>
                <w:lang w:eastAsia="hr-HR"/>
              </w:rPr>
            </w:pPr>
            <w:r w:rsidRPr="00BF5E3C">
              <w:rPr>
                <w:rFonts w:ascii="Tahoma" w:eastAsia="Times New Roman" w:hAnsi="Tahoma" w:cs="Tahoma"/>
                <w:sz w:val="16"/>
                <w:szCs w:val="16"/>
                <w:lang w:eastAsia="hr-HR"/>
              </w:rPr>
              <w:t>0</w:t>
            </w:r>
          </w:p>
        </w:tc>
        <w:tc>
          <w:tcPr>
            <w:tcW w:w="527" w:type="dxa"/>
            <w:tcBorders>
              <w:top w:val="nil"/>
              <w:left w:val="nil"/>
              <w:bottom w:val="single" w:sz="4" w:space="0" w:color="auto"/>
              <w:right w:val="single" w:sz="4" w:space="0" w:color="auto"/>
            </w:tcBorders>
            <w:shd w:val="clear" w:color="000000" w:fill="FFFF99"/>
            <w:noWrap/>
            <w:vAlign w:val="bottom"/>
            <w:hideMark/>
          </w:tcPr>
          <w:p w14:paraId="4D31EAA2" w14:textId="77777777" w:rsidR="00A72067" w:rsidRPr="00BF5E3C" w:rsidRDefault="00A72067" w:rsidP="00A72067">
            <w:pPr>
              <w:spacing w:after="0" w:line="240" w:lineRule="auto"/>
              <w:jc w:val="center"/>
              <w:rPr>
                <w:rFonts w:ascii="Tahoma" w:eastAsia="Times New Roman" w:hAnsi="Tahoma" w:cs="Tahoma"/>
                <w:sz w:val="16"/>
                <w:szCs w:val="16"/>
                <w:lang w:eastAsia="hr-HR"/>
              </w:rPr>
            </w:pPr>
            <w:r w:rsidRPr="00BF5E3C">
              <w:rPr>
                <w:rFonts w:ascii="Tahoma" w:eastAsia="Times New Roman" w:hAnsi="Tahoma" w:cs="Tahoma"/>
                <w:sz w:val="16"/>
                <w:szCs w:val="16"/>
                <w:lang w:eastAsia="hr-HR"/>
              </w:rPr>
              <w:t>0</w:t>
            </w:r>
          </w:p>
        </w:tc>
        <w:tc>
          <w:tcPr>
            <w:tcW w:w="702" w:type="dxa"/>
            <w:tcBorders>
              <w:top w:val="nil"/>
              <w:left w:val="nil"/>
              <w:bottom w:val="single" w:sz="4" w:space="0" w:color="auto"/>
              <w:right w:val="single" w:sz="4" w:space="0" w:color="auto"/>
            </w:tcBorders>
            <w:shd w:val="clear" w:color="000000" w:fill="FFFF99"/>
            <w:noWrap/>
            <w:vAlign w:val="bottom"/>
            <w:hideMark/>
          </w:tcPr>
          <w:p w14:paraId="0F0314FB" w14:textId="77777777" w:rsidR="00A72067" w:rsidRPr="00BF5E3C" w:rsidRDefault="00A72067" w:rsidP="00A72067">
            <w:pPr>
              <w:spacing w:after="0" w:line="240" w:lineRule="auto"/>
              <w:jc w:val="center"/>
              <w:rPr>
                <w:rFonts w:ascii="Tahoma" w:eastAsia="Times New Roman" w:hAnsi="Tahoma" w:cs="Tahoma"/>
                <w:sz w:val="16"/>
                <w:szCs w:val="16"/>
                <w:lang w:eastAsia="hr-HR"/>
              </w:rPr>
            </w:pPr>
            <w:r w:rsidRPr="00BF5E3C">
              <w:rPr>
                <w:rFonts w:ascii="Tahoma" w:eastAsia="Times New Roman" w:hAnsi="Tahoma" w:cs="Tahoma"/>
                <w:sz w:val="16"/>
                <w:szCs w:val="16"/>
                <w:lang w:eastAsia="hr-HR"/>
              </w:rPr>
              <w:t>0</w:t>
            </w:r>
          </w:p>
        </w:tc>
        <w:tc>
          <w:tcPr>
            <w:tcW w:w="698" w:type="dxa"/>
            <w:tcBorders>
              <w:top w:val="nil"/>
              <w:left w:val="nil"/>
              <w:bottom w:val="single" w:sz="4" w:space="0" w:color="auto"/>
              <w:right w:val="single" w:sz="4" w:space="0" w:color="auto"/>
            </w:tcBorders>
            <w:shd w:val="clear" w:color="000000" w:fill="FF9900"/>
            <w:noWrap/>
            <w:vAlign w:val="bottom"/>
            <w:hideMark/>
          </w:tcPr>
          <w:p w14:paraId="0448A9A5" w14:textId="77777777" w:rsidR="00A72067" w:rsidRPr="00BF5E3C" w:rsidRDefault="00A72067" w:rsidP="00A72067">
            <w:pPr>
              <w:spacing w:after="0" w:line="240" w:lineRule="auto"/>
              <w:jc w:val="right"/>
              <w:rPr>
                <w:rFonts w:ascii="Tahoma" w:eastAsia="Times New Roman" w:hAnsi="Tahoma" w:cs="Tahoma"/>
                <w:sz w:val="16"/>
                <w:szCs w:val="16"/>
                <w:lang w:eastAsia="hr-HR"/>
              </w:rPr>
            </w:pPr>
            <w:r w:rsidRPr="00BF5E3C">
              <w:rPr>
                <w:rFonts w:ascii="Tahoma" w:eastAsia="Times New Roman" w:hAnsi="Tahoma" w:cs="Tahoma"/>
                <w:sz w:val="16"/>
                <w:szCs w:val="16"/>
                <w:lang w:eastAsia="hr-HR"/>
              </w:rPr>
              <w:t>0</w:t>
            </w:r>
          </w:p>
        </w:tc>
        <w:tc>
          <w:tcPr>
            <w:tcW w:w="439" w:type="dxa"/>
            <w:tcBorders>
              <w:top w:val="nil"/>
              <w:left w:val="nil"/>
              <w:bottom w:val="single" w:sz="4" w:space="0" w:color="auto"/>
              <w:right w:val="single" w:sz="4" w:space="0" w:color="auto"/>
            </w:tcBorders>
            <w:shd w:val="clear" w:color="000000" w:fill="FF9900"/>
            <w:noWrap/>
            <w:vAlign w:val="bottom"/>
            <w:hideMark/>
          </w:tcPr>
          <w:p w14:paraId="72A0C4DA" w14:textId="77777777" w:rsidR="00A72067" w:rsidRPr="00BF5E3C" w:rsidRDefault="00A72067" w:rsidP="00A72067">
            <w:pPr>
              <w:spacing w:after="0" w:line="240" w:lineRule="auto"/>
              <w:jc w:val="right"/>
              <w:rPr>
                <w:rFonts w:ascii="Tahoma" w:eastAsia="Times New Roman" w:hAnsi="Tahoma" w:cs="Tahoma"/>
                <w:sz w:val="16"/>
                <w:szCs w:val="16"/>
                <w:lang w:eastAsia="hr-HR"/>
              </w:rPr>
            </w:pPr>
            <w:r w:rsidRPr="00BF5E3C">
              <w:rPr>
                <w:rFonts w:ascii="Tahoma" w:eastAsia="Times New Roman" w:hAnsi="Tahoma" w:cs="Tahoma"/>
                <w:sz w:val="16"/>
                <w:szCs w:val="16"/>
                <w:lang w:eastAsia="hr-HR"/>
              </w:rPr>
              <w:t>0</w:t>
            </w:r>
          </w:p>
        </w:tc>
        <w:tc>
          <w:tcPr>
            <w:tcW w:w="439" w:type="dxa"/>
            <w:tcBorders>
              <w:top w:val="nil"/>
              <w:left w:val="nil"/>
              <w:bottom w:val="single" w:sz="4" w:space="0" w:color="auto"/>
              <w:right w:val="single" w:sz="4" w:space="0" w:color="auto"/>
            </w:tcBorders>
            <w:shd w:val="clear" w:color="000000" w:fill="FF9900"/>
            <w:noWrap/>
            <w:vAlign w:val="bottom"/>
            <w:hideMark/>
          </w:tcPr>
          <w:p w14:paraId="1CACDBF4" w14:textId="77777777" w:rsidR="00A72067" w:rsidRPr="00BF5E3C" w:rsidRDefault="00A72067" w:rsidP="00A72067">
            <w:pPr>
              <w:spacing w:after="0" w:line="240" w:lineRule="auto"/>
              <w:jc w:val="right"/>
              <w:rPr>
                <w:rFonts w:ascii="Tahoma" w:eastAsia="Times New Roman" w:hAnsi="Tahoma" w:cs="Tahoma"/>
                <w:sz w:val="16"/>
                <w:szCs w:val="16"/>
                <w:lang w:eastAsia="hr-HR"/>
              </w:rPr>
            </w:pPr>
            <w:r w:rsidRPr="00BF5E3C">
              <w:rPr>
                <w:rFonts w:ascii="Tahoma" w:eastAsia="Times New Roman" w:hAnsi="Tahoma" w:cs="Tahoma"/>
                <w:sz w:val="16"/>
                <w:szCs w:val="16"/>
                <w:lang w:eastAsia="hr-HR"/>
              </w:rPr>
              <w:t>3</w:t>
            </w:r>
          </w:p>
        </w:tc>
        <w:tc>
          <w:tcPr>
            <w:tcW w:w="665" w:type="dxa"/>
            <w:tcBorders>
              <w:top w:val="nil"/>
              <w:left w:val="nil"/>
              <w:bottom w:val="single" w:sz="4" w:space="0" w:color="auto"/>
              <w:right w:val="single" w:sz="4" w:space="0" w:color="auto"/>
            </w:tcBorders>
            <w:shd w:val="clear" w:color="000000" w:fill="FFFF00"/>
            <w:vAlign w:val="center"/>
            <w:hideMark/>
          </w:tcPr>
          <w:p w14:paraId="2E7EE3C0" w14:textId="77777777" w:rsidR="00A72067" w:rsidRPr="00BF5E3C" w:rsidRDefault="00A72067" w:rsidP="00A72067">
            <w:pPr>
              <w:spacing w:after="0" w:line="240" w:lineRule="auto"/>
              <w:jc w:val="center"/>
              <w:rPr>
                <w:rFonts w:ascii="Tahoma" w:eastAsia="Times New Roman" w:hAnsi="Tahoma" w:cs="Tahoma"/>
                <w:sz w:val="16"/>
                <w:szCs w:val="16"/>
                <w:lang w:eastAsia="hr-HR"/>
              </w:rPr>
            </w:pPr>
            <w:r w:rsidRPr="00BF5E3C">
              <w:rPr>
                <w:rFonts w:ascii="Tahoma" w:eastAsia="Times New Roman" w:hAnsi="Tahoma" w:cs="Tahoma"/>
                <w:sz w:val="16"/>
                <w:szCs w:val="16"/>
                <w:lang w:eastAsia="hr-HR"/>
              </w:rPr>
              <w:t>3</w:t>
            </w:r>
          </w:p>
        </w:tc>
        <w:tc>
          <w:tcPr>
            <w:tcW w:w="698" w:type="dxa"/>
            <w:tcBorders>
              <w:top w:val="nil"/>
              <w:left w:val="nil"/>
              <w:bottom w:val="single" w:sz="4" w:space="0" w:color="auto"/>
              <w:right w:val="single" w:sz="4" w:space="0" w:color="auto"/>
            </w:tcBorders>
            <w:shd w:val="clear" w:color="000000" w:fill="FF9900"/>
            <w:vAlign w:val="center"/>
            <w:hideMark/>
          </w:tcPr>
          <w:p w14:paraId="54F41ADC" w14:textId="77777777" w:rsidR="00A72067" w:rsidRPr="00BF5E3C" w:rsidRDefault="00A72067" w:rsidP="00A72067">
            <w:pPr>
              <w:spacing w:after="0" w:line="240" w:lineRule="auto"/>
              <w:jc w:val="center"/>
              <w:rPr>
                <w:rFonts w:ascii="Tahoma" w:eastAsia="Times New Roman" w:hAnsi="Tahoma" w:cs="Tahoma"/>
                <w:sz w:val="16"/>
                <w:szCs w:val="16"/>
                <w:lang w:eastAsia="hr-HR"/>
              </w:rPr>
            </w:pPr>
            <w:r w:rsidRPr="00BF5E3C">
              <w:rPr>
                <w:rFonts w:ascii="Tahoma" w:eastAsia="Times New Roman" w:hAnsi="Tahoma" w:cs="Tahoma"/>
                <w:sz w:val="16"/>
                <w:szCs w:val="16"/>
                <w:lang w:eastAsia="hr-HR"/>
              </w:rPr>
              <w:t>9</w:t>
            </w:r>
          </w:p>
        </w:tc>
        <w:tc>
          <w:tcPr>
            <w:tcW w:w="707" w:type="dxa"/>
            <w:tcBorders>
              <w:top w:val="nil"/>
              <w:left w:val="nil"/>
              <w:bottom w:val="single" w:sz="4" w:space="0" w:color="auto"/>
              <w:right w:val="single" w:sz="4" w:space="0" w:color="auto"/>
            </w:tcBorders>
            <w:shd w:val="clear" w:color="000000" w:fill="FF9900"/>
            <w:noWrap/>
            <w:vAlign w:val="center"/>
            <w:hideMark/>
          </w:tcPr>
          <w:p w14:paraId="33B74928" w14:textId="77777777" w:rsidR="00A72067" w:rsidRPr="00BF5E3C" w:rsidRDefault="00A72067" w:rsidP="00A72067">
            <w:pPr>
              <w:spacing w:after="0" w:line="240" w:lineRule="auto"/>
              <w:jc w:val="center"/>
              <w:rPr>
                <w:rFonts w:ascii="Tahoma" w:eastAsia="Times New Roman" w:hAnsi="Tahoma" w:cs="Tahoma"/>
                <w:sz w:val="16"/>
                <w:szCs w:val="16"/>
                <w:lang w:eastAsia="hr-HR"/>
              </w:rPr>
            </w:pPr>
            <w:r w:rsidRPr="00BF5E3C">
              <w:rPr>
                <w:rFonts w:ascii="Tahoma" w:eastAsia="Times New Roman" w:hAnsi="Tahoma" w:cs="Tahoma"/>
                <w:sz w:val="16"/>
                <w:szCs w:val="16"/>
                <w:lang w:eastAsia="hr-HR"/>
              </w:rPr>
              <w:t>2</w:t>
            </w:r>
          </w:p>
        </w:tc>
        <w:tc>
          <w:tcPr>
            <w:tcW w:w="707" w:type="dxa"/>
            <w:tcBorders>
              <w:top w:val="nil"/>
              <w:left w:val="nil"/>
              <w:bottom w:val="single" w:sz="4" w:space="0" w:color="auto"/>
              <w:right w:val="single" w:sz="4" w:space="0" w:color="auto"/>
            </w:tcBorders>
            <w:shd w:val="clear" w:color="000000" w:fill="FF9900"/>
            <w:noWrap/>
            <w:vAlign w:val="center"/>
            <w:hideMark/>
          </w:tcPr>
          <w:p w14:paraId="197E5834" w14:textId="77777777" w:rsidR="00A72067" w:rsidRPr="00BF5E3C" w:rsidRDefault="00A72067" w:rsidP="00A72067">
            <w:pPr>
              <w:spacing w:after="0" w:line="240" w:lineRule="auto"/>
              <w:jc w:val="center"/>
              <w:rPr>
                <w:rFonts w:ascii="Tahoma" w:eastAsia="Times New Roman" w:hAnsi="Tahoma" w:cs="Tahoma"/>
                <w:sz w:val="16"/>
                <w:szCs w:val="16"/>
                <w:lang w:eastAsia="hr-HR"/>
              </w:rPr>
            </w:pPr>
            <w:r w:rsidRPr="00BF5E3C">
              <w:rPr>
                <w:rFonts w:ascii="Tahoma" w:eastAsia="Times New Roman" w:hAnsi="Tahoma" w:cs="Tahoma"/>
                <w:sz w:val="16"/>
                <w:szCs w:val="16"/>
                <w:lang w:eastAsia="hr-HR"/>
              </w:rPr>
              <w:t>0</w:t>
            </w:r>
          </w:p>
        </w:tc>
        <w:tc>
          <w:tcPr>
            <w:tcW w:w="698" w:type="dxa"/>
            <w:tcBorders>
              <w:top w:val="nil"/>
              <w:left w:val="nil"/>
              <w:bottom w:val="single" w:sz="4" w:space="0" w:color="auto"/>
              <w:right w:val="single" w:sz="4" w:space="0" w:color="auto"/>
            </w:tcBorders>
            <w:shd w:val="clear" w:color="000000" w:fill="FF9900"/>
            <w:noWrap/>
            <w:vAlign w:val="center"/>
            <w:hideMark/>
          </w:tcPr>
          <w:p w14:paraId="1F0A801C" w14:textId="77777777" w:rsidR="00A72067" w:rsidRPr="00BF5E3C" w:rsidRDefault="00A72067" w:rsidP="00A72067">
            <w:pPr>
              <w:spacing w:after="0" w:line="240" w:lineRule="auto"/>
              <w:jc w:val="center"/>
              <w:rPr>
                <w:rFonts w:ascii="Tahoma" w:eastAsia="Times New Roman" w:hAnsi="Tahoma" w:cs="Tahoma"/>
                <w:sz w:val="16"/>
                <w:szCs w:val="16"/>
                <w:lang w:eastAsia="hr-HR"/>
              </w:rPr>
            </w:pPr>
            <w:r w:rsidRPr="00BF5E3C">
              <w:rPr>
                <w:rFonts w:ascii="Tahoma" w:eastAsia="Times New Roman" w:hAnsi="Tahoma" w:cs="Tahoma"/>
                <w:sz w:val="16"/>
                <w:szCs w:val="16"/>
                <w:lang w:eastAsia="hr-HR"/>
              </w:rPr>
              <w:t>0</w:t>
            </w:r>
          </w:p>
        </w:tc>
        <w:tc>
          <w:tcPr>
            <w:tcW w:w="377" w:type="dxa"/>
            <w:tcBorders>
              <w:top w:val="nil"/>
              <w:left w:val="nil"/>
              <w:bottom w:val="single" w:sz="4" w:space="0" w:color="auto"/>
              <w:right w:val="single" w:sz="4" w:space="0" w:color="auto"/>
            </w:tcBorders>
            <w:shd w:val="clear" w:color="000000" w:fill="CCFFFF"/>
            <w:noWrap/>
            <w:vAlign w:val="bottom"/>
            <w:hideMark/>
          </w:tcPr>
          <w:p w14:paraId="70E17501" w14:textId="77777777" w:rsidR="00A72067" w:rsidRPr="00BF5E3C" w:rsidRDefault="00A72067" w:rsidP="00A72067">
            <w:pPr>
              <w:spacing w:after="0" w:line="240" w:lineRule="auto"/>
              <w:jc w:val="right"/>
              <w:rPr>
                <w:rFonts w:ascii="Tahoma" w:eastAsia="Times New Roman" w:hAnsi="Tahoma" w:cs="Tahoma"/>
                <w:sz w:val="16"/>
                <w:szCs w:val="16"/>
                <w:lang w:eastAsia="hr-HR"/>
              </w:rPr>
            </w:pPr>
            <w:r w:rsidRPr="00BF5E3C">
              <w:rPr>
                <w:rFonts w:ascii="Tahoma" w:eastAsia="Times New Roman" w:hAnsi="Tahoma" w:cs="Tahoma"/>
                <w:sz w:val="16"/>
                <w:szCs w:val="16"/>
                <w:lang w:eastAsia="hr-HR"/>
              </w:rPr>
              <w:t>0</w:t>
            </w:r>
          </w:p>
        </w:tc>
        <w:tc>
          <w:tcPr>
            <w:tcW w:w="388" w:type="dxa"/>
            <w:tcBorders>
              <w:top w:val="nil"/>
              <w:left w:val="nil"/>
              <w:bottom w:val="single" w:sz="4" w:space="0" w:color="auto"/>
              <w:right w:val="single" w:sz="4" w:space="0" w:color="auto"/>
            </w:tcBorders>
            <w:shd w:val="clear" w:color="000000" w:fill="CCFFFF"/>
            <w:noWrap/>
            <w:vAlign w:val="bottom"/>
            <w:hideMark/>
          </w:tcPr>
          <w:p w14:paraId="1452A878" w14:textId="77777777" w:rsidR="00A72067" w:rsidRPr="00BF5E3C" w:rsidRDefault="00A72067" w:rsidP="00A72067">
            <w:pPr>
              <w:spacing w:after="0" w:line="240" w:lineRule="auto"/>
              <w:jc w:val="right"/>
              <w:rPr>
                <w:rFonts w:ascii="Tahoma" w:eastAsia="Times New Roman" w:hAnsi="Tahoma" w:cs="Tahoma"/>
                <w:sz w:val="16"/>
                <w:szCs w:val="16"/>
                <w:lang w:eastAsia="hr-HR"/>
              </w:rPr>
            </w:pPr>
            <w:r w:rsidRPr="00BF5E3C">
              <w:rPr>
                <w:rFonts w:ascii="Tahoma" w:eastAsia="Times New Roman" w:hAnsi="Tahoma" w:cs="Tahoma"/>
                <w:sz w:val="16"/>
                <w:szCs w:val="16"/>
                <w:lang w:eastAsia="hr-HR"/>
              </w:rPr>
              <w:t>1</w:t>
            </w:r>
          </w:p>
        </w:tc>
        <w:tc>
          <w:tcPr>
            <w:tcW w:w="399" w:type="dxa"/>
            <w:tcBorders>
              <w:top w:val="nil"/>
              <w:left w:val="nil"/>
              <w:bottom w:val="single" w:sz="4" w:space="0" w:color="auto"/>
              <w:right w:val="single" w:sz="4" w:space="0" w:color="auto"/>
            </w:tcBorders>
            <w:shd w:val="clear" w:color="000000" w:fill="CCFFFF"/>
            <w:noWrap/>
            <w:vAlign w:val="bottom"/>
            <w:hideMark/>
          </w:tcPr>
          <w:p w14:paraId="4215B5DF" w14:textId="77777777" w:rsidR="00A72067" w:rsidRPr="00BF5E3C" w:rsidRDefault="00A72067" w:rsidP="00A72067">
            <w:pPr>
              <w:spacing w:after="0" w:line="240" w:lineRule="auto"/>
              <w:jc w:val="right"/>
              <w:rPr>
                <w:rFonts w:ascii="Tahoma" w:eastAsia="Times New Roman" w:hAnsi="Tahoma" w:cs="Tahoma"/>
                <w:sz w:val="16"/>
                <w:szCs w:val="16"/>
                <w:lang w:eastAsia="hr-HR"/>
              </w:rPr>
            </w:pPr>
            <w:r w:rsidRPr="00BF5E3C">
              <w:rPr>
                <w:rFonts w:ascii="Tahoma" w:eastAsia="Times New Roman" w:hAnsi="Tahoma" w:cs="Tahoma"/>
                <w:sz w:val="16"/>
                <w:szCs w:val="16"/>
                <w:lang w:eastAsia="hr-HR"/>
              </w:rPr>
              <w:t>0</w:t>
            </w:r>
          </w:p>
        </w:tc>
        <w:tc>
          <w:tcPr>
            <w:tcW w:w="489" w:type="dxa"/>
            <w:gridSpan w:val="2"/>
            <w:tcBorders>
              <w:top w:val="nil"/>
              <w:left w:val="nil"/>
              <w:bottom w:val="single" w:sz="4" w:space="0" w:color="auto"/>
              <w:right w:val="nil"/>
            </w:tcBorders>
            <w:shd w:val="clear" w:color="000000" w:fill="33CCCC"/>
            <w:noWrap/>
            <w:vAlign w:val="bottom"/>
            <w:hideMark/>
          </w:tcPr>
          <w:p w14:paraId="55EF0147" w14:textId="77777777" w:rsidR="00A72067" w:rsidRPr="00BF5E3C" w:rsidRDefault="00A72067" w:rsidP="00A72067">
            <w:pPr>
              <w:spacing w:after="0" w:line="240" w:lineRule="auto"/>
              <w:jc w:val="right"/>
              <w:rPr>
                <w:rFonts w:ascii="Tahoma" w:eastAsia="Times New Roman" w:hAnsi="Tahoma" w:cs="Tahoma"/>
                <w:sz w:val="16"/>
                <w:szCs w:val="16"/>
                <w:lang w:eastAsia="hr-HR"/>
              </w:rPr>
            </w:pPr>
            <w:r w:rsidRPr="00BF5E3C">
              <w:rPr>
                <w:rFonts w:ascii="Tahoma" w:eastAsia="Times New Roman" w:hAnsi="Tahoma" w:cs="Tahoma"/>
                <w:sz w:val="16"/>
                <w:szCs w:val="16"/>
                <w:lang w:eastAsia="hr-HR"/>
              </w:rPr>
              <w:t>1</w:t>
            </w:r>
          </w:p>
        </w:tc>
        <w:tc>
          <w:tcPr>
            <w:tcW w:w="425" w:type="dxa"/>
            <w:tcBorders>
              <w:top w:val="nil"/>
              <w:left w:val="single" w:sz="4" w:space="0" w:color="auto"/>
              <w:bottom w:val="single" w:sz="4" w:space="0" w:color="auto"/>
              <w:right w:val="single" w:sz="8" w:space="0" w:color="auto"/>
            </w:tcBorders>
            <w:shd w:val="clear" w:color="000000" w:fill="33CCCC"/>
            <w:noWrap/>
            <w:vAlign w:val="bottom"/>
            <w:hideMark/>
          </w:tcPr>
          <w:p w14:paraId="4D10F5C1" w14:textId="77777777" w:rsidR="00A72067" w:rsidRPr="00BF5E3C" w:rsidRDefault="00A72067" w:rsidP="00A72067">
            <w:pPr>
              <w:spacing w:after="0" w:line="240" w:lineRule="auto"/>
              <w:jc w:val="right"/>
              <w:rPr>
                <w:rFonts w:ascii="Tahoma" w:eastAsia="Times New Roman" w:hAnsi="Tahoma" w:cs="Tahoma"/>
                <w:sz w:val="16"/>
                <w:szCs w:val="16"/>
                <w:lang w:eastAsia="hr-HR"/>
              </w:rPr>
            </w:pPr>
            <w:r w:rsidRPr="00BF5E3C">
              <w:rPr>
                <w:rFonts w:ascii="Tahoma" w:eastAsia="Times New Roman" w:hAnsi="Tahoma" w:cs="Tahoma"/>
                <w:sz w:val="16"/>
                <w:szCs w:val="16"/>
                <w:lang w:eastAsia="hr-HR"/>
              </w:rPr>
              <w:t>2</w:t>
            </w:r>
          </w:p>
        </w:tc>
        <w:tc>
          <w:tcPr>
            <w:tcW w:w="236" w:type="dxa"/>
            <w:vAlign w:val="center"/>
            <w:hideMark/>
          </w:tcPr>
          <w:p w14:paraId="1EB0DBB6" w14:textId="77777777" w:rsidR="00A72067" w:rsidRPr="00BF5E3C" w:rsidRDefault="00A72067" w:rsidP="00A72067">
            <w:pPr>
              <w:spacing w:after="0" w:line="240" w:lineRule="auto"/>
              <w:rPr>
                <w:rFonts w:ascii="Times New Roman" w:eastAsia="Times New Roman" w:hAnsi="Times New Roman" w:cs="Times New Roman"/>
                <w:sz w:val="16"/>
                <w:szCs w:val="16"/>
                <w:lang w:eastAsia="hr-HR"/>
              </w:rPr>
            </w:pPr>
          </w:p>
        </w:tc>
      </w:tr>
      <w:tr w:rsidR="00F90F6F" w:rsidRPr="00BF5E3C" w14:paraId="320F6D8C" w14:textId="77777777" w:rsidTr="00F90F6F">
        <w:trPr>
          <w:gridAfter w:val="1"/>
          <w:wAfter w:w="32" w:type="dxa"/>
          <w:trHeight w:val="402"/>
        </w:trPr>
        <w:tc>
          <w:tcPr>
            <w:tcW w:w="979" w:type="dxa"/>
            <w:tcBorders>
              <w:top w:val="nil"/>
              <w:left w:val="single" w:sz="8" w:space="0" w:color="auto"/>
              <w:bottom w:val="single" w:sz="4" w:space="0" w:color="auto"/>
              <w:right w:val="single" w:sz="4" w:space="0" w:color="auto"/>
            </w:tcBorders>
            <w:shd w:val="clear" w:color="000000" w:fill="CCFFCC"/>
            <w:vAlign w:val="center"/>
            <w:hideMark/>
          </w:tcPr>
          <w:p w14:paraId="77BF7A2A" w14:textId="77777777" w:rsidR="00A72067" w:rsidRPr="00BF5E3C" w:rsidRDefault="00A72067" w:rsidP="00A72067">
            <w:pPr>
              <w:spacing w:after="0" w:line="240" w:lineRule="auto"/>
              <w:rPr>
                <w:rFonts w:ascii="Tahoma" w:eastAsia="Times New Roman" w:hAnsi="Tahoma" w:cs="Tahoma"/>
                <w:sz w:val="16"/>
                <w:szCs w:val="16"/>
                <w:lang w:eastAsia="hr-HR"/>
              </w:rPr>
            </w:pPr>
            <w:r w:rsidRPr="00BF5E3C">
              <w:rPr>
                <w:rFonts w:ascii="Tahoma" w:eastAsia="Times New Roman" w:hAnsi="Tahoma" w:cs="Tahoma"/>
                <w:sz w:val="16"/>
                <w:szCs w:val="16"/>
                <w:lang w:eastAsia="hr-HR"/>
              </w:rPr>
              <w:lastRenderedPageBreak/>
              <w:t>Nacionalno podrijetlo</w:t>
            </w:r>
          </w:p>
        </w:tc>
        <w:tc>
          <w:tcPr>
            <w:tcW w:w="520" w:type="dxa"/>
            <w:tcBorders>
              <w:top w:val="nil"/>
              <w:left w:val="nil"/>
              <w:bottom w:val="single" w:sz="4" w:space="0" w:color="auto"/>
              <w:right w:val="single" w:sz="4" w:space="0" w:color="auto"/>
            </w:tcBorders>
            <w:shd w:val="clear" w:color="000000" w:fill="FFCC99"/>
            <w:noWrap/>
            <w:vAlign w:val="bottom"/>
            <w:hideMark/>
          </w:tcPr>
          <w:p w14:paraId="07BE868A" w14:textId="77777777" w:rsidR="00A72067" w:rsidRPr="00BF5E3C" w:rsidRDefault="00A72067" w:rsidP="00A72067">
            <w:pPr>
              <w:spacing w:after="0" w:line="240" w:lineRule="auto"/>
              <w:jc w:val="center"/>
              <w:rPr>
                <w:rFonts w:ascii="Tahoma" w:eastAsia="Times New Roman" w:hAnsi="Tahoma" w:cs="Tahoma"/>
                <w:sz w:val="16"/>
                <w:szCs w:val="16"/>
                <w:lang w:eastAsia="hr-HR"/>
              </w:rPr>
            </w:pPr>
            <w:r w:rsidRPr="00BF5E3C">
              <w:rPr>
                <w:rFonts w:ascii="Tahoma" w:eastAsia="Times New Roman" w:hAnsi="Tahoma" w:cs="Tahoma"/>
                <w:sz w:val="16"/>
                <w:szCs w:val="16"/>
                <w:lang w:eastAsia="hr-HR"/>
              </w:rPr>
              <w:t>5</w:t>
            </w:r>
          </w:p>
        </w:tc>
        <w:tc>
          <w:tcPr>
            <w:tcW w:w="420" w:type="dxa"/>
            <w:tcBorders>
              <w:top w:val="nil"/>
              <w:left w:val="nil"/>
              <w:bottom w:val="single" w:sz="4" w:space="0" w:color="auto"/>
              <w:right w:val="single" w:sz="4" w:space="0" w:color="auto"/>
            </w:tcBorders>
            <w:shd w:val="clear" w:color="000000" w:fill="FFFF00"/>
            <w:noWrap/>
            <w:vAlign w:val="bottom"/>
            <w:hideMark/>
          </w:tcPr>
          <w:p w14:paraId="333C081E" w14:textId="77777777" w:rsidR="00A72067" w:rsidRPr="00BF5E3C" w:rsidRDefault="00A72067" w:rsidP="00A72067">
            <w:pPr>
              <w:spacing w:after="0" w:line="240" w:lineRule="auto"/>
              <w:jc w:val="center"/>
              <w:rPr>
                <w:rFonts w:ascii="Tahoma" w:eastAsia="Times New Roman" w:hAnsi="Tahoma" w:cs="Tahoma"/>
                <w:sz w:val="16"/>
                <w:szCs w:val="16"/>
                <w:lang w:eastAsia="hr-HR"/>
              </w:rPr>
            </w:pPr>
            <w:r w:rsidRPr="00BF5E3C">
              <w:rPr>
                <w:rFonts w:ascii="Tahoma" w:eastAsia="Times New Roman" w:hAnsi="Tahoma" w:cs="Tahoma"/>
                <w:sz w:val="16"/>
                <w:szCs w:val="16"/>
                <w:lang w:eastAsia="hr-HR"/>
              </w:rPr>
              <w:t>0</w:t>
            </w:r>
          </w:p>
        </w:tc>
        <w:tc>
          <w:tcPr>
            <w:tcW w:w="665" w:type="dxa"/>
            <w:tcBorders>
              <w:top w:val="nil"/>
              <w:left w:val="nil"/>
              <w:bottom w:val="single" w:sz="4" w:space="0" w:color="auto"/>
              <w:right w:val="single" w:sz="4" w:space="0" w:color="auto"/>
            </w:tcBorders>
            <w:shd w:val="clear" w:color="000000" w:fill="CCFFFF"/>
            <w:noWrap/>
            <w:vAlign w:val="bottom"/>
            <w:hideMark/>
          </w:tcPr>
          <w:p w14:paraId="21103247" w14:textId="77777777" w:rsidR="00A72067" w:rsidRPr="00BF5E3C" w:rsidRDefault="00A72067" w:rsidP="00A72067">
            <w:pPr>
              <w:spacing w:after="0" w:line="240" w:lineRule="auto"/>
              <w:jc w:val="right"/>
              <w:rPr>
                <w:rFonts w:ascii="Tahoma" w:eastAsia="Times New Roman" w:hAnsi="Tahoma" w:cs="Tahoma"/>
                <w:sz w:val="16"/>
                <w:szCs w:val="16"/>
                <w:lang w:eastAsia="hr-HR"/>
              </w:rPr>
            </w:pPr>
            <w:r w:rsidRPr="00BF5E3C">
              <w:rPr>
                <w:rFonts w:ascii="Tahoma" w:eastAsia="Times New Roman" w:hAnsi="Tahoma" w:cs="Tahoma"/>
                <w:sz w:val="16"/>
                <w:szCs w:val="16"/>
                <w:lang w:eastAsia="hr-HR"/>
              </w:rPr>
              <w:t>0</w:t>
            </w:r>
          </w:p>
        </w:tc>
        <w:tc>
          <w:tcPr>
            <w:tcW w:w="571" w:type="dxa"/>
            <w:tcBorders>
              <w:top w:val="nil"/>
              <w:left w:val="nil"/>
              <w:bottom w:val="single" w:sz="4" w:space="0" w:color="auto"/>
              <w:right w:val="single" w:sz="4" w:space="0" w:color="auto"/>
            </w:tcBorders>
            <w:shd w:val="clear" w:color="000000" w:fill="CCFFFF"/>
            <w:noWrap/>
            <w:vAlign w:val="bottom"/>
            <w:hideMark/>
          </w:tcPr>
          <w:p w14:paraId="05659D4C" w14:textId="77777777" w:rsidR="00A72067" w:rsidRPr="00BF5E3C" w:rsidRDefault="00A72067" w:rsidP="00A72067">
            <w:pPr>
              <w:spacing w:after="0" w:line="240" w:lineRule="auto"/>
              <w:jc w:val="right"/>
              <w:rPr>
                <w:rFonts w:ascii="Tahoma" w:eastAsia="Times New Roman" w:hAnsi="Tahoma" w:cs="Tahoma"/>
                <w:sz w:val="16"/>
                <w:szCs w:val="16"/>
                <w:lang w:eastAsia="hr-HR"/>
              </w:rPr>
            </w:pPr>
            <w:r w:rsidRPr="00BF5E3C">
              <w:rPr>
                <w:rFonts w:ascii="Tahoma" w:eastAsia="Times New Roman" w:hAnsi="Tahoma" w:cs="Tahoma"/>
                <w:sz w:val="16"/>
                <w:szCs w:val="16"/>
                <w:lang w:eastAsia="hr-HR"/>
              </w:rPr>
              <w:t>0</w:t>
            </w:r>
          </w:p>
        </w:tc>
        <w:tc>
          <w:tcPr>
            <w:tcW w:w="700" w:type="dxa"/>
            <w:tcBorders>
              <w:top w:val="nil"/>
              <w:left w:val="nil"/>
              <w:bottom w:val="single" w:sz="4" w:space="0" w:color="auto"/>
              <w:right w:val="single" w:sz="4" w:space="0" w:color="auto"/>
            </w:tcBorders>
            <w:shd w:val="clear" w:color="000000" w:fill="FFFF99"/>
            <w:noWrap/>
            <w:vAlign w:val="bottom"/>
            <w:hideMark/>
          </w:tcPr>
          <w:p w14:paraId="2650155F" w14:textId="77777777" w:rsidR="00A72067" w:rsidRPr="00BF5E3C" w:rsidRDefault="00A72067" w:rsidP="00A72067">
            <w:pPr>
              <w:spacing w:after="0" w:line="240" w:lineRule="auto"/>
              <w:jc w:val="center"/>
              <w:rPr>
                <w:rFonts w:ascii="Tahoma" w:eastAsia="Times New Roman" w:hAnsi="Tahoma" w:cs="Tahoma"/>
                <w:sz w:val="16"/>
                <w:szCs w:val="16"/>
                <w:lang w:eastAsia="hr-HR"/>
              </w:rPr>
            </w:pPr>
            <w:r w:rsidRPr="00BF5E3C">
              <w:rPr>
                <w:rFonts w:ascii="Tahoma" w:eastAsia="Times New Roman" w:hAnsi="Tahoma" w:cs="Tahoma"/>
                <w:sz w:val="16"/>
                <w:szCs w:val="16"/>
                <w:lang w:eastAsia="hr-HR"/>
              </w:rPr>
              <w:t>0</w:t>
            </w:r>
          </w:p>
        </w:tc>
        <w:tc>
          <w:tcPr>
            <w:tcW w:w="698" w:type="dxa"/>
            <w:tcBorders>
              <w:top w:val="nil"/>
              <w:left w:val="nil"/>
              <w:bottom w:val="single" w:sz="4" w:space="0" w:color="auto"/>
              <w:right w:val="single" w:sz="4" w:space="0" w:color="auto"/>
            </w:tcBorders>
            <w:shd w:val="clear" w:color="000000" w:fill="FFFF99"/>
            <w:noWrap/>
            <w:vAlign w:val="bottom"/>
            <w:hideMark/>
          </w:tcPr>
          <w:p w14:paraId="6950B028" w14:textId="77777777" w:rsidR="00A72067" w:rsidRPr="00BF5E3C" w:rsidRDefault="00A72067" w:rsidP="00A72067">
            <w:pPr>
              <w:spacing w:after="0" w:line="240" w:lineRule="auto"/>
              <w:jc w:val="center"/>
              <w:rPr>
                <w:rFonts w:ascii="Tahoma" w:eastAsia="Times New Roman" w:hAnsi="Tahoma" w:cs="Tahoma"/>
                <w:sz w:val="16"/>
                <w:szCs w:val="16"/>
                <w:lang w:eastAsia="hr-HR"/>
              </w:rPr>
            </w:pPr>
            <w:r w:rsidRPr="00BF5E3C">
              <w:rPr>
                <w:rFonts w:ascii="Tahoma" w:eastAsia="Times New Roman" w:hAnsi="Tahoma" w:cs="Tahoma"/>
                <w:sz w:val="16"/>
                <w:szCs w:val="16"/>
                <w:lang w:eastAsia="hr-HR"/>
              </w:rPr>
              <w:t>0</w:t>
            </w:r>
          </w:p>
        </w:tc>
        <w:tc>
          <w:tcPr>
            <w:tcW w:w="698" w:type="dxa"/>
            <w:tcBorders>
              <w:top w:val="nil"/>
              <w:left w:val="nil"/>
              <w:bottom w:val="single" w:sz="4" w:space="0" w:color="auto"/>
              <w:right w:val="single" w:sz="4" w:space="0" w:color="auto"/>
            </w:tcBorders>
            <w:shd w:val="clear" w:color="000000" w:fill="FFFF99"/>
            <w:noWrap/>
            <w:vAlign w:val="bottom"/>
            <w:hideMark/>
          </w:tcPr>
          <w:p w14:paraId="5782D5C8" w14:textId="77777777" w:rsidR="00A72067" w:rsidRPr="00BF5E3C" w:rsidRDefault="00A72067" w:rsidP="00A72067">
            <w:pPr>
              <w:spacing w:after="0" w:line="240" w:lineRule="auto"/>
              <w:jc w:val="center"/>
              <w:rPr>
                <w:rFonts w:ascii="Tahoma" w:eastAsia="Times New Roman" w:hAnsi="Tahoma" w:cs="Tahoma"/>
                <w:sz w:val="16"/>
                <w:szCs w:val="16"/>
                <w:lang w:eastAsia="hr-HR"/>
              </w:rPr>
            </w:pPr>
            <w:r w:rsidRPr="00BF5E3C">
              <w:rPr>
                <w:rFonts w:ascii="Tahoma" w:eastAsia="Times New Roman" w:hAnsi="Tahoma" w:cs="Tahoma"/>
                <w:sz w:val="16"/>
                <w:szCs w:val="16"/>
                <w:lang w:eastAsia="hr-HR"/>
              </w:rPr>
              <w:t>0</w:t>
            </w:r>
          </w:p>
        </w:tc>
        <w:tc>
          <w:tcPr>
            <w:tcW w:w="698" w:type="dxa"/>
            <w:tcBorders>
              <w:top w:val="nil"/>
              <w:left w:val="nil"/>
              <w:bottom w:val="single" w:sz="4" w:space="0" w:color="auto"/>
              <w:right w:val="single" w:sz="4" w:space="0" w:color="auto"/>
            </w:tcBorders>
            <w:shd w:val="clear" w:color="000000" w:fill="FFFF99"/>
            <w:noWrap/>
            <w:vAlign w:val="bottom"/>
            <w:hideMark/>
          </w:tcPr>
          <w:p w14:paraId="51503F09" w14:textId="77777777" w:rsidR="00A72067" w:rsidRPr="00BF5E3C" w:rsidRDefault="00A72067" w:rsidP="00A72067">
            <w:pPr>
              <w:spacing w:after="0" w:line="240" w:lineRule="auto"/>
              <w:jc w:val="center"/>
              <w:rPr>
                <w:rFonts w:ascii="Tahoma" w:eastAsia="Times New Roman" w:hAnsi="Tahoma" w:cs="Tahoma"/>
                <w:sz w:val="16"/>
                <w:szCs w:val="16"/>
                <w:lang w:eastAsia="hr-HR"/>
              </w:rPr>
            </w:pPr>
            <w:r w:rsidRPr="00BF5E3C">
              <w:rPr>
                <w:rFonts w:ascii="Tahoma" w:eastAsia="Times New Roman" w:hAnsi="Tahoma" w:cs="Tahoma"/>
                <w:sz w:val="16"/>
                <w:szCs w:val="16"/>
                <w:lang w:eastAsia="hr-HR"/>
              </w:rPr>
              <w:t>0</w:t>
            </w:r>
          </w:p>
        </w:tc>
        <w:tc>
          <w:tcPr>
            <w:tcW w:w="527" w:type="dxa"/>
            <w:tcBorders>
              <w:top w:val="nil"/>
              <w:left w:val="nil"/>
              <w:bottom w:val="single" w:sz="4" w:space="0" w:color="auto"/>
              <w:right w:val="single" w:sz="4" w:space="0" w:color="auto"/>
            </w:tcBorders>
            <w:shd w:val="clear" w:color="000000" w:fill="FFFF99"/>
            <w:noWrap/>
            <w:vAlign w:val="bottom"/>
            <w:hideMark/>
          </w:tcPr>
          <w:p w14:paraId="0E8F0CE5" w14:textId="77777777" w:rsidR="00A72067" w:rsidRPr="00BF5E3C" w:rsidRDefault="00A72067" w:rsidP="00A72067">
            <w:pPr>
              <w:spacing w:after="0" w:line="240" w:lineRule="auto"/>
              <w:jc w:val="center"/>
              <w:rPr>
                <w:rFonts w:ascii="Tahoma" w:eastAsia="Times New Roman" w:hAnsi="Tahoma" w:cs="Tahoma"/>
                <w:sz w:val="16"/>
                <w:szCs w:val="16"/>
                <w:lang w:eastAsia="hr-HR"/>
              </w:rPr>
            </w:pPr>
            <w:r w:rsidRPr="00BF5E3C">
              <w:rPr>
                <w:rFonts w:ascii="Tahoma" w:eastAsia="Times New Roman" w:hAnsi="Tahoma" w:cs="Tahoma"/>
                <w:sz w:val="16"/>
                <w:szCs w:val="16"/>
                <w:lang w:eastAsia="hr-HR"/>
              </w:rPr>
              <w:t>0</w:t>
            </w:r>
          </w:p>
        </w:tc>
        <w:tc>
          <w:tcPr>
            <w:tcW w:w="702" w:type="dxa"/>
            <w:tcBorders>
              <w:top w:val="nil"/>
              <w:left w:val="nil"/>
              <w:bottom w:val="single" w:sz="4" w:space="0" w:color="auto"/>
              <w:right w:val="single" w:sz="4" w:space="0" w:color="auto"/>
            </w:tcBorders>
            <w:shd w:val="clear" w:color="000000" w:fill="FFFF99"/>
            <w:noWrap/>
            <w:vAlign w:val="bottom"/>
            <w:hideMark/>
          </w:tcPr>
          <w:p w14:paraId="20EE71C1" w14:textId="77777777" w:rsidR="00A72067" w:rsidRPr="00BF5E3C" w:rsidRDefault="00A72067" w:rsidP="00A72067">
            <w:pPr>
              <w:spacing w:after="0" w:line="240" w:lineRule="auto"/>
              <w:jc w:val="center"/>
              <w:rPr>
                <w:rFonts w:ascii="Tahoma" w:eastAsia="Times New Roman" w:hAnsi="Tahoma" w:cs="Tahoma"/>
                <w:sz w:val="16"/>
                <w:szCs w:val="16"/>
                <w:lang w:eastAsia="hr-HR"/>
              </w:rPr>
            </w:pPr>
            <w:r w:rsidRPr="00BF5E3C">
              <w:rPr>
                <w:rFonts w:ascii="Tahoma" w:eastAsia="Times New Roman" w:hAnsi="Tahoma" w:cs="Tahoma"/>
                <w:sz w:val="16"/>
                <w:szCs w:val="16"/>
                <w:lang w:eastAsia="hr-HR"/>
              </w:rPr>
              <w:t>0</w:t>
            </w:r>
          </w:p>
        </w:tc>
        <w:tc>
          <w:tcPr>
            <w:tcW w:w="698" w:type="dxa"/>
            <w:tcBorders>
              <w:top w:val="nil"/>
              <w:left w:val="nil"/>
              <w:bottom w:val="single" w:sz="4" w:space="0" w:color="auto"/>
              <w:right w:val="single" w:sz="4" w:space="0" w:color="auto"/>
            </w:tcBorders>
            <w:shd w:val="clear" w:color="000000" w:fill="FF9900"/>
            <w:noWrap/>
            <w:vAlign w:val="bottom"/>
            <w:hideMark/>
          </w:tcPr>
          <w:p w14:paraId="768EB44E" w14:textId="77777777" w:rsidR="00A72067" w:rsidRPr="00BF5E3C" w:rsidRDefault="00A72067" w:rsidP="00A72067">
            <w:pPr>
              <w:spacing w:after="0" w:line="240" w:lineRule="auto"/>
              <w:jc w:val="right"/>
              <w:rPr>
                <w:rFonts w:ascii="Tahoma" w:eastAsia="Times New Roman" w:hAnsi="Tahoma" w:cs="Tahoma"/>
                <w:sz w:val="16"/>
                <w:szCs w:val="16"/>
                <w:lang w:eastAsia="hr-HR"/>
              </w:rPr>
            </w:pPr>
            <w:r w:rsidRPr="00BF5E3C">
              <w:rPr>
                <w:rFonts w:ascii="Tahoma" w:eastAsia="Times New Roman" w:hAnsi="Tahoma" w:cs="Tahoma"/>
                <w:sz w:val="16"/>
                <w:szCs w:val="16"/>
                <w:lang w:eastAsia="hr-HR"/>
              </w:rPr>
              <w:t>0</w:t>
            </w:r>
          </w:p>
        </w:tc>
        <w:tc>
          <w:tcPr>
            <w:tcW w:w="439" w:type="dxa"/>
            <w:tcBorders>
              <w:top w:val="nil"/>
              <w:left w:val="nil"/>
              <w:bottom w:val="single" w:sz="4" w:space="0" w:color="auto"/>
              <w:right w:val="single" w:sz="4" w:space="0" w:color="auto"/>
            </w:tcBorders>
            <w:shd w:val="clear" w:color="000000" w:fill="FF9900"/>
            <w:noWrap/>
            <w:vAlign w:val="bottom"/>
            <w:hideMark/>
          </w:tcPr>
          <w:p w14:paraId="5BA80135" w14:textId="77777777" w:rsidR="00A72067" w:rsidRPr="00BF5E3C" w:rsidRDefault="00A72067" w:rsidP="00A72067">
            <w:pPr>
              <w:spacing w:after="0" w:line="240" w:lineRule="auto"/>
              <w:jc w:val="right"/>
              <w:rPr>
                <w:rFonts w:ascii="Tahoma" w:eastAsia="Times New Roman" w:hAnsi="Tahoma" w:cs="Tahoma"/>
                <w:sz w:val="16"/>
                <w:szCs w:val="16"/>
                <w:lang w:eastAsia="hr-HR"/>
              </w:rPr>
            </w:pPr>
            <w:r w:rsidRPr="00BF5E3C">
              <w:rPr>
                <w:rFonts w:ascii="Tahoma" w:eastAsia="Times New Roman" w:hAnsi="Tahoma" w:cs="Tahoma"/>
                <w:sz w:val="16"/>
                <w:szCs w:val="16"/>
                <w:lang w:eastAsia="hr-HR"/>
              </w:rPr>
              <w:t>2</w:t>
            </w:r>
          </w:p>
        </w:tc>
        <w:tc>
          <w:tcPr>
            <w:tcW w:w="439" w:type="dxa"/>
            <w:tcBorders>
              <w:top w:val="nil"/>
              <w:left w:val="nil"/>
              <w:bottom w:val="single" w:sz="4" w:space="0" w:color="auto"/>
              <w:right w:val="single" w:sz="4" w:space="0" w:color="auto"/>
            </w:tcBorders>
            <w:shd w:val="clear" w:color="000000" w:fill="FF9900"/>
            <w:noWrap/>
            <w:vAlign w:val="bottom"/>
            <w:hideMark/>
          </w:tcPr>
          <w:p w14:paraId="5743253F" w14:textId="77777777" w:rsidR="00A72067" w:rsidRPr="00BF5E3C" w:rsidRDefault="00A72067" w:rsidP="00A72067">
            <w:pPr>
              <w:spacing w:after="0" w:line="240" w:lineRule="auto"/>
              <w:jc w:val="right"/>
              <w:rPr>
                <w:rFonts w:ascii="Tahoma" w:eastAsia="Times New Roman" w:hAnsi="Tahoma" w:cs="Tahoma"/>
                <w:sz w:val="16"/>
                <w:szCs w:val="16"/>
                <w:lang w:eastAsia="hr-HR"/>
              </w:rPr>
            </w:pPr>
            <w:r w:rsidRPr="00BF5E3C">
              <w:rPr>
                <w:rFonts w:ascii="Tahoma" w:eastAsia="Times New Roman" w:hAnsi="Tahoma" w:cs="Tahoma"/>
                <w:sz w:val="16"/>
                <w:szCs w:val="16"/>
                <w:lang w:eastAsia="hr-HR"/>
              </w:rPr>
              <w:t>0</w:t>
            </w:r>
          </w:p>
        </w:tc>
        <w:tc>
          <w:tcPr>
            <w:tcW w:w="665" w:type="dxa"/>
            <w:tcBorders>
              <w:top w:val="nil"/>
              <w:left w:val="nil"/>
              <w:bottom w:val="single" w:sz="4" w:space="0" w:color="auto"/>
              <w:right w:val="single" w:sz="4" w:space="0" w:color="auto"/>
            </w:tcBorders>
            <w:shd w:val="clear" w:color="000000" w:fill="FFFF00"/>
            <w:vAlign w:val="center"/>
            <w:hideMark/>
          </w:tcPr>
          <w:p w14:paraId="45F8B74E" w14:textId="77777777" w:rsidR="00A72067" w:rsidRPr="00BF5E3C" w:rsidRDefault="00A72067" w:rsidP="00A72067">
            <w:pPr>
              <w:spacing w:after="0" w:line="240" w:lineRule="auto"/>
              <w:jc w:val="center"/>
              <w:rPr>
                <w:rFonts w:ascii="Tahoma" w:eastAsia="Times New Roman" w:hAnsi="Tahoma" w:cs="Tahoma"/>
                <w:sz w:val="16"/>
                <w:szCs w:val="16"/>
                <w:lang w:eastAsia="hr-HR"/>
              </w:rPr>
            </w:pPr>
            <w:r w:rsidRPr="00BF5E3C">
              <w:rPr>
                <w:rFonts w:ascii="Tahoma" w:eastAsia="Times New Roman" w:hAnsi="Tahoma" w:cs="Tahoma"/>
                <w:sz w:val="16"/>
                <w:szCs w:val="16"/>
                <w:lang w:eastAsia="hr-HR"/>
              </w:rPr>
              <w:t>2</w:t>
            </w:r>
          </w:p>
        </w:tc>
        <w:tc>
          <w:tcPr>
            <w:tcW w:w="698" w:type="dxa"/>
            <w:tcBorders>
              <w:top w:val="nil"/>
              <w:left w:val="nil"/>
              <w:bottom w:val="single" w:sz="4" w:space="0" w:color="auto"/>
              <w:right w:val="single" w:sz="4" w:space="0" w:color="auto"/>
            </w:tcBorders>
            <w:shd w:val="clear" w:color="000000" w:fill="FF9900"/>
            <w:vAlign w:val="center"/>
            <w:hideMark/>
          </w:tcPr>
          <w:p w14:paraId="719D07DF" w14:textId="77777777" w:rsidR="00A72067" w:rsidRPr="00BF5E3C" w:rsidRDefault="00A72067" w:rsidP="00A72067">
            <w:pPr>
              <w:spacing w:after="0" w:line="240" w:lineRule="auto"/>
              <w:jc w:val="center"/>
              <w:rPr>
                <w:rFonts w:ascii="Tahoma" w:eastAsia="Times New Roman" w:hAnsi="Tahoma" w:cs="Tahoma"/>
                <w:sz w:val="16"/>
                <w:szCs w:val="16"/>
                <w:lang w:eastAsia="hr-HR"/>
              </w:rPr>
            </w:pPr>
            <w:r w:rsidRPr="00BF5E3C">
              <w:rPr>
                <w:rFonts w:ascii="Tahoma" w:eastAsia="Times New Roman" w:hAnsi="Tahoma" w:cs="Tahoma"/>
                <w:sz w:val="16"/>
                <w:szCs w:val="16"/>
                <w:lang w:eastAsia="hr-HR"/>
              </w:rPr>
              <w:t>3</w:t>
            </w:r>
          </w:p>
        </w:tc>
        <w:tc>
          <w:tcPr>
            <w:tcW w:w="707" w:type="dxa"/>
            <w:tcBorders>
              <w:top w:val="nil"/>
              <w:left w:val="nil"/>
              <w:bottom w:val="single" w:sz="4" w:space="0" w:color="auto"/>
              <w:right w:val="single" w:sz="4" w:space="0" w:color="auto"/>
            </w:tcBorders>
            <w:shd w:val="clear" w:color="000000" w:fill="FF9900"/>
            <w:noWrap/>
            <w:vAlign w:val="center"/>
            <w:hideMark/>
          </w:tcPr>
          <w:p w14:paraId="3043DC5D" w14:textId="77777777" w:rsidR="00A72067" w:rsidRPr="00BF5E3C" w:rsidRDefault="00A72067" w:rsidP="00A72067">
            <w:pPr>
              <w:spacing w:after="0" w:line="240" w:lineRule="auto"/>
              <w:jc w:val="center"/>
              <w:rPr>
                <w:rFonts w:ascii="Tahoma" w:eastAsia="Times New Roman" w:hAnsi="Tahoma" w:cs="Tahoma"/>
                <w:sz w:val="16"/>
                <w:szCs w:val="16"/>
                <w:lang w:eastAsia="hr-HR"/>
              </w:rPr>
            </w:pPr>
            <w:r w:rsidRPr="00BF5E3C">
              <w:rPr>
                <w:rFonts w:ascii="Tahoma" w:eastAsia="Times New Roman" w:hAnsi="Tahoma" w:cs="Tahoma"/>
                <w:sz w:val="16"/>
                <w:szCs w:val="16"/>
                <w:lang w:eastAsia="hr-HR"/>
              </w:rPr>
              <w:t>0</w:t>
            </w:r>
          </w:p>
        </w:tc>
        <w:tc>
          <w:tcPr>
            <w:tcW w:w="707" w:type="dxa"/>
            <w:tcBorders>
              <w:top w:val="nil"/>
              <w:left w:val="nil"/>
              <w:bottom w:val="single" w:sz="4" w:space="0" w:color="auto"/>
              <w:right w:val="single" w:sz="4" w:space="0" w:color="auto"/>
            </w:tcBorders>
            <w:shd w:val="clear" w:color="000000" w:fill="FF9900"/>
            <w:noWrap/>
            <w:vAlign w:val="center"/>
            <w:hideMark/>
          </w:tcPr>
          <w:p w14:paraId="3669BA6C" w14:textId="77777777" w:rsidR="00A72067" w:rsidRPr="00BF5E3C" w:rsidRDefault="00A72067" w:rsidP="00A72067">
            <w:pPr>
              <w:spacing w:after="0" w:line="240" w:lineRule="auto"/>
              <w:jc w:val="center"/>
              <w:rPr>
                <w:rFonts w:ascii="Tahoma" w:eastAsia="Times New Roman" w:hAnsi="Tahoma" w:cs="Tahoma"/>
                <w:sz w:val="16"/>
                <w:szCs w:val="16"/>
                <w:lang w:eastAsia="hr-HR"/>
              </w:rPr>
            </w:pPr>
            <w:r w:rsidRPr="00BF5E3C">
              <w:rPr>
                <w:rFonts w:ascii="Tahoma" w:eastAsia="Times New Roman" w:hAnsi="Tahoma" w:cs="Tahoma"/>
                <w:sz w:val="16"/>
                <w:szCs w:val="16"/>
                <w:lang w:eastAsia="hr-HR"/>
              </w:rPr>
              <w:t>0</w:t>
            </w:r>
          </w:p>
        </w:tc>
        <w:tc>
          <w:tcPr>
            <w:tcW w:w="698" w:type="dxa"/>
            <w:tcBorders>
              <w:top w:val="nil"/>
              <w:left w:val="nil"/>
              <w:bottom w:val="single" w:sz="4" w:space="0" w:color="auto"/>
              <w:right w:val="single" w:sz="4" w:space="0" w:color="auto"/>
            </w:tcBorders>
            <w:shd w:val="clear" w:color="000000" w:fill="FF9900"/>
            <w:noWrap/>
            <w:vAlign w:val="center"/>
            <w:hideMark/>
          </w:tcPr>
          <w:p w14:paraId="11218486" w14:textId="77777777" w:rsidR="00A72067" w:rsidRPr="00BF5E3C" w:rsidRDefault="00A72067" w:rsidP="00A72067">
            <w:pPr>
              <w:spacing w:after="0" w:line="240" w:lineRule="auto"/>
              <w:jc w:val="center"/>
              <w:rPr>
                <w:rFonts w:ascii="Tahoma" w:eastAsia="Times New Roman" w:hAnsi="Tahoma" w:cs="Tahoma"/>
                <w:sz w:val="16"/>
                <w:szCs w:val="16"/>
                <w:lang w:eastAsia="hr-HR"/>
              </w:rPr>
            </w:pPr>
            <w:r w:rsidRPr="00BF5E3C">
              <w:rPr>
                <w:rFonts w:ascii="Tahoma" w:eastAsia="Times New Roman" w:hAnsi="Tahoma" w:cs="Tahoma"/>
                <w:sz w:val="16"/>
                <w:szCs w:val="16"/>
                <w:lang w:eastAsia="hr-HR"/>
              </w:rPr>
              <w:t>0</w:t>
            </w:r>
          </w:p>
        </w:tc>
        <w:tc>
          <w:tcPr>
            <w:tcW w:w="377" w:type="dxa"/>
            <w:tcBorders>
              <w:top w:val="nil"/>
              <w:left w:val="nil"/>
              <w:bottom w:val="single" w:sz="4" w:space="0" w:color="auto"/>
              <w:right w:val="single" w:sz="4" w:space="0" w:color="auto"/>
            </w:tcBorders>
            <w:shd w:val="clear" w:color="000000" w:fill="CCFFFF"/>
            <w:noWrap/>
            <w:vAlign w:val="bottom"/>
            <w:hideMark/>
          </w:tcPr>
          <w:p w14:paraId="4DE5C080" w14:textId="77777777" w:rsidR="00A72067" w:rsidRPr="00BF5E3C" w:rsidRDefault="00A72067" w:rsidP="00A72067">
            <w:pPr>
              <w:spacing w:after="0" w:line="240" w:lineRule="auto"/>
              <w:jc w:val="right"/>
              <w:rPr>
                <w:rFonts w:ascii="Tahoma" w:eastAsia="Times New Roman" w:hAnsi="Tahoma" w:cs="Tahoma"/>
                <w:sz w:val="16"/>
                <w:szCs w:val="16"/>
                <w:lang w:eastAsia="hr-HR"/>
              </w:rPr>
            </w:pPr>
            <w:r w:rsidRPr="00BF5E3C">
              <w:rPr>
                <w:rFonts w:ascii="Tahoma" w:eastAsia="Times New Roman" w:hAnsi="Tahoma" w:cs="Tahoma"/>
                <w:sz w:val="16"/>
                <w:szCs w:val="16"/>
                <w:lang w:eastAsia="hr-HR"/>
              </w:rPr>
              <w:t>0</w:t>
            </w:r>
          </w:p>
        </w:tc>
        <w:tc>
          <w:tcPr>
            <w:tcW w:w="388" w:type="dxa"/>
            <w:tcBorders>
              <w:top w:val="nil"/>
              <w:left w:val="nil"/>
              <w:bottom w:val="single" w:sz="4" w:space="0" w:color="auto"/>
              <w:right w:val="single" w:sz="4" w:space="0" w:color="auto"/>
            </w:tcBorders>
            <w:shd w:val="clear" w:color="000000" w:fill="CCFFFF"/>
            <w:noWrap/>
            <w:vAlign w:val="bottom"/>
            <w:hideMark/>
          </w:tcPr>
          <w:p w14:paraId="0216D4B5" w14:textId="77777777" w:rsidR="00A72067" w:rsidRPr="00BF5E3C" w:rsidRDefault="00A72067" w:rsidP="00A72067">
            <w:pPr>
              <w:spacing w:after="0" w:line="240" w:lineRule="auto"/>
              <w:jc w:val="right"/>
              <w:rPr>
                <w:rFonts w:ascii="Tahoma" w:eastAsia="Times New Roman" w:hAnsi="Tahoma" w:cs="Tahoma"/>
                <w:sz w:val="16"/>
                <w:szCs w:val="16"/>
                <w:lang w:eastAsia="hr-HR"/>
              </w:rPr>
            </w:pPr>
            <w:r w:rsidRPr="00BF5E3C">
              <w:rPr>
                <w:rFonts w:ascii="Tahoma" w:eastAsia="Times New Roman" w:hAnsi="Tahoma" w:cs="Tahoma"/>
                <w:sz w:val="16"/>
                <w:szCs w:val="16"/>
                <w:lang w:eastAsia="hr-HR"/>
              </w:rPr>
              <w:t>0</w:t>
            </w:r>
          </w:p>
        </w:tc>
        <w:tc>
          <w:tcPr>
            <w:tcW w:w="399" w:type="dxa"/>
            <w:tcBorders>
              <w:top w:val="nil"/>
              <w:left w:val="nil"/>
              <w:bottom w:val="single" w:sz="4" w:space="0" w:color="auto"/>
              <w:right w:val="single" w:sz="4" w:space="0" w:color="auto"/>
            </w:tcBorders>
            <w:shd w:val="clear" w:color="000000" w:fill="CCFFFF"/>
            <w:noWrap/>
            <w:vAlign w:val="bottom"/>
            <w:hideMark/>
          </w:tcPr>
          <w:p w14:paraId="40EACDF0" w14:textId="77777777" w:rsidR="00A72067" w:rsidRPr="00BF5E3C" w:rsidRDefault="00A72067" w:rsidP="00A72067">
            <w:pPr>
              <w:spacing w:after="0" w:line="240" w:lineRule="auto"/>
              <w:jc w:val="right"/>
              <w:rPr>
                <w:rFonts w:ascii="Tahoma" w:eastAsia="Times New Roman" w:hAnsi="Tahoma" w:cs="Tahoma"/>
                <w:sz w:val="16"/>
                <w:szCs w:val="16"/>
                <w:lang w:eastAsia="hr-HR"/>
              </w:rPr>
            </w:pPr>
            <w:r w:rsidRPr="00BF5E3C">
              <w:rPr>
                <w:rFonts w:ascii="Tahoma" w:eastAsia="Times New Roman" w:hAnsi="Tahoma" w:cs="Tahoma"/>
                <w:sz w:val="16"/>
                <w:szCs w:val="16"/>
                <w:lang w:eastAsia="hr-HR"/>
              </w:rPr>
              <w:t>0</w:t>
            </w:r>
          </w:p>
        </w:tc>
        <w:tc>
          <w:tcPr>
            <w:tcW w:w="489" w:type="dxa"/>
            <w:gridSpan w:val="2"/>
            <w:tcBorders>
              <w:top w:val="nil"/>
              <w:left w:val="nil"/>
              <w:bottom w:val="single" w:sz="4" w:space="0" w:color="auto"/>
              <w:right w:val="nil"/>
            </w:tcBorders>
            <w:shd w:val="clear" w:color="000000" w:fill="33CCCC"/>
            <w:noWrap/>
            <w:vAlign w:val="bottom"/>
            <w:hideMark/>
          </w:tcPr>
          <w:p w14:paraId="0AEB5426" w14:textId="77777777" w:rsidR="00A72067" w:rsidRPr="00BF5E3C" w:rsidRDefault="00A72067" w:rsidP="00A72067">
            <w:pPr>
              <w:spacing w:after="0" w:line="240" w:lineRule="auto"/>
              <w:jc w:val="right"/>
              <w:rPr>
                <w:rFonts w:ascii="Tahoma" w:eastAsia="Times New Roman" w:hAnsi="Tahoma" w:cs="Tahoma"/>
                <w:sz w:val="16"/>
                <w:szCs w:val="16"/>
                <w:lang w:eastAsia="hr-HR"/>
              </w:rPr>
            </w:pPr>
            <w:r w:rsidRPr="00BF5E3C">
              <w:rPr>
                <w:rFonts w:ascii="Tahoma" w:eastAsia="Times New Roman" w:hAnsi="Tahoma" w:cs="Tahoma"/>
                <w:sz w:val="16"/>
                <w:szCs w:val="16"/>
                <w:lang w:eastAsia="hr-HR"/>
              </w:rPr>
              <w:t>0</w:t>
            </w:r>
          </w:p>
        </w:tc>
        <w:tc>
          <w:tcPr>
            <w:tcW w:w="425" w:type="dxa"/>
            <w:tcBorders>
              <w:top w:val="nil"/>
              <w:left w:val="single" w:sz="4" w:space="0" w:color="auto"/>
              <w:bottom w:val="single" w:sz="4" w:space="0" w:color="auto"/>
              <w:right w:val="single" w:sz="8" w:space="0" w:color="auto"/>
            </w:tcBorders>
            <w:shd w:val="clear" w:color="000000" w:fill="33CCCC"/>
            <w:noWrap/>
            <w:vAlign w:val="bottom"/>
            <w:hideMark/>
          </w:tcPr>
          <w:p w14:paraId="0107E5C3" w14:textId="77777777" w:rsidR="00A72067" w:rsidRPr="00BF5E3C" w:rsidRDefault="00A72067" w:rsidP="00A72067">
            <w:pPr>
              <w:spacing w:after="0" w:line="240" w:lineRule="auto"/>
              <w:jc w:val="right"/>
              <w:rPr>
                <w:rFonts w:ascii="Tahoma" w:eastAsia="Times New Roman" w:hAnsi="Tahoma" w:cs="Tahoma"/>
                <w:sz w:val="16"/>
                <w:szCs w:val="16"/>
                <w:lang w:eastAsia="hr-HR"/>
              </w:rPr>
            </w:pPr>
            <w:r w:rsidRPr="00BF5E3C">
              <w:rPr>
                <w:rFonts w:ascii="Tahoma" w:eastAsia="Times New Roman" w:hAnsi="Tahoma" w:cs="Tahoma"/>
                <w:sz w:val="16"/>
                <w:szCs w:val="16"/>
                <w:lang w:eastAsia="hr-HR"/>
              </w:rPr>
              <w:t>2</w:t>
            </w:r>
          </w:p>
        </w:tc>
        <w:tc>
          <w:tcPr>
            <w:tcW w:w="236" w:type="dxa"/>
            <w:vAlign w:val="center"/>
            <w:hideMark/>
          </w:tcPr>
          <w:p w14:paraId="270626E9" w14:textId="77777777" w:rsidR="00A72067" w:rsidRPr="00BF5E3C" w:rsidRDefault="00A72067" w:rsidP="00A72067">
            <w:pPr>
              <w:spacing w:after="0" w:line="240" w:lineRule="auto"/>
              <w:rPr>
                <w:rFonts w:ascii="Times New Roman" w:eastAsia="Times New Roman" w:hAnsi="Times New Roman" w:cs="Times New Roman"/>
                <w:sz w:val="16"/>
                <w:szCs w:val="16"/>
                <w:lang w:eastAsia="hr-HR"/>
              </w:rPr>
            </w:pPr>
          </w:p>
        </w:tc>
      </w:tr>
      <w:tr w:rsidR="00F90F6F" w:rsidRPr="00BF5E3C" w14:paraId="0923A61D" w14:textId="77777777" w:rsidTr="00F90F6F">
        <w:trPr>
          <w:gridAfter w:val="1"/>
          <w:wAfter w:w="32" w:type="dxa"/>
          <w:trHeight w:val="402"/>
        </w:trPr>
        <w:tc>
          <w:tcPr>
            <w:tcW w:w="979" w:type="dxa"/>
            <w:tcBorders>
              <w:top w:val="nil"/>
              <w:left w:val="single" w:sz="8" w:space="0" w:color="auto"/>
              <w:bottom w:val="single" w:sz="4" w:space="0" w:color="auto"/>
              <w:right w:val="single" w:sz="4" w:space="0" w:color="auto"/>
            </w:tcBorders>
            <w:shd w:val="clear" w:color="000000" w:fill="CCFFCC"/>
            <w:vAlign w:val="center"/>
            <w:hideMark/>
          </w:tcPr>
          <w:p w14:paraId="14EA5BFB" w14:textId="77777777" w:rsidR="00A72067" w:rsidRPr="00BF5E3C" w:rsidRDefault="00A72067" w:rsidP="00A72067">
            <w:pPr>
              <w:spacing w:after="0" w:line="240" w:lineRule="auto"/>
              <w:rPr>
                <w:rFonts w:ascii="Tahoma" w:eastAsia="Times New Roman" w:hAnsi="Tahoma" w:cs="Tahoma"/>
                <w:sz w:val="16"/>
                <w:szCs w:val="16"/>
                <w:lang w:eastAsia="hr-HR"/>
              </w:rPr>
            </w:pPr>
            <w:r w:rsidRPr="00BF5E3C">
              <w:rPr>
                <w:rFonts w:ascii="Tahoma" w:eastAsia="Times New Roman" w:hAnsi="Tahoma" w:cs="Tahoma"/>
                <w:sz w:val="16"/>
                <w:szCs w:val="16"/>
                <w:lang w:eastAsia="hr-HR"/>
              </w:rPr>
              <w:t>Socijalno podrijetlo</w:t>
            </w:r>
          </w:p>
        </w:tc>
        <w:tc>
          <w:tcPr>
            <w:tcW w:w="520" w:type="dxa"/>
            <w:tcBorders>
              <w:top w:val="nil"/>
              <w:left w:val="nil"/>
              <w:bottom w:val="single" w:sz="4" w:space="0" w:color="auto"/>
              <w:right w:val="single" w:sz="4" w:space="0" w:color="auto"/>
            </w:tcBorders>
            <w:shd w:val="clear" w:color="000000" w:fill="FFCC99"/>
            <w:noWrap/>
            <w:vAlign w:val="bottom"/>
            <w:hideMark/>
          </w:tcPr>
          <w:p w14:paraId="7DD76C48" w14:textId="77777777" w:rsidR="00A72067" w:rsidRPr="00BF5E3C" w:rsidRDefault="00A72067" w:rsidP="00A72067">
            <w:pPr>
              <w:spacing w:after="0" w:line="240" w:lineRule="auto"/>
              <w:jc w:val="center"/>
              <w:rPr>
                <w:rFonts w:ascii="Tahoma" w:eastAsia="Times New Roman" w:hAnsi="Tahoma" w:cs="Tahoma"/>
                <w:sz w:val="16"/>
                <w:szCs w:val="16"/>
                <w:lang w:eastAsia="hr-HR"/>
              </w:rPr>
            </w:pPr>
            <w:r w:rsidRPr="00BF5E3C">
              <w:rPr>
                <w:rFonts w:ascii="Tahoma" w:eastAsia="Times New Roman" w:hAnsi="Tahoma" w:cs="Tahoma"/>
                <w:sz w:val="16"/>
                <w:szCs w:val="16"/>
                <w:lang w:eastAsia="hr-HR"/>
              </w:rPr>
              <w:t>2</w:t>
            </w:r>
          </w:p>
        </w:tc>
        <w:tc>
          <w:tcPr>
            <w:tcW w:w="420" w:type="dxa"/>
            <w:tcBorders>
              <w:top w:val="nil"/>
              <w:left w:val="nil"/>
              <w:bottom w:val="single" w:sz="4" w:space="0" w:color="auto"/>
              <w:right w:val="single" w:sz="4" w:space="0" w:color="auto"/>
            </w:tcBorders>
            <w:shd w:val="clear" w:color="000000" w:fill="FFFF00"/>
            <w:noWrap/>
            <w:vAlign w:val="bottom"/>
            <w:hideMark/>
          </w:tcPr>
          <w:p w14:paraId="4C620246" w14:textId="77777777" w:rsidR="00A72067" w:rsidRPr="00BF5E3C" w:rsidRDefault="00A72067" w:rsidP="00A72067">
            <w:pPr>
              <w:spacing w:after="0" w:line="240" w:lineRule="auto"/>
              <w:jc w:val="center"/>
              <w:rPr>
                <w:rFonts w:ascii="Tahoma" w:eastAsia="Times New Roman" w:hAnsi="Tahoma" w:cs="Tahoma"/>
                <w:sz w:val="16"/>
                <w:szCs w:val="16"/>
                <w:lang w:eastAsia="hr-HR"/>
              </w:rPr>
            </w:pPr>
            <w:r w:rsidRPr="00BF5E3C">
              <w:rPr>
                <w:rFonts w:ascii="Tahoma" w:eastAsia="Times New Roman" w:hAnsi="Tahoma" w:cs="Tahoma"/>
                <w:sz w:val="16"/>
                <w:szCs w:val="16"/>
                <w:lang w:eastAsia="hr-HR"/>
              </w:rPr>
              <w:t>1</w:t>
            </w:r>
          </w:p>
        </w:tc>
        <w:tc>
          <w:tcPr>
            <w:tcW w:w="665" w:type="dxa"/>
            <w:tcBorders>
              <w:top w:val="nil"/>
              <w:left w:val="nil"/>
              <w:bottom w:val="single" w:sz="4" w:space="0" w:color="auto"/>
              <w:right w:val="single" w:sz="4" w:space="0" w:color="auto"/>
            </w:tcBorders>
            <w:shd w:val="clear" w:color="000000" w:fill="CCFFFF"/>
            <w:noWrap/>
            <w:vAlign w:val="bottom"/>
            <w:hideMark/>
          </w:tcPr>
          <w:p w14:paraId="66FE2041" w14:textId="77777777" w:rsidR="00A72067" w:rsidRPr="00BF5E3C" w:rsidRDefault="00A72067" w:rsidP="00A72067">
            <w:pPr>
              <w:spacing w:after="0" w:line="240" w:lineRule="auto"/>
              <w:jc w:val="right"/>
              <w:rPr>
                <w:rFonts w:ascii="Tahoma" w:eastAsia="Times New Roman" w:hAnsi="Tahoma" w:cs="Tahoma"/>
                <w:sz w:val="16"/>
                <w:szCs w:val="16"/>
                <w:lang w:eastAsia="hr-HR"/>
              </w:rPr>
            </w:pPr>
            <w:r w:rsidRPr="00BF5E3C">
              <w:rPr>
                <w:rFonts w:ascii="Tahoma" w:eastAsia="Times New Roman" w:hAnsi="Tahoma" w:cs="Tahoma"/>
                <w:sz w:val="16"/>
                <w:szCs w:val="16"/>
                <w:lang w:eastAsia="hr-HR"/>
              </w:rPr>
              <w:t>1</w:t>
            </w:r>
          </w:p>
        </w:tc>
        <w:tc>
          <w:tcPr>
            <w:tcW w:w="571" w:type="dxa"/>
            <w:tcBorders>
              <w:top w:val="nil"/>
              <w:left w:val="nil"/>
              <w:bottom w:val="single" w:sz="4" w:space="0" w:color="auto"/>
              <w:right w:val="single" w:sz="4" w:space="0" w:color="auto"/>
            </w:tcBorders>
            <w:shd w:val="clear" w:color="000000" w:fill="CCFFFF"/>
            <w:noWrap/>
            <w:vAlign w:val="bottom"/>
            <w:hideMark/>
          </w:tcPr>
          <w:p w14:paraId="3E283BE0" w14:textId="77777777" w:rsidR="00A72067" w:rsidRPr="00BF5E3C" w:rsidRDefault="00A72067" w:rsidP="00A72067">
            <w:pPr>
              <w:spacing w:after="0" w:line="240" w:lineRule="auto"/>
              <w:jc w:val="right"/>
              <w:rPr>
                <w:rFonts w:ascii="Tahoma" w:eastAsia="Times New Roman" w:hAnsi="Tahoma" w:cs="Tahoma"/>
                <w:sz w:val="16"/>
                <w:szCs w:val="16"/>
                <w:lang w:eastAsia="hr-HR"/>
              </w:rPr>
            </w:pPr>
            <w:r w:rsidRPr="00BF5E3C">
              <w:rPr>
                <w:rFonts w:ascii="Tahoma" w:eastAsia="Times New Roman" w:hAnsi="Tahoma" w:cs="Tahoma"/>
                <w:sz w:val="16"/>
                <w:szCs w:val="16"/>
                <w:lang w:eastAsia="hr-HR"/>
              </w:rPr>
              <w:t>0</w:t>
            </w:r>
          </w:p>
        </w:tc>
        <w:tc>
          <w:tcPr>
            <w:tcW w:w="700" w:type="dxa"/>
            <w:tcBorders>
              <w:top w:val="nil"/>
              <w:left w:val="nil"/>
              <w:bottom w:val="single" w:sz="4" w:space="0" w:color="auto"/>
              <w:right w:val="single" w:sz="4" w:space="0" w:color="auto"/>
            </w:tcBorders>
            <w:shd w:val="clear" w:color="000000" w:fill="FFFF99"/>
            <w:noWrap/>
            <w:vAlign w:val="bottom"/>
            <w:hideMark/>
          </w:tcPr>
          <w:p w14:paraId="288DC72F" w14:textId="77777777" w:rsidR="00A72067" w:rsidRPr="00BF5E3C" w:rsidRDefault="00A72067" w:rsidP="00A72067">
            <w:pPr>
              <w:spacing w:after="0" w:line="240" w:lineRule="auto"/>
              <w:jc w:val="center"/>
              <w:rPr>
                <w:rFonts w:ascii="Tahoma" w:eastAsia="Times New Roman" w:hAnsi="Tahoma" w:cs="Tahoma"/>
                <w:sz w:val="16"/>
                <w:szCs w:val="16"/>
                <w:lang w:eastAsia="hr-HR"/>
              </w:rPr>
            </w:pPr>
            <w:r w:rsidRPr="00BF5E3C">
              <w:rPr>
                <w:rFonts w:ascii="Tahoma" w:eastAsia="Times New Roman" w:hAnsi="Tahoma" w:cs="Tahoma"/>
                <w:sz w:val="16"/>
                <w:szCs w:val="16"/>
                <w:lang w:eastAsia="hr-HR"/>
              </w:rPr>
              <w:t>0</w:t>
            </w:r>
          </w:p>
        </w:tc>
        <w:tc>
          <w:tcPr>
            <w:tcW w:w="698" w:type="dxa"/>
            <w:tcBorders>
              <w:top w:val="nil"/>
              <w:left w:val="nil"/>
              <w:bottom w:val="single" w:sz="4" w:space="0" w:color="auto"/>
              <w:right w:val="single" w:sz="4" w:space="0" w:color="auto"/>
            </w:tcBorders>
            <w:shd w:val="clear" w:color="000000" w:fill="FFFF99"/>
            <w:noWrap/>
            <w:vAlign w:val="bottom"/>
            <w:hideMark/>
          </w:tcPr>
          <w:p w14:paraId="621F2280" w14:textId="77777777" w:rsidR="00A72067" w:rsidRPr="00BF5E3C" w:rsidRDefault="00A72067" w:rsidP="00A72067">
            <w:pPr>
              <w:spacing w:after="0" w:line="240" w:lineRule="auto"/>
              <w:jc w:val="center"/>
              <w:rPr>
                <w:rFonts w:ascii="Tahoma" w:eastAsia="Times New Roman" w:hAnsi="Tahoma" w:cs="Tahoma"/>
                <w:sz w:val="16"/>
                <w:szCs w:val="16"/>
                <w:lang w:eastAsia="hr-HR"/>
              </w:rPr>
            </w:pPr>
            <w:r w:rsidRPr="00BF5E3C">
              <w:rPr>
                <w:rFonts w:ascii="Tahoma" w:eastAsia="Times New Roman" w:hAnsi="Tahoma" w:cs="Tahoma"/>
                <w:sz w:val="16"/>
                <w:szCs w:val="16"/>
                <w:lang w:eastAsia="hr-HR"/>
              </w:rPr>
              <w:t>1</w:t>
            </w:r>
          </w:p>
        </w:tc>
        <w:tc>
          <w:tcPr>
            <w:tcW w:w="698" w:type="dxa"/>
            <w:tcBorders>
              <w:top w:val="nil"/>
              <w:left w:val="nil"/>
              <w:bottom w:val="single" w:sz="4" w:space="0" w:color="auto"/>
              <w:right w:val="single" w:sz="4" w:space="0" w:color="auto"/>
            </w:tcBorders>
            <w:shd w:val="clear" w:color="000000" w:fill="FFFF99"/>
            <w:noWrap/>
            <w:vAlign w:val="bottom"/>
            <w:hideMark/>
          </w:tcPr>
          <w:p w14:paraId="5F7B6CD4" w14:textId="77777777" w:rsidR="00A72067" w:rsidRPr="00BF5E3C" w:rsidRDefault="00A72067" w:rsidP="00A72067">
            <w:pPr>
              <w:spacing w:after="0" w:line="240" w:lineRule="auto"/>
              <w:jc w:val="center"/>
              <w:rPr>
                <w:rFonts w:ascii="Tahoma" w:eastAsia="Times New Roman" w:hAnsi="Tahoma" w:cs="Tahoma"/>
                <w:sz w:val="16"/>
                <w:szCs w:val="16"/>
                <w:lang w:eastAsia="hr-HR"/>
              </w:rPr>
            </w:pPr>
            <w:r w:rsidRPr="00BF5E3C">
              <w:rPr>
                <w:rFonts w:ascii="Tahoma" w:eastAsia="Times New Roman" w:hAnsi="Tahoma" w:cs="Tahoma"/>
                <w:sz w:val="16"/>
                <w:szCs w:val="16"/>
                <w:lang w:eastAsia="hr-HR"/>
              </w:rPr>
              <w:t>0</w:t>
            </w:r>
          </w:p>
        </w:tc>
        <w:tc>
          <w:tcPr>
            <w:tcW w:w="698" w:type="dxa"/>
            <w:tcBorders>
              <w:top w:val="nil"/>
              <w:left w:val="nil"/>
              <w:bottom w:val="single" w:sz="4" w:space="0" w:color="auto"/>
              <w:right w:val="single" w:sz="4" w:space="0" w:color="auto"/>
            </w:tcBorders>
            <w:shd w:val="clear" w:color="000000" w:fill="FFFF99"/>
            <w:noWrap/>
            <w:vAlign w:val="bottom"/>
            <w:hideMark/>
          </w:tcPr>
          <w:p w14:paraId="1D0AE32D" w14:textId="77777777" w:rsidR="00A72067" w:rsidRPr="00BF5E3C" w:rsidRDefault="00A72067" w:rsidP="00A72067">
            <w:pPr>
              <w:spacing w:after="0" w:line="240" w:lineRule="auto"/>
              <w:jc w:val="center"/>
              <w:rPr>
                <w:rFonts w:ascii="Tahoma" w:eastAsia="Times New Roman" w:hAnsi="Tahoma" w:cs="Tahoma"/>
                <w:sz w:val="16"/>
                <w:szCs w:val="16"/>
                <w:lang w:eastAsia="hr-HR"/>
              </w:rPr>
            </w:pPr>
            <w:r w:rsidRPr="00BF5E3C">
              <w:rPr>
                <w:rFonts w:ascii="Tahoma" w:eastAsia="Times New Roman" w:hAnsi="Tahoma" w:cs="Tahoma"/>
                <w:sz w:val="16"/>
                <w:szCs w:val="16"/>
                <w:lang w:eastAsia="hr-HR"/>
              </w:rPr>
              <w:t>0</w:t>
            </w:r>
          </w:p>
        </w:tc>
        <w:tc>
          <w:tcPr>
            <w:tcW w:w="527" w:type="dxa"/>
            <w:tcBorders>
              <w:top w:val="nil"/>
              <w:left w:val="nil"/>
              <w:bottom w:val="single" w:sz="4" w:space="0" w:color="auto"/>
              <w:right w:val="single" w:sz="4" w:space="0" w:color="auto"/>
            </w:tcBorders>
            <w:shd w:val="clear" w:color="000000" w:fill="FFFF99"/>
            <w:noWrap/>
            <w:vAlign w:val="bottom"/>
            <w:hideMark/>
          </w:tcPr>
          <w:p w14:paraId="45B9E6E0" w14:textId="77777777" w:rsidR="00A72067" w:rsidRPr="00BF5E3C" w:rsidRDefault="00A72067" w:rsidP="00A72067">
            <w:pPr>
              <w:spacing w:after="0" w:line="240" w:lineRule="auto"/>
              <w:jc w:val="center"/>
              <w:rPr>
                <w:rFonts w:ascii="Tahoma" w:eastAsia="Times New Roman" w:hAnsi="Tahoma" w:cs="Tahoma"/>
                <w:sz w:val="16"/>
                <w:szCs w:val="16"/>
                <w:lang w:eastAsia="hr-HR"/>
              </w:rPr>
            </w:pPr>
            <w:r w:rsidRPr="00BF5E3C">
              <w:rPr>
                <w:rFonts w:ascii="Tahoma" w:eastAsia="Times New Roman" w:hAnsi="Tahoma" w:cs="Tahoma"/>
                <w:sz w:val="16"/>
                <w:szCs w:val="16"/>
                <w:lang w:eastAsia="hr-HR"/>
              </w:rPr>
              <w:t>0</w:t>
            </w:r>
          </w:p>
        </w:tc>
        <w:tc>
          <w:tcPr>
            <w:tcW w:w="702" w:type="dxa"/>
            <w:tcBorders>
              <w:top w:val="nil"/>
              <w:left w:val="nil"/>
              <w:bottom w:val="single" w:sz="4" w:space="0" w:color="auto"/>
              <w:right w:val="single" w:sz="4" w:space="0" w:color="auto"/>
            </w:tcBorders>
            <w:shd w:val="clear" w:color="000000" w:fill="FFFF99"/>
            <w:noWrap/>
            <w:vAlign w:val="bottom"/>
            <w:hideMark/>
          </w:tcPr>
          <w:p w14:paraId="07DAFBB1" w14:textId="77777777" w:rsidR="00A72067" w:rsidRPr="00BF5E3C" w:rsidRDefault="00A72067" w:rsidP="00A72067">
            <w:pPr>
              <w:spacing w:after="0" w:line="240" w:lineRule="auto"/>
              <w:jc w:val="center"/>
              <w:rPr>
                <w:rFonts w:ascii="Tahoma" w:eastAsia="Times New Roman" w:hAnsi="Tahoma" w:cs="Tahoma"/>
                <w:sz w:val="16"/>
                <w:szCs w:val="16"/>
                <w:lang w:eastAsia="hr-HR"/>
              </w:rPr>
            </w:pPr>
            <w:r w:rsidRPr="00BF5E3C">
              <w:rPr>
                <w:rFonts w:ascii="Tahoma" w:eastAsia="Times New Roman" w:hAnsi="Tahoma" w:cs="Tahoma"/>
                <w:sz w:val="16"/>
                <w:szCs w:val="16"/>
                <w:lang w:eastAsia="hr-HR"/>
              </w:rPr>
              <w:t>0</w:t>
            </w:r>
          </w:p>
        </w:tc>
        <w:tc>
          <w:tcPr>
            <w:tcW w:w="698" w:type="dxa"/>
            <w:tcBorders>
              <w:top w:val="nil"/>
              <w:left w:val="nil"/>
              <w:bottom w:val="single" w:sz="4" w:space="0" w:color="auto"/>
              <w:right w:val="single" w:sz="4" w:space="0" w:color="auto"/>
            </w:tcBorders>
            <w:shd w:val="clear" w:color="000000" w:fill="FF9900"/>
            <w:noWrap/>
            <w:vAlign w:val="bottom"/>
            <w:hideMark/>
          </w:tcPr>
          <w:p w14:paraId="76F66062" w14:textId="77777777" w:rsidR="00A72067" w:rsidRPr="00BF5E3C" w:rsidRDefault="00A72067" w:rsidP="00A72067">
            <w:pPr>
              <w:spacing w:after="0" w:line="240" w:lineRule="auto"/>
              <w:jc w:val="right"/>
              <w:rPr>
                <w:rFonts w:ascii="Tahoma" w:eastAsia="Times New Roman" w:hAnsi="Tahoma" w:cs="Tahoma"/>
                <w:sz w:val="16"/>
                <w:szCs w:val="16"/>
                <w:lang w:eastAsia="hr-HR"/>
              </w:rPr>
            </w:pPr>
            <w:r w:rsidRPr="00BF5E3C">
              <w:rPr>
                <w:rFonts w:ascii="Tahoma" w:eastAsia="Times New Roman" w:hAnsi="Tahoma" w:cs="Tahoma"/>
                <w:sz w:val="16"/>
                <w:szCs w:val="16"/>
                <w:lang w:eastAsia="hr-HR"/>
              </w:rPr>
              <w:t>0</w:t>
            </w:r>
          </w:p>
        </w:tc>
        <w:tc>
          <w:tcPr>
            <w:tcW w:w="439" w:type="dxa"/>
            <w:tcBorders>
              <w:top w:val="nil"/>
              <w:left w:val="nil"/>
              <w:bottom w:val="single" w:sz="4" w:space="0" w:color="auto"/>
              <w:right w:val="single" w:sz="4" w:space="0" w:color="auto"/>
            </w:tcBorders>
            <w:shd w:val="clear" w:color="000000" w:fill="FF9900"/>
            <w:noWrap/>
            <w:vAlign w:val="bottom"/>
            <w:hideMark/>
          </w:tcPr>
          <w:p w14:paraId="64DC7A73" w14:textId="77777777" w:rsidR="00A72067" w:rsidRPr="00BF5E3C" w:rsidRDefault="00A72067" w:rsidP="00A72067">
            <w:pPr>
              <w:spacing w:after="0" w:line="240" w:lineRule="auto"/>
              <w:jc w:val="right"/>
              <w:rPr>
                <w:rFonts w:ascii="Tahoma" w:eastAsia="Times New Roman" w:hAnsi="Tahoma" w:cs="Tahoma"/>
                <w:sz w:val="16"/>
                <w:szCs w:val="16"/>
                <w:lang w:eastAsia="hr-HR"/>
              </w:rPr>
            </w:pPr>
            <w:r w:rsidRPr="00BF5E3C">
              <w:rPr>
                <w:rFonts w:ascii="Tahoma" w:eastAsia="Times New Roman" w:hAnsi="Tahoma" w:cs="Tahoma"/>
                <w:sz w:val="16"/>
                <w:szCs w:val="16"/>
                <w:lang w:eastAsia="hr-HR"/>
              </w:rPr>
              <w:t>0</w:t>
            </w:r>
          </w:p>
        </w:tc>
        <w:tc>
          <w:tcPr>
            <w:tcW w:w="439" w:type="dxa"/>
            <w:tcBorders>
              <w:top w:val="nil"/>
              <w:left w:val="nil"/>
              <w:bottom w:val="single" w:sz="4" w:space="0" w:color="auto"/>
              <w:right w:val="single" w:sz="4" w:space="0" w:color="auto"/>
            </w:tcBorders>
            <w:shd w:val="clear" w:color="000000" w:fill="FF9900"/>
            <w:noWrap/>
            <w:vAlign w:val="bottom"/>
            <w:hideMark/>
          </w:tcPr>
          <w:p w14:paraId="79526883" w14:textId="77777777" w:rsidR="00A72067" w:rsidRPr="00BF5E3C" w:rsidRDefault="00A72067" w:rsidP="00A72067">
            <w:pPr>
              <w:spacing w:after="0" w:line="240" w:lineRule="auto"/>
              <w:jc w:val="right"/>
              <w:rPr>
                <w:rFonts w:ascii="Tahoma" w:eastAsia="Times New Roman" w:hAnsi="Tahoma" w:cs="Tahoma"/>
                <w:sz w:val="16"/>
                <w:szCs w:val="16"/>
                <w:lang w:eastAsia="hr-HR"/>
              </w:rPr>
            </w:pPr>
            <w:r w:rsidRPr="00BF5E3C">
              <w:rPr>
                <w:rFonts w:ascii="Tahoma" w:eastAsia="Times New Roman" w:hAnsi="Tahoma" w:cs="Tahoma"/>
                <w:sz w:val="16"/>
                <w:szCs w:val="16"/>
                <w:lang w:eastAsia="hr-HR"/>
              </w:rPr>
              <w:t>0</w:t>
            </w:r>
          </w:p>
        </w:tc>
        <w:tc>
          <w:tcPr>
            <w:tcW w:w="665" w:type="dxa"/>
            <w:tcBorders>
              <w:top w:val="nil"/>
              <w:left w:val="nil"/>
              <w:bottom w:val="single" w:sz="4" w:space="0" w:color="auto"/>
              <w:right w:val="single" w:sz="4" w:space="0" w:color="auto"/>
            </w:tcBorders>
            <w:shd w:val="clear" w:color="000000" w:fill="FFFF00"/>
            <w:vAlign w:val="center"/>
            <w:hideMark/>
          </w:tcPr>
          <w:p w14:paraId="69806884" w14:textId="77777777" w:rsidR="00A72067" w:rsidRPr="00BF5E3C" w:rsidRDefault="00A72067" w:rsidP="00A72067">
            <w:pPr>
              <w:spacing w:after="0" w:line="240" w:lineRule="auto"/>
              <w:jc w:val="center"/>
              <w:rPr>
                <w:rFonts w:ascii="Tahoma" w:eastAsia="Times New Roman" w:hAnsi="Tahoma" w:cs="Tahoma"/>
                <w:sz w:val="16"/>
                <w:szCs w:val="16"/>
                <w:lang w:eastAsia="hr-HR"/>
              </w:rPr>
            </w:pPr>
            <w:r w:rsidRPr="00BF5E3C">
              <w:rPr>
                <w:rFonts w:ascii="Tahoma" w:eastAsia="Times New Roman" w:hAnsi="Tahoma" w:cs="Tahoma"/>
                <w:sz w:val="16"/>
                <w:szCs w:val="16"/>
                <w:lang w:eastAsia="hr-HR"/>
              </w:rPr>
              <w:t>0</w:t>
            </w:r>
          </w:p>
        </w:tc>
        <w:tc>
          <w:tcPr>
            <w:tcW w:w="698" w:type="dxa"/>
            <w:tcBorders>
              <w:top w:val="nil"/>
              <w:left w:val="nil"/>
              <w:bottom w:val="single" w:sz="4" w:space="0" w:color="auto"/>
              <w:right w:val="single" w:sz="4" w:space="0" w:color="auto"/>
            </w:tcBorders>
            <w:shd w:val="clear" w:color="000000" w:fill="FF9900"/>
            <w:vAlign w:val="center"/>
            <w:hideMark/>
          </w:tcPr>
          <w:p w14:paraId="7E3684C3" w14:textId="77777777" w:rsidR="00A72067" w:rsidRPr="00BF5E3C" w:rsidRDefault="00A72067" w:rsidP="00A72067">
            <w:pPr>
              <w:spacing w:after="0" w:line="240" w:lineRule="auto"/>
              <w:jc w:val="center"/>
              <w:rPr>
                <w:rFonts w:ascii="Tahoma" w:eastAsia="Times New Roman" w:hAnsi="Tahoma" w:cs="Tahoma"/>
                <w:sz w:val="16"/>
                <w:szCs w:val="16"/>
                <w:lang w:eastAsia="hr-HR"/>
              </w:rPr>
            </w:pPr>
            <w:r w:rsidRPr="00BF5E3C">
              <w:rPr>
                <w:rFonts w:ascii="Tahoma" w:eastAsia="Times New Roman" w:hAnsi="Tahoma" w:cs="Tahoma"/>
                <w:sz w:val="16"/>
                <w:szCs w:val="16"/>
                <w:lang w:eastAsia="hr-HR"/>
              </w:rPr>
              <w:t>3</w:t>
            </w:r>
          </w:p>
        </w:tc>
        <w:tc>
          <w:tcPr>
            <w:tcW w:w="707" w:type="dxa"/>
            <w:tcBorders>
              <w:top w:val="nil"/>
              <w:left w:val="nil"/>
              <w:bottom w:val="single" w:sz="4" w:space="0" w:color="auto"/>
              <w:right w:val="single" w:sz="4" w:space="0" w:color="auto"/>
            </w:tcBorders>
            <w:shd w:val="clear" w:color="000000" w:fill="FF9900"/>
            <w:noWrap/>
            <w:vAlign w:val="center"/>
            <w:hideMark/>
          </w:tcPr>
          <w:p w14:paraId="0C9033DD" w14:textId="77777777" w:rsidR="00A72067" w:rsidRPr="00BF5E3C" w:rsidRDefault="00A72067" w:rsidP="00A72067">
            <w:pPr>
              <w:spacing w:after="0" w:line="240" w:lineRule="auto"/>
              <w:jc w:val="center"/>
              <w:rPr>
                <w:rFonts w:ascii="Tahoma" w:eastAsia="Times New Roman" w:hAnsi="Tahoma" w:cs="Tahoma"/>
                <w:sz w:val="16"/>
                <w:szCs w:val="16"/>
                <w:lang w:eastAsia="hr-HR"/>
              </w:rPr>
            </w:pPr>
            <w:r w:rsidRPr="00BF5E3C">
              <w:rPr>
                <w:rFonts w:ascii="Tahoma" w:eastAsia="Times New Roman" w:hAnsi="Tahoma" w:cs="Tahoma"/>
                <w:sz w:val="16"/>
                <w:szCs w:val="16"/>
                <w:lang w:eastAsia="hr-HR"/>
              </w:rPr>
              <w:t>0</w:t>
            </w:r>
          </w:p>
        </w:tc>
        <w:tc>
          <w:tcPr>
            <w:tcW w:w="707" w:type="dxa"/>
            <w:tcBorders>
              <w:top w:val="nil"/>
              <w:left w:val="nil"/>
              <w:bottom w:val="single" w:sz="4" w:space="0" w:color="auto"/>
              <w:right w:val="single" w:sz="4" w:space="0" w:color="auto"/>
            </w:tcBorders>
            <w:shd w:val="clear" w:color="000000" w:fill="FF9900"/>
            <w:noWrap/>
            <w:vAlign w:val="center"/>
            <w:hideMark/>
          </w:tcPr>
          <w:p w14:paraId="1322650D" w14:textId="77777777" w:rsidR="00A72067" w:rsidRPr="00BF5E3C" w:rsidRDefault="00A72067" w:rsidP="00A72067">
            <w:pPr>
              <w:spacing w:after="0" w:line="240" w:lineRule="auto"/>
              <w:jc w:val="center"/>
              <w:rPr>
                <w:rFonts w:ascii="Tahoma" w:eastAsia="Times New Roman" w:hAnsi="Tahoma" w:cs="Tahoma"/>
                <w:sz w:val="16"/>
                <w:szCs w:val="16"/>
                <w:lang w:eastAsia="hr-HR"/>
              </w:rPr>
            </w:pPr>
            <w:r w:rsidRPr="00BF5E3C">
              <w:rPr>
                <w:rFonts w:ascii="Tahoma" w:eastAsia="Times New Roman" w:hAnsi="Tahoma" w:cs="Tahoma"/>
                <w:sz w:val="16"/>
                <w:szCs w:val="16"/>
                <w:lang w:eastAsia="hr-HR"/>
              </w:rPr>
              <w:t>0</w:t>
            </w:r>
          </w:p>
        </w:tc>
        <w:tc>
          <w:tcPr>
            <w:tcW w:w="698" w:type="dxa"/>
            <w:tcBorders>
              <w:top w:val="nil"/>
              <w:left w:val="nil"/>
              <w:bottom w:val="single" w:sz="4" w:space="0" w:color="auto"/>
              <w:right w:val="single" w:sz="4" w:space="0" w:color="auto"/>
            </w:tcBorders>
            <w:shd w:val="clear" w:color="000000" w:fill="FF9900"/>
            <w:noWrap/>
            <w:vAlign w:val="center"/>
            <w:hideMark/>
          </w:tcPr>
          <w:p w14:paraId="298B6D4E" w14:textId="77777777" w:rsidR="00A72067" w:rsidRPr="00BF5E3C" w:rsidRDefault="00A72067" w:rsidP="00A72067">
            <w:pPr>
              <w:spacing w:after="0" w:line="240" w:lineRule="auto"/>
              <w:jc w:val="center"/>
              <w:rPr>
                <w:rFonts w:ascii="Tahoma" w:eastAsia="Times New Roman" w:hAnsi="Tahoma" w:cs="Tahoma"/>
                <w:sz w:val="16"/>
                <w:szCs w:val="16"/>
                <w:lang w:eastAsia="hr-HR"/>
              </w:rPr>
            </w:pPr>
            <w:r w:rsidRPr="00BF5E3C">
              <w:rPr>
                <w:rFonts w:ascii="Tahoma" w:eastAsia="Times New Roman" w:hAnsi="Tahoma" w:cs="Tahoma"/>
                <w:sz w:val="16"/>
                <w:szCs w:val="16"/>
                <w:lang w:eastAsia="hr-HR"/>
              </w:rPr>
              <w:t>0</w:t>
            </w:r>
          </w:p>
        </w:tc>
        <w:tc>
          <w:tcPr>
            <w:tcW w:w="377" w:type="dxa"/>
            <w:tcBorders>
              <w:top w:val="nil"/>
              <w:left w:val="nil"/>
              <w:bottom w:val="single" w:sz="4" w:space="0" w:color="auto"/>
              <w:right w:val="single" w:sz="4" w:space="0" w:color="auto"/>
            </w:tcBorders>
            <w:shd w:val="clear" w:color="000000" w:fill="CCFFFF"/>
            <w:noWrap/>
            <w:vAlign w:val="bottom"/>
            <w:hideMark/>
          </w:tcPr>
          <w:p w14:paraId="64ED0B0C" w14:textId="77777777" w:rsidR="00A72067" w:rsidRPr="00BF5E3C" w:rsidRDefault="00A72067" w:rsidP="00A72067">
            <w:pPr>
              <w:spacing w:after="0" w:line="240" w:lineRule="auto"/>
              <w:jc w:val="right"/>
              <w:rPr>
                <w:rFonts w:ascii="Tahoma" w:eastAsia="Times New Roman" w:hAnsi="Tahoma" w:cs="Tahoma"/>
                <w:sz w:val="16"/>
                <w:szCs w:val="16"/>
                <w:lang w:eastAsia="hr-HR"/>
              </w:rPr>
            </w:pPr>
            <w:r w:rsidRPr="00BF5E3C">
              <w:rPr>
                <w:rFonts w:ascii="Tahoma" w:eastAsia="Times New Roman" w:hAnsi="Tahoma" w:cs="Tahoma"/>
                <w:sz w:val="16"/>
                <w:szCs w:val="16"/>
                <w:lang w:eastAsia="hr-HR"/>
              </w:rPr>
              <w:t>0</w:t>
            </w:r>
          </w:p>
        </w:tc>
        <w:tc>
          <w:tcPr>
            <w:tcW w:w="388" w:type="dxa"/>
            <w:tcBorders>
              <w:top w:val="nil"/>
              <w:left w:val="nil"/>
              <w:bottom w:val="single" w:sz="4" w:space="0" w:color="auto"/>
              <w:right w:val="single" w:sz="4" w:space="0" w:color="auto"/>
            </w:tcBorders>
            <w:shd w:val="clear" w:color="000000" w:fill="CCFFFF"/>
            <w:noWrap/>
            <w:vAlign w:val="bottom"/>
            <w:hideMark/>
          </w:tcPr>
          <w:p w14:paraId="74CDB0A9" w14:textId="77777777" w:rsidR="00A72067" w:rsidRPr="00BF5E3C" w:rsidRDefault="00A72067" w:rsidP="00A72067">
            <w:pPr>
              <w:spacing w:after="0" w:line="240" w:lineRule="auto"/>
              <w:jc w:val="right"/>
              <w:rPr>
                <w:rFonts w:ascii="Tahoma" w:eastAsia="Times New Roman" w:hAnsi="Tahoma" w:cs="Tahoma"/>
                <w:sz w:val="16"/>
                <w:szCs w:val="16"/>
                <w:lang w:eastAsia="hr-HR"/>
              </w:rPr>
            </w:pPr>
            <w:r w:rsidRPr="00BF5E3C">
              <w:rPr>
                <w:rFonts w:ascii="Tahoma" w:eastAsia="Times New Roman" w:hAnsi="Tahoma" w:cs="Tahoma"/>
                <w:sz w:val="16"/>
                <w:szCs w:val="16"/>
                <w:lang w:eastAsia="hr-HR"/>
              </w:rPr>
              <w:t>0</w:t>
            </w:r>
          </w:p>
        </w:tc>
        <w:tc>
          <w:tcPr>
            <w:tcW w:w="399" w:type="dxa"/>
            <w:tcBorders>
              <w:top w:val="nil"/>
              <w:left w:val="nil"/>
              <w:bottom w:val="single" w:sz="4" w:space="0" w:color="auto"/>
              <w:right w:val="single" w:sz="4" w:space="0" w:color="auto"/>
            </w:tcBorders>
            <w:shd w:val="clear" w:color="000000" w:fill="CCFFFF"/>
            <w:noWrap/>
            <w:vAlign w:val="bottom"/>
            <w:hideMark/>
          </w:tcPr>
          <w:p w14:paraId="11FF336A" w14:textId="77777777" w:rsidR="00A72067" w:rsidRPr="00BF5E3C" w:rsidRDefault="00A72067" w:rsidP="00A72067">
            <w:pPr>
              <w:spacing w:after="0" w:line="240" w:lineRule="auto"/>
              <w:jc w:val="right"/>
              <w:rPr>
                <w:rFonts w:ascii="Tahoma" w:eastAsia="Times New Roman" w:hAnsi="Tahoma" w:cs="Tahoma"/>
                <w:sz w:val="16"/>
                <w:szCs w:val="16"/>
                <w:lang w:eastAsia="hr-HR"/>
              </w:rPr>
            </w:pPr>
            <w:r w:rsidRPr="00BF5E3C">
              <w:rPr>
                <w:rFonts w:ascii="Tahoma" w:eastAsia="Times New Roman" w:hAnsi="Tahoma" w:cs="Tahoma"/>
                <w:sz w:val="16"/>
                <w:szCs w:val="16"/>
                <w:lang w:eastAsia="hr-HR"/>
              </w:rPr>
              <w:t>0</w:t>
            </w:r>
          </w:p>
        </w:tc>
        <w:tc>
          <w:tcPr>
            <w:tcW w:w="489" w:type="dxa"/>
            <w:gridSpan w:val="2"/>
            <w:tcBorders>
              <w:top w:val="nil"/>
              <w:left w:val="nil"/>
              <w:bottom w:val="single" w:sz="4" w:space="0" w:color="auto"/>
              <w:right w:val="nil"/>
            </w:tcBorders>
            <w:shd w:val="clear" w:color="000000" w:fill="33CCCC"/>
            <w:noWrap/>
            <w:vAlign w:val="bottom"/>
            <w:hideMark/>
          </w:tcPr>
          <w:p w14:paraId="06643244" w14:textId="77777777" w:rsidR="00A72067" w:rsidRPr="00BF5E3C" w:rsidRDefault="00A72067" w:rsidP="00A72067">
            <w:pPr>
              <w:spacing w:after="0" w:line="240" w:lineRule="auto"/>
              <w:jc w:val="right"/>
              <w:rPr>
                <w:rFonts w:ascii="Tahoma" w:eastAsia="Times New Roman" w:hAnsi="Tahoma" w:cs="Tahoma"/>
                <w:sz w:val="16"/>
                <w:szCs w:val="16"/>
                <w:lang w:eastAsia="hr-HR"/>
              </w:rPr>
            </w:pPr>
            <w:r w:rsidRPr="00BF5E3C">
              <w:rPr>
                <w:rFonts w:ascii="Tahoma" w:eastAsia="Times New Roman" w:hAnsi="Tahoma" w:cs="Tahoma"/>
                <w:sz w:val="16"/>
                <w:szCs w:val="16"/>
                <w:lang w:eastAsia="hr-HR"/>
              </w:rPr>
              <w:t>0</w:t>
            </w:r>
          </w:p>
        </w:tc>
        <w:tc>
          <w:tcPr>
            <w:tcW w:w="425" w:type="dxa"/>
            <w:tcBorders>
              <w:top w:val="nil"/>
              <w:left w:val="single" w:sz="4" w:space="0" w:color="auto"/>
              <w:bottom w:val="single" w:sz="4" w:space="0" w:color="auto"/>
              <w:right w:val="single" w:sz="8" w:space="0" w:color="auto"/>
            </w:tcBorders>
            <w:shd w:val="clear" w:color="000000" w:fill="33CCCC"/>
            <w:noWrap/>
            <w:vAlign w:val="bottom"/>
            <w:hideMark/>
          </w:tcPr>
          <w:p w14:paraId="4CE91C7D" w14:textId="77777777" w:rsidR="00A72067" w:rsidRPr="00BF5E3C" w:rsidRDefault="00A72067" w:rsidP="00A72067">
            <w:pPr>
              <w:spacing w:after="0" w:line="240" w:lineRule="auto"/>
              <w:jc w:val="right"/>
              <w:rPr>
                <w:rFonts w:ascii="Tahoma" w:eastAsia="Times New Roman" w:hAnsi="Tahoma" w:cs="Tahoma"/>
                <w:sz w:val="16"/>
                <w:szCs w:val="16"/>
                <w:lang w:eastAsia="hr-HR"/>
              </w:rPr>
            </w:pPr>
            <w:r w:rsidRPr="00BF5E3C">
              <w:rPr>
                <w:rFonts w:ascii="Tahoma" w:eastAsia="Times New Roman" w:hAnsi="Tahoma" w:cs="Tahoma"/>
                <w:sz w:val="16"/>
                <w:szCs w:val="16"/>
                <w:lang w:eastAsia="hr-HR"/>
              </w:rPr>
              <w:t>0</w:t>
            </w:r>
          </w:p>
        </w:tc>
        <w:tc>
          <w:tcPr>
            <w:tcW w:w="236" w:type="dxa"/>
            <w:vAlign w:val="center"/>
            <w:hideMark/>
          </w:tcPr>
          <w:p w14:paraId="25F6D3AF" w14:textId="77777777" w:rsidR="00A72067" w:rsidRPr="00BF5E3C" w:rsidRDefault="00A72067" w:rsidP="00A72067">
            <w:pPr>
              <w:spacing w:after="0" w:line="240" w:lineRule="auto"/>
              <w:rPr>
                <w:rFonts w:ascii="Times New Roman" w:eastAsia="Times New Roman" w:hAnsi="Times New Roman" w:cs="Times New Roman"/>
                <w:sz w:val="16"/>
                <w:szCs w:val="16"/>
                <w:lang w:eastAsia="hr-HR"/>
              </w:rPr>
            </w:pPr>
          </w:p>
        </w:tc>
      </w:tr>
      <w:tr w:rsidR="00F90F6F" w:rsidRPr="00BF5E3C" w14:paraId="6B4ED20D" w14:textId="77777777" w:rsidTr="00F90F6F">
        <w:trPr>
          <w:gridAfter w:val="1"/>
          <w:wAfter w:w="32" w:type="dxa"/>
          <w:trHeight w:val="402"/>
        </w:trPr>
        <w:tc>
          <w:tcPr>
            <w:tcW w:w="979" w:type="dxa"/>
            <w:tcBorders>
              <w:top w:val="nil"/>
              <w:left w:val="single" w:sz="8" w:space="0" w:color="auto"/>
              <w:bottom w:val="single" w:sz="4" w:space="0" w:color="auto"/>
              <w:right w:val="single" w:sz="4" w:space="0" w:color="auto"/>
            </w:tcBorders>
            <w:shd w:val="clear" w:color="000000" w:fill="CCFFCC"/>
            <w:vAlign w:val="center"/>
            <w:hideMark/>
          </w:tcPr>
          <w:p w14:paraId="37A8493A" w14:textId="77777777" w:rsidR="00A72067" w:rsidRPr="00BF5E3C" w:rsidRDefault="00A72067" w:rsidP="00A72067">
            <w:pPr>
              <w:spacing w:after="0" w:line="240" w:lineRule="auto"/>
              <w:rPr>
                <w:rFonts w:ascii="Tahoma" w:eastAsia="Times New Roman" w:hAnsi="Tahoma" w:cs="Tahoma"/>
                <w:sz w:val="16"/>
                <w:szCs w:val="16"/>
                <w:lang w:eastAsia="hr-HR"/>
              </w:rPr>
            </w:pPr>
            <w:r w:rsidRPr="00BF5E3C">
              <w:rPr>
                <w:rFonts w:ascii="Tahoma" w:eastAsia="Times New Roman" w:hAnsi="Tahoma" w:cs="Tahoma"/>
                <w:sz w:val="16"/>
                <w:szCs w:val="16"/>
                <w:lang w:eastAsia="hr-HR"/>
              </w:rPr>
              <w:t>Imovno stanje</w:t>
            </w:r>
          </w:p>
        </w:tc>
        <w:tc>
          <w:tcPr>
            <w:tcW w:w="520" w:type="dxa"/>
            <w:tcBorders>
              <w:top w:val="nil"/>
              <w:left w:val="nil"/>
              <w:bottom w:val="single" w:sz="4" w:space="0" w:color="auto"/>
              <w:right w:val="single" w:sz="4" w:space="0" w:color="auto"/>
            </w:tcBorders>
            <w:shd w:val="clear" w:color="000000" w:fill="FFCC99"/>
            <w:noWrap/>
            <w:vAlign w:val="bottom"/>
            <w:hideMark/>
          </w:tcPr>
          <w:p w14:paraId="4E0E13BB" w14:textId="77777777" w:rsidR="00A72067" w:rsidRPr="00BF5E3C" w:rsidRDefault="00A72067" w:rsidP="00A72067">
            <w:pPr>
              <w:spacing w:after="0" w:line="240" w:lineRule="auto"/>
              <w:jc w:val="center"/>
              <w:rPr>
                <w:rFonts w:ascii="Tahoma" w:eastAsia="Times New Roman" w:hAnsi="Tahoma" w:cs="Tahoma"/>
                <w:sz w:val="16"/>
                <w:szCs w:val="16"/>
                <w:lang w:eastAsia="hr-HR"/>
              </w:rPr>
            </w:pPr>
            <w:r w:rsidRPr="00BF5E3C">
              <w:rPr>
                <w:rFonts w:ascii="Tahoma" w:eastAsia="Times New Roman" w:hAnsi="Tahoma" w:cs="Tahoma"/>
                <w:sz w:val="16"/>
                <w:szCs w:val="16"/>
                <w:lang w:eastAsia="hr-HR"/>
              </w:rPr>
              <w:t>2</w:t>
            </w:r>
          </w:p>
        </w:tc>
        <w:tc>
          <w:tcPr>
            <w:tcW w:w="420" w:type="dxa"/>
            <w:tcBorders>
              <w:top w:val="nil"/>
              <w:left w:val="nil"/>
              <w:bottom w:val="single" w:sz="4" w:space="0" w:color="auto"/>
              <w:right w:val="single" w:sz="4" w:space="0" w:color="auto"/>
            </w:tcBorders>
            <w:shd w:val="clear" w:color="000000" w:fill="FFFF00"/>
            <w:noWrap/>
            <w:vAlign w:val="bottom"/>
            <w:hideMark/>
          </w:tcPr>
          <w:p w14:paraId="0D17C8B9" w14:textId="77777777" w:rsidR="00A72067" w:rsidRPr="00BF5E3C" w:rsidRDefault="00A72067" w:rsidP="00A72067">
            <w:pPr>
              <w:spacing w:after="0" w:line="240" w:lineRule="auto"/>
              <w:jc w:val="center"/>
              <w:rPr>
                <w:rFonts w:ascii="Tahoma" w:eastAsia="Times New Roman" w:hAnsi="Tahoma" w:cs="Tahoma"/>
                <w:sz w:val="16"/>
                <w:szCs w:val="16"/>
                <w:lang w:eastAsia="hr-HR"/>
              </w:rPr>
            </w:pPr>
            <w:r w:rsidRPr="00BF5E3C">
              <w:rPr>
                <w:rFonts w:ascii="Tahoma" w:eastAsia="Times New Roman" w:hAnsi="Tahoma" w:cs="Tahoma"/>
                <w:sz w:val="16"/>
                <w:szCs w:val="16"/>
                <w:lang w:eastAsia="hr-HR"/>
              </w:rPr>
              <w:t>2</w:t>
            </w:r>
          </w:p>
        </w:tc>
        <w:tc>
          <w:tcPr>
            <w:tcW w:w="665" w:type="dxa"/>
            <w:tcBorders>
              <w:top w:val="nil"/>
              <w:left w:val="nil"/>
              <w:bottom w:val="single" w:sz="4" w:space="0" w:color="auto"/>
              <w:right w:val="single" w:sz="4" w:space="0" w:color="auto"/>
            </w:tcBorders>
            <w:shd w:val="clear" w:color="000000" w:fill="CCFFFF"/>
            <w:noWrap/>
            <w:vAlign w:val="bottom"/>
            <w:hideMark/>
          </w:tcPr>
          <w:p w14:paraId="647C283D" w14:textId="77777777" w:rsidR="00A72067" w:rsidRPr="00BF5E3C" w:rsidRDefault="00A72067" w:rsidP="00A72067">
            <w:pPr>
              <w:spacing w:after="0" w:line="240" w:lineRule="auto"/>
              <w:jc w:val="right"/>
              <w:rPr>
                <w:rFonts w:ascii="Tahoma" w:eastAsia="Times New Roman" w:hAnsi="Tahoma" w:cs="Tahoma"/>
                <w:sz w:val="16"/>
                <w:szCs w:val="16"/>
                <w:lang w:eastAsia="hr-HR"/>
              </w:rPr>
            </w:pPr>
            <w:r w:rsidRPr="00BF5E3C">
              <w:rPr>
                <w:rFonts w:ascii="Tahoma" w:eastAsia="Times New Roman" w:hAnsi="Tahoma" w:cs="Tahoma"/>
                <w:sz w:val="16"/>
                <w:szCs w:val="16"/>
                <w:lang w:eastAsia="hr-HR"/>
              </w:rPr>
              <w:t>1</w:t>
            </w:r>
          </w:p>
        </w:tc>
        <w:tc>
          <w:tcPr>
            <w:tcW w:w="571" w:type="dxa"/>
            <w:tcBorders>
              <w:top w:val="nil"/>
              <w:left w:val="nil"/>
              <w:bottom w:val="single" w:sz="4" w:space="0" w:color="auto"/>
              <w:right w:val="single" w:sz="4" w:space="0" w:color="auto"/>
            </w:tcBorders>
            <w:shd w:val="clear" w:color="000000" w:fill="CCFFFF"/>
            <w:noWrap/>
            <w:vAlign w:val="bottom"/>
            <w:hideMark/>
          </w:tcPr>
          <w:p w14:paraId="0A208D7F" w14:textId="77777777" w:rsidR="00A72067" w:rsidRPr="00BF5E3C" w:rsidRDefault="00A72067" w:rsidP="00A72067">
            <w:pPr>
              <w:spacing w:after="0" w:line="240" w:lineRule="auto"/>
              <w:jc w:val="right"/>
              <w:rPr>
                <w:rFonts w:ascii="Tahoma" w:eastAsia="Times New Roman" w:hAnsi="Tahoma" w:cs="Tahoma"/>
                <w:sz w:val="16"/>
                <w:szCs w:val="16"/>
                <w:lang w:eastAsia="hr-HR"/>
              </w:rPr>
            </w:pPr>
            <w:r w:rsidRPr="00BF5E3C">
              <w:rPr>
                <w:rFonts w:ascii="Tahoma" w:eastAsia="Times New Roman" w:hAnsi="Tahoma" w:cs="Tahoma"/>
                <w:sz w:val="16"/>
                <w:szCs w:val="16"/>
                <w:lang w:eastAsia="hr-HR"/>
              </w:rPr>
              <w:t>0</w:t>
            </w:r>
          </w:p>
        </w:tc>
        <w:tc>
          <w:tcPr>
            <w:tcW w:w="700" w:type="dxa"/>
            <w:tcBorders>
              <w:top w:val="nil"/>
              <w:left w:val="nil"/>
              <w:bottom w:val="single" w:sz="4" w:space="0" w:color="auto"/>
              <w:right w:val="single" w:sz="4" w:space="0" w:color="auto"/>
            </w:tcBorders>
            <w:shd w:val="clear" w:color="000000" w:fill="FFFF99"/>
            <w:noWrap/>
            <w:vAlign w:val="bottom"/>
            <w:hideMark/>
          </w:tcPr>
          <w:p w14:paraId="1DE0F2BE" w14:textId="77777777" w:rsidR="00A72067" w:rsidRPr="00BF5E3C" w:rsidRDefault="00A72067" w:rsidP="00A72067">
            <w:pPr>
              <w:spacing w:after="0" w:line="240" w:lineRule="auto"/>
              <w:jc w:val="center"/>
              <w:rPr>
                <w:rFonts w:ascii="Tahoma" w:eastAsia="Times New Roman" w:hAnsi="Tahoma" w:cs="Tahoma"/>
                <w:sz w:val="16"/>
                <w:szCs w:val="16"/>
                <w:lang w:eastAsia="hr-HR"/>
              </w:rPr>
            </w:pPr>
            <w:r w:rsidRPr="00BF5E3C">
              <w:rPr>
                <w:rFonts w:ascii="Tahoma" w:eastAsia="Times New Roman" w:hAnsi="Tahoma" w:cs="Tahoma"/>
                <w:sz w:val="16"/>
                <w:szCs w:val="16"/>
                <w:lang w:eastAsia="hr-HR"/>
              </w:rPr>
              <w:t>1</w:t>
            </w:r>
          </w:p>
        </w:tc>
        <w:tc>
          <w:tcPr>
            <w:tcW w:w="698" w:type="dxa"/>
            <w:tcBorders>
              <w:top w:val="nil"/>
              <w:left w:val="nil"/>
              <w:bottom w:val="single" w:sz="4" w:space="0" w:color="auto"/>
              <w:right w:val="single" w:sz="4" w:space="0" w:color="auto"/>
            </w:tcBorders>
            <w:shd w:val="clear" w:color="000000" w:fill="FFFF99"/>
            <w:noWrap/>
            <w:vAlign w:val="bottom"/>
            <w:hideMark/>
          </w:tcPr>
          <w:p w14:paraId="59CD1FF0" w14:textId="77777777" w:rsidR="00A72067" w:rsidRPr="00BF5E3C" w:rsidRDefault="00A72067" w:rsidP="00A72067">
            <w:pPr>
              <w:spacing w:after="0" w:line="240" w:lineRule="auto"/>
              <w:jc w:val="center"/>
              <w:rPr>
                <w:rFonts w:ascii="Tahoma" w:eastAsia="Times New Roman" w:hAnsi="Tahoma" w:cs="Tahoma"/>
                <w:sz w:val="16"/>
                <w:szCs w:val="16"/>
                <w:lang w:eastAsia="hr-HR"/>
              </w:rPr>
            </w:pPr>
            <w:r w:rsidRPr="00BF5E3C">
              <w:rPr>
                <w:rFonts w:ascii="Tahoma" w:eastAsia="Times New Roman" w:hAnsi="Tahoma" w:cs="Tahoma"/>
                <w:sz w:val="16"/>
                <w:szCs w:val="16"/>
                <w:lang w:eastAsia="hr-HR"/>
              </w:rPr>
              <w:t>0</w:t>
            </w:r>
          </w:p>
        </w:tc>
        <w:tc>
          <w:tcPr>
            <w:tcW w:w="698" w:type="dxa"/>
            <w:tcBorders>
              <w:top w:val="nil"/>
              <w:left w:val="nil"/>
              <w:bottom w:val="single" w:sz="4" w:space="0" w:color="auto"/>
              <w:right w:val="single" w:sz="4" w:space="0" w:color="auto"/>
            </w:tcBorders>
            <w:shd w:val="clear" w:color="000000" w:fill="FFFF99"/>
            <w:noWrap/>
            <w:vAlign w:val="bottom"/>
            <w:hideMark/>
          </w:tcPr>
          <w:p w14:paraId="2D4F2DE1" w14:textId="77777777" w:rsidR="00A72067" w:rsidRPr="00BF5E3C" w:rsidRDefault="00A72067" w:rsidP="00A72067">
            <w:pPr>
              <w:spacing w:after="0" w:line="240" w:lineRule="auto"/>
              <w:jc w:val="center"/>
              <w:rPr>
                <w:rFonts w:ascii="Tahoma" w:eastAsia="Times New Roman" w:hAnsi="Tahoma" w:cs="Tahoma"/>
                <w:sz w:val="16"/>
                <w:szCs w:val="16"/>
                <w:lang w:eastAsia="hr-HR"/>
              </w:rPr>
            </w:pPr>
            <w:r w:rsidRPr="00BF5E3C">
              <w:rPr>
                <w:rFonts w:ascii="Tahoma" w:eastAsia="Times New Roman" w:hAnsi="Tahoma" w:cs="Tahoma"/>
                <w:sz w:val="16"/>
                <w:szCs w:val="16"/>
                <w:lang w:eastAsia="hr-HR"/>
              </w:rPr>
              <w:t>0</w:t>
            </w:r>
          </w:p>
        </w:tc>
        <w:tc>
          <w:tcPr>
            <w:tcW w:w="698" w:type="dxa"/>
            <w:tcBorders>
              <w:top w:val="nil"/>
              <w:left w:val="nil"/>
              <w:bottom w:val="single" w:sz="4" w:space="0" w:color="auto"/>
              <w:right w:val="single" w:sz="4" w:space="0" w:color="auto"/>
            </w:tcBorders>
            <w:shd w:val="clear" w:color="000000" w:fill="FFFF99"/>
            <w:noWrap/>
            <w:vAlign w:val="bottom"/>
            <w:hideMark/>
          </w:tcPr>
          <w:p w14:paraId="519FD599" w14:textId="77777777" w:rsidR="00A72067" w:rsidRPr="00BF5E3C" w:rsidRDefault="00A72067" w:rsidP="00A72067">
            <w:pPr>
              <w:spacing w:after="0" w:line="240" w:lineRule="auto"/>
              <w:jc w:val="center"/>
              <w:rPr>
                <w:rFonts w:ascii="Tahoma" w:eastAsia="Times New Roman" w:hAnsi="Tahoma" w:cs="Tahoma"/>
                <w:sz w:val="16"/>
                <w:szCs w:val="16"/>
                <w:lang w:eastAsia="hr-HR"/>
              </w:rPr>
            </w:pPr>
            <w:r w:rsidRPr="00BF5E3C">
              <w:rPr>
                <w:rFonts w:ascii="Tahoma" w:eastAsia="Times New Roman" w:hAnsi="Tahoma" w:cs="Tahoma"/>
                <w:sz w:val="16"/>
                <w:szCs w:val="16"/>
                <w:lang w:eastAsia="hr-HR"/>
              </w:rPr>
              <w:t>0</w:t>
            </w:r>
          </w:p>
        </w:tc>
        <w:tc>
          <w:tcPr>
            <w:tcW w:w="527" w:type="dxa"/>
            <w:tcBorders>
              <w:top w:val="nil"/>
              <w:left w:val="nil"/>
              <w:bottom w:val="single" w:sz="4" w:space="0" w:color="auto"/>
              <w:right w:val="single" w:sz="4" w:space="0" w:color="auto"/>
            </w:tcBorders>
            <w:shd w:val="clear" w:color="000000" w:fill="FFFF99"/>
            <w:noWrap/>
            <w:vAlign w:val="bottom"/>
            <w:hideMark/>
          </w:tcPr>
          <w:p w14:paraId="7BD225A5" w14:textId="77777777" w:rsidR="00A72067" w:rsidRPr="00BF5E3C" w:rsidRDefault="00A72067" w:rsidP="00A72067">
            <w:pPr>
              <w:spacing w:after="0" w:line="240" w:lineRule="auto"/>
              <w:jc w:val="center"/>
              <w:rPr>
                <w:rFonts w:ascii="Tahoma" w:eastAsia="Times New Roman" w:hAnsi="Tahoma" w:cs="Tahoma"/>
                <w:sz w:val="16"/>
                <w:szCs w:val="16"/>
                <w:lang w:eastAsia="hr-HR"/>
              </w:rPr>
            </w:pPr>
            <w:r w:rsidRPr="00BF5E3C">
              <w:rPr>
                <w:rFonts w:ascii="Tahoma" w:eastAsia="Times New Roman" w:hAnsi="Tahoma" w:cs="Tahoma"/>
                <w:sz w:val="16"/>
                <w:szCs w:val="16"/>
                <w:lang w:eastAsia="hr-HR"/>
              </w:rPr>
              <w:t>0</w:t>
            </w:r>
          </w:p>
        </w:tc>
        <w:tc>
          <w:tcPr>
            <w:tcW w:w="702" w:type="dxa"/>
            <w:tcBorders>
              <w:top w:val="nil"/>
              <w:left w:val="nil"/>
              <w:bottom w:val="single" w:sz="4" w:space="0" w:color="auto"/>
              <w:right w:val="single" w:sz="4" w:space="0" w:color="auto"/>
            </w:tcBorders>
            <w:shd w:val="clear" w:color="000000" w:fill="FFFF99"/>
            <w:noWrap/>
            <w:vAlign w:val="bottom"/>
            <w:hideMark/>
          </w:tcPr>
          <w:p w14:paraId="47FB2DB1" w14:textId="77777777" w:rsidR="00A72067" w:rsidRPr="00BF5E3C" w:rsidRDefault="00A72067" w:rsidP="00A72067">
            <w:pPr>
              <w:spacing w:after="0" w:line="240" w:lineRule="auto"/>
              <w:jc w:val="center"/>
              <w:rPr>
                <w:rFonts w:ascii="Tahoma" w:eastAsia="Times New Roman" w:hAnsi="Tahoma" w:cs="Tahoma"/>
                <w:sz w:val="16"/>
                <w:szCs w:val="16"/>
                <w:lang w:eastAsia="hr-HR"/>
              </w:rPr>
            </w:pPr>
            <w:r w:rsidRPr="00BF5E3C">
              <w:rPr>
                <w:rFonts w:ascii="Tahoma" w:eastAsia="Times New Roman" w:hAnsi="Tahoma" w:cs="Tahoma"/>
                <w:sz w:val="16"/>
                <w:szCs w:val="16"/>
                <w:lang w:eastAsia="hr-HR"/>
              </w:rPr>
              <w:t>1</w:t>
            </w:r>
          </w:p>
        </w:tc>
        <w:tc>
          <w:tcPr>
            <w:tcW w:w="698" w:type="dxa"/>
            <w:tcBorders>
              <w:top w:val="nil"/>
              <w:left w:val="nil"/>
              <w:bottom w:val="single" w:sz="4" w:space="0" w:color="auto"/>
              <w:right w:val="single" w:sz="4" w:space="0" w:color="auto"/>
            </w:tcBorders>
            <w:shd w:val="clear" w:color="000000" w:fill="FF9900"/>
            <w:noWrap/>
            <w:vAlign w:val="bottom"/>
            <w:hideMark/>
          </w:tcPr>
          <w:p w14:paraId="0A14B7CB" w14:textId="77777777" w:rsidR="00A72067" w:rsidRPr="00BF5E3C" w:rsidRDefault="00A72067" w:rsidP="00A72067">
            <w:pPr>
              <w:spacing w:after="0" w:line="240" w:lineRule="auto"/>
              <w:jc w:val="right"/>
              <w:rPr>
                <w:rFonts w:ascii="Tahoma" w:eastAsia="Times New Roman" w:hAnsi="Tahoma" w:cs="Tahoma"/>
                <w:sz w:val="16"/>
                <w:szCs w:val="16"/>
                <w:lang w:eastAsia="hr-HR"/>
              </w:rPr>
            </w:pPr>
            <w:r w:rsidRPr="00BF5E3C">
              <w:rPr>
                <w:rFonts w:ascii="Tahoma" w:eastAsia="Times New Roman" w:hAnsi="Tahoma" w:cs="Tahoma"/>
                <w:sz w:val="16"/>
                <w:szCs w:val="16"/>
                <w:lang w:eastAsia="hr-HR"/>
              </w:rPr>
              <w:t>0</w:t>
            </w:r>
          </w:p>
        </w:tc>
        <w:tc>
          <w:tcPr>
            <w:tcW w:w="439" w:type="dxa"/>
            <w:tcBorders>
              <w:top w:val="nil"/>
              <w:left w:val="nil"/>
              <w:bottom w:val="single" w:sz="4" w:space="0" w:color="auto"/>
              <w:right w:val="single" w:sz="4" w:space="0" w:color="auto"/>
            </w:tcBorders>
            <w:shd w:val="clear" w:color="000000" w:fill="FF9900"/>
            <w:noWrap/>
            <w:vAlign w:val="bottom"/>
            <w:hideMark/>
          </w:tcPr>
          <w:p w14:paraId="57DBAE14" w14:textId="77777777" w:rsidR="00A72067" w:rsidRPr="00BF5E3C" w:rsidRDefault="00A72067" w:rsidP="00A72067">
            <w:pPr>
              <w:spacing w:after="0" w:line="240" w:lineRule="auto"/>
              <w:jc w:val="right"/>
              <w:rPr>
                <w:rFonts w:ascii="Tahoma" w:eastAsia="Times New Roman" w:hAnsi="Tahoma" w:cs="Tahoma"/>
                <w:sz w:val="16"/>
                <w:szCs w:val="16"/>
                <w:lang w:eastAsia="hr-HR"/>
              </w:rPr>
            </w:pPr>
            <w:r w:rsidRPr="00BF5E3C">
              <w:rPr>
                <w:rFonts w:ascii="Tahoma" w:eastAsia="Times New Roman" w:hAnsi="Tahoma" w:cs="Tahoma"/>
                <w:sz w:val="16"/>
                <w:szCs w:val="16"/>
                <w:lang w:eastAsia="hr-HR"/>
              </w:rPr>
              <w:t>0</w:t>
            </w:r>
          </w:p>
        </w:tc>
        <w:tc>
          <w:tcPr>
            <w:tcW w:w="439" w:type="dxa"/>
            <w:tcBorders>
              <w:top w:val="nil"/>
              <w:left w:val="nil"/>
              <w:bottom w:val="single" w:sz="4" w:space="0" w:color="auto"/>
              <w:right w:val="single" w:sz="4" w:space="0" w:color="auto"/>
            </w:tcBorders>
            <w:shd w:val="clear" w:color="000000" w:fill="FF9900"/>
            <w:noWrap/>
            <w:vAlign w:val="bottom"/>
            <w:hideMark/>
          </w:tcPr>
          <w:p w14:paraId="21B20C1C" w14:textId="77777777" w:rsidR="00A72067" w:rsidRPr="00BF5E3C" w:rsidRDefault="00A72067" w:rsidP="00A72067">
            <w:pPr>
              <w:spacing w:after="0" w:line="240" w:lineRule="auto"/>
              <w:jc w:val="right"/>
              <w:rPr>
                <w:rFonts w:ascii="Tahoma" w:eastAsia="Times New Roman" w:hAnsi="Tahoma" w:cs="Tahoma"/>
                <w:sz w:val="16"/>
                <w:szCs w:val="16"/>
                <w:lang w:eastAsia="hr-HR"/>
              </w:rPr>
            </w:pPr>
            <w:r w:rsidRPr="00BF5E3C">
              <w:rPr>
                <w:rFonts w:ascii="Tahoma" w:eastAsia="Times New Roman" w:hAnsi="Tahoma" w:cs="Tahoma"/>
                <w:sz w:val="16"/>
                <w:szCs w:val="16"/>
                <w:lang w:eastAsia="hr-HR"/>
              </w:rPr>
              <w:t>1</w:t>
            </w:r>
          </w:p>
        </w:tc>
        <w:tc>
          <w:tcPr>
            <w:tcW w:w="665" w:type="dxa"/>
            <w:tcBorders>
              <w:top w:val="nil"/>
              <w:left w:val="nil"/>
              <w:bottom w:val="single" w:sz="4" w:space="0" w:color="auto"/>
              <w:right w:val="single" w:sz="4" w:space="0" w:color="auto"/>
            </w:tcBorders>
            <w:shd w:val="clear" w:color="000000" w:fill="FFFF00"/>
            <w:vAlign w:val="center"/>
            <w:hideMark/>
          </w:tcPr>
          <w:p w14:paraId="468755A7" w14:textId="77777777" w:rsidR="00A72067" w:rsidRPr="00BF5E3C" w:rsidRDefault="00A72067" w:rsidP="00A72067">
            <w:pPr>
              <w:spacing w:after="0" w:line="240" w:lineRule="auto"/>
              <w:jc w:val="center"/>
              <w:rPr>
                <w:rFonts w:ascii="Tahoma" w:eastAsia="Times New Roman" w:hAnsi="Tahoma" w:cs="Tahoma"/>
                <w:sz w:val="16"/>
                <w:szCs w:val="16"/>
                <w:lang w:eastAsia="hr-HR"/>
              </w:rPr>
            </w:pPr>
            <w:r w:rsidRPr="00BF5E3C">
              <w:rPr>
                <w:rFonts w:ascii="Tahoma" w:eastAsia="Times New Roman" w:hAnsi="Tahoma" w:cs="Tahoma"/>
                <w:sz w:val="16"/>
                <w:szCs w:val="16"/>
                <w:lang w:eastAsia="hr-HR"/>
              </w:rPr>
              <w:t>1</w:t>
            </w:r>
          </w:p>
        </w:tc>
        <w:tc>
          <w:tcPr>
            <w:tcW w:w="698" w:type="dxa"/>
            <w:tcBorders>
              <w:top w:val="nil"/>
              <w:left w:val="nil"/>
              <w:bottom w:val="single" w:sz="4" w:space="0" w:color="auto"/>
              <w:right w:val="single" w:sz="4" w:space="0" w:color="auto"/>
            </w:tcBorders>
            <w:shd w:val="clear" w:color="000000" w:fill="FF9900"/>
            <w:vAlign w:val="center"/>
            <w:hideMark/>
          </w:tcPr>
          <w:p w14:paraId="50EDCC72" w14:textId="77777777" w:rsidR="00A72067" w:rsidRPr="00BF5E3C" w:rsidRDefault="00A72067" w:rsidP="00A72067">
            <w:pPr>
              <w:spacing w:after="0" w:line="240" w:lineRule="auto"/>
              <w:jc w:val="center"/>
              <w:rPr>
                <w:rFonts w:ascii="Tahoma" w:eastAsia="Times New Roman" w:hAnsi="Tahoma" w:cs="Tahoma"/>
                <w:sz w:val="16"/>
                <w:szCs w:val="16"/>
                <w:lang w:eastAsia="hr-HR"/>
              </w:rPr>
            </w:pPr>
            <w:r w:rsidRPr="00BF5E3C">
              <w:rPr>
                <w:rFonts w:ascii="Tahoma" w:eastAsia="Times New Roman" w:hAnsi="Tahoma" w:cs="Tahoma"/>
                <w:sz w:val="16"/>
                <w:szCs w:val="16"/>
                <w:lang w:eastAsia="hr-HR"/>
              </w:rPr>
              <w:t>3</w:t>
            </w:r>
          </w:p>
        </w:tc>
        <w:tc>
          <w:tcPr>
            <w:tcW w:w="707" w:type="dxa"/>
            <w:tcBorders>
              <w:top w:val="nil"/>
              <w:left w:val="nil"/>
              <w:bottom w:val="single" w:sz="4" w:space="0" w:color="auto"/>
              <w:right w:val="single" w:sz="4" w:space="0" w:color="auto"/>
            </w:tcBorders>
            <w:shd w:val="clear" w:color="000000" w:fill="FF9900"/>
            <w:noWrap/>
            <w:vAlign w:val="center"/>
            <w:hideMark/>
          </w:tcPr>
          <w:p w14:paraId="4DC91704" w14:textId="77777777" w:rsidR="00A72067" w:rsidRPr="00BF5E3C" w:rsidRDefault="00A72067" w:rsidP="00A72067">
            <w:pPr>
              <w:spacing w:after="0" w:line="240" w:lineRule="auto"/>
              <w:jc w:val="center"/>
              <w:rPr>
                <w:rFonts w:ascii="Tahoma" w:eastAsia="Times New Roman" w:hAnsi="Tahoma" w:cs="Tahoma"/>
                <w:sz w:val="16"/>
                <w:szCs w:val="16"/>
                <w:lang w:eastAsia="hr-HR"/>
              </w:rPr>
            </w:pPr>
            <w:r w:rsidRPr="00BF5E3C">
              <w:rPr>
                <w:rFonts w:ascii="Tahoma" w:eastAsia="Times New Roman" w:hAnsi="Tahoma" w:cs="Tahoma"/>
                <w:sz w:val="16"/>
                <w:szCs w:val="16"/>
                <w:lang w:eastAsia="hr-HR"/>
              </w:rPr>
              <w:t>0</w:t>
            </w:r>
          </w:p>
        </w:tc>
        <w:tc>
          <w:tcPr>
            <w:tcW w:w="707" w:type="dxa"/>
            <w:tcBorders>
              <w:top w:val="nil"/>
              <w:left w:val="nil"/>
              <w:bottom w:val="single" w:sz="4" w:space="0" w:color="auto"/>
              <w:right w:val="single" w:sz="4" w:space="0" w:color="auto"/>
            </w:tcBorders>
            <w:shd w:val="clear" w:color="000000" w:fill="FF9900"/>
            <w:noWrap/>
            <w:vAlign w:val="center"/>
            <w:hideMark/>
          </w:tcPr>
          <w:p w14:paraId="3684D9FB" w14:textId="77777777" w:rsidR="00A72067" w:rsidRPr="00BF5E3C" w:rsidRDefault="00A72067" w:rsidP="00A72067">
            <w:pPr>
              <w:spacing w:after="0" w:line="240" w:lineRule="auto"/>
              <w:jc w:val="center"/>
              <w:rPr>
                <w:rFonts w:ascii="Tahoma" w:eastAsia="Times New Roman" w:hAnsi="Tahoma" w:cs="Tahoma"/>
                <w:sz w:val="16"/>
                <w:szCs w:val="16"/>
                <w:lang w:eastAsia="hr-HR"/>
              </w:rPr>
            </w:pPr>
            <w:r w:rsidRPr="00BF5E3C">
              <w:rPr>
                <w:rFonts w:ascii="Tahoma" w:eastAsia="Times New Roman" w:hAnsi="Tahoma" w:cs="Tahoma"/>
                <w:sz w:val="16"/>
                <w:szCs w:val="16"/>
                <w:lang w:eastAsia="hr-HR"/>
              </w:rPr>
              <w:t>0</w:t>
            </w:r>
          </w:p>
        </w:tc>
        <w:tc>
          <w:tcPr>
            <w:tcW w:w="698" w:type="dxa"/>
            <w:tcBorders>
              <w:top w:val="nil"/>
              <w:left w:val="nil"/>
              <w:bottom w:val="single" w:sz="4" w:space="0" w:color="auto"/>
              <w:right w:val="single" w:sz="4" w:space="0" w:color="auto"/>
            </w:tcBorders>
            <w:shd w:val="clear" w:color="000000" w:fill="FF9900"/>
            <w:noWrap/>
            <w:vAlign w:val="center"/>
            <w:hideMark/>
          </w:tcPr>
          <w:p w14:paraId="21AB50BF" w14:textId="77777777" w:rsidR="00A72067" w:rsidRPr="00BF5E3C" w:rsidRDefault="00A72067" w:rsidP="00A72067">
            <w:pPr>
              <w:spacing w:after="0" w:line="240" w:lineRule="auto"/>
              <w:jc w:val="center"/>
              <w:rPr>
                <w:rFonts w:ascii="Tahoma" w:eastAsia="Times New Roman" w:hAnsi="Tahoma" w:cs="Tahoma"/>
                <w:sz w:val="16"/>
                <w:szCs w:val="16"/>
                <w:lang w:eastAsia="hr-HR"/>
              </w:rPr>
            </w:pPr>
            <w:r w:rsidRPr="00BF5E3C">
              <w:rPr>
                <w:rFonts w:ascii="Tahoma" w:eastAsia="Times New Roman" w:hAnsi="Tahoma" w:cs="Tahoma"/>
                <w:sz w:val="16"/>
                <w:szCs w:val="16"/>
                <w:lang w:eastAsia="hr-HR"/>
              </w:rPr>
              <w:t>0</w:t>
            </w:r>
          </w:p>
        </w:tc>
        <w:tc>
          <w:tcPr>
            <w:tcW w:w="377" w:type="dxa"/>
            <w:tcBorders>
              <w:top w:val="nil"/>
              <w:left w:val="nil"/>
              <w:bottom w:val="single" w:sz="4" w:space="0" w:color="auto"/>
              <w:right w:val="single" w:sz="4" w:space="0" w:color="auto"/>
            </w:tcBorders>
            <w:shd w:val="clear" w:color="000000" w:fill="CCFFFF"/>
            <w:noWrap/>
            <w:vAlign w:val="bottom"/>
            <w:hideMark/>
          </w:tcPr>
          <w:p w14:paraId="44456BB4" w14:textId="77777777" w:rsidR="00A72067" w:rsidRPr="00BF5E3C" w:rsidRDefault="00A72067" w:rsidP="00A72067">
            <w:pPr>
              <w:spacing w:after="0" w:line="240" w:lineRule="auto"/>
              <w:jc w:val="right"/>
              <w:rPr>
                <w:rFonts w:ascii="Tahoma" w:eastAsia="Times New Roman" w:hAnsi="Tahoma" w:cs="Tahoma"/>
                <w:sz w:val="16"/>
                <w:szCs w:val="16"/>
                <w:lang w:eastAsia="hr-HR"/>
              </w:rPr>
            </w:pPr>
            <w:r w:rsidRPr="00BF5E3C">
              <w:rPr>
                <w:rFonts w:ascii="Tahoma" w:eastAsia="Times New Roman" w:hAnsi="Tahoma" w:cs="Tahoma"/>
                <w:sz w:val="16"/>
                <w:szCs w:val="16"/>
                <w:lang w:eastAsia="hr-HR"/>
              </w:rPr>
              <w:t>0</w:t>
            </w:r>
          </w:p>
        </w:tc>
        <w:tc>
          <w:tcPr>
            <w:tcW w:w="388" w:type="dxa"/>
            <w:tcBorders>
              <w:top w:val="nil"/>
              <w:left w:val="nil"/>
              <w:bottom w:val="single" w:sz="4" w:space="0" w:color="auto"/>
              <w:right w:val="single" w:sz="4" w:space="0" w:color="auto"/>
            </w:tcBorders>
            <w:shd w:val="clear" w:color="000000" w:fill="CCFFFF"/>
            <w:noWrap/>
            <w:vAlign w:val="bottom"/>
            <w:hideMark/>
          </w:tcPr>
          <w:p w14:paraId="3641BAB3" w14:textId="77777777" w:rsidR="00A72067" w:rsidRPr="00BF5E3C" w:rsidRDefault="00A72067" w:rsidP="00A72067">
            <w:pPr>
              <w:spacing w:after="0" w:line="240" w:lineRule="auto"/>
              <w:jc w:val="right"/>
              <w:rPr>
                <w:rFonts w:ascii="Tahoma" w:eastAsia="Times New Roman" w:hAnsi="Tahoma" w:cs="Tahoma"/>
                <w:sz w:val="16"/>
                <w:szCs w:val="16"/>
                <w:lang w:eastAsia="hr-HR"/>
              </w:rPr>
            </w:pPr>
            <w:r w:rsidRPr="00BF5E3C">
              <w:rPr>
                <w:rFonts w:ascii="Tahoma" w:eastAsia="Times New Roman" w:hAnsi="Tahoma" w:cs="Tahoma"/>
                <w:sz w:val="16"/>
                <w:szCs w:val="16"/>
                <w:lang w:eastAsia="hr-HR"/>
              </w:rPr>
              <w:t>0</w:t>
            </w:r>
          </w:p>
        </w:tc>
        <w:tc>
          <w:tcPr>
            <w:tcW w:w="399" w:type="dxa"/>
            <w:tcBorders>
              <w:top w:val="nil"/>
              <w:left w:val="nil"/>
              <w:bottom w:val="single" w:sz="4" w:space="0" w:color="auto"/>
              <w:right w:val="single" w:sz="4" w:space="0" w:color="auto"/>
            </w:tcBorders>
            <w:shd w:val="clear" w:color="000000" w:fill="CCFFFF"/>
            <w:noWrap/>
            <w:vAlign w:val="bottom"/>
            <w:hideMark/>
          </w:tcPr>
          <w:p w14:paraId="12A4247F" w14:textId="77777777" w:rsidR="00A72067" w:rsidRPr="00BF5E3C" w:rsidRDefault="00A72067" w:rsidP="00A72067">
            <w:pPr>
              <w:spacing w:after="0" w:line="240" w:lineRule="auto"/>
              <w:jc w:val="right"/>
              <w:rPr>
                <w:rFonts w:ascii="Tahoma" w:eastAsia="Times New Roman" w:hAnsi="Tahoma" w:cs="Tahoma"/>
                <w:sz w:val="16"/>
                <w:szCs w:val="16"/>
                <w:lang w:eastAsia="hr-HR"/>
              </w:rPr>
            </w:pPr>
            <w:r w:rsidRPr="00BF5E3C">
              <w:rPr>
                <w:rFonts w:ascii="Tahoma" w:eastAsia="Times New Roman" w:hAnsi="Tahoma" w:cs="Tahoma"/>
                <w:sz w:val="16"/>
                <w:szCs w:val="16"/>
                <w:lang w:eastAsia="hr-HR"/>
              </w:rPr>
              <w:t>0</w:t>
            </w:r>
          </w:p>
        </w:tc>
        <w:tc>
          <w:tcPr>
            <w:tcW w:w="489" w:type="dxa"/>
            <w:gridSpan w:val="2"/>
            <w:tcBorders>
              <w:top w:val="nil"/>
              <w:left w:val="nil"/>
              <w:bottom w:val="single" w:sz="4" w:space="0" w:color="auto"/>
              <w:right w:val="nil"/>
            </w:tcBorders>
            <w:shd w:val="clear" w:color="000000" w:fill="33CCCC"/>
            <w:noWrap/>
            <w:vAlign w:val="bottom"/>
            <w:hideMark/>
          </w:tcPr>
          <w:p w14:paraId="3E18C9D8" w14:textId="77777777" w:rsidR="00A72067" w:rsidRPr="00BF5E3C" w:rsidRDefault="00A72067" w:rsidP="00A72067">
            <w:pPr>
              <w:spacing w:after="0" w:line="240" w:lineRule="auto"/>
              <w:jc w:val="right"/>
              <w:rPr>
                <w:rFonts w:ascii="Tahoma" w:eastAsia="Times New Roman" w:hAnsi="Tahoma" w:cs="Tahoma"/>
                <w:sz w:val="16"/>
                <w:szCs w:val="16"/>
                <w:lang w:eastAsia="hr-HR"/>
              </w:rPr>
            </w:pPr>
            <w:r w:rsidRPr="00BF5E3C">
              <w:rPr>
                <w:rFonts w:ascii="Tahoma" w:eastAsia="Times New Roman" w:hAnsi="Tahoma" w:cs="Tahoma"/>
                <w:sz w:val="16"/>
                <w:szCs w:val="16"/>
                <w:lang w:eastAsia="hr-HR"/>
              </w:rPr>
              <w:t>1</w:t>
            </w:r>
          </w:p>
        </w:tc>
        <w:tc>
          <w:tcPr>
            <w:tcW w:w="425" w:type="dxa"/>
            <w:tcBorders>
              <w:top w:val="nil"/>
              <w:left w:val="single" w:sz="4" w:space="0" w:color="auto"/>
              <w:bottom w:val="single" w:sz="4" w:space="0" w:color="auto"/>
              <w:right w:val="single" w:sz="8" w:space="0" w:color="auto"/>
            </w:tcBorders>
            <w:shd w:val="clear" w:color="000000" w:fill="33CCCC"/>
            <w:noWrap/>
            <w:vAlign w:val="bottom"/>
            <w:hideMark/>
          </w:tcPr>
          <w:p w14:paraId="580435AA" w14:textId="77777777" w:rsidR="00A72067" w:rsidRPr="00BF5E3C" w:rsidRDefault="00A72067" w:rsidP="00A72067">
            <w:pPr>
              <w:spacing w:after="0" w:line="240" w:lineRule="auto"/>
              <w:jc w:val="right"/>
              <w:rPr>
                <w:rFonts w:ascii="Tahoma" w:eastAsia="Times New Roman" w:hAnsi="Tahoma" w:cs="Tahoma"/>
                <w:sz w:val="16"/>
                <w:szCs w:val="16"/>
                <w:lang w:eastAsia="hr-HR"/>
              </w:rPr>
            </w:pPr>
            <w:r w:rsidRPr="00BF5E3C">
              <w:rPr>
                <w:rFonts w:ascii="Tahoma" w:eastAsia="Times New Roman" w:hAnsi="Tahoma" w:cs="Tahoma"/>
                <w:sz w:val="16"/>
                <w:szCs w:val="16"/>
                <w:lang w:eastAsia="hr-HR"/>
              </w:rPr>
              <w:t>0</w:t>
            </w:r>
          </w:p>
        </w:tc>
        <w:tc>
          <w:tcPr>
            <w:tcW w:w="236" w:type="dxa"/>
            <w:vAlign w:val="center"/>
            <w:hideMark/>
          </w:tcPr>
          <w:p w14:paraId="348B9E90" w14:textId="77777777" w:rsidR="00A72067" w:rsidRPr="00BF5E3C" w:rsidRDefault="00A72067" w:rsidP="00A72067">
            <w:pPr>
              <w:spacing w:after="0" w:line="240" w:lineRule="auto"/>
              <w:rPr>
                <w:rFonts w:ascii="Times New Roman" w:eastAsia="Times New Roman" w:hAnsi="Times New Roman" w:cs="Times New Roman"/>
                <w:sz w:val="16"/>
                <w:szCs w:val="16"/>
                <w:lang w:eastAsia="hr-HR"/>
              </w:rPr>
            </w:pPr>
          </w:p>
        </w:tc>
      </w:tr>
      <w:tr w:rsidR="00F90F6F" w:rsidRPr="00BF5E3C" w14:paraId="54C02482" w14:textId="77777777" w:rsidTr="00F90F6F">
        <w:trPr>
          <w:gridAfter w:val="1"/>
          <w:wAfter w:w="32" w:type="dxa"/>
          <w:trHeight w:val="402"/>
        </w:trPr>
        <w:tc>
          <w:tcPr>
            <w:tcW w:w="979" w:type="dxa"/>
            <w:tcBorders>
              <w:top w:val="nil"/>
              <w:left w:val="single" w:sz="8" w:space="0" w:color="auto"/>
              <w:bottom w:val="single" w:sz="4" w:space="0" w:color="auto"/>
              <w:right w:val="single" w:sz="4" w:space="0" w:color="auto"/>
            </w:tcBorders>
            <w:shd w:val="clear" w:color="000000" w:fill="CCFFCC"/>
            <w:vAlign w:val="center"/>
            <w:hideMark/>
          </w:tcPr>
          <w:p w14:paraId="49DD3176" w14:textId="77777777" w:rsidR="00A72067" w:rsidRPr="00BF5E3C" w:rsidRDefault="00A72067" w:rsidP="00A72067">
            <w:pPr>
              <w:spacing w:after="0" w:line="240" w:lineRule="auto"/>
              <w:rPr>
                <w:rFonts w:ascii="Tahoma" w:eastAsia="Times New Roman" w:hAnsi="Tahoma" w:cs="Tahoma"/>
                <w:sz w:val="16"/>
                <w:szCs w:val="16"/>
                <w:lang w:eastAsia="hr-HR"/>
              </w:rPr>
            </w:pPr>
            <w:r w:rsidRPr="00BF5E3C">
              <w:rPr>
                <w:rFonts w:ascii="Tahoma" w:eastAsia="Times New Roman" w:hAnsi="Tahoma" w:cs="Tahoma"/>
                <w:sz w:val="16"/>
                <w:szCs w:val="16"/>
                <w:lang w:eastAsia="hr-HR"/>
              </w:rPr>
              <w:t>Članstvo u sindikatu</w:t>
            </w:r>
          </w:p>
        </w:tc>
        <w:tc>
          <w:tcPr>
            <w:tcW w:w="520" w:type="dxa"/>
            <w:tcBorders>
              <w:top w:val="nil"/>
              <w:left w:val="nil"/>
              <w:bottom w:val="single" w:sz="4" w:space="0" w:color="auto"/>
              <w:right w:val="single" w:sz="4" w:space="0" w:color="auto"/>
            </w:tcBorders>
            <w:shd w:val="clear" w:color="000000" w:fill="FFCC99"/>
            <w:noWrap/>
            <w:vAlign w:val="bottom"/>
            <w:hideMark/>
          </w:tcPr>
          <w:p w14:paraId="45BF55B5" w14:textId="77777777" w:rsidR="00A72067" w:rsidRPr="00BF5E3C" w:rsidRDefault="00A72067" w:rsidP="00A72067">
            <w:pPr>
              <w:spacing w:after="0" w:line="240" w:lineRule="auto"/>
              <w:jc w:val="center"/>
              <w:rPr>
                <w:rFonts w:ascii="Tahoma" w:eastAsia="Times New Roman" w:hAnsi="Tahoma" w:cs="Tahoma"/>
                <w:sz w:val="16"/>
                <w:szCs w:val="16"/>
                <w:lang w:eastAsia="hr-HR"/>
              </w:rPr>
            </w:pPr>
            <w:r w:rsidRPr="00BF5E3C">
              <w:rPr>
                <w:rFonts w:ascii="Tahoma" w:eastAsia="Times New Roman" w:hAnsi="Tahoma" w:cs="Tahoma"/>
                <w:sz w:val="16"/>
                <w:szCs w:val="16"/>
                <w:lang w:eastAsia="hr-HR"/>
              </w:rPr>
              <w:t>17</w:t>
            </w:r>
          </w:p>
        </w:tc>
        <w:tc>
          <w:tcPr>
            <w:tcW w:w="420" w:type="dxa"/>
            <w:tcBorders>
              <w:top w:val="nil"/>
              <w:left w:val="nil"/>
              <w:bottom w:val="single" w:sz="4" w:space="0" w:color="auto"/>
              <w:right w:val="single" w:sz="4" w:space="0" w:color="auto"/>
            </w:tcBorders>
            <w:shd w:val="clear" w:color="000000" w:fill="FFFF00"/>
            <w:noWrap/>
            <w:vAlign w:val="bottom"/>
            <w:hideMark/>
          </w:tcPr>
          <w:p w14:paraId="5847D26D" w14:textId="77777777" w:rsidR="00A72067" w:rsidRPr="00BF5E3C" w:rsidRDefault="00A72067" w:rsidP="00A72067">
            <w:pPr>
              <w:spacing w:after="0" w:line="240" w:lineRule="auto"/>
              <w:jc w:val="center"/>
              <w:rPr>
                <w:rFonts w:ascii="Tahoma" w:eastAsia="Times New Roman" w:hAnsi="Tahoma" w:cs="Tahoma"/>
                <w:sz w:val="16"/>
                <w:szCs w:val="16"/>
                <w:lang w:eastAsia="hr-HR"/>
              </w:rPr>
            </w:pPr>
            <w:r w:rsidRPr="00BF5E3C">
              <w:rPr>
                <w:rFonts w:ascii="Tahoma" w:eastAsia="Times New Roman" w:hAnsi="Tahoma" w:cs="Tahoma"/>
                <w:sz w:val="16"/>
                <w:szCs w:val="16"/>
                <w:lang w:eastAsia="hr-HR"/>
              </w:rPr>
              <w:t>15</w:t>
            </w:r>
          </w:p>
        </w:tc>
        <w:tc>
          <w:tcPr>
            <w:tcW w:w="665" w:type="dxa"/>
            <w:tcBorders>
              <w:top w:val="nil"/>
              <w:left w:val="nil"/>
              <w:bottom w:val="single" w:sz="4" w:space="0" w:color="auto"/>
              <w:right w:val="single" w:sz="4" w:space="0" w:color="auto"/>
            </w:tcBorders>
            <w:shd w:val="clear" w:color="000000" w:fill="CCFFFF"/>
            <w:noWrap/>
            <w:vAlign w:val="bottom"/>
            <w:hideMark/>
          </w:tcPr>
          <w:p w14:paraId="566078FC" w14:textId="77777777" w:rsidR="00A72067" w:rsidRPr="00BF5E3C" w:rsidRDefault="00A72067" w:rsidP="00A72067">
            <w:pPr>
              <w:spacing w:after="0" w:line="240" w:lineRule="auto"/>
              <w:jc w:val="right"/>
              <w:rPr>
                <w:rFonts w:ascii="Tahoma" w:eastAsia="Times New Roman" w:hAnsi="Tahoma" w:cs="Tahoma"/>
                <w:sz w:val="16"/>
                <w:szCs w:val="16"/>
                <w:lang w:eastAsia="hr-HR"/>
              </w:rPr>
            </w:pPr>
            <w:r w:rsidRPr="00BF5E3C">
              <w:rPr>
                <w:rFonts w:ascii="Tahoma" w:eastAsia="Times New Roman" w:hAnsi="Tahoma" w:cs="Tahoma"/>
                <w:sz w:val="16"/>
                <w:szCs w:val="16"/>
                <w:lang w:eastAsia="hr-HR"/>
              </w:rPr>
              <w:t>7</w:t>
            </w:r>
          </w:p>
        </w:tc>
        <w:tc>
          <w:tcPr>
            <w:tcW w:w="571" w:type="dxa"/>
            <w:tcBorders>
              <w:top w:val="nil"/>
              <w:left w:val="nil"/>
              <w:bottom w:val="single" w:sz="4" w:space="0" w:color="auto"/>
              <w:right w:val="single" w:sz="4" w:space="0" w:color="auto"/>
            </w:tcBorders>
            <w:shd w:val="clear" w:color="000000" w:fill="CCFFFF"/>
            <w:noWrap/>
            <w:vAlign w:val="bottom"/>
            <w:hideMark/>
          </w:tcPr>
          <w:p w14:paraId="4E0E5022" w14:textId="77777777" w:rsidR="00A72067" w:rsidRPr="00BF5E3C" w:rsidRDefault="00A72067" w:rsidP="00A72067">
            <w:pPr>
              <w:spacing w:after="0" w:line="240" w:lineRule="auto"/>
              <w:jc w:val="right"/>
              <w:rPr>
                <w:rFonts w:ascii="Tahoma" w:eastAsia="Times New Roman" w:hAnsi="Tahoma" w:cs="Tahoma"/>
                <w:sz w:val="16"/>
                <w:szCs w:val="16"/>
                <w:lang w:eastAsia="hr-HR"/>
              </w:rPr>
            </w:pPr>
            <w:r w:rsidRPr="00BF5E3C">
              <w:rPr>
                <w:rFonts w:ascii="Tahoma" w:eastAsia="Times New Roman" w:hAnsi="Tahoma" w:cs="Tahoma"/>
                <w:sz w:val="16"/>
                <w:szCs w:val="16"/>
                <w:lang w:eastAsia="hr-HR"/>
              </w:rPr>
              <w:t>14</w:t>
            </w:r>
          </w:p>
        </w:tc>
        <w:tc>
          <w:tcPr>
            <w:tcW w:w="700" w:type="dxa"/>
            <w:tcBorders>
              <w:top w:val="nil"/>
              <w:left w:val="nil"/>
              <w:bottom w:val="single" w:sz="4" w:space="0" w:color="auto"/>
              <w:right w:val="single" w:sz="4" w:space="0" w:color="auto"/>
            </w:tcBorders>
            <w:shd w:val="clear" w:color="000000" w:fill="FFFF99"/>
            <w:noWrap/>
            <w:vAlign w:val="bottom"/>
            <w:hideMark/>
          </w:tcPr>
          <w:p w14:paraId="16251A78" w14:textId="77777777" w:rsidR="00A72067" w:rsidRPr="00BF5E3C" w:rsidRDefault="00A72067" w:rsidP="00A72067">
            <w:pPr>
              <w:spacing w:after="0" w:line="240" w:lineRule="auto"/>
              <w:jc w:val="center"/>
              <w:rPr>
                <w:rFonts w:ascii="Tahoma" w:eastAsia="Times New Roman" w:hAnsi="Tahoma" w:cs="Tahoma"/>
                <w:sz w:val="16"/>
                <w:szCs w:val="16"/>
                <w:lang w:eastAsia="hr-HR"/>
              </w:rPr>
            </w:pPr>
            <w:r w:rsidRPr="00BF5E3C">
              <w:rPr>
                <w:rFonts w:ascii="Tahoma" w:eastAsia="Times New Roman" w:hAnsi="Tahoma" w:cs="Tahoma"/>
                <w:sz w:val="16"/>
                <w:szCs w:val="16"/>
                <w:lang w:eastAsia="hr-HR"/>
              </w:rPr>
              <w:t>14</w:t>
            </w:r>
          </w:p>
        </w:tc>
        <w:tc>
          <w:tcPr>
            <w:tcW w:w="698" w:type="dxa"/>
            <w:tcBorders>
              <w:top w:val="nil"/>
              <w:left w:val="nil"/>
              <w:bottom w:val="single" w:sz="4" w:space="0" w:color="auto"/>
              <w:right w:val="single" w:sz="4" w:space="0" w:color="auto"/>
            </w:tcBorders>
            <w:shd w:val="clear" w:color="000000" w:fill="FFFF99"/>
            <w:noWrap/>
            <w:vAlign w:val="bottom"/>
            <w:hideMark/>
          </w:tcPr>
          <w:p w14:paraId="28753993" w14:textId="77777777" w:rsidR="00A72067" w:rsidRPr="00BF5E3C" w:rsidRDefault="00A72067" w:rsidP="00A72067">
            <w:pPr>
              <w:spacing w:after="0" w:line="240" w:lineRule="auto"/>
              <w:jc w:val="center"/>
              <w:rPr>
                <w:rFonts w:ascii="Tahoma" w:eastAsia="Times New Roman" w:hAnsi="Tahoma" w:cs="Tahoma"/>
                <w:sz w:val="16"/>
                <w:szCs w:val="16"/>
                <w:lang w:eastAsia="hr-HR"/>
              </w:rPr>
            </w:pPr>
            <w:r w:rsidRPr="00BF5E3C">
              <w:rPr>
                <w:rFonts w:ascii="Tahoma" w:eastAsia="Times New Roman" w:hAnsi="Tahoma" w:cs="Tahoma"/>
                <w:sz w:val="16"/>
                <w:szCs w:val="16"/>
                <w:lang w:eastAsia="hr-HR"/>
              </w:rPr>
              <w:t>1</w:t>
            </w:r>
          </w:p>
        </w:tc>
        <w:tc>
          <w:tcPr>
            <w:tcW w:w="698" w:type="dxa"/>
            <w:tcBorders>
              <w:top w:val="nil"/>
              <w:left w:val="nil"/>
              <w:bottom w:val="single" w:sz="4" w:space="0" w:color="auto"/>
              <w:right w:val="single" w:sz="4" w:space="0" w:color="auto"/>
            </w:tcBorders>
            <w:shd w:val="clear" w:color="000000" w:fill="FFFF99"/>
            <w:noWrap/>
            <w:vAlign w:val="bottom"/>
            <w:hideMark/>
          </w:tcPr>
          <w:p w14:paraId="342E76EC" w14:textId="77777777" w:rsidR="00A72067" w:rsidRPr="00BF5E3C" w:rsidRDefault="00A72067" w:rsidP="00A72067">
            <w:pPr>
              <w:spacing w:after="0" w:line="240" w:lineRule="auto"/>
              <w:jc w:val="center"/>
              <w:rPr>
                <w:rFonts w:ascii="Tahoma" w:eastAsia="Times New Roman" w:hAnsi="Tahoma" w:cs="Tahoma"/>
                <w:sz w:val="16"/>
                <w:szCs w:val="16"/>
                <w:lang w:eastAsia="hr-HR"/>
              </w:rPr>
            </w:pPr>
            <w:r w:rsidRPr="00BF5E3C">
              <w:rPr>
                <w:rFonts w:ascii="Tahoma" w:eastAsia="Times New Roman" w:hAnsi="Tahoma" w:cs="Tahoma"/>
                <w:sz w:val="16"/>
                <w:szCs w:val="16"/>
                <w:lang w:eastAsia="hr-HR"/>
              </w:rPr>
              <w:t>0</w:t>
            </w:r>
          </w:p>
        </w:tc>
        <w:tc>
          <w:tcPr>
            <w:tcW w:w="698" w:type="dxa"/>
            <w:tcBorders>
              <w:top w:val="nil"/>
              <w:left w:val="nil"/>
              <w:bottom w:val="single" w:sz="4" w:space="0" w:color="auto"/>
              <w:right w:val="single" w:sz="4" w:space="0" w:color="auto"/>
            </w:tcBorders>
            <w:shd w:val="clear" w:color="000000" w:fill="FFFF99"/>
            <w:noWrap/>
            <w:vAlign w:val="bottom"/>
            <w:hideMark/>
          </w:tcPr>
          <w:p w14:paraId="75951040" w14:textId="77777777" w:rsidR="00A72067" w:rsidRPr="00BF5E3C" w:rsidRDefault="00A72067" w:rsidP="00A72067">
            <w:pPr>
              <w:spacing w:after="0" w:line="240" w:lineRule="auto"/>
              <w:jc w:val="center"/>
              <w:rPr>
                <w:rFonts w:ascii="Tahoma" w:eastAsia="Times New Roman" w:hAnsi="Tahoma" w:cs="Tahoma"/>
                <w:sz w:val="16"/>
                <w:szCs w:val="16"/>
                <w:lang w:eastAsia="hr-HR"/>
              </w:rPr>
            </w:pPr>
            <w:r w:rsidRPr="00BF5E3C">
              <w:rPr>
                <w:rFonts w:ascii="Tahoma" w:eastAsia="Times New Roman" w:hAnsi="Tahoma" w:cs="Tahoma"/>
                <w:sz w:val="16"/>
                <w:szCs w:val="16"/>
                <w:lang w:eastAsia="hr-HR"/>
              </w:rPr>
              <w:t>0</w:t>
            </w:r>
          </w:p>
        </w:tc>
        <w:tc>
          <w:tcPr>
            <w:tcW w:w="527" w:type="dxa"/>
            <w:tcBorders>
              <w:top w:val="nil"/>
              <w:left w:val="nil"/>
              <w:bottom w:val="single" w:sz="4" w:space="0" w:color="auto"/>
              <w:right w:val="single" w:sz="4" w:space="0" w:color="auto"/>
            </w:tcBorders>
            <w:shd w:val="clear" w:color="000000" w:fill="FFFF99"/>
            <w:noWrap/>
            <w:vAlign w:val="bottom"/>
            <w:hideMark/>
          </w:tcPr>
          <w:p w14:paraId="729D6341" w14:textId="77777777" w:rsidR="00A72067" w:rsidRPr="00BF5E3C" w:rsidRDefault="00A72067" w:rsidP="00A72067">
            <w:pPr>
              <w:spacing w:after="0" w:line="240" w:lineRule="auto"/>
              <w:jc w:val="center"/>
              <w:rPr>
                <w:rFonts w:ascii="Tahoma" w:eastAsia="Times New Roman" w:hAnsi="Tahoma" w:cs="Tahoma"/>
                <w:sz w:val="16"/>
                <w:szCs w:val="16"/>
                <w:lang w:eastAsia="hr-HR"/>
              </w:rPr>
            </w:pPr>
            <w:r w:rsidRPr="00BF5E3C">
              <w:rPr>
                <w:rFonts w:ascii="Tahoma" w:eastAsia="Times New Roman" w:hAnsi="Tahoma" w:cs="Tahoma"/>
                <w:sz w:val="16"/>
                <w:szCs w:val="16"/>
                <w:lang w:eastAsia="hr-HR"/>
              </w:rPr>
              <w:t>0</w:t>
            </w:r>
          </w:p>
        </w:tc>
        <w:tc>
          <w:tcPr>
            <w:tcW w:w="702" w:type="dxa"/>
            <w:tcBorders>
              <w:top w:val="nil"/>
              <w:left w:val="nil"/>
              <w:bottom w:val="single" w:sz="4" w:space="0" w:color="auto"/>
              <w:right w:val="single" w:sz="4" w:space="0" w:color="auto"/>
            </w:tcBorders>
            <w:shd w:val="clear" w:color="000000" w:fill="FFFF99"/>
            <w:noWrap/>
            <w:vAlign w:val="bottom"/>
            <w:hideMark/>
          </w:tcPr>
          <w:p w14:paraId="1AF5A622" w14:textId="77777777" w:rsidR="00A72067" w:rsidRPr="00BF5E3C" w:rsidRDefault="00A72067" w:rsidP="00A72067">
            <w:pPr>
              <w:spacing w:after="0" w:line="240" w:lineRule="auto"/>
              <w:jc w:val="center"/>
              <w:rPr>
                <w:rFonts w:ascii="Tahoma" w:eastAsia="Times New Roman" w:hAnsi="Tahoma" w:cs="Tahoma"/>
                <w:sz w:val="16"/>
                <w:szCs w:val="16"/>
                <w:lang w:eastAsia="hr-HR"/>
              </w:rPr>
            </w:pPr>
            <w:r w:rsidRPr="00BF5E3C">
              <w:rPr>
                <w:rFonts w:ascii="Tahoma" w:eastAsia="Times New Roman" w:hAnsi="Tahoma" w:cs="Tahoma"/>
                <w:sz w:val="16"/>
                <w:szCs w:val="16"/>
                <w:lang w:eastAsia="hr-HR"/>
              </w:rPr>
              <w:t>0</w:t>
            </w:r>
          </w:p>
        </w:tc>
        <w:tc>
          <w:tcPr>
            <w:tcW w:w="698" w:type="dxa"/>
            <w:tcBorders>
              <w:top w:val="nil"/>
              <w:left w:val="nil"/>
              <w:bottom w:val="single" w:sz="4" w:space="0" w:color="auto"/>
              <w:right w:val="single" w:sz="4" w:space="0" w:color="auto"/>
            </w:tcBorders>
            <w:shd w:val="clear" w:color="000000" w:fill="FF9900"/>
            <w:noWrap/>
            <w:vAlign w:val="bottom"/>
            <w:hideMark/>
          </w:tcPr>
          <w:p w14:paraId="5CF32105" w14:textId="77777777" w:rsidR="00A72067" w:rsidRPr="00BF5E3C" w:rsidRDefault="00A72067" w:rsidP="00A72067">
            <w:pPr>
              <w:spacing w:after="0" w:line="240" w:lineRule="auto"/>
              <w:jc w:val="right"/>
              <w:rPr>
                <w:rFonts w:ascii="Tahoma" w:eastAsia="Times New Roman" w:hAnsi="Tahoma" w:cs="Tahoma"/>
                <w:sz w:val="16"/>
                <w:szCs w:val="16"/>
                <w:lang w:eastAsia="hr-HR"/>
              </w:rPr>
            </w:pPr>
            <w:r w:rsidRPr="00BF5E3C">
              <w:rPr>
                <w:rFonts w:ascii="Tahoma" w:eastAsia="Times New Roman" w:hAnsi="Tahoma" w:cs="Tahoma"/>
                <w:sz w:val="16"/>
                <w:szCs w:val="16"/>
                <w:lang w:eastAsia="hr-HR"/>
              </w:rPr>
              <w:t>0</w:t>
            </w:r>
          </w:p>
        </w:tc>
        <w:tc>
          <w:tcPr>
            <w:tcW w:w="439" w:type="dxa"/>
            <w:tcBorders>
              <w:top w:val="nil"/>
              <w:left w:val="nil"/>
              <w:bottom w:val="single" w:sz="4" w:space="0" w:color="auto"/>
              <w:right w:val="single" w:sz="4" w:space="0" w:color="auto"/>
            </w:tcBorders>
            <w:shd w:val="clear" w:color="000000" w:fill="FF9900"/>
            <w:noWrap/>
            <w:vAlign w:val="bottom"/>
            <w:hideMark/>
          </w:tcPr>
          <w:p w14:paraId="76469F45" w14:textId="77777777" w:rsidR="00A72067" w:rsidRPr="00BF5E3C" w:rsidRDefault="00A72067" w:rsidP="00A72067">
            <w:pPr>
              <w:spacing w:after="0" w:line="240" w:lineRule="auto"/>
              <w:jc w:val="right"/>
              <w:rPr>
                <w:rFonts w:ascii="Tahoma" w:eastAsia="Times New Roman" w:hAnsi="Tahoma" w:cs="Tahoma"/>
                <w:sz w:val="16"/>
                <w:szCs w:val="16"/>
                <w:lang w:eastAsia="hr-HR"/>
              </w:rPr>
            </w:pPr>
            <w:r w:rsidRPr="00BF5E3C">
              <w:rPr>
                <w:rFonts w:ascii="Tahoma" w:eastAsia="Times New Roman" w:hAnsi="Tahoma" w:cs="Tahoma"/>
                <w:sz w:val="16"/>
                <w:szCs w:val="16"/>
                <w:lang w:eastAsia="hr-HR"/>
              </w:rPr>
              <w:t>1</w:t>
            </w:r>
          </w:p>
        </w:tc>
        <w:tc>
          <w:tcPr>
            <w:tcW w:w="439" w:type="dxa"/>
            <w:tcBorders>
              <w:top w:val="nil"/>
              <w:left w:val="nil"/>
              <w:bottom w:val="single" w:sz="4" w:space="0" w:color="auto"/>
              <w:right w:val="single" w:sz="4" w:space="0" w:color="auto"/>
            </w:tcBorders>
            <w:shd w:val="clear" w:color="000000" w:fill="FF9900"/>
            <w:noWrap/>
            <w:vAlign w:val="bottom"/>
            <w:hideMark/>
          </w:tcPr>
          <w:p w14:paraId="0E590DD5" w14:textId="77777777" w:rsidR="00A72067" w:rsidRPr="00BF5E3C" w:rsidRDefault="00A72067" w:rsidP="00A72067">
            <w:pPr>
              <w:spacing w:after="0" w:line="240" w:lineRule="auto"/>
              <w:jc w:val="right"/>
              <w:rPr>
                <w:rFonts w:ascii="Tahoma" w:eastAsia="Times New Roman" w:hAnsi="Tahoma" w:cs="Tahoma"/>
                <w:sz w:val="16"/>
                <w:szCs w:val="16"/>
                <w:lang w:eastAsia="hr-HR"/>
              </w:rPr>
            </w:pPr>
            <w:r w:rsidRPr="00BF5E3C">
              <w:rPr>
                <w:rFonts w:ascii="Tahoma" w:eastAsia="Times New Roman" w:hAnsi="Tahoma" w:cs="Tahoma"/>
                <w:sz w:val="16"/>
                <w:szCs w:val="16"/>
                <w:lang w:eastAsia="hr-HR"/>
              </w:rPr>
              <w:t>0</w:t>
            </w:r>
          </w:p>
        </w:tc>
        <w:tc>
          <w:tcPr>
            <w:tcW w:w="665" w:type="dxa"/>
            <w:tcBorders>
              <w:top w:val="nil"/>
              <w:left w:val="nil"/>
              <w:bottom w:val="single" w:sz="4" w:space="0" w:color="auto"/>
              <w:right w:val="single" w:sz="4" w:space="0" w:color="auto"/>
            </w:tcBorders>
            <w:shd w:val="clear" w:color="000000" w:fill="FFFF00"/>
            <w:vAlign w:val="center"/>
            <w:hideMark/>
          </w:tcPr>
          <w:p w14:paraId="09747049" w14:textId="77777777" w:rsidR="00A72067" w:rsidRPr="00BF5E3C" w:rsidRDefault="00A72067" w:rsidP="00A72067">
            <w:pPr>
              <w:spacing w:after="0" w:line="240" w:lineRule="auto"/>
              <w:jc w:val="center"/>
              <w:rPr>
                <w:rFonts w:ascii="Tahoma" w:eastAsia="Times New Roman" w:hAnsi="Tahoma" w:cs="Tahoma"/>
                <w:sz w:val="16"/>
                <w:szCs w:val="16"/>
                <w:lang w:eastAsia="hr-HR"/>
              </w:rPr>
            </w:pPr>
            <w:r w:rsidRPr="00BF5E3C">
              <w:rPr>
                <w:rFonts w:ascii="Tahoma" w:eastAsia="Times New Roman" w:hAnsi="Tahoma" w:cs="Tahoma"/>
                <w:sz w:val="16"/>
                <w:szCs w:val="16"/>
                <w:lang w:eastAsia="hr-HR"/>
              </w:rPr>
              <w:t>1</w:t>
            </w:r>
          </w:p>
        </w:tc>
        <w:tc>
          <w:tcPr>
            <w:tcW w:w="698" w:type="dxa"/>
            <w:tcBorders>
              <w:top w:val="nil"/>
              <w:left w:val="nil"/>
              <w:bottom w:val="single" w:sz="4" w:space="0" w:color="auto"/>
              <w:right w:val="single" w:sz="4" w:space="0" w:color="auto"/>
            </w:tcBorders>
            <w:shd w:val="clear" w:color="000000" w:fill="FF9900"/>
            <w:vAlign w:val="center"/>
            <w:hideMark/>
          </w:tcPr>
          <w:p w14:paraId="53045412" w14:textId="77777777" w:rsidR="00A72067" w:rsidRPr="00BF5E3C" w:rsidRDefault="00A72067" w:rsidP="00A72067">
            <w:pPr>
              <w:spacing w:after="0" w:line="240" w:lineRule="auto"/>
              <w:jc w:val="center"/>
              <w:rPr>
                <w:rFonts w:ascii="Tahoma" w:eastAsia="Times New Roman" w:hAnsi="Tahoma" w:cs="Tahoma"/>
                <w:sz w:val="16"/>
                <w:szCs w:val="16"/>
                <w:lang w:eastAsia="hr-HR"/>
              </w:rPr>
            </w:pPr>
            <w:r w:rsidRPr="00BF5E3C">
              <w:rPr>
                <w:rFonts w:ascii="Tahoma" w:eastAsia="Times New Roman" w:hAnsi="Tahoma" w:cs="Tahoma"/>
                <w:sz w:val="16"/>
                <w:szCs w:val="16"/>
                <w:lang w:eastAsia="hr-HR"/>
              </w:rPr>
              <w:t>31</w:t>
            </w:r>
          </w:p>
        </w:tc>
        <w:tc>
          <w:tcPr>
            <w:tcW w:w="707" w:type="dxa"/>
            <w:tcBorders>
              <w:top w:val="nil"/>
              <w:left w:val="nil"/>
              <w:bottom w:val="single" w:sz="4" w:space="0" w:color="auto"/>
              <w:right w:val="single" w:sz="4" w:space="0" w:color="auto"/>
            </w:tcBorders>
            <w:shd w:val="clear" w:color="000000" w:fill="FF9900"/>
            <w:noWrap/>
            <w:vAlign w:val="center"/>
            <w:hideMark/>
          </w:tcPr>
          <w:p w14:paraId="681A0F2D" w14:textId="77777777" w:rsidR="00A72067" w:rsidRPr="00BF5E3C" w:rsidRDefault="00A72067" w:rsidP="00A72067">
            <w:pPr>
              <w:spacing w:after="0" w:line="240" w:lineRule="auto"/>
              <w:jc w:val="center"/>
              <w:rPr>
                <w:rFonts w:ascii="Tahoma" w:eastAsia="Times New Roman" w:hAnsi="Tahoma" w:cs="Tahoma"/>
                <w:sz w:val="16"/>
                <w:szCs w:val="16"/>
                <w:lang w:eastAsia="hr-HR"/>
              </w:rPr>
            </w:pPr>
            <w:r w:rsidRPr="00BF5E3C">
              <w:rPr>
                <w:rFonts w:ascii="Tahoma" w:eastAsia="Times New Roman" w:hAnsi="Tahoma" w:cs="Tahoma"/>
                <w:sz w:val="16"/>
                <w:szCs w:val="16"/>
                <w:lang w:eastAsia="hr-HR"/>
              </w:rPr>
              <w:t>0</w:t>
            </w:r>
          </w:p>
        </w:tc>
        <w:tc>
          <w:tcPr>
            <w:tcW w:w="707" w:type="dxa"/>
            <w:tcBorders>
              <w:top w:val="nil"/>
              <w:left w:val="nil"/>
              <w:bottom w:val="single" w:sz="4" w:space="0" w:color="auto"/>
              <w:right w:val="single" w:sz="4" w:space="0" w:color="auto"/>
            </w:tcBorders>
            <w:shd w:val="clear" w:color="000000" w:fill="FF9900"/>
            <w:noWrap/>
            <w:vAlign w:val="center"/>
            <w:hideMark/>
          </w:tcPr>
          <w:p w14:paraId="4AC52CFB" w14:textId="77777777" w:rsidR="00A72067" w:rsidRPr="00BF5E3C" w:rsidRDefault="00A72067" w:rsidP="00A72067">
            <w:pPr>
              <w:spacing w:after="0" w:line="240" w:lineRule="auto"/>
              <w:jc w:val="center"/>
              <w:rPr>
                <w:rFonts w:ascii="Tahoma" w:eastAsia="Times New Roman" w:hAnsi="Tahoma" w:cs="Tahoma"/>
                <w:sz w:val="16"/>
                <w:szCs w:val="16"/>
                <w:lang w:eastAsia="hr-HR"/>
              </w:rPr>
            </w:pPr>
            <w:r w:rsidRPr="00BF5E3C">
              <w:rPr>
                <w:rFonts w:ascii="Tahoma" w:eastAsia="Times New Roman" w:hAnsi="Tahoma" w:cs="Tahoma"/>
                <w:sz w:val="16"/>
                <w:szCs w:val="16"/>
                <w:lang w:eastAsia="hr-HR"/>
              </w:rPr>
              <w:t>0</w:t>
            </w:r>
          </w:p>
        </w:tc>
        <w:tc>
          <w:tcPr>
            <w:tcW w:w="698" w:type="dxa"/>
            <w:tcBorders>
              <w:top w:val="nil"/>
              <w:left w:val="nil"/>
              <w:bottom w:val="single" w:sz="4" w:space="0" w:color="auto"/>
              <w:right w:val="single" w:sz="4" w:space="0" w:color="auto"/>
            </w:tcBorders>
            <w:shd w:val="clear" w:color="000000" w:fill="FF9900"/>
            <w:noWrap/>
            <w:vAlign w:val="center"/>
            <w:hideMark/>
          </w:tcPr>
          <w:p w14:paraId="095B67C9" w14:textId="77777777" w:rsidR="00A72067" w:rsidRPr="00BF5E3C" w:rsidRDefault="00A72067" w:rsidP="00A72067">
            <w:pPr>
              <w:spacing w:after="0" w:line="240" w:lineRule="auto"/>
              <w:jc w:val="center"/>
              <w:rPr>
                <w:rFonts w:ascii="Tahoma" w:eastAsia="Times New Roman" w:hAnsi="Tahoma" w:cs="Tahoma"/>
                <w:sz w:val="16"/>
                <w:szCs w:val="16"/>
                <w:lang w:eastAsia="hr-HR"/>
              </w:rPr>
            </w:pPr>
            <w:r w:rsidRPr="00BF5E3C">
              <w:rPr>
                <w:rFonts w:ascii="Tahoma" w:eastAsia="Times New Roman" w:hAnsi="Tahoma" w:cs="Tahoma"/>
                <w:sz w:val="16"/>
                <w:szCs w:val="16"/>
                <w:lang w:eastAsia="hr-HR"/>
              </w:rPr>
              <w:t>0</w:t>
            </w:r>
          </w:p>
        </w:tc>
        <w:tc>
          <w:tcPr>
            <w:tcW w:w="377" w:type="dxa"/>
            <w:tcBorders>
              <w:top w:val="nil"/>
              <w:left w:val="nil"/>
              <w:bottom w:val="single" w:sz="4" w:space="0" w:color="auto"/>
              <w:right w:val="single" w:sz="4" w:space="0" w:color="auto"/>
            </w:tcBorders>
            <w:shd w:val="clear" w:color="000000" w:fill="CCFFFF"/>
            <w:noWrap/>
            <w:vAlign w:val="bottom"/>
            <w:hideMark/>
          </w:tcPr>
          <w:p w14:paraId="12A95241" w14:textId="77777777" w:rsidR="00A72067" w:rsidRPr="00BF5E3C" w:rsidRDefault="00A72067" w:rsidP="00A72067">
            <w:pPr>
              <w:spacing w:after="0" w:line="240" w:lineRule="auto"/>
              <w:jc w:val="right"/>
              <w:rPr>
                <w:rFonts w:ascii="Tahoma" w:eastAsia="Times New Roman" w:hAnsi="Tahoma" w:cs="Tahoma"/>
                <w:sz w:val="16"/>
                <w:szCs w:val="16"/>
                <w:lang w:eastAsia="hr-HR"/>
              </w:rPr>
            </w:pPr>
            <w:r w:rsidRPr="00BF5E3C">
              <w:rPr>
                <w:rFonts w:ascii="Tahoma" w:eastAsia="Times New Roman" w:hAnsi="Tahoma" w:cs="Tahoma"/>
                <w:sz w:val="16"/>
                <w:szCs w:val="16"/>
                <w:lang w:eastAsia="hr-HR"/>
              </w:rPr>
              <w:t>0</w:t>
            </w:r>
          </w:p>
        </w:tc>
        <w:tc>
          <w:tcPr>
            <w:tcW w:w="388" w:type="dxa"/>
            <w:tcBorders>
              <w:top w:val="nil"/>
              <w:left w:val="nil"/>
              <w:bottom w:val="single" w:sz="4" w:space="0" w:color="auto"/>
              <w:right w:val="single" w:sz="4" w:space="0" w:color="auto"/>
            </w:tcBorders>
            <w:shd w:val="clear" w:color="000000" w:fill="CCFFFF"/>
            <w:noWrap/>
            <w:vAlign w:val="bottom"/>
            <w:hideMark/>
          </w:tcPr>
          <w:p w14:paraId="04C53EFD" w14:textId="77777777" w:rsidR="00A72067" w:rsidRPr="00BF5E3C" w:rsidRDefault="00A72067" w:rsidP="00A72067">
            <w:pPr>
              <w:spacing w:after="0" w:line="240" w:lineRule="auto"/>
              <w:jc w:val="right"/>
              <w:rPr>
                <w:rFonts w:ascii="Tahoma" w:eastAsia="Times New Roman" w:hAnsi="Tahoma" w:cs="Tahoma"/>
                <w:sz w:val="16"/>
                <w:szCs w:val="16"/>
                <w:lang w:eastAsia="hr-HR"/>
              </w:rPr>
            </w:pPr>
            <w:r w:rsidRPr="00BF5E3C">
              <w:rPr>
                <w:rFonts w:ascii="Tahoma" w:eastAsia="Times New Roman" w:hAnsi="Tahoma" w:cs="Tahoma"/>
                <w:sz w:val="16"/>
                <w:szCs w:val="16"/>
                <w:lang w:eastAsia="hr-HR"/>
              </w:rPr>
              <w:t>0</w:t>
            </w:r>
          </w:p>
        </w:tc>
        <w:tc>
          <w:tcPr>
            <w:tcW w:w="399" w:type="dxa"/>
            <w:tcBorders>
              <w:top w:val="nil"/>
              <w:left w:val="nil"/>
              <w:bottom w:val="single" w:sz="4" w:space="0" w:color="auto"/>
              <w:right w:val="single" w:sz="4" w:space="0" w:color="auto"/>
            </w:tcBorders>
            <w:shd w:val="clear" w:color="000000" w:fill="CCFFFF"/>
            <w:noWrap/>
            <w:vAlign w:val="bottom"/>
            <w:hideMark/>
          </w:tcPr>
          <w:p w14:paraId="1E0E2C4E" w14:textId="77777777" w:rsidR="00A72067" w:rsidRPr="00BF5E3C" w:rsidRDefault="00A72067" w:rsidP="00A72067">
            <w:pPr>
              <w:spacing w:after="0" w:line="240" w:lineRule="auto"/>
              <w:jc w:val="right"/>
              <w:rPr>
                <w:rFonts w:ascii="Tahoma" w:eastAsia="Times New Roman" w:hAnsi="Tahoma" w:cs="Tahoma"/>
                <w:sz w:val="16"/>
                <w:szCs w:val="16"/>
                <w:lang w:eastAsia="hr-HR"/>
              </w:rPr>
            </w:pPr>
            <w:r w:rsidRPr="00BF5E3C">
              <w:rPr>
                <w:rFonts w:ascii="Tahoma" w:eastAsia="Times New Roman" w:hAnsi="Tahoma" w:cs="Tahoma"/>
                <w:sz w:val="16"/>
                <w:szCs w:val="16"/>
                <w:lang w:eastAsia="hr-HR"/>
              </w:rPr>
              <w:t>0</w:t>
            </w:r>
          </w:p>
        </w:tc>
        <w:tc>
          <w:tcPr>
            <w:tcW w:w="489" w:type="dxa"/>
            <w:gridSpan w:val="2"/>
            <w:tcBorders>
              <w:top w:val="nil"/>
              <w:left w:val="nil"/>
              <w:bottom w:val="single" w:sz="4" w:space="0" w:color="auto"/>
              <w:right w:val="nil"/>
            </w:tcBorders>
            <w:shd w:val="clear" w:color="000000" w:fill="33CCCC"/>
            <w:noWrap/>
            <w:vAlign w:val="bottom"/>
            <w:hideMark/>
          </w:tcPr>
          <w:p w14:paraId="20C66F40" w14:textId="77777777" w:rsidR="00A72067" w:rsidRPr="00BF5E3C" w:rsidRDefault="00A72067" w:rsidP="00A72067">
            <w:pPr>
              <w:spacing w:after="0" w:line="240" w:lineRule="auto"/>
              <w:jc w:val="right"/>
              <w:rPr>
                <w:rFonts w:ascii="Tahoma" w:eastAsia="Times New Roman" w:hAnsi="Tahoma" w:cs="Tahoma"/>
                <w:sz w:val="16"/>
                <w:szCs w:val="16"/>
                <w:lang w:eastAsia="hr-HR"/>
              </w:rPr>
            </w:pPr>
            <w:r w:rsidRPr="00BF5E3C">
              <w:rPr>
                <w:rFonts w:ascii="Tahoma" w:eastAsia="Times New Roman" w:hAnsi="Tahoma" w:cs="Tahoma"/>
                <w:sz w:val="16"/>
                <w:szCs w:val="16"/>
                <w:lang w:eastAsia="hr-HR"/>
              </w:rPr>
              <w:t>0</w:t>
            </w:r>
          </w:p>
        </w:tc>
        <w:tc>
          <w:tcPr>
            <w:tcW w:w="425" w:type="dxa"/>
            <w:tcBorders>
              <w:top w:val="nil"/>
              <w:left w:val="single" w:sz="4" w:space="0" w:color="auto"/>
              <w:bottom w:val="single" w:sz="4" w:space="0" w:color="auto"/>
              <w:right w:val="single" w:sz="8" w:space="0" w:color="auto"/>
            </w:tcBorders>
            <w:shd w:val="clear" w:color="000000" w:fill="33CCCC"/>
            <w:noWrap/>
            <w:vAlign w:val="bottom"/>
            <w:hideMark/>
          </w:tcPr>
          <w:p w14:paraId="77A6A597" w14:textId="77777777" w:rsidR="00A72067" w:rsidRPr="00BF5E3C" w:rsidRDefault="00A72067" w:rsidP="00A72067">
            <w:pPr>
              <w:spacing w:after="0" w:line="240" w:lineRule="auto"/>
              <w:jc w:val="right"/>
              <w:rPr>
                <w:rFonts w:ascii="Tahoma" w:eastAsia="Times New Roman" w:hAnsi="Tahoma" w:cs="Tahoma"/>
                <w:sz w:val="16"/>
                <w:szCs w:val="16"/>
                <w:lang w:eastAsia="hr-HR"/>
              </w:rPr>
            </w:pPr>
            <w:r w:rsidRPr="00BF5E3C">
              <w:rPr>
                <w:rFonts w:ascii="Tahoma" w:eastAsia="Times New Roman" w:hAnsi="Tahoma" w:cs="Tahoma"/>
                <w:sz w:val="16"/>
                <w:szCs w:val="16"/>
                <w:lang w:eastAsia="hr-HR"/>
              </w:rPr>
              <w:t>1</w:t>
            </w:r>
          </w:p>
        </w:tc>
        <w:tc>
          <w:tcPr>
            <w:tcW w:w="236" w:type="dxa"/>
            <w:vAlign w:val="center"/>
            <w:hideMark/>
          </w:tcPr>
          <w:p w14:paraId="4F2B8CAA" w14:textId="77777777" w:rsidR="00A72067" w:rsidRPr="00BF5E3C" w:rsidRDefault="00A72067" w:rsidP="00A72067">
            <w:pPr>
              <w:spacing w:after="0" w:line="240" w:lineRule="auto"/>
              <w:rPr>
                <w:rFonts w:ascii="Times New Roman" w:eastAsia="Times New Roman" w:hAnsi="Times New Roman" w:cs="Times New Roman"/>
                <w:sz w:val="16"/>
                <w:szCs w:val="16"/>
                <w:lang w:eastAsia="hr-HR"/>
              </w:rPr>
            </w:pPr>
          </w:p>
        </w:tc>
      </w:tr>
      <w:tr w:rsidR="00F90F6F" w:rsidRPr="00BF5E3C" w14:paraId="032B0C8B" w14:textId="77777777" w:rsidTr="00F90F6F">
        <w:trPr>
          <w:gridAfter w:val="1"/>
          <w:wAfter w:w="32" w:type="dxa"/>
          <w:trHeight w:val="402"/>
        </w:trPr>
        <w:tc>
          <w:tcPr>
            <w:tcW w:w="979" w:type="dxa"/>
            <w:tcBorders>
              <w:top w:val="nil"/>
              <w:left w:val="single" w:sz="8" w:space="0" w:color="auto"/>
              <w:bottom w:val="single" w:sz="4" w:space="0" w:color="auto"/>
              <w:right w:val="single" w:sz="4" w:space="0" w:color="auto"/>
            </w:tcBorders>
            <w:shd w:val="clear" w:color="000000" w:fill="CCFFCC"/>
            <w:vAlign w:val="center"/>
            <w:hideMark/>
          </w:tcPr>
          <w:p w14:paraId="6A456564" w14:textId="77777777" w:rsidR="00A72067" w:rsidRPr="00BF5E3C" w:rsidRDefault="00A72067" w:rsidP="00A72067">
            <w:pPr>
              <w:spacing w:after="0" w:line="240" w:lineRule="auto"/>
              <w:rPr>
                <w:rFonts w:ascii="Tahoma" w:eastAsia="Times New Roman" w:hAnsi="Tahoma" w:cs="Tahoma"/>
                <w:sz w:val="16"/>
                <w:szCs w:val="16"/>
                <w:lang w:eastAsia="hr-HR"/>
              </w:rPr>
            </w:pPr>
            <w:r w:rsidRPr="00BF5E3C">
              <w:rPr>
                <w:rFonts w:ascii="Tahoma" w:eastAsia="Times New Roman" w:hAnsi="Tahoma" w:cs="Tahoma"/>
                <w:sz w:val="16"/>
                <w:szCs w:val="16"/>
                <w:lang w:eastAsia="hr-HR"/>
              </w:rPr>
              <w:t>Društveni položaj</w:t>
            </w:r>
          </w:p>
        </w:tc>
        <w:tc>
          <w:tcPr>
            <w:tcW w:w="520" w:type="dxa"/>
            <w:tcBorders>
              <w:top w:val="nil"/>
              <w:left w:val="nil"/>
              <w:bottom w:val="single" w:sz="4" w:space="0" w:color="auto"/>
              <w:right w:val="single" w:sz="4" w:space="0" w:color="auto"/>
            </w:tcBorders>
            <w:shd w:val="clear" w:color="000000" w:fill="FFCC99"/>
            <w:noWrap/>
            <w:vAlign w:val="bottom"/>
            <w:hideMark/>
          </w:tcPr>
          <w:p w14:paraId="034FA930" w14:textId="77777777" w:rsidR="00A72067" w:rsidRPr="00BF5E3C" w:rsidRDefault="00A72067" w:rsidP="00A72067">
            <w:pPr>
              <w:spacing w:after="0" w:line="240" w:lineRule="auto"/>
              <w:jc w:val="center"/>
              <w:rPr>
                <w:rFonts w:ascii="Tahoma" w:eastAsia="Times New Roman" w:hAnsi="Tahoma" w:cs="Tahoma"/>
                <w:sz w:val="16"/>
                <w:szCs w:val="16"/>
                <w:lang w:eastAsia="hr-HR"/>
              </w:rPr>
            </w:pPr>
            <w:r w:rsidRPr="00BF5E3C">
              <w:rPr>
                <w:rFonts w:ascii="Tahoma" w:eastAsia="Times New Roman" w:hAnsi="Tahoma" w:cs="Tahoma"/>
                <w:sz w:val="16"/>
                <w:szCs w:val="16"/>
                <w:lang w:eastAsia="hr-HR"/>
              </w:rPr>
              <w:t>35</w:t>
            </w:r>
          </w:p>
        </w:tc>
        <w:tc>
          <w:tcPr>
            <w:tcW w:w="420" w:type="dxa"/>
            <w:tcBorders>
              <w:top w:val="nil"/>
              <w:left w:val="nil"/>
              <w:bottom w:val="single" w:sz="4" w:space="0" w:color="auto"/>
              <w:right w:val="single" w:sz="4" w:space="0" w:color="auto"/>
            </w:tcBorders>
            <w:shd w:val="clear" w:color="000000" w:fill="FFFF00"/>
            <w:noWrap/>
            <w:vAlign w:val="bottom"/>
            <w:hideMark/>
          </w:tcPr>
          <w:p w14:paraId="221A5395" w14:textId="77777777" w:rsidR="00A72067" w:rsidRPr="00BF5E3C" w:rsidRDefault="00A72067" w:rsidP="00A72067">
            <w:pPr>
              <w:spacing w:after="0" w:line="240" w:lineRule="auto"/>
              <w:jc w:val="center"/>
              <w:rPr>
                <w:rFonts w:ascii="Tahoma" w:eastAsia="Times New Roman" w:hAnsi="Tahoma" w:cs="Tahoma"/>
                <w:sz w:val="16"/>
                <w:szCs w:val="16"/>
                <w:lang w:eastAsia="hr-HR"/>
              </w:rPr>
            </w:pPr>
            <w:r w:rsidRPr="00BF5E3C">
              <w:rPr>
                <w:rFonts w:ascii="Tahoma" w:eastAsia="Times New Roman" w:hAnsi="Tahoma" w:cs="Tahoma"/>
                <w:sz w:val="16"/>
                <w:szCs w:val="16"/>
                <w:lang w:eastAsia="hr-HR"/>
              </w:rPr>
              <w:t>12</w:t>
            </w:r>
          </w:p>
        </w:tc>
        <w:tc>
          <w:tcPr>
            <w:tcW w:w="665" w:type="dxa"/>
            <w:tcBorders>
              <w:top w:val="nil"/>
              <w:left w:val="nil"/>
              <w:bottom w:val="single" w:sz="4" w:space="0" w:color="auto"/>
              <w:right w:val="single" w:sz="4" w:space="0" w:color="auto"/>
            </w:tcBorders>
            <w:shd w:val="clear" w:color="000000" w:fill="CCFFFF"/>
            <w:noWrap/>
            <w:vAlign w:val="bottom"/>
            <w:hideMark/>
          </w:tcPr>
          <w:p w14:paraId="670536FF" w14:textId="77777777" w:rsidR="00A72067" w:rsidRPr="00BF5E3C" w:rsidRDefault="00A72067" w:rsidP="00A72067">
            <w:pPr>
              <w:spacing w:after="0" w:line="240" w:lineRule="auto"/>
              <w:jc w:val="right"/>
              <w:rPr>
                <w:rFonts w:ascii="Tahoma" w:eastAsia="Times New Roman" w:hAnsi="Tahoma" w:cs="Tahoma"/>
                <w:sz w:val="16"/>
                <w:szCs w:val="16"/>
                <w:lang w:eastAsia="hr-HR"/>
              </w:rPr>
            </w:pPr>
            <w:r w:rsidRPr="00BF5E3C">
              <w:rPr>
                <w:rFonts w:ascii="Tahoma" w:eastAsia="Times New Roman" w:hAnsi="Tahoma" w:cs="Tahoma"/>
                <w:sz w:val="16"/>
                <w:szCs w:val="16"/>
                <w:lang w:eastAsia="hr-HR"/>
              </w:rPr>
              <w:t>3</w:t>
            </w:r>
          </w:p>
        </w:tc>
        <w:tc>
          <w:tcPr>
            <w:tcW w:w="571" w:type="dxa"/>
            <w:tcBorders>
              <w:top w:val="nil"/>
              <w:left w:val="nil"/>
              <w:bottom w:val="single" w:sz="4" w:space="0" w:color="auto"/>
              <w:right w:val="single" w:sz="4" w:space="0" w:color="auto"/>
            </w:tcBorders>
            <w:shd w:val="clear" w:color="000000" w:fill="CCFFFF"/>
            <w:noWrap/>
            <w:vAlign w:val="bottom"/>
            <w:hideMark/>
          </w:tcPr>
          <w:p w14:paraId="4E1BCA80" w14:textId="77777777" w:rsidR="00A72067" w:rsidRPr="00BF5E3C" w:rsidRDefault="00A72067" w:rsidP="00A72067">
            <w:pPr>
              <w:spacing w:after="0" w:line="240" w:lineRule="auto"/>
              <w:jc w:val="right"/>
              <w:rPr>
                <w:rFonts w:ascii="Tahoma" w:eastAsia="Times New Roman" w:hAnsi="Tahoma" w:cs="Tahoma"/>
                <w:sz w:val="16"/>
                <w:szCs w:val="16"/>
                <w:lang w:eastAsia="hr-HR"/>
              </w:rPr>
            </w:pPr>
            <w:r w:rsidRPr="00BF5E3C">
              <w:rPr>
                <w:rFonts w:ascii="Tahoma" w:eastAsia="Times New Roman" w:hAnsi="Tahoma" w:cs="Tahoma"/>
                <w:sz w:val="16"/>
                <w:szCs w:val="16"/>
                <w:lang w:eastAsia="hr-HR"/>
              </w:rPr>
              <w:t>9</w:t>
            </w:r>
          </w:p>
        </w:tc>
        <w:tc>
          <w:tcPr>
            <w:tcW w:w="700" w:type="dxa"/>
            <w:tcBorders>
              <w:top w:val="nil"/>
              <w:left w:val="nil"/>
              <w:bottom w:val="single" w:sz="4" w:space="0" w:color="auto"/>
              <w:right w:val="single" w:sz="4" w:space="0" w:color="auto"/>
            </w:tcBorders>
            <w:shd w:val="clear" w:color="000000" w:fill="FFFF99"/>
            <w:noWrap/>
            <w:vAlign w:val="bottom"/>
            <w:hideMark/>
          </w:tcPr>
          <w:p w14:paraId="1B345FA0" w14:textId="77777777" w:rsidR="00A72067" w:rsidRPr="00BF5E3C" w:rsidRDefault="00A72067" w:rsidP="00A72067">
            <w:pPr>
              <w:spacing w:after="0" w:line="240" w:lineRule="auto"/>
              <w:jc w:val="center"/>
              <w:rPr>
                <w:rFonts w:ascii="Tahoma" w:eastAsia="Times New Roman" w:hAnsi="Tahoma" w:cs="Tahoma"/>
                <w:sz w:val="16"/>
                <w:szCs w:val="16"/>
                <w:lang w:eastAsia="hr-HR"/>
              </w:rPr>
            </w:pPr>
            <w:r w:rsidRPr="00BF5E3C">
              <w:rPr>
                <w:rFonts w:ascii="Tahoma" w:eastAsia="Times New Roman" w:hAnsi="Tahoma" w:cs="Tahoma"/>
                <w:sz w:val="16"/>
                <w:szCs w:val="16"/>
                <w:lang w:eastAsia="hr-HR"/>
              </w:rPr>
              <w:t>10</w:t>
            </w:r>
          </w:p>
        </w:tc>
        <w:tc>
          <w:tcPr>
            <w:tcW w:w="698" w:type="dxa"/>
            <w:tcBorders>
              <w:top w:val="nil"/>
              <w:left w:val="nil"/>
              <w:bottom w:val="single" w:sz="4" w:space="0" w:color="auto"/>
              <w:right w:val="single" w:sz="4" w:space="0" w:color="auto"/>
            </w:tcBorders>
            <w:shd w:val="clear" w:color="000000" w:fill="FFFF99"/>
            <w:noWrap/>
            <w:vAlign w:val="bottom"/>
            <w:hideMark/>
          </w:tcPr>
          <w:p w14:paraId="43454FC5" w14:textId="77777777" w:rsidR="00A72067" w:rsidRPr="00BF5E3C" w:rsidRDefault="00A72067" w:rsidP="00A72067">
            <w:pPr>
              <w:spacing w:after="0" w:line="240" w:lineRule="auto"/>
              <w:jc w:val="center"/>
              <w:rPr>
                <w:rFonts w:ascii="Tahoma" w:eastAsia="Times New Roman" w:hAnsi="Tahoma" w:cs="Tahoma"/>
                <w:sz w:val="16"/>
                <w:szCs w:val="16"/>
                <w:lang w:eastAsia="hr-HR"/>
              </w:rPr>
            </w:pPr>
            <w:r w:rsidRPr="00BF5E3C">
              <w:rPr>
                <w:rFonts w:ascii="Tahoma" w:eastAsia="Times New Roman" w:hAnsi="Tahoma" w:cs="Tahoma"/>
                <w:sz w:val="16"/>
                <w:szCs w:val="16"/>
                <w:lang w:eastAsia="hr-HR"/>
              </w:rPr>
              <w:t>0</w:t>
            </w:r>
          </w:p>
        </w:tc>
        <w:tc>
          <w:tcPr>
            <w:tcW w:w="698" w:type="dxa"/>
            <w:tcBorders>
              <w:top w:val="nil"/>
              <w:left w:val="nil"/>
              <w:bottom w:val="single" w:sz="4" w:space="0" w:color="auto"/>
              <w:right w:val="single" w:sz="4" w:space="0" w:color="auto"/>
            </w:tcBorders>
            <w:shd w:val="clear" w:color="000000" w:fill="FFFF99"/>
            <w:noWrap/>
            <w:vAlign w:val="bottom"/>
            <w:hideMark/>
          </w:tcPr>
          <w:p w14:paraId="55121FD1" w14:textId="77777777" w:rsidR="00A72067" w:rsidRPr="00BF5E3C" w:rsidRDefault="00A72067" w:rsidP="00A72067">
            <w:pPr>
              <w:spacing w:after="0" w:line="240" w:lineRule="auto"/>
              <w:jc w:val="center"/>
              <w:rPr>
                <w:rFonts w:ascii="Tahoma" w:eastAsia="Times New Roman" w:hAnsi="Tahoma" w:cs="Tahoma"/>
                <w:sz w:val="16"/>
                <w:szCs w:val="16"/>
                <w:lang w:eastAsia="hr-HR"/>
              </w:rPr>
            </w:pPr>
            <w:r w:rsidRPr="00BF5E3C">
              <w:rPr>
                <w:rFonts w:ascii="Tahoma" w:eastAsia="Times New Roman" w:hAnsi="Tahoma" w:cs="Tahoma"/>
                <w:sz w:val="16"/>
                <w:szCs w:val="16"/>
                <w:lang w:eastAsia="hr-HR"/>
              </w:rPr>
              <w:t>2</w:t>
            </w:r>
          </w:p>
        </w:tc>
        <w:tc>
          <w:tcPr>
            <w:tcW w:w="698" w:type="dxa"/>
            <w:tcBorders>
              <w:top w:val="nil"/>
              <w:left w:val="nil"/>
              <w:bottom w:val="single" w:sz="4" w:space="0" w:color="auto"/>
              <w:right w:val="single" w:sz="4" w:space="0" w:color="auto"/>
            </w:tcBorders>
            <w:shd w:val="clear" w:color="000000" w:fill="FFFF99"/>
            <w:noWrap/>
            <w:vAlign w:val="bottom"/>
            <w:hideMark/>
          </w:tcPr>
          <w:p w14:paraId="335B7A4E" w14:textId="77777777" w:rsidR="00A72067" w:rsidRPr="00BF5E3C" w:rsidRDefault="00A72067" w:rsidP="00A72067">
            <w:pPr>
              <w:spacing w:after="0" w:line="240" w:lineRule="auto"/>
              <w:jc w:val="center"/>
              <w:rPr>
                <w:rFonts w:ascii="Tahoma" w:eastAsia="Times New Roman" w:hAnsi="Tahoma" w:cs="Tahoma"/>
                <w:sz w:val="16"/>
                <w:szCs w:val="16"/>
                <w:lang w:eastAsia="hr-HR"/>
              </w:rPr>
            </w:pPr>
            <w:r w:rsidRPr="00BF5E3C">
              <w:rPr>
                <w:rFonts w:ascii="Tahoma" w:eastAsia="Times New Roman" w:hAnsi="Tahoma" w:cs="Tahoma"/>
                <w:sz w:val="16"/>
                <w:szCs w:val="16"/>
                <w:lang w:eastAsia="hr-HR"/>
              </w:rPr>
              <w:t>0</w:t>
            </w:r>
          </w:p>
        </w:tc>
        <w:tc>
          <w:tcPr>
            <w:tcW w:w="527" w:type="dxa"/>
            <w:tcBorders>
              <w:top w:val="nil"/>
              <w:left w:val="nil"/>
              <w:bottom w:val="single" w:sz="4" w:space="0" w:color="auto"/>
              <w:right w:val="single" w:sz="4" w:space="0" w:color="auto"/>
            </w:tcBorders>
            <w:shd w:val="clear" w:color="000000" w:fill="FFFF99"/>
            <w:noWrap/>
            <w:vAlign w:val="bottom"/>
            <w:hideMark/>
          </w:tcPr>
          <w:p w14:paraId="576FD2F5" w14:textId="77777777" w:rsidR="00A72067" w:rsidRPr="00BF5E3C" w:rsidRDefault="00A72067" w:rsidP="00A72067">
            <w:pPr>
              <w:spacing w:after="0" w:line="240" w:lineRule="auto"/>
              <w:jc w:val="center"/>
              <w:rPr>
                <w:rFonts w:ascii="Tahoma" w:eastAsia="Times New Roman" w:hAnsi="Tahoma" w:cs="Tahoma"/>
                <w:sz w:val="16"/>
                <w:szCs w:val="16"/>
                <w:lang w:eastAsia="hr-HR"/>
              </w:rPr>
            </w:pPr>
            <w:r w:rsidRPr="00BF5E3C">
              <w:rPr>
                <w:rFonts w:ascii="Tahoma" w:eastAsia="Times New Roman" w:hAnsi="Tahoma" w:cs="Tahoma"/>
                <w:sz w:val="16"/>
                <w:szCs w:val="16"/>
                <w:lang w:eastAsia="hr-HR"/>
              </w:rPr>
              <w:t>0</w:t>
            </w:r>
          </w:p>
        </w:tc>
        <w:tc>
          <w:tcPr>
            <w:tcW w:w="702" w:type="dxa"/>
            <w:tcBorders>
              <w:top w:val="nil"/>
              <w:left w:val="nil"/>
              <w:bottom w:val="single" w:sz="4" w:space="0" w:color="auto"/>
              <w:right w:val="single" w:sz="4" w:space="0" w:color="auto"/>
            </w:tcBorders>
            <w:shd w:val="clear" w:color="000000" w:fill="FFFF99"/>
            <w:noWrap/>
            <w:vAlign w:val="bottom"/>
            <w:hideMark/>
          </w:tcPr>
          <w:p w14:paraId="77FCEBEC" w14:textId="77777777" w:rsidR="00A72067" w:rsidRPr="00BF5E3C" w:rsidRDefault="00A72067" w:rsidP="00A72067">
            <w:pPr>
              <w:spacing w:after="0" w:line="240" w:lineRule="auto"/>
              <w:jc w:val="center"/>
              <w:rPr>
                <w:rFonts w:ascii="Tahoma" w:eastAsia="Times New Roman" w:hAnsi="Tahoma" w:cs="Tahoma"/>
                <w:sz w:val="16"/>
                <w:szCs w:val="16"/>
                <w:lang w:eastAsia="hr-HR"/>
              </w:rPr>
            </w:pPr>
            <w:r w:rsidRPr="00BF5E3C">
              <w:rPr>
                <w:rFonts w:ascii="Tahoma" w:eastAsia="Times New Roman" w:hAnsi="Tahoma" w:cs="Tahoma"/>
                <w:sz w:val="16"/>
                <w:szCs w:val="16"/>
                <w:lang w:eastAsia="hr-HR"/>
              </w:rPr>
              <w:t>0</w:t>
            </w:r>
          </w:p>
        </w:tc>
        <w:tc>
          <w:tcPr>
            <w:tcW w:w="698" w:type="dxa"/>
            <w:tcBorders>
              <w:top w:val="nil"/>
              <w:left w:val="nil"/>
              <w:bottom w:val="single" w:sz="4" w:space="0" w:color="auto"/>
              <w:right w:val="single" w:sz="4" w:space="0" w:color="auto"/>
            </w:tcBorders>
            <w:shd w:val="clear" w:color="000000" w:fill="FF9900"/>
            <w:noWrap/>
            <w:vAlign w:val="bottom"/>
            <w:hideMark/>
          </w:tcPr>
          <w:p w14:paraId="3CF3C4A8" w14:textId="77777777" w:rsidR="00A72067" w:rsidRPr="00BF5E3C" w:rsidRDefault="00A72067" w:rsidP="00A72067">
            <w:pPr>
              <w:spacing w:after="0" w:line="240" w:lineRule="auto"/>
              <w:jc w:val="right"/>
              <w:rPr>
                <w:rFonts w:ascii="Tahoma" w:eastAsia="Times New Roman" w:hAnsi="Tahoma" w:cs="Tahoma"/>
                <w:sz w:val="16"/>
                <w:szCs w:val="16"/>
                <w:lang w:eastAsia="hr-HR"/>
              </w:rPr>
            </w:pPr>
            <w:r w:rsidRPr="00BF5E3C">
              <w:rPr>
                <w:rFonts w:ascii="Tahoma" w:eastAsia="Times New Roman" w:hAnsi="Tahoma" w:cs="Tahoma"/>
                <w:sz w:val="16"/>
                <w:szCs w:val="16"/>
                <w:lang w:eastAsia="hr-HR"/>
              </w:rPr>
              <w:t>0</w:t>
            </w:r>
          </w:p>
        </w:tc>
        <w:tc>
          <w:tcPr>
            <w:tcW w:w="439" w:type="dxa"/>
            <w:tcBorders>
              <w:top w:val="nil"/>
              <w:left w:val="nil"/>
              <w:bottom w:val="single" w:sz="4" w:space="0" w:color="auto"/>
              <w:right w:val="single" w:sz="4" w:space="0" w:color="auto"/>
            </w:tcBorders>
            <w:shd w:val="clear" w:color="000000" w:fill="FF9900"/>
            <w:noWrap/>
            <w:vAlign w:val="bottom"/>
            <w:hideMark/>
          </w:tcPr>
          <w:p w14:paraId="6ECC27B0" w14:textId="77777777" w:rsidR="00A72067" w:rsidRPr="00BF5E3C" w:rsidRDefault="00A72067" w:rsidP="00A72067">
            <w:pPr>
              <w:spacing w:after="0" w:line="240" w:lineRule="auto"/>
              <w:jc w:val="right"/>
              <w:rPr>
                <w:rFonts w:ascii="Tahoma" w:eastAsia="Times New Roman" w:hAnsi="Tahoma" w:cs="Tahoma"/>
                <w:sz w:val="16"/>
                <w:szCs w:val="16"/>
                <w:lang w:eastAsia="hr-HR"/>
              </w:rPr>
            </w:pPr>
            <w:r w:rsidRPr="00BF5E3C">
              <w:rPr>
                <w:rFonts w:ascii="Tahoma" w:eastAsia="Times New Roman" w:hAnsi="Tahoma" w:cs="Tahoma"/>
                <w:sz w:val="16"/>
                <w:szCs w:val="16"/>
                <w:lang w:eastAsia="hr-HR"/>
              </w:rPr>
              <w:t>3</w:t>
            </w:r>
          </w:p>
        </w:tc>
        <w:tc>
          <w:tcPr>
            <w:tcW w:w="439" w:type="dxa"/>
            <w:tcBorders>
              <w:top w:val="nil"/>
              <w:left w:val="nil"/>
              <w:bottom w:val="single" w:sz="4" w:space="0" w:color="auto"/>
              <w:right w:val="single" w:sz="4" w:space="0" w:color="auto"/>
            </w:tcBorders>
            <w:shd w:val="clear" w:color="000000" w:fill="FF9900"/>
            <w:noWrap/>
            <w:vAlign w:val="bottom"/>
            <w:hideMark/>
          </w:tcPr>
          <w:p w14:paraId="291B6FCB" w14:textId="77777777" w:rsidR="00A72067" w:rsidRPr="00BF5E3C" w:rsidRDefault="00A72067" w:rsidP="00A72067">
            <w:pPr>
              <w:spacing w:after="0" w:line="240" w:lineRule="auto"/>
              <w:jc w:val="right"/>
              <w:rPr>
                <w:rFonts w:ascii="Tahoma" w:eastAsia="Times New Roman" w:hAnsi="Tahoma" w:cs="Tahoma"/>
                <w:sz w:val="16"/>
                <w:szCs w:val="16"/>
                <w:lang w:eastAsia="hr-HR"/>
              </w:rPr>
            </w:pPr>
            <w:r w:rsidRPr="00BF5E3C">
              <w:rPr>
                <w:rFonts w:ascii="Tahoma" w:eastAsia="Times New Roman" w:hAnsi="Tahoma" w:cs="Tahoma"/>
                <w:sz w:val="16"/>
                <w:szCs w:val="16"/>
                <w:lang w:eastAsia="hr-HR"/>
              </w:rPr>
              <w:t>4</w:t>
            </w:r>
          </w:p>
        </w:tc>
        <w:tc>
          <w:tcPr>
            <w:tcW w:w="665" w:type="dxa"/>
            <w:tcBorders>
              <w:top w:val="nil"/>
              <w:left w:val="nil"/>
              <w:bottom w:val="single" w:sz="4" w:space="0" w:color="auto"/>
              <w:right w:val="single" w:sz="4" w:space="0" w:color="auto"/>
            </w:tcBorders>
            <w:shd w:val="clear" w:color="000000" w:fill="FFFF00"/>
            <w:vAlign w:val="center"/>
            <w:hideMark/>
          </w:tcPr>
          <w:p w14:paraId="1C9C851B" w14:textId="77777777" w:rsidR="00A72067" w:rsidRPr="00BF5E3C" w:rsidRDefault="00A72067" w:rsidP="00A72067">
            <w:pPr>
              <w:spacing w:after="0" w:line="240" w:lineRule="auto"/>
              <w:jc w:val="center"/>
              <w:rPr>
                <w:rFonts w:ascii="Tahoma" w:eastAsia="Times New Roman" w:hAnsi="Tahoma" w:cs="Tahoma"/>
                <w:sz w:val="16"/>
                <w:szCs w:val="16"/>
                <w:lang w:eastAsia="hr-HR"/>
              </w:rPr>
            </w:pPr>
            <w:r w:rsidRPr="00BF5E3C">
              <w:rPr>
                <w:rFonts w:ascii="Tahoma" w:eastAsia="Times New Roman" w:hAnsi="Tahoma" w:cs="Tahoma"/>
                <w:sz w:val="16"/>
                <w:szCs w:val="16"/>
                <w:lang w:eastAsia="hr-HR"/>
              </w:rPr>
              <w:t>7</w:t>
            </w:r>
          </w:p>
        </w:tc>
        <w:tc>
          <w:tcPr>
            <w:tcW w:w="698" w:type="dxa"/>
            <w:tcBorders>
              <w:top w:val="nil"/>
              <w:left w:val="nil"/>
              <w:bottom w:val="single" w:sz="4" w:space="0" w:color="auto"/>
              <w:right w:val="single" w:sz="4" w:space="0" w:color="auto"/>
            </w:tcBorders>
            <w:shd w:val="clear" w:color="000000" w:fill="FF9900"/>
            <w:vAlign w:val="center"/>
            <w:hideMark/>
          </w:tcPr>
          <w:p w14:paraId="3BAB25CA" w14:textId="77777777" w:rsidR="00A72067" w:rsidRPr="00BF5E3C" w:rsidRDefault="00A72067" w:rsidP="00A72067">
            <w:pPr>
              <w:spacing w:after="0" w:line="240" w:lineRule="auto"/>
              <w:jc w:val="center"/>
              <w:rPr>
                <w:rFonts w:ascii="Tahoma" w:eastAsia="Times New Roman" w:hAnsi="Tahoma" w:cs="Tahoma"/>
                <w:sz w:val="16"/>
                <w:szCs w:val="16"/>
                <w:lang w:eastAsia="hr-HR"/>
              </w:rPr>
            </w:pPr>
            <w:r w:rsidRPr="00BF5E3C">
              <w:rPr>
                <w:rFonts w:ascii="Tahoma" w:eastAsia="Times New Roman" w:hAnsi="Tahoma" w:cs="Tahoma"/>
                <w:sz w:val="16"/>
                <w:szCs w:val="16"/>
                <w:lang w:eastAsia="hr-HR"/>
              </w:rPr>
              <w:t>40</w:t>
            </w:r>
          </w:p>
        </w:tc>
        <w:tc>
          <w:tcPr>
            <w:tcW w:w="707" w:type="dxa"/>
            <w:tcBorders>
              <w:top w:val="nil"/>
              <w:left w:val="nil"/>
              <w:bottom w:val="single" w:sz="4" w:space="0" w:color="auto"/>
              <w:right w:val="single" w:sz="4" w:space="0" w:color="auto"/>
            </w:tcBorders>
            <w:shd w:val="clear" w:color="000000" w:fill="FF9900"/>
            <w:noWrap/>
            <w:vAlign w:val="center"/>
            <w:hideMark/>
          </w:tcPr>
          <w:p w14:paraId="2FD58D13" w14:textId="77777777" w:rsidR="00A72067" w:rsidRPr="00BF5E3C" w:rsidRDefault="00A72067" w:rsidP="00A72067">
            <w:pPr>
              <w:spacing w:after="0" w:line="240" w:lineRule="auto"/>
              <w:jc w:val="center"/>
              <w:rPr>
                <w:rFonts w:ascii="Tahoma" w:eastAsia="Times New Roman" w:hAnsi="Tahoma" w:cs="Tahoma"/>
                <w:sz w:val="16"/>
                <w:szCs w:val="16"/>
                <w:lang w:eastAsia="hr-HR"/>
              </w:rPr>
            </w:pPr>
            <w:r w:rsidRPr="00BF5E3C">
              <w:rPr>
                <w:rFonts w:ascii="Tahoma" w:eastAsia="Times New Roman" w:hAnsi="Tahoma" w:cs="Tahoma"/>
                <w:sz w:val="16"/>
                <w:szCs w:val="16"/>
                <w:lang w:eastAsia="hr-HR"/>
              </w:rPr>
              <w:t>1</w:t>
            </w:r>
          </w:p>
        </w:tc>
        <w:tc>
          <w:tcPr>
            <w:tcW w:w="707" w:type="dxa"/>
            <w:tcBorders>
              <w:top w:val="nil"/>
              <w:left w:val="nil"/>
              <w:bottom w:val="single" w:sz="4" w:space="0" w:color="auto"/>
              <w:right w:val="single" w:sz="4" w:space="0" w:color="auto"/>
            </w:tcBorders>
            <w:shd w:val="clear" w:color="000000" w:fill="FF9900"/>
            <w:noWrap/>
            <w:vAlign w:val="center"/>
            <w:hideMark/>
          </w:tcPr>
          <w:p w14:paraId="2E91F1D0" w14:textId="77777777" w:rsidR="00A72067" w:rsidRPr="00BF5E3C" w:rsidRDefault="00A72067" w:rsidP="00A72067">
            <w:pPr>
              <w:spacing w:after="0" w:line="240" w:lineRule="auto"/>
              <w:jc w:val="center"/>
              <w:rPr>
                <w:rFonts w:ascii="Tahoma" w:eastAsia="Times New Roman" w:hAnsi="Tahoma" w:cs="Tahoma"/>
                <w:sz w:val="16"/>
                <w:szCs w:val="16"/>
                <w:lang w:eastAsia="hr-HR"/>
              </w:rPr>
            </w:pPr>
            <w:r w:rsidRPr="00BF5E3C">
              <w:rPr>
                <w:rFonts w:ascii="Tahoma" w:eastAsia="Times New Roman" w:hAnsi="Tahoma" w:cs="Tahoma"/>
                <w:sz w:val="16"/>
                <w:szCs w:val="16"/>
                <w:lang w:eastAsia="hr-HR"/>
              </w:rPr>
              <w:t>0</w:t>
            </w:r>
          </w:p>
        </w:tc>
        <w:tc>
          <w:tcPr>
            <w:tcW w:w="698" w:type="dxa"/>
            <w:tcBorders>
              <w:top w:val="nil"/>
              <w:left w:val="nil"/>
              <w:bottom w:val="single" w:sz="4" w:space="0" w:color="auto"/>
              <w:right w:val="single" w:sz="4" w:space="0" w:color="auto"/>
            </w:tcBorders>
            <w:shd w:val="clear" w:color="000000" w:fill="FF9900"/>
            <w:noWrap/>
            <w:vAlign w:val="center"/>
            <w:hideMark/>
          </w:tcPr>
          <w:p w14:paraId="2FF67F39" w14:textId="77777777" w:rsidR="00A72067" w:rsidRPr="00BF5E3C" w:rsidRDefault="00A72067" w:rsidP="00A72067">
            <w:pPr>
              <w:spacing w:after="0" w:line="240" w:lineRule="auto"/>
              <w:jc w:val="center"/>
              <w:rPr>
                <w:rFonts w:ascii="Tahoma" w:eastAsia="Times New Roman" w:hAnsi="Tahoma" w:cs="Tahoma"/>
                <w:sz w:val="16"/>
                <w:szCs w:val="16"/>
                <w:lang w:eastAsia="hr-HR"/>
              </w:rPr>
            </w:pPr>
            <w:r w:rsidRPr="00BF5E3C">
              <w:rPr>
                <w:rFonts w:ascii="Tahoma" w:eastAsia="Times New Roman" w:hAnsi="Tahoma" w:cs="Tahoma"/>
                <w:sz w:val="16"/>
                <w:szCs w:val="16"/>
                <w:lang w:eastAsia="hr-HR"/>
              </w:rPr>
              <w:t>0</w:t>
            </w:r>
          </w:p>
        </w:tc>
        <w:tc>
          <w:tcPr>
            <w:tcW w:w="377" w:type="dxa"/>
            <w:tcBorders>
              <w:top w:val="nil"/>
              <w:left w:val="nil"/>
              <w:bottom w:val="single" w:sz="4" w:space="0" w:color="auto"/>
              <w:right w:val="single" w:sz="4" w:space="0" w:color="auto"/>
            </w:tcBorders>
            <w:shd w:val="clear" w:color="000000" w:fill="CCFFFF"/>
            <w:noWrap/>
            <w:vAlign w:val="bottom"/>
            <w:hideMark/>
          </w:tcPr>
          <w:p w14:paraId="1E7B6C33" w14:textId="77777777" w:rsidR="00A72067" w:rsidRPr="00BF5E3C" w:rsidRDefault="00A72067" w:rsidP="00A72067">
            <w:pPr>
              <w:spacing w:after="0" w:line="240" w:lineRule="auto"/>
              <w:jc w:val="right"/>
              <w:rPr>
                <w:rFonts w:ascii="Tahoma" w:eastAsia="Times New Roman" w:hAnsi="Tahoma" w:cs="Tahoma"/>
                <w:sz w:val="16"/>
                <w:szCs w:val="16"/>
                <w:lang w:eastAsia="hr-HR"/>
              </w:rPr>
            </w:pPr>
            <w:r w:rsidRPr="00BF5E3C">
              <w:rPr>
                <w:rFonts w:ascii="Tahoma" w:eastAsia="Times New Roman" w:hAnsi="Tahoma" w:cs="Tahoma"/>
                <w:sz w:val="16"/>
                <w:szCs w:val="16"/>
                <w:lang w:eastAsia="hr-HR"/>
              </w:rPr>
              <w:t>2</w:t>
            </w:r>
          </w:p>
        </w:tc>
        <w:tc>
          <w:tcPr>
            <w:tcW w:w="388" w:type="dxa"/>
            <w:tcBorders>
              <w:top w:val="nil"/>
              <w:left w:val="nil"/>
              <w:bottom w:val="single" w:sz="4" w:space="0" w:color="auto"/>
              <w:right w:val="single" w:sz="4" w:space="0" w:color="auto"/>
            </w:tcBorders>
            <w:shd w:val="clear" w:color="000000" w:fill="CCFFFF"/>
            <w:noWrap/>
            <w:vAlign w:val="bottom"/>
            <w:hideMark/>
          </w:tcPr>
          <w:p w14:paraId="7FF2A6BB" w14:textId="77777777" w:rsidR="00A72067" w:rsidRPr="00BF5E3C" w:rsidRDefault="00A72067" w:rsidP="00A72067">
            <w:pPr>
              <w:spacing w:after="0" w:line="240" w:lineRule="auto"/>
              <w:jc w:val="right"/>
              <w:rPr>
                <w:rFonts w:ascii="Tahoma" w:eastAsia="Times New Roman" w:hAnsi="Tahoma" w:cs="Tahoma"/>
                <w:sz w:val="16"/>
                <w:szCs w:val="16"/>
                <w:lang w:eastAsia="hr-HR"/>
              </w:rPr>
            </w:pPr>
            <w:r w:rsidRPr="00BF5E3C">
              <w:rPr>
                <w:rFonts w:ascii="Tahoma" w:eastAsia="Times New Roman" w:hAnsi="Tahoma" w:cs="Tahoma"/>
                <w:sz w:val="16"/>
                <w:szCs w:val="16"/>
                <w:lang w:eastAsia="hr-HR"/>
              </w:rPr>
              <w:t>2</w:t>
            </w:r>
          </w:p>
        </w:tc>
        <w:tc>
          <w:tcPr>
            <w:tcW w:w="399" w:type="dxa"/>
            <w:tcBorders>
              <w:top w:val="nil"/>
              <w:left w:val="nil"/>
              <w:bottom w:val="single" w:sz="4" w:space="0" w:color="auto"/>
              <w:right w:val="single" w:sz="4" w:space="0" w:color="auto"/>
            </w:tcBorders>
            <w:shd w:val="clear" w:color="000000" w:fill="CCFFFF"/>
            <w:noWrap/>
            <w:vAlign w:val="bottom"/>
            <w:hideMark/>
          </w:tcPr>
          <w:p w14:paraId="1AF35BB5" w14:textId="77777777" w:rsidR="00A72067" w:rsidRPr="00BF5E3C" w:rsidRDefault="00A72067" w:rsidP="00A72067">
            <w:pPr>
              <w:spacing w:after="0" w:line="240" w:lineRule="auto"/>
              <w:jc w:val="right"/>
              <w:rPr>
                <w:rFonts w:ascii="Tahoma" w:eastAsia="Times New Roman" w:hAnsi="Tahoma" w:cs="Tahoma"/>
                <w:sz w:val="16"/>
                <w:szCs w:val="16"/>
                <w:lang w:eastAsia="hr-HR"/>
              </w:rPr>
            </w:pPr>
            <w:r w:rsidRPr="00BF5E3C">
              <w:rPr>
                <w:rFonts w:ascii="Tahoma" w:eastAsia="Times New Roman" w:hAnsi="Tahoma" w:cs="Tahoma"/>
                <w:sz w:val="16"/>
                <w:szCs w:val="16"/>
                <w:lang w:eastAsia="hr-HR"/>
              </w:rPr>
              <w:t>0</w:t>
            </w:r>
          </w:p>
        </w:tc>
        <w:tc>
          <w:tcPr>
            <w:tcW w:w="489" w:type="dxa"/>
            <w:gridSpan w:val="2"/>
            <w:tcBorders>
              <w:top w:val="nil"/>
              <w:left w:val="nil"/>
              <w:bottom w:val="single" w:sz="4" w:space="0" w:color="auto"/>
              <w:right w:val="nil"/>
            </w:tcBorders>
            <w:shd w:val="clear" w:color="000000" w:fill="33CCCC"/>
            <w:noWrap/>
            <w:vAlign w:val="bottom"/>
            <w:hideMark/>
          </w:tcPr>
          <w:p w14:paraId="0511E754" w14:textId="77777777" w:rsidR="00A72067" w:rsidRPr="00BF5E3C" w:rsidRDefault="00A72067" w:rsidP="00A72067">
            <w:pPr>
              <w:spacing w:after="0" w:line="240" w:lineRule="auto"/>
              <w:jc w:val="right"/>
              <w:rPr>
                <w:rFonts w:ascii="Tahoma" w:eastAsia="Times New Roman" w:hAnsi="Tahoma" w:cs="Tahoma"/>
                <w:sz w:val="16"/>
                <w:szCs w:val="16"/>
                <w:lang w:eastAsia="hr-HR"/>
              </w:rPr>
            </w:pPr>
            <w:r w:rsidRPr="00BF5E3C">
              <w:rPr>
                <w:rFonts w:ascii="Tahoma" w:eastAsia="Times New Roman" w:hAnsi="Tahoma" w:cs="Tahoma"/>
                <w:sz w:val="16"/>
                <w:szCs w:val="16"/>
                <w:lang w:eastAsia="hr-HR"/>
              </w:rPr>
              <w:t>2</w:t>
            </w:r>
          </w:p>
        </w:tc>
        <w:tc>
          <w:tcPr>
            <w:tcW w:w="425" w:type="dxa"/>
            <w:tcBorders>
              <w:top w:val="nil"/>
              <w:left w:val="single" w:sz="4" w:space="0" w:color="auto"/>
              <w:bottom w:val="single" w:sz="4" w:space="0" w:color="auto"/>
              <w:right w:val="single" w:sz="8" w:space="0" w:color="auto"/>
            </w:tcBorders>
            <w:shd w:val="clear" w:color="000000" w:fill="33CCCC"/>
            <w:noWrap/>
            <w:vAlign w:val="bottom"/>
            <w:hideMark/>
          </w:tcPr>
          <w:p w14:paraId="1AE43A50" w14:textId="77777777" w:rsidR="00A72067" w:rsidRPr="00BF5E3C" w:rsidRDefault="00A72067" w:rsidP="00A72067">
            <w:pPr>
              <w:spacing w:after="0" w:line="240" w:lineRule="auto"/>
              <w:jc w:val="right"/>
              <w:rPr>
                <w:rFonts w:ascii="Tahoma" w:eastAsia="Times New Roman" w:hAnsi="Tahoma" w:cs="Tahoma"/>
                <w:sz w:val="16"/>
                <w:szCs w:val="16"/>
                <w:lang w:eastAsia="hr-HR"/>
              </w:rPr>
            </w:pPr>
            <w:r w:rsidRPr="00BF5E3C">
              <w:rPr>
                <w:rFonts w:ascii="Tahoma" w:eastAsia="Times New Roman" w:hAnsi="Tahoma" w:cs="Tahoma"/>
                <w:sz w:val="16"/>
                <w:szCs w:val="16"/>
                <w:lang w:eastAsia="hr-HR"/>
              </w:rPr>
              <w:t>5</w:t>
            </w:r>
          </w:p>
        </w:tc>
        <w:tc>
          <w:tcPr>
            <w:tcW w:w="236" w:type="dxa"/>
            <w:vAlign w:val="center"/>
            <w:hideMark/>
          </w:tcPr>
          <w:p w14:paraId="409DDCC3" w14:textId="77777777" w:rsidR="00A72067" w:rsidRPr="00BF5E3C" w:rsidRDefault="00A72067" w:rsidP="00A72067">
            <w:pPr>
              <w:spacing w:after="0" w:line="240" w:lineRule="auto"/>
              <w:rPr>
                <w:rFonts w:ascii="Times New Roman" w:eastAsia="Times New Roman" w:hAnsi="Times New Roman" w:cs="Times New Roman"/>
                <w:sz w:val="16"/>
                <w:szCs w:val="16"/>
                <w:lang w:eastAsia="hr-HR"/>
              </w:rPr>
            </w:pPr>
          </w:p>
        </w:tc>
      </w:tr>
      <w:tr w:rsidR="00F90F6F" w:rsidRPr="00BF5E3C" w14:paraId="4637BB05" w14:textId="77777777" w:rsidTr="00F90F6F">
        <w:trPr>
          <w:gridAfter w:val="1"/>
          <w:wAfter w:w="32" w:type="dxa"/>
          <w:trHeight w:val="402"/>
        </w:trPr>
        <w:tc>
          <w:tcPr>
            <w:tcW w:w="979" w:type="dxa"/>
            <w:tcBorders>
              <w:top w:val="nil"/>
              <w:left w:val="single" w:sz="8" w:space="0" w:color="auto"/>
              <w:bottom w:val="single" w:sz="4" w:space="0" w:color="auto"/>
              <w:right w:val="single" w:sz="4" w:space="0" w:color="auto"/>
            </w:tcBorders>
            <w:shd w:val="clear" w:color="000000" w:fill="CCFFCC"/>
            <w:vAlign w:val="center"/>
            <w:hideMark/>
          </w:tcPr>
          <w:p w14:paraId="258CF2F6" w14:textId="77777777" w:rsidR="00A72067" w:rsidRPr="00BF5E3C" w:rsidRDefault="00A72067" w:rsidP="00A72067">
            <w:pPr>
              <w:spacing w:after="0" w:line="240" w:lineRule="auto"/>
              <w:rPr>
                <w:rFonts w:ascii="Tahoma" w:eastAsia="Times New Roman" w:hAnsi="Tahoma" w:cs="Tahoma"/>
                <w:sz w:val="16"/>
                <w:szCs w:val="16"/>
                <w:lang w:eastAsia="hr-HR"/>
              </w:rPr>
            </w:pPr>
            <w:r w:rsidRPr="00BF5E3C">
              <w:rPr>
                <w:rFonts w:ascii="Tahoma" w:eastAsia="Times New Roman" w:hAnsi="Tahoma" w:cs="Tahoma"/>
                <w:sz w:val="16"/>
                <w:szCs w:val="16"/>
                <w:lang w:eastAsia="hr-HR"/>
              </w:rPr>
              <w:t>Bračni ili obiteljski status</w:t>
            </w:r>
          </w:p>
        </w:tc>
        <w:tc>
          <w:tcPr>
            <w:tcW w:w="520" w:type="dxa"/>
            <w:tcBorders>
              <w:top w:val="nil"/>
              <w:left w:val="nil"/>
              <w:bottom w:val="single" w:sz="4" w:space="0" w:color="auto"/>
              <w:right w:val="single" w:sz="4" w:space="0" w:color="auto"/>
            </w:tcBorders>
            <w:shd w:val="clear" w:color="000000" w:fill="FFCC99"/>
            <w:noWrap/>
            <w:vAlign w:val="bottom"/>
            <w:hideMark/>
          </w:tcPr>
          <w:p w14:paraId="2B517F45" w14:textId="77777777" w:rsidR="00A72067" w:rsidRPr="00BF5E3C" w:rsidRDefault="00A72067" w:rsidP="00A72067">
            <w:pPr>
              <w:spacing w:after="0" w:line="240" w:lineRule="auto"/>
              <w:jc w:val="center"/>
              <w:rPr>
                <w:rFonts w:ascii="Tahoma" w:eastAsia="Times New Roman" w:hAnsi="Tahoma" w:cs="Tahoma"/>
                <w:sz w:val="16"/>
                <w:szCs w:val="16"/>
                <w:lang w:eastAsia="hr-HR"/>
              </w:rPr>
            </w:pPr>
            <w:r w:rsidRPr="00BF5E3C">
              <w:rPr>
                <w:rFonts w:ascii="Tahoma" w:eastAsia="Times New Roman" w:hAnsi="Tahoma" w:cs="Tahoma"/>
                <w:sz w:val="16"/>
                <w:szCs w:val="16"/>
                <w:lang w:eastAsia="hr-HR"/>
              </w:rPr>
              <w:t>5</w:t>
            </w:r>
          </w:p>
        </w:tc>
        <w:tc>
          <w:tcPr>
            <w:tcW w:w="420" w:type="dxa"/>
            <w:tcBorders>
              <w:top w:val="nil"/>
              <w:left w:val="nil"/>
              <w:bottom w:val="single" w:sz="4" w:space="0" w:color="auto"/>
              <w:right w:val="single" w:sz="4" w:space="0" w:color="auto"/>
            </w:tcBorders>
            <w:shd w:val="clear" w:color="000000" w:fill="FFFF00"/>
            <w:noWrap/>
            <w:vAlign w:val="bottom"/>
            <w:hideMark/>
          </w:tcPr>
          <w:p w14:paraId="708C3183" w14:textId="77777777" w:rsidR="00A72067" w:rsidRPr="00BF5E3C" w:rsidRDefault="00A72067" w:rsidP="00A72067">
            <w:pPr>
              <w:spacing w:after="0" w:line="240" w:lineRule="auto"/>
              <w:jc w:val="center"/>
              <w:rPr>
                <w:rFonts w:ascii="Tahoma" w:eastAsia="Times New Roman" w:hAnsi="Tahoma" w:cs="Tahoma"/>
                <w:sz w:val="16"/>
                <w:szCs w:val="16"/>
                <w:lang w:eastAsia="hr-HR"/>
              </w:rPr>
            </w:pPr>
            <w:r w:rsidRPr="00BF5E3C">
              <w:rPr>
                <w:rFonts w:ascii="Tahoma" w:eastAsia="Times New Roman" w:hAnsi="Tahoma" w:cs="Tahoma"/>
                <w:sz w:val="16"/>
                <w:szCs w:val="16"/>
                <w:lang w:eastAsia="hr-HR"/>
              </w:rPr>
              <w:t>3</w:t>
            </w:r>
          </w:p>
        </w:tc>
        <w:tc>
          <w:tcPr>
            <w:tcW w:w="665" w:type="dxa"/>
            <w:tcBorders>
              <w:top w:val="nil"/>
              <w:left w:val="nil"/>
              <w:bottom w:val="single" w:sz="4" w:space="0" w:color="auto"/>
              <w:right w:val="single" w:sz="4" w:space="0" w:color="auto"/>
            </w:tcBorders>
            <w:shd w:val="clear" w:color="000000" w:fill="CCFFFF"/>
            <w:noWrap/>
            <w:vAlign w:val="bottom"/>
            <w:hideMark/>
          </w:tcPr>
          <w:p w14:paraId="4D545850" w14:textId="77777777" w:rsidR="00A72067" w:rsidRPr="00BF5E3C" w:rsidRDefault="00A72067" w:rsidP="00A72067">
            <w:pPr>
              <w:spacing w:after="0" w:line="240" w:lineRule="auto"/>
              <w:jc w:val="right"/>
              <w:rPr>
                <w:rFonts w:ascii="Tahoma" w:eastAsia="Times New Roman" w:hAnsi="Tahoma" w:cs="Tahoma"/>
                <w:sz w:val="16"/>
                <w:szCs w:val="16"/>
                <w:lang w:eastAsia="hr-HR"/>
              </w:rPr>
            </w:pPr>
            <w:r w:rsidRPr="00BF5E3C">
              <w:rPr>
                <w:rFonts w:ascii="Tahoma" w:eastAsia="Times New Roman" w:hAnsi="Tahoma" w:cs="Tahoma"/>
                <w:sz w:val="16"/>
                <w:szCs w:val="16"/>
                <w:lang w:eastAsia="hr-HR"/>
              </w:rPr>
              <w:t>2</w:t>
            </w:r>
          </w:p>
        </w:tc>
        <w:tc>
          <w:tcPr>
            <w:tcW w:w="571" w:type="dxa"/>
            <w:tcBorders>
              <w:top w:val="nil"/>
              <w:left w:val="nil"/>
              <w:bottom w:val="single" w:sz="4" w:space="0" w:color="auto"/>
              <w:right w:val="single" w:sz="4" w:space="0" w:color="auto"/>
            </w:tcBorders>
            <w:shd w:val="clear" w:color="000000" w:fill="CCFFFF"/>
            <w:noWrap/>
            <w:vAlign w:val="bottom"/>
            <w:hideMark/>
          </w:tcPr>
          <w:p w14:paraId="37CCDA4B" w14:textId="77777777" w:rsidR="00A72067" w:rsidRPr="00BF5E3C" w:rsidRDefault="00A72067" w:rsidP="00A72067">
            <w:pPr>
              <w:spacing w:after="0" w:line="240" w:lineRule="auto"/>
              <w:jc w:val="right"/>
              <w:rPr>
                <w:rFonts w:ascii="Tahoma" w:eastAsia="Times New Roman" w:hAnsi="Tahoma" w:cs="Tahoma"/>
                <w:sz w:val="16"/>
                <w:szCs w:val="16"/>
                <w:lang w:eastAsia="hr-HR"/>
              </w:rPr>
            </w:pPr>
            <w:r w:rsidRPr="00BF5E3C">
              <w:rPr>
                <w:rFonts w:ascii="Tahoma" w:eastAsia="Times New Roman" w:hAnsi="Tahoma" w:cs="Tahoma"/>
                <w:sz w:val="16"/>
                <w:szCs w:val="16"/>
                <w:lang w:eastAsia="hr-HR"/>
              </w:rPr>
              <w:t>1</w:t>
            </w:r>
          </w:p>
        </w:tc>
        <w:tc>
          <w:tcPr>
            <w:tcW w:w="700" w:type="dxa"/>
            <w:tcBorders>
              <w:top w:val="nil"/>
              <w:left w:val="nil"/>
              <w:bottom w:val="single" w:sz="4" w:space="0" w:color="auto"/>
              <w:right w:val="single" w:sz="4" w:space="0" w:color="auto"/>
            </w:tcBorders>
            <w:shd w:val="clear" w:color="000000" w:fill="FFFF99"/>
            <w:noWrap/>
            <w:vAlign w:val="bottom"/>
            <w:hideMark/>
          </w:tcPr>
          <w:p w14:paraId="48DF31EF" w14:textId="77777777" w:rsidR="00A72067" w:rsidRPr="00BF5E3C" w:rsidRDefault="00A72067" w:rsidP="00A72067">
            <w:pPr>
              <w:spacing w:after="0" w:line="240" w:lineRule="auto"/>
              <w:jc w:val="center"/>
              <w:rPr>
                <w:rFonts w:ascii="Tahoma" w:eastAsia="Times New Roman" w:hAnsi="Tahoma" w:cs="Tahoma"/>
                <w:sz w:val="16"/>
                <w:szCs w:val="16"/>
                <w:lang w:eastAsia="hr-HR"/>
              </w:rPr>
            </w:pPr>
            <w:r w:rsidRPr="00BF5E3C">
              <w:rPr>
                <w:rFonts w:ascii="Tahoma" w:eastAsia="Times New Roman" w:hAnsi="Tahoma" w:cs="Tahoma"/>
                <w:sz w:val="16"/>
                <w:szCs w:val="16"/>
                <w:lang w:eastAsia="hr-HR"/>
              </w:rPr>
              <w:t>3</w:t>
            </w:r>
          </w:p>
        </w:tc>
        <w:tc>
          <w:tcPr>
            <w:tcW w:w="698" w:type="dxa"/>
            <w:tcBorders>
              <w:top w:val="nil"/>
              <w:left w:val="nil"/>
              <w:bottom w:val="single" w:sz="4" w:space="0" w:color="auto"/>
              <w:right w:val="single" w:sz="4" w:space="0" w:color="auto"/>
            </w:tcBorders>
            <w:shd w:val="clear" w:color="000000" w:fill="FFFF99"/>
            <w:noWrap/>
            <w:vAlign w:val="bottom"/>
            <w:hideMark/>
          </w:tcPr>
          <w:p w14:paraId="358B6AA0" w14:textId="77777777" w:rsidR="00A72067" w:rsidRPr="00BF5E3C" w:rsidRDefault="00A72067" w:rsidP="00A72067">
            <w:pPr>
              <w:spacing w:after="0" w:line="240" w:lineRule="auto"/>
              <w:jc w:val="center"/>
              <w:rPr>
                <w:rFonts w:ascii="Tahoma" w:eastAsia="Times New Roman" w:hAnsi="Tahoma" w:cs="Tahoma"/>
                <w:sz w:val="16"/>
                <w:szCs w:val="16"/>
                <w:lang w:eastAsia="hr-HR"/>
              </w:rPr>
            </w:pPr>
            <w:r w:rsidRPr="00BF5E3C">
              <w:rPr>
                <w:rFonts w:ascii="Tahoma" w:eastAsia="Times New Roman" w:hAnsi="Tahoma" w:cs="Tahoma"/>
                <w:sz w:val="16"/>
                <w:szCs w:val="16"/>
                <w:lang w:eastAsia="hr-HR"/>
              </w:rPr>
              <w:t>0</w:t>
            </w:r>
          </w:p>
        </w:tc>
        <w:tc>
          <w:tcPr>
            <w:tcW w:w="698" w:type="dxa"/>
            <w:tcBorders>
              <w:top w:val="nil"/>
              <w:left w:val="nil"/>
              <w:bottom w:val="single" w:sz="4" w:space="0" w:color="auto"/>
              <w:right w:val="single" w:sz="4" w:space="0" w:color="auto"/>
            </w:tcBorders>
            <w:shd w:val="clear" w:color="000000" w:fill="FFFF99"/>
            <w:noWrap/>
            <w:vAlign w:val="bottom"/>
            <w:hideMark/>
          </w:tcPr>
          <w:p w14:paraId="40865CEF" w14:textId="77777777" w:rsidR="00A72067" w:rsidRPr="00BF5E3C" w:rsidRDefault="00A72067" w:rsidP="00A72067">
            <w:pPr>
              <w:spacing w:after="0" w:line="240" w:lineRule="auto"/>
              <w:jc w:val="center"/>
              <w:rPr>
                <w:rFonts w:ascii="Tahoma" w:eastAsia="Times New Roman" w:hAnsi="Tahoma" w:cs="Tahoma"/>
                <w:sz w:val="16"/>
                <w:szCs w:val="16"/>
                <w:lang w:eastAsia="hr-HR"/>
              </w:rPr>
            </w:pPr>
            <w:r w:rsidRPr="00BF5E3C">
              <w:rPr>
                <w:rFonts w:ascii="Tahoma" w:eastAsia="Times New Roman" w:hAnsi="Tahoma" w:cs="Tahoma"/>
                <w:sz w:val="16"/>
                <w:szCs w:val="16"/>
                <w:lang w:eastAsia="hr-HR"/>
              </w:rPr>
              <w:t>0</w:t>
            </w:r>
          </w:p>
        </w:tc>
        <w:tc>
          <w:tcPr>
            <w:tcW w:w="698" w:type="dxa"/>
            <w:tcBorders>
              <w:top w:val="nil"/>
              <w:left w:val="nil"/>
              <w:bottom w:val="single" w:sz="4" w:space="0" w:color="auto"/>
              <w:right w:val="single" w:sz="4" w:space="0" w:color="auto"/>
            </w:tcBorders>
            <w:shd w:val="clear" w:color="000000" w:fill="FFFF99"/>
            <w:noWrap/>
            <w:vAlign w:val="bottom"/>
            <w:hideMark/>
          </w:tcPr>
          <w:p w14:paraId="7DA80A5F" w14:textId="77777777" w:rsidR="00A72067" w:rsidRPr="00BF5E3C" w:rsidRDefault="00A72067" w:rsidP="00A72067">
            <w:pPr>
              <w:spacing w:after="0" w:line="240" w:lineRule="auto"/>
              <w:jc w:val="center"/>
              <w:rPr>
                <w:rFonts w:ascii="Tahoma" w:eastAsia="Times New Roman" w:hAnsi="Tahoma" w:cs="Tahoma"/>
                <w:sz w:val="16"/>
                <w:szCs w:val="16"/>
                <w:lang w:eastAsia="hr-HR"/>
              </w:rPr>
            </w:pPr>
            <w:r w:rsidRPr="00BF5E3C">
              <w:rPr>
                <w:rFonts w:ascii="Tahoma" w:eastAsia="Times New Roman" w:hAnsi="Tahoma" w:cs="Tahoma"/>
                <w:sz w:val="16"/>
                <w:szCs w:val="16"/>
                <w:lang w:eastAsia="hr-HR"/>
              </w:rPr>
              <w:t>0</w:t>
            </w:r>
          </w:p>
        </w:tc>
        <w:tc>
          <w:tcPr>
            <w:tcW w:w="527" w:type="dxa"/>
            <w:tcBorders>
              <w:top w:val="nil"/>
              <w:left w:val="nil"/>
              <w:bottom w:val="single" w:sz="4" w:space="0" w:color="auto"/>
              <w:right w:val="single" w:sz="4" w:space="0" w:color="auto"/>
            </w:tcBorders>
            <w:shd w:val="clear" w:color="000000" w:fill="FFFF99"/>
            <w:noWrap/>
            <w:vAlign w:val="bottom"/>
            <w:hideMark/>
          </w:tcPr>
          <w:p w14:paraId="32A2DEA4" w14:textId="77777777" w:rsidR="00A72067" w:rsidRPr="00BF5E3C" w:rsidRDefault="00A72067" w:rsidP="00A72067">
            <w:pPr>
              <w:spacing w:after="0" w:line="240" w:lineRule="auto"/>
              <w:jc w:val="center"/>
              <w:rPr>
                <w:rFonts w:ascii="Tahoma" w:eastAsia="Times New Roman" w:hAnsi="Tahoma" w:cs="Tahoma"/>
                <w:sz w:val="16"/>
                <w:szCs w:val="16"/>
                <w:lang w:eastAsia="hr-HR"/>
              </w:rPr>
            </w:pPr>
            <w:r w:rsidRPr="00BF5E3C">
              <w:rPr>
                <w:rFonts w:ascii="Tahoma" w:eastAsia="Times New Roman" w:hAnsi="Tahoma" w:cs="Tahoma"/>
                <w:sz w:val="16"/>
                <w:szCs w:val="16"/>
                <w:lang w:eastAsia="hr-HR"/>
              </w:rPr>
              <w:t>0</w:t>
            </w:r>
          </w:p>
        </w:tc>
        <w:tc>
          <w:tcPr>
            <w:tcW w:w="702" w:type="dxa"/>
            <w:tcBorders>
              <w:top w:val="nil"/>
              <w:left w:val="nil"/>
              <w:bottom w:val="single" w:sz="4" w:space="0" w:color="auto"/>
              <w:right w:val="single" w:sz="4" w:space="0" w:color="auto"/>
            </w:tcBorders>
            <w:shd w:val="clear" w:color="000000" w:fill="FFFF99"/>
            <w:noWrap/>
            <w:vAlign w:val="bottom"/>
            <w:hideMark/>
          </w:tcPr>
          <w:p w14:paraId="2D44046F" w14:textId="77777777" w:rsidR="00A72067" w:rsidRPr="00BF5E3C" w:rsidRDefault="00A72067" w:rsidP="00A72067">
            <w:pPr>
              <w:spacing w:after="0" w:line="240" w:lineRule="auto"/>
              <w:jc w:val="center"/>
              <w:rPr>
                <w:rFonts w:ascii="Tahoma" w:eastAsia="Times New Roman" w:hAnsi="Tahoma" w:cs="Tahoma"/>
                <w:sz w:val="16"/>
                <w:szCs w:val="16"/>
                <w:lang w:eastAsia="hr-HR"/>
              </w:rPr>
            </w:pPr>
            <w:r w:rsidRPr="00BF5E3C">
              <w:rPr>
                <w:rFonts w:ascii="Tahoma" w:eastAsia="Times New Roman" w:hAnsi="Tahoma" w:cs="Tahoma"/>
                <w:sz w:val="16"/>
                <w:szCs w:val="16"/>
                <w:lang w:eastAsia="hr-HR"/>
              </w:rPr>
              <w:t>0</w:t>
            </w:r>
          </w:p>
        </w:tc>
        <w:tc>
          <w:tcPr>
            <w:tcW w:w="698" w:type="dxa"/>
            <w:tcBorders>
              <w:top w:val="nil"/>
              <w:left w:val="nil"/>
              <w:bottom w:val="single" w:sz="4" w:space="0" w:color="auto"/>
              <w:right w:val="single" w:sz="4" w:space="0" w:color="auto"/>
            </w:tcBorders>
            <w:shd w:val="clear" w:color="000000" w:fill="FF9900"/>
            <w:noWrap/>
            <w:vAlign w:val="bottom"/>
            <w:hideMark/>
          </w:tcPr>
          <w:p w14:paraId="256ADB69" w14:textId="77777777" w:rsidR="00A72067" w:rsidRPr="00BF5E3C" w:rsidRDefault="00A72067" w:rsidP="00A72067">
            <w:pPr>
              <w:spacing w:after="0" w:line="240" w:lineRule="auto"/>
              <w:jc w:val="right"/>
              <w:rPr>
                <w:rFonts w:ascii="Tahoma" w:eastAsia="Times New Roman" w:hAnsi="Tahoma" w:cs="Tahoma"/>
                <w:sz w:val="16"/>
                <w:szCs w:val="16"/>
                <w:lang w:eastAsia="hr-HR"/>
              </w:rPr>
            </w:pPr>
            <w:r w:rsidRPr="00BF5E3C">
              <w:rPr>
                <w:rFonts w:ascii="Tahoma" w:eastAsia="Times New Roman" w:hAnsi="Tahoma" w:cs="Tahoma"/>
                <w:sz w:val="16"/>
                <w:szCs w:val="16"/>
                <w:lang w:eastAsia="hr-HR"/>
              </w:rPr>
              <w:t>0</w:t>
            </w:r>
          </w:p>
        </w:tc>
        <w:tc>
          <w:tcPr>
            <w:tcW w:w="439" w:type="dxa"/>
            <w:tcBorders>
              <w:top w:val="nil"/>
              <w:left w:val="nil"/>
              <w:bottom w:val="single" w:sz="4" w:space="0" w:color="auto"/>
              <w:right w:val="single" w:sz="4" w:space="0" w:color="auto"/>
            </w:tcBorders>
            <w:shd w:val="clear" w:color="000000" w:fill="FF9900"/>
            <w:noWrap/>
            <w:vAlign w:val="bottom"/>
            <w:hideMark/>
          </w:tcPr>
          <w:p w14:paraId="0F7010C2" w14:textId="77777777" w:rsidR="00A72067" w:rsidRPr="00BF5E3C" w:rsidRDefault="00A72067" w:rsidP="00A72067">
            <w:pPr>
              <w:spacing w:after="0" w:line="240" w:lineRule="auto"/>
              <w:jc w:val="right"/>
              <w:rPr>
                <w:rFonts w:ascii="Tahoma" w:eastAsia="Times New Roman" w:hAnsi="Tahoma" w:cs="Tahoma"/>
                <w:sz w:val="16"/>
                <w:szCs w:val="16"/>
                <w:lang w:eastAsia="hr-HR"/>
              </w:rPr>
            </w:pPr>
            <w:r w:rsidRPr="00BF5E3C">
              <w:rPr>
                <w:rFonts w:ascii="Tahoma" w:eastAsia="Times New Roman" w:hAnsi="Tahoma" w:cs="Tahoma"/>
                <w:sz w:val="16"/>
                <w:szCs w:val="16"/>
                <w:lang w:eastAsia="hr-HR"/>
              </w:rPr>
              <w:t>0</w:t>
            </w:r>
          </w:p>
        </w:tc>
        <w:tc>
          <w:tcPr>
            <w:tcW w:w="439" w:type="dxa"/>
            <w:tcBorders>
              <w:top w:val="nil"/>
              <w:left w:val="nil"/>
              <w:bottom w:val="single" w:sz="4" w:space="0" w:color="auto"/>
              <w:right w:val="single" w:sz="4" w:space="0" w:color="auto"/>
            </w:tcBorders>
            <w:shd w:val="clear" w:color="000000" w:fill="FF9900"/>
            <w:noWrap/>
            <w:vAlign w:val="bottom"/>
            <w:hideMark/>
          </w:tcPr>
          <w:p w14:paraId="593F8C23" w14:textId="77777777" w:rsidR="00A72067" w:rsidRPr="00BF5E3C" w:rsidRDefault="00A72067" w:rsidP="00A72067">
            <w:pPr>
              <w:spacing w:after="0" w:line="240" w:lineRule="auto"/>
              <w:jc w:val="right"/>
              <w:rPr>
                <w:rFonts w:ascii="Tahoma" w:eastAsia="Times New Roman" w:hAnsi="Tahoma" w:cs="Tahoma"/>
                <w:sz w:val="16"/>
                <w:szCs w:val="16"/>
                <w:lang w:eastAsia="hr-HR"/>
              </w:rPr>
            </w:pPr>
            <w:r w:rsidRPr="00BF5E3C">
              <w:rPr>
                <w:rFonts w:ascii="Tahoma" w:eastAsia="Times New Roman" w:hAnsi="Tahoma" w:cs="Tahoma"/>
                <w:sz w:val="16"/>
                <w:szCs w:val="16"/>
                <w:lang w:eastAsia="hr-HR"/>
              </w:rPr>
              <w:t>1</w:t>
            </w:r>
          </w:p>
        </w:tc>
        <w:tc>
          <w:tcPr>
            <w:tcW w:w="665" w:type="dxa"/>
            <w:tcBorders>
              <w:top w:val="nil"/>
              <w:left w:val="nil"/>
              <w:bottom w:val="single" w:sz="4" w:space="0" w:color="auto"/>
              <w:right w:val="single" w:sz="4" w:space="0" w:color="auto"/>
            </w:tcBorders>
            <w:shd w:val="clear" w:color="000000" w:fill="FFFF00"/>
            <w:vAlign w:val="center"/>
            <w:hideMark/>
          </w:tcPr>
          <w:p w14:paraId="75EFF440" w14:textId="77777777" w:rsidR="00A72067" w:rsidRPr="00BF5E3C" w:rsidRDefault="00A72067" w:rsidP="00A72067">
            <w:pPr>
              <w:spacing w:after="0" w:line="240" w:lineRule="auto"/>
              <w:jc w:val="center"/>
              <w:rPr>
                <w:rFonts w:ascii="Tahoma" w:eastAsia="Times New Roman" w:hAnsi="Tahoma" w:cs="Tahoma"/>
                <w:sz w:val="16"/>
                <w:szCs w:val="16"/>
                <w:lang w:eastAsia="hr-HR"/>
              </w:rPr>
            </w:pPr>
            <w:r w:rsidRPr="00BF5E3C">
              <w:rPr>
                <w:rFonts w:ascii="Tahoma" w:eastAsia="Times New Roman" w:hAnsi="Tahoma" w:cs="Tahoma"/>
                <w:sz w:val="16"/>
                <w:szCs w:val="16"/>
                <w:lang w:eastAsia="hr-HR"/>
              </w:rPr>
              <w:t>1</w:t>
            </w:r>
          </w:p>
        </w:tc>
        <w:tc>
          <w:tcPr>
            <w:tcW w:w="698" w:type="dxa"/>
            <w:tcBorders>
              <w:top w:val="nil"/>
              <w:left w:val="nil"/>
              <w:bottom w:val="single" w:sz="4" w:space="0" w:color="auto"/>
              <w:right w:val="single" w:sz="4" w:space="0" w:color="auto"/>
            </w:tcBorders>
            <w:shd w:val="clear" w:color="000000" w:fill="FF9900"/>
            <w:vAlign w:val="center"/>
            <w:hideMark/>
          </w:tcPr>
          <w:p w14:paraId="117A3DC7" w14:textId="77777777" w:rsidR="00A72067" w:rsidRPr="00BF5E3C" w:rsidRDefault="00A72067" w:rsidP="00A72067">
            <w:pPr>
              <w:spacing w:after="0" w:line="240" w:lineRule="auto"/>
              <w:jc w:val="center"/>
              <w:rPr>
                <w:rFonts w:ascii="Tahoma" w:eastAsia="Times New Roman" w:hAnsi="Tahoma" w:cs="Tahoma"/>
                <w:sz w:val="16"/>
                <w:szCs w:val="16"/>
                <w:lang w:eastAsia="hr-HR"/>
              </w:rPr>
            </w:pPr>
            <w:r w:rsidRPr="00BF5E3C">
              <w:rPr>
                <w:rFonts w:ascii="Tahoma" w:eastAsia="Times New Roman" w:hAnsi="Tahoma" w:cs="Tahoma"/>
                <w:sz w:val="16"/>
                <w:szCs w:val="16"/>
                <w:lang w:eastAsia="hr-HR"/>
              </w:rPr>
              <w:t>7</w:t>
            </w:r>
          </w:p>
        </w:tc>
        <w:tc>
          <w:tcPr>
            <w:tcW w:w="707" w:type="dxa"/>
            <w:tcBorders>
              <w:top w:val="nil"/>
              <w:left w:val="nil"/>
              <w:bottom w:val="single" w:sz="4" w:space="0" w:color="auto"/>
              <w:right w:val="single" w:sz="4" w:space="0" w:color="auto"/>
            </w:tcBorders>
            <w:shd w:val="clear" w:color="000000" w:fill="FF9900"/>
            <w:noWrap/>
            <w:vAlign w:val="center"/>
            <w:hideMark/>
          </w:tcPr>
          <w:p w14:paraId="19A0BEF5" w14:textId="77777777" w:rsidR="00A72067" w:rsidRPr="00BF5E3C" w:rsidRDefault="00A72067" w:rsidP="00A72067">
            <w:pPr>
              <w:spacing w:after="0" w:line="240" w:lineRule="auto"/>
              <w:jc w:val="center"/>
              <w:rPr>
                <w:rFonts w:ascii="Tahoma" w:eastAsia="Times New Roman" w:hAnsi="Tahoma" w:cs="Tahoma"/>
                <w:sz w:val="16"/>
                <w:szCs w:val="16"/>
                <w:lang w:eastAsia="hr-HR"/>
              </w:rPr>
            </w:pPr>
            <w:r w:rsidRPr="00BF5E3C">
              <w:rPr>
                <w:rFonts w:ascii="Tahoma" w:eastAsia="Times New Roman" w:hAnsi="Tahoma" w:cs="Tahoma"/>
                <w:sz w:val="16"/>
                <w:szCs w:val="16"/>
                <w:lang w:eastAsia="hr-HR"/>
              </w:rPr>
              <w:t>0</w:t>
            </w:r>
          </w:p>
        </w:tc>
        <w:tc>
          <w:tcPr>
            <w:tcW w:w="707" w:type="dxa"/>
            <w:tcBorders>
              <w:top w:val="nil"/>
              <w:left w:val="nil"/>
              <w:bottom w:val="single" w:sz="4" w:space="0" w:color="auto"/>
              <w:right w:val="single" w:sz="4" w:space="0" w:color="auto"/>
            </w:tcBorders>
            <w:shd w:val="clear" w:color="000000" w:fill="FF9900"/>
            <w:noWrap/>
            <w:vAlign w:val="center"/>
            <w:hideMark/>
          </w:tcPr>
          <w:p w14:paraId="46CA714E" w14:textId="77777777" w:rsidR="00A72067" w:rsidRPr="00BF5E3C" w:rsidRDefault="00A72067" w:rsidP="00A72067">
            <w:pPr>
              <w:spacing w:after="0" w:line="240" w:lineRule="auto"/>
              <w:jc w:val="center"/>
              <w:rPr>
                <w:rFonts w:ascii="Tahoma" w:eastAsia="Times New Roman" w:hAnsi="Tahoma" w:cs="Tahoma"/>
                <w:sz w:val="16"/>
                <w:szCs w:val="16"/>
                <w:lang w:eastAsia="hr-HR"/>
              </w:rPr>
            </w:pPr>
            <w:r w:rsidRPr="00BF5E3C">
              <w:rPr>
                <w:rFonts w:ascii="Tahoma" w:eastAsia="Times New Roman" w:hAnsi="Tahoma" w:cs="Tahoma"/>
                <w:sz w:val="16"/>
                <w:szCs w:val="16"/>
                <w:lang w:eastAsia="hr-HR"/>
              </w:rPr>
              <w:t>0</w:t>
            </w:r>
          </w:p>
        </w:tc>
        <w:tc>
          <w:tcPr>
            <w:tcW w:w="698" w:type="dxa"/>
            <w:tcBorders>
              <w:top w:val="nil"/>
              <w:left w:val="nil"/>
              <w:bottom w:val="single" w:sz="4" w:space="0" w:color="auto"/>
              <w:right w:val="single" w:sz="4" w:space="0" w:color="auto"/>
            </w:tcBorders>
            <w:shd w:val="clear" w:color="000000" w:fill="FF9900"/>
            <w:noWrap/>
            <w:vAlign w:val="center"/>
            <w:hideMark/>
          </w:tcPr>
          <w:p w14:paraId="5F698EEE" w14:textId="77777777" w:rsidR="00A72067" w:rsidRPr="00BF5E3C" w:rsidRDefault="00A72067" w:rsidP="00A72067">
            <w:pPr>
              <w:spacing w:after="0" w:line="240" w:lineRule="auto"/>
              <w:jc w:val="center"/>
              <w:rPr>
                <w:rFonts w:ascii="Tahoma" w:eastAsia="Times New Roman" w:hAnsi="Tahoma" w:cs="Tahoma"/>
                <w:sz w:val="16"/>
                <w:szCs w:val="16"/>
                <w:lang w:eastAsia="hr-HR"/>
              </w:rPr>
            </w:pPr>
            <w:r w:rsidRPr="00BF5E3C">
              <w:rPr>
                <w:rFonts w:ascii="Tahoma" w:eastAsia="Times New Roman" w:hAnsi="Tahoma" w:cs="Tahoma"/>
                <w:sz w:val="16"/>
                <w:szCs w:val="16"/>
                <w:lang w:eastAsia="hr-HR"/>
              </w:rPr>
              <w:t>0</w:t>
            </w:r>
          </w:p>
        </w:tc>
        <w:tc>
          <w:tcPr>
            <w:tcW w:w="377" w:type="dxa"/>
            <w:tcBorders>
              <w:top w:val="nil"/>
              <w:left w:val="nil"/>
              <w:bottom w:val="single" w:sz="4" w:space="0" w:color="auto"/>
              <w:right w:val="single" w:sz="4" w:space="0" w:color="auto"/>
            </w:tcBorders>
            <w:shd w:val="clear" w:color="000000" w:fill="CCFFFF"/>
            <w:noWrap/>
            <w:vAlign w:val="bottom"/>
            <w:hideMark/>
          </w:tcPr>
          <w:p w14:paraId="6F9D393E" w14:textId="77777777" w:rsidR="00A72067" w:rsidRPr="00BF5E3C" w:rsidRDefault="00A72067" w:rsidP="00A72067">
            <w:pPr>
              <w:spacing w:after="0" w:line="240" w:lineRule="auto"/>
              <w:jc w:val="right"/>
              <w:rPr>
                <w:rFonts w:ascii="Tahoma" w:eastAsia="Times New Roman" w:hAnsi="Tahoma" w:cs="Tahoma"/>
                <w:sz w:val="16"/>
                <w:szCs w:val="16"/>
                <w:lang w:eastAsia="hr-HR"/>
              </w:rPr>
            </w:pPr>
            <w:r w:rsidRPr="00BF5E3C">
              <w:rPr>
                <w:rFonts w:ascii="Tahoma" w:eastAsia="Times New Roman" w:hAnsi="Tahoma" w:cs="Tahoma"/>
                <w:sz w:val="16"/>
                <w:szCs w:val="16"/>
                <w:lang w:eastAsia="hr-HR"/>
              </w:rPr>
              <w:t>0</w:t>
            </w:r>
          </w:p>
        </w:tc>
        <w:tc>
          <w:tcPr>
            <w:tcW w:w="388" w:type="dxa"/>
            <w:tcBorders>
              <w:top w:val="nil"/>
              <w:left w:val="nil"/>
              <w:bottom w:val="single" w:sz="4" w:space="0" w:color="auto"/>
              <w:right w:val="single" w:sz="4" w:space="0" w:color="auto"/>
            </w:tcBorders>
            <w:shd w:val="clear" w:color="000000" w:fill="CCFFFF"/>
            <w:noWrap/>
            <w:vAlign w:val="bottom"/>
            <w:hideMark/>
          </w:tcPr>
          <w:p w14:paraId="7DA9F83B" w14:textId="77777777" w:rsidR="00A72067" w:rsidRPr="00BF5E3C" w:rsidRDefault="00A72067" w:rsidP="00A72067">
            <w:pPr>
              <w:spacing w:after="0" w:line="240" w:lineRule="auto"/>
              <w:jc w:val="right"/>
              <w:rPr>
                <w:rFonts w:ascii="Tahoma" w:eastAsia="Times New Roman" w:hAnsi="Tahoma" w:cs="Tahoma"/>
                <w:sz w:val="16"/>
                <w:szCs w:val="16"/>
                <w:lang w:eastAsia="hr-HR"/>
              </w:rPr>
            </w:pPr>
            <w:r w:rsidRPr="00BF5E3C">
              <w:rPr>
                <w:rFonts w:ascii="Tahoma" w:eastAsia="Times New Roman" w:hAnsi="Tahoma" w:cs="Tahoma"/>
                <w:sz w:val="16"/>
                <w:szCs w:val="16"/>
                <w:lang w:eastAsia="hr-HR"/>
              </w:rPr>
              <w:t>0</w:t>
            </w:r>
          </w:p>
        </w:tc>
        <w:tc>
          <w:tcPr>
            <w:tcW w:w="399" w:type="dxa"/>
            <w:tcBorders>
              <w:top w:val="nil"/>
              <w:left w:val="nil"/>
              <w:bottom w:val="single" w:sz="4" w:space="0" w:color="auto"/>
              <w:right w:val="single" w:sz="4" w:space="0" w:color="auto"/>
            </w:tcBorders>
            <w:shd w:val="clear" w:color="000000" w:fill="CCFFFF"/>
            <w:noWrap/>
            <w:vAlign w:val="bottom"/>
            <w:hideMark/>
          </w:tcPr>
          <w:p w14:paraId="7CA4E13F" w14:textId="77777777" w:rsidR="00A72067" w:rsidRPr="00BF5E3C" w:rsidRDefault="00A72067" w:rsidP="00A72067">
            <w:pPr>
              <w:spacing w:after="0" w:line="240" w:lineRule="auto"/>
              <w:jc w:val="right"/>
              <w:rPr>
                <w:rFonts w:ascii="Tahoma" w:eastAsia="Times New Roman" w:hAnsi="Tahoma" w:cs="Tahoma"/>
                <w:sz w:val="16"/>
                <w:szCs w:val="16"/>
                <w:lang w:eastAsia="hr-HR"/>
              </w:rPr>
            </w:pPr>
            <w:r w:rsidRPr="00BF5E3C">
              <w:rPr>
                <w:rFonts w:ascii="Tahoma" w:eastAsia="Times New Roman" w:hAnsi="Tahoma" w:cs="Tahoma"/>
                <w:sz w:val="16"/>
                <w:szCs w:val="16"/>
                <w:lang w:eastAsia="hr-HR"/>
              </w:rPr>
              <w:t>0</w:t>
            </w:r>
          </w:p>
        </w:tc>
        <w:tc>
          <w:tcPr>
            <w:tcW w:w="489" w:type="dxa"/>
            <w:gridSpan w:val="2"/>
            <w:tcBorders>
              <w:top w:val="nil"/>
              <w:left w:val="nil"/>
              <w:bottom w:val="single" w:sz="4" w:space="0" w:color="auto"/>
              <w:right w:val="nil"/>
            </w:tcBorders>
            <w:shd w:val="clear" w:color="000000" w:fill="33CCCC"/>
            <w:noWrap/>
            <w:vAlign w:val="bottom"/>
            <w:hideMark/>
          </w:tcPr>
          <w:p w14:paraId="5C622ACA" w14:textId="77777777" w:rsidR="00A72067" w:rsidRPr="00BF5E3C" w:rsidRDefault="00A72067" w:rsidP="00A72067">
            <w:pPr>
              <w:spacing w:after="0" w:line="240" w:lineRule="auto"/>
              <w:jc w:val="right"/>
              <w:rPr>
                <w:rFonts w:ascii="Tahoma" w:eastAsia="Times New Roman" w:hAnsi="Tahoma" w:cs="Tahoma"/>
                <w:sz w:val="16"/>
                <w:szCs w:val="16"/>
                <w:lang w:eastAsia="hr-HR"/>
              </w:rPr>
            </w:pPr>
            <w:r w:rsidRPr="00BF5E3C">
              <w:rPr>
                <w:rFonts w:ascii="Tahoma" w:eastAsia="Times New Roman" w:hAnsi="Tahoma" w:cs="Tahoma"/>
                <w:sz w:val="16"/>
                <w:szCs w:val="16"/>
                <w:lang w:eastAsia="hr-HR"/>
              </w:rPr>
              <w:t>1</w:t>
            </w:r>
          </w:p>
        </w:tc>
        <w:tc>
          <w:tcPr>
            <w:tcW w:w="425" w:type="dxa"/>
            <w:tcBorders>
              <w:top w:val="nil"/>
              <w:left w:val="single" w:sz="4" w:space="0" w:color="auto"/>
              <w:bottom w:val="single" w:sz="4" w:space="0" w:color="auto"/>
              <w:right w:val="single" w:sz="8" w:space="0" w:color="auto"/>
            </w:tcBorders>
            <w:shd w:val="clear" w:color="000000" w:fill="33CCCC"/>
            <w:noWrap/>
            <w:vAlign w:val="bottom"/>
            <w:hideMark/>
          </w:tcPr>
          <w:p w14:paraId="3D107FCB" w14:textId="77777777" w:rsidR="00A72067" w:rsidRPr="00BF5E3C" w:rsidRDefault="00A72067" w:rsidP="00A72067">
            <w:pPr>
              <w:spacing w:after="0" w:line="240" w:lineRule="auto"/>
              <w:jc w:val="right"/>
              <w:rPr>
                <w:rFonts w:ascii="Tahoma" w:eastAsia="Times New Roman" w:hAnsi="Tahoma" w:cs="Tahoma"/>
                <w:sz w:val="16"/>
                <w:szCs w:val="16"/>
                <w:lang w:eastAsia="hr-HR"/>
              </w:rPr>
            </w:pPr>
            <w:r w:rsidRPr="00BF5E3C">
              <w:rPr>
                <w:rFonts w:ascii="Tahoma" w:eastAsia="Times New Roman" w:hAnsi="Tahoma" w:cs="Tahoma"/>
                <w:sz w:val="16"/>
                <w:szCs w:val="16"/>
                <w:lang w:eastAsia="hr-HR"/>
              </w:rPr>
              <w:t>0</w:t>
            </w:r>
          </w:p>
        </w:tc>
        <w:tc>
          <w:tcPr>
            <w:tcW w:w="236" w:type="dxa"/>
            <w:vAlign w:val="center"/>
            <w:hideMark/>
          </w:tcPr>
          <w:p w14:paraId="3D03649D" w14:textId="77777777" w:rsidR="00A72067" w:rsidRPr="00BF5E3C" w:rsidRDefault="00A72067" w:rsidP="00A72067">
            <w:pPr>
              <w:spacing w:after="0" w:line="240" w:lineRule="auto"/>
              <w:rPr>
                <w:rFonts w:ascii="Times New Roman" w:eastAsia="Times New Roman" w:hAnsi="Times New Roman" w:cs="Times New Roman"/>
                <w:sz w:val="16"/>
                <w:szCs w:val="16"/>
                <w:lang w:eastAsia="hr-HR"/>
              </w:rPr>
            </w:pPr>
          </w:p>
        </w:tc>
      </w:tr>
      <w:tr w:rsidR="00F90F6F" w:rsidRPr="00BF5E3C" w14:paraId="4D76DC29" w14:textId="77777777" w:rsidTr="00F90F6F">
        <w:trPr>
          <w:gridAfter w:val="1"/>
          <w:wAfter w:w="32" w:type="dxa"/>
          <w:trHeight w:val="402"/>
        </w:trPr>
        <w:tc>
          <w:tcPr>
            <w:tcW w:w="979" w:type="dxa"/>
            <w:tcBorders>
              <w:top w:val="nil"/>
              <w:left w:val="single" w:sz="8" w:space="0" w:color="auto"/>
              <w:bottom w:val="single" w:sz="4" w:space="0" w:color="auto"/>
              <w:right w:val="single" w:sz="4" w:space="0" w:color="auto"/>
            </w:tcBorders>
            <w:shd w:val="clear" w:color="000000" w:fill="CCFFCC"/>
            <w:vAlign w:val="center"/>
            <w:hideMark/>
          </w:tcPr>
          <w:p w14:paraId="630E7C71" w14:textId="77777777" w:rsidR="00A72067" w:rsidRPr="00BF5E3C" w:rsidRDefault="00A72067" w:rsidP="00A72067">
            <w:pPr>
              <w:spacing w:after="0" w:line="240" w:lineRule="auto"/>
              <w:rPr>
                <w:rFonts w:ascii="Tahoma" w:eastAsia="Times New Roman" w:hAnsi="Tahoma" w:cs="Tahoma"/>
                <w:sz w:val="16"/>
                <w:szCs w:val="16"/>
                <w:lang w:eastAsia="hr-HR"/>
              </w:rPr>
            </w:pPr>
            <w:r w:rsidRPr="00BF5E3C">
              <w:rPr>
                <w:rFonts w:ascii="Tahoma" w:eastAsia="Times New Roman" w:hAnsi="Tahoma" w:cs="Tahoma"/>
                <w:sz w:val="16"/>
                <w:szCs w:val="16"/>
                <w:lang w:eastAsia="hr-HR"/>
              </w:rPr>
              <w:t>Dob</w:t>
            </w:r>
          </w:p>
        </w:tc>
        <w:tc>
          <w:tcPr>
            <w:tcW w:w="520" w:type="dxa"/>
            <w:tcBorders>
              <w:top w:val="nil"/>
              <w:left w:val="nil"/>
              <w:bottom w:val="single" w:sz="4" w:space="0" w:color="auto"/>
              <w:right w:val="single" w:sz="4" w:space="0" w:color="auto"/>
            </w:tcBorders>
            <w:shd w:val="clear" w:color="000000" w:fill="FFCC99"/>
            <w:noWrap/>
            <w:vAlign w:val="bottom"/>
            <w:hideMark/>
          </w:tcPr>
          <w:p w14:paraId="3DC8DBC9" w14:textId="77777777" w:rsidR="00A72067" w:rsidRPr="00BF5E3C" w:rsidRDefault="00A72067" w:rsidP="00A72067">
            <w:pPr>
              <w:spacing w:after="0" w:line="240" w:lineRule="auto"/>
              <w:jc w:val="center"/>
              <w:rPr>
                <w:rFonts w:ascii="Tahoma" w:eastAsia="Times New Roman" w:hAnsi="Tahoma" w:cs="Tahoma"/>
                <w:sz w:val="16"/>
                <w:szCs w:val="16"/>
                <w:lang w:eastAsia="hr-HR"/>
              </w:rPr>
            </w:pPr>
            <w:r w:rsidRPr="00BF5E3C">
              <w:rPr>
                <w:rFonts w:ascii="Tahoma" w:eastAsia="Times New Roman" w:hAnsi="Tahoma" w:cs="Tahoma"/>
                <w:sz w:val="16"/>
                <w:szCs w:val="16"/>
                <w:lang w:eastAsia="hr-HR"/>
              </w:rPr>
              <w:t>11</w:t>
            </w:r>
          </w:p>
        </w:tc>
        <w:tc>
          <w:tcPr>
            <w:tcW w:w="420" w:type="dxa"/>
            <w:tcBorders>
              <w:top w:val="nil"/>
              <w:left w:val="nil"/>
              <w:bottom w:val="single" w:sz="4" w:space="0" w:color="auto"/>
              <w:right w:val="single" w:sz="4" w:space="0" w:color="auto"/>
            </w:tcBorders>
            <w:shd w:val="clear" w:color="000000" w:fill="FFFF00"/>
            <w:noWrap/>
            <w:vAlign w:val="bottom"/>
            <w:hideMark/>
          </w:tcPr>
          <w:p w14:paraId="5DA4749A" w14:textId="77777777" w:rsidR="00A72067" w:rsidRPr="00BF5E3C" w:rsidRDefault="00A72067" w:rsidP="00A72067">
            <w:pPr>
              <w:spacing w:after="0" w:line="240" w:lineRule="auto"/>
              <w:jc w:val="center"/>
              <w:rPr>
                <w:rFonts w:ascii="Tahoma" w:eastAsia="Times New Roman" w:hAnsi="Tahoma" w:cs="Tahoma"/>
                <w:sz w:val="16"/>
                <w:szCs w:val="16"/>
                <w:lang w:eastAsia="hr-HR"/>
              </w:rPr>
            </w:pPr>
            <w:r w:rsidRPr="00BF5E3C">
              <w:rPr>
                <w:rFonts w:ascii="Tahoma" w:eastAsia="Times New Roman" w:hAnsi="Tahoma" w:cs="Tahoma"/>
                <w:sz w:val="16"/>
                <w:szCs w:val="16"/>
                <w:lang w:eastAsia="hr-HR"/>
              </w:rPr>
              <w:t>1</w:t>
            </w:r>
          </w:p>
        </w:tc>
        <w:tc>
          <w:tcPr>
            <w:tcW w:w="665" w:type="dxa"/>
            <w:tcBorders>
              <w:top w:val="nil"/>
              <w:left w:val="nil"/>
              <w:bottom w:val="single" w:sz="4" w:space="0" w:color="auto"/>
              <w:right w:val="single" w:sz="4" w:space="0" w:color="auto"/>
            </w:tcBorders>
            <w:shd w:val="clear" w:color="000000" w:fill="CCFFFF"/>
            <w:noWrap/>
            <w:vAlign w:val="bottom"/>
            <w:hideMark/>
          </w:tcPr>
          <w:p w14:paraId="091A15D6" w14:textId="77777777" w:rsidR="00A72067" w:rsidRPr="00BF5E3C" w:rsidRDefault="00A72067" w:rsidP="00A72067">
            <w:pPr>
              <w:spacing w:after="0" w:line="240" w:lineRule="auto"/>
              <w:jc w:val="right"/>
              <w:rPr>
                <w:rFonts w:ascii="Tahoma" w:eastAsia="Times New Roman" w:hAnsi="Tahoma" w:cs="Tahoma"/>
                <w:sz w:val="16"/>
                <w:szCs w:val="16"/>
                <w:lang w:eastAsia="hr-HR"/>
              </w:rPr>
            </w:pPr>
            <w:r w:rsidRPr="00BF5E3C">
              <w:rPr>
                <w:rFonts w:ascii="Tahoma" w:eastAsia="Times New Roman" w:hAnsi="Tahoma" w:cs="Tahoma"/>
                <w:sz w:val="16"/>
                <w:szCs w:val="16"/>
                <w:lang w:eastAsia="hr-HR"/>
              </w:rPr>
              <w:t>1</w:t>
            </w:r>
          </w:p>
        </w:tc>
        <w:tc>
          <w:tcPr>
            <w:tcW w:w="571" w:type="dxa"/>
            <w:tcBorders>
              <w:top w:val="nil"/>
              <w:left w:val="nil"/>
              <w:bottom w:val="single" w:sz="4" w:space="0" w:color="auto"/>
              <w:right w:val="single" w:sz="4" w:space="0" w:color="auto"/>
            </w:tcBorders>
            <w:shd w:val="clear" w:color="000000" w:fill="CCFFFF"/>
            <w:noWrap/>
            <w:vAlign w:val="bottom"/>
            <w:hideMark/>
          </w:tcPr>
          <w:p w14:paraId="48C456B5" w14:textId="77777777" w:rsidR="00A72067" w:rsidRPr="00BF5E3C" w:rsidRDefault="00A72067" w:rsidP="00A72067">
            <w:pPr>
              <w:spacing w:after="0" w:line="240" w:lineRule="auto"/>
              <w:jc w:val="right"/>
              <w:rPr>
                <w:rFonts w:ascii="Tahoma" w:eastAsia="Times New Roman" w:hAnsi="Tahoma" w:cs="Tahoma"/>
                <w:sz w:val="16"/>
                <w:szCs w:val="16"/>
                <w:lang w:eastAsia="hr-HR"/>
              </w:rPr>
            </w:pPr>
            <w:r w:rsidRPr="00BF5E3C">
              <w:rPr>
                <w:rFonts w:ascii="Tahoma" w:eastAsia="Times New Roman" w:hAnsi="Tahoma" w:cs="Tahoma"/>
                <w:sz w:val="16"/>
                <w:szCs w:val="16"/>
                <w:lang w:eastAsia="hr-HR"/>
              </w:rPr>
              <w:t>0</w:t>
            </w:r>
          </w:p>
        </w:tc>
        <w:tc>
          <w:tcPr>
            <w:tcW w:w="700" w:type="dxa"/>
            <w:tcBorders>
              <w:top w:val="nil"/>
              <w:left w:val="nil"/>
              <w:bottom w:val="single" w:sz="4" w:space="0" w:color="auto"/>
              <w:right w:val="single" w:sz="4" w:space="0" w:color="auto"/>
            </w:tcBorders>
            <w:shd w:val="clear" w:color="000000" w:fill="FFFF99"/>
            <w:noWrap/>
            <w:vAlign w:val="bottom"/>
            <w:hideMark/>
          </w:tcPr>
          <w:p w14:paraId="2F3F3ECA" w14:textId="77777777" w:rsidR="00A72067" w:rsidRPr="00BF5E3C" w:rsidRDefault="00A72067" w:rsidP="00A72067">
            <w:pPr>
              <w:spacing w:after="0" w:line="240" w:lineRule="auto"/>
              <w:jc w:val="center"/>
              <w:rPr>
                <w:rFonts w:ascii="Tahoma" w:eastAsia="Times New Roman" w:hAnsi="Tahoma" w:cs="Tahoma"/>
                <w:sz w:val="16"/>
                <w:szCs w:val="16"/>
                <w:lang w:eastAsia="hr-HR"/>
              </w:rPr>
            </w:pPr>
            <w:r w:rsidRPr="00BF5E3C">
              <w:rPr>
                <w:rFonts w:ascii="Tahoma" w:eastAsia="Times New Roman" w:hAnsi="Tahoma" w:cs="Tahoma"/>
                <w:sz w:val="16"/>
                <w:szCs w:val="16"/>
                <w:lang w:eastAsia="hr-HR"/>
              </w:rPr>
              <w:t>1</w:t>
            </w:r>
          </w:p>
        </w:tc>
        <w:tc>
          <w:tcPr>
            <w:tcW w:w="698" w:type="dxa"/>
            <w:tcBorders>
              <w:top w:val="nil"/>
              <w:left w:val="nil"/>
              <w:bottom w:val="single" w:sz="4" w:space="0" w:color="auto"/>
              <w:right w:val="single" w:sz="4" w:space="0" w:color="auto"/>
            </w:tcBorders>
            <w:shd w:val="clear" w:color="000000" w:fill="FFFF99"/>
            <w:noWrap/>
            <w:vAlign w:val="bottom"/>
            <w:hideMark/>
          </w:tcPr>
          <w:p w14:paraId="2858877A" w14:textId="77777777" w:rsidR="00A72067" w:rsidRPr="00BF5E3C" w:rsidRDefault="00A72067" w:rsidP="00A72067">
            <w:pPr>
              <w:spacing w:after="0" w:line="240" w:lineRule="auto"/>
              <w:jc w:val="center"/>
              <w:rPr>
                <w:rFonts w:ascii="Tahoma" w:eastAsia="Times New Roman" w:hAnsi="Tahoma" w:cs="Tahoma"/>
                <w:sz w:val="16"/>
                <w:szCs w:val="16"/>
                <w:lang w:eastAsia="hr-HR"/>
              </w:rPr>
            </w:pPr>
            <w:r w:rsidRPr="00BF5E3C">
              <w:rPr>
                <w:rFonts w:ascii="Tahoma" w:eastAsia="Times New Roman" w:hAnsi="Tahoma" w:cs="Tahoma"/>
                <w:sz w:val="16"/>
                <w:szCs w:val="16"/>
                <w:lang w:eastAsia="hr-HR"/>
              </w:rPr>
              <w:t>0</w:t>
            </w:r>
          </w:p>
        </w:tc>
        <w:tc>
          <w:tcPr>
            <w:tcW w:w="698" w:type="dxa"/>
            <w:tcBorders>
              <w:top w:val="nil"/>
              <w:left w:val="nil"/>
              <w:bottom w:val="single" w:sz="4" w:space="0" w:color="auto"/>
              <w:right w:val="single" w:sz="4" w:space="0" w:color="auto"/>
            </w:tcBorders>
            <w:shd w:val="clear" w:color="000000" w:fill="FFFF99"/>
            <w:noWrap/>
            <w:vAlign w:val="bottom"/>
            <w:hideMark/>
          </w:tcPr>
          <w:p w14:paraId="675220B8" w14:textId="77777777" w:rsidR="00A72067" w:rsidRPr="00BF5E3C" w:rsidRDefault="00A72067" w:rsidP="00A72067">
            <w:pPr>
              <w:spacing w:after="0" w:line="240" w:lineRule="auto"/>
              <w:jc w:val="center"/>
              <w:rPr>
                <w:rFonts w:ascii="Tahoma" w:eastAsia="Times New Roman" w:hAnsi="Tahoma" w:cs="Tahoma"/>
                <w:sz w:val="16"/>
                <w:szCs w:val="16"/>
                <w:lang w:eastAsia="hr-HR"/>
              </w:rPr>
            </w:pPr>
            <w:r w:rsidRPr="00BF5E3C">
              <w:rPr>
                <w:rFonts w:ascii="Tahoma" w:eastAsia="Times New Roman" w:hAnsi="Tahoma" w:cs="Tahoma"/>
                <w:sz w:val="16"/>
                <w:szCs w:val="16"/>
                <w:lang w:eastAsia="hr-HR"/>
              </w:rPr>
              <w:t>0</w:t>
            </w:r>
          </w:p>
        </w:tc>
        <w:tc>
          <w:tcPr>
            <w:tcW w:w="698" w:type="dxa"/>
            <w:tcBorders>
              <w:top w:val="nil"/>
              <w:left w:val="nil"/>
              <w:bottom w:val="single" w:sz="4" w:space="0" w:color="auto"/>
              <w:right w:val="single" w:sz="4" w:space="0" w:color="auto"/>
            </w:tcBorders>
            <w:shd w:val="clear" w:color="000000" w:fill="FFFF99"/>
            <w:noWrap/>
            <w:vAlign w:val="bottom"/>
            <w:hideMark/>
          </w:tcPr>
          <w:p w14:paraId="54BE2509" w14:textId="77777777" w:rsidR="00A72067" w:rsidRPr="00BF5E3C" w:rsidRDefault="00A72067" w:rsidP="00A72067">
            <w:pPr>
              <w:spacing w:after="0" w:line="240" w:lineRule="auto"/>
              <w:jc w:val="center"/>
              <w:rPr>
                <w:rFonts w:ascii="Tahoma" w:eastAsia="Times New Roman" w:hAnsi="Tahoma" w:cs="Tahoma"/>
                <w:sz w:val="16"/>
                <w:szCs w:val="16"/>
                <w:lang w:eastAsia="hr-HR"/>
              </w:rPr>
            </w:pPr>
            <w:r w:rsidRPr="00BF5E3C">
              <w:rPr>
                <w:rFonts w:ascii="Tahoma" w:eastAsia="Times New Roman" w:hAnsi="Tahoma" w:cs="Tahoma"/>
                <w:sz w:val="16"/>
                <w:szCs w:val="16"/>
                <w:lang w:eastAsia="hr-HR"/>
              </w:rPr>
              <w:t>0</w:t>
            </w:r>
          </w:p>
        </w:tc>
        <w:tc>
          <w:tcPr>
            <w:tcW w:w="527" w:type="dxa"/>
            <w:tcBorders>
              <w:top w:val="nil"/>
              <w:left w:val="nil"/>
              <w:bottom w:val="single" w:sz="4" w:space="0" w:color="auto"/>
              <w:right w:val="single" w:sz="4" w:space="0" w:color="auto"/>
            </w:tcBorders>
            <w:shd w:val="clear" w:color="000000" w:fill="FFFF99"/>
            <w:noWrap/>
            <w:vAlign w:val="bottom"/>
            <w:hideMark/>
          </w:tcPr>
          <w:p w14:paraId="1D9F9D38" w14:textId="77777777" w:rsidR="00A72067" w:rsidRPr="00BF5E3C" w:rsidRDefault="00A72067" w:rsidP="00A72067">
            <w:pPr>
              <w:spacing w:after="0" w:line="240" w:lineRule="auto"/>
              <w:jc w:val="center"/>
              <w:rPr>
                <w:rFonts w:ascii="Tahoma" w:eastAsia="Times New Roman" w:hAnsi="Tahoma" w:cs="Tahoma"/>
                <w:sz w:val="16"/>
                <w:szCs w:val="16"/>
                <w:lang w:eastAsia="hr-HR"/>
              </w:rPr>
            </w:pPr>
            <w:r w:rsidRPr="00BF5E3C">
              <w:rPr>
                <w:rFonts w:ascii="Tahoma" w:eastAsia="Times New Roman" w:hAnsi="Tahoma" w:cs="Tahoma"/>
                <w:sz w:val="16"/>
                <w:szCs w:val="16"/>
                <w:lang w:eastAsia="hr-HR"/>
              </w:rPr>
              <w:t>0</w:t>
            </w:r>
          </w:p>
        </w:tc>
        <w:tc>
          <w:tcPr>
            <w:tcW w:w="702" w:type="dxa"/>
            <w:tcBorders>
              <w:top w:val="nil"/>
              <w:left w:val="nil"/>
              <w:bottom w:val="single" w:sz="4" w:space="0" w:color="auto"/>
              <w:right w:val="single" w:sz="4" w:space="0" w:color="auto"/>
            </w:tcBorders>
            <w:shd w:val="clear" w:color="000000" w:fill="FFFF99"/>
            <w:noWrap/>
            <w:vAlign w:val="bottom"/>
            <w:hideMark/>
          </w:tcPr>
          <w:p w14:paraId="0F5F23BF" w14:textId="77777777" w:rsidR="00A72067" w:rsidRPr="00BF5E3C" w:rsidRDefault="00A72067" w:rsidP="00A72067">
            <w:pPr>
              <w:spacing w:after="0" w:line="240" w:lineRule="auto"/>
              <w:jc w:val="center"/>
              <w:rPr>
                <w:rFonts w:ascii="Tahoma" w:eastAsia="Times New Roman" w:hAnsi="Tahoma" w:cs="Tahoma"/>
                <w:sz w:val="16"/>
                <w:szCs w:val="16"/>
                <w:lang w:eastAsia="hr-HR"/>
              </w:rPr>
            </w:pPr>
            <w:r w:rsidRPr="00BF5E3C">
              <w:rPr>
                <w:rFonts w:ascii="Tahoma" w:eastAsia="Times New Roman" w:hAnsi="Tahoma" w:cs="Tahoma"/>
                <w:sz w:val="16"/>
                <w:szCs w:val="16"/>
                <w:lang w:eastAsia="hr-HR"/>
              </w:rPr>
              <w:t>0</w:t>
            </w:r>
          </w:p>
        </w:tc>
        <w:tc>
          <w:tcPr>
            <w:tcW w:w="698" w:type="dxa"/>
            <w:tcBorders>
              <w:top w:val="nil"/>
              <w:left w:val="nil"/>
              <w:bottom w:val="single" w:sz="4" w:space="0" w:color="auto"/>
              <w:right w:val="single" w:sz="4" w:space="0" w:color="auto"/>
            </w:tcBorders>
            <w:shd w:val="clear" w:color="000000" w:fill="FF9900"/>
            <w:noWrap/>
            <w:vAlign w:val="bottom"/>
            <w:hideMark/>
          </w:tcPr>
          <w:p w14:paraId="4FEB04EB" w14:textId="77777777" w:rsidR="00A72067" w:rsidRPr="00BF5E3C" w:rsidRDefault="00A72067" w:rsidP="00A72067">
            <w:pPr>
              <w:spacing w:after="0" w:line="240" w:lineRule="auto"/>
              <w:jc w:val="right"/>
              <w:rPr>
                <w:rFonts w:ascii="Tahoma" w:eastAsia="Times New Roman" w:hAnsi="Tahoma" w:cs="Tahoma"/>
                <w:sz w:val="16"/>
                <w:szCs w:val="16"/>
                <w:lang w:eastAsia="hr-HR"/>
              </w:rPr>
            </w:pPr>
            <w:r w:rsidRPr="00BF5E3C">
              <w:rPr>
                <w:rFonts w:ascii="Tahoma" w:eastAsia="Times New Roman" w:hAnsi="Tahoma" w:cs="Tahoma"/>
                <w:sz w:val="16"/>
                <w:szCs w:val="16"/>
                <w:lang w:eastAsia="hr-HR"/>
              </w:rPr>
              <w:t>2</w:t>
            </w:r>
          </w:p>
        </w:tc>
        <w:tc>
          <w:tcPr>
            <w:tcW w:w="439" w:type="dxa"/>
            <w:tcBorders>
              <w:top w:val="nil"/>
              <w:left w:val="nil"/>
              <w:bottom w:val="single" w:sz="4" w:space="0" w:color="auto"/>
              <w:right w:val="single" w:sz="4" w:space="0" w:color="auto"/>
            </w:tcBorders>
            <w:shd w:val="clear" w:color="000000" w:fill="FF9900"/>
            <w:noWrap/>
            <w:vAlign w:val="bottom"/>
            <w:hideMark/>
          </w:tcPr>
          <w:p w14:paraId="06287D7F" w14:textId="77777777" w:rsidR="00A72067" w:rsidRPr="00BF5E3C" w:rsidRDefault="00A72067" w:rsidP="00A72067">
            <w:pPr>
              <w:spacing w:after="0" w:line="240" w:lineRule="auto"/>
              <w:jc w:val="right"/>
              <w:rPr>
                <w:rFonts w:ascii="Tahoma" w:eastAsia="Times New Roman" w:hAnsi="Tahoma" w:cs="Tahoma"/>
                <w:sz w:val="16"/>
                <w:szCs w:val="16"/>
                <w:lang w:eastAsia="hr-HR"/>
              </w:rPr>
            </w:pPr>
            <w:r w:rsidRPr="00BF5E3C">
              <w:rPr>
                <w:rFonts w:ascii="Tahoma" w:eastAsia="Times New Roman" w:hAnsi="Tahoma" w:cs="Tahoma"/>
                <w:sz w:val="16"/>
                <w:szCs w:val="16"/>
                <w:lang w:eastAsia="hr-HR"/>
              </w:rPr>
              <w:t>1</w:t>
            </w:r>
          </w:p>
        </w:tc>
        <w:tc>
          <w:tcPr>
            <w:tcW w:w="439" w:type="dxa"/>
            <w:tcBorders>
              <w:top w:val="nil"/>
              <w:left w:val="nil"/>
              <w:bottom w:val="single" w:sz="4" w:space="0" w:color="auto"/>
              <w:right w:val="single" w:sz="4" w:space="0" w:color="auto"/>
            </w:tcBorders>
            <w:shd w:val="clear" w:color="000000" w:fill="FF9900"/>
            <w:noWrap/>
            <w:vAlign w:val="bottom"/>
            <w:hideMark/>
          </w:tcPr>
          <w:p w14:paraId="5A63279C" w14:textId="77777777" w:rsidR="00A72067" w:rsidRPr="00BF5E3C" w:rsidRDefault="00A72067" w:rsidP="00A72067">
            <w:pPr>
              <w:spacing w:after="0" w:line="240" w:lineRule="auto"/>
              <w:jc w:val="right"/>
              <w:rPr>
                <w:rFonts w:ascii="Tahoma" w:eastAsia="Times New Roman" w:hAnsi="Tahoma" w:cs="Tahoma"/>
                <w:sz w:val="16"/>
                <w:szCs w:val="16"/>
                <w:lang w:eastAsia="hr-HR"/>
              </w:rPr>
            </w:pPr>
            <w:r w:rsidRPr="00BF5E3C">
              <w:rPr>
                <w:rFonts w:ascii="Tahoma" w:eastAsia="Times New Roman" w:hAnsi="Tahoma" w:cs="Tahoma"/>
                <w:sz w:val="16"/>
                <w:szCs w:val="16"/>
                <w:lang w:eastAsia="hr-HR"/>
              </w:rPr>
              <w:t>1</w:t>
            </w:r>
          </w:p>
        </w:tc>
        <w:tc>
          <w:tcPr>
            <w:tcW w:w="665" w:type="dxa"/>
            <w:tcBorders>
              <w:top w:val="nil"/>
              <w:left w:val="nil"/>
              <w:bottom w:val="single" w:sz="4" w:space="0" w:color="auto"/>
              <w:right w:val="single" w:sz="4" w:space="0" w:color="auto"/>
            </w:tcBorders>
            <w:shd w:val="clear" w:color="000000" w:fill="FFFF00"/>
            <w:vAlign w:val="center"/>
            <w:hideMark/>
          </w:tcPr>
          <w:p w14:paraId="28F36789" w14:textId="77777777" w:rsidR="00A72067" w:rsidRPr="00BF5E3C" w:rsidRDefault="00A72067" w:rsidP="00A72067">
            <w:pPr>
              <w:spacing w:after="0" w:line="240" w:lineRule="auto"/>
              <w:jc w:val="center"/>
              <w:rPr>
                <w:rFonts w:ascii="Tahoma" w:eastAsia="Times New Roman" w:hAnsi="Tahoma" w:cs="Tahoma"/>
                <w:sz w:val="16"/>
                <w:szCs w:val="16"/>
                <w:lang w:eastAsia="hr-HR"/>
              </w:rPr>
            </w:pPr>
            <w:r w:rsidRPr="00BF5E3C">
              <w:rPr>
                <w:rFonts w:ascii="Tahoma" w:eastAsia="Times New Roman" w:hAnsi="Tahoma" w:cs="Tahoma"/>
                <w:sz w:val="16"/>
                <w:szCs w:val="16"/>
                <w:lang w:eastAsia="hr-HR"/>
              </w:rPr>
              <w:t>4</w:t>
            </w:r>
          </w:p>
        </w:tc>
        <w:tc>
          <w:tcPr>
            <w:tcW w:w="698" w:type="dxa"/>
            <w:tcBorders>
              <w:top w:val="nil"/>
              <w:left w:val="nil"/>
              <w:bottom w:val="single" w:sz="4" w:space="0" w:color="auto"/>
              <w:right w:val="single" w:sz="4" w:space="0" w:color="auto"/>
            </w:tcBorders>
            <w:shd w:val="clear" w:color="000000" w:fill="FF9900"/>
            <w:vAlign w:val="center"/>
            <w:hideMark/>
          </w:tcPr>
          <w:p w14:paraId="1CD7C0C6" w14:textId="77777777" w:rsidR="00A72067" w:rsidRPr="00BF5E3C" w:rsidRDefault="00A72067" w:rsidP="00A72067">
            <w:pPr>
              <w:spacing w:after="0" w:line="240" w:lineRule="auto"/>
              <w:jc w:val="center"/>
              <w:rPr>
                <w:rFonts w:ascii="Tahoma" w:eastAsia="Times New Roman" w:hAnsi="Tahoma" w:cs="Tahoma"/>
                <w:sz w:val="16"/>
                <w:szCs w:val="16"/>
                <w:lang w:eastAsia="hr-HR"/>
              </w:rPr>
            </w:pPr>
            <w:r w:rsidRPr="00BF5E3C">
              <w:rPr>
                <w:rFonts w:ascii="Tahoma" w:eastAsia="Times New Roman" w:hAnsi="Tahoma" w:cs="Tahoma"/>
                <w:sz w:val="16"/>
                <w:szCs w:val="16"/>
                <w:lang w:eastAsia="hr-HR"/>
              </w:rPr>
              <w:t>8</w:t>
            </w:r>
          </w:p>
        </w:tc>
        <w:tc>
          <w:tcPr>
            <w:tcW w:w="707" w:type="dxa"/>
            <w:tcBorders>
              <w:top w:val="nil"/>
              <w:left w:val="nil"/>
              <w:bottom w:val="single" w:sz="4" w:space="0" w:color="auto"/>
              <w:right w:val="single" w:sz="4" w:space="0" w:color="auto"/>
            </w:tcBorders>
            <w:shd w:val="clear" w:color="000000" w:fill="FF9900"/>
            <w:noWrap/>
            <w:vAlign w:val="center"/>
            <w:hideMark/>
          </w:tcPr>
          <w:p w14:paraId="1C0B22C8" w14:textId="77777777" w:rsidR="00A72067" w:rsidRPr="00BF5E3C" w:rsidRDefault="00A72067" w:rsidP="00A72067">
            <w:pPr>
              <w:spacing w:after="0" w:line="240" w:lineRule="auto"/>
              <w:jc w:val="center"/>
              <w:rPr>
                <w:rFonts w:ascii="Tahoma" w:eastAsia="Times New Roman" w:hAnsi="Tahoma" w:cs="Tahoma"/>
                <w:sz w:val="16"/>
                <w:szCs w:val="16"/>
                <w:lang w:eastAsia="hr-HR"/>
              </w:rPr>
            </w:pPr>
            <w:r w:rsidRPr="00BF5E3C">
              <w:rPr>
                <w:rFonts w:ascii="Tahoma" w:eastAsia="Times New Roman" w:hAnsi="Tahoma" w:cs="Tahoma"/>
                <w:sz w:val="16"/>
                <w:szCs w:val="16"/>
                <w:lang w:eastAsia="hr-HR"/>
              </w:rPr>
              <w:t>2</w:t>
            </w:r>
          </w:p>
        </w:tc>
        <w:tc>
          <w:tcPr>
            <w:tcW w:w="707" w:type="dxa"/>
            <w:tcBorders>
              <w:top w:val="nil"/>
              <w:left w:val="nil"/>
              <w:bottom w:val="single" w:sz="4" w:space="0" w:color="auto"/>
              <w:right w:val="single" w:sz="4" w:space="0" w:color="auto"/>
            </w:tcBorders>
            <w:shd w:val="clear" w:color="000000" w:fill="FF9900"/>
            <w:noWrap/>
            <w:vAlign w:val="center"/>
            <w:hideMark/>
          </w:tcPr>
          <w:p w14:paraId="724204A1" w14:textId="77777777" w:rsidR="00A72067" w:rsidRPr="00BF5E3C" w:rsidRDefault="00A72067" w:rsidP="00A72067">
            <w:pPr>
              <w:spacing w:after="0" w:line="240" w:lineRule="auto"/>
              <w:jc w:val="center"/>
              <w:rPr>
                <w:rFonts w:ascii="Tahoma" w:eastAsia="Times New Roman" w:hAnsi="Tahoma" w:cs="Tahoma"/>
                <w:sz w:val="16"/>
                <w:szCs w:val="16"/>
                <w:lang w:eastAsia="hr-HR"/>
              </w:rPr>
            </w:pPr>
            <w:r w:rsidRPr="00BF5E3C">
              <w:rPr>
                <w:rFonts w:ascii="Tahoma" w:eastAsia="Times New Roman" w:hAnsi="Tahoma" w:cs="Tahoma"/>
                <w:sz w:val="16"/>
                <w:szCs w:val="16"/>
                <w:lang w:eastAsia="hr-HR"/>
              </w:rPr>
              <w:t>0</w:t>
            </w:r>
          </w:p>
        </w:tc>
        <w:tc>
          <w:tcPr>
            <w:tcW w:w="698" w:type="dxa"/>
            <w:tcBorders>
              <w:top w:val="nil"/>
              <w:left w:val="nil"/>
              <w:bottom w:val="single" w:sz="4" w:space="0" w:color="auto"/>
              <w:right w:val="single" w:sz="4" w:space="0" w:color="auto"/>
            </w:tcBorders>
            <w:shd w:val="clear" w:color="000000" w:fill="FF9900"/>
            <w:noWrap/>
            <w:vAlign w:val="center"/>
            <w:hideMark/>
          </w:tcPr>
          <w:p w14:paraId="69B89A9C" w14:textId="77777777" w:rsidR="00A72067" w:rsidRPr="00BF5E3C" w:rsidRDefault="00A72067" w:rsidP="00A72067">
            <w:pPr>
              <w:spacing w:after="0" w:line="240" w:lineRule="auto"/>
              <w:jc w:val="center"/>
              <w:rPr>
                <w:rFonts w:ascii="Tahoma" w:eastAsia="Times New Roman" w:hAnsi="Tahoma" w:cs="Tahoma"/>
                <w:sz w:val="16"/>
                <w:szCs w:val="16"/>
                <w:lang w:eastAsia="hr-HR"/>
              </w:rPr>
            </w:pPr>
            <w:r w:rsidRPr="00BF5E3C">
              <w:rPr>
                <w:rFonts w:ascii="Tahoma" w:eastAsia="Times New Roman" w:hAnsi="Tahoma" w:cs="Tahoma"/>
                <w:sz w:val="16"/>
                <w:szCs w:val="16"/>
                <w:lang w:eastAsia="hr-HR"/>
              </w:rPr>
              <w:t>1</w:t>
            </w:r>
          </w:p>
        </w:tc>
        <w:tc>
          <w:tcPr>
            <w:tcW w:w="377" w:type="dxa"/>
            <w:tcBorders>
              <w:top w:val="nil"/>
              <w:left w:val="nil"/>
              <w:bottom w:val="single" w:sz="4" w:space="0" w:color="auto"/>
              <w:right w:val="single" w:sz="4" w:space="0" w:color="auto"/>
            </w:tcBorders>
            <w:shd w:val="clear" w:color="000000" w:fill="CCFFFF"/>
            <w:noWrap/>
            <w:vAlign w:val="bottom"/>
            <w:hideMark/>
          </w:tcPr>
          <w:p w14:paraId="6A1031E7" w14:textId="77777777" w:rsidR="00A72067" w:rsidRPr="00BF5E3C" w:rsidRDefault="00A72067" w:rsidP="00A72067">
            <w:pPr>
              <w:spacing w:after="0" w:line="240" w:lineRule="auto"/>
              <w:jc w:val="right"/>
              <w:rPr>
                <w:rFonts w:ascii="Tahoma" w:eastAsia="Times New Roman" w:hAnsi="Tahoma" w:cs="Tahoma"/>
                <w:sz w:val="16"/>
                <w:szCs w:val="16"/>
                <w:lang w:eastAsia="hr-HR"/>
              </w:rPr>
            </w:pPr>
            <w:r w:rsidRPr="00BF5E3C">
              <w:rPr>
                <w:rFonts w:ascii="Tahoma" w:eastAsia="Times New Roman" w:hAnsi="Tahoma" w:cs="Tahoma"/>
                <w:sz w:val="16"/>
                <w:szCs w:val="16"/>
                <w:lang w:eastAsia="hr-HR"/>
              </w:rPr>
              <w:t>0</w:t>
            </w:r>
          </w:p>
        </w:tc>
        <w:tc>
          <w:tcPr>
            <w:tcW w:w="388" w:type="dxa"/>
            <w:tcBorders>
              <w:top w:val="nil"/>
              <w:left w:val="nil"/>
              <w:bottom w:val="single" w:sz="4" w:space="0" w:color="auto"/>
              <w:right w:val="single" w:sz="4" w:space="0" w:color="auto"/>
            </w:tcBorders>
            <w:shd w:val="clear" w:color="000000" w:fill="CCFFFF"/>
            <w:noWrap/>
            <w:vAlign w:val="bottom"/>
            <w:hideMark/>
          </w:tcPr>
          <w:p w14:paraId="0A5765F4" w14:textId="77777777" w:rsidR="00A72067" w:rsidRPr="00BF5E3C" w:rsidRDefault="00A72067" w:rsidP="00A72067">
            <w:pPr>
              <w:spacing w:after="0" w:line="240" w:lineRule="auto"/>
              <w:jc w:val="right"/>
              <w:rPr>
                <w:rFonts w:ascii="Tahoma" w:eastAsia="Times New Roman" w:hAnsi="Tahoma" w:cs="Tahoma"/>
                <w:sz w:val="16"/>
                <w:szCs w:val="16"/>
                <w:lang w:eastAsia="hr-HR"/>
              </w:rPr>
            </w:pPr>
            <w:r w:rsidRPr="00BF5E3C">
              <w:rPr>
                <w:rFonts w:ascii="Tahoma" w:eastAsia="Times New Roman" w:hAnsi="Tahoma" w:cs="Tahoma"/>
                <w:sz w:val="16"/>
                <w:szCs w:val="16"/>
                <w:lang w:eastAsia="hr-HR"/>
              </w:rPr>
              <w:t>2</w:t>
            </w:r>
          </w:p>
        </w:tc>
        <w:tc>
          <w:tcPr>
            <w:tcW w:w="399" w:type="dxa"/>
            <w:tcBorders>
              <w:top w:val="nil"/>
              <w:left w:val="nil"/>
              <w:bottom w:val="single" w:sz="4" w:space="0" w:color="auto"/>
              <w:right w:val="single" w:sz="4" w:space="0" w:color="auto"/>
            </w:tcBorders>
            <w:shd w:val="clear" w:color="000000" w:fill="CCFFFF"/>
            <w:noWrap/>
            <w:vAlign w:val="bottom"/>
            <w:hideMark/>
          </w:tcPr>
          <w:p w14:paraId="55EEFEDB" w14:textId="77777777" w:rsidR="00A72067" w:rsidRPr="00BF5E3C" w:rsidRDefault="00A72067" w:rsidP="00A72067">
            <w:pPr>
              <w:spacing w:after="0" w:line="240" w:lineRule="auto"/>
              <w:jc w:val="right"/>
              <w:rPr>
                <w:rFonts w:ascii="Tahoma" w:eastAsia="Times New Roman" w:hAnsi="Tahoma" w:cs="Tahoma"/>
                <w:sz w:val="16"/>
                <w:szCs w:val="16"/>
                <w:lang w:eastAsia="hr-HR"/>
              </w:rPr>
            </w:pPr>
            <w:r w:rsidRPr="00BF5E3C">
              <w:rPr>
                <w:rFonts w:ascii="Tahoma" w:eastAsia="Times New Roman" w:hAnsi="Tahoma" w:cs="Tahoma"/>
                <w:sz w:val="16"/>
                <w:szCs w:val="16"/>
                <w:lang w:eastAsia="hr-HR"/>
              </w:rPr>
              <w:t>0</w:t>
            </w:r>
          </w:p>
        </w:tc>
        <w:tc>
          <w:tcPr>
            <w:tcW w:w="489" w:type="dxa"/>
            <w:gridSpan w:val="2"/>
            <w:tcBorders>
              <w:top w:val="nil"/>
              <w:left w:val="nil"/>
              <w:bottom w:val="single" w:sz="4" w:space="0" w:color="auto"/>
              <w:right w:val="nil"/>
            </w:tcBorders>
            <w:shd w:val="clear" w:color="000000" w:fill="33CCCC"/>
            <w:noWrap/>
            <w:vAlign w:val="bottom"/>
            <w:hideMark/>
          </w:tcPr>
          <w:p w14:paraId="4CB400C2" w14:textId="77777777" w:rsidR="00A72067" w:rsidRPr="00BF5E3C" w:rsidRDefault="00A72067" w:rsidP="00A72067">
            <w:pPr>
              <w:spacing w:after="0" w:line="240" w:lineRule="auto"/>
              <w:jc w:val="right"/>
              <w:rPr>
                <w:rFonts w:ascii="Tahoma" w:eastAsia="Times New Roman" w:hAnsi="Tahoma" w:cs="Tahoma"/>
                <w:sz w:val="16"/>
                <w:szCs w:val="16"/>
                <w:lang w:eastAsia="hr-HR"/>
              </w:rPr>
            </w:pPr>
            <w:r w:rsidRPr="00BF5E3C">
              <w:rPr>
                <w:rFonts w:ascii="Tahoma" w:eastAsia="Times New Roman" w:hAnsi="Tahoma" w:cs="Tahoma"/>
                <w:sz w:val="16"/>
                <w:szCs w:val="16"/>
                <w:lang w:eastAsia="hr-HR"/>
              </w:rPr>
              <w:t>0</w:t>
            </w:r>
          </w:p>
        </w:tc>
        <w:tc>
          <w:tcPr>
            <w:tcW w:w="425" w:type="dxa"/>
            <w:tcBorders>
              <w:top w:val="nil"/>
              <w:left w:val="single" w:sz="4" w:space="0" w:color="auto"/>
              <w:bottom w:val="single" w:sz="4" w:space="0" w:color="auto"/>
              <w:right w:val="single" w:sz="8" w:space="0" w:color="auto"/>
            </w:tcBorders>
            <w:shd w:val="clear" w:color="000000" w:fill="33CCCC"/>
            <w:noWrap/>
            <w:vAlign w:val="bottom"/>
            <w:hideMark/>
          </w:tcPr>
          <w:p w14:paraId="308DED37" w14:textId="77777777" w:rsidR="00A72067" w:rsidRPr="00BF5E3C" w:rsidRDefault="00A72067" w:rsidP="00A72067">
            <w:pPr>
              <w:spacing w:after="0" w:line="240" w:lineRule="auto"/>
              <w:jc w:val="right"/>
              <w:rPr>
                <w:rFonts w:ascii="Tahoma" w:eastAsia="Times New Roman" w:hAnsi="Tahoma" w:cs="Tahoma"/>
                <w:sz w:val="16"/>
                <w:szCs w:val="16"/>
                <w:lang w:eastAsia="hr-HR"/>
              </w:rPr>
            </w:pPr>
            <w:r w:rsidRPr="00BF5E3C">
              <w:rPr>
                <w:rFonts w:ascii="Tahoma" w:eastAsia="Times New Roman" w:hAnsi="Tahoma" w:cs="Tahoma"/>
                <w:sz w:val="16"/>
                <w:szCs w:val="16"/>
                <w:lang w:eastAsia="hr-HR"/>
              </w:rPr>
              <w:t>4</w:t>
            </w:r>
          </w:p>
        </w:tc>
        <w:tc>
          <w:tcPr>
            <w:tcW w:w="236" w:type="dxa"/>
            <w:vAlign w:val="center"/>
            <w:hideMark/>
          </w:tcPr>
          <w:p w14:paraId="4FD22F8C" w14:textId="77777777" w:rsidR="00A72067" w:rsidRPr="00BF5E3C" w:rsidRDefault="00A72067" w:rsidP="00A72067">
            <w:pPr>
              <w:spacing w:after="0" w:line="240" w:lineRule="auto"/>
              <w:rPr>
                <w:rFonts w:ascii="Times New Roman" w:eastAsia="Times New Roman" w:hAnsi="Times New Roman" w:cs="Times New Roman"/>
                <w:sz w:val="16"/>
                <w:szCs w:val="16"/>
                <w:lang w:eastAsia="hr-HR"/>
              </w:rPr>
            </w:pPr>
          </w:p>
        </w:tc>
      </w:tr>
      <w:tr w:rsidR="00F90F6F" w:rsidRPr="00BF5E3C" w14:paraId="166D8E7E" w14:textId="77777777" w:rsidTr="00F90F6F">
        <w:trPr>
          <w:gridAfter w:val="1"/>
          <w:wAfter w:w="32" w:type="dxa"/>
          <w:trHeight w:val="402"/>
        </w:trPr>
        <w:tc>
          <w:tcPr>
            <w:tcW w:w="979" w:type="dxa"/>
            <w:tcBorders>
              <w:top w:val="nil"/>
              <w:left w:val="single" w:sz="8" w:space="0" w:color="auto"/>
              <w:bottom w:val="single" w:sz="4" w:space="0" w:color="auto"/>
              <w:right w:val="single" w:sz="4" w:space="0" w:color="auto"/>
            </w:tcBorders>
            <w:shd w:val="clear" w:color="000000" w:fill="CCFFCC"/>
            <w:vAlign w:val="center"/>
            <w:hideMark/>
          </w:tcPr>
          <w:p w14:paraId="63E8E39D" w14:textId="77777777" w:rsidR="00A72067" w:rsidRPr="00BF5E3C" w:rsidRDefault="00A72067" w:rsidP="00A72067">
            <w:pPr>
              <w:spacing w:after="0" w:line="240" w:lineRule="auto"/>
              <w:rPr>
                <w:rFonts w:ascii="Tahoma" w:eastAsia="Times New Roman" w:hAnsi="Tahoma" w:cs="Tahoma"/>
                <w:sz w:val="16"/>
                <w:szCs w:val="16"/>
                <w:lang w:eastAsia="hr-HR"/>
              </w:rPr>
            </w:pPr>
            <w:r w:rsidRPr="00BF5E3C">
              <w:rPr>
                <w:rFonts w:ascii="Tahoma" w:eastAsia="Times New Roman" w:hAnsi="Tahoma" w:cs="Tahoma"/>
                <w:sz w:val="16"/>
                <w:szCs w:val="16"/>
                <w:lang w:eastAsia="hr-HR"/>
              </w:rPr>
              <w:t>Obrazovanje</w:t>
            </w:r>
          </w:p>
        </w:tc>
        <w:tc>
          <w:tcPr>
            <w:tcW w:w="520" w:type="dxa"/>
            <w:tcBorders>
              <w:top w:val="nil"/>
              <w:left w:val="nil"/>
              <w:bottom w:val="single" w:sz="4" w:space="0" w:color="auto"/>
              <w:right w:val="single" w:sz="4" w:space="0" w:color="auto"/>
            </w:tcBorders>
            <w:shd w:val="clear" w:color="000000" w:fill="FFCC99"/>
            <w:noWrap/>
            <w:vAlign w:val="bottom"/>
            <w:hideMark/>
          </w:tcPr>
          <w:p w14:paraId="7870EC40" w14:textId="77777777" w:rsidR="00A72067" w:rsidRPr="00BF5E3C" w:rsidRDefault="00A72067" w:rsidP="00A72067">
            <w:pPr>
              <w:spacing w:after="0" w:line="240" w:lineRule="auto"/>
              <w:jc w:val="center"/>
              <w:rPr>
                <w:rFonts w:ascii="Tahoma" w:eastAsia="Times New Roman" w:hAnsi="Tahoma" w:cs="Tahoma"/>
                <w:sz w:val="16"/>
                <w:szCs w:val="16"/>
                <w:lang w:eastAsia="hr-HR"/>
              </w:rPr>
            </w:pPr>
            <w:r w:rsidRPr="00BF5E3C">
              <w:rPr>
                <w:rFonts w:ascii="Tahoma" w:eastAsia="Times New Roman" w:hAnsi="Tahoma" w:cs="Tahoma"/>
                <w:sz w:val="16"/>
                <w:szCs w:val="16"/>
                <w:lang w:eastAsia="hr-HR"/>
              </w:rPr>
              <w:t>9</w:t>
            </w:r>
          </w:p>
        </w:tc>
        <w:tc>
          <w:tcPr>
            <w:tcW w:w="420" w:type="dxa"/>
            <w:tcBorders>
              <w:top w:val="nil"/>
              <w:left w:val="nil"/>
              <w:bottom w:val="single" w:sz="4" w:space="0" w:color="auto"/>
              <w:right w:val="single" w:sz="4" w:space="0" w:color="auto"/>
            </w:tcBorders>
            <w:shd w:val="clear" w:color="000000" w:fill="FFFF00"/>
            <w:noWrap/>
            <w:vAlign w:val="bottom"/>
            <w:hideMark/>
          </w:tcPr>
          <w:p w14:paraId="1F245ADF" w14:textId="77777777" w:rsidR="00A72067" w:rsidRPr="00BF5E3C" w:rsidRDefault="00A72067" w:rsidP="00A72067">
            <w:pPr>
              <w:spacing w:after="0" w:line="240" w:lineRule="auto"/>
              <w:jc w:val="center"/>
              <w:rPr>
                <w:rFonts w:ascii="Tahoma" w:eastAsia="Times New Roman" w:hAnsi="Tahoma" w:cs="Tahoma"/>
                <w:sz w:val="16"/>
                <w:szCs w:val="16"/>
                <w:lang w:eastAsia="hr-HR"/>
              </w:rPr>
            </w:pPr>
            <w:r w:rsidRPr="00BF5E3C">
              <w:rPr>
                <w:rFonts w:ascii="Tahoma" w:eastAsia="Times New Roman" w:hAnsi="Tahoma" w:cs="Tahoma"/>
                <w:sz w:val="16"/>
                <w:szCs w:val="16"/>
                <w:lang w:eastAsia="hr-HR"/>
              </w:rPr>
              <w:t>5</w:t>
            </w:r>
          </w:p>
        </w:tc>
        <w:tc>
          <w:tcPr>
            <w:tcW w:w="665" w:type="dxa"/>
            <w:tcBorders>
              <w:top w:val="nil"/>
              <w:left w:val="nil"/>
              <w:bottom w:val="single" w:sz="4" w:space="0" w:color="auto"/>
              <w:right w:val="single" w:sz="4" w:space="0" w:color="auto"/>
            </w:tcBorders>
            <w:shd w:val="clear" w:color="000000" w:fill="CCFFFF"/>
            <w:noWrap/>
            <w:vAlign w:val="bottom"/>
            <w:hideMark/>
          </w:tcPr>
          <w:p w14:paraId="50BEEE29" w14:textId="77777777" w:rsidR="00A72067" w:rsidRPr="00BF5E3C" w:rsidRDefault="00A72067" w:rsidP="00A72067">
            <w:pPr>
              <w:spacing w:after="0" w:line="240" w:lineRule="auto"/>
              <w:jc w:val="right"/>
              <w:rPr>
                <w:rFonts w:ascii="Tahoma" w:eastAsia="Times New Roman" w:hAnsi="Tahoma" w:cs="Tahoma"/>
                <w:sz w:val="16"/>
                <w:szCs w:val="16"/>
                <w:lang w:eastAsia="hr-HR"/>
              </w:rPr>
            </w:pPr>
            <w:r w:rsidRPr="00BF5E3C">
              <w:rPr>
                <w:rFonts w:ascii="Tahoma" w:eastAsia="Times New Roman" w:hAnsi="Tahoma" w:cs="Tahoma"/>
                <w:sz w:val="16"/>
                <w:szCs w:val="16"/>
                <w:lang w:eastAsia="hr-HR"/>
              </w:rPr>
              <w:t>2</w:t>
            </w:r>
          </w:p>
        </w:tc>
        <w:tc>
          <w:tcPr>
            <w:tcW w:w="571" w:type="dxa"/>
            <w:tcBorders>
              <w:top w:val="nil"/>
              <w:left w:val="nil"/>
              <w:bottom w:val="single" w:sz="4" w:space="0" w:color="auto"/>
              <w:right w:val="single" w:sz="4" w:space="0" w:color="auto"/>
            </w:tcBorders>
            <w:shd w:val="clear" w:color="000000" w:fill="CCFFFF"/>
            <w:noWrap/>
            <w:vAlign w:val="bottom"/>
            <w:hideMark/>
          </w:tcPr>
          <w:p w14:paraId="47C369DE" w14:textId="77777777" w:rsidR="00A72067" w:rsidRPr="00BF5E3C" w:rsidRDefault="00A72067" w:rsidP="00A72067">
            <w:pPr>
              <w:spacing w:after="0" w:line="240" w:lineRule="auto"/>
              <w:jc w:val="right"/>
              <w:rPr>
                <w:rFonts w:ascii="Tahoma" w:eastAsia="Times New Roman" w:hAnsi="Tahoma" w:cs="Tahoma"/>
                <w:sz w:val="16"/>
                <w:szCs w:val="16"/>
                <w:lang w:eastAsia="hr-HR"/>
              </w:rPr>
            </w:pPr>
            <w:r w:rsidRPr="00BF5E3C">
              <w:rPr>
                <w:rFonts w:ascii="Tahoma" w:eastAsia="Times New Roman" w:hAnsi="Tahoma" w:cs="Tahoma"/>
                <w:sz w:val="16"/>
                <w:szCs w:val="16"/>
                <w:lang w:eastAsia="hr-HR"/>
              </w:rPr>
              <w:t>3</w:t>
            </w:r>
          </w:p>
        </w:tc>
        <w:tc>
          <w:tcPr>
            <w:tcW w:w="700" w:type="dxa"/>
            <w:tcBorders>
              <w:top w:val="nil"/>
              <w:left w:val="nil"/>
              <w:bottom w:val="single" w:sz="4" w:space="0" w:color="auto"/>
              <w:right w:val="single" w:sz="4" w:space="0" w:color="auto"/>
            </w:tcBorders>
            <w:shd w:val="clear" w:color="000000" w:fill="FFFF99"/>
            <w:noWrap/>
            <w:vAlign w:val="bottom"/>
            <w:hideMark/>
          </w:tcPr>
          <w:p w14:paraId="2EC154B9" w14:textId="77777777" w:rsidR="00A72067" w:rsidRPr="00BF5E3C" w:rsidRDefault="00A72067" w:rsidP="00A72067">
            <w:pPr>
              <w:spacing w:after="0" w:line="240" w:lineRule="auto"/>
              <w:jc w:val="center"/>
              <w:rPr>
                <w:rFonts w:ascii="Tahoma" w:eastAsia="Times New Roman" w:hAnsi="Tahoma" w:cs="Tahoma"/>
                <w:sz w:val="16"/>
                <w:szCs w:val="16"/>
                <w:lang w:eastAsia="hr-HR"/>
              </w:rPr>
            </w:pPr>
            <w:r w:rsidRPr="00BF5E3C">
              <w:rPr>
                <w:rFonts w:ascii="Tahoma" w:eastAsia="Times New Roman" w:hAnsi="Tahoma" w:cs="Tahoma"/>
                <w:sz w:val="16"/>
                <w:szCs w:val="16"/>
                <w:lang w:eastAsia="hr-HR"/>
              </w:rPr>
              <w:t>4</w:t>
            </w:r>
          </w:p>
        </w:tc>
        <w:tc>
          <w:tcPr>
            <w:tcW w:w="698" w:type="dxa"/>
            <w:tcBorders>
              <w:top w:val="nil"/>
              <w:left w:val="nil"/>
              <w:bottom w:val="single" w:sz="4" w:space="0" w:color="auto"/>
              <w:right w:val="single" w:sz="4" w:space="0" w:color="auto"/>
            </w:tcBorders>
            <w:shd w:val="clear" w:color="000000" w:fill="FFFF99"/>
            <w:noWrap/>
            <w:vAlign w:val="bottom"/>
            <w:hideMark/>
          </w:tcPr>
          <w:p w14:paraId="49DC0656" w14:textId="77777777" w:rsidR="00A72067" w:rsidRPr="00BF5E3C" w:rsidRDefault="00A72067" w:rsidP="00A72067">
            <w:pPr>
              <w:spacing w:after="0" w:line="240" w:lineRule="auto"/>
              <w:jc w:val="center"/>
              <w:rPr>
                <w:rFonts w:ascii="Tahoma" w:eastAsia="Times New Roman" w:hAnsi="Tahoma" w:cs="Tahoma"/>
                <w:sz w:val="16"/>
                <w:szCs w:val="16"/>
                <w:lang w:eastAsia="hr-HR"/>
              </w:rPr>
            </w:pPr>
            <w:r w:rsidRPr="00BF5E3C">
              <w:rPr>
                <w:rFonts w:ascii="Tahoma" w:eastAsia="Times New Roman" w:hAnsi="Tahoma" w:cs="Tahoma"/>
                <w:sz w:val="16"/>
                <w:szCs w:val="16"/>
                <w:lang w:eastAsia="hr-HR"/>
              </w:rPr>
              <w:t>0</w:t>
            </w:r>
          </w:p>
        </w:tc>
        <w:tc>
          <w:tcPr>
            <w:tcW w:w="698" w:type="dxa"/>
            <w:tcBorders>
              <w:top w:val="nil"/>
              <w:left w:val="nil"/>
              <w:bottom w:val="single" w:sz="4" w:space="0" w:color="auto"/>
              <w:right w:val="single" w:sz="4" w:space="0" w:color="auto"/>
            </w:tcBorders>
            <w:shd w:val="clear" w:color="000000" w:fill="FFFF99"/>
            <w:noWrap/>
            <w:vAlign w:val="bottom"/>
            <w:hideMark/>
          </w:tcPr>
          <w:p w14:paraId="18EBF5E0" w14:textId="77777777" w:rsidR="00A72067" w:rsidRPr="00BF5E3C" w:rsidRDefault="00A72067" w:rsidP="00A72067">
            <w:pPr>
              <w:spacing w:after="0" w:line="240" w:lineRule="auto"/>
              <w:jc w:val="center"/>
              <w:rPr>
                <w:rFonts w:ascii="Tahoma" w:eastAsia="Times New Roman" w:hAnsi="Tahoma" w:cs="Tahoma"/>
                <w:sz w:val="16"/>
                <w:szCs w:val="16"/>
                <w:lang w:eastAsia="hr-HR"/>
              </w:rPr>
            </w:pPr>
            <w:r w:rsidRPr="00BF5E3C">
              <w:rPr>
                <w:rFonts w:ascii="Tahoma" w:eastAsia="Times New Roman" w:hAnsi="Tahoma" w:cs="Tahoma"/>
                <w:sz w:val="16"/>
                <w:szCs w:val="16"/>
                <w:lang w:eastAsia="hr-HR"/>
              </w:rPr>
              <w:t>2</w:t>
            </w:r>
          </w:p>
        </w:tc>
        <w:tc>
          <w:tcPr>
            <w:tcW w:w="698" w:type="dxa"/>
            <w:tcBorders>
              <w:top w:val="nil"/>
              <w:left w:val="nil"/>
              <w:bottom w:val="single" w:sz="4" w:space="0" w:color="auto"/>
              <w:right w:val="single" w:sz="4" w:space="0" w:color="auto"/>
            </w:tcBorders>
            <w:shd w:val="clear" w:color="000000" w:fill="FFFF99"/>
            <w:noWrap/>
            <w:vAlign w:val="bottom"/>
            <w:hideMark/>
          </w:tcPr>
          <w:p w14:paraId="2F4443AE" w14:textId="77777777" w:rsidR="00A72067" w:rsidRPr="00BF5E3C" w:rsidRDefault="00A72067" w:rsidP="00A72067">
            <w:pPr>
              <w:spacing w:after="0" w:line="240" w:lineRule="auto"/>
              <w:jc w:val="center"/>
              <w:rPr>
                <w:rFonts w:ascii="Tahoma" w:eastAsia="Times New Roman" w:hAnsi="Tahoma" w:cs="Tahoma"/>
                <w:sz w:val="16"/>
                <w:szCs w:val="16"/>
                <w:lang w:eastAsia="hr-HR"/>
              </w:rPr>
            </w:pPr>
            <w:r w:rsidRPr="00BF5E3C">
              <w:rPr>
                <w:rFonts w:ascii="Tahoma" w:eastAsia="Times New Roman" w:hAnsi="Tahoma" w:cs="Tahoma"/>
                <w:sz w:val="16"/>
                <w:szCs w:val="16"/>
                <w:lang w:eastAsia="hr-HR"/>
              </w:rPr>
              <w:t>0</w:t>
            </w:r>
          </w:p>
        </w:tc>
        <w:tc>
          <w:tcPr>
            <w:tcW w:w="527" w:type="dxa"/>
            <w:tcBorders>
              <w:top w:val="nil"/>
              <w:left w:val="nil"/>
              <w:bottom w:val="single" w:sz="4" w:space="0" w:color="auto"/>
              <w:right w:val="single" w:sz="4" w:space="0" w:color="auto"/>
            </w:tcBorders>
            <w:shd w:val="clear" w:color="000000" w:fill="FFFF99"/>
            <w:noWrap/>
            <w:vAlign w:val="bottom"/>
            <w:hideMark/>
          </w:tcPr>
          <w:p w14:paraId="68E5319E" w14:textId="77777777" w:rsidR="00A72067" w:rsidRPr="00BF5E3C" w:rsidRDefault="00A72067" w:rsidP="00A72067">
            <w:pPr>
              <w:spacing w:after="0" w:line="240" w:lineRule="auto"/>
              <w:jc w:val="center"/>
              <w:rPr>
                <w:rFonts w:ascii="Tahoma" w:eastAsia="Times New Roman" w:hAnsi="Tahoma" w:cs="Tahoma"/>
                <w:sz w:val="16"/>
                <w:szCs w:val="16"/>
                <w:lang w:eastAsia="hr-HR"/>
              </w:rPr>
            </w:pPr>
            <w:r w:rsidRPr="00BF5E3C">
              <w:rPr>
                <w:rFonts w:ascii="Tahoma" w:eastAsia="Times New Roman" w:hAnsi="Tahoma" w:cs="Tahoma"/>
                <w:sz w:val="16"/>
                <w:szCs w:val="16"/>
                <w:lang w:eastAsia="hr-HR"/>
              </w:rPr>
              <w:t>0</w:t>
            </w:r>
          </w:p>
        </w:tc>
        <w:tc>
          <w:tcPr>
            <w:tcW w:w="702" w:type="dxa"/>
            <w:tcBorders>
              <w:top w:val="nil"/>
              <w:left w:val="nil"/>
              <w:bottom w:val="single" w:sz="4" w:space="0" w:color="auto"/>
              <w:right w:val="single" w:sz="4" w:space="0" w:color="auto"/>
            </w:tcBorders>
            <w:shd w:val="clear" w:color="000000" w:fill="FFFF99"/>
            <w:noWrap/>
            <w:vAlign w:val="bottom"/>
            <w:hideMark/>
          </w:tcPr>
          <w:p w14:paraId="3BAD5836" w14:textId="77777777" w:rsidR="00A72067" w:rsidRPr="00BF5E3C" w:rsidRDefault="00A72067" w:rsidP="00A72067">
            <w:pPr>
              <w:spacing w:after="0" w:line="240" w:lineRule="auto"/>
              <w:jc w:val="center"/>
              <w:rPr>
                <w:rFonts w:ascii="Tahoma" w:eastAsia="Times New Roman" w:hAnsi="Tahoma" w:cs="Tahoma"/>
                <w:sz w:val="16"/>
                <w:szCs w:val="16"/>
                <w:lang w:eastAsia="hr-HR"/>
              </w:rPr>
            </w:pPr>
            <w:r w:rsidRPr="00BF5E3C">
              <w:rPr>
                <w:rFonts w:ascii="Tahoma" w:eastAsia="Times New Roman" w:hAnsi="Tahoma" w:cs="Tahoma"/>
                <w:sz w:val="16"/>
                <w:szCs w:val="16"/>
                <w:lang w:eastAsia="hr-HR"/>
              </w:rPr>
              <w:t>1</w:t>
            </w:r>
          </w:p>
        </w:tc>
        <w:tc>
          <w:tcPr>
            <w:tcW w:w="698" w:type="dxa"/>
            <w:tcBorders>
              <w:top w:val="nil"/>
              <w:left w:val="nil"/>
              <w:bottom w:val="single" w:sz="4" w:space="0" w:color="auto"/>
              <w:right w:val="single" w:sz="4" w:space="0" w:color="auto"/>
            </w:tcBorders>
            <w:shd w:val="clear" w:color="000000" w:fill="FF9900"/>
            <w:noWrap/>
            <w:vAlign w:val="bottom"/>
            <w:hideMark/>
          </w:tcPr>
          <w:p w14:paraId="041DD2FB" w14:textId="77777777" w:rsidR="00A72067" w:rsidRPr="00BF5E3C" w:rsidRDefault="00A72067" w:rsidP="00A72067">
            <w:pPr>
              <w:spacing w:after="0" w:line="240" w:lineRule="auto"/>
              <w:jc w:val="right"/>
              <w:rPr>
                <w:rFonts w:ascii="Tahoma" w:eastAsia="Times New Roman" w:hAnsi="Tahoma" w:cs="Tahoma"/>
                <w:sz w:val="16"/>
                <w:szCs w:val="16"/>
                <w:lang w:eastAsia="hr-HR"/>
              </w:rPr>
            </w:pPr>
            <w:r w:rsidRPr="00BF5E3C">
              <w:rPr>
                <w:rFonts w:ascii="Tahoma" w:eastAsia="Times New Roman" w:hAnsi="Tahoma" w:cs="Tahoma"/>
                <w:sz w:val="16"/>
                <w:szCs w:val="16"/>
                <w:lang w:eastAsia="hr-HR"/>
              </w:rPr>
              <w:t>1</w:t>
            </w:r>
          </w:p>
        </w:tc>
        <w:tc>
          <w:tcPr>
            <w:tcW w:w="439" w:type="dxa"/>
            <w:tcBorders>
              <w:top w:val="nil"/>
              <w:left w:val="nil"/>
              <w:bottom w:val="single" w:sz="4" w:space="0" w:color="auto"/>
              <w:right w:val="single" w:sz="4" w:space="0" w:color="auto"/>
            </w:tcBorders>
            <w:shd w:val="clear" w:color="000000" w:fill="FF9900"/>
            <w:noWrap/>
            <w:vAlign w:val="bottom"/>
            <w:hideMark/>
          </w:tcPr>
          <w:p w14:paraId="0733A5FA" w14:textId="77777777" w:rsidR="00A72067" w:rsidRPr="00BF5E3C" w:rsidRDefault="00A72067" w:rsidP="00A72067">
            <w:pPr>
              <w:spacing w:after="0" w:line="240" w:lineRule="auto"/>
              <w:jc w:val="right"/>
              <w:rPr>
                <w:rFonts w:ascii="Tahoma" w:eastAsia="Times New Roman" w:hAnsi="Tahoma" w:cs="Tahoma"/>
                <w:sz w:val="16"/>
                <w:szCs w:val="16"/>
                <w:lang w:eastAsia="hr-HR"/>
              </w:rPr>
            </w:pPr>
            <w:r w:rsidRPr="00BF5E3C">
              <w:rPr>
                <w:rFonts w:ascii="Tahoma" w:eastAsia="Times New Roman" w:hAnsi="Tahoma" w:cs="Tahoma"/>
                <w:sz w:val="16"/>
                <w:szCs w:val="16"/>
                <w:lang w:eastAsia="hr-HR"/>
              </w:rPr>
              <w:t>2</w:t>
            </w:r>
          </w:p>
        </w:tc>
        <w:tc>
          <w:tcPr>
            <w:tcW w:w="439" w:type="dxa"/>
            <w:tcBorders>
              <w:top w:val="nil"/>
              <w:left w:val="nil"/>
              <w:bottom w:val="single" w:sz="4" w:space="0" w:color="auto"/>
              <w:right w:val="single" w:sz="4" w:space="0" w:color="auto"/>
            </w:tcBorders>
            <w:shd w:val="clear" w:color="000000" w:fill="FF9900"/>
            <w:noWrap/>
            <w:vAlign w:val="bottom"/>
            <w:hideMark/>
          </w:tcPr>
          <w:p w14:paraId="63732389" w14:textId="77777777" w:rsidR="00A72067" w:rsidRPr="00BF5E3C" w:rsidRDefault="00A72067" w:rsidP="00A72067">
            <w:pPr>
              <w:spacing w:after="0" w:line="240" w:lineRule="auto"/>
              <w:jc w:val="right"/>
              <w:rPr>
                <w:rFonts w:ascii="Tahoma" w:eastAsia="Times New Roman" w:hAnsi="Tahoma" w:cs="Tahoma"/>
                <w:sz w:val="16"/>
                <w:szCs w:val="16"/>
                <w:lang w:eastAsia="hr-HR"/>
              </w:rPr>
            </w:pPr>
            <w:r w:rsidRPr="00BF5E3C">
              <w:rPr>
                <w:rFonts w:ascii="Tahoma" w:eastAsia="Times New Roman" w:hAnsi="Tahoma" w:cs="Tahoma"/>
                <w:sz w:val="16"/>
                <w:szCs w:val="16"/>
                <w:lang w:eastAsia="hr-HR"/>
              </w:rPr>
              <w:t>1</w:t>
            </w:r>
          </w:p>
        </w:tc>
        <w:tc>
          <w:tcPr>
            <w:tcW w:w="665" w:type="dxa"/>
            <w:tcBorders>
              <w:top w:val="nil"/>
              <w:left w:val="nil"/>
              <w:bottom w:val="single" w:sz="4" w:space="0" w:color="auto"/>
              <w:right w:val="single" w:sz="4" w:space="0" w:color="auto"/>
            </w:tcBorders>
            <w:shd w:val="clear" w:color="000000" w:fill="FFFF00"/>
            <w:vAlign w:val="center"/>
            <w:hideMark/>
          </w:tcPr>
          <w:p w14:paraId="5327360E" w14:textId="77777777" w:rsidR="00A72067" w:rsidRPr="00BF5E3C" w:rsidRDefault="00A72067" w:rsidP="00A72067">
            <w:pPr>
              <w:spacing w:after="0" w:line="240" w:lineRule="auto"/>
              <w:jc w:val="center"/>
              <w:rPr>
                <w:rFonts w:ascii="Tahoma" w:eastAsia="Times New Roman" w:hAnsi="Tahoma" w:cs="Tahoma"/>
                <w:sz w:val="16"/>
                <w:szCs w:val="16"/>
                <w:lang w:eastAsia="hr-HR"/>
              </w:rPr>
            </w:pPr>
            <w:r w:rsidRPr="00BF5E3C">
              <w:rPr>
                <w:rFonts w:ascii="Tahoma" w:eastAsia="Times New Roman" w:hAnsi="Tahoma" w:cs="Tahoma"/>
                <w:sz w:val="16"/>
                <w:szCs w:val="16"/>
                <w:lang w:eastAsia="hr-HR"/>
              </w:rPr>
              <w:t>4</w:t>
            </w:r>
          </w:p>
        </w:tc>
        <w:tc>
          <w:tcPr>
            <w:tcW w:w="698" w:type="dxa"/>
            <w:tcBorders>
              <w:top w:val="nil"/>
              <w:left w:val="nil"/>
              <w:bottom w:val="single" w:sz="4" w:space="0" w:color="auto"/>
              <w:right w:val="single" w:sz="4" w:space="0" w:color="auto"/>
            </w:tcBorders>
            <w:shd w:val="clear" w:color="000000" w:fill="FF9900"/>
            <w:vAlign w:val="center"/>
            <w:hideMark/>
          </w:tcPr>
          <w:p w14:paraId="22519785" w14:textId="77777777" w:rsidR="00A72067" w:rsidRPr="00BF5E3C" w:rsidRDefault="00A72067" w:rsidP="00A72067">
            <w:pPr>
              <w:spacing w:after="0" w:line="240" w:lineRule="auto"/>
              <w:jc w:val="center"/>
              <w:rPr>
                <w:rFonts w:ascii="Tahoma" w:eastAsia="Times New Roman" w:hAnsi="Tahoma" w:cs="Tahoma"/>
                <w:sz w:val="16"/>
                <w:szCs w:val="16"/>
                <w:lang w:eastAsia="hr-HR"/>
              </w:rPr>
            </w:pPr>
            <w:r w:rsidRPr="00BF5E3C">
              <w:rPr>
                <w:rFonts w:ascii="Tahoma" w:eastAsia="Times New Roman" w:hAnsi="Tahoma" w:cs="Tahoma"/>
                <w:sz w:val="16"/>
                <w:szCs w:val="16"/>
                <w:lang w:eastAsia="hr-HR"/>
              </w:rPr>
              <w:t>10</w:t>
            </w:r>
          </w:p>
        </w:tc>
        <w:tc>
          <w:tcPr>
            <w:tcW w:w="707" w:type="dxa"/>
            <w:tcBorders>
              <w:top w:val="nil"/>
              <w:left w:val="nil"/>
              <w:bottom w:val="single" w:sz="4" w:space="0" w:color="auto"/>
              <w:right w:val="single" w:sz="4" w:space="0" w:color="auto"/>
            </w:tcBorders>
            <w:shd w:val="clear" w:color="000000" w:fill="FF9900"/>
            <w:noWrap/>
            <w:vAlign w:val="center"/>
            <w:hideMark/>
          </w:tcPr>
          <w:p w14:paraId="2F2E9A64" w14:textId="77777777" w:rsidR="00A72067" w:rsidRPr="00BF5E3C" w:rsidRDefault="00A72067" w:rsidP="00A72067">
            <w:pPr>
              <w:spacing w:after="0" w:line="240" w:lineRule="auto"/>
              <w:jc w:val="center"/>
              <w:rPr>
                <w:rFonts w:ascii="Tahoma" w:eastAsia="Times New Roman" w:hAnsi="Tahoma" w:cs="Tahoma"/>
                <w:sz w:val="16"/>
                <w:szCs w:val="16"/>
                <w:lang w:eastAsia="hr-HR"/>
              </w:rPr>
            </w:pPr>
            <w:r w:rsidRPr="00BF5E3C">
              <w:rPr>
                <w:rFonts w:ascii="Tahoma" w:eastAsia="Times New Roman" w:hAnsi="Tahoma" w:cs="Tahoma"/>
                <w:sz w:val="16"/>
                <w:szCs w:val="16"/>
                <w:lang w:eastAsia="hr-HR"/>
              </w:rPr>
              <w:t>1</w:t>
            </w:r>
          </w:p>
        </w:tc>
        <w:tc>
          <w:tcPr>
            <w:tcW w:w="707" w:type="dxa"/>
            <w:tcBorders>
              <w:top w:val="nil"/>
              <w:left w:val="nil"/>
              <w:bottom w:val="single" w:sz="4" w:space="0" w:color="auto"/>
              <w:right w:val="single" w:sz="4" w:space="0" w:color="auto"/>
            </w:tcBorders>
            <w:shd w:val="clear" w:color="000000" w:fill="FF9900"/>
            <w:noWrap/>
            <w:vAlign w:val="center"/>
            <w:hideMark/>
          </w:tcPr>
          <w:p w14:paraId="29E5B656" w14:textId="77777777" w:rsidR="00A72067" w:rsidRPr="00BF5E3C" w:rsidRDefault="00A72067" w:rsidP="00A72067">
            <w:pPr>
              <w:spacing w:after="0" w:line="240" w:lineRule="auto"/>
              <w:jc w:val="center"/>
              <w:rPr>
                <w:rFonts w:ascii="Tahoma" w:eastAsia="Times New Roman" w:hAnsi="Tahoma" w:cs="Tahoma"/>
                <w:sz w:val="16"/>
                <w:szCs w:val="16"/>
                <w:lang w:eastAsia="hr-HR"/>
              </w:rPr>
            </w:pPr>
            <w:r w:rsidRPr="00BF5E3C">
              <w:rPr>
                <w:rFonts w:ascii="Tahoma" w:eastAsia="Times New Roman" w:hAnsi="Tahoma" w:cs="Tahoma"/>
                <w:sz w:val="16"/>
                <w:szCs w:val="16"/>
                <w:lang w:eastAsia="hr-HR"/>
              </w:rPr>
              <w:t>0</w:t>
            </w:r>
          </w:p>
        </w:tc>
        <w:tc>
          <w:tcPr>
            <w:tcW w:w="698" w:type="dxa"/>
            <w:tcBorders>
              <w:top w:val="nil"/>
              <w:left w:val="nil"/>
              <w:bottom w:val="single" w:sz="4" w:space="0" w:color="auto"/>
              <w:right w:val="single" w:sz="4" w:space="0" w:color="auto"/>
            </w:tcBorders>
            <w:shd w:val="clear" w:color="000000" w:fill="FF9900"/>
            <w:noWrap/>
            <w:vAlign w:val="center"/>
            <w:hideMark/>
          </w:tcPr>
          <w:p w14:paraId="6C90CA12" w14:textId="77777777" w:rsidR="00A72067" w:rsidRPr="00BF5E3C" w:rsidRDefault="00A72067" w:rsidP="00A72067">
            <w:pPr>
              <w:spacing w:after="0" w:line="240" w:lineRule="auto"/>
              <w:jc w:val="center"/>
              <w:rPr>
                <w:rFonts w:ascii="Tahoma" w:eastAsia="Times New Roman" w:hAnsi="Tahoma" w:cs="Tahoma"/>
                <w:sz w:val="16"/>
                <w:szCs w:val="16"/>
                <w:lang w:eastAsia="hr-HR"/>
              </w:rPr>
            </w:pPr>
            <w:r w:rsidRPr="00BF5E3C">
              <w:rPr>
                <w:rFonts w:ascii="Tahoma" w:eastAsia="Times New Roman" w:hAnsi="Tahoma" w:cs="Tahoma"/>
                <w:sz w:val="16"/>
                <w:szCs w:val="16"/>
                <w:lang w:eastAsia="hr-HR"/>
              </w:rPr>
              <w:t>1</w:t>
            </w:r>
          </w:p>
        </w:tc>
        <w:tc>
          <w:tcPr>
            <w:tcW w:w="377" w:type="dxa"/>
            <w:tcBorders>
              <w:top w:val="nil"/>
              <w:left w:val="nil"/>
              <w:bottom w:val="single" w:sz="4" w:space="0" w:color="auto"/>
              <w:right w:val="single" w:sz="4" w:space="0" w:color="auto"/>
            </w:tcBorders>
            <w:shd w:val="clear" w:color="000000" w:fill="CCFFFF"/>
            <w:noWrap/>
            <w:vAlign w:val="bottom"/>
            <w:hideMark/>
          </w:tcPr>
          <w:p w14:paraId="09A503A9" w14:textId="77777777" w:rsidR="00A72067" w:rsidRPr="00BF5E3C" w:rsidRDefault="00A72067" w:rsidP="00A72067">
            <w:pPr>
              <w:spacing w:after="0" w:line="240" w:lineRule="auto"/>
              <w:jc w:val="right"/>
              <w:rPr>
                <w:rFonts w:ascii="Tahoma" w:eastAsia="Times New Roman" w:hAnsi="Tahoma" w:cs="Tahoma"/>
                <w:sz w:val="16"/>
                <w:szCs w:val="16"/>
                <w:lang w:eastAsia="hr-HR"/>
              </w:rPr>
            </w:pPr>
            <w:r w:rsidRPr="00BF5E3C">
              <w:rPr>
                <w:rFonts w:ascii="Tahoma" w:eastAsia="Times New Roman" w:hAnsi="Tahoma" w:cs="Tahoma"/>
                <w:sz w:val="16"/>
                <w:szCs w:val="16"/>
                <w:lang w:eastAsia="hr-HR"/>
              </w:rPr>
              <w:t>1</w:t>
            </w:r>
          </w:p>
        </w:tc>
        <w:tc>
          <w:tcPr>
            <w:tcW w:w="388" w:type="dxa"/>
            <w:tcBorders>
              <w:top w:val="nil"/>
              <w:left w:val="nil"/>
              <w:bottom w:val="single" w:sz="4" w:space="0" w:color="auto"/>
              <w:right w:val="single" w:sz="4" w:space="0" w:color="auto"/>
            </w:tcBorders>
            <w:shd w:val="clear" w:color="000000" w:fill="CCFFFF"/>
            <w:noWrap/>
            <w:vAlign w:val="bottom"/>
            <w:hideMark/>
          </w:tcPr>
          <w:p w14:paraId="1A8A2C42" w14:textId="77777777" w:rsidR="00A72067" w:rsidRPr="00BF5E3C" w:rsidRDefault="00A72067" w:rsidP="00A72067">
            <w:pPr>
              <w:spacing w:after="0" w:line="240" w:lineRule="auto"/>
              <w:jc w:val="right"/>
              <w:rPr>
                <w:rFonts w:ascii="Tahoma" w:eastAsia="Times New Roman" w:hAnsi="Tahoma" w:cs="Tahoma"/>
                <w:sz w:val="16"/>
                <w:szCs w:val="16"/>
                <w:lang w:eastAsia="hr-HR"/>
              </w:rPr>
            </w:pPr>
            <w:r w:rsidRPr="00BF5E3C">
              <w:rPr>
                <w:rFonts w:ascii="Tahoma" w:eastAsia="Times New Roman" w:hAnsi="Tahoma" w:cs="Tahoma"/>
                <w:sz w:val="16"/>
                <w:szCs w:val="16"/>
                <w:lang w:eastAsia="hr-HR"/>
              </w:rPr>
              <w:t>0</w:t>
            </w:r>
          </w:p>
        </w:tc>
        <w:tc>
          <w:tcPr>
            <w:tcW w:w="399" w:type="dxa"/>
            <w:tcBorders>
              <w:top w:val="nil"/>
              <w:left w:val="nil"/>
              <w:bottom w:val="single" w:sz="4" w:space="0" w:color="auto"/>
              <w:right w:val="single" w:sz="4" w:space="0" w:color="auto"/>
            </w:tcBorders>
            <w:shd w:val="clear" w:color="000000" w:fill="CCFFFF"/>
            <w:noWrap/>
            <w:vAlign w:val="bottom"/>
            <w:hideMark/>
          </w:tcPr>
          <w:p w14:paraId="41D0ACDA" w14:textId="77777777" w:rsidR="00A72067" w:rsidRPr="00BF5E3C" w:rsidRDefault="00A72067" w:rsidP="00A72067">
            <w:pPr>
              <w:spacing w:after="0" w:line="240" w:lineRule="auto"/>
              <w:jc w:val="right"/>
              <w:rPr>
                <w:rFonts w:ascii="Tahoma" w:eastAsia="Times New Roman" w:hAnsi="Tahoma" w:cs="Tahoma"/>
                <w:sz w:val="16"/>
                <w:szCs w:val="16"/>
                <w:lang w:eastAsia="hr-HR"/>
              </w:rPr>
            </w:pPr>
            <w:r w:rsidRPr="00BF5E3C">
              <w:rPr>
                <w:rFonts w:ascii="Tahoma" w:eastAsia="Times New Roman" w:hAnsi="Tahoma" w:cs="Tahoma"/>
                <w:sz w:val="16"/>
                <w:szCs w:val="16"/>
                <w:lang w:eastAsia="hr-HR"/>
              </w:rPr>
              <w:t>0</w:t>
            </w:r>
          </w:p>
        </w:tc>
        <w:tc>
          <w:tcPr>
            <w:tcW w:w="489" w:type="dxa"/>
            <w:gridSpan w:val="2"/>
            <w:tcBorders>
              <w:top w:val="nil"/>
              <w:left w:val="nil"/>
              <w:bottom w:val="single" w:sz="4" w:space="0" w:color="auto"/>
              <w:right w:val="nil"/>
            </w:tcBorders>
            <w:shd w:val="clear" w:color="000000" w:fill="33CCCC"/>
            <w:noWrap/>
            <w:vAlign w:val="bottom"/>
            <w:hideMark/>
          </w:tcPr>
          <w:p w14:paraId="7D840EF8" w14:textId="77777777" w:rsidR="00A72067" w:rsidRPr="00BF5E3C" w:rsidRDefault="00A72067" w:rsidP="00A72067">
            <w:pPr>
              <w:spacing w:after="0" w:line="240" w:lineRule="auto"/>
              <w:jc w:val="right"/>
              <w:rPr>
                <w:rFonts w:ascii="Tahoma" w:eastAsia="Times New Roman" w:hAnsi="Tahoma" w:cs="Tahoma"/>
                <w:sz w:val="16"/>
                <w:szCs w:val="16"/>
                <w:lang w:eastAsia="hr-HR"/>
              </w:rPr>
            </w:pPr>
            <w:r w:rsidRPr="00BF5E3C">
              <w:rPr>
                <w:rFonts w:ascii="Tahoma" w:eastAsia="Times New Roman" w:hAnsi="Tahoma" w:cs="Tahoma"/>
                <w:sz w:val="16"/>
                <w:szCs w:val="16"/>
                <w:lang w:eastAsia="hr-HR"/>
              </w:rPr>
              <w:t>0</w:t>
            </w:r>
          </w:p>
        </w:tc>
        <w:tc>
          <w:tcPr>
            <w:tcW w:w="425" w:type="dxa"/>
            <w:tcBorders>
              <w:top w:val="nil"/>
              <w:left w:val="single" w:sz="4" w:space="0" w:color="auto"/>
              <w:bottom w:val="single" w:sz="4" w:space="0" w:color="auto"/>
              <w:right w:val="single" w:sz="8" w:space="0" w:color="auto"/>
            </w:tcBorders>
            <w:shd w:val="clear" w:color="000000" w:fill="33CCCC"/>
            <w:noWrap/>
            <w:vAlign w:val="bottom"/>
            <w:hideMark/>
          </w:tcPr>
          <w:p w14:paraId="4E3F2FE3" w14:textId="77777777" w:rsidR="00A72067" w:rsidRPr="00BF5E3C" w:rsidRDefault="00A72067" w:rsidP="00A72067">
            <w:pPr>
              <w:spacing w:after="0" w:line="240" w:lineRule="auto"/>
              <w:jc w:val="right"/>
              <w:rPr>
                <w:rFonts w:ascii="Tahoma" w:eastAsia="Times New Roman" w:hAnsi="Tahoma" w:cs="Tahoma"/>
                <w:sz w:val="16"/>
                <w:szCs w:val="16"/>
                <w:lang w:eastAsia="hr-HR"/>
              </w:rPr>
            </w:pPr>
            <w:r w:rsidRPr="00BF5E3C">
              <w:rPr>
                <w:rFonts w:ascii="Tahoma" w:eastAsia="Times New Roman" w:hAnsi="Tahoma" w:cs="Tahoma"/>
                <w:sz w:val="16"/>
                <w:szCs w:val="16"/>
                <w:lang w:eastAsia="hr-HR"/>
              </w:rPr>
              <w:t>4</w:t>
            </w:r>
          </w:p>
        </w:tc>
        <w:tc>
          <w:tcPr>
            <w:tcW w:w="236" w:type="dxa"/>
            <w:vAlign w:val="center"/>
            <w:hideMark/>
          </w:tcPr>
          <w:p w14:paraId="691CF19A" w14:textId="77777777" w:rsidR="00A72067" w:rsidRPr="00BF5E3C" w:rsidRDefault="00A72067" w:rsidP="00A72067">
            <w:pPr>
              <w:spacing w:after="0" w:line="240" w:lineRule="auto"/>
              <w:rPr>
                <w:rFonts w:ascii="Times New Roman" w:eastAsia="Times New Roman" w:hAnsi="Times New Roman" w:cs="Times New Roman"/>
                <w:sz w:val="16"/>
                <w:szCs w:val="16"/>
                <w:lang w:eastAsia="hr-HR"/>
              </w:rPr>
            </w:pPr>
          </w:p>
        </w:tc>
      </w:tr>
      <w:tr w:rsidR="00F90F6F" w:rsidRPr="00BF5E3C" w14:paraId="03E2A050" w14:textId="77777777" w:rsidTr="00F90F6F">
        <w:trPr>
          <w:gridAfter w:val="1"/>
          <w:wAfter w:w="32" w:type="dxa"/>
          <w:trHeight w:val="402"/>
        </w:trPr>
        <w:tc>
          <w:tcPr>
            <w:tcW w:w="979" w:type="dxa"/>
            <w:tcBorders>
              <w:top w:val="nil"/>
              <w:left w:val="single" w:sz="8" w:space="0" w:color="auto"/>
              <w:bottom w:val="single" w:sz="4" w:space="0" w:color="auto"/>
              <w:right w:val="single" w:sz="4" w:space="0" w:color="auto"/>
            </w:tcBorders>
            <w:shd w:val="clear" w:color="000000" w:fill="CCFFCC"/>
            <w:vAlign w:val="center"/>
            <w:hideMark/>
          </w:tcPr>
          <w:p w14:paraId="040040AF" w14:textId="77777777" w:rsidR="00A72067" w:rsidRPr="00BF5E3C" w:rsidRDefault="00A72067" w:rsidP="00A72067">
            <w:pPr>
              <w:spacing w:after="0" w:line="240" w:lineRule="auto"/>
              <w:rPr>
                <w:rFonts w:ascii="Tahoma" w:eastAsia="Times New Roman" w:hAnsi="Tahoma" w:cs="Tahoma"/>
                <w:sz w:val="16"/>
                <w:szCs w:val="16"/>
                <w:lang w:eastAsia="hr-HR"/>
              </w:rPr>
            </w:pPr>
            <w:r w:rsidRPr="00BF5E3C">
              <w:rPr>
                <w:rFonts w:ascii="Tahoma" w:eastAsia="Times New Roman" w:hAnsi="Tahoma" w:cs="Tahoma"/>
                <w:sz w:val="16"/>
                <w:szCs w:val="16"/>
                <w:lang w:eastAsia="hr-HR"/>
              </w:rPr>
              <w:t>Zdravstveno stanje</w:t>
            </w:r>
          </w:p>
        </w:tc>
        <w:tc>
          <w:tcPr>
            <w:tcW w:w="520" w:type="dxa"/>
            <w:tcBorders>
              <w:top w:val="nil"/>
              <w:left w:val="nil"/>
              <w:bottom w:val="single" w:sz="4" w:space="0" w:color="auto"/>
              <w:right w:val="single" w:sz="4" w:space="0" w:color="auto"/>
            </w:tcBorders>
            <w:shd w:val="clear" w:color="000000" w:fill="FFCC99"/>
            <w:noWrap/>
            <w:vAlign w:val="bottom"/>
            <w:hideMark/>
          </w:tcPr>
          <w:p w14:paraId="18BE22F0" w14:textId="77777777" w:rsidR="00A72067" w:rsidRPr="00BF5E3C" w:rsidRDefault="00A72067" w:rsidP="00A72067">
            <w:pPr>
              <w:spacing w:after="0" w:line="240" w:lineRule="auto"/>
              <w:jc w:val="center"/>
              <w:rPr>
                <w:rFonts w:ascii="Tahoma" w:eastAsia="Times New Roman" w:hAnsi="Tahoma" w:cs="Tahoma"/>
                <w:sz w:val="16"/>
                <w:szCs w:val="16"/>
                <w:lang w:eastAsia="hr-HR"/>
              </w:rPr>
            </w:pPr>
            <w:r w:rsidRPr="00BF5E3C">
              <w:rPr>
                <w:rFonts w:ascii="Tahoma" w:eastAsia="Times New Roman" w:hAnsi="Tahoma" w:cs="Tahoma"/>
                <w:sz w:val="16"/>
                <w:szCs w:val="16"/>
                <w:lang w:eastAsia="hr-HR"/>
              </w:rPr>
              <w:t>8</w:t>
            </w:r>
          </w:p>
        </w:tc>
        <w:tc>
          <w:tcPr>
            <w:tcW w:w="420" w:type="dxa"/>
            <w:tcBorders>
              <w:top w:val="nil"/>
              <w:left w:val="nil"/>
              <w:bottom w:val="single" w:sz="4" w:space="0" w:color="auto"/>
              <w:right w:val="single" w:sz="4" w:space="0" w:color="auto"/>
            </w:tcBorders>
            <w:shd w:val="clear" w:color="000000" w:fill="FFFF00"/>
            <w:noWrap/>
            <w:vAlign w:val="bottom"/>
            <w:hideMark/>
          </w:tcPr>
          <w:p w14:paraId="514F0EDA" w14:textId="77777777" w:rsidR="00A72067" w:rsidRPr="00BF5E3C" w:rsidRDefault="00A72067" w:rsidP="00A72067">
            <w:pPr>
              <w:spacing w:after="0" w:line="240" w:lineRule="auto"/>
              <w:jc w:val="center"/>
              <w:rPr>
                <w:rFonts w:ascii="Tahoma" w:eastAsia="Times New Roman" w:hAnsi="Tahoma" w:cs="Tahoma"/>
                <w:sz w:val="16"/>
                <w:szCs w:val="16"/>
                <w:lang w:eastAsia="hr-HR"/>
              </w:rPr>
            </w:pPr>
            <w:r w:rsidRPr="00BF5E3C">
              <w:rPr>
                <w:rFonts w:ascii="Tahoma" w:eastAsia="Times New Roman" w:hAnsi="Tahoma" w:cs="Tahoma"/>
                <w:sz w:val="16"/>
                <w:szCs w:val="16"/>
                <w:lang w:eastAsia="hr-HR"/>
              </w:rPr>
              <w:t>2</w:t>
            </w:r>
          </w:p>
        </w:tc>
        <w:tc>
          <w:tcPr>
            <w:tcW w:w="665" w:type="dxa"/>
            <w:tcBorders>
              <w:top w:val="nil"/>
              <w:left w:val="nil"/>
              <w:bottom w:val="single" w:sz="4" w:space="0" w:color="auto"/>
              <w:right w:val="single" w:sz="4" w:space="0" w:color="auto"/>
            </w:tcBorders>
            <w:shd w:val="clear" w:color="000000" w:fill="CCFFFF"/>
            <w:noWrap/>
            <w:vAlign w:val="bottom"/>
            <w:hideMark/>
          </w:tcPr>
          <w:p w14:paraId="60F9ADD7" w14:textId="77777777" w:rsidR="00A72067" w:rsidRPr="00BF5E3C" w:rsidRDefault="00A72067" w:rsidP="00A72067">
            <w:pPr>
              <w:spacing w:after="0" w:line="240" w:lineRule="auto"/>
              <w:jc w:val="right"/>
              <w:rPr>
                <w:rFonts w:ascii="Tahoma" w:eastAsia="Times New Roman" w:hAnsi="Tahoma" w:cs="Tahoma"/>
                <w:sz w:val="16"/>
                <w:szCs w:val="16"/>
                <w:lang w:eastAsia="hr-HR"/>
              </w:rPr>
            </w:pPr>
            <w:r w:rsidRPr="00BF5E3C">
              <w:rPr>
                <w:rFonts w:ascii="Tahoma" w:eastAsia="Times New Roman" w:hAnsi="Tahoma" w:cs="Tahoma"/>
                <w:sz w:val="16"/>
                <w:szCs w:val="16"/>
                <w:lang w:eastAsia="hr-HR"/>
              </w:rPr>
              <w:t>2</w:t>
            </w:r>
          </w:p>
        </w:tc>
        <w:tc>
          <w:tcPr>
            <w:tcW w:w="571" w:type="dxa"/>
            <w:tcBorders>
              <w:top w:val="nil"/>
              <w:left w:val="nil"/>
              <w:bottom w:val="single" w:sz="4" w:space="0" w:color="auto"/>
              <w:right w:val="single" w:sz="4" w:space="0" w:color="auto"/>
            </w:tcBorders>
            <w:shd w:val="clear" w:color="000000" w:fill="CCFFFF"/>
            <w:noWrap/>
            <w:vAlign w:val="bottom"/>
            <w:hideMark/>
          </w:tcPr>
          <w:p w14:paraId="658EF97B" w14:textId="77777777" w:rsidR="00A72067" w:rsidRPr="00BF5E3C" w:rsidRDefault="00A72067" w:rsidP="00A72067">
            <w:pPr>
              <w:spacing w:after="0" w:line="240" w:lineRule="auto"/>
              <w:jc w:val="right"/>
              <w:rPr>
                <w:rFonts w:ascii="Tahoma" w:eastAsia="Times New Roman" w:hAnsi="Tahoma" w:cs="Tahoma"/>
                <w:sz w:val="16"/>
                <w:szCs w:val="16"/>
                <w:lang w:eastAsia="hr-HR"/>
              </w:rPr>
            </w:pPr>
            <w:r w:rsidRPr="00BF5E3C">
              <w:rPr>
                <w:rFonts w:ascii="Tahoma" w:eastAsia="Times New Roman" w:hAnsi="Tahoma" w:cs="Tahoma"/>
                <w:sz w:val="16"/>
                <w:szCs w:val="16"/>
                <w:lang w:eastAsia="hr-HR"/>
              </w:rPr>
              <w:t>0</w:t>
            </w:r>
          </w:p>
        </w:tc>
        <w:tc>
          <w:tcPr>
            <w:tcW w:w="700" w:type="dxa"/>
            <w:tcBorders>
              <w:top w:val="nil"/>
              <w:left w:val="nil"/>
              <w:bottom w:val="single" w:sz="4" w:space="0" w:color="auto"/>
              <w:right w:val="single" w:sz="4" w:space="0" w:color="auto"/>
            </w:tcBorders>
            <w:shd w:val="clear" w:color="000000" w:fill="FFFF99"/>
            <w:noWrap/>
            <w:vAlign w:val="bottom"/>
            <w:hideMark/>
          </w:tcPr>
          <w:p w14:paraId="3905BE7F" w14:textId="77777777" w:rsidR="00A72067" w:rsidRPr="00BF5E3C" w:rsidRDefault="00A72067" w:rsidP="00A72067">
            <w:pPr>
              <w:spacing w:after="0" w:line="240" w:lineRule="auto"/>
              <w:jc w:val="center"/>
              <w:rPr>
                <w:rFonts w:ascii="Tahoma" w:eastAsia="Times New Roman" w:hAnsi="Tahoma" w:cs="Tahoma"/>
                <w:sz w:val="16"/>
                <w:szCs w:val="16"/>
                <w:lang w:eastAsia="hr-HR"/>
              </w:rPr>
            </w:pPr>
            <w:r w:rsidRPr="00BF5E3C">
              <w:rPr>
                <w:rFonts w:ascii="Tahoma" w:eastAsia="Times New Roman" w:hAnsi="Tahoma" w:cs="Tahoma"/>
                <w:sz w:val="16"/>
                <w:szCs w:val="16"/>
                <w:lang w:eastAsia="hr-HR"/>
              </w:rPr>
              <w:t>2</w:t>
            </w:r>
          </w:p>
        </w:tc>
        <w:tc>
          <w:tcPr>
            <w:tcW w:w="698" w:type="dxa"/>
            <w:tcBorders>
              <w:top w:val="nil"/>
              <w:left w:val="nil"/>
              <w:bottom w:val="single" w:sz="4" w:space="0" w:color="auto"/>
              <w:right w:val="single" w:sz="4" w:space="0" w:color="auto"/>
            </w:tcBorders>
            <w:shd w:val="clear" w:color="000000" w:fill="FFFF99"/>
            <w:noWrap/>
            <w:vAlign w:val="bottom"/>
            <w:hideMark/>
          </w:tcPr>
          <w:p w14:paraId="2C69EDAC" w14:textId="77777777" w:rsidR="00A72067" w:rsidRPr="00BF5E3C" w:rsidRDefault="00A72067" w:rsidP="00A72067">
            <w:pPr>
              <w:spacing w:after="0" w:line="240" w:lineRule="auto"/>
              <w:jc w:val="center"/>
              <w:rPr>
                <w:rFonts w:ascii="Tahoma" w:eastAsia="Times New Roman" w:hAnsi="Tahoma" w:cs="Tahoma"/>
                <w:sz w:val="16"/>
                <w:szCs w:val="16"/>
                <w:lang w:eastAsia="hr-HR"/>
              </w:rPr>
            </w:pPr>
            <w:r w:rsidRPr="00BF5E3C">
              <w:rPr>
                <w:rFonts w:ascii="Tahoma" w:eastAsia="Times New Roman" w:hAnsi="Tahoma" w:cs="Tahoma"/>
                <w:sz w:val="16"/>
                <w:szCs w:val="16"/>
                <w:lang w:eastAsia="hr-HR"/>
              </w:rPr>
              <w:t>0</w:t>
            </w:r>
          </w:p>
        </w:tc>
        <w:tc>
          <w:tcPr>
            <w:tcW w:w="698" w:type="dxa"/>
            <w:tcBorders>
              <w:top w:val="nil"/>
              <w:left w:val="nil"/>
              <w:bottom w:val="single" w:sz="4" w:space="0" w:color="auto"/>
              <w:right w:val="single" w:sz="4" w:space="0" w:color="auto"/>
            </w:tcBorders>
            <w:shd w:val="clear" w:color="000000" w:fill="FFFF99"/>
            <w:noWrap/>
            <w:vAlign w:val="bottom"/>
            <w:hideMark/>
          </w:tcPr>
          <w:p w14:paraId="76CFA9A9" w14:textId="77777777" w:rsidR="00A72067" w:rsidRPr="00BF5E3C" w:rsidRDefault="00A72067" w:rsidP="00A72067">
            <w:pPr>
              <w:spacing w:after="0" w:line="240" w:lineRule="auto"/>
              <w:jc w:val="center"/>
              <w:rPr>
                <w:rFonts w:ascii="Tahoma" w:eastAsia="Times New Roman" w:hAnsi="Tahoma" w:cs="Tahoma"/>
                <w:sz w:val="16"/>
                <w:szCs w:val="16"/>
                <w:lang w:eastAsia="hr-HR"/>
              </w:rPr>
            </w:pPr>
            <w:r w:rsidRPr="00BF5E3C">
              <w:rPr>
                <w:rFonts w:ascii="Tahoma" w:eastAsia="Times New Roman" w:hAnsi="Tahoma" w:cs="Tahoma"/>
                <w:sz w:val="16"/>
                <w:szCs w:val="16"/>
                <w:lang w:eastAsia="hr-HR"/>
              </w:rPr>
              <w:t>0</w:t>
            </w:r>
          </w:p>
        </w:tc>
        <w:tc>
          <w:tcPr>
            <w:tcW w:w="698" w:type="dxa"/>
            <w:tcBorders>
              <w:top w:val="nil"/>
              <w:left w:val="nil"/>
              <w:bottom w:val="single" w:sz="4" w:space="0" w:color="auto"/>
              <w:right w:val="single" w:sz="4" w:space="0" w:color="auto"/>
            </w:tcBorders>
            <w:shd w:val="clear" w:color="000000" w:fill="FFFF99"/>
            <w:noWrap/>
            <w:vAlign w:val="bottom"/>
            <w:hideMark/>
          </w:tcPr>
          <w:p w14:paraId="17ACB1DB" w14:textId="77777777" w:rsidR="00A72067" w:rsidRPr="00BF5E3C" w:rsidRDefault="00A72067" w:rsidP="00A72067">
            <w:pPr>
              <w:spacing w:after="0" w:line="240" w:lineRule="auto"/>
              <w:jc w:val="center"/>
              <w:rPr>
                <w:rFonts w:ascii="Tahoma" w:eastAsia="Times New Roman" w:hAnsi="Tahoma" w:cs="Tahoma"/>
                <w:sz w:val="16"/>
                <w:szCs w:val="16"/>
                <w:lang w:eastAsia="hr-HR"/>
              </w:rPr>
            </w:pPr>
            <w:r w:rsidRPr="00BF5E3C">
              <w:rPr>
                <w:rFonts w:ascii="Tahoma" w:eastAsia="Times New Roman" w:hAnsi="Tahoma" w:cs="Tahoma"/>
                <w:sz w:val="16"/>
                <w:szCs w:val="16"/>
                <w:lang w:eastAsia="hr-HR"/>
              </w:rPr>
              <w:t>0</w:t>
            </w:r>
          </w:p>
        </w:tc>
        <w:tc>
          <w:tcPr>
            <w:tcW w:w="527" w:type="dxa"/>
            <w:tcBorders>
              <w:top w:val="nil"/>
              <w:left w:val="nil"/>
              <w:bottom w:val="single" w:sz="4" w:space="0" w:color="auto"/>
              <w:right w:val="single" w:sz="4" w:space="0" w:color="auto"/>
            </w:tcBorders>
            <w:shd w:val="clear" w:color="000000" w:fill="FFFF99"/>
            <w:noWrap/>
            <w:vAlign w:val="bottom"/>
            <w:hideMark/>
          </w:tcPr>
          <w:p w14:paraId="572FE2F8" w14:textId="77777777" w:rsidR="00A72067" w:rsidRPr="00BF5E3C" w:rsidRDefault="00A72067" w:rsidP="00A72067">
            <w:pPr>
              <w:spacing w:after="0" w:line="240" w:lineRule="auto"/>
              <w:jc w:val="center"/>
              <w:rPr>
                <w:rFonts w:ascii="Tahoma" w:eastAsia="Times New Roman" w:hAnsi="Tahoma" w:cs="Tahoma"/>
                <w:sz w:val="16"/>
                <w:szCs w:val="16"/>
                <w:lang w:eastAsia="hr-HR"/>
              </w:rPr>
            </w:pPr>
            <w:r w:rsidRPr="00BF5E3C">
              <w:rPr>
                <w:rFonts w:ascii="Tahoma" w:eastAsia="Times New Roman" w:hAnsi="Tahoma" w:cs="Tahoma"/>
                <w:sz w:val="16"/>
                <w:szCs w:val="16"/>
                <w:lang w:eastAsia="hr-HR"/>
              </w:rPr>
              <w:t>0</w:t>
            </w:r>
          </w:p>
        </w:tc>
        <w:tc>
          <w:tcPr>
            <w:tcW w:w="702" w:type="dxa"/>
            <w:tcBorders>
              <w:top w:val="nil"/>
              <w:left w:val="nil"/>
              <w:bottom w:val="single" w:sz="4" w:space="0" w:color="auto"/>
              <w:right w:val="single" w:sz="4" w:space="0" w:color="auto"/>
            </w:tcBorders>
            <w:shd w:val="clear" w:color="000000" w:fill="FFFF99"/>
            <w:noWrap/>
            <w:vAlign w:val="bottom"/>
            <w:hideMark/>
          </w:tcPr>
          <w:p w14:paraId="632317B6" w14:textId="77777777" w:rsidR="00A72067" w:rsidRPr="00BF5E3C" w:rsidRDefault="00A72067" w:rsidP="00A72067">
            <w:pPr>
              <w:spacing w:after="0" w:line="240" w:lineRule="auto"/>
              <w:jc w:val="center"/>
              <w:rPr>
                <w:rFonts w:ascii="Tahoma" w:eastAsia="Times New Roman" w:hAnsi="Tahoma" w:cs="Tahoma"/>
                <w:sz w:val="16"/>
                <w:szCs w:val="16"/>
                <w:lang w:eastAsia="hr-HR"/>
              </w:rPr>
            </w:pPr>
            <w:r w:rsidRPr="00BF5E3C">
              <w:rPr>
                <w:rFonts w:ascii="Tahoma" w:eastAsia="Times New Roman" w:hAnsi="Tahoma" w:cs="Tahoma"/>
                <w:sz w:val="16"/>
                <w:szCs w:val="16"/>
                <w:lang w:eastAsia="hr-HR"/>
              </w:rPr>
              <w:t>0</w:t>
            </w:r>
          </w:p>
        </w:tc>
        <w:tc>
          <w:tcPr>
            <w:tcW w:w="698" w:type="dxa"/>
            <w:tcBorders>
              <w:top w:val="nil"/>
              <w:left w:val="nil"/>
              <w:bottom w:val="single" w:sz="4" w:space="0" w:color="auto"/>
              <w:right w:val="single" w:sz="4" w:space="0" w:color="auto"/>
            </w:tcBorders>
            <w:shd w:val="clear" w:color="000000" w:fill="FF9900"/>
            <w:noWrap/>
            <w:vAlign w:val="bottom"/>
            <w:hideMark/>
          </w:tcPr>
          <w:p w14:paraId="5451963B" w14:textId="77777777" w:rsidR="00A72067" w:rsidRPr="00BF5E3C" w:rsidRDefault="00A72067" w:rsidP="00A72067">
            <w:pPr>
              <w:spacing w:after="0" w:line="240" w:lineRule="auto"/>
              <w:jc w:val="right"/>
              <w:rPr>
                <w:rFonts w:ascii="Tahoma" w:eastAsia="Times New Roman" w:hAnsi="Tahoma" w:cs="Tahoma"/>
                <w:sz w:val="16"/>
                <w:szCs w:val="16"/>
                <w:lang w:eastAsia="hr-HR"/>
              </w:rPr>
            </w:pPr>
            <w:r w:rsidRPr="00BF5E3C">
              <w:rPr>
                <w:rFonts w:ascii="Tahoma" w:eastAsia="Times New Roman" w:hAnsi="Tahoma" w:cs="Tahoma"/>
                <w:sz w:val="16"/>
                <w:szCs w:val="16"/>
                <w:lang w:eastAsia="hr-HR"/>
              </w:rPr>
              <w:t>0</w:t>
            </w:r>
          </w:p>
        </w:tc>
        <w:tc>
          <w:tcPr>
            <w:tcW w:w="439" w:type="dxa"/>
            <w:tcBorders>
              <w:top w:val="nil"/>
              <w:left w:val="nil"/>
              <w:bottom w:val="single" w:sz="4" w:space="0" w:color="auto"/>
              <w:right w:val="single" w:sz="4" w:space="0" w:color="auto"/>
            </w:tcBorders>
            <w:shd w:val="clear" w:color="000000" w:fill="FF9900"/>
            <w:noWrap/>
            <w:vAlign w:val="bottom"/>
            <w:hideMark/>
          </w:tcPr>
          <w:p w14:paraId="58FD2B9A" w14:textId="77777777" w:rsidR="00A72067" w:rsidRPr="00BF5E3C" w:rsidRDefault="00A72067" w:rsidP="00A72067">
            <w:pPr>
              <w:spacing w:after="0" w:line="240" w:lineRule="auto"/>
              <w:jc w:val="right"/>
              <w:rPr>
                <w:rFonts w:ascii="Tahoma" w:eastAsia="Times New Roman" w:hAnsi="Tahoma" w:cs="Tahoma"/>
                <w:sz w:val="16"/>
                <w:szCs w:val="16"/>
                <w:lang w:eastAsia="hr-HR"/>
              </w:rPr>
            </w:pPr>
            <w:r w:rsidRPr="00BF5E3C">
              <w:rPr>
                <w:rFonts w:ascii="Tahoma" w:eastAsia="Times New Roman" w:hAnsi="Tahoma" w:cs="Tahoma"/>
                <w:sz w:val="16"/>
                <w:szCs w:val="16"/>
                <w:lang w:eastAsia="hr-HR"/>
              </w:rPr>
              <w:t>0</w:t>
            </w:r>
          </w:p>
        </w:tc>
        <w:tc>
          <w:tcPr>
            <w:tcW w:w="439" w:type="dxa"/>
            <w:tcBorders>
              <w:top w:val="nil"/>
              <w:left w:val="nil"/>
              <w:bottom w:val="single" w:sz="4" w:space="0" w:color="auto"/>
              <w:right w:val="single" w:sz="4" w:space="0" w:color="auto"/>
            </w:tcBorders>
            <w:shd w:val="clear" w:color="000000" w:fill="FF9900"/>
            <w:noWrap/>
            <w:vAlign w:val="bottom"/>
            <w:hideMark/>
          </w:tcPr>
          <w:p w14:paraId="037E8871" w14:textId="77777777" w:rsidR="00A72067" w:rsidRPr="00BF5E3C" w:rsidRDefault="00A72067" w:rsidP="00A72067">
            <w:pPr>
              <w:spacing w:after="0" w:line="240" w:lineRule="auto"/>
              <w:jc w:val="right"/>
              <w:rPr>
                <w:rFonts w:ascii="Tahoma" w:eastAsia="Times New Roman" w:hAnsi="Tahoma" w:cs="Tahoma"/>
                <w:sz w:val="16"/>
                <w:szCs w:val="16"/>
                <w:lang w:eastAsia="hr-HR"/>
              </w:rPr>
            </w:pPr>
            <w:r w:rsidRPr="00BF5E3C">
              <w:rPr>
                <w:rFonts w:ascii="Tahoma" w:eastAsia="Times New Roman" w:hAnsi="Tahoma" w:cs="Tahoma"/>
                <w:sz w:val="16"/>
                <w:szCs w:val="16"/>
                <w:lang w:eastAsia="hr-HR"/>
              </w:rPr>
              <w:t>2</w:t>
            </w:r>
          </w:p>
        </w:tc>
        <w:tc>
          <w:tcPr>
            <w:tcW w:w="665" w:type="dxa"/>
            <w:tcBorders>
              <w:top w:val="nil"/>
              <w:left w:val="nil"/>
              <w:bottom w:val="single" w:sz="4" w:space="0" w:color="auto"/>
              <w:right w:val="single" w:sz="4" w:space="0" w:color="auto"/>
            </w:tcBorders>
            <w:shd w:val="clear" w:color="000000" w:fill="FFFF00"/>
            <w:vAlign w:val="center"/>
            <w:hideMark/>
          </w:tcPr>
          <w:p w14:paraId="28451432" w14:textId="77777777" w:rsidR="00A72067" w:rsidRPr="00BF5E3C" w:rsidRDefault="00A72067" w:rsidP="00A72067">
            <w:pPr>
              <w:spacing w:after="0" w:line="240" w:lineRule="auto"/>
              <w:jc w:val="center"/>
              <w:rPr>
                <w:rFonts w:ascii="Tahoma" w:eastAsia="Times New Roman" w:hAnsi="Tahoma" w:cs="Tahoma"/>
                <w:sz w:val="16"/>
                <w:szCs w:val="16"/>
                <w:lang w:eastAsia="hr-HR"/>
              </w:rPr>
            </w:pPr>
            <w:r w:rsidRPr="00BF5E3C">
              <w:rPr>
                <w:rFonts w:ascii="Tahoma" w:eastAsia="Times New Roman" w:hAnsi="Tahoma" w:cs="Tahoma"/>
                <w:sz w:val="16"/>
                <w:szCs w:val="16"/>
                <w:lang w:eastAsia="hr-HR"/>
              </w:rPr>
              <w:t>2</w:t>
            </w:r>
          </w:p>
        </w:tc>
        <w:tc>
          <w:tcPr>
            <w:tcW w:w="698" w:type="dxa"/>
            <w:tcBorders>
              <w:top w:val="nil"/>
              <w:left w:val="nil"/>
              <w:bottom w:val="single" w:sz="4" w:space="0" w:color="auto"/>
              <w:right w:val="single" w:sz="4" w:space="0" w:color="auto"/>
            </w:tcBorders>
            <w:shd w:val="clear" w:color="000000" w:fill="FF9900"/>
            <w:vAlign w:val="center"/>
            <w:hideMark/>
          </w:tcPr>
          <w:p w14:paraId="7D247E07" w14:textId="77777777" w:rsidR="00A72067" w:rsidRPr="00BF5E3C" w:rsidRDefault="00A72067" w:rsidP="00A72067">
            <w:pPr>
              <w:spacing w:after="0" w:line="240" w:lineRule="auto"/>
              <w:jc w:val="center"/>
              <w:rPr>
                <w:rFonts w:ascii="Tahoma" w:eastAsia="Times New Roman" w:hAnsi="Tahoma" w:cs="Tahoma"/>
                <w:sz w:val="16"/>
                <w:szCs w:val="16"/>
                <w:lang w:eastAsia="hr-HR"/>
              </w:rPr>
            </w:pPr>
            <w:r w:rsidRPr="00BF5E3C">
              <w:rPr>
                <w:rFonts w:ascii="Tahoma" w:eastAsia="Times New Roman" w:hAnsi="Tahoma" w:cs="Tahoma"/>
                <w:sz w:val="16"/>
                <w:szCs w:val="16"/>
                <w:lang w:eastAsia="hr-HR"/>
              </w:rPr>
              <w:t>8</w:t>
            </w:r>
          </w:p>
        </w:tc>
        <w:tc>
          <w:tcPr>
            <w:tcW w:w="707" w:type="dxa"/>
            <w:tcBorders>
              <w:top w:val="nil"/>
              <w:left w:val="nil"/>
              <w:bottom w:val="single" w:sz="4" w:space="0" w:color="auto"/>
              <w:right w:val="single" w:sz="4" w:space="0" w:color="auto"/>
            </w:tcBorders>
            <w:shd w:val="clear" w:color="000000" w:fill="FF9900"/>
            <w:noWrap/>
            <w:vAlign w:val="center"/>
            <w:hideMark/>
          </w:tcPr>
          <w:p w14:paraId="7C03D7C3" w14:textId="77777777" w:rsidR="00A72067" w:rsidRPr="00BF5E3C" w:rsidRDefault="00A72067" w:rsidP="00A72067">
            <w:pPr>
              <w:spacing w:after="0" w:line="240" w:lineRule="auto"/>
              <w:jc w:val="center"/>
              <w:rPr>
                <w:rFonts w:ascii="Tahoma" w:eastAsia="Times New Roman" w:hAnsi="Tahoma" w:cs="Tahoma"/>
                <w:sz w:val="16"/>
                <w:szCs w:val="16"/>
                <w:lang w:eastAsia="hr-HR"/>
              </w:rPr>
            </w:pPr>
            <w:r w:rsidRPr="00BF5E3C">
              <w:rPr>
                <w:rFonts w:ascii="Tahoma" w:eastAsia="Times New Roman" w:hAnsi="Tahoma" w:cs="Tahoma"/>
                <w:sz w:val="16"/>
                <w:szCs w:val="16"/>
                <w:lang w:eastAsia="hr-HR"/>
              </w:rPr>
              <w:t>1</w:t>
            </w:r>
          </w:p>
        </w:tc>
        <w:tc>
          <w:tcPr>
            <w:tcW w:w="707" w:type="dxa"/>
            <w:tcBorders>
              <w:top w:val="nil"/>
              <w:left w:val="nil"/>
              <w:bottom w:val="single" w:sz="4" w:space="0" w:color="auto"/>
              <w:right w:val="single" w:sz="4" w:space="0" w:color="auto"/>
            </w:tcBorders>
            <w:shd w:val="clear" w:color="000000" w:fill="FF9900"/>
            <w:noWrap/>
            <w:vAlign w:val="center"/>
            <w:hideMark/>
          </w:tcPr>
          <w:p w14:paraId="3A79528B" w14:textId="77777777" w:rsidR="00A72067" w:rsidRPr="00BF5E3C" w:rsidRDefault="00A72067" w:rsidP="00A72067">
            <w:pPr>
              <w:spacing w:after="0" w:line="240" w:lineRule="auto"/>
              <w:jc w:val="center"/>
              <w:rPr>
                <w:rFonts w:ascii="Tahoma" w:eastAsia="Times New Roman" w:hAnsi="Tahoma" w:cs="Tahoma"/>
                <w:sz w:val="16"/>
                <w:szCs w:val="16"/>
                <w:lang w:eastAsia="hr-HR"/>
              </w:rPr>
            </w:pPr>
            <w:r w:rsidRPr="00BF5E3C">
              <w:rPr>
                <w:rFonts w:ascii="Tahoma" w:eastAsia="Times New Roman" w:hAnsi="Tahoma" w:cs="Tahoma"/>
                <w:sz w:val="16"/>
                <w:szCs w:val="16"/>
                <w:lang w:eastAsia="hr-HR"/>
              </w:rPr>
              <w:t>0</w:t>
            </w:r>
          </w:p>
        </w:tc>
        <w:tc>
          <w:tcPr>
            <w:tcW w:w="698" w:type="dxa"/>
            <w:tcBorders>
              <w:top w:val="nil"/>
              <w:left w:val="nil"/>
              <w:bottom w:val="single" w:sz="4" w:space="0" w:color="auto"/>
              <w:right w:val="single" w:sz="4" w:space="0" w:color="auto"/>
            </w:tcBorders>
            <w:shd w:val="clear" w:color="000000" w:fill="FF9900"/>
            <w:noWrap/>
            <w:vAlign w:val="center"/>
            <w:hideMark/>
          </w:tcPr>
          <w:p w14:paraId="5B607E54" w14:textId="77777777" w:rsidR="00A72067" w:rsidRPr="00BF5E3C" w:rsidRDefault="00A72067" w:rsidP="00A72067">
            <w:pPr>
              <w:spacing w:after="0" w:line="240" w:lineRule="auto"/>
              <w:jc w:val="center"/>
              <w:rPr>
                <w:rFonts w:ascii="Tahoma" w:eastAsia="Times New Roman" w:hAnsi="Tahoma" w:cs="Tahoma"/>
                <w:sz w:val="16"/>
                <w:szCs w:val="16"/>
                <w:lang w:eastAsia="hr-HR"/>
              </w:rPr>
            </w:pPr>
            <w:r w:rsidRPr="00BF5E3C">
              <w:rPr>
                <w:rFonts w:ascii="Tahoma" w:eastAsia="Times New Roman" w:hAnsi="Tahoma" w:cs="Tahoma"/>
                <w:sz w:val="16"/>
                <w:szCs w:val="16"/>
                <w:lang w:eastAsia="hr-HR"/>
              </w:rPr>
              <w:t>0</w:t>
            </w:r>
          </w:p>
        </w:tc>
        <w:tc>
          <w:tcPr>
            <w:tcW w:w="377" w:type="dxa"/>
            <w:tcBorders>
              <w:top w:val="nil"/>
              <w:left w:val="nil"/>
              <w:bottom w:val="single" w:sz="4" w:space="0" w:color="auto"/>
              <w:right w:val="single" w:sz="4" w:space="0" w:color="auto"/>
            </w:tcBorders>
            <w:shd w:val="clear" w:color="000000" w:fill="CCFFFF"/>
            <w:noWrap/>
            <w:vAlign w:val="bottom"/>
            <w:hideMark/>
          </w:tcPr>
          <w:p w14:paraId="1FDB4292" w14:textId="77777777" w:rsidR="00A72067" w:rsidRPr="00BF5E3C" w:rsidRDefault="00A72067" w:rsidP="00A72067">
            <w:pPr>
              <w:spacing w:after="0" w:line="240" w:lineRule="auto"/>
              <w:jc w:val="right"/>
              <w:rPr>
                <w:rFonts w:ascii="Tahoma" w:eastAsia="Times New Roman" w:hAnsi="Tahoma" w:cs="Tahoma"/>
                <w:sz w:val="16"/>
                <w:szCs w:val="16"/>
                <w:lang w:eastAsia="hr-HR"/>
              </w:rPr>
            </w:pPr>
            <w:r w:rsidRPr="00BF5E3C">
              <w:rPr>
                <w:rFonts w:ascii="Tahoma" w:eastAsia="Times New Roman" w:hAnsi="Tahoma" w:cs="Tahoma"/>
                <w:sz w:val="16"/>
                <w:szCs w:val="16"/>
                <w:lang w:eastAsia="hr-HR"/>
              </w:rPr>
              <w:t>0</w:t>
            </w:r>
          </w:p>
        </w:tc>
        <w:tc>
          <w:tcPr>
            <w:tcW w:w="388" w:type="dxa"/>
            <w:tcBorders>
              <w:top w:val="nil"/>
              <w:left w:val="nil"/>
              <w:bottom w:val="single" w:sz="4" w:space="0" w:color="auto"/>
              <w:right w:val="single" w:sz="4" w:space="0" w:color="auto"/>
            </w:tcBorders>
            <w:shd w:val="clear" w:color="000000" w:fill="CCFFFF"/>
            <w:noWrap/>
            <w:vAlign w:val="bottom"/>
            <w:hideMark/>
          </w:tcPr>
          <w:p w14:paraId="39959DA7" w14:textId="77777777" w:rsidR="00A72067" w:rsidRPr="00BF5E3C" w:rsidRDefault="00A72067" w:rsidP="00A72067">
            <w:pPr>
              <w:spacing w:after="0" w:line="240" w:lineRule="auto"/>
              <w:jc w:val="right"/>
              <w:rPr>
                <w:rFonts w:ascii="Tahoma" w:eastAsia="Times New Roman" w:hAnsi="Tahoma" w:cs="Tahoma"/>
                <w:sz w:val="16"/>
                <w:szCs w:val="16"/>
                <w:lang w:eastAsia="hr-HR"/>
              </w:rPr>
            </w:pPr>
            <w:r w:rsidRPr="00BF5E3C">
              <w:rPr>
                <w:rFonts w:ascii="Tahoma" w:eastAsia="Times New Roman" w:hAnsi="Tahoma" w:cs="Tahoma"/>
                <w:sz w:val="16"/>
                <w:szCs w:val="16"/>
                <w:lang w:eastAsia="hr-HR"/>
              </w:rPr>
              <w:t>1</w:t>
            </w:r>
          </w:p>
        </w:tc>
        <w:tc>
          <w:tcPr>
            <w:tcW w:w="399" w:type="dxa"/>
            <w:tcBorders>
              <w:top w:val="nil"/>
              <w:left w:val="nil"/>
              <w:bottom w:val="single" w:sz="4" w:space="0" w:color="auto"/>
              <w:right w:val="single" w:sz="4" w:space="0" w:color="auto"/>
            </w:tcBorders>
            <w:shd w:val="clear" w:color="000000" w:fill="CCFFFF"/>
            <w:noWrap/>
            <w:vAlign w:val="bottom"/>
            <w:hideMark/>
          </w:tcPr>
          <w:p w14:paraId="3BCDD580" w14:textId="77777777" w:rsidR="00A72067" w:rsidRPr="00BF5E3C" w:rsidRDefault="00A72067" w:rsidP="00A72067">
            <w:pPr>
              <w:spacing w:after="0" w:line="240" w:lineRule="auto"/>
              <w:jc w:val="right"/>
              <w:rPr>
                <w:rFonts w:ascii="Tahoma" w:eastAsia="Times New Roman" w:hAnsi="Tahoma" w:cs="Tahoma"/>
                <w:sz w:val="16"/>
                <w:szCs w:val="16"/>
                <w:lang w:eastAsia="hr-HR"/>
              </w:rPr>
            </w:pPr>
            <w:r w:rsidRPr="00BF5E3C">
              <w:rPr>
                <w:rFonts w:ascii="Tahoma" w:eastAsia="Times New Roman" w:hAnsi="Tahoma" w:cs="Tahoma"/>
                <w:sz w:val="16"/>
                <w:szCs w:val="16"/>
                <w:lang w:eastAsia="hr-HR"/>
              </w:rPr>
              <w:t>0</w:t>
            </w:r>
          </w:p>
        </w:tc>
        <w:tc>
          <w:tcPr>
            <w:tcW w:w="489" w:type="dxa"/>
            <w:gridSpan w:val="2"/>
            <w:tcBorders>
              <w:top w:val="nil"/>
              <w:left w:val="nil"/>
              <w:bottom w:val="single" w:sz="4" w:space="0" w:color="auto"/>
              <w:right w:val="nil"/>
            </w:tcBorders>
            <w:shd w:val="clear" w:color="000000" w:fill="33CCCC"/>
            <w:noWrap/>
            <w:vAlign w:val="bottom"/>
            <w:hideMark/>
          </w:tcPr>
          <w:p w14:paraId="6284746D" w14:textId="77777777" w:rsidR="00A72067" w:rsidRPr="00BF5E3C" w:rsidRDefault="00A72067" w:rsidP="00A72067">
            <w:pPr>
              <w:spacing w:after="0" w:line="240" w:lineRule="auto"/>
              <w:jc w:val="right"/>
              <w:rPr>
                <w:rFonts w:ascii="Tahoma" w:eastAsia="Times New Roman" w:hAnsi="Tahoma" w:cs="Tahoma"/>
                <w:sz w:val="16"/>
                <w:szCs w:val="16"/>
                <w:lang w:eastAsia="hr-HR"/>
              </w:rPr>
            </w:pPr>
            <w:r w:rsidRPr="00BF5E3C">
              <w:rPr>
                <w:rFonts w:ascii="Tahoma" w:eastAsia="Times New Roman" w:hAnsi="Tahoma" w:cs="Tahoma"/>
                <w:sz w:val="16"/>
                <w:szCs w:val="16"/>
                <w:lang w:eastAsia="hr-HR"/>
              </w:rPr>
              <w:t>1</w:t>
            </w:r>
          </w:p>
        </w:tc>
        <w:tc>
          <w:tcPr>
            <w:tcW w:w="425" w:type="dxa"/>
            <w:tcBorders>
              <w:top w:val="nil"/>
              <w:left w:val="single" w:sz="4" w:space="0" w:color="auto"/>
              <w:bottom w:val="single" w:sz="4" w:space="0" w:color="auto"/>
              <w:right w:val="single" w:sz="8" w:space="0" w:color="auto"/>
            </w:tcBorders>
            <w:shd w:val="clear" w:color="000000" w:fill="33CCCC"/>
            <w:noWrap/>
            <w:vAlign w:val="bottom"/>
            <w:hideMark/>
          </w:tcPr>
          <w:p w14:paraId="0E736D24" w14:textId="77777777" w:rsidR="00A72067" w:rsidRPr="00BF5E3C" w:rsidRDefault="00A72067" w:rsidP="00A72067">
            <w:pPr>
              <w:spacing w:after="0" w:line="240" w:lineRule="auto"/>
              <w:jc w:val="right"/>
              <w:rPr>
                <w:rFonts w:ascii="Tahoma" w:eastAsia="Times New Roman" w:hAnsi="Tahoma" w:cs="Tahoma"/>
                <w:sz w:val="16"/>
                <w:szCs w:val="16"/>
                <w:lang w:eastAsia="hr-HR"/>
              </w:rPr>
            </w:pPr>
            <w:r w:rsidRPr="00BF5E3C">
              <w:rPr>
                <w:rFonts w:ascii="Tahoma" w:eastAsia="Times New Roman" w:hAnsi="Tahoma" w:cs="Tahoma"/>
                <w:sz w:val="16"/>
                <w:szCs w:val="16"/>
                <w:lang w:eastAsia="hr-HR"/>
              </w:rPr>
              <w:t>1</w:t>
            </w:r>
          </w:p>
        </w:tc>
        <w:tc>
          <w:tcPr>
            <w:tcW w:w="236" w:type="dxa"/>
            <w:vAlign w:val="center"/>
            <w:hideMark/>
          </w:tcPr>
          <w:p w14:paraId="7D2EB4FF" w14:textId="77777777" w:rsidR="00A72067" w:rsidRPr="00BF5E3C" w:rsidRDefault="00A72067" w:rsidP="00A72067">
            <w:pPr>
              <w:spacing w:after="0" w:line="240" w:lineRule="auto"/>
              <w:rPr>
                <w:rFonts w:ascii="Times New Roman" w:eastAsia="Times New Roman" w:hAnsi="Times New Roman" w:cs="Times New Roman"/>
                <w:sz w:val="16"/>
                <w:szCs w:val="16"/>
                <w:lang w:eastAsia="hr-HR"/>
              </w:rPr>
            </w:pPr>
          </w:p>
        </w:tc>
      </w:tr>
      <w:tr w:rsidR="00F90F6F" w:rsidRPr="00BF5E3C" w14:paraId="0D377548" w14:textId="77777777" w:rsidTr="00F90F6F">
        <w:trPr>
          <w:gridAfter w:val="1"/>
          <w:wAfter w:w="32" w:type="dxa"/>
          <w:trHeight w:val="402"/>
        </w:trPr>
        <w:tc>
          <w:tcPr>
            <w:tcW w:w="979" w:type="dxa"/>
            <w:tcBorders>
              <w:top w:val="nil"/>
              <w:left w:val="single" w:sz="8" w:space="0" w:color="auto"/>
              <w:bottom w:val="single" w:sz="4" w:space="0" w:color="auto"/>
              <w:right w:val="single" w:sz="4" w:space="0" w:color="auto"/>
            </w:tcBorders>
            <w:shd w:val="clear" w:color="000000" w:fill="CCFFCC"/>
            <w:vAlign w:val="center"/>
            <w:hideMark/>
          </w:tcPr>
          <w:p w14:paraId="282CD257" w14:textId="77777777" w:rsidR="00A72067" w:rsidRPr="00BF5E3C" w:rsidRDefault="00A72067" w:rsidP="00A72067">
            <w:pPr>
              <w:spacing w:after="0" w:line="240" w:lineRule="auto"/>
              <w:rPr>
                <w:rFonts w:ascii="Tahoma" w:eastAsia="Times New Roman" w:hAnsi="Tahoma" w:cs="Tahoma"/>
                <w:sz w:val="16"/>
                <w:szCs w:val="16"/>
                <w:lang w:eastAsia="hr-HR"/>
              </w:rPr>
            </w:pPr>
            <w:r w:rsidRPr="00BF5E3C">
              <w:rPr>
                <w:rFonts w:ascii="Tahoma" w:eastAsia="Times New Roman" w:hAnsi="Tahoma" w:cs="Tahoma"/>
                <w:sz w:val="16"/>
                <w:szCs w:val="16"/>
                <w:lang w:eastAsia="hr-HR"/>
              </w:rPr>
              <w:t>Invaliditet</w:t>
            </w:r>
          </w:p>
        </w:tc>
        <w:tc>
          <w:tcPr>
            <w:tcW w:w="520" w:type="dxa"/>
            <w:tcBorders>
              <w:top w:val="nil"/>
              <w:left w:val="nil"/>
              <w:bottom w:val="single" w:sz="4" w:space="0" w:color="auto"/>
              <w:right w:val="single" w:sz="4" w:space="0" w:color="auto"/>
            </w:tcBorders>
            <w:shd w:val="clear" w:color="000000" w:fill="FFCC99"/>
            <w:noWrap/>
            <w:vAlign w:val="bottom"/>
            <w:hideMark/>
          </w:tcPr>
          <w:p w14:paraId="5A8E0CB3" w14:textId="77777777" w:rsidR="00A72067" w:rsidRPr="00BF5E3C" w:rsidRDefault="00A72067" w:rsidP="00A72067">
            <w:pPr>
              <w:spacing w:after="0" w:line="240" w:lineRule="auto"/>
              <w:jc w:val="center"/>
              <w:rPr>
                <w:rFonts w:ascii="Tahoma" w:eastAsia="Times New Roman" w:hAnsi="Tahoma" w:cs="Tahoma"/>
                <w:sz w:val="16"/>
                <w:szCs w:val="16"/>
                <w:lang w:eastAsia="hr-HR"/>
              </w:rPr>
            </w:pPr>
            <w:r w:rsidRPr="00BF5E3C">
              <w:rPr>
                <w:rFonts w:ascii="Tahoma" w:eastAsia="Times New Roman" w:hAnsi="Tahoma" w:cs="Tahoma"/>
                <w:sz w:val="16"/>
                <w:szCs w:val="16"/>
                <w:lang w:eastAsia="hr-HR"/>
              </w:rPr>
              <w:t>4</w:t>
            </w:r>
          </w:p>
        </w:tc>
        <w:tc>
          <w:tcPr>
            <w:tcW w:w="420" w:type="dxa"/>
            <w:tcBorders>
              <w:top w:val="nil"/>
              <w:left w:val="nil"/>
              <w:bottom w:val="single" w:sz="4" w:space="0" w:color="auto"/>
              <w:right w:val="single" w:sz="4" w:space="0" w:color="auto"/>
            </w:tcBorders>
            <w:shd w:val="clear" w:color="000000" w:fill="FFFF00"/>
            <w:noWrap/>
            <w:vAlign w:val="bottom"/>
            <w:hideMark/>
          </w:tcPr>
          <w:p w14:paraId="168A189B" w14:textId="77777777" w:rsidR="00A72067" w:rsidRPr="00BF5E3C" w:rsidRDefault="00A72067" w:rsidP="00A72067">
            <w:pPr>
              <w:spacing w:after="0" w:line="240" w:lineRule="auto"/>
              <w:jc w:val="center"/>
              <w:rPr>
                <w:rFonts w:ascii="Tahoma" w:eastAsia="Times New Roman" w:hAnsi="Tahoma" w:cs="Tahoma"/>
                <w:sz w:val="16"/>
                <w:szCs w:val="16"/>
                <w:lang w:eastAsia="hr-HR"/>
              </w:rPr>
            </w:pPr>
            <w:r w:rsidRPr="00BF5E3C">
              <w:rPr>
                <w:rFonts w:ascii="Tahoma" w:eastAsia="Times New Roman" w:hAnsi="Tahoma" w:cs="Tahoma"/>
                <w:sz w:val="16"/>
                <w:szCs w:val="16"/>
                <w:lang w:eastAsia="hr-HR"/>
              </w:rPr>
              <w:t>1</w:t>
            </w:r>
          </w:p>
        </w:tc>
        <w:tc>
          <w:tcPr>
            <w:tcW w:w="665" w:type="dxa"/>
            <w:tcBorders>
              <w:top w:val="nil"/>
              <w:left w:val="nil"/>
              <w:bottom w:val="single" w:sz="4" w:space="0" w:color="auto"/>
              <w:right w:val="single" w:sz="4" w:space="0" w:color="auto"/>
            </w:tcBorders>
            <w:shd w:val="clear" w:color="000000" w:fill="CCFFFF"/>
            <w:noWrap/>
            <w:vAlign w:val="bottom"/>
            <w:hideMark/>
          </w:tcPr>
          <w:p w14:paraId="4ADEA329" w14:textId="77777777" w:rsidR="00A72067" w:rsidRPr="00BF5E3C" w:rsidRDefault="00A72067" w:rsidP="00A72067">
            <w:pPr>
              <w:spacing w:after="0" w:line="240" w:lineRule="auto"/>
              <w:jc w:val="right"/>
              <w:rPr>
                <w:rFonts w:ascii="Tahoma" w:eastAsia="Times New Roman" w:hAnsi="Tahoma" w:cs="Tahoma"/>
                <w:sz w:val="16"/>
                <w:szCs w:val="16"/>
                <w:lang w:eastAsia="hr-HR"/>
              </w:rPr>
            </w:pPr>
            <w:r w:rsidRPr="00BF5E3C">
              <w:rPr>
                <w:rFonts w:ascii="Tahoma" w:eastAsia="Times New Roman" w:hAnsi="Tahoma" w:cs="Tahoma"/>
                <w:sz w:val="16"/>
                <w:szCs w:val="16"/>
                <w:lang w:eastAsia="hr-HR"/>
              </w:rPr>
              <w:t>0</w:t>
            </w:r>
          </w:p>
        </w:tc>
        <w:tc>
          <w:tcPr>
            <w:tcW w:w="571" w:type="dxa"/>
            <w:tcBorders>
              <w:top w:val="nil"/>
              <w:left w:val="nil"/>
              <w:bottom w:val="single" w:sz="4" w:space="0" w:color="auto"/>
              <w:right w:val="single" w:sz="4" w:space="0" w:color="auto"/>
            </w:tcBorders>
            <w:shd w:val="clear" w:color="000000" w:fill="CCFFFF"/>
            <w:noWrap/>
            <w:vAlign w:val="bottom"/>
            <w:hideMark/>
          </w:tcPr>
          <w:p w14:paraId="5A264637" w14:textId="77777777" w:rsidR="00A72067" w:rsidRPr="00BF5E3C" w:rsidRDefault="00A72067" w:rsidP="00A72067">
            <w:pPr>
              <w:spacing w:after="0" w:line="240" w:lineRule="auto"/>
              <w:jc w:val="right"/>
              <w:rPr>
                <w:rFonts w:ascii="Tahoma" w:eastAsia="Times New Roman" w:hAnsi="Tahoma" w:cs="Tahoma"/>
                <w:sz w:val="16"/>
                <w:szCs w:val="16"/>
                <w:lang w:eastAsia="hr-HR"/>
              </w:rPr>
            </w:pPr>
            <w:r w:rsidRPr="00BF5E3C">
              <w:rPr>
                <w:rFonts w:ascii="Tahoma" w:eastAsia="Times New Roman" w:hAnsi="Tahoma" w:cs="Tahoma"/>
                <w:sz w:val="16"/>
                <w:szCs w:val="16"/>
                <w:lang w:eastAsia="hr-HR"/>
              </w:rPr>
              <w:t>1</w:t>
            </w:r>
          </w:p>
        </w:tc>
        <w:tc>
          <w:tcPr>
            <w:tcW w:w="700" w:type="dxa"/>
            <w:tcBorders>
              <w:top w:val="nil"/>
              <w:left w:val="nil"/>
              <w:bottom w:val="single" w:sz="4" w:space="0" w:color="auto"/>
              <w:right w:val="single" w:sz="4" w:space="0" w:color="auto"/>
            </w:tcBorders>
            <w:shd w:val="clear" w:color="000000" w:fill="FFFF99"/>
            <w:noWrap/>
            <w:vAlign w:val="bottom"/>
            <w:hideMark/>
          </w:tcPr>
          <w:p w14:paraId="0960A285" w14:textId="77777777" w:rsidR="00A72067" w:rsidRPr="00BF5E3C" w:rsidRDefault="00A72067" w:rsidP="00A72067">
            <w:pPr>
              <w:spacing w:after="0" w:line="240" w:lineRule="auto"/>
              <w:jc w:val="center"/>
              <w:rPr>
                <w:rFonts w:ascii="Tahoma" w:eastAsia="Times New Roman" w:hAnsi="Tahoma" w:cs="Tahoma"/>
                <w:sz w:val="16"/>
                <w:szCs w:val="16"/>
                <w:lang w:eastAsia="hr-HR"/>
              </w:rPr>
            </w:pPr>
            <w:r w:rsidRPr="00BF5E3C">
              <w:rPr>
                <w:rFonts w:ascii="Tahoma" w:eastAsia="Times New Roman" w:hAnsi="Tahoma" w:cs="Tahoma"/>
                <w:sz w:val="16"/>
                <w:szCs w:val="16"/>
                <w:lang w:eastAsia="hr-HR"/>
              </w:rPr>
              <w:t>1</w:t>
            </w:r>
          </w:p>
        </w:tc>
        <w:tc>
          <w:tcPr>
            <w:tcW w:w="698" w:type="dxa"/>
            <w:tcBorders>
              <w:top w:val="nil"/>
              <w:left w:val="nil"/>
              <w:bottom w:val="single" w:sz="4" w:space="0" w:color="auto"/>
              <w:right w:val="single" w:sz="4" w:space="0" w:color="auto"/>
            </w:tcBorders>
            <w:shd w:val="clear" w:color="000000" w:fill="FFFF99"/>
            <w:noWrap/>
            <w:vAlign w:val="bottom"/>
            <w:hideMark/>
          </w:tcPr>
          <w:p w14:paraId="5B47896E" w14:textId="77777777" w:rsidR="00A72067" w:rsidRPr="00BF5E3C" w:rsidRDefault="00A72067" w:rsidP="00A72067">
            <w:pPr>
              <w:spacing w:after="0" w:line="240" w:lineRule="auto"/>
              <w:jc w:val="center"/>
              <w:rPr>
                <w:rFonts w:ascii="Tahoma" w:eastAsia="Times New Roman" w:hAnsi="Tahoma" w:cs="Tahoma"/>
                <w:sz w:val="16"/>
                <w:szCs w:val="16"/>
                <w:lang w:eastAsia="hr-HR"/>
              </w:rPr>
            </w:pPr>
            <w:r w:rsidRPr="00BF5E3C">
              <w:rPr>
                <w:rFonts w:ascii="Tahoma" w:eastAsia="Times New Roman" w:hAnsi="Tahoma" w:cs="Tahoma"/>
                <w:sz w:val="16"/>
                <w:szCs w:val="16"/>
                <w:lang w:eastAsia="hr-HR"/>
              </w:rPr>
              <w:t>1</w:t>
            </w:r>
          </w:p>
        </w:tc>
        <w:tc>
          <w:tcPr>
            <w:tcW w:w="698" w:type="dxa"/>
            <w:tcBorders>
              <w:top w:val="nil"/>
              <w:left w:val="nil"/>
              <w:bottom w:val="single" w:sz="4" w:space="0" w:color="auto"/>
              <w:right w:val="single" w:sz="4" w:space="0" w:color="auto"/>
            </w:tcBorders>
            <w:shd w:val="clear" w:color="000000" w:fill="FFFF99"/>
            <w:noWrap/>
            <w:vAlign w:val="bottom"/>
            <w:hideMark/>
          </w:tcPr>
          <w:p w14:paraId="627014E1" w14:textId="77777777" w:rsidR="00A72067" w:rsidRPr="00BF5E3C" w:rsidRDefault="00A72067" w:rsidP="00A72067">
            <w:pPr>
              <w:spacing w:after="0" w:line="240" w:lineRule="auto"/>
              <w:jc w:val="center"/>
              <w:rPr>
                <w:rFonts w:ascii="Tahoma" w:eastAsia="Times New Roman" w:hAnsi="Tahoma" w:cs="Tahoma"/>
                <w:sz w:val="16"/>
                <w:szCs w:val="16"/>
                <w:lang w:eastAsia="hr-HR"/>
              </w:rPr>
            </w:pPr>
            <w:r w:rsidRPr="00BF5E3C">
              <w:rPr>
                <w:rFonts w:ascii="Tahoma" w:eastAsia="Times New Roman" w:hAnsi="Tahoma" w:cs="Tahoma"/>
                <w:sz w:val="16"/>
                <w:szCs w:val="16"/>
                <w:lang w:eastAsia="hr-HR"/>
              </w:rPr>
              <w:t>1</w:t>
            </w:r>
          </w:p>
        </w:tc>
        <w:tc>
          <w:tcPr>
            <w:tcW w:w="698" w:type="dxa"/>
            <w:tcBorders>
              <w:top w:val="nil"/>
              <w:left w:val="nil"/>
              <w:bottom w:val="single" w:sz="4" w:space="0" w:color="auto"/>
              <w:right w:val="single" w:sz="4" w:space="0" w:color="auto"/>
            </w:tcBorders>
            <w:shd w:val="clear" w:color="000000" w:fill="FFFF99"/>
            <w:noWrap/>
            <w:vAlign w:val="bottom"/>
            <w:hideMark/>
          </w:tcPr>
          <w:p w14:paraId="00DDE65E" w14:textId="77777777" w:rsidR="00A72067" w:rsidRPr="00BF5E3C" w:rsidRDefault="00A72067" w:rsidP="00A72067">
            <w:pPr>
              <w:spacing w:after="0" w:line="240" w:lineRule="auto"/>
              <w:jc w:val="center"/>
              <w:rPr>
                <w:rFonts w:ascii="Tahoma" w:eastAsia="Times New Roman" w:hAnsi="Tahoma" w:cs="Tahoma"/>
                <w:sz w:val="16"/>
                <w:szCs w:val="16"/>
                <w:lang w:eastAsia="hr-HR"/>
              </w:rPr>
            </w:pPr>
            <w:r w:rsidRPr="00BF5E3C">
              <w:rPr>
                <w:rFonts w:ascii="Tahoma" w:eastAsia="Times New Roman" w:hAnsi="Tahoma" w:cs="Tahoma"/>
                <w:sz w:val="16"/>
                <w:szCs w:val="16"/>
                <w:lang w:eastAsia="hr-HR"/>
              </w:rPr>
              <w:t>0</w:t>
            </w:r>
          </w:p>
        </w:tc>
        <w:tc>
          <w:tcPr>
            <w:tcW w:w="527" w:type="dxa"/>
            <w:tcBorders>
              <w:top w:val="nil"/>
              <w:left w:val="nil"/>
              <w:bottom w:val="single" w:sz="4" w:space="0" w:color="auto"/>
              <w:right w:val="single" w:sz="4" w:space="0" w:color="auto"/>
            </w:tcBorders>
            <w:shd w:val="clear" w:color="000000" w:fill="FFFF99"/>
            <w:noWrap/>
            <w:vAlign w:val="bottom"/>
            <w:hideMark/>
          </w:tcPr>
          <w:p w14:paraId="5BDB4378" w14:textId="77777777" w:rsidR="00A72067" w:rsidRPr="00BF5E3C" w:rsidRDefault="00A72067" w:rsidP="00A72067">
            <w:pPr>
              <w:spacing w:after="0" w:line="240" w:lineRule="auto"/>
              <w:jc w:val="center"/>
              <w:rPr>
                <w:rFonts w:ascii="Tahoma" w:eastAsia="Times New Roman" w:hAnsi="Tahoma" w:cs="Tahoma"/>
                <w:sz w:val="16"/>
                <w:szCs w:val="16"/>
                <w:lang w:eastAsia="hr-HR"/>
              </w:rPr>
            </w:pPr>
            <w:r w:rsidRPr="00BF5E3C">
              <w:rPr>
                <w:rFonts w:ascii="Tahoma" w:eastAsia="Times New Roman" w:hAnsi="Tahoma" w:cs="Tahoma"/>
                <w:sz w:val="16"/>
                <w:szCs w:val="16"/>
                <w:lang w:eastAsia="hr-HR"/>
              </w:rPr>
              <w:t>0</w:t>
            </w:r>
          </w:p>
        </w:tc>
        <w:tc>
          <w:tcPr>
            <w:tcW w:w="702" w:type="dxa"/>
            <w:tcBorders>
              <w:top w:val="nil"/>
              <w:left w:val="nil"/>
              <w:bottom w:val="single" w:sz="4" w:space="0" w:color="auto"/>
              <w:right w:val="single" w:sz="4" w:space="0" w:color="auto"/>
            </w:tcBorders>
            <w:shd w:val="clear" w:color="000000" w:fill="FFFF99"/>
            <w:noWrap/>
            <w:vAlign w:val="bottom"/>
            <w:hideMark/>
          </w:tcPr>
          <w:p w14:paraId="05B82997" w14:textId="77777777" w:rsidR="00A72067" w:rsidRPr="00BF5E3C" w:rsidRDefault="00A72067" w:rsidP="00A72067">
            <w:pPr>
              <w:spacing w:after="0" w:line="240" w:lineRule="auto"/>
              <w:jc w:val="center"/>
              <w:rPr>
                <w:rFonts w:ascii="Tahoma" w:eastAsia="Times New Roman" w:hAnsi="Tahoma" w:cs="Tahoma"/>
                <w:sz w:val="16"/>
                <w:szCs w:val="16"/>
                <w:lang w:eastAsia="hr-HR"/>
              </w:rPr>
            </w:pPr>
            <w:r w:rsidRPr="00BF5E3C">
              <w:rPr>
                <w:rFonts w:ascii="Tahoma" w:eastAsia="Times New Roman" w:hAnsi="Tahoma" w:cs="Tahoma"/>
                <w:sz w:val="16"/>
                <w:szCs w:val="16"/>
                <w:lang w:eastAsia="hr-HR"/>
              </w:rPr>
              <w:t>0</w:t>
            </w:r>
          </w:p>
        </w:tc>
        <w:tc>
          <w:tcPr>
            <w:tcW w:w="698" w:type="dxa"/>
            <w:tcBorders>
              <w:top w:val="nil"/>
              <w:left w:val="nil"/>
              <w:bottom w:val="single" w:sz="4" w:space="0" w:color="auto"/>
              <w:right w:val="single" w:sz="4" w:space="0" w:color="auto"/>
            </w:tcBorders>
            <w:shd w:val="clear" w:color="000000" w:fill="FF9900"/>
            <w:noWrap/>
            <w:vAlign w:val="bottom"/>
            <w:hideMark/>
          </w:tcPr>
          <w:p w14:paraId="05204061" w14:textId="77777777" w:rsidR="00A72067" w:rsidRPr="00BF5E3C" w:rsidRDefault="00A72067" w:rsidP="00A72067">
            <w:pPr>
              <w:spacing w:after="0" w:line="240" w:lineRule="auto"/>
              <w:jc w:val="right"/>
              <w:rPr>
                <w:rFonts w:ascii="Tahoma" w:eastAsia="Times New Roman" w:hAnsi="Tahoma" w:cs="Tahoma"/>
                <w:sz w:val="16"/>
                <w:szCs w:val="16"/>
                <w:lang w:eastAsia="hr-HR"/>
              </w:rPr>
            </w:pPr>
            <w:r w:rsidRPr="00BF5E3C">
              <w:rPr>
                <w:rFonts w:ascii="Tahoma" w:eastAsia="Times New Roman" w:hAnsi="Tahoma" w:cs="Tahoma"/>
                <w:sz w:val="16"/>
                <w:szCs w:val="16"/>
                <w:lang w:eastAsia="hr-HR"/>
              </w:rPr>
              <w:t>1</w:t>
            </w:r>
          </w:p>
        </w:tc>
        <w:tc>
          <w:tcPr>
            <w:tcW w:w="439" w:type="dxa"/>
            <w:tcBorders>
              <w:top w:val="nil"/>
              <w:left w:val="nil"/>
              <w:bottom w:val="single" w:sz="4" w:space="0" w:color="auto"/>
              <w:right w:val="single" w:sz="4" w:space="0" w:color="auto"/>
            </w:tcBorders>
            <w:shd w:val="clear" w:color="000000" w:fill="FF9900"/>
            <w:noWrap/>
            <w:vAlign w:val="bottom"/>
            <w:hideMark/>
          </w:tcPr>
          <w:p w14:paraId="41527765" w14:textId="77777777" w:rsidR="00A72067" w:rsidRPr="00BF5E3C" w:rsidRDefault="00A72067" w:rsidP="00A72067">
            <w:pPr>
              <w:spacing w:after="0" w:line="240" w:lineRule="auto"/>
              <w:jc w:val="right"/>
              <w:rPr>
                <w:rFonts w:ascii="Tahoma" w:eastAsia="Times New Roman" w:hAnsi="Tahoma" w:cs="Tahoma"/>
                <w:sz w:val="16"/>
                <w:szCs w:val="16"/>
                <w:lang w:eastAsia="hr-HR"/>
              </w:rPr>
            </w:pPr>
            <w:r w:rsidRPr="00BF5E3C">
              <w:rPr>
                <w:rFonts w:ascii="Tahoma" w:eastAsia="Times New Roman" w:hAnsi="Tahoma" w:cs="Tahoma"/>
                <w:sz w:val="16"/>
                <w:szCs w:val="16"/>
                <w:lang w:eastAsia="hr-HR"/>
              </w:rPr>
              <w:t>1</w:t>
            </w:r>
          </w:p>
        </w:tc>
        <w:tc>
          <w:tcPr>
            <w:tcW w:w="439" w:type="dxa"/>
            <w:tcBorders>
              <w:top w:val="nil"/>
              <w:left w:val="nil"/>
              <w:bottom w:val="single" w:sz="4" w:space="0" w:color="auto"/>
              <w:right w:val="single" w:sz="4" w:space="0" w:color="auto"/>
            </w:tcBorders>
            <w:shd w:val="clear" w:color="000000" w:fill="FF9900"/>
            <w:noWrap/>
            <w:vAlign w:val="bottom"/>
            <w:hideMark/>
          </w:tcPr>
          <w:p w14:paraId="13BB3356" w14:textId="77777777" w:rsidR="00A72067" w:rsidRPr="00BF5E3C" w:rsidRDefault="00A72067" w:rsidP="00A72067">
            <w:pPr>
              <w:spacing w:after="0" w:line="240" w:lineRule="auto"/>
              <w:jc w:val="right"/>
              <w:rPr>
                <w:rFonts w:ascii="Tahoma" w:eastAsia="Times New Roman" w:hAnsi="Tahoma" w:cs="Tahoma"/>
                <w:sz w:val="16"/>
                <w:szCs w:val="16"/>
                <w:lang w:eastAsia="hr-HR"/>
              </w:rPr>
            </w:pPr>
            <w:r w:rsidRPr="00BF5E3C">
              <w:rPr>
                <w:rFonts w:ascii="Tahoma" w:eastAsia="Times New Roman" w:hAnsi="Tahoma" w:cs="Tahoma"/>
                <w:sz w:val="16"/>
                <w:szCs w:val="16"/>
                <w:lang w:eastAsia="hr-HR"/>
              </w:rPr>
              <w:t>0</w:t>
            </w:r>
          </w:p>
        </w:tc>
        <w:tc>
          <w:tcPr>
            <w:tcW w:w="665" w:type="dxa"/>
            <w:tcBorders>
              <w:top w:val="nil"/>
              <w:left w:val="nil"/>
              <w:bottom w:val="single" w:sz="4" w:space="0" w:color="auto"/>
              <w:right w:val="single" w:sz="4" w:space="0" w:color="auto"/>
            </w:tcBorders>
            <w:shd w:val="clear" w:color="000000" w:fill="FFFF00"/>
            <w:vAlign w:val="center"/>
            <w:hideMark/>
          </w:tcPr>
          <w:p w14:paraId="0FAD3553" w14:textId="77777777" w:rsidR="00A72067" w:rsidRPr="00BF5E3C" w:rsidRDefault="00A72067" w:rsidP="00A72067">
            <w:pPr>
              <w:spacing w:after="0" w:line="240" w:lineRule="auto"/>
              <w:jc w:val="center"/>
              <w:rPr>
                <w:rFonts w:ascii="Tahoma" w:eastAsia="Times New Roman" w:hAnsi="Tahoma" w:cs="Tahoma"/>
                <w:sz w:val="16"/>
                <w:szCs w:val="16"/>
                <w:lang w:eastAsia="hr-HR"/>
              </w:rPr>
            </w:pPr>
            <w:r w:rsidRPr="00BF5E3C">
              <w:rPr>
                <w:rFonts w:ascii="Tahoma" w:eastAsia="Times New Roman" w:hAnsi="Tahoma" w:cs="Tahoma"/>
                <w:sz w:val="16"/>
                <w:szCs w:val="16"/>
                <w:lang w:eastAsia="hr-HR"/>
              </w:rPr>
              <w:t>2</w:t>
            </w:r>
          </w:p>
        </w:tc>
        <w:tc>
          <w:tcPr>
            <w:tcW w:w="698" w:type="dxa"/>
            <w:tcBorders>
              <w:top w:val="nil"/>
              <w:left w:val="nil"/>
              <w:bottom w:val="single" w:sz="4" w:space="0" w:color="auto"/>
              <w:right w:val="single" w:sz="4" w:space="0" w:color="auto"/>
            </w:tcBorders>
            <w:shd w:val="clear" w:color="000000" w:fill="FF9900"/>
            <w:vAlign w:val="center"/>
            <w:hideMark/>
          </w:tcPr>
          <w:p w14:paraId="02E364C8" w14:textId="77777777" w:rsidR="00A72067" w:rsidRPr="00BF5E3C" w:rsidRDefault="00A72067" w:rsidP="00A72067">
            <w:pPr>
              <w:spacing w:after="0" w:line="240" w:lineRule="auto"/>
              <w:jc w:val="center"/>
              <w:rPr>
                <w:rFonts w:ascii="Tahoma" w:eastAsia="Times New Roman" w:hAnsi="Tahoma" w:cs="Tahoma"/>
                <w:sz w:val="16"/>
                <w:szCs w:val="16"/>
                <w:lang w:eastAsia="hr-HR"/>
              </w:rPr>
            </w:pPr>
            <w:r w:rsidRPr="00BF5E3C">
              <w:rPr>
                <w:rFonts w:ascii="Tahoma" w:eastAsia="Times New Roman" w:hAnsi="Tahoma" w:cs="Tahoma"/>
                <w:sz w:val="16"/>
                <w:szCs w:val="16"/>
                <w:lang w:eastAsia="hr-HR"/>
              </w:rPr>
              <w:t>3</w:t>
            </w:r>
          </w:p>
        </w:tc>
        <w:tc>
          <w:tcPr>
            <w:tcW w:w="707" w:type="dxa"/>
            <w:tcBorders>
              <w:top w:val="nil"/>
              <w:left w:val="nil"/>
              <w:bottom w:val="single" w:sz="4" w:space="0" w:color="auto"/>
              <w:right w:val="single" w:sz="4" w:space="0" w:color="auto"/>
            </w:tcBorders>
            <w:shd w:val="clear" w:color="000000" w:fill="FF9900"/>
            <w:noWrap/>
            <w:vAlign w:val="center"/>
            <w:hideMark/>
          </w:tcPr>
          <w:p w14:paraId="689E05E6" w14:textId="77777777" w:rsidR="00A72067" w:rsidRPr="00BF5E3C" w:rsidRDefault="00A72067" w:rsidP="00A72067">
            <w:pPr>
              <w:spacing w:after="0" w:line="240" w:lineRule="auto"/>
              <w:jc w:val="center"/>
              <w:rPr>
                <w:rFonts w:ascii="Tahoma" w:eastAsia="Times New Roman" w:hAnsi="Tahoma" w:cs="Tahoma"/>
                <w:sz w:val="16"/>
                <w:szCs w:val="16"/>
                <w:lang w:eastAsia="hr-HR"/>
              </w:rPr>
            </w:pPr>
            <w:r w:rsidRPr="00BF5E3C">
              <w:rPr>
                <w:rFonts w:ascii="Tahoma" w:eastAsia="Times New Roman" w:hAnsi="Tahoma" w:cs="Tahoma"/>
                <w:sz w:val="16"/>
                <w:szCs w:val="16"/>
                <w:lang w:eastAsia="hr-HR"/>
              </w:rPr>
              <w:t>1</w:t>
            </w:r>
          </w:p>
        </w:tc>
        <w:tc>
          <w:tcPr>
            <w:tcW w:w="707" w:type="dxa"/>
            <w:tcBorders>
              <w:top w:val="nil"/>
              <w:left w:val="nil"/>
              <w:bottom w:val="single" w:sz="4" w:space="0" w:color="auto"/>
              <w:right w:val="single" w:sz="4" w:space="0" w:color="auto"/>
            </w:tcBorders>
            <w:shd w:val="clear" w:color="000000" w:fill="FF9900"/>
            <w:noWrap/>
            <w:vAlign w:val="center"/>
            <w:hideMark/>
          </w:tcPr>
          <w:p w14:paraId="11554012" w14:textId="77777777" w:rsidR="00A72067" w:rsidRPr="00BF5E3C" w:rsidRDefault="00A72067" w:rsidP="00A72067">
            <w:pPr>
              <w:spacing w:after="0" w:line="240" w:lineRule="auto"/>
              <w:jc w:val="center"/>
              <w:rPr>
                <w:rFonts w:ascii="Tahoma" w:eastAsia="Times New Roman" w:hAnsi="Tahoma" w:cs="Tahoma"/>
                <w:sz w:val="16"/>
                <w:szCs w:val="16"/>
                <w:lang w:eastAsia="hr-HR"/>
              </w:rPr>
            </w:pPr>
            <w:r w:rsidRPr="00BF5E3C">
              <w:rPr>
                <w:rFonts w:ascii="Tahoma" w:eastAsia="Times New Roman" w:hAnsi="Tahoma" w:cs="Tahoma"/>
                <w:sz w:val="16"/>
                <w:szCs w:val="16"/>
                <w:lang w:eastAsia="hr-HR"/>
              </w:rPr>
              <w:t>0</w:t>
            </w:r>
          </w:p>
        </w:tc>
        <w:tc>
          <w:tcPr>
            <w:tcW w:w="698" w:type="dxa"/>
            <w:tcBorders>
              <w:top w:val="nil"/>
              <w:left w:val="nil"/>
              <w:bottom w:val="single" w:sz="4" w:space="0" w:color="auto"/>
              <w:right w:val="single" w:sz="4" w:space="0" w:color="auto"/>
            </w:tcBorders>
            <w:shd w:val="clear" w:color="000000" w:fill="FF9900"/>
            <w:noWrap/>
            <w:vAlign w:val="center"/>
            <w:hideMark/>
          </w:tcPr>
          <w:p w14:paraId="0E87B228" w14:textId="77777777" w:rsidR="00A72067" w:rsidRPr="00BF5E3C" w:rsidRDefault="00A72067" w:rsidP="00A72067">
            <w:pPr>
              <w:spacing w:after="0" w:line="240" w:lineRule="auto"/>
              <w:jc w:val="center"/>
              <w:rPr>
                <w:rFonts w:ascii="Tahoma" w:eastAsia="Times New Roman" w:hAnsi="Tahoma" w:cs="Tahoma"/>
                <w:sz w:val="16"/>
                <w:szCs w:val="16"/>
                <w:lang w:eastAsia="hr-HR"/>
              </w:rPr>
            </w:pPr>
            <w:r w:rsidRPr="00BF5E3C">
              <w:rPr>
                <w:rFonts w:ascii="Tahoma" w:eastAsia="Times New Roman" w:hAnsi="Tahoma" w:cs="Tahoma"/>
                <w:sz w:val="16"/>
                <w:szCs w:val="16"/>
                <w:lang w:eastAsia="hr-HR"/>
              </w:rPr>
              <w:t>0</w:t>
            </w:r>
          </w:p>
        </w:tc>
        <w:tc>
          <w:tcPr>
            <w:tcW w:w="377" w:type="dxa"/>
            <w:tcBorders>
              <w:top w:val="nil"/>
              <w:left w:val="nil"/>
              <w:bottom w:val="single" w:sz="4" w:space="0" w:color="auto"/>
              <w:right w:val="single" w:sz="4" w:space="0" w:color="auto"/>
            </w:tcBorders>
            <w:shd w:val="clear" w:color="000000" w:fill="CCFFFF"/>
            <w:noWrap/>
            <w:vAlign w:val="bottom"/>
            <w:hideMark/>
          </w:tcPr>
          <w:p w14:paraId="06CA642E" w14:textId="77777777" w:rsidR="00A72067" w:rsidRPr="00BF5E3C" w:rsidRDefault="00A72067" w:rsidP="00A72067">
            <w:pPr>
              <w:spacing w:after="0" w:line="240" w:lineRule="auto"/>
              <w:jc w:val="right"/>
              <w:rPr>
                <w:rFonts w:ascii="Tahoma" w:eastAsia="Times New Roman" w:hAnsi="Tahoma" w:cs="Tahoma"/>
                <w:sz w:val="16"/>
                <w:szCs w:val="16"/>
                <w:lang w:eastAsia="hr-HR"/>
              </w:rPr>
            </w:pPr>
            <w:r w:rsidRPr="00BF5E3C">
              <w:rPr>
                <w:rFonts w:ascii="Tahoma" w:eastAsia="Times New Roman" w:hAnsi="Tahoma" w:cs="Tahoma"/>
                <w:sz w:val="16"/>
                <w:szCs w:val="16"/>
                <w:lang w:eastAsia="hr-HR"/>
              </w:rPr>
              <w:t>0</w:t>
            </w:r>
          </w:p>
        </w:tc>
        <w:tc>
          <w:tcPr>
            <w:tcW w:w="388" w:type="dxa"/>
            <w:tcBorders>
              <w:top w:val="nil"/>
              <w:left w:val="nil"/>
              <w:bottom w:val="single" w:sz="4" w:space="0" w:color="auto"/>
              <w:right w:val="single" w:sz="4" w:space="0" w:color="auto"/>
            </w:tcBorders>
            <w:shd w:val="clear" w:color="000000" w:fill="CCFFFF"/>
            <w:noWrap/>
            <w:vAlign w:val="bottom"/>
            <w:hideMark/>
          </w:tcPr>
          <w:p w14:paraId="1D71DC4E" w14:textId="77777777" w:rsidR="00A72067" w:rsidRPr="00BF5E3C" w:rsidRDefault="00A72067" w:rsidP="00A72067">
            <w:pPr>
              <w:spacing w:after="0" w:line="240" w:lineRule="auto"/>
              <w:jc w:val="right"/>
              <w:rPr>
                <w:rFonts w:ascii="Tahoma" w:eastAsia="Times New Roman" w:hAnsi="Tahoma" w:cs="Tahoma"/>
                <w:sz w:val="16"/>
                <w:szCs w:val="16"/>
                <w:lang w:eastAsia="hr-HR"/>
              </w:rPr>
            </w:pPr>
            <w:r w:rsidRPr="00BF5E3C">
              <w:rPr>
                <w:rFonts w:ascii="Tahoma" w:eastAsia="Times New Roman" w:hAnsi="Tahoma" w:cs="Tahoma"/>
                <w:sz w:val="16"/>
                <w:szCs w:val="16"/>
                <w:lang w:eastAsia="hr-HR"/>
              </w:rPr>
              <w:t>1</w:t>
            </w:r>
          </w:p>
        </w:tc>
        <w:tc>
          <w:tcPr>
            <w:tcW w:w="399" w:type="dxa"/>
            <w:tcBorders>
              <w:top w:val="nil"/>
              <w:left w:val="nil"/>
              <w:bottom w:val="single" w:sz="4" w:space="0" w:color="auto"/>
              <w:right w:val="single" w:sz="4" w:space="0" w:color="auto"/>
            </w:tcBorders>
            <w:shd w:val="clear" w:color="000000" w:fill="CCFFFF"/>
            <w:noWrap/>
            <w:vAlign w:val="bottom"/>
            <w:hideMark/>
          </w:tcPr>
          <w:p w14:paraId="341D5A87" w14:textId="77777777" w:rsidR="00A72067" w:rsidRPr="00BF5E3C" w:rsidRDefault="00A72067" w:rsidP="00A72067">
            <w:pPr>
              <w:spacing w:after="0" w:line="240" w:lineRule="auto"/>
              <w:jc w:val="right"/>
              <w:rPr>
                <w:rFonts w:ascii="Tahoma" w:eastAsia="Times New Roman" w:hAnsi="Tahoma" w:cs="Tahoma"/>
                <w:sz w:val="16"/>
                <w:szCs w:val="16"/>
                <w:lang w:eastAsia="hr-HR"/>
              </w:rPr>
            </w:pPr>
            <w:r w:rsidRPr="00BF5E3C">
              <w:rPr>
                <w:rFonts w:ascii="Tahoma" w:eastAsia="Times New Roman" w:hAnsi="Tahoma" w:cs="Tahoma"/>
                <w:sz w:val="16"/>
                <w:szCs w:val="16"/>
                <w:lang w:eastAsia="hr-HR"/>
              </w:rPr>
              <w:t>0</w:t>
            </w:r>
          </w:p>
        </w:tc>
        <w:tc>
          <w:tcPr>
            <w:tcW w:w="489" w:type="dxa"/>
            <w:gridSpan w:val="2"/>
            <w:tcBorders>
              <w:top w:val="nil"/>
              <w:left w:val="nil"/>
              <w:bottom w:val="single" w:sz="4" w:space="0" w:color="auto"/>
              <w:right w:val="nil"/>
            </w:tcBorders>
            <w:shd w:val="clear" w:color="000000" w:fill="33CCCC"/>
            <w:noWrap/>
            <w:vAlign w:val="bottom"/>
            <w:hideMark/>
          </w:tcPr>
          <w:p w14:paraId="6526BDBD" w14:textId="77777777" w:rsidR="00A72067" w:rsidRPr="00BF5E3C" w:rsidRDefault="00A72067" w:rsidP="00A72067">
            <w:pPr>
              <w:spacing w:after="0" w:line="240" w:lineRule="auto"/>
              <w:jc w:val="right"/>
              <w:rPr>
                <w:rFonts w:ascii="Tahoma" w:eastAsia="Times New Roman" w:hAnsi="Tahoma" w:cs="Tahoma"/>
                <w:sz w:val="16"/>
                <w:szCs w:val="16"/>
                <w:lang w:eastAsia="hr-HR"/>
              </w:rPr>
            </w:pPr>
            <w:r w:rsidRPr="00BF5E3C">
              <w:rPr>
                <w:rFonts w:ascii="Tahoma" w:eastAsia="Times New Roman" w:hAnsi="Tahoma" w:cs="Tahoma"/>
                <w:sz w:val="16"/>
                <w:szCs w:val="16"/>
                <w:lang w:eastAsia="hr-HR"/>
              </w:rPr>
              <w:t>0</w:t>
            </w:r>
          </w:p>
        </w:tc>
        <w:tc>
          <w:tcPr>
            <w:tcW w:w="425" w:type="dxa"/>
            <w:tcBorders>
              <w:top w:val="nil"/>
              <w:left w:val="single" w:sz="4" w:space="0" w:color="auto"/>
              <w:bottom w:val="single" w:sz="4" w:space="0" w:color="auto"/>
              <w:right w:val="single" w:sz="8" w:space="0" w:color="auto"/>
            </w:tcBorders>
            <w:shd w:val="clear" w:color="000000" w:fill="33CCCC"/>
            <w:noWrap/>
            <w:vAlign w:val="bottom"/>
            <w:hideMark/>
          </w:tcPr>
          <w:p w14:paraId="1A49ED8E" w14:textId="77777777" w:rsidR="00A72067" w:rsidRPr="00BF5E3C" w:rsidRDefault="00A72067" w:rsidP="00A72067">
            <w:pPr>
              <w:spacing w:after="0" w:line="240" w:lineRule="auto"/>
              <w:jc w:val="right"/>
              <w:rPr>
                <w:rFonts w:ascii="Tahoma" w:eastAsia="Times New Roman" w:hAnsi="Tahoma" w:cs="Tahoma"/>
                <w:sz w:val="16"/>
                <w:szCs w:val="16"/>
                <w:lang w:eastAsia="hr-HR"/>
              </w:rPr>
            </w:pPr>
            <w:r w:rsidRPr="00BF5E3C">
              <w:rPr>
                <w:rFonts w:ascii="Tahoma" w:eastAsia="Times New Roman" w:hAnsi="Tahoma" w:cs="Tahoma"/>
                <w:sz w:val="16"/>
                <w:szCs w:val="16"/>
                <w:lang w:eastAsia="hr-HR"/>
              </w:rPr>
              <w:t>2</w:t>
            </w:r>
          </w:p>
        </w:tc>
        <w:tc>
          <w:tcPr>
            <w:tcW w:w="236" w:type="dxa"/>
            <w:vAlign w:val="center"/>
            <w:hideMark/>
          </w:tcPr>
          <w:p w14:paraId="212B17A9" w14:textId="77777777" w:rsidR="00A72067" w:rsidRPr="00BF5E3C" w:rsidRDefault="00A72067" w:rsidP="00A72067">
            <w:pPr>
              <w:spacing w:after="0" w:line="240" w:lineRule="auto"/>
              <w:rPr>
                <w:rFonts w:ascii="Times New Roman" w:eastAsia="Times New Roman" w:hAnsi="Times New Roman" w:cs="Times New Roman"/>
                <w:sz w:val="16"/>
                <w:szCs w:val="16"/>
                <w:lang w:eastAsia="hr-HR"/>
              </w:rPr>
            </w:pPr>
          </w:p>
        </w:tc>
      </w:tr>
      <w:tr w:rsidR="00F90F6F" w:rsidRPr="00BF5E3C" w14:paraId="08049E68" w14:textId="77777777" w:rsidTr="00F90F6F">
        <w:trPr>
          <w:gridAfter w:val="1"/>
          <w:wAfter w:w="32" w:type="dxa"/>
          <w:trHeight w:val="402"/>
        </w:trPr>
        <w:tc>
          <w:tcPr>
            <w:tcW w:w="979" w:type="dxa"/>
            <w:tcBorders>
              <w:top w:val="nil"/>
              <w:left w:val="single" w:sz="8" w:space="0" w:color="auto"/>
              <w:bottom w:val="single" w:sz="4" w:space="0" w:color="auto"/>
              <w:right w:val="single" w:sz="4" w:space="0" w:color="auto"/>
            </w:tcBorders>
            <w:shd w:val="clear" w:color="000000" w:fill="CCFFCC"/>
            <w:vAlign w:val="center"/>
            <w:hideMark/>
          </w:tcPr>
          <w:p w14:paraId="239AF831" w14:textId="77777777" w:rsidR="00A72067" w:rsidRPr="00BF5E3C" w:rsidRDefault="00A72067" w:rsidP="00A72067">
            <w:pPr>
              <w:spacing w:after="0" w:line="240" w:lineRule="auto"/>
              <w:rPr>
                <w:rFonts w:ascii="Tahoma" w:eastAsia="Times New Roman" w:hAnsi="Tahoma" w:cs="Tahoma"/>
                <w:sz w:val="16"/>
                <w:szCs w:val="16"/>
                <w:lang w:eastAsia="hr-HR"/>
              </w:rPr>
            </w:pPr>
            <w:r w:rsidRPr="00BF5E3C">
              <w:rPr>
                <w:rFonts w:ascii="Tahoma" w:eastAsia="Times New Roman" w:hAnsi="Tahoma" w:cs="Tahoma"/>
                <w:sz w:val="16"/>
                <w:szCs w:val="16"/>
                <w:lang w:eastAsia="hr-HR"/>
              </w:rPr>
              <w:t>Genetsko nasljeđe</w:t>
            </w:r>
          </w:p>
        </w:tc>
        <w:tc>
          <w:tcPr>
            <w:tcW w:w="520" w:type="dxa"/>
            <w:tcBorders>
              <w:top w:val="nil"/>
              <w:left w:val="nil"/>
              <w:bottom w:val="single" w:sz="4" w:space="0" w:color="auto"/>
              <w:right w:val="single" w:sz="4" w:space="0" w:color="auto"/>
            </w:tcBorders>
            <w:shd w:val="clear" w:color="000000" w:fill="FFCC99"/>
            <w:noWrap/>
            <w:vAlign w:val="bottom"/>
            <w:hideMark/>
          </w:tcPr>
          <w:p w14:paraId="0B3029A6" w14:textId="77777777" w:rsidR="00A72067" w:rsidRPr="00BF5E3C" w:rsidRDefault="00A72067" w:rsidP="00A72067">
            <w:pPr>
              <w:spacing w:after="0" w:line="240" w:lineRule="auto"/>
              <w:jc w:val="center"/>
              <w:rPr>
                <w:rFonts w:ascii="Tahoma" w:eastAsia="Times New Roman" w:hAnsi="Tahoma" w:cs="Tahoma"/>
                <w:sz w:val="16"/>
                <w:szCs w:val="16"/>
                <w:lang w:eastAsia="hr-HR"/>
              </w:rPr>
            </w:pPr>
            <w:r w:rsidRPr="00BF5E3C">
              <w:rPr>
                <w:rFonts w:ascii="Tahoma" w:eastAsia="Times New Roman" w:hAnsi="Tahoma" w:cs="Tahoma"/>
                <w:sz w:val="16"/>
                <w:szCs w:val="16"/>
                <w:lang w:eastAsia="hr-HR"/>
              </w:rPr>
              <w:t>1</w:t>
            </w:r>
          </w:p>
        </w:tc>
        <w:tc>
          <w:tcPr>
            <w:tcW w:w="420" w:type="dxa"/>
            <w:tcBorders>
              <w:top w:val="nil"/>
              <w:left w:val="nil"/>
              <w:bottom w:val="single" w:sz="4" w:space="0" w:color="auto"/>
              <w:right w:val="single" w:sz="4" w:space="0" w:color="auto"/>
            </w:tcBorders>
            <w:shd w:val="clear" w:color="000000" w:fill="FFFF00"/>
            <w:noWrap/>
            <w:vAlign w:val="bottom"/>
            <w:hideMark/>
          </w:tcPr>
          <w:p w14:paraId="51BA8179" w14:textId="77777777" w:rsidR="00A72067" w:rsidRPr="00BF5E3C" w:rsidRDefault="00A72067" w:rsidP="00A72067">
            <w:pPr>
              <w:spacing w:after="0" w:line="240" w:lineRule="auto"/>
              <w:jc w:val="center"/>
              <w:rPr>
                <w:rFonts w:ascii="Tahoma" w:eastAsia="Times New Roman" w:hAnsi="Tahoma" w:cs="Tahoma"/>
                <w:sz w:val="16"/>
                <w:szCs w:val="16"/>
                <w:lang w:eastAsia="hr-HR"/>
              </w:rPr>
            </w:pPr>
            <w:r w:rsidRPr="00BF5E3C">
              <w:rPr>
                <w:rFonts w:ascii="Tahoma" w:eastAsia="Times New Roman" w:hAnsi="Tahoma" w:cs="Tahoma"/>
                <w:sz w:val="16"/>
                <w:szCs w:val="16"/>
                <w:lang w:eastAsia="hr-HR"/>
              </w:rPr>
              <w:t>0</w:t>
            </w:r>
          </w:p>
        </w:tc>
        <w:tc>
          <w:tcPr>
            <w:tcW w:w="665" w:type="dxa"/>
            <w:tcBorders>
              <w:top w:val="nil"/>
              <w:left w:val="nil"/>
              <w:bottom w:val="single" w:sz="4" w:space="0" w:color="auto"/>
              <w:right w:val="single" w:sz="4" w:space="0" w:color="auto"/>
            </w:tcBorders>
            <w:shd w:val="clear" w:color="000000" w:fill="CCFFFF"/>
            <w:noWrap/>
            <w:vAlign w:val="bottom"/>
            <w:hideMark/>
          </w:tcPr>
          <w:p w14:paraId="7B05D353" w14:textId="77777777" w:rsidR="00A72067" w:rsidRPr="00BF5E3C" w:rsidRDefault="00A72067" w:rsidP="00A72067">
            <w:pPr>
              <w:spacing w:after="0" w:line="240" w:lineRule="auto"/>
              <w:jc w:val="right"/>
              <w:rPr>
                <w:rFonts w:ascii="Tahoma" w:eastAsia="Times New Roman" w:hAnsi="Tahoma" w:cs="Tahoma"/>
                <w:sz w:val="16"/>
                <w:szCs w:val="16"/>
                <w:lang w:eastAsia="hr-HR"/>
              </w:rPr>
            </w:pPr>
            <w:r w:rsidRPr="00BF5E3C">
              <w:rPr>
                <w:rFonts w:ascii="Tahoma" w:eastAsia="Times New Roman" w:hAnsi="Tahoma" w:cs="Tahoma"/>
                <w:sz w:val="16"/>
                <w:szCs w:val="16"/>
                <w:lang w:eastAsia="hr-HR"/>
              </w:rPr>
              <w:t>0</w:t>
            </w:r>
          </w:p>
        </w:tc>
        <w:tc>
          <w:tcPr>
            <w:tcW w:w="571" w:type="dxa"/>
            <w:tcBorders>
              <w:top w:val="nil"/>
              <w:left w:val="nil"/>
              <w:bottom w:val="single" w:sz="4" w:space="0" w:color="auto"/>
              <w:right w:val="single" w:sz="4" w:space="0" w:color="auto"/>
            </w:tcBorders>
            <w:shd w:val="clear" w:color="000000" w:fill="CCFFFF"/>
            <w:noWrap/>
            <w:vAlign w:val="bottom"/>
            <w:hideMark/>
          </w:tcPr>
          <w:p w14:paraId="29890539" w14:textId="77777777" w:rsidR="00A72067" w:rsidRPr="00BF5E3C" w:rsidRDefault="00A72067" w:rsidP="00A72067">
            <w:pPr>
              <w:spacing w:after="0" w:line="240" w:lineRule="auto"/>
              <w:jc w:val="right"/>
              <w:rPr>
                <w:rFonts w:ascii="Tahoma" w:eastAsia="Times New Roman" w:hAnsi="Tahoma" w:cs="Tahoma"/>
                <w:sz w:val="16"/>
                <w:szCs w:val="16"/>
                <w:lang w:eastAsia="hr-HR"/>
              </w:rPr>
            </w:pPr>
            <w:r w:rsidRPr="00BF5E3C">
              <w:rPr>
                <w:rFonts w:ascii="Tahoma" w:eastAsia="Times New Roman" w:hAnsi="Tahoma" w:cs="Tahoma"/>
                <w:sz w:val="16"/>
                <w:szCs w:val="16"/>
                <w:lang w:eastAsia="hr-HR"/>
              </w:rPr>
              <w:t>0</w:t>
            </w:r>
          </w:p>
        </w:tc>
        <w:tc>
          <w:tcPr>
            <w:tcW w:w="700" w:type="dxa"/>
            <w:tcBorders>
              <w:top w:val="nil"/>
              <w:left w:val="nil"/>
              <w:bottom w:val="single" w:sz="4" w:space="0" w:color="auto"/>
              <w:right w:val="single" w:sz="4" w:space="0" w:color="auto"/>
            </w:tcBorders>
            <w:shd w:val="clear" w:color="000000" w:fill="FFFF99"/>
            <w:noWrap/>
            <w:vAlign w:val="bottom"/>
            <w:hideMark/>
          </w:tcPr>
          <w:p w14:paraId="089A2F1B" w14:textId="77777777" w:rsidR="00A72067" w:rsidRPr="00BF5E3C" w:rsidRDefault="00A72067" w:rsidP="00A72067">
            <w:pPr>
              <w:spacing w:after="0" w:line="240" w:lineRule="auto"/>
              <w:jc w:val="center"/>
              <w:rPr>
                <w:rFonts w:ascii="Tahoma" w:eastAsia="Times New Roman" w:hAnsi="Tahoma" w:cs="Tahoma"/>
                <w:sz w:val="16"/>
                <w:szCs w:val="16"/>
                <w:lang w:eastAsia="hr-HR"/>
              </w:rPr>
            </w:pPr>
            <w:r w:rsidRPr="00BF5E3C">
              <w:rPr>
                <w:rFonts w:ascii="Tahoma" w:eastAsia="Times New Roman" w:hAnsi="Tahoma" w:cs="Tahoma"/>
                <w:sz w:val="16"/>
                <w:szCs w:val="16"/>
                <w:lang w:eastAsia="hr-HR"/>
              </w:rPr>
              <w:t>0</w:t>
            </w:r>
          </w:p>
        </w:tc>
        <w:tc>
          <w:tcPr>
            <w:tcW w:w="698" w:type="dxa"/>
            <w:tcBorders>
              <w:top w:val="nil"/>
              <w:left w:val="nil"/>
              <w:bottom w:val="single" w:sz="4" w:space="0" w:color="auto"/>
              <w:right w:val="single" w:sz="4" w:space="0" w:color="auto"/>
            </w:tcBorders>
            <w:shd w:val="clear" w:color="000000" w:fill="FFFF99"/>
            <w:noWrap/>
            <w:vAlign w:val="bottom"/>
            <w:hideMark/>
          </w:tcPr>
          <w:p w14:paraId="1E0DD8A8" w14:textId="77777777" w:rsidR="00A72067" w:rsidRPr="00BF5E3C" w:rsidRDefault="00A72067" w:rsidP="00A72067">
            <w:pPr>
              <w:spacing w:after="0" w:line="240" w:lineRule="auto"/>
              <w:jc w:val="center"/>
              <w:rPr>
                <w:rFonts w:ascii="Tahoma" w:eastAsia="Times New Roman" w:hAnsi="Tahoma" w:cs="Tahoma"/>
                <w:sz w:val="16"/>
                <w:szCs w:val="16"/>
                <w:lang w:eastAsia="hr-HR"/>
              </w:rPr>
            </w:pPr>
            <w:r w:rsidRPr="00BF5E3C">
              <w:rPr>
                <w:rFonts w:ascii="Tahoma" w:eastAsia="Times New Roman" w:hAnsi="Tahoma" w:cs="Tahoma"/>
                <w:sz w:val="16"/>
                <w:szCs w:val="16"/>
                <w:lang w:eastAsia="hr-HR"/>
              </w:rPr>
              <w:t>0</w:t>
            </w:r>
          </w:p>
        </w:tc>
        <w:tc>
          <w:tcPr>
            <w:tcW w:w="698" w:type="dxa"/>
            <w:tcBorders>
              <w:top w:val="nil"/>
              <w:left w:val="nil"/>
              <w:bottom w:val="single" w:sz="4" w:space="0" w:color="auto"/>
              <w:right w:val="single" w:sz="4" w:space="0" w:color="auto"/>
            </w:tcBorders>
            <w:shd w:val="clear" w:color="000000" w:fill="FFFF99"/>
            <w:noWrap/>
            <w:vAlign w:val="bottom"/>
            <w:hideMark/>
          </w:tcPr>
          <w:p w14:paraId="143D6134" w14:textId="77777777" w:rsidR="00A72067" w:rsidRPr="00BF5E3C" w:rsidRDefault="00A72067" w:rsidP="00A72067">
            <w:pPr>
              <w:spacing w:after="0" w:line="240" w:lineRule="auto"/>
              <w:jc w:val="center"/>
              <w:rPr>
                <w:rFonts w:ascii="Tahoma" w:eastAsia="Times New Roman" w:hAnsi="Tahoma" w:cs="Tahoma"/>
                <w:sz w:val="16"/>
                <w:szCs w:val="16"/>
                <w:lang w:eastAsia="hr-HR"/>
              </w:rPr>
            </w:pPr>
            <w:r w:rsidRPr="00BF5E3C">
              <w:rPr>
                <w:rFonts w:ascii="Tahoma" w:eastAsia="Times New Roman" w:hAnsi="Tahoma" w:cs="Tahoma"/>
                <w:sz w:val="16"/>
                <w:szCs w:val="16"/>
                <w:lang w:eastAsia="hr-HR"/>
              </w:rPr>
              <w:t>0</w:t>
            </w:r>
          </w:p>
        </w:tc>
        <w:tc>
          <w:tcPr>
            <w:tcW w:w="698" w:type="dxa"/>
            <w:tcBorders>
              <w:top w:val="nil"/>
              <w:left w:val="nil"/>
              <w:bottom w:val="single" w:sz="4" w:space="0" w:color="auto"/>
              <w:right w:val="single" w:sz="4" w:space="0" w:color="auto"/>
            </w:tcBorders>
            <w:shd w:val="clear" w:color="000000" w:fill="FFFF99"/>
            <w:noWrap/>
            <w:vAlign w:val="bottom"/>
            <w:hideMark/>
          </w:tcPr>
          <w:p w14:paraId="11C6B5E6" w14:textId="77777777" w:rsidR="00A72067" w:rsidRPr="00BF5E3C" w:rsidRDefault="00A72067" w:rsidP="00A72067">
            <w:pPr>
              <w:spacing w:after="0" w:line="240" w:lineRule="auto"/>
              <w:jc w:val="center"/>
              <w:rPr>
                <w:rFonts w:ascii="Tahoma" w:eastAsia="Times New Roman" w:hAnsi="Tahoma" w:cs="Tahoma"/>
                <w:sz w:val="16"/>
                <w:szCs w:val="16"/>
                <w:lang w:eastAsia="hr-HR"/>
              </w:rPr>
            </w:pPr>
            <w:r w:rsidRPr="00BF5E3C">
              <w:rPr>
                <w:rFonts w:ascii="Tahoma" w:eastAsia="Times New Roman" w:hAnsi="Tahoma" w:cs="Tahoma"/>
                <w:sz w:val="16"/>
                <w:szCs w:val="16"/>
                <w:lang w:eastAsia="hr-HR"/>
              </w:rPr>
              <w:t>0</w:t>
            </w:r>
          </w:p>
        </w:tc>
        <w:tc>
          <w:tcPr>
            <w:tcW w:w="527" w:type="dxa"/>
            <w:tcBorders>
              <w:top w:val="nil"/>
              <w:left w:val="nil"/>
              <w:bottom w:val="single" w:sz="4" w:space="0" w:color="auto"/>
              <w:right w:val="single" w:sz="4" w:space="0" w:color="auto"/>
            </w:tcBorders>
            <w:shd w:val="clear" w:color="000000" w:fill="FFFF99"/>
            <w:noWrap/>
            <w:vAlign w:val="bottom"/>
            <w:hideMark/>
          </w:tcPr>
          <w:p w14:paraId="0F3D0044" w14:textId="77777777" w:rsidR="00A72067" w:rsidRPr="00BF5E3C" w:rsidRDefault="00A72067" w:rsidP="00A72067">
            <w:pPr>
              <w:spacing w:after="0" w:line="240" w:lineRule="auto"/>
              <w:jc w:val="center"/>
              <w:rPr>
                <w:rFonts w:ascii="Tahoma" w:eastAsia="Times New Roman" w:hAnsi="Tahoma" w:cs="Tahoma"/>
                <w:sz w:val="16"/>
                <w:szCs w:val="16"/>
                <w:lang w:eastAsia="hr-HR"/>
              </w:rPr>
            </w:pPr>
            <w:r w:rsidRPr="00BF5E3C">
              <w:rPr>
                <w:rFonts w:ascii="Tahoma" w:eastAsia="Times New Roman" w:hAnsi="Tahoma" w:cs="Tahoma"/>
                <w:sz w:val="16"/>
                <w:szCs w:val="16"/>
                <w:lang w:eastAsia="hr-HR"/>
              </w:rPr>
              <w:t>0</w:t>
            </w:r>
          </w:p>
        </w:tc>
        <w:tc>
          <w:tcPr>
            <w:tcW w:w="702" w:type="dxa"/>
            <w:tcBorders>
              <w:top w:val="nil"/>
              <w:left w:val="nil"/>
              <w:bottom w:val="single" w:sz="4" w:space="0" w:color="auto"/>
              <w:right w:val="single" w:sz="4" w:space="0" w:color="auto"/>
            </w:tcBorders>
            <w:shd w:val="clear" w:color="000000" w:fill="FFFF99"/>
            <w:noWrap/>
            <w:vAlign w:val="bottom"/>
            <w:hideMark/>
          </w:tcPr>
          <w:p w14:paraId="323FDDA9" w14:textId="77777777" w:rsidR="00A72067" w:rsidRPr="00BF5E3C" w:rsidRDefault="00A72067" w:rsidP="00A72067">
            <w:pPr>
              <w:spacing w:after="0" w:line="240" w:lineRule="auto"/>
              <w:jc w:val="center"/>
              <w:rPr>
                <w:rFonts w:ascii="Tahoma" w:eastAsia="Times New Roman" w:hAnsi="Tahoma" w:cs="Tahoma"/>
                <w:sz w:val="16"/>
                <w:szCs w:val="16"/>
                <w:lang w:eastAsia="hr-HR"/>
              </w:rPr>
            </w:pPr>
            <w:r w:rsidRPr="00BF5E3C">
              <w:rPr>
                <w:rFonts w:ascii="Tahoma" w:eastAsia="Times New Roman" w:hAnsi="Tahoma" w:cs="Tahoma"/>
                <w:sz w:val="16"/>
                <w:szCs w:val="16"/>
                <w:lang w:eastAsia="hr-HR"/>
              </w:rPr>
              <w:t>0</w:t>
            </w:r>
          </w:p>
        </w:tc>
        <w:tc>
          <w:tcPr>
            <w:tcW w:w="698" w:type="dxa"/>
            <w:tcBorders>
              <w:top w:val="nil"/>
              <w:left w:val="nil"/>
              <w:bottom w:val="single" w:sz="4" w:space="0" w:color="auto"/>
              <w:right w:val="single" w:sz="4" w:space="0" w:color="auto"/>
            </w:tcBorders>
            <w:shd w:val="clear" w:color="000000" w:fill="FF9900"/>
            <w:noWrap/>
            <w:vAlign w:val="bottom"/>
            <w:hideMark/>
          </w:tcPr>
          <w:p w14:paraId="572775A2" w14:textId="77777777" w:rsidR="00A72067" w:rsidRPr="00BF5E3C" w:rsidRDefault="00A72067" w:rsidP="00A72067">
            <w:pPr>
              <w:spacing w:after="0" w:line="240" w:lineRule="auto"/>
              <w:jc w:val="right"/>
              <w:rPr>
                <w:rFonts w:ascii="Tahoma" w:eastAsia="Times New Roman" w:hAnsi="Tahoma" w:cs="Tahoma"/>
                <w:sz w:val="16"/>
                <w:szCs w:val="16"/>
                <w:lang w:eastAsia="hr-HR"/>
              </w:rPr>
            </w:pPr>
            <w:r w:rsidRPr="00BF5E3C">
              <w:rPr>
                <w:rFonts w:ascii="Tahoma" w:eastAsia="Times New Roman" w:hAnsi="Tahoma" w:cs="Tahoma"/>
                <w:sz w:val="16"/>
                <w:szCs w:val="16"/>
                <w:lang w:eastAsia="hr-HR"/>
              </w:rPr>
              <w:t>0</w:t>
            </w:r>
          </w:p>
        </w:tc>
        <w:tc>
          <w:tcPr>
            <w:tcW w:w="439" w:type="dxa"/>
            <w:tcBorders>
              <w:top w:val="nil"/>
              <w:left w:val="nil"/>
              <w:bottom w:val="single" w:sz="4" w:space="0" w:color="auto"/>
              <w:right w:val="single" w:sz="4" w:space="0" w:color="auto"/>
            </w:tcBorders>
            <w:shd w:val="clear" w:color="000000" w:fill="FF9900"/>
            <w:noWrap/>
            <w:vAlign w:val="bottom"/>
            <w:hideMark/>
          </w:tcPr>
          <w:p w14:paraId="1FD8AE81" w14:textId="77777777" w:rsidR="00A72067" w:rsidRPr="00BF5E3C" w:rsidRDefault="00A72067" w:rsidP="00A72067">
            <w:pPr>
              <w:spacing w:after="0" w:line="240" w:lineRule="auto"/>
              <w:jc w:val="right"/>
              <w:rPr>
                <w:rFonts w:ascii="Tahoma" w:eastAsia="Times New Roman" w:hAnsi="Tahoma" w:cs="Tahoma"/>
                <w:sz w:val="16"/>
                <w:szCs w:val="16"/>
                <w:lang w:eastAsia="hr-HR"/>
              </w:rPr>
            </w:pPr>
            <w:r w:rsidRPr="00BF5E3C">
              <w:rPr>
                <w:rFonts w:ascii="Tahoma" w:eastAsia="Times New Roman" w:hAnsi="Tahoma" w:cs="Tahoma"/>
                <w:sz w:val="16"/>
                <w:szCs w:val="16"/>
                <w:lang w:eastAsia="hr-HR"/>
              </w:rPr>
              <w:t>0</w:t>
            </w:r>
          </w:p>
        </w:tc>
        <w:tc>
          <w:tcPr>
            <w:tcW w:w="439" w:type="dxa"/>
            <w:tcBorders>
              <w:top w:val="nil"/>
              <w:left w:val="nil"/>
              <w:bottom w:val="single" w:sz="4" w:space="0" w:color="auto"/>
              <w:right w:val="single" w:sz="4" w:space="0" w:color="auto"/>
            </w:tcBorders>
            <w:shd w:val="clear" w:color="000000" w:fill="FF9900"/>
            <w:noWrap/>
            <w:vAlign w:val="bottom"/>
            <w:hideMark/>
          </w:tcPr>
          <w:p w14:paraId="56AB5EDB" w14:textId="77777777" w:rsidR="00A72067" w:rsidRPr="00BF5E3C" w:rsidRDefault="00A72067" w:rsidP="00A72067">
            <w:pPr>
              <w:spacing w:after="0" w:line="240" w:lineRule="auto"/>
              <w:jc w:val="right"/>
              <w:rPr>
                <w:rFonts w:ascii="Tahoma" w:eastAsia="Times New Roman" w:hAnsi="Tahoma" w:cs="Tahoma"/>
                <w:sz w:val="16"/>
                <w:szCs w:val="16"/>
                <w:lang w:eastAsia="hr-HR"/>
              </w:rPr>
            </w:pPr>
            <w:r w:rsidRPr="00BF5E3C">
              <w:rPr>
                <w:rFonts w:ascii="Tahoma" w:eastAsia="Times New Roman" w:hAnsi="Tahoma" w:cs="Tahoma"/>
                <w:sz w:val="16"/>
                <w:szCs w:val="16"/>
                <w:lang w:eastAsia="hr-HR"/>
              </w:rPr>
              <w:t>0</w:t>
            </w:r>
          </w:p>
        </w:tc>
        <w:tc>
          <w:tcPr>
            <w:tcW w:w="665" w:type="dxa"/>
            <w:tcBorders>
              <w:top w:val="nil"/>
              <w:left w:val="nil"/>
              <w:bottom w:val="single" w:sz="4" w:space="0" w:color="auto"/>
              <w:right w:val="single" w:sz="4" w:space="0" w:color="auto"/>
            </w:tcBorders>
            <w:shd w:val="clear" w:color="000000" w:fill="FFFF00"/>
            <w:vAlign w:val="center"/>
            <w:hideMark/>
          </w:tcPr>
          <w:p w14:paraId="0762E927" w14:textId="77777777" w:rsidR="00A72067" w:rsidRPr="00BF5E3C" w:rsidRDefault="00A72067" w:rsidP="00A72067">
            <w:pPr>
              <w:spacing w:after="0" w:line="240" w:lineRule="auto"/>
              <w:jc w:val="center"/>
              <w:rPr>
                <w:rFonts w:ascii="Tahoma" w:eastAsia="Times New Roman" w:hAnsi="Tahoma" w:cs="Tahoma"/>
                <w:sz w:val="16"/>
                <w:szCs w:val="16"/>
                <w:lang w:eastAsia="hr-HR"/>
              </w:rPr>
            </w:pPr>
            <w:r w:rsidRPr="00BF5E3C">
              <w:rPr>
                <w:rFonts w:ascii="Tahoma" w:eastAsia="Times New Roman" w:hAnsi="Tahoma" w:cs="Tahoma"/>
                <w:sz w:val="16"/>
                <w:szCs w:val="16"/>
                <w:lang w:eastAsia="hr-HR"/>
              </w:rPr>
              <w:t>0</w:t>
            </w:r>
          </w:p>
        </w:tc>
        <w:tc>
          <w:tcPr>
            <w:tcW w:w="698" w:type="dxa"/>
            <w:tcBorders>
              <w:top w:val="nil"/>
              <w:left w:val="nil"/>
              <w:bottom w:val="single" w:sz="4" w:space="0" w:color="auto"/>
              <w:right w:val="single" w:sz="4" w:space="0" w:color="auto"/>
            </w:tcBorders>
            <w:shd w:val="clear" w:color="000000" w:fill="FF9900"/>
            <w:vAlign w:val="center"/>
            <w:hideMark/>
          </w:tcPr>
          <w:p w14:paraId="78973EBA" w14:textId="77777777" w:rsidR="00A72067" w:rsidRPr="00BF5E3C" w:rsidRDefault="00A72067" w:rsidP="00A72067">
            <w:pPr>
              <w:spacing w:after="0" w:line="240" w:lineRule="auto"/>
              <w:jc w:val="center"/>
              <w:rPr>
                <w:rFonts w:ascii="Tahoma" w:eastAsia="Times New Roman" w:hAnsi="Tahoma" w:cs="Tahoma"/>
                <w:sz w:val="16"/>
                <w:szCs w:val="16"/>
                <w:lang w:eastAsia="hr-HR"/>
              </w:rPr>
            </w:pPr>
            <w:r w:rsidRPr="00BF5E3C">
              <w:rPr>
                <w:rFonts w:ascii="Tahoma" w:eastAsia="Times New Roman" w:hAnsi="Tahoma" w:cs="Tahoma"/>
                <w:sz w:val="16"/>
                <w:szCs w:val="16"/>
                <w:lang w:eastAsia="hr-HR"/>
              </w:rPr>
              <w:t>1</w:t>
            </w:r>
          </w:p>
        </w:tc>
        <w:tc>
          <w:tcPr>
            <w:tcW w:w="707" w:type="dxa"/>
            <w:tcBorders>
              <w:top w:val="nil"/>
              <w:left w:val="nil"/>
              <w:bottom w:val="single" w:sz="4" w:space="0" w:color="auto"/>
              <w:right w:val="single" w:sz="4" w:space="0" w:color="auto"/>
            </w:tcBorders>
            <w:shd w:val="clear" w:color="000000" w:fill="FF9900"/>
            <w:noWrap/>
            <w:vAlign w:val="center"/>
            <w:hideMark/>
          </w:tcPr>
          <w:p w14:paraId="5D4E634C" w14:textId="77777777" w:rsidR="00A72067" w:rsidRPr="00BF5E3C" w:rsidRDefault="00A72067" w:rsidP="00A72067">
            <w:pPr>
              <w:spacing w:after="0" w:line="240" w:lineRule="auto"/>
              <w:jc w:val="center"/>
              <w:rPr>
                <w:rFonts w:ascii="Tahoma" w:eastAsia="Times New Roman" w:hAnsi="Tahoma" w:cs="Tahoma"/>
                <w:sz w:val="16"/>
                <w:szCs w:val="16"/>
                <w:lang w:eastAsia="hr-HR"/>
              </w:rPr>
            </w:pPr>
            <w:r w:rsidRPr="00BF5E3C">
              <w:rPr>
                <w:rFonts w:ascii="Tahoma" w:eastAsia="Times New Roman" w:hAnsi="Tahoma" w:cs="Tahoma"/>
                <w:sz w:val="16"/>
                <w:szCs w:val="16"/>
                <w:lang w:eastAsia="hr-HR"/>
              </w:rPr>
              <w:t>0</w:t>
            </w:r>
          </w:p>
        </w:tc>
        <w:tc>
          <w:tcPr>
            <w:tcW w:w="707" w:type="dxa"/>
            <w:tcBorders>
              <w:top w:val="nil"/>
              <w:left w:val="nil"/>
              <w:bottom w:val="single" w:sz="4" w:space="0" w:color="auto"/>
              <w:right w:val="single" w:sz="4" w:space="0" w:color="auto"/>
            </w:tcBorders>
            <w:shd w:val="clear" w:color="000000" w:fill="FF9900"/>
            <w:noWrap/>
            <w:vAlign w:val="center"/>
            <w:hideMark/>
          </w:tcPr>
          <w:p w14:paraId="23445305" w14:textId="77777777" w:rsidR="00A72067" w:rsidRPr="00BF5E3C" w:rsidRDefault="00A72067" w:rsidP="00A72067">
            <w:pPr>
              <w:spacing w:after="0" w:line="240" w:lineRule="auto"/>
              <w:jc w:val="center"/>
              <w:rPr>
                <w:rFonts w:ascii="Tahoma" w:eastAsia="Times New Roman" w:hAnsi="Tahoma" w:cs="Tahoma"/>
                <w:sz w:val="16"/>
                <w:szCs w:val="16"/>
                <w:lang w:eastAsia="hr-HR"/>
              </w:rPr>
            </w:pPr>
            <w:r w:rsidRPr="00BF5E3C">
              <w:rPr>
                <w:rFonts w:ascii="Tahoma" w:eastAsia="Times New Roman" w:hAnsi="Tahoma" w:cs="Tahoma"/>
                <w:sz w:val="16"/>
                <w:szCs w:val="16"/>
                <w:lang w:eastAsia="hr-HR"/>
              </w:rPr>
              <w:t>0</w:t>
            </w:r>
          </w:p>
        </w:tc>
        <w:tc>
          <w:tcPr>
            <w:tcW w:w="698" w:type="dxa"/>
            <w:tcBorders>
              <w:top w:val="nil"/>
              <w:left w:val="nil"/>
              <w:bottom w:val="single" w:sz="4" w:space="0" w:color="auto"/>
              <w:right w:val="single" w:sz="4" w:space="0" w:color="auto"/>
            </w:tcBorders>
            <w:shd w:val="clear" w:color="000000" w:fill="FF9900"/>
            <w:noWrap/>
            <w:vAlign w:val="center"/>
            <w:hideMark/>
          </w:tcPr>
          <w:p w14:paraId="0F31BCB0" w14:textId="77777777" w:rsidR="00A72067" w:rsidRPr="00BF5E3C" w:rsidRDefault="00A72067" w:rsidP="00A72067">
            <w:pPr>
              <w:spacing w:after="0" w:line="240" w:lineRule="auto"/>
              <w:jc w:val="center"/>
              <w:rPr>
                <w:rFonts w:ascii="Tahoma" w:eastAsia="Times New Roman" w:hAnsi="Tahoma" w:cs="Tahoma"/>
                <w:sz w:val="16"/>
                <w:szCs w:val="16"/>
                <w:lang w:eastAsia="hr-HR"/>
              </w:rPr>
            </w:pPr>
            <w:r w:rsidRPr="00BF5E3C">
              <w:rPr>
                <w:rFonts w:ascii="Tahoma" w:eastAsia="Times New Roman" w:hAnsi="Tahoma" w:cs="Tahoma"/>
                <w:sz w:val="16"/>
                <w:szCs w:val="16"/>
                <w:lang w:eastAsia="hr-HR"/>
              </w:rPr>
              <w:t>0</w:t>
            </w:r>
          </w:p>
        </w:tc>
        <w:tc>
          <w:tcPr>
            <w:tcW w:w="377" w:type="dxa"/>
            <w:tcBorders>
              <w:top w:val="nil"/>
              <w:left w:val="nil"/>
              <w:bottom w:val="single" w:sz="4" w:space="0" w:color="auto"/>
              <w:right w:val="single" w:sz="4" w:space="0" w:color="auto"/>
            </w:tcBorders>
            <w:shd w:val="clear" w:color="000000" w:fill="CCFFFF"/>
            <w:noWrap/>
            <w:vAlign w:val="bottom"/>
            <w:hideMark/>
          </w:tcPr>
          <w:p w14:paraId="02206590" w14:textId="77777777" w:rsidR="00A72067" w:rsidRPr="00BF5E3C" w:rsidRDefault="00A72067" w:rsidP="00A72067">
            <w:pPr>
              <w:spacing w:after="0" w:line="240" w:lineRule="auto"/>
              <w:jc w:val="right"/>
              <w:rPr>
                <w:rFonts w:ascii="Tahoma" w:eastAsia="Times New Roman" w:hAnsi="Tahoma" w:cs="Tahoma"/>
                <w:sz w:val="16"/>
                <w:szCs w:val="16"/>
                <w:lang w:eastAsia="hr-HR"/>
              </w:rPr>
            </w:pPr>
            <w:r w:rsidRPr="00BF5E3C">
              <w:rPr>
                <w:rFonts w:ascii="Tahoma" w:eastAsia="Times New Roman" w:hAnsi="Tahoma" w:cs="Tahoma"/>
                <w:sz w:val="16"/>
                <w:szCs w:val="16"/>
                <w:lang w:eastAsia="hr-HR"/>
              </w:rPr>
              <w:t>0</w:t>
            </w:r>
          </w:p>
        </w:tc>
        <w:tc>
          <w:tcPr>
            <w:tcW w:w="388" w:type="dxa"/>
            <w:tcBorders>
              <w:top w:val="nil"/>
              <w:left w:val="nil"/>
              <w:bottom w:val="single" w:sz="4" w:space="0" w:color="auto"/>
              <w:right w:val="single" w:sz="4" w:space="0" w:color="auto"/>
            </w:tcBorders>
            <w:shd w:val="clear" w:color="000000" w:fill="CCFFFF"/>
            <w:noWrap/>
            <w:vAlign w:val="bottom"/>
            <w:hideMark/>
          </w:tcPr>
          <w:p w14:paraId="2FE4EC94" w14:textId="77777777" w:rsidR="00A72067" w:rsidRPr="00BF5E3C" w:rsidRDefault="00A72067" w:rsidP="00A72067">
            <w:pPr>
              <w:spacing w:after="0" w:line="240" w:lineRule="auto"/>
              <w:jc w:val="right"/>
              <w:rPr>
                <w:rFonts w:ascii="Tahoma" w:eastAsia="Times New Roman" w:hAnsi="Tahoma" w:cs="Tahoma"/>
                <w:sz w:val="16"/>
                <w:szCs w:val="16"/>
                <w:lang w:eastAsia="hr-HR"/>
              </w:rPr>
            </w:pPr>
            <w:r w:rsidRPr="00BF5E3C">
              <w:rPr>
                <w:rFonts w:ascii="Tahoma" w:eastAsia="Times New Roman" w:hAnsi="Tahoma" w:cs="Tahoma"/>
                <w:sz w:val="16"/>
                <w:szCs w:val="16"/>
                <w:lang w:eastAsia="hr-HR"/>
              </w:rPr>
              <w:t>0</w:t>
            </w:r>
          </w:p>
        </w:tc>
        <w:tc>
          <w:tcPr>
            <w:tcW w:w="399" w:type="dxa"/>
            <w:tcBorders>
              <w:top w:val="nil"/>
              <w:left w:val="nil"/>
              <w:bottom w:val="single" w:sz="4" w:space="0" w:color="auto"/>
              <w:right w:val="single" w:sz="4" w:space="0" w:color="auto"/>
            </w:tcBorders>
            <w:shd w:val="clear" w:color="000000" w:fill="CCFFFF"/>
            <w:noWrap/>
            <w:vAlign w:val="bottom"/>
            <w:hideMark/>
          </w:tcPr>
          <w:p w14:paraId="7C54A422" w14:textId="77777777" w:rsidR="00A72067" w:rsidRPr="00BF5E3C" w:rsidRDefault="00A72067" w:rsidP="00A72067">
            <w:pPr>
              <w:spacing w:after="0" w:line="240" w:lineRule="auto"/>
              <w:jc w:val="right"/>
              <w:rPr>
                <w:rFonts w:ascii="Tahoma" w:eastAsia="Times New Roman" w:hAnsi="Tahoma" w:cs="Tahoma"/>
                <w:sz w:val="16"/>
                <w:szCs w:val="16"/>
                <w:lang w:eastAsia="hr-HR"/>
              </w:rPr>
            </w:pPr>
            <w:r w:rsidRPr="00BF5E3C">
              <w:rPr>
                <w:rFonts w:ascii="Tahoma" w:eastAsia="Times New Roman" w:hAnsi="Tahoma" w:cs="Tahoma"/>
                <w:sz w:val="16"/>
                <w:szCs w:val="16"/>
                <w:lang w:eastAsia="hr-HR"/>
              </w:rPr>
              <w:t>0</w:t>
            </w:r>
          </w:p>
        </w:tc>
        <w:tc>
          <w:tcPr>
            <w:tcW w:w="489" w:type="dxa"/>
            <w:gridSpan w:val="2"/>
            <w:tcBorders>
              <w:top w:val="nil"/>
              <w:left w:val="nil"/>
              <w:bottom w:val="single" w:sz="4" w:space="0" w:color="auto"/>
              <w:right w:val="nil"/>
            </w:tcBorders>
            <w:shd w:val="clear" w:color="000000" w:fill="33CCCC"/>
            <w:noWrap/>
            <w:vAlign w:val="bottom"/>
            <w:hideMark/>
          </w:tcPr>
          <w:p w14:paraId="5629B04D" w14:textId="77777777" w:rsidR="00A72067" w:rsidRPr="00BF5E3C" w:rsidRDefault="00A72067" w:rsidP="00A72067">
            <w:pPr>
              <w:spacing w:after="0" w:line="240" w:lineRule="auto"/>
              <w:jc w:val="right"/>
              <w:rPr>
                <w:rFonts w:ascii="Tahoma" w:eastAsia="Times New Roman" w:hAnsi="Tahoma" w:cs="Tahoma"/>
                <w:sz w:val="16"/>
                <w:szCs w:val="16"/>
                <w:lang w:eastAsia="hr-HR"/>
              </w:rPr>
            </w:pPr>
            <w:r w:rsidRPr="00BF5E3C">
              <w:rPr>
                <w:rFonts w:ascii="Tahoma" w:eastAsia="Times New Roman" w:hAnsi="Tahoma" w:cs="Tahoma"/>
                <w:sz w:val="16"/>
                <w:szCs w:val="16"/>
                <w:lang w:eastAsia="hr-HR"/>
              </w:rPr>
              <w:t>0</w:t>
            </w:r>
          </w:p>
        </w:tc>
        <w:tc>
          <w:tcPr>
            <w:tcW w:w="425" w:type="dxa"/>
            <w:tcBorders>
              <w:top w:val="nil"/>
              <w:left w:val="single" w:sz="4" w:space="0" w:color="auto"/>
              <w:bottom w:val="single" w:sz="4" w:space="0" w:color="auto"/>
              <w:right w:val="single" w:sz="8" w:space="0" w:color="auto"/>
            </w:tcBorders>
            <w:shd w:val="clear" w:color="000000" w:fill="33CCCC"/>
            <w:noWrap/>
            <w:vAlign w:val="bottom"/>
            <w:hideMark/>
          </w:tcPr>
          <w:p w14:paraId="185D4EDF" w14:textId="77777777" w:rsidR="00A72067" w:rsidRPr="00BF5E3C" w:rsidRDefault="00A72067" w:rsidP="00A72067">
            <w:pPr>
              <w:spacing w:after="0" w:line="240" w:lineRule="auto"/>
              <w:jc w:val="right"/>
              <w:rPr>
                <w:rFonts w:ascii="Tahoma" w:eastAsia="Times New Roman" w:hAnsi="Tahoma" w:cs="Tahoma"/>
                <w:sz w:val="16"/>
                <w:szCs w:val="16"/>
                <w:lang w:eastAsia="hr-HR"/>
              </w:rPr>
            </w:pPr>
            <w:r w:rsidRPr="00BF5E3C">
              <w:rPr>
                <w:rFonts w:ascii="Tahoma" w:eastAsia="Times New Roman" w:hAnsi="Tahoma" w:cs="Tahoma"/>
                <w:sz w:val="16"/>
                <w:szCs w:val="16"/>
                <w:lang w:eastAsia="hr-HR"/>
              </w:rPr>
              <w:t>0</w:t>
            </w:r>
          </w:p>
        </w:tc>
        <w:tc>
          <w:tcPr>
            <w:tcW w:w="236" w:type="dxa"/>
            <w:vAlign w:val="center"/>
            <w:hideMark/>
          </w:tcPr>
          <w:p w14:paraId="4EA76CC5" w14:textId="77777777" w:rsidR="00A72067" w:rsidRPr="00BF5E3C" w:rsidRDefault="00A72067" w:rsidP="00A72067">
            <w:pPr>
              <w:spacing w:after="0" w:line="240" w:lineRule="auto"/>
              <w:rPr>
                <w:rFonts w:ascii="Times New Roman" w:eastAsia="Times New Roman" w:hAnsi="Times New Roman" w:cs="Times New Roman"/>
                <w:sz w:val="16"/>
                <w:szCs w:val="16"/>
                <w:lang w:eastAsia="hr-HR"/>
              </w:rPr>
            </w:pPr>
          </w:p>
        </w:tc>
      </w:tr>
      <w:tr w:rsidR="00F90F6F" w:rsidRPr="00BF5E3C" w14:paraId="6E75E087" w14:textId="77777777" w:rsidTr="00F90F6F">
        <w:trPr>
          <w:gridAfter w:val="1"/>
          <w:wAfter w:w="32" w:type="dxa"/>
          <w:trHeight w:val="402"/>
        </w:trPr>
        <w:tc>
          <w:tcPr>
            <w:tcW w:w="979" w:type="dxa"/>
            <w:tcBorders>
              <w:top w:val="nil"/>
              <w:left w:val="single" w:sz="8" w:space="0" w:color="auto"/>
              <w:bottom w:val="single" w:sz="4" w:space="0" w:color="auto"/>
              <w:right w:val="single" w:sz="4" w:space="0" w:color="auto"/>
            </w:tcBorders>
            <w:shd w:val="clear" w:color="000000" w:fill="CCFFCC"/>
            <w:vAlign w:val="center"/>
            <w:hideMark/>
          </w:tcPr>
          <w:p w14:paraId="343DB148" w14:textId="77777777" w:rsidR="00A72067" w:rsidRPr="00BF5E3C" w:rsidRDefault="00A72067" w:rsidP="00A72067">
            <w:pPr>
              <w:spacing w:after="0" w:line="240" w:lineRule="auto"/>
              <w:rPr>
                <w:rFonts w:ascii="Tahoma" w:eastAsia="Times New Roman" w:hAnsi="Tahoma" w:cs="Tahoma"/>
                <w:sz w:val="16"/>
                <w:szCs w:val="16"/>
                <w:lang w:eastAsia="hr-HR"/>
              </w:rPr>
            </w:pPr>
            <w:r w:rsidRPr="00BF5E3C">
              <w:rPr>
                <w:rFonts w:ascii="Tahoma" w:eastAsia="Times New Roman" w:hAnsi="Tahoma" w:cs="Tahoma"/>
                <w:sz w:val="16"/>
                <w:szCs w:val="16"/>
                <w:lang w:eastAsia="hr-HR"/>
              </w:rPr>
              <w:t>Rodni identitet rodno izražavanje</w:t>
            </w:r>
          </w:p>
        </w:tc>
        <w:tc>
          <w:tcPr>
            <w:tcW w:w="520" w:type="dxa"/>
            <w:tcBorders>
              <w:top w:val="nil"/>
              <w:left w:val="nil"/>
              <w:bottom w:val="single" w:sz="4" w:space="0" w:color="auto"/>
              <w:right w:val="single" w:sz="4" w:space="0" w:color="auto"/>
            </w:tcBorders>
            <w:shd w:val="clear" w:color="000000" w:fill="FFCC99"/>
            <w:noWrap/>
            <w:vAlign w:val="bottom"/>
            <w:hideMark/>
          </w:tcPr>
          <w:p w14:paraId="3DC6E528" w14:textId="77777777" w:rsidR="00A72067" w:rsidRPr="00BF5E3C" w:rsidRDefault="00A72067" w:rsidP="00A72067">
            <w:pPr>
              <w:spacing w:after="0" w:line="240" w:lineRule="auto"/>
              <w:jc w:val="center"/>
              <w:rPr>
                <w:rFonts w:ascii="Tahoma" w:eastAsia="Times New Roman" w:hAnsi="Tahoma" w:cs="Tahoma"/>
                <w:sz w:val="16"/>
                <w:szCs w:val="16"/>
                <w:lang w:eastAsia="hr-HR"/>
              </w:rPr>
            </w:pPr>
            <w:r w:rsidRPr="00BF5E3C">
              <w:rPr>
                <w:rFonts w:ascii="Tahoma" w:eastAsia="Times New Roman" w:hAnsi="Tahoma" w:cs="Tahoma"/>
                <w:sz w:val="16"/>
                <w:szCs w:val="16"/>
                <w:lang w:eastAsia="hr-HR"/>
              </w:rPr>
              <w:t>0</w:t>
            </w:r>
          </w:p>
        </w:tc>
        <w:tc>
          <w:tcPr>
            <w:tcW w:w="420" w:type="dxa"/>
            <w:tcBorders>
              <w:top w:val="nil"/>
              <w:left w:val="nil"/>
              <w:bottom w:val="single" w:sz="4" w:space="0" w:color="auto"/>
              <w:right w:val="single" w:sz="4" w:space="0" w:color="auto"/>
            </w:tcBorders>
            <w:shd w:val="clear" w:color="000000" w:fill="FFFF00"/>
            <w:noWrap/>
            <w:vAlign w:val="bottom"/>
            <w:hideMark/>
          </w:tcPr>
          <w:p w14:paraId="12520CBF" w14:textId="77777777" w:rsidR="00A72067" w:rsidRPr="00BF5E3C" w:rsidRDefault="00A72067" w:rsidP="00A72067">
            <w:pPr>
              <w:spacing w:after="0" w:line="240" w:lineRule="auto"/>
              <w:jc w:val="center"/>
              <w:rPr>
                <w:rFonts w:ascii="Tahoma" w:eastAsia="Times New Roman" w:hAnsi="Tahoma" w:cs="Tahoma"/>
                <w:sz w:val="16"/>
                <w:szCs w:val="16"/>
                <w:lang w:eastAsia="hr-HR"/>
              </w:rPr>
            </w:pPr>
            <w:r w:rsidRPr="00BF5E3C">
              <w:rPr>
                <w:rFonts w:ascii="Tahoma" w:eastAsia="Times New Roman" w:hAnsi="Tahoma" w:cs="Tahoma"/>
                <w:sz w:val="16"/>
                <w:szCs w:val="16"/>
                <w:lang w:eastAsia="hr-HR"/>
              </w:rPr>
              <w:t>0</w:t>
            </w:r>
          </w:p>
        </w:tc>
        <w:tc>
          <w:tcPr>
            <w:tcW w:w="665" w:type="dxa"/>
            <w:tcBorders>
              <w:top w:val="nil"/>
              <w:left w:val="nil"/>
              <w:bottom w:val="single" w:sz="4" w:space="0" w:color="auto"/>
              <w:right w:val="single" w:sz="4" w:space="0" w:color="auto"/>
            </w:tcBorders>
            <w:shd w:val="clear" w:color="000000" w:fill="CCFFFF"/>
            <w:noWrap/>
            <w:vAlign w:val="bottom"/>
            <w:hideMark/>
          </w:tcPr>
          <w:p w14:paraId="70BFAD5C" w14:textId="77777777" w:rsidR="00A72067" w:rsidRPr="00BF5E3C" w:rsidRDefault="00A72067" w:rsidP="00A72067">
            <w:pPr>
              <w:spacing w:after="0" w:line="240" w:lineRule="auto"/>
              <w:jc w:val="right"/>
              <w:rPr>
                <w:rFonts w:ascii="Tahoma" w:eastAsia="Times New Roman" w:hAnsi="Tahoma" w:cs="Tahoma"/>
                <w:sz w:val="16"/>
                <w:szCs w:val="16"/>
                <w:lang w:eastAsia="hr-HR"/>
              </w:rPr>
            </w:pPr>
            <w:r w:rsidRPr="00BF5E3C">
              <w:rPr>
                <w:rFonts w:ascii="Tahoma" w:eastAsia="Times New Roman" w:hAnsi="Tahoma" w:cs="Tahoma"/>
                <w:sz w:val="16"/>
                <w:szCs w:val="16"/>
                <w:lang w:eastAsia="hr-HR"/>
              </w:rPr>
              <w:t>0</w:t>
            </w:r>
          </w:p>
        </w:tc>
        <w:tc>
          <w:tcPr>
            <w:tcW w:w="571" w:type="dxa"/>
            <w:tcBorders>
              <w:top w:val="nil"/>
              <w:left w:val="nil"/>
              <w:bottom w:val="single" w:sz="4" w:space="0" w:color="auto"/>
              <w:right w:val="single" w:sz="4" w:space="0" w:color="auto"/>
            </w:tcBorders>
            <w:shd w:val="clear" w:color="000000" w:fill="CCFFFF"/>
            <w:noWrap/>
            <w:vAlign w:val="bottom"/>
            <w:hideMark/>
          </w:tcPr>
          <w:p w14:paraId="046AA88C" w14:textId="77777777" w:rsidR="00A72067" w:rsidRPr="00BF5E3C" w:rsidRDefault="00A72067" w:rsidP="00A72067">
            <w:pPr>
              <w:spacing w:after="0" w:line="240" w:lineRule="auto"/>
              <w:jc w:val="right"/>
              <w:rPr>
                <w:rFonts w:ascii="Tahoma" w:eastAsia="Times New Roman" w:hAnsi="Tahoma" w:cs="Tahoma"/>
                <w:sz w:val="16"/>
                <w:szCs w:val="16"/>
                <w:lang w:eastAsia="hr-HR"/>
              </w:rPr>
            </w:pPr>
            <w:r w:rsidRPr="00BF5E3C">
              <w:rPr>
                <w:rFonts w:ascii="Tahoma" w:eastAsia="Times New Roman" w:hAnsi="Tahoma" w:cs="Tahoma"/>
                <w:sz w:val="16"/>
                <w:szCs w:val="16"/>
                <w:lang w:eastAsia="hr-HR"/>
              </w:rPr>
              <w:t>0</w:t>
            </w:r>
          </w:p>
        </w:tc>
        <w:tc>
          <w:tcPr>
            <w:tcW w:w="700" w:type="dxa"/>
            <w:tcBorders>
              <w:top w:val="nil"/>
              <w:left w:val="nil"/>
              <w:bottom w:val="single" w:sz="4" w:space="0" w:color="auto"/>
              <w:right w:val="single" w:sz="4" w:space="0" w:color="auto"/>
            </w:tcBorders>
            <w:shd w:val="clear" w:color="000000" w:fill="FFFF99"/>
            <w:noWrap/>
            <w:vAlign w:val="bottom"/>
            <w:hideMark/>
          </w:tcPr>
          <w:p w14:paraId="0AD0BBBC" w14:textId="77777777" w:rsidR="00A72067" w:rsidRPr="00BF5E3C" w:rsidRDefault="00A72067" w:rsidP="00A72067">
            <w:pPr>
              <w:spacing w:after="0" w:line="240" w:lineRule="auto"/>
              <w:jc w:val="center"/>
              <w:rPr>
                <w:rFonts w:ascii="Tahoma" w:eastAsia="Times New Roman" w:hAnsi="Tahoma" w:cs="Tahoma"/>
                <w:sz w:val="16"/>
                <w:szCs w:val="16"/>
                <w:lang w:eastAsia="hr-HR"/>
              </w:rPr>
            </w:pPr>
            <w:r w:rsidRPr="00BF5E3C">
              <w:rPr>
                <w:rFonts w:ascii="Tahoma" w:eastAsia="Times New Roman" w:hAnsi="Tahoma" w:cs="Tahoma"/>
                <w:sz w:val="16"/>
                <w:szCs w:val="16"/>
                <w:lang w:eastAsia="hr-HR"/>
              </w:rPr>
              <w:t>0</w:t>
            </w:r>
          </w:p>
        </w:tc>
        <w:tc>
          <w:tcPr>
            <w:tcW w:w="698" w:type="dxa"/>
            <w:tcBorders>
              <w:top w:val="nil"/>
              <w:left w:val="nil"/>
              <w:bottom w:val="single" w:sz="4" w:space="0" w:color="auto"/>
              <w:right w:val="single" w:sz="4" w:space="0" w:color="auto"/>
            </w:tcBorders>
            <w:shd w:val="clear" w:color="000000" w:fill="FFFF99"/>
            <w:noWrap/>
            <w:vAlign w:val="bottom"/>
            <w:hideMark/>
          </w:tcPr>
          <w:p w14:paraId="04BEC99B" w14:textId="77777777" w:rsidR="00A72067" w:rsidRPr="00BF5E3C" w:rsidRDefault="00A72067" w:rsidP="00A72067">
            <w:pPr>
              <w:spacing w:after="0" w:line="240" w:lineRule="auto"/>
              <w:jc w:val="center"/>
              <w:rPr>
                <w:rFonts w:ascii="Tahoma" w:eastAsia="Times New Roman" w:hAnsi="Tahoma" w:cs="Tahoma"/>
                <w:sz w:val="16"/>
                <w:szCs w:val="16"/>
                <w:lang w:eastAsia="hr-HR"/>
              </w:rPr>
            </w:pPr>
            <w:r w:rsidRPr="00BF5E3C">
              <w:rPr>
                <w:rFonts w:ascii="Tahoma" w:eastAsia="Times New Roman" w:hAnsi="Tahoma" w:cs="Tahoma"/>
                <w:sz w:val="16"/>
                <w:szCs w:val="16"/>
                <w:lang w:eastAsia="hr-HR"/>
              </w:rPr>
              <w:t>0</w:t>
            </w:r>
          </w:p>
        </w:tc>
        <w:tc>
          <w:tcPr>
            <w:tcW w:w="698" w:type="dxa"/>
            <w:tcBorders>
              <w:top w:val="nil"/>
              <w:left w:val="nil"/>
              <w:bottom w:val="single" w:sz="4" w:space="0" w:color="auto"/>
              <w:right w:val="single" w:sz="4" w:space="0" w:color="auto"/>
            </w:tcBorders>
            <w:shd w:val="clear" w:color="000000" w:fill="FFFF99"/>
            <w:noWrap/>
            <w:vAlign w:val="bottom"/>
            <w:hideMark/>
          </w:tcPr>
          <w:p w14:paraId="2648FC87" w14:textId="77777777" w:rsidR="00A72067" w:rsidRPr="00BF5E3C" w:rsidRDefault="00A72067" w:rsidP="00A72067">
            <w:pPr>
              <w:spacing w:after="0" w:line="240" w:lineRule="auto"/>
              <w:jc w:val="center"/>
              <w:rPr>
                <w:rFonts w:ascii="Tahoma" w:eastAsia="Times New Roman" w:hAnsi="Tahoma" w:cs="Tahoma"/>
                <w:sz w:val="16"/>
                <w:szCs w:val="16"/>
                <w:lang w:eastAsia="hr-HR"/>
              </w:rPr>
            </w:pPr>
            <w:r w:rsidRPr="00BF5E3C">
              <w:rPr>
                <w:rFonts w:ascii="Tahoma" w:eastAsia="Times New Roman" w:hAnsi="Tahoma" w:cs="Tahoma"/>
                <w:sz w:val="16"/>
                <w:szCs w:val="16"/>
                <w:lang w:eastAsia="hr-HR"/>
              </w:rPr>
              <w:t>0</w:t>
            </w:r>
          </w:p>
        </w:tc>
        <w:tc>
          <w:tcPr>
            <w:tcW w:w="698" w:type="dxa"/>
            <w:tcBorders>
              <w:top w:val="nil"/>
              <w:left w:val="nil"/>
              <w:bottom w:val="single" w:sz="4" w:space="0" w:color="auto"/>
              <w:right w:val="single" w:sz="4" w:space="0" w:color="auto"/>
            </w:tcBorders>
            <w:shd w:val="clear" w:color="000000" w:fill="FFFF99"/>
            <w:noWrap/>
            <w:vAlign w:val="bottom"/>
            <w:hideMark/>
          </w:tcPr>
          <w:p w14:paraId="590C89E1" w14:textId="77777777" w:rsidR="00A72067" w:rsidRPr="00BF5E3C" w:rsidRDefault="00A72067" w:rsidP="00A72067">
            <w:pPr>
              <w:spacing w:after="0" w:line="240" w:lineRule="auto"/>
              <w:jc w:val="center"/>
              <w:rPr>
                <w:rFonts w:ascii="Tahoma" w:eastAsia="Times New Roman" w:hAnsi="Tahoma" w:cs="Tahoma"/>
                <w:sz w:val="16"/>
                <w:szCs w:val="16"/>
                <w:lang w:eastAsia="hr-HR"/>
              </w:rPr>
            </w:pPr>
            <w:r w:rsidRPr="00BF5E3C">
              <w:rPr>
                <w:rFonts w:ascii="Tahoma" w:eastAsia="Times New Roman" w:hAnsi="Tahoma" w:cs="Tahoma"/>
                <w:sz w:val="16"/>
                <w:szCs w:val="16"/>
                <w:lang w:eastAsia="hr-HR"/>
              </w:rPr>
              <w:t>0</w:t>
            </w:r>
          </w:p>
        </w:tc>
        <w:tc>
          <w:tcPr>
            <w:tcW w:w="527" w:type="dxa"/>
            <w:tcBorders>
              <w:top w:val="nil"/>
              <w:left w:val="nil"/>
              <w:bottom w:val="single" w:sz="4" w:space="0" w:color="auto"/>
              <w:right w:val="single" w:sz="4" w:space="0" w:color="auto"/>
            </w:tcBorders>
            <w:shd w:val="clear" w:color="000000" w:fill="FFFF99"/>
            <w:noWrap/>
            <w:vAlign w:val="bottom"/>
            <w:hideMark/>
          </w:tcPr>
          <w:p w14:paraId="5112577A" w14:textId="77777777" w:rsidR="00A72067" w:rsidRPr="00BF5E3C" w:rsidRDefault="00A72067" w:rsidP="00A72067">
            <w:pPr>
              <w:spacing w:after="0" w:line="240" w:lineRule="auto"/>
              <w:jc w:val="center"/>
              <w:rPr>
                <w:rFonts w:ascii="Tahoma" w:eastAsia="Times New Roman" w:hAnsi="Tahoma" w:cs="Tahoma"/>
                <w:sz w:val="16"/>
                <w:szCs w:val="16"/>
                <w:lang w:eastAsia="hr-HR"/>
              </w:rPr>
            </w:pPr>
            <w:r w:rsidRPr="00BF5E3C">
              <w:rPr>
                <w:rFonts w:ascii="Tahoma" w:eastAsia="Times New Roman" w:hAnsi="Tahoma" w:cs="Tahoma"/>
                <w:sz w:val="16"/>
                <w:szCs w:val="16"/>
                <w:lang w:eastAsia="hr-HR"/>
              </w:rPr>
              <w:t>0</w:t>
            </w:r>
          </w:p>
        </w:tc>
        <w:tc>
          <w:tcPr>
            <w:tcW w:w="702" w:type="dxa"/>
            <w:tcBorders>
              <w:top w:val="nil"/>
              <w:left w:val="nil"/>
              <w:bottom w:val="single" w:sz="4" w:space="0" w:color="auto"/>
              <w:right w:val="single" w:sz="4" w:space="0" w:color="auto"/>
            </w:tcBorders>
            <w:shd w:val="clear" w:color="000000" w:fill="FFFF99"/>
            <w:noWrap/>
            <w:vAlign w:val="bottom"/>
            <w:hideMark/>
          </w:tcPr>
          <w:p w14:paraId="47B2BBE3" w14:textId="77777777" w:rsidR="00A72067" w:rsidRPr="00BF5E3C" w:rsidRDefault="00A72067" w:rsidP="00A72067">
            <w:pPr>
              <w:spacing w:after="0" w:line="240" w:lineRule="auto"/>
              <w:jc w:val="center"/>
              <w:rPr>
                <w:rFonts w:ascii="Tahoma" w:eastAsia="Times New Roman" w:hAnsi="Tahoma" w:cs="Tahoma"/>
                <w:sz w:val="16"/>
                <w:szCs w:val="16"/>
                <w:lang w:eastAsia="hr-HR"/>
              </w:rPr>
            </w:pPr>
            <w:r w:rsidRPr="00BF5E3C">
              <w:rPr>
                <w:rFonts w:ascii="Tahoma" w:eastAsia="Times New Roman" w:hAnsi="Tahoma" w:cs="Tahoma"/>
                <w:sz w:val="16"/>
                <w:szCs w:val="16"/>
                <w:lang w:eastAsia="hr-HR"/>
              </w:rPr>
              <w:t>0</w:t>
            </w:r>
          </w:p>
        </w:tc>
        <w:tc>
          <w:tcPr>
            <w:tcW w:w="698" w:type="dxa"/>
            <w:tcBorders>
              <w:top w:val="nil"/>
              <w:left w:val="nil"/>
              <w:bottom w:val="single" w:sz="4" w:space="0" w:color="auto"/>
              <w:right w:val="single" w:sz="4" w:space="0" w:color="auto"/>
            </w:tcBorders>
            <w:shd w:val="clear" w:color="000000" w:fill="FF9900"/>
            <w:noWrap/>
            <w:vAlign w:val="bottom"/>
            <w:hideMark/>
          </w:tcPr>
          <w:p w14:paraId="2EDEC1C4" w14:textId="77777777" w:rsidR="00A72067" w:rsidRPr="00BF5E3C" w:rsidRDefault="00A72067" w:rsidP="00A72067">
            <w:pPr>
              <w:spacing w:after="0" w:line="240" w:lineRule="auto"/>
              <w:jc w:val="right"/>
              <w:rPr>
                <w:rFonts w:ascii="Tahoma" w:eastAsia="Times New Roman" w:hAnsi="Tahoma" w:cs="Tahoma"/>
                <w:sz w:val="16"/>
                <w:szCs w:val="16"/>
                <w:lang w:eastAsia="hr-HR"/>
              </w:rPr>
            </w:pPr>
            <w:r w:rsidRPr="00BF5E3C">
              <w:rPr>
                <w:rFonts w:ascii="Tahoma" w:eastAsia="Times New Roman" w:hAnsi="Tahoma" w:cs="Tahoma"/>
                <w:sz w:val="16"/>
                <w:szCs w:val="16"/>
                <w:lang w:eastAsia="hr-HR"/>
              </w:rPr>
              <w:t>0</w:t>
            </w:r>
          </w:p>
        </w:tc>
        <w:tc>
          <w:tcPr>
            <w:tcW w:w="439" w:type="dxa"/>
            <w:tcBorders>
              <w:top w:val="nil"/>
              <w:left w:val="nil"/>
              <w:bottom w:val="single" w:sz="4" w:space="0" w:color="auto"/>
              <w:right w:val="single" w:sz="4" w:space="0" w:color="auto"/>
            </w:tcBorders>
            <w:shd w:val="clear" w:color="000000" w:fill="FF9900"/>
            <w:noWrap/>
            <w:vAlign w:val="bottom"/>
            <w:hideMark/>
          </w:tcPr>
          <w:p w14:paraId="32BC4EED" w14:textId="77777777" w:rsidR="00A72067" w:rsidRPr="00BF5E3C" w:rsidRDefault="00A72067" w:rsidP="00A72067">
            <w:pPr>
              <w:spacing w:after="0" w:line="240" w:lineRule="auto"/>
              <w:jc w:val="right"/>
              <w:rPr>
                <w:rFonts w:ascii="Tahoma" w:eastAsia="Times New Roman" w:hAnsi="Tahoma" w:cs="Tahoma"/>
                <w:sz w:val="16"/>
                <w:szCs w:val="16"/>
                <w:lang w:eastAsia="hr-HR"/>
              </w:rPr>
            </w:pPr>
            <w:r w:rsidRPr="00BF5E3C">
              <w:rPr>
                <w:rFonts w:ascii="Tahoma" w:eastAsia="Times New Roman" w:hAnsi="Tahoma" w:cs="Tahoma"/>
                <w:sz w:val="16"/>
                <w:szCs w:val="16"/>
                <w:lang w:eastAsia="hr-HR"/>
              </w:rPr>
              <w:t>0</w:t>
            </w:r>
          </w:p>
        </w:tc>
        <w:tc>
          <w:tcPr>
            <w:tcW w:w="439" w:type="dxa"/>
            <w:tcBorders>
              <w:top w:val="nil"/>
              <w:left w:val="nil"/>
              <w:bottom w:val="single" w:sz="4" w:space="0" w:color="auto"/>
              <w:right w:val="single" w:sz="4" w:space="0" w:color="auto"/>
            </w:tcBorders>
            <w:shd w:val="clear" w:color="000000" w:fill="FF9900"/>
            <w:noWrap/>
            <w:vAlign w:val="bottom"/>
            <w:hideMark/>
          </w:tcPr>
          <w:p w14:paraId="7D2CA1F3" w14:textId="77777777" w:rsidR="00A72067" w:rsidRPr="00BF5E3C" w:rsidRDefault="00A72067" w:rsidP="00A72067">
            <w:pPr>
              <w:spacing w:after="0" w:line="240" w:lineRule="auto"/>
              <w:jc w:val="right"/>
              <w:rPr>
                <w:rFonts w:ascii="Tahoma" w:eastAsia="Times New Roman" w:hAnsi="Tahoma" w:cs="Tahoma"/>
                <w:sz w:val="16"/>
                <w:szCs w:val="16"/>
                <w:lang w:eastAsia="hr-HR"/>
              </w:rPr>
            </w:pPr>
            <w:r w:rsidRPr="00BF5E3C">
              <w:rPr>
                <w:rFonts w:ascii="Tahoma" w:eastAsia="Times New Roman" w:hAnsi="Tahoma" w:cs="Tahoma"/>
                <w:sz w:val="16"/>
                <w:szCs w:val="16"/>
                <w:lang w:eastAsia="hr-HR"/>
              </w:rPr>
              <w:t>0</w:t>
            </w:r>
          </w:p>
        </w:tc>
        <w:tc>
          <w:tcPr>
            <w:tcW w:w="665" w:type="dxa"/>
            <w:tcBorders>
              <w:top w:val="nil"/>
              <w:left w:val="nil"/>
              <w:bottom w:val="single" w:sz="4" w:space="0" w:color="auto"/>
              <w:right w:val="single" w:sz="4" w:space="0" w:color="auto"/>
            </w:tcBorders>
            <w:shd w:val="clear" w:color="000000" w:fill="FFFF00"/>
            <w:vAlign w:val="center"/>
            <w:hideMark/>
          </w:tcPr>
          <w:p w14:paraId="344DEEE6" w14:textId="77777777" w:rsidR="00A72067" w:rsidRPr="00BF5E3C" w:rsidRDefault="00A72067" w:rsidP="00A72067">
            <w:pPr>
              <w:spacing w:after="0" w:line="240" w:lineRule="auto"/>
              <w:jc w:val="center"/>
              <w:rPr>
                <w:rFonts w:ascii="Tahoma" w:eastAsia="Times New Roman" w:hAnsi="Tahoma" w:cs="Tahoma"/>
                <w:sz w:val="16"/>
                <w:szCs w:val="16"/>
                <w:lang w:eastAsia="hr-HR"/>
              </w:rPr>
            </w:pPr>
            <w:r w:rsidRPr="00BF5E3C">
              <w:rPr>
                <w:rFonts w:ascii="Tahoma" w:eastAsia="Times New Roman" w:hAnsi="Tahoma" w:cs="Tahoma"/>
                <w:sz w:val="16"/>
                <w:szCs w:val="16"/>
                <w:lang w:eastAsia="hr-HR"/>
              </w:rPr>
              <w:t>0</w:t>
            </w:r>
          </w:p>
        </w:tc>
        <w:tc>
          <w:tcPr>
            <w:tcW w:w="698" w:type="dxa"/>
            <w:tcBorders>
              <w:top w:val="nil"/>
              <w:left w:val="nil"/>
              <w:bottom w:val="single" w:sz="4" w:space="0" w:color="auto"/>
              <w:right w:val="single" w:sz="4" w:space="0" w:color="auto"/>
            </w:tcBorders>
            <w:shd w:val="clear" w:color="000000" w:fill="FF9900"/>
            <w:vAlign w:val="center"/>
            <w:hideMark/>
          </w:tcPr>
          <w:p w14:paraId="2CD2BEB4" w14:textId="77777777" w:rsidR="00A72067" w:rsidRPr="00BF5E3C" w:rsidRDefault="00A72067" w:rsidP="00A72067">
            <w:pPr>
              <w:spacing w:after="0" w:line="240" w:lineRule="auto"/>
              <w:jc w:val="center"/>
              <w:rPr>
                <w:rFonts w:ascii="Tahoma" w:eastAsia="Times New Roman" w:hAnsi="Tahoma" w:cs="Tahoma"/>
                <w:sz w:val="16"/>
                <w:szCs w:val="16"/>
                <w:lang w:eastAsia="hr-HR"/>
              </w:rPr>
            </w:pPr>
            <w:r w:rsidRPr="00BF5E3C">
              <w:rPr>
                <w:rFonts w:ascii="Tahoma" w:eastAsia="Times New Roman" w:hAnsi="Tahoma" w:cs="Tahoma"/>
                <w:sz w:val="16"/>
                <w:szCs w:val="16"/>
                <w:lang w:eastAsia="hr-HR"/>
              </w:rPr>
              <w:t>0</w:t>
            </w:r>
          </w:p>
        </w:tc>
        <w:tc>
          <w:tcPr>
            <w:tcW w:w="707" w:type="dxa"/>
            <w:tcBorders>
              <w:top w:val="nil"/>
              <w:left w:val="nil"/>
              <w:bottom w:val="single" w:sz="4" w:space="0" w:color="auto"/>
              <w:right w:val="single" w:sz="4" w:space="0" w:color="auto"/>
            </w:tcBorders>
            <w:shd w:val="clear" w:color="000000" w:fill="FF9900"/>
            <w:noWrap/>
            <w:vAlign w:val="center"/>
            <w:hideMark/>
          </w:tcPr>
          <w:p w14:paraId="2BEACE5E" w14:textId="77777777" w:rsidR="00A72067" w:rsidRPr="00BF5E3C" w:rsidRDefault="00A72067" w:rsidP="00A72067">
            <w:pPr>
              <w:spacing w:after="0" w:line="240" w:lineRule="auto"/>
              <w:jc w:val="center"/>
              <w:rPr>
                <w:rFonts w:ascii="Tahoma" w:eastAsia="Times New Roman" w:hAnsi="Tahoma" w:cs="Tahoma"/>
                <w:sz w:val="16"/>
                <w:szCs w:val="16"/>
                <w:lang w:eastAsia="hr-HR"/>
              </w:rPr>
            </w:pPr>
            <w:r w:rsidRPr="00BF5E3C">
              <w:rPr>
                <w:rFonts w:ascii="Tahoma" w:eastAsia="Times New Roman" w:hAnsi="Tahoma" w:cs="Tahoma"/>
                <w:sz w:val="16"/>
                <w:szCs w:val="16"/>
                <w:lang w:eastAsia="hr-HR"/>
              </w:rPr>
              <w:t>0</w:t>
            </w:r>
          </w:p>
        </w:tc>
        <w:tc>
          <w:tcPr>
            <w:tcW w:w="707" w:type="dxa"/>
            <w:tcBorders>
              <w:top w:val="nil"/>
              <w:left w:val="nil"/>
              <w:bottom w:val="single" w:sz="4" w:space="0" w:color="auto"/>
              <w:right w:val="single" w:sz="4" w:space="0" w:color="auto"/>
            </w:tcBorders>
            <w:shd w:val="clear" w:color="000000" w:fill="FF9900"/>
            <w:noWrap/>
            <w:vAlign w:val="center"/>
            <w:hideMark/>
          </w:tcPr>
          <w:p w14:paraId="69FBB0DB" w14:textId="77777777" w:rsidR="00A72067" w:rsidRPr="00BF5E3C" w:rsidRDefault="00A72067" w:rsidP="00A72067">
            <w:pPr>
              <w:spacing w:after="0" w:line="240" w:lineRule="auto"/>
              <w:jc w:val="center"/>
              <w:rPr>
                <w:rFonts w:ascii="Tahoma" w:eastAsia="Times New Roman" w:hAnsi="Tahoma" w:cs="Tahoma"/>
                <w:sz w:val="16"/>
                <w:szCs w:val="16"/>
                <w:lang w:eastAsia="hr-HR"/>
              </w:rPr>
            </w:pPr>
            <w:r w:rsidRPr="00BF5E3C">
              <w:rPr>
                <w:rFonts w:ascii="Tahoma" w:eastAsia="Times New Roman" w:hAnsi="Tahoma" w:cs="Tahoma"/>
                <w:sz w:val="16"/>
                <w:szCs w:val="16"/>
                <w:lang w:eastAsia="hr-HR"/>
              </w:rPr>
              <w:t>0</w:t>
            </w:r>
          </w:p>
        </w:tc>
        <w:tc>
          <w:tcPr>
            <w:tcW w:w="698" w:type="dxa"/>
            <w:tcBorders>
              <w:top w:val="nil"/>
              <w:left w:val="nil"/>
              <w:bottom w:val="single" w:sz="4" w:space="0" w:color="auto"/>
              <w:right w:val="single" w:sz="4" w:space="0" w:color="auto"/>
            </w:tcBorders>
            <w:shd w:val="clear" w:color="000000" w:fill="FF9900"/>
            <w:noWrap/>
            <w:vAlign w:val="center"/>
            <w:hideMark/>
          </w:tcPr>
          <w:p w14:paraId="77BCB10C" w14:textId="77777777" w:rsidR="00A72067" w:rsidRPr="00BF5E3C" w:rsidRDefault="00A72067" w:rsidP="00A72067">
            <w:pPr>
              <w:spacing w:after="0" w:line="240" w:lineRule="auto"/>
              <w:jc w:val="center"/>
              <w:rPr>
                <w:rFonts w:ascii="Tahoma" w:eastAsia="Times New Roman" w:hAnsi="Tahoma" w:cs="Tahoma"/>
                <w:sz w:val="16"/>
                <w:szCs w:val="16"/>
                <w:lang w:eastAsia="hr-HR"/>
              </w:rPr>
            </w:pPr>
            <w:r w:rsidRPr="00BF5E3C">
              <w:rPr>
                <w:rFonts w:ascii="Tahoma" w:eastAsia="Times New Roman" w:hAnsi="Tahoma" w:cs="Tahoma"/>
                <w:sz w:val="16"/>
                <w:szCs w:val="16"/>
                <w:lang w:eastAsia="hr-HR"/>
              </w:rPr>
              <w:t>0</w:t>
            </w:r>
          </w:p>
        </w:tc>
        <w:tc>
          <w:tcPr>
            <w:tcW w:w="377" w:type="dxa"/>
            <w:tcBorders>
              <w:top w:val="nil"/>
              <w:left w:val="nil"/>
              <w:bottom w:val="single" w:sz="4" w:space="0" w:color="auto"/>
              <w:right w:val="single" w:sz="4" w:space="0" w:color="auto"/>
            </w:tcBorders>
            <w:shd w:val="clear" w:color="000000" w:fill="CCFFFF"/>
            <w:noWrap/>
            <w:vAlign w:val="bottom"/>
            <w:hideMark/>
          </w:tcPr>
          <w:p w14:paraId="1CE1245B" w14:textId="77777777" w:rsidR="00A72067" w:rsidRPr="00BF5E3C" w:rsidRDefault="00A72067" w:rsidP="00A72067">
            <w:pPr>
              <w:spacing w:after="0" w:line="240" w:lineRule="auto"/>
              <w:jc w:val="right"/>
              <w:rPr>
                <w:rFonts w:ascii="Tahoma" w:eastAsia="Times New Roman" w:hAnsi="Tahoma" w:cs="Tahoma"/>
                <w:sz w:val="16"/>
                <w:szCs w:val="16"/>
                <w:lang w:eastAsia="hr-HR"/>
              </w:rPr>
            </w:pPr>
            <w:r w:rsidRPr="00BF5E3C">
              <w:rPr>
                <w:rFonts w:ascii="Tahoma" w:eastAsia="Times New Roman" w:hAnsi="Tahoma" w:cs="Tahoma"/>
                <w:sz w:val="16"/>
                <w:szCs w:val="16"/>
                <w:lang w:eastAsia="hr-HR"/>
              </w:rPr>
              <w:t>0</w:t>
            </w:r>
          </w:p>
        </w:tc>
        <w:tc>
          <w:tcPr>
            <w:tcW w:w="388" w:type="dxa"/>
            <w:tcBorders>
              <w:top w:val="nil"/>
              <w:left w:val="nil"/>
              <w:bottom w:val="single" w:sz="4" w:space="0" w:color="auto"/>
              <w:right w:val="single" w:sz="4" w:space="0" w:color="auto"/>
            </w:tcBorders>
            <w:shd w:val="clear" w:color="000000" w:fill="CCFFFF"/>
            <w:noWrap/>
            <w:vAlign w:val="bottom"/>
            <w:hideMark/>
          </w:tcPr>
          <w:p w14:paraId="043C6871" w14:textId="77777777" w:rsidR="00A72067" w:rsidRPr="00BF5E3C" w:rsidRDefault="00A72067" w:rsidP="00A72067">
            <w:pPr>
              <w:spacing w:after="0" w:line="240" w:lineRule="auto"/>
              <w:jc w:val="right"/>
              <w:rPr>
                <w:rFonts w:ascii="Tahoma" w:eastAsia="Times New Roman" w:hAnsi="Tahoma" w:cs="Tahoma"/>
                <w:sz w:val="16"/>
                <w:szCs w:val="16"/>
                <w:lang w:eastAsia="hr-HR"/>
              </w:rPr>
            </w:pPr>
            <w:r w:rsidRPr="00BF5E3C">
              <w:rPr>
                <w:rFonts w:ascii="Tahoma" w:eastAsia="Times New Roman" w:hAnsi="Tahoma" w:cs="Tahoma"/>
                <w:sz w:val="16"/>
                <w:szCs w:val="16"/>
                <w:lang w:eastAsia="hr-HR"/>
              </w:rPr>
              <w:t>0</w:t>
            </w:r>
          </w:p>
        </w:tc>
        <w:tc>
          <w:tcPr>
            <w:tcW w:w="399" w:type="dxa"/>
            <w:tcBorders>
              <w:top w:val="nil"/>
              <w:left w:val="nil"/>
              <w:bottom w:val="single" w:sz="4" w:space="0" w:color="auto"/>
              <w:right w:val="single" w:sz="4" w:space="0" w:color="auto"/>
            </w:tcBorders>
            <w:shd w:val="clear" w:color="000000" w:fill="CCFFFF"/>
            <w:noWrap/>
            <w:vAlign w:val="bottom"/>
            <w:hideMark/>
          </w:tcPr>
          <w:p w14:paraId="1C7F5F11" w14:textId="77777777" w:rsidR="00A72067" w:rsidRPr="00BF5E3C" w:rsidRDefault="00A72067" w:rsidP="00A72067">
            <w:pPr>
              <w:spacing w:after="0" w:line="240" w:lineRule="auto"/>
              <w:jc w:val="right"/>
              <w:rPr>
                <w:rFonts w:ascii="Tahoma" w:eastAsia="Times New Roman" w:hAnsi="Tahoma" w:cs="Tahoma"/>
                <w:sz w:val="16"/>
                <w:szCs w:val="16"/>
                <w:lang w:eastAsia="hr-HR"/>
              </w:rPr>
            </w:pPr>
            <w:r w:rsidRPr="00BF5E3C">
              <w:rPr>
                <w:rFonts w:ascii="Tahoma" w:eastAsia="Times New Roman" w:hAnsi="Tahoma" w:cs="Tahoma"/>
                <w:sz w:val="16"/>
                <w:szCs w:val="16"/>
                <w:lang w:eastAsia="hr-HR"/>
              </w:rPr>
              <w:t>0</w:t>
            </w:r>
          </w:p>
        </w:tc>
        <w:tc>
          <w:tcPr>
            <w:tcW w:w="489" w:type="dxa"/>
            <w:gridSpan w:val="2"/>
            <w:tcBorders>
              <w:top w:val="nil"/>
              <w:left w:val="nil"/>
              <w:bottom w:val="single" w:sz="4" w:space="0" w:color="auto"/>
              <w:right w:val="nil"/>
            </w:tcBorders>
            <w:shd w:val="clear" w:color="000000" w:fill="33CCCC"/>
            <w:noWrap/>
            <w:vAlign w:val="bottom"/>
            <w:hideMark/>
          </w:tcPr>
          <w:p w14:paraId="5D6EC280" w14:textId="77777777" w:rsidR="00A72067" w:rsidRPr="00BF5E3C" w:rsidRDefault="00A72067" w:rsidP="00A72067">
            <w:pPr>
              <w:spacing w:after="0" w:line="240" w:lineRule="auto"/>
              <w:jc w:val="right"/>
              <w:rPr>
                <w:rFonts w:ascii="Tahoma" w:eastAsia="Times New Roman" w:hAnsi="Tahoma" w:cs="Tahoma"/>
                <w:sz w:val="16"/>
                <w:szCs w:val="16"/>
                <w:lang w:eastAsia="hr-HR"/>
              </w:rPr>
            </w:pPr>
            <w:r w:rsidRPr="00BF5E3C">
              <w:rPr>
                <w:rFonts w:ascii="Tahoma" w:eastAsia="Times New Roman" w:hAnsi="Tahoma" w:cs="Tahoma"/>
                <w:sz w:val="16"/>
                <w:szCs w:val="16"/>
                <w:lang w:eastAsia="hr-HR"/>
              </w:rPr>
              <w:t>0</w:t>
            </w:r>
          </w:p>
        </w:tc>
        <w:tc>
          <w:tcPr>
            <w:tcW w:w="425" w:type="dxa"/>
            <w:tcBorders>
              <w:top w:val="nil"/>
              <w:left w:val="single" w:sz="4" w:space="0" w:color="auto"/>
              <w:bottom w:val="single" w:sz="4" w:space="0" w:color="auto"/>
              <w:right w:val="single" w:sz="8" w:space="0" w:color="auto"/>
            </w:tcBorders>
            <w:shd w:val="clear" w:color="000000" w:fill="33CCCC"/>
            <w:noWrap/>
            <w:vAlign w:val="bottom"/>
            <w:hideMark/>
          </w:tcPr>
          <w:p w14:paraId="7D289298" w14:textId="77777777" w:rsidR="00A72067" w:rsidRPr="00BF5E3C" w:rsidRDefault="00A72067" w:rsidP="00A72067">
            <w:pPr>
              <w:spacing w:after="0" w:line="240" w:lineRule="auto"/>
              <w:jc w:val="right"/>
              <w:rPr>
                <w:rFonts w:ascii="Tahoma" w:eastAsia="Times New Roman" w:hAnsi="Tahoma" w:cs="Tahoma"/>
                <w:sz w:val="16"/>
                <w:szCs w:val="16"/>
                <w:lang w:eastAsia="hr-HR"/>
              </w:rPr>
            </w:pPr>
            <w:r w:rsidRPr="00BF5E3C">
              <w:rPr>
                <w:rFonts w:ascii="Tahoma" w:eastAsia="Times New Roman" w:hAnsi="Tahoma" w:cs="Tahoma"/>
                <w:sz w:val="16"/>
                <w:szCs w:val="16"/>
                <w:lang w:eastAsia="hr-HR"/>
              </w:rPr>
              <w:t>0</w:t>
            </w:r>
          </w:p>
        </w:tc>
        <w:tc>
          <w:tcPr>
            <w:tcW w:w="236" w:type="dxa"/>
            <w:vAlign w:val="center"/>
            <w:hideMark/>
          </w:tcPr>
          <w:p w14:paraId="188CD937" w14:textId="77777777" w:rsidR="00A72067" w:rsidRPr="00BF5E3C" w:rsidRDefault="00A72067" w:rsidP="00A72067">
            <w:pPr>
              <w:spacing w:after="0" w:line="240" w:lineRule="auto"/>
              <w:rPr>
                <w:rFonts w:ascii="Times New Roman" w:eastAsia="Times New Roman" w:hAnsi="Times New Roman" w:cs="Times New Roman"/>
                <w:sz w:val="16"/>
                <w:szCs w:val="16"/>
                <w:lang w:eastAsia="hr-HR"/>
              </w:rPr>
            </w:pPr>
          </w:p>
        </w:tc>
      </w:tr>
      <w:tr w:rsidR="00F90F6F" w:rsidRPr="00BF5E3C" w14:paraId="16322C23" w14:textId="77777777" w:rsidTr="00F90F6F">
        <w:trPr>
          <w:gridAfter w:val="1"/>
          <w:wAfter w:w="32" w:type="dxa"/>
          <w:trHeight w:val="402"/>
        </w:trPr>
        <w:tc>
          <w:tcPr>
            <w:tcW w:w="979" w:type="dxa"/>
            <w:tcBorders>
              <w:top w:val="nil"/>
              <w:left w:val="single" w:sz="8" w:space="0" w:color="auto"/>
              <w:bottom w:val="single" w:sz="4" w:space="0" w:color="auto"/>
              <w:right w:val="nil"/>
            </w:tcBorders>
            <w:shd w:val="clear" w:color="000000" w:fill="CCFFCC"/>
            <w:vAlign w:val="center"/>
            <w:hideMark/>
          </w:tcPr>
          <w:p w14:paraId="3B339B2C" w14:textId="77777777" w:rsidR="00A72067" w:rsidRPr="00BF5E3C" w:rsidRDefault="00A72067" w:rsidP="00A72067">
            <w:pPr>
              <w:spacing w:after="0" w:line="240" w:lineRule="auto"/>
              <w:jc w:val="center"/>
              <w:rPr>
                <w:rFonts w:ascii="Tahoma" w:eastAsia="Times New Roman" w:hAnsi="Tahoma" w:cs="Tahoma"/>
                <w:b/>
                <w:bCs/>
                <w:sz w:val="16"/>
                <w:szCs w:val="16"/>
                <w:lang w:eastAsia="hr-HR"/>
              </w:rPr>
            </w:pPr>
            <w:r w:rsidRPr="00BF5E3C">
              <w:rPr>
                <w:rFonts w:ascii="Tahoma" w:eastAsia="Times New Roman" w:hAnsi="Tahoma" w:cs="Tahoma"/>
                <w:b/>
                <w:bCs/>
                <w:sz w:val="16"/>
                <w:szCs w:val="16"/>
                <w:lang w:eastAsia="hr-HR"/>
              </w:rPr>
              <w:t>Ukupno</w:t>
            </w:r>
          </w:p>
        </w:tc>
        <w:tc>
          <w:tcPr>
            <w:tcW w:w="520" w:type="dxa"/>
            <w:tcBorders>
              <w:top w:val="nil"/>
              <w:left w:val="single" w:sz="4" w:space="0" w:color="auto"/>
              <w:bottom w:val="single" w:sz="4" w:space="0" w:color="auto"/>
              <w:right w:val="single" w:sz="4" w:space="0" w:color="auto"/>
            </w:tcBorders>
            <w:shd w:val="clear" w:color="000000" w:fill="FFFF00"/>
            <w:noWrap/>
            <w:vAlign w:val="bottom"/>
            <w:hideMark/>
          </w:tcPr>
          <w:p w14:paraId="45D4B1D6" w14:textId="77777777" w:rsidR="00A72067" w:rsidRPr="00BF5E3C" w:rsidRDefault="00A72067" w:rsidP="00A72067">
            <w:pPr>
              <w:spacing w:after="0" w:line="240" w:lineRule="auto"/>
              <w:jc w:val="center"/>
              <w:rPr>
                <w:rFonts w:ascii="Tahoma" w:eastAsia="Times New Roman" w:hAnsi="Tahoma" w:cs="Tahoma"/>
                <w:b/>
                <w:bCs/>
                <w:sz w:val="16"/>
                <w:szCs w:val="16"/>
                <w:lang w:eastAsia="hr-HR"/>
              </w:rPr>
            </w:pPr>
            <w:r w:rsidRPr="00BF5E3C">
              <w:rPr>
                <w:rFonts w:ascii="Tahoma" w:eastAsia="Times New Roman" w:hAnsi="Tahoma" w:cs="Tahoma"/>
                <w:b/>
                <w:bCs/>
                <w:sz w:val="16"/>
                <w:szCs w:val="16"/>
                <w:lang w:eastAsia="hr-HR"/>
              </w:rPr>
              <w:t>147</w:t>
            </w:r>
          </w:p>
        </w:tc>
        <w:tc>
          <w:tcPr>
            <w:tcW w:w="420" w:type="dxa"/>
            <w:tcBorders>
              <w:top w:val="nil"/>
              <w:left w:val="nil"/>
              <w:bottom w:val="single" w:sz="4" w:space="0" w:color="auto"/>
              <w:right w:val="single" w:sz="4" w:space="0" w:color="auto"/>
            </w:tcBorders>
            <w:shd w:val="clear" w:color="000000" w:fill="FFFF00"/>
            <w:noWrap/>
            <w:vAlign w:val="bottom"/>
            <w:hideMark/>
          </w:tcPr>
          <w:p w14:paraId="0BB74A31" w14:textId="77777777" w:rsidR="00A72067" w:rsidRPr="00BF5E3C" w:rsidRDefault="00A72067" w:rsidP="00A72067">
            <w:pPr>
              <w:spacing w:after="0" w:line="240" w:lineRule="auto"/>
              <w:jc w:val="center"/>
              <w:rPr>
                <w:rFonts w:ascii="Tahoma" w:eastAsia="Times New Roman" w:hAnsi="Tahoma" w:cs="Tahoma"/>
                <w:b/>
                <w:bCs/>
                <w:sz w:val="16"/>
                <w:szCs w:val="16"/>
                <w:lang w:eastAsia="hr-HR"/>
              </w:rPr>
            </w:pPr>
            <w:r w:rsidRPr="00BF5E3C">
              <w:rPr>
                <w:rFonts w:ascii="Tahoma" w:eastAsia="Times New Roman" w:hAnsi="Tahoma" w:cs="Tahoma"/>
                <w:b/>
                <w:bCs/>
                <w:sz w:val="16"/>
                <w:szCs w:val="16"/>
                <w:lang w:eastAsia="hr-HR"/>
              </w:rPr>
              <w:t>56</w:t>
            </w:r>
          </w:p>
        </w:tc>
        <w:tc>
          <w:tcPr>
            <w:tcW w:w="665" w:type="dxa"/>
            <w:tcBorders>
              <w:top w:val="nil"/>
              <w:left w:val="nil"/>
              <w:bottom w:val="single" w:sz="4" w:space="0" w:color="auto"/>
              <w:right w:val="single" w:sz="4" w:space="0" w:color="auto"/>
            </w:tcBorders>
            <w:shd w:val="clear" w:color="000000" w:fill="FFFF00"/>
            <w:noWrap/>
            <w:vAlign w:val="bottom"/>
            <w:hideMark/>
          </w:tcPr>
          <w:p w14:paraId="11A5FF6A" w14:textId="77777777" w:rsidR="00A72067" w:rsidRPr="00BF5E3C" w:rsidRDefault="00A72067" w:rsidP="00A72067">
            <w:pPr>
              <w:spacing w:after="0" w:line="240" w:lineRule="auto"/>
              <w:jc w:val="center"/>
              <w:rPr>
                <w:rFonts w:ascii="Tahoma" w:eastAsia="Times New Roman" w:hAnsi="Tahoma" w:cs="Tahoma"/>
                <w:b/>
                <w:bCs/>
                <w:sz w:val="16"/>
                <w:szCs w:val="16"/>
                <w:lang w:eastAsia="hr-HR"/>
              </w:rPr>
            </w:pPr>
            <w:r w:rsidRPr="00BF5E3C">
              <w:rPr>
                <w:rFonts w:ascii="Tahoma" w:eastAsia="Times New Roman" w:hAnsi="Tahoma" w:cs="Tahoma"/>
                <w:b/>
                <w:bCs/>
                <w:sz w:val="16"/>
                <w:szCs w:val="16"/>
                <w:lang w:eastAsia="hr-HR"/>
              </w:rPr>
              <w:t>26</w:t>
            </w:r>
          </w:p>
        </w:tc>
        <w:tc>
          <w:tcPr>
            <w:tcW w:w="571" w:type="dxa"/>
            <w:tcBorders>
              <w:top w:val="nil"/>
              <w:left w:val="nil"/>
              <w:bottom w:val="single" w:sz="4" w:space="0" w:color="auto"/>
              <w:right w:val="single" w:sz="4" w:space="0" w:color="auto"/>
            </w:tcBorders>
            <w:shd w:val="clear" w:color="000000" w:fill="FFFF00"/>
            <w:noWrap/>
            <w:vAlign w:val="bottom"/>
            <w:hideMark/>
          </w:tcPr>
          <w:p w14:paraId="28442F2B" w14:textId="77777777" w:rsidR="00A72067" w:rsidRPr="00BF5E3C" w:rsidRDefault="00A72067" w:rsidP="00A72067">
            <w:pPr>
              <w:spacing w:after="0" w:line="240" w:lineRule="auto"/>
              <w:jc w:val="center"/>
              <w:rPr>
                <w:rFonts w:ascii="Tahoma" w:eastAsia="Times New Roman" w:hAnsi="Tahoma" w:cs="Tahoma"/>
                <w:b/>
                <w:bCs/>
                <w:sz w:val="16"/>
                <w:szCs w:val="16"/>
                <w:lang w:eastAsia="hr-HR"/>
              </w:rPr>
            </w:pPr>
            <w:r w:rsidRPr="00BF5E3C">
              <w:rPr>
                <w:rFonts w:ascii="Tahoma" w:eastAsia="Times New Roman" w:hAnsi="Tahoma" w:cs="Tahoma"/>
                <w:b/>
                <w:bCs/>
                <w:sz w:val="16"/>
                <w:szCs w:val="16"/>
                <w:lang w:eastAsia="hr-HR"/>
              </w:rPr>
              <w:t>40</w:t>
            </w:r>
          </w:p>
        </w:tc>
        <w:tc>
          <w:tcPr>
            <w:tcW w:w="700" w:type="dxa"/>
            <w:tcBorders>
              <w:top w:val="nil"/>
              <w:left w:val="nil"/>
              <w:bottom w:val="single" w:sz="4" w:space="0" w:color="auto"/>
              <w:right w:val="single" w:sz="4" w:space="0" w:color="auto"/>
            </w:tcBorders>
            <w:shd w:val="clear" w:color="000000" w:fill="FFFF00"/>
            <w:noWrap/>
            <w:vAlign w:val="bottom"/>
            <w:hideMark/>
          </w:tcPr>
          <w:p w14:paraId="5AD25E29" w14:textId="77777777" w:rsidR="00A72067" w:rsidRPr="00BF5E3C" w:rsidRDefault="00A72067" w:rsidP="00A72067">
            <w:pPr>
              <w:spacing w:after="0" w:line="240" w:lineRule="auto"/>
              <w:jc w:val="center"/>
              <w:rPr>
                <w:rFonts w:ascii="Tahoma" w:eastAsia="Times New Roman" w:hAnsi="Tahoma" w:cs="Tahoma"/>
                <w:b/>
                <w:bCs/>
                <w:sz w:val="16"/>
                <w:szCs w:val="16"/>
                <w:lang w:eastAsia="hr-HR"/>
              </w:rPr>
            </w:pPr>
            <w:r w:rsidRPr="00BF5E3C">
              <w:rPr>
                <w:rFonts w:ascii="Tahoma" w:eastAsia="Times New Roman" w:hAnsi="Tahoma" w:cs="Tahoma"/>
                <w:b/>
                <w:bCs/>
                <w:sz w:val="16"/>
                <w:szCs w:val="16"/>
                <w:lang w:eastAsia="hr-HR"/>
              </w:rPr>
              <w:t>45</w:t>
            </w:r>
          </w:p>
        </w:tc>
        <w:tc>
          <w:tcPr>
            <w:tcW w:w="698" w:type="dxa"/>
            <w:tcBorders>
              <w:top w:val="nil"/>
              <w:left w:val="nil"/>
              <w:bottom w:val="single" w:sz="4" w:space="0" w:color="auto"/>
              <w:right w:val="single" w:sz="4" w:space="0" w:color="auto"/>
            </w:tcBorders>
            <w:shd w:val="clear" w:color="000000" w:fill="FFFF00"/>
            <w:noWrap/>
            <w:vAlign w:val="bottom"/>
            <w:hideMark/>
          </w:tcPr>
          <w:p w14:paraId="5373270E" w14:textId="77777777" w:rsidR="00A72067" w:rsidRPr="00BF5E3C" w:rsidRDefault="00A72067" w:rsidP="00A72067">
            <w:pPr>
              <w:spacing w:after="0" w:line="240" w:lineRule="auto"/>
              <w:jc w:val="center"/>
              <w:rPr>
                <w:rFonts w:ascii="Tahoma" w:eastAsia="Times New Roman" w:hAnsi="Tahoma" w:cs="Tahoma"/>
                <w:b/>
                <w:bCs/>
                <w:sz w:val="16"/>
                <w:szCs w:val="16"/>
                <w:lang w:eastAsia="hr-HR"/>
              </w:rPr>
            </w:pPr>
            <w:r w:rsidRPr="00BF5E3C">
              <w:rPr>
                <w:rFonts w:ascii="Tahoma" w:eastAsia="Times New Roman" w:hAnsi="Tahoma" w:cs="Tahoma"/>
                <w:b/>
                <w:bCs/>
                <w:sz w:val="16"/>
                <w:szCs w:val="16"/>
                <w:lang w:eastAsia="hr-HR"/>
              </w:rPr>
              <w:t>5</w:t>
            </w:r>
          </w:p>
        </w:tc>
        <w:tc>
          <w:tcPr>
            <w:tcW w:w="698" w:type="dxa"/>
            <w:tcBorders>
              <w:top w:val="nil"/>
              <w:left w:val="nil"/>
              <w:bottom w:val="single" w:sz="4" w:space="0" w:color="auto"/>
              <w:right w:val="single" w:sz="4" w:space="0" w:color="auto"/>
            </w:tcBorders>
            <w:shd w:val="clear" w:color="000000" w:fill="FFFF00"/>
            <w:noWrap/>
            <w:vAlign w:val="bottom"/>
            <w:hideMark/>
          </w:tcPr>
          <w:p w14:paraId="03AE2DF7" w14:textId="77777777" w:rsidR="00A72067" w:rsidRPr="00BF5E3C" w:rsidRDefault="00A72067" w:rsidP="00A72067">
            <w:pPr>
              <w:spacing w:after="0" w:line="240" w:lineRule="auto"/>
              <w:jc w:val="center"/>
              <w:rPr>
                <w:rFonts w:ascii="Tahoma" w:eastAsia="Times New Roman" w:hAnsi="Tahoma" w:cs="Tahoma"/>
                <w:b/>
                <w:bCs/>
                <w:sz w:val="16"/>
                <w:szCs w:val="16"/>
                <w:lang w:eastAsia="hr-HR"/>
              </w:rPr>
            </w:pPr>
            <w:r w:rsidRPr="00BF5E3C">
              <w:rPr>
                <w:rFonts w:ascii="Tahoma" w:eastAsia="Times New Roman" w:hAnsi="Tahoma" w:cs="Tahoma"/>
                <w:b/>
                <w:bCs/>
                <w:sz w:val="16"/>
                <w:szCs w:val="16"/>
                <w:lang w:eastAsia="hr-HR"/>
              </w:rPr>
              <w:t>9</w:t>
            </w:r>
          </w:p>
        </w:tc>
        <w:tc>
          <w:tcPr>
            <w:tcW w:w="698" w:type="dxa"/>
            <w:tcBorders>
              <w:top w:val="nil"/>
              <w:left w:val="nil"/>
              <w:bottom w:val="single" w:sz="4" w:space="0" w:color="auto"/>
              <w:right w:val="single" w:sz="4" w:space="0" w:color="auto"/>
            </w:tcBorders>
            <w:shd w:val="clear" w:color="000000" w:fill="FFFF00"/>
            <w:noWrap/>
            <w:vAlign w:val="bottom"/>
            <w:hideMark/>
          </w:tcPr>
          <w:p w14:paraId="4C260318" w14:textId="77777777" w:rsidR="00A72067" w:rsidRPr="00BF5E3C" w:rsidRDefault="00A72067" w:rsidP="00A72067">
            <w:pPr>
              <w:spacing w:after="0" w:line="240" w:lineRule="auto"/>
              <w:jc w:val="center"/>
              <w:rPr>
                <w:rFonts w:ascii="Tahoma" w:eastAsia="Times New Roman" w:hAnsi="Tahoma" w:cs="Tahoma"/>
                <w:b/>
                <w:bCs/>
                <w:sz w:val="16"/>
                <w:szCs w:val="16"/>
                <w:lang w:eastAsia="hr-HR"/>
              </w:rPr>
            </w:pPr>
            <w:r w:rsidRPr="00BF5E3C">
              <w:rPr>
                <w:rFonts w:ascii="Tahoma" w:eastAsia="Times New Roman" w:hAnsi="Tahoma" w:cs="Tahoma"/>
                <w:b/>
                <w:bCs/>
                <w:sz w:val="16"/>
                <w:szCs w:val="16"/>
                <w:lang w:eastAsia="hr-HR"/>
              </w:rPr>
              <w:t>0</w:t>
            </w:r>
          </w:p>
        </w:tc>
        <w:tc>
          <w:tcPr>
            <w:tcW w:w="527" w:type="dxa"/>
            <w:tcBorders>
              <w:top w:val="nil"/>
              <w:left w:val="nil"/>
              <w:bottom w:val="single" w:sz="4" w:space="0" w:color="auto"/>
              <w:right w:val="single" w:sz="4" w:space="0" w:color="auto"/>
            </w:tcBorders>
            <w:shd w:val="clear" w:color="000000" w:fill="FFFF00"/>
            <w:noWrap/>
            <w:vAlign w:val="bottom"/>
            <w:hideMark/>
          </w:tcPr>
          <w:p w14:paraId="6951898E" w14:textId="77777777" w:rsidR="00A72067" w:rsidRPr="00BF5E3C" w:rsidRDefault="00A72067" w:rsidP="00A72067">
            <w:pPr>
              <w:spacing w:after="0" w:line="240" w:lineRule="auto"/>
              <w:jc w:val="center"/>
              <w:rPr>
                <w:rFonts w:ascii="Tahoma" w:eastAsia="Times New Roman" w:hAnsi="Tahoma" w:cs="Tahoma"/>
                <w:b/>
                <w:bCs/>
                <w:sz w:val="16"/>
                <w:szCs w:val="16"/>
                <w:lang w:eastAsia="hr-HR"/>
              </w:rPr>
            </w:pPr>
            <w:r w:rsidRPr="00BF5E3C">
              <w:rPr>
                <w:rFonts w:ascii="Tahoma" w:eastAsia="Times New Roman" w:hAnsi="Tahoma" w:cs="Tahoma"/>
                <w:b/>
                <w:bCs/>
                <w:sz w:val="16"/>
                <w:szCs w:val="16"/>
                <w:lang w:eastAsia="hr-HR"/>
              </w:rPr>
              <w:t>0</w:t>
            </w:r>
          </w:p>
        </w:tc>
        <w:tc>
          <w:tcPr>
            <w:tcW w:w="702" w:type="dxa"/>
            <w:tcBorders>
              <w:top w:val="nil"/>
              <w:left w:val="nil"/>
              <w:bottom w:val="single" w:sz="4" w:space="0" w:color="auto"/>
              <w:right w:val="single" w:sz="4" w:space="0" w:color="auto"/>
            </w:tcBorders>
            <w:shd w:val="clear" w:color="000000" w:fill="FFFF00"/>
            <w:noWrap/>
            <w:vAlign w:val="bottom"/>
            <w:hideMark/>
          </w:tcPr>
          <w:p w14:paraId="7817049E" w14:textId="77777777" w:rsidR="00A72067" w:rsidRPr="00BF5E3C" w:rsidRDefault="00A72067" w:rsidP="00A72067">
            <w:pPr>
              <w:spacing w:after="0" w:line="240" w:lineRule="auto"/>
              <w:jc w:val="center"/>
              <w:rPr>
                <w:rFonts w:ascii="Tahoma" w:eastAsia="Times New Roman" w:hAnsi="Tahoma" w:cs="Tahoma"/>
                <w:b/>
                <w:bCs/>
                <w:sz w:val="16"/>
                <w:szCs w:val="16"/>
                <w:lang w:eastAsia="hr-HR"/>
              </w:rPr>
            </w:pPr>
            <w:r w:rsidRPr="00BF5E3C">
              <w:rPr>
                <w:rFonts w:ascii="Tahoma" w:eastAsia="Times New Roman" w:hAnsi="Tahoma" w:cs="Tahoma"/>
                <w:b/>
                <w:bCs/>
                <w:sz w:val="16"/>
                <w:szCs w:val="16"/>
                <w:lang w:eastAsia="hr-HR"/>
              </w:rPr>
              <w:t>2</w:t>
            </w:r>
          </w:p>
        </w:tc>
        <w:tc>
          <w:tcPr>
            <w:tcW w:w="698" w:type="dxa"/>
            <w:tcBorders>
              <w:top w:val="nil"/>
              <w:left w:val="nil"/>
              <w:bottom w:val="single" w:sz="4" w:space="0" w:color="auto"/>
              <w:right w:val="single" w:sz="4" w:space="0" w:color="auto"/>
            </w:tcBorders>
            <w:shd w:val="clear" w:color="000000" w:fill="FFFF00"/>
            <w:noWrap/>
            <w:vAlign w:val="bottom"/>
            <w:hideMark/>
          </w:tcPr>
          <w:p w14:paraId="26192127" w14:textId="77777777" w:rsidR="00A72067" w:rsidRPr="00BF5E3C" w:rsidRDefault="00A72067" w:rsidP="00A72067">
            <w:pPr>
              <w:spacing w:after="0" w:line="240" w:lineRule="auto"/>
              <w:jc w:val="center"/>
              <w:rPr>
                <w:rFonts w:ascii="Tahoma" w:eastAsia="Times New Roman" w:hAnsi="Tahoma" w:cs="Tahoma"/>
                <w:b/>
                <w:bCs/>
                <w:sz w:val="16"/>
                <w:szCs w:val="16"/>
                <w:lang w:eastAsia="hr-HR"/>
              </w:rPr>
            </w:pPr>
            <w:r w:rsidRPr="00BF5E3C">
              <w:rPr>
                <w:rFonts w:ascii="Tahoma" w:eastAsia="Times New Roman" w:hAnsi="Tahoma" w:cs="Tahoma"/>
                <w:b/>
                <w:bCs/>
                <w:sz w:val="16"/>
                <w:szCs w:val="16"/>
                <w:lang w:eastAsia="hr-HR"/>
              </w:rPr>
              <w:t>7</w:t>
            </w:r>
          </w:p>
        </w:tc>
        <w:tc>
          <w:tcPr>
            <w:tcW w:w="439" w:type="dxa"/>
            <w:tcBorders>
              <w:top w:val="nil"/>
              <w:left w:val="nil"/>
              <w:bottom w:val="single" w:sz="4" w:space="0" w:color="auto"/>
              <w:right w:val="single" w:sz="4" w:space="0" w:color="auto"/>
            </w:tcBorders>
            <w:shd w:val="clear" w:color="000000" w:fill="FFFF00"/>
            <w:noWrap/>
            <w:vAlign w:val="bottom"/>
            <w:hideMark/>
          </w:tcPr>
          <w:p w14:paraId="2D19A378" w14:textId="77777777" w:rsidR="00A72067" w:rsidRPr="00BF5E3C" w:rsidRDefault="00A72067" w:rsidP="00A72067">
            <w:pPr>
              <w:spacing w:after="0" w:line="240" w:lineRule="auto"/>
              <w:jc w:val="center"/>
              <w:rPr>
                <w:rFonts w:ascii="Tahoma" w:eastAsia="Times New Roman" w:hAnsi="Tahoma" w:cs="Tahoma"/>
                <w:b/>
                <w:bCs/>
                <w:sz w:val="16"/>
                <w:szCs w:val="16"/>
                <w:lang w:eastAsia="hr-HR"/>
              </w:rPr>
            </w:pPr>
            <w:r w:rsidRPr="00BF5E3C">
              <w:rPr>
                <w:rFonts w:ascii="Tahoma" w:eastAsia="Times New Roman" w:hAnsi="Tahoma" w:cs="Tahoma"/>
                <w:b/>
                <w:bCs/>
                <w:sz w:val="16"/>
                <w:szCs w:val="16"/>
                <w:lang w:eastAsia="hr-HR"/>
              </w:rPr>
              <w:t>14</w:t>
            </w:r>
          </w:p>
        </w:tc>
        <w:tc>
          <w:tcPr>
            <w:tcW w:w="439" w:type="dxa"/>
            <w:tcBorders>
              <w:top w:val="nil"/>
              <w:left w:val="nil"/>
              <w:bottom w:val="single" w:sz="4" w:space="0" w:color="auto"/>
              <w:right w:val="single" w:sz="4" w:space="0" w:color="auto"/>
            </w:tcBorders>
            <w:shd w:val="clear" w:color="000000" w:fill="FFFF00"/>
            <w:noWrap/>
            <w:vAlign w:val="bottom"/>
            <w:hideMark/>
          </w:tcPr>
          <w:p w14:paraId="4BA10550" w14:textId="77777777" w:rsidR="00A72067" w:rsidRPr="00BF5E3C" w:rsidRDefault="00A72067" w:rsidP="00A72067">
            <w:pPr>
              <w:spacing w:after="0" w:line="240" w:lineRule="auto"/>
              <w:jc w:val="center"/>
              <w:rPr>
                <w:rFonts w:ascii="Tahoma" w:eastAsia="Times New Roman" w:hAnsi="Tahoma" w:cs="Tahoma"/>
                <w:b/>
                <w:bCs/>
                <w:sz w:val="16"/>
                <w:szCs w:val="16"/>
                <w:lang w:eastAsia="hr-HR"/>
              </w:rPr>
            </w:pPr>
            <w:r w:rsidRPr="00BF5E3C">
              <w:rPr>
                <w:rFonts w:ascii="Tahoma" w:eastAsia="Times New Roman" w:hAnsi="Tahoma" w:cs="Tahoma"/>
                <w:b/>
                <w:bCs/>
                <w:sz w:val="16"/>
                <w:szCs w:val="16"/>
                <w:lang w:eastAsia="hr-HR"/>
              </w:rPr>
              <w:t>22</w:t>
            </w:r>
          </w:p>
        </w:tc>
        <w:tc>
          <w:tcPr>
            <w:tcW w:w="665" w:type="dxa"/>
            <w:tcBorders>
              <w:top w:val="nil"/>
              <w:left w:val="nil"/>
              <w:bottom w:val="single" w:sz="4" w:space="0" w:color="auto"/>
              <w:right w:val="single" w:sz="4" w:space="0" w:color="auto"/>
            </w:tcBorders>
            <w:shd w:val="clear" w:color="000000" w:fill="FFFF00"/>
            <w:noWrap/>
            <w:vAlign w:val="bottom"/>
            <w:hideMark/>
          </w:tcPr>
          <w:p w14:paraId="7B55BC47" w14:textId="77777777" w:rsidR="00A72067" w:rsidRPr="00BF5E3C" w:rsidRDefault="00A72067" w:rsidP="00A72067">
            <w:pPr>
              <w:spacing w:after="0" w:line="240" w:lineRule="auto"/>
              <w:jc w:val="center"/>
              <w:rPr>
                <w:rFonts w:ascii="Tahoma" w:eastAsia="Times New Roman" w:hAnsi="Tahoma" w:cs="Tahoma"/>
                <w:b/>
                <w:bCs/>
                <w:sz w:val="16"/>
                <w:szCs w:val="16"/>
                <w:lang w:eastAsia="hr-HR"/>
              </w:rPr>
            </w:pPr>
            <w:r w:rsidRPr="00BF5E3C">
              <w:rPr>
                <w:rFonts w:ascii="Tahoma" w:eastAsia="Times New Roman" w:hAnsi="Tahoma" w:cs="Tahoma"/>
                <w:b/>
                <w:bCs/>
                <w:sz w:val="16"/>
                <w:szCs w:val="16"/>
                <w:lang w:eastAsia="hr-HR"/>
              </w:rPr>
              <w:t>43</w:t>
            </w:r>
          </w:p>
        </w:tc>
        <w:tc>
          <w:tcPr>
            <w:tcW w:w="698" w:type="dxa"/>
            <w:tcBorders>
              <w:top w:val="nil"/>
              <w:left w:val="nil"/>
              <w:bottom w:val="single" w:sz="4" w:space="0" w:color="auto"/>
              <w:right w:val="single" w:sz="4" w:space="0" w:color="auto"/>
            </w:tcBorders>
            <w:shd w:val="clear" w:color="000000" w:fill="FFFF00"/>
            <w:noWrap/>
            <w:vAlign w:val="bottom"/>
            <w:hideMark/>
          </w:tcPr>
          <w:p w14:paraId="2324F76A" w14:textId="77777777" w:rsidR="00A72067" w:rsidRPr="00BF5E3C" w:rsidRDefault="00A72067" w:rsidP="00A72067">
            <w:pPr>
              <w:spacing w:after="0" w:line="240" w:lineRule="auto"/>
              <w:jc w:val="center"/>
              <w:rPr>
                <w:rFonts w:ascii="Tahoma" w:eastAsia="Times New Roman" w:hAnsi="Tahoma" w:cs="Tahoma"/>
                <w:b/>
                <w:bCs/>
                <w:sz w:val="16"/>
                <w:szCs w:val="16"/>
                <w:lang w:eastAsia="hr-HR"/>
              </w:rPr>
            </w:pPr>
            <w:r w:rsidRPr="00BF5E3C">
              <w:rPr>
                <w:rFonts w:ascii="Tahoma" w:eastAsia="Times New Roman" w:hAnsi="Tahoma" w:cs="Tahoma"/>
                <w:b/>
                <w:bCs/>
                <w:sz w:val="16"/>
                <w:szCs w:val="16"/>
                <w:lang w:eastAsia="hr-HR"/>
              </w:rPr>
              <w:t>160</w:t>
            </w:r>
          </w:p>
        </w:tc>
        <w:tc>
          <w:tcPr>
            <w:tcW w:w="707" w:type="dxa"/>
            <w:tcBorders>
              <w:top w:val="nil"/>
              <w:left w:val="nil"/>
              <w:bottom w:val="single" w:sz="4" w:space="0" w:color="auto"/>
              <w:right w:val="single" w:sz="4" w:space="0" w:color="auto"/>
            </w:tcBorders>
            <w:shd w:val="clear" w:color="000000" w:fill="FFFF00"/>
            <w:noWrap/>
            <w:vAlign w:val="bottom"/>
            <w:hideMark/>
          </w:tcPr>
          <w:p w14:paraId="5C346EA7" w14:textId="77777777" w:rsidR="00A72067" w:rsidRPr="00BF5E3C" w:rsidRDefault="00A72067" w:rsidP="00A72067">
            <w:pPr>
              <w:spacing w:after="0" w:line="240" w:lineRule="auto"/>
              <w:jc w:val="center"/>
              <w:rPr>
                <w:rFonts w:ascii="Tahoma" w:eastAsia="Times New Roman" w:hAnsi="Tahoma" w:cs="Tahoma"/>
                <w:b/>
                <w:bCs/>
                <w:sz w:val="16"/>
                <w:szCs w:val="16"/>
                <w:lang w:eastAsia="hr-HR"/>
              </w:rPr>
            </w:pPr>
            <w:r w:rsidRPr="00BF5E3C">
              <w:rPr>
                <w:rFonts w:ascii="Tahoma" w:eastAsia="Times New Roman" w:hAnsi="Tahoma" w:cs="Tahoma"/>
                <w:b/>
                <w:bCs/>
                <w:sz w:val="16"/>
                <w:szCs w:val="16"/>
                <w:lang w:eastAsia="hr-HR"/>
              </w:rPr>
              <w:t>11</w:t>
            </w:r>
          </w:p>
        </w:tc>
        <w:tc>
          <w:tcPr>
            <w:tcW w:w="707" w:type="dxa"/>
            <w:tcBorders>
              <w:top w:val="nil"/>
              <w:left w:val="nil"/>
              <w:bottom w:val="single" w:sz="4" w:space="0" w:color="auto"/>
              <w:right w:val="single" w:sz="4" w:space="0" w:color="auto"/>
            </w:tcBorders>
            <w:shd w:val="clear" w:color="000000" w:fill="FFFF00"/>
            <w:noWrap/>
            <w:vAlign w:val="bottom"/>
            <w:hideMark/>
          </w:tcPr>
          <w:p w14:paraId="6285F201" w14:textId="77777777" w:rsidR="00A72067" w:rsidRPr="00BF5E3C" w:rsidRDefault="00A72067" w:rsidP="00A72067">
            <w:pPr>
              <w:spacing w:after="0" w:line="240" w:lineRule="auto"/>
              <w:jc w:val="center"/>
              <w:rPr>
                <w:rFonts w:ascii="Tahoma" w:eastAsia="Times New Roman" w:hAnsi="Tahoma" w:cs="Tahoma"/>
                <w:b/>
                <w:bCs/>
                <w:sz w:val="16"/>
                <w:szCs w:val="16"/>
                <w:lang w:eastAsia="hr-HR"/>
              </w:rPr>
            </w:pPr>
            <w:r w:rsidRPr="00BF5E3C">
              <w:rPr>
                <w:rFonts w:ascii="Tahoma" w:eastAsia="Times New Roman" w:hAnsi="Tahoma" w:cs="Tahoma"/>
                <w:b/>
                <w:bCs/>
                <w:sz w:val="16"/>
                <w:szCs w:val="16"/>
                <w:lang w:eastAsia="hr-HR"/>
              </w:rPr>
              <w:t>0</w:t>
            </w:r>
          </w:p>
        </w:tc>
        <w:tc>
          <w:tcPr>
            <w:tcW w:w="698" w:type="dxa"/>
            <w:tcBorders>
              <w:top w:val="nil"/>
              <w:left w:val="nil"/>
              <w:bottom w:val="single" w:sz="4" w:space="0" w:color="auto"/>
              <w:right w:val="single" w:sz="4" w:space="0" w:color="auto"/>
            </w:tcBorders>
            <w:shd w:val="clear" w:color="000000" w:fill="FFFF00"/>
            <w:noWrap/>
            <w:vAlign w:val="bottom"/>
            <w:hideMark/>
          </w:tcPr>
          <w:p w14:paraId="47A1FB70" w14:textId="77777777" w:rsidR="00A72067" w:rsidRPr="00BF5E3C" w:rsidRDefault="00A72067" w:rsidP="00A72067">
            <w:pPr>
              <w:spacing w:after="0" w:line="240" w:lineRule="auto"/>
              <w:jc w:val="center"/>
              <w:rPr>
                <w:rFonts w:ascii="Tahoma" w:eastAsia="Times New Roman" w:hAnsi="Tahoma" w:cs="Tahoma"/>
                <w:b/>
                <w:bCs/>
                <w:sz w:val="16"/>
                <w:szCs w:val="16"/>
                <w:lang w:eastAsia="hr-HR"/>
              </w:rPr>
            </w:pPr>
            <w:r w:rsidRPr="00BF5E3C">
              <w:rPr>
                <w:rFonts w:ascii="Tahoma" w:eastAsia="Times New Roman" w:hAnsi="Tahoma" w:cs="Tahoma"/>
                <w:b/>
                <w:bCs/>
                <w:sz w:val="16"/>
                <w:szCs w:val="16"/>
                <w:lang w:eastAsia="hr-HR"/>
              </w:rPr>
              <w:t>4</w:t>
            </w:r>
          </w:p>
        </w:tc>
        <w:tc>
          <w:tcPr>
            <w:tcW w:w="377" w:type="dxa"/>
            <w:tcBorders>
              <w:top w:val="nil"/>
              <w:left w:val="nil"/>
              <w:bottom w:val="single" w:sz="4" w:space="0" w:color="auto"/>
              <w:right w:val="single" w:sz="4" w:space="0" w:color="auto"/>
            </w:tcBorders>
            <w:shd w:val="clear" w:color="000000" w:fill="FFFF00"/>
            <w:noWrap/>
            <w:vAlign w:val="bottom"/>
            <w:hideMark/>
          </w:tcPr>
          <w:p w14:paraId="2C37C0D2" w14:textId="77777777" w:rsidR="00A72067" w:rsidRPr="00BF5E3C" w:rsidRDefault="00A72067" w:rsidP="00A72067">
            <w:pPr>
              <w:spacing w:after="0" w:line="240" w:lineRule="auto"/>
              <w:jc w:val="center"/>
              <w:rPr>
                <w:rFonts w:ascii="Tahoma" w:eastAsia="Times New Roman" w:hAnsi="Tahoma" w:cs="Tahoma"/>
                <w:b/>
                <w:bCs/>
                <w:sz w:val="16"/>
                <w:szCs w:val="16"/>
                <w:lang w:eastAsia="hr-HR"/>
              </w:rPr>
            </w:pPr>
            <w:r w:rsidRPr="00BF5E3C">
              <w:rPr>
                <w:rFonts w:ascii="Tahoma" w:eastAsia="Times New Roman" w:hAnsi="Tahoma" w:cs="Tahoma"/>
                <w:b/>
                <w:bCs/>
                <w:sz w:val="16"/>
                <w:szCs w:val="16"/>
                <w:lang w:eastAsia="hr-HR"/>
              </w:rPr>
              <w:t>9</w:t>
            </w:r>
          </w:p>
        </w:tc>
        <w:tc>
          <w:tcPr>
            <w:tcW w:w="388" w:type="dxa"/>
            <w:tcBorders>
              <w:top w:val="nil"/>
              <w:left w:val="nil"/>
              <w:bottom w:val="single" w:sz="4" w:space="0" w:color="auto"/>
              <w:right w:val="single" w:sz="4" w:space="0" w:color="auto"/>
            </w:tcBorders>
            <w:shd w:val="clear" w:color="000000" w:fill="FFFF00"/>
            <w:noWrap/>
            <w:vAlign w:val="bottom"/>
            <w:hideMark/>
          </w:tcPr>
          <w:p w14:paraId="71ECF68D" w14:textId="77777777" w:rsidR="00A72067" w:rsidRPr="00BF5E3C" w:rsidRDefault="00A72067" w:rsidP="00A72067">
            <w:pPr>
              <w:spacing w:after="0" w:line="240" w:lineRule="auto"/>
              <w:jc w:val="center"/>
              <w:rPr>
                <w:rFonts w:ascii="Tahoma" w:eastAsia="Times New Roman" w:hAnsi="Tahoma" w:cs="Tahoma"/>
                <w:b/>
                <w:bCs/>
                <w:sz w:val="16"/>
                <w:szCs w:val="16"/>
                <w:lang w:eastAsia="hr-HR"/>
              </w:rPr>
            </w:pPr>
            <w:r w:rsidRPr="00BF5E3C">
              <w:rPr>
                <w:rFonts w:ascii="Tahoma" w:eastAsia="Times New Roman" w:hAnsi="Tahoma" w:cs="Tahoma"/>
                <w:b/>
                <w:bCs/>
                <w:sz w:val="16"/>
                <w:szCs w:val="16"/>
                <w:lang w:eastAsia="hr-HR"/>
              </w:rPr>
              <w:t>8</w:t>
            </w:r>
          </w:p>
        </w:tc>
        <w:tc>
          <w:tcPr>
            <w:tcW w:w="399" w:type="dxa"/>
            <w:tcBorders>
              <w:top w:val="nil"/>
              <w:left w:val="nil"/>
              <w:bottom w:val="single" w:sz="4" w:space="0" w:color="auto"/>
              <w:right w:val="single" w:sz="4" w:space="0" w:color="auto"/>
            </w:tcBorders>
            <w:shd w:val="clear" w:color="000000" w:fill="FFFF00"/>
            <w:noWrap/>
            <w:vAlign w:val="bottom"/>
            <w:hideMark/>
          </w:tcPr>
          <w:p w14:paraId="2ABB7D41" w14:textId="77777777" w:rsidR="00A72067" w:rsidRPr="00BF5E3C" w:rsidRDefault="00A72067" w:rsidP="00A72067">
            <w:pPr>
              <w:spacing w:after="0" w:line="240" w:lineRule="auto"/>
              <w:jc w:val="center"/>
              <w:rPr>
                <w:rFonts w:ascii="Tahoma" w:eastAsia="Times New Roman" w:hAnsi="Tahoma" w:cs="Tahoma"/>
                <w:b/>
                <w:bCs/>
                <w:sz w:val="16"/>
                <w:szCs w:val="16"/>
                <w:lang w:eastAsia="hr-HR"/>
              </w:rPr>
            </w:pPr>
            <w:r w:rsidRPr="00BF5E3C">
              <w:rPr>
                <w:rFonts w:ascii="Tahoma" w:eastAsia="Times New Roman" w:hAnsi="Tahoma" w:cs="Tahoma"/>
                <w:b/>
                <w:bCs/>
                <w:sz w:val="16"/>
                <w:szCs w:val="16"/>
                <w:lang w:eastAsia="hr-HR"/>
              </w:rPr>
              <w:t>0</w:t>
            </w:r>
          </w:p>
        </w:tc>
        <w:tc>
          <w:tcPr>
            <w:tcW w:w="489" w:type="dxa"/>
            <w:gridSpan w:val="2"/>
            <w:tcBorders>
              <w:top w:val="nil"/>
              <w:left w:val="nil"/>
              <w:bottom w:val="single" w:sz="4" w:space="0" w:color="auto"/>
              <w:right w:val="single" w:sz="4" w:space="0" w:color="auto"/>
            </w:tcBorders>
            <w:shd w:val="clear" w:color="000000" w:fill="FFFF00"/>
            <w:noWrap/>
            <w:vAlign w:val="bottom"/>
            <w:hideMark/>
          </w:tcPr>
          <w:p w14:paraId="75C0EE2B" w14:textId="77777777" w:rsidR="00A72067" w:rsidRPr="00BF5E3C" w:rsidRDefault="00A72067" w:rsidP="00A72067">
            <w:pPr>
              <w:spacing w:after="0" w:line="240" w:lineRule="auto"/>
              <w:jc w:val="center"/>
              <w:rPr>
                <w:rFonts w:ascii="Tahoma" w:eastAsia="Times New Roman" w:hAnsi="Tahoma" w:cs="Tahoma"/>
                <w:b/>
                <w:bCs/>
                <w:sz w:val="16"/>
                <w:szCs w:val="16"/>
                <w:lang w:eastAsia="hr-HR"/>
              </w:rPr>
            </w:pPr>
            <w:r w:rsidRPr="00BF5E3C">
              <w:rPr>
                <w:rFonts w:ascii="Tahoma" w:eastAsia="Times New Roman" w:hAnsi="Tahoma" w:cs="Tahoma"/>
                <w:b/>
                <w:bCs/>
                <w:sz w:val="16"/>
                <w:szCs w:val="16"/>
                <w:lang w:eastAsia="hr-HR"/>
              </w:rPr>
              <w:t>7</w:t>
            </w:r>
          </w:p>
        </w:tc>
        <w:tc>
          <w:tcPr>
            <w:tcW w:w="425" w:type="dxa"/>
            <w:tcBorders>
              <w:top w:val="nil"/>
              <w:left w:val="nil"/>
              <w:bottom w:val="single" w:sz="4" w:space="0" w:color="auto"/>
              <w:right w:val="single" w:sz="4" w:space="0" w:color="auto"/>
            </w:tcBorders>
            <w:shd w:val="clear" w:color="000000" w:fill="FFFF00"/>
            <w:noWrap/>
            <w:vAlign w:val="bottom"/>
            <w:hideMark/>
          </w:tcPr>
          <w:p w14:paraId="057DD35F" w14:textId="77777777" w:rsidR="00A72067" w:rsidRPr="00BF5E3C" w:rsidRDefault="00A72067" w:rsidP="00A72067">
            <w:pPr>
              <w:spacing w:after="0" w:line="240" w:lineRule="auto"/>
              <w:jc w:val="center"/>
              <w:rPr>
                <w:rFonts w:ascii="Tahoma" w:eastAsia="Times New Roman" w:hAnsi="Tahoma" w:cs="Tahoma"/>
                <w:b/>
                <w:bCs/>
                <w:sz w:val="16"/>
                <w:szCs w:val="16"/>
                <w:lang w:eastAsia="hr-HR"/>
              </w:rPr>
            </w:pPr>
            <w:r w:rsidRPr="00BF5E3C">
              <w:rPr>
                <w:rFonts w:ascii="Tahoma" w:eastAsia="Times New Roman" w:hAnsi="Tahoma" w:cs="Tahoma"/>
                <w:b/>
                <w:bCs/>
                <w:sz w:val="16"/>
                <w:szCs w:val="16"/>
                <w:lang w:eastAsia="hr-HR"/>
              </w:rPr>
              <w:t>36</w:t>
            </w:r>
          </w:p>
        </w:tc>
        <w:tc>
          <w:tcPr>
            <w:tcW w:w="236" w:type="dxa"/>
            <w:vAlign w:val="center"/>
            <w:hideMark/>
          </w:tcPr>
          <w:p w14:paraId="47229EC8" w14:textId="77777777" w:rsidR="00A72067" w:rsidRPr="00BF5E3C" w:rsidRDefault="00A72067" w:rsidP="00A72067">
            <w:pPr>
              <w:spacing w:after="0" w:line="240" w:lineRule="auto"/>
              <w:rPr>
                <w:rFonts w:ascii="Times New Roman" w:eastAsia="Times New Roman" w:hAnsi="Times New Roman" w:cs="Times New Roman"/>
                <w:sz w:val="16"/>
                <w:szCs w:val="16"/>
                <w:lang w:eastAsia="hr-HR"/>
              </w:rPr>
            </w:pPr>
          </w:p>
        </w:tc>
      </w:tr>
    </w:tbl>
    <w:p w14:paraId="7B1C2B00" w14:textId="02AA89ED" w:rsidR="00A72067" w:rsidRDefault="00A72067" w:rsidP="00E103B8">
      <w:pPr>
        <w:rPr>
          <w:rFonts w:ascii="Times New Roman" w:hAnsi="Times New Roman" w:cs="Times New Roman"/>
          <w:sz w:val="24"/>
          <w:szCs w:val="24"/>
        </w:rPr>
      </w:pPr>
    </w:p>
    <w:p w14:paraId="637A045D" w14:textId="5B0657A0" w:rsidR="00A72067" w:rsidRDefault="00A72067" w:rsidP="00E103B8">
      <w:pPr>
        <w:rPr>
          <w:rFonts w:ascii="Times New Roman" w:hAnsi="Times New Roman" w:cs="Times New Roman"/>
          <w:sz w:val="24"/>
          <w:szCs w:val="24"/>
        </w:rPr>
      </w:pPr>
    </w:p>
    <w:p w14:paraId="1D5C7EED" w14:textId="4E7460F8" w:rsidR="00BF5E3C" w:rsidRDefault="00BF5E3C">
      <w:pPr>
        <w:rPr>
          <w:rFonts w:ascii="Times New Roman" w:hAnsi="Times New Roman" w:cs="Times New Roman"/>
          <w:sz w:val="24"/>
          <w:szCs w:val="24"/>
        </w:rPr>
      </w:pPr>
      <w:r>
        <w:rPr>
          <w:rFonts w:ascii="Times New Roman" w:hAnsi="Times New Roman" w:cs="Times New Roman"/>
          <w:sz w:val="24"/>
          <w:szCs w:val="24"/>
        </w:rPr>
        <w:br w:type="page"/>
      </w:r>
    </w:p>
    <w:p w14:paraId="0E4ACC3E" w14:textId="4CE07A2E" w:rsidR="00E103B8" w:rsidRPr="005E671C" w:rsidRDefault="00E103B8" w:rsidP="00E103B8">
      <w:pPr>
        <w:rPr>
          <w:rFonts w:ascii="Times New Roman" w:hAnsi="Times New Roman" w:cs="Times New Roman"/>
          <w:sz w:val="24"/>
          <w:szCs w:val="24"/>
        </w:rPr>
      </w:pPr>
      <w:r w:rsidRPr="005E671C">
        <w:rPr>
          <w:rFonts w:ascii="Times New Roman" w:hAnsi="Times New Roman" w:cs="Times New Roman"/>
          <w:sz w:val="24"/>
          <w:szCs w:val="24"/>
        </w:rPr>
        <w:lastRenderedPageBreak/>
        <w:t>OPĆINSKI SUDOVI (KAZNENI PREDMETI) - UKUPNO 201</w:t>
      </w:r>
      <w:r>
        <w:rPr>
          <w:rFonts w:ascii="Times New Roman" w:hAnsi="Times New Roman" w:cs="Times New Roman"/>
          <w:sz w:val="24"/>
          <w:szCs w:val="24"/>
        </w:rPr>
        <w:t>7</w:t>
      </w:r>
      <w:r w:rsidRPr="005E671C">
        <w:rPr>
          <w:rFonts w:ascii="Times New Roman" w:hAnsi="Times New Roman" w:cs="Times New Roman"/>
          <w:sz w:val="24"/>
          <w:szCs w:val="24"/>
        </w:rPr>
        <w:t>. godina</w:t>
      </w:r>
    </w:p>
    <w:tbl>
      <w:tblPr>
        <w:tblW w:w="15009" w:type="dxa"/>
        <w:tblLayout w:type="fixed"/>
        <w:tblLook w:val="04A0" w:firstRow="1" w:lastRow="0" w:firstColumn="1" w:lastColumn="0" w:noHBand="0" w:noVBand="1"/>
      </w:tblPr>
      <w:tblGrid>
        <w:gridCol w:w="1286"/>
        <w:gridCol w:w="561"/>
        <w:gridCol w:w="451"/>
        <w:gridCol w:w="382"/>
        <w:gridCol w:w="427"/>
        <w:gridCol w:w="559"/>
        <w:gridCol w:w="424"/>
        <w:gridCol w:w="816"/>
        <w:gridCol w:w="422"/>
        <w:gridCol w:w="456"/>
        <w:gridCol w:w="422"/>
        <w:gridCol w:w="517"/>
        <w:gridCol w:w="474"/>
        <w:gridCol w:w="577"/>
        <w:gridCol w:w="352"/>
        <w:gridCol w:w="70"/>
        <w:gridCol w:w="320"/>
        <w:gridCol w:w="426"/>
        <w:gridCol w:w="422"/>
        <w:gridCol w:w="425"/>
        <w:gridCol w:w="8"/>
        <w:gridCol w:w="422"/>
        <w:gridCol w:w="424"/>
        <w:gridCol w:w="430"/>
        <w:gridCol w:w="424"/>
        <w:gridCol w:w="570"/>
        <w:gridCol w:w="17"/>
        <w:gridCol w:w="407"/>
        <w:gridCol w:w="17"/>
        <w:gridCol w:w="504"/>
        <w:gridCol w:w="420"/>
        <w:gridCol w:w="406"/>
        <w:gridCol w:w="81"/>
        <w:gridCol w:w="388"/>
        <w:gridCol w:w="362"/>
        <w:gridCol w:w="34"/>
        <w:gridCol w:w="29"/>
        <w:gridCol w:w="173"/>
        <w:gridCol w:w="34"/>
        <w:gridCol w:w="70"/>
      </w:tblGrid>
      <w:tr w:rsidR="00A72067" w:rsidRPr="00A72067" w14:paraId="7F717C4A" w14:textId="77777777" w:rsidTr="00A72067">
        <w:trPr>
          <w:gridAfter w:val="3"/>
          <w:wAfter w:w="277" w:type="dxa"/>
          <w:trHeight w:val="450"/>
        </w:trPr>
        <w:tc>
          <w:tcPr>
            <w:tcW w:w="1286" w:type="dxa"/>
            <w:vMerge w:val="restart"/>
            <w:tcBorders>
              <w:top w:val="single" w:sz="8" w:space="0" w:color="auto"/>
              <w:left w:val="single" w:sz="8" w:space="0" w:color="auto"/>
              <w:bottom w:val="single" w:sz="4" w:space="0" w:color="auto"/>
              <w:right w:val="single" w:sz="4" w:space="0" w:color="auto"/>
            </w:tcBorders>
            <w:shd w:val="clear" w:color="000000" w:fill="CCFFCC"/>
            <w:vAlign w:val="center"/>
            <w:hideMark/>
          </w:tcPr>
          <w:p w14:paraId="326C01A0" w14:textId="77777777" w:rsidR="00A72067" w:rsidRPr="00A72067" w:rsidRDefault="00A72067" w:rsidP="00A72067">
            <w:pPr>
              <w:spacing w:after="0" w:line="240" w:lineRule="auto"/>
              <w:jc w:val="center"/>
              <w:rPr>
                <w:rFonts w:ascii="Calibri" w:eastAsia="Times New Roman" w:hAnsi="Calibri" w:cs="Calibri"/>
                <w:b/>
                <w:bCs/>
                <w:sz w:val="16"/>
                <w:szCs w:val="16"/>
                <w:lang w:eastAsia="hr-HR"/>
              </w:rPr>
            </w:pPr>
            <w:r w:rsidRPr="00A72067">
              <w:rPr>
                <w:rFonts w:ascii="Calibri" w:eastAsia="Times New Roman" w:hAnsi="Calibri" w:cs="Calibri"/>
                <w:b/>
                <w:bCs/>
                <w:sz w:val="16"/>
                <w:szCs w:val="16"/>
                <w:lang w:eastAsia="hr-HR"/>
              </w:rPr>
              <w:t>OSNOVE DISKRIMINACIJE (po  KZ)</w:t>
            </w:r>
          </w:p>
        </w:tc>
        <w:tc>
          <w:tcPr>
            <w:tcW w:w="13446" w:type="dxa"/>
            <w:gridSpan w:val="36"/>
            <w:vMerge w:val="restart"/>
            <w:tcBorders>
              <w:top w:val="single" w:sz="8" w:space="0" w:color="auto"/>
              <w:left w:val="single" w:sz="4" w:space="0" w:color="auto"/>
              <w:bottom w:val="single" w:sz="4" w:space="0" w:color="000000"/>
              <w:right w:val="single" w:sz="8" w:space="0" w:color="000000"/>
            </w:tcBorders>
            <w:shd w:val="clear" w:color="000000" w:fill="CCFFCC"/>
            <w:noWrap/>
            <w:vAlign w:val="center"/>
            <w:hideMark/>
          </w:tcPr>
          <w:p w14:paraId="748723B3" w14:textId="77777777" w:rsidR="00A72067" w:rsidRPr="00A72067" w:rsidRDefault="00A72067" w:rsidP="00A72067">
            <w:pPr>
              <w:spacing w:after="0" w:line="240" w:lineRule="auto"/>
              <w:jc w:val="center"/>
              <w:rPr>
                <w:rFonts w:ascii="Calibri" w:eastAsia="Times New Roman" w:hAnsi="Calibri" w:cs="Calibri"/>
                <w:b/>
                <w:bCs/>
                <w:sz w:val="16"/>
                <w:szCs w:val="16"/>
                <w:lang w:eastAsia="hr-HR"/>
              </w:rPr>
            </w:pPr>
            <w:r w:rsidRPr="00A72067">
              <w:rPr>
                <w:rFonts w:ascii="Calibri" w:eastAsia="Times New Roman" w:hAnsi="Calibri" w:cs="Calibri"/>
                <w:b/>
                <w:bCs/>
                <w:sz w:val="16"/>
                <w:szCs w:val="16"/>
                <w:lang w:eastAsia="hr-HR"/>
              </w:rPr>
              <w:t>KA Z N E N I    P R E D M E T I</w:t>
            </w:r>
          </w:p>
        </w:tc>
      </w:tr>
      <w:tr w:rsidR="00A72067" w:rsidRPr="00A72067" w14:paraId="683A2553" w14:textId="77777777" w:rsidTr="00A72067">
        <w:trPr>
          <w:trHeight w:val="300"/>
        </w:trPr>
        <w:tc>
          <w:tcPr>
            <w:tcW w:w="1286" w:type="dxa"/>
            <w:vMerge/>
            <w:tcBorders>
              <w:top w:val="single" w:sz="8" w:space="0" w:color="auto"/>
              <w:left w:val="single" w:sz="8" w:space="0" w:color="auto"/>
              <w:bottom w:val="single" w:sz="4" w:space="0" w:color="auto"/>
              <w:right w:val="single" w:sz="4" w:space="0" w:color="auto"/>
            </w:tcBorders>
            <w:vAlign w:val="center"/>
            <w:hideMark/>
          </w:tcPr>
          <w:p w14:paraId="3FBA233C" w14:textId="77777777" w:rsidR="00A72067" w:rsidRPr="00A72067" w:rsidRDefault="00A72067" w:rsidP="00A72067">
            <w:pPr>
              <w:spacing w:after="0" w:line="240" w:lineRule="auto"/>
              <w:rPr>
                <w:rFonts w:ascii="Calibri" w:eastAsia="Times New Roman" w:hAnsi="Calibri" w:cs="Calibri"/>
                <w:b/>
                <w:bCs/>
                <w:sz w:val="16"/>
                <w:szCs w:val="16"/>
                <w:lang w:eastAsia="hr-HR"/>
              </w:rPr>
            </w:pPr>
          </w:p>
        </w:tc>
        <w:tc>
          <w:tcPr>
            <w:tcW w:w="13446" w:type="dxa"/>
            <w:gridSpan w:val="36"/>
            <w:vMerge/>
            <w:tcBorders>
              <w:top w:val="single" w:sz="8" w:space="0" w:color="auto"/>
              <w:left w:val="single" w:sz="4" w:space="0" w:color="auto"/>
              <w:bottom w:val="single" w:sz="4" w:space="0" w:color="000000"/>
              <w:right w:val="single" w:sz="8" w:space="0" w:color="000000"/>
            </w:tcBorders>
            <w:vAlign w:val="center"/>
            <w:hideMark/>
          </w:tcPr>
          <w:p w14:paraId="62E6947A" w14:textId="77777777" w:rsidR="00A72067" w:rsidRPr="00A72067" w:rsidRDefault="00A72067" w:rsidP="00A72067">
            <w:pPr>
              <w:spacing w:after="0" w:line="240" w:lineRule="auto"/>
              <w:rPr>
                <w:rFonts w:ascii="Calibri" w:eastAsia="Times New Roman" w:hAnsi="Calibri" w:cs="Calibri"/>
                <w:b/>
                <w:bCs/>
                <w:sz w:val="16"/>
                <w:szCs w:val="16"/>
                <w:lang w:eastAsia="hr-HR"/>
              </w:rPr>
            </w:pPr>
          </w:p>
        </w:tc>
        <w:tc>
          <w:tcPr>
            <w:tcW w:w="277" w:type="dxa"/>
            <w:gridSpan w:val="3"/>
            <w:tcBorders>
              <w:top w:val="nil"/>
              <w:left w:val="nil"/>
              <w:bottom w:val="nil"/>
              <w:right w:val="nil"/>
            </w:tcBorders>
            <w:shd w:val="clear" w:color="auto" w:fill="auto"/>
            <w:noWrap/>
            <w:vAlign w:val="bottom"/>
            <w:hideMark/>
          </w:tcPr>
          <w:p w14:paraId="42DB0ACD" w14:textId="77777777" w:rsidR="00A72067" w:rsidRPr="00A72067" w:rsidRDefault="00A72067" w:rsidP="00A72067">
            <w:pPr>
              <w:spacing w:after="0" w:line="240" w:lineRule="auto"/>
              <w:jc w:val="center"/>
              <w:rPr>
                <w:rFonts w:ascii="Calibri" w:eastAsia="Times New Roman" w:hAnsi="Calibri" w:cs="Calibri"/>
                <w:b/>
                <w:bCs/>
                <w:sz w:val="16"/>
                <w:szCs w:val="16"/>
                <w:lang w:eastAsia="hr-HR"/>
              </w:rPr>
            </w:pPr>
          </w:p>
        </w:tc>
      </w:tr>
      <w:tr w:rsidR="00A72067" w:rsidRPr="00A72067" w14:paraId="3EA119EF" w14:textId="77777777" w:rsidTr="00A72067">
        <w:trPr>
          <w:gridAfter w:val="1"/>
          <w:wAfter w:w="70" w:type="dxa"/>
          <w:trHeight w:val="2266"/>
        </w:trPr>
        <w:tc>
          <w:tcPr>
            <w:tcW w:w="1286" w:type="dxa"/>
            <w:vMerge/>
            <w:tcBorders>
              <w:top w:val="single" w:sz="8" w:space="0" w:color="auto"/>
              <w:left w:val="single" w:sz="8" w:space="0" w:color="auto"/>
              <w:bottom w:val="single" w:sz="4" w:space="0" w:color="auto"/>
              <w:right w:val="single" w:sz="4" w:space="0" w:color="auto"/>
            </w:tcBorders>
            <w:vAlign w:val="center"/>
            <w:hideMark/>
          </w:tcPr>
          <w:p w14:paraId="19B6CC9A" w14:textId="77777777" w:rsidR="00A72067" w:rsidRPr="00A72067" w:rsidRDefault="00A72067" w:rsidP="00A72067">
            <w:pPr>
              <w:spacing w:after="0" w:line="240" w:lineRule="auto"/>
              <w:rPr>
                <w:rFonts w:ascii="Calibri" w:eastAsia="Times New Roman" w:hAnsi="Calibri" w:cs="Calibri"/>
                <w:b/>
                <w:bCs/>
                <w:sz w:val="16"/>
                <w:szCs w:val="16"/>
                <w:lang w:eastAsia="hr-HR"/>
              </w:rPr>
            </w:pPr>
          </w:p>
        </w:tc>
        <w:tc>
          <w:tcPr>
            <w:tcW w:w="561" w:type="dxa"/>
            <w:vMerge w:val="restart"/>
            <w:tcBorders>
              <w:top w:val="nil"/>
              <w:left w:val="single" w:sz="4" w:space="0" w:color="auto"/>
              <w:bottom w:val="single" w:sz="4" w:space="0" w:color="auto"/>
              <w:right w:val="single" w:sz="4" w:space="0" w:color="auto"/>
            </w:tcBorders>
            <w:shd w:val="clear" w:color="000000" w:fill="CCFFCC"/>
            <w:textDirection w:val="btLr"/>
            <w:vAlign w:val="center"/>
            <w:hideMark/>
          </w:tcPr>
          <w:p w14:paraId="14D3F58F" w14:textId="77777777" w:rsidR="00A72067" w:rsidRPr="00A72067" w:rsidRDefault="00A72067" w:rsidP="00A72067">
            <w:pPr>
              <w:spacing w:after="0" w:line="240" w:lineRule="auto"/>
              <w:jc w:val="center"/>
              <w:rPr>
                <w:rFonts w:ascii="Tahoma" w:eastAsia="Times New Roman" w:hAnsi="Tahoma" w:cs="Tahoma"/>
                <w:b/>
                <w:bCs/>
                <w:sz w:val="16"/>
                <w:szCs w:val="16"/>
                <w:lang w:eastAsia="hr-HR"/>
              </w:rPr>
            </w:pPr>
            <w:r w:rsidRPr="00A72067">
              <w:rPr>
                <w:rFonts w:ascii="Tahoma" w:eastAsia="Times New Roman" w:hAnsi="Tahoma" w:cs="Tahoma"/>
                <w:b/>
                <w:bCs/>
                <w:sz w:val="16"/>
                <w:szCs w:val="16"/>
                <w:lang w:eastAsia="hr-HR"/>
              </w:rPr>
              <w:t xml:space="preserve">Broj </w:t>
            </w:r>
            <w:proofErr w:type="spellStart"/>
            <w:r w:rsidRPr="00A72067">
              <w:rPr>
                <w:rFonts w:ascii="Tahoma" w:eastAsia="Times New Roman" w:hAnsi="Tahoma" w:cs="Tahoma"/>
                <w:b/>
                <w:bCs/>
                <w:sz w:val="16"/>
                <w:szCs w:val="16"/>
                <w:lang w:eastAsia="hr-HR"/>
              </w:rPr>
              <w:t>nerješenih</w:t>
            </w:r>
            <w:proofErr w:type="spellEnd"/>
            <w:r w:rsidRPr="00A72067">
              <w:rPr>
                <w:rFonts w:ascii="Tahoma" w:eastAsia="Times New Roman" w:hAnsi="Tahoma" w:cs="Tahoma"/>
                <w:b/>
                <w:bCs/>
                <w:sz w:val="16"/>
                <w:szCs w:val="16"/>
                <w:lang w:eastAsia="hr-HR"/>
              </w:rPr>
              <w:t xml:space="preserve"> predmeta na početku razdoblja</w:t>
            </w:r>
          </w:p>
        </w:tc>
        <w:tc>
          <w:tcPr>
            <w:tcW w:w="451" w:type="dxa"/>
            <w:vMerge w:val="restart"/>
            <w:tcBorders>
              <w:top w:val="nil"/>
              <w:left w:val="single" w:sz="4" w:space="0" w:color="auto"/>
              <w:bottom w:val="single" w:sz="4" w:space="0" w:color="auto"/>
              <w:right w:val="single" w:sz="4" w:space="0" w:color="000000"/>
            </w:tcBorders>
            <w:shd w:val="clear" w:color="000000" w:fill="CCFFCC"/>
            <w:textDirection w:val="btLr"/>
            <w:vAlign w:val="center"/>
            <w:hideMark/>
          </w:tcPr>
          <w:p w14:paraId="2280189D" w14:textId="77777777" w:rsidR="00A72067" w:rsidRPr="00A72067" w:rsidRDefault="00A72067" w:rsidP="00A72067">
            <w:pPr>
              <w:spacing w:after="0" w:line="240" w:lineRule="auto"/>
              <w:jc w:val="center"/>
              <w:rPr>
                <w:rFonts w:ascii="Tahoma" w:eastAsia="Times New Roman" w:hAnsi="Tahoma" w:cs="Tahoma"/>
                <w:b/>
                <w:bCs/>
                <w:sz w:val="16"/>
                <w:szCs w:val="16"/>
                <w:lang w:eastAsia="hr-HR"/>
              </w:rPr>
            </w:pPr>
            <w:r w:rsidRPr="00A72067">
              <w:rPr>
                <w:rFonts w:ascii="Tahoma" w:eastAsia="Times New Roman" w:hAnsi="Tahoma" w:cs="Tahoma"/>
                <w:b/>
                <w:bCs/>
                <w:sz w:val="16"/>
                <w:szCs w:val="16"/>
                <w:lang w:eastAsia="hr-HR"/>
              </w:rPr>
              <w:t xml:space="preserve">Broj primljenih predmeta </w:t>
            </w:r>
          </w:p>
        </w:tc>
        <w:tc>
          <w:tcPr>
            <w:tcW w:w="809" w:type="dxa"/>
            <w:gridSpan w:val="2"/>
            <w:tcBorders>
              <w:top w:val="single" w:sz="4" w:space="0" w:color="auto"/>
              <w:left w:val="nil"/>
              <w:bottom w:val="single" w:sz="4" w:space="0" w:color="auto"/>
              <w:right w:val="single" w:sz="4" w:space="0" w:color="000000"/>
            </w:tcBorders>
            <w:shd w:val="clear" w:color="000000" w:fill="CCFFCC"/>
            <w:vAlign w:val="center"/>
            <w:hideMark/>
          </w:tcPr>
          <w:p w14:paraId="273CF237" w14:textId="77777777" w:rsidR="00A72067" w:rsidRPr="00A72067" w:rsidRDefault="00A72067" w:rsidP="00A72067">
            <w:pPr>
              <w:spacing w:after="0" w:line="240" w:lineRule="auto"/>
              <w:jc w:val="center"/>
              <w:rPr>
                <w:rFonts w:ascii="Tahoma" w:eastAsia="Times New Roman" w:hAnsi="Tahoma" w:cs="Tahoma"/>
                <w:sz w:val="16"/>
                <w:szCs w:val="16"/>
                <w:lang w:eastAsia="hr-HR"/>
              </w:rPr>
            </w:pPr>
            <w:r w:rsidRPr="00A72067">
              <w:rPr>
                <w:rFonts w:ascii="Tahoma" w:eastAsia="Times New Roman" w:hAnsi="Tahoma" w:cs="Tahoma"/>
                <w:sz w:val="16"/>
                <w:szCs w:val="16"/>
                <w:lang w:eastAsia="hr-HR"/>
              </w:rPr>
              <w:t>Broj diskriminiranih osoba prema optužnom aktu</w:t>
            </w:r>
          </w:p>
        </w:tc>
        <w:tc>
          <w:tcPr>
            <w:tcW w:w="2221" w:type="dxa"/>
            <w:gridSpan w:val="4"/>
            <w:tcBorders>
              <w:top w:val="single" w:sz="4" w:space="0" w:color="auto"/>
              <w:left w:val="nil"/>
              <w:bottom w:val="single" w:sz="4" w:space="0" w:color="auto"/>
              <w:right w:val="single" w:sz="4" w:space="0" w:color="auto"/>
            </w:tcBorders>
            <w:shd w:val="clear" w:color="000000" w:fill="CCFFCC"/>
            <w:vAlign w:val="center"/>
            <w:hideMark/>
          </w:tcPr>
          <w:p w14:paraId="6824DDC7" w14:textId="77777777" w:rsidR="00A72067" w:rsidRPr="00A72067" w:rsidRDefault="00A72067" w:rsidP="00A72067">
            <w:pPr>
              <w:spacing w:after="0" w:line="240" w:lineRule="auto"/>
              <w:jc w:val="center"/>
              <w:rPr>
                <w:rFonts w:ascii="Calibri" w:eastAsia="Times New Roman" w:hAnsi="Calibri" w:cs="Calibri"/>
                <w:b/>
                <w:bCs/>
                <w:sz w:val="16"/>
                <w:szCs w:val="16"/>
                <w:lang w:eastAsia="hr-HR"/>
              </w:rPr>
            </w:pPr>
            <w:r w:rsidRPr="00A72067">
              <w:rPr>
                <w:rFonts w:ascii="Calibri" w:eastAsia="Times New Roman" w:hAnsi="Calibri" w:cs="Calibri"/>
                <w:b/>
                <w:bCs/>
                <w:sz w:val="16"/>
                <w:szCs w:val="16"/>
                <w:lang w:eastAsia="hr-HR"/>
              </w:rPr>
              <w:t>KAZNENO DJELO (za ranije primljene predmete po starom KZ-u)</w:t>
            </w:r>
          </w:p>
        </w:tc>
        <w:tc>
          <w:tcPr>
            <w:tcW w:w="2798" w:type="dxa"/>
            <w:gridSpan w:val="6"/>
            <w:tcBorders>
              <w:top w:val="single" w:sz="4" w:space="0" w:color="auto"/>
              <w:left w:val="nil"/>
              <w:bottom w:val="single" w:sz="4" w:space="0" w:color="auto"/>
              <w:right w:val="single" w:sz="4" w:space="0" w:color="auto"/>
            </w:tcBorders>
            <w:shd w:val="clear" w:color="000000" w:fill="CCFFCC"/>
            <w:vAlign w:val="center"/>
            <w:hideMark/>
          </w:tcPr>
          <w:p w14:paraId="695D052A" w14:textId="77777777" w:rsidR="00A72067" w:rsidRPr="00A72067" w:rsidRDefault="00A72067" w:rsidP="00A72067">
            <w:pPr>
              <w:spacing w:after="0" w:line="240" w:lineRule="auto"/>
              <w:jc w:val="center"/>
              <w:rPr>
                <w:rFonts w:ascii="Calibri" w:eastAsia="Times New Roman" w:hAnsi="Calibri" w:cs="Calibri"/>
                <w:b/>
                <w:bCs/>
                <w:sz w:val="16"/>
                <w:szCs w:val="16"/>
                <w:lang w:eastAsia="hr-HR"/>
              </w:rPr>
            </w:pPr>
            <w:r w:rsidRPr="00A72067">
              <w:rPr>
                <w:rFonts w:ascii="Calibri" w:eastAsia="Times New Roman" w:hAnsi="Calibri" w:cs="Calibri"/>
                <w:b/>
                <w:bCs/>
                <w:sz w:val="16"/>
                <w:szCs w:val="16"/>
                <w:lang w:eastAsia="hr-HR"/>
              </w:rPr>
              <w:t>KAZNENO DJELO</w:t>
            </w:r>
          </w:p>
        </w:tc>
        <w:tc>
          <w:tcPr>
            <w:tcW w:w="1663" w:type="dxa"/>
            <w:gridSpan w:val="5"/>
            <w:tcBorders>
              <w:top w:val="single" w:sz="4" w:space="0" w:color="auto"/>
              <w:left w:val="nil"/>
              <w:bottom w:val="single" w:sz="4" w:space="0" w:color="auto"/>
              <w:right w:val="single" w:sz="4" w:space="0" w:color="000000"/>
            </w:tcBorders>
            <w:shd w:val="clear" w:color="000000" w:fill="CCFFCC"/>
            <w:vAlign w:val="center"/>
            <w:hideMark/>
          </w:tcPr>
          <w:p w14:paraId="309C0F59" w14:textId="77777777" w:rsidR="00A72067" w:rsidRPr="00A72067" w:rsidRDefault="00A72067" w:rsidP="00A72067">
            <w:pPr>
              <w:spacing w:after="0" w:line="240" w:lineRule="auto"/>
              <w:jc w:val="center"/>
              <w:rPr>
                <w:rFonts w:ascii="Calibri" w:eastAsia="Times New Roman" w:hAnsi="Calibri" w:cs="Calibri"/>
                <w:b/>
                <w:bCs/>
                <w:sz w:val="16"/>
                <w:szCs w:val="16"/>
                <w:lang w:eastAsia="hr-HR"/>
              </w:rPr>
            </w:pPr>
            <w:r w:rsidRPr="00A72067">
              <w:rPr>
                <w:rFonts w:ascii="Calibri" w:eastAsia="Times New Roman" w:hAnsi="Calibri" w:cs="Calibri"/>
                <w:b/>
                <w:bCs/>
                <w:sz w:val="16"/>
                <w:szCs w:val="16"/>
                <w:lang w:eastAsia="hr-HR"/>
              </w:rPr>
              <w:t>PRAVOMOĆNO RIJEŠENO</w:t>
            </w:r>
          </w:p>
        </w:tc>
        <w:tc>
          <w:tcPr>
            <w:tcW w:w="1708" w:type="dxa"/>
            <w:gridSpan w:val="5"/>
            <w:tcBorders>
              <w:top w:val="single" w:sz="4" w:space="0" w:color="auto"/>
              <w:left w:val="nil"/>
              <w:bottom w:val="single" w:sz="4" w:space="0" w:color="auto"/>
              <w:right w:val="single" w:sz="4" w:space="0" w:color="000000"/>
            </w:tcBorders>
            <w:shd w:val="clear" w:color="000000" w:fill="CCFFCC"/>
            <w:vAlign w:val="center"/>
            <w:hideMark/>
          </w:tcPr>
          <w:p w14:paraId="6E05A32B" w14:textId="77777777" w:rsidR="00A72067" w:rsidRPr="00A72067" w:rsidRDefault="00A72067" w:rsidP="00A72067">
            <w:pPr>
              <w:spacing w:after="0" w:line="240" w:lineRule="auto"/>
              <w:jc w:val="center"/>
              <w:rPr>
                <w:rFonts w:ascii="Calibri" w:eastAsia="Times New Roman" w:hAnsi="Calibri" w:cs="Calibri"/>
                <w:b/>
                <w:bCs/>
                <w:sz w:val="16"/>
                <w:szCs w:val="16"/>
                <w:lang w:eastAsia="hr-HR"/>
              </w:rPr>
            </w:pPr>
            <w:r w:rsidRPr="00A72067">
              <w:rPr>
                <w:rFonts w:ascii="Calibri" w:eastAsia="Times New Roman" w:hAnsi="Calibri" w:cs="Calibri"/>
                <w:b/>
                <w:bCs/>
                <w:sz w:val="16"/>
                <w:szCs w:val="16"/>
                <w:lang w:eastAsia="hr-HR"/>
              </w:rPr>
              <w:t>Broj i vrsta kazni</w:t>
            </w:r>
          </w:p>
        </w:tc>
        <w:tc>
          <w:tcPr>
            <w:tcW w:w="587" w:type="dxa"/>
            <w:gridSpan w:val="2"/>
            <w:tcBorders>
              <w:top w:val="nil"/>
              <w:left w:val="single" w:sz="4" w:space="0" w:color="auto"/>
              <w:bottom w:val="single" w:sz="4" w:space="0" w:color="auto"/>
              <w:right w:val="single" w:sz="4" w:space="0" w:color="auto"/>
            </w:tcBorders>
            <w:shd w:val="clear" w:color="000000" w:fill="CCFFCC"/>
            <w:textDirection w:val="btLr"/>
            <w:vAlign w:val="center"/>
            <w:hideMark/>
          </w:tcPr>
          <w:p w14:paraId="6951A0A7" w14:textId="77777777" w:rsidR="00A72067" w:rsidRPr="00A72067" w:rsidRDefault="00A72067" w:rsidP="00A72067">
            <w:pPr>
              <w:spacing w:after="0" w:line="240" w:lineRule="auto"/>
              <w:jc w:val="center"/>
              <w:rPr>
                <w:rFonts w:ascii="Calibri" w:eastAsia="Times New Roman" w:hAnsi="Calibri" w:cs="Calibri"/>
                <w:b/>
                <w:bCs/>
                <w:sz w:val="16"/>
                <w:szCs w:val="16"/>
                <w:lang w:eastAsia="hr-HR"/>
              </w:rPr>
            </w:pPr>
            <w:r w:rsidRPr="00A72067">
              <w:rPr>
                <w:rFonts w:ascii="Calibri" w:eastAsia="Times New Roman" w:hAnsi="Calibri" w:cs="Calibri"/>
                <w:b/>
                <w:bCs/>
                <w:sz w:val="16"/>
                <w:szCs w:val="16"/>
                <w:lang w:eastAsia="hr-HR"/>
              </w:rPr>
              <w:t xml:space="preserve">Broj </w:t>
            </w:r>
            <w:proofErr w:type="spellStart"/>
            <w:r w:rsidRPr="00A72067">
              <w:rPr>
                <w:rFonts w:ascii="Calibri" w:eastAsia="Times New Roman" w:hAnsi="Calibri" w:cs="Calibri"/>
                <w:b/>
                <w:bCs/>
                <w:sz w:val="16"/>
                <w:szCs w:val="16"/>
                <w:lang w:eastAsia="hr-HR"/>
              </w:rPr>
              <w:t>nerješenih</w:t>
            </w:r>
            <w:proofErr w:type="spellEnd"/>
            <w:r w:rsidRPr="00A72067">
              <w:rPr>
                <w:rFonts w:ascii="Calibri" w:eastAsia="Times New Roman" w:hAnsi="Calibri" w:cs="Calibri"/>
                <w:b/>
                <w:bCs/>
                <w:sz w:val="16"/>
                <w:szCs w:val="16"/>
                <w:lang w:eastAsia="hr-HR"/>
              </w:rPr>
              <w:t xml:space="preserve"> predmeta na kraju izvještajnog razdoblja</w:t>
            </w:r>
          </w:p>
        </w:tc>
        <w:tc>
          <w:tcPr>
            <w:tcW w:w="424" w:type="dxa"/>
            <w:gridSpan w:val="2"/>
            <w:tcBorders>
              <w:top w:val="nil"/>
              <w:left w:val="single" w:sz="4" w:space="0" w:color="auto"/>
              <w:bottom w:val="single" w:sz="4" w:space="0" w:color="000000"/>
              <w:right w:val="single" w:sz="4" w:space="0" w:color="000000"/>
            </w:tcBorders>
            <w:shd w:val="clear" w:color="000000" w:fill="CCFFCC"/>
            <w:textDirection w:val="btLr"/>
            <w:vAlign w:val="center"/>
            <w:hideMark/>
          </w:tcPr>
          <w:p w14:paraId="7B8D2691" w14:textId="77777777" w:rsidR="00A72067" w:rsidRPr="00A72067" w:rsidRDefault="00A72067" w:rsidP="00A72067">
            <w:pPr>
              <w:spacing w:after="0" w:line="240" w:lineRule="auto"/>
              <w:jc w:val="center"/>
              <w:rPr>
                <w:rFonts w:ascii="Calibri" w:eastAsia="Times New Roman" w:hAnsi="Calibri" w:cs="Calibri"/>
                <w:b/>
                <w:bCs/>
                <w:sz w:val="16"/>
                <w:szCs w:val="16"/>
                <w:lang w:eastAsia="hr-HR"/>
              </w:rPr>
            </w:pPr>
            <w:r w:rsidRPr="00A72067">
              <w:rPr>
                <w:rFonts w:ascii="Calibri" w:eastAsia="Times New Roman" w:hAnsi="Calibri" w:cs="Calibri"/>
                <w:b/>
                <w:bCs/>
                <w:sz w:val="16"/>
                <w:szCs w:val="16"/>
                <w:lang w:eastAsia="hr-HR"/>
              </w:rPr>
              <w:t>BROJ OSUĐENIH OSOBA</w:t>
            </w:r>
          </w:p>
        </w:tc>
        <w:tc>
          <w:tcPr>
            <w:tcW w:w="1411" w:type="dxa"/>
            <w:gridSpan w:val="4"/>
            <w:tcBorders>
              <w:top w:val="single" w:sz="4" w:space="0" w:color="auto"/>
              <w:left w:val="nil"/>
              <w:bottom w:val="single" w:sz="4" w:space="0" w:color="auto"/>
              <w:right w:val="single" w:sz="4" w:space="0" w:color="000000"/>
            </w:tcBorders>
            <w:shd w:val="clear" w:color="000000" w:fill="CCFFCC"/>
            <w:vAlign w:val="center"/>
            <w:hideMark/>
          </w:tcPr>
          <w:p w14:paraId="710D8B33" w14:textId="77777777" w:rsidR="00A72067" w:rsidRPr="00A72067" w:rsidRDefault="00A72067" w:rsidP="00A72067">
            <w:pPr>
              <w:spacing w:after="0" w:line="240" w:lineRule="auto"/>
              <w:jc w:val="center"/>
              <w:rPr>
                <w:rFonts w:ascii="Tahoma" w:eastAsia="Times New Roman" w:hAnsi="Tahoma" w:cs="Tahoma"/>
                <w:sz w:val="16"/>
                <w:szCs w:val="16"/>
                <w:lang w:eastAsia="hr-HR"/>
              </w:rPr>
            </w:pPr>
            <w:r w:rsidRPr="00A72067">
              <w:rPr>
                <w:rFonts w:ascii="Tahoma" w:eastAsia="Times New Roman" w:hAnsi="Tahoma" w:cs="Tahoma"/>
                <w:sz w:val="16"/>
                <w:szCs w:val="16"/>
                <w:lang w:eastAsia="hr-HR"/>
              </w:rPr>
              <w:t>Broj diskriminiranih osoba prema pravomoćnoj presudi</w:t>
            </w:r>
          </w:p>
        </w:tc>
        <w:tc>
          <w:tcPr>
            <w:tcW w:w="784" w:type="dxa"/>
            <w:gridSpan w:val="3"/>
            <w:tcBorders>
              <w:top w:val="single" w:sz="4" w:space="0" w:color="auto"/>
              <w:left w:val="nil"/>
              <w:bottom w:val="single" w:sz="4" w:space="0" w:color="auto"/>
              <w:right w:val="single" w:sz="8" w:space="0" w:color="000000"/>
            </w:tcBorders>
            <w:shd w:val="clear" w:color="000000" w:fill="CCFFCC"/>
            <w:vAlign w:val="center"/>
            <w:hideMark/>
          </w:tcPr>
          <w:p w14:paraId="2FA20D8D" w14:textId="77777777" w:rsidR="00A72067" w:rsidRPr="00A72067" w:rsidRDefault="00A72067" w:rsidP="00A72067">
            <w:pPr>
              <w:spacing w:after="0" w:line="240" w:lineRule="auto"/>
              <w:jc w:val="center"/>
              <w:rPr>
                <w:rFonts w:ascii="Calibri" w:eastAsia="Times New Roman" w:hAnsi="Calibri" w:cs="Calibri"/>
                <w:b/>
                <w:bCs/>
                <w:sz w:val="16"/>
                <w:szCs w:val="16"/>
                <w:lang w:eastAsia="hr-HR"/>
              </w:rPr>
            </w:pPr>
            <w:r w:rsidRPr="00A72067">
              <w:rPr>
                <w:rFonts w:ascii="Calibri" w:eastAsia="Times New Roman" w:hAnsi="Calibri" w:cs="Calibri"/>
                <w:b/>
                <w:bCs/>
                <w:sz w:val="16"/>
                <w:szCs w:val="16"/>
                <w:lang w:eastAsia="hr-HR"/>
              </w:rPr>
              <w:t>TRAJANJE POSTUPKA</w:t>
            </w:r>
          </w:p>
        </w:tc>
        <w:tc>
          <w:tcPr>
            <w:tcW w:w="236" w:type="dxa"/>
            <w:gridSpan w:val="3"/>
            <w:vAlign w:val="center"/>
            <w:hideMark/>
          </w:tcPr>
          <w:p w14:paraId="76EEB4F5" w14:textId="77777777" w:rsidR="00A72067" w:rsidRPr="00A72067" w:rsidRDefault="00A72067" w:rsidP="00A72067">
            <w:pPr>
              <w:spacing w:after="0" w:line="240" w:lineRule="auto"/>
              <w:rPr>
                <w:rFonts w:ascii="Times New Roman" w:eastAsia="Times New Roman" w:hAnsi="Times New Roman" w:cs="Times New Roman"/>
                <w:sz w:val="16"/>
                <w:szCs w:val="16"/>
                <w:lang w:eastAsia="hr-HR"/>
              </w:rPr>
            </w:pPr>
          </w:p>
        </w:tc>
      </w:tr>
      <w:tr w:rsidR="00A72067" w:rsidRPr="00A72067" w14:paraId="1904311F" w14:textId="77777777" w:rsidTr="00A72067">
        <w:trPr>
          <w:gridAfter w:val="2"/>
          <w:wAfter w:w="104" w:type="dxa"/>
          <w:trHeight w:val="4035"/>
        </w:trPr>
        <w:tc>
          <w:tcPr>
            <w:tcW w:w="1286" w:type="dxa"/>
            <w:vMerge/>
            <w:tcBorders>
              <w:top w:val="single" w:sz="8" w:space="0" w:color="auto"/>
              <w:left w:val="single" w:sz="8" w:space="0" w:color="auto"/>
              <w:bottom w:val="single" w:sz="4" w:space="0" w:color="auto"/>
              <w:right w:val="single" w:sz="4" w:space="0" w:color="auto"/>
            </w:tcBorders>
            <w:vAlign w:val="center"/>
            <w:hideMark/>
          </w:tcPr>
          <w:p w14:paraId="456CB446" w14:textId="77777777" w:rsidR="00A72067" w:rsidRPr="00A72067" w:rsidRDefault="00A72067" w:rsidP="00A72067">
            <w:pPr>
              <w:spacing w:after="0" w:line="240" w:lineRule="auto"/>
              <w:rPr>
                <w:rFonts w:ascii="Calibri" w:eastAsia="Times New Roman" w:hAnsi="Calibri" w:cs="Calibri"/>
                <w:b/>
                <w:bCs/>
                <w:sz w:val="16"/>
                <w:szCs w:val="16"/>
                <w:lang w:eastAsia="hr-HR"/>
              </w:rPr>
            </w:pPr>
          </w:p>
        </w:tc>
        <w:tc>
          <w:tcPr>
            <w:tcW w:w="561" w:type="dxa"/>
            <w:vMerge/>
            <w:tcBorders>
              <w:top w:val="nil"/>
              <w:left w:val="single" w:sz="4" w:space="0" w:color="auto"/>
              <w:bottom w:val="single" w:sz="4" w:space="0" w:color="auto"/>
              <w:right w:val="single" w:sz="4" w:space="0" w:color="auto"/>
            </w:tcBorders>
            <w:vAlign w:val="center"/>
            <w:hideMark/>
          </w:tcPr>
          <w:p w14:paraId="764CC216" w14:textId="77777777" w:rsidR="00A72067" w:rsidRPr="00A72067" w:rsidRDefault="00A72067" w:rsidP="00A72067">
            <w:pPr>
              <w:spacing w:after="0" w:line="240" w:lineRule="auto"/>
              <w:rPr>
                <w:rFonts w:ascii="Tahoma" w:eastAsia="Times New Roman" w:hAnsi="Tahoma" w:cs="Tahoma"/>
                <w:b/>
                <w:bCs/>
                <w:sz w:val="16"/>
                <w:szCs w:val="16"/>
                <w:lang w:eastAsia="hr-HR"/>
              </w:rPr>
            </w:pPr>
          </w:p>
        </w:tc>
        <w:tc>
          <w:tcPr>
            <w:tcW w:w="451" w:type="dxa"/>
            <w:vMerge/>
            <w:tcBorders>
              <w:top w:val="nil"/>
              <w:left w:val="single" w:sz="4" w:space="0" w:color="auto"/>
              <w:bottom w:val="single" w:sz="4" w:space="0" w:color="auto"/>
              <w:right w:val="single" w:sz="4" w:space="0" w:color="000000"/>
            </w:tcBorders>
            <w:vAlign w:val="center"/>
            <w:hideMark/>
          </w:tcPr>
          <w:p w14:paraId="79BEABF7" w14:textId="77777777" w:rsidR="00A72067" w:rsidRPr="00A72067" w:rsidRDefault="00A72067" w:rsidP="00A72067">
            <w:pPr>
              <w:spacing w:after="0" w:line="240" w:lineRule="auto"/>
              <w:rPr>
                <w:rFonts w:ascii="Tahoma" w:eastAsia="Times New Roman" w:hAnsi="Tahoma" w:cs="Tahoma"/>
                <w:b/>
                <w:bCs/>
                <w:sz w:val="16"/>
                <w:szCs w:val="16"/>
                <w:lang w:eastAsia="hr-HR"/>
              </w:rPr>
            </w:pPr>
          </w:p>
        </w:tc>
        <w:tc>
          <w:tcPr>
            <w:tcW w:w="382" w:type="dxa"/>
            <w:tcBorders>
              <w:top w:val="nil"/>
              <w:left w:val="nil"/>
              <w:bottom w:val="nil"/>
              <w:right w:val="single" w:sz="4" w:space="0" w:color="auto"/>
            </w:tcBorders>
            <w:shd w:val="clear" w:color="000000" w:fill="CCFFCC"/>
            <w:textDirection w:val="btLr"/>
            <w:vAlign w:val="center"/>
            <w:hideMark/>
          </w:tcPr>
          <w:p w14:paraId="22D82B2D" w14:textId="77777777" w:rsidR="00A72067" w:rsidRPr="00A72067" w:rsidRDefault="00A72067" w:rsidP="00A72067">
            <w:pPr>
              <w:spacing w:after="0" w:line="240" w:lineRule="auto"/>
              <w:jc w:val="center"/>
              <w:rPr>
                <w:rFonts w:ascii="Tahoma" w:eastAsia="Times New Roman" w:hAnsi="Tahoma" w:cs="Tahoma"/>
                <w:sz w:val="16"/>
                <w:szCs w:val="16"/>
                <w:lang w:eastAsia="hr-HR"/>
              </w:rPr>
            </w:pPr>
            <w:r w:rsidRPr="00A72067">
              <w:rPr>
                <w:rFonts w:ascii="Tahoma" w:eastAsia="Times New Roman" w:hAnsi="Tahoma" w:cs="Tahoma"/>
                <w:sz w:val="16"/>
                <w:szCs w:val="16"/>
                <w:lang w:eastAsia="hr-HR"/>
              </w:rPr>
              <w:t>Žene</w:t>
            </w:r>
          </w:p>
        </w:tc>
        <w:tc>
          <w:tcPr>
            <w:tcW w:w="427" w:type="dxa"/>
            <w:tcBorders>
              <w:top w:val="nil"/>
              <w:left w:val="nil"/>
              <w:bottom w:val="nil"/>
              <w:right w:val="single" w:sz="4" w:space="0" w:color="auto"/>
            </w:tcBorders>
            <w:shd w:val="clear" w:color="000000" w:fill="CCFFCC"/>
            <w:textDirection w:val="btLr"/>
            <w:vAlign w:val="center"/>
            <w:hideMark/>
          </w:tcPr>
          <w:p w14:paraId="59FD2E58" w14:textId="77777777" w:rsidR="00A72067" w:rsidRPr="00A72067" w:rsidRDefault="00A72067" w:rsidP="00A72067">
            <w:pPr>
              <w:spacing w:after="0" w:line="240" w:lineRule="auto"/>
              <w:jc w:val="center"/>
              <w:rPr>
                <w:rFonts w:ascii="Tahoma" w:eastAsia="Times New Roman" w:hAnsi="Tahoma" w:cs="Tahoma"/>
                <w:sz w:val="16"/>
                <w:szCs w:val="16"/>
                <w:lang w:eastAsia="hr-HR"/>
              </w:rPr>
            </w:pPr>
            <w:r w:rsidRPr="00A72067">
              <w:rPr>
                <w:rFonts w:ascii="Tahoma" w:eastAsia="Times New Roman" w:hAnsi="Tahoma" w:cs="Tahoma"/>
                <w:sz w:val="16"/>
                <w:szCs w:val="16"/>
                <w:lang w:eastAsia="hr-HR"/>
              </w:rPr>
              <w:t>Muškarci</w:t>
            </w:r>
          </w:p>
        </w:tc>
        <w:tc>
          <w:tcPr>
            <w:tcW w:w="559" w:type="dxa"/>
            <w:tcBorders>
              <w:top w:val="nil"/>
              <w:left w:val="nil"/>
              <w:bottom w:val="single" w:sz="4" w:space="0" w:color="auto"/>
              <w:right w:val="single" w:sz="4" w:space="0" w:color="auto"/>
            </w:tcBorders>
            <w:shd w:val="clear" w:color="000000" w:fill="CCFFCC"/>
            <w:textDirection w:val="btLr"/>
            <w:vAlign w:val="center"/>
            <w:hideMark/>
          </w:tcPr>
          <w:p w14:paraId="60E7CD5E" w14:textId="77777777" w:rsidR="00A72067" w:rsidRPr="00A72067" w:rsidRDefault="00A72067" w:rsidP="00A72067">
            <w:pPr>
              <w:spacing w:after="0" w:line="240" w:lineRule="auto"/>
              <w:jc w:val="center"/>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POVREDA RAVNOPRANVOSTI GRAĐANA čl. 106.</w:t>
            </w:r>
          </w:p>
        </w:tc>
        <w:tc>
          <w:tcPr>
            <w:tcW w:w="424" w:type="dxa"/>
            <w:tcBorders>
              <w:top w:val="nil"/>
              <w:left w:val="nil"/>
              <w:bottom w:val="single" w:sz="4" w:space="0" w:color="auto"/>
              <w:right w:val="single" w:sz="4" w:space="0" w:color="auto"/>
            </w:tcBorders>
            <w:shd w:val="clear" w:color="000000" w:fill="CCFFCC"/>
            <w:textDirection w:val="btLr"/>
            <w:vAlign w:val="center"/>
            <w:hideMark/>
          </w:tcPr>
          <w:p w14:paraId="37BE8277" w14:textId="77777777" w:rsidR="00A72067" w:rsidRPr="00A72067" w:rsidRDefault="00A72067" w:rsidP="00A72067">
            <w:pPr>
              <w:spacing w:after="0" w:line="240" w:lineRule="auto"/>
              <w:jc w:val="center"/>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 xml:space="preserve">RASNA I DRUGA DISKIMINACIJA </w:t>
            </w:r>
            <w:proofErr w:type="spellStart"/>
            <w:r w:rsidRPr="00A72067">
              <w:rPr>
                <w:rFonts w:ascii="Calibri" w:eastAsia="Times New Roman" w:hAnsi="Calibri" w:cs="Calibri"/>
                <w:sz w:val="16"/>
                <w:szCs w:val="16"/>
                <w:lang w:eastAsia="hr-HR"/>
              </w:rPr>
              <w:t>čl</w:t>
            </w:r>
            <w:proofErr w:type="spellEnd"/>
            <w:r w:rsidRPr="00A72067">
              <w:rPr>
                <w:rFonts w:ascii="Calibri" w:eastAsia="Times New Roman" w:hAnsi="Calibri" w:cs="Calibri"/>
                <w:sz w:val="16"/>
                <w:szCs w:val="16"/>
                <w:lang w:eastAsia="hr-HR"/>
              </w:rPr>
              <w:t xml:space="preserve"> 174.</w:t>
            </w:r>
          </w:p>
        </w:tc>
        <w:tc>
          <w:tcPr>
            <w:tcW w:w="816" w:type="dxa"/>
            <w:tcBorders>
              <w:top w:val="nil"/>
              <w:left w:val="nil"/>
              <w:bottom w:val="single" w:sz="4" w:space="0" w:color="auto"/>
              <w:right w:val="single" w:sz="4" w:space="0" w:color="auto"/>
            </w:tcBorders>
            <w:shd w:val="clear" w:color="000000" w:fill="CCFFCC"/>
            <w:textDirection w:val="btLr"/>
            <w:vAlign w:val="center"/>
            <w:hideMark/>
          </w:tcPr>
          <w:p w14:paraId="229FD79D" w14:textId="77777777" w:rsidR="00A72067" w:rsidRPr="00A72067" w:rsidRDefault="00A72067" w:rsidP="00A72067">
            <w:pPr>
              <w:spacing w:after="0" w:line="240" w:lineRule="auto"/>
              <w:jc w:val="center"/>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MUČENJE I DRUGO OKRUTNO, NELJUDSKO ILI PONIŽAVAJUĆE POSTUPANJE čl.176.</w:t>
            </w:r>
          </w:p>
        </w:tc>
        <w:tc>
          <w:tcPr>
            <w:tcW w:w="422" w:type="dxa"/>
            <w:tcBorders>
              <w:top w:val="nil"/>
              <w:left w:val="nil"/>
              <w:bottom w:val="single" w:sz="4" w:space="0" w:color="auto"/>
              <w:right w:val="single" w:sz="4" w:space="0" w:color="auto"/>
            </w:tcBorders>
            <w:shd w:val="clear" w:color="000000" w:fill="CCFFCC"/>
            <w:textDirection w:val="btLr"/>
            <w:vAlign w:val="center"/>
            <w:hideMark/>
          </w:tcPr>
          <w:p w14:paraId="691F6757" w14:textId="77777777" w:rsidR="00A72067" w:rsidRPr="00A72067" w:rsidRDefault="00A72067" w:rsidP="00A72067">
            <w:pPr>
              <w:spacing w:after="0" w:line="240" w:lineRule="auto"/>
              <w:jc w:val="center"/>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OSTALO</w:t>
            </w:r>
          </w:p>
        </w:tc>
        <w:tc>
          <w:tcPr>
            <w:tcW w:w="456" w:type="dxa"/>
            <w:tcBorders>
              <w:top w:val="nil"/>
              <w:left w:val="nil"/>
              <w:bottom w:val="single" w:sz="4" w:space="0" w:color="auto"/>
              <w:right w:val="single" w:sz="4" w:space="0" w:color="auto"/>
            </w:tcBorders>
            <w:shd w:val="clear" w:color="000000" w:fill="CCFFCC"/>
            <w:textDirection w:val="btLr"/>
            <w:vAlign w:val="center"/>
            <w:hideMark/>
          </w:tcPr>
          <w:p w14:paraId="74CC757B" w14:textId="77777777" w:rsidR="00A72067" w:rsidRPr="00A72067" w:rsidRDefault="00A72067" w:rsidP="00A72067">
            <w:pPr>
              <w:spacing w:after="0" w:line="240" w:lineRule="auto"/>
              <w:jc w:val="center"/>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Mučenje i drugo okrutno, neljudsko ili ponižavajuće postupanje ili kažnjavanje čl. 104</w:t>
            </w:r>
          </w:p>
        </w:tc>
        <w:tc>
          <w:tcPr>
            <w:tcW w:w="422" w:type="dxa"/>
            <w:tcBorders>
              <w:top w:val="nil"/>
              <w:left w:val="nil"/>
              <w:bottom w:val="single" w:sz="4" w:space="0" w:color="auto"/>
              <w:right w:val="single" w:sz="4" w:space="0" w:color="auto"/>
            </w:tcBorders>
            <w:shd w:val="clear" w:color="000000" w:fill="CCFFCC"/>
            <w:textDirection w:val="btLr"/>
            <w:vAlign w:val="center"/>
            <w:hideMark/>
          </w:tcPr>
          <w:p w14:paraId="62C3D9B5" w14:textId="77777777" w:rsidR="00A72067" w:rsidRPr="00A72067" w:rsidRDefault="00A72067" w:rsidP="00A72067">
            <w:pPr>
              <w:spacing w:after="0" w:line="240" w:lineRule="auto"/>
              <w:jc w:val="center"/>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Povreda ravnopravnost čl. 125</w:t>
            </w:r>
          </w:p>
        </w:tc>
        <w:tc>
          <w:tcPr>
            <w:tcW w:w="517" w:type="dxa"/>
            <w:tcBorders>
              <w:top w:val="nil"/>
              <w:left w:val="nil"/>
              <w:bottom w:val="single" w:sz="4" w:space="0" w:color="auto"/>
              <w:right w:val="single" w:sz="4" w:space="0" w:color="auto"/>
            </w:tcBorders>
            <w:shd w:val="clear" w:color="000000" w:fill="CCFFCC"/>
            <w:textDirection w:val="btLr"/>
            <w:vAlign w:val="center"/>
            <w:hideMark/>
          </w:tcPr>
          <w:p w14:paraId="0E83CF7F" w14:textId="77777777" w:rsidR="00A72067" w:rsidRPr="00A72067" w:rsidRDefault="00A72067" w:rsidP="00A72067">
            <w:pPr>
              <w:spacing w:after="0" w:line="240" w:lineRule="auto"/>
              <w:jc w:val="center"/>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Povreda slobode izražavanja nacionalne pripadnosti čl. 126.</w:t>
            </w:r>
          </w:p>
        </w:tc>
        <w:tc>
          <w:tcPr>
            <w:tcW w:w="474" w:type="dxa"/>
            <w:tcBorders>
              <w:top w:val="nil"/>
              <w:left w:val="nil"/>
              <w:bottom w:val="single" w:sz="4" w:space="0" w:color="auto"/>
              <w:right w:val="single" w:sz="4" w:space="0" w:color="auto"/>
            </w:tcBorders>
            <w:shd w:val="clear" w:color="000000" w:fill="CCFFCC"/>
            <w:textDirection w:val="btLr"/>
            <w:vAlign w:val="center"/>
            <w:hideMark/>
          </w:tcPr>
          <w:p w14:paraId="71BBED56" w14:textId="77777777" w:rsidR="00A72067" w:rsidRPr="00A72067" w:rsidRDefault="00A72067" w:rsidP="00A72067">
            <w:pPr>
              <w:spacing w:after="0" w:line="240" w:lineRule="auto"/>
              <w:jc w:val="center"/>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Spolno uznemiravanje čl. 156.</w:t>
            </w:r>
          </w:p>
        </w:tc>
        <w:tc>
          <w:tcPr>
            <w:tcW w:w="577" w:type="dxa"/>
            <w:tcBorders>
              <w:top w:val="nil"/>
              <w:left w:val="nil"/>
              <w:bottom w:val="single" w:sz="4" w:space="0" w:color="auto"/>
              <w:right w:val="single" w:sz="4" w:space="0" w:color="auto"/>
            </w:tcBorders>
            <w:shd w:val="clear" w:color="000000" w:fill="CCFFCC"/>
            <w:textDirection w:val="btLr"/>
            <w:vAlign w:val="center"/>
            <w:hideMark/>
          </w:tcPr>
          <w:p w14:paraId="518CF0E8" w14:textId="77777777" w:rsidR="00A72067" w:rsidRPr="00A72067" w:rsidRDefault="00A72067" w:rsidP="00A72067">
            <w:pPr>
              <w:spacing w:after="0" w:line="240" w:lineRule="auto"/>
              <w:jc w:val="center"/>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Javno poticanje na nasilje i mržnju čl. 325.</w:t>
            </w:r>
          </w:p>
        </w:tc>
        <w:tc>
          <w:tcPr>
            <w:tcW w:w="422" w:type="dxa"/>
            <w:gridSpan w:val="2"/>
            <w:tcBorders>
              <w:top w:val="nil"/>
              <w:left w:val="nil"/>
              <w:bottom w:val="single" w:sz="4" w:space="0" w:color="auto"/>
              <w:right w:val="single" w:sz="4" w:space="0" w:color="auto"/>
            </w:tcBorders>
            <w:shd w:val="clear" w:color="000000" w:fill="CCFFCC"/>
            <w:textDirection w:val="btLr"/>
            <w:vAlign w:val="center"/>
            <w:hideMark/>
          </w:tcPr>
          <w:p w14:paraId="2702C714" w14:textId="77777777" w:rsidR="00A72067" w:rsidRPr="00A72067" w:rsidRDefault="00A72067" w:rsidP="00A72067">
            <w:pPr>
              <w:spacing w:after="0" w:line="240" w:lineRule="auto"/>
              <w:jc w:val="center"/>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Ostalo</w:t>
            </w:r>
          </w:p>
        </w:tc>
        <w:tc>
          <w:tcPr>
            <w:tcW w:w="320" w:type="dxa"/>
            <w:tcBorders>
              <w:top w:val="nil"/>
              <w:left w:val="nil"/>
              <w:bottom w:val="single" w:sz="4" w:space="0" w:color="auto"/>
              <w:right w:val="single" w:sz="4" w:space="0" w:color="auto"/>
            </w:tcBorders>
            <w:shd w:val="clear" w:color="000000" w:fill="CCFFCC"/>
            <w:textDirection w:val="btLr"/>
            <w:vAlign w:val="center"/>
            <w:hideMark/>
          </w:tcPr>
          <w:p w14:paraId="309C1917" w14:textId="77777777" w:rsidR="00A72067" w:rsidRPr="00A72067" w:rsidRDefault="00A72067" w:rsidP="00A72067">
            <w:pPr>
              <w:spacing w:after="0" w:line="240" w:lineRule="auto"/>
              <w:jc w:val="center"/>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OSUĐUJUĆA PRESUDA</w:t>
            </w:r>
          </w:p>
        </w:tc>
        <w:tc>
          <w:tcPr>
            <w:tcW w:w="426" w:type="dxa"/>
            <w:tcBorders>
              <w:top w:val="nil"/>
              <w:left w:val="nil"/>
              <w:bottom w:val="single" w:sz="4" w:space="0" w:color="auto"/>
              <w:right w:val="single" w:sz="4" w:space="0" w:color="auto"/>
            </w:tcBorders>
            <w:shd w:val="clear" w:color="000000" w:fill="CCFFCC"/>
            <w:textDirection w:val="btLr"/>
            <w:vAlign w:val="center"/>
            <w:hideMark/>
          </w:tcPr>
          <w:p w14:paraId="6F7B647D" w14:textId="77777777" w:rsidR="00A72067" w:rsidRPr="00A72067" w:rsidRDefault="00A72067" w:rsidP="00A72067">
            <w:pPr>
              <w:spacing w:after="0" w:line="240" w:lineRule="auto"/>
              <w:jc w:val="center"/>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OSLOBAĐAJUĆA PRESUDA</w:t>
            </w:r>
          </w:p>
        </w:tc>
        <w:tc>
          <w:tcPr>
            <w:tcW w:w="422" w:type="dxa"/>
            <w:tcBorders>
              <w:top w:val="nil"/>
              <w:left w:val="nil"/>
              <w:bottom w:val="single" w:sz="4" w:space="0" w:color="auto"/>
              <w:right w:val="single" w:sz="4" w:space="0" w:color="auto"/>
            </w:tcBorders>
            <w:shd w:val="clear" w:color="000000" w:fill="CCFFCC"/>
            <w:textDirection w:val="btLr"/>
            <w:vAlign w:val="center"/>
            <w:hideMark/>
          </w:tcPr>
          <w:p w14:paraId="6BCB0725" w14:textId="77777777" w:rsidR="00A72067" w:rsidRPr="00A72067" w:rsidRDefault="00A72067" w:rsidP="00A72067">
            <w:pPr>
              <w:spacing w:after="0" w:line="240" w:lineRule="auto"/>
              <w:jc w:val="center"/>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NA DRUGI NAČIN</w:t>
            </w:r>
          </w:p>
        </w:tc>
        <w:tc>
          <w:tcPr>
            <w:tcW w:w="433" w:type="dxa"/>
            <w:gridSpan w:val="2"/>
            <w:tcBorders>
              <w:top w:val="nil"/>
              <w:left w:val="nil"/>
              <w:bottom w:val="single" w:sz="4" w:space="0" w:color="auto"/>
              <w:right w:val="single" w:sz="4" w:space="0" w:color="auto"/>
            </w:tcBorders>
            <w:shd w:val="clear" w:color="000000" w:fill="CCFFCC"/>
            <w:textDirection w:val="btLr"/>
            <w:vAlign w:val="center"/>
            <w:hideMark/>
          </w:tcPr>
          <w:p w14:paraId="66DDFA78" w14:textId="77777777" w:rsidR="00A72067" w:rsidRPr="00A72067" w:rsidRDefault="00A72067" w:rsidP="00A72067">
            <w:pPr>
              <w:spacing w:after="0" w:line="240" w:lineRule="auto"/>
              <w:jc w:val="center"/>
              <w:rPr>
                <w:rFonts w:ascii="Tahoma" w:eastAsia="Times New Roman" w:hAnsi="Tahoma" w:cs="Tahoma"/>
                <w:b/>
                <w:bCs/>
                <w:sz w:val="16"/>
                <w:szCs w:val="16"/>
                <w:lang w:eastAsia="hr-HR"/>
              </w:rPr>
            </w:pPr>
            <w:r w:rsidRPr="00A72067">
              <w:rPr>
                <w:rFonts w:ascii="Tahoma" w:eastAsia="Times New Roman" w:hAnsi="Tahoma" w:cs="Tahoma"/>
                <w:b/>
                <w:bCs/>
                <w:sz w:val="16"/>
                <w:szCs w:val="16"/>
                <w:lang w:eastAsia="hr-HR"/>
              </w:rPr>
              <w:t>Ukupno pravomoćno riješeno</w:t>
            </w:r>
          </w:p>
        </w:tc>
        <w:tc>
          <w:tcPr>
            <w:tcW w:w="422" w:type="dxa"/>
            <w:tcBorders>
              <w:top w:val="nil"/>
              <w:left w:val="nil"/>
              <w:bottom w:val="single" w:sz="4" w:space="0" w:color="auto"/>
              <w:right w:val="single" w:sz="4" w:space="0" w:color="auto"/>
            </w:tcBorders>
            <w:shd w:val="clear" w:color="000000" w:fill="CCFFCC"/>
            <w:textDirection w:val="btLr"/>
            <w:vAlign w:val="center"/>
            <w:hideMark/>
          </w:tcPr>
          <w:p w14:paraId="6CDEBA50" w14:textId="77777777" w:rsidR="00A72067" w:rsidRPr="00A72067" w:rsidRDefault="00A72067" w:rsidP="00A72067">
            <w:pPr>
              <w:spacing w:after="0" w:line="240" w:lineRule="auto"/>
              <w:jc w:val="center"/>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Kazna zatvora</w:t>
            </w:r>
          </w:p>
        </w:tc>
        <w:tc>
          <w:tcPr>
            <w:tcW w:w="424" w:type="dxa"/>
            <w:tcBorders>
              <w:top w:val="nil"/>
              <w:left w:val="nil"/>
              <w:bottom w:val="single" w:sz="4" w:space="0" w:color="auto"/>
              <w:right w:val="single" w:sz="4" w:space="0" w:color="auto"/>
            </w:tcBorders>
            <w:shd w:val="clear" w:color="000000" w:fill="CCFFCC"/>
            <w:textDirection w:val="btLr"/>
            <w:vAlign w:val="center"/>
            <w:hideMark/>
          </w:tcPr>
          <w:p w14:paraId="379E7E68" w14:textId="77777777" w:rsidR="00A72067" w:rsidRPr="00A72067" w:rsidRDefault="00A72067" w:rsidP="00A72067">
            <w:pPr>
              <w:spacing w:after="0" w:line="240" w:lineRule="auto"/>
              <w:jc w:val="center"/>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 xml:space="preserve">Uvjetna osuda </w:t>
            </w:r>
          </w:p>
        </w:tc>
        <w:tc>
          <w:tcPr>
            <w:tcW w:w="430" w:type="dxa"/>
            <w:tcBorders>
              <w:top w:val="nil"/>
              <w:left w:val="nil"/>
              <w:bottom w:val="single" w:sz="4" w:space="0" w:color="auto"/>
              <w:right w:val="single" w:sz="4" w:space="0" w:color="auto"/>
            </w:tcBorders>
            <w:shd w:val="clear" w:color="000000" w:fill="CCFFCC"/>
            <w:textDirection w:val="btLr"/>
            <w:vAlign w:val="center"/>
            <w:hideMark/>
          </w:tcPr>
          <w:p w14:paraId="5664329F" w14:textId="77777777" w:rsidR="00A72067" w:rsidRPr="00A72067" w:rsidRDefault="00A72067" w:rsidP="00A72067">
            <w:pPr>
              <w:spacing w:after="0" w:line="240" w:lineRule="auto"/>
              <w:jc w:val="center"/>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Rad za opće dobro</w:t>
            </w:r>
          </w:p>
        </w:tc>
        <w:tc>
          <w:tcPr>
            <w:tcW w:w="424" w:type="dxa"/>
            <w:tcBorders>
              <w:top w:val="nil"/>
              <w:left w:val="nil"/>
              <w:bottom w:val="single" w:sz="4" w:space="0" w:color="auto"/>
              <w:right w:val="single" w:sz="4" w:space="0" w:color="auto"/>
            </w:tcBorders>
            <w:shd w:val="clear" w:color="000000" w:fill="CCFFCC"/>
            <w:textDirection w:val="btLr"/>
            <w:vAlign w:val="center"/>
            <w:hideMark/>
          </w:tcPr>
          <w:p w14:paraId="5CF6EB9B" w14:textId="77777777" w:rsidR="00A72067" w:rsidRPr="00A72067" w:rsidRDefault="00A72067" w:rsidP="00A72067">
            <w:pPr>
              <w:spacing w:after="0" w:line="240" w:lineRule="auto"/>
              <w:jc w:val="center"/>
              <w:rPr>
                <w:rFonts w:ascii="Tahoma" w:eastAsia="Times New Roman" w:hAnsi="Tahoma" w:cs="Tahoma"/>
                <w:b/>
                <w:bCs/>
                <w:sz w:val="16"/>
                <w:szCs w:val="16"/>
                <w:lang w:eastAsia="hr-HR"/>
              </w:rPr>
            </w:pPr>
            <w:r w:rsidRPr="00A72067">
              <w:rPr>
                <w:rFonts w:ascii="Tahoma" w:eastAsia="Times New Roman" w:hAnsi="Tahoma" w:cs="Tahoma"/>
                <w:b/>
                <w:bCs/>
                <w:sz w:val="16"/>
                <w:szCs w:val="16"/>
                <w:lang w:eastAsia="hr-HR"/>
              </w:rPr>
              <w:t>Ukupno</w:t>
            </w:r>
          </w:p>
        </w:tc>
        <w:tc>
          <w:tcPr>
            <w:tcW w:w="570" w:type="dxa"/>
            <w:tcBorders>
              <w:top w:val="nil"/>
              <w:left w:val="single" w:sz="4" w:space="0" w:color="auto"/>
              <w:bottom w:val="single" w:sz="4" w:space="0" w:color="auto"/>
              <w:right w:val="single" w:sz="4" w:space="0" w:color="auto"/>
            </w:tcBorders>
            <w:vAlign w:val="center"/>
            <w:hideMark/>
          </w:tcPr>
          <w:p w14:paraId="07B97E17" w14:textId="77777777" w:rsidR="00A72067" w:rsidRPr="00A72067" w:rsidRDefault="00A72067" w:rsidP="00A72067">
            <w:pPr>
              <w:spacing w:after="0" w:line="240" w:lineRule="auto"/>
              <w:rPr>
                <w:rFonts w:ascii="Calibri" w:eastAsia="Times New Roman" w:hAnsi="Calibri" w:cs="Calibri"/>
                <w:b/>
                <w:bCs/>
                <w:sz w:val="16"/>
                <w:szCs w:val="16"/>
                <w:lang w:eastAsia="hr-HR"/>
              </w:rPr>
            </w:pPr>
          </w:p>
        </w:tc>
        <w:tc>
          <w:tcPr>
            <w:tcW w:w="424" w:type="dxa"/>
            <w:gridSpan w:val="2"/>
            <w:tcBorders>
              <w:top w:val="nil"/>
              <w:left w:val="single" w:sz="4" w:space="0" w:color="auto"/>
              <w:bottom w:val="single" w:sz="4" w:space="0" w:color="000000"/>
              <w:right w:val="single" w:sz="4" w:space="0" w:color="000000"/>
            </w:tcBorders>
            <w:vAlign w:val="center"/>
            <w:hideMark/>
          </w:tcPr>
          <w:p w14:paraId="7226F798" w14:textId="77777777" w:rsidR="00A72067" w:rsidRPr="00A72067" w:rsidRDefault="00A72067" w:rsidP="00A72067">
            <w:pPr>
              <w:spacing w:after="0" w:line="240" w:lineRule="auto"/>
              <w:rPr>
                <w:rFonts w:ascii="Calibri" w:eastAsia="Times New Roman" w:hAnsi="Calibri" w:cs="Calibri"/>
                <w:b/>
                <w:bCs/>
                <w:sz w:val="16"/>
                <w:szCs w:val="16"/>
                <w:lang w:eastAsia="hr-HR"/>
              </w:rPr>
            </w:pPr>
          </w:p>
        </w:tc>
        <w:tc>
          <w:tcPr>
            <w:tcW w:w="521" w:type="dxa"/>
            <w:gridSpan w:val="2"/>
            <w:tcBorders>
              <w:top w:val="nil"/>
              <w:left w:val="nil"/>
              <w:bottom w:val="single" w:sz="4" w:space="0" w:color="auto"/>
              <w:right w:val="single" w:sz="4" w:space="0" w:color="auto"/>
            </w:tcBorders>
            <w:shd w:val="clear" w:color="000000" w:fill="CCFFCC"/>
            <w:textDirection w:val="btLr"/>
            <w:vAlign w:val="center"/>
            <w:hideMark/>
          </w:tcPr>
          <w:p w14:paraId="5BF567BF" w14:textId="77777777" w:rsidR="00A72067" w:rsidRPr="00A72067" w:rsidRDefault="00A72067" w:rsidP="00A72067">
            <w:pPr>
              <w:spacing w:after="0" w:line="240" w:lineRule="auto"/>
              <w:jc w:val="center"/>
              <w:rPr>
                <w:rFonts w:ascii="Tahoma" w:eastAsia="Times New Roman" w:hAnsi="Tahoma" w:cs="Tahoma"/>
                <w:sz w:val="16"/>
                <w:szCs w:val="16"/>
                <w:lang w:eastAsia="hr-HR"/>
              </w:rPr>
            </w:pPr>
            <w:r w:rsidRPr="00A72067">
              <w:rPr>
                <w:rFonts w:ascii="Tahoma" w:eastAsia="Times New Roman" w:hAnsi="Tahoma" w:cs="Tahoma"/>
                <w:sz w:val="16"/>
                <w:szCs w:val="16"/>
                <w:lang w:eastAsia="hr-HR"/>
              </w:rPr>
              <w:t xml:space="preserve">Žene </w:t>
            </w:r>
          </w:p>
        </w:tc>
        <w:tc>
          <w:tcPr>
            <w:tcW w:w="420" w:type="dxa"/>
            <w:tcBorders>
              <w:top w:val="nil"/>
              <w:left w:val="nil"/>
              <w:bottom w:val="single" w:sz="4" w:space="0" w:color="auto"/>
              <w:right w:val="single" w:sz="4" w:space="0" w:color="auto"/>
            </w:tcBorders>
            <w:shd w:val="clear" w:color="000000" w:fill="CCFFCC"/>
            <w:textDirection w:val="btLr"/>
            <w:vAlign w:val="center"/>
            <w:hideMark/>
          </w:tcPr>
          <w:p w14:paraId="7099E905" w14:textId="77777777" w:rsidR="00A72067" w:rsidRPr="00A72067" w:rsidRDefault="00A72067" w:rsidP="00A72067">
            <w:pPr>
              <w:spacing w:after="0" w:line="240" w:lineRule="auto"/>
              <w:jc w:val="center"/>
              <w:rPr>
                <w:rFonts w:ascii="Tahoma" w:eastAsia="Times New Roman" w:hAnsi="Tahoma" w:cs="Tahoma"/>
                <w:sz w:val="16"/>
                <w:szCs w:val="16"/>
                <w:lang w:eastAsia="hr-HR"/>
              </w:rPr>
            </w:pPr>
            <w:r w:rsidRPr="00A72067">
              <w:rPr>
                <w:rFonts w:ascii="Tahoma" w:eastAsia="Times New Roman" w:hAnsi="Tahoma" w:cs="Tahoma"/>
                <w:sz w:val="16"/>
                <w:szCs w:val="16"/>
                <w:lang w:eastAsia="hr-HR"/>
              </w:rPr>
              <w:t>Muškarci</w:t>
            </w:r>
          </w:p>
        </w:tc>
        <w:tc>
          <w:tcPr>
            <w:tcW w:w="406" w:type="dxa"/>
            <w:tcBorders>
              <w:top w:val="nil"/>
              <w:left w:val="nil"/>
              <w:bottom w:val="single" w:sz="4" w:space="0" w:color="auto"/>
              <w:right w:val="single" w:sz="4" w:space="0" w:color="auto"/>
            </w:tcBorders>
            <w:shd w:val="clear" w:color="000000" w:fill="CCFFCC"/>
            <w:textDirection w:val="btLr"/>
            <w:vAlign w:val="center"/>
            <w:hideMark/>
          </w:tcPr>
          <w:p w14:paraId="5B8D4E77" w14:textId="77777777" w:rsidR="00A72067" w:rsidRPr="00A72067" w:rsidRDefault="00A72067" w:rsidP="00A72067">
            <w:pPr>
              <w:spacing w:after="0" w:line="240" w:lineRule="auto"/>
              <w:jc w:val="center"/>
              <w:rPr>
                <w:rFonts w:ascii="Tahoma" w:eastAsia="Times New Roman" w:hAnsi="Tahoma" w:cs="Tahoma"/>
                <w:sz w:val="16"/>
                <w:szCs w:val="16"/>
                <w:lang w:eastAsia="hr-HR"/>
              </w:rPr>
            </w:pPr>
            <w:r w:rsidRPr="00A72067">
              <w:rPr>
                <w:rFonts w:ascii="Tahoma" w:eastAsia="Times New Roman" w:hAnsi="Tahoma" w:cs="Tahoma"/>
                <w:sz w:val="16"/>
                <w:szCs w:val="16"/>
                <w:lang w:eastAsia="hr-HR"/>
              </w:rPr>
              <w:t>Ostalo</w:t>
            </w:r>
          </w:p>
        </w:tc>
        <w:tc>
          <w:tcPr>
            <w:tcW w:w="469" w:type="dxa"/>
            <w:gridSpan w:val="2"/>
            <w:tcBorders>
              <w:top w:val="nil"/>
              <w:left w:val="nil"/>
              <w:bottom w:val="single" w:sz="4" w:space="0" w:color="auto"/>
              <w:right w:val="single" w:sz="4" w:space="0" w:color="auto"/>
            </w:tcBorders>
            <w:shd w:val="clear" w:color="000000" w:fill="CCFFCC"/>
            <w:textDirection w:val="btLr"/>
            <w:vAlign w:val="center"/>
            <w:hideMark/>
          </w:tcPr>
          <w:p w14:paraId="57080990" w14:textId="77777777" w:rsidR="00A72067" w:rsidRPr="00A72067" w:rsidRDefault="00A72067" w:rsidP="00A72067">
            <w:pPr>
              <w:spacing w:after="0" w:line="240" w:lineRule="auto"/>
              <w:jc w:val="center"/>
              <w:rPr>
                <w:rFonts w:ascii="Calibri" w:eastAsia="Times New Roman" w:hAnsi="Calibri" w:cs="Calibri"/>
                <w:b/>
                <w:bCs/>
                <w:sz w:val="16"/>
                <w:szCs w:val="16"/>
                <w:lang w:eastAsia="hr-HR"/>
              </w:rPr>
            </w:pPr>
            <w:r w:rsidRPr="00A72067">
              <w:rPr>
                <w:rFonts w:ascii="Calibri" w:eastAsia="Times New Roman" w:hAnsi="Calibri" w:cs="Calibri"/>
                <w:b/>
                <w:bCs/>
                <w:sz w:val="16"/>
                <w:szCs w:val="16"/>
                <w:lang w:eastAsia="hr-HR"/>
              </w:rPr>
              <w:t xml:space="preserve"> DO 12 MJESECI</w:t>
            </w:r>
          </w:p>
        </w:tc>
        <w:tc>
          <w:tcPr>
            <w:tcW w:w="362" w:type="dxa"/>
            <w:tcBorders>
              <w:top w:val="nil"/>
              <w:left w:val="nil"/>
              <w:bottom w:val="single" w:sz="4" w:space="0" w:color="auto"/>
              <w:right w:val="single" w:sz="8" w:space="0" w:color="auto"/>
            </w:tcBorders>
            <w:shd w:val="clear" w:color="000000" w:fill="CCFFCC"/>
            <w:textDirection w:val="btLr"/>
            <w:vAlign w:val="center"/>
            <w:hideMark/>
          </w:tcPr>
          <w:p w14:paraId="6A63CD73" w14:textId="77777777" w:rsidR="00A72067" w:rsidRPr="00A72067" w:rsidRDefault="00A72067" w:rsidP="00A72067">
            <w:pPr>
              <w:spacing w:after="0" w:line="240" w:lineRule="auto"/>
              <w:jc w:val="center"/>
              <w:rPr>
                <w:rFonts w:ascii="Calibri" w:eastAsia="Times New Roman" w:hAnsi="Calibri" w:cs="Calibri"/>
                <w:b/>
                <w:bCs/>
                <w:sz w:val="16"/>
                <w:szCs w:val="16"/>
                <w:lang w:eastAsia="hr-HR"/>
              </w:rPr>
            </w:pPr>
            <w:r w:rsidRPr="00A72067">
              <w:rPr>
                <w:rFonts w:ascii="Calibri" w:eastAsia="Times New Roman" w:hAnsi="Calibri" w:cs="Calibri"/>
                <w:b/>
                <w:bCs/>
                <w:sz w:val="16"/>
                <w:szCs w:val="16"/>
                <w:lang w:eastAsia="hr-HR"/>
              </w:rPr>
              <w:t>PREKO 12 MJESECI</w:t>
            </w:r>
          </w:p>
        </w:tc>
        <w:tc>
          <w:tcPr>
            <w:tcW w:w="236" w:type="dxa"/>
            <w:gridSpan w:val="3"/>
            <w:vAlign w:val="center"/>
            <w:hideMark/>
          </w:tcPr>
          <w:p w14:paraId="11CDA373" w14:textId="77777777" w:rsidR="00A72067" w:rsidRPr="00A72067" w:rsidRDefault="00A72067" w:rsidP="00A72067">
            <w:pPr>
              <w:spacing w:after="0" w:line="240" w:lineRule="auto"/>
              <w:rPr>
                <w:rFonts w:ascii="Times New Roman" w:eastAsia="Times New Roman" w:hAnsi="Times New Roman" w:cs="Times New Roman"/>
                <w:sz w:val="16"/>
                <w:szCs w:val="16"/>
                <w:lang w:eastAsia="hr-HR"/>
              </w:rPr>
            </w:pPr>
          </w:p>
        </w:tc>
      </w:tr>
      <w:tr w:rsidR="00A72067" w:rsidRPr="00A72067" w14:paraId="26E69843" w14:textId="77777777" w:rsidTr="00A72067">
        <w:trPr>
          <w:gridAfter w:val="2"/>
          <w:wAfter w:w="104" w:type="dxa"/>
          <w:trHeight w:val="300"/>
        </w:trPr>
        <w:tc>
          <w:tcPr>
            <w:tcW w:w="1286" w:type="dxa"/>
            <w:tcBorders>
              <w:top w:val="nil"/>
              <w:left w:val="single" w:sz="8" w:space="0" w:color="auto"/>
              <w:bottom w:val="single" w:sz="4" w:space="0" w:color="auto"/>
              <w:right w:val="nil"/>
            </w:tcBorders>
            <w:shd w:val="clear" w:color="000000" w:fill="CCFFCC"/>
            <w:vAlign w:val="center"/>
            <w:hideMark/>
          </w:tcPr>
          <w:p w14:paraId="50DD2A88" w14:textId="77777777" w:rsidR="00A72067" w:rsidRPr="00A72067" w:rsidRDefault="00A72067" w:rsidP="00A72067">
            <w:pPr>
              <w:spacing w:after="0" w:line="240" w:lineRule="auto"/>
              <w:jc w:val="center"/>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1.</w:t>
            </w:r>
          </w:p>
        </w:tc>
        <w:tc>
          <w:tcPr>
            <w:tcW w:w="561" w:type="dxa"/>
            <w:tcBorders>
              <w:top w:val="nil"/>
              <w:left w:val="single" w:sz="4" w:space="0" w:color="auto"/>
              <w:bottom w:val="single" w:sz="4" w:space="0" w:color="auto"/>
              <w:right w:val="single" w:sz="4" w:space="0" w:color="auto"/>
            </w:tcBorders>
            <w:shd w:val="clear" w:color="000000" w:fill="CCFFCC"/>
            <w:vAlign w:val="center"/>
            <w:hideMark/>
          </w:tcPr>
          <w:p w14:paraId="4FB58D0E" w14:textId="77777777" w:rsidR="00A72067" w:rsidRPr="00A72067" w:rsidRDefault="00A72067" w:rsidP="00A72067">
            <w:pPr>
              <w:spacing w:after="0" w:line="240" w:lineRule="auto"/>
              <w:jc w:val="center"/>
              <w:rPr>
                <w:rFonts w:ascii="Calibri" w:eastAsia="Times New Roman" w:hAnsi="Calibri" w:cs="Calibri"/>
                <w:b/>
                <w:bCs/>
                <w:sz w:val="16"/>
                <w:szCs w:val="16"/>
                <w:lang w:eastAsia="hr-HR"/>
              </w:rPr>
            </w:pPr>
            <w:r w:rsidRPr="00A72067">
              <w:rPr>
                <w:rFonts w:ascii="Calibri" w:eastAsia="Times New Roman" w:hAnsi="Calibri" w:cs="Calibri"/>
                <w:b/>
                <w:bCs/>
                <w:sz w:val="16"/>
                <w:szCs w:val="16"/>
                <w:lang w:eastAsia="hr-HR"/>
              </w:rPr>
              <w:t>2.</w:t>
            </w:r>
          </w:p>
        </w:tc>
        <w:tc>
          <w:tcPr>
            <w:tcW w:w="451" w:type="dxa"/>
            <w:tcBorders>
              <w:top w:val="nil"/>
              <w:left w:val="nil"/>
              <w:bottom w:val="single" w:sz="4" w:space="0" w:color="auto"/>
              <w:right w:val="single" w:sz="4" w:space="0" w:color="auto"/>
            </w:tcBorders>
            <w:shd w:val="clear" w:color="000000" w:fill="CCFFCC"/>
            <w:vAlign w:val="center"/>
            <w:hideMark/>
          </w:tcPr>
          <w:p w14:paraId="02F13046" w14:textId="77777777" w:rsidR="00A72067" w:rsidRPr="00A72067" w:rsidRDefault="00A72067" w:rsidP="00A72067">
            <w:pPr>
              <w:spacing w:after="0" w:line="240" w:lineRule="auto"/>
              <w:jc w:val="center"/>
              <w:rPr>
                <w:rFonts w:ascii="Calibri" w:eastAsia="Times New Roman" w:hAnsi="Calibri" w:cs="Calibri"/>
                <w:b/>
                <w:bCs/>
                <w:sz w:val="16"/>
                <w:szCs w:val="16"/>
                <w:lang w:eastAsia="hr-HR"/>
              </w:rPr>
            </w:pPr>
            <w:r w:rsidRPr="00A72067">
              <w:rPr>
                <w:rFonts w:ascii="Calibri" w:eastAsia="Times New Roman" w:hAnsi="Calibri" w:cs="Calibri"/>
                <w:b/>
                <w:bCs/>
                <w:sz w:val="16"/>
                <w:szCs w:val="16"/>
                <w:lang w:eastAsia="hr-HR"/>
              </w:rPr>
              <w:t>3.</w:t>
            </w:r>
          </w:p>
        </w:tc>
        <w:tc>
          <w:tcPr>
            <w:tcW w:w="382" w:type="dxa"/>
            <w:tcBorders>
              <w:top w:val="single" w:sz="4" w:space="0" w:color="auto"/>
              <w:left w:val="nil"/>
              <w:bottom w:val="single" w:sz="4" w:space="0" w:color="auto"/>
              <w:right w:val="single" w:sz="4" w:space="0" w:color="auto"/>
            </w:tcBorders>
            <w:shd w:val="clear" w:color="000000" w:fill="CCFFCC"/>
            <w:vAlign w:val="center"/>
            <w:hideMark/>
          </w:tcPr>
          <w:p w14:paraId="79D5AD44" w14:textId="77777777" w:rsidR="00A72067" w:rsidRPr="00A72067" w:rsidRDefault="00A72067" w:rsidP="00A72067">
            <w:pPr>
              <w:spacing w:after="0" w:line="240" w:lineRule="auto"/>
              <w:jc w:val="center"/>
              <w:rPr>
                <w:rFonts w:ascii="Calibri" w:eastAsia="Times New Roman" w:hAnsi="Calibri" w:cs="Calibri"/>
                <w:b/>
                <w:bCs/>
                <w:sz w:val="16"/>
                <w:szCs w:val="16"/>
                <w:lang w:eastAsia="hr-HR"/>
              </w:rPr>
            </w:pPr>
            <w:r w:rsidRPr="00A72067">
              <w:rPr>
                <w:rFonts w:ascii="Calibri" w:eastAsia="Times New Roman" w:hAnsi="Calibri" w:cs="Calibri"/>
                <w:b/>
                <w:bCs/>
                <w:sz w:val="16"/>
                <w:szCs w:val="16"/>
                <w:lang w:eastAsia="hr-HR"/>
              </w:rPr>
              <w:t>4.</w:t>
            </w:r>
          </w:p>
        </w:tc>
        <w:tc>
          <w:tcPr>
            <w:tcW w:w="427" w:type="dxa"/>
            <w:tcBorders>
              <w:top w:val="single" w:sz="4" w:space="0" w:color="auto"/>
              <w:left w:val="nil"/>
              <w:bottom w:val="single" w:sz="4" w:space="0" w:color="auto"/>
              <w:right w:val="single" w:sz="4" w:space="0" w:color="auto"/>
            </w:tcBorders>
            <w:shd w:val="clear" w:color="000000" w:fill="CCFFCC"/>
            <w:vAlign w:val="center"/>
            <w:hideMark/>
          </w:tcPr>
          <w:p w14:paraId="1565009F" w14:textId="77777777" w:rsidR="00A72067" w:rsidRPr="00A72067" w:rsidRDefault="00A72067" w:rsidP="00A72067">
            <w:pPr>
              <w:spacing w:after="0" w:line="240" w:lineRule="auto"/>
              <w:jc w:val="center"/>
              <w:rPr>
                <w:rFonts w:ascii="Calibri" w:eastAsia="Times New Roman" w:hAnsi="Calibri" w:cs="Calibri"/>
                <w:b/>
                <w:bCs/>
                <w:sz w:val="16"/>
                <w:szCs w:val="16"/>
                <w:lang w:eastAsia="hr-HR"/>
              </w:rPr>
            </w:pPr>
            <w:r w:rsidRPr="00A72067">
              <w:rPr>
                <w:rFonts w:ascii="Calibri" w:eastAsia="Times New Roman" w:hAnsi="Calibri" w:cs="Calibri"/>
                <w:b/>
                <w:bCs/>
                <w:sz w:val="16"/>
                <w:szCs w:val="16"/>
                <w:lang w:eastAsia="hr-HR"/>
              </w:rPr>
              <w:t>5.</w:t>
            </w:r>
          </w:p>
        </w:tc>
        <w:tc>
          <w:tcPr>
            <w:tcW w:w="559" w:type="dxa"/>
            <w:tcBorders>
              <w:top w:val="nil"/>
              <w:left w:val="nil"/>
              <w:bottom w:val="single" w:sz="4" w:space="0" w:color="auto"/>
              <w:right w:val="single" w:sz="4" w:space="0" w:color="auto"/>
            </w:tcBorders>
            <w:shd w:val="clear" w:color="000000" w:fill="CCFFCC"/>
            <w:vAlign w:val="center"/>
            <w:hideMark/>
          </w:tcPr>
          <w:p w14:paraId="5ED581FE" w14:textId="77777777" w:rsidR="00A72067" w:rsidRPr="00A72067" w:rsidRDefault="00A72067" w:rsidP="00A72067">
            <w:pPr>
              <w:spacing w:after="0" w:line="240" w:lineRule="auto"/>
              <w:jc w:val="center"/>
              <w:rPr>
                <w:rFonts w:ascii="Calibri" w:eastAsia="Times New Roman" w:hAnsi="Calibri" w:cs="Calibri"/>
                <w:b/>
                <w:bCs/>
                <w:sz w:val="16"/>
                <w:szCs w:val="16"/>
                <w:lang w:eastAsia="hr-HR"/>
              </w:rPr>
            </w:pPr>
            <w:r w:rsidRPr="00A72067">
              <w:rPr>
                <w:rFonts w:ascii="Calibri" w:eastAsia="Times New Roman" w:hAnsi="Calibri" w:cs="Calibri"/>
                <w:b/>
                <w:bCs/>
                <w:sz w:val="16"/>
                <w:szCs w:val="16"/>
                <w:lang w:eastAsia="hr-HR"/>
              </w:rPr>
              <w:t>6.</w:t>
            </w:r>
          </w:p>
        </w:tc>
        <w:tc>
          <w:tcPr>
            <w:tcW w:w="424" w:type="dxa"/>
            <w:tcBorders>
              <w:top w:val="nil"/>
              <w:left w:val="nil"/>
              <w:bottom w:val="single" w:sz="4" w:space="0" w:color="auto"/>
              <w:right w:val="single" w:sz="4" w:space="0" w:color="auto"/>
            </w:tcBorders>
            <w:shd w:val="clear" w:color="000000" w:fill="CCFFCC"/>
            <w:vAlign w:val="center"/>
            <w:hideMark/>
          </w:tcPr>
          <w:p w14:paraId="3FE8C9E3" w14:textId="77777777" w:rsidR="00A72067" w:rsidRPr="00A72067" w:rsidRDefault="00A72067" w:rsidP="00A72067">
            <w:pPr>
              <w:spacing w:after="0" w:line="240" w:lineRule="auto"/>
              <w:jc w:val="center"/>
              <w:rPr>
                <w:rFonts w:ascii="Calibri" w:eastAsia="Times New Roman" w:hAnsi="Calibri" w:cs="Calibri"/>
                <w:b/>
                <w:bCs/>
                <w:sz w:val="16"/>
                <w:szCs w:val="16"/>
                <w:lang w:eastAsia="hr-HR"/>
              </w:rPr>
            </w:pPr>
            <w:r w:rsidRPr="00A72067">
              <w:rPr>
                <w:rFonts w:ascii="Calibri" w:eastAsia="Times New Roman" w:hAnsi="Calibri" w:cs="Calibri"/>
                <w:b/>
                <w:bCs/>
                <w:sz w:val="16"/>
                <w:szCs w:val="16"/>
                <w:lang w:eastAsia="hr-HR"/>
              </w:rPr>
              <w:t>7.</w:t>
            </w:r>
          </w:p>
        </w:tc>
        <w:tc>
          <w:tcPr>
            <w:tcW w:w="816" w:type="dxa"/>
            <w:tcBorders>
              <w:top w:val="nil"/>
              <w:left w:val="nil"/>
              <w:bottom w:val="single" w:sz="4" w:space="0" w:color="auto"/>
              <w:right w:val="single" w:sz="4" w:space="0" w:color="auto"/>
            </w:tcBorders>
            <w:shd w:val="clear" w:color="000000" w:fill="CCFFCC"/>
            <w:vAlign w:val="center"/>
            <w:hideMark/>
          </w:tcPr>
          <w:p w14:paraId="6095D06C" w14:textId="77777777" w:rsidR="00A72067" w:rsidRPr="00A72067" w:rsidRDefault="00A72067" w:rsidP="00A72067">
            <w:pPr>
              <w:spacing w:after="0" w:line="240" w:lineRule="auto"/>
              <w:jc w:val="center"/>
              <w:rPr>
                <w:rFonts w:ascii="Calibri" w:eastAsia="Times New Roman" w:hAnsi="Calibri" w:cs="Calibri"/>
                <w:b/>
                <w:bCs/>
                <w:sz w:val="16"/>
                <w:szCs w:val="16"/>
                <w:lang w:eastAsia="hr-HR"/>
              </w:rPr>
            </w:pPr>
            <w:r w:rsidRPr="00A72067">
              <w:rPr>
                <w:rFonts w:ascii="Calibri" w:eastAsia="Times New Roman" w:hAnsi="Calibri" w:cs="Calibri"/>
                <w:b/>
                <w:bCs/>
                <w:sz w:val="16"/>
                <w:szCs w:val="16"/>
                <w:lang w:eastAsia="hr-HR"/>
              </w:rPr>
              <w:t>8.</w:t>
            </w:r>
          </w:p>
        </w:tc>
        <w:tc>
          <w:tcPr>
            <w:tcW w:w="422" w:type="dxa"/>
            <w:tcBorders>
              <w:top w:val="nil"/>
              <w:left w:val="nil"/>
              <w:bottom w:val="single" w:sz="4" w:space="0" w:color="auto"/>
              <w:right w:val="single" w:sz="4" w:space="0" w:color="auto"/>
            </w:tcBorders>
            <w:shd w:val="clear" w:color="000000" w:fill="CCFFCC"/>
            <w:vAlign w:val="center"/>
            <w:hideMark/>
          </w:tcPr>
          <w:p w14:paraId="6E699998" w14:textId="77777777" w:rsidR="00A72067" w:rsidRPr="00A72067" w:rsidRDefault="00A72067" w:rsidP="00A72067">
            <w:pPr>
              <w:spacing w:after="0" w:line="240" w:lineRule="auto"/>
              <w:jc w:val="center"/>
              <w:rPr>
                <w:rFonts w:ascii="Calibri" w:eastAsia="Times New Roman" w:hAnsi="Calibri" w:cs="Calibri"/>
                <w:b/>
                <w:bCs/>
                <w:sz w:val="16"/>
                <w:szCs w:val="16"/>
                <w:lang w:eastAsia="hr-HR"/>
              </w:rPr>
            </w:pPr>
            <w:r w:rsidRPr="00A72067">
              <w:rPr>
                <w:rFonts w:ascii="Calibri" w:eastAsia="Times New Roman" w:hAnsi="Calibri" w:cs="Calibri"/>
                <w:b/>
                <w:bCs/>
                <w:sz w:val="16"/>
                <w:szCs w:val="16"/>
                <w:lang w:eastAsia="hr-HR"/>
              </w:rPr>
              <w:t>9.</w:t>
            </w:r>
          </w:p>
        </w:tc>
        <w:tc>
          <w:tcPr>
            <w:tcW w:w="456" w:type="dxa"/>
            <w:tcBorders>
              <w:top w:val="nil"/>
              <w:left w:val="nil"/>
              <w:bottom w:val="single" w:sz="4" w:space="0" w:color="auto"/>
              <w:right w:val="single" w:sz="4" w:space="0" w:color="auto"/>
            </w:tcBorders>
            <w:shd w:val="clear" w:color="000000" w:fill="CCFFCC"/>
            <w:vAlign w:val="center"/>
            <w:hideMark/>
          </w:tcPr>
          <w:p w14:paraId="64365EAB" w14:textId="77777777" w:rsidR="00A72067" w:rsidRPr="00A72067" w:rsidRDefault="00A72067" w:rsidP="00A72067">
            <w:pPr>
              <w:spacing w:after="0" w:line="240" w:lineRule="auto"/>
              <w:jc w:val="center"/>
              <w:rPr>
                <w:rFonts w:ascii="Calibri" w:eastAsia="Times New Roman" w:hAnsi="Calibri" w:cs="Calibri"/>
                <w:b/>
                <w:bCs/>
                <w:sz w:val="16"/>
                <w:szCs w:val="16"/>
                <w:lang w:eastAsia="hr-HR"/>
              </w:rPr>
            </w:pPr>
            <w:r w:rsidRPr="00A72067">
              <w:rPr>
                <w:rFonts w:ascii="Calibri" w:eastAsia="Times New Roman" w:hAnsi="Calibri" w:cs="Calibri"/>
                <w:b/>
                <w:bCs/>
                <w:sz w:val="16"/>
                <w:szCs w:val="16"/>
                <w:lang w:eastAsia="hr-HR"/>
              </w:rPr>
              <w:t>10.</w:t>
            </w:r>
          </w:p>
        </w:tc>
        <w:tc>
          <w:tcPr>
            <w:tcW w:w="422" w:type="dxa"/>
            <w:tcBorders>
              <w:top w:val="nil"/>
              <w:left w:val="nil"/>
              <w:bottom w:val="single" w:sz="4" w:space="0" w:color="auto"/>
              <w:right w:val="single" w:sz="4" w:space="0" w:color="auto"/>
            </w:tcBorders>
            <w:shd w:val="clear" w:color="000000" w:fill="CCFFCC"/>
            <w:vAlign w:val="center"/>
            <w:hideMark/>
          </w:tcPr>
          <w:p w14:paraId="14DAA91B" w14:textId="77777777" w:rsidR="00A72067" w:rsidRPr="00A72067" w:rsidRDefault="00A72067" w:rsidP="00A72067">
            <w:pPr>
              <w:spacing w:after="0" w:line="240" w:lineRule="auto"/>
              <w:jc w:val="center"/>
              <w:rPr>
                <w:rFonts w:ascii="Calibri" w:eastAsia="Times New Roman" w:hAnsi="Calibri" w:cs="Calibri"/>
                <w:b/>
                <w:bCs/>
                <w:sz w:val="16"/>
                <w:szCs w:val="16"/>
                <w:lang w:eastAsia="hr-HR"/>
              </w:rPr>
            </w:pPr>
            <w:r w:rsidRPr="00A72067">
              <w:rPr>
                <w:rFonts w:ascii="Calibri" w:eastAsia="Times New Roman" w:hAnsi="Calibri" w:cs="Calibri"/>
                <w:b/>
                <w:bCs/>
                <w:sz w:val="16"/>
                <w:szCs w:val="16"/>
                <w:lang w:eastAsia="hr-HR"/>
              </w:rPr>
              <w:t>11.</w:t>
            </w:r>
          </w:p>
        </w:tc>
        <w:tc>
          <w:tcPr>
            <w:tcW w:w="517" w:type="dxa"/>
            <w:tcBorders>
              <w:top w:val="nil"/>
              <w:left w:val="nil"/>
              <w:bottom w:val="single" w:sz="4" w:space="0" w:color="auto"/>
              <w:right w:val="single" w:sz="4" w:space="0" w:color="auto"/>
            </w:tcBorders>
            <w:shd w:val="clear" w:color="000000" w:fill="CCFFCC"/>
            <w:vAlign w:val="center"/>
            <w:hideMark/>
          </w:tcPr>
          <w:p w14:paraId="23962243" w14:textId="77777777" w:rsidR="00A72067" w:rsidRPr="00A72067" w:rsidRDefault="00A72067" w:rsidP="00A72067">
            <w:pPr>
              <w:spacing w:after="0" w:line="240" w:lineRule="auto"/>
              <w:jc w:val="center"/>
              <w:rPr>
                <w:rFonts w:ascii="Calibri" w:eastAsia="Times New Roman" w:hAnsi="Calibri" w:cs="Calibri"/>
                <w:b/>
                <w:bCs/>
                <w:sz w:val="16"/>
                <w:szCs w:val="16"/>
                <w:lang w:eastAsia="hr-HR"/>
              </w:rPr>
            </w:pPr>
            <w:r w:rsidRPr="00A72067">
              <w:rPr>
                <w:rFonts w:ascii="Calibri" w:eastAsia="Times New Roman" w:hAnsi="Calibri" w:cs="Calibri"/>
                <w:b/>
                <w:bCs/>
                <w:sz w:val="16"/>
                <w:szCs w:val="16"/>
                <w:lang w:eastAsia="hr-HR"/>
              </w:rPr>
              <w:t>12.</w:t>
            </w:r>
          </w:p>
        </w:tc>
        <w:tc>
          <w:tcPr>
            <w:tcW w:w="474" w:type="dxa"/>
            <w:tcBorders>
              <w:top w:val="nil"/>
              <w:left w:val="nil"/>
              <w:bottom w:val="single" w:sz="4" w:space="0" w:color="auto"/>
              <w:right w:val="single" w:sz="4" w:space="0" w:color="auto"/>
            </w:tcBorders>
            <w:shd w:val="clear" w:color="000000" w:fill="CCFFCC"/>
            <w:vAlign w:val="center"/>
            <w:hideMark/>
          </w:tcPr>
          <w:p w14:paraId="51AD39AF" w14:textId="77777777" w:rsidR="00A72067" w:rsidRPr="00A72067" w:rsidRDefault="00A72067" w:rsidP="00A72067">
            <w:pPr>
              <w:spacing w:after="0" w:line="240" w:lineRule="auto"/>
              <w:jc w:val="center"/>
              <w:rPr>
                <w:rFonts w:ascii="Calibri" w:eastAsia="Times New Roman" w:hAnsi="Calibri" w:cs="Calibri"/>
                <w:b/>
                <w:bCs/>
                <w:sz w:val="16"/>
                <w:szCs w:val="16"/>
                <w:lang w:eastAsia="hr-HR"/>
              </w:rPr>
            </w:pPr>
            <w:r w:rsidRPr="00A72067">
              <w:rPr>
                <w:rFonts w:ascii="Calibri" w:eastAsia="Times New Roman" w:hAnsi="Calibri" w:cs="Calibri"/>
                <w:b/>
                <w:bCs/>
                <w:sz w:val="16"/>
                <w:szCs w:val="16"/>
                <w:lang w:eastAsia="hr-HR"/>
              </w:rPr>
              <w:t>13.</w:t>
            </w:r>
          </w:p>
        </w:tc>
        <w:tc>
          <w:tcPr>
            <w:tcW w:w="577" w:type="dxa"/>
            <w:tcBorders>
              <w:top w:val="nil"/>
              <w:left w:val="nil"/>
              <w:bottom w:val="single" w:sz="4" w:space="0" w:color="auto"/>
              <w:right w:val="single" w:sz="4" w:space="0" w:color="auto"/>
            </w:tcBorders>
            <w:shd w:val="clear" w:color="000000" w:fill="CCFFCC"/>
            <w:vAlign w:val="center"/>
            <w:hideMark/>
          </w:tcPr>
          <w:p w14:paraId="7D8AC424" w14:textId="77777777" w:rsidR="00A72067" w:rsidRPr="00A72067" w:rsidRDefault="00A72067" w:rsidP="00A72067">
            <w:pPr>
              <w:spacing w:after="0" w:line="240" w:lineRule="auto"/>
              <w:jc w:val="center"/>
              <w:rPr>
                <w:rFonts w:ascii="Calibri" w:eastAsia="Times New Roman" w:hAnsi="Calibri" w:cs="Calibri"/>
                <w:b/>
                <w:bCs/>
                <w:sz w:val="16"/>
                <w:szCs w:val="16"/>
                <w:lang w:eastAsia="hr-HR"/>
              </w:rPr>
            </w:pPr>
            <w:r w:rsidRPr="00A72067">
              <w:rPr>
                <w:rFonts w:ascii="Calibri" w:eastAsia="Times New Roman" w:hAnsi="Calibri" w:cs="Calibri"/>
                <w:b/>
                <w:bCs/>
                <w:sz w:val="16"/>
                <w:szCs w:val="16"/>
                <w:lang w:eastAsia="hr-HR"/>
              </w:rPr>
              <w:t>14.</w:t>
            </w:r>
          </w:p>
        </w:tc>
        <w:tc>
          <w:tcPr>
            <w:tcW w:w="422" w:type="dxa"/>
            <w:gridSpan w:val="2"/>
            <w:tcBorders>
              <w:top w:val="nil"/>
              <w:left w:val="nil"/>
              <w:bottom w:val="single" w:sz="4" w:space="0" w:color="auto"/>
              <w:right w:val="single" w:sz="4" w:space="0" w:color="auto"/>
            </w:tcBorders>
            <w:shd w:val="clear" w:color="000000" w:fill="CCFFCC"/>
            <w:vAlign w:val="center"/>
            <w:hideMark/>
          </w:tcPr>
          <w:p w14:paraId="4F93838D" w14:textId="77777777" w:rsidR="00A72067" w:rsidRPr="00A72067" w:rsidRDefault="00A72067" w:rsidP="00A72067">
            <w:pPr>
              <w:spacing w:after="0" w:line="240" w:lineRule="auto"/>
              <w:jc w:val="center"/>
              <w:rPr>
                <w:rFonts w:ascii="Calibri" w:eastAsia="Times New Roman" w:hAnsi="Calibri" w:cs="Calibri"/>
                <w:b/>
                <w:bCs/>
                <w:sz w:val="16"/>
                <w:szCs w:val="16"/>
                <w:lang w:eastAsia="hr-HR"/>
              </w:rPr>
            </w:pPr>
            <w:r w:rsidRPr="00A72067">
              <w:rPr>
                <w:rFonts w:ascii="Calibri" w:eastAsia="Times New Roman" w:hAnsi="Calibri" w:cs="Calibri"/>
                <w:b/>
                <w:bCs/>
                <w:sz w:val="16"/>
                <w:szCs w:val="16"/>
                <w:lang w:eastAsia="hr-HR"/>
              </w:rPr>
              <w:t>15.</w:t>
            </w:r>
          </w:p>
        </w:tc>
        <w:tc>
          <w:tcPr>
            <w:tcW w:w="320" w:type="dxa"/>
            <w:tcBorders>
              <w:top w:val="nil"/>
              <w:left w:val="nil"/>
              <w:bottom w:val="single" w:sz="4" w:space="0" w:color="auto"/>
              <w:right w:val="single" w:sz="4" w:space="0" w:color="auto"/>
            </w:tcBorders>
            <w:shd w:val="clear" w:color="000000" w:fill="CCFFCC"/>
            <w:vAlign w:val="center"/>
            <w:hideMark/>
          </w:tcPr>
          <w:p w14:paraId="692A9668" w14:textId="786C538D" w:rsidR="00A72067" w:rsidRPr="00A72067" w:rsidRDefault="00A72067" w:rsidP="00A72067">
            <w:pPr>
              <w:spacing w:after="0" w:line="240" w:lineRule="auto"/>
              <w:jc w:val="center"/>
              <w:rPr>
                <w:rFonts w:ascii="Calibri" w:eastAsia="Times New Roman" w:hAnsi="Calibri" w:cs="Calibri"/>
                <w:b/>
                <w:bCs/>
                <w:sz w:val="16"/>
                <w:szCs w:val="16"/>
                <w:lang w:eastAsia="hr-HR"/>
              </w:rPr>
            </w:pPr>
            <w:r w:rsidRPr="00A72067">
              <w:rPr>
                <w:rFonts w:ascii="Calibri" w:eastAsia="Times New Roman" w:hAnsi="Calibri" w:cs="Calibri"/>
                <w:b/>
                <w:bCs/>
                <w:sz w:val="16"/>
                <w:szCs w:val="16"/>
                <w:lang w:eastAsia="hr-HR"/>
              </w:rPr>
              <w:t>16</w:t>
            </w:r>
          </w:p>
        </w:tc>
        <w:tc>
          <w:tcPr>
            <w:tcW w:w="426" w:type="dxa"/>
            <w:tcBorders>
              <w:top w:val="nil"/>
              <w:left w:val="nil"/>
              <w:bottom w:val="single" w:sz="4" w:space="0" w:color="auto"/>
              <w:right w:val="single" w:sz="4" w:space="0" w:color="auto"/>
            </w:tcBorders>
            <w:shd w:val="clear" w:color="000000" w:fill="CCFFCC"/>
            <w:vAlign w:val="center"/>
            <w:hideMark/>
          </w:tcPr>
          <w:p w14:paraId="21D8F9FC" w14:textId="77777777" w:rsidR="00A72067" w:rsidRPr="00A72067" w:rsidRDefault="00A72067" w:rsidP="00A72067">
            <w:pPr>
              <w:spacing w:after="0" w:line="240" w:lineRule="auto"/>
              <w:jc w:val="center"/>
              <w:rPr>
                <w:rFonts w:ascii="Calibri" w:eastAsia="Times New Roman" w:hAnsi="Calibri" w:cs="Calibri"/>
                <w:b/>
                <w:bCs/>
                <w:sz w:val="16"/>
                <w:szCs w:val="16"/>
                <w:lang w:eastAsia="hr-HR"/>
              </w:rPr>
            </w:pPr>
            <w:r w:rsidRPr="00A72067">
              <w:rPr>
                <w:rFonts w:ascii="Calibri" w:eastAsia="Times New Roman" w:hAnsi="Calibri" w:cs="Calibri"/>
                <w:b/>
                <w:bCs/>
                <w:sz w:val="16"/>
                <w:szCs w:val="16"/>
                <w:lang w:eastAsia="hr-HR"/>
              </w:rPr>
              <w:t>17.</w:t>
            </w:r>
          </w:p>
        </w:tc>
        <w:tc>
          <w:tcPr>
            <w:tcW w:w="422" w:type="dxa"/>
            <w:tcBorders>
              <w:top w:val="nil"/>
              <w:left w:val="nil"/>
              <w:bottom w:val="single" w:sz="4" w:space="0" w:color="auto"/>
              <w:right w:val="single" w:sz="4" w:space="0" w:color="auto"/>
            </w:tcBorders>
            <w:shd w:val="clear" w:color="000000" w:fill="CCFFCC"/>
            <w:vAlign w:val="center"/>
            <w:hideMark/>
          </w:tcPr>
          <w:p w14:paraId="1BFB0919" w14:textId="77777777" w:rsidR="00A72067" w:rsidRPr="00A72067" w:rsidRDefault="00A72067" w:rsidP="00A72067">
            <w:pPr>
              <w:spacing w:after="0" w:line="240" w:lineRule="auto"/>
              <w:jc w:val="center"/>
              <w:rPr>
                <w:rFonts w:ascii="Calibri" w:eastAsia="Times New Roman" w:hAnsi="Calibri" w:cs="Calibri"/>
                <w:b/>
                <w:bCs/>
                <w:sz w:val="16"/>
                <w:szCs w:val="16"/>
                <w:lang w:eastAsia="hr-HR"/>
              </w:rPr>
            </w:pPr>
            <w:r w:rsidRPr="00A72067">
              <w:rPr>
                <w:rFonts w:ascii="Calibri" w:eastAsia="Times New Roman" w:hAnsi="Calibri" w:cs="Calibri"/>
                <w:b/>
                <w:bCs/>
                <w:sz w:val="16"/>
                <w:szCs w:val="16"/>
                <w:lang w:eastAsia="hr-HR"/>
              </w:rPr>
              <w:t>18.</w:t>
            </w:r>
          </w:p>
        </w:tc>
        <w:tc>
          <w:tcPr>
            <w:tcW w:w="433" w:type="dxa"/>
            <w:gridSpan w:val="2"/>
            <w:tcBorders>
              <w:top w:val="nil"/>
              <w:left w:val="nil"/>
              <w:bottom w:val="single" w:sz="4" w:space="0" w:color="auto"/>
              <w:right w:val="single" w:sz="4" w:space="0" w:color="auto"/>
            </w:tcBorders>
            <w:shd w:val="clear" w:color="000000" w:fill="CCFFCC"/>
            <w:vAlign w:val="center"/>
            <w:hideMark/>
          </w:tcPr>
          <w:p w14:paraId="0898C1AD" w14:textId="77777777" w:rsidR="00A72067" w:rsidRPr="00A72067" w:rsidRDefault="00A72067" w:rsidP="00A72067">
            <w:pPr>
              <w:spacing w:after="0" w:line="240" w:lineRule="auto"/>
              <w:jc w:val="center"/>
              <w:rPr>
                <w:rFonts w:ascii="Calibri" w:eastAsia="Times New Roman" w:hAnsi="Calibri" w:cs="Calibri"/>
                <w:b/>
                <w:bCs/>
                <w:sz w:val="16"/>
                <w:szCs w:val="16"/>
                <w:lang w:eastAsia="hr-HR"/>
              </w:rPr>
            </w:pPr>
            <w:r w:rsidRPr="00A72067">
              <w:rPr>
                <w:rFonts w:ascii="Calibri" w:eastAsia="Times New Roman" w:hAnsi="Calibri" w:cs="Calibri"/>
                <w:b/>
                <w:bCs/>
                <w:sz w:val="16"/>
                <w:szCs w:val="16"/>
                <w:lang w:eastAsia="hr-HR"/>
              </w:rPr>
              <w:t>19.</w:t>
            </w:r>
          </w:p>
        </w:tc>
        <w:tc>
          <w:tcPr>
            <w:tcW w:w="422" w:type="dxa"/>
            <w:tcBorders>
              <w:top w:val="nil"/>
              <w:left w:val="nil"/>
              <w:bottom w:val="single" w:sz="4" w:space="0" w:color="auto"/>
              <w:right w:val="single" w:sz="4" w:space="0" w:color="auto"/>
            </w:tcBorders>
            <w:shd w:val="clear" w:color="000000" w:fill="CCFFCC"/>
            <w:vAlign w:val="center"/>
            <w:hideMark/>
          </w:tcPr>
          <w:p w14:paraId="674AC929" w14:textId="77777777" w:rsidR="00A72067" w:rsidRPr="00A72067" w:rsidRDefault="00A72067" w:rsidP="00A72067">
            <w:pPr>
              <w:spacing w:after="0" w:line="240" w:lineRule="auto"/>
              <w:jc w:val="center"/>
              <w:rPr>
                <w:rFonts w:ascii="Calibri" w:eastAsia="Times New Roman" w:hAnsi="Calibri" w:cs="Calibri"/>
                <w:b/>
                <w:bCs/>
                <w:sz w:val="16"/>
                <w:szCs w:val="16"/>
                <w:lang w:eastAsia="hr-HR"/>
              </w:rPr>
            </w:pPr>
            <w:r w:rsidRPr="00A72067">
              <w:rPr>
                <w:rFonts w:ascii="Calibri" w:eastAsia="Times New Roman" w:hAnsi="Calibri" w:cs="Calibri"/>
                <w:b/>
                <w:bCs/>
                <w:sz w:val="16"/>
                <w:szCs w:val="16"/>
                <w:lang w:eastAsia="hr-HR"/>
              </w:rPr>
              <w:t>20.</w:t>
            </w:r>
          </w:p>
        </w:tc>
        <w:tc>
          <w:tcPr>
            <w:tcW w:w="424" w:type="dxa"/>
            <w:tcBorders>
              <w:top w:val="nil"/>
              <w:left w:val="nil"/>
              <w:bottom w:val="single" w:sz="4" w:space="0" w:color="auto"/>
              <w:right w:val="single" w:sz="4" w:space="0" w:color="auto"/>
            </w:tcBorders>
            <w:shd w:val="clear" w:color="000000" w:fill="CCFFCC"/>
            <w:vAlign w:val="center"/>
            <w:hideMark/>
          </w:tcPr>
          <w:p w14:paraId="3B141664" w14:textId="77777777" w:rsidR="00A72067" w:rsidRPr="00A72067" w:rsidRDefault="00A72067" w:rsidP="00A72067">
            <w:pPr>
              <w:spacing w:after="0" w:line="240" w:lineRule="auto"/>
              <w:jc w:val="center"/>
              <w:rPr>
                <w:rFonts w:ascii="Calibri" w:eastAsia="Times New Roman" w:hAnsi="Calibri" w:cs="Calibri"/>
                <w:b/>
                <w:bCs/>
                <w:sz w:val="16"/>
                <w:szCs w:val="16"/>
                <w:lang w:eastAsia="hr-HR"/>
              </w:rPr>
            </w:pPr>
            <w:r w:rsidRPr="00A72067">
              <w:rPr>
                <w:rFonts w:ascii="Calibri" w:eastAsia="Times New Roman" w:hAnsi="Calibri" w:cs="Calibri"/>
                <w:b/>
                <w:bCs/>
                <w:sz w:val="16"/>
                <w:szCs w:val="16"/>
                <w:lang w:eastAsia="hr-HR"/>
              </w:rPr>
              <w:t>21.</w:t>
            </w:r>
          </w:p>
        </w:tc>
        <w:tc>
          <w:tcPr>
            <w:tcW w:w="430" w:type="dxa"/>
            <w:tcBorders>
              <w:top w:val="nil"/>
              <w:left w:val="nil"/>
              <w:bottom w:val="single" w:sz="4" w:space="0" w:color="auto"/>
              <w:right w:val="single" w:sz="4" w:space="0" w:color="auto"/>
            </w:tcBorders>
            <w:shd w:val="clear" w:color="000000" w:fill="CCFFCC"/>
            <w:vAlign w:val="center"/>
            <w:hideMark/>
          </w:tcPr>
          <w:p w14:paraId="0CABD4C5" w14:textId="77777777" w:rsidR="00A72067" w:rsidRPr="00A72067" w:rsidRDefault="00A72067" w:rsidP="00A72067">
            <w:pPr>
              <w:spacing w:after="0" w:line="240" w:lineRule="auto"/>
              <w:jc w:val="center"/>
              <w:rPr>
                <w:rFonts w:ascii="Calibri" w:eastAsia="Times New Roman" w:hAnsi="Calibri" w:cs="Calibri"/>
                <w:b/>
                <w:bCs/>
                <w:sz w:val="16"/>
                <w:szCs w:val="16"/>
                <w:lang w:eastAsia="hr-HR"/>
              </w:rPr>
            </w:pPr>
            <w:r w:rsidRPr="00A72067">
              <w:rPr>
                <w:rFonts w:ascii="Calibri" w:eastAsia="Times New Roman" w:hAnsi="Calibri" w:cs="Calibri"/>
                <w:b/>
                <w:bCs/>
                <w:sz w:val="16"/>
                <w:szCs w:val="16"/>
                <w:lang w:eastAsia="hr-HR"/>
              </w:rPr>
              <w:t>22.</w:t>
            </w:r>
          </w:p>
        </w:tc>
        <w:tc>
          <w:tcPr>
            <w:tcW w:w="424" w:type="dxa"/>
            <w:tcBorders>
              <w:top w:val="nil"/>
              <w:left w:val="nil"/>
              <w:bottom w:val="single" w:sz="4" w:space="0" w:color="auto"/>
              <w:right w:val="single" w:sz="4" w:space="0" w:color="auto"/>
            </w:tcBorders>
            <w:shd w:val="clear" w:color="000000" w:fill="CCFFCC"/>
            <w:vAlign w:val="center"/>
            <w:hideMark/>
          </w:tcPr>
          <w:p w14:paraId="370E4642" w14:textId="77777777" w:rsidR="00A72067" w:rsidRPr="00A72067" w:rsidRDefault="00A72067" w:rsidP="00A72067">
            <w:pPr>
              <w:spacing w:after="0" w:line="240" w:lineRule="auto"/>
              <w:jc w:val="center"/>
              <w:rPr>
                <w:rFonts w:ascii="Calibri" w:eastAsia="Times New Roman" w:hAnsi="Calibri" w:cs="Calibri"/>
                <w:b/>
                <w:bCs/>
                <w:sz w:val="16"/>
                <w:szCs w:val="16"/>
                <w:lang w:eastAsia="hr-HR"/>
              </w:rPr>
            </w:pPr>
            <w:r w:rsidRPr="00A72067">
              <w:rPr>
                <w:rFonts w:ascii="Calibri" w:eastAsia="Times New Roman" w:hAnsi="Calibri" w:cs="Calibri"/>
                <w:b/>
                <w:bCs/>
                <w:sz w:val="16"/>
                <w:szCs w:val="16"/>
                <w:lang w:eastAsia="hr-HR"/>
              </w:rPr>
              <w:t>23.</w:t>
            </w:r>
          </w:p>
        </w:tc>
        <w:tc>
          <w:tcPr>
            <w:tcW w:w="570" w:type="dxa"/>
            <w:tcBorders>
              <w:top w:val="nil"/>
              <w:left w:val="nil"/>
              <w:bottom w:val="single" w:sz="4" w:space="0" w:color="auto"/>
              <w:right w:val="single" w:sz="4" w:space="0" w:color="auto"/>
            </w:tcBorders>
            <w:shd w:val="clear" w:color="000000" w:fill="CCFFCC"/>
            <w:vAlign w:val="center"/>
            <w:hideMark/>
          </w:tcPr>
          <w:p w14:paraId="39AA30C3" w14:textId="77777777" w:rsidR="00A72067" w:rsidRPr="00A72067" w:rsidRDefault="00A72067" w:rsidP="00A72067">
            <w:pPr>
              <w:spacing w:after="0" w:line="240" w:lineRule="auto"/>
              <w:jc w:val="center"/>
              <w:rPr>
                <w:rFonts w:ascii="Calibri" w:eastAsia="Times New Roman" w:hAnsi="Calibri" w:cs="Calibri"/>
                <w:b/>
                <w:bCs/>
                <w:sz w:val="16"/>
                <w:szCs w:val="16"/>
                <w:lang w:eastAsia="hr-HR"/>
              </w:rPr>
            </w:pPr>
            <w:r w:rsidRPr="00A72067">
              <w:rPr>
                <w:rFonts w:ascii="Calibri" w:eastAsia="Times New Roman" w:hAnsi="Calibri" w:cs="Calibri"/>
                <w:b/>
                <w:bCs/>
                <w:sz w:val="16"/>
                <w:szCs w:val="16"/>
                <w:lang w:eastAsia="hr-HR"/>
              </w:rPr>
              <w:t>24.</w:t>
            </w:r>
          </w:p>
        </w:tc>
        <w:tc>
          <w:tcPr>
            <w:tcW w:w="424" w:type="dxa"/>
            <w:gridSpan w:val="2"/>
            <w:tcBorders>
              <w:top w:val="nil"/>
              <w:left w:val="nil"/>
              <w:bottom w:val="single" w:sz="4" w:space="0" w:color="auto"/>
              <w:right w:val="single" w:sz="4" w:space="0" w:color="auto"/>
            </w:tcBorders>
            <w:shd w:val="clear" w:color="000000" w:fill="CCFFCC"/>
            <w:vAlign w:val="center"/>
            <w:hideMark/>
          </w:tcPr>
          <w:p w14:paraId="511D7A10" w14:textId="77777777" w:rsidR="00A72067" w:rsidRPr="00A72067" w:rsidRDefault="00A72067" w:rsidP="00A72067">
            <w:pPr>
              <w:spacing w:after="0" w:line="240" w:lineRule="auto"/>
              <w:jc w:val="center"/>
              <w:rPr>
                <w:rFonts w:ascii="Calibri" w:eastAsia="Times New Roman" w:hAnsi="Calibri" w:cs="Calibri"/>
                <w:b/>
                <w:bCs/>
                <w:sz w:val="16"/>
                <w:szCs w:val="16"/>
                <w:lang w:eastAsia="hr-HR"/>
              </w:rPr>
            </w:pPr>
            <w:r w:rsidRPr="00A72067">
              <w:rPr>
                <w:rFonts w:ascii="Calibri" w:eastAsia="Times New Roman" w:hAnsi="Calibri" w:cs="Calibri"/>
                <w:b/>
                <w:bCs/>
                <w:sz w:val="16"/>
                <w:szCs w:val="16"/>
                <w:lang w:eastAsia="hr-HR"/>
              </w:rPr>
              <w:t>25.</w:t>
            </w:r>
          </w:p>
        </w:tc>
        <w:tc>
          <w:tcPr>
            <w:tcW w:w="521" w:type="dxa"/>
            <w:gridSpan w:val="2"/>
            <w:tcBorders>
              <w:top w:val="nil"/>
              <w:left w:val="nil"/>
              <w:bottom w:val="single" w:sz="4" w:space="0" w:color="auto"/>
              <w:right w:val="single" w:sz="4" w:space="0" w:color="auto"/>
            </w:tcBorders>
            <w:shd w:val="clear" w:color="000000" w:fill="CCFFCC"/>
            <w:vAlign w:val="center"/>
            <w:hideMark/>
          </w:tcPr>
          <w:p w14:paraId="72E08DC1" w14:textId="77777777" w:rsidR="00A72067" w:rsidRPr="00A72067" w:rsidRDefault="00A72067" w:rsidP="00A72067">
            <w:pPr>
              <w:spacing w:after="0" w:line="240" w:lineRule="auto"/>
              <w:jc w:val="center"/>
              <w:rPr>
                <w:rFonts w:ascii="Calibri" w:eastAsia="Times New Roman" w:hAnsi="Calibri" w:cs="Calibri"/>
                <w:b/>
                <w:bCs/>
                <w:sz w:val="16"/>
                <w:szCs w:val="16"/>
                <w:lang w:eastAsia="hr-HR"/>
              </w:rPr>
            </w:pPr>
            <w:r w:rsidRPr="00A72067">
              <w:rPr>
                <w:rFonts w:ascii="Calibri" w:eastAsia="Times New Roman" w:hAnsi="Calibri" w:cs="Calibri"/>
                <w:b/>
                <w:bCs/>
                <w:sz w:val="16"/>
                <w:szCs w:val="16"/>
                <w:lang w:eastAsia="hr-HR"/>
              </w:rPr>
              <w:t>26.</w:t>
            </w:r>
          </w:p>
        </w:tc>
        <w:tc>
          <w:tcPr>
            <w:tcW w:w="420" w:type="dxa"/>
            <w:tcBorders>
              <w:top w:val="nil"/>
              <w:left w:val="nil"/>
              <w:bottom w:val="single" w:sz="4" w:space="0" w:color="auto"/>
              <w:right w:val="single" w:sz="4" w:space="0" w:color="auto"/>
            </w:tcBorders>
            <w:shd w:val="clear" w:color="000000" w:fill="CCFFCC"/>
            <w:vAlign w:val="center"/>
            <w:hideMark/>
          </w:tcPr>
          <w:p w14:paraId="2BAB0C11" w14:textId="77777777" w:rsidR="00A72067" w:rsidRPr="00A72067" w:rsidRDefault="00A72067" w:rsidP="00A72067">
            <w:pPr>
              <w:spacing w:after="0" w:line="240" w:lineRule="auto"/>
              <w:jc w:val="center"/>
              <w:rPr>
                <w:rFonts w:ascii="Calibri" w:eastAsia="Times New Roman" w:hAnsi="Calibri" w:cs="Calibri"/>
                <w:b/>
                <w:bCs/>
                <w:sz w:val="16"/>
                <w:szCs w:val="16"/>
                <w:lang w:eastAsia="hr-HR"/>
              </w:rPr>
            </w:pPr>
            <w:r w:rsidRPr="00A72067">
              <w:rPr>
                <w:rFonts w:ascii="Calibri" w:eastAsia="Times New Roman" w:hAnsi="Calibri" w:cs="Calibri"/>
                <w:b/>
                <w:bCs/>
                <w:sz w:val="16"/>
                <w:szCs w:val="16"/>
                <w:lang w:eastAsia="hr-HR"/>
              </w:rPr>
              <w:t>27.</w:t>
            </w:r>
          </w:p>
        </w:tc>
        <w:tc>
          <w:tcPr>
            <w:tcW w:w="406" w:type="dxa"/>
            <w:tcBorders>
              <w:top w:val="nil"/>
              <w:left w:val="nil"/>
              <w:bottom w:val="single" w:sz="4" w:space="0" w:color="auto"/>
              <w:right w:val="single" w:sz="4" w:space="0" w:color="auto"/>
            </w:tcBorders>
            <w:shd w:val="clear" w:color="000000" w:fill="CCFFCC"/>
            <w:vAlign w:val="center"/>
            <w:hideMark/>
          </w:tcPr>
          <w:p w14:paraId="5BFAB1D4" w14:textId="77777777" w:rsidR="00A72067" w:rsidRPr="00A72067" w:rsidRDefault="00A72067" w:rsidP="00A72067">
            <w:pPr>
              <w:spacing w:after="0" w:line="240" w:lineRule="auto"/>
              <w:jc w:val="center"/>
              <w:rPr>
                <w:rFonts w:ascii="Calibri" w:eastAsia="Times New Roman" w:hAnsi="Calibri" w:cs="Calibri"/>
                <w:b/>
                <w:bCs/>
                <w:sz w:val="16"/>
                <w:szCs w:val="16"/>
                <w:lang w:eastAsia="hr-HR"/>
              </w:rPr>
            </w:pPr>
            <w:r w:rsidRPr="00A72067">
              <w:rPr>
                <w:rFonts w:ascii="Calibri" w:eastAsia="Times New Roman" w:hAnsi="Calibri" w:cs="Calibri"/>
                <w:b/>
                <w:bCs/>
                <w:sz w:val="16"/>
                <w:szCs w:val="16"/>
                <w:lang w:eastAsia="hr-HR"/>
              </w:rPr>
              <w:t>28.</w:t>
            </w:r>
          </w:p>
        </w:tc>
        <w:tc>
          <w:tcPr>
            <w:tcW w:w="469" w:type="dxa"/>
            <w:gridSpan w:val="2"/>
            <w:tcBorders>
              <w:top w:val="nil"/>
              <w:left w:val="nil"/>
              <w:bottom w:val="single" w:sz="4" w:space="0" w:color="auto"/>
              <w:right w:val="single" w:sz="4" w:space="0" w:color="auto"/>
            </w:tcBorders>
            <w:shd w:val="clear" w:color="000000" w:fill="CCFFCC"/>
            <w:vAlign w:val="center"/>
            <w:hideMark/>
          </w:tcPr>
          <w:p w14:paraId="3B85010F" w14:textId="77777777" w:rsidR="00A72067" w:rsidRPr="00A72067" w:rsidRDefault="00A72067" w:rsidP="00A72067">
            <w:pPr>
              <w:spacing w:after="0" w:line="240" w:lineRule="auto"/>
              <w:jc w:val="center"/>
              <w:rPr>
                <w:rFonts w:ascii="Calibri" w:eastAsia="Times New Roman" w:hAnsi="Calibri" w:cs="Calibri"/>
                <w:b/>
                <w:bCs/>
                <w:sz w:val="16"/>
                <w:szCs w:val="16"/>
                <w:lang w:eastAsia="hr-HR"/>
              </w:rPr>
            </w:pPr>
            <w:r w:rsidRPr="00A72067">
              <w:rPr>
                <w:rFonts w:ascii="Calibri" w:eastAsia="Times New Roman" w:hAnsi="Calibri" w:cs="Calibri"/>
                <w:b/>
                <w:bCs/>
                <w:sz w:val="16"/>
                <w:szCs w:val="16"/>
                <w:lang w:eastAsia="hr-HR"/>
              </w:rPr>
              <w:t>29.</w:t>
            </w:r>
          </w:p>
        </w:tc>
        <w:tc>
          <w:tcPr>
            <w:tcW w:w="362" w:type="dxa"/>
            <w:tcBorders>
              <w:top w:val="nil"/>
              <w:left w:val="nil"/>
              <w:bottom w:val="single" w:sz="4" w:space="0" w:color="auto"/>
              <w:right w:val="single" w:sz="4" w:space="0" w:color="auto"/>
            </w:tcBorders>
            <w:shd w:val="clear" w:color="000000" w:fill="CCFFCC"/>
            <w:vAlign w:val="center"/>
            <w:hideMark/>
          </w:tcPr>
          <w:p w14:paraId="78867DA1" w14:textId="77777777" w:rsidR="00A72067" w:rsidRPr="00A72067" w:rsidRDefault="00A72067" w:rsidP="00A72067">
            <w:pPr>
              <w:spacing w:after="0" w:line="240" w:lineRule="auto"/>
              <w:jc w:val="center"/>
              <w:rPr>
                <w:rFonts w:ascii="Calibri" w:eastAsia="Times New Roman" w:hAnsi="Calibri" w:cs="Calibri"/>
                <w:b/>
                <w:bCs/>
                <w:sz w:val="16"/>
                <w:szCs w:val="16"/>
                <w:lang w:eastAsia="hr-HR"/>
              </w:rPr>
            </w:pPr>
            <w:r w:rsidRPr="00A72067">
              <w:rPr>
                <w:rFonts w:ascii="Calibri" w:eastAsia="Times New Roman" w:hAnsi="Calibri" w:cs="Calibri"/>
                <w:b/>
                <w:bCs/>
                <w:sz w:val="16"/>
                <w:szCs w:val="16"/>
                <w:lang w:eastAsia="hr-HR"/>
              </w:rPr>
              <w:t>30.</w:t>
            </w:r>
          </w:p>
        </w:tc>
        <w:tc>
          <w:tcPr>
            <w:tcW w:w="236" w:type="dxa"/>
            <w:gridSpan w:val="3"/>
            <w:vAlign w:val="center"/>
            <w:hideMark/>
          </w:tcPr>
          <w:p w14:paraId="5A8E79E1" w14:textId="77777777" w:rsidR="00A72067" w:rsidRPr="00A72067" w:rsidRDefault="00A72067" w:rsidP="00A72067">
            <w:pPr>
              <w:spacing w:after="0" w:line="240" w:lineRule="auto"/>
              <w:rPr>
                <w:rFonts w:ascii="Times New Roman" w:eastAsia="Times New Roman" w:hAnsi="Times New Roman" w:cs="Times New Roman"/>
                <w:sz w:val="16"/>
                <w:szCs w:val="16"/>
                <w:lang w:eastAsia="hr-HR"/>
              </w:rPr>
            </w:pPr>
          </w:p>
        </w:tc>
      </w:tr>
      <w:tr w:rsidR="00A72067" w:rsidRPr="00A72067" w14:paraId="293BAAFB" w14:textId="77777777" w:rsidTr="00A72067">
        <w:trPr>
          <w:gridAfter w:val="2"/>
          <w:wAfter w:w="104" w:type="dxa"/>
          <w:trHeight w:val="402"/>
        </w:trPr>
        <w:tc>
          <w:tcPr>
            <w:tcW w:w="1286" w:type="dxa"/>
            <w:tcBorders>
              <w:top w:val="nil"/>
              <w:left w:val="single" w:sz="8" w:space="0" w:color="auto"/>
              <w:bottom w:val="single" w:sz="4" w:space="0" w:color="auto"/>
              <w:right w:val="single" w:sz="4" w:space="0" w:color="auto"/>
            </w:tcBorders>
            <w:shd w:val="clear" w:color="000000" w:fill="CCFFCC"/>
            <w:vAlign w:val="center"/>
            <w:hideMark/>
          </w:tcPr>
          <w:p w14:paraId="776C0EEA" w14:textId="77777777" w:rsidR="00A72067" w:rsidRPr="00A72067" w:rsidRDefault="00A72067" w:rsidP="00A72067">
            <w:pPr>
              <w:spacing w:after="0" w:line="240" w:lineRule="auto"/>
              <w:rPr>
                <w:rFonts w:ascii="Calibri" w:eastAsia="Times New Roman" w:hAnsi="Calibri" w:cs="Calibri"/>
                <w:sz w:val="16"/>
                <w:szCs w:val="16"/>
                <w:lang w:eastAsia="hr-HR"/>
              </w:rPr>
            </w:pPr>
            <w:proofErr w:type="spellStart"/>
            <w:r w:rsidRPr="00A72067">
              <w:rPr>
                <w:rFonts w:ascii="Calibri" w:eastAsia="Times New Roman" w:hAnsi="Calibri" w:cs="Calibri"/>
                <w:sz w:val="16"/>
                <w:szCs w:val="16"/>
                <w:lang w:eastAsia="hr-HR"/>
              </w:rPr>
              <w:t>Rasa,etnička</w:t>
            </w:r>
            <w:proofErr w:type="spellEnd"/>
            <w:r w:rsidRPr="00A72067">
              <w:rPr>
                <w:rFonts w:ascii="Calibri" w:eastAsia="Times New Roman" w:hAnsi="Calibri" w:cs="Calibri"/>
                <w:sz w:val="16"/>
                <w:szCs w:val="16"/>
                <w:lang w:eastAsia="hr-HR"/>
              </w:rPr>
              <w:t xml:space="preserve"> pripadnost ili boja kože</w:t>
            </w:r>
          </w:p>
        </w:tc>
        <w:tc>
          <w:tcPr>
            <w:tcW w:w="561" w:type="dxa"/>
            <w:tcBorders>
              <w:top w:val="nil"/>
              <w:left w:val="nil"/>
              <w:bottom w:val="single" w:sz="4" w:space="0" w:color="auto"/>
              <w:right w:val="single" w:sz="4" w:space="0" w:color="auto"/>
            </w:tcBorders>
            <w:shd w:val="clear" w:color="000000" w:fill="FFFF00"/>
            <w:vAlign w:val="bottom"/>
            <w:hideMark/>
          </w:tcPr>
          <w:p w14:paraId="07851947" w14:textId="77777777" w:rsidR="00A72067" w:rsidRPr="00A72067" w:rsidRDefault="00A72067" w:rsidP="00A72067">
            <w:pPr>
              <w:spacing w:after="0" w:line="240" w:lineRule="auto"/>
              <w:jc w:val="right"/>
              <w:rPr>
                <w:rFonts w:ascii="Calibri" w:eastAsia="Times New Roman" w:hAnsi="Calibri" w:cs="Calibri"/>
                <w:b/>
                <w:bCs/>
                <w:sz w:val="16"/>
                <w:szCs w:val="16"/>
                <w:lang w:eastAsia="hr-HR"/>
              </w:rPr>
            </w:pPr>
            <w:r w:rsidRPr="00A72067">
              <w:rPr>
                <w:rFonts w:ascii="Calibri" w:eastAsia="Times New Roman" w:hAnsi="Calibri" w:cs="Calibri"/>
                <w:b/>
                <w:bCs/>
                <w:sz w:val="16"/>
                <w:szCs w:val="16"/>
                <w:lang w:eastAsia="hr-HR"/>
              </w:rPr>
              <w:t>2</w:t>
            </w:r>
          </w:p>
        </w:tc>
        <w:tc>
          <w:tcPr>
            <w:tcW w:w="451" w:type="dxa"/>
            <w:tcBorders>
              <w:top w:val="nil"/>
              <w:left w:val="nil"/>
              <w:bottom w:val="single" w:sz="4" w:space="0" w:color="auto"/>
              <w:right w:val="single" w:sz="4" w:space="0" w:color="auto"/>
            </w:tcBorders>
            <w:shd w:val="clear" w:color="000000" w:fill="FFCC99"/>
            <w:noWrap/>
            <w:vAlign w:val="bottom"/>
            <w:hideMark/>
          </w:tcPr>
          <w:p w14:paraId="18276C6C"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382" w:type="dxa"/>
            <w:tcBorders>
              <w:top w:val="nil"/>
              <w:left w:val="nil"/>
              <w:bottom w:val="single" w:sz="4" w:space="0" w:color="auto"/>
              <w:right w:val="single" w:sz="4" w:space="0" w:color="auto"/>
            </w:tcBorders>
            <w:shd w:val="clear" w:color="000000" w:fill="CCFFFF"/>
            <w:vAlign w:val="bottom"/>
            <w:hideMark/>
          </w:tcPr>
          <w:p w14:paraId="3B77247B"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427" w:type="dxa"/>
            <w:tcBorders>
              <w:top w:val="nil"/>
              <w:left w:val="nil"/>
              <w:bottom w:val="single" w:sz="4" w:space="0" w:color="auto"/>
              <w:right w:val="single" w:sz="4" w:space="0" w:color="auto"/>
            </w:tcBorders>
            <w:shd w:val="clear" w:color="000000" w:fill="CCFFFF"/>
            <w:vAlign w:val="bottom"/>
            <w:hideMark/>
          </w:tcPr>
          <w:p w14:paraId="64BF53D4"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559" w:type="dxa"/>
            <w:tcBorders>
              <w:top w:val="nil"/>
              <w:left w:val="nil"/>
              <w:bottom w:val="single" w:sz="4" w:space="0" w:color="auto"/>
              <w:right w:val="single" w:sz="4" w:space="0" w:color="auto"/>
            </w:tcBorders>
            <w:shd w:val="clear" w:color="000000" w:fill="FFFF99"/>
            <w:noWrap/>
            <w:vAlign w:val="bottom"/>
            <w:hideMark/>
          </w:tcPr>
          <w:p w14:paraId="1AFFE15B"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424" w:type="dxa"/>
            <w:tcBorders>
              <w:top w:val="nil"/>
              <w:left w:val="nil"/>
              <w:bottom w:val="single" w:sz="4" w:space="0" w:color="auto"/>
              <w:right w:val="single" w:sz="4" w:space="0" w:color="auto"/>
            </w:tcBorders>
            <w:shd w:val="clear" w:color="000000" w:fill="FFFF99"/>
            <w:noWrap/>
            <w:vAlign w:val="bottom"/>
            <w:hideMark/>
          </w:tcPr>
          <w:p w14:paraId="657524C4"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816" w:type="dxa"/>
            <w:tcBorders>
              <w:top w:val="nil"/>
              <w:left w:val="nil"/>
              <w:bottom w:val="single" w:sz="4" w:space="0" w:color="auto"/>
              <w:right w:val="single" w:sz="4" w:space="0" w:color="auto"/>
            </w:tcBorders>
            <w:shd w:val="clear" w:color="000000" w:fill="FFFF99"/>
            <w:noWrap/>
            <w:vAlign w:val="bottom"/>
            <w:hideMark/>
          </w:tcPr>
          <w:p w14:paraId="5A1062B2"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422" w:type="dxa"/>
            <w:tcBorders>
              <w:top w:val="nil"/>
              <w:left w:val="nil"/>
              <w:bottom w:val="single" w:sz="4" w:space="0" w:color="auto"/>
              <w:right w:val="single" w:sz="4" w:space="0" w:color="auto"/>
            </w:tcBorders>
            <w:shd w:val="clear" w:color="000000" w:fill="FFFF99"/>
            <w:noWrap/>
            <w:vAlign w:val="bottom"/>
            <w:hideMark/>
          </w:tcPr>
          <w:p w14:paraId="41A72B4B"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456" w:type="dxa"/>
            <w:tcBorders>
              <w:top w:val="nil"/>
              <w:left w:val="nil"/>
              <w:bottom w:val="single" w:sz="4" w:space="0" w:color="auto"/>
              <w:right w:val="single" w:sz="4" w:space="0" w:color="auto"/>
            </w:tcBorders>
            <w:shd w:val="clear" w:color="000000" w:fill="FFFF99"/>
            <w:noWrap/>
            <w:vAlign w:val="bottom"/>
            <w:hideMark/>
          </w:tcPr>
          <w:p w14:paraId="4534B3EA"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422" w:type="dxa"/>
            <w:tcBorders>
              <w:top w:val="nil"/>
              <w:left w:val="nil"/>
              <w:bottom w:val="single" w:sz="4" w:space="0" w:color="auto"/>
              <w:right w:val="single" w:sz="4" w:space="0" w:color="auto"/>
            </w:tcBorders>
            <w:shd w:val="clear" w:color="000000" w:fill="FFFF99"/>
            <w:noWrap/>
            <w:vAlign w:val="bottom"/>
            <w:hideMark/>
          </w:tcPr>
          <w:p w14:paraId="11E6DF6B"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517" w:type="dxa"/>
            <w:tcBorders>
              <w:top w:val="nil"/>
              <w:left w:val="nil"/>
              <w:bottom w:val="single" w:sz="4" w:space="0" w:color="auto"/>
              <w:right w:val="single" w:sz="4" w:space="0" w:color="auto"/>
            </w:tcBorders>
            <w:shd w:val="clear" w:color="000000" w:fill="FFFF99"/>
            <w:noWrap/>
            <w:vAlign w:val="bottom"/>
            <w:hideMark/>
          </w:tcPr>
          <w:p w14:paraId="6115C351"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474" w:type="dxa"/>
            <w:tcBorders>
              <w:top w:val="nil"/>
              <w:left w:val="nil"/>
              <w:bottom w:val="single" w:sz="4" w:space="0" w:color="auto"/>
              <w:right w:val="single" w:sz="4" w:space="0" w:color="auto"/>
            </w:tcBorders>
            <w:shd w:val="clear" w:color="000000" w:fill="FFFF99"/>
            <w:noWrap/>
            <w:vAlign w:val="bottom"/>
            <w:hideMark/>
          </w:tcPr>
          <w:p w14:paraId="1AF2E427"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577" w:type="dxa"/>
            <w:tcBorders>
              <w:top w:val="nil"/>
              <w:left w:val="nil"/>
              <w:bottom w:val="single" w:sz="4" w:space="0" w:color="auto"/>
              <w:right w:val="single" w:sz="4" w:space="0" w:color="auto"/>
            </w:tcBorders>
            <w:shd w:val="clear" w:color="000000" w:fill="FFFF99"/>
            <w:noWrap/>
            <w:vAlign w:val="bottom"/>
            <w:hideMark/>
          </w:tcPr>
          <w:p w14:paraId="73276AF5"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422" w:type="dxa"/>
            <w:gridSpan w:val="2"/>
            <w:tcBorders>
              <w:top w:val="nil"/>
              <w:left w:val="nil"/>
              <w:bottom w:val="single" w:sz="4" w:space="0" w:color="auto"/>
              <w:right w:val="single" w:sz="4" w:space="0" w:color="auto"/>
            </w:tcBorders>
            <w:shd w:val="clear" w:color="000000" w:fill="FFFF99"/>
            <w:noWrap/>
            <w:vAlign w:val="bottom"/>
            <w:hideMark/>
          </w:tcPr>
          <w:p w14:paraId="4A3F1B16"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320" w:type="dxa"/>
            <w:tcBorders>
              <w:top w:val="nil"/>
              <w:left w:val="nil"/>
              <w:bottom w:val="single" w:sz="4" w:space="0" w:color="auto"/>
              <w:right w:val="single" w:sz="4" w:space="0" w:color="auto"/>
            </w:tcBorders>
            <w:shd w:val="clear" w:color="000000" w:fill="FF9900"/>
            <w:noWrap/>
            <w:vAlign w:val="bottom"/>
            <w:hideMark/>
          </w:tcPr>
          <w:p w14:paraId="71FEEBFD"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426" w:type="dxa"/>
            <w:tcBorders>
              <w:top w:val="nil"/>
              <w:left w:val="nil"/>
              <w:bottom w:val="single" w:sz="4" w:space="0" w:color="auto"/>
              <w:right w:val="single" w:sz="4" w:space="0" w:color="auto"/>
            </w:tcBorders>
            <w:shd w:val="clear" w:color="000000" w:fill="FF9900"/>
            <w:noWrap/>
            <w:vAlign w:val="bottom"/>
            <w:hideMark/>
          </w:tcPr>
          <w:p w14:paraId="5BB0304F"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1</w:t>
            </w:r>
          </w:p>
        </w:tc>
        <w:tc>
          <w:tcPr>
            <w:tcW w:w="422" w:type="dxa"/>
            <w:tcBorders>
              <w:top w:val="nil"/>
              <w:left w:val="nil"/>
              <w:bottom w:val="single" w:sz="4" w:space="0" w:color="auto"/>
              <w:right w:val="single" w:sz="4" w:space="0" w:color="auto"/>
            </w:tcBorders>
            <w:shd w:val="clear" w:color="000000" w:fill="FF9900"/>
            <w:noWrap/>
            <w:vAlign w:val="bottom"/>
            <w:hideMark/>
          </w:tcPr>
          <w:p w14:paraId="113A3A04"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433" w:type="dxa"/>
            <w:gridSpan w:val="2"/>
            <w:tcBorders>
              <w:top w:val="nil"/>
              <w:left w:val="nil"/>
              <w:bottom w:val="single" w:sz="4" w:space="0" w:color="auto"/>
              <w:right w:val="single" w:sz="4" w:space="0" w:color="auto"/>
            </w:tcBorders>
            <w:shd w:val="clear" w:color="auto" w:fill="auto"/>
            <w:vAlign w:val="bottom"/>
            <w:hideMark/>
          </w:tcPr>
          <w:p w14:paraId="01D073D7" w14:textId="77777777" w:rsidR="00A72067" w:rsidRPr="00A72067" w:rsidRDefault="00A72067" w:rsidP="00A72067">
            <w:pPr>
              <w:spacing w:after="0" w:line="240" w:lineRule="auto"/>
              <w:jc w:val="right"/>
              <w:rPr>
                <w:rFonts w:ascii="Calibri" w:eastAsia="Times New Roman" w:hAnsi="Calibri" w:cs="Calibri"/>
                <w:b/>
                <w:bCs/>
                <w:sz w:val="16"/>
                <w:szCs w:val="16"/>
                <w:lang w:eastAsia="hr-HR"/>
              </w:rPr>
            </w:pPr>
            <w:r w:rsidRPr="00A72067">
              <w:rPr>
                <w:rFonts w:ascii="Calibri" w:eastAsia="Times New Roman" w:hAnsi="Calibri" w:cs="Calibri"/>
                <w:b/>
                <w:bCs/>
                <w:sz w:val="16"/>
                <w:szCs w:val="16"/>
                <w:lang w:eastAsia="hr-HR"/>
              </w:rPr>
              <w:t>1</w:t>
            </w:r>
          </w:p>
        </w:tc>
        <w:tc>
          <w:tcPr>
            <w:tcW w:w="422" w:type="dxa"/>
            <w:tcBorders>
              <w:top w:val="nil"/>
              <w:left w:val="nil"/>
              <w:bottom w:val="single" w:sz="4" w:space="0" w:color="auto"/>
              <w:right w:val="single" w:sz="4" w:space="0" w:color="auto"/>
            </w:tcBorders>
            <w:shd w:val="clear" w:color="000000" w:fill="FFFF00"/>
            <w:noWrap/>
            <w:vAlign w:val="bottom"/>
            <w:hideMark/>
          </w:tcPr>
          <w:p w14:paraId="34F89E0D" w14:textId="77777777" w:rsidR="00A72067" w:rsidRPr="00A72067" w:rsidRDefault="00A72067" w:rsidP="00A72067">
            <w:pPr>
              <w:spacing w:after="0" w:line="240" w:lineRule="auto"/>
              <w:jc w:val="right"/>
              <w:rPr>
                <w:rFonts w:ascii="Calibri" w:eastAsia="Times New Roman" w:hAnsi="Calibri" w:cs="Calibri"/>
                <w:b/>
                <w:bCs/>
                <w:sz w:val="16"/>
                <w:szCs w:val="16"/>
                <w:lang w:eastAsia="hr-HR"/>
              </w:rPr>
            </w:pPr>
            <w:r w:rsidRPr="00A72067">
              <w:rPr>
                <w:rFonts w:ascii="Calibri" w:eastAsia="Times New Roman" w:hAnsi="Calibri" w:cs="Calibri"/>
                <w:b/>
                <w:bCs/>
                <w:sz w:val="16"/>
                <w:szCs w:val="16"/>
                <w:lang w:eastAsia="hr-HR"/>
              </w:rPr>
              <w:t>0</w:t>
            </w:r>
          </w:p>
        </w:tc>
        <w:tc>
          <w:tcPr>
            <w:tcW w:w="424" w:type="dxa"/>
            <w:tcBorders>
              <w:top w:val="nil"/>
              <w:left w:val="nil"/>
              <w:bottom w:val="single" w:sz="4" w:space="0" w:color="auto"/>
              <w:right w:val="single" w:sz="4" w:space="0" w:color="auto"/>
            </w:tcBorders>
            <w:shd w:val="clear" w:color="000000" w:fill="FFFF00"/>
            <w:noWrap/>
            <w:vAlign w:val="bottom"/>
            <w:hideMark/>
          </w:tcPr>
          <w:p w14:paraId="40D4333D" w14:textId="77777777" w:rsidR="00A72067" w:rsidRPr="00A72067" w:rsidRDefault="00A72067" w:rsidP="00A72067">
            <w:pPr>
              <w:spacing w:after="0" w:line="240" w:lineRule="auto"/>
              <w:jc w:val="right"/>
              <w:rPr>
                <w:rFonts w:ascii="Calibri" w:eastAsia="Times New Roman" w:hAnsi="Calibri" w:cs="Calibri"/>
                <w:b/>
                <w:bCs/>
                <w:sz w:val="16"/>
                <w:szCs w:val="16"/>
                <w:lang w:eastAsia="hr-HR"/>
              </w:rPr>
            </w:pPr>
            <w:r w:rsidRPr="00A72067">
              <w:rPr>
                <w:rFonts w:ascii="Calibri" w:eastAsia="Times New Roman" w:hAnsi="Calibri" w:cs="Calibri"/>
                <w:b/>
                <w:bCs/>
                <w:sz w:val="16"/>
                <w:szCs w:val="16"/>
                <w:lang w:eastAsia="hr-HR"/>
              </w:rPr>
              <w:t>0</w:t>
            </w:r>
          </w:p>
        </w:tc>
        <w:tc>
          <w:tcPr>
            <w:tcW w:w="430" w:type="dxa"/>
            <w:tcBorders>
              <w:top w:val="nil"/>
              <w:left w:val="nil"/>
              <w:bottom w:val="single" w:sz="4" w:space="0" w:color="auto"/>
              <w:right w:val="single" w:sz="4" w:space="0" w:color="auto"/>
            </w:tcBorders>
            <w:shd w:val="clear" w:color="000000" w:fill="FFFF00"/>
            <w:noWrap/>
            <w:vAlign w:val="bottom"/>
            <w:hideMark/>
          </w:tcPr>
          <w:p w14:paraId="27BE85D3" w14:textId="77777777" w:rsidR="00A72067" w:rsidRPr="00A72067" w:rsidRDefault="00A72067" w:rsidP="00A72067">
            <w:pPr>
              <w:spacing w:after="0" w:line="240" w:lineRule="auto"/>
              <w:jc w:val="right"/>
              <w:rPr>
                <w:rFonts w:ascii="Calibri" w:eastAsia="Times New Roman" w:hAnsi="Calibri" w:cs="Calibri"/>
                <w:b/>
                <w:bCs/>
                <w:sz w:val="16"/>
                <w:szCs w:val="16"/>
                <w:lang w:eastAsia="hr-HR"/>
              </w:rPr>
            </w:pPr>
            <w:r w:rsidRPr="00A72067">
              <w:rPr>
                <w:rFonts w:ascii="Calibri" w:eastAsia="Times New Roman" w:hAnsi="Calibri" w:cs="Calibri"/>
                <w:b/>
                <w:bCs/>
                <w:sz w:val="16"/>
                <w:szCs w:val="16"/>
                <w:lang w:eastAsia="hr-HR"/>
              </w:rPr>
              <w:t>0</w:t>
            </w:r>
          </w:p>
        </w:tc>
        <w:tc>
          <w:tcPr>
            <w:tcW w:w="424" w:type="dxa"/>
            <w:tcBorders>
              <w:top w:val="nil"/>
              <w:left w:val="nil"/>
              <w:bottom w:val="single" w:sz="4" w:space="0" w:color="auto"/>
              <w:right w:val="single" w:sz="4" w:space="0" w:color="auto"/>
            </w:tcBorders>
            <w:shd w:val="clear" w:color="auto" w:fill="auto"/>
            <w:vAlign w:val="bottom"/>
            <w:hideMark/>
          </w:tcPr>
          <w:p w14:paraId="5320C140" w14:textId="77777777" w:rsidR="00A72067" w:rsidRPr="00A72067" w:rsidRDefault="00A72067" w:rsidP="00A72067">
            <w:pPr>
              <w:spacing w:after="0" w:line="240" w:lineRule="auto"/>
              <w:jc w:val="right"/>
              <w:rPr>
                <w:rFonts w:ascii="Calibri" w:eastAsia="Times New Roman" w:hAnsi="Calibri" w:cs="Calibri"/>
                <w:b/>
                <w:bCs/>
                <w:sz w:val="16"/>
                <w:szCs w:val="16"/>
                <w:lang w:eastAsia="hr-HR"/>
              </w:rPr>
            </w:pPr>
            <w:r w:rsidRPr="00A72067">
              <w:rPr>
                <w:rFonts w:ascii="Calibri" w:eastAsia="Times New Roman" w:hAnsi="Calibri" w:cs="Calibri"/>
                <w:b/>
                <w:bCs/>
                <w:sz w:val="16"/>
                <w:szCs w:val="16"/>
                <w:lang w:eastAsia="hr-HR"/>
              </w:rPr>
              <w:t>0</w:t>
            </w:r>
          </w:p>
        </w:tc>
        <w:tc>
          <w:tcPr>
            <w:tcW w:w="570" w:type="dxa"/>
            <w:tcBorders>
              <w:top w:val="nil"/>
              <w:left w:val="nil"/>
              <w:bottom w:val="single" w:sz="4" w:space="0" w:color="auto"/>
              <w:right w:val="single" w:sz="4" w:space="0" w:color="auto"/>
            </w:tcBorders>
            <w:shd w:val="clear" w:color="000000" w:fill="FFFF00"/>
            <w:vAlign w:val="bottom"/>
            <w:hideMark/>
          </w:tcPr>
          <w:p w14:paraId="2AA286AC" w14:textId="77777777" w:rsidR="00A72067" w:rsidRPr="00A72067" w:rsidRDefault="00A72067" w:rsidP="00A72067">
            <w:pPr>
              <w:spacing w:after="0" w:line="240" w:lineRule="auto"/>
              <w:jc w:val="right"/>
              <w:rPr>
                <w:rFonts w:ascii="Calibri" w:eastAsia="Times New Roman" w:hAnsi="Calibri" w:cs="Calibri"/>
                <w:b/>
                <w:bCs/>
                <w:sz w:val="16"/>
                <w:szCs w:val="16"/>
                <w:lang w:eastAsia="hr-HR"/>
              </w:rPr>
            </w:pPr>
            <w:r w:rsidRPr="00A72067">
              <w:rPr>
                <w:rFonts w:ascii="Calibri" w:eastAsia="Times New Roman" w:hAnsi="Calibri" w:cs="Calibri"/>
                <w:b/>
                <w:bCs/>
                <w:sz w:val="16"/>
                <w:szCs w:val="16"/>
                <w:lang w:eastAsia="hr-HR"/>
              </w:rPr>
              <w:t>1</w:t>
            </w:r>
          </w:p>
        </w:tc>
        <w:tc>
          <w:tcPr>
            <w:tcW w:w="424" w:type="dxa"/>
            <w:gridSpan w:val="2"/>
            <w:tcBorders>
              <w:top w:val="nil"/>
              <w:left w:val="nil"/>
              <w:bottom w:val="single" w:sz="4" w:space="0" w:color="auto"/>
              <w:right w:val="single" w:sz="4" w:space="0" w:color="auto"/>
            </w:tcBorders>
            <w:shd w:val="clear" w:color="000000" w:fill="FF9900"/>
            <w:noWrap/>
            <w:vAlign w:val="bottom"/>
            <w:hideMark/>
          </w:tcPr>
          <w:p w14:paraId="381546D5"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521" w:type="dxa"/>
            <w:gridSpan w:val="2"/>
            <w:tcBorders>
              <w:top w:val="nil"/>
              <w:left w:val="nil"/>
              <w:bottom w:val="single" w:sz="4" w:space="0" w:color="auto"/>
              <w:right w:val="single" w:sz="4" w:space="0" w:color="auto"/>
            </w:tcBorders>
            <w:shd w:val="clear" w:color="000000" w:fill="CCFFFF"/>
            <w:noWrap/>
            <w:vAlign w:val="bottom"/>
            <w:hideMark/>
          </w:tcPr>
          <w:p w14:paraId="234B24C2"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420" w:type="dxa"/>
            <w:tcBorders>
              <w:top w:val="nil"/>
              <w:left w:val="nil"/>
              <w:bottom w:val="single" w:sz="4" w:space="0" w:color="auto"/>
              <w:right w:val="single" w:sz="4" w:space="0" w:color="auto"/>
            </w:tcBorders>
            <w:shd w:val="clear" w:color="000000" w:fill="CCFFFF"/>
            <w:noWrap/>
            <w:vAlign w:val="bottom"/>
            <w:hideMark/>
          </w:tcPr>
          <w:p w14:paraId="14CDF5FA"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406" w:type="dxa"/>
            <w:tcBorders>
              <w:top w:val="nil"/>
              <w:left w:val="nil"/>
              <w:bottom w:val="single" w:sz="4" w:space="0" w:color="auto"/>
              <w:right w:val="single" w:sz="4" w:space="0" w:color="auto"/>
            </w:tcBorders>
            <w:shd w:val="clear" w:color="000000" w:fill="CCFFFF"/>
            <w:noWrap/>
            <w:vAlign w:val="bottom"/>
            <w:hideMark/>
          </w:tcPr>
          <w:p w14:paraId="3C6246F2"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469" w:type="dxa"/>
            <w:gridSpan w:val="2"/>
            <w:tcBorders>
              <w:top w:val="nil"/>
              <w:left w:val="nil"/>
              <w:bottom w:val="single" w:sz="4" w:space="0" w:color="auto"/>
              <w:right w:val="nil"/>
            </w:tcBorders>
            <w:shd w:val="clear" w:color="000000" w:fill="33CCCC"/>
            <w:noWrap/>
            <w:vAlign w:val="bottom"/>
            <w:hideMark/>
          </w:tcPr>
          <w:p w14:paraId="21488490"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362" w:type="dxa"/>
            <w:tcBorders>
              <w:top w:val="nil"/>
              <w:left w:val="single" w:sz="4" w:space="0" w:color="auto"/>
              <w:bottom w:val="single" w:sz="4" w:space="0" w:color="auto"/>
              <w:right w:val="single" w:sz="8" w:space="0" w:color="auto"/>
            </w:tcBorders>
            <w:shd w:val="clear" w:color="000000" w:fill="33CCCC"/>
            <w:noWrap/>
            <w:vAlign w:val="bottom"/>
            <w:hideMark/>
          </w:tcPr>
          <w:p w14:paraId="76124933"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1</w:t>
            </w:r>
          </w:p>
        </w:tc>
        <w:tc>
          <w:tcPr>
            <w:tcW w:w="236" w:type="dxa"/>
            <w:gridSpan w:val="3"/>
            <w:vAlign w:val="center"/>
            <w:hideMark/>
          </w:tcPr>
          <w:p w14:paraId="368F0EE8" w14:textId="77777777" w:rsidR="00A72067" w:rsidRPr="00A72067" w:rsidRDefault="00A72067" w:rsidP="00A72067">
            <w:pPr>
              <w:spacing w:after="0" w:line="240" w:lineRule="auto"/>
              <w:rPr>
                <w:rFonts w:ascii="Times New Roman" w:eastAsia="Times New Roman" w:hAnsi="Times New Roman" w:cs="Times New Roman"/>
                <w:sz w:val="16"/>
                <w:szCs w:val="16"/>
                <w:lang w:eastAsia="hr-HR"/>
              </w:rPr>
            </w:pPr>
          </w:p>
        </w:tc>
      </w:tr>
      <w:tr w:rsidR="00A72067" w:rsidRPr="00A72067" w14:paraId="24B5B21E" w14:textId="77777777" w:rsidTr="00A72067">
        <w:trPr>
          <w:gridAfter w:val="2"/>
          <w:wAfter w:w="104" w:type="dxa"/>
          <w:trHeight w:val="402"/>
        </w:trPr>
        <w:tc>
          <w:tcPr>
            <w:tcW w:w="1286" w:type="dxa"/>
            <w:tcBorders>
              <w:top w:val="nil"/>
              <w:left w:val="single" w:sz="8" w:space="0" w:color="auto"/>
              <w:bottom w:val="single" w:sz="4" w:space="0" w:color="auto"/>
              <w:right w:val="single" w:sz="4" w:space="0" w:color="auto"/>
            </w:tcBorders>
            <w:shd w:val="clear" w:color="000000" w:fill="CCFFCC"/>
            <w:vAlign w:val="center"/>
            <w:hideMark/>
          </w:tcPr>
          <w:p w14:paraId="711B2AB5" w14:textId="77777777" w:rsidR="00A72067" w:rsidRPr="00A72067" w:rsidRDefault="00A72067" w:rsidP="00A72067">
            <w:pPr>
              <w:spacing w:after="0" w:line="240" w:lineRule="auto"/>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Spol</w:t>
            </w:r>
          </w:p>
        </w:tc>
        <w:tc>
          <w:tcPr>
            <w:tcW w:w="561" w:type="dxa"/>
            <w:tcBorders>
              <w:top w:val="nil"/>
              <w:left w:val="nil"/>
              <w:bottom w:val="single" w:sz="4" w:space="0" w:color="auto"/>
              <w:right w:val="single" w:sz="4" w:space="0" w:color="auto"/>
            </w:tcBorders>
            <w:shd w:val="clear" w:color="000000" w:fill="FFFF00"/>
            <w:vAlign w:val="bottom"/>
            <w:hideMark/>
          </w:tcPr>
          <w:p w14:paraId="3A42658E" w14:textId="77777777" w:rsidR="00A72067" w:rsidRPr="00A72067" w:rsidRDefault="00A72067" w:rsidP="00A72067">
            <w:pPr>
              <w:spacing w:after="0" w:line="240" w:lineRule="auto"/>
              <w:jc w:val="right"/>
              <w:rPr>
                <w:rFonts w:ascii="Calibri" w:eastAsia="Times New Roman" w:hAnsi="Calibri" w:cs="Calibri"/>
                <w:b/>
                <w:bCs/>
                <w:sz w:val="16"/>
                <w:szCs w:val="16"/>
                <w:lang w:eastAsia="hr-HR"/>
              </w:rPr>
            </w:pPr>
            <w:r w:rsidRPr="00A72067">
              <w:rPr>
                <w:rFonts w:ascii="Calibri" w:eastAsia="Times New Roman" w:hAnsi="Calibri" w:cs="Calibri"/>
                <w:b/>
                <w:bCs/>
                <w:sz w:val="16"/>
                <w:szCs w:val="16"/>
                <w:lang w:eastAsia="hr-HR"/>
              </w:rPr>
              <w:t>0</w:t>
            </w:r>
          </w:p>
        </w:tc>
        <w:tc>
          <w:tcPr>
            <w:tcW w:w="451" w:type="dxa"/>
            <w:tcBorders>
              <w:top w:val="nil"/>
              <w:left w:val="nil"/>
              <w:bottom w:val="single" w:sz="4" w:space="0" w:color="auto"/>
              <w:right w:val="single" w:sz="4" w:space="0" w:color="auto"/>
            </w:tcBorders>
            <w:shd w:val="clear" w:color="000000" w:fill="FFCC99"/>
            <w:noWrap/>
            <w:vAlign w:val="bottom"/>
            <w:hideMark/>
          </w:tcPr>
          <w:p w14:paraId="203EBF8C"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382" w:type="dxa"/>
            <w:tcBorders>
              <w:top w:val="nil"/>
              <w:left w:val="nil"/>
              <w:bottom w:val="single" w:sz="4" w:space="0" w:color="auto"/>
              <w:right w:val="single" w:sz="4" w:space="0" w:color="auto"/>
            </w:tcBorders>
            <w:shd w:val="clear" w:color="000000" w:fill="CCFFFF"/>
            <w:vAlign w:val="bottom"/>
            <w:hideMark/>
          </w:tcPr>
          <w:p w14:paraId="224711DD"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427" w:type="dxa"/>
            <w:tcBorders>
              <w:top w:val="nil"/>
              <w:left w:val="nil"/>
              <w:bottom w:val="single" w:sz="4" w:space="0" w:color="auto"/>
              <w:right w:val="single" w:sz="4" w:space="0" w:color="auto"/>
            </w:tcBorders>
            <w:shd w:val="clear" w:color="000000" w:fill="CCFFFF"/>
            <w:vAlign w:val="bottom"/>
            <w:hideMark/>
          </w:tcPr>
          <w:p w14:paraId="1B850103"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559" w:type="dxa"/>
            <w:tcBorders>
              <w:top w:val="nil"/>
              <w:left w:val="nil"/>
              <w:bottom w:val="single" w:sz="4" w:space="0" w:color="auto"/>
              <w:right w:val="single" w:sz="4" w:space="0" w:color="auto"/>
            </w:tcBorders>
            <w:shd w:val="clear" w:color="000000" w:fill="FFFF99"/>
            <w:noWrap/>
            <w:vAlign w:val="bottom"/>
            <w:hideMark/>
          </w:tcPr>
          <w:p w14:paraId="58848CA1"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424" w:type="dxa"/>
            <w:tcBorders>
              <w:top w:val="nil"/>
              <w:left w:val="nil"/>
              <w:bottom w:val="single" w:sz="4" w:space="0" w:color="auto"/>
              <w:right w:val="single" w:sz="4" w:space="0" w:color="auto"/>
            </w:tcBorders>
            <w:shd w:val="clear" w:color="000000" w:fill="FFFF99"/>
            <w:noWrap/>
            <w:vAlign w:val="bottom"/>
            <w:hideMark/>
          </w:tcPr>
          <w:p w14:paraId="7013F3B2"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816" w:type="dxa"/>
            <w:tcBorders>
              <w:top w:val="nil"/>
              <w:left w:val="nil"/>
              <w:bottom w:val="single" w:sz="4" w:space="0" w:color="auto"/>
              <w:right w:val="single" w:sz="4" w:space="0" w:color="auto"/>
            </w:tcBorders>
            <w:shd w:val="clear" w:color="000000" w:fill="FFFF99"/>
            <w:noWrap/>
            <w:vAlign w:val="bottom"/>
            <w:hideMark/>
          </w:tcPr>
          <w:p w14:paraId="4878F37E"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422" w:type="dxa"/>
            <w:tcBorders>
              <w:top w:val="nil"/>
              <w:left w:val="nil"/>
              <w:bottom w:val="single" w:sz="4" w:space="0" w:color="auto"/>
              <w:right w:val="single" w:sz="4" w:space="0" w:color="auto"/>
            </w:tcBorders>
            <w:shd w:val="clear" w:color="000000" w:fill="FFFF99"/>
            <w:noWrap/>
            <w:vAlign w:val="bottom"/>
            <w:hideMark/>
          </w:tcPr>
          <w:p w14:paraId="6321FE1D"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456" w:type="dxa"/>
            <w:tcBorders>
              <w:top w:val="nil"/>
              <w:left w:val="nil"/>
              <w:bottom w:val="single" w:sz="4" w:space="0" w:color="auto"/>
              <w:right w:val="single" w:sz="4" w:space="0" w:color="auto"/>
            </w:tcBorders>
            <w:shd w:val="clear" w:color="000000" w:fill="FFFF99"/>
            <w:noWrap/>
            <w:vAlign w:val="bottom"/>
            <w:hideMark/>
          </w:tcPr>
          <w:p w14:paraId="2A1E9A78"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422" w:type="dxa"/>
            <w:tcBorders>
              <w:top w:val="nil"/>
              <w:left w:val="nil"/>
              <w:bottom w:val="single" w:sz="4" w:space="0" w:color="auto"/>
              <w:right w:val="single" w:sz="4" w:space="0" w:color="auto"/>
            </w:tcBorders>
            <w:shd w:val="clear" w:color="000000" w:fill="FFFF99"/>
            <w:noWrap/>
            <w:vAlign w:val="bottom"/>
            <w:hideMark/>
          </w:tcPr>
          <w:p w14:paraId="7318B1B3"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517" w:type="dxa"/>
            <w:tcBorders>
              <w:top w:val="nil"/>
              <w:left w:val="nil"/>
              <w:bottom w:val="single" w:sz="4" w:space="0" w:color="auto"/>
              <w:right w:val="single" w:sz="4" w:space="0" w:color="auto"/>
            </w:tcBorders>
            <w:shd w:val="clear" w:color="000000" w:fill="FFFF99"/>
            <w:noWrap/>
            <w:vAlign w:val="bottom"/>
            <w:hideMark/>
          </w:tcPr>
          <w:p w14:paraId="15662481"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474" w:type="dxa"/>
            <w:tcBorders>
              <w:top w:val="nil"/>
              <w:left w:val="nil"/>
              <w:bottom w:val="single" w:sz="4" w:space="0" w:color="auto"/>
              <w:right w:val="single" w:sz="4" w:space="0" w:color="auto"/>
            </w:tcBorders>
            <w:shd w:val="clear" w:color="000000" w:fill="FFFF99"/>
            <w:noWrap/>
            <w:vAlign w:val="bottom"/>
            <w:hideMark/>
          </w:tcPr>
          <w:p w14:paraId="0A9321BD"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577" w:type="dxa"/>
            <w:tcBorders>
              <w:top w:val="nil"/>
              <w:left w:val="nil"/>
              <w:bottom w:val="single" w:sz="4" w:space="0" w:color="auto"/>
              <w:right w:val="single" w:sz="4" w:space="0" w:color="auto"/>
            </w:tcBorders>
            <w:shd w:val="clear" w:color="000000" w:fill="FFFF99"/>
            <w:noWrap/>
            <w:vAlign w:val="bottom"/>
            <w:hideMark/>
          </w:tcPr>
          <w:p w14:paraId="4981FDF7"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422" w:type="dxa"/>
            <w:gridSpan w:val="2"/>
            <w:tcBorders>
              <w:top w:val="nil"/>
              <w:left w:val="nil"/>
              <w:bottom w:val="single" w:sz="4" w:space="0" w:color="auto"/>
              <w:right w:val="single" w:sz="4" w:space="0" w:color="auto"/>
            </w:tcBorders>
            <w:shd w:val="clear" w:color="000000" w:fill="FFFF99"/>
            <w:noWrap/>
            <w:vAlign w:val="bottom"/>
            <w:hideMark/>
          </w:tcPr>
          <w:p w14:paraId="1AF8D050"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320" w:type="dxa"/>
            <w:tcBorders>
              <w:top w:val="nil"/>
              <w:left w:val="nil"/>
              <w:bottom w:val="single" w:sz="4" w:space="0" w:color="auto"/>
              <w:right w:val="single" w:sz="4" w:space="0" w:color="auto"/>
            </w:tcBorders>
            <w:shd w:val="clear" w:color="000000" w:fill="FF9900"/>
            <w:noWrap/>
            <w:vAlign w:val="bottom"/>
            <w:hideMark/>
          </w:tcPr>
          <w:p w14:paraId="565C4FE6"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426" w:type="dxa"/>
            <w:tcBorders>
              <w:top w:val="nil"/>
              <w:left w:val="nil"/>
              <w:bottom w:val="single" w:sz="4" w:space="0" w:color="auto"/>
              <w:right w:val="single" w:sz="4" w:space="0" w:color="auto"/>
            </w:tcBorders>
            <w:shd w:val="clear" w:color="000000" w:fill="FF9900"/>
            <w:noWrap/>
            <w:vAlign w:val="bottom"/>
            <w:hideMark/>
          </w:tcPr>
          <w:p w14:paraId="2E72054B"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422" w:type="dxa"/>
            <w:tcBorders>
              <w:top w:val="nil"/>
              <w:left w:val="nil"/>
              <w:bottom w:val="single" w:sz="4" w:space="0" w:color="auto"/>
              <w:right w:val="single" w:sz="4" w:space="0" w:color="auto"/>
            </w:tcBorders>
            <w:shd w:val="clear" w:color="000000" w:fill="FF9900"/>
            <w:noWrap/>
            <w:vAlign w:val="bottom"/>
            <w:hideMark/>
          </w:tcPr>
          <w:p w14:paraId="6741E6CF"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433" w:type="dxa"/>
            <w:gridSpan w:val="2"/>
            <w:tcBorders>
              <w:top w:val="nil"/>
              <w:left w:val="nil"/>
              <w:bottom w:val="single" w:sz="4" w:space="0" w:color="auto"/>
              <w:right w:val="single" w:sz="4" w:space="0" w:color="auto"/>
            </w:tcBorders>
            <w:shd w:val="clear" w:color="auto" w:fill="auto"/>
            <w:vAlign w:val="bottom"/>
            <w:hideMark/>
          </w:tcPr>
          <w:p w14:paraId="664087DC" w14:textId="77777777" w:rsidR="00A72067" w:rsidRPr="00A72067" w:rsidRDefault="00A72067" w:rsidP="00A72067">
            <w:pPr>
              <w:spacing w:after="0" w:line="240" w:lineRule="auto"/>
              <w:jc w:val="right"/>
              <w:rPr>
                <w:rFonts w:ascii="Calibri" w:eastAsia="Times New Roman" w:hAnsi="Calibri" w:cs="Calibri"/>
                <w:b/>
                <w:bCs/>
                <w:sz w:val="16"/>
                <w:szCs w:val="16"/>
                <w:lang w:eastAsia="hr-HR"/>
              </w:rPr>
            </w:pPr>
            <w:r w:rsidRPr="00A72067">
              <w:rPr>
                <w:rFonts w:ascii="Calibri" w:eastAsia="Times New Roman" w:hAnsi="Calibri" w:cs="Calibri"/>
                <w:b/>
                <w:bCs/>
                <w:sz w:val="16"/>
                <w:szCs w:val="16"/>
                <w:lang w:eastAsia="hr-HR"/>
              </w:rPr>
              <w:t>0</w:t>
            </w:r>
          </w:p>
        </w:tc>
        <w:tc>
          <w:tcPr>
            <w:tcW w:w="422" w:type="dxa"/>
            <w:tcBorders>
              <w:top w:val="nil"/>
              <w:left w:val="nil"/>
              <w:bottom w:val="single" w:sz="4" w:space="0" w:color="auto"/>
              <w:right w:val="single" w:sz="4" w:space="0" w:color="auto"/>
            </w:tcBorders>
            <w:shd w:val="clear" w:color="000000" w:fill="FFFF00"/>
            <w:noWrap/>
            <w:vAlign w:val="bottom"/>
            <w:hideMark/>
          </w:tcPr>
          <w:p w14:paraId="54A8FC01"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424" w:type="dxa"/>
            <w:tcBorders>
              <w:top w:val="nil"/>
              <w:left w:val="nil"/>
              <w:bottom w:val="single" w:sz="4" w:space="0" w:color="auto"/>
              <w:right w:val="single" w:sz="4" w:space="0" w:color="auto"/>
            </w:tcBorders>
            <w:shd w:val="clear" w:color="000000" w:fill="FFFF00"/>
            <w:noWrap/>
            <w:vAlign w:val="bottom"/>
            <w:hideMark/>
          </w:tcPr>
          <w:p w14:paraId="71D8A095"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430" w:type="dxa"/>
            <w:tcBorders>
              <w:top w:val="nil"/>
              <w:left w:val="nil"/>
              <w:bottom w:val="single" w:sz="4" w:space="0" w:color="auto"/>
              <w:right w:val="single" w:sz="4" w:space="0" w:color="auto"/>
            </w:tcBorders>
            <w:shd w:val="clear" w:color="000000" w:fill="FFFF00"/>
            <w:noWrap/>
            <w:vAlign w:val="bottom"/>
            <w:hideMark/>
          </w:tcPr>
          <w:p w14:paraId="1E955563"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424" w:type="dxa"/>
            <w:tcBorders>
              <w:top w:val="nil"/>
              <w:left w:val="nil"/>
              <w:bottom w:val="single" w:sz="4" w:space="0" w:color="auto"/>
              <w:right w:val="single" w:sz="4" w:space="0" w:color="auto"/>
            </w:tcBorders>
            <w:shd w:val="clear" w:color="auto" w:fill="auto"/>
            <w:vAlign w:val="bottom"/>
            <w:hideMark/>
          </w:tcPr>
          <w:p w14:paraId="61F9881C" w14:textId="77777777" w:rsidR="00A72067" w:rsidRPr="00A72067" w:rsidRDefault="00A72067" w:rsidP="00A72067">
            <w:pPr>
              <w:spacing w:after="0" w:line="240" w:lineRule="auto"/>
              <w:jc w:val="right"/>
              <w:rPr>
                <w:rFonts w:ascii="Calibri" w:eastAsia="Times New Roman" w:hAnsi="Calibri" w:cs="Calibri"/>
                <w:b/>
                <w:bCs/>
                <w:sz w:val="16"/>
                <w:szCs w:val="16"/>
                <w:lang w:eastAsia="hr-HR"/>
              </w:rPr>
            </w:pPr>
            <w:r w:rsidRPr="00A72067">
              <w:rPr>
                <w:rFonts w:ascii="Calibri" w:eastAsia="Times New Roman" w:hAnsi="Calibri" w:cs="Calibri"/>
                <w:b/>
                <w:bCs/>
                <w:sz w:val="16"/>
                <w:szCs w:val="16"/>
                <w:lang w:eastAsia="hr-HR"/>
              </w:rPr>
              <w:t>0</w:t>
            </w:r>
          </w:p>
        </w:tc>
        <w:tc>
          <w:tcPr>
            <w:tcW w:w="570" w:type="dxa"/>
            <w:tcBorders>
              <w:top w:val="nil"/>
              <w:left w:val="nil"/>
              <w:bottom w:val="single" w:sz="4" w:space="0" w:color="auto"/>
              <w:right w:val="single" w:sz="4" w:space="0" w:color="auto"/>
            </w:tcBorders>
            <w:shd w:val="clear" w:color="000000" w:fill="FFFF00"/>
            <w:vAlign w:val="bottom"/>
            <w:hideMark/>
          </w:tcPr>
          <w:p w14:paraId="3CE78F83" w14:textId="77777777" w:rsidR="00A72067" w:rsidRPr="00A72067" w:rsidRDefault="00A72067" w:rsidP="00A72067">
            <w:pPr>
              <w:spacing w:after="0" w:line="240" w:lineRule="auto"/>
              <w:jc w:val="right"/>
              <w:rPr>
                <w:rFonts w:ascii="Calibri" w:eastAsia="Times New Roman" w:hAnsi="Calibri" w:cs="Calibri"/>
                <w:b/>
                <w:bCs/>
                <w:sz w:val="16"/>
                <w:szCs w:val="16"/>
                <w:lang w:eastAsia="hr-HR"/>
              </w:rPr>
            </w:pPr>
            <w:r w:rsidRPr="00A72067">
              <w:rPr>
                <w:rFonts w:ascii="Calibri" w:eastAsia="Times New Roman" w:hAnsi="Calibri" w:cs="Calibri"/>
                <w:b/>
                <w:bCs/>
                <w:sz w:val="16"/>
                <w:szCs w:val="16"/>
                <w:lang w:eastAsia="hr-HR"/>
              </w:rPr>
              <w:t>0</w:t>
            </w:r>
          </w:p>
        </w:tc>
        <w:tc>
          <w:tcPr>
            <w:tcW w:w="424" w:type="dxa"/>
            <w:gridSpan w:val="2"/>
            <w:tcBorders>
              <w:top w:val="nil"/>
              <w:left w:val="nil"/>
              <w:bottom w:val="single" w:sz="4" w:space="0" w:color="auto"/>
              <w:right w:val="single" w:sz="4" w:space="0" w:color="auto"/>
            </w:tcBorders>
            <w:shd w:val="clear" w:color="000000" w:fill="FF9900"/>
            <w:vAlign w:val="bottom"/>
            <w:hideMark/>
          </w:tcPr>
          <w:p w14:paraId="1A79594D"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521" w:type="dxa"/>
            <w:gridSpan w:val="2"/>
            <w:tcBorders>
              <w:top w:val="nil"/>
              <w:left w:val="nil"/>
              <w:bottom w:val="single" w:sz="4" w:space="0" w:color="auto"/>
              <w:right w:val="single" w:sz="4" w:space="0" w:color="auto"/>
            </w:tcBorders>
            <w:shd w:val="clear" w:color="000000" w:fill="CCFFFF"/>
            <w:noWrap/>
            <w:vAlign w:val="bottom"/>
            <w:hideMark/>
          </w:tcPr>
          <w:p w14:paraId="3C63A81A"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420" w:type="dxa"/>
            <w:tcBorders>
              <w:top w:val="nil"/>
              <w:left w:val="nil"/>
              <w:bottom w:val="single" w:sz="4" w:space="0" w:color="auto"/>
              <w:right w:val="single" w:sz="4" w:space="0" w:color="auto"/>
            </w:tcBorders>
            <w:shd w:val="clear" w:color="000000" w:fill="CCFFFF"/>
            <w:noWrap/>
            <w:vAlign w:val="bottom"/>
            <w:hideMark/>
          </w:tcPr>
          <w:p w14:paraId="5634D213"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406" w:type="dxa"/>
            <w:tcBorders>
              <w:top w:val="nil"/>
              <w:left w:val="nil"/>
              <w:bottom w:val="single" w:sz="4" w:space="0" w:color="auto"/>
              <w:right w:val="single" w:sz="4" w:space="0" w:color="auto"/>
            </w:tcBorders>
            <w:shd w:val="clear" w:color="000000" w:fill="CCFFFF"/>
            <w:noWrap/>
            <w:vAlign w:val="bottom"/>
            <w:hideMark/>
          </w:tcPr>
          <w:p w14:paraId="436BFA92"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469" w:type="dxa"/>
            <w:gridSpan w:val="2"/>
            <w:tcBorders>
              <w:top w:val="nil"/>
              <w:left w:val="nil"/>
              <w:bottom w:val="single" w:sz="4" w:space="0" w:color="auto"/>
              <w:right w:val="nil"/>
            </w:tcBorders>
            <w:shd w:val="clear" w:color="000000" w:fill="33CCCC"/>
            <w:noWrap/>
            <w:vAlign w:val="bottom"/>
            <w:hideMark/>
          </w:tcPr>
          <w:p w14:paraId="20787A73"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362" w:type="dxa"/>
            <w:tcBorders>
              <w:top w:val="nil"/>
              <w:left w:val="single" w:sz="4" w:space="0" w:color="auto"/>
              <w:bottom w:val="single" w:sz="4" w:space="0" w:color="auto"/>
              <w:right w:val="single" w:sz="8" w:space="0" w:color="auto"/>
            </w:tcBorders>
            <w:shd w:val="clear" w:color="000000" w:fill="33CCCC"/>
            <w:noWrap/>
            <w:vAlign w:val="bottom"/>
            <w:hideMark/>
          </w:tcPr>
          <w:p w14:paraId="48FE4539"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236" w:type="dxa"/>
            <w:gridSpan w:val="3"/>
            <w:vAlign w:val="center"/>
            <w:hideMark/>
          </w:tcPr>
          <w:p w14:paraId="5DB2856E" w14:textId="77777777" w:rsidR="00A72067" w:rsidRPr="00A72067" w:rsidRDefault="00A72067" w:rsidP="00A72067">
            <w:pPr>
              <w:spacing w:after="0" w:line="240" w:lineRule="auto"/>
              <w:rPr>
                <w:rFonts w:ascii="Times New Roman" w:eastAsia="Times New Roman" w:hAnsi="Times New Roman" w:cs="Times New Roman"/>
                <w:sz w:val="16"/>
                <w:szCs w:val="16"/>
                <w:lang w:eastAsia="hr-HR"/>
              </w:rPr>
            </w:pPr>
          </w:p>
        </w:tc>
      </w:tr>
      <w:tr w:rsidR="00A72067" w:rsidRPr="00A72067" w14:paraId="54FAE106" w14:textId="77777777" w:rsidTr="00A72067">
        <w:trPr>
          <w:gridAfter w:val="2"/>
          <w:wAfter w:w="104" w:type="dxa"/>
          <w:trHeight w:val="402"/>
        </w:trPr>
        <w:tc>
          <w:tcPr>
            <w:tcW w:w="1286" w:type="dxa"/>
            <w:tcBorders>
              <w:top w:val="nil"/>
              <w:left w:val="single" w:sz="8" w:space="0" w:color="auto"/>
              <w:bottom w:val="single" w:sz="4" w:space="0" w:color="auto"/>
              <w:right w:val="single" w:sz="4" w:space="0" w:color="auto"/>
            </w:tcBorders>
            <w:shd w:val="clear" w:color="000000" w:fill="CCFFCC"/>
            <w:vAlign w:val="center"/>
            <w:hideMark/>
          </w:tcPr>
          <w:p w14:paraId="697EE49D" w14:textId="77777777" w:rsidR="00A72067" w:rsidRPr="00A72067" w:rsidRDefault="00A72067" w:rsidP="00A72067">
            <w:pPr>
              <w:spacing w:after="0" w:line="240" w:lineRule="auto"/>
              <w:rPr>
                <w:rFonts w:ascii="Calibri" w:eastAsia="Times New Roman" w:hAnsi="Calibri" w:cs="Calibri"/>
                <w:sz w:val="16"/>
                <w:szCs w:val="16"/>
                <w:lang w:eastAsia="hr-HR"/>
              </w:rPr>
            </w:pPr>
            <w:r w:rsidRPr="00A72067">
              <w:rPr>
                <w:rFonts w:ascii="Calibri" w:eastAsia="Times New Roman" w:hAnsi="Calibri" w:cs="Calibri"/>
                <w:sz w:val="16"/>
                <w:szCs w:val="16"/>
                <w:lang w:eastAsia="hr-HR"/>
              </w:rPr>
              <w:lastRenderedPageBreak/>
              <w:t>Spolna orijentacija</w:t>
            </w:r>
          </w:p>
        </w:tc>
        <w:tc>
          <w:tcPr>
            <w:tcW w:w="561" w:type="dxa"/>
            <w:tcBorders>
              <w:top w:val="nil"/>
              <w:left w:val="nil"/>
              <w:bottom w:val="single" w:sz="4" w:space="0" w:color="auto"/>
              <w:right w:val="single" w:sz="4" w:space="0" w:color="auto"/>
            </w:tcBorders>
            <w:shd w:val="clear" w:color="000000" w:fill="FFFF00"/>
            <w:vAlign w:val="bottom"/>
            <w:hideMark/>
          </w:tcPr>
          <w:p w14:paraId="44155252" w14:textId="77777777" w:rsidR="00A72067" w:rsidRPr="00A72067" w:rsidRDefault="00A72067" w:rsidP="00A72067">
            <w:pPr>
              <w:spacing w:after="0" w:line="240" w:lineRule="auto"/>
              <w:jc w:val="right"/>
              <w:rPr>
                <w:rFonts w:ascii="Calibri" w:eastAsia="Times New Roman" w:hAnsi="Calibri" w:cs="Calibri"/>
                <w:b/>
                <w:bCs/>
                <w:sz w:val="16"/>
                <w:szCs w:val="16"/>
                <w:lang w:eastAsia="hr-HR"/>
              </w:rPr>
            </w:pPr>
            <w:r w:rsidRPr="00A72067">
              <w:rPr>
                <w:rFonts w:ascii="Calibri" w:eastAsia="Times New Roman" w:hAnsi="Calibri" w:cs="Calibri"/>
                <w:b/>
                <w:bCs/>
                <w:sz w:val="16"/>
                <w:szCs w:val="16"/>
                <w:lang w:eastAsia="hr-HR"/>
              </w:rPr>
              <w:t>3</w:t>
            </w:r>
          </w:p>
        </w:tc>
        <w:tc>
          <w:tcPr>
            <w:tcW w:w="451" w:type="dxa"/>
            <w:tcBorders>
              <w:top w:val="nil"/>
              <w:left w:val="nil"/>
              <w:bottom w:val="single" w:sz="4" w:space="0" w:color="auto"/>
              <w:right w:val="single" w:sz="4" w:space="0" w:color="auto"/>
            </w:tcBorders>
            <w:shd w:val="clear" w:color="000000" w:fill="FFCC99"/>
            <w:noWrap/>
            <w:vAlign w:val="bottom"/>
            <w:hideMark/>
          </w:tcPr>
          <w:p w14:paraId="0103F43A"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2</w:t>
            </w:r>
          </w:p>
        </w:tc>
        <w:tc>
          <w:tcPr>
            <w:tcW w:w="382" w:type="dxa"/>
            <w:tcBorders>
              <w:top w:val="nil"/>
              <w:left w:val="nil"/>
              <w:bottom w:val="single" w:sz="4" w:space="0" w:color="auto"/>
              <w:right w:val="single" w:sz="4" w:space="0" w:color="auto"/>
            </w:tcBorders>
            <w:shd w:val="clear" w:color="000000" w:fill="CCFFFF"/>
            <w:vAlign w:val="bottom"/>
            <w:hideMark/>
          </w:tcPr>
          <w:p w14:paraId="0FBCFFC8"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5</w:t>
            </w:r>
          </w:p>
        </w:tc>
        <w:tc>
          <w:tcPr>
            <w:tcW w:w="427" w:type="dxa"/>
            <w:tcBorders>
              <w:top w:val="nil"/>
              <w:left w:val="nil"/>
              <w:bottom w:val="single" w:sz="4" w:space="0" w:color="auto"/>
              <w:right w:val="single" w:sz="4" w:space="0" w:color="auto"/>
            </w:tcBorders>
            <w:shd w:val="clear" w:color="000000" w:fill="CCFFFF"/>
            <w:vAlign w:val="bottom"/>
            <w:hideMark/>
          </w:tcPr>
          <w:p w14:paraId="60AD63A9"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559" w:type="dxa"/>
            <w:tcBorders>
              <w:top w:val="nil"/>
              <w:left w:val="nil"/>
              <w:bottom w:val="single" w:sz="4" w:space="0" w:color="auto"/>
              <w:right w:val="single" w:sz="4" w:space="0" w:color="auto"/>
            </w:tcBorders>
            <w:shd w:val="clear" w:color="000000" w:fill="FFFF99"/>
            <w:noWrap/>
            <w:vAlign w:val="bottom"/>
            <w:hideMark/>
          </w:tcPr>
          <w:p w14:paraId="76D54516"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424" w:type="dxa"/>
            <w:tcBorders>
              <w:top w:val="nil"/>
              <w:left w:val="nil"/>
              <w:bottom w:val="single" w:sz="4" w:space="0" w:color="auto"/>
              <w:right w:val="single" w:sz="4" w:space="0" w:color="auto"/>
            </w:tcBorders>
            <w:shd w:val="clear" w:color="000000" w:fill="FFFF99"/>
            <w:noWrap/>
            <w:vAlign w:val="bottom"/>
            <w:hideMark/>
          </w:tcPr>
          <w:p w14:paraId="6EC85AB8"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816" w:type="dxa"/>
            <w:tcBorders>
              <w:top w:val="nil"/>
              <w:left w:val="nil"/>
              <w:bottom w:val="single" w:sz="4" w:space="0" w:color="auto"/>
              <w:right w:val="single" w:sz="4" w:space="0" w:color="auto"/>
            </w:tcBorders>
            <w:shd w:val="clear" w:color="000000" w:fill="FFFF99"/>
            <w:noWrap/>
            <w:vAlign w:val="bottom"/>
            <w:hideMark/>
          </w:tcPr>
          <w:p w14:paraId="174D3D42"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422" w:type="dxa"/>
            <w:tcBorders>
              <w:top w:val="nil"/>
              <w:left w:val="nil"/>
              <w:bottom w:val="single" w:sz="4" w:space="0" w:color="auto"/>
              <w:right w:val="single" w:sz="4" w:space="0" w:color="auto"/>
            </w:tcBorders>
            <w:shd w:val="clear" w:color="000000" w:fill="FFFF99"/>
            <w:noWrap/>
            <w:vAlign w:val="bottom"/>
            <w:hideMark/>
          </w:tcPr>
          <w:p w14:paraId="0933BC8F"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456" w:type="dxa"/>
            <w:tcBorders>
              <w:top w:val="nil"/>
              <w:left w:val="nil"/>
              <w:bottom w:val="single" w:sz="4" w:space="0" w:color="auto"/>
              <w:right w:val="single" w:sz="4" w:space="0" w:color="auto"/>
            </w:tcBorders>
            <w:shd w:val="clear" w:color="000000" w:fill="FFFF99"/>
            <w:noWrap/>
            <w:vAlign w:val="bottom"/>
            <w:hideMark/>
          </w:tcPr>
          <w:p w14:paraId="20D57A8A"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422" w:type="dxa"/>
            <w:tcBorders>
              <w:top w:val="nil"/>
              <w:left w:val="nil"/>
              <w:bottom w:val="single" w:sz="4" w:space="0" w:color="auto"/>
              <w:right w:val="single" w:sz="4" w:space="0" w:color="auto"/>
            </w:tcBorders>
            <w:shd w:val="clear" w:color="000000" w:fill="FFFF99"/>
            <w:noWrap/>
            <w:vAlign w:val="bottom"/>
            <w:hideMark/>
          </w:tcPr>
          <w:p w14:paraId="38CAC9A3"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517" w:type="dxa"/>
            <w:tcBorders>
              <w:top w:val="nil"/>
              <w:left w:val="nil"/>
              <w:bottom w:val="single" w:sz="4" w:space="0" w:color="auto"/>
              <w:right w:val="single" w:sz="4" w:space="0" w:color="auto"/>
            </w:tcBorders>
            <w:shd w:val="clear" w:color="000000" w:fill="FFFF99"/>
            <w:noWrap/>
            <w:vAlign w:val="bottom"/>
            <w:hideMark/>
          </w:tcPr>
          <w:p w14:paraId="56A65352"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474" w:type="dxa"/>
            <w:tcBorders>
              <w:top w:val="nil"/>
              <w:left w:val="nil"/>
              <w:bottom w:val="single" w:sz="4" w:space="0" w:color="auto"/>
              <w:right w:val="single" w:sz="4" w:space="0" w:color="auto"/>
            </w:tcBorders>
            <w:shd w:val="clear" w:color="000000" w:fill="FFFF99"/>
            <w:noWrap/>
            <w:vAlign w:val="bottom"/>
            <w:hideMark/>
          </w:tcPr>
          <w:p w14:paraId="45D75A37"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2</w:t>
            </w:r>
          </w:p>
        </w:tc>
        <w:tc>
          <w:tcPr>
            <w:tcW w:w="577" w:type="dxa"/>
            <w:tcBorders>
              <w:top w:val="nil"/>
              <w:left w:val="nil"/>
              <w:bottom w:val="single" w:sz="4" w:space="0" w:color="auto"/>
              <w:right w:val="single" w:sz="4" w:space="0" w:color="auto"/>
            </w:tcBorders>
            <w:shd w:val="clear" w:color="000000" w:fill="FFFF99"/>
            <w:noWrap/>
            <w:vAlign w:val="bottom"/>
            <w:hideMark/>
          </w:tcPr>
          <w:p w14:paraId="71ACB942"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1</w:t>
            </w:r>
          </w:p>
        </w:tc>
        <w:tc>
          <w:tcPr>
            <w:tcW w:w="422" w:type="dxa"/>
            <w:gridSpan w:val="2"/>
            <w:tcBorders>
              <w:top w:val="nil"/>
              <w:left w:val="nil"/>
              <w:bottom w:val="single" w:sz="4" w:space="0" w:color="auto"/>
              <w:right w:val="single" w:sz="4" w:space="0" w:color="auto"/>
            </w:tcBorders>
            <w:shd w:val="clear" w:color="000000" w:fill="FFFF99"/>
            <w:noWrap/>
            <w:vAlign w:val="bottom"/>
            <w:hideMark/>
          </w:tcPr>
          <w:p w14:paraId="0A4C0B8C"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320" w:type="dxa"/>
            <w:tcBorders>
              <w:top w:val="nil"/>
              <w:left w:val="nil"/>
              <w:bottom w:val="single" w:sz="4" w:space="0" w:color="auto"/>
              <w:right w:val="single" w:sz="4" w:space="0" w:color="auto"/>
            </w:tcBorders>
            <w:shd w:val="clear" w:color="000000" w:fill="FF9900"/>
            <w:noWrap/>
            <w:vAlign w:val="bottom"/>
            <w:hideMark/>
          </w:tcPr>
          <w:p w14:paraId="2263A2FF"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426" w:type="dxa"/>
            <w:tcBorders>
              <w:top w:val="nil"/>
              <w:left w:val="nil"/>
              <w:bottom w:val="single" w:sz="4" w:space="0" w:color="auto"/>
              <w:right w:val="single" w:sz="4" w:space="0" w:color="auto"/>
            </w:tcBorders>
            <w:shd w:val="clear" w:color="000000" w:fill="FF9900"/>
            <w:noWrap/>
            <w:vAlign w:val="bottom"/>
            <w:hideMark/>
          </w:tcPr>
          <w:p w14:paraId="6370DFC2"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422" w:type="dxa"/>
            <w:tcBorders>
              <w:top w:val="nil"/>
              <w:left w:val="nil"/>
              <w:bottom w:val="single" w:sz="4" w:space="0" w:color="auto"/>
              <w:right w:val="single" w:sz="4" w:space="0" w:color="auto"/>
            </w:tcBorders>
            <w:shd w:val="clear" w:color="000000" w:fill="FF9900"/>
            <w:noWrap/>
            <w:vAlign w:val="bottom"/>
            <w:hideMark/>
          </w:tcPr>
          <w:p w14:paraId="7C450E7B"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433" w:type="dxa"/>
            <w:gridSpan w:val="2"/>
            <w:tcBorders>
              <w:top w:val="nil"/>
              <w:left w:val="nil"/>
              <w:bottom w:val="single" w:sz="4" w:space="0" w:color="auto"/>
              <w:right w:val="single" w:sz="4" w:space="0" w:color="auto"/>
            </w:tcBorders>
            <w:shd w:val="clear" w:color="auto" w:fill="auto"/>
            <w:vAlign w:val="bottom"/>
            <w:hideMark/>
          </w:tcPr>
          <w:p w14:paraId="0049924D" w14:textId="77777777" w:rsidR="00A72067" w:rsidRPr="00A72067" w:rsidRDefault="00A72067" w:rsidP="00A72067">
            <w:pPr>
              <w:spacing w:after="0" w:line="240" w:lineRule="auto"/>
              <w:jc w:val="right"/>
              <w:rPr>
                <w:rFonts w:ascii="Calibri" w:eastAsia="Times New Roman" w:hAnsi="Calibri" w:cs="Calibri"/>
                <w:b/>
                <w:bCs/>
                <w:sz w:val="16"/>
                <w:szCs w:val="16"/>
                <w:lang w:eastAsia="hr-HR"/>
              </w:rPr>
            </w:pPr>
            <w:r w:rsidRPr="00A72067">
              <w:rPr>
                <w:rFonts w:ascii="Calibri" w:eastAsia="Times New Roman" w:hAnsi="Calibri" w:cs="Calibri"/>
                <w:b/>
                <w:bCs/>
                <w:sz w:val="16"/>
                <w:szCs w:val="16"/>
                <w:lang w:eastAsia="hr-HR"/>
              </w:rPr>
              <w:t>0</w:t>
            </w:r>
          </w:p>
        </w:tc>
        <w:tc>
          <w:tcPr>
            <w:tcW w:w="422" w:type="dxa"/>
            <w:tcBorders>
              <w:top w:val="nil"/>
              <w:left w:val="nil"/>
              <w:bottom w:val="single" w:sz="4" w:space="0" w:color="auto"/>
              <w:right w:val="single" w:sz="4" w:space="0" w:color="auto"/>
            </w:tcBorders>
            <w:shd w:val="clear" w:color="000000" w:fill="FFFF00"/>
            <w:noWrap/>
            <w:vAlign w:val="bottom"/>
            <w:hideMark/>
          </w:tcPr>
          <w:p w14:paraId="217E5324"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424" w:type="dxa"/>
            <w:tcBorders>
              <w:top w:val="nil"/>
              <w:left w:val="nil"/>
              <w:bottom w:val="single" w:sz="4" w:space="0" w:color="auto"/>
              <w:right w:val="single" w:sz="4" w:space="0" w:color="auto"/>
            </w:tcBorders>
            <w:shd w:val="clear" w:color="000000" w:fill="FFFF00"/>
            <w:noWrap/>
            <w:vAlign w:val="bottom"/>
            <w:hideMark/>
          </w:tcPr>
          <w:p w14:paraId="06484448"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430" w:type="dxa"/>
            <w:tcBorders>
              <w:top w:val="nil"/>
              <w:left w:val="nil"/>
              <w:bottom w:val="single" w:sz="4" w:space="0" w:color="auto"/>
              <w:right w:val="single" w:sz="4" w:space="0" w:color="auto"/>
            </w:tcBorders>
            <w:shd w:val="clear" w:color="000000" w:fill="FFFF00"/>
            <w:noWrap/>
            <w:vAlign w:val="bottom"/>
            <w:hideMark/>
          </w:tcPr>
          <w:p w14:paraId="1D702280"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424" w:type="dxa"/>
            <w:tcBorders>
              <w:top w:val="nil"/>
              <w:left w:val="nil"/>
              <w:bottom w:val="single" w:sz="4" w:space="0" w:color="auto"/>
              <w:right w:val="single" w:sz="4" w:space="0" w:color="auto"/>
            </w:tcBorders>
            <w:shd w:val="clear" w:color="auto" w:fill="auto"/>
            <w:vAlign w:val="bottom"/>
            <w:hideMark/>
          </w:tcPr>
          <w:p w14:paraId="71E83FA5" w14:textId="77777777" w:rsidR="00A72067" w:rsidRPr="00A72067" w:rsidRDefault="00A72067" w:rsidP="00A72067">
            <w:pPr>
              <w:spacing w:after="0" w:line="240" w:lineRule="auto"/>
              <w:jc w:val="right"/>
              <w:rPr>
                <w:rFonts w:ascii="Calibri" w:eastAsia="Times New Roman" w:hAnsi="Calibri" w:cs="Calibri"/>
                <w:b/>
                <w:bCs/>
                <w:sz w:val="16"/>
                <w:szCs w:val="16"/>
                <w:lang w:eastAsia="hr-HR"/>
              </w:rPr>
            </w:pPr>
            <w:r w:rsidRPr="00A72067">
              <w:rPr>
                <w:rFonts w:ascii="Calibri" w:eastAsia="Times New Roman" w:hAnsi="Calibri" w:cs="Calibri"/>
                <w:b/>
                <w:bCs/>
                <w:sz w:val="16"/>
                <w:szCs w:val="16"/>
                <w:lang w:eastAsia="hr-HR"/>
              </w:rPr>
              <w:t>0</w:t>
            </w:r>
          </w:p>
        </w:tc>
        <w:tc>
          <w:tcPr>
            <w:tcW w:w="570" w:type="dxa"/>
            <w:tcBorders>
              <w:top w:val="nil"/>
              <w:left w:val="nil"/>
              <w:bottom w:val="single" w:sz="4" w:space="0" w:color="auto"/>
              <w:right w:val="single" w:sz="4" w:space="0" w:color="auto"/>
            </w:tcBorders>
            <w:shd w:val="clear" w:color="000000" w:fill="FFFF00"/>
            <w:vAlign w:val="bottom"/>
            <w:hideMark/>
          </w:tcPr>
          <w:p w14:paraId="75DE9127" w14:textId="77777777" w:rsidR="00A72067" w:rsidRPr="00A72067" w:rsidRDefault="00A72067" w:rsidP="00A72067">
            <w:pPr>
              <w:spacing w:after="0" w:line="240" w:lineRule="auto"/>
              <w:jc w:val="right"/>
              <w:rPr>
                <w:rFonts w:ascii="Calibri" w:eastAsia="Times New Roman" w:hAnsi="Calibri" w:cs="Calibri"/>
                <w:b/>
                <w:bCs/>
                <w:sz w:val="16"/>
                <w:szCs w:val="16"/>
                <w:lang w:eastAsia="hr-HR"/>
              </w:rPr>
            </w:pPr>
            <w:r w:rsidRPr="00A72067">
              <w:rPr>
                <w:rFonts w:ascii="Calibri" w:eastAsia="Times New Roman" w:hAnsi="Calibri" w:cs="Calibri"/>
                <w:b/>
                <w:bCs/>
                <w:sz w:val="16"/>
                <w:szCs w:val="16"/>
                <w:lang w:eastAsia="hr-HR"/>
              </w:rPr>
              <w:t>5</w:t>
            </w:r>
          </w:p>
        </w:tc>
        <w:tc>
          <w:tcPr>
            <w:tcW w:w="424" w:type="dxa"/>
            <w:gridSpan w:val="2"/>
            <w:tcBorders>
              <w:top w:val="nil"/>
              <w:left w:val="nil"/>
              <w:bottom w:val="single" w:sz="4" w:space="0" w:color="auto"/>
              <w:right w:val="single" w:sz="4" w:space="0" w:color="auto"/>
            </w:tcBorders>
            <w:shd w:val="clear" w:color="000000" w:fill="FF9900"/>
            <w:noWrap/>
            <w:vAlign w:val="bottom"/>
            <w:hideMark/>
          </w:tcPr>
          <w:p w14:paraId="76737AE1"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521" w:type="dxa"/>
            <w:gridSpan w:val="2"/>
            <w:tcBorders>
              <w:top w:val="nil"/>
              <w:left w:val="nil"/>
              <w:bottom w:val="single" w:sz="4" w:space="0" w:color="auto"/>
              <w:right w:val="single" w:sz="4" w:space="0" w:color="auto"/>
            </w:tcBorders>
            <w:shd w:val="clear" w:color="000000" w:fill="CCFFFF"/>
            <w:noWrap/>
            <w:vAlign w:val="bottom"/>
            <w:hideMark/>
          </w:tcPr>
          <w:p w14:paraId="473DF15D"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420" w:type="dxa"/>
            <w:tcBorders>
              <w:top w:val="nil"/>
              <w:left w:val="nil"/>
              <w:bottom w:val="single" w:sz="4" w:space="0" w:color="auto"/>
              <w:right w:val="single" w:sz="4" w:space="0" w:color="auto"/>
            </w:tcBorders>
            <w:shd w:val="clear" w:color="000000" w:fill="CCFFFF"/>
            <w:noWrap/>
            <w:vAlign w:val="bottom"/>
            <w:hideMark/>
          </w:tcPr>
          <w:p w14:paraId="2E615EB8"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406" w:type="dxa"/>
            <w:tcBorders>
              <w:top w:val="nil"/>
              <w:left w:val="nil"/>
              <w:bottom w:val="single" w:sz="4" w:space="0" w:color="auto"/>
              <w:right w:val="single" w:sz="4" w:space="0" w:color="auto"/>
            </w:tcBorders>
            <w:shd w:val="clear" w:color="000000" w:fill="CCFFFF"/>
            <w:noWrap/>
            <w:vAlign w:val="bottom"/>
            <w:hideMark/>
          </w:tcPr>
          <w:p w14:paraId="687B7BD4"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469" w:type="dxa"/>
            <w:gridSpan w:val="2"/>
            <w:tcBorders>
              <w:top w:val="nil"/>
              <w:left w:val="nil"/>
              <w:bottom w:val="single" w:sz="4" w:space="0" w:color="auto"/>
              <w:right w:val="nil"/>
            </w:tcBorders>
            <w:shd w:val="clear" w:color="000000" w:fill="33CCCC"/>
            <w:noWrap/>
            <w:vAlign w:val="bottom"/>
            <w:hideMark/>
          </w:tcPr>
          <w:p w14:paraId="644A5CB0"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362" w:type="dxa"/>
            <w:tcBorders>
              <w:top w:val="nil"/>
              <w:left w:val="single" w:sz="4" w:space="0" w:color="auto"/>
              <w:bottom w:val="single" w:sz="4" w:space="0" w:color="auto"/>
              <w:right w:val="single" w:sz="8" w:space="0" w:color="auto"/>
            </w:tcBorders>
            <w:shd w:val="clear" w:color="000000" w:fill="33CCCC"/>
            <w:noWrap/>
            <w:vAlign w:val="bottom"/>
            <w:hideMark/>
          </w:tcPr>
          <w:p w14:paraId="13D2C2A0"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236" w:type="dxa"/>
            <w:gridSpan w:val="3"/>
            <w:vAlign w:val="center"/>
            <w:hideMark/>
          </w:tcPr>
          <w:p w14:paraId="1781432D" w14:textId="77777777" w:rsidR="00A72067" w:rsidRPr="00A72067" w:rsidRDefault="00A72067" w:rsidP="00A72067">
            <w:pPr>
              <w:spacing w:after="0" w:line="240" w:lineRule="auto"/>
              <w:rPr>
                <w:rFonts w:ascii="Times New Roman" w:eastAsia="Times New Roman" w:hAnsi="Times New Roman" w:cs="Times New Roman"/>
                <w:sz w:val="16"/>
                <w:szCs w:val="16"/>
                <w:lang w:eastAsia="hr-HR"/>
              </w:rPr>
            </w:pPr>
          </w:p>
        </w:tc>
      </w:tr>
      <w:tr w:rsidR="00A72067" w:rsidRPr="00A72067" w14:paraId="68ECC6AB" w14:textId="77777777" w:rsidTr="00A72067">
        <w:trPr>
          <w:gridAfter w:val="2"/>
          <w:wAfter w:w="104" w:type="dxa"/>
          <w:trHeight w:val="402"/>
        </w:trPr>
        <w:tc>
          <w:tcPr>
            <w:tcW w:w="1286" w:type="dxa"/>
            <w:tcBorders>
              <w:top w:val="nil"/>
              <w:left w:val="single" w:sz="8" w:space="0" w:color="auto"/>
              <w:bottom w:val="single" w:sz="4" w:space="0" w:color="auto"/>
              <w:right w:val="single" w:sz="4" w:space="0" w:color="auto"/>
            </w:tcBorders>
            <w:shd w:val="clear" w:color="000000" w:fill="CCFFCC"/>
            <w:vAlign w:val="center"/>
            <w:hideMark/>
          </w:tcPr>
          <w:p w14:paraId="37978E8E" w14:textId="77777777" w:rsidR="00A72067" w:rsidRPr="00A72067" w:rsidRDefault="00A72067" w:rsidP="00A72067">
            <w:pPr>
              <w:spacing w:after="0" w:line="240" w:lineRule="auto"/>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Jezik</w:t>
            </w:r>
          </w:p>
        </w:tc>
        <w:tc>
          <w:tcPr>
            <w:tcW w:w="561" w:type="dxa"/>
            <w:tcBorders>
              <w:top w:val="nil"/>
              <w:left w:val="nil"/>
              <w:bottom w:val="single" w:sz="4" w:space="0" w:color="auto"/>
              <w:right w:val="single" w:sz="4" w:space="0" w:color="auto"/>
            </w:tcBorders>
            <w:shd w:val="clear" w:color="000000" w:fill="FFFF00"/>
            <w:vAlign w:val="bottom"/>
            <w:hideMark/>
          </w:tcPr>
          <w:p w14:paraId="4C449C3A" w14:textId="77777777" w:rsidR="00A72067" w:rsidRPr="00A72067" w:rsidRDefault="00A72067" w:rsidP="00A72067">
            <w:pPr>
              <w:spacing w:after="0" w:line="240" w:lineRule="auto"/>
              <w:jc w:val="right"/>
              <w:rPr>
                <w:rFonts w:ascii="Calibri" w:eastAsia="Times New Roman" w:hAnsi="Calibri" w:cs="Calibri"/>
                <w:b/>
                <w:bCs/>
                <w:sz w:val="16"/>
                <w:szCs w:val="16"/>
                <w:lang w:eastAsia="hr-HR"/>
              </w:rPr>
            </w:pPr>
            <w:r w:rsidRPr="00A72067">
              <w:rPr>
                <w:rFonts w:ascii="Calibri" w:eastAsia="Times New Roman" w:hAnsi="Calibri" w:cs="Calibri"/>
                <w:b/>
                <w:bCs/>
                <w:sz w:val="16"/>
                <w:szCs w:val="16"/>
                <w:lang w:eastAsia="hr-HR"/>
              </w:rPr>
              <w:t>5</w:t>
            </w:r>
          </w:p>
        </w:tc>
        <w:tc>
          <w:tcPr>
            <w:tcW w:w="451" w:type="dxa"/>
            <w:tcBorders>
              <w:top w:val="nil"/>
              <w:left w:val="nil"/>
              <w:bottom w:val="single" w:sz="4" w:space="0" w:color="auto"/>
              <w:right w:val="single" w:sz="4" w:space="0" w:color="auto"/>
            </w:tcBorders>
            <w:shd w:val="clear" w:color="000000" w:fill="FFCC99"/>
            <w:noWrap/>
            <w:vAlign w:val="bottom"/>
            <w:hideMark/>
          </w:tcPr>
          <w:p w14:paraId="7F2A3136"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382" w:type="dxa"/>
            <w:tcBorders>
              <w:top w:val="nil"/>
              <w:left w:val="nil"/>
              <w:bottom w:val="single" w:sz="4" w:space="0" w:color="auto"/>
              <w:right w:val="single" w:sz="4" w:space="0" w:color="auto"/>
            </w:tcBorders>
            <w:shd w:val="clear" w:color="000000" w:fill="CCFFFF"/>
            <w:vAlign w:val="bottom"/>
            <w:hideMark/>
          </w:tcPr>
          <w:p w14:paraId="10AEE426"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427" w:type="dxa"/>
            <w:tcBorders>
              <w:top w:val="nil"/>
              <w:left w:val="nil"/>
              <w:bottom w:val="single" w:sz="4" w:space="0" w:color="auto"/>
              <w:right w:val="single" w:sz="4" w:space="0" w:color="auto"/>
            </w:tcBorders>
            <w:shd w:val="clear" w:color="000000" w:fill="CCFFFF"/>
            <w:vAlign w:val="bottom"/>
            <w:hideMark/>
          </w:tcPr>
          <w:p w14:paraId="20733F47"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559" w:type="dxa"/>
            <w:tcBorders>
              <w:top w:val="nil"/>
              <w:left w:val="nil"/>
              <w:bottom w:val="single" w:sz="4" w:space="0" w:color="auto"/>
              <w:right w:val="single" w:sz="4" w:space="0" w:color="auto"/>
            </w:tcBorders>
            <w:shd w:val="clear" w:color="000000" w:fill="FFFF99"/>
            <w:noWrap/>
            <w:vAlign w:val="bottom"/>
            <w:hideMark/>
          </w:tcPr>
          <w:p w14:paraId="004F467C"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424" w:type="dxa"/>
            <w:tcBorders>
              <w:top w:val="nil"/>
              <w:left w:val="nil"/>
              <w:bottom w:val="single" w:sz="4" w:space="0" w:color="auto"/>
              <w:right w:val="single" w:sz="4" w:space="0" w:color="auto"/>
            </w:tcBorders>
            <w:shd w:val="clear" w:color="000000" w:fill="FFFF99"/>
            <w:noWrap/>
            <w:vAlign w:val="bottom"/>
            <w:hideMark/>
          </w:tcPr>
          <w:p w14:paraId="7C4FC5A8"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816" w:type="dxa"/>
            <w:tcBorders>
              <w:top w:val="nil"/>
              <w:left w:val="nil"/>
              <w:bottom w:val="single" w:sz="4" w:space="0" w:color="auto"/>
              <w:right w:val="single" w:sz="4" w:space="0" w:color="auto"/>
            </w:tcBorders>
            <w:shd w:val="clear" w:color="000000" w:fill="FFFF99"/>
            <w:noWrap/>
            <w:vAlign w:val="bottom"/>
            <w:hideMark/>
          </w:tcPr>
          <w:p w14:paraId="1B5EAA3B"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422" w:type="dxa"/>
            <w:tcBorders>
              <w:top w:val="nil"/>
              <w:left w:val="nil"/>
              <w:bottom w:val="single" w:sz="4" w:space="0" w:color="auto"/>
              <w:right w:val="single" w:sz="4" w:space="0" w:color="auto"/>
            </w:tcBorders>
            <w:shd w:val="clear" w:color="000000" w:fill="FFFF99"/>
            <w:noWrap/>
            <w:vAlign w:val="bottom"/>
            <w:hideMark/>
          </w:tcPr>
          <w:p w14:paraId="19B56663"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456" w:type="dxa"/>
            <w:tcBorders>
              <w:top w:val="nil"/>
              <w:left w:val="nil"/>
              <w:bottom w:val="single" w:sz="4" w:space="0" w:color="auto"/>
              <w:right w:val="single" w:sz="4" w:space="0" w:color="auto"/>
            </w:tcBorders>
            <w:shd w:val="clear" w:color="000000" w:fill="FFFF99"/>
            <w:noWrap/>
            <w:vAlign w:val="bottom"/>
            <w:hideMark/>
          </w:tcPr>
          <w:p w14:paraId="5F25AC58"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422" w:type="dxa"/>
            <w:tcBorders>
              <w:top w:val="nil"/>
              <w:left w:val="nil"/>
              <w:bottom w:val="single" w:sz="4" w:space="0" w:color="auto"/>
              <w:right w:val="single" w:sz="4" w:space="0" w:color="auto"/>
            </w:tcBorders>
            <w:shd w:val="clear" w:color="000000" w:fill="FFFF99"/>
            <w:noWrap/>
            <w:vAlign w:val="bottom"/>
            <w:hideMark/>
          </w:tcPr>
          <w:p w14:paraId="435197A4"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517" w:type="dxa"/>
            <w:tcBorders>
              <w:top w:val="nil"/>
              <w:left w:val="nil"/>
              <w:bottom w:val="single" w:sz="4" w:space="0" w:color="auto"/>
              <w:right w:val="single" w:sz="4" w:space="0" w:color="auto"/>
            </w:tcBorders>
            <w:shd w:val="clear" w:color="000000" w:fill="FFFF99"/>
            <w:noWrap/>
            <w:vAlign w:val="bottom"/>
            <w:hideMark/>
          </w:tcPr>
          <w:p w14:paraId="2C334918"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474" w:type="dxa"/>
            <w:tcBorders>
              <w:top w:val="nil"/>
              <w:left w:val="nil"/>
              <w:bottom w:val="single" w:sz="4" w:space="0" w:color="auto"/>
              <w:right w:val="single" w:sz="4" w:space="0" w:color="auto"/>
            </w:tcBorders>
            <w:shd w:val="clear" w:color="000000" w:fill="FFFF99"/>
            <w:noWrap/>
            <w:vAlign w:val="bottom"/>
            <w:hideMark/>
          </w:tcPr>
          <w:p w14:paraId="4687E161"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577" w:type="dxa"/>
            <w:tcBorders>
              <w:top w:val="nil"/>
              <w:left w:val="nil"/>
              <w:bottom w:val="single" w:sz="4" w:space="0" w:color="auto"/>
              <w:right w:val="single" w:sz="4" w:space="0" w:color="auto"/>
            </w:tcBorders>
            <w:shd w:val="clear" w:color="000000" w:fill="FFFF99"/>
            <w:noWrap/>
            <w:vAlign w:val="bottom"/>
            <w:hideMark/>
          </w:tcPr>
          <w:p w14:paraId="65DE20E6"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422" w:type="dxa"/>
            <w:gridSpan w:val="2"/>
            <w:tcBorders>
              <w:top w:val="nil"/>
              <w:left w:val="nil"/>
              <w:bottom w:val="single" w:sz="4" w:space="0" w:color="auto"/>
              <w:right w:val="single" w:sz="4" w:space="0" w:color="auto"/>
            </w:tcBorders>
            <w:shd w:val="clear" w:color="000000" w:fill="FFFF99"/>
            <w:noWrap/>
            <w:vAlign w:val="bottom"/>
            <w:hideMark/>
          </w:tcPr>
          <w:p w14:paraId="15A10F85"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320" w:type="dxa"/>
            <w:tcBorders>
              <w:top w:val="nil"/>
              <w:left w:val="nil"/>
              <w:bottom w:val="single" w:sz="4" w:space="0" w:color="auto"/>
              <w:right w:val="single" w:sz="4" w:space="0" w:color="auto"/>
            </w:tcBorders>
            <w:shd w:val="clear" w:color="000000" w:fill="FF9900"/>
            <w:noWrap/>
            <w:vAlign w:val="bottom"/>
            <w:hideMark/>
          </w:tcPr>
          <w:p w14:paraId="5EDD0D5F"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426" w:type="dxa"/>
            <w:tcBorders>
              <w:top w:val="nil"/>
              <w:left w:val="nil"/>
              <w:bottom w:val="single" w:sz="4" w:space="0" w:color="auto"/>
              <w:right w:val="single" w:sz="4" w:space="0" w:color="auto"/>
            </w:tcBorders>
            <w:shd w:val="clear" w:color="000000" w:fill="FF9900"/>
            <w:noWrap/>
            <w:vAlign w:val="bottom"/>
            <w:hideMark/>
          </w:tcPr>
          <w:p w14:paraId="6156EE38"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422" w:type="dxa"/>
            <w:tcBorders>
              <w:top w:val="nil"/>
              <w:left w:val="nil"/>
              <w:bottom w:val="single" w:sz="4" w:space="0" w:color="auto"/>
              <w:right w:val="single" w:sz="4" w:space="0" w:color="auto"/>
            </w:tcBorders>
            <w:shd w:val="clear" w:color="000000" w:fill="FF9900"/>
            <w:noWrap/>
            <w:vAlign w:val="bottom"/>
            <w:hideMark/>
          </w:tcPr>
          <w:p w14:paraId="5EFDCC15"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433" w:type="dxa"/>
            <w:gridSpan w:val="2"/>
            <w:tcBorders>
              <w:top w:val="nil"/>
              <w:left w:val="nil"/>
              <w:bottom w:val="single" w:sz="4" w:space="0" w:color="auto"/>
              <w:right w:val="single" w:sz="4" w:space="0" w:color="auto"/>
            </w:tcBorders>
            <w:shd w:val="clear" w:color="auto" w:fill="auto"/>
            <w:vAlign w:val="bottom"/>
            <w:hideMark/>
          </w:tcPr>
          <w:p w14:paraId="498B377E" w14:textId="77777777" w:rsidR="00A72067" w:rsidRPr="00A72067" w:rsidRDefault="00A72067" w:rsidP="00A72067">
            <w:pPr>
              <w:spacing w:after="0" w:line="240" w:lineRule="auto"/>
              <w:jc w:val="right"/>
              <w:rPr>
                <w:rFonts w:ascii="Calibri" w:eastAsia="Times New Roman" w:hAnsi="Calibri" w:cs="Calibri"/>
                <w:b/>
                <w:bCs/>
                <w:sz w:val="16"/>
                <w:szCs w:val="16"/>
                <w:lang w:eastAsia="hr-HR"/>
              </w:rPr>
            </w:pPr>
            <w:r w:rsidRPr="00A72067">
              <w:rPr>
                <w:rFonts w:ascii="Calibri" w:eastAsia="Times New Roman" w:hAnsi="Calibri" w:cs="Calibri"/>
                <w:b/>
                <w:bCs/>
                <w:sz w:val="16"/>
                <w:szCs w:val="16"/>
                <w:lang w:eastAsia="hr-HR"/>
              </w:rPr>
              <w:t>0</w:t>
            </w:r>
          </w:p>
        </w:tc>
        <w:tc>
          <w:tcPr>
            <w:tcW w:w="422" w:type="dxa"/>
            <w:tcBorders>
              <w:top w:val="nil"/>
              <w:left w:val="nil"/>
              <w:bottom w:val="single" w:sz="4" w:space="0" w:color="auto"/>
              <w:right w:val="single" w:sz="4" w:space="0" w:color="auto"/>
            </w:tcBorders>
            <w:shd w:val="clear" w:color="000000" w:fill="FFFF00"/>
            <w:noWrap/>
            <w:vAlign w:val="bottom"/>
            <w:hideMark/>
          </w:tcPr>
          <w:p w14:paraId="7CDCABE5"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424" w:type="dxa"/>
            <w:tcBorders>
              <w:top w:val="nil"/>
              <w:left w:val="nil"/>
              <w:bottom w:val="single" w:sz="4" w:space="0" w:color="auto"/>
              <w:right w:val="single" w:sz="4" w:space="0" w:color="auto"/>
            </w:tcBorders>
            <w:shd w:val="clear" w:color="000000" w:fill="FFFF00"/>
            <w:noWrap/>
            <w:vAlign w:val="bottom"/>
            <w:hideMark/>
          </w:tcPr>
          <w:p w14:paraId="38BB6934"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430" w:type="dxa"/>
            <w:tcBorders>
              <w:top w:val="nil"/>
              <w:left w:val="nil"/>
              <w:bottom w:val="single" w:sz="4" w:space="0" w:color="auto"/>
              <w:right w:val="single" w:sz="4" w:space="0" w:color="auto"/>
            </w:tcBorders>
            <w:shd w:val="clear" w:color="000000" w:fill="FFFF00"/>
            <w:noWrap/>
            <w:vAlign w:val="bottom"/>
            <w:hideMark/>
          </w:tcPr>
          <w:p w14:paraId="08BFB0DB"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424" w:type="dxa"/>
            <w:tcBorders>
              <w:top w:val="nil"/>
              <w:left w:val="nil"/>
              <w:bottom w:val="single" w:sz="4" w:space="0" w:color="auto"/>
              <w:right w:val="single" w:sz="4" w:space="0" w:color="auto"/>
            </w:tcBorders>
            <w:shd w:val="clear" w:color="auto" w:fill="auto"/>
            <w:vAlign w:val="bottom"/>
            <w:hideMark/>
          </w:tcPr>
          <w:p w14:paraId="3CF0878B" w14:textId="77777777" w:rsidR="00A72067" w:rsidRPr="00A72067" w:rsidRDefault="00A72067" w:rsidP="00A72067">
            <w:pPr>
              <w:spacing w:after="0" w:line="240" w:lineRule="auto"/>
              <w:jc w:val="right"/>
              <w:rPr>
                <w:rFonts w:ascii="Calibri" w:eastAsia="Times New Roman" w:hAnsi="Calibri" w:cs="Calibri"/>
                <w:b/>
                <w:bCs/>
                <w:sz w:val="16"/>
                <w:szCs w:val="16"/>
                <w:lang w:eastAsia="hr-HR"/>
              </w:rPr>
            </w:pPr>
            <w:r w:rsidRPr="00A72067">
              <w:rPr>
                <w:rFonts w:ascii="Calibri" w:eastAsia="Times New Roman" w:hAnsi="Calibri" w:cs="Calibri"/>
                <w:b/>
                <w:bCs/>
                <w:sz w:val="16"/>
                <w:szCs w:val="16"/>
                <w:lang w:eastAsia="hr-HR"/>
              </w:rPr>
              <w:t>0</w:t>
            </w:r>
          </w:p>
        </w:tc>
        <w:tc>
          <w:tcPr>
            <w:tcW w:w="570" w:type="dxa"/>
            <w:tcBorders>
              <w:top w:val="nil"/>
              <w:left w:val="nil"/>
              <w:bottom w:val="single" w:sz="4" w:space="0" w:color="auto"/>
              <w:right w:val="single" w:sz="4" w:space="0" w:color="auto"/>
            </w:tcBorders>
            <w:shd w:val="clear" w:color="000000" w:fill="FFFF00"/>
            <w:vAlign w:val="bottom"/>
            <w:hideMark/>
          </w:tcPr>
          <w:p w14:paraId="728CABFF" w14:textId="77777777" w:rsidR="00A72067" w:rsidRPr="00A72067" w:rsidRDefault="00A72067" w:rsidP="00A72067">
            <w:pPr>
              <w:spacing w:after="0" w:line="240" w:lineRule="auto"/>
              <w:jc w:val="right"/>
              <w:rPr>
                <w:rFonts w:ascii="Calibri" w:eastAsia="Times New Roman" w:hAnsi="Calibri" w:cs="Calibri"/>
                <w:b/>
                <w:bCs/>
                <w:sz w:val="16"/>
                <w:szCs w:val="16"/>
                <w:lang w:eastAsia="hr-HR"/>
              </w:rPr>
            </w:pPr>
            <w:r w:rsidRPr="00A72067">
              <w:rPr>
                <w:rFonts w:ascii="Calibri" w:eastAsia="Times New Roman" w:hAnsi="Calibri" w:cs="Calibri"/>
                <w:b/>
                <w:bCs/>
                <w:sz w:val="16"/>
                <w:szCs w:val="16"/>
                <w:lang w:eastAsia="hr-HR"/>
              </w:rPr>
              <w:t>5</w:t>
            </w:r>
          </w:p>
        </w:tc>
        <w:tc>
          <w:tcPr>
            <w:tcW w:w="424" w:type="dxa"/>
            <w:gridSpan w:val="2"/>
            <w:tcBorders>
              <w:top w:val="nil"/>
              <w:left w:val="nil"/>
              <w:bottom w:val="single" w:sz="4" w:space="0" w:color="auto"/>
              <w:right w:val="single" w:sz="4" w:space="0" w:color="auto"/>
            </w:tcBorders>
            <w:shd w:val="clear" w:color="000000" w:fill="FF9900"/>
            <w:vAlign w:val="bottom"/>
            <w:hideMark/>
          </w:tcPr>
          <w:p w14:paraId="19AF40F0"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521" w:type="dxa"/>
            <w:gridSpan w:val="2"/>
            <w:tcBorders>
              <w:top w:val="nil"/>
              <w:left w:val="nil"/>
              <w:bottom w:val="single" w:sz="4" w:space="0" w:color="auto"/>
              <w:right w:val="single" w:sz="4" w:space="0" w:color="auto"/>
            </w:tcBorders>
            <w:shd w:val="clear" w:color="000000" w:fill="CCFFFF"/>
            <w:noWrap/>
            <w:vAlign w:val="bottom"/>
            <w:hideMark/>
          </w:tcPr>
          <w:p w14:paraId="735AEEDB"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420" w:type="dxa"/>
            <w:tcBorders>
              <w:top w:val="nil"/>
              <w:left w:val="nil"/>
              <w:bottom w:val="single" w:sz="4" w:space="0" w:color="auto"/>
              <w:right w:val="single" w:sz="4" w:space="0" w:color="auto"/>
            </w:tcBorders>
            <w:shd w:val="clear" w:color="000000" w:fill="CCFFFF"/>
            <w:noWrap/>
            <w:vAlign w:val="bottom"/>
            <w:hideMark/>
          </w:tcPr>
          <w:p w14:paraId="028A4631"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406" w:type="dxa"/>
            <w:tcBorders>
              <w:top w:val="nil"/>
              <w:left w:val="nil"/>
              <w:bottom w:val="single" w:sz="4" w:space="0" w:color="auto"/>
              <w:right w:val="single" w:sz="4" w:space="0" w:color="auto"/>
            </w:tcBorders>
            <w:shd w:val="clear" w:color="000000" w:fill="CCFFFF"/>
            <w:noWrap/>
            <w:vAlign w:val="bottom"/>
            <w:hideMark/>
          </w:tcPr>
          <w:p w14:paraId="0DB37861"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469" w:type="dxa"/>
            <w:gridSpan w:val="2"/>
            <w:tcBorders>
              <w:top w:val="nil"/>
              <w:left w:val="nil"/>
              <w:bottom w:val="single" w:sz="4" w:space="0" w:color="auto"/>
              <w:right w:val="nil"/>
            </w:tcBorders>
            <w:shd w:val="clear" w:color="000000" w:fill="33CCCC"/>
            <w:noWrap/>
            <w:vAlign w:val="bottom"/>
            <w:hideMark/>
          </w:tcPr>
          <w:p w14:paraId="391DEC05"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362" w:type="dxa"/>
            <w:tcBorders>
              <w:top w:val="nil"/>
              <w:left w:val="single" w:sz="4" w:space="0" w:color="auto"/>
              <w:bottom w:val="single" w:sz="4" w:space="0" w:color="auto"/>
              <w:right w:val="single" w:sz="8" w:space="0" w:color="auto"/>
            </w:tcBorders>
            <w:shd w:val="clear" w:color="000000" w:fill="33CCCC"/>
            <w:noWrap/>
            <w:vAlign w:val="bottom"/>
            <w:hideMark/>
          </w:tcPr>
          <w:p w14:paraId="4BF450EF"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236" w:type="dxa"/>
            <w:gridSpan w:val="3"/>
            <w:vAlign w:val="center"/>
            <w:hideMark/>
          </w:tcPr>
          <w:p w14:paraId="76D1C7D9" w14:textId="77777777" w:rsidR="00A72067" w:rsidRPr="00A72067" w:rsidRDefault="00A72067" w:rsidP="00A72067">
            <w:pPr>
              <w:spacing w:after="0" w:line="240" w:lineRule="auto"/>
              <w:rPr>
                <w:rFonts w:ascii="Times New Roman" w:eastAsia="Times New Roman" w:hAnsi="Times New Roman" w:cs="Times New Roman"/>
                <w:sz w:val="16"/>
                <w:szCs w:val="16"/>
                <w:lang w:eastAsia="hr-HR"/>
              </w:rPr>
            </w:pPr>
          </w:p>
        </w:tc>
      </w:tr>
      <w:tr w:rsidR="00A72067" w:rsidRPr="00A72067" w14:paraId="058B339A" w14:textId="77777777" w:rsidTr="00A72067">
        <w:trPr>
          <w:gridAfter w:val="2"/>
          <w:wAfter w:w="104" w:type="dxa"/>
          <w:trHeight w:val="402"/>
        </w:trPr>
        <w:tc>
          <w:tcPr>
            <w:tcW w:w="1286" w:type="dxa"/>
            <w:tcBorders>
              <w:top w:val="nil"/>
              <w:left w:val="single" w:sz="8" w:space="0" w:color="auto"/>
              <w:bottom w:val="single" w:sz="4" w:space="0" w:color="auto"/>
              <w:right w:val="single" w:sz="4" w:space="0" w:color="auto"/>
            </w:tcBorders>
            <w:shd w:val="clear" w:color="000000" w:fill="CCFFCC"/>
            <w:vAlign w:val="center"/>
            <w:hideMark/>
          </w:tcPr>
          <w:p w14:paraId="5E8E6B41" w14:textId="77777777" w:rsidR="00A72067" w:rsidRPr="00A72067" w:rsidRDefault="00A72067" w:rsidP="00A72067">
            <w:pPr>
              <w:spacing w:after="0" w:line="240" w:lineRule="auto"/>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Vjera</w:t>
            </w:r>
          </w:p>
        </w:tc>
        <w:tc>
          <w:tcPr>
            <w:tcW w:w="561" w:type="dxa"/>
            <w:tcBorders>
              <w:top w:val="nil"/>
              <w:left w:val="nil"/>
              <w:bottom w:val="single" w:sz="4" w:space="0" w:color="auto"/>
              <w:right w:val="single" w:sz="4" w:space="0" w:color="auto"/>
            </w:tcBorders>
            <w:shd w:val="clear" w:color="000000" w:fill="FFFF00"/>
            <w:vAlign w:val="bottom"/>
            <w:hideMark/>
          </w:tcPr>
          <w:p w14:paraId="18B5945A" w14:textId="77777777" w:rsidR="00A72067" w:rsidRPr="00A72067" w:rsidRDefault="00A72067" w:rsidP="00A72067">
            <w:pPr>
              <w:spacing w:after="0" w:line="240" w:lineRule="auto"/>
              <w:jc w:val="right"/>
              <w:rPr>
                <w:rFonts w:ascii="Calibri" w:eastAsia="Times New Roman" w:hAnsi="Calibri" w:cs="Calibri"/>
                <w:b/>
                <w:bCs/>
                <w:sz w:val="16"/>
                <w:szCs w:val="16"/>
                <w:lang w:eastAsia="hr-HR"/>
              </w:rPr>
            </w:pPr>
            <w:r w:rsidRPr="00A72067">
              <w:rPr>
                <w:rFonts w:ascii="Calibri" w:eastAsia="Times New Roman" w:hAnsi="Calibri" w:cs="Calibri"/>
                <w:b/>
                <w:bCs/>
                <w:sz w:val="16"/>
                <w:szCs w:val="16"/>
                <w:lang w:eastAsia="hr-HR"/>
              </w:rPr>
              <w:t>0</w:t>
            </w:r>
          </w:p>
        </w:tc>
        <w:tc>
          <w:tcPr>
            <w:tcW w:w="451" w:type="dxa"/>
            <w:tcBorders>
              <w:top w:val="nil"/>
              <w:left w:val="nil"/>
              <w:bottom w:val="single" w:sz="4" w:space="0" w:color="auto"/>
              <w:right w:val="single" w:sz="4" w:space="0" w:color="auto"/>
            </w:tcBorders>
            <w:shd w:val="clear" w:color="000000" w:fill="FFCC99"/>
            <w:noWrap/>
            <w:vAlign w:val="bottom"/>
            <w:hideMark/>
          </w:tcPr>
          <w:p w14:paraId="0908FE37"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382" w:type="dxa"/>
            <w:tcBorders>
              <w:top w:val="nil"/>
              <w:left w:val="nil"/>
              <w:bottom w:val="single" w:sz="4" w:space="0" w:color="auto"/>
              <w:right w:val="single" w:sz="4" w:space="0" w:color="auto"/>
            </w:tcBorders>
            <w:shd w:val="clear" w:color="000000" w:fill="CCFFFF"/>
            <w:vAlign w:val="bottom"/>
            <w:hideMark/>
          </w:tcPr>
          <w:p w14:paraId="390D3C54"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427" w:type="dxa"/>
            <w:tcBorders>
              <w:top w:val="nil"/>
              <w:left w:val="nil"/>
              <w:bottom w:val="single" w:sz="4" w:space="0" w:color="auto"/>
              <w:right w:val="single" w:sz="4" w:space="0" w:color="auto"/>
            </w:tcBorders>
            <w:shd w:val="clear" w:color="000000" w:fill="CCFFFF"/>
            <w:vAlign w:val="bottom"/>
            <w:hideMark/>
          </w:tcPr>
          <w:p w14:paraId="4BD02CC5"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559" w:type="dxa"/>
            <w:tcBorders>
              <w:top w:val="nil"/>
              <w:left w:val="nil"/>
              <w:bottom w:val="single" w:sz="4" w:space="0" w:color="auto"/>
              <w:right w:val="single" w:sz="4" w:space="0" w:color="auto"/>
            </w:tcBorders>
            <w:shd w:val="clear" w:color="000000" w:fill="FFFF99"/>
            <w:noWrap/>
            <w:vAlign w:val="bottom"/>
            <w:hideMark/>
          </w:tcPr>
          <w:p w14:paraId="0C525BA2"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424" w:type="dxa"/>
            <w:tcBorders>
              <w:top w:val="nil"/>
              <w:left w:val="nil"/>
              <w:bottom w:val="single" w:sz="4" w:space="0" w:color="auto"/>
              <w:right w:val="single" w:sz="4" w:space="0" w:color="auto"/>
            </w:tcBorders>
            <w:shd w:val="clear" w:color="000000" w:fill="FFFF99"/>
            <w:noWrap/>
            <w:vAlign w:val="bottom"/>
            <w:hideMark/>
          </w:tcPr>
          <w:p w14:paraId="4E921611"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816" w:type="dxa"/>
            <w:tcBorders>
              <w:top w:val="nil"/>
              <w:left w:val="nil"/>
              <w:bottom w:val="single" w:sz="4" w:space="0" w:color="auto"/>
              <w:right w:val="single" w:sz="4" w:space="0" w:color="auto"/>
            </w:tcBorders>
            <w:shd w:val="clear" w:color="000000" w:fill="FFFF99"/>
            <w:noWrap/>
            <w:vAlign w:val="bottom"/>
            <w:hideMark/>
          </w:tcPr>
          <w:p w14:paraId="55655733"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422" w:type="dxa"/>
            <w:tcBorders>
              <w:top w:val="nil"/>
              <w:left w:val="nil"/>
              <w:bottom w:val="single" w:sz="4" w:space="0" w:color="auto"/>
              <w:right w:val="single" w:sz="4" w:space="0" w:color="auto"/>
            </w:tcBorders>
            <w:shd w:val="clear" w:color="000000" w:fill="FFFF99"/>
            <w:noWrap/>
            <w:vAlign w:val="bottom"/>
            <w:hideMark/>
          </w:tcPr>
          <w:p w14:paraId="2BCF353E"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456" w:type="dxa"/>
            <w:tcBorders>
              <w:top w:val="nil"/>
              <w:left w:val="nil"/>
              <w:bottom w:val="single" w:sz="4" w:space="0" w:color="auto"/>
              <w:right w:val="single" w:sz="4" w:space="0" w:color="auto"/>
            </w:tcBorders>
            <w:shd w:val="clear" w:color="000000" w:fill="FFFF99"/>
            <w:noWrap/>
            <w:vAlign w:val="bottom"/>
            <w:hideMark/>
          </w:tcPr>
          <w:p w14:paraId="473A4CB6"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422" w:type="dxa"/>
            <w:tcBorders>
              <w:top w:val="nil"/>
              <w:left w:val="nil"/>
              <w:bottom w:val="single" w:sz="4" w:space="0" w:color="auto"/>
              <w:right w:val="single" w:sz="4" w:space="0" w:color="auto"/>
            </w:tcBorders>
            <w:shd w:val="clear" w:color="000000" w:fill="FFFF99"/>
            <w:noWrap/>
            <w:vAlign w:val="bottom"/>
            <w:hideMark/>
          </w:tcPr>
          <w:p w14:paraId="229DBD02"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517" w:type="dxa"/>
            <w:tcBorders>
              <w:top w:val="nil"/>
              <w:left w:val="nil"/>
              <w:bottom w:val="single" w:sz="4" w:space="0" w:color="auto"/>
              <w:right w:val="single" w:sz="4" w:space="0" w:color="auto"/>
            </w:tcBorders>
            <w:shd w:val="clear" w:color="000000" w:fill="FFFF99"/>
            <w:noWrap/>
            <w:vAlign w:val="bottom"/>
            <w:hideMark/>
          </w:tcPr>
          <w:p w14:paraId="1868B5DE"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474" w:type="dxa"/>
            <w:tcBorders>
              <w:top w:val="nil"/>
              <w:left w:val="nil"/>
              <w:bottom w:val="single" w:sz="4" w:space="0" w:color="auto"/>
              <w:right w:val="single" w:sz="4" w:space="0" w:color="auto"/>
            </w:tcBorders>
            <w:shd w:val="clear" w:color="000000" w:fill="FFFF99"/>
            <w:noWrap/>
            <w:vAlign w:val="bottom"/>
            <w:hideMark/>
          </w:tcPr>
          <w:p w14:paraId="0415CBB6"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577" w:type="dxa"/>
            <w:tcBorders>
              <w:top w:val="nil"/>
              <w:left w:val="nil"/>
              <w:bottom w:val="single" w:sz="4" w:space="0" w:color="auto"/>
              <w:right w:val="single" w:sz="4" w:space="0" w:color="auto"/>
            </w:tcBorders>
            <w:shd w:val="clear" w:color="000000" w:fill="FFFF99"/>
            <w:noWrap/>
            <w:vAlign w:val="bottom"/>
            <w:hideMark/>
          </w:tcPr>
          <w:p w14:paraId="5334B239"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422" w:type="dxa"/>
            <w:gridSpan w:val="2"/>
            <w:tcBorders>
              <w:top w:val="nil"/>
              <w:left w:val="nil"/>
              <w:bottom w:val="single" w:sz="4" w:space="0" w:color="auto"/>
              <w:right w:val="single" w:sz="4" w:space="0" w:color="auto"/>
            </w:tcBorders>
            <w:shd w:val="clear" w:color="000000" w:fill="FFFF99"/>
            <w:noWrap/>
            <w:vAlign w:val="bottom"/>
            <w:hideMark/>
          </w:tcPr>
          <w:p w14:paraId="27A61BE3"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320" w:type="dxa"/>
            <w:tcBorders>
              <w:top w:val="nil"/>
              <w:left w:val="nil"/>
              <w:bottom w:val="single" w:sz="4" w:space="0" w:color="auto"/>
              <w:right w:val="single" w:sz="4" w:space="0" w:color="auto"/>
            </w:tcBorders>
            <w:shd w:val="clear" w:color="000000" w:fill="FF9900"/>
            <w:noWrap/>
            <w:vAlign w:val="bottom"/>
            <w:hideMark/>
          </w:tcPr>
          <w:p w14:paraId="2A888B83"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426" w:type="dxa"/>
            <w:tcBorders>
              <w:top w:val="nil"/>
              <w:left w:val="nil"/>
              <w:bottom w:val="single" w:sz="4" w:space="0" w:color="auto"/>
              <w:right w:val="single" w:sz="4" w:space="0" w:color="auto"/>
            </w:tcBorders>
            <w:shd w:val="clear" w:color="000000" w:fill="FF9900"/>
            <w:noWrap/>
            <w:vAlign w:val="bottom"/>
            <w:hideMark/>
          </w:tcPr>
          <w:p w14:paraId="535CF555"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422" w:type="dxa"/>
            <w:tcBorders>
              <w:top w:val="nil"/>
              <w:left w:val="nil"/>
              <w:bottom w:val="single" w:sz="4" w:space="0" w:color="auto"/>
              <w:right w:val="single" w:sz="4" w:space="0" w:color="auto"/>
            </w:tcBorders>
            <w:shd w:val="clear" w:color="000000" w:fill="FF9900"/>
            <w:noWrap/>
            <w:vAlign w:val="bottom"/>
            <w:hideMark/>
          </w:tcPr>
          <w:p w14:paraId="303CA86E"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433" w:type="dxa"/>
            <w:gridSpan w:val="2"/>
            <w:tcBorders>
              <w:top w:val="nil"/>
              <w:left w:val="nil"/>
              <w:bottom w:val="single" w:sz="4" w:space="0" w:color="auto"/>
              <w:right w:val="single" w:sz="4" w:space="0" w:color="auto"/>
            </w:tcBorders>
            <w:shd w:val="clear" w:color="auto" w:fill="auto"/>
            <w:vAlign w:val="bottom"/>
            <w:hideMark/>
          </w:tcPr>
          <w:p w14:paraId="221642AE" w14:textId="77777777" w:rsidR="00A72067" w:rsidRPr="00A72067" w:rsidRDefault="00A72067" w:rsidP="00A72067">
            <w:pPr>
              <w:spacing w:after="0" w:line="240" w:lineRule="auto"/>
              <w:jc w:val="right"/>
              <w:rPr>
                <w:rFonts w:ascii="Calibri" w:eastAsia="Times New Roman" w:hAnsi="Calibri" w:cs="Calibri"/>
                <w:b/>
                <w:bCs/>
                <w:sz w:val="16"/>
                <w:szCs w:val="16"/>
                <w:lang w:eastAsia="hr-HR"/>
              </w:rPr>
            </w:pPr>
            <w:r w:rsidRPr="00A72067">
              <w:rPr>
                <w:rFonts w:ascii="Calibri" w:eastAsia="Times New Roman" w:hAnsi="Calibri" w:cs="Calibri"/>
                <w:b/>
                <w:bCs/>
                <w:sz w:val="16"/>
                <w:szCs w:val="16"/>
                <w:lang w:eastAsia="hr-HR"/>
              </w:rPr>
              <w:t>0</w:t>
            </w:r>
          </w:p>
        </w:tc>
        <w:tc>
          <w:tcPr>
            <w:tcW w:w="422" w:type="dxa"/>
            <w:tcBorders>
              <w:top w:val="nil"/>
              <w:left w:val="nil"/>
              <w:bottom w:val="single" w:sz="4" w:space="0" w:color="auto"/>
              <w:right w:val="single" w:sz="4" w:space="0" w:color="auto"/>
            </w:tcBorders>
            <w:shd w:val="clear" w:color="000000" w:fill="FFFF00"/>
            <w:noWrap/>
            <w:vAlign w:val="bottom"/>
            <w:hideMark/>
          </w:tcPr>
          <w:p w14:paraId="4B08C1F6"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424" w:type="dxa"/>
            <w:tcBorders>
              <w:top w:val="nil"/>
              <w:left w:val="nil"/>
              <w:bottom w:val="single" w:sz="4" w:space="0" w:color="auto"/>
              <w:right w:val="single" w:sz="4" w:space="0" w:color="auto"/>
            </w:tcBorders>
            <w:shd w:val="clear" w:color="000000" w:fill="FFFF00"/>
            <w:noWrap/>
            <w:vAlign w:val="bottom"/>
            <w:hideMark/>
          </w:tcPr>
          <w:p w14:paraId="2A05CF6A"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430" w:type="dxa"/>
            <w:tcBorders>
              <w:top w:val="nil"/>
              <w:left w:val="nil"/>
              <w:bottom w:val="single" w:sz="4" w:space="0" w:color="auto"/>
              <w:right w:val="single" w:sz="4" w:space="0" w:color="auto"/>
            </w:tcBorders>
            <w:shd w:val="clear" w:color="000000" w:fill="FFFF00"/>
            <w:noWrap/>
            <w:vAlign w:val="bottom"/>
            <w:hideMark/>
          </w:tcPr>
          <w:p w14:paraId="3BF2CF34"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424" w:type="dxa"/>
            <w:tcBorders>
              <w:top w:val="nil"/>
              <w:left w:val="nil"/>
              <w:bottom w:val="single" w:sz="4" w:space="0" w:color="auto"/>
              <w:right w:val="single" w:sz="4" w:space="0" w:color="auto"/>
            </w:tcBorders>
            <w:shd w:val="clear" w:color="auto" w:fill="auto"/>
            <w:vAlign w:val="bottom"/>
            <w:hideMark/>
          </w:tcPr>
          <w:p w14:paraId="6D03D27B" w14:textId="77777777" w:rsidR="00A72067" w:rsidRPr="00A72067" w:rsidRDefault="00A72067" w:rsidP="00A72067">
            <w:pPr>
              <w:spacing w:after="0" w:line="240" w:lineRule="auto"/>
              <w:jc w:val="right"/>
              <w:rPr>
                <w:rFonts w:ascii="Calibri" w:eastAsia="Times New Roman" w:hAnsi="Calibri" w:cs="Calibri"/>
                <w:b/>
                <w:bCs/>
                <w:sz w:val="16"/>
                <w:szCs w:val="16"/>
                <w:lang w:eastAsia="hr-HR"/>
              </w:rPr>
            </w:pPr>
            <w:r w:rsidRPr="00A72067">
              <w:rPr>
                <w:rFonts w:ascii="Calibri" w:eastAsia="Times New Roman" w:hAnsi="Calibri" w:cs="Calibri"/>
                <w:b/>
                <w:bCs/>
                <w:sz w:val="16"/>
                <w:szCs w:val="16"/>
                <w:lang w:eastAsia="hr-HR"/>
              </w:rPr>
              <w:t>0</w:t>
            </w:r>
          </w:p>
        </w:tc>
        <w:tc>
          <w:tcPr>
            <w:tcW w:w="570" w:type="dxa"/>
            <w:tcBorders>
              <w:top w:val="nil"/>
              <w:left w:val="nil"/>
              <w:bottom w:val="single" w:sz="4" w:space="0" w:color="auto"/>
              <w:right w:val="single" w:sz="4" w:space="0" w:color="auto"/>
            </w:tcBorders>
            <w:shd w:val="clear" w:color="000000" w:fill="FFFF00"/>
            <w:vAlign w:val="bottom"/>
            <w:hideMark/>
          </w:tcPr>
          <w:p w14:paraId="46AEBBA8" w14:textId="77777777" w:rsidR="00A72067" w:rsidRPr="00A72067" w:rsidRDefault="00A72067" w:rsidP="00A72067">
            <w:pPr>
              <w:spacing w:after="0" w:line="240" w:lineRule="auto"/>
              <w:jc w:val="right"/>
              <w:rPr>
                <w:rFonts w:ascii="Calibri" w:eastAsia="Times New Roman" w:hAnsi="Calibri" w:cs="Calibri"/>
                <w:b/>
                <w:bCs/>
                <w:sz w:val="16"/>
                <w:szCs w:val="16"/>
                <w:lang w:eastAsia="hr-HR"/>
              </w:rPr>
            </w:pPr>
            <w:r w:rsidRPr="00A72067">
              <w:rPr>
                <w:rFonts w:ascii="Calibri" w:eastAsia="Times New Roman" w:hAnsi="Calibri" w:cs="Calibri"/>
                <w:b/>
                <w:bCs/>
                <w:sz w:val="16"/>
                <w:szCs w:val="16"/>
                <w:lang w:eastAsia="hr-HR"/>
              </w:rPr>
              <w:t>0</w:t>
            </w:r>
          </w:p>
        </w:tc>
        <w:tc>
          <w:tcPr>
            <w:tcW w:w="424" w:type="dxa"/>
            <w:gridSpan w:val="2"/>
            <w:tcBorders>
              <w:top w:val="nil"/>
              <w:left w:val="nil"/>
              <w:bottom w:val="single" w:sz="4" w:space="0" w:color="auto"/>
              <w:right w:val="single" w:sz="4" w:space="0" w:color="auto"/>
            </w:tcBorders>
            <w:shd w:val="clear" w:color="000000" w:fill="FF9900"/>
            <w:noWrap/>
            <w:vAlign w:val="bottom"/>
            <w:hideMark/>
          </w:tcPr>
          <w:p w14:paraId="3862095A"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521" w:type="dxa"/>
            <w:gridSpan w:val="2"/>
            <w:tcBorders>
              <w:top w:val="nil"/>
              <w:left w:val="nil"/>
              <w:bottom w:val="single" w:sz="4" w:space="0" w:color="auto"/>
              <w:right w:val="single" w:sz="4" w:space="0" w:color="auto"/>
            </w:tcBorders>
            <w:shd w:val="clear" w:color="000000" w:fill="CCFFFF"/>
            <w:noWrap/>
            <w:vAlign w:val="bottom"/>
            <w:hideMark/>
          </w:tcPr>
          <w:p w14:paraId="240D9C10"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420" w:type="dxa"/>
            <w:tcBorders>
              <w:top w:val="nil"/>
              <w:left w:val="nil"/>
              <w:bottom w:val="single" w:sz="4" w:space="0" w:color="auto"/>
              <w:right w:val="single" w:sz="4" w:space="0" w:color="auto"/>
            </w:tcBorders>
            <w:shd w:val="clear" w:color="000000" w:fill="CCFFFF"/>
            <w:noWrap/>
            <w:vAlign w:val="bottom"/>
            <w:hideMark/>
          </w:tcPr>
          <w:p w14:paraId="3928C789"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406" w:type="dxa"/>
            <w:tcBorders>
              <w:top w:val="nil"/>
              <w:left w:val="nil"/>
              <w:bottom w:val="single" w:sz="4" w:space="0" w:color="auto"/>
              <w:right w:val="single" w:sz="4" w:space="0" w:color="auto"/>
            </w:tcBorders>
            <w:shd w:val="clear" w:color="000000" w:fill="CCFFFF"/>
            <w:noWrap/>
            <w:vAlign w:val="bottom"/>
            <w:hideMark/>
          </w:tcPr>
          <w:p w14:paraId="6C7BB5AC"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469" w:type="dxa"/>
            <w:gridSpan w:val="2"/>
            <w:tcBorders>
              <w:top w:val="nil"/>
              <w:left w:val="nil"/>
              <w:bottom w:val="single" w:sz="4" w:space="0" w:color="auto"/>
              <w:right w:val="nil"/>
            </w:tcBorders>
            <w:shd w:val="clear" w:color="000000" w:fill="33CCCC"/>
            <w:noWrap/>
            <w:vAlign w:val="bottom"/>
            <w:hideMark/>
          </w:tcPr>
          <w:p w14:paraId="60F57EB2"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362" w:type="dxa"/>
            <w:tcBorders>
              <w:top w:val="nil"/>
              <w:left w:val="single" w:sz="4" w:space="0" w:color="auto"/>
              <w:bottom w:val="single" w:sz="4" w:space="0" w:color="auto"/>
              <w:right w:val="single" w:sz="8" w:space="0" w:color="auto"/>
            </w:tcBorders>
            <w:shd w:val="clear" w:color="000000" w:fill="33CCCC"/>
            <w:noWrap/>
            <w:vAlign w:val="bottom"/>
            <w:hideMark/>
          </w:tcPr>
          <w:p w14:paraId="450A4C34"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236" w:type="dxa"/>
            <w:gridSpan w:val="3"/>
            <w:vAlign w:val="center"/>
            <w:hideMark/>
          </w:tcPr>
          <w:p w14:paraId="371A430E" w14:textId="77777777" w:rsidR="00A72067" w:rsidRPr="00A72067" w:rsidRDefault="00A72067" w:rsidP="00A72067">
            <w:pPr>
              <w:spacing w:after="0" w:line="240" w:lineRule="auto"/>
              <w:rPr>
                <w:rFonts w:ascii="Times New Roman" w:eastAsia="Times New Roman" w:hAnsi="Times New Roman" w:cs="Times New Roman"/>
                <w:sz w:val="16"/>
                <w:szCs w:val="16"/>
                <w:lang w:eastAsia="hr-HR"/>
              </w:rPr>
            </w:pPr>
          </w:p>
        </w:tc>
      </w:tr>
      <w:tr w:rsidR="00A72067" w:rsidRPr="00A72067" w14:paraId="56F4E726" w14:textId="77777777" w:rsidTr="00A72067">
        <w:trPr>
          <w:gridAfter w:val="2"/>
          <w:wAfter w:w="104" w:type="dxa"/>
          <w:trHeight w:val="402"/>
        </w:trPr>
        <w:tc>
          <w:tcPr>
            <w:tcW w:w="1286" w:type="dxa"/>
            <w:tcBorders>
              <w:top w:val="nil"/>
              <w:left w:val="single" w:sz="8" w:space="0" w:color="auto"/>
              <w:bottom w:val="single" w:sz="4" w:space="0" w:color="auto"/>
              <w:right w:val="single" w:sz="4" w:space="0" w:color="auto"/>
            </w:tcBorders>
            <w:shd w:val="clear" w:color="000000" w:fill="CCFFCC"/>
            <w:vAlign w:val="center"/>
            <w:hideMark/>
          </w:tcPr>
          <w:p w14:paraId="4847414F" w14:textId="77777777" w:rsidR="00A72067" w:rsidRPr="00A72067" w:rsidRDefault="00A72067" w:rsidP="00A72067">
            <w:pPr>
              <w:spacing w:after="0" w:line="240" w:lineRule="auto"/>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Političko ili drugo uvjerenje</w:t>
            </w:r>
          </w:p>
        </w:tc>
        <w:tc>
          <w:tcPr>
            <w:tcW w:w="561" w:type="dxa"/>
            <w:tcBorders>
              <w:top w:val="nil"/>
              <w:left w:val="nil"/>
              <w:bottom w:val="single" w:sz="4" w:space="0" w:color="auto"/>
              <w:right w:val="single" w:sz="4" w:space="0" w:color="auto"/>
            </w:tcBorders>
            <w:shd w:val="clear" w:color="000000" w:fill="FFFF00"/>
            <w:vAlign w:val="bottom"/>
            <w:hideMark/>
          </w:tcPr>
          <w:p w14:paraId="70A14D89" w14:textId="77777777" w:rsidR="00A72067" w:rsidRPr="00A72067" w:rsidRDefault="00A72067" w:rsidP="00A72067">
            <w:pPr>
              <w:spacing w:after="0" w:line="240" w:lineRule="auto"/>
              <w:jc w:val="right"/>
              <w:rPr>
                <w:rFonts w:ascii="Calibri" w:eastAsia="Times New Roman" w:hAnsi="Calibri" w:cs="Calibri"/>
                <w:b/>
                <w:bCs/>
                <w:sz w:val="16"/>
                <w:szCs w:val="16"/>
                <w:lang w:eastAsia="hr-HR"/>
              </w:rPr>
            </w:pPr>
            <w:r w:rsidRPr="00A72067">
              <w:rPr>
                <w:rFonts w:ascii="Calibri" w:eastAsia="Times New Roman" w:hAnsi="Calibri" w:cs="Calibri"/>
                <w:b/>
                <w:bCs/>
                <w:sz w:val="16"/>
                <w:szCs w:val="16"/>
                <w:lang w:eastAsia="hr-HR"/>
              </w:rPr>
              <w:t>0</w:t>
            </w:r>
          </w:p>
        </w:tc>
        <w:tc>
          <w:tcPr>
            <w:tcW w:w="451" w:type="dxa"/>
            <w:tcBorders>
              <w:top w:val="nil"/>
              <w:left w:val="nil"/>
              <w:bottom w:val="single" w:sz="4" w:space="0" w:color="auto"/>
              <w:right w:val="single" w:sz="4" w:space="0" w:color="auto"/>
            </w:tcBorders>
            <w:shd w:val="clear" w:color="000000" w:fill="FFCC99"/>
            <w:noWrap/>
            <w:vAlign w:val="bottom"/>
            <w:hideMark/>
          </w:tcPr>
          <w:p w14:paraId="772878CD"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382" w:type="dxa"/>
            <w:tcBorders>
              <w:top w:val="nil"/>
              <w:left w:val="nil"/>
              <w:bottom w:val="single" w:sz="4" w:space="0" w:color="auto"/>
              <w:right w:val="single" w:sz="4" w:space="0" w:color="auto"/>
            </w:tcBorders>
            <w:shd w:val="clear" w:color="000000" w:fill="CCFFFF"/>
            <w:vAlign w:val="bottom"/>
            <w:hideMark/>
          </w:tcPr>
          <w:p w14:paraId="66AF5060"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427" w:type="dxa"/>
            <w:tcBorders>
              <w:top w:val="nil"/>
              <w:left w:val="nil"/>
              <w:bottom w:val="single" w:sz="4" w:space="0" w:color="auto"/>
              <w:right w:val="single" w:sz="4" w:space="0" w:color="auto"/>
            </w:tcBorders>
            <w:shd w:val="clear" w:color="000000" w:fill="CCFFFF"/>
            <w:vAlign w:val="bottom"/>
            <w:hideMark/>
          </w:tcPr>
          <w:p w14:paraId="6EAB4F1C"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559" w:type="dxa"/>
            <w:tcBorders>
              <w:top w:val="nil"/>
              <w:left w:val="nil"/>
              <w:bottom w:val="single" w:sz="4" w:space="0" w:color="auto"/>
              <w:right w:val="single" w:sz="4" w:space="0" w:color="auto"/>
            </w:tcBorders>
            <w:shd w:val="clear" w:color="000000" w:fill="FFFF99"/>
            <w:noWrap/>
            <w:vAlign w:val="bottom"/>
            <w:hideMark/>
          </w:tcPr>
          <w:p w14:paraId="3D06D604"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424" w:type="dxa"/>
            <w:tcBorders>
              <w:top w:val="nil"/>
              <w:left w:val="nil"/>
              <w:bottom w:val="single" w:sz="4" w:space="0" w:color="auto"/>
              <w:right w:val="single" w:sz="4" w:space="0" w:color="auto"/>
            </w:tcBorders>
            <w:shd w:val="clear" w:color="000000" w:fill="FFFF99"/>
            <w:noWrap/>
            <w:vAlign w:val="bottom"/>
            <w:hideMark/>
          </w:tcPr>
          <w:p w14:paraId="4A4D2035"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816" w:type="dxa"/>
            <w:tcBorders>
              <w:top w:val="nil"/>
              <w:left w:val="nil"/>
              <w:bottom w:val="single" w:sz="4" w:space="0" w:color="auto"/>
              <w:right w:val="single" w:sz="4" w:space="0" w:color="auto"/>
            </w:tcBorders>
            <w:shd w:val="clear" w:color="000000" w:fill="FFFF99"/>
            <w:noWrap/>
            <w:vAlign w:val="bottom"/>
            <w:hideMark/>
          </w:tcPr>
          <w:p w14:paraId="0BD97968"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422" w:type="dxa"/>
            <w:tcBorders>
              <w:top w:val="nil"/>
              <w:left w:val="nil"/>
              <w:bottom w:val="single" w:sz="4" w:space="0" w:color="auto"/>
              <w:right w:val="single" w:sz="4" w:space="0" w:color="auto"/>
            </w:tcBorders>
            <w:shd w:val="clear" w:color="000000" w:fill="FFFF99"/>
            <w:noWrap/>
            <w:vAlign w:val="bottom"/>
            <w:hideMark/>
          </w:tcPr>
          <w:p w14:paraId="311350B1"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456" w:type="dxa"/>
            <w:tcBorders>
              <w:top w:val="nil"/>
              <w:left w:val="nil"/>
              <w:bottom w:val="single" w:sz="4" w:space="0" w:color="auto"/>
              <w:right w:val="single" w:sz="4" w:space="0" w:color="auto"/>
            </w:tcBorders>
            <w:shd w:val="clear" w:color="000000" w:fill="FFFF99"/>
            <w:noWrap/>
            <w:vAlign w:val="bottom"/>
            <w:hideMark/>
          </w:tcPr>
          <w:p w14:paraId="4D0B5BD5"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422" w:type="dxa"/>
            <w:tcBorders>
              <w:top w:val="nil"/>
              <w:left w:val="nil"/>
              <w:bottom w:val="single" w:sz="4" w:space="0" w:color="auto"/>
              <w:right w:val="single" w:sz="4" w:space="0" w:color="auto"/>
            </w:tcBorders>
            <w:shd w:val="clear" w:color="000000" w:fill="FFFF99"/>
            <w:noWrap/>
            <w:vAlign w:val="bottom"/>
            <w:hideMark/>
          </w:tcPr>
          <w:p w14:paraId="47CEE9CC"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517" w:type="dxa"/>
            <w:tcBorders>
              <w:top w:val="nil"/>
              <w:left w:val="nil"/>
              <w:bottom w:val="single" w:sz="4" w:space="0" w:color="auto"/>
              <w:right w:val="single" w:sz="4" w:space="0" w:color="auto"/>
            </w:tcBorders>
            <w:shd w:val="clear" w:color="000000" w:fill="FFFF99"/>
            <w:noWrap/>
            <w:vAlign w:val="bottom"/>
            <w:hideMark/>
          </w:tcPr>
          <w:p w14:paraId="67EC14C5"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474" w:type="dxa"/>
            <w:tcBorders>
              <w:top w:val="nil"/>
              <w:left w:val="nil"/>
              <w:bottom w:val="single" w:sz="4" w:space="0" w:color="auto"/>
              <w:right w:val="single" w:sz="4" w:space="0" w:color="auto"/>
            </w:tcBorders>
            <w:shd w:val="clear" w:color="000000" w:fill="FFFF99"/>
            <w:noWrap/>
            <w:vAlign w:val="bottom"/>
            <w:hideMark/>
          </w:tcPr>
          <w:p w14:paraId="66E5A55A"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577" w:type="dxa"/>
            <w:tcBorders>
              <w:top w:val="nil"/>
              <w:left w:val="nil"/>
              <w:bottom w:val="single" w:sz="4" w:space="0" w:color="auto"/>
              <w:right w:val="single" w:sz="4" w:space="0" w:color="auto"/>
            </w:tcBorders>
            <w:shd w:val="clear" w:color="000000" w:fill="FFFF99"/>
            <w:noWrap/>
            <w:vAlign w:val="bottom"/>
            <w:hideMark/>
          </w:tcPr>
          <w:p w14:paraId="13055B18"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422" w:type="dxa"/>
            <w:gridSpan w:val="2"/>
            <w:tcBorders>
              <w:top w:val="nil"/>
              <w:left w:val="nil"/>
              <w:bottom w:val="single" w:sz="4" w:space="0" w:color="auto"/>
              <w:right w:val="single" w:sz="4" w:space="0" w:color="auto"/>
            </w:tcBorders>
            <w:shd w:val="clear" w:color="000000" w:fill="FFFF99"/>
            <w:noWrap/>
            <w:vAlign w:val="bottom"/>
            <w:hideMark/>
          </w:tcPr>
          <w:p w14:paraId="4F8462B0"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320" w:type="dxa"/>
            <w:tcBorders>
              <w:top w:val="nil"/>
              <w:left w:val="nil"/>
              <w:bottom w:val="single" w:sz="4" w:space="0" w:color="auto"/>
              <w:right w:val="single" w:sz="4" w:space="0" w:color="auto"/>
            </w:tcBorders>
            <w:shd w:val="clear" w:color="000000" w:fill="FF9900"/>
            <w:noWrap/>
            <w:vAlign w:val="bottom"/>
            <w:hideMark/>
          </w:tcPr>
          <w:p w14:paraId="24CAD1E8"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426" w:type="dxa"/>
            <w:tcBorders>
              <w:top w:val="nil"/>
              <w:left w:val="nil"/>
              <w:bottom w:val="single" w:sz="4" w:space="0" w:color="auto"/>
              <w:right w:val="single" w:sz="4" w:space="0" w:color="auto"/>
            </w:tcBorders>
            <w:shd w:val="clear" w:color="000000" w:fill="FF9900"/>
            <w:noWrap/>
            <w:vAlign w:val="bottom"/>
            <w:hideMark/>
          </w:tcPr>
          <w:p w14:paraId="13E36E33"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422" w:type="dxa"/>
            <w:tcBorders>
              <w:top w:val="nil"/>
              <w:left w:val="nil"/>
              <w:bottom w:val="single" w:sz="4" w:space="0" w:color="auto"/>
              <w:right w:val="single" w:sz="4" w:space="0" w:color="auto"/>
            </w:tcBorders>
            <w:shd w:val="clear" w:color="000000" w:fill="FF9900"/>
            <w:noWrap/>
            <w:vAlign w:val="bottom"/>
            <w:hideMark/>
          </w:tcPr>
          <w:p w14:paraId="170767DB"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433" w:type="dxa"/>
            <w:gridSpan w:val="2"/>
            <w:tcBorders>
              <w:top w:val="nil"/>
              <w:left w:val="nil"/>
              <w:bottom w:val="single" w:sz="4" w:space="0" w:color="auto"/>
              <w:right w:val="single" w:sz="4" w:space="0" w:color="auto"/>
            </w:tcBorders>
            <w:shd w:val="clear" w:color="auto" w:fill="auto"/>
            <w:vAlign w:val="bottom"/>
            <w:hideMark/>
          </w:tcPr>
          <w:p w14:paraId="1228016C" w14:textId="77777777" w:rsidR="00A72067" w:rsidRPr="00A72067" w:rsidRDefault="00A72067" w:rsidP="00A72067">
            <w:pPr>
              <w:spacing w:after="0" w:line="240" w:lineRule="auto"/>
              <w:jc w:val="right"/>
              <w:rPr>
                <w:rFonts w:ascii="Calibri" w:eastAsia="Times New Roman" w:hAnsi="Calibri" w:cs="Calibri"/>
                <w:b/>
                <w:bCs/>
                <w:sz w:val="16"/>
                <w:szCs w:val="16"/>
                <w:lang w:eastAsia="hr-HR"/>
              </w:rPr>
            </w:pPr>
            <w:r w:rsidRPr="00A72067">
              <w:rPr>
                <w:rFonts w:ascii="Calibri" w:eastAsia="Times New Roman" w:hAnsi="Calibri" w:cs="Calibri"/>
                <w:b/>
                <w:bCs/>
                <w:sz w:val="16"/>
                <w:szCs w:val="16"/>
                <w:lang w:eastAsia="hr-HR"/>
              </w:rPr>
              <w:t>0</w:t>
            </w:r>
          </w:p>
        </w:tc>
        <w:tc>
          <w:tcPr>
            <w:tcW w:w="422" w:type="dxa"/>
            <w:tcBorders>
              <w:top w:val="nil"/>
              <w:left w:val="nil"/>
              <w:bottom w:val="single" w:sz="4" w:space="0" w:color="auto"/>
              <w:right w:val="single" w:sz="4" w:space="0" w:color="auto"/>
            </w:tcBorders>
            <w:shd w:val="clear" w:color="000000" w:fill="FFFF00"/>
            <w:noWrap/>
            <w:vAlign w:val="bottom"/>
            <w:hideMark/>
          </w:tcPr>
          <w:p w14:paraId="23CB3CF1"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424" w:type="dxa"/>
            <w:tcBorders>
              <w:top w:val="nil"/>
              <w:left w:val="nil"/>
              <w:bottom w:val="single" w:sz="4" w:space="0" w:color="auto"/>
              <w:right w:val="single" w:sz="4" w:space="0" w:color="auto"/>
            </w:tcBorders>
            <w:shd w:val="clear" w:color="000000" w:fill="FFFF00"/>
            <w:noWrap/>
            <w:vAlign w:val="bottom"/>
            <w:hideMark/>
          </w:tcPr>
          <w:p w14:paraId="46ED9F93"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430" w:type="dxa"/>
            <w:tcBorders>
              <w:top w:val="nil"/>
              <w:left w:val="nil"/>
              <w:bottom w:val="single" w:sz="4" w:space="0" w:color="auto"/>
              <w:right w:val="single" w:sz="4" w:space="0" w:color="auto"/>
            </w:tcBorders>
            <w:shd w:val="clear" w:color="000000" w:fill="FFFF00"/>
            <w:noWrap/>
            <w:vAlign w:val="bottom"/>
            <w:hideMark/>
          </w:tcPr>
          <w:p w14:paraId="250FA2D2"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424" w:type="dxa"/>
            <w:tcBorders>
              <w:top w:val="nil"/>
              <w:left w:val="nil"/>
              <w:bottom w:val="single" w:sz="4" w:space="0" w:color="auto"/>
              <w:right w:val="single" w:sz="4" w:space="0" w:color="auto"/>
            </w:tcBorders>
            <w:shd w:val="clear" w:color="auto" w:fill="auto"/>
            <w:vAlign w:val="bottom"/>
            <w:hideMark/>
          </w:tcPr>
          <w:p w14:paraId="63E612A7" w14:textId="77777777" w:rsidR="00A72067" w:rsidRPr="00A72067" w:rsidRDefault="00A72067" w:rsidP="00A72067">
            <w:pPr>
              <w:spacing w:after="0" w:line="240" w:lineRule="auto"/>
              <w:jc w:val="right"/>
              <w:rPr>
                <w:rFonts w:ascii="Calibri" w:eastAsia="Times New Roman" w:hAnsi="Calibri" w:cs="Calibri"/>
                <w:b/>
                <w:bCs/>
                <w:sz w:val="16"/>
                <w:szCs w:val="16"/>
                <w:lang w:eastAsia="hr-HR"/>
              </w:rPr>
            </w:pPr>
            <w:r w:rsidRPr="00A72067">
              <w:rPr>
                <w:rFonts w:ascii="Calibri" w:eastAsia="Times New Roman" w:hAnsi="Calibri" w:cs="Calibri"/>
                <w:b/>
                <w:bCs/>
                <w:sz w:val="16"/>
                <w:szCs w:val="16"/>
                <w:lang w:eastAsia="hr-HR"/>
              </w:rPr>
              <w:t>0</w:t>
            </w:r>
          </w:p>
        </w:tc>
        <w:tc>
          <w:tcPr>
            <w:tcW w:w="570" w:type="dxa"/>
            <w:tcBorders>
              <w:top w:val="nil"/>
              <w:left w:val="nil"/>
              <w:bottom w:val="single" w:sz="4" w:space="0" w:color="auto"/>
              <w:right w:val="single" w:sz="4" w:space="0" w:color="auto"/>
            </w:tcBorders>
            <w:shd w:val="clear" w:color="000000" w:fill="FFFF00"/>
            <w:vAlign w:val="bottom"/>
            <w:hideMark/>
          </w:tcPr>
          <w:p w14:paraId="0C666BA2" w14:textId="77777777" w:rsidR="00A72067" w:rsidRPr="00A72067" w:rsidRDefault="00A72067" w:rsidP="00A72067">
            <w:pPr>
              <w:spacing w:after="0" w:line="240" w:lineRule="auto"/>
              <w:jc w:val="right"/>
              <w:rPr>
                <w:rFonts w:ascii="Calibri" w:eastAsia="Times New Roman" w:hAnsi="Calibri" w:cs="Calibri"/>
                <w:b/>
                <w:bCs/>
                <w:sz w:val="16"/>
                <w:szCs w:val="16"/>
                <w:lang w:eastAsia="hr-HR"/>
              </w:rPr>
            </w:pPr>
            <w:r w:rsidRPr="00A72067">
              <w:rPr>
                <w:rFonts w:ascii="Calibri" w:eastAsia="Times New Roman" w:hAnsi="Calibri" w:cs="Calibri"/>
                <w:b/>
                <w:bCs/>
                <w:sz w:val="16"/>
                <w:szCs w:val="16"/>
                <w:lang w:eastAsia="hr-HR"/>
              </w:rPr>
              <w:t>0</w:t>
            </w:r>
          </w:p>
        </w:tc>
        <w:tc>
          <w:tcPr>
            <w:tcW w:w="424" w:type="dxa"/>
            <w:gridSpan w:val="2"/>
            <w:tcBorders>
              <w:top w:val="nil"/>
              <w:left w:val="nil"/>
              <w:bottom w:val="single" w:sz="4" w:space="0" w:color="auto"/>
              <w:right w:val="single" w:sz="4" w:space="0" w:color="auto"/>
            </w:tcBorders>
            <w:shd w:val="clear" w:color="000000" w:fill="FF9900"/>
            <w:noWrap/>
            <w:vAlign w:val="bottom"/>
            <w:hideMark/>
          </w:tcPr>
          <w:p w14:paraId="503BECF5"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521" w:type="dxa"/>
            <w:gridSpan w:val="2"/>
            <w:tcBorders>
              <w:top w:val="nil"/>
              <w:left w:val="nil"/>
              <w:bottom w:val="single" w:sz="4" w:space="0" w:color="auto"/>
              <w:right w:val="single" w:sz="4" w:space="0" w:color="auto"/>
            </w:tcBorders>
            <w:shd w:val="clear" w:color="000000" w:fill="CCFFFF"/>
            <w:noWrap/>
            <w:vAlign w:val="bottom"/>
            <w:hideMark/>
          </w:tcPr>
          <w:p w14:paraId="25FE5B4E"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420" w:type="dxa"/>
            <w:tcBorders>
              <w:top w:val="nil"/>
              <w:left w:val="nil"/>
              <w:bottom w:val="single" w:sz="4" w:space="0" w:color="auto"/>
              <w:right w:val="single" w:sz="4" w:space="0" w:color="auto"/>
            </w:tcBorders>
            <w:shd w:val="clear" w:color="000000" w:fill="CCFFFF"/>
            <w:noWrap/>
            <w:vAlign w:val="bottom"/>
            <w:hideMark/>
          </w:tcPr>
          <w:p w14:paraId="2A01932F"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406" w:type="dxa"/>
            <w:tcBorders>
              <w:top w:val="nil"/>
              <w:left w:val="nil"/>
              <w:bottom w:val="single" w:sz="4" w:space="0" w:color="auto"/>
              <w:right w:val="single" w:sz="4" w:space="0" w:color="auto"/>
            </w:tcBorders>
            <w:shd w:val="clear" w:color="000000" w:fill="CCFFFF"/>
            <w:noWrap/>
            <w:vAlign w:val="bottom"/>
            <w:hideMark/>
          </w:tcPr>
          <w:p w14:paraId="19782F5E"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469" w:type="dxa"/>
            <w:gridSpan w:val="2"/>
            <w:tcBorders>
              <w:top w:val="nil"/>
              <w:left w:val="nil"/>
              <w:bottom w:val="single" w:sz="4" w:space="0" w:color="auto"/>
              <w:right w:val="nil"/>
            </w:tcBorders>
            <w:shd w:val="clear" w:color="000000" w:fill="33CCCC"/>
            <w:noWrap/>
            <w:vAlign w:val="bottom"/>
            <w:hideMark/>
          </w:tcPr>
          <w:p w14:paraId="32BDF2F4"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362" w:type="dxa"/>
            <w:tcBorders>
              <w:top w:val="nil"/>
              <w:left w:val="single" w:sz="4" w:space="0" w:color="auto"/>
              <w:bottom w:val="single" w:sz="4" w:space="0" w:color="auto"/>
              <w:right w:val="single" w:sz="8" w:space="0" w:color="auto"/>
            </w:tcBorders>
            <w:shd w:val="clear" w:color="000000" w:fill="33CCCC"/>
            <w:noWrap/>
            <w:vAlign w:val="bottom"/>
            <w:hideMark/>
          </w:tcPr>
          <w:p w14:paraId="3C1E5142"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236" w:type="dxa"/>
            <w:gridSpan w:val="3"/>
            <w:vAlign w:val="center"/>
            <w:hideMark/>
          </w:tcPr>
          <w:p w14:paraId="722029EA" w14:textId="77777777" w:rsidR="00A72067" w:rsidRPr="00A72067" w:rsidRDefault="00A72067" w:rsidP="00A72067">
            <w:pPr>
              <w:spacing w:after="0" w:line="240" w:lineRule="auto"/>
              <w:rPr>
                <w:rFonts w:ascii="Times New Roman" w:eastAsia="Times New Roman" w:hAnsi="Times New Roman" w:cs="Times New Roman"/>
                <w:sz w:val="16"/>
                <w:szCs w:val="16"/>
                <w:lang w:eastAsia="hr-HR"/>
              </w:rPr>
            </w:pPr>
          </w:p>
        </w:tc>
      </w:tr>
      <w:tr w:rsidR="00A72067" w:rsidRPr="00A72067" w14:paraId="60CE01D8" w14:textId="77777777" w:rsidTr="00A72067">
        <w:trPr>
          <w:gridAfter w:val="2"/>
          <w:wAfter w:w="104" w:type="dxa"/>
          <w:trHeight w:val="402"/>
        </w:trPr>
        <w:tc>
          <w:tcPr>
            <w:tcW w:w="1286" w:type="dxa"/>
            <w:tcBorders>
              <w:top w:val="nil"/>
              <w:left w:val="single" w:sz="8" w:space="0" w:color="auto"/>
              <w:bottom w:val="single" w:sz="4" w:space="0" w:color="auto"/>
              <w:right w:val="single" w:sz="4" w:space="0" w:color="auto"/>
            </w:tcBorders>
            <w:shd w:val="clear" w:color="000000" w:fill="CCFFCC"/>
            <w:vAlign w:val="center"/>
            <w:hideMark/>
          </w:tcPr>
          <w:p w14:paraId="0C548170" w14:textId="77777777" w:rsidR="00A72067" w:rsidRPr="00A72067" w:rsidRDefault="00A72067" w:rsidP="00A72067">
            <w:pPr>
              <w:spacing w:after="0" w:line="240" w:lineRule="auto"/>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Nacionalno podrijetlo</w:t>
            </w:r>
          </w:p>
        </w:tc>
        <w:tc>
          <w:tcPr>
            <w:tcW w:w="561" w:type="dxa"/>
            <w:tcBorders>
              <w:top w:val="nil"/>
              <w:left w:val="nil"/>
              <w:bottom w:val="single" w:sz="4" w:space="0" w:color="auto"/>
              <w:right w:val="single" w:sz="4" w:space="0" w:color="auto"/>
            </w:tcBorders>
            <w:shd w:val="clear" w:color="000000" w:fill="FFFF00"/>
            <w:vAlign w:val="bottom"/>
            <w:hideMark/>
          </w:tcPr>
          <w:p w14:paraId="20F656FE" w14:textId="77777777" w:rsidR="00A72067" w:rsidRPr="00A72067" w:rsidRDefault="00A72067" w:rsidP="00A72067">
            <w:pPr>
              <w:spacing w:after="0" w:line="240" w:lineRule="auto"/>
              <w:jc w:val="right"/>
              <w:rPr>
                <w:rFonts w:ascii="Calibri" w:eastAsia="Times New Roman" w:hAnsi="Calibri" w:cs="Calibri"/>
                <w:b/>
                <w:bCs/>
                <w:sz w:val="16"/>
                <w:szCs w:val="16"/>
                <w:lang w:eastAsia="hr-HR"/>
              </w:rPr>
            </w:pPr>
            <w:r w:rsidRPr="00A72067">
              <w:rPr>
                <w:rFonts w:ascii="Calibri" w:eastAsia="Times New Roman" w:hAnsi="Calibri" w:cs="Calibri"/>
                <w:b/>
                <w:bCs/>
                <w:sz w:val="16"/>
                <w:szCs w:val="16"/>
                <w:lang w:eastAsia="hr-HR"/>
              </w:rPr>
              <w:t>0</w:t>
            </w:r>
          </w:p>
        </w:tc>
        <w:tc>
          <w:tcPr>
            <w:tcW w:w="451" w:type="dxa"/>
            <w:tcBorders>
              <w:top w:val="nil"/>
              <w:left w:val="nil"/>
              <w:bottom w:val="single" w:sz="4" w:space="0" w:color="auto"/>
              <w:right w:val="single" w:sz="4" w:space="0" w:color="auto"/>
            </w:tcBorders>
            <w:shd w:val="clear" w:color="000000" w:fill="FFCC99"/>
            <w:noWrap/>
            <w:vAlign w:val="bottom"/>
            <w:hideMark/>
          </w:tcPr>
          <w:p w14:paraId="257415AF"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2</w:t>
            </w:r>
          </w:p>
        </w:tc>
        <w:tc>
          <w:tcPr>
            <w:tcW w:w="382" w:type="dxa"/>
            <w:tcBorders>
              <w:top w:val="nil"/>
              <w:left w:val="nil"/>
              <w:bottom w:val="single" w:sz="4" w:space="0" w:color="auto"/>
              <w:right w:val="single" w:sz="4" w:space="0" w:color="auto"/>
            </w:tcBorders>
            <w:shd w:val="clear" w:color="000000" w:fill="CCFFFF"/>
            <w:vAlign w:val="bottom"/>
            <w:hideMark/>
          </w:tcPr>
          <w:p w14:paraId="71709205"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427" w:type="dxa"/>
            <w:tcBorders>
              <w:top w:val="nil"/>
              <w:left w:val="nil"/>
              <w:bottom w:val="single" w:sz="4" w:space="0" w:color="auto"/>
              <w:right w:val="single" w:sz="4" w:space="0" w:color="auto"/>
            </w:tcBorders>
            <w:shd w:val="clear" w:color="000000" w:fill="CCFFFF"/>
            <w:vAlign w:val="bottom"/>
            <w:hideMark/>
          </w:tcPr>
          <w:p w14:paraId="069EB38B"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559" w:type="dxa"/>
            <w:tcBorders>
              <w:top w:val="nil"/>
              <w:left w:val="nil"/>
              <w:bottom w:val="single" w:sz="4" w:space="0" w:color="auto"/>
              <w:right w:val="single" w:sz="4" w:space="0" w:color="auto"/>
            </w:tcBorders>
            <w:shd w:val="clear" w:color="000000" w:fill="FFFF99"/>
            <w:noWrap/>
            <w:vAlign w:val="bottom"/>
            <w:hideMark/>
          </w:tcPr>
          <w:p w14:paraId="115A9A5D"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424" w:type="dxa"/>
            <w:tcBorders>
              <w:top w:val="nil"/>
              <w:left w:val="nil"/>
              <w:bottom w:val="single" w:sz="4" w:space="0" w:color="auto"/>
              <w:right w:val="single" w:sz="4" w:space="0" w:color="auto"/>
            </w:tcBorders>
            <w:shd w:val="clear" w:color="000000" w:fill="FFFF99"/>
            <w:noWrap/>
            <w:vAlign w:val="bottom"/>
            <w:hideMark/>
          </w:tcPr>
          <w:p w14:paraId="5BE0A478"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816" w:type="dxa"/>
            <w:tcBorders>
              <w:top w:val="nil"/>
              <w:left w:val="nil"/>
              <w:bottom w:val="single" w:sz="4" w:space="0" w:color="auto"/>
              <w:right w:val="single" w:sz="4" w:space="0" w:color="auto"/>
            </w:tcBorders>
            <w:shd w:val="clear" w:color="000000" w:fill="FFFF99"/>
            <w:noWrap/>
            <w:vAlign w:val="bottom"/>
            <w:hideMark/>
          </w:tcPr>
          <w:p w14:paraId="541282C2"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422" w:type="dxa"/>
            <w:tcBorders>
              <w:top w:val="nil"/>
              <w:left w:val="nil"/>
              <w:bottom w:val="single" w:sz="4" w:space="0" w:color="auto"/>
              <w:right w:val="single" w:sz="4" w:space="0" w:color="auto"/>
            </w:tcBorders>
            <w:shd w:val="clear" w:color="000000" w:fill="FFFF99"/>
            <w:noWrap/>
            <w:vAlign w:val="bottom"/>
            <w:hideMark/>
          </w:tcPr>
          <w:p w14:paraId="652F2D48"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456" w:type="dxa"/>
            <w:tcBorders>
              <w:top w:val="nil"/>
              <w:left w:val="nil"/>
              <w:bottom w:val="single" w:sz="4" w:space="0" w:color="auto"/>
              <w:right w:val="single" w:sz="4" w:space="0" w:color="auto"/>
            </w:tcBorders>
            <w:shd w:val="clear" w:color="000000" w:fill="FFFF99"/>
            <w:noWrap/>
            <w:vAlign w:val="bottom"/>
            <w:hideMark/>
          </w:tcPr>
          <w:p w14:paraId="5DE91712"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422" w:type="dxa"/>
            <w:tcBorders>
              <w:top w:val="nil"/>
              <w:left w:val="nil"/>
              <w:bottom w:val="single" w:sz="4" w:space="0" w:color="auto"/>
              <w:right w:val="single" w:sz="4" w:space="0" w:color="auto"/>
            </w:tcBorders>
            <w:shd w:val="clear" w:color="000000" w:fill="FFFF99"/>
            <w:noWrap/>
            <w:vAlign w:val="bottom"/>
            <w:hideMark/>
          </w:tcPr>
          <w:p w14:paraId="5226E74D"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517" w:type="dxa"/>
            <w:tcBorders>
              <w:top w:val="nil"/>
              <w:left w:val="nil"/>
              <w:bottom w:val="single" w:sz="4" w:space="0" w:color="auto"/>
              <w:right w:val="single" w:sz="4" w:space="0" w:color="auto"/>
            </w:tcBorders>
            <w:shd w:val="clear" w:color="000000" w:fill="FFFF99"/>
            <w:noWrap/>
            <w:vAlign w:val="bottom"/>
            <w:hideMark/>
          </w:tcPr>
          <w:p w14:paraId="3984660A"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474" w:type="dxa"/>
            <w:tcBorders>
              <w:top w:val="nil"/>
              <w:left w:val="nil"/>
              <w:bottom w:val="single" w:sz="4" w:space="0" w:color="auto"/>
              <w:right w:val="single" w:sz="4" w:space="0" w:color="auto"/>
            </w:tcBorders>
            <w:shd w:val="clear" w:color="000000" w:fill="FFFF99"/>
            <w:noWrap/>
            <w:vAlign w:val="bottom"/>
            <w:hideMark/>
          </w:tcPr>
          <w:p w14:paraId="274B6B25"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577" w:type="dxa"/>
            <w:tcBorders>
              <w:top w:val="nil"/>
              <w:left w:val="nil"/>
              <w:bottom w:val="single" w:sz="4" w:space="0" w:color="auto"/>
              <w:right w:val="single" w:sz="4" w:space="0" w:color="auto"/>
            </w:tcBorders>
            <w:shd w:val="clear" w:color="000000" w:fill="FFFF99"/>
            <w:noWrap/>
            <w:vAlign w:val="bottom"/>
            <w:hideMark/>
          </w:tcPr>
          <w:p w14:paraId="135A384C"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2</w:t>
            </w:r>
          </w:p>
        </w:tc>
        <w:tc>
          <w:tcPr>
            <w:tcW w:w="422" w:type="dxa"/>
            <w:gridSpan w:val="2"/>
            <w:tcBorders>
              <w:top w:val="nil"/>
              <w:left w:val="nil"/>
              <w:bottom w:val="single" w:sz="4" w:space="0" w:color="auto"/>
              <w:right w:val="single" w:sz="4" w:space="0" w:color="auto"/>
            </w:tcBorders>
            <w:shd w:val="clear" w:color="000000" w:fill="FFFF99"/>
            <w:noWrap/>
            <w:vAlign w:val="bottom"/>
            <w:hideMark/>
          </w:tcPr>
          <w:p w14:paraId="072E6486"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320" w:type="dxa"/>
            <w:tcBorders>
              <w:top w:val="nil"/>
              <w:left w:val="nil"/>
              <w:bottom w:val="single" w:sz="4" w:space="0" w:color="auto"/>
              <w:right w:val="single" w:sz="4" w:space="0" w:color="auto"/>
            </w:tcBorders>
            <w:shd w:val="clear" w:color="000000" w:fill="FF9900"/>
            <w:noWrap/>
            <w:vAlign w:val="bottom"/>
            <w:hideMark/>
          </w:tcPr>
          <w:p w14:paraId="19D322E7"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426" w:type="dxa"/>
            <w:tcBorders>
              <w:top w:val="nil"/>
              <w:left w:val="nil"/>
              <w:bottom w:val="single" w:sz="4" w:space="0" w:color="auto"/>
              <w:right w:val="single" w:sz="4" w:space="0" w:color="auto"/>
            </w:tcBorders>
            <w:shd w:val="clear" w:color="000000" w:fill="FF9900"/>
            <w:noWrap/>
            <w:vAlign w:val="bottom"/>
            <w:hideMark/>
          </w:tcPr>
          <w:p w14:paraId="53EEB090"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422" w:type="dxa"/>
            <w:tcBorders>
              <w:top w:val="nil"/>
              <w:left w:val="nil"/>
              <w:bottom w:val="single" w:sz="4" w:space="0" w:color="auto"/>
              <w:right w:val="single" w:sz="4" w:space="0" w:color="auto"/>
            </w:tcBorders>
            <w:shd w:val="clear" w:color="000000" w:fill="FF9900"/>
            <w:noWrap/>
            <w:vAlign w:val="bottom"/>
            <w:hideMark/>
          </w:tcPr>
          <w:p w14:paraId="06F86A72"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433" w:type="dxa"/>
            <w:gridSpan w:val="2"/>
            <w:tcBorders>
              <w:top w:val="nil"/>
              <w:left w:val="nil"/>
              <w:bottom w:val="single" w:sz="4" w:space="0" w:color="auto"/>
              <w:right w:val="single" w:sz="4" w:space="0" w:color="auto"/>
            </w:tcBorders>
            <w:shd w:val="clear" w:color="auto" w:fill="auto"/>
            <w:vAlign w:val="bottom"/>
            <w:hideMark/>
          </w:tcPr>
          <w:p w14:paraId="03183AA2" w14:textId="77777777" w:rsidR="00A72067" w:rsidRPr="00A72067" w:rsidRDefault="00A72067" w:rsidP="00A72067">
            <w:pPr>
              <w:spacing w:after="0" w:line="240" w:lineRule="auto"/>
              <w:jc w:val="right"/>
              <w:rPr>
                <w:rFonts w:ascii="Calibri" w:eastAsia="Times New Roman" w:hAnsi="Calibri" w:cs="Calibri"/>
                <w:b/>
                <w:bCs/>
                <w:sz w:val="16"/>
                <w:szCs w:val="16"/>
                <w:lang w:eastAsia="hr-HR"/>
              </w:rPr>
            </w:pPr>
            <w:r w:rsidRPr="00A72067">
              <w:rPr>
                <w:rFonts w:ascii="Calibri" w:eastAsia="Times New Roman" w:hAnsi="Calibri" w:cs="Calibri"/>
                <w:b/>
                <w:bCs/>
                <w:sz w:val="16"/>
                <w:szCs w:val="16"/>
                <w:lang w:eastAsia="hr-HR"/>
              </w:rPr>
              <w:t>0</w:t>
            </w:r>
          </w:p>
        </w:tc>
        <w:tc>
          <w:tcPr>
            <w:tcW w:w="422" w:type="dxa"/>
            <w:tcBorders>
              <w:top w:val="nil"/>
              <w:left w:val="nil"/>
              <w:bottom w:val="single" w:sz="4" w:space="0" w:color="auto"/>
              <w:right w:val="single" w:sz="4" w:space="0" w:color="auto"/>
            </w:tcBorders>
            <w:shd w:val="clear" w:color="000000" w:fill="FFFF00"/>
            <w:noWrap/>
            <w:vAlign w:val="bottom"/>
            <w:hideMark/>
          </w:tcPr>
          <w:p w14:paraId="538E1A90"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424" w:type="dxa"/>
            <w:tcBorders>
              <w:top w:val="nil"/>
              <w:left w:val="nil"/>
              <w:bottom w:val="single" w:sz="4" w:space="0" w:color="auto"/>
              <w:right w:val="single" w:sz="4" w:space="0" w:color="auto"/>
            </w:tcBorders>
            <w:shd w:val="clear" w:color="000000" w:fill="FFFF00"/>
            <w:noWrap/>
            <w:vAlign w:val="bottom"/>
            <w:hideMark/>
          </w:tcPr>
          <w:p w14:paraId="0D9DEB9F"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430" w:type="dxa"/>
            <w:tcBorders>
              <w:top w:val="nil"/>
              <w:left w:val="nil"/>
              <w:bottom w:val="single" w:sz="4" w:space="0" w:color="auto"/>
              <w:right w:val="single" w:sz="4" w:space="0" w:color="auto"/>
            </w:tcBorders>
            <w:shd w:val="clear" w:color="000000" w:fill="FFFF00"/>
            <w:noWrap/>
            <w:vAlign w:val="bottom"/>
            <w:hideMark/>
          </w:tcPr>
          <w:p w14:paraId="7E64ED0D"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424" w:type="dxa"/>
            <w:tcBorders>
              <w:top w:val="nil"/>
              <w:left w:val="nil"/>
              <w:bottom w:val="single" w:sz="4" w:space="0" w:color="auto"/>
              <w:right w:val="single" w:sz="4" w:space="0" w:color="auto"/>
            </w:tcBorders>
            <w:shd w:val="clear" w:color="auto" w:fill="auto"/>
            <w:vAlign w:val="bottom"/>
            <w:hideMark/>
          </w:tcPr>
          <w:p w14:paraId="00E71811" w14:textId="77777777" w:rsidR="00A72067" w:rsidRPr="00A72067" w:rsidRDefault="00A72067" w:rsidP="00A72067">
            <w:pPr>
              <w:spacing w:after="0" w:line="240" w:lineRule="auto"/>
              <w:jc w:val="right"/>
              <w:rPr>
                <w:rFonts w:ascii="Calibri" w:eastAsia="Times New Roman" w:hAnsi="Calibri" w:cs="Calibri"/>
                <w:b/>
                <w:bCs/>
                <w:sz w:val="16"/>
                <w:szCs w:val="16"/>
                <w:lang w:eastAsia="hr-HR"/>
              </w:rPr>
            </w:pPr>
            <w:r w:rsidRPr="00A72067">
              <w:rPr>
                <w:rFonts w:ascii="Calibri" w:eastAsia="Times New Roman" w:hAnsi="Calibri" w:cs="Calibri"/>
                <w:b/>
                <w:bCs/>
                <w:sz w:val="16"/>
                <w:szCs w:val="16"/>
                <w:lang w:eastAsia="hr-HR"/>
              </w:rPr>
              <w:t>0</w:t>
            </w:r>
          </w:p>
        </w:tc>
        <w:tc>
          <w:tcPr>
            <w:tcW w:w="570" w:type="dxa"/>
            <w:tcBorders>
              <w:top w:val="nil"/>
              <w:left w:val="nil"/>
              <w:bottom w:val="single" w:sz="4" w:space="0" w:color="auto"/>
              <w:right w:val="single" w:sz="4" w:space="0" w:color="auto"/>
            </w:tcBorders>
            <w:shd w:val="clear" w:color="000000" w:fill="FFFF00"/>
            <w:vAlign w:val="bottom"/>
            <w:hideMark/>
          </w:tcPr>
          <w:p w14:paraId="3C92FFE5" w14:textId="77777777" w:rsidR="00A72067" w:rsidRPr="00A72067" w:rsidRDefault="00A72067" w:rsidP="00A72067">
            <w:pPr>
              <w:spacing w:after="0" w:line="240" w:lineRule="auto"/>
              <w:jc w:val="right"/>
              <w:rPr>
                <w:rFonts w:ascii="Calibri" w:eastAsia="Times New Roman" w:hAnsi="Calibri" w:cs="Calibri"/>
                <w:b/>
                <w:bCs/>
                <w:sz w:val="16"/>
                <w:szCs w:val="16"/>
                <w:lang w:eastAsia="hr-HR"/>
              </w:rPr>
            </w:pPr>
            <w:r w:rsidRPr="00A72067">
              <w:rPr>
                <w:rFonts w:ascii="Calibri" w:eastAsia="Times New Roman" w:hAnsi="Calibri" w:cs="Calibri"/>
                <w:b/>
                <w:bCs/>
                <w:sz w:val="16"/>
                <w:szCs w:val="16"/>
                <w:lang w:eastAsia="hr-HR"/>
              </w:rPr>
              <w:t>2</w:t>
            </w:r>
          </w:p>
        </w:tc>
        <w:tc>
          <w:tcPr>
            <w:tcW w:w="424" w:type="dxa"/>
            <w:gridSpan w:val="2"/>
            <w:tcBorders>
              <w:top w:val="nil"/>
              <w:left w:val="nil"/>
              <w:bottom w:val="single" w:sz="4" w:space="0" w:color="auto"/>
              <w:right w:val="single" w:sz="4" w:space="0" w:color="auto"/>
            </w:tcBorders>
            <w:shd w:val="clear" w:color="000000" w:fill="FF9900"/>
            <w:noWrap/>
            <w:vAlign w:val="bottom"/>
            <w:hideMark/>
          </w:tcPr>
          <w:p w14:paraId="6E6FC51D"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521" w:type="dxa"/>
            <w:gridSpan w:val="2"/>
            <w:tcBorders>
              <w:top w:val="nil"/>
              <w:left w:val="nil"/>
              <w:bottom w:val="single" w:sz="4" w:space="0" w:color="auto"/>
              <w:right w:val="single" w:sz="4" w:space="0" w:color="auto"/>
            </w:tcBorders>
            <w:shd w:val="clear" w:color="000000" w:fill="CCFFFF"/>
            <w:noWrap/>
            <w:vAlign w:val="bottom"/>
            <w:hideMark/>
          </w:tcPr>
          <w:p w14:paraId="50E9D56E"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420" w:type="dxa"/>
            <w:tcBorders>
              <w:top w:val="nil"/>
              <w:left w:val="nil"/>
              <w:bottom w:val="single" w:sz="4" w:space="0" w:color="auto"/>
              <w:right w:val="single" w:sz="4" w:space="0" w:color="auto"/>
            </w:tcBorders>
            <w:shd w:val="clear" w:color="000000" w:fill="CCFFFF"/>
            <w:noWrap/>
            <w:vAlign w:val="bottom"/>
            <w:hideMark/>
          </w:tcPr>
          <w:p w14:paraId="35ADCC61"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406" w:type="dxa"/>
            <w:tcBorders>
              <w:top w:val="nil"/>
              <w:left w:val="nil"/>
              <w:bottom w:val="single" w:sz="4" w:space="0" w:color="auto"/>
              <w:right w:val="single" w:sz="4" w:space="0" w:color="auto"/>
            </w:tcBorders>
            <w:shd w:val="clear" w:color="000000" w:fill="CCFFFF"/>
            <w:noWrap/>
            <w:vAlign w:val="bottom"/>
            <w:hideMark/>
          </w:tcPr>
          <w:p w14:paraId="678682E6"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469" w:type="dxa"/>
            <w:gridSpan w:val="2"/>
            <w:tcBorders>
              <w:top w:val="nil"/>
              <w:left w:val="nil"/>
              <w:bottom w:val="single" w:sz="4" w:space="0" w:color="auto"/>
              <w:right w:val="nil"/>
            </w:tcBorders>
            <w:shd w:val="clear" w:color="000000" w:fill="33CCCC"/>
            <w:noWrap/>
            <w:vAlign w:val="bottom"/>
            <w:hideMark/>
          </w:tcPr>
          <w:p w14:paraId="2E588D58"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362" w:type="dxa"/>
            <w:tcBorders>
              <w:top w:val="nil"/>
              <w:left w:val="single" w:sz="4" w:space="0" w:color="auto"/>
              <w:bottom w:val="single" w:sz="4" w:space="0" w:color="auto"/>
              <w:right w:val="single" w:sz="8" w:space="0" w:color="auto"/>
            </w:tcBorders>
            <w:shd w:val="clear" w:color="000000" w:fill="33CCCC"/>
            <w:noWrap/>
            <w:vAlign w:val="bottom"/>
            <w:hideMark/>
          </w:tcPr>
          <w:p w14:paraId="16333001"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236" w:type="dxa"/>
            <w:gridSpan w:val="3"/>
            <w:vAlign w:val="center"/>
            <w:hideMark/>
          </w:tcPr>
          <w:p w14:paraId="44C55155" w14:textId="77777777" w:rsidR="00A72067" w:rsidRPr="00A72067" w:rsidRDefault="00A72067" w:rsidP="00A72067">
            <w:pPr>
              <w:spacing w:after="0" w:line="240" w:lineRule="auto"/>
              <w:rPr>
                <w:rFonts w:ascii="Times New Roman" w:eastAsia="Times New Roman" w:hAnsi="Times New Roman" w:cs="Times New Roman"/>
                <w:sz w:val="16"/>
                <w:szCs w:val="16"/>
                <w:lang w:eastAsia="hr-HR"/>
              </w:rPr>
            </w:pPr>
          </w:p>
        </w:tc>
      </w:tr>
      <w:tr w:rsidR="00A72067" w:rsidRPr="00A72067" w14:paraId="19DEA29F" w14:textId="77777777" w:rsidTr="00A72067">
        <w:trPr>
          <w:gridAfter w:val="2"/>
          <w:wAfter w:w="104" w:type="dxa"/>
          <w:trHeight w:val="402"/>
        </w:trPr>
        <w:tc>
          <w:tcPr>
            <w:tcW w:w="1286" w:type="dxa"/>
            <w:tcBorders>
              <w:top w:val="nil"/>
              <w:left w:val="single" w:sz="8" w:space="0" w:color="auto"/>
              <w:bottom w:val="single" w:sz="4" w:space="0" w:color="auto"/>
              <w:right w:val="single" w:sz="4" w:space="0" w:color="auto"/>
            </w:tcBorders>
            <w:shd w:val="clear" w:color="000000" w:fill="CCFFCC"/>
            <w:vAlign w:val="center"/>
            <w:hideMark/>
          </w:tcPr>
          <w:p w14:paraId="5A299EBF" w14:textId="77777777" w:rsidR="00A72067" w:rsidRPr="00A72067" w:rsidRDefault="00A72067" w:rsidP="00A72067">
            <w:pPr>
              <w:spacing w:after="0" w:line="240" w:lineRule="auto"/>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Socijalno podrijetlo</w:t>
            </w:r>
          </w:p>
        </w:tc>
        <w:tc>
          <w:tcPr>
            <w:tcW w:w="561" w:type="dxa"/>
            <w:tcBorders>
              <w:top w:val="nil"/>
              <w:left w:val="nil"/>
              <w:bottom w:val="single" w:sz="4" w:space="0" w:color="auto"/>
              <w:right w:val="single" w:sz="4" w:space="0" w:color="auto"/>
            </w:tcBorders>
            <w:shd w:val="clear" w:color="000000" w:fill="FFFF00"/>
            <w:vAlign w:val="bottom"/>
            <w:hideMark/>
          </w:tcPr>
          <w:p w14:paraId="09BBF914" w14:textId="77777777" w:rsidR="00A72067" w:rsidRPr="00A72067" w:rsidRDefault="00A72067" w:rsidP="00A72067">
            <w:pPr>
              <w:spacing w:after="0" w:line="240" w:lineRule="auto"/>
              <w:jc w:val="right"/>
              <w:rPr>
                <w:rFonts w:ascii="Calibri" w:eastAsia="Times New Roman" w:hAnsi="Calibri" w:cs="Calibri"/>
                <w:b/>
                <w:bCs/>
                <w:sz w:val="16"/>
                <w:szCs w:val="16"/>
                <w:lang w:eastAsia="hr-HR"/>
              </w:rPr>
            </w:pPr>
            <w:r w:rsidRPr="00A72067">
              <w:rPr>
                <w:rFonts w:ascii="Calibri" w:eastAsia="Times New Roman" w:hAnsi="Calibri" w:cs="Calibri"/>
                <w:b/>
                <w:bCs/>
                <w:sz w:val="16"/>
                <w:szCs w:val="16"/>
                <w:lang w:eastAsia="hr-HR"/>
              </w:rPr>
              <w:t>1</w:t>
            </w:r>
          </w:p>
        </w:tc>
        <w:tc>
          <w:tcPr>
            <w:tcW w:w="451" w:type="dxa"/>
            <w:tcBorders>
              <w:top w:val="nil"/>
              <w:left w:val="nil"/>
              <w:bottom w:val="single" w:sz="4" w:space="0" w:color="auto"/>
              <w:right w:val="single" w:sz="4" w:space="0" w:color="auto"/>
            </w:tcBorders>
            <w:shd w:val="clear" w:color="000000" w:fill="FFCC99"/>
            <w:noWrap/>
            <w:vAlign w:val="bottom"/>
            <w:hideMark/>
          </w:tcPr>
          <w:p w14:paraId="0B4F3921"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382" w:type="dxa"/>
            <w:tcBorders>
              <w:top w:val="nil"/>
              <w:left w:val="nil"/>
              <w:bottom w:val="single" w:sz="4" w:space="0" w:color="auto"/>
              <w:right w:val="single" w:sz="4" w:space="0" w:color="auto"/>
            </w:tcBorders>
            <w:shd w:val="clear" w:color="000000" w:fill="CCFFFF"/>
            <w:vAlign w:val="bottom"/>
            <w:hideMark/>
          </w:tcPr>
          <w:p w14:paraId="794F57B0"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427" w:type="dxa"/>
            <w:tcBorders>
              <w:top w:val="nil"/>
              <w:left w:val="nil"/>
              <w:bottom w:val="single" w:sz="4" w:space="0" w:color="auto"/>
              <w:right w:val="single" w:sz="4" w:space="0" w:color="auto"/>
            </w:tcBorders>
            <w:shd w:val="clear" w:color="000000" w:fill="CCFFFF"/>
            <w:vAlign w:val="bottom"/>
            <w:hideMark/>
          </w:tcPr>
          <w:p w14:paraId="73E3FDAF"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559" w:type="dxa"/>
            <w:tcBorders>
              <w:top w:val="nil"/>
              <w:left w:val="nil"/>
              <w:bottom w:val="single" w:sz="4" w:space="0" w:color="auto"/>
              <w:right w:val="single" w:sz="4" w:space="0" w:color="auto"/>
            </w:tcBorders>
            <w:shd w:val="clear" w:color="000000" w:fill="FFFF99"/>
            <w:noWrap/>
            <w:vAlign w:val="bottom"/>
            <w:hideMark/>
          </w:tcPr>
          <w:p w14:paraId="0C88216E"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424" w:type="dxa"/>
            <w:tcBorders>
              <w:top w:val="nil"/>
              <w:left w:val="nil"/>
              <w:bottom w:val="single" w:sz="4" w:space="0" w:color="auto"/>
              <w:right w:val="single" w:sz="4" w:space="0" w:color="auto"/>
            </w:tcBorders>
            <w:shd w:val="clear" w:color="000000" w:fill="FFFF99"/>
            <w:noWrap/>
            <w:vAlign w:val="bottom"/>
            <w:hideMark/>
          </w:tcPr>
          <w:p w14:paraId="5D77405E"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816" w:type="dxa"/>
            <w:tcBorders>
              <w:top w:val="nil"/>
              <w:left w:val="nil"/>
              <w:bottom w:val="single" w:sz="4" w:space="0" w:color="auto"/>
              <w:right w:val="single" w:sz="4" w:space="0" w:color="auto"/>
            </w:tcBorders>
            <w:shd w:val="clear" w:color="000000" w:fill="FFFF99"/>
            <w:noWrap/>
            <w:vAlign w:val="bottom"/>
            <w:hideMark/>
          </w:tcPr>
          <w:p w14:paraId="42ED33F5"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422" w:type="dxa"/>
            <w:tcBorders>
              <w:top w:val="nil"/>
              <w:left w:val="nil"/>
              <w:bottom w:val="single" w:sz="4" w:space="0" w:color="auto"/>
              <w:right w:val="single" w:sz="4" w:space="0" w:color="auto"/>
            </w:tcBorders>
            <w:shd w:val="clear" w:color="000000" w:fill="FFFF99"/>
            <w:noWrap/>
            <w:vAlign w:val="bottom"/>
            <w:hideMark/>
          </w:tcPr>
          <w:p w14:paraId="20EF27BB"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456" w:type="dxa"/>
            <w:tcBorders>
              <w:top w:val="nil"/>
              <w:left w:val="nil"/>
              <w:bottom w:val="single" w:sz="4" w:space="0" w:color="auto"/>
              <w:right w:val="single" w:sz="4" w:space="0" w:color="auto"/>
            </w:tcBorders>
            <w:shd w:val="clear" w:color="000000" w:fill="FFFF99"/>
            <w:noWrap/>
            <w:vAlign w:val="bottom"/>
            <w:hideMark/>
          </w:tcPr>
          <w:p w14:paraId="11D3EFBA"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422" w:type="dxa"/>
            <w:tcBorders>
              <w:top w:val="nil"/>
              <w:left w:val="nil"/>
              <w:bottom w:val="single" w:sz="4" w:space="0" w:color="auto"/>
              <w:right w:val="single" w:sz="4" w:space="0" w:color="auto"/>
            </w:tcBorders>
            <w:shd w:val="clear" w:color="000000" w:fill="FFFF99"/>
            <w:noWrap/>
            <w:vAlign w:val="bottom"/>
            <w:hideMark/>
          </w:tcPr>
          <w:p w14:paraId="0AA06E4B"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517" w:type="dxa"/>
            <w:tcBorders>
              <w:top w:val="nil"/>
              <w:left w:val="nil"/>
              <w:bottom w:val="single" w:sz="4" w:space="0" w:color="auto"/>
              <w:right w:val="single" w:sz="4" w:space="0" w:color="auto"/>
            </w:tcBorders>
            <w:shd w:val="clear" w:color="000000" w:fill="FFFF99"/>
            <w:noWrap/>
            <w:vAlign w:val="bottom"/>
            <w:hideMark/>
          </w:tcPr>
          <w:p w14:paraId="47B3DDCE"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474" w:type="dxa"/>
            <w:tcBorders>
              <w:top w:val="nil"/>
              <w:left w:val="nil"/>
              <w:bottom w:val="single" w:sz="4" w:space="0" w:color="auto"/>
              <w:right w:val="single" w:sz="4" w:space="0" w:color="auto"/>
            </w:tcBorders>
            <w:shd w:val="clear" w:color="000000" w:fill="FFFF99"/>
            <w:noWrap/>
            <w:vAlign w:val="bottom"/>
            <w:hideMark/>
          </w:tcPr>
          <w:p w14:paraId="5A510844"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577" w:type="dxa"/>
            <w:tcBorders>
              <w:top w:val="nil"/>
              <w:left w:val="nil"/>
              <w:bottom w:val="single" w:sz="4" w:space="0" w:color="auto"/>
              <w:right w:val="single" w:sz="4" w:space="0" w:color="auto"/>
            </w:tcBorders>
            <w:shd w:val="clear" w:color="000000" w:fill="FFFF99"/>
            <w:noWrap/>
            <w:vAlign w:val="bottom"/>
            <w:hideMark/>
          </w:tcPr>
          <w:p w14:paraId="71B71023"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422" w:type="dxa"/>
            <w:gridSpan w:val="2"/>
            <w:tcBorders>
              <w:top w:val="nil"/>
              <w:left w:val="nil"/>
              <w:bottom w:val="single" w:sz="4" w:space="0" w:color="auto"/>
              <w:right w:val="single" w:sz="4" w:space="0" w:color="auto"/>
            </w:tcBorders>
            <w:shd w:val="clear" w:color="000000" w:fill="FFFF99"/>
            <w:noWrap/>
            <w:vAlign w:val="bottom"/>
            <w:hideMark/>
          </w:tcPr>
          <w:p w14:paraId="16F2FD16"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320" w:type="dxa"/>
            <w:tcBorders>
              <w:top w:val="nil"/>
              <w:left w:val="nil"/>
              <w:bottom w:val="single" w:sz="4" w:space="0" w:color="auto"/>
              <w:right w:val="single" w:sz="4" w:space="0" w:color="auto"/>
            </w:tcBorders>
            <w:shd w:val="clear" w:color="000000" w:fill="FF9900"/>
            <w:noWrap/>
            <w:vAlign w:val="bottom"/>
            <w:hideMark/>
          </w:tcPr>
          <w:p w14:paraId="02E3FDE7"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1</w:t>
            </w:r>
          </w:p>
        </w:tc>
        <w:tc>
          <w:tcPr>
            <w:tcW w:w="426" w:type="dxa"/>
            <w:tcBorders>
              <w:top w:val="nil"/>
              <w:left w:val="nil"/>
              <w:bottom w:val="single" w:sz="4" w:space="0" w:color="auto"/>
              <w:right w:val="single" w:sz="4" w:space="0" w:color="auto"/>
            </w:tcBorders>
            <w:shd w:val="clear" w:color="000000" w:fill="FF9900"/>
            <w:noWrap/>
            <w:vAlign w:val="bottom"/>
            <w:hideMark/>
          </w:tcPr>
          <w:p w14:paraId="7F903046"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422" w:type="dxa"/>
            <w:tcBorders>
              <w:top w:val="nil"/>
              <w:left w:val="nil"/>
              <w:bottom w:val="single" w:sz="4" w:space="0" w:color="auto"/>
              <w:right w:val="single" w:sz="4" w:space="0" w:color="auto"/>
            </w:tcBorders>
            <w:shd w:val="clear" w:color="000000" w:fill="FF9900"/>
            <w:noWrap/>
            <w:vAlign w:val="bottom"/>
            <w:hideMark/>
          </w:tcPr>
          <w:p w14:paraId="5998F7D3"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433" w:type="dxa"/>
            <w:gridSpan w:val="2"/>
            <w:tcBorders>
              <w:top w:val="nil"/>
              <w:left w:val="nil"/>
              <w:bottom w:val="single" w:sz="4" w:space="0" w:color="auto"/>
              <w:right w:val="single" w:sz="4" w:space="0" w:color="auto"/>
            </w:tcBorders>
            <w:shd w:val="clear" w:color="auto" w:fill="auto"/>
            <w:vAlign w:val="bottom"/>
            <w:hideMark/>
          </w:tcPr>
          <w:p w14:paraId="5C6836F0" w14:textId="77777777" w:rsidR="00A72067" w:rsidRPr="00A72067" w:rsidRDefault="00A72067" w:rsidP="00A72067">
            <w:pPr>
              <w:spacing w:after="0" w:line="240" w:lineRule="auto"/>
              <w:jc w:val="right"/>
              <w:rPr>
                <w:rFonts w:ascii="Calibri" w:eastAsia="Times New Roman" w:hAnsi="Calibri" w:cs="Calibri"/>
                <w:b/>
                <w:bCs/>
                <w:sz w:val="16"/>
                <w:szCs w:val="16"/>
                <w:lang w:eastAsia="hr-HR"/>
              </w:rPr>
            </w:pPr>
            <w:r w:rsidRPr="00A72067">
              <w:rPr>
                <w:rFonts w:ascii="Calibri" w:eastAsia="Times New Roman" w:hAnsi="Calibri" w:cs="Calibri"/>
                <w:b/>
                <w:bCs/>
                <w:sz w:val="16"/>
                <w:szCs w:val="16"/>
                <w:lang w:eastAsia="hr-HR"/>
              </w:rPr>
              <w:t>1</w:t>
            </w:r>
          </w:p>
        </w:tc>
        <w:tc>
          <w:tcPr>
            <w:tcW w:w="422" w:type="dxa"/>
            <w:tcBorders>
              <w:top w:val="nil"/>
              <w:left w:val="nil"/>
              <w:bottom w:val="single" w:sz="4" w:space="0" w:color="auto"/>
              <w:right w:val="single" w:sz="4" w:space="0" w:color="auto"/>
            </w:tcBorders>
            <w:shd w:val="clear" w:color="000000" w:fill="FFFF00"/>
            <w:noWrap/>
            <w:vAlign w:val="bottom"/>
            <w:hideMark/>
          </w:tcPr>
          <w:p w14:paraId="25107480"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424" w:type="dxa"/>
            <w:tcBorders>
              <w:top w:val="nil"/>
              <w:left w:val="nil"/>
              <w:bottom w:val="single" w:sz="4" w:space="0" w:color="auto"/>
              <w:right w:val="single" w:sz="4" w:space="0" w:color="auto"/>
            </w:tcBorders>
            <w:shd w:val="clear" w:color="000000" w:fill="FFFF00"/>
            <w:noWrap/>
            <w:vAlign w:val="bottom"/>
            <w:hideMark/>
          </w:tcPr>
          <w:p w14:paraId="035207C7"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1</w:t>
            </w:r>
          </w:p>
        </w:tc>
        <w:tc>
          <w:tcPr>
            <w:tcW w:w="430" w:type="dxa"/>
            <w:tcBorders>
              <w:top w:val="nil"/>
              <w:left w:val="nil"/>
              <w:bottom w:val="single" w:sz="4" w:space="0" w:color="auto"/>
              <w:right w:val="single" w:sz="4" w:space="0" w:color="auto"/>
            </w:tcBorders>
            <w:shd w:val="clear" w:color="000000" w:fill="FFFF00"/>
            <w:noWrap/>
            <w:vAlign w:val="bottom"/>
            <w:hideMark/>
          </w:tcPr>
          <w:p w14:paraId="7D011663"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424" w:type="dxa"/>
            <w:tcBorders>
              <w:top w:val="nil"/>
              <w:left w:val="nil"/>
              <w:bottom w:val="single" w:sz="4" w:space="0" w:color="auto"/>
              <w:right w:val="single" w:sz="4" w:space="0" w:color="auto"/>
            </w:tcBorders>
            <w:shd w:val="clear" w:color="auto" w:fill="auto"/>
            <w:vAlign w:val="bottom"/>
            <w:hideMark/>
          </w:tcPr>
          <w:p w14:paraId="2DC4BD8B" w14:textId="77777777" w:rsidR="00A72067" w:rsidRPr="00A72067" w:rsidRDefault="00A72067" w:rsidP="00A72067">
            <w:pPr>
              <w:spacing w:after="0" w:line="240" w:lineRule="auto"/>
              <w:jc w:val="right"/>
              <w:rPr>
                <w:rFonts w:ascii="Calibri" w:eastAsia="Times New Roman" w:hAnsi="Calibri" w:cs="Calibri"/>
                <w:b/>
                <w:bCs/>
                <w:sz w:val="16"/>
                <w:szCs w:val="16"/>
                <w:lang w:eastAsia="hr-HR"/>
              </w:rPr>
            </w:pPr>
            <w:r w:rsidRPr="00A72067">
              <w:rPr>
                <w:rFonts w:ascii="Calibri" w:eastAsia="Times New Roman" w:hAnsi="Calibri" w:cs="Calibri"/>
                <w:b/>
                <w:bCs/>
                <w:sz w:val="16"/>
                <w:szCs w:val="16"/>
                <w:lang w:eastAsia="hr-HR"/>
              </w:rPr>
              <w:t>1</w:t>
            </w:r>
          </w:p>
        </w:tc>
        <w:tc>
          <w:tcPr>
            <w:tcW w:w="570" w:type="dxa"/>
            <w:tcBorders>
              <w:top w:val="nil"/>
              <w:left w:val="nil"/>
              <w:bottom w:val="single" w:sz="4" w:space="0" w:color="auto"/>
              <w:right w:val="single" w:sz="4" w:space="0" w:color="auto"/>
            </w:tcBorders>
            <w:shd w:val="clear" w:color="000000" w:fill="FFFF00"/>
            <w:vAlign w:val="bottom"/>
            <w:hideMark/>
          </w:tcPr>
          <w:p w14:paraId="6FA8455A" w14:textId="77777777" w:rsidR="00A72067" w:rsidRPr="00A72067" w:rsidRDefault="00A72067" w:rsidP="00A72067">
            <w:pPr>
              <w:spacing w:after="0" w:line="240" w:lineRule="auto"/>
              <w:jc w:val="right"/>
              <w:rPr>
                <w:rFonts w:ascii="Calibri" w:eastAsia="Times New Roman" w:hAnsi="Calibri" w:cs="Calibri"/>
                <w:b/>
                <w:bCs/>
                <w:sz w:val="16"/>
                <w:szCs w:val="16"/>
                <w:lang w:eastAsia="hr-HR"/>
              </w:rPr>
            </w:pPr>
            <w:r w:rsidRPr="00A72067">
              <w:rPr>
                <w:rFonts w:ascii="Calibri" w:eastAsia="Times New Roman" w:hAnsi="Calibri" w:cs="Calibri"/>
                <w:b/>
                <w:bCs/>
                <w:sz w:val="16"/>
                <w:szCs w:val="16"/>
                <w:lang w:eastAsia="hr-HR"/>
              </w:rPr>
              <w:t>0</w:t>
            </w:r>
          </w:p>
        </w:tc>
        <w:tc>
          <w:tcPr>
            <w:tcW w:w="424" w:type="dxa"/>
            <w:gridSpan w:val="2"/>
            <w:tcBorders>
              <w:top w:val="nil"/>
              <w:left w:val="nil"/>
              <w:bottom w:val="single" w:sz="4" w:space="0" w:color="auto"/>
              <w:right w:val="single" w:sz="4" w:space="0" w:color="auto"/>
            </w:tcBorders>
            <w:shd w:val="clear" w:color="000000" w:fill="FF9900"/>
            <w:noWrap/>
            <w:vAlign w:val="bottom"/>
            <w:hideMark/>
          </w:tcPr>
          <w:p w14:paraId="25796EF4"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1</w:t>
            </w:r>
          </w:p>
        </w:tc>
        <w:tc>
          <w:tcPr>
            <w:tcW w:w="521" w:type="dxa"/>
            <w:gridSpan w:val="2"/>
            <w:tcBorders>
              <w:top w:val="nil"/>
              <w:left w:val="nil"/>
              <w:bottom w:val="single" w:sz="4" w:space="0" w:color="auto"/>
              <w:right w:val="single" w:sz="4" w:space="0" w:color="auto"/>
            </w:tcBorders>
            <w:shd w:val="clear" w:color="000000" w:fill="CCFFFF"/>
            <w:noWrap/>
            <w:vAlign w:val="bottom"/>
            <w:hideMark/>
          </w:tcPr>
          <w:p w14:paraId="3EA257CA"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420" w:type="dxa"/>
            <w:tcBorders>
              <w:top w:val="nil"/>
              <w:left w:val="nil"/>
              <w:bottom w:val="single" w:sz="4" w:space="0" w:color="auto"/>
              <w:right w:val="single" w:sz="4" w:space="0" w:color="auto"/>
            </w:tcBorders>
            <w:shd w:val="clear" w:color="000000" w:fill="CCFFFF"/>
            <w:noWrap/>
            <w:vAlign w:val="bottom"/>
            <w:hideMark/>
          </w:tcPr>
          <w:p w14:paraId="750EAF5B"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406" w:type="dxa"/>
            <w:tcBorders>
              <w:top w:val="nil"/>
              <w:left w:val="nil"/>
              <w:bottom w:val="single" w:sz="4" w:space="0" w:color="auto"/>
              <w:right w:val="single" w:sz="4" w:space="0" w:color="auto"/>
            </w:tcBorders>
            <w:shd w:val="clear" w:color="000000" w:fill="CCFFFF"/>
            <w:noWrap/>
            <w:vAlign w:val="bottom"/>
            <w:hideMark/>
          </w:tcPr>
          <w:p w14:paraId="4F6A2121"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1</w:t>
            </w:r>
          </w:p>
        </w:tc>
        <w:tc>
          <w:tcPr>
            <w:tcW w:w="469" w:type="dxa"/>
            <w:gridSpan w:val="2"/>
            <w:tcBorders>
              <w:top w:val="nil"/>
              <w:left w:val="nil"/>
              <w:bottom w:val="single" w:sz="4" w:space="0" w:color="auto"/>
              <w:right w:val="nil"/>
            </w:tcBorders>
            <w:shd w:val="clear" w:color="000000" w:fill="33CCCC"/>
            <w:noWrap/>
            <w:vAlign w:val="bottom"/>
            <w:hideMark/>
          </w:tcPr>
          <w:p w14:paraId="3585DE8F"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1</w:t>
            </w:r>
          </w:p>
        </w:tc>
        <w:tc>
          <w:tcPr>
            <w:tcW w:w="362" w:type="dxa"/>
            <w:tcBorders>
              <w:top w:val="nil"/>
              <w:left w:val="single" w:sz="4" w:space="0" w:color="auto"/>
              <w:bottom w:val="single" w:sz="4" w:space="0" w:color="auto"/>
              <w:right w:val="single" w:sz="8" w:space="0" w:color="auto"/>
            </w:tcBorders>
            <w:shd w:val="clear" w:color="000000" w:fill="33CCCC"/>
            <w:noWrap/>
            <w:vAlign w:val="bottom"/>
            <w:hideMark/>
          </w:tcPr>
          <w:p w14:paraId="6BB7D92E"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236" w:type="dxa"/>
            <w:gridSpan w:val="3"/>
            <w:vAlign w:val="center"/>
            <w:hideMark/>
          </w:tcPr>
          <w:p w14:paraId="0713B3A0" w14:textId="77777777" w:rsidR="00A72067" w:rsidRPr="00A72067" w:rsidRDefault="00A72067" w:rsidP="00A72067">
            <w:pPr>
              <w:spacing w:after="0" w:line="240" w:lineRule="auto"/>
              <w:rPr>
                <w:rFonts w:ascii="Times New Roman" w:eastAsia="Times New Roman" w:hAnsi="Times New Roman" w:cs="Times New Roman"/>
                <w:sz w:val="16"/>
                <w:szCs w:val="16"/>
                <w:lang w:eastAsia="hr-HR"/>
              </w:rPr>
            </w:pPr>
          </w:p>
        </w:tc>
      </w:tr>
      <w:tr w:rsidR="00A72067" w:rsidRPr="00A72067" w14:paraId="7179C9C2" w14:textId="77777777" w:rsidTr="00A72067">
        <w:trPr>
          <w:gridAfter w:val="2"/>
          <w:wAfter w:w="104" w:type="dxa"/>
          <w:trHeight w:val="402"/>
        </w:trPr>
        <w:tc>
          <w:tcPr>
            <w:tcW w:w="1286" w:type="dxa"/>
            <w:tcBorders>
              <w:top w:val="nil"/>
              <w:left w:val="single" w:sz="8" w:space="0" w:color="auto"/>
              <w:bottom w:val="single" w:sz="4" w:space="0" w:color="auto"/>
              <w:right w:val="single" w:sz="4" w:space="0" w:color="auto"/>
            </w:tcBorders>
            <w:shd w:val="clear" w:color="000000" w:fill="CCFFCC"/>
            <w:vAlign w:val="center"/>
            <w:hideMark/>
          </w:tcPr>
          <w:p w14:paraId="0D1168A9" w14:textId="77777777" w:rsidR="00A72067" w:rsidRPr="00A72067" w:rsidRDefault="00A72067" w:rsidP="00A72067">
            <w:pPr>
              <w:spacing w:after="0" w:line="240" w:lineRule="auto"/>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Imovina</w:t>
            </w:r>
          </w:p>
        </w:tc>
        <w:tc>
          <w:tcPr>
            <w:tcW w:w="561" w:type="dxa"/>
            <w:tcBorders>
              <w:top w:val="nil"/>
              <w:left w:val="nil"/>
              <w:bottom w:val="single" w:sz="4" w:space="0" w:color="auto"/>
              <w:right w:val="single" w:sz="4" w:space="0" w:color="auto"/>
            </w:tcBorders>
            <w:shd w:val="clear" w:color="000000" w:fill="FFFF00"/>
            <w:vAlign w:val="bottom"/>
            <w:hideMark/>
          </w:tcPr>
          <w:p w14:paraId="6FE8C607" w14:textId="77777777" w:rsidR="00A72067" w:rsidRPr="00A72067" w:rsidRDefault="00A72067" w:rsidP="00A72067">
            <w:pPr>
              <w:spacing w:after="0" w:line="240" w:lineRule="auto"/>
              <w:jc w:val="right"/>
              <w:rPr>
                <w:rFonts w:ascii="Calibri" w:eastAsia="Times New Roman" w:hAnsi="Calibri" w:cs="Calibri"/>
                <w:b/>
                <w:bCs/>
                <w:sz w:val="16"/>
                <w:szCs w:val="16"/>
                <w:lang w:eastAsia="hr-HR"/>
              </w:rPr>
            </w:pPr>
            <w:r w:rsidRPr="00A72067">
              <w:rPr>
                <w:rFonts w:ascii="Calibri" w:eastAsia="Times New Roman" w:hAnsi="Calibri" w:cs="Calibri"/>
                <w:b/>
                <w:bCs/>
                <w:sz w:val="16"/>
                <w:szCs w:val="16"/>
                <w:lang w:eastAsia="hr-HR"/>
              </w:rPr>
              <w:t>0</w:t>
            </w:r>
          </w:p>
        </w:tc>
        <w:tc>
          <w:tcPr>
            <w:tcW w:w="451" w:type="dxa"/>
            <w:tcBorders>
              <w:top w:val="nil"/>
              <w:left w:val="nil"/>
              <w:bottom w:val="single" w:sz="4" w:space="0" w:color="auto"/>
              <w:right w:val="single" w:sz="4" w:space="0" w:color="auto"/>
            </w:tcBorders>
            <w:shd w:val="clear" w:color="000000" w:fill="FFCC99"/>
            <w:noWrap/>
            <w:vAlign w:val="bottom"/>
            <w:hideMark/>
          </w:tcPr>
          <w:p w14:paraId="5001E1F1"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382" w:type="dxa"/>
            <w:tcBorders>
              <w:top w:val="nil"/>
              <w:left w:val="nil"/>
              <w:bottom w:val="single" w:sz="4" w:space="0" w:color="auto"/>
              <w:right w:val="single" w:sz="4" w:space="0" w:color="auto"/>
            </w:tcBorders>
            <w:shd w:val="clear" w:color="000000" w:fill="CCFFFF"/>
            <w:vAlign w:val="bottom"/>
            <w:hideMark/>
          </w:tcPr>
          <w:p w14:paraId="7345CDDD"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427" w:type="dxa"/>
            <w:tcBorders>
              <w:top w:val="nil"/>
              <w:left w:val="nil"/>
              <w:bottom w:val="single" w:sz="4" w:space="0" w:color="auto"/>
              <w:right w:val="single" w:sz="4" w:space="0" w:color="auto"/>
            </w:tcBorders>
            <w:shd w:val="clear" w:color="000000" w:fill="CCFFFF"/>
            <w:vAlign w:val="bottom"/>
            <w:hideMark/>
          </w:tcPr>
          <w:p w14:paraId="57F78607"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559" w:type="dxa"/>
            <w:tcBorders>
              <w:top w:val="nil"/>
              <w:left w:val="nil"/>
              <w:bottom w:val="single" w:sz="4" w:space="0" w:color="auto"/>
              <w:right w:val="single" w:sz="4" w:space="0" w:color="auto"/>
            </w:tcBorders>
            <w:shd w:val="clear" w:color="000000" w:fill="FFFF99"/>
            <w:noWrap/>
            <w:vAlign w:val="bottom"/>
            <w:hideMark/>
          </w:tcPr>
          <w:p w14:paraId="4DDDA65D"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424" w:type="dxa"/>
            <w:tcBorders>
              <w:top w:val="nil"/>
              <w:left w:val="nil"/>
              <w:bottom w:val="single" w:sz="4" w:space="0" w:color="auto"/>
              <w:right w:val="single" w:sz="4" w:space="0" w:color="auto"/>
            </w:tcBorders>
            <w:shd w:val="clear" w:color="000000" w:fill="FFFF99"/>
            <w:noWrap/>
            <w:vAlign w:val="bottom"/>
            <w:hideMark/>
          </w:tcPr>
          <w:p w14:paraId="4B44263C"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816" w:type="dxa"/>
            <w:tcBorders>
              <w:top w:val="nil"/>
              <w:left w:val="nil"/>
              <w:bottom w:val="single" w:sz="4" w:space="0" w:color="auto"/>
              <w:right w:val="single" w:sz="4" w:space="0" w:color="auto"/>
            </w:tcBorders>
            <w:shd w:val="clear" w:color="000000" w:fill="FFFF99"/>
            <w:noWrap/>
            <w:vAlign w:val="bottom"/>
            <w:hideMark/>
          </w:tcPr>
          <w:p w14:paraId="107BAD95"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422" w:type="dxa"/>
            <w:tcBorders>
              <w:top w:val="nil"/>
              <w:left w:val="nil"/>
              <w:bottom w:val="single" w:sz="4" w:space="0" w:color="auto"/>
              <w:right w:val="single" w:sz="4" w:space="0" w:color="auto"/>
            </w:tcBorders>
            <w:shd w:val="clear" w:color="000000" w:fill="FFFF99"/>
            <w:noWrap/>
            <w:vAlign w:val="bottom"/>
            <w:hideMark/>
          </w:tcPr>
          <w:p w14:paraId="73BEE22D"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456" w:type="dxa"/>
            <w:tcBorders>
              <w:top w:val="nil"/>
              <w:left w:val="nil"/>
              <w:bottom w:val="single" w:sz="4" w:space="0" w:color="auto"/>
              <w:right w:val="single" w:sz="4" w:space="0" w:color="auto"/>
            </w:tcBorders>
            <w:shd w:val="clear" w:color="000000" w:fill="FFFF99"/>
            <w:noWrap/>
            <w:vAlign w:val="bottom"/>
            <w:hideMark/>
          </w:tcPr>
          <w:p w14:paraId="7CF7C943"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422" w:type="dxa"/>
            <w:tcBorders>
              <w:top w:val="nil"/>
              <w:left w:val="nil"/>
              <w:bottom w:val="single" w:sz="4" w:space="0" w:color="auto"/>
              <w:right w:val="single" w:sz="4" w:space="0" w:color="auto"/>
            </w:tcBorders>
            <w:shd w:val="clear" w:color="000000" w:fill="FFFF99"/>
            <w:noWrap/>
            <w:vAlign w:val="bottom"/>
            <w:hideMark/>
          </w:tcPr>
          <w:p w14:paraId="48F1055A"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517" w:type="dxa"/>
            <w:tcBorders>
              <w:top w:val="nil"/>
              <w:left w:val="nil"/>
              <w:bottom w:val="single" w:sz="4" w:space="0" w:color="auto"/>
              <w:right w:val="single" w:sz="4" w:space="0" w:color="auto"/>
            </w:tcBorders>
            <w:shd w:val="clear" w:color="000000" w:fill="FFFF99"/>
            <w:noWrap/>
            <w:vAlign w:val="bottom"/>
            <w:hideMark/>
          </w:tcPr>
          <w:p w14:paraId="61672AD4"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474" w:type="dxa"/>
            <w:tcBorders>
              <w:top w:val="nil"/>
              <w:left w:val="nil"/>
              <w:bottom w:val="single" w:sz="4" w:space="0" w:color="auto"/>
              <w:right w:val="single" w:sz="4" w:space="0" w:color="auto"/>
            </w:tcBorders>
            <w:shd w:val="clear" w:color="000000" w:fill="FFFF99"/>
            <w:noWrap/>
            <w:vAlign w:val="bottom"/>
            <w:hideMark/>
          </w:tcPr>
          <w:p w14:paraId="4DE2FEC0"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577" w:type="dxa"/>
            <w:tcBorders>
              <w:top w:val="nil"/>
              <w:left w:val="nil"/>
              <w:bottom w:val="single" w:sz="4" w:space="0" w:color="auto"/>
              <w:right w:val="single" w:sz="4" w:space="0" w:color="auto"/>
            </w:tcBorders>
            <w:shd w:val="clear" w:color="000000" w:fill="FFFF99"/>
            <w:noWrap/>
            <w:vAlign w:val="bottom"/>
            <w:hideMark/>
          </w:tcPr>
          <w:p w14:paraId="1853EFA2"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422" w:type="dxa"/>
            <w:gridSpan w:val="2"/>
            <w:tcBorders>
              <w:top w:val="nil"/>
              <w:left w:val="nil"/>
              <w:bottom w:val="single" w:sz="4" w:space="0" w:color="auto"/>
              <w:right w:val="single" w:sz="4" w:space="0" w:color="auto"/>
            </w:tcBorders>
            <w:shd w:val="clear" w:color="000000" w:fill="FFFF99"/>
            <w:noWrap/>
            <w:vAlign w:val="bottom"/>
            <w:hideMark/>
          </w:tcPr>
          <w:p w14:paraId="671CD232"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320" w:type="dxa"/>
            <w:tcBorders>
              <w:top w:val="nil"/>
              <w:left w:val="nil"/>
              <w:bottom w:val="single" w:sz="4" w:space="0" w:color="auto"/>
              <w:right w:val="single" w:sz="4" w:space="0" w:color="auto"/>
            </w:tcBorders>
            <w:shd w:val="clear" w:color="000000" w:fill="FF9900"/>
            <w:noWrap/>
            <w:vAlign w:val="bottom"/>
            <w:hideMark/>
          </w:tcPr>
          <w:p w14:paraId="57B8B8C8"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426" w:type="dxa"/>
            <w:tcBorders>
              <w:top w:val="nil"/>
              <w:left w:val="nil"/>
              <w:bottom w:val="single" w:sz="4" w:space="0" w:color="auto"/>
              <w:right w:val="single" w:sz="4" w:space="0" w:color="auto"/>
            </w:tcBorders>
            <w:shd w:val="clear" w:color="000000" w:fill="FF9900"/>
            <w:noWrap/>
            <w:vAlign w:val="bottom"/>
            <w:hideMark/>
          </w:tcPr>
          <w:p w14:paraId="6495AAB8"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422" w:type="dxa"/>
            <w:tcBorders>
              <w:top w:val="nil"/>
              <w:left w:val="nil"/>
              <w:bottom w:val="single" w:sz="4" w:space="0" w:color="auto"/>
              <w:right w:val="single" w:sz="4" w:space="0" w:color="auto"/>
            </w:tcBorders>
            <w:shd w:val="clear" w:color="000000" w:fill="FF9900"/>
            <w:noWrap/>
            <w:vAlign w:val="bottom"/>
            <w:hideMark/>
          </w:tcPr>
          <w:p w14:paraId="5CC33B6B"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433" w:type="dxa"/>
            <w:gridSpan w:val="2"/>
            <w:tcBorders>
              <w:top w:val="nil"/>
              <w:left w:val="nil"/>
              <w:bottom w:val="single" w:sz="4" w:space="0" w:color="auto"/>
              <w:right w:val="single" w:sz="4" w:space="0" w:color="auto"/>
            </w:tcBorders>
            <w:shd w:val="clear" w:color="auto" w:fill="auto"/>
            <w:vAlign w:val="bottom"/>
            <w:hideMark/>
          </w:tcPr>
          <w:p w14:paraId="48CB6B43" w14:textId="77777777" w:rsidR="00A72067" w:rsidRPr="00A72067" w:rsidRDefault="00A72067" w:rsidP="00A72067">
            <w:pPr>
              <w:spacing w:after="0" w:line="240" w:lineRule="auto"/>
              <w:jc w:val="right"/>
              <w:rPr>
                <w:rFonts w:ascii="Calibri" w:eastAsia="Times New Roman" w:hAnsi="Calibri" w:cs="Calibri"/>
                <w:b/>
                <w:bCs/>
                <w:sz w:val="16"/>
                <w:szCs w:val="16"/>
                <w:lang w:eastAsia="hr-HR"/>
              </w:rPr>
            </w:pPr>
            <w:r w:rsidRPr="00A72067">
              <w:rPr>
                <w:rFonts w:ascii="Calibri" w:eastAsia="Times New Roman" w:hAnsi="Calibri" w:cs="Calibri"/>
                <w:b/>
                <w:bCs/>
                <w:sz w:val="16"/>
                <w:szCs w:val="16"/>
                <w:lang w:eastAsia="hr-HR"/>
              </w:rPr>
              <w:t>0</w:t>
            </w:r>
          </w:p>
        </w:tc>
        <w:tc>
          <w:tcPr>
            <w:tcW w:w="422" w:type="dxa"/>
            <w:tcBorders>
              <w:top w:val="nil"/>
              <w:left w:val="nil"/>
              <w:bottom w:val="single" w:sz="4" w:space="0" w:color="auto"/>
              <w:right w:val="single" w:sz="4" w:space="0" w:color="auto"/>
            </w:tcBorders>
            <w:shd w:val="clear" w:color="000000" w:fill="FFFF00"/>
            <w:noWrap/>
            <w:vAlign w:val="bottom"/>
            <w:hideMark/>
          </w:tcPr>
          <w:p w14:paraId="3EDEB8B0"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424" w:type="dxa"/>
            <w:tcBorders>
              <w:top w:val="nil"/>
              <w:left w:val="nil"/>
              <w:bottom w:val="single" w:sz="4" w:space="0" w:color="auto"/>
              <w:right w:val="single" w:sz="4" w:space="0" w:color="auto"/>
            </w:tcBorders>
            <w:shd w:val="clear" w:color="000000" w:fill="FFFF00"/>
            <w:noWrap/>
            <w:vAlign w:val="bottom"/>
            <w:hideMark/>
          </w:tcPr>
          <w:p w14:paraId="01601F7E"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430" w:type="dxa"/>
            <w:tcBorders>
              <w:top w:val="nil"/>
              <w:left w:val="nil"/>
              <w:bottom w:val="single" w:sz="4" w:space="0" w:color="auto"/>
              <w:right w:val="single" w:sz="4" w:space="0" w:color="auto"/>
            </w:tcBorders>
            <w:shd w:val="clear" w:color="000000" w:fill="FFFF00"/>
            <w:noWrap/>
            <w:vAlign w:val="bottom"/>
            <w:hideMark/>
          </w:tcPr>
          <w:p w14:paraId="5FA4D94C"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424" w:type="dxa"/>
            <w:tcBorders>
              <w:top w:val="nil"/>
              <w:left w:val="nil"/>
              <w:bottom w:val="single" w:sz="4" w:space="0" w:color="auto"/>
              <w:right w:val="single" w:sz="4" w:space="0" w:color="auto"/>
            </w:tcBorders>
            <w:shd w:val="clear" w:color="auto" w:fill="auto"/>
            <w:vAlign w:val="bottom"/>
            <w:hideMark/>
          </w:tcPr>
          <w:p w14:paraId="52311F1D" w14:textId="77777777" w:rsidR="00A72067" w:rsidRPr="00A72067" w:rsidRDefault="00A72067" w:rsidP="00A72067">
            <w:pPr>
              <w:spacing w:after="0" w:line="240" w:lineRule="auto"/>
              <w:jc w:val="right"/>
              <w:rPr>
                <w:rFonts w:ascii="Calibri" w:eastAsia="Times New Roman" w:hAnsi="Calibri" w:cs="Calibri"/>
                <w:b/>
                <w:bCs/>
                <w:sz w:val="16"/>
                <w:szCs w:val="16"/>
                <w:lang w:eastAsia="hr-HR"/>
              </w:rPr>
            </w:pPr>
            <w:r w:rsidRPr="00A72067">
              <w:rPr>
                <w:rFonts w:ascii="Calibri" w:eastAsia="Times New Roman" w:hAnsi="Calibri" w:cs="Calibri"/>
                <w:b/>
                <w:bCs/>
                <w:sz w:val="16"/>
                <w:szCs w:val="16"/>
                <w:lang w:eastAsia="hr-HR"/>
              </w:rPr>
              <w:t>0</w:t>
            </w:r>
          </w:p>
        </w:tc>
        <w:tc>
          <w:tcPr>
            <w:tcW w:w="570" w:type="dxa"/>
            <w:tcBorders>
              <w:top w:val="nil"/>
              <w:left w:val="nil"/>
              <w:bottom w:val="single" w:sz="4" w:space="0" w:color="auto"/>
              <w:right w:val="single" w:sz="4" w:space="0" w:color="auto"/>
            </w:tcBorders>
            <w:shd w:val="clear" w:color="000000" w:fill="FFFF00"/>
            <w:vAlign w:val="bottom"/>
            <w:hideMark/>
          </w:tcPr>
          <w:p w14:paraId="41836D0F" w14:textId="77777777" w:rsidR="00A72067" w:rsidRPr="00A72067" w:rsidRDefault="00A72067" w:rsidP="00A72067">
            <w:pPr>
              <w:spacing w:after="0" w:line="240" w:lineRule="auto"/>
              <w:jc w:val="right"/>
              <w:rPr>
                <w:rFonts w:ascii="Calibri" w:eastAsia="Times New Roman" w:hAnsi="Calibri" w:cs="Calibri"/>
                <w:b/>
                <w:bCs/>
                <w:sz w:val="16"/>
                <w:szCs w:val="16"/>
                <w:lang w:eastAsia="hr-HR"/>
              </w:rPr>
            </w:pPr>
            <w:r w:rsidRPr="00A72067">
              <w:rPr>
                <w:rFonts w:ascii="Calibri" w:eastAsia="Times New Roman" w:hAnsi="Calibri" w:cs="Calibri"/>
                <w:b/>
                <w:bCs/>
                <w:sz w:val="16"/>
                <w:szCs w:val="16"/>
                <w:lang w:eastAsia="hr-HR"/>
              </w:rPr>
              <w:t>0</w:t>
            </w:r>
          </w:p>
        </w:tc>
        <w:tc>
          <w:tcPr>
            <w:tcW w:w="424" w:type="dxa"/>
            <w:gridSpan w:val="2"/>
            <w:tcBorders>
              <w:top w:val="nil"/>
              <w:left w:val="nil"/>
              <w:bottom w:val="single" w:sz="4" w:space="0" w:color="auto"/>
              <w:right w:val="single" w:sz="4" w:space="0" w:color="auto"/>
            </w:tcBorders>
            <w:shd w:val="clear" w:color="000000" w:fill="FF9900"/>
            <w:noWrap/>
            <w:vAlign w:val="bottom"/>
            <w:hideMark/>
          </w:tcPr>
          <w:p w14:paraId="69FBA3E6"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521" w:type="dxa"/>
            <w:gridSpan w:val="2"/>
            <w:tcBorders>
              <w:top w:val="nil"/>
              <w:left w:val="nil"/>
              <w:bottom w:val="single" w:sz="4" w:space="0" w:color="auto"/>
              <w:right w:val="single" w:sz="4" w:space="0" w:color="auto"/>
            </w:tcBorders>
            <w:shd w:val="clear" w:color="000000" w:fill="CCFFFF"/>
            <w:noWrap/>
            <w:vAlign w:val="bottom"/>
            <w:hideMark/>
          </w:tcPr>
          <w:p w14:paraId="75CBAB62"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420" w:type="dxa"/>
            <w:tcBorders>
              <w:top w:val="nil"/>
              <w:left w:val="nil"/>
              <w:bottom w:val="single" w:sz="4" w:space="0" w:color="auto"/>
              <w:right w:val="single" w:sz="4" w:space="0" w:color="auto"/>
            </w:tcBorders>
            <w:shd w:val="clear" w:color="000000" w:fill="CCFFFF"/>
            <w:noWrap/>
            <w:vAlign w:val="bottom"/>
            <w:hideMark/>
          </w:tcPr>
          <w:p w14:paraId="217ABFF8"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406" w:type="dxa"/>
            <w:tcBorders>
              <w:top w:val="nil"/>
              <w:left w:val="nil"/>
              <w:bottom w:val="single" w:sz="4" w:space="0" w:color="auto"/>
              <w:right w:val="single" w:sz="4" w:space="0" w:color="auto"/>
            </w:tcBorders>
            <w:shd w:val="clear" w:color="000000" w:fill="CCFFFF"/>
            <w:noWrap/>
            <w:vAlign w:val="bottom"/>
            <w:hideMark/>
          </w:tcPr>
          <w:p w14:paraId="7D236030"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469" w:type="dxa"/>
            <w:gridSpan w:val="2"/>
            <w:tcBorders>
              <w:top w:val="nil"/>
              <w:left w:val="nil"/>
              <w:bottom w:val="single" w:sz="4" w:space="0" w:color="auto"/>
              <w:right w:val="nil"/>
            </w:tcBorders>
            <w:shd w:val="clear" w:color="000000" w:fill="33CCCC"/>
            <w:noWrap/>
            <w:vAlign w:val="bottom"/>
            <w:hideMark/>
          </w:tcPr>
          <w:p w14:paraId="512DFC22"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362" w:type="dxa"/>
            <w:tcBorders>
              <w:top w:val="nil"/>
              <w:left w:val="single" w:sz="4" w:space="0" w:color="auto"/>
              <w:bottom w:val="single" w:sz="4" w:space="0" w:color="auto"/>
              <w:right w:val="single" w:sz="8" w:space="0" w:color="auto"/>
            </w:tcBorders>
            <w:shd w:val="clear" w:color="000000" w:fill="33CCCC"/>
            <w:noWrap/>
            <w:vAlign w:val="bottom"/>
            <w:hideMark/>
          </w:tcPr>
          <w:p w14:paraId="6C2E975D"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236" w:type="dxa"/>
            <w:gridSpan w:val="3"/>
            <w:vAlign w:val="center"/>
            <w:hideMark/>
          </w:tcPr>
          <w:p w14:paraId="5271C405" w14:textId="77777777" w:rsidR="00A72067" w:rsidRPr="00A72067" w:rsidRDefault="00A72067" w:rsidP="00A72067">
            <w:pPr>
              <w:spacing w:after="0" w:line="240" w:lineRule="auto"/>
              <w:rPr>
                <w:rFonts w:ascii="Times New Roman" w:eastAsia="Times New Roman" w:hAnsi="Times New Roman" w:cs="Times New Roman"/>
                <w:sz w:val="16"/>
                <w:szCs w:val="16"/>
                <w:lang w:eastAsia="hr-HR"/>
              </w:rPr>
            </w:pPr>
          </w:p>
        </w:tc>
      </w:tr>
      <w:tr w:rsidR="00A72067" w:rsidRPr="00A72067" w14:paraId="6BCB6387" w14:textId="77777777" w:rsidTr="00A72067">
        <w:trPr>
          <w:gridAfter w:val="2"/>
          <w:wAfter w:w="104" w:type="dxa"/>
          <w:trHeight w:val="402"/>
        </w:trPr>
        <w:tc>
          <w:tcPr>
            <w:tcW w:w="1286" w:type="dxa"/>
            <w:tcBorders>
              <w:top w:val="nil"/>
              <w:left w:val="single" w:sz="8" w:space="0" w:color="auto"/>
              <w:bottom w:val="single" w:sz="4" w:space="0" w:color="auto"/>
              <w:right w:val="single" w:sz="4" w:space="0" w:color="auto"/>
            </w:tcBorders>
            <w:shd w:val="clear" w:color="000000" w:fill="CCFFCC"/>
            <w:vAlign w:val="center"/>
            <w:hideMark/>
          </w:tcPr>
          <w:p w14:paraId="683DFE6D" w14:textId="77777777" w:rsidR="00A72067" w:rsidRPr="00A72067" w:rsidRDefault="00A72067" w:rsidP="00A72067">
            <w:pPr>
              <w:spacing w:after="0" w:line="240" w:lineRule="auto"/>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Rođenje</w:t>
            </w:r>
          </w:p>
        </w:tc>
        <w:tc>
          <w:tcPr>
            <w:tcW w:w="561" w:type="dxa"/>
            <w:tcBorders>
              <w:top w:val="nil"/>
              <w:left w:val="nil"/>
              <w:bottom w:val="single" w:sz="4" w:space="0" w:color="auto"/>
              <w:right w:val="single" w:sz="4" w:space="0" w:color="auto"/>
            </w:tcBorders>
            <w:shd w:val="clear" w:color="000000" w:fill="FFFF00"/>
            <w:vAlign w:val="bottom"/>
            <w:hideMark/>
          </w:tcPr>
          <w:p w14:paraId="2D568B9E" w14:textId="77777777" w:rsidR="00A72067" w:rsidRPr="00A72067" w:rsidRDefault="00A72067" w:rsidP="00A72067">
            <w:pPr>
              <w:spacing w:after="0" w:line="240" w:lineRule="auto"/>
              <w:jc w:val="right"/>
              <w:rPr>
                <w:rFonts w:ascii="Calibri" w:eastAsia="Times New Roman" w:hAnsi="Calibri" w:cs="Calibri"/>
                <w:b/>
                <w:bCs/>
                <w:sz w:val="16"/>
                <w:szCs w:val="16"/>
                <w:lang w:eastAsia="hr-HR"/>
              </w:rPr>
            </w:pPr>
            <w:r w:rsidRPr="00A72067">
              <w:rPr>
                <w:rFonts w:ascii="Calibri" w:eastAsia="Times New Roman" w:hAnsi="Calibri" w:cs="Calibri"/>
                <w:b/>
                <w:bCs/>
                <w:sz w:val="16"/>
                <w:szCs w:val="16"/>
                <w:lang w:eastAsia="hr-HR"/>
              </w:rPr>
              <w:t>0</w:t>
            </w:r>
          </w:p>
        </w:tc>
        <w:tc>
          <w:tcPr>
            <w:tcW w:w="451" w:type="dxa"/>
            <w:tcBorders>
              <w:top w:val="nil"/>
              <w:left w:val="nil"/>
              <w:bottom w:val="single" w:sz="4" w:space="0" w:color="auto"/>
              <w:right w:val="single" w:sz="4" w:space="0" w:color="auto"/>
            </w:tcBorders>
            <w:shd w:val="clear" w:color="000000" w:fill="FFCC99"/>
            <w:noWrap/>
            <w:vAlign w:val="bottom"/>
            <w:hideMark/>
          </w:tcPr>
          <w:p w14:paraId="6C36F514"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382" w:type="dxa"/>
            <w:tcBorders>
              <w:top w:val="nil"/>
              <w:left w:val="nil"/>
              <w:bottom w:val="single" w:sz="4" w:space="0" w:color="auto"/>
              <w:right w:val="single" w:sz="4" w:space="0" w:color="auto"/>
            </w:tcBorders>
            <w:shd w:val="clear" w:color="000000" w:fill="CCFFFF"/>
            <w:vAlign w:val="bottom"/>
            <w:hideMark/>
          </w:tcPr>
          <w:p w14:paraId="1364E173"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427" w:type="dxa"/>
            <w:tcBorders>
              <w:top w:val="nil"/>
              <w:left w:val="nil"/>
              <w:bottom w:val="single" w:sz="4" w:space="0" w:color="auto"/>
              <w:right w:val="single" w:sz="4" w:space="0" w:color="auto"/>
            </w:tcBorders>
            <w:shd w:val="clear" w:color="000000" w:fill="CCFFFF"/>
            <w:vAlign w:val="bottom"/>
            <w:hideMark/>
          </w:tcPr>
          <w:p w14:paraId="2029C2E2"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559" w:type="dxa"/>
            <w:tcBorders>
              <w:top w:val="nil"/>
              <w:left w:val="nil"/>
              <w:bottom w:val="single" w:sz="4" w:space="0" w:color="auto"/>
              <w:right w:val="single" w:sz="4" w:space="0" w:color="auto"/>
            </w:tcBorders>
            <w:shd w:val="clear" w:color="000000" w:fill="FFFF99"/>
            <w:noWrap/>
            <w:vAlign w:val="bottom"/>
            <w:hideMark/>
          </w:tcPr>
          <w:p w14:paraId="7D26243A"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424" w:type="dxa"/>
            <w:tcBorders>
              <w:top w:val="nil"/>
              <w:left w:val="nil"/>
              <w:bottom w:val="single" w:sz="4" w:space="0" w:color="auto"/>
              <w:right w:val="single" w:sz="4" w:space="0" w:color="auto"/>
            </w:tcBorders>
            <w:shd w:val="clear" w:color="000000" w:fill="FFFF99"/>
            <w:noWrap/>
            <w:vAlign w:val="bottom"/>
            <w:hideMark/>
          </w:tcPr>
          <w:p w14:paraId="3B48B3E4"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816" w:type="dxa"/>
            <w:tcBorders>
              <w:top w:val="nil"/>
              <w:left w:val="nil"/>
              <w:bottom w:val="single" w:sz="4" w:space="0" w:color="auto"/>
              <w:right w:val="single" w:sz="4" w:space="0" w:color="auto"/>
            </w:tcBorders>
            <w:shd w:val="clear" w:color="000000" w:fill="FFFF99"/>
            <w:noWrap/>
            <w:vAlign w:val="bottom"/>
            <w:hideMark/>
          </w:tcPr>
          <w:p w14:paraId="6F29FE2D"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422" w:type="dxa"/>
            <w:tcBorders>
              <w:top w:val="nil"/>
              <w:left w:val="nil"/>
              <w:bottom w:val="single" w:sz="4" w:space="0" w:color="auto"/>
              <w:right w:val="single" w:sz="4" w:space="0" w:color="auto"/>
            </w:tcBorders>
            <w:shd w:val="clear" w:color="000000" w:fill="FFFF99"/>
            <w:noWrap/>
            <w:vAlign w:val="bottom"/>
            <w:hideMark/>
          </w:tcPr>
          <w:p w14:paraId="39090813"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456" w:type="dxa"/>
            <w:tcBorders>
              <w:top w:val="nil"/>
              <w:left w:val="nil"/>
              <w:bottom w:val="single" w:sz="4" w:space="0" w:color="auto"/>
              <w:right w:val="single" w:sz="4" w:space="0" w:color="auto"/>
            </w:tcBorders>
            <w:shd w:val="clear" w:color="000000" w:fill="FFFF99"/>
            <w:noWrap/>
            <w:vAlign w:val="bottom"/>
            <w:hideMark/>
          </w:tcPr>
          <w:p w14:paraId="2A8780F8"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422" w:type="dxa"/>
            <w:tcBorders>
              <w:top w:val="nil"/>
              <w:left w:val="nil"/>
              <w:bottom w:val="single" w:sz="4" w:space="0" w:color="auto"/>
              <w:right w:val="single" w:sz="4" w:space="0" w:color="auto"/>
            </w:tcBorders>
            <w:shd w:val="clear" w:color="000000" w:fill="FFFF99"/>
            <w:noWrap/>
            <w:vAlign w:val="bottom"/>
            <w:hideMark/>
          </w:tcPr>
          <w:p w14:paraId="2B6B692F"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517" w:type="dxa"/>
            <w:tcBorders>
              <w:top w:val="nil"/>
              <w:left w:val="nil"/>
              <w:bottom w:val="single" w:sz="4" w:space="0" w:color="auto"/>
              <w:right w:val="single" w:sz="4" w:space="0" w:color="auto"/>
            </w:tcBorders>
            <w:shd w:val="clear" w:color="000000" w:fill="FFFF99"/>
            <w:noWrap/>
            <w:vAlign w:val="bottom"/>
            <w:hideMark/>
          </w:tcPr>
          <w:p w14:paraId="52AF07AA"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474" w:type="dxa"/>
            <w:tcBorders>
              <w:top w:val="nil"/>
              <w:left w:val="nil"/>
              <w:bottom w:val="single" w:sz="4" w:space="0" w:color="auto"/>
              <w:right w:val="single" w:sz="4" w:space="0" w:color="auto"/>
            </w:tcBorders>
            <w:shd w:val="clear" w:color="000000" w:fill="FFFF99"/>
            <w:noWrap/>
            <w:vAlign w:val="bottom"/>
            <w:hideMark/>
          </w:tcPr>
          <w:p w14:paraId="1FC5EB90"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577" w:type="dxa"/>
            <w:tcBorders>
              <w:top w:val="nil"/>
              <w:left w:val="nil"/>
              <w:bottom w:val="single" w:sz="4" w:space="0" w:color="auto"/>
              <w:right w:val="single" w:sz="4" w:space="0" w:color="auto"/>
            </w:tcBorders>
            <w:shd w:val="clear" w:color="000000" w:fill="FFFF99"/>
            <w:noWrap/>
            <w:vAlign w:val="bottom"/>
            <w:hideMark/>
          </w:tcPr>
          <w:p w14:paraId="06EAAEE2"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422" w:type="dxa"/>
            <w:gridSpan w:val="2"/>
            <w:tcBorders>
              <w:top w:val="nil"/>
              <w:left w:val="nil"/>
              <w:bottom w:val="single" w:sz="4" w:space="0" w:color="auto"/>
              <w:right w:val="single" w:sz="4" w:space="0" w:color="auto"/>
            </w:tcBorders>
            <w:shd w:val="clear" w:color="000000" w:fill="FFFF99"/>
            <w:noWrap/>
            <w:vAlign w:val="bottom"/>
            <w:hideMark/>
          </w:tcPr>
          <w:p w14:paraId="7443D716"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320" w:type="dxa"/>
            <w:tcBorders>
              <w:top w:val="nil"/>
              <w:left w:val="nil"/>
              <w:bottom w:val="single" w:sz="4" w:space="0" w:color="auto"/>
              <w:right w:val="single" w:sz="4" w:space="0" w:color="auto"/>
            </w:tcBorders>
            <w:shd w:val="clear" w:color="000000" w:fill="FF9900"/>
            <w:noWrap/>
            <w:vAlign w:val="bottom"/>
            <w:hideMark/>
          </w:tcPr>
          <w:p w14:paraId="699F4FAA"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426" w:type="dxa"/>
            <w:tcBorders>
              <w:top w:val="nil"/>
              <w:left w:val="nil"/>
              <w:bottom w:val="single" w:sz="4" w:space="0" w:color="auto"/>
              <w:right w:val="single" w:sz="4" w:space="0" w:color="auto"/>
            </w:tcBorders>
            <w:shd w:val="clear" w:color="000000" w:fill="FF9900"/>
            <w:noWrap/>
            <w:vAlign w:val="bottom"/>
            <w:hideMark/>
          </w:tcPr>
          <w:p w14:paraId="1FC02385"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422" w:type="dxa"/>
            <w:tcBorders>
              <w:top w:val="nil"/>
              <w:left w:val="nil"/>
              <w:bottom w:val="single" w:sz="4" w:space="0" w:color="auto"/>
              <w:right w:val="single" w:sz="4" w:space="0" w:color="auto"/>
            </w:tcBorders>
            <w:shd w:val="clear" w:color="000000" w:fill="FF9900"/>
            <w:noWrap/>
            <w:vAlign w:val="bottom"/>
            <w:hideMark/>
          </w:tcPr>
          <w:p w14:paraId="291F7B56"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433" w:type="dxa"/>
            <w:gridSpan w:val="2"/>
            <w:tcBorders>
              <w:top w:val="nil"/>
              <w:left w:val="nil"/>
              <w:bottom w:val="single" w:sz="4" w:space="0" w:color="auto"/>
              <w:right w:val="single" w:sz="4" w:space="0" w:color="auto"/>
            </w:tcBorders>
            <w:shd w:val="clear" w:color="auto" w:fill="auto"/>
            <w:vAlign w:val="bottom"/>
            <w:hideMark/>
          </w:tcPr>
          <w:p w14:paraId="37CB59CD" w14:textId="77777777" w:rsidR="00A72067" w:rsidRPr="00A72067" w:rsidRDefault="00A72067" w:rsidP="00A72067">
            <w:pPr>
              <w:spacing w:after="0" w:line="240" w:lineRule="auto"/>
              <w:jc w:val="right"/>
              <w:rPr>
                <w:rFonts w:ascii="Calibri" w:eastAsia="Times New Roman" w:hAnsi="Calibri" w:cs="Calibri"/>
                <w:b/>
                <w:bCs/>
                <w:sz w:val="16"/>
                <w:szCs w:val="16"/>
                <w:lang w:eastAsia="hr-HR"/>
              </w:rPr>
            </w:pPr>
            <w:r w:rsidRPr="00A72067">
              <w:rPr>
                <w:rFonts w:ascii="Calibri" w:eastAsia="Times New Roman" w:hAnsi="Calibri" w:cs="Calibri"/>
                <w:b/>
                <w:bCs/>
                <w:sz w:val="16"/>
                <w:szCs w:val="16"/>
                <w:lang w:eastAsia="hr-HR"/>
              </w:rPr>
              <w:t>0</w:t>
            </w:r>
          </w:p>
        </w:tc>
        <w:tc>
          <w:tcPr>
            <w:tcW w:w="422" w:type="dxa"/>
            <w:tcBorders>
              <w:top w:val="nil"/>
              <w:left w:val="nil"/>
              <w:bottom w:val="single" w:sz="4" w:space="0" w:color="auto"/>
              <w:right w:val="single" w:sz="4" w:space="0" w:color="auto"/>
            </w:tcBorders>
            <w:shd w:val="clear" w:color="000000" w:fill="FFFF00"/>
            <w:noWrap/>
            <w:vAlign w:val="bottom"/>
            <w:hideMark/>
          </w:tcPr>
          <w:p w14:paraId="0F40D2DC"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424" w:type="dxa"/>
            <w:tcBorders>
              <w:top w:val="nil"/>
              <w:left w:val="nil"/>
              <w:bottom w:val="single" w:sz="4" w:space="0" w:color="auto"/>
              <w:right w:val="single" w:sz="4" w:space="0" w:color="auto"/>
            </w:tcBorders>
            <w:shd w:val="clear" w:color="000000" w:fill="FFFF00"/>
            <w:noWrap/>
            <w:vAlign w:val="bottom"/>
            <w:hideMark/>
          </w:tcPr>
          <w:p w14:paraId="44E5FD0A"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430" w:type="dxa"/>
            <w:tcBorders>
              <w:top w:val="nil"/>
              <w:left w:val="nil"/>
              <w:bottom w:val="single" w:sz="4" w:space="0" w:color="auto"/>
              <w:right w:val="single" w:sz="4" w:space="0" w:color="auto"/>
            </w:tcBorders>
            <w:shd w:val="clear" w:color="000000" w:fill="FFFF00"/>
            <w:noWrap/>
            <w:vAlign w:val="bottom"/>
            <w:hideMark/>
          </w:tcPr>
          <w:p w14:paraId="46294E89"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424" w:type="dxa"/>
            <w:tcBorders>
              <w:top w:val="nil"/>
              <w:left w:val="nil"/>
              <w:bottom w:val="single" w:sz="4" w:space="0" w:color="auto"/>
              <w:right w:val="single" w:sz="4" w:space="0" w:color="auto"/>
            </w:tcBorders>
            <w:shd w:val="clear" w:color="auto" w:fill="auto"/>
            <w:vAlign w:val="bottom"/>
            <w:hideMark/>
          </w:tcPr>
          <w:p w14:paraId="39B6B8CF" w14:textId="77777777" w:rsidR="00A72067" w:rsidRPr="00A72067" w:rsidRDefault="00A72067" w:rsidP="00A72067">
            <w:pPr>
              <w:spacing w:after="0" w:line="240" w:lineRule="auto"/>
              <w:jc w:val="right"/>
              <w:rPr>
                <w:rFonts w:ascii="Calibri" w:eastAsia="Times New Roman" w:hAnsi="Calibri" w:cs="Calibri"/>
                <w:b/>
                <w:bCs/>
                <w:sz w:val="16"/>
                <w:szCs w:val="16"/>
                <w:lang w:eastAsia="hr-HR"/>
              </w:rPr>
            </w:pPr>
            <w:r w:rsidRPr="00A72067">
              <w:rPr>
                <w:rFonts w:ascii="Calibri" w:eastAsia="Times New Roman" w:hAnsi="Calibri" w:cs="Calibri"/>
                <w:b/>
                <w:bCs/>
                <w:sz w:val="16"/>
                <w:szCs w:val="16"/>
                <w:lang w:eastAsia="hr-HR"/>
              </w:rPr>
              <w:t>0</w:t>
            </w:r>
          </w:p>
        </w:tc>
        <w:tc>
          <w:tcPr>
            <w:tcW w:w="570" w:type="dxa"/>
            <w:tcBorders>
              <w:top w:val="nil"/>
              <w:left w:val="nil"/>
              <w:bottom w:val="single" w:sz="4" w:space="0" w:color="auto"/>
              <w:right w:val="single" w:sz="4" w:space="0" w:color="auto"/>
            </w:tcBorders>
            <w:shd w:val="clear" w:color="000000" w:fill="FFFF00"/>
            <w:vAlign w:val="bottom"/>
            <w:hideMark/>
          </w:tcPr>
          <w:p w14:paraId="31DCAB47" w14:textId="77777777" w:rsidR="00A72067" w:rsidRPr="00A72067" w:rsidRDefault="00A72067" w:rsidP="00A72067">
            <w:pPr>
              <w:spacing w:after="0" w:line="240" w:lineRule="auto"/>
              <w:jc w:val="right"/>
              <w:rPr>
                <w:rFonts w:ascii="Calibri" w:eastAsia="Times New Roman" w:hAnsi="Calibri" w:cs="Calibri"/>
                <w:b/>
                <w:bCs/>
                <w:sz w:val="16"/>
                <w:szCs w:val="16"/>
                <w:lang w:eastAsia="hr-HR"/>
              </w:rPr>
            </w:pPr>
            <w:r w:rsidRPr="00A72067">
              <w:rPr>
                <w:rFonts w:ascii="Calibri" w:eastAsia="Times New Roman" w:hAnsi="Calibri" w:cs="Calibri"/>
                <w:b/>
                <w:bCs/>
                <w:sz w:val="16"/>
                <w:szCs w:val="16"/>
                <w:lang w:eastAsia="hr-HR"/>
              </w:rPr>
              <w:t>0</w:t>
            </w:r>
          </w:p>
        </w:tc>
        <w:tc>
          <w:tcPr>
            <w:tcW w:w="424" w:type="dxa"/>
            <w:gridSpan w:val="2"/>
            <w:tcBorders>
              <w:top w:val="nil"/>
              <w:left w:val="nil"/>
              <w:bottom w:val="single" w:sz="4" w:space="0" w:color="auto"/>
              <w:right w:val="single" w:sz="4" w:space="0" w:color="auto"/>
            </w:tcBorders>
            <w:shd w:val="clear" w:color="000000" w:fill="FF9900"/>
            <w:noWrap/>
            <w:vAlign w:val="bottom"/>
            <w:hideMark/>
          </w:tcPr>
          <w:p w14:paraId="79A3809B"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521" w:type="dxa"/>
            <w:gridSpan w:val="2"/>
            <w:tcBorders>
              <w:top w:val="nil"/>
              <w:left w:val="nil"/>
              <w:bottom w:val="single" w:sz="4" w:space="0" w:color="auto"/>
              <w:right w:val="single" w:sz="4" w:space="0" w:color="auto"/>
            </w:tcBorders>
            <w:shd w:val="clear" w:color="000000" w:fill="CCFFFF"/>
            <w:noWrap/>
            <w:vAlign w:val="bottom"/>
            <w:hideMark/>
          </w:tcPr>
          <w:p w14:paraId="1089B4E5"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420" w:type="dxa"/>
            <w:tcBorders>
              <w:top w:val="nil"/>
              <w:left w:val="nil"/>
              <w:bottom w:val="single" w:sz="4" w:space="0" w:color="auto"/>
              <w:right w:val="single" w:sz="4" w:space="0" w:color="auto"/>
            </w:tcBorders>
            <w:shd w:val="clear" w:color="000000" w:fill="CCFFFF"/>
            <w:noWrap/>
            <w:vAlign w:val="bottom"/>
            <w:hideMark/>
          </w:tcPr>
          <w:p w14:paraId="0DED6EF7"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406" w:type="dxa"/>
            <w:tcBorders>
              <w:top w:val="nil"/>
              <w:left w:val="nil"/>
              <w:bottom w:val="single" w:sz="4" w:space="0" w:color="auto"/>
              <w:right w:val="single" w:sz="4" w:space="0" w:color="auto"/>
            </w:tcBorders>
            <w:shd w:val="clear" w:color="000000" w:fill="CCFFFF"/>
            <w:noWrap/>
            <w:vAlign w:val="bottom"/>
            <w:hideMark/>
          </w:tcPr>
          <w:p w14:paraId="68C6AEED"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469" w:type="dxa"/>
            <w:gridSpan w:val="2"/>
            <w:tcBorders>
              <w:top w:val="nil"/>
              <w:left w:val="nil"/>
              <w:bottom w:val="single" w:sz="4" w:space="0" w:color="auto"/>
              <w:right w:val="nil"/>
            </w:tcBorders>
            <w:shd w:val="clear" w:color="000000" w:fill="33CCCC"/>
            <w:noWrap/>
            <w:vAlign w:val="bottom"/>
            <w:hideMark/>
          </w:tcPr>
          <w:p w14:paraId="2931B8F4"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362" w:type="dxa"/>
            <w:tcBorders>
              <w:top w:val="nil"/>
              <w:left w:val="single" w:sz="4" w:space="0" w:color="auto"/>
              <w:bottom w:val="single" w:sz="4" w:space="0" w:color="auto"/>
              <w:right w:val="single" w:sz="8" w:space="0" w:color="auto"/>
            </w:tcBorders>
            <w:shd w:val="clear" w:color="000000" w:fill="33CCCC"/>
            <w:noWrap/>
            <w:vAlign w:val="bottom"/>
            <w:hideMark/>
          </w:tcPr>
          <w:p w14:paraId="73912FF8"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236" w:type="dxa"/>
            <w:gridSpan w:val="3"/>
            <w:vAlign w:val="center"/>
            <w:hideMark/>
          </w:tcPr>
          <w:p w14:paraId="23EA3A4D" w14:textId="77777777" w:rsidR="00A72067" w:rsidRPr="00A72067" w:rsidRDefault="00A72067" w:rsidP="00A72067">
            <w:pPr>
              <w:spacing w:after="0" w:line="240" w:lineRule="auto"/>
              <w:rPr>
                <w:rFonts w:ascii="Times New Roman" w:eastAsia="Times New Roman" w:hAnsi="Times New Roman" w:cs="Times New Roman"/>
                <w:sz w:val="16"/>
                <w:szCs w:val="16"/>
                <w:lang w:eastAsia="hr-HR"/>
              </w:rPr>
            </w:pPr>
          </w:p>
        </w:tc>
      </w:tr>
      <w:tr w:rsidR="00A72067" w:rsidRPr="00A72067" w14:paraId="4BF3D23E" w14:textId="77777777" w:rsidTr="00A72067">
        <w:trPr>
          <w:gridAfter w:val="2"/>
          <w:wAfter w:w="104" w:type="dxa"/>
          <w:trHeight w:val="402"/>
        </w:trPr>
        <w:tc>
          <w:tcPr>
            <w:tcW w:w="1286" w:type="dxa"/>
            <w:tcBorders>
              <w:top w:val="nil"/>
              <w:left w:val="single" w:sz="8" w:space="0" w:color="auto"/>
              <w:bottom w:val="single" w:sz="4" w:space="0" w:color="auto"/>
              <w:right w:val="single" w:sz="4" w:space="0" w:color="auto"/>
            </w:tcBorders>
            <w:shd w:val="clear" w:color="000000" w:fill="CCFFCC"/>
            <w:vAlign w:val="center"/>
            <w:hideMark/>
          </w:tcPr>
          <w:p w14:paraId="74B61DC9" w14:textId="77777777" w:rsidR="00A72067" w:rsidRPr="00A72067" w:rsidRDefault="00A72067" w:rsidP="00A72067">
            <w:pPr>
              <w:spacing w:after="0" w:line="240" w:lineRule="auto"/>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Naobrazba</w:t>
            </w:r>
          </w:p>
        </w:tc>
        <w:tc>
          <w:tcPr>
            <w:tcW w:w="561" w:type="dxa"/>
            <w:tcBorders>
              <w:top w:val="nil"/>
              <w:left w:val="nil"/>
              <w:bottom w:val="single" w:sz="4" w:space="0" w:color="auto"/>
              <w:right w:val="single" w:sz="4" w:space="0" w:color="auto"/>
            </w:tcBorders>
            <w:shd w:val="clear" w:color="000000" w:fill="FFFF00"/>
            <w:vAlign w:val="bottom"/>
            <w:hideMark/>
          </w:tcPr>
          <w:p w14:paraId="09A1B005" w14:textId="77777777" w:rsidR="00A72067" w:rsidRPr="00A72067" w:rsidRDefault="00A72067" w:rsidP="00A72067">
            <w:pPr>
              <w:spacing w:after="0" w:line="240" w:lineRule="auto"/>
              <w:jc w:val="right"/>
              <w:rPr>
                <w:rFonts w:ascii="Calibri" w:eastAsia="Times New Roman" w:hAnsi="Calibri" w:cs="Calibri"/>
                <w:b/>
                <w:bCs/>
                <w:sz w:val="16"/>
                <w:szCs w:val="16"/>
                <w:lang w:eastAsia="hr-HR"/>
              </w:rPr>
            </w:pPr>
            <w:r w:rsidRPr="00A72067">
              <w:rPr>
                <w:rFonts w:ascii="Calibri" w:eastAsia="Times New Roman" w:hAnsi="Calibri" w:cs="Calibri"/>
                <w:b/>
                <w:bCs/>
                <w:sz w:val="16"/>
                <w:szCs w:val="16"/>
                <w:lang w:eastAsia="hr-HR"/>
              </w:rPr>
              <w:t>0</w:t>
            </w:r>
          </w:p>
        </w:tc>
        <w:tc>
          <w:tcPr>
            <w:tcW w:w="451" w:type="dxa"/>
            <w:tcBorders>
              <w:top w:val="nil"/>
              <w:left w:val="nil"/>
              <w:bottom w:val="single" w:sz="4" w:space="0" w:color="auto"/>
              <w:right w:val="single" w:sz="4" w:space="0" w:color="auto"/>
            </w:tcBorders>
            <w:shd w:val="clear" w:color="000000" w:fill="FFCC99"/>
            <w:noWrap/>
            <w:vAlign w:val="bottom"/>
            <w:hideMark/>
          </w:tcPr>
          <w:p w14:paraId="1AEA5702"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382" w:type="dxa"/>
            <w:tcBorders>
              <w:top w:val="nil"/>
              <w:left w:val="nil"/>
              <w:bottom w:val="single" w:sz="4" w:space="0" w:color="auto"/>
              <w:right w:val="single" w:sz="4" w:space="0" w:color="auto"/>
            </w:tcBorders>
            <w:shd w:val="clear" w:color="000000" w:fill="CCFFFF"/>
            <w:vAlign w:val="bottom"/>
            <w:hideMark/>
          </w:tcPr>
          <w:p w14:paraId="2B189B21"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427" w:type="dxa"/>
            <w:tcBorders>
              <w:top w:val="nil"/>
              <w:left w:val="nil"/>
              <w:bottom w:val="single" w:sz="4" w:space="0" w:color="auto"/>
              <w:right w:val="single" w:sz="4" w:space="0" w:color="auto"/>
            </w:tcBorders>
            <w:shd w:val="clear" w:color="000000" w:fill="CCFFFF"/>
            <w:vAlign w:val="bottom"/>
            <w:hideMark/>
          </w:tcPr>
          <w:p w14:paraId="6A040BB1"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559" w:type="dxa"/>
            <w:tcBorders>
              <w:top w:val="nil"/>
              <w:left w:val="nil"/>
              <w:bottom w:val="single" w:sz="4" w:space="0" w:color="auto"/>
              <w:right w:val="single" w:sz="4" w:space="0" w:color="auto"/>
            </w:tcBorders>
            <w:shd w:val="clear" w:color="000000" w:fill="FFFF99"/>
            <w:noWrap/>
            <w:vAlign w:val="bottom"/>
            <w:hideMark/>
          </w:tcPr>
          <w:p w14:paraId="384162D0"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424" w:type="dxa"/>
            <w:tcBorders>
              <w:top w:val="nil"/>
              <w:left w:val="nil"/>
              <w:bottom w:val="single" w:sz="4" w:space="0" w:color="auto"/>
              <w:right w:val="single" w:sz="4" w:space="0" w:color="auto"/>
            </w:tcBorders>
            <w:shd w:val="clear" w:color="000000" w:fill="FFFF99"/>
            <w:noWrap/>
            <w:vAlign w:val="bottom"/>
            <w:hideMark/>
          </w:tcPr>
          <w:p w14:paraId="3F78936A"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816" w:type="dxa"/>
            <w:tcBorders>
              <w:top w:val="nil"/>
              <w:left w:val="nil"/>
              <w:bottom w:val="single" w:sz="4" w:space="0" w:color="auto"/>
              <w:right w:val="single" w:sz="4" w:space="0" w:color="auto"/>
            </w:tcBorders>
            <w:shd w:val="clear" w:color="000000" w:fill="FFFF99"/>
            <w:noWrap/>
            <w:vAlign w:val="bottom"/>
            <w:hideMark/>
          </w:tcPr>
          <w:p w14:paraId="0FBC18C9"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422" w:type="dxa"/>
            <w:tcBorders>
              <w:top w:val="nil"/>
              <w:left w:val="nil"/>
              <w:bottom w:val="single" w:sz="4" w:space="0" w:color="auto"/>
              <w:right w:val="single" w:sz="4" w:space="0" w:color="auto"/>
            </w:tcBorders>
            <w:shd w:val="clear" w:color="000000" w:fill="FFFF99"/>
            <w:noWrap/>
            <w:vAlign w:val="bottom"/>
            <w:hideMark/>
          </w:tcPr>
          <w:p w14:paraId="3E0F913D"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456" w:type="dxa"/>
            <w:tcBorders>
              <w:top w:val="nil"/>
              <w:left w:val="nil"/>
              <w:bottom w:val="single" w:sz="4" w:space="0" w:color="auto"/>
              <w:right w:val="single" w:sz="4" w:space="0" w:color="auto"/>
            </w:tcBorders>
            <w:shd w:val="clear" w:color="000000" w:fill="FFFF99"/>
            <w:noWrap/>
            <w:vAlign w:val="bottom"/>
            <w:hideMark/>
          </w:tcPr>
          <w:p w14:paraId="7643B02B"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422" w:type="dxa"/>
            <w:tcBorders>
              <w:top w:val="nil"/>
              <w:left w:val="nil"/>
              <w:bottom w:val="single" w:sz="4" w:space="0" w:color="auto"/>
              <w:right w:val="single" w:sz="4" w:space="0" w:color="auto"/>
            </w:tcBorders>
            <w:shd w:val="clear" w:color="000000" w:fill="FFFF99"/>
            <w:noWrap/>
            <w:vAlign w:val="bottom"/>
            <w:hideMark/>
          </w:tcPr>
          <w:p w14:paraId="1DCA47C0"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517" w:type="dxa"/>
            <w:tcBorders>
              <w:top w:val="nil"/>
              <w:left w:val="nil"/>
              <w:bottom w:val="single" w:sz="4" w:space="0" w:color="auto"/>
              <w:right w:val="single" w:sz="4" w:space="0" w:color="auto"/>
            </w:tcBorders>
            <w:shd w:val="clear" w:color="000000" w:fill="FFFF99"/>
            <w:noWrap/>
            <w:vAlign w:val="bottom"/>
            <w:hideMark/>
          </w:tcPr>
          <w:p w14:paraId="742F5A67"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474" w:type="dxa"/>
            <w:tcBorders>
              <w:top w:val="nil"/>
              <w:left w:val="nil"/>
              <w:bottom w:val="single" w:sz="4" w:space="0" w:color="auto"/>
              <w:right w:val="single" w:sz="4" w:space="0" w:color="auto"/>
            </w:tcBorders>
            <w:shd w:val="clear" w:color="000000" w:fill="FFFF99"/>
            <w:noWrap/>
            <w:vAlign w:val="bottom"/>
            <w:hideMark/>
          </w:tcPr>
          <w:p w14:paraId="57AC1076"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577" w:type="dxa"/>
            <w:tcBorders>
              <w:top w:val="nil"/>
              <w:left w:val="nil"/>
              <w:bottom w:val="single" w:sz="4" w:space="0" w:color="auto"/>
              <w:right w:val="single" w:sz="4" w:space="0" w:color="auto"/>
            </w:tcBorders>
            <w:shd w:val="clear" w:color="000000" w:fill="FFFF99"/>
            <w:noWrap/>
            <w:vAlign w:val="bottom"/>
            <w:hideMark/>
          </w:tcPr>
          <w:p w14:paraId="7F006032"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422" w:type="dxa"/>
            <w:gridSpan w:val="2"/>
            <w:tcBorders>
              <w:top w:val="nil"/>
              <w:left w:val="nil"/>
              <w:bottom w:val="single" w:sz="4" w:space="0" w:color="auto"/>
              <w:right w:val="single" w:sz="4" w:space="0" w:color="auto"/>
            </w:tcBorders>
            <w:shd w:val="clear" w:color="000000" w:fill="FFFF99"/>
            <w:noWrap/>
            <w:vAlign w:val="bottom"/>
            <w:hideMark/>
          </w:tcPr>
          <w:p w14:paraId="4C775C7E"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320" w:type="dxa"/>
            <w:tcBorders>
              <w:top w:val="nil"/>
              <w:left w:val="nil"/>
              <w:bottom w:val="single" w:sz="4" w:space="0" w:color="auto"/>
              <w:right w:val="single" w:sz="4" w:space="0" w:color="auto"/>
            </w:tcBorders>
            <w:shd w:val="clear" w:color="000000" w:fill="FF9900"/>
            <w:noWrap/>
            <w:vAlign w:val="bottom"/>
            <w:hideMark/>
          </w:tcPr>
          <w:p w14:paraId="1A243135"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426" w:type="dxa"/>
            <w:tcBorders>
              <w:top w:val="nil"/>
              <w:left w:val="nil"/>
              <w:bottom w:val="single" w:sz="4" w:space="0" w:color="auto"/>
              <w:right w:val="single" w:sz="4" w:space="0" w:color="auto"/>
            </w:tcBorders>
            <w:shd w:val="clear" w:color="000000" w:fill="FF9900"/>
            <w:noWrap/>
            <w:vAlign w:val="bottom"/>
            <w:hideMark/>
          </w:tcPr>
          <w:p w14:paraId="79807326"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422" w:type="dxa"/>
            <w:tcBorders>
              <w:top w:val="nil"/>
              <w:left w:val="nil"/>
              <w:bottom w:val="single" w:sz="4" w:space="0" w:color="auto"/>
              <w:right w:val="single" w:sz="4" w:space="0" w:color="auto"/>
            </w:tcBorders>
            <w:shd w:val="clear" w:color="000000" w:fill="FF9900"/>
            <w:noWrap/>
            <w:vAlign w:val="bottom"/>
            <w:hideMark/>
          </w:tcPr>
          <w:p w14:paraId="4FCE8226"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433" w:type="dxa"/>
            <w:gridSpan w:val="2"/>
            <w:tcBorders>
              <w:top w:val="nil"/>
              <w:left w:val="nil"/>
              <w:bottom w:val="single" w:sz="4" w:space="0" w:color="auto"/>
              <w:right w:val="single" w:sz="4" w:space="0" w:color="auto"/>
            </w:tcBorders>
            <w:shd w:val="clear" w:color="auto" w:fill="auto"/>
            <w:vAlign w:val="bottom"/>
            <w:hideMark/>
          </w:tcPr>
          <w:p w14:paraId="4063C3B2" w14:textId="77777777" w:rsidR="00A72067" w:rsidRPr="00A72067" w:rsidRDefault="00A72067" w:rsidP="00A72067">
            <w:pPr>
              <w:spacing w:after="0" w:line="240" w:lineRule="auto"/>
              <w:jc w:val="right"/>
              <w:rPr>
                <w:rFonts w:ascii="Calibri" w:eastAsia="Times New Roman" w:hAnsi="Calibri" w:cs="Calibri"/>
                <w:b/>
                <w:bCs/>
                <w:sz w:val="16"/>
                <w:szCs w:val="16"/>
                <w:lang w:eastAsia="hr-HR"/>
              </w:rPr>
            </w:pPr>
            <w:r w:rsidRPr="00A72067">
              <w:rPr>
                <w:rFonts w:ascii="Calibri" w:eastAsia="Times New Roman" w:hAnsi="Calibri" w:cs="Calibri"/>
                <w:b/>
                <w:bCs/>
                <w:sz w:val="16"/>
                <w:szCs w:val="16"/>
                <w:lang w:eastAsia="hr-HR"/>
              </w:rPr>
              <w:t>0</w:t>
            </w:r>
          </w:p>
        </w:tc>
        <w:tc>
          <w:tcPr>
            <w:tcW w:w="422" w:type="dxa"/>
            <w:tcBorders>
              <w:top w:val="nil"/>
              <w:left w:val="nil"/>
              <w:bottom w:val="single" w:sz="4" w:space="0" w:color="auto"/>
              <w:right w:val="single" w:sz="4" w:space="0" w:color="auto"/>
            </w:tcBorders>
            <w:shd w:val="clear" w:color="000000" w:fill="FFFF00"/>
            <w:noWrap/>
            <w:vAlign w:val="bottom"/>
            <w:hideMark/>
          </w:tcPr>
          <w:p w14:paraId="4E575FFA"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424" w:type="dxa"/>
            <w:tcBorders>
              <w:top w:val="nil"/>
              <w:left w:val="nil"/>
              <w:bottom w:val="single" w:sz="4" w:space="0" w:color="auto"/>
              <w:right w:val="single" w:sz="4" w:space="0" w:color="auto"/>
            </w:tcBorders>
            <w:shd w:val="clear" w:color="000000" w:fill="FFFF00"/>
            <w:noWrap/>
            <w:vAlign w:val="bottom"/>
            <w:hideMark/>
          </w:tcPr>
          <w:p w14:paraId="0909CB45"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430" w:type="dxa"/>
            <w:tcBorders>
              <w:top w:val="nil"/>
              <w:left w:val="nil"/>
              <w:bottom w:val="single" w:sz="4" w:space="0" w:color="auto"/>
              <w:right w:val="single" w:sz="4" w:space="0" w:color="auto"/>
            </w:tcBorders>
            <w:shd w:val="clear" w:color="000000" w:fill="FFFF00"/>
            <w:noWrap/>
            <w:vAlign w:val="bottom"/>
            <w:hideMark/>
          </w:tcPr>
          <w:p w14:paraId="57C7DA8D"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424" w:type="dxa"/>
            <w:tcBorders>
              <w:top w:val="nil"/>
              <w:left w:val="nil"/>
              <w:bottom w:val="single" w:sz="4" w:space="0" w:color="auto"/>
              <w:right w:val="single" w:sz="4" w:space="0" w:color="auto"/>
            </w:tcBorders>
            <w:shd w:val="clear" w:color="auto" w:fill="auto"/>
            <w:vAlign w:val="bottom"/>
            <w:hideMark/>
          </w:tcPr>
          <w:p w14:paraId="29182DD0" w14:textId="77777777" w:rsidR="00A72067" w:rsidRPr="00A72067" w:rsidRDefault="00A72067" w:rsidP="00A72067">
            <w:pPr>
              <w:spacing w:after="0" w:line="240" w:lineRule="auto"/>
              <w:jc w:val="right"/>
              <w:rPr>
                <w:rFonts w:ascii="Calibri" w:eastAsia="Times New Roman" w:hAnsi="Calibri" w:cs="Calibri"/>
                <w:b/>
                <w:bCs/>
                <w:sz w:val="16"/>
                <w:szCs w:val="16"/>
                <w:lang w:eastAsia="hr-HR"/>
              </w:rPr>
            </w:pPr>
            <w:r w:rsidRPr="00A72067">
              <w:rPr>
                <w:rFonts w:ascii="Calibri" w:eastAsia="Times New Roman" w:hAnsi="Calibri" w:cs="Calibri"/>
                <w:b/>
                <w:bCs/>
                <w:sz w:val="16"/>
                <w:szCs w:val="16"/>
                <w:lang w:eastAsia="hr-HR"/>
              </w:rPr>
              <w:t>0</w:t>
            </w:r>
          </w:p>
        </w:tc>
        <w:tc>
          <w:tcPr>
            <w:tcW w:w="570" w:type="dxa"/>
            <w:tcBorders>
              <w:top w:val="nil"/>
              <w:left w:val="nil"/>
              <w:bottom w:val="single" w:sz="4" w:space="0" w:color="auto"/>
              <w:right w:val="single" w:sz="4" w:space="0" w:color="auto"/>
            </w:tcBorders>
            <w:shd w:val="clear" w:color="000000" w:fill="FFFF00"/>
            <w:vAlign w:val="bottom"/>
            <w:hideMark/>
          </w:tcPr>
          <w:p w14:paraId="1FA24F32" w14:textId="77777777" w:rsidR="00A72067" w:rsidRPr="00A72067" w:rsidRDefault="00A72067" w:rsidP="00A72067">
            <w:pPr>
              <w:spacing w:after="0" w:line="240" w:lineRule="auto"/>
              <w:jc w:val="right"/>
              <w:rPr>
                <w:rFonts w:ascii="Calibri" w:eastAsia="Times New Roman" w:hAnsi="Calibri" w:cs="Calibri"/>
                <w:b/>
                <w:bCs/>
                <w:sz w:val="16"/>
                <w:szCs w:val="16"/>
                <w:lang w:eastAsia="hr-HR"/>
              </w:rPr>
            </w:pPr>
            <w:r w:rsidRPr="00A72067">
              <w:rPr>
                <w:rFonts w:ascii="Calibri" w:eastAsia="Times New Roman" w:hAnsi="Calibri" w:cs="Calibri"/>
                <w:b/>
                <w:bCs/>
                <w:sz w:val="16"/>
                <w:szCs w:val="16"/>
                <w:lang w:eastAsia="hr-HR"/>
              </w:rPr>
              <w:t>0</w:t>
            </w:r>
          </w:p>
        </w:tc>
        <w:tc>
          <w:tcPr>
            <w:tcW w:w="424" w:type="dxa"/>
            <w:gridSpan w:val="2"/>
            <w:tcBorders>
              <w:top w:val="nil"/>
              <w:left w:val="nil"/>
              <w:bottom w:val="single" w:sz="4" w:space="0" w:color="auto"/>
              <w:right w:val="single" w:sz="4" w:space="0" w:color="auto"/>
            </w:tcBorders>
            <w:shd w:val="clear" w:color="000000" w:fill="FF9900"/>
            <w:noWrap/>
            <w:vAlign w:val="bottom"/>
            <w:hideMark/>
          </w:tcPr>
          <w:p w14:paraId="30C4E158"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521" w:type="dxa"/>
            <w:gridSpan w:val="2"/>
            <w:tcBorders>
              <w:top w:val="nil"/>
              <w:left w:val="nil"/>
              <w:bottom w:val="single" w:sz="4" w:space="0" w:color="auto"/>
              <w:right w:val="single" w:sz="4" w:space="0" w:color="auto"/>
            </w:tcBorders>
            <w:shd w:val="clear" w:color="000000" w:fill="CCFFFF"/>
            <w:noWrap/>
            <w:vAlign w:val="bottom"/>
            <w:hideMark/>
          </w:tcPr>
          <w:p w14:paraId="0C05BEF2"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420" w:type="dxa"/>
            <w:tcBorders>
              <w:top w:val="nil"/>
              <w:left w:val="nil"/>
              <w:bottom w:val="single" w:sz="4" w:space="0" w:color="auto"/>
              <w:right w:val="single" w:sz="4" w:space="0" w:color="auto"/>
            </w:tcBorders>
            <w:shd w:val="clear" w:color="000000" w:fill="CCFFFF"/>
            <w:noWrap/>
            <w:vAlign w:val="bottom"/>
            <w:hideMark/>
          </w:tcPr>
          <w:p w14:paraId="537AF273"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406" w:type="dxa"/>
            <w:tcBorders>
              <w:top w:val="nil"/>
              <w:left w:val="nil"/>
              <w:bottom w:val="single" w:sz="4" w:space="0" w:color="auto"/>
              <w:right w:val="single" w:sz="4" w:space="0" w:color="auto"/>
            </w:tcBorders>
            <w:shd w:val="clear" w:color="000000" w:fill="CCFFFF"/>
            <w:noWrap/>
            <w:vAlign w:val="bottom"/>
            <w:hideMark/>
          </w:tcPr>
          <w:p w14:paraId="2EB409E2"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469" w:type="dxa"/>
            <w:gridSpan w:val="2"/>
            <w:tcBorders>
              <w:top w:val="nil"/>
              <w:left w:val="nil"/>
              <w:bottom w:val="single" w:sz="4" w:space="0" w:color="auto"/>
              <w:right w:val="nil"/>
            </w:tcBorders>
            <w:shd w:val="clear" w:color="000000" w:fill="33CCCC"/>
            <w:noWrap/>
            <w:vAlign w:val="bottom"/>
            <w:hideMark/>
          </w:tcPr>
          <w:p w14:paraId="4BEBF05A"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362" w:type="dxa"/>
            <w:tcBorders>
              <w:top w:val="nil"/>
              <w:left w:val="single" w:sz="4" w:space="0" w:color="auto"/>
              <w:bottom w:val="single" w:sz="4" w:space="0" w:color="auto"/>
              <w:right w:val="single" w:sz="8" w:space="0" w:color="auto"/>
            </w:tcBorders>
            <w:shd w:val="clear" w:color="000000" w:fill="33CCCC"/>
            <w:noWrap/>
            <w:vAlign w:val="bottom"/>
            <w:hideMark/>
          </w:tcPr>
          <w:p w14:paraId="357090F3"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236" w:type="dxa"/>
            <w:gridSpan w:val="3"/>
            <w:vAlign w:val="center"/>
            <w:hideMark/>
          </w:tcPr>
          <w:p w14:paraId="3A759577" w14:textId="77777777" w:rsidR="00A72067" w:rsidRPr="00A72067" w:rsidRDefault="00A72067" w:rsidP="00A72067">
            <w:pPr>
              <w:spacing w:after="0" w:line="240" w:lineRule="auto"/>
              <w:rPr>
                <w:rFonts w:ascii="Times New Roman" w:eastAsia="Times New Roman" w:hAnsi="Times New Roman" w:cs="Times New Roman"/>
                <w:sz w:val="16"/>
                <w:szCs w:val="16"/>
                <w:lang w:eastAsia="hr-HR"/>
              </w:rPr>
            </w:pPr>
          </w:p>
        </w:tc>
      </w:tr>
      <w:tr w:rsidR="00A72067" w:rsidRPr="00A72067" w14:paraId="46F08A98" w14:textId="77777777" w:rsidTr="00A72067">
        <w:trPr>
          <w:gridAfter w:val="2"/>
          <w:wAfter w:w="104" w:type="dxa"/>
          <w:trHeight w:val="402"/>
        </w:trPr>
        <w:tc>
          <w:tcPr>
            <w:tcW w:w="1286" w:type="dxa"/>
            <w:tcBorders>
              <w:top w:val="nil"/>
              <w:left w:val="single" w:sz="8" w:space="0" w:color="auto"/>
              <w:bottom w:val="single" w:sz="4" w:space="0" w:color="auto"/>
              <w:right w:val="single" w:sz="4" w:space="0" w:color="auto"/>
            </w:tcBorders>
            <w:shd w:val="clear" w:color="000000" w:fill="CCFFCC"/>
            <w:vAlign w:val="center"/>
            <w:hideMark/>
          </w:tcPr>
          <w:p w14:paraId="63D57075" w14:textId="77777777" w:rsidR="00A72067" w:rsidRPr="00A72067" w:rsidRDefault="00A72067" w:rsidP="00A72067">
            <w:pPr>
              <w:spacing w:after="0" w:line="240" w:lineRule="auto"/>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Društveni položaj</w:t>
            </w:r>
          </w:p>
        </w:tc>
        <w:tc>
          <w:tcPr>
            <w:tcW w:w="561" w:type="dxa"/>
            <w:tcBorders>
              <w:top w:val="nil"/>
              <w:left w:val="nil"/>
              <w:bottom w:val="single" w:sz="4" w:space="0" w:color="auto"/>
              <w:right w:val="single" w:sz="4" w:space="0" w:color="auto"/>
            </w:tcBorders>
            <w:shd w:val="clear" w:color="000000" w:fill="FFFF00"/>
            <w:vAlign w:val="bottom"/>
            <w:hideMark/>
          </w:tcPr>
          <w:p w14:paraId="0E4833D7" w14:textId="77777777" w:rsidR="00A72067" w:rsidRPr="00A72067" w:rsidRDefault="00A72067" w:rsidP="00A72067">
            <w:pPr>
              <w:spacing w:after="0" w:line="240" w:lineRule="auto"/>
              <w:jc w:val="right"/>
              <w:rPr>
                <w:rFonts w:ascii="Calibri" w:eastAsia="Times New Roman" w:hAnsi="Calibri" w:cs="Calibri"/>
                <w:b/>
                <w:bCs/>
                <w:sz w:val="16"/>
                <w:szCs w:val="16"/>
                <w:lang w:eastAsia="hr-HR"/>
              </w:rPr>
            </w:pPr>
            <w:r w:rsidRPr="00A72067">
              <w:rPr>
                <w:rFonts w:ascii="Calibri" w:eastAsia="Times New Roman" w:hAnsi="Calibri" w:cs="Calibri"/>
                <w:b/>
                <w:bCs/>
                <w:sz w:val="16"/>
                <w:szCs w:val="16"/>
                <w:lang w:eastAsia="hr-HR"/>
              </w:rPr>
              <w:t>0</w:t>
            </w:r>
          </w:p>
        </w:tc>
        <w:tc>
          <w:tcPr>
            <w:tcW w:w="451" w:type="dxa"/>
            <w:tcBorders>
              <w:top w:val="nil"/>
              <w:left w:val="nil"/>
              <w:bottom w:val="single" w:sz="4" w:space="0" w:color="auto"/>
              <w:right w:val="single" w:sz="4" w:space="0" w:color="auto"/>
            </w:tcBorders>
            <w:shd w:val="clear" w:color="000000" w:fill="FFCC99"/>
            <w:noWrap/>
            <w:vAlign w:val="bottom"/>
            <w:hideMark/>
          </w:tcPr>
          <w:p w14:paraId="02F971D6"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382" w:type="dxa"/>
            <w:tcBorders>
              <w:top w:val="nil"/>
              <w:left w:val="nil"/>
              <w:bottom w:val="single" w:sz="4" w:space="0" w:color="auto"/>
              <w:right w:val="single" w:sz="4" w:space="0" w:color="auto"/>
            </w:tcBorders>
            <w:shd w:val="clear" w:color="000000" w:fill="CCFFFF"/>
            <w:vAlign w:val="bottom"/>
            <w:hideMark/>
          </w:tcPr>
          <w:p w14:paraId="3690D118"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427" w:type="dxa"/>
            <w:tcBorders>
              <w:top w:val="nil"/>
              <w:left w:val="nil"/>
              <w:bottom w:val="single" w:sz="4" w:space="0" w:color="auto"/>
              <w:right w:val="single" w:sz="4" w:space="0" w:color="auto"/>
            </w:tcBorders>
            <w:shd w:val="clear" w:color="000000" w:fill="CCFFFF"/>
            <w:vAlign w:val="bottom"/>
            <w:hideMark/>
          </w:tcPr>
          <w:p w14:paraId="6CB261F5"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559" w:type="dxa"/>
            <w:tcBorders>
              <w:top w:val="nil"/>
              <w:left w:val="nil"/>
              <w:bottom w:val="single" w:sz="4" w:space="0" w:color="auto"/>
              <w:right w:val="single" w:sz="4" w:space="0" w:color="auto"/>
            </w:tcBorders>
            <w:shd w:val="clear" w:color="000000" w:fill="FFFF99"/>
            <w:noWrap/>
            <w:vAlign w:val="bottom"/>
            <w:hideMark/>
          </w:tcPr>
          <w:p w14:paraId="1264D57D"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424" w:type="dxa"/>
            <w:tcBorders>
              <w:top w:val="nil"/>
              <w:left w:val="nil"/>
              <w:bottom w:val="single" w:sz="4" w:space="0" w:color="auto"/>
              <w:right w:val="single" w:sz="4" w:space="0" w:color="auto"/>
            </w:tcBorders>
            <w:shd w:val="clear" w:color="000000" w:fill="FFFF99"/>
            <w:noWrap/>
            <w:vAlign w:val="bottom"/>
            <w:hideMark/>
          </w:tcPr>
          <w:p w14:paraId="415EDC06"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816" w:type="dxa"/>
            <w:tcBorders>
              <w:top w:val="nil"/>
              <w:left w:val="nil"/>
              <w:bottom w:val="single" w:sz="4" w:space="0" w:color="auto"/>
              <w:right w:val="single" w:sz="4" w:space="0" w:color="auto"/>
            </w:tcBorders>
            <w:shd w:val="clear" w:color="000000" w:fill="FFFF99"/>
            <w:noWrap/>
            <w:vAlign w:val="bottom"/>
            <w:hideMark/>
          </w:tcPr>
          <w:p w14:paraId="6F2BB42F"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422" w:type="dxa"/>
            <w:tcBorders>
              <w:top w:val="nil"/>
              <w:left w:val="nil"/>
              <w:bottom w:val="single" w:sz="4" w:space="0" w:color="auto"/>
              <w:right w:val="single" w:sz="4" w:space="0" w:color="auto"/>
            </w:tcBorders>
            <w:shd w:val="clear" w:color="000000" w:fill="FFFF99"/>
            <w:noWrap/>
            <w:vAlign w:val="bottom"/>
            <w:hideMark/>
          </w:tcPr>
          <w:p w14:paraId="7AAC5F63"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456" w:type="dxa"/>
            <w:tcBorders>
              <w:top w:val="nil"/>
              <w:left w:val="nil"/>
              <w:bottom w:val="single" w:sz="4" w:space="0" w:color="auto"/>
              <w:right w:val="single" w:sz="4" w:space="0" w:color="auto"/>
            </w:tcBorders>
            <w:shd w:val="clear" w:color="000000" w:fill="FFFF99"/>
            <w:noWrap/>
            <w:vAlign w:val="bottom"/>
            <w:hideMark/>
          </w:tcPr>
          <w:p w14:paraId="41D463F5"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422" w:type="dxa"/>
            <w:tcBorders>
              <w:top w:val="nil"/>
              <w:left w:val="nil"/>
              <w:bottom w:val="single" w:sz="4" w:space="0" w:color="auto"/>
              <w:right w:val="single" w:sz="4" w:space="0" w:color="auto"/>
            </w:tcBorders>
            <w:shd w:val="clear" w:color="000000" w:fill="FFFF99"/>
            <w:noWrap/>
            <w:vAlign w:val="bottom"/>
            <w:hideMark/>
          </w:tcPr>
          <w:p w14:paraId="0C0B85C0"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517" w:type="dxa"/>
            <w:tcBorders>
              <w:top w:val="nil"/>
              <w:left w:val="nil"/>
              <w:bottom w:val="single" w:sz="4" w:space="0" w:color="auto"/>
              <w:right w:val="single" w:sz="4" w:space="0" w:color="auto"/>
            </w:tcBorders>
            <w:shd w:val="clear" w:color="000000" w:fill="FFFF99"/>
            <w:noWrap/>
            <w:vAlign w:val="bottom"/>
            <w:hideMark/>
          </w:tcPr>
          <w:p w14:paraId="3116BEC3"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474" w:type="dxa"/>
            <w:tcBorders>
              <w:top w:val="nil"/>
              <w:left w:val="nil"/>
              <w:bottom w:val="single" w:sz="4" w:space="0" w:color="auto"/>
              <w:right w:val="single" w:sz="4" w:space="0" w:color="auto"/>
            </w:tcBorders>
            <w:shd w:val="clear" w:color="000000" w:fill="FFFF99"/>
            <w:noWrap/>
            <w:vAlign w:val="bottom"/>
            <w:hideMark/>
          </w:tcPr>
          <w:p w14:paraId="50A11887"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577" w:type="dxa"/>
            <w:tcBorders>
              <w:top w:val="nil"/>
              <w:left w:val="nil"/>
              <w:bottom w:val="single" w:sz="4" w:space="0" w:color="auto"/>
              <w:right w:val="single" w:sz="4" w:space="0" w:color="auto"/>
            </w:tcBorders>
            <w:shd w:val="clear" w:color="000000" w:fill="FFFF99"/>
            <w:noWrap/>
            <w:vAlign w:val="bottom"/>
            <w:hideMark/>
          </w:tcPr>
          <w:p w14:paraId="4F36DD24"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422" w:type="dxa"/>
            <w:gridSpan w:val="2"/>
            <w:tcBorders>
              <w:top w:val="nil"/>
              <w:left w:val="nil"/>
              <w:bottom w:val="single" w:sz="4" w:space="0" w:color="auto"/>
              <w:right w:val="single" w:sz="4" w:space="0" w:color="auto"/>
            </w:tcBorders>
            <w:shd w:val="clear" w:color="000000" w:fill="FFFF99"/>
            <w:noWrap/>
            <w:vAlign w:val="bottom"/>
            <w:hideMark/>
          </w:tcPr>
          <w:p w14:paraId="06CE8FB7"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320" w:type="dxa"/>
            <w:tcBorders>
              <w:top w:val="nil"/>
              <w:left w:val="nil"/>
              <w:bottom w:val="single" w:sz="4" w:space="0" w:color="auto"/>
              <w:right w:val="single" w:sz="4" w:space="0" w:color="auto"/>
            </w:tcBorders>
            <w:shd w:val="clear" w:color="000000" w:fill="FF9900"/>
            <w:noWrap/>
            <w:vAlign w:val="bottom"/>
            <w:hideMark/>
          </w:tcPr>
          <w:p w14:paraId="3D6C0698"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426" w:type="dxa"/>
            <w:tcBorders>
              <w:top w:val="nil"/>
              <w:left w:val="nil"/>
              <w:bottom w:val="single" w:sz="4" w:space="0" w:color="auto"/>
              <w:right w:val="single" w:sz="4" w:space="0" w:color="auto"/>
            </w:tcBorders>
            <w:shd w:val="clear" w:color="000000" w:fill="FF9900"/>
            <w:noWrap/>
            <w:vAlign w:val="bottom"/>
            <w:hideMark/>
          </w:tcPr>
          <w:p w14:paraId="7445C803"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422" w:type="dxa"/>
            <w:tcBorders>
              <w:top w:val="nil"/>
              <w:left w:val="nil"/>
              <w:bottom w:val="single" w:sz="4" w:space="0" w:color="auto"/>
              <w:right w:val="single" w:sz="4" w:space="0" w:color="auto"/>
            </w:tcBorders>
            <w:shd w:val="clear" w:color="000000" w:fill="FF9900"/>
            <w:noWrap/>
            <w:vAlign w:val="bottom"/>
            <w:hideMark/>
          </w:tcPr>
          <w:p w14:paraId="34171047"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433" w:type="dxa"/>
            <w:gridSpan w:val="2"/>
            <w:tcBorders>
              <w:top w:val="nil"/>
              <w:left w:val="nil"/>
              <w:bottom w:val="single" w:sz="4" w:space="0" w:color="auto"/>
              <w:right w:val="single" w:sz="4" w:space="0" w:color="auto"/>
            </w:tcBorders>
            <w:shd w:val="clear" w:color="auto" w:fill="auto"/>
            <w:vAlign w:val="bottom"/>
            <w:hideMark/>
          </w:tcPr>
          <w:p w14:paraId="73D850ED" w14:textId="77777777" w:rsidR="00A72067" w:rsidRPr="00A72067" w:rsidRDefault="00A72067" w:rsidP="00A72067">
            <w:pPr>
              <w:spacing w:after="0" w:line="240" w:lineRule="auto"/>
              <w:jc w:val="right"/>
              <w:rPr>
                <w:rFonts w:ascii="Calibri" w:eastAsia="Times New Roman" w:hAnsi="Calibri" w:cs="Calibri"/>
                <w:b/>
                <w:bCs/>
                <w:sz w:val="16"/>
                <w:szCs w:val="16"/>
                <w:lang w:eastAsia="hr-HR"/>
              </w:rPr>
            </w:pPr>
            <w:r w:rsidRPr="00A72067">
              <w:rPr>
                <w:rFonts w:ascii="Calibri" w:eastAsia="Times New Roman" w:hAnsi="Calibri" w:cs="Calibri"/>
                <w:b/>
                <w:bCs/>
                <w:sz w:val="16"/>
                <w:szCs w:val="16"/>
                <w:lang w:eastAsia="hr-HR"/>
              </w:rPr>
              <w:t>0</w:t>
            </w:r>
          </w:p>
        </w:tc>
        <w:tc>
          <w:tcPr>
            <w:tcW w:w="422" w:type="dxa"/>
            <w:tcBorders>
              <w:top w:val="nil"/>
              <w:left w:val="nil"/>
              <w:bottom w:val="single" w:sz="4" w:space="0" w:color="auto"/>
              <w:right w:val="single" w:sz="4" w:space="0" w:color="auto"/>
            </w:tcBorders>
            <w:shd w:val="clear" w:color="000000" w:fill="FFFF00"/>
            <w:noWrap/>
            <w:vAlign w:val="bottom"/>
            <w:hideMark/>
          </w:tcPr>
          <w:p w14:paraId="4CA58BD5"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424" w:type="dxa"/>
            <w:tcBorders>
              <w:top w:val="nil"/>
              <w:left w:val="nil"/>
              <w:bottom w:val="single" w:sz="4" w:space="0" w:color="auto"/>
              <w:right w:val="single" w:sz="4" w:space="0" w:color="auto"/>
            </w:tcBorders>
            <w:shd w:val="clear" w:color="000000" w:fill="FFFF00"/>
            <w:noWrap/>
            <w:vAlign w:val="bottom"/>
            <w:hideMark/>
          </w:tcPr>
          <w:p w14:paraId="05F24E69"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430" w:type="dxa"/>
            <w:tcBorders>
              <w:top w:val="nil"/>
              <w:left w:val="nil"/>
              <w:bottom w:val="single" w:sz="4" w:space="0" w:color="auto"/>
              <w:right w:val="single" w:sz="4" w:space="0" w:color="auto"/>
            </w:tcBorders>
            <w:shd w:val="clear" w:color="000000" w:fill="FFFF00"/>
            <w:noWrap/>
            <w:vAlign w:val="bottom"/>
            <w:hideMark/>
          </w:tcPr>
          <w:p w14:paraId="3BB6D86E"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424" w:type="dxa"/>
            <w:tcBorders>
              <w:top w:val="nil"/>
              <w:left w:val="nil"/>
              <w:bottom w:val="single" w:sz="4" w:space="0" w:color="auto"/>
              <w:right w:val="single" w:sz="4" w:space="0" w:color="auto"/>
            </w:tcBorders>
            <w:shd w:val="clear" w:color="auto" w:fill="auto"/>
            <w:vAlign w:val="bottom"/>
            <w:hideMark/>
          </w:tcPr>
          <w:p w14:paraId="7099B5F8" w14:textId="77777777" w:rsidR="00A72067" w:rsidRPr="00A72067" w:rsidRDefault="00A72067" w:rsidP="00A72067">
            <w:pPr>
              <w:spacing w:after="0" w:line="240" w:lineRule="auto"/>
              <w:jc w:val="right"/>
              <w:rPr>
                <w:rFonts w:ascii="Calibri" w:eastAsia="Times New Roman" w:hAnsi="Calibri" w:cs="Calibri"/>
                <w:b/>
                <w:bCs/>
                <w:sz w:val="16"/>
                <w:szCs w:val="16"/>
                <w:lang w:eastAsia="hr-HR"/>
              </w:rPr>
            </w:pPr>
            <w:r w:rsidRPr="00A72067">
              <w:rPr>
                <w:rFonts w:ascii="Calibri" w:eastAsia="Times New Roman" w:hAnsi="Calibri" w:cs="Calibri"/>
                <w:b/>
                <w:bCs/>
                <w:sz w:val="16"/>
                <w:szCs w:val="16"/>
                <w:lang w:eastAsia="hr-HR"/>
              </w:rPr>
              <w:t>0</w:t>
            </w:r>
          </w:p>
        </w:tc>
        <w:tc>
          <w:tcPr>
            <w:tcW w:w="570" w:type="dxa"/>
            <w:tcBorders>
              <w:top w:val="nil"/>
              <w:left w:val="nil"/>
              <w:bottom w:val="single" w:sz="4" w:space="0" w:color="auto"/>
              <w:right w:val="single" w:sz="4" w:space="0" w:color="auto"/>
            </w:tcBorders>
            <w:shd w:val="clear" w:color="000000" w:fill="FFFF00"/>
            <w:vAlign w:val="bottom"/>
            <w:hideMark/>
          </w:tcPr>
          <w:p w14:paraId="53E6EC45" w14:textId="77777777" w:rsidR="00A72067" w:rsidRPr="00A72067" w:rsidRDefault="00A72067" w:rsidP="00A72067">
            <w:pPr>
              <w:spacing w:after="0" w:line="240" w:lineRule="auto"/>
              <w:jc w:val="right"/>
              <w:rPr>
                <w:rFonts w:ascii="Calibri" w:eastAsia="Times New Roman" w:hAnsi="Calibri" w:cs="Calibri"/>
                <w:b/>
                <w:bCs/>
                <w:sz w:val="16"/>
                <w:szCs w:val="16"/>
                <w:lang w:eastAsia="hr-HR"/>
              </w:rPr>
            </w:pPr>
            <w:r w:rsidRPr="00A72067">
              <w:rPr>
                <w:rFonts w:ascii="Calibri" w:eastAsia="Times New Roman" w:hAnsi="Calibri" w:cs="Calibri"/>
                <w:b/>
                <w:bCs/>
                <w:sz w:val="16"/>
                <w:szCs w:val="16"/>
                <w:lang w:eastAsia="hr-HR"/>
              </w:rPr>
              <w:t>0</w:t>
            </w:r>
          </w:p>
        </w:tc>
        <w:tc>
          <w:tcPr>
            <w:tcW w:w="424" w:type="dxa"/>
            <w:gridSpan w:val="2"/>
            <w:tcBorders>
              <w:top w:val="nil"/>
              <w:left w:val="nil"/>
              <w:bottom w:val="single" w:sz="4" w:space="0" w:color="auto"/>
              <w:right w:val="single" w:sz="4" w:space="0" w:color="auto"/>
            </w:tcBorders>
            <w:shd w:val="clear" w:color="000000" w:fill="FF9900"/>
            <w:noWrap/>
            <w:vAlign w:val="bottom"/>
            <w:hideMark/>
          </w:tcPr>
          <w:p w14:paraId="5D02F299"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521" w:type="dxa"/>
            <w:gridSpan w:val="2"/>
            <w:tcBorders>
              <w:top w:val="nil"/>
              <w:left w:val="nil"/>
              <w:bottom w:val="single" w:sz="4" w:space="0" w:color="auto"/>
              <w:right w:val="single" w:sz="4" w:space="0" w:color="auto"/>
            </w:tcBorders>
            <w:shd w:val="clear" w:color="000000" w:fill="CCFFFF"/>
            <w:noWrap/>
            <w:vAlign w:val="bottom"/>
            <w:hideMark/>
          </w:tcPr>
          <w:p w14:paraId="5521C820"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420" w:type="dxa"/>
            <w:tcBorders>
              <w:top w:val="nil"/>
              <w:left w:val="nil"/>
              <w:bottom w:val="single" w:sz="4" w:space="0" w:color="auto"/>
              <w:right w:val="single" w:sz="4" w:space="0" w:color="auto"/>
            </w:tcBorders>
            <w:shd w:val="clear" w:color="000000" w:fill="CCFFFF"/>
            <w:noWrap/>
            <w:vAlign w:val="bottom"/>
            <w:hideMark/>
          </w:tcPr>
          <w:p w14:paraId="0C0746B9"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406" w:type="dxa"/>
            <w:tcBorders>
              <w:top w:val="nil"/>
              <w:left w:val="nil"/>
              <w:bottom w:val="single" w:sz="4" w:space="0" w:color="auto"/>
              <w:right w:val="single" w:sz="4" w:space="0" w:color="auto"/>
            </w:tcBorders>
            <w:shd w:val="clear" w:color="000000" w:fill="CCFFFF"/>
            <w:noWrap/>
            <w:vAlign w:val="bottom"/>
            <w:hideMark/>
          </w:tcPr>
          <w:p w14:paraId="0E30EB8C"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469" w:type="dxa"/>
            <w:gridSpan w:val="2"/>
            <w:tcBorders>
              <w:top w:val="nil"/>
              <w:left w:val="nil"/>
              <w:bottom w:val="single" w:sz="4" w:space="0" w:color="auto"/>
              <w:right w:val="nil"/>
            </w:tcBorders>
            <w:shd w:val="clear" w:color="000000" w:fill="33CCCC"/>
            <w:noWrap/>
            <w:vAlign w:val="bottom"/>
            <w:hideMark/>
          </w:tcPr>
          <w:p w14:paraId="05C90027"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362" w:type="dxa"/>
            <w:tcBorders>
              <w:top w:val="nil"/>
              <w:left w:val="single" w:sz="4" w:space="0" w:color="auto"/>
              <w:bottom w:val="single" w:sz="4" w:space="0" w:color="auto"/>
              <w:right w:val="single" w:sz="8" w:space="0" w:color="auto"/>
            </w:tcBorders>
            <w:shd w:val="clear" w:color="000000" w:fill="33CCCC"/>
            <w:noWrap/>
            <w:vAlign w:val="bottom"/>
            <w:hideMark/>
          </w:tcPr>
          <w:p w14:paraId="0B1784AE"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236" w:type="dxa"/>
            <w:gridSpan w:val="3"/>
            <w:vAlign w:val="center"/>
            <w:hideMark/>
          </w:tcPr>
          <w:p w14:paraId="2049B6A5" w14:textId="77777777" w:rsidR="00A72067" w:rsidRPr="00A72067" w:rsidRDefault="00A72067" w:rsidP="00A72067">
            <w:pPr>
              <w:spacing w:after="0" w:line="240" w:lineRule="auto"/>
              <w:rPr>
                <w:rFonts w:ascii="Times New Roman" w:eastAsia="Times New Roman" w:hAnsi="Times New Roman" w:cs="Times New Roman"/>
                <w:sz w:val="16"/>
                <w:szCs w:val="16"/>
                <w:lang w:eastAsia="hr-HR"/>
              </w:rPr>
            </w:pPr>
          </w:p>
        </w:tc>
      </w:tr>
      <w:tr w:rsidR="00A72067" w:rsidRPr="00A72067" w14:paraId="27A50213" w14:textId="77777777" w:rsidTr="00A72067">
        <w:trPr>
          <w:gridAfter w:val="2"/>
          <w:wAfter w:w="104" w:type="dxa"/>
          <w:trHeight w:val="402"/>
        </w:trPr>
        <w:tc>
          <w:tcPr>
            <w:tcW w:w="1286" w:type="dxa"/>
            <w:tcBorders>
              <w:top w:val="nil"/>
              <w:left w:val="single" w:sz="8" w:space="0" w:color="auto"/>
              <w:bottom w:val="single" w:sz="4" w:space="0" w:color="auto"/>
              <w:right w:val="single" w:sz="4" w:space="0" w:color="auto"/>
            </w:tcBorders>
            <w:shd w:val="clear" w:color="000000" w:fill="CCFFCC"/>
            <w:hideMark/>
          </w:tcPr>
          <w:p w14:paraId="1501BAF8" w14:textId="77777777" w:rsidR="00A72067" w:rsidRPr="00A72067" w:rsidRDefault="00A72067" w:rsidP="00A72067">
            <w:pPr>
              <w:spacing w:after="0" w:line="240" w:lineRule="auto"/>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Druge osobine (navesti)*:</w:t>
            </w:r>
          </w:p>
        </w:tc>
        <w:tc>
          <w:tcPr>
            <w:tcW w:w="561" w:type="dxa"/>
            <w:tcBorders>
              <w:top w:val="nil"/>
              <w:left w:val="nil"/>
              <w:bottom w:val="single" w:sz="4" w:space="0" w:color="auto"/>
              <w:right w:val="single" w:sz="4" w:space="0" w:color="auto"/>
            </w:tcBorders>
            <w:shd w:val="clear" w:color="000000" w:fill="FFFF00"/>
            <w:vAlign w:val="bottom"/>
            <w:hideMark/>
          </w:tcPr>
          <w:p w14:paraId="7E6E7616" w14:textId="77777777" w:rsidR="00A72067" w:rsidRPr="00A72067" w:rsidRDefault="00A72067" w:rsidP="00A72067">
            <w:pPr>
              <w:spacing w:after="0" w:line="240" w:lineRule="auto"/>
              <w:jc w:val="right"/>
              <w:rPr>
                <w:rFonts w:ascii="Calibri" w:eastAsia="Times New Roman" w:hAnsi="Calibri" w:cs="Calibri"/>
                <w:b/>
                <w:bCs/>
                <w:sz w:val="16"/>
                <w:szCs w:val="16"/>
                <w:lang w:eastAsia="hr-HR"/>
              </w:rPr>
            </w:pPr>
            <w:r w:rsidRPr="00A72067">
              <w:rPr>
                <w:rFonts w:ascii="Calibri" w:eastAsia="Times New Roman" w:hAnsi="Calibri" w:cs="Calibri"/>
                <w:b/>
                <w:bCs/>
                <w:sz w:val="16"/>
                <w:szCs w:val="16"/>
                <w:lang w:eastAsia="hr-HR"/>
              </w:rPr>
              <w:t>0</w:t>
            </w:r>
          </w:p>
        </w:tc>
        <w:tc>
          <w:tcPr>
            <w:tcW w:w="451" w:type="dxa"/>
            <w:tcBorders>
              <w:top w:val="nil"/>
              <w:left w:val="nil"/>
              <w:bottom w:val="single" w:sz="4" w:space="0" w:color="auto"/>
              <w:right w:val="single" w:sz="4" w:space="0" w:color="auto"/>
            </w:tcBorders>
            <w:shd w:val="clear" w:color="000000" w:fill="FFCC99"/>
            <w:noWrap/>
            <w:vAlign w:val="bottom"/>
            <w:hideMark/>
          </w:tcPr>
          <w:p w14:paraId="6EB51A75"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382" w:type="dxa"/>
            <w:tcBorders>
              <w:top w:val="nil"/>
              <w:left w:val="nil"/>
              <w:bottom w:val="single" w:sz="4" w:space="0" w:color="auto"/>
              <w:right w:val="single" w:sz="4" w:space="0" w:color="auto"/>
            </w:tcBorders>
            <w:shd w:val="clear" w:color="000000" w:fill="CCFFFF"/>
            <w:vAlign w:val="bottom"/>
            <w:hideMark/>
          </w:tcPr>
          <w:p w14:paraId="34C4ED12"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427" w:type="dxa"/>
            <w:tcBorders>
              <w:top w:val="nil"/>
              <w:left w:val="nil"/>
              <w:bottom w:val="single" w:sz="4" w:space="0" w:color="auto"/>
              <w:right w:val="single" w:sz="4" w:space="0" w:color="auto"/>
            </w:tcBorders>
            <w:shd w:val="clear" w:color="000000" w:fill="CCFFFF"/>
            <w:vAlign w:val="bottom"/>
            <w:hideMark/>
          </w:tcPr>
          <w:p w14:paraId="01C79B0B"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559" w:type="dxa"/>
            <w:tcBorders>
              <w:top w:val="nil"/>
              <w:left w:val="nil"/>
              <w:bottom w:val="single" w:sz="4" w:space="0" w:color="auto"/>
              <w:right w:val="single" w:sz="4" w:space="0" w:color="auto"/>
            </w:tcBorders>
            <w:shd w:val="clear" w:color="000000" w:fill="FFFF99"/>
            <w:noWrap/>
            <w:vAlign w:val="bottom"/>
            <w:hideMark/>
          </w:tcPr>
          <w:p w14:paraId="61939DC1"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424" w:type="dxa"/>
            <w:tcBorders>
              <w:top w:val="nil"/>
              <w:left w:val="nil"/>
              <w:bottom w:val="single" w:sz="4" w:space="0" w:color="auto"/>
              <w:right w:val="single" w:sz="4" w:space="0" w:color="auto"/>
            </w:tcBorders>
            <w:shd w:val="clear" w:color="000000" w:fill="FFFF99"/>
            <w:noWrap/>
            <w:vAlign w:val="bottom"/>
            <w:hideMark/>
          </w:tcPr>
          <w:p w14:paraId="7717EE1F"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816" w:type="dxa"/>
            <w:tcBorders>
              <w:top w:val="nil"/>
              <w:left w:val="nil"/>
              <w:bottom w:val="single" w:sz="4" w:space="0" w:color="auto"/>
              <w:right w:val="single" w:sz="4" w:space="0" w:color="auto"/>
            </w:tcBorders>
            <w:shd w:val="clear" w:color="000000" w:fill="FFFF99"/>
            <w:noWrap/>
            <w:vAlign w:val="bottom"/>
            <w:hideMark/>
          </w:tcPr>
          <w:p w14:paraId="6C171983"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422" w:type="dxa"/>
            <w:tcBorders>
              <w:top w:val="nil"/>
              <w:left w:val="nil"/>
              <w:bottom w:val="single" w:sz="4" w:space="0" w:color="auto"/>
              <w:right w:val="single" w:sz="4" w:space="0" w:color="auto"/>
            </w:tcBorders>
            <w:shd w:val="clear" w:color="000000" w:fill="FFFF99"/>
            <w:noWrap/>
            <w:vAlign w:val="bottom"/>
            <w:hideMark/>
          </w:tcPr>
          <w:p w14:paraId="4D3AB957"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456" w:type="dxa"/>
            <w:tcBorders>
              <w:top w:val="nil"/>
              <w:left w:val="nil"/>
              <w:bottom w:val="single" w:sz="4" w:space="0" w:color="auto"/>
              <w:right w:val="single" w:sz="4" w:space="0" w:color="auto"/>
            </w:tcBorders>
            <w:shd w:val="clear" w:color="000000" w:fill="FFFF99"/>
            <w:noWrap/>
            <w:vAlign w:val="bottom"/>
            <w:hideMark/>
          </w:tcPr>
          <w:p w14:paraId="60E51718"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422" w:type="dxa"/>
            <w:tcBorders>
              <w:top w:val="nil"/>
              <w:left w:val="nil"/>
              <w:bottom w:val="single" w:sz="4" w:space="0" w:color="auto"/>
              <w:right w:val="single" w:sz="4" w:space="0" w:color="auto"/>
            </w:tcBorders>
            <w:shd w:val="clear" w:color="000000" w:fill="FFFF99"/>
            <w:noWrap/>
            <w:vAlign w:val="bottom"/>
            <w:hideMark/>
          </w:tcPr>
          <w:p w14:paraId="4FB3E16A"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517" w:type="dxa"/>
            <w:tcBorders>
              <w:top w:val="nil"/>
              <w:left w:val="nil"/>
              <w:bottom w:val="single" w:sz="4" w:space="0" w:color="auto"/>
              <w:right w:val="single" w:sz="4" w:space="0" w:color="auto"/>
            </w:tcBorders>
            <w:shd w:val="clear" w:color="000000" w:fill="FFFF99"/>
            <w:noWrap/>
            <w:vAlign w:val="bottom"/>
            <w:hideMark/>
          </w:tcPr>
          <w:p w14:paraId="42DB765A"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474" w:type="dxa"/>
            <w:tcBorders>
              <w:top w:val="nil"/>
              <w:left w:val="nil"/>
              <w:bottom w:val="single" w:sz="4" w:space="0" w:color="auto"/>
              <w:right w:val="single" w:sz="4" w:space="0" w:color="auto"/>
            </w:tcBorders>
            <w:shd w:val="clear" w:color="000000" w:fill="FFFF99"/>
            <w:noWrap/>
            <w:vAlign w:val="bottom"/>
            <w:hideMark/>
          </w:tcPr>
          <w:p w14:paraId="7858222C"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577" w:type="dxa"/>
            <w:tcBorders>
              <w:top w:val="nil"/>
              <w:left w:val="nil"/>
              <w:bottom w:val="single" w:sz="4" w:space="0" w:color="auto"/>
              <w:right w:val="single" w:sz="4" w:space="0" w:color="auto"/>
            </w:tcBorders>
            <w:shd w:val="clear" w:color="000000" w:fill="FFFF99"/>
            <w:noWrap/>
            <w:vAlign w:val="bottom"/>
            <w:hideMark/>
          </w:tcPr>
          <w:p w14:paraId="6823FD20"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422" w:type="dxa"/>
            <w:gridSpan w:val="2"/>
            <w:tcBorders>
              <w:top w:val="nil"/>
              <w:left w:val="nil"/>
              <w:bottom w:val="single" w:sz="4" w:space="0" w:color="auto"/>
              <w:right w:val="single" w:sz="4" w:space="0" w:color="auto"/>
            </w:tcBorders>
            <w:shd w:val="clear" w:color="000000" w:fill="FFFF99"/>
            <w:noWrap/>
            <w:vAlign w:val="bottom"/>
            <w:hideMark/>
          </w:tcPr>
          <w:p w14:paraId="47B29A4D"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320" w:type="dxa"/>
            <w:tcBorders>
              <w:top w:val="nil"/>
              <w:left w:val="nil"/>
              <w:bottom w:val="single" w:sz="4" w:space="0" w:color="auto"/>
              <w:right w:val="single" w:sz="4" w:space="0" w:color="auto"/>
            </w:tcBorders>
            <w:shd w:val="clear" w:color="000000" w:fill="FF9900"/>
            <w:noWrap/>
            <w:vAlign w:val="bottom"/>
            <w:hideMark/>
          </w:tcPr>
          <w:p w14:paraId="29D66878"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426" w:type="dxa"/>
            <w:tcBorders>
              <w:top w:val="nil"/>
              <w:left w:val="nil"/>
              <w:bottom w:val="single" w:sz="4" w:space="0" w:color="auto"/>
              <w:right w:val="single" w:sz="4" w:space="0" w:color="auto"/>
            </w:tcBorders>
            <w:shd w:val="clear" w:color="000000" w:fill="FF9900"/>
            <w:noWrap/>
            <w:vAlign w:val="bottom"/>
            <w:hideMark/>
          </w:tcPr>
          <w:p w14:paraId="21729E09"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422" w:type="dxa"/>
            <w:tcBorders>
              <w:top w:val="nil"/>
              <w:left w:val="nil"/>
              <w:bottom w:val="single" w:sz="4" w:space="0" w:color="auto"/>
              <w:right w:val="single" w:sz="4" w:space="0" w:color="auto"/>
            </w:tcBorders>
            <w:shd w:val="clear" w:color="000000" w:fill="FF9900"/>
            <w:noWrap/>
            <w:vAlign w:val="bottom"/>
            <w:hideMark/>
          </w:tcPr>
          <w:p w14:paraId="45257BF6"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433" w:type="dxa"/>
            <w:gridSpan w:val="2"/>
            <w:tcBorders>
              <w:top w:val="nil"/>
              <w:left w:val="nil"/>
              <w:bottom w:val="single" w:sz="4" w:space="0" w:color="auto"/>
              <w:right w:val="single" w:sz="4" w:space="0" w:color="auto"/>
            </w:tcBorders>
            <w:shd w:val="clear" w:color="auto" w:fill="auto"/>
            <w:vAlign w:val="bottom"/>
            <w:hideMark/>
          </w:tcPr>
          <w:p w14:paraId="4A116B27" w14:textId="77777777" w:rsidR="00A72067" w:rsidRPr="00A72067" w:rsidRDefault="00A72067" w:rsidP="00A72067">
            <w:pPr>
              <w:spacing w:after="0" w:line="240" w:lineRule="auto"/>
              <w:jc w:val="right"/>
              <w:rPr>
                <w:rFonts w:ascii="Calibri" w:eastAsia="Times New Roman" w:hAnsi="Calibri" w:cs="Calibri"/>
                <w:b/>
                <w:bCs/>
                <w:sz w:val="16"/>
                <w:szCs w:val="16"/>
                <w:lang w:eastAsia="hr-HR"/>
              </w:rPr>
            </w:pPr>
            <w:r w:rsidRPr="00A72067">
              <w:rPr>
                <w:rFonts w:ascii="Calibri" w:eastAsia="Times New Roman" w:hAnsi="Calibri" w:cs="Calibri"/>
                <w:b/>
                <w:bCs/>
                <w:sz w:val="16"/>
                <w:szCs w:val="16"/>
                <w:lang w:eastAsia="hr-HR"/>
              </w:rPr>
              <w:t>0</w:t>
            </w:r>
          </w:p>
        </w:tc>
        <w:tc>
          <w:tcPr>
            <w:tcW w:w="422" w:type="dxa"/>
            <w:tcBorders>
              <w:top w:val="nil"/>
              <w:left w:val="nil"/>
              <w:bottom w:val="single" w:sz="4" w:space="0" w:color="auto"/>
              <w:right w:val="single" w:sz="4" w:space="0" w:color="auto"/>
            </w:tcBorders>
            <w:shd w:val="clear" w:color="000000" w:fill="FFFF00"/>
            <w:noWrap/>
            <w:vAlign w:val="bottom"/>
            <w:hideMark/>
          </w:tcPr>
          <w:p w14:paraId="19488865"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424" w:type="dxa"/>
            <w:tcBorders>
              <w:top w:val="nil"/>
              <w:left w:val="nil"/>
              <w:bottom w:val="single" w:sz="4" w:space="0" w:color="auto"/>
              <w:right w:val="single" w:sz="4" w:space="0" w:color="auto"/>
            </w:tcBorders>
            <w:shd w:val="clear" w:color="000000" w:fill="FFFF00"/>
            <w:noWrap/>
            <w:vAlign w:val="bottom"/>
            <w:hideMark/>
          </w:tcPr>
          <w:p w14:paraId="0EA53A46"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430" w:type="dxa"/>
            <w:tcBorders>
              <w:top w:val="nil"/>
              <w:left w:val="nil"/>
              <w:bottom w:val="single" w:sz="4" w:space="0" w:color="auto"/>
              <w:right w:val="single" w:sz="4" w:space="0" w:color="auto"/>
            </w:tcBorders>
            <w:shd w:val="clear" w:color="000000" w:fill="FFFF00"/>
            <w:noWrap/>
            <w:vAlign w:val="bottom"/>
            <w:hideMark/>
          </w:tcPr>
          <w:p w14:paraId="73B95004"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424" w:type="dxa"/>
            <w:tcBorders>
              <w:top w:val="nil"/>
              <w:left w:val="nil"/>
              <w:bottom w:val="single" w:sz="4" w:space="0" w:color="auto"/>
              <w:right w:val="single" w:sz="4" w:space="0" w:color="auto"/>
            </w:tcBorders>
            <w:shd w:val="clear" w:color="auto" w:fill="auto"/>
            <w:vAlign w:val="bottom"/>
            <w:hideMark/>
          </w:tcPr>
          <w:p w14:paraId="273F9953" w14:textId="77777777" w:rsidR="00A72067" w:rsidRPr="00A72067" w:rsidRDefault="00A72067" w:rsidP="00A72067">
            <w:pPr>
              <w:spacing w:after="0" w:line="240" w:lineRule="auto"/>
              <w:jc w:val="right"/>
              <w:rPr>
                <w:rFonts w:ascii="Calibri" w:eastAsia="Times New Roman" w:hAnsi="Calibri" w:cs="Calibri"/>
                <w:b/>
                <w:bCs/>
                <w:sz w:val="16"/>
                <w:szCs w:val="16"/>
                <w:lang w:eastAsia="hr-HR"/>
              </w:rPr>
            </w:pPr>
            <w:r w:rsidRPr="00A72067">
              <w:rPr>
                <w:rFonts w:ascii="Calibri" w:eastAsia="Times New Roman" w:hAnsi="Calibri" w:cs="Calibri"/>
                <w:b/>
                <w:bCs/>
                <w:sz w:val="16"/>
                <w:szCs w:val="16"/>
                <w:lang w:eastAsia="hr-HR"/>
              </w:rPr>
              <w:t>0</w:t>
            </w:r>
          </w:p>
        </w:tc>
        <w:tc>
          <w:tcPr>
            <w:tcW w:w="570" w:type="dxa"/>
            <w:tcBorders>
              <w:top w:val="nil"/>
              <w:left w:val="nil"/>
              <w:bottom w:val="single" w:sz="4" w:space="0" w:color="auto"/>
              <w:right w:val="single" w:sz="4" w:space="0" w:color="auto"/>
            </w:tcBorders>
            <w:shd w:val="clear" w:color="000000" w:fill="FFFF00"/>
            <w:vAlign w:val="bottom"/>
            <w:hideMark/>
          </w:tcPr>
          <w:p w14:paraId="4DE9BFF8" w14:textId="77777777" w:rsidR="00A72067" w:rsidRPr="00A72067" w:rsidRDefault="00A72067" w:rsidP="00A72067">
            <w:pPr>
              <w:spacing w:after="0" w:line="240" w:lineRule="auto"/>
              <w:jc w:val="right"/>
              <w:rPr>
                <w:rFonts w:ascii="Calibri" w:eastAsia="Times New Roman" w:hAnsi="Calibri" w:cs="Calibri"/>
                <w:b/>
                <w:bCs/>
                <w:sz w:val="16"/>
                <w:szCs w:val="16"/>
                <w:lang w:eastAsia="hr-HR"/>
              </w:rPr>
            </w:pPr>
            <w:r w:rsidRPr="00A72067">
              <w:rPr>
                <w:rFonts w:ascii="Calibri" w:eastAsia="Times New Roman" w:hAnsi="Calibri" w:cs="Calibri"/>
                <w:b/>
                <w:bCs/>
                <w:sz w:val="16"/>
                <w:szCs w:val="16"/>
                <w:lang w:eastAsia="hr-HR"/>
              </w:rPr>
              <w:t>0</w:t>
            </w:r>
          </w:p>
        </w:tc>
        <w:tc>
          <w:tcPr>
            <w:tcW w:w="424" w:type="dxa"/>
            <w:gridSpan w:val="2"/>
            <w:tcBorders>
              <w:top w:val="nil"/>
              <w:left w:val="nil"/>
              <w:bottom w:val="single" w:sz="4" w:space="0" w:color="auto"/>
              <w:right w:val="single" w:sz="4" w:space="0" w:color="auto"/>
            </w:tcBorders>
            <w:shd w:val="clear" w:color="000000" w:fill="FF9900"/>
            <w:noWrap/>
            <w:vAlign w:val="bottom"/>
            <w:hideMark/>
          </w:tcPr>
          <w:p w14:paraId="1B767D7D"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521" w:type="dxa"/>
            <w:gridSpan w:val="2"/>
            <w:tcBorders>
              <w:top w:val="nil"/>
              <w:left w:val="nil"/>
              <w:bottom w:val="single" w:sz="4" w:space="0" w:color="auto"/>
              <w:right w:val="single" w:sz="4" w:space="0" w:color="auto"/>
            </w:tcBorders>
            <w:shd w:val="clear" w:color="000000" w:fill="CCFFFF"/>
            <w:noWrap/>
            <w:vAlign w:val="bottom"/>
            <w:hideMark/>
          </w:tcPr>
          <w:p w14:paraId="2BB8E992"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420" w:type="dxa"/>
            <w:tcBorders>
              <w:top w:val="nil"/>
              <w:left w:val="nil"/>
              <w:bottom w:val="single" w:sz="4" w:space="0" w:color="auto"/>
              <w:right w:val="single" w:sz="4" w:space="0" w:color="auto"/>
            </w:tcBorders>
            <w:shd w:val="clear" w:color="000000" w:fill="CCFFFF"/>
            <w:noWrap/>
            <w:vAlign w:val="bottom"/>
            <w:hideMark/>
          </w:tcPr>
          <w:p w14:paraId="6FE5529D"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406" w:type="dxa"/>
            <w:tcBorders>
              <w:top w:val="nil"/>
              <w:left w:val="nil"/>
              <w:bottom w:val="single" w:sz="4" w:space="0" w:color="auto"/>
              <w:right w:val="single" w:sz="4" w:space="0" w:color="auto"/>
            </w:tcBorders>
            <w:shd w:val="clear" w:color="000000" w:fill="CCFFFF"/>
            <w:noWrap/>
            <w:vAlign w:val="bottom"/>
            <w:hideMark/>
          </w:tcPr>
          <w:p w14:paraId="4B9F434D"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469" w:type="dxa"/>
            <w:gridSpan w:val="2"/>
            <w:tcBorders>
              <w:top w:val="nil"/>
              <w:left w:val="nil"/>
              <w:bottom w:val="single" w:sz="4" w:space="0" w:color="auto"/>
              <w:right w:val="nil"/>
            </w:tcBorders>
            <w:shd w:val="clear" w:color="000000" w:fill="33CCCC"/>
            <w:noWrap/>
            <w:vAlign w:val="bottom"/>
            <w:hideMark/>
          </w:tcPr>
          <w:p w14:paraId="37E5BAF6"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362" w:type="dxa"/>
            <w:tcBorders>
              <w:top w:val="nil"/>
              <w:left w:val="single" w:sz="4" w:space="0" w:color="auto"/>
              <w:bottom w:val="single" w:sz="4" w:space="0" w:color="auto"/>
              <w:right w:val="single" w:sz="8" w:space="0" w:color="auto"/>
            </w:tcBorders>
            <w:shd w:val="clear" w:color="000000" w:fill="33CCCC"/>
            <w:noWrap/>
            <w:vAlign w:val="bottom"/>
            <w:hideMark/>
          </w:tcPr>
          <w:p w14:paraId="03424EFB" w14:textId="77777777" w:rsidR="00A72067" w:rsidRPr="00A72067" w:rsidRDefault="00A72067" w:rsidP="00A72067">
            <w:pPr>
              <w:spacing w:after="0" w:line="240" w:lineRule="auto"/>
              <w:jc w:val="right"/>
              <w:rPr>
                <w:rFonts w:ascii="Calibri" w:eastAsia="Times New Roman" w:hAnsi="Calibri" w:cs="Calibri"/>
                <w:sz w:val="16"/>
                <w:szCs w:val="16"/>
                <w:lang w:eastAsia="hr-HR"/>
              </w:rPr>
            </w:pPr>
            <w:r w:rsidRPr="00A72067">
              <w:rPr>
                <w:rFonts w:ascii="Calibri" w:eastAsia="Times New Roman" w:hAnsi="Calibri" w:cs="Calibri"/>
                <w:sz w:val="16"/>
                <w:szCs w:val="16"/>
                <w:lang w:eastAsia="hr-HR"/>
              </w:rPr>
              <w:t>0</w:t>
            </w:r>
          </w:p>
        </w:tc>
        <w:tc>
          <w:tcPr>
            <w:tcW w:w="236" w:type="dxa"/>
            <w:gridSpan w:val="3"/>
            <w:vAlign w:val="center"/>
            <w:hideMark/>
          </w:tcPr>
          <w:p w14:paraId="21DC9DF8" w14:textId="77777777" w:rsidR="00A72067" w:rsidRPr="00A72067" w:rsidRDefault="00A72067" w:rsidP="00A72067">
            <w:pPr>
              <w:spacing w:after="0" w:line="240" w:lineRule="auto"/>
              <w:rPr>
                <w:rFonts w:ascii="Times New Roman" w:eastAsia="Times New Roman" w:hAnsi="Times New Roman" w:cs="Times New Roman"/>
                <w:sz w:val="16"/>
                <w:szCs w:val="16"/>
                <w:lang w:eastAsia="hr-HR"/>
              </w:rPr>
            </w:pPr>
          </w:p>
        </w:tc>
      </w:tr>
      <w:tr w:rsidR="00A72067" w:rsidRPr="00A72067" w14:paraId="4D595706" w14:textId="77777777" w:rsidTr="00A72067">
        <w:trPr>
          <w:gridAfter w:val="2"/>
          <w:wAfter w:w="104" w:type="dxa"/>
          <w:trHeight w:val="402"/>
        </w:trPr>
        <w:tc>
          <w:tcPr>
            <w:tcW w:w="1286" w:type="dxa"/>
            <w:tcBorders>
              <w:top w:val="nil"/>
              <w:left w:val="single" w:sz="8" w:space="0" w:color="auto"/>
              <w:bottom w:val="single" w:sz="4" w:space="0" w:color="auto"/>
              <w:right w:val="nil"/>
            </w:tcBorders>
            <w:shd w:val="clear" w:color="000000" w:fill="CCFFCC"/>
            <w:vAlign w:val="center"/>
            <w:hideMark/>
          </w:tcPr>
          <w:p w14:paraId="004D4841" w14:textId="77777777" w:rsidR="00A72067" w:rsidRPr="00A72067" w:rsidRDefault="00A72067" w:rsidP="00A72067">
            <w:pPr>
              <w:spacing w:after="0" w:line="240" w:lineRule="auto"/>
              <w:jc w:val="center"/>
              <w:rPr>
                <w:rFonts w:ascii="Calibri" w:eastAsia="Times New Roman" w:hAnsi="Calibri" w:cs="Calibri"/>
                <w:b/>
                <w:bCs/>
                <w:sz w:val="16"/>
                <w:szCs w:val="16"/>
                <w:lang w:eastAsia="hr-HR"/>
              </w:rPr>
            </w:pPr>
            <w:r w:rsidRPr="00A72067">
              <w:rPr>
                <w:rFonts w:ascii="Calibri" w:eastAsia="Times New Roman" w:hAnsi="Calibri" w:cs="Calibri"/>
                <w:b/>
                <w:bCs/>
                <w:sz w:val="16"/>
                <w:szCs w:val="16"/>
                <w:lang w:eastAsia="hr-HR"/>
              </w:rPr>
              <w:t>Ukupno</w:t>
            </w:r>
          </w:p>
        </w:tc>
        <w:tc>
          <w:tcPr>
            <w:tcW w:w="561" w:type="dxa"/>
            <w:tcBorders>
              <w:top w:val="nil"/>
              <w:left w:val="single" w:sz="4" w:space="0" w:color="auto"/>
              <w:bottom w:val="single" w:sz="4" w:space="0" w:color="auto"/>
              <w:right w:val="single" w:sz="4" w:space="0" w:color="auto"/>
            </w:tcBorders>
            <w:shd w:val="clear" w:color="000000" w:fill="FFFF00"/>
            <w:vAlign w:val="bottom"/>
            <w:hideMark/>
          </w:tcPr>
          <w:p w14:paraId="2FD9A5AE" w14:textId="77777777" w:rsidR="00A72067" w:rsidRPr="00A72067" w:rsidRDefault="00A72067" w:rsidP="00A72067">
            <w:pPr>
              <w:spacing w:after="0" w:line="240" w:lineRule="auto"/>
              <w:jc w:val="right"/>
              <w:rPr>
                <w:rFonts w:ascii="Calibri" w:eastAsia="Times New Roman" w:hAnsi="Calibri" w:cs="Calibri"/>
                <w:b/>
                <w:bCs/>
                <w:sz w:val="16"/>
                <w:szCs w:val="16"/>
                <w:lang w:eastAsia="hr-HR"/>
              </w:rPr>
            </w:pPr>
            <w:r w:rsidRPr="00A72067">
              <w:rPr>
                <w:rFonts w:ascii="Calibri" w:eastAsia="Times New Roman" w:hAnsi="Calibri" w:cs="Calibri"/>
                <w:b/>
                <w:bCs/>
                <w:sz w:val="16"/>
                <w:szCs w:val="16"/>
                <w:lang w:eastAsia="hr-HR"/>
              </w:rPr>
              <w:t>11</w:t>
            </w:r>
          </w:p>
        </w:tc>
        <w:tc>
          <w:tcPr>
            <w:tcW w:w="451" w:type="dxa"/>
            <w:tcBorders>
              <w:top w:val="nil"/>
              <w:left w:val="nil"/>
              <w:bottom w:val="single" w:sz="4" w:space="0" w:color="auto"/>
              <w:right w:val="single" w:sz="4" w:space="0" w:color="auto"/>
            </w:tcBorders>
            <w:shd w:val="clear" w:color="000000" w:fill="FFFF00"/>
            <w:vAlign w:val="bottom"/>
            <w:hideMark/>
          </w:tcPr>
          <w:p w14:paraId="4BB5C34D" w14:textId="77777777" w:rsidR="00A72067" w:rsidRPr="00A72067" w:rsidRDefault="00A72067" w:rsidP="00A72067">
            <w:pPr>
              <w:spacing w:after="0" w:line="240" w:lineRule="auto"/>
              <w:jc w:val="right"/>
              <w:rPr>
                <w:rFonts w:ascii="Calibri" w:eastAsia="Times New Roman" w:hAnsi="Calibri" w:cs="Calibri"/>
                <w:b/>
                <w:bCs/>
                <w:sz w:val="16"/>
                <w:szCs w:val="16"/>
                <w:lang w:eastAsia="hr-HR"/>
              </w:rPr>
            </w:pPr>
            <w:r w:rsidRPr="00A72067">
              <w:rPr>
                <w:rFonts w:ascii="Calibri" w:eastAsia="Times New Roman" w:hAnsi="Calibri" w:cs="Calibri"/>
                <w:b/>
                <w:bCs/>
                <w:sz w:val="16"/>
                <w:szCs w:val="16"/>
                <w:lang w:eastAsia="hr-HR"/>
              </w:rPr>
              <w:t>4</w:t>
            </w:r>
          </w:p>
        </w:tc>
        <w:tc>
          <w:tcPr>
            <w:tcW w:w="382" w:type="dxa"/>
            <w:tcBorders>
              <w:top w:val="nil"/>
              <w:left w:val="nil"/>
              <w:bottom w:val="single" w:sz="4" w:space="0" w:color="auto"/>
              <w:right w:val="single" w:sz="4" w:space="0" w:color="auto"/>
            </w:tcBorders>
            <w:shd w:val="clear" w:color="000000" w:fill="FFFF00"/>
            <w:vAlign w:val="bottom"/>
            <w:hideMark/>
          </w:tcPr>
          <w:p w14:paraId="171246F4" w14:textId="77777777" w:rsidR="00A72067" w:rsidRPr="00A72067" w:rsidRDefault="00A72067" w:rsidP="00A72067">
            <w:pPr>
              <w:spacing w:after="0" w:line="240" w:lineRule="auto"/>
              <w:jc w:val="right"/>
              <w:rPr>
                <w:rFonts w:ascii="Calibri" w:eastAsia="Times New Roman" w:hAnsi="Calibri" w:cs="Calibri"/>
                <w:b/>
                <w:bCs/>
                <w:sz w:val="16"/>
                <w:szCs w:val="16"/>
                <w:lang w:eastAsia="hr-HR"/>
              </w:rPr>
            </w:pPr>
            <w:r w:rsidRPr="00A72067">
              <w:rPr>
                <w:rFonts w:ascii="Calibri" w:eastAsia="Times New Roman" w:hAnsi="Calibri" w:cs="Calibri"/>
                <w:b/>
                <w:bCs/>
                <w:sz w:val="16"/>
                <w:szCs w:val="16"/>
                <w:lang w:eastAsia="hr-HR"/>
              </w:rPr>
              <w:t>5</w:t>
            </w:r>
          </w:p>
        </w:tc>
        <w:tc>
          <w:tcPr>
            <w:tcW w:w="427" w:type="dxa"/>
            <w:tcBorders>
              <w:top w:val="nil"/>
              <w:left w:val="nil"/>
              <w:bottom w:val="single" w:sz="4" w:space="0" w:color="auto"/>
              <w:right w:val="single" w:sz="4" w:space="0" w:color="auto"/>
            </w:tcBorders>
            <w:shd w:val="clear" w:color="000000" w:fill="FFFF00"/>
            <w:vAlign w:val="bottom"/>
            <w:hideMark/>
          </w:tcPr>
          <w:p w14:paraId="3338BA49" w14:textId="77777777" w:rsidR="00A72067" w:rsidRPr="00A72067" w:rsidRDefault="00A72067" w:rsidP="00A72067">
            <w:pPr>
              <w:spacing w:after="0" w:line="240" w:lineRule="auto"/>
              <w:jc w:val="right"/>
              <w:rPr>
                <w:rFonts w:ascii="Calibri" w:eastAsia="Times New Roman" w:hAnsi="Calibri" w:cs="Calibri"/>
                <w:b/>
                <w:bCs/>
                <w:sz w:val="16"/>
                <w:szCs w:val="16"/>
                <w:lang w:eastAsia="hr-HR"/>
              </w:rPr>
            </w:pPr>
            <w:r w:rsidRPr="00A72067">
              <w:rPr>
                <w:rFonts w:ascii="Calibri" w:eastAsia="Times New Roman" w:hAnsi="Calibri" w:cs="Calibri"/>
                <w:b/>
                <w:bCs/>
                <w:sz w:val="16"/>
                <w:szCs w:val="16"/>
                <w:lang w:eastAsia="hr-HR"/>
              </w:rPr>
              <w:t>0</w:t>
            </w:r>
          </w:p>
        </w:tc>
        <w:tc>
          <w:tcPr>
            <w:tcW w:w="559" w:type="dxa"/>
            <w:tcBorders>
              <w:top w:val="nil"/>
              <w:left w:val="nil"/>
              <w:bottom w:val="single" w:sz="4" w:space="0" w:color="auto"/>
              <w:right w:val="single" w:sz="4" w:space="0" w:color="auto"/>
            </w:tcBorders>
            <w:shd w:val="clear" w:color="000000" w:fill="FFFF00"/>
            <w:vAlign w:val="bottom"/>
            <w:hideMark/>
          </w:tcPr>
          <w:p w14:paraId="224F4C7A" w14:textId="77777777" w:rsidR="00A72067" w:rsidRPr="00A72067" w:rsidRDefault="00A72067" w:rsidP="00A72067">
            <w:pPr>
              <w:spacing w:after="0" w:line="240" w:lineRule="auto"/>
              <w:jc w:val="right"/>
              <w:rPr>
                <w:rFonts w:ascii="Calibri" w:eastAsia="Times New Roman" w:hAnsi="Calibri" w:cs="Calibri"/>
                <w:b/>
                <w:bCs/>
                <w:sz w:val="16"/>
                <w:szCs w:val="16"/>
                <w:lang w:eastAsia="hr-HR"/>
              </w:rPr>
            </w:pPr>
            <w:r w:rsidRPr="00A72067">
              <w:rPr>
                <w:rFonts w:ascii="Calibri" w:eastAsia="Times New Roman" w:hAnsi="Calibri" w:cs="Calibri"/>
                <w:b/>
                <w:bCs/>
                <w:sz w:val="16"/>
                <w:szCs w:val="16"/>
                <w:lang w:eastAsia="hr-HR"/>
              </w:rPr>
              <w:t>0</w:t>
            </w:r>
          </w:p>
        </w:tc>
        <w:tc>
          <w:tcPr>
            <w:tcW w:w="424" w:type="dxa"/>
            <w:tcBorders>
              <w:top w:val="nil"/>
              <w:left w:val="nil"/>
              <w:bottom w:val="single" w:sz="4" w:space="0" w:color="auto"/>
              <w:right w:val="single" w:sz="4" w:space="0" w:color="auto"/>
            </w:tcBorders>
            <w:shd w:val="clear" w:color="000000" w:fill="FFFF00"/>
            <w:vAlign w:val="bottom"/>
            <w:hideMark/>
          </w:tcPr>
          <w:p w14:paraId="5735A282" w14:textId="77777777" w:rsidR="00A72067" w:rsidRPr="00A72067" w:rsidRDefault="00A72067" w:rsidP="00A72067">
            <w:pPr>
              <w:spacing w:after="0" w:line="240" w:lineRule="auto"/>
              <w:jc w:val="right"/>
              <w:rPr>
                <w:rFonts w:ascii="Calibri" w:eastAsia="Times New Roman" w:hAnsi="Calibri" w:cs="Calibri"/>
                <w:b/>
                <w:bCs/>
                <w:sz w:val="16"/>
                <w:szCs w:val="16"/>
                <w:lang w:eastAsia="hr-HR"/>
              </w:rPr>
            </w:pPr>
            <w:r w:rsidRPr="00A72067">
              <w:rPr>
                <w:rFonts w:ascii="Calibri" w:eastAsia="Times New Roman" w:hAnsi="Calibri" w:cs="Calibri"/>
                <w:b/>
                <w:bCs/>
                <w:sz w:val="16"/>
                <w:szCs w:val="16"/>
                <w:lang w:eastAsia="hr-HR"/>
              </w:rPr>
              <w:t>0</w:t>
            </w:r>
          </w:p>
        </w:tc>
        <w:tc>
          <w:tcPr>
            <w:tcW w:w="816" w:type="dxa"/>
            <w:tcBorders>
              <w:top w:val="nil"/>
              <w:left w:val="nil"/>
              <w:bottom w:val="single" w:sz="4" w:space="0" w:color="auto"/>
              <w:right w:val="single" w:sz="4" w:space="0" w:color="auto"/>
            </w:tcBorders>
            <w:shd w:val="clear" w:color="000000" w:fill="FFFF00"/>
            <w:vAlign w:val="bottom"/>
            <w:hideMark/>
          </w:tcPr>
          <w:p w14:paraId="3FA84C4A" w14:textId="77777777" w:rsidR="00A72067" w:rsidRPr="00A72067" w:rsidRDefault="00A72067" w:rsidP="00A72067">
            <w:pPr>
              <w:spacing w:after="0" w:line="240" w:lineRule="auto"/>
              <w:jc w:val="right"/>
              <w:rPr>
                <w:rFonts w:ascii="Calibri" w:eastAsia="Times New Roman" w:hAnsi="Calibri" w:cs="Calibri"/>
                <w:b/>
                <w:bCs/>
                <w:sz w:val="16"/>
                <w:szCs w:val="16"/>
                <w:lang w:eastAsia="hr-HR"/>
              </w:rPr>
            </w:pPr>
            <w:r w:rsidRPr="00A72067">
              <w:rPr>
                <w:rFonts w:ascii="Calibri" w:eastAsia="Times New Roman" w:hAnsi="Calibri" w:cs="Calibri"/>
                <w:b/>
                <w:bCs/>
                <w:sz w:val="16"/>
                <w:szCs w:val="16"/>
                <w:lang w:eastAsia="hr-HR"/>
              </w:rPr>
              <w:t>0</w:t>
            </w:r>
          </w:p>
        </w:tc>
        <w:tc>
          <w:tcPr>
            <w:tcW w:w="422" w:type="dxa"/>
            <w:tcBorders>
              <w:top w:val="nil"/>
              <w:left w:val="nil"/>
              <w:bottom w:val="single" w:sz="4" w:space="0" w:color="auto"/>
              <w:right w:val="single" w:sz="4" w:space="0" w:color="auto"/>
            </w:tcBorders>
            <w:shd w:val="clear" w:color="000000" w:fill="FFFF00"/>
            <w:vAlign w:val="bottom"/>
            <w:hideMark/>
          </w:tcPr>
          <w:p w14:paraId="36837E69" w14:textId="77777777" w:rsidR="00A72067" w:rsidRPr="00A72067" w:rsidRDefault="00A72067" w:rsidP="00A72067">
            <w:pPr>
              <w:spacing w:after="0" w:line="240" w:lineRule="auto"/>
              <w:jc w:val="right"/>
              <w:rPr>
                <w:rFonts w:ascii="Calibri" w:eastAsia="Times New Roman" w:hAnsi="Calibri" w:cs="Calibri"/>
                <w:b/>
                <w:bCs/>
                <w:sz w:val="16"/>
                <w:szCs w:val="16"/>
                <w:lang w:eastAsia="hr-HR"/>
              </w:rPr>
            </w:pPr>
            <w:r w:rsidRPr="00A72067">
              <w:rPr>
                <w:rFonts w:ascii="Calibri" w:eastAsia="Times New Roman" w:hAnsi="Calibri" w:cs="Calibri"/>
                <w:b/>
                <w:bCs/>
                <w:sz w:val="16"/>
                <w:szCs w:val="16"/>
                <w:lang w:eastAsia="hr-HR"/>
              </w:rPr>
              <w:t>0</w:t>
            </w:r>
          </w:p>
        </w:tc>
        <w:tc>
          <w:tcPr>
            <w:tcW w:w="456" w:type="dxa"/>
            <w:tcBorders>
              <w:top w:val="nil"/>
              <w:left w:val="nil"/>
              <w:bottom w:val="single" w:sz="4" w:space="0" w:color="auto"/>
              <w:right w:val="single" w:sz="4" w:space="0" w:color="auto"/>
            </w:tcBorders>
            <w:shd w:val="clear" w:color="000000" w:fill="FFFF00"/>
            <w:vAlign w:val="bottom"/>
            <w:hideMark/>
          </w:tcPr>
          <w:p w14:paraId="6D955F94" w14:textId="77777777" w:rsidR="00A72067" w:rsidRPr="00A72067" w:rsidRDefault="00A72067" w:rsidP="00A72067">
            <w:pPr>
              <w:spacing w:after="0" w:line="240" w:lineRule="auto"/>
              <w:jc w:val="right"/>
              <w:rPr>
                <w:rFonts w:ascii="Calibri" w:eastAsia="Times New Roman" w:hAnsi="Calibri" w:cs="Calibri"/>
                <w:b/>
                <w:bCs/>
                <w:sz w:val="16"/>
                <w:szCs w:val="16"/>
                <w:lang w:eastAsia="hr-HR"/>
              </w:rPr>
            </w:pPr>
            <w:r w:rsidRPr="00A72067">
              <w:rPr>
                <w:rFonts w:ascii="Calibri" w:eastAsia="Times New Roman" w:hAnsi="Calibri" w:cs="Calibri"/>
                <w:b/>
                <w:bCs/>
                <w:sz w:val="16"/>
                <w:szCs w:val="16"/>
                <w:lang w:eastAsia="hr-HR"/>
              </w:rPr>
              <w:t>0</w:t>
            </w:r>
          </w:p>
        </w:tc>
        <w:tc>
          <w:tcPr>
            <w:tcW w:w="422" w:type="dxa"/>
            <w:tcBorders>
              <w:top w:val="nil"/>
              <w:left w:val="nil"/>
              <w:bottom w:val="single" w:sz="4" w:space="0" w:color="auto"/>
              <w:right w:val="single" w:sz="4" w:space="0" w:color="auto"/>
            </w:tcBorders>
            <w:shd w:val="clear" w:color="000000" w:fill="FFFF00"/>
            <w:vAlign w:val="bottom"/>
            <w:hideMark/>
          </w:tcPr>
          <w:p w14:paraId="16809E04" w14:textId="77777777" w:rsidR="00A72067" w:rsidRPr="00A72067" w:rsidRDefault="00A72067" w:rsidP="00A72067">
            <w:pPr>
              <w:spacing w:after="0" w:line="240" w:lineRule="auto"/>
              <w:jc w:val="right"/>
              <w:rPr>
                <w:rFonts w:ascii="Calibri" w:eastAsia="Times New Roman" w:hAnsi="Calibri" w:cs="Calibri"/>
                <w:b/>
                <w:bCs/>
                <w:sz w:val="16"/>
                <w:szCs w:val="16"/>
                <w:lang w:eastAsia="hr-HR"/>
              </w:rPr>
            </w:pPr>
            <w:r w:rsidRPr="00A72067">
              <w:rPr>
                <w:rFonts w:ascii="Calibri" w:eastAsia="Times New Roman" w:hAnsi="Calibri" w:cs="Calibri"/>
                <w:b/>
                <w:bCs/>
                <w:sz w:val="16"/>
                <w:szCs w:val="16"/>
                <w:lang w:eastAsia="hr-HR"/>
              </w:rPr>
              <w:t>0</w:t>
            </w:r>
          </w:p>
        </w:tc>
        <w:tc>
          <w:tcPr>
            <w:tcW w:w="517" w:type="dxa"/>
            <w:tcBorders>
              <w:top w:val="nil"/>
              <w:left w:val="nil"/>
              <w:bottom w:val="single" w:sz="4" w:space="0" w:color="auto"/>
              <w:right w:val="single" w:sz="4" w:space="0" w:color="auto"/>
            </w:tcBorders>
            <w:shd w:val="clear" w:color="000000" w:fill="FFFF00"/>
            <w:vAlign w:val="bottom"/>
            <w:hideMark/>
          </w:tcPr>
          <w:p w14:paraId="5F3AACA2" w14:textId="77777777" w:rsidR="00A72067" w:rsidRPr="00A72067" w:rsidRDefault="00A72067" w:rsidP="00A72067">
            <w:pPr>
              <w:spacing w:after="0" w:line="240" w:lineRule="auto"/>
              <w:jc w:val="right"/>
              <w:rPr>
                <w:rFonts w:ascii="Calibri" w:eastAsia="Times New Roman" w:hAnsi="Calibri" w:cs="Calibri"/>
                <w:b/>
                <w:bCs/>
                <w:sz w:val="16"/>
                <w:szCs w:val="16"/>
                <w:lang w:eastAsia="hr-HR"/>
              </w:rPr>
            </w:pPr>
            <w:r w:rsidRPr="00A72067">
              <w:rPr>
                <w:rFonts w:ascii="Calibri" w:eastAsia="Times New Roman" w:hAnsi="Calibri" w:cs="Calibri"/>
                <w:b/>
                <w:bCs/>
                <w:sz w:val="16"/>
                <w:szCs w:val="16"/>
                <w:lang w:eastAsia="hr-HR"/>
              </w:rPr>
              <w:t>0</w:t>
            </w:r>
          </w:p>
        </w:tc>
        <w:tc>
          <w:tcPr>
            <w:tcW w:w="474" w:type="dxa"/>
            <w:tcBorders>
              <w:top w:val="nil"/>
              <w:left w:val="nil"/>
              <w:bottom w:val="single" w:sz="4" w:space="0" w:color="auto"/>
              <w:right w:val="single" w:sz="4" w:space="0" w:color="auto"/>
            </w:tcBorders>
            <w:shd w:val="clear" w:color="000000" w:fill="FFFF00"/>
            <w:vAlign w:val="bottom"/>
            <w:hideMark/>
          </w:tcPr>
          <w:p w14:paraId="68FDB0FE" w14:textId="77777777" w:rsidR="00A72067" w:rsidRPr="00A72067" w:rsidRDefault="00A72067" w:rsidP="00A72067">
            <w:pPr>
              <w:spacing w:after="0" w:line="240" w:lineRule="auto"/>
              <w:jc w:val="right"/>
              <w:rPr>
                <w:rFonts w:ascii="Calibri" w:eastAsia="Times New Roman" w:hAnsi="Calibri" w:cs="Calibri"/>
                <w:b/>
                <w:bCs/>
                <w:sz w:val="16"/>
                <w:szCs w:val="16"/>
                <w:lang w:eastAsia="hr-HR"/>
              </w:rPr>
            </w:pPr>
            <w:r w:rsidRPr="00A72067">
              <w:rPr>
                <w:rFonts w:ascii="Calibri" w:eastAsia="Times New Roman" w:hAnsi="Calibri" w:cs="Calibri"/>
                <w:b/>
                <w:bCs/>
                <w:sz w:val="16"/>
                <w:szCs w:val="16"/>
                <w:lang w:eastAsia="hr-HR"/>
              </w:rPr>
              <w:t>2</w:t>
            </w:r>
          </w:p>
        </w:tc>
        <w:tc>
          <w:tcPr>
            <w:tcW w:w="577" w:type="dxa"/>
            <w:tcBorders>
              <w:top w:val="nil"/>
              <w:left w:val="nil"/>
              <w:bottom w:val="single" w:sz="4" w:space="0" w:color="auto"/>
              <w:right w:val="single" w:sz="4" w:space="0" w:color="auto"/>
            </w:tcBorders>
            <w:shd w:val="clear" w:color="000000" w:fill="FFFF00"/>
            <w:vAlign w:val="bottom"/>
            <w:hideMark/>
          </w:tcPr>
          <w:p w14:paraId="677C00EC" w14:textId="77777777" w:rsidR="00A72067" w:rsidRPr="00A72067" w:rsidRDefault="00A72067" w:rsidP="00A72067">
            <w:pPr>
              <w:spacing w:after="0" w:line="240" w:lineRule="auto"/>
              <w:jc w:val="right"/>
              <w:rPr>
                <w:rFonts w:ascii="Calibri" w:eastAsia="Times New Roman" w:hAnsi="Calibri" w:cs="Calibri"/>
                <w:b/>
                <w:bCs/>
                <w:sz w:val="16"/>
                <w:szCs w:val="16"/>
                <w:lang w:eastAsia="hr-HR"/>
              </w:rPr>
            </w:pPr>
            <w:r w:rsidRPr="00A72067">
              <w:rPr>
                <w:rFonts w:ascii="Calibri" w:eastAsia="Times New Roman" w:hAnsi="Calibri" w:cs="Calibri"/>
                <w:b/>
                <w:bCs/>
                <w:sz w:val="16"/>
                <w:szCs w:val="16"/>
                <w:lang w:eastAsia="hr-HR"/>
              </w:rPr>
              <w:t>3</w:t>
            </w:r>
          </w:p>
        </w:tc>
        <w:tc>
          <w:tcPr>
            <w:tcW w:w="422" w:type="dxa"/>
            <w:gridSpan w:val="2"/>
            <w:tcBorders>
              <w:top w:val="nil"/>
              <w:left w:val="nil"/>
              <w:bottom w:val="single" w:sz="4" w:space="0" w:color="auto"/>
              <w:right w:val="single" w:sz="4" w:space="0" w:color="auto"/>
            </w:tcBorders>
            <w:shd w:val="clear" w:color="000000" w:fill="FFFF00"/>
            <w:vAlign w:val="bottom"/>
            <w:hideMark/>
          </w:tcPr>
          <w:p w14:paraId="1B3C5938" w14:textId="77777777" w:rsidR="00A72067" w:rsidRPr="00A72067" w:rsidRDefault="00A72067" w:rsidP="00A72067">
            <w:pPr>
              <w:spacing w:after="0" w:line="240" w:lineRule="auto"/>
              <w:jc w:val="right"/>
              <w:rPr>
                <w:rFonts w:ascii="Calibri" w:eastAsia="Times New Roman" w:hAnsi="Calibri" w:cs="Calibri"/>
                <w:b/>
                <w:bCs/>
                <w:sz w:val="16"/>
                <w:szCs w:val="16"/>
                <w:lang w:eastAsia="hr-HR"/>
              </w:rPr>
            </w:pPr>
            <w:r w:rsidRPr="00A72067">
              <w:rPr>
                <w:rFonts w:ascii="Calibri" w:eastAsia="Times New Roman" w:hAnsi="Calibri" w:cs="Calibri"/>
                <w:b/>
                <w:bCs/>
                <w:sz w:val="16"/>
                <w:szCs w:val="16"/>
                <w:lang w:eastAsia="hr-HR"/>
              </w:rPr>
              <w:t>0</w:t>
            </w:r>
          </w:p>
        </w:tc>
        <w:tc>
          <w:tcPr>
            <w:tcW w:w="320" w:type="dxa"/>
            <w:tcBorders>
              <w:top w:val="nil"/>
              <w:left w:val="nil"/>
              <w:bottom w:val="single" w:sz="4" w:space="0" w:color="auto"/>
              <w:right w:val="single" w:sz="4" w:space="0" w:color="auto"/>
            </w:tcBorders>
            <w:shd w:val="clear" w:color="000000" w:fill="FFFF00"/>
            <w:vAlign w:val="bottom"/>
            <w:hideMark/>
          </w:tcPr>
          <w:p w14:paraId="75377A01" w14:textId="77777777" w:rsidR="00A72067" w:rsidRPr="00A72067" w:rsidRDefault="00A72067" w:rsidP="00A72067">
            <w:pPr>
              <w:spacing w:after="0" w:line="240" w:lineRule="auto"/>
              <w:jc w:val="right"/>
              <w:rPr>
                <w:rFonts w:ascii="Calibri" w:eastAsia="Times New Roman" w:hAnsi="Calibri" w:cs="Calibri"/>
                <w:b/>
                <w:bCs/>
                <w:sz w:val="16"/>
                <w:szCs w:val="16"/>
                <w:lang w:eastAsia="hr-HR"/>
              </w:rPr>
            </w:pPr>
            <w:r w:rsidRPr="00A72067">
              <w:rPr>
                <w:rFonts w:ascii="Calibri" w:eastAsia="Times New Roman" w:hAnsi="Calibri" w:cs="Calibri"/>
                <w:b/>
                <w:bCs/>
                <w:sz w:val="16"/>
                <w:szCs w:val="16"/>
                <w:lang w:eastAsia="hr-HR"/>
              </w:rPr>
              <w:t>1</w:t>
            </w:r>
          </w:p>
        </w:tc>
        <w:tc>
          <w:tcPr>
            <w:tcW w:w="426" w:type="dxa"/>
            <w:tcBorders>
              <w:top w:val="nil"/>
              <w:left w:val="nil"/>
              <w:bottom w:val="single" w:sz="4" w:space="0" w:color="auto"/>
              <w:right w:val="single" w:sz="4" w:space="0" w:color="auto"/>
            </w:tcBorders>
            <w:shd w:val="clear" w:color="000000" w:fill="FFFF00"/>
            <w:vAlign w:val="bottom"/>
            <w:hideMark/>
          </w:tcPr>
          <w:p w14:paraId="6C506F32" w14:textId="77777777" w:rsidR="00A72067" w:rsidRPr="00A72067" w:rsidRDefault="00A72067" w:rsidP="00A72067">
            <w:pPr>
              <w:spacing w:after="0" w:line="240" w:lineRule="auto"/>
              <w:jc w:val="right"/>
              <w:rPr>
                <w:rFonts w:ascii="Calibri" w:eastAsia="Times New Roman" w:hAnsi="Calibri" w:cs="Calibri"/>
                <w:b/>
                <w:bCs/>
                <w:sz w:val="16"/>
                <w:szCs w:val="16"/>
                <w:lang w:eastAsia="hr-HR"/>
              </w:rPr>
            </w:pPr>
            <w:r w:rsidRPr="00A72067">
              <w:rPr>
                <w:rFonts w:ascii="Calibri" w:eastAsia="Times New Roman" w:hAnsi="Calibri" w:cs="Calibri"/>
                <w:b/>
                <w:bCs/>
                <w:sz w:val="16"/>
                <w:szCs w:val="16"/>
                <w:lang w:eastAsia="hr-HR"/>
              </w:rPr>
              <w:t>1</w:t>
            </w:r>
          </w:p>
        </w:tc>
        <w:tc>
          <w:tcPr>
            <w:tcW w:w="422" w:type="dxa"/>
            <w:tcBorders>
              <w:top w:val="nil"/>
              <w:left w:val="nil"/>
              <w:bottom w:val="single" w:sz="4" w:space="0" w:color="auto"/>
              <w:right w:val="single" w:sz="4" w:space="0" w:color="auto"/>
            </w:tcBorders>
            <w:shd w:val="clear" w:color="000000" w:fill="FFFF00"/>
            <w:vAlign w:val="bottom"/>
            <w:hideMark/>
          </w:tcPr>
          <w:p w14:paraId="64C6D4A9" w14:textId="77777777" w:rsidR="00A72067" w:rsidRPr="00A72067" w:rsidRDefault="00A72067" w:rsidP="00A72067">
            <w:pPr>
              <w:spacing w:after="0" w:line="240" w:lineRule="auto"/>
              <w:jc w:val="right"/>
              <w:rPr>
                <w:rFonts w:ascii="Calibri" w:eastAsia="Times New Roman" w:hAnsi="Calibri" w:cs="Calibri"/>
                <w:b/>
                <w:bCs/>
                <w:sz w:val="16"/>
                <w:szCs w:val="16"/>
                <w:lang w:eastAsia="hr-HR"/>
              </w:rPr>
            </w:pPr>
            <w:r w:rsidRPr="00A72067">
              <w:rPr>
                <w:rFonts w:ascii="Calibri" w:eastAsia="Times New Roman" w:hAnsi="Calibri" w:cs="Calibri"/>
                <w:b/>
                <w:bCs/>
                <w:sz w:val="16"/>
                <w:szCs w:val="16"/>
                <w:lang w:eastAsia="hr-HR"/>
              </w:rPr>
              <w:t>0</w:t>
            </w:r>
          </w:p>
        </w:tc>
        <w:tc>
          <w:tcPr>
            <w:tcW w:w="433" w:type="dxa"/>
            <w:gridSpan w:val="2"/>
            <w:tcBorders>
              <w:top w:val="nil"/>
              <w:left w:val="nil"/>
              <w:bottom w:val="single" w:sz="4" w:space="0" w:color="auto"/>
              <w:right w:val="single" w:sz="4" w:space="0" w:color="auto"/>
            </w:tcBorders>
            <w:shd w:val="clear" w:color="000000" w:fill="FFFF00"/>
            <w:vAlign w:val="bottom"/>
            <w:hideMark/>
          </w:tcPr>
          <w:p w14:paraId="3AD94F35" w14:textId="77777777" w:rsidR="00A72067" w:rsidRPr="00A72067" w:rsidRDefault="00A72067" w:rsidP="00A72067">
            <w:pPr>
              <w:spacing w:after="0" w:line="240" w:lineRule="auto"/>
              <w:jc w:val="right"/>
              <w:rPr>
                <w:rFonts w:ascii="Calibri" w:eastAsia="Times New Roman" w:hAnsi="Calibri" w:cs="Calibri"/>
                <w:b/>
                <w:bCs/>
                <w:sz w:val="16"/>
                <w:szCs w:val="16"/>
                <w:lang w:eastAsia="hr-HR"/>
              </w:rPr>
            </w:pPr>
            <w:r w:rsidRPr="00A72067">
              <w:rPr>
                <w:rFonts w:ascii="Calibri" w:eastAsia="Times New Roman" w:hAnsi="Calibri" w:cs="Calibri"/>
                <w:b/>
                <w:bCs/>
                <w:sz w:val="16"/>
                <w:szCs w:val="16"/>
                <w:lang w:eastAsia="hr-HR"/>
              </w:rPr>
              <w:t>2</w:t>
            </w:r>
          </w:p>
        </w:tc>
        <w:tc>
          <w:tcPr>
            <w:tcW w:w="422" w:type="dxa"/>
            <w:tcBorders>
              <w:top w:val="nil"/>
              <w:left w:val="nil"/>
              <w:bottom w:val="single" w:sz="4" w:space="0" w:color="auto"/>
              <w:right w:val="single" w:sz="4" w:space="0" w:color="auto"/>
            </w:tcBorders>
            <w:shd w:val="clear" w:color="000000" w:fill="FFFF00"/>
            <w:vAlign w:val="bottom"/>
            <w:hideMark/>
          </w:tcPr>
          <w:p w14:paraId="3DC068BD" w14:textId="77777777" w:rsidR="00A72067" w:rsidRPr="00A72067" w:rsidRDefault="00A72067" w:rsidP="00A72067">
            <w:pPr>
              <w:spacing w:after="0" w:line="240" w:lineRule="auto"/>
              <w:jc w:val="right"/>
              <w:rPr>
                <w:rFonts w:ascii="Calibri" w:eastAsia="Times New Roman" w:hAnsi="Calibri" w:cs="Calibri"/>
                <w:b/>
                <w:bCs/>
                <w:sz w:val="16"/>
                <w:szCs w:val="16"/>
                <w:lang w:eastAsia="hr-HR"/>
              </w:rPr>
            </w:pPr>
            <w:r w:rsidRPr="00A72067">
              <w:rPr>
                <w:rFonts w:ascii="Calibri" w:eastAsia="Times New Roman" w:hAnsi="Calibri" w:cs="Calibri"/>
                <w:b/>
                <w:bCs/>
                <w:sz w:val="16"/>
                <w:szCs w:val="16"/>
                <w:lang w:eastAsia="hr-HR"/>
              </w:rPr>
              <w:t>0</w:t>
            </w:r>
          </w:p>
        </w:tc>
        <w:tc>
          <w:tcPr>
            <w:tcW w:w="424" w:type="dxa"/>
            <w:tcBorders>
              <w:top w:val="nil"/>
              <w:left w:val="nil"/>
              <w:bottom w:val="single" w:sz="4" w:space="0" w:color="auto"/>
              <w:right w:val="single" w:sz="4" w:space="0" w:color="auto"/>
            </w:tcBorders>
            <w:shd w:val="clear" w:color="000000" w:fill="FFFF00"/>
            <w:vAlign w:val="bottom"/>
            <w:hideMark/>
          </w:tcPr>
          <w:p w14:paraId="197EF540" w14:textId="77777777" w:rsidR="00A72067" w:rsidRPr="00A72067" w:rsidRDefault="00A72067" w:rsidP="00A72067">
            <w:pPr>
              <w:spacing w:after="0" w:line="240" w:lineRule="auto"/>
              <w:jc w:val="right"/>
              <w:rPr>
                <w:rFonts w:ascii="Calibri" w:eastAsia="Times New Roman" w:hAnsi="Calibri" w:cs="Calibri"/>
                <w:b/>
                <w:bCs/>
                <w:sz w:val="16"/>
                <w:szCs w:val="16"/>
                <w:lang w:eastAsia="hr-HR"/>
              </w:rPr>
            </w:pPr>
            <w:r w:rsidRPr="00A72067">
              <w:rPr>
                <w:rFonts w:ascii="Calibri" w:eastAsia="Times New Roman" w:hAnsi="Calibri" w:cs="Calibri"/>
                <w:b/>
                <w:bCs/>
                <w:sz w:val="16"/>
                <w:szCs w:val="16"/>
                <w:lang w:eastAsia="hr-HR"/>
              </w:rPr>
              <w:t>1</w:t>
            </w:r>
          </w:p>
        </w:tc>
        <w:tc>
          <w:tcPr>
            <w:tcW w:w="430" w:type="dxa"/>
            <w:tcBorders>
              <w:top w:val="nil"/>
              <w:left w:val="nil"/>
              <w:bottom w:val="single" w:sz="4" w:space="0" w:color="auto"/>
              <w:right w:val="single" w:sz="4" w:space="0" w:color="auto"/>
            </w:tcBorders>
            <w:shd w:val="clear" w:color="000000" w:fill="FFFF00"/>
            <w:vAlign w:val="bottom"/>
            <w:hideMark/>
          </w:tcPr>
          <w:p w14:paraId="369362E1" w14:textId="77777777" w:rsidR="00A72067" w:rsidRPr="00A72067" w:rsidRDefault="00A72067" w:rsidP="00A72067">
            <w:pPr>
              <w:spacing w:after="0" w:line="240" w:lineRule="auto"/>
              <w:jc w:val="right"/>
              <w:rPr>
                <w:rFonts w:ascii="Calibri" w:eastAsia="Times New Roman" w:hAnsi="Calibri" w:cs="Calibri"/>
                <w:b/>
                <w:bCs/>
                <w:sz w:val="16"/>
                <w:szCs w:val="16"/>
                <w:lang w:eastAsia="hr-HR"/>
              </w:rPr>
            </w:pPr>
            <w:r w:rsidRPr="00A72067">
              <w:rPr>
                <w:rFonts w:ascii="Calibri" w:eastAsia="Times New Roman" w:hAnsi="Calibri" w:cs="Calibri"/>
                <w:b/>
                <w:bCs/>
                <w:sz w:val="16"/>
                <w:szCs w:val="16"/>
                <w:lang w:eastAsia="hr-HR"/>
              </w:rPr>
              <w:t>0</w:t>
            </w:r>
          </w:p>
        </w:tc>
        <w:tc>
          <w:tcPr>
            <w:tcW w:w="424" w:type="dxa"/>
            <w:tcBorders>
              <w:top w:val="nil"/>
              <w:left w:val="nil"/>
              <w:bottom w:val="single" w:sz="4" w:space="0" w:color="auto"/>
              <w:right w:val="single" w:sz="4" w:space="0" w:color="auto"/>
            </w:tcBorders>
            <w:shd w:val="clear" w:color="000000" w:fill="FFFF00"/>
            <w:vAlign w:val="bottom"/>
            <w:hideMark/>
          </w:tcPr>
          <w:p w14:paraId="4F452848" w14:textId="77777777" w:rsidR="00A72067" w:rsidRPr="00A72067" w:rsidRDefault="00A72067" w:rsidP="00A72067">
            <w:pPr>
              <w:spacing w:after="0" w:line="240" w:lineRule="auto"/>
              <w:jc w:val="right"/>
              <w:rPr>
                <w:rFonts w:ascii="Calibri" w:eastAsia="Times New Roman" w:hAnsi="Calibri" w:cs="Calibri"/>
                <w:b/>
                <w:bCs/>
                <w:sz w:val="16"/>
                <w:szCs w:val="16"/>
                <w:lang w:eastAsia="hr-HR"/>
              </w:rPr>
            </w:pPr>
            <w:r w:rsidRPr="00A72067">
              <w:rPr>
                <w:rFonts w:ascii="Calibri" w:eastAsia="Times New Roman" w:hAnsi="Calibri" w:cs="Calibri"/>
                <w:b/>
                <w:bCs/>
                <w:sz w:val="16"/>
                <w:szCs w:val="16"/>
                <w:lang w:eastAsia="hr-HR"/>
              </w:rPr>
              <w:t>1</w:t>
            </w:r>
          </w:p>
        </w:tc>
        <w:tc>
          <w:tcPr>
            <w:tcW w:w="570" w:type="dxa"/>
            <w:tcBorders>
              <w:top w:val="nil"/>
              <w:left w:val="nil"/>
              <w:bottom w:val="single" w:sz="4" w:space="0" w:color="auto"/>
              <w:right w:val="single" w:sz="4" w:space="0" w:color="auto"/>
            </w:tcBorders>
            <w:shd w:val="clear" w:color="000000" w:fill="FFFF00"/>
            <w:vAlign w:val="bottom"/>
            <w:hideMark/>
          </w:tcPr>
          <w:p w14:paraId="2B272421" w14:textId="77777777" w:rsidR="00A72067" w:rsidRPr="00A72067" w:rsidRDefault="00A72067" w:rsidP="00A72067">
            <w:pPr>
              <w:spacing w:after="0" w:line="240" w:lineRule="auto"/>
              <w:jc w:val="right"/>
              <w:rPr>
                <w:rFonts w:ascii="Calibri" w:eastAsia="Times New Roman" w:hAnsi="Calibri" w:cs="Calibri"/>
                <w:b/>
                <w:bCs/>
                <w:sz w:val="16"/>
                <w:szCs w:val="16"/>
                <w:lang w:eastAsia="hr-HR"/>
              </w:rPr>
            </w:pPr>
            <w:r w:rsidRPr="00A72067">
              <w:rPr>
                <w:rFonts w:ascii="Calibri" w:eastAsia="Times New Roman" w:hAnsi="Calibri" w:cs="Calibri"/>
                <w:b/>
                <w:bCs/>
                <w:sz w:val="16"/>
                <w:szCs w:val="16"/>
                <w:lang w:eastAsia="hr-HR"/>
              </w:rPr>
              <w:t>13</w:t>
            </w:r>
          </w:p>
        </w:tc>
        <w:tc>
          <w:tcPr>
            <w:tcW w:w="424" w:type="dxa"/>
            <w:gridSpan w:val="2"/>
            <w:tcBorders>
              <w:top w:val="nil"/>
              <w:left w:val="nil"/>
              <w:bottom w:val="single" w:sz="4" w:space="0" w:color="auto"/>
              <w:right w:val="single" w:sz="4" w:space="0" w:color="auto"/>
            </w:tcBorders>
            <w:shd w:val="clear" w:color="000000" w:fill="FFFF00"/>
            <w:vAlign w:val="bottom"/>
            <w:hideMark/>
          </w:tcPr>
          <w:p w14:paraId="17A1D4E4" w14:textId="77777777" w:rsidR="00A72067" w:rsidRPr="00A72067" w:rsidRDefault="00A72067" w:rsidP="00A72067">
            <w:pPr>
              <w:spacing w:after="0" w:line="240" w:lineRule="auto"/>
              <w:jc w:val="right"/>
              <w:rPr>
                <w:rFonts w:ascii="Calibri" w:eastAsia="Times New Roman" w:hAnsi="Calibri" w:cs="Calibri"/>
                <w:b/>
                <w:bCs/>
                <w:sz w:val="16"/>
                <w:szCs w:val="16"/>
                <w:lang w:eastAsia="hr-HR"/>
              </w:rPr>
            </w:pPr>
            <w:r w:rsidRPr="00A72067">
              <w:rPr>
                <w:rFonts w:ascii="Calibri" w:eastAsia="Times New Roman" w:hAnsi="Calibri" w:cs="Calibri"/>
                <w:b/>
                <w:bCs/>
                <w:sz w:val="16"/>
                <w:szCs w:val="16"/>
                <w:lang w:eastAsia="hr-HR"/>
              </w:rPr>
              <w:t>1</w:t>
            </w:r>
          </w:p>
        </w:tc>
        <w:tc>
          <w:tcPr>
            <w:tcW w:w="521" w:type="dxa"/>
            <w:gridSpan w:val="2"/>
            <w:tcBorders>
              <w:top w:val="nil"/>
              <w:left w:val="nil"/>
              <w:bottom w:val="single" w:sz="4" w:space="0" w:color="auto"/>
              <w:right w:val="single" w:sz="4" w:space="0" w:color="auto"/>
            </w:tcBorders>
            <w:shd w:val="clear" w:color="000000" w:fill="FFFF00"/>
            <w:vAlign w:val="bottom"/>
            <w:hideMark/>
          </w:tcPr>
          <w:p w14:paraId="3670EC92" w14:textId="77777777" w:rsidR="00A72067" w:rsidRPr="00A72067" w:rsidRDefault="00A72067" w:rsidP="00A72067">
            <w:pPr>
              <w:spacing w:after="0" w:line="240" w:lineRule="auto"/>
              <w:jc w:val="right"/>
              <w:rPr>
                <w:rFonts w:ascii="Calibri" w:eastAsia="Times New Roman" w:hAnsi="Calibri" w:cs="Calibri"/>
                <w:b/>
                <w:bCs/>
                <w:sz w:val="16"/>
                <w:szCs w:val="16"/>
                <w:lang w:eastAsia="hr-HR"/>
              </w:rPr>
            </w:pPr>
            <w:r w:rsidRPr="00A72067">
              <w:rPr>
                <w:rFonts w:ascii="Calibri" w:eastAsia="Times New Roman" w:hAnsi="Calibri" w:cs="Calibri"/>
                <w:b/>
                <w:bCs/>
                <w:sz w:val="16"/>
                <w:szCs w:val="16"/>
                <w:lang w:eastAsia="hr-HR"/>
              </w:rPr>
              <w:t>0</w:t>
            </w:r>
          </w:p>
        </w:tc>
        <w:tc>
          <w:tcPr>
            <w:tcW w:w="420" w:type="dxa"/>
            <w:tcBorders>
              <w:top w:val="nil"/>
              <w:left w:val="nil"/>
              <w:bottom w:val="single" w:sz="4" w:space="0" w:color="auto"/>
              <w:right w:val="single" w:sz="4" w:space="0" w:color="auto"/>
            </w:tcBorders>
            <w:shd w:val="clear" w:color="000000" w:fill="FFFF00"/>
            <w:vAlign w:val="bottom"/>
            <w:hideMark/>
          </w:tcPr>
          <w:p w14:paraId="25306A4B" w14:textId="77777777" w:rsidR="00A72067" w:rsidRPr="00A72067" w:rsidRDefault="00A72067" w:rsidP="00A72067">
            <w:pPr>
              <w:spacing w:after="0" w:line="240" w:lineRule="auto"/>
              <w:jc w:val="right"/>
              <w:rPr>
                <w:rFonts w:ascii="Calibri" w:eastAsia="Times New Roman" w:hAnsi="Calibri" w:cs="Calibri"/>
                <w:b/>
                <w:bCs/>
                <w:sz w:val="16"/>
                <w:szCs w:val="16"/>
                <w:lang w:eastAsia="hr-HR"/>
              </w:rPr>
            </w:pPr>
            <w:r w:rsidRPr="00A72067">
              <w:rPr>
                <w:rFonts w:ascii="Calibri" w:eastAsia="Times New Roman" w:hAnsi="Calibri" w:cs="Calibri"/>
                <w:b/>
                <w:bCs/>
                <w:sz w:val="16"/>
                <w:szCs w:val="16"/>
                <w:lang w:eastAsia="hr-HR"/>
              </w:rPr>
              <w:t>0</w:t>
            </w:r>
          </w:p>
        </w:tc>
        <w:tc>
          <w:tcPr>
            <w:tcW w:w="406" w:type="dxa"/>
            <w:tcBorders>
              <w:top w:val="nil"/>
              <w:left w:val="nil"/>
              <w:bottom w:val="single" w:sz="4" w:space="0" w:color="auto"/>
              <w:right w:val="single" w:sz="4" w:space="0" w:color="auto"/>
            </w:tcBorders>
            <w:shd w:val="clear" w:color="000000" w:fill="FFFF00"/>
            <w:vAlign w:val="bottom"/>
            <w:hideMark/>
          </w:tcPr>
          <w:p w14:paraId="4D6A7D23" w14:textId="77777777" w:rsidR="00A72067" w:rsidRPr="00A72067" w:rsidRDefault="00A72067" w:rsidP="00A72067">
            <w:pPr>
              <w:spacing w:after="0" w:line="240" w:lineRule="auto"/>
              <w:jc w:val="right"/>
              <w:rPr>
                <w:rFonts w:ascii="Calibri" w:eastAsia="Times New Roman" w:hAnsi="Calibri" w:cs="Calibri"/>
                <w:b/>
                <w:bCs/>
                <w:sz w:val="16"/>
                <w:szCs w:val="16"/>
                <w:lang w:eastAsia="hr-HR"/>
              </w:rPr>
            </w:pPr>
            <w:r w:rsidRPr="00A72067">
              <w:rPr>
                <w:rFonts w:ascii="Calibri" w:eastAsia="Times New Roman" w:hAnsi="Calibri" w:cs="Calibri"/>
                <w:b/>
                <w:bCs/>
                <w:sz w:val="16"/>
                <w:szCs w:val="16"/>
                <w:lang w:eastAsia="hr-HR"/>
              </w:rPr>
              <w:t>1</w:t>
            </w:r>
          </w:p>
        </w:tc>
        <w:tc>
          <w:tcPr>
            <w:tcW w:w="469" w:type="dxa"/>
            <w:gridSpan w:val="2"/>
            <w:tcBorders>
              <w:top w:val="nil"/>
              <w:left w:val="nil"/>
              <w:bottom w:val="single" w:sz="4" w:space="0" w:color="auto"/>
              <w:right w:val="single" w:sz="4" w:space="0" w:color="auto"/>
            </w:tcBorders>
            <w:shd w:val="clear" w:color="000000" w:fill="FFFF00"/>
            <w:vAlign w:val="bottom"/>
            <w:hideMark/>
          </w:tcPr>
          <w:p w14:paraId="094F82E8" w14:textId="77777777" w:rsidR="00A72067" w:rsidRPr="00A72067" w:rsidRDefault="00A72067" w:rsidP="00A72067">
            <w:pPr>
              <w:spacing w:after="0" w:line="240" w:lineRule="auto"/>
              <w:jc w:val="right"/>
              <w:rPr>
                <w:rFonts w:ascii="Calibri" w:eastAsia="Times New Roman" w:hAnsi="Calibri" w:cs="Calibri"/>
                <w:b/>
                <w:bCs/>
                <w:sz w:val="16"/>
                <w:szCs w:val="16"/>
                <w:lang w:eastAsia="hr-HR"/>
              </w:rPr>
            </w:pPr>
            <w:r w:rsidRPr="00A72067">
              <w:rPr>
                <w:rFonts w:ascii="Calibri" w:eastAsia="Times New Roman" w:hAnsi="Calibri" w:cs="Calibri"/>
                <w:b/>
                <w:bCs/>
                <w:sz w:val="16"/>
                <w:szCs w:val="16"/>
                <w:lang w:eastAsia="hr-HR"/>
              </w:rPr>
              <w:t>1</w:t>
            </w:r>
          </w:p>
        </w:tc>
        <w:tc>
          <w:tcPr>
            <w:tcW w:w="362" w:type="dxa"/>
            <w:tcBorders>
              <w:top w:val="nil"/>
              <w:left w:val="nil"/>
              <w:bottom w:val="single" w:sz="4" w:space="0" w:color="auto"/>
              <w:right w:val="single" w:sz="4" w:space="0" w:color="auto"/>
            </w:tcBorders>
            <w:shd w:val="clear" w:color="000000" w:fill="FFFF00"/>
            <w:vAlign w:val="bottom"/>
            <w:hideMark/>
          </w:tcPr>
          <w:p w14:paraId="4A5DB3EE" w14:textId="77777777" w:rsidR="00A72067" w:rsidRPr="00A72067" w:rsidRDefault="00A72067" w:rsidP="00A72067">
            <w:pPr>
              <w:spacing w:after="0" w:line="240" w:lineRule="auto"/>
              <w:jc w:val="right"/>
              <w:rPr>
                <w:rFonts w:ascii="Calibri" w:eastAsia="Times New Roman" w:hAnsi="Calibri" w:cs="Calibri"/>
                <w:b/>
                <w:bCs/>
                <w:sz w:val="16"/>
                <w:szCs w:val="16"/>
                <w:lang w:eastAsia="hr-HR"/>
              </w:rPr>
            </w:pPr>
            <w:r w:rsidRPr="00A72067">
              <w:rPr>
                <w:rFonts w:ascii="Calibri" w:eastAsia="Times New Roman" w:hAnsi="Calibri" w:cs="Calibri"/>
                <w:b/>
                <w:bCs/>
                <w:sz w:val="16"/>
                <w:szCs w:val="16"/>
                <w:lang w:eastAsia="hr-HR"/>
              </w:rPr>
              <w:t>1</w:t>
            </w:r>
          </w:p>
        </w:tc>
        <w:tc>
          <w:tcPr>
            <w:tcW w:w="236" w:type="dxa"/>
            <w:gridSpan w:val="3"/>
            <w:vAlign w:val="center"/>
            <w:hideMark/>
          </w:tcPr>
          <w:p w14:paraId="07CC8D67" w14:textId="77777777" w:rsidR="00A72067" w:rsidRPr="00A72067" w:rsidRDefault="00A72067" w:rsidP="00A72067">
            <w:pPr>
              <w:spacing w:after="0" w:line="240" w:lineRule="auto"/>
              <w:rPr>
                <w:rFonts w:ascii="Times New Roman" w:eastAsia="Times New Roman" w:hAnsi="Times New Roman" w:cs="Times New Roman"/>
                <w:sz w:val="16"/>
                <w:szCs w:val="16"/>
                <w:lang w:eastAsia="hr-HR"/>
              </w:rPr>
            </w:pPr>
          </w:p>
        </w:tc>
      </w:tr>
    </w:tbl>
    <w:p w14:paraId="127ABC4B" w14:textId="50968116" w:rsidR="005E671C" w:rsidRDefault="005E671C" w:rsidP="005E671C">
      <w:pPr>
        <w:rPr>
          <w:rFonts w:ascii="Times New Roman" w:eastAsiaTheme="majorEastAsia" w:hAnsi="Times New Roman" w:cs="Times New Roman"/>
          <w:b/>
          <w:bCs/>
          <w:sz w:val="24"/>
          <w:szCs w:val="24"/>
          <w:u w:val="single"/>
        </w:rPr>
      </w:pPr>
    </w:p>
    <w:p w14:paraId="4509F531" w14:textId="00106008" w:rsidR="00BF5E3C" w:rsidRDefault="00BF5E3C">
      <w:pPr>
        <w:rPr>
          <w:rFonts w:ascii="Times New Roman" w:eastAsiaTheme="majorEastAsia" w:hAnsi="Times New Roman" w:cs="Times New Roman"/>
          <w:b/>
          <w:bCs/>
          <w:sz w:val="24"/>
          <w:szCs w:val="24"/>
        </w:rPr>
      </w:pPr>
      <w:r>
        <w:rPr>
          <w:rFonts w:ascii="Times New Roman" w:eastAsiaTheme="majorEastAsia" w:hAnsi="Times New Roman" w:cs="Times New Roman"/>
          <w:b/>
          <w:bCs/>
          <w:sz w:val="24"/>
          <w:szCs w:val="24"/>
        </w:rPr>
        <w:br w:type="page"/>
      </w:r>
    </w:p>
    <w:p w14:paraId="6F22541A" w14:textId="4D2898CD" w:rsidR="001752B7" w:rsidRDefault="001752B7" w:rsidP="001752B7">
      <w:pPr>
        <w:rPr>
          <w:rFonts w:ascii="Times New Roman" w:eastAsiaTheme="majorEastAsia" w:hAnsi="Times New Roman" w:cs="Times New Roman"/>
          <w:b/>
          <w:bCs/>
          <w:sz w:val="24"/>
          <w:szCs w:val="24"/>
          <w:u w:val="single"/>
        </w:rPr>
      </w:pPr>
      <w:r w:rsidRPr="005E671C">
        <w:rPr>
          <w:rFonts w:ascii="Times New Roman" w:eastAsiaTheme="majorEastAsia" w:hAnsi="Times New Roman" w:cs="Times New Roman"/>
          <w:b/>
          <w:bCs/>
          <w:sz w:val="24"/>
          <w:szCs w:val="24"/>
          <w:u w:val="single"/>
        </w:rPr>
        <w:lastRenderedPageBreak/>
        <w:t xml:space="preserve">Prilog </w:t>
      </w:r>
      <w:r>
        <w:rPr>
          <w:rFonts w:ascii="Times New Roman" w:eastAsiaTheme="majorEastAsia" w:hAnsi="Times New Roman" w:cs="Times New Roman"/>
          <w:b/>
          <w:bCs/>
          <w:sz w:val="24"/>
          <w:szCs w:val="24"/>
          <w:u w:val="single"/>
        </w:rPr>
        <w:t>7</w:t>
      </w:r>
    </w:p>
    <w:p w14:paraId="13014E27" w14:textId="5B4A4509" w:rsidR="001752B7" w:rsidRDefault="001752B7" w:rsidP="001752B7">
      <w:pPr>
        <w:rPr>
          <w:rFonts w:ascii="Times New Roman" w:hAnsi="Times New Roman" w:cs="Times New Roman"/>
          <w:sz w:val="24"/>
          <w:szCs w:val="24"/>
        </w:rPr>
      </w:pPr>
      <w:r w:rsidRPr="005E671C">
        <w:rPr>
          <w:rFonts w:ascii="Times New Roman" w:hAnsi="Times New Roman" w:cs="Times New Roman"/>
          <w:sz w:val="24"/>
          <w:szCs w:val="24"/>
        </w:rPr>
        <w:t>PREKRŠAJNI SUDOVI - UKUPNO 201</w:t>
      </w:r>
      <w:r>
        <w:rPr>
          <w:rFonts w:ascii="Times New Roman" w:hAnsi="Times New Roman" w:cs="Times New Roman"/>
          <w:sz w:val="24"/>
          <w:szCs w:val="24"/>
        </w:rPr>
        <w:t>8</w:t>
      </w:r>
      <w:r w:rsidRPr="005E671C">
        <w:rPr>
          <w:rFonts w:ascii="Times New Roman" w:hAnsi="Times New Roman" w:cs="Times New Roman"/>
          <w:sz w:val="24"/>
          <w:szCs w:val="24"/>
        </w:rPr>
        <w:t>. godin</w:t>
      </w:r>
      <w:r>
        <w:rPr>
          <w:rFonts w:ascii="Times New Roman" w:hAnsi="Times New Roman" w:cs="Times New Roman"/>
          <w:sz w:val="24"/>
          <w:szCs w:val="24"/>
        </w:rPr>
        <w:t>a</w:t>
      </w:r>
    </w:p>
    <w:p w14:paraId="4B475C3C" w14:textId="0BAA4E34" w:rsidR="004566A6" w:rsidRDefault="004566A6" w:rsidP="001752B7">
      <w:pPr>
        <w:rPr>
          <w:rFonts w:ascii="Times New Roman" w:hAnsi="Times New Roman" w:cs="Times New Roman"/>
          <w:sz w:val="24"/>
          <w:szCs w:val="24"/>
        </w:rPr>
      </w:pPr>
    </w:p>
    <w:tbl>
      <w:tblPr>
        <w:tblW w:w="14330" w:type="dxa"/>
        <w:tblLayout w:type="fixed"/>
        <w:tblLook w:val="04A0" w:firstRow="1" w:lastRow="0" w:firstColumn="1" w:lastColumn="0" w:noHBand="0" w:noVBand="1"/>
      </w:tblPr>
      <w:tblGrid>
        <w:gridCol w:w="1397"/>
        <w:gridCol w:w="576"/>
        <w:gridCol w:w="444"/>
        <w:gridCol w:w="405"/>
        <w:gridCol w:w="462"/>
        <w:gridCol w:w="455"/>
        <w:gridCol w:w="567"/>
        <w:gridCol w:w="708"/>
        <w:gridCol w:w="448"/>
        <w:gridCol w:w="680"/>
        <w:gridCol w:w="54"/>
        <w:gridCol w:w="519"/>
        <w:gridCol w:w="567"/>
        <w:gridCol w:w="448"/>
        <w:gridCol w:w="82"/>
        <w:gridCol w:w="366"/>
        <w:gridCol w:w="448"/>
        <w:gridCol w:w="448"/>
        <w:gridCol w:w="476"/>
        <w:gridCol w:w="117"/>
        <w:gridCol w:w="440"/>
        <w:gridCol w:w="8"/>
        <w:gridCol w:w="507"/>
        <w:gridCol w:w="118"/>
        <w:gridCol w:w="737"/>
        <w:gridCol w:w="9"/>
        <w:gridCol w:w="436"/>
        <w:gridCol w:w="445"/>
        <w:gridCol w:w="505"/>
        <w:gridCol w:w="135"/>
        <w:gridCol w:w="662"/>
        <w:gridCol w:w="297"/>
        <w:gridCol w:w="60"/>
        <w:gridCol w:w="68"/>
        <w:gridCol w:w="110"/>
        <w:gridCol w:w="126"/>
      </w:tblGrid>
      <w:tr w:rsidR="003D0C85" w:rsidRPr="004566A6" w14:paraId="4748DC0A" w14:textId="77777777" w:rsidTr="003D0C85">
        <w:trPr>
          <w:gridAfter w:val="4"/>
          <w:wAfter w:w="364" w:type="dxa"/>
          <w:trHeight w:val="450"/>
        </w:trPr>
        <w:tc>
          <w:tcPr>
            <w:tcW w:w="1397" w:type="dxa"/>
            <w:vMerge w:val="restart"/>
            <w:tcBorders>
              <w:top w:val="single" w:sz="8" w:space="0" w:color="auto"/>
              <w:left w:val="single" w:sz="8" w:space="0" w:color="auto"/>
              <w:bottom w:val="single" w:sz="4" w:space="0" w:color="auto"/>
              <w:right w:val="single" w:sz="4" w:space="0" w:color="auto"/>
            </w:tcBorders>
            <w:shd w:val="clear" w:color="000000" w:fill="CCFFCC"/>
            <w:vAlign w:val="center"/>
            <w:hideMark/>
          </w:tcPr>
          <w:p w14:paraId="41B78575" w14:textId="77777777" w:rsidR="004566A6" w:rsidRPr="004566A6" w:rsidRDefault="004566A6" w:rsidP="004566A6">
            <w:pPr>
              <w:spacing w:after="0" w:line="240" w:lineRule="auto"/>
              <w:jc w:val="center"/>
              <w:rPr>
                <w:rFonts w:ascii="Calibri" w:eastAsia="Times New Roman" w:hAnsi="Calibri" w:cs="Calibri"/>
                <w:sz w:val="18"/>
                <w:szCs w:val="18"/>
                <w:lang w:eastAsia="hr-HR"/>
              </w:rPr>
            </w:pPr>
            <w:r w:rsidRPr="004566A6">
              <w:rPr>
                <w:rFonts w:ascii="Calibri" w:eastAsia="Times New Roman" w:hAnsi="Calibri" w:cs="Calibri"/>
                <w:sz w:val="18"/>
                <w:szCs w:val="18"/>
                <w:lang w:eastAsia="hr-HR"/>
              </w:rPr>
              <w:t xml:space="preserve">OSNOVE DISKRIMINACIJE </w:t>
            </w:r>
          </w:p>
        </w:tc>
        <w:tc>
          <w:tcPr>
            <w:tcW w:w="12569" w:type="dxa"/>
            <w:gridSpan w:val="31"/>
            <w:vMerge w:val="restart"/>
            <w:tcBorders>
              <w:top w:val="single" w:sz="4" w:space="0" w:color="auto"/>
              <w:left w:val="single" w:sz="4" w:space="0" w:color="auto"/>
              <w:bottom w:val="single" w:sz="4" w:space="0" w:color="auto"/>
              <w:right w:val="single" w:sz="4" w:space="0" w:color="auto"/>
            </w:tcBorders>
            <w:shd w:val="clear" w:color="000000" w:fill="CCFFCC"/>
            <w:noWrap/>
            <w:vAlign w:val="center"/>
            <w:hideMark/>
          </w:tcPr>
          <w:p w14:paraId="3887A81B" w14:textId="77777777" w:rsidR="004566A6" w:rsidRPr="004566A6" w:rsidRDefault="004566A6" w:rsidP="004566A6">
            <w:pPr>
              <w:spacing w:after="0" w:line="240" w:lineRule="auto"/>
              <w:jc w:val="center"/>
              <w:rPr>
                <w:rFonts w:ascii="Calibri" w:eastAsia="Times New Roman" w:hAnsi="Calibri" w:cs="Calibri"/>
                <w:b/>
                <w:bCs/>
                <w:sz w:val="18"/>
                <w:szCs w:val="18"/>
                <w:lang w:eastAsia="hr-HR"/>
              </w:rPr>
            </w:pPr>
            <w:r w:rsidRPr="004566A6">
              <w:rPr>
                <w:rFonts w:ascii="Calibri" w:eastAsia="Times New Roman" w:hAnsi="Calibri" w:cs="Calibri"/>
                <w:b/>
                <w:bCs/>
                <w:sz w:val="18"/>
                <w:szCs w:val="18"/>
                <w:lang w:eastAsia="hr-HR"/>
              </w:rPr>
              <w:t>P R E K R Š A J N I     P R E D M E T I</w:t>
            </w:r>
          </w:p>
        </w:tc>
      </w:tr>
      <w:tr w:rsidR="003D0C85" w:rsidRPr="004566A6" w14:paraId="2C966995" w14:textId="77777777" w:rsidTr="003D0C85">
        <w:trPr>
          <w:gridAfter w:val="1"/>
          <w:wAfter w:w="126" w:type="dxa"/>
          <w:trHeight w:val="300"/>
        </w:trPr>
        <w:tc>
          <w:tcPr>
            <w:tcW w:w="1397" w:type="dxa"/>
            <w:vMerge/>
            <w:tcBorders>
              <w:top w:val="single" w:sz="8" w:space="0" w:color="auto"/>
              <w:left w:val="single" w:sz="8" w:space="0" w:color="auto"/>
              <w:bottom w:val="single" w:sz="4" w:space="0" w:color="auto"/>
              <w:right w:val="single" w:sz="4" w:space="0" w:color="auto"/>
            </w:tcBorders>
            <w:vAlign w:val="center"/>
            <w:hideMark/>
          </w:tcPr>
          <w:p w14:paraId="512E495E" w14:textId="77777777" w:rsidR="004566A6" w:rsidRPr="004566A6" w:rsidRDefault="004566A6" w:rsidP="004566A6">
            <w:pPr>
              <w:spacing w:after="0" w:line="240" w:lineRule="auto"/>
              <w:rPr>
                <w:rFonts w:ascii="Calibri" w:eastAsia="Times New Roman" w:hAnsi="Calibri" w:cs="Calibri"/>
                <w:sz w:val="18"/>
                <w:szCs w:val="18"/>
                <w:lang w:eastAsia="hr-HR"/>
              </w:rPr>
            </w:pPr>
          </w:p>
        </w:tc>
        <w:tc>
          <w:tcPr>
            <w:tcW w:w="12569" w:type="dxa"/>
            <w:gridSpan w:val="31"/>
            <w:vMerge/>
            <w:tcBorders>
              <w:top w:val="single" w:sz="4" w:space="0" w:color="auto"/>
              <w:left w:val="single" w:sz="4" w:space="0" w:color="auto"/>
              <w:bottom w:val="single" w:sz="4" w:space="0" w:color="auto"/>
              <w:right w:val="single" w:sz="4" w:space="0" w:color="auto"/>
            </w:tcBorders>
            <w:vAlign w:val="center"/>
            <w:hideMark/>
          </w:tcPr>
          <w:p w14:paraId="77C17DE7" w14:textId="77777777" w:rsidR="004566A6" w:rsidRPr="004566A6" w:rsidRDefault="004566A6" w:rsidP="004566A6">
            <w:pPr>
              <w:spacing w:after="0" w:line="240" w:lineRule="auto"/>
              <w:rPr>
                <w:rFonts w:ascii="Calibri" w:eastAsia="Times New Roman" w:hAnsi="Calibri" w:cs="Calibri"/>
                <w:b/>
                <w:bCs/>
                <w:sz w:val="18"/>
                <w:szCs w:val="18"/>
                <w:lang w:eastAsia="hr-HR"/>
              </w:rPr>
            </w:pPr>
          </w:p>
        </w:tc>
        <w:tc>
          <w:tcPr>
            <w:tcW w:w="238"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07F031" w14:textId="77777777" w:rsidR="004566A6" w:rsidRPr="004566A6" w:rsidRDefault="004566A6" w:rsidP="004566A6">
            <w:pPr>
              <w:spacing w:after="0" w:line="240" w:lineRule="auto"/>
              <w:jc w:val="center"/>
              <w:rPr>
                <w:rFonts w:ascii="Calibri" w:eastAsia="Times New Roman" w:hAnsi="Calibri" w:cs="Calibri"/>
                <w:b/>
                <w:bCs/>
                <w:sz w:val="18"/>
                <w:szCs w:val="18"/>
                <w:lang w:eastAsia="hr-HR"/>
              </w:rPr>
            </w:pPr>
          </w:p>
        </w:tc>
      </w:tr>
      <w:tr w:rsidR="003D0C85" w:rsidRPr="004566A6" w14:paraId="69B7C2B2" w14:textId="77777777" w:rsidTr="003D0C85">
        <w:trPr>
          <w:gridAfter w:val="3"/>
          <w:wAfter w:w="304" w:type="dxa"/>
          <w:trHeight w:val="660"/>
        </w:trPr>
        <w:tc>
          <w:tcPr>
            <w:tcW w:w="1397" w:type="dxa"/>
            <w:vMerge/>
            <w:tcBorders>
              <w:top w:val="single" w:sz="8" w:space="0" w:color="auto"/>
              <w:left w:val="single" w:sz="8" w:space="0" w:color="auto"/>
              <w:bottom w:val="single" w:sz="4" w:space="0" w:color="auto"/>
              <w:right w:val="single" w:sz="4" w:space="0" w:color="auto"/>
            </w:tcBorders>
            <w:vAlign w:val="center"/>
            <w:hideMark/>
          </w:tcPr>
          <w:p w14:paraId="215D548B" w14:textId="77777777" w:rsidR="003D0C85" w:rsidRPr="004566A6" w:rsidRDefault="003D0C85" w:rsidP="004566A6">
            <w:pPr>
              <w:spacing w:after="0" w:line="240" w:lineRule="auto"/>
              <w:rPr>
                <w:rFonts w:ascii="Calibri" w:eastAsia="Times New Roman" w:hAnsi="Calibri" w:cs="Calibri"/>
                <w:sz w:val="18"/>
                <w:szCs w:val="18"/>
                <w:lang w:eastAsia="hr-HR"/>
              </w:rPr>
            </w:pPr>
          </w:p>
        </w:tc>
        <w:tc>
          <w:tcPr>
            <w:tcW w:w="576" w:type="dxa"/>
            <w:vMerge w:val="restart"/>
            <w:tcBorders>
              <w:top w:val="single" w:sz="4" w:space="0" w:color="auto"/>
              <w:left w:val="single" w:sz="4" w:space="0" w:color="auto"/>
              <w:bottom w:val="single" w:sz="4" w:space="0" w:color="auto"/>
              <w:right w:val="single" w:sz="4" w:space="0" w:color="auto"/>
            </w:tcBorders>
            <w:shd w:val="clear" w:color="000000" w:fill="CCFFCC"/>
            <w:textDirection w:val="btLr"/>
            <w:vAlign w:val="center"/>
            <w:hideMark/>
          </w:tcPr>
          <w:p w14:paraId="1481230D" w14:textId="77777777" w:rsidR="003D0C85" w:rsidRPr="004566A6" w:rsidRDefault="003D0C85" w:rsidP="004566A6">
            <w:pPr>
              <w:spacing w:after="0" w:line="240" w:lineRule="auto"/>
              <w:jc w:val="center"/>
              <w:rPr>
                <w:rFonts w:ascii="Tahoma" w:eastAsia="Times New Roman" w:hAnsi="Tahoma" w:cs="Tahoma"/>
                <w:b/>
                <w:bCs/>
                <w:sz w:val="18"/>
                <w:szCs w:val="18"/>
                <w:lang w:eastAsia="hr-HR"/>
              </w:rPr>
            </w:pPr>
            <w:r w:rsidRPr="004566A6">
              <w:rPr>
                <w:rFonts w:ascii="Tahoma" w:eastAsia="Times New Roman" w:hAnsi="Tahoma" w:cs="Tahoma"/>
                <w:b/>
                <w:bCs/>
                <w:sz w:val="18"/>
                <w:szCs w:val="18"/>
                <w:lang w:eastAsia="hr-HR"/>
              </w:rPr>
              <w:t xml:space="preserve">Broj </w:t>
            </w:r>
            <w:proofErr w:type="spellStart"/>
            <w:r w:rsidRPr="004566A6">
              <w:rPr>
                <w:rFonts w:ascii="Tahoma" w:eastAsia="Times New Roman" w:hAnsi="Tahoma" w:cs="Tahoma"/>
                <w:b/>
                <w:bCs/>
                <w:sz w:val="18"/>
                <w:szCs w:val="18"/>
                <w:lang w:eastAsia="hr-HR"/>
              </w:rPr>
              <w:t>nerješenih</w:t>
            </w:r>
            <w:proofErr w:type="spellEnd"/>
            <w:r w:rsidRPr="004566A6">
              <w:rPr>
                <w:rFonts w:ascii="Tahoma" w:eastAsia="Times New Roman" w:hAnsi="Tahoma" w:cs="Tahoma"/>
                <w:b/>
                <w:bCs/>
                <w:sz w:val="18"/>
                <w:szCs w:val="18"/>
                <w:lang w:eastAsia="hr-HR"/>
              </w:rPr>
              <w:t xml:space="preserve"> predmeta na početku razdoblja</w:t>
            </w:r>
          </w:p>
        </w:tc>
        <w:tc>
          <w:tcPr>
            <w:tcW w:w="444" w:type="dxa"/>
            <w:vMerge w:val="restart"/>
            <w:tcBorders>
              <w:top w:val="single" w:sz="4" w:space="0" w:color="auto"/>
              <w:left w:val="single" w:sz="4" w:space="0" w:color="auto"/>
              <w:bottom w:val="single" w:sz="4" w:space="0" w:color="auto"/>
              <w:right w:val="single" w:sz="4" w:space="0" w:color="auto"/>
            </w:tcBorders>
            <w:shd w:val="clear" w:color="000000" w:fill="CCFFCC"/>
            <w:textDirection w:val="btLr"/>
            <w:vAlign w:val="center"/>
            <w:hideMark/>
          </w:tcPr>
          <w:p w14:paraId="392A794C" w14:textId="77777777" w:rsidR="003D0C85" w:rsidRPr="004566A6" w:rsidRDefault="003D0C85" w:rsidP="004566A6">
            <w:pPr>
              <w:spacing w:after="0" w:line="240" w:lineRule="auto"/>
              <w:jc w:val="center"/>
              <w:rPr>
                <w:rFonts w:ascii="Tahoma" w:eastAsia="Times New Roman" w:hAnsi="Tahoma" w:cs="Tahoma"/>
                <w:b/>
                <w:bCs/>
                <w:sz w:val="18"/>
                <w:szCs w:val="18"/>
                <w:lang w:eastAsia="hr-HR"/>
              </w:rPr>
            </w:pPr>
            <w:r w:rsidRPr="004566A6">
              <w:rPr>
                <w:rFonts w:ascii="Tahoma" w:eastAsia="Times New Roman" w:hAnsi="Tahoma" w:cs="Tahoma"/>
                <w:b/>
                <w:bCs/>
                <w:sz w:val="18"/>
                <w:szCs w:val="18"/>
                <w:lang w:eastAsia="hr-HR"/>
              </w:rPr>
              <w:t xml:space="preserve">Broj primljenih predmeta </w:t>
            </w:r>
          </w:p>
        </w:tc>
        <w:tc>
          <w:tcPr>
            <w:tcW w:w="867" w:type="dxa"/>
            <w:gridSpan w:val="2"/>
            <w:tcBorders>
              <w:top w:val="single" w:sz="4" w:space="0" w:color="auto"/>
              <w:left w:val="single" w:sz="4" w:space="0" w:color="auto"/>
              <w:bottom w:val="single" w:sz="4" w:space="0" w:color="auto"/>
              <w:right w:val="single" w:sz="4" w:space="0" w:color="auto"/>
            </w:tcBorders>
            <w:shd w:val="clear" w:color="000000" w:fill="CCFFCC"/>
            <w:vAlign w:val="center"/>
            <w:hideMark/>
          </w:tcPr>
          <w:p w14:paraId="2D7C2EB4" w14:textId="77777777" w:rsidR="003D0C85" w:rsidRPr="004566A6" w:rsidRDefault="003D0C85" w:rsidP="004566A6">
            <w:pPr>
              <w:spacing w:after="0" w:line="240" w:lineRule="auto"/>
              <w:jc w:val="center"/>
              <w:rPr>
                <w:rFonts w:ascii="Tahoma" w:eastAsia="Times New Roman" w:hAnsi="Tahoma" w:cs="Tahoma"/>
                <w:sz w:val="18"/>
                <w:szCs w:val="18"/>
                <w:lang w:eastAsia="hr-HR"/>
              </w:rPr>
            </w:pPr>
            <w:r w:rsidRPr="004566A6">
              <w:rPr>
                <w:rFonts w:ascii="Tahoma" w:eastAsia="Times New Roman" w:hAnsi="Tahoma" w:cs="Tahoma"/>
                <w:sz w:val="18"/>
                <w:szCs w:val="18"/>
                <w:lang w:eastAsia="hr-HR"/>
              </w:rPr>
              <w:t>Broj diskriminiranih osoba prema prijavi</w:t>
            </w:r>
          </w:p>
        </w:tc>
        <w:tc>
          <w:tcPr>
            <w:tcW w:w="2912" w:type="dxa"/>
            <w:gridSpan w:val="6"/>
            <w:tcBorders>
              <w:top w:val="single" w:sz="4" w:space="0" w:color="auto"/>
              <w:left w:val="single" w:sz="4" w:space="0" w:color="auto"/>
              <w:bottom w:val="single" w:sz="4" w:space="0" w:color="auto"/>
              <w:right w:val="single" w:sz="4" w:space="0" w:color="auto"/>
            </w:tcBorders>
            <w:shd w:val="clear" w:color="000000" w:fill="CCFFCC"/>
            <w:vAlign w:val="center"/>
            <w:hideMark/>
          </w:tcPr>
          <w:p w14:paraId="10187DEB" w14:textId="77777777" w:rsidR="003D0C85" w:rsidRPr="004566A6" w:rsidRDefault="003D0C85" w:rsidP="004566A6">
            <w:pPr>
              <w:spacing w:after="0" w:line="240" w:lineRule="auto"/>
              <w:jc w:val="center"/>
              <w:rPr>
                <w:rFonts w:ascii="Calibri" w:eastAsia="Times New Roman" w:hAnsi="Calibri" w:cs="Calibri"/>
                <w:b/>
                <w:bCs/>
                <w:sz w:val="18"/>
                <w:szCs w:val="18"/>
                <w:lang w:eastAsia="hr-HR"/>
              </w:rPr>
            </w:pPr>
            <w:r w:rsidRPr="004566A6">
              <w:rPr>
                <w:rFonts w:ascii="Calibri" w:eastAsia="Times New Roman" w:hAnsi="Calibri" w:cs="Calibri"/>
                <w:b/>
                <w:bCs/>
                <w:sz w:val="18"/>
                <w:szCs w:val="18"/>
                <w:lang w:eastAsia="hr-HR"/>
              </w:rPr>
              <w:t>PREKRŠAJ</w:t>
            </w:r>
          </w:p>
        </w:tc>
        <w:tc>
          <w:tcPr>
            <w:tcW w:w="1616" w:type="dxa"/>
            <w:gridSpan w:val="4"/>
            <w:tcBorders>
              <w:top w:val="single" w:sz="4" w:space="0" w:color="auto"/>
              <w:left w:val="single" w:sz="4" w:space="0" w:color="auto"/>
              <w:bottom w:val="single" w:sz="4" w:space="0" w:color="auto"/>
              <w:right w:val="single" w:sz="4" w:space="0" w:color="auto"/>
            </w:tcBorders>
            <w:shd w:val="clear" w:color="000000" w:fill="CCFFCC"/>
            <w:vAlign w:val="center"/>
            <w:hideMark/>
          </w:tcPr>
          <w:p w14:paraId="16A361A3" w14:textId="77777777" w:rsidR="003D0C85" w:rsidRPr="004566A6" w:rsidRDefault="003D0C85" w:rsidP="004566A6">
            <w:pPr>
              <w:spacing w:after="0" w:line="240" w:lineRule="auto"/>
              <w:jc w:val="center"/>
              <w:rPr>
                <w:rFonts w:ascii="Calibri" w:eastAsia="Times New Roman" w:hAnsi="Calibri" w:cs="Calibri"/>
                <w:b/>
                <w:bCs/>
                <w:sz w:val="18"/>
                <w:szCs w:val="18"/>
                <w:lang w:eastAsia="hr-HR"/>
              </w:rPr>
            </w:pPr>
            <w:r w:rsidRPr="004566A6">
              <w:rPr>
                <w:rFonts w:ascii="Calibri" w:eastAsia="Times New Roman" w:hAnsi="Calibri" w:cs="Calibri"/>
                <w:b/>
                <w:bCs/>
                <w:sz w:val="18"/>
                <w:szCs w:val="18"/>
                <w:lang w:eastAsia="hr-HR"/>
              </w:rPr>
              <w:t>PRAVOMOĆNO RIJEŠENO</w:t>
            </w:r>
          </w:p>
        </w:tc>
        <w:tc>
          <w:tcPr>
            <w:tcW w:w="1855" w:type="dxa"/>
            <w:gridSpan w:val="5"/>
            <w:tcBorders>
              <w:top w:val="single" w:sz="4" w:space="0" w:color="auto"/>
              <w:left w:val="single" w:sz="4" w:space="0" w:color="auto"/>
              <w:bottom w:val="single" w:sz="4" w:space="0" w:color="auto"/>
              <w:right w:val="single" w:sz="4" w:space="0" w:color="auto"/>
            </w:tcBorders>
            <w:shd w:val="clear" w:color="000000" w:fill="CCFFCC"/>
            <w:vAlign w:val="center"/>
            <w:hideMark/>
          </w:tcPr>
          <w:p w14:paraId="14E565B6" w14:textId="77777777" w:rsidR="003D0C85" w:rsidRPr="004566A6" w:rsidRDefault="003D0C85" w:rsidP="004566A6">
            <w:pPr>
              <w:spacing w:after="0" w:line="240" w:lineRule="auto"/>
              <w:jc w:val="center"/>
              <w:rPr>
                <w:rFonts w:ascii="Calibri" w:eastAsia="Times New Roman" w:hAnsi="Calibri" w:cs="Calibri"/>
                <w:b/>
                <w:bCs/>
                <w:sz w:val="18"/>
                <w:szCs w:val="18"/>
                <w:lang w:eastAsia="hr-HR"/>
              </w:rPr>
            </w:pPr>
            <w:r w:rsidRPr="004566A6">
              <w:rPr>
                <w:rFonts w:ascii="Calibri" w:eastAsia="Times New Roman" w:hAnsi="Calibri" w:cs="Calibri"/>
                <w:b/>
                <w:bCs/>
                <w:sz w:val="18"/>
                <w:szCs w:val="18"/>
                <w:lang w:eastAsia="hr-HR"/>
              </w:rPr>
              <w:t>Broj i vrsta kazni</w:t>
            </w:r>
          </w:p>
        </w:tc>
        <w:tc>
          <w:tcPr>
            <w:tcW w:w="448" w:type="dxa"/>
            <w:gridSpan w:val="2"/>
            <w:tcBorders>
              <w:top w:val="single" w:sz="4" w:space="0" w:color="auto"/>
              <w:left w:val="single" w:sz="4" w:space="0" w:color="auto"/>
              <w:bottom w:val="single" w:sz="4" w:space="0" w:color="auto"/>
              <w:right w:val="single" w:sz="4" w:space="0" w:color="auto"/>
            </w:tcBorders>
            <w:shd w:val="clear" w:color="000000" w:fill="CCFFCC"/>
            <w:textDirection w:val="btLr"/>
            <w:vAlign w:val="center"/>
            <w:hideMark/>
          </w:tcPr>
          <w:p w14:paraId="3F7BB323" w14:textId="77777777" w:rsidR="003D0C85" w:rsidRPr="004566A6" w:rsidRDefault="003D0C85" w:rsidP="004566A6">
            <w:pPr>
              <w:spacing w:after="0" w:line="240" w:lineRule="auto"/>
              <w:jc w:val="center"/>
              <w:rPr>
                <w:rFonts w:ascii="Calibri" w:eastAsia="Times New Roman" w:hAnsi="Calibri" w:cs="Calibri"/>
                <w:b/>
                <w:bCs/>
                <w:sz w:val="18"/>
                <w:szCs w:val="18"/>
                <w:lang w:eastAsia="hr-HR"/>
              </w:rPr>
            </w:pPr>
            <w:r w:rsidRPr="004566A6">
              <w:rPr>
                <w:rFonts w:ascii="Calibri" w:eastAsia="Times New Roman" w:hAnsi="Calibri" w:cs="Calibri"/>
                <w:b/>
                <w:bCs/>
                <w:sz w:val="18"/>
                <w:szCs w:val="18"/>
                <w:lang w:eastAsia="hr-HR"/>
              </w:rPr>
              <w:t>Ukupno riješeno</w:t>
            </w:r>
          </w:p>
        </w:tc>
        <w:tc>
          <w:tcPr>
            <w:tcW w:w="625" w:type="dxa"/>
            <w:gridSpan w:val="2"/>
            <w:tcBorders>
              <w:top w:val="single" w:sz="4" w:space="0" w:color="auto"/>
              <w:left w:val="single" w:sz="4" w:space="0" w:color="auto"/>
              <w:bottom w:val="single" w:sz="4" w:space="0" w:color="auto"/>
              <w:right w:val="single" w:sz="4" w:space="0" w:color="auto"/>
            </w:tcBorders>
            <w:shd w:val="clear" w:color="000000" w:fill="CCFFCC"/>
            <w:textDirection w:val="btLr"/>
            <w:vAlign w:val="center"/>
            <w:hideMark/>
          </w:tcPr>
          <w:p w14:paraId="07940C27" w14:textId="77777777" w:rsidR="003D0C85" w:rsidRPr="004566A6" w:rsidRDefault="003D0C85" w:rsidP="004566A6">
            <w:pPr>
              <w:spacing w:after="0" w:line="240" w:lineRule="auto"/>
              <w:jc w:val="center"/>
              <w:rPr>
                <w:rFonts w:ascii="Calibri" w:eastAsia="Times New Roman" w:hAnsi="Calibri" w:cs="Calibri"/>
                <w:b/>
                <w:bCs/>
                <w:sz w:val="18"/>
                <w:szCs w:val="18"/>
                <w:lang w:eastAsia="hr-HR"/>
              </w:rPr>
            </w:pPr>
            <w:r w:rsidRPr="004566A6">
              <w:rPr>
                <w:rFonts w:ascii="Calibri" w:eastAsia="Times New Roman" w:hAnsi="Calibri" w:cs="Calibri"/>
                <w:b/>
                <w:bCs/>
                <w:sz w:val="18"/>
                <w:szCs w:val="18"/>
                <w:lang w:eastAsia="hr-HR"/>
              </w:rPr>
              <w:t>Ukupno neriješeno</w:t>
            </w:r>
          </w:p>
        </w:tc>
        <w:tc>
          <w:tcPr>
            <w:tcW w:w="746" w:type="dxa"/>
            <w:gridSpan w:val="2"/>
            <w:tcBorders>
              <w:top w:val="single" w:sz="4" w:space="0" w:color="auto"/>
              <w:left w:val="single" w:sz="4" w:space="0" w:color="auto"/>
              <w:bottom w:val="single" w:sz="4" w:space="0" w:color="auto"/>
              <w:right w:val="single" w:sz="4" w:space="0" w:color="auto"/>
            </w:tcBorders>
            <w:shd w:val="clear" w:color="000000" w:fill="CCFFCC"/>
            <w:textDirection w:val="btLr"/>
            <w:vAlign w:val="center"/>
            <w:hideMark/>
          </w:tcPr>
          <w:p w14:paraId="55A2DDC1" w14:textId="77777777" w:rsidR="003D0C85" w:rsidRPr="004566A6" w:rsidRDefault="003D0C85" w:rsidP="004566A6">
            <w:pPr>
              <w:spacing w:after="0" w:line="240" w:lineRule="auto"/>
              <w:jc w:val="center"/>
              <w:rPr>
                <w:rFonts w:ascii="Calibri" w:eastAsia="Times New Roman" w:hAnsi="Calibri" w:cs="Calibri"/>
                <w:sz w:val="14"/>
                <w:szCs w:val="14"/>
                <w:lang w:eastAsia="hr-HR"/>
              </w:rPr>
            </w:pPr>
            <w:r w:rsidRPr="004566A6">
              <w:rPr>
                <w:rFonts w:ascii="Calibri" w:eastAsia="Times New Roman" w:hAnsi="Calibri" w:cs="Calibri"/>
                <w:sz w:val="14"/>
                <w:szCs w:val="14"/>
                <w:lang w:eastAsia="hr-HR"/>
              </w:rPr>
              <w:t>BROJ OSUĐENIH OSOBA</w:t>
            </w:r>
          </w:p>
        </w:tc>
        <w:tc>
          <w:tcPr>
            <w:tcW w:w="1521" w:type="dxa"/>
            <w:gridSpan w:val="4"/>
            <w:tcBorders>
              <w:top w:val="single" w:sz="4" w:space="0" w:color="auto"/>
              <w:left w:val="single" w:sz="4" w:space="0" w:color="auto"/>
              <w:bottom w:val="single" w:sz="4" w:space="0" w:color="auto"/>
              <w:right w:val="single" w:sz="4" w:space="0" w:color="auto"/>
            </w:tcBorders>
            <w:shd w:val="clear" w:color="000000" w:fill="CCFFCC"/>
            <w:vAlign w:val="center"/>
            <w:hideMark/>
          </w:tcPr>
          <w:p w14:paraId="642207AF" w14:textId="77777777" w:rsidR="003D0C85" w:rsidRPr="004566A6" w:rsidRDefault="003D0C85" w:rsidP="004566A6">
            <w:pPr>
              <w:spacing w:after="0" w:line="240" w:lineRule="auto"/>
              <w:jc w:val="center"/>
              <w:rPr>
                <w:rFonts w:ascii="Tahoma" w:eastAsia="Times New Roman" w:hAnsi="Tahoma" w:cs="Tahoma"/>
                <w:sz w:val="14"/>
                <w:szCs w:val="14"/>
                <w:lang w:eastAsia="hr-HR"/>
              </w:rPr>
            </w:pPr>
            <w:r w:rsidRPr="004566A6">
              <w:rPr>
                <w:rFonts w:ascii="Tahoma" w:eastAsia="Times New Roman" w:hAnsi="Tahoma" w:cs="Tahoma"/>
                <w:sz w:val="14"/>
                <w:szCs w:val="14"/>
                <w:lang w:eastAsia="hr-HR"/>
              </w:rPr>
              <w:t>Broj diskriminiranih osoba prema pravomoćnoj presudi</w:t>
            </w:r>
          </w:p>
        </w:tc>
        <w:tc>
          <w:tcPr>
            <w:tcW w:w="1019" w:type="dxa"/>
            <w:gridSpan w:val="3"/>
            <w:tcBorders>
              <w:top w:val="single" w:sz="4" w:space="0" w:color="auto"/>
              <w:left w:val="single" w:sz="4" w:space="0" w:color="auto"/>
              <w:bottom w:val="single" w:sz="4" w:space="0" w:color="auto"/>
              <w:right w:val="single" w:sz="4" w:space="0" w:color="auto"/>
            </w:tcBorders>
            <w:shd w:val="clear" w:color="000000" w:fill="CCFFCC"/>
            <w:vAlign w:val="center"/>
            <w:hideMark/>
          </w:tcPr>
          <w:p w14:paraId="3CFA4F0F" w14:textId="330B288C" w:rsidR="003D0C85" w:rsidRPr="004566A6" w:rsidRDefault="003D0C85" w:rsidP="004566A6">
            <w:pPr>
              <w:spacing w:after="0" w:line="240" w:lineRule="auto"/>
              <w:rPr>
                <w:rFonts w:ascii="Times New Roman" w:eastAsia="Times New Roman" w:hAnsi="Times New Roman" w:cs="Times New Roman"/>
                <w:sz w:val="18"/>
                <w:szCs w:val="18"/>
                <w:lang w:eastAsia="hr-HR"/>
              </w:rPr>
            </w:pPr>
            <w:r w:rsidRPr="004566A6">
              <w:rPr>
                <w:rFonts w:ascii="Calibri" w:eastAsia="Times New Roman" w:hAnsi="Calibri" w:cs="Calibri"/>
                <w:sz w:val="18"/>
                <w:szCs w:val="18"/>
                <w:lang w:eastAsia="hr-HR"/>
              </w:rPr>
              <w:t>TRAJANJE POSTUPKA</w:t>
            </w:r>
          </w:p>
        </w:tc>
      </w:tr>
      <w:tr w:rsidR="003D0C85" w:rsidRPr="004566A6" w14:paraId="34AA442F" w14:textId="77777777" w:rsidTr="003D0C85">
        <w:trPr>
          <w:trHeight w:val="2550"/>
        </w:trPr>
        <w:tc>
          <w:tcPr>
            <w:tcW w:w="1397" w:type="dxa"/>
            <w:vMerge/>
            <w:tcBorders>
              <w:top w:val="single" w:sz="8" w:space="0" w:color="auto"/>
              <w:left w:val="single" w:sz="8" w:space="0" w:color="auto"/>
              <w:bottom w:val="single" w:sz="4" w:space="0" w:color="auto"/>
              <w:right w:val="single" w:sz="4" w:space="0" w:color="auto"/>
            </w:tcBorders>
            <w:vAlign w:val="center"/>
            <w:hideMark/>
          </w:tcPr>
          <w:p w14:paraId="49B5151C" w14:textId="77777777" w:rsidR="004566A6" w:rsidRPr="004566A6" w:rsidRDefault="004566A6" w:rsidP="004566A6">
            <w:pPr>
              <w:spacing w:after="0" w:line="240" w:lineRule="auto"/>
              <w:rPr>
                <w:rFonts w:ascii="Calibri" w:eastAsia="Times New Roman" w:hAnsi="Calibri" w:cs="Calibri"/>
                <w:sz w:val="18"/>
                <w:szCs w:val="18"/>
                <w:lang w:eastAsia="hr-HR"/>
              </w:rPr>
            </w:pPr>
          </w:p>
        </w:tc>
        <w:tc>
          <w:tcPr>
            <w:tcW w:w="576" w:type="dxa"/>
            <w:vMerge/>
            <w:tcBorders>
              <w:top w:val="nil"/>
              <w:left w:val="single" w:sz="4" w:space="0" w:color="auto"/>
              <w:bottom w:val="single" w:sz="4" w:space="0" w:color="auto"/>
              <w:right w:val="single" w:sz="4" w:space="0" w:color="auto"/>
            </w:tcBorders>
            <w:vAlign w:val="center"/>
            <w:hideMark/>
          </w:tcPr>
          <w:p w14:paraId="42F7A2F8" w14:textId="77777777" w:rsidR="004566A6" w:rsidRPr="004566A6" w:rsidRDefault="004566A6" w:rsidP="004566A6">
            <w:pPr>
              <w:spacing w:after="0" w:line="240" w:lineRule="auto"/>
              <w:rPr>
                <w:rFonts w:ascii="Tahoma" w:eastAsia="Times New Roman" w:hAnsi="Tahoma" w:cs="Tahoma"/>
                <w:b/>
                <w:bCs/>
                <w:sz w:val="18"/>
                <w:szCs w:val="18"/>
                <w:lang w:eastAsia="hr-HR"/>
              </w:rPr>
            </w:pPr>
          </w:p>
        </w:tc>
        <w:tc>
          <w:tcPr>
            <w:tcW w:w="444" w:type="dxa"/>
            <w:vMerge/>
            <w:tcBorders>
              <w:top w:val="nil"/>
              <w:left w:val="single" w:sz="4" w:space="0" w:color="auto"/>
              <w:bottom w:val="single" w:sz="4" w:space="0" w:color="auto"/>
              <w:right w:val="single" w:sz="4" w:space="0" w:color="000000"/>
            </w:tcBorders>
            <w:vAlign w:val="center"/>
            <w:hideMark/>
          </w:tcPr>
          <w:p w14:paraId="3133EF18" w14:textId="77777777" w:rsidR="004566A6" w:rsidRPr="004566A6" w:rsidRDefault="004566A6" w:rsidP="004566A6">
            <w:pPr>
              <w:spacing w:after="0" w:line="240" w:lineRule="auto"/>
              <w:rPr>
                <w:rFonts w:ascii="Tahoma" w:eastAsia="Times New Roman" w:hAnsi="Tahoma" w:cs="Tahoma"/>
                <w:b/>
                <w:bCs/>
                <w:sz w:val="18"/>
                <w:szCs w:val="18"/>
                <w:lang w:eastAsia="hr-HR"/>
              </w:rPr>
            </w:pPr>
          </w:p>
        </w:tc>
        <w:tc>
          <w:tcPr>
            <w:tcW w:w="405" w:type="dxa"/>
            <w:tcBorders>
              <w:top w:val="nil"/>
              <w:left w:val="nil"/>
              <w:bottom w:val="nil"/>
              <w:right w:val="single" w:sz="4" w:space="0" w:color="auto"/>
            </w:tcBorders>
            <w:shd w:val="clear" w:color="000000" w:fill="CCFFCC"/>
            <w:textDirection w:val="btLr"/>
            <w:vAlign w:val="center"/>
            <w:hideMark/>
          </w:tcPr>
          <w:p w14:paraId="30682DE2" w14:textId="77777777" w:rsidR="004566A6" w:rsidRPr="004566A6" w:rsidRDefault="004566A6" w:rsidP="004566A6">
            <w:pPr>
              <w:spacing w:after="0" w:line="240" w:lineRule="auto"/>
              <w:jc w:val="center"/>
              <w:rPr>
                <w:rFonts w:ascii="Tahoma" w:eastAsia="Times New Roman" w:hAnsi="Tahoma" w:cs="Tahoma"/>
                <w:sz w:val="18"/>
                <w:szCs w:val="18"/>
                <w:lang w:eastAsia="hr-HR"/>
              </w:rPr>
            </w:pPr>
            <w:r w:rsidRPr="004566A6">
              <w:rPr>
                <w:rFonts w:ascii="Tahoma" w:eastAsia="Times New Roman" w:hAnsi="Tahoma" w:cs="Tahoma"/>
                <w:sz w:val="18"/>
                <w:szCs w:val="18"/>
                <w:lang w:eastAsia="hr-HR"/>
              </w:rPr>
              <w:t>Žene</w:t>
            </w:r>
          </w:p>
        </w:tc>
        <w:tc>
          <w:tcPr>
            <w:tcW w:w="462" w:type="dxa"/>
            <w:tcBorders>
              <w:top w:val="nil"/>
              <w:left w:val="nil"/>
              <w:bottom w:val="nil"/>
              <w:right w:val="single" w:sz="4" w:space="0" w:color="auto"/>
            </w:tcBorders>
            <w:shd w:val="clear" w:color="000000" w:fill="CCFFCC"/>
            <w:textDirection w:val="btLr"/>
            <w:vAlign w:val="center"/>
            <w:hideMark/>
          </w:tcPr>
          <w:p w14:paraId="27B4F97D" w14:textId="77777777" w:rsidR="004566A6" w:rsidRPr="004566A6" w:rsidRDefault="004566A6" w:rsidP="004566A6">
            <w:pPr>
              <w:spacing w:after="0" w:line="240" w:lineRule="auto"/>
              <w:jc w:val="center"/>
              <w:rPr>
                <w:rFonts w:ascii="Tahoma" w:eastAsia="Times New Roman" w:hAnsi="Tahoma" w:cs="Tahoma"/>
                <w:sz w:val="18"/>
                <w:szCs w:val="18"/>
                <w:lang w:eastAsia="hr-HR"/>
              </w:rPr>
            </w:pPr>
            <w:r w:rsidRPr="004566A6">
              <w:rPr>
                <w:rFonts w:ascii="Tahoma" w:eastAsia="Times New Roman" w:hAnsi="Tahoma" w:cs="Tahoma"/>
                <w:sz w:val="18"/>
                <w:szCs w:val="18"/>
                <w:lang w:eastAsia="hr-HR"/>
              </w:rPr>
              <w:t>Muškarci</w:t>
            </w:r>
          </w:p>
        </w:tc>
        <w:tc>
          <w:tcPr>
            <w:tcW w:w="455" w:type="dxa"/>
            <w:tcBorders>
              <w:top w:val="nil"/>
              <w:left w:val="nil"/>
              <w:bottom w:val="single" w:sz="4" w:space="0" w:color="auto"/>
              <w:right w:val="single" w:sz="4" w:space="0" w:color="auto"/>
            </w:tcBorders>
            <w:shd w:val="clear" w:color="000000" w:fill="CCFFCC"/>
            <w:textDirection w:val="btLr"/>
            <w:vAlign w:val="center"/>
            <w:hideMark/>
          </w:tcPr>
          <w:p w14:paraId="64D407B3" w14:textId="77777777" w:rsidR="004566A6" w:rsidRPr="004566A6" w:rsidRDefault="004566A6" w:rsidP="004566A6">
            <w:pPr>
              <w:spacing w:after="0" w:line="240" w:lineRule="auto"/>
              <w:jc w:val="center"/>
              <w:rPr>
                <w:rFonts w:ascii="Calibri" w:eastAsia="Times New Roman" w:hAnsi="Calibri" w:cs="Calibri"/>
                <w:sz w:val="18"/>
                <w:szCs w:val="18"/>
                <w:lang w:eastAsia="hr-HR"/>
              </w:rPr>
            </w:pPr>
            <w:r w:rsidRPr="004566A6">
              <w:rPr>
                <w:rFonts w:ascii="Calibri" w:eastAsia="Times New Roman" w:hAnsi="Calibri" w:cs="Calibri"/>
                <w:sz w:val="18"/>
                <w:szCs w:val="18"/>
                <w:lang w:eastAsia="hr-HR"/>
              </w:rPr>
              <w:t>UZNEMIRAVANJE čl. 25. ZSD</w:t>
            </w:r>
          </w:p>
        </w:tc>
        <w:tc>
          <w:tcPr>
            <w:tcW w:w="567" w:type="dxa"/>
            <w:tcBorders>
              <w:top w:val="nil"/>
              <w:left w:val="nil"/>
              <w:bottom w:val="single" w:sz="4" w:space="0" w:color="auto"/>
              <w:right w:val="single" w:sz="4" w:space="0" w:color="auto"/>
            </w:tcBorders>
            <w:shd w:val="clear" w:color="000000" w:fill="CCFFCC"/>
            <w:textDirection w:val="btLr"/>
            <w:vAlign w:val="center"/>
            <w:hideMark/>
          </w:tcPr>
          <w:p w14:paraId="35384F52" w14:textId="77777777" w:rsidR="004566A6" w:rsidRPr="004566A6" w:rsidRDefault="004566A6" w:rsidP="004566A6">
            <w:pPr>
              <w:spacing w:after="0" w:line="240" w:lineRule="auto"/>
              <w:jc w:val="center"/>
              <w:rPr>
                <w:rFonts w:ascii="Calibri" w:eastAsia="Times New Roman" w:hAnsi="Calibri" w:cs="Calibri"/>
                <w:sz w:val="18"/>
                <w:szCs w:val="18"/>
                <w:lang w:eastAsia="hr-HR"/>
              </w:rPr>
            </w:pPr>
            <w:r w:rsidRPr="004566A6">
              <w:rPr>
                <w:rFonts w:ascii="Calibri" w:eastAsia="Times New Roman" w:hAnsi="Calibri" w:cs="Calibri"/>
                <w:sz w:val="18"/>
                <w:szCs w:val="18"/>
                <w:lang w:eastAsia="hr-HR"/>
              </w:rPr>
              <w:t>SPOLNO UZNEMIRAVANJE čl. 26. ZSD</w:t>
            </w:r>
          </w:p>
        </w:tc>
        <w:tc>
          <w:tcPr>
            <w:tcW w:w="708" w:type="dxa"/>
            <w:tcBorders>
              <w:top w:val="nil"/>
              <w:left w:val="nil"/>
              <w:bottom w:val="single" w:sz="4" w:space="0" w:color="auto"/>
              <w:right w:val="single" w:sz="4" w:space="0" w:color="auto"/>
            </w:tcBorders>
            <w:shd w:val="clear" w:color="000000" w:fill="CCFFCC"/>
            <w:textDirection w:val="btLr"/>
            <w:vAlign w:val="center"/>
            <w:hideMark/>
          </w:tcPr>
          <w:p w14:paraId="4C47C8D7" w14:textId="77777777" w:rsidR="004566A6" w:rsidRPr="004566A6" w:rsidRDefault="004566A6" w:rsidP="004566A6">
            <w:pPr>
              <w:spacing w:after="0" w:line="240" w:lineRule="auto"/>
              <w:jc w:val="center"/>
              <w:rPr>
                <w:rFonts w:ascii="Calibri" w:eastAsia="Times New Roman" w:hAnsi="Calibri" w:cs="Calibri"/>
                <w:sz w:val="18"/>
                <w:szCs w:val="18"/>
                <w:lang w:eastAsia="hr-HR"/>
              </w:rPr>
            </w:pPr>
            <w:r w:rsidRPr="004566A6">
              <w:rPr>
                <w:rFonts w:ascii="Calibri" w:eastAsia="Times New Roman" w:hAnsi="Calibri" w:cs="Calibri"/>
                <w:sz w:val="18"/>
                <w:szCs w:val="18"/>
                <w:lang w:eastAsia="hr-HR"/>
              </w:rPr>
              <w:t>NEDOSTAVLJANJE PODATAKA čl. 27. ZSD</w:t>
            </w:r>
          </w:p>
        </w:tc>
        <w:tc>
          <w:tcPr>
            <w:tcW w:w="448" w:type="dxa"/>
            <w:tcBorders>
              <w:top w:val="nil"/>
              <w:left w:val="nil"/>
              <w:bottom w:val="single" w:sz="4" w:space="0" w:color="auto"/>
              <w:right w:val="single" w:sz="4" w:space="0" w:color="auto"/>
            </w:tcBorders>
            <w:shd w:val="clear" w:color="000000" w:fill="CCFFCC"/>
            <w:textDirection w:val="btLr"/>
            <w:vAlign w:val="center"/>
            <w:hideMark/>
          </w:tcPr>
          <w:p w14:paraId="78F0C7F4" w14:textId="77777777" w:rsidR="004566A6" w:rsidRPr="004566A6" w:rsidRDefault="004566A6" w:rsidP="004566A6">
            <w:pPr>
              <w:spacing w:after="0" w:line="240" w:lineRule="auto"/>
              <w:jc w:val="center"/>
              <w:rPr>
                <w:rFonts w:ascii="Calibri" w:eastAsia="Times New Roman" w:hAnsi="Calibri" w:cs="Calibri"/>
                <w:sz w:val="18"/>
                <w:szCs w:val="18"/>
                <w:lang w:eastAsia="hr-HR"/>
              </w:rPr>
            </w:pPr>
            <w:r w:rsidRPr="004566A6">
              <w:rPr>
                <w:rFonts w:ascii="Calibri" w:eastAsia="Times New Roman" w:hAnsi="Calibri" w:cs="Calibri"/>
                <w:sz w:val="18"/>
                <w:szCs w:val="18"/>
                <w:lang w:eastAsia="hr-HR"/>
              </w:rPr>
              <w:t>VIKTIMIZACIJA čl. 28. ZSD</w:t>
            </w:r>
          </w:p>
        </w:tc>
        <w:tc>
          <w:tcPr>
            <w:tcW w:w="680" w:type="dxa"/>
            <w:tcBorders>
              <w:top w:val="nil"/>
              <w:left w:val="nil"/>
              <w:bottom w:val="single" w:sz="4" w:space="0" w:color="auto"/>
              <w:right w:val="single" w:sz="4" w:space="0" w:color="auto"/>
            </w:tcBorders>
            <w:shd w:val="clear" w:color="000000" w:fill="CCFFCC"/>
            <w:textDirection w:val="btLr"/>
            <w:vAlign w:val="center"/>
            <w:hideMark/>
          </w:tcPr>
          <w:p w14:paraId="4833D267" w14:textId="77777777" w:rsidR="004566A6" w:rsidRPr="004566A6" w:rsidRDefault="004566A6" w:rsidP="004566A6">
            <w:pPr>
              <w:spacing w:after="0" w:line="240" w:lineRule="auto"/>
              <w:jc w:val="center"/>
              <w:rPr>
                <w:rFonts w:ascii="Calibri" w:eastAsia="Times New Roman" w:hAnsi="Calibri" w:cs="Calibri"/>
                <w:sz w:val="18"/>
                <w:szCs w:val="18"/>
                <w:lang w:eastAsia="hr-HR"/>
              </w:rPr>
            </w:pPr>
            <w:r w:rsidRPr="004566A6">
              <w:rPr>
                <w:rFonts w:ascii="Calibri" w:eastAsia="Times New Roman" w:hAnsi="Calibri" w:cs="Calibri"/>
                <w:sz w:val="18"/>
                <w:szCs w:val="18"/>
                <w:lang w:eastAsia="hr-HR"/>
              </w:rPr>
              <w:t xml:space="preserve">OSTALO - po drugim. propisima: </w:t>
            </w:r>
          </w:p>
        </w:tc>
        <w:tc>
          <w:tcPr>
            <w:tcW w:w="573" w:type="dxa"/>
            <w:gridSpan w:val="2"/>
            <w:tcBorders>
              <w:top w:val="nil"/>
              <w:left w:val="nil"/>
              <w:bottom w:val="single" w:sz="4" w:space="0" w:color="auto"/>
              <w:right w:val="single" w:sz="4" w:space="0" w:color="auto"/>
            </w:tcBorders>
            <w:shd w:val="clear" w:color="000000" w:fill="CCFFCC"/>
            <w:textDirection w:val="btLr"/>
            <w:vAlign w:val="center"/>
            <w:hideMark/>
          </w:tcPr>
          <w:p w14:paraId="071B8F84" w14:textId="77777777" w:rsidR="004566A6" w:rsidRPr="004566A6" w:rsidRDefault="004566A6" w:rsidP="004566A6">
            <w:pPr>
              <w:spacing w:after="0" w:line="240" w:lineRule="auto"/>
              <w:jc w:val="center"/>
              <w:rPr>
                <w:rFonts w:ascii="Calibri" w:eastAsia="Times New Roman" w:hAnsi="Calibri" w:cs="Calibri"/>
                <w:sz w:val="18"/>
                <w:szCs w:val="18"/>
                <w:lang w:eastAsia="hr-HR"/>
              </w:rPr>
            </w:pPr>
            <w:r w:rsidRPr="004566A6">
              <w:rPr>
                <w:rFonts w:ascii="Calibri" w:eastAsia="Times New Roman" w:hAnsi="Calibri" w:cs="Calibri"/>
                <w:sz w:val="18"/>
                <w:szCs w:val="18"/>
                <w:lang w:eastAsia="hr-HR"/>
              </w:rPr>
              <w:t>OSUĐUJUĆA PRESUDA</w:t>
            </w:r>
          </w:p>
        </w:tc>
        <w:tc>
          <w:tcPr>
            <w:tcW w:w="567" w:type="dxa"/>
            <w:tcBorders>
              <w:top w:val="nil"/>
              <w:left w:val="nil"/>
              <w:bottom w:val="single" w:sz="4" w:space="0" w:color="auto"/>
              <w:right w:val="single" w:sz="4" w:space="0" w:color="auto"/>
            </w:tcBorders>
            <w:shd w:val="clear" w:color="000000" w:fill="CCFFCC"/>
            <w:textDirection w:val="btLr"/>
            <w:vAlign w:val="center"/>
            <w:hideMark/>
          </w:tcPr>
          <w:p w14:paraId="475D631D" w14:textId="77777777" w:rsidR="004566A6" w:rsidRPr="004566A6" w:rsidRDefault="004566A6" w:rsidP="004566A6">
            <w:pPr>
              <w:spacing w:after="0" w:line="240" w:lineRule="auto"/>
              <w:jc w:val="center"/>
              <w:rPr>
                <w:rFonts w:ascii="Calibri" w:eastAsia="Times New Roman" w:hAnsi="Calibri" w:cs="Calibri"/>
                <w:sz w:val="18"/>
                <w:szCs w:val="18"/>
                <w:lang w:eastAsia="hr-HR"/>
              </w:rPr>
            </w:pPr>
            <w:r w:rsidRPr="004566A6">
              <w:rPr>
                <w:rFonts w:ascii="Calibri" w:eastAsia="Times New Roman" w:hAnsi="Calibri" w:cs="Calibri"/>
                <w:sz w:val="18"/>
                <w:szCs w:val="18"/>
                <w:lang w:eastAsia="hr-HR"/>
              </w:rPr>
              <w:t>OSLOBAĐAJUĆA PRESUDA</w:t>
            </w:r>
          </w:p>
        </w:tc>
        <w:tc>
          <w:tcPr>
            <w:tcW w:w="448" w:type="dxa"/>
            <w:tcBorders>
              <w:top w:val="nil"/>
              <w:left w:val="nil"/>
              <w:bottom w:val="single" w:sz="4" w:space="0" w:color="auto"/>
              <w:right w:val="single" w:sz="4" w:space="0" w:color="auto"/>
            </w:tcBorders>
            <w:shd w:val="clear" w:color="000000" w:fill="CCFFCC"/>
            <w:textDirection w:val="btLr"/>
            <w:vAlign w:val="center"/>
            <w:hideMark/>
          </w:tcPr>
          <w:p w14:paraId="64B03729" w14:textId="77777777" w:rsidR="004566A6" w:rsidRPr="004566A6" w:rsidRDefault="004566A6" w:rsidP="004566A6">
            <w:pPr>
              <w:spacing w:after="0" w:line="240" w:lineRule="auto"/>
              <w:jc w:val="center"/>
              <w:rPr>
                <w:rFonts w:ascii="Calibri" w:eastAsia="Times New Roman" w:hAnsi="Calibri" w:cs="Calibri"/>
                <w:sz w:val="18"/>
                <w:szCs w:val="18"/>
                <w:lang w:eastAsia="hr-HR"/>
              </w:rPr>
            </w:pPr>
            <w:r w:rsidRPr="004566A6">
              <w:rPr>
                <w:rFonts w:ascii="Calibri" w:eastAsia="Times New Roman" w:hAnsi="Calibri" w:cs="Calibri"/>
                <w:sz w:val="18"/>
                <w:szCs w:val="18"/>
                <w:lang w:eastAsia="hr-HR"/>
              </w:rPr>
              <w:t>NA DRUGI NAČIN</w:t>
            </w:r>
          </w:p>
        </w:tc>
        <w:tc>
          <w:tcPr>
            <w:tcW w:w="448" w:type="dxa"/>
            <w:gridSpan w:val="2"/>
            <w:tcBorders>
              <w:top w:val="nil"/>
              <w:left w:val="nil"/>
              <w:bottom w:val="single" w:sz="4" w:space="0" w:color="auto"/>
              <w:right w:val="single" w:sz="4" w:space="0" w:color="auto"/>
            </w:tcBorders>
            <w:shd w:val="clear" w:color="000000" w:fill="CCFFCC"/>
            <w:textDirection w:val="btLr"/>
            <w:vAlign w:val="center"/>
            <w:hideMark/>
          </w:tcPr>
          <w:p w14:paraId="574101C0" w14:textId="77777777" w:rsidR="004566A6" w:rsidRPr="004566A6" w:rsidRDefault="004566A6" w:rsidP="004566A6">
            <w:pPr>
              <w:spacing w:after="0" w:line="240" w:lineRule="auto"/>
              <w:jc w:val="center"/>
              <w:rPr>
                <w:rFonts w:ascii="Calibri" w:eastAsia="Times New Roman" w:hAnsi="Calibri" w:cs="Calibri"/>
                <w:sz w:val="18"/>
                <w:szCs w:val="18"/>
                <w:lang w:eastAsia="hr-HR"/>
              </w:rPr>
            </w:pPr>
            <w:r w:rsidRPr="004566A6">
              <w:rPr>
                <w:rFonts w:ascii="Calibri" w:eastAsia="Times New Roman" w:hAnsi="Calibri" w:cs="Calibri"/>
                <w:sz w:val="18"/>
                <w:szCs w:val="18"/>
                <w:lang w:eastAsia="hr-HR"/>
              </w:rPr>
              <w:t>Kazna zatvora</w:t>
            </w:r>
          </w:p>
        </w:tc>
        <w:tc>
          <w:tcPr>
            <w:tcW w:w="448" w:type="dxa"/>
            <w:tcBorders>
              <w:top w:val="nil"/>
              <w:left w:val="nil"/>
              <w:bottom w:val="single" w:sz="4" w:space="0" w:color="auto"/>
              <w:right w:val="single" w:sz="4" w:space="0" w:color="auto"/>
            </w:tcBorders>
            <w:shd w:val="clear" w:color="000000" w:fill="CCFFCC"/>
            <w:textDirection w:val="btLr"/>
            <w:vAlign w:val="center"/>
            <w:hideMark/>
          </w:tcPr>
          <w:p w14:paraId="73ED0521" w14:textId="77777777" w:rsidR="004566A6" w:rsidRPr="004566A6" w:rsidRDefault="004566A6" w:rsidP="004566A6">
            <w:pPr>
              <w:spacing w:after="0" w:line="240" w:lineRule="auto"/>
              <w:jc w:val="center"/>
              <w:rPr>
                <w:rFonts w:ascii="Calibri" w:eastAsia="Times New Roman" w:hAnsi="Calibri" w:cs="Calibri"/>
                <w:sz w:val="18"/>
                <w:szCs w:val="18"/>
                <w:lang w:eastAsia="hr-HR"/>
              </w:rPr>
            </w:pPr>
            <w:r w:rsidRPr="004566A6">
              <w:rPr>
                <w:rFonts w:ascii="Calibri" w:eastAsia="Times New Roman" w:hAnsi="Calibri" w:cs="Calibri"/>
                <w:sz w:val="18"/>
                <w:szCs w:val="18"/>
                <w:lang w:eastAsia="hr-HR"/>
              </w:rPr>
              <w:t>Novčana kazna</w:t>
            </w:r>
          </w:p>
        </w:tc>
        <w:tc>
          <w:tcPr>
            <w:tcW w:w="448" w:type="dxa"/>
            <w:tcBorders>
              <w:top w:val="nil"/>
              <w:left w:val="nil"/>
              <w:bottom w:val="single" w:sz="4" w:space="0" w:color="auto"/>
              <w:right w:val="single" w:sz="4" w:space="0" w:color="auto"/>
            </w:tcBorders>
            <w:shd w:val="clear" w:color="000000" w:fill="CCFFCC"/>
            <w:textDirection w:val="btLr"/>
            <w:vAlign w:val="center"/>
            <w:hideMark/>
          </w:tcPr>
          <w:p w14:paraId="66EAAFC8" w14:textId="77777777" w:rsidR="004566A6" w:rsidRPr="004566A6" w:rsidRDefault="004566A6" w:rsidP="004566A6">
            <w:pPr>
              <w:spacing w:after="0" w:line="240" w:lineRule="auto"/>
              <w:jc w:val="center"/>
              <w:rPr>
                <w:rFonts w:ascii="Calibri" w:eastAsia="Times New Roman" w:hAnsi="Calibri" w:cs="Calibri"/>
                <w:sz w:val="18"/>
                <w:szCs w:val="18"/>
                <w:lang w:eastAsia="hr-HR"/>
              </w:rPr>
            </w:pPr>
            <w:r w:rsidRPr="004566A6">
              <w:rPr>
                <w:rFonts w:ascii="Calibri" w:eastAsia="Times New Roman" w:hAnsi="Calibri" w:cs="Calibri"/>
                <w:sz w:val="18"/>
                <w:szCs w:val="18"/>
                <w:lang w:eastAsia="hr-HR"/>
              </w:rPr>
              <w:t>Ostalo</w:t>
            </w:r>
          </w:p>
        </w:tc>
        <w:tc>
          <w:tcPr>
            <w:tcW w:w="476" w:type="dxa"/>
            <w:tcBorders>
              <w:top w:val="nil"/>
              <w:left w:val="nil"/>
              <w:bottom w:val="single" w:sz="4" w:space="0" w:color="auto"/>
              <w:right w:val="single" w:sz="4" w:space="0" w:color="auto"/>
            </w:tcBorders>
            <w:shd w:val="clear" w:color="000000" w:fill="CCFFCC"/>
            <w:textDirection w:val="btLr"/>
            <w:vAlign w:val="center"/>
            <w:hideMark/>
          </w:tcPr>
          <w:p w14:paraId="546681F8" w14:textId="77777777" w:rsidR="004566A6" w:rsidRPr="004566A6" w:rsidRDefault="004566A6" w:rsidP="004566A6">
            <w:pPr>
              <w:spacing w:after="0" w:line="240" w:lineRule="auto"/>
              <w:jc w:val="center"/>
              <w:rPr>
                <w:rFonts w:ascii="Calibri" w:eastAsia="Times New Roman" w:hAnsi="Calibri" w:cs="Calibri"/>
                <w:b/>
                <w:bCs/>
                <w:sz w:val="18"/>
                <w:szCs w:val="18"/>
                <w:lang w:eastAsia="hr-HR"/>
              </w:rPr>
            </w:pPr>
            <w:r w:rsidRPr="004566A6">
              <w:rPr>
                <w:rFonts w:ascii="Calibri" w:eastAsia="Times New Roman" w:hAnsi="Calibri" w:cs="Calibri"/>
                <w:b/>
                <w:bCs/>
                <w:sz w:val="18"/>
                <w:szCs w:val="18"/>
                <w:lang w:eastAsia="hr-HR"/>
              </w:rPr>
              <w:t>Ukupno</w:t>
            </w:r>
          </w:p>
        </w:tc>
        <w:tc>
          <w:tcPr>
            <w:tcW w:w="557" w:type="dxa"/>
            <w:gridSpan w:val="2"/>
            <w:tcBorders>
              <w:top w:val="nil"/>
              <w:left w:val="single" w:sz="4" w:space="0" w:color="auto"/>
              <w:bottom w:val="single" w:sz="4" w:space="0" w:color="000000"/>
              <w:right w:val="single" w:sz="4" w:space="0" w:color="auto"/>
            </w:tcBorders>
            <w:vAlign w:val="center"/>
            <w:hideMark/>
          </w:tcPr>
          <w:p w14:paraId="7B94D9A9" w14:textId="77777777" w:rsidR="004566A6" w:rsidRPr="004566A6" w:rsidRDefault="004566A6" w:rsidP="004566A6">
            <w:pPr>
              <w:spacing w:after="0" w:line="240" w:lineRule="auto"/>
              <w:rPr>
                <w:rFonts w:ascii="Calibri" w:eastAsia="Times New Roman" w:hAnsi="Calibri" w:cs="Calibri"/>
                <w:b/>
                <w:bCs/>
                <w:sz w:val="18"/>
                <w:szCs w:val="18"/>
                <w:lang w:eastAsia="hr-HR"/>
              </w:rPr>
            </w:pPr>
          </w:p>
        </w:tc>
        <w:tc>
          <w:tcPr>
            <w:tcW w:w="515" w:type="dxa"/>
            <w:gridSpan w:val="2"/>
            <w:tcBorders>
              <w:top w:val="nil"/>
              <w:left w:val="single" w:sz="4" w:space="0" w:color="auto"/>
              <w:bottom w:val="single" w:sz="4" w:space="0" w:color="000000"/>
              <w:right w:val="single" w:sz="4" w:space="0" w:color="auto"/>
            </w:tcBorders>
            <w:vAlign w:val="center"/>
            <w:hideMark/>
          </w:tcPr>
          <w:p w14:paraId="186F2F0B" w14:textId="77777777" w:rsidR="004566A6" w:rsidRPr="004566A6" w:rsidRDefault="004566A6" w:rsidP="004566A6">
            <w:pPr>
              <w:spacing w:after="0" w:line="240" w:lineRule="auto"/>
              <w:rPr>
                <w:rFonts w:ascii="Calibri" w:eastAsia="Times New Roman" w:hAnsi="Calibri" w:cs="Calibri"/>
                <w:b/>
                <w:bCs/>
                <w:sz w:val="18"/>
                <w:szCs w:val="18"/>
                <w:lang w:eastAsia="hr-HR"/>
              </w:rPr>
            </w:pPr>
          </w:p>
        </w:tc>
        <w:tc>
          <w:tcPr>
            <w:tcW w:w="855" w:type="dxa"/>
            <w:gridSpan w:val="2"/>
            <w:tcBorders>
              <w:top w:val="nil"/>
              <w:left w:val="single" w:sz="4" w:space="0" w:color="auto"/>
              <w:bottom w:val="single" w:sz="4" w:space="0" w:color="000000"/>
              <w:right w:val="single" w:sz="4" w:space="0" w:color="auto"/>
            </w:tcBorders>
            <w:vAlign w:val="center"/>
            <w:hideMark/>
          </w:tcPr>
          <w:p w14:paraId="7C6C7C34" w14:textId="77777777" w:rsidR="004566A6" w:rsidRPr="004566A6" w:rsidRDefault="004566A6" w:rsidP="004566A6">
            <w:pPr>
              <w:spacing w:after="0" w:line="240" w:lineRule="auto"/>
              <w:rPr>
                <w:rFonts w:ascii="Calibri" w:eastAsia="Times New Roman" w:hAnsi="Calibri" w:cs="Calibri"/>
                <w:sz w:val="18"/>
                <w:szCs w:val="18"/>
                <w:lang w:eastAsia="hr-HR"/>
              </w:rPr>
            </w:pPr>
          </w:p>
        </w:tc>
        <w:tc>
          <w:tcPr>
            <w:tcW w:w="445" w:type="dxa"/>
            <w:gridSpan w:val="2"/>
            <w:tcBorders>
              <w:top w:val="nil"/>
              <w:left w:val="nil"/>
              <w:bottom w:val="single" w:sz="4" w:space="0" w:color="auto"/>
              <w:right w:val="single" w:sz="4" w:space="0" w:color="auto"/>
            </w:tcBorders>
            <w:shd w:val="clear" w:color="000000" w:fill="CCFFCC"/>
            <w:textDirection w:val="btLr"/>
            <w:vAlign w:val="center"/>
            <w:hideMark/>
          </w:tcPr>
          <w:p w14:paraId="68E5D478" w14:textId="77777777" w:rsidR="004566A6" w:rsidRPr="004566A6" w:rsidRDefault="004566A6" w:rsidP="004566A6">
            <w:pPr>
              <w:spacing w:after="0" w:line="240" w:lineRule="auto"/>
              <w:jc w:val="center"/>
              <w:rPr>
                <w:rFonts w:ascii="Tahoma" w:eastAsia="Times New Roman" w:hAnsi="Tahoma" w:cs="Tahoma"/>
                <w:sz w:val="18"/>
                <w:szCs w:val="18"/>
                <w:lang w:eastAsia="hr-HR"/>
              </w:rPr>
            </w:pPr>
            <w:r w:rsidRPr="004566A6">
              <w:rPr>
                <w:rFonts w:ascii="Tahoma" w:eastAsia="Times New Roman" w:hAnsi="Tahoma" w:cs="Tahoma"/>
                <w:sz w:val="18"/>
                <w:szCs w:val="18"/>
                <w:lang w:eastAsia="hr-HR"/>
              </w:rPr>
              <w:t xml:space="preserve">Žene </w:t>
            </w:r>
          </w:p>
        </w:tc>
        <w:tc>
          <w:tcPr>
            <w:tcW w:w="445" w:type="dxa"/>
            <w:tcBorders>
              <w:top w:val="nil"/>
              <w:left w:val="nil"/>
              <w:bottom w:val="single" w:sz="4" w:space="0" w:color="auto"/>
              <w:right w:val="single" w:sz="4" w:space="0" w:color="auto"/>
            </w:tcBorders>
            <w:shd w:val="clear" w:color="000000" w:fill="CCFFCC"/>
            <w:textDirection w:val="btLr"/>
            <w:vAlign w:val="center"/>
            <w:hideMark/>
          </w:tcPr>
          <w:p w14:paraId="5414E9EB" w14:textId="77777777" w:rsidR="004566A6" w:rsidRPr="004566A6" w:rsidRDefault="004566A6" w:rsidP="004566A6">
            <w:pPr>
              <w:spacing w:after="0" w:line="240" w:lineRule="auto"/>
              <w:jc w:val="center"/>
              <w:rPr>
                <w:rFonts w:ascii="Tahoma" w:eastAsia="Times New Roman" w:hAnsi="Tahoma" w:cs="Tahoma"/>
                <w:sz w:val="18"/>
                <w:szCs w:val="18"/>
                <w:lang w:eastAsia="hr-HR"/>
              </w:rPr>
            </w:pPr>
            <w:r w:rsidRPr="004566A6">
              <w:rPr>
                <w:rFonts w:ascii="Tahoma" w:eastAsia="Times New Roman" w:hAnsi="Tahoma" w:cs="Tahoma"/>
                <w:sz w:val="18"/>
                <w:szCs w:val="18"/>
                <w:lang w:eastAsia="hr-HR"/>
              </w:rPr>
              <w:t>Muškarci</w:t>
            </w:r>
          </w:p>
        </w:tc>
        <w:tc>
          <w:tcPr>
            <w:tcW w:w="505" w:type="dxa"/>
            <w:tcBorders>
              <w:top w:val="nil"/>
              <w:left w:val="nil"/>
              <w:bottom w:val="single" w:sz="4" w:space="0" w:color="auto"/>
              <w:right w:val="single" w:sz="4" w:space="0" w:color="auto"/>
            </w:tcBorders>
            <w:shd w:val="clear" w:color="000000" w:fill="CCFFCC"/>
            <w:textDirection w:val="btLr"/>
            <w:vAlign w:val="center"/>
            <w:hideMark/>
          </w:tcPr>
          <w:p w14:paraId="415EAC8B" w14:textId="77777777" w:rsidR="004566A6" w:rsidRPr="004566A6" w:rsidRDefault="004566A6" w:rsidP="004566A6">
            <w:pPr>
              <w:spacing w:after="0" w:line="240" w:lineRule="auto"/>
              <w:jc w:val="center"/>
              <w:rPr>
                <w:rFonts w:ascii="Tahoma" w:eastAsia="Times New Roman" w:hAnsi="Tahoma" w:cs="Tahoma"/>
                <w:sz w:val="18"/>
                <w:szCs w:val="18"/>
                <w:lang w:eastAsia="hr-HR"/>
              </w:rPr>
            </w:pPr>
            <w:r w:rsidRPr="004566A6">
              <w:rPr>
                <w:rFonts w:ascii="Tahoma" w:eastAsia="Times New Roman" w:hAnsi="Tahoma" w:cs="Tahoma"/>
                <w:sz w:val="18"/>
                <w:szCs w:val="18"/>
                <w:lang w:eastAsia="hr-HR"/>
              </w:rPr>
              <w:t>Ostalo</w:t>
            </w:r>
          </w:p>
        </w:tc>
        <w:tc>
          <w:tcPr>
            <w:tcW w:w="797" w:type="dxa"/>
            <w:gridSpan w:val="2"/>
            <w:tcBorders>
              <w:top w:val="nil"/>
              <w:left w:val="nil"/>
              <w:bottom w:val="single" w:sz="4" w:space="0" w:color="auto"/>
              <w:right w:val="single" w:sz="4" w:space="0" w:color="auto"/>
            </w:tcBorders>
            <w:shd w:val="clear" w:color="000000" w:fill="CCFFCC"/>
            <w:textDirection w:val="btLr"/>
            <w:vAlign w:val="center"/>
            <w:hideMark/>
          </w:tcPr>
          <w:p w14:paraId="680E37F8" w14:textId="77777777" w:rsidR="004566A6" w:rsidRPr="004566A6" w:rsidRDefault="004566A6" w:rsidP="004566A6">
            <w:pPr>
              <w:spacing w:after="0" w:line="240" w:lineRule="auto"/>
              <w:jc w:val="center"/>
              <w:rPr>
                <w:rFonts w:ascii="Calibri" w:eastAsia="Times New Roman" w:hAnsi="Calibri" w:cs="Calibri"/>
                <w:sz w:val="18"/>
                <w:szCs w:val="18"/>
                <w:lang w:eastAsia="hr-HR"/>
              </w:rPr>
            </w:pPr>
            <w:r w:rsidRPr="004566A6">
              <w:rPr>
                <w:rFonts w:ascii="Calibri" w:eastAsia="Times New Roman" w:hAnsi="Calibri" w:cs="Calibri"/>
                <w:sz w:val="18"/>
                <w:szCs w:val="18"/>
                <w:lang w:eastAsia="hr-HR"/>
              </w:rPr>
              <w:t xml:space="preserve"> DO 12 MJESECI</w:t>
            </w:r>
          </w:p>
        </w:tc>
        <w:tc>
          <w:tcPr>
            <w:tcW w:w="425" w:type="dxa"/>
            <w:gridSpan w:val="3"/>
            <w:tcBorders>
              <w:top w:val="nil"/>
              <w:left w:val="nil"/>
              <w:bottom w:val="single" w:sz="4" w:space="0" w:color="auto"/>
              <w:right w:val="nil"/>
            </w:tcBorders>
            <w:shd w:val="clear" w:color="000000" w:fill="CCFFCC"/>
            <w:textDirection w:val="btLr"/>
            <w:vAlign w:val="center"/>
            <w:hideMark/>
          </w:tcPr>
          <w:p w14:paraId="04861F61" w14:textId="77777777" w:rsidR="004566A6" w:rsidRPr="004566A6" w:rsidRDefault="004566A6" w:rsidP="004566A6">
            <w:pPr>
              <w:spacing w:after="0" w:line="240" w:lineRule="auto"/>
              <w:jc w:val="center"/>
              <w:rPr>
                <w:rFonts w:ascii="Calibri" w:eastAsia="Times New Roman" w:hAnsi="Calibri" w:cs="Calibri"/>
                <w:sz w:val="18"/>
                <w:szCs w:val="18"/>
                <w:lang w:eastAsia="hr-HR"/>
              </w:rPr>
            </w:pPr>
            <w:r w:rsidRPr="004566A6">
              <w:rPr>
                <w:rFonts w:ascii="Calibri" w:eastAsia="Times New Roman" w:hAnsi="Calibri" w:cs="Calibri"/>
                <w:sz w:val="18"/>
                <w:szCs w:val="18"/>
                <w:lang w:eastAsia="hr-HR"/>
              </w:rPr>
              <w:t>PREKO 12 MJESECI</w:t>
            </w:r>
          </w:p>
        </w:tc>
        <w:tc>
          <w:tcPr>
            <w:tcW w:w="236" w:type="dxa"/>
            <w:gridSpan w:val="2"/>
            <w:vAlign w:val="center"/>
            <w:hideMark/>
          </w:tcPr>
          <w:p w14:paraId="286E9080" w14:textId="77777777" w:rsidR="004566A6" w:rsidRPr="004566A6" w:rsidRDefault="004566A6" w:rsidP="004566A6">
            <w:pPr>
              <w:spacing w:after="0" w:line="240" w:lineRule="auto"/>
              <w:rPr>
                <w:rFonts w:ascii="Times New Roman" w:eastAsia="Times New Roman" w:hAnsi="Times New Roman" w:cs="Times New Roman"/>
                <w:sz w:val="18"/>
                <w:szCs w:val="18"/>
                <w:lang w:eastAsia="hr-HR"/>
              </w:rPr>
            </w:pPr>
          </w:p>
        </w:tc>
      </w:tr>
      <w:tr w:rsidR="003D0C85" w:rsidRPr="004566A6" w14:paraId="32F043E5" w14:textId="77777777" w:rsidTr="003D0C85">
        <w:trPr>
          <w:trHeight w:val="300"/>
        </w:trPr>
        <w:tc>
          <w:tcPr>
            <w:tcW w:w="1397" w:type="dxa"/>
            <w:tcBorders>
              <w:top w:val="single" w:sz="4" w:space="0" w:color="auto"/>
              <w:left w:val="single" w:sz="8" w:space="0" w:color="auto"/>
              <w:bottom w:val="single" w:sz="4" w:space="0" w:color="auto"/>
              <w:right w:val="single" w:sz="4" w:space="0" w:color="auto"/>
            </w:tcBorders>
            <w:shd w:val="clear" w:color="000000" w:fill="CCFFCC"/>
            <w:vAlign w:val="center"/>
            <w:hideMark/>
          </w:tcPr>
          <w:p w14:paraId="03069612" w14:textId="77777777" w:rsidR="004566A6" w:rsidRPr="004566A6" w:rsidRDefault="004566A6" w:rsidP="004566A6">
            <w:pPr>
              <w:spacing w:after="0" w:line="240" w:lineRule="auto"/>
              <w:jc w:val="center"/>
              <w:rPr>
                <w:rFonts w:ascii="Calibri" w:eastAsia="Times New Roman" w:hAnsi="Calibri" w:cs="Calibri"/>
                <w:sz w:val="18"/>
                <w:szCs w:val="18"/>
                <w:lang w:eastAsia="hr-HR"/>
              </w:rPr>
            </w:pPr>
            <w:r w:rsidRPr="004566A6">
              <w:rPr>
                <w:rFonts w:ascii="Calibri" w:eastAsia="Times New Roman" w:hAnsi="Calibri" w:cs="Calibri"/>
                <w:sz w:val="18"/>
                <w:szCs w:val="18"/>
                <w:lang w:eastAsia="hr-HR"/>
              </w:rPr>
              <w:t>1.</w:t>
            </w:r>
          </w:p>
        </w:tc>
        <w:tc>
          <w:tcPr>
            <w:tcW w:w="576" w:type="dxa"/>
            <w:tcBorders>
              <w:top w:val="nil"/>
              <w:left w:val="nil"/>
              <w:bottom w:val="single" w:sz="4" w:space="0" w:color="auto"/>
              <w:right w:val="single" w:sz="4" w:space="0" w:color="auto"/>
            </w:tcBorders>
            <w:shd w:val="clear" w:color="000000" w:fill="CCFFCC"/>
            <w:vAlign w:val="center"/>
            <w:hideMark/>
          </w:tcPr>
          <w:p w14:paraId="2EB7DF98" w14:textId="77777777" w:rsidR="004566A6" w:rsidRPr="004566A6" w:rsidRDefault="004566A6" w:rsidP="004566A6">
            <w:pPr>
              <w:spacing w:after="0" w:line="240" w:lineRule="auto"/>
              <w:jc w:val="center"/>
              <w:rPr>
                <w:rFonts w:ascii="Calibri" w:eastAsia="Times New Roman" w:hAnsi="Calibri" w:cs="Calibri"/>
                <w:sz w:val="18"/>
                <w:szCs w:val="18"/>
                <w:lang w:eastAsia="hr-HR"/>
              </w:rPr>
            </w:pPr>
            <w:r w:rsidRPr="004566A6">
              <w:rPr>
                <w:rFonts w:ascii="Calibri" w:eastAsia="Times New Roman" w:hAnsi="Calibri" w:cs="Calibri"/>
                <w:sz w:val="18"/>
                <w:szCs w:val="18"/>
                <w:lang w:eastAsia="hr-HR"/>
              </w:rPr>
              <w:t>2.</w:t>
            </w:r>
          </w:p>
        </w:tc>
        <w:tc>
          <w:tcPr>
            <w:tcW w:w="444" w:type="dxa"/>
            <w:tcBorders>
              <w:top w:val="nil"/>
              <w:left w:val="nil"/>
              <w:bottom w:val="single" w:sz="4" w:space="0" w:color="auto"/>
              <w:right w:val="single" w:sz="4" w:space="0" w:color="auto"/>
            </w:tcBorders>
            <w:shd w:val="clear" w:color="000000" w:fill="CCFFCC"/>
            <w:vAlign w:val="center"/>
            <w:hideMark/>
          </w:tcPr>
          <w:p w14:paraId="5F09A6C2" w14:textId="77777777" w:rsidR="004566A6" w:rsidRPr="004566A6" w:rsidRDefault="004566A6" w:rsidP="004566A6">
            <w:pPr>
              <w:spacing w:after="0" w:line="240" w:lineRule="auto"/>
              <w:jc w:val="center"/>
              <w:rPr>
                <w:rFonts w:ascii="Calibri" w:eastAsia="Times New Roman" w:hAnsi="Calibri" w:cs="Calibri"/>
                <w:sz w:val="18"/>
                <w:szCs w:val="18"/>
                <w:lang w:eastAsia="hr-HR"/>
              </w:rPr>
            </w:pPr>
            <w:r w:rsidRPr="004566A6">
              <w:rPr>
                <w:rFonts w:ascii="Calibri" w:eastAsia="Times New Roman" w:hAnsi="Calibri" w:cs="Calibri"/>
                <w:sz w:val="18"/>
                <w:szCs w:val="18"/>
                <w:lang w:eastAsia="hr-HR"/>
              </w:rPr>
              <w:t>3.</w:t>
            </w:r>
          </w:p>
        </w:tc>
        <w:tc>
          <w:tcPr>
            <w:tcW w:w="405" w:type="dxa"/>
            <w:tcBorders>
              <w:top w:val="single" w:sz="4" w:space="0" w:color="auto"/>
              <w:left w:val="nil"/>
              <w:bottom w:val="single" w:sz="4" w:space="0" w:color="auto"/>
              <w:right w:val="single" w:sz="4" w:space="0" w:color="auto"/>
            </w:tcBorders>
            <w:shd w:val="clear" w:color="000000" w:fill="CCFFCC"/>
            <w:vAlign w:val="center"/>
            <w:hideMark/>
          </w:tcPr>
          <w:p w14:paraId="104F3779" w14:textId="77777777" w:rsidR="004566A6" w:rsidRPr="004566A6" w:rsidRDefault="004566A6" w:rsidP="004566A6">
            <w:pPr>
              <w:spacing w:after="0" w:line="240" w:lineRule="auto"/>
              <w:jc w:val="center"/>
              <w:rPr>
                <w:rFonts w:ascii="Calibri" w:eastAsia="Times New Roman" w:hAnsi="Calibri" w:cs="Calibri"/>
                <w:sz w:val="18"/>
                <w:szCs w:val="18"/>
                <w:lang w:eastAsia="hr-HR"/>
              </w:rPr>
            </w:pPr>
            <w:r w:rsidRPr="004566A6">
              <w:rPr>
                <w:rFonts w:ascii="Calibri" w:eastAsia="Times New Roman" w:hAnsi="Calibri" w:cs="Calibri"/>
                <w:sz w:val="18"/>
                <w:szCs w:val="18"/>
                <w:lang w:eastAsia="hr-HR"/>
              </w:rPr>
              <w:t>4.</w:t>
            </w:r>
          </w:p>
        </w:tc>
        <w:tc>
          <w:tcPr>
            <w:tcW w:w="462" w:type="dxa"/>
            <w:tcBorders>
              <w:top w:val="single" w:sz="4" w:space="0" w:color="auto"/>
              <w:left w:val="nil"/>
              <w:bottom w:val="single" w:sz="4" w:space="0" w:color="auto"/>
              <w:right w:val="single" w:sz="4" w:space="0" w:color="auto"/>
            </w:tcBorders>
            <w:shd w:val="clear" w:color="000000" w:fill="CCFFCC"/>
            <w:vAlign w:val="center"/>
            <w:hideMark/>
          </w:tcPr>
          <w:p w14:paraId="4A0FCC03" w14:textId="77777777" w:rsidR="004566A6" w:rsidRPr="004566A6" w:rsidRDefault="004566A6" w:rsidP="004566A6">
            <w:pPr>
              <w:spacing w:after="0" w:line="240" w:lineRule="auto"/>
              <w:jc w:val="center"/>
              <w:rPr>
                <w:rFonts w:ascii="Calibri" w:eastAsia="Times New Roman" w:hAnsi="Calibri" w:cs="Calibri"/>
                <w:sz w:val="18"/>
                <w:szCs w:val="18"/>
                <w:lang w:eastAsia="hr-HR"/>
              </w:rPr>
            </w:pPr>
            <w:r w:rsidRPr="004566A6">
              <w:rPr>
                <w:rFonts w:ascii="Calibri" w:eastAsia="Times New Roman" w:hAnsi="Calibri" w:cs="Calibri"/>
                <w:sz w:val="18"/>
                <w:szCs w:val="18"/>
                <w:lang w:eastAsia="hr-HR"/>
              </w:rPr>
              <w:t>5.</w:t>
            </w:r>
          </w:p>
        </w:tc>
        <w:tc>
          <w:tcPr>
            <w:tcW w:w="455" w:type="dxa"/>
            <w:tcBorders>
              <w:top w:val="nil"/>
              <w:left w:val="nil"/>
              <w:bottom w:val="single" w:sz="4" w:space="0" w:color="auto"/>
              <w:right w:val="single" w:sz="4" w:space="0" w:color="auto"/>
            </w:tcBorders>
            <w:shd w:val="clear" w:color="000000" w:fill="CCFFCC"/>
            <w:vAlign w:val="center"/>
            <w:hideMark/>
          </w:tcPr>
          <w:p w14:paraId="5B126BA0" w14:textId="77777777" w:rsidR="004566A6" w:rsidRPr="004566A6" w:rsidRDefault="004566A6" w:rsidP="004566A6">
            <w:pPr>
              <w:spacing w:after="0" w:line="240" w:lineRule="auto"/>
              <w:jc w:val="center"/>
              <w:rPr>
                <w:rFonts w:ascii="Calibri" w:eastAsia="Times New Roman" w:hAnsi="Calibri" w:cs="Calibri"/>
                <w:sz w:val="18"/>
                <w:szCs w:val="18"/>
                <w:lang w:eastAsia="hr-HR"/>
              </w:rPr>
            </w:pPr>
            <w:r w:rsidRPr="004566A6">
              <w:rPr>
                <w:rFonts w:ascii="Calibri" w:eastAsia="Times New Roman" w:hAnsi="Calibri" w:cs="Calibri"/>
                <w:sz w:val="18"/>
                <w:szCs w:val="18"/>
                <w:lang w:eastAsia="hr-HR"/>
              </w:rPr>
              <w:t>6.</w:t>
            </w:r>
          </w:p>
        </w:tc>
        <w:tc>
          <w:tcPr>
            <w:tcW w:w="567" w:type="dxa"/>
            <w:tcBorders>
              <w:top w:val="nil"/>
              <w:left w:val="nil"/>
              <w:bottom w:val="single" w:sz="4" w:space="0" w:color="auto"/>
              <w:right w:val="single" w:sz="4" w:space="0" w:color="auto"/>
            </w:tcBorders>
            <w:shd w:val="clear" w:color="000000" w:fill="CCFFCC"/>
            <w:vAlign w:val="center"/>
            <w:hideMark/>
          </w:tcPr>
          <w:p w14:paraId="6CB7BF7A" w14:textId="77777777" w:rsidR="004566A6" w:rsidRPr="004566A6" w:rsidRDefault="004566A6" w:rsidP="004566A6">
            <w:pPr>
              <w:spacing w:after="0" w:line="240" w:lineRule="auto"/>
              <w:jc w:val="center"/>
              <w:rPr>
                <w:rFonts w:ascii="Calibri" w:eastAsia="Times New Roman" w:hAnsi="Calibri" w:cs="Calibri"/>
                <w:sz w:val="18"/>
                <w:szCs w:val="18"/>
                <w:lang w:eastAsia="hr-HR"/>
              </w:rPr>
            </w:pPr>
            <w:r w:rsidRPr="004566A6">
              <w:rPr>
                <w:rFonts w:ascii="Calibri" w:eastAsia="Times New Roman" w:hAnsi="Calibri" w:cs="Calibri"/>
                <w:sz w:val="18"/>
                <w:szCs w:val="18"/>
                <w:lang w:eastAsia="hr-HR"/>
              </w:rPr>
              <w:t>7.</w:t>
            </w:r>
          </w:p>
        </w:tc>
        <w:tc>
          <w:tcPr>
            <w:tcW w:w="708" w:type="dxa"/>
            <w:tcBorders>
              <w:top w:val="nil"/>
              <w:left w:val="nil"/>
              <w:bottom w:val="single" w:sz="4" w:space="0" w:color="auto"/>
              <w:right w:val="single" w:sz="4" w:space="0" w:color="auto"/>
            </w:tcBorders>
            <w:shd w:val="clear" w:color="000000" w:fill="CCFFCC"/>
            <w:vAlign w:val="center"/>
            <w:hideMark/>
          </w:tcPr>
          <w:p w14:paraId="603989CE" w14:textId="77777777" w:rsidR="004566A6" w:rsidRPr="004566A6" w:rsidRDefault="004566A6" w:rsidP="004566A6">
            <w:pPr>
              <w:spacing w:after="0" w:line="240" w:lineRule="auto"/>
              <w:jc w:val="center"/>
              <w:rPr>
                <w:rFonts w:ascii="Calibri" w:eastAsia="Times New Roman" w:hAnsi="Calibri" w:cs="Calibri"/>
                <w:sz w:val="18"/>
                <w:szCs w:val="18"/>
                <w:lang w:eastAsia="hr-HR"/>
              </w:rPr>
            </w:pPr>
            <w:r w:rsidRPr="004566A6">
              <w:rPr>
                <w:rFonts w:ascii="Calibri" w:eastAsia="Times New Roman" w:hAnsi="Calibri" w:cs="Calibri"/>
                <w:sz w:val="18"/>
                <w:szCs w:val="18"/>
                <w:lang w:eastAsia="hr-HR"/>
              </w:rPr>
              <w:t>8.</w:t>
            </w:r>
          </w:p>
        </w:tc>
        <w:tc>
          <w:tcPr>
            <w:tcW w:w="448" w:type="dxa"/>
            <w:tcBorders>
              <w:top w:val="nil"/>
              <w:left w:val="nil"/>
              <w:bottom w:val="single" w:sz="4" w:space="0" w:color="auto"/>
              <w:right w:val="single" w:sz="4" w:space="0" w:color="auto"/>
            </w:tcBorders>
            <w:shd w:val="clear" w:color="000000" w:fill="CCFFCC"/>
            <w:vAlign w:val="center"/>
            <w:hideMark/>
          </w:tcPr>
          <w:p w14:paraId="1A687FA0" w14:textId="77777777" w:rsidR="004566A6" w:rsidRPr="004566A6" w:rsidRDefault="004566A6" w:rsidP="004566A6">
            <w:pPr>
              <w:spacing w:after="0" w:line="240" w:lineRule="auto"/>
              <w:jc w:val="center"/>
              <w:rPr>
                <w:rFonts w:ascii="Calibri" w:eastAsia="Times New Roman" w:hAnsi="Calibri" w:cs="Calibri"/>
                <w:sz w:val="18"/>
                <w:szCs w:val="18"/>
                <w:lang w:eastAsia="hr-HR"/>
              </w:rPr>
            </w:pPr>
            <w:r w:rsidRPr="004566A6">
              <w:rPr>
                <w:rFonts w:ascii="Calibri" w:eastAsia="Times New Roman" w:hAnsi="Calibri" w:cs="Calibri"/>
                <w:sz w:val="18"/>
                <w:szCs w:val="18"/>
                <w:lang w:eastAsia="hr-HR"/>
              </w:rPr>
              <w:t>9.</w:t>
            </w:r>
          </w:p>
        </w:tc>
        <w:tc>
          <w:tcPr>
            <w:tcW w:w="680" w:type="dxa"/>
            <w:tcBorders>
              <w:top w:val="nil"/>
              <w:left w:val="nil"/>
              <w:bottom w:val="single" w:sz="4" w:space="0" w:color="auto"/>
              <w:right w:val="single" w:sz="4" w:space="0" w:color="auto"/>
            </w:tcBorders>
            <w:shd w:val="clear" w:color="000000" w:fill="CCFFCC"/>
            <w:vAlign w:val="center"/>
            <w:hideMark/>
          </w:tcPr>
          <w:p w14:paraId="35F4E428" w14:textId="77777777" w:rsidR="004566A6" w:rsidRPr="004566A6" w:rsidRDefault="004566A6" w:rsidP="004566A6">
            <w:pPr>
              <w:spacing w:after="0" w:line="240" w:lineRule="auto"/>
              <w:jc w:val="center"/>
              <w:rPr>
                <w:rFonts w:ascii="Calibri" w:eastAsia="Times New Roman" w:hAnsi="Calibri" w:cs="Calibri"/>
                <w:sz w:val="18"/>
                <w:szCs w:val="18"/>
                <w:lang w:eastAsia="hr-HR"/>
              </w:rPr>
            </w:pPr>
            <w:r w:rsidRPr="004566A6">
              <w:rPr>
                <w:rFonts w:ascii="Calibri" w:eastAsia="Times New Roman" w:hAnsi="Calibri" w:cs="Calibri"/>
                <w:sz w:val="18"/>
                <w:szCs w:val="18"/>
                <w:lang w:eastAsia="hr-HR"/>
              </w:rPr>
              <w:t>10.</w:t>
            </w:r>
          </w:p>
        </w:tc>
        <w:tc>
          <w:tcPr>
            <w:tcW w:w="573" w:type="dxa"/>
            <w:gridSpan w:val="2"/>
            <w:tcBorders>
              <w:top w:val="nil"/>
              <w:left w:val="nil"/>
              <w:bottom w:val="single" w:sz="4" w:space="0" w:color="auto"/>
              <w:right w:val="single" w:sz="4" w:space="0" w:color="auto"/>
            </w:tcBorders>
            <w:shd w:val="clear" w:color="000000" w:fill="CCFFCC"/>
            <w:vAlign w:val="center"/>
            <w:hideMark/>
          </w:tcPr>
          <w:p w14:paraId="0EE1B3DE" w14:textId="77777777" w:rsidR="004566A6" w:rsidRPr="004566A6" w:rsidRDefault="004566A6" w:rsidP="004566A6">
            <w:pPr>
              <w:spacing w:after="0" w:line="240" w:lineRule="auto"/>
              <w:jc w:val="center"/>
              <w:rPr>
                <w:rFonts w:ascii="Calibri" w:eastAsia="Times New Roman" w:hAnsi="Calibri" w:cs="Calibri"/>
                <w:sz w:val="18"/>
                <w:szCs w:val="18"/>
                <w:lang w:eastAsia="hr-HR"/>
              </w:rPr>
            </w:pPr>
            <w:r w:rsidRPr="004566A6">
              <w:rPr>
                <w:rFonts w:ascii="Calibri" w:eastAsia="Times New Roman" w:hAnsi="Calibri" w:cs="Calibri"/>
                <w:sz w:val="18"/>
                <w:szCs w:val="18"/>
                <w:lang w:eastAsia="hr-HR"/>
              </w:rPr>
              <w:t>11.</w:t>
            </w:r>
          </w:p>
        </w:tc>
        <w:tc>
          <w:tcPr>
            <w:tcW w:w="567" w:type="dxa"/>
            <w:tcBorders>
              <w:top w:val="nil"/>
              <w:left w:val="nil"/>
              <w:bottom w:val="single" w:sz="4" w:space="0" w:color="auto"/>
              <w:right w:val="single" w:sz="4" w:space="0" w:color="auto"/>
            </w:tcBorders>
            <w:shd w:val="clear" w:color="000000" w:fill="CCFFCC"/>
            <w:vAlign w:val="center"/>
            <w:hideMark/>
          </w:tcPr>
          <w:p w14:paraId="03BDFD41" w14:textId="77777777" w:rsidR="004566A6" w:rsidRPr="004566A6" w:rsidRDefault="004566A6" w:rsidP="004566A6">
            <w:pPr>
              <w:spacing w:after="0" w:line="240" w:lineRule="auto"/>
              <w:jc w:val="center"/>
              <w:rPr>
                <w:rFonts w:ascii="Calibri" w:eastAsia="Times New Roman" w:hAnsi="Calibri" w:cs="Calibri"/>
                <w:sz w:val="18"/>
                <w:szCs w:val="18"/>
                <w:lang w:eastAsia="hr-HR"/>
              </w:rPr>
            </w:pPr>
            <w:r w:rsidRPr="004566A6">
              <w:rPr>
                <w:rFonts w:ascii="Calibri" w:eastAsia="Times New Roman" w:hAnsi="Calibri" w:cs="Calibri"/>
                <w:sz w:val="18"/>
                <w:szCs w:val="18"/>
                <w:lang w:eastAsia="hr-HR"/>
              </w:rPr>
              <w:t>12.</w:t>
            </w:r>
          </w:p>
        </w:tc>
        <w:tc>
          <w:tcPr>
            <w:tcW w:w="448" w:type="dxa"/>
            <w:tcBorders>
              <w:top w:val="nil"/>
              <w:left w:val="nil"/>
              <w:bottom w:val="single" w:sz="4" w:space="0" w:color="auto"/>
              <w:right w:val="single" w:sz="4" w:space="0" w:color="auto"/>
            </w:tcBorders>
            <w:shd w:val="clear" w:color="000000" w:fill="CCFFCC"/>
            <w:vAlign w:val="center"/>
            <w:hideMark/>
          </w:tcPr>
          <w:p w14:paraId="2AA96388" w14:textId="77777777" w:rsidR="004566A6" w:rsidRPr="004566A6" w:rsidRDefault="004566A6" w:rsidP="004566A6">
            <w:pPr>
              <w:spacing w:after="0" w:line="240" w:lineRule="auto"/>
              <w:jc w:val="center"/>
              <w:rPr>
                <w:rFonts w:ascii="Calibri" w:eastAsia="Times New Roman" w:hAnsi="Calibri" w:cs="Calibri"/>
                <w:sz w:val="18"/>
                <w:szCs w:val="18"/>
                <w:lang w:eastAsia="hr-HR"/>
              </w:rPr>
            </w:pPr>
            <w:r w:rsidRPr="004566A6">
              <w:rPr>
                <w:rFonts w:ascii="Calibri" w:eastAsia="Times New Roman" w:hAnsi="Calibri" w:cs="Calibri"/>
                <w:sz w:val="18"/>
                <w:szCs w:val="18"/>
                <w:lang w:eastAsia="hr-HR"/>
              </w:rPr>
              <w:t>13.</w:t>
            </w:r>
          </w:p>
        </w:tc>
        <w:tc>
          <w:tcPr>
            <w:tcW w:w="448" w:type="dxa"/>
            <w:gridSpan w:val="2"/>
            <w:tcBorders>
              <w:top w:val="nil"/>
              <w:left w:val="nil"/>
              <w:bottom w:val="single" w:sz="4" w:space="0" w:color="auto"/>
              <w:right w:val="single" w:sz="4" w:space="0" w:color="auto"/>
            </w:tcBorders>
            <w:shd w:val="clear" w:color="000000" w:fill="CCFFCC"/>
            <w:vAlign w:val="center"/>
            <w:hideMark/>
          </w:tcPr>
          <w:p w14:paraId="3F5C25BC" w14:textId="77777777" w:rsidR="004566A6" w:rsidRPr="004566A6" w:rsidRDefault="004566A6" w:rsidP="004566A6">
            <w:pPr>
              <w:spacing w:after="0" w:line="240" w:lineRule="auto"/>
              <w:jc w:val="center"/>
              <w:rPr>
                <w:rFonts w:ascii="Calibri" w:eastAsia="Times New Roman" w:hAnsi="Calibri" w:cs="Calibri"/>
                <w:sz w:val="18"/>
                <w:szCs w:val="18"/>
                <w:lang w:eastAsia="hr-HR"/>
              </w:rPr>
            </w:pPr>
            <w:r w:rsidRPr="004566A6">
              <w:rPr>
                <w:rFonts w:ascii="Calibri" w:eastAsia="Times New Roman" w:hAnsi="Calibri" w:cs="Calibri"/>
                <w:sz w:val="18"/>
                <w:szCs w:val="18"/>
                <w:lang w:eastAsia="hr-HR"/>
              </w:rPr>
              <w:t>14.</w:t>
            </w:r>
          </w:p>
        </w:tc>
        <w:tc>
          <w:tcPr>
            <w:tcW w:w="448" w:type="dxa"/>
            <w:tcBorders>
              <w:top w:val="nil"/>
              <w:left w:val="nil"/>
              <w:bottom w:val="single" w:sz="4" w:space="0" w:color="auto"/>
              <w:right w:val="single" w:sz="4" w:space="0" w:color="auto"/>
            </w:tcBorders>
            <w:shd w:val="clear" w:color="000000" w:fill="CCFFCC"/>
            <w:vAlign w:val="center"/>
            <w:hideMark/>
          </w:tcPr>
          <w:p w14:paraId="4D206228" w14:textId="77777777" w:rsidR="004566A6" w:rsidRPr="004566A6" w:rsidRDefault="004566A6" w:rsidP="004566A6">
            <w:pPr>
              <w:spacing w:after="0" w:line="240" w:lineRule="auto"/>
              <w:jc w:val="center"/>
              <w:rPr>
                <w:rFonts w:ascii="Calibri" w:eastAsia="Times New Roman" w:hAnsi="Calibri" w:cs="Calibri"/>
                <w:sz w:val="18"/>
                <w:szCs w:val="18"/>
                <w:lang w:eastAsia="hr-HR"/>
              </w:rPr>
            </w:pPr>
            <w:r w:rsidRPr="004566A6">
              <w:rPr>
                <w:rFonts w:ascii="Calibri" w:eastAsia="Times New Roman" w:hAnsi="Calibri" w:cs="Calibri"/>
                <w:sz w:val="18"/>
                <w:szCs w:val="18"/>
                <w:lang w:eastAsia="hr-HR"/>
              </w:rPr>
              <w:t>15.</w:t>
            </w:r>
          </w:p>
        </w:tc>
        <w:tc>
          <w:tcPr>
            <w:tcW w:w="448" w:type="dxa"/>
            <w:tcBorders>
              <w:top w:val="nil"/>
              <w:left w:val="nil"/>
              <w:bottom w:val="single" w:sz="4" w:space="0" w:color="auto"/>
              <w:right w:val="single" w:sz="4" w:space="0" w:color="auto"/>
            </w:tcBorders>
            <w:shd w:val="clear" w:color="000000" w:fill="CCFFCC"/>
            <w:vAlign w:val="center"/>
            <w:hideMark/>
          </w:tcPr>
          <w:p w14:paraId="6E626F98" w14:textId="77777777" w:rsidR="004566A6" w:rsidRPr="004566A6" w:rsidRDefault="004566A6" w:rsidP="004566A6">
            <w:pPr>
              <w:spacing w:after="0" w:line="240" w:lineRule="auto"/>
              <w:jc w:val="center"/>
              <w:rPr>
                <w:rFonts w:ascii="Calibri" w:eastAsia="Times New Roman" w:hAnsi="Calibri" w:cs="Calibri"/>
                <w:sz w:val="18"/>
                <w:szCs w:val="18"/>
                <w:lang w:eastAsia="hr-HR"/>
              </w:rPr>
            </w:pPr>
            <w:r w:rsidRPr="004566A6">
              <w:rPr>
                <w:rFonts w:ascii="Calibri" w:eastAsia="Times New Roman" w:hAnsi="Calibri" w:cs="Calibri"/>
                <w:sz w:val="18"/>
                <w:szCs w:val="18"/>
                <w:lang w:eastAsia="hr-HR"/>
              </w:rPr>
              <w:t>16.</w:t>
            </w:r>
          </w:p>
        </w:tc>
        <w:tc>
          <w:tcPr>
            <w:tcW w:w="476" w:type="dxa"/>
            <w:tcBorders>
              <w:top w:val="nil"/>
              <w:left w:val="nil"/>
              <w:bottom w:val="single" w:sz="4" w:space="0" w:color="auto"/>
              <w:right w:val="single" w:sz="4" w:space="0" w:color="auto"/>
            </w:tcBorders>
            <w:shd w:val="clear" w:color="000000" w:fill="CCFFCC"/>
            <w:vAlign w:val="center"/>
            <w:hideMark/>
          </w:tcPr>
          <w:p w14:paraId="51601CF8" w14:textId="77777777" w:rsidR="004566A6" w:rsidRPr="004566A6" w:rsidRDefault="004566A6" w:rsidP="004566A6">
            <w:pPr>
              <w:spacing w:after="0" w:line="240" w:lineRule="auto"/>
              <w:jc w:val="center"/>
              <w:rPr>
                <w:rFonts w:ascii="Calibri" w:eastAsia="Times New Roman" w:hAnsi="Calibri" w:cs="Calibri"/>
                <w:sz w:val="18"/>
                <w:szCs w:val="18"/>
                <w:lang w:eastAsia="hr-HR"/>
              </w:rPr>
            </w:pPr>
            <w:r w:rsidRPr="004566A6">
              <w:rPr>
                <w:rFonts w:ascii="Calibri" w:eastAsia="Times New Roman" w:hAnsi="Calibri" w:cs="Calibri"/>
                <w:sz w:val="18"/>
                <w:szCs w:val="18"/>
                <w:lang w:eastAsia="hr-HR"/>
              </w:rPr>
              <w:t>17.</w:t>
            </w:r>
          </w:p>
        </w:tc>
        <w:tc>
          <w:tcPr>
            <w:tcW w:w="557" w:type="dxa"/>
            <w:gridSpan w:val="2"/>
            <w:tcBorders>
              <w:top w:val="nil"/>
              <w:left w:val="nil"/>
              <w:bottom w:val="single" w:sz="4" w:space="0" w:color="auto"/>
              <w:right w:val="single" w:sz="4" w:space="0" w:color="auto"/>
            </w:tcBorders>
            <w:shd w:val="clear" w:color="000000" w:fill="CCFFCC"/>
            <w:vAlign w:val="center"/>
            <w:hideMark/>
          </w:tcPr>
          <w:p w14:paraId="6F442E95" w14:textId="77777777" w:rsidR="004566A6" w:rsidRPr="004566A6" w:rsidRDefault="004566A6" w:rsidP="004566A6">
            <w:pPr>
              <w:spacing w:after="0" w:line="240" w:lineRule="auto"/>
              <w:jc w:val="center"/>
              <w:rPr>
                <w:rFonts w:ascii="Calibri" w:eastAsia="Times New Roman" w:hAnsi="Calibri" w:cs="Calibri"/>
                <w:sz w:val="18"/>
                <w:szCs w:val="18"/>
                <w:lang w:eastAsia="hr-HR"/>
              </w:rPr>
            </w:pPr>
            <w:r w:rsidRPr="004566A6">
              <w:rPr>
                <w:rFonts w:ascii="Calibri" w:eastAsia="Times New Roman" w:hAnsi="Calibri" w:cs="Calibri"/>
                <w:sz w:val="18"/>
                <w:szCs w:val="18"/>
                <w:lang w:eastAsia="hr-HR"/>
              </w:rPr>
              <w:t>18.</w:t>
            </w:r>
          </w:p>
        </w:tc>
        <w:tc>
          <w:tcPr>
            <w:tcW w:w="515" w:type="dxa"/>
            <w:gridSpan w:val="2"/>
            <w:tcBorders>
              <w:top w:val="nil"/>
              <w:left w:val="nil"/>
              <w:bottom w:val="single" w:sz="4" w:space="0" w:color="auto"/>
              <w:right w:val="single" w:sz="4" w:space="0" w:color="auto"/>
            </w:tcBorders>
            <w:shd w:val="clear" w:color="000000" w:fill="CCFFCC"/>
            <w:vAlign w:val="center"/>
            <w:hideMark/>
          </w:tcPr>
          <w:p w14:paraId="25BBF7D3" w14:textId="77777777" w:rsidR="004566A6" w:rsidRPr="004566A6" w:rsidRDefault="004566A6" w:rsidP="004566A6">
            <w:pPr>
              <w:spacing w:after="0" w:line="240" w:lineRule="auto"/>
              <w:jc w:val="center"/>
              <w:rPr>
                <w:rFonts w:ascii="Calibri" w:eastAsia="Times New Roman" w:hAnsi="Calibri" w:cs="Calibri"/>
                <w:sz w:val="18"/>
                <w:szCs w:val="18"/>
                <w:lang w:eastAsia="hr-HR"/>
              </w:rPr>
            </w:pPr>
            <w:r w:rsidRPr="004566A6">
              <w:rPr>
                <w:rFonts w:ascii="Calibri" w:eastAsia="Times New Roman" w:hAnsi="Calibri" w:cs="Calibri"/>
                <w:sz w:val="18"/>
                <w:szCs w:val="18"/>
                <w:lang w:eastAsia="hr-HR"/>
              </w:rPr>
              <w:t>19.</w:t>
            </w:r>
          </w:p>
        </w:tc>
        <w:tc>
          <w:tcPr>
            <w:tcW w:w="855" w:type="dxa"/>
            <w:gridSpan w:val="2"/>
            <w:tcBorders>
              <w:top w:val="nil"/>
              <w:left w:val="nil"/>
              <w:bottom w:val="single" w:sz="4" w:space="0" w:color="auto"/>
              <w:right w:val="single" w:sz="4" w:space="0" w:color="auto"/>
            </w:tcBorders>
            <w:shd w:val="clear" w:color="000000" w:fill="CCFFCC"/>
            <w:vAlign w:val="center"/>
            <w:hideMark/>
          </w:tcPr>
          <w:p w14:paraId="371F307F" w14:textId="77777777" w:rsidR="004566A6" w:rsidRPr="004566A6" w:rsidRDefault="004566A6" w:rsidP="004566A6">
            <w:pPr>
              <w:spacing w:after="0" w:line="240" w:lineRule="auto"/>
              <w:jc w:val="center"/>
              <w:rPr>
                <w:rFonts w:ascii="Calibri" w:eastAsia="Times New Roman" w:hAnsi="Calibri" w:cs="Calibri"/>
                <w:sz w:val="18"/>
                <w:szCs w:val="18"/>
                <w:lang w:eastAsia="hr-HR"/>
              </w:rPr>
            </w:pPr>
            <w:r w:rsidRPr="004566A6">
              <w:rPr>
                <w:rFonts w:ascii="Calibri" w:eastAsia="Times New Roman" w:hAnsi="Calibri" w:cs="Calibri"/>
                <w:sz w:val="18"/>
                <w:szCs w:val="18"/>
                <w:lang w:eastAsia="hr-HR"/>
              </w:rPr>
              <w:t>20.</w:t>
            </w:r>
          </w:p>
        </w:tc>
        <w:tc>
          <w:tcPr>
            <w:tcW w:w="445" w:type="dxa"/>
            <w:gridSpan w:val="2"/>
            <w:tcBorders>
              <w:top w:val="nil"/>
              <w:left w:val="nil"/>
              <w:bottom w:val="single" w:sz="4" w:space="0" w:color="auto"/>
              <w:right w:val="single" w:sz="4" w:space="0" w:color="auto"/>
            </w:tcBorders>
            <w:shd w:val="clear" w:color="000000" w:fill="CCFFCC"/>
            <w:vAlign w:val="center"/>
            <w:hideMark/>
          </w:tcPr>
          <w:p w14:paraId="42943F9E" w14:textId="77777777" w:rsidR="004566A6" w:rsidRPr="004566A6" w:rsidRDefault="004566A6" w:rsidP="004566A6">
            <w:pPr>
              <w:spacing w:after="0" w:line="240" w:lineRule="auto"/>
              <w:jc w:val="center"/>
              <w:rPr>
                <w:rFonts w:ascii="Calibri" w:eastAsia="Times New Roman" w:hAnsi="Calibri" w:cs="Calibri"/>
                <w:sz w:val="18"/>
                <w:szCs w:val="18"/>
                <w:lang w:eastAsia="hr-HR"/>
              </w:rPr>
            </w:pPr>
            <w:r w:rsidRPr="004566A6">
              <w:rPr>
                <w:rFonts w:ascii="Calibri" w:eastAsia="Times New Roman" w:hAnsi="Calibri" w:cs="Calibri"/>
                <w:sz w:val="18"/>
                <w:szCs w:val="18"/>
                <w:lang w:eastAsia="hr-HR"/>
              </w:rPr>
              <w:t>21.</w:t>
            </w:r>
          </w:p>
        </w:tc>
        <w:tc>
          <w:tcPr>
            <w:tcW w:w="445" w:type="dxa"/>
            <w:tcBorders>
              <w:top w:val="nil"/>
              <w:left w:val="nil"/>
              <w:bottom w:val="single" w:sz="4" w:space="0" w:color="auto"/>
              <w:right w:val="single" w:sz="4" w:space="0" w:color="auto"/>
            </w:tcBorders>
            <w:shd w:val="clear" w:color="000000" w:fill="CCFFCC"/>
            <w:vAlign w:val="center"/>
            <w:hideMark/>
          </w:tcPr>
          <w:p w14:paraId="4C59752D" w14:textId="77777777" w:rsidR="004566A6" w:rsidRPr="004566A6" w:rsidRDefault="004566A6" w:rsidP="004566A6">
            <w:pPr>
              <w:spacing w:after="0" w:line="240" w:lineRule="auto"/>
              <w:jc w:val="center"/>
              <w:rPr>
                <w:rFonts w:ascii="Calibri" w:eastAsia="Times New Roman" w:hAnsi="Calibri" w:cs="Calibri"/>
                <w:sz w:val="18"/>
                <w:szCs w:val="18"/>
                <w:lang w:eastAsia="hr-HR"/>
              </w:rPr>
            </w:pPr>
            <w:r w:rsidRPr="004566A6">
              <w:rPr>
                <w:rFonts w:ascii="Calibri" w:eastAsia="Times New Roman" w:hAnsi="Calibri" w:cs="Calibri"/>
                <w:sz w:val="18"/>
                <w:szCs w:val="18"/>
                <w:lang w:eastAsia="hr-HR"/>
              </w:rPr>
              <w:t>22.</w:t>
            </w:r>
          </w:p>
        </w:tc>
        <w:tc>
          <w:tcPr>
            <w:tcW w:w="505" w:type="dxa"/>
            <w:tcBorders>
              <w:top w:val="nil"/>
              <w:left w:val="nil"/>
              <w:bottom w:val="single" w:sz="4" w:space="0" w:color="auto"/>
              <w:right w:val="single" w:sz="4" w:space="0" w:color="auto"/>
            </w:tcBorders>
            <w:shd w:val="clear" w:color="000000" w:fill="CCFFCC"/>
            <w:vAlign w:val="center"/>
            <w:hideMark/>
          </w:tcPr>
          <w:p w14:paraId="1EF124F4" w14:textId="77777777" w:rsidR="004566A6" w:rsidRPr="004566A6" w:rsidRDefault="004566A6" w:rsidP="004566A6">
            <w:pPr>
              <w:spacing w:after="0" w:line="240" w:lineRule="auto"/>
              <w:jc w:val="center"/>
              <w:rPr>
                <w:rFonts w:ascii="Calibri" w:eastAsia="Times New Roman" w:hAnsi="Calibri" w:cs="Calibri"/>
                <w:sz w:val="18"/>
                <w:szCs w:val="18"/>
                <w:lang w:eastAsia="hr-HR"/>
              </w:rPr>
            </w:pPr>
            <w:r w:rsidRPr="004566A6">
              <w:rPr>
                <w:rFonts w:ascii="Calibri" w:eastAsia="Times New Roman" w:hAnsi="Calibri" w:cs="Calibri"/>
                <w:sz w:val="18"/>
                <w:szCs w:val="18"/>
                <w:lang w:eastAsia="hr-HR"/>
              </w:rPr>
              <w:t>23.</w:t>
            </w:r>
          </w:p>
        </w:tc>
        <w:tc>
          <w:tcPr>
            <w:tcW w:w="797" w:type="dxa"/>
            <w:gridSpan w:val="2"/>
            <w:tcBorders>
              <w:top w:val="nil"/>
              <w:left w:val="nil"/>
              <w:bottom w:val="single" w:sz="4" w:space="0" w:color="auto"/>
              <w:right w:val="single" w:sz="4" w:space="0" w:color="auto"/>
            </w:tcBorders>
            <w:shd w:val="clear" w:color="000000" w:fill="CCFFCC"/>
            <w:vAlign w:val="center"/>
            <w:hideMark/>
          </w:tcPr>
          <w:p w14:paraId="242363CF" w14:textId="77777777" w:rsidR="004566A6" w:rsidRPr="004566A6" w:rsidRDefault="004566A6" w:rsidP="004566A6">
            <w:pPr>
              <w:spacing w:after="0" w:line="240" w:lineRule="auto"/>
              <w:jc w:val="center"/>
              <w:rPr>
                <w:rFonts w:ascii="Calibri" w:eastAsia="Times New Roman" w:hAnsi="Calibri" w:cs="Calibri"/>
                <w:sz w:val="18"/>
                <w:szCs w:val="18"/>
                <w:lang w:eastAsia="hr-HR"/>
              </w:rPr>
            </w:pPr>
            <w:r w:rsidRPr="004566A6">
              <w:rPr>
                <w:rFonts w:ascii="Calibri" w:eastAsia="Times New Roman" w:hAnsi="Calibri" w:cs="Calibri"/>
                <w:sz w:val="18"/>
                <w:szCs w:val="18"/>
                <w:lang w:eastAsia="hr-HR"/>
              </w:rPr>
              <w:t>24.</w:t>
            </w:r>
          </w:p>
        </w:tc>
        <w:tc>
          <w:tcPr>
            <w:tcW w:w="425" w:type="dxa"/>
            <w:gridSpan w:val="3"/>
            <w:tcBorders>
              <w:top w:val="nil"/>
              <w:left w:val="nil"/>
              <w:bottom w:val="single" w:sz="4" w:space="0" w:color="auto"/>
              <w:right w:val="nil"/>
            </w:tcBorders>
            <w:shd w:val="clear" w:color="000000" w:fill="CCFFCC"/>
            <w:vAlign w:val="center"/>
            <w:hideMark/>
          </w:tcPr>
          <w:p w14:paraId="7CB8B464" w14:textId="77777777" w:rsidR="004566A6" w:rsidRPr="004566A6" w:rsidRDefault="004566A6" w:rsidP="004566A6">
            <w:pPr>
              <w:spacing w:after="0" w:line="240" w:lineRule="auto"/>
              <w:jc w:val="center"/>
              <w:rPr>
                <w:rFonts w:ascii="Calibri" w:eastAsia="Times New Roman" w:hAnsi="Calibri" w:cs="Calibri"/>
                <w:sz w:val="18"/>
                <w:szCs w:val="18"/>
                <w:lang w:eastAsia="hr-HR"/>
              </w:rPr>
            </w:pPr>
            <w:r w:rsidRPr="004566A6">
              <w:rPr>
                <w:rFonts w:ascii="Calibri" w:eastAsia="Times New Roman" w:hAnsi="Calibri" w:cs="Calibri"/>
                <w:sz w:val="18"/>
                <w:szCs w:val="18"/>
                <w:lang w:eastAsia="hr-HR"/>
              </w:rPr>
              <w:t>25.</w:t>
            </w:r>
          </w:p>
        </w:tc>
        <w:tc>
          <w:tcPr>
            <w:tcW w:w="236" w:type="dxa"/>
            <w:gridSpan w:val="2"/>
            <w:vAlign w:val="center"/>
            <w:hideMark/>
          </w:tcPr>
          <w:p w14:paraId="54ED695F" w14:textId="77777777" w:rsidR="004566A6" w:rsidRPr="004566A6" w:rsidRDefault="004566A6" w:rsidP="004566A6">
            <w:pPr>
              <w:spacing w:after="0" w:line="240" w:lineRule="auto"/>
              <w:rPr>
                <w:rFonts w:ascii="Times New Roman" w:eastAsia="Times New Roman" w:hAnsi="Times New Roman" w:cs="Times New Roman"/>
                <w:sz w:val="18"/>
                <w:szCs w:val="18"/>
                <w:lang w:eastAsia="hr-HR"/>
              </w:rPr>
            </w:pPr>
          </w:p>
        </w:tc>
      </w:tr>
      <w:tr w:rsidR="003D0C85" w:rsidRPr="004566A6" w14:paraId="359A2235" w14:textId="77777777" w:rsidTr="003D0C85">
        <w:trPr>
          <w:trHeight w:val="300"/>
        </w:trPr>
        <w:tc>
          <w:tcPr>
            <w:tcW w:w="1397" w:type="dxa"/>
            <w:tcBorders>
              <w:top w:val="single" w:sz="4" w:space="0" w:color="auto"/>
              <w:left w:val="single" w:sz="8" w:space="0" w:color="auto"/>
              <w:bottom w:val="single" w:sz="4" w:space="0" w:color="auto"/>
              <w:right w:val="single" w:sz="4" w:space="0" w:color="auto"/>
            </w:tcBorders>
            <w:shd w:val="clear" w:color="000000" w:fill="CCFFCC"/>
            <w:vAlign w:val="center"/>
            <w:hideMark/>
          </w:tcPr>
          <w:p w14:paraId="46696EA0" w14:textId="77777777" w:rsidR="004566A6" w:rsidRPr="004566A6" w:rsidRDefault="004566A6" w:rsidP="004566A6">
            <w:pPr>
              <w:spacing w:after="0" w:line="240" w:lineRule="auto"/>
              <w:jc w:val="center"/>
              <w:rPr>
                <w:rFonts w:ascii="Calibri" w:eastAsia="Times New Roman" w:hAnsi="Calibri" w:cs="Calibri"/>
                <w:sz w:val="18"/>
                <w:szCs w:val="18"/>
                <w:lang w:eastAsia="hr-HR"/>
              </w:rPr>
            </w:pPr>
            <w:r w:rsidRPr="004566A6">
              <w:rPr>
                <w:rFonts w:ascii="Calibri" w:eastAsia="Times New Roman" w:hAnsi="Calibri" w:cs="Calibri"/>
                <w:sz w:val="18"/>
                <w:szCs w:val="18"/>
                <w:lang w:eastAsia="hr-HR"/>
              </w:rPr>
              <w:t xml:space="preserve">Rasa ili etnička </w:t>
            </w:r>
            <w:proofErr w:type="spellStart"/>
            <w:r w:rsidRPr="004566A6">
              <w:rPr>
                <w:rFonts w:ascii="Calibri" w:eastAsia="Times New Roman" w:hAnsi="Calibri" w:cs="Calibri"/>
                <w:sz w:val="18"/>
                <w:szCs w:val="18"/>
                <w:lang w:eastAsia="hr-HR"/>
              </w:rPr>
              <w:t>propadnost</w:t>
            </w:r>
            <w:proofErr w:type="spellEnd"/>
            <w:r w:rsidRPr="004566A6">
              <w:rPr>
                <w:rFonts w:ascii="Calibri" w:eastAsia="Times New Roman" w:hAnsi="Calibri" w:cs="Calibri"/>
                <w:sz w:val="18"/>
                <w:szCs w:val="18"/>
                <w:lang w:eastAsia="hr-HR"/>
              </w:rPr>
              <w:t xml:space="preserve"> ili boja kože</w:t>
            </w:r>
          </w:p>
        </w:tc>
        <w:tc>
          <w:tcPr>
            <w:tcW w:w="576" w:type="dxa"/>
            <w:tcBorders>
              <w:top w:val="nil"/>
              <w:left w:val="nil"/>
              <w:bottom w:val="single" w:sz="4" w:space="0" w:color="auto"/>
              <w:right w:val="single" w:sz="4" w:space="0" w:color="auto"/>
            </w:tcBorders>
            <w:shd w:val="clear" w:color="000000" w:fill="CCFFCC"/>
            <w:vAlign w:val="center"/>
            <w:hideMark/>
          </w:tcPr>
          <w:p w14:paraId="55C5C013" w14:textId="77777777" w:rsidR="004566A6" w:rsidRPr="004566A6" w:rsidRDefault="004566A6" w:rsidP="004566A6">
            <w:pPr>
              <w:spacing w:after="0" w:line="240" w:lineRule="auto"/>
              <w:jc w:val="center"/>
              <w:rPr>
                <w:rFonts w:ascii="Calibri" w:eastAsia="Times New Roman" w:hAnsi="Calibri" w:cs="Calibri"/>
                <w:sz w:val="18"/>
                <w:szCs w:val="18"/>
                <w:lang w:eastAsia="hr-HR"/>
              </w:rPr>
            </w:pPr>
            <w:r w:rsidRPr="004566A6">
              <w:rPr>
                <w:rFonts w:ascii="Calibri" w:eastAsia="Times New Roman" w:hAnsi="Calibri" w:cs="Calibri"/>
                <w:sz w:val="18"/>
                <w:szCs w:val="18"/>
                <w:lang w:eastAsia="hr-HR"/>
              </w:rPr>
              <w:t>7</w:t>
            </w:r>
          </w:p>
        </w:tc>
        <w:tc>
          <w:tcPr>
            <w:tcW w:w="444" w:type="dxa"/>
            <w:tcBorders>
              <w:top w:val="nil"/>
              <w:left w:val="nil"/>
              <w:bottom w:val="single" w:sz="4" w:space="0" w:color="auto"/>
              <w:right w:val="single" w:sz="4" w:space="0" w:color="auto"/>
            </w:tcBorders>
            <w:shd w:val="clear" w:color="000000" w:fill="FFCC99"/>
            <w:noWrap/>
            <w:vAlign w:val="bottom"/>
            <w:hideMark/>
          </w:tcPr>
          <w:p w14:paraId="1E666B7A" w14:textId="77777777" w:rsidR="004566A6" w:rsidRPr="004566A6" w:rsidRDefault="004566A6" w:rsidP="004566A6">
            <w:pPr>
              <w:spacing w:after="0" w:line="240" w:lineRule="auto"/>
              <w:jc w:val="center"/>
              <w:rPr>
                <w:rFonts w:ascii="Calibri" w:eastAsia="Times New Roman" w:hAnsi="Calibri" w:cs="Calibri"/>
                <w:sz w:val="18"/>
                <w:szCs w:val="18"/>
                <w:lang w:eastAsia="hr-HR"/>
              </w:rPr>
            </w:pPr>
            <w:r w:rsidRPr="004566A6">
              <w:rPr>
                <w:rFonts w:ascii="Calibri" w:eastAsia="Times New Roman" w:hAnsi="Calibri" w:cs="Calibri"/>
                <w:sz w:val="18"/>
                <w:szCs w:val="18"/>
                <w:lang w:eastAsia="hr-HR"/>
              </w:rPr>
              <w:t>19</w:t>
            </w:r>
          </w:p>
        </w:tc>
        <w:tc>
          <w:tcPr>
            <w:tcW w:w="405" w:type="dxa"/>
            <w:tcBorders>
              <w:top w:val="nil"/>
              <w:left w:val="nil"/>
              <w:bottom w:val="single" w:sz="4" w:space="0" w:color="auto"/>
              <w:right w:val="single" w:sz="4" w:space="0" w:color="auto"/>
            </w:tcBorders>
            <w:shd w:val="clear" w:color="000000" w:fill="CCFFFF"/>
            <w:noWrap/>
            <w:vAlign w:val="bottom"/>
            <w:hideMark/>
          </w:tcPr>
          <w:p w14:paraId="5A35E13D" w14:textId="77777777" w:rsidR="004566A6" w:rsidRPr="004566A6" w:rsidRDefault="004566A6" w:rsidP="004566A6">
            <w:pPr>
              <w:spacing w:after="0" w:line="240" w:lineRule="auto"/>
              <w:jc w:val="right"/>
              <w:rPr>
                <w:rFonts w:ascii="Calibri" w:eastAsia="Times New Roman" w:hAnsi="Calibri" w:cs="Calibri"/>
                <w:sz w:val="18"/>
                <w:szCs w:val="18"/>
                <w:lang w:eastAsia="hr-HR"/>
              </w:rPr>
            </w:pPr>
            <w:r w:rsidRPr="004566A6">
              <w:rPr>
                <w:rFonts w:ascii="Calibri" w:eastAsia="Times New Roman" w:hAnsi="Calibri" w:cs="Calibri"/>
                <w:sz w:val="18"/>
                <w:szCs w:val="18"/>
                <w:lang w:eastAsia="hr-HR"/>
              </w:rPr>
              <w:t>3</w:t>
            </w:r>
          </w:p>
        </w:tc>
        <w:tc>
          <w:tcPr>
            <w:tcW w:w="462" w:type="dxa"/>
            <w:tcBorders>
              <w:top w:val="nil"/>
              <w:left w:val="nil"/>
              <w:bottom w:val="single" w:sz="4" w:space="0" w:color="auto"/>
              <w:right w:val="single" w:sz="4" w:space="0" w:color="auto"/>
            </w:tcBorders>
            <w:shd w:val="clear" w:color="000000" w:fill="CCFFFF"/>
            <w:noWrap/>
            <w:vAlign w:val="bottom"/>
            <w:hideMark/>
          </w:tcPr>
          <w:p w14:paraId="600ECAA8" w14:textId="77777777" w:rsidR="004566A6" w:rsidRPr="004566A6" w:rsidRDefault="004566A6" w:rsidP="004566A6">
            <w:pPr>
              <w:spacing w:after="0" w:line="240" w:lineRule="auto"/>
              <w:jc w:val="right"/>
              <w:rPr>
                <w:rFonts w:ascii="Calibri" w:eastAsia="Times New Roman" w:hAnsi="Calibri" w:cs="Calibri"/>
                <w:sz w:val="18"/>
                <w:szCs w:val="18"/>
                <w:lang w:eastAsia="hr-HR"/>
              </w:rPr>
            </w:pPr>
            <w:r w:rsidRPr="004566A6">
              <w:rPr>
                <w:rFonts w:ascii="Calibri" w:eastAsia="Times New Roman" w:hAnsi="Calibri" w:cs="Calibri"/>
                <w:sz w:val="18"/>
                <w:szCs w:val="18"/>
                <w:lang w:eastAsia="hr-HR"/>
              </w:rPr>
              <w:t>7</w:t>
            </w:r>
          </w:p>
        </w:tc>
        <w:tc>
          <w:tcPr>
            <w:tcW w:w="455" w:type="dxa"/>
            <w:tcBorders>
              <w:top w:val="nil"/>
              <w:left w:val="nil"/>
              <w:bottom w:val="single" w:sz="4" w:space="0" w:color="auto"/>
              <w:right w:val="single" w:sz="4" w:space="0" w:color="auto"/>
            </w:tcBorders>
            <w:shd w:val="clear" w:color="000000" w:fill="FFFF99"/>
            <w:noWrap/>
            <w:vAlign w:val="bottom"/>
            <w:hideMark/>
          </w:tcPr>
          <w:p w14:paraId="328185A5" w14:textId="77777777" w:rsidR="004566A6" w:rsidRPr="004566A6" w:rsidRDefault="004566A6" w:rsidP="004566A6">
            <w:pPr>
              <w:spacing w:after="0" w:line="240" w:lineRule="auto"/>
              <w:jc w:val="center"/>
              <w:rPr>
                <w:rFonts w:ascii="Calibri" w:eastAsia="Times New Roman" w:hAnsi="Calibri" w:cs="Calibri"/>
                <w:sz w:val="18"/>
                <w:szCs w:val="18"/>
                <w:lang w:eastAsia="hr-HR"/>
              </w:rPr>
            </w:pPr>
            <w:r w:rsidRPr="004566A6">
              <w:rPr>
                <w:rFonts w:ascii="Calibri" w:eastAsia="Times New Roman" w:hAnsi="Calibri" w:cs="Calibri"/>
                <w:sz w:val="18"/>
                <w:szCs w:val="18"/>
                <w:lang w:eastAsia="hr-HR"/>
              </w:rPr>
              <w:t>11</w:t>
            </w:r>
          </w:p>
        </w:tc>
        <w:tc>
          <w:tcPr>
            <w:tcW w:w="567" w:type="dxa"/>
            <w:tcBorders>
              <w:top w:val="nil"/>
              <w:left w:val="nil"/>
              <w:bottom w:val="single" w:sz="4" w:space="0" w:color="auto"/>
              <w:right w:val="single" w:sz="4" w:space="0" w:color="auto"/>
            </w:tcBorders>
            <w:shd w:val="clear" w:color="000000" w:fill="FFFF99"/>
            <w:noWrap/>
            <w:vAlign w:val="bottom"/>
            <w:hideMark/>
          </w:tcPr>
          <w:p w14:paraId="2DF0D306" w14:textId="77777777" w:rsidR="004566A6" w:rsidRPr="004566A6" w:rsidRDefault="004566A6" w:rsidP="004566A6">
            <w:pPr>
              <w:spacing w:after="0" w:line="240" w:lineRule="auto"/>
              <w:jc w:val="center"/>
              <w:rPr>
                <w:rFonts w:ascii="Calibri" w:eastAsia="Times New Roman" w:hAnsi="Calibri" w:cs="Calibri"/>
                <w:sz w:val="18"/>
                <w:szCs w:val="18"/>
                <w:lang w:eastAsia="hr-HR"/>
              </w:rPr>
            </w:pPr>
            <w:r w:rsidRPr="004566A6">
              <w:rPr>
                <w:rFonts w:ascii="Calibri" w:eastAsia="Times New Roman" w:hAnsi="Calibri" w:cs="Calibri"/>
                <w:sz w:val="18"/>
                <w:szCs w:val="18"/>
                <w:lang w:eastAsia="hr-HR"/>
              </w:rPr>
              <w:t>0</w:t>
            </w:r>
          </w:p>
        </w:tc>
        <w:tc>
          <w:tcPr>
            <w:tcW w:w="708" w:type="dxa"/>
            <w:tcBorders>
              <w:top w:val="nil"/>
              <w:left w:val="nil"/>
              <w:bottom w:val="single" w:sz="4" w:space="0" w:color="auto"/>
              <w:right w:val="single" w:sz="4" w:space="0" w:color="auto"/>
            </w:tcBorders>
            <w:shd w:val="clear" w:color="000000" w:fill="FFFF99"/>
            <w:noWrap/>
            <w:vAlign w:val="bottom"/>
            <w:hideMark/>
          </w:tcPr>
          <w:p w14:paraId="0ADC5CFB" w14:textId="77777777" w:rsidR="004566A6" w:rsidRPr="004566A6" w:rsidRDefault="004566A6" w:rsidP="004566A6">
            <w:pPr>
              <w:spacing w:after="0" w:line="240" w:lineRule="auto"/>
              <w:jc w:val="center"/>
              <w:rPr>
                <w:rFonts w:ascii="Calibri" w:eastAsia="Times New Roman" w:hAnsi="Calibri" w:cs="Calibri"/>
                <w:sz w:val="18"/>
                <w:szCs w:val="18"/>
                <w:lang w:eastAsia="hr-HR"/>
              </w:rPr>
            </w:pPr>
            <w:r w:rsidRPr="004566A6">
              <w:rPr>
                <w:rFonts w:ascii="Calibri" w:eastAsia="Times New Roman" w:hAnsi="Calibri" w:cs="Calibri"/>
                <w:sz w:val="18"/>
                <w:szCs w:val="18"/>
                <w:lang w:eastAsia="hr-HR"/>
              </w:rPr>
              <w:t>0</w:t>
            </w:r>
          </w:p>
        </w:tc>
        <w:tc>
          <w:tcPr>
            <w:tcW w:w="448" w:type="dxa"/>
            <w:tcBorders>
              <w:top w:val="nil"/>
              <w:left w:val="nil"/>
              <w:bottom w:val="single" w:sz="4" w:space="0" w:color="auto"/>
              <w:right w:val="single" w:sz="4" w:space="0" w:color="auto"/>
            </w:tcBorders>
            <w:shd w:val="clear" w:color="000000" w:fill="FFFF99"/>
            <w:noWrap/>
            <w:vAlign w:val="bottom"/>
            <w:hideMark/>
          </w:tcPr>
          <w:p w14:paraId="42E7CDD1" w14:textId="77777777" w:rsidR="004566A6" w:rsidRPr="004566A6" w:rsidRDefault="004566A6" w:rsidP="004566A6">
            <w:pPr>
              <w:spacing w:after="0" w:line="240" w:lineRule="auto"/>
              <w:jc w:val="center"/>
              <w:rPr>
                <w:rFonts w:ascii="Calibri" w:eastAsia="Times New Roman" w:hAnsi="Calibri" w:cs="Calibri"/>
                <w:sz w:val="18"/>
                <w:szCs w:val="18"/>
                <w:lang w:eastAsia="hr-HR"/>
              </w:rPr>
            </w:pPr>
            <w:r w:rsidRPr="004566A6">
              <w:rPr>
                <w:rFonts w:ascii="Calibri" w:eastAsia="Times New Roman" w:hAnsi="Calibri" w:cs="Calibri"/>
                <w:sz w:val="18"/>
                <w:szCs w:val="18"/>
                <w:lang w:eastAsia="hr-HR"/>
              </w:rPr>
              <w:t>0</w:t>
            </w:r>
          </w:p>
        </w:tc>
        <w:tc>
          <w:tcPr>
            <w:tcW w:w="680" w:type="dxa"/>
            <w:tcBorders>
              <w:top w:val="nil"/>
              <w:left w:val="nil"/>
              <w:bottom w:val="single" w:sz="4" w:space="0" w:color="auto"/>
              <w:right w:val="single" w:sz="4" w:space="0" w:color="auto"/>
            </w:tcBorders>
            <w:shd w:val="clear" w:color="000000" w:fill="FFFF99"/>
            <w:noWrap/>
            <w:vAlign w:val="bottom"/>
            <w:hideMark/>
          </w:tcPr>
          <w:p w14:paraId="51CFB373" w14:textId="77777777" w:rsidR="004566A6" w:rsidRPr="004566A6" w:rsidRDefault="004566A6" w:rsidP="004566A6">
            <w:pPr>
              <w:spacing w:after="0" w:line="240" w:lineRule="auto"/>
              <w:jc w:val="center"/>
              <w:rPr>
                <w:rFonts w:ascii="Calibri" w:eastAsia="Times New Roman" w:hAnsi="Calibri" w:cs="Calibri"/>
                <w:sz w:val="18"/>
                <w:szCs w:val="18"/>
                <w:lang w:eastAsia="hr-HR"/>
              </w:rPr>
            </w:pPr>
            <w:r w:rsidRPr="004566A6">
              <w:rPr>
                <w:rFonts w:ascii="Calibri" w:eastAsia="Times New Roman" w:hAnsi="Calibri" w:cs="Calibri"/>
                <w:sz w:val="18"/>
                <w:szCs w:val="18"/>
                <w:lang w:eastAsia="hr-HR"/>
              </w:rPr>
              <w:t>8</w:t>
            </w:r>
          </w:p>
        </w:tc>
        <w:tc>
          <w:tcPr>
            <w:tcW w:w="573" w:type="dxa"/>
            <w:gridSpan w:val="2"/>
            <w:tcBorders>
              <w:top w:val="nil"/>
              <w:left w:val="nil"/>
              <w:bottom w:val="single" w:sz="4" w:space="0" w:color="auto"/>
              <w:right w:val="single" w:sz="4" w:space="0" w:color="auto"/>
            </w:tcBorders>
            <w:shd w:val="clear" w:color="000000" w:fill="FF9900"/>
            <w:noWrap/>
            <w:vAlign w:val="bottom"/>
            <w:hideMark/>
          </w:tcPr>
          <w:p w14:paraId="28242B87" w14:textId="77777777" w:rsidR="004566A6" w:rsidRPr="004566A6" w:rsidRDefault="004566A6" w:rsidP="004566A6">
            <w:pPr>
              <w:spacing w:after="0" w:line="240" w:lineRule="auto"/>
              <w:jc w:val="right"/>
              <w:rPr>
                <w:rFonts w:ascii="Calibri" w:eastAsia="Times New Roman" w:hAnsi="Calibri" w:cs="Calibri"/>
                <w:sz w:val="18"/>
                <w:szCs w:val="18"/>
                <w:lang w:eastAsia="hr-HR"/>
              </w:rPr>
            </w:pPr>
            <w:r w:rsidRPr="004566A6">
              <w:rPr>
                <w:rFonts w:ascii="Calibri" w:eastAsia="Times New Roman" w:hAnsi="Calibri" w:cs="Calibri"/>
                <w:sz w:val="18"/>
                <w:szCs w:val="18"/>
                <w:lang w:eastAsia="hr-HR"/>
              </w:rPr>
              <w:t>10</w:t>
            </w:r>
          </w:p>
        </w:tc>
        <w:tc>
          <w:tcPr>
            <w:tcW w:w="567" w:type="dxa"/>
            <w:tcBorders>
              <w:top w:val="nil"/>
              <w:left w:val="nil"/>
              <w:bottom w:val="single" w:sz="4" w:space="0" w:color="auto"/>
              <w:right w:val="single" w:sz="4" w:space="0" w:color="auto"/>
            </w:tcBorders>
            <w:shd w:val="clear" w:color="000000" w:fill="FF9900"/>
            <w:noWrap/>
            <w:vAlign w:val="bottom"/>
            <w:hideMark/>
          </w:tcPr>
          <w:p w14:paraId="0EA6B156" w14:textId="77777777" w:rsidR="004566A6" w:rsidRPr="004566A6" w:rsidRDefault="004566A6" w:rsidP="004566A6">
            <w:pPr>
              <w:spacing w:after="0" w:line="240" w:lineRule="auto"/>
              <w:jc w:val="right"/>
              <w:rPr>
                <w:rFonts w:ascii="Calibri" w:eastAsia="Times New Roman" w:hAnsi="Calibri" w:cs="Calibri"/>
                <w:sz w:val="18"/>
                <w:szCs w:val="18"/>
                <w:lang w:eastAsia="hr-HR"/>
              </w:rPr>
            </w:pPr>
            <w:r w:rsidRPr="004566A6">
              <w:rPr>
                <w:rFonts w:ascii="Calibri" w:eastAsia="Times New Roman" w:hAnsi="Calibri" w:cs="Calibri"/>
                <w:sz w:val="18"/>
                <w:szCs w:val="18"/>
                <w:lang w:eastAsia="hr-HR"/>
              </w:rPr>
              <w:t>2</w:t>
            </w:r>
          </w:p>
        </w:tc>
        <w:tc>
          <w:tcPr>
            <w:tcW w:w="448" w:type="dxa"/>
            <w:tcBorders>
              <w:top w:val="nil"/>
              <w:left w:val="nil"/>
              <w:bottom w:val="single" w:sz="4" w:space="0" w:color="auto"/>
              <w:right w:val="single" w:sz="4" w:space="0" w:color="auto"/>
            </w:tcBorders>
            <w:shd w:val="clear" w:color="000000" w:fill="FF9900"/>
            <w:noWrap/>
            <w:vAlign w:val="bottom"/>
            <w:hideMark/>
          </w:tcPr>
          <w:p w14:paraId="2BEDFB2C" w14:textId="77777777" w:rsidR="004566A6" w:rsidRPr="004566A6" w:rsidRDefault="004566A6" w:rsidP="004566A6">
            <w:pPr>
              <w:spacing w:after="0" w:line="240" w:lineRule="auto"/>
              <w:jc w:val="right"/>
              <w:rPr>
                <w:rFonts w:ascii="Calibri" w:eastAsia="Times New Roman" w:hAnsi="Calibri" w:cs="Calibri"/>
                <w:sz w:val="18"/>
                <w:szCs w:val="18"/>
                <w:lang w:eastAsia="hr-HR"/>
              </w:rPr>
            </w:pPr>
            <w:r w:rsidRPr="004566A6">
              <w:rPr>
                <w:rFonts w:ascii="Calibri" w:eastAsia="Times New Roman" w:hAnsi="Calibri" w:cs="Calibri"/>
                <w:sz w:val="18"/>
                <w:szCs w:val="18"/>
                <w:lang w:eastAsia="hr-HR"/>
              </w:rPr>
              <w:t>0</w:t>
            </w:r>
          </w:p>
        </w:tc>
        <w:tc>
          <w:tcPr>
            <w:tcW w:w="448" w:type="dxa"/>
            <w:gridSpan w:val="2"/>
            <w:tcBorders>
              <w:top w:val="nil"/>
              <w:left w:val="nil"/>
              <w:bottom w:val="single" w:sz="4" w:space="0" w:color="auto"/>
              <w:right w:val="single" w:sz="4" w:space="0" w:color="auto"/>
            </w:tcBorders>
            <w:shd w:val="clear" w:color="000000" w:fill="66FFCC"/>
            <w:noWrap/>
            <w:vAlign w:val="bottom"/>
            <w:hideMark/>
          </w:tcPr>
          <w:p w14:paraId="63C99309" w14:textId="77777777" w:rsidR="004566A6" w:rsidRPr="004566A6" w:rsidRDefault="004566A6" w:rsidP="004566A6">
            <w:pPr>
              <w:spacing w:after="0" w:line="240" w:lineRule="auto"/>
              <w:jc w:val="right"/>
              <w:rPr>
                <w:rFonts w:ascii="Calibri" w:eastAsia="Times New Roman" w:hAnsi="Calibri" w:cs="Calibri"/>
                <w:sz w:val="18"/>
                <w:szCs w:val="18"/>
                <w:lang w:eastAsia="hr-HR"/>
              </w:rPr>
            </w:pPr>
            <w:r w:rsidRPr="004566A6">
              <w:rPr>
                <w:rFonts w:ascii="Calibri" w:eastAsia="Times New Roman" w:hAnsi="Calibri" w:cs="Calibri"/>
                <w:sz w:val="18"/>
                <w:szCs w:val="18"/>
                <w:lang w:eastAsia="hr-HR"/>
              </w:rPr>
              <w:t>0</w:t>
            </w:r>
          </w:p>
        </w:tc>
        <w:tc>
          <w:tcPr>
            <w:tcW w:w="448" w:type="dxa"/>
            <w:tcBorders>
              <w:top w:val="nil"/>
              <w:left w:val="nil"/>
              <w:bottom w:val="single" w:sz="4" w:space="0" w:color="auto"/>
              <w:right w:val="single" w:sz="4" w:space="0" w:color="auto"/>
            </w:tcBorders>
            <w:shd w:val="clear" w:color="000000" w:fill="66FFCC"/>
            <w:noWrap/>
            <w:vAlign w:val="bottom"/>
            <w:hideMark/>
          </w:tcPr>
          <w:p w14:paraId="471AA81F" w14:textId="77777777" w:rsidR="004566A6" w:rsidRPr="004566A6" w:rsidRDefault="004566A6" w:rsidP="004566A6">
            <w:pPr>
              <w:spacing w:after="0" w:line="240" w:lineRule="auto"/>
              <w:jc w:val="right"/>
              <w:rPr>
                <w:rFonts w:ascii="Calibri" w:eastAsia="Times New Roman" w:hAnsi="Calibri" w:cs="Calibri"/>
                <w:sz w:val="18"/>
                <w:szCs w:val="18"/>
                <w:lang w:eastAsia="hr-HR"/>
              </w:rPr>
            </w:pPr>
            <w:r w:rsidRPr="004566A6">
              <w:rPr>
                <w:rFonts w:ascii="Calibri" w:eastAsia="Times New Roman" w:hAnsi="Calibri" w:cs="Calibri"/>
                <w:sz w:val="18"/>
                <w:szCs w:val="18"/>
                <w:lang w:eastAsia="hr-HR"/>
              </w:rPr>
              <w:t>10</w:t>
            </w:r>
          </w:p>
        </w:tc>
        <w:tc>
          <w:tcPr>
            <w:tcW w:w="448" w:type="dxa"/>
            <w:tcBorders>
              <w:top w:val="nil"/>
              <w:left w:val="nil"/>
              <w:bottom w:val="single" w:sz="4" w:space="0" w:color="auto"/>
              <w:right w:val="single" w:sz="4" w:space="0" w:color="auto"/>
            </w:tcBorders>
            <w:shd w:val="clear" w:color="000000" w:fill="66FFCC"/>
            <w:noWrap/>
            <w:vAlign w:val="bottom"/>
            <w:hideMark/>
          </w:tcPr>
          <w:p w14:paraId="64B07DA8" w14:textId="77777777" w:rsidR="004566A6" w:rsidRPr="004566A6" w:rsidRDefault="004566A6" w:rsidP="004566A6">
            <w:pPr>
              <w:spacing w:after="0" w:line="240" w:lineRule="auto"/>
              <w:jc w:val="right"/>
              <w:rPr>
                <w:rFonts w:ascii="Calibri" w:eastAsia="Times New Roman" w:hAnsi="Calibri" w:cs="Calibri"/>
                <w:sz w:val="18"/>
                <w:szCs w:val="18"/>
                <w:lang w:eastAsia="hr-HR"/>
              </w:rPr>
            </w:pPr>
            <w:r w:rsidRPr="004566A6">
              <w:rPr>
                <w:rFonts w:ascii="Calibri" w:eastAsia="Times New Roman" w:hAnsi="Calibri" w:cs="Calibri"/>
                <w:sz w:val="18"/>
                <w:szCs w:val="18"/>
                <w:lang w:eastAsia="hr-HR"/>
              </w:rPr>
              <w:t>1</w:t>
            </w:r>
          </w:p>
        </w:tc>
        <w:tc>
          <w:tcPr>
            <w:tcW w:w="476" w:type="dxa"/>
            <w:tcBorders>
              <w:top w:val="nil"/>
              <w:left w:val="nil"/>
              <w:bottom w:val="single" w:sz="4" w:space="0" w:color="auto"/>
              <w:right w:val="single" w:sz="4" w:space="0" w:color="auto"/>
            </w:tcBorders>
            <w:shd w:val="clear" w:color="000000" w:fill="66FFCC"/>
            <w:noWrap/>
            <w:vAlign w:val="bottom"/>
            <w:hideMark/>
          </w:tcPr>
          <w:p w14:paraId="61D19269" w14:textId="77777777" w:rsidR="004566A6" w:rsidRPr="004566A6" w:rsidRDefault="004566A6" w:rsidP="004566A6">
            <w:pPr>
              <w:spacing w:after="0" w:line="240" w:lineRule="auto"/>
              <w:jc w:val="right"/>
              <w:rPr>
                <w:rFonts w:ascii="Calibri" w:eastAsia="Times New Roman" w:hAnsi="Calibri" w:cs="Calibri"/>
                <w:sz w:val="18"/>
                <w:szCs w:val="18"/>
                <w:lang w:eastAsia="hr-HR"/>
              </w:rPr>
            </w:pPr>
            <w:r w:rsidRPr="004566A6">
              <w:rPr>
                <w:rFonts w:ascii="Calibri" w:eastAsia="Times New Roman" w:hAnsi="Calibri" w:cs="Calibri"/>
                <w:sz w:val="18"/>
                <w:szCs w:val="18"/>
                <w:lang w:eastAsia="hr-HR"/>
              </w:rPr>
              <w:t>9</w:t>
            </w:r>
          </w:p>
        </w:tc>
        <w:tc>
          <w:tcPr>
            <w:tcW w:w="557" w:type="dxa"/>
            <w:gridSpan w:val="2"/>
            <w:tcBorders>
              <w:top w:val="nil"/>
              <w:left w:val="nil"/>
              <w:bottom w:val="single" w:sz="4" w:space="0" w:color="auto"/>
              <w:right w:val="single" w:sz="4" w:space="0" w:color="auto"/>
            </w:tcBorders>
            <w:shd w:val="clear" w:color="000000" w:fill="FFFF00"/>
            <w:vAlign w:val="center"/>
            <w:hideMark/>
          </w:tcPr>
          <w:p w14:paraId="3FEAB411" w14:textId="77777777" w:rsidR="004566A6" w:rsidRPr="004566A6" w:rsidRDefault="004566A6" w:rsidP="004566A6">
            <w:pPr>
              <w:spacing w:after="0" w:line="240" w:lineRule="auto"/>
              <w:jc w:val="center"/>
              <w:rPr>
                <w:rFonts w:ascii="Calibri" w:eastAsia="Times New Roman" w:hAnsi="Calibri" w:cs="Calibri"/>
                <w:sz w:val="18"/>
                <w:szCs w:val="18"/>
                <w:lang w:eastAsia="hr-HR"/>
              </w:rPr>
            </w:pPr>
            <w:r w:rsidRPr="004566A6">
              <w:rPr>
                <w:rFonts w:ascii="Calibri" w:eastAsia="Times New Roman" w:hAnsi="Calibri" w:cs="Calibri"/>
                <w:sz w:val="18"/>
                <w:szCs w:val="18"/>
                <w:lang w:eastAsia="hr-HR"/>
              </w:rPr>
              <w:t>12</w:t>
            </w:r>
          </w:p>
        </w:tc>
        <w:tc>
          <w:tcPr>
            <w:tcW w:w="515" w:type="dxa"/>
            <w:gridSpan w:val="2"/>
            <w:tcBorders>
              <w:top w:val="nil"/>
              <w:left w:val="nil"/>
              <w:bottom w:val="single" w:sz="4" w:space="0" w:color="auto"/>
              <w:right w:val="single" w:sz="4" w:space="0" w:color="auto"/>
            </w:tcBorders>
            <w:shd w:val="clear" w:color="000000" w:fill="FFFF99"/>
            <w:vAlign w:val="center"/>
            <w:hideMark/>
          </w:tcPr>
          <w:p w14:paraId="2A0AB590" w14:textId="77777777" w:rsidR="004566A6" w:rsidRPr="004566A6" w:rsidRDefault="004566A6" w:rsidP="004566A6">
            <w:pPr>
              <w:spacing w:after="0" w:line="240" w:lineRule="auto"/>
              <w:jc w:val="center"/>
              <w:rPr>
                <w:rFonts w:ascii="Calibri" w:eastAsia="Times New Roman" w:hAnsi="Calibri" w:cs="Calibri"/>
                <w:sz w:val="18"/>
                <w:szCs w:val="18"/>
                <w:lang w:eastAsia="hr-HR"/>
              </w:rPr>
            </w:pPr>
            <w:r w:rsidRPr="004566A6">
              <w:rPr>
                <w:rFonts w:ascii="Calibri" w:eastAsia="Times New Roman" w:hAnsi="Calibri" w:cs="Calibri"/>
                <w:sz w:val="18"/>
                <w:szCs w:val="18"/>
                <w:lang w:eastAsia="hr-HR"/>
              </w:rPr>
              <w:t>14</w:t>
            </w:r>
          </w:p>
        </w:tc>
        <w:tc>
          <w:tcPr>
            <w:tcW w:w="855" w:type="dxa"/>
            <w:gridSpan w:val="2"/>
            <w:tcBorders>
              <w:top w:val="nil"/>
              <w:left w:val="nil"/>
              <w:bottom w:val="single" w:sz="4" w:space="0" w:color="auto"/>
              <w:right w:val="single" w:sz="4" w:space="0" w:color="auto"/>
            </w:tcBorders>
            <w:shd w:val="clear" w:color="000000" w:fill="FF9900"/>
            <w:vAlign w:val="center"/>
            <w:hideMark/>
          </w:tcPr>
          <w:p w14:paraId="77E4106E" w14:textId="77777777" w:rsidR="004566A6" w:rsidRPr="004566A6" w:rsidRDefault="004566A6" w:rsidP="004566A6">
            <w:pPr>
              <w:spacing w:after="0" w:line="240" w:lineRule="auto"/>
              <w:jc w:val="center"/>
              <w:rPr>
                <w:rFonts w:ascii="Calibri" w:eastAsia="Times New Roman" w:hAnsi="Calibri" w:cs="Calibri"/>
                <w:sz w:val="18"/>
                <w:szCs w:val="18"/>
                <w:lang w:eastAsia="hr-HR"/>
              </w:rPr>
            </w:pPr>
            <w:r w:rsidRPr="004566A6">
              <w:rPr>
                <w:rFonts w:ascii="Calibri" w:eastAsia="Times New Roman" w:hAnsi="Calibri" w:cs="Calibri"/>
                <w:sz w:val="18"/>
                <w:szCs w:val="18"/>
                <w:lang w:eastAsia="hr-HR"/>
              </w:rPr>
              <w:t>11</w:t>
            </w:r>
          </w:p>
        </w:tc>
        <w:tc>
          <w:tcPr>
            <w:tcW w:w="445" w:type="dxa"/>
            <w:gridSpan w:val="2"/>
            <w:tcBorders>
              <w:top w:val="nil"/>
              <w:left w:val="nil"/>
              <w:bottom w:val="single" w:sz="4" w:space="0" w:color="auto"/>
              <w:right w:val="single" w:sz="4" w:space="0" w:color="auto"/>
            </w:tcBorders>
            <w:shd w:val="clear" w:color="000000" w:fill="CCFFFF"/>
            <w:vAlign w:val="bottom"/>
            <w:hideMark/>
          </w:tcPr>
          <w:p w14:paraId="035731DE" w14:textId="77777777" w:rsidR="004566A6" w:rsidRPr="004566A6" w:rsidRDefault="004566A6" w:rsidP="004566A6">
            <w:pPr>
              <w:spacing w:after="0" w:line="240" w:lineRule="auto"/>
              <w:jc w:val="right"/>
              <w:rPr>
                <w:rFonts w:ascii="Calibri" w:eastAsia="Times New Roman" w:hAnsi="Calibri" w:cs="Calibri"/>
                <w:sz w:val="18"/>
                <w:szCs w:val="18"/>
                <w:lang w:eastAsia="hr-HR"/>
              </w:rPr>
            </w:pPr>
            <w:r w:rsidRPr="004566A6">
              <w:rPr>
                <w:rFonts w:ascii="Calibri" w:eastAsia="Times New Roman" w:hAnsi="Calibri" w:cs="Calibri"/>
                <w:sz w:val="18"/>
                <w:szCs w:val="18"/>
                <w:lang w:eastAsia="hr-HR"/>
              </w:rPr>
              <w:t>2</w:t>
            </w:r>
          </w:p>
        </w:tc>
        <w:tc>
          <w:tcPr>
            <w:tcW w:w="445" w:type="dxa"/>
            <w:tcBorders>
              <w:top w:val="nil"/>
              <w:left w:val="nil"/>
              <w:bottom w:val="single" w:sz="4" w:space="0" w:color="auto"/>
              <w:right w:val="single" w:sz="4" w:space="0" w:color="auto"/>
            </w:tcBorders>
            <w:shd w:val="clear" w:color="000000" w:fill="CCFFFF"/>
            <w:vAlign w:val="bottom"/>
            <w:hideMark/>
          </w:tcPr>
          <w:p w14:paraId="4320C653" w14:textId="77777777" w:rsidR="004566A6" w:rsidRPr="004566A6" w:rsidRDefault="004566A6" w:rsidP="004566A6">
            <w:pPr>
              <w:spacing w:after="0" w:line="240" w:lineRule="auto"/>
              <w:jc w:val="right"/>
              <w:rPr>
                <w:rFonts w:ascii="Calibri" w:eastAsia="Times New Roman" w:hAnsi="Calibri" w:cs="Calibri"/>
                <w:sz w:val="18"/>
                <w:szCs w:val="18"/>
                <w:lang w:eastAsia="hr-HR"/>
              </w:rPr>
            </w:pPr>
            <w:r w:rsidRPr="004566A6">
              <w:rPr>
                <w:rFonts w:ascii="Calibri" w:eastAsia="Times New Roman" w:hAnsi="Calibri" w:cs="Calibri"/>
                <w:sz w:val="18"/>
                <w:szCs w:val="18"/>
                <w:lang w:eastAsia="hr-HR"/>
              </w:rPr>
              <w:t>4</w:t>
            </w:r>
          </w:p>
        </w:tc>
        <w:tc>
          <w:tcPr>
            <w:tcW w:w="505" w:type="dxa"/>
            <w:tcBorders>
              <w:top w:val="nil"/>
              <w:left w:val="nil"/>
              <w:bottom w:val="single" w:sz="4" w:space="0" w:color="auto"/>
              <w:right w:val="single" w:sz="4" w:space="0" w:color="auto"/>
            </w:tcBorders>
            <w:shd w:val="clear" w:color="000000" w:fill="CCFFFF"/>
            <w:vAlign w:val="bottom"/>
            <w:hideMark/>
          </w:tcPr>
          <w:p w14:paraId="5B652C3A" w14:textId="77777777" w:rsidR="004566A6" w:rsidRPr="004566A6" w:rsidRDefault="004566A6" w:rsidP="004566A6">
            <w:pPr>
              <w:spacing w:after="0" w:line="240" w:lineRule="auto"/>
              <w:jc w:val="right"/>
              <w:rPr>
                <w:rFonts w:ascii="Calibri" w:eastAsia="Times New Roman" w:hAnsi="Calibri" w:cs="Calibri"/>
                <w:sz w:val="18"/>
                <w:szCs w:val="18"/>
                <w:lang w:eastAsia="hr-HR"/>
              </w:rPr>
            </w:pPr>
            <w:r w:rsidRPr="004566A6">
              <w:rPr>
                <w:rFonts w:ascii="Calibri" w:eastAsia="Times New Roman" w:hAnsi="Calibri" w:cs="Calibri"/>
                <w:sz w:val="18"/>
                <w:szCs w:val="18"/>
                <w:lang w:eastAsia="hr-HR"/>
              </w:rPr>
              <w:t>5</w:t>
            </w:r>
          </w:p>
        </w:tc>
        <w:tc>
          <w:tcPr>
            <w:tcW w:w="797" w:type="dxa"/>
            <w:gridSpan w:val="2"/>
            <w:tcBorders>
              <w:top w:val="nil"/>
              <w:left w:val="nil"/>
              <w:bottom w:val="single" w:sz="4" w:space="0" w:color="auto"/>
              <w:right w:val="nil"/>
            </w:tcBorders>
            <w:shd w:val="clear" w:color="000000" w:fill="33CCCC"/>
            <w:noWrap/>
            <w:vAlign w:val="bottom"/>
            <w:hideMark/>
          </w:tcPr>
          <w:p w14:paraId="535E9140" w14:textId="77777777" w:rsidR="004566A6" w:rsidRPr="004566A6" w:rsidRDefault="004566A6" w:rsidP="004566A6">
            <w:pPr>
              <w:spacing w:after="0" w:line="240" w:lineRule="auto"/>
              <w:jc w:val="right"/>
              <w:rPr>
                <w:rFonts w:ascii="Calibri" w:eastAsia="Times New Roman" w:hAnsi="Calibri" w:cs="Calibri"/>
                <w:sz w:val="18"/>
                <w:szCs w:val="18"/>
                <w:lang w:eastAsia="hr-HR"/>
              </w:rPr>
            </w:pPr>
            <w:r w:rsidRPr="004566A6">
              <w:rPr>
                <w:rFonts w:ascii="Calibri" w:eastAsia="Times New Roman" w:hAnsi="Calibri" w:cs="Calibri"/>
                <w:sz w:val="18"/>
                <w:szCs w:val="18"/>
                <w:lang w:eastAsia="hr-HR"/>
              </w:rPr>
              <w:t>11</w:t>
            </w:r>
          </w:p>
        </w:tc>
        <w:tc>
          <w:tcPr>
            <w:tcW w:w="425" w:type="dxa"/>
            <w:gridSpan w:val="3"/>
            <w:tcBorders>
              <w:top w:val="nil"/>
              <w:left w:val="single" w:sz="4" w:space="0" w:color="auto"/>
              <w:bottom w:val="single" w:sz="4" w:space="0" w:color="auto"/>
              <w:right w:val="nil"/>
            </w:tcBorders>
            <w:shd w:val="clear" w:color="000000" w:fill="33CCCC"/>
            <w:noWrap/>
            <w:vAlign w:val="bottom"/>
            <w:hideMark/>
          </w:tcPr>
          <w:p w14:paraId="6DF71878" w14:textId="77777777" w:rsidR="004566A6" w:rsidRPr="004566A6" w:rsidRDefault="004566A6" w:rsidP="004566A6">
            <w:pPr>
              <w:spacing w:after="0" w:line="240" w:lineRule="auto"/>
              <w:jc w:val="right"/>
              <w:rPr>
                <w:rFonts w:ascii="Calibri" w:eastAsia="Times New Roman" w:hAnsi="Calibri" w:cs="Calibri"/>
                <w:sz w:val="18"/>
                <w:szCs w:val="18"/>
                <w:lang w:eastAsia="hr-HR"/>
              </w:rPr>
            </w:pPr>
            <w:r w:rsidRPr="004566A6">
              <w:rPr>
                <w:rFonts w:ascii="Calibri" w:eastAsia="Times New Roman" w:hAnsi="Calibri" w:cs="Calibri"/>
                <w:sz w:val="18"/>
                <w:szCs w:val="18"/>
                <w:lang w:eastAsia="hr-HR"/>
              </w:rPr>
              <w:t>1</w:t>
            </w:r>
          </w:p>
        </w:tc>
        <w:tc>
          <w:tcPr>
            <w:tcW w:w="236" w:type="dxa"/>
            <w:gridSpan w:val="2"/>
            <w:vAlign w:val="center"/>
            <w:hideMark/>
          </w:tcPr>
          <w:p w14:paraId="3B7293BA" w14:textId="77777777" w:rsidR="004566A6" w:rsidRPr="004566A6" w:rsidRDefault="004566A6" w:rsidP="004566A6">
            <w:pPr>
              <w:spacing w:after="0" w:line="240" w:lineRule="auto"/>
              <w:rPr>
                <w:rFonts w:ascii="Times New Roman" w:eastAsia="Times New Roman" w:hAnsi="Times New Roman" w:cs="Times New Roman"/>
                <w:sz w:val="18"/>
                <w:szCs w:val="18"/>
                <w:lang w:eastAsia="hr-HR"/>
              </w:rPr>
            </w:pPr>
          </w:p>
        </w:tc>
      </w:tr>
      <w:tr w:rsidR="003D0C85" w:rsidRPr="004566A6" w14:paraId="6D23FCED" w14:textId="77777777" w:rsidTr="003D0C85">
        <w:trPr>
          <w:trHeight w:val="300"/>
        </w:trPr>
        <w:tc>
          <w:tcPr>
            <w:tcW w:w="1397" w:type="dxa"/>
            <w:tcBorders>
              <w:top w:val="single" w:sz="4" w:space="0" w:color="auto"/>
              <w:left w:val="single" w:sz="8" w:space="0" w:color="auto"/>
              <w:bottom w:val="single" w:sz="4" w:space="0" w:color="auto"/>
              <w:right w:val="single" w:sz="4" w:space="0" w:color="auto"/>
            </w:tcBorders>
            <w:shd w:val="clear" w:color="000000" w:fill="CCFFCC"/>
            <w:vAlign w:val="center"/>
            <w:hideMark/>
          </w:tcPr>
          <w:p w14:paraId="751F2AB6" w14:textId="77777777" w:rsidR="004566A6" w:rsidRPr="004566A6" w:rsidRDefault="004566A6" w:rsidP="004566A6">
            <w:pPr>
              <w:spacing w:after="0" w:line="240" w:lineRule="auto"/>
              <w:jc w:val="center"/>
              <w:rPr>
                <w:rFonts w:ascii="Calibri" w:eastAsia="Times New Roman" w:hAnsi="Calibri" w:cs="Calibri"/>
                <w:sz w:val="18"/>
                <w:szCs w:val="18"/>
                <w:lang w:eastAsia="hr-HR"/>
              </w:rPr>
            </w:pPr>
            <w:r w:rsidRPr="004566A6">
              <w:rPr>
                <w:rFonts w:ascii="Calibri" w:eastAsia="Times New Roman" w:hAnsi="Calibri" w:cs="Calibri"/>
                <w:sz w:val="18"/>
                <w:szCs w:val="18"/>
                <w:lang w:eastAsia="hr-HR"/>
              </w:rPr>
              <w:t>Spol</w:t>
            </w:r>
          </w:p>
        </w:tc>
        <w:tc>
          <w:tcPr>
            <w:tcW w:w="576" w:type="dxa"/>
            <w:tcBorders>
              <w:top w:val="nil"/>
              <w:left w:val="nil"/>
              <w:bottom w:val="single" w:sz="4" w:space="0" w:color="auto"/>
              <w:right w:val="single" w:sz="4" w:space="0" w:color="auto"/>
            </w:tcBorders>
            <w:shd w:val="clear" w:color="000000" w:fill="CCFFCC"/>
            <w:vAlign w:val="center"/>
            <w:hideMark/>
          </w:tcPr>
          <w:p w14:paraId="47B671B1" w14:textId="77777777" w:rsidR="004566A6" w:rsidRPr="004566A6" w:rsidRDefault="004566A6" w:rsidP="004566A6">
            <w:pPr>
              <w:spacing w:after="0" w:line="240" w:lineRule="auto"/>
              <w:jc w:val="center"/>
              <w:rPr>
                <w:rFonts w:ascii="Calibri" w:eastAsia="Times New Roman" w:hAnsi="Calibri" w:cs="Calibri"/>
                <w:sz w:val="18"/>
                <w:szCs w:val="18"/>
                <w:lang w:eastAsia="hr-HR"/>
              </w:rPr>
            </w:pPr>
            <w:r w:rsidRPr="004566A6">
              <w:rPr>
                <w:rFonts w:ascii="Calibri" w:eastAsia="Times New Roman" w:hAnsi="Calibri" w:cs="Calibri"/>
                <w:sz w:val="18"/>
                <w:szCs w:val="18"/>
                <w:lang w:eastAsia="hr-HR"/>
              </w:rPr>
              <w:t>6</w:t>
            </w:r>
          </w:p>
        </w:tc>
        <w:tc>
          <w:tcPr>
            <w:tcW w:w="444" w:type="dxa"/>
            <w:tcBorders>
              <w:top w:val="nil"/>
              <w:left w:val="nil"/>
              <w:bottom w:val="single" w:sz="4" w:space="0" w:color="auto"/>
              <w:right w:val="single" w:sz="4" w:space="0" w:color="auto"/>
            </w:tcBorders>
            <w:shd w:val="clear" w:color="000000" w:fill="FFCC99"/>
            <w:noWrap/>
            <w:vAlign w:val="bottom"/>
            <w:hideMark/>
          </w:tcPr>
          <w:p w14:paraId="3D346A98" w14:textId="77777777" w:rsidR="004566A6" w:rsidRPr="004566A6" w:rsidRDefault="004566A6" w:rsidP="004566A6">
            <w:pPr>
              <w:spacing w:after="0" w:line="240" w:lineRule="auto"/>
              <w:jc w:val="center"/>
              <w:rPr>
                <w:rFonts w:ascii="Calibri" w:eastAsia="Times New Roman" w:hAnsi="Calibri" w:cs="Calibri"/>
                <w:sz w:val="18"/>
                <w:szCs w:val="18"/>
                <w:lang w:eastAsia="hr-HR"/>
              </w:rPr>
            </w:pPr>
            <w:r w:rsidRPr="004566A6">
              <w:rPr>
                <w:rFonts w:ascii="Calibri" w:eastAsia="Times New Roman" w:hAnsi="Calibri" w:cs="Calibri"/>
                <w:sz w:val="18"/>
                <w:szCs w:val="18"/>
                <w:lang w:eastAsia="hr-HR"/>
              </w:rPr>
              <w:t>11</w:t>
            </w:r>
          </w:p>
        </w:tc>
        <w:tc>
          <w:tcPr>
            <w:tcW w:w="405" w:type="dxa"/>
            <w:tcBorders>
              <w:top w:val="nil"/>
              <w:left w:val="nil"/>
              <w:bottom w:val="single" w:sz="4" w:space="0" w:color="auto"/>
              <w:right w:val="single" w:sz="4" w:space="0" w:color="auto"/>
            </w:tcBorders>
            <w:shd w:val="clear" w:color="000000" w:fill="CCFFFF"/>
            <w:noWrap/>
            <w:vAlign w:val="bottom"/>
            <w:hideMark/>
          </w:tcPr>
          <w:p w14:paraId="1EEA1426" w14:textId="77777777" w:rsidR="004566A6" w:rsidRPr="004566A6" w:rsidRDefault="004566A6" w:rsidP="004566A6">
            <w:pPr>
              <w:spacing w:after="0" w:line="240" w:lineRule="auto"/>
              <w:jc w:val="right"/>
              <w:rPr>
                <w:rFonts w:ascii="Calibri" w:eastAsia="Times New Roman" w:hAnsi="Calibri" w:cs="Calibri"/>
                <w:sz w:val="18"/>
                <w:szCs w:val="18"/>
                <w:lang w:eastAsia="hr-HR"/>
              </w:rPr>
            </w:pPr>
            <w:r w:rsidRPr="004566A6">
              <w:rPr>
                <w:rFonts w:ascii="Calibri" w:eastAsia="Times New Roman" w:hAnsi="Calibri" w:cs="Calibri"/>
                <w:sz w:val="18"/>
                <w:szCs w:val="18"/>
                <w:lang w:eastAsia="hr-HR"/>
              </w:rPr>
              <w:t>8</w:t>
            </w:r>
          </w:p>
        </w:tc>
        <w:tc>
          <w:tcPr>
            <w:tcW w:w="462" w:type="dxa"/>
            <w:tcBorders>
              <w:top w:val="nil"/>
              <w:left w:val="nil"/>
              <w:bottom w:val="single" w:sz="4" w:space="0" w:color="auto"/>
              <w:right w:val="single" w:sz="4" w:space="0" w:color="auto"/>
            </w:tcBorders>
            <w:shd w:val="clear" w:color="000000" w:fill="CCFFFF"/>
            <w:noWrap/>
            <w:vAlign w:val="bottom"/>
            <w:hideMark/>
          </w:tcPr>
          <w:p w14:paraId="1513C1DC" w14:textId="77777777" w:rsidR="004566A6" w:rsidRPr="004566A6" w:rsidRDefault="004566A6" w:rsidP="004566A6">
            <w:pPr>
              <w:spacing w:after="0" w:line="240" w:lineRule="auto"/>
              <w:jc w:val="right"/>
              <w:rPr>
                <w:rFonts w:ascii="Calibri" w:eastAsia="Times New Roman" w:hAnsi="Calibri" w:cs="Calibri"/>
                <w:sz w:val="18"/>
                <w:szCs w:val="18"/>
                <w:lang w:eastAsia="hr-HR"/>
              </w:rPr>
            </w:pPr>
            <w:r w:rsidRPr="004566A6">
              <w:rPr>
                <w:rFonts w:ascii="Calibri" w:eastAsia="Times New Roman" w:hAnsi="Calibri" w:cs="Calibri"/>
                <w:sz w:val="18"/>
                <w:szCs w:val="18"/>
                <w:lang w:eastAsia="hr-HR"/>
              </w:rPr>
              <w:t>2</w:t>
            </w:r>
          </w:p>
        </w:tc>
        <w:tc>
          <w:tcPr>
            <w:tcW w:w="455" w:type="dxa"/>
            <w:tcBorders>
              <w:top w:val="nil"/>
              <w:left w:val="nil"/>
              <w:bottom w:val="single" w:sz="4" w:space="0" w:color="auto"/>
              <w:right w:val="single" w:sz="4" w:space="0" w:color="auto"/>
            </w:tcBorders>
            <w:shd w:val="clear" w:color="000000" w:fill="FFFF99"/>
            <w:noWrap/>
            <w:vAlign w:val="bottom"/>
            <w:hideMark/>
          </w:tcPr>
          <w:p w14:paraId="3200D669" w14:textId="77777777" w:rsidR="004566A6" w:rsidRPr="004566A6" w:rsidRDefault="004566A6" w:rsidP="004566A6">
            <w:pPr>
              <w:spacing w:after="0" w:line="240" w:lineRule="auto"/>
              <w:jc w:val="center"/>
              <w:rPr>
                <w:rFonts w:ascii="Calibri" w:eastAsia="Times New Roman" w:hAnsi="Calibri" w:cs="Calibri"/>
                <w:sz w:val="18"/>
                <w:szCs w:val="18"/>
                <w:lang w:eastAsia="hr-HR"/>
              </w:rPr>
            </w:pPr>
            <w:r w:rsidRPr="004566A6">
              <w:rPr>
                <w:rFonts w:ascii="Calibri" w:eastAsia="Times New Roman" w:hAnsi="Calibri" w:cs="Calibri"/>
                <w:sz w:val="18"/>
                <w:szCs w:val="18"/>
                <w:lang w:eastAsia="hr-HR"/>
              </w:rPr>
              <w:t>3</w:t>
            </w:r>
          </w:p>
        </w:tc>
        <w:tc>
          <w:tcPr>
            <w:tcW w:w="567" w:type="dxa"/>
            <w:tcBorders>
              <w:top w:val="nil"/>
              <w:left w:val="nil"/>
              <w:bottom w:val="single" w:sz="4" w:space="0" w:color="auto"/>
              <w:right w:val="single" w:sz="4" w:space="0" w:color="auto"/>
            </w:tcBorders>
            <w:shd w:val="clear" w:color="000000" w:fill="FFFF99"/>
            <w:noWrap/>
            <w:vAlign w:val="bottom"/>
            <w:hideMark/>
          </w:tcPr>
          <w:p w14:paraId="652E4A8A" w14:textId="77777777" w:rsidR="004566A6" w:rsidRPr="004566A6" w:rsidRDefault="004566A6" w:rsidP="004566A6">
            <w:pPr>
              <w:spacing w:after="0" w:line="240" w:lineRule="auto"/>
              <w:jc w:val="center"/>
              <w:rPr>
                <w:rFonts w:ascii="Calibri" w:eastAsia="Times New Roman" w:hAnsi="Calibri" w:cs="Calibri"/>
                <w:sz w:val="18"/>
                <w:szCs w:val="18"/>
                <w:lang w:eastAsia="hr-HR"/>
              </w:rPr>
            </w:pPr>
            <w:r w:rsidRPr="004566A6">
              <w:rPr>
                <w:rFonts w:ascii="Calibri" w:eastAsia="Times New Roman" w:hAnsi="Calibri" w:cs="Calibri"/>
                <w:sz w:val="18"/>
                <w:szCs w:val="18"/>
                <w:lang w:eastAsia="hr-HR"/>
              </w:rPr>
              <w:t>2</w:t>
            </w:r>
          </w:p>
        </w:tc>
        <w:tc>
          <w:tcPr>
            <w:tcW w:w="708" w:type="dxa"/>
            <w:tcBorders>
              <w:top w:val="nil"/>
              <w:left w:val="nil"/>
              <w:bottom w:val="single" w:sz="4" w:space="0" w:color="auto"/>
              <w:right w:val="single" w:sz="4" w:space="0" w:color="auto"/>
            </w:tcBorders>
            <w:shd w:val="clear" w:color="000000" w:fill="FFFF99"/>
            <w:noWrap/>
            <w:vAlign w:val="bottom"/>
            <w:hideMark/>
          </w:tcPr>
          <w:p w14:paraId="3BEE8C84" w14:textId="77777777" w:rsidR="004566A6" w:rsidRPr="004566A6" w:rsidRDefault="004566A6" w:rsidP="004566A6">
            <w:pPr>
              <w:spacing w:after="0" w:line="240" w:lineRule="auto"/>
              <w:jc w:val="center"/>
              <w:rPr>
                <w:rFonts w:ascii="Calibri" w:eastAsia="Times New Roman" w:hAnsi="Calibri" w:cs="Calibri"/>
                <w:sz w:val="18"/>
                <w:szCs w:val="18"/>
                <w:lang w:eastAsia="hr-HR"/>
              </w:rPr>
            </w:pPr>
            <w:r w:rsidRPr="004566A6">
              <w:rPr>
                <w:rFonts w:ascii="Calibri" w:eastAsia="Times New Roman" w:hAnsi="Calibri" w:cs="Calibri"/>
                <w:sz w:val="18"/>
                <w:szCs w:val="18"/>
                <w:lang w:eastAsia="hr-HR"/>
              </w:rPr>
              <w:t>0</w:t>
            </w:r>
          </w:p>
        </w:tc>
        <w:tc>
          <w:tcPr>
            <w:tcW w:w="448" w:type="dxa"/>
            <w:tcBorders>
              <w:top w:val="nil"/>
              <w:left w:val="nil"/>
              <w:bottom w:val="single" w:sz="4" w:space="0" w:color="auto"/>
              <w:right w:val="single" w:sz="4" w:space="0" w:color="auto"/>
            </w:tcBorders>
            <w:shd w:val="clear" w:color="000000" w:fill="FFFF99"/>
            <w:noWrap/>
            <w:vAlign w:val="bottom"/>
            <w:hideMark/>
          </w:tcPr>
          <w:p w14:paraId="49916B82" w14:textId="77777777" w:rsidR="004566A6" w:rsidRPr="004566A6" w:rsidRDefault="004566A6" w:rsidP="004566A6">
            <w:pPr>
              <w:spacing w:after="0" w:line="240" w:lineRule="auto"/>
              <w:jc w:val="center"/>
              <w:rPr>
                <w:rFonts w:ascii="Calibri" w:eastAsia="Times New Roman" w:hAnsi="Calibri" w:cs="Calibri"/>
                <w:sz w:val="18"/>
                <w:szCs w:val="18"/>
                <w:lang w:eastAsia="hr-HR"/>
              </w:rPr>
            </w:pPr>
            <w:r w:rsidRPr="004566A6">
              <w:rPr>
                <w:rFonts w:ascii="Calibri" w:eastAsia="Times New Roman" w:hAnsi="Calibri" w:cs="Calibri"/>
                <w:sz w:val="18"/>
                <w:szCs w:val="18"/>
                <w:lang w:eastAsia="hr-HR"/>
              </w:rPr>
              <w:t>0</w:t>
            </w:r>
          </w:p>
        </w:tc>
        <w:tc>
          <w:tcPr>
            <w:tcW w:w="680" w:type="dxa"/>
            <w:tcBorders>
              <w:top w:val="nil"/>
              <w:left w:val="nil"/>
              <w:bottom w:val="single" w:sz="4" w:space="0" w:color="auto"/>
              <w:right w:val="single" w:sz="4" w:space="0" w:color="auto"/>
            </w:tcBorders>
            <w:shd w:val="clear" w:color="000000" w:fill="FFFF99"/>
            <w:noWrap/>
            <w:vAlign w:val="bottom"/>
            <w:hideMark/>
          </w:tcPr>
          <w:p w14:paraId="6AD645F9" w14:textId="77777777" w:rsidR="004566A6" w:rsidRPr="004566A6" w:rsidRDefault="004566A6" w:rsidP="004566A6">
            <w:pPr>
              <w:spacing w:after="0" w:line="240" w:lineRule="auto"/>
              <w:jc w:val="center"/>
              <w:rPr>
                <w:rFonts w:ascii="Calibri" w:eastAsia="Times New Roman" w:hAnsi="Calibri" w:cs="Calibri"/>
                <w:sz w:val="18"/>
                <w:szCs w:val="18"/>
                <w:lang w:eastAsia="hr-HR"/>
              </w:rPr>
            </w:pPr>
            <w:r w:rsidRPr="004566A6">
              <w:rPr>
                <w:rFonts w:ascii="Calibri" w:eastAsia="Times New Roman" w:hAnsi="Calibri" w:cs="Calibri"/>
                <w:sz w:val="18"/>
                <w:szCs w:val="18"/>
                <w:lang w:eastAsia="hr-HR"/>
              </w:rPr>
              <w:t>5</w:t>
            </w:r>
          </w:p>
        </w:tc>
        <w:tc>
          <w:tcPr>
            <w:tcW w:w="573" w:type="dxa"/>
            <w:gridSpan w:val="2"/>
            <w:tcBorders>
              <w:top w:val="nil"/>
              <w:left w:val="nil"/>
              <w:bottom w:val="single" w:sz="4" w:space="0" w:color="auto"/>
              <w:right w:val="single" w:sz="4" w:space="0" w:color="auto"/>
            </w:tcBorders>
            <w:shd w:val="clear" w:color="000000" w:fill="FF9900"/>
            <w:noWrap/>
            <w:vAlign w:val="bottom"/>
            <w:hideMark/>
          </w:tcPr>
          <w:p w14:paraId="394742F1" w14:textId="77777777" w:rsidR="004566A6" w:rsidRPr="004566A6" w:rsidRDefault="004566A6" w:rsidP="004566A6">
            <w:pPr>
              <w:spacing w:after="0" w:line="240" w:lineRule="auto"/>
              <w:jc w:val="right"/>
              <w:rPr>
                <w:rFonts w:ascii="Calibri" w:eastAsia="Times New Roman" w:hAnsi="Calibri" w:cs="Calibri"/>
                <w:sz w:val="18"/>
                <w:szCs w:val="18"/>
                <w:lang w:eastAsia="hr-HR"/>
              </w:rPr>
            </w:pPr>
            <w:r w:rsidRPr="004566A6">
              <w:rPr>
                <w:rFonts w:ascii="Calibri" w:eastAsia="Times New Roman" w:hAnsi="Calibri" w:cs="Calibri"/>
                <w:sz w:val="18"/>
                <w:szCs w:val="18"/>
                <w:lang w:eastAsia="hr-HR"/>
              </w:rPr>
              <w:t>6</w:t>
            </w:r>
          </w:p>
        </w:tc>
        <w:tc>
          <w:tcPr>
            <w:tcW w:w="567" w:type="dxa"/>
            <w:tcBorders>
              <w:top w:val="nil"/>
              <w:left w:val="nil"/>
              <w:bottom w:val="single" w:sz="4" w:space="0" w:color="auto"/>
              <w:right w:val="single" w:sz="4" w:space="0" w:color="auto"/>
            </w:tcBorders>
            <w:shd w:val="clear" w:color="000000" w:fill="FF9900"/>
            <w:noWrap/>
            <w:vAlign w:val="bottom"/>
            <w:hideMark/>
          </w:tcPr>
          <w:p w14:paraId="7DDFD729" w14:textId="77777777" w:rsidR="004566A6" w:rsidRPr="004566A6" w:rsidRDefault="004566A6" w:rsidP="004566A6">
            <w:pPr>
              <w:spacing w:after="0" w:line="240" w:lineRule="auto"/>
              <w:jc w:val="right"/>
              <w:rPr>
                <w:rFonts w:ascii="Calibri" w:eastAsia="Times New Roman" w:hAnsi="Calibri" w:cs="Calibri"/>
                <w:sz w:val="18"/>
                <w:szCs w:val="18"/>
                <w:lang w:eastAsia="hr-HR"/>
              </w:rPr>
            </w:pPr>
            <w:r w:rsidRPr="004566A6">
              <w:rPr>
                <w:rFonts w:ascii="Calibri" w:eastAsia="Times New Roman" w:hAnsi="Calibri" w:cs="Calibri"/>
                <w:sz w:val="18"/>
                <w:szCs w:val="18"/>
                <w:lang w:eastAsia="hr-HR"/>
              </w:rPr>
              <w:t>3</w:t>
            </w:r>
          </w:p>
        </w:tc>
        <w:tc>
          <w:tcPr>
            <w:tcW w:w="448" w:type="dxa"/>
            <w:tcBorders>
              <w:top w:val="nil"/>
              <w:left w:val="nil"/>
              <w:bottom w:val="single" w:sz="4" w:space="0" w:color="auto"/>
              <w:right w:val="single" w:sz="4" w:space="0" w:color="auto"/>
            </w:tcBorders>
            <w:shd w:val="clear" w:color="000000" w:fill="FF9900"/>
            <w:noWrap/>
            <w:vAlign w:val="bottom"/>
            <w:hideMark/>
          </w:tcPr>
          <w:p w14:paraId="0F4E4844" w14:textId="77777777" w:rsidR="004566A6" w:rsidRPr="004566A6" w:rsidRDefault="004566A6" w:rsidP="004566A6">
            <w:pPr>
              <w:spacing w:after="0" w:line="240" w:lineRule="auto"/>
              <w:jc w:val="right"/>
              <w:rPr>
                <w:rFonts w:ascii="Calibri" w:eastAsia="Times New Roman" w:hAnsi="Calibri" w:cs="Calibri"/>
                <w:sz w:val="18"/>
                <w:szCs w:val="18"/>
                <w:lang w:eastAsia="hr-HR"/>
              </w:rPr>
            </w:pPr>
            <w:r w:rsidRPr="004566A6">
              <w:rPr>
                <w:rFonts w:ascii="Calibri" w:eastAsia="Times New Roman" w:hAnsi="Calibri" w:cs="Calibri"/>
                <w:sz w:val="18"/>
                <w:szCs w:val="18"/>
                <w:lang w:eastAsia="hr-HR"/>
              </w:rPr>
              <w:t>2</w:t>
            </w:r>
          </w:p>
        </w:tc>
        <w:tc>
          <w:tcPr>
            <w:tcW w:w="448" w:type="dxa"/>
            <w:gridSpan w:val="2"/>
            <w:tcBorders>
              <w:top w:val="nil"/>
              <w:left w:val="nil"/>
              <w:bottom w:val="single" w:sz="4" w:space="0" w:color="auto"/>
              <w:right w:val="single" w:sz="4" w:space="0" w:color="auto"/>
            </w:tcBorders>
            <w:shd w:val="clear" w:color="000000" w:fill="66FFCC"/>
            <w:noWrap/>
            <w:vAlign w:val="bottom"/>
            <w:hideMark/>
          </w:tcPr>
          <w:p w14:paraId="493722A8" w14:textId="77777777" w:rsidR="004566A6" w:rsidRPr="004566A6" w:rsidRDefault="004566A6" w:rsidP="004566A6">
            <w:pPr>
              <w:spacing w:after="0" w:line="240" w:lineRule="auto"/>
              <w:jc w:val="right"/>
              <w:rPr>
                <w:rFonts w:ascii="Calibri" w:eastAsia="Times New Roman" w:hAnsi="Calibri" w:cs="Calibri"/>
                <w:sz w:val="18"/>
                <w:szCs w:val="18"/>
                <w:lang w:eastAsia="hr-HR"/>
              </w:rPr>
            </w:pPr>
            <w:r w:rsidRPr="004566A6">
              <w:rPr>
                <w:rFonts w:ascii="Calibri" w:eastAsia="Times New Roman" w:hAnsi="Calibri" w:cs="Calibri"/>
                <w:sz w:val="18"/>
                <w:szCs w:val="18"/>
                <w:lang w:eastAsia="hr-HR"/>
              </w:rPr>
              <w:t>0</w:t>
            </w:r>
          </w:p>
        </w:tc>
        <w:tc>
          <w:tcPr>
            <w:tcW w:w="448" w:type="dxa"/>
            <w:tcBorders>
              <w:top w:val="nil"/>
              <w:left w:val="nil"/>
              <w:bottom w:val="single" w:sz="4" w:space="0" w:color="auto"/>
              <w:right w:val="single" w:sz="4" w:space="0" w:color="auto"/>
            </w:tcBorders>
            <w:shd w:val="clear" w:color="000000" w:fill="66FFCC"/>
            <w:noWrap/>
            <w:vAlign w:val="bottom"/>
            <w:hideMark/>
          </w:tcPr>
          <w:p w14:paraId="63396B95" w14:textId="77777777" w:rsidR="004566A6" w:rsidRPr="004566A6" w:rsidRDefault="004566A6" w:rsidP="004566A6">
            <w:pPr>
              <w:spacing w:after="0" w:line="240" w:lineRule="auto"/>
              <w:jc w:val="right"/>
              <w:rPr>
                <w:rFonts w:ascii="Calibri" w:eastAsia="Times New Roman" w:hAnsi="Calibri" w:cs="Calibri"/>
                <w:sz w:val="18"/>
                <w:szCs w:val="18"/>
                <w:lang w:eastAsia="hr-HR"/>
              </w:rPr>
            </w:pPr>
            <w:r w:rsidRPr="004566A6">
              <w:rPr>
                <w:rFonts w:ascii="Calibri" w:eastAsia="Times New Roman" w:hAnsi="Calibri" w:cs="Calibri"/>
                <w:sz w:val="18"/>
                <w:szCs w:val="18"/>
                <w:lang w:eastAsia="hr-HR"/>
              </w:rPr>
              <w:t>7</w:t>
            </w:r>
          </w:p>
        </w:tc>
        <w:tc>
          <w:tcPr>
            <w:tcW w:w="448" w:type="dxa"/>
            <w:tcBorders>
              <w:top w:val="nil"/>
              <w:left w:val="nil"/>
              <w:bottom w:val="single" w:sz="4" w:space="0" w:color="auto"/>
              <w:right w:val="single" w:sz="4" w:space="0" w:color="auto"/>
            </w:tcBorders>
            <w:shd w:val="clear" w:color="000000" w:fill="66FFCC"/>
            <w:noWrap/>
            <w:vAlign w:val="bottom"/>
            <w:hideMark/>
          </w:tcPr>
          <w:p w14:paraId="2CE12A31" w14:textId="77777777" w:rsidR="004566A6" w:rsidRPr="004566A6" w:rsidRDefault="004566A6" w:rsidP="004566A6">
            <w:pPr>
              <w:spacing w:after="0" w:line="240" w:lineRule="auto"/>
              <w:jc w:val="right"/>
              <w:rPr>
                <w:rFonts w:ascii="Calibri" w:eastAsia="Times New Roman" w:hAnsi="Calibri" w:cs="Calibri"/>
                <w:sz w:val="18"/>
                <w:szCs w:val="18"/>
                <w:lang w:eastAsia="hr-HR"/>
              </w:rPr>
            </w:pPr>
            <w:r w:rsidRPr="004566A6">
              <w:rPr>
                <w:rFonts w:ascii="Calibri" w:eastAsia="Times New Roman" w:hAnsi="Calibri" w:cs="Calibri"/>
                <w:sz w:val="18"/>
                <w:szCs w:val="18"/>
                <w:lang w:eastAsia="hr-HR"/>
              </w:rPr>
              <w:t>0</w:t>
            </w:r>
          </w:p>
        </w:tc>
        <w:tc>
          <w:tcPr>
            <w:tcW w:w="476" w:type="dxa"/>
            <w:tcBorders>
              <w:top w:val="nil"/>
              <w:left w:val="nil"/>
              <w:bottom w:val="single" w:sz="4" w:space="0" w:color="auto"/>
              <w:right w:val="single" w:sz="4" w:space="0" w:color="auto"/>
            </w:tcBorders>
            <w:shd w:val="clear" w:color="000000" w:fill="66FFCC"/>
            <w:noWrap/>
            <w:vAlign w:val="bottom"/>
            <w:hideMark/>
          </w:tcPr>
          <w:p w14:paraId="551C6554" w14:textId="77777777" w:rsidR="004566A6" w:rsidRPr="004566A6" w:rsidRDefault="004566A6" w:rsidP="004566A6">
            <w:pPr>
              <w:spacing w:after="0" w:line="240" w:lineRule="auto"/>
              <w:jc w:val="right"/>
              <w:rPr>
                <w:rFonts w:ascii="Calibri" w:eastAsia="Times New Roman" w:hAnsi="Calibri" w:cs="Calibri"/>
                <w:sz w:val="18"/>
                <w:szCs w:val="18"/>
                <w:lang w:eastAsia="hr-HR"/>
              </w:rPr>
            </w:pPr>
            <w:r w:rsidRPr="004566A6">
              <w:rPr>
                <w:rFonts w:ascii="Calibri" w:eastAsia="Times New Roman" w:hAnsi="Calibri" w:cs="Calibri"/>
                <w:sz w:val="18"/>
                <w:szCs w:val="18"/>
                <w:lang w:eastAsia="hr-HR"/>
              </w:rPr>
              <w:t>2</w:t>
            </w:r>
          </w:p>
        </w:tc>
        <w:tc>
          <w:tcPr>
            <w:tcW w:w="557" w:type="dxa"/>
            <w:gridSpan w:val="2"/>
            <w:tcBorders>
              <w:top w:val="nil"/>
              <w:left w:val="nil"/>
              <w:bottom w:val="single" w:sz="4" w:space="0" w:color="auto"/>
              <w:right w:val="single" w:sz="4" w:space="0" w:color="auto"/>
            </w:tcBorders>
            <w:shd w:val="clear" w:color="000000" w:fill="FFFF00"/>
            <w:vAlign w:val="center"/>
            <w:hideMark/>
          </w:tcPr>
          <w:p w14:paraId="3D6824F4" w14:textId="77777777" w:rsidR="004566A6" w:rsidRPr="004566A6" w:rsidRDefault="004566A6" w:rsidP="004566A6">
            <w:pPr>
              <w:spacing w:after="0" w:line="240" w:lineRule="auto"/>
              <w:jc w:val="center"/>
              <w:rPr>
                <w:rFonts w:ascii="Calibri" w:eastAsia="Times New Roman" w:hAnsi="Calibri" w:cs="Calibri"/>
                <w:sz w:val="18"/>
                <w:szCs w:val="18"/>
                <w:lang w:eastAsia="hr-HR"/>
              </w:rPr>
            </w:pPr>
            <w:r w:rsidRPr="004566A6">
              <w:rPr>
                <w:rFonts w:ascii="Calibri" w:eastAsia="Times New Roman" w:hAnsi="Calibri" w:cs="Calibri"/>
                <w:sz w:val="18"/>
                <w:szCs w:val="18"/>
                <w:lang w:eastAsia="hr-HR"/>
              </w:rPr>
              <w:t>11</w:t>
            </w:r>
          </w:p>
        </w:tc>
        <w:tc>
          <w:tcPr>
            <w:tcW w:w="515" w:type="dxa"/>
            <w:gridSpan w:val="2"/>
            <w:tcBorders>
              <w:top w:val="nil"/>
              <w:left w:val="nil"/>
              <w:bottom w:val="single" w:sz="4" w:space="0" w:color="auto"/>
              <w:right w:val="single" w:sz="4" w:space="0" w:color="auto"/>
            </w:tcBorders>
            <w:shd w:val="clear" w:color="000000" w:fill="FFFF99"/>
            <w:vAlign w:val="center"/>
            <w:hideMark/>
          </w:tcPr>
          <w:p w14:paraId="5F5E6B85" w14:textId="77777777" w:rsidR="004566A6" w:rsidRPr="004566A6" w:rsidRDefault="004566A6" w:rsidP="004566A6">
            <w:pPr>
              <w:spacing w:after="0" w:line="240" w:lineRule="auto"/>
              <w:jc w:val="center"/>
              <w:rPr>
                <w:rFonts w:ascii="Calibri" w:eastAsia="Times New Roman" w:hAnsi="Calibri" w:cs="Calibri"/>
                <w:sz w:val="18"/>
                <w:szCs w:val="18"/>
                <w:lang w:eastAsia="hr-HR"/>
              </w:rPr>
            </w:pPr>
            <w:r w:rsidRPr="004566A6">
              <w:rPr>
                <w:rFonts w:ascii="Calibri" w:eastAsia="Times New Roman" w:hAnsi="Calibri" w:cs="Calibri"/>
                <w:sz w:val="18"/>
                <w:szCs w:val="18"/>
                <w:lang w:eastAsia="hr-HR"/>
              </w:rPr>
              <w:t>6</w:t>
            </w:r>
          </w:p>
        </w:tc>
        <w:tc>
          <w:tcPr>
            <w:tcW w:w="855" w:type="dxa"/>
            <w:gridSpan w:val="2"/>
            <w:tcBorders>
              <w:top w:val="nil"/>
              <w:left w:val="nil"/>
              <w:bottom w:val="single" w:sz="4" w:space="0" w:color="auto"/>
              <w:right w:val="single" w:sz="4" w:space="0" w:color="auto"/>
            </w:tcBorders>
            <w:shd w:val="clear" w:color="000000" w:fill="FF9900"/>
            <w:vAlign w:val="center"/>
            <w:hideMark/>
          </w:tcPr>
          <w:p w14:paraId="444FC713" w14:textId="77777777" w:rsidR="004566A6" w:rsidRPr="004566A6" w:rsidRDefault="004566A6" w:rsidP="004566A6">
            <w:pPr>
              <w:spacing w:after="0" w:line="240" w:lineRule="auto"/>
              <w:jc w:val="center"/>
              <w:rPr>
                <w:rFonts w:ascii="Calibri" w:eastAsia="Times New Roman" w:hAnsi="Calibri" w:cs="Calibri"/>
                <w:sz w:val="18"/>
                <w:szCs w:val="18"/>
                <w:lang w:eastAsia="hr-HR"/>
              </w:rPr>
            </w:pPr>
            <w:r w:rsidRPr="004566A6">
              <w:rPr>
                <w:rFonts w:ascii="Calibri" w:eastAsia="Times New Roman" w:hAnsi="Calibri" w:cs="Calibri"/>
                <w:sz w:val="18"/>
                <w:szCs w:val="18"/>
                <w:lang w:eastAsia="hr-HR"/>
              </w:rPr>
              <w:t>7</w:t>
            </w:r>
          </w:p>
        </w:tc>
        <w:tc>
          <w:tcPr>
            <w:tcW w:w="445" w:type="dxa"/>
            <w:gridSpan w:val="2"/>
            <w:tcBorders>
              <w:top w:val="nil"/>
              <w:left w:val="nil"/>
              <w:bottom w:val="single" w:sz="4" w:space="0" w:color="auto"/>
              <w:right w:val="single" w:sz="4" w:space="0" w:color="auto"/>
            </w:tcBorders>
            <w:shd w:val="clear" w:color="000000" w:fill="CCFFFF"/>
            <w:vAlign w:val="bottom"/>
            <w:hideMark/>
          </w:tcPr>
          <w:p w14:paraId="4395041C" w14:textId="77777777" w:rsidR="004566A6" w:rsidRPr="004566A6" w:rsidRDefault="004566A6" w:rsidP="004566A6">
            <w:pPr>
              <w:spacing w:after="0" w:line="240" w:lineRule="auto"/>
              <w:jc w:val="right"/>
              <w:rPr>
                <w:rFonts w:ascii="Calibri" w:eastAsia="Times New Roman" w:hAnsi="Calibri" w:cs="Calibri"/>
                <w:sz w:val="18"/>
                <w:szCs w:val="18"/>
                <w:lang w:eastAsia="hr-HR"/>
              </w:rPr>
            </w:pPr>
            <w:r w:rsidRPr="004566A6">
              <w:rPr>
                <w:rFonts w:ascii="Calibri" w:eastAsia="Times New Roman" w:hAnsi="Calibri" w:cs="Calibri"/>
                <w:sz w:val="18"/>
                <w:szCs w:val="18"/>
                <w:lang w:eastAsia="hr-HR"/>
              </w:rPr>
              <w:t>5</w:t>
            </w:r>
          </w:p>
        </w:tc>
        <w:tc>
          <w:tcPr>
            <w:tcW w:w="445" w:type="dxa"/>
            <w:tcBorders>
              <w:top w:val="nil"/>
              <w:left w:val="nil"/>
              <w:bottom w:val="single" w:sz="4" w:space="0" w:color="auto"/>
              <w:right w:val="single" w:sz="4" w:space="0" w:color="auto"/>
            </w:tcBorders>
            <w:shd w:val="clear" w:color="000000" w:fill="CCFFFF"/>
            <w:vAlign w:val="bottom"/>
            <w:hideMark/>
          </w:tcPr>
          <w:p w14:paraId="46CB88B4" w14:textId="77777777" w:rsidR="004566A6" w:rsidRPr="004566A6" w:rsidRDefault="004566A6" w:rsidP="004566A6">
            <w:pPr>
              <w:spacing w:after="0" w:line="240" w:lineRule="auto"/>
              <w:jc w:val="right"/>
              <w:rPr>
                <w:rFonts w:ascii="Calibri" w:eastAsia="Times New Roman" w:hAnsi="Calibri" w:cs="Calibri"/>
                <w:sz w:val="18"/>
                <w:szCs w:val="18"/>
                <w:lang w:eastAsia="hr-HR"/>
              </w:rPr>
            </w:pPr>
            <w:r w:rsidRPr="004566A6">
              <w:rPr>
                <w:rFonts w:ascii="Calibri" w:eastAsia="Times New Roman" w:hAnsi="Calibri" w:cs="Calibri"/>
                <w:sz w:val="18"/>
                <w:szCs w:val="18"/>
                <w:lang w:eastAsia="hr-HR"/>
              </w:rPr>
              <w:t>1</w:t>
            </w:r>
          </w:p>
        </w:tc>
        <w:tc>
          <w:tcPr>
            <w:tcW w:w="505" w:type="dxa"/>
            <w:tcBorders>
              <w:top w:val="nil"/>
              <w:left w:val="nil"/>
              <w:bottom w:val="single" w:sz="4" w:space="0" w:color="auto"/>
              <w:right w:val="single" w:sz="4" w:space="0" w:color="auto"/>
            </w:tcBorders>
            <w:shd w:val="clear" w:color="000000" w:fill="CCFFFF"/>
            <w:vAlign w:val="bottom"/>
            <w:hideMark/>
          </w:tcPr>
          <w:p w14:paraId="094835C3" w14:textId="77777777" w:rsidR="004566A6" w:rsidRPr="004566A6" w:rsidRDefault="004566A6" w:rsidP="004566A6">
            <w:pPr>
              <w:spacing w:after="0" w:line="240" w:lineRule="auto"/>
              <w:jc w:val="right"/>
              <w:rPr>
                <w:rFonts w:ascii="Calibri" w:eastAsia="Times New Roman" w:hAnsi="Calibri" w:cs="Calibri"/>
                <w:sz w:val="18"/>
                <w:szCs w:val="18"/>
                <w:lang w:eastAsia="hr-HR"/>
              </w:rPr>
            </w:pPr>
            <w:r w:rsidRPr="004566A6">
              <w:rPr>
                <w:rFonts w:ascii="Calibri" w:eastAsia="Times New Roman" w:hAnsi="Calibri" w:cs="Calibri"/>
                <w:sz w:val="18"/>
                <w:szCs w:val="18"/>
                <w:lang w:eastAsia="hr-HR"/>
              </w:rPr>
              <w:t>1</w:t>
            </w:r>
          </w:p>
        </w:tc>
        <w:tc>
          <w:tcPr>
            <w:tcW w:w="797" w:type="dxa"/>
            <w:gridSpan w:val="2"/>
            <w:tcBorders>
              <w:top w:val="nil"/>
              <w:left w:val="nil"/>
              <w:bottom w:val="single" w:sz="4" w:space="0" w:color="auto"/>
              <w:right w:val="nil"/>
            </w:tcBorders>
            <w:shd w:val="clear" w:color="000000" w:fill="33CCCC"/>
            <w:noWrap/>
            <w:vAlign w:val="bottom"/>
            <w:hideMark/>
          </w:tcPr>
          <w:p w14:paraId="3243418C" w14:textId="77777777" w:rsidR="004566A6" w:rsidRPr="004566A6" w:rsidRDefault="004566A6" w:rsidP="004566A6">
            <w:pPr>
              <w:spacing w:after="0" w:line="240" w:lineRule="auto"/>
              <w:jc w:val="right"/>
              <w:rPr>
                <w:rFonts w:ascii="Calibri" w:eastAsia="Times New Roman" w:hAnsi="Calibri" w:cs="Calibri"/>
                <w:sz w:val="18"/>
                <w:szCs w:val="18"/>
                <w:lang w:eastAsia="hr-HR"/>
              </w:rPr>
            </w:pPr>
            <w:r w:rsidRPr="004566A6">
              <w:rPr>
                <w:rFonts w:ascii="Calibri" w:eastAsia="Times New Roman" w:hAnsi="Calibri" w:cs="Calibri"/>
                <w:sz w:val="18"/>
                <w:szCs w:val="18"/>
                <w:lang w:eastAsia="hr-HR"/>
              </w:rPr>
              <w:t>10</w:t>
            </w:r>
          </w:p>
        </w:tc>
        <w:tc>
          <w:tcPr>
            <w:tcW w:w="425" w:type="dxa"/>
            <w:gridSpan w:val="3"/>
            <w:tcBorders>
              <w:top w:val="nil"/>
              <w:left w:val="single" w:sz="4" w:space="0" w:color="auto"/>
              <w:bottom w:val="single" w:sz="4" w:space="0" w:color="auto"/>
              <w:right w:val="nil"/>
            </w:tcBorders>
            <w:shd w:val="clear" w:color="000000" w:fill="33CCCC"/>
            <w:noWrap/>
            <w:vAlign w:val="bottom"/>
            <w:hideMark/>
          </w:tcPr>
          <w:p w14:paraId="59366B2E" w14:textId="77777777" w:rsidR="004566A6" w:rsidRPr="004566A6" w:rsidRDefault="004566A6" w:rsidP="004566A6">
            <w:pPr>
              <w:spacing w:after="0" w:line="240" w:lineRule="auto"/>
              <w:jc w:val="right"/>
              <w:rPr>
                <w:rFonts w:ascii="Calibri" w:eastAsia="Times New Roman" w:hAnsi="Calibri" w:cs="Calibri"/>
                <w:sz w:val="18"/>
                <w:szCs w:val="18"/>
                <w:lang w:eastAsia="hr-HR"/>
              </w:rPr>
            </w:pPr>
            <w:r w:rsidRPr="004566A6">
              <w:rPr>
                <w:rFonts w:ascii="Calibri" w:eastAsia="Times New Roman" w:hAnsi="Calibri" w:cs="Calibri"/>
                <w:sz w:val="18"/>
                <w:szCs w:val="18"/>
                <w:lang w:eastAsia="hr-HR"/>
              </w:rPr>
              <w:t>1</w:t>
            </w:r>
          </w:p>
        </w:tc>
        <w:tc>
          <w:tcPr>
            <w:tcW w:w="236" w:type="dxa"/>
            <w:gridSpan w:val="2"/>
            <w:vAlign w:val="center"/>
            <w:hideMark/>
          </w:tcPr>
          <w:p w14:paraId="17BA9CF4" w14:textId="77777777" w:rsidR="004566A6" w:rsidRPr="004566A6" w:rsidRDefault="004566A6" w:rsidP="004566A6">
            <w:pPr>
              <w:spacing w:after="0" w:line="240" w:lineRule="auto"/>
              <w:rPr>
                <w:rFonts w:ascii="Times New Roman" w:eastAsia="Times New Roman" w:hAnsi="Times New Roman" w:cs="Times New Roman"/>
                <w:sz w:val="18"/>
                <w:szCs w:val="18"/>
                <w:lang w:eastAsia="hr-HR"/>
              </w:rPr>
            </w:pPr>
          </w:p>
        </w:tc>
      </w:tr>
      <w:tr w:rsidR="003D0C85" w:rsidRPr="004566A6" w14:paraId="2A737F58" w14:textId="77777777" w:rsidTr="003D0C85">
        <w:trPr>
          <w:trHeight w:val="300"/>
        </w:trPr>
        <w:tc>
          <w:tcPr>
            <w:tcW w:w="1397" w:type="dxa"/>
            <w:tcBorders>
              <w:top w:val="single" w:sz="4" w:space="0" w:color="auto"/>
              <w:left w:val="single" w:sz="8" w:space="0" w:color="auto"/>
              <w:bottom w:val="single" w:sz="4" w:space="0" w:color="auto"/>
              <w:right w:val="single" w:sz="4" w:space="0" w:color="auto"/>
            </w:tcBorders>
            <w:shd w:val="clear" w:color="000000" w:fill="CCFFCC"/>
            <w:vAlign w:val="center"/>
            <w:hideMark/>
          </w:tcPr>
          <w:p w14:paraId="18AB0A75" w14:textId="77777777" w:rsidR="004566A6" w:rsidRPr="004566A6" w:rsidRDefault="004566A6" w:rsidP="004566A6">
            <w:pPr>
              <w:spacing w:after="0" w:line="240" w:lineRule="auto"/>
              <w:jc w:val="center"/>
              <w:rPr>
                <w:rFonts w:ascii="Calibri" w:eastAsia="Times New Roman" w:hAnsi="Calibri" w:cs="Calibri"/>
                <w:sz w:val="18"/>
                <w:szCs w:val="18"/>
                <w:lang w:eastAsia="hr-HR"/>
              </w:rPr>
            </w:pPr>
            <w:r w:rsidRPr="004566A6">
              <w:rPr>
                <w:rFonts w:ascii="Calibri" w:eastAsia="Times New Roman" w:hAnsi="Calibri" w:cs="Calibri"/>
                <w:sz w:val="18"/>
                <w:szCs w:val="18"/>
                <w:lang w:eastAsia="hr-HR"/>
              </w:rPr>
              <w:t>Spolna orijentacija</w:t>
            </w:r>
          </w:p>
        </w:tc>
        <w:tc>
          <w:tcPr>
            <w:tcW w:w="576" w:type="dxa"/>
            <w:tcBorders>
              <w:top w:val="nil"/>
              <w:left w:val="nil"/>
              <w:bottom w:val="single" w:sz="4" w:space="0" w:color="auto"/>
              <w:right w:val="single" w:sz="4" w:space="0" w:color="auto"/>
            </w:tcBorders>
            <w:shd w:val="clear" w:color="000000" w:fill="CCFFCC"/>
            <w:vAlign w:val="center"/>
            <w:hideMark/>
          </w:tcPr>
          <w:p w14:paraId="74BCF5CE" w14:textId="77777777" w:rsidR="004566A6" w:rsidRPr="004566A6" w:rsidRDefault="004566A6" w:rsidP="004566A6">
            <w:pPr>
              <w:spacing w:after="0" w:line="240" w:lineRule="auto"/>
              <w:jc w:val="center"/>
              <w:rPr>
                <w:rFonts w:ascii="Calibri" w:eastAsia="Times New Roman" w:hAnsi="Calibri" w:cs="Calibri"/>
                <w:sz w:val="18"/>
                <w:szCs w:val="18"/>
                <w:lang w:eastAsia="hr-HR"/>
              </w:rPr>
            </w:pPr>
            <w:r w:rsidRPr="004566A6">
              <w:rPr>
                <w:rFonts w:ascii="Calibri" w:eastAsia="Times New Roman" w:hAnsi="Calibri" w:cs="Calibri"/>
                <w:sz w:val="18"/>
                <w:szCs w:val="18"/>
                <w:lang w:eastAsia="hr-HR"/>
              </w:rPr>
              <w:t>1</w:t>
            </w:r>
          </w:p>
        </w:tc>
        <w:tc>
          <w:tcPr>
            <w:tcW w:w="444" w:type="dxa"/>
            <w:tcBorders>
              <w:top w:val="nil"/>
              <w:left w:val="nil"/>
              <w:bottom w:val="single" w:sz="4" w:space="0" w:color="auto"/>
              <w:right w:val="single" w:sz="4" w:space="0" w:color="auto"/>
            </w:tcBorders>
            <w:shd w:val="clear" w:color="000000" w:fill="FFCC99"/>
            <w:noWrap/>
            <w:vAlign w:val="bottom"/>
            <w:hideMark/>
          </w:tcPr>
          <w:p w14:paraId="102ECEBC" w14:textId="77777777" w:rsidR="004566A6" w:rsidRPr="004566A6" w:rsidRDefault="004566A6" w:rsidP="004566A6">
            <w:pPr>
              <w:spacing w:after="0" w:line="240" w:lineRule="auto"/>
              <w:jc w:val="center"/>
              <w:rPr>
                <w:rFonts w:ascii="Calibri" w:eastAsia="Times New Roman" w:hAnsi="Calibri" w:cs="Calibri"/>
                <w:sz w:val="18"/>
                <w:szCs w:val="18"/>
                <w:lang w:eastAsia="hr-HR"/>
              </w:rPr>
            </w:pPr>
            <w:r w:rsidRPr="004566A6">
              <w:rPr>
                <w:rFonts w:ascii="Calibri" w:eastAsia="Times New Roman" w:hAnsi="Calibri" w:cs="Calibri"/>
                <w:sz w:val="18"/>
                <w:szCs w:val="18"/>
                <w:lang w:eastAsia="hr-HR"/>
              </w:rPr>
              <w:t>2</w:t>
            </w:r>
          </w:p>
        </w:tc>
        <w:tc>
          <w:tcPr>
            <w:tcW w:w="405" w:type="dxa"/>
            <w:tcBorders>
              <w:top w:val="nil"/>
              <w:left w:val="nil"/>
              <w:bottom w:val="single" w:sz="4" w:space="0" w:color="auto"/>
              <w:right w:val="single" w:sz="4" w:space="0" w:color="auto"/>
            </w:tcBorders>
            <w:shd w:val="clear" w:color="000000" w:fill="CCFFFF"/>
            <w:noWrap/>
            <w:vAlign w:val="bottom"/>
            <w:hideMark/>
          </w:tcPr>
          <w:p w14:paraId="6EBDAF2D" w14:textId="77777777" w:rsidR="004566A6" w:rsidRPr="004566A6" w:rsidRDefault="004566A6" w:rsidP="004566A6">
            <w:pPr>
              <w:spacing w:after="0" w:line="240" w:lineRule="auto"/>
              <w:jc w:val="right"/>
              <w:rPr>
                <w:rFonts w:ascii="Calibri" w:eastAsia="Times New Roman" w:hAnsi="Calibri" w:cs="Calibri"/>
                <w:sz w:val="18"/>
                <w:szCs w:val="18"/>
                <w:lang w:eastAsia="hr-HR"/>
              </w:rPr>
            </w:pPr>
            <w:r w:rsidRPr="004566A6">
              <w:rPr>
                <w:rFonts w:ascii="Calibri" w:eastAsia="Times New Roman" w:hAnsi="Calibri" w:cs="Calibri"/>
                <w:sz w:val="18"/>
                <w:szCs w:val="18"/>
                <w:lang w:eastAsia="hr-HR"/>
              </w:rPr>
              <w:t>0</w:t>
            </w:r>
          </w:p>
        </w:tc>
        <w:tc>
          <w:tcPr>
            <w:tcW w:w="462" w:type="dxa"/>
            <w:tcBorders>
              <w:top w:val="nil"/>
              <w:left w:val="nil"/>
              <w:bottom w:val="single" w:sz="4" w:space="0" w:color="auto"/>
              <w:right w:val="single" w:sz="4" w:space="0" w:color="auto"/>
            </w:tcBorders>
            <w:shd w:val="clear" w:color="000000" w:fill="CCFFFF"/>
            <w:noWrap/>
            <w:vAlign w:val="bottom"/>
            <w:hideMark/>
          </w:tcPr>
          <w:p w14:paraId="7DF649FB" w14:textId="77777777" w:rsidR="004566A6" w:rsidRPr="004566A6" w:rsidRDefault="004566A6" w:rsidP="004566A6">
            <w:pPr>
              <w:spacing w:after="0" w:line="240" w:lineRule="auto"/>
              <w:jc w:val="right"/>
              <w:rPr>
                <w:rFonts w:ascii="Calibri" w:eastAsia="Times New Roman" w:hAnsi="Calibri" w:cs="Calibri"/>
                <w:sz w:val="18"/>
                <w:szCs w:val="18"/>
                <w:lang w:eastAsia="hr-HR"/>
              </w:rPr>
            </w:pPr>
            <w:r w:rsidRPr="004566A6">
              <w:rPr>
                <w:rFonts w:ascii="Calibri" w:eastAsia="Times New Roman" w:hAnsi="Calibri" w:cs="Calibri"/>
                <w:sz w:val="18"/>
                <w:szCs w:val="18"/>
                <w:lang w:eastAsia="hr-HR"/>
              </w:rPr>
              <w:t>1</w:t>
            </w:r>
          </w:p>
        </w:tc>
        <w:tc>
          <w:tcPr>
            <w:tcW w:w="455" w:type="dxa"/>
            <w:tcBorders>
              <w:top w:val="nil"/>
              <w:left w:val="nil"/>
              <w:bottom w:val="single" w:sz="4" w:space="0" w:color="auto"/>
              <w:right w:val="single" w:sz="4" w:space="0" w:color="auto"/>
            </w:tcBorders>
            <w:shd w:val="clear" w:color="000000" w:fill="FFFF99"/>
            <w:noWrap/>
            <w:vAlign w:val="bottom"/>
            <w:hideMark/>
          </w:tcPr>
          <w:p w14:paraId="6C810D1B" w14:textId="77777777" w:rsidR="004566A6" w:rsidRPr="004566A6" w:rsidRDefault="004566A6" w:rsidP="004566A6">
            <w:pPr>
              <w:spacing w:after="0" w:line="240" w:lineRule="auto"/>
              <w:jc w:val="center"/>
              <w:rPr>
                <w:rFonts w:ascii="Calibri" w:eastAsia="Times New Roman" w:hAnsi="Calibri" w:cs="Calibri"/>
                <w:sz w:val="18"/>
                <w:szCs w:val="18"/>
                <w:lang w:eastAsia="hr-HR"/>
              </w:rPr>
            </w:pPr>
            <w:r w:rsidRPr="004566A6">
              <w:rPr>
                <w:rFonts w:ascii="Calibri" w:eastAsia="Times New Roman" w:hAnsi="Calibri" w:cs="Calibri"/>
                <w:sz w:val="18"/>
                <w:szCs w:val="18"/>
                <w:lang w:eastAsia="hr-HR"/>
              </w:rPr>
              <w:t>2</w:t>
            </w:r>
          </w:p>
        </w:tc>
        <w:tc>
          <w:tcPr>
            <w:tcW w:w="567" w:type="dxa"/>
            <w:tcBorders>
              <w:top w:val="nil"/>
              <w:left w:val="nil"/>
              <w:bottom w:val="single" w:sz="4" w:space="0" w:color="auto"/>
              <w:right w:val="single" w:sz="4" w:space="0" w:color="auto"/>
            </w:tcBorders>
            <w:shd w:val="clear" w:color="000000" w:fill="FFFF99"/>
            <w:noWrap/>
            <w:vAlign w:val="bottom"/>
            <w:hideMark/>
          </w:tcPr>
          <w:p w14:paraId="2DE0A671" w14:textId="77777777" w:rsidR="004566A6" w:rsidRPr="004566A6" w:rsidRDefault="004566A6" w:rsidP="004566A6">
            <w:pPr>
              <w:spacing w:after="0" w:line="240" w:lineRule="auto"/>
              <w:jc w:val="center"/>
              <w:rPr>
                <w:rFonts w:ascii="Calibri" w:eastAsia="Times New Roman" w:hAnsi="Calibri" w:cs="Calibri"/>
                <w:sz w:val="18"/>
                <w:szCs w:val="18"/>
                <w:lang w:eastAsia="hr-HR"/>
              </w:rPr>
            </w:pPr>
            <w:r w:rsidRPr="004566A6">
              <w:rPr>
                <w:rFonts w:ascii="Calibri" w:eastAsia="Times New Roman" w:hAnsi="Calibri" w:cs="Calibri"/>
                <w:sz w:val="18"/>
                <w:szCs w:val="18"/>
                <w:lang w:eastAsia="hr-HR"/>
              </w:rPr>
              <w:t>0</w:t>
            </w:r>
          </w:p>
        </w:tc>
        <w:tc>
          <w:tcPr>
            <w:tcW w:w="708" w:type="dxa"/>
            <w:tcBorders>
              <w:top w:val="nil"/>
              <w:left w:val="nil"/>
              <w:bottom w:val="single" w:sz="4" w:space="0" w:color="auto"/>
              <w:right w:val="single" w:sz="4" w:space="0" w:color="auto"/>
            </w:tcBorders>
            <w:shd w:val="clear" w:color="000000" w:fill="FFFF99"/>
            <w:noWrap/>
            <w:vAlign w:val="bottom"/>
            <w:hideMark/>
          </w:tcPr>
          <w:p w14:paraId="1E5E0A9B" w14:textId="77777777" w:rsidR="004566A6" w:rsidRPr="004566A6" w:rsidRDefault="004566A6" w:rsidP="004566A6">
            <w:pPr>
              <w:spacing w:after="0" w:line="240" w:lineRule="auto"/>
              <w:jc w:val="center"/>
              <w:rPr>
                <w:rFonts w:ascii="Calibri" w:eastAsia="Times New Roman" w:hAnsi="Calibri" w:cs="Calibri"/>
                <w:sz w:val="18"/>
                <w:szCs w:val="18"/>
                <w:lang w:eastAsia="hr-HR"/>
              </w:rPr>
            </w:pPr>
            <w:r w:rsidRPr="004566A6">
              <w:rPr>
                <w:rFonts w:ascii="Calibri" w:eastAsia="Times New Roman" w:hAnsi="Calibri" w:cs="Calibri"/>
                <w:sz w:val="18"/>
                <w:szCs w:val="18"/>
                <w:lang w:eastAsia="hr-HR"/>
              </w:rPr>
              <w:t>0</w:t>
            </w:r>
          </w:p>
        </w:tc>
        <w:tc>
          <w:tcPr>
            <w:tcW w:w="448" w:type="dxa"/>
            <w:tcBorders>
              <w:top w:val="nil"/>
              <w:left w:val="nil"/>
              <w:bottom w:val="single" w:sz="4" w:space="0" w:color="auto"/>
              <w:right w:val="single" w:sz="4" w:space="0" w:color="auto"/>
            </w:tcBorders>
            <w:shd w:val="clear" w:color="000000" w:fill="FFFF99"/>
            <w:noWrap/>
            <w:vAlign w:val="bottom"/>
            <w:hideMark/>
          </w:tcPr>
          <w:p w14:paraId="18C98FB6" w14:textId="77777777" w:rsidR="004566A6" w:rsidRPr="004566A6" w:rsidRDefault="004566A6" w:rsidP="004566A6">
            <w:pPr>
              <w:spacing w:after="0" w:line="240" w:lineRule="auto"/>
              <w:jc w:val="center"/>
              <w:rPr>
                <w:rFonts w:ascii="Calibri" w:eastAsia="Times New Roman" w:hAnsi="Calibri" w:cs="Calibri"/>
                <w:sz w:val="18"/>
                <w:szCs w:val="18"/>
                <w:lang w:eastAsia="hr-HR"/>
              </w:rPr>
            </w:pPr>
            <w:r w:rsidRPr="004566A6">
              <w:rPr>
                <w:rFonts w:ascii="Calibri" w:eastAsia="Times New Roman" w:hAnsi="Calibri" w:cs="Calibri"/>
                <w:sz w:val="18"/>
                <w:szCs w:val="18"/>
                <w:lang w:eastAsia="hr-HR"/>
              </w:rPr>
              <w:t>0</w:t>
            </w:r>
          </w:p>
        </w:tc>
        <w:tc>
          <w:tcPr>
            <w:tcW w:w="680" w:type="dxa"/>
            <w:tcBorders>
              <w:top w:val="nil"/>
              <w:left w:val="nil"/>
              <w:bottom w:val="single" w:sz="4" w:space="0" w:color="auto"/>
              <w:right w:val="single" w:sz="4" w:space="0" w:color="auto"/>
            </w:tcBorders>
            <w:shd w:val="clear" w:color="000000" w:fill="FFFF99"/>
            <w:noWrap/>
            <w:vAlign w:val="bottom"/>
            <w:hideMark/>
          </w:tcPr>
          <w:p w14:paraId="079B03D3" w14:textId="77777777" w:rsidR="004566A6" w:rsidRPr="004566A6" w:rsidRDefault="004566A6" w:rsidP="004566A6">
            <w:pPr>
              <w:spacing w:after="0" w:line="240" w:lineRule="auto"/>
              <w:jc w:val="center"/>
              <w:rPr>
                <w:rFonts w:ascii="Calibri" w:eastAsia="Times New Roman" w:hAnsi="Calibri" w:cs="Calibri"/>
                <w:sz w:val="18"/>
                <w:szCs w:val="18"/>
                <w:lang w:eastAsia="hr-HR"/>
              </w:rPr>
            </w:pPr>
            <w:r w:rsidRPr="004566A6">
              <w:rPr>
                <w:rFonts w:ascii="Calibri" w:eastAsia="Times New Roman" w:hAnsi="Calibri" w:cs="Calibri"/>
                <w:sz w:val="18"/>
                <w:szCs w:val="18"/>
                <w:lang w:eastAsia="hr-HR"/>
              </w:rPr>
              <w:t>0</w:t>
            </w:r>
          </w:p>
        </w:tc>
        <w:tc>
          <w:tcPr>
            <w:tcW w:w="573" w:type="dxa"/>
            <w:gridSpan w:val="2"/>
            <w:tcBorders>
              <w:top w:val="nil"/>
              <w:left w:val="nil"/>
              <w:bottom w:val="single" w:sz="4" w:space="0" w:color="auto"/>
              <w:right w:val="single" w:sz="4" w:space="0" w:color="auto"/>
            </w:tcBorders>
            <w:shd w:val="clear" w:color="000000" w:fill="FF9900"/>
            <w:noWrap/>
            <w:vAlign w:val="bottom"/>
            <w:hideMark/>
          </w:tcPr>
          <w:p w14:paraId="60EE6CCC" w14:textId="77777777" w:rsidR="004566A6" w:rsidRPr="004566A6" w:rsidRDefault="004566A6" w:rsidP="004566A6">
            <w:pPr>
              <w:spacing w:after="0" w:line="240" w:lineRule="auto"/>
              <w:jc w:val="right"/>
              <w:rPr>
                <w:rFonts w:ascii="Calibri" w:eastAsia="Times New Roman" w:hAnsi="Calibri" w:cs="Calibri"/>
                <w:sz w:val="18"/>
                <w:szCs w:val="18"/>
                <w:lang w:eastAsia="hr-HR"/>
              </w:rPr>
            </w:pPr>
            <w:r w:rsidRPr="004566A6">
              <w:rPr>
                <w:rFonts w:ascii="Calibri" w:eastAsia="Times New Roman" w:hAnsi="Calibri" w:cs="Calibri"/>
                <w:sz w:val="18"/>
                <w:szCs w:val="18"/>
                <w:lang w:eastAsia="hr-HR"/>
              </w:rPr>
              <w:t>0</w:t>
            </w:r>
          </w:p>
        </w:tc>
        <w:tc>
          <w:tcPr>
            <w:tcW w:w="567" w:type="dxa"/>
            <w:tcBorders>
              <w:top w:val="nil"/>
              <w:left w:val="nil"/>
              <w:bottom w:val="single" w:sz="4" w:space="0" w:color="auto"/>
              <w:right w:val="single" w:sz="4" w:space="0" w:color="auto"/>
            </w:tcBorders>
            <w:shd w:val="clear" w:color="000000" w:fill="FF9900"/>
            <w:noWrap/>
            <w:vAlign w:val="bottom"/>
            <w:hideMark/>
          </w:tcPr>
          <w:p w14:paraId="35D0C253" w14:textId="77777777" w:rsidR="004566A6" w:rsidRPr="004566A6" w:rsidRDefault="004566A6" w:rsidP="004566A6">
            <w:pPr>
              <w:spacing w:after="0" w:line="240" w:lineRule="auto"/>
              <w:jc w:val="right"/>
              <w:rPr>
                <w:rFonts w:ascii="Calibri" w:eastAsia="Times New Roman" w:hAnsi="Calibri" w:cs="Calibri"/>
                <w:sz w:val="18"/>
                <w:szCs w:val="18"/>
                <w:lang w:eastAsia="hr-HR"/>
              </w:rPr>
            </w:pPr>
            <w:r w:rsidRPr="004566A6">
              <w:rPr>
                <w:rFonts w:ascii="Calibri" w:eastAsia="Times New Roman" w:hAnsi="Calibri" w:cs="Calibri"/>
                <w:sz w:val="18"/>
                <w:szCs w:val="18"/>
                <w:lang w:eastAsia="hr-HR"/>
              </w:rPr>
              <w:t>1</w:t>
            </w:r>
          </w:p>
        </w:tc>
        <w:tc>
          <w:tcPr>
            <w:tcW w:w="448" w:type="dxa"/>
            <w:tcBorders>
              <w:top w:val="nil"/>
              <w:left w:val="nil"/>
              <w:bottom w:val="single" w:sz="4" w:space="0" w:color="auto"/>
              <w:right w:val="single" w:sz="4" w:space="0" w:color="auto"/>
            </w:tcBorders>
            <w:shd w:val="clear" w:color="000000" w:fill="FF9900"/>
            <w:noWrap/>
            <w:vAlign w:val="bottom"/>
            <w:hideMark/>
          </w:tcPr>
          <w:p w14:paraId="24BBB96E" w14:textId="77777777" w:rsidR="004566A6" w:rsidRPr="004566A6" w:rsidRDefault="004566A6" w:rsidP="004566A6">
            <w:pPr>
              <w:spacing w:after="0" w:line="240" w:lineRule="auto"/>
              <w:jc w:val="right"/>
              <w:rPr>
                <w:rFonts w:ascii="Calibri" w:eastAsia="Times New Roman" w:hAnsi="Calibri" w:cs="Calibri"/>
                <w:sz w:val="18"/>
                <w:szCs w:val="18"/>
                <w:lang w:eastAsia="hr-HR"/>
              </w:rPr>
            </w:pPr>
            <w:r w:rsidRPr="004566A6">
              <w:rPr>
                <w:rFonts w:ascii="Calibri" w:eastAsia="Times New Roman" w:hAnsi="Calibri" w:cs="Calibri"/>
                <w:sz w:val="18"/>
                <w:szCs w:val="18"/>
                <w:lang w:eastAsia="hr-HR"/>
              </w:rPr>
              <w:t>1</w:t>
            </w:r>
          </w:p>
        </w:tc>
        <w:tc>
          <w:tcPr>
            <w:tcW w:w="448" w:type="dxa"/>
            <w:gridSpan w:val="2"/>
            <w:tcBorders>
              <w:top w:val="nil"/>
              <w:left w:val="nil"/>
              <w:bottom w:val="single" w:sz="4" w:space="0" w:color="auto"/>
              <w:right w:val="single" w:sz="4" w:space="0" w:color="auto"/>
            </w:tcBorders>
            <w:shd w:val="clear" w:color="000000" w:fill="66FFCC"/>
            <w:noWrap/>
            <w:vAlign w:val="bottom"/>
            <w:hideMark/>
          </w:tcPr>
          <w:p w14:paraId="50C56B2E" w14:textId="77777777" w:rsidR="004566A6" w:rsidRPr="004566A6" w:rsidRDefault="004566A6" w:rsidP="004566A6">
            <w:pPr>
              <w:spacing w:after="0" w:line="240" w:lineRule="auto"/>
              <w:jc w:val="right"/>
              <w:rPr>
                <w:rFonts w:ascii="Calibri" w:eastAsia="Times New Roman" w:hAnsi="Calibri" w:cs="Calibri"/>
                <w:sz w:val="18"/>
                <w:szCs w:val="18"/>
                <w:lang w:eastAsia="hr-HR"/>
              </w:rPr>
            </w:pPr>
            <w:r w:rsidRPr="004566A6">
              <w:rPr>
                <w:rFonts w:ascii="Calibri" w:eastAsia="Times New Roman" w:hAnsi="Calibri" w:cs="Calibri"/>
                <w:sz w:val="18"/>
                <w:szCs w:val="18"/>
                <w:lang w:eastAsia="hr-HR"/>
              </w:rPr>
              <w:t>0</w:t>
            </w:r>
          </w:p>
        </w:tc>
        <w:tc>
          <w:tcPr>
            <w:tcW w:w="448" w:type="dxa"/>
            <w:tcBorders>
              <w:top w:val="nil"/>
              <w:left w:val="nil"/>
              <w:bottom w:val="single" w:sz="4" w:space="0" w:color="auto"/>
              <w:right w:val="single" w:sz="4" w:space="0" w:color="auto"/>
            </w:tcBorders>
            <w:shd w:val="clear" w:color="000000" w:fill="66FFCC"/>
            <w:noWrap/>
            <w:vAlign w:val="bottom"/>
            <w:hideMark/>
          </w:tcPr>
          <w:p w14:paraId="40ADA2B8" w14:textId="77777777" w:rsidR="004566A6" w:rsidRPr="004566A6" w:rsidRDefault="004566A6" w:rsidP="004566A6">
            <w:pPr>
              <w:spacing w:after="0" w:line="240" w:lineRule="auto"/>
              <w:jc w:val="right"/>
              <w:rPr>
                <w:rFonts w:ascii="Calibri" w:eastAsia="Times New Roman" w:hAnsi="Calibri" w:cs="Calibri"/>
                <w:sz w:val="18"/>
                <w:szCs w:val="18"/>
                <w:lang w:eastAsia="hr-HR"/>
              </w:rPr>
            </w:pPr>
            <w:r w:rsidRPr="004566A6">
              <w:rPr>
                <w:rFonts w:ascii="Calibri" w:eastAsia="Times New Roman" w:hAnsi="Calibri" w:cs="Calibri"/>
                <w:sz w:val="18"/>
                <w:szCs w:val="18"/>
                <w:lang w:eastAsia="hr-HR"/>
              </w:rPr>
              <w:t>0</w:t>
            </w:r>
          </w:p>
        </w:tc>
        <w:tc>
          <w:tcPr>
            <w:tcW w:w="448" w:type="dxa"/>
            <w:tcBorders>
              <w:top w:val="nil"/>
              <w:left w:val="nil"/>
              <w:bottom w:val="single" w:sz="4" w:space="0" w:color="auto"/>
              <w:right w:val="single" w:sz="4" w:space="0" w:color="auto"/>
            </w:tcBorders>
            <w:shd w:val="clear" w:color="000000" w:fill="66FFCC"/>
            <w:noWrap/>
            <w:vAlign w:val="bottom"/>
            <w:hideMark/>
          </w:tcPr>
          <w:p w14:paraId="604852F8" w14:textId="77777777" w:rsidR="004566A6" w:rsidRPr="004566A6" w:rsidRDefault="004566A6" w:rsidP="004566A6">
            <w:pPr>
              <w:spacing w:after="0" w:line="240" w:lineRule="auto"/>
              <w:jc w:val="right"/>
              <w:rPr>
                <w:rFonts w:ascii="Calibri" w:eastAsia="Times New Roman" w:hAnsi="Calibri" w:cs="Calibri"/>
                <w:sz w:val="18"/>
                <w:szCs w:val="18"/>
                <w:lang w:eastAsia="hr-HR"/>
              </w:rPr>
            </w:pPr>
            <w:r w:rsidRPr="004566A6">
              <w:rPr>
                <w:rFonts w:ascii="Calibri" w:eastAsia="Times New Roman" w:hAnsi="Calibri" w:cs="Calibri"/>
                <w:sz w:val="18"/>
                <w:szCs w:val="18"/>
                <w:lang w:eastAsia="hr-HR"/>
              </w:rPr>
              <w:t>0</w:t>
            </w:r>
          </w:p>
        </w:tc>
        <w:tc>
          <w:tcPr>
            <w:tcW w:w="476" w:type="dxa"/>
            <w:tcBorders>
              <w:top w:val="nil"/>
              <w:left w:val="nil"/>
              <w:bottom w:val="single" w:sz="4" w:space="0" w:color="auto"/>
              <w:right w:val="single" w:sz="4" w:space="0" w:color="auto"/>
            </w:tcBorders>
            <w:shd w:val="clear" w:color="000000" w:fill="66FFCC"/>
            <w:noWrap/>
            <w:vAlign w:val="bottom"/>
            <w:hideMark/>
          </w:tcPr>
          <w:p w14:paraId="51A3E409" w14:textId="77777777" w:rsidR="004566A6" w:rsidRPr="004566A6" w:rsidRDefault="004566A6" w:rsidP="004566A6">
            <w:pPr>
              <w:spacing w:after="0" w:line="240" w:lineRule="auto"/>
              <w:jc w:val="right"/>
              <w:rPr>
                <w:rFonts w:ascii="Calibri" w:eastAsia="Times New Roman" w:hAnsi="Calibri" w:cs="Calibri"/>
                <w:sz w:val="18"/>
                <w:szCs w:val="18"/>
                <w:lang w:eastAsia="hr-HR"/>
              </w:rPr>
            </w:pPr>
            <w:r w:rsidRPr="004566A6">
              <w:rPr>
                <w:rFonts w:ascii="Calibri" w:eastAsia="Times New Roman" w:hAnsi="Calibri" w:cs="Calibri"/>
                <w:sz w:val="18"/>
                <w:szCs w:val="18"/>
                <w:lang w:eastAsia="hr-HR"/>
              </w:rPr>
              <w:t>0</w:t>
            </w:r>
          </w:p>
        </w:tc>
        <w:tc>
          <w:tcPr>
            <w:tcW w:w="557" w:type="dxa"/>
            <w:gridSpan w:val="2"/>
            <w:tcBorders>
              <w:top w:val="nil"/>
              <w:left w:val="nil"/>
              <w:bottom w:val="single" w:sz="4" w:space="0" w:color="auto"/>
              <w:right w:val="single" w:sz="4" w:space="0" w:color="auto"/>
            </w:tcBorders>
            <w:shd w:val="clear" w:color="000000" w:fill="FFFF00"/>
            <w:vAlign w:val="center"/>
            <w:hideMark/>
          </w:tcPr>
          <w:p w14:paraId="17701559" w14:textId="77777777" w:rsidR="004566A6" w:rsidRPr="004566A6" w:rsidRDefault="004566A6" w:rsidP="004566A6">
            <w:pPr>
              <w:spacing w:after="0" w:line="240" w:lineRule="auto"/>
              <w:jc w:val="center"/>
              <w:rPr>
                <w:rFonts w:ascii="Calibri" w:eastAsia="Times New Roman" w:hAnsi="Calibri" w:cs="Calibri"/>
                <w:sz w:val="18"/>
                <w:szCs w:val="18"/>
                <w:lang w:eastAsia="hr-HR"/>
              </w:rPr>
            </w:pPr>
            <w:r w:rsidRPr="004566A6">
              <w:rPr>
                <w:rFonts w:ascii="Calibri" w:eastAsia="Times New Roman" w:hAnsi="Calibri" w:cs="Calibri"/>
                <w:sz w:val="18"/>
                <w:szCs w:val="18"/>
                <w:lang w:eastAsia="hr-HR"/>
              </w:rPr>
              <w:t>2</w:t>
            </w:r>
          </w:p>
        </w:tc>
        <w:tc>
          <w:tcPr>
            <w:tcW w:w="515" w:type="dxa"/>
            <w:gridSpan w:val="2"/>
            <w:tcBorders>
              <w:top w:val="nil"/>
              <w:left w:val="nil"/>
              <w:bottom w:val="single" w:sz="4" w:space="0" w:color="auto"/>
              <w:right w:val="single" w:sz="4" w:space="0" w:color="auto"/>
            </w:tcBorders>
            <w:shd w:val="clear" w:color="000000" w:fill="FFFF99"/>
            <w:vAlign w:val="center"/>
            <w:hideMark/>
          </w:tcPr>
          <w:p w14:paraId="41EFB646" w14:textId="77777777" w:rsidR="004566A6" w:rsidRPr="004566A6" w:rsidRDefault="004566A6" w:rsidP="004566A6">
            <w:pPr>
              <w:spacing w:after="0" w:line="240" w:lineRule="auto"/>
              <w:jc w:val="center"/>
              <w:rPr>
                <w:rFonts w:ascii="Calibri" w:eastAsia="Times New Roman" w:hAnsi="Calibri" w:cs="Calibri"/>
                <w:sz w:val="18"/>
                <w:szCs w:val="18"/>
                <w:lang w:eastAsia="hr-HR"/>
              </w:rPr>
            </w:pPr>
            <w:r w:rsidRPr="004566A6">
              <w:rPr>
                <w:rFonts w:ascii="Calibri" w:eastAsia="Times New Roman" w:hAnsi="Calibri" w:cs="Calibri"/>
                <w:sz w:val="18"/>
                <w:szCs w:val="18"/>
                <w:lang w:eastAsia="hr-HR"/>
              </w:rPr>
              <w:t>1</w:t>
            </w:r>
          </w:p>
        </w:tc>
        <w:tc>
          <w:tcPr>
            <w:tcW w:w="855" w:type="dxa"/>
            <w:gridSpan w:val="2"/>
            <w:tcBorders>
              <w:top w:val="nil"/>
              <w:left w:val="nil"/>
              <w:bottom w:val="single" w:sz="4" w:space="0" w:color="auto"/>
              <w:right w:val="single" w:sz="4" w:space="0" w:color="auto"/>
            </w:tcBorders>
            <w:shd w:val="clear" w:color="000000" w:fill="FF9900"/>
            <w:vAlign w:val="center"/>
            <w:hideMark/>
          </w:tcPr>
          <w:p w14:paraId="24306516" w14:textId="77777777" w:rsidR="004566A6" w:rsidRPr="004566A6" w:rsidRDefault="004566A6" w:rsidP="004566A6">
            <w:pPr>
              <w:spacing w:after="0" w:line="240" w:lineRule="auto"/>
              <w:jc w:val="center"/>
              <w:rPr>
                <w:rFonts w:ascii="Calibri" w:eastAsia="Times New Roman" w:hAnsi="Calibri" w:cs="Calibri"/>
                <w:sz w:val="18"/>
                <w:szCs w:val="18"/>
                <w:lang w:eastAsia="hr-HR"/>
              </w:rPr>
            </w:pPr>
            <w:r w:rsidRPr="004566A6">
              <w:rPr>
                <w:rFonts w:ascii="Calibri" w:eastAsia="Times New Roman" w:hAnsi="Calibri" w:cs="Calibri"/>
                <w:sz w:val="18"/>
                <w:szCs w:val="18"/>
                <w:lang w:eastAsia="hr-HR"/>
              </w:rPr>
              <w:t>0</w:t>
            </w:r>
          </w:p>
        </w:tc>
        <w:tc>
          <w:tcPr>
            <w:tcW w:w="445" w:type="dxa"/>
            <w:gridSpan w:val="2"/>
            <w:tcBorders>
              <w:top w:val="nil"/>
              <w:left w:val="nil"/>
              <w:bottom w:val="single" w:sz="4" w:space="0" w:color="auto"/>
              <w:right w:val="single" w:sz="4" w:space="0" w:color="auto"/>
            </w:tcBorders>
            <w:shd w:val="clear" w:color="000000" w:fill="CCFFFF"/>
            <w:vAlign w:val="bottom"/>
            <w:hideMark/>
          </w:tcPr>
          <w:p w14:paraId="6FA2C5AC" w14:textId="77777777" w:rsidR="004566A6" w:rsidRPr="004566A6" w:rsidRDefault="004566A6" w:rsidP="004566A6">
            <w:pPr>
              <w:spacing w:after="0" w:line="240" w:lineRule="auto"/>
              <w:jc w:val="right"/>
              <w:rPr>
                <w:rFonts w:ascii="Calibri" w:eastAsia="Times New Roman" w:hAnsi="Calibri" w:cs="Calibri"/>
                <w:sz w:val="18"/>
                <w:szCs w:val="18"/>
                <w:lang w:eastAsia="hr-HR"/>
              </w:rPr>
            </w:pPr>
            <w:r w:rsidRPr="004566A6">
              <w:rPr>
                <w:rFonts w:ascii="Calibri" w:eastAsia="Times New Roman" w:hAnsi="Calibri" w:cs="Calibri"/>
                <w:sz w:val="18"/>
                <w:szCs w:val="18"/>
                <w:lang w:eastAsia="hr-HR"/>
              </w:rPr>
              <w:t>0</w:t>
            </w:r>
          </w:p>
        </w:tc>
        <w:tc>
          <w:tcPr>
            <w:tcW w:w="445" w:type="dxa"/>
            <w:tcBorders>
              <w:top w:val="nil"/>
              <w:left w:val="nil"/>
              <w:bottom w:val="single" w:sz="4" w:space="0" w:color="auto"/>
              <w:right w:val="single" w:sz="4" w:space="0" w:color="auto"/>
            </w:tcBorders>
            <w:shd w:val="clear" w:color="000000" w:fill="CCFFFF"/>
            <w:vAlign w:val="bottom"/>
            <w:hideMark/>
          </w:tcPr>
          <w:p w14:paraId="528638AA" w14:textId="77777777" w:rsidR="004566A6" w:rsidRPr="004566A6" w:rsidRDefault="004566A6" w:rsidP="004566A6">
            <w:pPr>
              <w:spacing w:after="0" w:line="240" w:lineRule="auto"/>
              <w:jc w:val="right"/>
              <w:rPr>
                <w:rFonts w:ascii="Calibri" w:eastAsia="Times New Roman" w:hAnsi="Calibri" w:cs="Calibri"/>
                <w:sz w:val="18"/>
                <w:szCs w:val="18"/>
                <w:lang w:eastAsia="hr-HR"/>
              </w:rPr>
            </w:pPr>
            <w:r w:rsidRPr="004566A6">
              <w:rPr>
                <w:rFonts w:ascii="Calibri" w:eastAsia="Times New Roman" w:hAnsi="Calibri" w:cs="Calibri"/>
                <w:sz w:val="18"/>
                <w:szCs w:val="18"/>
                <w:lang w:eastAsia="hr-HR"/>
              </w:rPr>
              <w:t>0</w:t>
            </w:r>
          </w:p>
        </w:tc>
        <w:tc>
          <w:tcPr>
            <w:tcW w:w="505" w:type="dxa"/>
            <w:tcBorders>
              <w:top w:val="nil"/>
              <w:left w:val="nil"/>
              <w:bottom w:val="single" w:sz="4" w:space="0" w:color="auto"/>
              <w:right w:val="single" w:sz="4" w:space="0" w:color="auto"/>
            </w:tcBorders>
            <w:shd w:val="clear" w:color="000000" w:fill="CCFFFF"/>
            <w:vAlign w:val="bottom"/>
            <w:hideMark/>
          </w:tcPr>
          <w:p w14:paraId="0238C23B" w14:textId="77777777" w:rsidR="004566A6" w:rsidRPr="004566A6" w:rsidRDefault="004566A6" w:rsidP="004566A6">
            <w:pPr>
              <w:spacing w:after="0" w:line="240" w:lineRule="auto"/>
              <w:jc w:val="right"/>
              <w:rPr>
                <w:rFonts w:ascii="Calibri" w:eastAsia="Times New Roman" w:hAnsi="Calibri" w:cs="Calibri"/>
                <w:sz w:val="18"/>
                <w:szCs w:val="18"/>
                <w:lang w:eastAsia="hr-HR"/>
              </w:rPr>
            </w:pPr>
            <w:r w:rsidRPr="004566A6">
              <w:rPr>
                <w:rFonts w:ascii="Calibri" w:eastAsia="Times New Roman" w:hAnsi="Calibri" w:cs="Calibri"/>
                <w:sz w:val="18"/>
                <w:szCs w:val="18"/>
                <w:lang w:eastAsia="hr-HR"/>
              </w:rPr>
              <w:t>0</w:t>
            </w:r>
          </w:p>
        </w:tc>
        <w:tc>
          <w:tcPr>
            <w:tcW w:w="797" w:type="dxa"/>
            <w:gridSpan w:val="2"/>
            <w:tcBorders>
              <w:top w:val="nil"/>
              <w:left w:val="nil"/>
              <w:bottom w:val="single" w:sz="4" w:space="0" w:color="auto"/>
              <w:right w:val="nil"/>
            </w:tcBorders>
            <w:shd w:val="clear" w:color="000000" w:fill="33CCCC"/>
            <w:noWrap/>
            <w:vAlign w:val="bottom"/>
            <w:hideMark/>
          </w:tcPr>
          <w:p w14:paraId="567FF732" w14:textId="77777777" w:rsidR="004566A6" w:rsidRPr="004566A6" w:rsidRDefault="004566A6" w:rsidP="004566A6">
            <w:pPr>
              <w:spacing w:after="0" w:line="240" w:lineRule="auto"/>
              <w:jc w:val="right"/>
              <w:rPr>
                <w:rFonts w:ascii="Calibri" w:eastAsia="Times New Roman" w:hAnsi="Calibri" w:cs="Calibri"/>
                <w:sz w:val="18"/>
                <w:szCs w:val="18"/>
                <w:lang w:eastAsia="hr-HR"/>
              </w:rPr>
            </w:pPr>
            <w:r w:rsidRPr="004566A6">
              <w:rPr>
                <w:rFonts w:ascii="Calibri" w:eastAsia="Times New Roman" w:hAnsi="Calibri" w:cs="Calibri"/>
                <w:sz w:val="18"/>
                <w:szCs w:val="18"/>
                <w:lang w:eastAsia="hr-HR"/>
              </w:rPr>
              <w:t>1</w:t>
            </w:r>
          </w:p>
        </w:tc>
        <w:tc>
          <w:tcPr>
            <w:tcW w:w="425" w:type="dxa"/>
            <w:gridSpan w:val="3"/>
            <w:tcBorders>
              <w:top w:val="nil"/>
              <w:left w:val="single" w:sz="4" w:space="0" w:color="auto"/>
              <w:bottom w:val="single" w:sz="4" w:space="0" w:color="auto"/>
              <w:right w:val="nil"/>
            </w:tcBorders>
            <w:shd w:val="clear" w:color="000000" w:fill="33CCCC"/>
            <w:noWrap/>
            <w:vAlign w:val="bottom"/>
            <w:hideMark/>
          </w:tcPr>
          <w:p w14:paraId="063B27FD" w14:textId="77777777" w:rsidR="004566A6" w:rsidRPr="004566A6" w:rsidRDefault="004566A6" w:rsidP="004566A6">
            <w:pPr>
              <w:spacing w:after="0" w:line="240" w:lineRule="auto"/>
              <w:jc w:val="right"/>
              <w:rPr>
                <w:rFonts w:ascii="Calibri" w:eastAsia="Times New Roman" w:hAnsi="Calibri" w:cs="Calibri"/>
                <w:sz w:val="18"/>
                <w:szCs w:val="18"/>
                <w:lang w:eastAsia="hr-HR"/>
              </w:rPr>
            </w:pPr>
            <w:r w:rsidRPr="004566A6">
              <w:rPr>
                <w:rFonts w:ascii="Calibri" w:eastAsia="Times New Roman" w:hAnsi="Calibri" w:cs="Calibri"/>
                <w:sz w:val="18"/>
                <w:szCs w:val="18"/>
                <w:lang w:eastAsia="hr-HR"/>
              </w:rPr>
              <w:t>1</w:t>
            </w:r>
          </w:p>
        </w:tc>
        <w:tc>
          <w:tcPr>
            <w:tcW w:w="236" w:type="dxa"/>
            <w:gridSpan w:val="2"/>
            <w:vAlign w:val="center"/>
            <w:hideMark/>
          </w:tcPr>
          <w:p w14:paraId="2679D1D4" w14:textId="77777777" w:rsidR="004566A6" w:rsidRPr="004566A6" w:rsidRDefault="004566A6" w:rsidP="004566A6">
            <w:pPr>
              <w:spacing w:after="0" w:line="240" w:lineRule="auto"/>
              <w:rPr>
                <w:rFonts w:ascii="Times New Roman" w:eastAsia="Times New Roman" w:hAnsi="Times New Roman" w:cs="Times New Roman"/>
                <w:sz w:val="18"/>
                <w:szCs w:val="18"/>
                <w:lang w:eastAsia="hr-HR"/>
              </w:rPr>
            </w:pPr>
          </w:p>
        </w:tc>
      </w:tr>
      <w:tr w:rsidR="003D0C85" w:rsidRPr="004566A6" w14:paraId="7F533D8B" w14:textId="77777777" w:rsidTr="003D0C85">
        <w:trPr>
          <w:trHeight w:val="300"/>
        </w:trPr>
        <w:tc>
          <w:tcPr>
            <w:tcW w:w="1397" w:type="dxa"/>
            <w:tcBorders>
              <w:top w:val="single" w:sz="4" w:space="0" w:color="auto"/>
              <w:left w:val="single" w:sz="8" w:space="0" w:color="auto"/>
              <w:bottom w:val="single" w:sz="4" w:space="0" w:color="auto"/>
              <w:right w:val="single" w:sz="4" w:space="0" w:color="auto"/>
            </w:tcBorders>
            <w:shd w:val="clear" w:color="000000" w:fill="CCFFCC"/>
            <w:vAlign w:val="center"/>
            <w:hideMark/>
          </w:tcPr>
          <w:p w14:paraId="2BE917D4" w14:textId="77777777" w:rsidR="004566A6" w:rsidRPr="004566A6" w:rsidRDefault="004566A6" w:rsidP="004566A6">
            <w:pPr>
              <w:spacing w:after="0" w:line="240" w:lineRule="auto"/>
              <w:jc w:val="center"/>
              <w:rPr>
                <w:rFonts w:ascii="Calibri" w:eastAsia="Times New Roman" w:hAnsi="Calibri" w:cs="Calibri"/>
                <w:sz w:val="18"/>
                <w:szCs w:val="18"/>
                <w:lang w:eastAsia="hr-HR"/>
              </w:rPr>
            </w:pPr>
            <w:r w:rsidRPr="004566A6">
              <w:rPr>
                <w:rFonts w:ascii="Calibri" w:eastAsia="Times New Roman" w:hAnsi="Calibri" w:cs="Calibri"/>
                <w:sz w:val="18"/>
                <w:szCs w:val="18"/>
                <w:lang w:eastAsia="hr-HR"/>
              </w:rPr>
              <w:t>Jezik</w:t>
            </w:r>
          </w:p>
        </w:tc>
        <w:tc>
          <w:tcPr>
            <w:tcW w:w="576" w:type="dxa"/>
            <w:tcBorders>
              <w:top w:val="nil"/>
              <w:left w:val="nil"/>
              <w:bottom w:val="single" w:sz="4" w:space="0" w:color="auto"/>
              <w:right w:val="single" w:sz="4" w:space="0" w:color="auto"/>
            </w:tcBorders>
            <w:shd w:val="clear" w:color="000000" w:fill="CCFFCC"/>
            <w:vAlign w:val="center"/>
            <w:hideMark/>
          </w:tcPr>
          <w:p w14:paraId="2843F716" w14:textId="77777777" w:rsidR="004566A6" w:rsidRPr="004566A6" w:rsidRDefault="004566A6" w:rsidP="004566A6">
            <w:pPr>
              <w:spacing w:after="0" w:line="240" w:lineRule="auto"/>
              <w:jc w:val="center"/>
              <w:rPr>
                <w:rFonts w:ascii="Calibri" w:eastAsia="Times New Roman" w:hAnsi="Calibri" w:cs="Calibri"/>
                <w:sz w:val="18"/>
                <w:szCs w:val="18"/>
                <w:lang w:eastAsia="hr-HR"/>
              </w:rPr>
            </w:pPr>
            <w:r w:rsidRPr="004566A6">
              <w:rPr>
                <w:rFonts w:ascii="Calibri" w:eastAsia="Times New Roman" w:hAnsi="Calibri" w:cs="Calibri"/>
                <w:sz w:val="18"/>
                <w:szCs w:val="18"/>
                <w:lang w:eastAsia="hr-HR"/>
              </w:rPr>
              <w:t>0</w:t>
            </w:r>
          </w:p>
        </w:tc>
        <w:tc>
          <w:tcPr>
            <w:tcW w:w="444" w:type="dxa"/>
            <w:tcBorders>
              <w:top w:val="nil"/>
              <w:left w:val="nil"/>
              <w:bottom w:val="single" w:sz="4" w:space="0" w:color="auto"/>
              <w:right w:val="single" w:sz="4" w:space="0" w:color="auto"/>
            </w:tcBorders>
            <w:shd w:val="clear" w:color="000000" w:fill="FFCC99"/>
            <w:noWrap/>
            <w:vAlign w:val="bottom"/>
            <w:hideMark/>
          </w:tcPr>
          <w:p w14:paraId="526ABD04" w14:textId="77777777" w:rsidR="004566A6" w:rsidRPr="004566A6" w:rsidRDefault="004566A6" w:rsidP="004566A6">
            <w:pPr>
              <w:spacing w:after="0" w:line="240" w:lineRule="auto"/>
              <w:jc w:val="center"/>
              <w:rPr>
                <w:rFonts w:ascii="Calibri" w:eastAsia="Times New Roman" w:hAnsi="Calibri" w:cs="Calibri"/>
                <w:sz w:val="18"/>
                <w:szCs w:val="18"/>
                <w:lang w:eastAsia="hr-HR"/>
              </w:rPr>
            </w:pPr>
            <w:r w:rsidRPr="004566A6">
              <w:rPr>
                <w:rFonts w:ascii="Calibri" w:eastAsia="Times New Roman" w:hAnsi="Calibri" w:cs="Calibri"/>
                <w:sz w:val="18"/>
                <w:szCs w:val="18"/>
                <w:lang w:eastAsia="hr-HR"/>
              </w:rPr>
              <w:t>0</w:t>
            </w:r>
          </w:p>
        </w:tc>
        <w:tc>
          <w:tcPr>
            <w:tcW w:w="405" w:type="dxa"/>
            <w:tcBorders>
              <w:top w:val="nil"/>
              <w:left w:val="nil"/>
              <w:bottom w:val="single" w:sz="4" w:space="0" w:color="auto"/>
              <w:right w:val="single" w:sz="4" w:space="0" w:color="auto"/>
            </w:tcBorders>
            <w:shd w:val="clear" w:color="000000" w:fill="CCFFFF"/>
            <w:noWrap/>
            <w:vAlign w:val="bottom"/>
            <w:hideMark/>
          </w:tcPr>
          <w:p w14:paraId="63E21ADE" w14:textId="77777777" w:rsidR="004566A6" w:rsidRPr="004566A6" w:rsidRDefault="004566A6" w:rsidP="004566A6">
            <w:pPr>
              <w:spacing w:after="0" w:line="240" w:lineRule="auto"/>
              <w:jc w:val="right"/>
              <w:rPr>
                <w:rFonts w:ascii="Calibri" w:eastAsia="Times New Roman" w:hAnsi="Calibri" w:cs="Calibri"/>
                <w:sz w:val="18"/>
                <w:szCs w:val="18"/>
                <w:lang w:eastAsia="hr-HR"/>
              </w:rPr>
            </w:pPr>
            <w:r w:rsidRPr="004566A6">
              <w:rPr>
                <w:rFonts w:ascii="Calibri" w:eastAsia="Times New Roman" w:hAnsi="Calibri" w:cs="Calibri"/>
                <w:sz w:val="18"/>
                <w:szCs w:val="18"/>
                <w:lang w:eastAsia="hr-HR"/>
              </w:rPr>
              <w:t>0</w:t>
            </w:r>
          </w:p>
        </w:tc>
        <w:tc>
          <w:tcPr>
            <w:tcW w:w="462" w:type="dxa"/>
            <w:tcBorders>
              <w:top w:val="nil"/>
              <w:left w:val="nil"/>
              <w:bottom w:val="single" w:sz="4" w:space="0" w:color="auto"/>
              <w:right w:val="single" w:sz="4" w:space="0" w:color="auto"/>
            </w:tcBorders>
            <w:shd w:val="clear" w:color="000000" w:fill="CCFFFF"/>
            <w:noWrap/>
            <w:vAlign w:val="bottom"/>
            <w:hideMark/>
          </w:tcPr>
          <w:p w14:paraId="742D9D5F" w14:textId="77777777" w:rsidR="004566A6" w:rsidRPr="004566A6" w:rsidRDefault="004566A6" w:rsidP="004566A6">
            <w:pPr>
              <w:spacing w:after="0" w:line="240" w:lineRule="auto"/>
              <w:jc w:val="right"/>
              <w:rPr>
                <w:rFonts w:ascii="Calibri" w:eastAsia="Times New Roman" w:hAnsi="Calibri" w:cs="Calibri"/>
                <w:sz w:val="18"/>
                <w:szCs w:val="18"/>
                <w:lang w:eastAsia="hr-HR"/>
              </w:rPr>
            </w:pPr>
            <w:r w:rsidRPr="004566A6">
              <w:rPr>
                <w:rFonts w:ascii="Calibri" w:eastAsia="Times New Roman" w:hAnsi="Calibri" w:cs="Calibri"/>
                <w:sz w:val="18"/>
                <w:szCs w:val="18"/>
                <w:lang w:eastAsia="hr-HR"/>
              </w:rPr>
              <w:t>0</w:t>
            </w:r>
          </w:p>
        </w:tc>
        <w:tc>
          <w:tcPr>
            <w:tcW w:w="455" w:type="dxa"/>
            <w:tcBorders>
              <w:top w:val="nil"/>
              <w:left w:val="nil"/>
              <w:bottom w:val="single" w:sz="4" w:space="0" w:color="auto"/>
              <w:right w:val="single" w:sz="4" w:space="0" w:color="auto"/>
            </w:tcBorders>
            <w:shd w:val="clear" w:color="000000" w:fill="FFFF99"/>
            <w:noWrap/>
            <w:vAlign w:val="bottom"/>
            <w:hideMark/>
          </w:tcPr>
          <w:p w14:paraId="14FB46D7" w14:textId="77777777" w:rsidR="004566A6" w:rsidRPr="004566A6" w:rsidRDefault="004566A6" w:rsidP="004566A6">
            <w:pPr>
              <w:spacing w:after="0" w:line="240" w:lineRule="auto"/>
              <w:jc w:val="center"/>
              <w:rPr>
                <w:rFonts w:ascii="Calibri" w:eastAsia="Times New Roman" w:hAnsi="Calibri" w:cs="Calibri"/>
                <w:sz w:val="18"/>
                <w:szCs w:val="18"/>
                <w:lang w:eastAsia="hr-HR"/>
              </w:rPr>
            </w:pPr>
            <w:r w:rsidRPr="004566A6">
              <w:rPr>
                <w:rFonts w:ascii="Calibri" w:eastAsia="Times New Roman" w:hAnsi="Calibri" w:cs="Calibri"/>
                <w:sz w:val="18"/>
                <w:szCs w:val="18"/>
                <w:lang w:eastAsia="hr-HR"/>
              </w:rPr>
              <w:t>0</w:t>
            </w:r>
          </w:p>
        </w:tc>
        <w:tc>
          <w:tcPr>
            <w:tcW w:w="567" w:type="dxa"/>
            <w:tcBorders>
              <w:top w:val="nil"/>
              <w:left w:val="nil"/>
              <w:bottom w:val="single" w:sz="4" w:space="0" w:color="auto"/>
              <w:right w:val="single" w:sz="4" w:space="0" w:color="auto"/>
            </w:tcBorders>
            <w:shd w:val="clear" w:color="000000" w:fill="FFFF99"/>
            <w:noWrap/>
            <w:vAlign w:val="bottom"/>
            <w:hideMark/>
          </w:tcPr>
          <w:p w14:paraId="06D96D5E" w14:textId="77777777" w:rsidR="004566A6" w:rsidRPr="004566A6" w:rsidRDefault="004566A6" w:rsidP="004566A6">
            <w:pPr>
              <w:spacing w:after="0" w:line="240" w:lineRule="auto"/>
              <w:jc w:val="center"/>
              <w:rPr>
                <w:rFonts w:ascii="Calibri" w:eastAsia="Times New Roman" w:hAnsi="Calibri" w:cs="Calibri"/>
                <w:sz w:val="18"/>
                <w:szCs w:val="18"/>
                <w:lang w:eastAsia="hr-HR"/>
              </w:rPr>
            </w:pPr>
            <w:r w:rsidRPr="004566A6">
              <w:rPr>
                <w:rFonts w:ascii="Calibri" w:eastAsia="Times New Roman" w:hAnsi="Calibri" w:cs="Calibri"/>
                <w:sz w:val="18"/>
                <w:szCs w:val="18"/>
                <w:lang w:eastAsia="hr-HR"/>
              </w:rPr>
              <w:t>0</w:t>
            </w:r>
          </w:p>
        </w:tc>
        <w:tc>
          <w:tcPr>
            <w:tcW w:w="708" w:type="dxa"/>
            <w:tcBorders>
              <w:top w:val="nil"/>
              <w:left w:val="nil"/>
              <w:bottom w:val="single" w:sz="4" w:space="0" w:color="auto"/>
              <w:right w:val="single" w:sz="4" w:space="0" w:color="auto"/>
            </w:tcBorders>
            <w:shd w:val="clear" w:color="000000" w:fill="FFFF99"/>
            <w:noWrap/>
            <w:vAlign w:val="bottom"/>
            <w:hideMark/>
          </w:tcPr>
          <w:p w14:paraId="5E4558A8" w14:textId="77777777" w:rsidR="004566A6" w:rsidRPr="004566A6" w:rsidRDefault="004566A6" w:rsidP="004566A6">
            <w:pPr>
              <w:spacing w:after="0" w:line="240" w:lineRule="auto"/>
              <w:jc w:val="center"/>
              <w:rPr>
                <w:rFonts w:ascii="Calibri" w:eastAsia="Times New Roman" w:hAnsi="Calibri" w:cs="Calibri"/>
                <w:sz w:val="18"/>
                <w:szCs w:val="18"/>
                <w:lang w:eastAsia="hr-HR"/>
              </w:rPr>
            </w:pPr>
            <w:r w:rsidRPr="004566A6">
              <w:rPr>
                <w:rFonts w:ascii="Calibri" w:eastAsia="Times New Roman" w:hAnsi="Calibri" w:cs="Calibri"/>
                <w:sz w:val="18"/>
                <w:szCs w:val="18"/>
                <w:lang w:eastAsia="hr-HR"/>
              </w:rPr>
              <w:t>0</w:t>
            </w:r>
          </w:p>
        </w:tc>
        <w:tc>
          <w:tcPr>
            <w:tcW w:w="448" w:type="dxa"/>
            <w:tcBorders>
              <w:top w:val="nil"/>
              <w:left w:val="nil"/>
              <w:bottom w:val="single" w:sz="4" w:space="0" w:color="auto"/>
              <w:right w:val="single" w:sz="4" w:space="0" w:color="auto"/>
            </w:tcBorders>
            <w:shd w:val="clear" w:color="000000" w:fill="FFFF99"/>
            <w:noWrap/>
            <w:vAlign w:val="bottom"/>
            <w:hideMark/>
          </w:tcPr>
          <w:p w14:paraId="25671700" w14:textId="77777777" w:rsidR="004566A6" w:rsidRPr="004566A6" w:rsidRDefault="004566A6" w:rsidP="004566A6">
            <w:pPr>
              <w:spacing w:after="0" w:line="240" w:lineRule="auto"/>
              <w:jc w:val="center"/>
              <w:rPr>
                <w:rFonts w:ascii="Calibri" w:eastAsia="Times New Roman" w:hAnsi="Calibri" w:cs="Calibri"/>
                <w:sz w:val="18"/>
                <w:szCs w:val="18"/>
                <w:lang w:eastAsia="hr-HR"/>
              </w:rPr>
            </w:pPr>
            <w:r w:rsidRPr="004566A6">
              <w:rPr>
                <w:rFonts w:ascii="Calibri" w:eastAsia="Times New Roman" w:hAnsi="Calibri" w:cs="Calibri"/>
                <w:sz w:val="18"/>
                <w:szCs w:val="18"/>
                <w:lang w:eastAsia="hr-HR"/>
              </w:rPr>
              <w:t>0</w:t>
            </w:r>
          </w:p>
        </w:tc>
        <w:tc>
          <w:tcPr>
            <w:tcW w:w="680" w:type="dxa"/>
            <w:tcBorders>
              <w:top w:val="nil"/>
              <w:left w:val="nil"/>
              <w:bottom w:val="single" w:sz="4" w:space="0" w:color="auto"/>
              <w:right w:val="single" w:sz="4" w:space="0" w:color="auto"/>
            </w:tcBorders>
            <w:shd w:val="clear" w:color="000000" w:fill="FFFF99"/>
            <w:noWrap/>
            <w:vAlign w:val="bottom"/>
            <w:hideMark/>
          </w:tcPr>
          <w:p w14:paraId="7EEA190A" w14:textId="77777777" w:rsidR="004566A6" w:rsidRPr="004566A6" w:rsidRDefault="004566A6" w:rsidP="004566A6">
            <w:pPr>
              <w:spacing w:after="0" w:line="240" w:lineRule="auto"/>
              <w:jc w:val="center"/>
              <w:rPr>
                <w:rFonts w:ascii="Calibri" w:eastAsia="Times New Roman" w:hAnsi="Calibri" w:cs="Calibri"/>
                <w:sz w:val="18"/>
                <w:szCs w:val="18"/>
                <w:lang w:eastAsia="hr-HR"/>
              </w:rPr>
            </w:pPr>
            <w:r w:rsidRPr="004566A6">
              <w:rPr>
                <w:rFonts w:ascii="Calibri" w:eastAsia="Times New Roman" w:hAnsi="Calibri" w:cs="Calibri"/>
                <w:sz w:val="18"/>
                <w:szCs w:val="18"/>
                <w:lang w:eastAsia="hr-HR"/>
              </w:rPr>
              <w:t>0</w:t>
            </w:r>
          </w:p>
        </w:tc>
        <w:tc>
          <w:tcPr>
            <w:tcW w:w="573" w:type="dxa"/>
            <w:gridSpan w:val="2"/>
            <w:tcBorders>
              <w:top w:val="nil"/>
              <w:left w:val="nil"/>
              <w:bottom w:val="single" w:sz="4" w:space="0" w:color="auto"/>
              <w:right w:val="single" w:sz="4" w:space="0" w:color="auto"/>
            </w:tcBorders>
            <w:shd w:val="clear" w:color="000000" w:fill="FF9900"/>
            <w:noWrap/>
            <w:vAlign w:val="bottom"/>
            <w:hideMark/>
          </w:tcPr>
          <w:p w14:paraId="75CF7DC1" w14:textId="77777777" w:rsidR="004566A6" w:rsidRPr="004566A6" w:rsidRDefault="004566A6" w:rsidP="004566A6">
            <w:pPr>
              <w:spacing w:after="0" w:line="240" w:lineRule="auto"/>
              <w:jc w:val="right"/>
              <w:rPr>
                <w:rFonts w:ascii="Calibri" w:eastAsia="Times New Roman" w:hAnsi="Calibri" w:cs="Calibri"/>
                <w:sz w:val="18"/>
                <w:szCs w:val="18"/>
                <w:lang w:eastAsia="hr-HR"/>
              </w:rPr>
            </w:pPr>
            <w:r w:rsidRPr="004566A6">
              <w:rPr>
                <w:rFonts w:ascii="Calibri" w:eastAsia="Times New Roman" w:hAnsi="Calibri" w:cs="Calibri"/>
                <w:sz w:val="18"/>
                <w:szCs w:val="18"/>
                <w:lang w:eastAsia="hr-HR"/>
              </w:rPr>
              <w:t>0</w:t>
            </w:r>
          </w:p>
        </w:tc>
        <w:tc>
          <w:tcPr>
            <w:tcW w:w="567" w:type="dxa"/>
            <w:tcBorders>
              <w:top w:val="nil"/>
              <w:left w:val="nil"/>
              <w:bottom w:val="single" w:sz="4" w:space="0" w:color="auto"/>
              <w:right w:val="single" w:sz="4" w:space="0" w:color="auto"/>
            </w:tcBorders>
            <w:shd w:val="clear" w:color="000000" w:fill="FF9900"/>
            <w:noWrap/>
            <w:vAlign w:val="bottom"/>
            <w:hideMark/>
          </w:tcPr>
          <w:p w14:paraId="34184F53" w14:textId="77777777" w:rsidR="004566A6" w:rsidRPr="004566A6" w:rsidRDefault="004566A6" w:rsidP="004566A6">
            <w:pPr>
              <w:spacing w:after="0" w:line="240" w:lineRule="auto"/>
              <w:jc w:val="right"/>
              <w:rPr>
                <w:rFonts w:ascii="Calibri" w:eastAsia="Times New Roman" w:hAnsi="Calibri" w:cs="Calibri"/>
                <w:sz w:val="18"/>
                <w:szCs w:val="18"/>
                <w:lang w:eastAsia="hr-HR"/>
              </w:rPr>
            </w:pPr>
            <w:r w:rsidRPr="004566A6">
              <w:rPr>
                <w:rFonts w:ascii="Calibri" w:eastAsia="Times New Roman" w:hAnsi="Calibri" w:cs="Calibri"/>
                <w:sz w:val="18"/>
                <w:szCs w:val="18"/>
                <w:lang w:eastAsia="hr-HR"/>
              </w:rPr>
              <w:t>0</w:t>
            </w:r>
          </w:p>
        </w:tc>
        <w:tc>
          <w:tcPr>
            <w:tcW w:w="448" w:type="dxa"/>
            <w:tcBorders>
              <w:top w:val="nil"/>
              <w:left w:val="nil"/>
              <w:bottom w:val="single" w:sz="4" w:space="0" w:color="auto"/>
              <w:right w:val="single" w:sz="4" w:space="0" w:color="auto"/>
            </w:tcBorders>
            <w:shd w:val="clear" w:color="000000" w:fill="FF9900"/>
            <w:noWrap/>
            <w:vAlign w:val="bottom"/>
            <w:hideMark/>
          </w:tcPr>
          <w:p w14:paraId="23A7E085" w14:textId="77777777" w:rsidR="004566A6" w:rsidRPr="004566A6" w:rsidRDefault="004566A6" w:rsidP="004566A6">
            <w:pPr>
              <w:spacing w:after="0" w:line="240" w:lineRule="auto"/>
              <w:jc w:val="right"/>
              <w:rPr>
                <w:rFonts w:ascii="Calibri" w:eastAsia="Times New Roman" w:hAnsi="Calibri" w:cs="Calibri"/>
                <w:sz w:val="18"/>
                <w:szCs w:val="18"/>
                <w:lang w:eastAsia="hr-HR"/>
              </w:rPr>
            </w:pPr>
            <w:r w:rsidRPr="004566A6">
              <w:rPr>
                <w:rFonts w:ascii="Calibri" w:eastAsia="Times New Roman" w:hAnsi="Calibri" w:cs="Calibri"/>
                <w:sz w:val="18"/>
                <w:szCs w:val="18"/>
                <w:lang w:eastAsia="hr-HR"/>
              </w:rPr>
              <w:t>0</w:t>
            </w:r>
          </w:p>
        </w:tc>
        <w:tc>
          <w:tcPr>
            <w:tcW w:w="448" w:type="dxa"/>
            <w:gridSpan w:val="2"/>
            <w:tcBorders>
              <w:top w:val="nil"/>
              <w:left w:val="nil"/>
              <w:bottom w:val="single" w:sz="4" w:space="0" w:color="auto"/>
              <w:right w:val="single" w:sz="4" w:space="0" w:color="auto"/>
            </w:tcBorders>
            <w:shd w:val="clear" w:color="000000" w:fill="66FFCC"/>
            <w:noWrap/>
            <w:vAlign w:val="bottom"/>
            <w:hideMark/>
          </w:tcPr>
          <w:p w14:paraId="7A5D1F16" w14:textId="77777777" w:rsidR="004566A6" w:rsidRPr="004566A6" w:rsidRDefault="004566A6" w:rsidP="004566A6">
            <w:pPr>
              <w:spacing w:after="0" w:line="240" w:lineRule="auto"/>
              <w:jc w:val="right"/>
              <w:rPr>
                <w:rFonts w:ascii="Calibri" w:eastAsia="Times New Roman" w:hAnsi="Calibri" w:cs="Calibri"/>
                <w:sz w:val="18"/>
                <w:szCs w:val="18"/>
                <w:lang w:eastAsia="hr-HR"/>
              </w:rPr>
            </w:pPr>
            <w:r w:rsidRPr="004566A6">
              <w:rPr>
                <w:rFonts w:ascii="Calibri" w:eastAsia="Times New Roman" w:hAnsi="Calibri" w:cs="Calibri"/>
                <w:sz w:val="18"/>
                <w:szCs w:val="18"/>
                <w:lang w:eastAsia="hr-HR"/>
              </w:rPr>
              <w:t>0</w:t>
            </w:r>
          </w:p>
        </w:tc>
        <w:tc>
          <w:tcPr>
            <w:tcW w:w="448" w:type="dxa"/>
            <w:tcBorders>
              <w:top w:val="nil"/>
              <w:left w:val="nil"/>
              <w:bottom w:val="single" w:sz="4" w:space="0" w:color="auto"/>
              <w:right w:val="single" w:sz="4" w:space="0" w:color="auto"/>
            </w:tcBorders>
            <w:shd w:val="clear" w:color="000000" w:fill="66FFCC"/>
            <w:noWrap/>
            <w:vAlign w:val="bottom"/>
            <w:hideMark/>
          </w:tcPr>
          <w:p w14:paraId="617E87DA" w14:textId="77777777" w:rsidR="004566A6" w:rsidRPr="004566A6" w:rsidRDefault="004566A6" w:rsidP="004566A6">
            <w:pPr>
              <w:spacing w:after="0" w:line="240" w:lineRule="auto"/>
              <w:jc w:val="right"/>
              <w:rPr>
                <w:rFonts w:ascii="Calibri" w:eastAsia="Times New Roman" w:hAnsi="Calibri" w:cs="Calibri"/>
                <w:sz w:val="18"/>
                <w:szCs w:val="18"/>
                <w:lang w:eastAsia="hr-HR"/>
              </w:rPr>
            </w:pPr>
            <w:r w:rsidRPr="004566A6">
              <w:rPr>
                <w:rFonts w:ascii="Calibri" w:eastAsia="Times New Roman" w:hAnsi="Calibri" w:cs="Calibri"/>
                <w:sz w:val="18"/>
                <w:szCs w:val="18"/>
                <w:lang w:eastAsia="hr-HR"/>
              </w:rPr>
              <w:t>0</w:t>
            </w:r>
          </w:p>
        </w:tc>
        <w:tc>
          <w:tcPr>
            <w:tcW w:w="448" w:type="dxa"/>
            <w:tcBorders>
              <w:top w:val="nil"/>
              <w:left w:val="nil"/>
              <w:bottom w:val="single" w:sz="4" w:space="0" w:color="auto"/>
              <w:right w:val="single" w:sz="4" w:space="0" w:color="auto"/>
            </w:tcBorders>
            <w:shd w:val="clear" w:color="000000" w:fill="66FFCC"/>
            <w:noWrap/>
            <w:vAlign w:val="bottom"/>
            <w:hideMark/>
          </w:tcPr>
          <w:p w14:paraId="4E2E8F96" w14:textId="77777777" w:rsidR="004566A6" w:rsidRPr="004566A6" w:rsidRDefault="004566A6" w:rsidP="004566A6">
            <w:pPr>
              <w:spacing w:after="0" w:line="240" w:lineRule="auto"/>
              <w:jc w:val="right"/>
              <w:rPr>
                <w:rFonts w:ascii="Calibri" w:eastAsia="Times New Roman" w:hAnsi="Calibri" w:cs="Calibri"/>
                <w:sz w:val="18"/>
                <w:szCs w:val="18"/>
                <w:lang w:eastAsia="hr-HR"/>
              </w:rPr>
            </w:pPr>
            <w:r w:rsidRPr="004566A6">
              <w:rPr>
                <w:rFonts w:ascii="Calibri" w:eastAsia="Times New Roman" w:hAnsi="Calibri" w:cs="Calibri"/>
                <w:sz w:val="18"/>
                <w:szCs w:val="18"/>
                <w:lang w:eastAsia="hr-HR"/>
              </w:rPr>
              <w:t>0</w:t>
            </w:r>
          </w:p>
        </w:tc>
        <w:tc>
          <w:tcPr>
            <w:tcW w:w="476" w:type="dxa"/>
            <w:tcBorders>
              <w:top w:val="nil"/>
              <w:left w:val="nil"/>
              <w:bottom w:val="single" w:sz="4" w:space="0" w:color="auto"/>
              <w:right w:val="single" w:sz="4" w:space="0" w:color="auto"/>
            </w:tcBorders>
            <w:shd w:val="clear" w:color="000000" w:fill="66FFCC"/>
            <w:noWrap/>
            <w:vAlign w:val="bottom"/>
            <w:hideMark/>
          </w:tcPr>
          <w:p w14:paraId="6B473BB7" w14:textId="77777777" w:rsidR="004566A6" w:rsidRPr="004566A6" w:rsidRDefault="004566A6" w:rsidP="004566A6">
            <w:pPr>
              <w:spacing w:after="0" w:line="240" w:lineRule="auto"/>
              <w:jc w:val="right"/>
              <w:rPr>
                <w:rFonts w:ascii="Calibri" w:eastAsia="Times New Roman" w:hAnsi="Calibri" w:cs="Calibri"/>
                <w:sz w:val="18"/>
                <w:szCs w:val="18"/>
                <w:lang w:eastAsia="hr-HR"/>
              </w:rPr>
            </w:pPr>
            <w:r w:rsidRPr="004566A6">
              <w:rPr>
                <w:rFonts w:ascii="Calibri" w:eastAsia="Times New Roman" w:hAnsi="Calibri" w:cs="Calibri"/>
                <w:sz w:val="18"/>
                <w:szCs w:val="18"/>
                <w:lang w:eastAsia="hr-HR"/>
              </w:rPr>
              <w:t>0</w:t>
            </w:r>
          </w:p>
        </w:tc>
        <w:tc>
          <w:tcPr>
            <w:tcW w:w="557" w:type="dxa"/>
            <w:gridSpan w:val="2"/>
            <w:tcBorders>
              <w:top w:val="nil"/>
              <w:left w:val="nil"/>
              <w:bottom w:val="single" w:sz="4" w:space="0" w:color="auto"/>
              <w:right w:val="single" w:sz="4" w:space="0" w:color="auto"/>
            </w:tcBorders>
            <w:shd w:val="clear" w:color="000000" w:fill="FFFF00"/>
            <w:vAlign w:val="center"/>
            <w:hideMark/>
          </w:tcPr>
          <w:p w14:paraId="26CACD99" w14:textId="77777777" w:rsidR="004566A6" w:rsidRPr="004566A6" w:rsidRDefault="004566A6" w:rsidP="004566A6">
            <w:pPr>
              <w:spacing w:after="0" w:line="240" w:lineRule="auto"/>
              <w:jc w:val="center"/>
              <w:rPr>
                <w:rFonts w:ascii="Calibri" w:eastAsia="Times New Roman" w:hAnsi="Calibri" w:cs="Calibri"/>
                <w:sz w:val="18"/>
                <w:szCs w:val="18"/>
                <w:lang w:eastAsia="hr-HR"/>
              </w:rPr>
            </w:pPr>
            <w:r w:rsidRPr="004566A6">
              <w:rPr>
                <w:rFonts w:ascii="Calibri" w:eastAsia="Times New Roman" w:hAnsi="Calibri" w:cs="Calibri"/>
                <w:sz w:val="18"/>
                <w:szCs w:val="18"/>
                <w:lang w:eastAsia="hr-HR"/>
              </w:rPr>
              <w:t>0</w:t>
            </w:r>
          </w:p>
        </w:tc>
        <w:tc>
          <w:tcPr>
            <w:tcW w:w="515" w:type="dxa"/>
            <w:gridSpan w:val="2"/>
            <w:tcBorders>
              <w:top w:val="nil"/>
              <w:left w:val="nil"/>
              <w:bottom w:val="single" w:sz="4" w:space="0" w:color="auto"/>
              <w:right w:val="single" w:sz="4" w:space="0" w:color="auto"/>
            </w:tcBorders>
            <w:shd w:val="clear" w:color="000000" w:fill="FFFF99"/>
            <w:vAlign w:val="center"/>
            <w:hideMark/>
          </w:tcPr>
          <w:p w14:paraId="4D3E32A2" w14:textId="77777777" w:rsidR="004566A6" w:rsidRPr="004566A6" w:rsidRDefault="004566A6" w:rsidP="004566A6">
            <w:pPr>
              <w:spacing w:after="0" w:line="240" w:lineRule="auto"/>
              <w:jc w:val="center"/>
              <w:rPr>
                <w:rFonts w:ascii="Calibri" w:eastAsia="Times New Roman" w:hAnsi="Calibri" w:cs="Calibri"/>
                <w:sz w:val="18"/>
                <w:szCs w:val="18"/>
                <w:lang w:eastAsia="hr-HR"/>
              </w:rPr>
            </w:pPr>
            <w:r w:rsidRPr="004566A6">
              <w:rPr>
                <w:rFonts w:ascii="Calibri" w:eastAsia="Times New Roman" w:hAnsi="Calibri" w:cs="Calibri"/>
                <w:sz w:val="18"/>
                <w:szCs w:val="18"/>
                <w:lang w:eastAsia="hr-HR"/>
              </w:rPr>
              <w:t>0</w:t>
            </w:r>
          </w:p>
        </w:tc>
        <w:tc>
          <w:tcPr>
            <w:tcW w:w="855" w:type="dxa"/>
            <w:gridSpan w:val="2"/>
            <w:tcBorders>
              <w:top w:val="nil"/>
              <w:left w:val="nil"/>
              <w:bottom w:val="single" w:sz="4" w:space="0" w:color="auto"/>
              <w:right w:val="single" w:sz="4" w:space="0" w:color="auto"/>
            </w:tcBorders>
            <w:shd w:val="clear" w:color="000000" w:fill="FF9900"/>
            <w:vAlign w:val="center"/>
            <w:hideMark/>
          </w:tcPr>
          <w:p w14:paraId="662958B3" w14:textId="77777777" w:rsidR="004566A6" w:rsidRPr="004566A6" w:rsidRDefault="004566A6" w:rsidP="004566A6">
            <w:pPr>
              <w:spacing w:after="0" w:line="240" w:lineRule="auto"/>
              <w:jc w:val="center"/>
              <w:rPr>
                <w:rFonts w:ascii="Calibri" w:eastAsia="Times New Roman" w:hAnsi="Calibri" w:cs="Calibri"/>
                <w:sz w:val="18"/>
                <w:szCs w:val="18"/>
                <w:lang w:eastAsia="hr-HR"/>
              </w:rPr>
            </w:pPr>
            <w:r w:rsidRPr="004566A6">
              <w:rPr>
                <w:rFonts w:ascii="Calibri" w:eastAsia="Times New Roman" w:hAnsi="Calibri" w:cs="Calibri"/>
                <w:sz w:val="18"/>
                <w:szCs w:val="18"/>
                <w:lang w:eastAsia="hr-HR"/>
              </w:rPr>
              <w:t> </w:t>
            </w:r>
          </w:p>
        </w:tc>
        <w:tc>
          <w:tcPr>
            <w:tcW w:w="445" w:type="dxa"/>
            <w:gridSpan w:val="2"/>
            <w:tcBorders>
              <w:top w:val="nil"/>
              <w:left w:val="nil"/>
              <w:bottom w:val="single" w:sz="4" w:space="0" w:color="auto"/>
              <w:right w:val="single" w:sz="4" w:space="0" w:color="auto"/>
            </w:tcBorders>
            <w:shd w:val="clear" w:color="000000" w:fill="CCFFFF"/>
            <w:vAlign w:val="bottom"/>
            <w:hideMark/>
          </w:tcPr>
          <w:p w14:paraId="5B3CC1CA" w14:textId="77777777" w:rsidR="004566A6" w:rsidRPr="004566A6" w:rsidRDefault="004566A6" w:rsidP="004566A6">
            <w:pPr>
              <w:spacing w:after="0" w:line="240" w:lineRule="auto"/>
              <w:jc w:val="right"/>
              <w:rPr>
                <w:rFonts w:ascii="Calibri" w:eastAsia="Times New Roman" w:hAnsi="Calibri" w:cs="Calibri"/>
                <w:sz w:val="18"/>
                <w:szCs w:val="18"/>
                <w:lang w:eastAsia="hr-HR"/>
              </w:rPr>
            </w:pPr>
            <w:r w:rsidRPr="004566A6">
              <w:rPr>
                <w:rFonts w:ascii="Calibri" w:eastAsia="Times New Roman" w:hAnsi="Calibri" w:cs="Calibri"/>
                <w:sz w:val="18"/>
                <w:szCs w:val="18"/>
                <w:lang w:eastAsia="hr-HR"/>
              </w:rPr>
              <w:t>0</w:t>
            </w:r>
          </w:p>
        </w:tc>
        <w:tc>
          <w:tcPr>
            <w:tcW w:w="445" w:type="dxa"/>
            <w:tcBorders>
              <w:top w:val="nil"/>
              <w:left w:val="nil"/>
              <w:bottom w:val="single" w:sz="4" w:space="0" w:color="auto"/>
              <w:right w:val="single" w:sz="4" w:space="0" w:color="auto"/>
            </w:tcBorders>
            <w:shd w:val="clear" w:color="000000" w:fill="CCFFFF"/>
            <w:vAlign w:val="bottom"/>
            <w:hideMark/>
          </w:tcPr>
          <w:p w14:paraId="44E33867" w14:textId="77777777" w:rsidR="004566A6" w:rsidRPr="004566A6" w:rsidRDefault="004566A6" w:rsidP="004566A6">
            <w:pPr>
              <w:spacing w:after="0" w:line="240" w:lineRule="auto"/>
              <w:jc w:val="right"/>
              <w:rPr>
                <w:rFonts w:ascii="Calibri" w:eastAsia="Times New Roman" w:hAnsi="Calibri" w:cs="Calibri"/>
                <w:sz w:val="18"/>
                <w:szCs w:val="18"/>
                <w:lang w:eastAsia="hr-HR"/>
              </w:rPr>
            </w:pPr>
            <w:r w:rsidRPr="004566A6">
              <w:rPr>
                <w:rFonts w:ascii="Calibri" w:eastAsia="Times New Roman" w:hAnsi="Calibri" w:cs="Calibri"/>
                <w:sz w:val="18"/>
                <w:szCs w:val="18"/>
                <w:lang w:eastAsia="hr-HR"/>
              </w:rPr>
              <w:t>0</w:t>
            </w:r>
          </w:p>
        </w:tc>
        <w:tc>
          <w:tcPr>
            <w:tcW w:w="505" w:type="dxa"/>
            <w:tcBorders>
              <w:top w:val="nil"/>
              <w:left w:val="nil"/>
              <w:bottom w:val="single" w:sz="4" w:space="0" w:color="auto"/>
              <w:right w:val="single" w:sz="4" w:space="0" w:color="auto"/>
            </w:tcBorders>
            <w:shd w:val="clear" w:color="000000" w:fill="CCFFFF"/>
            <w:vAlign w:val="bottom"/>
            <w:hideMark/>
          </w:tcPr>
          <w:p w14:paraId="5BF78EF9" w14:textId="77777777" w:rsidR="004566A6" w:rsidRPr="004566A6" w:rsidRDefault="004566A6" w:rsidP="004566A6">
            <w:pPr>
              <w:spacing w:after="0" w:line="240" w:lineRule="auto"/>
              <w:jc w:val="right"/>
              <w:rPr>
                <w:rFonts w:ascii="Calibri" w:eastAsia="Times New Roman" w:hAnsi="Calibri" w:cs="Calibri"/>
                <w:sz w:val="18"/>
                <w:szCs w:val="18"/>
                <w:lang w:eastAsia="hr-HR"/>
              </w:rPr>
            </w:pPr>
            <w:r w:rsidRPr="004566A6">
              <w:rPr>
                <w:rFonts w:ascii="Calibri" w:eastAsia="Times New Roman" w:hAnsi="Calibri" w:cs="Calibri"/>
                <w:sz w:val="18"/>
                <w:szCs w:val="18"/>
                <w:lang w:eastAsia="hr-HR"/>
              </w:rPr>
              <w:t>0</w:t>
            </w:r>
          </w:p>
        </w:tc>
        <w:tc>
          <w:tcPr>
            <w:tcW w:w="797" w:type="dxa"/>
            <w:gridSpan w:val="2"/>
            <w:tcBorders>
              <w:top w:val="nil"/>
              <w:left w:val="nil"/>
              <w:bottom w:val="single" w:sz="4" w:space="0" w:color="auto"/>
              <w:right w:val="nil"/>
            </w:tcBorders>
            <w:shd w:val="clear" w:color="000000" w:fill="33CCCC"/>
            <w:noWrap/>
            <w:vAlign w:val="bottom"/>
            <w:hideMark/>
          </w:tcPr>
          <w:p w14:paraId="4334D234" w14:textId="77777777" w:rsidR="004566A6" w:rsidRPr="004566A6" w:rsidRDefault="004566A6" w:rsidP="004566A6">
            <w:pPr>
              <w:spacing w:after="0" w:line="240" w:lineRule="auto"/>
              <w:jc w:val="right"/>
              <w:rPr>
                <w:rFonts w:ascii="Calibri" w:eastAsia="Times New Roman" w:hAnsi="Calibri" w:cs="Calibri"/>
                <w:sz w:val="18"/>
                <w:szCs w:val="18"/>
                <w:lang w:eastAsia="hr-HR"/>
              </w:rPr>
            </w:pPr>
            <w:r w:rsidRPr="004566A6">
              <w:rPr>
                <w:rFonts w:ascii="Calibri" w:eastAsia="Times New Roman" w:hAnsi="Calibri" w:cs="Calibri"/>
                <w:sz w:val="18"/>
                <w:szCs w:val="18"/>
                <w:lang w:eastAsia="hr-HR"/>
              </w:rPr>
              <w:t>0</w:t>
            </w:r>
          </w:p>
        </w:tc>
        <w:tc>
          <w:tcPr>
            <w:tcW w:w="425" w:type="dxa"/>
            <w:gridSpan w:val="3"/>
            <w:tcBorders>
              <w:top w:val="nil"/>
              <w:left w:val="single" w:sz="4" w:space="0" w:color="auto"/>
              <w:bottom w:val="single" w:sz="4" w:space="0" w:color="auto"/>
              <w:right w:val="nil"/>
            </w:tcBorders>
            <w:shd w:val="clear" w:color="000000" w:fill="33CCCC"/>
            <w:noWrap/>
            <w:vAlign w:val="bottom"/>
            <w:hideMark/>
          </w:tcPr>
          <w:p w14:paraId="5C70F65F" w14:textId="77777777" w:rsidR="004566A6" w:rsidRPr="004566A6" w:rsidRDefault="004566A6" w:rsidP="004566A6">
            <w:pPr>
              <w:spacing w:after="0" w:line="240" w:lineRule="auto"/>
              <w:jc w:val="right"/>
              <w:rPr>
                <w:rFonts w:ascii="Calibri" w:eastAsia="Times New Roman" w:hAnsi="Calibri" w:cs="Calibri"/>
                <w:sz w:val="18"/>
                <w:szCs w:val="18"/>
                <w:lang w:eastAsia="hr-HR"/>
              </w:rPr>
            </w:pPr>
            <w:r w:rsidRPr="004566A6">
              <w:rPr>
                <w:rFonts w:ascii="Calibri" w:eastAsia="Times New Roman" w:hAnsi="Calibri" w:cs="Calibri"/>
                <w:sz w:val="18"/>
                <w:szCs w:val="18"/>
                <w:lang w:eastAsia="hr-HR"/>
              </w:rPr>
              <w:t>0</w:t>
            </w:r>
          </w:p>
        </w:tc>
        <w:tc>
          <w:tcPr>
            <w:tcW w:w="236" w:type="dxa"/>
            <w:gridSpan w:val="2"/>
            <w:vAlign w:val="center"/>
            <w:hideMark/>
          </w:tcPr>
          <w:p w14:paraId="74A88069" w14:textId="77777777" w:rsidR="004566A6" w:rsidRPr="004566A6" w:rsidRDefault="004566A6" w:rsidP="004566A6">
            <w:pPr>
              <w:spacing w:after="0" w:line="240" w:lineRule="auto"/>
              <w:rPr>
                <w:rFonts w:ascii="Times New Roman" w:eastAsia="Times New Roman" w:hAnsi="Times New Roman" w:cs="Times New Roman"/>
                <w:sz w:val="18"/>
                <w:szCs w:val="18"/>
                <w:lang w:eastAsia="hr-HR"/>
              </w:rPr>
            </w:pPr>
          </w:p>
        </w:tc>
      </w:tr>
      <w:tr w:rsidR="003D0C85" w:rsidRPr="004566A6" w14:paraId="3FA176BF" w14:textId="77777777" w:rsidTr="003D0C85">
        <w:trPr>
          <w:trHeight w:val="300"/>
        </w:trPr>
        <w:tc>
          <w:tcPr>
            <w:tcW w:w="1397" w:type="dxa"/>
            <w:tcBorders>
              <w:top w:val="single" w:sz="4" w:space="0" w:color="auto"/>
              <w:left w:val="single" w:sz="8" w:space="0" w:color="auto"/>
              <w:bottom w:val="single" w:sz="4" w:space="0" w:color="auto"/>
              <w:right w:val="single" w:sz="4" w:space="0" w:color="auto"/>
            </w:tcBorders>
            <w:shd w:val="clear" w:color="000000" w:fill="CCFFCC"/>
            <w:vAlign w:val="center"/>
            <w:hideMark/>
          </w:tcPr>
          <w:p w14:paraId="376CF203" w14:textId="77777777" w:rsidR="004566A6" w:rsidRPr="004566A6" w:rsidRDefault="004566A6" w:rsidP="004566A6">
            <w:pPr>
              <w:spacing w:after="0" w:line="240" w:lineRule="auto"/>
              <w:jc w:val="center"/>
              <w:rPr>
                <w:rFonts w:ascii="Calibri" w:eastAsia="Times New Roman" w:hAnsi="Calibri" w:cs="Calibri"/>
                <w:sz w:val="18"/>
                <w:szCs w:val="18"/>
                <w:lang w:eastAsia="hr-HR"/>
              </w:rPr>
            </w:pPr>
            <w:r w:rsidRPr="004566A6">
              <w:rPr>
                <w:rFonts w:ascii="Calibri" w:eastAsia="Times New Roman" w:hAnsi="Calibri" w:cs="Calibri"/>
                <w:sz w:val="18"/>
                <w:szCs w:val="18"/>
                <w:lang w:eastAsia="hr-HR"/>
              </w:rPr>
              <w:t>Vjera</w:t>
            </w:r>
          </w:p>
        </w:tc>
        <w:tc>
          <w:tcPr>
            <w:tcW w:w="576" w:type="dxa"/>
            <w:tcBorders>
              <w:top w:val="nil"/>
              <w:left w:val="nil"/>
              <w:bottom w:val="single" w:sz="4" w:space="0" w:color="auto"/>
              <w:right w:val="single" w:sz="4" w:space="0" w:color="auto"/>
            </w:tcBorders>
            <w:shd w:val="clear" w:color="000000" w:fill="CCFFCC"/>
            <w:vAlign w:val="center"/>
            <w:hideMark/>
          </w:tcPr>
          <w:p w14:paraId="698D21F2" w14:textId="77777777" w:rsidR="004566A6" w:rsidRPr="004566A6" w:rsidRDefault="004566A6" w:rsidP="004566A6">
            <w:pPr>
              <w:spacing w:after="0" w:line="240" w:lineRule="auto"/>
              <w:jc w:val="center"/>
              <w:rPr>
                <w:rFonts w:ascii="Calibri" w:eastAsia="Times New Roman" w:hAnsi="Calibri" w:cs="Calibri"/>
                <w:sz w:val="18"/>
                <w:szCs w:val="18"/>
                <w:lang w:eastAsia="hr-HR"/>
              </w:rPr>
            </w:pPr>
            <w:r w:rsidRPr="004566A6">
              <w:rPr>
                <w:rFonts w:ascii="Calibri" w:eastAsia="Times New Roman" w:hAnsi="Calibri" w:cs="Calibri"/>
                <w:sz w:val="18"/>
                <w:szCs w:val="18"/>
                <w:lang w:eastAsia="hr-HR"/>
              </w:rPr>
              <w:t>2</w:t>
            </w:r>
          </w:p>
        </w:tc>
        <w:tc>
          <w:tcPr>
            <w:tcW w:w="444" w:type="dxa"/>
            <w:tcBorders>
              <w:top w:val="nil"/>
              <w:left w:val="nil"/>
              <w:bottom w:val="single" w:sz="4" w:space="0" w:color="auto"/>
              <w:right w:val="single" w:sz="4" w:space="0" w:color="auto"/>
            </w:tcBorders>
            <w:shd w:val="clear" w:color="000000" w:fill="FFCC99"/>
            <w:noWrap/>
            <w:vAlign w:val="bottom"/>
            <w:hideMark/>
          </w:tcPr>
          <w:p w14:paraId="665C3E58" w14:textId="77777777" w:rsidR="004566A6" w:rsidRPr="004566A6" w:rsidRDefault="004566A6" w:rsidP="004566A6">
            <w:pPr>
              <w:spacing w:after="0" w:line="240" w:lineRule="auto"/>
              <w:jc w:val="center"/>
              <w:rPr>
                <w:rFonts w:ascii="Calibri" w:eastAsia="Times New Roman" w:hAnsi="Calibri" w:cs="Calibri"/>
                <w:sz w:val="18"/>
                <w:szCs w:val="18"/>
                <w:lang w:eastAsia="hr-HR"/>
              </w:rPr>
            </w:pPr>
            <w:r w:rsidRPr="004566A6">
              <w:rPr>
                <w:rFonts w:ascii="Calibri" w:eastAsia="Times New Roman" w:hAnsi="Calibri" w:cs="Calibri"/>
                <w:sz w:val="18"/>
                <w:szCs w:val="18"/>
                <w:lang w:eastAsia="hr-HR"/>
              </w:rPr>
              <w:t>2</w:t>
            </w:r>
          </w:p>
        </w:tc>
        <w:tc>
          <w:tcPr>
            <w:tcW w:w="405" w:type="dxa"/>
            <w:tcBorders>
              <w:top w:val="nil"/>
              <w:left w:val="nil"/>
              <w:bottom w:val="single" w:sz="4" w:space="0" w:color="auto"/>
              <w:right w:val="single" w:sz="4" w:space="0" w:color="auto"/>
            </w:tcBorders>
            <w:shd w:val="clear" w:color="000000" w:fill="CCFFFF"/>
            <w:noWrap/>
            <w:vAlign w:val="bottom"/>
            <w:hideMark/>
          </w:tcPr>
          <w:p w14:paraId="7BD0925A" w14:textId="77777777" w:rsidR="004566A6" w:rsidRPr="004566A6" w:rsidRDefault="004566A6" w:rsidP="004566A6">
            <w:pPr>
              <w:spacing w:after="0" w:line="240" w:lineRule="auto"/>
              <w:jc w:val="right"/>
              <w:rPr>
                <w:rFonts w:ascii="Calibri" w:eastAsia="Times New Roman" w:hAnsi="Calibri" w:cs="Calibri"/>
                <w:sz w:val="18"/>
                <w:szCs w:val="18"/>
                <w:lang w:eastAsia="hr-HR"/>
              </w:rPr>
            </w:pPr>
            <w:r w:rsidRPr="004566A6">
              <w:rPr>
                <w:rFonts w:ascii="Calibri" w:eastAsia="Times New Roman" w:hAnsi="Calibri" w:cs="Calibri"/>
                <w:sz w:val="18"/>
                <w:szCs w:val="18"/>
                <w:lang w:eastAsia="hr-HR"/>
              </w:rPr>
              <w:t>1</w:t>
            </w:r>
          </w:p>
        </w:tc>
        <w:tc>
          <w:tcPr>
            <w:tcW w:w="462" w:type="dxa"/>
            <w:tcBorders>
              <w:top w:val="nil"/>
              <w:left w:val="nil"/>
              <w:bottom w:val="single" w:sz="4" w:space="0" w:color="auto"/>
              <w:right w:val="single" w:sz="4" w:space="0" w:color="auto"/>
            </w:tcBorders>
            <w:shd w:val="clear" w:color="000000" w:fill="CCFFFF"/>
            <w:noWrap/>
            <w:vAlign w:val="bottom"/>
            <w:hideMark/>
          </w:tcPr>
          <w:p w14:paraId="0B8B857A" w14:textId="77777777" w:rsidR="004566A6" w:rsidRPr="004566A6" w:rsidRDefault="004566A6" w:rsidP="004566A6">
            <w:pPr>
              <w:spacing w:after="0" w:line="240" w:lineRule="auto"/>
              <w:jc w:val="right"/>
              <w:rPr>
                <w:rFonts w:ascii="Calibri" w:eastAsia="Times New Roman" w:hAnsi="Calibri" w:cs="Calibri"/>
                <w:sz w:val="18"/>
                <w:szCs w:val="18"/>
                <w:lang w:eastAsia="hr-HR"/>
              </w:rPr>
            </w:pPr>
            <w:r w:rsidRPr="004566A6">
              <w:rPr>
                <w:rFonts w:ascii="Calibri" w:eastAsia="Times New Roman" w:hAnsi="Calibri" w:cs="Calibri"/>
                <w:sz w:val="18"/>
                <w:szCs w:val="18"/>
                <w:lang w:eastAsia="hr-HR"/>
              </w:rPr>
              <w:t>1</w:t>
            </w:r>
          </w:p>
        </w:tc>
        <w:tc>
          <w:tcPr>
            <w:tcW w:w="455" w:type="dxa"/>
            <w:tcBorders>
              <w:top w:val="nil"/>
              <w:left w:val="nil"/>
              <w:bottom w:val="single" w:sz="4" w:space="0" w:color="auto"/>
              <w:right w:val="single" w:sz="4" w:space="0" w:color="auto"/>
            </w:tcBorders>
            <w:shd w:val="clear" w:color="000000" w:fill="FFFF99"/>
            <w:noWrap/>
            <w:vAlign w:val="bottom"/>
            <w:hideMark/>
          </w:tcPr>
          <w:p w14:paraId="028C59B0" w14:textId="77777777" w:rsidR="004566A6" w:rsidRPr="004566A6" w:rsidRDefault="004566A6" w:rsidP="004566A6">
            <w:pPr>
              <w:spacing w:after="0" w:line="240" w:lineRule="auto"/>
              <w:jc w:val="center"/>
              <w:rPr>
                <w:rFonts w:ascii="Calibri" w:eastAsia="Times New Roman" w:hAnsi="Calibri" w:cs="Calibri"/>
                <w:sz w:val="18"/>
                <w:szCs w:val="18"/>
                <w:lang w:eastAsia="hr-HR"/>
              </w:rPr>
            </w:pPr>
            <w:r w:rsidRPr="004566A6">
              <w:rPr>
                <w:rFonts w:ascii="Calibri" w:eastAsia="Times New Roman" w:hAnsi="Calibri" w:cs="Calibri"/>
                <w:sz w:val="18"/>
                <w:szCs w:val="18"/>
                <w:lang w:eastAsia="hr-HR"/>
              </w:rPr>
              <w:t>2</w:t>
            </w:r>
          </w:p>
        </w:tc>
        <w:tc>
          <w:tcPr>
            <w:tcW w:w="567" w:type="dxa"/>
            <w:tcBorders>
              <w:top w:val="nil"/>
              <w:left w:val="nil"/>
              <w:bottom w:val="single" w:sz="4" w:space="0" w:color="auto"/>
              <w:right w:val="single" w:sz="4" w:space="0" w:color="auto"/>
            </w:tcBorders>
            <w:shd w:val="clear" w:color="000000" w:fill="FFFF99"/>
            <w:noWrap/>
            <w:vAlign w:val="bottom"/>
            <w:hideMark/>
          </w:tcPr>
          <w:p w14:paraId="5D596989" w14:textId="77777777" w:rsidR="004566A6" w:rsidRPr="004566A6" w:rsidRDefault="004566A6" w:rsidP="004566A6">
            <w:pPr>
              <w:spacing w:after="0" w:line="240" w:lineRule="auto"/>
              <w:jc w:val="center"/>
              <w:rPr>
                <w:rFonts w:ascii="Calibri" w:eastAsia="Times New Roman" w:hAnsi="Calibri" w:cs="Calibri"/>
                <w:sz w:val="18"/>
                <w:szCs w:val="18"/>
                <w:lang w:eastAsia="hr-HR"/>
              </w:rPr>
            </w:pPr>
            <w:r w:rsidRPr="004566A6">
              <w:rPr>
                <w:rFonts w:ascii="Calibri" w:eastAsia="Times New Roman" w:hAnsi="Calibri" w:cs="Calibri"/>
                <w:sz w:val="18"/>
                <w:szCs w:val="18"/>
                <w:lang w:eastAsia="hr-HR"/>
              </w:rPr>
              <w:t>0</w:t>
            </w:r>
          </w:p>
        </w:tc>
        <w:tc>
          <w:tcPr>
            <w:tcW w:w="708" w:type="dxa"/>
            <w:tcBorders>
              <w:top w:val="nil"/>
              <w:left w:val="nil"/>
              <w:bottom w:val="single" w:sz="4" w:space="0" w:color="auto"/>
              <w:right w:val="single" w:sz="4" w:space="0" w:color="auto"/>
            </w:tcBorders>
            <w:shd w:val="clear" w:color="000000" w:fill="FFFF99"/>
            <w:noWrap/>
            <w:vAlign w:val="bottom"/>
            <w:hideMark/>
          </w:tcPr>
          <w:p w14:paraId="4A329A3E" w14:textId="77777777" w:rsidR="004566A6" w:rsidRPr="004566A6" w:rsidRDefault="004566A6" w:rsidP="004566A6">
            <w:pPr>
              <w:spacing w:after="0" w:line="240" w:lineRule="auto"/>
              <w:jc w:val="center"/>
              <w:rPr>
                <w:rFonts w:ascii="Calibri" w:eastAsia="Times New Roman" w:hAnsi="Calibri" w:cs="Calibri"/>
                <w:sz w:val="18"/>
                <w:szCs w:val="18"/>
                <w:lang w:eastAsia="hr-HR"/>
              </w:rPr>
            </w:pPr>
            <w:r w:rsidRPr="004566A6">
              <w:rPr>
                <w:rFonts w:ascii="Calibri" w:eastAsia="Times New Roman" w:hAnsi="Calibri" w:cs="Calibri"/>
                <w:sz w:val="18"/>
                <w:szCs w:val="18"/>
                <w:lang w:eastAsia="hr-HR"/>
              </w:rPr>
              <w:t>0</w:t>
            </w:r>
          </w:p>
        </w:tc>
        <w:tc>
          <w:tcPr>
            <w:tcW w:w="448" w:type="dxa"/>
            <w:tcBorders>
              <w:top w:val="nil"/>
              <w:left w:val="nil"/>
              <w:bottom w:val="single" w:sz="4" w:space="0" w:color="auto"/>
              <w:right w:val="single" w:sz="4" w:space="0" w:color="auto"/>
            </w:tcBorders>
            <w:shd w:val="clear" w:color="000000" w:fill="FFFF99"/>
            <w:noWrap/>
            <w:vAlign w:val="bottom"/>
            <w:hideMark/>
          </w:tcPr>
          <w:p w14:paraId="12541577" w14:textId="77777777" w:rsidR="004566A6" w:rsidRPr="004566A6" w:rsidRDefault="004566A6" w:rsidP="004566A6">
            <w:pPr>
              <w:spacing w:after="0" w:line="240" w:lineRule="auto"/>
              <w:jc w:val="center"/>
              <w:rPr>
                <w:rFonts w:ascii="Calibri" w:eastAsia="Times New Roman" w:hAnsi="Calibri" w:cs="Calibri"/>
                <w:sz w:val="18"/>
                <w:szCs w:val="18"/>
                <w:lang w:eastAsia="hr-HR"/>
              </w:rPr>
            </w:pPr>
            <w:r w:rsidRPr="004566A6">
              <w:rPr>
                <w:rFonts w:ascii="Calibri" w:eastAsia="Times New Roman" w:hAnsi="Calibri" w:cs="Calibri"/>
                <w:sz w:val="18"/>
                <w:szCs w:val="18"/>
                <w:lang w:eastAsia="hr-HR"/>
              </w:rPr>
              <w:t>0</w:t>
            </w:r>
          </w:p>
        </w:tc>
        <w:tc>
          <w:tcPr>
            <w:tcW w:w="680" w:type="dxa"/>
            <w:tcBorders>
              <w:top w:val="nil"/>
              <w:left w:val="nil"/>
              <w:bottom w:val="single" w:sz="4" w:space="0" w:color="auto"/>
              <w:right w:val="single" w:sz="4" w:space="0" w:color="auto"/>
            </w:tcBorders>
            <w:shd w:val="clear" w:color="000000" w:fill="FFFF99"/>
            <w:noWrap/>
            <w:vAlign w:val="bottom"/>
            <w:hideMark/>
          </w:tcPr>
          <w:p w14:paraId="3EC84102" w14:textId="77777777" w:rsidR="004566A6" w:rsidRPr="004566A6" w:rsidRDefault="004566A6" w:rsidP="004566A6">
            <w:pPr>
              <w:spacing w:after="0" w:line="240" w:lineRule="auto"/>
              <w:jc w:val="center"/>
              <w:rPr>
                <w:rFonts w:ascii="Calibri" w:eastAsia="Times New Roman" w:hAnsi="Calibri" w:cs="Calibri"/>
                <w:sz w:val="18"/>
                <w:szCs w:val="18"/>
                <w:lang w:eastAsia="hr-HR"/>
              </w:rPr>
            </w:pPr>
            <w:r w:rsidRPr="004566A6">
              <w:rPr>
                <w:rFonts w:ascii="Calibri" w:eastAsia="Times New Roman" w:hAnsi="Calibri" w:cs="Calibri"/>
                <w:sz w:val="18"/>
                <w:szCs w:val="18"/>
                <w:lang w:eastAsia="hr-HR"/>
              </w:rPr>
              <w:t>0</w:t>
            </w:r>
          </w:p>
        </w:tc>
        <w:tc>
          <w:tcPr>
            <w:tcW w:w="573" w:type="dxa"/>
            <w:gridSpan w:val="2"/>
            <w:tcBorders>
              <w:top w:val="nil"/>
              <w:left w:val="nil"/>
              <w:bottom w:val="single" w:sz="4" w:space="0" w:color="auto"/>
              <w:right w:val="single" w:sz="4" w:space="0" w:color="auto"/>
            </w:tcBorders>
            <w:shd w:val="clear" w:color="000000" w:fill="FF9900"/>
            <w:noWrap/>
            <w:vAlign w:val="bottom"/>
            <w:hideMark/>
          </w:tcPr>
          <w:p w14:paraId="2372CE35" w14:textId="77777777" w:rsidR="004566A6" w:rsidRPr="004566A6" w:rsidRDefault="004566A6" w:rsidP="004566A6">
            <w:pPr>
              <w:spacing w:after="0" w:line="240" w:lineRule="auto"/>
              <w:jc w:val="right"/>
              <w:rPr>
                <w:rFonts w:ascii="Calibri" w:eastAsia="Times New Roman" w:hAnsi="Calibri" w:cs="Calibri"/>
                <w:sz w:val="18"/>
                <w:szCs w:val="18"/>
                <w:lang w:eastAsia="hr-HR"/>
              </w:rPr>
            </w:pPr>
            <w:r w:rsidRPr="004566A6">
              <w:rPr>
                <w:rFonts w:ascii="Calibri" w:eastAsia="Times New Roman" w:hAnsi="Calibri" w:cs="Calibri"/>
                <w:sz w:val="18"/>
                <w:szCs w:val="18"/>
                <w:lang w:eastAsia="hr-HR"/>
              </w:rPr>
              <w:t>0</w:t>
            </w:r>
          </w:p>
        </w:tc>
        <w:tc>
          <w:tcPr>
            <w:tcW w:w="567" w:type="dxa"/>
            <w:tcBorders>
              <w:top w:val="nil"/>
              <w:left w:val="nil"/>
              <w:bottom w:val="single" w:sz="4" w:space="0" w:color="auto"/>
              <w:right w:val="single" w:sz="4" w:space="0" w:color="auto"/>
            </w:tcBorders>
            <w:shd w:val="clear" w:color="000000" w:fill="FF9900"/>
            <w:noWrap/>
            <w:vAlign w:val="bottom"/>
            <w:hideMark/>
          </w:tcPr>
          <w:p w14:paraId="065D90FD" w14:textId="77777777" w:rsidR="004566A6" w:rsidRPr="004566A6" w:rsidRDefault="004566A6" w:rsidP="004566A6">
            <w:pPr>
              <w:spacing w:after="0" w:line="240" w:lineRule="auto"/>
              <w:jc w:val="right"/>
              <w:rPr>
                <w:rFonts w:ascii="Calibri" w:eastAsia="Times New Roman" w:hAnsi="Calibri" w:cs="Calibri"/>
                <w:sz w:val="18"/>
                <w:szCs w:val="18"/>
                <w:lang w:eastAsia="hr-HR"/>
              </w:rPr>
            </w:pPr>
            <w:r w:rsidRPr="004566A6">
              <w:rPr>
                <w:rFonts w:ascii="Calibri" w:eastAsia="Times New Roman" w:hAnsi="Calibri" w:cs="Calibri"/>
                <w:sz w:val="18"/>
                <w:szCs w:val="18"/>
                <w:lang w:eastAsia="hr-HR"/>
              </w:rPr>
              <w:t>1</w:t>
            </w:r>
          </w:p>
        </w:tc>
        <w:tc>
          <w:tcPr>
            <w:tcW w:w="448" w:type="dxa"/>
            <w:tcBorders>
              <w:top w:val="nil"/>
              <w:left w:val="nil"/>
              <w:bottom w:val="single" w:sz="4" w:space="0" w:color="auto"/>
              <w:right w:val="single" w:sz="4" w:space="0" w:color="auto"/>
            </w:tcBorders>
            <w:shd w:val="clear" w:color="000000" w:fill="FF9900"/>
            <w:noWrap/>
            <w:vAlign w:val="bottom"/>
            <w:hideMark/>
          </w:tcPr>
          <w:p w14:paraId="4E8FE332" w14:textId="77777777" w:rsidR="004566A6" w:rsidRPr="004566A6" w:rsidRDefault="004566A6" w:rsidP="004566A6">
            <w:pPr>
              <w:spacing w:after="0" w:line="240" w:lineRule="auto"/>
              <w:jc w:val="right"/>
              <w:rPr>
                <w:rFonts w:ascii="Calibri" w:eastAsia="Times New Roman" w:hAnsi="Calibri" w:cs="Calibri"/>
                <w:sz w:val="18"/>
                <w:szCs w:val="18"/>
                <w:lang w:eastAsia="hr-HR"/>
              </w:rPr>
            </w:pPr>
            <w:r w:rsidRPr="004566A6">
              <w:rPr>
                <w:rFonts w:ascii="Calibri" w:eastAsia="Times New Roman" w:hAnsi="Calibri" w:cs="Calibri"/>
                <w:sz w:val="18"/>
                <w:szCs w:val="18"/>
                <w:lang w:eastAsia="hr-HR"/>
              </w:rPr>
              <w:t>0</w:t>
            </w:r>
          </w:p>
        </w:tc>
        <w:tc>
          <w:tcPr>
            <w:tcW w:w="448" w:type="dxa"/>
            <w:gridSpan w:val="2"/>
            <w:tcBorders>
              <w:top w:val="nil"/>
              <w:left w:val="nil"/>
              <w:bottom w:val="single" w:sz="4" w:space="0" w:color="auto"/>
              <w:right w:val="single" w:sz="4" w:space="0" w:color="auto"/>
            </w:tcBorders>
            <w:shd w:val="clear" w:color="000000" w:fill="66FFCC"/>
            <w:noWrap/>
            <w:vAlign w:val="bottom"/>
            <w:hideMark/>
          </w:tcPr>
          <w:p w14:paraId="010BD23B" w14:textId="77777777" w:rsidR="004566A6" w:rsidRPr="004566A6" w:rsidRDefault="004566A6" w:rsidP="004566A6">
            <w:pPr>
              <w:spacing w:after="0" w:line="240" w:lineRule="auto"/>
              <w:jc w:val="right"/>
              <w:rPr>
                <w:rFonts w:ascii="Calibri" w:eastAsia="Times New Roman" w:hAnsi="Calibri" w:cs="Calibri"/>
                <w:sz w:val="18"/>
                <w:szCs w:val="18"/>
                <w:lang w:eastAsia="hr-HR"/>
              </w:rPr>
            </w:pPr>
            <w:r w:rsidRPr="004566A6">
              <w:rPr>
                <w:rFonts w:ascii="Calibri" w:eastAsia="Times New Roman" w:hAnsi="Calibri" w:cs="Calibri"/>
                <w:sz w:val="18"/>
                <w:szCs w:val="18"/>
                <w:lang w:eastAsia="hr-HR"/>
              </w:rPr>
              <w:t>0</w:t>
            </w:r>
          </w:p>
        </w:tc>
        <w:tc>
          <w:tcPr>
            <w:tcW w:w="448" w:type="dxa"/>
            <w:tcBorders>
              <w:top w:val="nil"/>
              <w:left w:val="nil"/>
              <w:bottom w:val="single" w:sz="4" w:space="0" w:color="auto"/>
              <w:right w:val="single" w:sz="4" w:space="0" w:color="auto"/>
            </w:tcBorders>
            <w:shd w:val="clear" w:color="000000" w:fill="66FFCC"/>
            <w:noWrap/>
            <w:vAlign w:val="bottom"/>
            <w:hideMark/>
          </w:tcPr>
          <w:p w14:paraId="3D8CC579" w14:textId="77777777" w:rsidR="004566A6" w:rsidRPr="004566A6" w:rsidRDefault="004566A6" w:rsidP="004566A6">
            <w:pPr>
              <w:spacing w:after="0" w:line="240" w:lineRule="auto"/>
              <w:jc w:val="right"/>
              <w:rPr>
                <w:rFonts w:ascii="Calibri" w:eastAsia="Times New Roman" w:hAnsi="Calibri" w:cs="Calibri"/>
                <w:sz w:val="18"/>
                <w:szCs w:val="18"/>
                <w:lang w:eastAsia="hr-HR"/>
              </w:rPr>
            </w:pPr>
            <w:r w:rsidRPr="004566A6">
              <w:rPr>
                <w:rFonts w:ascii="Calibri" w:eastAsia="Times New Roman" w:hAnsi="Calibri" w:cs="Calibri"/>
                <w:sz w:val="18"/>
                <w:szCs w:val="18"/>
                <w:lang w:eastAsia="hr-HR"/>
              </w:rPr>
              <w:t>0</w:t>
            </w:r>
          </w:p>
        </w:tc>
        <w:tc>
          <w:tcPr>
            <w:tcW w:w="448" w:type="dxa"/>
            <w:tcBorders>
              <w:top w:val="nil"/>
              <w:left w:val="nil"/>
              <w:bottom w:val="single" w:sz="4" w:space="0" w:color="auto"/>
              <w:right w:val="single" w:sz="4" w:space="0" w:color="auto"/>
            </w:tcBorders>
            <w:shd w:val="clear" w:color="000000" w:fill="66FFCC"/>
            <w:noWrap/>
            <w:vAlign w:val="bottom"/>
            <w:hideMark/>
          </w:tcPr>
          <w:p w14:paraId="5C809AF5" w14:textId="77777777" w:rsidR="004566A6" w:rsidRPr="004566A6" w:rsidRDefault="004566A6" w:rsidP="004566A6">
            <w:pPr>
              <w:spacing w:after="0" w:line="240" w:lineRule="auto"/>
              <w:jc w:val="right"/>
              <w:rPr>
                <w:rFonts w:ascii="Calibri" w:eastAsia="Times New Roman" w:hAnsi="Calibri" w:cs="Calibri"/>
                <w:sz w:val="18"/>
                <w:szCs w:val="18"/>
                <w:lang w:eastAsia="hr-HR"/>
              </w:rPr>
            </w:pPr>
            <w:r w:rsidRPr="004566A6">
              <w:rPr>
                <w:rFonts w:ascii="Calibri" w:eastAsia="Times New Roman" w:hAnsi="Calibri" w:cs="Calibri"/>
                <w:sz w:val="18"/>
                <w:szCs w:val="18"/>
                <w:lang w:eastAsia="hr-HR"/>
              </w:rPr>
              <w:t>0</w:t>
            </w:r>
          </w:p>
        </w:tc>
        <w:tc>
          <w:tcPr>
            <w:tcW w:w="476" w:type="dxa"/>
            <w:tcBorders>
              <w:top w:val="nil"/>
              <w:left w:val="nil"/>
              <w:bottom w:val="single" w:sz="4" w:space="0" w:color="auto"/>
              <w:right w:val="single" w:sz="4" w:space="0" w:color="auto"/>
            </w:tcBorders>
            <w:shd w:val="clear" w:color="000000" w:fill="66FFCC"/>
            <w:noWrap/>
            <w:vAlign w:val="bottom"/>
            <w:hideMark/>
          </w:tcPr>
          <w:p w14:paraId="4CC592CD" w14:textId="77777777" w:rsidR="004566A6" w:rsidRPr="004566A6" w:rsidRDefault="004566A6" w:rsidP="004566A6">
            <w:pPr>
              <w:spacing w:after="0" w:line="240" w:lineRule="auto"/>
              <w:jc w:val="right"/>
              <w:rPr>
                <w:rFonts w:ascii="Calibri" w:eastAsia="Times New Roman" w:hAnsi="Calibri" w:cs="Calibri"/>
                <w:sz w:val="18"/>
                <w:szCs w:val="18"/>
                <w:lang w:eastAsia="hr-HR"/>
              </w:rPr>
            </w:pPr>
            <w:r w:rsidRPr="004566A6">
              <w:rPr>
                <w:rFonts w:ascii="Calibri" w:eastAsia="Times New Roman" w:hAnsi="Calibri" w:cs="Calibri"/>
                <w:sz w:val="18"/>
                <w:szCs w:val="18"/>
                <w:lang w:eastAsia="hr-HR"/>
              </w:rPr>
              <w:t>0</w:t>
            </w:r>
          </w:p>
        </w:tc>
        <w:tc>
          <w:tcPr>
            <w:tcW w:w="557" w:type="dxa"/>
            <w:gridSpan w:val="2"/>
            <w:tcBorders>
              <w:top w:val="nil"/>
              <w:left w:val="nil"/>
              <w:bottom w:val="single" w:sz="4" w:space="0" w:color="auto"/>
              <w:right w:val="single" w:sz="4" w:space="0" w:color="auto"/>
            </w:tcBorders>
            <w:shd w:val="clear" w:color="000000" w:fill="FFFF00"/>
            <w:vAlign w:val="center"/>
            <w:hideMark/>
          </w:tcPr>
          <w:p w14:paraId="529DAE98" w14:textId="77777777" w:rsidR="004566A6" w:rsidRPr="004566A6" w:rsidRDefault="004566A6" w:rsidP="004566A6">
            <w:pPr>
              <w:spacing w:after="0" w:line="240" w:lineRule="auto"/>
              <w:jc w:val="center"/>
              <w:rPr>
                <w:rFonts w:ascii="Calibri" w:eastAsia="Times New Roman" w:hAnsi="Calibri" w:cs="Calibri"/>
                <w:sz w:val="18"/>
                <w:szCs w:val="18"/>
                <w:lang w:eastAsia="hr-HR"/>
              </w:rPr>
            </w:pPr>
            <w:r w:rsidRPr="004566A6">
              <w:rPr>
                <w:rFonts w:ascii="Calibri" w:eastAsia="Times New Roman" w:hAnsi="Calibri" w:cs="Calibri"/>
                <w:sz w:val="18"/>
                <w:szCs w:val="18"/>
                <w:lang w:eastAsia="hr-HR"/>
              </w:rPr>
              <w:t>1</w:t>
            </w:r>
          </w:p>
        </w:tc>
        <w:tc>
          <w:tcPr>
            <w:tcW w:w="515" w:type="dxa"/>
            <w:gridSpan w:val="2"/>
            <w:tcBorders>
              <w:top w:val="nil"/>
              <w:left w:val="nil"/>
              <w:bottom w:val="single" w:sz="4" w:space="0" w:color="auto"/>
              <w:right w:val="single" w:sz="4" w:space="0" w:color="auto"/>
            </w:tcBorders>
            <w:shd w:val="clear" w:color="000000" w:fill="FFFF99"/>
            <w:vAlign w:val="center"/>
            <w:hideMark/>
          </w:tcPr>
          <w:p w14:paraId="063FDB2F" w14:textId="77777777" w:rsidR="004566A6" w:rsidRPr="004566A6" w:rsidRDefault="004566A6" w:rsidP="004566A6">
            <w:pPr>
              <w:spacing w:after="0" w:line="240" w:lineRule="auto"/>
              <w:jc w:val="center"/>
              <w:rPr>
                <w:rFonts w:ascii="Calibri" w:eastAsia="Times New Roman" w:hAnsi="Calibri" w:cs="Calibri"/>
                <w:sz w:val="18"/>
                <w:szCs w:val="18"/>
                <w:lang w:eastAsia="hr-HR"/>
              </w:rPr>
            </w:pPr>
            <w:r w:rsidRPr="004566A6">
              <w:rPr>
                <w:rFonts w:ascii="Calibri" w:eastAsia="Times New Roman" w:hAnsi="Calibri" w:cs="Calibri"/>
                <w:sz w:val="18"/>
                <w:szCs w:val="18"/>
                <w:lang w:eastAsia="hr-HR"/>
              </w:rPr>
              <w:t>3</w:t>
            </w:r>
          </w:p>
        </w:tc>
        <w:tc>
          <w:tcPr>
            <w:tcW w:w="855" w:type="dxa"/>
            <w:gridSpan w:val="2"/>
            <w:tcBorders>
              <w:top w:val="nil"/>
              <w:left w:val="nil"/>
              <w:bottom w:val="single" w:sz="4" w:space="0" w:color="auto"/>
              <w:right w:val="single" w:sz="4" w:space="0" w:color="auto"/>
            </w:tcBorders>
            <w:shd w:val="clear" w:color="000000" w:fill="FF9900"/>
            <w:vAlign w:val="center"/>
            <w:hideMark/>
          </w:tcPr>
          <w:p w14:paraId="5AC84502" w14:textId="77777777" w:rsidR="004566A6" w:rsidRPr="004566A6" w:rsidRDefault="004566A6" w:rsidP="004566A6">
            <w:pPr>
              <w:spacing w:after="0" w:line="240" w:lineRule="auto"/>
              <w:jc w:val="center"/>
              <w:rPr>
                <w:rFonts w:ascii="Calibri" w:eastAsia="Times New Roman" w:hAnsi="Calibri" w:cs="Calibri"/>
                <w:sz w:val="18"/>
                <w:szCs w:val="18"/>
                <w:lang w:eastAsia="hr-HR"/>
              </w:rPr>
            </w:pPr>
            <w:r w:rsidRPr="004566A6">
              <w:rPr>
                <w:rFonts w:ascii="Calibri" w:eastAsia="Times New Roman" w:hAnsi="Calibri" w:cs="Calibri"/>
                <w:sz w:val="18"/>
                <w:szCs w:val="18"/>
                <w:lang w:eastAsia="hr-HR"/>
              </w:rPr>
              <w:t>0</w:t>
            </w:r>
          </w:p>
        </w:tc>
        <w:tc>
          <w:tcPr>
            <w:tcW w:w="445" w:type="dxa"/>
            <w:gridSpan w:val="2"/>
            <w:tcBorders>
              <w:top w:val="nil"/>
              <w:left w:val="nil"/>
              <w:bottom w:val="single" w:sz="4" w:space="0" w:color="auto"/>
              <w:right w:val="single" w:sz="4" w:space="0" w:color="auto"/>
            </w:tcBorders>
            <w:shd w:val="clear" w:color="000000" w:fill="CCFFFF"/>
            <w:vAlign w:val="bottom"/>
            <w:hideMark/>
          </w:tcPr>
          <w:p w14:paraId="500C3AA3" w14:textId="77777777" w:rsidR="004566A6" w:rsidRPr="004566A6" w:rsidRDefault="004566A6" w:rsidP="004566A6">
            <w:pPr>
              <w:spacing w:after="0" w:line="240" w:lineRule="auto"/>
              <w:jc w:val="right"/>
              <w:rPr>
                <w:rFonts w:ascii="Calibri" w:eastAsia="Times New Roman" w:hAnsi="Calibri" w:cs="Calibri"/>
                <w:sz w:val="18"/>
                <w:szCs w:val="18"/>
                <w:lang w:eastAsia="hr-HR"/>
              </w:rPr>
            </w:pPr>
            <w:r w:rsidRPr="004566A6">
              <w:rPr>
                <w:rFonts w:ascii="Calibri" w:eastAsia="Times New Roman" w:hAnsi="Calibri" w:cs="Calibri"/>
                <w:sz w:val="18"/>
                <w:szCs w:val="18"/>
                <w:lang w:eastAsia="hr-HR"/>
              </w:rPr>
              <w:t>0</w:t>
            </w:r>
          </w:p>
        </w:tc>
        <w:tc>
          <w:tcPr>
            <w:tcW w:w="445" w:type="dxa"/>
            <w:tcBorders>
              <w:top w:val="nil"/>
              <w:left w:val="nil"/>
              <w:bottom w:val="single" w:sz="4" w:space="0" w:color="auto"/>
              <w:right w:val="single" w:sz="4" w:space="0" w:color="auto"/>
            </w:tcBorders>
            <w:shd w:val="clear" w:color="000000" w:fill="CCFFFF"/>
            <w:vAlign w:val="bottom"/>
            <w:hideMark/>
          </w:tcPr>
          <w:p w14:paraId="0032620D" w14:textId="77777777" w:rsidR="004566A6" w:rsidRPr="004566A6" w:rsidRDefault="004566A6" w:rsidP="004566A6">
            <w:pPr>
              <w:spacing w:after="0" w:line="240" w:lineRule="auto"/>
              <w:jc w:val="right"/>
              <w:rPr>
                <w:rFonts w:ascii="Calibri" w:eastAsia="Times New Roman" w:hAnsi="Calibri" w:cs="Calibri"/>
                <w:sz w:val="18"/>
                <w:szCs w:val="18"/>
                <w:lang w:eastAsia="hr-HR"/>
              </w:rPr>
            </w:pPr>
            <w:r w:rsidRPr="004566A6">
              <w:rPr>
                <w:rFonts w:ascii="Calibri" w:eastAsia="Times New Roman" w:hAnsi="Calibri" w:cs="Calibri"/>
                <w:sz w:val="18"/>
                <w:szCs w:val="18"/>
                <w:lang w:eastAsia="hr-HR"/>
              </w:rPr>
              <w:t>0</w:t>
            </w:r>
          </w:p>
        </w:tc>
        <w:tc>
          <w:tcPr>
            <w:tcW w:w="505" w:type="dxa"/>
            <w:tcBorders>
              <w:top w:val="nil"/>
              <w:left w:val="nil"/>
              <w:bottom w:val="single" w:sz="4" w:space="0" w:color="auto"/>
              <w:right w:val="single" w:sz="4" w:space="0" w:color="auto"/>
            </w:tcBorders>
            <w:shd w:val="clear" w:color="000000" w:fill="CCFFFF"/>
            <w:vAlign w:val="bottom"/>
            <w:hideMark/>
          </w:tcPr>
          <w:p w14:paraId="27E8303E" w14:textId="77777777" w:rsidR="004566A6" w:rsidRPr="004566A6" w:rsidRDefault="004566A6" w:rsidP="004566A6">
            <w:pPr>
              <w:spacing w:after="0" w:line="240" w:lineRule="auto"/>
              <w:jc w:val="right"/>
              <w:rPr>
                <w:rFonts w:ascii="Calibri" w:eastAsia="Times New Roman" w:hAnsi="Calibri" w:cs="Calibri"/>
                <w:sz w:val="18"/>
                <w:szCs w:val="18"/>
                <w:lang w:eastAsia="hr-HR"/>
              </w:rPr>
            </w:pPr>
            <w:r w:rsidRPr="004566A6">
              <w:rPr>
                <w:rFonts w:ascii="Calibri" w:eastAsia="Times New Roman" w:hAnsi="Calibri" w:cs="Calibri"/>
                <w:sz w:val="18"/>
                <w:szCs w:val="18"/>
                <w:lang w:eastAsia="hr-HR"/>
              </w:rPr>
              <w:t>0</w:t>
            </w:r>
          </w:p>
        </w:tc>
        <w:tc>
          <w:tcPr>
            <w:tcW w:w="797" w:type="dxa"/>
            <w:gridSpan w:val="2"/>
            <w:tcBorders>
              <w:top w:val="nil"/>
              <w:left w:val="nil"/>
              <w:bottom w:val="single" w:sz="4" w:space="0" w:color="auto"/>
              <w:right w:val="nil"/>
            </w:tcBorders>
            <w:shd w:val="clear" w:color="000000" w:fill="33CCCC"/>
            <w:noWrap/>
            <w:vAlign w:val="bottom"/>
            <w:hideMark/>
          </w:tcPr>
          <w:p w14:paraId="118F71C0" w14:textId="77777777" w:rsidR="004566A6" w:rsidRPr="004566A6" w:rsidRDefault="004566A6" w:rsidP="004566A6">
            <w:pPr>
              <w:spacing w:after="0" w:line="240" w:lineRule="auto"/>
              <w:jc w:val="right"/>
              <w:rPr>
                <w:rFonts w:ascii="Calibri" w:eastAsia="Times New Roman" w:hAnsi="Calibri" w:cs="Calibri"/>
                <w:sz w:val="18"/>
                <w:szCs w:val="18"/>
                <w:lang w:eastAsia="hr-HR"/>
              </w:rPr>
            </w:pPr>
            <w:r w:rsidRPr="004566A6">
              <w:rPr>
                <w:rFonts w:ascii="Calibri" w:eastAsia="Times New Roman" w:hAnsi="Calibri" w:cs="Calibri"/>
                <w:sz w:val="18"/>
                <w:szCs w:val="18"/>
                <w:lang w:eastAsia="hr-HR"/>
              </w:rPr>
              <w:t>1</w:t>
            </w:r>
          </w:p>
        </w:tc>
        <w:tc>
          <w:tcPr>
            <w:tcW w:w="425" w:type="dxa"/>
            <w:gridSpan w:val="3"/>
            <w:tcBorders>
              <w:top w:val="nil"/>
              <w:left w:val="single" w:sz="4" w:space="0" w:color="auto"/>
              <w:bottom w:val="single" w:sz="4" w:space="0" w:color="auto"/>
              <w:right w:val="nil"/>
            </w:tcBorders>
            <w:shd w:val="clear" w:color="000000" w:fill="33CCCC"/>
            <w:noWrap/>
            <w:vAlign w:val="bottom"/>
            <w:hideMark/>
          </w:tcPr>
          <w:p w14:paraId="470B8F97" w14:textId="77777777" w:rsidR="004566A6" w:rsidRPr="004566A6" w:rsidRDefault="004566A6" w:rsidP="004566A6">
            <w:pPr>
              <w:spacing w:after="0" w:line="240" w:lineRule="auto"/>
              <w:jc w:val="right"/>
              <w:rPr>
                <w:rFonts w:ascii="Calibri" w:eastAsia="Times New Roman" w:hAnsi="Calibri" w:cs="Calibri"/>
                <w:sz w:val="18"/>
                <w:szCs w:val="18"/>
                <w:lang w:eastAsia="hr-HR"/>
              </w:rPr>
            </w:pPr>
            <w:r w:rsidRPr="004566A6">
              <w:rPr>
                <w:rFonts w:ascii="Calibri" w:eastAsia="Times New Roman" w:hAnsi="Calibri" w:cs="Calibri"/>
                <w:sz w:val="18"/>
                <w:szCs w:val="18"/>
                <w:lang w:eastAsia="hr-HR"/>
              </w:rPr>
              <w:t>0</w:t>
            </w:r>
          </w:p>
        </w:tc>
        <w:tc>
          <w:tcPr>
            <w:tcW w:w="236" w:type="dxa"/>
            <w:gridSpan w:val="2"/>
            <w:vAlign w:val="center"/>
            <w:hideMark/>
          </w:tcPr>
          <w:p w14:paraId="21908094" w14:textId="77777777" w:rsidR="004566A6" w:rsidRPr="004566A6" w:rsidRDefault="004566A6" w:rsidP="004566A6">
            <w:pPr>
              <w:spacing w:after="0" w:line="240" w:lineRule="auto"/>
              <w:rPr>
                <w:rFonts w:ascii="Times New Roman" w:eastAsia="Times New Roman" w:hAnsi="Times New Roman" w:cs="Times New Roman"/>
                <w:sz w:val="18"/>
                <w:szCs w:val="18"/>
                <w:lang w:eastAsia="hr-HR"/>
              </w:rPr>
            </w:pPr>
          </w:p>
        </w:tc>
      </w:tr>
      <w:tr w:rsidR="003D0C85" w:rsidRPr="004566A6" w14:paraId="25533F97" w14:textId="77777777" w:rsidTr="003D0C85">
        <w:trPr>
          <w:trHeight w:val="300"/>
        </w:trPr>
        <w:tc>
          <w:tcPr>
            <w:tcW w:w="1397" w:type="dxa"/>
            <w:tcBorders>
              <w:top w:val="single" w:sz="4" w:space="0" w:color="auto"/>
              <w:left w:val="single" w:sz="8" w:space="0" w:color="auto"/>
              <w:bottom w:val="single" w:sz="4" w:space="0" w:color="auto"/>
              <w:right w:val="single" w:sz="4" w:space="0" w:color="auto"/>
            </w:tcBorders>
            <w:shd w:val="clear" w:color="000000" w:fill="CCFFCC"/>
            <w:vAlign w:val="center"/>
            <w:hideMark/>
          </w:tcPr>
          <w:p w14:paraId="30555414" w14:textId="77777777" w:rsidR="004566A6" w:rsidRPr="004566A6" w:rsidRDefault="004566A6" w:rsidP="004566A6">
            <w:pPr>
              <w:spacing w:after="0" w:line="240" w:lineRule="auto"/>
              <w:jc w:val="center"/>
              <w:rPr>
                <w:rFonts w:ascii="Calibri" w:eastAsia="Times New Roman" w:hAnsi="Calibri" w:cs="Calibri"/>
                <w:sz w:val="18"/>
                <w:szCs w:val="18"/>
                <w:lang w:eastAsia="hr-HR"/>
              </w:rPr>
            </w:pPr>
            <w:r w:rsidRPr="004566A6">
              <w:rPr>
                <w:rFonts w:ascii="Calibri" w:eastAsia="Times New Roman" w:hAnsi="Calibri" w:cs="Calibri"/>
                <w:sz w:val="18"/>
                <w:szCs w:val="18"/>
                <w:lang w:eastAsia="hr-HR"/>
              </w:rPr>
              <w:t>Političko ili drugo uvjerenje</w:t>
            </w:r>
          </w:p>
        </w:tc>
        <w:tc>
          <w:tcPr>
            <w:tcW w:w="576" w:type="dxa"/>
            <w:tcBorders>
              <w:top w:val="nil"/>
              <w:left w:val="nil"/>
              <w:bottom w:val="single" w:sz="4" w:space="0" w:color="auto"/>
              <w:right w:val="single" w:sz="4" w:space="0" w:color="auto"/>
            </w:tcBorders>
            <w:shd w:val="clear" w:color="000000" w:fill="CCFFCC"/>
            <w:vAlign w:val="center"/>
            <w:hideMark/>
          </w:tcPr>
          <w:p w14:paraId="5487632C" w14:textId="77777777" w:rsidR="004566A6" w:rsidRPr="004566A6" w:rsidRDefault="004566A6" w:rsidP="004566A6">
            <w:pPr>
              <w:spacing w:after="0" w:line="240" w:lineRule="auto"/>
              <w:jc w:val="center"/>
              <w:rPr>
                <w:rFonts w:ascii="Calibri" w:eastAsia="Times New Roman" w:hAnsi="Calibri" w:cs="Calibri"/>
                <w:sz w:val="18"/>
                <w:szCs w:val="18"/>
                <w:lang w:eastAsia="hr-HR"/>
              </w:rPr>
            </w:pPr>
            <w:r w:rsidRPr="004566A6">
              <w:rPr>
                <w:rFonts w:ascii="Calibri" w:eastAsia="Times New Roman" w:hAnsi="Calibri" w:cs="Calibri"/>
                <w:sz w:val="18"/>
                <w:szCs w:val="18"/>
                <w:lang w:eastAsia="hr-HR"/>
              </w:rPr>
              <w:t>4</w:t>
            </w:r>
          </w:p>
        </w:tc>
        <w:tc>
          <w:tcPr>
            <w:tcW w:w="444" w:type="dxa"/>
            <w:tcBorders>
              <w:top w:val="nil"/>
              <w:left w:val="nil"/>
              <w:bottom w:val="single" w:sz="4" w:space="0" w:color="auto"/>
              <w:right w:val="single" w:sz="4" w:space="0" w:color="auto"/>
            </w:tcBorders>
            <w:shd w:val="clear" w:color="000000" w:fill="FFCC99"/>
            <w:noWrap/>
            <w:vAlign w:val="bottom"/>
            <w:hideMark/>
          </w:tcPr>
          <w:p w14:paraId="68F47C01" w14:textId="77777777" w:rsidR="004566A6" w:rsidRPr="004566A6" w:rsidRDefault="004566A6" w:rsidP="004566A6">
            <w:pPr>
              <w:spacing w:after="0" w:line="240" w:lineRule="auto"/>
              <w:jc w:val="center"/>
              <w:rPr>
                <w:rFonts w:ascii="Calibri" w:eastAsia="Times New Roman" w:hAnsi="Calibri" w:cs="Calibri"/>
                <w:sz w:val="18"/>
                <w:szCs w:val="18"/>
                <w:lang w:eastAsia="hr-HR"/>
              </w:rPr>
            </w:pPr>
            <w:r w:rsidRPr="004566A6">
              <w:rPr>
                <w:rFonts w:ascii="Calibri" w:eastAsia="Times New Roman" w:hAnsi="Calibri" w:cs="Calibri"/>
                <w:sz w:val="18"/>
                <w:szCs w:val="18"/>
                <w:lang w:eastAsia="hr-HR"/>
              </w:rPr>
              <w:t>2</w:t>
            </w:r>
          </w:p>
        </w:tc>
        <w:tc>
          <w:tcPr>
            <w:tcW w:w="405" w:type="dxa"/>
            <w:tcBorders>
              <w:top w:val="nil"/>
              <w:left w:val="nil"/>
              <w:bottom w:val="single" w:sz="4" w:space="0" w:color="auto"/>
              <w:right w:val="single" w:sz="4" w:space="0" w:color="auto"/>
            </w:tcBorders>
            <w:shd w:val="clear" w:color="000000" w:fill="CCFFFF"/>
            <w:noWrap/>
            <w:vAlign w:val="bottom"/>
            <w:hideMark/>
          </w:tcPr>
          <w:p w14:paraId="06461738" w14:textId="77777777" w:rsidR="004566A6" w:rsidRPr="004566A6" w:rsidRDefault="004566A6" w:rsidP="004566A6">
            <w:pPr>
              <w:spacing w:after="0" w:line="240" w:lineRule="auto"/>
              <w:jc w:val="right"/>
              <w:rPr>
                <w:rFonts w:ascii="Calibri" w:eastAsia="Times New Roman" w:hAnsi="Calibri" w:cs="Calibri"/>
                <w:sz w:val="18"/>
                <w:szCs w:val="18"/>
                <w:lang w:eastAsia="hr-HR"/>
              </w:rPr>
            </w:pPr>
            <w:r w:rsidRPr="004566A6">
              <w:rPr>
                <w:rFonts w:ascii="Calibri" w:eastAsia="Times New Roman" w:hAnsi="Calibri" w:cs="Calibri"/>
                <w:sz w:val="18"/>
                <w:szCs w:val="18"/>
                <w:lang w:eastAsia="hr-HR"/>
              </w:rPr>
              <w:t>0</w:t>
            </w:r>
          </w:p>
        </w:tc>
        <w:tc>
          <w:tcPr>
            <w:tcW w:w="462" w:type="dxa"/>
            <w:tcBorders>
              <w:top w:val="nil"/>
              <w:left w:val="nil"/>
              <w:bottom w:val="single" w:sz="4" w:space="0" w:color="auto"/>
              <w:right w:val="single" w:sz="4" w:space="0" w:color="auto"/>
            </w:tcBorders>
            <w:shd w:val="clear" w:color="000000" w:fill="CCFFFF"/>
            <w:noWrap/>
            <w:vAlign w:val="bottom"/>
            <w:hideMark/>
          </w:tcPr>
          <w:p w14:paraId="49F5858D" w14:textId="77777777" w:rsidR="004566A6" w:rsidRPr="004566A6" w:rsidRDefault="004566A6" w:rsidP="004566A6">
            <w:pPr>
              <w:spacing w:after="0" w:line="240" w:lineRule="auto"/>
              <w:jc w:val="right"/>
              <w:rPr>
                <w:rFonts w:ascii="Calibri" w:eastAsia="Times New Roman" w:hAnsi="Calibri" w:cs="Calibri"/>
                <w:sz w:val="18"/>
                <w:szCs w:val="18"/>
                <w:lang w:eastAsia="hr-HR"/>
              </w:rPr>
            </w:pPr>
            <w:r w:rsidRPr="004566A6">
              <w:rPr>
                <w:rFonts w:ascii="Calibri" w:eastAsia="Times New Roman" w:hAnsi="Calibri" w:cs="Calibri"/>
                <w:sz w:val="18"/>
                <w:szCs w:val="18"/>
                <w:lang w:eastAsia="hr-HR"/>
              </w:rPr>
              <w:t>1</w:t>
            </w:r>
          </w:p>
        </w:tc>
        <w:tc>
          <w:tcPr>
            <w:tcW w:w="455" w:type="dxa"/>
            <w:tcBorders>
              <w:top w:val="nil"/>
              <w:left w:val="nil"/>
              <w:bottom w:val="single" w:sz="4" w:space="0" w:color="auto"/>
              <w:right w:val="single" w:sz="4" w:space="0" w:color="auto"/>
            </w:tcBorders>
            <w:shd w:val="clear" w:color="000000" w:fill="FFFF99"/>
            <w:noWrap/>
            <w:vAlign w:val="bottom"/>
            <w:hideMark/>
          </w:tcPr>
          <w:p w14:paraId="6B1153A1" w14:textId="77777777" w:rsidR="004566A6" w:rsidRPr="004566A6" w:rsidRDefault="004566A6" w:rsidP="004566A6">
            <w:pPr>
              <w:spacing w:after="0" w:line="240" w:lineRule="auto"/>
              <w:jc w:val="center"/>
              <w:rPr>
                <w:rFonts w:ascii="Calibri" w:eastAsia="Times New Roman" w:hAnsi="Calibri" w:cs="Calibri"/>
                <w:sz w:val="18"/>
                <w:szCs w:val="18"/>
                <w:lang w:eastAsia="hr-HR"/>
              </w:rPr>
            </w:pPr>
            <w:r w:rsidRPr="004566A6">
              <w:rPr>
                <w:rFonts w:ascii="Calibri" w:eastAsia="Times New Roman" w:hAnsi="Calibri" w:cs="Calibri"/>
                <w:sz w:val="18"/>
                <w:szCs w:val="18"/>
                <w:lang w:eastAsia="hr-HR"/>
              </w:rPr>
              <w:t>2</w:t>
            </w:r>
          </w:p>
        </w:tc>
        <w:tc>
          <w:tcPr>
            <w:tcW w:w="567" w:type="dxa"/>
            <w:tcBorders>
              <w:top w:val="nil"/>
              <w:left w:val="nil"/>
              <w:bottom w:val="single" w:sz="4" w:space="0" w:color="auto"/>
              <w:right w:val="single" w:sz="4" w:space="0" w:color="auto"/>
            </w:tcBorders>
            <w:shd w:val="clear" w:color="000000" w:fill="FFFF99"/>
            <w:noWrap/>
            <w:vAlign w:val="bottom"/>
            <w:hideMark/>
          </w:tcPr>
          <w:p w14:paraId="12C2266D" w14:textId="77777777" w:rsidR="004566A6" w:rsidRPr="004566A6" w:rsidRDefault="004566A6" w:rsidP="004566A6">
            <w:pPr>
              <w:spacing w:after="0" w:line="240" w:lineRule="auto"/>
              <w:jc w:val="center"/>
              <w:rPr>
                <w:rFonts w:ascii="Calibri" w:eastAsia="Times New Roman" w:hAnsi="Calibri" w:cs="Calibri"/>
                <w:sz w:val="18"/>
                <w:szCs w:val="18"/>
                <w:lang w:eastAsia="hr-HR"/>
              </w:rPr>
            </w:pPr>
            <w:r w:rsidRPr="004566A6">
              <w:rPr>
                <w:rFonts w:ascii="Calibri" w:eastAsia="Times New Roman" w:hAnsi="Calibri" w:cs="Calibri"/>
                <w:sz w:val="18"/>
                <w:szCs w:val="18"/>
                <w:lang w:eastAsia="hr-HR"/>
              </w:rPr>
              <w:t>0</w:t>
            </w:r>
          </w:p>
        </w:tc>
        <w:tc>
          <w:tcPr>
            <w:tcW w:w="708" w:type="dxa"/>
            <w:tcBorders>
              <w:top w:val="nil"/>
              <w:left w:val="nil"/>
              <w:bottom w:val="single" w:sz="4" w:space="0" w:color="auto"/>
              <w:right w:val="single" w:sz="4" w:space="0" w:color="auto"/>
            </w:tcBorders>
            <w:shd w:val="clear" w:color="000000" w:fill="FFFF99"/>
            <w:noWrap/>
            <w:vAlign w:val="bottom"/>
            <w:hideMark/>
          </w:tcPr>
          <w:p w14:paraId="3D48DC78" w14:textId="77777777" w:rsidR="004566A6" w:rsidRPr="004566A6" w:rsidRDefault="004566A6" w:rsidP="004566A6">
            <w:pPr>
              <w:spacing w:after="0" w:line="240" w:lineRule="auto"/>
              <w:jc w:val="center"/>
              <w:rPr>
                <w:rFonts w:ascii="Calibri" w:eastAsia="Times New Roman" w:hAnsi="Calibri" w:cs="Calibri"/>
                <w:sz w:val="18"/>
                <w:szCs w:val="18"/>
                <w:lang w:eastAsia="hr-HR"/>
              </w:rPr>
            </w:pPr>
            <w:r w:rsidRPr="004566A6">
              <w:rPr>
                <w:rFonts w:ascii="Calibri" w:eastAsia="Times New Roman" w:hAnsi="Calibri" w:cs="Calibri"/>
                <w:sz w:val="18"/>
                <w:szCs w:val="18"/>
                <w:lang w:eastAsia="hr-HR"/>
              </w:rPr>
              <w:t>0</w:t>
            </w:r>
          </w:p>
        </w:tc>
        <w:tc>
          <w:tcPr>
            <w:tcW w:w="448" w:type="dxa"/>
            <w:tcBorders>
              <w:top w:val="nil"/>
              <w:left w:val="nil"/>
              <w:bottom w:val="single" w:sz="4" w:space="0" w:color="auto"/>
              <w:right w:val="single" w:sz="4" w:space="0" w:color="auto"/>
            </w:tcBorders>
            <w:shd w:val="clear" w:color="000000" w:fill="FFFF99"/>
            <w:noWrap/>
            <w:vAlign w:val="bottom"/>
            <w:hideMark/>
          </w:tcPr>
          <w:p w14:paraId="2F3EBC44" w14:textId="77777777" w:rsidR="004566A6" w:rsidRPr="004566A6" w:rsidRDefault="004566A6" w:rsidP="004566A6">
            <w:pPr>
              <w:spacing w:after="0" w:line="240" w:lineRule="auto"/>
              <w:jc w:val="center"/>
              <w:rPr>
                <w:rFonts w:ascii="Calibri" w:eastAsia="Times New Roman" w:hAnsi="Calibri" w:cs="Calibri"/>
                <w:sz w:val="18"/>
                <w:szCs w:val="18"/>
                <w:lang w:eastAsia="hr-HR"/>
              </w:rPr>
            </w:pPr>
            <w:r w:rsidRPr="004566A6">
              <w:rPr>
                <w:rFonts w:ascii="Calibri" w:eastAsia="Times New Roman" w:hAnsi="Calibri" w:cs="Calibri"/>
                <w:sz w:val="18"/>
                <w:szCs w:val="18"/>
                <w:lang w:eastAsia="hr-HR"/>
              </w:rPr>
              <w:t>0</w:t>
            </w:r>
          </w:p>
        </w:tc>
        <w:tc>
          <w:tcPr>
            <w:tcW w:w="680" w:type="dxa"/>
            <w:tcBorders>
              <w:top w:val="nil"/>
              <w:left w:val="nil"/>
              <w:bottom w:val="single" w:sz="4" w:space="0" w:color="auto"/>
              <w:right w:val="single" w:sz="4" w:space="0" w:color="auto"/>
            </w:tcBorders>
            <w:shd w:val="clear" w:color="000000" w:fill="FFFF99"/>
            <w:noWrap/>
            <w:vAlign w:val="bottom"/>
            <w:hideMark/>
          </w:tcPr>
          <w:p w14:paraId="14C939EC" w14:textId="77777777" w:rsidR="004566A6" w:rsidRPr="004566A6" w:rsidRDefault="004566A6" w:rsidP="004566A6">
            <w:pPr>
              <w:spacing w:after="0" w:line="240" w:lineRule="auto"/>
              <w:jc w:val="center"/>
              <w:rPr>
                <w:rFonts w:ascii="Calibri" w:eastAsia="Times New Roman" w:hAnsi="Calibri" w:cs="Calibri"/>
                <w:sz w:val="18"/>
                <w:szCs w:val="18"/>
                <w:lang w:eastAsia="hr-HR"/>
              </w:rPr>
            </w:pPr>
            <w:r w:rsidRPr="004566A6">
              <w:rPr>
                <w:rFonts w:ascii="Calibri" w:eastAsia="Times New Roman" w:hAnsi="Calibri" w:cs="Calibri"/>
                <w:sz w:val="18"/>
                <w:szCs w:val="18"/>
                <w:lang w:eastAsia="hr-HR"/>
              </w:rPr>
              <w:t>0</w:t>
            </w:r>
          </w:p>
        </w:tc>
        <w:tc>
          <w:tcPr>
            <w:tcW w:w="573" w:type="dxa"/>
            <w:gridSpan w:val="2"/>
            <w:tcBorders>
              <w:top w:val="nil"/>
              <w:left w:val="nil"/>
              <w:bottom w:val="single" w:sz="4" w:space="0" w:color="auto"/>
              <w:right w:val="single" w:sz="4" w:space="0" w:color="auto"/>
            </w:tcBorders>
            <w:shd w:val="clear" w:color="000000" w:fill="FF9900"/>
            <w:noWrap/>
            <w:vAlign w:val="bottom"/>
            <w:hideMark/>
          </w:tcPr>
          <w:p w14:paraId="06BFD593" w14:textId="77777777" w:rsidR="004566A6" w:rsidRPr="004566A6" w:rsidRDefault="004566A6" w:rsidP="004566A6">
            <w:pPr>
              <w:spacing w:after="0" w:line="240" w:lineRule="auto"/>
              <w:jc w:val="right"/>
              <w:rPr>
                <w:rFonts w:ascii="Calibri" w:eastAsia="Times New Roman" w:hAnsi="Calibri" w:cs="Calibri"/>
                <w:sz w:val="18"/>
                <w:szCs w:val="18"/>
                <w:lang w:eastAsia="hr-HR"/>
              </w:rPr>
            </w:pPr>
            <w:r w:rsidRPr="004566A6">
              <w:rPr>
                <w:rFonts w:ascii="Calibri" w:eastAsia="Times New Roman" w:hAnsi="Calibri" w:cs="Calibri"/>
                <w:sz w:val="18"/>
                <w:szCs w:val="18"/>
                <w:lang w:eastAsia="hr-HR"/>
              </w:rPr>
              <w:t>1</w:t>
            </w:r>
          </w:p>
        </w:tc>
        <w:tc>
          <w:tcPr>
            <w:tcW w:w="567" w:type="dxa"/>
            <w:tcBorders>
              <w:top w:val="nil"/>
              <w:left w:val="nil"/>
              <w:bottom w:val="single" w:sz="4" w:space="0" w:color="auto"/>
              <w:right w:val="single" w:sz="4" w:space="0" w:color="auto"/>
            </w:tcBorders>
            <w:shd w:val="clear" w:color="000000" w:fill="FF9900"/>
            <w:noWrap/>
            <w:vAlign w:val="bottom"/>
            <w:hideMark/>
          </w:tcPr>
          <w:p w14:paraId="08711CC8" w14:textId="77777777" w:rsidR="004566A6" w:rsidRPr="004566A6" w:rsidRDefault="004566A6" w:rsidP="004566A6">
            <w:pPr>
              <w:spacing w:after="0" w:line="240" w:lineRule="auto"/>
              <w:jc w:val="right"/>
              <w:rPr>
                <w:rFonts w:ascii="Calibri" w:eastAsia="Times New Roman" w:hAnsi="Calibri" w:cs="Calibri"/>
                <w:sz w:val="18"/>
                <w:szCs w:val="18"/>
                <w:lang w:eastAsia="hr-HR"/>
              </w:rPr>
            </w:pPr>
            <w:r w:rsidRPr="004566A6">
              <w:rPr>
                <w:rFonts w:ascii="Calibri" w:eastAsia="Times New Roman" w:hAnsi="Calibri" w:cs="Calibri"/>
                <w:sz w:val="18"/>
                <w:szCs w:val="18"/>
                <w:lang w:eastAsia="hr-HR"/>
              </w:rPr>
              <w:t>0</w:t>
            </w:r>
          </w:p>
        </w:tc>
        <w:tc>
          <w:tcPr>
            <w:tcW w:w="448" w:type="dxa"/>
            <w:tcBorders>
              <w:top w:val="nil"/>
              <w:left w:val="nil"/>
              <w:bottom w:val="single" w:sz="4" w:space="0" w:color="auto"/>
              <w:right w:val="single" w:sz="4" w:space="0" w:color="auto"/>
            </w:tcBorders>
            <w:shd w:val="clear" w:color="000000" w:fill="FF9900"/>
            <w:noWrap/>
            <w:vAlign w:val="bottom"/>
            <w:hideMark/>
          </w:tcPr>
          <w:p w14:paraId="7669D6DB" w14:textId="77777777" w:rsidR="004566A6" w:rsidRPr="004566A6" w:rsidRDefault="004566A6" w:rsidP="004566A6">
            <w:pPr>
              <w:spacing w:after="0" w:line="240" w:lineRule="auto"/>
              <w:jc w:val="right"/>
              <w:rPr>
                <w:rFonts w:ascii="Calibri" w:eastAsia="Times New Roman" w:hAnsi="Calibri" w:cs="Calibri"/>
                <w:sz w:val="18"/>
                <w:szCs w:val="18"/>
                <w:lang w:eastAsia="hr-HR"/>
              </w:rPr>
            </w:pPr>
            <w:r w:rsidRPr="004566A6">
              <w:rPr>
                <w:rFonts w:ascii="Calibri" w:eastAsia="Times New Roman" w:hAnsi="Calibri" w:cs="Calibri"/>
                <w:sz w:val="18"/>
                <w:szCs w:val="18"/>
                <w:lang w:eastAsia="hr-HR"/>
              </w:rPr>
              <w:t>1</w:t>
            </w:r>
          </w:p>
        </w:tc>
        <w:tc>
          <w:tcPr>
            <w:tcW w:w="448" w:type="dxa"/>
            <w:gridSpan w:val="2"/>
            <w:tcBorders>
              <w:top w:val="nil"/>
              <w:left w:val="nil"/>
              <w:bottom w:val="single" w:sz="4" w:space="0" w:color="auto"/>
              <w:right w:val="single" w:sz="4" w:space="0" w:color="auto"/>
            </w:tcBorders>
            <w:shd w:val="clear" w:color="000000" w:fill="66FFCC"/>
            <w:noWrap/>
            <w:vAlign w:val="bottom"/>
            <w:hideMark/>
          </w:tcPr>
          <w:p w14:paraId="55648439" w14:textId="77777777" w:rsidR="004566A6" w:rsidRPr="004566A6" w:rsidRDefault="004566A6" w:rsidP="004566A6">
            <w:pPr>
              <w:spacing w:after="0" w:line="240" w:lineRule="auto"/>
              <w:jc w:val="right"/>
              <w:rPr>
                <w:rFonts w:ascii="Calibri" w:eastAsia="Times New Roman" w:hAnsi="Calibri" w:cs="Calibri"/>
                <w:sz w:val="18"/>
                <w:szCs w:val="18"/>
                <w:lang w:eastAsia="hr-HR"/>
              </w:rPr>
            </w:pPr>
            <w:r w:rsidRPr="004566A6">
              <w:rPr>
                <w:rFonts w:ascii="Calibri" w:eastAsia="Times New Roman" w:hAnsi="Calibri" w:cs="Calibri"/>
                <w:sz w:val="18"/>
                <w:szCs w:val="18"/>
                <w:lang w:eastAsia="hr-HR"/>
              </w:rPr>
              <w:t>0</w:t>
            </w:r>
          </w:p>
        </w:tc>
        <w:tc>
          <w:tcPr>
            <w:tcW w:w="448" w:type="dxa"/>
            <w:tcBorders>
              <w:top w:val="nil"/>
              <w:left w:val="nil"/>
              <w:bottom w:val="single" w:sz="4" w:space="0" w:color="auto"/>
              <w:right w:val="single" w:sz="4" w:space="0" w:color="auto"/>
            </w:tcBorders>
            <w:shd w:val="clear" w:color="000000" w:fill="66FFCC"/>
            <w:noWrap/>
            <w:vAlign w:val="bottom"/>
            <w:hideMark/>
          </w:tcPr>
          <w:p w14:paraId="0C315182" w14:textId="77777777" w:rsidR="004566A6" w:rsidRPr="004566A6" w:rsidRDefault="004566A6" w:rsidP="004566A6">
            <w:pPr>
              <w:spacing w:after="0" w:line="240" w:lineRule="auto"/>
              <w:jc w:val="right"/>
              <w:rPr>
                <w:rFonts w:ascii="Calibri" w:eastAsia="Times New Roman" w:hAnsi="Calibri" w:cs="Calibri"/>
                <w:sz w:val="18"/>
                <w:szCs w:val="18"/>
                <w:lang w:eastAsia="hr-HR"/>
              </w:rPr>
            </w:pPr>
            <w:r w:rsidRPr="004566A6">
              <w:rPr>
                <w:rFonts w:ascii="Calibri" w:eastAsia="Times New Roman" w:hAnsi="Calibri" w:cs="Calibri"/>
                <w:sz w:val="18"/>
                <w:szCs w:val="18"/>
                <w:lang w:eastAsia="hr-HR"/>
              </w:rPr>
              <w:t>1</w:t>
            </w:r>
          </w:p>
        </w:tc>
        <w:tc>
          <w:tcPr>
            <w:tcW w:w="448" w:type="dxa"/>
            <w:tcBorders>
              <w:top w:val="nil"/>
              <w:left w:val="nil"/>
              <w:bottom w:val="single" w:sz="4" w:space="0" w:color="auto"/>
              <w:right w:val="single" w:sz="4" w:space="0" w:color="auto"/>
            </w:tcBorders>
            <w:shd w:val="clear" w:color="000000" w:fill="66FFCC"/>
            <w:noWrap/>
            <w:vAlign w:val="bottom"/>
            <w:hideMark/>
          </w:tcPr>
          <w:p w14:paraId="5B1090B0" w14:textId="77777777" w:rsidR="004566A6" w:rsidRPr="004566A6" w:rsidRDefault="004566A6" w:rsidP="004566A6">
            <w:pPr>
              <w:spacing w:after="0" w:line="240" w:lineRule="auto"/>
              <w:jc w:val="right"/>
              <w:rPr>
                <w:rFonts w:ascii="Calibri" w:eastAsia="Times New Roman" w:hAnsi="Calibri" w:cs="Calibri"/>
                <w:sz w:val="18"/>
                <w:szCs w:val="18"/>
                <w:lang w:eastAsia="hr-HR"/>
              </w:rPr>
            </w:pPr>
            <w:r w:rsidRPr="004566A6">
              <w:rPr>
                <w:rFonts w:ascii="Calibri" w:eastAsia="Times New Roman" w:hAnsi="Calibri" w:cs="Calibri"/>
                <w:sz w:val="18"/>
                <w:szCs w:val="18"/>
                <w:lang w:eastAsia="hr-HR"/>
              </w:rPr>
              <w:t>0</w:t>
            </w:r>
          </w:p>
        </w:tc>
        <w:tc>
          <w:tcPr>
            <w:tcW w:w="476" w:type="dxa"/>
            <w:tcBorders>
              <w:top w:val="nil"/>
              <w:left w:val="nil"/>
              <w:bottom w:val="single" w:sz="4" w:space="0" w:color="auto"/>
              <w:right w:val="single" w:sz="4" w:space="0" w:color="auto"/>
            </w:tcBorders>
            <w:shd w:val="clear" w:color="000000" w:fill="66FFCC"/>
            <w:noWrap/>
            <w:vAlign w:val="bottom"/>
            <w:hideMark/>
          </w:tcPr>
          <w:p w14:paraId="258B8D13" w14:textId="77777777" w:rsidR="004566A6" w:rsidRPr="004566A6" w:rsidRDefault="004566A6" w:rsidP="004566A6">
            <w:pPr>
              <w:spacing w:after="0" w:line="240" w:lineRule="auto"/>
              <w:jc w:val="right"/>
              <w:rPr>
                <w:rFonts w:ascii="Calibri" w:eastAsia="Times New Roman" w:hAnsi="Calibri" w:cs="Calibri"/>
                <w:sz w:val="18"/>
                <w:szCs w:val="18"/>
                <w:lang w:eastAsia="hr-HR"/>
              </w:rPr>
            </w:pPr>
            <w:r w:rsidRPr="004566A6">
              <w:rPr>
                <w:rFonts w:ascii="Calibri" w:eastAsia="Times New Roman" w:hAnsi="Calibri" w:cs="Calibri"/>
                <w:sz w:val="18"/>
                <w:szCs w:val="18"/>
                <w:lang w:eastAsia="hr-HR"/>
              </w:rPr>
              <w:t>1</w:t>
            </w:r>
          </w:p>
        </w:tc>
        <w:tc>
          <w:tcPr>
            <w:tcW w:w="557" w:type="dxa"/>
            <w:gridSpan w:val="2"/>
            <w:tcBorders>
              <w:top w:val="nil"/>
              <w:left w:val="nil"/>
              <w:bottom w:val="single" w:sz="4" w:space="0" w:color="auto"/>
              <w:right w:val="single" w:sz="4" w:space="0" w:color="auto"/>
            </w:tcBorders>
            <w:shd w:val="clear" w:color="000000" w:fill="FFFF00"/>
            <w:vAlign w:val="center"/>
            <w:hideMark/>
          </w:tcPr>
          <w:p w14:paraId="75AFE346" w14:textId="77777777" w:rsidR="004566A6" w:rsidRPr="004566A6" w:rsidRDefault="004566A6" w:rsidP="004566A6">
            <w:pPr>
              <w:spacing w:after="0" w:line="240" w:lineRule="auto"/>
              <w:jc w:val="center"/>
              <w:rPr>
                <w:rFonts w:ascii="Calibri" w:eastAsia="Times New Roman" w:hAnsi="Calibri" w:cs="Calibri"/>
                <w:sz w:val="18"/>
                <w:szCs w:val="18"/>
                <w:lang w:eastAsia="hr-HR"/>
              </w:rPr>
            </w:pPr>
            <w:r w:rsidRPr="004566A6">
              <w:rPr>
                <w:rFonts w:ascii="Calibri" w:eastAsia="Times New Roman" w:hAnsi="Calibri" w:cs="Calibri"/>
                <w:sz w:val="18"/>
                <w:szCs w:val="18"/>
                <w:lang w:eastAsia="hr-HR"/>
              </w:rPr>
              <w:t>2</w:t>
            </w:r>
          </w:p>
        </w:tc>
        <w:tc>
          <w:tcPr>
            <w:tcW w:w="515" w:type="dxa"/>
            <w:gridSpan w:val="2"/>
            <w:tcBorders>
              <w:top w:val="nil"/>
              <w:left w:val="nil"/>
              <w:bottom w:val="single" w:sz="4" w:space="0" w:color="auto"/>
              <w:right w:val="single" w:sz="4" w:space="0" w:color="auto"/>
            </w:tcBorders>
            <w:shd w:val="clear" w:color="000000" w:fill="FFFF99"/>
            <w:vAlign w:val="center"/>
            <w:hideMark/>
          </w:tcPr>
          <w:p w14:paraId="77AED84E" w14:textId="77777777" w:rsidR="004566A6" w:rsidRPr="004566A6" w:rsidRDefault="004566A6" w:rsidP="004566A6">
            <w:pPr>
              <w:spacing w:after="0" w:line="240" w:lineRule="auto"/>
              <w:jc w:val="center"/>
              <w:rPr>
                <w:rFonts w:ascii="Calibri" w:eastAsia="Times New Roman" w:hAnsi="Calibri" w:cs="Calibri"/>
                <w:sz w:val="18"/>
                <w:szCs w:val="18"/>
                <w:lang w:eastAsia="hr-HR"/>
              </w:rPr>
            </w:pPr>
            <w:r w:rsidRPr="004566A6">
              <w:rPr>
                <w:rFonts w:ascii="Calibri" w:eastAsia="Times New Roman" w:hAnsi="Calibri" w:cs="Calibri"/>
                <w:sz w:val="18"/>
                <w:szCs w:val="18"/>
                <w:lang w:eastAsia="hr-HR"/>
              </w:rPr>
              <w:t>4</w:t>
            </w:r>
          </w:p>
        </w:tc>
        <w:tc>
          <w:tcPr>
            <w:tcW w:w="855" w:type="dxa"/>
            <w:gridSpan w:val="2"/>
            <w:tcBorders>
              <w:top w:val="nil"/>
              <w:left w:val="nil"/>
              <w:bottom w:val="single" w:sz="4" w:space="0" w:color="auto"/>
              <w:right w:val="single" w:sz="4" w:space="0" w:color="auto"/>
            </w:tcBorders>
            <w:shd w:val="clear" w:color="000000" w:fill="FF9900"/>
            <w:vAlign w:val="center"/>
            <w:hideMark/>
          </w:tcPr>
          <w:p w14:paraId="09AD2D7D" w14:textId="77777777" w:rsidR="004566A6" w:rsidRPr="004566A6" w:rsidRDefault="004566A6" w:rsidP="004566A6">
            <w:pPr>
              <w:spacing w:after="0" w:line="240" w:lineRule="auto"/>
              <w:jc w:val="center"/>
              <w:rPr>
                <w:rFonts w:ascii="Calibri" w:eastAsia="Times New Roman" w:hAnsi="Calibri" w:cs="Calibri"/>
                <w:sz w:val="18"/>
                <w:szCs w:val="18"/>
                <w:lang w:eastAsia="hr-HR"/>
              </w:rPr>
            </w:pPr>
            <w:r w:rsidRPr="004566A6">
              <w:rPr>
                <w:rFonts w:ascii="Calibri" w:eastAsia="Times New Roman" w:hAnsi="Calibri" w:cs="Calibri"/>
                <w:sz w:val="18"/>
                <w:szCs w:val="18"/>
                <w:lang w:eastAsia="hr-HR"/>
              </w:rPr>
              <w:t>1</w:t>
            </w:r>
          </w:p>
        </w:tc>
        <w:tc>
          <w:tcPr>
            <w:tcW w:w="445" w:type="dxa"/>
            <w:gridSpan w:val="2"/>
            <w:tcBorders>
              <w:top w:val="nil"/>
              <w:left w:val="nil"/>
              <w:bottom w:val="single" w:sz="4" w:space="0" w:color="auto"/>
              <w:right w:val="single" w:sz="4" w:space="0" w:color="auto"/>
            </w:tcBorders>
            <w:shd w:val="clear" w:color="000000" w:fill="CCFFFF"/>
            <w:vAlign w:val="bottom"/>
            <w:hideMark/>
          </w:tcPr>
          <w:p w14:paraId="53B6BF58" w14:textId="77777777" w:rsidR="004566A6" w:rsidRPr="004566A6" w:rsidRDefault="004566A6" w:rsidP="004566A6">
            <w:pPr>
              <w:spacing w:after="0" w:line="240" w:lineRule="auto"/>
              <w:jc w:val="right"/>
              <w:rPr>
                <w:rFonts w:ascii="Calibri" w:eastAsia="Times New Roman" w:hAnsi="Calibri" w:cs="Calibri"/>
                <w:sz w:val="18"/>
                <w:szCs w:val="18"/>
                <w:lang w:eastAsia="hr-HR"/>
              </w:rPr>
            </w:pPr>
            <w:r w:rsidRPr="004566A6">
              <w:rPr>
                <w:rFonts w:ascii="Calibri" w:eastAsia="Times New Roman" w:hAnsi="Calibri" w:cs="Calibri"/>
                <w:sz w:val="18"/>
                <w:szCs w:val="18"/>
                <w:lang w:eastAsia="hr-HR"/>
              </w:rPr>
              <w:t>0</w:t>
            </w:r>
          </w:p>
        </w:tc>
        <w:tc>
          <w:tcPr>
            <w:tcW w:w="445" w:type="dxa"/>
            <w:tcBorders>
              <w:top w:val="nil"/>
              <w:left w:val="nil"/>
              <w:bottom w:val="single" w:sz="4" w:space="0" w:color="auto"/>
              <w:right w:val="single" w:sz="4" w:space="0" w:color="auto"/>
            </w:tcBorders>
            <w:shd w:val="clear" w:color="000000" w:fill="CCFFFF"/>
            <w:vAlign w:val="bottom"/>
            <w:hideMark/>
          </w:tcPr>
          <w:p w14:paraId="24D76FE2" w14:textId="77777777" w:rsidR="004566A6" w:rsidRPr="004566A6" w:rsidRDefault="004566A6" w:rsidP="004566A6">
            <w:pPr>
              <w:spacing w:after="0" w:line="240" w:lineRule="auto"/>
              <w:jc w:val="right"/>
              <w:rPr>
                <w:rFonts w:ascii="Calibri" w:eastAsia="Times New Roman" w:hAnsi="Calibri" w:cs="Calibri"/>
                <w:sz w:val="18"/>
                <w:szCs w:val="18"/>
                <w:lang w:eastAsia="hr-HR"/>
              </w:rPr>
            </w:pPr>
            <w:r w:rsidRPr="004566A6">
              <w:rPr>
                <w:rFonts w:ascii="Calibri" w:eastAsia="Times New Roman" w:hAnsi="Calibri" w:cs="Calibri"/>
                <w:sz w:val="18"/>
                <w:szCs w:val="18"/>
                <w:lang w:eastAsia="hr-HR"/>
              </w:rPr>
              <w:t>0</w:t>
            </w:r>
          </w:p>
        </w:tc>
        <w:tc>
          <w:tcPr>
            <w:tcW w:w="505" w:type="dxa"/>
            <w:tcBorders>
              <w:top w:val="nil"/>
              <w:left w:val="nil"/>
              <w:bottom w:val="single" w:sz="4" w:space="0" w:color="auto"/>
              <w:right w:val="single" w:sz="4" w:space="0" w:color="auto"/>
            </w:tcBorders>
            <w:shd w:val="clear" w:color="000000" w:fill="CCFFFF"/>
            <w:vAlign w:val="bottom"/>
            <w:hideMark/>
          </w:tcPr>
          <w:p w14:paraId="77EBED91" w14:textId="77777777" w:rsidR="004566A6" w:rsidRPr="004566A6" w:rsidRDefault="004566A6" w:rsidP="004566A6">
            <w:pPr>
              <w:spacing w:after="0" w:line="240" w:lineRule="auto"/>
              <w:jc w:val="right"/>
              <w:rPr>
                <w:rFonts w:ascii="Calibri" w:eastAsia="Times New Roman" w:hAnsi="Calibri" w:cs="Calibri"/>
                <w:sz w:val="18"/>
                <w:szCs w:val="18"/>
                <w:lang w:eastAsia="hr-HR"/>
              </w:rPr>
            </w:pPr>
            <w:r w:rsidRPr="004566A6">
              <w:rPr>
                <w:rFonts w:ascii="Calibri" w:eastAsia="Times New Roman" w:hAnsi="Calibri" w:cs="Calibri"/>
                <w:sz w:val="18"/>
                <w:szCs w:val="18"/>
                <w:lang w:eastAsia="hr-HR"/>
              </w:rPr>
              <w:t>1</w:t>
            </w:r>
          </w:p>
        </w:tc>
        <w:tc>
          <w:tcPr>
            <w:tcW w:w="797" w:type="dxa"/>
            <w:gridSpan w:val="2"/>
            <w:tcBorders>
              <w:top w:val="nil"/>
              <w:left w:val="nil"/>
              <w:bottom w:val="single" w:sz="4" w:space="0" w:color="auto"/>
              <w:right w:val="nil"/>
            </w:tcBorders>
            <w:shd w:val="clear" w:color="000000" w:fill="33CCCC"/>
            <w:noWrap/>
            <w:vAlign w:val="bottom"/>
            <w:hideMark/>
          </w:tcPr>
          <w:p w14:paraId="3105C3EB" w14:textId="77777777" w:rsidR="004566A6" w:rsidRPr="004566A6" w:rsidRDefault="004566A6" w:rsidP="004566A6">
            <w:pPr>
              <w:spacing w:after="0" w:line="240" w:lineRule="auto"/>
              <w:jc w:val="right"/>
              <w:rPr>
                <w:rFonts w:ascii="Calibri" w:eastAsia="Times New Roman" w:hAnsi="Calibri" w:cs="Calibri"/>
                <w:sz w:val="18"/>
                <w:szCs w:val="18"/>
                <w:lang w:eastAsia="hr-HR"/>
              </w:rPr>
            </w:pPr>
            <w:r w:rsidRPr="004566A6">
              <w:rPr>
                <w:rFonts w:ascii="Calibri" w:eastAsia="Times New Roman" w:hAnsi="Calibri" w:cs="Calibri"/>
                <w:sz w:val="18"/>
                <w:szCs w:val="18"/>
                <w:lang w:eastAsia="hr-HR"/>
              </w:rPr>
              <w:t>0</w:t>
            </w:r>
          </w:p>
        </w:tc>
        <w:tc>
          <w:tcPr>
            <w:tcW w:w="425" w:type="dxa"/>
            <w:gridSpan w:val="3"/>
            <w:tcBorders>
              <w:top w:val="nil"/>
              <w:left w:val="single" w:sz="4" w:space="0" w:color="auto"/>
              <w:bottom w:val="single" w:sz="4" w:space="0" w:color="auto"/>
              <w:right w:val="nil"/>
            </w:tcBorders>
            <w:shd w:val="clear" w:color="000000" w:fill="33CCCC"/>
            <w:noWrap/>
            <w:vAlign w:val="bottom"/>
            <w:hideMark/>
          </w:tcPr>
          <w:p w14:paraId="4539EC1B" w14:textId="77777777" w:rsidR="004566A6" w:rsidRPr="004566A6" w:rsidRDefault="004566A6" w:rsidP="004566A6">
            <w:pPr>
              <w:spacing w:after="0" w:line="240" w:lineRule="auto"/>
              <w:jc w:val="right"/>
              <w:rPr>
                <w:rFonts w:ascii="Calibri" w:eastAsia="Times New Roman" w:hAnsi="Calibri" w:cs="Calibri"/>
                <w:sz w:val="18"/>
                <w:szCs w:val="18"/>
                <w:lang w:eastAsia="hr-HR"/>
              </w:rPr>
            </w:pPr>
            <w:r w:rsidRPr="004566A6">
              <w:rPr>
                <w:rFonts w:ascii="Calibri" w:eastAsia="Times New Roman" w:hAnsi="Calibri" w:cs="Calibri"/>
                <w:sz w:val="18"/>
                <w:szCs w:val="18"/>
                <w:lang w:eastAsia="hr-HR"/>
              </w:rPr>
              <w:t>2</w:t>
            </w:r>
          </w:p>
        </w:tc>
        <w:tc>
          <w:tcPr>
            <w:tcW w:w="236" w:type="dxa"/>
            <w:gridSpan w:val="2"/>
            <w:vAlign w:val="center"/>
            <w:hideMark/>
          </w:tcPr>
          <w:p w14:paraId="5A23AA90" w14:textId="77777777" w:rsidR="004566A6" w:rsidRPr="004566A6" w:rsidRDefault="004566A6" w:rsidP="004566A6">
            <w:pPr>
              <w:spacing w:after="0" w:line="240" w:lineRule="auto"/>
              <w:rPr>
                <w:rFonts w:ascii="Times New Roman" w:eastAsia="Times New Roman" w:hAnsi="Times New Roman" w:cs="Times New Roman"/>
                <w:sz w:val="18"/>
                <w:szCs w:val="18"/>
                <w:lang w:eastAsia="hr-HR"/>
              </w:rPr>
            </w:pPr>
          </w:p>
        </w:tc>
      </w:tr>
      <w:tr w:rsidR="003D0C85" w:rsidRPr="004566A6" w14:paraId="7215F6E2" w14:textId="77777777" w:rsidTr="003D0C85">
        <w:trPr>
          <w:trHeight w:val="300"/>
        </w:trPr>
        <w:tc>
          <w:tcPr>
            <w:tcW w:w="1397" w:type="dxa"/>
            <w:tcBorders>
              <w:top w:val="single" w:sz="4" w:space="0" w:color="auto"/>
              <w:left w:val="single" w:sz="8" w:space="0" w:color="auto"/>
              <w:bottom w:val="single" w:sz="4" w:space="0" w:color="auto"/>
              <w:right w:val="single" w:sz="4" w:space="0" w:color="auto"/>
            </w:tcBorders>
            <w:shd w:val="clear" w:color="000000" w:fill="CCFFCC"/>
            <w:vAlign w:val="center"/>
            <w:hideMark/>
          </w:tcPr>
          <w:p w14:paraId="05BB3F34" w14:textId="77777777" w:rsidR="004566A6" w:rsidRPr="004566A6" w:rsidRDefault="004566A6" w:rsidP="004566A6">
            <w:pPr>
              <w:spacing w:after="0" w:line="240" w:lineRule="auto"/>
              <w:jc w:val="center"/>
              <w:rPr>
                <w:rFonts w:ascii="Calibri" w:eastAsia="Times New Roman" w:hAnsi="Calibri" w:cs="Calibri"/>
                <w:sz w:val="18"/>
                <w:szCs w:val="18"/>
                <w:lang w:eastAsia="hr-HR"/>
              </w:rPr>
            </w:pPr>
            <w:r w:rsidRPr="004566A6">
              <w:rPr>
                <w:rFonts w:ascii="Calibri" w:eastAsia="Times New Roman" w:hAnsi="Calibri" w:cs="Calibri"/>
                <w:sz w:val="18"/>
                <w:szCs w:val="18"/>
                <w:lang w:eastAsia="hr-HR"/>
              </w:rPr>
              <w:lastRenderedPageBreak/>
              <w:t>Nacionalno podrijetlo</w:t>
            </w:r>
          </w:p>
        </w:tc>
        <w:tc>
          <w:tcPr>
            <w:tcW w:w="576" w:type="dxa"/>
            <w:tcBorders>
              <w:top w:val="nil"/>
              <w:left w:val="nil"/>
              <w:bottom w:val="single" w:sz="4" w:space="0" w:color="auto"/>
              <w:right w:val="single" w:sz="4" w:space="0" w:color="auto"/>
            </w:tcBorders>
            <w:shd w:val="clear" w:color="000000" w:fill="CCFFCC"/>
            <w:vAlign w:val="center"/>
            <w:hideMark/>
          </w:tcPr>
          <w:p w14:paraId="7B745BF8" w14:textId="77777777" w:rsidR="004566A6" w:rsidRPr="004566A6" w:rsidRDefault="004566A6" w:rsidP="004566A6">
            <w:pPr>
              <w:spacing w:after="0" w:line="240" w:lineRule="auto"/>
              <w:jc w:val="center"/>
              <w:rPr>
                <w:rFonts w:ascii="Calibri" w:eastAsia="Times New Roman" w:hAnsi="Calibri" w:cs="Calibri"/>
                <w:sz w:val="18"/>
                <w:szCs w:val="18"/>
                <w:lang w:eastAsia="hr-HR"/>
              </w:rPr>
            </w:pPr>
            <w:r w:rsidRPr="004566A6">
              <w:rPr>
                <w:rFonts w:ascii="Calibri" w:eastAsia="Times New Roman" w:hAnsi="Calibri" w:cs="Calibri"/>
                <w:sz w:val="18"/>
                <w:szCs w:val="18"/>
                <w:lang w:eastAsia="hr-HR"/>
              </w:rPr>
              <w:t>32</w:t>
            </w:r>
          </w:p>
        </w:tc>
        <w:tc>
          <w:tcPr>
            <w:tcW w:w="444" w:type="dxa"/>
            <w:tcBorders>
              <w:top w:val="nil"/>
              <w:left w:val="nil"/>
              <w:bottom w:val="single" w:sz="4" w:space="0" w:color="auto"/>
              <w:right w:val="single" w:sz="4" w:space="0" w:color="auto"/>
            </w:tcBorders>
            <w:shd w:val="clear" w:color="000000" w:fill="FFCC99"/>
            <w:noWrap/>
            <w:vAlign w:val="bottom"/>
            <w:hideMark/>
          </w:tcPr>
          <w:p w14:paraId="39F92E22" w14:textId="77777777" w:rsidR="004566A6" w:rsidRPr="004566A6" w:rsidRDefault="004566A6" w:rsidP="004566A6">
            <w:pPr>
              <w:spacing w:after="0" w:line="240" w:lineRule="auto"/>
              <w:jc w:val="center"/>
              <w:rPr>
                <w:rFonts w:ascii="Calibri" w:eastAsia="Times New Roman" w:hAnsi="Calibri" w:cs="Calibri"/>
                <w:sz w:val="18"/>
                <w:szCs w:val="18"/>
                <w:lang w:eastAsia="hr-HR"/>
              </w:rPr>
            </w:pPr>
            <w:r w:rsidRPr="004566A6">
              <w:rPr>
                <w:rFonts w:ascii="Calibri" w:eastAsia="Times New Roman" w:hAnsi="Calibri" w:cs="Calibri"/>
                <w:sz w:val="18"/>
                <w:szCs w:val="18"/>
                <w:lang w:eastAsia="hr-HR"/>
              </w:rPr>
              <w:t>27</w:t>
            </w:r>
          </w:p>
        </w:tc>
        <w:tc>
          <w:tcPr>
            <w:tcW w:w="405" w:type="dxa"/>
            <w:tcBorders>
              <w:top w:val="nil"/>
              <w:left w:val="nil"/>
              <w:bottom w:val="single" w:sz="4" w:space="0" w:color="auto"/>
              <w:right w:val="single" w:sz="4" w:space="0" w:color="auto"/>
            </w:tcBorders>
            <w:shd w:val="clear" w:color="000000" w:fill="CCFFFF"/>
            <w:noWrap/>
            <w:vAlign w:val="bottom"/>
            <w:hideMark/>
          </w:tcPr>
          <w:p w14:paraId="276B9DB4" w14:textId="77777777" w:rsidR="004566A6" w:rsidRPr="004566A6" w:rsidRDefault="004566A6" w:rsidP="004566A6">
            <w:pPr>
              <w:spacing w:after="0" w:line="240" w:lineRule="auto"/>
              <w:jc w:val="right"/>
              <w:rPr>
                <w:rFonts w:ascii="Calibri" w:eastAsia="Times New Roman" w:hAnsi="Calibri" w:cs="Calibri"/>
                <w:sz w:val="18"/>
                <w:szCs w:val="18"/>
                <w:lang w:eastAsia="hr-HR"/>
              </w:rPr>
            </w:pPr>
            <w:r w:rsidRPr="004566A6">
              <w:rPr>
                <w:rFonts w:ascii="Calibri" w:eastAsia="Times New Roman" w:hAnsi="Calibri" w:cs="Calibri"/>
                <w:sz w:val="18"/>
                <w:szCs w:val="18"/>
                <w:lang w:eastAsia="hr-HR"/>
              </w:rPr>
              <w:t>8</w:t>
            </w:r>
          </w:p>
        </w:tc>
        <w:tc>
          <w:tcPr>
            <w:tcW w:w="462" w:type="dxa"/>
            <w:tcBorders>
              <w:top w:val="nil"/>
              <w:left w:val="nil"/>
              <w:bottom w:val="single" w:sz="4" w:space="0" w:color="auto"/>
              <w:right w:val="single" w:sz="4" w:space="0" w:color="auto"/>
            </w:tcBorders>
            <w:shd w:val="clear" w:color="000000" w:fill="CCFFFF"/>
            <w:noWrap/>
            <w:vAlign w:val="bottom"/>
            <w:hideMark/>
          </w:tcPr>
          <w:p w14:paraId="668DC394" w14:textId="77777777" w:rsidR="004566A6" w:rsidRPr="004566A6" w:rsidRDefault="004566A6" w:rsidP="004566A6">
            <w:pPr>
              <w:spacing w:after="0" w:line="240" w:lineRule="auto"/>
              <w:jc w:val="right"/>
              <w:rPr>
                <w:rFonts w:ascii="Calibri" w:eastAsia="Times New Roman" w:hAnsi="Calibri" w:cs="Calibri"/>
                <w:sz w:val="18"/>
                <w:szCs w:val="18"/>
                <w:lang w:eastAsia="hr-HR"/>
              </w:rPr>
            </w:pPr>
            <w:r w:rsidRPr="004566A6">
              <w:rPr>
                <w:rFonts w:ascii="Calibri" w:eastAsia="Times New Roman" w:hAnsi="Calibri" w:cs="Calibri"/>
                <w:sz w:val="18"/>
                <w:szCs w:val="18"/>
                <w:lang w:eastAsia="hr-HR"/>
              </w:rPr>
              <w:t>18</w:t>
            </w:r>
          </w:p>
        </w:tc>
        <w:tc>
          <w:tcPr>
            <w:tcW w:w="455" w:type="dxa"/>
            <w:tcBorders>
              <w:top w:val="nil"/>
              <w:left w:val="nil"/>
              <w:bottom w:val="single" w:sz="4" w:space="0" w:color="auto"/>
              <w:right w:val="single" w:sz="4" w:space="0" w:color="auto"/>
            </w:tcBorders>
            <w:shd w:val="clear" w:color="000000" w:fill="FFFF99"/>
            <w:noWrap/>
            <w:vAlign w:val="bottom"/>
            <w:hideMark/>
          </w:tcPr>
          <w:p w14:paraId="6794DFA7" w14:textId="77777777" w:rsidR="004566A6" w:rsidRPr="004566A6" w:rsidRDefault="004566A6" w:rsidP="004566A6">
            <w:pPr>
              <w:spacing w:after="0" w:line="240" w:lineRule="auto"/>
              <w:jc w:val="center"/>
              <w:rPr>
                <w:rFonts w:ascii="Calibri" w:eastAsia="Times New Roman" w:hAnsi="Calibri" w:cs="Calibri"/>
                <w:sz w:val="18"/>
                <w:szCs w:val="18"/>
                <w:lang w:eastAsia="hr-HR"/>
              </w:rPr>
            </w:pPr>
            <w:r w:rsidRPr="004566A6">
              <w:rPr>
                <w:rFonts w:ascii="Calibri" w:eastAsia="Times New Roman" w:hAnsi="Calibri" w:cs="Calibri"/>
                <w:sz w:val="18"/>
                <w:szCs w:val="18"/>
                <w:lang w:eastAsia="hr-HR"/>
              </w:rPr>
              <w:t>23</w:t>
            </w:r>
          </w:p>
        </w:tc>
        <w:tc>
          <w:tcPr>
            <w:tcW w:w="567" w:type="dxa"/>
            <w:tcBorders>
              <w:top w:val="nil"/>
              <w:left w:val="nil"/>
              <w:bottom w:val="single" w:sz="4" w:space="0" w:color="auto"/>
              <w:right w:val="single" w:sz="4" w:space="0" w:color="auto"/>
            </w:tcBorders>
            <w:shd w:val="clear" w:color="000000" w:fill="FFFF99"/>
            <w:noWrap/>
            <w:vAlign w:val="bottom"/>
            <w:hideMark/>
          </w:tcPr>
          <w:p w14:paraId="5554F02B" w14:textId="77777777" w:rsidR="004566A6" w:rsidRPr="004566A6" w:rsidRDefault="004566A6" w:rsidP="004566A6">
            <w:pPr>
              <w:spacing w:after="0" w:line="240" w:lineRule="auto"/>
              <w:jc w:val="center"/>
              <w:rPr>
                <w:rFonts w:ascii="Calibri" w:eastAsia="Times New Roman" w:hAnsi="Calibri" w:cs="Calibri"/>
                <w:sz w:val="18"/>
                <w:szCs w:val="18"/>
                <w:lang w:eastAsia="hr-HR"/>
              </w:rPr>
            </w:pPr>
            <w:r w:rsidRPr="004566A6">
              <w:rPr>
                <w:rFonts w:ascii="Calibri" w:eastAsia="Times New Roman" w:hAnsi="Calibri" w:cs="Calibri"/>
                <w:sz w:val="18"/>
                <w:szCs w:val="18"/>
                <w:lang w:eastAsia="hr-HR"/>
              </w:rPr>
              <w:t>0</w:t>
            </w:r>
          </w:p>
        </w:tc>
        <w:tc>
          <w:tcPr>
            <w:tcW w:w="708" w:type="dxa"/>
            <w:tcBorders>
              <w:top w:val="nil"/>
              <w:left w:val="nil"/>
              <w:bottom w:val="single" w:sz="4" w:space="0" w:color="auto"/>
              <w:right w:val="single" w:sz="4" w:space="0" w:color="auto"/>
            </w:tcBorders>
            <w:shd w:val="clear" w:color="000000" w:fill="FFFF99"/>
            <w:noWrap/>
            <w:vAlign w:val="bottom"/>
            <w:hideMark/>
          </w:tcPr>
          <w:p w14:paraId="368E8E0B" w14:textId="77777777" w:rsidR="004566A6" w:rsidRPr="004566A6" w:rsidRDefault="004566A6" w:rsidP="004566A6">
            <w:pPr>
              <w:spacing w:after="0" w:line="240" w:lineRule="auto"/>
              <w:jc w:val="center"/>
              <w:rPr>
                <w:rFonts w:ascii="Calibri" w:eastAsia="Times New Roman" w:hAnsi="Calibri" w:cs="Calibri"/>
                <w:sz w:val="18"/>
                <w:szCs w:val="18"/>
                <w:lang w:eastAsia="hr-HR"/>
              </w:rPr>
            </w:pPr>
            <w:r w:rsidRPr="004566A6">
              <w:rPr>
                <w:rFonts w:ascii="Calibri" w:eastAsia="Times New Roman" w:hAnsi="Calibri" w:cs="Calibri"/>
                <w:sz w:val="18"/>
                <w:szCs w:val="18"/>
                <w:lang w:eastAsia="hr-HR"/>
              </w:rPr>
              <w:t>0</w:t>
            </w:r>
          </w:p>
        </w:tc>
        <w:tc>
          <w:tcPr>
            <w:tcW w:w="448" w:type="dxa"/>
            <w:tcBorders>
              <w:top w:val="nil"/>
              <w:left w:val="nil"/>
              <w:bottom w:val="single" w:sz="4" w:space="0" w:color="auto"/>
              <w:right w:val="single" w:sz="4" w:space="0" w:color="auto"/>
            </w:tcBorders>
            <w:shd w:val="clear" w:color="000000" w:fill="FFFF99"/>
            <w:noWrap/>
            <w:vAlign w:val="bottom"/>
            <w:hideMark/>
          </w:tcPr>
          <w:p w14:paraId="15EC0F78" w14:textId="77777777" w:rsidR="004566A6" w:rsidRPr="004566A6" w:rsidRDefault="004566A6" w:rsidP="004566A6">
            <w:pPr>
              <w:spacing w:after="0" w:line="240" w:lineRule="auto"/>
              <w:jc w:val="center"/>
              <w:rPr>
                <w:rFonts w:ascii="Calibri" w:eastAsia="Times New Roman" w:hAnsi="Calibri" w:cs="Calibri"/>
                <w:sz w:val="18"/>
                <w:szCs w:val="18"/>
                <w:lang w:eastAsia="hr-HR"/>
              </w:rPr>
            </w:pPr>
            <w:r w:rsidRPr="004566A6">
              <w:rPr>
                <w:rFonts w:ascii="Calibri" w:eastAsia="Times New Roman" w:hAnsi="Calibri" w:cs="Calibri"/>
                <w:sz w:val="18"/>
                <w:szCs w:val="18"/>
                <w:lang w:eastAsia="hr-HR"/>
              </w:rPr>
              <w:t>0</w:t>
            </w:r>
          </w:p>
        </w:tc>
        <w:tc>
          <w:tcPr>
            <w:tcW w:w="680" w:type="dxa"/>
            <w:tcBorders>
              <w:top w:val="nil"/>
              <w:left w:val="nil"/>
              <w:bottom w:val="single" w:sz="4" w:space="0" w:color="auto"/>
              <w:right w:val="single" w:sz="4" w:space="0" w:color="auto"/>
            </w:tcBorders>
            <w:shd w:val="clear" w:color="000000" w:fill="FFFF99"/>
            <w:noWrap/>
            <w:vAlign w:val="bottom"/>
            <w:hideMark/>
          </w:tcPr>
          <w:p w14:paraId="1C1A2F69" w14:textId="77777777" w:rsidR="004566A6" w:rsidRPr="004566A6" w:rsidRDefault="004566A6" w:rsidP="004566A6">
            <w:pPr>
              <w:spacing w:after="0" w:line="240" w:lineRule="auto"/>
              <w:jc w:val="center"/>
              <w:rPr>
                <w:rFonts w:ascii="Calibri" w:eastAsia="Times New Roman" w:hAnsi="Calibri" w:cs="Calibri"/>
                <w:sz w:val="18"/>
                <w:szCs w:val="18"/>
                <w:lang w:eastAsia="hr-HR"/>
              </w:rPr>
            </w:pPr>
            <w:r w:rsidRPr="004566A6">
              <w:rPr>
                <w:rFonts w:ascii="Calibri" w:eastAsia="Times New Roman" w:hAnsi="Calibri" w:cs="Calibri"/>
                <w:sz w:val="18"/>
                <w:szCs w:val="18"/>
                <w:lang w:eastAsia="hr-HR"/>
              </w:rPr>
              <w:t>5</w:t>
            </w:r>
          </w:p>
        </w:tc>
        <w:tc>
          <w:tcPr>
            <w:tcW w:w="573" w:type="dxa"/>
            <w:gridSpan w:val="2"/>
            <w:tcBorders>
              <w:top w:val="nil"/>
              <w:left w:val="nil"/>
              <w:bottom w:val="single" w:sz="4" w:space="0" w:color="auto"/>
              <w:right w:val="single" w:sz="4" w:space="0" w:color="auto"/>
            </w:tcBorders>
            <w:shd w:val="clear" w:color="000000" w:fill="FF9900"/>
            <w:noWrap/>
            <w:vAlign w:val="bottom"/>
            <w:hideMark/>
          </w:tcPr>
          <w:p w14:paraId="33998731" w14:textId="77777777" w:rsidR="004566A6" w:rsidRPr="004566A6" w:rsidRDefault="004566A6" w:rsidP="004566A6">
            <w:pPr>
              <w:spacing w:after="0" w:line="240" w:lineRule="auto"/>
              <w:jc w:val="right"/>
              <w:rPr>
                <w:rFonts w:ascii="Calibri" w:eastAsia="Times New Roman" w:hAnsi="Calibri" w:cs="Calibri"/>
                <w:sz w:val="18"/>
                <w:szCs w:val="18"/>
                <w:lang w:eastAsia="hr-HR"/>
              </w:rPr>
            </w:pPr>
            <w:r w:rsidRPr="004566A6">
              <w:rPr>
                <w:rFonts w:ascii="Calibri" w:eastAsia="Times New Roman" w:hAnsi="Calibri" w:cs="Calibri"/>
                <w:sz w:val="18"/>
                <w:szCs w:val="18"/>
                <w:lang w:eastAsia="hr-HR"/>
              </w:rPr>
              <w:t>19</w:t>
            </w:r>
          </w:p>
        </w:tc>
        <w:tc>
          <w:tcPr>
            <w:tcW w:w="567" w:type="dxa"/>
            <w:tcBorders>
              <w:top w:val="nil"/>
              <w:left w:val="nil"/>
              <w:bottom w:val="single" w:sz="4" w:space="0" w:color="auto"/>
              <w:right w:val="single" w:sz="4" w:space="0" w:color="auto"/>
            </w:tcBorders>
            <w:shd w:val="clear" w:color="000000" w:fill="FF9900"/>
            <w:noWrap/>
            <w:vAlign w:val="bottom"/>
            <w:hideMark/>
          </w:tcPr>
          <w:p w14:paraId="23E4378C" w14:textId="77777777" w:rsidR="004566A6" w:rsidRPr="004566A6" w:rsidRDefault="004566A6" w:rsidP="004566A6">
            <w:pPr>
              <w:spacing w:after="0" w:line="240" w:lineRule="auto"/>
              <w:jc w:val="right"/>
              <w:rPr>
                <w:rFonts w:ascii="Calibri" w:eastAsia="Times New Roman" w:hAnsi="Calibri" w:cs="Calibri"/>
                <w:sz w:val="18"/>
                <w:szCs w:val="18"/>
                <w:lang w:eastAsia="hr-HR"/>
              </w:rPr>
            </w:pPr>
            <w:r w:rsidRPr="004566A6">
              <w:rPr>
                <w:rFonts w:ascii="Calibri" w:eastAsia="Times New Roman" w:hAnsi="Calibri" w:cs="Calibri"/>
                <w:sz w:val="18"/>
                <w:szCs w:val="18"/>
                <w:lang w:eastAsia="hr-HR"/>
              </w:rPr>
              <w:t>9</w:t>
            </w:r>
          </w:p>
        </w:tc>
        <w:tc>
          <w:tcPr>
            <w:tcW w:w="448" w:type="dxa"/>
            <w:tcBorders>
              <w:top w:val="nil"/>
              <w:left w:val="nil"/>
              <w:bottom w:val="single" w:sz="4" w:space="0" w:color="auto"/>
              <w:right w:val="single" w:sz="4" w:space="0" w:color="auto"/>
            </w:tcBorders>
            <w:shd w:val="clear" w:color="000000" w:fill="FF9900"/>
            <w:noWrap/>
            <w:vAlign w:val="bottom"/>
            <w:hideMark/>
          </w:tcPr>
          <w:p w14:paraId="0533BA0C" w14:textId="77777777" w:rsidR="004566A6" w:rsidRPr="004566A6" w:rsidRDefault="004566A6" w:rsidP="004566A6">
            <w:pPr>
              <w:spacing w:after="0" w:line="240" w:lineRule="auto"/>
              <w:jc w:val="right"/>
              <w:rPr>
                <w:rFonts w:ascii="Calibri" w:eastAsia="Times New Roman" w:hAnsi="Calibri" w:cs="Calibri"/>
                <w:sz w:val="18"/>
                <w:szCs w:val="18"/>
                <w:lang w:eastAsia="hr-HR"/>
              </w:rPr>
            </w:pPr>
            <w:r w:rsidRPr="004566A6">
              <w:rPr>
                <w:rFonts w:ascii="Calibri" w:eastAsia="Times New Roman" w:hAnsi="Calibri" w:cs="Calibri"/>
                <w:sz w:val="18"/>
                <w:szCs w:val="18"/>
                <w:lang w:eastAsia="hr-HR"/>
              </w:rPr>
              <w:t>8</w:t>
            </w:r>
          </w:p>
        </w:tc>
        <w:tc>
          <w:tcPr>
            <w:tcW w:w="448" w:type="dxa"/>
            <w:gridSpan w:val="2"/>
            <w:tcBorders>
              <w:top w:val="nil"/>
              <w:left w:val="nil"/>
              <w:bottom w:val="single" w:sz="4" w:space="0" w:color="auto"/>
              <w:right w:val="single" w:sz="4" w:space="0" w:color="auto"/>
            </w:tcBorders>
            <w:shd w:val="clear" w:color="000000" w:fill="66FFCC"/>
            <w:noWrap/>
            <w:vAlign w:val="bottom"/>
            <w:hideMark/>
          </w:tcPr>
          <w:p w14:paraId="2C751D13" w14:textId="77777777" w:rsidR="004566A6" w:rsidRPr="004566A6" w:rsidRDefault="004566A6" w:rsidP="004566A6">
            <w:pPr>
              <w:spacing w:after="0" w:line="240" w:lineRule="auto"/>
              <w:jc w:val="right"/>
              <w:rPr>
                <w:rFonts w:ascii="Calibri" w:eastAsia="Times New Roman" w:hAnsi="Calibri" w:cs="Calibri"/>
                <w:sz w:val="18"/>
                <w:szCs w:val="18"/>
                <w:lang w:eastAsia="hr-HR"/>
              </w:rPr>
            </w:pPr>
            <w:r w:rsidRPr="004566A6">
              <w:rPr>
                <w:rFonts w:ascii="Calibri" w:eastAsia="Times New Roman" w:hAnsi="Calibri" w:cs="Calibri"/>
                <w:sz w:val="18"/>
                <w:szCs w:val="18"/>
                <w:lang w:eastAsia="hr-HR"/>
              </w:rPr>
              <w:t>0</w:t>
            </w:r>
          </w:p>
        </w:tc>
        <w:tc>
          <w:tcPr>
            <w:tcW w:w="448" w:type="dxa"/>
            <w:tcBorders>
              <w:top w:val="nil"/>
              <w:left w:val="nil"/>
              <w:bottom w:val="single" w:sz="4" w:space="0" w:color="auto"/>
              <w:right w:val="single" w:sz="4" w:space="0" w:color="auto"/>
            </w:tcBorders>
            <w:shd w:val="clear" w:color="000000" w:fill="66FFCC"/>
            <w:noWrap/>
            <w:vAlign w:val="bottom"/>
            <w:hideMark/>
          </w:tcPr>
          <w:p w14:paraId="23E93D04" w14:textId="77777777" w:rsidR="004566A6" w:rsidRPr="004566A6" w:rsidRDefault="004566A6" w:rsidP="004566A6">
            <w:pPr>
              <w:spacing w:after="0" w:line="240" w:lineRule="auto"/>
              <w:jc w:val="right"/>
              <w:rPr>
                <w:rFonts w:ascii="Calibri" w:eastAsia="Times New Roman" w:hAnsi="Calibri" w:cs="Calibri"/>
                <w:sz w:val="18"/>
                <w:szCs w:val="18"/>
                <w:lang w:eastAsia="hr-HR"/>
              </w:rPr>
            </w:pPr>
            <w:r w:rsidRPr="004566A6">
              <w:rPr>
                <w:rFonts w:ascii="Calibri" w:eastAsia="Times New Roman" w:hAnsi="Calibri" w:cs="Calibri"/>
                <w:sz w:val="18"/>
                <w:szCs w:val="18"/>
                <w:lang w:eastAsia="hr-HR"/>
              </w:rPr>
              <w:t>16</w:t>
            </w:r>
          </w:p>
        </w:tc>
        <w:tc>
          <w:tcPr>
            <w:tcW w:w="448" w:type="dxa"/>
            <w:tcBorders>
              <w:top w:val="nil"/>
              <w:left w:val="nil"/>
              <w:bottom w:val="single" w:sz="4" w:space="0" w:color="auto"/>
              <w:right w:val="single" w:sz="4" w:space="0" w:color="auto"/>
            </w:tcBorders>
            <w:shd w:val="clear" w:color="000000" w:fill="66FFCC"/>
            <w:noWrap/>
            <w:vAlign w:val="bottom"/>
            <w:hideMark/>
          </w:tcPr>
          <w:p w14:paraId="45D6977F" w14:textId="77777777" w:rsidR="004566A6" w:rsidRPr="004566A6" w:rsidRDefault="004566A6" w:rsidP="004566A6">
            <w:pPr>
              <w:spacing w:after="0" w:line="240" w:lineRule="auto"/>
              <w:jc w:val="right"/>
              <w:rPr>
                <w:rFonts w:ascii="Calibri" w:eastAsia="Times New Roman" w:hAnsi="Calibri" w:cs="Calibri"/>
                <w:sz w:val="18"/>
                <w:szCs w:val="18"/>
                <w:lang w:eastAsia="hr-HR"/>
              </w:rPr>
            </w:pPr>
            <w:r w:rsidRPr="004566A6">
              <w:rPr>
                <w:rFonts w:ascii="Calibri" w:eastAsia="Times New Roman" w:hAnsi="Calibri" w:cs="Calibri"/>
                <w:sz w:val="18"/>
                <w:szCs w:val="18"/>
                <w:lang w:eastAsia="hr-HR"/>
              </w:rPr>
              <w:t>3</w:t>
            </w:r>
          </w:p>
        </w:tc>
        <w:tc>
          <w:tcPr>
            <w:tcW w:w="476" w:type="dxa"/>
            <w:tcBorders>
              <w:top w:val="nil"/>
              <w:left w:val="nil"/>
              <w:bottom w:val="single" w:sz="4" w:space="0" w:color="auto"/>
              <w:right w:val="single" w:sz="4" w:space="0" w:color="auto"/>
            </w:tcBorders>
            <w:shd w:val="clear" w:color="000000" w:fill="66FFCC"/>
            <w:noWrap/>
            <w:vAlign w:val="bottom"/>
            <w:hideMark/>
          </w:tcPr>
          <w:p w14:paraId="547EC332" w14:textId="77777777" w:rsidR="004566A6" w:rsidRPr="004566A6" w:rsidRDefault="004566A6" w:rsidP="004566A6">
            <w:pPr>
              <w:spacing w:after="0" w:line="240" w:lineRule="auto"/>
              <w:jc w:val="right"/>
              <w:rPr>
                <w:rFonts w:ascii="Calibri" w:eastAsia="Times New Roman" w:hAnsi="Calibri" w:cs="Calibri"/>
                <w:sz w:val="18"/>
                <w:szCs w:val="18"/>
                <w:lang w:eastAsia="hr-HR"/>
              </w:rPr>
            </w:pPr>
            <w:r w:rsidRPr="004566A6">
              <w:rPr>
                <w:rFonts w:ascii="Calibri" w:eastAsia="Times New Roman" w:hAnsi="Calibri" w:cs="Calibri"/>
                <w:sz w:val="18"/>
                <w:szCs w:val="18"/>
                <w:lang w:eastAsia="hr-HR"/>
              </w:rPr>
              <w:t>19</w:t>
            </w:r>
          </w:p>
        </w:tc>
        <w:tc>
          <w:tcPr>
            <w:tcW w:w="557" w:type="dxa"/>
            <w:gridSpan w:val="2"/>
            <w:tcBorders>
              <w:top w:val="nil"/>
              <w:left w:val="nil"/>
              <w:bottom w:val="single" w:sz="4" w:space="0" w:color="auto"/>
              <w:right w:val="single" w:sz="4" w:space="0" w:color="auto"/>
            </w:tcBorders>
            <w:shd w:val="clear" w:color="000000" w:fill="FFFF00"/>
            <w:vAlign w:val="center"/>
            <w:hideMark/>
          </w:tcPr>
          <w:p w14:paraId="1E1329C3" w14:textId="77777777" w:rsidR="004566A6" w:rsidRPr="004566A6" w:rsidRDefault="004566A6" w:rsidP="004566A6">
            <w:pPr>
              <w:spacing w:after="0" w:line="240" w:lineRule="auto"/>
              <w:jc w:val="center"/>
              <w:rPr>
                <w:rFonts w:ascii="Calibri" w:eastAsia="Times New Roman" w:hAnsi="Calibri" w:cs="Calibri"/>
                <w:sz w:val="18"/>
                <w:szCs w:val="18"/>
                <w:lang w:eastAsia="hr-HR"/>
              </w:rPr>
            </w:pPr>
            <w:r w:rsidRPr="004566A6">
              <w:rPr>
                <w:rFonts w:ascii="Calibri" w:eastAsia="Times New Roman" w:hAnsi="Calibri" w:cs="Calibri"/>
                <w:sz w:val="18"/>
                <w:szCs w:val="18"/>
                <w:lang w:eastAsia="hr-HR"/>
              </w:rPr>
              <w:t>36</w:t>
            </w:r>
          </w:p>
        </w:tc>
        <w:tc>
          <w:tcPr>
            <w:tcW w:w="515" w:type="dxa"/>
            <w:gridSpan w:val="2"/>
            <w:tcBorders>
              <w:top w:val="nil"/>
              <w:left w:val="nil"/>
              <w:bottom w:val="single" w:sz="4" w:space="0" w:color="auto"/>
              <w:right w:val="single" w:sz="4" w:space="0" w:color="auto"/>
            </w:tcBorders>
            <w:shd w:val="clear" w:color="000000" w:fill="FFFF99"/>
            <w:vAlign w:val="center"/>
            <w:hideMark/>
          </w:tcPr>
          <w:p w14:paraId="6035D416" w14:textId="77777777" w:rsidR="004566A6" w:rsidRPr="004566A6" w:rsidRDefault="004566A6" w:rsidP="004566A6">
            <w:pPr>
              <w:spacing w:after="0" w:line="240" w:lineRule="auto"/>
              <w:jc w:val="center"/>
              <w:rPr>
                <w:rFonts w:ascii="Calibri" w:eastAsia="Times New Roman" w:hAnsi="Calibri" w:cs="Calibri"/>
                <w:sz w:val="18"/>
                <w:szCs w:val="18"/>
                <w:lang w:eastAsia="hr-HR"/>
              </w:rPr>
            </w:pPr>
            <w:r w:rsidRPr="004566A6">
              <w:rPr>
                <w:rFonts w:ascii="Calibri" w:eastAsia="Times New Roman" w:hAnsi="Calibri" w:cs="Calibri"/>
                <w:sz w:val="18"/>
                <w:szCs w:val="18"/>
                <w:lang w:eastAsia="hr-HR"/>
              </w:rPr>
              <w:t>23</w:t>
            </w:r>
          </w:p>
        </w:tc>
        <w:tc>
          <w:tcPr>
            <w:tcW w:w="855" w:type="dxa"/>
            <w:gridSpan w:val="2"/>
            <w:tcBorders>
              <w:top w:val="nil"/>
              <w:left w:val="nil"/>
              <w:bottom w:val="single" w:sz="4" w:space="0" w:color="auto"/>
              <w:right w:val="single" w:sz="4" w:space="0" w:color="auto"/>
            </w:tcBorders>
            <w:shd w:val="clear" w:color="000000" w:fill="FF9900"/>
            <w:vAlign w:val="center"/>
            <w:hideMark/>
          </w:tcPr>
          <w:p w14:paraId="0C163D51" w14:textId="77777777" w:rsidR="004566A6" w:rsidRPr="004566A6" w:rsidRDefault="004566A6" w:rsidP="004566A6">
            <w:pPr>
              <w:spacing w:after="0" w:line="240" w:lineRule="auto"/>
              <w:jc w:val="center"/>
              <w:rPr>
                <w:rFonts w:ascii="Calibri" w:eastAsia="Times New Roman" w:hAnsi="Calibri" w:cs="Calibri"/>
                <w:sz w:val="18"/>
                <w:szCs w:val="18"/>
                <w:lang w:eastAsia="hr-HR"/>
              </w:rPr>
            </w:pPr>
            <w:r w:rsidRPr="004566A6">
              <w:rPr>
                <w:rFonts w:ascii="Calibri" w:eastAsia="Times New Roman" w:hAnsi="Calibri" w:cs="Calibri"/>
                <w:sz w:val="18"/>
                <w:szCs w:val="18"/>
                <w:lang w:eastAsia="hr-HR"/>
              </w:rPr>
              <w:t>19</w:t>
            </w:r>
          </w:p>
        </w:tc>
        <w:tc>
          <w:tcPr>
            <w:tcW w:w="445" w:type="dxa"/>
            <w:gridSpan w:val="2"/>
            <w:tcBorders>
              <w:top w:val="nil"/>
              <w:left w:val="nil"/>
              <w:bottom w:val="single" w:sz="4" w:space="0" w:color="auto"/>
              <w:right w:val="single" w:sz="4" w:space="0" w:color="auto"/>
            </w:tcBorders>
            <w:shd w:val="clear" w:color="000000" w:fill="CCFFFF"/>
            <w:vAlign w:val="bottom"/>
            <w:hideMark/>
          </w:tcPr>
          <w:p w14:paraId="4C3B006D" w14:textId="77777777" w:rsidR="004566A6" w:rsidRPr="004566A6" w:rsidRDefault="004566A6" w:rsidP="004566A6">
            <w:pPr>
              <w:spacing w:after="0" w:line="240" w:lineRule="auto"/>
              <w:jc w:val="right"/>
              <w:rPr>
                <w:rFonts w:ascii="Calibri" w:eastAsia="Times New Roman" w:hAnsi="Calibri" w:cs="Calibri"/>
                <w:sz w:val="18"/>
                <w:szCs w:val="18"/>
                <w:lang w:eastAsia="hr-HR"/>
              </w:rPr>
            </w:pPr>
            <w:r w:rsidRPr="004566A6">
              <w:rPr>
                <w:rFonts w:ascii="Calibri" w:eastAsia="Times New Roman" w:hAnsi="Calibri" w:cs="Calibri"/>
                <w:sz w:val="18"/>
                <w:szCs w:val="18"/>
                <w:lang w:eastAsia="hr-HR"/>
              </w:rPr>
              <w:t>11</w:t>
            </w:r>
          </w:p>
        </w:tc>
        <w:tc>
          <w:tcPr>
            <w:tcW w:w="445" w:type="dxa"/>
            <w:tcBorders>
              <w:top w:val="nil"/>
              <w:left w:val="nil"/>
              <w:bottom w:val="single" w:sz="4" w:space="0" w:color="auto"/>
              <w:right w:val="single" w:sz="4" w:space="0" w:color="auto"/>
            </w:tcBorders>
            <w:shd w:val="clear" w:color="000000" w:fill="CCFFFF"/>
            <w:vAlign w:val="bottom"/>
            <w:hideMark/>
          </w:tcPr>
          <w:p w14:paraId="0E8C31B0" w14:textId="77777777" w:rsidR="004566A6" w:rsidRPr="004566A6" w:rsidRDefault="004566A6" w:rsidP="004566A6">
            <w:pPr>
              <w:spacing w:after="0" w:line="240" w:lineRule="auto"/>
              <w:jc w:val="right"/>
              <w:rPr>
                <w:rFonts w:ascii="Calibri" w:eastAsia="Times New Roman" w:hAnsi="Calibri" w:cs="Calibri"/>
                <w:sz w:val="18"/>
                <w:szCs w:val="18"/>
                <w:lang w:eastAsia="hr-HR"/>
              </w:rPr>
            </w:pPr>
            <w:r w:rsidRPr="004566A6">
              <w:rPr>
                <w:rFonts w:ascii="Calibri" w:eastAsia="Times New Roman" w:hAnsi="Calibri" w:cs="Calibri"/>
                <w:sz w:val="18"/>
                <w:szCs w:val="18"/>
                <w:lang w:eastAsia="hr-HR"/>
              </w:rPr>
              <w:t>11</w:t>
            </w:r>
          </w:p>
        </w:tc>
        <w:tc>
          <w:tcPr>
            <w:tcW w:w="505" w:type="dxa"/>
            <w:tcBorders>
              <w:top w:val="nil"/>
              <w:left w:val="nil"/>
              <w:bottom w:val="single" w:sz="4" w:space="0" w:color="auto"/>
              <w:right w:val="single" w:sz="4" w:space="0" w:color="auto"/>
            </w:tcBorders>
            <w:shd w:val="clear" w:color="000000" w:fill="CCFFFF"/>
            <w:vAlign w:val="bottom"/>
            <w:hideMark/>
          </w:tcPr>
          <w:p w14:paraId="335AE97B" w14:textId="77777777" w:rsidR="004566A6" w:rsidRPr="004566A6" w:rsidRDefault="004566A6" w:rsidP="004566A6">
            <w:pPr>
              <w:spacing w:after="0" w:line="240" w:lineRule="auto"/>
              <w:jc w:val="right"/>
              <w:rPr>
                <w:rFonts w:ascii="Calibri" w:eastAsia="Times New Roman" w:hAnsi="Calibri" w:cs="Calibri"/>
                <w:sz w:val="18"/>
                <w:szCs w:val="18"/>
                <w:lang w:eastAsia="hr-HR"/>
              </w:rPr>
            </w:pPr>
            <w:r w:rsidRPr="004566A6">
              <w:rPr>
                <w:rFonts w:ascii="Calibri" w:eastAsia="Times New Roman" w:hAnsi="Calibri" w:cs="Calibri"/>
                <w:sz w:val="18"/>
                <w:szCs w:val="18"/>
                <w:lang w:eastAsia="hr-HR"/>
              </w:rPr>
              <w:t>3</w:t>
            </w:r>
          </w:p>
        </w:tc>
        <w:tc>
          <w:tcPr>
            <w:tcW w:w="797" w:type="dxa"/>
            <w:gridSpan w:val="2"/>
            <w:tcBorders>
              <w:top w:val="nil"/>
              <w:left w:val="nil"/>
              <w:bottom w:val="single" w:sz="4" w:space="0" w:color="auto"/>
              <w:right w:val="nil"/>
            </w:tcBorders>
            <w:shd w:val="clear" w:color="000000" w:fill="33CCCC"/>
            <w:noWrap/>
            <w:vAlign w:val="bottom"/>
            <w:hideMark/>
          </w:tcPr>
          <w:p w14:paraId="41BBE488" w14:textId="77777777" w:rsidR="004566A6" w:rsidRPr="004566A6" w:rsidRDefault="004566A6" w:rsidP="004566A6">
            <w:pPr>
              <w:spacing w:after="0" w:line="240" w:lineRule="auto"/>
              <w:jc w:val="right"/>
              <w:rPr>
                <w:rFonts w:ascii="Calibri" w:eastAsia="Times New Roman" w:hAnsi="Calibri" w:cs="Calibri"/>
                <w:sz w:val="18"/>
                <w:szCs w:val="18"/>
                <w:lang w:eastAsia="hr-HR"/>
              </w:rPr>
            </w:pPr>
            <w:r w:rsidRPr="004566A6">
              <w:rPr>
                <w:rFonts w:ascii="Calibri" w:eastAsia="Times New Roman" w:hAnsi="Calibri" w:cs="Calibri"/>
                <w:sz w:val="18"/>
                <w:szCs w:val="18"/>
                <w:lang w:eastAsia="hr-HR"/>
              </w:rPr>
              <w:t>16</w:t>
            </w:r>
          </w:p>
        </w:tc>
        <w:tc>
          <w:tcPr>
            <w:tcW w:w="425" w:type="dxa"/>
            <w:gridSpan w:val="3"/>
            <w:tcBorders>
              <w:top w:val="nil"/>
              <w:left w:val="single" w:sz="4" w:space="0" w:color="auto"/>
              <w:bottom w:val="single" w:sz="4" w:space="0" w:color="auto"/>
              <w:right w:val="nil"/>
            </w:tcBorders>
            <w:shd w:val="clear" w:color="000000" w:fill="33CCCC"/>
            <w:noWrap/>
            <w:vAlign w:val="bottom"/>
            <w:hideMark/>
          </w:tcPr>
          <w:p w14:paraId="603B0EDE" w14:textId="77777777" w:rsidR="004566A6" w:rsidRPr="004566A6" w:rsidRDefault="004566A6" w:rsidP="004566A6">
            <w:pPr>
              <w:spacing w:after="0" w:line="240" w:lineRule="auto"/>
              <w:jc w:val="right"/>
              <w:rPr>
                <w:rFonts w:ascii="Calibri" w:eastAsia="Times New Roman" w:hAnsi="Calibri" w:cs="Calibri"/>
                <w:sz w:val="18"/>
                <w:szCs w:val="18"/>
                <w:lang w:eastAsia="hr-HR"/>
              </w:rPr>
            </w:pPr>
            <w:r w:rsidRPr="004566A6">
              <w:rPr>
                <w:rFonts w:ascii="Calibri" w:eastAsia="Times New Roman" w:hAnsi="Calibri" w:cs="Calibri"/>
                <w:sz w:val="18"/>
                <w:szCs w:val="18"/>
                <w:lang w:eastAsia="hr-HR"/>
              </w:rPr>
              <w:t>20</w:t>
            </w:r>
          </w:p>
        </w:tc>
        <w:tc>
          <w:tcPr>
            <w:tcW w:w="236" w:type="dxa"/>
            <w:gridSpan w:val="2"/>
            <w:vAlign w:val="center"/>
            <w:hideMark/>
          </w:tcPr>
          <w:p w14:paraId="54B65634" w14:textId="77777777" w:rsidR="004566A6" w:rsidRPr="004566A6" w:rsidRDefault="004566A6" w:rsidP="004566A6">
            <w:pPr>
              <w:spacing w:after="0" w:line="240" w:lineRule="auto"/>
              <w:rPr>
                <w:rFonts w:ascii="Times New Roman" w:eastAsia="Times New Roman" w:hAnsi="Times New Roman" w:cs="Times New Roman"/>
                <w:sz w:val="18"/>
                <w:szCs w:val="18"/>
                <w:lang w:eastAsia="hr-HR"/>
              </w:rPr>
            </w:pPr>
          </w:p>
        </w:tc>
      </w:tr>
      <w:tr w:rsidR="003D0C85" w:rsidRPr="004566A6" w14:paraId="46A9E163" w14:textId="77777777" w:rsidTr="003D0C85">
        <w:trPr>
          <w:trHeight w:val="300"/>
        </w:trPr>
        <w:tc>
          <w:tcPr>
            <w:tcW w:w="1397" w:type="dxa"/>
            <w:tcBorders>
              <w:top w:val="single" w:sz="4" w:space="0" w:color="auto"/>
              <w:left w:val="single" w:sz="8" w:space="0" w:color="auto"/>
              <w:bottom w:val="single" w:sz="4" w:space="0" w:color="auto"/>
              <w:right w:val="single" w:sz="4" w:space="0" w:color="auto"/>
            </w:tcBorders>
            <w:shd w:val="clear" w:color="000000" w:fill="CCFFCC"/>
            <w:vAlign w:val="center"/>
            <w:hideMark/>
          </w:tcPr>
          <w:p w14:paraId="4FAD2ED1" w14:textId="77777777" w:rsidR="004566A6" w:rsidRPr="004566A6" w:rsidRDefault="004566A6" w:rsidP="004566A6">
            <w:pPr>
              <w:spacing w:after="0" w:line="240" w:lineRule="auto"/>
              <w:jc w:val="center"/>
              <w:rPr>
                <w:rFonts w:ascii="Calibri" w:eastAsia="Times New Roman" w:hAnsi="Calibri" w:cs="Calibri"/>
                <w:sz w:val="18"/>
                <w:szCs w:val="18"/>
                <w:lang w:eastAsia="hr-HR"/>
              </w:rPr>
            </w:pPr>
            <w:r w:rsidRPr="004566A6">
              <w:rPr>
                <w:rFonts w:ascii="Calibri" w:eastAsia="Times New Roman" w:hAnsi="Calibri" w:cs="Calibri"/>
                <w:sz w:val="18"/>
                <w:szCs w:val="18"/>
                <w:lang w:eastAsia="hr-HR"/>
              </w:rPr>
              <w:t>Socijalno podrijetlo</w:t>
            </w:r>
          </w:p>
        </w:tc>
        <w:tc>
          <w:tcPr>
            <w:tcW w:w="576" w:type="dxa"/>
            <w:tcBorders>
              <w:top w:val="nil"/>
              <w:left w:val="nil"/>
              <w:bottom w:val="single" w:sz="4" w:space="0" w:color="auto"/>
              <w:right w:val="single" w:sz="4" w:space="0" w:color="auto"/>
            </w:tcBorders>
            <w:shd w:val="clear" w:color="000000" w:fill="CCFFCC"/>
            <w:vAlign w:val="center"/>
            <w:hideMark/>
          </w:tcPr>
          <w:p w14:paraId="41E9E55D" w14:textId="77777777" w:rsidR="004566A6" w:rsidRPr="004566A6" w:rsidRDefault="004566A6" w:rsidP="004566A6">
            <w:pPr>
              <w:spacing w:after="0" w:line="240" w:lineRule="auto"/>
              <w:jc w:val="center"/>
              <w:rPr>
                <w:rFonts w:ascii="Calibri" w:eastAsia="Times New Roman" w:hAnsi="Calibri" w:cs="Calibri"/>
                <w:sz w:val="18"/>
                <w:szCs w:val="18"/>
                <w:lang w:eastAsia="hr-HR"/>
              </w:rPr>
            </w:pPr>
            <w:r w:rsidRPr="004566A6">
              <w:rPr>
                <w:rFonts w:ascii="Calibri" w:eastAsia="Times New Roman" w:hAnsi="Calibri" w:cs="Calibri"/>
                <w:sz w:val="18"/>
                <w:szCs w:val="18"/>
                <w:lang w:eastAsia="hr-HR"/>
              </w:rPr>
              <w:t>0</w:t>
            </w:r>
          </w:p>
        </w:tc>
        <w:tc>
          <w:tcPr>
            <w:tcW w:w="444" w:type="dxa"/>
            <w:tcBorders>
              <w:top w:val="nil"/>
              <w:left w:val="nil"/>
              <w:bottom w:val="single" w:sz="4" w:space="0" w:color="auto"/>
              <w:right w:val="single" w:sz="4" w:space="0" w:color="auto"/>
            </w:tcBorders>
            <w:shd w:val="clear" w:color="000000" w:fill="FFCC99"/>
            <w:noWrap/>
            <w:vAlign w:val="bottom"/>
            <w:hideMark/>
          </w:tcPr>
          <w:p w14:paraId="4510E7AB" w14:textId="77777777" w:rsidR="004566A6" w:rsidRPr="004566A6" w:rsidRDefault="004566A6" w:rsidP="004566A6">
            <w:pPr>
              <w:spacing w:after="0" w:line="240" w:lineRule="auto"/>
              <w:jc w:val="center"/>
              <w:rPr>
                <w:rFonts w:ascii="Calibri" w:eastAsia="Times New Roman" w:hAnsi="Calibri" w:cs="Calibri"/>
                <w:sz w:val="18"/>
                <w:szCs w:val="18"/>
                <w:lang w:eastAsia="hr-HR"/>
              </w:rPr>
            </w:pPr>
            <w:r w:rsidRPr="004566A6">
              <w:rPr>
                <w:rFonts w:ascii="Calibri" w:eastAsia="Times New Roman" w:hAnsi="Calibri" w:cs="Calibri"/>
                <w:sz w:val="18"/>
                <w:szCs w:val="18"/>
                <w:lang w:eastAsia="hr-HR"/>
              </w:rPr>
              <w:t>0</w:t>
            </w:r>
          </w:p>
        </w:tc>
        <w:tc>
          <w:tcPr>
            <w:tcW w:w="405" w:type="dxa"/>
            <w:tcBorders>
              <w:top w:val="nil"/>
              <w:left w:val="nil"/>
              <w:bottom w:val="single" w:sz="4" w:space="0" w:color="auto"/>
              <w:right w:val="single" w:sz="4" w:space="0" w:color="auto"/>
            </w:tcBorders>
            <w:shd w:val="clear" w:color="000000" w:fill="CCFFFF"/>
            <w:noWrap/>
            <w:vAlign w:val="bottom"/>
            <w:hideMark/>
          </w:tcPr>
          <w:p w14:paraId="34945E84" w14:textId="77777777" w:rsidR="004566A6" w:rsidRPr="004566A6" w:rsidRDefault="004566A6" w:rsidP="004566A6">
            <w:pPr>
              <w:spacing w:after="0" w:line="240" w:lineRule="auto"/>
              <w:jc w:val="right"/>
              <w:rPr>
                <w:rFonts w:ascii="Calibri" w:eastAsia="Times New Roman" w:hAnsi="Calibri" w:cs="Calibri"/>
                <w:sz w:val="18"/>
                <w:szCs w:val="18"/>
                <w:lang w:eastAsia="hr-HR"/>
              </w:rPr>
            </w:pPr>
            <w:r w:rsidRPr="004566A6">
              <w:rPr>
                <w:rFonts w:ascii="Calibri" w:eastAsia="Times New Roman" w:hAnsi="Calibri" w:cs="Calibri"/>
                <w:sz w:val="18"/>
                <w:szCs w:val="18"/>
                <w:lang w:eastAsia="hr-HR"/>
              </w:rPr>
              <w:t>0</w:t>
            </w:r>
          </w:p>
        </w:tc>
        <w:tc>
          <w:tcPr>
            <w:tcW w:w="462" w:type="dxa"/>
            <w:tcBorders>
              <w:top w:val="nil"/>
              <w:left w:val="nil"/>
              <w:bottom w:val="single" w:sz="4" w:space="0" w:color="auto"/>
              <w:right w:val="single" w:sz="4" w:space="0" w:color="auto"/>
            </w:tcBorders>
            <w:shd w:val="clear" w:color="000000" w:fill="CCFFFF"/>
            <w:noWrap/>
            <w:vAlign w:val="bottom"/>
            <w:hideMark/>
          </w:tcPr>
          <w:p w14:paraId="3AFACE29" w14:textId="77777777" w:rsidR="004566A6" w:rsidRPr="004566A6" w:rsidRDefault="004566A6" w:rsidP="004566A6">
            <w:pPr>
              <w:spacing w:after="0" w:line="240" w:lineRule="auto"/>
              <w:jc w:val="right"/>
              <w:rPr>
                <w:rFonts w:ascii="Calibri" w:eastAsia="Times New Roman" w:hAnsi="Calibri" w:cs="Calibri"/>
                <w:sz w:val="18"/>
                <w:szCs w:val="18"/>
                <w:lang w:eastAsia="hr-HR"/>
              </w:rPr>
            </w:pPr>
            <w:r w:rsidRPr="004566A6">
              <w:rPr>
                <w:rFonts w:ascii="Calibri" w:eastAsia="Times New Roman" w:hAnsi="Calibri" w:cs="Calibri"/>
                <w:sz w:val="18"/>
                <w:szCs w:val="18"/>
                <w:lang w:eastAsia="hr-HR"/>
              </w:rPr>
              <w:t>0</w:t>
            </w:r>
          </w:p>
        </w:tc>
        <w:tc>
          <w:tcPr>
            <w:tcW w:w="455" w:type="dxa"/>
            <w:tcBorders>
              <w:top w:val="nil"/>
              <w:left w:val="nil"/>
              <w:bottom w:val="single" w:sz="4" w:space="0" w:color="auto"/>
              <w:right w:val="single" w:sz="4" w:space="0" w:color="auto"/>
            </w:tcBorders>
            <w:shd w:val="clear" w:color="000000" w:fill="FFFF99"/>
            <w:noWrap/>
            <w:vAlign w:val="bottom"/>
            <w:hideMark/>
          </w:tcPr>
          <w:p w14:paraId="42C3DD6D" w14:textId="77777777" w:rsidR="004566A6" w:rsidRPr="004566A6" w:rsidRDefault="004566A6" w:rsidP="004566A6">
            <w:pPr>
              <w:spacing w:after="0" w:line="240" w:lineRule="auto"/>
              <w:jc w:val="center"/>
              <w:rPr>
                <w:rFonts w:ascii="Calibri" w:eastAsia="Times New Roman" w:hAnsi="Calibri" w:cs="Calibri"/>
                <w:sz w:val="18"/>
                <w:szCs w:val="18"/>
                <w:lang w:eastAsia="hr-HR"/>
              </w:rPr>
            </w:pPr>
            <w:r w:rsidRPr="004566A6">
              <w:rPr>
                <w:rFonts w:ascii="Calibri" w:eastAsia="Times New Roman" w:hAnsi="Calibri" w:cs="Calibri"/>
                <w:sz w:val="18"/>
                <w:szCs w:val="18"/>
                <w:lang w:eastAsia="hr-HR"/>
              </w:rPr>
              <w:t>0</w:t>
            </w:r>
          </w:p>
        </w:tc>
        <w:tc>
          <w:tcPr>
            <w:tcW w:w="567" w:type="dxa"/>
            <w:tcBorders>
              <w:top w:val="nil"/>
              <w:left w:val="nil"/>
              <w:bottom w:val="single" w:sz="4" w:space="0" w:color="auto"/>
              <w:right w:val="single" w:sz="4" w:space="0" w:color="auto"/>
            </w:tcBorders>
            <w:shd w:val="clear" w:color="000000" w:fill="FFFF99"/>
            <w:noWrap/>
            <w:vAlign w:val="bottom"/>
            <w:hideMark/>
          </w:tcPr>
          <w:p w14:paraId="6F1272F7" w14:textId="77777777" w:rsidR="004566A6" w:rsidRPr="004566A6" w:rsidRDefault="004566A6" w:rsidP="004566A6">
            <w:pPr>
              <w:spacing w:after="0" w:line="240" w:lineRule="auto"/>
              <w:jc w:val="center"/>
              <w:rPr>
                <w:rFonts w:ascii="Calibri" w:eastAsia="Times New Roman" w:hAnsi="Calibri" w:cs="Calibri"/>
                <w:sz w:val="18"/>
                <w:szCs w:val="18"/>
                <w:lang w:eastAsia="hr-HR"/>
              </w:rPr>
            </w:pPr>
            <w:r w:rsidRPr="004566A6">
              <w:rPr>
                <w:rFonts w:ascii="Calibri" w:eastAsia="Times New Roman" w:hAnsi="Calibri" w:cs="Calibri"/>
                <w:sz w:val="18"/>
                <w:szCs w:val="18"/>
                <w:lang w:eastAsia="hr-HR"/>
              </w:rPr>
              <w:t>0</w:t>
            </w:r>
          </w:p>
        </w:tc>
        <w:tc>
          <w:tcPr>
            <w:tcW w:w="708" w:type="dxa"/>
            <w:tcBorders>
              <w:top w:val="nil"/>
              <w:left w:val="nil"/>
              <w:bottom w:val="single" w:sz="4" w:space="0" w:color="auto"/>
              <w:right w:val="single" w:sz="4" w:space="0" w:color="auto"/>
            </w:tcBorders>
            <w:shd w:val="clear" w:color="000000" w:fill="FFFF99"/>
            <w:noWrap/>
            <w:vAlign w:val="bottom"/>
            <w:hideMark/>
          </w:tcPr>
          <w:p w14:paraId="31D15BCD" w14:textId="77777777" w:rsidR="004566A6" w:rsidRPr="004566A6" w:rsidRDefault="004566A6" w:rsidP="004566A6">
            <w:pPr>
              <w:spacing w:after="0" w:line="240" w:lineRule="auto"/>
              <w:jc w:val="center"/>
              <w:rPr>
                <w:rFonts w:ascii="Calibri" w:eastAsia="Times New Roman" w:hAnsi="Calibri" w:cs="Calibri"/>
                <w:sz w:val="18"/>
                <w:szCs w:val="18"/>
                <w:lang w:eastAsia="hr-HR"/>
              </w:rPr>
            </w:pPr>
            <w:r w:rsidRPr="004566A6">
              <w:rPr>
                <w:rFonts w:ascii="Calibri" w:eastAsia="Times New Roman" w:hAnsi="Calibri" w:cs="Calibri"/>
                <w:sz w:val="18"/>
                <w:szCs w:val="18"/>
                <w:lang w:eastAsia="hr-HR"/>
              </w:rPr>
              <w:t>0</w:t>
            </w:r>
          </w:p>
        </w:tc>
        <w:tc>
          <w:tcPr>
            <w:tcW w:w="448" w:type="dxa"/>
            <w:tcBorders>
              <w:top w:val="nil"/>
              <w:left w:val="nil"/>
              <w:bottom w:val="single" w:sz="4" w:space="0" w:color="auto"/>
              <w:right w:val="single" w:sz="4" w:space="0" w:color="auto"/>
            </w:tcBorders>
            <w:shd w:val="clear" w:color="000000" w:fill="FFFF99"/>
            <w:noWrap/>
            <w:vAlign w:val="bottom"/>
            <w:hideMark/>
          </w:tcPr>
          <w:p w14:paraId="47BB9ADE" w14:textId="77777777" w:rsidR="004566A6" w:rsidRPr="004566A6" w:rsidRDefault="004566A6" w:rsidP="004566A6">
            <w:pPr>
              <w:spacing w:after="0" w:line="240" w:lineRule="auto"/>
              <w:jc w:val="center"/>
              <w:rPr>
                <w:rFonts w:ascii="Calibri" w:eastAsia="Times New Roman" w:hAnsi="Calibri" w:cs="Calibri"/>
                <w:sz w:val="18"/>
                <w:szCs w:val="18"/>
                <w:lang w:eastAsia="hr-HR"/>
              </w:rPr>
            </w:pPr>
            <w:r w:rsidRPr="004566A6">
              <w:rPr>
                <w:rFonts w:ascii="Calibri" w:eastAsia="Times New Roman" w:hAnsi="Calibri" w:cs="Calibri"/>
                <w:sz w:val="18"/>
                <w:szCs w:val="18"/>
                <w:lang w:eastAsia="hr-HR"/>
              </w:rPr>
              <w:t>0</w:t>
            </w:r>
          </w:p>
        </w:tc>
        <w:tc>
          <w:tcPr>
            <w:tcW w:w="680" w:type="dxa"/>
            <w:tcBorders>
              <w:top w:val="nil"/>
              <w:left w:val="nil"/>
              <w:bottom w:val="single" w:sz="4" w:space="0" w:color="auto"/>
              <w:right w:val="single" w:sz="4" w:space="0" w:color="auto"/>
            </w:tcBorders>
            <w:shd w:val="clear" w:color="000000" w:fill="FFFF99"/>
            <w:noWrap/>
            <w:vAlign w:val="bottom"/>
            <w:hideMark/>
          </w:tcPr>
          <w:p w14:paraId="033116DC" w14:textId="77777777" w:rsidR="004566A6" w:rsidRPr="004566A6" w:rsidRDefault="004566A6" w:rsidP="004566A6">
            <w:pPr>
              <w:spacing w:after="0" w:line="240" w:lineRule="auto"/>
              <w:jc w:val="center"/>
              <w:rPr>
                <w:rFonts w:ascii="Calibri" w:eastAsia="Times New Roman" w:hAnsi="Calibri" w:cs="Calibri"/>
                <w:sz w:val="18"/>
                <w:szCs w:val="18"/>
                <w:lang w:eastAsia="hr-HR"/>
              </w:rPr>
            </w:pPr>
            <w:r w:rsidRPr="004566A6">
              <w:rPr>
                <w:rFonts w:ascii="Calibri" w:eastAsia="Times New Roman" w:hAnsi="Calibri" w:cs="Calibri"/>
                <w:sz w:val="18"/>
                <w:szCs w:val="18"/>
                <w:lang w:eastAsia="hr-HR"/>
              </w:rPr>
              <w:t>0</w:t>
            </w:r>
          </w:p>
        </w:tc>
        <w:tc>
          <w:tcPr>
            <w:tcW w:w="573" w:type="dxa"/>
            <w:gridSpan w:val="2"/>
            <w:tcBorders>
              <w:top w:val="nil"/>
              <w:left w:val="nil"/>
              <w:bottom w:val="single" w:sz="4" w:space="0" w:color="auto"/>
              <w:right w:val="single" w:sz="4" w:space="0" w:color="auto"/>
            </w:tcBorders>
            <w:shd w:val="clear" w:color="000000" w:fill="FF9900"/>
            <w:noWrap/>
            <w:vAlign w:val="bottom"/>
            <w:hideMark/>
          </w:tcPr>
          <w:p w14:paraId="0D46B218" w14:textId="77777777" w:rsidR="004566A6" w:rsidRPr="004566A6" w:rsidRDefault="004566A6" w:rsidP="004566A6">
            <w:pPr>
              <w:spacing w:after="0" w:line="240" w:lineRule="auto"/>
              <w:jc w:val="right"/>
              <w:rPr>
                <w:rFonts w:ascii="Calibri" w:eastAsia="Times New Roman" w:hAnsi="Calibri" w:cs="Calibri"/>
                <w:sz w:val="18"/>
                <w:szCs w:val="18"/>
                <w:lang w:eastAsia="hr-HR"/>
              </w:rPr>
            </w:pPr>
            <w:r w:rsidRPr="004566A6">
              <w:rPr>
                <w:rFonts w:ascii="Calibri" w:eastAsia="Times New Roman" w:hAnsi="Calibri" w:cs="Calibri"/>
                <w:sz w:val="18"/>
                <w:szCs w:val="18"/>
                <w:lang w:eastAsia="hr-HR"/>
              </w:rPr>
              <w:t>0</w:t>
            </w:r>
          </w:p>
        </w:tc>
        <w:tc>
          <w:tcPr>
            <w:tcW w:w="567" w:type="dxa"/>
            <w:tcBorders>
              <w:top w:val="nil"/>
              <w:left w:val="nil"/>
              <w:bottom w:val="single" w:sz="4" w:space="0" w:color="auto"/>
              <w:right w:val="single" w:sz="4" w:space="0" w:color="auto"/>
            </w:tcBorders>
            <w:shd w:val="clear" w:color="000000" w:fill="FF9900"/>
            <w:noWrap/>
            <w:vAlign w:val="bottom"/>
            <w:hideMark/>
          </w:tcPr>
          <w:p w14:paraId="6C2AF0BA" w14:textId="77777777" w:rsidR="004566A6" w:rsidRPr="004566A6" w:rsidRDefault="004566A6" w:rsidP="004566A6">
            <w:pPr>
              <w:spacing w:after="0" w:line="240" w:lineRule="auto"/>
              <w:jc w:val="right"/>
              <w:rPr>
                <w:rFonts w:ascii="Calibri" w:eastAsia="Times New Roman" w:hAnsi="Calibri" w:cs="Calibri"/>
                <w:sz w:val="18"/>
                <w:szCs w:val="18"/>
                <w:lang w:eastAsia="hr-HR"/>
              </w:rPr>
            </w:pPr>
            <w:r w:rsidRPr="004566A6">
              <w:rPr>
                <w:rFonts w:ascii="Calibri" w:eastAsia="Times New Roman" w:hAnsi="Calibri" w:cs="Calibri"/>
                <w:sz w:val="18"/>
                <w:szCs w:val="18"/>
                <w:lang w:eastAsia="hr-HR"/>
              </w:rPr>
              <w:t>0</w:t>
            </w:r>
          </w:p>
        </w:tc>
        <w:tc>
          <w:tcPr>
            <w:tcW w:w="448" w:type="dxa"/>
            <w:tcBorders>
              <w:top w:val="nil"/>
              <w:left w:val="nil"/>
              <w:bottom w:val="single" w:sz="4" w:space="0" w:color="auto"/>
              <w:right w:val="single" w:sz="4" w:space="0" w:color="auto"/>
            </w:tcBorders>
            <w:shd w:val="clear" w:color="000000" w:fill="FF9900"/>
            <w:noWrap/>
            <w:vAlign w:val="bottom"/>
            <w:hideMark/>
          </w:tcPr>
          <w:p w14:paraId="4661EE45" w14:textId="77777777" w:rsidR="004566A6" w:rsidRPr="004566A6" w:rsidRDefault="004566A6" w:rsidP="004566A6">
            <w:pPr>
              <w:spacing w:after="0" w:line="240" w:lineRule="auto"/>
              <w:jc w:val="right"/>
              <w:rPr>
                <w:rFonts w:ascii="Calibri" w:eastAsia="Times New Roman" w:hAnsi="Calibri" w:cs="Calibri"/>
                <w:sz w:val="18"/>
                <w:szCs w:val="18"/>
                <w:lang w:eastAsia="hr-HR"/>
              </w:rPr>
            </w:pPr>
            <w:r w:rsidRPr="004566A6">
              <w:rPr>
                <w:rFonts w:ascii="Calibri" w:eastAsia="Times New Roman" w:hAnsi="Calibri" w:cs="Calibri"/>
                <w:sz w:val="18"/>
                <w:szCs w:val="18"/>
                <w:lang w:eastAsia="hr-HR"/>
              </w:rPr>
              <w:t>0</w:t>
            </w:r>
          </w:p>
        </w:tc>
        <w:tc>
          <w:tcPr>
            <w:tcW w:w="448" w:type="dxa"/>
            <w:gridSpan w:val="2"/>
            <w:tcBorders>
              <w:top w:val="nil"/>
              <w:left w:val="nil"/>
              <w:bottom w:val="single" w:sz="4" w:space="0" w:color="auto"/>
              <w:right w:val="single" w:sz="4" w:space="0" w:color="auto"/>
            </w:tcBorders>
            <w:shd w:val="clear" w:color="000000" w:fill="66FFCC"/>
            <w:noWrap/>
            <w:vAlign w:val="bottom"/>
            <w:hideMark/>
          </w:tcPr>
          <w:p w14:paraId="35FEAE8D" w14:textId="77777777" w:rsidR="004566A6" w:rsidRPr="004566A6" w:rsidRDefault="004566A6" w:rsidP="004566A6">
            <w:pPr>
              <w:spacing w:after="0" w:line="240" w:lineRule="auto"/>
              <w:jc w:val="right"/>
              <w:rPr>
                <w:rFonts w:ascii="Calibri" w:eastAsia="Times New Roman" w:hAnsi="Calibri" w:cs="Calibri"/>
                <w:sz w:val="18"/>
                <w:szCs w:val="18"/>
                <w:lang w:eastAsia="hr-HR"/>
              </w:rPr>
            </w:pPr>
            <w:r w:rsidRPr="004566A6">
              <w:rPr>
                <w:rFonts w:ascii="Calibri" w:eastAsia="Times New Roman" w:hAnsi="Calibri" w:cs="Calibri"/>
                <w:sz w:val="18"/>
                <w:szCs w:val="18"/>
                <w:lang w:eastAsia="hr-HR"/>
              </w:rPr>
              <w:t>0</w:t>
            </w:r>
          </w:p>
        </w:tc>
        <w:tc>
          <w:tcPr>
            <w:tcW w:w="448" w:type="dxa"/>
            <w:tcBorders>
              <w:top w:val="nil"/>
              <w:left w:val="nil"/>
              <w:bottom w:val="single" w:sz="4" w:space="0" w:color="auto"/>
              <w:right w:val="single" w:sz="4" w:space="0" w:color="auto"/>
            </w:tcBorders>
            <w:shd w:val="clear" w:color="000000" w:fill="66FFCC"/>
            <w:noWrap/>
            <w:vAlign w:val="bottom"/>
            <w:hideMark/>
          </w:tcPr>
          <w:p w14:paraId="067B16C4" w14:textId="77777777" w:rsidR="004566A6" w:rsidRPr="004566A6" w:rsidRDefault="004566A6" w:rsidP="004566A6">
            <w:pPr>
              <w:spacing w:after="0" w:line="240" w:lineRule="auto"/>
              <w:jc w:val="right"/>
              <w:rPr>
                <w:rFonts w:ascii="Calibri" w:eastAsia="Times New Roman" w:hAnsi="Calibri" w:cs="Calibri"/>
                <w:sz w:val="18"/>
                <w:szCs w:val="18"/>
                <w:lang w:eastAsia="hr-HR"/>
              </w:rPr>
            </w:pPr>
            <w:r w:rsidRPr="004566A6">
              <w:rPr>
                <w:rFonts w:ascii="Calibri" w:eastAsia="Times New Roman" w:hAnsi="Calibri" w:cs="Calibri"/>
                <w:sz w:val="18"/>
                <w:szCs w:val="18"/>
                <w:lang w:eastAsia="hr-HR"/>
              </w:rPr>
              <w:t>0</w:t>
            </w:r>
          </w:p>
        </w:tc>
        <w:tc>
          <w:tcPr>
            <w:tcW w:w="448" w:type="dxa"/>
            <w:tcBorders>
              <w:top w:val="nil"/>
              <w:left w:val="nil"/>
              <w:bottom w:val="single" w:sz="4" w:space="0" w:color="auto"/>
              <w:right w:val="single" w:sz="4" w:space="0" w:color="auto"/>
            </w:tcBorders>
            <w:shd w:val="clear" w:color="000000" w:fill="66FFCC"/>
            <w:noWrap/>
            <w:vAlign w:val="bottom"/>
            <w:hideMark/>
          </w:tcPr>
          <w:p w14:paraId="3B2511E1" w14:textId="77777777" w:rsidR="004566A6" w:rsidRPr="004566A6" w:rsidRDefault="004566A6" w:rsidP="004566A6">
            <w:pPr>
              <w:spacing w:after="0" w:line="240" w:lineRule="auto"/>
              <w:jc w:val="right"/>
              <w:rPr>
                <w:rFonts w:ascii="Calibri" w:eastAsia="Times New Roman" w:hAnsi="Calibri" w:cs="Calibri"/>
                <w:sz w:val="18"/>
                <w:szCs w:val="18"/>
                <w:lang w:eastAsia="hr-HR"/>
              </w:rPr>
            </w:pPr>
            <w:r w:rsidRPr="004566A6">
              <w:rPr>
                <w:rFonts w:ascii="Calibri" w:eastAsia="Times New Roman" w:hAnsi="Calibri" w:cs="Calibri"/>
                <w:sz w:val="18"/>
                <w:szCs w:val="18"/>
                <w:lang w:eastAsia="hr-HR"/>
              </w:rPr>
              <w:t>0</w:t>
            </w:r>
          </w:p>
        </w:tc>
        <w:tc>
          <w:tcPr>
            <w:tcW w:w="476" w:type="dxa"/>
            <w:tcBorders>
              <w:top w:val="nil"/>
              <w:left w:val="nil"/>
              <w:bottom w:val="single" w:sz="4" w:space="0" w:color="auto"/>
              <w:right w:val="single" w:sz="4" w:space="0" w:color="auto"/>
            </w:tcBorders>
            <w:shd w:val="clear" w:color="000000" w:fill="66FFCC"/>
            <w:noWrap/>
            <w:vAlign w:val="bottom"/>
            <w:hideMark/>
          </w:tcPr>
          <w:p w14:paraId="182BB2D1" w14:textId="77777777" w:rsidR="004566A6" w:rsidRPr="004566A6" w:rsidRDefault="004566A6" w:rsidP="004566A6">
            <w:pPr>
              <w:spacing w:after="0" w:line="240" w:lineRule="auto"/>
              <w:jc w:val="right"/>
              <w:rPr>
                <w:rFonts w:ascii="Calibri" w:eastAsia="Times New Roman" w:hAnsi="Calibri" w:cs="Calibri"/>
                <w:sz w:val="18"/>
                <w:szCs w:val="18"/>
                <w:lang w:eastAsia="hr-HR"/>
              </w:rPr>
            </w:pPr>
            <w:r w:rsidRPr="004566A6">
              <w:rPr>
                <w:rFonts w:ascii="Calibri" w:eastAsia="Times New Roman" w:hAnsi="Calibri" w:cs="Calibri"/>
                <w:sz w:val="18"/>
                <w:szCs w:val="18"/>
                <w:lang w:eastAsia="hr-HR"/>
              </w:rPr>
              <w:t>0</w:t>
            </w:r>
          </w:p>
        </w:tc>
        <w:tc>
          <w:tcPr>
            <w:tcW w:w="557" w:type="dxa"/>
            <w:gridSpan w:val="2"/>
            <w:tcBorders>
              <w:top w:val="nil"/>
              <w:left w:val="nil"/>
              <w:bottom w:val="single" w:sz="4" w:space="0" w:color="auto"/>
              <w:right w:val="single" w:sz="4" w:space="0" w:color="auto"/>
            </w:tcBorders>
            <w:shd w:val="clear" w:color="000000" w:fill="FFFF00"/>
            <w:vAlign w:val="center"/>
            <w:hideMark/>
          </w:tcPr>
          <w:p w14:paraId="5F77B9BD" w14:textId="77777777" w:rsidR="004566A6" w:rsidRPr="004566A6" w:rsidRDefault="004566A6" w:rsidP="004566A6">
            <w:pPr>
              <w:spacing w:after="0" w:line="240" w:lineRule="auto"/>
              <w:jc w:val="center"/>
              <w:rPr>
                <w:rFonts w:ascii="Calibri" w:eastAsia="Times New Roman" w:hAnsi="Calibri" w:cs="Calibri"/>
                <w:sz w:val="18"/>
                <w:szCs w:val="18"/>
                <w:lang w:eastAsia="hr-HR"/>
              </w:rPr>
            </w:pPr>
            <w:r w:rsidRPr="004566A6">
              <w:rPr>
                <w:rFonts w:ascii="Calibri" w:eastAsia="Times New Roman" w:hAnsi="Calibri" w:cs="Calibri"/>
                <w:sz w:val="18"/>
                <w:szCs w:val="18"/>
                <w:lang w:eastAsia="hr-HR"/>
              </w:rPr>
              <w:t>0</w:t>
            </w:r>
          </w:p>
        </w:tc>
        <w:tc>
          <w:tcPr>
            <w:tcW w:w="515" w:type="dxa"/>
            <w:gridSpan w:val="2"/>
            <w:tcBorders>
              <w:top w:val="nil"/>
              <w:left w:val="nil"/>
              <w:bottom w:val="single" w:sz="4" w:space="0" w:color="auto"/>
              <w:right w:val="single" w:sz="4" w:space="0" w:color="auto"/>
            </w:tcBorders>
            <w:shd w:val="clear" w:color="000000" w:fill="FFFF99"/>
            <w:vAlign w:val="center"/>
            <w:hideMark/>
          </w:tcPr>
          <w:p w14:paraId="0F1D823F" w14:textId="77777777" w:rsidR="004566A6" w:rsidRPr="004566A6" w:rsidRDefault="004566A6" w:rsidP="004566A6">
            <w:pPr>
              <w:spacing w:after="0" w:line="240" w:lineRule="auto"/>
              <w:jc w:val="center"/>
              <w:rPr>
                <w:rFonts w:ascii="Calibri" w:eastAsia="Times New Roman" w:hAnsi="Calibri" w:cs="Calibri"/>
                <w:sz w:val="18"/>
                <w:szCs w:val="18"/>
                <w:lang w:eastAsia="hr-HR"/>
              </w:rPr>
            </w:pPr>
            <w:r w:rsidRPr="004566A6">
              <w:rPr>
                <w:rFonts w:ascii="Calibri" w:eastAsia="Times New Roman" w:hAnsi="Calibri" w:cs="Calibri"/>
                <w:sz w:val="18"/>
                <w:szCs w:val="18"/>
                <w:lang w:eastAsia="hr-HR"/>
              </w:rPr>
              <w:t>0</w:t>
            </w:r>
          </w:p>
        </w:tc>
        <w:tc>
          <w:tcPr>
            <w:tcW w:w="855" w:type="dxa"/>
            <w:gridSpan w:val="2"/>
            <w:tcBorders>
              <w:top w:val="nil"/>
              <w:left w:val="nil"/>
              <w:bottom w:val="single" w:sz="4" w:space="0" w:color="auto"/>
              <w:right w:val="single" w:sz="4" w:space="0" w:color="auto"/>
            </w:tcBorders>
            <w:shd w:val="clear" w:color="000000" w:fill="FF9900"/>
            <w:vAlign w:val="center"/>
            <w:hideMark/>
          </w:tcPr>
          <w:p w14:paraId="7A1A64A7" w14:textId="77777777" w:rsidR="004566A6" w:rsidRPr="004566A6" w:rsidRDefault="004566A6" w:rsidP="004566A6">
            <w:pPr>
              <w:spacing w:after="0" w:line="240" w:lineRule="auto"/>
              <w:jc w:val="center"/>
              <w:rPr>
                <w:rFonts w:ascii="Calibri" w:eastAsia="Times New Roman" w:hAnsi="Calibri" w:cs="Calibri"/>
                <w:sz w:val="18"/>
                <w:szCs w:val="18"/>
                <w:lang w:eastAsia="hr-HR"/>
              </w:rPr>
            </w:pPr>
            <w:r w:rsidRPr="004566A6">
              <w:rPr>
                <w:rFonts w:ascii="Calibri" w:eastAsia="Times New Roman" w:hAnsi="Calibri" w:cs="Calibri"/>
                <w:sz w:val="18"/>
                <w:szCs w:val="18"/>
                <w:lang w:eastAsia="hr-HR"/>
              </w:rPr>
              <w:t>0</w:t>
            </w:r>
          </w:p>
        </w:tc>
        <w:tc>
          <w:tcPr>
            <w:tcW w:w="445" w:type="dxa"/>
            <w:gridSpan w:val="2"/>
            <w:tcBorders>
              <w:top w:val="nil"/>
              <w:left w:val="nil"/>
              <w:bottom w:val="single" w:sz="4" w:space="0" w:color="auto"/>
              <w:right w:val="single" w:sz="4" w:space="0" w:color="auto"/>
            </w:tcBorders>
            <w:shd w:val="clear" w:color="000000" w:fill="CCFFFF"/>
            <w:vAlign w:val="bottom"/>
            <w:hideMark/>
          </w:tcPr>
          <w:p w14:paraId="61945C98" w14:textId="77777777" w:rsidR="004566A6" w:rsidRPr="004566A6" w:rsidRDefault="004566A6" w:rsidP="004566A6">
            <w:pPr>
              <w:spacing w:after="0" w:line="240" w:lineRule="auto"/>
              <w:jc w:val="right"/>
              <w:rPr>
                <w:rFonts w:ascii="Calibri" w:eastAsia="Times New Roman" w:hAnsi="Calibri" w:cs="Calibri"/>
                <w:sz w:val="18"/>
                <w:szCs w:val="18"/>
                <w:lang w:eastAsia="hr-HR"/>
              </w:rPr>
            </w:pPr>
            <w:r w:rsidRPr="004566A6">
              <w:rPr>
                <w:rFonts w:ascii="Calibri" w:eastAsia="Times New Roman" w:hAnsi="Calibri" w:cs="Calibri"/>
                <w:sz w:val="18"/>
                <w:szCs w:val="18"/>
                <w:lang w:eastAsia="hr-HR"/>
              </w:rPr>
              <w:t>0</w:t>
            </w:r>
          </w:p>
        </w:tc>
        <w:tc>
          <w:tcPr>
            <w:tcW w:w="445" w:type="dxa"/>
            <w:tcBorders>
              <w:top w:val="nil"/>
              <w:left w:val="nil"/>
              <w:bottom w:val="single" w:sz="4" w:space="0" w:color="auto"/>
              <w:right w:val="single" w:sz="4" w:space="0" w:color="auto"/>
            </w:tcBorders>
            <w:shd w:val="clear" w:color="000000" w:fill="CCFFFF"/>
            <w:vAlign w:val="bottom"/>
            <w:hideMark/>
          </w:tcPr>
          <w:p w14:paraId="13B10BDD" w14:textId="77777777" w:rsidR="004566A6" w:rsidRPr="004566A6" w:rsidRDefault="004566A6" w:rsidP="004566A6">
            <w:pPr>
              <w:spacing w:after="0" w:line="240" w:lineRule="auto"/>
              <w:jc w:val="right"/>
              <w:rPr>
                <w:rFonts w:ascii="Calibri" w:eastAsia="Times New Roman" w:hAnsi="Calibri" w:cs="Calibri"/>
                <w:sz w:val="18"/>
                <w:szCs w:val="18"/>
                <w:lang w:eastAsia="hr-HR"/>
              </w:rPr>
            </w:pPr>
            <w:r w:rsidRPr="004566A6">
              <w:rPr>
                <w:rFonts w:ascii="Calibri" w:eastAsia="Times New Roman" w:hAnsi="Calibri" w:cs="Calibri"/>
                <w:sz w:val="18"/>
                <w:szCs w:val="18"/>
                <w:lang w:eastAsia="hr-HR"/>
              </w:rPr>
              <w:t>0</w:t>
            </w:r>
          </w:p>
        </w:tc>
        <w:tc>
          <w:tcPr>
            <w:tcW w:w="505" w:type="dxa"/>
            <w:tcBorders>
              <w:top w:val="nil"/>
              <w:left w:val="nil"/>
              <w:bottom w:val="single" w:sz="4" w:space="0" w:color="auto"/>
              <w:right w:val="single" w:sz="4" w:space="0" w:color="auto"/>
            </w:tcBorders>
            <w:shd w:val="clear" w:color="000000" w:fill="CCFFFF"/>
            <w:vAlign w:val="bottom"/>
            <w:hideMark/>
          </w:tcPr>
          <w:p w14:paraId="0A20CC32" w14:textId="77777777" w:rsidR="004566A6" w:rsidRPr="004566A6" w:rsidRDefault="004566A6" w:rsidP="004566A6">
            <w:pPr>
              <w:spacing w:after="0" w:line="240" w:lineRule="auto"/>
              <w:jc w:val="right"/>
              <w:rPr>
                <w:rFonts w:ascii="Calibri" w:eastAsia="Times New Roman" w:hAnsi="Calibri" w:cs="Calibri"/>
                <w:sz w:val="18"/>
                <w:szCs w:val="18"/>
                <w:lang w:eastAsia="hr-HR"/>
              </w:rPr>
            </w:pPr>
            <w:r w:rsidRPr="004566A6">
              <w:rPr>
                <w:rFonts w:ascii="Calibri" w:eastAsia="Times New Roman" w:hAnsi="Calibri" w:cs="Calibri"/>
                <w:sz w:val="18"/>
                <w:szCs w:val="18"/>
                <w:lang w:eastAsia="hr-HR"/>
              </w:rPr>
              <w:t>0</w:t>
            </w:r>
          </w:p>
        </w:tc>
        <w:tc>
          <w:tcPr>
            <w:tcW w:w="797" w:type="dxa"/>
            <w:gridSpan w:val="2"/>
            <w:tcBorders>
              <w:top w:val="nil"/>
              <w:left w:val="nil"/>
              <w:bottom w:val="single" w:sz="4" w:space="0" w:color="auto"/>
              <w:right w:val="nil"/>
            </w:tcBorders>
            <w:shd w:val="clear" w:color="000000" w:fill="33CCCC"/>
            <w:noWrap/>
            <w:vAlign w:val="bottom"/>
            <w:hideMark/>
          </w:tcPr>
          <w:p w14:paraId="27464267" w14:textId="77777777" w:rsidR="004566A6" w:rsidRPr="004566A6" w:rsidRDefault="004566A6" w:rsidP="004566A6">
            <w:pPr>
              <w:spacing w:after="0" w:line="240" w:lineRule="auto"/>
              <w:jc w:val="right"/>
              <w:rPr>
                <w:rFonts w:ascii="Calibri" w:eastAsia="Times New Roman" w:hAnsi="Calibri" w:cs="Calibri"/>
                <w:sz w:val="18"/>
                <w:szCs w:val="18"/>
                <w:lang w:eastAsia="hr-HR"/>
              </w:rPr>
            </w:pPr>
            <w:r w:rsidRPr="004566A6">
              <w:rPr>
                <w:rFonts w:ascii="Calibri" w:eastAsia="Times New Roman" w:hAnsi="Calibri" w:cs="Calibri"/>
                <w:sz w:val="18"/>
                <w:szCs w:val="18"/>
                <w:lang w:eastAsia="hr-HR"/>
              </w:rPr>
              <w:t>0</w:t>
            </w:r>
          </w:p>
        </w:tc>
        <w:tc>
          <w:tcPr>
            <w:tcW w:w="425" w:type="dxa"/>
            <w:gridSpan w:val="3"/>
            <w:tcBorders>
              <w:top w:val="nil"/>
              <w:left w:val="single" w:sz="4" w:space="0" w:color="auto"/>
              <w:bottom w:val="single" w:sz="4" w:space="0" w:color="auto"/>
              <w:right w:val="nil"/>
            </w:tcBorders>
            <w:shd w:val="clear" w:color="000000" w:fill="33CCCC"/>
            <w:noWrap/>
            <w:vAlign w:val="bottom"/>
            <w:hideMark/>
          </w:tcPr>
          <w:p w14:paraId="4D6E31A6" w14:textId="77777777" w:rsidR="004566A6" w:rsidRPr="004566A6" w:rsidRDefault="004566A6" w:rsidP="004566A6">
            <w:pPr>
              <w:spacing w:after="0" w:line="240" w:lineRule="auto"/>
              <w:jc w:val="right"/>
              <w:rPr>
                <w:rFonts w:ascii="Calibri" w:eastAsia="Times New Roman" w:hAnsi="Calibri" w:cs="Calibri"/>
                <w:sz w:val="18"/>
                <w:szCs w:val="18"/>
                <w:lang w:eastAsia="hr-HR"/>
              </w:rPr>
            </w:pPr>
            <w:r w:rsidRPr="004566A6">
              <w:rPr>
                <w:rFonts w:ascii="Calibri" w:eastAsia="Times New Roman" w:hAnsi="Calibri" w:cs="Calibri"/>
                <w:sz w:val="18"/>
                <w:szCs w:val="18"/>
                <w:lang w:eastAsia="hr-HR"/>
              </w:rPr>
              <w:t>0</w:t>
            </w:r>
          </w:p>
        </w:tc>
        <w:tc>
          <w:tcPr>
            <w:tcW w:w="236" w:type="dxa"/>
            <w:gridSpan w:val="2"/>
            <w:vAlign w:val="center"/>
            <w:hideMark/>
          </w:tcPr>
          <w:p w14:paraId="17738B0B" w14:textId="77777777" w:rsidR="004566A6" w:rsidRPr="004566A6" w:rsidRDefault="004566A6" w:rsidP="004566A6">
            <w:pPr>
              <w:spacing w:after="0" w:line="240" w:lineRule="auto"/>
              <w:rPr>
                <w:rFonts w:ascii="Times New Roman" w:eastAsia="Times New Roman" w:hAnsi="Times New Roman" w:cs="Times New Roman"/>
                <w:sz w:val="18"/>
                <w:szCs w:val="18"/>
                <w:lang w:eastAsia="hr-HR"/>
              </w:rPr>
            </w:pPr>
          </w:p>
        </w:tc>
      </w:tr>
      <w:tr w:rsidR="003D0C85" w:rsidRPr="004566A6" w14:paraId="465E8BF5" w14:textId="77777777" w:rsidTr="003D0C85">
        <w:trPr>
          <w:trHeight w:val="300"/>
        </w:trPr>
        <w:tc>
          <w:tcPr>
            <w:tcW w:w="1397" w:type="dxa"/>
            <w:tcBorders>
              <w:top w:val="single" w:sz="4" w:space="0" w:color="auto"/>
              <w:left w:val="single" w:sz="8" w:space="0" w:color="auto"/>
              <w:bottom w:val="single" w:sz="4" w:space="0" w:color="auto"/>
              <w:right w:val="single" w:sz="4" w:space="0" w:color="auto"/>
            </w:tcBorders>
            <w:shd w:val="clear" w:color="000000" w:fill="CCFFCC"/>
            <w:vAlign w:val="center"/>
            <w:hideMark/>
          </w:tcPr>
          <w:p w14:paraId="7E387C3C" w14:textId="77777777" w:rsidR="004566A6" w:rsidRPr="004566A6" w:rsidRDefault="004566A6" w:rsidP="004566A6">
            <w:pPr>
              <w:spacing w:after="0" w:line="240" w:lineRule="auto"/>
              <w:jc w:val="center"/>
              <w:rPr>
                <w:rFonts w:ascii="Calibri" w:eastAsia="Times New Roman" w:hAnsi="Calibri" w:cs="Calibri"/>
                <w:sz w:val="18"/>
                <w:szCs w:val="18"/>
                <w:lang w:eastAsia="hr-HR"/>
              </w:rPr>
            </w:pPr>
            <w:r w:rsidRPr="004566A6">
              <w:rPr>
                <w:rFonts w:ascii="Calibri" w:eastAsia="Times New Roman" w:hAnsi="Calibri" w:cs="Calibri"/>
                <w:sz w:val="18"/>
                <w:szCs w:val="18"/>
                <w:lang w:eastAsia="hr-HR"/>
              </w:rPr>
              <w:t>Imovno stanje</w:t>
            </w:r>
          </w:p>
        </w:tc>
        <w:tc>
          <w:tcPr>
            <w:tcW w:w="576" w:type="dxa"/>
            <w:tcBorders>
              <w:top w:val="nil"/>
              <w:left w:val="nil"/>
              <w:bottom w:val="single" w:sz="4" w:space="0" w:color="auto"/>
              <w:right w:val="single" w:sz="4" w:space="0" w:color="auto"/>
            </w:tcBorders>
            <w:shd w:val="clear" w:color="000000" w:fill="CCFFCC"/>
            <w:vAlign w:val="center"/>
            <w:hideMark/>
          </w:tcPr>
          <w:p w14:paraId="580311DE" w14:textId="77777777" w:rsidR="004566A6" w:rsidRPr="004566A6" w:rsidRDefault="004566A6" w:rsidP="004566A6">
            <w:pPr>
              <w:spacing w:after="0" w:line="240" w:lineRule="auto"/>
              <w:jc w:val="center"/>
              <w:rPr>
                <w:rFonts w:ascii="Calibri" w:eastAsia="Times New Roman" w:hAnsi="Calibri" w:cs="Calibri"/>
                <w:sz w:val="18"/>
                <w:szCs w:val="18"/>
                <w:lang w:eastAsia="hr-HR"/>
              </w:rPr>
            </w:pPr>
            <w:r w:rsidRPr="004566A6">
              <w:rPr>
                <w:rFonts w:ascii="Calibri" w:eastAsia="Times New Roman" w:hAnsi="Calibri" w:cs="Calibri"/>
                <w:sz w:val="18"/>
                <w:szCs w:val="18"/>
                <w:lang w:eastAsia="hr-HR"/>
              </w:rPr>
              <w:t>0</w:t>
            </w:r>
          </w:p>
        </w:tc>
        <w:tc>
          <w:tcPr>
            <w:tcW w:w="444" w:type="dxa"/>
            <w:tcBorders>
              <w:top w:val="nil"/>
              <w:left w:val="nil"/>
              <w:bottom w:val="single" w:sz="4" w:space="0" w:color="auto"/>
              <w:right w:val="single" w:sz="4" w:space="0" w:color="auto"/>
            </w:tcBorders>
            <w:shd w:val="clear" w:color="000000" w:fill="FFCC99"/>
            <w:noWrap/>
            <w:vAlign w:val="bottom"/>
            <w:hideMark/>
          </w:tcPr>
          <w:p w14:paraId="08D14619" w14:textId="77777777" w:rsidR="004566A6" w:rsidRPr="004566A6" w:rsidRDefault="004566A6" w:rsidP="004566A6">
            <w:pPr>
              <w:spacing w:after="0" w:line="240" w:lineRule="auto"/>
              <w:jc w:val="center"/>
              <w:rPr>
                <w:rFonts w:ascii="Calibri" w:eastAsia="Times New Roman" w:hAnsi="Calibri" w:cs="Calibri"/>
                <w:sz w:val="18"/>
                <w:szCs w:val="18"/>
                <w:lang w:eastAsia="hr-HR"/>
              </w:rPr>
            </w:pPr>
            <w:r w:rsidRPr="004566A6">
              <w:rPr>
                <w:rFonts w:ascii="Calibri" w:eastAsia="Times New Roman" w:hAnsi="Calibri" w:cs="Calibri"/>
                <w:sz w:val="18"/>
                <w:szCs w:val="18"/>
                <w:lang w:eastAsia="hr-HR"/>
              </w:rPr>
              <w:t>0</w:t>
            </w:r>
          </w:p>
        </w:tc>
        <w:tc>
          <w:tcPr>
            <w:tcW w:w="405" w:type="dxa"/>
            <w:tcBorders>
              <w:top w:val="nil"/>
              <w:left w:val="nil"/>
              <w:bottom w:val="single" w:sz="4" w:space="0" w:color="auto"/>
              <w:right w:val="single" w:sz="4" w:space="0" w:color="auto"/>
            </w:tcBorders>
            <w:shd w:val="clear" w:color="000000" w:fill="CCFFFF"/>
            <w:noWrap/>
            <w:vAlign w:val="bottom"/>
            <w:hideMark/>
          </w:tcPr>
          <w:p w14:paraId="5F7AD564" w14:textId="77777777" w:rsidR="004566A6" w:rsidRPr="004566A6" w:rsidRDefault="004566A6" w:rsidP="004566A6">
            <w:pPr>
              <w:spacing w:after="0" w:line="240" w:lineRule="auto"/>
              <w:jc w:val="right"/>
              <w:rPr>
                <w:rFonts w:ascii="Calibri" w:eastAsia="Times New Roman" w:hAnsi="Calibri" w:cs="Calibri"/>
                <w:sz w:val="18"/>
                <w:szCs w:val="18"/>
                <w:lang w:eastAsia="hr-HR"/>
              </w:rPr>
            </w:pPr>
            <w:r w:rsidRPr="004566A6">
              <w:rPr>
                <w:rFonts w:ascii="Calibri" w:eastAsia="Times New Roman" w:hAnsi="Calibri" w:cs="Calibri"/>
                <w:sz w:val="18"/>
                <w:szCs w:val="18"/>
                <w:lang w:eastAsia="hr-HR"/>
              </w:rPr>
              <w:t>0</w:t>
            </w:r>
          </w:p>
        </w:tc>
        <w:tc>
          <w:tcPr>
            <w:tcW w:w="462" w:type="dxa"/>
            <w:tcBorders>
              <w:top w:val="nil"/>
              <w:left w:val="nil"/>
              <w:bottom w:val="single" w:sz="4" w:space="0" w:color="auto"/>
              <w:right w:val="single" w:sz="4" w:space="0" w:color="auto"/>
            </w:tcBorders>
            <w:shd w:val="clear" w:color="000000" w:fill="CCFFFF"/>
            <w:noWrap/>
            <w:vAlign w:val="bottom"/>
            <w:hideMark/>
          </w:tcPr>
          <w:p w14:paraId="065952E5" w14:textId="77777777" w:rsidR="004566A6" w:rsidRPr="004566A6" w:rsidRDefault="004566A6" w:rsidP="004566A6">
            <w:pPr>
              <w:spacing w:after="0" w:line="240" w:lineRule="auto"/>
              <w:jc w:val="right"/>
              <w:rPr>
                <w:rFonts w:ascii="Calibri" w:eastAsia="Times New Roman" w:hAnsi="Calibri" w:cs="Calibri"/>
                <w:sz w:val="18"/>
                <w:szCs w:val="18"/>
                <w:lang w:eastAsia="hr-HR"/>
              </w:rPr>
            </w:pPr>
            <w:r w:rsidRPr="004566A6">
              <w:rPr>
                <w:rFonts w:ascii="Calibri" w:eastAsia="Times New Roman" w:hAnsi="Calibri" w:cs="Calibri"/>
                <w:sz w:val="18"/>
                <w:szCs w:val="18"/>
                <w:lang w:eastAsia="hr-HR"/>
              </w:rPr>
              <w:t>0</w:t>
            </w:r>
          </w:p>
        </w:tc>
        <w:tc>
          <w:tcPr>
            <w:tcW w:w="455" w:type="dxa"/>
            <w:tcBorders>
              <w:top w:val="nil"/>
              <w:left w:val="nil"/>
              <w:bottom w:val="single" w:sz="4" w:space="0" w:color="auto"/>
              <w:right w:val="single" w:sz="4" w:space="0" w:color="auto"/>
            </w:tcBorders>
            <w:shd w:val="clear" w:color="000000" w:fill="FFFF99"/>
            <w:noWrap/>
            <w:vAlign w:val="bottom"/>
            <w:hideMark/>
          </w:tcPr>
          <w:p w14:paraId="2BCDCE72" w14:textId="77777777" w:rsidR="004566A6" w:rsidRPr="004566A6" w:rsidRDefault="004566A6" w:rsidP="004566A6">
            <w:pPr>
              <w:spacing w:after="0" w:line="240" w:lineRule="auto"/>
              <w:jc w:val="center"/>
              <w:rPr>
                <w:rFonts w:ascii="Calibri" w:eastAsia="Times New Roman" w:hAnsi="Calibri" w:cs="Calibri"/>
                <w:sz w:val="18"/>
                <w:szCs w:val="18"/>
                <w:lang w:eastAsia="hr-HR"/>
              </w:rPr>
            </w:pPr>
            <w:r w:rsidRPr="004566A6">
              <w:rPr>
                <w:rFonts w:ascii="Calibri" w:eastAsia="Times New Roman" w:hAnsi="Calibri" w:cs="Calibri"/>
                <w:sz w:val="18"/>
                <w:szCs w:val="18"/>
                <w:lang w:eastAsia="hr-HR"/>
              </w:rPr>
              <w:t>0</w:t>
            </w:r>
          </w:p>
        </w:tc>
        <w:tc>
          <w:tcPr>
            <w:tcW w:w="567" w:type="dxa"/>
            <w:tcBorders>
              <w:top w:val="nil"/>
              <w:left w:val="nil"/>
              <w:bottom w:val="single" w:sz="4" w:space="0" w:color="auto"/>
              <w:right w:val="single" w:sz="4" w:space="0" w:color="auto"/>
            </w:tcBorders>
            <w:shd w:val="clear" w:color="000000" w:fill="FFFF99"/>
            <w:noWrap/>
            <w:vAlign w:val="bottom"/>
            <w:hideMark/>
          </w:tcPr>
          <w:p w14:paraId="1175A82F" w14:textId="77777777" w:rsidR="004566A6" w:rsidRPr="004566A6" w:rsidRDefault="004566A6" w:rsidP="004566A6">
            <w:pPr>
              <w:spacing w:after="0" w:line="240" w:lineRule="auto"/>
              <w:jc w:val="center"/>
              <w:rPr>
                <w:rFonts w:ascii="Calibri" w:eastAsia="Times New Roman" w:hAnsi="Calibri" w:cs="Calibri"/>
                <w:sz w:val="18"/>
                <w:szCs w:val="18"/>
                <w:lang w:eastAsia="hr-HR"/>
              </w:rPr>
            </w:pPr>
            <w:r w:rsidRPr="004566A6">
              <w:rPr>
                <w:rFonts w:ascii="Calibri" w:eastAsia="Times New Roman" w:hAnsi="Calibri" w:cs="Calibri"/>
                <w:sz w:val="18"/>
                <w:szCs w:val="18"/>
                <w:lang w:eastAsia="hr-HR"/>
              </w:rPr>
              <w:t>0</w:t>
            </w:r>
          </w:p>
        </w:tc>
        <w:tc>
          <w:tcPr>
            <w:tcW w:w="708" w:type="dxa"/>
            <w:tcBorders>
              <w:top w:val="nil"/>
              <w:left w:val="nil"/>
              <w:bottom w:val="single" w:sz="4" w:space="0" w:color="auto"/>
              <w:right w:val="single" w:sz="4" w:space="0" w:color="auto"/>
            </w:tcBorders>
            <w:shd w:val="clear" w:color="000000" w:fill="FFFF99"/>
            <w:noWrap/>
            <w:vAlign w:val="bottom"/>
            <w:hideMark/>
          </w:tcPr>
          <w:p w14:paraId="69C1D276" w14:textId="77777777" w:rsidR="004566A6" w:rsidRPr="004566A6" w:rsidRDefault="004566A6" w:rsidP="004566A6">
            <w:pPr>
              <w:spacing w:after="0" w:line="240" w:lineRule="auto"/>
              <w:jc w:val="center"/>
              <w:rPr>
                <w:rFonts w:ascii="Calibri" w:eastAsia="Times New Roman" w:hAnsi="Calibri" w:cs="Calibri"/>
                <w:sz w:val="18"/>
                <w:szCs w:val="18"/>
                <w:lang w:eastAsia="hr-HR"/>
              </w:rPr>
            </w:pPr>
            <w:r w:rsidRPr="004566A6">
              <w:rPr>
                <w:rFonts w:ascii="Calibri" w:eastAsia="Times New Roman" w:hAnsi="Calibri" w:cs="Calibri"/>
                <w:sz w:val="18"/>
                <w:szCs w:val="18"/>
                <w:lang w:eastAsia="hr-HR"/>
              </w:rPr>
              <w:t>0</w:t>
            </w:r>
          </w:p>
        </w:tc>
        <w:tc>
          <w:tcPr>
            <w:tcW w:w="448" w:type="dxa"/>
            <w:tcBorders>
              <w:top w:val="nil"/>
              <w:left w:val="nil"/>
              <w:bottom w:val="single" w:sz="4" w:space="0" w:color="auto"/>
              <w:right w:val="single" w:sz="4" w:space="0" w:color="auto"/>
            </w:tcBorders>
            <w:shd w:val="clear" w:color="000000" w:fill="FFFF99"/>
            <w:noWrap/>
            <w:vAlign w:val="bottom"/>
            <w:hideMark/>
          </w:tcPr>
          <w:p w14:paraId="4BB3EC55" w14:textId="77777777" w:rsidR="004566A6" w:rsidRPr="004566A6" w:rsidRDefault="004566A6" w:rsidP="004566A6">
            <w:pPr>
              <w:spacing w:after="0" w:line="240" w:lineRule="auto"/>
              <w:jc w:val="center"/>
              <w:rPr>
                <w:rFonts w:ascii="Calibri" w:eastAsia="Times New Roman" w:hAnsi="Calibri" w:cs="Calibri"/>
                <w:sz w:val="18"/>
                <w:szCs w:val="18"/>
                <w:lang w:eastAsia="hr-HR"/>
              </w:rPr>
            </w:pPr>
            <w:r w:rsidRPr="004566A6">
              <w:rPr>
                <w:rFonts w:ascii="Calibri" w:eastAsia="Times New Roman" w:hAnsi="Calibri" w:cs="Calibri"/>
                <w:sz w:val="18"/>
                <w:szCs w:val="18"/>
                <w:lang w:eastAsia="hr-HR"/>
              </w:rPr>
              <w:t>0</w:t>
            </w:r>
          </w:p>
        </w:tc>
        <w:tc>
          <w:tcPr>
            <w:tcW w:w="680" w:type="dxa"/>
            <w:tcBorders>
              <w:top w:val="nil"/>
              <w:left w:val="nil"/>
              <w:bottom w:val="single" w:sz="4" w:space="0" w:color="auto"/>
              <w:right w:val="single" w:sz="4" w:space="0" w:color="auto"/>
            </w:tcBorders>
            <w:shd w:val="clear" w:color="000000" w:fill="FFFF99"/>
            <w:noWrap/>
            <w:vAlign w:val="bottom"/>
            <w:hideMark/>
          </w:tcPr>
          <w:p w14:paraId="507E4F32" w14:textId="77777777" w:rsidR="004566A6" w:rsidRPr="004566A6" w:rsidRDefault="004566A6" w:rsidP="004566A6">
            <w:pPr>
              <w:spacing w:after="0" w:line="240" w:lineRule="auto"/>
              <w:jc w:val="center"/>
              <w:rPr>
                <w:rFonts w:ascii="Calibri" w:eastAsia="Times New Roman" w:hAnsi="Calibri" w:cs="Calibri"/>
                <w:sz w:val="18"/>
                <w:szCs w:val="18"/>
                <w:lang w:eastAsia="hr-HR"/>
              </w:rPr>
            </w:pPr>
            <w:r w:rsidRPr="004566A6">
              <w:rPr>
                <w:rFonts w:ascii="Calibri" w:eastAsia="Times New Roman" w:hAnsi="Calibri" w:cs="Calibri"/>
                <w:sz w:val="18"/>
                <w:szCs w:val="18"/>
                <w:lang w:eastAsia="hr-HR"/>
              </w:rPr>
              <w:t>0</w:t>
            </w:r>
          </w:p>
        </w:tc>
        <w:tc>
          <w:tcPr>
            <w:tcW w:w="573" w:type="dxa"/>
            <w:gridSpan w:val="2"/>
            <w:tcBorders>
              <w:top w:val="nil"/>
              <w:left w:val="nil"/>
              <w:bottom w:val="single" w:sz="4" w:space="0" w:color="auto"/>
              <w:right w:val="single" w:sz="4" w:space="0" w:color="auto"/>
            </w:tcBorders>
            <w:shd w:val="clear" w:color="000000" w:fill="FF9900"/>
            <w:noWrap/>
            <w:vAlign w:val="bottom"/>
            <w:hideMark/>
          </w:tcPr>
          <w:p w14:paraId="18B11499" w14:textId="77777777" w:rsidR="004566A6" w:rsidRPr="004566A6" w:rsidRDefault="004566A6" w:rsidP="004566A6">
            <w:pPr>
              <w:spacing w:after="0" w:line="240" w:lineRule="auto"/>
              <w:jc w:val="right"/>
              <w:rPr>
                <w:rFonts w:ascii="Calibri" w:eastAsia="Times New Roman" w:hAnsi="Calibri" w:cs="Calibri"/>
                <w:sz w:val="18"/>
                <w:szCs w:val="18"/>
                <w:lang w:eastAsia="hr-HR"/>
              </w:rPr>
            </w:pPr>
            <w:r w:rsidRPr="004566A6">
              <w:rPr>
                <w:rFonts w:ascii="Calibri" w:eastAsia="Times New Roman" w:hAnsi="Calibri" w:cs="Calibri"/>
                <w:sz w:val="18"/>
                <w:szCs w:val="18"/>
                <w:lang w:eastAsia="hr-HR"/>
              </w:rPr>
              <w:t>0</w:t>
            </w:r>
          </w:p>
        </w:tc>
        <w:tc>
          <w:tcPr>
            <w:tcW w:w="567" w:type="dxa"/>
            <w:tcBorders>
              <w:top w:val="nil"/>
              <w:left w:val="nil"/>
              <w:bottom w:val="single" w:sz="4" w:space="0" w:color="auto"/>
              <w:right w:val="single" w:sz="4" w:space="0" w:color="auto"/>
            </w:tcBorders>
            <w:shd w:val="clear" w:color="000000" w:fill="FF9900"/>
            <w:noWrap/>
            <w:vAlign w:val="bottom"/>
            <w:hideMark/>
          </w:tcPr>
          <w:p w14:paraId="5C6FE67B" w14:textId="77777777" w:rsidR="004566A6" w:rsidRPr="004566A6" w:rsidRDefault="004566A6" w:rsidP="004566A6">
            <w:pPr>
              <w:spacing w:after="0" w:line="240" w:lineRule="auto"/>
              <w:jc w:val="right"/>
              <w:rPr>
                <w:rFonts w:ascii="Calibri" w:eastAsia="Times New Roman" w:hAnsi="Calibri" w:cs="Calibri"/>
                <w:sz w:val="18"/>
                <w:szCs w:val="18"/>
                <w:lang w:eastAsia="hr-HR"/>
              </w:rPr>
            </w:pPr>
            <w:r w:rsidRPr="004566A6">
              <w:rPr>
                <w:rFonts w:ascii="Calibri" w:eastAsia="Times New Roman" w:hAnsi="Calibri" w:cs="Calibri"/>
                <w:sz w:val="18"/>
                <w:szCs w:val="18"/>
                <w:lang w:eastAsia="hr-HR"/>
              </w:rPr>
              <w:t>0</w:t>
            </w:r>
          </w:p>
        </w:tc>
        <w:tc>
          <w:tcPr>
            <w:tcW w:w="448" w:type="dxa"/>
            <w:tcBorders>
              <w:top w:val="nil"/>
              <w:left w:val="nil"/>
              <w:bottom w:val="single" w:sz="4" w:space="0" w:color="auto"/>
              <w:right w:val="single" w:sz="4" w:space="0" w:color="auto"/>
            </w:tcBorders>
            <w:shd w:val="clear" w:color="000000" w:fill="FF9900"/>
            <w:noWrap/>
            <w:vAlign w:val="bottom"/>
            <w:hideMark/>
          </w:tcPr>
          <w:p w14:paraId="4BE9DFAA" w14:textId="77777777" w:rsidR="004566A6" w:rsidRPr="004566A6" w:rsidRDefault="004566A6" w:rsidP="004566A6">
            <w:pPr>
              <w:spacing w:after="0" w:line="240" w:lineRule="auto"/>
              <w:jc w:val="right"/>
              <w:rPr>
                <w:rFonts w:ascii="Calibri" w:eastAsia="Times New Roman" w:hAnsi="Calibri" w:cs="Calibri"/>
                <w:sz w:val="18"/>
                <w:szCs w:val="18"/>
                <w:lang w:eastAsia="hr-HR"/>
              </w:rPr>
            </w:pPr>
            <w:r w:rsidRPr="004566A6">
              <w:rPr>
                <w:rFonts w:ascii="Calibri" w:eastAsia="Times New Roman" w:hAnsi="Calibri" w:cs="Calibri"/>
                <w:sz w:val="18"/>
                <w:szCs w:val="18"/>
                <w:lang w:eastAsia="hr-HR"/>
              </w:rPr>
              <w:t>0</w:t>
            </w:r>
          </w:p>
        </w:tc>
        <w:tc>
          <w:tcPr>
            <w:tcW w:w="448" w:type="dxa"/>
            <w:gridSpan w:val="2"/>
            <w:tcBorders>
              <w:top w:val="nil"/>
              <w:left w:val="nil"/>
              <w:bottom w:val="single" w:sz="4" w:space="0" w:color="auto"/>
              <w:right w:val="single" w:sz="4" w:space="0" w:color="auto"/>
            </w:tcBorders>
            <w:shd w:val="clear" w:color="000000" w:fill="66FFCC"/>
            <w:noWrap/>
            <w:vAlign w:val="bottom"/>
            <w:hideMark/>
          </w:tcPr>
          <w:p w14:paraId="66365492" w14:textId="77777777" w:rsidR="004566A6" w:rsidRPr="004566A6" w:rsidRDefault="004566A6" w:rsidP="004566A6">
            <w:pPr>
              <w:spacing w:after="0" w:line="240" w:lineRule="auto"/>
              <w:jc w:val="right"/>
              <w:rPr>
                <w:rFonts w:ascii="Calibri" w:eastAsia="Times New Roman" w:hAnsi="Calibri" w:cs="Calibri"/>
                <w:sz w:val="18"/>
                <w:szCs w:val="18"/>
                <w:lang w:eastAsia="hr-HR"/>
              </w:rPr>
            </w:pPr>
            <w:r w:rsidRPr="004566A6">
              <w:rPr>
                <w:rFonts w:ascii="Calibri" w:eastAsia="Times New Roman" w:hAnsi="Calibri" w:cs="Calibri"/>
                <w:sz w:val="18"/>
                <w:szCs w:val="18"/>
                <w:lang w:eastAsia="hr-HR"/>
              </w:rPr>
              <w:t>0</w:t>
            </w:r>
          </w:p>
        </w:tc>
        <w:tc>
          <w:tcPr>
            <w:tcW w:w="448" w:type="dxa"/>
            <w:tcBorders>
              <w:top w:val="nil"/>
              <w:left w:val="nil"/>
              <w:bottom w:val="single" w:sz="4" w:space="0" w:color="auto"/>
              <w:right w:val="single" w:sz="4" w:space="0" w:color="auto"/>
            </w:tcBorders>
            <w:shd w:val="clear" w:color="000000" w:fill="66FFCC"/>
            <w:noWrap/>
            <w:vAlign w:val="bottom"/>
            <w:hideMark/>
          </w:tcPr>
          <w:p w14:paraId="4D5760BF" w14:textId="77777777" w:rsidR="004566A6" w:rsidRPr="004566A6" w:rsidRDefault="004566A6" w:rsidP="004566A6">
            <w:pPr>
              <w:spacing w:after="0" w:line="240" w:lineRule="auto"/>
              <w:jc w:val="right"/>
              <w:rPr>
                <w:rFonts w:ascii="Calibri" w:eastAsia="Times New Roman" w:hAnsi="Calibri" w:cs="Calibri"/>
                <w:sz w:val="18"/>
                <w:szCs w:val="18"/>
                <w:lang w:eastAsia="hr-HR"/>
              </w:rPr>
            </w:pPr>
            <w:r w:rsidRPr="004566A6">
              <w:rPr>
                <w:rFonts w:ascii="Calibri" w:eastAsia="Times New Roman" w:hAnsi="Calibri" w:cs="Calibri"/>
                <w:sz w:val="18"/>
                <w:szCs w:val="18"/>
                <w:lang w:eastAsia="hr-HR"/>
              </w:rPr>
              <w:t>0</w:t>
            </w:r>
          </w:p>
        </w:tc>
        <w:tc>
          <w:tcPr>
            <w:tcW w:w="448" w:type="dxa"/>
            <w:tcBorders>
              <w:top w:val="nil"/>
              <w:left w:val="nil"/>
              <w:bottom w:val="single" w:sz="4" w:space="0" w:color="auto"/>
              <w:right w:val="single" w:sz="4" w:space="0" w:color="auto"/>
            </w:tcBorders>
            <w:shd w:val="clear" w:color="000000" w:fill="66FFCC"/>
            <w:noWrap/>
            <w:vAlign w:val="bottom"/>
            <w:hideMark/>
          </w:tcPr>
          <w:p w14:paraId="2C2754F5" w14:textId="77777777" w:rsidR="004566A6" w:rsidRPr="004566A6" w:rsidRDefault="004566A6" w:rsidP="004566A6">
            <w:pPr>
              <w:spacing w:after="0" w:line="240" w:lineRule="auto"/>
              <w:jc w:val="right"/>
              <w:rPr>
                <w:rFonts w:ascii="Calibri" w:eastAsia="Times New Roman" w:hAnsi="Calibri" w:cs="Calibri"/>
                <w:sz w:val="18"/>
                <w:szCs w:val="18"/>
                <w:lang w:eastAsia="hr-HR"/>
              </w:rPr>
            </w:pPr>
            <w:r w:rsidRPr="004566A6">
              <w:rPr>
                <w:rFonts w:ascii="Calibri" w:eastAsia="Times New Roman" w:hAnsi="Calibri" w:cs="Calibri"/>
                <w:sz w:val="18"/>
                <w:szCs w:val="18"/>
                <w:lang w:eastAsia="hr-HR"/>
              </w:rPr>
              <w:t>0</w:t>
            </w:r>
          </w:p>
        </w:tc>
        <w:tc>
          <w:tcPr>
            <w:tcW w:w="476" w:type="dxa"/>
            <w:tcBorders>
              <w:top w:val="nil"/>
              <w:left w:val="nil"/>
              <w:bottom w:val="single" w:sz="4" w:space="0" w:color="auto"/>
              <w:right w:val="single" w:sz="4" w:space="0" w:color="auto"/>
            </w:tcBorders>
            <w:shd w:val="clear" w:color="000000" w:fill="66FFCC"/>
            <w:noWrap/>
            <w:vAlign w:val="bottom"/>
            <w:hideMark/>
          </w:tcPr>
          <w:p w14:paraId="7BF2FF1C" w14:textId="77777777" w:rsidR="004566A6" w:rsidRPr="004566A6" w:rsidRDefault="004566A6" w:rsidP="004566A6">
            <w:pPr>
              <w:spacing w:after="0" w:line="240" w:lineRule="auto"/>
              <w:jc w:val="right"/>
              <w:rPr>
                <w:rFonts w:ascii="Calibri" w:eastAsia="Times New Roman" w:hAnsi="Calibri" w:cs="Calibri"/>
                <w:sz w:val="18"/>
                <w:szCs w:val="18"/>
                <w:lang w:eastAsia="hr-HR"/>
              </w:rPr>
            </w:pPr>
            <w:r w:rsidRPr="004566A6">
              <w:rPr>
                <w:rFonts w:ascii="Calibri" w:eastAsia="Times New Roman" w:hAnsi="Calibri" w:cs="Calibri"/>
                <w:sz w:val="18"/>
                <w:szCs w:val="18"/>
                <w:lang w:eastAsia="hr-HR"/>
              </w:rPr>
              <w:t>0</w:t>
            </w:r>
          </w:p>
        </w:tc>
        <w:tc>
          <w:tcPr>
            <w:tcW w:w="557" w:type="dxa"/>
            <w:gridSpan w:val="2"/>
            <w:tcBorders>
              <w:top w:val="nil"/>
              <w:left w:val="nil"/>
              <w:bottom w:val="single" w:sz="4" w:space="0" w:color="auto"/>
              <w:right w:val="single" w:sz="4" w:space="0" w:color="auto"/>
            </w:tcBorders>
            <w:shd w:val="clear" w:color="000000" w:fill="FFFF00"/>
            <w:vAlign w:val="center"/>
            <w:hideMark/>
          </w:tcPr>
          <w:p w14:paraId="3431D9A5" w14:textId="77777777" w:rsidR="004566A6" w:rsidRPr="004566A6" w:rsidRDefault="004566A6" w:rsidP="004566A6">
            <w:pPr>
              <w:spacing w:after="0" w:line="240" w:lineRule="auto"/>
              <w:jc w:val="center"/>
              <w:rPr>
                <w:rFonts w:ascii="Calibri" w:eastAsia="Times New Roman" w:hAnsi="Calibri" w:cs="Calibri"/>
                <w:sz w:val="18"/>
                <w:szCs w:val="18"/>
                <w:lang w:eastAsia="hr-HR"/>
              </w:rPr>
            </w:pPr>
            <w:r w:rsidRPr="004566A6">
              <w:rPr>
                <w:rFonts w:ascii="Calibri" w:eastAsia="Times New Roman" w:hAnsi="Calibri" w:cs="Calibri"/>
                <w:sz w:val="18"/>
                <w:szCs w:val="18"/>
                <w:lang w:eastAsia="hr-HR"/>
              </w:rPr>
              <w:t>0</w:t>
            </w:r>
          </w:p>
        </w:tc>
        <w:tc>
          <w:tcPr>
            <w:tcW w:w="515" w:type="dxa"/>
            <w:gridSpan w:val="2"/>
            <w:tcBorders>
              <w:top w:val="nil"/>
              <w:left w:val="nil"/>
              <w:bottom w:val="single" w:sz="4" w:space="0" w:color="auto"/>
              <w:right w:val="single" w:sz="4" w:space="0" w:color="auto"/>
            </w:tcBorders>
            <w:shd w:val="clear" w:color="000000" w:fill="FFFF99"/>
            <w:vAlign w:val="center"/>
            <w:hideMark/>
          </w:tcPr>
          <w:p w14:paraId="77776E2C" w14:textId="77777777" w:rsidR="004566A6" w:rsidRPr="004566A6" w:rsidRDefault="004566A6" w:rsidP="004566A6">
            <w:pPr>
              <w:spacing w:after="0" w:line="240" w:lineRule="auto"/>
              <w:jc w:val="center"/>
              <w:rPr>
                <w:rFonts w:ascii="Calibri" w:eastAsia="Times New Roman" w:hAnsi="Calibri" w:cs="Calibri"/>
                <w:sz w:val="18"/>
                <w:szCs w:val="18"/>
                <w:lang w:eastAsia="hr-HR"/>
              </w:rPr>
            </w:pPr>
            <w:r w:rsidRPr="004566A6">
              <w:rPr>
                <w:rFonts w:ascii="Calibri" w:eastAsia="Times New Roman" w:hAnsi="Calibri" w:cs="Calibri"/>
                <w:sz w:val="18"/>
                <w:szCs w:val="18"/>
                <w:lang w:eastAsia="hr-HR"/>
              </w:rPr>
              <w:t>0</w:t>
            </w:r>
          </w:p>
        </w:tc>
        <w:tc>
          <w:tcPr>
            <w:tcW w:w="855" w:type="dxa"/>
            <w:gridSpan w:val="2"/>
            <w:tcBorders>
              <w:top w:val="nil"/>
              <w:left w:val="nil"/>
              <w:bottom w:val="single" w:sz="4" w:space="0" w:color="auto"/>
              <w:right w:val="single" w:sz="4" w:space="0" w:color="auto"/>
            </w:tcBorders>
            <w:shd w:val="clear" w:color="000000" w:fill="FF9900"/>
            <w:vAlign w:val="center"/>
            <w:hideMark/>
          </w:tcPr>
          <w:p w14:paraId="3BCA8904" w14:textId="77777777" w:rsidR="004566A6" w:rsidRPr="004566A6" w:rsidRDefault="004566A6" w:rsidP="004566A6">
            <w:pPr>
              <w:spacing w:after="0" w:line="240" w:lineRule="auto"/>
              <w:jc w:val="center"/>
              <w:rPr>
                <w:rFonts w:ascii="Calibri" w:eastAsia="Times New Roman" w:hAnsi="Calibri" w:cs="Calibri"/>
                <w:sz w:val="18"/>
                <w:szCs w:val="18"/>
                <w:lang w:eastAsia="hr-HR"/>
              </w:rPr>
            </w:pPr>
            <w:r w:rsidRPr="004566A6">
              <w:rPr>
                <w:rFonts w:ascii="Calibri" w:eastAsia="Times New Roman" w:hAnsi="Calibri" w:cs="Calibri"/>
                <w:sz w:val="18"/>
                <w:szCs w:val="18"/>
                <w:lang w:eastAsia="hr-HR"/>
              </w:rPr>
              <w:t>0</w:t>
            </w:r>
          </w:p>
        </w:tc>
        <w:tc>
          <w:tcPr>
            <w:tcW w:w="445" w:type="dxa"/>
            <w:gridSpan w:val="2"/>
            <w:tcBorders>
              <w:top w:val="nil"/>
              <w:left w:val="nil"/>
              <w:bottom w:val="single" w:sz="4" w:space="0" w:color="auto"/>
              <w:right w:val="single" w:sz="4" w:space="0" w:color="auto"/>
            </w:tcBorders>
            <w:shd w:val="clear" w:color="000000" w:fill="CCFFFF"/>
            <w:vAlign w:val="bottom"/>
            <w:hideMark/>
          </w:tcPr>
          <w:p w14:paraId="63F7422E" w14:textId="77777777" w:rsidR="004566A6" w:rsidRPr="004566A6" w:rsidRDefault="004566A6" w:rsidP="004566A6">
            <w:pPr>
              <w:spacing w:after="0" w:line="240" w:lineRule="auto"/>
              <w:jc w:val="right"/>
              <w:rPr>
                <w:rFonts w:ascii="Calibri" w:eastAsia="Times New Roman" w:hAnsi="Calibri" w:cs="Calibri"/>
                <w:sz w:val="18"/>
                <w:szCs w:val="18"/>
                <w:lang w:eastAsia="hr-HR"/>
              </w:rPr>
            </w:pPr>
            <w:r w:rsidRPr="004566A6">
              <w:rPr>
                <w:rFonts w:ascii="Calibri" w:eastAsia="Times New Roman" w:hAnsi="Calibri" w:cs="Calibri"/>
                <w:sz w:val="18"/>
                <w:szCs w:val="18"/>
                <w:lang w:eastAsia="hr-HR"/>
              </w:rPr>
              <w:t>0</w:t>
            </w:r>
          </w:p>
        </w:tc>
        <w:tc>
          <w:tcPr>
            <w:tcW w:w="445" w:type="dxa"/>
            <w:tcBorders>
              <w:top w:val="nil"/>
              <w:left w:val="nil"/>
              <w:bottom w:val="single" w:sz="4" w:space="0" w:color="auto"/>
              <w:right w:val="single" w:sz="4" w:space="0" w:color="auto"/>
            </w:tcBorders>
            <w:shd w:val="clear" w:color="000000" w:fill="CCFFFF"/>
            <w:vAlign w:val="bottom"/>
            <w:hideMark/>
          </w:tcPr>
          <w:p w14:paraId="1FB2D5D9" w14:textId="77777777" w:rsidR="004566A6" w:rsidRPr="004566A6" w:rsidRDefault="004566A6" w:rsidP="004566A6">
            <w:pPr>
              <w:spacing w:after="0" w:line="240" w:lineRule="auto"/>
              <w:jc w:val="right"/>
              <w:rPr>
                <w:rFonts w:ascii="Calibri" w:eastAsia="Times New Roman" w:hAnsi="Calibri" w:cs="Calibri"/>
                <w:sz w:val="18"/>
                <w:szCs w:val="18"/>
                <w:lang w:eastAsia="hr-HR"/>
              </w:rPr>
            </w:pPr>
            <w:r w:rsidRPr="004566A6">
              <w:rPr>
                <w:rFonts w:ascii="Calibri" w:eastAsia="Times New Roman" w:hAnsi="Calibri" w:cs="Calibri"/>
                <w:sz w:val="18"/>
                <w:szCs w:val="18"/>
                <w:lang w:eastAsia="hr-HR"/>
              </w:rPr>
              <w:t>0</w:t>
            </w:r>
          </w:p>
        </w:tc>
        <w:tc>
          <w:tcPr>
            <w:tcW w:w="505" w:type="dxa"/>
            <w:tcBorders>
              <w:top w:val="nil"/>
              <w:left w:val="nil"/>
              <w:bottom w:val="single" w:sz="4" w:space="0" w:color="auto"/>
              <w:right w:val="single" w:sz="4" w:space="0" w:color="auto"/>
            </w:tcBorders>
            <w:shd w:val="clear" w:color="000000" w:fill="CCFFFF"/>
            <w:vAlign w:val="bottom"/>
            <w:hideMark/>
          </w:tcPr>
          <w:p w14:paraId="2AC2B854" w14:textId="77777777" w:rsidR="004566A6" w:rsidRPr="004566A6" w:rsidRDefault="004566A6" w:rsidP="004566A6">
            <w:pPr>
              <w:spacing w:after="0" w:line="240" w:lineRule="auto"/>
              <w:jc w:val="right"/>
              <w:rPr>
                <w:rFonts w:ascii="Calibri" w:eastAsia="Times New Roman" w:hAnsi="Calibri" w:cs="Calibri"/>
                <w:sz w:val="18"/>
                <w:szCs w:val="18"/>
                <w:lang w:eastAsia="hr-HR"/>
              </w:rPr>
            </w:pPr>
            <w:r w:rsidRPr="004566A6">
              <w:rPr>
                <w:rFonts w:ascii="Calibri" w:eastAsia="Times New Roman" w:hAnsi="Calibri" w:cs="Calibri"/>
                <w:sz w:val="18"/>
                <w:szCs w:val="18"/>
                <w:lang w:eastAsia="hr-HR"/>
              </w:rPr>
              <w:t>0</w:t>
            </w:r>
          </w:p>
        </w:tc>
        <w:tc>
          <w:tcPr>
            <w:tcW w:w="797" w:type="dxa"/>
            <w:gridSpan w:val="2"/>
            <w:tcBorders>
              <w:top w:val="nil"/>
              <w:left w:val="nil"/>
              <w:bottom w:val="single" w:sz="4" w:space="0" w:color="auto"/>
              <w:right w:val="nil"/>
            </w:tcBorders>
            <w:shd w:val="clear" w:color="000000" w:fill="33CCCC"/>
            <w:noWrap/>
            <w:vAlign w:val="bottom"/>
            <w:hideMark/>
          </w:tcPr>
          <w:p w14:paraId="0B2647D5" w14:textId="77777777" w:rsidR="004566A6" w:rsidRPr="004566A6" w:rsidRDefault="004566A6" w:rsidP="004566A6">
            <w:pPr>
              <w:spacing w:after="0" w:line="240" w:lineRule="auto"/>
              <w:jc w:val="right"/>
              <w:rPr>
                <w:rFonts w:ascii="Calibri" w:eastAsia="Times New Roman" w:hAnsi="Calibri" w:cs="Calibri"/>
                <w:sz w:val="18"/>
                <w:szCs w:val="18"/>
                <w:lang w:eastAsia="hr-HR"/>
              </w:rPr>
            </w:pPr>
            <w:r w:rsidRPr="004566A6">
              <w:rPr>
                <w:rFonts w:ascii="Calibri" w:eastAsia="Times New Roman" w:hAnsi="Calibri" w:cs="Calibri"/>
                <w:sz w:val="18"/>
                <w:szCs w:val="18"/>
                <w:lang w:eastAsia="hr-HR"/>
              </w:rPr>
              <w:t>0</w:t>
            </w:r>
          </w:p>
        </w:tc>
        <w:tc>
          <w:tcPr>
            <w:tcW w:w="425" w:type="dxa"/>
            <w:gridSpan w:val="3"/>
            <w:tcBorders>
              <w:top w:val="nil"/>
              <w:left w:val="single" w:sz="4" w:space="0" w:color="auto"/>
              <w:bottom w:val="single" w:sz="4" w:space="0" w:color="auto"/>
              <w:right w:val="nil"/>
            </w:tcBorders>
            <w:shd w:val="clear" w:color="000000" w:fill="33CCCC"/>
            <w:noWrap/>
            <w:vAlign w:val="bottom"/>
            <w:hideMark/>
          </w:tcPr>
          <w:p w14:paraId="569E7DA2" w14:textId="77777777" w:rsidR="004566A6" w:rsidRPr="004566A6" w:rsidRDefault="004566A6" w:rsidP="004566A6">
            <w:pPr>
              <w:spacing w:after="0" w:line="240" w:lineRule="auto"/>
              <w:jc w:val="right"/>
              <w:rPr>
                <w:rFonts w:ascii="Calibri" w:eastAsia="Times New Roman" w:hAnsi="Calibri" w:cs="Calibri"/>
                <w:sz w:val="18"/>
                <w:szCs w:val="18"/>
                <w:lang w:eastAsia="hr-HR"/>
              </w:rPr>
            </w:pPr>
            <w:r w:rsidRPr="004566A6">
              <w:rPr>
                <w:rFonts w:ascii="Calibri" w:eastAsia="Times New Roman" w:hAnsi="Calibri" w:cs="Calibri"/>
                <w:sz w:val="18"/>
                <w:szCs w:val="18"/>
                <w:lang w:eastAsia="hr-HR"/>
              </w:rPr>
              <w:t>0</w:t>
            </w:r>
          </w:p>
        </w:tc>
        <w:tc>
          <w:tcPr>
            <w:tcW w:w="236" w:type="dxa"/>
            <w:gridSpan w:val="2"/>
            <w:vAlign w:val="center"/>
            <w:hideMark/>
          </w:tcPr>
          <w:p w14:paraId="1946A617" w14:textId="77777777" w:rsidR="004566A6" w:rsidRPr="004566A6" w:rsidRDefault="004566A6" w:rsidP="004566A6">
            <w:pPr>
              <w:spacing w:after="0" w:line="240" w:lineRule="auto"/>
              <w:rPr>
                <w:rFonts w:ascii="Times New Roman" w:eastAsia="Times New Roman" w:hAnsi="Times New Roman" w:cs="Times New Roman"/>
                <w:sz w:val="18"/>
                <w:szCs w:val="18"/>
                <w:lang w:eastAsia="hr-HR"/>
              </w:rPr>
            </w:pPr>
          </w:p>
        </w:tc>
      </w:tr>
      <w:tr w:rsidR="003D0C85" w:rsidRPr="004566A6" w14:paraId="1DF2516D" w14:textId="77777777" w:rsidTr="003D0C85">
        <w:trPr>
          <w:trHeight w:val="300"/>
        </w:trPr>
        <w:tc>
          <w:tcPr>
            <w:tcW w:w="1397" w:type="dxa"/>
            <w:tcBorders>
              <w:top w:val="single" w:sz="4" w:space="0" w:color="auto"/>
              <w:left w:val="single" w:sz="8" w:space="0" w:color="auto"/>
              <w:bottom w:val="single" w:sz="4" w:space="0" w:color="auto"/>
              <w:right w:val="single" w:sz="4" w:space="0" w:color="auto"/>
            </w:tcBorders>
            <w:shd w:val="clear" w:color="000000" w:fill="CCFFCC"/>
            <w:vAlign w:val="center"/>
            <w:hideMark/>
          </w:tcPr>
          <w:p w14:paraId="342C1A69" w14:textId="77777777" w:rsidR="004566A6" w:rsidRPr="004566A6" w:rsidRDefault="004566A6" w:rsidP="004566A6">
            <w:pPr>
              <w:spacing w:after="0" w:line="240" w:lineRule="auto"/>
              <w:jc w:val="center"/>
              <w:rPr>
                <w:rFonts w:ascii="Calibri" w:eastAsia="Times New Roman" w:hAnsi="Calibri" w:cs="Calibri"/>
                <w:sz w:val="18"/>
                <w:szCs w:val="18"/>
                <w:lang w:eastAsia="hr-HR"/>
              </w:rPr>
            </w:pPr>
            <w:r w:rsidRPr="004566A6">
              <w:rPr>
                <w:rFonts w:ascii="Calibri" w:eastAsia="Times New Roman" w:hAnsi="Calibri" w:cs="Calibri"/>
                <w:sz w:val="18"/>
                <w:szCs w:val="18"/>
                <w:lang w:eastAsia="hr-HR"/>
              </w:rPr>
              <w:t>Članstvo u sindikatu</w:t>
            </w:r>
          </w:p>
        </w:tc>
        <w:tc>
          <w:tcPr>
            <w:tcW w:w="576" w:type="dxa"/>
            <w:tcBorders>
              <w:top w:val="nil"/>
              <w:left w:val="nil"/>
              <w:bottom w:val="single" w:sz="4" w:space="0" w:color="auto"/>
              <w:right w:val="single" w:sz="4" w:space="0" w:color="auto"/>
            </w:tcBorders>
            <w:shd w:val="clear" w:color="000000" w:fill="CCFFCC"/>
            <w:vAlign w:val="center"/>
            <w:hideMark/>
          </w:tcPr>
          <w:p w14:paraId="1AFDF0E9" w14:textId="77777777" w:rsidR="004566A6" w:rsidRPr="004566A6" w:rsidRDefault="004566A6" w:rsidP="004566A6">
            <w:pPr>
              <w:spacing w:after="0" w:line="240" w:lineRule="auto"/>
              <w:jc w:val="center"/>
              <w:rPr>
                <w:rFonts w:ascii="Calibri" w:eastAsia="Times New Roman" w:hAnsi="Calibri" w:cs="Calibri"/>
                <w:sz w:val="18"/>
                <w:szCs w:val="18"/>
                <w:lang w:eastAsia="hr-HR"/>
              </w:rPr>
            </w:pPr>
            <w:r w:rsidRPr="004566A6">
              <w:rPr>
                <w:rFonts w:ascii="Calibri" w:eastAsia="Times New Roman" w:hAnsi="Calibri" w:cs="Calibri"/>
                <w:sz w:val="18"/>
                <w:szCs w:val="18"/>
                <w:lang w:eastAsia="hr-HR"/>
              </w:rPr>
              <w:t>0</w:t>
            </w:r>
          </w:p>
        </w:tc>
        <w:tc>
          <w:tcPr>
            <w:tcW w:w="444" w:type="dxa"/>
            <w:tcBorders>
              <w:top w:val="nil"/>
              <w:left w:val="nil"/>
              <w:bottom w:val="single" w:sz="4" w:space="0" w:color="auto"/>
              <w:right w:val="single" w:sz="4" w:space="0" w:color="auto"/>
            </w:tcBorders>
            <w:shd w:val="clear" w:color="000000" w:fill="FFCC99"/>
            <w:noWrap/>
            <w:vAlign w:val="bottom"/>
            <w:hideMark/>
          </w:tcPr>
          <w:p w14:paraId="1B0FC80E" w14:textId="77777777" w:rsidR="004566A6" w:rsidRPr="004566A6" w:rsidRDefault="004566A6" w:rsidP="004566A6">
            <w:pPr>
              <w:spacing w:after="0" w:line="240" w:lineRule="auto"/>
              <w:jc w:val="center"/>
              <w:rPr>
                <w:rFonts w:ascii="Calibri" w:eastAsia="Times New Roman" w:hAnsi="Calibri" w:cs="Calibri"/>
                <w:sz w:val="18"/>
                <w:szCs w:val="18"/>
                <w:lang w:eastAsia="hr-HR"/>
              </w:rPr>
            </w:pPr>
            <w:r w:rsidRPr="004566A6">
              <w:rPr>
                <w:rFonts w:ascii="Calibri" w:eastAsia="Times New Roman" w:hAnsi="Calibri" w:cs="Calibri"/>
                <w:sz w:val="18"/>
                <w:szCs w:val="18"/>
                <w:lang w:eastAsia="hr-HR"/>
              </w:rPr>
              <w:t>0</w:t>
            </w:r>
          </w:p>
        </w:tc>
        <w:tc>
          <w:tcPr>
            <w:tcW w:w="405" w:type="dxa"/>
            <w:tcBorders>
              <w:top w:val="nil"/>
              <w:left w:val="nil"/>
              <w:bottom w:val="single" w:sz="4" w:space="0" w:color="auto"/>
              <w:right w:val="single" w:sz="4" w:space="0" w:color="auto"/>
            </w:tcBorders>
            <w:shd w:val="clear" w:color="000000" w:fill="CCFFFF"/>
            <w:noWrap/>
            <w:vAlign w:val="bottom"/>
            <w:hideMark/>
          </w:tcPr>
          <w:p w14:paraId="477A7769" w14:textId="77777777" w:rsidR="004566A6" w:rsidRPr="004566A6" w:rsidRDefault="004566A6" w:rsidP="004566A6">
            <w:pPr>
              <w:spacing w:after="0" w:line="240" w:lineRule="auto"/>
              <w:jc w:val="right"/>
              <w:rPr>
                <w:rFonts w:ascii="Calibri" w:eastAsia="Times New Roman" w:hAnsi="Calibri" w:cs="Calibri"/>
                <w:sz w:val="18"/>
                <w:szCs w:val="18"/>
                <w:lang w:eastAsia="hr-HR"/>
              </w:rPr>
            </w:pPr>
            <w:r w:rsidRPr="004566A6">
              <w:rPr>
                <w:rFonts w:ascii="Calibri" w:eastAsia="Times New Roman" w:hAnsi="Calibri" w:cs="Calibri"/>
                <w:sz w:val="18"/>
                <w:szCs w:val="18"/>
                <w:lang w:eastAsia="hr-HR"/>
              </w:rPr>
              <w:t>0</w:t>
            </w:r>
          </w:p>
        </w:tc>
        <w:tc>
          <w:tcPr>
            <w:tcW w:w="462" w:type="dxa"/>
            <w:tcBorders>
              <w:top w:val="nil"/>
              <w:left w:val="nil"/>
              <w:bottom w:val="single" w:sz="4" w:space="0" w:color="auto"/>
              <w:right w:val="single" w:sz="4" w:space="0" w:color="auto"/>
            </w:tcBorders>
            <w:shd w:val="clear" w:color="000000" w:fill="CCFFFF"/>
            <w:noWrap/>
            <w:vAlign w:val="bottom"/>
            <w:hideMark/>
          </w:tcPr>
          <w:p w14:paraId="4043C512" w14:textId="77777777" w:rsidR="004566A6" w:rsidRPr="004566A6" w:rsidRDefault="004566A6" w:rsidP="004566A6">
            <w:pPr>
              <w:spacing w:after="0" w:line="240" w:lineRule="auto"/>
              <w:jc w:val="right"/>
              <w:rPr>
                <w:rFonts w:ascii="Calibri" w:eastAsia="Times New Roman" w:hAnsi="Calibri" w:cs="Calibri"/>
                <w:sz w:val="18"/>
                <w:szCs w:val="18"/>
                <w:lang w:eastAsia="hr-HR"/>
              </w:rPr>
            </w:pPr>
            <w:r w:rsidRPr="004566A6">
              <w:rPr>
                <w:rFonts w:ascii="Calibri" w:eastAsia="Times New Roman" w:hAnsi="Calibri" w:cs="Calibri"/>
                <w:sz w:val="18"/>
                <w:szCs w:val="18"/>
                <w:lang w:eastAsia="hr-HR"/>
              </w:rPr>
              <w:t>0</w:t>
            </w:r>
          </w:p>
        </w:tc>
        <w:tc>
          <w:tcPr>
            <w:tcW w:w="455" w:type="dxa"/>
            <w:tcBorders>
              <w:top w:val="nil"/>
              <w:left w:val="nil"/>
              <w:bottom w:val="single" w:sz="4" w:space="0" w:color="auto"/>
              <w:right w:val="single" w:sz="4" w:space="0" w:color="auto"/>
            </w:tcBorders>
            <w:shd w:val="clear" w:color="000000" w:fill="FFFF99"/>
            <w:noWrap/>
            <w:vAlign w:val="bottom"/>
            <w:hideMark/>
          </w:tcPr>
          <w:p w14:paraId="02EC19C9" w14:textId="77777777" w:rsidR="004566A6" w:rsidRPr="004566A6" w:rsidRDefault="004566A6" w:rsidP="004566A6">
            <w:pPr>
              <w:spacing w:after="0" w:line="240" w:lineRule="auto"/>
              <w:jc w:val="center"/>
              <w:rPr>
                <w:rFonts w:ascii="Calibri" w:eastAsia="Times New Roman" w:hAnsi="Calibri" w:cs="Calibri"/>
                <w:sz w:val="18"/>
                <w:szCs w:val="18"/>
                <w:lang w:eastAsia="hr-HR"/>
              </w:rPr>
            </w:pPr>
            <w:r w:rsidRPr="004566A6">
              <w:rPr>
                <w:rFonts w:ascii="Calibri" w:eastAsia="Times New Roman" w:hAnsi="Calibri" w:cs="Calibri"/>
                <w:sz w:val="18"/>
                <w:szCs w:val="18"/>
                <w:lang w:eastAsia="hr-HR"/>
              </w:rPr>
              <w:t>0</w:t>
            </w:r>
          </w:p>
        </w:tc>
        <w:tc>
          <w:tcPr>
            <w:tcW w:w="567" w:type="dxa"/>
            <w:tcBorders>
              <w:top w:val="nil"/>
              <w:left w:val="nil"/>
              <w:bottom w:val="single" w:sz="4" w:space="0" w:color="auto"/>
              <w:right w:val="single" w:sz="4" w:space="0" w:color="auto"/>
            </w:tcBorders>
            <w:shd w:val="clear" w:color="000000" w:fill="FFFF99"/>
            <w:noWrap/>
            <w:vAlign w:val="bottom"/>
            <w:hideMark/>
          </w:tcPr>
          <w:p w14:paraId="36A5EA1E" w14:textId="77777777" w:rsidR="004566A6" w:rsidRPr="004566A6" w:rsidRDefault="004566A6" w:rsidP="004566A6">
            <w:pPr>
              <w:spacing w:after="0" w:line="240" w:lineRule="auto"/>
              <w:jc w:val="center"/>
              <w:rPr>
                <w:rFonts w:ascii="Calibri" w:eastAsia="Times New Roman" w:hAnsi="Calibri" w:cs="Calibri"/>
                <w:sz w:val="18"/>
                <w:szCs w:val="18"/>
                <w:lang w:eastAsia="hr-HR"/>
              </w:rPr>
            </w:pPr>
            <w:r w:rsidRPr="004566A6">
              <w:rPr>
                <w:rFonts w:ascii="Calibri" w:eastAsia="Times New Roman" w:hAnsi="Calibri" w:cs="Calibri"/>
                <w:sz w:val="18"/>
                <w:szCs w:val="18"/>
                <w:lang w:eastAsia="hr-HR"/>
              </w:rPr>
              <w:t>0</w:t>
            </w:r>
          </w:p>
        </w:tc>
        <w:tc>
          <w:tcPr>
            <w:tcW w:w="708" w:type="dxa"/>
            <w:tcBorders>
              <w:top w:val="nil"/>
              <w:left w:val="nil"/>
              <w:bottom w:val="single" w:sz="4" w:space="0" w:color="auto"/>
              <w:right w:val="single" w:sz="4" w:space="0" w:color="auto"/>
            </w:tcBorders>
            <w:shd w:val="clear" w:color="000000" w:fill="FFFF99"/>
            <w:noWrap/>
            <w:vAlign w:val="bottom"/>
            <w:hideMark/>
          </w:tcPr>
          <w:p w14:paraId="1613604A" w14:textId="77777777" w:rsidR="004566A6" w:rsidRPr="004566A6" w:rsidRDefault="004566A6" w:rsidP="004566A6">
            <w:pPr>
              <w:spacing w:after="0" w:line="240" w:lineRule="auto"/>
              <w:jc w:val="center"/>
              <w:rPr>
                <w:rFonts w:ascii="Calibri" w:eastAsia="Times New Roman" w:hAnsi="Calibri" w:cs="Calibri"/>
                <w:sz w:val="18"/>
                <w:szCs w:val="18"/>
                <w:lang w:eastAsia="hr-HR"/>
              </w:rPr>
            </w:pPr>
            <w:r w:rsidRPr="004566A6">
              <w:rPr>
                <w:rFonts w:ascii="Calibri" w:eastAsia="Times New Roman" w:hAnsi="Calibri" w:cs="Calibri"/>
                <w:sz w:val="18"/>
                <w:szCs w:val="18"/>
                <w:lang w:eastAsia="hr-HR"/>
              </w:rPr>
              <w:t>0</w:t>
            </w:r>
          </w:p>
        </w:tc>
        <w:tc>
          <w:tcPr>
            <w:tcW w:w="448" w:type="dxa"/>
            <w:tcBorders>
              <w:top w:val="nil"/>
              <w:left w:val="nil"/>
              <w:bottom w:val="single" w:sz="4" w:space="0" w:color="auto"/>
              <w:right w:val="single" w:sz="4" w:space="0" w:color="auto"/>
            </w:tcBorders>
            <w:shd w:val="clear" w:color="000000" w:fill="FFFF99"/>
            <w:noWrap/>
            <w:vAlign w:val="bottom"/>
            <w:hideMark/>
          </w:tcPr>
          <w:p w14:paraId="0061A3C5" w14:textId="77777777" w:rsidR="004566A6" w:rsidRPr="004566A6" w:rsidRDefault="004566A6" w:rsidP="004566A6">
            <w:pPr>
              <w:spacing w:after="0" w:line="240" w:lineRule="auto"/>
              <w:jc w:val="center"/>
              <w:rPr>
                <w:rFonts w:ascii="Calibri" w:eastAsia="Times New Roman" w:hAnsi="Calibri" w:cs="Calibri"/>
                <w:sz w:val="18"/>
                <w:szCs w:val="18"/>
                <w:lang w:eastAsia="hr-HR"/>
              </w:rPr>
            </w:pPr>
            <w:r w:rsidRPr="004566A6">
              <w:rPr>
                <w:rFonts w:ascii="Calibri" w:eastAsia="Times New Roman" w:hAnsi="Calibri" w:cs="Calibri"/>
                <w:sz w:val="18"/>
                <w:szCs w:val="18"/>
                <w:lang w:eastAsia="hr-HR"/>
              </w:rPr>
              <w:t>0</w:t>
            </w:r>
          </w:p>
        </w:tc>
        <w:tc>
          <w:tcPr>
            <w:tcW w:w="680" w:type="dxa"/>
            <w:tcBorders>
              <w:top w:val="nil"/>
              <w:left w:val="nil"/>
              <w:bottom w:val="single" w:sz="4" w:space="0" w:color="auto"/>
              <w:right w:val="single" w:sz="4" w:space="0" w:color="auto"/>
            </w:tcBorders>
            <w:shd w:val="clear" w:color="000000" w:fill="FFFF99"/>
            <w:noWrap/>
            <w:vAlign w:val="bottom"/>
            <w:hideMark/>
          </w:tcPr>
          <w:p w14:paraId="3CD4687A" w14:textId="77777777" w:rsidR="004566A6" w:rsidRPr="004566A6" w:rsidRDefault="004566A6" w:rsidP="004566A6">
            <w:pPr>
              <w:spacing w:after="0" w:line="240" w:lineRule="auto"/>
              <w:jc w:val="center"/>
              <w:rPr>
                <w:rFonts w:ascii="Calibri" w:eastAsia="Times New Roman" w:hAnsi="Calibri" w:cs="Calibri"/>
                <w:sz w:val="18"/>
                <w:szCs w:val="18"/>
                <w:lang w:eastAsia="hr-HR"/>
              </w:rPr>
            </w:pPr>
            <w:r w:rsidRPr="004566A6">
              <w:rPr>
                <w:rFonts w:ascii="Calibri" w:eastAsia="Times New Roman" w:hAnsi="Calibri" w:cs="Calibri"/>
                <w:sz w:val="18"/>
                <w:szCs w:val="18"/>
                <w:lang w:eastAsia="hr-HR"/>
              </w:rPr>
              <w:t>0</w:t>
            </w:r>
          </w:p>
        </w:tc>
        <w:tc>
          <w:tcPr>
            <w:tcW w:w="573" w:type="dxa"/>
            <w:gridSpan w:val="2"/>
            <w:tcBorders>
              <w:top w:val="nil"/>
              <w:left w:val="nil"/>
              <w:bottom w:val="single" w:sz="4" w:space="0" w:color="auto"/>
              <w:right w:val="single" w:sz="4" w:space="0" w:color="auto"/>
            </w:tcBorders>
            <w:shd w:val="clear" w:color="000000" w:fill="FF9900"/>
            <w:noWrap/>
            <w:vAlign w:val="bottom"/>
            <w:hideMark/>
          </w:tcPr>
          <w:p w14:paraId="3BB8D4BB" w14:textId="77777777" w:rsidR="004566A6" w:rsidRPr="004566A6" w:rsidRDefault="004566A6" w:rsidP="004566A6">
            <w:pPr>
              <w:spacing w:after="0" w:line="240" w:lineRule="auto"/>
              <w:jc w:val="right"/>
              <w:rPr>
                <w:rFonts w:ascii="Calibri" w:eastAsia="Times New Roman" w:hAnsi="Calibri" w:cs="Calibri"/>
                <w:sz w:val="18"/>
                <w:szCs w:val="18"/>
                <w:lang w:eastAsia="hr-HR"/>
              </w:rPr>
            </w:pPr>
            <w:r w:rsidRPr="004566A6">
              <w:rPr>
                <w:rFonts w:ascii="Calibri" w:eastAsia="Times New Roman" w:hAnsi="Calibri" w:cs="Calibri"/>
                <w:sz w:val="18"/>
                <w:szCs w:val="18"/>
                <w:lang w:eastAsia="hr-HR"/>
              </w:rPr>
              <w:t>0</w:t>
            </w:r>
          </w:p>
        </w:tc>
        <w:tc>
          <w:tcPr>
            <w:tcW w:w="567" w:type="dxa"/>
            <w:tcBorders>
              <w:top w:val="nil"/>
              <w:left w:val="nil"/>
              <w:bottom w:val="single" w:sz="4" w:space="0" w:color="auto"/>
              <w:right w:val="single" w:sz="4" w:space="0" w:color="auto"/>
            </w:tcBorders>
            <w:shd w:val="clear" w:color="000000" w:fill="FF9900"/>
            <w:noWrap/>
            <w:vAlign w:val="bottom"/>
            <w:hideMark/>
          </w:tcPr>
          <w:p w14:paraId="3CC5EBF1" w14:textId="77777777" w:rsidR="004566A6" w:rsidRPr="004566A6" w:rsidRDefault="004566A6" w:rsidP="004566A6">
            <w:pPr>
              <w:spacing w:after="0" w:line="240" w:lineRule="auto"/>
              <w:jc w:val="right"/>
              <w:rPr>
                <w:rFonts w:ascii="Calibri" w:eastAsia="Times New Roman" w:hAnsi="Calibri" w:cs="Calibri"/>
                <w:sz w:val="18"/>
                <w:szCs w:val="18"/>
                <w:lang w:eastAsia="hr-HR"/>
              </w:rPr>
            </w:pPr>
            <w:r w:rsidRPr="004566A6">
              <w:rPr>
                <w:rFonts w:ascii="Calibri" w:eastAsia="Times New Roman" w:hAnsi="Calibri" w:cs="Calibri"/>
                <w:sz w:val="18"/>
                <w:szCs w:val="18"/>
                <w:lang w:eastAsia="hr-HR"/>
              </w:rPr>
              <w:t>0</w:t>
            </w:r>
          </w:p>
        </w:tc>
        <w:tc>
          <w:tcPr>
            <w:tcW w:w="448" w:type="dxa"/>
            <w:tcBorders>
              <w:top w:val="nil"/>
              <w:left w:val="nil"/>
              <w:bottom w:val="single" w:sz="4" w:space="0" w:color="auto"/>
              <w:right w:val="single" w:sz="4" w:space="0" w:color="auto"/>
            </w:tcBorders>
            <w:shd w:val="clear" w:color="000000" w:fill="FF9900"/>
            <w:noWrap/>
            <w:vAlign w:val="bottom"/>
            <w:hideMark/>
          </w:tcPr>
          <w:p w14:paraId="0FF94682" w14:textId="77777777" w:rsidR="004566A6" w:rsidRPr="004566A6" w:rsidRDefault="004566A6" w:rsidP="004566A6">
            <w:pPr>
              <w:spacing w:after="0" w:line="240" w:lineRule="auto"/>
              <w:jc w:val="right"/>
              <w:rPr>
                <w:rFonts w:ascii="Calibri" w:eastAsia="Times New Roman" w:hAnsi="Calibri" w:cs="Calibri"/>
                <w:sz w:val="18"/>
                <w:szCs w:val="18"/>
                <w:lang w:eastAsia="hr-HR"/>
              </w:rPr>
            </w:pPr>
            <w:r w:rsidRPr="004566A6">
              <w:rPr>
                <w:rFonts w:ascii="Calibri" w:eastAsia="Times New Roman" w:hAnsi="Calibri" w:cs="Calibri"/>
                <w:sz w:val="18"/>
                <w:szCs w:val="18"/>
                <w:lang w:eastAsia="hr-HR"/>
              </w:rPr>
              <w:t>0</w:t>
            </w:r>
          </w:p>
        </w:tc>
        <w:tc>
          <w:tcPr>
            <w:tcW w:w="448" w:type="dxa"/>
            <w:gridSpan w:val="2"/>
            <w:tcBorders>
              <w:top w:val="nil"/>
              <w:left w:val="nil"/>
              <w:bottom w:val="single" w:sz="4" w:space="0" w:color="auto"/>
              <w:right w:val="single" w:sz="4" w:space="0" w:color="auto"/>
            </w:tcBorders>
            <w:shd w:val="clear" w:color="000000" w:fill="66FFCC"/>
            <w:noWrap/>
            <w:vAlign w:val="bottom"/>
            <w:hideMark/>
          </w:tcPr>
          <w:p w14:paraId="6912A76A" w14:textId="77777777" w:rsidR="004566A6" w:rsidRPr="004566A6" w:rsidRDefault="004566A6" w:rsidP="004566A6">
            <w:pPr>
              <w:spacing w:after="0" w:line="240" w:lineRule="auto"/>
              <w:jc w:val="right"/>
              <w:rPr>
                <w:rFonts w:ascii="Calibri" w:eastAsia="Times New Roman" w:hAnsi="Calibri" w:cs="Calibri"/>
                <w:sz w:val="18"/>
                <w:szCs w:val="18"/>
                <w:lang w:eastAsia="hr-HR"/>
              </w:rPr>
            </w:pPr>
            <w:r w:rsidRPr="004566A6">
              <w:rPr>
                <w:rFonts w:ascii="Calibri" w:eastAsia="Times New Roman" w:hAnsi="Calibri" w:cs="Calibri"/>
                <w:sz w:val="18"/>
                <w:szCs w:val="18"/>
                <w:lang w:eastAsia="hr-HR"/>
              </w:rPr>
              <w:t>0</w:t>
            </w:r>
          </w:p>
        </w:tc>
        <w:tc>
          <w:tcPr>
            <w:tcW w:w="448" w:type="dxa"/>
            <w:tcBorders>
              <w:top w:val="nil"/>
              <w:left w:val="nil"/>
              <w:bottom w:val="single" w:sz="4" w:space="0" w:color="auto"/>
              <w:right w:val="single" w:sz="4" w:space="0" w:color="auto"/>
            </w:tcBorders>
            <w:shd w:val="clear" w:color="000000" w:fill="66FFCC"/>
            <w:noWrap/>
            <w:vAlign w:val="bottom"/>
            <w:hideMark/>
          </w:tcPr>
          <w:p w14:paraId="0BAD8493" w14:textId="77777777" w:rsidR="004566A6" w:rsidRPr="004566A6" w:rsidRDefault="004566A6" w:rsidP="004566A6">
            <w:pPr>
              <w:spacing w:after="0" w:line="240" w:lineRule="auto"/>
              <w:jc w:val="right"/>
              <w:rPr>
                <w:rFonts w:ascii="Calibri" w:eastAsia="Times New Roman" w:hAnsi="Calibri" w:cs="Calibri"/>
                <w:sz w:val="18"/>
                <w:szCs w:val="18"/>
                <w:lang w:eastAsia="hr-HR"/>
              </w:rPr>
            </w:pPr>
            <w:r w:rsidRPr="004566A6">
              <w:rPr>
                <w:rFonts w:ascii="Calibri" w:eastAsia="Times New Roman" w:hAnsi="Calibri" w:cs="Calibri"/>
                <w:sz w:val="18"/>
                <w:szCs w:val="18"/>
                <w:lang w:eastAsia="hr-HR"/>
              </w:rPr>
              <w:t>0</w:t>
            </w:r>
          </w:p>
        </w:tc>
        <w:tc>
          <w:tcPr>
            <w:tcW w:w="448" w:type="dxa"/>
            <w:tcBorders>
              <w:top w:val="nil"/>
              <w:left w:val="nil"/>
              <w:bottom w:val="single" w:sz="4" w:space="0" w:color="auto"/>
              <w:right w:val="single" w:sz="4" w:space="0" w:color="auto"/>
            </w:tcBorders>
            <w:shd w:val="clear" w:color="000000" w:fill="66FFCC"/>
            <w:noWrap/>
            <w:vAlign w:val="bottom"/>
            <w:hideMark/>
          </w:tcPr>
          <w:p w14:paraId="1AC3A092" w14:textId="77777777" w:rsidR="004566A6" w:rsidRPr="004566A6" w:rsidRDefault="004566A6" w:rsidP="004566A6">
            <w:pPr>
              <w:spacing w:after="0" w:line="240" w:lineRule="auto"/>
              <w:jc w:val="right"/>
              <w:rPr>
                <w:rFonts w:ascii="Calibri" w:eastAsia="Times New Roman" w:hAnsi="Calibri" w:cs="Calibri"/>
                <w:sz w:val="18"/>
                <w:szCs w:val="18"/>
                <w:lang w:eastAsia="hr-HR"/>
              </w:rPr>
            </w:pPr>
            <w:r w:rsidRPr="004566A6">
              <w:rPr>
                <w:rFonts w:ascii="Calibri" w:eastAsia="Times New Roman" w:hAnsi="Calibri" w:cs="Calibri"/>
                <w:sz w:val="18"/>
                <w:szCs w:val="18"/>
                <w:lang w:eastAsia="hr-HR"/>
              </w:rPr>
              <w:t>0</w:t>
            </w:r>
          </w:p>
        </w:tc>
        <w:tc>
          <w:tcPr>
            <w:tcW w:w="476" w:type="dxa"/>
            <w:tcBorders>
              <w:top w:val="nil"/>
              <w:left w:val="nil"/>
              <w:bottom w:val="single" w:sz="4" w:space="0" w:color="auto"/>
              <w:right w:val="single" w:sz="4" w:space="0" w:color="auto"/>
            </w:tcBorders>
            <w:shd w:val="clear" w:color="000000" w:fill="66FFCC"/>
            <w:noWrap/>
            <w:vAlign w:val="bottom"/>
            <w:hideMark/>
          </w:tcPr>
          <w:p w14:paraId="5DF3B81C" w14:textId="77777777" w:rsidR="004566A6" w:rsidRPr="004566A6" w:rsidRDefault="004566A6" w:rsidP="004566A6">
            <w:pPr>
              <w:spacing w:after="0" w:line="240" w:lineRule="auto"/>
              <w:jc w:val="right"/>
              <w:rPr>
                <w:rFonts w:ascii="Calibri" w:eastAsia="Times New Roman" w:hAnsi="Calibri" w:cs="Calibri"/>
                <w:sz w:val="18"/>
                <w:szCs w:val="18"/>
                <w:lang w:eastAsia="hr-HR"/>
              </w:rPr>
            </w:pPr>
            <w:r w:rsidRPr="004566A6">
              <w:rPr>
                <w:rFonts w:ascii="Calibri" w:eastAsia="Times New Roman" w:hAnsi="Calibri" w:cs="Calibri"/>
                <w:sz w:val="18"/>
                <w:szCs w:val="18"/>
                <w:lang w:eastAsia="hr-HR"/>
              </w:rPr>
              <w:t>0</w:t>
            </w:r>
          </w:p>
        </w:tc>
        <w:tc>
          <w:tcPr>
            <w:tcW w:w="557" w:type="dxa"/>
            <w:gridSpan w:val="2"/>
            <w:tcBorders>
              <w:top w:val="nil"/>
              <w:left w:val="nil"/>
              <w:bottom w:val="single" w:sz="4" w:space="0" w:color="auto"/>
              <w:right w:val="single" w:sz="4" w:space="0" w:color="auto"/>
            </w:tcBorders>
            <w:shd w:val="clear" w:color="000000" w:fill="FFFF00"/>
            <w:vAlign w:val="center"/>
            <w:hideMark/>
          </w:tcPr>
          <w:p w14:paraId="69EAF76A" w14:textId="77777777" w:rsidR="004566A6" w:rsidRPr="004566A6" w:rsidRDefault="004566A6" w:rsidP="004566A6">
            <w:pPr>
              <w:spacing w:after="0" w:line="240" w:lineRule="auto"/>
              <w:jc w:val="center"/>
              <w:rPr>
                <w:rFonts w:ascii="Calibri" w:eastAsia="Times New Roman" w:hAnsi="Calibri" w:cs="Calibri"/>
                <w:sz w:val="18"/>
                <w:szCs w:val="18"/>
                <w:lang w:eastAsia="hr-HR"/>
              </w:rPr>
            </w:pPr>
            <w:r w:rsidRPr="004566A6">
              <w:rPr>
                <w:rFonts w:ascii="Calibri" w:eastAsia="Times New Roman" w:hAnsi="Calibri" w:cs="Calibri"/>
                <w:sz w:val="18"/>
                <w:szCs w:val="18"/>
                <w:lang w:eastAsia="hr-HR"/>
              </w:rPr>
              <w:t>0</w:t>
            </w:r>
          </w:p>
        </w:tc>
        <w:tc>
          <w:tcPr>
            <w:tcW w:w="515" w:type="dxa"/>
            <w:gridSpan w:val="2"/>
            <w:tcBorders>
              <w:top w:val="nil"/>
              <w:left w:val="nil"/>
              <w:bottom w:val="single" w:sz="4" w:space="0" w:color="auto"/>
              <w:right w:val="single" w:sz="4" w:space="0" w:color="auto"/>
            </w:tcBorders>
            <w:shd w:val="clear" w:color="000000" w:fill="FFFF99"/>
            <w:vAlign w:val="center"/>
            <w:hideMark/>
          </w:tcPr>
          <w:p w14:paraId="76229743" w14:textId="77777777" w:rsidR="004566A6" w:rsidRPr="004566A6" w:rsidRDefault="004566A6" w:rsidP="004566A6">
            <w:pPr>
              <w:spacing w:after="0" w:line="240" w:lineRule="auto"/>
              <w:jc w:val="center"/>
              <w:rPr>
                <w:rFonts w:ascii="Calibri" w:eastAsia="Times New Roman" w:hAnsi="Calibri" w:cs="Calibri"/>
                <w:sz w:val="18"/>
                <w:szCs w:val="18"/>
                <w:lang w:eastAsia="hr-HR"/>
              </w:rPr>
            </w:pPr>
            <w:r w:rsidRPr="004566A6">
              <w:rPr>
                <w:rFonts w:ascii="Calibri" w:eastAsia="Times New Roman" w:hAnsi="Calibri" w:cs="Calibri"/>
                <w:sz w:val="18"/>
                <w:szCs w:val="18"/>
                <w:lang w:eastAsia="hr-HR"/>
              </w:rPr>
              <w:t>0</w:t>
            </w:r>
          </w:p>
        </w:tc>
        <w:tc>
          <w:tcPr>
            <w:tcW w:w="855" w:type="dxa"/>
            <w:gridSpan w:val="2"/>
            <w:tcBorders>
              <w:top w:val="nil"/>
              <w:left w:val="nil"/>
              <w:bottom w:val="single" w:sz="4" w:space="0" w:color="auto"/>
              <w:right w:val="single" w:sz="4" w:space="0" w:color="auto"/>
            </w:tcBorders>
            <w:shd w:val="clear" w:color="000000" w:fill="FF9900"/>
            <w:vAlign w:val="center"/>
            <w:hideMark/>
          </w:tcPr>
          <w:p w14:paraId="2811EBEA" w14:textId="77777777" w:rsidR="004566A6" w:rsidRPr="004566A6" w:rsidRDefault="004566A6" w:rsidP="004566A6">
            <w:pPr>
              <w:spacing w:after="0" w:line="240" w:lineRule="auto"/>
              <w:jc w:val="center"/>
              <w:rPr>
                <w:rFonts w:ascii="Calibri" w:eastAsia="Times New Roman" w:hAnsi="Calibri" w:cs="Calibri"/>
                <w:sz w:val="18"/>
                <w:szCs w:val="18"/>
                <w:lang w:eastAsia="hr-HR"/>
              </w:rPr>
            </w:pPr>
            <w:r w:rsidRPr="004566A6">
              <w:rPr>
                <w:rFonts w:ascii="Calibri" w:eastAsia="Times New Roman" w:hAnsi="Calibri" w:cs="Calibri"/>
                <w:sz w:val="18"/>
                <w:szCs w:val="18"/>
                <w:lang w:eastAsia="hr-HR"/>
              </w:rPr>
              <w:t>0</w:t>
            </w:r>
          </w:p>
        </w:tc>
        <w:tc>
          <w:tcPr>
            <w:tcW w:w="445" w:type="dxa"/>
            <w:gridSpan w:val="2"/>
            <w:tcBorders>
              <w:top w:val="nil"/>
              <w:left w:val="nil"/>
              <w:bottom w:val="single" w:sz="4" w:space="0" w:color="auto"/>
              <w:right w:val="single" w:sz="4" w:space="0" w:color="auto"/>
            </w:tcBorders>
            <w:shd w:val="clear" w:color="000000" w:fill="CCFFFF"/>
            <w:vAlign w:val="bottom"/>
            <w:hideMark/>
          </w:tcPr>
          <w:p w14:paraId="52942C2D" w14:textId="77777777" w:rsidR="004566A6" w:rsidRPr="004566A6" w:rsidRDefault="004566A6" w:rsidP="004566A6">
            <w:pPr>
              <w:spacing w:after="0" w:line="240" w:lineRule="auto"/>
              <w:jc w:val="right"/>
              <w:rPr>
                <w:rFonts w:ascii="Calibri" w:eastAsia="Times New Roman" w:hAnsi="Calibri" w:cs="Calibri"/>
                <w:sz w:val="18"/>
                <w:szCs w:val="18"/>
                <w:lang w:eastAsia="hr-HR"/>
              </w:rPr>
            </w:pPr>
            <w:r w:rsidRPr="004566A6">
              <w:rPr>
                <w:rFonts w:ascii="Calibri" w:eastAsia="Times New Roman" w:hAnsi="Calibri" w:cs="Calibri"/>
                <w:sz w:val="18"/>
                <w:szCs w:val="18"/>
                <w:lang w:eastAsia="hr-HR"/>
              </w:rPr>
              <w:t>0</w:t>
            </w:r>
          </w:p>
        </w:tc>
        <w:tc>
          <w:tcPr>
            <w:tcW w:w="445" w:type="dxa"/>
            <w:tcBorders>
              <w:top w:val="nil"/>
              <w:left w:val="nil"/>
              <w:bottom w:val="single" w:sz="4" w:space="0" w:color="auto"/>
              <w:right w:val="single" w:sz="4" w:space="0" w:color="auto"/>
            </w:tcBorders>
            <w:shd w:val="clear" w:color="000000" w:fill="CCFFFF"/>
            <w:vAlign w:val="bottom"/>
            <w:hideMark/>
          </w:tcPr>
          <w:p w14:paraId="196F8EB8" w14:textId="77777777" w:rsidR="004566A6" w:rsidRPr="004566A6" w:rsidRDefault="004566A6" w:rsidP="004566A6">
            <w:pPr>
              <w:spacing w:after="0" w:line="240" w:lineRule="auto"/>
              <w:jc w:val="right"/>
              <w:rPr>
                <w:rFonts w:ascii="Calibri" w:eastAsia="Times New Roman" w:hAnsi="Calibri" w:cs="Calibri"/>
                <w:sz w:val="18"/>
                <w:szCs w:val="18"/>
                <w:lang w:eastAsia="hr-HR"/>
              </w:rPr>
            </w:pPr>
            <w:r w:rsidRPr="004566A6">
              <w:rPr>
                <w:rFonts w:ascii="Calibri" w:eastAsia="Times New Roman" w:hAnsi="Calibri" w:cs="Calibri"/>
                <w:sz w:val="18"/>
                <w:szCs w:val="18"/>
                <w:lang w:eastAsia="hr-HR"/>
              </w:rPr>
              <w:t>0</w:t>
            </w:r>
          </w:p>
        </w:tc>
        <w:tc>
          <w:tcPr>
            <w:tcW w:w="505" w:type="dxa"/>
            <w:tcBorders>
              <w:top w:val="nil"/>
              <w:left w:val="nil"/>
              <w:bottom w:val="single" w:sz="4" w:space="0" w:color="auto"/>
              <w:right w:val="single" w:sz="4" w:space="0" w:color="auto"/>
            </w:tcBorders>
            <w:shd w:val="clear" w:color="000000" w:fill="CCFFFF"/>
            <w:vAlign w:val="bottom"/>
            <w:hideMark/>
          </w:tcPr>
          <w:p w14:paraId="67C2F08C" w14:textId="77777777" w:rsidR="004566A6" w:rsidRPr="004566A6" w:rsidRDefault="004566A6" w:rsidP="004566A6">
            <w:pPr>
              <w:spacing w:after="0" w:line="240" w:lineRule="auto"/>
              <w:jc w:val="right"/>
              <w:rPr>
                <w:rFonts w:ascii="Calibri" w:eastAsia="Times New Roman" w:hAnsi="Calibri" w:cs="Calibri"/>
                <w:sz w:val="18"/>
                <w:szCs w:val="18"/>
                <w:lang w:eastAsia="hr-HR"/>
              </w:rPr>
            </w:pPr>
            <w:r w:rsidRPr="004566A6">
              <w:rPr>
                <w:rFonts w:ascii="Calibri" w:eastAsia="Times New Roman" w:hAnsi="Calibri" w:cs="Calibri"/>
                <w:sz w:val="18"/>
                <w:szCs w:val="18"/>
                <w:lang w:eastAsia="hr-HR"/>
              </w:rPr>
              <w:t>0</w:t>
            </w:r>
          </w:p>
        </w:tc>
        <w:tc>
          <w:tcPr>
            <w:tcW w:w="797" w:type="dxa"/>
            <w:gridSpan w:val="2"/>
            <w:tcBorders>
              <w:top w:val="nil"/>
              <w:left w:val="nil"/>
              <w:bottom w:val="single" w:sz="4" w:space="0" w:color="auto"/>
              <w:right w:val="nil"/>
            </w:tcBorders>
            <w:shd w:val="clear" w:color="000000" w:fill="33CCCC"/>
            <w:noWrap/>
            <w:vAlign w:val="bottom"/>
            <w:hideMark/>
          </w:tcPr>
          <w:p w14:paraId="3C93248B" w14:textId="77777777" w:rsidR="004566A6" w:rsidRPr="004566A6" w:rsidRDefault="004566A6" w:rsidP="004566A6">
            <w:pPr>
              <w:spacing w:after="0" w:line="240" w:lineRule="auto"/>
              <w:jc w:val="right"/>
              <w:rPr>
                <w:rFonts w:ascii="Calibri" w:eastAsia="Times New Roman" w:hAnsi="Calibri" w:cs="Calibri"/>
                <w:sz w:val="18"/>
                <w:szCs w:val="18"/>
                <w:lang w:eastAsia="hr-HR"/>
              </w:rPr>
            </w:pPr>
            <w:r w:rsidRPr="004566A6">
              <w:rPr>
                <w:rFonts w:ascii="Calibri" w:eastAsia="Times New Roman" w:hAnsi="Calibri" w:cs="Calibri"/>
                <w:sz w:val="18"/>
                <w:szCs w:val="18"/>
                <w:lang w:eastAsia="hr-HR"/>
              </w:rPr>
              <w:t>0</w:t>
            </w:r>
          </w:p>
        </w:tc>
        <w:tc>
          <w:tcPr>
            <w:tcW w:w="425" w:type="dxa"/>
            <w:gridSpan w:val="3"/>
            <w:tcBorders>
              <w:top w:val="nil"/>
              <w:left w:val="single" w:sz="4" w:space="0" w:color="auto"/>
              <w:bottom w:val="single" w:sz="4" w:space="0" w:color="auto"/>
              <w:right w:val="nil"/>
            </w:tcBorders>
            <w:shd w:val="clear" w:color="000000" w:fill="33CCCC"/>
            <w:noWrap/>
            <w:vAlign w:val="bottom"/>
            <w:hideMark/>
          </w:tcPr>
          <w:p w14:paraId="73EDC1BC" w14:textId="77777777" w:rsidR="004566A6" w:rsidRPr="004566A6" w:rsidRDefault="004566A6" w:rsidP="004566A6">
            <w:pPr>
              <w:spacing w:after="0" w:line="240" w:lineRule="auto"/>
              <w:jc w:val="right"/>
              <w:rPr>
                <w:rFonts w:ascii="Calibri" w:eastAsia="Times New Roman" w:hAnsi="Calibri" w:cs="Calibri"/>
                <w:sz w:val="18"/>
                <w:szCs w:val="18"/>
                <w:lang w:eastAsia="hr-HR"/>
              </w:rPr>
            </w:pPr>
            <w:r w:rsidRPr="004566A6">
              <w:rPr>
                <w:rFonts w:ascii="Calibri" w:eastAsia="Times New Roman" w:hAnsi="Calibri" w:cs="Calibri"/>
                <w:sz w:val="18"/>
                <w:szCs w:val="18"/>
                <w:lang w:eastAsia="hr-HR"/>
              </w:rPr>
              <w:t>0</w:t>
            </w:r>
          </w:p>
        </w:tc>
        <w:tc>
          <w:tcPr>
            <w:tcW w:w="236" w:type="dxa"/>
            <w:gridSpan w:val="2"/>
            <w:vAlign w:val="center"/>
            <w:hideMark/>
          </w:tcPr>
          <w:p w14:paraId="032E2FF4" w14:textId="77777777" w:rsidR="004566A6" w:rsidRPr="004566A6" w:rsidRDefault="004566A6" w:rsidP="004566A6">
            <w:pPr>
              <w:spacing w:after="0" w:line="240" w:lineRule="auto"/>
              <w:rPr>
                <w:rFonts w:ascii="Times New Roman" w:eastAsia="Times New Roman" w:hAnsi="Times New Roman" w:cs="Times New Roman"/>
                <w:sz w:val="18"/>
                <w:szCs w:val="18"/>
                <w:lang w:eastAsia="hr-HR"/>
              </w:rPr>
            </w:pPr>
          </w:p>
        </w:tc>
      </w:tr>
      <w:tr w:rsidR="003D0C85" w:rsidRPr="004566A6" w14:paraId="616764A9" w14:textId="77777777" w:rsidTr="003D0C85">
        <w:trPr>
          <w:trHeight w:val="300"/>
        </w:trPr>
        <w:tc>
          <w:tcPr>
            <w:tcW w:w="1397" w:type="dxa"/>
            <w:tcBorders>
              <w:top w:val="single" w:sz="4" w:space="0" w:color="auto"/>
              <w:left w:val="single" w:sz="8" w:space="0" w:color="auto"/>
              <w:bottom w:val="single" w:sz="4" w:space="0" w:color="auto"/>
              <w:right w:val="single" w:sz="4" w:space="0" w:color="auto"/>
            </w:tcBorders>
            <w:shd w:val="clear" w:color="000000" w:fill="CCFFCC"/>
            <w:vAlign w:val="center"/>
            <w:hideMark/>
          </w:tcPr>
          <w:p w14:paraId="742A7566" w14:textId="77777777" w:rsidR="004566A6" w:rsidRPr="004566A6" w:rsidRDefault="004566A6" w:rsidP="004566A6">
            <w:pPr>
              <w:spacing w:after="0" w:line="240" w:lineRule="auto"/>
              <w:jc w:val="center"/>
              <w:rPr>
                <w:rFonts w:ascii="Calibri" w:eastAsia="Times New Roman" w:hAnsi="Calibri" w:cs="Calibri"/>
                <w:sz w:val="18"/>
                <w:szCs w:val="18"/>
                <w:lang w:eastAsia="hr-HR"/>
              </w:rPr>
            </w:pPr>
            <w:r w:rsidRPr="004566A6">
              <w:rPr>
                <w:rFonts w:ascii="Calibri" w:eastAsia="Times New Roman" w:hAnsi="Calibri" w:cs="Calibri"/>
                <w:sz w:val="18"/>
                <w:szCs w:val="18"/>
                <w:lang w:eastAsia="hr-HR"/>
              </w:rPr>
              <w:t>Društveni položaj</w:t>
            </w:r>
          </w:p>
        </w:tc>
        <w:tc>
          <w:tcPr>
            <w:tcW w:w="576" w:type="dxa"/>
            <w:tcBorders>
              <w:top w:val="nil"/>
              <w:left w:val="nil"/>
              <w:bottom w:val="single" w:sz="4" w:space="0" w:color="auto"/>
              <w:right w:val="single" w:sz="4" w:space="0" w:color="auto"/>
            </w:tcBorders>
            <w:shd w:val="clear" w:color="000000" w:fill="CCFFCC"/>
            <w:vAlign w:val="center"/>
            <w:hideMark/>
          </w:tcPr>
          <w:p w14:paraId="1BE6C0BE" w14:textId="77777777" w:rsidR="004566A6" w:rsidRPr="004566A6" w:rsidRDefault="004566A6" w:rsidP="004566A6">
            <w:pPr>
              <w:spacing w:after="0" w:line="240" w:lineRule="auto"/>
              <w:jc w:val="center"/>
              <w:rPr>
                <w:rFonts w:ascii="Calibri" w:eastAsia="Times New Roman" w:hAnsi="Calibri" w:cs="Calibri"/>
                <w:sz w:val="18"/>
                <w:szCs w:val="18"/>
                <w:lang w:eastAsia="hr-HR"/>
              </w:rPr>
            </w:pPr>
            <w:r w:rsidRPr="004566A6">
              <w:rPr>
                <w:rFonts w:ascii="Calibri" w:eastAsia="Times New Roman" w:hAnsi="Calibri" w:cs="Calibri"/>
                <w:sz w:val="18"/>
                <w:szCs w:val="18"/>
                <w:lang w:eastAsia="hr-HR"/>
              </w:rPr>
              <w:t>9</w:t>
            </w:r>
          </w:p>
        </w:tc>
        <w:tc>
          <w:tcPr>
            <w:tcW w:w="444" w:type="dxa"/>
            <w:tcBorders>
              <w:top w:val="nil"/>
              <w:left w:val="nil"/>
              <w:bottom w:val="single" w:sz="4" w:space="0" w:color="auto"/>
              <w:right w:val="single" w:sz="4" w:space="0" w:color="auto"/>
            </w:tcBorders>
            <w:shd w:val="clear" w:color="000000" w:fill="FFCC99"/>
            <w:noWrap/>
            <w:vAlign w:val="bottom"/>
            <w:hideMark/>
          </w:tcPr>
          <w:p w14:paraId="7E7D0812" w14:textId="77777777" w:rsidR="004566A6" w:rsidRPr="004566A6" w:rsidRDefault="004566A6" w:rsidP="004566A6">
            <w:pPr>
              <w:spacing w:after="0" w:line="240" w:lineRule="auto"/>
              <w:jc w:val="center"/>
              <w:rPr>
                <w:rFonts w:ascii="Calibri" w:eastAsia="Times New Roman" w:hAnsi="Calibri" w:cs="Calibri"/>
                <w:sz w:val="18"/>
                <w:szCs w:val="18"/>
                <w:lang w:eastAsia="hr-HR"/>
              </w:rPr>
            </w:pPr>
            <w:r w:rsidRPr="004566A6">
              <w:rPr>
                <w:rFonts w:ascii="Calibri" w:eastAsia="Times New Roman" w:hAnsi="Calibri" w:cs="Calibri"/>
                <w:sz w:val="18"/>
                <w:szCs w:val="18"/>
                <w:lang w:eastAsia="hr-HR"/>
              </w:rPr>
              <w:t>2</w:t>
            </w:r>
          </w:p>
        </w:tc>
        <w:tc>
          <w:tcPr>
            <w:tcW w:w="405" w:type="dxa"/>
            <w:tcBorders>
              <w:top w:val="nil"/>
              <w:left w:val="nil"/>
              <w:bottom w:val="single" w:sz="4" w:space="0" w:color="auto"/>
              <w:right w:val="single" w:sz="4" w:space="0" w:color="auto"/>
            </w:tcBorders>
            <w:shd w:val="clear" w:color="000000" w:fill="CCFFFF"/>
            <w:noWrap/>
            <w:vAlign w:val="bottom"/>
            <w:hideMark/>
          </w:tcPr>
          <w:p w14:paraId="1DAB8C95" w14:textId="77777777" w:rsidR="004566A6" w:rsidRPr="004566A6" w:rsidRDefault="004566A6" w:rsidP="004566A6">
            <w:pPr>
              <w:spacing w:after="0" w:line="240" w:lineRule="auto"/>
              <w:jc w:val="right"/>
              <w:rPr>
                <w:rFonts w:ascii="Calibri" w:eastAsia="Times New Roman" w:hAnsi="Calibri" w:cs="Calibri"/>
                <w:sz w:val="18"/>
                <w:szCs w:val="18"/>
                <w:lang w:eastAsia="hr-HR"/>
              </w:rPr>
            </w:pPr>
            <w:r w:rsidRPr="004566A6">
              <w:rPr>
                <w:rFonts w:ascii="Calibri" w:eastAsia="Times New Roman" w:hAnsi="Calibri" w:cs="Calibri"/>
                <w:sz w:val="18"/>
                <w:szCs w:val="18"/>
                <w:lang w:eastAsia="hr-HR"/>
              </w:rPr>
              <w:t>0</w:t>
            </w:r>
          </w:p>
        </w:tc>
        <w:tc>
          <w:tcPr>
            <w:tcW w:w="462" w:type="dxa"/>
            <w:tcBorders>
              <w:top w:val="nil"/>
              <w:left w:val="nil"/>
              <w:bottom w:val="single" w:sz="4" w:space="0" w:color="auto"/>
              <w:right w:val="single" w:sz="4" w:space="0" w:color="auto"/>
            </w:tcBorders>
            <w:shd w:val="clear" w:color="000000" w:fill="CCFFFF"/>
            <w:noWrap/>
            <w:vAlign w:val="bottom"/>
            <w:hideMark/>
          </w:tcPr>
          <w:p w14:paraId="593CF549" w14:textId="77777777" w:rsidR="004566A6" w:rsidRPr="004566A6" w:rsidRDefault="004566A6" w:rsidP="004566A6">
            <w:pPr>
              <w:spacing w:after="0" w:line="240" w:lineRule="auto"/>
              <w:jc w:val="right"/>
              <w:rPr>
                <w:rFonts w:ascii="Calibri" w:eastAsia="Times New Roman" w:hAnsi="Calibri" w:cs="Calibri"/>
                <w:sz w:val="18"/>
                <w:szCs w:val="18"/>
                <w:lang w:eastAsia="hr-HR"/>
              </w:rPr>
            </w:pPr>
            <w:r w:rsidRPr="004566A6">
              <w:rPr>
                <w:rFonts w:ascii="Calibri" w:eastAsia="Times New Roman" w:hAnsi="Calibri" w:cs="Calibri"/>
                <w:sz w:val="18"/>
                <w:szCs w:val="18"/>
                <w:lang w:eastAsia="hr-HR"/>
              </w:rPr>
              <w:t>1</w:t>
            </w:r>
          </w:p>
        </w:tc>
        <w:tc>
          <w:tcPr>
            <w:tcW w:w="455" w:type="dxa"/>
            <w:tcBorders>
              <w:top w:val="nil"/>
              <w:left w:val="nil"/>
              <w:bottom w:val="single" w:sz="4" w:space="0" w:color="auto"/>
              <w:right w:val="single" w:sz="4" w:space="0" w:color="auto"/>
            </w:tcBorders>
            <w:shd w:val="clear" w:color="000000" w:fill="FFFF99"/>
            <w:noWrap/>
            <w:vAlign w:val="bottom"/>
            <w:hideMark/>
          </w:tcPr>
          <w:p w14:paraId="129AE476" w14:textId="77777777" w:rsidR="004566A6" w:rsidRPr="004566A6" w:rsidRDefault="004566A6" w:rsidP="004566A6">
            <w:pPr>
              <w:spacing w:after="0" w:line="240" w:lineRule="auto"/>
              <w:jc w:val="center"/>
              <w:rPr>
                <w:rFonts w:ascii="Calibri" w:eastAsia="Times New Roman" w:hAnsi="Calibri" w:cs="Calibri"/>
                <w:sz w:val="18"/>
                <w:szCs w:val="18"/>
                <w:lang w:eastAsia="hr-HR"/>
              </w:rPr>
            </w:pPr>
            <w:r w:rsidRPr="004566A6">
              <w:rPr>
                <w:rFonts w:ascii="Calibri" w:eastAsia="Times New Roman" w:hAnsi="Calibri" w:cs="Calibri"/>
                <w:sz w:val="18"/>
                <w:szCs w:val="18"/>
                <w:lang w:eastAsia="hr-HR"/>
              </w:rPr>
              <w:t>2</w:t>
            </w:r>
          </w:p>
        </w:tc>
        <w:tc>
          <w:tcPr>
            <w:tcW w:w="567" w:type="dxa"/>
            <w:tcBorders>
              <w:top w:val="nil"/>
              <w:left w:val="nil"/>
              <w:bottom w:val="single" w:sz="4" w:space="0" w:color="auto"/>
              <w:right w:val="single" w:sz="4" w:space="0" w:color="auto"/>
            </w:tcBorders>
            <w:shd w:val="clear" w:color="000000" w:fill="FFFF99"/>
            <w:noWrap/>
            <w:vAlign w:val="bottom"/>
            <w:hideMark/>
          </w:tcPr>
          <w:p w14:paraId="5B3B4EC5" w14:textId="77777777" w:rsidR="004566A6" w:rsidRPr="004566A6" w:rsidRDefault="004566A6" w:rsidP="004566A6">
            <w:pPr>
              <w:spacing w:after="0" w:line="240" w:lineRule="auto"/>
              <w:jc w:val="center"/>
              <w:rPr>
                <w:rFonts w:ascii="Calibri" w:eastAsia="Times New Roman" w:hAnsi="Calibri" w:cs="Calibri"/>
                <w:sz w:val="18"/>
                <w:szCs w:val="18"/>
                <w:lang w:eastAsia="hr-HR"/>
              </w:rPr>
            </w:pPr>
            <w:r w:rsidRPr="004566A6">
              <w:rPr>
                <w:rFonts w:ascii="Calibri" w:eastAsia="Times New Roman" w:hAnsi="Calibri" w:cs="Calibri"/>
                <w:sz w:val="18"/>
                <w:szCs w:val="18"/>
                <w:lang w:eastAsia="hr-HR"/>
              </w:rPr>
              <w:t>0</w:t>
            </w:r>
          </w:p>
        </w:tc>
        <w:tc>
          <w:tcPr>
            <w:tcW w:w="708" w:type="dxa"/>
            <w:tcBorders>
              <w:top w:val="nil"/>
              <w:left w:val="nil"/>
              <w:bottom w:val="single" w:sz="4" w:space="0" w:color="auto"/>
              <w:right w:val="single" w:sz="4" w:space="0" w:color="auto"/>
            </w:tcBorders>
            <w:shd w:val="clear" w:color="000000" w:fill="FFFF99"/>
            <w:noWrap/>
            <w:vAlign w:val="bottom"/>
            <w:hideMark/>
          </w:tcPr>
          <w:p w14:paraId="0D49B57C" w14:textId="77777777" w:rsidR="004566A6" w:rsidRPr="004566A6" w:rsidRDefault="004566A6" w:rsidP="004566A6">
            <w:pPr>
              <w:spacing w:after="0" w:line="240" w:lineRule="auto"/>
              <w:jc w:val="center"/>
              <w:rPr>
                <w:rFonts w:ascii="Calibri" w:eastAsia="Times New Roman" w:hAnsi="Calibri" w:cs="Calibri"/>
                <w:sz w:val="18"/>
                <w:szCs w:val="18"/>
                <w:lang w:eastAsia="hr-HR"/>
              </w:rPr>
            </w:pPr>
            <w:r w:rsidRPr="004566A6">
              <w:rPr>
                <w:rFonts w:ascii="Calibri" w:eastAsia="Times New Roman" w:hAnsi="Calibri" w:cs="Calibri"/>
                <w:sz w:val="18"/>
                <w:szCs w:val="18"/>
                <w:lang w:eastAsia="hr-HR"/>
              </w:rPr>
              <w:t>0</w:t>
            </w:r>
          </w:p>
        </w:tc>
        <w:tc>
          <w:tcPr>
            <w:tcW w:w="448" w:type="dxa"/>
            <w:tcBorders>
              <w:top w:val="nil"/>
              <w:left w:val="nil"/>
              <w:bottom w:val="single" w:sz="4" w:space="0" w:color="auto"/>
              <w:right w:val="single" w:sz="4" w:space="0" w:color="auto"/>
            </w:tcBorders>
            <w:shd w:val="clear" w:color="000000" w:fill="FFFF99"/>
            <w:noWrap/>
            <w:vAlign w:val="bottom"/>
            <w:hideMark/>
          </w:tcPr>
          <w:p w14:paraId="5FC40852" w14:textId="77777777" w:rsidR="004566A6" w:rsidRPr="004566A6" w:rsidRDefault="004566A6" w:rsidP="004566A6">
            <w:pPr>
              <w:spacing w:after="0" w:line="240" w:lineRule="auto"/>
              <w:jc w:val="center"/>
              <w:rPr>
                <w:rFonts w:ascii="Calibri" w:eastAsia="Times New Roman" w:hAnsi="Calibri" w:cs="Calibri"/>
                <w:sz w:val="18"/>
                <w:szCs w:val="18"/>
                <w:lang w:eastAsia="hr-HR"/>
              </w:rPr>
            </w:pPr>
            <w:r w:rsidRPr="004566A6">
              <w:rPr>
                <w:rFonts w:ascii="Calibri" w:eastAsia="Times New Roman" w:hAnsi="Calibri" w:cs="Calibri"/>
                <w:sz w:val="18"/>
                <w:szCs w:val="18"/>
                <w:lang w:eastAsia="hr-HR"/>
              </w:rPr>
              <w:t>0</w:t>
            </w:r>
          </w:p>
        </w:tc>
        <w:tc>
          <w:tcPr>
            <w:tcW w:w="680" w:type="dxa"/>
            <w:tcBorders>
              <w:top w:val="nil"/>
              <w:left w:val="nil"/>
              <w:bottom w:val="single" w:sz="4" w:space="0" w:color="auto"/>
              <w:right w:val="single" w:sz="4" w:space="0" w:color="auto"/>
            </w:tcBorders>
            <w:shd w:val="clear" w:color="000000" w:fill="FFFF99"/>
            <w:noWrap/>
            <w:vAlign w:val="bottom"/>
            <w:hideMark/>
          </w:tcPr>
          <w:p w14:paraId="7E802D6B" w14:textId="77777777" w:rsidR="004566A6" w:rsidRPr="004566A6" w:rsidRDefault="004566A6" w:rsidP="004566A6">
            <w:pPr>
              <w:spacing w:after="0" w:line="240" w:lineRule="auto"/>
              <w:jc w:val="center"/>
              <w:rPr>
                <w:rFonts w:ascii="Calibri" w:eastAsia="Times New Roman" w:hAnsi="Calibri" w:cs="Calibri"/>
                <w:sz w:val="18"/>
                <w:szCs w:val="18"/>
                <w:lang w:eastAsia="hr-HR"/>
              </w:rPr>
            </w:pPr>
            <w:r w:rsidRPr="004566A6">
              <w:rPr>
                <w:rFonts w:ascii="Calibri" w:eastAsia="Times New Roman" w:hAnsi="Calibri" w:cs="Calibri"/>
                <w:sz w:val="18"/>
                <w:szCs w:val="18"/>
                <w:lang w:eastAsia="hr-HR"/>
              </w:rPr>
              <w:t>0</w:t>
            </w:r>
          </w:p>
        </w:tc>
        <w:tc>
          <w:tcPr>
            <w:tcW w:w="573" w:type="dxa"/>
            <w:gridSpan w:val="2"/>
            <w:tcBorders>
              <w:top w:val="nil"/>
              <w:left w:val="nil"/>
              <w:bottom w:val="single" w:sz="4" w:space="0" w:color="auto"/>
              <w:right w:val="single" w:sz="4" w:space="0" w:color="auto"/>
            </w:tcBorders>
            <w:shd w:val="clear" w:color="000000" w:fill="FF9900"/>
            <w:noWrap/>
            <w:vAlign w:val="bottom"/>
            <w:hideMark/>
          </w:tcPr>
          <w:p w14:paraId="165B56D6" w14:textId="77777777" w:rsidR="004566A6" w:rsidRPr="004566A6" w:rsidRDefault="004566A6" w:rsidP="004566A6">
            <w:pPr>
              <w:spacing w:after="0" w:line="240" w:lineRule="auto"/>
              <w:jc w:val="right"/>
              <w:rPr>
                <w:rFonts w:ascii="Calibri" w:eastAsia="Times New Roman" w:hAnsi="Calibri" w:cs="Calibri"/>
                <w:sz w:val="18"/>
                <w:szCs w:val="18"/>
                <w:lang w:eastAsia="hr-HR"/>
              </w:rPr>
            </w:pPr>
            <w:r w:rsidRPr="004566A6">
              <w:rPr>
                <w:rFonts w:ascii="Calibri" w:eastAsia="Times New Roman" w:hAnsi="Calibri" w:cs="Calibri"/>
                <w:sz w:val="18"/>
                <w:szCs w:val="18"/>
                <w:lang w:eastAsia="hr-HR"/>
              </w:rPr>
              <w:t>2</w:t>
            </w:r>
          </w:p>
        </w:tc>
        <w:tc>
          <w:tcPr>
            <w:tcW w:w="567" w:type="dxa"/>
            <w:tcBorders>
              <w:top w:val="nil"/>
              <w:left w:val="nil"/>
              <w:bottom w:val="single" w:sz="4" w:space="0" w:color="auto"/>
              <w:right w:val="single" w:sz="4" w:space="0" w:color="auto"/>
            </w:tcBorders>
            <w:shd w:val="clear" w:color="000000" w:fill="FF9900"/>
            <w:noWrap/>
            <w:vAlign w:val="bottom"/>
            <w:hideMark/>
          </w:tcPr>
          <w:p w14:paraId="491F180C" w14:textId="77777777" w:rsidR="004566A6" w:rsidRPr="004566A6" w:rsidRDefault="004566A6" w:rsidP="004566A6">
            <w:pPr>
              <w:spacing w:after="0" w:line="240" w:lineRule="auto"/>
              <w:jc w:val="right"/>
              <w:rPr>
                <w:rFonts w:ascii="Calibri" w:eastAsia="Times New Roman" w:hAnsi="Calibri" w:cs="Calibri"/>
                <w:sz w:val="18"/>
                <w:szCs w:val="18"/>
                <w:lang w:eastAsia="hr-HR"/>
              </w:rPr>
            </w:pPr>
            <w:r w:rsidRPr="004566A6">
              <w:rPr>
                <w:rFonts w:ascii="Calibri" w:eastAsia="Times New Roman" w:hAnsi="Calibri" w:cs="Calibri"/>
                <w:sz w:val="18"/>
                <w:szCs w:val="18"/>
                <w:lang w:eastAsia="hr-HR"/>
              </w:rPr>
              <w:t>3</w:t>
            </w:r>
          </w:p>
        </w:tc>
        <w:tc>
          <w:tcPr>
            <w:tcW w:w="448" w:type="dxa"/>
            <w:tcBorders>
              <w:top w:val="nil"/>
              <w:left w:val="nil"/>
              <w:bottom w:val="single" w:sz="4" w:space="0" w:color="auto"/>
              <w:right w:val="single" w:sz="4" w:space="0" w:color="auto"/>
            </w:tcBorders>
            <w:shd w:val="clear" w:color="000000" w:fill="FF9900"/>
            <w:noWrap/>
            <w:vAlign w:val="bottom"/>
            <w:hideMark/>
          </w:tcPr>
          <w:p w14:paraId="48EA6910" w14:textId="77777777" w:rsidR="004566A6" w:rsidRPr="004566A6" w:rsidRDefault="004566A6" w:rsidP="004566A6">
            <w:pPr>
              <w:spacing w:after="0" w:line="240" w:lineRule="auto"/>
              <w:jc w:val="right"/>
              <w:rPr>
                <w:rFonts w:ascii="Calibri" w:eastAsia="Times New Roman" w:hAnsi="Calibri" w:cs="Calibri"/>
                <w:sz w:val="18"/>
                <w:szCs w:val="18"/>
                <w:lang w:eastAsia="hr-HR"/>
              </w:rPr>
            </w:pPr>
            <w:r w:rsidRPr="004566A6">
              <w:rPr>
                <w:rFonts w:ascii="Calibri" w:eastAsia="Times New Roman" w:hAnsi="Calibri" w:cs="Calibri"/>
                <w:sz w:val="18"/>
                <w:szCs w:val="18"/>
                <w:lang w:eastAsia="hr-HR"/>
              </w:rPr>
              <w:t>1</w:t>
            </w:r>
          </w:p>
        </w:tc>
        <w:tc>
          <w:tcPr>
            <w:tcW w:w="448" w:type="dxa"/>
            <w:gridSpan w:val="2"/>
            <w:tcBorders>
              <w:top w:val="nil"/>
              <w:left w:val="nil"/>
              <w:bottom w:val="single" w:sz="4" w:space="0" w:color="auto"/>
              <w:right w:val="single" w:sz="4" w:space="0" w:color="auto"/>
            </w:tcBorders>
            <w:shd w:val="clear" w:color="000000" w:fill="66FFCC"/>
            <w:noWrap/>
            <w:vAlign w:val="bottom"/>
            <w:hideMark/>
          </w:tcPr>
          <w:p w14:paraId="63CD6972" w14:textId="77777777" w:rsidR="004566A6" w:rsidRPr="004566A6" w:rsidRDefault="004566A6" w:rsidP="004566A6">
            <w:pPr>
              <w:spacing w:after="0" w:line="240" w:lineRule="auto"/>
              <w:jc w:val="right"/>
              <w:rPr>
                <w:rFonts w:ascii="Calibri" w:eastAsia="Times New Roman" w:hAnsi="Calibri" w:cs="Calibri"/>
                <w:sz w:val="18"/>
                <w:szCs w:val="18"/>
                <w:lang w:eastAsia="hr-HR"/>
              </w:rPr>
            </w:pPr>
            <w:r w:rsidRPr="004566A6">
              <w:rPr>
                <w:rFonts w:ascii="Calibri" w:eastAsia="Times New Roman" w:hAnsi="Calibri" w:cs="Calibri"/>
                <w:sz w:val="18"/>
                <w:szCs w:val="18"/>
                <w:lang w:eastAsia="hr-HR"/>
              </w:rPr>
              <w:t>0</w:t>
            </w:r>
          </w:p>
        </w:tc>
        <w:tc>
          <w:tcPr>
            <w:tcW w:w="448" w:type="dxa"/>
            <w:tcBorders>
              <w:top w:val="nil"/>
              <w:left w:val="nil"/>
              <w:bottom w:val="single" w:sz="4" w:space="0" w:color="auto"/>
              <w:right w:val="single" w:sz="4" w:space="0" w:color="auto"/>
            </w:tcBorders>
            <w:shd w:val="clear" w:color="000000" w:fill="66FFCC"/>
            <w:noWrap/>
            <w:vAlign w:val="bottom"/>
            <w:hideMark/>
          </w:tcPr>
          <w:p w14:paraId="5A532410" w14:textId="77777777" w:rsidR="004566A6" w:rsidRPr="004566A6" w:rsidRDefault="004566A6" w:rsidP="004566A6">
            <w:pPr>
              <w:spacing w:after="0" w:line="240" w:lineRule="auto"/>
              <w:jc w:val="right"/>
              <w:rPr>
                <w:rFonts w:ascii="Calibri" w:eastAsia="Times New Roman" w:hAnsi="Calibri" w:cs="Calibri"/>
                <w:sz w:val="18"/>
                <w:szCs w:val="18"/>
                <w:lang w:eastAsia="hr-HR"/>
              </w:rPr>
            </w:pPr>
            <w:r w:rsidRPr="004566A6">
              <w:rPr>
                <w:rFonts w:ascii="Calibri" w:eastAsia="Times New Roman" w:hAnsi="Calibri" w:cs="Calibri"/>
                <w:sz w:val="18"/>
                <w:szCs w:val="18"/>
                <w:lang w:eastAsia="hr-HR"/>
              </w:rPr>
              <w:t>2</w:t>
            </w:r>
          </w:p>
        </w:tc>
        <w:tc>
          <w:tcPr>
            <w:tcW w:w="448" w:type="dxa"/>
            <w:tcBorders>
              <w:top w:val="nil"/>
              <w:left w:val="nil"/>
              <w:bottom w:val="single" w:sz="4" w:space="0" w:color="auto"/>
              <w:right w:val="single" w:sz="4" w:space="0" w:color="auto"/>
            </w:tcBorders>
            <w:shd w:val="clear" w:color="000000" w:fill="66FFCC"/>
            <w:noWrap/>
            <w:vAlign w:val="bottom"/>
            <w:hideMark/>
          </w:tcPr>
          <w:p w14:paraId="429B57FF" w14:textId="77777777" w:rsidR="004566A6" w:rsidRPr="004566A6" w:rsidRDefault="004566A6" w:rsidP="004566A6">
            <w:pPr>
              <w:spacing w:after="0" w:line="240" w:lineRule="auto"/>
              <w:jc w:val="right"/>
              <w:rPr>
                <w:rFonts w:ascii="Calibri" w:eastAsia="Times New Roman" w:hAnsi="Calibri" w:cs="Calibri"/>
                <w:sz w:val="18"/>
                <w:szCs w:val="18"/>
                <w:lang w:eastAsia="hr-HR"/>
              </w:rPr>
            </w:pPr>
            <w:r w:rsidRPr="004566A6">
              <w:rPr>
                <w:rFonts w:ascii="Calibri" w:eastAsia="Times New Roman" w:hAnsi="Calibri" w:cs="Calibri"/>
                <w:sz w:val="18"/>
                <w:szCs w:val="18"/>
                <w:lang w:eastAsia="hr-HR"/>
              </w:rPr>
              <w:t>1</w:t>
            </w:r>
          </w:p>
        </w:tc>
        <w:tc>
          <w:tcPr>
            <w:tcW w:w="476" w:type="dxa"/>
            <w:tcBorders>
              <w:top w:val="nil"/>
              <w:left w:val="nil"/>
              <w:bottom w:val="single" w:sz="4" w:space="0" w:color="auto"/>
              <w:right w:val="single" w:sz="4" w:space="0" w:color="auto"/>
            </w:tcBorders>
            <w:shd w:val="clear" w:color="000000" w:fill="66FFCC"/>
            <w:noWrap/>
            <w:vAlign w:val="bottom"/>
            <w:hideMark/>
          </w:tcPr>
          <w:p w14:paraId="5C8BB7D6" w14:textId="77777777" w:rsidR="004566A6" w:rsidRPr="004566A6" w:rsidRDefault="004566A6" w:rsidP="004566A6">
            <w:pPr>
              <w:spacing w:after="0" w:line="240" w:lineRule="auto"/>
              <w:jc w:val="right"/>
              <w:rPr>
                <w:rFonts w:ascii="Calibri" w:eastAsia="Times New Roman" w:hAnsi="Calibri" w:cs="Calibri"/>
                <w:sz w:val="18"/>
                <w:szCs w:val="18"/>
                <w:lang w:eastAsia="hr-HR"/>
              </w:rPr>
            </w:pPr>
            <w:r w:rsidRPr="004566A6">
              <w:rPr>
                <w:rFonts w:ascii="Calibri" w:eastAsia="Times New Roman" w:hAnsi="Calibri" w:cs="Calibri"/>
                <w:sz w:val="18"/>
                <w:szCs w:val="18"/>
                <w:lang w:eastAsia="hr-HR"/>
              </w:rPr>
              <w:t>3</w:t>
            </w:r>
          </w:p>
        </w:tc>
        <w:tc>
          <w:tcPr>
            <w:tcW w:w="557" w:type="dxa"/>
            <w:gridSpan w:val="2"/>
            <w:tcBorders>
              <w:top w:val="nil"/>
              <w:left w:val="nil"/>
              <w:bottom w:val="single" w:sz="4" w:space="0" w:color="auto"/>
              <w:right w:val="single" w:sz="4" w:space="0" w:color="auto"/>
            </w:tcBorders>
            <w:shd w:val="clear" w:color="000000" w:fill="FFFF00"/>
            <w:vAlign w:val="center"/>
            <w:hideMark/>
          </w:tcPr>
          <w:p w14:paraId="771883A6" w14:textId="77777777" w:rsidR="004566A6" w:rsidRPr="004566A6" w:rsidRDefault="004566A6" w:rsidP="004566A6">
            <w:pPr>
              <w:spacing w:after="0" w:line="240" w:lineRule="auto"/>
              <w:jc w:val="center"/>
              <w:rPr>
                <w:rFonts w:ascii="Calibri" w:eastAsia="Times New Roman" w:hAnsi="Calibri" w:cs="Calibri"/>
                <w:sz w:val="18"/>
                <w:szCs w:val="18"/>
                <w:lang w:eastAsia="hr-HR"/>
              </w:rPr>
            </w:pPr>
            <w:r w:rsidRPr="004566A6">
              <w:rPr>
                <w:rFonts w:ascii="Calibri" w:eastAsia="Times New Roman" w:hAnsi="Calibri" w:cs="Calibri"/>
                <w:sz w:val="18"/>
                <w:szCs w:val="18"/>
                <w:lang w:eastAsia="hr-HR"/>
              </w:rPr>
              <w:t>6</w:t>
            </w:r>
          </w:p>
        </w:tc>
        <w:tc>
          <w:tcPr>
            <w:tcW w:w="515" w:type="dxa"/>
            <w:gridSpan w:val="2"/>
            <w:tcBorders>
              <w:top w:val="nil"/>
              <w:left w:val="nil"/>
              <w:bottom w:val="single" w:sz="4" w:space="0" w:color="auto"/>
              <w:right w:val="single" w:sz="4" w:space="0" w:color="auto"/>
            </w:tcBorders>
            <w:shd w:val="clear" w:color="000000" w:fill="FFFF99"/>
            <w:vAlign w:val="center"/>
            <w:hideMark/>
          </w:tcPr>
          <w:p w14:paraId="027F81A0" w14:textId="77777777" w:rsidR="004566A6" w:rsidRPr="004566A6" w:rsidRDefault="004566A6" w:rsidP="004566A6">
            <w:pPr>
              <w:spacing w:after="0" w:line="240" w:lineRule="auto"/>
              <w:jc w:val="center"/>
              <w:rPr>
                <w:rFonts w:ascii="Calibri" w:eastAsia="Times New Roman" w:hAnsi="Calibri" w:cs="Calibri"/>
                <w:sz w:val="18"/>
                <w:szCs w:val="18"/>
                <w:lang w:eastAsia="hr-HR"/>
              </w:rPr>
            </w:pPr>
            <w:r w:rsidRPr="004566A6">
              <w:rPr>
                <w:rFonts w:ascii="Calibri" w:eastAsia="Times New Roman" w:hAnsi="Calibri" w:cs="Calibri"/>
                <w:sz w:val="18"/>
                <w:szCs w:val="18"/>
                <w:lang w:eastAsia="hr-HR"/>
              </w:rPr>
              <w:t>5</w:t>
            </w:r>
          </w:p>
        </w:tc>
        <w:tc>
          <w:tcPr>
            <w:tcW w:w="855" w:type="dxa"/>
            <w:gridSpan w:val="2"/>
            <w:tcBorders>
              <w:top w:val="nil"/>
              <w:left w:val="nil"/>
              <w:bottom w:val="single" w:sz="4" w:space="0" w:color="auto"/>
              <w:right w:val="single" w:sz="4" w:space="0" w:color="auto"/>
            </w:tcBorders>
            <w:shd w:val="clear" w:color="000000" w:fill="FF9900"/>
            <w:vAlign w:val="center"/>
            <w:hideMark/>
          </w:tcPr>
          <w:p w14:paraId="709C9696" w14:textId="77777777" w:rsidR="004566A6" w:rsidRPr="004566A6" w:rsidRDefault="004566A6" w:rsidP="004566A6">
            <w:pPr>
              <w:spacing w:after="0" w:line="240" w:lineRule="auto"/>
              <w:jc w:val="center"/>
              <w:rPr>
                <w:rFonts w:ascii="Calibri" w:eastAsia="Times New Roman" w:hAnsi="Calibri" w:cs="Calibri"/>
                <w:sz w:val="18"/>
                <w:szCs w:val="18"/>
                <w:lang w:eastAsia="hr-HR"/>
              </w:rPr>
            </w:pPr>
            <w:r w:rsidRPr="004566A6">
              <w:rPr>
                <w:rFonts w:ascii="Calibri" w:eastAsia="Times New Roman" w:hAnsi="Calibri" w:cs="Calibri"/>
                <w:sz w:val="18"/>
                <w:szCs w:val="18"/>
                <w:lang w:eastAsia="hr-HR"/>
              </w:rPr>
              <w:t>2</w:t>
            </w:r>
          </w:p>
        </w:tc>
        <w:tc>
          <w:tcPr>
            <w:tcW w:w="445" w:type="dxa"/>
            <w:gridSpan w:val="2"/>
            <w:tcBorders>
              <w:top w:val="nil"/>
              <w:left w:val="nil"/>
              <w:bottom w:val="single" w:sz="4" w:space="0" w:color="auto"/>
              <w:right w:val="single" w:sz="4" w:space="0" w:color="auto"/>
            </w:tcBorders>
            <w:shd w:val="clear" w:color="000000" w:fill="CCFFFF"/>
            <w:vAlign w:val="bottom"/>
            <w:hideMark/>
          </w:tcPr>
          <w:p w14:paraId="4249F2ED" w14:textId="77777777" w:rsidR="004566A6" w:rsidRPr="004566A6" w:rsidRDefault="004566A6" w:rsidP="004566A6">
            <w:pPr>
              <w:spacing w:after="0" w:line="240" w:lineRule="auto"/>
              <w:jc w:val="right"/>
              <w:rPr>
                <w:rFonts w:ascii="Calibri" w:eastAsia="Times New Roman" w:hAnsi="Calibri" w:cs="Calibri"/>
                <w:sz w:val="18"/>
                <w:szCs w:val="18"/>
                <w:lang w:eastAsia="hr-HR"/>
              </w:rPr>
            </w:pPr>
            <w:r w:rsidRPr="004566A6">
              <w:rPr>
                <w:rFonts w:ascii="Calibri" w:eastAsia="Times New Roman" w:hAnsi="Calibri" w:cs="Calibri"/>
                <w:sz w:val="18"/>
                <w:szCs w:val="18"/>
                <w:lang w:eastAsia="hr-HR"/>
              </w:rPr>
              <w:t>0</w:t>
            </w:r>
          </w:p>
        </w:tc>
        <w:tc>
          <w:tcPr>
            <w:tcW w:w="445" w:type="dxa"/>
            <w:tcBorders>
              <w:top w:val="nil"/>
              <w:left w:val="nil"/>
              <w:bottom w:val="single" w:sz="4" w:space="0" w:color="auto"/>
              <w:right w:val="single" w:sz="4" w:space="0" w:color="auto"/>
            </w:tcBorders>
            <w:shd w:val="clear" w:color="000000" w:fill="CCFFFF"/>
            <w:vAlign w:val="bottom"/>
            <w:hideMark/>
          </w:tcPr>
          <w:p w14:paraId="29F95760" w14:textId="77777777" w:rsidR="004566A6" w:rsidRPr="004566A6" w:rsidRDefault="004566A6" w:rsidP="004566A6">
            <w:pPr>
              <w:spacing w:after="0" w:line="240" w:lineRule="auto"/>
              <w:jc w:val="right"/>
              <w:rPr>
                <w:rFonts w:ascii="Calibri" w:eastAsia="Times New Roman" w:hAnsi="Calibri" w:cs="Calibri"/>
                <w:sz w:val="18"/>
                <w:szCs w:val="18"/>
                <w:lang w:eastAsia="hr-HR"/>
              </w:rPr>
            </w:pPr>
            <w:r w:rsidRPr="004566A6">
              <w:rPr>
                <w:rFonts w:ascii="Calibri" w:eastAsia="Times New Roman" w:hAnsi="Calibri" w:cs="Calibri"/>
                <w:sz w:val="18"/>
                <w:szCs w:val="18"/>
                <w:lang w:eastAsia="hr-HR"/>
              </w:rPr>
              <w:t>1</w:t>
            </w:r>
          </w:p>
        </w:tc>
        <w:tc>
          <w:tcPr>
            <w:tcW w:w="505" w:type="dxa"/>
            <w:tcBorders>
              <w:top w:val="nil"/>
              <w:left w:val="nil"/>
              <w:bottom w:val="single" w:sz="4" w:space="0" w:color="auto"/>
              <w:right w:val="single" w:sz="4" w:space="0" w:color="auto"/>
            </w:tcBorders>
            <w:shd w:val="clear" w:color="000000" w:fill="CCFFFF"/>
            <w:vAlign w:val="bottom"/>
            <w:hideMark/>
          </w:tcPr>
          <w:p w14:paraId="5D99B937" w14:textId="77777777" w:rsidR="004566A6" w:rsidRPr="004566A6" w:rsidRDefault="004566A6" w:rsidP="004566A6">
            <w:pPr>
              <w:spacing w:after="0" w:line="240" w:lineRule="auto"/>
              <w:jc w:val="right"/>
              <w:rPr>
                <w:rFonts w:ascii="Calibri" w:eastAsia="Times New Roman" w:hAnsi="Calibri" w:cs="Calibri"/>
                <w:sz w:val="18"/>
                <w:szCs w:val="18"/>
                <w:lang w:eastAsia="hr-HR"/>
              </w:rPr>
            </w:pPr>
            <w:r w:rsidRPr="004566A6">
              <w:rPr>
                <w:rFonts w:ascii="Calibri" w:eastAsia="Times New Roman" w:hAnsi="Calibri" w:cs="Calibri"/>
                <w:sz w:val="18"/>
                <w:szCs w:val="18"/>
                <w:lang w:eastAsia="hr-HR"/>
              </w:rPr>
              <w:t>1</w:t>
            </w:r>
          </w:p>
        </w:tc>
        <w:tc>
          <w:tcPr>
            <w:tcW w:w="797" w:type="dxa"/>
            <w:gridSpan w:val="2"/>
            <w:tcBorders>
              <w:top w:val="nil"/>
              <w:left w:val="nil"/>
              <w:bottom w:val="single" w:sz="4" w:space="0" w:color="auto"/>
              <w:right w:val="nil"/>
            </w:tcBorders>
            <w:shd w:val="clear" w:color="000000" w:fill="33CCCC"/>
            <w:noWrap/>
            <w:vAlign w:val="bottom"/>
            <w:hideMark/>
          </w:tcPr>
          <w:p w14:paraId="6D636DC9" w14:textId="77777777" w:rsidR="004566A6" w:rsidRPr="004566A6" w:rsidRDefault="004566A6" w:rsidP="004566A6">
            <w:pPr>
              <w:spacing w:after="0" w:line="240" w:lineRule="auto"/>
              <w:jc w:val="right"/>
              <w:rPr>
                <w:rFonts w:ascii="Calibri" w:eastAsia="Times New Roman" w:hAnsi="Calibri" w:cs="Calibri"/>
                <w:sz w:val="18"/>
                <w:szCs w:val="18"/>
                <w:lang w:eastAsia="hr-HR"/>
              </w:rPr>
            </w:pPr>
            <w:r w:rsidRPr="004566A6">
              <w:rPr>
                <w:rFonts w:ascii="Calibri" w:eastAsia="Times New Roman" w:hAnsi="Calibri" w:cs="Calibri"/>
                <w:sz w:val="18"/>
                <w:szCs w:val="18"/>
                <w:lang w:eastAsia="hr-HR"/>
              </w:rPr>
              <w:t>3</w:t>
            </w:r>
          </w:p>
        </w:tc>
        <w:tc>
          <w:tcPr>
            <w:tcW w:w="425" w:type="dxa"/>
            <w:gridSpan w:val="3"/>
            <w:tcBorders>
              <w:top w:val="nil"/>
              <w:left w:val="single" w:sz="4" w:space="0" w:color="auto"/>
              <w:bottom w:val="single" w:sz="4" w:space="0" w:color="auto"/>
              <w:right w:val="nil"/>
            </w:tcBorders>
            <w:shd w:val="clear" w:color="000000" w:fill="33CCCC"/>
            <w:noWrap/>
            <w:vAlign w:val="bottom"/>
            <w:hideMark/>
          </w:tcPr>
          <w:p w14:paraId="1A77AD0F" w14:textId="77777777" w:rsidR="004566A6" w:rsidRPr="004566A6" w:rsidRDefault="004566A6" w:rsidP="004566A6">
            <w:pPr>
              <w:spacing w:after="0" w:line="240" w:lineRule="auto"/>
              <w:jc w:val="right"/>
              <w:rPr>
                <w:rFonts w:ascii="Calibri" w:eastAsia="Times New Roman" w:hAnsi="Calibri" w:cs="Calibri"/>
                <w:sz w:val="18"/>
                <w:szCs w:val="18"/>
                <w:lang w:eastAsia="hr-HR"/>
              </w:rPr>
            </w:pPr>
            <w:r w:rsidRPr="004566A6">
              <w:rPr>
                <w:rFonts w:ascii="Calibri" w:eastAsia="Times New Roman" w:hAnsi="Calibri" w:cs="Calibri"/>
                <w:sz w:val="18"/>
                <w:szCs w:val="18"/>
                <w:lang w:eastAsia="hr-HR"/>
              </w:rPr>
              <w:t>3</w:t>
            </w:r>
          </w:p>
        </w:tc>
        <w:tc>
          <w:tcPr>
            <w:tcW w:w="236" w:type="dxa"/>
            <w:gridSpan w:val="2"/>
            <w:vAlign w:val="center"/>
            <w:hideMark/>
          </w:tcPr>
          <w:p w14:paraId="7C36E7CC" w14:textId="77777777" w:rsidR="004566A6" w:rsidRPr="004566A6" w:rsidRDefault="004566A6" w:rsidP="004566A6">
            <w:pPr>
              <w:spacing w:after="0" w:line="240" w:lineRule="auto"/>
              <w:rPr>
                <w:rFonts w:ascii="Times New Roman" w:eastAsia="Times New Roman" w:hAnsi="Times New Roman" w:cs="Times New Roman"/>
                <w:sz w:val="18"/>
                <w:szCs w:val="18"/>
                <w:lang w:eastAsia="hr-HR"/>
              </w:rPr>
            </w:pPr>
          </w:p>
        </w:tc>
      </w:tr>
      <w:tr w:rsidR="003D0C85" w:rsidRPr="004566A6" w14:paraId="39A1EE96" w14:textId="77777777" w:rsidTr="003D0C85">
        <w:trPr>
          <w:trHeight w:val="300"/>
        </w:trPr>
        <w:tc>
          <w:tcPr>
            <w:tcW w:w="1397" w:type="dxa"/>
            <w:tcBorders>
              <w:top w:val="single" w:sz="4" w:space="0" w:color="auto"/>
              <w:left w:val="single" w:sz="8" w:space="0" w:color="auto"/>
              <w:bottom w:val="single" w:sz="4" w:space="0" w:color="auto"/>
              <w:right w:val="single" w:sz="4" w:space="0" w:color="auto"/>
            </w:tcBorders>
            <w:shd w:val="clear" w:color="000000" w:fill="CCFFCC"/>
            <w:vAlign w:val="center"/>
            <w:hideMark/>
          </w:tcPr>
          <w:p w14:paraId="568D826E" w14:textId="77777777" w:rsidR="004566A6" w:rsidRPr="004566A6" w:rsidRDefault="004566A6" w:rsidP="004566A6">
            <w:pPr>
              <w:spacing w:after="0" w:line="240" w:lineRule="auto"/>
              <w:jc w:val="center"/>
              <w:rPr>
                <w:rFonts w:ascii="Calibri" w:eastAsia="Times New Roman" w:hAnsi="Calibri" w:cs="Calibri"/>
                <w:sz w:val="18"/>
                <w:szCs w:val="18"/>
                <w:lang w:eastAsia="hr-HR"/>
              </w:rPr>
            </w:pPr>
            <w:r w:rsidRPr="004566A6">
              <w:rPr>
                <w:rFonts w:ascii="Calibri" w:eastAsia="Times New Roman" w:hAnsi="Calibri" w:cs="Calibri"/>
                <w:sz w:val="18"/>
                <w:szCs w:val="18"/>
                <w:lang w:eastAsia="hr-HR"/>
              </w:rPr>
              <w:t>Bračni ili obiteljski status</w:t>
            </w:r>
          </w:p>
        </w:tc>
        <w:tc>
          <w:tcPr>
            <w:tcW w:w="576" w:type="dxa"/>
            <w:tcBorders>
              <w:top w:val="nil"/>
              <w:left w:val="nil"/>
              <w:bottom w:val="single" w:sz="4" w:space="0" w:color="auto"/>
              <w:right w:val="single" w:sz="4" w:space="0" w:color="auto"/>
            </w:tcBorders>
            <w:shd w:val="clear" w:color="000000" w:fill="CCFFCC"/>
            <w:vAlign w:val="center"/>
            <w:hideMark/>
          </w:tcPr>
          <w:p w14:paraId="0DD1AA67" w14:textId="77777777" w:rsidR="004566A6" w:rsidRPr="004566A6" w:rsidRDefault="004566A6" w:rsidP="004566A6">
            <w:pPr>
              <w:spacing w:after="0" w:line="240" w:lineRule="auto"/>
              <w:jc w:val="center"/>
              <w:rPr>
                <w:rFonts w:ascii="Calibri" w:eastAsia="Times New Roman" w:hAnsi="Calibri" w:cs="Calibri"/>
                <w:sz w:val="18"/>
                <w:szCs w:val="18"/>
                <w:lang w:eastAsia="hr-HR"/>
              </w:rPr>
            </w:pPr>
            <w:r w:rsidRPr="004566A6">
              <w:rPr>
                <w:rFonts w:ascii="Calibri" w:eastAsia="Times New Roman" w:hAnsi="Calibri" w:cs="Calibri"/>
                <w:sz w:val="18"/>
                <w:szCs w:val="18"/>
                <w:lang w:eastAsia="hr-HR"/>
              </w:rPr>
              <w:t>0</w:t>
            </w:r>
          </w:p>
        </w:tc>
        <w:tc>
          <w:tcPr>
            <w:tcW w:w="444" w:type="dxa"/>
            <w:tcBorders>
              <w:top w:val="nil"/>
              <w:left w:val="nil"/>
              <w:bottom w:val="single" w:sz="4" w:space="0" w:color="auto"/>
              <w:right w:val="single" w:sz="4" w:space="0" w:color="auto"/>
            </w:tcBorders>
            <w:shd w:val="clear" w:color="000000" w:fill="FFCC99"/>
            <w:noWrap/>
            <w:vAlign w:val="bottom"/>
            <w:hideMark/>
          </w:tcPr>
          <w:p w14:paraId="3F82EF3C" w14:textId="77777777" w:rsidR="004566A6" w:rsidRPr="004566A6" w:rsidRDefault="004566A6" w:rsidP="004566A6">
            <w:pPr>
              <w:spacing w:after="0" w:line="240" w:lineRule="auto"/>
              <w:jc w:val="center"/>
              <w:rPr>
                <w:rFonts w:ascii="Calibri" w:eastAsia="Times New Roman" w:hAnsi="Calibri" w:cs="Calibri"/>
                <w:sz w:val="18"/>
                <w:szCs w:val="18"/>
                <w:lang w:eastAsia="hr-HR"/>
              </w:rPr>
            </w:pPr>
            <w:r w:rsidRPr="004566A6">
              <w:rPr>
                <w:rFonts w:ascii="Calibri" w:eastAsia="Times New Roman" w:hAnsi="Calibri" w:cs="Calibri"/>
                <w:sz w:val="18"/>
                <w:szCs w:val="18"/>
                <w:lang w:eastAsia="hr-HR"/>
              </w:rPr>
              <w:t>1</w:t>
            </w:r>
          </w:p>
        </w:tc>
        <w:tc>
          <w:tcPr>
            <w:tcW w:w="405" w:type="dxa"/>
            <w:tcBorders>
              <w:top w:val="nil"/>
              <w:left w:val="nil"/>
              <w:bottom w:val="single" w:sz="4" w:space="0" w:color="auto"/>
              <w:right w:val="single" w:sz="4" w:space="0" w:color="auto"/>
            </w:tcBorders>
            <w:shd w:val="clear" w:color="000000" w:fill="CCFFFF"/>
            <w:noWrap/>
            <w:vAlign w:val="bottom"/>
            <w:hideMark/>
          </w:tcPr>
          <w:p w14:paraId="1D20A505" w14:textId="77777777" w:rsidR="004566A6" w:rsidRPr="004566A6" w:rsidRDefault="004566A6" w:rsidP="004566A6">
            <w:pPr>
              <w:spacing w:after="0" w:line="240" w:lineRule="auto"/>
              <w:jc w:val="right"/>
              <w:rPr>
                <w:rFonts w:ascii="Calibri" w:eastAsia="Times New Roman" w:hAnsi="Calibri" w:cs="Calibri"/>
                <w:sz w:val="18"/>
                <w:szCs w:val="18"/>
                <w:lang w:eastAsia="hr-HR"/>
              </w:rPr>
            </w:pPr>
            <w:r w:rsidRPr="004566A6">
              <w:rPr>
                <w:rFonts w:ascii="Calibri" w:eastAsia="Times New Roman" w:hAnsi="Calibri" w:cs="Calibri"/>
                <w:sz w:val="18"/>
                <w:szCs w:val="18"/>
                <w:lang w:eastAsia="hr-HR"/>
              </w:rPr>
              <w:t>0</w:t>
            </w:r>
          </w:p>
        </w:tc>
        <w:tc>
          <w:tcPr>
            <w:tcW w:w="462" w:type="dxa"/>
            <w:tcBorders>
              <w:top w:val="nil"/>
              <w:left w:val="nil"/>
              <w:bottom w:val="single" w:sz="4" w:space="0" w:color="auto"/>
              <w:right w:val="single" w:sz="4" w:space="0" w:color="auto"/>
            </w:tcBorders>
            <w:shd w:val="clear" w:color="000000" w:fill="CCFFFF"/>
            <w:noWrap/>
            <w:vAlign w:val="bottom"/>
            <w:hideMark/>
          </w:tcPr>
          <w:p w14:paraId="08676A97" w14:textId="77777777" w:rsidR="004566A6" w:rsidRPr="004566A6" w:rsidRDefault="004566A6" w:rsidP="004566A6">
            <w:pPr>
              <w:spacing w:after="0" w:line="240" w:lineRule="auto"/>
              <w:jc w:val="right"/>
              <w:rPr>
                <w:rFonts w:ascii="Calibri" w:eastAsia="Times New Roman" w:hAnsi="Calibri" w:cs="Calibri"/>
                <w:sz w:val="18"/>
                <w:szCs w:val="18"/>
                <w:lang w:eastAsia="hr-HR"/>
              </w:rPr>
            </w:pPr>
            <w:r w:rsidRPr="004566A6">
              <w:rPr>
                <w:rFonts w:ascii="Calibri" w:eastAsia="Times New Roman" w:hAnsi="Calibri" w:cs="Calibri"/>
                <w:sz w:val="18"/>
                <w:szCs w:val="18"/>
                <w:lang w:eastAsia="hr-HR"/>
              </w:rPr>
              <w:t>1</w:t>
            </w:r>
          </w:p>
        </w:tc>
        <w:tc>
          <w:tcPr>
            <w:tcW w:w="455" w:type="dxa"/>
            <w:tcBorders>
              <w:top w:val="nil"/>
              <w:left w:val="nil"/>
              <w:bottom w:val="single" w:sz="4" w:space="0" w:color="auto"/>
              <w:right w:val="single" w:sz="4" w:space="0" w:color="auto"/>
            </w:tcBorders>
            <w:shd w:val="clear" w:color="000000" w:fill="FFFF99"/>
            <w:noWrap/>
            <w:vAlign w:val="bottom"/>
            <w:hideMark/>
          </w:tcPr>
          <w:p w14:paraId="0270D80F" w14:textId="77777777" w:rsidR="004566A6" w:rsidRPr="004566A6" w:rsidRDefault="004566A6" w:rsidP="004566A6">
            <w:pPr>
              <w:spacing w:after="0" w:line="240" w:lineRule="auto"/>
              <w:jc w:val="center"/>
              <w:rPr>
                <w:rFonts w:ascii="Calibri" w:eastAsia="Times New Roman" w:hAnsi="Calibri" w:cs="Calibri"/>
                <w:sz w:val="18"/>
                <w:szCs w:val="18"/>
                <w:lang w:eastAsia="hr-HR"/>
              </w:rPr>
            </w:pPr>
            <w:r w:rsidRPr="004566A6">
              <w:rPr>
                <w:rFonts w:ascii="Calibri" w:eastAsia="Times New Roman" w:hAnsi="Calibri" w:cs="Calibri"/>
                <w:sz w:val="18"/>
                <w:szCs w:val="18"/>
                <w:lang w:eastAsia="hr-HR"/>
              </w:rPr>
              <w:t>1</w:t>
            </w:r>
          </w:p>
        </w:tc>
        <w:tc>
          <w:tcPr>
            <w:tcW w:w="567" w:type="dxa"/>
            <w:tcBorders>
              <w:top w:val="nil"/>
              <w:left w:val="nil"/>
              <w:bottom w:val="single" w:sz="4" w:space="0" w:color="auto"/>
              <w:right w:val="single" w:sz="4" w:space="0" w:color="auto"/>
            </w:tcBorders>
            <w:shd w:val="clear" w:color="000000" w:fill="FFFF99"/>
            <w:noWrap/>
            <w:vAlign w:val="bottom"/>
            <w:hideMark/>
          </w:tcPr>
          <w:p w14:paraId="3E1D6994" w14:textId="77777777" w:rsidR="004566A6" w:rsidRPr="004566A6" w:rsidRDefault="004566A6" w:rsidP="004566A6">
            <w:pPr>
              <w:spacing w:after="0" w:line="240" w:lineRule="auto"/>
              <w:jc w:val="center"/>
              <w:rPr>
                <w:rFonts w:ascii="Calibri" w:eastAsia="Times New Roman" w:hAnsi="Calibri" w:cs="Calibri"/>
                <w:sz w:val="18"/>
                <w:szCs w:val="18"/>
                <w:lang w:eastAsia="hr-HR"/>
              </w:rPr>
            </w:pPr>
            <w:r w:rsidRPr="004566A6">
              <w:rPr>
                <w:rFonts w:ascii="Calibri" w:eastAsia="Times New Roman" w:hAnsi="Calibri" w:cs="Calibri"/>
                <w:sz w:val="18"/>
                <w:szCs w:val="18"/>
                <w:lang w:eastAsia="hr-HR"/>
              </w:rPr>
              <w:t>0</w:t>
            </w:r>
          </w:p>
        </w:tc>
        <w:tc>
          <w:tcPr>
            <w:tcW w:w="708" w:type="dxa"/>
            <w:tcBorders>
              <w:top w:val="nil"/>
              <w:left w:val="nil"/>
              <w:bottom w:val="single" w:sz="4" w:space="0" w:color="auto"/>
              <w:right w:val="single" w:sz="4" w:space="0" w:color="auto"/>
            </w:tcBorders>
            <w:shd w:val="clear" w:color="000000" w:fill="FFFF99"/>
            <w:noWrap/>
            <w:vAlign w:val="bottom"/>
            <w:hideMark/>
          </w:tcPr>
          <w:p w14:paraId="09681A1A" w14:textId="77777777" w:rsidR="004566A6" w:rsidRPr="004566A6" w:rsidRDefault="004566A6" w:rsidP="004566A6">
            <w:pPr>
              <w:spacing w:after="0" w:line="240" w:lineRule="auto"/>
              <w:jc w:val="center"/>
              <w:rPr>
                <w:rFonts w:ascii="Calibri" w:eastAsia="Times New Roman" w:hAnsi="Calibri" w:cs="Calibri"/>
                <w:sz w:val="18"/>
                <w:szCs w:val="18"/>
                <w:lang w:eastAsia="hr-HR"/>
              </w:rPr>
            </w:pPr>
            <w:r w:rsidRPr="004566A6">
              <w:rPr>
                <w:rFonts w:ascii="Calibri" w:eastAsia="Times New Roman" w:hAnsi="Calibri" w:cs="Calibri"/>
                <w:sz w:val="18"/>
                <w:szCs w:val="18"/>
                <w:lang w:eastAsia="hr-HR"/>
              </w:rPr>
              <w:t>0</w:t>
            </w:r>
          </w:p>
        </w:tc>
        <w:tc>
          <w:tcPr>
            <w:tcW w:w="448" w:type="dxa"/>
            <w:tcBorders>
              <w:top w:val="nil"/>
              <w:left w:val="nil"/>
              <w:bottom w:val="single" w:sz="4" w:space="0" w:color="auto"/>
              <w:right w:val="single" w:sz="4" w:space="0" w:color="auto"/>
            </w:tcBorders>
            <w:shd w:val="clear" w:color="000000" w:fill="FFFF99"/>
            <w:noWrap/>
            <w:vAlign w:val="bottom"/>
            <w:hideMark/>
          </w:tcPr>
          <w:p w14:paraId="79BE1EEC" w14:textId="77777777" w:rsidR="004566A6" w:rsidRPr="004566A6" w:rsidRDefault="004566A6" w:rsidP="004566A6">
            <w:pPr>
              <w:spacing w:after="0" w:line="240" w:lineRule="auto"/>
              <w:jc w:val="center"/>
              <w:rPr>
                <w:rFonts w:ascii="Calibri" w:eastAsia="Times New Roman" w:hAnsi="Calibri" w:cs="Calibri"/>
                <w:sz w:val="18"/>
                <w:szCs w:val="18"/>
                <w:lang w:eastAsia="hr-HR"/>
              </w:rPr>
            </w:pPr>
            <w:r w:rsidRPr="004566A6">
              <w:rPr>
                <w:rFonts w:ascii="Calibri" w:eastAsia="Times New Roman" w:hAnsi="Calibri" w:cs="Calibri"/>
                <w:sz w:val="18"/>
                <w:szCs w:val="18"/>
                <w:lang w:eastAsia="hr-HR"/>
              </w:rPr>
              <w:t>0</w:t>
            </w:r>
          </w:p>
        </w:tc>
        <w:tc>
          <w:tcPr>
            <w:tcW w:w="680" w:type="dxa"/>
            <w:tcBorders>
              <w:top w:val="nil"/>
              <w:left w:val="nil"/>
              <w:bottom w:val="single" w:sz="4" w:space="0" w:color="auto"/>
              <w:right w:val="single" w:sz="4" w:space="0" w:color="auto"/>
            </w:tcBorders>
            <w:shd w:val="clear" w:color="000000" w:fill="FFFF99"/>
            <w:noWrap/>
            <w:vAlign w:val="bottom"/>
            <w:hideMark/>
          </w:tcPr>
          <w:p w14:paraId="0DB54EE1" w14:textId="77777777" w:rsidR="004566A6" w:rsidRPr="004566A6" w:rsidRDefault="004566A6" w:rsidP="004566A6">
            <w:pPr>
              <w:spacing w:after="0" w:line="240" w:lineRule="auto"/>
              <w:jc w:val="center"/>
              <w:rPr>
                <w:rFonts w:ascii="Calibri" w:eastAsia="Times New Roman" w:hAnsi="Calibri" w:cs="Calibri"/>
                <w:sz w:val="18"/>
                <w:szCs w:val="18"/>
                <w:lang w:eastAsia="hr-HR"/>
              </w:rPr>
            </w:pPr>
            <w:r w:rsidRPr="004566A6">
              <w:rPr>
                <w:rFonts w:ascii="Calibri" w:eastAsia="Times New Roman" w:hAnsi="Calibri" w:cs="Calibri"/>
                <w:sz w:val="18"/>
                <w:szCs w:val="18"/>
                <w:lang w:eastAsia="hr-HR"/>
              </w:rPr>
              <w:t>0</w:t>
            </w:r>
          </w:p>
        </w:tc>
        <w:tc>
          <w:tcPr>
            <w:tcW w:w="573" w:type="dxa"/>
            <w:gridSpan w:val="2"/>
            <w:tcBorders>
              <w:top w:val="nil"/>
              <w:left w:val="nil"/>
              <w:bottom w:val="single" w:sz="4" w:space="0" w:color="auto"/>
              <w:right w:val="single" w:sz="4" w:space="0" w:color="auto"/>
            </w:tcBorders>
            <w:shd w:val="clear" w:color="000000" w:fill="FF9900"/>
            <w:noWrap/>
            <w:vAlign w:val="bottom"/>
            <w:hideMark/>
          </w:tcPr>
          <w:p w14:paraId="7F9FCD0D" w14:textId="77777777" w:rsidR="004566A6" w:rsidRPr="004566A6" w:rsidRDefault="004566A6" w:rsidP="004566A6">
            <w:pPr>
              <w:spacing w:after="0" w:line="240" w:lineRule="auto"/>
              <w:jc w:val="right"/>
              <w:rPr>
                <w:rFonts w:ascii="Calibri" w:eastAsia="Times New Roman" w:hAnsi="Calibri" w:cs="Calibri"/>
                <w:sz w:val="18"/>
                <w:szCs w:val="18"/>
                <w:lang w:eastAsia="hr-HR"/>
              </w:rPr>
            </w:pPr>
            <w:r w:rsidRPr="004566A6">
              <w:rPr>
                <w:rFonts w:ascii="Calibri" w:eastAsia="Times New Roman" w:hAnsi="Calibri" w:cs="Calibri"/>
                <w:sz w:val="18"/>
                <w:szCs w:val="18"/>
                <w:lang w:eastAsia="hr-HR"/>
              </w:rPr>
              <w:t>0</w:t>
            </w:r>
          </w:p>
        </w:tc>
        <w:tc>
          <w:tcPr>
            <w:tcW w:w="567" w:type="dxa"/>
            <w:tcBorders>
              <w:top w:val="nil"/>
              <w:left w:val="nil"/>
              <w:bottom w:val="single" w:sz="4" w:space="0" w:color="auto"/>
              <w:right w:val="single" w:sz="4" w:space="0" w:color="auto"/>
            </w:tcBorders>
            <w:shd w:val="clear" w:color="000000" w:fill="FF9900"/>
            <w:noWrap/>
            <w:vAlign w:val="bottom"/>
            <w:hideMark/>
          </w:tcPr>
          <w:p w14:paraId="308A5838" w14:textId="77777777" w:rsidR="004566A6" w:rsidRPr="004566A6" w:rsidRDefault="004566A6" w:rsidP="004566A6">
            <w:pPr>
              <w:spacing w:after="0" w:line="240" w:lineRule="auto"/>
              <w:jc w:val="right"/>
              <w:rPr>
                <w:rFonts w:ascii="Calibri" w:eastAsia="Times New Roman" w:hAnsi="Calibri" w:cs="Calibri"/>
                <w:sz w:val="18"/>
                <w:szCs w:val="18"/>
                <w:lang w:eastAsia="hr-HR"/>
              </w:rPr>
            </w:pPr>
            <w:r w:rsidRPr="004566A6">
              <w:rPr>
                <w:rFonts w:ascii="Calibri" w:eastAsia="Times New Roman" w:hAnsi="Calibri" w:cs="Calibri"/>
                <w:sz w:val="18"/>
                <w:szCs w:val="18"/>
                <w:lang w:eastAsia="hr-HR"/>
              </w:rPr>
              <w:t>0</w:t>
            </w:r>
          </w:p>
        </w:tc>
        <w:tc>
          <w:tcPr>
            <w:tcW w:w="448" w:type="dxa"/>
            <w:tcBorders>
              <w:top w:val="nil"/>
              <w:left w:val="nil"/>
              <w:bottom w:val="single" w:sz="4" w:space="0" w:color="auto"/>
              <w:right w:val="single" w:sz="4" w:space="0" w:color="auto"/>
            </w:tcBorders>
            <w:shd w:val="clear" w:color="000000" w:fill="FF9900"/>
            <w:noWrap/>
            <w:vAlign w:val="bottom"/>
            <w:hideMark/>
          </w:tcPr>
          <w:p w14:paraId="466736C8" w14:textId="77777777" w:rsidR="004566A6" w:rsidRPr="004566A6" w:rsidRDefault="004566A6" w:rsidP="004566A6">
            <w:pPr>
              <w:spacing w:after="0" w:line="240" w:lineRule="auto"/>
              <w:jc w:val="right"/>
              <w:rPr>
                <w:rFonts w:ascii="Calibri" w:eastAsia="Times New Roman" w:hAnsi="Calibri" w:cs="Calibri"/>
                <w:sz w:val="18"/>
                <w:szCs w:val="18"/>
                <w:lang w:eastAsia="hr-HR"/>
              </w:rPr>
            </w:pPr>
            <w:r w:rsidRPr="004566A6">
              <w:rPr>
                <w:rFonts w:ascii="Calibri" w:eastAsia="Times New Roman" w:hAnsi="Calibri" w:cs="Calibri"/>
                <w:sz w:val="18"/>
                <w:szCs w:val="18"/>
                <w:lang w:eastAsia="hr-HR"/>
              </w:rPr>
              <w:t>1</w:t>
            </w:r>
          </w:p>
        </w:tc>
        <w:tc>
          <w:tcPr>
            <w:tcW w:w="448" w:type="dxa"/>
            <w:gridSpan w:val="2"/>
            <w:tcBorders>
              <w:top w:val="nil"/>
              <w:left w:val="nil"/>
              <w:bottom w:val="single" w:sz="4" w:space="0" w:color="auto"/>
              <w:right w:val="single" w:sz="4" w:space="0" w:color="auto"/>
            </w:tcBorders>
            <w:shd w:val="clear" w:color="000000" w:fill="66FFCC"/>
            <w:noWrap/>
            <w:vAlign w:val="bottom"/>
            <w:hideMark/>
          </w:tcPr>
          <w:p w14:paraId="00AD79B7" w14:textId="77777777" w:rsidR="004566A6" w:rsidRPr="004566A6" w:rsidRDefault="004566A6" w:rsidP="004566A6">
            <w:pPr>
              <w:spacing w:after="0" w:line="240" w:lineRule="auto"/>
              <w:jc w:val="right"/>
              <w:rPr>
                <w:rFonts w:ascii="Calibri" w:eastAsia="Times New Roman" w:hAnsi="Calibri" w:cs="Calibri"/>
                <w:sz w:val="18"/>
                <w:szCs w:val="18"/>
                <w:lang w:eastAsia="hr-HR"/>
              </w:rPr>
            </w:pPr>
            <w:r w:rsidRPr="004566A6">
              <w:rPr>
                <w:rFonts w:ascii="Calibri" w:eastAsia="Times New Roman" w:hAnsi="Calibri" w:cs="Calibri"/>
                <w:sz w:val="18"/>
                <w:szCs w:val="18"/>
                <w:lang w:eastAsia="hr-HR"/>
              </w:rPr>
              <w:t>0</w:t>
            </w:r>
          </w:p>
        </w:tc>
        <w:tc>
          <w:tcPr>
            <w:tcW w:w="448" w:type="dxa"/>
            <w:tcBorders>
              <w:top w:val="nil"/>
              <w:left w:val="nil"/>
              <w:bottom w:val="single" w:sz="4" w:space="0" w:color="auto"/>
              <w:right w:val="single" w:sz="4" w:space="0" w:color="auto"/>
            </w:tcBorders>
            <w:shd w:val="clear" w:color="000000" w:fill="66FFCC"/>
            <w:noWrap/>
            <w:vAlign w:val="bottom"/>
            <w:hideMark/>
          </w:tcPr>
          <w:p w14:paraId="1A2319E7" w14:textId="77777777" w:rsidR="004566A6" w:rsidRPr="004566A6" w:rsidRDefault="004566A6" w:rsidP="004566A6">
            <w:pPr>
              <w:spacing w:after="0" w:line="240" w:lineRule="auto"/>
              <w:jc w:val="right"/>
              <w:rPr>
                <w:rFonts w:ascii="Calibri" w:eastAsia="Times New Roman" w:hAnsi="Calibri" w:cs="Calibri"/>
                <w:sz w:val="18"/>
                <w:szCs w:val="18"/>
                <w:lang w:eastAsia="hr-HR"/>
              </w:rPr>
            </w:pPr>
            <w:r w:rsidRPr="004566A6">
              <w:rPr>
                <w:rFonts w:ascii="Calibri" w:eastAsia="Times New Roman" w:hAnsi="Calibri" w:cs="Calibri"/>
                <w:sz w:val="18"/>
                <w:szCs w:val="18"/>
                <w:lang w:eastAsia="hr-HR"/>
              </w:rPr>
              <w:t>0</w:t>
            </w:r>
          </w:p>
        </w:tc>
        <w:tc>
          <w:tcPr>
            <w:tcW w:w="448" w:type="dxa"/>
            <w:tcBorders>
              <w:top w:val="nil"/>
              <w:left w:val="nil"/>
              <w:bottom w:val="single" w:sz="4" w:space="0" w:color="auto"/>
              <w:right w:val="single" w:sz="4" w:space="0" w:color="auto"/>
            </w:tcBorders>
            <w:shd w:val="clear" w:color="000000" w:fill="66FFCC"/>
            <w:noWrap/>
            <w:vAlign w:val="bottom"/>
            <w:hideMark/>
          </w:tcPr>
          <w:p w14:paraId="4FA58424" w14:textId="77777777" w:rsidR="004566A6" w:rsidRPr="004566A6" w:rsidRDefault="004566A6" w:rsidP="004566A6">
            <w:pPr>
              <w:spacing w:after="0" w:line="240" w:lineRule="auto"/>
              <w:jc w:val="right"/>
              <w:rPr>
                <w:rFonts w:ascii="Calibri" w:eastAsia="Times New Roman" w:hAnsi="Calibri" w:cs="Calibri"/>
                <w:sz w:val="18"/>
                <w:szCs w:val="18"/>
                <w:lang w:eastAsia="hr-HR"/>
              </w:rPr>
            </w:pPr>
            <w:r w:rsidRPr="004566A6">
              <w:rPr>
                <w:rFonts w:ascii="Calibri" w:eastAsia="Times New Roman" w:hAnsi="Calibri" w:cs="Calibri"/>
                <w:sz w:val="18"/>
                <w:szCs w:val="18"/>
                <w:lang w:eastAsia="hr-HR"/>
              </w:rPr>
              <w:t>0</w:t>
            </w:r>
          </w:p>
        </w:tc>
        <w:tc>
          <w:tcPr>
            <w:tcW w:w="476" w:type="dxa"/>
            <w:tcBorders>
              <w:top w:val="nil"/>
              <w:left w:val="nil"/>
              <w:bottom w:val="single" w:sz="4" w:space="0" w:color="auto"/>
              <w:right w:val="single" w:sz="4" w:space="0" w:color="auto"/>
            </w:tcBorders>
            <w:shd w:val="clear" w:color="000000" w:fill="66FFCC"/>
            <w:noWrap/>
            <w:vAlign w:val="bottom"/>
            <w:hideMark/>
          </w:tcPr>
          <w:p w14:paraId="1BCB3A86" w14:textId="77777777" w:rsidR="004566A6" w:rsidRPr="004566A6" w:rsidRDefault="004566A6" w:rsidP="004566A6">
            <w:pPr>
              <w:spacing w:after="0" w:line="240" w:lineRule="auto"/>
              <w:jc w:val="right"/>
              <w:rPr>
                <w:rFonts w:ascii="Calibri" w:eastAsia="Times New Roman" w:hAnsi="Calibri" w:cs="Calibri"/>
                <w:sz w:val="18"/>
                <w:szCs w:val="18"/>
                <w:lang w:eastAsia="hr-HR"/>
              </w:rPr>
            </w:pPr>
            <w:r w:rsidRPr="004566A6">
              <w:rPr>
                <w:rFonts w:ascii="Calibri" w:eastAsia="Times New Roman" w:hAnsi="Calibri" w:cs="Calibri"/>
                <w:sz w:val="18"/>
                <w:szCs w:val="18"/>
                <w:lang w:eastAsia="hr-HR"/>
              </w:rPr>
              <w:t>0</w:t>
            </w:r>
          </w:p>
        </w:tc>
        <w:tc>
          <w:tcPr>
            <w:tcW w:w="557" w:type="dxa"/>
            <w:gridSpan w:val="2"/>
            <w:tcBorders>
              <w:top w:val="nil"/>
              <w:left w:val="nil"/>
              <w:bottom w:val="single" w:sz="4" w:space="0" w:color="auto"/>
              <w:right w:val="single" w:sz="4" w:space="0" w:color="auto"/>
            </w:tcBorders>
            <w:shd w:val="clear" w:color="000000" w:fill="FFFF00"/>
            <w:vAlign w:val="center"/>
            <w:hideMark/>
          </w:tcPr>
          <w:p w14:paraId="5E90F5F4" w14:textId="77777777" w:rsidR="004566A6" w:rsidRPr="004566A6" w:rsidRDefault="004566A6" w:rsidP="004566A6">
            <w:pPr>
              <w:spacing w:after="0" w:line="240" w:lineRule="auto"/>
              <w:jc w:val="center"/>
              <w:rPr>
                <w:rFonts w:ascii="Calibri" w:eastAsia="Times New Roman" w:hAnsi="Calibri" w:cs="Calibri"/>
                <w:sz w:val="18"/>
                <w:szCs w:val="18"/>
                <w:lang w:eastAsia="hr-HR"/>
              </w:rPr>
            </w:pPr>
            <w:r w:rsidRPr="004566A6">
              <w:rPr>
                <w:rFonts w:ascii="Calibri" w:eastAsia="Times New Roman" w:hAnsi="Calibri" w:cs="Calibri"/>
                <w:sz w:val="18"/>
                <w:szCs w:val="18"/>
                <w:lang w:eastAsia="hr-HR"/>
              </w:rPr>
              <w:t>1</w:t>
            </w:r>
          </w:p>
        </w:tc>
        <w:tc>
          <w:tcPr>
            <w:tcW w:w="515" w:type="dxa"/>
            <w:gridSpan w:val="2"/>
            <w:tcBorders>
              <w:top w:val="nil"/>
              <w:left w:val="nil"/>
              <w:bottom w:val="single" w:sz="4" w:space="0" w:color="auto"/>
              <w:right w:val="single" w:sz="4" w:space="0" w:color="auto"/>
            </w:tcBorders>
            <w:shd w:val="clear" w:color="000000" w:fill="FFFF99"/>
            <w:vAlign w:val="center"/>
            <w:hideMark/>
          </w:tcPr>
          <w:p w14:paraId="7A387238" w14:textId="77777777" w:rsidR="004566A6" w:rsidRPr="004566A6" w:rsidRDefault="004566A6" w:rsidP="004566A6">
            <w:pPr>
              <w:spacing w:after="0" w:line="240" w:lineRule="auto"/>
              <w:jc w:val="center"/>
              <w:rPr>
                <w:rFonts w:ascii="Calibri" w:eastAsia="Times New Roman" w:hAnsi="Calibri" w:cs="Calibri"/>
                <w:sz w:val="18"/>
                <w:szCs w:val="18"/>
                <w:lang w:eastAsia="hr-HR"/>
              </w:rPr>
            </w:pPr>
            <w:r w:rsidRPr="004566A6">
              <w:rPr>
                <w:rFonts w:ascii="Calibri" w:eastAsia="Times New Roman" w:hAnsi="Calibri" w:cs="Calibri"/>
                <w:sz w:val="18"/>
                <w:szCs w:val="18"/>
                <w:lang w:eastAsia="hr-HR"/>
              </w:rPr>
              <w:t>0</w:t>
            </w:r>
          </w:p>
        </w:tc>
        <w:tc>
          <w:tcPr>
            <w:tcW w:w="855" w:type="dxa"/>
            <w:gridSpan w:val="2"/>
            <w:tcBorders>
              <w:top w:val="nil"/>
              <w:left w:val="nil"/>
              <w:bottom w:val="single" w:sz="4" w:space="0" w:color="auto"/>
              <w:right w:val="single" w:sz="4" w:space="0" w:color="auto"/>
            </w:tcBorders>
            <w:shd w:val="clear" w:color="000000" w:fill="FF9900"/>
            <w:vAlign w:val="center"/>
            <w:hideMark/>
          </w:tcPr>
          <w:p w14:paraId="6282D3B7" w14:textId="77777777" w:rsidR="004566A6" w:rsidRPr="004566A6" w:rsidRDefault="004566A6" w:rsidP="004566A6">
            <w:pPr>
              <w:spacing w:after="0" w:line="240" w:lineRule="auto"/>
              <w:jc w:val="center"/>
              <w:rPr>
                <w:rFonts w:ascii="Calibri" w:eastAsia="Times New Roman" w:hAnsi="Calibri" w:cs="Calibri"/>
                <w:sz w:val="18"/>
                <w:szCs w:val="18"/>
                <w:lang w:eastAsia="hr-HR"/>
              </w:rPr>
            </w:pPr>
            <w:r w:rsidRPr="004566A6">
              <w:rPr>
                <w:rFonts w:ascii="Calibri" w:eastAsia="Times New Roman" w:hAnsi="Calibri" w:cs="Calibri"/>
                <w:sz w:val="18"/>
                <w:szCs w:val="18"/>
                <w:lang w:eastAsia="hr-HR"/>
              </w:rPr>
              <w:t>0</w:t>
            </w:r>
          </w:p>
        </w:tc>
        <w:tc>
          <w:tcPr>
            <w:tcW w:w="445" w:type="dxa"/>
            <w:gridSpan w:val="2"/>
            <w:tcBorders>
              <w:top w:val="nil"/>
              <w:left w:val="nil"/>
              <w:bottom w:val="single" w:sz="4" w:space="0" w:color="auto"/>
              <w:right w:val="single" w:sz="4" w:space="0" w:color="auto"/>
            </w:tcBorders>
            <w:shd w:val="clear" w:color="000000" w:fill="CCFFFF"/>
            <w:vAlign w:val="bottom"/>
            <w:hideMark/>
          </w:tcPr>
          <w:p w14:paraId="5000F99B" w14:textId="77777777" w:rsidR="004566A6" w:rsidRPr="004566A6" w:rsidRDefault="004566A6" w:rsidP="004566A6">
            <w:pPr>
              <w:spacing w:after="0" w:line="240" w:lineRule="auto"/>
              <w:jc w:val="right"/>
              <w:rPr>
                <w:rFonts w:ascii="Calibri" w:eastAsia="Times New Roman" w:hAnsi="Calibri" w:cs="Calibri"/>
                <w:sz w:val="18"/>
                <w:szCs w:val="18"/>
                <w:lang w:eastAsia="hr-HR"/>
              </w:rPr>
            </w:pPr>
            <w:r w:rsidRPr="004566A6">
              <w:rPr>
                <w:rFonts w:ascii="Calibri" w:eastAsia="Times New Roman" w:hAnsi="Calibri" w:cs="Calibri"/>
                <w:sz w:val="18"/>
                <w:szCs w:val="18"/>
                <w:lang w:eastAsia="hr-HR"/>
              </w:rPr>
              <w:t>0</w:t>
            </w:r>
          </w:p>
        </w:tc>
        <w:tc>
          <w:tcPr>
            <w:tcW w:w="445" w:type="dxa"/>
            <w:tcBorders>
              <w:top w:val="nil"/>
              <w:left w:val="nil"/>
              <w:bottom w:val="single" w:sz="4" w:space="0" w:color="auto"/>
              <w:right w:val="single" w:sz="4" w:space="0" w:color="auto"/>
            </w:tcBorders>
            <w:shd w:val="clear" w:color="000000" w:fill="CCFFFF"/>
            <w:vAlign w:val="bottom"/>
            <w:hideMark/>
          </w:tcPr>
          <w:p w14:paraId="50749F40" w14:textId="77777777" w:rsidR="004566A6" w:rsidRPr="004566A6" w:rsidRDefault="004566A6" w:rsidP="004566A6">
            <w:pPr>
              <w:spacing w:after="0" w:line="240" w:lineRule="auto"/>
              <w:jc w:val="right"/>
              <w:rPr>
                <w:rFonts w:ascii="Calibri" w:eastAsia="Times New Roman" w:hAnsi="Calibri" w:cs="Calibri"/>
                <w:sz w:val="18"/>
                <w:szCs w:val="18"/>
                <w:lang w:eastAsia="hr-HR"/>
              </w:rPr>
            </w:pPr>
            <w:r w:rsidRPr="004566A6">
              <w:rPr>
                <w:rFonts w:ascii="Calibri" w:eastAsia="Times New Roman" w:hAnsi="Calibri" w:cs="Calibri"/>
                <w:sz w:val="18"/>
                <w:szCs w:val="18"/>
                <w:lang w:eastAsia="hr-HR"/>
              </w:rPr>
              <w:t>0</w:t>
            </w:r>
          </w:p>
        </w:tc>
        <w:tc>
          <w:tcPr>
            <w:tcW w:w="505" w:type="dxa"/>
            <w:tcBorders>
              <w:top w:val="nil"/>
              <w:left w:val="nil"/>
              <w:bottom w:val="single" w:sz="4" w:space="0" w:color="auto"/>
              <w:right w:val="single" w:sz="4" w:space="0" w:color="auto"/>
            </w:tcBorders>
            <w:shd w:val="clear" w:color="000000" w:fill="CCFFFF"/>
            <w:vAlign w:val="bottom"/>
            <w:hideMark/>
          </w:tcPr>
          <w:p w14:paraId="250E4254" w14:textId="77777777" w:rsidR="004566A6" w:rsidRPr="004566A6" w:rsidRDefault="004566A6" w:rsidP="004566A6">
            <w:pPr>
              <w:spacing w:after="0" w:line="240" w:lineRule="auto"/>
              <w:jc w:val="right"/>
              <w:rPr>
                <w:rFonts w:ascii="Calibri" w:eastAsia="Times New Roman" w:hAnsi="Calibri" w:cs="Calibri"/>
                <w:sz w:val="18"/>
                <w:szCs w:val="18"/>
                <w:lang w:eastAsia="hr-HR"/>
              </w:rPr>
            </w:pPr>
            <w:r w:rsidRPr="004566A6">
              <w:rPr>
                <w:rFonts w:ascii="Calibri" w:eastAsia="Times New Roman" w:hAnsi="Calibri" w:cs="Calibri"/>
                <w:sz w:val="18"/>
                <w:szCs w:val="18"/>
                <w:lang w:eastAsia="hr-HR"/>
              </w:rPr>
              <w:t>0</w:t>
            </w:r>
          </w:p>
        </w:tc>
        <w:tc>
          <w:tcPr>
            <w:tcW w:w="797" w:type="dxa"/>
            <w:gridSpan w:val="2"/>
            <w:tcBorders>
              <w:top w:val="nil"/>
              <w:left w:val="nil"/>
              <w:bottom w:val="single" w:sz="4" w:space="0" w:color="auto"/>
              <w:right w:val="nil"/>
            </w:tcBorders>
            <w:shd w:val="clear" w:color="000000" w:fill="33CCCC"/>
            <w:noWrap/>
            <w:vAlign w:val="bottom"/>
            <w:hideMark/>
          </w:tcPr>
          <w:p w14:paraId="2F134F75" w14:textId="77777777" w:rsidR="004566A6" w:rsidRPr="004566A6" w:rsidRDefault="004566A6" w:rsidP="004566A6">
            <w:pPr>
              <w:spacing w:after="0" w:line="240" w:lineRule="auto"/>
              <w:jc w:val="right"/>
              <w:rPr>
                <w:rFonts w:ascii="Calibri" w:eastAsia="Times New Roman" w:hAnsi="Calibri" w:cs="Calibri"/>
                <w:sz w:val="18"/>
                <w:szCs w:val="18"/>
                <w:lang w:eastAsia="hr-HR"/>
              </w:rPr>
            </w:pPr>
            <w:r w:rsidRPr="004566A6">
              <w:rPr>
                <w:rFonts w:ascii="Calibri" w:eastAsia="Times New Roman" w:hAnsi="Calibri" w:cs="Calibri"/>
                <w:sz w:val="18"/>
                <w:szCs w:val="18"/>
                <w:lang w:eastAsia="hr-HR"/>
              </w:rPr>
              <w:t>1</w:t>
            </w:r>
          </w:p>
        </w:tc>
        <w:tc>
          <w:tcPr>
            <w:tcW w:w="425" w:type="dxa"/>
            <w:gridSpan w:val="3"/>
            <w:tcBorders>
              <w:top w:val="nil"/>
              <w:left w:val="single" w:sz="4" w:space="0" w:color="auto"/>
              <w:bottom w:val="single" w:sz="4" w:space="0" w:color="auto"/>
              <w:right w:val="nil"/>
            </w:tcBorders>
            <w:shd w:val="clear" w:color="000000" w:fill="33CCCC"/>
            <w:noWrap/>
            <w:vAlign w:val="bottom"/>
            <w:hideMark/>
          </w:tcPr>
          <w:p w14:paraId="12DC0529" w14:textId="77777777" w:rsidR="004566A6" w:rsidRPr="004566A6" w:rsidRDefault="004566A6" w:rsidP="004566A6">
            <w:pPr>
              <w:spacing w:after="0" w:line="240" w:lineRule="auto"/>
              <w:jc w:val="right"/>
              <w:rPr>
                <w:rFonts w:ascii="Calibri" w:eastAsia="Times New Roman" w:hAnsi="Calibri" w:cs="Calibri"/>
                <w:sz w:val="18"/>
                <w:szCs w:val="18"/>
                <w:lang w:eastAsia="hr-HR"/>
              </w:rPr>
            </w:pPr>
            <w:r w:rsidRPr="004566A6">
              <w:rPr>
                <w:rFonts w:ascii="Calibri" w:eastAsia="Times New Roman" w:hAnsi="Calibri" w:cs="Calibri"/>
                <w:sz w:val="18"/>
                <w:szCs w:val="18"/>
                <w:lang w:eastAsia="hr-HR"/>
              </w:rPr>
              <w:t>0</w:t>
            </w:r>
          </w:p>
        </w:tc>
        <w:tc>
          <w:tcPr>
            <w:tcW w:w="236" w:type="dxa"/>
            <w:gridSpan w:val="2"/>
            <w:vAlign w:val="center"/>
            <w:hideMark/>
          </w:tcPr>
          <w:p w14:paraId="1DBEBE94" w14:textId="77777777" w:rsidR="004566A6" w:rsidRPr="004566A6" w:rsidRDefault="004566A6" w:rsidP="004566A6">
            <w:pPr>
              <w:spacing w:after="0" w:line="240" w:lineRule="auto"/>
              <w:rPr>
                <w:rFonts w:ascii="Times New Roman" w:eastAsia="Times New Roman" w:hAnsi="Times New Roman" w:cs="Times New Roman"/>
                <w:sz w:val="18"/>
                <w:szCs w:val="18"/>
                <w:lang w:eastAsia="hr-HR"/>
              </w:rPr>
            </w:pPr>
          </w:p>
        </w:tc>
      </w:tr>
      <w:tr w:rsidR="003D0C85" w:rsidRPr="004566A6" w14:paraId="151CE00C" w14:textId="77777777" w:rsidTr="003D0C85">
        <w:trPr>
          <w:trHeight w:val="300"/>
        </w:trPr>
        <w:tc>
          <w:tcPr>
            <w:tcW w:w="1397" w:type="dxa"/>
            <w:tcBorders>
              <w:top w:val="single" w:sz="4" w:space="0" w:color="auto"/>
              <w:left w:val="single" w:sz="8" w:space="0" w:color="auto"/>
              <w:bottom w:val="single" w:sz="4" w:space="0" w:color="auto"/>
              <w:right w:val="single" w:sz="4" w:space="0" w:color="auto"/>
            </w:tcBorders>
            <w:shd w:val="clear" w:color="000000" w:fill="CCFFCC"/>
            <w:vAlign w:val="center"/>
            <w:hideMark/>
          </w:tcPr>
          <w:p w14:paraId="144ABA86" w14:textId="77777777" w:rsidR="004566A6" w:rsidRPr="004566A6" w:rsidRDefault="004566A6" w:rsidP="004566A6">
            <w:pPr>
              <w:spacing w:after="0" w:line="240" w:lineRule="auto"/>
              <w:jc w:val="center"/>
              <w:rPr>
                <w:rFonts w:ascii="Calibri" w:eastAsia="Times New Roman" w:hAnsi="Calibri" w:cs="Calibri"/>
                <w:sz w:val="18"/>
                <w:szCs w:val="18"/>
                <w:lang w:eastAsia="hr-HR"/>
              </w:rPr>
            </w:pPr>
            <w:r w:rsidRPr="004566A6">
              <w:rPr>
                <w:rFonts w:ascii="Calibri" w:eastAsia="Times New Roman" w:hAnsi="Calibri" w:cs="Calibri"/>
                <w:sz w:val="18"/>
                <w:szCs w:val="18"/>
                <w:lang w:eastAsia="hr-HR"/>
              </w:rPr>
              <w:t>Dob</w:t>
            </w:r>
          </w:p>
        </w:tc>
        <w:tc>
          <w:tcPr>
            <w:tcW w:w="576" w:type="dxa"/>
            <w:tcBorders>
              <w:top w:val="nil"/>
              <w:left w:val="nil"/>
              <w:bottom w:val="single" w:sz="4" w:space="0" w:color="auto"/>
              <w:right w:val="single" w:sz="4" w:space="0" w:color="auto"/>
            </w:tcBorders>
            <w:shd w:val="clear" w:color="000000" w:fill="CCFFCC"/>
            <w:vAlign w:val="center"/>
            <w:hideMark/>
          </w:tcPr>
          <w:p w14:paraId="11E26BD7" w14:textId="77777777" w:rsidR="004566A6" w:rsidRPr="004566A6" w:rsidRDefault="004566A6" w:rsidP="004566A6">
            <w:pPr>
              <w:spacing w:after="0" w:line="240" w:lineRule="auto"/>
              <w:jc w:val="center"/>
              <w:rPr>
                <w:rFonts w:ascii="Calibri" w:eastAsia="Times New Roman" w:hAnsi="Calibri" w:cs="Calibri"/>
                <w:sz w:val="18"/>
                <w:szCs w:val="18"/>
                <w:lang w:eastAsia="hr-HR"/>
              </w:rPr>
            </w:pPr>
            <w:r w:rsidRPr="004566A6">
              <w:rPr>
                <w:rFonts w:ascii="Calibri" w:eastAsia="Times New Roman" w:hAnsi="Calibri" w:cs="Calibri"/>
                <w:sz w:val="18"/>
                <w:szCs w:val="18"/>
                <w:lang w:eastAsia="hr-HR"/>
              </w:rPr>
              <w:t>0</w:t>
            </w:r>
          </w:p>
        </w:tc>
        <w:tc>
          <w:tcPr>
            <w:tcW w:w="444" w:type="dxa"/>
            <w:tcBorders>
              <w:top w:val="nil"/>
              <w:left w:val="nil"/>
              <w:bottom w:val="single" w:sz="4" w:space="0" w:color="auto"/>
              <w:right w:val="single" w:sz="4" w:space="0" w:color="auto"/>
            </w:tcBorders>
            <w:shd w:val="clear" w:color="000000" w:fill="FFCC99"/>
            <w:noWrap/>
            <w:vAlign w:val="bottom"/>
            <w:hideMark/>
          </w:tcPr>
          <w:p w14:paraId="364FE3AF" w14:textId="77777777" w:rsidR="004566A6" w:rsidRPr="004566A6" w:rsidRDefault="004566A6" w:rsidP="004566A6">
            <w:pPr>
              <w:spacing w:after="0" w:line="240" w:lineRule="auto"/>
              <w:jc w:val="center"/>
              <w:rPr>
                <w:rFonts w:ascii="Calibri" w:eastAsia="Times New Roman" w:hAnsi="Calibri" w:cs="Calibri"/>
                <w:sz w:val="18"/>
                <w:szCs w:val="18"/>
                <w:lang w:eastAsia="hr-HR"/>
              </w:rPr>
            </w:pPr>
            <w:r w:rsidRPr="004566A6">
              <w:rPr>
                <w:rFonts w:ascii="Calibri" w:eastAsia="Times New Roman" w:hAnsi="Calibri" w:cs="Calibri"/>
                <w:sz w:val="18"/>
                <w:szCs w:val="18"/>
                <w:lang w:eastAsia="hr-HR"/>
              </w:rPr>
              <w:t>0</w:t>
            </w:r>
          </w:p>
        </w:tc>
        <w:tc>
          <w:tcPr>
            <w:tcW w:w="405" w:type="dxa"/>
            <w:tcBorders>
              <w:top w:val="nil"/>
              <w:left w:val="nil"/>
              <w:bottom w:val="single" w:sz="4" w:space="0" w:color="auto"/>
              <w:right w:val="single" w:sz="4" w:space="0" w:color="auto"/>
            </w:tcBorders>
            <w:shd w:val="clear" w:color="000000" w:fill="CCFFFF"/>
            <w:noWrap/>
            <w:vAlign w:val="bottom"/>
            <w:hideMark/>
          </w:tcPr>
          <w:p w14:paraId="31DE7C7A" w14:textId="77777777" w:rsidR="004566A6" w:rsidRPr="004566A6" w:rsidRDefault="004566A6" w:rsidP="004566A6">
            <w:pPr>
              <w:spacing w:after="0" w:line="240" w:lineRule="auto"/>
              <w:jc w:val="right"/>
              <w:rPr>
                <w:rFonts w:ascii="Calibri" w:eastAsia="Times New Roman" w:hAnsi="Calibri" w:cs="Calibri"/>
                <w:sz w:val="18"/>
                <w:szCs w:val="18"/>
                <w:lang w:eastAsia="hr-HR"/>
              </w:rPr>
            </w:pPr>
            <w:r w:rsidRPr="004566A6">
              <w:rPr>
                <w:rFonts w:ascii="Calibri" w:eastAsia="Times New Roman" w:hAnsi="Calibri" w:cs="Calibri"/>
                <w:sz w:val="18"/>
                <w:szCs w:val="18"/>
                <w:lang w:eastAsia="hr-HR"/>
              </w:rPr>
              <w:t>0</w:t>
            </w:r>
          </w:p>
        </w:tc>
        <w:tc>
          <w:tcPr>
            <w:tcW w:w="462" w:type="dxa"/>
            <w:tcBorders>
              <w:top w:val="nil"/>
              <w:left w:val="nil"/>
              <w:bottom w:val="single" w:sz="4" w:space="0" w:color="auto"/>
              <w:right w:val="single" w:sz="4" w:space="0" w:color="auto"/>
            </w:tcBorders>
            <w:shd w:val="clear" w:color="000000" w:fill="CCFFFF"/>
            <w:noWrap/>
            <w:vAlign w:val="bottom"/>
            <w:hideMark/>
          </w:tcPr>
          <w:p w14:paraId="3F5A2E3C" w14:textId="77777777" w:rsidR="004566A6" w:rsidRPr="004566A6" w:rsidRDefault="004566A6" w:rsidP="004566A6">
            <w:pPr>
              <w:spacing w:after="0" w:line="240" w:lineRule="auto"/>
              <w:jc w:val="right"/>
              <w:rPr>
                <w:rFonts w:ascii="Calibri" w:eastAsia="Times New Roman" w:hAnsi="Calibri" w:cs="Calibri"/>
                <w:sz w:val="18"/>
                <w:szCs w:val="18"/>
                <w:lang w:eastAsia="hr-HR"/>
              </w:rPr>
            </w:pPr>
            <w:r w:rsidRPr="004566A6">
              <w:rPr>
                <w:rFonts w:ascii="Calibri" w:eastAsia="Times New Roman" w:hAnsi="Calibri" w:cs="Calibri"/>
                <w:sz w:val="18"/>
                <w:szCs w:val="18"/>
                <w:lang w:eastAsia="hr-HR"/>
              </w:rPr>
              <w:t>0</w:t>
            </w:r>
          </w:p>
        </w:tc>
        <w:tc>
          <w:tcPr>
            <w:tcW w:w="455" w:type="dxa"/>
            <w:tcBorders>
              <w:top w:val="nil"/>
              <w:left w:val="nil"/>
              <w:bottom w:val="single" w:sz="4" w:space="0" w:color="auto"/>
              <w:right w:val="single" w:sz="4" w:space="0" w:color="auto"/>
            </w:tcBorders>
            <w:shd w:val="clear" w:color="000000" w:fill="FFFF99"/>
            <w:noWrap/>
            <w:vAlign w:val="bottom"/>
            <w:hideMark/>
          </w:tcPr>
          <w:p w14:paraId="01AC8C71" w14:textId="77777777" w:rsidR="004566A6" w:rsidRPr="004566A6" w:rsidRDefault="004566A6" w:rsidP="004566A6">
            <w:pPr>
              <w:spacing w:after="0" w:line="240" w:lineRule="auto"/>
              <w:jc w:val="center"/>
              <w:rPr>
                <w:rFonts w:ascii="Calibri" w:eastAsia="Times New Roman" w:hAnsi="Calibri" w:cs="Calibri"/>
                <w:sz w:val="18"/>
                <w:szCs w:val="18"/>
                <w:lang w:eastAsia="hr-HR"/>
              </w:rPr>
            </w:pPr>
            <w:r w:rsidRPr="004566A6">
              <w:rPr>
                <w:rFonts w:ascii="Calibri" w:eastAsia="Times New Roman" w:hAnsi="Calibri" w:cs="Calibri"/>
                <w:sz w:val="18"/>
                <w:szCs w:val="18"/>
                <w:lang w:eastAsia="hr-HR"/>
              </w:rPr>
              <w:t>0</w:t>
            </w:r>
          </w:p>
        </w:tc>
        <w:tc>
          <w:tcPr>
            <w:tcW w:w="567" w:type="dxa"/>
            <w:tcBorders>
              <w:top w:val="nil"/>
              <w:left w:val="nil"/>
              <w:bottom w:val="single" w:sz="4" w:space="0" w:color="auto"/>
              <w:right w:val="single" w:sz="4" w:space="0" w:color="auto"/>
            </w:tcBorders>
            <w:shd w:val="clear" w:color="000000" w:fill="FFFF99"/>
            <w:noWrap/>
            <w:vAlign w:val="bottom"/>
            <w:hideMark/>
          </w:tcPr>
          <w:p w14:paraId="539479F4" w14:textId="77777777" w:rsidR="004566A6" w:rsidRPr="004566A6" w:rsidRDefault="004566A6" w:rsidP="004566A6">
            <w:pPr>
              <w:spacing w:after="0" w:line="240" w:lineRule="auto"/>
              <w:jc w:val="center"/>
              <w:rPr>
                <w:rFonts w:ascii="Calibri" w:eastAsia="Times New Roman" w:hAnsi="Calibri" w:cs="Calibri"/>
                <w:sz w:val="18"/>
                <w:szCs w:val="18"/>
                <w:lang w:eastAsia="hr-HR"/>
              </w:rPr>
            </w:pPr>
            <w:r w:rsidRPr="004566A6">
              <w:rPr>
                <w:rFonts w:ascii="Calibri" w:eastAsia="Times New Roman" w:hAnsi="Calibri" w:cs="Calibri"/>
                <w:sz w:val="18"/>
                <w:szCs w:val="18"/>
                <w:lang w:eastAsia="hr-HR"/>
              </w:rPr>
              <w:t>0</w:t>
            </w:r>
          </w:p>
        </w:tc>
        <w:tc>
          <w:tcPr>
            <w:tcW w:w="708" w:type="dxa"/>
            <w:tcBorders>
              <w:top w:val="nil"/>
              <w:left w:val="nil"/>
              <w:bottom w:val="single" w:sz="4" w:space="0" w:color="auto"/>
              <w:right w:val="single" w:sz="4" w:space="0" w:color="auto"/>
            </w:tcBorders>
            <w:shd w:val="clear" w:color="000000" w:fill="FFFF99"/>
            <w:noWrap/>
            <w:vAlign w:val="bottom"/>
            <w:hideMark/>
          </w:tcPr>
          <w:p w14:paraId="02177A9C" w14:textId="77777777" w:rsidR="004566A6" w:rsidRPr="004566A6" w:rsidRDefault="004566A6" w:rsidP="004566A6">
            <w:pPr>
              <w:spacing w:after="0" w:line="240" w:lineRule="auto"/>
              <w:jc w:val="center"/>
              <w:rPr>
                <w:rFonts w:ascii="Calibri" w:eastAsia="Times New Roman" w:hAnsi="Calibri" w:cs="Calibri"/>
                <w:sz w:val="18"/>
                <w:szCs w:val="18"/>
                <w:lang w:eastAsia="hr-HR"/>
              </w:rPr>
            </w:pPr>
            <w:r w:rsidRPr="004566A6">
              <w:rPr>
                <w:rFonts w:ascii="Calibri" w:eastAsia="Times New Roman" w:hAnsi="Calibri" w:cs="Calibri"/>
                <w:sz w:val="18"/>
                <w:szCs w:val="18"/>
                <w:lang w:eastAsia="hr-HR"/>
              </w:rPr>
              <w:t>0</w:t>
            </w:r>
          </w:p>
        </w:tc>
        <w:tc>
          <w:tcPr>
            <w:tcW w:w="448" w:type="dxa"/>
            <w:tcBorders>
              <w:top w:val="nil"/>
              <w:left w:val="nil"/>
              <w:bottom w:val="single" w:sz="4" w:space="0" w:color="auto"/>
              <w:right w:val="single" w:sz="4" w:space="0" w:color="auto"/>
            </w:tcBorders>
            <w:shd w:val="clear" w:color="000000" w:fill="FFFF99"/>
            <w:noWrap/>
            <w:vAlign w:val="bottom"/>
            <w:hideMark/>
          </w:tcPr>
          <w:p w14:paraId="59C76B8B" w14:textId="77777777" w:rsidR="004566A6" w:rsidRPr="004566A6" w:rsidRDefault="004566A6" w:rsidP="004566A6">
            <w:pPr>
              <w:spacing w:after="0" w:line="240" w:lineRule="auto"/>
              <w:jc w:val="center"/>
              <w:rPr>
                <w:rFonts w:ascii="Calibri" w:eastAsia="Times New Roman" w:hAnsi="Calibri" w:cs="Calibri"/>
                <w:sz w:val="18"/>
                <w:szCs w:val="18"/>
                <w:lang w:eastAsia="hr-HR"/>
              </w:rPr>
            </w:pPr>
            <w:r w:rsidRPr="004566A6">
              <w:rPr>
                <w:rFonts w:ascii="Calibri" w:eastAsia="Times New Roman" w:hAnsi="Calibri" w:cs="Calibri"/>
                <w:sz w:val="18"/>
                <w:szCs w:val="18"/>
                <w:lang w:eastAsia="hr-HR"/>
              </w:rPr>
              <w:t>0</w:t>
            </w:r>
          </w:p>
        </w:tc>
        <w:tc>
          <w:tcPr>
            <w:tcW w:w="680" w:type="dxa"/>
            <w:tcBorders>
              <w:top w:val="nil"/>
              <w:left w:val="nil"/>
              <w:bottom w:val="single" w:sz="4" w:space="0" w:color="auto"/>
              <w:right w:val="single" w:sz="4" w:space="0" w:color="auto"/>
            </w:tcBorders>
            <w:shd w:val="clear" w:color="000000" w:fill="FFFF99"/>
            <w:noWrap/>
            <w:vAlign w:val="bottom"/>
            <w:hideMark/>
          </w:tcPr>
          <w:p w14:paraId="5275882B" w14:textId="77777777" w:rsidR="004566A6" w:rsidRPr="004566A6" w:rsidRDefault="004566A6" w:rsidP="004566A6">
            <w:pPr>
              <w:spacing w:after="0" w:line="240" w:lineRule="auto"/>
              <w:jc w:val="center"/>
              <w:rPr>
                <w:rFonts w:ascii="Calibri" w:eastAsia="Times New Roman" w:hAnsi="Calibri" w:cs="Calibri"/>
                <w:sz w:val="18"/>
                <w:szCs w:val="18"/>
                <w:lang w:eastAsia="hr-HR"/>
              </w:rPr>
            </w:pPr>
            <w:r w:rsidRPr="004566A6">
              <w:rPr>
                <w:rFonts w:ascii="Calibri" w:eastAsia="Times New Roman" w:hAnsi="Calibri" w:cs="Calibri"/>
                <w:sz w:val="18"/>
                <w:szCs w:val="18"/>
                <w:lang w:eastAsia="hr-HR"/>
              </w:rPr>
              <w:t>0</w:t>
            </w:r>
          </w:p>
        </w:tc>
        <w:tc>
          <w:tcPr>
            <w:tcW w:w="573" w:type="dxa"/>
            <w:gridSpan w:val="2"/>
            <w:tcBorders>
              <w:top w:val="nil"/>
              <w:left w:val="nil"/>
              <w:bottom w:val="single" w:sz="4" w:space="0" w:color="auto"/>
              <w:right w:val="single" w:sz="4" w:space="0" w:color="auto"/>
            </w:tcBorders>
            <w:shd w:val="clear" w:color="000000" w:fill="FF9900"/>
            <w:noWrap/>
            <w:vAlign w:val="bottom"/>
            <w:hideMark/>
          </w:tcPr>
          <w:p w14:paraId="01F5ADD8" w14:textId="77777777" w:rsidR="004566A6" w:rsidRPr="004566A6" w:rsidRDefault="004566A6" w:rsidP="004566A6">
            <w:pPr>
              <w:spacing w:after="0" w:line="240" w:lineRule="auto"/>
              <w:jc w:val="right"/>
              <w:rPr>
                <w:rFonts w:ascii="Calibri" w:eastAsia="Times New Roman" w:hAnsi="Calibri" w:cs="Calibri"/>
                <w:sz w:val="18"/>
                <w:szCs w:val="18"/>
                <w:lang w:eastAsia="hr-HR"/>
              </w:rPr>
            </w:pPr>
            <w:r w:rsidRPr="004566A6">
              <w:rPr>
                <w:rFonts w:ascii="Calibri" w:eastAsia="Times New Roman" w:hAnsi="Calibri" w:cs="Calibri"/>
                <w:sz w:val="18"/>
                <w:szCs w:val="18"/>
                <w:lang w:eastAsia="hr-HR"/>
              </w:rPr>
              <w:t>0</w:t>
            </w:r>
          </w:p>
        </w:tc>
        <w:tc>
          <w:tcPr>
            <w:tcW w:w="567" w:type="dxa"/>
            <w:tcBorders>
              <w:top w:val="nil"/>
              <w:left w:val="nil"/>
              <w:bottom w:val="single" w:sz="4" w:space="0" w:color="auto"/>
              <w:right w:val="single" w:sz="4" w:space="0" w:color="auto"/>
            </w:tcBorders>
            <w:shd w:val="clear" w:color="000000" w:fill="FF9900"/>
            <w:noWrap/>
            <w:vAlign w:val="bottom"/>
            <w:hideMark/>
          </w:tcPr>
          <w:p w14:paraId="491AF13D" w14:textId="77777777" w:rsidR="004566A6" w:rsidRPr="004566A6" w:rsidRDefault="004566A6" w:rsidP="004566A6">
            <w:pPr>
              <w:spacing w:after="0" w:line="240" w:lineRule="auto"/>
              <w:jc w:val="right"/>
              <w:rPr>
                <w:rFonts w:ascii="Calibri" w:eastAsia="Times New Roman" w:hAnsi="Calibri" w:cs="Calibri"/>
                <w:sz w:val="18"/>
                <w:szCs w:val="18"/>
                <w:lang w:eastAsia="hr-HR"/>
              </w:rPr>
            </w:pPr>
            <w:r w:rsidRPr="004566A6">
              <w:rPr>
                <w:rFonts w:ascii="Calibri" w:eastAsia="Times New Roman" w:hAnsi="Calibri" w:cs="Calibri"/>
                <w:sz w:val="18"/>
                <w:szCs w:val="18"/>
                <w:lang w:eastAsia="hr-HR"/>
              </w:rPr>
              <w:t>0</w:t>
            </w:r>
          </w:p>
        </w:tc>
        <w:tc>
          <w:tcPr>
            <w:tcW w:w="448" w:type="dxa"/>
            <w:tcBorders>
              <w:top w:val="nil"/>
              <w:left w:val="nil"/>
              <w:bottom w:val="single" w:sz="4" w:space="0" w:color="auto"/>
              <w:right w:val="single" w:sz="4" w:space="0" w:color="auto"/>
            </w:tcBorders>
            <w:shd w:val="clear" w:color="000000" w:fill="FF9900"/>
            <w:noWrap/>
            <w:vAlign w:val="bottom"/>
            <w:hideMark/>
          </w:tcPr>
          <w:p w14:paraId="29A58CBA" w14:textId="77777777" w:rsidR="004566A6" w:rsidRPr="004566A6" w:rsidRDefault="004566A6" w:rsidP="004566A6">
            <w:pPr>
              <w:spacing w:after="0" w:line="240" w:lineRule="auto"/>
              <w:jc w:val="right"/>
              <w:rPr>
                <w:rFonts w:ascii="Calibri" w:eastAsia="Times New Roman" w:hAnsi="Calibri" w:cs="Calibri"/>
                <w:sz w:val="18"/>
                <w:szCs w:val="18"/>
                <w:lang w:eastAsia="hr-HR"/>
              </w:rPr>
            </w:pPr>
            <w:r w:rsidRPr="004566A6">
              <w:rPr>
                <w:rFonts w:ascii="Calibri" w:eastAsia="Times New Roman" w:hAnsi="Calibri" w:cs="Calibri"/>
                <w:sz w:val="18"/>
                <w:szCs w:val="18"/>
                <w:lang w:eastAsia="hr-HR"/>
              </w:rPr>
              <w:t>0</w:t>
            </w:r>
          </w:p>
        </w:tc>
        <w:tc>
          <w:tcPr>
            <w:tcW w:w="448" w:type="dxa"/>
            <w:gridSpan w:val="2"/>
            <w:tcBorders>
              <w:top w:val="nil"/>
              <w:left w:val="nil"/>
              <w:bottom w:val="single" w:sz="4" w:space="0" w:color="auto"/>
              <w:right w:val="single" w:sz="4" w:space="0" w:color="auto"/>
            </w:tcBorders>
            <w:shd w:val="clear" w:color="000000" w:fill="66FFCC"/>
            <w:noWrap/>
            <w:vAlign w:val="bottom"/>
            <w:hideMark/>
          </w:tcPr>
          <w:p w14:paraId="4F1484B3" w14:textId="77777777" w:rsidR="004566A6" w:rsidRPr="004566A6" w:rsidRDefault="004566A6" w:rsidP="004566A6">
            <w:pPr>
              <w:spacing w:after="0" w:line="240" w:lineRule="auto"/>
              <w:jc w:val="right"/>
              <w:rPr>
                <w:rFonts w:ascii="Calibri" w:eastAsia="Times New Roman" w:hAnsi="Calibri" w:cs="Calibri"/>
                <w:sz w:val="18"/>
                <w:szCs w:val="18"/>
                <w:lang w:eastAsia="hr-HR"/>
              </w:rPr>
            </w:pPr>
            <w:r w:rsidRPr="004566A6">
              <w:rPr>
                <w:rFonts w:ascii="Calibri" w:eastAsia="Times New Roman" w:hAnsi="Calibri" w:cs="Calibri"/>
                <w:sz w:val="18"/>
                <w:szCs w:val="18"/>
                <w:lang w:eastAsia="hr-HR"/>
              </w:rPr>
              <w:t>0</w:t>
            </w:r>
          </w:p>
        </w:tc>
        <w:tc>
          <w:tcPr>
            <w:tcW w:w="448" w:type="dxa"/>
            <w:tcBorders>
              <w:top w:val="nil"/>
              <w:left w:val="nil"/>
              <w:bottom w:val="single" w:sz="4" w:space="0" w:color="auto"/>
              <w:right w:val="single" w:sz="4" w:space="0" w:color="auto"/>
            </w:tcBorders>
            <w:shd w:val="clear" w:color="000000" w:fill="66FFCC"/>
            <w:noWrap/>
            <w:vAlign w:val="bottom"/>
            <w:hideMark/>
          </w:tcPr>
          <w:p w14:paraId="6133ABA8" w14:textId="77777777" w:rsidR="004566A6" w:rsidRPr="004566A6" w:rsidRDefault="004566A6" w:rsidP="004566A6">
            <w:pPr>
              <w:spacing w:after="0" w:line="240" w:lineRule="auto"/>
              <w:jc w:val="right"/>
              <w:rPr>
                <w:rFonts w:ascii="Calibri" w:eastAsia="Times New Roman" w:hAnsi="Calibri" w:cs="Calibri"/>
                <w:sz w:val="18"/>
                <w:szCs w:val="18"/>
                <w:lang w:eastAsia="hr-HR"/>
              </w:rPr>
            </w:pPr>
            <w:r w:rsidRPr="004566A6">
              <w:rPr>
                <w:rFonts w:ascii="Calibri" w:eastAsia="Times New Roman" w:hAnsi="Calibri" w:cs="Calibri"/>
                <w:sz w:val="18"/>
                <w:szCs w:val="18"/>
                <w:lang w:eastAsia="hr-HR"/>
              </w:rPr>
              <w:t>0</w:t>
            </w:r>
          </w:p>
        </w:tc>
        <w:tc>
          <w:tcPr>
            <w:tcW w:w="448" w:type="dxa"/>
            <w:tcBorders>
              <w:top w:val="nil"/>
              <w:left w:val="nil"/>
              <w:bottom w:val="single" w:sz="4" w:space="0" w:color="auto"/>
              <w:right w:val="single" w:sz="4" w:space="0" w:color="auto"/>
            </w:tcBorders>
            <w:shd w:val="clear" w:color="000000" w:fill="66FFCC"/>
            <w:noWrap/>
            <w:vAlign w:val="bottom"/>
            <w:hideMark/>
          </w:tcPr>
          <w:p w14:paraId="164D23B3" w14:textId="77777777" w:rsidR="004566A6" w:rsidRPr="004566A6" w:rsidRDefault="004566A6" w:rsidP="004566A6">
            <w:pPr>
              <w:spacing w:after="0" w:line="240" w:lineRule="auto"/>
              <w:jc w:val="right"/>
              <w:rPr>
                <w:rFonts w:ascii="Calibri" w:eastAsia="Times New Roman" w:hAnsi="Calibri" w:cs="Calibri"/>
                <w:sz w:val="18"/>
                <w:szCs w:val="18"/>
                <w:lang w:eastAsia="hr-HR"/>
              </w:rPr>
            </w:pPr>
            <w:r w:rsidRPr="004566A6">
              <w:rPr>
                <w:rFonts w:ascii="Calibri" w:eastAsia="Times New Roman" w:hAnsi="Calibri" w:cs="Calibri"/>
                <w:sz w:val="18"/>
                <w:szCs w:val="18"/>
                <w:lang w:eastAsia="hr-HR"/>
              </w:rPr>
              <w:t>0</w:t>
            </w:r>
          </w:p>
        </w:tc>
        <w:tc>
          <w:tcPr>
            <w:tcW w:w="476" w:type="dxa"/>
            <w:tcBorders>
              <w:top w:val="nil"/>
              <w:left w:val="nil"/>
              <w:bottom w:val="single" w:sz="4" w:space="0" w:color="auto"/>
              <w:right w:val="single" w:sz="4" w:space="0" w:color="auto"/>
            </w:tcBorders>
            <w:shd w:val="clear" w:color="000000" w:fill="66FFCC"/>
            <w:noWrap/>
            <w:vAlign w:val="bottom"/>
            <w:hideMark/>
          </w:tcPr>
          <w:p w14:paraId="285F5170" w14:textId="77777777" w:rsidR="004566A6" w:rsidRPr="004566A6" w:rsidRDefault="004566A6" w:rsidP="004566A6">
            <w:pPr>
              <w:spacing w:after="0" w:line="240" w:lineRule="auto"/>
              <w:jc w:val="right"/>
              <w:rPr>
                <w:rFonts w:ascii="Calibri" w:eastAsia="Times New Roman" w:hAnsi="Calibri" w:cs="Calibri"/>
                <w:sz w:val="18"/>
                <w:szCs w:val="18"/>
                <w:lang w:eastAsia="hr-HR"/>
              </w:rPr>
            </w:pPr>
            <w:r w:rsidRPr="004566A6">
              <w:rPr>
                <w:rFonts w:ascii="Calibri" w:eastAsia="Times New Roman" w:hAnsi="Calibri" w:cs="Calibri"/>
                <w:sz w:val="18"/>
                <w:szCs w:val="18"/>
                <w:lang w:eastAsia="hr-HR"/>
              </w:rPr>
              <w:t>0</w:t>
            </w:r>
          </w:p>
        </w:tc>
        <w:tc>
          <w:tcPr>
            <w:tcW w:w="557" w:type="dxa"/>
            <w:gridSpan w:val="2"/>
            <w:tcBorders>
              <w:top w:val="nil"/>
              <w:left w:val="nil"/>
              <w:bottom w:val="single" w:sz="4" w:space="0" w:color="auto"/>
              <w:right w:val="single" w:sz="4" w:space="0" w:color="auto"/>
            </w:tcBorders>
            <w:shd w:val="clear" w:color="000000" w:fill="FFFF00"/>
            <w:vAlign w:val="center"/>
            <w:hideMark/>
          </w:tcPr>
          <w:p w14:paraId="6BC3ED22" w14:textId="77777777" w:rsidR="004566A6" w:rsidRPr="004566A6" w:rsidRDefault="004566A6" w:rsidP="004566A6">
            <w:pPr>
              <w:spacing w:after="0" w:line="240" w:lineRule="auto"/>
              <w:jc w:val="center"/>
              <w:rPr>
                <w:rFonts w:ascii="Calibri" w:eastAsia="Times New Roman" w:hAnsi="Calibri" w:cs="Calibri"/>
                <w:sz w:val="18"/>
                <w:szCs w:val="18"/>
                <w:lang w:eastAsia="hr-HR"/>
              </w:rPr>
            </w:pPr>
            <w:r w:rsidRPr="004566A6">
              <w:rPr>
                <w:rFonts w:ascii="Calibri" w:eastAsia="Times New Roman" w:hAnsi="Calibri" w:cs="Calibri"/>
                <w:sz w:val="18"/>
                <w:szCs w:val="18"/>
                <w:lang w:eastAsia="hr-HR"/>
              </w:rPr>
              <w:t>0</w:t>
            </w:r>
          </w:p>
        </w:tc>
        <w:tc>
          <w:tcPr>
            <w:tcW w:w="515" w:type="dxa"/>
            <w:gridSpan w:val="2"/>
            <w:tcBorders>
              <w:top w:val="nil"/>
              <w:left w:val="nil"/>
              <w:bottom w:val="single" w:sz="4" w:space="0" w:color="auto"/>
              <w:right w:val="single" w:sz="4" w:space="0" w:color="auto"/>
            </w:tcBorders>
            <w:shd w:val="clear" w:color="000000" w:fill="FFFF99"/>
            <w:vAlign w:val="center"/>
            <w:hideMark/>
          </w:tcPr>
          <w:p w14:paraId="566D1B13" w14:textId="77777777" w:rsidR="004566A6" w:rsidRPr="004566A6" w:rsidRDefault="004566A6" w:rsidP="004566A6">
            <w:pPr>
              <w:spacing w:after="0" w:line="240" w:lineRule="auto"/>
              <w:jc w:val="center"/>
              <w:rPr>
                <w:rFonts w:ascii="Calibri" w:eastAsia="Times New Roman" w:hAnsi="Calibri" w:cs="Calibri"/>
                <w:sz w:val="18"/>
                <w:szCs w:val="18"/>
                <w:lang w:eastAsia="hr-HR"/>
              </w:rPr>
            </w:pPr>
            <w:r w:rsidRPr="004566A6">
              <w:rPr>
                <w:rFonts w:ascii="Calibri" w:eastAsia="Times New Roman" w:hAnsi="Calibri" w:cs="Calibri"/>
                <w:sz w:val="18"/>
                <w:szCs w:val="18"/>
                <w:lang w:eastAsia="hr-HR"/>
              </w:rPr>
              <w:t>0</w:t>
            </w:r>
          </w:p>
        </w:tc>
        <w:tc>
          <w:tcPr>
            <w:tcW w:w="855" w:type="dxa"/>
            <w:gridSpan w:val="2"/>
            <w:tcBorders>
              <w:top w:val="nil"/>
              <w:left w:val="nil"/>
              <w:bottom w:val="single" w:sz="4" w:space="0" w:color="auto"/>
              <w:right w:val="single" w:sz="4" w:space="0" w:color="auto"/>
            </w:tcBorders>
            <w:shd w:val="clear" w:color="000000" w:fill="FF9900"/>
            <w:vAlign w:val="center"/>
            <w:hideMark/>
          </w:tcPr>
          <w:p w14:paraId="32B48D22" w14:textId="77777777" w:rsidR="004566A6" w:rsidRPr="004566A6" w:rsidRDefault="004566A6" w:rsidP="004566A6">
            <w:pPr>
              <w:spacing w:after="0" w:line="240" w:lineRule="auto"/>
              <w:jc w:val="center"/>
              <w:rPr>
                <w:rFonts w:ascii="Calibri" w:eastAsia="Times New Roman" w:hAnsi="Calibri" w:cs="Calibri"/>
                <w:sz w:val="18"/>
                <w:szCs w:val="18"/>
                <w:lang w:eastAsia="hr-HR"/>
              </w:rPr>
            </w:pPr>
            <w:r w:rsidRPr="004566A6">
              <w:rPr>
                <w:rFonts w:ascii="Calibri" w:eastAsia="Times New Roman" w:hAnsi="Calibri" w:cs="Calibri"/>
                <w:sz w:val="18"/>
                <w:szCs w:val="18"/>
                <w:lang w:eastAsia="hr-HR"/>
              </w:rPr>
              <w:t>0</w:t>
            </w:r>
          </w:p>
        </w:tc>
        <w:tc>
          <w:tcPr>
            <w:tcW w:w="445" w:type="dxa"/>
            <w:gridSpan w:val="2"/>
            <w:tcBorders>
              <w:top w:val="nil"/>
              <w:left w:val="nil"/>
              <w:bottom w:val="single" w:sz="4" w:space="0" w:color="auto"/>
              <w:right w:val="single" w:sz="4" w:space="0" w:color="auto"/>
            </w:tcBorders>
            <w:shd w:val="clear" w:color="000000" w:fill="CCFFFF"/>
            <w:vAlign w:val="bottom"/>
            <w:hideMark/>
          </w:tcPr>
          <w:p w14:paraId="53971409" w14:textId="77777777" w:rsidR="004566A6" w:rsidRPr="004566A6" w:rsidRDefault="004566A6" w:rsidP="004566A6">
            <w:pPr>
              <w:spacing w:after="0" w:line="240" w:lineRule="auto"/>
              <w:jc w:val="right"/>
              <w:rPr>
                <w:rFonts w:ascii="Calibri" w:eastAsia="Times New Roman" w:hAnsi="Calibri" w:cs="Calibri"/>
                <w:sz w:val="18"/>
                <w:szCs w:val="18"/>
                <w:lang w:eastAsia="hr-HR"/>
              </w:rPr>
            </w:pPr>
            <w:r w:rsidRPr="004566A6">
              <w:rPr>
                <w:rFonts w:ascii="Calibri" w:eastAsia="Times New Roman" w:hAnsi="Calibri" w:cs="Calibri"/>
                <w:sz w:val="18"/>
                <w:szCs w:val="18"/>
                <w:lang w:eastAsia="hr-HR"/>
              </w:rPr>
              <w:t>0</w:t>
            </w:r>
          </w:p>
        </w:tc>
        <w:tc>
          <w:tcPr>
            <w:tcW w:w="445" w:type="dxa"/>
            <w:tcBorders>
              <w:top w:val="nil"/>
              <w:left w:val="nil"/>
              <w:bottom w:val="single" w:sz="4" w:space="0" w:color="auto"/>
              <w:right w:val="single" w:sz="4" w:space="0" w:color="auto"/>
            </w:tcBorders>
            <w:shd w:val="clear" w:color="000000" w:fill="CCFFFF"/>
            <w:vAlign w:val="bottom"/>
            <w:hideMark/>
          </w:tcPr>
          <w:p w14:paraId="65E8906F" w14:textId="77777777" w:rsidR="004566A6" w:rsidRPr="004566A6" w:rsidRDefault="004566A6" w:rsidP="004566A6">
            <w:pPr>
              <w:spacing w:after="0" w:line="240" w:lineRule="auto"/>
              <w:jc w:val="right"/>
              <w:rPr>
                <w:rFonts w:ascii="Calibri" w:eastAsia="Times New Roman" w:hAnsi="Calibri" w:cs="Calibri"/>
                <w:sz w:val="18"/>
                <w:szCs w:val="18"/>
                <w:lang w:eastAsia="hr-HR"/>
              </w:rPr>
            </w:pPr>
            <w:r w:rsidRPr="004566A6">
              <w:rPr>
                <w:rFonts w:ascii="Calibri" w:eastAsia="Times New Roman" w:hAnsi="Calibri" w:cs="Calibri"/>
                <w:sz w:val="18"/>
                <w:szCs w:val="18"/>
                <w:lang w:eastAsia="hr-HR"/>
              </w:rPr>
              <w:t>0</w:t>
            </w:r>
          </w:p>
        </w:tc>
        <w:tc>
          <w:tcPr>
            <w:tcW w:w="505" w:type="dxa"/>
            <w:tcBorders>
              <w:top w:val="nil"/>
              <w:left w:val="nil"/>
              <w:bottom w:val="single" w:sz="4" w:space="0" w:color="auto"/>
              <w:right w:val="single" w:sz="4" w:space="0" w:color="auto"/>
            </w:tcBorders>
            <w:shd w:val="clear" w:color="000000" w:fill="CCFFFF"/>
            <w:vAlign w:val="bottom"/>
            <w:hideMark/>
          </w:tcPr>
          <w:p w14:paraId="25F9D322" w14:textId="77777777" w:rsidR="004566A6" w:rsidRPr="004566A6" w:rsidRDefault="004566A6" w:rsidP="004566A6">
            <w:pPr>
              <w:spacing w:after="0" w:line="240" w:lineRule="auto"/>
              <w:jc w:val="right"/>
              <w:rPr>
                <w:rFonts w:ascii="Calibri" w:eastAsia="Times New Roman" w:hAnsi="Calibri" w:cs="Calibri"/>
                <w:sz w:val="18"/>
                <w:szCs w:val="18"/>
                <w:lang w:eastAsia="hr-HR"/>
              </w:rPr>
            </w:pPr>
            <w:r w:rsidRPr="004566A6">
              <w:rPr>
                <w:rFonts w:ascii="Calibri" w:eastAsia="Times New Roman" w:hAnsi="Calibri" w:cs="Calibri"/>
                <w:sz w:val="18"/>
                <w:szCs w:val="18"/>
                <w:lang w:eastAsia="hr-HR"/>
              </w:rPr>
              <w:t>0</w:t>
            </w:r>
          </w:p>
        </w:tc>
        <w:tc>
          <w:tcPr>
            <w:tcW w:w="797" w:type="dxa"/>
            <w:gridSpan w:val="2"/>
            <w:tcBorders>
              <w:top w:val="nil"/>
              <w:left w:val="nil"/>
              <w:bottom w:val="single" w:sz="4" w:space="0" w:color="auto"/>
              <w:right w:val="nil"/>
            </w:tcBorders>
            <w:shd w:val="clear" w:color="000000" w:fill="33CCCC"/>
            <w:noWrap/>
            <w:vAlign w:val="bottom"/>
            <w:hideMark/>
          </w:tcPr>
          <w:p w14:paraId="7C258CE6" w14:textId="77777777" w:rsidR="004566A6" w:rsidRPr="004566A6" w:rsidRDefault="004566A6" w:rsidP="004566A6">
            <w:pPr>
              <w:spacing w:after="0" w:line="240" w:lineRule="auto"/>
              <w:jc w:val="right"/>
              <w:rPr>
                <w:rFonts w:ascii="Calibri" w:eastAsia="Times New Roman" w:hAnsi="Calibri" w:cs="Calibri"/>
                <w:sz w:val="18"/>
                <w:szCs w:val="18"/>
                <w:lang w:eastAsia="hr-HR"/>
              </w:rPr>
            </w:pPr>
            <w:r w:rsidRPr="004566A6">
              <w:rPr>
                <w:rFonts w:ascii="Calibri" w:eastAsia="Times New Roman" w:hAnsi="Calibri" w:cs="Calibri"/>
                <w:sz w:val="18"/>
                <w:szCs w:val="18"/>
                <w:lang w:eastAsia="hr-HR"/>
              </w:rPr>
              <w:t>0</w:t>
            </w:r>
          </w:p>
        </w:tc>
        <w:tc>
          <w:tcPr>
            <w:tcW w:w="425" w:type="dxa"/>
            <w:gridSpan w:val="3"/>
            <w:tcBorders>
              <w:top w:val="nil"/>
              <w:left w:val="single" w:sz="4" w:space="0" w:color="auto"/>
              <w:bottom w:val="single" w:sz="4" w:space="0" w:color="auto"/>
              <w:right w:val="nil"/>
            </w:tcBorders>
            <w:shd w:val="clear" w:color="000000" w:fill="33CCCC"/>
            <w:noWrap/>
            <w:vAlign w:val="bottom"/>
            <w:hideMark/>
          </w:tcPr>
          <w:p w14:paraId="479B53AF" w14:textId="77777777" w:rsidR="004566A6" w:rsidRPr="004566A6" w:rsidRDefault="004566A6" w:rsidP="004566A6">
            <w:pPr>
              <w:spacing w:after="0" w:line="240" w:lineRule="auto"/>
              <w:jc w:val="right"/>
              <w:rPr>
                <w:rFonts w:ascii="Calibri" w:eastAsia="Times New Roman" w:hAnsi="Calibri" w:cs="Calibri"/>
                <w:sz w:val="18"/>
                <w:szCs w:val="18"/>
                <w:lang w:eastAsia="hr-HR"/>
              </w:rPr>
            </w:pPr>
            <w:r w:rsidRPr="004566A6">
              <w:rPr>
                <w:rFonts w:ascii="Calibri" w:eastAsia="Times New Roman" w:hAnsi="Calibri" w:cs="Calibri"/>
                <w:sz w:val="18"/>
                <w:szCs w:val="18"/>
                <w:lang w:eastAsia="hr-HR"/>
              </w:rPr>
              <w:t>0</w:t>
            </w:r>
          </w:p>
        </w:tc>
        <w:tc>
          <w:tcPr>
            <w:tcW w:w="236" w:type="dxa"/>
            <w:gridSpan w:val="2"/>
            <w:vAlign w:val="center"/>
            <w:hideMark/>
          </w:tcPr>
          <w:p w14:paraId="2CE62B6E" w14:textId="77777777" w:rsidR="004566A6" w:rsidRPr="004566A6" w:rsidRDefault="004566A6" w:rsidP="004566A6">
            <w:pPr>
              <w:spacing w:after="0" w:line="240" w:lineRule="auto"/>
              <w:rPr>
                <w:rFonts w:ascii="Times New Roman" w:eastAsia="Times New Roman" w:hAnsi="Times New Roman" w:cs="Times New Roman"/>
                <w:sz w:val="18"/>
                <w:szCs w:val="18"/>
                <w:lang w:eastAsia="hr-HR"/>
              </w:rPr>
            </w:pPr>
          </w:p>
        </w:tc>
      </w:tr>
      <w:tr w:rsidR="003D0C85" w:rsidRPr="004566A6" w14:paraId="6AA9422F" w14:textId="77777777" w:rsidTr="003D0C85">
        <w:trPr>
          <w:trHeight w:val="300"/>
        </w:trPr>
        <w:tc>
          <w:tcPr>
            <w:tcW w:w="1397" w:type="dxa"/>
            <w:tcBorders>
              <w:top w:val="single" w:sz="4" w:space="0" w:color="auto"/>
              <w:left w:val="single" w:sz="8" w:space="0" w:color="auto"/>
              <w:bottom w:val="single" w:sz="4" w:space="0" w:color="auto"/>
              <w:right w:val="single" w:sz="4" w:space="0" w:color="auto"/>
            </w:tcBorders>
            <w:shd w:val="clear" w:color="000000" w:fill="CCFFCC"/>
            <w:vAlign w:val="center"/>
            <w:hideMark/>
          </w:tcPr>
          <w:p w14:paraId="0FCBF1F9" w14:textId="77777777" w:rsidR="004566A6" w:rsidRPr="004566A6" w:rsidRDefault="004566A6" w:rsidP="004566A6">
            <w:pPr>
              <w:spacing w:after="0" w:line="240" w:lineRule="auto"/>
              <w:jc w:val="center"/>
              <w:rPr>
                <w:rFonts w:ascii="Calibri" w:eastAsia="Times New Roman" w:hAnsi="Calibri" w:cs="Calibri"/>
                <w:sz w:val="18"/>
                <w:szCs w:val="18"/>
                <w:lang w:eastAsia="hr-HR"/>
              </w:rPr>
            </w:pPr>
            <w:r w:rsidRPr="004566A6">
              <w:rPr>
                <w:rFonts w:ascii="Calibri" w:eastAsia="Times New Roman" w:hAnsi="Calibri" w:cs="Calibri"/>
                <w:sz w:val="18"/>
                <w:szCs w:val="18"/>
                <w:lang w:eastAsia="hr-HR"/>
              </w:rPr>
              <w:t>Obrazovanje</w:t>
            </w:r>
          </w:p>
        </w:tc>
        <w:tc>
          <w:tcPr>
            <w:tcW w:w="576" w:type="dxa"/>
            <w:tcBorders>
              <w:top w:val="nil"/>
              <w:left w:val="nil"/>
              <w:bottom w:val="single" w:sz="4" w:space="0" w:color="auto"/>
              <w:right w:val="single" w:sz="4" w:space="0" w:color="auto"/>
            </w:tcBorders>
            <w:shd w:val="clear" w:color="000000" w:fill="CCFFCC"/>
            <w:vAlign w:val="center"/>
            <w:hideMark/>
          </w:tcPr>
          <w:p w14:paraId="1E0E871F" w14:textId="77777777" w:rsidR="004566A6" w:rsidRPr="004566A6" w:rsidRDefault="004566A6" w:rsidP="004566A6">
            <w:pPr>
              <w:spacing w:after="0" w:line="240" w:lineRule="auto"/>
              <w:jc w:val="center"/>
              <w:rPr>
                <w:rFonts w:ascii="Calibri" w:eastAsia="Times New Roman" w:hAnsi="Calibri" w:cs="Calibri"/>
                <w:sz w:val="18"/>
                <w:szCs w:val="18"/>
                <w:lang w:eastAsia="hr-HR"/>
              </w:rPr>
            </w:pPr>
            <w:r w:rsidRPr="004566A6">
              <w:rPr>
                <w:rFonts w:ascii="Calibri" w:eastAsia="Times New Roman" w:hAnsi="Calibri" w:cs="Calibri"/>
                <w:sz w:val="18"/>
                <w:szCs w:val="18"/>
                <w:lang w:eastAsia="hr-HR"/>
              </w:rPr>
              <w:t>0</w:t>
            </w:r>
          </w:p>
        </w:tc>
        <w:tc>
          <w:tcPr>
            <w:tcW w:w="444" w:type="dxa"/>
            <w:tcBorders>
              <w:top w:val="nil"/>
              <w:left w:val="nil"/>
              <w:bottom w:val="single" w:sz="4" w:space="0" w:color="auto"/>
              <w:right w:val="single" w:sz="4" w:space="0" w:color="auto"/>
            </w:tcBorders>
            <w:shd w:val="clear" w:color="000000" w:fill="FFCC99"/>
            <w:noWrap/>
            <w:vAlign w:val="bottom"/>
            <w:hideMark/>
          </w:tcPr>
          <w:p w14:paraId="2E626370" w14:textId="77777777" w:rsidR="004566A6" w:rsidRPr="004566A6" w:rsidRDefault="004566A6" w:rsidP="004566A6">
            <w:pPr>
              <w:spacing w:after="0" w:line="240" w:lineRule="auto"/>
              <w:jc w:val="center"/>
              <w:rPr>
                <w:rFonts w:ascii="Calibri" w:eastAsia="Times New Roman" w:hAnsi="Calibri" w:cs="Calibri"/>
                <w:sz w:val="18"/>
                <w:szCs w:val="18"/>
                <w:lang w:eastAsia="hr-HR"/>
              </w:rPr>
            </w:pPr>
            <w:r w:rsidRPr="004566A6">
              <w:rPr>
                <w:rFonts w:ascii="Calibri" w:eastAsia="Times New Roman" w:hAnsi="Calibri" w:cs="Calibri"/>
                <w:sz w:val="18"/>
                <w:szCs w:val="18"/>
                <w:lang w:eastAsia="hr-HR"/>
              </w:rPr>
              <w:t>0</w:t>
            </w:r>
          </w:p>
        </w:tc>
        <w:tc>
          <w:tcPr>
            <w:tcW w:w="405" w:type="dxa"/>
            <w:tcBorders>
              <w:top w:val="nil"/>
              <w:left w:val="nil"/>
              <w:bottom w:val="single" w:sz="4" w:space="0" w:color="auto"/>
              <w:right w:val="single" w:sz="4" w:space="0" w:color="auto"/>
            </w:tcBorders>
            <w:shd w:val="clear" w:color="000000" w:fill="CCFFFF"/>
            <w:noWrap/>
            <w:vAlign w:val="bottom"/>
            <w:hideMark/>
          </w:tcPr>
          <w:p w14:paraId="0F8D9BDA" w14:textId="77777777" w:rsidR="004566A6" w:rsidRPr="004566A6" w:rsidRDefault="004566A6" w:rsidP="004566A6">
            <w:pPr>
              <w:spacing w:after="0" w:line="240" w:lineRule="auto"/>
              <w:jc w:val="right"/>
              <w:rPr>
                <w:rFonts w:ascii="Calibri" w:eastAsia="Times New Roman" w:hAnsi="Calibri" w:cs="Calibri"/>
                <w:sz w:val="18"/>
                <w:szCs w:val="18"/>
                <w:lang w:eastAsia="hr-HR"/>
              </w:rPr>
            </w:pPr>
            <w:r w:rsidRPr="004566A6">
              <w:rPr>
                <w:rFonts w:ascii="Calibri" w:eastAsia="Times New Roman" w:hAnsi="Calibri" w:cs="Calibri"/>
                <w:sz w:val="18"/>
                <w:szCs w:val="18"/>
                <w:lang w:eastAsia="hr-HR"/>
              </w:rPr>
              <w:t>0</w:t>
            </w:r>
          </w:p>
        </w:tc>
        <w:tc>
          <w:tcPr>
            <w:tcW w:w="462" w:type="dxa"/>
            <w:tcBorders>
              <w:top w:val="nil"/>
              <w:left w:val="nil"/>
              <w:bottom w:val="single" w:sz="4" w:space="0" w:color="auto"/>
              <w:right w:val="single" w:sz="4" w:space="0" w:color="auto"/>
            </w:tcBorders>
            <w:shd w:val="clear" w:color="000000" w:fill="CCFFFF"/>
            <w:noWrap/>
            <w:vAlign w:val="bottom"/>
            <w:hideMark/>
          </w:tcPr>
          <w:p w14:paraId="46A0BDB5" w14:textId="77777777" w:rsidR="004566A6" w:rsidRPr="004566A6" w:rsidRDefault="004566A6" w:rsidP="004566A6">
            <w:pPr>
              <w:spacing w:after="0" w:line="240" w:lineRule="auto"/>
              <w:jc w:val="right"/>
              <w:rPr>
                <w:rFonts w:ascii="Calibri" w:eastAsia="Times New Roman" w:hAnsi="Calibri" w:cs="Calibri"/>
                <w:sz w:val="18"/>
                <w:szCs w:val="18"/>
                <w:lang w:eastAsia="hr-HR"/>
              </w:rPr>
            </w:pPr>
            <w:r w:rsidRPr="004566A6">
              <w:rPr>
                <w:rFonts w:ascii="Calibri" w:eastAsia="Times New Roman" w:hAnsi="Calibri" w:cs="Calibri"/>
                <w:sz w:val="18"/>
                <w:szCs w:val="18"/>
                <w:lang w:eastAsia="hr-HR"/>
              </w:rPr>
              <w:t>0</w:t>
            </w:r>
          </w:p>
        </w:tc>
        <w:tc>
          <w:tcPr>
            <w:tcW w:w="455" w:type="dxa"/>
            <w:tcBorders>
              <w:top w:val="nil"/>
              <w:left w:val="nil"/>
              <w:bottom w:val="single" w:sz="4" w:space="0" w:color="auto"/>
              <w:right w:val="single" w:sz="4" w:space="0" w:color="auto"/>
            </w:tcBorders>
            <w:shd w:val="clear" w:color="000000" w:fill="FFFF99"/>
            <w:noWrap/>
            <w:vAlign w:val="bottom"/>
            <w:hideMark/>
          </w:tcPr>
          <w:p w14:paraId="1F9A957C" w14:textId="77777777" w:rsidR="004566A6" w:rsidRPr="004566A6" w:rsidRDefault="004566A6" w:rsidP="004566A6">
            <w:pPr>
              <w:spacing w:after="0" w:line="240" w:lineRule="auto"/>
              <w:jc w:val="center"/>
              <w:rPr>
                <w:rFonts w:ascii="Calibri" w:eastAsia="Times New Roman" w:hAnsi="Calibri" w:cs="Calibri"/>
                <w:sz w:val="18"/>
                <w:szCs w:val="18"/>
                <w:lang w:eastAsia="hr-HR"/>
              </w:rPr>
            </w:pPr>
            <w:r w:rsidRPr="004566A6">
              <w:rPr>
                <w:rFonts w:ascii="Calibri" w:eastAsia="Times New Roman" w:hAnsi="Calibri" w:cs="Calibri"/>
                <w:sz w:val="18"/>
                <w:szCs w:val="18"/>
                <w:lang w:eastAsia="hr-HR"/>
              </w:rPr>
              <w:t>0</w:t>
            </w:r>
          </w:p>
        </w:tc>
        <w:tc>
          <w:tcPr>
            <w:tcW w:w="567" w:type="dxa"/>
            <w:tcBorders>
              <w:top w:val="nil"/>
              <w:left w:val="nil"/>
              <w:bottom w:val="single" w:sz="4" w:space="0" w:color="auto"/>
              <w:right w:val="single" w:sz="4" w:space="0" w:color="auto"/>
            </w:tcBorders>
            <w:shd w:val="clear" w:color="000000" w:fill="FFFF99"/>
            <w:noWrap/>
            <w:vAlign w:val="bottom"/>
            <w:hideMark/>
          </w:tcPr>
          <w:p w14:paraId="08656987" w14:textId="77777777" w:rsidR="004566A6" w:rsidRPr="004566A6" w:rsidRDefault="004566A6" w:rsidP="004566A6">
            <w:pPr>
              <w:spacing w:after="0" w:line="240" w:lineRule="auto"/>
              <w:jc w:val="center"/>
              <w:rPr>
                <w:rFonts w:ascii="Calibri" w:eastAsia="Times New Roman" w:hAnsi="Calibri" w:cs="Calibri"/>
                <w:sz w:val="18"/>
                <w:szCs w:val="18"/>
                <w:lang w:eastAsia="hr-HR"/>
              </w:rPr>
            </w:pPr>
            <w:r w:rsidRPr="004566A6">
              <w:rPr>
                <w:rFonts w:ascii="Calibri" w:eastAsia="Times New Roman" w:hAnsi="Calibri" w:cs="Calibri"/>
                <w:sz w:val="18"/>
                <w:szCs w:val="18"/>
                <w:lang w:eastAsia="hr-HR"/>
              </w:rPr>
              <w:t>0</w:t>
            </w:r>
          </w:p>
        </w:tc>
        <w:tc>
          <w:tcPr>
            <w:tcW w:w="708" w:type="dxa"/>
            <w:tcBorders>
              <w:top w:val="nil"/>
              <w:left w:val="nil"/>
              <w:bottom w:val="single" w:sz="4" w:space="0" w:color="auto"/>
              <w:right w:val="single" w:sz="4" w:space="0" w:color="auto"/>
            </w:tcBorders>
            <w:shd w:val="clear" w:color="000000" w:fill="FFFF99"/>
            <w:noWrap/>
            <w:vAlign w:val="bottom"/>
            <w:hideMark/>
          </w:tcPr>
          <w:p w14:paraId="358E0B5A" w14:textId="77777777" w:rsidR="004566A6" w:rsidRPr="004566A6" w:rsidRDefault="004566A6" w:rsidP="004566A6">
            <w:pPr>
              <w:spacing w:after="0" w:line="240" w:lineRule="auto"/>
              <w:jc w:val="center"/>
              <w:rPr>
                <w:rFonts w:ascii="Calibri" w:eastAsia="Times New Roman" w:hAnsi="Calibri" w:cs="Calibri"/>
                <w:sz w:val="18"/>
                <w:szCs w:val="18"/>
                <w:lang w:eastAsia="hr-HR"/>
              </w:rPr>
            </w:pPr>
            <w:r w:rsidRPr="004566A6">
              <w:rPr>
                <w:rFonts w:ascii="Calibri" w:eastAsia="Times New Roman" w:hAnsi="Calibri" w:cs="Calibri"/>
                <w:sz w:val="18"/>
                <w:szCs w:val="18"/>
                <w:lang w:eastAsia="hr-HR"/>
              </w:rPr>
              <w:t>0</w:t>
            </w:r>
          </w:p>
        </w:tc>
        <w:tc>
          <w:tcPr>
            <w:tcW w:w="448" w:type="dxa"/>
            <w:tcBorders>
              <w:top w:val="nil"/>
              <w:left w:val="nil"/>
              <w:bottom w:val="single" w:sz="4" w:space="0" w:color="auto"/>
              <w:right w:val="single" w:sz="4" w:space="0" w:color="auto"/>
            </w:tcBorders>
            <w:shd w:val="clear" w:color="000000" w:fill="FFFF99"/>
            <w:noWrap/>
            <w:vAlign w:val="bottom"/>
            <w:hideMark/>
          </w:tcPr>
          <w:p w14:paraId="25565516" w14:textId="77777777" w:rsidR="004566A6" w:rsidRPr="004566A6" w:rsidRDefault="004566A6" w:rsidP="004566A6">
            <w:pPr>
              <w:spacing w:after="0" w:line="240" w:lineRule="auto"/>
              <w:jc w:val="center"/>
              <w:rPr>
                <w:rFonts w:ascii="Calibri" w:eastAsia="Times New Roman" w:hAnsi="Calibri" w:cs="Calibri"/>
                <w:sz w:val="18"/>
                <w:szCs w:val="18"/>
                <w:lang w:eastAsia="hr-HR"/>
              </w:rPr>
            </w:pPr>
            <w:r w:rsidRPr="004566A6">
              <w:rPr>
                <w:rFonts w:ascii="Calibri" w:eastAsia="Times New Roman" w:hAnsi="Calibri" w:cs="Calibri"/>
                <w:sz w:val="18"/>
                <w:szCs w:val="18"/>
                <w:lang w:eastAsia="hr-HR"/>
              </w:rPr>
              <w:t>0</w:t>
            </w:r>
          </w:p>
        </w:tc>
        <w:tc>
          <w:tcPr>
            <w:tcW w:w="680" w:type="dxa"/>
            <w:tcBorders>
              <w:top w:val="nil"/>
              <w:left w:val="nil"/>
              <w:bottom w:val="single" w:sz="4" w:space="0" w:color="auto"/>
              <w:right w:val="single" w:sz="4" w:space="0" w:color="auto"/>
            </w:tcBorders>
            <w:shd w:val="clear" w:color="000000" w:fill="FFFF99"/>
            <w:noWrap/>
            <w:vAlign w:val="bottom"/>
            <w:hideMark/>
          </w:tcPr>
          <w:p w14:paraId="7C0AFB37" w14:textId="77777777" w:rsidR="004566A6" w:rsidRPr="004566A6" w:rsidRDefault="004566A6" w:rsidP="004566A6">
            <w:pPr>
              <w:spacing w:after="0" w:line="240" w:lineRule="auto"/>
              <w:jc w:val="center"/>
              <w:rPr>
                <w:rFonts w:ascii="Calibri" w:eastAsia="Times New Roman" w:hAnsi="Calibri" w:cs="Calibri"/>
                <w:sz w:val="18"/>
                <w:szCs w:val="18"/>
                <w:lang w:eastAsia="hr-HR"/>
              </w:rPr>
            </w:pPr>
            <w:r w:rsidRPr="004566A6">
              <w:rPr>
                <w:rFonts w:ascii="Calibri" w:eastAsia="Times New Roman" w:hAnsi="Calibri" w:cs="Calibri"/>
                <w:sz w:val="18"/>
                <w:szCs w:val="18"/>
                <w:lang w:eastAsia="hr-HR"/>
              </w:rPr>
              <w:t>0</w:t>
            </w:r>
          </w:p>
        </w:tc>
        <w:tc>
          <w:tcPr>
            <w:tcW w:w="573" w:type="dxa"/>
            <w:gridSpan w:val="2"/>
            <w:tcBorders>
              <w:top w:val="nil"/>
              <w:left w:val="nil"/>
              <w:bottom w:val="single" w:sz="4" w:space="0" w:color="auto"/>
              <w:right w:val="single" w:sz="4" w:space="0" w:color="auto"/>
            </w:tcBorders>
            <w:shd w:val="clear" w:color="000000" w:fill="FF9900"/>
            <w:noWrap/>
            <w:vAlign w:val="bottom"/>
            <w:hideMark/>
          </w:tcPr>
          <w:p w14:paraId="4C545F19" w14:textId="77777777" w:rsidR="004566A6" w:rsidRPr="004566A6" w:rsidRDefault="004566A6" w:rsidP="004566A6">
            <w:pPr>
              <w:spacing w:after="0" w:line="240" w:lineRule="auto"/>
              <w:jc w:val="right"/>
              <w:rPr>
                <w:rFonts w:ascii="Calibri" w:eastAsia="Times New Roman" w:hAnsi="Calibri" w:cs="Calibri"/>
                <w:sz w:val="18"/>
                <w:szCs w:val="18"/>
                <w:lang w:eastAsia="hr-HR"/>
              </w:rPr>
            </w:pPr>
            <w:r w:rsidRPr="004566A6">
              <w:rPr>
                <w:rFonts w:ascii="Calibri" w:eastAsia="Times New Roman" w:hAnsi="Calibri" w:cs="Calibri"/>
                <w:sz w:val="18"/>
                <w:szCs w:val="18"/>
                <w:lang w:eastAsia="hr-HR"/>
              </w:rPr>
              <w:t>0</w:t>
            </w:r>
          </w:p>
        </w:tc>
        <w:tc>
          <w:tcPr>
            <w:tcW w:w="567" w:type="dxa"/>
            <w:tcBorders>
              <w:top w:val="nil"/>
              <w:left w:val="nil"/>
              <w:bottom w:val="single" w:sz="4" w:space="0" w:color="auto"/>
              <w:right w:val="single" w:sz="4" w:space="0" w:color="auto"/>
            </w:tcBorders>
            <w:shd w:val="clear" w:color="000000" w:fill="FF9900"/>
            <w:noWrap/>
            <w:vAlign w:val="bottom"/>
            <w:hideMark/>
          </w:tcPr>
          <w:p w14:paraId="5BD10E22" w14:textId="77777777" w:rsidR="004566A6" w:rsidRPr="004566A6" w:rsidRDefault="004566A6" w:rsidP="004566A6">
            <w:pPr>
              <w:spacing w:after="0" w:line="240" w:lineRule="auto"/>
              <w:jc w:val="right"/>
              <w:rPr>
                <w:rFonts w:ascii="Calibri" w:eastAsia="Times New Roman" w:hAnsi="Calibri" w:cs="Calibri"/>
                <w:sz w:val="18"/>
                <w:szCs w:val="18"/>
                <w:lang w:eastAsia="hr-HR"/>
              </w:rPr>
            </w:pPr>
            <w:r w:rsidRPr="004566A6">
              <w:rPr>
                <w:rFonts w:ascii="Calibri" w:eastAsia="Times New Roman" w:hAnsi="Calibri" w:cs="Calibri"/>
                <w:sz w:val="18"/>
                <w:szCs w:val="18"/>
                <w:lang w:eastAsia="hr-HR"/>
              </w:rPr>
              <w:t>0</w:t>
            </w:r>
          </w:p>
        </w:tc>
        <w:tc>
          <w:tcPr>
            <w:tcW w:w="448" w:type="dxa"/>
            <w:tcBorders>
              <w:top w:val="nil"/>
              <w:left w:val="nil"/>
              <w:bottom w:val="single" w:sz="4" w:space="0" w:color="auto"/>
              <w:right w:val="single" w:sz="4" w:space="0" w:color="auto"/>
            </w:tcBorders>
            <w:shd w:val="clear" w:color="000000" w:fill="FF9900"/>
            <w:noWrap/>
            <w:vAlign w:val="bottom"/>
            <w:hideMark/>
          </w:tcPr>
          <w:p w14:paraId="7E181633" w14:textId="77777777" w:rsidR="004566A6" w:rsidRPr="004566A6" w:rsidRDefault="004566A6" w:rsidP="004566A6">
            <w:pPr>
              <w:spacing w:after="0" w:line="240" w:lineRule="auto"/>
              <w:jc w:val="right"/>
              <w:rPr>
                <w:rFonts w:ascii="Calibri" w:eastAsia="Times New Roman" w:hAnsi="Calibri" w:cs="Calibri"/>
                <w:sz w:val="18"/>
                <w:szCs w:val="18"/>
                <w:lang w:eastAsia="hr-HR"/>
              </w:rPr>
            </w:pPr>
            <w:r w:rsidRPr="004566A6">
              <w:rPr>
                <w:rFonts w:ascii="Calibri" w:eastAsia="Times New Roman" w:hAnsi="Calibri" w:cs="Calibri"/>
                <w:sz w:val="18"/>
                <w:szCs w:val="18"/>
                <w:lang w:eastAsia="hr-HR"/>
              </w:rPr>
              <w:t>0</w:t>
            </w:r>
          </w:p>
        </w:tc>
        <w:tc>
          <w:tcPr>
            <w:tcW w:w="448" w:type="dxa"/>
            <w:gridSpan w:val="2"/>
            <w:tcBorders>
              <w:top w:val="nil"/>
              <w:left w:val="nil"/>
              <w:bottom w:val="single" w:sz="4" w:space="0" w:color="auto"/>
              <w:right w:val="single" w:sz="4" w:space="0" w:color="auto"/>
            </w:tcBorders>
            <w:shd w:val="clear" w:color="000000" w:fill="66FFCC"/>
            <w:noWrap/>
            <w:vAlign w:val="bottom"/>
            <w:hideMark/>
          </w:tcPr>
          <w:p w14:paraId="7D189949" w14:textId="77777777" w:rsidR="004566A6" w:rsidRPr="004566A6" w:rsidRDefault="004566A6" w:rsidP="004566A6">
            <w:pPr>
              <w:spacing w:after="0" w:line="240" w:lineRule="auto"/>
              <w:jc w:val="right"/>
              <w:rPr>
                <w:rFonts w:ascii="Calibri" w:eastAsia="Times New Roman" w:hAnsi="Calibri" w:cs="Calibri"/>
                <w:sz w:val="18"/>
                <w:szCs w:val="18"/>
                <w:lang w:eastAsia="hr-HR"/>
              </w:rPr>
            </w:pPr>
            <w:r w:rsidRPr="004566A6">
              <w:rPr>
                <w:rFonts w:ascii="Calibri" w:eastAsia="Times New Roman" w:hAnsi="Calibri" w:cs="Calibri"/>
                <w:sz w:val="18"/>
                <w:szCs w:val="18"/>
                <w:lang w:eastAsia="hr-HR"/>
              </w:rPr>
              <w:t>0</w:t>
            </w:r>
          </w:p>
        </w:tc>
        <w:tc>
          <w:tcPr>
            <w:tcW w:w="448" w:type="dxa"/>
            <w:tcBorders>
              <w:top w:val="nil"/>
              <w:left w:val="nil"/>
              <w:bottom w:val="single" w:sz="4" w:space="0" w:color="auto"/>
              <w:right w:val="single" w:sz="4" w:space="0" w:color="auto"/>
            </w:tcBorders>
            <w:shd w:val="clear" w:color="000000" w:fill="66FFCC"/>
            <w:noWrap/>
            <w:vAlign w:val="bottom"/>
            <w:hideMark/>
          </w:tcPr>
          <w:p w14:paraId="33BD81FA" w14:textId="77777777" w:rsidR="004566A6" w:rsidRPr="004566A6" w:rsidRDefault="004566A6" w:rsidP="004566A6">
            <w:pPr>
              <w:spacing w:after="0" w:line="240" w:lineRule="auto"/>
              <w:jc w:val="right"/>
              <w:rPr>
                <w:rFonts w:ascii="Calibri" w:eastAsia="Times New Roman" w:hAnsi="Calibri" w:cs="Calibri"/>
                <w:sz w:val="18"/>
                <w:szCs w:val="18"/>
                <w:lang w:eastAsia="hr-HR"/>
              </w:rPr>
            </w:pPr>
            <w:r w:rsidRPr="004566A6">
              <w:rPr>
                <w:rFonts w:ascii="Calibri" w:eastAsia="Times New Roman" w:hAnsi="Calibri" w:cs="Calibri"/>
                <w:sz w:val="18"/>
                <w:szCs w:val="18"/>
                <w:lang w:eastAsia="hr-HR"/>
              </w:rPr>
              <w:t>0</w:t>
            </w:r>
          </w:p>
        </w:tc>
        <w:tc>
          <w:tcPr>
            <w:tcW w:w="448" w:type="dxa"/>
            <w:tcBorders>
              <w:top w:val="nil"/>
              <w:left w:val="nil"/>
              <w:bottom w:val="single" w:sz="4" w:space="0" w:color="auto"/>
              <w:right w:val="single" w:sz="4" w:space="0" w:color="auto"/>
            </w:tcBorders>
            <w:shd w:val="clear" w:color="000000" w:fill="66FFCC"/>
            <w:noWrap/>
            <w:vAlign w:val="bottom"/>
            <w:hideMark/>
          </w:tcPr>
          <w:p w14:paraId="0830226C" w14:textId="77777777" w:rsidR="004566A6" w:rsidRPr="004566A6" w:rsidRDefault="004566A6" w:rsidP="004566A6">
            <w:pPr>
              <w:spacing w:after="0" w:line="240" w:lineRule="auto"/>
              <w:jc w:val="right"/>
              <w:rPr>
                <w:rFonts w:ascii="Calibri" w:eastAsia="Times New Roman" w:hAnsi="Calibri" w:cs="Calibri"/>
                <w:sz w:val="18"/>
                <w:szCs w:val="18"/>
                <w:lang w:eastAsia="hr-HR"/>
              </w:rPr>
            </w:pPr>
            <w:r w:rsidRPr="004566A6">
              <w:rPr>
                <w:rFonts w:ascii="Calibri" w:eastAsia="Times New Roman" w:hAnsi="Calibri" w:cs="Calibri"/>
                <w:sz w:val="18"/>
                <w:szCs w:val="18"/>
                <w:lang w:eastAsia="hr-HR"/>
              </w:rPr>
              <w:t>0</w:t>
            </w:r>
          </w:p>
        </w:tc>
        <w:tc>
          <w:tcPr>
            <w:tcW w:w="476" w:type="dxa"/>
            <w:tcBorders>
              <w:top w:val="nil"/>
              <w:left w:val="nil"/>
              <w:bottom w:val="single" w:sz="4" w:space="0" w:color="auto"/>
              <w:right w:val="single" w:sz="4" w:space="0" w:color="auto"/>
            </w:tcBorders>
            <w:shd w:val="clear" w:color="000000" w:fill="66FFCC"/>
            <w:noWrap/>
            <w:vAlign w:val="bottom"/>
            <w:hideMark/>
          </w:tcPr>
          <w:p w14:paraId="39A55177" w14:textId="77777777" w:rsidR="004566A6" w:rsidRPr="004566A6" w:rsidRDefault="004566A6" w:rsidP="004566A6">
            <w:pPr>
              <w:spacing w:after="0" w:line="240" w:lineRule="auto"/>
              <w:jc w:val="right"/>
              <w:rPr>
                <w:rFonts w:ascii="Calibri" w:eastAsia="Times New Roman" w:hAnsi="Calibri" w:cs="Calibri"/>
                <w:sz w:val="18"/>
                <w:szCs w:val="18"/>
                <w:lang w:eastAsia="hr-HR"/>
              </w:rPr>
            </w:pPr>
            <w:r w:rsidRPr="004566A6">
              <w:rPr>
                <w:rFonts w:ascii="Calibri" w:eastAsia="Times New Roman" w:hAnsi="Calibri" w:cs="Calibri"/>
                <w:sz w:val="18"/>
                <w:szCs w:val="18"/>
                <w:lang w:eastAsia="hr-HR"/>
              </w:rPr>
              <w:t>0</w:t>
            </w:r>
          </w:p>
        </w:tc>
        <w:tc>
          <w:tcPr>
            <w:tcW w:w="557" w:type="dxa"/>
            <w:gridSpan w:val="2"/>
            <w:tcBorders>
              <w:top w:val="nil"/>
              <w:left w:val="nil"/>
              <w:bottom w:val="single" w:sz="4" w:space="0" w:color="auto"/>
              <w:right w:val="single" w:sz="4" w:space="0" w:color="auto"/>
            </w:tcBorders>
            <w:shd w:val="clear" w:color="000000" w:fill="FFFF00"/>
            <w:vAlign w:val="center"/>
            <w:hideMark/>
          </w:tcPr>
          <w:p w14:paraId="16331FF8" w14:textId="77777777" w:rsidR="004566A6" w:rsidRPr="004566A6" w:rsidRDefault="004566A6" w:rsidP="004566A6">
            <w:pPr>
              <w:spacing w:after="0" w:line="240" w:lineRule="auto"/>
              <w:jc w:val="center"/>
              <w:rPr>
                <w:rFonts w:ascii="Calibri" w:eastAsia="Times New Roman" w:hAnsi="Calibri" w:cs="Calibri"/>
                <w:sz w:val="18"/>
                <w:szCs w:val="18"/>
                <w:lang w:eastAsia="hr-HR"/>
              </w:rPr>
            </w:pPr>
            <w:r w:rsidRPr="004566A6">
              <w:rPr>
                <w:rFonts w:ascii="Calibri" w:eastAsia="Times New Roman" w:hAnsi="Calibri" w:cs="Calibri"/>
                <w:sz w:val="18"/>
                <w:szCs w:val="18"/>
                <w:lang w:eastAsia="hr-HR"/>
              </w:rPr>
              <w:t>0</w:t>
            </w:r>
          </w:p>
        </w:tc>
        <w:tc>
          <w:tcPr>
            <w:tcW w:w="515" w:type="dxa"/>
            <w:gridSpan w:val="2"/>
            <w:tcBorders>
              <w:top w:val="nil"/>
              <w:left w:val="nil"/>
              <w:bottom w:val="single" w:sz="4" w:space="0" w:color="auto"/>
              <w:right w:val="single" w:sz="4" w:space="0" w:color="auto"/>
            </w:tcBorders>
            <w:shd w:val="clear" w:color="000000" w:fill="FFFF99"/>
            <w:vAlign w:val="center"/>
            <w:hideMark/>
          </w:tcPr>
          <w:p w14:paraId="425E297C" w14:textId="77777777" w:rsidR="004566A6" w:rsidRPr="004566A6" w:rsidRDefault="004566A6" w:rsidP="004566A6">
            <w:pPr>
              <w:spacing w:after="0" w:line="240" w:lineRule="auto"/>
              <w:jc w:val="center"/>
              <w:rPr>
                <w:rFonts w:ascii="Calibri" w:eastAsia="Times New Roman" w:hAnsi="Calibri" w:cs="Calibri"/>
                <w:sz w:val="18"/>
                <w:szCs w:val="18"/>
                <w:lang w:eastAsia="hr-HR"/>
              </w:rPr>
            </w:pPr>
            <w:r w:rsidRPr="004566A6">
              <w:rPr>
                <w:rFonts w:ascii="Calibri" w:eastAsia="Times New Roman" w:hAnsi="Calibri" w:cs="Calibri"/>
                <w:sz w:val="18"/>
                <w:szCs w:val="18"/>
                <w:lang w:eastAsia="hr-HR"/>
              </w:rPr>
              <w:t>0</w:t>
            </w:r>
          </w:p>
        </w:tc>
        <w:tc>
          <w:tcPr>
            <w:tcW w:w="855" w:type="dxa"/>
            <w:gridSpan w:val="2"/>
            <w:tcBorders>
              <w:top w:val="nil"/>
              <w:left w:val="nil"/>
              <w:bottom w:val="single" w:sz="4" w:space="0" w:color="auto"/>
              <w:right w:val="single" w:sz="4" w:space="0" w:color="auto"/>
            </w:tcBorders>
            <w:shd w:val="clear" w:color="000000" w:fill="FF9900"/>
            <w:vAlign w:val="center"/>
            <w:hideMark/>
          </w:tcPr>
          <w:p w14:paraId="316A6353" w14:textId="77777777" w:rsidR="004566A6" w:rsidRPr="004566A6" w:rsidRDefault="004566A6" w:rsidP="004566A6">
            <w:pPr>
              <w:spacing w:after="0" w:line="240" w:lineRule="auto"/>
              <w:jc w:val="center"/>
              <w:rPr>
                <w:rFonts w:ascii="Calibri" w:eastAsia="Times New Roman" w:hAnsi="Calibri" w:cs="Calibri"/>
                <w:sz w:val="18"/>
                <w:szCs w:val="18"/>
                <w:lang w:eastAsia="hr-HR"/>
              </w:rPr>
            </w:pPr>
            <w:r w:rsidRPr="004566A6">
              <w:rPr>
                <w:rFonts w:ascii="Calibri" w:eastAsia="Times New Roman" w:hAnsi="Calibri" w:cs="Calibri"/>
                <w:sz w:val="18"/>
                <w:szCs w:val="18"/>
                <w:lang w:eastAsia="hr-HR"/>
              </w:rPr>
              <w:t>0</w:t>
            </w:r>
          </w:p>
        </w:tc>
        <w:tc>
          <w:tcPr>
            <w:tcW w:w="445" w:type="dxa"/>
            <w:gridSpan w:val="2"/>
            <w:tcBorders>
              <w:top w:val="nil"/>
              <w:left w:val="nil"/>
              <w:bottom w:val="single" w:sz="4" w:space="0" w:color="auto"/>
              <w:right w:val="single" w:sz="4" w:space="0" w:color="auto"/>
            </w:tcBorders>
            <w:shd w:val="clear" w:color="000000" w:fill="CCFFFF"/>
            <w:vAlign w:val="bottom"/>
            <w:hideMark/>
          </w:tcPr>
          <w:p w14:paraId="5971227F" w14:textId="77777777" w:rsidR="004566A6" w:rsidRPr="004566A6" w:rsidRDefault="004566A6" w:rsidP="004566A6">
            <w:pPr>
              <w:spacing w:after="0" w:line="240" w:lineRule="auto"/>
              <w:jc w:val="right"/>
              <w:rPr>
                <w:rFonts w:ascii="Calibri" w:eastAsia="Times New Roman" w:hAnsi="Calibri" w:cs="Calibri"/>
                <w:sz w:val="18"/>
                <w:szCs w:val="18"/>
                <w:lang w:eastAsia="hr-HR"/>
              </w:rPr>
            </w:pPr>
            <w:r w:rsidRPr="004566A6">
              <w:rPr>
                <w:rFonts w:ascii="Calibri" w:eastAsia="Times New Roman" w:hAnsi="Calibri" w:cs="Calibri"/>
                <w:sz w:val="18"/>
                <w:szCs w:val="18"/>
                <w:lang w:eastAsia="hr-HR"/>
              </w:rPr>
              <w:t>0</w:t>
            </w:r>
          </w:p>
        </w:tc>
        <w:tc>
          <w:tcPr>
            <w:tcW w:w="445" w:type="dxa"/>
            <w:tcBorders>
              <w:top w:val="nil"/>
              <w:left w:val="nil"/>
              <w:bottom w:val="single" w:sz="4" w:space="0" w:color="auto"/>
              <w:right w:val="single" w:sz="4" w:space="0" w:color="auto"/>
            </w:tcBorders>
            <w:shd w:val="clear" w:color="000000" w:fill="CCFFFF"/>
            <w:vAlign w:val="bottom"/>
            <w:hideMark/>
          </w:tcPr>
          <w:p w14:paraId="64453694" w14:textId="77777777" w:rsidR="004566A6" w:rsidRPr="004566A6" w:rsidRDefault="004566A6" w:rsidP="004566A6">
            <w:pPr>
              <w:spacing w:after="0" w:line="240" w:lineRule="auto"/>
              <w:jc w:val="right"/>
              <w:rPr>
                <w:rFonts w:ascii="Calibri" w:eastAsia="Times New Roman" w:hAnsi="Calibri" w:cs="Calibri"/>
                <w:sz w:val="18"/>
                <w:szCs w:val="18"/>
                <w:lang w:eastAsia="hr-HR"/>
              </w:rPr>
            </w:pPr>
            <w:r w:rsidRPr="004566A6">
              <w:rPr>
                <w:rFonts w:ascii="Calibri" w:eastAsia="Times New Roman" w:hAnsi="Calibri" w:cs="Calibri"/>
                <w:sz w:val="18"/>
                <w:szCs w:val="18"/>
                <w:lang w:eastAsia="hr-HR"/>
              </w:rPr>
              <w:t>0</w:t>
            </w:r>
          </w:p>
        </w:tc>
        <w:tc>
          <w:tcPr>
            <w:tcW w:w="505" w:type="dxa"/>
            <w:tcBorders>
              <w:top w:val="nil"/>
              <w:left w:val="nil"/>
              <w:bottom w:val="single" w:sz="4" w:space="0" w:color="auto"/>
              <w:right w:val="single" w:sz="4" w:space="0" w:color="auto"/>
            </w:tcBorders>
            <w:shd w:val="clear" w:color="000000" w:fill="CCFFFF"/>
            <w:vAlign w:val="bottom"/>
            <w:hideMark/>
          </w:tcPr>
          <w:p w14:paraId="4E4BC0CE" w14:textId="77777777" w:rsidR="004566A6" w:rsidRPr="004566A6" w:rsidRDefault="004566A6" w:rsidP="004566A6">
            <w:pPr>
              <w:spacing w:after="0" w:line="240" w:lineRule="auto"/>
              <w:jc w:val="right"/>
              <w:rPr>
                <w:rFonts w:ascii="Calibri" w:eastAsia="Times New Roman" w:hAnsi="Calibri" w:cs="Calibri"/>
                <w:sz w:val="18"/>
                <w:szCs w:val="18"/>
                <w:lang w:eastAsia="hr-HR"/>
              </w:rPr>
            </w:pPr>
            <w:r w:rsidRPr="004566A6">
              <w:rPr>
                <w:rFonts w:ascii="Calibri" w:eastAsia="Times New Roman" w:hAnsi="Calibri" w:cs="Calibri"/>
                <w:sz w:val="18"/>
                <w:szCs w:val="18"/>
                <w:lang w:eastAsia="hr-HR"/>
              </w:rPr>
              <w:t>0</w:t>
            </w:r>
          </w:p>
        </w:tc>
        <w:tc>
          <w:tcPr>
            <w:tcW w:w="797" w:type="dxa"/>
            <w:gridSpan w:val="2"/>
            <w:tcBorders>
              <w:top w:val="nil"/>
              <w:left w:val="nil"/>
              <w:bottom w:val="single" w:sz="4" w:space="0" w:color="auto"/>
              <w:right w:val="nil"/>
            </w:tcBorders>
            <w:shd w:val="clear" w:color="000000" w:fill="33CCCC"/>
            <w:noWrap/>
            <w:vAlign w:val="bottom"/>
            <w:hideMark/>
          </w:tcPr>
          <w:p w14:paraId="4B306E09" w14:textId="77777777" w:rsidR="004566A6" w:rsidRPr="004566A6" w:rsidRDefault="004566A6" w:rsidP="004566A6">
            <w:pPr>
              <w:spacing w:after="0" w:line="240" w:lineRule="auto"/>
              <w:jc w:val="right"/>
              <w:rPr>
                <w:rFonts w:ascii="Calibri" w:eastAsia="Times New Roman" w:hAnsi="Calibri" w:cs="Calibri"/>
                <w:sz w:val="18"/>
                <w:szCs w:val="18"/>
                <w:lang w:eastAsia="hr-HR"/>
              </w:rPr>
            </w:pPr>
            <w:r w:rsidRPr="004566A6">
              <w:rPr>
                <w:rFonts w:ascii="Calibri" w:eastAsia="Times New Roman" w:hAnsi="Calibri" w:cs="Calibri"/>
                <w:sz w:val="18"/>
                <w:szCs w:val="18"/>
                <w:lang w:eastAsia="hr-HR"/>
              </w:rPr>
              <w:t>0</w:t>
            </w:r>
          </w:p>
        </w:tc>
        <w:tc>
          <w:tcPr>
            <w:tcW w:w="425" w:type="dxa"/>
            <w:gridSpan w:val="3"/>
            <w:tcBorders>
              <w:top w:val="nil"/>
              <w:left w:val="single" w:sz="4" w:space="0" w:color="auto"/>
              <w:bottom w:val="single" w:sz="4" w:space="0" w:color="auto"/>
              <w:right w:val="nil"/>
            </w:tcBorders>
            <w:shd w:val="clear" w:color="000000" w:fill="33CCCC"/>
            <w:noWrap/>
            <w:vAlign w:val="bottom"/>
            <w:hideMark/>
          </w:tcPr>
          <w:p w14:paraId="1BFA28E3" w14:textId="77777777" w:rsidR="004566A6" w:rsidRPr="004566A6" w:rsidRDefault="004566A6" w:rsidP="004566A6">
            <w:pPr>
              <w:spacing w:after="0" w:line="240" w:lineRule="auto"/>
              <w:jc w:val="right"/>
              <w:rPr>
                <w:rFonts w:ascii="Calibri" w:eastAsia="Times New Roman" w:hAnsi="Calibri" w:cs="Calibri"/>
                <w:sz w:val="18"/>
                <w:szCs w:val="18"/>
                <w:lang w:eastAsia="hr-HR"/>
              </w:rPr>
            </w:pPr>
            <w:r w:rsidRPr="004566A6">
              <w:rPr>
                <w:rFonts w:ascii="Calibri" w:eastAsia="Times New Roman" w:hAnsi="Calibri" w:cs="Calibri"/>
                <w:sz w:val="18"/>
                <w:szCs w:val="18"/>
                <w:lang w:eastAsia="hr-HR"/>
              </w:rPr>
              <w:t>0</w:t>
            </w:r>
          </w:p>
        </w:tc>
        <w:tc>
          <w:tcPr>
            <w:tcW w:w="236" w:type="dxa"/>
            <w:gridSpan w:val="2"/>
            <w:vAlign w:val="center"/>
            <w:hideMark/>
          </w:tcPr>
          <w:p w14:paraId="66FF493B" w14:textId="77777777" w:rsidR="004566A6" w:rsidRPr="004566A6" w:rsidRDefault="004566A6" w:rsidP="004566A6">
            <w:pPr>
              <w:spacing w:after="0" w:line="240" w:lineRule="auto"/>
              <w:rPr>
                <w:rFonts w:ascii="Times New Roman" w:eastAsia="Times New Roman" w:hAnsi="Times New Roman" w:cs="Times New Roman"/>
                <w:sz w:val="18"/>
                <w:szCs w:val="18"/>
                <w:lang w:eastAsia="hr-HR"/>
              </w:rPr>
            </w:pPr>
          </w:p>
        </w:tc>
      </w:tr>
      <w:tr w:rsidR="003D0C85" w:rsidRPr="004566A6" w14:paraId="745965AF" w14:textId="77777777" w:rsidTr="003D0C85">
        <w:trPr>
          <w:trHeight w:val="300"/>
        </w:trPr>
        <w:tc>
          <w:tcPr>
            <w:tcW w:w="1397" w:type="dxa"/>
            <w:tcBorders>
              <w:top w:val="single" w:sz="4" w:space="0" w:color="auto"/>
              <w:left w:val="single" w:sz="8" w:space="0" w:color="auto"/>
              <w:bottom w:val="single" w:sz="4" w:space="0" w:color="auto"/>
              <w:right w:val="single" w:sz="4" w:space="0" w:color="auto"/>
            </w:tcBorders>
            <w:shd w:val="clear" w:color="000000" w:fill="CCFFCC"/>
            <w:vAlign w:val="center"/>
            <w:hideMark/>
          </w:tcPr>
          <w:p w14:paraId="7A5CF889" w14:textId="77777777" w:rsidR="004566A6" w:rsidRPr="004566A6" w:rsidRDefault="004566A6" w:rsidP="004566A6">
            <w:pPr>
              <w:spacing w:after="0" w:line="240" w:lineRule="auto"/>
              <w:jc w:val="center"/>
              <w:rPr>
                <w:rFonts w:ascii="Calibri" w:eastAsia="Times New Roman" w:hAnsi="Calibri" w:cs="Calibri"/>
                <w:sz w:val="18"/>
                <w:szCs w:val="18"/>
                <w:lang w:eastAsia="hr-HR"/>
              </w:rPr>
            </w:pPr>
            <w:r w:rsidRPr="004566A6">
              <w:rPr>
                <w:rFonts w:ascii="Calibri" w:eastAsia="Times New Roman" w:hAnsi="Calibri" w:cs="Calibri"/>
                <w:sz w:val="18"/>
                <w:szCs w:val="18"/>
                <w:lang w:eastAsia="hr-HR"/>
              </w:rPr>
              <w:t>Zdravstveno stanje</w:t>
            </w:r>
          </w:p>
        </w:tc>
        <w:tc>
          <w:tcPr>
            <w:tcW w:w="576" w:type="dxa"/>
            <w:tcBorders>
              <w:top w:val="nil"/>
              <w:left w:val="nil"/>
              <w:bottom w:val="single" w:sz="4" w:space="0" w:color="auto"/>
              <w:right w:val="single" w:sz="4" w:space="0" w:color="auto"/>
            </w:tcBorders>
            <w:shd w:val="clear" w:color="000000" w:fill="CCFFCC"/>
            <w:vAlign w:val="center"/>
            <w:hideMark/>
          </w:tcPr>
          <w:p w14:paraId="5BB79C73" w14:textId="77777777" w:rsidR="004566A6" w:rsidRPr="004566A6" w:rsidRDefault="004566A6" w:rsidP="004566A6">
            <w:pPr>
              <w:spacing w:after="0" w:line="240" w:lineRule="auto"/>
              <w:jc w:val="center"/>
              <w:rPr>
                <w:rFonts w:ascii="Calibri" w:eastAsia="Times New Roman" w:hAnsi="Calibri" w:cs="Calibri"/>
                <w:sz w:val="18"/>
                <w:szCs w:val="18"/>
                <w:lang w:eastAsia="hr-HR"/>
              </w:rPr>
            </w:pPr>
            <w:r w:rsidRPr="004566A6">
              <w:rPr>
                <w:rFonts w:ascii="Calibri" w:eastAsia="Times New Roman" w:hAnsi="Calibri" w:cs="Calibri"/>
                <w:sz w:val="18"/>
                <w:szCs w:val="18"/>
                <w:lang w:eastAsia="hr-HR"/>
              </w:rPr>
              <w:t>1</w:t>
            </w:r>
          </w:p>
        </w:tc>
        <w:tc>
          <w:tcPr>
            <w:tcW w:w="444" w:type="dxa"/>
            <w:tcBorders>
              <w:top w:val="nil"/>
              <w:left w:val="nil"/>
              <w:bottom w:val="single" w:sz="4" w:space="0" w:color="auto"/>
              <w:right w:val="single" w:sz="4" w:space="0" w:color="auto"/>
            </w:tcBorders>
            <w:shd w:val="clear" w:color="000000" w:fill="FFCC99"/>
            <w:noWrap/>
            <w:vAlign w:val="bottom"/>
            <w:hideMark/>
          </w:tcPr>
          <w:p w14:paraId="2DF9CB35" w14:textId="77777777" w:rsidR="004566A6" w:rsidRPr="004566A6" w:rsidRDefault="004566A6" w:rsidP="004566A6">
            <w:pPr>
              <w:spacing w:after="0" w:line="240" w:lineRule="auto"/>
              <w:jc w:val="center"/>
              <w:rPr>
                <w:rFonts w:ascii="Calibri" w:eastAsia="Times New Roman" w:hAnsi="Calibri" w:cs="Calibri"/>
                <w:sz w:val="18"/>
                <w:szCs w:val="18"/>
                <w:lang w:eastAsia="hr-HR"/>
              </w:rPr>
            </w:pPr>
            <w:r w:rsidRPr="004566A6">
              <w:rPr>
                <w:rFonts w:ascii="Calibri" w:eastAsia="Times New Roman" w:hAnsi="Calibri" w:cs="Calibri"/>
                <w:sz w:val="18"/>
                <w:szCs w:val="18"/>
                <w:lang w:eastAsia="hr-HR"/>
              </w:rPr>
              <w:t>0</w:t>
            </w:r>
          </w:p>
        </w:tc>
        <w:tc>
          <w:tcPr>
            <w:tcW w:w="405" w:type="dxa"/>
            <w:tcBorders>
              <w:top w:val="nil"/>
              <w:left w:val="nil"/>
              <w:bottom w:val="single" w:sz="4" w:space="0" w:color="auto"/>
              <w:right w:val="single" w:sz="4" w:space="0" w:color="auto"/>
            </w:tcBorders>
            <w:shd w:val="clear" w:color="000000" w:fill="CCFFFF"/>
            <w:noWrap/>
            <w:vAlign w:val="bottom"/>
            <w:hideMark/>
          </w:tcPr>
          <w:p w14:paraId="62F58B84" w14:textId="77777777" w:rsidR="004566A6" w:rsidRPr="004566A6" w:rsidRDefault="004566A6" w:rsidP="004566A6">
            <w:pPr>
              <w:spacing w:after="0" w:line="240" w:lineRule="auto"/>
              <w:jc w:val="right"/>
              <w:rPr>
                <w:rFonts w:ascii="Calibri" w:eastAsia="Times New Roman" w:hAnsi="Calibri" w:cs="Calibri"/>
                <w:sz w:val="18"/>
                <w:szCs w:val="18"/>
                <w:lang w:eastAsia="hr-HR"/>
              </w:rPr>
            </w:pPr>
            <w:r w:rsidRPr="004566A6">
              <w:rPr>
                <w:rFonts w:ascii="Calibri" w:eastAsia="Times New Roman" w:hAnsi="Calibri" w:cs="Calibri"/>
                <w:sz w:val="18"/>
                <w:szCs w:val="18"/>
                <w:lang w:eastAsia="hr-HR"/>
              </w:rPr>
              <w:t>0</w:t>
            </w:r>
          </w:p>
        </w:tc>
        <w:tc>
          <w:tcPr>
            <w:tcW w:w="462" w:type="dxa"/>
            <w:tcBorders>
              <w:top w:val="nil"/>
              <w:left w:val="nil"/>
              <w:bottom w:val="single" w:sz="4" w:space="0" w:color="auto"/>
              <w:right w:val="single" w:sz="4" w:space="0" w:color="auto"/>
            </w:tcBorders>
            <w:shd w:val="clear" w:color="000000" w:fill="CCFFFF"/>
            <w:noWrap/>
            <w:vAlign w:val="bottom"/>
            <w:hideMark/>
          </w:tcPr>
          <w:p w14:paraId="00F629F0" w14:textId="77777777" w:rsidR="004566A6" w:rsidRPr="004566A6" w:rsidRDefault="004566A6" w:rsidP="004566A6">
            <w:pPr>
              <w:spacing w:after="0" w:line="240" w:lineRule="auto"/>
              <w:jc w:val="right"/>
              <w:rPr>
                <w:rFonts w:ascii="Calibri" w:eastAsia="Times New Roman" w:hAnsi="Calibri" w:cs="Calibri"/>
                <w:sz w:val="18"/>
                <w:szCs w:val="18"/>
                <w:lang w:eastAsia="hr-HR"/>
              </w:rPr>
            </w:pPr>
            <w:r w:rsidRPr="004566A6">
              <w:rPr>
                <w:rFonts w:ascii="Calibri" w:eastAsia="Times New Roman" w:hAnsi="Calibri" w:cs="Calibri"/>
                <w:sz w:val="18"/>
                <w:szCs w:val="18"/>
                <w:lang w:eastAsia="hr-HR"/>
              </w:rPr>
              <w:t>0</w:t>
            </w:r>
          </w:p>
        </w:tc>
        <w:tc>
          <w:tcPr>
            <w:tcW w:w="455" w:type="dxa"/>
            <w:tcBorders>
              <w:top w:val="nil"/>
              <w:left w:val="nil"/>
              <w:bottom w:val="single" w:sz="4" w:space="0" w:color="auto"/>
              <w:right w:val="single" w:sz="4" w:space="0" w:color="auto"/>
            </w:tcBorders>
            <w:shd w:val="clear" w:color="000000" w:fill="FFFF99"/>
            <w:noWrap/>
            <w:vAlign w:val="bottom"/>
            <w:hideMark/>
          </w:tcPr>
          <w:p w14:paraId="7EB38DA3" w14:textId="77777777" w:rsidR="004566A6" w:rsidRPr="004566A6" w:rsidRDefault="004566A6" w:rsidP="004566A6">
            <w:pPr>
              <w:spacing w:after="0" w:line="240" w:lineRule="auto"/>
              <w:jc w:val="center"/>
              <w:rPr>
                <w:rFonts w:ascii="Calibri" w:eastAsia="Times New Roman" w:hAnsi="Calibri" w:cs="Calibri"/>
                <w:sz w:val="18"/>
                <w:szCs w:val="18"/>
                <w:lang w:eastAsia="hr-HR"/>
              </w:rPr>
            </w:pPr>
            <w:r w:rsidRPr="004566A6">
              <w:rPr>
                <w:rFonts w:ascii="Calibri" w:eastAsia="Times New Roman" w:hAnsi="Calibri" w:cs="Calibri"/>
                <w:sz w:val="18"/>
                <w:szCs w:val="18"/>
                <w:lang w:eastAsia="hr-HR"/>
              </w:rPr>
              <w:t>0</w:t>
            </w:r>
          </w:p>
        </w:tc>
        <w:tc>
          <w:tcPr>
            <w:tcW w:w="567" w:type="dxa"/>
            <w:tcBorders>
              <w:top w:val="nil"/>
              <w:left w:val="nil"/>
              <w:bottom w:val="single" w:sz="4" w:space="0" w:color="auto"/>
              <w:right w:val="single" w:sz="4" w:space="0" w:color="auto"/>
            </w:tcBorders>
            <w:shd w:val="clear" w:color="000000" w:fill="FFFF99"/>
            <w:noWrap/>
            <w:vAlign w:val="bottom"/>
            <w:hideMark/>
          </w:tcPr>
          <w:p w14:paraId="494DA1EC" w14:textId="77777777" w:rsidR="004566A6" w:rsidRPr="004566A6" w:rsidRDefault="004566A6" w:rsidP="004566A6">
            <w:pPr>
              <w:spacing w:after="0" w:line="240" w:lineRule="auto"/>
              <w:jc w:val="center"/>
              <w:rPr>
                <w:rFonts w:ascii="Calibri" w:eastAsia="Times New Roman" w:hAnsi="Calibri" w:cs="Calibri"/>
                <w:sz w:val="18"/>
                <w:szCs w:val="18"/>
                <w:lang w:eastAsia="hr-HR"/>
              </w:rPr>
            </w:pPr>
            <w:r w:rsidRPr="004566A6">
              <w:rPr>
                <w:rFonts w:ascii="Calibri" w:eastAsia="Times New Roman" w:hAnsi="Calibri" w:cs="Calibri"/>
                <w:sz w:val="18"/>
                <w:szCs w:val="18"/>
                <w:lang w:eastAsia="hr-HR"/>
              </w:rPr>
              <w:t>0</w:t>
            </w:r>
          </w:p>
        </w:tc>
        <w:tc>
          <w:tcPr>
            <w:tcW w:w="708" w:type="dxa"/>
            <w:tcBorders>
              <w:top w:val="nil"/>
              <w:left w:val="nil"/>
              <w:bottom w:val="single" w:sz="4" w:space="0" w:color="auto"/>
              <w:right w:val="single" w:sz="4" w:space="0" w:color="auto"/>
            </w:tcBorders>
            <w:shd w:val="clear" w:color="000000" w:fill="FFFF99"/>
            <w:noWrap/>
            <w:vAlign w:val="bottom"/>
            <w:hideMark/>
          </w:tcPr>
          <w:p w14:paraId="4249BBEB" w14:textId="77777777" w:rsidR="004566A6" w:rsidRPr="004566A6" w:rsidRDefault="004566A6" w:rsidP="004566A6">
            <w:pPr>
              <w:spacing w:after="0" w:line="240" w:lineRule="auto"/>
              <w:jc w:val="center"/>
              <w:rPr>
                <w:rFonts w:ascii="Calibri" w:eastAsia="Times New Roman" w:hAnsi="Calibri" w:cs="Calibri"/>
                <w:sz w:val="18"/>
                <w:szCs w:val="18"/>
                <w:lang w:eastAsia="hr-HR"/>
              </w:rPr>
            </w:pPr>
            <w:r w:rsidRPr="004566A6">
              <w:rPr>
                <w:rFonts w:ascii="Calibri" w:eastAsia="Times New Roman" w:hAnsi="Calibri" w:cs="Calibri"/>
                <w:sz w:val="18"/>
                <w:szCs w:val="18"/>
                <w:lang w:eastAsia="hr-HR"/>
              </w:rPr>
              <w:t>0</w:t>
            </w:r>
          </w:p>
        </w:tc>
        <w:tc>
          <w:tcPr>
            <w:tcW w:w="448" w:type="dxa"/>
            <w:tcBorders>
              <w:top w:val="nil"/>
              <w:left w:val="nil"/>
              <w:bottom w:val="single" w:sz="4" w:space="0" w:color="auto"/>
              <w:right w:val="single" w:sz="4" w:space="0" w:color="auto"/>
            </w:tcBorders>
            <w:shd w:val="clear" w:color="000000" w:fill="FFFF99"/>
            <w:noWrap/>
            <w:vAlign w:val="bottom"/>
            <w:hideMark/>
          </w:tcPr>
          <w:p w14:paraId="21BAF067" w14:textId="77777777" w:rsidR="004566A6" w:rsidRPr="004566A6" w:rsidRDefault="004566A6" w:rsidP="004566A6">
            <w:pPr>
              <w:spacing w:after="0" w:line="240" w:lineRule="auto"/>
              <w:jc w:val="center"/>
              <w:rPr>
                <w:rFonts w:ascii="Calibri" w:eastAsia="Times New Roman" w:hAnsi="Calibri" w:cs="Calibri"/>
                <w:sz w:val="18"/>
                <w:szCs w:val="18"/>
                <w:lang w:eastAsia="hr-HR"/>
              </w:rPr>
            </w:pPr>
            <w:r w:rsidRPr="004566A6">
              <w:rPr>
                <w:rFonts w:ascii="Calibri" w:eastAsia="Times New Roman" w:hAnsi="Calibri" w:cs="Calibri"/>
                <w:sz w:val="18"/>
                <w:szCs w:val="18"/>
                <w:lang w:eastAsia="hr-HR"/>
              </w:rPr>
              <w:t>0</w:t>
            </w:r>
          </w:p>
        </w:tc>
        <w:tc>
          <w:tcPr>
            <w:tcW w:w="680" w:type="dxa"/>
            <w:tcBorders>
              <w:top w:val="nil"/>
              <w:left w:val="nil"/>
              <w:bottom w:val="single" w:sz="4" w:space="0" w:color="auto"/>
              <w:right w:val="single" w:sz="4" w:space="0" w:color="auto"/>
            </w:tcBorders>
            <w:shd w:val="clear" w:color="000000" w:fill="FFFF99"/>
            <w:noWrap/>
            <w:vAlign w:val="bottom"/>
            <w:hideMark/>
          </w:tcPr>
          <w:p w14:paraId="1BA56494" w14:textId="77777777" w:rsidR="004566A6" w:rsidRPr="004566A6" w:rsidRDefault="004566A6" w:rsidP="004566A6">
            <w:pPr>
              <w:spacing w:after="0" w:line="240" w:lineRule="auto"/>
              <w:jc w:val="center"/>
              <w:rPr>
                <w:rFonts w:ascii="Calibri" w:eastAsia="Times New Roman" w:hAnsi="Calibri" w:cs="Calibri"/>
                <w:sz w:val="18"/>
                <w:szCs w:val="18"/>
                <w:lang w:eastAsia="hr-HR"/>
              </w:rPr>
            </w:pPr>
            <w:r w:rsidRPr="004566A6">
              <w:rPr>
                <w:rFonts w:ascii="Calibri" w:eastAsia="Times New Roman" w:hAnsi="Calibri" w:cs="Calibri"/>
                <w:sz w:val="18"/>
                <w:szCs w:val="18"/>
                <w:lang w:eastAsia="hr-HR"/>
              </w:rPr>
              <w:t>0</w:t>
            </w:r>
          </w:p>
        </w:tc>
        <w:tc>
          <w:tcPr>
            <w:tcW w:w="573" w:type="dxa"/>
            <w:gridSpan w:val="2"/>
            <w:tcBorders>
              <w:top w:val="nil"/>
              <w:left w:val="nil"/>
              <w:bottom w:val="single" w:sz="4" w:space="0" w:color="auto"/>
              <w:right w:val="single" w:sz="4" w:space="0" w:color="auto"/>
            </w:tcBorders>
            <w:shd w:val="clear" w:color="000000" w:fill="FF9900"/>
            <w:noWrap/>
            <w:vAlign w:val="bottom"/>
            <w:hideMark/>
          </w:tcPr>
          <w:p w14:paraId="33104E58" w14:textId="77777777" w:rsidR="004566A6" w:rsidRPr="004566A6" w:rsidRDefault="004566A6" w:rsidP="004566A6">
            <w:pPr>
              <w:spacing w:after="0" w:line="240" w:lineRule="auto"/>
              <w:jc w:val="right"/>
              <w:rPr>
                <w:rFonts w:ascii="Calibri" w:eastAsia="Times New Roman" w:hAnsi="Calibri" w:cs="Calibri"/>
                <w:sz w:val="18"/>
                <w:szCs w:val="18"/>
                <w:lang w:eastAsia="hr-HR"/>
              </w:rPr>
            </w:pPr>
            <w:r w:rsidRPr="004566A6">
              <w:rPr>
                <w:rFonts w:ascii="Calibri" w:eastAsia="Times New Roman" w:hAnsi="Calibri" w:cs="Calibri"/>
                <w:sz w:val="18"/>
                <w:szCs w:val="18"/>
                <w:lang w:eastAsia="hr-HR"/>
              </w:rPr>
              <w:t>0</w:t>
            </w:r>
          </w:p>
        </w:tc>
        <w:tc>
          <w:tcPr>
            <w:tcW w:w="567" w:type="dxa"/>
            <w:tcBorders>
              <w:top w:val="nil"/>
              <w:left w:val="nil"/>
              <w:bottom w:val="single" w:sz="4" w:space="0" w:color="auto"/>
              <w:right w:val="single" w:sz="4" w:space="0" w:color="auto"/>
            </w:tcBorders>
            <w:shd w:val="clear" w:color="000000" w:fill="FF9900"/>
            <w:noWrap/>
            <w:vAlign w:val="bottom"/>
            <w:hideMark/>
          </w:tcPr>
          <w:p w14:paraId="139A51E0" w14:textId="77777777" w:rsidR="004566A6" w:rsidRPr="004566A6" w:rsidRDefault="004566A6" w:rsidP="004566A6">
            <w:pPr>
              <w:spacing w:after="0" w:line="240" w:lineRule="auto"/>
              <w:jc w:val="right"/>
              <w:rPr>
                <w:rFonts w:ascii="Calibri" w:eastAsia="Times New Roman" w:hAnsi="Calibri" w:cs="Calibri"/>
                <w:sz w:val="18"/>
                <w:szCs w:val="18"/>
                <w:lang w:eastAsia="hr-HR"/>
              </w:rPr>
            </w:pPr>
            <w:r w:rsidRPr="004566A6">
              <w:rPr>
                <w:rFonts w:ascii="Calibri" w:eastAsia="Times New Roman" w:hAnsi="Calibri" w:cs="Calibri"/>
                <w:sz w:val="18"/>
                <w:szCs w:val="18"/>
                <w:lang w:eastAsia="hr-HR"/>
              </w:rPr>
              <w:t>1</w:t>
            </w:r>
          </w:p>
        </w:tc>
        <w:tc>
          <w:tcPr>
            <w:tcW w:w="448" w:type="dxa"/>
            <w:tcBorders>
              <w:top w:val="nil"/>
              <w:left w:val="nil"/>
              <w:bottom w:val="single" w:sz="4" w:space="0" w:color="auto"/>
              <w:right w:val="single" w:sz="4" w:space="0" w:color="auto"/>
            </w:tcBorders>
            <w:shd w:val="clear" w:color="000000" w:fill="FF9900"/>
            <w:noWrap/>
            <w:vAlign w:val="bottom"/>
            <w:hideMark/>
          </w:tcPr>
          <w:p w14:paraId="2243B1EE" w14:textId="77777777" w:rsidR="004566A6" w:rsidRPr="004566A6" w:rsidRDefault="004566A6" w:rsidP="004566A6">
            <w:pPr>
              <w:spacing w:after="0" w:line="240" w:lineRule="auto"/>
              <w:jc w:val="right"/>
              <w:rPr>
                <w:rFonts w:ascii="Calibri" w:eastAsia="Times New Roman" w:hAnsi="Calibri" w:cs="Calibri"/>
                <w:sz w:val="18"/>
                <w:szCs w:val="18"/>
                <w:lang w:eastAsia="hr-HR"/>
              </w:rPr>
            </w:pPr>
            <w:r w:rsidRPr="004566A6">
              <w:rPr>
                <w:rFonts w:ascii="Calibri" w:eastAsia="Times New Roman" w:hAnsi="Calibri" w:cs="Calibri"/>
                <w:sz w:val="18"/>
                <w:szCs w:val="18"/>
                <w:lang w:eastAsia="hr-HR"/>
              </w:rPr>
              <w:t>0</w:t>
            </w:r>
          </w:p>
        </w:tc>
        <w:tc>
          <w:tcPr>
            <w:tcW w:w="448" w:type="dxa"/>
            <w:gridSpan w:val="2"/>
            <w:tcBorders>
              <w:top w:val="nil"/>
              <w:left w:val="nil"/>
              <w:bottom w:val="single" w:sz="4" w:space="0" w:color="auto"/>
              <w:right w:val="single" w:sz="4" w:space="0" w:color="auto"/>
            </w:tcBorders>
            <w:shd w:val="clear" w:color="000000" w:fill="66FFCC"/>
            <w:noWrap/>
            <w:vAlign w:val="bottom"/>
            <w:hideMark/>
          </w:tcPr>
          <w:p w14:paraId="1A0DA9BE" w14:textId="77777777" w:rsidR="004566A6" w:rsidRPr="004566A6" w:rsidRDefault="004566A6" w:rsidP="004566A6">
            <w:pPr>
              <w:spacing w:after="0" w:line="240" w:lineRule="auto"/>
              <w:jc w:val="right"/>
              <w:rPr>
                <w:rFonts w:ascii="Calibri" w:eastAsia="Times New Roman" w:hAnsi="Calibri" w:cs="Calibri"/>
                <w:sz w:val="18"/>
                <w:szCs w:val="18"/>
                <w:lang w:eastAsia="hr-HR"/>
              </w:rPr>
            </w:pPr>
            <w:r w:rsidRPr="004566A6">
              <w:rPr>
                <w:rFonts w:ascii="Calibri" w:eastAsia="Times New Roman" w:hAnsi="Calibri" w:cs="Calibri"/>
                <w:sz w:val="18"/>
                <w:szCs w:val="18"/>
                <w:lang w:eastAsia="hr-HR"/>
              </w:rPr>
              <w:t>0</w:t>
            </w:r>
          </w:p>
        </w:tc>
        <w:tc>
          <w:tcPr>
            <w:tcW w:w="448" w:type="dxa"/>
            <w:tcBorders>
              <w:top w:val="nil"/>
              <w:left w:val="nil"/>
              <w:bottom w:val="single" w:sz="4" w:space="0" w:color="auto"/>
              <w:right w:val="single" w:sz="4" w:space="0" w:color="auto"/>
            </w:tcBorders>
            <w:shd w:val="clear" w:color="000000" w:fill="66FFCC"/>
            <w:noWrap/>
            <w:vAlign w:val="bottom"/>
            <w:hideMark/>
          </w:tcPr>
          <w:p w14:paraId="19358CEE" w14:textId="77777777" w:rsidR="004566A6" w:rsidRPr="004566A6" w:rsidRDefault="004566A6" w:rsidP="004566A6">
            <w:pPr>
              <w:spacing w:after="0" w:line="240" w:lineRule="auto"/>
              <w:jc w:val="right"/>
              <w:rPr>
                <w:rFonts w:ascii="Calibri" w:eastAsia="Times New Roman" w:hAnsi="Calibri" w:cs="Calibri"/>
                <w:sz w:val="18"/>
                <w:szCs w:val="18"/>
                <w:lang w:eastAsia="hr-HR"/>
              </w:rPr>
            </w:pPr>
            <w:r w:rsidRPr="004566A6">
              <w:rPr>
                <w:rFonts w:ascii="Calibri" w:eastAsia="Times New Roman" w:hAnsi="Calibri" w:cs="Calibri"/>
                <w:sz w:val="18"/>
                <w:szCs w:val="18"/>
                <w:lang w:eastAsia="hr-HR"/>
              </w:rPr>
              <w:t>0</w:t>
            </w:r>
          </w:p>
        </w:tc>
        <w:tc>
          <w:tcPr>
            <w:tcW w:w="448" w:type="dxa"/>
            <w:tcBorders>
              <w:top w:val="nil"/>
              <w:left w:val="nil"/>
              <w:bottom w:val="single" w:sz="4" w:space="0" w:color="auto"/>
              <w:right w:val="single" w:sz="4" w:space="0" w:color="auto"/>
            </w:tcBorders>
            <w:shd w:val="clear" w:color="000000" w:fill="66FFCC"/>
            <w:noWrap/>
            <w:vAlign w:val="bottom"/>
            <w:hideMark/>
          </w:tcPr>
          <w:p w14:paraId="366C5510" w14:textId="77777777" w:rsidR="004566A6" w:rsidRPr="004566A6" w:rsidRDefault="004566A6" w:rsidP="004566A6">
            <w:pPr>
              <w:spacing w:after="0" w:line="240" w:lineRule="auto"/>
              <w:jc w:val="right"/>
              <w:rPr>
                <w:rFonts w:ascii="Calibri" w:eastAsia="Times New Roman" w:hAnsi="Calibri" w:cs="Calibri"/>
                <w:sz w:val="18"/>
                <w:szCs w:val="18"/>
                <w:lang w:eastAsia="hr-HR"/>
              </w:rPr>
            </w:pPr>
            <w:r w:rsidRPr="004566A6">
              <w:rPr>
                <w:rFonts w:ascii="Calibri" w:eastAsia="Times New Roman" w:hAnsi="Calibri" w:cs="Calibri"/>
                <w:sz w:val="18"/>
                <w:szCs w:val="18"/>
                <w:lang w:eastAsia="hr-HR"/>
              </w:rPr>
              <w:t>0</w:t>
            </w:r>
          </w:p>
        </w:tc>
        <w:tc>
          <w:tcPr>
            <w:tcW w:w="476" w:type="dxa"/>
            <w:tcBorders>
              <w:top w:val="nil"/>
              <w:left w:val="nil"/>
              <w:bottom w:val="single" w:sz="4" w:space="0" w:color="auto"/>
              <w:right w:val="single" w:sz="4" w:space="0" w:color="auto"/>
            </w:tcBorders>
            <w:shd w:val="clear" w:color="000000" w:fill="66FFCC"/>
            <w:noWrap/>
            <w:vAlign w:val="bottom"/>
            <w:hideMark/>
          </w:tcPr>
          <w:p w14:paraId="75080F0A" w14:textId="77777777" w:rsidR="004566A6" w:rsidRPr="004566A6" w:rsidRDefault="004566A6" w:rsidP="004566A6">
            <w:pPr>
              <w:spacing w:after="0" w:line="240" w:lineRule="auto"/>
              <w:jc w:val="right"/>
              <w:rPr>
                <w:rFonts w:ascii="Calibri" w:eastAsia="Times New Roman" w:hAnsi="Calibri" w:cs="Calibri"/>
                <w:sz w:val="18"/>
                <w:szCs w:val="18"/>
                <w:lang w:eastAsia="hr-HR"/>
              </w:rPr>
            </w:pPr>
            <w:r w:rsidRPr="004566A6">
              <w:rPr>
                <w:rFonts w:ascii="Calibri" w:eastAsia="Times New Roman" w:hAnsi="Calibri" w:cs="Calibri"/>
                <w:sz w:val="18"/>
                <w:szCs w:val="18"/>
                <w:lang w:eastAsia="hr-HR"/>
              </w:rPr>
              <w:t>0</w:t>
            </w:r>
          </w:p>
        </w:tc>
        <w:tc>
          <w:tcPr>
            <w:tcW w:w="557" w:type="dxa"/>
            <w:gridSpan w:val="2"/>
            <w:tcBorders>
              <w:top w:val="nil"/>
              <w:left w:val="nil"/>
              <w:bottom w:val="single" w:sz="4" w:space="0" w:color="auto"/>
              <w:right w:val="single" w:sz="4" w:space="0" w:color="auto"/>
            </w:tcBorders>
            <w:shd w:val="clear" w:color="000000" w:fill="FFFF00"/>
            <w:vAlign w:val="center"/>
            <w:hideMark/>
          </w:tcPr>
          <w:p w14:paraId="5135F6BB" w14:textId="77777777" w:rsidR="004566A6" w:rsidRPr="004566A6" w:rsidRDefault="004566A6" w:rsidP="004566A6">
            <w:pPr>
              <w:spacing w:after="0" w:line="240" w:lineRule="auto"/>
              <w:jc w:val="center"/>
              <w:rPr>
                <w:rFonts w:ascii="Calibri" w:eastAsia="Times New Roman" w:hAnsi="Calibri" w:cs="Calibri"/>
                <w:sz w:val="18"/>
                <w:szCs w:val="18"/>
                <w:lang w:eastAsia="hr-HR"/>
              </w:rPr>
            </w:pPr>
            <w:r w:rsidRPr="004566A6">
              <w:rPr>
                <w:rFonts w:ascii="Calibri" w:eastAsia="Times New Roman" w:hAnsi="Calibri" w:cs="Calibri"/>
                <w:sz w:val="18"/>
                <w:szCs w:val="18"/>
                <w:lang w:eastAsia="hr-HR"/>
              </w:rPr>
              <w:t>1</w:t>
            </w:r>
          </w:p>
        </w:tc>
        <w:tc>
          <w:tcPr>
            <w:tcW w:w="515" w:type="dxa"/>
            <w:gridSpan w:val="2"/>
            <w:tcBorders>
              <w:top w:val="nil"/>
              <w:left w:val="nil"/>
              <w:bottom w:val="single" w:sz="4" w:space="0" w:color="auto"/>
              <w:right w:val="single" w:sz="4" w:space="0" w:color="auto"/>
            </w:tcBorders>
            <w:shd w:val="clear" w:color="000000" w:fill="FFFF99"/>
            <w:vAlign w:val="center"/>
            <w:hideMark/>
          </w:tcPr>
          <w:p w14:paraId="1E4746C4" w14:textId="77777777" w:rsidR="004566A6" w:rsidRPr="004566A6" w:rsidRDefault="004566A6" w:rsidP="004566A6">
            <w:pPr>
              <w:spacing w:after="0" w:line="240" w:lineRule="auto"/>
              <w:jc w:val="center"/>
              <w:rPr>
                <w:rFonts w:ascii="Calibri" w:eastAsia="Times New Roman" w:hAnsi="Calibri" w:cs="Calibri"/>
                <w:sz w:val="18"/>
                <w:szCs w:val="18"/>
                <w:lang w:eastAsia="hr-HR"/>
              </w:rPr>
            </w:pPr>
            <w:r w:rsidRPr="004566A6">
              <w:rPr>
                <w:rFonts w:ascii="Calibri" w:eastAsia="Times New Roman" w:hAnsi="Calibri" w:cs="Calibri"/>
                <w:sz w:val="18"/>
                <w:szCs w:val="18"/>
                <w:lang w:eastAsia="hr-HR"/>
              </w:rPr>
              <w:t>0</w:t>
            </w:r>
          </w:p>
        </w:tc>
        <w:tc>
          <w:tcPr>
            <w:tcW w:w="855" w:type="dxa"/>
            <w:gridSpan w:val="2"/>
            <w:tcBorders>
              <w:top w:val="nil"/>
              <w:left w:val="nil"/>
              <w:bottom w:val="single" w:sz="4" w:space="0" w:color="auto"/>
              <w:right w:val="single" w:sz="4" w:space="0" w:color="auto"/>
            </w:tcBorders>
            <w:shd w:val="clear" w:color="000000" w:fill="FF9900"/>
            <w:vAlign w:val="center"/>
            <w:hideMark/>
          </w:tcPr>
          <w:p w14:paraId="2F729715" w14:textId="77777777" w:rsidR="004566A6" w:rsidRPr="004566A6" w:rsidRDefault="004566A6" w:rsidP="004566A6">
            <w:pPr>
              <w:spacing w:after="0" w:line="240" w:lineRule="auto"/>
              <w:jc w:val="center"/>
              <w:rPr>
                <w:rFonts w:ascii="Calibri" w:eastAsia="Times New Roman" w:hAnsi="Calibri" w:cs="Calibri"/>
                <w:sz w:val="18"/>
                <w:szCs w:val="18"/>
                <w:lang w:eastAsia="hr-HR"/>
              </w:rPr>
            </w:pPr>
            <w:r w:rsidRPr="004566A6">
              <w:rPr>
                <w:rFonts w:ascii="Calibri" w:eastAsia="Times New Roman" w:hAnsi="Calibri" w:cs="Calibri"/>
                <w:sz w:val="18"/>
                <w:szCs w:val="18"/>
                <w:lang w:eastAsia="hr-HR"/>
              </w:rPr>
              <w:t>0</w:t>
            </w:r>
          </w:p>
        </w:tc>
        <w:tc>
          <w:tcPr>
            <w:tcW w:w="445" w:type="dxa"/>
            <w:gridSpan w:val="2"/>
            <w:tcBorders>
              <w:top w:val="nil"/>
              <w:left w:val="nil"/>
              <w:bottom w:val="single" w:sz="4" w:space="0" w:color="auto"/>
              <w:right w:val="single" w:sz="4" w:space="0" w:color="auto"/>
            </w:tcBorders>
            <w:shd w:val="clear" w:color="000000" w:fill="CCFFFF"/>
            <w:vAlign w:val="bottom"/>
            <w:hideMark/>
          </w:tcPr>
          <w:p w14:paraId="5A1ADE37" w14:textId="77777777" w:rsidR="004566A6" w:rsidRPr="004566A6" w:rsidRDefault="004566A6" w:rsidP="004566A6">
            <w:pPr>
              <w:spacing w:after="0" w:line="240" w:lineRule="auto"/>
              <w:jc w:val="right"/>
              <w:rPr>
                <w:rFonts w:ascii="Calibri" w:eastAsia="Times New Roman" w:hAnsi="Calibri" w:cs="Calibri"/>
                <w:sz w:val="18"/>
                <w:szCs w:val="18"/>
                <w:lang w:eastAsia="hr-HR"/>
              </w:rPr>
            </w:pPr>
            <w:r w:rsidRPr="004566A6">
              <w:rPr>
                <w:rFonts w:ascii="Calibri" w:eastAsia="Times New Roman" w:hAnsi="Calibri" w:cs="Calibri"/>
                <w:sz w:val="18"/>
                <w:szCs w:val="18"/>
                <w:lang w:eastAsia="hr-HR"/>
              </w:rPr>
              <w:t>0</w:t>
            </w:r>
          </w:p>
        </w:tc>
        <w:tc>
          <w:tcPr>
            <w:tcW w:w="445" w:type="dxa"/>
            <w:tcBorders>
              <w:top w:val="nil"/>
              <w:left w:val="nil"/>
              <w:bottom w:val="single" w:sz="4" w:space="0" w:color="auto"/>
              <w:right w:val="single" w:sz="4" w:space="0" w:color="auto"/>
            </w:tcBorders>
            <w:shd w:val="clear" w:color="000000" w:fill="CCFFFF"/>
            <w:vAlign w:val="bottom"/>
            <w:hideMark/>
          </w:tcPr>
          <w:p w14:paraId="53CBB8CC" w14:textId="77777777" w:rsidR="004566A6" w:rsidRPr="004566A6" w:rsidRDefault="004566A6" w:rsidP="004566A6">
            <w:pPr>
              <w:spacing w:after="0" w:line="240" w:lineRule="auto"/>
              <w:jc w:val="right"/>
              <w:rPr>
                <w:rFonts w:ascii="Calibri" w:eastAsia="Times New Roman" w:hAnsi="Calibri" w:cs="Calibri"/>
                <w:sz w:val="18"/>
                <w:szCs w:val="18"/>
                <w:lang w:eastAsia="hr-HR"/>
              </w:rPr>
            </w:pPr>
            <w:r w:rsidRPr="004566A6">
              <w:rPr>
                <w:rFonts w:ascii="Calibri" w:eastAsia="Times New Roman" w:hAnsi="Calibri" w:cs="Calibri"/>
                <w:sz w:val="18"/>
                <w:szCs w:val="18"/>
                <w:lang w:eastAsia="hr-HR"/>
              </w:rPr>
              <w:t>0</w:t>
            </w:r>
          </w:p>
        </w:tc>
        <w:tc>
          <w:tcPr>
            <w:tcW w:w="505" w:type="dxa"/>
            <w:tcBorders>
              <w:top w:val="nil"/>
              <w:left w:val="nil"/>
              <w:bottom w:val="single" w:sz="4" w:space="0" w:color="auto"/>
              <w:right w:val="single" w:sz="4" w:space="0" w:color="auto"/>
            </w:tcBorders>
            <w:shd w:val="clear" w:color="000000" w:fill="CCFFFF"/>
            <w:vAlign w:val="bottom"/>
            <w:hideMark/>
          </w:tcPr>
          <w:p w14:paraId="497D5BA0" w14:textId="77777777" w:rsidR="004566A6" w:rsidRPr="004566A6" w:rsidRDefault="004566A6" w:rsidP="004566A6">
            <w:pPr>
              <w:spacing w:after="0" w:line="240" w:lineRule="auto"/>
              <w:jc w:val="right"/>
              <w:rPr>
                <w:rFonts w:ascii="Calibri" w:eastAsia="Times New Roman" w:hAnsi="Calibri" w:cs="Calibri"/>
                <w:sz w:val="18"/>
                <w:szCs w:val="18"/>
                <w:lang w:eastAsia="hr-HR"/>
              </w:rPr>
            </w:pPr>
            <w:r w:rsidRPr="004566A6">
              <w:rPr>
                <w:rFonts w:ascii="Calibri" w:eastAsia="Times New Roman" w:hAnsi="Calibri" w:cs="Calibri"/>
                <w:sz w:val="18"/>
                <w:szCs w:val="18"/>
                <w:lang w:eastAsia="hr-HR"/>
              </w:rPr>
              <w:t>0</w:t>
            </w:r>
          </w:p>
        </w:tc>
        <w:tc>
          <w:tcPr>
            <w:tcW w:w="797" w:type="dxa"/>
            <w:gridSpan w:val="2"/>
            <w:tcBorders>
              <w:top w:val="nil"/>
              <w:left w:val="nil"/>
              <w:bottom w:val="single" w:sz="4" w:space="0" w:color="auto"/>
              <w:right w:val="nil"/>
            </w:tcBorders>
            <w:shd w:val="clear" w:color="000000" w:fill="33CCCC"/>
            <w:noWrap/>
            <w:vAlign w:val="bottom"/>
            <w:hideMark/>
          </w:tcPr>
          <w:p w14:paraId="6930EA14" w14:textId="77777777" w:rsidR="004566A6" w:rsidRPr="004566A6" w:rsidRDefault="004566A6" w:rsidP="004566A6">
            <w:pPr>
              <w:spacing w:after="0" w:line="240" w:lineRule="auto"/>
              <w:jc w:val="right"/>
              <w:rPr>
                <w:rFonts w:ascii="Calibri" w:eastAsia="Times New Roman" w:hAnsi="Calibri" w:cs="Calibri"/>
                <w:sz w:val="18"/>
                <w:szCs w:val="18"/>
                <w:lang w:eastAsia="hr-HR"/>
              </w:rPr>
            </w:pPr>
            <w:r w:rsidRPr="004566A6">
              <w:rPr>
                <w:rFonts w:ascii="Calibri" w:eastAsia="Times New Roman" w:hAnsi="Calibri" w:cs="Calibri"/>
                <w:sz w:val="18"/>
                <w:szCs w:val="18"/>
                <w:lang w:eastAsia="hr-HR"/>
              </w:rPr>
              <w:t>0</w:t>
            </w:r>
          </w:p>
        </w:tc>
        <w:tc>
          <w:tcPr>
            <w:tcW w:w="425" w:type="dxa"/>
            <w:gridSpan w:val="3"/>
            <w:tcBorders>
              <w:top w:val="nil"/>
              <w:left w:val="single" w:sz="4" w:space="0" w:color="auto"/>
              <w:bottom w:val="single" w:sz="4" w:space="0" w:color="auto"/>
              <w:right w:val="nil"/>
            </w:tcBorders>
            <w:shd w:val="clear" w:color="000000" w:fill="33CCCC"/>
            <w:noWrap/>
            <w:vAlign w:val="bottom"/>
            <w:hideMark/>
          </w:tcPr>
          <w:p w14:paraId="1491031F" w14:textId="77777777" w:rsidR="004566A6" w:rsidRPr="004566A6" w:rsidRDefault="004566A6" w:rsidP="004566A6">
            <w:pPr>
              <w:spacing w:after="0" w:line="240" w:lineRule="auto"/>
              <w:jc w:val="right"/>
              <w:rPr>
                <w:rFonts w:ascii="Calibri" w:eastAsia="Times New Roman" w:hAnsi="Calibri" w:cs="Calibri"/>
                <w:sz w:val="18"/>
                <w:szCs w:val="18"/>
                <w:lang w:eastAsia="hr-HR"/>
              </w:rPr>
            </w:pPr>
            <w:r w:rsidRPr="004566A6">
              <w:rPr>
                <w:rFonts w:ascii="Calibri" w:eastAsia="Times New Roman" w:hAnsi="Calibri" w:cs="Calibri"/>
                <w:sz w:val="18"/>
                <w:szCs w:val="18"/>
                <w:lang w:eastAsia="hr-HR"/>
              </w:rPr>
              <w:t>1</w:t>
            </w:r>
          </w:p>
        </w:tc>
        <w:tc>
          <w:tcPr>
            <w:tcW w:w="236" w:type="dxa"/>
            <w:gridSpan w:val="2"/>
            <w:vAlign w:val="center"/>
            <w:hideMark/>
          </w:tcPr>
          <w:p w14:paraId="1A31676C" w14:textId="77777777" w:rsidR="004566A6" w:rsidRPr="004566A6" w:rsidRDefault="004566A6" w:rsidP="004566A6">
            <w:pPr>
              <w:spacing w:after="0" w:line="240" w:lineRule="auto"/>
              <w:rPr>
                <w:rFonts w:ascii="Times New Roman" w:eastAsia="Times New Roman" w:hAnsi="Times New Roman" w:cs="Times New Roman"/>
                <w:sz w:val="18"/>
                <w:szCs w:val="18"/>
                <w:lang w:eastAsia="hr-HR"/>
              </w:rPr>
            </w:pPr>
          </w:p>
        </w:tc>
      </w:tr>
      <w:tr w:rsidR="003D0C85" w:rsidRPr="004566A6" w14:paraId="10EA549D" w14:textId="77777777" w:rsidTr="003D0C85">
        <w:trPr>
          <w:trHeight w:val="300"/>
        </w:trPr>
        <w:tc>
          <w:tcPr>
            <w:tcW w:w="1397" w:type="dxa"/>
            <w:tcBorders>
              <w:top w:val="single" w:sz="4" w:space="0" w:color="auto"/>
              <w:left w:val="single" w:sz="8" w:space="0" w:color="auto"/>
              <w:bottom w:val="single" w:sz="4" w:space="0" w:color="auto"/>
              <w:right w:val="single" w:sz="4" w:space="0" w:color="auto"/>
            </w:tcBorders>
            <w:shd w:val="clear" w:color="000000" w:fill="CCFFCC"/>
            <w:vAlign w:val="center"/>
            <w:hideMark/>
          </w:tcPr>
          <w:p w14:paraId="249EE768" w14:textId="77777777" w:rsidR="004566A6" w:rsidRPr="004566A6" w:rsidRDefault="004566A6" w:rsidP="004566A6">
            <w:pPr>
              <w:spacing w:after="0" w:line="240" w:lineRule="auto"/>
              <w:jc w:val="center"/>
              <w:rPr>
                <w:rFonts w:ascii="Calibri" w:eastAsia="Times New Roman" w:hAnsi="Calibri" w:cs="Calibri"/>
                <w:sz w:val="18"/>
                <w:szCs w:val="18"/>
                <w:lang w:eastAsia="hr-HR"/>
              </w:rPr>
            </w:pPr>
            <w:r w:rsidRPr="004566A6">
              <w:rPr>
                <w:rFonts w:ascii="Calibri" w:eastAsia="Times New Roman" w:hAnsi="Calibri" w:cs="Calibri"/>
                <w:sz w:val="18"/>
                <w:szCs w:val="18"/>
                <w:lang w:eastAsia="hr-HR"/>
              </w:rPr>
              <w:t>Invaliditet</w:t>
            </w:r>
          </w:p>
        </w:tc>
        <w:tc>
          <w:tcPr>
            <w:tcW w:w="576" w:type="dxa"/>
            <w:tcBorders>
              <w:top w:val="nil"/>
              <w:left w:val="nil"/>
              <w:bottom w:val="single" w:sz="4" w:space="0" w:color="auto"/>
              <w:right w:val="single" w:sz="4" w:space="0" w:color="auto"/>
            </w:tcBorders>
            <w:shd w:val="clear" w:color="000000" w:fill="CCFFCC"/>
            <w:vAlign w:val="center"/>
            <w:hideMark/>
          </w:tcPr>
          <w:p w14:paraId="7F204BEE" w14:textId="77777777" w:rsidR="004566A6" w:rsidRPr="004566A6" w:rsidRDefault="004566A6" w:rsidP="004566A6">
            <w:pPr>
              <w:spacing w:after="0" w:line="240" w:lineRule="auto"/>
              <w:jc w:val="center"/>
              <w:rPr>
                <w:rFonts w:ascii="Calibri" w:eastAsia="Times New Roman" w:hAnsi="Calibri" w:cs="Calibri"/>
                <w:sz w:val="18"/>
                <w:szCs w:val="18"/>
                <w:lang w:eastAsia="hr-HR"/>
              </w:rPr>
            </w:pPr>
            <w:r w:rsidRPr="004566A6">
              <w:rPr>
                <w:rFonts w:ascii="Calibri" w:eastAsia="Times New Roman" w:hAnsi="Calibri" w:cs="Calibri"/>
                <w:sz w:val="18"/>
                <w:szCs w:val="18"/>
                <w:lang w:eastAsia="hr-HR"/>
              </w:rPr>
              <w:t>1</w:t>
            </w:r>
          </w:p>
        </w:tc>
        <w:tc>
          <w:tcPr>
            <w:tcW w:w="444" w:type="dxa"/>
            <w:tcBorders>
              <w:top w:val="nil"/>
              <w:left w:val="nil"/>
              <w:bottom w:val="single" w:sz="4" w:space="0" w:color="auto"/>
              <w:right w:val="single" w:sz="4" w:space="0" w:color="auto"/>
            </w:tcBorders>
            <w:shd w:val="clear" w:color="000000" w:fill="FFCC99"/>
            <w:noWrap/>
            <w:vAlign w:val="bottom"/>
            <w:hideMark/>
          </w:tcPr>
          <w:p w14:paraId="150DF0C9" w14:textId="77777777" w:rsidR="004566A6" w:rsidRPr="004566A6" w:rsidRDefault="004566A6" w:rsidP="004566A6">
            <w:pPr>
              <w:spacing w:after="0" w:line="240" w:lineRule="auto"/>
              <w:jc w:val="center"/>
              <w:rPr>
                <w:rFonts w:ascii="Calibri" w:eastAsia="Times New Roman" w:hAnsi="Calibri" w:cs="Calibri"/>
                <w:sz w:val="18"/>
                <w:szCs w:val="18"/>
                <w:lang w:eastAsia="hr-HR"/>
              </w:rPr>
            </w:pPr>
            <w:r w:rsidRPr="004566A6">
              <w:rPr>
                <w:rFonts w:ascii="Calibri" w:eastAsia="Times New Roman" w:hAnsi="Calibri" w:cs="Calibri"/>
                <w:sz w:val="18"/>
                <w:szCs w:val="18"/>
                <w:lang w:eastAsia="hr-HR"/>
              </w:rPr>
              <w:t>1</w:t>
            </w:r>
          </w:p>
        </w:tc>
        <w:tc>
          <w:tcPr>
            <w:tcW w:w="405" w:type="dxa"/>
            <w:tcBorders>
              <w:top w:val="nil"/>
              <w:left w:val="nil"/>
              <w:bottom w:val="single" w:sz="4" w:space="0" w:color="auto"/>
              <w:right w:val="single" w:sz="4" w:space="0" w:color="auto"/>
            </w:tcBorders>
            <w:shd w:val="clear" w:color="000000" w:fill="CCFFFF"/>
            <w:noWrap/>
            <w:vAlign w:val="bottom"/>
            <w:hideMark/>
          </w:tcPr>
          <w:p w14:paraId="52DB044B" w14:textId="77777777" w:rsidR="004566A6" w:rsidRPr="004566A6" w:rsidRDefault="004566A6" w:rsidP="004566A6">
            <w:pPr>
              <w:spacing w:after="0" w:line="240" w:lineRule="auto"/>
              <w:jc w:val="right"/>
              <w:rPr>
                <w:rFonts w:ascii="Calibri" w:eastAsia="Times New Roman" w:hAnsi="Calibri" w:cs="Calibri"/>
                <w:sz w:val="18"/>
                <w:szCs w:val="18"/>
                <w:lang w:eastAsia="hr-HR"/>
              </w:rPr>
            </w:pPr>
            <w:r w:rsidRPr="004566A6">
              <w:rPr>
                <w:rFonts w:ascii="Calibri" w:eastAsia="Times New Roman" w:hAnsi="Calibri" w:cs="Calibri"/>
                <w:sz w:val="18"/>
                <w:szCs w:val="18"/>
                <w:lang w:eastAsia="hr-HR"/>
              </w:rPr>
              <w:t>0</w:t>
            </w:r>
          </w:p>
        </w:tc>
        <w:tc>
          <w:tcPr>
            <w:tcW w:w="462" w:type="dxa"/>
            <w:tcBorders>
              <w:top w:val="nil"/>
              <w:left w:val="nil"/>
              <w:bottom w:val="single" w:sz="4" w:space="0" w:color="auto"/>
              <w:right w:val="single" w:sz="4" w:space="0" w:color="auto"/>
            </w:tcBorders>
            <w:shd w:val="clear" w:color="000000" w:fill="CCFFFF"/>
            <w:noWrap/>
            <w:vAlign w:val="bottom"/>
            <w:hideMark/>
          </w:tcPr>
          <w:p w14:paraId="374090B5" w14:textId="77777777" w:rsidR="004566A6" w:rsidRPr="004566A6" w:rsidRDefault="004566A6" w:rsidP="004566A6">
            <w:pPr>
              <w:spacing w:after="0" w:line="240" w:lineRule="auto"/>
              <w:jc w:val="right"/>
              <w:rPr>
                <w:rFonts w:ascii="Calibri" w:eastAsia="Times New Roman" w:hAnsi="Calibri" w:cs="Calibri"/>
                <w:sz w:val="18"/>
                <w:szCs w:val="18"/>
                <w:lang w:eastAsia="hr-HR"/>
              </w:rPr>
            </w:pPr>
            <w:r w:rsidRPr="004566A6">
              <w:rPr>
                <w:rFonts w:ascii="Calibri" w:eastAsia="Times New Roman" w:hAnsi="Calibri" w:cs="Calibri"/>
                <w:sz w:val="18"/>
                <w:szCs w:val="18"/>
                <w:lang w:eastAsia="hr-HR"/>
              </w:rPr>
              <w:t>0</w:t>
            </w:r>
          </w:p>
        </w:tc>
        <w:tc>
          <w:tcPr>
            <w:tcW w:w="455" w:type="dxa"/>
            <w:tcBorders>
              <w:top w:val="nil"/>
              <w:left w:val="nil"/>
              <w:bottom w:val="single" w:sz="4" w:space="0" w:color="auto"/>
              <w:right w:val="single" w:sz="4" w:space="0" w:color="auto"/>
            </w:tcBorders>
            <w:shd w:val="clear" w:color="000000" w:fill="FFFF99"/>
            <w:noWrap/>
            <w:vAlign w:val="bottom"/>
            <w:hideMark/>
          </w:tcPr>
          <w:p w14:paraId="42FC32F7" w14:textId="77777777" w:rsidR="004566A6" w:rsidRPr="004566A6" w:rsidRDefault="004566A6" w:rsidP="004566A6">
            <w:pPr>
              <w:spacing w:after="0" w:line="240" w:lineRule="auto"/>
              <w:jc w:val="center"/>
              <w:rPr>
                <w:rFonts w:ascii="Calibri" w:eastAsia="Times New Roman" w:hAnsi="Calibri" w:cs="Calibri"/>
                <w:sz w:val="18"/>
                <w:szCs w:val="18"/>
                <w:lang w:eastAsia="hr-HR"/>
              </w:rPr>
            </w:pPr>
            <w:r w:rsidRPr="004566A6">
              <w:rPr>
                <w:rFonts w:ascii="Calibri" w:eastAsia="Times New Roman" w:hAnsi="Calibri" w:cs="Calibri"/>
                <w:sz w:val="18"/>
                <w:szCs w:val="18"/>
                <w:lang w:eastAsia="hr-HR"/>
              </w:rPr>
              <w:t>0</w:t>
            </w:r>
          </w:p>
        </w:tc>
        <w:tc>
          <w:tcPr>
            <w:tcW w:w="567" w:type="dxa"/>
            <w:tcBorders>
              <w:top w:val="nil"/>
              <w:left w:val="nil"/>
              <w:bottom w:val="single" w:sz="4" w:space="0" w:color="auto"/>
              <w:right w:val="single" w:sz="4" w:space="0" w:color="auto"/>
            </w:tcBorders>
            <w:shd w:val="clear" w:color="000000" w:fill="FFFF99"/>
            <w:noWrap/>
            <w:vAlign w:val="bottom"/>
            <w:hideMark/>
          </w:tcPr>
          <w:p w14:paraId="603C04F2" w14:textId="77777777" w:rsidR="004566A6" w:rsidRPr="004566A6" w:rsidRDefault="004566A6" w:rsidP="004566A6">
            <w:pPr>
              <w:spacing w:after="0" w:line="240" w:lineRule="auto"/>
              <w:jc w:val="center"/>
              <w:rPr>
                <w:rFonts w:ascii="Calibri" w:eastAsia="Times New Roman" w:hAnsi="Calibri" w:cs="Calibri"/>
                <w:sz w:val="18"/>
                <w:szCs w:val="18"/>
                <w:lang w:eastAsia="hr-HR"/>
              </w:rPr>
            </w:pPr>
            <w:r w:rsidRPr="004566A6">
              <w:rPr>
                <w:rFonts w:ascii="Calibri" w:eastAsia="Times New Roman" w:hAnsi="Calibri" w:cs="Calibri"/>
                <w:sz w:val="18"/>
                <w:szCs w:val="18"/>
                <w:lang w:eastAsia="hr-HR"/>
              </w:rPr>
              <w:t>0</w:t>
            </w:r>
          </w:p>
        </w:tc>
        <w:tc>
          <w:tcPr>
            <w:tcW w:w="708" w:type="dxa"/>
            <w:tcBorders>
              <w:top w:val="nil"/>
              <w:left w:val="nil"/>
              <w:bottom w:val="single" w:sz="4" w:space="0" w:color="auto"/>
              <w:right w:val="single" w:sz="4" w:space="0" w:color="auto"/>
            </w:tcBorders>
            <w:shd w:val="clear" w:color="000000" w:fill="FFFF99"/>
            <w:noWrap/>
            <w:vAlign w:val="bottom"/>
            <w:hideMark/>
          </w:tcPr>
          <w:p w14:paraId="7996A23C" w14:textId="77777777" w:rsidR="004566A6" w:rsidRPr="004566A6" w:rsidRDefault="004566A6" w:rsidP="004566A6">
            <w:pPr>
              <w:spacing w:after="0" w:line="240" w:lineRule="auto"/>
              <w:jc w:val="center"/>
              <w:rPr>
                <w:rFonts w:ascii="Calibri" w:eastAsia="Times New Roman" w:hAnsi="Calibri" w:cs="Calibri"/>
                <w:sz w:val="18"/>
                <w:szCs w:val="18"/>
                <w:lang w:eastAsia="hr-HR"/>
              </w:rPr>
            </w:pPr>
            <w:r w:rsidRPr="004566A6">
              <w:rPr>
                <w:rFonts w:ascii="Calibri" w:eastAsia="Times New Roman" w:hAnsi="Calibri" w:cs="Calibri"/>
                <w:sz w:val="18"/>
                <w:szCs w:val="18"/>
                <w:lang w:eastAsia="hr-HR"/>
              </w:rPr>
              <w:t>0</w:t>
            </w:r>
          </w:p>
        </w:tc>
        <w:tc>
          <w:tcPr>
            <w:tcW w:w="448" w:type="dxa"/>
            <w:tcBorders>
              <w:top w:val="nil"/>
              <w:left w:val="nil"/>
              <w:bottom w:val="single" w:sz="4" w:space="0" w:color="auto"/>
              <w:right w:val="single" w:sz="4" w:space="0" w:color="auto"/>
            </w:tcBorders>
            <w:shd w:val="clear" w:color="000000" w:fill="FFFF99"/>
            <w:noWrap/>
            <w:vAlign w:val="bottom"/>
            <w:hideMark/>
          </w:tcPr>
          <w:p w14:paraId="22DACE56" w14:textId="77777777" w:rsidR="004566A6" w:rsidRPr="004566A6" w:rsidRDefault="004566A6" w:rsidP="004566A6">
            <w:pPr>
              <w:spacing w:after="0" w:line="240" w:lineRule="auto"/>
              <w:jc w:val="center"/>
              <w:rPr>
                <w:rFonts w:ascii="Calibri" w:eastAsia="Times New Roman" w:hAnsi="Calibri" w:cs="Calibri"/>
                <w:sz w:val="18"/>
                <w:szCs w:val="18"/>
                <w:lang w:eastAsia="hr-HR"/>
              </w:rPr>
            </w:pPr>
            <w:r w:rsidRPr="004566A6">
              <w:rPr>
                <w:rFonts w:ascii="Calibri" w:eastAsia="Times New Roman" w:hAnsi="Calibri" w:cs="Calibri"/>
                <w:sz w:val="18"/>
                <w:szCs w:val="18"/>
                <w:lang w:eastAsia="hr-HR"/>
              </w:rPr>
              <w:t>1</w:t>
            </w:r>
          </w:p>
        </w:tc>
        <w:tc>
          <w:tcPr>
            <w:tcW w:w="680" w:type="dxa"/>
            <w:tcBorders>
              <w:top w:val="nil"/>
              <w:left w:val="nil"/>
              <w:bottom w:val="single" w:sz="4" w:space="0" w:color="auto"/>
              <w:right w:val="single" w:sz="4" w:space="0" w:color="auto"/>
            </w:tcBorders>
            <w:shd w:val="clear" w:color="000000" w:fill="FFFF99"/>
            <w:noWrap/>
            <w:vAlign w:val="bottom"/>
            <w:hideMark/>
          </w:tcPr>
          <w:p w14:paraId="3F2A7A81" w14:textId="77777777" w:rsidR="004566A6" w:rsidRPr="004566A6" w:rsidRDefault="004566A6" w:rsidP="004566A6">
            <w:pPr>
              <w:spacing w:after="0" w:line="240" w:lineRule="auto"/>
              <w:jc w:val="center"/>
              <w:rPr>
                <w:rFonts w:ascii="Calibri" w:eastAsia="Times New Roman" w:hAnsi="Calibri" w:cs="Calibri"/>
                <w:sz w:val="18"/>
                <w:szCs w:val="18"/>
                <w:lang w:eastAsia="hr-HR"/>
              </w:rPr>
            </w:pPr>
            <w:r w:rsidRPr="004566A6">
              <w:rPr>
                <w:rFonts w:ascii="Calibri" w:eastAsia="Times New Roman" w:hAnsi="Calibri" w:cs="Calibri"/>
                <w:sz w:val="18"/>
                <w:szCs w:val="18"/>
                <w:lang w:eastAsia="hr-HR"/>
              </w:rPr>
              <w:t>0</w:t>
            </w:r>
          </w:p>
        </w:tc>
        <w:tc>
          <w:tcPr>
            <w:tcW w:w="573" w:type="dxa"/>
            <w:gridSpan w:val="2"/>
            <w:tcBorders>
              <w:top w:val="nil"/>
              <w:left w:val="nil"/>
              <w:bottom w:val="single" w:sz="4" w:space="0" w:color="auto"/>
              <w:right w:val="single" w:sz="4" w:space="0" w:color="auto"/>
            </w:tcBorders>
            <w:shd w:val="clear" w:color="000000" w:fill="FF9900"/>
            <w:noWrap/>
            <w:vAlign w:val="bottom"/>
            <w:hideMark/>
          </w:tcPr>
          <w:p w14:paraId="5BAA88B8" w14:textId="77777777" w:rsidR="004566A6" w:rsidRPr="004566A6" w:rsidRDefault="004566A6" w:rsidP="004566A6">
            <w:pPr>
              <w:spacing w:after="0" w:line="240" w:lineRule="auto"/>
              <w:jc w:val="right"/>
              <w:rPr>
                <w:rFonts w:ascii="Calibri" w:eastAsia="Times New Roman" w:hAnsi="Calibri" w:cs="Calibri"/>
                <w:sz w:val="18"/>
                <w:szCs w:val="18"/>
                <w:lang w:eastAsia="hr-HR"/>
              </w:rPr>
            </w:pPr>
            <w:r w:rsidRPr="004566A6">
              <w:rPr>
                <w:rFonts w:ascii="Calibri" w:eastAsia="Times New Roman" w:hAnsi="Calibri" w:cs="Calibri"/>
                <w:sz w:val="18"/>
                <w:szCs w:val="18"/>
                <w:lang w:eastAsia="hr-HR"/>
              </w:rPr>
              <w:t>0</w:t>
            </w:r>
          </w:p>
        </w:tc>
        <w:tc>
          <w:tcPr>
            <w:tcW w:w="567" w:type="dxa"/>
            <w:tcBorders>
              <w:top w:val="nil"/>
              <w:left w:val="nil"/>
              <w:bottom w:val="single" w:sz="4" w:space="0" w:color="auto"/>
              <w:right w:val="single" w:sz="4" w:space="0" w:color="auto"/>
            </w:tcBorders>
            <w:shd w:val="clear" w:color="000000" w:fill="FF9900"/>
            <w:noWrap/>
            <w:vAlign w:val="bottom"/>
            <w:hideMark/>
          </w:tcPr>
          <w:p w14:paraId="384BDD3A" w14:textId="77777777" w:rsidR="004566A6" w:rsidRPr="004566A6" w:rsidRDefault="004566A6" w:rsidP="004566A6">
            <w:pPr>
              <w:spacing w:after="0" w:line="240" w:lineRule="auto"/>
              <w:jc w:val="right"/>
              <w:rPr>
                <w:rFonts w:ascii="Calibri" w:eastAsia="Times New Roman" w:hAnsi="Calibri" w:cs="Calibri"/>
                <w:sz w:val="18"/>
                <w:szCs w:val="18"/>
                <w:lang w:eastAsia="hr-HR"/>
              </w:rPr>
            </w:pPr>
            <w:r w:rsidRPr="004566A6">
              <w:rPr>
                <w:rFonts w:ascii="Calibri" w:eastAsia="Times New Roman" w:hAnsi="Calibri" w:cs="Calibri"/>
                <w:sz w:val="18"/>
                <w:szCs w:val="18"/>
                <w:lang w:eastAsia="hr-HR"/>
              </w:rPr>
              <w:t>2</w:t>
            </w:r>
          </w:p>
        </w:tc>
        <w:tc>
          <w:tcPr>
            <w:tcW w:w="448" w:type="dxa"/>
            <w:tcBorders>
              <w:top w:val="nil"/>
              <w:left w:val="nil"/>
              <w:bottom w:val="single" w:sz="4" w:space="0" w:color="auto"/>
              <w:right w:val="single" w:sz="4" w:space="0" w:color="auto"/>
            </w:tcBorders>
            <w:shd w:val="clear" w:color="000000" w:fill="FF9900"/>
            <w:noWrap/>
            <w:vAlign w:val="bottom"/>
            <w:hideMark/>
          </w:tcPr>
          <w:p w14:paraId="5172C081" w14:textId="77777777" w:rsidR="004566A6" w:rsidRPr="004566A6" w:rsidRDefault="004566A6" w:rsidP="004566A6">
            <w:pPr>
              <w:spacing w:after="0" w:line="240" w:lineRule="auto"/>
              <w:jc w:val="right"/>
              <w:rPr>
                <w:rFonts w:ascii="Calibri" w:eastAsia="Times New Roman" w:hAnsi="Calibri" w:cs="Calibri"/>
                <w:sz w:val="18"/>
                <w:szCs w:val="18"/>
                <w:lang w:eastAsia="hr-HR"/>
              </w:rPr>
            </w:pPr>
            <w:r w:rsidRPr="004566A6">
              <w:rPr>
                <w:rFonts w:ascii="Calibri" w:eastAsia="Times New Roman" w:hAnsi="Calibri" w:cs="Calibri"/>
                <w:sz w:val="18"/>
                <w:szCs w:val="18"/>
                <w:lang w:eastAsia="hr-HR"/>
              </w:rPr>
              <w:t>0</w:t>
            </w:r>
          </w:p>
        </w:tc>
        <w:tc>
          <w:tcPr>
            <w:tcW w:w="448" w:type="dxa"/>
            <w:gridSpan w:val="2"/>
            <w:tcBorders>
              <w:top w:val="nil"/>
              <w:left w:val="nil"/>
              <w:bottom w:val="single" w:sz="4" w:space="0" w:color="auto"/>
              <w:right w:val="single" w:sz="4" w:space="0" w:color="auto"/>
            </w:tcBorders>
            <w:shd w:val="clear" w:color="000000" w:fill="66FFCC"/>
            <w:noWrap/>
            <w:vAlign w:val="bottom"/>
            <w:hideMark/>
          </w:tcPr>
          <w:p w14:paraId="3A4FE4D0" w14:textId="77777777" w:rsidR="004566A6" w:rsidRPr="004566A6" w:rsidRDefault="004566A6" w:rsidP="004566A6">
            <w:pPr>
              <w:spacing w:after="0" w:line="240" w:lineRule="auto"/>
              <w:jc w:val="right"/>
              <w:rPr>
                <w:rFonts w:ascii="Calibri" w:eastAsia="Times New Roman" w:hAnsi="Calibri" w:cs="Calibri"/>
                <w:sz w:val="18"/>
                <w:szCs w:val="18"/>
                <w:lang w:eastAsia="hr-HR"/>
              </w:rPr>
            </w:pPr>
            <w:r w:rsidRPr="004566A6">
              <w:rPr>
                <w:rFonts w:ascii="Calibri" w:eastAsia="Times New Roman" w:hAnsi="Calibri" w:cs="Calibri"/>
                <w:sz w:val="18"/>
                <w:szCs w:val="18"/>
                <w:lang w:eastAsia="hr-HR"/>
              </w:rPr>
              <w:t>0</w:t>
            </w:r>
          </w:p>
        </w:tc>
        <w:tc>
          <w:tcPr>
            <w:tcW w:w="448" w:type="dxa"/>
            <w:tcBorders>
              <w:top w:val="nil"/>
              <w:left w:val="nil"/>
              <w:bottom w:val="single" w:sz="4" w:space="0" w:color="auto"/>
              <w:right w:val="single" w:sz="4" w:space="0" w:color="auto"/>
            </w:tcBorders>
            <w:shd w:val="clear" w:color="000000" w:fill="66FFCC"/>
            <w:noWrap/>
            <w:vAlign w:val="bottom"/>
            <w:hideMark/>
          </w:tcPr>
          <w:p w14:paraId="2609D223" w14:textId="77777777" w:rsidR="004566A6" w:rsidRPr="004566A6" w:rsidRDefault="004566A6" w:rsidP="004566A6">
            <w:pPr>
              <w:spacing w:after="0" w:line="240" w:lineRule="auto"/>
              <w:jc w:val="right"/>
              <w:rPr>
                <w:rFonts w:ascii="Calibri" w:eastAsia="Times New Roman" w:hAnsi="Calibri" w:cs="Calibri"/>
                <w:sz w:val="18"/>
                <w:szCs w:val="18"/>
                <w:lang w:eastAsia="hr-HR"/>
              </w:rPr>
            </w:pPr>
            <w:r w:rsidRPr="004566A6">
              <w:rPr>
                <w:rFonts w:ascii="Calibri" w:eastAsia="Times New Roman" w:hAnsi="Calibri" w:cs="Calibri"/>
                <w:sz w:val="18"/>
                <w:szCs w:val="18"/>
                <w:lang w:eastAsia="hr-HR"/>
              </w:rPr>
              <w:t>0</w:t>
            </w:r>
          </w:p>
        </w:tc>
        <w:tc>
          <w:tcPr>
            <w:tcW w:w="448" w:type="dxa"/>
            <w:tcBorders>
              <w:top w:val="nil"/>
              <w:left w:val="nil"/>
              <w:bottom w:val="single" w:sz="4" w:space="0" w:color="auto"/>
              <w:right w:val="single" w:sz="4" w:space="0" w:color="auto"/>
            </w:tcBorders>
            <w:shd w:val="clear" w:color="000000" w:fill="66FFCC"/>
            <w:noWrap/>
            <w:vAlign w:val="bottom"/>
            <w:hideMark/>
          </w:tcPr>
          <w:p w14:paraId="61CF42A2" w14:textId="77777777" w:rsidR="004566A6" w:rsidRPr="004566A6" w:rsidRDefault="004566A6" w:rsidP="004566A6">
            <w:pPr>
              <w:spacing w:after="0" w:line="240" w:lineRule="auto"/>
              <w:jc w:val="right"/>
              <w:rPr>
                <w:rFonts w:ascii="Calibri" w:eastAsia="Times New Roman" w:hAnsi="Calibri" w:cs="Calibri"/>
                <w:sz w:val="18"/>
                <w:szCs w:val="18"/>
                <w:lang w:eastAsia="hr-HR"/>
              </w:rPr>
            </w:pPr>
            <w:r w:rsidRPr="004566A6">
              <w:rPr>
                <w:rFonts w:ascii="Calibri" w:eastAsia="Times New Roman" w:hAnsi="Calibri" w:cs="Calibri"/>
                <w:sz w:val="18"/>
                <w:szCs w:val="18"/>
                <w:lang w:eastAsia="hr-HR"/>
              </w:rPr>
              <w:t>0</w:t>
            </w:r>
          </w:p>
        </w:tc>
        <w:tc>
          <w:tcPr>
            <w:tcW w:w="476" w:type="dxa"/>
            <w:tcBorders>
              <w:top w:val="nil"/>
              <w:left w:val="nil"/>
              <w:bottom w:val="single" w:sz="4" w:space="0" w:color="auto"/>
              <w:right w:val="single" w:sz="4" w:space="0" w:color="auto"/>
            </w:tcBorders>
            <w:shd w:val="clear" w:color="000000" w:fill="66FFCC"/>
            <w:noWrap/>
            <w:vAlign w:val="bottom"/>
            <w:hideMark/>
          </w:tcPr>
          <w:p w14:paraId="673C2A59" w14:textId="77777777" w:rsidR="004566A6" w:rsidRPr="004566A6" w:rsidRDefault="004566A6" w:rsidP="004566A6">
            <w:pPr>
              <w:spacing w:after="0" w:line="240" w:lineRule="auto"/>
              <w:jc w:val="right"/>
              <w:rPr>
                <w:rFonts w:ascii="Calibri" w:eastAsia="Times New Roman" w:hAnsi="Calibri" w:cs="Calibri"/>
                <w:sz w:val="18"/>
                <w:szCs w:val="18"/>
                <w:lang w:eastAsia="hr-HR"/>
              </w:rPr>
            </w:pPr>
            <w:r w:rsidRPr="004566A6">
              <w:rPr>
                <w:rFonts w:ascii="Calibri" w:eastAsia="Times New Roman" w:hAnsi="Calibri" w:cs="Calibri"/>
                <w:sz w:val="18"/>
                <w:szCs w:val="18"/>
                <w:lang w:eastAsia="hr-HR"/>
              </w:rPr>
              <w:t>0</w:t>
            </w:r>
          </w:p>
        </w:tc>
        <w:tc>
          <w:tcPr>
            <w:tcW w:w="557" w:type="dxa"/>
            <w:gridSpan w:val="2"/>
            <w:tcBorders>
              <w:top w:val="nil"/>
              <w:left w:val="nil"/>
              <w:bottom w:val="single" w:sz="4" w:space="0" w:color="auto"/>
              <w:right w:val="single" w:sz="4" w:space="0" w:color="auto"/>
            </w:tcBorders>
            <w:shd w:val="clear" w:color="000000" w:fill="FFFF00"/>
            <w:vAlign w:val="center"/>
            <w:hideMark/>
          </w:tcPr>
          <w:p w14:paraId="0A318EF2" w14:textId="77777777" w:rsidR="004566A6" w:rsidRPr="004566A6" w:rsidRDefault="004566A6" w:rsidP="004566A6">
            <w:pPr>
              <w:spacing w:after="0" w:line="240" w:lineRule="auto"/>
              <w:jc w:val="center"/>
              <w:rPr>
                <w:rFonts w:ascii="Calibri" w:eastAsia="Times New Roman" w:hAnsi="Calibri" w:cs="Calibri"/>
                <w:sz w:val="18"/>
                <w:szCs w:val="18"/>
                <w:lang w:eastAsia="hr-HR"/>
              </w:rPr>
            </w:pPr>
            <w:r w:rsidRPr="004566A6">
              <w:rPr>
                <w:rFonts w:ascii="Calibri" w:eastAsia="Times New Roman" w:hAnsi="Calibri" w:cs="Calibri"/>
                <w:sz w:val="18"/>
                <w:szCs w:val="18"/>
                <w:lang w:eastAsia="hr-HR"/>
              </w:rPr>
              <w:t>2</w:t>
            </w:r>
          </w:p>
        </w:tc>
        <w:tc>
          <w:tcPr>
            <w:tcW w:w="515" w:type="dxa"/>
            <w:gridSpan w:val="2"/>
            <w:tcBorders>
              <w:top w:val="nil"/>
              <w:left w:val="nil"/>
              <w:bottom w:val="single" w:sz="4" w:space="0" w:color="auto"/>
              <w:right w:val="single" w:sz="4" w:space="0" w:color="auto"/>
            </w:tcBorders>
            <w:shd w:val="clear" w:color="000000" w:fill="FFFF99"/>
            <w:vAlign w:val="center"/>
            <w:hideMark/>
          </w:tcPr>
          <w:p w14:paraId="2A45A1FF" w14:textId="77777777" w:rsidR="004566A6" w:rsidRPr="004566A6" w:rsidRDefault="004566A6" w:rsidP="004566A6">
            <w:pPr>
              <w:spacing w:after="0" w:line="240" w:lineRule="auto"/>
              <w:jc w:val="center"/>
              <w:rPr>
                <w:rFonts w:ascii="Calibri" w:eastAsia="Times New Roman" w:hAnsi="Calibri" w:cs="Calibri"/>
                <w:sz w:val="18"/>
                <w:szCs w:val="18"/>
                <w:lang w:eastAsia="hr-HR"/>
              </w:rPr>
            </w:pPr>
            <w:r w:rsidRPr="004566A6">
              <w:rPr>
                <w:rFonts w:ascii="Calibri" w:eastAsia="Times New Roman" w:hAnsi="Calibri" w:cs="Calibri"/>
                <w:sz w:val="18"/>
                <w:szCs w:val="18"/>
                <w:lang w:eastAsia="hr-HR"/>
              </w:rPr>
              <w:t>0</w:t>
            </w:r>
          </w:p>
        </w:tc>
        <w:tc>
          <w:tcPr>
            <w:tcW w:w="855" w:type="dxa"/>
            <w:gridSpan w:val="2"/>
            <w:tcBorders>
              <w:top w:val="nil"/>
              <w:left w:val="nil"/>
              <w:bottom w:val="single" w:sz="4" w:space="0" w:color="auto"/>
              <w:right w:val="single" w:sz="4" w:space="0" w:color="auto"/>
            </w:tcBorders>
            <w:shd w:val="clear" w:color="000000" w:fill="FF9900"/>
            <w:vAlign w:val="center"/>
            <w:hideMark/>
          </w:tcPr>
          <w:p w14:paraId="4C64836F" w14:textId="77777777" w:rsidR="004566A6" w:rsidRPr="004566A6" w:rsidRDefault="004566A6" w:rsidP="004566A6">
            <w:pPr>
              <w:spacing w:after="0" w:line="240" w:lineRule="auto"/>
              <w:jc w:val="center"/>
              <w:rPr>
                <w:rFonts w:ascii="Calibri" w:eastAsia="Times New Roman" w:hAnsi="Calibri" w:cs="Calibri"/>
                <w:sz w:val="18"/>
                <w:szCs w:val="18"/>
                <w:lang w:eastAsia="hr-HR"/>
              </w:rPr>
            </w:pPr>
            <w:r w:rsidRPr="004566A6">
              <w:rPr>
                <w:rFonts w:ascii="Calibri" w:eastAsia="Times New Roman" w:hAnsi="Calibri" w:cs="Calibri"/>
                <w:sz w:val="18"/>
                <w:szCs w:val="18"/>
                <w:lang w:eastAsia="hr-HR"/>
              </w:rPr>
              <w:t>0</w:t>
            </w:r>
          </w:p>
        </w:tc>
        <w:tc>
          <w:tcPr>
            <w:tcW w:w="445" w:type="dxa"/>
            <w:gridSpan w:val="2"/>
            <w:tcBorders>
              <w:top w:val="nil"/>
              <w:left w:val="nil"/>
              <w:bottom w:val="single" w:sz="4" w:space="0" w:color="auto"/>
              <w:right w:val="single" w:sz="4" w:space="0" w:color="auto"/>
            </w:tcBorders>
            <w:shd w:val="clear" w:color="000000" w:fill="CCFFFF"/>
            <w:vAlign w:val="bottom"/>
            <w:hideMark/>
          </w:tcPr>
          <w:p w14:paraId="47132452" w14:textId="77777777" w:rsidR="004566A6" w:rsidRPr="004566A6" w:rsidRDefault="004566A6" w:rsidP="004566A6">
            <w:pPr>
              <w:spacing w:after="0" w:line="240" w:lineRule="auto"/>
              <w:jc w:val="right"/>
              <w:rPr>
                <w:rFonts w:ascii="Calibri" w:eastAsia="Times New Roman" w:hAnsi="Calibri" w:cs="Calibri"/>
                <w:sz w:val="18"/>
                <w:szCs w:val="18"/>
                <w:lang w:eastAsia="hr-HR"/>
              </w:rPr>
            </w:pPr>
            <w:r w:rsidRPr="004566A6">
              <w:rPr>
                <w:rFonts w:ascii="Calibri" w:eastAsia="Times New Roman" w:hAnsi="Calibri" w:cs="Calibri"/>
                <w:sz w:val="18"/>
                <w:szCs w:val="18"/>
                <w:lang w:eastAsia="hr-HR"/>
              </w:rPr>
              <w:t>0</w:t>
            </w:r>
          </w:p>
        </w:tc>
        <w:tc>
          <w:tcPr>
            <w:tcW w:w="445" w:type="dxa"/>
            <w:tcBorders>
              <w:top w:val="nil"/>
              <w:left w:val="nil"/>
              <w:bottom w:val="single" w:sz="4" w:space="0" w:color="auto"/>
              <w:right w:val="single" w:sz="4" w:space="0" w:color="auto"/>
            </w:tcBorders>
            <w:shd w:val="clear" w:color="000000" w:fill="CCFFFF"/>
            <w:vAlign w:val="bottom"/>
            <w:hideMark/>
          </w:tcPr>
          <w:p w14:paraId="44654650" w14:textId="77777777" w:rsidR="004566A6" w:rsidRPr="004566A6" w:rsidRDefault="004566A6" w:rsidP="004566A6">
            <w:pPr>
              <w:spacing w:after="0" w:line="240" w:lineRule="auto"/>
              <w:jc w:val="right"/>
              <w:rPr>
                <w:rFonts w:ascii="Calibri" w:eastAsia="Times New Roman" w:hAnsi="Calibri" w:cs="Calibri"/>
                <w:sz w:val="18"/>
                <w:szCs w:val="18"/>
                <w:lang w:eastAsia="hr-HR"/>
              </w:rPr>
            </w:pPr>
            <w:r w:rsidRPr="004566A6">
              <w:rPr>
                <w:rFonts w:ascii="Calibri" w:eastAsia="Times New Roman" w:hAnsi="Calibri" w:cs="Calibri"/>
                <w:sz w:val="18"/>
                <w:szCs w:val="18"/>
                <w:lang w:eastAsia="hr-HR"/>
              </w:rPr>
              <w:t>0</w:t>
            </w:r>
          </w:p>
        </w:tc>
        <w:tc>
          <w:tcPr>
            <w:tcW w:w="505" w:type="dxa"/>
            <w:tcBorders>
              <w:top w:val="nil"/>
              <w:left w:val="nil"/>
              <w:bottom w:val="single" w:sz="4" w:space="0" w:color="auto"/>
              <w:right w:val="single" w:sz="4" w:space="0" w:color="auto"/>
            </w:tcBorders>
            <w:shd w:val="clear" w:color="000000" w:fill="CCFFFF"/>
            <w:vAlign w:val="bottom"/>
            <w:hideMark/>
          </w:tcPr>
          <w:p w14:paraId="7C4753CF" w14:textId="77777777" w:rsidR="004566A6" w:rsidRPr="004566A6" w:rsidRDefault="004566A6" w:rsidP="004566A6">
            <w:pPr>
              <w:spacing w:after="0" w:line="240" w:lineRule="auto"/>
              <w:jc w:val="right"/>
              <w:rPr>
                <w:rFonts w:ascii="Calibri" w:eastAsia="Times New Roman" w:hAnsi="Calibri" w:cs="Calibri"/>
                <w:sz w:val="18"/>
                <w:szCs w:val="18"/>
                <w:lang w:eastAsia="hr-HR"/>
              </w:rPr>
            </w:pPr>
            <w:r w:rsidRPr="004566A6">
              <w:rPr>
                <w:rFonts w:ascii="Calibri" w:eastAsia="Times New Roman" w:hAnsi="Calibri" w:cs="Calibri"/>
                <w:sz w:val="18"/>
                <w:szCs w:val="18"/>
                <w:lang w:eastAsia="hr-HR"/>
              </w:rPr>
              <w:t>0</w:t>
            </w:r>
          </w:p>
        </w:tc>
        <w:tc>
          <w:tcPr>
            <w:tcW w:w="797" w:type="dxa"/>
            <w:gridSpan w:val="2"/>
            <w:tcBorders>
              <w:top w:val="nil"/>
              <w:left w:val="nil"/>
              <w:bottom w:val="single" w:sz="4" w:space="0" w:color="auto"/>
              <w:right w:val="nil"/>
            </w:tcBorders>
            <w:shd w:val="clear" w:color="000000" w:fill="33CCCC"/>
            <w:noWrap/>
            <w:vAlign w:val="bottom"/>
            <w:hideMark/>
          </w:tcPr>
          <w:p w14:paraId="576729DA" w14:textId="77777777" w:rsidR="004566A6" w:rsidRPr="004566A6" w:rsidRDefault="004566A6" w:rsidP="004566A6">
            <w:pPr>
              <w:spacing w:after="0" w:line="240" w:lineRule="auto"/>
              <w:jc w:val="right"/>
              <w:rPr>
                <w:rFonts w:ascii="Calibri" w:eastAsia="Times New Roman" w:hAnsi="Calibri" w:cs="Calibri"/>
                <w:sz w:val="18"/>
                <w:szCs w:val="18"/>
                <w:lang w:eastAsia="hr-HR"/>
              </w:rPr>
            </w:pPr>
            <w:r w:rsidRPr="004566A6">
              <w:rPr>
                <w:rFonts w:ascii="Calibri" w:eastAsia="Times New Roman" w:hAnsi="Calibri" w:cs="Calibri"/>
                <w:sz w:val="18"/>
                <w:szCs w:val="18"/>
                <w:lang w:eastAsia="hr-HR"/>
              </w:rPr>
              <w:t>2</w:t>
            </w:r>
          </w:p>
        </w:tc>
        <w:tc>
          <w:tcPr>
            <w:tcW w:w="425" w:type="dxa"/>
            <w:gridSpan w:val="3"/>
            <w:tcBorders>
              <w:top w:val="nil"/>
              <w:left w:val="single" w:sz="4" w:space="0" w:color="auto"/>
              <w:bottom w:val="single" w:sz="4" w:space="0" w:color="auto"/>
              <w:right w:val="nil"/>
            </w:tcBorders>
            <w:shd w:val="clear" w:color="000000" w:fill="33CCCC"/>
            <w:noWrap/>
            <w:vAlign w:val="bottom"/>
            <w:hideMark/>
          </w:tcPr>
          <w:p w14:paraId="2BBD8190" w14:textId="77777777" w:rsidR="004566A6" w:rsidRPr="004566A6" w:rsidRDefault="004566A6" w:rsidP="004566A6">
            <w:pPr>
              <w:spacing w:after="0" w:line="240" w:lineRule="auto"/>
              <w:jc w:val="right"/>
              <w:rPr>
                <w:rFonts w:ascii="Calibri" w:eastAsia="Times New Roman" w:hAnsi="Calibri" w:cs="Calibri"/>
                <w:sz w:val="18"/>
                <w:szCs w:val="18"/>
                <w:lang w:eastAsia="hr-HR"/>
              </w:rPr>
            </w:pPr>
            <w:r w:rsidRPr="004566A6">
              <w:rPr>
                <w:rFonts w:ascii="Calibri" w:eastAsia="Times New Roman" w:hAnsi="Calibri" w:cs="Calibri"/>
                <w:sz w:val="18"/>
                <w:szCs w:val="18"/>
                <w:lang w:eastAsia="hr-HR"/>
              </w:rPr>
              <w:t>0</w:t>
            </w:r>
          </w:p>
        </w:tc>
        <w:tc>
          <w:tcPr>
            <w:tcW w:w="236" w:type="dxa"/>
            <w:gridSpan w:val="2"/>
            <w:vAlign w:val="center"/>
            <w:hideMark/>
          </w:tcPr>
          <w:p w14:paraId="20204456" w14:textId="77777777" w:rsidR="004566A6" w:rsidRPr="004566A6" w:rsidRDefault="004566A6" w:rsidP="004566A6">
            <w:pPr>
              <w:spacing w:after="0" w:line="240" w:lineRule="auto"/>
              <w:rPr>
                <w:rFonts w:ascii="Times New Roman" w:eastAsia="Times New Roman" w:hAnsi="Times New Roman" w:cs="Times New Roman"/>
                <w:sz w:val="18"/>
                <w:szCs w:val="18"/>
                <w:lang w:eastAsia="hr-HR"/>
              </w:rPr>
            </w:pPr>
          </w:p>
        </w:tc>
      </w:tr>
      <w:tr w:rsidR="003D0C85" w:rsidRPr="004566A6" w14:paraId="09CF28B5" w14:textId="77777777" w:rsidTr="003D0C85">
        <w:trPr>
          <w:trHeight w:val="300"/>
        </w:trPr>
        <w:tc>
          <w:tcPr>
            <w:tcW w:w="1397" w:type="dxa"/>
            <w:tcBorders>
              <w:top w:val="single" w:sz="4" w:space="0" w:color="auto"/>
              <w:left w:val="single" w:sz="8" w:space="0" w:color="auto"/>
              <w:bottom w:val="single" w:sz="4" w:space="0" w:color="auto"/>
              <w:right w:val="single" w:sz="4" w:space="0" w:color="auto"/>
            </w:tcBorders>
            <w:shd w:val="clear" w:color="000000" w:fill="CCFFCC"/>
            <w:vAlign w:val="center"/>
            <w:hideMark/>
          </w:tcPr>
          <w:p w14:paraId="08BCB573" w14:textId="77777777" w:rsidR="004566A6" w:rsidRPr="004566A6" w:rsidRDefault="004566A6" w:rsidP="004566A6">
            <w:pPr>
              <w:spacing w:after="0" w:line="240" w:lineRule="auto"/>
              <w:jc w:val="center"/>
              <w:rPr>
                <w:rFonts w:ascii="Calibri" w:eastAsia="Times New Roman" w:hAnsi="Calibri" w:cs="Calibri"/>
                <w:sz w:val="18"/>
                <w:szCs w:val="18"/>
                <w:lang w:eastAsia="hr-HR"/>
              </w:rPr>
            </w:pPr>
            <w:r w:rsidRPr="004566A6">
              <w:rPr>
                <w:rFonts w:ascii="Calibri" w:eastAsia="Times New Roman" w:hAnsi="Calibri" w:cs="Calibri"/>
                <w:sz w:val="18"/>
                <w:szCs w:val="18"/>
                <w:lang w:eastAsia="hr-HR"/>
              </w:rPr>
              <w:t>Genetsko nasljeđe</w:t>
            </w:r>
          </w:p>
        </w:tc>
        <w:tc>
          <w:tcPr>
            <w:tcW w:w="576" w:type="dxa"/>
            <w:tcBorders>
              <w:top w:val="nil"/>
              <w:left w:val="nil"/>
              <w:bottom w:val="single" w:sz="4" w:space="0" w:color="auto"/>
              <w:right w:val="single" w:sz="4" w:space="0" w:color="auto"/>
            </w:tcBorders>
            <w:shd w:val="clear" w:color="000000" w:fill="CCFFCC"/>
            <w:vAlign w:val="center"/>
            <w:hideMark/>
          </w:tcPr>
          <w:p w14:paraId="4A89A8E9" w14:textId="77777777" w:rsidR="004566A6" w:rsidRPr="004566A6" w:rsidRDefault="004566A6" w:rsidP="004566A6">
            <w:pPr>
              <w:spacing w:after="0" w:line="240" w:lineRule="auto"/>
              <w:jc w:val="center"/>
              <w:rPr>
                <w:rFonts w:ascii="Calibri" w:eastAsia="Times New Roman" w:hAnsi="Calibri" w:cs="Calibri"/>
                <w:sz w:val="18"/>
                <w:szCs w:val="18"/>
                <w:lang w:eastAsia="hr-HR"/>
              </w:rPr>
            </w:pPr>
            <w:r w:rsidRPr="004566A6">
              <w:rPr>
                <w:rFonts w:ascii="Calibri" w:eastAsia="Times New Roman" w:hAnsi="Calibri" w:cs="Calibri"/>
                <w:sz w:val="18"/>
                <w:szCs w:val="18"/>
                <w:lang w:eastAsia="hr-HR"/>
              </w:rPr>
              <w:t>0</w:t>
            </w:r>
          </w:p>
        </w:tc>
        <w:tc>
          <w:tcPr>
            <w:tcW w:w="444" w:type="dxa"/>
            <w:tcBorders>
              <w:top w:val="nil"/>
              <w:left w:val="nil"/>
              <w:bottom w:val="single" w:sz="4" w:space="0" w:color="auto"/>
              <w:right w:val="single" w:sz="4" w:space="0" w:color="auto"/>
            </w:tcBorders>
            <w:shd w:val="clear" w:color="000000" w:fill="FFCC99"/>
            <w:noWrap/>
            <w:vAlign w:val="bottom"/>
            <w:hideMark/>
          </w:tcPr>
          <w:p w14:paraId="1E21CBF6" w14:textId="77777777" w:rsidR="004566A6" w:rsidRPr="004566A6" w:rsidRDefault="004566A6" w:rsidP="004566A6">
            <w:pPr>
              <w:spacing w:after="0" w:line="240" w:lineRule="auto"/>
              <w:jc w:val="center"/>
              <w:rPr>
                <w:rFonts w:ascii="Calibri" w:eastAsia="Times New Roman" w:hAnsi="Calibri" w:cs="Calibri"/>
                <w:sz w:val="18"/>
                <w:szCs w:val="18"/>
                <w:lang w:eastAsia="hr-HR"/>
              </w:rPr>
            </w:pPr>
            <w:r w:rsidRPr="004566A6">
              <w:rPr>
                <w:rFonts w:ascii="Calibri" w:eastAsia="Times New Roman" w:hAnsi="Calibri" w:cs="Calibri"/>
                <w:sz w:val="18"/>
                <w:szCs w:val="18"/>
                <w:lang w:eastAsia="hr-HR"/>
              </w:rPr>
              <w:t>0</w:t>
            </w:r>
          </w:p>
        </w:tc>
        <w:tc>
          <w:tcPr>
            <w:tcW w:w="405" w:type="dxa"/>
            <w:tcBorders>
              <w:top w:val="nil"/>
              <w:left w:val="nil"/>
              <w:bottom w:val="single" w:sz="4" w:space="0" w:color="auto"/>
              <w:right w:val="single" w:sz="4" w:space="0" w:color="auto"/>
            </w:tcBorders>
            <w:shd w:val="clear" w:color="000000" w:fill="CCFFFF"/>
            <w:noWrap/>
            <w:vAlign w:val="bottom"/>
            <w:hideMark/>
          </w:tcPr>
          <w:p w14:paraId="119A63A1" w14:textId="77777777" w:rsidR="004566A6" w:rsidRPr="004566A6" w:rsidRDefault="004566A6" w:rsidP="004566A6">
            <w:pPr>
              <w:spacing w:after="0" w:line="240" w:lineRule="auto"/>
              <w:jc w:val="right"/>
              <w:rPr>
                <w:rFonts w:ascii="Calibri" w:eastAsia="Times New Roman" w:hAnsi="Calibri" w:cs="Calibri"/>
                <w:sz w:val="18"/>
                <w:szCs w:val="18"/>
                <w:lang w:eastAsia="hr-HR"/>
              </w:rPr>
            </w:pPr>
            <w:r w:rsidRPr="004566A6">
              <w:rPr>
                <w:rFonts w:ascii="Calibri" w:eastAsia="Times New Roman" w:hAnsi="Calibri" w:cs="Calibri"/>
                <w:sz w:val="18"/>
                <w:szCs w:val="18"/>
                <w:lang w:eastAsia="hr-HR"/>
              </w:rPr>
              <w:t>0</w:t>
            </w:r>
          </w:p>
        </w:tc>
        <w:tc>
          <w:tcPr>
            <w:tcW w:w="462" w:type="dxa"/>
            <w:tcBorders>
              <w:top w:val="nil"/>
              <w:left w:val="nil"/>
              <w:bottom w:val="single" w:sz="4" w:space="0" w:color="auto"/>
              <w:right w:val="single" w:sz="4" w:space="0" w:color="auto"/>
            </w:tcBorders>
            <w:shd w:val="clear" w:color="000000" w:fill="CCFFFF"/>
            <w:noWrap/>
            <w:vAlign w:val="bottom"/>
            <w:hideMark/>
          </w:tcPr>
          <w:p w14:paraId="6AECC0FF" w14:textId="77777777" w:rsidR="004566A6" w:rsidRPr="004566A6" w:rsidRDefault="004566A6" w:rsidP="004566A6">
            <w:pPr>
              <w:spacing w:after="0" w:line="240" w:lineRule="auto"/>
              <w:jc w:val="right"/>
              <w:rPr>
                <w:rFonts w:ascii="Calibri" w:eastAsia="Times New Roman" w:hAnsi="Calibri" w:cs="Calibri"/>
                <w:sz w:val="18"/>
                <w:szCs w:val="18"/>
                <w:lang w:eastAsia="hr-HR"/>
              </w:rPr>
            </w:pPr>
            <w:r w:rsidRPr="004566A6">
              <w:rPr>
                <w:rFonts w:ascii="Calibri" w:eastAsia="Times New Roman" w:hAnsi="Calibri" w:cs="Calibri"/>
                <w:sz w:val="18"/>
                <w:szCs w:val="18"/>
                <w:lang w:eastAsia="hr-HR"/>
              </w:rPr>
              <w:t>0</w:t>
            </w:r>
          </w:p>
        </w:tc>
        <w:tc>
          <w:tcPr>
            <w:tcW w:w="455" w:type="dxa"/>
            <w:tcBorders>
              <w:top w:val="nil"/>
              <w:left w:val="nil"/>
              <w:bottom w:val="single" w:sz="4" w:space="0" w:color="auto"/>
              <w:right w:val="single" w:sz="4" w:space="0" w:color="auto"/>
            </w:tcBorders>
            <w:shd w:val="clear" w:color="000000" w:fill="FFFF99"/>
            <w:noWrap/>
            <w:vAlign w:val="bottom"/>
            <w:hideMark/>
          </w:tcPr>
          <w:p w14:paraId="17B4E89B" w14:textId="77777777" w:rsidR="004566A6" w:rsidRPr="004566A6" w:rsidRDefault="004566A6" w:rsidP="004566A6">
            <w:pPr>
              <w:spacing w:after="0" w:line="240" w:lineRule="auto"/>
              <w:jc w:val="center"/>
              <w:rPr>
                <w:rFonts w:ascii="Calibri" w:eastAsia="Times New Roman" w:hAnsi="Calibri" w:cs="Calibri"/>
                <w:sz w:val="18"/>
                <w:szCs w:val="18"/>
                <w:lang w:eastAsia="hr-HR"/>
              </w:rPr>
            </w:pPr>
            <w:r w:rsidRPr="004566A6">
              <w:rPr>
                <w:rFonts w:ascii="Calibri" w:eastAsia="Times New Roman" w:hAnsi="Calibri" w:cs="Calibri"/>
                <w:sz w:val="18"/>
                <w:szCs w:val="18"/>
                <w:lang w:eastAsia="hr-HR"/>
              </w:rPr>
              <w:t>0</w:t>
            </w:r>
          </w:p>
        </w:tc>
        <w:tc>
          <w:tcPr>
            <w:tcW w:w="567" w:type="dxa"/>
            <w:tcBorders>
              <w:top w:val="nil"/>
              <w:left w:val="nil"/>
              <w:bottom w:val="single" w:sz="4" w:space="0" w:color="auto"/>
              <w:right w:val="single" w:sz="4" w:space="0" w:color="auto"/>
            </w:tcBorders>
            <w:shd w:val="clear" w:color="000000" w:fill="FFFF99"/>
            <w:noWrap/>
            <w:vAlign w:val="bottom"/>
            <w:hideMark/>
          </w:tcPr>
          <w:p w14:paraId="124C406D" w14:textId="77777777" w:rsidR="004566A6" w:rsidRPr="004566A6" w:rsidRDefault="004566A6" w:rsidP="004566A6">
            <w:pPr>
              <w:spacing w:after="0" w:line="240" w:lineRule="auto"/>
              <w:jc w:val="center"/>
              <w:rPr>
                <w:rFonts w:ascii="Calibri" w:eastAsia="Times New Roman" w:hAnsi="Calibri" w:cs="Calibri"/>
                <w:sz w:val="18"/>
                <w:szCs w:val="18"/>
                <w:lang w:eastAsia="hr-HR"/>
              </w:rPr>
            </w:pPr>
            <w:r w:rsidRPr="004566A6">
              <w:rPr>
                <w:rFonts w:ascii="Calibri" w:eastAsia="Times New Roman" w:hAnsi="Calibri" w:cs="Calibri"/>
                <w:sz w:val="18"/>
                <w:szCs w:val="18"/>
                <w:lang w:eastAsia="hr-HR"/>
              </w:rPr>
              <w:t>0</w:t>
            </w:r>
          </w:p>
        </w:tc>
        <w:tc>
          <w:tcPr>
            <w:tcW w:w="708" w:type="dxa"/>
            <w:tcBorders>
              <w:top w:val="nil"/>
              <w:left w:val="nil"/>
              <w:bottom w:val="single" w:sz="4" w:space="0" w:color="auto"/>
              <w:right w:val="single" w:sz="4" w:space="0" w:color="auto"/>
            </w:tcBorders>
            <w:shd w:val="clear" w:color="000000" w:fill="FFFF99"/>
            <w:noWrap/>
            <w:vAlign w:val="bottom"/>
            <w:hideMark/>
          </w:tcPr>
          <w:p w14:paraId="12505F55" w14:textId="77777777" w:rsidR="004566A6" w:rsidRPr="004566A6" w:rsidRDefault="004566A6" w:rsidP="004566A6">
            <w:pPr>
              <w:spacing w:after="0" w:line="240" w:lineRule="auto"/>
              <w:jc w:val="center"/>
              <w:rPr>
                <w:rFonts w:ascii="Calibri" w:eastAsia="Times New Roman" w:hAnsi="Calibri" w:cs="Calibri"/>
                <w:sz w:val="18"/>
                <w:szCs w:val="18"/>
                <w:lang w:eastAsia="hr-HR"/>
              </w:rPr>
            </w:pPr>
            <w:r w:rsidRPr="004566A6">
              <w:rPr>
                <w:rFonts w:ascii="Calibri" w:eastAsia="Times New Roman" w:hAnsi="Calibri" w:cs="Calibri"/>
                <w:sz w:val="18"/>
                <w:szCs w:val="18"/>
                <w:lang w:eastAsia="hr-HR"/>
              </w:rPr>
              <w:t>0</w:t>
            </w:r>
          </w:p>
        </w:tc>
        <w:tc>
          <w:tcPr>
            <w:tcW w:w="448" w:type="dxa"/>
            <w:tcBorders>
              <w:top w:val="nil"/>
              <w:left w:val="nil"/>
              <w:bottom w:val="single" w:sz="4" w:space="0" w:color="auto"/>
              <w:right w:val="single" w:sz="4" w:space="0" w:color="auto"/>
            </w:tcBorders>
            <w:shd w:val="clear" w:color="000000" w:fill="FFFF99"/>
            <w:noWrap/>
            <w:vAlign w:val="bottom"/>
            <w:hideMark/>
          </w:tcPr>
          <w:p w14:paraId="3065E92A" w14:textId="77777777" w:rsidR="004566A6" w:rsidRPr="004566A6" w:rsidRDefault="004566A6" w:rsidP="004566A6">
            <w:pPr>
              <w:spacing w:after="0" w:line="240" w:lineRule="auto"/>
              <w:jc w:val="center"/>
              <w:rPr>
                <w:rFonts w:ascii="Calibri" w:eastAsia="Times New Roman" w:hAnsi="Calibri" w:cs="Calibri"/>
                <w:sz w:val="18"/>
                <w:szCs w:val="18"/>
                <w:lang w:eastAsia="hr-HR"/>
              </w:rPr>
            </w:pPr>
            <w:r w:rsidRPr="004566A6">
              <w:rPr>
                <w:rFonts w:ascii="Calibri" w:eastAsia="Times New Roman" w:hAnsi="Calibri" w:cs="Calibri"/>
                <w:sz w:val="18"/>
                <w:szCs w:val="18"/>
                <w:lang w:eastAsia="hr-HR"/>
              </w:rPr>
              <w:t>0</w:t>
            </w:r>
          </w:p>
        </w:tc>
        <w:tc>
          <w:tcPr>
            <w:tcW w:w="680" w:type="dxa"/>
            <w:tcBorders>
              <w:top w:val="nil"/>
              <w:left w:val="nil"/>
              <w:bottom w:val="single" w:sz="4" w:space="0" w:color="auto"/>
              <w:right w:val="single" w:sz="4" w:space="0" w:color="auto"/>
            </w:tcBorders>
            <w:shd w:val="clear" w:color="000000" w:fill="FFFF99"/>
            <w:noWrap/>
            <w:vAlign w:val="bottom"/>
            <w:hideMark/>
          </w:tcPr>
          <w:p w14:paraId="50AECD51" w14:textId="77777777" w:rsidR="004566A6" w:rsidRPr="004566A6" w:rsidRDefault="004566A6" w:rsidP="004566A6">
            <w:pPr>
              <w:spacing w:after="0" w:line="240" w:lineRule="auto"/>
              <w:jc w:val="center"/>
              <w:rPr>
                <w:rFonts w:ascii="Calibri" w:eastAsia="Times New Roman" w:hAnsi="Calibri" w:cs="Calibri"/>
                <w:sz w:val="18"/>
                <w:szCs w:val="18"/>
                <w:lang w:eastAsia="hr-HR"/>
              </w:rPr>
            </w:pPr>
            <w:r w:rsidRPr="004566A6">
              <w:rPr>
                <w:rFonts w:ascii="Calibri" w:eastAsia="Times New Roman" w:hAnsi="Calibri" w:cs="Calibri"/>
                <w:sz w:val="18"/>
                <w:szCs w:val="18"/>
                <w:lang w:eastAsia="hr-HR"/>
              </w:rPr>
              <w:t>0</w:t>
            </w:r>
          </w:p>
        </w:tc>
        <w:tc>
          <w:tcPr>
            <w:tcW w:w="573" w:type="dxa"/>
            <w:gridSpan w:val="2"/>
            <w:tcBorders>
              <w:top w:val="nil"/>
              <w:left w:val="nil"/>
              <w:bottom w:val="single" w:sz="4" w:space="0" w:color="auto"/>
              <w:right w:val="single" w:sz="4" w:space="0" w:color="auto"/>
            </w:tcBorders>
            <w:shd w:val="clear" w:color="000000" w:fill="FF9900"/>
            <w:noWrap/>
            <w:vAlign w:val="bottom"/>
            <w:hideMark/>
          </w:tcPr>
          <w:p w14:paraId="5D078D31" w14:textId="77777777" w:rsidR="004566A6" w:rsidRPr="004566A6" w:rsidRDefault="004566A6" w:rsidP="004566A6">
            <w:pPr>
              <w:spacing w:after="0" w:line="240" w:lineRule="auto"/>
              <w:jc w:val="right"/>
              <w:rPr>
                <w:rFonts w:ascii="Calibri" w:eastAsia="Times New Roman" w:hAnsi="Calibri" w:cs="Calibri"/>
                <w:sz w:val="18"/>
                <w:szCs w:val="18"/>
                <w:lang w:eastAsia="hr-HR"/>
              </w:rPr>
            </w:pPr>
            <w:r w:rsidRPr="004566A6">
              <w:rPr>
                <w:rFonts w:ascii="Calibri" w:eastAsia="Times New Roman" w:hAnsi="Calibri" w:cs="Calibri"/>
                <w:sz w:val="18"/>
                <w:szCs w:val="18"/>
                <w:lang w:eastAsia="hr-HR"/>
              </w:rPr>
              <w:t>0</w:t>
            </w:r>
          </w:p>
        </w:tc>
        <w:tc>
          <w:tcPr>
            <w:tcW w:w="567" w:type="dxa"/>
            <w:tcBorders>
              <w:top w:val="nil"/>
              <w:left w:val="nil"/>
              <w:bottom w:val="single" w:sz="4" w:space="0" w:color="auto"/>
              <w:right w:val="single" w:sz="4" w:space="0" w:color="auto"/>
            </w:tcBorders>
            <w:shd w:val="clear" w:color="000000" w:fill="FF9900"/>
            <w:noWrap/>
            <w:vAlign w:val="bottom"/>
            <w:hideMark/>
          </w:tcPr>
          <w:p w14:paraId="05C078CE" w14:textId="77777777" w:rsidR="004566A6" w:rsidRPr="004566A6" w:rsidRDefault="004566A6" w:rsidP="004566A6">
            <w:pPr>
              <w:spacing w:after="0" w:line="240" w:lineRule="auto"/>
              <w:jc w:val="right"/>
              <w:rPr>
                <w:rFonts w:ascii="Calibri" w:eastAsia="Times New Roman" w:hAnsi="Calibri" w:cs="Calibri"/>
                <w:sz w:val="18"/>
                <w:szCs w:val="18"/>
                <w:lang w:eastAsia="hr-HR"/>
              </w:rPr>
            </w:pPr>
            <w:r w:rsidRPr="004566A6">
              <w:rPr>
                <w:rFonts w:ascii="Calibri" w:eastAsia="Times New Roman" w:hAnsi="Calibri" w:cs="Calibri"/>
                <w:sz w:val="18"/>
                <w:szCs w:val="18"/>
                <w:lang w:eastAsia="hr-HR"/>
              </w:rPr>
              <w:t>0</w:t>
            </w:r>
          </w:p>
        </w:tc>
        <w:tc>
          <w:tcPr>
            <w:tcW w:w="448" w:type="dxa"/>
            <w:tcBorders>
              <w:top w:val="nil"/>
              <w:left w:val="nil"/>
              <w:bottom w:val="single" w:sz="4" w:space="0" w:color="auto"/>
              <w:right w:val="single" w:sz="4" w:space="0" w:color="auto"/>
            </w:tcBorders>
            <w:shd w:val="clear" w:color="000000" w:fill="FF9900"/>
            <w:noWrap/>
            <w:vAlign w:val="bottom"/>
            <w:hideMark/>
          </w:tcPr>
          <w:p w14:paraId="43E72ECF" w14:textId="77777777" w:rsidR="004566A6" w:rsidRPr="004566A6" w:rsidRDefault="004566A6" w:rsidP="004566A6">
            <w:pPr>
              <w:spacing w:after="0" w:line="240" w:lineRule="auto"/>
              <w:jc w:val="right"/>
              <w:rPr>
                <w:rFonts w:ascii="Calibri" w:eastAsia="Times New Roman" w:hAnsi="Calibri" w:cs="Calibri"/>
                <w:sz w:val="18"/>
                <w:szCs w:val="18"/>
                <w:lang w:eastAsia="hr-HR"/>
              </w:rPr>
            </w:pPr>
            <w:r w:rsidRPr="004566A6">
              <w:rPr>
                <w:rFonts w:ascii="Calibri" w:eastAsia="Times New Roman" w:hAnsi="Calibri" w:cs="Calibri"/>
                <w:sz w:val="18"/>
                <w:szCs w:val="18"/>
                <w:lang w:eastAsia="hr-HR"/>
              </w:rPr>
              <w:t>0</w:t>
            </w:r>
          </w:p>
        </w:tc>
        <w:tc>
          <w:tcPr>
            <w:tcW w:w="448" w:type="dxa"/>
            <w:gridSpan w:val="2"/>
            <w:tcBorders>
              <w:top w:val="nil"/>
              <w:left w:val="nil"/>
              <w:bottom w:val="single" w:sz="4" w:space="0" w:color="auto"/>
              <w:right w:val="single" w:sz="4" w:space="0" w:color="auto"/>
            </w:tcBorders>
            <w:shd w:val="clear" w:color="000000" w:fill="66FFCC"/>
            <w:noWrap/>
            <w:vAlign w:val="bottom"/>
            <w:hideMark/>
          </w:tcPr>
          <w:p w14:paraId="16FB88FA" w14:textId="77777777" w:rsidR="004566A6" w:rsidRPr="004566A6" w:rsidRDefault="004566A6" w:rsidP="004566A6">
            <w:pPr>
              <w:spacing w:after="0" w:line="240" w:lineRule="auto"/>
              <w:jc w:val="right"/>
              <w:rPr>
                <w:rFonts w:ascii="Calibri" w:eastAsia="Times New Roman" w:hAnsi="Calibri" w:cs="Calibri"/>
                <w:sz w:val="18"/>
                <w:szCs w:val="18"/>
                <w:lang w:eastAsia="hr-HR"/>
              </w:rPr>
            </w:pPr>
            <w:r w:rsidRPr="004566A6">
              <w:rPr>
                <w:rFonts w:ascii="Calibri" w:eastAsia="Times New Roman" w:hAnsi="Calibri" w:cs="Calibri"/>
                <w:sz w:val="18"/>
                <w:szCs w:val="18"/>
                <w:lang w:eastAsia="hr-HR"/>
              </w:rPr>
              <w:t>0</w:t>
            </w:r>
          </w:p>
        </w:tc>
        <w:tc>
          <w:tcPr>
            <w:tcW w:w="448" w:type="dxa"/>
            <w:tcBorders>
              <w:top w:val="nil"/>
              <w:left w:val="nil"/>
              <w:bottom w:val="single" w:sz="4" w:space="0" w:color="auto"/>
              <w:right w:val="single" w:sz="4" w:space="0" w:color="auto"/>
            </w:tcBorders>
            <w:shd w:val="clear" w:color="000000" w:fill="66FFCC"/>
            <w:noWrap/>
            <w:vAlign w:val="bottom"/>
            <w:hideMark/>
          </w:tcPr>
          <w:p w14:paraId="4AC2A720" w14:textId="77777777" w:rsidR="004566A6" w:rsidRPr="004566A6" w:rsidRDefault="004566A6" w:rsidP="004566A6">
            <w:pPr>
              <w:spacing w:after="0" w:line="240" w:lineRule="auto"/>
              <w:jc w:val="right"/>
              <w:rPr>
                <w:rFonts w:ascii="Calibri" w:eastAsia="Times New Roman" w:hAnsi="Calibri" w:cs="Calibri"/>
                <w:sz w:val="18"/>
                <w:szCs w:val="18"/>
                <w:lang w:eastAsia="hr-HR"/>
              </w:rPr>
            </w:pPr>
            <w:r w:rsidRPr="004566A6">
              <w:rPr>
                <w:rFonts w:ascii="Calibri" w:eastAsia="Times New Roman" w:hAnsi="Calibri" w:cs="Calibri"/>
                <w:sz w:val="18"/>
                <w:szCs w:val="18"/>
                <w:lang w:eastAsia="hr-HR"/>
              </w:rPr>
              <w:t>0</w:t>
            </w:r>
          </w:p>
        </w:tc>
        <w:tc>
          <w:tcPr>
            <w:tcW w:w="448" w:type="dxa"/>
            <w:tcBorders>
              <w:top w:val="nil"/>
              <w:left w:val="nil"/>
              <w:bottom w:val="single" w:sz="4" w:space="0" w:color="auto"/>
              <w:right w:val="single" w:sz="4" w:space="0" w:color="auto"/>
            </w:tcBorders>
            <w:shd w:val="clear" w:color="000000" w:fill="66FFCC"/>
            <w:noWrap/>
            <w:vAlign w:val="bottom"/>
            <w:hideMark/>
          </w:tcPr>
          <w:p w14:paraId="28925B55" w14:textId="77777777" w:rsidR="004566A6" w:rsidRPr="004566A6" w:rsidRDefault="004566A6" w:rsidP="004566A6">
            <w:pPr>
              <w:spacing w:after="0" w:line="240" w:lineRule="auto"/>
              <w:jc w:val="right"/>
              <w:rPr>
                <w:rFonts w:ascii="Calibri" w:eastAsia="Times New Roman" w:hAnsi="Calibri" w:cs="Calibri"/>
                <w:sz w:val="18"/>
                <w:szCs w:val="18"/>
                <w:lang w:eastAsia="hr-HR"/>
              </w:rPr>
            </w:pPr>
            <w:r w:rsidRPr="004566A6">
              <w:rPr>
                <w:rFonts w:ascii="Calibri" w:eastAsia="Times New Roman" w:hAnsi="Calibri" w:cs="Calibri"/>
                <w:sz w:val="18"/>
                <w:szCs w:val="18"/>
                <w:lang w:eastAsia="hr-HR"/>
              </w:rPr>
              <w:t>0</w:t>
            </w:r>
          </w:p>
        </w:tc>
        <w:tc>
          <w:tcPr>
            <w:tcW w:w="476" w:type="dxa"/>
            <w:tcBorders>
              <w:top w:val="nil"/>
              <w:left w:val="nil"/>
              <w:bottom w:val="single" w:sz="4" w:space="0" w:color="auto"/>
              <w:right w:val="single" w:sz="4" w:space="0" w:color="auto"/>
            </w:tcBorders>
            <w:shd w:val="clear" w:color="000000" w:fill="66FFCC"/>
            <w:noWrap/>
            <w:vAlign w:val="bottom"/>
            <w:hideMark/>
          </w:tcPr>
          <w:p w14:paraId="11C68427" w14:textId="77777777" w:rsidR="004566A6" w:rsidRPr="004566A6" w:rsidRDefault="004566A6" w:rsidP="004566A6">
            <w:pPr>
              <w:spacing w:after="0" w:line="240" w:lineRule="auto"/>
              <w:jc w:val="right"/>
              <w:rPr>
                <w:rFonts w:ascii="Calibri" w:eastAsia="Times New Roman" w:hAnsi="Calibri" w:cs="Calibri"/>
                <w:sz w:val="18"/>
                <w:szCs w:val="18"/>
                <w:lang w:eastAsia="hr-HR"/>
              </w:rPr>
            </w:pPr>
            <w:r w:rsidRPr="004566A6">
              <w:rPr>
                <w:rFonts w:ascii="Calibri" w:eastAsia="Times New Roman" w:hAnsi="Calibri" w:cs="Calibri"/>
                <w:sz w:val="18"/>
                <w:szCs w:val="18"/>
                <w:lang w:eastAsia="hr-HR"/>
              </w:rPr>
              <w:t>0</w:t>
            </w:r>
          </w:p>
        </w:tc>
        <w:tc>
          <w:tcPr>
            <w:tcW w:w="557" w:type="dxa"/>
            <w:gridSpan w:val="2"/>
            <w:tcBorders>
              <w:top w:val="nil"/>
              <w:left w:val="nil"/>
              <w:bottom w:val="single" w:sz="4" w:space="0" w:color="auto"/>
              <w:right w:val="single" w:sz="4" w:space="0" w:color="auto"/>
            </w:tcBorders>
            <w:shd w:val="clear" w:color="000000" w:fill="FFFF00"/>
            <w:vAlign w:val="center"/>
            <w:hideMark/>
          </w:tcPr>
          <w:p w14:paraId="07C88F75" w14:textId="77777777" w:rsidR="004566A6" w:rsidRPr="004566A6" w:rsidRDefault="004566A6" w:rsidP="004566A6">
            <w:pPr>
              <w:spacing w:after="0" w:line="240" w:lineRule="auto"/>
              <w:jc w:val="center"/>
              <w:rPr>
                <w:rFonts w:ascii="Calibri" w:eastAsia="Times New Roman" w:hAnsi="Calibri" w:cs="Calibri"/>
                <w:sz w:val="18"/>
                <w:szCs w:val="18"/>
                <w:lang w:eastAsia="hr-HR"/>
              </w:rPr>
            </w:pPr>
            <w:r w:rsidRPr="004566A6">
              <w:rPr>
                <w:rFonts w:ascii="Calibri" w:eastAsia="Times New Roman" w:hAnsi="Calibri" w:cs="Calibri"/>
                <w:sz w:val="18"/>
                <w:szCs w:val="18"/>
                <w:lang w:eastAsia="hr-HR"/>
              </w:rPr>
              <w:t>0</w:t>
            </w:r>
          </w:p>
        </w:tc>
        <w:tc>
          <w:tcPr>
            <w:tcW w:w="515" w:type="dxa"/>
            <w:gridSpan w:val="2"/>
            <w:tcBorders>
              <w:top w:val="nil"/>
              <w:left w:val="nil"/>
              <w:bottom w:val="single" w:sz="4" w:space="0" w:color="auto"/>
              <w:right w:val="single" w:sz="4" w:space="0" w:color="auto"/>
            </w:tcBorders>
            <w:shd w:val="clear" w:color="000000" w:fill="FFFF99"/>
            <w:vAlign w:val="center"/>
            <w:hideMark/>
          </w:tcPr>
          <w:p w14:paraId="34343354" w14:textId="77777777" w:rsidR="004566A6" w:rsidRPr="004566A6" w:rsidRDefault="004566A6" w:rsidP="004566A6">
            <w:pPr>
              <w:spacing w:after="0" w:line="240" w:lineRule="auto"/>
              <w:jc w:val="center"/>
              <w:rPr>
                <w:rFonts w:ascii="Calibri" w:eastAsia="Times New Roman" w:hAnsi="Calibri" w:cs="Calibri"/>
                <w:sz w:val="18"/>
                <w:szCs w:val="18"/>
                <w:lang w:eastAsia="hr-HR"/>
              </w:rPr>
            </w:pPr>
            <w:r w:rsidRPr="004566A6">
              <w:rPr>
                <w:rFonts w:ascii="Calibri" w:eastAsia="Times New Roman" w:hAnsi="Calibri" w:cs="Calibri"/>
                <w:sz w:val="18"/>
                <w:szCs w:val="18"/>
                <w:lang w:eastAsia="hr-HR"/>
              </w:rPr>
              <w:t>0</w:t>
            </w:r>
          </w:p>
        </w:tc>
        <w:tc>
          <w:tcPr>
            <w:tcW w:w="855" w:type="dxa"/>
            <w:gridSpan w:val="2"/>
            <w:tcBorders>
              <w:top w:val="nil"/>
              <w:left w:val="nil"/>
              <w:bottom w:val="single" w:sz="4" w:space="0" w:color="auto"/>
              <w:right w:val="single" w:sz="4" w:space="0" w:color="auto"/>
            </w:tcBorders>
            <w:shd w:val="clear" w:color="000000" w:fill="FF9900"/>
            <w:vAlign w:val="center"/>
            <w:hideMark/>
          </w:tcPr>
          <w:p w14:paraId="51A1DD5B" w14:textId="77777777" w:rsidR="004566A6" w:rsidRPr="004566A6" w:rsidRDefault="004566A6" w:rsidP="004566A6">
            <w:pPr>
              <w:spacing w:after="0" w:line="240" w:lineRule="auto"/>
              <w:jc w:val="center"/>
              <w:rPr>
                <w:rFonts w:ascii="Calibri" w:eastAsia="Times New Roman" w:hAnsi="Calibri" w:cs="Calibri"/>
                <w:sz w:val="18"/>
                <w:szCs w:val="18"/>
                <w:lang w:eastAsia="hr-HR"/>
              </w:rPr>
            </w:pPr>
            <w:r w:rsidRPr="004566A6">
              <w:rPr>
                <w:rFonts w:ascii="Calibri" w:eastAsia="Times New Roman" w:hAnsi="Calibri" w:cs="Calibri"/>
                <w:sz w:val="18"/>
                <w:szCs w:val="18"/>
                <w:lang w:eastAsia="hr-HR"/>
              </w:rPr>
              <w:t>0</w:t>
            </w:r>
          </w:p>
        </w:tc>
        <w:tc>
          <w:tcPr>
            <w:tcW w:w="445" w:type="dxa"/>
            <w:gridSpan w:val="2"/>
            <w:tcBorders>
              <w:top w:val="nil"/>
              <w:left w:val="nil"/>
              <w:bottom w:val="single" w:sz="4" w:space="0" w:color="auto"/>
              <w:right w:val="single" w:sz="4" w:space="0" w:color="auto"/>
            </w:tcBorders>
            <w:shd w:val="clear" w:color="000000" w:fill="CCFFFF"/>
            <w:vAlign w:val="bottom"/>
            <w:hideMark/>
          </w:tcPr>
          <w:p w14:paraId="49B5BC9B" w14:textId="77777777" w:rsidR="004566A6" w:rsidRPr="004566A6" w:rsidRDefault="004566A6" w:rsidP="004566A6">
            <w:pPr>
              <w:spacing w:after="0" w:line="240" w:lineRule="auto"/>
              <w:jc w:val="right"/>
              <w:rPr>
                <w:rFonts w:ascii="Calibri" w:eastAsia="Times New Roman" w:hAnsi="Calibri" w:cs="Calibri"/>
                <w:sz w:val="18"/>
                <w:szCs w:val="18"/>
                <w:lang w:eastAsia="hr-HR"/>
              </w:rPr>
            </w:pPr>
            <w:r w:rsidRPr="004566A6">
              <w:rPr>
                <w:rFonts w:ascii="Calibri" w:eastAsia="Times New Roman" w:hAnsi="Calibri" w:cs="Calibri"/>
                <w:sz w:val="18"/>
                <w:szCs w:val="18"/>
                <w:lang w:eastAsia="hr-HR"/>
              </w:rPr>
              <w:t>0</w:t>
            </w:r>
          </w:p>
        </w:tc>
        <w:tc>
          <w:tcPr>
            <w:tcW w:w="445" w:type="dxa"/>
            <w:tcBorders>
              <w:top w:val="nil"/>
              <w:left w:val="nil"/>
              <w:bottom w:val="single" w:sz="4" w:space="0" w:color="auto"/>
              <w:right w:val="single" w:sz="4" w:space="0" w:color="auto"/>
            </w:tcBorders>
            <w:shd w:val="clear" w:color="000000" w:fill="CCFFFF"/>
            <w:vAlign w:val="bottom"/>
            <w:hideMark/>
          </w:tcPr>
          <w:p w14:paraId="5C116A43" w14:textId="77777777" w:rsidR="004566A6" w:rsidRPr="004566A6" w:rsidRDefault="004566A6" w:rsidP="004566A6">
            <w:pPr>
              <w:spacing w:after="0" w:line="240" w:lineRule="auto"/>
              <w:jc w:val="right"/>
              <w:rPr>
                <w:rFonts w:ascii="Calibri" w:eastAsia="Times New Roman" w:hAnsi="Calibri" w:cs="Calibri"/>
                <w:sz w:val="18"/>
                <w:szCs w:val="18"/>
                <w:lang w:eastAsia="hr-HR"/>
              </w:rPr>
            </w:pPr>
            <w:r w:rsidRPr="004566A6">
              <w:rPr>
                <w:rFonts w:ascii="Calibri" w:eastAsia="Times New Roman" w:hAnsi="Calibri" w:cs="Calibri"/>
                <w:sz w:val="18"/>
                <w:szCs w:val="18"/>
                <w:lang w:eastAsia="hr-HR"/>
              </w:rPr>
              <w:t>0</w:t>
            </w:r>
          </w:p>
        </w:tc>
        <w:tc>
          <w:tcPr>
            <w:tcW w:w="505" w:type="dxa"/>
            <w:tcBorders>
              <w:top w:val="nil"/>
              <w:left w:val="nil"/>
              <w:bottom w:val="single" w:sz="4" w:space="0" w:color="auto"/>
              <w:right w:val="single" w:sz="4" w:space="0" w:color="auto"/>
            </w:tcBorders>
            <w:shd w:val="clear" w:color="000000" w:fill="CCFFFF"/>
            <w:vAlign w:val="bottom"/>
            <w:hideMark/>
          </w:tcPr>
          <w:p w14:paraId="23267205" w14:textId="77777777" w:rsidR="004566A6" w:rsidRPr="004566A6" w:rsidRDefault="004566A6" w:rsidP="004566A6">
            <w:pPr>
              <w:spacing w:after="0" w:line="240" w:lineRule="auto"/>
              <w:jc w:val="right"/>
              <w:rPr>
                <w:rFonts w:ascii="Calibri" w:eastAsia="Times New Roman" w:hAnsi="Calibri" w:cs="Calibri"/>
                <w:sz w:val="18"/>
                <w:szCs w:val="18"/>
                <w:lang w:eastAsia="hr-HR"/>
              </w:rPr>
            </w:pPr>
            <w:r w:rsidRPr="004566A6">
              <w:rPr>
                <w:rFonts w:ascii="Calibri" w:eastAsia="Times New Roman" w:hAnsi="Calibri" w:cs="Calibri"/>
                <w:sz w:val="18"/>
                <w:szCs w:val="18"/>
                <w:lang w:eastAsia="hr-HR"/>
              </w:rPr>
              <w:t>0</w:t>
            </w:r>
          </w:p>
        </w:tc>
        <w:tc>
          <w:tcPr>
            <w:tcW w:w="797" w:type="dxa"/>
            <w:gridSpan w:val="2"/>
            <w:tcBorders>
              <w:top w:val="nil"/>
              <w:left w:val="nil"/>
              <w:bottom w:val="single" w:sz="4" w:space="0" w:color="auto"/>
              <w:right w:val="nil"/>
            </w:tcBorders>
            <w:shd w:val="clear" w:color="000000" w:fill="33CCCC"/>
            <w:noWrap/>
            <w:vAlign w:val="bottom"/>
            <w:hideMark/>
          </w:tcPr>
          <w:p w14:paraId="14F0EFF4" w14:textId="77777777" w:rsidR="004566A6" w:rsidRPr="004566A6" w:rsidRDefault="004566A6" w:rsidP="004566A6">
            <w:pPr>
              <w:spacing w:after="0" w:line="240" w:lineRule="auto"/>
              <w:jc w:val="right"/>
              <w:rPr>
                <w:rFonts w:ascii="Calibri" w:eastAsia="Times New Roman" w:hAnsi="Calibri" w:cs="Calibri"/>
                <w:sz w:val="18"/>
                <w:szCs w:val="18"/>
                <w:lang w:eastAsia="hr-HR"/>
              </w:rPr>
            </w:pPr>
            <w:r w:rsidRPr="004566A6">
              <w:rPr>
                <w:rFonts w:ascii="Calibri" w:eastAsia="Times New Roman" w:hAnsi="Calibri" w:cs="Calibri"/>
                <w:sz w:val="18"/>
                <w:szCs w:val="18"/>
                <w:lang w:eastAsia="hr-HR"/>
              </w:rPr>
              <w:t>0</w:t>
            </w:r>
          </w:p>
        </w:tc>
        <w:tc>
          <w:tcPr>
            <w:tcW w:w="425" w:type="dxa"/>
            <w:gridSpan w:val="3"/>
            <w:tcBorders>
              <w:top w:val="nil"/>
              <w:left w:val="single" w:sz="4" w:space="0" w:color="auto"/>
              <w:bottom w:val="single" w:sz="4" w:space="0" w:color="auto"/>
              <w:right w:val="nil"/>
            </w:tcBorders>
            <w:shd w:val="clear" w:color="000000" w:fill="33CCCC"/>
            <w:noWrap/>
            <w:vAlign w:val="bottom"/>
            <w:hideMark/>
          </w:tcPr>
          <w:p w14:paraId="7A3217B6" w14:textId="77777777" w:rsidR="004566A6" w:rsidRPr="004566A6" w:rsidRDefault="004566A6" w:rsidP="004566A6">
            <w:pPr>
              <w:spacing w:after="0" w:line="240" w:lineRule="auto"/>
              <w:jc w:val="right"/>
              <w:rPr>
                <w:rFonts w:ascii="Calibri" w:eastAsia="Times New Roman" w:hAnsi="Calibri" w:cs="Calibri"/>
                <w:sz w:val="18"/>
                <w:szCs w:val="18"/>
                <w:lang w:eastAsia="hr-HR"/>
              </w:rPr>
            </w:pPr>
            <w:r w:rsidRPr="004566A6">
              <w:rPr>
                <w:rFonts w:ascii="Calibri" w:eastAsia="Times New Roman" w:hAnsi="Calibri" w:cs="Calibri"/>
                <w:sz w:val="18"/>
                <w:szCs w:val="18"/>
                <w:lang w:eastAsia="hr-HR"/>
              </w:rPr>
              <w:t>0</w:t>
            </w:r>
          </w:p>
        </w:tc>
        <w:tc>
          <w:tcPr>
            <w:tcW w:w="236" w:type="dxa"/>
            <w:gridSpan w:val="2"/>
            <w:vAlign w:val="center"/>
            <w:hideMark/>
          </w:tcPr>
          <w:p w14:paraId="6EC4AA88" w14:textId="77777777" w:rsidR="004566A6" w:rsidRPr="004566A6" w:rsidRDefault="004566A6" w:rsidP="004566A6">
            <w:pPr>
              <w:spacing w:after="0" w:line="240" w:lineRule="auto"/>
              <w:rPr>
                <w:rFonts w:ascii="Times New Roman" w:eastAsia="Times New Roman" w:hAnsi="Times New Roman" w:cs="Times New Roman"/>
                <w:sz w:val="18"/>
                <w:szCs w:val="18"/>
                <w:lang w:eastAsia="hr-HR"/>
              </w:rPr>
            </w:pPr>
          </w:p>
        </w:tc>
      </w:tr>
      <w:tr w:rsidR="003D0C85" w:rsidRPr="004566A6" w14:paraId="64BDFB06" w14:textId="77777777" w:rsidTr="003D0C85">
        <w:trPr>
          <w:trHeight w:val="300"/>
        </w:trPr>
        <w:tc>
          <w:tcPr>
            <w:tcW w:w="1397" w:type="dxa"/>
            <w:tcBorders>
              <w:top w:val="single" w:sz="4" w:space="0" w:color="auto"/>
              <w:left w:val="single" w:sz="8" w:space="0" w:color="auto"/>
              <w:bottom w:val="single" w:sz="4" w:space="0" w:color="auto"/>
              <w:right w:val="single" w:sz="4" w:space="0" w:color="auto"/>
            </w:tcBorders>
            <w:shd w:val="clear" w:color="000000" w:fill="CCFFCC"/>
            <w:vAlign w:val="center"/>
            <w:hideMark/>
          </w:tcPr>
          <w:p w14:paraId="6B59609F" w14:textId="77777777" w:rsidR="004566A6" w:rsidRPr="004566A6" w:rsidRDefault="004566A6" w:rsidP="004566A6">
            <w:pPr>
              <w:spacing w:after="0" w:line="240" w:lineRule="auto"/>
              <w:jc w:val="center"/>
              <w:rPr>
                <w:rFonts w:ascii="Calibri" w:eastAsia="Times New Roman" w:hAnsi="Calibri" w:cs="Calibri"/>
                <w:sz w:val="18"/>
                <w:szCs w:val="18"/>
                <w:lang w:eastAsia="hr-HR"/>
              </w:rPr>
            </w:pPr>
            <w:r w:rsidRPr="004566A6">
              <w:rPr>
                <w:rFonts w:ascii="Calibri" w:eastAsia="Times New Roman" w:hAnsi="Calibri" w:cs="Calibri"/>
                <w:sz w:val="18"/>
                <w:szCs w:val="18"/>
                <w:lang w:eastAsia="hr-HR"/>
              </w:rPr>
              <w:t>Rodni identitet   rodno izražavanje</w:t>
            </w:r>
          </w:p>
        </w:tc>
        <w:tc>
          <w:tcPr>
            <w:tcW w:w="576" w:type="dxa"/>
            <w:tcBorders>
              <w:top w:val="nil"/>
              <w:left w:val="nil"/>
              <w:bottom w:val="single" w:sz="4" w:space="0" w:color="auto"/>
              <w:right w:val="single" w:sz="4" w:space="0" w:color="auto"/>
            </w:tcBorders>
            <w:shd w:val="clear" w:color="000000" w:fill="CCFFCC"/>
            <w:vAlign w:val="center"/>
            <w:hideMark/>
          </w:tcPr>
          <w:p w14:paraId="5EDCAECB" w14:textId="77777777" w:rsidR="004566A6" w:rsidRPr="004566A6" w:rsidRDefault="004566A6" w:rsidP="004566A6">
            <w:pPr>
              <w:spacing w:after="0" w:line="240" w:lineRule="auto"/>
              <w:jc w:val="center"/>
              <w:rPr>
                <w:rFonts w:ascii="Calibri" w:eastAsia="Times New Roman" w:hAnsi="Calibri" w:cs="Calibri"/>
                <w:sz w:val="18"/>
                <w:szCs w:val="18"/>
                <w:lang w:eastAsia="hr-HR"/>
              </w:rPr>
            </w:pPr>
            <w:r w:rsidRPr="004566A6">
              <w:rPr>
                <w:rFonts w:ascii="Calibri" w:eastAsia="Times New Roman" w:hAnsi="Calibri" w:cs="Calibri"/>
                <w:sz w:val="18"/>
                <w:szCs w:val="18"/>
                <w:lang w:eastAsia="hr-HR"/>
              </w:rPr>
              <w:t>2</w:t>
            </w:r>
          </w:p>
        </w:tc>
        <w:tc>
          <w:tcPr>
            <w:tcW w:w="444" w:type="dxa"/>
            <w:tcBorders>
              <w:top w:val="nil"/>
              <w:left w:val="nil"/>
              <w:bottom w:val="single" w:sz="4" w:space="0" w:color="auto"/>
              <w:right w:val="single" w:sz="4" w:space="0" w:color="auto"/>
            </w:tcBorders>
            <w:shd w:val="clear" w:color="000000" w:fill="FFCC99"/>
            <w:noWrap/>
            <w:vAlign w:val="bottom"/>
            <w:hideMark/>
          </w:tcPr>
          <w:p w14:paraId="532A857A" w14:textId="77777777" w:rsidR="004566A6" w:rsidRPr="004566A6" w:rsidRDefault="004566A6" w:rsidP="004566A6">
            <w:pPr>
              <w:spacing w:after="0" w:line="240" w:lineRule="auto"/>
              <w:jc w:val="center"/>
              <w:rPr>
                <w:rFonts w:ascii="Calibri" w:eastAsia="Times New Roman" w:hAnsi="Calibri" w:cs="Calibri"/>
                <w:sz w:val="18"/>
                <w:szCs w:val="18"/>
                <w:lang w:eastAsia="hr-HR"/>
              </w:rPr>
            </w:pPr>
            <w:r w:rsidRPr="004566A6">
              <w:rPr>
                <w:rFonts w:ascii="Calibri" w:eastAsia="Times New Roman" w:hAnsi="Calibri" w:cs="Calibri"/>
                <w:sz w:val="18"/>
                <w:szCs w:val="18"/>
                <w:lang w:eastAsia="hr-HR"/>
              </w:rPr>
              <w:t>2</w:t>
            </w:r>
          </w:p>
        </w:tc>
        <w:tc>
          <w:tcPr>
            <w:tcW w:w="405" w:type="dxa"/>
            <w:tcBorders>
              <w:top w:val="nil"/>
              <w:left w:val="nil"/>
              <w:bottom w:val="single" w:sz="4" w:space="0" w:color="auto"/>
              <w:right w:val="single" w:sz="4" w:space="0" w:color="auto"/>
            </w:tcBorders>
            <w:shd w:val="clear" w:color="000000" w:fill="CCFFFF"/>
            <w:noWrap/>
            <w:vAlign w:val="bottom"/>
            <w:hideMark/>
          </w:tcPr>
          <w:p w14:paraId="214F6A18" w14:textId="77777777" w:rsidR="004566A6" w:rsidRPr="004566A6" w:rsidRDefault="004566A6" w:rsidP="004566A6">
            <w:pPr>
              <w:spacing w:after="0" w:line="240" w:lineRule="auto"/>
              <w:jc w:val="right"/>
              <w:rPr>
                <w:rFonts w:ascii="Calibri" w:eastAsia="Times New Roman" w:hAnsi="Calibri" w:cs="Calibri"/>
                <w:sz w:val="18"/>
                <w:szCs w:val="18"/>
                <w:lang w:eastAsia="hr-HR"/>
              </w:rPr>
            </w:pPr>
            <w:r w:rsidRPr="004566A6">
              <w:rPr>
                <w:rFonts w:ascii="Calibri" w:eastAsia="Times New Roman" w:hAnsi="Calibri" w:cs="Calibri"/>
                <w:sz w:val="18"/>
                <w:szCs w:val="18"/>
                <w:lang w:eastAsia="hr-HR"/>
              </w:rPr>
              <w:t>1</w:t>
            </w:r>
          </w:p>
        </w:tc>
        <w:tc>
          <w:tcPr>
            <w:tcW w:w="462" w:type="dxa"/>
            <w:tcBorders>
              <w:top w:val="nil"/>
              <w:left w:val="nil"/>
              <w:bottom w:val="single" w:sz="4" w:space="0" w:color="auto"/>
              <w:right w:val="single" w:sz="4" w:space="0" w:color="auto"/>
            </w:tcBorders>
            <w:shd w:val="clear" w:color="000000" w:fill="CCFFFF"/>
            <w:noWrap/>
            <w:vAlign w:val="bottom"/>
            <w:hideMark/>
          </w:tcPr>
          <w:p w14:paraId="7EA5ED36" w14:textId="77777777" w:rsidR="004566A6" w:rsidRPr="004566A6" w:rsidRDefault="004566A6" w:rsidP="004566A6">
            <w:pPr>
              <w:spacing w:after="0" w:line="240" w:lineRule="auto"/>
              <w:jc w:val="right"/>
              <w:rPr>
                <w:rFonts w:ascii="Calibri" w:eastAsia="Times New Roman" w:hAnsi="Calibri" w:cs="Calibri"/>
                <w:sz w:val="18"/>
                <w:szCs w:val="18"/>
                <w:lang w:eastAsia="hr-HR"/>
              </w:rPr>
            </w:pPr>
            <w:r w:rsidRPr="004566A6">
              <w:rPr>
                <w:rFonts w:ascii="Calibri" w:eastAsia="Times New Roman" w:hAnsi="Calibri" w:cs="Calibri"/>
                <w:sz w:val="18"/>
                <w:szCs w:val="18"/>
                <w:lang w:eastAsia="hr-HR"/>
              </w:rPr>
              <w:t>0</w:t>
            </w:r>
          </w:p>
        </w:tc>
        <w:tc>
          <w:tcPr>
            <w:tcW w:w="455" w:type="dxa"/>
            <w:tcBorders>
              <w:top w:val="nil"/>
              <w:left w:val="nil"/>
              <w:bottom w:val="single" w:sz="4" w:space="0" w:color="auto"/>
              <w:right w:val="single" w:sz="4" w:space="0" w:color="auto"/>
            </w:tcBorders>
            <w:shd w:val="clear" w:color="000000" w:fill="FFFF99"/>
            <w:noWrap/>
            <w:vAlign w:val="bottom"/>
            <w:hideMark/>
          </w:tcPr>
          <w:p w14:paraId="3E8A304C" w14:textId="77777777" w:rsidR="004566A6" w:rsidRPr="004566A6" w:rsidRDefault="004566A6" w:rsidP="004566A6">
            <w:pPr>
              <w:spacing w:after="0" w:line="240" w:lineRule="auto"/>
              <w:jc w:val="center"/>
              <w:rPr>
                <w:rFonts w:ascii="Calibri" w:eastAsia="Times New Roman" w:hAnsi="Calibri" w:cs="Calibri"/>
                <w:sz w:val="18"/>
                <w:szCs w:val="18"/>
                <w:lang w:eastAsia="hr-HR"/>
              </w:rPr>
            </w:pPr>
            <w:r w:rsidRPr="004566A6">
              <w:rPr>
                <w:rFonts w:ascii="Calibri" w:eastAsia="Times New Roman" w:hAnsi="Calibri" w:cs="Calibri"/>
                <w:sz w:val="18"/>
                <w:szCs w:val="18"/>
                <w:lang w:eastAsia="hr-HR"/>
              </w:rPr>
              <w:t>2</w:t>
            </w:r>
          </w:p>
        </w:tc>
        <w:tc>
          <w:tcPr>
            <w:tcW w:w="567" w:type="dxa"/>
            <w:tcBorders>
              <w:top w:val="nil"/>
              <w:left w:val="nil"/>
              <w:bottom w:val="single" w:sz="4" w:space="0" w:color="auto"/>
              <w:right w:val="single" w:sz="4" w:space="0" w:color="auto"/>
            </w:tcBorders>
            <w:shd w:val="clear" w:color="000000" w:fill="FFFF99"/>
            <w:noWrap/>
            <w:vAlign w:val="bottom"/>
            <w:hideMark/>
          </w:tcPr>
          <w:p w14:paraId="566B9ADD" w14:textId="77777777" w:rsidR="004566A6" w:rsidRPr="004566A6" w:rsidRDefault="004566A6" w:rsidP="004566A6">
            <w:pPr>
              <w:spacing w:after="0" w:line="240" w:lineRule="auto"/>
              <w:jc w:val="center"/>
              <w:rPr>
                <w:rFonts w:ascii="Calibri" w:eastAsia="Times New Roman" w:hAnsi="Calibri" w:cs="Calibri"/>
                <w:sz w:val="18"/>
                <w:szCs w:val="18"/>
                <w:lang w:eastAsia="hr-HR"/>
              </w:rPr>
            </w:pPr>
            <w:r w:rsidRPr="004566A6">
              <w:rPr>
                <w:rFonts w:ascii="Calibri" w:eastAsia="Times New Roman" w:hAnsi="Calibri" w:cs="Calibri"/>
                <w:sz w:val="18"/>
                <w:szCs w:val="18"/>
                <w:lang w:eastAsia="hr-HR"/>
              </w:rPr>
              <w:t>0</w:t>
            </w:r>
          </w:p>
        </w:tc>
        <w:tc>
          <w:tcPr>
            <w:tcW w:w="708" w:type="dxa"/>
            <w:tcBorders>
              <w:top w:val="nil"/>
              <w:left w:val="nil"/>
              <w:bottom w:val="single" w:sz="4" w:space="0" w:color="auto"/>
              <w:right w:val="single" w:sz="4" w:space="0" w:color="auto"/>
            </w:tcBorders>
            <w:shd w:val="clear" w:color="000000" w:fill="FFFF99"/>
            <w:noWrap/>
            <w:vAlign w:val="bottom"/>
            <w:hideMark/>
          </w:tcPr>
          <w:p w14:paraId="79210685" w14:textId="77777777" w:rsidR="004566A6" w:rsidRPr="004566A6" w:rsidRDefault="004566A6" w:rsidP="004566A6">
            <w:pPr>
              <w:spacing w:after="0" w:line="240" w:lineRule="auto"/>
              <w:jc w:val="center"/>
              <w:rPr>
                <w:rFonts w:ascii="Calibri" w:eastAsia="Times New Roman" w:hAnsi="Calibri" w:cs="Calibri"/>
                <w:sz w:val="18"/>
                <w:szCs w:val="18"/>
                <w:lang w:eastAsia="hr-HR"/>
              </w:rPr>
            </w:pPr>
            <w:r w:rsidRPr="004566A6">
              <w:rPr>
                <w:rFonts w:ascii="Calibri" w:eastAsia="Times New Roman" w:hAnsi="Calibri" w:cs="Calibri"/>
                <w:sz w:val="18"/>
                <w:szCs w:val="18"/>
                <w:lang w:eastAsia="hr-HR"/>
              </w:rPr>
              <w:t>0</w:t>
            </w:r>
          </w:p>
        </w:tc>
        <w:tc>
          <w:tcPr>
            <w:tcW w:w="448" w:type="dxa"/>
            <w:tcBorders>
              <w:top w:val="nil"/>
              <w:left w:val="nil"/>
              <w:bottom w:val="single" w:sz="4" w:space="0" w:color="auto"/>
              <w:right w:val="single" w:sz="4" w:space="0" w:color="auto"/>
            </w:tcBorders>
            <w:shd w:val="clear" w:color="000000" w:fill="FFFF99"/>
            <w:noWrap/>
            <w:vAlign w:val="bottom"/>
            <w:hideMark/>
          </w:tcPr>
          <w:p w14:paraId="03040E49" w14:textId="77777777" w:rsidR="004566A6" w:rsidRPr="004566A6" w:rsidRDefault="004566A6" w:rsidP="004566A6">
            <w:pPr>
              <w:spacing w:after="0" w:line="240" w:lineRule="auto"/>
              <w:jc w:val="center"/>
              <w:rPr>
                <w:rFonts w:ascii="Calibri" w:eastAsia="Times New Roman" w:hAnsi="Calibri" w:cs="Calibri"/>
                <w:sz w:val="18"/>
                <w:szCs w:val="18"/>
                <w:lang w:eastAsia="hr-HR"/>
              </w:rPr>
            </w:pPr>
            <w:r w:rsidRPr="004566A6">
              <w:rPr>
                <w:rFonts w:ascii="Calibri" w:eastAsia="Times New Roman" w:hAnsi="Calibri" w:cs="Calibri"/>
                <w:sz w:val="18"/>
                <w:szCs w:val="18"/>
                <w:lang w:eastAsia="hr-HR"/>
              </w:rPr>
              <w:t>0</w:t>
            </w:r>
          </w:p>
        </w:tc>
        <w:tc>
          <w:tcPr>
            <w:tcW w:w="680" w:type="dxa"/>
            <w:tcBorders>
              <w:top w:val="nil"/>
              <w:left w:val="nil"/>
              <w:bottom w:val="single" w:sz="4" w:space="0" w:color="auto"/>
              <w:right w:val="single" w:sz="4" w:space="0" w:color="auto"/>
            </w:tcBorders>
            <w:shd w:val="clear" w:color="000000" w:fill="FFFF99"/>
            <w:noWrap/>
            <w:vAlign w:val="bottom"/>
            <w:hideMark/>
          </w:tcPr>
          <w:p w14:paraId="4DA4C4A2" w14:textId="77777777" w:rsidR="004566A6" w:rsidRPr="004566A6" w:rsidRDefault="004566A6" w:rsidP="004566A6">
            <w:pPr>
              <w:spacing w:after="0" w:line="240" w:lineRule="auto"/>
              <w:jc w:val="center"/>
              <w:rPr>
                <w:rFonts w:ascii="Calibri" w:eastAsia="Times New Roman" w:hAnsi="Calibri" w:cs="Calibri"/>
                <w:sz w:val="18"/>
                <w:szCs w:val="18"/>
                <w:lang w:eastAsia="hr-HR"/>
              </w:rPr>
            </w:pPr>
            <w:r w:rsidRPr="004566A6">
              <w:rPr>
                <w:rFonts w:ascii="Calibri" w:eastAsia="Times New Roman" w:hAnsi="Calibri" w:cs="Calibri"/>
                <w:sz w:val="18"/>
                <w:szCs w:val="18"/>
                <w:lang w:eastAsia="hr-HR"/>
              </w:rPr>
              <w:t>0</w:t>
            </w:r>
          </w:p>
        </w:tc>
        <w:tc>
          <w:tcPr>
            <w:tcW w:w="573" w:type="dxa"/>
            <w:gridSpan w:val="2"/>
            <w:tcBorders>
              <w:top w:val="nil"/>
              <w:left w:val="nil"/>
              <w:bottom w:val="single" w:sz="4" w:space="0" w:color="auto"/>
              <w:right w:val="single" w:sz="4" w:space="0" w:color="auto"/>
            </w:tcBorders>
            <w:shd w:val="clear" w:color="000000" w:fill="FF9900"/>
            <w:noWrap/>
            <w:vAlign w:val="bottom"/>
            <w:hideMark/>
          </w:tcPr>
          <w:p w14:paraId="45186AF2" w14:textId="77777777" w:rsidR="004566A6" w:rsidRPr="004566A6" w:rsidRDefault="004566A6" w:rsidP="004566A6">
            <w:pPr>
              <w:spacing w:after="0" w:line="240" w:lineRule="auto"/>
              <w:jc w:val="right"/>
              <w:rPr>
                <w:rFonts w:ascii="Calibri" w:eastAsia="Times New Roman" w:hAnsi="Calibri" w:cs="Calibri"/>
                <w:sz w:val="18"/>
                <w:szCs w:val="18"/>
                <w:lang w:eastAsia="hr-HR"/>
              </w:rPr>
            </w:pPr>
            <w:r w:rsidRPr="004566A6">
              <w:rPr>
                <w:rFonts w:ascii="Calibri" w:eastAsia="Times New Roman" w:hAnsi="Calibri" w:cs="Calibri"/>
                <w:sz w:val="18"/>
                <w:szCs w:val="18"/>
                <w:lang w:eastAsia="hr-HR"/>
              </w:rPr>
              <w:t>1</w:t>
            </w:r>
          </w:p>
        </w:tc>
        <w:tc>
          <w:tcPr>
            <w:tcW w:w="567" w:type="dxa"/>
            <w:tcBorders>
              <w:top w:val="nil"/>
              <w:left w:val="nil"/>
              <w:bottom w:val="single" w:sz="4" w:space="0" w:color="auto"/>
              <w:right w:val="single" w:sz="4" w:space="0" w:color="auto"/>
            </w:tcBorders>
            <w:shd w:val="clear" w:color="000000" w:fill="FF9900"/>
            <w:noWrap/>
            <w:vAlign w:val="bottom"/>
            <w:hideMark/>
          </w:tcPr>
          <w:p w14:paraId="54CBAC91" w14:textId="77777777" w:rsidR="004566A6" w:rsidRPr="004566A6" w:rsidRDefault="004566A6" w:rsidP="004566A6">
            <w:pPr>
              <w:spacing w:after="0" w:line="240" w:lineRule="auto"/>
              <w:jc w:val="right"/>
              <w:rPr>
                <w:rFonts w:ascii="Calibri" w:eastAsia="Times New Roman" w:hAnsi="Calibri" w:cs="Calibri"/>
                <w:sz w:val="18"/>
                <w:szCs w:val="18"/>
                <w:lang w:eastAsia="hr-HR"/>
              </w:rPr>
            </w:pPr>
            <w:r w:rsidRPr="004566A6">
              <w:rPr>
                <w:rFonts w:ascii="Calibri" w:eastAsia="Times New Roman" w:hAnsi="Calibri" w:cs="Calibri"/>
                <w:sz w:val="18"/>
                <w:szCs w:val="18"/>
                <w:lang w:eastAsia="hr-HR"/>
              </w:rPr>
              <w:t>0</w:t>
            </w:r>
          </w:p>
        </w:tc>
        <w:tc>
          <w:tcPr>
            <w:tcW w:w="448" w:type="dxa"/>
            <w:tcBorders>
              <w:top w:val="nil"/>
              <w:left w:val="nil"/>
              <w:bottom w:val="single" w:sz="4" w:space="0" w:color="auto"/>
              <w:right w:val="single" w:sz="4" w:space="0" w:color="auto"/>
            </w:tcBorders>
            <w:shd w:val="clear" w:color="000000" w:fill="FF9900"/>
            <w:noWrap/>
            <w:vAlign w:val="bottom"/>
            <w:hideMark/>
          </w:tcPr>
          <w:p w14:paraId="24A80AAC" w14:textId="77777777" w:rsidR="004566A6" w:rsidRPr="004566A6" w:rsidRDefault="004566A6" w:rsidP="004566A6">
            <w:pPr>
              <w:spacing w:after="0" w:line="240" w:lineRule="auto"/>
              <w:jc w:val="right"/>
              <w:rPr>
                <w:rFonts w:ascii="Calibri" w:eastAsia="Times New Roman" w:hAnsi="Calibri" w:cs="Calibri"/>
                <w:sz w:val="18"/>
                <w:szCs w:val="18"/>
                <w:lang w:eastAsia="hr-HR"/>
              </w:rPr>
            </w:pPr>
            <w:r w:rsidRPr="004566A6">
              <w:rPr>
                <w:rFonts w:ascii="Calibri" w:eastAsia="Times New Roman" w:hAnsi="Calibri" w:cs="Calibri"/>
                <w:sz w:val="18"/>
                <w:szCs w:val="18"/>
                <w:lang w:eastAsia="hr-HR"/>
              </w:rPr>
              <w:t>0</w:t>
            </w:r>
          </w:p>
        </w:tc>
        <w:tc>
          <w:tcPr>
            <w:tcW w:w="448" w:type="dxa"/>
            <w:gridSpan w:val="2"/>
            <w:tcBorders>
              <w:top w:val="nil"/>
              <w:left w:val="nil"/>
              <w:bottom w:val="single" w:sz="4" w:space="0" w:color="auto"/>
              <w:right w:val="single" w:sz="4" w:space="0" w:color="auto"/>
            </w:tcBorders>
            <w:shd w:val="clear" w:color="000000" w:fill="66FFCC"/>
            <w:noWrap/>
            <w:vAlign w:val="bottom"/>
            <w:hideMark/>
          </w:tcPr>
          <w:p w14:paraId="5DAE33B6" w14:textId="77777777" w:rsidR="004566A6" w:rsidRPr="004566A6" w:rsidRDefault="004566A6" w:rsidP="004566A6">
            <w:pPr>
              <w:spacing w:after="0" w:line="240" w:lineRule="auto"/>
              <w:jc w:val="right"/>
              <w:rPr>
                <w:rFonts w:ascii="Calibri" w:eastAsia="Times New Roman" w:hAnsi="Calibri" w:cs="Calibri"/>
                <w:sz w:val="18"/>
                <w:szCs w:val="18"/>
                <w:lang w:eastAsia="hr-HR"/>
              </w:rPr>
            </w:pPr>
            <w:r w:rsidRPr="004566A6">
              <w:rPr>
                <w:rFonts w:ascii="Calibri" w:eastAsia="Times New Roman" w:hAnsi="Calibri" w:cs="Calibri"/>
                <w:sz w:val="18"/>
                <w:szCs w:val="18"/>
                <w:lang w:eastAsia="hr-HR"/>
              </w:rPr>
              <w:t>0</w:t>
            </w:r>
          </w:p>
        </w:tc>
        <w:tc>
          <w:tcPr>
            <w:tcW w:w="448" w:type="dxa"/>
            <w:tcBorders>
              <w:top w:val="nil"/>
              <w:left w:val="nil"/>
              <w:bottom w:val="single" w:sz="4" w:space="0" w:color="auto"/>
              <w:right w:val="single" w:sz="4" w:space="0" w:color="auto"/>
            </w:tcBorders>
            <w:shd w:val="clear" w:color="000000" w:fill="66FFCC"/>
            <w:noWrap/>
            <w:vAlign w:val="bottom"/>
            <w:hideMark/>
          </w:tcPr>
          <w:p w14:paraId="7F02B50A" w14:textId="77777777" w:rsidR="004566A6" w:rsidRPr="004566A6" w:rsidRDefault="004566A6" w:rsidP="004566A6">
            <w:pPr>
              <w:spacing w:after="0" w:line="240" w:lineRule="auto"/>
              <w:jc w:val="right"/>
              <w:rPr>
                <w:rFonts w:ascii="Calibri" w:eastAsia="Times New Roman" w:hAnsi="Calibri" w:cs="Calibri"/>
                <w:sz w:val="18"/>
                <w:szCs w:val="18"/>
                <w:lang w:eastAsia="hr-HR"/>
              </w:rPr>
            </w:pPr>
            <w:r w:rsidRPr="004566A6">
              <w:rPr>
                <w:rFonts w:ascii="Calibri" w:eastAsia="Times New Roman" w:hAnsi="Calibri" w:cs="Calibri"/>
                <w:sz w:val="18"/>
                <w:szCs w:val="18"/>
                <w:lang w:eastAsia="hr-HR"/>
              </w:rPr>
              <w:t>1</w:t>
            </w:r>
          </w:p>
        </w:tc>
        <w:tc>
          <w:tcPr>
            <w:tcW w:w="448" w:type="dxa"/>
            <w:tcBorders>
              <w:top w:val="nil"/>
              <w:left w:val="nil"/>
              <w:bottom w:val="single" w:sz="4" w:space="0" w:color="auto"/>
              <w:right w:val="single" w:sz="4" w:space="0" w:color="auto"/>
            </w:tcBorders>
            <w:shd w:val="clear" w:color="000000" w:fill="66FFCC"/>
            <w:noWrap/>
            <w:vAlign w:val="bottom"/>
            <w:hideMark/>
          </w:tcPr>
          <w:p w14:paraId="25E83E5D" w14:textId="77777777" w:rsidR="004566A6" w:rsidRPr="004566A6" w:rsidRDefault="004566A6" w:rsidP="004566A6">
            <w:pPr>
              <w:spacing w:after="0" w:line="240" w:lineRule="auto"/>
              <w:jc w:val="right"/>
              <w:rPr>
                <w:rFonts w:ascii="Calibri" w:eastAsia="Times New Roman" w:hAnsi="Calibri" w:cs="Calibri"/>
                <w:sz w:val="18"/>
                <w:szCs w:val="18"/>
                <w:lang w:eastAsia="hr-HR"/>
              </w:rPr>
            </w:pPr>
            <w:r w:rsidRPr="004566A6">
              <w:rPr>
                <w:rFonts w:ascii="Calibri" w:eastAsia="Times New Roman" w:hAnsi="Calibri" w:cs="Calibri"/>
                <w:sz w:val="18"/>
                <w:szCs w:val="18"/>
                <w:lang w:eastAsia="hr-HR"/>
              </w:rPr>
              <w:t>0</w:t>
            </w:r>
          </w:p>
        </w:tc>
        <w:tc>
          <w:tcPr>
            <w:tcW w:w="476" w:type="dxa"/>
            <w:tcBorders>
              <w:top w:val="nil"/>
              <w:left w:val="nil"/>
              <w:bottom w:val="single" w:sz="4" w:space="0" w:color="auto"/>
              <w:right w:val="single" w:sz="4" w:space="0" w:color="auto"/>
            </w:tcBorders>
            <w:shd w:val="clear" w:color="000000" w:fill="66FFCC"/>
            <w:noWrap/>
            <w:vAlign w:val="bottom"/>
            <w:hideMark/>
          </w:tcPr>
          <w:p w14:paraId="59AD47D5" w14:textId="77777777" w:rsidR="004566A6" w:rsidRPr="004566A6" w:rsidRDefault="004566A6" w:rsidP="004566A6">
            <w:pPr>
              <w:spacing w:after="0" w:line="240" w:lineRule="auto"/>
              <w:jc w:val="right"/>
              <w:rPr>
                <w:rFonts w:ascii="Calibri" w:eastAsia="Times New Roman" w:hAnsi="Calibri" w:cs="Calibri"/>
                <w:sz w:val="18"/>
                <w:szCs w:val="18"/>
                <w:lang w:eastAsia="hr-HR"/>
              </w:rPr>
            </w:pPr>
            <w:r w:rsidRPr="004566A6">
              <w:rPr>
                <w:rFonts w:ascii="Calibri" w:eastAsia="Times New Roman" w:hAnsi="Calibri" w:cs="Calibri"/>
                <w:sz w:val="18"/>
                <w:szCs w:val="18"/>
                <w:lang w:eastAsia="hr-HR"/>
              </w:rPr>
              <w:t>1</w:t>
            </w:r>
          </w:p>
        </w:tc>
        <w:tc>
          <w:tcPr>
            <w:tcW w:w="557" w:type="dxa"/>
            <w:gridSpan w:val="2"/>
            <w:tcBorders>
              <w:top w:val="nil"/>
              <w:left w:val="nil"/>
              <w:bottom w:val="single" w:sz="4" w:space="0" w:color="auto"/>
              <w:right w:val="single" w:sz="4" w:space="0" w:color="auto"/>
            </w:tcBorders>
            <w:shd w:val="clear" w:color="000000" w:fill="FFFF00"/>
            <w:vAlign w:val="center"/>
            <w:hideMark/>
          </w:tcPr>
          <w:p w14:paraId="67A98C3F" w14:textId="77777777" w:rsidR="004566A6" w:rsidRPr="004566A6" w:rsidRDefault="004566A6" w:rsidP="004566A6">
            <w:pPr>
              <w:spacing w:after="0" w:line="240" w:lineRule="auto"/>
              <w:jc w:val="center"/>
              <w:rPr>
                <w:rFonts w:ascii="Calibri" w:eastAsia="Times New Roman" w:hAnsi="Calibri" w:cs="Calibri"/>
                <w:sz w:val="18"/>
                <w:szCs w:val="18"/>
                <w:lang w:eastAsia="hr-HR"/>
              </w:rPr>
            </w:pPr>
            <w:r w:rsidRPr="004566A6">
              <w:rPr>
                <w:rFonts w:ascii="Calibri" w:eastAsia="Times New Roman" w:hAnsi="Calibri" w:cs="Calibri"/>
                <w:sz w:val="18"/>
                <w:szCs w:val="18"/>
                <w:lang w:eastAsia="hr-HR"/>
              </w:rPr>
              <w:t>1</w:t>
            </w:r>
          </w:p>
        </w:tc>
        <w:tc>
          <w:tcPr>
            <w:tcW w:w="515" w:type="dxa"/>
            <w:gridSpan w:val="2"/>
            <w:tcBorders>
              <w:top w:val="nil"/>
              <w:left w:val="nil"/>
              <w:bottom w:val="single" w:sz="4" w:space="0" w:color="auto"/>
              <w:right w:val="single" w:sz="4" w:space="0" w:color="auto"/>
            </w:tcBorders>
            <w:shd w:val="clear" w:color="000000" w:fill="FFFF99"/>
            <w:vAlign w:val="center"/>
            <w:hideMark/>
          </w:tcPr>
          <w:p w14:paraId="6E762CDE" w14:textId="77777777" w:rsidR="004566A6" w:rsidRPr="004566A6" w:rsidRDefault="004566A6" w:rsidP="004566A6">
            <w:pPr>
              <w:spacing w:after="0" w:line="240" w:lineRule="auto"/>
              <w:jc w:val="center"/>
              <w:rPr>
                <w:rFonts w:ascii="Calibri" w:eastAsia="Times New Roman" w:hAnsi="Calibri" w:cs="Calibri"/>
                <w:sz w:val="18"/>
                <w:szCs w:val="18"/>
                <w:lang w:eastAsia="hr-HR"/>
              </w:rPr>
            </w:pPr>
            <w:r w:rsidRPr="004566A6">
              <w:rPr>
                <w:rFonts w:ascii="Calibri" w:eastAsia="Times New Roman" w:hAnsi="Calibri" w:cs="Calibri"/>
                <w:sz w:val="18"/>
                <w:szCs w:val="18"/>
                <w:lang w:eastAsia="hr-HR"/>
              </w:rPr>
              <w:t>3</w:t>
            </w:r>
          </w:p>
        </w:tc>
        <w:tc>
          <w:tcPr>
            <w:tcW w:w="855" w:type="dxa"/>
            <w:gridSpan w:val="2"/>
            <w:tcBorders>
              <w:top w:val="nil"/>
              <w:left w:val="nil"/>
              <w:bottom w:val="single" w:sz="4" w:space="0" w:color="auto"/>
              <w:right w:val="single" w:sz="4" w:space="0" w:color="auto"/>
            </w:tcBorders>
            <w:shd w:val="clear" w:color="000000" w:fill="FF9900"/>
            <w:vAlign w:val="center"/>
            <w:hideMark/>
          </w:tcPr>
          <w:p w14:paraId="46A434A3" w14:textId="77777777" w:rsidR="004566A6" w:rsidRPr="004566A6" w:rsidRDefault="004566A6" w:rsidP="004566A6">
            <w:pPr>
              <w:spacing w:after="0" w:line="240" w:lineRule="auto"/>
              <w:jc w:val="center"/>
              <w:rPr>
                <w:rFonts w:ascii="Calibri" w:eastAsia="Times New Roman" w:hAnsi="Calibri" w:cs="Calibri"/>
                <w:sz w:val="18"/>
                <w:szCs w:val="18"/>
                <w:lang w:eastAsia="hr-HR"/>
              </w:rPr>
            </w:pPr>
            <w:r w:rsidRPr="004566A6">
              <w:rPr>
                <w:rFonts w:ascii="Calibri" w:eastAsia="Times New Roman" w:hAnsi="Calibri" w:cs="Calibri"/>
                <w:sz w:val="18"/>
                <w:szCs w:val="18"/>
                <w:lang w:eastAsia="hr-HR"/>
              </w:rPr>
              <w:t>1</w:t>
            </w:r>
          </w:p>
        </w:tc>
        <w:tc>
          <w:tcPr>
            <w:tcW w:w="445" w:type="dxa"/>
            <w:gridSpan w:val="2"/>
            <w:tcBorders>
              <w:top w:val="nil"/>
              <w:left w:val="nil"/>
              <w:bottom w:val="single" w:sz="4" w:space="0" w:color="auto"/>
              <w:right w:val="single" w:sz="4" w:space="0" w:color="auto"/>
            </w:tcBorders>
            <w:shd w:val="clear" w:color="000000" w:fill="CCFFFF"/>
            <w:vAlign w:val="bottom"/>
            <w:hideMark/>
          </w:tcPr>
          <w:p w14:paraId="248431F3" w14:textId="77777777" w:rsidR="004566A6" w:rsidRPr="004566A6" w:rsidRDefault="004566A6" w:rsidP="004566A6">
            <w:pPr>
              <w:spacing w:after="0" w:line="240" w:lineRule="auto"/>
              <w:jc w:val="right"/>
              <w:rPr>
                <w:rFonts w:ascii="Calibri" w:eastAsia="Times New Roman" w:hAnsi="Calibri" w:cs="Calibri"/>
                <w:sz w:val="18"/>
                <w:szCs w:val="18"/>
                <w:lang w:eastAsia="hr-HR"/>
              </w:rPr>
            </w:pPr>
            <w:r w:rsidRPr="004566A6">
              <w:rPr>
                <w:rFonts w:ascii="Calibri" w:eastAsia="Times New Roman" w:hAnsi="Calibri" w:cs="Calibri"/>
                <w:sz w:val="18"/>
                <w:szCs w:val="18"/>
                <w:lang w:eastAsia="hr-HR"/>
              </w:rPr>
              <w:t>0</w:t>
            </w:r>
          </w:p>
        </w:tc>
        <w:tc>
          <w:tcPr>
            <w:tcW w:w="445" w:type="dxa"/>
            <w:tcBorders>
              <w:top w:val="nil"/>
              <w:left w:val="nil"/>
              <w:bottom w:val="single" w:sz="4" w:space="0" w:color="auto"/>
              <w:right w:val="single" w:sz="4" w:space="0" w:color="auto"/>
            </w:tcBorders>
            <w:shd w:val="clear" w:color="000000" w:fill="CCFFFF"/>
            <w:vAlign w:val="bottom"/>
            <w:hideMark/>
          </w:tcPr>
          <w:p w14:paraId="7E7CFDDB" w14:textId="77777777" w:rsidR="004566A6" w:rsidRPr="004566A6" w:rsidRDefault="004566A6" w:rsidP="004566A6">
            <w:pPr>
              <w:spacing w:after="0" w:line="240" w:lineRule="auto"/>
              <w:jc w:val="right"/>
              <w:rPr>
                <w:rFonts w:ascii="Calibri" w:eastAsia="Times New Roman" w:hAnsi="Calibri" w:cs="Calibri"/>
                <w:sz w:val="18"/>
                <w:szCs w:val="18"/>
                <w:lang w:eastAsia="hr-HR"/>
              </w:rPr>
            </w:pPr>
            <w:r w:rsidRPr="004566A6">
              <w:rPr>
                <w:rFonts w:ascii="Calibri" w:eastAsia="Times New Roman" w:hAnsi="Calibri" w:cs="Calibri"/>
                <w:sz w:val="18"/>
                <w:szCs w:val="18"/>
                <w:lang w:eastAsia="hr-HR"/>
              </w:rPr>
              <w:t>0</w:t>
            </w:r>
          </w:p>
        </w:tc>
        <w:tc>
          <w:tcPr>
            <w:tcW w:w="505" w:type="dxa"/>
            <w:tcBorders>
              <w:top w:val="nil"/>
              <w:left w:val="nil"/>
              <w:bottom w:val="single" w:sz="4" w:space="0" w:color="auto"/>
              <w:right w:val="single" w:sz="4" w:space="0" w:color="auto"/>
            </w:tcBorders>
            <w:shd w:val="clear" w:color="000000" w:fill="CCFFFF"/>
            <w:vAlign w:val="bottom"/>
            <w:hideMark/>
          </w:tcPr>
          <w:p w14:paraId="1C23BECF" w14:textId="77777777" w:rsidR="004566A6" w:rsidRPr="004566A6" w:rsidRDefault="004566A6" w:rsidP="004566A6">
            <w:pPr>
              <w:spacing w:after="0" w:line="240" w:lineRule="auto"/>
              <w:jc w:val="right"/>
              <w:rPr>
                <w:rFonts w:ascii="Calibri" w:eastAsia="Times New Roman" w:hAnsi="Calibri" w:cs="Calibri"/>
                <w:sz w:val="18"/>
                <w:szCs w:val="18"/>
                <w:lang w:eastAsia="hr-HR"/>
              </w:rPr>
            </w:pPr>
            <w:r w:rsidRPr="004566A6">
              <w:rPr>
                <w:rFonts w:ascii="Calibri" w:eastAsia="Times New Roman" w:hAnsi="Calibri" w:cs="Calibri"/>
                <w:sz w:val="18"/>
                <w:szCs w:val="18"/>
                <w:lang w:eastAsia="hr-HR"/>
              </w:rPr>
              <w:t>1</w:t>
            </w:r>
          </w:p>
        </w:tc>
        <w:tc>
          <w:tcPr>
            <w:tcW w:w="797" w:type="dxa"/>
            <w:gridSpan w:val="2"/>
            <w:tcBorders>
              <w:top w:val="nil"/>
              <w:left w:val="nil"/>
              <w:bottom w:val="single" w:sz="4" w:space="0" w:color="auto"/>
              <w:right w:val="nil"/>
            </w:tcBorders>
            <w:shd w:val="clear" w:color="000000" w:fill="33CCCC"/>
            <w:noWrap/>
            <w:vAlign w:val="bottom"/>
            <w:hideMark/>
          </w:tcPr>
          <w:p w14:paraId="225BD59B" w14:textId="77777777" w:rsidR="004566A6" w:rsidRPr="004566A6" w:rsidRDefault="004566A6" w:rsidP="004566A6">
            <w:pPr>
              <w:spacing w:after="0" w:line="240" w:lineRule="auto"/>
              <w:jc w:val="right"/>
              <w:rPr>
                <w:rFonts w:ascii="Calibri" w:eastAsia="Times New Roman" w:hAnsi="Calibri" w:cs="Calibri"/>
                <w:sz w:val="18"/>
                <w:szCs w:val="18"/>
                <w:lang w:eastAsia="hr-HR"/>
              </w:rPr>
            </w:pPr>
            <w:r w:rsidRPr="004566A6">
              <w:rPr>
                <w:rFonts w:ascii="Calibri" w:eastAsia="Times New Roman" w:hAnsi="Calibri" w:cs="Calibri"/>
                <w:sz w:val="18"/>
                <w:szCs w:val="18"/>
                <w:lang w:eastAsia="hr-HR"/>
              </w:rPr>
              <w:t>1</w:t>
            </w:r>
          </w:p>
        </w:tc>
        <w:tc>
          <w:tcPr>
            <w:tcW w:w="425" w:type="dxa"/>
            <w:gridSpan w:val="3"/>
            <w:tcBorders>
              <w:top w:val="nil"/>
              <w:left w:val="single" w:sz="4" w:space="0" w:color="auto"/>
              <w:bottom w:val="single" w:sz="4" w:space="0" w:color="auto"/>
              <w:right w:val="nil"/>
            </w:tcBorders>
            <w:shd w:val="clear" w:color="000000" w:fill="33CCCC"/>
            <w:noWrap/>
            <w:vAlign w:val="bottom"/>
            <w:hideMark/>
          </w:tcPr>
          <w:p w14:paraId="381E5CF2" w14:textId="77777777" w:rsidR="004566A6" w:rsidRPr="004566A6" w:rsidRDefault="004566A6" w:rsidP="004566A6">
            <w:pPr>
              <w:spacing w:after="0" w:line="240" w:lineRule="auto"/>
              <w:jc w:val="right"/>
              <w:rPr>
                <w:rFonts w:ascii="Calibri" w:eastAsia="Times New Roman" w:hAnsi="Calibri" w:cs="Calibri"/>
                <w:sz w:val="18"/>
                <w:szCs w:val="18"/>
                <w:lang w:eastAsia="hr-HR"/>
              </w:rPr>
            </w:pPr>
            <w:r w:rsidRPr="004566A6">
              <w:rPr>
                <w:rFonts w:ascii="Calibri" w:eastAsia="Times New Roman" w:hAnsi="Calibri" w:cs="Calibri"/>
                <w:sz w:val="18"/>
                <w:szCs w:val="18"/>
                <w:lang w:eastAsia="hr-HR"/>
              </w:rPr>
              <w:t>0</w:t>
            </w:r>
          </w:p>
        </w:tc>
        <w:tc>
          <w:tcPr>
            <w:tcW w:w="236" w:type="dxa"/>
            <w:gridSpan w:val="2"/>
            <w:vAlign w:val="center"/>
            <w:hideMark/>
          </w:tcPr>
          <w:p w14:paraId="7FE08E3F" w14:textId="77777777" w:rsidR="004566A6" w:rsidRPr="004566A6" w:rsidRDefault="004566A6" w:rsidP="004566A6">
            <w:pPr>
              <w:spacing w:after="0" w:line="240" w:lineRule="auto"/>
              <w:rPr>
                <w:rFonts w:ascii="Times New Roman" w:eastAsia="Times New Roman" w:hAnsi="Times New Roman" w:cs="Times New Roman"/>
                <w:sz w:val="18"/>
                <w:szCs w:val="18"/>
                <w:lang w:eastAsia="hr-HR"/>
              </w:rPr>
            </w:pPr>
          </w:p>
        </w:tc>
      </w:tr>
      <w:tr w:rsidR="003D0C85" w:rsidRPr="004566A6" w14:paraId="54DE1B57" w14:textId="77777777" w:rsidTr="003D0C85">
        <w:trPr>
          <w:trHeight w:val="300"/>
        </w:trPr>
        <w:tc>
          <w:tcPr>
            <w:tcW w:w="1397" w:type="dxa"/>
            <w:tcBorders>
              <w:top w:val="single" w:sz="4" w:space="0" w:color="auto"/>
              <w:left w:val="single" w:sz="8" w:space="0" w:color="auto"/>
              <w:bottom w:val="single" w:sz="4" w:space="0" w:color="auto"/>
              <w:right w:val="single" w:sz="4" w:space="0" w:color="auto"/>
            </w:tcBorders>
            <w:shd w:val="clear" w:color="000000" w:fill="CCFFCC"/>
            <w:hideMark/>
          </w:tcPr>
          <w:p w14:paraId="675403FF" w14:textId="77777777" w:rsidR="004566A6" w:rsidRPr="004566A6" w:rsidRDefault="004566A6" w:rsidP="004566A6">
            <w:pPr>
              <w:spacing w:after="0" w:line="240" w:lineRule="auto"/>
              <w:jc w:val="center"/>
              <w:rPr>
                <w:rFonts w:ascii="Calibri" w:eastAsia="Times New Roman" w:hAnsi="Calibri" w:cs="Calibri"/>
                <w:sz w:val="18"/>
                <w:szCs w:val="18"/>
                <w:lang w:eastAsia="hr-HR"/>
              </w:rPr>
            </w:pPr>
            <w:r w:rsidRPr="004566A6">
              <w:rPr>
                <w:rFonts w:ascii="Calibri" w:eastAsia="Times New Roman" w:hAnsi="Calibri" w:cs="Calibri"/>
                <w:sz w:val="18"/>
                <w:szCs w:val="18"/>
                <w:lang w:eastAsia="hr-HR"/>
              </w:rPr>
              <w:t xml:space="preserve">Ostale osnove (upisati):     </w:t>
            </w:r>
          </w:p>
        </w:tc>
        <w:tc>
          <w:tcPr>
            <w:tcW w:w="576" w:type="dxa"/>
            <w:tcBorders>
              <w:top w:val="nil"/>
              <w:left w:val="nil"/>
              <w:bottom w:val="single" w:sz="4" w:space="0" w:color="auto"/>
              <w:right w:val="single" w:sz="4" w:space="0" w:color="auto"/>
            </w:tcBorders>
            <w:shd w:val="clear" w:color="000000" w:fill="CCFFCC"/>
            <w:vAlign w:val="center"/>
            <w:hideMark/>
          </w:tcPr>
          <w:p w14:paraId="1D2A4048" w14:textId="77777777" w:rsidR="004566A6" w:rsidRPr="004566A6" w:rsidRDefault="004566A6" w:rsidP="004566A6">
            <w:pPr>
              <w:spacing w:after="0" w:line="240" w:lineRule="auto"/>
              <w:jc w:val="center"/>
              <w:rPr>
                <w:rFonts w:ascii="Calibri" w:eastAsia="Times New Roman" w:hAnsi="Calibri" w:cs="Calibri"/>
                <w:sz w:val="18"/>
                <w:szCs w:val="18"/>
                <w:lang w:eastAsia="hr-HR"/>
              </w:rPr>
            </w:pPr>
            <w:r w:rsidRPr="004566A6">
              <w:rPr>
                <w:rFonts w:ascii="Calibri" w:eastAsia="Times New Roman" w:hAnsi="Calibri" w:cs="Calibri"/>
                <w:sz w:val="18"/>
                <w:szCs w:val="18"/>
                <w:lang w:eastAsia="hr-HR"/>
              </w:rPr>
              <w:t>10</w:t>
            </w:r>
          </w:p>
        </w:tc>
        <w:tc>
          <w:tcPr>
            <w:tcW w:w="444" w:type="dxa"/>
            <w:tcBorders>
              <w:top w:val="nil"/>
              <w:left w:val="nil"/>
              <w:bottom w:val="single" w:sz="4" w:space="0" w:color="auto"/>
              <w:right w:val="single" w:sz="4" w:space="0" w:color="auto"/>
            </w:tcBorders>
            <w:shd w:val="clear" w:color="000000" w:fill="FFCC99"/>
            <w:noWrap/>
            <w:vAlign w:val="bottom"/>
            <w:hideMark/>
          </w:tcPr>
          <w:p w14:paraId="78F0BA2F" w14:textId="77777777" w:rsidR="004566A6" w:rsidRPr="004566A6" w:rsidRDefault="004566A6" w:rsidP="004566A6">
            <w:pPr>
              <w:spacing w:after="0" w:line="240" w:lineRule="auto"/>
              <w:jc w:val="center"/>
              <w:rPr>
                <w:rFonts w:ascii="Calibri" w:eastAsia="Times New Roman" w:hAnsi="Calibri" w:cs="Calibri"/>
                <w:sz w:val="18"/>
                <w:szCs w:val="18"/>
                <w:lang w:eastAsia="hr-HR"/>
              </w:rPr>
            </w:pPr>
            <w:r w:rsidRPr="004566A6">
              <w:rPr>
                <w:rFonts w:ascii="Calibri" w:eastAsia="Times New Roman" w:hAnsi="Calibri" w:cs="Calibri"/>
                <w:sz w:val="18"/>
                <w:szCs w:val="18"/>
                <w:lang w:eastAsia="hr-HR"/>
              </w:rPr>
              <w:t>12</w:t>
            </w:r>
          </w:p>
        </w:tc>
        <w:tc>
          <w:tcPr>
            <w:tcW w:w="405" w:type="dxa"/>
            <w:tcBorders>
              <w:top w:val="nil"/>
              <w:left w:val="nil"/>
              <w:bottom w:val="single" w:sz="4" w:space="0" w:color="auto"/>
              <w:right w:val="single" w:sz="4" w:space="0" w:color="auto"/>
            </w:tcBorders>
            <w:shd w:val="clear" w:color="000000" w:fill="CCFFFF"/>
            <w:noWrap/>
            <w:vAlign w:val="bottom"/>
            <w:hideMark/>
          </w:tcPr>
          <w:p w14:paraId="46238779" w14:textId="77777777" w:rsidR="004566A6" w:rsidRPr="004566A6" w:rsidRDefault="004566A6" w:rsidP="004566A6">
            <w:pPr>
              <w:spacing w:after="0" w:line="240" w:lineRule="auto"/>
              <w:jc w:val="right"/>
              <w:rPr>
                <w:rFonts w:ascii="Calibri" w:eastAsia="Times New Roman" w:hAnsi="Calibri" w:cs="Calibri"/>
                <w:sz w:val="18"/>
                <w:szCs w:val="18"/>
                <w:lang w:eastAsia="hr-HR"/>
              </w:rPr>
            </w:pPr>
            <w:r w:rsidRPr="004566A6">
              <w:rPr>
                <w:rFonts w:ascii="Calibri" w:eastAsia="Times New Roman" w:hAnsi="Calibri" w:cs="Calibri"/>
                <w:sz w:val="18"/>
                <w:szCs w:val="18"/>
                <w:lang w:eastAsia="hr-HR"/>
              </w:rPr>
              <w:t>2</w:t>
            </w:r>
          </w:p>
        </w:tc>
        <w:tc>
          <w:tcPr>
            <w:tcW w:w="462" w:type="dxa"/>
            <w:tcBorders>
              <w:top w:val="nil"/>
              <w:left w:val="nil"/>
              <w:bottom w:val="single" w:sz="4" w:space="0" w:color="auto"/>
              <w:right w:val="single" w:sz="4" w:space="0" w:color="auto"/>
            </w:tcBorders>
            <w:shd w:val="clear" w:color="000000" w:fill="CCFFFF"/>
            <w:noWrap/>
            <w:vAlign w:val="bottom"/>
            <w:hideMark/>
          </w:tcPr>
          <w:p w14:paraId="5C110419" w14:textId="77777777" w:rsidR="004566A6" w:rsidRPr="004566A6" w:rsidRDefault="004566A6" w:rsidP="004566A6">
            <w:pPr>
              <w:spacing w:after="0" w:line="240" w:lineRule="auto"/>
              <w:jc w:val="right"/>
              <w:rPr>
                <w:rFonts w:ascii="Calibri" w:eastAsia="Times New Roman" w:hAnsi="Calibri" w:cs="Calibri"/>
                <w:sz w:val="18"/>
                <w:szCs w:val="18"/>
                <w:lang w:eastAsia="hr-HR"/>
              </w:rPr>
            </w:pPr>
            <w:r w:rsidRPr="004566A6">
              <w:rPr>
                <w:rFonts w:ascii="Calibri" w:eastAsia="Times New Roman" w:hAnsi="Calibri" w:cs="Calibri"/>
                <w:sz w:val="18"/>
                <w:szCs w:val="18"/>
                <w:lang w:eastAsia="hr-HR"/>
              </w:rPr>
              <w:t>0</w:t>
            </w:r>
          </w:p>
        </w:tc>
        <w:tc>
          <w:tcPr>
            <w:tcW w:w="455" w:type="dxa"/>
            <w:tcBorders>
              <w:top w:val="nil"/>
              <w:left w:val="nil"/>
              <w:bottom w:val="single" w:sz="4" w:space="0" w:color="auto"/>
              <w:right w:val="single" w:sz="4" w:space="0" w:color="auto"/>
            </w:tcBorders>
            <w:shd w:val="clear" w:color="000000" w:fill="FFFF99"/>
            <w:noWrap/>
            <w:vAlign w:val="bottom"/>
            <w:hideMark/>
          </w:tcPr>
          <w:p w14:paraId="13D71671" w14:textId="77777777" w:rsidR="004566A6" w:rsidRPr="004566A6" w:rsidRDefault="004566A6" w:rsidP="004566A6">
            <w:pPr>
              <w:spacing w:after="0" w:line="240" w:lineRule="auto"/>
              <w:jc w:val="center"/>
              <w:rPr>
                <w:rFonts w:ascii="Calibri" w:eastAsia="Times New Roman" w:hAnsi="Calibri" w:cs="Calibri"/>
                <w:sz w:val="18"/>
                <w:szCs w:val="18"/>
                <w:lang w:eastAsia="hr-HR"/>
              </w:rPr>
            </w:pPr>
            <w:r w:rsidRPr="004566A6">
              <w:rPr>
                <w:rFonts w:ascii="Calibri" w:eastAsia="Times New Roman" w:hAnsi="Calibri" w:cs="Calibri"/>
                <w:sz w:val="18"/>
                <w:szCs w:val="18"/>
                <w:lang w:eastAsia="hr-HR"/>
              </w:rPr>
              <w:t>5</w:t>
            </w:r>
          </w:p>
        </w:tc>
        <w:tc>
          <w:tcPr>
            <w:tcW w:w="567" w:type="dxa"/>
            <w:tcBorders>
              <w:top w:val="nil"/>
              <w:left w:val="nil"/>
              <w:bottom w:val="single" w:sz="4" w:space="0" w:color="auto"/>
              <w:right w:val="single" w:sz="4" w:space="0" w:color="auto"/>
            </w:tcBorders>
            <w:shd w:val="clear" w:color="000000" w:fill="FFFF99"/>
            <w:noWrap/>
            <w:vAlign w:val="bottom"/>
            <w:hideMark/>
          </w:tcPr>
          <w:p w14:paraId="3D849AFB" w14:textId="77777777" w:rsidR="004566A6" w:rsidRPr="004566A6" w:rsidRDefault="004566A6" w:rsidP="004566A6">
            <w:pPr>
              <w:spacing w:after="0" w:line="240" w:lineRule="auto"/>
              <w:jc w:val="center"/>
              <w:rPr>
                <w:rFonts w:ascii="Calibri" w:eastAsia="Times New Roman" w:hAnsi="Calibri" w:cs="Calibri"/>
                <w:sz w:val="18"/>
                <w:szCs w:val="18"/>
                <w:lang w:eastAsia="hr-HR"/>
              </w:rPr>
            </w:pPr>
            <w:r w:rsidRPr="004566A6">
              <w:rPr>
                <w:rFonts w:ascii="Calibri" w:eastAsia="Times New Roman" w:hAnsi="Calibri" w:cs="Calibri"/>
                <w:sz w:val="18"/>
                <w:szCs w:val="18"/>
                <w:lang w:eastAsia="hr-HR"/>
              </w:rPr>
              <w:t>1</w:t>
            </w:r>
          </w:p>
        </w:tc>
        <w:tc>
          <w:tcPr>
            <w:tcW w:w="708" w:type="dxa"/>
            <w:tcBorders>
              <w:top w:val="nil"/>
              <w:left w:val="nil"/>
              <w:bottom w:val="single" w:sz="4" w:space="0" w:color="auto"/>
              <w:right w:val="single" w:sz="4" w:space="0" w:color="auto"/>
            </w:tcBorders>
            <w:shd w:val="clear" w:color="000000" w:fill="FFFF99"/>
            <w:noWrap/>
            <w:vAlign w:val="bottom"/>
            <w:hideMark/>
          </w:tcPr>
          <w:p w14:paraId="233A7649" w14:textId="77777777" w:rsidR="004566A6" w:rsidRPr="004566A6" w:rsidRDefault="004566A6" w:rsidP="004566A6">
            <w:pPr>
              <w:spacing w:after="0" w:line="240" w:lineRule="auto"/>
              <w:jc w:val="center"/>
              <w:rPr>
                <w:rFonts w:ascii="Calibri" w:eastAsia="Times New Roman" w:hAnsi="Calibri" w:cs="Calibri"/>
                <w:sz w:val="18"/>
                <w:szCs w:val="18"/>
                <w:lang w:eastAsia="hr-HR"/>
              </w:rPr>
            </w:pPr>
            <w:r w:rsidRPr="004566A6">
              <w:rPr>
                <w:rFonts w:ascii="Calibri" w:eastAsia="Times New Roman" w:hAnsi="Calibri" w:cs="Calibri"/>
                <w:sz w:val="18"/>
                <w:szCs w:val="18"/>
                <w:lang w:eastAsia="hr-HR"/>
              </w:rPr>
              <w:t>0</w:t>
            </w:r>
          </w:p>
        </w:tc>
        <w:tc>
          <w:tcPr>
            <w:tcW w:w="448" w:type="dxa"/>
            <w:tcBorders>
              <w:top w:val="nil"/>
              <w:left w:val="nil"/>
              <w:bottom w:val="single" w:sz="4" w:space="0" w:color="auto"/>
              <w:right w:val="single" w:sz="4" w:space="0" w:color="auto"/>
            </w:tcBorders>
            <w:shd w:val="clear" w:color="000000" w:fill="FFFF99"/>
            <w:noWrap/>
            <w:vAlign w:val="bottom"/>
            <w:hideMark/>
          </w:tcPr>
          <w:p w14:paraId="14D8A5F7" w14:textId="77777777" w:rsidR="004566A6" w:rsidRPr="004566A6" w:rsidRDefault="004566A6" w:rsidP="004566A6">
            <w:pPr>
              <w:spacing w:after="0" w:line="240" w:lineRule="auto"/>
              <w:jc w:val="center"/>
              <w:rPr>
                <w:rFonts w:ascii="Calibri" w:eastAsia="Times New Roman" w:hAnsi="Calibri" w:cs="Calibri"/>
                <w:sz w:val="18"/>
                <w:szCs w:val="18"/>
                <w:lang w:eastAsia="hr-HR"/>
              </w:rPr>
            </w:pPr>
            <w:r w:rsidRPr="004566A6">
              <w:rPr>
                <w:rFonts w:ascii="Calibri" w:eastAsia="Times New Roman" w:hAnsi="Calibri" w:cs="Calibri"/>
                <w:sz w:val="18"/>
                <w:szCs w:val="18"/>
                <w:lang w:eastAsia="hr-HR"/>
              </w:rPr>
              <w:t>0</w:t>
            </w:r>
          </w:p>
        </w:tc>
        <w:tc>
          <w:tcPr>
            <w:tcW w:w="680" w:type="dxa"/>
            <w:tcBorders>
              <w:top w:val="nil"/>
              <w:left w:val="nil"/>
              <w:bottom w:val="single" w:sz="4" w:space="0" w:color="auto"/>
              <w:right w:val="single" w:sz="4" w:space="0" w:color="auto"/>
            </w:tcBorders>
            <w:shd w:val="clear" w:color="000000" w:fill="FFFF99"/>
            <w:noWrap/>
            <w:vAlign w:val="bottom"/>
            <w:hideMark/>
          </w:tcPr>
          <w:p w14:paraId="5663A73B" w14:textId="77777777" w:rsidR="004566A6" w:rsidRPr="004566A6" w:rsidRDefault="004566A6" w:rsidP="004566A6">
            <w:pPr>
              <w:spacing w:after="0" w:line="240" w:lineRule="auto"/>
              <w:jc w:val="center"/>
              <w:rPr>
                <w:rFonts w:ascii="Calibri" w:eastAsia="Times New Roman" w:hAnsi="Calibri" w:cs="Calibri"/>
                <w:sz w:val="18"/>
                <w:szCs w:val="18"/>
                <w:lang w:eastAsia="hr-HR"/>
              </w:rPr>
            </w:pPr>
            <w:r w:rsidRPr="004566A6">
              <w:rPr>
                <w:rFonts w:ascii="Calibri" w:eastAsia="Times New Roman" w:hAnsi="Calibri" w:cs="Calibri"/>
                <w:sz w:val="18"/>
                <w:szCs w:val="18"/>
                <w:lang w:eastAsia="hr-HR"/>
              </w:rPr>
              <w:t>5</w:t>
            </w:r>
          </w:p>
        </w:tc>
        <w:tc>
          <w:tcPr>
            <w:tcW w:w="573" w:type="dxa"/>
            <w:gridSpan w:val="2"/>
            <w:tcBorders>
              <w:top w:val="nil"/>
              <w:left w:val="nil"/>
              <w:bottom w:val="single" w:sz="4" w:space="0" w:color="auto"/>
              <w:right w:val="single" w:sz="4" w:space="0" w:color="auto"/>
            </w:tcBorders>
            <w:shd w:val="clear" w:color="000000" w:fill="FF9900"/>
            <w:noWrap/>
            <w:vAlign w:val="bottom"/>
            <w:hideMark/>
          </w:tcPr>
          <w:p w14:paraId="48136C9B" w14:textId="77777777" w:rsidR="004566A6" w:rsidRPr="004566A6" w:rsidRDefault="004566A6" w:rsidP="004566A6">
            <w:pPr>
              <w:spacing w:after="0" w:line="240" w:lineRule="auto"/>
              <w:jc w:val="right"/>
              <w:rPr>
                <w:rFonts w:ascii="Calibri" w:eastAsia="Times New Roman" w:hAnsi="Calibri" w:cs="Calibri"/>
                <w:sz w:val="18"/>
                <w:szCs w:val="18"/>
                <w:lang w:eastAsia="hr-HR"/>
              </w:rPr>
            </w:pPr>
            <w:r w:rsidRPr="004566A6">
              <w:rPr>
                <w:rFonts w:ascii="Calibri" w:eastAsia="Times New Roman" w:hAnsi="Calibri" w:cs="Calibri"/>
                <w:sz w:val="18"/>
                <w:szCs w:val="18"/>
                <w:lang w:eastAsia="hr-HR"/>
              </w:rPr>
              <w:t>9</w:t>
            </w:r>
          </w:p>
        </w:tc>
        <w:tc>
          <w:tcPr>
            <w:tcW w:w="567" w:type="dxa"/>
            <w:tcBorders>
              <w:top w:val="nil"/>
              <w:left w:val="nil"/>
              <w:bottom w:val="single" w:sz="4" w:space="0" w:color="auto"/>
              <w:right w:val="single" w:sz="4" w:space="0" w:color="auto"/>
            </w:tcBorders>
            <w:shd w:val="clear" w:color="000000" w:fill="FF9900"/>
            <w:noWrap/>
            <w:vAlign w:val="bottom"/>
            <w:hideMark/>
          </w:tcPr>
          <w:p w14:paraId="2C3A5EE9" w14:textId="77777777" w:rsidR="004566A6" w:rsidRPr="004566A6" w:rsidRDefault="004566A6" w:rsidP="004566A6">
            <w:pPr>
              <w:spacing w:after="0" w:line="240" w:lineRule="auto"/>
              <w:jc w:val="right"/>
              <w:rPr>
                <w:rFonts w:ascii="Calibri" w:eastAsia="Times New Roman" w:hAnsi="Calibri" w:cs="Calibri"/>
                <w:sz w:val="18"/>
                <w:szCs w:val="18"/>
                <w:lang w:eastAsia="hr-HR"/>
              </w:rPr>
            </w:pPr>
            <w:r w:rsidRPr="004566A6">
              <w:rPr>
                <w:rFonts w:ascii="Calibri" w:eastAsia="Times New Roman" w:hAnsi="Calibri" w:cs="Calibri"/>
                <w:sz w:val="18"/>
                <w:szCs w:val="18"/>
                <w:lang w:eastAsia="hr-HR"/>
              </w:rPr>
              <w:t>2</w:t>
            </w:r>
          </w:p>
        </w:tc>
        <w:tc>
          <w:tcPr>
            <w:tcW w:w="448" w:type="dxa"/>
            <w:tcBorders>
              <w:top w:val="nil"/>
              <w:left w:val="nil"/>
              <w:bottom w:val="single" w:sz="4" w:space="0" w:color="auto"/>
              <w:right w:val="single" w:sz="4" w:space="0" w:color="auto"/>
            </w:tcBorders>
            <w:shd w:val="clear" w:color="000000" w:fill="FF9900"/>
            <w:noWrap/>
            <w:vAlign w:val="bottom"/>
            <w:hideMark/>
          </w:tcPr>
          <w:p w14:paraId="5657DA00" w14:textId="77777777" w:rsidR="004566A6" w:rsidRPr="004566A6" w:rsidRDefault="004566A6" w:rsidP="004566A6">
            <w:pPr>
              <w:spacing w:after="0" w:line="240" w:lineRule="auto"/>
              <w:jc w:val="right"/>
              <w:rPr>
                <w:rFonts w:ascii="Calibri" w:eastAsia="Times New Roman" w:hAnsi="Calibri" w:cs="Calibri"/>
                <w:sz w:val="18"/>
                <w:szCs w:val="18"/>
                <w:lang w:eastAsia="hr-HR"/>
              </w:rPr>
            </w:pPr>
            <w:r w:rsidRPr="004566A6">
              <w:rPr>
                <w:rFonts w:ascii="Calibri" w:eastAsia="Times New Roman" w:hAnsi="Calibri" w:cs="Calibri"/>
                <w:sz w:val="18"/>
                <w:szCs w:val="18"/>
                <w:lang w:eastAsia="hr-HR"/>
              </w:rPr>
              <w:t>1</w:t>
            </w:r>
          </w:p>
        </w:tc>
        <w:tc>
          <w:tcPr>
            <w:tcW w:w="448" w:type="dxa"/>
            <w:gridSpan w:val="2"/>
            <w:tcBorders>
              <w:top w:val="nil"/>
              <w:left w:val="nil"/>
              <w:bottom w:val="single" w:sz="4" w:space="0" w:color="auto"/>
              <w:right w:val="single" w:sz="4" w:space="0" w:color="auto"/>
            </w:tcBorders>
            <w:shd w:val="clear" w:color="000000" w:fill="66FFCC"/>
            <w:noWrap/>
            <w:vAlign w:val="bottom"/>
            <w:hideMark/>
          </w:tcPr>
          <w:p w14:paraId="0353052D" w14:textId="77777777" w:rsidR="004566A6" w:rsidRPr="004566A6" w:rsidRDefault="004566A6" w:rsidP="004566A6">
            <w:pPr>
              <w:spacing w:after="0" w:line="240" w:lineRule="auto"/>
              <w:jc w:val="right"/>
              <w:rPr>
                <w:rFonts w:ascii="Calibri" w:eastAsia="Times New Roman" w:hAnsi="Calibri" w:cs="Calibri"/>
                <w:sz w:val="18"/>
                <w:szCs w:val="18"/>
                <w:lang w:eastAsia="hr-HR"/>
              </w:rPr>
            </w:pPr>
            <w:r w:rsidRPr="004566A6">
              <w:rPr>
                <w:rFonts w:ascii="Calibri" w:eastAsia="Times New Roman" w:hAnsi="Calibri" w:cs="Calibri"/>
                <w:sz w:val="18"/>
                <w:szCs w:val="18"/>
                <w:lang w:eastAsia="hr-HR"/>
              </w:rPr>
              <w:t>0</w:t>
            </w:r>
          </w:p>
        </w:tc>
        <w:tc>
          <w:tcPr>
            <w:tcW w:w="448" w:type="dxa"/>
            <w:tcBorders>
              <w:top w:val="nil"/>
              <w:left w:val="nil"/>
              <w:bottom w:val="single" w:sz="4" w:space="0" w:color="auto"/>
              <w:right w:val="single" w:sz="4" w:space="0" w:color="auto"/>
            </w:tcBorders>
            <w:shd w:val="clear" w:color="000000" w:fill="66FFCC"/>
            <w:noWrap/>
            <w:vAlign w:val="bottom"/>
            <w:hideMark/>
          </w:tcPr>
          <w:p w14:paraId="22FA344A" w14:textId="77777777" w:rsidR="004566A6" w:rsidRPr="004566A6" w:rsidRDefault="004566A6" w:rsidP="004566A6">
            <w:pPr>
              <w:spacing w:after="0" w:line="240" w:lineRule="auto"/>
              <w:jc w:val="right"/>
              <w:rPr>
                <w:rFonts w:ascii="Calibri" w:eastAsia="Times New Roman" w:hAnsi="Calibri" w:cs="Calibri"/>
                <w:sz w:val="18"/>
                <w:szCs w:val="18"/>
                <w:lang w:eastAsia="hr-HR"/>
              </w:rPr>
            </w:pPr>
            <w:r w:rsidRPr="004566A6">
              <w:rPr>
                <w:rFonts w:ascii="Calibri" w:eastAsia="Times New Roman" w:hAnsi="Calibri" w:cs="Calibri"/>
                <w:sz w:val="18"/>
                <w:szCs w:val="18"/>
                <w:lang w:eastAsia="hr-HR"/>
              </w:rPr>
              <w:t>10</w:t>
            </w:r>
          </w:p>
        </w:tc>
        <w:tc>
          <w:tcPr>
            <w:tcW w:w="448" w:type="dxa"/>
            <w:tcBorders>
              <w:top w:val="nil"/>
              <w:left w:val="nil"/>
              <w:bottom w:val="single" w:sz="4" w:space="0" w:color="auto"/>
              <w:right w:val="single" w:sz="4" w:space="0" w:color="auto"/>
            </w:tcBorders>
            <w:shd w:val="clear" w:color="000000" w:fill="66FFCC"/>
            <w:noWrap/>
            <w:vAlign w:val="bottom"/>
            <w:hideMark/>
          </w:tcPr>
          <w:p w14:paraId="73B4C36A" w14:textId="77777777" w:rsidR="004566A6" w:rsidRPr="004566A6" w:rsidRDefault="004566A6" w:rsidP="004566A6">
            <w:pPr>
              <w:spacing w:after="0" w:line="240" w:lineRule="auto"/>
              <w:jc w:val="right"/>
              <w:rPr>
                <w:rFonts w:ascii="Calibri" w:eastAsia="Times New Roman" w:hAnsi="Calibri" w:cs="Calibri"/>
                <w:sz w:val="18"/>
                <w:szCs w:val="18"/>
                <w:lang w:eastAsia="hr-HR"/>
              </w:rPr>
            </w:pPr>
            <w:r w:rsidRPr="004566A6">
              <w:rPr>
                <w:rFonts w:ascii="Calibri" w:eastAsia="Times New Roman" w:hAnsi="Calibri" w:cs="Calibri"/>
                <w:sz w:val="18"/>
                <w:szCs w:val="18"/>
                <w:lang w:eastAsia="hr-HR"/>
              </w:rPr>
              <w:t>1</w:t>
            </w:r>
          </w:p>
        </w:tc>
        <w:tc>
          <w:tcPr>
            <w:tcW w:w="476" w:type="dxa"/>
            <w:tcBorders>
              <w:top w:val="nil"/>
              <w:left w:val="nil"/>
              <w:bottom w:val="single" w:sz="4" w:space="0" w:color="auto"/>
              <w:right w:val="single" w:sz="4" w:space="0" w:color="auto"/>
            </w:tcBorders>
            <w:shd w:val="clear" w:color="000000" w:fill="66FFCC"/>
            <w:noWrap/>
            <w:vAlign w:val="bottom"/>
            <w:hideMark/>
          </w:tcPr>
          <w:p w14:paraId="78B9A3C1" w14:textId="77777777" w:rsidR="004566A6" w:rsidRPr="004566A6" w:rsidRDefault="004566A6" w:rsidP="004566A6">
            <w:pPr>
              <w:spacing w:after="0" w:line="240" w:lineRule="auto"/>
              <w:jc w:val="right"/>
              <w:rPr>
                <w:rFonts w:ascii="Calibri" w:eastAsia="Times New Roman" w:hAnsi="Calibri" w:cs="Calibri"/>
                <w:sz w:val="18"/>
                <w:szCs w:val="18"/>
                <w:lang w:eastAsia="hr-HR"/>
              </w:rPr>
            </w:pPr>
            <w:r w:rsidRPr="004566A6">
              <w:rPr>
                <w:rFonts w:ascii="Calibri" w:eastAsia="Times New Roman" w:hAnsi="Calibri" w:cs="Calibri"/>
                <w:sz w:val="18"/>
                <w:szCs w:val="18"/>
                <w:lang w:eastAsia="hr-HR"/>
              </w:rPr>
              <w:t>9</w:t>
            </w:r>
          </w:p>
        </w:tc>
        <w:tc>
          <w:tcPr>
            <w:tcW w:w="557" w:type="dxa"/>
            <w:gridSpan w:val="2"/>
            <w:tcBorders>
              <w:top w:val="nil"/>
              <w:left w:val="nil"/>
              <w:bottom w:val="single" w:sz="4" w:space="0" w:color="auto"/>
              <w:right w:val="single" w:sz="4" w:space="0" w:color="auto"/>
            </w:tcBorders>
            <w:shd w:val="clear" w:color="000000" w:fill="FFFF00"/>
            <w:vAlign w:val="center"/>
            <w:hideMark/>
          </w:tcPr>
          <w:p w14:paraId="04CC12D6" w14:textId="77777777" w:rsidR="004566A6" w:rsidRPr="004566A6" w:rsidRDefault="004566A6" w:rsidP="004566A6">
            <w:pPr>
              <w:spacing w:after="0" w:line="240" w:lineRule="auto"/>
              <w:jc w:val="center"/>
              <w:rPr>
                <w:rFonts w:ascii="Calibri" w:eastAsia="Times New Roman" w:hAnsi="Calibri" w:cs="Calibri"/>
                <w:sz w:val="18"/>
                <w:szCs w:val="18"/>
                <w:lang w:eastAsia="hr-HR"/>
              </w:rPr>
            </w:pPr>
            <w:r w:rsidRPr="004566A6">
              <w:rPr>
                <w:rFonts w:ascii="Calibri" w:eastAsia="Times New Roman" w:hAnsi="Calibri" w:cs="Calibri"/>
                <w:sz w:val="18"/>
                <w:szCs w:val="18"/>
                <w:lang w:eastAsia="hr-HR"/>
              </w:rPr>
              <w:t>11</w:t>
            </w:r>
          </w:p>
        </w:tc>
        <w:tc>
          <w:tcPr>
            <w:tcW w:w="515" w:type="dxa"/>
            <w:gridSpan w:val="2"/>
            <w:tcBorders>
              <w:top w:val="nil"/>
              <w:left w:val="nil"/>
              <w:bottom w:val="single" w:sz="4" w:space="0" w:color="auto"/>
              <w:right w:val="single" w:sz="4" w:space="0" w:color="auto"/>
            </w:tcBorders>
            <w:shd w:val="clear" w:color="000000" w:fill="FFFF99"/>
            <w:vAlign w:val="center"/>
            <w:hideMark/>
          </w:tcPr>
          <w:p w14:paraId="23FB48A0" w14:textId="77777777" w:rsidR="004566A6" w:rsidRPr="004566A6" w:rsidRDefault="004566A6" w:rsidP="004566A6">
            <w:pPr>
              <w:spacing w:after="0" w:line="240" w:lineRule="auto"/>
              <w:jc w:val="center"/>
              <w:rPr>
                <w:rFonts w:ascii="Calibri" w:eastAsia="Times New Roman" w:hAnsi="Calibri" w:cs="Calibri"/>
                <w:sz w:val="18"/>
                <w:szCs w:val="18"/>
                <w:lang w:eastAsia="hr-HR"/>
              </w:rPr>
            </w:pPr>
            <w:r w:rsidRPr="004566A6">
              <w:rPr>
                <w:rFonts w:ascii="Calibri" w:eastAsia="Times New Roman" w:hAnsi="Calibri" w:cs="Calibri"/>
                <w:sz w:val="18"/>
                <w:szCs w:val="18"/>
                <w:lang w:eastAsia="hr-HR"/>
              </w:rPr>
              <w:t>11</w:t>
            </w:r>
          </w:p>
        </w:tc>
        <w:tc>
          <w:tcPr>
            <w:tcW w:w="855" w:type="dxa"/>
            <w:gridSpan w:val="2"/>
            <w:tcBorders>
              <w:top w:val="nil"/>
              <w:left w:val="nil"/>
              <w:bottom w:val="single" w:sz="4" w:space="0" w:color="auto"/>
              <w:right w:val="single" w:sz="4" w:space="0" w:color="auto"/>
            </w:tcBorders>
            <w:shd w:val="clear" w:color="000000" w:fill="FF9900"/>
            <w:vAlign w:val="center"/>
            <w:hideMark/>
          </w:tcPr>
          <w:p w14:paraId="7A1DF465" w14:textId="77777777" w:rsidR="004566A6" w:rsidRPr="004566A6" w:rsidRDefault="004566A6" w:rsidP="004566A6">
            <w:pPr>
              <w:spacing w:after="0" w:line="240" w:lineRule="auto"/>
              <w:jc w:val="center"/>
              <w:rPr>
                <w:rFonts w:ascii="Calibri" w:eastAsia="Times New Roman" w:hAnsi="Calibri" w:cs="Calibri"/>
                <w:sz w:val="18"/>
                <w:szCs w:val="18"/>
                <w:lang w:eastAsia="hr-HR"/>
              </w:rPr>
            </w:pPr>
            <w:r w:rsidRPr="004566A6">
              <w:rPr>
                <w:rFonts w:ascii="Calibri" w:eastAsia="Times New Roman" w:hAnsi="Calibri" w:cs="Calibri"/>
                <w:sz w:val="18"/>
                <w:szCs w:val="18"/>
                <w:lang w:eastAsia="hr-HR"/>
              </w:rPr>
              <w:t>10</w:t>
            </w:r>
          </w:p>
        </w:tc>
        <w:tc>
          <w:tcPr>
            <w:tcW w:w="445" w:type="dxa"/>
            <w:gridSpan w:val="2"/>
            <w:tcBorders>
              <w:top w:val="nil"/>
              <w:left w:val="nil"/>
              <w:bottom w:val="single" w:sz="4" w:space="0" w:color="auto"/>
              <w:right w:val="single" w:sz="4" w:space="0" w:color="auto"/>
            </w:tcBorders>
            <w:shd w:val="clear" w:color="000000" w:fill="CCFFFF"/>
            <w:vAlign w:val="bottom"/>
            <w:hideMark/>
          </w:tcPr>
          <w:p w14:paraId="6A35B176" w14:textId="77777777" w:rsidR="004566A6" w:rsidRPr="004566A6" w:rsidRDefault="004566A6" w:rsidP="004566A6">
            <w:pPr>
              <w:spacing w:after="0" w:line="240" w:lineRule="auto"/>
              <w:jc w:val="right"/>
              <w:rPr>
                <w:rFonts w:ascii="Calibri" w:eastAsia="Times New Roman" w:hAnsi="Calibri" w:cs="Calibri"/>
                <w:sz w:val="18"/>
                <w:szCs w:val="18"/>
                <w:lang w:eastAsia="hr-HR"/>
              </w:rPr>
            </w:pPr>
            <w:r w:rsidRPr="004566A6">
              <w:rPr>
                <w:rFonts w:ascii="Calibri" w:eastAsia="Times New Roman" w:hAnsi="Calibri" w:cs="Calibri"/>
                <w:sz w:val="18"/>
                <w:szCs w:val="18"/>
                <w:lang w:eastAsia="hr-HR"/>
              </w:rPr>
              <w:t>3</w:t>
            </w:r>
          </w:p>
        </w:tc>
        <w:tc>
          <w:tcPr>
            <w:tcW w:w="445" w:type="dxa"/>
            <w:tcBorders>
              <w:top w:val="nil"/>
              <w:left w:val="nil"/>
              <w:bottom w:val="single" w:sz="4" w:space="0" w:color="auto"/>
              <w:right w:val="single" w:sz="4" w:space="0" w:color="auto"/>
            </w:tcBorders>
            <w:shd w:val="clear" w:color="000000" w:fill="CCFFFF"/>
            <w:vAlign w:val="bottom"/>
            <w:hideMark/>
          </w:tcPr>
          <w:p w14:paraId="28E5F5ED" w14:textId="77777777" w:rsidR="004566A6" w:rsidRPr="004566A6" w:rsidRDefault="004566A6" w:rsidP="004566A6">
            <w:pPr>
              <w:spacing w:after="0" w:line="240" w:lineRule="auto"/>
              <w:jc w:val="right"/>
              <w:rPr>
                <w:rFonts w:ascii="Calibri" w:eastAsia="Times New Roman" w:hAnsi="Calibri" w:cs="Calibri"/>
                <w:sz w:val="18"/>
                <w:szCs w:val="18"/>
                <w:lang w:eastAsia="hr-HR"/>
              </w:rPr>
            </w:pPr>
            <w:r w:rsidRPr="004566A6">
              <w:rPr>
                <w:rFonts w:ascii="Calibri" w:eastAsia="Times New Roman" w:hAnsi="Calibri" w:cs="Calibri"/>
                <w:sz w:val="18"/>
                <w:szCs w:val="18"/>
                <w:lang w:eastAsia="hr-HR"/>
              </w:rPr>
              <w:t>0</w:t>
            </w:r>
          </w:p>
        </w:tc>
        <w:tc>
          <w:tcPr>
            <w:tcW w:w="505" w:type="dxa"/>
            <w:tcBorders>
              <w:top w:val="nil"/>
              <w:left w:val="nil"/>
              <w:bottom w:val="single" w:sz="4" w:space="0" w:color="auto"/>
              <w:right w:val="single" w:sz="4" w:space="0" w:color="auto"/>
            </w:tcBorders>
            <w:shd w:val="clear" w:color="000000" w:fill="CCFFFF"/>
            <w:vAlign w:val="bottom"/>
            <w:hideMark/>
          </w:tcPr>
          <w:p w14:paraId="19185AD1" w14:textId="77777777" w:rsidR="004566A6" w:rsidRPr="004566A6" w:rsidRDefault="004566A6" w:rsidP="004566A6">
            <w:pPr>
              <w:spacing w:after="0" w:line="240" w:lineRule="auto"/>
              <w:jc w:val="right"/>
              <w:rPr>
                <w:rFonts w:ascii="Calibri" w:eastAsia="Times New Roman" w:hAnsi="Calibri" w:cs="Calibri"/>
                <w:sz w:val="18"/>
                <w:szCs w:val="18"/>
                <w:lang w:eastAsia="hr-HR"/>
              </w:rPr>
            </w:pPr>
            <w:r w:rsidRPr="004566A6">
              <w:rPr>
                <w:rFonts w:ascii="Calibri" w:eastAsia="Times New Roman" w:hAnsi="Calibri" w:cs="Calibri"/>
                <w:sz w:val="18"/>
                <w:szCs w:val="18"/>
                <w:lang w:eastAsia="hr-HR"/>
              </w:rPr>
              <w:t>6</w:t>
            </w:r>
          </w:p>
        </w:tc>
        <w:tc>
          <w:tcPr>
            <w:tcW w:w="797" w:type="dxa"/>
            <w:gridSpan w:val="2"/>
            <w:tcBorders>
              <w:top w:val="nil"/>
              <w:left w:val="nil"/>
              <w:bottom w:val="single" w:sz="4" w:space="0" w:color="auto"/>
              <w:right w:val="nil"/>
            </w:tcBorders>
            <w:shd w:val="clear" w:color="000000" w:fill="33CCCC"/>
            <w:noWrap/>
            <w:vAlign w:val="bottom"/>
            <w:hideMark/>
          </w:tcPr>
          <w:p w14:paraId="5660D5F9" w14:textId="77777777" w:rsidR="004566A6" w:rsidRPr="004566A6" w:rsidRDefault="004566A6" w:rsidP="004566A6">
            <w:pPr>
              <w:spacing w:after="0" w:line="240" w:lineRule="auto"/>
              <w:jc w:val="right"/>
              <w:rPr>
                <w:rFonts w:ascii="Calibri" w:eastAsia="Times New Roman" w:hAnsi="Calibri" w:cs="Calibri"/>
                <w:sz w:val="18"/>
                <w:szCs w:val="18"/>
                <w:lang w:eastAsia="hr-HR"/>
              </w:rPr>
            </w:pPr>
            <w:r w:rsidRPr="004566A6">
              <w:rPr>
                <w:rFonts w:ascii="Calibri" w:eastAsia="Times New Roman" w:hAnsi="Calibri" w:cs="Calibri"/>
                <w:sz w:val="18"/>
                <w:szCs w:val="18"/>
                <w:lang w:eastAsia="hr-HR"/>
              </w:rPr>
              <w:t>8</w:t>
            </w:r>
          </w:p>
        </w:tc>
        <w:tc>
          <w:tcPr>
            <w:tcW w:w="425" w:type="dxa"/>
            <w:gridSpan w:val="3"/>
            <w:tcBorders>
              <w:top w:val="nil"/>
              <w:left w:val="single" w:sz="4" w:space="0" w:color="auto"/>
              <w:bottom w:val="single" w:sz="4" w:space="0" w:color="auto"/>
              <w:right w:val="nil"/>
            </w:tcBorders>
            <w:shd w:val="clear" w:color="000000" w:fill="33CCCC"/>
            <w:noWrap/>
            <w:vAlign w:val="bottom"/>
            <w:hideMark/>
          </w:tcPr>
          <w:p w14:paraId="5BFD8753" w14:textId="77777777" w:rsidR="004566A6" w:rsidRPr="004566A6" w:rsidRDefault="004566A6" w:rsidP="004566A6">
            <w:pPr>
              <w:spacing w:after="0" w:line="240" w:lineRule="auto"/>
              <w:jc w:val="right"/>
              <w:rPr>
                <w:rFonts w:ascii="Calibri" w:eastAsia="Times New Roman" w:hAnsi="Calibri" w:cs="Calibri"/>
                <w:sz w:val="18"/>
                <w:szCs w:val="18"/>
                <w:lang w:eastAsia="hr-HR"/>
              </w:rPr>
            </w:pPr>
            <w:r w:rsidRPr="004566A6">
              <w:rPr>
                <w:rFonts w:ascii="Calibri" w:eastAsia="Times New Roman" w:hAnsi="Calibri" w:cs="Calibri"/>
                <w:sz w:val="18"/>
                <w:szCs w:val="18"/>
                <w:lang w:eastAsia="hr-HR"/>
              </w:rPr>
              <w:t>3</w:t>
            </w:r>
          </w:p>
        </w:tc>
        <w:tc>
          <w:tcPr>
            <w:tcW w:w="236" w:type="dxa"/>
            <w:gridSpan w:val="2"/>
            <w:vAlign w:val="center"/>
            <w:hideMark/>
          </w:tcPr>
          <w:p w14:paraId="283D5B23" w14:textId="77777777" w:rsidR="004566A6" w:rsidRPr="004566A6" w:rsidRDefault="004566A6" w:rsidP="004566A6">
            <w:pPr>
              <w:spacing w:after="0" w:line="240" w:lineRule="auto"/>
              <w:rPr>
                <w:rFonts w:ascii="Times New Roman" w:eastAsia="Times New Roman" w:hAnsi="Times New Roman" w:cs="Times New Roman"/>
                <w:sz w:val="18"/>
                <w:szCs w:val="18"/>
                <w:lang w:eastAsia="hr-HR"/>
              </w:rPr>
            </w:pPr>
          </w:p>
        </w:tc>
      </w:tr>
      <w:tr w:rsidR="003D0C85" w:rsidRPr="004566A6" w14:paraId="62F37D25" w14:textId="77777777" w:rsidTr="003D0C85">
        <w:trPr>
          <w:trHeight w:val="315"/>
        </w:trPr>
        <w:tc>
          <w:tcPr>
            <w:tcW w:w="1397" w:type="dxa"/>
            <w:tcBorders>
              <w:top w:val="single" w:sz="4" w:space="0" w:color="auto"/>
              <w:left w:val="single" w:sz="8" w:space="0" w:color="auto"/>
              <w:bottom w:val="single" w:sz="8" w:space="0" w:color="auto"/>
              <w:right w:val="single" w:sz="4" w:space="0" w:color="auto"/>
            </w:tcBorders>
            <w:shd w:val="clear" w:color="000000" w:fill="FFFF00"/>
            <w:vAlign w:val="center"/>
            <w:hideMark/>
          </w:tcPr>
          <w:p w14:paraId="67CBB956" w14:textId="77777777" w:rsidR="004566A6" w:rsidRPr="004566A6" w:rsidRDefault="004566A6" w:rsidP="004566A6">
            <w:pPr>
              <w:spacing w:after="0" w:line="240" w:lineRule="auto"/>
              <w:jc w:val="center"/>
              <w:rPr>
                <w:rFonts w:ascii="Calibri" w:eastAsia="Times New Roman" w:hAnsi="Calibri" w:cs="Calibri"/>
                <w:b/>
                <w:bCs/>
                <w:sz w:val="18"/>
                <w:szCs w:val="18"/>
                <w:lang w:eastAsia="hr-HR"/>
              </w:rPr>
            </w:pPr>
            <w:r w:rsidRPr="004566A6">
              <w:rPr>
                <w:rFonts w:ascii="Calibri" w:eastAsia="Times New Roman" w:hAnsi="Calibri" w:cs="Calibri"/>
                <w:b/>
                <w:bCs/>
                <w:sz w:val="18"/>
                <w:szCs w:val="18"/>
                <w:lang w:eastAsia="hr-HR"/>
              </w:rPr>
              <w:t>UKUPNO</w:t>
            </w:r>
          </w:p>
        </w:tc>
        <w:tc>
          <w:tcPr>
            <w:tcW w:w="576" w:type="dxa"/>
            <w:tcBorders>
              <w:top w:val="nil"/>
              <w:left w:val="nil"/>
              <w:bottom w:val="single" w:sz="8" w:space="0" w:color="auto"/>
              <w:right w:val="single" w:sz="4" w:space="0" w:color="auto"/>
            </w:tcBorders>
            <w:shd w:val="clear" w:color="000000" w:fill="FFFF00"/>
            <w:hideMark/>
          </w:tcPr>
          <w:p w14:paraId="0D920531" w14:textId="77777777" w:rsidR="004566A6" w:rsidRPr="004566A6" w:rsidRDefault="004566A6" w:rsidP="004566A6">
            <w:pPr>
              <w:spacing w:after="0" w:line="240" w:lineRule="auto"/>
              <w:jc w:val="center"/>
              <w:rPr>
                <w:rFonts w:ascii="Calibri" w:eastAsia="Times New Roman" w:hAnsi="Calibri" w:cs="Calibri"/>
                <w:b/>
                <w:bCs/>
                <w:sz w:val="18"/>
                <w:szCs w:val="18"/>
                <w:lang w:eastAsia="hr-HR"/>
              </w:rPr>
            </w:pPr>
            <w:r w:rsidRPr="004566A6">
              <w:rPr>
                <w:rFonts w:ascii="Calibri" w:eastAsia="Times New Roman" w:hAnsi="Calibri" w:cs="Calibri"/>
                <w:b/>
                <w:bCs/>
                <w:sz w:val="18"/>
                <w:szCs w:val="18"/>
                <w:lang w:eastAsia="hr-HR"/>
              </w:rPr>
              <w:t>75</w:t>
            </w:r>
          </w:p>
        </w:tc>
        <w:tc>
          <w:tcPr>
            <w:tcW w:w="444" w:type="dxa"/>
            <w:tcBorders>
              <w:top w:val="nil"/>
              <w:left w:val="nil"/>
              <w:bottom w:val="single" w:sz="8" w:space="0" w:color="auto"/>
              <w:right w:val="single" w:sz="4" w:space="0" w:color="auto"/>
            </w:tcBorders>
            <w:shd w:val="clear" w:color="000000" w:fill="FFFF00"/>
            <w:hideMark/>
          </w:tcPr>
          <w:p w14:paraId="35DDE053" w14:textId="77777777" w:rsidR="004566A6" w:rsidRPr="004566A6" w:rsidRDefault="004566A6" w:rsidP="004566A6">
            <w:pPr>
              <w:spacing w:after="0" w:line="240" w:lineRule="auto"/>
              <w:jc w:val="center"/>
              <w:rPr>
                <w:rFonts w:ascii="Calibri" w:eastAsia="Times New Roman" w:hAnsi="Calibri" w:cs="Calibri"/>
                <w:b/>
                <w:bCs/>
                <w:sz w:val="18"/>
                <w:szCs w:val="18"/>
                <w:lang w:eastAsia="hr-HR"/>
              </w:rPr>
            </w:pPr>
            <w:r w:rsidRPr="004566A6">
              <w:rPr>
                <w:rFonts w:ascii="Calibri" w:eastAsia="Times New Roman" w:hAnsi="Calibri" w:cs="Calibri"/>
                <w:b/>
                <w:bCs/>
                <w:sz w:val="18"/>
                <w:szCs w:val="18"/>
                <w:lang w:eastAsia="hr-HR"/>
              </w:rPr>
              <w:t>81</w:t>
            </w:r>
          </w:p>
        </w:tc>
        <w:tc>
          <w:tcPr>
            <w:tcW w:w="405" w:type="dxa"/>
            <w:tcBorders>
              <w:top w:val="nil"/>
              <w:left w:val="nil"/>
              <w:bottom w:val="single" w:sz="8" w:space="0" w:color="auto"/>
              <w:right w:val="single" w:sz="4" w:space="0" w:color="auto"/>
            </w:tcBorders>
            <w:shd w:val="clear" w:color="000000" w:fill="FFFF00"/>
            <w:hideMark/>
          </w:tcPr>
          <w:p w14:paraId="1BF39A7C" w14:textId="77777777" w:rsidR="004566A6" w:rsidRPr="004566A6" w:rsidRDefault="004566A6" w:rsidP="004566A6">
            <w:pPr>
              <w:spacing w:after="0" w:line="240" w:lineRule="auto"/>
              <w:jc w:val="center"/>
              <w:rPr>
                <w:rFonts w:ascii="Calibri" w:eastAsia="Times New Roman" w:hAnsi="Calibri" w:cs="Calibri"/>
                <w:b/>
                <w:bCs/>
                <w:sz w:val="18"/>
                <w:szCs w:val="18"/>
                <w:lang w:eastAsia="hr-HR"/>
              </w:rPr>
            </w:pPr>
            <w:r w:rsidRPr="004566A6">
              <w:rPr>
                <w:rFonts w:ascii="Calibri" w:eastAsia="Times New Roman" w:hAnsi="Calibri" w:cs="Calibri"/>
                <w:b/>
                <w:bCs/>
                <w:sz w:val="18"/>
                <w:szCs w:val="18"/>
                <w:lang w:eastAsia="hr-HR"/>
              </w:rPr>
              <w:t>23</w:t>
            </w:r>
          </w:p>
        </w:tc>
        <w:tc>
          <w:tcPr>
            <w:tcW w:w="462" w:type="dxa"/>
            <w:tcBorders>
              <w:top w:val="nil"/>
              <w:left w:val="nil"/>
              <w:bottom w:val="single" w:sz="8" w:space="0" w:color="auto"/>
              <w:right w:val="single" w:sz="4" w:space="0" w:color="auto"/>
            </w:tcBorders>
            <w:shd w:val="clear" w:color="000000" w:fill="FFFF00"/>
            <w:hideMark/>
          </w:tcPr>
          <w:p w14:paraId="6B7A41B7" w14:textId="77777777" w:rsidR="004566A6" w:rsidRPr="004566A6" w:rsidRDefault="004566A6" w:rsidP="004566A6">
            <w:pPr>
              <w:spacing w:after="0" w:line="240" w:lineRule="auto"/>
              <w:jc w:val="center"/>
              <w:rPr>
                <w:rFonts w:ascii="Calibri" w:eastAsia="Times New Roman" w:hAnsi="Calibri" w:cs="Calibri"/>
                <w:b/>
                <w:bCs/>
                <w:sz w:val="18"/>
                <w:szCs w:val="18"/>
                <w:lang w:eastAsia="hr-HR"/>
              </w:rPr>
            </w:pPr>
            <w:r w:rsidRPr="004566A6">
              <w:rPr>
                <w:rFonts w:ascii="Calibri" w:eastAsia="Times New Roman" w:hAnsi="Calibri" w:cs="Calibri"/>
                <w:b/>
                <w:bCs/>
                <w:sz w:val="18"/>
                <w:szCs w:val="18"/>
                <w:lang w:eastAsia="hr-HR"/>
              </w:rPr>
              <w:t>32</w:t>
            </w:r>
          </w:p>
        </w:tc>
        <w:tc>
          <w:tcPr>
            <w:tcW w:w="455" w:type="dxa"/>
            <w:tcBorders>
              <w:top w:val="nil"/>
              <w:left w:val="nil"/>
              <w:bottom w:val="single" w:sz="8" w:space="0" w:color="auto"/>
              <w:right w:val="single" w:sz="4" w:space="0" w:color="auto"/>
            </w:tcBorders>
            <w:shd w:val="clear" w:color="000000" w:fill="FFFF00"/>
            <w:hideMark/>
          </w:tcPr>
          <w:p w14:paraId="4C37EBF0" w14:textId="77777777" w:rsidR="004566A6" w:rsidRPr="004566A6" w:rsidRDefault="004566A6" w:rsidP="004566A6">
            <w:pPr>
              <w:spacing w:after="0" w:line="240" w:lineRule="auto"/>
              <w:jc w:val="center"/>
              <w:rPr>
                <w:rFonts w:ascii="Calibri" w:eastAsia="Times New Roman" w:hAnsi="Calibri" w:cs="Calibri"/>
                <w:b/>
                <w:bCs/>
                <w:sz w:val="18"/>
                <w:szCs w:val="18"/>
                <w:lang w:eastAsia="hr-HR"/>
              </w:rPr>
            </w:pPr>
            <w:r w:rsidRPr="004566A6">
              <w:rPr>
                <w:rFonts w:ascii="Calibri" w:eastAsia="Times New Roman" w:hAnsi="Calibri" w:cs="Calibri"/>
                <w:b/>
                <w:bCs/>
                <w:sz w:val="18"/>
                <w:szCs w:val="18"/>
                <w:lang w:eastAsia="hr-HR"/>
              </w:rPr>
              <w:t>53</w:t>
            </w:r>
          </w:p>
        </w:tc>
        <w:tc>
          <w:tcPr>
            <w:tcW w:w="567" w:type="dxa"/>
            <w:tcBorders>
              <w:top w:val="nil"/>
              <w:left w:val="nil"/>
              <w:bottom w:val="single" w:sz="8" w:space="0" w:color="auto"/>
              <w:right w:val="single" w:sz="4" w:space="0" w:color="auto"/>
            </w:tcBorders>
            <w:shd w:val="clear" w:color="000000" w:fill="FFFF00"/>
            <w:hideMark/>
          </w:tcPr>
          <w:p w14:paraId="186323BE" w14:textId="77777777" w:rsidR="004566A6" w:rsidRPr="004566A6" w:rsidRDefault="004566A6" w:rsidP="004566A6">
            <w:pPr>
              <w:spacing w:after="0" w:line="240" w:lineRule="auto"/>
              <w:jc w:val="center"/>
              <w:rPr>
                <w:rFonts w:ascii="Calibri" w:eastAsia="Times New Roman" w:hAnsi="Calibri" w:cs="Calibri"/>
                <w:b/>
                <w:bCs/>
                <w:sz w:val="18"/>
                <w:szCs w:val="18"/>
                <w:lang w:eastAsia="hr-HR"/>
              </w:rPr>
            </w:pPr>
            <w:r w:rsidRPr="004566A6">
              <w:rPr>
                <w:rFonts w:ascii="Calibri" w:eastAsia="Times New Roman" w:hAnsi="Calibri" w:cs="Calibri"/>
                <w:b/>
                <w:bCs/>
                <w:sz w:val="18"/>
                <w:szCs w:val="18"/>
                <w:lang w:eastAsia="hr-HR"/>
              </w:rPr>
              <w:t>3</w:t>
            </w:r>
          </w:p>
        </w:tc>
        <w:tc>
          <w:tcPr>
            <w:tcW w:w="708" w:type="dxa"/>
            <w:tcBorders>
              <w:top w:val="nil"/>
              <w:left w:val="nil"/>
              <w:bottom w:val="single" w:sz="8" w:space="0" w:color="auto"/>
              <w:right w:val="single" w:sz="4" w:space="0" w:color="auto"/>
            </w:tcBorders>
            <w:shd w:val="clear" w:color="000000" w:fill="FFFF00"/>
            <w:hideMark/>
          </w:tcPr>
          <w:p w14:paraId="2E5EE36D" w14:textId="77777777" w:rsidR="004566A6" w:rsidRPr="004566A6" w:rsidRDefault="004566A6" w:rsidP="004566A6">
            <w:pPr>
              <w:spacing w:after="0" w:line="240" w:lineRule="auto"/>
              <w:jc w:val="center"/>
              <w:rPr>
                <w:rFonts w:ascii="Calibri" w:eastAsia="Times New Roman" w:hAnsi="Calibri" w:cs="Calibri"/>
                <w:b/>
                <w:bCs/>
                <w:sz w:val="18"/>
                <w:szCs w:val="18"/>
                <w:lang w:eastAsia="hr-HR"/>
              </w:rPr>
            </w:pPr>
            <w:r w:rsidRPr="004566A6">
              <w:rPr>
                <w:rFonts w:ascii="Calibri" w:eastAsia="Times New Roman" w:hAnsi="Calibri" w:cs="Calibri"/>
                <w:b/>
                <w:bCs/>
                <w:sz w:val="18"/>
                <w:szCs w:val="18"/>
                <w:lang w:eastAsia="hr-HR"/>
              </w:rPr>
              <w:t>0</w:t>
            </w:r>
          </w:p>
        </w:tc>
        <w:tc>
          <w:tcPr>
            <w:tcW w:w="448" w:type="dxa"/>
            <w:tcBorders>
              <w:top w:val="nil"/>
              <w:left w:val="nil"/>
              <w:bottom w:val="single" w:sz="8" w:space="0" w:color="auto"/>
              <w:right w:val="single" w:sz="4" w:space="0" w:color="auto"/>
            </w:tcBorders>
            <w:shd w:val="clear" w:color="000000" w:fill="FFFF00"/>
            <w:hideMark/>
          </w:tcPr>
          <w:p w14:paraId="0947974E" w14:textId="77777777" w:rsidR="004566A6" w:rsidRPr="004566A6" w:rsidRDefault="004566A6" w:rsidP="004566A6">
            <w:pPr>
              <w:spacing w:after="0" w:line="240" w:lineRule="auto"/>
              <w:jc w:val="center"/>
              <w:rPr>
                <w:rFonts w:ascii="Calibri" w:eastAsia="Times New Roman" w:hAnsi="Calibri" w:cs="Calibri"/>
                <w:b/>
                <w:bCs/>
                <w:sz w:val="18"/>
                <w:szCs w:val="18"/>
                <w:lang w:eastAsia="hr-HR"/>
              </w:rPr>
            </w:pPr>
            <w:r w:rsidRPr="004566A6">
              <w:rPr>
                <w:rFonts w:ascii="Calibri" w:eastAsia="Times New Roman" w:hAnsi="Calibri" w:cs="Calibri"/>
                <w:b/>
                <w:bCs/>
                <w:sz w:val="18"/>
                <w:szCs w:val="18"/>
                <w:lang w:eastAsia="hr-HR"/>
              </w:rPr>
              <w:t>1</w:t>
            </w:r>
          </w:p>
        </w:tc>
        <w:tc>
          <w:tcPr>
            <w:tcW w:w="680" w:type="dxa"/>
            <w:tcBorders>
              <w:top w:val="nil"/>
              <w:left w:val="nil"/>
              <w:bottom w:val="single" w:sz="8" w:space="0" w:color="auto"/>
              <w:right w:val="single" w:sz="4" w:space="0" w:color="auto"/>
            </w:tcBorders>
            <w:shd w:val="clear" w:color="000000" w:fill="FFFF00"/>
            <w:hideMark/>
          </w:tcPr>
          <w:p w14:paraId="1A84427C" w14:textId="77777777" w:rsidR="004566A6" w:rsidRPr="004566A6" w:rsidRDefault="004566A6" w:rsidP="004566A6">
            <w:pPr>
              <w:spacing w:after="0" w:line="240" w:lineRule="auto"/>
              <w:jc w:val="center"/>
              <w:rPr>
                <w:rFonts w:ascii="Calibri" w:eastAsia="Times New Roman" w:hAnsi="Calibri" w:cs="Calibri"/>
                <w:b/>
                <w:bCs/>
                <w:sz w:val="18"/>
                <w:szCs w:val="18"/>
                <w:lang w:eastAsia="hr-HR"/>
              </w:rPr>
            </w:pPr>
            <w:r w:rsidRPr="004566A6">
              <w:rPr>
                <w:rFonts w:ascii="Calibri" w:eastAsia="Times New Roman" w:hAnsi="Calibri" w:cs="Calibri"/>
                <w:b/>
                <w:bCs/>
                <w:sz w:val="18"/>
                <w:szCs w:val="18"/>
                <w:lang w:eastAsia="hr-HR"/>
              </w:rPr>
              <w:t>23</w:t>
            </w:r>
          </w:p>
        </w:tc>
        <w:tc>
          <w:tcPr>
            <w:tcW w:w="573" w:type="dxa"/>
            <w:gridSpan w:val="2"/>
            <w:tcBorders>
              <w:top w:val="nil"/>
              <w:left w:val="nil"/>
              <w:bottom w:val="single" w:sz="8" w:space="0" w:color="auto"/>
              <w:right w:val="single" w:sz="4" w:space="0" w:color="auto"/>
            </w:tcBorders>
            <w:shd w:val="clear" w:color="000000" w:fill="FFFF00"/>
            <w:hideMark/>
          </w:tcPr>
          <w:p w14:paraId="5EF75CE5" w14:textId="77777777" w:rsidR="004566A6" w:rsidRPr="004566A6" w:rsidRDefault="004566A6" w:rsidP="004566A6">
            <w:pPr>
              <w:spacing w:after="0" w:line="240" w:lineRule="auto"/>
              <w:jc w:val="center"/>
              <w:rPr>
                <w:rFonts w:ascii="Calibri" w:eastAsia="Times New Roman" w:hAnsi="Calibri" w:cs="Calibri"/>
                <w:b/>
                <w:bCs/>
                <w:sz w:val="18"/>
                <w:szCs w:val="18"/>
                <w:lang w:eastAsia="hr-HR"/>
              </w:rPr>
            </w:pPr>
            <w:r w:rsidRPr="004566A6">
              <w:rPr>
                <w:rFonts w:ascii="Calibri" w:eastAsia="Times New Roman" w:hAnsi="Calibri" w:cs="Calibri"/>
                <w:b/>
                <w:bCs/>
                <w:sz w:val="18"/>
                <w:szCs w:val="18"/>
                <w:lang w:eastAsia="hr-HR"/>
              </w:rPr>
              <w:t>48</w:t>
            </w:r>
          </w:p>
        </w:tc>
        <w:tc>
          <w:tcPr>
            <w:tcW w:w="567" w:type="dxa"/>
            <w:tcBorders>
              <w:top w:val="nil"/>
              <w:left w:val="nil"/>
              <w:bottom w:val="single" w:sz="8" w:space="0" w:color="auto"/>
              <w:right w:val="single" w:sz="4" w:space="0" w:color="auto"/>
            </w:tcBorders>
            <w:shd w:val="clear" w:color="000000" w:fill="FFFF00"/>
            <w:hideMark/>
          </w:tcPr>
          <w:p w14:paraId="52B3B2D4" w14:textId="77777777" w:rsidR="004566A6" w:rsidRPr="004566A6" w:rsidRDefault="004566A6" w:rsidP="004566A6">
            <w:pPr>
              <w:spacing w:after="0" w:line="240" w:lineRule="auto"/>
              <w:jc w:val="center"/>
              <w:rPr>
                <w:rFonts w:ascii="Calibri" w:eastAsia="Times New Roman" w:hAnsi="Calibri" w:cs="Calibri"/>
                <w:b/>
                <w:bCs/>
                <w:sz w:val="18"/>
                <w:szCs w:val="18"/>
                <w:lang w:eastAsia="hr-HR"/>
              </w:rPr>
            </w:pPr>
            <w:r w:rsidRPr="004566A6">
              <w:rPr>
                <w:rFonts w:ascii="Calibri" w:eastAsia="Times New Roman" w:hAnsi="Calibri" w:cs="Calibri"/>
                <w:b/>
                <w:bCs/>
                <w:sz w:val="18"/>
                <w:szCs w:val="18"/>
                <w:lang w:eastAsia="hr-HR"/>
              </w:rPr>
              <w:t>24</w:t>
            </w:r>
          </w:p>
        </w:tc>
        <w:tc>
          <w:tcPr>
            <w:tcW w:w="448" w:type="dxa"/>
            <w:tcBorders>
              <w:top w:val="nil"/>
              <w:left w:val="nil"/>
              <w:bottom w:val="single" w:sz="8" w:space="0" w:color="auto"/>
              <w:right w:val="single" w:sz="4" w:space="0" w:color="auto"/>
            </w:tcBorders>
            <w:shd w:val="clear" w:color="000000" w:fill="FFFF00"/>
            <w:hideMark/>
          </w:tcPr>
          <w:p w14:paraId="52E04F99" w14:textId="77777777" w:rsidR="004566A6" w:rsidRPr="004566A6" w:rsidRDefault="004566A6" w:rsidP="004566A6">
            <w:pPr>
              <w:spacing w:after="0" w:line="240" w:lineRule="auto"/>
              <w:jc w:val="center"/>
              <w:rPr>
                <w:rFonts w:ascii="Calibri" w:eastAsia="Times New Roman" w:hAnsi="Calibri" w:cs="Calibri"/>
                <w:b/>
                <w:bCs/>
                <w:sz w:val="18"/>
                <w:szCs w:val="18"/>
                <w:lang w:eastAsia="hr-HR"/>
              </w:rPr>
            </w:pPr>
            <w:r w:rsidRPr="004566A6">
              <w:rPr>
                <w:rFonts w:ascii="Calibri" w:eastAsia="Times New Roman" w:hAnsi="Calibri" w:cs="Calibri"/>
                <w:b/>
                <w:bCs/>
                <w:sz w:val="18"/>
                <w:szCs w:val="18"/>
                <w:lang w:eastAsia="hr-HR"/>
              </w:rPr>
              <w:t>15</w:t>
            </w:r>
          </w:p>
        </w:tc>
        <w:tc>
          <w:tcPr>
            <w:tcW w:w="448" w:type="dxa"/>
            <w:gridSpan w:val="2"/>
            <w:tcBorders>
              <w:top w:val="nil"/>
              <w:left w:val="nil"/>
              <w:bottom w:val="single" w:sz="8" w:space="0" w:color="auto"/>
              <w:right w:val="single" w:sz="4" w:space="0" w:color="auto"/>
            </w:tcBorders>
            <w:shd w:val="clear" w:color="000000" w:fill="FFFF00"/>
            <w:hideMark/>
          </w:tcPr>
          <w:p w14:paraId="025A7F98" w14:textId="77777777" w:rsidR="004566A6" w:rsidRPr="004566A6" w:rsidRDefault="004566A6" w:rsidP="004566A6">
            <w:pPr>
              <w:spacing w:after="0" w:line="240" w:lineRule="auto"/>
              <w:jc w:val="center"/>
              <w:rPr>
                <w:rFonts w:ascii="Calibri" w:eastAsia="Times New Roman" w:hAnsi="Calibri" w:cs="Calibri"/>
                <w:b/>
                <w:bCs/>
                <w:sz w:val="18"/>
                <w:szCs w:val="18"/>
                <w:lang w:eastAsia="hr-HR"/>
              </w:rPr>
            </w:pPr>
            <w:r w:rsidRPr="004566A6">
              <w:rPr>
                <w:rFonts w:ascii="Calibri" w:eastAsia="Times New Roman" w:hAnsi="Calibri" w:cs="Calibri"/>
                <w:b/>
                <w:bCs/>
                <w:sz w:val="18"/>
                <w:szCs w:val="18"/>
                <w:lang w:eastAsia="hr-HR"/>
              </w:rPr>
              <w:t>0</w:t>
            </w:r>
          </w:p>
        </w:tc>
        <w:tc>
          <w:tcPr>
            <w:tcW w:w="448" w:type="dxa"/>
            <w:tcBorders>
              <w:top w:val="nil"/>
              <w:left w:val="nil"/>
              <w:bottom w:val="single" w:sz="8" w:space="0" w:color="auto"/>
              <w:right w:val="single" w:sz="4" w:space="0" w:color="auto"/>
            </w:tcBorders>
            <w:shd w:val="clear" w:color="000000" w:fill="FFFF00"/>
            <w:hideMark/>
          </w:tcPr>
          <w:p w14:paraId="64DDA9FB" w14:textId="77777777" w:rsidR="004566A6" w:rsidRPr="004566A6" w:rsidRDefault="004566A6" w:rsidP="004566A6">
            <w:pPr>
              <w:spacing w:after="0" w:line="240" w:lineRule="auto"/>
              <w:jc w:val="center"/>
              <w:rPr>
                <w:rFonts w:ascii="Calibri" w:eastAsia="Times New Roman" w:hAnsi="Calibri" w:cs="Calibri"/>
                <w:b/>
                <w:bCs/>
                <w:sz w:val="18"/>
                <w:szCs w:val="18"/>
                <w:lang w:eastAsia="hr-HR"/>
              </w:rPr>
            </w:pPr>
            <w:r w:rsidRPr="004566A6">
              <w:rPr>
                <w:rFonts w:ascii="Calibri" w:eastAsia="Times New Roman" w:hAnsi="Calibri" w:cs="Calibri"/>
                <w:b/>
                <w:bCs/>
                <w:sz w:val="18"/>
                <w:szCs w:val="18"/>
                <w:lang w:eastAsia="hr-HR"/>
              </w:rPr>
              <w:t>47</w:t>
            </w:r>
          </w:p>
        </w:tc>
        <w:tc>
          <w:tcPr>
            <w:tcW w:w="448" w:type="dxa"/>
            <w:tcBorders>
              <w:top w:val="nil"/>
              <w:left w:val="nil"/>
              <w:bottom w:val="single" w:sz="8" w:space="0" w:color="auto"/>
              <w:right w:val="single" w:sz="4" w:space="0" w:color="auto"/>
            </w:tcBorders>
            <w:shd w:val="clear" w:color="000000" w:fill="FFFF00"/>
            <w:hideMark/>
          </w:tcPr>
          <w:p w14:paraId="26CEF221" w14:textId="77777777" w:rsidR="004566A6" w:rsidRPr="004566A6" w:rsidRDefault="004566A6" w:rsidP="004566A6">
            <w:pPr>
              <w:spacing w:after="0" w:line="240" w:lineRule="auto"/>
              <w:jc w:val="center"/>
              <w:rPr>
                <w:rFonts w:ascii="Calibri" w:eastAsia="Times New Roman" w:hAnsi="Calibri" w:cs="Calibri"/>
                <w:b/>
                <w:bCs/>
                <w:sz w:val="18"/>
                <w:szCs w:val="18"/>
                <w:lang w:eastAsia="hr-HR"/>
              </w:rPr>
            </w:pPr>
            <w:r w:rsidRPr="004566A6">
              <w:rPr>
                <w:rFonts w:ascii="Calibri" w:eastAsia="Times New Roman" w:hAnsi="Calibri" w:cs="Calibri"/>
                <w:b/>
                <w:bCs/>
                <w:sz w:val="18"/>
                <w:szCs w:val="18"/>
                <w:lang w:eastAsia="hr-HR"/>
              </w:rPr>
              <w:t>6</w:t>
            </w:r>
          </w:p>
        </w:tc>
        <w:tc>
          <w:tcPr>
            <w:tcW w:w="476" w:type="dxa"/>
            <w:tcBorders>
              <w:top w:val="nil"/>
              <w:left w:val="nil"/>
              <w:bottom w:val="single" w:sz="8" w:space="0" w:color="auto"/>
              <w:right w:val="single" w:sz="4" w:space="0" w:color="auto"/>
            </w:tcBorders>
            <w:shd w:val="clear" w:color="000000" w:fill="FFFF00"/>
            <w:hideMark/>
          </w:tcPr>
          <w:p w14:paraId="6C2BB4B3" w14:textId="77777777" w:rsidR="004566A6" w:rsidRPr="004566A6" w:rsidRDefault="004566A6" w:rsidP="004566A6">
            <w:pPr>
              <w:spacing w:after="0" w:line="240" w:lineRule="auto"/>
              <w:jc w:val="center"/>
              <w:rPr>
                <w:rFonts w:ascii="Calibri" w:eastAsia="Times New Roman" w:hAnsi="Calibri" w:cs="Calibri"/>
                <w:b/>
                <w:bCs/>
                <w:sz w:val="18"/>
                <w:szCs w:val="18"/>
                <w:lang w:eastAsia="hr-HR"/>
              </w:rPr>
            </w:pPr>
            <w:r w:rsidRPr="004566A6">
              <w:rPr>
                <w:rFonts w:ascii="Calibri" w:eastAsia="Times New Roman" w:hAnsi="Calibri" w:cs="Calibri"/>
                <w:b/>
                <w:bCs/>
                <w:sz w:val="18"/>
                <w:szCs w:val="18"/>
                <w:lang w:eastAsia="hr-HR"/>
              </w:rPr>
              <w:t>44</w:t>
            </w:r>
          </w:p>
        </w:tc>
        <w:tc>
          <w:tcPr>
            <w:tcW w:w="557" w:type="dxa"/>
            <w:gridSpan w:val="2"/>
            <w:tcBorders>
              <w:top w:val="nil"/>
              <w:left w:val="nil"/>
              <w:bottom w:val="single" w:sz="8" w:space="0" w:color="auto"/>
              <w:right w:val="single" w:sz="4" w:space="0" w:color="auto"/>
            </w:tcBorders>
            <w:shd w:val="clear" w:color="000000" w:fill="FFFF00"/>
            <w:hideMark/>
          </w:tcPr>
          <w:p w14:paraId="63C039A0" w14:textId="77777777" w:rsidR="004566A6" w:rsidRPr="004566A6" w:rsidRDefault="004566A6" w:rsidP="004566A6">
            <w:pPr>
              <w:spacing w:after="0" w:line="240" w:lineRule="auto"/>
              <w:jc w:val="center"/>
              <w:rPr>
                <w:rFonts w:ascii="Calibri" w:eastAsia="Times New Roman" w:hAnsi="Calibri" w:cs="Calibri"/>
                <w:b/>
                <w:bCs/>
                <w:sz w:val="18"/>
                <w:szCs w:val="18"/>
                <w:lang w:eastAsia="hr-HR"/>
              </w:rPr>
            </w:pPr>
            <w:r w:rsidRPr="004566A6">
              <w:rPr>
                <w:rFonts w:ascii="Calibri" w:eastAsia="Times New Roman" w:hAnsi="Calibri" w:cs="Calibri"/>
                <w:b/>
                <w:bCs/>
                <w:sz w:val="18"/>
                <w:szCs w:val="18"/>
                <w:lang w:eastAsia="hr-HR"/>
              </w:rPr>
              <w:t>86</w:t>
            </w:r>
          </w:p>
        </w:tc>
        <w:tc>
          <w:tcPr>
            <w:tcW w:w="515" w:type="dxa"/>
            <w:gridSpan w:val="2"/>
            <w:tcBorders>
              <w:top w:val="nil"/>
              <w:left w:val="nil"/>
              <w:bottom w:val="single" w:sz="8" w:space="0" w:color="auto"/>
              <w:right w:val="single" w:sz="4" w:space="0" w:color="auto"/>
            </w:tcBorders>
            <w:shd w:val="clear" w:color="000000" w:fill="FFFF00"/>
            <w:hideMark/>
          </w:tcPr>
          <w:p w14:paraId="606FA00A" w14:textId="77777777" w:rsidR="004566A6" w:rsidRPr="004566A6" w:rsidRDefault="004566A6" w:rsidP="004566A6">
            <w:pPr>
              <w:spacing w:after="0" w:line="240" w:lineRule="auto"/>
              <w:jc w:val="center"/>
              <w:rPr>
                <w:rFonts w:ascii="Calibri" w:eastAsia="Times New Roman" w:hAnsi="Calibri" w:cs="Calibri"/>
                <w:b/>
                <w:bCs/>
                <w:sz w:val="18"/>
                <w:szCs w:val="18"/>
                <w:lang w:eastAsia="hr-HR"/>
              </w:rPr>
            </w:pPr>
            <w:r w:rsidRPr="004566A6">
              <w:rPr>
                <w:rFonts w:ascii="Calibri" w:eastAsia="Times New Roman" w:hAnsi="Calibri" w:cs="Calibri"/>
                <w:b/>
                <w:bCs/>
                <w:sz w:val="18"/>
                <w:szCs w:val="18"/>
                <w:lang w:eastAsia="hr-HR"/>
              </w:rPr>
              <w:t>70</w:t>
            </w:r>
          </w:p>
        </w:tc>
        <w:tc>
          <w:tcPr>
            <w:tcW w:w="855" w:type="dxa"/>
            <w:gridSpan w:val="2"/>
            <w:tcBorders>
              <w:top w:val="nil"/>
              <w:left w:val="nil"/>
              <w:bottom w:val="single" w:sz="8" w:space="0" w:color="auto"/>
              <w:right w:val="single" w:sz="4" w:space="0" w:color="auto"/>
            </w:tcBorders>
            <w:shd w:val="clear" w:color="000000" w:fill="FFFF00"/>
            <w:hideMark/>
          </w:tcPr>
          <w:p w14:paraId="355B9592" w14:textId="77777777" w:rsidR="004566A6" w:rsidRPr="004566A6" w:rsidRDefault="004566A6" w:rsidP="004566A6">
            <w:pPr>
              <w:spacing w:after="0" w:line="240" w:lineRule="auto"/>
              <w:jc w:val="center"/>
              <w:rPr>
                <w:rFonts w:ascii="Calibri" w:eastAsia="Times New Roman" w:hAnsi="Calibri" w:cs="Calibri"/>
                <w:b/>
                <w:bCs/>
                <w:sz w:val="18"/>
                <w:szCs w:val="18"/>
                <w:lang w:eastAsia="hr-HR"/>
              </w:rPr>
            </w:pPr>
            <w:r w:rsidRPr="004566A6">
              <w:rPr>
                <w:rFonts w:ascii="Calibri" w:eastAsia="Times New Roman" w:hAnsi="Calibri" w:cs="Calibri"/>
                <w:b/>
                <w:bCs/>
                <w:sz w:val="18"/>
                <w:szCs w:val="18"/>
                <w:lang w:eastAsia="hr-HR"/>
              </w:rPr>
              <w:t>51</w:t>
            </w:r>
          </w:p>
        </w:tc>
        <w:tc>
          <w:tcPr>
            <w:tcW w:w="445" w:type="dxa"/>
            <w:gridSpan w:val="2"/>
            <w:tcBorders>
              <w:top w:val="nil"/>
              <w:left w:val="nil"/>
              <w:bottom w:val="single" w:sz="8" w:space="0" w:color="auto"/>
              <w:right w:val="single" w:sz="4" w:space="0" w:color="auto"/>
            </w:tcBorders>
            <w:shd w:val="clear" w:color="000000" w:fill="FFFF00"/>
            <w:hideMark/>
          </w:tcPr>
          <w:p w14:paraId="1585D822" w14:textId="77777777" w:rsidR="004566A6" w:rsidRPr="004566A6" w:rsidRDefault="004566A6" w:rsidP="004566A6">
            <w:pPr>
              <w:spacing w:after="0" w:line="240" w:lineRule="auto"/>
              <w:jc w:val="center"/>
              <w:rPr>
                <w:rFonts w:ascii="Calibri" w:eastAsia="Times New Roman" w:hAnsi="Calibri" w:cs="Calibri"/>
                <w:b/>
                <w:bCs/>
                <w:sz w:val="18"/>
                <w:szCs w:val="18"/>
                <w:lang w:eastAsia="hr-HR"/>
              </w:rPr>
            </w:pPr>
            <w:r w:rsidRPr="004566A6">
              <w:rPr>
                <w:rFonts w:ascii="Calibri" w:eastAsia="Times New Roman" w:hAnsi="Calibri" w:cs="Calibri"/>
                <w:b/>
                <w:bCs/>
                <w:sz w:val="18"/>
                <w:szCs w:val="18"/>
                <w:lang w:eastAsia="hr-HR"/>
              </w:rPr>
              <w:t>21</w:t>
            </w:r>
          </w:p>
        </w:tc>
        <w:tc>
          <w:tcPr>
            <w:tcW w:w="445" w:type="dxa"/>
            <w:tcBorders>
              <w:top w:val="nil"/>
              <w:left w:val="nil"/>
              <w:bottom w:val="single" w:sz="8" w:space="0" w:color="auto"/>
              <w:right w:val="single" w:sz="4" w:space="0" w:color="auto"/>
            </w:tcBorders>
            <w:shd w:val="clear" w:color="000000" w:fill="FFFF00"/>
            <w:hideMark/>
          </w:tcPr>
          <w:p w14:paraId="4AC15EE0" w14:textId="77777777" w:rsidR="004566A6" w:rsidRPr="004566A6" w:rsidRDefault="004566A6" w:rsidP="004566A6">
            <w:pPr>
              <w:spacing w:after="0" w:line="240" w:lineRule="auto"/>
              <w:jc w:val="center"/>
              <w:rPr>
                <w:rFonts w:ascii="Calibri" w:eastAsia="Times New Roman" w:hAnsi="Calibri" w:cs="Calibri"/>
                <w:b/>
                <w:bCs/>
                <w:sz w:val="18"/>
                <w:szCs w:val="18"/>
                <w:lang w:eastAsia="hr-HR"/>
              </w:rPr>
            </w:pPr>
            <w:r w:rsidRPr="004566A6">
              <w:rPr>
                <w:rFonts w:ascii="Calibri" w:eastAsia="Times New Roman" w:hAnsi="Calibri" w:cs="Calibri"/>
                <w:b/>
                <w:bCs/>
                <w:sz w:val="18"/>
                <w:szCs w:val="18"/>
                <w:lang w:eastAsia="hr-HR"/>
              </w:rPr>
              <w:t>17</w:t>
            </w:r>
          </w:p>
        </w:tc>
        <w:tc>
          <w:tcPr>
            <w:tcW w:w="505" w:type="dxa"/>
            <w:tcBorders>
              <w:top w:val="nil"/>
              <w:left w:val="nil"/>
              <w:bottom w:val="single" w:sz="8" w:space="0" w:color="auto"/>
              <w:right w:val="single" w:sz="4" w:space="0" w:color="auto"/>
            </w:tcBorders>
            <w:shd w:val="clear" w:color="000000" w:fill="FFFF00"/>
            <w:hideMark/>
          </w:tcPr>
          <w:p w14:paraId="77619EFF" w14:textId="77777777" w:rsidR="004566A6" w:rsidRPr="004566A6" w:rsidRDefault="004566A6" w:rsidP="004566A6">
            <w:pPr>
              <w:spacing w:after="0" w:line="240" w:lineRule="auto"/>
              <w:jc w:val="center"/>
              <w:rPr>
                <w:rFonts w:ascii="Calibri" w:eastAsia="Times New Roman" w:hAnsi="Calibri" w:cs="Calibri"/>
                <w:b/>
                <w:bCs/>
                <w:sz w:val="18"/>
                <w:szCs w:val="18"/>
                <w:lang w:eastAsia="hr-HR"/>
              </w:rPr>
            </w:pPr>
            <w:r w:rsidRPr="004566A6">
              <w:rPr>
                <w:rFonts w:ascii="Calibri" w:eastAsia="Times New Roman" w:hAnsi="Calibri" w:cs="Calibri"/>
                <w:b/>
                <w:bCs/>
                <w:sz w:val="18"/>
                <w:szCs w:val="18"/>
                <w:lang w:eastAsia="hr-HR"/>
              </w:rPr>
              <w:t>18</w:t>
            </w:r>
          </w:p>
        </w:tc>
        <w:tc>
          <w:tcPr>
            <w:tcW w:w="797" w:type="dxa"/>
            <w:gridSpan w:val="2"/>
            <w:tcBorders>
              <w:top w:val="nil"/>
              <w:left w:val="nil"/>
              <w:bottom w:val="single" w:sz="8" w:space="0" w:color="auto"/>
              <w:right w:val="single" w:sz="4" w:space="0" w:color="auto"/>
            </w:tcBorders>
            <w:shd w:val="clear" w:color="000000" w:fill="FFFF00"/>
            <w:hideMark/>
          </w:tcPr>
          <w:p w14:paraId="771DA4DA" w14:textId="77777777" w:rsidR="004566A6" w:rsidRPr="004566A6" w:rsidRDefault="004566A6" w:rsidP="004566A6">
            <w:pPr>
              <w:spacing w:after="0" w:line="240" w:lineRule="auto"/>
              <w:jc w:val="center"/>
              <w:rPr>
                <w:rFonts w:ascii="Calibri" w:eastAsia="Times New Roman" w:hAnsi="Calibri" w:cs="Calibri"/>
                <w:b/>
                <w:bCs/>
                <w:sz w:val="18"/>
                <w:szCs w:val="18"/>
                <w:lang w:eastAsia="hr-HR"/>
              </w:rPr>
            </w:pPr>
            <w:r w:rsidRPr="004566A6">
              <w:rPr>
                <w:rFonts w:ascii="Calibri" w:eastAsia="Times New Roman" w:hAnsi="Calibri" w:cs="Calibri"/>
                <w:b/>
                <w:bCs/>
                <w:sz w:val="18"/>
                <w:szCs w:val="18"/>
                <w:lang w:eastAsia="hr-HR"/>
              </w:rPr>
              <w:t>54</w:t>
            </w:r>
          </w:p>
        </w:tc>
        <w:tc>
          <w:tcPr>
            <w:tcW w:w="425" w:type="dxa"/>
            <w:gridSpan w:val="3"/>
            <w:tcBorders>
              <w:top w:val="nil"/>
              <w:left w:val="nil"/>
              <w:bottom w:val="single" w:sz="8" w:space="0" w:color="auto"/>
              <w:right w:val="single" w:sz="4" w:space="0" w:color="auto"/>
            </w:tcBorders>
            <w:shd w:val="clear" w:color="000000" w:fill="FFFF00"/>
            <w:hideMark/>
          </w:tcPr>
          <w:p w14:paraId="474A4817" w14:textId="77777777" w:rsidR="004566A6" w:rsidRPr="004566A6" w:rsidRDefault="004566A6" w:rsidP="004566A6">
            <w:pPr>
              <w:spacing w:after="0" w:line="240" w:lineRule="auto"/>
              <w:jc w:val="center"/>
              <w:rPr>
                <w:rFonts w:ascii="Calibri" w:eastAsia="Times New Roman" w:hAnsi="Calibri" w:cs="Calibri"/>
                <w:b/>
                <w:bCs/>
                <w:sz w:val="18"/>
                <w:szCs w:val="18"/>
                <w:lang w:eastAsia="hr-HR"/>
              </w:rPr>
            </w:pPr>
            <w:r w:rsidRPr="004566A6">
              <w:rPr>
                <w:rFonts w:ascii="Calibri" w:eastAsia="Times New Roman" w:hAnsi="Calibri" w:cs="Calibri"/>
                <w:b/>
                <w:bCs/>
                <w:sz w:val="18"/>
                <w:szCs w:val="18"/>
                <w:lang w:eastAsia="hr-HR"/>
              </w:rPr>
              <w:t>32</w:t>
            </w:r>
          </w:p>
        </w:tc>
        <w:tc>
          <w:tcPr>
            <w:tcW w:w="236" w:type="dxa"/>
            <w:gridSpan w:val="2"/>
            <w:vAlign w:val="center"/>
            <w:hideMark/>
          </w:tcPr>
          <w:p w14:paraId="07BC6ECE" w14:textId="77777777" w:rsidR="004566A6" w:rsidRPr="004566A6" w:rsidRDefault="004566A6" w:rsidP="004566A6">
            <w:pPr>
              <w:spacing w:after="0" w:line="240" w:lineRule="auto"/>
              <w:rPr>
                <w:rFonts w:ascii="Times New Roman" w:eastAsia="Times New Roman" w:hAnsi="Times New Roman" w:cs="Times New Roman"/>
                <w:sz w:val="18"/>
                <w:szCs w:val="18"/>
                <w:lang w:eastAsia="hr-HR"/>
              </w:rPr>
            </w:pPr>
          </w:p>
        </w:tc>
      </w:tr>
    </w:tbl>
    <w:p w14:paraId="1F86E3A7" w14:textId="77777777" w:rsidR="004566A6" w:rsidRPr="005E671C" w:rsidRDefault="004566A6" w:rsidP="001752B7">
      <w:pPr>
        <w:rPr>
          <w:rFonts w:ascii="Times New Roman" w:hAnsi="Times New Roman" w:cs="Times New Roman"/>
          <w:sz w:val="24"/>
          <w:szCs w:val="24"/>
        </w:rPr>
      </w:pPr>
    </w:p>
    <w:p w14:paraId="52A02994" w14:textId="77777777" w:rsidR="00C779A5" w:rsidRDefault="00C779A5" w:rsidP="001752B7">
      <w:pPr>
        <w:rPr>
          <w:rFonts w:ascii="Times New Roman" w:hAnsi="Times New Roman" w:cs="Times New Roman"/>
          <w:sz w:val="24"/>
          <w:szCs w:val="24"/>
        </w:rPr>
      </w:pPr>
    </w:p>
    <w:p w14:paraId="603A38FA" w14:textId="77777777" w:rsidR="00C779A5" w:rsidRDefault="00C779A5" w:rsidP="001752B7">
      <w:pPr>
        <w:rPr>
          <w:rFonts w:ascii="Times New Roman" w:hAnsi="Times New Roman" w:cs="Times New Roman"/>
          <w:sz w:val="24"/>
          <w:szCs w:val="24"/>
        </w:rPr>
      </w:pPr>
    </w:p>
    <w:p w14:paraId="48634A26" w14:textId="77777777" w:rsidR="00C779A5" w:rsidRDefault="00C779A5" w:rsidP="001752B7">
      <w:pPr>
        <w:rPr>
          <w:rFonts w:ascii="Times New Roman" w:hAnsi="Times New Roman" w:cs="Times New Roman"/>
          <w:sz w:val="24"/>
          <w:szCs w:val="24"/>
        </w:rPr>
      </w:pPr>
    </w:p>
    <w:p w14:paraId="0B0425A7" w14:textId="77777777" w:rsidR="00C779A5" w:rsidRDefault="00C779A5" w:rsidP="001752B7">
      <w:pPr>
        <w:rPr>
          <w:rFonts w:ascii="Times New Roman" w:hAnsi="Times New Roman" w:cs="Times New Roman"/>
          <w:sz w:val="24"/>
          <w:szCs w:val="24"/>
        </w:rPr>
      </w:pPr>
    </w:p>
    <w:p w14:paraId="6114C633" w14:textId="77777777" w:rsidR="00C779A5" w:rsidRDefault="00C779A5">
      <w:pPr>
        <w:rPr>
          <w:rFonts w:ascii="Times New Roman" w:hAnsi="Times New Roman" w:cs="Times New Roman"/>
          <w:sz w:val="24"/>
          <w:szCs w:val="24"/>
        </w:rPr>
      </w:pPr>
      <w:r>
        <w:rPr>
          <w:rFonts w:ascii="Times New Roman" w:hAnsi="Times New Roman" w:cs="Times New Roman"/>
          <w:sz w:val="24"/>
          <w:szCs w:val="24"/>
        </w:rPr>
        <w:br w:type="page"/>
      </w:r>
    </w:p>
    <w:p w14:paraId="341FE671" w14:textId="75047A73" w:rsidR="001752B7" w:rsidRDefault="001752B7" w:rsidP="001752B7">
      <w:pPr>
        <w:rPr>
          <w:rFonts w:ascii="Times New Roman" w:hAnsi="Times New Roman" w:cs="Times New Roman"/>
          <w:sz w:val="24"/>
          <w:szCs w:val="24"/>
        </w:rPr>
      </w:pPr>
      <w:r w:rsidRPr="005E671C">
        <w:rPr>
          <w:rFonts w:ascii="Times New Roman" w:hAnsi="Times New Roman" w:cs="Times New Roman"/>
          <w:sz w:val="24"/>
          <w:szCs w:val="24"/>
        </w:rPr>
        <w:lastRenderedPageBreak/>
        <w:t>OPĆINSKI SUDOVI (GRAĐANSKI PREDMETI) - UKUPNO 201</w:t>
      </w:r>
      <w:r>
        <w:rPr>
          <w:rFonts w:ascii="Times New Roman" w:hAnsi="Times New Roman" w:cs="Times New Roman"/>
          <w:sz w:val="24"/>
          <w:szCs w:val="24"/>
        </w:rPr>
        <w:t>8</w:t>
      </w:r>
      <w:r w:rsidRPr="005E671C">
        <w:rPr>
          <w:rFonts w:ascii="Times New Roman" w:hAnsi="Times New Roman" w:cs="Times New Roman"/>
          <w:sz w:val="24"/>
          <w:szCs w:val="24"/>
        </w:rPr>
        <w:t>. godina</w:t>
      </w:r>
    </w:p>
    <w:tbl>
      <w:tblPr>
        <w:tblW w:w="15001" w:type="dxa"/>
        <w:tblLayout w:type="fixed"/>
        <w:tblLook w:val="04A0" w:firstRow="1" w:lastRow="0" w:firstColumn="1" w:lastColumn="0" w:noHBand="0" w:noVBand="1"/>
      </w:tblPr>
      <w:tblGrid>
        <w:gridCol w:w="1567"/>
        <w:gridCol w:w="557"/>
        <w:gridCol w:w="444"/>
        <w:gridCol w:w="399"/>
        <w:gridCol w:w="425"/>
        <w:gridCol w:w="574"/>
        <w:gridCol w:w="706"/>
        <w:gridCol w:w="565"/>
        <w:gridCol w:w="565"/>
        <w:gridCol w:w="467"/>
        <w:gridCol w:w="805"/>
        <w:gridCol w:w="64"/>
        <w:gridCol w:w="403"/>
        <w:gridCol w:w="522"/>
        <w:gridCol w:w="467"/>
        <w:gridCol w:w="467"/>
        <w:gridCol w:w="86"/>
        <w:gridCol w:w="791"/>
        <w:gridCol w:w="86"/>
        <w:gridCol w:w="490"/>
        <w:gridCol w:w="440"/>
        <w:gridCol w:w="793"/>
        <w:gridCol w:w="84"/>
        <w:gridCol w:w="561"/>
        <w:gridCol w:w="467"/>
        <w:gridCol w:w="467"/>
        <w:gridCol w:w="150"/>
        <w:gridCol w:w="328"/>
        <w:gridCol w:w="876"/>
        <w:gridCol w:w="120"/>
        <w:gridCol w:w="14"/>
        <w:gridCol w:w="102"/>
        <w:gridCol w:w="120"/>
        <w:gridCol w:w="29"/>
      </w:tblGrid>
      <w:tr w:rsidR="00C779A5" w:rsidRPr="00C779A5" w14:paraId="37A30DCE" w14:textId="77777777" w:rsidTr="00C779A5">
        <w:trPr>
          <w:gridAfter w:val="3"/>
          <w:wAfter w:w="251" w:type="dxa"/>
          <w:trHeight w:val="450"/>
        </w:trPr>
        <w:tc>
          <w:tcPr>
            <w:tcW w:w="1567" w:type="dxa"/>
            <w:vMerge w:val="restart"/>
            <w:tcBorders>
              <w:top w:val="single" w:sz="8" w:space="0" w:color="auto"/>
              <w:left w:val="single" w:sz="8" w:space="0" w:color="auto"/>
              <w:bottom w:val="single" w:sz="4" w:space="0" w:color="auto"/>
              <w:right w:val="single" w:sz="4" w:space="0" w:color="auto"/>
            </w:tcBorders>
            <w:shd w:val="clear" w:color="000000" w:fill="CCFFCC"/>
            <w:vAlign w:val="center"/>
            <w:hideMark/>
          </w:tcPr>
          <w:p w14:paraId="51148273" w14:textId="77777777" w:rsidR="00C779A5" w:rsidRPr="00C779A5" w:rsidRDefault="00C779A5" w:rsidP="00C779A5">
            <w:pPr>
              <w:spacing w:after="0" w:line="240" w:lineRule="auto"/>
              <w:jc w:val="center"/>
              <w:rPr>
                <w:rFonts w:ascii="Tahoma" w:eastAsia="Times New Roman" w:hAnsi="Tahoma" w:cs="Tahoma"/>
                <w:sz w:val="18"/>
                <w:szCs w:val="18"/>
                <w:lang w:eastAsia="hr-HR"/>
              </w:rPr>
            </w:pPr>
            <w:r w:rsidRPr="00C779A5">
              <w:rPr>
                <w:rFonts w:ascii="Tahoma" w:eastAsia="Times New Roman" w:hAnsi="Tahoma" w:cs="Tahoma"/>
                <w:sz w:val="18"/>
                <w:szCs w:val="18"/>
                <w:lang w:eastAsia="hr-HR"/>
              </w:rPr>
              <w:t>OSNOVE DISKRIMINACIJE (čl. 1. Zakona o suzbijanju diskriminacije)</w:t>
            </w:r>
          </w:p>
        </w:tc>
        <w:tc>
          <w:tcPr>
            <w:tcW w:w="13183" w:type="dxa"/>
            <w:gridSpan w:val="30"/>
            <w:vMerge w:val="restart"/>
            <w:tcBorders>
              <w:top w:val="single" w:sz="8" w:space="0" w:color="auto"/>
              <w:left w:val="single" w:sz="4" w:space="0" w:color="auto"/>
              <w:bottom w:val="single" w:sz="4" w:space="0" w:color="000000"/>
              <w:right w:val="single" w:sz="8" w:space="0" w:color="000000"/>
            </w:tcBorders>
            <w:shd w:val="clear" w:color="000000" w:fill="CCFFCC"/>
            <w:noWrap/>
            <w:vAlign w:val="center"/>
            <w:hideMark/>
          </w:tcPr>
          <w:p w14:paraId="1ADD5217" w14:textId="77777777" w:rsidR="00C779A5" w:rsidRPr="00C779A5" w:rsidRDefault="00C779A5" w:rsidP="00C779A5">
            <w:pPr>
              <w:spacing w:after="0" w:line="240" w:lineRule="auto"/>
              <w:jc w:val="center"/>
              <w:rPr>
                <w:rFonts w:ascii="Tahoma" w:eastAsia="Times New Roman" w:hAnsi="Tahoma" w:cs="Tahoma"/>
                <w:b/>
                <w:bCs/>
                <w:sz w:val="18"/>
                <w:szCs w:val="18"/>
                <w:lang w:eastAsia="hr-HR"/>
              </w:rPr>
            </w:pPr>
            <w:r w:rsidRPr="00C779A5">
              <w:rPr>
                <w:rFonts w:ascii="Tahoma" w:eastAsia="Times New Roman" w:hAnsi="Tahoma" w:cs="Tahoma"/>
                <w:b/>
                <w:bCs/>
                <w:sz w:val="18"/>
                <w:szCs w:val="18"/>
                <w:lang w:eastAsia="hr-HR"/>
              </w:rPr>
              <w:t>G R A Đ A N S K I  P R E D M E T I</w:t>
            </w:r>
          </w:p>
        </w:tc>
      </w:tr>
      <w:tr w:rsidR="00C779A5" w:rsidRPr="00C779A5" w14:paraId="53495231" w14:textId="77777777" w:rsidTr="00C779A5">
        <w:trPr>
          <w:trHeight w:val="300"/>
        </w:trPr>
        <w:tc>
          <w:tcPr>
            <w:tcW w:w="1567" w:type="dxa"/>
            <w:vMerge/>
            <w:tcBorders>
              <w:top w:val="single" w:sz="8" w:space="0" w:color="auto"/>
              <w:left w:val="single" w:sz="8" w:space="0" w:color="auto"/>
              <w:bottom w:val="single" w:sz="4" w:space="0" w:color="auto"/>
              <w:right w:val="single" w:sz="4" w:space="0" w:color="auto"/>
            </w:tcBorders>
            <w:vAlign w:val="center"/>
            <w:hideMark/>
          </w:tcPr>
          <w:p w14:paraId="05555C53" w14:textId="77777777" w:rsidR="00C779A5" w:rsidRPr="00C779A5" w:rsidRDefault="00C779A5" w:rsidP="00C779A5">
            <w:pPr>
              <w:spacing w:after="0" w:line="240" w:lineRule="auto"/>
              <w:rPr>
                <w:rFonts w:ascii="Tahoma" w:eastAsia="Times New Roman" w:hAnsi="Tahoma" w:cs="Tahoma"/>
                <w:sz w:val="18"/>
                <w:szCs w:val="18"/>
                <w:lang w:eastAsia="hr-HR"/>
              </w:rPr>
            </w:pPr>
          </w:p>
        </w:tc>
        <w:tc>
          <w:tcPr>
            <w:tcW w:w="13183" w:type="dxa"/>
            <w:gridSpan w:val="30"/>
            <w:vMerge/>
            <w:tcBorders>
              <w:top w:val="single" w:sz="8" w:space="0" w:color="auto"/>
              <w:left w:val="single" w:sz="4" w:space="0" w:color="auto"/>
              <w:bottom w:val="single" w:sz="4" w:space="0" w:color="000000"/>
              <w:right w:val="single" w:sz="8" w:space="0" w:color="000000"/>
            </w:tcBorders>
            <w:vAlign w:val="center"/>
            <w:hideMark/>
          </w:tcPr>
          <w:p w14:paraId="36C39061" w14:textId="77777777" w:rsidR="00C779A5" w:rsidRPr="00C779A5" w:rsidRDefault="00C779A5" w:rsidP="00C779A5">
            <w:pPr>
              <w:spacing w:after="0" w:line="240" w:lineRule="auto"/>
              <w:rPr>
                <w:rFonts w:ascii="Tahoma" w:eastAsia="Times New Roman" w:hAnsi="Tahoma" w:cs="Tahoma"/>
                <w:b/>
                <w:bCs/>
                <w:sz w:val="18"/>
                <w:szCs w:val="18"/>
                <w:lang w:eastAsia="hr-HR"/>
              </w:rPr>
            </w:pPr>
          </w:p>
        </w:tc>
        <w:tc>
          <w:tcPr>
            <w:tcW w:w="251" w:type="dxa"/>
            <w:gridSpan w:val="3"/>
            <w:tcBorders>
              <w:top w:val="nil"/>
              <w:left w:val="nil"/>
              <w:bottom w:val="nil"/>
              <w:right w:val="nil"/>
            </w:tcBorders>
            <w:shd w:val="clear" w:color="auto" w:fill="auto"/>
            <w:noWrap/>
            <w:vAlign w:val="bottom"/>
            <w:hideMark/>
          </w:tcPr>
          <w:p w14:paraId="0786A3DF" w14:textId="77777777" w:rsidR="00C779A5" w:rsidRPr="00C779A5" w:rsidRDefault="00C779A5" w:rsidP="00C779A5">
            <w:pPr>
              <w:spacing w:after="0" w:line="240" w:lineRule="auto"/>
              <w:jc w:val="center"/>
              <w:rPr>
                <w:rFonts w:ascii="Tahoma" w:eastAsia="Times New Roman" w:hAnsi="Tahoma" w:cs="Tahoma"/>
                <w:b/>
                <w:bCs/>
                <w:sz w:val="18"/>
                <w:szCs w:val="18"/>
                <w:lang w:eastAsia="hr-HR"/>
              </w:rPr>
            </w:pPr>
          </w:p>
        </w:tc>
      </w:tr>
      <w:tr w:rsidR="00C779A5" w:rsidRPr="00C779A5" w14:paraId="209119C5" w14:textId="77777777" w:rsidTr="00C779A5">
        <w:trPr>
          <w:gridAfter w:val="1"/>
          <w:wAfter w:w="29" w:type="dxa"/>
          <w:trHeight w:val="795"/>
        </w:trPr>
        <w:tc>
          <w:tcPr>
            <w:tcW w:w="1567" w:type="dxa"/>
            <w:vMerge/>
            <w:tcBorders>
              <w:top w:val="single" w:sz="8" w:space="0" w:color="auto"/>
              <w:left w:val="single" w:sz="8" w:space="0" w:color="auto"/>
              <w:bottom w:val="single" w:sz="4" w:space="0" w:color="auto"/>
              <w:right w:val="single" w:sz="4" w:space="0" w:color="auto"/>
            </w:tcBorders>
            <w:vAlign w:val="center"/>
            <w:hideMark/>
          </w:tcPr>
          <w:p w14:paraId="3EE2F3C6" w14:textId="77777777" w:rsidR="00C779A5" w:rsidRPr="00C779A5" w:rsidRDefault="00C779A5" w:rsidP="00C779A5">
            <w:pPr>
              <w:spacing w:after="0" w:line="240" w:lineRule="auto"/>
              <w:rPr>
                <w:rFonts w:ascii="Tahoma" w:eastAsia="Times New Roman" w:hAnsi="Tahoma" w:cs="Tahoma"/>
                <w:sz w:val="18"/>
                <w:szCs w:val="18"/>
                <w:lang w:eastAsia="hr-HR"/>
              </w:rPr>
            </w:pPr>
          </w:p>
        </w:tc>
        <w:tc>
          <w:tcPr>
            <w:tcW w:w="557" w:type="dxa"/>
            <w:vMerge w:val="restart"/>
            <w:tcBorders>
              <w:top w:val="nil"/>
              <w:left w:val="single" w:sz="4" w:space="0" w:color="auto"/>
              <w:bottom w:val="single" w:sz="4" w:space="0" w:color="auto"/>
              <w:right w:val="single" w:sz="4" w:space="0" w:color="auto"/>
            </w:tcBorders>
            <w:shd w:val="clear" w:color="000000" w:fill="CCFFCC"/>
            <w:textDirection w:val="btLr"/>
            <w:vAlign w:val="center"/>
            <w:hideMark/>
          </w:tcPr>
          <w:p w14:paraId="23AEC1D5" w14:textId="77777777" w:rsidR="00C779A5" w:rsidRPr="00C779A5" w:rsidRDefault="00C779A5" w:rsidP="00C779A5">
            <w:pPr>
              <w:spacing w:after="0" w:line="240" w:lineRule="auto"/>
              <w:jc w:val="center"/>
              <w:rPr>
                <w:rFonts w:ascii="Tahoma" w:eastAsia="Times New Roman" w:hAnsi="Tahoma" w:cs="Tahoma"/>
                <w:b/>
                <w:bCs/>
                <w:sz w:val="18"/>
                <w:szCs w:val="18"/>
                <w:lang w:eastAsia="hr-HR"/>
              </w:rPr>
            </w:pPr>
            <w:r w:rsidRPr="00C779A5">
              <w:rPr>
                <w:rFonts w:ascii="Tahoma" w:eastAsia="Times New Roman" w:hAnsi="Tahoma" w:cs="Tahoma"/>
                <w:b/>
                <w:bCs/>
                <w:sz w:val="18"/>
                <w:szCs w:val="18"/>
                <w:lang w:eastAsia="hr-HR"/>
              </w:rPr>
              <w:t xml:space="preserve">Broj </w:t>
            </w:r>
            <w:proofErr w:type="spellStart"/>
            <w:r w:rsidRPr="00C779A5">
              <w:rPr>
                <w:rFonts w:ascii="Tahoma" w:eastAsia="Times New Roman" w:hAnsi="Tahoma" w:cs="Tahoma"/>
                <w:b/>
                <w:bCs/>
                <w:sz w:val="18"/>
                <w:szCs w:val="18"/>
                <w:lang w:eastAsia="hr-HR"/>
              </w:rPr>
              <w:t>nerješenih</w:t>
            </w:r>
            <w:proofErr w:type="spellEnd"/>
            <w:r w:rsidRPr="00C779A5">
              <w:rPr>
                <w:rFonts w:ascii="Tahoma" w:eastAsia="Times New Roman" w:hAnsi="Tahoma" w:cs="Tahoma"/>
                <w:b/>
                <w:bCs/>
                <w:sz w:val="18"/>
                <w:szCs w:val="18"/>
                <w:lang w:eastAsia="hr-HR"/>
              </w:rPr>
              <w:t xml:space="preserve"> predmeta na početku razdoblja</w:t>
            </w:r>
          </w:p>
        </w:tc>
        <w:tc>
          <w:tcPr>
            <w:tcW w:w="444" w:type="dxa"/>
            <w:vMerge w:val="restart"/>
            <w:tcBorders>
              <w:top w:val="nil"/>
              <w:left w:val="single" w:sz="4" w:space="0" w:color="auto"/>
              <w:bottom w:val="single" w:sz="4" w:space="0" w:color="000000"/>
              <w:right w:val="single" w:sz="4" w:space="0" w:color="000000"/>
            </w:tcBorders>
            <w:shd w:val="clear" w:color="000000" w:fill="CCFFCC"/>
            <w:textDirection w:val="btLr"/>
            <w:vAlign w:val="center"/>
            <w:hideMark/>
          </w:tcPr>
          <w:p w14:paraId="024EC620" w14:textId="77777777" w:rsidR="00C779A5" w:rsidRPr="00C779A5" w:rsidRDefault="00C779A5" w:rsidP="00C779A5">
            <w:pPr>
              <w:spacing w:after="0" w:line="240" w:lineRule="auto"/>
              <w:jc w:val="center"/>
              <w:rPr>
                <w:rFonts w:ascii="Tahoma" w:eastAsia="Times New Roman" w:hAnsi="Tahoma" w:cs="Tahoma"/>
                <w:b/>
                <w:bCs/>
                <w:sz w:val="18"/>
                <w:szCs w:val="18"/>
                <w:lang w:eastAsia="hr-HR"/>
              </w:rPr>
            </w:pPr>
            <w:r w:rsidRPr="00C779A5">
              <w:rPr>
                <w:rFonts w:ascii="Tahoma" w:eastAsia="Times New Roman" w:hAnsi="Tahoma" w:cs="Tahoma"/>
                <w:b/>
                <w:bCs/>
                <w:sz w:val="18"/>
                <w:szCs w:val="18"/>
                <w:lang w:eastAsia="hr-HR"/>
              </w:rPr>
              <w:t xml:space="preserve">Broj primljenih predmeta </w:t>
            </w:r>
          </w:p>
        </w:tc>
        <w:tc>
          <w:tcPr>
            <w:tcW w:w="824" w:type="dxa"/>
            <w:gridSpan w:val="2"/>
            <w:tcBorders>
              <w:top w:val="single" w:sz="4" w:space="0" w:color="auto"/>
              <w:left w:val="nil"/>
              <w:bottom w:val="single" w:sz="4" w:space="0" w:color="auto"/>
              <w:right w:val="single" w:sz="4" w:space="0" w:color="000000"/>
            </w:tcBorders>
            <w:shd w:val="clear" w:color="000000" w:fill="CCFFCC"/>
            <w:vAlign w:val="center"/>
            <w:hideMark/>
          </w:tcPr>
          <w:p w14:paraId="23136084" w14:textId="77777777" w:rsidR="00C779A5" w:rsidRPr="00C779A5" w:rsidRDefault="00C779A5" w:rsidP="00C779A5">
            <w:pPr>
              <w:spacing w:after="0" w:line="240" w:lineRule="auto"/>
              <w:jc w:val="center"/>
              <w:rPr>
                <w:rFonts w:ascii="Tahoma" w:eastAsia="Times New Roman" w:hAnsi="Tahoma" w:cs="Tahoma"/>
                <w:sz w:val="18"/>
                <w:szCs w:val="18"/>
                <w:lang w:eastAsia="hr-HR"/>
              </w:rPr>
            </w:pPr>
            <w:r w:rsidRPr="00C779A5">
              <w:rPr>
                <w:rFonts w:ascii="Tahoma" w:eastAsia="Times New Roman" w:hAnsi="Tahoma" w:cs="Tahoma"/>
                <w:sz w:val="18"/>
                <w:szCs w:val="18"/>
                <w:lang w:eastAsia="hr-HR"/>
              </w:rPr>
              <w:t>Broj diskriminiranih osoba prema tužbi</w:t>
            </w:r>
          </w:p>
        </w:tc>
        <w:tc>
          <w:tcPr>
            <w:tcW w:w="3746" w:type="dxa"/>
            <w:gridSpan w:val="7"/>
            <w:tcBorders>
              <w:top w:val="single" w:sz="4" w:space="0" w:color="auto"/>
              <w:left w:val="nil"/>
              <w:bottom w:val="single" w:sz="4" w:space="0" w:color="auto"/>
              <w:right w:val="single" w:sz="4" w:space="0" w:color="auto"/>
            </w:tcBorders>
            <w:shd w:val="clear" w:color="000000" w:fill="CCFFCC"/>
            <w:vAlign w:val="center"/>
            <w:hideMark/>
          </w:tcPr>
          <w:p w14:paraId="396A65D9" w14:textId="77777777" w:rsidR="00C779A5" w:rsidRPr="00C779A5" w:rsidRDefault="00C779A5" w:rsidP="00C779A5">
            <w:pPr>
              <w:spacing w:after="0" w:line="240" w:lineRule="auto"/>
              <w:jc w:val="center"/>
              <w:rPr>
                <w:rFonts w:ascii="Tahoma" w:eastAsia="Times New Roman" w:hAnsi="Tahoma" w:cs="Tahoma"/>
                <w:b/>
                <w:bCs/>
                <w:sz w:val="18"/>
                <w:szCs w:val="18"/>
                <w:lang w:eastAsia="hr-HR"/>
              </w:rPr>
            </w:pPr>
            <w:r w:rsidRPr="00C779A5">
              <w:rPr>
                <w:rFonts w:ascii="Tahoma" w:eastAsia="Times New Roman" w:hAnsi="Tahoma" w:cs="Tahoma"/>
                <w:b/>
                <w:bCs/>
                <w:sz w:val="18"/>
                <w:szCs w:val="18"/>
                <w:lang w:eastAsia="hr-HR"/>
              </w:rPr>
              <w:t>VRSTA TUŽBE</w:t>
            </w:r>
          </w:p>
        </w:tc>
        <w:tc>
          <w:tcPr>
            <w:tcW w:w="1945" w:type="dxa"/>
            <w:gridSpan w:val="5"/>
            <w:tcBorders>
              <w:top w:val="single" w:sz="4" w:space="0" w:color="auto"/>
              <w:left w:val="nil"/>
              <w:bottom w:val="single" w:sz="4" w:space="0" w:color="auto"/>
              <w:right w:val="single" w:sz="4" w:space="0" w:color="auto"/>
            </w:tcBorders>
            <w:shd w:val="clear" w:color="000000" w:fill="CCFFCC"/>
            <w:vAlign w:val="center"/>
            <w:hideMark/>
          </w:tcPr>
          <w:p w14:paraId="41D201A9" w14:textId="77777777" w:rsidR="00C779A5" w:rsidRPr="00C779A5" w:rsidRDefault="00C779A5" w:rsidP="00C779A5">
            <w:pPr>
              <w:spacing w:after="0" w:line="240" w:lineRule="auto"/>
              <w:jc w:val="center"/>
              <w:rPr>
                <w:rFonts w:ascii="Tahoma" w:eastAsia="Times New Roman" w:hAnsi="Tahoma" w:cs="Tahoma"/>
                <w:b/>
                <w:bCs/>
                <w:sz w:val="18"/>
                <w:szCs w:val="18"/>
                <w:lang w:eastAsia="hr-HR"/>
              </w:rPr>
            </w:pPr>
            <w:r w:rsidRPr="00C779A5">
              <w:rPr>
                <w:rFonts w:ascii="Tahoma" w:eastAsia="Times New Roman" w:hAnsi="Tahoma" w:cs="Tahoma"/>
                <w:b/>
                <w:bCs/>
                <w:sz w:val="18"/>
                <w:szCs w:val="18"/>
                <w:lang w:eastAsia="hr-HR"/>
              </w:rPr>
              <w:t>PRAVOMOĆNO RIJEŠENO</w:t>
            </w:r>
          </w:p>
        </w:tc>
        <w:tc>
          <w:tcPr>
            <w:tcW w:w="877" w:type="dxa"/>
            <w:gridSpan w:val="2"/>
            <w:tcBorders>
              <w:top w:val="nil"/>
              <w:left w:val="single" w:sz="4" w:space="0" w:color="auto"/>
              <w:bottom w:val="single" w:sz="4" w:space="0" w:color="000000"/>
              <w:right w:val="single" w:sz="4" w:space="0" w:color="auto"/>
            </w:tcBorders>
            <w:shd w:val="clear" w:color="000000" w:fill="CCFFCC"/>
            <w:textDirection w:val="btLr"/>
            <w:vAlign w:val="center"/>
            <w:hideMark/>
          </w:tcPr>
          <w:p w14:paraId="30968357" w14:textId="77777777" w:rsidR="00C779A5" w:rsidRPr="00C779A5" w:rsidRDefault="00C779A5" w:rsidP="00C779A5">
            <w:pPr>
              <w:spacing w:after="0" w:line="240" w:lineRule="auto"/>
              <w:jc w:val="center"/>
              <w:rPr>
                <w:rFonts w:ascii="Tahoma" w:eastAsia="Times New Roman" w:hAnsi="Tahoma" w:cs="Tahoma"/>
                <w:b/>
                <w:bCs/>
                <w:sz w:val="18"/>
                <w:szCs w:val="18"/>
                <w:lang w:eastAsia="hr-HR"/>
              </w:rPr>
            </w:pPr>
            <w:r w:rsidRPr="00C779A5">
              <w:rPr>
                <w:rFonts w:ascii="Tahoma" w:eastAsia="Times New Roman" w:hAnsi="Tahoma" w:cs="Tahoma"/>
                <w:b/>
                <w:bCs/>
                <w:sz w:val="18"/>
                <w:szCs w:val="18"/>
                <w:lang w:eastAsia="hr-HR"/>
              </w:rPr>
              <w:t xml:space="preserve">Broj </w:t>
            </w:r>
            <w:proofErr w:type="spellStart"/>
            <w:r w:rsidRPr="00C779A5">
              <w:rPr>
                <w:rFonts w:ascii="Tahoma" w:eastAsia="Times New Roman" w:hAnsi="Tahoma" w:cs="Tahoma"/>
                <w:b/>
                <w:bCs/>
                <w:sz w:val="18"/>
                <w:szCs w:val="18"/>
                <w:lang w:eastAsia="hr-HR"/>
              </w:rPr>
              <w:t>nerješenih</w:t>
            </w:r>
            <w:proofErr w:type="spellEnd"/>
            <w:r w:rsidRPr="00C779A5">
              <w:rPr>
                <w:rFonts w:ascii="Tahoma" w:eastAsia="Times New Roman" w:hAnsi="Tahoma" w:cs="Tahoma"/>
                <w:b/>
                <w:bCs/>
                <w:sz w:val="18"/>
                <w:szCs w:val="18"/>
                <w:lang w:eastAsia="hr-HR"/>
              </w:rPr>
              <w:t xml:space="preserve"> predmeta na kraju izvještajnog razdoblja</w:t>
            </w:r>
          </w:p>
        </w:tc>
        <w:tc>
          <w:tcPr>
            <w:tcW w:w="930" w:type="dxa"/>
            <w:gridSpan w:val="2"/>
            <w:tcBorders>
              <w:top w:val="single" w:sz="4" w:space="0" w:color="auto"/>
              <w:left w:val="nil"/>
              <w:bottom w:val="single" w:sz="4" w:space="0" w:color="auto"/>
              <w:right w:val="single" w:sz="4" w:space="0" w:color="auto"/>
            </w:tcBorders>
            <w:shd w:val="clear" w:color="000000" w:fill="FFCC00"/>
            <w:vAlign w:val="center"/>
            <w:hideMark/>
          </w:tcPr>
          <w:p w14:paraId="19397D5F" w14:textId="77777777" w:rsidR="00C779A5" w:rsidRPr="00C779A5" w:rsidRDefault="00C779A5" w:rsidP="00C779A5">
            <w:pPr>
              <w:spacing w:after="0" w:line="240" w:lineRule="auto"/>
              <w:jc w:val="center"/>
              <w:rPr>
                <w:rFonts w:ascii="Tahoma" w:eastAsia="Times New Roman" w:hAnsi="Tahoma" w:cs="Tahoma"/>
                <w:b/>
                <w:bCs/>
                <w:sz w:val="18"/>
                <w:szCs w:val="18"/>
                <w:lang w:eastAsia="hr-HR"/>
              </w:rPr>
            </w:pPr>
            <w:r w:rsidRPr="00C779A5">
              <w:rPr>
                <w:rFonts w:ascii="Tahoma" w:eastAsia="Times New Roman" w:hAnsi="Tahoma" w:cs="Tahoma"/>
                <w:b/>
                <w:bCs/>
                <w:sz w:val="18"/>
                <w:szCs w:val="18"/>
                <w:lang w:eastAsia="hr-HR"/>
              </w:rPr>
              <w:t xml:space="preserve">OBLIK DISKIMINACIJE </w:t>
            </w:r>
          </w:p>
        </w:tc>
        <w:tc>
          <w:tcPr>
            <w:tcW w:w="877" w:type="dxa"/>
            <w:gridSpan w:val="2"/>
            <w:tcBorders>
              <w:top w:val="nil"/>
              <w:left w:val="single" w:sz="4" w:space="0" w:color="auto"/>
              <w:bottom w:val="single" w:sz="4" w:space="0" w:color="auto"/>
              <w:right w:val="single" w:sz="4" w:space="0" w:color="000000"/>
            </w:tcBorders>
            <w:shd w:val="clear" w:color="000000" w:fill="FFCC00"/>
            <w:textDirection w:val="btLr"/>
            <w:vAlign w:val="center"/>
            <w:hideMark/>
          </w:tcPr>
          <w:p w14:paraId="4D8B540B" w14:textId="77777777" w:rsidR="00C779A5" w:rsidRPr="00C779A5" w:rsidRDefault="00C779A5" w:rsidP="00C779A5">
            <w:pPr>
              <w:spacing w:after="0" w:line="240" w:lineRule="auto"/>
              <w:jc w:val="center"/>
              <w:rPr>
                <w:rFonts w:ascii="Tahoma" w:eastAsia="Times New Roman" w:hAnsi="Tahoma" w:cs="Tahoma"/>
                <w:sz w:val="18"/>
                <w:szCs w:val="18"/>
                <w:lang w:eastAsia="hr-HR"/>
              </w:rPr>
            </w:pPr>
            <w:r w:rsidRPr="00C779A5">
              <w:rPr>
                <w:rFonts w:ascii="Tahoma" w:eastAsia="Times New Roman" w:hAnsi="Tahoma" w:cs="Tahoma"/>
                <w:sz w:val="18"/>
                <w:szCs w:val="18"/>
                <w:lang w:eastAsia="hr-HR"/>
              </w:rPr>
              <w:t xml:space="preserve">PODRUČJE DISKRIMINACIJE (iz čl.8 ZSD) </w:t>
            </w:r>
          </w:p>
        </w:tc>
        <w:tc>
          <w:tcPr>
            <w:tcW w:w="1645" w:type="dxa"/>
            <w:gridSpan w:val="4"/>
            <w:tcBorders>
              <w:top w:val="single" w:sz="4" w:space="0" w:color="auto"/>
              <w:left w:val="nil"/>
              <w:bottom w:val="single" w:sz="4" w:space="0" w:color="auto"/>
              <w:right w:val="single" w:sz="4" w:space="0" w:color="000000"/>
            </w:tcBorders>
            <w:shd w:val="clear" w:color="000000" w:fill="CCFFCC"/>
            <w:vAlign w:val="center"/>
            <w:hideMark/>
          </w:tcPr>
          <w:p w14:paraId="7523FC1D" w14:textId="77777777" w:rsidR="00C779A5" w:rsidRPr="00C779A5" w:rsidRDefault="00C779A5" w:rsidP="00C779A5">
            <w:pPr>
              <w:spacing w:after="0" w:line="240" w:lineRule="auto"/>
              <w:jc w:val="center"/>
              <w:rPr>
                <w:rFonts w:ascii="Tahoma" w:eastAsia="Times New Roman" w:hAnsi="Tahoma" w:cs="Tahoma"/>
                <w:sz w:val="18"/>
                <w:szCs w:val="18"/>
                <w:lang w:eastAsia="hr-HR"/>
              </w:rPr>
            </w:pPr>
            <w:r w:rsidRPr="00C779A5">
              <w:rPr>
                <w:rFonts w:ascii="Tahoma" w:eastAsia="Times New Roman" w:hAnsi="Tahoma" w:cs="Tahoma"/>
                <w:sz w:val="18"/>
                <w:szCs w:val="18"/>
                <w:lang w:eastAsia="hr-HR"/>
              </w:rPr>
              <w:t>Broj diskriminiranih osoba prema pravomoćnoj presudi</w:t>
            </w:r>
          </w:p>
        </w:tc>
        <w:tc>
          <w:tcPr>
            <w:tcW w:w="1324" w:type="dxa"/>
            <w:gridSpan w:val="3"/>
            <w:tcBorders>
              <w:top w:val="single" w:sz="4" w:space="0" w:color="auto"/>
              <w:left w:val="nil"/>
              <w:bottom w:val="single" w:sz="4" w:space="0" w:color="auto"/>
              <w:right w:val="single" w:sz="8" w:space="0" w:color="000000"/>
            </w:tcBorders>
            <w:shd w:val="clear" w:color="000000" w:fill="CCFFCC"/>
            <w:vAlign w:val="center"/>
            <w:hideMark/>
          </w:tcPr>
          <w:p w14:paraId="008BE7BD" w14:textId="77777777" w:rsidR="00C779A5" w:rsidRPr="00C779A5" w:rsidRDefault="00C779A5" w:rsidP="00C779A5">
            <w:pPr>
              <w:spacing w:after="0" w:line="240" w:lineRule="auto"/>
              <w:jc w:val="center"/>
              <w:rPr>
                <w:rFonts w:ascii="Tahoma" w:eastAsia="Times New Roman" w:hAnsi="Tahoma" w:cs="Tahoma"/>
                <w:sz w:val="18"/>
                <w:szCs w:val="18"/>
                <w:lang w:eastAsia="hr-HR"/>
              </w:rPr>
            </w:pPr>
            <w:r w:rsidRPr="00C779A5">
              <w:rPr>
                <w:rFonts w:ascii="Tahoma" w:eastAsia="Times New Roman" w:hAnsi="Tahoma" w:cs="Tahoma"/>
                <w:sz w:val="18"/>
                <w:szCs w:val="18"/>
                <w:lang w:eastAsia="hr-HR"/>
              </w:rPr>
              <w:t>TRAJANJE POSTUPKA</w:t>
            </w:r>
          </w:p>
        </w:tc>
        <w:tc>
          <w:tcPr>
            <w:tcW w:w="236" w:type="dxa"/>
            <w:gridSpan w:val="3"/>
            <w:vAlign w:val="center"/>
            <w:hideMark/>
          </w:tcPr>
          <w:p w14:paraId="1245F33D" w14:textId="77777777" w:rsidR="00C779A5" w:rsidRPr="00C779A5" w:rsidRDefault="00C779A5" w:rsidP="00C779A5">
            <w:pPr>
              <w:spacing w:after="0" w:line="240" w:lineRule="auto"/>
              <w:rPr>
                <w:rFonts w:ascii="Times New Roman" w:eastAsia="Times New Roman" w:hAnsi="Times New Roman" w:cs="Times New Roman"/>
                <w:sz w:val="18"/>
                <w:szCs w:val="18"/>
                <w:lang w:eastAsia="hr-HR"/>
              </w:rPr>
            </w:pPr>
          </w:p>
        </w:tc>
      </w:tr>
      <w:tr w:rsidR="00C779A5" w:rsidRPr="00C779A5" w14:paraId="77EC4D67" w14:textId="77777777" w:rsidTr="00C779A5">
        <w:trPr>
          <w:gridAfter w:val="2"/>
          <w:wAfter w:w="149" w:type="dxa"/>
          <w:trHeight w:val="3060"/>
        </w:trPr>
        <w:tc>
          <w:tcPr>
            <w:tcW w:w="1567" w:type="dxa"/>
            <w:vMerge/>
            <w:tcBorders>
              <w:top w:val="single" w:sz="8" w:space="0" w:color="auto"/>
              <w:left w:val="single" w:sz="8" w:space="0" w:color="auto"/>
              <w:bottom w:val="single" w:sz="4" w:space="0" w:color="auto"/>
              <w:right w:val="single" w:sz="4" w:space="0" w:color="auto"/>
            </w:tcBorders>
            <w:vAlign w:val="center"/>
            <w:hideMark/>
          </w:tcPr>
          <w:p w14:paraId="799658CB" w14:textId="77777777" w:rsidR="00C779A5" w:rsidRPr="00C779A5" w:rsidRDefault="00C779A5" w:rsidP="00C779A5">
            <w:pPr>
              <w:spacing w:after="0" w:line="240" w:lineRule="auto"/>
              <w:rPr>
                <w:rFonts w:ascii="Tahoma" w:eastAsia="Times New Roman" w:hAnsi="Tahoma" w:cs="Tahoma"/>
                <w:sz w:val="18"/>
                <w:szCs w:val="18"/>
                <w:lang w:eastAsia="hr-HR"/>
              </w:rPr>
            </w:pPr>
          </w:p>
        </w:tc>
        <w:tc>
          <w:tcPr>
            <w:tcW w:w="557" w:type="dxa"/>
            <w:vMerge/>
            <w:tcBorders>
              <w:top w:val="nil"/>
              <w:left w:val="single" w:sz="4" w:space="0" w:color="auto"/>
              <w:bottom w:val="single" w:sz="4" w:space="0" w:color="auto"/>
              <w:right w:val="single" w:sz="4" w:space="0" w:color="auto"/>
            </w:tcBorders>
            <w:vAlign w:val="center"/>
            <w:hideMark/>
          </w:tcPr>
          <w:p w14:paraId="17D94B1D" w14:textId="77777777" w:rsidR="00C779A5" w:rsidRPr="00C779A5" w:rsidRDefault="00C779A5" w:rsidP="00C779A5">
            <w:pPr>
              <w:spacing w:after="0" w:line="240" w:lineRule="auto"/>
              <w:rPr>
                <w:rFonts w:ascii="Tahoma" w:eastAsia="Times New Roman" w:hAnsi="Tahoma" w:cs="Tahoma"/>
                <w:b/>
                <w:bCs/>
                <w:sz w:val="18"/>
                <w:szCs w:val="18"/>
                <w:lang w:eastAsia="hr-HR"/>
              </w:rPr>
            </w:pPr>
          </w:p>
        </w:tc>
        <w:tc>
          <w:tcPr>
            <w:tcW w:w="444" w:type="dxa"/>
            <w:vMerge/>
            <w:tcBorders>
              <w:top w:val="nil"/>
              <w:left w:val="single" w:sz="4" w:space="0" w:color="auto"/>
              <w:bottom w:val="single" w:sz="4" w:space="0" w:color="000000"/>
              <w:right w:val="single" w:sz="4" w:space="0" w:color="000000"/>
            </w:tcBorders>
            <w:vAlign w:val="center"/>
            <w:hideMark/>
          </w:tcPr>
          <w:p w14:paraId="06234DDD" w14:textId="77777777" w:rsidR="00C779A5" w:rsidRPr="00C779A5" w:rsidRDefault="00C779A5" w:rsidP="00C779A5">
            <w:pPr>
              <w:spacing w:after="0" w:line="240" w:lineRule="auto"/>
              <w:rPr>
                <w:rFonts w:ascii="Tahoma" w:eastAsia="Times New Roman" w:hAnsi="Tahoma" w:cs="Tahoma"/>
                <w:b/>
                <w:bCs/>
                <w:sz w:val="18"/>
                <w:szCs w:val="18"/>
                <w:lang w:eastAsia="hr-HR"/>
              </w:rPr>
            </w:pPr>
          </w:p>
        </w:tc>
        <w:tc>
          <w:tcPr>
            <w:tcW w:w="399" w:type="dxa"/>
            <w:tcBorders>
              <w:top w:val="nil"/>
              <w:left w:val="nil"/>
              <w:bottom w:val="nil"/>
              <w:right w:val="single" w:sz="4" w:space="0" w:color="auto"/>
            </w:tcBorders>
            <w:shd w:val="clear" w:color="000000" w:fill="CCFFCC"/>
            <w:textDirection w:val="btLr"/>
            <w:vAlign w:val="center"/>
            <w:hideMark/>
          </w:tcPr>
          <w:p w14:paraId="136EBEDA" w14:textId="77777777" w:rsidR="00C779A5" w:rsidRPr="00C779A5" w:rsidRDefault="00C779A5" w:rsidP="00C779A5">
            <w:pPr>
              <w:spacing w:after="0" w:line="240" w:lineRule="auto"/>
              <w:jc w:val="center"/>
              <w:rPr>
                <w:rFonts w:ascii="Tahoma" w:eastAsia="Times New Roman" w:hAnsi="Tahoma" w:cs="Tahoma"/>
                <w:sz w:val="18"/>
                <w:szCs w:val="18"/>
                <w:lang w:eastAsia="hr-HR"/>
              </w:rPr>
            </w:pPr>
            <w:r w:rsidRPr="00C779A5">
              <w:rPr>
                <w:rFonts w:ascii="Tahoma" w:eastAsia="Times New Roman" w:hAnsi="Tahoma" w:cs="Tahoma"/>
                <w:sz w:val="18"/>
                <w:szCs w:val="18"/>
                <w:lang w:eastAsia="hr-HR"/>
              </w:rPr>
              <w:t>Žene</w:t>
            </w:r>
          </w:p>
        </w:tc>
        <w:tc>
          <w:tcPr>
            <w:tcW w:w="425" w:type="dxa"/>
            <w:tcBorders>
              <w:top w:val="nil"/>
              <w:left w:val="nil"/>
              <w:bottom w:val="nil"/>
              <w:right w:val="single" w:sz="4" w:space="0" w:color="auto"/>
            </w:tcBorders>
            <w:shd w:val="clear" w:color="000000" w:fill="CCFFCC"/>
            <w:textDirection w:val="btLr"/>
            <w:vAlign w:val="center"/>
            <w:hideMark/>
          </w:tcPr>
          <w:p w14:paraId="1A9C6114" w14:textId="77777777" w:rsidR="00C779A5" w:rsidRPr="00C779A5" w:rsidRDefault="00C779A5" w:rsidP="00C779A5">
            <w:pPr>
              <w:spacing w:after="0" w:line="240" w:lineRule="auto"/>
              <w:jc w:val="center"/>
              <w:rPr>
                <w:rFonts w:ascii="Tahoma" w:eastAsia="Times New Roman" w:hAnsi="Tahoma" w:cs="Tahoma"/>
                <w:sz w:val="18"/>
                <w:szCs w:val="18"/>
                <w:lang w:eastAsia="hr-HR"/>
              </w:rPr>
            </w:pPr>
            <w:r w:rsidRPr="00C779A5">
              <w:rPr>
                <w:rFonts w:ascii="Tahoma" w:eastAsia="Times New Roman" w:hAnsi="Tahoma" w:cs="Tahoma"/>
                <w:sz w:val="18"/>
                <w:szCs w:val="18"/>
                <w:lang w:eastAsia="hr-HR"/>
              </w:rPr>
              <w:t>Muškarci</w:t>
            </w:r>
          </w:p>
        </w:tc>
        <w:tc>
          <w:tcPr>
            <w:tcW w:w="574" w:type="dxa"/>
            <w:tcBorders>
              <w:top w:val="nil"/>
              <w:left w:val="nil"/>
              <w:bottom w:val="single" w:sz="4" w:space="0" w:color="auto"/>
              <w:right w:val="single" w:sz="4" w:space="0" w:color="auto"/>
            </w:tcBorders>
            <w:shd w:val="clear" w:color="000000" w:fill="CCFFCC"/>
            <w:textDirection w:val="btLr"/>
            <w:vAlign w:val="center"/>
            <w:hideMark/>
          </w:tcPr>
          <w:p w14:paraId="7C44F25C" w14:textId="77777777" w:rsidR="00C779A5" w:rsidRPr="00C779A5" w:rsidRDefault="00C779A5" w:rsidP="00C779A5">
            <w:pPr>
              <w:spacing w:after="0" w:line="240" w:lineRule="auto"/>
              <w:jc w:val="center"/>
              <w:rPr>
                <w:rFonts w:ascii="Tahoma" w:eastAsia="Times New Roman" w:hAnsi="Tahoma" w:cs="Tahoma"/>
                <w:sz w:val="18"/>
                <w:szCs w:val="18"/>
                <w:lang w:eastAsia="hr-HR"/>
              </w:rPr>
            </w:pPr>
            <w:r w:rsidRPr="00C779A5">
              <w:rPr>
                <w:rFonts w:ascii="Tahoma" w:eastAsia="Times New Roman" w:hAnsi="Tahoma" w:cs="Tahoma"/>
                <w:sz w:val="18"/>
                <w:szCs w:val="18"/>
                <w:lang w:eastAsia="hr-HR"/>
              </w:rPr>
              <w:t>UTVRĐENJE DISKRIMINACIJE (čl.17. st.1. toč.1. ZSD)</w:t>
            </w:r>
          </w:p>
        </w:tc>
        <w:tc>
          <w:tcPr>
            <w:tcW w:w="706" w:type="dxa"/>
            <w:tcBorders>
              <w:top w:val="nil"/>
              <w:left w:val="nil"/>
              <w:bottom w:val="single" w:sz="4" w:space="0" w:color="auto"/>
              <w:right w:val="single" w:sz="4" w:space="0" w:color="auto"/>
            </w:tcBorders>
            <w:shd w:val="clear" w:color="000000" w:fill="CCFFCC"/>
            <w:textDirection w:val="btLr"/>
            <w:vAlign w:val="center"/>
            <w:hideMark/>
          </w:tcPr>
          <w:p w14:paraId="7C12B92A" w14:textId="77777777" w:rsidR="00C779A5" w:rsidRPr="00C779A5" w:rsidRDefault="00C779A5" w:rsidP="00C779A5">
            <w:pPr>
              <w:spacing w:after="0" w:line="240" w:lineRule="auto"/>
              <w:jc w:val="center"/>
              <w:rPr>
                <w:rFonts w:ascii="Tahoma" w:eastAsia="Times New Roman" w:hAnsi="Tahoma" w:cs="Tahoma"/>
                <w:sz w:val="18"/>
                <w:szCs w:val="18"/>
                <w:lang w:eastAsia="hr-HR"/>
              </w:rPr>
            </w:pPr>
            <w:r w:rsidRPr="00C779A5">
              <w:rPr>
                <w:rFonts w:ascii="Tahoma" w:eastAsia="Times New Roman" w:hAnsi="Tahoma" w:cs="Tahoma"/>
                <w:sz w:val="18"/>
                <w:szCs w:val="18"/>
                <w:lang w:eastAsia="hr-HR"/>
              </w:rPr>
              <w:t>ZABRANA ILI OTKLANJANJE DISKRIMINACIJE (čl.17. st.1. toč.2. ZSD)</w:t>
            </w:r>
          </w:p>
        </w:tc>
        <w:tc>
          <w:tcPr>
            <w:tcW w:w="565" w:type="dxa"/>
            <w:tcBorders>
              <w:top w:val="nil"/>
              <w:left w:val="nil"/>
              <w:bottom w:val="single" w:sz="4" w:space="0" w:color="auto"/>
              <w:right w:val="single" w:sz="4" w:space="0" w:color="auto"/>
            </w:tcBorders>
            <w:shd w:val="clear" w:color="000000" w:fill="CCFFCC"/>
            <w:textDirection w:val="btLr"/>
            <w:vAlign w:val="center"/>
            <w:hideMark/>
          </w:tcPr>
          <w:p w14:paraId="7556894C" w14:textId="77777777" w:rsidR="00C779A5" w:rsidRPr="00C779A5" w:rsidRDefault="00C779A5" w:rsidP="00C779A5">
            <w:pPr>
              <w:spacing w:after="0" w:line="240" w:lineRule="auto"/>
              <w:jc w:val="center"/>
              <w:rPr>
                <w:rFonts w:ascii="Tahoma" w:eastAsia="Times New Roman" w:hAnsi="Tahoma" w:cs="Tahoma"/>
                <w:sz w:val="18"/>
                <w:szCs w:val="18"/>
                <w:lang w:eastAsia="hr-HR"/>
              </w:rPr>
            </w:pPr>
            <w:r w:rsidRPr="00C779A5">
              <w:rPr>
                <w:rFonts w:ascii="Tahoma" w:eastAsia="Times New Roman" w:hAnsi="Tahoma" w:cs="Tahoma"/>
                <w:sz w:val="18"/>
                <w:szCs w:val="18"/>
                <w:lang w:eastAsia="hr-HR"/>
              </w:rPr>
              <w:t>NAKNADA ŠTETE (čl.17. st.1. toč.3. ZSD)</w:t>
            </w:r>
          </w:p>
        </w:tc>
        <w:tc>
          <w:tcPr>
            <w:tcW w:w="565" w:type="dxa"/>
            <w:tcBorders>
              <w:top w:val="nil"/>
              <w:left w:val="nil"/>
              <w:bottom w:val="single" w:sz="4" w:space="0" w:color="auto"/>
              <w:right w:val="single" w:sz="4" w:space="0" w:color="auto"/>
            </w:tcBorders>
            <w:shd w:val="clear" w:color="000000" w:fill="CCFFCC"/>
            <w:textDirection w:val="btLr"/>
            <w:vAlign w:val="center"/>
            <w:hideMark/>
          </w:tcPr>
          <w:p w14:paraId="13DE315B" w14:textId="77777777" w:rsidR="00C779A5" w:rsidRPr="00C779A5" w:rsidRDefault="00C779A5" w:rsidP="00C779A5">
            <w:pPr>
              <w:spacing w:after="0" w:line="240" w:lineRule="auto"/>
              <w:jc w:val="center"/>
              <w:rPr>
                <w:rFonts w:ascii="Tahoma" w:eastAsia="Times New Roman" w:hAnsi="Tahoma" w:cs="Tahoma"/>
                <w:sz w:val="18"/>
                <w:szCs w:val="18"/>
                <w:lang w:eastAsia="hr-HR"/>
              </w:rPr>
            </w:pPr>
            <w:r w:rsidRPr="00C779A5">
              <w:rPr>
                <w:rFonts w:ascii="Tahoma" w:eastAsia="Times New Roman" w:hAnsi="Tahoma" w:cs="Tahoma"/>
                <w:sz w:val="18"/>
                <w:szCs w:val="18"/>
                <w:lang w:eastAsia="hr-HR"/>
              </w:rPr>
              <w:t xml:space="preserve">OBJAVA PRESUDE U MEDIJIMA (čl. 17. st. 1. </w:t>
            </w:r>
            <w:proofErr w:type="spellStart"/>
            <w:r w:rsidRPr="00C779A5">
              <w:rPr>
                <w:rFonts w:ascii="Tahoma" w:eastAsia="Times New Roman" w:hAnsi="Tahoma" w:cs="Tahoma"/>
                <w:sz w:val="18"/>
                <w:szCs w:val="18"/>
                <w:lang w:eastAsia="hr-HR"/>
              </w:rPr>
              <w:t>toč</w:t>
            </w:r>
            <w:proofErr w:type="spellEnd"/>
            <w:r w:rsidRPr="00C779A5">
              <w:rPr>
                <w:rFonts w:ascii="Tahoma" w:eastAsia="Times New Roman" w:hAnsi="Tahoma" w:cs="Tahoma"/>
                <w:sz w:val="18"/>
                <w:szCs w:val="18"/>
                <w:lang w:eastAsia="hr-HR"/>
              </w:rPr>
              <w:t>. 4.)</w:t>
            </w:r>
          </w:p>
        </w:tc>
        <w:tc>
          <w:tcPr>
            <w:tcW w:w="467" w:type="dxa"/>
            <w:tcBorders>
              <w:top w:val="nil"/>
              <w:left w:val="nil"/>
              <w:bottom w:val="single" w:sz="4" w:space="0" w:color="auto"/>
              <w:right w:val="single" w:sz="4" w:space="0" w:color="auto"/>
            </w:tcBorders>
            <w:shd w:val="clear" w:color="000000" w:fill="CCFFCC"/>
            <w:textDirection w:val="btLr"/>
            <w:vAlign w:val="center"/>
            <w:hideMark/>
          </w:tcPr>
          <w:p w14:paraId="4E183691" w14:textId="77777777" w:rsidR="00C779A5" w:rsidRPr="00C779A5" w:rsidRDefault="00C779A5" w:rsidP="00C779A5">
            <w:pPr>
              <w:spacing w:after="0" w:line="240" w:lineRule="auto"/>
              <w:jc w:val="center"/>
              <w:rPr>
                <w:rFonts w:ascii="Tahoma" w:eastAsia="Times New Roman" w:hAnsi="Tahoma" w:cs="Tahoma"/>
                <w:sz w:val="18"/>
                <w:szCs w:val="18"/>
                <w:lang w:eastAsia="hr-HR"/>
              </w:rPr>
            </w:pPr>
            <w:proofErr w:type="spellStart"/>
            <w:r w:rsidRPr="00C779A5">
              <w:rPr>
                <w:rFonts w:ascii="Tahoma" w:eastAsia="Times New Roman" w:hAnsi="Tahoma" w:cs="Tahoma"/>
                <w:sz w:val="18"/>
                <w:szCs w:val="18"/>
                <w:lang w:eastAsia="hr-HR"/>
              </w:rPr>
              <w:t>Udružne</w:t>
            </w:r>
            <w:proofErr w:type="spellEnd"/>
            <w:r w:rsidRPr="00C779A5">
              <w:rPr>
                <w:rFonts w:ascii="Tahoma" w:eastAsia="Times New Roman" w:hAnsi="Tahoma" w:cs="Tahoma"/>
                <w:sz w:val="18"/>
                <w:szCs w:val="18"/>
                <w:lang w:eastAsia="hr-HR"/>
              </w:rPr>
              <w:t xml:space="preserve"> tužbe (čl. 24. ZSD)</w:t>
            </w:r>
          </w:p>
        </w:tc>
        <w:tc>
          <w:tcPr>
            <w:tcW w:w="805" w:type="dxa"/>
            <w:tcBorders>
              <w:top w:val="nil"/>
              <w:left w:val="nil"/>
              <w:bottom w:val="single" w:sz="4" w:space="0" w:color="auto"/>
              <w:right w:val="single" w:sz="4" w:space="0" w:color="auto"/>
            </w:tcBorders>
            <w:shd w:val="clear" w:color="000000" w:fill="CCFFCC"/>
            <w:textDirection w:val="btLr"/>
            <w:vAlign w:val="center"/>
            <w:hideMark/>
          </w:tcPr>
          <w:p w14:paraId="11F22F99" w14:textId="77777777" w:rsidR="00C779A5" w:rsidRPr="00C779A5" w:rsidRDefault="00C779A5" w:rsidP="00C779A5">
            <w:pPr>
              <w:spacing w:after="0" w:line="240" w:lineRule="auto"/>
              <w:jc w:val="center"/>
              <w:rPr>
                <w:rFonts w:ascii="Tahoma" w:eastAsia="Times New Roman" w:hAnsi="Tahoma" w:cs="Tahoma"/>
                <w:sz w:val="18"/>
                <w:szCs w:val="18"/>
                <w:lang w:eastAsia="hr-HR"/>
              </w:rPr>
            </w:pPr>
            <w:r w:rsidRPr="00C779A5">
              <w:rPr>
                <w:rFonts w:ascii="Tahoma" w:eastAsia="Times New Roman" w:hAnsi="Tahoma" w:cs="Tahoma"/>
                <w:sz w:val="18"/>
                <w:szCs w:val="18"/>
                <w:lang w:eastAsia="hr-HR"/>
              </w:rPr>
              <w:t>OSTALO (odnosi se na čl. 16 st. 1 ZDS diskriminacija kao prethodno pitanje i st. 2 radni sporovi)</w:t>
            </w:r>
          </w:p>
        </w:tc>
        <w:tc>
          <w:tcPr>
            <w:tcW w:w="467" w:type="dxa"/>
            <w:gridSpan w:val="2"/>
            <w:tcBorders>
              <w:top w:val="nil"/>
              <w:left w:val="nil"/>
              <w:bottom w:val="single" w:sz="4" w:space="0" w:color="auto"/>
              <w:right w:val="single" w:sz="4" w:space="0" w:color="auto"/>
            </w:tcBorders>
            <w:shd w:val="clear" w:color="000000" w:fill="CCFFCC"/>
            <w:textDirection w:val="btLr"/>
            <w:vAlign w:val="center"/>
            <w:hideMark/>
          </w:tcPr>
          <w:p w14:paraId="1318A8AC" w14:textId="77777777" w:rsidR="00C779A5" w:rsidRPr="00C779A5" w:rsidRDefault="00C779A5" w:rsidP="00C779A5">
            <w:pPr>
              <w:spacing w:after="0" w:line="240" w:lineRule="auto"/>
              <w:jc w:val="center"/>
              <w:rPr>
                <w:rFonts w:ascii="Tahoma" w:eastAsia="Times New Roman" w:hAnsi="Tahoma" w:cs="Tahoma"/>
                <w:sz w:val="18"/>
                <w:szCs w:val="18"/>
                <w:lang w:eastAsia="hr-HR"/>
              </w:rPr>
            </w:pPr>
            <w:r w:rsidRPr="00C779A5">
              <w:rPr>
                <w:rFonts w:ascii="Tahoma" w:eastAsia="Times New Roman" w:hAnsi="Tahoma" w:cs="Tahoma"/>
                <w:sz w:val="18"/>
                <w:szCs w:val="18"/>
                <w:lang w:eastAsia="hr-HR"/>
              </w:rPr>
              <w:t xml:space="preserve">USVOJEN TUŽBENI ZAHTJEV </w:t>
            </w:r>
          </w:p>
        </w:tc>
        <w:tc>
          <w:tcPr>
            <w:tcW w:w="522" w:type="dxa"/>
            <w:tcBorders>
              <w:top w:val="nil"/>
              <w:left w:val="nil"/>
              <w:bottom w:val="single" w:sz="4" w:space="0" w:color="auto"/>
              <w:right w:val="single" w:sz="4" w:space="0" w:color="auto"/>
            </w:tcBorders>
            <w:shd w:val="clear" w:color="000000" w:fill="CCFFCC"/>
            <w:textDirection w:val="btLr"/>
            <w:vAlign w:val="center"/>
            <w:hideMark/>
          </w:tcPr>
          <w:p w14:paraId="340B88C8" w14:textId="77777777" w:rsidR="00C779A5" w:rsidRPr="00C779A5" w:rsidRDefault="00C779A5" w:rsidP="00C779A5">
            <w:pPr>
              <w:spacing w:after="0" w:line="240" w:lineRule="auto"/>
              <w:jc w:val="center"/>
              <w:rPr>
                <w:rFonts w:ascii="Tahoma" w:eastAsia="Times New Roman" w:hAnsi="Tahoma" w:cs="Tahoma"/>
                <w:sz w:val="18"/>
                <w:szCs w:val="18"/>
                <w:lang w:eastAsia="hr-HR"/>
              </w:rPr>
            </w:pPr>
            <w:r w:rsidRPr="00C779A5">
              <w:rPr>
                <w:rFonts w:ascii="Tahoma" w:eastAsia="Times New Roman" w:hAnsi="Tahoma" w:cs="Tahoma"/>
                <w:sz w:val="18"/>
                <w:szCs w:val="18"/>
                <w:lang w:eastAsia="hr-HR"/>
              </w:rPr>
              <w:t>ODBIJEN TUŽBENI ZAHTJEV</w:t>
            </w:r>
          </w:p>
        </w:tc>
        <w:tc>
          <w:tcPr>
            <w:tcW w:w="467" w:type="dxa"/>
            <w:tcBorders>
              <w:top w:val="nil"/>
              <w:left w:val="nil"/>
              <w:bottom w:val="single" w:sz="4" w:space="0" w:color="auto"/>
              <w:right w:val="single" w:sz="4" w:space="0" w:color="auto"/>
            </w:tcBorders>
            <w:shd w:val="clear" w:color="000000" w:fill="CCFFCC"/>
            <w:textDirection w:val="btLr"/>
            <w:vAlign w:val="center"/>
            <w:hideMark/>
          </w:tcPr>
          <w:p w14:paraId="398B2045" w14:textId="77777777" w:rsidR="00C779A5" w:rsidRPr="00C779A5" w:rsidRDefault="00C779A5" w:rsidP="00C779A5">
            <w:pPr>
              <w:spacing w:after="0" w:line="240" w:lineRule="auto"/>
              <w:jc w:val="center"/>
              <w:rPr>
                <w:rFonts w:ascii="Tahoma" w:eastAsia="Times New Roman" w:hAnsi="Tahoma" w:cs="Tahoma"/>
                <w:sz w:val="18"/>
                <w:szCs w:val="18"/>
                <w:lang w:eastAsia="hr-HR"/>
              </w:rPr>
            </w:pPr>
            <w:r w:rsidRPr="00C779A5">
              <w:rPr>
                <w:rFonts w:ascii="Tahoma" w:eastAsia="Times New Roman" w:hAnsi="Tahoma" w:cs="Tahoma"/>
                <w:sz w:val="18"/>
                <w:szCs w:val="18"/>
                <w:lang w:eastAsia="hr-HR"/>
              </w:rPr>
              <w:t>NA DRUGI NAČIN</w:t>
            </w:r>
          </w:p>
        </w:tc>
        <w:tc>
          <w:tcPr>
            <w:tcW w:w="467" w:type="dxa"/>
            <w:tcBorders>
              <w:top w:val="nil"/>
              <w:left w:val="nil"/>
              <w:bottom w:val="single" w:sz="4" w:space="0" w:color="auto"/>
              <w:right w:val="single" w:sz="4" w:space="0" w:color="auto"/>
            </w:tcBorders>
            <w:shd w:val="clear" w:color="000000" w:fill="CCFFCC"/>
            <w:textDirection w:val="btLr"/>
            <w:vAlign w:val="center"/>
            <w:hideMark/>
          </w:tcPr>
          <w:p w14:paraId="2961D913" w14:textId="77777777" w:rsidR="00C779A5" w:rsidRPr="00C779A5" w:rsidRDefault="00C779A5" w:rsidP="00C779A5">
            <w:pPr>
              <w:spacing w:after="0" w:line="240" w:lineRule="auto"/>
              <w:jc w:val="center"/>
              <w:rPr>
                <w:rFonts w:ascii="Tahoma" w:eastAsia="Times New Roman" w:hAnsi="Tahoma" w:cs="Tahoma"/>
                <w:b/>
                <w:bCs/>
                <w:sz w:val="18"/>
                <w:szCs w:val="18"/>
                <w:lang w:eastAsia="hr-HR"/>
              </w:rPr>
            </w:pPr>
            <w:r w:rsidRPr="00C779A5">
              <w:rPr>
                <w:rFonts w:ascii="Tahoma" w:eastAsia="Times New Roman" w:hAnsi="Tahoma" w:cs="Tahoma"/>
                <w:b/>
                <w:bCs/>
                <w:sz w:val="18"/>
                <w:szCs w:val="18"/>
                <w:lang w:eastAsia="hr-HR"/>
              </w:rPr>
              <w:t>Ukupno pravomoćno riješeno</w:t>
            </w:r>
          </w:p>
        </w:tc>
        <w:tc>
          <w:tcPr>
            <w:tcW w:w="877" w:type="dxa"/>
            <w:gridSpan w:val="2"/>
            <w:tcBorders>
              <w:top w:val="nil"/>
              <w:left w:val="single" w:sz="4" w:space="0" w:color="auto"/>
              <w:bottom w:val="single" w:sz="4" w:space="0" w:color="000000"/>
              <w:right w:val="single" w:sz="4" w:space="0" w:color="auto"/>
            </w:tcBorders>
            <w:vAlign w:val="center"/>
            <w:hideMark/>
          </w:tcPr>
          <w:p w14:paraId="29D177DC" w14:textId="77777777" w:rsidR="00C779A5" w:rsidRPr="00C779A5" w:rsidRDefault="00C779A5" w:rsidP="00C779A5">
            <w:pPr>
              <w:spacing w:after="0" w:line="240" w:lineRule="auto"/>
              <w:rPr>
                <w:rFonts w:ascii="Tahoma" w:eastAsia="Times New Roman" w:hAnsi="Tahoma" w:cs="Tahoma"/>
                <w:b/>
                <w:bCs/>
                <w:sz w:val="18"/>
                <w:szCs w:val="18"/>
                <w:lang w:eastAsia="hr-HR"/>
              </w:rPr>
            </w:pPr>
          </w:p>
        </w:tc>
        <w:tc>
          <w:tcPr>
            <w:tcW w:w="576" w:type="dxa"/>
            <w:gridSpan w:val="2"/>
            <w:tcBorders>
              <w:top w:val="nil"/>
              <w:left w:val="nil"/>
              <w:bottom w:val="nil"/>
              <w:right w:val="single" w:sz="4" w:space="0" w:color="auto"/>
            </w:tcBorders>
            <w:shd w:val="clear" w:color="000000" w:fill="FFCC00"/>
            <w:textDirection w:val="btLr"/>
            <w:vAlign w:val="center"/>
            <w:hideMark/>
          </w:tcPr>
          <w:p w14:paraId="63EFF11C" w14:textId="77777777" w:rsidR="00C779A5" w:rsidRPr="00C779A5" w:rsidRDefault="00C779A5" w:rsidP="00C779A5">
            <w:pPr>
              <w:spacing w:after="0" w:line="240" w:lineRule="auto"/>
              <w:jc w:val="center"/>
              <w:rPr>
                <w:rFonts w:ascii="Tahoma" w:eastAsia="Times New Roman" w:hAnsi="Tahoma" w:cs="Tahoma"/>
                <w:sz w:val="18"/>
                <w:szCs w:val="18"/>
                <w:lang w:eastAsia="hr-HR"/>
              </w:rPr>
            </w:pPr>
            <w:r w:rsidRPr="00C779A5">
              <w:rPr>
                <w:rFonts w:ascii="Tahoma" w:eastAsia="Times New Roman" w:hAnsi="Tahoma" w:cs="Tahoma"/>
                <w:sz w:val="18"/>
                <w:szCs w:val="18"/>
                <w:lang w:eastAsia="hr-HR"/>
              </w:rPr>
              <w:t>iz čl. 2. do 5. ZSD</w:t>
            </w:r>
          </w:p>
        </w:tc>
        <w:tc>
          <w:tcPr>
            <w:tcW w:w="440" w:type="dxa"/>
            <w:tcBorders>
              <w:top w:val="nil"/>
              <w:left w:val="nil"/>
              <w:bottom w:val="nil"/>
              <w:right w:val="single" w:sz="4" w:space="0" w:color="auto"/>
            </w:tcBorders>
            <w:shd w:val="clear" w:color="000000" w:fill="FFCC00"/>
            <w:textDirection w:val="btLr"/>
            <w:vAlign w:val="center"/>
            <w:hideMark/>
          </w:tcPr>
          <w:p w14:paraId="0701B63D" w14:textId="77777777" w:rsidR="00C779A5" w:rsidRPr="00C779A5" w:rsidRDefault="00C779A5" w:rsidP="00C779A5">
            <w:pPr>
              <w:spacing w:after="0" w:line="240" w:lineRule="auto"/>
              <w:jc w:val="center"/>
              <w:rPr>
                <w:rFonts w:ascii="Tahoma" w:eastAsia="Times New Roman" w:hAnsi="Tahoma" w:cs="Tahoma"/>
                <w:sz w:val="18"/>
                <w:szCs w:val="18"/>
                <w:lang w:eastAsia="hr-HR"/>
              </w:rPr>
            </w:pPr>
            <w:r w:rsidRPr="00C779A5">
              <w:rPr>
                <w:rFonts w:ascii="Tahoma" w:eastAsia="Times New Roman" w:hAnsi="Tahoma" w:cs="Tahoma"/>
                <w:sz w:val="18"/>
                <w:szCs w:val="18"/>
                <w:lang w:eastAsia="hr-HR"/>
              </w:rPr>
              <w:t xml:space="preserve">iz čl. 6 ZSD </w:t>
            </w:r>
          </w:p>
        </w:tc>
        <w:tc>
          <w:tcPr>
            <w:tcW w:w="793" w:type="dxa"/>
            <w:tcBorders>
              <w:top w:val="nil"/>
              <w:left w:val="single" w:sz="4" w:space="0" w:color="auto"/>
              <w:bottom w:val="single" w:sz="4" w:space="0" w:color="auto"/>
              <w:right w:val="single" w:sz="4" w:space="0" w:color="000000"/>
            </w:tcBorders>
            <w:vAlign w:val="center"/>
            <w:hideMark/>
          </w:tcPr>
          <w:p w14:paraId="67B8E753" w14:textId="77777777" w:rsidR="00C779A5" w:rsidRPr="00C779A5" w:rsidRDefault="00C779A5" w:rsidP="00C779A5">
            <w:pPr>
              <w:spacing w:after="0" w:line="240" w:lineRule="auto"/>
              <w:rPr>
                <w:rFonts w:ascii="Tahoma" w:eastAsia="Times New Roman" w:hAnsi="Tahoma" w:cs="Tahoma"/>
                <w:sz w:val="18"/>
                <w:szCs w:val="18"/>
                <w:lang w:eastAsia="hr-HR"/>
              </w:rPr>
            </w:pPr>
          </w:p>
        </w:tc>
        <w:tc>
          <w:tcPr>
            <w:tcW w:w="645" w:type="dxa"/>
            <w:gridSpan w:val="2"/>
            <w:tcBorders>
              <w:top w:val="nil"/>
              <w:left w:val="nil"/>
              <w:bottom w:val="single" w:sz="4" w:space="0" w:color="auto"/>
              <w:right w:val="single" w:sz="4" w:space="0" w:color="auto"/>
            </w:tcBorders>
            <w:shd w:val="clear" w:color="000000" w:fill="CCFFCC"/>
            <w:textDirection w:val="btLr"/>
            <w:vAlign w:val="center"/>
            <w:hideMark/>
          </w:tcPr>
          <w:p w14:paraId="3B8F3897" w14:textId="77777777" w:rsidR="00C779A5" w:rsidRPr="00C779A5" w:rsidRDefault="00C779A5" w:rsidP="00C779A5">
            <w:pPr>
              <w:spacing w:after="0" w:line="240" w:lineRule="auto"/>
              <w:jc w:val="center"/>
              <w:rPr>
                <w:rFonts w:ascii="Tahoma" w:eastAsia="Times New Roman" w:hAnsi="Tahoma" w:cs="Tahoma"/>
                <w:sz w:val="18"/>
                <w:szCs w:val="18"/>
                <w:lang w:eastAsia="hr-HR"/>
              </w:rPr>
            </w:pPr>
            <w:r w:rsidRPr="00C779A5">
              <w:rPr>
                <w:rFonts w:ascii="Tahoma" w:eastAsia="Times New Roman" w:hAnsi="Tahoma" w:cs="Tahoma"/>
                <w:sz w:val="18"/>
                <w:szCs w:val="18"/>
                <w:lang w:eastAsia="hr-HR"/>
              </w:rPr>
              <w:t xml:space="preserve">Žene </w:t>
            </w:r>
          </w:p>
        </w:tc>
        <w:tc>
          <w:tcPr>
            <w:tcW w:w="467" w:type="dxa"/>
            <w:tcBorders>
              <w:top w:val="nil"/>
              <w:left w:val="nil"/>
              <w:bottom w:val="single" w:sz="4" w:space="0" w:color="auto"/>
              <w:right w:val="single" w:sz="4" w:space="0" w:color="auto"/>
            </w:tcBorders>
            <w:shd w:val="clear" w:color="000000" w:fill="CCFFCC"/>
            <w:textDirection w:val="btLr"/>
            <w:vAlign w:val="center"/>
            <w:hideMark/>
          </w:tcPr>
          <w:p w14:paraId="007ABFBE" w14:textId="77777777" w:rsidR="00C779A5" w:rsidRPr="00C779A5" w:rsidRDefault="00C779A5" w:rsidP="00C779A5">
            <w:pPr>
              <w:spacing w:after="0" w:line="240" w:lineRule="auto"/>
              <w:jc w:val="center"/>
              <w:rPr>
                <w:rFonts w:ascii="Tahoma" w:eastAsia="Times New Roman" w:hAnsi="Tahoma" w:cs="Tahoma"/>
                <w:sz w:val="18"/>
                <w:szCs w:val="18"/>
                <w:lang w:eastAsia="hr-HR"/>
              </w:rPr>
            </w:pPr>
            <w:r w:rsidRPr="00C779A5">
              <w:rPr>
                <w:rFonts w:ascii="Tahoma" w:eastAsia="Times New Roman" w:hAnsi="Tahoma" w:cs="Tahoma"/>
                <w:sz w:val="18"/>
                <w:szCs w:val="18"/>
                <w:lang w:eastAsia="hr-HR"/>
              </w:rPr>
              <w:t>Muškarci</w:t>
            </w:r>
          </w:p>
        </w:tc>
        <w:tc>
          <w:tcPr>
            <w:tcW w:w="467" w:type="dxa"/>
            <w:tcBorders>
              <w:top w:val="nil"/>
              <w:left w:val="nil"/>
              <w:bottom w:val="single" w:sz="4" w:space="0" w:color="auto"/>
              <w:right w:val="single" w:sz="4" w:space="0" w:color="auto"/>
            </w:tcBorders>
            <w:shd w:val="clear" w:color="000000" w:fill="CCFFCC"/>
            <w:textDirection w:val="btLr"/>
            <w:vAlign w:val="center"/>
            <w:hideMark/>
          </w:tcPr>
          <w:p w14:paraId="001A890F" w14:textId="77777777" w:rsidR="00C779A5" w:rsidRPr="00C779A5" w:rsidRDefault="00C779A5" w:rsidP="00C779A5">
            <w:pPr>
              <w:spacing w:after="0" w:line="240" w:lineRule="auto"/>
              <w:jc w:val="center"/>
              <w:rPr>
                <w:rFonts w:ascii="Tahoma" w:eastAsia="Times New Roman" w:hAnsi="Tahoma" w:cs="Tahoma"/>
                <w:sz w:val="18"/>
                <w:szCs w:val="18"/>
                <w:lang w:eastAsia="hr-HR"/>
              </w:rPr>
            </w:pPr>
            <w:r w:rsidRPr="00C779A5">
              <w:rPr>
                <w:rFonts w:ascii="Tahoma" w:eastAsia="Times New Roman" w:hAnsi="Tahoma" w:cs="Tahoma"/>
                <w:sz w:val="18"/>
                <w:szCs w:val="18"/>
                <w:lang w:eastAsia="hr-HR"/>
              </w:rPr>
              <w:t>Ostalo</w:t>
            </w:r>
          </w:p>
        </w:tc>
        <w:tc>
          <w:tcPr>
            <w:tcW w:w="478" w:type="dxa"/>
            <w:gridSpan w:val="2"/>
            <w:tcBorders>
              <w:top w:val="nil"/>
              <w:left w:val="nil"/>
              <w:bottom w:val="single" w:sz="4" w:space="0" w:color="auto"/>
              <w:right w:val="single" w:sz="4" w:space="0" w:color="auto"/>
            </w:tcBorders>
            <w:shd w:val="clear" w:color="000000" w:fill="CCFFCC"/>
            <w:textDirection w:val="btLr"/>
            <w:vAlign w:val="center"/>
            <w:hideMark/>
          </w:tcPr>
          <w:p w14:paraId="1508BE4C" w14:textId="77777777" w:rsidR="00C779A5" w:rsidRPr="00C779A5" w:rsidRDefault="00C779A5" w:rsidP="00C779A5">
            <w:pPr>
              <w:spacing w:after="0" w:line="240" w:lineRule="auto"/>
              <w:jc w:val="center"/>
              <w:rPr>
                <w:rFonts w:ascii="Tahoma" w:eastAsia="Times New Roman" w:hAnsi="Tahoma" w:cs="Tahoma"/>
                <w:sz w:val="18"/>
                <w:szCs w:val="18"/>
                <w:lang w:eastAsia="hr-HR"/>
              </w:rPr>
            </w:pPr>
            <w:r w:rsidRPr="00C779A5">
              <w:rPr>
                <w:rFonts w:ascii="Tahoma" w:eastAsia="Times New Roman" w:hAnsi="Tahoma" w:cs="Tahoma"/>
                <w:sz w:val="18"/>
                <w:szCs w:val="18"/>
                <w:lang w:eastAsia="hr-HR"/>
              </w:rPr>
              <w:t xml:space="preserve"> DO 12 MJESECI</w:t>
            </w:r>
          </w:p>
        </w:tc>
        <w:tc>
          <w:tcPr>
            <w:tcW w:w="876" w:type="dxa"/>
            <w:tcBorders>
              <w:top w:val="nil"/>
              <w:left w:val="nil"/>
              <w:bottom w:val="single" w:sz="4" w:space="0" w:color="auto"/>
              <w:right w:val="single" w:sz="8" w:space="0" w:color="auto"/>
            </w:tcBorders>
            <w:shd w:val="clear" w:color="000000" w:fill="CCFFCC"/>
            <w:textDirection w:val="btLr"/>
            <w:vAlign w:val="center"/>
            <w:hideMark/>
          </w:tcPr>
          <w:p w14:paraId="0B793148" w14:textId="77777777" w:rsidR="00C779A5" w:rsidRPr="00C779A5" w:rsidRDefault="00C779A5" w:rsidP="00C779A5">
            <w:pPr>
              <w:spacing w:after="0" w:line="240" w:lineRule="auto"/>
              <w:jc w:val="center"/>
              <w:rPr>
                <w:rFonts w:ascii="Tahoma" w:eastAsia="Times New Roman" w:hAnsi="Tahoma" w:cs="Tahoma"/>
                <w:sz w:val="18"/>
                <w:szCs w:val="18"/>
                <w:lang w:eastAsia="hr-HR"/>
              </w:rPr>
            </w:pPr>
            <w:r w:rsidRPr="00C779A5">
              <w:rPr>
                <w:rFonts w:ascii="Tahoma" w:eastAsia="Times New Roman" w:hAnsi="Tahoma" w:cs="Tahoma"/>
                <w:sz w:val="18"/>
                <w:szCs w:val="18"/>
                <w:lang w:eastAsia="hr-HR"/>
              </w:rPr>
              <w:t>PREKO 12 MJESECI</w:t>
            </w:r>
          </w:p>
        </w:tc>
        <w:tc>
          <w:tcPr>
            <w:tcW w:w="236" w:type="dxa"/>
            <w:gridSpan w:val="3"/>
            <w:vAlign w:val="center"/>
            <w:hideMark/>
          </w:tcPr>
          <w:p w14:paraId="43643FB1" w14:textId="77777777" w:rsidR="00C779A5" w:rsidRPr="00C779A5" w:rsidRDefault="00C779A5" w:rsidP="00C779A5">
            <w:pPr>
              <w:spacing w:after="0" w:line="240" w:lineRule="auto"/>
              <w:rPr>
                <w:rFonts w:ascii="Times New Roman" w:eastAsia="Times New Roman" w:hAnsi="Times New Roman" w:cs="Times New Roman"/>
                <w:sz w:val="18"/>
                <w:szCs w:val="18"/>
                <w:lang w:eastAsia="hr-HR"/>
              </w:rPr>
            </w:pPr>
          </w:p>
        </w:tc>
      </w:tr>
      <w:tr w:rsidR="00C779A5" w:rsidRPr="00C779A5" w14:paraId="5606DF10" w14:textId="77777777" w:rsidTr="00C779A5">
        <w:trPr>
          <w:gridAfter w:val="2"/>
          <w:wAfter w:w="149" w:type="dxa"/>
          <w:trHeight w:val="300"/>
        </w:trPr>
        <w:tc>
          <w:tcPr>
            <w:tcW w:w="1567" w:type="dxa"/>
            <w:tcBorders>
              <w:top w:val="single" w:sz="4" w:space="0" w:color="auto"/>
              <w:left w:val="single" w:sz="8" w:space="0" w:color="auto"/>
              <w:bottom w:val="single" w:sz="4" w:space="0" w:color="auto"/>
              <w:right w:val="single" w:sz="4" w:space="0" w:color="000000"/>
            </w:tcBorders>
            <w:shd w:val="clear" w:color="000000" w:fill="CCFFCC"/>
            <w:vAlign w:val="center"/>
            <w:hideMark/>
          </w:tcPr>
          <w:p w14:paraId="3F625C08" w14:textId="77777777" w:rsidR="00C779A5" w:rsidRPr="00C779A5" w:rsidRDefault="00C779A5" w:rsidP="00C779A5">
            <w:pPr>
              <w:spacing w:after="0" w:line="240" w:lineRule="auto"/>
              <w:jc w:val="center"/>
              <w:rPr>
                <w:rFonts w:ascii="Tahoma" w:eastAsia="Times New Roman" w:hAnsi="Tahoma" w:cs="Tahoma"/>
                <w:sz w:val="18"/>
                <w:szCs w:val="18"/>
                <w:lang w:eastAsia="hr-HR"/>
              </w:rPr>
            </w:pPr>
            <w:r w:rsidRPr="00C779A5">
              <w:rPr>
                <w:rFonts w:ascii="Tahoma" w:eastAsia="Times New Roman" w:hAnsi="Tahoma" w:cs="Tahoma"/>
                <w:sz w:val="18"/>
                <w:szCs w:val="18"/>
                <w:lang w:eastAsia="hr-HR"/>
              </w:rPr>
              <w:t>1.</w:t>
            </w:r>
          </w:p>
        </w:tc>
        <w:tc>
          <w:tcPr>
            <w:tcW w:w="557" w:type="dxa"/>
            <w:tcBorders>
              <w:top w:val="nil"/>
              <w:left w:val="nil"/>
              <w:bottom w:val="single" w:sz="4" w:space="0" w:color="auto"/>
              <w:right w:val="single" w:sz="4" w:space="0" w:color="auto"/>
            </w:tcBorders>
            <w:shd w:val="clear" w:color="000000" w:fill="CCFFCC"/>
            <w:noWrap/>
            <w:vAlign w:val="center"/>
            <w:hideMark/>
          </w:tcPr>
          <w:p w14:paraId="3B71833C" w14:textId="77777777" w:rsidR="00C779A5" w:rsidRPr="00C779A5" w:rsidRDefault="00C779A5" w:rsidP="00C779A5">
            <w:pPr>
              <w:spacing w:after="0" w:line="240" w:lineRule="auto"/>
              <w:jc w:val="center"/>
              <w:rPr>
                <w:rFonts w:ascii="Tahoma" w:eastAsia="Times New Roman" w:hAnsi="Tahoma" w:cs="Tahoma"/>
                <w:sz w:val="18"/>
                <w:szCs w:val="18"/>
                <w:lang w:eastAsia="hr-HR"/>
              </w:rPr>
            </w:pPr>
            <w:r w:rsidRPr="00C779A5">
              <w:rPr>
                <w:rFonts w:ascii="Tahoma" w:eastAsia="Times New Roman" w:hAnsi="Tahoma" w:cs="Tahoma"/>
                <w:sz w:val="18"/>
                <w:szCs w:val="18"/>
                <w:lang w:eastAsia="hr-HR"/>
              </w:rPr>
              <w:t>2.</w:t>
            </w:r>
          </w:p>
        </w:tc>
        <w:tc>
          <w:tcPr>
            <w:tcW w:w="444" w:type="dxa"/>
            <w:tcBorders>
              <w:top w:val="nil"/>
              <w:left w:val="nil"/>
              <w:bottom w:val="single" w:sz="4" w:space="0" w:color="auto"/>
              <w:right w:val="single" w:sz="4" w:space="0" w:color="auto"/>
            </w:tcBorders>
            <w:shd w:val="clear" w:color="000000" w:fill="CCFFCC"/>
            <w:noWrap/>
            <w:vAlign w:val="center"/>
            <w:hideMark/>
          </w:tcPr>
          <w:p w14:paraId="0CC476F5" w14:textId="77777777" w:rsidR="00C779A5" w:rsidRPr="00C779A5" w:rsidRDefault="00C779A5" w:rsidP="00C779A5">
            <w:pPr>
              <w:spacing w:after="0" w:line="240" w:lineRule="auto"/>
              <w:jc w:val="center"/>
              <w:rPr>
                <w:rFonts w:ascii="Tahoma" w:eastAsia="Times New Roman" w:hAnsi="Tahoma" w:cs="Tahoma"/>
                <w:sz w:val="18"/>
                <w:szCs w:val="18"/>
                <w:lang w:eastAsia="hr-HR"/>
              </w:rPr>
            </w:pPr>
            <w:r w:rsidRPr="00C779A5">
              <w:rPr>
                <w:rFonts w:ascii="Tahoma" w:eastAsia="Times New Roman" w:hAnsi="Tahoma" w:cs="Tahoma"/>
                <w:sz w:val="18"/>
                <w:szCs w:val="18"/>
                <w:lang w:eastAsia="hr-HR"/>
              </w:rPr>
              <w:t>3.</w:t>
            </w:r>
          </w:p>
        </w:tc>
        <w:tc>
          <w:tcPr>
            <w:tcW w:w="399" w:type="dxa"/>
            <w:tcBorders>
              <w:top w:val="single" w:sz="4" w:space="0" w:color="auto"/>
              <w:left w:val="nil"/>
              <w:bottom w:val="single" w:sz="4" w:space="0" w:color="auto"/>
              <w:right w:val="single" w:sz="4" w:space="0" w:color="auto"/>
            </w:tcBorders>
            <w:shd w:val="clear" w:color="000000" w:fill="CCFFCC"/>
            <w:noWrap/>
            <w:vAlign w:val="center"/>
            <w:hideMark/>
          </w:tcPr>
          <w:p w14:paraId="68144688" w14:textId="77777777" w:rsidR="00C779A5" w:rsidRPr="00C779A5" w:rsidRDefault="00C779A5" w:rsidP="00C779A5">
            <w:pPr>
              <w:spacing w:after="0" w:line="240" w:lineRule="auto"/>
              <w:jc w:val="center"/>
              <w:rPr>
                <w:rFonts w:ascii="Tahoma" w:eastAsia="Times New Roman" w:hAnsi="Tahoma" w:cs="Tahoma"/>
                <w:sz w:val="18"/>
                <w:szCs w:val="18"/>
                <w:lang w:eastAsia="hr-HR"/>
              </w:rPr>
            </w:pPr>
            <w:r w:rsidRPr="00C779A5">
              <w:rPr>
                <w:rFonts w:ascii="Tahoma" w:eastAsia="Times New Roman" w:hAnsi="Tahoma" w:cs="Tahoma"/>
                <w:sz w:val="18"/>
                <w:szCs w:val="18"/>
                <w:lang w:eastAsia="hr-HR"/>
              </w:rPr>
              <w:t>4.</w:t>
            </w:r>
          </w:p>
        </w:tc>
        <w:tc>
          <w:tcPr>
            <w:tcW w:w="425" w:type="dxa"/>
            <w:tcBorders>
              <w:top w:val="single" w:sz="4" w:space="0" w:color="auto"/>
              <w:left w:val="nil"/>
              <w:bottom w:val="single" w:sz="4" w:space="0" w:color="auto"/>
              <w:right w:val="single" w:sz="4" w:space="0" w:color="auto"/>
            </w:tcBorders>
            <w:shd w:val="clear" w:color="000000" w:fill="CCFFCC"/>
            <w:noWrap/>
            <w:vAlign w:val="center"/>
            <w:hideMark/>
          </w:tcPr>
          <w:p w14:paraId="6CE2ABB7" w14:textId="77777777" w:rsidR="00C779A5" w:rsidRPr="00C779A5" w:rsidRDefault="00C779A5" w:rsidP="00C779A5">
            <w:pPr>
              <w:spacing w:after="0" w:line="240" w:lineRule="auto"/>
              <w:jc w:val="center"/>
              <w:rPr>
                <w:rFonts w:ascii="Tahoma" w:eastAsia="Times New Roman" w:hAnsi="Tahoma" w:cs="Tahoma"/>
                <w:sz w:val="18"/>
                <w:szCs w:val="18"/>
                <w:lang w:eastAsia="hr-HR"/>
              </w:rPr>
            </w:pPr>
            <w:r w:rsidRPr="00C779A5">
              <w:rPr>
                <w:rFonts w:ascii="Tahoma" w:eastAsia="Times New Roman" w:hAnsi="Tahoma" w:cs="Tahoma"/>
                <w:sz w:val="18"/>
                <w:szCs w:val="18"/>
                <w:lang w:eastAsia="hr-HR"/>
              </w:rPr>
              <w:t>5.</w:t>
            </w:r>
          </w:p>
        </w:tc>
        <w:tc>
          <w:tcPr>
            <w:tcW w:w="574" w:type="dxa"/>
            <w:tcBorders>
              <w:top w:val="nil"/>
              <w:left w:val="nil"/>
              <w:bottom w:val="single" w:sz="4" w:space="0" w:color="auto"/>
              <w:right w:val="single" w:sz="4" w:space="0" w:color="auto"/>
            </w:tcBorders>
            <w:shd w:val="clear" w:color="000000" w:fill="CCFFCC"/>
            <w:noWrap/>
            <w:vAlign w:val="center"/>
            <w:hideMark/>
          </w:tcPr>
          <w:p w14:paraId="4EE2834A" w14:textId="77777777" w:rsidR="00C779A5" w:rsidRPr="00C779A5" w:rsidRDefault="00C779A5" w:rsidP="00C779A5">
            <w:pPr>
              <w:spacing w:after="0" w:line="240" w:lineRule="auto"/>
              <w:jc w:val="center"/>
              <w:rPr>
                <w:rFonts w:ascii="Tahoma" w:eastAsia="Times New Roman" w:hAnsi="Tahoma" w:cs="Tahoma"/>
                <w:sz w:val="18"/>
                <w:szCs w:val="18"/>
                <w:lang w:eastAsia="hr-HR"/>
              </w:rPr>
            </w:pPr>
            <w:r w:rsidRPr="00C779A5">
              <w:rPr>
                <w:rFonts w:ascii="Tahoma" w:eastAsia="Times New Roman" w:hAnsi="Tahoma" w:cs="Tahoma"/>
                <w:sz w:val="18"/>
                <w:szCs w:val="18"/>
                <w:lang w:eastAsia="hr-HR"/>
              </w:rPr>
              <w:t>6.</w:t>
            </w:r>
          </w:p>
        </w:tc>
        <w:tc>
          <w:tcPr>
            <w:tcW w:w="706" w:type="dxa"/>
            <w:tcBorders>
              <w:top w:val="nil"/>
              <w:left w:val="nil"/>
              <w:bottom w:val="single" w:sz="4" w:space="0" w:color="auto"/>
              <w:right w:val="single" w:sz="4" w:space="0" w:color="auto"/>
            </w:tcBorders>
            <w:shd w:val="clear" w:color="000000" w:fill="CCFFCC"/>
            <w:noWrap/>
            <w:vAlign w:val="center"/>
            <w:hideMark/>
          </w:tcPr>
          <w:p w14:paraId="62D398CE" w14:textId="77777777" w:rsidR="00C779A5" w:rsidRPr="00C779A5" w:rsidRDefault="00C779A5" w:rsidP="00C779A5">
            <w:pPr>
              <w:spacing w:after="0" w:line="240" w:lineRule="auto"/>
              <w:jc w:val="center"/>
              <w:rPr>
                <w:rFonts w:ascii="Tahoma" w:eastAsia="Times New Roman" w:hAnsi="Tahoma" w:cs="Tahoma"/>
                <w:sz w:val="18"/>
                <w:szCs w:val="18"/>
                <w:lang w:eastAsia="hr-HR"/>
              </w:rPr>
            </w:pPr>
            <w:r w:rsidRPr="00C779A5">
              <w:rPr>
                <w:rFonts w:ascii="Tahoma" w:eastAsia="Times New Roman" w:hAnsi="Tahoma" w:cs="Tahoma"/>
                <w:sz w:val="18"/>
                <w:szCs w:val="18"/>
                <w:lang w:eastAsia="hr-HR"/>
              </w:rPr>
              <w:t>7.</w:t>
            </w:r>
          </w:p>
        </w:tc>
        <w:tc>
          <w:tcPr>
            <w:tcW w:w="565" w:type="dxa"/>
            <w:tcBorders>
              <w:top w:val="nil"/>
              <w:left w:val="nil"/>
              <w:bottom w:val="single" w:sz="4" w:space="0" w:color="auto"/>
              <w:right w:val="single" w:sz="4" w:space="0" w:color="auto"/>
            </w:tcBorders>
            <w:shd w:val="clear" w:color="000000" w:fill="CCFFCC"/>
            <w:noWrap/>
            <w:vAlign w:val="center"/>
            <w:hideMark/>
          </w:tcPr>
          <w:p w14:paraId="6A99F864" w14:textId="77777777" w:rsidR="00C779A5" w:rsidRPr="00C779A5" w:rsidRDefault="00C779A5" w:rsidP="00C779A5">
            <w:pPr>
              <w:spacing w:after="0" w:line="240" w:lineRule="auto"/>
              <w:jc w:val="center"/>
              <w:rPr>
                <w:rFonts w:ascii="Tahoma" w:eastAsia="Times New Roman" w:hAnsi="Tahoma" w:cs="Tahoma"/>
                <w:sz w:val="18"/>
                <w:szCs w:val="18"/>
                <w:lang w:eastAsia="hr-HR"/>
              </w:rPr>
            </w:pPr>
            <w:r w:rsidRPr="00C779A5">
              <w:rPr>
                <w:rFonts w:ascii="Tahoma" w:eastAsia="Times New Roman" w:hAnsi="Tahoma" w:cs="Tahoma"/>
                <w:sz w:val="18"/>
                <w:szCs w:val="18"/>
                <w:lang w:eastAsia="hr-HR"/>
              </w:rPr>
              <w:t>8.</w:t>
            </w:r>
          </w:p>
        </w:tc>
        <w:tc>
          <w:tcPr>
            <w:tcW w:w="565" w:type="dxa"/>
            <w:tcBorders>
              <w:top w:val="nil"/>
              <w:left w:val="nil"/>
              <w:bottom w:val="single" w:sz="4" w:space="0" w:color="auto"/>
              <w:right w:val="single" w:sz="4" w:space="0" w:color="auto"/>
            </w:tcBorders>
            <w:shd w:val="clear" w:color="000000" w:fill="CCFFCC"/>
            <w:noWrap/>
            <w:vAlign w:val="center"/>
            <w:hideMark/>
          </w:tcPr>
          <w:p w14:paraId="2FDB0133" w14:textId="77777777" w:rsidR="00C779A5" w:rsidRPr="00C779A5" w:rsidRDefault="00C779A5" w:rsidP="00C779A5">
            <w:pPr>
              <w:spacing w:after="0" w:line="240" w:lineRule="auto"/>
              <w:jc w:val="center"/>
              <w:rPr>
                <w:rFonts w:ascii="Tahoma" w:eastAsia="Times New Roman" w:hAnsi="Tahoma" w:cs="Tahoma"/>
                <w:sz w:val="18"/>
                <w:szCs w:val="18"/>
                <w:lang w:eastAsia="hr-HR"/>
              </w:rPr>
            </w:pPr>
            <w:r w:rsidRPr="00C779A5">
              <w:rPr>
                <w:rFonts w:ascii="Tahoma" w:eastAsia="Times New Roman" w:hAnsi="Tahoma" w:cs="Tahoma"/>
                <w:sz w:val="18"/>
                <w:szCs w:val="18"/>
                <w:lang w:eastAsia="hr-HR"/>
              </w:rPr>
              <w:t>9.</w:t>
            </w:r>
          </w:p>
        </w:tc>
        <w:tc>
          <w:tcPr>
            <w:tcW w:w="467" w:type="dxa"/>
            <w:tcBorders>
              <w:top w:val="nil"/>
              <w:left w:val="nil"/>
              <w:bottom w:val="single" w:sz="4" w:space="0" w:color="auto"/>
              <w:right w:val="single" w:sz="4" w:space="0" w:color="auto"/>
            </w:tcBorders>
            <w:shd w:val="clear" w:color="000000" w:fill="CCFFCC"/>
            <w:noWrap/>
            <w:vAlign w:val="center"/>
            <w:hideMark/>
          </w:tcPr>
          <w:p w14:paraId="7FC9D871" w14:textId="77777777" w:rsidR="00C779A5" w:rsidRPr="00C779A5" w:rsidRDefault="00C779A5" w:rsidP="00C779A5">
            <w:pPr>
              <w:spacing w:after="0" w:line="240" w:lineRule="auto"/>
              <w:jc w:val="center"/>
              <w:rPr>
                <w:rFonts w:ascii="Tahoma" w:eastAsia="Times New Roman" w:hAnsi="Tahoma" w:cs="Tahoma"/>
                <w:sz w:val="18"/>
                <w:szCs w:val="18"/>
                <w:lang w:eastAsia="hr-HR"/>
              </w:rPr>
            </w:pPr>
            <w:r w:rsidRPr="00C779A5">
              <w:rPr>
                <w:rFonts w:ascii="Tahoma" w:eastAsia="Times New Roman" w:hAnsi="Tahoma" w:cs="Tahoma"/>
                <w:sz w:val="18"/>
                <w:szCs w:val="18"/>
                <w:lang w:eastAsia="hr-HR"/>
              </w:rPr>
              <w:t>10.</w:t>
            </w:r>
          </w:p>
        </w:tc>
        <w:tc>
          <w:tcPr>
            <w:tcW w:w="805" w:type="dxa"/>
            <w:tcBorders>
              <w:top w:val="nil"/>
              <w:left w:val="nil"/>
              <w:bottom w:val="single" w:sz="4" w:space="0" w:color="auto"/>
              <w:right w:val="single" w:sz="4" w:space="0" w:color="auto"/>
            </w:tcBorders>
            <w:shd w:val="clear" w:color="000000" w:fill="CCFFCC"/>
            <w:noWrap/>
            <w:vAlign w:val="center"/>
            <w:hideMark/>
          </w:tcPr>
          <w:p w14:paraId="7D815BDC" w14:textId="77777777" w:rsidR="00C779A5" w:rsidRPr="00C779A5" w:rsidRDefault="00C779A5" w:rsidP="00C779A5">
            <w:pPr>
              <w:spacing w:after="0" w:line="240" w:lineRule="auto"/>
              <w:jc w:val="center"/>
              <w:rPr>
                <w:rFonts w:ascii="Tahoma" w:eastAsia="Times New Roman" w:hAnsi="Tahoma" w:cs="Tahoma"/>
                <w:sz w:val="18"/>
                <w:szCs w:val="18"/>
                <w:lang w:eastAsia="hr-HR"/>
              </w:rPr>
            </w:pPr>
            <w:r w:rsidRPr="00C779A5">
              <w:rPr>
                <w:rFonts w:ascii="Tahoma" w:eastAsia="Times New Roman" w:hAnsi="Tahoma" w:cs="Tahoma"/>
                <w:sz w:val="18"/>
                <w:szCs w:val="18"/>
                <w:lang w:eastAsia="hr-HR"/>
              </w:rPr>
              <w:t>11.</w:t>
            </w:r>
          </w:p>
        </w:tc>
        <w:tc>
          <w:tcPr>
            <w:tcW w:w="467" w:type="dxa"/>
            <w:gridSpan w:val="2"/>
            <w:tcBorders>
              <w:top w:val="nil"/>
              <w:left w:val="nil"/>
              <w:bottom w:val="single" w:sz="4" w:space="0" w:color="auto"/>
              <w:right w:val="single" w:sz="4" w:space="0" w:color="auto"/>
            </w:tcBorders>
            <w:shd w:val="clear" w:color="000000" w:fill="CCFFCC"/>
            <w:noWrap/>
            <w:vAlign w:val="center"/>
            <w:hideMark/>
          </w:tcPr>
          <w:p w14:paraId="66AE0E04" w14:textId="77777777" w:rsidR="00C779A5" w:rsidRPr="00C779A5" w:rsidRDefault="00C779A5" w:rsidP="00C779A5">
            <w:pPr>
              <w:spacing w:after="0" w:line="240" w:lineRule="auto"/>
              <w:jc w:val="center"/>
              <w:rPr>
                <w:rFonts w:ascii="Tahoma" w:eastAsia="Times New Roman" w:hAnsi="Tahoma" w:cs="Tahoma"/>
                <w:sz w:val="18"/>
                <w:szCs w:val="18"/>
                <w:lang w:eastAsia="hr-HR"/>
              </w:rPr>
            </w:pPr>
            <w:r w:rsidRPr="00C779A5">
              <w:rPr>
                <w:rFonts w:ascii="Tahoma" w:eastAsia="Times New Roman" w:hAnsi="Tahoma" w:cs="Tahoma"/>
                <w:sz w:val="18"/>
                <w:szCs w:val="18"/>
                <w:lang w:eastAsia="hr-HR"/>
              </w:rPr>
              <w:t>12.</w:t>
            </w:r>
          </w:p>
        </w:tc>
        <w:tc>
          <w:tcPr>
            <w:tcW w:w="522" w:type="dxa"/>
            <w:tcBorders>
              <w:top w:val="nil"/>
              <w:left w:val="nil"/>
              <w:bottom w:val="single" w:sz="4" w:space="0" w:color="auto"/>
              <w:right w:val="single" w:sz="4" w:space="0" w:color="auto"/>
            </w:tcBorders>
            <w:shd w:val="clear" w:color="000000" w:fill="CCFFCC"/>
            <w:noWrap/>
            <w:vAlign w:val="center"/>
            <w:hideMark/>
          </w:tcPr>
          <w:p w14:paraId="3E5C9C79" w14:textId="77777777" w:rsidR="00C779A5" w:rsidRPr="00C779A5" w:rsidRDefault="00C779A5" w:rsidP="00C779A5">
            <w:pPr>
              <w:spacing w:after="0" w:line="240" w:lineRule="auto"/>
              <w:jc w:val="center"/>
              <w:rPr>
                <w:rFonts w:ascii="Tahoma" w:eastAsia="Times New Roman" w:hAnsi="Tahoma" w:cs="Tahoma"/>
                <w:sz w:val="18"/>
                <w:szCs w:val="18"/>
                <w:lang w:eastAsia="hr-HR"/>
              </w:rPr>
            </w:pPr>
            <w:r w:rsidRPr="00C779A5">
              <w:rPr>
                <w:rFonts w:ascii="Tahoma" w:eastAsia="Times New Roman" w:hAnsi="Tahoma" w:cs="Tahoma"/>
                <w:sz w:val="18"/>
                <w:szCs w:val="18"/>
                <w:lang w:eastAsia="hr-HR"/>
              </w:rPr>
              <w:t>13.</w:t>
            </w:r>
          </w:p>
        </w:tc>
        <w:tc>
          <w:tcPr>
            <w:tcW w:w="467" w:type="dxa"/>
            <w:tcBorders>
              <w:top w:val="nil"/>
              <w:left w:val="nil"/>
              <w:bottom w:val="single" w:sz="4" w:space="0" w:color="auto"/>
              <w:right w:val="single" w:sz="4" w:space="0" w:color="auto"/>
            </w:tcBorders>
            <w:shd w:val="clear" w:color="000000" w:fill="CCFFCC"/>
            <w:noWrap/>
            <w:vAlign w:val="center"/>
            <w:hideMark/>
          </w:tcPr>
          <w:p w14:paraId="01EBB2D1" w14:textId="77777777" w:rsidR="00C779A5" w:rsidRPr="00C779A5" w:rsidRDefault="00C779A5" w:rsidP="00C779A5">
            <w:pPr>
              <w:spacing w:after="0" w:line="240" w:lineRule="auto"/>
              <w:jc w:val="center"/>
              <w:rPr>
                <w:rFonts w:ascii="Tahoma" w:eastAsia="Times New Roman" w:hAnsi="Tahoma" w:cs="Tahoma"/>
                <w:sz w:val="18"/>
                <w:szCs w:val="18"/>
                <w:lang w:eastAsia="hr-HR"/>
              </w:rPr>
            </w:pPr>
            <w:r w:rsidRPr="00C779A5">
              <w:rPr>
                <w:rFonts w:ascii="Tahoma" w:eastAsia="Times New Roman" w:hAnsi="Tahoma" w:cs="Tahoma"/>
                <w:sz w:val="18"/>
                <w:szCs w:val="18"/>
                <w:lang w:eastAsia="hr-HR"/>
              </w:rPr>
              <w:t>14.</w:t>
            </w:r>
          </w:p>
        </w:tc>
        <w:tc>
          <w:tcPr>
            <w:tcW w:w="467" w:type="dxa"/>
            <w:tcBorders>
              <w:top w:val="nil"/>
              <w:left w:val="nil"/>
              <w:bottom w:val="single" w:sz="4" w:space="0" w:color="auto"/>
              <w:right w:val="single" w:sz="4" w:space="0" w:color="auto"/>
            </w:tcBorders>
            <w:shd w:val="clear" w:color="000000" w:fill="CCFFCC"/>
            <w:noWrap/>
            <w:vAlign w:val="center"/>
            <w:hideMark/>
          </w:tcPr>
          <w:p w14:paraId="4A379BC5" w14:textId="77777777" w:rsidR="00C779A5" w:rsidRPr="00C779A5" w:rsidRDefault="00C779A5" w:rsidP="00C779A5">
            <w:pPr>
              <w:spacing w:after="0" w:line="240" w:lineRule="auto"/>
              <w:jc w:val="center"/>
              <w:rPr>
                <w:rFonts w:ascii="Tahoma" w:eastAsia="Times New Roman" w:hAnsi="Tahoma" w:cs="Tahoma"/>
                <w:sz w:val="18"/>
                <w:szCs w:val="18"/>
                <w:lang w:eastAsia="hr-HR"/>
              </w:rPr>
            </w:pPr>
            <w:r w:rsidRPr="00C779A5">
              <w:rPr>
                <w:rFonts w:ascii="Tahoma" w:eastAsia="Times New Roman" w:hAnsi="Tahoma" w:cs="Tahoma"/>
                <w:sz w:val="18"/>
                <w:szCs w:val="18"/>
                <w:lang w:eastAsia="hr-HR"/>
              </w:rPr>
              <w:t>15.</w:t>
            </w:r>
          </w:p>
        </w:tc>
        <w:tc>
          <w:tcPr>
            <w:tcW w:w="877" w:type="dxa"/>
            <w:gridSpan w:val="2"/>
            <w:tcBorders>
              <w:top w:val="nil"/>
              <w:left w:val="nil"/>
              <w:bottom w:val="single" w:sz="4" w:space="0" w:color="auto"/>
              <w:right w:val="single" w:sz="4" w:space="0" w:color="auto"/>
            </w:tcBorders>
            <w:shd w:val="clear" w:color="000000" w:fill="CCFFCC"/>
            <w:noWrap/>
            <w:vAlign w:val="center"/>
            <w:hideMark/>
          </w:tcPr>
          <w:p w14:paraId="525FB5FA" w14:textId="77777777" w:rsidR="00C779A5" w:rsidRPr="00C779A5" w:rsidRDefault="00C779A5" w:rsidP="00C779A5">
            <w:pPr>
              <w:spacing w:after="0" w:line="240" w:lineRule="auto"/>
              <w:jc w:val="center"/>
              <w:rPr>
                <w:rFonts w:ascii="Tahoma" w:eastAsia="Times New Roman" w:hAnsi="Tahoma" w:cs="Tahoma"/>
                <w:sz w:val="18"/>
                <w:szCs w:val="18"/>
                <w:lang w:eastAsia="hr-HR"/>
              </w:rPr>
            </w:pPr>
            <w:r w:rsidRPr="00C779A5">
              <w:rPr>
                <w:rFonts w:ascii="Tahoma" w:eastAsia="Times New Roman" w:hAnsi="Tahoma" w:cs="Tahoma"/>
                <w:sz w:val="18"/>
                <w:szCs w:val="18"/>
                <w:lang w:eastAsia="hr-HR"/>
              </w:rPr>
              <w:t>16.</w:t>
            </w:r>
          </w:p>
        </w:tc>
        <w:tc>
          <w:tcPr>
            <w:tcW w:w="576" w:type="dxa"/>
            <w:gridSpan w:val="2"/>
            <w:tcBorders>
              <w:top w:val="single" w:sz="4" w:space="0" w:color="auto"/>
              <w:left w:val="nil"/>
              <w:bottom w:val="single" w:sz="4" w:space="0" w:color="auto"/>
              <w:right w:val="single" w:sz="4" w:space="0" w:color="auto"/>
            </w:tcBorders>
            <w:shd w:val="clear" w:color="000000" w:fill="CCFFCC"/>
            <w:noWrap/>
            <w:vAlign w:val="center"/>
            <w:hideMark/>
          </w:tcPr>
          <w:p w14:paraId="3CD50765" w14:textId="77777777" w:rsidR="00C779A5" w:rsidRPr="00C779A5" w:rsidRDefault="00C779A5" w:rsidP="00C779A5">
            <w:pPr>
              <w:spacing w:after="0" w:line="240" w:lineRule="auto"/>
              <w:jc w:val="center"/>
              <w:rPr>
                <w:rFonts w:ascii="Tahoma" w:eastAsia="Times New Roman" w:hAnsi="Tahoma" w:cs="Tahoma"/>
                <w:sz w:val="18"/>
                <w:szCs w:val="18"/>
                <w:lang w:eastAsia="hr-HR"/>
              </w:rPr>
            </w:pPr>
            <w:r w:rsidRPr="00C779A5">
              <w:rPr>
                <w:rFonts w:ascii="Tahoma" w:eastAsia="Times New Roman" w:hAnsi="Tahoma" w:cs="Tahoma"/>
                <w:sz w:val="18"/>
                <w:szCs w:val="18"/>
                <w:lang w:eastAsia="hr-HR"/>
              </w:rPr>
              <w:t>17.</w:t>
            </w:r>
          </w:p>
        </w:tc>
        <w:tc>
          <w:tcPr>
            <w:tcW w:w="440" w:type="dxa"/>
            <w:tcBorders>
              <w:top w:val="single" w:sz="4" w:space="0" w:color="auto"/>
              <w:left w:val="nil"/>
              <w:bottom w:val="single" w:sz="4" w:space="0" w:color="auto"/>
              <w:right w:val="single" w:sz="4" w:space="0" w:color="auto"/>
            </w:tcBorders>
            <w:shd w:val="clear" w:color="000000" w:fill="CCFFCC"/>
            <w:noWrap/>
            <w:vAlign w:val="center"/>
            <w:hideMark/>
          </w:tcPr>
          <w:p w14:paraId="538983C8" w14:textId="77777777" w:rsidR="00C779A5" w:rsidRPr="00C779A5" w:rsidRDefault="00C779A5" w:rsidP="00C779A5">
            <w:pPr>
              <w:spacing w:after="0" w:line="240" w:lineRule="auto"/>
              <w:jc w:val="center"/>
              <w:rPr>
                <w:rFonts w:ascii="Tahoma" w:eastAsia="Times New Roman" w:hAnsi="Tahoma" w:cs="Tahoma"/>
                <w:sz w:val="18"/>
                <w:szCs w:val="18"/>
                <w:lang w:eastAsia="hr-HR"/>
              </w:rPr>
            </w:pPr>
            <w:r w:rsidRPr="00C779A5">
              <w:rPr>
                <w:rFonts w:ascii="Tahoma" w:eastAsia="Times New Roman" w:hAnsi="Tahoma" w:cs="Tahoma"/>
                <w:sz w:val="18"/>
                <w:szCs w:val="18"/>
                <w:lang w:eastAsia="hr-HR"/>
              </w:rPr>
              <w:t>18.</w:t>
            </w:r>
          </w:p>
        </w:tc>
        <w:tc>
          <w:tcPr>
            <w:tcW w:w="793" w:type="dxa"/>
            <w:tcBorders>
              <w:top w:val="nil"/>
              <w:left w:val="nil"/>
              <w:bottom w:val="single" w:sz="4" w:space="0" w:color="auto"/>
              <w:right w:val="single" w:sz="4" w:space="0" w:color="auto"/>
            </w:tcBorders>
            <w:shd w:val="clear" w:color="000000" w:fill="CCFFCC"/>
            <w:noWrap/>
            <w:vAlign w:val="center"/>
            <w:hideMark/>
          </w:tcPr>
          <w:p w14:paraId="5D91848B" w14:textId="77777777" w:rsidR="00C779A5" w:rsidRPr="00C779A5" w:rsidRDefault="00C779A5" w:rsidP="00C779A5">
            <w:pPr>
              <w:spacing w:after="0" w:line="240" w:lineRule="auto"/>
              <w:jc w:val="center"/>
              <w:rPr>
                <w:rFonts w:ascii="Tahoma" w:eastAsia="Times New Roman" w:hAnsi="Tahoma" w:cs="Tahoma"/>
                <w:sz w:val="18"/>
                <w:szCs w:val="18"/>
                <w:lang w:eastAsia="hr-HR"/>
              </w:rPr>
            </w:pPr>
            <w:r w:rsidRPr="00C779A5">
              <w:rPr>
                <w:rFonts w:ascii="Tahoma" w:eastAsia="Times New Roman" w:hAnsi="Tahoma" w:cs="Tahoma"/>
                <w:sz w:val="18"/>
                <w:szCs w:val="18"/>
                <w:lang w:eastAsia="hr-HR"/>
              </w:rPr>
              <w:t>19.</w:t>
            </w:r>
          </w:p>
        </w:tc>
        <w:tc>
          <w:tcPr>
            <w:tcW w:w="645" w:type="dxa"/>
            <w:gridSpan w:val="2"/>
            <w:tcBorders>
              <w:top w:val="nil"/>
              <w:left w:val="nil"/>
              <w:bottom w:val="single" w:sz="4" w:space="0" w:color="auto"/>
              <w:right w:val="single" w:sz="4" w:space="0" w:color="auto"/>
            </w:tcBorders>
            <w:shd w:val="clear" w:color="000000" w:fill="CCFFCC"/>
            <w:noWrap/>
            <w:vAlign w:val="center"/>
            <w:hideMark/>
          </w:tcPr>
          <w:p w14:paraId="3296B020" w14:textId="77777777" w:rsidR="00C779A5" w:rsidRPr="00C779A5" w:rsidRDefault="00C779A5" w:rsidP="00C779A5">
            <w:pPr>
              <w:spacing w:after="0" w:line="240" w:lineRule="auto"/>
              <w:jc w:val="center"/>
              <w:rPr>
                <w:rFonts w:ascii="Tahoma" w:eastAsia="Times New Roman" w:hAnsi="Tahoma" w:cs="Tahoma"/>
                <w:sz w:val="18"/>
                <w:szCs w:val="18"/>
                <w:lang w:eastAsia="hr-HR"/>
              </w:rPr>
            </w:pPr>
            <w:r w:rsidRPr="00C779A5">
              <w:rPr>
                <w:rFonts w:ascii="Tahoma" w:eastAsia="Times New Roman" w:hAnsi="Tahoma" w:cs="Tahoma"/>
                <w:sz w:val="18"/>
                <w:szCs w:val="18"/>
                <w:lang w:eastAsia="hr-HR"/>
              </w:rPr>
              <w:t>20.</w:t>
            </w:r>
          </w:p>
        </w:tc>
        <w:tc>
          <w:tcPr>
            <w:tcW w:w="467" w:type="dxa"/>
            <w:tcBorders>
              <w:top w:val="nil"/>
              <w:left w:val="nil"/>
              <w:bottom w:val="single" w:sz="4" w:space="0" w:color="auto"/>
              <w:right w:val="single" w:sz="4" w:space="0" w:color="auto"/>
            </w:tcBorders>
            <w:shd w:val="clear" w:color="000000" w:fill="CCFFCC"/>
            <w:noWrap/>
            <w:vAlign w:val="center"/>
            <w:hideMark/>
          </w:tcPr>
          <w:p w14:paraId="59EF771E" w14:textId="77777777" w:rsidR="00C779A5" w:rsidRPr="00C779A5" w:rsidRDefault="00C779A5" w:rsidP="00C779A5">
            <w:pPr>
              <w:spacing w:after="0" w:line="240" w:lineRule="auto"/>
              <w:jc w:val="center"/>
              <w:rPr>
                <w:rFonts w:ascii="Tahoma" w:eastAsia="Times New Roman" w:hAnsi="Tahoma" w:cs="Tahoma"/>
                <w:sz w:val="18"/>
                <w:szCs w:val="18"/>
                <w:lang w:eastAsia="hr-HR"/>
              </w:rPr>
            </w:pPr>
            <w:r w:rsidRPr="00C779A5">
              <w:rPr>
                <w:rFonts w:ascii="Tahoma" w:eastAsia="Times New Roman" w:hAnsi="Tahoma" w:cs="Tahoma"/>
                <w:sz w:val="18"/>
                <w:szCs w:val="18"/>
                <w:lang w:eastAsia="hr-HR"/>
              </w:rPr>
              <w:t>21.</w:t>
            </w:r>
          </w:p>
        </w:tc>
        <w:tc>
          <w:tcPr>
            <w:tcW w:w="467" w:type="dxa"/>
            <w:tcBorders>
              <w:top w:val="nil"/>
              <w:left w:val="nil"/>
              <w:bottom w:val="single" w:sz="4" w:space="0" w:color="auto"/>
              <w:right w:val="single" w:sz="4" w:space="0" w:color="auto"/>
            </w:tcBorders>
            <w:shd w:val="clear" w:color="000000" w:fill="CCFFCC"/>
            <w:noWrap/>
            <w:vAlign w:val="center"/>
            <w:hideMark/>
          </w:tcPr>
          <w:p w14:paraId="52B99C47" w14:textId="77777777" w:rsidR="00C779A5" w:rsidRPr="00C779A5" w:rsidRDefault="00C779A5" w:rsidP="00C779A5">
            <w:pPr>
              <w:spacing w:after="0" w:line="240" w:lineRule="auto"/>
              <w:jc w:val="center"/>
              <w:rPr>
                <w:rFonts w:ascii="Tahoma" w:eastAsia="Times New Roman" w:hAnsi="Tahoma" w:cs="Tahoma"/>
                <w:sz w:val="18"/>
                <w:szCs w:val="18"/>
                <w:lang w:eastAsia="hr-HR"/>
              </w:rPr>
            </w:pPr>
            <w:r w:rsidRPr="00C779A5">
              <w:rPr>
                <w:rFonts w:ascii="Tahoma" w:eastAsia="Times New Roman" w:hAnsi="Tahoma" w:cs="Tahoma"/>
                <w:sz w:val="18"/>
                <w:szCs w:val="18"/>
                <w:lang w:eastAsia="hr-HR"/>
              </w:rPr>
              <w:t>22.</w:t>
            </w:r>
          </w:p>
        </w:tc>
        <w:tc>
          <w:tcPr>
            <w:tcW w:w="478" w:type="dxa"/>
            <w:gridSpan w:val="2"/>
            <w:tcBorders>
              <w:top w:val="nil"/>
              <w:left w:val="nil"/>
              <w:bottom w:val="single" w:sz="4" w:space="0" w:color="auto"/>
              <w:right w:val="single" w:sz="4" w:space="0" w:color="auto"/>
            </w:tcBorders>
            <w:shd w:val="clear" w:color="000000" w:fill="CCFFCC"/>
            <w:noWrap/>
            <w:vAlign w:val="center"/>
            <w:hideMark/>
          </w:tcPr>
          <w:p w14:paraId="35AD3C97" w14:textId="77777777" w:rsidR="00C779A5" w:rsidRPr="00C779A5" w:rsidRDefault="00C779A5" w:rsidP="00C779A5">
            <w:pPr>
              <w:spacing w:after="0" w:line="240" w:lineRule="auto"/>
              <w:jc w:val="center"/>
              <w:rPr>
                <w:rFonts w:ascii="Tahoma" w:eastAsia="Times New Roman" w:hAnsi="Tahoma" w:cs="Tahoma"/>
                <w:sz w:val="18"/>
                <w:szCs w:val="18"/>
                <w:lang w:eastAsia="hr-HR"/>
              </w:rPr>
            </w:pPr>
            <w:r w:rsidRPr="00C779A5">
              <w:rPr>
                <w:rFonts w:ascii="Tahoma" w:eastAsia="Times New Roman" w:hAnsi="Tahoma" w:cs="Tahoma"/>
                <w:sz w:val="18"/>
                <w:szCs w:val="18"/>
                <w:lang w:eastAsia="hr-HR"/>
              </w:rPr>
              <w:t>23.</w:t>
            </w:r>
          </w:p>
        </w:tc>
        <w:tc>
          <w:tcPr>
            <w:tcW w:w="876" w:type="dxa"/>
            <w:tcBorders>
              <w:top w:val="nil"/>
              <w:left w:val="nil"/>
              <w:bottom w:val="single" w:sz="4" w:space="0" w:color="auto"/>
              <w:right w:val="single" w:sz="4" w:space="0" w:color="auto"/>
            </w:tcBorders>
            <w:shd w:val="clear" w:color="000000" w:fill="CCFFCC"/>
            <w:noWrap/>
            <w:vAlign w:val="center"/>
            <w:hideMark/>
          </w:tcPr>
          <w:p w14:paraId="51FA3CCE" w14:textId="77777777" w:rsidR="00C779A5" w:rsidRPr="00C779A5" w:rsidRDefault="00C779A5" w:rsidP="00C779A5">
            <w:pPr>
              <w:spacing w:after="0" w:line="240" w:lineRule="auto"/>
              <w:jc w:val="center"/>
              <w:rPr>
                <w:rFonts w:ascii="Tahoma" w:eastAsia="Times New Roman" w:hAnsi="Tahoma" w:cs="Tahoma"/>
                <w:sz w:val="18"/>
                <w:szCs w:val="18"/>
                <w:lang w:eastAsia="hr-HR"/>
              </w:rPr>
            </w:pPr>
            <w:r w:rsidRPr="00C779A5">
              <w:rPr>
                <w:rFonts w:ascii="Tahoma" w:eastAsia="Times New Roman" w:hAnsi="Tahoma" w:cs="Tahoma"/>
                <w:sz w:val="18"/>
                <w:szCs w:val="18"/>
                <w:lang w:eastAsia="hr-HR"/>
              </w:rPr>
              <w:t>24.</w:t>
            </w:r>
          </w:p>
        </w:tc>
        <w:tc>
          <w:tcPr>
            <w:tcW w:w="236" w:type="dxa"/>
            <w:gridSpan w:val="3"/>
            <w:vAlign w:val="center"/>
            <w:hideMark/>
          </w:tcPr>
          <w:p w14:paraId="07FB7D69" w14:textId="77777777" w:rsidR="00C779A5" w:rsidRPr="00C779A5" w:rsidRDefault="00C779A5" w:rsidP="00C779A5">
            <w:pPr>
              <w:spacing w:after="0" w:line="240" w:lineRule="auto"/>
              <w:rPr>
                <w:rFonts w:ascii="Times New Roman" w:eastAsia="Times New Roman" w:hAnsi="Times New Roman" w:cs="Times New Roman"/>
                <w:sz w:val="18"/>
                <w:szCs w:val="18"/>
                <w:lang w:eastAsia="hr-HR"/>
              </w:rPr>
            </w:pPr>
          </w:p>
        </w:tc>
      </w:tr>
      <w:tr w:rsidR="00C779A5" w:rsidRPr="00C779A5" w14:paraId="1289F38A" w14:textId="77777777" w:rsidTr="00C779A5">
        <w:trPr>
          <w:gridAfter w:val="2"/>
          <w:wAfter w:w="149" w:type="dxa"/>
          <w:trHeight w:val="300"/>
        </w:trPr>
        <w:tc>
          <w:tcPr>
            <w:tcW w:w="1567" w:type="dxa"/>
            <w:tcBorders>
              <w:top w:val="single" w:sz="4" w:space="0" w:color="auto"/>
              <w:left w:val="single" w:sz="8" w:space="0" w:color="auto"/>
              <w:bottom w:val="single" w:sz="4" w:space="0" w:color="auto"/>
              <w:right w:val="single" w:sz="4" w:space="0" w:color="auto"/>
            </w:tcBorders>
            <w:shd w:val="clear" w:color="000000" w:fill="CCFFCC"/>
            <w:vAlign w:val="center"/>
            <w:hideMark/>
          </w:tcPr>
          <w:p w14:paraId="60A8524F" w14:textId="77777777" w:rsidR="00C779A5" w:rsidRPr="00C779A5" w:rsidRDefault="00C779A5" w:rsidP="00C779A5">
            <w:pPr>
              <w:spacing w:after="0" w:line="240" w:lineRule="auto"/>
              <w:rPr>
                <w:rFonts w:ascii="Tahoma" w:eastAsia="Times New Roman" w:hAnsi="Tahoma" w:cs="Tahoma"/>
                <w:sz w:val="18"/>
                <w:szCs w:val="18"/>
                <w:lang w:eastAsia="hr-HR"/>
              </w:rPr>
            </w:pPr>
            <w:r w:rsidRPr="00C779A5">
              <w:rPr>
                <w:rFonts w:ascii="Tahoma" w:eastAsia="Times New Roman" w:hAnsi="Tahoma" w:cs="Tahoma"/>
                <w:sz w:val="18"/>
                <w:szCs w:val="18"/>
                <w:lang w:eastAsia="hr-HR"/>
              </w:rPr>
              <w:t xml:space="preserve">Rasa ili etnička </w:t>
            </w:r>
            <w:proofErr w:type="spellStart"/>
            <w:r w:rsidRPr="00C779A5">
              <w:rPr>
                <w:rFonts w:ascii="Tahoma" w:eastAsia="Times New Roman" w:hAnsi="Tahoma" w:cs="Tahoma"/>
                <w:sz w:val="18"/>
                <w:szCs w:val="18"/>
                <w:lang w:eastAsia="hr-HR"/>
              </w:rPr>
              <w:t>propadnost</w:t>
            </w:r>
            <w:proofErr w:type="spellEnd"/>
            <w:r w:rsidRPr="00C779A5">
              <w:rPr>
                <w:rFonts w:ascii="Tahoma" w:eastAsia="Times New Roman" w:hAnsi="Tahoma" w:cs="Tahoma"/>
                <w:sz w:val="18"/>
                <w:szCs w:val="18"/>
                <w:lang w:eastAsia="hr-HR"/>
              </w:rPr>
              <w:t xml:space="preserve"> ili boja kože</w:t>
            </w:r>
          </w:p>
        </w:tc>
        <w:tc>
          <w:tcPr>
            <w:tcW w:w="557" w:type="dxa"/>
            <w:tcBorders>
              <w:top w:val="nil"/>
              <w:left w:val="nil"/>
              <w:bottom w:val="single" w:sz="4" w:space="0" w:color="auto"/>
              <w:right w:val="single" w:sz="4" w:space="0" w:color="auto"/>
            </w:tcBorders>
            <w:shd w:val="clear" w:color="000000" w:fill="FFCC99"/>
            <w:noWrap/>
            <w:vAlign w:val="bottom"/>
            <w:hideMark/>
          </w:tcPr>
          <w:p w14:paraId="346A9750" w14:textId="77777777" w:rsidR="00C779A5" w:rsidRPr="00C779A5" w:rsidRDefault="00C779A5" w:rsidP="00C779A5">
            <w:pPr>
              <w:spacing w:after="0" w:line="240" w:lineRule="auto"/>
              <w:jc w:val="center"/>
              <w:rPr>
                <w:rFonts w:ascii="Tahoma" w:eastAsia="Times New Roman" w:hAnsi="Tahoma" w:cs="Tahoma"/>
                <w:sz w:val="18"/>
                <w:szCs w:val="18"/>
                <w:lang w:eastAsia="hr-HR"/>
              </w:rPr>
            </w:pPr>
            <w:r w:rsidRPr="00C779A5">
              <w:rPr>
                <w:rFonts w:ascii="Tahoma" w:eastAsia="Times New Roman" w:hAnsi="Tahoma" w:cs="Tahoma"/>
                <w:sz w:val="18"/>
                <w:szCs w:val="18"/>
                <w:lang w:eastAsia="hr-HR"/>
              </w:rPr>
              <w:t>7</w:t>
            </w:r>
          </w:p>
        </w:tc>
        <w:tc>
          <w:tcPr>
            <w:tcW w:w="444" w:type="dxa"/>
            <w:tcBorders>
              <w:top w:val="nil"/>
              <w:left w:val="nil"/>
              <w:bottom w:val="single" w:sz="4" w:space="0" w:color="auto"/>
              <w:right w:val="single" w:sz="4" w:space="0" w:color="auto"/>
            </w:tcBorders>
            <w:shd w:val="clear" w:color="000000" w:fill="FFFF00"/>
            <w:noWrap/>
            <w:vAlign w:val="bottom"/>
            <w:hideMark/>
          </w:tcPr>
          <w:p w14:paraId="783BA024" w14:textId="77777777" w:rsidR="00C779A5" w:rsidRPr="00C779A5" w:rsidRDefault="00C779A5" w:rsidP="00C779A5">
            <w:pPr>
              <w:spacing w:after="0" w:line="240" w:lineRule="auto"/>
              <w:jc w:val="center"/>
              <w:rPr>
                <w:rFonts w:ascii="Tahoma" w:eastAsia="Times New Roman" w:hAnsi="Tahoma" w:cs="Tahoma"/>
                <w:sz w:val="18"/>
                <w:szCs w:val="18"/>
                <w:lang w:eastAsia="hr-HR"/>
              </w:rPr>
            </w:pPr>
            <w:r w:rsidRPr="00C779A5">
              <w:rPr>
                <w:rFonts w:ascii="Tahoma" w:eastAsia="Times New Roman" w:hAnsi="Tahoma" w:cs="Tahoma"/>
                <w:sz w:val="18"/>
                <w:szCs w:val="18"/>
                <w:lang w:eastAsia="hr-HR"/>
              </w:rPr>
              <w:t>1</w:t>
            </w:r>
          </w:p>
        </w:tc>
        <w:tc>
          <w:tcPr>
            <w:tcW w:w="399" w:type="dxa"/>
            <w:tcBorders>
              <w:top w:val="nil"/>
              <w:left w:val="nil"/>
              <w:bottom w:val="single" w:sz="4" w:space="0" w:color="auto"/>
              <w:right w:val="single" w:sz="4" w:space="0" w:color="auto"/>
            </w:tcBorders>
            <w:shd w:val="clear" w:color="000000" w:fill="CCFFFF"/>
            <w:noWrap/>
            <w:vAlign w:val="bottom"/>
            <w:hideMark/>
          </w:tcPr>
          <w:p w14:paraId="227B7B3E" w14:textId="77777777" w:rsidR="00C779A5" w:rsidRPr="00C779A5" w:rsidRDefault="00C779A5" w:rsidP="00C779A5">
            <w:pPr>
              <w:spacing w:after="0" w:line="240" w:lineRule="auto"/>
              <w:jc w:val="right"/>
              <w:rPr>
                <w:rFonts w:ascii="Tahoma" w:eastAsia="Times New Roman" w:hAnsi="Tahoma" w:cs="Tahoma"/>
                <w:sz w:val="18"/>
                <w:szCs w:val="18"/>
                <w:lang w:eastAsia="hr-HR"/>
              </w:rPr>
            </w:pPr>
            <w:r w:rsidRPr="00C779A5">
              <w:rPr>
                <w:rFonts w:ascii="Tahoma" w:eastAsia="Times New Roman" w:hAnsi="Tahoma" w:cs="Tahoma"/>
                <w:sz w:val="18"/>
                <w:szCs w:val="18"/>
                <w:lang w:eastAsia="hr-HR"/>
              </w:rPr>
              <w:t>0</w:t>
            </w:r>
          </w:p>
        </w:tc>
        <w:tc>
          <w:tcPr>
            <w:tcW w:w="425" w:type="dxa"/>
            <w:tcBorders>
              <w:top w:val="nil"/>
              <w:left w:val="nil"/>
              <w:bottom w:val="single" w:sz="4" w:space="0" w:color="auto"/>
              <w:right w:val="single" w:sz="4" w:space="0" w:color="auto"/>
            </w:tcBorders>
            <w:shd w:val="clear" w:color="000000" w:fill="CCFFFF"/>
            <w:noWrap/>
            <w:vAlign w:val="bottom"/>
            <w:hideMark/>
          </w:tcPr>
          <w:p w14:paraId="7633BE3B" w14:textId="77777777" w:rsidR="00C779A5" w:rsidRPr="00C779A5" w:rsidRDefault="00C779A5" w:rsidP="00C779A5">
            <w:pPr>
              <w:spacing w:after="0" w:line="240" w:lineRule="auto"/>
              <w:jc w:val="right"/>
              <w:rPr>
                <w:rFonts w:ascii="Tahoma" w:eastAsia="Times New Roman" w:hAnsi="Tahoma" w:cs="Tahoma"/>
                <w:sz w:val="18"/>
                <w:szCs w:val="18"/>
                <w:lang w:eastAsia="hr-HR"/>
              </w:rPr>
            </w:pPr>
            <w:r w:rsidRPr="00C779A5">
              <w:rPr>
                <w:rFonts w:ascii="Tahoma" w:eastAsia="Times New Roman" w:hAnsi="Tahoma" w:cs="Tahoma"/>
                <w:sz w:val="18"/>
                <w:szCs w:val="18"/>
                <w:lang w:eastAsia="hr-HR"/>
              </w:rPr>
              <w:t>1</w:t>
            </w:r>
          </w:p>
        </w:tc>
        <w:tc>
          <w:tcPr>
            <w:tcW w:w="574" w:type="dxa"/>
            <w:tcBorders>
              <w:top w:val="nil"/>
              <w:left w:val="nil"/>
              <w:bottom w:val="single" w:sz="4" w:space="0" w:color="auto"/>
              <w:right w:val="single" w:sz="4" w:space="0" w:color="auto"/>
            </w:tcBorders>
            <w:shd w:val="clear" w:color="000000" w:fill="FFFF99"/>
            <w:noWrap/>
            <w:vAlign w:val="bottom"/>
            <w:hideMark/>
          </w:tcPr>
          <w:p w14:paraId="3A15CCED" w14:textId="77777777" w:rsidR="00C779A5" w:rsidRPr="00C779A5" w:rsidRDefault="00C779A5" w:rsidP="00C779A5">
            <w:pPr>
              <w:spacing w:after="0" w:line="240" w:lineRule="auto"/>
              <w:jc w:val="center"/>
              <w:rPr>
                <w:rFonts w:ascii="Tahoma" w:eastAsia="Times New Roman" w:hAnsi="Tahoma" w:cs="Tahoma"/>
                <w:sz w:val="18"/>
                <w:szCs w:val="18"/>
                <w:lang w:eastAsia="hr-HR"/>
              </w:rPr>
            </w:pPr>
            <w:r w:rsidRPr="00C779A5">
              <w:rPr>
                <w:rFonts w:ascii="Tahoma" w:eastAsia="Times New Roman" w:hAnsi="Tahoma" w:cs="Tahoma"/>
                <w:sz w:val="18"/>
                <w:szCs w:val="18"/>
                <w:lang w:eastAsia="hr-HR"/>
              </w:rPr>
              <w:t>0</w:t>
            </w:r>
          </w:p>
        </w:tc>
        <w:tc>
          <w:tcPr>
            <w:tcW w:w="706" w:type="dxa"/>
            <w:tcBorders>
              <w:top w:val="nil"/>
              <w:left w:val="nil"/>
              <w:bottom w:val="single" w:sz="4" w:space="0" w:color="auto"/>
              <w:right w:val="single" w:sz="4" w:space="0" w:color="auto"/>
            </w:tcBorders>
            <w:shd w:val="clear" w:color="000000" w:fill="FFFF99"/>
            <w:noWrap/>
            <w:vAlign w:val="bottom"/>
            <w:hideMark/>
          </w:tcPr>
          <w:p w14:paraId="716384B9" w14:textId="77777777" w:rsidR="00C779A5" w:rsidRPr="00C779A5" w:rsidRDefault="00C779A5" w:rsidP="00C779A5">
            <w:pPr>
              <w:spacing w:after="0" w:line="240" w:lineRule="auto"/>
              <w:jc w:val="center"/>
              <w:rPr>
                <w:rFonts w:ascii="Tahoma" w:eastAsia="Times New Roman" w:hAnsi="Tahoma" w:cs="Tahoma"/>
                <w:sz w:val="18"/>
                <w:szCs w:val="18"/>
                <w:lang w:eastAsia="hr-HR"/>
              </w:rPr>
            </w:pPr>
            <w:r w:rsidRPr="00C779A5">
              <w:rPr>
                <w:rFonts w:ascii="Tahoma" w:eastAsia="Times New Roman" w:hAnsi="Tahoma" w:cs="Tahoma"/>
                <w:sz w:val="18"/>
                <w:szCs w:val="18"/>
                <w:lang w:eastAsia="hr-HR"/>
              </w:rPr>
              <w:t>0</w:t>
            </w:r>
          </w:p>
        </w:tc>
        <w:tc>
          <w:tcPr>
            <w:tcW w:w="565" w:type="dxa"/>
            <w:tcBorders>
              <w:top w:val="nil"/>
              <w:left w:val="nil"/>
              <w:bottom w:val="single" w:sz="4" w:space="0" w:color="auto"/>
              <w:right w:val="single" w:sz="4" w:space="0" w:color="auto"/>
            </w:tcBorders>
            <w:shd w:val="clear" w:color="000000" w:fill="FFFF99"/>
            <w:noWrap/>
            <w:vAlign w:val="bottom"/>
            <w:hideMark/>
          </w:tcPr>
          <w:p w14:paraId="11E7AB3D" w14:textId="77777777" w:rsidR="00C779A5" w:rsidRPr="00C779A5" w:rsidRDefault="00C779A5" w:rsidP="00C779A5">
            <w:pPr>
              <w:spacing w:after="0" w:line="240" w:lineRule="auto"/>
              <w:jc w:val="center"/>
              <w:rPr>
                <w:rFonts w:ascii="Tahoma" w:eastAsia="Times New Roman" w:hAnsi="Tahoma" w:cs="Tahoma"/>
                <w:sz w:val="18"/>
                <w:szCs w:val="18"/>
                <w:lang w:eastAsia="hr-HR"/>
              </w:rPr>
            </w:pPr>
            <w:r w:rsidRPr="00C779A5">
              <w:rPr>
                <w:rFonts w:ascii="Tahoma" w:eastAsia="Times New Roman" w:hAnsi="Tahoma" w:cs="Tahoma"/>
                <w:sz w:val="18"/>
                <w:szCs w:val="18"/>
                <w:lang w:eastAsia="hr-HR"/>
              </w:rPr>
              <w:t>1</w:t>
            </w:r>
          </w:p>
        </w:tc>
        <w:tc>
          <w:tcPr>
            <w:tcW w:w="565" w:type="dxa"/>
            <w:tcBorders>
              <w:top w:val="nil"/>
              <w:left w:val="nil"/>
              <w:bottom w:val="single" w:sz="4" w:space="0" w:color="auto"/>
              <w:right w:val="single" w:sz="4" w:space="0" w:color="auto"/>
            </w:tcBorders>
            <w:shd w:val="clear" w:color="000000" w:fill="FFFF99"/>
            <w:noWrap/>
            <w:vAlign w:val="bottom"/>
            <w:hideMark/>
          </w:tcPr>
          <w:p w14:paraId="7FA10AB7" w14:textId="77777777" w:rsidR="00C779A5" w:rsidRPr="00C779A5" w:rsidRDefault="00C779A5" w:rsidP="00C779A5">
            <w:pPr>
              <w:spacing w:after="0" w:line="240" w:lineRule="auto"/>
              <w:jc w:val="center"/>
              <w:rPr>
                <w:rFonts w:ascii="Tahoma" w:eastAsia="Times New Roman" w:hAnsi="Tahoma" w:cs="Tahoma"/>
                <w:sz w:val="18"/>
                <w:szCs w:val="18"/>
                <w:lang w:eastAsia="hr-HR"/>
              </w:rPr>
            </w:pPr>
            <w:r w:rsidRPr="00C779A5">
              <w:rPr>
                <w:rFonts w:ascii="Tahoma" w:eastAsia="Times New Roman" w:hAnsi="Tahoma" w:cs="Tahoma"/>
                <w:sz w:val="18"/>
                <w:szCs w:val="18"/>
                <w:lang w:eastAsia="hr-HR"/>
              </w:rPr>
              <w:t>0</w:t>
            </w:r>
          </w:p>
        </w:tc>
        <w:tc>
          <w:tcPr>
            <w:tcW w:w="467" w:type="dxa"/>
            <w:tcBorders>
              <w:top w:val="nil"/>
              <w:left w:val="nil"/>
              <w:bottom w:val="single" w:sz="4" w:space="0" w:color="auto"/>
              <w:right w:val="single" w:sz="4" w:space="0" w:color="auto"/>
            </w:tcBorders>
            <w:shd w:val="clear" w:color="000000" w:fill="FFFF99"/>
            <w:noWrap/>
            <w:vAlign w:val="bottom"/>
            <w:hideMark/>
          </w:tcPr>
          <w:p w14:paraId="6024FA3A" w14:textId="77777777" w:rsidR="00C779A5" w:rsidRPr="00C779A5" w:rsidRDefault="00C779A5" w:rsidP="00C779A5">
            <w:pPr>
              <w:spacing w:after="0" w:line="240" w:lineRule="auto"/>
              <w:jc w:val="center"/>
              <w:rPr>
                <w:rFonts w:ascii="Tahoma" w:eastAsia="Times New Roman" w:hAnsi="Tahoma" w:cs="Tahoma"/>
                <w:sz w:val="18"/>
                <w:szCs w:val="18"/>
                <w:lang w:eastAsia="hr-HR"/>
              </w:rPr>
            </w:pPr>
            <w:r w:rsidRPr="00C779A5">
              <w:rPr>
                <w:rFonts w:ascii="Tahoma" w:eastAsia="Times New Roman" w:hAnsi="Tahoma" w:cs="Tahoma"/>
                <w:sz w:val="18"/>
                <w:szCs w:val="18"/>
                <w:lang w:eastAsia="hr-HR"/>
              </w:rPr>
              <w:t>0</w:t>
            </w:r>
          </w:p>
        </w:tc>
        <w:tc>
          <w:tcPr>
            <w:tcW w:w="805" w:type="dxa"/>
            <w:tcBorders>
              <w:top w:val="nil"/>
              <w:left w:val="nil"/>
              <w:bottom w:val="single" w:sz="4" w:space="0" w:color="auto"/>
              <w:right w:val="single" w:sz="4" w:space="0" w:color="auto"/>
            </w:tcBorders>
            <w:shd w:val="clear" w:color="000000" w:fill="FFFF99"/>
            <w:noWrap/>
            <w:vAlign w:val="bottom"/>
            <w:hideMark/>
          </w:tcPr>
          <w:p w14:paraId="05A064B5" w14:textId="77777777" w:rsidR="00C779A5" w:rsidRPr="00C779A5" w:rsidRDefault="00C779A5" w:rsidP="00C779A5">
            <w:pPr>
              <w:spacing w:after="0" w:line="240" w:lineRule="auto"/>
              <w:jc w:val="center"/>
              <w:rPr>
                <w:rFonts w:ascii="Tahoma" w:eastAsia="Times New Roman" w:hAnsi="Tahoma" w:cs="Tahoma"/>
                <w:sz w:val="18"/>
                <w:szCs w:val="18"/>
                <w:lang w:eastAsia="hr-HR"/>
              </w:rPr>
            </w:pPr>
            <w:r w:rsidRPr="00C779A5">
              <w:rPr>
                <w:rFonts w:ascii="Tahoma" w:eastAsia="Times New Roman" w:hAnsi="Tahoma" w:cs="Tahoma"/>
                <w:sz w:val="18"/>
                <w:szCs w:val="18"/>
                <w:lang w:eastAsia="hr-HR"/>
              </w:rPr>
              <w:t>0</w:t>
            </w:r>
          </w:p>
        </w:tc>
        <w:tc>
          <w:tcPr>
            <w:tcW w:w="467" w:type="dxa"/>
            <w:gridSpan w:val="2"/>
            <w:tcBorders>
              <w:top w:val="nil"/>
              <w:left w:val="nil"/>
              <w:bottom w:val="single" w:sz="4" w:space="0" w:color="auto"/>
              <w:right w:val="single" w:sz="4" w:space="0" w:color="auto"/>
            </w:tcBorders>
            <w:shd w:val="clear" w:color="000000" w:fill="FF9900"/>
            <w:noWrap/>
            <w:vAlign w:val="bottom"/>
            <w:hideMark/>
          </w:tcPr>
          <w:p w14:paraId="75441ADD" w14:textId="77777777" w:rsidR="00C779A5" w:rsidRPr="00C779A5" w:rsidRDefault="00C779A5" w:rsidP="00C779A5">
            <w:pPr>
              <w:spacing w:after="0" w:line="240" w:lineRule="auto"/>
              <w:jc w:val="right"/>
              <w:rPr>
                <w:rFonts w:ascii="Tahoma" w:eastAsia="Times New Roman" w:hAnsi="Tahoma" w:cs="Tahoma"/>
                <w:sz w:val="18"/>
                <w:szCs w:val="18"/>
                <w:lang w:eastAsia="hr-HR"/>
              </w:rPr>
            </w:pPr>
            <w:r w:rsidRPr="00C779A5">
              <w:rPr>
                <w:rFonts w:ascii="Tahoma" w:eastAsia="Times New Roman" w:hAnsi="Tahoma" w:cs="Tahoma"/>
                <w:sz w:val="18"/>
                <w:szCs w:val="18"/>
                <w:lang w:eastAsia="hr-HR"/>
              </w:rPr>
              <w:t>1</w:t>
            </w:r>
          </w:p>
        </w:tc>
        <w:tc>
          <w:tcPr>
            <w:tcW w:w="522" w:type="dxa"/>
            <w:tcBorders>
              <w:top w:val="nil"/>
              <w:left w:val="nil"/>
              <w:bottom w:val="single" w:sz="4" w:space="0" w:color="auto"/>
              <w:right w:val="single" w:sz="4" w:space="0" w:color="auto"/>
            </w:tcBorders>
            <w:shd w:val="clear" w:color="000000" w:fill="FF9900"/>
            <w:noWrap/>
            <w:vAlign w:val="bottom"/>
            <w:hideMark/>
          </w:tcPr>
          <w:p w14:paraId="50C78972" w14:textId="77777777" w:rsidR="00C779A5" w:rsidRPr="00C779A5" w:rsidRDefault="00C779A5" w:rsidP="00C779A5">
            <w:pPr>
              <w:spacing w:after="0" w:line="240" w:lineRule="auto"/>
              <w:jc w:val="right"/>
              <w:rPr>
                <w:rFonts w:ascii="Tahoma" w:eastAsia="Times New Roman" w:hAnsi="Tahoma" w:cs="Tahoma"/>
                <w:sz w:val="18"/>
                <w:szCs w:val="18"/>
                <w:lang w:eastAsia="hr-HR"/>
              </w:rPr>
            </w:pPr>
            <w:r w:rsidRPr="00C779A5">
              <w:rPr>
                <w:rFonts w:ascii="Tahoma" w:eastAsia="Times New Roman" w:hAnsi="Tahoma" w:cs="Tahoma"/>
                <w:sz w:val="18"/>
                <w:szCs w:val="18"/>
                <w:lang w:eastAsia="hr-HR"/>
              </w:rPr>
              <w:t>0</w:t>
            </w:r>
          </w:p>
        </w:tc>
        <w:tc>
          <w:tcPr>
            <w:tcW w:w="467" w:type="dxa"/>
            <w:tcBorders>
              <w:top w:val="nil"/>
              <w:left w:val="nil"/>
              <w:bottom w:val="single" w:sz="4" w:space="0" w:color="auto"/>
              <w:right w:val="single" w:sz="4" w:space="0" w:color="auto"/>
            </w:tcBorders>
            <w:shd w:val="clear" w:color="000000" w:fill="FF9900"/>
            <w:noWrap/>
            <w:vAlign w:val="bottom"/>
            <w:hideMark/>
          </w:tcPr>
          <w:p w14:paraId="11F0A951" w14:textId="77777777" w:rsidR="00C779A5" w:rsidRPr="00C779A5" w:rsidRDefault="00C779A5" w:rsidP="00C779A5">
            <w:pPr>
              <w:spacing w:after="0" w:line="240" w:lineRule="auto"/>
              <w:jc w:val="right"/>
              <w:rPr>
                <w:rFonts w:ascii="Tahoma" w:eastAsia="Times New Roman" w:hAnsi="Tahoma" w:cs="Tahoma"/>
                <w:sz w:val="18"/>
                <w:szCs w:val="18"/>
                <w:lang w:eastAsia="hr-HR"/>
              </w:rPr>
            </w:pPr>
            <w:r w:rsidRPr="00C779A5">
              <w:rPr>
                <w:rFonts w:ascii="Tahoma" w:eastAsia="Times New Roman" w:hAnsi="Tahoma" w:cs="Tahoma"/>
                <w:sz w:val="18"/>
                <w:szCs w:val="18"/>
                <w:lang w:eastAsia="hr-HR"/>
              </w:rPr>
              <w:t>0</w:t>
            </w:r>
          </w:p>
        </w:tc>
        <w:tc>
          <w:tcPr>
            <w:tcW w:w="467" w:type="dxa"/>
            <w:tcBorders>
              <w:top w:val="nil"/>
              <w:left w:val="nil"/>
              <w:bottom w:val="single" w:sz="4" w:space="0" w:color="auto"/>
              <w:right w:val="single" w:sz="4" w:space="0" w:color="auto"/>
            </w:tcBorders>
            <w:shd w:val="clear" w:color="000000" w:fill="FFFF00"/>
            <w:vAlign w:val="center"/>
            <w:hideMark/>
          </w:tcPr>
          <w:p w14:paraId="589C462A" w14:textId="77777777" w:rsidR="00C779A5" w:rsidRPr="00C779A5" w:rsidRDefault="00C779A5" w:rsidP="00C779A5">
            <w:pPr>
              <w:spacing w:after="0" w:line="240" w:lineRule="auto"/>
              <w:jc w:val="center"/>
              <w:rPr>
                <w:rFonts w:ascii="Tahoma" w:eastAsia="Times New Roman" w:hAnsi="Tahoma" w:cs="Tahoma"/>
                <w:sz w:val="18"/>
                <w:szCs w:val="18"/>
                <w:lang w:eastAsia="hr-HR"/>
              </w:rPr>
            </w:pPr>
            <w:r w:rsidRPr="00C779A5">
              <w:rPr>
                <w:rFonts w:ascii="Tahoma" w:eastAsia="Times New Roman" w:hAnsi="Tahoma" w:cs="Tahoma"/>
                <w:sz w:val="18"/>
                <w:szCs w:val="18"/>
                <w:lang w:eastAsia="hr-HR"/>
              </w:rPr>
              <w:t>1</w:t>
            </w:r>
          </w:p>
        </w:tc>
        <w:tc>
          <w:tcPr>
            <w:tcW w:w="877" w:type="dxa"/>
            <w:gridSpan w:val="2"/>
            <w:tcBorders>
              <w:top w:val="nil"/>
              <w:left w:val="nil"/>
              <w:bottom w:val="single" w:sz="4" w:space="0" w:color="auto"/>
              <w:right w:val="single" w:sz="4" w:space="0" w:color="auto"/>
            </w:tcBorders>
            <w:shd w:val="clear" w:color="000000" w:fill="FF9900"/>
            <w:vAlign w:val="center"/>
            <w:hideMark/>
          </w:tcPr>
          <w:p w14:paraId="7E3CACDE" w14:textId="77777777" w:rsidR="00C779A5" w:rsidRPr="00C779A5" w:rsidRDefault="00C779A5" w:rsidP="00C779A5">
            <w:pPr>
              <w:spacing w:after="0" w:line="240" w:lineRule="auto"/>
              <w:jc w:val="center"/>
              <w:rPr>
                <w:rFonts w:ascii="Tahoma" w:eastAsia="Times New Roman" w:hAnsi="Tahoma" w:cs="Tahoma"/>
                <w:sz w:val="18"/>
                <w:szCs w:val="18"/>
                <w:lang w:eastAsia="hr-HR"/>
              </w:rPr>
            </w:pPr>
            <w:r w:rsidRPr="00C779A5">
              <w:rPr>
                <w:rFonts w:ascii="Tahoma" w:eastAsia="Times New Roman" w:hAnsi="Tahoma" w:cs="Tahoma"/>
                <w:sz w:val="18"/>
                <w:szCs w:val="18"/>
                <w:lang w:eastAsia="hr-HR"/>
              </w:rPr>
              <w:t>7</w:t>
            </w:r>
          </w:p>
        </w:tc>
        <w:tc>
          <w:tcPr>
            <w:tcW w:w="576" w:type="dxa"/>
            <w:gridSpan w:val="2"/>
            <w:tcBorders>
              <w:top w:val="nil"/>
              <w:left w:val="nil"/>
              <w:bottom w:val="single" w:sz="4" w:space="0" w:color="auto"/>
              <w:right w:val="single" w:sz="4" w:space="0" w:color="auto"/>
            </w:tcBorders>
            <w:shd w:val="clear" w:color="000000" w:fill="FF9900"/>
            <w:vAlign w:val="center"/>
            <w:hideMark/>
          </w:tcPr>
          <w:p w14:paraId="78C0CB43" w14:textId="77777777" w:rsidR="00C779A5" w:rsidRPr="00C779A5" w:rsidRDefault="00C779A5" w:rsidP="00C779A5">
            <w:pPr>
              <w:spacing w:after="0" w:line="240" w:lineRule="auto"/>
              <w:jc w:val="center"/>
              <w:rPr>
                <w:rFonts w:ascii="Tahoma" w:eastAsia="Times New Roman" w:hAnsi="Tahoma" w:cs="Tahoma"/>
                <w:sz w:val="18"/>
                <w:szCs w:val="18"/>
                <w:lang w:eastAsia="hr-HR"/>
              </w:rPr>
            </w:pPr>
            <w:r w:rsidRPr="00C779A5">
              <w:rPr>
                <w:rFonts w:ascii="Tahoma" w:eastAsia="Times New Roman" w:hAnsi="Tahoma" w:cs="Tahoma"/>
                <w:sz w:val="18"/>
                <w:szCs w:val="18"/>
                <w:lang w:eastAsia="hr-HR"/>
              </w:rPr>
              <w:t>1</w:t>
            </w:r>
          </w:p>
        </w:tc>
        <w:tc>
          <w:tcPr>
            <w:tcW w:w="440" w:type="dxa"/>
            <w:tcBorders>
              <w:top w:val="nil"/>
              <w:left w:val="nil"/>
              <w:bottom w:val="single" w:sz="4" w:space="0" w:color="auto"/>
              <w:right w:val="single" w:sz="4" w:space="0" w:color="auto"/>
            </w:tcBorders>
            <w:shd w:val="clear" w:color="000000" w:fill="FF9900"/>
            <w:vAlign w:val="center"/>
            <w:hideMark/>
          </w:tcPr>
          <w:p w14:paraId="1742CB0B" w14:textId="77777777" w:rsidR="00C779A5" w:rsidRPr="00C779A5" w:rsidRDefault="00C779A5" w:rsidP="00C779A5">
            <w:pPr>
              <w:spacing w:after="0" w:line="240" w:lineRule="auto"/>
              <w:jc w:val="center"/>
              <w:rPr>
                <w:rFonts w:ascii="Tahoma" w:eastAsia="Times New Roman" w:hAnsi="Tahoma" w:cs="Tahoma"/>
                <w:sz w:val="18"/>
                <w:szCs w:val="18"/>
                <w:lang w:eastAsia="hr-HR"/>
              </w:rPr>
            </w:pPr>
            <w:r w:rsidRPr="00C779A5">
              <w:rPr>
                <w:rFonts w:ascii="Tahoma" w:eastAsia="Times New Roman" w:hAnsi="Tahoma" w:cs="Tahoma"/>
                <w:sz w:val="18"/>
                <w:szCs w:val="18"/>
                <w:lang w:eastAsia="hr-HR"/>
              </w:rPr>
              <w:t>0</w:t>
            </w:r>
          </w:p>
        </w:tc>
        <w:tc>
          <w:tcPr>
            <w:tcW w:w="793" w:type="dxa"/>
            <w:tcBorders>
              <w:top w:val="nil"/>
              <w:left w:val="nil"/>
              <w:bottom w:val="single" w:sz="4" w:space="0" w:color="auto"/>
              <w:right w:val="single" w:sz="4" w:space="0" w:color="auto"/>
            </w:tcBorders>
            <w:shd w:val="clear" w:color="000000" w:fill="FF9900"/>
            <w:vAlign w:val="center"/>
            <w:hideMark/>
          </w:tcPr>
          <w:p w14:paraId="787428A7" w14:textId="77777777" w:rsidR="00C779A5" w:rsidRPr="00C779A5" w:rsidRDefault="00C779A5" w:rsidP="00C779A5">
            <w:pPr>
              <w:spacing w:after="0" w:line="240" w:lineRule="auto"/>
              <w:jc w:val="center"/>
              <w:rPr>
                <w:rFonts w:ascii="Tahoma" w:eastAsia="Times New Roman" w:hAnsi="Tahoma" w:cs="Tahoma"/>
                <w:sz w:val="18"/>
                <w:szCs w:val="18"/>
                <w:lang w:eastAsia="hr-HR"/>
              </w:rPr>
            </w:pPr>
            <w:r w:rsidRPr="00C779A5">
              <w:rPr>
                <w:rFonts w:ascii="Tahoma" w:eastAsia="Times New Roman" w:hAnsi="Tahoma" w:cs="Tahoma"/>
                <w:sz w:val="18"/>
                <w:szCs w:val="18"/>
                <w:lang w:eastAsia="hr-HR"/>
              </w:rPr>
              <w:t>0</w:t>
            </w:r>
          </w:p>
        </w:tc>
        <w:tc>
          <w:tcPr>
            <w:tcW w:w="645" w:type="dxa"/>
            <w:gridSpan w:val="2"/>
            <w:tcBorders>
              <w:top w:val="nil"/>
              <w:left w:val="nil"/>
              <w:bottom w:val="single" w:sz="4" w:space="0" w:color="auto"/>
              <w:right w:val="single" w:sz="4" w:space="0" w:color="auto"/>
            </w:tcBorders>
            <w:shd w:val="clear" w:color="000000" w:fill="CCFFFF"/>
            <w:noWrap/>
            <w:vAlign w:val="bottom"/>
            <w:hideMark/>
          </w:tcPr>
          <w:p w14:paraId="1B488FB2" w14:textId="77777777" w:rsidR="00C779A5" w:rsidRPr="00C779A5" w:rsidRDefault="00C779A5" w:rsidP="00C779A5">
            <w:pPr>
              <w:spacing w:after="0" w:line="240" w:lineRule="auto"/>
              <w:jc w:val="right"/>
              <w:rPr>
                <w:rFonts w:ascii="Tahoma" w:eastAsia="Times New Roman" w:hAnsi="Tahoma" w:cs="Tahoma"/>
                <w:sz w:val="18"/>
                <w:szCs w:val="18"/>
                <w:lang w:eastAsia="hr-HR"/>
              </w:rPr>
            </w:pPr>
            <w:r w:rsidRPr="00C779A5">
              <w:rPr>
                <w:rFonts w:ascii="Tahoma" w:eastAsia="Times New Roman" w:hAnsi="Tahoma" w:cs="Tahoma"/>
                <w:sz w:val="18"/>
                <w:szCs w:val="18"/>
                <w:lang w:eastAsia="hr-HR"/>
              </w:rPr>
              <w:t>0</w:t>
            </w:r>
          </w:p>
        </w:tc>
        <w:tc>
          <w:tcPr>
            <w:tcW w:w="467" w:type="dxa"/>
            <w:tcBorders>
              <w:top w:val="nil"/>
              <w:left w:val="nil"/>
              <w:bottom w:val="single" w:sz="4" w:space="0" w:color="auto"/>
              <w:right w:val="single" w:sz="4" w:space="0" w:color="auto"/>
            </w:tcBorders>
            <w:shd w:val="clear" w:color="000000" w:fill="CCFFFF"/>
            <w:noWrap/>
            <w:vAlign w:val="bottom"/>
            <w:hideMark/>
          </w:tcPr>
          <w:p w14:paraId="49BD7169" w14:textId="77777777" w:rsidR="00C779A5" w:rsidRPr="00C779A5" w:rsidRDefault="00C779A5" w:rsidP="00C779A5">
            <w:pPr>
              <w:spacing w:after="0" w:line="240" w:lineRule="auto"/>
              <w:jc w:val="right"/>
              <w:rPr>
                <w:rFonts w:ascii="Tahoma" w:eastAsia="Times New Roman" w:hAnsi="Tahoma" w:cs="Tahoma"/>
                <w:sz w:val="18"/>
                <w:szCs w:val="18"/>
                <w:lang w:eastAsia="hr-HR"/>
              </w:rPr>
            </w:pPr>
            <w:r w:rsidRPr="00C779A5">
              <w:rPr>
                <w:rFonts w:ascii="Tahoma" w:eastAsia="Times New Roman" w:hAnsi="Tahoma" w:cs="Tahoma"/>
                <w:sz w:val="18"/>
                <w:szCs w:val="18"/>
                <w:lang w:eastAsia="hr-HR"/>
              </w:rPr>
              <w:t>1</w:t>
            </w:r>
          </w:p>
        </w:tc>
        <w:tc>
          <w:tcPr>
            <w:tcW w:w="467" w:type="dxa"/>
            <w:tcBorders>
              <w:top w:val="nil"/>
              <w:left w:val="nil"/>
              <w:bottom w:val="single" w:sz="4" w:space="0" w:color="auto"/>
              <w:right w:val="single" w:sz="4" w:space="0" w:color="auto"/>
            </w:tcBorders>
            <w:shd w:val="clear" w:color="000000" w:fill="CCFFFF"/>
            <w:noWrap/>
            <w:vAlign w:val="bottom"/>
            <w:hideMark/>
          </w:tcPr>
          <w:p w14:paraId="03B4A982" w14:textId="77777777" w:rsidR="00C779A5" w:rsidRPr="00C779A5" w:rsidRDefault="00C779A5" w:rsidP="00C779A5">
            <w:pPr>
              <w:spacing w:after="0" w:line="240" w:lineRule="auto"/>
              <w:jc w:val="right"/>
              <w:rPr>
                <w:rFonts w:ascii="Tahoma" w:eastAsia="Times New Roman" w:hAnsi="Tahoma" w:cs="Tahoma"/>
                <w:sz w:val="18"/>
                <w:szCs w:val="18"/>
                <w:lang w:eastAsia="hr-HR"/>
              </w:rPr>
            </w:pPr>
            <w:r w:rsidRPr="00C779A5">
              <w:rPr>
                <w:rFonts w:ascii="Tahoma" w:eastAsia="Times New Roman" w:hAnsi="Tahoma" w:cs="Tahoma"/>
                <w:sz w:val="18"/>
                <w:szCs w:val="18"/>
                <w:lang w:eastAsia="hr-HR"/>
              </w:rPr>
              <w:t>0</w:t>
            </w:r>
          </w:p>
        </w:tc>
        <w:tc>
          <w:tcPr>
            <w:tcW w:w="478" w:type="dxa"/>
            <w:gridSpan w:val="2"/>
            <w:tcBorders>
              <w:top w:val="nil"/>
              <w:left w:val="nil"/>
              <w:bottom w:val="single" w:sz="4" w:space="0" w:color="auto"/>
              <w:right w:val="nil"/>
            </w:tcBorders>
            <w:shd w:val="clear" w:color="000000" w:fill="33CCCC"/>
            <w:noWrap/>
            <w:vAlign w:val="bottom"/>
            <w:hideMark/>
          </w:tcPr>
          <w:p w14:paraId="44D783F8" w14:textId="77777777" w:rsidR="00C779A5" w:rsidRPr="00C779A5" w:rsidRDefault="00C779A5" w:rsidP="00C779A5">
            <w:pPr>
              <w:spacing w:after="0" w:line="240" w:lineRule="auto"/>
              <w:jc w:val="right"/>
              <w:rPr>
                <w:rFonts w:ascii="Tahoma" w:eastAsia="Times New Roman" w:hAnsi="Tahoma" w:cs="Tahoma"/>
                <w:sz w:val="18"/>
                <w:szCs w:val="18"/>
                <w:lang w:eastAsia="hr-HR"/>
              </w:rPr>
            </w:pPr>
            <w:r w:rsidRPr="00C779A5">
              <w:rPr>
                <w:rFonts w:ascii="Tahoma" w:eastAsia="Times New Roman" w:hAnsi="Tahoma" w:cs="Tahoma"/>
                <w:sz w:val="18"/>
                <w:szCs w:val="18"/>
                <w:lang w:eastAsia="hr-HR"/>
              </w:rPr>
              <w:t>0</w:t>
            </w:r>
          </w:p>
        </w:tc>
        <w:tc>
          <w:tcPr>
            <w:tcW w:w="876" w:type="dxa"/>
            <w:tcBorders>
              <w:top w:val="nil"/>
              <w:left w:val="single" w:sz="4" w:space="0" w:color="auto"/>
              <w:bottom w:val="single" w:sz="4" w:space="0" w:color="auto"/>
              <w:right w:val="single" w:sz="8" w:space="0" w:color="auto"/>
            </w:tcBorders>
            <w:shd w:val="clear" w:color="000000" w:fill="33CCCC"/>
            <w:noWrap/>
            <w:vAlign w:val="bottom"/>
            <w:hideMark/>
          </w:tcPr>
          <w:p w14:paraId="1AEE8D39" w14:textId="77777777" w:rsidR="00C779A5" w:rsidRPr="00C779A5" w:rsidRDefault="00C779A5" w:rsidP="00C779A5">
            <w:pPr>
              <w:spacing w:after="0" w:line="240" w:lineRule="auto"/>
              <w:jc w:val="right"/>
              <w:rPr>
                <w:rFonts w:ascii="Tahoma" w:eastAsia="Times New Roman" w:hAnsi="Tahoma" w:cs="Tahoma"/>
                <w:sz w:val="18"/>
                <w:szCs w:val="18"/>
                <w:lang w:eastAsia="hr-HR"/>
              </w:rPr>
            </w:pPr>
            <w:r w:rsidRPr="00C779A5">
              <w:rPr>
                <w:rFonts w:ascii="Tahoma" w:eastAsia="Times New Roman" w:hAnsi="Tahoma" w:cs="Tahoma"/>
                <w:sz w:val="18"/>
                <w:szCs w:val="18"/>
                <w:lang w:eastAsia="hr-HR"/>
              </w:rPr>
              <w:t>1</w:t>
            </w:r>
          </w:p>
        </w:tc>
        <w:tc>
          <w:tcPr>
            <w:tcW w:w="236" w:type="dxa"/>
            <w:gridSpan w:val="3"/>
            <w:vAlign w:val="center"/>
            <w:hideMark/>
          </w:tcPr>
          <w:p w14:paraId="4CAC8C2A" w14:textId="77777777" w:rsidR="00C779A5" w:rsidRPr="00C779A5" w:rsidRDefault="00C779A5" w:rsidP="00C779A5">
            <w:pPr>
              <w:spacing w:after="0" w:line="240" w:lineRule="auto"/>
              <w:rPr>
                <w:rFonts w:ascii="Times New Roman" w:eastAsia="Times New Roman" w:hAnsi="Times New Roman" w:cs="Times New Roman"/>
                <w:sz w:val="18"/>
                <w:szCs w:val="18"/>
                <w:lang w:eastAsia="hr-HR"/>
              </w:rPr>
            </w:pPr>
          </w:p>
        </w:tc>
      </w:tr>
      <w:tr w:rsidR="00C779A5" w:rsidRPr="00C779A5" w14:paraId="216A98E9" w14:textId="77777777" w:rsidTr="00C779A5">
        <w:trPr>
          <w:gridAfter w:val="2"/>
          <w:wAfter w:w="149" w:type="dxa"/>
          <w:trHeight w:val="300"/>
        </w:trPr>
        <w:tc>
          <w:tcPr>
            <w:tcW w:w="1567" w:type="dxa"/>
            <w:tcBorders>
              <w:top w:val="single" w:sz="4" w:space="0" w:color="auto"/>
              <w:left w:val="single" w:sz="8" w:space="0" w:color="auto"/>
              <w:bottom w:val="single" w:sz="4" w:space="0" w:color="auto"/>
              <w:right w:val="single" w:sz="4" w:space="0" w:color="auto"/>
            </w:tcBorders>
            <w:shd w:val="clear" w:color="000000" w:fill="CCFFCC"/>
            <w:vAlign w:val="center"/>
            <w:hideMark/>
          </w:tcPr>
          <w:p w14:paraId="5150A529" w14:textId="77777777" w:rsidR="00C779A5" w:rsidRPr="00C779A5" w:rsidRDefault="00C779A5" w:rsidP="00C779A5">
            <w:pPr>
              <w:spacing w:after="0" w:line="240" w:lineRule="auto"/>
              <w:rPr>
                <w:rFonts w:ascii="Tahoma" w:eastAsia="Times New Roman" w:hAnsi="Tahoma" w:cs="Tahoma"/>
                <w:sz w:val="18"/>
                <w:szCs w:val="18"/>
                <w:lang w:eastAsia="hr-HR"/>
              </w:rPr>
            </w:pPr>
            <w:r w:rsidRPr="00C779A5">
              <w:rPr>
                <w:rFonts w:ascii="Tahoma" w:eastAsia="Times New Roman" w:hAnsi="Tahoma" w:cs="Tahoma"/>
                <w:sz w:val="18"/>
                <w:szCs w:val="18"/>
                <w:lang w:eastAsia="hr-HR"/>
              </w:rPr>
              <w:t>Spol</w:t>
            </w:r>
          </w:p>
        </w:tc>
        <w:tc>
          <w:tcPr>
            <w:tcW w:w="557" w:type="dxa"/>
            <w:tcBorders>
              <w:top w:val="nil"/>
              <w:left w:val="nil"/>
              <w:bottom w:val="single" w:sz="4" w:space="0" w:color="auto"/>
              <w:right w:val="single" w:sz="4" w:space="0" w:color="auto"/>
            </w:tcBorders>
            <w:shd w:val="clear" w:color="000000" w:fill="FFCC99"/>
            <w:noWrap/>
            <w:vAlign w:val="bottom"/>
            <w:hideMark/>
          </w:tcPr>
          <w:p w14:paraId="1DDD004C" w14:textId="77777777" w:rsidR="00C779A5" w:rsidRPr="00C779A5" w:rsidRDefault="00C779A5" w:rsidP="00C779A5">
            <w:pPr>
              <w:spacing w:after="0" w:line="240" w:lineRule="auto"/>
              <w:jc w:val="center"/>
              <w:rPr>
                <w:rFonts w:ascii="Tahoma" w:eastAsia="Times New Roman" w:hAnsi="Tahoma" w:cs="Tahoma"/>
                <w:sz w:val="18"/>
                <w:szCs w:val="18"/>
                <w:lang w:eastAsia="hr-HR"/>
              </w:rPr>
            </w:pPr>
            <w:r w:rsidRPr="00C779A5">
              <w:rPr>
                <w:rFonts w:ascii="Tahoma" w:eastAsia="Times New Roman" w:hAnsi="Tahoma" w:cs="Tahoma"/>
                <w:sz w:val="18"/>
                <w:szCs w:val="18"/>
                <w:lang w:eastAsia="hr-HR"/>
              </w:rPr>
              <w:t>15</w:t>
            </w:r>
          </w:p>
        </w:tc>
        <w:tc>
          <w:tcPr>
            <w:tcW w:w="444" w:type="dxa"/>
            <w:tcBorders>
              <w:top w:val="nil"/>
              <w:left w:val="nil"/>
              <w:bottom w:val="single" w:sz="4" w:space="0" w:color="auto"/>
              <w:right w:val="single" w:sz="4" w:space="0" w:color="auto"/>
            </w:tcBorders>
            <w:shd w:val="clear" w:color="000000" w:fill="FFFF00"/>
            <w:noWrap/>
            <w:vAlign w:val="bottom"/>
            <w:hideMark/>
          </w:tcPr>
          <w:p w14:paraId="42611463" w14:textId="77777777" w:rsidR="00C779A5" w:rsidRPr="00C779A5" w:rsidRDefault="00C779A5" w:rsidP="00C779A5">
            <w:pPr>
              <w:spacing w:after="0" w:line="240" w:lineRule="auto"/>
              <w:jc w:val="center"/>
              <w:rPr>
                <w:rFonts w:ascii="Tahoma" w:eastAsia="Times New Roman" w:hAnsi="Tahoma" w:cs="Tahoma"/>
                <w:sz w:val="18"/>
                <w:szCs w:val="18"/>
                <w:lang w:eastAsia="hr-HR"/>
              </w:rPr>
            </w:pPr>
            <w:r w:rsidRPr="00C779A5">
              <w:rPr>
                <w:rFonts w:ascii="Tahoma" w:eastAsia="Times New Roman" w:hAnsi="Tahoma" w:cs="Tahoma"/>
                <w:sz w:val="18"/>
                <w:szCs w:val="18"/>
                <w:lang w:eastAsia="hr-HR"/>
              </w:rPr>
              <w:t>3</w:t>
            </w:r>
          </w:p>
        </w:tc>
        <w:tc>
          <w:tcPr>
            <w:tcW w:w="399" w:type="dxa"/>
            <w:tcBorders>
              <w:top w:val="nil"/>
              <w:left w:val="nil"/>
              <w:bottom w:val="single" w:sz="4" w:space="0" w:color="auto"/>
              <w:right w:val="single" w:sz="4" w:space="0" w:color="auto"/>
            </w:tcBorders>
            <w:shd w:val="clear" w:color="000000" w:fill="CCFFFF"/>
            <w:noWrap/>
            <w:vAlign w:val="bottom"/>
            <w:hideMark/>
          </w:tcPr>
          <w:p w14:paraId="2157FD52" w14:textId="77777777" w:rsidR="00C779A5" w:rsidRPr="00C779A5" w:rsidRDefault="00C779A5" w:rsidP="00C779A5">
            <w:pPr>
              <w:spacing w:after="0" w:line="240" w:lineRule="auto"/>
              <w:jc w:val="right"/>
              <w:rPr>
                <w:rFonts w:ascii="Tahoma" w:eastAsia="Times New Roman" w:hAnsi="Tahoma" w:cs="Tahoma"/>
                <w:sz w:val="18"/>
                <w:szCs w:val="18"/>
                <w:lang w:eastAsia="hr-HR"/>
              </w:rPr>
            </w:pPr>
            <w:r w:rsidRPr="00C779A5">
              <w:rPr>
                <w:rFonts w:ascii="Tahoma" w:eastAsia="Times New Roman" w:hAnsi="Tahoma" w:cs="Tahoma"/>
                <w:sz w:val="18"/>
                <w:szCs w:val="18"/>
                <w:lang w:eastAsia="hr-HR"/>
              </w:rPr>
              <w:t>3</w:t>
            </w:r>
          </w:p>
        </w:tc>
        <w:tc>
          <w:tcPr>
            <w:tcW w:w="425" w:type="dxa"/>
            <w:tcBorders>
              <w:top w:val="nil"/>
              <w:left w:val="nil"/>
              <w:bottom w:val="single" w:sz="4" w:space="0" w:color="auto"/>
              <w:right w:val="single" w:sz="4" w:space="0" w:color="auto"/>
            </w:tcBorders>
            <w:shd w:val="clear" w:color="000000" w:fill="CCFFFF"/>
            <w:noWrap/>
            <w:vAlign w:val="bottom"/>
            <w:hideMark/>
          </w:tcPr>
          <w:p w14:paraId="479E0715" w14:textId="77777777" w:rsidR="00C779A5" w:rsidRPr="00C779A5" w:rsidRDefault="00C779A5" w:rsidP="00C779A5">
            <w:pPr>
              <w:spacing w:after="0" w:line="240" w:lineRule="auto"/>
              <w:jc w:val="right"/>
              <w:rPr>
                <w:rFonts w:ascii="Tahoma" w:eastAsia="Times New Roman" w:hAnsi="Tahoma" w:cs="Tahoma"/>
                <w:sz w:val="18"/>
                <w:szCs w:val="18"/>
                <w:lang w:eastAsia="hr-HR"/>
              </w:rPr>
            </w:pPr>
            <w:r w:rsidRPr="00C779A5">
              <w:rPr>
                <w:rFonts w:ascii="Tahoma" w:eastAsia="Times New Roman" w:hAnsi="Tahoma" w:cs="Tahoma"/>
                <w:sz w:val="18"/>
                <w:szCs w:val="18"/>
                <w:lang w:eastAsia="hr-HR"/>
              </w:rPr>
              <w:t>0</w:t>
            </w:r>
          </w:p>
        </w:tc>
        <w:tc>
          <w:tcPr>
            <w:tcW w:w="574" w:type="dxa"/>
            <w:tcBorders>
              <w:top w:val="nil"/>
              <w:left w:val="nil"/>
              <w:bottom w:val="single" w:sz="4" w:space="0" w:color="auto"/>
              <w:right w:val="single" w:sz="4" w:space="0" w:color="auto"/>
            </w:tcBorders>
            <w:shd w:val="clear" w:color="000000" w:fill="FFFF99"/>
            <w:noWrap/>
            <w:vAlign w:val="bottom"/>
            <w:hideMark/>
          </w:tcPr>
          <w:p w14:paraId="148297BC" w14:textId="77777777" w:rsidR="00C779A5" w:rsidRPr="00C779A5" w:rsidRDefault="00C779A5" w:rsidP="00C779A5">
            <w:pPr>
              <w:spacing w:after="0" w:line="240" w:lineRule="auto"/>
              <w:jc w:val="center"/>
              <w:rPr>
                <w:rFonts w:ascii="Tahoma" w:eastAsia="Times New Roman" w:hAnsi="Tahoma" w:cs="Tahoma"/>
                <w:sz w:val="18"/>
                <w:szCs w:val="18"/>
                <w:lang w:eastAsia="hr-HR"/>
              </w:rPr>
            </w:pPr>
            <w:r w:rsidRPr="00C779A5">
              <w:rPr>
                <w:rFonts w:ascii="Tahoma" w:eastAsia="Times New Roman" w:hAnsi="Tahoma" w:cs="Tahoma"/>
                <w:sz w:val="18"/>
                <w:szCs w:val="18"/>
                <w:lang w:eastAsia="hr-HR"/>
              </w:rPr>
              <w:t>2</w:t>
            </w:r>
          </w:p>
        </w:tc>
        <w:tc>
          <w:tcPr>
            <w:tcW w:w="706" w:type="dxa"/>
            <w:tcBorders>
              <w:top w:val="nil"/>
              <w:left w:val="nil"/>
              <w:bottom w:val="single" w:sz="4" w:space="0" w:color="auto"/>
              <w:right w:val="single" w:sz="4" w:space="0" w:color="auto"/>
            </w:tcBorders>
            <w:shd w:val="clear" w:color="000000" w:fill="FFFF99"/>
            <w:noWrap/>
            <w:vAlign w:val="bottom"/>
            <w:hideMark/>
          </w:tcPr>
          <w:p w14:paraId="7103B85F" w14:textId="77777777" w:rsidR="00C779A5" w:rsidRPr="00C779A5" w:rsidRDefault="00C779A5" w:rsidP="00C779A5">
            <w:pPr>
              <w:spacing w:after="0" w:line="240" w:lineRule="auto"/>
              <w:jc w:val="center"/>
              <w:rPr>
                <w:rFonts w:ascii="Tahoma" w:eastAsia="Times New Roman" w:hAnsi="Tahoma" w:cs="Tahoma"/>
                <w:sz w:val="18"/>
                <w:szCs w:val="18"/>
                <w:lang w:eastAsia="hr-HR"/>
              </w:rPr>
            </w:pPr>
            <w:r w:rsidRPr="00C779A5">
              <w:rPr>
                <w:rFonts w:ascii="Tahoma" w:eastAsia="Times New Roman" w:hAnsi="Tahoma" w:cs="Tahoma"/>
                <w:sz w:val="18"/>
                <w:szCs w:val="18"/>
                <w:lang w:eastAsia="hr-HR"/>
              </w:rPr>
              <w:t>0</w:t>
            </w:r>
          </w:p>
        </w:tc>
        <w:tc>
          <w:tcPr>
            <w:tcW w:w="565" w:type="dxa"/>
            <w:tcBorders>
              <w:top w:val="nil"/>
              <w:left w:val="nil"/>
              <w:bottom w:val="single" w:sz="4" w:space="0" w:color="auto"/>
              <w:right w:val="single" w:sz="4" w:space="0" w:color="auto"/>
            </w:tcBorders>
            <w:shd w:val="clear" w:color="000000" w:fill="FFFF99"/>
            <w:noWrap/>
            <w:vAlign w:val="bottom"/>
            <w:hideMark/>
          </w:tcPr>
          <w:p w14:paraId="36C513BE" w14:textId="77777777" w:rsidR="00C779A5" w:rsidRPr="00C779A5" w:rsidRDefault="00C779A5" w:rsidP="00C779A5">
            <w:pPr>
              <w:spacing w:after="0" w:line="240" w:lineRule="auto"/>
              <w:jc w:val="center"/>
              <w:rPr>
                <w:rFonts w:ascii="Tahoma" w:eastAsia="Times New Roman" w:hAnsi="Tahoma" w:cs="Tahoma"/>
                <w:sz w:val="18"/>
                <w:szCs w:val="18"/>
                <w:lang w:eastAsia="hr-HR"/>
              </w:rPr>
            </w:pPr>
            <w:r w:rsidRPr="00C779A5">
              <w:rPr>
                <w:rFonts w:ascii="Tahoma" w:eastAsia="Times New Roman" w:hAnsi="Tahoma" w:cs="Tahoma"/>
                <w:sz w:val="18"/>
                <w:szCs w:val="18"/>
                <w:lang w:eastAsia="hr-HR"/>
              </w:rPr>
              <w:t>2</w:t>
            </w:r>
          </w:p>
        </w:tc>
        <w:tc>
          <w:tcPr>
            <w:tcW w:w="565" w:type="dxa"/>
            <w:tcBorders>
              <w:top w:val="nil"/>
              <w:left w:val="nil"/>
              <w:bottom w:val="single" w:sz="4" w:space="0" w:color="auto"/>
              <w:right w:val="single" w:sz="4" w:space="0" w:color="auto"/>
            </w:tcBorders>
            <w:shd w:val="clear" w:color="000000" w:fill="FFFF99"/>
            <w:noWrap/>
            <w:vAlign w:val="bottom"/>
            <w:hideMark/>
          </w:tcPr>
          <w:p w14:paraId="419323FC" w14:textId="77777777" w:rsidR="00C779A5" w:rsidRPr="00C779A5" w:rsidRDefault="00C779A5" w:rsidP="00C779A5">
            <w:pPr>
              <w:spacing w:after="0" w:line="240" w:lineRule="auto"/>
              <w:jc w:val="center"/>
              <w:rPr>
                <w:rFonts w:ascii="Tahoma" w:eastAsia="Times New Roman" w:hAnsi="Tahoma" w:cs="Tahoma"/>
                <w:sz w:val="18"/>
                <w:szCs w:val="18"/>
                <w:lang w:eastAsia="hr-HR"/>
              </w:rPr>
            </w:pPr>
            <w:r w:rsidRPr="00C779A5">
              <w:rPr>
                <w:rFonts w:ascii="Tahoma" w:eastAsia="Times New Roman" w:hAnsi="Tahoma" w:cs="Tahoma"/>
                <w:sz w:val="18"/>
                <w:szCs w:val="18"/>
                <w:lang w:eastAsia="hr-HR"/>
              </w:rPr>
              <w:t>0</w:t>
            </w:r>
          </w:p>
        </w:tc>
        <w:tc>
          <w:tcPr>
            <w:tcW w:w="467" w:type="dxa"/>
            <w:tcBorders>
              <w:top w:val="nil"/>
              <w:left w:val="nil"/>
              <w:bottom w:val="single" w:sz="4" w:space="0" w:color="auto"/>
              <w:right w:val="single" w:sz="4" w:space="0" w:color="auto"/>
            </w:tcBorders>
            <w:shd w:val="clear" w:color="000000" w:fill="FFFF99"/>
            <w:noWrap/>
            <w:vAlign w:val="bottom"/>
            <w:hideMark/>
          </w:tcPr>
          <w:p w14:paraId="44D84AB8" w14:textId="77777777" w:rsidR="00C779A5" w:rsidRPr="00C779A5" w:rsidRDefault="00C779A5" w:rsidP="00C779A5">
            <w:pPr>
              <w:spacing w:after="0" w:line="240" w:lineRule="auto"/>
              <w:jc w:val="center"/>
              <w:rPr>
                <w:rFonts w:ascii="Tahoma" w:eastAsia="Times New Roman" w:hAnsi="Tahoma" w:cs="Tahoma"/>
                <w:sz w:val="18"/>
                <w:szCs w:val="18"/>
                <w:lang w:eastAsia="hr-HR"/>
              </w:rPr>
            </w:pPr>
            <w:r w:rsidRPr="00C779A5">
              <w:rPr>
                <w:rFonts w:ascii="Tahoma" w:eastAsia="Times New Roman" w:hAnsi="Tahoma" w:cs="Tahoma"/>
                <w:sz w:val="18"/>
                <w:szCs w:val="18"/>
                <w:lang w:eastAsia="hr-HR"/>
              </w:rPr>
              <w:t>0</w:t>
            </w:r>
          </w:p>
        </w:tc>
        <w:tc>
          <w:tcPr>
            <w:tcW w:w="805" w:type="dxa"/>
            <w:tcBorders>
              <w:top w:val="nil"/>
              <w:left w:val="nil"/>
              <w:bottom w:val="single" w:sz="4" w:space="0" w:color="auto"/>
              <w:right w:val="single" w:sz="4" w:space="0" w:color="auto"/>
            </w:tcBorders>
            <w:shd w:val="clear" w:color="000000" w:fill="FFFF99"/>
            <w:noWrap/>
            <w:vAlign w:val="bottom"/>
            <w:hideMark/>
          </w:tcPr>
          <w:p w14:paraId="38B75C52" w14:textId="77777777" w:rsidR="00C779A5" w:rsidRPr="00C779A5" w:rsidRDefault="00C779A5" w:rsidP="00C779A5">
            <w:pPr>
              <w:spacing w:after="0" w:line="240" w:lineRule="auto"/>
              <w:jc w:val="center"/>
              <w:rPr>
                <w:rFonts w:ascii="Tahoma" w:eastAsia="Times New Roman" w:hAnsi="Tahoma" w:cs="Tahoma"/>
                <w:sz w:val="18"/>
                <w:szCs w:val="18"/>
                <w:lang w:eastAsia="hr-HR"/>
              </w:rPr>
            </w:pPr>
            <w:r w:rsidRPr="00C779A5">
              <w:rPr>
                <w:rFonts w:ascii="Tahoma" w:eastAsia="Times New Roman" w:hAnsi="Tahoma" w:cs="Tahoma"/>
                <w:sz w:val="18"/>
                <w:szCs w:val="18"/>
                <w:lang w:eastAsia="hr-HR"/>
              </w:rPr>
              <w:t>0</w:t>
            </w:r>
          </w:p>
        </w:tc>
        <w:tc>
          <w:tcPr>
            <w:tcW w:w="467" w:type="dxa"/>
            <w:gridSpan w:val="2"/>
            <w:tcBorders>
              <w:top w:val="nil"/>
              <w:left w:val="nil"/>
              <w:bottom w:val="single" w:sz="4" w:space="0" w:color="auto"/>
              <w:right w:val="single" w:sz="4" w:space="0" w:color="auto"/>
            </w:tcBorders>
            <w:shd w:val="clear" w:color="000000" w:fill="FF9900"/>
            <w:noWrap/>
            <w:vAlign w:val="bottom"/>
            <w:hideMark/>
          </w:tcPr>
          <w:p w14:paraId="6D5D89B5" w14:textId="77777777" w:rsidR="00C779A5" w:rsidRPr="00C779A5" w:rsidRDefault="00C779A5" w:rsidP="00C779A5">
            <w:pPr>
              <w:spacing w:after="0" w:line="240" w:lineRule="auto"/>
              <w:jc w:val="right"/>
              <w:rPr>
                <w:rFonts w:ascii="Tahoma" w:eastAsia="Times New Roman" w:hAnsi="Tahoma" w:cs="Tahoma"/>
                <w:sz w:val="18"/>
                <w:szCs w:val="18"/>
                <w:lang w:eastAsia="hr-HR"/>
              </w:rPr>
            </w:pPr>
            <w:r w:rsidRPr="00C779A5">
              <w:rPr>
                <w:rFonts w:ascii="Tahoma" w:eastAsia="Times New Roman" w:hAnsi="Tahoma" w:cs="Tahoma"/>
                <w:sz w:val="18"/>
                <w:szCs w:val="18"/>
                <w:lang w:eastAsia="hr-HR"/>
              </w:rPr>
              <w:t>0</w:t>
            </w:r>
          </w:p>
        </w:tc>
        <w:tc>
          <w:tcPr>
            <w:tcW w:w="522" w:type="dxa"/>
            <w:tcBorders>
              <w:top w:val="nil"/>
              <w:left w:val="nil"/>
              <w:bottom w:val="single" w:sz="4" w:space="0" w:color="auto"/>
              <w:right w:val="single" w:sz="4" w:space="0" w:color="auto"/>
            </w:tcBorders>
            <w:shd w:val="clear" w:color="000000" w:fill="FF9900"/>
            <w:noWrap/>
            <w:vAlign w:val="bottom"/>
            <w:hideMark/>
          </w:tcPr>
          <w:p w14:paraId="3878CF61" w14:textId="77777777" w:rsidR="00C779A5" w:rsidRPr="00C779A5" w:rsidRDefault="00C779A5" w:rsidP="00C779A5">
            <w:pPr>
              <w:spacing w:after="0" w:line="240" w:lineRule="auto"/>
              <w:jc w:val="right"/>
              <w:rPr>
                <w:rFonts w:ascii="Tahoma" w:eastAsia="Times New Roman" w:hAnsi="Tahoma" w:cs="Tahoma"/>
                <w:sz w:val="18"/>
                <w:szCs w:val="18"/>
                <w:lang w:eastAsia="hr-HR"/>
              </w:rPr>
            </w:pPr>
            <w:r w:rsidRPr="00C779A5">
              <w:rPr>
                <w:rFonts w:ascii="Tahoma" w:eastAsia="Times New Roman" w:hAnsi="Tahoma" w:cs="Tahoma"/>
                <w:sz w:val="18"/>
                <w:szCs w:val="18"/>
                <w:lang w:eastAsia="hr-HR"/>
              </w:rPr>
              <w:t>3</w:t>
            </w:r>
          </w:p>
        </w:tc>
        <w:tc>
          <w:tcPr>
            <w:tcW w:w="467" w:type="dxa"/>
            <w:tcBorders>
              <w:top w:val="nil"/>
              <w:left w:val="nil"/>
              <w:bottom w:val="single" w:sz="4" w:space="0" w:color="auto"/>
              <w:right w:val="single" w:sz="4" w:space="0" w:color="auto"/>
            </w:tcBorders>
            <w:shd w:val="clear" w:color="000000" w:fill="FF9900"/>
            <w:noWrap/>
            <w:vAlign w:val="bottom"/>
            <w:hideMark/>
          </w:tcPr>
          <w:p w14:paraId="0DB88200" w14:textId="77777777" w:rsidR="00C779A5" w:rsidRPr="00C779A5" w:rsidRDefault="00C779A5" w:rsidP="00C779A5">
            <w:pPr>
              <w:spacing w:after="0" w:line="240" w:lineRule="auto"/>
              <w:jc w:val="right"/>
              <w:rPr>
                <w:rFonts w:ascii="Tahoma" w:eastAsia="Times New Roman" w:hAnsi="Tahoma" w:cs="Tahoma"/>
                <w:sz w:val="18"/>
                <w:szCs w:val="18"/>
                <w:lang w:eastAsia="hr-HR"/>
              </w:rPr>
            </w:pPr>
            <w:r w:rsidRPr="00C779A5">
              <w:rPr>
                <w:rFonts w:ascii="Tahoma" w:eastAsia="Times New Roman" w:hAnsi="Tahoma" w:cs="Tahoma"/>
                <w:sz w:val="18"/>
                <w:szCs w:val="18"/>
                <w:lang w:eastAsia="hr-HR"/>
              </w:rPr>
              <w:t>1</w:t>
            </w:r>
          </w:p>
        </w:tc>
        <w:tc>
          <w:tcPr>
            <w:tcW w:w="467" w:type="dxa"/>
            <w:tcBorders>
              <w:top w:val="nil"/>
              <w:left w:val="nil"/>
              <w:bottom w:val="single" w:sz="4" w:space="0" w:color="auto"/>
              <w:right w:val="single" w:sz="4" w:space="0" w:color="auto"/>
            </w:tcBorders>
            <w:shd w:val="clear" w:color="000000" w:fill="FFFF00"/>
            <w:vAlign w:val="center"/>
            <w:hideMark/>
          </w:tcPr>
          <w:p w14:paraId="7A5FF198" w14:textId="77777777" w:rsidR="00C779A5" w:rsidRPr="00C779A5" w:rsidRDefault="00C779A5" w:rsidP="00C779A5">
            <w:pPr>
              <w:spacing w:after="0" w:line="240" w:lineRule="auto"/>
              <w:jc w:val="center"/>
              <w:rPr>
                <w:rFonts w:ascii="Tahoma" w:eastAsia="Times New Roman" w:hAnsi="Tahoma" w:cs="Tahoma"/>
                <w:sz w:val="18"/>
                <w:szCs w:val="18"/>
                <w:lang w:eastAsia="hr-HR"/>
              </w:rPr>
            </w:pPr>
            <w:r w:rsidRPr="00C779A5">
              <w:rPr>
                <w:rFonts w:ascii="Tahoma" w:eastAsia="Times New Roman" w:hAnsi="Tahoma" w:cs="Tahoma"/>
                <w:sz w:val="18"/>
                <w:szCs w:val="18"/>
                <w:lang w:eastAsia="hr-HR"/>
              </w:rPr>
              <w:t>4</w:t>
            </w:r>
          </w:p>
        </w:tc>
        <w:tc>
          <w:tcPr>
            <w:tcW w:w="877" w:type="dxa"/>
            <w:gridSpan w:val="2"/>
            <w:tcBorders>
              <w:top w:val="nil"/>
              <w:left w:val="nil"/>
              <w:bottom w:val="single" w:sz="4" w:space="0" w:color="auto"/>
              <w:right w:val="single" w:sz="4" w:space="0" w:color="auto"/>
            </w:tcBorders>
            <w:shd w:val="clear" w:color="000000" w:fill="FF9900"/>
            <w:vAlign w:val="center"/>
            <w:hideMark/>
          </w:tcPr>
          <w:p w14:paraId="4DC44BE1" w14:textId="77777777" w:rsidR="00C779A5" w:rsidRPr="00C779A5" w:rsidRDefault="00C779A5" w:rsidP="00C779A5">
            <w:pPr>
              <w:spacing w:after="0" w:line="240" w:lineRule="auto"/>
              <w:jc w:val="center"/>
              <w:rPr>
                <w:rFonts w:ascii="Tahoma" w:eastAsia="Times New Roman" w:hAnsi="Tahoma" w:cs="Tahoma"/>
                <w:sz w:val="18"/>
                <w:szCs w:val="18"/>
                <w:lang w:eastAsia="hr-HR"/>
              </w:rPr>
            </w:pPr>
            <w:r w:rsidRPr="00C779A5">
              <w:rPr>
                <w:rFonts w:ascii="Tahoma" w:eastAsia="Times New Roman" w:hAnsi="Tahoma" w:cs="Tahoma"/>
                <w:sz w:val="18"/>
                <w:szCs w:val="18"/>
                <w:lang w:eastAsia="hr-HR"/>
              </w:rPr>
              <w:t>14</w:t>
            </w:r>
          </w:p>
        </w:tc>
        <w:tc>
          <w:tcPr>
            <w:tcW w:w="576" w:type="dxa"/>
            <w:gridSpan w:val="2"/>
            <w:tcBorders>
              <w:top w:val="nil"/>
              <w:left w:val="nil"/>
              <w:bottom w:val="single" w:sz="4" w:space="0" w:color="auto"/>
              <w:right w:val="single" w:sz="4" w:space="0" w:color="auto"/>
            </w:tcBorders>
            <w:shd w:val="clear" w:color="000000" w:fill="FF9900"/>
            <w:vAlign w:val="center"/>
            <w:hideMark/>
          </w:tcPr>
          <w:p w14:paraId="7E9FD3B9" w14:textId="77777777" w:rsidR="00C779A5" w:rsidRPr="00C779A5" w:rsidRDefault="00C779A5" w:rsidP="00C779A5">
            <w:pPr>
              <w:spacing w:after="0" w:line="240" w:lineRule="auto"/>
              <w:jc w:val="center"/>
              <w:rPr>
                <w:rFonts w:ascii="Tahoma" w:eastAsia="Times New Roman" w:hAnsi="Tahoma" w:cs="Tahoma"/>
                <w:sz w:val="18"/>
                <w:szCs w:val="18"/>
                <w:lang w:eastAsia="hr-HR"/>
              </w:rPr>
            </w:pPr>
            <w:r w:rsidRPr="00C779A5">
              <w:rPr>
                <w:rFonts w:ascii="Tahoma" w:eastAsia="Times New Roman" w:hAnsi="Tahoma" w:cs="Tahoma"/>
                <w:sz w:val="18"/>
                <w:szCs w:val="18"/>
                <w:lang w:eastAsia="hr-HR"/>
              </w:rPr>
              <w:t>4</w:t>
            </w:r>
          </w:p>
        </w:tc>
        <w:tc>
          <w:tcPr>
            <w:tcW w:w="440" w:type="dxa"/>
            <w:tcBorders>
              <w:top w:val="nil"/>
              <w:left w:val="nil"/>
              <w:bottom w:val="single" w:sz="4" w:space="0" w:color="auto"/>
              <w:right w:val="single" w:sz="4" w:space="0" w:color="auto"/>
            </w:tcBorders>
            <w:shd w:val="clear" w:color="000000" w:fill="FF9900"/>
            <w:vAlign w:val="center"/>
            <w:hideMark/>
          </w:tcPr>
          <w:p w14:paraId="548A4A01" w14:textId="77777777" w:rsidR="00C779A5" w:rsidRPr="00C779A5" w:rsidRDefault="00C779A5" w:rsidP="00C779A5">
            <w:pPr>
              <w:spacing w:after="0" w:line="240" w:lineRule="auto"/>
              <w:jc w:val="center"/>
              <w:rPr>
                <w:rFonts w:ascii="Tahoma" w:eastAsia="Times New Roman" w:hAnsi="Tahoma" w:cs="Tahoma"/>
                <w:sz w:val="18"/>
                <w:szCs w:val="18"/>
                <w:lang w:eastAsia="hr-HR"/>
              </w:rPr>
            </w:pPr>
            <w:r w:rsidRPr="00C779A5">
              <w:rPr>
                <w:rFonts w:ascii="Tahoma" w:eastAsia="Times New Roman" w:hAnsi="Tahoma" w:cs="Tahoma"/>
                <w:sz w:val="18"/>
                <w:szCs w:val="18"/>
                <w:lang w:eastAsia="hr-HR"/>
              </w:rPr>
              <w:t>0</w:t>
            </w:r>
          </w:p>
        </w:tc>
        <w:tc>
          <w:tcPr>
            <w:tcW w:w="793" w:type="dxa"/>
            <w:tcBorders>
              <w:top w:val="nil"/>
              <w:left w:val="nil"/>
              <w:bottom w:val="single" w:sz="4" w:space="0" w:color="auto"/>
              <w:right w:val="single" w:sz="4" w:space="0" w:color="auto"/>
            </w:tcBorders>
            <w:shd w:val="clear" w:color="000000" w:fill="FF9900"/>
            <w:vAlign w:val="center"/>
            <w:hideMark/>
          </w:tcPr>
          <w:p w14:paraId="5845F47C" w14:textId="77777777" w:rsidR="00C779A5" w:rsidRPr="00C779A5" w:rsidRDefault="00C779A5" w:rsidP="00C779A5">
            <w:pPr>
              <w:spacing w:after="0" w:line="240" w:lineRule="auto"/>
              <w:jc w:val="center"/>
              <w:rPr>
                <w:rFonts w:ascii="Tahoma" w:eastAsia="Times New Roman" w:hAnsi="Tahoma" w:cs="Tahoma"/>
                <w:sz w:val="18"/>
                <w:szCs w:val="18"/>
                <w:lang w:eastAsia="hr-HR"/>
              </w:rPr>
            </w:pPr>
            <w:r w:rsidRPr="00C779A5">
              <w:rPr>
                <w:rFonts w:ascii="Tahoma" w:eastAsia="Times New Roman" w:hAnsi="Tahoma" w:cs="Tahoma"/>
                <w:sz w:val="18"/>
                <w:szCs w:val="18"/>
                <w:lang w:eastAsia="hr-HR"/>
              </w:rPr>
              <w:t>4</w:t>
            </w:r>
          </w:p>
        </w:tc>
        <w:tc>
          <w:tcPr>
            <w:tcW w:w="645" w:type="dxa"/>
            <w:gridSpan w:val="2"/>
            <w:tcBorders>
              <w:top w:val="nil"/>
              <w:left w:val="nil"/>
              <w:bottom w:val="single" w:sz="4" w:space="0" w:color="auto"/>
              <w:right w:val="single" w:sz="4" w:space="0" w:color="auto"/>
            </w:tcBorders>
            <w:shd w:val="clear" w:color="000000" w:fill="CCFFFF"/>
            <w:noWrap/>
            <w:vAlign w:val="bottom"/>
            <w:hideMark/>
          </w:tcPr>
          <w:p w14:paraId="0EC11703" w14:textId="77777777" w:rsidR="00C779A5" w:rsidRPr="00C779A5" w:rsidRDefault="00C779A5" w:rsidP="00C779A5">
            <w:pPr>
              <w:spacing w:after="0" w:line="240" w:lineRule="auto"/>
              <w:jc w:val="right"/>
              <w:rPr>
                <w:rFonts w:ascii="Tahoma" w:eastAsia="Times New Roman" w:hAnsi="Tahoma" w:cs="Tahoma"/>
                <w:sz w:val="18"/>
                <w:szCs w:val="18"/>
                <w:lang w:eastAsia="hr-HR"/>
              </w:rPr>
            </w:pPr>
            <w:r w:rsidRPr="00C779A5">
              <w:rPr>
                <w:rFonts w:ascii="Tahoma" w:eastAsia="Times New Roman" w:hAnsi="Tahoma" w:cs="Tahoma"/>
                <w:sz w:val="18"/>
                <w:szCs w:val="18"/>
                <w:lang w:eastAsia="hr-HR"/>
              </w:rPr>
              <w:t>0</w:t>
            </w:r>
          </w:p>
        </w:tc>
        <w:tc>
          <w:tcPr>
            <w:tcW w:w="467" w:type="dxa"/>
            <w:tcBorders>
              <w:top w:val="nil"/>
              <w:left w:val="nil"/>
              <w:bottom w:val="single" w:sz="4" w:space="0" w:color="auto"/>
              <w:right w:val="single" w:sz="4" w:space="0" w:color="auto"/>
            </w:tcBorders>
            <w:shd w:val="clear" w:color="000000" w:fill="CCFFFF"/>
            <w:noWrap/>
            <w:vAlign w:val="bottom"/>
            <w:hideMark/>
          </w:tcPr>
          <w:p w14:paraId="209C7907" w14:textId="77777777" w:rsidR="00C779A5" w:rsidRPr="00C779A5" w:rsidRDefault="00C779A5" w:rsidP="00C779A5">
            <w:pPr>
              <w:spacing w:after="0" w:line="240" w:lineRule="auto"/>
              <w:jc w:val="right"/>
              <w:rPr>
                <w:rFonts w:ascii="Tahoma" w:eastAsia="Times New Roman" w:hAnsi="Tahoma" w:cs="Tahoma"/>
                <w:sz w:val="18"/>
                <w:szCs w:val="18"/>
                <w:lang w:eastAsia="hr-HR"/>
              </w:rPr>
            </w:pPr>
            <w:r w:rsidRPr="00C779A5">
              <w:rPr>
                <w:rFonts w:ascii="Tahoma" w:eastAsia="Times New Roman" w:hAnsi="Tahoma" w:cs="Tahoma"/>
                <w:sz w:val="18"/>
                <w:szCs w:val="18"/>
                <w:lang w:eastAsia="hr-HR"/>
              </w:rPr>
              <w:t>0</w:t>
            </w:r>
          </w:p>
        </w:tc>
        <w:tc>
          <w:tcPr>
            <w:tcW w:w="467" w:type="dxa"/>
            <w:tcBorders>
              <w:top w:val="nil"/>
              <w:left w:val="nil"/>
              <w:bottom w:val="single" w:sz="4" w:space="0" w:color="auto"/>
              <w:right w:val="single" w:sz="4" w:space="0" w:color="auto"/>
            </w:tcBorders>
            <w:shd w:val="clear" w:color="000000" w:fill="CCFFFF"/>
            <w:noWrap/>
            <w:vAlign w:val="bottom"/>
            <w:hideMark/>
          </w:tcPr>
          <w:p w14:paraId="2DDBB818" w14:textId="77777777" w:rsidR="00C779A5" w:rsidRPr="00C779A5" w:rsidRDefault="00C779A5" w:rsidP="00C779A5">
            <w:pPr>
              <w:spacing w:after="0" w:line="240" w:lineRule="auto"/>
              <w:jc w:val="right"/>
              <w:rPr>
                <w:rFonts w:ascii="Tahoma" w:eastAsia="Times New Roman" w:hAnsi="Tahoma" w:cs="Tahoma"/>
                <w:sz w:val="18"/>
                <w:szCs w:val="18"/>
                <w:lang w:eastAsia="hr-HR"/>
              </w:rPr>
            </w:pPr>
            <w:r w:rsidRPr="00C779A5">
              <w:rPr>
                <w:rFonts w:ascii="Tahoma" w:eastAsia="Times New Roman" w:hAnsi="Tahoma" w:cs="Tahoma"/>
                <w:sz w:val="18"/>
                <w:szCs w:val="18"/>
                <w:lang w:eastAsia="hr-HR"/>
              </w:rPr>
              <w:t>0</w:t>
            </w:r>
          </w:p>
        </w:tc>
        <w:tc>
          <w:tcPr>
            <w:tcW w:w="478" w:type="dxa"/>
            <w:gridSpan w:val="2"/>
            <w:tcBorders>
              <w:top w:val="nil"/>
              <w:left w:val="nil"/>
              <w:bottom w:val="single" w:sz="4" w:space="0" w:color="auto"/>
              <w:right w:val="nil"/>
            </w:tcBorders>
            <w:shd w:val="clear" w:color="000000" w:fill="33CCCC"/>
            <w:noWrap/>
            <w:vAlign w:val="bottom"/>
            <w:hideMark/>
          </w:tcPr>
          <w:p w14:paraId="61322D2F" w14:textId="77777777" w:rsidR="00C779A5" w:rsidRPr="00C779A5" w:rsidRDefault="00C779A5" w:rsidP="00C779A5">
            <w:pPr>
              <w:spacing w:after="0" w:line="240" w:lineRule="auto"/>
              <w:jc w:val="right"/>
              <w:rPr>
                <w:rFonts w:ascii="Tahoma" w:eastAsia="Times New Roman" w:hAnsi="Tahoma" w:cs="Tahoma"/>
                <w:sz w:val="18"/>
                <w:szCs w:val="18"/>
                <w:lang w:eastAsia="hr-HR"/>
              </w:rPr>
            </w:pPr>
            <w:r w:rsidRPr="00C779A5">
              <w:rPr>
                <w:rFonts w:ascii="Tahoma" w:eastAsia="Times New Roman" w:hAnsi="Tahoma" w:cs="Tahoma"/>
                <w:sz w:val="18"/>
                <w:szCs w:val="18"/>
                <w:lang w:eastAsia="hr-HR"/>
              </w:rPr>
              <w:t>0</w:t>
            </w:r>
          </w:p>
        </w:tc>
        <w:tc>
          <w:tcPr>
            <w:tcW w:w="876" w:type="dxa"/>
            <w:tcBorders>
              <w:top w:val="nil"/>
              <w:left w:val="single" w:sz="4" w:space="0" w:color="auto"/>
              <w:bottom w:val="single" w:sz="4" w:space="0" w:color="auto"/>
              <w:right w:val="single" w:sz="8" w:space="0" w:color="auto"/>
            </w:tcBorders>
            <w:shd w:val="clear" w:color="000000" w:fill="33CCCC"/>
            <w:noWrap/>
            <w:vAlign w:val="bottom"/>
            <w:hideMark/>
          </w:tcPr>
          <w:p w14:paraId="5CFC5451" w14:textId="77777777" w:rsidR="00C779A5" w:rsidRPr="00C779A5" w:rsidRDefault="00C779A5" w:rsidP="00C779A5">
            <w:pPr>
              <w:spacing w:after="0" w:line="240" w:lineRule="auto"/>
              <w:jc w:val="right"/>
              <w:rPr>
                <w:rFonts w:ascii="Tahoma" w:eastAsia="Times New Roman" w:hAnsi="Tahoma" w:cs="Tahoma"/>
                <w:sz w:val="18"/>
                <w:szCs w:val="18"/>
                <w:lang w:eastAsia="hr-HR"/>
              </w:rPr>
            </w:pPr>
            <w:r w:rsidRPr="00C779A5">
              <w:rPr>
                <w:rFonts w:ascii="Tahoma" w:eastAsia="Times New Roman" w:hAnsi="Tahoma" w:cs="Tahoma"/>
                <w:sz w:val="18"/>
                <w:szCs w:val="18"/>
                <w:lang w:eastAsia="hr-HR"/>
              </w:rPr>
              <w:t>4</w:t>
            </w:r>
          </w:p>
        </w:tc>
        <w:tc>
          <w:tcPr>
            <w:tcW w:w="236" w:type="dxa"/>
            <w:gridSpan w:val="3"/>
            <w:vAlign w:val="center"/>
            <w:hideMark/>
          </w:tcPr>
          <w:p w14:paraId="573B8503" w14:textId="77777777" w:rsidR="00C779A5" w:rsidRPr="00C779A5" w:rsidRDefault="00C779A5" w:rsidP="00C779A5">
            <w:pPr>
              <w:spacing w:after="0" w:line="240" w:lineRule="auto"/>
              <w:rPr>
                <w:rFonts w:ascii="Times New Roman" w:eastAsia="Times New Roman" w:hAnsi="Times New Roman" w:cs="Times New Roman"/>
                <w:sz w:val="18"/>
                <w:szCs w:val="18"/>
                <w:lang w:eastAsia="hr-HR"/>
              </w:rPr>
            </w:pPr>
          </w:p>
        </w:tc>
      </w:tr>
      <w:tr w:rsidR="00C779A5" w:rsidRPr="00C779A5" w14:paraId="0257C5CC" w14:textId="77777777" w:rsidTr="00C779A5">
        <w:trPr>
          <w:gridAfter w:val="2"/>
          <w:wAfter w:w="149" w:type="dxa"/>
          <w:trHeight w:val="300"/>
        </w:trPr>
        <w:tc>
          <w:tcPr>
            <w:tcW w:w="1567" w:type="dxa"/>
            <w:tcBorders>
              <w:top w:val="single" w:sz="4" w:space="0" w:color="auto"/>
              <w:left w:val="single" w:sz="8" w:space="0" w:color="auto"/>
              <w:bottom w:val="single" w:sz="4" w:space="0" w:color="auto"/>
              <w:right w:val="single" w:sz="4" w:space="0" w:color="auto"/>
            </w:tcBorders>
            <w:shd w:val="clear" w:color="000000" w:fill="CCFFCC"/>
            <w:vAlign w:val="center"/>
            <w:hideMark/>
          </w:tcPr>
          <w:p w14:paraId="1178EDCD" w14:textId="77777777" w:rsidR="00C779A5" w:rsidRPr="00C779A5" w:rsidRDefault="00C779A5" w:rsidP="00C779A5">
            <w:pPr>
              <w:spacing w:after="0" w:line="240" w:lineRule="auto"/>
              <w:rPr>
                <w:rFonts w:ascii="Tahoma" w:eastAsia="Times New Roman" w:hAnsi="Tahoma" w:cs="Tahoma"/>
                <w:sz w:val="18"/>
                <w:szCs w:val="18"/>
                <w:lang w:eastAsia="hr-HR"/>
              </w:rPr>
            </w:pPr>
            <w:r w:rsidRPr="00C779A5">
              <w:rPr>
                <w:rFonts w:ascii="Tahoma" w:eastAsia="Times New Roman" w:hAnsi="Tahoma" w:cs="Tahoma"/>
                <w:sz w:val="18"/>
                <w:szCs w:val="18"/>
                <w:lang w:eastAsia="hr-HR"/>
              </w:rPr>
              <w:t>Spolna orijentacija</w:t>
            </w:r>
          </w:p>
        </w:tc>
        <w:tc>
          <w:tcPr>
            <w:tcW w:w="557" w:type="dxa"/>
            <w:tcBorders>
              <w:top w:val="nil"/>
              <w:left w:val="nil"/>
              <w:bottom w:val="single" w:sz="4" w:space="0" w:color="auto"/>
              <w:right w:val="single" w:sz="4" w:space="0" w:color="auto"/>
            </w:tcBorders>
            <w:shd w:val="clear" w:color="000000" w:fill="FFCC99"/>
            <w:noWrap/>
            <w:vAlign w:val="bottom"/>
            <w:hideMark/>
          </w:tcPr>
          <w:p w14:paraId="67478C11" w14:textId="77777777" w:rsidR="00C779A5" w:rsidRPr="00C779A5" w:rsidRDefault="00C779A5" w:rsidP="00C779A5">
            <w:pPr>
              <w:spacing w:after="0" w:line="240" w:lineRule="auto"/>
              <w:jc w:val="center"/>
              <w:rPr>
                <w:rFonts w:ascii="Tahoma" w:eastAsia="Times New Roman" w:hAnsi="Tahoma" w:cs="Tahoma"/>
                <w:sz w:val="18"/>
                <w:szCs w:val="18"/>
                <w:lang w:eastAsia="hr-HR"/>
              </w:rPr>
            </w:pPr>
            <w:r w:rsidRPr="00C779A5">
              <w:rPr>
                <w:rFonts w:ascii="Tahoma" w:eastAsia="Times New Roman" w:hAnsi="Tahoma" w:cs="Tahoma"/>
                <w:sz w:val="18"/>
                <w:szCs w:val="18"/>
                <w:lang w:eastAsia="hr-HR"/>
              </w:rPr>
              <w:t>3</w:t>
            </w:r>
          </w:p>
        </w:tc>
        <w:tc>
          <w:tcPr>
            <w:tcW w:w="444" w:type="dxa"/>
            <w:tcBorders>
              <w:top w:val="nil"/>
              <w:left w:val="nil"/>
              <w:bottom w:val="single" w:sz="4" w:space="0" w:color="auto"/>
              <w:right w:val="single" w:sz="4" w:space="0" w:color="auto"/>
            </w:tcBorders>
            <w:shd w:val="clear" w:color="000000" w:fill="FFFF00"/>
            <w:noWrap/>
            <w:vAlign w:val="bottom"/>
            <w:hideMark/>
          </w:tcPr>
          <w:p w14:paraId="3ED543AA" w14:textId="77777777" w:rsidR="00C779A5" w:rsidRPr="00C779A5" w:rsidRDefault="00C779A5" w:rsidP="00C779A5">
            <w:pPr>
              <w:spacing w:after="0" w:line="240" w:lineRule="auto"/>
              <w:jc w:val="center"/>
              <w:rPr>
                <w:rFonts w:ascii="Tahoma" w:eastAsia="Times New Roman" w:hAnsi="Tahoma" w:cs="Tahoma"/>
                <w:sz w:val="18"/>
                <w:szCs w:val="18"/>
                <w:lang w:eastAsia="hr-HR"/>
              </w:rPr>
            </w:pPr>
            <w:r w:rsidRPr="00C779A5">
              <w:rPr>
                <w:rFonts w:ascii="Tahoma" w:eastAsia="Times New Roman" w:hAnsi="Tahoma" w:cs="Tahoma"/>
                <w:sz w:val="18"/>
                <w:szCs w:val="18"/>
                <w:lang w:eastAsia="hr-HR"/>
              </w:rPr>
              <w:t>2</w:t>
            </w:r>
          </w:p>
        </w:tc>
        <w:tc>
          <w:tcPr>
            <w:tcW w:w="399" w:type="dxa"/>
            <w:tcBorders>
              <w:top w:val="nil"/>
              <w:left w:val="nil"/>
              <w:bottom w:val="single" w:sz="4" w:space="0" w:color="auto"/>
              <w:right w:val="single" w:sz="4" w:space="0" w:color="auto"/>
            </w:tcBorders>
            <w:shd w:val="clear" w:color="000000" w:fill="CCFFFF"/>
            <w:noWrap/>
            <w:vAlign w:val="bottom"/>
            <w:hideMark/>
          </w:tcPr>
          <w:p w14:paraId="1691A248" w14:textId="77777777" w:rsidR="00C779A5" w:rsidRPr="00C779A5" w:rsidRDefault="00C779A5" w:rsidP="00C779A5">
            <w:pPr>
              <w:spacing w:after="0" w:line="240" w:lineRule="auto"/>
              <w:jc w:val="right"/>
              <w:rPr>
                <w:rFonts w:ascii="Tahoma" w:eastAsia="Times New Roman" w:hAnsi="Tahoma" w:cs="Tahoma"/>
                <w:sz w:val="18"/>
                <w:szCs w:val="18"/>
                <w:lang w:eastAsia="hr-HR"/>
              </w:rPr>
            </w:pPr>
            <w:r w:rsidRPr="00C779A5">
              <w:rPr>
                <w:rFonts w:ascii="Tahoma" w:eastAsia="Times New Roman" w:hAnsi="Tahoma" w:cs="Tahoma"/>
                <w:sz w:val="18"/>
                <w:szCs w:val="18"/>
                <w:lang w:eastAsia="hr-HR"/>
              </w:rPr>
              <w:t>6</w:t>
            </w:r>
          </w:p>
        </w:tc>
        <w:tc>
          <w:tcPr>
            <w:tcW w:w="425" w:type="dxa"/>
            <w:tcBorders>
              <w:top w:val="nil"/>
              <w:left w:val="nil"/>
              <w:bottom w:val="single" w:sz="4" w:space="0" w:color="auto"/>
              <w:right w:val="single" w:sz="4" w:space="0" w:color="auto"/>
            </w:tcBorders>
            <w:shd w:val="clear" w:color="000000" w:fill="CCFFFF"/>
            <w:noWrap/>
            <w:vAlign w:val="bottom"/>
            <w:hideMark/>
          </w:tcPr>
          <w:p w14:paraId="6C0B6F9B" w14:textId="77777777" w:rsidR="00C779A5" w:rsidRPr="00C779A5" w:rsidRDefault="00C779A5" w:rsidP="00C779A5">
            <w:pPr>
              <w:spacing w:after="0" w:line="240" w:lineRule="auto"/>
              <w:jc w:val="right"/>
              <w:rPr>
                <w:rFonts w:ascii="Tahoma" w:eastAsia="Times New Roman" w:hAnsi="Tahoma" w:cs="Tahoma"/>
                <w:sz w:val="18"/>
                <w:szCs w:val="18"/>
                <w:lang w:eastAsia="hr-HR"/>
              </w:rPr>
            </w:pPr>
            <w:r w:rsidRPr="00C779A5">
              <w:rPr>
                <w:rFonts w:ascii="Tahoma" w:eastAsia="Times New Roman" w:hAnsi="Tahoma" w:cs="Tahoma"/>
                <w:sz w:val="18"/>
                <w:szCs w:val="18"/>
                <w:lang w:eastAsia="hr-HR"/>
              </w:rPr>
              <w:t>7</w:t>
            </w:r>
          </w:p>
        </w:tc>
        <w:tc>
          <w:tcPr>
            <w:tcW w:w="574" w:type="dxa"/>
            <w:tcBorders>
              <w:top w:val="nil"/>
              <w:left w:val="nil"/>
              <w:bottom w:val="single" w:sz="4" w:space="0" w:color="auto"/>
              <w:right w:val="single" w:sz="4" w:space="0" w:color="auto"/>
            </w:tcBorders>
            <w:shd w:val="clear" w:color="000000" w:fill="FFFF99"/>
            <w:noWrap/>
            <w:vAlign w:val="bottom"/>
            <w:hideMark/>
          </w:tcPr>
          <w:p w14:paraId="0DC58A24" w14:textId="77777777" w:rsidR="00C779A5" w:rsidRPr="00C779A5" w:rsidRDefault="00C779A5" w:rsidP="00C779A5">
            <w:pPr>
              <w:spacing w:after="0" w:line="240" w:lineRule="auto"/>
              <w:jc w:val="center"/>
              <w:rPr>
                <w:rFonts w:ascii="Tahoma" w:eastAsia="Times New Roman" w:hAnsi="Tahoma" w:cs="Tahoma"/>
                <w:sz w:val="18"/>
                <w:szCs w:val="18"/>
                <w:lang w:eastAsia="hr-HR"/>
              </w:rPr>
            </w:pPr>
            <w:r w:rsidRPr="00C779A5">
              <w:rPr>
                <w:rFonts w:ascii="Tahoma" w:eastAsia="Times New Roman" w:hAnsi="Tahoma" w:cs="Tahoma"/>
                <w:sz w:val="18"/>
                <w:szCs w:val="18"/>
                <w:lang w:eastAsia="hr-HR"/>
              </w:rPr>
              <w:t>2</w:t>
            </w:r>
          </w:p>
        </w:tc>
        <w:tc>
          <w:tcPr>
            <w:tcW w:w="706" w:type="dxa"/>
            <w:tcBorders>
              <w:top w:val="nil"/>
              <w:left w:val="nil"/>
              <w:bottom w:val="single" w:sz="4" w:space="0" w:color="auto"/>
              <w:right w:val="single" w:sz="4" w:space="0" w:color="auto"/>
            </w:tcBorders>
            <w:shd w:val="clear" w:color="000000" w:fill="FFFF99"/>
            <w:noWrap/>
            <w:vAlign w:val="bottom"/>
            <w:hideMark/>
          </w:tcPr>
          <w:p w14:paraId="6E51523B" w14:textId="77777777" w:rsidR="00C779A5" w:rsidRPr="00C779A5" w:rsidRDefault="00C779A5" w:rsidP="00C779A5">
            <w:pPr>
              <w:spacing w:after="0" w:line="240" w:lineRule="auto"/>
              <w:jc w:val="center"/>
              <w:rPr>
                <w:rFonts w:ascii="Tahoma" w:eastAsia="Times New Roman" w:hAnsi="Tahoma" w:cs="Tahoma"/>
                <w:sz w:val="18"/>
                <w:szCs w:val="18"/>
                <w:lang w:eastAsia="hr-HR"/>
              </w:rPr>
            </w:pPr>
            <w:r w:rsidRPr="00C779A5">
              <w:rPr>
                <w:rFonts w:ascii="Tahoma" w:eastAsia="Times New Roman" w:hAnsi="Tahoma" w:cs="Tahoma"/>
                <w:sz w:val="18"/>
                <w:szCs w:val="18"/>
                <w:lang w:eastAsia="hr-HR"/>
              </w:rPr>
              <w:t>0</w:t>
            </w:r>
          </w:p>
        </w:tc>
        <w:tc>
          <w:tcPr>
            <w:tcW w:w="565" w:type="dxa"/>
            <w:tcBorders>
              <w:top w:val="nil"/>
              <w:left w:val="nil"/>
              <w:bottom w:val="single" w:sz="4" w:space="0" w:color="auto"/>
              <w:right w:val="single" w:sz="4" w:space="0" w:color="auto"/>
            </w:tcBorders>
            <w:shd w:val="clear" w:color="000000" w:fill="FFFF99"/>
            <w:noWrap/>
            <w:vAlign w:val="bottom"/>
            <w:hideMark/>
          </w:tcPr>
          <w:p w14:paraId="40CC8264" w14:textId="77777777" w:rsidR="00C779A5" w:rsidRPr="00C779A5" w:rsidRDefault="00C779A5" w:rsidP="00C779A5">
            <w:pPr>
              <w:spacing w:after="0" w:line="240" w:lineRule="auto"/>
              <w:jc w:val="center"/>
              <w:rPr>
                <w:rFonts w:ascii="Tahoma" w:eastAsia="Times New Roman" w:hAnsi="Tahoma" w:cs="Tahoma"/>
                <w:sz w:val="18"/>
                <w:szCs w:val="18"/>
                <w:lang w:eastAsia="hr-HR"/>
              </w:rPr>
            </w:pPr>
            <w:r w:rsidRPr="00C779A5">
              <w:rPr>
                <w:rFonts w:ascii="Tahoma" w:eastAsia="Times New Roman" w:hAnsi="Tahoma" w:cs="Tahoma"/>
                <w:sz w:val="18"/>
                <w:szCs w:val="18"/>
                <w:lang w:eastAsia="hr-HR"/>
              </w:rPr>
              <w:t>0</w:t>
            </w:r>
          </w:p>
        </w:tc>
        <w:tc>
          <w:tcPr>
            <w:tcW w:w="565" w:type="dxa"/>
            <w:tcBorders>
              <w:top w:val="nil"/>
              <w:left w:val="nil"/>
              <w:bottom w:val="single" w:sz="4" w:space="0" w:color="auto"/>
              <w:right w:val="single" w:sz="4" w:space="0" w:color="auto"/>
            </w:tcBorders>
            <w:shd w:val="clear" w:color="000000" w:fill="FFFF99"/>
            <w:noWrap/>
            <w:vAlign w:val="bottom"/>
            <w:hideMark/>
          </w:tcPr>
          <w:p w14:paraId="00B311F8" w14:textId="77777777" w:rsidR="00C779A5" w:rsidRPr="00C779A5" w:rsidRDefault="00C779A5" w:rsidP="00C779A5">
            <w:pPr>
              <w:spacing w:after="0" w:line="240" w:lineRule="auto"/>
              <w:jc w:val="center"/>
              <w:rPr>
                <w:rFonts w:ascii="Tahoma" w:eastAsia="Times New Roman" w:hAnsi="Tahoma" w:cs="Tahoma"/>
                <w:sz w:val="18"/>
                <w:szCs w:val="18"/>
                <w:lang w:eastAsia="hr-HR"/>
              </w:rPr>
            </w:pPr>
            <w:r w:rsidRPr="00C779A5">
              <w:rPr>
                <w:rFonts w:ascii="Tahoma" w:eastAsia="Times New Roman" w:hAnsi="Tahoma" w:cs="Tahoma"/>
                <w:sz w:val="18"/>
                <w:szCs w:val="18"/>
                <w:lang w:eastAsia="hr-HR"/>
              </w:rPr>
              <w:t>0</w:t>
            </w:r>
          </w:p>
        </w:tc>
        <w:tc>
          <w:tcPr>
            <w:tcW w:w="467" w:type="dxa"/>
            <w:tcBorders>
              <w:top w:val="nil"/>
              <w:left w:val="nil"/>
              <w:bottom w:val="single" w:sz="4" w:space="0" w:color="auto"/>
              <w:right w:val="single" w:sz="4" w:space="0" w:color="auto"/>
            </w:tcBorders>
            <w:shd w:val="clear" w:color="000000" w:fill="FFFF99"/>
            <w:noWrap/>
            <w:vAlign w:val="bottom"/>
            <w:hideMark/>
          </w:tcPr>
          <w:p w14:paraId="70C51030" w14:textId="77777777" w:rsidR="00C779A5" w:rsidRPr="00C779A5" w:rsidRDefault="00C779A5" w:rsidP="00C779A5">
            <w:pPr>
              <w:spacing w:after="0" w:line="240" w:lineRule="auto"/>
              <w:jc w:val="center"/>
              <w:rPr>
                <w:rFonts w:ascii="Tahoma" w:eastAsia="Times New Roman" w:hAnsi="Tahoma" w:cs="Tahoma"/>
                <w:sz w:val="18"/>
                <w:szCs w:val="18"/>
                <w:lang w:eastAsia="hr-HR"/>
              </w:rPr>
            </w:pPr>
            <w:r w:rsidRPr="00C779A5">
              <w:rPr>
                <w:rFonts w:ascii="Tahoma" w:eastAsia="Times New Roman" w:hAnsi="Tahoma" w:cs="Tahoma"/>
                <w:sz w:val="18"/>
                <w:szCs w:val="18"/>
                <w:lang w:eastAsia="hr-HR"/>
              </w:rPr>
              <w:t>0</w:t>
            </w:r>
          </w:p>
        </w:tc>
        <w:tc>
          <w:tcPr>
            <w:tcW w:w="805" w:type="dxa"/>
            <w:tcBorders>
              <w:top w:val="nil"/>
              <w:left w:val="nil"/>
              <w:bottom w:val="single" w:sz="4" w:space="0" w:color="auto"/>
              <w:right w:val="single" w:sz="4" w:space="0" w:color="auto"/>
            </w:tcBorders>
            <w:shd w:val="clear" w:color="000000" w:fill="FFFF99"/>
            <w:noWrap/>
            <w:vAlign w:val="bottom"/>
            <w:hideMark/>
          </w:tcPr>
          <w:p w14:paraId="530AEB03" w14:textId="77777777" w:rsidR="00C779A5" w:rsidRPr="00C779A5" w:rsidRDefault="00C779A5" w:rsidP="00C779A5">
            <w:pPr>
              <w:spacing w:after="0" w:line="240" w:lineRule="auto"/>
              <w:jc w:val="center"/>
              <w:rPr>
                <w:rFonts w:ascii="Tahoma" w:eastAsia="Times New Roman" w:hAnsi="Tahoma" w:cs="Tahoma"/>
                <w:sz w:val="18"/>
                <w:szCs w:val="18"/>
                <w:lang w:eastAsia="hr-HR"/>
              </w:rPr>
            </w:pPr>
            <w:r w:rsidRPr="00C779A5">
              <w:rPr>
                <w:rFonts w:ascii="Tahoma" w:eastAsia="Times New Roman" w:hAnsi="Tahoma" w:cs="Tahoma"/>
                <w:sz w:val="18"/>
                <w:szCs w:val="18"/>
                <w:lang w:eastAsia="hr-HR"/>
              </w:rPr>
              <w:t>0</w:t>
            </w:r>
          </w:p>
        </w:tc>
        <w:tc>
          <w:tcPr>
            <w:tcW w:w="467" w:type="dxa"/>
            <w:gridSpan w:val="2"/>
            <w:tcBorders>
              <w:top w:val="nil"/>
              <w:left w:val="nil"/>
              <w:bottom w:val="single" w:sz="4" w:space="0" w:color="auto"/>
              <w:right w:val="single" w:sz="4" w:space="0" w:color="auto"/>
            </w:tcBorders>
            <w:shd w:val="clear" w:color="000000" w:fill="FF9900"/>
            <w:noWrap/>
            <w:vAlign w:val="bottom"/>
            <w:hideMark/>
          </w:tcPr>
          <w:p w14:paraId="64E6B4EB" w14:textId="77777777" w:rsidR="00C779A5" w:rsidRPr="00C779A5" w:rsidRDefault="00C779A5" w:rsidP="00C779A5">
            <w:pPr>
              <w:spacing w:after="0" w:line="240" w:lineRule="auto"/>
              <w:jc w:val="right"/>
              <w:rPr>
                <w:rFonts w:ascii="Tahoma" w:eastAsia="Times New Roman" w:hAnsi="Tahoma" w:cs="Tahoma"/>
                <w:sz w:val="18"/>
                <w:szCs w:val="18"/>
                <w:lang w:eastAsia="hr-HR"/>
              </w:rPr>
            </w:pPr>
            <w:r w:rsidRPr="00C779A5">
              <w:rPr>
                <w:rFonts w:ascii="Tahoma" w:eastAsia="Times New Roman" w:hAnsi="Tahoma" w:cs="Tahoma"/>
                <w:sz w:val="18"/>
                <w:szCs w:val="18"/>
                <w:lang w:eastAsia="hr-HR"/>
              </w:rPr>
              <w:t>2</w:t>
            </w:r>
          </w:p>
        </w:tc>
        <w:tc>
          <w:tcPr>
            <w:tcW w:w="522" w:type="dxa"/>
            <w:tcBorders>
              <w:top w:val="nil"/>
              <w:left w:val="nil"/>
              <w:bottom w:val="single" w:sz="4" w:space="0" w:color="auto"/>
              <w:right w:val="single" w:sz="4" w:space="0" w:color="auto"/>
            </w:tcBorders>
            <w:shd w:val="clear" w:color="000000" w:fill="FF9900"/>
            <w:noWrap/>
            <w:vAlign w:val="bottom"/>
            <w:hideMark/>
          </w:tcPr>
          <w:p w14:paraId="01B78B9E" w14:textId="77777777" w:rsidR="00C779A5" w:rsidRPr="00C779A5" w:rsidRDefault="00C779A5" w:rsidP="00C779A5">
            <w:pPr>
              <w:spacing w:after="0" w:line="240" w:lineRule="auto"/>
              <w:jc w:val="right"/>
              <w:rPr>
                <w:rFonts w:ascii="Tahoma" w:eastAsia="Times New Roman" w:hAnsi="Tahoma" w:cs="Tahoma"/>
                <w:sz w:val="18"/>
                <w:szCs w:val="18"/>
                <w:lang w:eastAsia="hr-HR"/>
              </w:rPr>
            </w:pPr>
            <w:r w:rsidRPr="00C779A5">
              <w:rPr>
                <w:rFonts w:ascii="Tahoma" w:eastAsia="Times New Roman" w:hAnsi="Tahoma" w:cs="Tahoma"/>
                <w:sz w:val="18"/>
                <w:szCs w:val="18"/>
                <w:lang w:eastAsia="hr-HR"/>
              </w:rPr>
              <w:t>1</w:t>
            </w:r>
          </w:p>
        </w:tc>
        <w:tc>
          <w:tcPr>
            <w:tcW w:w="467" w:type="dxa"/>
            <w:tcBorders>
              <w:top w:val="nil"/>
              <w:left w:val="nil"/>
              <w:bottom w:val="single" w:sz="4" w:space="0" w:color="auto"/>
              <w:right w:val="single" w:sz="4" w:space="0" w:color="auto"/>
            </w:tcBorders>
            <w:shd w:val="clear" w:color="000000" w:fill="FF9900"/>
            <w:noWrap/>
            <w:vAlign w:val="bottom"/>
            <w:hideMark/>
          </w:tcPr>
          <w:p w14:paraId="7973E39E" w14:textId="77777777" w:rsidR="00C779A5" w:rsidRPr="00C779A5" w:rsidRDefault="00C779A5" w:rsidP="00C779A5">
            <w:pPr>
              <w:spacing w:after="0" w:line="240" w:lineRule="auto"/>
              <w:jc w:val="right"/>
              <w:rPr>
                <w:rFonts w:ascii="Tahoma" w:eastAsia="Times New Roman" w:hAnsi="Tahoma" w:cs="Tahoma"/>
                <w:sz w:val="18"/>
                <w:szCs w:val="18"/>
                <w:lang w:eastAsia="hr-HR"/>
              </w:rPr>
            </w:pPr>
            <w:r w:rsidRPr="00C779A5">
              <w:rPr>
                <w:rFonts w:ascii="Tahoma" w:eastAsia="Times New Roman" w:hAnsi="Tahoma" w:cs="Tahoma"/>
                <w:sz w:val="18"/>
                <w:szCs w:val="18"/>
                <w:lang w:eastAsia="hr-HR"/>
              </w:rPr>
              <w:t>0</w:t>
            </w:r>
          </w:p>
        </w:tc>
        <w:tc>
          <w:tcPr>
            <w:tcW w:w="467" w:type="dxa"/>
            <w:tcBorders>
              <w:top w:val="nil"/>
              <w:left w:val="nil"/>
              <w:bottom w:val="single" w:sz="4" w:space="0" w:color="auto"/>
              <w:right w:val="single" w:sz="4" w:space="0" w:color="auto"/>
            </w:tcBorders>
            <w:shd w:val="clear" w:color="000000" w:fill="FFFF00"/>
            <w:vAlign w:val="center"/>
            <w:hideMark/>
          </w:tcPr>
          <w:p w14:paraId="6DF01F95" w14:textId="77777777" w:rsidR="00C779A5" w:rsidRPr="00C779A5" w:rsidRDefault="00C779A5" w:rsidP="00C779A5">
            <w:pPr>
              <w:spacing w:after="0" w:line="240" w:lineRule="auto"/>
              <w:jc w:val="center"/>
              <w:rPr>
                <w:rFonts w:ascii="Tahoma" w:eastAsia="Times New Roman" w:hAnsi="Tahoma" w:cs="Tahoma"/>
                <w:sz w:val="18"/>
                <w:szCs w:val="18"/>
                <w:lang w:eastAsia="hr-HR"/>
              </w:rPr>
            </w:pPr>
            <w:r w:rsidRPr="00C779A5">
              <w:rPr>
                <w:rFonts w:ascii="Tahoma" w:eastAsia="Times New Roman" w:hAnsi="Tahoma" w:cs="Tahoma"/>
                <w:sz w:val="18"/>
                <w:szCs w:val="18"/>
                <w:lang w:eastAsia="hr-HR"/>
              </w:rPr>
              <w:t>3</w:t>
            </w:r>
          </w:p>
        </w:tc>
        <w:tc>
          <w:tcPr>
            <w:tcW w:w="877" w:type="dxa"/>
            <w:gridSpan w:val="2"/>
            <w:tcBorders>
              <w:top w:val="nil"/>
              <w:left w:val="nil"/>
              <w:bottom w:val="single" w:sz="4" w:space="0" w:color="auto"/>
              <w:right w:val="single" w:sz="4" w:space="0" w:color="auto"/>
            </w:tcBorders>
            <w:shd w:val="clear" w:color="000000" w:fill="FF9900"/>
            <w:vAlign w:val="center"/>
            <w:hideMark/>
          </w:tcPr>
          <w:p w14:paraId="2FF8795C" w14:textId="77777777" w:rsidR="00C779A5" w:rsidRPr="00C779A5" w:rsidRDefault="00C779A5" w:rsidP="00C779A5">
            <w:pPr>
              <w:spacing w:after="0" w:line="240" w:lineRule="auto"/>
              <w:jc w:val="center"/>
              <w:rPr>
                <w:rFonts w:ascii="Tahoma" w:eastAsia="Times New Roman" w:hAnsi="Tahoma" w:cs="Tahoma"/>
                <w:sz w:val="18"/>
                <w:szCs w:val="18"/>
                <w:lang w:eastAsia="hr-HR"/>
              </w:rPr>
            </w:pPr>
            <w:r w:rsidRPr="00C779A5">
              <w:rPr>
                <w:rFonts w:ascii="Tahoma" w:eastAsia="Times New Roman" w:hAnsi="Tahoma" w:cs="Tahoma"/>
                <w:sz w:val="18"/>
                <w:szCs w:val="18"/>
                <w:lang w:eastAsia="hr-HR"/>
              </w:rPr>
              <w:t>2</w:t>
            </w:r>
          </w:p>
        </w:tc>
        <w:tc>
          <w:tcPr>
            <w:tcW w:w="576" w:type="dxa"/>
            <w:gridSpan w:val="2"/>
            <w:tcBorders>
              <w:top w:val="nil"/>
              <w:left w:val="nil"/>
              <w:bottom w:val="single" w:sz="4" w:space="0" w:color="auto"/>
              <w:right w:val="single" w:sz="4" w:space="0" w:color="auto"/>
            </w:tcBorders>
            <w:shd w:val="clear" w:color="000000" w:fill="FF9900"/>
            <w:noWrap/>
            <w:vAlign w:val="center"/>
            <w:hideMark/>
          </w:tcPr>
          <w:p w14:paraId="6A549D5B" w14:textId="77777777" w:rsidR="00C779A5" w:rsidRPr="00C779A5" w:rsidRDefault="00C779A5" w:rsidP="00C779A5">
            <w:pPr>
              <w:spacing w:after="0" w:line="240" w:lineRule="auto"/>
              <w:jc w:val="center"/>
              <w:rPr>
                <w:rFonts w:ascii="Tahoma" w:eastAsia="Times New Roman" w:hAnsi="Tahoma" w:cs="Tahoma"/>
                <w:sz w:val="18"/>
                <w:szCs w:val="18"/>
                <w:lang w:eastAsia="hr-HR"/>
              </w:rPr>
            </w:pPr>
            <w:r w:rsidRPr="00C779A5">
              <w:rPr>
                <w:rFonts w:ascii="Tahoma" w:eastAsia="Times New Roman" w:hAnsi="Tahoma" w:cs="Tahoma"/>
                <w:sz w:val="18"/>
                <w:szCs w:val="18"/>
                <w:lang w:eastAsia="hr-HR"/>
              </w:rPr>
              <w:t>3</w:t>
            </w:r>
          </w:p>
        </w:tc>
        <w:tc>
          <w:tcPr>
            <w:tcW w:w="440" w:type="dxa"/>
            <w:tcBorders>
              <w:top w:val="nil"/>
              <w:left w:val="nil"/>
              <w:bottom w:val="single" w:sz="4" w:space="0" w:color="auto"/>
              <w:right w:val="single" w:sz="4" w:space="0" w:color="auto"/>
            </w:tcBorders>
            <w:shd w:val="clear" w:color="000000" w:fill="FF9900"/>
            <w:noWrap/>
            <w:vAlign w:val="center"/>
            <w:hideMark/>
          </w:tcPr>
          <w:p w14:paraId="4B258B38" w14:textId="77777777" w:rsidR="00C779A5" w:rsidRPr="00C779A5" w:rsidRDefault="00C779A5" w:rsidP="00C779A5">
            <w:pPr>
              <w:spacing w:after="0" w:line="240" w:lineRule="auto"/>
              <w:jc w:val="center"/>
              <w:rPr>
                <w:rFonts w:ascii="Tahoma" w:eastAsia="Times New Roman" w:hAnsi="Tahoma" w:cs="Tahoma"/>
                <w:sz w:val="18"/>
                <w:szCs w:val="18"/>
                <w:lang w:eastAsia="hr-HR"/>
              </w:rPr>
            </w:pPr>
            <w:r w:rsidRPr="00C779A5">
              <w:rPr>
                <w:rFonts w:ascii="Tahoma" w:eastAsia="Times New Roman" w:hAnsi="Tahoma" w:cs="Tahoma"/>
                <w:sz w:val="18"/>
                <w:szCs w:val="18"/>
                <w:lang w:eastAsia="hr-HR"/>
              </w:rPr>
              <w:t>0</w:t>
            </w:r>
          </w:p>
        </w:tc>
        <w:tc>
          <w:tcPr>
            <w:tcW w:w="793" w:type="dxa"/>
            <w:tcBorders>
              <w:top w:val="nil"/>
              <w:left w:val="nil"/>
              <w:bottom w:val="single" w:sz="4" w:space="0" w:color="auto"/>
              <w:right w:val="single" w:sz="4" w:space="0" w:color="auto"/>
            </w:tcBorders>
            <w:shd w:val="clear" w:color="000000" w:fill="FF9900"/>
            <w:noWrap/>
            <w:vAlign w:val="center"/>
            <w:hideMark/>
          </w:tcPr>
          <w:p w14:paraId="7A5AB10B" w14:textId="77777777" w:rsidR="00C779A5" w:rsidRPr="00C779A5" w:rsidRDefault="00C779A5" w:rsidP="00C779A5">
            <w:pPr>
              <w:spacing w:after="0" w:line="240" w:lineRule="auto"/>
              <w:jc w:val="center"/>
              <w:rPr>
                <w:rFonts w:ascii="Tahoma" w:eastAsia="Times New Roman" w:hAnsi="Tahoma" w:cs="Tahoma"/>
                <w:sz w:val="18"/>
                <w:szCs w:val="18"/>
                <w:lang w:eastAsia="hr-HR"/>
              </w:rPr>
            </w:pPr>
            <w:r w:rsidRPr="00C779A5">
              <w:rPr>
                <w:rFonts w:ascii="Tahoma" w:eastAsia="Times New Roman" w:hAnsi="Tahoma" w:cs="Tahoma"/>
                <w:sz w:val="18"/>
                <w:szCs w:val="18"/>
                <w:lang w:eastAsia="hr-HR"/>
              </w:rPr>
              <w:t>0</w:t>
            </w:r>
          </w:p>
        </w:tc>
        <w:tc>
          <w:tcPr>
            <w:tcW w:w="645" w:type="dxa"/>
            <w:gridSpan w:val="2"/>
            <w:tcBorders>
              <w:top w:val="nil"/>
              <w:left w:val="nil"/>
              <w:bottom w:val="single" w:sz="4" w:space="0" w:color="auto"/>
              <w:right w:val="single" w:sz="4" w:space="0" w:color="auto"/>
            </w:tcBorders>
            <w:shd w:val="clear" w:color="000000" w:fill="CCFFFF"/>
            <w:noWrap/>
            <w:vAlign w:val="bottom"/>
            <w:hideMark/>
          </w:tcPr>
          <w:p w14:paraId="0446DAB3" w14:textId="77777777" w:rsidR="00C779A5" w:rsidRPr="00C779A5" w:rsidRDefault="00C779A5" w:rsidP="00C779A5">
            <w:pPr>
              <w:spacing w:after="0" w:line="240" w:lineRule="auto"/>
              <w:jc w:val="right"/>
              <w:rPr>
                <w:rFonts w:ascii="Tahoma" w:eastAsia="Times New Roman" w:hAnsi="Tahoma" w:cs="Tahoma"/>
                <w:sz w:val="18"/>
                <w:szCs w:val="18"/>
                <w:lang w:eastAsia="hr-HR"/>
              </w:rPr>
            </w:pPr>
            <w:r w:rsidRPr="00C779A5">
              <w:rPr>
                <w:rFonts w:ascii="Tahoma" w:eastAsia="Times New Roman" w:hAnsi="Tahoma" w:cs="Tahoma"/>
                <w:sz w:val="18"/>
                <w:szCs w:val="18"/>
                <w:lang w:eastAsia="hr-HR"/>
              </w:rPr>
              <w:t>7</w:t>
            </w:r>
          </w:p>
        </w:tc>
        <w:tc>
          <w:tcPr>
            <w:tcW w:w="467" w:type="dxa"/>
            <w:tcBorders>
              <w:top w:val="nil"/>
              <w:left w:val="nil"/>
              <w:bottom w:val="single" w:sz="4" w:space="0" w:color="auto"/>
              <w:right w:val="single" w:sz="4" w:space="0" w:color="auto"/>
            </w:tcBorders>
            <w:shd w:val="clear" w:color="000000" w:fill="CCFFFF"/>
            <w:noWrap/>
            <w:vAlign w:val="bottom"/>
            <w:hideMark/>
          </w:tcPr>
          <w:p w14:paraId="2D40C77D" w14:textId="77777777" w:rsidR="00C779A5" w:rsidRPr="00C779A5" w:rsidRDefault="00C779A5" w:rsidP="00C779A5">
            <w:pPr>
              <w:spacing w:after="0" w:line="240" w:lineRule="auto"/>
              <w:jc w:val="right"/>
              <w:rPr>
                <w:rFonts w:ascii="Tahoma" w:eastAsia="Times New Roman" w:hAnsi="Tahoma" w:cs="Tahoma"/>
                <w:sz w:val="18"/>
                <w:szCs w:val="18"/>
                <w:lang w:eastAsia="hr-HR"/>
              </w:rPr>
            </w:pPr>
            <w:r w:rsidRPr="00C779A5">
              <w:rPr>
                <w:rFonts w:ascii="Tahoma" w:eastAsia="Times New Roman" w:hAnsi="Tahoma" w:cs="Tahoma"/>
                <w:sz w:val="18"/>
                <w:szCs w:val="18"/>
                <w:lang w:eastAsia="hr-HR"/>
              </w:rPr>
              <w:t>4</w:t>
            </w:r>
          </w:p>
        </w:tc>
        <w:tc>
          <w:tcPr>
            <w:tcW w:w="467" w:type="dxa"/>
            <w:tcBorders>
              <w:top w:val="nil"/>
              <w:left w:val="nil"/>
              <w:bottom w:val="single" w:sz="4" w:space="0" w:color="auto"/>
              <w:right w:val="single" w:sz="4" w:space="0" w:color="auto"/>
            </w:tcBorders>
            <w:shd w:val="clear" w:color="000000" w:fill="CCFFFF"/>
            <w:noWrap/>
            <w:vAlign w:val="bottom"/>
            <w:hideMark/>
          </w:tcPr>
          <w:p w14:paraId="2931E4AC" w14:textId="77777777" w:rsidR="00C779A5" w:rsidRPr="00C779A5" w:rsidRDefault="00C779A5" w:rsidP="00C779A5">
            <w:pPr>
              <w:spacing w:after="0" w:line="240" w:lineRule="auto"/>
              <w:jc w:val="right"/>
              <w:rPr>
                <w:rFonts w:ascii="Tahoma" w:eastAsia="Times New Roman" w:hAnsi="Tahoma" w:cs="Tahoma"/>
                <w:sz w:val="18"/>
                <w:szCs w:val="18"/>
                <w:lang w:eastAsia="hr-HR"/>
              </w:rPr>
            </w:pPr>
            <w:r w:rsidRPr="00C779A5">
              <w:rPr>
                <w:rFonts w:ascii="Tahoma" w:eastAsia="Times New Roman" w:hAnsi="Tahoma" w:cs="Tahoma"/>
                <w:sz w:val="18"/>
                <w:szCs w:val="18"/>
                <w:lang w:eastAsia="hr-HR"/>
              </w:rPr>
              <w:t>0</w:t>
            </w:r>
          </w:p>
        </w:tc>
        <w:tc>
          <w:tcPr>
            <w:tcW w:w="478" w:type="dxa"/>
            <w:gridSpan w:val="2"/>
            <w:tcBorders>
              <w:top w:val="nil"/>
              <w:left w:val="nil"/>
              <w:bottom w:val="single" w:sz="4" w:space="0" w:color="auto"/>
              <w:right w:val="nil"/>
            </w:tcBorders>
            <w:shd w:val="clear" w:color="000000" w:fill="33CCCC"/>
            <w:noWrap/>
            <w:vAlign w:val="bottom"/>
            <w:hideMark/>
          </w:tcPr>
          <w:p w14:paraId="7A1E614A" w14:textId="77777777" w:rsidR="00C779A5" w:rsidRPr="00C779A5" w:rsidRDefault="00C779A5" w:rsidP="00C779A5">
            <w:pPr>
              <w:spacing w:after="0" w:line="240" w:lineRule="auto"/>
              <w:jc w:val="right"/>
              <w:rPr>
                <w:rFonts w:ascii="Tahoma" w:eastAsia="Times New Roman" w:hAnsi="Tahoma" w:cs="Tahoma"/>
                <w:sz w:val="18"/>
                <w:szCs w:val="18"/>
                <w:lang w:eastAsia="hr-HR"/>
              </w:rPr>
            </w:pPr>
            <w:r w:rsidRPr="00C779A5">
              <w:rPr>
                <w:rFonts w:ascii="Tahoma" w:eastAsia="Times New Roman" w:hAnsi="Tahoma" w:cs="Tahoma"/>
                <w:sz w:val="18"/>
                <w:szCs w:val="18"/>
                <w:lang w:eastAsia="hr-HR"/>
              </w:rPr>
              <w:t>0</w:t>
            </w:r>
          </w:p>
        </w:tc>
        <w:tc>
          <w:tcPr>
            <w:tcW w:w="876" w:type="dxa"/>
            <w:tcBorders>
              <w:top w:val="nil"/>
              <w:left w:val="single" w:sz="4" w:space="0" w:color="auto"/>
              <w:bottom w:val="single" w:sz="4" w:space="0" w:color="auto"/>
              <w:right w:val="single" w:sz="8" w:space="0" w:color="auto"/>
            </w:tcBorders>
            <w:shd w:val="clear" w:color="000000" w:fill="33CCCC"/>
            <w:noWrap/>
            <w:vAlign w:val="bottom"/>
            <w:hideMark/>
          </w:tcPr>
          <w:p w14:paraId="7A8746AB" w14:textId="77777777" w:rsidR="00C779A5" w:rsidRPr="00C779A5" w:rsidRDefault="00C779A5" w:rsidP="00C779A5">
            <w:pPr>
              <w:spacing w:after="0" w:line="240" w:lineRule="auto"/>
              <w:jc w:val="right"/>
              <w:rPr>
                <w:rFonts w:ascii="Tahoma" w:eastAsia="Times New Roman" w:hAnsi="Tahoma" w:cs="Tahoma"/>
                <w:sz w:val="18"/>
                <w:szCs w:val="18"/>
                <w:lang w:eastAsia="hr-HR"/>
              </w:rPr>
            </w:pPr>
            <w:r w:rsidRPr="00C779A5">
              <w:rPr>
                <w:rFonts w:ascii="Tahoma" w:eastAsia="Times New Roman" w:hAnsi="Tahoma" w:cs="Tahoma"/>
                <w:sz w:val="18"/>
                <w:szCs w:val="18"/>
                <w:lang w:eastAsia="hr-HR"/>
              </w:rPr>
              <w:t>3</w:t>
            </w:r>
          </w:p>
        </w:tc>
        <w:tc>
          <w:tcPr>
            <w:tcW w:w="236" w:type="dxa"/>
            <w:gridSpan w:val="3"/>
            <w:vAlign w:val="center"/>
            <w:hideMark/>
          </w:tcPr>
          <w:p w14:paraId="32AF18D1" w14:textId="77777777" w:rsidR="00C779A5" w:rsidRPr="00C779A5" w:rsidRDefault="00C779A5" w:rsidP="00C779A5">
            <w:pPr>
              <w:spacing w:after="0" w:line="240" w:lineRule="auto"/>
              <w:rPr>
                <w:rFonts w:ascii="Times New Roman" w:eastAsia="Times New Roman" w:hAnsi="Times New Roman" w:cs="Times New Roman"/>
                <w:sz w:val="18"/>
                <w:szCs w:val="18"/>
                <w:lang w:eastAsia="hr-HR"/>
              </w:rPr>
            </w:pPr>
          </w:p>
        </w:tc>
      </w:tr>
      <w:tr w:rsidR="00C779A5" w:rsidRPr="00C779A5" w14:paraId="6B99AF5C" w14:textId="77777777" w:rsidTr="00C779A5">
        <w:trPr>
          <w:gridAfter w:val="2"/>
          <w:wAfter w:w="149" w:type="dxa"/>
          <w:trHeight w:val="300"/>
        </w:trPr>
        <w:tc>
          <w:tcPr>
            <w:tcW w:w="1567" w:type="dxa"/>
            <w:tcBorders>
              <w:top w:val="single" w:sz="4" w:space="0" w:color="auto"/>
              <w:left w:val="single" w:sz="8" w:space="0" w:color="auto"/>
              <w:bottom w:val="single" w:sz="4" w:space="0" w:color="auto"/>
              <w:right w:val="single" w:sz="4" w:space="0" w:color="auto"/>
            </w:tcBorders>
            <w:shd w:val="clear" w:color="000000" w:fill="CCFFCC"/>
            <w:vAlign w:val="center"/>
            <w:hideMark/>
          </w:tcPr>
          <w:p w14:paraId="7C4BDB9A" w14:textId="77777777" w:rsidR="00C779A5" w:rsidRPr="00C779A5" w:rsidRDefault="00C779A5" w:rsidP="00C779A5">
            <w:pPr>
              <w:spacing w:after="0" w:line="240" w:lineRule="auto"/>
              <w:rPr>
                <w:rFonts w:ascii="Tahoma" w:eastAsia="Times New Roman" w:hAnsi="Tahoma" w:cs="Tahoma"/>
                <w:sz w:val="18"/>
                <w:szCs w:val="18"/>
                <w:lang w:eastAsia="hr-HR"/>
              </w:rPr>
            </w:pPr>
            <w:r w:rsidRPr="00C779A5">
              <w:rPr>
                <w:rFonts w:ascii="Tahoma" w:eastAsia="Times New Roman" w:hAnsi="Tahoma" w:cs="Tahoma"/>
                <w:sz w:val="18"/>
                <w:szCs w:val="18"/>
                <w:lang w:eastAsia="hr-HR"/>
              </w:rPr>
              <w:t>Jezik</w:t>
            </w:r>
          </w:p>
        </w:tc>
        <w:tc>
          <w:tcPr>
            <w:tcW w:w="557" w:type="dxa"/>
            <w:tcBorders>
              <w:top w:val="nil"/>
              <w:left w:val="nil"/>
              <w:bottom w:val="single" w:sz="4" w:space="0" w:color="auto"/>
              <w:right w:val="single" w:sz="4" w:space="0" w:color="auto"/>
            </w:tcBorders>
            <w:shd w:val="clear" w:color="000000" w:fill="FFCC99"/>
            <w:noWrap/>
            <w:vAlign w:val="bottom"/>
            <w:hideMark/>
          </w:tcPr>
          <w:p w14:paraId="0534A181" w14:textId="77777777" w:rsidR="00C779A5" w:rsidRPr="00C779A5" w:rsidRDefault="00C779A5" w:rsidP="00C779A5">
            <w:pPr>
              <w:spacing w:after="0" w:line="240" w:lineRule="auto"/>
              <w:jc w:val="center"/>
              <w:rPr>
                <w:rFonts w:ascii="Tahoma" w:eastAsia="Times New Roman" w:hAnsi="Tahoma" w:cs="Tahoma"/>
                <w:sz w:val="18"/>
                <w:szCs w:val="18"/>
                <w:lang w:eastAsia="hr-HR"/>
              </w:rPr>
            </w:pPr>
            <w:r w:rsidRPr="00C779A5">
              <w:rPr>
                <w:rFonts w:ascii="Tahoma" w:eastAsia="Times New Roman" w:hAnsi="Tahoma" w:cs="Tahoma"/>
                <w:sz w:val="18"/>
                <w:szCs w:val="18"/>
                <w:lang w:eastAsia="hr-HR"/>
              </w:rPr>
              <w:t>0</w:t>
            </w:r>
          </w:p>
        </w:tc>
        <w:tc>
          <w:tcPr>
            <w:tcW w:w="444" w:type="dxa"/>
            <w:tcBorders>
              <w:top w:val="nil"/>
              <w:left w:val="nil"/>
              <w:bottom w:val="single" w:sz="4" w:space="0" w:color="auto"/>
              <w:right w:val="single" w:sz="4" w:space="0" w:color="auto"/>
            </w:tcBorders>
            <w:shd w:val="clear" w:color="000000" w:fill="FFFF00"/>
            <w:noWrap/>
            <w:vAlign w:val="bottom"/>
            <w:hideMark/>
          </w:tcPr>
          <w:p w14:paraId="4F249453" w14:textId="77777777" w:rsidR="00C779A5" w:rsidRPr="00C779A5" w:rsidRDefault="00C779A5" w:rsidP="00C779A5">
            <w:pPr>
              <w:spacing w:after="0" w:line="240" w:lineRule="auto"/>
              <w:jc w:val="center"/>
              <w:rPr>
                <w:rFonts w:ascii="Tahoma" w:eastAsia="Times New Roman" w:hAnsi="Tahoma" w:cs="Tahoma"/>
                <w:sz w:val="18"/>
                <w:szCs w:val="18"/>
                <w:lang w:eastAsia="hr-HR"/>
              </w:rPr>
            </w:pPr>
            <w:r w:rsidRPr="00C779A5">
              <w:rPr>
                <w:rFonts w:ascii="Tahoma" w:eastAsia="Times New Roman" w:hAnsi="Tahoma" w:cs="Tahoma"/>
                <w:sz w:val="18"/>
                <w:szCs w:val="18"/>
                <w:lang w:eastAsia="hr-HR"/>
              </w:rPr>
              <w:t>0</w:t>
            </w:r>
          </w:p>
        </w:tc>
        <w:tc>
          <w:tcPr>
            <w:tcW w:w="399" w:type="dxa"/>
            <w:tcBorders>
              <w:top w:val="nil"/>
              <w:left w:val="nil"/>
              <w:bottom w:val="single" w:sz="4" w:space="0" w:color="auto"/>
              <w:right w:val="single" w:sz="4" w:space="0" w:color="auto"/>
            </w:tcBorders>
            <w:shd w:val="clear" w:color="000000" w:fill="CCFFFF"/>
            <w:noWrap/>
            <w:vAlign w:val="bottom"/>
            <w:hideMark/>
          </w:tcPr>
          <w:p w14:paraId="495B1269" w14:textId="77777777" w:rsidR="00C779A5" w:rsidRPr="00C779A5" w:rsidRDefault="00C779A5" w:rsidP="00C779A5">
            <w:pPr>
              <w:spacing w:after="0" w:line="240" w:lineRule="auto"/>
              <w:jc w:val="right"/>
              <w:rPr>
                <w:rFonts w:ascii="Tahoma" w:eastAsia="Times New Roman" w:hAnsi="Tahoma" w:cs="Tahoma"/>
                <w:sz w:val="18"/>
                <w:szCs w:val="18"/>
                <w:lang w:eastAsia="hr-HR"/>
              </w:rPr>
            </w:pPr>
            <w:r w:rsidRPr="00C779A5">
              <w:rPr>
                <w:rFonts w:ascii="Tahoma" w:eastAsia="Times New Roman" w:hAnsi="Tahoma" w:cs="Tahoma"/>
                <w:sz w:val="18"/>
                <w:szCs w:val="18"/>
                <w:lang w:eastAsia="hr-HR"/>
              </w:rPr>
              <w:t>0</w:t>
            </w:r>
          </w:p>
        </w:tc>
        <w:tc>
          <w:tcPr>
            <w:tcW w:w="425" w:type="dxa"/>
            <w:tcBorders>
              <w:top w:val="nil"/>
              <w:left w:val="nil"/>
              <w:bottom w:val="single" w:sz="4" w:space="0" w:color="auto"/>
              <w:right w:val="single" w:sz="4" w:space="0" w:color="auto"/>
            </w:tcBorders>
            <w:shd w:val="clear" w:color="000000" w:fill="CCFFFF"/>
            <w:noWrap/>
            <w:vAlign w:val="bottom"/>
            <w:hideMark/>
          </w:tcPr>
          <w:p w14:paraId="45DE3351" w14:textId="77777777" w:rsidR="00C779A5" w:rsidRPr="00C779A5" w:rsidRDefault="00C779A5" w:rsidP="00C779A5">
            <w:pPr>
              <w:spacing w:after="0" w:line="240" w:lineRule="auto"/>
              <w:jc w:val="right"/>
              <w:rPr>
                <w:rFonts w:ascii="Tahoma" w:eastAsia="Times New Roman" w:hAnsi="Tahoma" w:cs="Tahoma"/>
                <w:sz w:val="18"/>
                <w:szCs w:val="18"/>
                <w:lang w:eastAsia="hr-HR"/>
              </w:rPr>
            </w:pPr>
            <w:r w:rsidRPr="00C779A5">
              <w:rPr>
                <w:rFonts w:ascii="Tahoma" w:eastAsia="Times New Roman" w:hAnsi="Tahoma" w:cs="Tahoma"/>
                <w:sz w:val="18"/>
                <w:szCs w:val="18"/>
                <w:lang w:eastAsia="hr-HR"/>
              </w:rPr>
              <w:t>0</w:t>
            </w:r>
          </w:p>
        </w:tc>
        <w:tc>
          <w:tcPr>
            <w:tcW w:w="574" w:type="dxa"/>
            <w:tcBorders>
              <w:top w:val="nil"/>
              <w:left w:val="nil"/>
              <w:bottom w:val="single" w:sz="4" w:space="0" w:color="auto"/>
              <w:right w:val="single" w:sz="4" w:space="0" w:color="auto"/>
            </w:tcBorders>
            <w:shd w:val="clear" w:color="000000" w:fill="FFFF99"/>
            <w:noWrap/>
            <w:vAlign w:val="bottom"/>
            <w:hideMark/>
          </w:tcPr>
          <w:p w14:paraId="786376D9" w14:textId="77777777" w:rsidR="00C779A5" w:rsidRPr="00C779A5" w:rsidRDefault="00C779A5" w:rsidP="00C779A5">
            <w:pPr>
              <w:spacing w:after="0" w:line="240" w:lineRule="auto"/>
              <w:jc w:val="center"/>
              <w:rPr>
                <w:rFonts w:ascii="Tahoma" w:eastAsia="Times New Roman" w:hAnsi="Tahoma" w:cs="Tahoma"/>
                <w:sz w:val="18"/>
                <w:szCs w:val="18"/>
                <w:lang w:eastAsia="hr-HR"/>
              </w:rPr>
            </w:pPr>
            <w:r w:rsidRPr="00C779A5">
              <w:rPr>
                <w:rFonts w:ascii="Tahoma" w:eastAsia="Times New Roman" w:hAnsi="Tahoma" w:cs="Tahoma"/>
                <w:sz w:val="18"/>
                <w:szCs w:val="18"/>
                <w:lang w:eastAsia="hr-HR"/>
              </w:rPr>
              <w:t>0</w:t>
            </w:r>
          </w:p>
        </w:tc>
        <w:tc>
          <w:tcPr>
            <w:tcW w:w="706" w:type="dxa"/>
            <w:tcBorders>
              <w:top w:val="nil"/>
              <w:left w:val="nil"/>
              <w:bottom w:val="single" w:sz="4" w:space="0" w:color="auto"/>
              <w:right w:val="single" w:sz="4" w:space="0" w:color="auto"/>
            </w:tcBorders>
            <w:shd w:val="clear" w:color="000000" w:fill="FFFF99"/>
            <w:noWrap/>
            <w:vAlign w:val="bottom"/>
            <w:hideMark/>
          </w:tcPr>
          <w:p w14:paraId="1AD36D87" w14:textId="77777777" w:rsidR="00C779A5" w:rsidRPr="00C779A5" w:rsidRDefault="00C779A5" w:rsidP="00C779A5">
            <w:pPr>
              <w:spacing w:after="0" w:line="240" w:lineRule="auto"/>
              <w:jc w:val="center"/>
              <w:rPr>
                <w:rFonts w:ascii="Tahoma" w:eastAsia="Times New Roman" w:hAnsi="Tahoma" w:cs="Tahoma"/>
                <w:sz w:val="18"/>
                <w:szCs w:val="18"/>
                <w:lang w:eastAsia="hr-HR"/>
              </w:rPr>
            </w:pPr>
            <w:r w:rsidRPr="00C779A5">
              <w:rPr>
                <w:rFonts w:ascii="Tahoma" w:eastAsia="Times New Roman" w:hAnsi="Tahoma" w:cs="Tahoma"/>
                <w:sz w:val="18"/>
                <w:szCs w:val="18"/>
                <w:lang w:eastAsia="hr-HR"/>
              </w:rPr>
              <w:t>0</w:t>
            </w:r>
          </w:p>
        </w:tc>
        <w:tc>
          <w:tcPr>
            <w:tcW w:w="565" w:type="dxa"/>
            <w:tcBorders>
              <w:top w:val="nil"/>
              <w:left w:val="nil"/>
              <w:bottom w:val="single" w:sz="4" w:space="0" w:color="auto"/>
              <w:right w:val="single" w:sz="4" w:space="0" w:color="auto"/>
            </w:tcBorders>
            <w:shd w:val="clear" w:color="000000" w:fill="FFFF99"/>
            <w:noWrap/>
            <w:vAlign w:val="bottom"/>
            <w:hideMark/>
          </w:tcPr>
          <w:p w14:paraId="3C1D8FE9" w14:textId="77777777" w:rsidR="00C779A5" w:rsidRPr="00C779A5" w:rsidRDefault="00C779A5" w:rsidP="00C779A5">
            <w:pPr>
              <w:spacing w:after="0" w:line="240" w:lineRule="auto"/>
              <w:jc w:val="center"/>
              <w:rPr>
                <w:rFonts w:ascii="Tahoma" w:eastAsia="Times New Roman" w:hAnsi="Tahoma" w:cs="Tahoma"/>
                <w:sz w:val="18"/>
                <w:szCs w:val="18"/>
                <w:lang w:eastAsia="hr-HR"/>
              </w:rPr>
            </w:pPr>
            <w:r w:rsidRPr="00C779A5">
              <w:rPr>
                <w:rFonts w:ascii="Tahoma" w:eastAsia="Times New Roman" w:hAnsi="Tahoma" w:cs="Tahoma"/>
                <w:sz w:val="18"/>
                <w:szCs w:val="18"/>
                <w:lang w:eastAsia="hr-HR"/>
              </w:rPr>
              <w:t>0</w:t>
            </w:r>
          </w:p>
        </w:tc>
        <w:tc>
          <w:tcPr>
            <w:tcW w:w="565" w:type="dxa"/>
            <w:tcBorders>
              <w:top w:val="nil"/>
              <w:left w:val="nil"/>
              <w:bottom w:val="single" w:sz="4" w:space="0" w:color="auto"/>
              <w:right w:val="single" w:sz="4" w:space="0" w:color="auto"/>
            </w:tcBorders>
            <w:shd w:val="clear" w:color="000000" w:fill="FFFF99"/>
            <w:noWrap/>
            <w:vAlign w:val="bottom"/>
            <w:hideMark/>
          </w:tcPr>
          <w:p w14:paraId="5526BC81" w14:textId="77777777" w:rsidR="00C779A5" w:rsidRPr="00C779A5" w:rsidRDefault="00C779A5" w:rsidP="00C779A5">
            <w:pPr>
              <w:spacing w:after="0" w:line="240" w:lineRule="auto"/>
              <w:jc w:val="center"/>
              <w:rPr>
                <w:rFonts w:ascii="Tahoma" w:eastAsia="Times New Roman" w:hAnsi="Tahoma" w:cs="Tahoma"/>
                <w:sz w:val="18"/>
                <w:szCs w:val="18"/>
                <w:lang w:eastAsia="hr-HR"/>
              </w:rPr>
            </w:pPr>
            <w:r w:rsidRPr="00C779A5">
              <w:rPr>
                <w:rFonts w:ascii="Tahoma" w:eastAsia="Times New Roman" w:hAnsi="Tahoma" w:cs="Tahoma"/>
                <w:sz w:val="18"/>
                <w:szCs w:val="18"/>
                <w:lang w:eastAsia="hr-HR"/>
              </w:rPr>
              <w:t>0</w:t>
            </w:r>
          </w:p>
        </w:tc>
        <w:tc>
          <w:tcPr>
            <w:tcW w:w="467" w:type="dxa"/>
            <w:tcBorders>
              <w:top w:val="nil"/>
              <w:left w:val="nil"/>
              <w:bottom w:val="single" w:sz="4" w:space="0" w:color="auto"/>
              <w:right w:val="single" w:sz="4" w:space="0" w:color="auto"/>
            </w:tcBorders>
            <w:shd w:val="clear" w:color="000000" w:fill="FFFF99"/>
            <w:noWrap/>
            <w:vAlign w:val="bottom"/>
            <w:hideMark/>
          </w:tcPr>
          <w:p w14:paraId="4A1A790E" w14:textId="77777777" w:rsidR="00C779A5" w:rsidRPr="00C779A5" w:rsidRDefault="00C779A5" w:rsidP="00C779A5">
            <w:pPr>
              <w:spacing w:after="0" w:line="240" w:lineRule="auto"/>
              <w:jc w:val="center"/>
              <w:rPr>
                <w:rFonts w:ascii="Tahoma" w:eastAsia="Times New Roman" w:hAnsi="Tahoma" w:cs="Tahoma"/>
                <w:sz w:val="18"/>
                <w:szCs w:val="18"/>
                <w:lang w:eastAsia="hr-HR"/>
              </w:rPr>
            </w:pPr>
            <w:r w:rsidRPr="00C779A5">
              <w:rPr>
                <w:rFonts w:ascii="Tahoma" w:eastAsia="Times New Roman" w:hAnsi="Tahoma" w:cs="Tahoma"/>
                <w:sz w:val="18"/>
                <w:szCs w:val="18"/>
                <w:lang w:eastAsia="hr-HR"/>
              </w:rPr>
              <w:t>0</w:t>
            </w:r>
          </w:p>
        </w:tc>
        <w:tc>
          <w:tcPr>
            <w:tcW w:w="805" w:type="dxa"/>
            <w:tcBorders>
              <w:top w:val="nil"/>
              <w:left w:val="nil"/>
              <w:bottom w:val="single" w:sz="4" w:space="0" w:color="auto"/>
              <w:right w:val="single" w:sz="4" w:space="0" w:color="auto"/>
            </w:tcBorders>
            <w:shd w:val="clear" w:color="000000" w:fill="FFFF99"/>
            <w:noWrap/>
            <w:vAlign w:val="bottom"/>
            <w:hideMark/>
          </w:tcPr>
          <w:p w14:paraId="74A2DFE8" w14:textId="77777777" w:rsidR="00C779A5" w:rsidRPr="00C779A5" w:rsidRDefault="00C779A5" w:rsidP="00C779A5">
            <w:pPr>
              <w:spacing w:after="0" w:line="240" w:lineRule="auto"/>
              <w:jc w:val="center"/>
              <w:rPr>
                <w:rFonts w:ascii="Tahoma" w:eastAsia="Times New Roman" w:hAnsi="Tahoma" w:cs="Tahoma"/>
                <w:sz w:val="18"/>
                <w:szCs w:val="18"/>
                <w:lang w:eastAsia="hr-HR"/>
              </w:rPr>
            </w:pPr>
            <w:r w:rsidRPr="00C779A5">
              <w:rPr>
                <w:rFonts w:ascii="Tahoma" w:eastAsia="Times New Roman" w:hAnsi="Tahoma" w:cs="Tahoma"/>
                <w:sz w:val="18"/>
                <w:szCs w:val="18"/>
                <w:lang w:eastAsia="hr-HR"/>
              </w:rPr>
              <w:t>0</w:t>
            </w:r>
          </w:p>
        </w:tc>
        <w:tc>
          <w:tcPr>
            <w:tcW w:w="467" w:type="dxa"/>
            <w:gridSpan w:val="2"/>
            <w:tcBorders>
              <w:top w:val="nil"/>
              <w:left w:val="nil"/>
              <w:bottom w:val="single" w:sz="4" w:space="0" w:color="auto"/>
              <w:right w:val="single" w:sz="4" w:space="0" w:color="auto"/>
            </w:tcBorders>
            <w:shd w:val="clear" w:color="000000" w:fill="FF9900"/>
            <w:noWrap/>
            <w:vAlign w:val="bottom"/>
            <w:hideMark/>
          </w:tcPr>
          <w:p w14:paraId="2774AE9C" w14:textId="77777777" w:rsidR="00C779A5" w:rsidRPr="00C779A5" w:rsidRDefault="00C779A5" w:rsidP="00C779A5">
            <w:pPr>
              <w:spacing w:after="0" w:line="240" w:lineRule="auto"/>
              <w:jc w:val="right"/>
              <w:rPr>
                <w:rFonts w:ascii="Tahoma" w:eastAsia="Times New Roman" w:hAnsi="Tahoma" w:cs="Tahoma"/>
                <w:sz w:val="18"/>
                <w:szCs w:val="18"/>
                <w:lang w:eastAsia="hr-HR"/>
              </w:rPr>
            </w:pPr>
            <w:r w:rsidRPr="00C779A5">
              <w:rPr>
                <w:rFonts w:ascii="Tahoma" w:eastAsia="Times New Roman" w:hAnsi="Tahoma" w:cs="Tahoma"/>
                <w:sz w:val="18"/>
                <w:szCs w:val="18"/>
                <w:lang w:eastAsia="hr-HR"/>
              </w:rPr>
              <w:t>0</w:t>
            </w:r>
          </w:p>
        </w:tc>
        <w:tc>
          <w:tcPr>
            <w:tcW w:w="522" w:type="dxa"/>
            <w:tcBorders>
              <w:top w:val="nil"/>
              <w:left w:val="nil"/>
              <w:bottom w:val="single" w:sz="4" w:space="0" w:color="auto"/>
              <w:right w:val="single" w:sz="4" w:space="0" w:color="auto"/>
            </w:tcBorders>
            <w:shd w:val="clear" w:color="000000" w:fill="FF9900"/>
            <w:noWrap/>
            <w:vAlign w:val="bottom"/>
            <w:hideMark/>
          </w:tcPr>
          <w:p w14:paraId="425B5CBB" w14:textId="77777777" w:rsidR="00C779A5" w:rsidRPr="00C779A5" w:rsidRDefault="00C779A5" w:rsidP="00C779A5">
            <w:pPr>
              <w:spacing w:after="0" w:line="240" w:lineRule="auto"/>
              <w:jc w:val="right"/>
              <w:rPr>
                <w:rFonts w:ascii="Tahoma" w:eastAsia="Times New Roman" w:hAnsi="Tahoma" w:cs="Tahoma"/>
                <w:sz w:val="18"/>
                <w:szCs w:val="18"/>
                <w:lang w:eastAsia="hr-HR"/>
              </w:rPr>
            </w:pPr>
            <w:r w:rsidRPr="00C779A5">
              <w:rPr>
                <w:rFonts w:ascii="Tahoma" w:eastAsia="Times New Roman" w:hAnsi="Tahoma" w:cs="Tahoma"/>
                <w:sz w:val="18"/>
                <w:szCs w:val="18"/>
                <w:lang w:eastAsia="hr-HR"/>
              </w:rPr>
              <w:t>0</w:t>
            </w:r>
          </w:p>
        </w:tc>
        <w:tc>
          <w:tcPr>
            <w:tcW w:w="467" w:type="dxa"/>
            <w:tcBorders>
              <w:top w:val="nil"/>
              <w:left w:val="nil"/>
              <w:bottom w:val="single" w:sz="4" w:space="0" w:color="auto"/>
              <w:right w:val="single" w:sz="4" w:space="0" w:color="auto"/>
            </w:tcBorders>
            <w:shd w:val="clear" w:color="000000" w:fill="FF9900"/>
            <w:noWrap/>
            <w:vAlign w:val="bottom"/>
            <w:hideMark/>
          </w:tcPr>
          <w:p w14:paraId="46014567" w14:textId="77777777" w:rsidR="00C779A5" w:rsidRPr="00C779A5" w:rsidRDefault="00C779A5" w:rsidP="00C779A5">
            <w:pPr>
              <w:spacing w:after="0" w:line="240" w:lineRule="auto"/>
              <w:jc w:val="right"/>
              <w:rPr>
                <w:rFonts w:ascii="Tahoma" w:eastAsia="Times New Roman" w:hAnsi="Tahoma" w:cs="Tahoma"/>
                <w:sz w:val="18"/>
                <w:szCs w:val="18"/>
                <w:lang w:eastAsia="hr-HR"/>
              </w:rPr>
            </w:pPr>
            <w:r w:rsidRPr="00C779A5">
              <w:rPr>
                <w:rFonts w:ascii="Tahoma" w:eastAsia="Times New Roman" w:hAnsi="Tahoma" w:cs="Tahoma"/>
                <w:sz w:val="18"/>
                <w:szCs w:val="18"/>
                <w:lang w:eastAsia="hr-HR"/>
              </w:rPr>
              <w:t>0</w:t>
            </w:r>
          </w:p>
        </w:tc>
        <w:tc>
          <w:tcPr>
            <w:tcW w:w="467" w:type="dxa"/>
            <w:tcBorders>
              <w:top w:val="nil"/>
              <w:left w:val="nil"/>
              <w:bottom w:val="single" w:sz="4" w:space="0" w:color="auto"/>
              <w:right w:val="single" w:sz="4" w:space="0" w:color="auto"/>
            </w:tcBorders>
            <w:shd w:val="clear" w:color="000000" w:fill="FFFF00"/>
            <w:vAlign w:val="center"/>
            <w:hideMark/>
          </w:tcPr>
          <w:p w14:paraId="39D06798" w14:textId="77777777" w:rsidR="00C779A5" w:rsidRPr="00C779A5" w:rsidRDefault="00C779A5" w:rsidP="00C779A5">
            <w:pPr>
              <w:spacing w:after="0" w:line="240" w:lineRule="auto"/>
              <w:jc w:val="center"/>
              <w:rPr>
                <w:rFonts w:ascii="Tahoma" w:eastAsia="Times New Roman" w:hAnsi="Tahoma" w:cs="Tahoma"/>
                <w:sz w:val="18"/>
                <w:szCs w:val="18"/>
                <w:lang w:eastAsia="hr-HR"/>
              </w:rPr>
            </w:pPr>
            <w:r w:rsidRPr="00C779A5">
              <w:rPr>
                <w:rFonts w:ascii="Tahoma" w:eastAsia="Times New Roman" w:hAnsi="Tahoma" w:cs="Tahoma"/>
                <w:sz w:val="18"/>
                <w:szCs w:val="18"/>
                <w:lang w:eastAsia="hr-HR"/>
              </w:rPr>
              <w:t>0</w:t>
            </w:r>
          </w:p>
        </w:tc>
        <w:tc>
          <w:tcPr>
            <w:tcW w:w="877" w:type="dxa"/>
            <w:gridSpan w:val="2"/>
            <w:tcBorders>
              <w:top w:val="nil"/>
              <w:left w:val="nil"/>
              <w:bottom w:val="single" w:sz="4" w:space="0" w:color="auto"/>
              <w:right w:val="single" w:sz="4" w:space="0" w:color="auto"/>
            </w:tcBorders>
            <w:shd w:val="clear" w:color="000000" w:fill="FF9900"/>
            <w:vAlign w:val="center"/>
            <w:hideMark/>
          </w:tcPr>
          <w:p w14:paraId="0B2310A2" w14:textId="77777777" w:rsidR="00C779A5" w:rsidRPr="00C779A5" w:rsidRDefault="00C779A5" w:rsidP="00C779A5">
            <w:pPr>
              <w:spacing w:after="0" w:line="240" w:lineRule="auto"/>
              <w:jc w:val="center"/>
              <w:rPr>
                <w:rFonts w:ascii="Tahoma" w:eastAsia="Times New Roman" w:hAnsi="Tahoma" w:cs="Tahoma"/>
                <w:sz w:val="18"/>
                <w:szCs w:val="18"/>
                <w:lang w:eastAsia="hr-HR"/>
              </w:rPr>
            </w:pPr>
            <w:r w:rsidRPr="00C779A5">
              <w:rPr>
                <w:rFonts w:ascii="Tahoma" w:eastAsia="Times New Roman" w:hAnsi="Tahoma" w:cs="Tahoma"/>
                <w:sz w:val="18"/>
                <w:szCs w:val="18"/>
                <w:lang w:eastAsia="hr-HR"/>
              </w:rPr>
              <w:t>0</w:t>
            </w:r>
          </w:p>
        </w:tc>
        <w:tc>
          <w:tcPr>
            <w:tcW w:w="576" w:type="dxa"/>
            <w:gridSpan w:val="2"/>
            <w:tcBorders>
              <w:top w:val="nil"/>
              <w:left w:val="nil"/>
              <w:bottom w:val="single" w:sz="4" w:space="0" w:color="auto"/>
              <w:right w:val="single" w:sz="4" w:space="0" w:color="auto"/>
            </w:tcBorders>
            <w:shd w:val="clear" w:color="000000" w:fill="FF9900"/>
            <w:vAlign w:val="center"/>
            <w:hideMark/>
          </w:tcPr>
          <w:p w14:paraId="5B41C53B" w14:textId="77777777" w:rsidR="00C779A5" w:rsidRPr="00C779A5" w:rsidRDefault="00C779A5" w:rsidP="00C779A5">
            <w:pPr>
              <w:spacing w:after="0" w:line="240" w:lineRule="auto"/>
              <w:jc w:val="center"/>
              <w:rPr>
                <w:rFonts w:ascii="Tahoma" w:eastAsia="Times New Roman" w:hAnsi="Tahoma" w:cs="Tahoma"/>
                <w:sz w:val="18"/>
                <w:szCs w:val="18"/>
                <w:lang w:eastAsia="hr-HR"/>
              </w:rPr>
            </w:pPr>
            <w:r w:rsidRPr="00C779A5">
              <w:rPr>
                <w:rFonts w:ascii="Tahoma" w:eastAsia="Times New Roman" w:hAnsi="Tahoma" w:cs="Tahoma"/>
                <w:sz w:val="18"/>
                <w:szCs w:val="18"/>
                <w:lang w:eastAsia="hr-HR"/>
              </w:rPr>
              <w:t>0</w:t>
            </w:r>
          </w:p>
        </w:tc>
        <w:tc>
          <w:tcPr>
            <w:tcW w:w="440" w:type="dxa"/>
            <w:tcBorders>
              <w:top w:val="nil"/>
              <w:left w:val="nil"/>
              <w:bottom w:val="single" w:sz="4" w:space="0" w:color="auto"/>
              <w:right w:val="single" w:sz="4" w:space="0" w:color="auto"/>
            </w:tcBorders>
            <w:shd w:val="clear" w:color="000000" w:fill="FF9900"/>
            <w:vAlign w:val="center"/>
            <w:hideMark/>
          </w:tcPr>
          <w:p w14:paraId="053852FC" w14:textId="77777777" w:rsidR="00C779A5" w:rsidRPr="00C779A5" w:rsidRDefault="00C779A5" w:rsidP="00C779A5">
            <w:pPr>
              <w:spacing w:after="0" w:line="240" w:lineRule="auto"/>
              <w:jc w:val="center"/>
              <w:rPr>
                <w:rFonts w:ascii="Tahoma" w:eastAsia="Times New Roman" w:hAnsi="Tahoma" w:cs="Tahoma"/>
                <w:sz w:val="18"/>
                <w:szCs w:val="18"/>
                <w:lang w:eastAsia="hr-HR"/>
              </w:rPr>
            </w:pPr>
            <w:r w:rsidRPr="00C779A5">
              <w:rPr>
                <w:rFonts w:ascii="Tahoma" w:eastAsia="Times New Roman" w:hAnsi="Tahoma" w:cs="Tahoma"/>
                <w:sz w:val="18"/>
                <w:szCs w:val="18"/>
                <w:lang w:eastAsia="hr-HR"/>
              </w:rPr>
              <w:t>0</w:t>
            </w:r>
          </w:p>
        </w:tc>
        <w:tc>
          <w:tcPr>
            <w:tcW w:w="793" w:type="dxa"/>
            <w:tcBorders>
              <w:top w:val="nil"/>
              <w:left w:val="nil"/>
              <w:bottom w:val="single" w:sz="4" w:space="0" w:color="auto"/>
              <w:right w:val="single" w:sz="4" w:space="0" w:color="auto"/>
            </w:tcBorders>
            <w:shd w:val="clear" w:color="000000" w:fill="FF9900"/>
            <w:vAlign w:val="center"/>
            <w:hideMark/>
          </w:tcPr>
          <w:p w14:paraId="5CD44C43" w14:textId="77777777" w:rsidR="00C779A5" w:rsidRPr="00C779A5" w:rsidRDefault="00C779A5" w:rsidP="00C779A5">
            <w:pPr>
              <w:spacing w:after="0" w:line="240" w:lineRule="auto"/>
              <w:jc w:val="center"/>
              <w:rPr>
                <w:rFonts w:ascii="Tahoma" w:eastAsia="Times New Roman" w:hAnsi="Tahoma" w:cs="Tahoma"/>
                <w:sz w:val="18"/>
                <w:szCs w:val="18"/>
                <w:lang w:eastAsia="hr-HR"/>
              </w:rPr>
            </w:pPr>
            <w:r w:rsidRPr="00C779A5">
              <w:rPr>
                <w:rFonts w:ascii="Tahoma" w:eastAsia="Times New Roman" w:hAnsi="Tahoma" w:cs="Tahoma"/>
                <w:sz w:val="18"/>
                <w:szCs w:val="18"/>
                <w:lang w:eastAsia="hr-HR"/>
              </w:rPr>
              <w:t>0</w:t>
            </w:r>
          </w:p>
        </w:tc>
        <w:tc>
          <w:tcPr>
            <w:tcW w:w="645" w:type="dxa"/>
            <w:gridSpan w:val="2"/>
            <w:tcBorders>
              <w:top w:val="nil"/>
              <w:left w:val="nil"/>
              <w:bottom w:val="single" w:sz="4" w:space="0" w:color="auto"/>
              <w:right w:val="single" w:sz="4" w:space="0" w:color="auto"/>
            </w:tcBorders>
            <w:shd w:val="clear" w:color="000000" w:fill="CCFFFF"/>
            <w:noWrap/>
            <w:vAlign w:val="bottom"/>
            <w:hideMark/>
          </w:tcPr>
          <w:p w14:paraId="577E8174" w14:textId="77777777" w:rsidR="00C779A5" w:rsidRPr="00C779A5" w:rsidRDefault="00C779A5" w:rsidP="00C779A5">
            <w:pPr>
              <w:spacing w:after="0" w:line="240" w:lineRule="auto"/>
              <w:jc w:val="right"/>
              <w:rPr>
                <w:rFonts w:ascii="Tahoma" w:eastAsia="Times New Roman" w:hAnsi="Tahoma" w:cs="Tahoma"/>
                <w:sz w:val="18"/>
                <w:szCs w:val="18"/>
                <w:lang w:eastAsia="hr-HR"/>
              </w:rPr>
            </w:pPr>
            <w:r w:rsidRPr="00C779A5">
              <w:rPr>
                <w:rFonts w:ascii="Tahoma" w:eastAsia="Times New Roman" w:hAnsi="Tahoma" w:cs="Tahoma"/>
                <w:sz w:val="18"/>
                <w:szCs w:val="18"/>
                <w:lang w:eastAsia="hr-HR"/>
              </w:rPr>
              <w:t>0</w:t>
            </w:r>
          </w:p>
        </w:tc>
        <w:tc>
          <w:tcPr>
            <w:tcW w:w="467" w:type="dxa"/>
            <w:tcBorders>
              <w:top w:val="nil"/>
              <w:left w:val="nil"/>
              <w:bottom w:val="single" w:sz="4" w:space="0" w:color="auto"/>
              <w:right w:val="single" w:sz="4" w:space="0" w:color="auto"/>
            </w:tcBorders>
            <w:shd w:val="clear" w:color="000000" w:fill="CCFFFF"/>
            <w:noWrap/>
            <w:vAlign w:val="bottom"/>
            <w:hideMark/>
          </w:tcPr>
          <w:p w14:paraId="2B391430" w14:textId="77777777" w:rsidR="00C779A5" w:rsidRPr="00C779A5" w:rsidRDefault="00C779A5" w:rsidP="00C779A5">
            <w:pPr>
              <w:spacing w:after="0" w:line="240" w:lineRule="auto"/>
              <w:jc w:val="right"/>
              <w:rPr>
                <w:rFonts w:ascii="Tahoma" w:eastAsia="Times New Roman" w:hAnsi="Tahoma" w:cs="Tahoma"/>
                <w:sz w:val="18"/>
                <w:szCs w:val="18"/>
                <w:lang w:eastAsia="hr-HR"/>
              </w:rPr>
            </w:pPr>
            <w:r w:rsidRPr="00C779A5">
              <w:rPr>
                <w:rFonts w:ascii="Tahoma" w:eastAsia="Times New Roman" w:hAnsi="Tahoma" w:cs="Tahoma"/>
                <w:sz w:val="18"/>
                <w:szCs w:val="18"/>
                <w:lang w:eastAsia="hr-HR"/>
              </w:rPr>
              <w:t>0</w:t>
            </w:r>
          </w:p>
        </w:tc>
        <w:tc>
          <w:tcPr>
            <w:tcW w:w="467" w:type="dxa"/>
            <w:tcBorders>
              <w:top w:val="nil"/>
              <w:left w:val="nil"/>
              <w:bottom w:val="single" w:sz="4" w:space="0" w:color="auto"/>
              <w:right w:val="single" w:sz="4" w:space="0" w:color="auto"/>
            </w:tcBorders>
            <w:shd w:val="clear" w:color="000000" w:fill="CCFFFF"/>
            <w:noWrap/>
            <w:vAlign w:val="bottom"/>
            <w:hideMark/>
          </w:tcPr>
          <w:p w14:paraId="47C82F22" w14:textId="77777777" w:rsidR="00C779A5" w:rsidRPr="00C779A5" w:rsidRDefault="00C779A5" w:rsidP="00C779A5">
            <w:pPr>
              <w:spacing w:after="0" w:line="240" w:lineRule="auto"/>
              <w:jc w:val="right"/>
              <w:rPr>
                <w:rFonts w:ascii="Tahoma" w:eastAsia="Times New Roman" w:hAnsi="Tahoma" w:cs="Tahoma"/>
                <w:sz w:val="18"/>
                <w:szCs w:val="18"/>
                <w:lang w:eastAsia="hr-HR"/>
              </w:rPr>
            </w:pPr>
            <w:r w:rsidRPr="00C779A5">
              <w:rPr>
                <w:rFonts w:ascii="Tahoma" w:eastAsia="Times New Roman" w:hAnsi="Tahoma" w:cs="Tahoma"/>
                <w:sz w:val="18"/>
                <w:szCs w:val="18"/>
                <w:lang w:eastAsia="hr-HR"/>
              </w:rPr>
              <w:t>0</w:t>
            </w:r>
          </w:p>
        </w:tc>
        <w:tc>
          <w:tcPr>
            <w:tcW w:w="478" w:type="dxa"/>
            <w:gridSpan w:val="2"/>
            <w:tcBorders>
              <w:top w:val="nil"/>
              <w:left w:val="nil"/>
              <w:bottom w:val="single" w:sz="4" w:space="0" w:color="auto"/>
              <w:right w:val="nil"/>
            </w:tcBorders>
            <w:shd w:val="clear" w:color="000000" w:fill="33CCCC"/>
            <w:noWrap/>
            <w:vAlign w:val="bottom"/>
            <w:hideMark/>
          </w:tcPr>
          <w:p w14:paraId="65C4FFF2" w14:textId="77777777" w:rsidR="00C779A5" w:rsidRPr="00C779A5" w:rsidRDefault="00C779A5" w:rsidP="00C779A5">
            <w:pPr>
              <w:spacing w:after="0" w:line="240" w:lineRule="auto"/>
              <w:jc w:val="right"/>
              <w:rPr>
                <w:rFonts w:ascii="Tahoma" w:eastAsia="Times New Roman" w:hAnsi="Tahoma" w:cs="Tahoma"/>
                <w:sz w:val="18"/>
                <w:szCs w:val="18"/>
                <w:lang w:eastAsia="hr-HR"/>
              </w:rPr>
            </w:pPr>
            <w:r w:rsidRPr="00C779A5">
              <w:rPr>
                <w:rFonts w:ascii="Tahoma" w:eastAsia="Times New Roman" w:hAnsi="Tahoma" w:cs="Tahoma"/>
                <w:sz w:val="18"/>
                <w:szCs w:val="18"/>
                <w:lang w:eastAsia="hr-HR"/>
              </w:rPr>
              <w:t>0</w:t>
            </w:r>
          </w:p>
        </w:tc>
        <w:tc>
          <w:tcPr>
            <w:tcW w:w="876" w:type="dxa"/>
            <w:tcBorders>
              <w:top w:val="nil"/>
              <w:left w:val="single" w:sz="4" w:space="0" w:color="auto"/>
              <w:bottom w:val="single" w:sz="4" w:space="0" w:color="auto"/>
              <w:right w:val="single" w:sz="8" w:space="0" w:color="auto"/>
            </w:tcBorders>
            <w:shd w:val="clear" w:color="000000" w:fill="33CCCC"/>
            <w:noWrap/>
            <w:vAlign w:val="bottom"/>
            <w:hideMark/>
          </w:tcPr>
          <w:p w14:paraId="519BC386" w14:textId="77777777" w:rsidR="00C779A5" w:rsidRPr="00C779A5" w:rsidRDefault="00C779A5" w:rsidP="00C779A5">
            <w:pPr>
              <w:spacing w:after="0" w:line="240" w:lineRule="auto"/>
              <w:jc w:val="right"/>
              <w:rPr>
                <w:rFonts w:ascii="Tahoma" w:eastAsia="Times New Roman" w:hAnsi="Tahoma" w:cs="Tahoma"/>
                <w:sz w:val="18"/>
                <w:szCs w:val="18"/>
                <w:lang w:eastAsia="hr-HR"/>
              </w:rPr>
            </w:pPr>
            <w:r w:rsidRPr="00C779A5">
              <w:rPr>
                <w:rFonts w:ascii="Tahoma" w:eastAsia="Times New Roman" w:hAnsi="Tahoma" w:cs="Tahoma"/>
                <w:sz w:val="18"/>
                <w:szCs w:val="18"/>
                <w:lang w:eastAsia="hr-HR"/>
              </w:rPr>
              <w:t>0</w:t>
            </w:r>
          </w:p>
        </w:tc>
        <w:tc>
          <w:tcPr>
            <w:tcW w:w="236" w:type="dxa"/>
            <w:gridSpan w:val="3"/>
            <w:vAlign w:val="center"/>
            <w:hideMark/>
          </w:tcPr>
          <w:p w14:paraId="5FA8D900" w14:textId="77777777" w:rsidR="00C779A5" w:rsidRPr="00C779A5" w:rsidRDefault="00C779A5" w:rsidP="00C779A5">
            <w:pPr>
              <w:spacing w:after="0" w:line="240" w:lineRule="auto"/>
              <w:rPr>
                <w:rFonts w:ascii="Times New Roman" w:eastAsia="Times New Roman" w:hAnsi="Times New Roman" w:cs="Times New Roman"/>
                <w:sz w:val="18"/>
                <w:szCs w:val="18"/>
                <w:lang w:eastAsia="hr-HR"/>
              </w:rPr>
            </w:pPr>
          </w:p>
        </w:tc>
      </w:tr>
      <w:tr w:rsidR="00C779A5" w:rsidRPr="00C779A5" w14:paraId="3273AC8F" w14:textId="77777777" w:rsidTr="00C779A5">
        <w:trPr>
          <w:gridAfter w:val="2"/>
          <w:wAfter w:w="149" w:type="dxa"/>
          <w:trHeight w:val="300"/>
        </w:trPr>
        <w:tc>
          <w:tcPr>
            <w:tcW w:w="1567" w:type="dxa"/>
            <w:tcBorders>
              <w:top w:val="single" w:sz="4" w:space="0" w:color="auto"/>
              <w:left w:val="single" w:sz="8" w:space="0" w:color="auto"/>
              <w:bottom w:val="single" w:sz="4" w:space="0" w:color="auto"/>
              <w:right w:val="single" w:sz="4" w:space="0" w:color="auto"/>
            </w:tcBorders>
            <w:shd w:val="clear" w:color="000000" w:fill="CCFFCC"/>
            <w:vAlign w:val="center"/>
            <w:hideMark/>
          </w:tcPr>
          <w:p w14:paraId="01E95EE0" w14:textId="77777777" w:rsidR="00C779A5" w:rsidRPr="00C779A5" w:rsidRDefault="00C779A5" w:rsidP="00C779A5">
            <w:pPr>
              <w:spacing w:after="0" w:line="240" w:lineRule="auto"/>
              <w:rPr>
                <w:rFonts w:ascii="Tahoma" w:eastAsia="Times New Roman" w:hAnsi="Tahoma" w:cs="Tahoma"/>
                <w:sz w:val="18"/>
                <w:szCs w:val="18"/>
                <w:lang w:eastAsia="hr-HR"/>
              </w:rPr>
            </w:pPr>
            <w:r w:rsidRPr="00C779A5">
              <w:rPr>
                <w:rFonts w:ascii="Tahoma" w:eastAsia="Times New Roman" w:hAnsi="Tahoma" w:cs="Tahoma"/>
                <w:sz w:val="18"/>
                <w:szCs w:val="18"/>
                <w:lang w:eastAsia="hr-HR"/>
              </w:rPr>
              <w:t>Vjera</w:t>
            </w:r>
          </w:p>
        </w:tc>
        <w:tc>
          <w:tcPr>
            <w:tcW w:w="557" w:type="dxa"/>
            <w:tcBorders>
              <w:top w:val="nil"/>
              <w:left w:val="nil"/>
              <w:bottom w:val="single" w:sz="4" w:space="0" w:color="auto"/>
              <w:right w:val="single" w:sz="4" w:space="0" w:color="auto"/>
            </w:tcBorders>
            <w:shd w:val="clear" w:color="000000" w:fill="FFCC99"/>
            <w:noWrap/>
            <w:vAlign w:val="bottom"/>
            <w:hideMark/>
          </w:tcPr>
          <w:p w14:paraId="70E973FD" w14:textId="77777777" w:rsidR="00C779A5" w:rsidRPr="00C779A5" w:rsidRDefault="00C779A5" w:rsidP="00C779A5">
            <w:pPr>
              <w:spacing w:after="0" w:line="240" w:lineRule="auto"/>
              <w:jc w:val="center"/>
              <w:rPr>
                <w:rFonts w:ascii="Tahoma" w:eastAsia="Times New Roman" w:hAnsi="Tahoma" w:cs="Tahoma"/>
                <w:sz w:val="18"/>
                <w:szCs w:val="18"/>
                <w:lang w:eastAsia="hr-HR"/>
              </w:rPr>
            </w:pPr>
            <w:r w:rsidRPr="00C779A5">
              <w:rPr>
                <w:rFonts w:ascii="Tahoma" w:eastAsia="Times New Roman" w:hAnsi="Tahoma" w:cs="Tahoma"/>
                <w:sz w:val="18"/>
                <w:szCs w:val="18"/>
                <w:lang w:eastAsia="hr-HR"/>
              </w:rPr>
              <w:t>1</w:t>
            </w:r>
          </w:p>
        </w:tc>
        <w:tc>
          <w:tcPr>
            <w:tcW w:w="444" w:type="dxa"/>
            <w:tcBorders>
              <w:top w:val="nil"/>
              <w:left w:val="nil"/>
              <w:bottom w:val="single" w:sz="4" w:space="0" w:color="auto"/>
              <w:right w:val="single" w:sz="4" w:space="0" w:color="auto"/>
            </w:tcBorders>
            <w:shd w:val="clear" w:color="000000" w:fill="FFFF00"/>
            <w:noWrap/>
            <w:vAlign w:val="bottom"/>
            <w:hideMark/>
          </w:tcPr>
          <w:p w14:paraId="4713AF17" w14:textId="77777777" w:rsidR="00C779A5" w:rsidRPr="00C779A5" w:rsidRDefault="00C779A5" w:rsidP="00C779A5">
            <w:pPr>
              <w:spacing w:after="0" w:line="240" w:lineRule="auto"/>
              <w:jc w:val="center"/>
              <w:rPr>
                <w:rFonts w:ascii="Tahoma" w:eastAsia="Times New Roman" w:hAnsi="Tahoma" w:cs="Tahoma"/>
                <w:sz w:val="18"/>
                <w:szCs w:val="18"/>
                <w:lang w:eastAsia="hr-HR"/>
              </w:rPr>
            </w:pPr>
            <w:r w:rsidRPr="00C779A5">
              <w:rPr>
                <w:rFonts w:ascii="Tahoma" w:eastAsia="Times New Roman" w:hAnsi="Tahoma" w:cs="Tahoma"/>
                <w:sz w:val="18"/>
                <w:szCs w:val="18"/>
                <w:lang w:eastAsia="hr-HR"/>
              </w:rPr>
              <w:t>0</w:t>
            </w:r>
          </w:p>
        </w:tc>
        <w:tc>
          <w:tcPr>
            <w:tcW w:w="399" w:type="dxa"/>
            <w:tcBorders>
              <w:top w:val="nil"/>
              <w:left w:val="nil"/>
              <w:bottom w:val="single" w:sz="4" w:space="0" w:color="auto"/>
              <w:right w:val="single" w:sz="4" w:space="0" w:color="auto"/>
            </w:tcBorders>
            <w:shd w:val="clear" w:color="000000" w:fill="CCFFFF"/>
            <w:noWrap/>
            <w:vAlign w:val="bottom"/>
            <w:hideMark/>
          </w:tcPr>
          <w:p w14:paraId="5930F1C7" w14:textId="77777777" w:rsidR="00C779A5" w:rsidRPr="00C779A5" w:rsidRDefault="00C779A5" w:rsidP="00C779A5">
            <w:pPr>
              <w:spacing w:after="0" w:line="240" w:lineRule="auto"/>
              <w:jc w:val="right"/>
              <w:rPr>
                <w:rFonts w:ascii="Tahoma" w:eastAsia="Times New Roman" w:hAnsi="Tahoma" w:cs="Tahoma"/>
                <w:sz w:val="18"/>
                <w:szCs w:val="18"/>
                <w:lang w:eastAsia="hr-HR"/>
              </w:rPr>
            </w:pPr>
            <w:r w:rsidRPr="00C779A5">
              <w:rPr>
                <w:rFonts w:ascii="Tahoma" w:eastAsia="Times New Roman" w:hAnsi="Tahoma" w:cs="Tahoma"/>
                <w:sz w:val="18"/>
                <w:szCs w:val="18"/>
                <w:lang w:eastAsia="hr-HR"/>
              </w:rPr>
              <w:t>0</w:t>
            </w:r>
          </w:p>
        </w:tc>
        <w:tc>
          <w:tcPr>
            <w:tcW w:w="425" w:type="dxa"/>
            <w:tcBorders>
              <w:top w:val="nil"/>
              <w:left w:val="nil"/>
              <w:bottom w:val="single" w:sz="4" w:space="0" w:color="auto"/>
              <w:right w:val="single" w:sz="4" w:space="0" w:color="auto"/>
            </w:tcBorders>
            <w:shd w:val="clear" w:color="000000" w:fill="CCFFFF"/>
            <w:noWrap/>
            <w:vAlign w:val="bottom"/>
            <w:hideMark/>
          </w:tcPr>
          <w:p w14:paraId="45B832C3" w14:textId="77777777" w:rsidR="00C779A5" w:rsidRPr="00C779A5" w:rsidRDefault="00C779A5" w:rsidP="00C779A5">
            <w:pPr>
              <w:spacing w:after="0" w:line="240" w:lineRule="auto"/>
              <w:jc w:val="right"/>
              <w:rPr>
                <w:rFonts w:ascii="Tahoma" w:eastAsia="Times New Roman" w:hAnsi="Tahoma" w:cs="Tahoma"/>
                <w:sz w:val="18"/>
                <w:szCs w:val="18"/>
                <w:lang w:eastAsia="hr-HR"/>
              </w:rPr>
            </w:pPr>
            <w:r w:rsidRPr="00C779A5">
              <w:rPr>
                <w:rFonts w:ascii="Tahoma" w:eastAsia="Times New Roman" w:hAnsi="Tahoma" w:cs="Tahoma"/>
                <w:sz w:val="18"/>
                <w:szCs w:val="18"/>
                <w:lang w:eastAsia="hr-HR"/>
              </w:rPr>
              <w:t>0</w:t>
            </w:r>
          </w:p>
        </w:tc>
        <w:tc>
          <w:tcPr>
            <w:tcW w:w="574" w:type="dxa"/>
            <w:tcBorders>
              <w:top w:val="nil"/>
              <w:left w:val="nil"/>
              <w:bottom w:val="single" w:sz="4" w:space="0" w:color="auto"/>
              <w:right w:val="single" w:sz="4" w:space="0" w:color="auto"/>
            </w:tcBorders>
            <w:shd w:val="clear" w:color="000000" w:fill="FFFF99"/>
            <w:noWrap/>
            <w:vAlign w:val="bottom"/>
            <w:hideMark/>
          </w:tcPr>
          <w:p w14:paraId="46804A04" w14:textId="77777777" w:rsidR="00C779A5" w:rsidRPr="00C779A5" w:rsidRDefault="00C779A5" w:rsidP="00C779A5">
            <w:pPr>
              <w:spacing w:after="0" w:line="240" w:lineRule="auto"/>
              <w:jc w:val="center"/>
              <w:rPr>
                <w:rFonts w:ascii="Tahoma" w:eastAsia="Times New Roman" w:hAnsi="Tahoma" w:cs="Tahoma"/>
                <w:sz w:val="18"/>
                <w:szCs w:val="18"/>
                <w:lang w:eastAsia="hr-HR"/>
              </w:rPr>
            </w:pPr>
            <w:r w:rsidRPr="00C779A5">
              <w:rPr>
                <w:rFonts w:ascii="Tahoma" w:eastAsia="Times New Roman" w:hAnsi="Tahoma" w:cs="Tahoma"/>
                <w:sz w:val="18"/>
                <w:szCs w:val="18"/>
                <w:lang w:eastAsia="hr-HR"/>
              </w:rPr>
              <w:t>0</w:t>
            </w:r>
          </w:p>
        </w:tc>
        <w:tc>
          <w:tcPr>
            <w:tcW w:w="706" w:type="dxa"/>
            <w:tcBorders>
              <w:top w:val="nil"/>
              <w:left w:val="nil"/>
              <w:bottom w:val="single" w:sz="4" w:space="0" w:color="auto"/>
              <w:right w:val="single" w:sz="4" w:space="0" w:color="auto"/>
            </w:tcBorders>
            <w:shd w:val="clear" w:color="000000" w:fill="FFFF99"/>
            <w:noWrap/>
            <w:vAlign w:val="bottom"/>
            <w:hideMark/>
          </w:tcPr>
          <w:p w14:paraId="42A459DD" w14:textId="77777777" w:rsidR="00C779A5" w:rsidRPr="00C779A5" w:rsidRDefault="00C779A5" w:rsidP="00C779A5">
            <w:pPr>
              <w:spacing w:after="0" w:line="240" w:lineRule="auto"/>
              <w:jc w:val="center"/>
              <w:rPr>
                <w:rFonts w:ascii="Tahoma" w:eastAsia="Times New Roman" w:hAnsi="Tahoma" w:cs="Tahoma"/>
                <w:sz w:val="18"/>
                <w:szCs w:val="18"/>
                <w:lang w:eastAsia="hr-HR"/>
              </w:rPr>
            </w:pPr>
            <w:r w:rsidRPr="00C779A5">
              <w:rPr>
                <w:rFonts w:ascii="Tahoma" w:eastAsia="Times New Roman" w:hAnsi="Tahoma" w:cs="Tahoma"/>
                <w:sz w:val="18"/>
                <w:szCs w:val="18"/>
                <w:lang w:eastAsia="hr-HR"/>
              </w:rPr>
              <w:t>0</w:t>
            </w:r>
          </w:p>
        </w:tc>
        <w:tc>
          <w:tcPr>
            <w:tcW w:w="565" w:type="dxa"/>
            <w:tcBorders>
              <w:top w:val="nil"/>
              <w:left w:val="nil"/>
              <w:bottom w:val="single" w:sz="4" w:space="0" w:color="auto"/>
              <w:right w:val="single" w:sz="4" w:space="0" w:color="auto"/>
            </w:tcBorders>
            <w:shd w:val="clear" w:color="000000" w:fill="FFFF99"/>
            <w:noWrap/>
            <w:vAlign w:val="bottom"/>
            <w:hideMark/>
          </w:tcPr>
          <w:p w14:paraId="36184808" w14:textId="77777777" w:rsidR="00C779A5" w:rsidRPr="00C779A5" w:rsidRDefault="00C779A5" w:rsidP="00C779A5">
            <w:pPr>
              <w:spacing w:after="0" w:line="240" w:lineRule="auto"/>
              <w:jc w:val="center"/>
              <w:rPr>
                <w:rFonts w:ascii="Tahoma" w:eastAsia="Times New Roman" w:hAnsi="Tahoma" w:cs="Tahoma"/>
                <w:sz w:val="18"/>
                <w:szCs w:val="18"/>
                <w:lang w:eastAsia="hr-HR"/>
              </w:rPr>
            </w:pPr>
            <w:r w:rsidRPr="00C779A5">
              <w:rPr>
                <w:rFonts w:ascii="Tahoma" w:eastAsia="Times New Roman" w:hAnsi="Tahoma" w:cs="Tahoma"/>
                <w:sz w:val="18"/>
                <w:szCs w:val="18"/>
                <w:lang w:eastAsia="hr-HR"/>
              </w:rPr>
              <w:t>0</w:t>
            </w:r>
          </w:p>
        </w:tc>
        <w:tc>
          <w:tcPr>
            <w:tcW w:w="565" w:type="dxa"/>
            <w:tcBorders>
              <w:top w:val="nil"/>
              <w:left w:val="nil"/>
              <w:bottom w:val="single" w:sz="4" w:space="0" w:color="auto"/>
              <w:right w:val="single" w:sz="4" w:space="0" w:color="auto"/>
            </w:tcBorders>
            <w:shd w:val="clear" w:color="000000" w:fill="FFFF99"/>
            <w:noWrap/>
            <w:vAlign w:val="bottom"/>
            <w:hideMark/>
          </w:tcPr>
          <w:p w14:paraId="5C901F17" w14:textId="77777777" w:rsidR="00C779A5" w:rsidRPr="00C779A5" w:rsidRDefault="00C779A5" w:rsidP="00C779A5">
            <w:pPr>
              <w:spacing w:after="0" w:line="240" w:lineRule="auto"/>
              <w:jc w:val="center"/>
              <w:rPr>
                <w:rFonts w:ascii="Tahoma" w:eastAsia="Times New Roman" w:hAnsi="Tahoma" w:cs="Tahoma"/>
                <w:sz w:val="18"/>
                <w:szCs w:val="18"/>
                <w:lang w:eastAsia="hr-HR"/>
              </w:rPr>
            </w:pPr>
            <w:r w:rsidRPr="00C779A5">
              <w:rPr>
                <w:rFonts w:ascii="Tahoma" w:eastAsia="Times New Roman" w:hAnsi="Tahoma" w:cs="Tahoma"/>
                <w:sz w:val="18"/>
                <w:szCs w:val="18"/>
                <w:lang w:eastAsia="hr-HR"/>
              </w:rPr>
              <w:t>0</w:t>
            </w:r>
          </w:p>
        </w:tc>
        <w:tc>
          <w:tcPr>
            <w:tcW w:w="467" w:type="dxa"/>
            <w:tcBorders>
              <w:top w:val="nil"/>
              <w:left w:val="nil"/>
              <w:bottom w:val="single" w:sz="4" w:space="0" w:color="auto"/>
              <w:right w:val="single" w:sz="4" w:space="0" w:color="auto"/>
            </w:tcBorders>
            <w:shd w:val="clear" w:color="000000" w:fill="FFFF99"/>
            <w:noWrap/>
            <w:vAlign w:val="bottom"/>
            <w:hideMark/>
          </w:tcPr>
          <w:p w14:paraId="20059A70" w14:textId="77777777" w:rsidR="00C779A5" w:rsidRPr="00C779A5" w:rsidRDefault="00C779A5" w:rsidP="00C779A5">
            <w:pPr>
              <w:spacing w:after="0" w:line="240" w:lineRule="auto"/>
              <w:jc w:val="center"/>
              <w:rPr>
                <w:rFonts w:ascii="Tahoma" w:eastAsia="Times New Roman" w:hAnsi="Tahoma" w:cs="Tahoma"/>
                <w:sz w:val="18"/>
                <w:szCs w:val="18"/>
                <w:lang w:eastAsia="hr-HR"/>
              </w:rPr>
            </w:pPr>
            <w:r w:rsidRPr="00C779A5">
              <w:rPr>
                <w:rFonts w:ascii="Tahoma" w:eastAsia="Times New Roman" w:hAnsi="Tahoma" w:cs="Tahoma"/>
                <w:sz w:val="18"/>
                <w:szCs w:val="18"/>
                <w:lang w:eastAsia="hr-HR"/>
              </w:rPr>
              <w:t>0</w:t>
            </w:r>
          </w:p>
        </w:tc>
        <w:tc>
          <w:tcPr>
            <w:tcW w:w="805" w:type="dxa"/>
            <w:tcBorders>
              <w:top w:val="nil"/>
              <w:left w:val="nil"/>
              <w:bottom w:val="single" w:sz="4" w:space="0" w:color="auto"/>
              <w:right w:val="single" w:sz="4" w:space="0" w:color="auto"/>
            </w:tcBorders>
            <w:shd w:val="clear" w:color="000000" w:fill="FFFF99"/>
            <w:noWrap/>
            <w:vAlign w:val="bottom"/>
            <w:hideMark/>
          </w:tcPr>
          <w:p w14:paraId="12026F71" w14:textId="77777777" w:rsidR="00C779A5" w:rsidRPr="00C779A5" w:rsidRDefault="00C779A5" w:rsidP="00C779A5">
            <w:pPr>
              <w:spacing w:after="0" w:line="240" w:lineRule="auto"/>
              <w:jc w:val="center"/>
              <w:rPr>
                <w:rFonts w:ascii="Tahoma" w:eastAsia="Times New Roman" w:hAnsi="Tahoma" w:cs="Tahoma"/>
                <w:sz w:val="18"/>
                <w:szCs w:val="18"/>
                <w:lang w:eastAsia="hr-HR"/>
              </w:rPr>
            </w:pPr>
            <w:r w:rsidRPr="00C779A5">
              <w:rPr>
                <w:rFonts w:ascii="Tahoma" w:eastAsia="Times New Roman" w:hAnsi="Tahoma" w:cs="Tahoma"/>
                <w:sz w:val="18"/>
                <w:szCs w:val="18"/>
                <w:lang w:eastAsia="hr-HR"/>
              </w:rPr>
              <w:t>0</w:t>
            </w:r>
          </w:p>
        </w:tc>
        <w:tc>
          <w:tcPr>
            <w:tcW w:w="467" w:type="dxa"/>
            <w:gridSpan w:val="2"/>
            <w:tcBorders>
              <w:top w:val="nil"/>
              <w:left w:val="nil"/>
              <w:bottom w:val="single" w:sz="4" w:space="0" w:color="auto"/>
              <w:right w:val="single" w:sz="4" w:space="0" w:color="auto"/>
            </w:tcBorders>
            <w:shd w:val="clear" w:color="000000" w:fill="FF9900"/>
            <w:noWrap/>
            <w:vAlign w:val="bottom"/>
            <w:hideMark/>
          </w:tcPr>
          <w:p w14:paraId="0279F0BC" w14:textId="77777777" w:rsidR="00C779A5" w:rsidRPr="00C779A5" w:rsidRDefault="00C779A5" w:rsidP="00C779A5">
            <w:pPr>
              <w:spacing w:after="0" w:line="240" w:lineRule="auto"/>
              <w:jc w:val="right"/>
              <w:rPr>
                <w:rFonts w:ascii="Tahoma" w:eastAsia="Times New Roman" w:hAnsi="Tahoma" w:cs="Tahoma"/>
                <w:sz w:val="18"/>
                <w:szCs w:val="18"/>
                <w:lang w:eastAsia="hr-HR"/>
              </w:rPr>
            </w:pPr>
            <w:r w:rsidRPr="00C779A5">
              <w:rPr>
                <w:rFonts w:ascii="Tahoma" w:eastAsia="Times New Roman" w:hAnsi="Tahoma" w:cs="Tahoma"/>
                <w:sz w:val="18"/>
                <w:szCs w:val="18"/>
                <w:lang w:eastAsia="hr-HR"/>
              </w:rPr>
              <w:t>0</w:t>
            </w:r>
          </w:p>
        </w:tc>
        <w:tc>
          <w:tcPr>
            <w:tcW w:w="522" w:type="dxa"/>
            <w:tcBorders>
              <w:top w:val="nil"/>
              <w:left w:val="nil"/>
              <w:bottom w:val="single" w:sz="4" w:space="0" w:color="auto"/>
              <w:right w:val="single" w:sz="4" w:space="0" w:color="auto"/>
            </w:tcBorders>
            <w:shd w:val="clear" w:color="000000" w:fill="FF9900"/>
            <w:noWrap/>
            <w:vAlign w:val="bottom"/>
            <w:hideMark/>
          </w:tcPr>
          <w:p w14:paraId="1B1515FF" w14:textId="77777777" w:rsidR="00C779A5" w:rsidRPr="00C779A5" w:rsidRDefault="00C779A5" w:rsidP="00C779A5">
            <w:pPr>
              <w:spacing w:after="0" w:line="240" w:lineRule="auto"/>
              <w:jc w:val="right"/>
              <w:rPr>
                <w:rFonts w:ascii="Tahoma" w:eastAsia="Times New Roman" w:hAnsi="Tahoma" w:cs="Tahoma"/>
                <w:sz w:val="18"/>
                <w:szCs w:val="18"/>
                <w:lang w:eastAsia="hr-HR"/>
              </w:rPr>
            </w:pPr>
            <w:r w:rsidRPr="00C779A5">
              <w:rPr>
                <w:rFonts w:ascii="Tahoma" w:eastAsia="Times New Roman" w:hAnsi="Tahoma" w:cs="Tahoma"/>
                <w:sz w:val="18"/>
                <w:szCs w:val="18"/>
                <w:lang w:eastAsia="hr-HR"/>
              </w:rPr>
              <w:t>0</w:t>
            </w:r>
          </w:p>
        </w:tc>
        <w:tc>
          <w:tcPr>
            <w:tcW w:w="467" w:type="dxa"/>
            <w:tcBorders>
              <w:top w:val="nil"/>
              <w:left w:val="nil"/>
              <w:bottom w:val="single" w:sz="4" w:space="0" w:color="auto"/>
              <w:right w:val="single" w:sz="4" w:space="0" w:color="auto"/>
            </w:tcBorders>
            <w:shd w:val="clear" w:color="000000" w:fill="FF9900"/>
            <w:noWrap/>
            <w:vAlign w:val="bottom"/>
            <w:hideMark/>
          </w:tcPr>
          <w:p w14:paraId="12F985DF" w14:textId="77777777" w:rsidR="00C779A5" w:rsidRPr="00C779A5" w:rsidRDefault="00C779A5" w:rsidP="00C779A5">
            <w:pPr>
              <w:spacing w:after="0" w:line="240" w:lineRule="auto"/>
              <w:jc w:val="right"/>
              <w:rPr>
                <w:rFonts w:ascii="Tahoma" w:eastAsia="Times New Roman" w:hAnsi="Tahoma" w:cs="Tahoma"/>
                <w:sz w:val="18"/>
                <w:szCs w:val="18"/>
                <w:lang w:eastAsia="hr-HR"/>
              </w:rPr>
            </w:pPr>
            <w:r w:rsidRPr="00C779A5">
              <w:rPr>
                <w:rFonts w:ascii="Tahoma" w:eastAsia="Times New Roman" w:hAnsi="Tahoma" w:cs="Tahoma"/>
                <w:sz w:val="18"/>
                <w:szCs w:val="18"/>
                <w:lang w:eastAsia="hr-HR"/>
              </w:rPr>
              <w:t>0</w:t>
            </w:r>
          </w:p>
        </w:tc>
        <w:tc>
          <w:tcPr>
            <w:tcW w:w="467" w:type="dxa"/>
            <w:tcBorders>
              <w:top w:val="nil"/>
              <w:left w:val="nil"/>
              <w:bottom w:val="single" w:sz="4" w:space="0" w:color="auto"/>
              <w:right w:val="single" w:sz="4" w:space="0" w:color="auto"/>
            </w:tcBorders>
            <w:shd w:val="clear" w:color="000000" w:fill="FFFF00"/>
            <w:vAlign w:val="center"/>
            <w:hideMark/>
          </w:tcPr>
          <w:p w14:paraId="09918944" w14:textId="77777777" w:rsidR="00C779A5" w:rsidRPr="00C779A5" w:rsidRDefault="00C779A5" w:rsidP="00C779A5">
            <w:pPr>
              <w:spacing w:after="0" w:line="240" w:lineRule="auto"/>
              <w:jc w:val="center"/>
              <w:rPr>
                <w:rFonts w:ascii="Tahoma" w:eastAsia="Times New Roman" w:hAnsi="Tahoma" w:cs="Tahoma"/>
                <w:sz w:val="18"/>
                <w:szCs w:val="18"/>
                <w:lang w:eastAsia="hr-HR"/>
              </w:rPr>
            </w:pPr>
            <w:r w:rsidRPr="00C779A5">
              <w:rPr>
                <w:rFonts w:ascii="Tahoma" w:eastAsia="Times New Roman" w:hAnsi="Tahoma" w:cs="Tahoma"/>
                <w:sz w:val="18"/>
                <w:szCs w:val="18"/>
                <w:lang w:eastAsia="hr-HR"/>
              </w:rPr>
              <w:t>0</w:t>
            </w:r>
          </w:p>
        </w:tc>
        <w:tc>
          <w:tcPr>
            <w:tcW w:w="877" w:type="dxa"/>
            <w:gridSpan w:val="2"/>
            <w:tcBorders>
              <w:top w:val="nil"/>
              <w:left w:val="nil"/>
              <w:bottom w:val="single" w:sz="4" w:space="0" w:color="auto"/>
              <w:right w:val="single" w:sz="4" w:space="0" w:color="auto"/>
            </w:tcBorders>
            <w:shd w:val="clear" w:color="000000" w:fill="FF9900"/>
            <w:vAlign w:val="center"/>
            <w:hideMark/>
          </w:tcPr>
          <w:p w14:paraId="2F4BB398" w14:textId="77777777" w:rsidR="00C779A5" w:rsidRPr="00C779A5" w:rsidRDefault="00C779A5" w:rsidP="00C779A5">
            <w:pPr>
              <w:spacing w:after="0" w:line="240" w:lineRule="auto"/>
              <w:jc w:val="center"/>
              <w:rPr>
                <w:rFonts w:ascii="Tahoma" w:eastAsia="Times New Roman" w:hAnsi="Tahoma" w:cs="Tahoma"/>
                <w:sz w:val="18"/>
                <w:szCs w:val="18"/>
                <w:lang w:eastAsia="hr-HR"/>
              </w:rPr>
            </w:pPr>
            <w:r w:rsidRPr="00C779A5">
              <w:rPr>
                <w:rFonts w:ascii="Tahoma" w:eastAsia="Times New Roman" w:hAnsi="Tahoma" w:cs="Tahoma"/>
                <w:sz w:val="18"/>
                <w:szCs w:val="18"/>
                <w:lang w:eastAsia="hr-HR"/>
              </w:rPr>
              <w:t>1</w:t>
            </w:r>
          </w:p>
        </w:tc>
        <w:tc>
          <w:tcPr>
            <w:tcW w:w="576" w:type="dxa"/>
            <w:gridSpan w:val="2"/>
            <w:tcBorders>
              <w:top w:val="nil"/>
              <w:left w:val="nil"/>
              <w:bottom w:val="single" w:sz="4" w:space="0" w:color="auto"/>
              <w:right w:val="single" w:sz="4" w:space="0" w:color="auto"/>
            </w:tcBorders>
            <w:shd w:val="clear" w:color="000000" w:fill="FF9900"/>
            <w:noWrap/>
            <w:vAlign w:val="center"/>
            <w:hideMark/>
          </w:tcPr>
          <w:p w14:paraId="0635A969" w14:textId="77777777" w:rsidR="00C779A5" w:rsidRPr="00C779A5" w:rsidRDefault="00C779A5" w:rsidP="00C779A5">
            <w:pPr>
              <w:spacing w:after="0" w:line="240" w:lineRule="auto"/>
              <w:jc w:val="center"/>
              <w:rPr>
                <w:rFonts w:ascii="Tahoma" w:eastAsia="Times New Roman" w:hAnsi="Tahoma" w:cs="Tahoma"/>
                <w:sz w:val="18"/>
                <w:szCs w:val="18"/>
                <w:lang w:eastAsia="hr-HR"/>
              </w:rPr>
            </w:pPr>
            <w:r w:rsidRPr="00C779A5">
              <w:rPr>
                <w:rFonts w:ascii="Tahoma" w:eastAsia="Times New Roman" w:hAnsi="Tahoma" w:cs="Tahoma"/>
                <w:sz w:val="18"/>
                <w:szCs w:val="18"/>
                <w:lang w:eastAsia="hr-HR"/>
              </w:rPr>
              <w:t>0</w:t>
            </w:r>
          </w:p>
        </w:tc>
        <w:tc>
          <w:tcPr>
            <w:tcW w:w="440" w:type="dxa"/>
            <w:tcBorders>
              <w:top w:val="nil"/>
              <w:left w:val="nil"/>
              <w:bottom w:val="single" w:sz="4" w:space="0" w:color="auto"/>
              <w:right w:val="single" w:sz="4" w:space="0" w:color="auto"/>
            </w:tcBorders>
            <w:shd w:val="clear" w:color="000000" w:fill="FF9900"/>
            <w:noWrap/>
            <w:vAlign w:val="center"/>
            <w:hideMark/>
          </w:tcPr>
          <w:p w14:paraId="53B0D6CB" w14:textId="77777777" w:rsidR="00C779A5" w:rsidRPr="00C779A5" w:rsidRDefault="00C779A5" w:rsidP="00C779A5">
            <w:pPr>
              <w:spacing w:after="0" w:line="240" w:lineRule="auto"/>
              <w:jc w:val="center"/>
              <w:rPr>
                <w:rFonts w:ascii="Tahoma" w:eastAsia="Times New Roman" w:hAnsi="Tahoma" w:cs="Tahoma"/>
                <w:sz w:val="18"/>
                <w:szCs w:val="18"/>
                <w:lang w:eastAsia="hr-HR"/>
              </w:rPr>
            </w:pPr>
            <w:r w:rsidRPr="00C779A5">
              <w:rPr>
                <w:rFonts w:ascii="Tahoma" w:eastAsia="Times New Roman" w:hAnsi="Tahoma" w:cs="Tahoma"/>
                <w:sz w:val="18"/>
                <w:szCs w:val="18"/>
                <w:lang w:eastAsia="hr-HR"/>
              </w:rPr>
              <w:t>0</w:t>
            </w:r>
          </w:p>
        </w:tc>
        <w:tc>
          <w:tcPr>
            <w:tcW w:w="793" w:type="dxa"/>
            <w:tcBorders>
              <w:top w:val="nil"/>
              <w:left w:val="nil"/>
              <w:bottom w:val="single" w:sz="4" w:space="0" w:color="auto"/>
              <w:right w:val="single" w:sz="4" w:space="0" w:color="auto"/>
            </w:tcBorders>
            <w:shd w:val="clear" w:color="000000" w:fill="FF9900"/>
            <w:noWrap/>
            <w:vAlign w:val="center"/>
            <w:hideMark/>
          </w:tcPr>
          <w:p w14:paraId="422D05AF" w14:textId="77777777" w:rsidR="00C779A5" w:rsidRPr="00C779A5" w:rsidRDefault="00C779A5" w:rsidP="00C779A5">
            <w:pPr>
              <w:spacing w:after="0" w:line="240" w:lineRule="auto"/>
              <w:jc w:val="center"/>
              <w:rPr>
                <w:rFonts w:ascii="Tahoma" w:eastAsia="Times New Roman" w:hAnsi="Tahoma" w:cs="Tahoma"/>
                <w:sz w:val="18"/>
                <w:szCs w:val="18"/>
                <w:lang w:eastAsia="hr-HR"/>
              </w:rPr>
            </w:pPr>
            <w:r w:rsidRPr="00C779A5">
              <w:rPr>
                <w:rFonts w:ascii="Tahoma" w:eastAsia="Times New Roman" w:hAnsi="Tahoma" w:cs="Tahoma"/>
                <w:sz w:val="18"/>
                <w:szCs w:val="18"/>
                <w:lang w:eastAsia="hr-HR"/>
              </w:rPr>
              <w:t>0</w:t>
            </w:r>
          </w:p>
        </w:tc>
        <w:tc>
          <w:tcPr>
            <w:tcW w:w="645" w:type="dxa"/>
            <w:gridSpan w:val="2"/>
            <w:tcBorders>
              <w:top w:val="nil"/>
              <w:left w:val="nil"/>
              <w:bottom w:val="single" w:sz="4" w:space="0" w:color="auto"/>
              <w:right w:val="single" w:sz="4" w:space="0" w:color="auto"/>
            </w:tcBorders>
            <w:shd w:val="clear" w:color="000000" w:fill="CCFFFF"/>
            <w:noWrap/>
            <w:vAlign w:val="bottom"/>
            <w:hideMark/>
          </w:tcPr>
          <w:p w14:paraId="543FDF8B" w14:textId="77777777" w:rsidR="00C779A5" w:rsidRPr="00C779A5" w:rsidRDefault="00C779A5" w:rsidP="00C779A5">
            <w:pPr>
              <w:spacing w:after="0" w:line="240" w:lineRule="auto"/>
              <w:jc w:val="right"/>
              <w:rPr>
                <w:rFonts w:ascii="Tahoma" w:eastAsia="Times New Roman" w:hAnsi="Tahoma" w:cs="Tahoma"/>
                <w:sz w:val="18"/>
                <w:szCs w:val="18"/>
                <w:lang w:eastAsia="hr-HR"/>
              </w:rPr>
            </w:pPr>
            <w:r w:rsidRPr="00C779A5">
              <w:rPr>
                <w:rFonts w:ascii="Tahoma" w:eastAsia="Times New Roman" w:hAnsi="Tahoma" w:cs="Tahoma"/>
                <w:sz w:val="18"/>
                <w:szCs w:val="18"/>
                <w:lang w:eastAsia="hr-HR"/>
              </w:rPr>
              <w:t>0</w:t>
            </w:r>
          </w:p>
        </w:tc>
        <w:tc>
          <w:tcPr>
            <w:tcW w:w="467" w:type="dxa"/>
            <w:tcBorders>
              <w:top w:val="nil"/>
              <w:left w:val="nil"/>
              <w:bottom w:val="single" w:sz="4" w:space="0" w:color="auto"/>
              <w:right w:val="single" w:sz="4" w:space="0" w:color="auto"/>
            </w:tcBorders>
            <w:shd w:val="clear" w:color="000000" w:fill="CCFFFF"/>
            <w:noWrap/>
            <w:vAlign w:val="bottom"/>
            <w:hideMark/>
          </w:tcPr>
          <w:p w14:paraId="316FB096" w14:textId="77777777" w:rsidR="00C779A5" w:rsidRPr="00C779A5" w:rsidRDefault="00C779A5" w:rsidP="00C779A5">
            <w:pPr>
              <w:spacing w:after="0" w:line="240" w:lineRule="auto"/>
              <w:jc w:val="right"/>
              <w:rPr>
                <w:rFonts w:ascii="Tahoma" w:eastAsia="Times New Roman" w:hAnsi="Tahoma" w:cs="Tahoma"/>
                <w:sz w:val="18"/>
                <w:szCs w:val="18"/>
                <w:lang w:eastAsia="hr-HR"/>
              </w:rPr>
            </w:pPr>
            <w:r w:rsidRPr="00C779A5">
              <w:rPr>
                <w:rFonts w:ascii="Tahoma" w:eastAsia="Times New Roman" w:hAnsi="Tahoma" w:cs="Tahoma"/>
                <w:sz w:val="18"/>
                <w:szCs w:val="18"/>
                <w:lang w:eastAsia="hr-HR"/>
              </w:rPr>
              <w:t>0</w:t>
            </w:r>
          </w:p>
        </w:tc>
        <w:tc>
          <w:tcPr>
            <w:tcW w:w="467" w:type="dxa"/>
            <w:tcBorders>
              <w:top w:val="nil"/>
              <w:left w:val="nil"/>
              <w:bottom w:val="single" w:sz="4" w:space="0" w:color="auto"/>
              <w:right w:val="single" w:sz="4" w:space="0" w:color="auto"/>
            </w:tcBorders>
            <w:shd w:val="clear" w:color="000000" w:fill="CCFFFF"/>
            <w:noWrap/>
            <w:vAlign w:val="bottom"/>
            <w:hideMark/>
          </w:tcPr>
          <w:p w14:paraId="24D64336" w14:textId="77777777" w:rsidR="00C779A5" w:rsidRPr="00C779A5" w:rsidRDefault="00C779A5" w:rsidP="00C779A5">
            <w:pPr>
              <w:spacing w:after="0" w:line="240" w:lineRule="auto"/>
              <w:jc w:val="right"/>
              <w:rPr>
                <w:rFonts w:ascii="Tahoma" w:eastAsia="Times New Roman" w:hAnsi="Tahoma" w:cs="Tahoma"/>
                <w:sz w:val="18"/>
                <w:szCs w:val="18"/>
                <w:lang w:eastAsia="hr-HR"/>
              </w:rPr>
            </w:pPr>
            <w:r w:rsidRPr="00C779A5">
              <w:rPr>
                <w:rFonts w:ascii="Tahoma" w:eastAsia="Times New Roman" w:hAnsi="Tahoma" w:cs="Tahoma"/>
                <w:sz w:val="18"/>
                <w:szCs w:val="18"/>
                <w:lang w:eastAsia="hr-HR"/>
              </w:rPr>
              <w:t>0</w:t>
            </w:r>
          </w:p>
        </w:tc>
        <w:tc>
          <w:tcPr>
            <w:tcW w:w="478" w:type="dxa"/>
            <w:gridSpan w:val="2"/>
            <w:tcBorders>
              <w:top w:val="nil"/>
              <w:left w:val="nil"/>
              <w:bottom w:val="single" w:sz="4" w:space="0" w:color="auto"/>
              <w:right w:val="nil"/>
            </w:tcBorders>
            <w:shd w:val="clear" w:color="000000" w:fill="33CCCC"/>
            <w:noWrap/>
            <w:vAlign w:val="bottom"/>
            <w:hideMark/>
          </w:tcPr>
          <w:p w14:paraId="4ADD247E" w14:textId="77777777" w:rsidR="00C779A5" w:rsidRPr="00C779A5" w:rsidRDefault="00C779A5" w:rsidP="00C779A5">
            <w:pPr>
              <w:spacing w:after="0" w:line="240" w:lineRule="auto"/>
              <w:jc w:val="right"/>
              <w:rPr>
                <w:rFonts w:ascii="Tahoma" w:eastAsia="Times New Roman" w:hAnsi="Tahoma" w:cs="Tahoma"/>
                <w:sz w:val="18"/>
                <w:szCs w:val="18"/>
                <w:lang w:eastAsia="hr-HR"/>
              </w:rPr>
            </w:pPr>
            <w:r w:rsidRPr="00C779A5">
              <w:rPr>
                <w:rFonts w:ascii="Tahoma" w:eastAsia="Times New Roman" w:hAnsi="Tahoma" w:cs="Tahoma"/>
                <w:sz w:val="18"/>
                <w:szCs w:val="18"/>
                <w:lang w:eastAsia="hr-HR"/>
              </w:rPr>
              <w:t>0</w:t>
            </w:r>
          </w:p>
        </w:tc>
        <w:tc>
          <w:tcPr>
            <w:tcW w:w="876" w:type="dxa"/>
            <w:tcBorders>
              <w:top w:val="nil"/>
              <w:left w:val="single" w:sz="4" w:space="0" w:color="auto"/>
              <w:bottom w:val="single" w:sz="4" w:space="0" w:color="auto"/>
              <w:right w:val="single" w:sz="8" w:space="0" w:color="auto"/>
            </w:tcBorders>
            <w:shd w:val="clear" w:color="000000" w:fill="33CCCC"/>
            <w:noWrap/>
            <w:vAlign w:val="bottom"/>
            <w:hideMark/>
          </w:tcPr>
          <w:p w14:paraId="20CDC041" w14:textId="77777777" w:rsidR="00C779A5" w:rsidRPr="00C779A5" w:rsidRDefault="00C779A5" w:rsidP="00C779A5">
            <w:pPr>
              <w:spacing w:after="0" w:line="240" w:lineRule="auto"/>
              <w:jc w:val="right"/>
              <w:rPr>
                <w:rFonts w:ascii="Tahoma" w:eastAsia="Times New Roman" w:hAnsi="Tahoma" w:cs="Tahoma"/>
                <w:sz w:val="18"/>
                <w:szCs w:val="18"/>
                <w:lang w:eastAsia="hr-HR"/>
              </w:rPr>
            </w:pPr>
            <w:r w:rsidRPr="00C779A5">
              <w:rPr>
                <w:rFonts w:ascii="Tahoma" w:eastAsia="Times New Roman" w:hAnsi="Tahoma" w:cs="Tahoma"/>
                <w:sz w:val="18"/>
                <w:szCs w:val="18"/>
                <w:lang w:eastAsia="hr-HR"/>
              </w:rPr>
              <w:t>0</w:t>
            </w:r>
          </w:p>
        </w:tc>
        <w:tc>
          <w:tcPr>
            <w:tcW w:w="236" w:type="dxa"/>
            <w:gridSpan w:val="3"/>
            <w:vAlign w:val="center"/>
            <w:hideMark/>
          </w:tcPr>
          <w:p w14:paraId="10554639" w14:textId="77777777" w:rsidR="00C779A5" w:rsidRPr="00C779A5" w:rsidRDefault="00C779A5" w:rsidP="00C779A5">
            <w:pPr>
              <w:spacing w:after="0" w:line="240" w:lineRule="auto"/>
              <w:rPr>
                <w:rFonts w:ascii="Times New Roman" w:eastAsia="Times New Roman" w:hAnsi="Times New Roman" w:cs="Times New Roman"/>
                <w:sz w:val="18"/>
                <w:szCs w:val="18"/>
                <w:lang w:eastAsia="hr-HR"/>
              </w:rPr>
            </w:pPr>
          </w:p>
        </w:tc>
      </w:tr>
      <w:tr w:rsidR="00C779A5" w:rsidRPr="00C779A5" w14:paraId="586A76FD" w14:textId="77777777" w:rsidTr="00C779A5">
        <w:trPr>
          <w:gridAfter w:val="2"/>
          <w:wAfter w:w="149" w:type="dxa"/>
          <w:trHeight w:val="300"/>
        </w:trPr>
        <w:tc>
          <w:tcPr>
            <w:tcW w:w="1567" w:type="dxa"/>
            <w:tcBorders>
              <w:top w:val="single" w:sz="4" w:space="0" w:color="auto"/>
              <w:left w:val="single" w:sz="8" w:space="0" w:color="auto"/>
              <w:bottom w:val="single" w:sz="4" w:space="0" w:color="auto"/>
              <w:right w:val="single" w:sz="4" w:space="0" w:color="auto"/>
            </w:tcBorders>
            <w:shd w:val="clear" w:color="000000" w:fill="CCFFCC"/>
            <w:vAlign w:val="center"/>
            <w:hideMark/>
          </w:tcPr>
          <w:p w14:paraId="1AAFB81A" w14:textId="77777777" w:rsidR="00C779A5" w:rsidRPr="00C779A5" w:rsidRDefault="00C779A5" w:rsidP="00C779A5">
            <w:pPr>
              <w:spacing w:after="0" w:line="240" w:lineRule="auto"/>
              <w:rPr>
                <w:rFonts w:ascii="Tahoma" w:eastAsia="Times New Roman" w:hAnsi="Tahoma" w:cs="Tahoma"/>
                <w:sz w:val="18"/>
                <w:szCs w:val="18"/>
                <w:lang w:eastAsia="hr-HR"/>
              </w:rPr>
            </w:pPr>
            <w:r w:rsidRPr="00C779A5">
              <w:rPr>
                <w:rFonts w:ascii="Tahoma" w:eastAsia="Times New Roman" w:hAnsi="Tahoma" w:cs="Tahoma"/>
                <w:sz w:val="18"/>
                <w:szCs w:val="18"/>
                <w:lang w:eastAsia="hr-HR"/>
              </w:rPr>
              <w:t>Političko ili drugo uvjerenje</w:t>
            </w:r>
          </w:p>
        </w:tc>
        <w:tc>
          <w:tcPr>
            <w:tcW w:w="557" w:type="dxa"/>
            <w:tcBorders>
              <w:top w:val="nil"/>
              <w:left w:val="nil"/>
              <w:bottom w:val="single" w:sz="4" w:space="0" w:color="auto"/>
              <w:right w:val="single" w:sz="4" w:space="0" w:color="auto"/>
            </w:tcBorders>
            <w:shd w:val="clear" w:color="000000" w:fill="FFCC99"/>
            <w:noWrap/>
            <w:vAlign w:val="bottom"/>
            <w:hideMark/>
          </w:tcPr>
          <w:p w14:paraId="6236823A" w14:textId="77777777" w:rsidR="00C779A5" w:rsidRPr="00C779A5" w:rsidRDefault="00C779A5" w:rsidP="00C779A5">
            <w:pPr>
              <w:spacing w:after="0" w:line="240" w:lineRule="auto"/>
              <w:jc w:val="center"/>
              <w:rPr>
                <w:rFonts w:ascii="Tahoma" w:eastAsia="Times New Roman" w:hAnsi="Tahoma" w:cs="Tahoma"/>
                <w:sz w:val="18"/>
                <w:szCs w:val="18"/>
                <w:lang w:eastAsia="hr-HR"/>
              </w:rPr>
            </w:pPr>
            <w:r w:rsidRPr="00C779A5">
              <w:rPr>
                <w:rFonts w:ascii="Tahoma" w:eastAsia="Times New Roman" w:hAnsi="Tahoma" w:cs="Tahoma"/>
                <w:sz w:val="18"/>
                <w:szCs w:val="18"/>
                <w:lang w:eastAsia="hr-HR"/>
              </w:rPr>
              <w:t>9</w:t>
            </w:r>
          </w:p>
        </w:tc>
        <w:tc>
          <w:tcPr>
            <w:tcW w:w="444" w:type="dxa"/>
            <w:tcBorders>
              <w:top w:val="nil"/>
              <w:left w:val="nil"/>
              <w:bottom w:val="single" w:sz="4" w:space="0" w:color="auto"/>
              <w:right w:val="single" w:sz="4" w:space="0" w:color="auto"/>
            </w:tcBorders>
            <w:shd w:val="clear" w:color="000000" w:fill="FFFF00"/>
            <w:noWrap/>
            <w:vAlign w:val="bottom"/>
            <w:hideMark/>
          </w:tcPr>
          <w:p w14:paraId="602EE188" w14:textId="77777777" w:rsidR="00C779A5" w:rsidRPr="00C779A5" w:rsidRDefault="00C779A5" w:rsidP="00C779A5">
            <w:pPr>
              <w:spacing w:after="0" w:line="240" w:lineRule="auto"/>
              <w:jc w:val="center"/>
              <w:rPr>
                <w:rFonts w:ascii="Tahoma" w:eastAsia="Times New Roman" w:hAnsi="Tahoma" w:cs="Tahoma"/>
                <w:sz w:val="18"/>
                <w:szCs w:val="18"/>
                <w:lang w:eastAsia="hr-HR"/>
              </w:rPr>
            </w:pPr>
            <w:r w:rsidRPr="00C779A5">
              <w:rPr>
                <w:rFonts w:ascii="Tahoma" w:eastAsia="Times New Roman" w:hAnsi="Tahoma" w:cs="Tahoma"/>
                <w:sz w:val="18"/>
                <w:szCs w:val="18"/>
                <w:lang w:eastAsia="hr-HR"/>
              </w:rPr>
              <w:t>3</w:t>
            </w:r>
          </w:p>
        </w:tc>
        <w:tc>
          <w:tcPr>
            <w:tcW w:w="399" w:type="dxa"/>
            <w:tcBorders>
              <w:top w:val="nil"/>
              <w:left w:val="nil"/>
              <w:bottom w:val="single" w:sz="4" w:space="0" w:color="auto"/>
              <w:right w:val="single" w:sz="4" w:space="0" w:color="auto"/>
            </w:tcBorders>
            <w:shd w:val="clear" w:color="000000" w:fill="CCFFFF"/>
            <w:noWrap/>
            <w:vAlign w:val="bottom"/>
            <w:hideMark/>
          </w:tcPr>
          <w:p w14:paraId="018EFEEB" w14:textId="77777777" w:rsidR="00C779A5" w:rsidRPr="00C779A5" w:rsidRDefault="00C779A5" w:rsidP="00C779A5">
            <w:pPr>
              <w:spacing w:after="0" w:line="240" w:lineRule="auto"/>
              <w:jc w:val="right"/>
              <w:rPr>
                <w:rFonts w:ascii="Tahoma" w:eastAsia="Times New Roman" w:hAnsi="Tahoma" w:cs="Tahoma"/>
                <w:sz w:val="18"/>
                <w:szCs w:val="18"/>
                <w:lang w:eastAsia="hr-HR"/>
              </w:rPr>
            </w:pPr>
            <w:r w:rsidRPr="00C779A5">
              <w:rPr>
                <w:rFonts w:ascii="Tahoma" w:eastAsia="Times New Roman" w:hAnsi="Tahoma" w:cs="Tahoma"/>
                <w:sz w:val="18"/>
                <w:szCs w:val="18"/>
                <w:lang w:eastAsia="hr-HR"/>
              </w:rPr>
              <w:t>1</w:t>
            </w:r>
          </w:p>
        </w:tc>
        <w:tc>
          <w:tcPr>
            <w:tcW w:w="425" w:type="dxa"/>
            <w:tcBorders>
              <w:top w:val="nil"/>
              <w:left w:val="nil"/>
              <w:bottom w:val="single" w:sz="4" w:space="0" w:color="auto"/>
              <w:right w:val="single" w:sz="4" w:space="0" w:color="auto"/>
            </w:tcBorders>
            <w:shd w:val="clear" w:color="000000" w:fill="CCFFFF"/>
            <w:noWrap/>
            <w:vAlign w:val="bottom"/>
            <w:hideMark/>
          </w:tcPr>
          <w:p w14:paraId="65D62F0C" w14:textId="77777777" w:rsidR="00C779A5" w:rsidRPr="00C779A5" w:rsidRDefault="00C779A5" w:rsidP="00C779A5">
            <w:pPr>
              <w:spacing w:after="0" w:line="240" w:lineRule="auto"/>
              <w:jc w:val="right"/>
              <w:rPr>
                <w:rFonts w:ascii="Tahoma" w:eastAsia="Times New Roman" w:hAnsi="Tahoma" w:cs="Tahoma"/>
                <w:sz w:val="18"/>
                <w:szCs w:val="18"/>
                <w:lang w:eastAsia="hr-HR"/>
              </w:rPr>
            </w:pPr>
            <w:r w:rsidRPr="00C779A5">
              <w:rPr>
                <w:rFonts w:ascii="Tahoma" w:eastAsia="Times New Roman" w:hAnsi="Tahoma" w:cs="Tahoma"/>
                <w:sz w:val="18"/>
                <w:szCs w:val="18"/>
                <w:lang w:eastAsia="hr-HR"/>
              </w:rPr>
              <w:t>1</w:t>
            </w:r>
          </w:p>
        </w:tc>
        <w:tc>
          <w:tcPr>
            <w:tcW w:w="574" w:type="dxa"/>
            <w:tcBorders>
              <w:top w:val="nil"/>
              <w:left w:val="nil"/>
              <w:bottom w:val="single" w:sz="4" w:space="0" w:color="auto"/>
              <w:right w:val="single" w:sz="4" w:space="0" w:color="auto"/>
            </w:tcBorders>
            <w:shd w:val="clear" w:color="000000" w:fill="FFFF99"/>
            <w:noWrap/>
            <w:vAlign w:val="bottom"/>
            <w:hideMark/>
          </w:tcPr>
          <w:p w14:paraId="64D7C99B" w14:textId="77777777" w:rsidR="00C779A5" w:rsidRPr="00C779A5" w:rsidRDefault="00C779A5" w:rsidP="00C779A5">
            <w:pPr>
              <w:spacing w:after="0" w:line="240" w:lineRule="auto"/>
              <w:jc w:val="center"/>
              <w:rPr>
                <w:rFonts w:ascii="Tahoma" w:eastAsia="Times New Roman" w:hAnsi="Tahoma" w:cs="Tahoma"/>
                <w:sz w:val="18"/>
                <w:szCs w:val="18"/>
                <w:lang w:eastAsia="hr-HR"/>
              </w:rPr>
            </w:pPr>
            <w:r w:rsidRPr="00C779A5">
              <w:rPr>
                <w:rFonts w:ascii="Tahoma" w:eastAsia="Times New Roman" w:hAnsi="Tahoma" w:cs="Tahoma"/>
                <w:sz w:val="18"/>
                <w:szCs w:val="18"/>
                <w:lang w:eastAsia="hr-HR"/>
              </w:rPr>
              <w:t>1</w:t>
            </w:r>
          </w:p>
        </w:tc>
        <w:tc>
          <w:tcPr>
            <w:tcW w:w="706" w:type="dxa"/>
            <w:tcBorders>
              <w:top w:val="nil"/>
              <w:left w:val="nil"/>
              <w:bottom w:val="single" w:sz="4" w:space="0" w:color="auto"/>
              <w:right w:val="single" w:sz="4" w:space="0" w:color="auto"/>
            </w:tcBorders>
            <w:shd w:val="clear" w:color="000000" w:fill="FFFF99"/>
            <w:noWrap/>
            <w:vAlign w:val="bottom"/>
            <w:hideMark/>
          </w:tcPr>
          <w:p w14:paraId="455E3A57" w14:textId="77777777" w:rsidR="00C779A5" w:rsidRPr="00C779A5" w:rsidRDefault="00C779A5" w:rsidP="00C779A5">
            <w:pPr>
              <w:spacing w:after="0" w:line="240" w:lineRule="auto"/>
              <w:jc w:val="center"/>
              <w:rPr>
                <w:rFonts w:ascii="Tahoma" w:eastAsia="Times New Roman" w:hAnsi="Tahoma" w:cs="Tahoma"/>
                <w:sz w:val="18"/>
                <w:szCs w:val="18"/>
                <w:lang w:eastAsia="hr-HR"/>
              </w:rPr>
            </w:pPr>
            <w:r w:rsidRPr="00C779A5">
              <w:rPr>
                <w:rFonts w:ascii="Tahoma" w:eastAsia="Times New Roman" w:hAnsi="Tahoma" w:cs="Tahoma"/>
                <w:sz w:val="18"/>
                <w:szCs w:val="18"/>
                <w:lang w:eastAsia="hr-HR"/>
              </w:rPr>
              <w:t>1</w:t>
            </w:r>
          </w:p>
        </w:tc>
        <w:tc>
          <w:tcPr>
            <w:tcW w:w="565" w:type="dxa"/>
            <w:tcBorders>
              <w:top w:val="nil"/>
              <w:left w:val="nil"/>
              <w:bottom w:val="single" w:sz="4" w:space="0" w:color="auto"/>
              <w:right w:val="single" w:sz="4" w:space="0" w:color="auto"/>
            </w:tcBorders>
            <w:shd w:val="clear" w:color="000000" w:fill="FFFF99"/>
            <w:noWrap/>
            <w:vAlign w:val="bottom"/>
            <w:hideMark/>
          </w:tcPr>
          <w:p w14:paraId="4AF0FF2F" w14:textId="77777777" w:rsidR="00C779A5" w:rsidRPr="00C779A5" w:rsidRDefault="00C779A5" w:rsidP="00C779A5">
            <w:pPr>
              <w:spacing w:after="0" w:line="240" w:lineRule="auto"/>
              <w:jc w:val="center"/>
              <w:rPr>
                <w:rFonts w:ascii="Tahoma" w:eastAsia="Times New Roman" w:hAnsi="Tahoma" w:cs="Tahoma"/>
                <w:sz w:val="18"/>
                <w:szCs w:val="18"/>
                <w:lang w:eastAsia="hr-HR"/>
              </w:rPr>
            </w:pPr>
            <w:r w:rsidRPr="00C779A5">
              <w:rPr>
                <w:rFonts w:ascii="Tahoma" w:eastAsia="Times New Roman" w:hAnsi="Tahoma" w:cs="Tahoma"/>
                <w:sz w:val="18"/>
                <w:szCs w:val="18"/>
                <w:lang w:eastAsia="hr-HR"/>
              </w:rPr>
              <w:t>1</w:t>
            </w:r>
          </w:p>
        </w:tc>
        <w:tc>
          <w:tcPr>
            <w:tcW w:w="565" w:type="dxa"/>
            <w:tcBorders>
              <w:top w:val="nil"/>
              <w:left w:val="nil"/>
              <w:bottom w:val="single" w:sz="4" w:space="0" w:color="auto"/>
              <w:right w:val="single" w:sz="4" w:space="0" w:color="auto"/>
            </w:tcBorders>
            <w:shd w:val="clear" w:color="000000" w:fill="FFFF99"/>
            <w:noWrap/>
            <w:vAlign w:val="bottom"/>
            <w:hideMark/>
          </w:tcPr>
          <w:p w14:paraId="1A7A9747" w14:textId="77777777" w:rsidR="00C779A5" w:rsidRPr="00C779A5" w:rsidRDefault="00C779A5" w:rsidP="00C779A5">
            <w:pPr>
              <w:spacing w:after="0" w:line="240" w:lineRule="auto"/>
              <w:jc w:val="center"/>
              <w:rPr>
                <w:rFonts w:ascii="Tahoma" w:eastAsia="Times New Roman" w:hAnsi="Tahoma" w:cs="Tahoma"/>
                <w:sz w:val="18"/>
                <w:szCs w:val="18"/>
                <w:lang w:eastAsia="hr-HR"/>
              </w:rPr>
            </w:pPr>
            <w:r w:rsidRPr="00C779A5">
              <w:rPr>
                <w:rFonts w:ascii="Tahoma" w:eastAsia="Times New Roman" w:hAnsi="Tahoma" w:cs="Tahoma"/>
                <w:sz w:val="18"/>
                <w:szCs w:val="18"/>
                <w:lang w:eastAsia="hr-HR"/>
              </w:rPr>
              <w:t>0</w:t>
            </w:r>
          </w:p>
        </w:tc>
        <w:tc>
          <w:tcPr>
            <w:tcW w:w="467" w:type="dxa"/>
            <w:tcBorders>
              <w:top w:val="nil"/>
              <w:left w:val="nil"/>
              <w:bottom w:val="single" w:sz="4" w:space="0" w:color="auto"/>
              <w:right w:val="single" w:sz="4" w:space="0" w:color="auto"/>
            </w:tcBorders>
            <w:shd w:val="clear" w:color="000000" w:fill="FFFF99"/>
            <w:noWrap/>
            <w:vAlign w:val="bottom"/>
            <w:hideMark/>
          </w:tcPr>
          <w:p w14:paraId="6C0A332A" w14:textId="77777777" w:rsidR="00C779A5" w:rsidRPr="00C779A5" w:rsidRDefault="00C779A5" w:rsidP="00C779A5">
            <w:pPr>
              <w:spacing w:after="0" w:line="240" w:lineRule="auto"/>
              <w:jc w:val="center"/>
              <w:rPr>
                <w:rFonts w:ascii="Tahoma" w:eastAsia="Times New Roman" w:hAnsi="Tahoma" w:cs="Tahoma"/>
                <w:sz w:val="18"/>
                <w:szCs w:val="18"/>
                <w:lang w:eastAsia="hr-HR"/>
              </w:rPr>
            </w:pPr>
            <w:r w:rsidRPr="00C779A5">
              <w:rPr>
                <w:rFonts w:ascii="Tahoma" w:eastAsia="Times New Roman" w:hAnsi="Tahoma" w:cs="Tahoma"/>
                <w:sz w:val="18"/>
                <w:szCs w:val="18"/>
                <w:lang w:eastAsia="hr-HR"/>
              </w:rPr>
              <w:t>0</w:t>
            </w:r>
          </w:p>
        </w:tc>
        <w:tc>
          <w:tcPr>
            <w:tcW w:w="805" w:type="dxa"/>
            <w:tcBorders>
              <w:top w:val="nil"/>
              <w:left w:val="nil"/>
              <w:bottom w:val="single" w:sz="4" w:space="0" w:color="auto"/>
              <w:right w:val="single" w:sz="4" w:space="0" w:color="auto"/>
            </w:tcBorders>
            <w:shd w:val="clear" w:color="000000" w:fill="FFFF99"/>
            <w:noWrap/>
            <w:vAlign w:val="bottom"/>
            <w:hideMark/>
          </w:tcPr>
          <w:p w14:paraId="5E59D12F" w14:textId="77777777" w:rsidR="00C779A5" w:rsidRPr="00C779A5" w:rsidRDefault="00C779A5" w:rsidP="00C779A5">
            <w:pPr>
              <w:spacing w:after="0" w:line="240" w:lineRule="auto"/>
              <w:jc w:val="center"/>
              <w:rPr>
                <w:rFonts w:ascii="Tahoma" w:eastAsia="Times New Roman" w:hAnsi="Tahoma" w:cs="Tahoma"/>
                <w:sz w:val="18"/>
                <w:szCs w:val="18"/>
                <w:lang w:eastAsia="hr-HR"/>
              </w:rPr>
            </w:pPr>
            <w:r w:rsidRPr="00C779A5">
              <w:rPr>
                <w:rFonts w:ascii="Tahoma" w:eastAsia="Times New Roman" w:hAnsi="Tahoma" w:cs="Tahoma"/>
                <w:sz w:val="18"/>
                <w:szCs w:val="18"/>
                <w:lang w:eastAsia="hr-HR"/>
              </w:rPr>
              <w:t>0</w:t>
            </w:r>
          </w:p>
        </w:tc>
        <w:tc>
          <w:tcPr>
            <w:tcW w:w="467" w:type="dxa"/>
            <w:gridSpan w:val="2"/>
            <w:tcBorders>
              <w:top w:val="nil"/>
              <w:left w:val="nil"/>
              <w:bottom w:val="single" w:sz="4" w:space="0" w:color="auto"/>
              <w:right w:val="single" w:sz="4" w:space="0" w:color="auto"/>
            </w:tcBorders>
            <w:shd w:val="clear" w:color="000000" w:fill="FF9900"/>
            <w:noWrap/>
            <w:vAlign w:val="bottom"/>
            <w:hideMark/>
          </w:tcPr>
          <w:p w14:paraId="36BAECE3" w14:textId="77777777" w:rsidR="00C779A5" w:rsidRPr="00C779A5" w:rsidRDefault="00C779A5" w:rsidP="00C779A5">
            <w:pPr>
              <w:spacing w:after="0" w:line="240" w:lineRule="auto"/>
              <w:jc w:val="right"/>
              <w:rPr>
                <w:rFonts w:ascii="Tahoma" w:eastAsia="Times New Roman" w:hAnsi="Tahoma" w:cs="Tahoma"/>
                <w:sz w:val="18"/>
                <w:szCs w:val="18"/>
                <w:lang w:eastAsia="hr-HR"/>
              </w:rPr>
            </w:pPr>
            <w:r w:rsidRPr="00C779A5">
              <w:rPr>
                <w:rFonts w:ascii="Tahoma" w:eastAsia="Times New Roman" w:hAnsi="Tahoma" w:cs="Tahoma"/>
                <w:sz w:val="18"/>
                <w:szCs w:val="18"/>
                <w:lang w:eastAsia="hr-HR"/>
              </w:rPr>
              <w:t>4</w:t>
            </w:r>
          </w:p>
        </w:tc>
        <w:tc>
          <w:tcPr>
            <w:tcW w:w="522" w:type="dxa"/>
            <w:tcBorders>
              <w:top w:val="nil"/>
              <w:left w:val="nil"/>
              <w:bottom w:val="single" w:sz="4" w:space="0" w:color="auto"/>
              <w:right w:val="single" w:sz="4" w:space="0" w:color="auto"/>
            </w:tcBorders>
            <w:shd w:val="clear" w:color="000000" w:fill="FF9900"/>
            <w:noWrap/>
            <w:vAlign w:val="bottom"/>
            <w:hideMark/>
          </w:tcPr>
          <w:p w14:paraId="3C1EA11F" w14:textId="77777777" w:rsidR="00C779A5" w:rsidRPr="00C779A5" w:rsidRDefault="00C779A5" w:rsidP="00C779A5">
            <w:pPr>
              <w:spacing w:after="0" w:line="240" w:lineRule="auto"/>
              <w:jc w:val="right"/>
              <w:rPr>
                <w:rFonts w:ascii="Tahoma" w:eastAsia="Times New Roman" w:hAnsi="Tahoma" w:cs="Tahoma"/>
                <w:sz w:val="18"/>
                <w:szCs w:val="18"/>
                <w:lang w:eastAsia="hr-HR"/>
              </w:rPr>
            </w:pPr>
            <w:r w:rsidRPr="00C779A5">
              <w:rPr>
                <w:rFonts w:ascii="Tahoma" w:eastAsia="Times New Roman" w:hAnsi="Tahoma" w:cs="Tahoma"/>
                <w:sz w:val="18"/>
                <w:szCs w:val="18"/>
                <w:lang w:eastAsia="hr-HR"/>
              </w:rPr>
              <w:t>0</w:t>
            </w:r>
          </w:p>
        </w:tc>
        <w:tc>
          <w:tcPr>
            <w:tcW w:w="467" w:type="dxa"/>
            <w:tcBorders>
              <w:top w:val="nil"/>
              <w:left w:val="nil"/>
              <w:bottom w:val="single" w:sz="4" w:space="0" w:color="auto"/>
              <w:right w:val="single" w:sz="4" w:space="0" w:color="auto"/>
            </w:tcBorders>
            <w:shd w:val="clear" w:color="000000" w:fill="FF9900"/>
            <w:noWrap/>
            <w:vAlign w:val="bottom"/>
            <w:hideMark/>
          </w:tcPr>
          <w:p w14:paraId="7E18083C" w14:textId="77777777" w:rsidR="00C779A5" w:rsidRPr="00C779A5" w:rsidRDefault="00C779A5" w:rsidP="00C779A5">
            <w:pPr>
              <w:spacing w:after="0" w:line="240" w:lineRule="auto"/>
              <w:jc w:val="right"/>
              <w:rPr>
                <w:rFonts w:ascii="Tahoma" w:eastAsia="Times New Roman" w:hAnsi="Tahoma" w:cs="Tahoma"/>
                <w:sz w:val="18"/>
                <w:szCs w:val="18"/>
                <w:lang w:eastAsia="hr-HR"/>
              </w:rPr>
            </w:pPr>
            <w:r w:rsidRPr="00C779A5">
              <w:rPr>
                <w:rFonts w:ascii="Tahoma" w:eastAsia="Times New Roman" w:hAnsi="Tahoma" w:cs="Tahoma"/>
                <w:sz w:val="18"/>
                <w:szCs w:val="18"/>
                <w:lang w:eastAsia="hr-HR"/>
              </w:rPr>
              <w:t>2</w:t>
            </w:r>
          </w:p>
        </w:tc>
        <w:tc>
          <w:tcPr>
            <w:tcW w:w="467" w:type="dxa"/>
            <w:tcBorders>
              <w:top w:val="nil"/>
              <w:left w:val="nil"/>
              <w:bottom w:val="single" w:sz="4" w:space="0" w:color="auto"/>
              <w:right w:val="single" w:sz="4" w:space="0" w:color="auto"/>
            </w:tcBorders>
            <w:shd w:val="clear" w:color="000000" w:fill="FFFF00"/>
            <w:vAlign w:val="center"/>
            <w:hideMark/>
          </w:tcPr>
          <w:p w14:paraId="7B00EE2A" w14:textId="77777777" w:rsidR="00C779A5" w:rsidRPr="00C779A5" w:rsidRDefault="00C779A5" w:rsidP="00C779A5">
            <w:pPr>
              <w:spacing w:after="0" w:line="240" w:lineRule="auto"/>
              <w:jc w:val="center"/>
              <w:rPr>
                <w:rFonts w:ascii="Tahoma" w:eastAsia="Times New Roman" w:hAnsi="Tahoma" w:cs="Tahoma"/>
                <w:sz w:val="18"/>
                <w:szCs w:val="18"/>
                <w:lang w:eastAsia="hr-HR"/>
              </w:rPr>
            </w:pPr>
            <w:r w:rsidRPr="00C779A5">
              <w:rPr>
                <w:rFonts w:ascii="Tahoma" w:eastAsia="Times New Roman" w:hAnsi="Tahoma" w:cs="Tahoma"/>
                <w:sz w:val="18"/>
                <w:szCs w:val="18"/>
                <w:lang w:eastAsia="hr-HR"/>
              </w:rPr>
              <w:t>6</w:t>
            </w:r>
          </w:p>
        </w:tc>
        <w:tc>
          <w:tcPr>
            <w:tcW w:w="877" w:type="dxa"/>
            <w:gridSpan w:val="2"/>
            <w:tcBorders>
              <w:top w:val="nil"/>
              <w:left w:val="nil"/>
              <w:bottom w:val="single" w:sz="4" w:space="0" w:color="auto"/>
              <w:right w:val="single" w:sz="4" w:space="0" w:color="auto"/>
            </w:tcBorders>
            <w:shd w:val="clear" w:color="000000" w:fill="FF9900"/>
            <w:vAlign w:val="center"/>
            <w:hideMark/>
          </w:tcPr>
          <w:p w14:paraId="6DBDB193" w14:textId="77777777" w:rsidR="00C779A5" w:rsidRPr="00C779A5" w:rsidRDefault="00C779A5" w:rsidP="00C779A5">
            <w:pPr>
              <w:spacing w:after="0" w:line="240" w:lineRule="auto"/>
              <w:jc w:val="center"/>
              <w:rPr>
                <w:rFonts w:ascii="Tahoma" w:eastAsia="Times New Roman" w:hAnsi="Tahoma" w:cs="Tahoma"/>
                <w:sz w:val="18"/>
                <w:szCs w:val="18"/>
                <w:lang w:eastAsia="hr-HR"/>
              </w:rPr>
            </w:pPr>
            <w:r w:rsidRPr="00C779A5">
              <w:rPr>
                <w:rFonts w:ascii="Tahoma" w:eastAsia="Times New Roman" w:hAnsi="Tahoma" w:cs="Tahoma"/>
                <w:sz w:val="18"/>
                <w:szCs w:val="18"/>
                <w:lang w:eastAsia="hr-HR"/>
              </w:rPr>
              <w:t>6</w:t>
            </w:r>
          </w:p>
        </w:tc>
        <w:tc>
          <w:tcPr>
            <w:tcW w:w="576" w:type="dxa"/>
            <w:gridSpan w:val="2"/>
            <w:tcBorders>
              <w:top w:val="nil"/>
              <w:left w:val="nil"/>
              <w:bottom w:val="single" w:sz="4" w:space="0" w:color="auto"/>
              <w:right w:val="single" w:sz="4" w:space="0" w:color="auto"/>
            </w:tcBorders>
            <w:shd w:val="clear" w:color="000000" w:fill="FF9900"/>
            <w:noWrap/>
            <w:vAlign w:val="center"/>
            <w:hideMark/>
          </w:tcPr>
          <w:p w14:paraId="21523909" w14:textId="77777777" w:rsidR="00C779A5" w:rsidRPr="00C779A5" w:rsidRDefault="00C779A5" w:rsidP="00C779A5">
            <w:pPr>
              <w:spacing w:after="0" w:line="240" w:lineRule="auto"/>
              <w:jc w:val="center"/>
              <w:rPr>
                <w:rFonts w:ascii="Tahoma" w:eastAsia="Times New Roman" w:hAnsi="Tahoma" w:cs="Tahoma"/>
                <w:sz w:val="18"/>
                <w:szCs w:val="18"/>
                <w:lang w:eastAsia="hr-HR"/>
              </w:rPr>
            </w:pPr>
            <w:r w:rsidRPr="00C779A5">
              <w:rPr>
                <w:rFonts w:ascii="Tahoma" w:eastAsia="Times New Roman" w:hAnsi="Tahoma" w:cs="Tahoma"/>
                <w:sz w:val="18"/>
                <w:szCs w:val="18"/>
                <w:lang w:eastAsia="hr-HR"/>
              </w:rPr>
              <w:t>3</w:t>
            </w:r>
          </w:p>
        </w:tc>
        <w:tc>
          <w:tcPr>
            <w:tcW w:w="440" w:type="dxa"/>
            <w:tcBorders>
              <w:top w:val="nil"/>
              <w:left w:val="nil"/>
              <w:bottom w:val="single" w:sz="4" w:space="0" w:color="auto"/>
              <w:right w:val="single" w:sz="4" w:space="0" w:color="auto"/>
            </w:tcBorders>
            <w:shd w:val="clear" w:color="000000" w:fill="FF9900"/>
            <w:noWrap/>
            <w:vAlign w:val="center"/>
            <w:hideMark/>
          </w:tcPr>
          <w:p w14:paraId="6A62BFA5" w14:textId="77777777" w:rsidR="00C779A5" w:rsidRPr="00C779A5" w:rsidRDefault="00C779A5" w:rsidP="00C779A5">
            <w:pPr>
              <w:spacing w:after="0" w:line="240" w:lineRule="auto"/>
              <w:jc w:val="center"/>
              <w:rPr>
                <w:rFonts w:ascii="Tahoma" w:eastAsia="Times New Roman" w:hAnsi="Tahoma" w:cs="Tahoma"/>
                <w:sz w:val="18"/>
                <w:szCs w:val="18"/>
                <w:lang w:eastAsia="hr-HR"/>
              </w:rPr>
            </w:pPr>
            <w:r w:rsidRPr="00C779A5">
              <w:rPr>
                <w:rFonts w:ascii="Tahoma" w:eastAsia="Times New Roman" w:hAnsi="Tahoma" w:cs="Tahoma"/>
                <w:sz w:val="18"/>
                <w:szCs w:val="18"/>
                <w:lang w:eastAsia="hr-HR"/>
              </w:rPr>
              <w:t>1</w:t>
            </w:r>
          </w:p>
        </w:tc>
        <w:tc>
          <w:tcPr>
            <w:tcW w:w="793" w:type="dxa"/>
            <w:tcBorders>
              <w:top w:val="nil"/>
              <w:left w:val="nil"/>
              <w:bottom w:val="single" w:sz="4" w:space="0" w:color="auto"/>
              <w:right w:val="single" w:sz="4" w:space="0" w:color="auto"/>
            </w:tcBorders>
            <w:shd w:val="clear" w:color="000000" w:fill="FF9900"/>
            <w:noWrap/>
            <w:vAlign w:val="center"/>
            <w:hideMark/>
          </w:tcPr>
          <w:p w14:paraId="695F11AD" w14:textId="77777777" w:rsidR="00C779A5" w:rsidRPr="00C779A5" w:rsidRDefault="00C779A5" w:rsidP="00C779A5">
            <w:pPr>
              <w:spacing w:after="0" w:line="240" w:lineRule="auto"/>
              <w:jc w:val="center"/>
              <w:rPr>
                <w:rFonts w:ascii="Tahoma" w:eastAsia="Times New Roman" w:hAnsi="Tahoma" w:cs="Tahoma"/>
                <w:sz w:val="18"/>
                <w:szCs w:val="18"/>
                <w:lang w:eastAsia="hr-HR"/>
              </w:rPr>
            </w:pPr>
            <w:r w:rsidRPr="00C779A5">
              <w:rPr>
                <w:rFonts w:ascii="Tahoma" w:eastAsia="Times New Roman" w:hAnsi="Tahoma" w:cs="Tahoma"/>
                <w:sz w:val="18"/>
                <w:szCs w:val="18"/>
                <w:lang w:eastAsia="hr-HR"/>
              </w:rPr>
              <w:t>3</w:t>
            </w:r>
          </w:p>
        </w:tc>
        <w:tc>
          <w:tcPr>
            <w:tcW w:w="645" w:type="dxa"/>
            <w:gridSpan w:val="2"/>
            <w:tcBorders>
              <w:top w:val="nil"/>
              <w:left w:val="nil"/>
              <w:bottom w:val="single" w:sz="4" w:space="0" w:color="auto"/>
              <w:right w:val="single" w:sz="4" w:space="0" w:color="auto"/>
            </w:tcBorders>
            <w:shd w:val="clear" w:color="000000" w:fill="CCFFFF"/>
            <w:noWrap/>
            <w:vAlign w:val="bottom"/>
            <w:hideMark/>
          </w:tcPr>
          <w:p w14:paraId="7F3619E6" w14:textId="77777777" w:rsidR="00C779A5" w:rsidRPr="00C779A5" w:rsidRDefault="00C779A5" w:rsidP="00C779A5">
            <w:pPr>
              <w:spacing w:after="0" w:line="240" w:lineRule="auto"/>
              <w:jc w:val="right"/>
              <w:rPr>
                <w:rFonts w:ascii="Tahoma" w:eastAsia="Times New Roman" w:hAnsi="Tahoma" w:cs="Tahoma"/>
                <w:sz w:val="18"/>
                <w:szCs w:val="18"/>
                <w:lang w:eastAsia="hr-HR"/>
              </w:rPr>
            </w:pPr>
            <w:r w:rsidRPr="00C779A5">
              <w:rPr>
                <w:rFonts w:ascii="Tahoma" w:eastAsia="Times New Roman" w:hAnsi="Tahoma" w:cs="Tahoma"/>
                <w:sz w:val="18"/>
                <w:szCs w:val="18"/>
                <w:lang w:eastAsia="hr-HR"/>
              </w:rPr>
              <w:t>3</w:t>
            </w:r>
          </w:p>
        </w:tc>
        <w:tc>
          <w:tcPr>
            <w:tcW w:w="467" w:type="dxa"/>
            <w:tcBorders>
              <w:top w:val="nil"/>
              <w:left w:val="nil"/>
              <w:bottom w:val="single" w:sz="4" w:space="0" w:color="auto"/>
              <w:right w:val="single" w:sz="4" w:space="0" w:color="auto"/>
            </w:tcBorders>
            <w:shd w:val="clear" w:color="000000" w:fill="CCFFFF"/>
            <w:noWrap/>
            <w:vAlign w:val="bottom"/>
            <w:hideMark/>
          </w:tcPr>
          <w:p w14:paraId="598C76A7" w14:textId="77777777" w:rsidR="00C779A5" w:rsidRPr="00C779A5" w:rsidRDefault="00C779A5" w:rsidP="00C779A5">
            <w:pPr>
              <w:spacing w:after="0" w:line="240" w:lineRule="auto"/>
              <w:jc w:val="right"/>
              <w:rPr>
                <w:rFonts w:ascii="Tahoma" w:eastAsia="Times New Roman" w:hAnsi="Tahoma" w:cs="Tahoma"/>
                <w:sz w:val="18"/>
                <w:szCs w:val="18"/>
                <w:lang w:eastAsia="hr-HR"/>
              </w:rPr>
            </w:pPr>
            <w:r w:rsidRPr="00C779A5">
              <w:rPr>
                <w:rFonts w:ascii="Tahoma" w:eastAsia="Times New Roman" w:hAnsi="Tahoma" w:cs="Tahoma"/>
                <w:sz w:val="18"/>
                <w:szCs w:val="18"/>
                <w:lang w:eastAsia="hr-HR"/>
              </w:rPr>
              <w:t>1</w:t>
            </w:r>
          </w:p>
        </w:tc>
        <w:tc>
          <w:tcPr>
            <w:tcW w:w="467" w:type="dxa"/>
            <w:tcBorders>
              <w:top w:val="nil"/>
              <w:left w:val="nil"/>
              <w:bottom w:val="single" w:sz="4" w:space="0" w:color="auto"/>
              <w:right w:val="single" w:sz="4" w:space="0" w:color="auto"/>
            </w:tcBorders>
            <w:shd w:val="clear" w:color="000000" w:fill="CCFFFF"/>
            <w:noWrap/>
            <w:vAlign w:val="bottom"/>
            <w:hideMark/>
          </w:tcPr>
          <w:p w14:paraId="7CB0C64C" w14:textId="77777777" w:rsidR="00C779A5" w:rsidRPr="00C779A5" w:rsidRDefault="00C779A5" w:rsidP="00C779A5">
            <w:pPr>
              <w:spacing w:after="0" w:line="240" w:lineRule="auto"/>
              <w:jc w:val="right"/>
              <w:rPr>
                <w:rFonts w:ascii="Tahoma" w:eastAsia="Times New Roman" w:hAnsi="Tahoma" w:cs="Tahoma"/>
                <w:sz w:val="18"/>
                <w:szCs w:val="18"/>
                <w:lang w:eastAsia="hr-HR"/>
              </w:rPr>
            </w:pPr>
            <w:r w:rsidRPr="00C779A5">
              <w:rPr>
                <w:rFonts w:ascii="Tahoma" w:eastAsia="Times New Roman" w:hAnsi="Tahoma" w:cs="Tahoma"/>
                <w:sz w:val="18"/>
                <w:szCs w:val="18"/>
                <w:lang w:eastAsia="hr-HR"/>
              </w:rPr>
              <w:t>0</w:t>
            </w:r>
          </w:p>
        </w:tc>
        <w:tc>
          <w:tcPr>
            <w:tcW w:w="478" w:type="dxa"/>
            <w:gridSpan w:val="2"/>
            <w:tcBorders>
              <w:top w:val="nil"/>
              <w:left w:val="nil"/>
              <w:bottom w:val="single" w:sz="4" w:space="0" w:color="auto"/>
              <w:right w:val="nil"/>
            </w:tcBorders>
            <w:shd w:val="clear" w:color="000000" w:fill="33CCCC"/>
            <w:noWrap/>
            <w:vAlign w:val="bottom"/>
            <w:hideMark/>
          </w:tcPr>
          <w:p w14:paraId="24B44573" w14:textId="77777777" w:rsidR="00C779A5" w:rsidRPr="00C779A5" w:rsidRDefault="00C779A5" w:rsidP="00C779A5">
            <w:pPr>
              <w:spacing w:after="0" w:line="240" w:lineRule="auto"/>
              <w:jc w:val="right"/>
              <w:rPr>
                <w:rFonts w:ascii="Tahoma" w:eastAsia="Times New Roman" w:hAnsi="Tahoma" w:cs="Tahoma"/>
                <w:sz w:val="18"/>
                <w:szCs w:val="18"/>
                <w:lang w:eastAsia="hr-HR"/>
              </w:rPr>
            </w:pPr>
            <w:r w:rsidRPr="00C779A5">
              <w:rPr>
                <w:rFonts w:ascii="Tahoma" w:eastAsia="Times New Roman" w:hAnsi="Tahoma" w:cs="Tahoma"/>
                <w:sz w:val="18"/>
                <w:szCs w:val="18"/>
                <w:lang w:eastAsia="hr-HR"/>
              </w:rPr>
              <w:t>1</w:t>
            </w:r>
          </w:p>
        </w:tc>
        <w:tc>
          <w:tcPr>
            <w:tcW w:w="876" w:type="dxa"/>
            <w:tcBorders>
              <w:top w:val="nil"/>
              <w:left w:val="single" w:sz="4" w:space="0" w:color="auto"/>
              <w:bottom w:val="single" w:sz="4" w:space="0" w:color="auto"/>
              <w:right w:val="single" w:sz="8" w:space="0" w:color="auto"/>
            </w:tcBorders>
            <w:shd w:val="clear" w:color="000000" w:fill="33CCCC"/>
            <w:noWrap/>
            <w:vAlign w:val="bottom"/>
            <w:hideMark/>
          </w:tcPr>
          <w:p w14:paraId="32D91FB9" w14:textId="77777777" w:rsidR="00C779A5" w:rsidRPr="00C779A5" w:rsidRDefault="00C779A5" w:rsidP="00C779A5">
            <w:pPr>
              <w:spacing w:after="0" w:line="240" w:lineRule="auto"/>
              <w:jc w:val="right"/>
              <w:rPr>
                <w:rFonts w:ascii="Tahoma" w:eastAsia="Times New Roman" w:hAnsi="Tahoma" w:cs="Tahoma"/>
                <w:sz w:val="18"/>
                <w:szCs w:val="18"/>
                <w:lang w:eastAsia="hr-HR"/>
              </w:rPr>
            </w:pPr>
            <w:r w:rsidRPr="00C779A5">
              <w:rPr>
                <w:rFonts w:ascii="Tahoma" w:eastAsia="Times New Roman" w:hAnsi="Tahoma" w:cs="Tahoma"/>
                <w:sz w:val="18"/>
                <w:szCs w:val="18"/>
                <w:lang w:eastAsia="hr-HR"/>
              </w:rPr>
              <w:t>5</w:t>
            </w:r>
          </w:p>
        </w:tc>
        <w:tc>
          <w:tcPr>
            <w:tcW w:w="236" w:type="dxa"/>
            <w:gridSpan w:val="3"/>
            <w:vAlign w:val="center"/>
            <w:hideMark/>
          </w:tcPr>
          <w:p w14:paraId="4EA2D8F8" w14:textId="77777777" w:rsidR="00C779A5" w:rsidRPr="00C779A5" w:rsidRDefault="00C779A5" w:rsidP="00C779A5">
            <w:pPr>
              <w:spacing w:after="0" w:line="240" w:lineRule="auto"/>
              <w:rPr>
                <w:rFonts w:ascii="Times New Roman" w:eastAsia="Times New Roman" w:hAnsi="Times New Roman" w:cs="Times New Roman"/>
                <w:sz w:val="18"/>
                <w:szCs w:val="18"/>
                <w:lang w:eastAsia="hr-HR"/>
              </w:rPr>
            </w:pPr>
          </w:p>
        </w:tc>
      </w:tr>
      <w:tr w:rsidR="00C779A5" w:rsidRPr="00C779A5" w14:paraId="4FBE13DE" w14:textId="77777777" w:rsidTr="00C779A5">
        <w:trPr>
          <w:gridAfter w:val="2"/>
          <w:wAfter w:w="149" w:type="dxa"/>
          <w:trHeight w:val="300"/>
        </w:trPr>
        <w:tc>
          <w:tcPr>
            <w:tcW w:w="1567" w:type="dxa"/>
            <w:tcBorders>
              <w:top w:val="single" w:sz="4" w:space="0" w:color="auto"/>
              <w:left w:val="single" w:sz="8" w:space="0" w:color="auto"/>
              <w:bottom w:val="single" w:sz="4" w:space="0" w:color="auto"/>
              <w:right w:val="single" w:sz="4" w:space="0" w:color="auto"/>
            </w:tcBorders>
            <w:shd w:val="clear" w:color="000000" w:fill="CCFFCC"/>
            <w:vAlign w:val="center"/>
            <w:hideMark/>
          </w:tcPr>
          <w:p w14:paraId="07639A09" w14:textId="77777777" w:rsidR="00C779A5" w:rsidRPr="00C779A5" w:rsidRDefault="00C779A5" w:rsidP="00C779A5">
            <w:pPr>
              <w:spacing w:after="0" w:line="240" w:lineRule="auto"/>
              <w:rPr>
                <w:rFonts w:ascii="Tahoma" w:eastAsia="Times New Roman" w:hAnsi="Tahoma" w:cs="Tahoma"/>
                <w:sz w:val="18"/>
                <w:szCs w:val="18"/>
                <w:lang w:eastAsia="hr-HR"/>
              </w:rPr>
            </w:pPr>
            <w:r w:rsidRPr="00C779A5">
              <w:rPr>
                <w:rFonts w:ascii="Tahoma" w:eastAsia="Times New Roman" w:hAnsi="Tahoma" w:cs="Tahoma"/>
                <w:sz w:val="18"/>
                <w:szCs w:val="18"/>
                <w:lang w:eastAsia="hr-HR"/>
              </w:rPr>
              <w:t>Nacionalno podrijetlo</w:t>
            </w:r>
          </w:p>
        </w:tc>
        <w:tc>
          <w:tcPr>
            <w:tcW w:w="557" w:type="dxa"/>
            <w:tcBorders>
              <w:top w:val="nil"/>
              <w:left w:val="nil"/>
              <w:bottom w:val="single" w:sz="4" w:space="0" w:color="auto"/>
              <w:right w:val="single" w:sz="4" w:space="0" w:color="auto"/>
            </w:tcBorders>
            <w:shd w:val="clear" w:color="000000" w:fill="FFCC99"/>
            <w:noWrap/>
            <w:vAlign w:val="bottom"/>
            <w:hideMark/>
          </w:tcPr>
          <w:p w14:paraId="131901BF" w14:textId="77777777" w:rsidR="00C779A5" w:rsidRPr="00C779A5" w:rsidRDefault="00C779A5" w:rsidP="00C779A5">
            <w:pPr>
              <w:spacing w:after="0" w:line="240" w:lineRule="auto"/>
              <w:jc w:val="center"/>
              <w:rPr>
                <w:rFonts w:ascii="Tahoma" w:eastAsia="Times New Roman" w:hAnsi="Tahoma" w:cs="Tahoma"/>
                <w:sz w:val="18"/>
                <w:szCs w:val="18"/>
                <w:lang w:eastAsia="hr-HR"/>
              </w:rPr>
            </w:pPr>
            <w:r w:rsidRPr="00C779A5">
              <w:rPr>
                <w:rFonts w:ascii="Tahoma" w:eastAsia="Times New Roman" w:hAnsi="Tahoma" w:cs="Tahoma"/>
                <w:sz w:val="18"/>
                <w:szCs w:val="18"/>
                <w:lang w:eastAsia="hr-HR"/>
              </w:rPr>
              <w:t>3</w:t>
            </w:r>
          </w:p>
        </w:tc>
        <w:tc>
          <w:tcPr>
            <w:tcW w:w="444" w:type="dxa"/>
            <w:tcBorders>
              <w:top w:val="nil"/>
              <w:left w:val="nil"/>
              <w:bottom w:val="single" w:sz="4" w:space="0" w:color="auto"/>
              <w:right w:val="single" w:sz="4" w:space="0" w:color="auto"/>
            </w:tcBorders>
            <w:shd w:val="clear" w:color="000000" w:fill="FFFF00"/>
            <w:noWrap/>
            <w:vAlign w:val="bottom"/>
            <w:hideMark/>
          </w:tcPr>
          <w:p w14:paraId="4164B1E3" w14:textId="77777777" w:rsidR="00C779A5" w:rsidRPr="00C779A5" w:rsidRDefault="00C779A5" w:rsidP="00C779A5">
            <w:pPr>
              <w:spacing w:after="0" w:line="240" w:lineRule="auto"/>
              <w:jc w:val="center"/>
              <w:rPr>
                <w:rFonts w:ascii="Tahoma" w:eastAsia="Times New Roman" w:hAnsi="Tahoma" w:cs="Tahoma"/>
                <w:sz w:val="18"/>
                <w:szCs w:val="18"/>
                <w:lang w:eastAsia="hr-HR"/>
              </w:rPr>
            </w:pPr>
            <w:r w:rsidRPr="00C779A5">
              <w:rPr>
                <w:rFonts w:ascii="Tahoma" w:eastAsia="Times New Roman" w:hAnsi="Tahoma" w:cs="Tahoma"/>
                <w:sz w:val="18"/>
                <w:szCs w:val="18"/>
                <w:lang w:eastAsia="hr-HR"/>
              </w:rPr>
              <w:t>2</w:t>
            </w:r>
          </w:p>
        </w:tc>
        <w:tc>
          <w:tcPr>
            <w:tcW w:w="399" w:type="dxa"/>
            <w:tcBorders>
              <w:top w:val="nil"/>
              <w:left w:val="nil"/>
              <w:bottom w:val="single" w:sz="4" w:space="0" w:color="auto"/>
              <w:right w:val="single" w:sz="4" w:space="0" w:color="auto"/>
            </w:tcBorders>
            <w:shd w:val="clear" w:color="000000" w:fill="CCFFFF"/>
            <w:noWrap/>
            <w:vAlign w:val="bottom"/>
            <w:hideMark/>
          </w:tcPr>
          <w:p w14:paraId="4F091F77" w14:textId="77777777" w:rsidR="00C779A5" w:rsidRPr="00C779A5" w:rsidRDefault="00C779A5" w:rsidP="00C779A5">
            <w:pPr>
              <w:spacing w:after="0" w:line="240" w:lineRule="auto"/>
              <w:jc w:val="right"/>
              <w:rPr>
                <w:rFonts w:ascii="Tahoma" w:eastAsia="Times New Roman" w:hAnsi="Tahoma" w:cs="Tahoma"/>
                <w:sz w:val="18"/>
                <w:szCs w:val="18"/>
                <w:lang w:eastAsia="hr-HR"/>
              </w:rPr>
            </w:pPr>
            <w:r w:rsidRPr="00C779A5">
              <w:rPr>
                <w:rFonts w:ascii="Tahoma" w:eastAsia="Times New Roman" w:hAnsi="Tahoma" w:cs="Tahoma"/>
                <w:sz w:val="18"/>
                <w:szCs w:val="18"/>
                <w:lang w:eastAsia="hr-HR"/>
              </w:rPr>
              <w:t>0</w:t>
            </w:r>
          </w:p>
        </w:tc>
        <w:tc>
          <w:tcPr>
            <w:tcW w:w="425" w:type="dxa"/>
            <w:tcBorders>
              <w:top w:val="nil"/>
              <w:left w:val="nil"/>
              <w:bottom w:val="single" w:sz="4" w:space="0" w:color="auto"/>
              <w:right w:val="single" w:sz="4" w:space="0" w:color="auto"/>
            </w:tcBorders>
            <w:shd w:val="clear" w:color="000000" w:fill="CCFFFF"/>
            <w:noWrap/>
            <w:vAlign w:val="bottom"/>
            <w:hideMark/>
          </w:tcPr>
          <w:p w14:paraId="2C08F571" w14:textId="77777777" w:rsidR="00C779A5" w:rsidRPr="00C779A5" w:rsidRDefault="00C779A5" w:rsidP="00C779A5">
            <w:pPr>
              <w:spacing w:after="0" w:line="240" w:lineRule="auto"/>
              <w:jc w:val="right"/>
              <w:rPr>
                <w:rFonts w:ascii="Tahoma" w:eastAsia="Times New Roman" w:hAnsi="Tahoma" w:cs="Tahoma"/>
                <w:sz w:val="18"/>
                <w:szCs w:val="18"/>
                <w:lang w:eastAsia="hr-HR"/>
              </w:rPr>
            </w:pPr>
            <w:r w:rsidRPr="00C779A5">
              <w:rPr>
                <w:rFonts w:ascii="Tahoma" w:eastAsia="Times New Roman" w:hAnsi="Tahoma" w:cs="Tahoma"/>
                <w:sz w:val="18"/>
                <w:szCs w:val="18"/>
                <w:lang w:eastAsia="hr-HR"/>
              </w:rPr>
              <w:t>2</w:t>
            </w:r>
          </w:p>
        </w:tc>
        <w:tc>
          <w:tcPr>
            <w:tcW w:w="574" w:type="dxa"/>
            <w:tcBorders>
              <w:top w:val="nil"/>
              <w:left w:val="nil"/>
              <w:bottom w:val="single" w:sz="4" w:space="0" w:color="auto"/>
              <w:right w:val="single" w:sz="4" w:space="0" w:color="auto"/>
            </w:tcBorders>
            <w:shd w:val="clear" w:color="000000" w:fill="FFFF99"/>
            <w:noWrap/>
            <w:vAlign w:val="bottom"/>
            <w:hideMark/>
          </w:tcPr>
          <w:p w14:paraId="6EBCC864" w14:textId="77777777" w:rsidR="00C779A5" w:rsidRPr="00C779A5" w:rsidRDefault="00C779A5" w:rsidP="00C779A5">
            <w:pPr>
              <w:spacing w:after="0" w:line="240" w:lineRule="auto"/>
              <w:jc w:val="center"/>
              <w:rPr>
                <w:rFonts w:ascii="Tahoma" w:eastAsia="Times New Roman" w:hAnsi="Tahoma" w:cs="Tahoma"/>
                <w:sz w:val="18"/>
                <w:szCs w:val="18"/>
                <w:lang w:eastAsia="hr-HR"/>
              </w:rPr>
            </w:pPr>
            <w:r w:rsidRPr="00C779A5">
              <w:rPr>
                <w:rFonts w:ascii="Tahoma" w:eastAsia="Times New Roman" w:hAnsi="Tahoma" w:cs="Tahoma"/>
                <w:sz w:val="18"/>
                <w:szCs w:val="18"/>
                <w:lang w:eastAsia="hr-HR"/>
              </w:rPr>
              <w:t>0</w:t>
            </w:r>
          </w:p>
        </w:tc>
        <w:tc>
          <w:tcPr>
            <w:tcW w:w="706" w:type="dxa"/>
            <w:tcBorders>
              <w:top w:val="nil"/>
              <w:left w:val="nil"/>
              <w:bottom w:val="single" w:sz="4" w:space="0" w:color="auto"/>
              <w:right w:val="single" w:sz="4" w:space="0" w:color="auto"/>
            </w:tcBorders>
            <w:shd w:val="clear" w:color="000000" w:fill="FFFF99"/>
            <w:noWrap/>
            <w:vAlign w:val="bottom"/>
            <w:hideMark/>
          </w:tcPr>
          <w:p w14:paraId="5B608416" w14:textId="77777777" w:rsidR="00C779A5" w:rsidRPr="00C779A5" w:rsidRDefault="00C779A5" w:rsidP="00C779A5">
            <w:pPr>
              <w:spacing w:after="0" w:line="240" w:lineRule="auto"/>
              <w:jc w:val="center"/>
              <w:rPr>
                <w:rFonts w:ascii="Tahoma" w:eastAsia="Times New Roman" w:hAnsi="Tahoma" w:cs="Tahoma"/>
                <w:sz w:val="18"/>
                <w:szCs w:val="18"/>
                <w:lang w:eastAsia="hr-HR"/>
              </w:rPr>
            </w:pPr>
            <w:r w:rsidRPr="00C779A5">
              <w:rPr>
                <w:rFonts w:ascii="Tahoma" w:eastAsia="Times New Roman" w:hAnsi="Tahoma" w:cs="Tahoma"/>
                <w:sz w:val="18"/>
                <w:szCs w:val="18"/>
                <w:lang w:eastAsia="hr-HR"/>
              </w:rPr>
              <w:t>1</w:t>
            </w:r>
          </w:p>
        </w:tc>
        <w:tc>
          <w:tcPr>
            <w:tcW w:w="565" w:type="dxa"/>
            <w:tcBorders>
              <w:top w:val="nil"/>
              <w:left w:val="nil"/>
              <w:bottom w:val="single" w:sz="4" w:space="0" w:color="auto"/>
              <w:right w:val="single" w:sz="4" w:space="0" w:color="auto"/>
            </w:tcBorders>
            <w:shd w:val="clear" w:color="000000" w:fill="FFFF99"/>
            <w:noWrap/>
            <w:vAlign w:val="bottom"/>
            <w:hideMark/>
          </w:tcPr>
          <w:p w14:paraId="20B81F3A" w14:textId="77777777" w:rsidR="00C779A5" w:rsidRPr="00C779A5" w:rsidRDefault="00C779A5" w:rsidP="00C779A5">
            <w:pPr>
              <w:spacing w:after="0" w:line="240" w:lineRule="auto"/>
              <w:jc w:val="center"/>
              <w:rPr>
                <w:rFonts w:ascii="Tahoma" w:eastAsia="Times New Roman" w:hAnsi="Tahoma" w:cs="Tahoma"/>
                <w:sz w:val="18"/>
                <w:szCs w:val="18"/>
                <w:lang w:eastAsia="hr-HR"/>
              </w:rPr>
            </w:pPr>
            <w:r w:rsidRPr="00C779A5">
              <w:rPr>
                <w:rFonts w:ascii="Tahoma" w:eastAsia="Times New Roman" w:hAnsi="Tahoma" w:cs="Tahoma"/>
                <w:sz w:val="18"/>
                <w:szCs w:val="18"/>
                <w:lang w:eastAsia="hr-HR"/>
              </w:rPr>
              <w:t>1</w:t>
            </w:r>
          </w:p>
        </w:tc>
        <w:tc>
          <w:tcPr>
            <w:tcW w:w="565" w:type="dxa"/>
            <w:tcBorders>
              <w:top w:val="nil"/>
              <w:left w:val="nil"/>
              <w:bottom w:val="single" w:sz="4" w:space="0" w:color="auto"/>
              <w:right w:val="single" w:sz="4" w:space="0" w:color="auto"/>
            </w:tcBorders>
            <w:shd w:val="clear" w:color="000000" w:fill="FFFF99"/>
            <w:noWrap/>
            <w:vAlign w:val="bottom"/>
            <w:hideMark/>
          </w:tcPr>
          <w:p w14:paraId="5292C8BD" w14:textId="77777777" w:rsidR="00C779A5" w:rsidRPr="00C779A5" w:rsidRDefault="00C779A5" w:rsidP="00C779A5">
            <w:pPr>
              <w:spacing w:after="0" w:line="240" w:lineRule="auto"/>
              <w:jc w:val="center"/>
              <w:rPr>
                <w:rFonts w:ascii="Tahoma" w:eastAsia="Times New Roman" w:hAnsi="Tahoma" w:cs="Tahoma"/>
                <w:sz w:val="18"/>
                <w:szCs w:val="18"/>
                <w:lang w:eastAsia="hr-HR"/>
              </w:rPr>
            </w:pPr>
            <w:r w:rsidRPr="00C779A5">
              <w:rPr>
                <w:rFonts w:ascii="Tahoma" w:eastAsia="Times New Roman" w:hAnsi="Tahoma" w:cs="Tahoma"/>
                <w:sz w:val="18"/>
                <w:szCs w:val="18"/>
                <w:lang w:eastAsia="hr-HR"/>
              </w:rPr>
              <w:t>0</w:t>
            </w:r>
          </w:p>
        </w:tc>
        <w:tc>
          <w:tcPr>
            <w:tcW w:w="467" w:type="dxa"/>
            <w:tcBorders>
              <w:top w:val="nil"/>
              <w:left w:val="nil"/>
              <w:bottom w:val="single" w:sz="4" w:space="0" w:color="auto"/>
              <w:right w:val="single" w:sz="4" w:space="0" w:color="auto"/>
            </w:tcBorders>
            <w:shd w:val="clear" w:color="000000" w:fill="FFFF99"/>
            <w:noWrap/>
            <w:vAlign w:val="bottom"/>
            <w:hideMark/>
          </w:tcPr>
          <w:p w14:paraId="642BDE3D" w14:textId="77777777" w:rsidR="00C779A5" w:rsidRPr="00C779A5" w:rsidRDefault="00C779A5" w:rsidP="00C779A5">
            <w:pPr>
              <w:spacing w:after="0" w:line="240" w:lineRule="auto"/>
              <w:jc w:val="center"/>
              <w:rPr>
                <w:rFonts w:ascii="Tahoma" w:eastAsia="Times New Roman" w:hAnsi="Tahoma" w:cs="Tahoma"/>
                <w:sz w:val="18"/>
                <w:szCs w:val="18"/>
                <w:lang w:eastAsia="hr-HR"/>
              </w:rPr>
            </w:pPr>
            <w:r w:rsidRPr="00C779A5">
              <w:rPr>
                <w:rFonts w:ascii="Tahoma" w:eastAsia="Times New Roman" w:hAnsi="Tahoma" w:cs="Tahoma"/>
                <w:sz w:val="18"/>
                <w:szCs w:val="18"/>
                <w:lang w:eastAsia="hr-HR"/>
              </w:rPr>
              <w:t>0</w:t>
            </w:r>
          </w:p>
        </w:tc>
        <w:tc>
          <w:tcPr>
            <w:tcW w:w="805" w:type="dxa"/>
            <w:tcBorders>
              <w:top w:val="nil"/>
              <w:left w:val="nil"/>
              <w:bottom w:val="single" w:sz="4" w:space="0" w:color="auto"/>
              <w:right w:val="single" w:sz="4" w:space="0" w:color="auto"/>
            </w:tcBorders>
            <w:shd w:val="clear" w:color="000000" w:fill="FFFF99"/>
            <w:noWrap/>
            <w:vAlign w:val="bottom"/>
            <w:hideMark/>
          </w:tcPr>
          <w:p w14:paraId="01F9B35D" w14:textId="77777777" w:rsidR="00C779A5" w:rsidRPr="00C779A5" w:rsidRDefault="00C779A5" w:rsidP="00C779A5">
            <w:pPr>
              <w:spacing w:after="0" w:line="240" w:lineRule="auto"/>
              <w:jc w:val="center"/>
              <w:rPr>
                <w:rFonts w:ascii="Tahoma" w:eastAsia="Times New Roman" w:hAnsi="Tahoma" w:cs="Tahoma"/>
                <w:sz w:val="18"/>
                <w:szCs w:val="18"/>
                <w:lang w:eastAsia="hr-HR"/>
              </w:rPr>
            </w:pPr>
            <w:r w:rsidRPr="00C779A5">
              <w:rPr>
                <w:rFonts w:ascii="Tahoma" w:eastAsia="Times New Roman" w:hAnsi="Tahoma" w:cs="Tahoma"/>
                <w:sz w:val="18"/>
                <w:szCs w:val="18"/>
                <w:lang w:eastAsia="hr-HR"/>
              </w:rPr>
              <w:t>0</w:t>
            </w:r>
          </w:p>
        </w:tc>
        <w:tc>
          <w:tcPr>
            <w:tcW w:w="467" w:type="dxa"/>
            <w:gridSpan w:val="2"/>
            <w:tcBorders>
              <w:top w:val="nil"/>
              <w:left w:val="nil"/>
              <w:bottom w:val="single" w:sz="4" w:space="0" w:color="auto"/>
              <w:right w:val="single" w:sz="4" w:space="0" w:color="auto"/>
            </w:tcBorders>
            <w:shd w:val="clear" w:color="000000" w:fill="FF9900"/>
            <w:noWrap/>
            <w:vAlign w:val="bottom"/>
            <w:hideMark/>
          </w:tcPr>
          <w:p w14:paraId="6362AB28" w14:textId="77777777" w:rsidR="00C779A5" w:rsidRPr="00C779A5" w:rsidRDefault="00C779A5" w:rsidP="00C779A5">
            <w:pPr>
              <w:spacing w:after="0" w:line="240" w:lineRule="auto"/>
              <w:jc w:val="right"/>
              <w:rPr>
                <w:rFonts w:ascii="Tahoma" w:eastAsia="Times New Roman" w:hAnsi="Tahoma" w:cs="Tahoma"/>
                <w:sz w:val="18"/>
                <w:szCs w:val="18"/>
                <w:lang w:eastAsia="hr-HR"/>
              </w:rPr>
            </w:pPr>
            <w:r w:rsidRPr="00C779A5">
              <w:rPr>
                <w:rFonts w:ascii="Tahoma" w:eastAsia="Times New Roman" w:hAnsi="Tahoma" w:cs="Tahoma"/>
                <w:sz w:val="18"/>
                <w:szCs w:val="18"/>
                <w:lang w:eastAsia="hr-HR"/>
              </w:rPr>
              <w:t>1</w:t>
            </w:r>
          </w:p>
        </w:tc>
        <w:tc>
          <w:tcPr>
            <w:tcW w:w="522" w:type="dxa"/>
            <w:tcBorders>
              <w:top w:val="nil"/>
              <w:left w:val="nil"/>
              <w:bottom w:val="single" w:sz="4" w:space="0" w:color="auto"/>
              <w:right w:val="single" w:sz="4" w:space="0" w:color="auto"/>
            </w:tcBorders>
            <w:shd w:val="clear" w:color="000000" w:fill="FF9900"/>
            <w:noWrap/>
            <w:vAlign w:val="bottom"/>
            <w:hideMark/>
          </w:tcPr>
          <w:p w14:paraId="5B4D1C76" w14:textId="77777777" w:rsidR="00C779A5" w:rsidRPr="00C779A5" w:rsidRDefault="00C779A5" w:rsidP="00C779A5">
            <w:pPr>
              <w:spacing w:after="0" w:line="240" w:lineRule="auto"/>
              <w:jc w:val="right"/>
              <w:rPr>
                <w:rFonts w:ascii="Tahoma" w:eastAsia="Times New Roman" w:hAnsi="Tahoma" w:cs="Tahoma"/>
                <w:sz w:val="18"/>
                <w:szCs w:val="18"/>
                <w:lang w:eastAsia="hr-HR"/>
              </w:rPr>
            </w:pPr>
            <w:r w:rsidRPr="00C779A5">
              <w:rPr>
                <w:rFonts w:ascii="Tahoma" w:eastAsia="Times New Roman" w:hAnsi="Tahoma" w:cs="Tahoma"/>
                <w:sz w:val="18"/>
                <w:szCs w:val="18"/>
                <w:lang w:eastAsia="hr-HR"/>
              </w:rPr>
              <w:t>0</w:t>
            </w:r>
          </w:p>
        </w:tc>
        <w:tc>
          <w:tcPr>
            <w:tcW w:w="467" w:type="dxa"/>
            <w:tcBorders>
              <w:top w:val="nil"/>
              <w:left w:val="nil"/>
              <w:bottom w:val="single" w:sz="4" w:space="0" w:color="auto"/>
              <w:right w:val="single" w:sz="4" w:space="0" w:color="auto"/>
            </w:tcBorders>
            <w:shd w:val="clear" w:color="000000" w:fill="FF9900"/>
            <w:noWrap/>
            <w:vAlign w:val="bottom"/>
            <w:hideMark/>
          </w:tcPr>
          <w:p w14:paraId="3849C02C" w14:textId="77777777" w:rsidR="00C779A5" w:rsidRPr="00C779A5" w:rsidRDefault="00C779A5" w:rsidP="00C779A5">
            <w:pPr>
              <w:spacing w:after="0" w:line="240" w:lineRule="auto"/>
              <w:jc w:val="right"/>
              <w:rPr>
                <w:rFonts w:ascii="Tahoma" w:eastAsia="Times New Roman" w:hAnsi="Tahoma" w:cs="Tahoma"/>
                <w:sz w:val="18"/>
                <w:szCs w:val="18"/>
                <w:lang w:eastAsia="hr-HR"/>
              </w:rPr>
            </w:pPr>
            <w:r w:rsidRPr="00C779A5">
              <w:rPr>
                <w:rFonts w:ascii="Tahoma" w:eastAsia="Times New Roman" w:hAnsi="Tahoma" w:cs="Tahoma"/>
                <w:sz w:val="18"/>
                <w:szCs w:val="18"/>
                <w:lang w:eastAsia="hr-HR"/>
              </w:rPr>
              <w:t>0</w:t>
            </w:r>
          </w:p>
        </w:tc>
        <w:tc>
          <w:tcPr>
            <w:tcW w:w="467" w:type="dxa"/>
            <w:tcBorders>
              <w:top w:val="nil"/>
              <w:left w:val="nil"/>
              <w:bottom w:val="single" w:sz="4" w:space="0" w:color="auto"/>
              <w:right w:val="single" w:sz="4" w:space="0" w:color="auto"/>
            </w:tcBorders>
            <w:shd w:val="clear" w:color="000000" w:fill="FFFF00"/>
            <w:vAlign w:val="center"/>
            <w:hideMark/>
          </w:tcPr>
          <w:p w14:paraId="005E21A5" w14:textId="77777777" w:rsidR="00C779A5" w:rsidRPr="00C779A5" w:rsidRDefault="00C779A5" w:rsidP="00C779A5">
            <w:pPr>
              <w:spacing w:after="0" w:line="240" w:lineRule="auto"/>
              <w:jc w:val="center"/>
              <w:rPr>
                <w:rFonts w:ascii="Tahoma" w:eastAsia="Times New Roman" w:hAnsi="Tahoma" w:cs="Tahoma"/>
                <w:sz w:val="18"/>
                <w:szCs w:val="18"/>
                <w:lang w:eastAsia="hr-HR"/>
              </w:rPr>
            </w:pPr>
            <w:r w:rsidRPr="00C779A5">
              <w:rPr>
                <w:rFonts w:ascii="Tahoma" w:eastAsia="Times New Roman" w:hAnsi="Tahoma" w:cs="Tahoma"/>
                <w:sz w:val="18"/>
                <w:szCs w:val="18"/>
                <w:lang w:eastAsia="hr-HR"/>
              </w:rPr>
              <w:t>1</w:t>
            </w:r>
          </w:p>
        </w:tc>
        <w:tc>
          <w:tcPr>
            <w:tcW w:w="877" w:type="dxa"/>
            <w:gridSpan w:val="2"/>
            <w:tcBorders>
              <w:top w:val="nil"/>
              <w:left w:val="nil"/>
              <w:bottom w:val="single" w:sz="4" w:space="0" w:color="auto"/>
              <w:right w:val="single" w:sz="4" w:space="0" w:color="auto"/>
            </w:tcBorders>
            <w:shd w:val="clear" w:color="000000" w:fill="FF9900"/>
            <w:vAlign w:val="center"/>
            <w:hideMark/>
          </w:tcPr>
          <w:p w14:paraId="363D5942" w14:textId="77777777" w:rsidR="00C779A5" w:rsidRPr="00C779A5" w:rsidRDefault="00C779A5" w:rsidP="00C779A5">
            <w:pPr>
              <w:spacing w:after="0" w:line="240" w:lineRule="auto"/>
              <w:jc w:val="center"/>
              <w:rPr>
                <w:rFonts w:ascii="Tahoma" w:eastAsia="Times New Roman" w:hAnsi="Tahoma" w:cs="Tahoma"/>
                <w:sz w:val="18"/>
                <w:szCs w:val="18"/>
                <w:lang w:eastAsia="hr-HR"/>
              </w:rPr>
            </w:pPr>
            <w:r w:rsidRPr="00C779A5">
              <w:rPr>
                <w:rFonts w:ascii="Tahoma" w:eastAsia="Times New Roman" w:hAnsi="Tahoma" w:cs="Tahoma"/>
                <w:sz w:val="18"/>
                <w:szCs w:val="18"/>
                <w:lang w:eastAsia="hr-HR"/>
              </w:rPr>
              <w:t>4</w:t>
            </w:r>
          </w:p>
        </w:tc>
        <w:tc>
          <w:tcPr>
            <w:tcW w:w="576" w:type="dxa"/>
            <w:gridSpan w:val="2"/>
            <w:tcBorders>
              <w:top w:val="nil"/>
              <w:left w:val="nil"/>
              <w:bottom w:val="single" w:sz="4" w:space="0" w:color="auto"/>
              <w:right w:val="single" w:sz="4" w:space="0" w:color="auto"/>
            </w:tcBorders>
            <w:shd w:val="clear" w:color="000000" w:fill="FF9900"/>
            <w:noWrap/>
            <w:vAlign w:val="center"/>
            <w:hideMark/>
          </w:tcPr>
          <w:p w14:paraId="6A961A28" w14:textId="77777777" w:rsidR="00C779A5" w:rsidRPr="00C779A5" w:rsidRDefault="00C779A5" w:rsidP="00C779A5">
            <w:pPr>
              <w:spacing w:after="0" w:line="240" w:lineRule="auto"/>
              <w:jc w:val="center"/>
              <w:rPr>
                <w:rFonts w:ascii="Tahoma" w:eastAsia="Times New Roman" w:hAnsi="Tahoma" w:cs="Tahoma"/>
                <w:sz w:val="18"/>
                <w:szCs w:val="18"/>
                <w:lang w:eastAsia="hr-HR"/>
              </w:rPr>
            </w:pPr>
            <w:r w:rsidRPr="00C779A5">
              <w:rPr>
                <w:rFonts w:ascii="Tahoma" w:eastAsia="Times New Roman" w:hAnsi="Tahoma" w:cs="Tahoma"/>
                <w:sz w:val="18"/>
                <w:szCs w:val="18"/>
                <w:lang w:eastAsia="hr-HR"/>
              </w:rPr>
              <w:t>1</w:t>
            </w:r>
          </w:p>
        </w:tc>
        <w:tc>
          <w:tcPr>
            <w:tcW w:w="440" w:type="dxa"/>
            <w:tcBorders>
              <w:top w:val="nil"/>
              <w:left w:val="nil"/>
              <w:bottom w:val="single" w:sz="4" w:space="0" w:color="auto"/>
              <w:right w:val="single" w:sz="4" w:space="0" w:color="auto"/>
            </w:tcBorders>
            <w:shd w:val="clear" w:color="000000" w:fill="FF9900"/>
            <w:noWrap/>
            <w:vAlign w:val="center"/>
            <w:hideMark/>
          </w:tcPr>
          <w:p w14:paraId="1B766F50" w14:textId="77777777" w:rsidR="00C779A5" w:rsidRPr="00C779A5" w:rsidRDefault="00C779A5" w:rsidP="00C779A5">
            <w:pPr>
              <w:spacing w:after="0" w:line="240" w:lineRule="auto"/>
              <w:jc w:val="center"/>
              <w:rPr>
                <w:rFonts w:ascii="Tahoma" w:eastAsia="Times New Roman" w:hAnsi="Tahoma" w:cs="Tahoma"/>
                <w:sz w:val="18"/>
                <w:szCs w:val="18"/>
                <w:lang w:eastAsia="hr-HR"/>
              </w:rPr>
            </w:pPr>
            <w:r w:rsidRPr="00C779A5">
              <w:rPr>
                <w:rFonts w:ascii="Tahoma" w:eastAsia="Times New Roman" w:hAnsi="Tahoma" w:cs="Tahoma"/>
                <w:sz w:val="18"/>
                <w:szCs w:val="18"/>
                <w:lang w:eastAsia="hr-HR"/>
              </w:rPr>
              <w:t>0</w:t>
            </w:r>
          </w:p>
        </w:tc>
        <w:tc>
          <w:tcPr>
            <w:tcW w:w="793" w:type="dxa"/>
            <w:tcBorders>
              <w:top w:val="nil"/>
              <w:left w:val="nil"/>
              <w:bottom w:val="single" w:sz="4" w:space="0" w:color="auto"/>
              <w:right w:val="single" w:sz="4" w:space="0" w:color="auto"/>
            </w:tcBorders>
            <w:shd w:val="clear" w:color="000000" w:fill="FF9900"/>
            <w:noWrap/>
            <w:vAlign w:val="center"/>
            <w:hideMark/>
          </w:tcPr>
          <w:p w14:paraId="2999106D" w14:textId="77777777" w:rsidR="00C779A5" w:rsidRPr="00C779A5" w:rsidRDefault="00C779A5" w:rsidP="00C779A5">
            <w:pPr>
              <w:spacing w:after="0" w:line="240" w:lineRule="auto"/>
              <w:jc w:val="center"/>
              <w:rPr>
                <w:rFonts w:ascii="Tahoma" w:eastAsia="Times New Roman" w:hAnsi="Tahoma" w:cs="Tahoma"/>
                <w:sz w:val="18"/>
                <w:szCs w:val="18"/>
                <w:lang w:eastAsia="hr-HR"/>
              </w:rPr>
            </w:pPr>
            <w:r w:rsidRPr="00C779A5">
              <w:rPr>
                <w:rFonts w:ascii="Tahoma" w:eastAsia="Times New Roman" w:hAnsi="Tahoma" w:cs="Tahoma"/>
                <w:sz w:val="18"/>
                <w:szCs w:val="18"/>
                <w:lang w:eastAsia="hr-HR"/>
              </w:rPr>
              <w:t>0</w:t>
            </w:r>
          </w:p>
        </w:tc>
        <w:tc>
          <w:tcPr>
            <w:tcW w:w="645" w:type="dxa"/>
            <w:gridSpan w:val="2"/>
            <w:tcBorders>
              <w:top w:val="nil"/>
              <w:left w:val="nil"/>
              <w:bottom w:val="single" w:sz="4" w:space="0" w:color="auto"/>
              <w:right w:val="single" w:sz="4" w:space="0" w:color="auto"/>
            </w:tcBorders>
            <w:shd w:val="clear" w:color="000000" w:fill="CCFFFF"/>
            <w:noWrap/>
            <w:vAlign w:val="bottom"/>
            <w:hideMark/>
          </w:tcPr>
          <w:p w14:paraId="7018008F" w14:textId="77777777" w:rsidR="00C779A5" w:rsidRPr="00C779A5" w:rsidRDefault="00C779A5" w:rsidP="00C779A5">
            <w:pPr>
              <w:spacing w:after="0" w:line="240" w:lineRule="auto"/>
              <w:jc w:val="right"/>
              <w:rPr>
                <w:rFonts w:ascii="Tahoma" w:eastAsia="Times New Roman" w:hAnsi="Tahoma" w:cs="Tahoma"/>
                <w:sz w:val="18"/>
                <w:szCs w:val="18"/>
                <w:lang w:eastAsia="hr-HR"/>
              </w:rPr>
            </w:pPr>
            <w:r w:rsidRPr="00C779A5">
              <w:rPr>
                <w:rFonts w:ascii="Tahoma" w:eastAsia="Times New Roman" w:hAnsi="Tahoma" w:cs="Tahoma"/>
                <w:sz w:val="18"/>
                <w:szCs w:val="18"/>
                <w:lang w:eastAsia="hr-HR"/>
              </w:rPr>
              <w:t>1</w:t>
            </w:r>
          </w:p>
        </w:tc>
        <w:tc>
          <w:tcPr>
            <w:tcW w:w="467" w:type="dxa"/>
            <w:tcBorders>
              <w:top w:val="nil"/>
              <w:left w:val="nil"/>
              <w:bottom w:val="single" w:sz="4" w:space="0" w:color="auto"/>
              <w:right w:val="single" w:sz="4" w:space="0" w:color="auto"/>
            </w:tcBorders>
            <w:shd w:val="clear" w:color="000000" w:fill="CCFFFF"/>
            <w:noWrap/>
            <w:vAlign w:val="bottom"/>
            <w:hideMark/>
          </w:tcPr>
          <w:p w14:paraId="63DA5B6B" w14:textId="77777777" w:rsidR="00C779A5" w:rsidRPr="00C779A5" w:rsidRDefault="00C779A5" w:rsidP="00C779A5">
            <w:pPr>
              <w:spacing w:after="0" w:line="240" w:lineRule="auto"/>
              <w:jc w:val="right"/>
              <w:rPr>
                <w:rFonts w:ascii="Tahoma" w:eastAsia="Times New Roman" w:hAnsi="Tahoma" w:cs="Tahoma"/>
                <w:sz w:val="18"/>
                <w:szCs w:val="18"/>
                <w:lang w:eastAsia="hr-HR"/>
              </w:rPr>
            </w:pPr>
            <w:r w:rsidRPr="00C779A5">
              <w:rPr>
                <w:rFonts w:ascii="Tahoma" w:eastAsia="Times New Roman" w:hAnsi="Tahoma" w:cs="Tahoma"/>
                <w:sz w:val="18"/>
                <w:szCs w:val="18"/>
                <w:lang w:eastAsia="hr-HR"/>
              </w:rPr>
              <w:t>1</w:t>
            </w:r>
          </w:p>
        </w:tc>
        <w:tc>
          <w:tcPr>
            <w:tcW w:w="467" w:type="dxa"/>
            <w:tcBorders>
              <w:top w:val="nil"/>
              <w:left w:val="nil"/>
              <w:bottom w:val="single" w:sz="4" w:space="0" w:color="auto"/>
              <w:right w:val="single" w:sz="4" w:space="0" w:color="auto"/>
            </w:tcBorders>
            <w:shd w:val="clear" w:color="000000" w:fill="CCFFFF"/>
            <w:noWrap/>
            <w:vAlign w:val="bottom"/>
            <w:hideMark/>
          </w:tcPr>
          <w:p w14:paraId="4AF2003F" w14:textId="77777777" w:rsidR="00C779A5" w:rsidRPr="00C779A5" w:rsidRDefault="00C779A5" w:rsidP="00C779A5">
            <w:pPr>
              <w:spacing w:after="0" w:line="240" w:lineRule="auto"/>
              <w:jc w:val="right"/>
              <w:rPr>
                <w:rFonts w:ascii="Tahoma" w:eastAsia="Times New Roman" w:hAnsi="Tahoma" w:cs="Tahoma"/>
                <w:sz w:val="18"/>
                <w:szCs w:val="18"/>
                <w:lang w:eastAsia="hr-HR"/>
              </w:rPr>
            </w:pPr>
            <w:r w:rsidRPr="00C779A5">
              <w:rPr>
                <w:rFonts w:ascii="Tahoma" w:eastAsia="Times New Roman" w:hAnsi="Tahoma" w:cs="Tahoma"/>
                <w:sz w:val="18"/>
                <w:szCs w:val="18"/>
                <w:lang w:eastAsia="hr-HR"/>
              </w:rPr>
              <w:t>0</w:t>
            </w:r>
          </w:p>
        </w:tc>
        <w:tc>
          <w:tcPr>
            <w:tcW w:w="478" w:type="dxa"/>
            <w:gridSpan w:val="2"/>
            <w:tcBorders>
              <w:top w:val="nil"/>
              <w:left w:val="nil"/>
              <w:bottom w:val="single" w:sz="4" w:space="0" w:color="auto"/>
              <w:right w:val="nil"/>
            </w:tcBorders>
            <w:shd w:val="clear" w:color="000000" w:fill="33CCCC"/>
            <w:noWrap/>
            <w:vAlign w:val="bottom"/>
            <w:hideMark/>
          </w:tcPr>
          <w:p w14:paraId="41004BB3" w14:textId="77777777" w:rsidR="00C779A5" w:rsidRPr="00C779A5" w:rsidRDefault="00C779A5" w:rsidP="00C779A5">
            <w:pPr>
              <w:spacing w:after="0" w:line="240" w:lineRule="auto"/>
              <w:jc w:val="right"/>
              <w:rPr>
                <w:rFonts w:ascii="Tahoma" w:eastAsia="Times New Roman" w:hAnsi="Tahoma" w:cs="Tahoma"/>
                <w:sz w:val="18"/>
                <w:szCs w:val="18"/>
                <w:lang w:eastAsia="hr-HR"/>
              </w:rPr>
            </w:pPr>
            <w:r w:rsidRPr="00C779A5">
              <w:rPr>
                <w:rFonts w:ascii="Tahoma" w:eastAsia="Times New Roman" w:hAnsi="Tahoma" w:cs="Tahoma"/>
                <w:sz w:val="18"/>
                <w:szCs w:val="18"/>
                <w:lang w:eastAsia="hr-HR"/>
              </w:rPr>
              <w:t>0</w:t>
            </w:r>
          </w:p>
        </w:tc>
        <w:tc>
          <w:tcPr>
            <w:tcW w:w="876" w:type="dxa"/>
            <w:tcBorders>
              <w:top w:val="nil"/>
              <w:left w:val="single" w:sz="4" w:space="0" w:color="auto"/>
              <w:bottom w:val="single" w:sz="4" w:space="0" w:color="auto"/>
              <w:right w:val="single" w:sz="8" w:space="0" w:color="auto"/>
            </w:tcBorders>
            <w:shd w:val="clear" w:color="000000" w:fill="33CCCC"/>
            <w:noWrap/>
            <w:vAlign w:val="bottom"/>
            <w:hideMark/>
          </w:tcPr>
          <w:p w14:paraId="4364F190" w14:textId="77777777" w:rsidR="00C779A5" w:rsidRPr="00C779A5" w:rsidRDefault="00C779A5" w:rsidP="00C779A5">
            <w:pPr>
              <w:spacing w:after="0" w:line="240" w:lineRule="auto"/>
              <w:jc w:val="right"/>
              <w:rPr>
                <w:rFonts w:ascii="Tahoma" w:eastAsia="Times New Roman" w:hAnsi="Tahoma" w:cs="Tahoma"/>
                <w:sz w:val="18"/>
                <w:szCs w:val="18"/>
                <w:lang w:eastAsia="hr-HR"/>
              </w:rPr>
            </w:pPr>
            <w:r w:rsidRPr="00C779A5">
              <w:rPr>
                <w:rFonts w:ascii="Tahoma" w:eastAsia="Times New Roman" w:hAnsi="Tahoma" w:cs="Tahoma"/>
                <w:sz w:val="18"/>
                <w:szCs w:val="18"/>
                <w:lang w:eastAsia="hr-HR"/>
              </w:rPr>
              <w:t>1</w:t>
            </w:r>
          </w:p>
        </w:tc>
        <w:tc>
          <w:tcPr>
            <w:tcW w:w="236" w:type="dxa"/>
            <w:gridSpan w:val="3"/>
            <w:vAlign w:val="center"/>
            <w:hideMark/>
          </w:tcPr>
          <w:p w14:paraId="1293EB7F" w14:textId="77777777" w:rsidR="00C779A5" w:rsidRPr="00C779A5" w:rsidRDefault="00C779A5" w:rsidP="00C779A5">
            <w:pPr>
              <w:spacing w:after="0" w:line="240" w:lineRule="auto"/>
              <w:rPr>
                <w:rFonts w:ascii="Times New Roman" w:eastAsia="Times New Roman" w:hAnsi="Times New Roman" w:cs="Times New Roman"/>
                <w:sz w:val="18"/>
                <w:szCs w:val="18"/>
                <w:lang w:eastAsia="hr-HR"/>
              </w:rPr>
            </w:pPr>
          </w:p>
        </w:tc>
      </w:tr>
      <w:tr w:rsidR="00C779A5" w:rsidRPr="00C779A5" w14:paraId="4373C658" w14:textId="77777777" w:rsidTr="00C779A5">
        <w:trPr>
          <w:gridAfter w:val="2"/>
          <w:wAfter w:w="149" w:type="dxa"/>
          <w:trHeight w:val="300"/>
        </w:trPr>
        <w:tc>
          <w:tcPr>
            <w:tcW w:w="1567" w:type="dxa"/>
            <w:tcBorders>
              <w:top w:val="single" w:sz="4" w:space="0" w:color="auto"/>
              <w:left w:val="single" w:sz="8" w:space="0" w:color="auto"/>
              <w:bottom w:val="single" w:sz="4" w:space="0" w:color="auto"/>
              <w:right w:val="single" w:sz="4" w:space="0" w:color="auto"/>
            </w:tcBorders>
            <w:shd w:val="clear" w:color="000000" w:fill="CCFFCC"/>
            <w:vAlign w:val="center"/>
            <w:hideMark/>
          </w:tcPr>
          <w:p w14:paraId="4A0D1659" w14:textId="77777777" w:rsidR="00C779A5" w:rsidRPr="00C779A5" w:rsidRDefault="00C779A5" w:rsidP="00C779A5">
            <w:pPr>
              <w:spacing w:after="0" w:line="240" w:lineRule="auto"/>
              <w:rPr>
                <w:rFonts w:ascii="Tahoma" w:eastAsia="Times New Roman" w:hAnsi="Tahoma" w:cs="Tahoma"/>
                <w:sz w:val="18"/>
                <w:szCs w:val="18"/>
                <w:lang w:eastAsia="hr-HR"/>
              </w:rPr>
            </w:pPr>
            <w:r w:rsidRPr="00C779A5">
              <w:rPr>
                <w:rFonts w:ascii="Tahoma" w:eastAsia="Times New Roman" w:hAnsi="Tahoma" w:cs="Tahoma"/>
                <w:sz w:val="18"/>
                <w:szCs w:val="18"/>
                <w:lang w:eastAsia="hr-HR"/>
              </w:rPr>
              <w:lastRenderedPageBreak/>
              <w:t>Socijalno podrijetlo</w:t>
            </w:r>
          </w:p>
        </w:tc>
        <w:tc>
          <w:tcPr>
            <w:tcW w:w="557" w:type="dxa"/>
            <w:tcBorders>
              <w:top w:val="nil"/>
              <w:left w:val="nil"/>
              <w:bottom w:val="single" w:sz="4" w:space="0" w:color="auto"/>
              <w:right w:val="single" w:sz="4" w:space="0" w:color="auto"/>
            </w:tcBorders>
            <w:shd w:val="clear" w:color="000000" w:fill="FFCC99"/>
            <w:noWrap/>
            <w:vAlign w:val="bottom"/>
            <w:hideMark/>
          </w:tcPr>
          <w:p w14:paraId="731F20FB" w14:textId="77777777" w:rsidR="00C779A5" w:rsidRPr="00C779A5" w:rsidRDefault="00C779A5" w:rsidP="00C779A5">
            <w:pPr>
              <w:spacing w:after="0" w:line="240" w:lineRule="auto"/>
              <w:jc w:val="center"/>
              <w:rPr>
                <w:rFonts w:ascii="Tahoma" w:eastAsia="Times New Roman" w:hAnsi="Tahoma" w:cs="Tahoma"/>
                <w:sz w:val="18"/>
                <w:szCs w:val="18"/>
                <w:lang w:eastAsia="hr-HR"/>
              </w:rPr>
            </w:pPr>
            <w:r w:rsidRPr="00C779A5">
              <w:rPr>
                <w:rFonts w:ascii="Tahoma" w:eastAsia="Times New Roman" w:hAnsi="Tahoma" w:cs="Tahoma"/>
                <w:sz w:val="18"/>
                <w:szCs w:val="18"/>
                <w:lang w:eastAsia="hr-HR"/>
              </w:rPr>
              <w:t>3</w:t>
            </w:r>
          </w:p>
        </w:tc>
        <w:tc>
          <w:tcPr>
            <w:tcW w:w="444" w:type="dxa"/>
            <w:tcBorders>
              <w:top w:val="nil"/>
              <w:left w:val="nil"/>
              <w:bottom w:val="single" w:sz="4" w:space="0" w:color="auto"/>
              <w:right w:val="single" w:sz="4" w:space="0" w:color="auto"/>
            </w:tcBorders>
            <w:shd w:val="clear" w:color="000000" w:fill="FFFF00"/>
            <w:noWrap/>
            <w:vAlign w:val="bottom"/>
            <w:hideMark/>
          </w:tcPr>
          <w:p w14:paraId="0C41366C" w14:textId="77777777" w:rsidR="00C779A5" w:rsidRPr="00C779A5" w:rsidRDefault="00C779A5" w:rsidP="00C779A5">
            <w:pPr>
              <w:spacing w:after="0" w:line="240" w:lineRule="auto"/>
              <w:jc w:val="center"/>
              <w:rPr>
                <w:rFonts w:ascii="Tahoma" w:eastAsia="Times New Roman" w:hAnsi="Tahoma" w:cs="Tahoma"/>
                <w:sz w:val="18"/>
                <w:szCs w:val="18"/>
                <w:lang w:eastAsia="hr-HR"/>
              </w:rPr>
            </w:pPr>
            <w:r w:rsidRPr="00C779A5">
              <w:rPr>
                <w:rFonts w:ascii="Tahoma" w:eastAsia="Times New Roman" w:hAnsi="Tahoma" w:cs="Tahoma"/>
                <w:sz w:val="18"/>
                <w:szCs w:val="18"/>
                <w:lang w:eastAsia="hr-HR"/>
              </w:rPr>
              <w:t>0</w:t>
            </w:r>
          </w:p>
        </w:tc>
        <w:tc>
          <w:tcPr>
            <w:tcW w:w="399" w:type="dxa"/>
            <w:tcBorders>
              <w:top w:val="nil"/>
              <w:left w:val="nil"/>
              <w:bottom w:val="single" w:sz="4" w:space="0" w:color="auto"/>
              <w:right w:val="single" w:sz="4" w:space="0" w:color="auto"/>
            </w:tcBorders>
            <w:shd w:val="clear" w:color="000000" w:fill="CCFFFF"/>
            <w:noWrap/>
            <w:vAlign w:val="bottom"/>
            <w:hideMark/>
          </w:tcPr>
          <w:p w14:paraId="3CD17CD0" w14:textId="77777777" w:rsidR="00C779A5" w:rsidRPr="00C779A5" w:rsidRDefault="00C779A5" w:rsidP="00C779A5">
            <w:pPr>
              <w:spacing w:after="0" w:line="240" w:lineRule="auto"/>
              <w:jc w:val="right"/>
              <w:rPr>
                <w:rFonts w:ascii="Tahoma" w:eastAsia="Times New Roman" w:hAnsi="Tahoma" w:cs="Tahoma"/>
                <w:sz w:val="18"/>
                <w:szCs w:val="18"/>
                <w:lang w:eastAsia="hr-HR"/>
              </w:rPr>
            </w:pPr>
            <w:r w:rsidRPr="00C779A5">
              <w:rPr>
                <w:rFonts w:ascii="Tahoma" w:eastAsia="Times New Roman" w:hAnsi="Tahoma" w:cs="Tahoma"/>
                <w:sz w:val="18"/>
                <w:szCs w:val="18"/>
                <w:lang w:eastAsia="hr-HR"/>
              </w:rPr>
              <w:t>0</w:t>
            </w:r>
          </w:p>
        </w:tc>
        <w:tc>
          <w:tcPr>
            <w:tcW w:w="425" w:type="dxa"/>
            <w:tcBorders>
              <w:top w:val="nil"/>
              <w:left w:val="nil"/>
              <w:bottom w:val="single" w:sz="4" w:space="0" w:color="auto"/>
              <w:right w:val="single" w:sz="4" w:space="0" w:color="auto"/>
            </w:tcBorders>
            <w:shd w:val="clear" w:color="000000" w:fill="CCFFFF"/>
            <w:noWrap/>
            <w:vAlign w:val="bottom"/>
            <w:hideMark/>
          </w:tcPr>
          <w:p w14:paraId="4BAE1E83" w14:textId="77777777" w:rsidR="00C779A5" w:rsidRPr="00C779A5" w:rsidRDefault="00C779A5" w:rsidP="00C779A5">
            <w:pPr>
              <w:spacing w:after="0" w:line="240" w:lineRule="auto"/>
              <w:jc w:val="right"/>
              <w:rPr>
                <w:rFonts w:ascii="Tahoma" w:eastAsia="Times New Roman" w:hAnsi="Tahoma" w:cs="Tahoma"/>
                <w:sz w:val="18"/>
                <w:szCs w:val="18"/>
                <w:lang w:eastAsia="hr-HR"/>
              </w:rPr>
            </w:pPr>
            <w:r w:rsidRPr="00C779A5">
              <w:rPr>
                <w:rFonts w:ascii="Tahoma" w:eastAsia="Times New Roman" w:hAnsi="Tahoma" w:cs="Tahoma"/>
                <w:sz w:val="18"/>
                <w:szCs w:val="18"/>
                <w:lang w:eastAsia="hr-HR"/>
              </w:rPr>
              <w:t>0</w:t>
            </w:r>
          </w:p>
        </w:tc>
        <w:tc>
          <w:tcPr>
            <w:tcW w:w="574" w:type="dxa"/>
            <w:tcBorders>
              <w:top w:val="nil"/>
              <w:left w:val="nil"/>
              <w:bottom w:val="single" w:sz="4" w:space="0" w:color="auto"/>
              <w:right w:val="single" w:sz="4" w:space="0" w:color="auto"/>
            </w:tcBorders>
            <w:shd w:val="clear" w:color="000000" w:fill="FFFF99"/>
            <w:noWrap/>
            <w:vAlign w:val="bottom"/>
            <w:hideMark/>
          </w:tcPr>
          <w:p w14:paraId="71D57774" w14:textId="77777777" w:rsidR="00C779A5" w:rsidRPr="00C779A5" w:rsidRDefault="00C779A5" w:rsidP="00C779A5">
            <w:pPr>
              <w:spacing w:after="0" w:line="240" w:lineRule="auto"/>
              <w:jc w:val="center"/>
              <w:rPr>
                <w:rFonts w:ascii="Tahoma" w:eastAsia="Times New Roman" w:hAnsi="Tahoma" w:cs="Tahoma"/>
                <w:sz w:val="18"/>
                <w:szCs w:val="18"/>
                <w:lang w:eastAsia="hr-HR"/>
              </w:rPr>
            </w:pPr>
            <w:r w:rsidRPr="00C779A5">
              <w:rPr>
                <w:rFonts w:ascii="Tahoma" w:eastAsia="Times New Roman" w:hAnsi="Tahoma" w:cs="Tahoma"/>
                <w:sz w:val="18"/>
                <w:szCs w:val="18"/>
                <w:lang w:eastAsia="hr-HR"/>
              </w:rPr>
              <w:t>0</w:t>
            </w:r>
          </w:p>
        </w:tc>
        <w:tc>
          <w:tcPr>
            <w:tcW w:w="706" w:type="dxa"/>
            <w:tcBorders>
              <w:top w:val="nil"/>
              <w:left w:val="nil"/>
              <w:bottom w:val="single" w:sz="4" w:space="0" w:color="auto"/>
              <w:right w:val="single" w:sz="4" w:space="0" w:color="auto"/>
            </w:tcBorders>
            <w:shd w:val="clear" w:color="000000" w:fill="FFFF99"/>
            <w:noWrap/>
            <w:vAlign w:val="bottom"/>
            <w:hideMark/>
          </w:tcPr>
          <w:p w14:paraId="2554A49D" w14:textId="77777777" w:rsidR="00C779A5" w:rsidRPr="00C779A5" w:rsidRDefault="00C779A5" w:rsidP="00C779A5">
            <w:pPr>
              <w:spacing w:after="0" w:line="240" w:lineRule="auto"/>
              <w:jc w:val="center"/>
              <w:rPr>
                <w:rFonts w:ascii="Tahoma" w:eastAsia="Times New Roman" w:hAnsi="Tahoma" w:cs="Tahoma"/>
                <w:sz w:val="18"/>
                <w:szCs w:val="18"/>
                <w:lang w:eastAsia="hr-HR"/>
              </w:rPr>
            </w:pPr>
            <w:r w:rsidRPr="00C779A5">
              <w:rPr>
                <w:rFonts w:ascii="Tahoma" w:eastAsia="Times New Roman" w:hAnsi="Tahoma" w:cs="Tahoma"/>
                <w:sz w:val="18"/>
                <w:szCs w:val="18"/>
                <w:lang w:eastAsia="hr-HR"/>
              </w:rPr>
              <w:t>0</w:t>
            </w:r>
          </w:p>
        </w:tc>
        <w:tc>
          <w:tcPr>
            <w:tcW w:w="565" w:type="dxa"/>
            <w:tcBorders>
              <w:top w:val="nil"/>
              <w:left w:val="nil"/>
              <w:bottom w:val="single" w:sz="4" w:space="0" w:color="auto"/>
              <w:right w:val="single" w:sz="4" w:space="0" w:color="auto"/>
            </w:tcBorders>
            <w:shd w:val="clear" w:color="000000" w:fill="FFFF99"/>
            <w:noWrap/>
            <w:vAlign w:val="bottom"/>
            <w:hideMark/>
          </w:tcPr>
          <w:p w14:paraId="3B3BDE19" w14:textId="77777777" w:rsidR="00C779A5" w:rsidRPr="00C779A5" w:rsidRDefault="00C779A5" w:rsidP="00C779A5">
            <w:pPr>
              <w:spacing w:after="0" w:line="240" w:lineRule="auto"/>
              <w:jc w:val="center"/>
              <w:rPr>
                <w:rFonts w:ascii="Tahoma" w:eastAsia="Times New Roman" w:hAnsi="Tahoma" w:cs="Tahoma"/>
                <w:sz w:val="18"/>
                <w:szCs w:val="18"/>
                <w:lang w:eastAsia="hr-HR"/>
              </w:rPr>
            </w:pPr>
            <w:r w:rsidRPr="00C779A5">
              <w:rPr>
                <w:rFonts w:ascii="Tahoma" w:eastAsia="Times New Roman" w:hAnsi="Tahoma" w:cs="Tahoma"/>
                <w:sz w:val="18"/>
                <w:szCs w:val="18"/>
                <w:lang w:eastAsia="hr-HR"/>
              </w:rPr>
              <w:t>0</w:t>
            </w:r>
          </w:p>
        </w:tc>
        <w:tc>
          <w:tcPr>
            <w:tcW w:w="565" w:type="dxa"/>
            <w:tcBorders>
              <w:top w:val="nil"/>
              <w:left w:val="nil"/>
              <w:bottom w:val="single" w:sz="4" w:space="0" w:color="auto"/>
              <w:right w:val="single" w:sz="4" w:space="0" w:color="auto"/>
            </w:tcBorders>
            <w:shd w:val="clear" w:color="000000" w:fill="FFFF99"/>
            <w:noWrap/>
            <w:vAlign w:val="bottom"/>
            <w:hideMark/>
          </w:tcPr>
          <w:p w14:paraId="02C42E5E" w14:textId="77777777" w:rsidR="00C779A5" w:rsidRPr="00C779A5" w:rsidRDefault="00C779A5" w:rsidP="00C779A5">
            <w:pPr>
              <w:spacing w:after="0" w:line="240" w:lineRule="auto"/>
              <w:jc w:val="center"/>
              <w:rPr>
                <w:rFonts w:ascii="Tahoma" w:eastAsia="Times New Roman" w:hAnsi="Tahoma" w:cs="Tahoma"/>
                <w:sz w:val="18"/>
                <w:szCs w:val="18"/>
                <w:lang w:eastAsia="hr-HR"/>
              </w:rPr>
            </w:pPr>
            <w:r w:rsidRPr="00C779A5">
              <w:rPr>
                <w:rFonts w:ascii="Tahoma" w:eastAsia="Times New Roman" w:hAnsi="Tahoma" w:cs="Tahoma"/>
                <w:sz w:val="18"/>
                <w:szCs w:val="18"/>
                <w:lang w:eastAsia="hr-HR"/>
              </w:rPr>
              <w:t>0</w:t>
            </w:r>
          </w:p>
        </w:tc>
        <w:tc>
          <w:tcPr>
            <w:tcW w:w="467" w:type="dxa"/>
            <w:tcBorders>
              <w:top w:val="nil"/>
              <w:left w:val="nil"/>
              <w:bottom w:val="single" w:sz="4" w:space="0" w:color="auto"/>
              <w:right w:val="single" w:sz="4" w:space="0" w:color="auto"/>
            </w:tcBorders>
            <w:shd w:val="clear" w:color="000000" w:fill="FFFF99"/>
            <w:noWrap/>
            <w:vAlign w:val="bottom"/>
            <w:hideMark/>
          </w:tcPr>
          <w:p w14:paraId="3B3371FD" w14:textId="77777777" w:rsidR="00C779A5" w:rsidRPr="00C779A5" w:rsidRDefault="00C779A5" w:rsidP="00C779A5">
            <w:pPr>
              <w:spacing w:after="0" w:line="240" w:lineRule="auto"/>
              <w:jc w:val="center"/>
              <w:rPr>
                <w:rFonts w:ascii="Tahoma" w:eastAsia="Times New Roman" w:hAnsi="Tahoma" w:cs="Tahoma"/>
                <w:sz w:val="18"/>
                <w:szCs w:val="18"/>
                <w:lang w:eastAsia="hr-HR"/>
              </w:rPr>
            </w:pPr>
            <w:r w:rsidRPr="00C779A5">
              <w:rPr>
                <w:rFonts w:ascii="Tahoma" w:eastAsia="Times New Roman" w:hAnsi="Tahoma" w:cs="Tahoma"/>
                <w:sz w:val="18"/>
                <w:szCs w:val="18"/>
                <w:lang w:eastAsia="hr-HR"/>
              </w:rPr>
              <w:t>0</w:t>
            </w:r>
          </w:p>
        </w:tc>
        <w:tc>
          <w:tcPr>
            <w:tcW w:w="805" w:type="dxa"/>
            <w:tcBorders>
              <w:top w:val="nil"/>
              <w:left w:val="nil"/>
              <w:bottom w:val="single" w:sz="4" w:space="0" w:color="auto"/>
              <w:right w:val="single" w:sz="4" w:space="0" w:color="auto"/>
            </w:tcBorders>
            <w:shd w:val="clear" w:color="000000" w:fill="FFFF99"/>
            <w:noWrap/>
            <w:vAlign w:val="bottom"/>
            <w:hideMark/>
          </w:tcPr>
          <w:p w14:paraId="3FA8C656" w14:textId="77777777" w:rsidR="00C779A5" w:rsidRPr="00C779A5" w:rsidRDefault="00C779A5" w:rsidP="00C779A5">
            <w:pPr>
              <w:spacing w:after="0" w:line="240" w:lineRule="auto"/>
              <w:jc w:val="center"/>
              <w:rPr>
                <w:rFonts w:ascii="Tahoma" w:eastAsia="Times New Roman" w:hAnsi="Tahoma" w:cs="Tahoma"/>
                <w:sz w:val="18"/>
                <w:szCs w:val="18"/>
                <w:lang w:eastAsia="hr-HR"/>
              </w:rPr>
            </w:pPr>
            <w:r w:rsidRPr="00C779A5">
              <w:rPr>
                <w:rFonts w:ascii="Tahoma" w:eastAsia="Times New Roman" w:hAnsi="Tahoma" w:cs="Tahoma"/>
                <w:sz w:val="18"/>
                <w:szCs w:val="18"/>
                <w:lang w:eastAsia="hr-HR"/>
              </w:rPr>
              <w:t>0</w:t>
            </w:r>
          </w:p>
        </w:tc>
        <w:tc>
          <w:tcPr>
            <w:tcW w:w="467" w:type="dxa"/>
            <w:gridSpan w:val="2"/>
            <w:tcBorders>
              <w:top w:val="nil"/>
              <w:left w:val="nil"/>
              <w:bottom w:val="single" w:sz="4" w:space="0" w:color="auto"/>
              <w:right w:val="single" w:sz="4" w:space="0" w:color="auto"/>
            </w:tcBorders>
            <w:shd w:val="clear" w:color="000000" w:fill="FF9900"/>
            <w:noWrap/>
            <w:vAlign w:val="bottom"/>
            <w:hideMark/>
          </w:tcPr>
          <w:p w14:paraId="48CDB067" w14:textId="77777777" w:rsidR="00C779A5" w:rsidRPr="00C779A5" w:rsidRDefault="00C779A5" w:rsidP="00C779A5">
            <w:pPr>
              <w:spacing w:after="0" w:line="240" w:lineRule="auto"/>
              <w:jc w:val="right"/>
              <w:rPr>
                <w:rFonts w:ascii="Tahoma" w:eastAsia="Times New Roman" w:hAnsi="Tahoma" w:cs="Tahoma"/>
                <w:sz w:val="18"/>
                <w:szCs w:val="18"/>
                <w:lang w:eastAsia="hr-HR"/>
              </w:rPr>
            </w:pPr>
            <w:r w:rsidRPr="00C779A5">
              <w:rPr>
                <w:rFonts w:ascii="Tahoma" w:eastAsia="Times New Roman" w:hAnsi="Tahoma" w:cs="Tahoma"/>
                <w:sz w:val="18"/>
                <w:szCs w:val="18"/>
                <w:lang w:eastAsia="hr-HR"/>
              </w:rPr>
              <w:t>0</w:t>
            </w:r>
          </w:p>
        </w:tc>
        <w:tc>
          <w:tcPr>
            <w:tcW w:w="522" w:type="dxa"/>
            <w:tcBorders>
              <w:top w:val="nil"/>
              <w:left w:val="nil"/>
              <w:bottom w:val="single" w:sz="4" w:space="0" w:color="auto"/>
              <w:right w:val="single" w:sz="4" w:space="0" w:color="auto"/>
            </w:tcBorders>
            <w:shd w:val="clear" w:color="000000" w:fill="FF9900"/>
            <w:noWrap/>
            <w:vAlign w:val="bottom"/>
            <w:hideMark/>
          </w:tcPr>
          <w:p w14:paraId="15F52D1F" w14:textId="77777777" w:rsidR="00C779A5" w:rsidRPr="00C779A5" w:rsidRDefault="00C779A5" w:rsidP="00C779A5">
            <w:pPr>
              <w:spacing w:after="0" w:line="240" w:lineRule="auto"/>
              <w:jc w:val="right"/>
              <w:rPr>
                <w:rFonts w:ascii="Tahoma" w:eastAsia="Times New Roman" w:hAnsi="Tahoma" w:cs="Tahoma"/>
                <w:sz w:val="18"/>
                <w:szCs w:val="18"/>
                <w:lang w:eastAsia="hr-HR"/>
              </w:rPr>
            </w:pPr>
            <w:r w:rsidRPr="00C779A5">
              <w:rPr>
                <w:rFonts w:ascii="Tahoma" w:eastAsia="Times New Roman" w:hAnsi="Tahoma" w:cs="Tahoma"/>
                <w:sz w:val="18"/>
                <w:szCs w:val="18"/>
                <w:lang w:eastAsia="hr-HR"/>
              </w:rPr>
              <w:t>0</w:t>
            </w:r>
          </w:p>
        </w:tc>
        <w:tc>
          <w:tcPr>
            <w:tcW w:w="467" w:type="dxa"/>
            <w:tcBorders>
              <w:top w:val="nil"/>
              <w:left w:val="nil"/>
              <w:bottom w:val="single" w:sz="4" w:space="0" w:color="auto"/>
              <w:right w:val="single" w:sz="4" w:space="0" w:color="auto"/>
            </w:tcBorders>
            <w:shd w:val="clear" w:color="000000" w:fill="FF9900"/>
            <w:noWrap/>
            <w:vAlign w:val="bottom"/>
            <w:hideMark/>
          </w:tcPr>
          <w:p w14:paraId="79D0BF99" w14:textId="77777777" w:rsidR="00C779A5" w:rsidRPr="00C779A5" w:rsidRDefault="00C779A5" w:rsidP="00C779A5">
            <w:pPr>
              <w:spacing w:after="0" w:line="240" w:lineRule="auto"/>
              <w:jc w:val="right"/>
              <w:rPr>
                <w:rFonts w:ascii="Tahoma" w:eastAsia="Times New Roman" w:hAnsi="Tahoma" w:cs="Tahoma"/>
                <w:sz w:val="18"/>
                <w:szCs w:val="18"/>
                <w:lang w:eastAsia="hr-HR"/>
              </w:rPr>
            </w:pPr>
            <w:r w:rsidRPr="00C779A5">
              <w:rPr>
                <w:rFonts w:ascii="Tahoma" w:eastAsia="Times New Roman" w:hAnsi="Tahoma" w:cs="Tahoma"/>
                <w:sz w:val="18"/>
                <w:szCs w:val="18"/>
                <w:lang w:eastAsia="hr-HR"/>
              </w:rPr>
              <w:t>0</w:t>
            </w:r>
          </w:p>
        </w:tc>
        <w:tc>
          <w:tcPr>
            <w:tcW w:w="467" w:type="dxa"/>
            <w:tcBorders>
              <w:top w:val="nil"/>
              <w:left w:val="nil"/>
              <w:bottom w:val="single" w:sz="4" w:space="0" w:color="auto"/>
              <w:right w:val="single" w:sz="4" w:space="0" w:color="auto"/>
            </w:tcBorders>
            <w:shd w:val="clear" w:color="000000" w:fill="FFFF00"/>
            <w:vAlign w:val="center"/>
            <w:hideMark/>
          </w:tcPr>
          <w:p w14:paraId="58533968" w14:textId="77777777" w:rsidR="00C779A5" w:rsidRPr="00C779A5" w:rsidRDefault="00C779A5" w:rsidP="00C779A5">
            <w:pPr>
              <w:spacing w:after="0" w:line="240" w:lineRule="auto"/>
              <w:jc w:val="center"/>
              <w:rPr>
                <w:rFonts w:ascii="Tahoma" w:eastAsia="Times New Roman" w:hAnsi="Tahoma" w:cs="Tahoma"/>
                <w:sz w:val="18"/>
                <w:szCs w:val="18"/>
                <w:lang w:eastAsia="hr-HR"/>
              </w:rPr>
            </w:pPr>
            <w:r w:rsidRPr="00C779A5">
              <w:rPr>
                <w:rFonts w:ascii="Tahoma" w:eastAsia="Times New Roman" w:hAnsi="Tahoma" w:cs="Tahoma"/>
                <w:sz w:val="18"/>
                <w:szCs w:val="18"/>
                <w:lang w:eastAsia="hr-HR"/>
              </w:rPr>
              <w:t>0</w:t>
            </w:r>
          </w:p>
        </w:tc>
        <w:tc>
          <w:tcPr>
            <w:tcW w:w="877" w:type="dxa"/>
            <w:gridSpan w:val="2"/>
            <w:tcBorders>
              <w:top w:val="nil"/>
              <w:left w:val="nil"/>
              <w:bottom w:val="single" w:sz="4" w:space="0" w:color="auto"/>
              <w:right w:val="single" w:sz="4" w:space="0" w:color="auto"/>
            </w:tcBorders>
            <w:shd w:val="clear" w:color="000000" w:fill="FF9900"/>
            <w:vAlign w:val="center"/>
            <w:hideMark/>
          </w:tcPr>
          <w:p w14:paraId="0BCE291F" w14:textId="77777777" w:rsidR="00C779A5" w:rsidRPr="00C779A5" w:rsidRDefault="00C779A5" w:rsidP="00C779A5">
            <w:pPr>
              <w:spacing w:after="0" w:line="240" w:lineRule="auto"/>
              <w:jc w:val="center"/>
              <w:rPr>
                <w:rFonts w:ascii="Tahoma" w:eastAsia="Times New Roman" w:hAnsi="Tahoma" w:cs="Tahoma"/>
                <w:sz w:val="18"/>
                <w:szCs w:val="18"/>
                <w:lang w:eastAsia="hr-HR"/>
              </w:rPr>
            </w:pPr>
            <w:r w:rsidRPr="00C779A5">
              <w:rPr>
                <w:rFonts w:ascii="Tahoma" w:eastAsia="Times New Roman" w:hAnsi="Tahoma" w:cs="Tahoma"/>
                <w:sz w:val="18"/>
                <w:szCs w:val="18"/>
                <w:lang w:eastAsia="hr-HR"/>
              </w:rPr>
              <w:t>3</w:t>
            </w:r>
          </w:p>
        </w:tc>
        <w:tc>
          <w:tcPr>
            <w:tcW w:w="576" w:type="dxa"/>
            <w:gridSpan w:val="2"/>
            <w:tcBorders>
              <w:top w:val="nil"/>
              <w:left w:val="nil"/>
              <w:bottom w:val="single" w:sz="4" w:space="0" w:color="auto"/>
              <w:right w:val="single" w:sz="4" w:space="0" w:color="auto"/>
            </w:tcBorders>
            <w:shd w:val="clear" w:color="000000" w:fill="FF9900"/>
            <w:noWrap/>
            <w:vAlign w:val="center"/>
            <w:hideMark/>
          </w:tcPr>
          <w:p w14:paraId="7F0C31AC" w14:textId="77777777" w:rsidR="00C779A5" w:rsidRPr="00C779A5" w:rsidRDefault="00C779A5" w:rsidP="00C779A5">
            <w:pPr>
              <w:spacing w:after="0" w:line="240" w:lineRule="auto"/>
              <w:jc w:val="center"/>
              <w:rPr>
                <w:rFonts w:ascii="Tahoma" w:eastAsia="Times New Roman" w:hAnsi="Tahoma" w:cs="Tahoma"/>
                <w:sz w:val="18"/>
                <w:szCs w:val="18"/>
                <w:lang w:eastAsia="hr-HR"/>
              </w:rPr>
            </w:pPr>
            <w:r w:rsidRPr="00C779A5">
              <w:rPr>
                <w:rFonts w:ascii="Tahoma" w:eastAsia="Times New Roman" w:hAnsi="Tahoma" w:cs="Tahoma"/>
                <w:sz w:val="18"/>
                <w:szCs w:val="18"/>
                <w:lang w:eastAsia="hr-HR"/>
              </w:rPr>
              <w:t>0</w:t>
            </w:r>
          </w:p>
        </w:tc>
        <w:tc>
          <w:tcPr>
            <w:tcW w:w="440" w:type="dxa"/>
            <w:tcBorders>
              <w:top w:val="nil"/>
              <w:left w:val="nil"/>
              <w:bottom w:val="single" w:sz="4" w:space="0" w:color="auto"/>
              <w:right w:val="single" w:sz="4" w:space="0" w:color="auto"/>
            </w:tcBorders>
            <w:shd w:val="clear" w:color="000000" w:fill="FF9900"/>
            <w:noWrap/>
            <w:vAlign w:val="center"/>
            <w:hideMark/>
          </w:tcPr>
          <w:p w14:paraId="11DA8228" w14:textId="77777777" w:rsidR="00C779A5" w:rsidRPr="00C779A5" w:rsidRDefault="00C779A5" w:rsidP="00C779A5">
            <w:pPr>
              <w:spacing w:after="0" w:line="240" w:lineRule="auto"/>
              <w:jc w:val="center"/>
              <w:rPr>
                <w:rFonts w:ascii="Tahoma" w:eastAsia="Times New Roman" w:hAnsi="Tahoma" w:cs="Tahoma"/>
                <w:sz w:val="18"/>
                <w:szCs w:val="18"/>
                <w:lang w:eastAsia="hr-HR"/>
              </w:rPr>
            </w:pPr>
            <w:r w:rsidRPr="00C779A5">
              <w:rPr>
                <w:rFonts w:ascii="Tahoma" w:eastAsia="Times New Roman" w:hAnsi="Tahoma" w:cs="Tahoma"/>
                <w:sz w:val="18"/>
                <w:szCs w:val="18"/>
                <w:lang w:eastAsia="hr-HR"/>
              </w:rPr>
              <w:t>0</w:t>
            </w:r>
          </w:p>
        </w:tc>
        <w:tc>
          <w:tcPr>
            <w:tcW w:w="793" w:type="dxa"/>
            <w:tcBorders>
              <w:top w:val="nil"/>
              <w:left w:val="nil"/>
              <w:bottom w:val="single" w:sz="4" w:space="0" w:color="auto"/>
              <w:right w:val="single" w:sz="4" w:space="0" w:color="auto"/>
            </w:tcBorders>
            <w:shd w:val="clear" w:color="000000" w:fill="FF9900"/>
            <w:noWrap/>
            <w:vAlign w:val="center"/>
            <w:hideMark/>
          </w:tcPr>
          <w:p w14:paraId="06BFF6F3" w14:textId="77777777" w:rsidR="00C779A5" w:rsidRPr="00C779A5" w:rsidRDefault="00C779A5" w:rsidP="00C779A5">
            <w:pPr>
              <w:spacing w:after="0" w:line="240" w:lineRule="auto"/>
              <w:jc w:val="center"/>
              <w:rPr>
                <w:rFonts w:ascii="Tahoma" w:eastAsia="Times New Roman" w:hAnsi="Tahoma" w:cs="Tahoma"/>
                <w:sz w:val="18"/>
                <w:szCs w:val="18"/>
                <w:lang w:eastAsia="hr-HR"/>
              </w:rPr>
            </w:pPr>
            <w:r w:rsidRPr="00C779A5">
              <w:rPr>
                <w:rFonts w:ascii="Tahoma" w:eastAsia="Times New Roman" w:hAnsi="Tahoma" w:cs="Tahoma"/>
                <w:sz w:val="18"/>
                <w:szCs w:val="18"/>
                <w:lang w:eastAsia="hr-HR"/>
              </w:rPr>
              <w:t>0</w:t>
            </w:r>
          </w:p>
        </w:tc>
        <w:tc>
          <w:tcPr>
            <w:tcW w:w="645" w:type="dxa"/>
            <w:gridSpan w:val="2"/>
            <w:tcBorders>
              <w:top w:val="nil"/>
              <w:left w:val="nil"/>
              <w:bottom w:val="single" w:sz="4" w:space="0" w:color="auto"/>
              <w:right w:val="single" w:sz="4" w:space="0" w:color="auto"/>
            </w:tcBorders>
            <w:shd w:val="clear" w:color="000000" w:fill="CCFFFF"/>
            <w:noWrap/>
            <w:vAlign w:val="bottom"/>
            <w:hideMark/>
          </w:tcPr>
          <w:p w14:paraId="0D718785" w14:textId="77777777" w:rsidR="00C779A5" w:rsidRPr="00C779A5" w:rsidRDefault="00C779A5" w:rsidP="00C779A5">
            <w:pPr>
              <w:spacing w:after="0" w:line="240" w:lineRule="auto"/>
              <w:jc w:val="right"/>
              <w:rPr>
                <w:rFonts w:ascii="Tahoma" w:eastAsia="Times New Roman" w:hAnsi="Tahoma" w:cs="Tahoma"/>
                <w:sz w:val="18"/>
                <w:szCs w:val="18"/>
                <w:lang w:eastAsia="hr-HR"/>
              </w:rPr>
            </w:pPr>
            <w:r w:rsidRPr="00C779A5">
              <w:rPr>
                <w:rFonts w:ascii="Tahoma" w:eastAsia="Times New Roman" w:hAnsi="Tahoma" w:cs="Tahoma"/>
                <w:sz w:val="18"/>
                <w:szCs w:val="18"/>
                <w:lang w:eastAsia="hr-HR"/>
              </w:rPr>
              <w:t>0</w:t>
            </w:r>
          </w:p>
        </w:tc>
        <w:tc>
          <w:tcPr>
            <w:tcW w:w="467" w:type="dxa"/>
            <w:tcBorders>
              <w:top w:val="nil"/>
              <w:left w:val="nil"/>
              <w:bottom w:val="single" w:sz="4" w:space="0" w:color="auto"/>
              <w:right w:val="single" w:sz="4" w:space="0" w:color="auto"/>
            </w:tcBorders>
            <w:shd w:val="clear" w:color="000000" w:fill="CCFFFF"/>
            <w:noWrap/>
            <w:vAlign w:val="bottom"/>
            <w:hideMark/>
          </w:tcPr>
          <w:p w14:paraId="5768B87B" w14:textId="77777777" w:rsidR="00C779A5" w:rsidRPr="00C779A5" w:rsidRDefault="00C779A5" w:rsidP="00C779A5">
            <w:pPr>
              <w:spacing w:after="0" w:line="240" w:lineRule="auto"/>
              <w:jc w:val="right"/>
              <w:rPr>
                <w:rFonts w:ascii="Tahoma" w:eastAsia="Times New Roman" w:hAnsi="Tahoma" w:cs="Tahoma"/>
                <w:sz w:val="18"/>
                <w:szCs w:val="18"/>
                <w:lang w:eastAsia="hr-HR"/>
              </w:rPr>
            </w:pPr>
            <w:r w:rsidRPr="00C779A5">
              <w:rPr>
                <w:rFonts w:ascii="Tahoma" w:eastAsia="Times New Roman" w:hAnsi="Tahoma" w:cs="Tahoma"/>
                <w:sz w:val="18"/>
                <w:szCs w:val="18"/>
                <w:lang w:eastAsia="hr-HR"/>
              </w:rPr>
              <w:t>0</w:t>
            </w:r>
          </w:p>
        </w:tc>
        <w:tc>
          <w:tcPr>
            <w:tcW w:w="467" w:type="dxa"/>
            <w:tcBorders>
              <w:top w:val="nil"/>
              <w:left w:val="nil"/>
              <w:bottom w:val="single" w:sz="4" w:space="0" w:color="auto"/>
              <w:right w:val="single" w:sz="4" w:space="0" w:color="auto"/>
            </w:tcBorders>
            <w:shd w:val="clear" w:color="000000" w:fill="CCFFFF"/>
            <w:noWrap/>
            <w:vAlign w:val="bottom"/>
            <w:hideMark/>
          </w:tcPr>
          <w:p w14:paraId="677A253E" w14:textId="77777777" w:rsidR="00C779A5" w:rsidRPr="00C779A5" w:rsidRDefault="00C779A5" w:rsidP="00C779A5">
            <w:pPr>
              <w:spacing w:after="0" w:line="240" w:lineRule="auto"/>
              <w:jc w:val="right"/>
              <w:rPr>
                <w:rFonts w:ascii="Tahoma" w:eastAsia="Times New Roman" w:hAnsi="Tahoma" w:cs="Tahoma"/>
                <w:sz w:val="18"/>
                <w:szCs w:val="18"/>
                <w:lang w:eastAsia="hr-HR"/>
              </w:rPr>
            </w:pPr>
            <w:r w:rsidRPr="00C779A5">
              <w:rPr>
                <w:rFonts w:ascii="Tahoma" w:eastAsia="Times New Roman" w:hAnsi="Tahoma" w:cs="Tahoma"/>
                <w:sz w:val="18"/>
                <w:szCs w:val="18"/>
                <w:lang w:eastAsia="hr-HR"/>
              </w:rPr>
              <w:t>0</w:t>
            </w:r>
          </w:p>
        </w:tc>
        <w:tc>
          <w:tcPr>
            <w:tcW w:w="478" w:type="dxa"/>
            <w:gridSpan w:val="2"/>
            <w:tcBorders>
              <w:top w:val="nil"/>
              <w:left w:val="nil"/>
              <w:bottom w:val="single" w:sz="4" w:space="0" w:color="auto"/>
              <w:right w:val="nil"/>
            </w:tcBorders>
            <w:shd w:val="clear" w:color="000000" w:fill="33CCCC"/>
            <w:noWrap/>
            <w:vAlign w:val="bottom"/>
            <w:hideMark/>
          </w:tcPr>
          <w:p w14:paraId="53F39E34" w14:textId="77777777" w:rsidR="00C779A5" w:rsidRPr="00C779A5" w:rsidRDefault="00C779A5" w:rsidP="00C779A5">
            <w:pPr>
              <w:spacing w:after="0" w:line="240" w:lineRule="auto"/>
              <w:jc w:val="right"/>
              <w:rPr>
                <w:rFonts w:ascii="Tahoma" w:eastAsia="Times New Roman" w:hAnsi="Tahoma" w:cs="Tahoma"/>
                <w:sz w:val="18"/>
                <w:szCs w:val="18"/>
                <w:lang w:eastAsia="hr-HR"/>
              </w:rPr>
            </w:pPr>
            <w:r w:rsidRPr="00C779A5">
              <w:rPr>
                <w:rFonts w:ascii="Tahoma" w:eastAsia="Times New Roman" w:hAnsi="Tahoma" w:cs="Tahoma"/>
                <w:sz w:val="18"/>
                <w:szCs w:val="18"/>
                <w:lang w:eastAsia="hr-HR"/>
              </w:rPr>
              <w:t>0</w:t>
            </w:r>
          </w:p>
        </w:tc>
        <w:tc>
          <w:tcPr>
            <w:tcW w:w="876" w:type="dxa"/>
            <w:tcBorders>
              <w:top w:val="nil"/>
              <w:left w:val="single" w:sz="4" w:space="0" w:color="auto"/>
              <w:bottom w:val="single" w:sz="4" w:space="0" w:color="auto"/>
              <w:right w:val="single" w:sz="8" w:space="0" w:color="auto"/>
            </w:tcBorders>
            <w:shd w:val="clear" w:color="000000" w:fill="33CCCC"/>
            <w:noWrap/>
            <w:vAlign w:val="bottom"/>
            <w:hideMark/>
          </w:tcPr>
          <w:p w14:paraId="44091332" w14:textId="77777777" w:rsidR="00C779A5" w:rsidRPr="00C779A5" w:rsidRDefault="00C779A5" w:rsidP="00C779A5">
            <w:pPr>
              <w:spacing w:after="0" w:line="240" w:lineRule="auto"/>
              <w:jc w:val="right"/>
              <w:rPr>
                <w:rFonts w:ascii="Tahoma" w:eastAsia="Times New Roman" w:hAnsi="Tahoma" w:cs="Tahoma"/>
                <w:sz w:val="18"/>
                <w:szCs w:val="18"/>
                <w:lang w:eastAsia="hr-HR"/>
              </w:rPr>
            </w:pPr>
            <w:r w:rsidRPr="00C779A5">
              <w:rPr>
                <w:rFonts w:ascii="Tahoma" w:eastAsia="Times New Roman" w:hAnsi="Tahoma" w:cs="Tahoma"/>
                <w:sz w:val="18"/>
                <w:szCs w:val="18"/>
                <w:lang w:eastAsia="hr-HR"/>
              </w:rPr>
              <w:t>0</w:t>
            </w:r>
          </w:p>
        </w:tc>
        <w:tc>
          <w:tcPr>
            <w:tcW w:w="236" w:type="dxa"/>
            <w:gridSpan w:val="3"/>
            <w:vAlign w:val="center"/>
            <w:hideMark/>
          </w:tcPr>
          <w:p w14:paraId="2B324AFE" w14:textId="77777777" w:rsidR="00C779A5" w:rsidRPr="00C779A5" w:rsidRDefault="00C779A5" w:rsidP="00C779A5">
            <w:pPr>
              <w:spacing w:after="0" w:line="240" w:lineRule="auto"/>
              <w:rPr>
                <w:rFonts w:ascii="Times New Roman" w:eastAsia="Times New Roman" w:hAnsi="Times New Roman" w:cs="Times New Roman"/>
                <w:sz w:val="18"/>
                <w:szCs w:val="18"/>
                <w:lang w:eastAsia="hr-HR"/>
              </w:rPr>
            </w:pPr>
          </w:p>
        </w:tc>
      </w:tr>
      <w:tr w:rsidR="00C779A5" w:rsidRPr="00C779A5" w14:paraId="130AD93A" w14:textId="77777777" w:rsidTr="00C779A5">
        <w:trPr>
          <w:gridAfter w:val="2"/>
          <w:wAfter w:w="149" w:type="dxa"/>
          <w:trHeight w:val="300"/>
        </w:trPr>
        <w:tc>
          <w:tcPr>
            <w:tcW w:w="1567" w:type="dxa"/>
            <w:tcBorders>
              <w:top w:val="single" w:sz="4" w:space="0" w:color="auto"/>
              <w:left w:val="single" w:sz="8" w:space="0" w:color="auto"/>
              <w:bottom w:val="single" w:sz="4" w:space="0" w:color="auto"/>
              <w:right w:val="single" w:sz="4" w:space="0" w:color="auto"/>
            </w:tcBorders>
            <w:shd w:val="clear" w:color="000000" w:fill="CCFFCC"/>
            <w:vAlign w:val="center"/>
            <w:hideMark/>
          </w:tcPr>
          <w:p w14:paraId="4B8CF02A" w14:textId="77777777" w:rsidR="00C779A5" w:rsidRPr="00C779A5" w:rsidRDefault="00C779A5" w:rsidP="00C779A5">
            <w:pPr>
              <w:spacing w:after="0" w:line="240" w:lineRule="auto"/>
              <w:rPr>
                <w:rFonts w:ascii="Tahoma" w:eastAsia="Times New Roman" w:hAnsi="Tahoma" w:cs="Tahoma"/>
                <w:sz w:val="18"/>
                <w:szCs w:val="18"/>
                <w:lang w:eastAsia="hr-HR"/>
              </w:rPr>
            </w:pPr>
            <w:r w:rsidRPr="00C779A5">
              <w:rPr>
                <w:rFonts w:ascii="Tahoma" w:eastAsia="Times New Roman" w:hAnsi="Tahoma" w:cs="Tahoma"/>
                <w:sz w:val="18"/>
                <w:szCs w:val="18"/>
                <w:lang w:eastAsia="hr-HR"/>
              </w:rPr>
              <w:t>Imovno stanje</w:t>
            </w:r>
          </w:p>
        </w:tc>
        <w:tc>
          <w:tcPr>
            <w:tcW w:w="557" w:type="dxa"/>
            <w:tcBorders>
              <w:top w:val="nil"/>
              <w:left w:val="nil"/>
              <w:bottom w:val="single" w:sz="4" w:space="0" w:color="auto"/>
              <w:right w:val="single" w:sz="4" w:space="0" w:color="auto"/>
            </w:tcBorders>
            <w:shd w:val="clear" w:color="000000" w:fill="FFCC99"/>
            <w:noWrap/>
            <w:vAlign w:val="bottom"/>
            <w:hideMark/>
          </w:tcPr>
          <w:p w14:paraId="78E65F0F" w14:textId="77777777" w:rsidR="00C779A5" w:rsidRPr="00C779A5" w:rsidRDefault="00C779A5" w:rsidP="00C779A5">
            <w:pPr>
              <w:spacing w:after="0" w:line="240" w:lineRule="auto"/>
              <w:jc w:val="center"/>
              <w:rPr>
                <w:rFonts w:ascii="Tahoma" w:eastAsia="Times New Roman" w:hAnsi="Tahoma" w:cs="Tahoma"/>
                <w:sz w:val="18"/>
                <w:szCs w:val="18"/>
                <w:lang w:eastAsia="hr-HR"/>
              </w:rPr>
            </w:pPr>
            <w:r w:rsidRPr="00C779A5">
              <w:rPr>
                <w:rFonts w:ascii="Tahoma" w:eastAsia="Times New Roman" w:hAnsi="Tahoma" w:cs="Tahoma"/>
                <w:sz w:val="18"/>
                <w:szCs w:val="18"/>
                <w:lang w:eastAsia="hr-HR"/>
              </w:rPr>
              <w:t>3</w:t>
            </w:r>
          </w:p>
        </w:tc>
        <w:tc>
          <w:tcPr>
            <w:tcW w:w="444" w:type="dxa"/>
            <w:tcBorders>
              <w:top w:val="nil"/>
              <w:left w:val="nil"/>
              <w:bottom w:val="single" w:sz="4" w:space="0" w:color="auto"/>
              <w:right w:val="single" w:sz="4" w:space="0" w:color="auto"/>
            </w:tcBorders>
            <w:shd w:val="clear" w:color="000000" w:fill="FFFF00"/>
            <w:noWrap/>
            <w:vAlign w:val="bottom"/>
            <w:hideMark/>
          </w:tcPr>
          <w:p w14:paraId="38D9C08E" w14:textId="77777777" w:rsidR="00C779A5" w:rsidRPr="00C779A5" w:rsidRDefault="00C779A5" w:rsidP="00C779A5">
            <w:pPr>
              <w:spacing w:after="0" w:line="240" w:lineRule="auto"/>
              <w:jc w:val="center"/>
              <w:rPr>
                <w:rFonts w:ascii="Tahoma" w:eastAsia="Times New Roman" w:hAnsi="Tahoma" w:cs="Tahoma"/>
                <w:sz w:val="18"/>
                <w:szCs w:val="18"/>
                <w:lang w:eastAsia="hr-HR"/>
              </w:rPr>
            </w:pPr>
            <w:r w:rsidRPr="00C779A5">
              <w:rPr>
                <w:rFonts w:ascii="Tahoma" w:eastAsia="Times New Roman" w:hAnsi="Tahoma" w:cs="Tahoma"/>
                <w:sz w:val="18"/>
                <w:szCs w:val="18"/>
                <w:lang w:eastAsia="hr-HR"/>
              </w:rPr>
              <w:t>0</w:t>
            </w:r>
          </w:p>
        </w:tc>
        <w:tc>
          <w:tcPr>
            <w:tcW w:w="399" w:type="dxa"/>
            <w:tcBorders>
              <w:top w:val="nil"/>
              <w:left w:val="nil"/>
              <w:bottom w:val="single" w:sz="4" w:space="0" w:color="auto"/>
              <w:right w:val="single" w:sz="4" w:space="0" w:color="auto"/>
            </w:tcBorders>
            <w:shd w:val="clear" w:color="000000" w:fill="CCFFFF"/>
            <w:noWrap/>
            <w:vAlign w:val="bottom"/>
            <w:hideMark/>
          </w:tcPr>
          <w:p w14:paraId="14BCD60A" w14:textId="77777777" w:rsidR="00C779A5" w:rsidRPr="00C779A5" w:rsidRDefault="00C779A5" w:rsidP="00C779A5">
            <w:pPr>
              <w:spacing w:after="0" w:line="240" w:lineRule="auto"/>
              <w:jc w:val="right"/>
              <w:rPr>
                <w:rFonts w:ascii="Tahoma" w:eastAsia="Times New Roman" w:hAnsi="Tahoma" w:cs="Tahoma"/>
                <w:sz w:val="18"/>
                <w:szCs w:val="18"/>
                <w:lang w:eastAsia="hr-HR"/>
              </w:rPr>
            </w:pPr>
            <w:r w:rsidRPr="00C779A5">
              <w:rPr>
                <w:rFonts w:ascii="Tahoma" w:eastAsia="Times New Roman" w:hAnsi="Tahoma" w:cs="Tahoma"/>
                <w:sz w:val="18"/>
                <w:szCs w:val="18"/>
                <w:lang w:eastAsia="hr-HR"/>
              </w:rPr>
              <w:t>0</w:t>
            </w:r>
          </w:p>
        </w:tc>
        <w:tc>
          <w:tcPr>
            <w:tcW w:w="425" w:type="dxa"/>
            <w:tcBorders>
              <w:top w:val="nil"/>
              <w:left w:val="nil"/>
              <w:bottom w:val="single" w:sz="4" w:space="0" w:color="auto"/>
              <w:right w:val="single" w:sz="4" w:space="0" w:color="auto"/>
            </w:tcBorders>
            <w:shd w:val="clear" w:color="000000" w:fill="CCFFFF"/>
            <w:noWrap/>
            <w:vAlign w:val="bottom"/>
            <w:hideMark/>
          </w:tcPr>
          <w:p w14:paraId="2B6BF7EE" w14:textId="77777777" w:rsidR="00C779A5" w:rsidRPr="00C779A5" w:rsidRDefault="00C779A5" w:rsidP="00C779A5">
            <w:pPr>
              <w:spacing w:after="0" w:line="240" w:lineRule="auto"/>
              <w:jc w:val="right"/>
              <w:rPr>
                <w:rFonts w:ascii="Tahoma" w:eastAsia="Times New Roman" w:hAnsi="Tahoma" w:cs="Tahoma"/>
                <w:sz w:val="18"/>
                <w:szCs w:val="18"/>
                <w:lang w:eastAsia="hr-HR"/>
              </w:rPr>
            </w:pPr>
            <w:r w:rsidRPr="00C779A5">
              <w:rPr>
                <w:rFonts w:ascii="Tahoma" w:eastAsia="Times New Roman" w:hAnsi="Tahoma" w:cs="Tahoma"/>
                <w:sz w:val="18"/>
                <w:szCs w:val="18"/>
                <w:lang w:eastAsia="hr-HR"/>
              </w:rPr>
              <w:t>0</w:t>
            </w:r>
          </w:p>
        </w:tc>
        <w:tc>
          <w:tcPr>
            <w:tcW w:w="574" w:type="dxa"/>
            <w:tcBorders>
              <w:top w:val="nil"/>
              <w:left w:val="nil"/>
              <w:bottom w:val="single" w:sz="4" w:space="0" w:color="auto"/>
              <w:right w:val="single" w:sz="4" w:space="0" w:color="auto"/>
            </w:tcBorders>
            <w:shd w:val="clear" w:color="000000" w:fill="FFFF99"/>
            <w:noWrap/>
            <w:vAlign w:val="bottom"/>
            <w:hideMark/>
          </w:tcPr>
          <w:p w14:paraId="68132513" w14:textId="77777777" w:rsidR="00C779A5" w:rsidRPr="00C779A5" w:rsidRDefault="00C779A5" w:rsidP="00C779A5">
            <w:pPr>
              <w:spacing w:after="0" w:line="240" w:lineRule="auto"/>
              <w:jc w:val="center"/>
              <w:rPr>
                <w:rFonts w:ascii="Tahoma" w:eastAsia="Times New Roman" w:hAnsi="Tahoma" w:cs="Tahoma"/>
                <w:sz w:val="18"/>
                <w:szCs w:val="18"/>
                <w:lang w:eastAsia="hr-HR"/>
              </w:rPr>
            </w:pPr>
            <w:r w:rsidRPr="00C779A5">
              <w:rPr>
                <w:rFonts w:ascii="Tahoma" w:eastAsia="Times New Roman" w:hAnsi="Tahoma" w:cs="Tahoma"/>
                <w:sz w:val="18"/>
                <w:szCs w:val="18"/>
                <w:lang w:eastAsia="hr-HR"/>
              </w:rPr>
              <w:t>0</w:t>
            </w:r>
          </w:p>
        </w:tc>
        <w:tc>
          <w:tcPr>
            <w:tcW w:w="706" w:type="dxa"/>
            <w:tcBorders>
              <w:top w:val="nil"/>
              <w:left w:val="nil"/>
              <w:bottom w:val="single" w:sz="4" w:space="0" w:color="auto"/>
              <w:right w:val="single" w:sz="4" w:space="0" w:color="auto"/>
            </w:tcBorders>
            <w:shd w:val="clear" w:color="000000" w:fill="FFFF99"/>
            <w:noWrap/>
            <w:vAlign w:val="bottom"/>
            <w:hideMark/>
          </w:tcPr>
          <w:p w14:paraId="41822BE9" w14:textId="77777777" w:rsidR="00C779A5" w:rsidRPr="00C779A5" w:rsidRDefault="00C779A5" w:rsidP="00C779A5">
            <w:pPr>
              <w:spacing w:after="0" w:line="240" w:lineRule="auto"/>
              <w:jc w:val="center"/>
              <w:rPr>
                <w:rFonts w:ascii="Tahoma" w:eastAsia="Times New Roman" w:hAnsi="Tahoma" w:cs="Tahoma"/>
                <w:sz w:val="18"/>
                <w:szCs w:val="18"/>
                <w:lang w:eastAsia="hr-HR"/>
              </w:rPr>
            </w:pPr>
            <w:r w:rsidRPr="00C779A5">
              <w:rPr>
                <w:rFonts w:ascii="Tahoma" w:eastAsia="Times New Roman" w:hAnsi="Tahoma" w:cs="Tahoma"/>
                <w:sz w:val="18"/>
                <w:szCs w:val="18"/>
                <w:lang w:eastAsia="hr-HR"/>
              </w:rPr>
              <w:t>0</w:t>
            </w:r>
          </w:p>
        </w:tc>
        <w:tc>
          <w:tcPr>
            <w:tcW w:w="565" w:type="dxa"/>
            <w:tcBorders>
              <w:top w:val="nil"/>
              <w:left w:val="nil"/>
              <w:bottom w:val="single" w:sz="4" w:space="0" w:color="auto"/>
              <w:right w:val="single" w:sz="4" w:space="0" w:color="auto"/>
            </w:tcBorders>
            <w:shd w:val="clear" w:color="000000" w:fill="FFFF99"/>
            <w:noWrap/>
            <w:vAlign w:val="bottom"/>
            <w:hideMark/>
          </w:tcPr>
          <w:p w14:paraId="39DB5399" w14:textId="77777777" w:rsidR="00C779A5" w:rsidRPr="00C779A5" w:rsidRDefault="00C779A5" w:rsidP="00C779A5">
            <w:pPr>
              <w:spacing w:after="0" w:line="240" w:lineRule="auto"/>
              <w:jc w:val="center"/>
              <w:rPr>
                <w:rFonts w:ascii="Tahoma" w:eastAsia="Times New Roman" w:hAnsi="Tahoma" w:cs="Tahoma"/>
                <w:sz w:val="18"/>
                <w:szCs w:val="18"/>
                <w:lang w:eastAsia="hr-HR"/>
              </w:rPr>
            </w:pPr>
            <w:r w:rsidRPr="00C779A5">
              <w:rPr>
                <w:rFonts w:ascii="Tahoma" w:eastAsia="Times New Roman" w:hAnsi="Tahoma" w:cs="Tahoma"/>
                <w:sz w:val="18"/>
                <w:szCs w:val="18"/>
                <w:lang w:eastAsia="hr-HR"/>
              </w:rPr>
              <w:t>0</w:t>
            </w:r>
          </w:p>
        </w:tc>
        <w:tc>
          <w:tcPr>
            <w:tcW w:w="565" w:type="dxa"/>
            <w:tcBorders>
              <w:top w:val="nil"/>
              <w:left w:val="nil"/>
              <w:bottom w:val="single" w:sz="4" w:space="0" w:color="auto"/>
              <w:right w:val="single" w:sz="4" w:space="0" w:color="auto"/>
            </w:tcBorders>
            <w:shd w:val="clear" w:color="000000" w:fill="FFFF99"/>
            <w:noWrap/>
            <w:vAlign w:val="bottom"/>
            <w:hideMark/>
          </w:tcPr>
          <w:p w14:paraId="2E22F923" w14:textId="77777777" w:rsidR="00C779A5" w:rsidRPr="00C779A5" w:rsidRDefault="00C779A5" w:rsidP="00C779A5">
            <w:pPr>
              <w:spacing w:after="0" w:line="240" w:lineRule="auto"/>
              <w:jc w:val="center"/>
              <w:rPr>
                <w:rFonts w:ascii="Tahoma" w:eastAsia="Times New Roman" w:hAnsi="Tahoma" w:cs="Tahoma"/>
                <w:sz w:val="18"/>
                <w:szCs w:val="18"/>
                <w:lang w:eastAsia="hr-HR"/>
              </w:rPr>
            </w:pPr>
            <w:r w:rsidRPr="00C779A5">
              <w:rPr>
                <w:rFonts w:ascii="Tahoma" w:eastAsia="Times New Roman" w:hAnsi="Tahoma" w:cs="Tahoma"/>
                <w:sz w:val="18"/>
                <w:szCs w:val="18"/>
                <w:lang w:eastAsia="hr-HR"/>
              </w:rPr>
              <w:t>0</w:t>
            </w:r>
          </w:p>
        </w:tc>
        <w:tc>
          <w:tcPr>
            <w:tcW w:w="467" w:type="dxa"/>
            <w:tcBorders>
              <w:top w:val="nil"/>
              <w:left w:val="nil"/>
              <w:bottom w:val="single" w:sz="4" w:space="0" w:color="auto"/>
              <w:right w:val="single" w:sz="4" w:space="0" w:color="auto"/>
            </w:tcBorders>
            <w:shd w:val="clear" w:color="000000" w:fill="FFFF99"/>
            <w:noWrap/>
            <w:vAlign w:val="bottom"/>
            <w:hideMark/>
          </w:tcPr>
          <w:p w14:paraId="0EBC846A" w14:textId="77777777" w:rsidR="00C779A5" w:rsidRPr="00C779A5" w:rsidRDefault="00C779A5" w:rsidP="00C779A5">
            <w:pPr>
              <w:spacing w:after="0" w:line="240" w:lineRule="auto"/>
              <w:jc w:val="center"/>
              <w:rPr>
                <w:rFonts w:ascii="Tahoma" w:eastAsia="Times New Roman" w:hAnsi="Tahoma" w:cs="Tahoma"/>
                <w:sz w:val="18"/>
                <w:szCs w:val="18"/>
                <w:lang w:eastAsia="hr-HR"/>
              </w:rPr>
            </w:pPr>
            <w:r w:rsidRPr="00C779A5">
              <w:rPr>
                <w:rFonts w:ascii="Tahoma" w:eastAsia="Times New Roman" w:hAnsi="Tahoma" w:cs="Tahoma"/>
                <w:sz w:val="18"/>
                <w:szCs w:val="18"/>
                <w:lang w:eastAsia="hr-HR"/>
              </w:rPr>
              <w:t>0</w:t>
            </w:r>
          </w:p>
        </w:tc>
        <w:tc>
          <w:tcPr>
            <w:tcW w:w="805" w:type="dxa"/>
            <w:tcBorders>
              <w:top w:val="nil"/>
              <w:left w:val="nil"/>
              <w:bottom w:val="single" w:sz="4" w:space="0" w:color="auto"/>
              <w:right w:val="single" w:sz="4" w:space="0" w:color="auto"/>
            </w:tcBorders>
            <w:shd w:val="clear" w:color="000000" w:fill="FFFF99"/>
            <w:noWrap/>
            <w:vAlign w:val="bottom"/>
            <w:hideMark/>
          </w:tcPr>
          <w:p w14:paraId="7130A208" w14:textId="77777777" w:rsidR="00C779A5" w:rsidRPr="00C779A5" w:rsidRDefault="00C779A5" w:rsidP="00C779A5">
            <w:pPr>
              <w:spacing w:after="0" w:line="240" w:lineRule="auto"/>
              <w:jc w:val="center"/>
              <w:rPr>
                <w:rFonts w:ascii="Tahoma" w:eastAsia="Times New Roman" w:hAnsi="Tahoma" w:cs="Tahoma"/>
                <w:sz w:val="18"/>
                <w:szCs w:val="18"/>
                <w:lang w:eastAsia="hr-HR"/>
              </w:rPr>
            </w:pPr>
            <w:r w:rsidRPr="00C779A5">
              <w:rPr>
                <w:rFonts w:ascii="Tahoma" w:eastAsia="Times New Roman" w:hAnsi="Tahoma" w:cs="Tahoma"/>
                <w:sz w:val="18"/>
                <w:szCs w:val="18"/>
                <w:lang w:eastAsia="hr-HR"/>
              </w:rPr>
              <w:t>0</w:t>
            </w:r>
          </w:p>
        </w:tc>
        <w:tc>
          <w:tcPr>
            <w:tcW w:w="467" w:type="dxa"/>
            <w:gridSpan w:val="2"/>
            <w:tcBorders>
              <w:top w:val="nil"/>
              <w:left w:val="nil"/>
              <w:bottom w:val="single" w:sz="4" w:space="0" w:color="auto"/>
              <w:right w:val="single" w:sz="4" w:space="0" w:color="auto"/>
            </w:tcBorders>
            <w:shd w:val="clear" w:color="000000" w:fill="FF9900"/>
            <w:noWrap/>
            <w:vAlign w:val="bottom"/>
            <w:hideMark/>
          </w:tcPr>
          <w:p w14:paraId="71C510B4" w14:textId="77777777" w:rsidR="00C779A5" w:rsidRPr="00C779A5" w:rsidRDefault="00C779A5" w:rsidP="00C779A5">
            <w:pPr>
              <w:spacing w:after="0" w:line="240" w:lineRule="auto"/>
              <w:jc w:val="right"/>
              <w:rPr>
                <w:rFonts w:ascii="Tahoma" w:eastAsia="Times New Roman" w:hAnsi="Tahoma" w:cs="Tahoma"/>
                <w:sz w:val="18"/>
                <w:szCs w:val="18"/>
                <w:lang w:eastAsia="hr-HR"/>
              </w:rPr>
            </w:pPr>
            <w:r w:rsidRPr="00C779A5">
              <w:rPr>
                <w:rFonts w:ascii="Tahoma" w:eastAsia="Times New Roman" w:hAnsi="Tahoma" w:cs="Tahoma"/>
                <w:sz w:val="18"/>
                <w:szCs w:val="18"/>
                <w:lang w:eastAsia="hr-HR"/>
              </w:rPr>
              <w:t>0</w:t>
            </w:r>
          </w:p>
        </w:tc>
        <w:tc>
          <w:tcPr>
            <w:tcW w:w="522" w:type="dxa"/>
            <w:tcBorders>
              <w:top w:val="nil"/>
              <w:left w:val="nil"/>
              <w:bottom w:val="single" w:sz="4" w:space="0" w:color="auto"/>
              <w:right w:val="single" w:sz="4" w:space="0" w:color="auto"/>
            </w:tcBorders>
            <w:shd w:val="clear" w:color="000000" w:fill="FF9900"/>
            <w:noWrap/>
            <w:vAlign w:val="bottom"/>
            <w:hideMark/>
          </w:tcPr>
          <w:p w14:paraId="301EB6B6" w14:textId="77777777" w:rsidR="00C779A5" w:rsidRPr="00C779A5" w:rsidRDefault="00C779A5" w:rsidP="00C779A5">
            <w:pPr>
              <w:spacing w:after="0" w:line="240" w:lineRule="auto"/>
              <w:jc w:val="right"/>
              <w:rPr>
                <w:rFonts w:ascii="Tahoma" w:eastAsia="Times New Roman" w:hAnsi="Tahoma" w:cs="Tahoma"/>
                <w:sz w:val="18"/>
                <w:szCs w:val="18"/>
                <w:lang w:eastAsia="hr-HR"/>
              </w:rPr>
            </w:pPr>
            <w:r w:rsidRPr="00C779A5">
              <w:rPr>
                <w:rFonts w:ascii="Tahoma" w:eastAsia="Times New Roman" w:hAnsi="Tahoma" w:cs="Tahoma"/>
                <w:sz w:val="18"/>
                <w:szCs w:val="18"/>
                <w:lang w:eastAsia="hr-HR"/>
              </w:rPr>
              <w:t>0</w:t>
            </w:r>
          </w:p>
        </w:tc>
        <w:tc>
          <w:tcPr>
            <w:tcW w:w="467" w:type="dxa"/>
            <w:tcBorders>
              <w:top w:val="nil"/>
              <w:left w:val="nil"/>
              <w:bottom w:val="single" w:sz="4" w:space="0" w:color="auto"/>
              <w:right w:val="single" w:sz="4" w:space="0" w:color="auto"/>
            </w:tcBorders>
            <w:shd w:val="clear" w:color="000000" w:fill="FF9900"/>
            <w:noWrap/>
            <w:vAlign w:val="bottom"/>
            <w:hideMark/>
          </w:tcPr>
          <w:p w14:paraId="25543E8F" w14:textId="77777777" w:rsidR="00C779A5" w:rsidRPr="00C779A5" w:rsidRDefault="00C779A5" w:rsidP="00C779A5">
            <w:pPr>
              <w:spacing w:after="0" w:line="240" w:lineRule="auto"/>
              <w:jc w:val="right"/>
              <w:rPr>
                <w:rFonts w:ascii="Tahoma" w:eastAsia="Times New Roman" w:hAnsi="Tahoma" w:cs="Tahoma"/>
                <w:sz w:val="18"/>
                <w:szCs w:val="18"/>
                <w:lang w:eastAsia="hr-HR"/>
              </w:rPr>
            </w:pPr>
            <w:r w:rsidRPr="00C779A5">
              <w:rPr>
                <w:rFonts w:ascii="Tahoma" w:eastAsia="Times New Roman" w:hAnsi="Tahoma" w:cs="Tahoma"/>
                <w:sz w:val="18"/>
                <w:szCs w:val="18"/>
                <w:lang w:eastAsia="hr-HR"/>
              </w:rPr>
              <w:t>1</w:t>
            </w:r>
          </w:p>
        </w:tc>
        <w:tc>
          <w:tcPr>
            <w:tcW w:w="467" w:type="dxa"/>
            <w:tcBorders>
              <w:top w:val="nil"/>
              <w:left w:val="nil"/>
              <w:bottom w:val="single" w:sz="4" w:space="0" w:color="auto"/>
              <w:right w:val="single" w:sz="4" w:space="0" w:color="auto"/>
            </w:tcBorders>
            <w:shd w:val="clear" w:color="000000" w:fill="FFFF00"/>
            <w:vAlign w:val="center"/>
            <w:hideMark/>
          </w:tcPr>
          <w:p w14:paraId="2BF0B0A5" w14:textId="77777777" w:rsidR="00C779A5" w:rsidRPr="00C779A5" w:rsidRDefault="00C779A5" w:rsidP="00C779A5">
            <w:pPr>
              <w:spacing w:after="0" w:line="240" w:lineRule="auto"/>
              <w:jc w:val="center"/>
              <w:rPr>
                <w:rFonts w:ascii="Tahoma" w:eastAsia="Times New Roman" w:hAnsi="Tahoma" w:cs="Tahoma"/>
                <w:sz w:val="18"/>
                <w:szCs w:val="18"/>
                <w:lang w:eastAsia="hr-HR"/>
              </w:rPr>
            </w:pPr>
            <w:r w:rsidRPr="00C779A5">
              <w:rPr>
                <w:rFonts w:ascii="Tahoma" w:eastAsia="Times New Roman" w:hAnsi="Tahoma" w:cs="Tahoma"/>
                <w:sz w:val="18"/>
                <w:szCs w:val="18"/>
                <w:lang w:eastAsia="hr-HR"/>
              </w:rPr>
              <w:t>1</w:t>
            </w:r>
          </w:p>
        </w:tc>
        <w:tc>
          <w:tcPr>
            <w:tcW w:w="877" w:type="dxa"/>
            <w:gridSpan w:val="2"/>
            <w:tcBorders>
              <w:top w:val="nil"/>
              <w:left w:val="nil"/>
              <w:bottom w:val="single" w:sz="4" w:space="0" w:color="auto"/>
              <w:right w:val="single" w:sz="4" w:space="0" w:color="auto"/>
            </w:tcBorders>
            <w:shd w:val="clear" w:color="000000" w:fill="FF9900"/>
            <w:vAlign w:val="center"/>
            <w:hideMark/>
          </w:tcPr>
          <w:p w14:paraId="4BB5625D" w14:textId="77777777" w:rsidR="00C779A5" w:rsidRPr="00C779A5" w:rsidRDefault="00C779A5" w:rsidP="00C779A5">
            <w:pPr>
              <w:spacing w:after="0" w:line="240" w:lineRule="auto"/>
              <w:jc w:val="center"/>
              <w:rPr>
                <w:rFonts w:ascii="Tahoma" w:eastAsia="Times New Roman" w:hAnsi="Tahoma" w:cs="Tahoma"/>
                <w:sz w:val="18"/>
                <w:szCs w:val="18"/>
                <w:lang w:eastAsia="hr-HR"/>
              </w:rPr>
            </w:pPr>
            <w:r w:rsidRPr="00C779A5">
              <w:rPr>
                <w:rFonts w:ascii="Tahoma" w:eastAsia="Times New Roman" w:hAnsi="Tahoma" w:cs="Tahoma"/>
                <w:sz w:val="18"/>
                <w:szCs w:val="18"/>
                <w:lang w:eastAsia="hr-HR"/>
              </w:rPr>
              <w:t>2</w:t>
            </w:r>
          </w:p>
        </w:tc>
        <w:tc>
          <w:tcPr>
            <w:tcW w:w="576" w:type="dxa"/>
            <w:gridSpan w:val="2"/>
            <w:tcBorders>
              <w:top w:val="nil"/>
              <w:left w:val="nil"/>
              <w:bottom w:val="single" w:sz="4" w:space="0" w:color="auto"/>
              <w:right w:val="single" w:sz="4" w:space="0" w:color="auto"/>
            </w:tcBorders>
            <w:shd w:val="clear" w:color="000000" w:fill="FF9900"/>
            <w:noWrap/>
            <w:vAlign w:val="center"/>
            <w:hideMark/>
          </w:tcPr>
          <w:p w14:paraId="088B5B03" w14:textId="77777777" w:rsidR="00C779A5" w:rsidRPr="00C779A5" w:rsidRDefault="00C779A5" w:rsidP="00C779A5">
            <w:pPr>
              <w:spacing w:after="0" w:line="240" w:lineRule="auto"/>
              <w:jc w:val="center"/>
              <w:rPr>
                <w:rFonts w:ascii="Tahoma" w:eastAsia="Times New Roman" w:hAnsi="Tahoma" w:cs="Tahoma"/>
                <w:sz w:val="18"/>
                <w:szCs w:val="18"/>
                <w:lang w:eastAsia="hr-HR"/>
              </w:rPr>
            </w:pPr>
            <w:r w:rsidRPr="00C779A5">
              <w:rPr>
                <w:rFonts w:ascii="Tahoma" w:eastAsia="Times New Roman" w:hAnsi="Tahoma" w:cs="Tahoma"/>
                <w:sz w:val="18"/>
                <w:szCs w:val="18"/>
                <w:lang w:eastAsia="hr-HR"/>
              </w:rPr>
              <w:t>0</w:t>
            </w:r>
          </w:p>
        </w:tc>
        <w:tc>
          <w:tcPr>
            <w:tcW w:w="440" w:type="dxa"/>
            <w:tcBorders>
              <w:top w:val="nil"/>
              <w:left w:val="nil"/>
              <w:bottom w:val="single" w:sz="4" w:space="0" w:color="auto"/>
              <w:right w:val="single" w:sz="4" w:space="0" w:color="auto"/>
            </w:tcBorders>
            <w:shd w:val="clear" w:color="000000" w:fill="FF9900"/>
            <w:noWrap/>
            <w:vAlign w:val="center"/>
            <w:hideMark/>
          </w:tcPr>
          <w:p w14:paraId="652F31AB" w14:textId="77777777" w:rsidR="00C779A5" w:rsidRPr="00C779A5" w:rsidRDefault="00C779A5" w:rsidP="00C779A5">
            <w:pPr>
              <w:spacing w:after="0" w:line="240" w:lineRule="auto"/>
              <w:jc w:val="center"/>
              <w:rPr>
                <w:rFonts w:ascii="Tahoma" w:eastAsia="Times New Roman" w:hAnsi="Tahoma" w:cs="Tahoma"/>
                <w:sz w:val="18"/>
                <w:szCs w:val="18"/>
                <w:lang w:eastAsia="hr-HR"/>
              </w:rPr>
            </w:pPr>
            <w:r w:rsidRPr="00C779A5">
              <w:rPr>
                <w:rFonts w:ascii="Tahoma" w:eastAsia="Times New Roman" w:hAnsi="Tahoma" w:cs="Tahoma"/>
                <w:sz w:val="18"/>
                <w:szCs w:val="18"/>
                <w:lang w:eastAsia="hr-HR"/>
              </w:rPr>
              <w:t>1</w:t>
            </w:r>
          </w:p>
        </w:tc>
        <w:tc>
          <w:tcPr>
            <w:tcW w:w="793" w:type="dxa"/>
            <w:tcBorders>
              <w:top w:val="nil"/>
              <w:left w:val="nil"/>
              <w:bottom w:val="single" w:sz="4" w:space="0" w:color="auto"/>
              <w:right w:val="single" w:sz="4" w:space="0" w:color="auto"/>
            </w:tcBorders>
            <w:shd w:val="clear" w:color="000000" w:fill="FF9900"/>
            <w:noWrap/>
            <w:vAlign w:val="center"/>
            <w:hideMark/>
          </w:tcPr>
          <w:p w14:paraId="5E915412" w14:textId="77777777" w:rsidR="00C779A5" w:rsidRPr="00C779A5" w:rsidRDefault="00C779A5" w:rsidP="00C779A5">
            <w:pPr>
              <w:spacing w:after="0" w:line="240" w:lineRule="auto"/>
              <w:jc w:val="center"/>
              <w:rPr>
                <w:rFonts w:ascii="Tahoma" w:eastAsia="Times New Roman" w:hAnsi="Tahoma" w:cs="Tahoma"/>
                <w:sz w:val="18"/>
                <w:szCs w:val="18"/>
                <w:lang w:eastAsia="hr-HR"/>
              </w:rPr>
            </w:pPr>
            <w:r w:rsidRPr="00C779A5">
              <w:rPr>
                <w:rFonts w:ascii="Tahoma" w:eastAsia="Times New Roman" w:hAnsi="Tahoma" w:cs="Tahoma"/>
                <w:sz w:val="18"/>
                <w:szCs w:val="18"/>
                <w:lang w:eastAsia="hr-HR"/>
              </w:rPr>
              <w:t>1</w:t>
            </w:r>
          </w:p>
        </w:tc>
        <w:tc>
          <w:tcPr>
            <w:tcW w:w="645" w:type="dxa"/>
            <w:gridSpan w:val="2"/>
            <w:tcBorders>
              <w:top w:val="nil"/>
              <w:left w:val="nil"/>
              <w:bottom w:val="single" w:sz="4" w:space="0" w:color="auto"/>
              <w:right w:val="single" w:sz="4" w:space="0" w:color="auto"/>
            </w:tcBorders>
            <w:shd w:val="clear" w:color="000000" w:fill="CCFFFF"/>
            <w:noWrap/>
            <w:vAlign w:val="bottom"/>
            <w:hideMark/>
          </w:tcPr>
          <w:p w14:paraId="08532669" w14:textId="77777777" w:rsidR="00C779A5" w:rsidRPr="00C779A5" w:rsidRDefault="00C779A5" w:rsidP="00C779A5">
            <w:pPr>
              <w:spacing w:after="0" w:line="240" w:lineRule="auto"/>
              <w:jc w:val="right"/>
              <w:rPr>
                <w:rFonts w:ascii="Tahoma" w:eastAsia="Times New Roman" w:hAnsi="Tahoma" w:cs="Tahoma"/>
                <w:sz w:val="18"/>
                <w:szCs w:val="18"/>
                <w:lang w:eastAsia="hr-HR"/>
              </w:rPr>
            </w:pPr>
            <w:r w:rsidRPr="00C779A5">
              <w:rPr>
                <w:rFonts w:ascii="Tahoma" w:eastAsia="Times New Roman" w:hAnsi="Tahoma" w:cs="Tahoma"/>
                <w:sz w:val="18"/>
                <w:szCs w:val="18"/>
                <w:lang w:eastAsia="hr-HR"/>
              </w:rPr>
              <w:t>0</w:t>
            </w:r>
          </w:p>
        </w:tc>
        <w:tc>
          <w:tcPr>
            <w:tcW w:w="467" w:type="dxa"/>
            <w:tcBorders>
              <w:top w:val="nil"/>
              <w:left w:val="nil"/>
              <w:bottom w:val="single" w:sz="4" w:space="0" w:color="auto"/>
              <w:right w:val="single" w:sz="4" w:space="0" w:color="auto"/>
            </w:tcBorders>
            <w:shd w:val="clear" w:color="000000" w:fill="CCFFFF"/>
            <w:noWrap/>
            <w:vAlign w:val="bottom"/>
            <w:hideMark/>
          </w:tcPr>
          <w:p w14:paraId="78F544E3" w14:textId="77777777" w:rsidR="00C779A5" w:rsidRPr="00C779A5" w:rsidRDefault="00C779A5" w:rsidP="00C779A5">
            <w:pPr>
              <w:spacing w:after="0" w:line="240" w:lineRule="auto"/>
              <w:jc w:val="right"/>
              <w:rPr>
                <w:rFonts w:ascii="Tahoma" w:eastAsia="Times New Roman" w:hAnsi="Tahoma" w:cs="Tahoma"/>
                <w:sz w:val="18"/>
                <w:szCs w:val="18"/>
                <w:lang w:eastAsia="hr-HR"/>
              </w:rPr>
            </w:pPr>
            <w:r w:rsidRPr="00C779A5">
              <w:rPr>
                <w:rFonts w:ascii="Tahoma" w:eastAsia="Times New Roman" w:hAnsi="Tahoma" w:cs="Tahoma"/>
                <w:sz w:val="18"/>
                <w:szCs w:val="18"/>
                <w:lang w:eastAsia="hr-HR"/>
              </w:rPr>
              <w:t>0</w:t>
            </w:r>
          </w:p>
        </w:tc>
        <w:tc>
          <w:tcPr>
            <w:tcW w:w="467" w:type="dxa"/>
            <w:tcBorders>
              <w:top w:val="nil"/>
              <w:left w:val="nil"/>
              <w:bottom w:val="single" w:sz="4" w:space="0" w:color="auto"/>
              <w:right w:val="single" w:sz="4" w:space="0" w:color="auto"/>
            </w:tcBorders>
            <w:shd w:val="clear" w:color="000000" w:fill="CCFFFF"/>
            <w:noWrap/>
            <w:vAlign w:val="bottom"/>
            <w:hideMark/>
          </w:tcPr>
          <w:p w14:paraId="7460A1E3" w14:textId="77777777" w:rsidR="00C779A5" w:rsidRPr="00C779A5" w:rsidRDefault="00C779A5" w:rsidP="00C779A5">
            <w:pPr>
              <w:spacing w:after="0" w:line="240" w:lineRule="auto"/>
              <w:jc w:val="right"/>
              <w:rPr>
                <w:rFonts w:ascii="Tahoma" w:eastAsia="Times New Roman" w:hAnsi="Tahoma" w:cs="Tahoma"/>
                <w:sz w:val="18"/>
                <w:szCs w:val="18"/>
                <w:lang w:eastAsia="hr-HR"/>
              </w:rPr>
            </w:pPr>
            <w:r w:rsidRPr="00C779A5">
              <w:rPr>
                <w:rFonts w:ascii="Tahoma" w:eastAsia="Times New Roman" w:hAnsi="Tahoma" w:cs="Tahoma"/>
                <w:sz w:val="18"/>
                <w:szCs w:val="18"/>
                <w:lang w:eastAsia="hr-HR"/>
              </w:rPr>
              <w:t>0</w:t>
            </w:r>
          </w:p>
        </w:tc>
        <w:tc>
          <w:tcPr>
            <w:tcW w:w="478" w:type="dxa"/>
            <w:gridSpan w:val="2"/>
            <w:tcBorders>
              <w:top w:val="nil"/>
              <w:left w:val="nil"/>
              <w:bottom w:val="single" w:sz="4" w:space="0" w:color="auto"/>
              <w:right w:val="nil"/>
            </w:tcBorders>
            <w:shd w:val="clear" w:color="000000" w:fill="33CCCC"/>
            <w:noWrap/>
            <w:vAlign w:val="bottom"/>
            <w:hideMark/>
          </w:tcPr>
          <w:p w14:paraId="3A2F712F" w14:textId="77777777" w:rsidR="00C779A5" w:rsidRPr="00C779A5" w:rsidRDefault="00C779A5" w:rsidP="00C779A5">
            <w:pPr>
              <w:spacing w:after="0" w:line="240" w:lineRule="auto"/>
              <w:jc w:val="right"/>
              <w:rPr>
                <w:rFonts w:ascii="Tahoma" w:eastAsia="Times New Roman" w:hAnsi="Tahoma" w:cs="Tahoma"/>
                <w:sz w:val="18"/>
                <w:szCs w:val="18"/>
                <w:lang w:eastAsia="hr-HR"/>
              </w:rPr>
            </w:pPr>
            <w:r w:rsidRPr="00C779A5">
              <w:rPr>
                <w:rFonts w:ascii="Tahoma" w:eastAsia="Times New Roman" w:hAnsi="Tahoma" w:cs="Tahoma"/>
                <w:sz w:val="18"/>
                <w:szCs w:val="18"/>
                <w:lang w:eastAsia="hr-HR"/>
              </w:rPr>
              <w:t>0</w:t>
            </w:r>
          </w:p>
        </w:tc>
        <w:tc>
          <w:tcPr>
            <w:tcW w:w="876" w:type="dxa"/>
            <w:tcBorders>
              <w:top w:val="nil"/>
              <w:left w:val="single" w:sz="4" w:space="0" w:color="auto"/>
              <w:bottom w:val="single" w:sz="4" w:space="0" w:color="auto"/>
              <w:right w:val="single" w:sz="8" w:space="0" w:color="auto"/>
            </w:tcBorders>
            <w:shd w:val="clear" w:color="000000" w:fill="33CCCC"/>
            <w:noWrap/>
            <w:vAlign w:val="bottom"/>
            <w:hideMark/>
          </w:tcPr>
          <w:p w14:paraId="4915EB52" w14:textId="77777777" w:rsidR="00C779A5" w:rsidRPr="00C779A5" w:rsidRDefault="00C779A5" w:rsidP="00C779A5">
            <w:pPr>
              <w:spacing w:after="0" w:line="240" w:lineRule="auto"/>
              <w:jc w:val="right"/>
              <w:rPr>
                <w:rFonts w:ascii="Tahoma" w:eastAsia="Times New Roman" w:hAnsi="Tahoma" w:cs="Tahoma"/>
                <w:sz w:val="18"/>
                <w:szCs w:val="18"/>
                <w:lang w:eastAsia="hr-HR"/>
              </w:rPr>
            </w:pPr>
            <w:r w:rsidRPr="00C779A5">
              <w:rPr>
                <w:rFonts w:ascii="Tahoma" w:eastAsia="Times New Roman" w:hAnsi="Tahoma" w:cs="Tahoma"/>
                <w:sz w:val="18"/>
                <w:szCs w:val="18"/>
                <w:lang w:eastAsia="hr-HR"/>
              </w:rPr>
              <w:t>1</w:t>
            </w:r>
          </w:p>
        </w:tc>
        <w:tc>
          <w:tcPr>
            <w:tcW w:w="236" w:type="dxa"/>
            <w:gridSpan w:val="3"/>
            <w:vAlign w:val="center"/>
            <w:hideMark/>
          </w:tcPr>
          <w:p w14:paraId="68F17B0F" w14:textId="77777777" w:rsidR="00C779A5" w:rsidRPr="00C779A5" w:rsidRDefault="00C779A5" w:rsidP="00C779A5">
            <w:pPr>
              <w:spacing w:after="0" w:line="240" w:lineRule="auto"/>
              <w:rPr>
                <w:rFonts w:ascii="Times New Roman" w:eastAsia="Times New Roman" w:hAnsi="Times New Roman" w:cs="Times New Roman"/>
                <w:sz w:val="18"/>
                <w:szCs w:val="18"/>
                <w:lang w:eastAsia="hr-HR"/>
              </w:rPr>
            </w:pPr>
          </w:p>
        </w:tc>
      </w:tr>
      <w:tr w:rsidR="00C779A5" w:rsidRPr="00C779A5" w14:paraId="2644A8FF" w14:textId="77777777" w:rsidTr="00C779A5">
        <w:trPr>
          <w:gridAfter w:val="2"/>
          <w:wAfter w:w="149" w:type="dxa"/>
          <w:trHeight w:val="300"/>
        </w:trPr>
        <w:tc>
          <w:tcPr>
            <w:tcW w:w="1567" w:type="dxa"/>
            <w:tcBorders>
              <w:top w:val="single" w:sz="4" w:space="0" w:color="auto"/>
              <w:left w:val="single" w:sz="8" w:space="0" w:color="auto"/>
              <w:bottom w:val="single" w:sz="4" w:space="0" w:color="auto"/>
              <w:right w:val="single" w:sz="4" w:space="0" w:color="auto"/>
            </w:tcBorders>
            <w:shd w:val="clear" w:color="000000" w:fill="CCFFCC"/>
            <w:vAlign w:val="center"/>
            <w:hideMark/>
          </w:tcPr>
          <w:p w14:paraId="223C3354" w14:textId="77777777" w:rsidR="00C779A5" w:rsidRPr="00C779A5" w:rsidRDefault="00C779A5" w:rsidP="00C779A5">
            <w:pPr>
              <w:spacing w:after="0" w:line="240" w:lineRule="auto"/>
              <w:rPr>
                <w:rFonts w:ascii="Tahoma" w:eastAsia="Times New Roman" w:hAnsi="Tahoma" w:cs="Tahoma"/>
                <w:sz w:val="18"/>
                <w:szCs w:val="18"/>
                <w:lang w:eastAsia="hr-HR"/>
              </w:rPr>
            </w:pPr>
            <w:r w:rsidRPr="00C779A5">
              <w:rPr>
                <w:rFonts w:ascii="Tahoma" w:eastAsia="Times New Roman" w:hAnsi="Tahoma" w:cs="Tahoma"/>
                <w:sz w:val="18"/>
                <w:szCs w:val="18"/>
                <w:lang w:eastAsia="hr-HR"/>
              </w:rPr>
              <w:t>Članstvo u sindikatu</w:t>
            </w:r>
          </w:p>
        </w:tc>
        <w:tc>
          <w:tcPr>
            <w:tcW w:w="557" w:type="dxa"/>
            <w:tcBorders>
              <w:top w:val="nil"/>
              <w:left w:val="nil"/>
              <w:bottom w:val="single" w:sz="4" w:space="0" w:color="auto"/>
              <w:right w:val="single" w:sz="4" w:space="0" w:color="auto"/>
            </w:tcBorders>
            <w:shd w:val="clear" w:color="000000" w:fill="FFCC99"/>
            <w:noWrap/>
            <w:vAlign w:val="bottom"/>
            <w:hideMark/>
          </w:tcPr>
          <w:p w14:paraId="7A89EC43" w14:textId="77777777" w:rsidR="00C779A5" w:rsidRPr="00C779A5" w:rsidRDefault="00C779A5" w:rsidP="00C779A5">
            <w:pPr>
              <w:spacing w:after="0" w:line="240" w:lineRule="auto"/>
              <w:jc w:val="center"/>
              <w:rPr>
                <w:rFonts w:ascii="Tahoma" w:eastAsia="Times New Roman" w:hAnsi="Tahoma" w:cs="Tahoma"/>
                <w:sz w:val="18"/>
                <w:szCs w:val="18"/>
                <w:lang w:eastAsia="hr-HR"/>
              </w:rPr>
            </w:pPr>
            <w:r w:rsidRPr="00C779A5">
              <w:rPr>
                <w:rFonts w:ascii="Tahoma" w:eastAsia="Times New Roman" w:hAnsi="Tahoma" w:cs="Tahoma"/>
                <w:sz w:val="18"/>
                <w:szCs w:val="18"/>
                <w:lang w:eastAsia="hr-HR"/>
              </w:rPr>
              <w:t>30</w:t>
            </w:r>
          </w:p>
        </w:tc>
        <w:tc>
          <w:tcPr>
            <w:tcW w:w="444" w:type="dxa"/>
            <w:tcBorders>
              <w:top w:val="nil"/>
              <w:left w:val="nil"/>
              <w:bottom w:val="single" w:sz="4" w:space="0" w:color="auto"/>
              <w:right w:val="single" w:sz="4" w:space="0" w:color="auto"/>
            </w:tcBorders>
            <w:shd w:val="clear" w:color="000000" w:fill="FFFF00"/>
            <w:noWrap/>
            <w:vAlign w:val="bottom"/>
            <w:hideMark/>
          </w:tcPr>
          <w:p w14:paraId="1839C2E0" w14:textId="77777777" w:rsidR="00C779A5" w:rsidRPr="00C779A5" w:rsidRDefault="00C779A5" w:rsidP="00C779A5">
            <w:pPr>
              <w:spacing w:after="0" w:line="240" w:lineRule="auto"/>
              <w:jc w:val="center"/>
              <w:rPr>
                <w:rFonts w:ascii="Tahoma" w:eastAsia="Times New Roman" w:hAnsi="Tahoma" w:cs="Tahoma"/>
                <w:sz w:val="18"/>
                <w:szCs w:val="18"/>
                <w:lang w:eastAsia="hr-HR"/>
              </w:rPr>
            </w:pPr>
            <w:r w:rsidRPr="00C779A5">
              <w:rPr>
                <w:rFonts w:ascii="Tahoma" w:eastAsia="Times New Roman" w:hAnsi="Tahoma" w:cs="Tahoma"/>
                <w:sz w:val="18"/>
                <w:szCs w:val="18"/>
                <w:lang w:eastAsia="hr-HR"/>
              </w:rPr>
              <w:t>2</w:t>
            </w:r>
          </w:p>
        </w:tc>
        <w:tc>
          <w:tcPr>
            <w:tcW w:w="399" w:type="dxa"/>
            <w:tcBorders>
              <w:top w:val="nil"/>
              <w:left w:val="nil"/>
              <w:bottom w:val="single" w:sz="4" w:space="0" w:color="auto"/>
              <w:right w:val="single" w:sz="4" w:space="0" w:color="auto"/>
            </w:tcBorders>
            <w:shd w:val="clear" w:color="000000" w:fill="CCFFFF"/>
            <w:noWrap/>
            <w:vAlign w:val="bottom"/>
            <w:hideMark/>
          </w:tcPr>
          <w:p w14:paraId="7AF5BAA7" w14:textId="77777777" w:rsidR="00C779A5" w:rsidRPr="00C779A5" w:rsidRDefault="00C779A5" w:rsidP="00C779A5">
            <w:pPr>
              <w:spacing w:after="0" w:line="240" w:lineRule="auto"/>
              <w:jc w:val="right"/>
              <w:rPr>
                <w:rFonts w:ascii="Tahoma" w:eastAsia="Times New Roman" w:hAnsi="Tahoma" w:cs="Tahoma"/>
                <w:sz w:val="18"/>
                <w:szCs w:val="18"/>
                <w:lang w:eastAsia="hr-HR"/>
              </w:rPr>
            </w:pPr>
            <w:r w:rsidRPr="00C779A5">
              <w:rPr>
                <w:rFonts w:ascii="Tahoma" w:eastAsia="Times New Roman" w:hAnsi="Tahoma" w:cs="Tahoma"/>
                <w:sz w:val="18"/>
                <w:szCs w:val="18"/>
                <w:lang w:eastAsia="hr-HR"/>
              </w:rPr>
              <w:t>0</w:t>
            </w:r>
          </w:p>
        </w:tc>
        <w:tc>
          <w:tcPr>
            <w:tcW w:w="425" w:type="dxa"/>
            <w:tcBorders>
              <w:top w:val="nil"/>
              <w:left w:val="nil"/>
              <w:bottom w:val="single" w:sz="4" w:space="0" w:color="auto"/>
              <w:right w:val="single" w:sz="4" w:space="0" w:color="auto"/>
            </w:tcBorders>
            <w:shd w:val="clear" w:color="000000" w:fill="CCFFFF"/>
            <w:noWrap/>
            <w:vAlign w:val="bottom"/>
            <w:hideMark/>
          </w:tcPr>
          <w:p w14:paraId="40068A1C" w14:textId="77777777" w:rsidR="00C779A5" w:rsidRPr="00C779A5" w:rsidRDefault="00C779A5" w:rsidP="00C779A5">
            <w:pPr>
              <w:spacing w:after="0" w:line="240" w:lineRule="auto"/>
              <w:jc w:val="right"/>
              <w:rPr>
                <w:rFonts w:ascii="Tahoma" w:eastAsia="Times New Roman" w:hAnsi="Tahoma" w:cs="Tahoma"/>
                <w:sz w:val="18"/>
                <w:szCs w:val="18"/>
                <w:lang w:eastAsia="hr-HR"/>
              </w:rPr>
            </w:pPr>
            <w:r w:rsidRPr="00C779A5">
              <w:rPr>
                <w:rFonts w:ascii="Tahoma" w:eastAsia="Times New Roman" w:hAnsi="Tahoma" w:cs="Tahoma"/>
                <w:sz w:val="18"/>
                <w:szCs w:val="18"/>
                <w:lang w:eastAsia="hr-HR"/>
              </w:rPr>
              <w:t>2</w:t>
            </w:r>
          </w:p>
        </w:tc>
        <w:tc>
          <w:tcPr>
            <w:tcW w:w="574" w:type="dxa"/>
            <w:tcBorders>
              <w:top w:val="nil"/>
              <w:left w:val="nil"/>
              <w:bottom w:val="single" w:sz="4" w:space="0" w:color="auto"/>
              <w:right w:val="single" w:sz="4" w:space="0" w:color="auto"/>
            </w:tcBorders>
            <w:shd w:val="clear" w:color="000000" w:fill="FFFF99"/>
            <w:noWrap/>
            <w:vAlign w:val="bottom"/>
            <w:hideMark/>
          </w:tcPr>
          <w:p w14:paraId="55ED2E4F" w14:textId="77777777" w:rsidR="00C779A5" w:rsidRPr="00C779A5" w:rsidRDefault="00C779A5" w:rsidP="00C779A5">
            <w:pPr>
              <w:spacing w:after="0" w:line="240" w:lineRule="auto"/>
              <w:jc w:val="center"/>
              <w:rPr>
                <w:rFonts w:ascii="Tahoma" w:eastAsia="Times New Roman" w:hAnsi="Tahoma" w:cs="Tahoma"/>
                <w:sz w:val="18"/>
                <w:szCs w:val="18"/>
                <w:lang w:eastAsia="hr-HR"/>
              </w:rPr>
            </w:pPr>
            <w:r w:rsidRPr="00C779A5">
              <w:rPr>
                <w:rFonts w:ascii="Tahoma" w:eastAsia="Times New Roman" w:hAnsi="Tahoma" w:cs="Tahoma"/>
                <w:sz w:val="18"/>
                <w:szCs w:val="18"/>
                <w:lang w:eastAsia="hr-HR"/>
              </w:rPr>
              <w:t>1</w:t>
            </w:r>
          </w:p>
        </w:tc>
        <w:tc>
          <w:tcPr>
            <w:tcW w:w="706" w:type="dxa"/>
            <w:tcBorders>
              <w:top w:val="nil"/>
              <w:left w:val="nil"/>
              <w:bottom w:val="single" w:sz="4" w:space="0" w:color="auto"/>
              <w:right w:val="single" w:sz="4" w:space="0" w:color="auto"/>
            </w:tcBorders>
            <w:shd w:val="clear" w:color="000000" w:fill="FFFF99"/>
            <w:noWrap/>
            <w:vAlign w:val="bottom"/>
            <w:hideMark/>
          </w:tcPr>
          <w:p w14:paraId="07167A40" w14:textId="77777777" w:rsidR="00C779A5" w:rsidRPr="00C779A5" w:rsidRDefault="00C779A5" w:rsidP="00C779A5">
            <w:pPr>
              <w:spacing w:after="0" w:line="240" w:lineRule="auto"/>
              <w:jc w:val="center"/>
              <w:rPr>
                <w:rFonts w:ascii="Tahoma" w:eastAsia="Times New Roman" w:hAnsi="Tahoma" w:cs="Tahoma"/>
                <w:sz w:val="18"/>
                <w:szCs w:val="18"/>
                <w:lang w:eastAsia="hr-HR"/>
              </w:rPr>
            </w:pPr>
            <w:r w:rsidRPr="00C779A5">
              <w:rPr>
                <w:rFonts w:ascii="Tahoma" w:eastAsia="Times New Roman" w:hAnsi="Tahoma" w:cs="Tahoma"/>
                <w:sz w:val="18"/>
                <w:szCs w:val="18"/>
                <w:lang w:eastAsia="hr-HR"/>
              </w:rPr>
              <w:t>0</w:t>
            </w:r>
          </w:p>
        </w:tc>
        <w:tc>
          <w:tcPr>
            <w:tcW w:w="565" w:type="dxa"/>
            <w:tcBorders>
              <w:top w:val="nil"/>
              <w:left w:val="nil"/>
              <w:bottom w:val="single" w:sz="4" w:space="0" w:color="auto"/>
              <w:right w:val="single" w:sz="4" w:space="0" w:color="auto"/>
            </w:tcBorders>
            <w:shd w:val="clear" w:color="000000" w:fill="FFFF99"/>
            <w:noWrap/>
            <w:vAlign w:val="bottom"/>
            <w:hideMark/>
          </w:tcPr>
          <w:p w14:paraId="045C8BCC" w14:textId="77777777" w:rsidR="00C779A5" w:rsidRPr="00C779A5" w:rsidRDefault="00C779A5" w:rsidP="00C779A5">
            <w:pPr>
              <w:spacing w:after="0" w:line="240" w:lineRule="auto"/>
              <w:jc w:val="center"/>
              <w:rPr>
                <w:rFonts w:ascii="Tahoma" w:eastAsia="Times New Roman" w:hAnsi="Tahoma" w:cs="Tahoma"/>
                <w:sz w:val="18"/>
                <w:szCs w:val="18"/>
                <w:lang w:eastAsia="hr-HR"/>
              </w:rPr>
            </w:pPr>
            <w:r w:rsidRPr="00C779A5">
              <w:rPr>
                <w:rFonts w:ascii="Tahoma" w:eastAsia="Times New Roman" w:hAnsi="Tahoma" w:cs="Tahoma"/>
                <w:sz w:val="18"/>
                <w:szCs w:val="18"/>
                <w:lang w:eastAsia="hr-HR"/>
              </w:rPr>
              <w:t>1</w:t>
            </w:r>
          </w:p>
        </w:tc>
        <w:tc>
          <w:tcPr>
            <w:tcW w:w="565" w:type="dxa"/>
            <w:tcBorders>
              <w:top w:val="nil"/>
              <w:left w:val="nil"/>
              <w:bottom w:val="single" w:sz="4" w:space="0" w:color="auto"/>
              <w:right w:val="single" w:sz="4" w:space="0" w:color="auto"/>
            </w:tcBorders>
            <w:shd w:val="clear" w:color="000000" w:fill="FFFF99"/>
            <w:noWrap/>
            <w:vAlign w:val="bottom"/>
            <w:hideMark/>
          </w:tcPr>
          <w:p w14:paraId="6D6BBA78" w14:textId="77777777" w:rsidR="00C779A5" w:rsidRPr="00C779A5" w:rsidRDefault="00C779A5" w:rsidP="00C779A5">
            <w:pPr>
              <w:spacing w:after="0" w:line="240" w:lineRule="auto"/>
              <w:jc w:val="center"/>
              <w:rPr>
                <w:rFonts w:ascii="Tahoma" w:eastAsia="Times New Roman" w:hAnsi="Tahoma" w:cs="Tahoma"/>
                <w:sz w:val="18"/>
                <w:szCs w:val="18"/>
                <w:lang w:eastAsia="hr-HR"/>
              </w:rPr>
            </w:pPr>
            <w:r w:rsidRPr="00C779A5">
              <w:rPr>
                <w:rFonts w:ascii="Tahoma" w:eastAsia="Times New Roman" w:hAnsi="Tahoma" w:cs="Tahoma"/>
                <w:sz w:val="18"/>
                <w:szCs w:val="18"/>
                <w:lang w:eastAsia="hr-HR"/>
              </w:rPr>
              <w:t>0</w:t>
            </w:r>
          </w:p>
        </w:tc>
        <w:tc>
          <w:tcPr>
            <w:tcW w:w="467" w:type="dxa"/>
            <w:tcBorders>
              <w:top w:val="nil"/>
              <w:left w:val="nil"/>
              <w:bottom w:val="single" w:sz="4" w:space="0" w:color="auto"/>
              <w:right w:val="single" w:sz="4" w:space="0" w:color="auto"/>
            </w:tcBorders>
            <w:shd w:val="clear" w:color="000000" w:fill="FFFF99"/>
            <w:noWrap/>
            <w:vAlign w:val="bottom"/>
            <w:hideMark/>
          </w:tcPr>
          <w:p w14:paraId="58DD719F" w14:textId="77777777" w:rsidR="00C779A5" w:rsidRPr="00C779A5" w:rsidRDefault="00C779A5" w:rsidP="00C779A5">
            <w:pPr>
              <w:spacing w:after="0" w:line="240" w:lineRule="auto"/>
              <w:jc w:val="center"/>
              <w:rPr>
                <w:rFonts w:ascii="Tahoma" w:eastAsia="Times New Roman" w:hAnsi="Tahoma" w:cs="Tahoma"/>
                <w:sz w:val="18"/>
                <w:szCs w:val="18"/>
                <w:lang w:eastAsia="hr-HR"/>
              </w:rPr>
            </w:pPr>
            <w:r w:rsidRPr="00C779A5">
              <w:rPr>
                <w:rFonts w:ascii="Tahoma" w:eastAsia="Times New Roman" w:hAnsi="Tahoma" w:cs="Tahoma"/>
                <w:sz w:val="18"/>
                <w:szCs w:val="18"/>
                <w:lang w:eastAsia="hr-HR"/>
              </w:rPr>
              <w:t>0</w:t>
            </w:r>
          </w:p>
        </w:tc>
        <w:tc>
          <w:tcPr>
            <w:tcW w:w="805" w:type="dxa"/>
            <w:tcBorders>
              <w:top w:val="nil"/>
              <w:left w:val="nil"/>
              <w:bottom w:val="single" w:sz="4" w:space="0" w:color="auto"/>
              <w:right w:val="single" w:sz="4" w:space="0" w:color="auto"/>
            </w:tcBorders>
            <w:shd w:val="clear" w:color="000000" w:fill="FFFF99"/>
            <w:noWrap/>
            <w:vAlign w:val="bottom"/>
            <w:hideMark/>
          </w:tcPr>
          <w:p w14:paraId="425CCD7C" w14:textId="77777777" w:rsidR="00C779A5" w:rsidRPr="00C779A5" w:rsidRDefault="00C779A5" w:rsidP="00C779A5">
            <w:pPr>
              <w:spacing w:after="0" w:line="240" w:lineRule="auto"/>
              <w:jc w:val="center"/>
              <w:rPr>
                <w:rFonts w:ascii="Tahoma" w:eastAsia="Times New Roman" w:hAnsi="Tahoma" w:cs="Tahoma"/>
                <w:sz w:val="18"/>
                <w:szCs w:val="18"/>
                <w:lang w:eastAsia="hr-HR"/>
              </w:rPr>
            </w:pPr>
            <w:r w:rsidRPr="00C779A5">
              <w:rPr>
                <w:rFonts w:ascii="Tahoma" w:eastAsia="Times New Roman" w:hAnsi="Tahoma" w:cs="Tahoma"/>
                <w:sz w:val="18"/>
                <w:szCs w:val="18"/>
                <w:lang w:eastAsia="hr-HR"/>
              </w:rPr>
              <w:t>0</w:t>
            </w:r>
          </w:p>
        </w:tc>
        <w:tc>
          <w:tcPr>
            <w:tcW w:w="467" w:type="dxa"/>
            <w:gridSpan w:val="2"/>
            <w:tcBorders>
              <w:top w:val="nil"/>
              <w:left w:val="nil"/>
              <w:bottom w:val="single" w:sz="4" w:space="0" w:color="auto"/>
              <w:right w:val="single" w:sz="4" w:space="0" w:color="auto"/>
            </w:tcBorders>
            <w:shd w:val="clear" w:color="000000" w:fill="FF9900"/>
            <w:noWrap/>
            <w:vAlign w:val="bottom"/>
            <w:hideMark/>
          </w:tcPr>
          <w:p w14:paraId="7D43D706" w14:textId="77777777" w:rsidR="00C779A5" w:rsidRPr="00C779A5" w:rsidRDefault="00C779A5" w:rsidP="00C779A5">
            <w:pPr>
              <w:spacing w:after="0" w:line="240" w:lineRule="auto"/>
              <w:jc w:val="right"/>
              <w:rPr>
                <w:rFonts w:ascii="Tahoma" w:eastAsia="Times New Roman" w:hAnsi="Tahoma" w:cs="Tahoma"/>
                <w:sz w:val="18"/>
                <w:szCs w:val="18"/>
                <w:lang w:eastAsia="hr-HR"/>
              </w:rPr>
            </w:pPr>
            <w:r w:rsidRPr="00C779A5">
              <w:rPr>
                <w:rFonts w:ascii="Tahoma" w:eastAsia="Times New Roman" w:hAnsi="Tahoma" w:cs="Tahoma"/>
                <w:sz w:val="18"/>
                <w:szCs w:val="18"/>
                <w:lang w:eastAsia="hr-HR"/>
              </w:rPr>
              <w:t>0</w:t>
            </w:r>
          </w:p>
        </w:tc>
        <w:tc>
          <w:tcPr>
            <w:tcW w:w="522" w:type="dxa"/>
            <w:tcBorders>
              <w:top w:val="nil"/>
              <w:left w:val="nil"/>
              <w:bottom w:val="single" w:sz="4" w:space="0" w:color="auto"/>
              <w:right w:val="single" w:sz="4" w:space="0" w:color="auto"/>
            </w:tcBorders>
            <w:shd w:val="clear" w:color="000000" w:fill="FF9900"/>
            <w:noWrap/>
            <w:vAlign w:val="bottom"/>
            <w:hideMark/>
          </w:tcPr>
          <w:p w14:paraId="2E9CFE3D" w14:textId="77777777" w:rsidR="00C779A5" w:rsidRPr="00C779A5" w:rsidRDefault="00C779A5" w:rsidP="00C779A5">
            <w:pPr>
              <w:spacing w:after="0" w:line="240" w:lineRule="auto"/>
              <w:jc w:val="right"/>
              <w:rPr>
                <w:rFonts w:ascii="Tahoma" w:eastAsia="Times New Roman" w:hAnsi="Tahoma" w:cs="Tahoma"/>
                <w:sz w:val="18"/>
                <w:szCs w:val="18"/>
                <w:lang w:eastAsia="hr-HR"/>
              </w:rPr>
            </w:pPr>
            <w:r w:rsidRPr="00C779A5">
              <w:rPr>
                <w:rFonts w:ascii="Tahoma" w:eastAsia="Times New Roman" w:hAnsi="Tahoma" w:cs="Tahoma"/>
                <w:sz w:val="18"/>
                <w:szCs w:val="18"/>
                <w:lang w:eastAsia="hr-HR"/>
              </w:rPr>
              <w:t>8</w:t>
            </w:r>
          </w:p>
        </w:tc>
        <w:tc>
          <w:tcPr>
            <w:tcW w:w="467" w:type="dxa"/>
            <w:tcBorders>
              <w:top w:val="nil"/>
              <w:left w:val="nil"/>
              <w:bottom w:val="single" w:sz="4" w:space="0" w:color="auto"/>
              <w:right w:val="single" w:sz="4" w:space="0" w:color="auto"/>
            </w:tcBorders>
            <w:shd w:val="clear" w:color="000000" w:fill="FF9900"/>
            <w:noWrap/>
            <w:vAlign w:val="bottom"/>
            <w:hideMark/>
          </w:tcPr>
          <w:p w14:paraId="57D223C7" w14:textId="77777777" w:rsidR="00C779A5" w:rsidRPr="00C779A5" w:rsidRDefault="00C779A5" w:rsidP="00C779A5">
            <w:pPr>
              <w:spacing w:after="0" w:line="240" w:lineRule="auto"/>
              <w:jc w:val="right"/>
              <w:rPr>
                <w:rFonts w:ascii="Tahoma" w:eastAsia="Times New Roman" w:hAnsi="Tahoma" w:cs="Tahoma"/>
                <w:sz w:val="18"/>
                <w:szCs w:val="18"/>
                <w:lang w:eastAsia="hr-HR"/>
              </w:rPr>
            </w:pPr>
            <w:r w:rsidRPr="00C779A5">
              <w:rPr>
                <w:rFonts w:ascii="Tahoma" w:eastAsia="Times New Roman" w:hAnsi="Tahoma" w:cs="Tahoma"/>
                <w:sz w:val="18"/>
                <w:szCs w:val="18"/>
                <w:lang w:eastAsia="hr-HR"/>
              </w:rPr>
              <w:t>5</w:t>
            </w:r>
          </w:p>
        </w:tc>
        <w:tc>
          <w:tcPr>
            <w:tcW w:w="467" w:type="dxa"/>
            <w:tcBorders>
              <w:top w:val="nil"/>
              <w:left w:val="nil"/>
              <w:bottom w:val="single" w:sz="4" w:space="0" w:color="auto"/>
              <w:right w:val="single" w:sz="4" w:space="0" w:color="auto"/>
            </w:tcBorders>
            <w:shd w:val="clear" w:color="000000" w:fill="FFFF00"/>
            <w:vAlign w:val="center"/>
            <w:hideMark/>
          </w:tcPr>
          <w:p w14:paraId="33B37D48" w14:textId="77777777" w:rsidR="00C779A5" w:rsidRPr="00C779A5" w:rsidRDefault="00C779A5" w:rsidP="00C779A5">
            <w:pPr>
              <w:spacing w:after="0" w:line="240" w:lineRule="auto"/>
              <w:jc w:val="center"/>
              <w:rPr>
                <w:rFonts w:ascii="Tahoma" w:eastAsia="Times New Roman" w:hAnsi="Tahoma" w:cs="Tahoma"/>
                <w:sz w:val="18"/>
                <w:szCs w:val="18"/>
                <w:lang w:eastAsia="hr-HR"/>
              </w:rPr>
            </w:pPr>
            <w:r w:rsidRPr="00C779A5">
              <w:rPr>
                <w:rFonts w:ascii="Tahoma" w:eastAsia="Times New Roman" w:hAnsi="Tahoma" w:cs="Tahoma"/>
                <w:sz w:val="18"/>
                <w:szCs w:val="18"/>
                <w:lang w:eastAsia="hr-HR"/>
              </w:rPr>
              <w:t>13</w:t>
            </w:r>
          </w:p>
        </w:tc>
        <w:tc>
          <w:tcPr>
            <w:tcW w:w="877" w:type="dxa"/>
            <w:gridSpan w:val="2"/>
            <w:tcBorders>
              <w:top w:val="nil"/>
              <w:left w:val="nil"/>
              <w:bottom w:val="single" w:sz="4" w:space="0" w:color="auto"/>
              <w:right w:val="single" w:sz="4" w:space="0" w:color="auto"/>
            </w:tcBorders>
            <w:shd w:val="clear" w:color="000000" w:fill="FF9900"/>
            <w:vAlign w:val="center"/>
            <w:hideMark/>
          </w:tcPr>
          <w:p w14:paraId="07DA13E4" w14:textId="77777777" w:rsidR="00C779A5" w:rsidRPr="00C779A5" w:rsidRDefault="00C779A5" w:rsidP="00C779A5">
            <w:pPr>
              <w:spacing w:after="0" w:line="240" w:lineRule="auto"/>
              <w:jc w:val="center"/>
              <w:rPr>
                <w:rFonts w:ascii="Tahoma" w:eastAsia="Times New Roman" w:hAnsi="Tahoma" w:cs="Tahoma"/>
                <w:sz w:val="18"/>
                <w:szCs w:val="18"/>
                <w:lang w:eastAsia="hr-HR"/>
              </w:rPr>
            </w:pPr>
            <w:r w:rsidRPr="00C779A5">
              <w:rPr>
                <w:rFonts w:ascii="Tahoma" w:eastAsia="Times New Roman" w:hAnsi="Tahoma" w:cs="Tahoma"/>
                <w:sz w:val="18"/>
                <w:szCs w:val="18"/>
                <w:lang w:eastAsia="hr-HR"/>
              </w:rPr>
              <w:t>19</w:t>
            </w:r>
          </w:p>
        </w:tc>
        <w:tc>
          <w:tcPr>
            <w:tcW w:w="576" w:type="dxa"/>
            <w:gridSpan w:val="2"/>
            <w:tcBorders>
              <w:top w:val="nil"/>
              <w:left w:val="nil"/>
              <w:bottom w:val="single" w:sz="4" w:space="0" w:color="auto"/>
              <w:right w:val="single" w:sz="4" w:space="0" w:color="auto"/>
            </w:tcBorders>
            <w:shd w:val="clear" w:color="000000" w:fill="FF9900"/>
            <w:noWrap/>
            <w:vAlign w:val="center"/>
            <w:hideMark/>
          </w:tcPr>
          <w:p w14:paraId="5439D869" w14:textId="77777777" w:rsidR="00C779A5" w:rsidRPr="00C779A5" w:rsidRDefault="00C779A5" w:rsidP="00C779A5">
            <w:pPr>
              <w:spacing w:after="0" w:line="240" w:lineRule="auto"/>
              <w:jc w:val="center"/>
              <w:rPr>
                <w:rFonts w:ascii="Tahoma" w:eastAsia="Times New Roman" w:hAnsi="Tahoma" w:cs="Tahoma"/>
                <w:sz w:val="18"/>
                <w:szCs w:val="18"/>
                <w:lang w:eastAsia="hr-HR"/>
              </w:rPr>
            </w:pPr>
            <w:r w:rsidRPr="00C779A5">
              <w:rPr>
                <w:rFonts w:ascii="Tahoma" w:eastAsia="Times New Roman" w:hAnsi="Tahoma" w:cs="Tahoma"/>
                <w:sz w:val="18"/>
                <w:szCs w:val="18"/>
                <w:lang w:eastAsia="hr-HR"/>
              </w:rPr>
              <w:t>9</w:t>
            </w:r>
          </w:p>
        </w:tc>
        <w:tc>
          <w:tcPr>
            <w:tcW w:w="440" w:type="dxa"/>
            <w:tcBorders>
              <w:top w:val="nil"/>
              <w:left w:val="nil"/>
              <w:bottom w:val="single" w:sz="4" w:space="0" w:color="auto"/>
              <w:right w:val="single" w:sz="4" w:space="0" w:color="auto"/>
            </w:tcBorders>
            <w:shd w:val="clear" w:color="000000" w:fill="FF9900"/>
            <w:noWrap/>
            <w:vAlign w:val="center"/>
            <w:hideMark/>
          </w:tcPr>
          <w:p w14:paraId="4A301208" w14:textId="77777777" w:rsidR="00C779A5" w:rsidRPr="00C779A5" w:rsidRDefault="00C779A5" w:rsidP="00C779A5">
            <w:pPr>
              <w:spacing w:after="0" w:line="240" w:lineRule="auto"/>
              <w:jc w:val="center"/>
              <w:rPr>
                <w:rFonts w:ascii="Tahoma" w:eastAsia="Times New Roman" w:hAnsi="Tahoma" w:cs="Tahoma"/>
                <w:sz w:val="18"/>
                <w:szCs w:val="18"/>
                <w:lang w:eastAsia="hr-HR"/>
              </w:rPr>
            </w:pPr>
            <w:r w:rsidRPr="00C779A5">
              <w:rPr>
                <w:rFonts w:ascii="Tahoma" w:eastAsia="Times New Roman" w:hAnsi="Tahoma" w:cs="Tahoma"/>
                <w:sz w:val="18"/>
                <w:szCs w:val="18"/>
                <w:lang w:eastAsia="hr-HR"/>
              </w:rPr>
              <w:t>3</w:t>
            </w:r>
          </w:p>
        </w:tc>
        <w:tc>
          <w:tcPr>
            <w:tcW w:w="793" w:type="dxa"/>
            <w:tcBorders>
              <w:top w:val="nil"/>
              <w:left w:val="nil"/>
              <w:bottom w:val="single" w:sz="4" w:space="0" w:color="auto"/>
              <w:right w:val="single" w:sz="4" w:space="0" w:color="auto"/>
            </w:tcBorders>
            <w:shd w:val="clear" w:color="000000" w:fill="FF9900"/>
            <w:noWrap/>
            <w:vAlign w:val="center"/>
            <w:hideMark/>
          </w:tcPr>
          <w:p w14:paraId="3130873D" w14:textId="77777777" w:rsidR="00C779A5" w:rsidRPr="00C779A5" w:rsidRDefault="00C779A5" w:rsidP="00C779A5">
            <w:pPr>
              <w:spacing w:after="0" w:line="240" w:lineRule="auto"/>
              <w:jc w:val="center"/>
              <w:rPr>
                <w:rFonts w:ascii="Tahoma" w:eastAsia="Times New Roman" w:hAnsi="Tahoma" w:cs="Tahoma"/>
                <w:sz w:val="18"/>
                <w:szCs w:val="18"/>
                <w:lang w:eastAsia="hr-HR"/>
              </w:rPr>
            </w:pPr>
            <w:r w:rsidRPr="00C779A5">
              <w:rPr>
                <w:rFonts w:ascii="Tahoma" w:eastAsia="Times New Roman" w:hAnsi="Tahoma" w:cs="Tahoma"/>
                <w:sz w:val="18"/>
                <w:szCs w:val="18"/>
                <w:lang w:eastAsia="hr-HR"/>
              </w:rPr>
              <w:t>8</w:t>
            </w:r>
          </w:p>
        </w:tc>
        <w:tc>
          <w:tcPr>
            <w:tcW w:w="645" w:type="dxa"/>
            <w:gridSpan w:val="2"/>
            <w:tcBorders>
              <w:top w:val="nil"/>
              <w:left w:val="nil"/>
              <w:bottom w:val="single" w:sz="4" w:space="0" w:color="auto"/>
              <w:right w:val="single" w:sz="4" w:space="0" w:color="auto"/>
            </w:tcBorders>
            <w:shd w:val="clear" w:color="000000" w:fill="CCFFFF"/>
            <w:noWrap/>
            <w:vAlign w:val="bottom"/>
            <w:hideMark/>
          </w:tcPr>
          <w:p w14:paraId="2DC0E9D5" w14:textId="77777777" w:rsidR="00C779A5" w:rsidRPr="00C779A5" w:rsidRDefault="00C779A5" w:rsidP="00C779A5">
            <w:pPr>
              <w:spacing w:after="0" w:line="240" w:lineRule="auto"/>
              <w:jc w:val="right"/>
              <w:rPr>
                <w:rFonts w:ascii="Tahoma" w:eastAsia="Times New Roman" w:hAnsi="Tahoma" w:cs="Tahoma"/>
                <w:sz w:val="18"/>
                <w:szCs w:val="18"/>
                <w:lang w:eastAsia="hr-HR"/>
              </w:rPr>
            </w:pPr>
            <w:r w:rsidRPr="00C779A5">
              <w:rPr>
                <w:rFonts w:ascii="Tahoma" w:eastAsia="Times New Roman" w:hAnsi="Tahoma" w:cs="Tahoma"/>
                <w:sz w:val="18"/>
                <w:szCs w:val="18"/>
                <w:lang w:eastAsia="hr-HR"/>
              </w:rPr>
              <w:t>0</w:t>
            </w:r>
          </w:p>
        </w:tc>
        <w:tc>
          <w:tcPr>
            <w:tcW w:w="467" w:type="dxa"/>
            <w:tcBorders>
              <w:top w:val="nil"/>
              <w:left w:val="nil"/>
              <w:bottom w:val="single" w:sz="4" w:space="0" w:color="auto"/>
              <w:right w:val="single" w:sz="4" w:space="0" w:color="auto"/>
            </w:tcBorders>
            <w:shd w:val="clear" w:color="000000" w:fill="CCFFFF"/>
            <w:noWrap/>
            <w:vAlign w:val="bottom"/>
            <w:hideMark/>
          </w:tcPr>
          <w:p w14:paraId="5CD74C78" w14:textId="77777777" w:rsidR="00C779A5" w:rsidRPr="00C779A5" w:rsidRDefault="00C779A5" w:rsidP="00C779A5">
            <w:pPr>
              <w:spacing w:after="0" w:line="240" w:lineRule="auto"/>
              <w:jc w:val="right"/>
              <w:rPr>
                <w:rFonts w:ascii="Tahoma" w:eastAsia="Times New Roman" w:hAnsi="Tahoma" w:cs="Tahoma"/>
                <w:sz w:val="18"/>
                <w:szCs w:val="18"/>
                <w:lang w:eastAsia="hr-HR"/>
              </w:rPr>
            </w:pPr>
            <w:r w:rsidRPr="00C779A5">
              <w:rPr>
                <w:rFonts w:ascii="Tahoma" w:eastAsia="Times New Roman" w:hAnsi="Tahoma" w:cs="Tahoma"/>
                <w:sz w:val="18"/>
                <w:szCs w:val="18"/>
                <w:lang w:eastAsia="hr-HR"/>
              </w:rPr>
              <w:t>1</w:t>
            </w:r>
          </w:p>
        </w:tc>
        <w:tc>
          <w:tcPr>
            <w:tcW w:w="467" w:type="dxa"/>
            <w:tcBorders>
              <w:top w:val="nil"/>
              <w:left w:val="nil"/>
              <w:bottom w:val="single" w:sz="4" w:space="0" w:color="auto"/>
              <w:right w:val="single" w:sz="4" w:space="0" w:color="auto"/>
            </w:tcBorders>
            <w:shd w:val="clear" w:color="000000" w:fill="CCFFFF"/>
            <w:noWrap/>
            <w:vAlign w:val="bottom"/>
            <w:hideMark/>
          </w:tcPr>
          <w:p w14:paraId="4A9D8B5C" w14:textId="77777777" w:rsidR="00C779A5" w:rsidRPr="00C779A5" w:rsidRDefault="00C779A5" w:rsidP="00C779A5">
            <w:pPr>
              <w:spacing w:after="0" w:line="240" w:lineRule="auto"/>
              <w:jc w:val="right"/>
              <w:rPr>
                <w:rFonts w:ascii="Tahoma" w:eastAsia="Times New Roman" w:hAnsi="Tahoma" w:cs="Tahoma"/>
                <w:sz w:val="18"/>
                <w:szCs w:val="18"/>
                <w:lang w:eastAsia="hr-HR"/>
              </w:rPr>
            </w:pPr>
            <w:r w:rsidRPr="00C779A5">
              <w:rPr>
                <w:rFonts w:ascii="Tahoma" w:eastAsia="Times New Roman" w:hAnsi="Tahoma" w:cs="Tahoma"/>
                <w:sz w:val="18"/>
                <w:szCs w:val="18"/>
                <w:lang w:eastAsia="hr-HR"/>
              </w:rPr>
              <w:t>0</w:t>
            </w:r>
          </w:p>
        </w:tc>
        <w:tc>
          <w:tcPr>
            <w:tcW w:w="478" w:type="dxa"/>
            <w:gridSpan w:val="2"/>
            <w:tcBorders>
              <w:top w:val="nil"/>
              <w:left w:val="nil"/>
              <w:bottom w:val="single" w:sz="4" w:space="0" w:color="auto"/>
              <w:right w:val="nil"/>
            </w:tcBorders>
            <w:shd w:val="clear" w:color="000000" w:fill="33CCCC"/>
            <w:noWrap/>
            <w:vAlign w:val="bottom"/>
            <w:hideMark/>
          </w:tcPr>
          <w:p w14:paraId="18F81441" w14:textId="77777777" w:rsidR="00C779A5" w:rsidRPr="00C779A5" w:rsidRDefault="00C779A5" w:rsidP="00C779A5">
            <w:pPr>
              <w:spacing w:after="0" w:line="240" w:lineRule="auto"/>
              <w:jc w:val="right"/>
              <w:rPr>
                <w:rFonts w:ascii="Tahoma" w:eastAsia="Times New Roman" w:hAnsi="Tahoma" w:cs="Tahoma"/>
                <w:sz w:val="18"/>
                <w:szCs w:val="18"/>
                <w:lang w:eastAsia="hr-HR"/>
              </w:rPr>
            </w:pPr>
            <w:r w:rsidRPr="00C779A5">
              <w:rPr>
                <w:rFonts w:ascii="Tahoma" w:eastAsia="Times New Roman" w:hAnsi="Tahoma" w:cs="Tahoma"/>
                <w:sz w:val="18"/>
                <w:szCs w:val="18"/>
                <w:lang w:eastAsia="hr-HR"/>
              </w:rPr>
              <w:t>2</w:t>
            </w:r>
          </w:p>
        </w:tc>
        <w:tc>
          <w:tcPr>
            <w:tcW w:w="876" w:type="dxa"/>
            <w:tcBorders>
              <w:top w:val="nil"/>
              <w:left w:val="single" w:sz="4" w:space="0" w:color="auto"/>
              <w:bottom w:val="single" w:sz="4" w:space="0" w:color="auto"/>
              <w:right w:val="single" w:sz="8" w:space="0" w:color="auto"/>
            </w:tcBorders>
            <w:shd w:val="clear" w:color="000000" w:fill="33CCCC"/>
            <w:noWrap/>
            <w:vAlign w:val="bottom"/>
            <w:hideMark/>
          </w:tcPr>
          <w:p w14:paraId="002DAE33" w14:textId="77777777" w:rsidR="00C779A5" w:rsidRPr="00C779A5" w:rsidRDefault="00C779A5" w:rsidP="00C779A5">
            <w:pPr>
              <w:spacing w:after="0" w:line="240" w:lineRule="auto"/>
              <w:jc w:val="right"/>
              <w:rPr>
                <w:rFonts w:ascii="Tahoma" w:eastAsia="Times New Roman" w:hAnsi="Tahoma" w:cs="Tahoma"/>
                <w:sz w:val="18"/>
                <w:szCs w:val="18"/>
                <w:lang w:eastAsia="hr-HR"/>
              </w:rPr>
            </w:pPr>
            <w:r w:rsidRPr="00C779A5">
              <w:rPr>
                <w:rFonts w:ascii="Tahoma" w:eastAsia="Times New Roman" w:hAnsi="Tahoma" w:cs="Tahoma"/>
                <w:sz w:val="18"/>
                <w:szCs w:val="18"/>
                <w:lang w:eastAsia="hr-HR"/>
              </w:rPr>
              <w:t>11</w:t>
            </w:r>
          </w:p>
        </w:tc>
        <w:tc>
          <w:tcPr>
            <w:tcW w:w="236" w:type="dxa"/>
            <w:gridSpan w:val="3"/>
            <w:vAlign w:val="center"/>
            <w:hideMark/>
          </w:tcPr>
          <w:p w14:paraId="738090EC" w14:textId="77777777" w:rsidR="00C779A5" w:rsidRPr="00C779A5" w:rsidRDefault="00C779A5" w:rsidP="00C779A5">
            <w:pPr>
              <w:spacing w:after="0" w:line="240" w:lineRule="auto"/>
              <w:rPr>
                <w:rFonts w:ascii="Times New Roman" w:eastAsia="Times New Roman" w:hAnsi="Times New Roman" w:cs="Times New Roman"/>
                <w:sz w:val="18"/>
                <w:szCs w:val="18"/>
                <w:lang w:eastAsia="hr-HR"/>
              </w:rPr>
            </w:pPr>
          </w:p>
        </w:tc>
      </w:tr>
      <w:tr w:rsidR="00C779A5" w:rsidRPr="00C779A5" w14:paraId="47BEF14A" w14:textId="77777777" w:rsidTr="00C779A5">
        <w:trPr>
          <w:gridAfter w:val="2"/>
          <w:wAfter w:w="149" w:type="dxa"/>
          <w:trHeight w:val="300"/>
        </w:trPr>
        <w:tc>
          <w:tcPr>
            <w:tcW w:w="1567" w:type="dxa"/>
            <w:tcBorders>
              <w:top w:val="single" w:sz="4" w:space="0" w:color="auto"/>
              <w:left w:val="single" w:sz="8" w:space="0" w:color="auto"/>
              <w:bottom w:val="single" w:sz="4" w:space="0" w:color="auto"/>
              <w:right w:val="single" w:sz="4" w:space="0" w:color="auto"/>
            </w:tcBorders>
            <w:shd w:val="clear" w:color="000000" w:fill="CCFFCC"/>
            <w:vAlign w:val="center"/>
            <w:hideMark/>
          </w:tcPr>
          <w:p w14:paraId="3313F8DB" w14:textId="77777777" w:rsidR="00C779A5" w:rsidRPr="00C779A5" w:rsidRDefault="00C779A5" w:rsidP="00C779A5">
            <w:pPr>
              <w:spacing w:after="0" w:line="240" w:lineRule="auto"/>
              <w:rPr>
                <w:rFonts w:ascii="Tahoma" w:eastAsia="Times New Roman" w:hAnsi="Tahoma" w:cs="Tahoma"/>
                <w:sz w:val="18"/>
                <w:szCs w:val="18"/>
                <w:lang w:eastAsia="hr-HR"/>
              </w:rPr>
            </w:pPr>
            <w:r w:rsidRPr="00C779A5">
              <w:rPr>
                <w:rFonts w:ascii="Tahoma" w:eastAsia="Times New Roman" w:hAnsi="Tahoma" w:cs="Tahoma"/>
                <w:sz w:val="18"/>
                <w:szCs w:val="18"/>
                <w:lang w:eastAsia="hr-HR"/>
              </w:rPr>
              <w:t>Društveni položaj</w:t>
            </w:r>
          </w:p>
        </w:tc>
        <w:tc>
          <w:tcPr>
            <w:tcW w:w="557" w:type="dxa"/>
            <w:tcBorders>
              <w:top w:val="nil"/>
              <w:left w:val="nil"/>
              <w:bottom w:val="single" w:sz="4" w:space="0" w:color="auto"/>
              <w:right w:val="single" w:sz="4" w:space="0" w:color="auto"/>
            </w:tcBorders>
            <w:shd w:val="clear" w:color="000000" w:fill="FFCC99"/>
            <w:noWrap/>
            <w:vAlign w:val="bottom"/>
            <w:hideMark/>
          </w:tcPr>
          <w:p w14:paraId="203EC892" w14:textId="77777777" w:rsidR="00C779A5" w:rsidRPr="00C779A5" w:rsidRDefault="00C779A5" w:rsidP="00C779A5">
            <w:pPr>
              <w:spacing w:after="0" w:line="240" w:lineRule="auto"/>
              <w:jc w:val="center"/>
              <w:rPr>
                <w:rFonts w:ascii="Tahoma" w:eastAsia="Times New Roman" w:hAnsi="Tahoma" w:cs="Tahoma"/>
                <w:sz w:val="18"/>
                <w:szCs w:val="18"/>
                <w:lang w:eastAsia="hr-HR"/>
              </w:rPr>
            </w:pPr>
            <w:r w:rsidRPr="00C779A5">
              <w:rPr>
                <w:rFonts w:ascii="Tahoma" w:eastAsia="Times New Roman" w:hAnsi="Tahoma" w:cs="Tahoma"/>
                <w:sz w:val="18"/>
                <w:szCs w:val="18"/>
                <w:lang w:eastAsia="hr-HR"/>
              </w:rPr>
              <w:t>34</w:t>
            </w:r>
          </w:p>
        </w:tc>
        <w:tc>
          <w:tcPr>
            <w:tcW w:w="444" w:type="dxa"/>
            <w:tcBorders>
              <w:top w:val="nil"/>
              <w:left w:val="nil"/>
              <w:bottom w:val="single" w:sz="4" w:space="0" w:color="auto"/>
              <w:right w:val="single" w:sz="4" w:space="0" w:color="auto"/>
            </w:tcBorders>
            <w:shd w:val="clear" w:color="000000" w:fill="FFFF00"/>
            <w:noWrap/>
            <w:vAlign w:val="bottom"/>
            <w:hideMark/>
          </w:tcPr>
          <w:p w14:paraId="23A148CE" w14:textId="77777777" w:rsidR="00C779A5" w:rsidRPr="00C779A5" w:rsidRDefault="00C779A5" w:rsidP="00C779A5">
            <w:pPr>
              <w:spacing w:after="0" w:line="240" w:lineRule="auto"/>
              <w:jc w:val="center"/>
              <w:rPr>
                <w:rFonts w:ascii="Tahoma" w:eastAsia="Times New Roman" w:hAnsi="Tahoma" w:cs="Tahoma"/>
                <w:sz w:val="18"/>
                <w:szCs w:val="18"/>
                <w:lang w:eastAsia="hr-HR"/>
              </w:rPr>
            </w:pPr>
            <w:r w:rsidRPr="00C779A5">
              <w:rPr>
                <w:rFonts w:ascii="Tahoma" w:eastAsia="Times New Roman" w:hAnsi="Tahoma" w:cs="Tahoma"/>
                <w:sz w:val="18"/>
                <w:szCs w:val="18"/>
                <w:lang w:eastAsia="hr-HR"/>
              </w:rPr>
              <w:t>4</w:t>
            </w:r>
          </w:p>
        </w:tc>
        <w:tc>
          <w:tcPr>
            <w:tcW w:w="399" w:type="dxa"/>
            <w:tcBorders>
              <w:top w:val="nil"/>
              <w:left w:val="nil"/>
              <w:bottom w:val="single" w:sz="4" w:space="0" w:color="auto"/>
              <w:right w:val="single" w:sz="4" w:space="0" w:color="auto"/>
            </w:tcBorders>
            <w:shd w:val="clear" w:color="000000" w:fill="CCFFFF"/>
            <w:noWrap/>
            <w:vAlign w:val="bottom"/>
            <w:hideMark/>
          </w:tcPr>
          <w:p w14:paraId="7D72D069" w14:textId="77777777" w:rsidR="00C779A5" w:rsidRPr="00C779A5" w:rsidRDefault="00C779A5" w:rsidP="00C779A5">
            <w:pPr>
              <w:spacing w:after="0" w:line="240" w:lineRule="auto"/>
              <w:jc w:val="right"/>
              <w:rPr>
                <w:rFonts w:ascii="Tahoma" w:eastAsia="Times New Roman" w:hAnsi="Tahoma" w:cs="Tahoma"/>
                <w:sz w:val="18"/>
                <w:szCs w:val="18"/>
                <w:lang w:eastAsia="hr-HR"/>
              </w:rPr>
            </w:pPr>
            <w:r w:rsidRPr="00C779A5">
              <w:rPr>
                <w:rFonts w:ascii="Tahoma" w:eastAsia="Times New Roman" w:hAnsi="Tahoma" w:cs="Tahoma"/>
                <w:sz w:val="18"/>
                <w:szCs w:val="18"/>
                <w:lang w:eastAsia="hr-HR"/>
              </w:rPr>
              <w:t>4</w:t>
            </w:r>
          </w:p>
        </w:tc>
        <w:tc>
          <w:tcPr>
            <w:tcW w:w="425" w:type="dxa"/>
            <w:tcBorders>
              <w:top w:val="nil"/>
              <w:left w:val="nil"/>
              <w:bottom w:val="single" w:sz="4" w:space="0" w:color="auto"/>
              <w:right w:val="single" w:sz="4" w:space="0" w:color="auto"/>
            </w:tcBorders>
            <w:shd w:val="clear" w:color="000000" w:fill="CCFFFF"/>
            <w:noWrap/>
            <w:vAlign w:val="bottom"/>
            <w:hideMark/>
          </w:tcPr>
          <w:p w14:paraId="38B25A96" w14:textId="77777777" w:rsidR="00C779A5" w:rsidRPr="00C779A5" w:rsidRDefault="00C779A5" w:rsidP="00C779A5">
            <w:pPr>
              <w:spacing w:after="0" w:line="240" w:lineRule="auto"/>
              <w:jc w:val="right"/>
              <w:rPr>
                <w:rFonts w:ascii="Tahoma" w:eastAsia="Times New Roman" w:hAnsi="Tahoma" w:cs="Tahoma"/>
                <w:sz w:val="18"/>
                <w:szCs w:val="18"/>
                <w:lang w:eastAsia="hr-HR"/>
              </w:rPr>
            </w:pPr>
            <w:r w:rsidRPr="00C779A5">
              <w:rPr>
                <w:rFonts w:ascii="Tahoma" w:eastAsia="Times New Roman" w:hAnsi="Tahoma" w:cs="Tahoma"/>
                <w:sz w:val="18"/>
                <w:szCs w:val="18"/>
                <w:lang w:eastAsia="hr-HR"/>
              </w:rPr>
              <w:t>1</w:t>
            </w:r>
          </w:p>
        </w:tc>
        <w:tc>
          <w:tcPr>
            <w:tcW w:w="574" w:type="dxa"/>
            <w:tcBorders>
              <w:top w:val="nil"/>
              <w:left w:val="nil"/>
              <w:bottom w:val="single" w:sz="4" w:space="0" w:color="auto"/>
              <w:right w:val="single" w:sz="4" w:space="0" w:color="auto"/>
            </w:tcBorders>
            <w:shd w:val="clear" w:color="000000" w:fill="FFFF99"/>
            <w:noWrap/>
            <w:vAlign w:val="bottom"/>
            <w:hideMark/>
          </w:tcPr>
          <w:p w14:paraId="2D49EB82" w14:textId="77777777" w:rsidR="00C779A5" w:rsidRPr="00C779A5" w:rsidRDefault="00C779A5" w:rsidP="00C779A5">
            <w:pPr>
              <w:spacing w:after="0" w:line="240" w:lineRule="auto"/>
              <w:jc w:val="center"/>
              <w:rPr>
                <w:rFonts w:ascii="Tahoma" w:eastAsia="Times New Roman" w:hAnsi="Tahoma" w:cs="Tahoma"/>
                <w:sz w:val="18"/>
                <w:szCs w:val="18"/>
                <w:lang w:eastAsia="hr-HR"/>
              </w:rPr>
            </w:pPr>
            <w:r w:rsidRPr="00C779A5">
              <w:rPr>
                <w:rFonts w:ascii="Tahoma" w:eastAsia="Times New Roman" w:hAnsi="Tahoma" w:cs="Tahoma"/>
                <w:sz w:val="18"/>
                <w:szCs w:val="18"/>
                <w:lang w:eastAsia="hr-HR"/>
              </w:rPr>
              <w:t>3</w:t>
            </w:r>
          </w:p>
        </w:tc>
        <w:tc>
          <w:tcPr>
            <w:tcW w:w="706" w:type="dxa"/>
            <w:tcBorders>
              <w:top w:val="nil"/>
              <w:left w:val="nil"/>
              <w:bottom w:val="single" w:sz="4" w:space="0" w:color="auto"/>
              <w:right w:val="single" w:sz="4" w:space="0" w:color="auto"/>
            </w:tcBorders>
            <w:shd w:val="clear" w:color="000000" w:fill="FFFF99"/>
            <w:noWrap/>
            <w:vAlign w:val="bottom"/>
            <w:hideMark/>
          </w:tcPr>
          <w:p w14:paraId="07DCAADA" w14:textId="77777777" w:rsidR="00C779A5" w:rsidRPr="00C779A5" w:rsidRDefault="00C779A5" w:rsidP="00C779A5">
            <w:pPr>
              <w:spacing w:after="0" w:line="240" w:lineRule="auto"/>
              <w:jc w:val="center"/>
              <w:rPr>
                <w:rFonts w:ascii="Tahoma" w:eastAsia="Times New Roman" w:hAnsi="Tahoma" w:cs="Tahoma"/>
                <w:sz w:val="18"/>
                <w:szCs w:val="18"/>
                <w:lang w:eastAsia="hr-HR"/>
              </w:rPr>
            </w:pPr>
            <w:r w:rsidRPr="00C779A5">
              <w:rPr>
                <w:rFonts w:ascii="Tahoma" w:eastAsia="Times New Roman" w:hAnsi="Tahoma" w:cs="Tahoma"/>
                <w:sz w:val="18"/>
                <w:szCs w:val="18"/>
                <w:lang w:eastAsia="hr-HR"/>
              </w:rPr>
              <w:t>1</w:t>
            </w:r>
          </w:p>
        </w:tc>
        <w:tc>
          <w:tcPr>
            <w:tcW w:w="565" w:type="dxa"/>
            <w:tcBorders>
              <w:top w:val="nil"/>
              <w:left w:val="nil"/>
              <w:bottom w:val="single" w:sz="4" w:space="0" w:color="auto"/>
              <w:right w:val="single" w:sz="4" w:space="0" w:color="auto"/>
            </w:tcBorders>
            <w:shd w:val="clear" w:color="000000" w:fill="FFFF99"/>
            <w:noWrap/>
            <w:vAlign w:val="bottom"/>
            <w:hideMark/>
          </w:tcPr>
          <w:p w14:paraId="379331C1" w14:textId="77777777" w:rsidR="00C779A5" w:rsidRPr="00C779A5" w:rsidRDefault="00C779A5" w:rsidP="00C779A5">
            <w:pPr>
              <w:spacing w:after="0" w:line="240" w:lineRule="auto"/>
              <w:jc w:val="center"/>
              <w:rPr>
                <w:rFonts w:ascii="Tahoma" w:eastAsia="Times New Roman" w:hAnsi="Tahoma" w:cs="Tahoma"/>
                <w:sz w:val="18"/>
                <w:szCs w:val="18"/>
                <w:lang w:eastAsia="hr-HR"/>
              </w:rPr>
            </w:pPr>
            <w:r w:rsidRPr="00C779A5">
              <w:rPr>
                <w:rFonts w:ascii="Tahoma" w:eastAsia="Times New Roman" w:hAnsi="Tahoma" w:cs="Tahoma"/>
                <w:sz w:val="18"/>
                <w:szCs w:val="18"/>
                <w:lang w:eastAsia="hr-HR"/>
              </w:rPr>
              <w:t>3</w:t>
            </w:r>
          </w:p>
        </w:tc>
        <w:tc>
          <w:tcPr>
            <w:tcW w:w="565" w:type="dxa"/>
            <w:tcBorders>
              <w:top w:val="nil"/>
              <w:left w:val="nil"/>
              <w:bottom w:val="single" w:sz="4" w:space="0" w:color="auto"/>
              <w:right w:val="single" w:sz="4" w:space="0" w:color="auto"/>
            </w:tcBorders>
            <w:shd w:val="clear" w:color="000000" w:fill="FFFF99"/>
            <w:noWrap/>
            <w:vAlign w:val="bottom"/>
            <w:hideMark/>
          </w:tcPr>
          <w:p w14:paraId="24E89AAC" w14:textId="77777777" w:rsidR="00C779A5" w:rsidRPr="00C779A5" w:rsidRDefault="00C779A5" w:rsidP="00C779A5">
            <w:pPr>
              <w:spacing w:after="0" w:line="240" w:lineRule="auto"/>
              <w:jc w:val="center"/>
              <w:rPr>
                <w:rFonts w:ascii="Tahoma" w:eastAsia="Times New Roman" w:hAnsi="Tahoma" w:cs="Tahoma"/>
                <w:sz w:val="18"/>
                <w:szCs w:val="18"/>
                <w:lang w:eastAsia="hr-HR"/>
              </w:rPr>
            </w:pPr>
            <w:r w:rsidRPr="00C779A5">
              <w:rPr>
                <w:rFonts w:ascii="Tahoma" w:eastAsia="Times New Roman" w:hAnsi="Tahoma" w:cs="Tahoma"/>
                <w:sz w:val="18"/>
                <w:szCs w:val="18"/>
                <w:lang w:eastAsia="hr-HR"/>
              </w:rPr>
              <w:t>0</w:t>
            </w:r>
          </w:p>
        </w:tc>
        <w:tc>
          <w:tcPr>
            <w:tcW w:w="467" w:type="dxa"/>
            <w:tcBorders>
              <w:top w:val="nil"/>
              <w:left w:val="nil"/>
              <w:bottom w:val="single" w:sz="4" w:space="0" w:color="auto"/>
              <w:right w:val="single" w:sz="4" w:space="0" w:color="auto"/>
            </w:tcBorders>
            <w:shd w:val="clear" w:color="000000" w:fill="FFFF99"/>
            <w:noWrap/>
            <w:vAlign w:val="bottom"/>
            <w:hideMark/>
          </w:tcPr>
          <w:p w14:paraId="0A827EFF" w14:textId="77777777" w:rsidR="00C779A5" w:rsidRPr="00C779A5" w:rsidRDefault="00C779A5" w:rsidP="00C779A5">
            <w:pPr>
              <w:spacing w:after="0" w:line="240" w:lineRule="auto"/>
              <w:jc w:val="center"/>
              <w:rPr>
                <w:rFonts w:ascii="Tahoma" w:eastAsia="Times New Roman" w:hAnsi="Tahoma" w:cs="Tahoma"/>
                <w:sz w:val="18"/>
                <w:szCs w:val="18"/>
                <w:lang w:eastAsia="hr-HR"/>
              </w:rPr>
            </w:pPr>
            <w:r w:rsidRPr="00C779A5">
              <w:rPr>
                <w:rFonts w:ascii="Tahoma" w:eastAsia="Times New Roman" w:hAnsi="Tahoma" w:cs="Tahoma"/>
                <w:sz w:val="18"/>
                <w:szCs w:val="18"/>
                <w:lang w:eastAsia="hr-HR"/>
              </w:rPr>
              <w:t>0</w:t>
            </w:r>
          </w:p>
        </w:tc>
        <w:tc>
          <w:tcPr>
            <w:tcW w:w="805" w:type="dxa"/>
            <w:tcBorders>
              <w:top w:val="nil"/>
              <w:left w:val="nil"/>
              <w:bottom w:val="single" w:sz="4" w:space="0" w:color="auto"/>
              <w:right w:val="single" w:sz="4" w:space="0" w:color="auto"/>
            </w:tcBorders>
            <w:shd w:val="clear" w:color="000000" w:fill="FFFF99"/>
            <w:noWrap/>
            <w:vAlign w:val="bottom"/>
            <w:hideMark/>
          </w:tcPr>
          <w:p w14:paraId="4B4EAD31" w14:textId="77777777" w:rsidR="00C779A5" w:rsidRPr="00C779A5" w:rsidRDefault="00C779A5" w:rsidP="00C779A5">
            <w:pPr>
              <w:spacing w:after="0" w:line="240" w:lineRule="auto"/>
              <w:jc w:val="center"/>
              <w:rPr>
                <w:rFonts w:ascii="Tahoma" w:eastAsia="Times New Roman" w:hAnsi="Tahoma" w:cs="Tahoma"/>
                <w:sz w:val="18"/>
                <w:szCs w:val="18"/>
                <w:lang w:eastAsia="hr-HR"/>
              </w:rPr>
            </w:pPr>
            <w:r w:rsidRPr="00C779A5">
              <w:rPr>
                <w:rFonts w:ascii="Tahoma" w:eastAsia="Times New Roman" w:hAnsi="Tahoma" w:cs="Tahoma"/>
                <w:sz w:val="18"/>
                <w:szCs w:val="18"/>
                <w:lang w:eastAsia="hr-HR"/>
              </w:rPr>
              <w:t>0</w:t>
            </w:r>
          </w:p>
        </w:tc>
        <w:tc>
          <w:tcPr>
            <w:tcW w:w="467" w:type="dxa"/>
            <w:gridSpan w:val="2"/>
            <w:tcBorders>
              <w:top w:val="nil"/>
              <w:left w:val="nil"/>
              <w:bottom w:val="single" w:sz="4" w:space="0" w:color="auto"/>
              <w:right w:val="single" w:sz="4" w:space="0" w:color="auto"/>
            </w:tcBorders>
            <w:shd w:val="clear" w:color="000000" w:fill="FF9900"/>
            <w:noWrap/>
            <w:vAlign w:val="bottom"/>
            <w:hideMark/>
          </w:tcPr>
          <w:p w14:paraId="2456FF41" w14:textId="77777777" w:rsidR="00C779A5" w:rsidRPr="00C779A5" w:rsidRDefault="00C779A5" w:rsidP="00C779A5">
            <w:pPr>
              <w:spacing w:after="0" w:line="240" w:lineRule="auto"/>
              <w:jc w:val="right"/>
              <w:rPr>
                <w:rFonts w:ascii="Tahoma" w:eastAsia="Times New Roman" w:hAnsi="Tahoma" w:cs="Tahoma"/>
                <w:sz w:val="18"/>
                <w:szCs w:val="18"/>
                <w:lang w:eastAsia="hr-HR"/>
              </w:rPr>
            </w:pPr>
            <w:r w:rsidRPr="00C779A5">
              <w:rPr>
                <w:rFonts w:ascii="Tahoma" w:eastAsia="Times New Roman" w:hAnsi="Tahoma" w:cs="Tahoma"/>
                <w:sz w:val="18"/>
                <w:szCs w:val="18"/>
                <w:lang w:eastAsia="hr-HR"/>
              </w:rPr>
              <w:t>2</w:t>
            </w:r>
          </w:p>
        </w:tc>
        <w:tc>
          <w:tcPr>
            <w:tcW w:w="522" w:type="dxa"/>
            <w:tcBorders>
              <w:top w:val="nil"/>
              <w:left w:val="nil"/>
              <w:bottom w:val="single" w:sz="4" w:space="0" w:color="auto"/>
              <w:right w:val="single" w:sz="4" w:space="0" w:color="auto"/>
            </w:tcBorders>
            <w:shd w:val="clear" w:color="000000" w:fill="FF9900"/>
            <w:noWrap/>
            <w:vAlign w:val="bottom"/>
            <w:hideMark/>
          </w:tcPr>
          <w:p w14:paraId="388B1AE9" w14:textId="77777777" w:rsidR="00C779A5" w:rsidRPr="00C779A5" w:rsidRDefault="00C779A5" w:rsidP="00C779A5">
            <w:pPr>
              <w:spacing w:after="0" w:line="240" w:lineRule="auto"/>
              <w:jc w:val="right"/>
              <w:rPr>
                <w:rFonts w:ascii="Tahoma" w:eastAsia="Times New Roman" w:hAnsi="Tahoma" w:cs="Tahoma"/>
                <w:sz w:val="18"/>
                <w:szCs w:val="18"/>
                <w:lang w:eastAsia="hr-HR"/>
              </w:rPr>
            </w:pPr>
            <w:r w:rsidRPr="00C779A5">
              <w:rPr>
                <w:rFonts w:ascii="Tahoma" w:eastAsia="Times New Roman" w:hAnsi="Tahoma" w:cs="Tahoma"/>
                <w:sz w:val="18"/>
                <w:szCs w:val="18"/>
                <w:lang w:eastAsia="hr-HR"/>
              </w:rPr>
              <w:t>6</w:t>
            </w:r>
          </w:p>
        </w:tc>
        <w:tc>
          <w:tcPr>
            <w:tcW w:w="467" w:type="dxa"/>
            <w:tcBorders>
              <w:top w:val="nil"/>
              <w:left w:val="nil"/>
              <w:bottom w:val="single" w:sz="4" w:space="0" w:color="auto"/>
              <w:right w:val="single" w:sz="4" w:space="0" w:color="auto"/>
            </w:tcBorders>
            <w:shd w:val="clear" w:color="000000" w:fill="FF9900"/>
            <w:noWrap/>
            <w:vAlign w:val="bottom"/>
            <w:hideMark/>
          </w:tcPr>
          <w:p w14:paraId="4B941C42" w14:textId="77777777" w:rsidR="00C779A5" w:rsidRPr="00C779A5" w:rsidRDefault="00C779A5" w:rsidP="00C779A5">
            <w:pPr>
              <w:spacing w:after="0" w:line="240" w:lineRule="auto"/>
              <w:jc w:val="right"/>
              <w:rPr>
                <w:rFonts w:ascii="Tahoma" w:eastAsia="Times New Roman" w:hAnsi="Tahoma" w:cs="Tahoma"/>
                <w:sz w:val="18"/>
                <w:szCs w:val="18"/>
                <w:lang w:eastAsia="hr-HR"/>
              </w:rPr>
            </w:pPr>
            <w:r w:rsidRPr="00C779A5">
              <w:rPr>
                <w:rFonts w:ascii="Tahoma" w:eastAsia="Times New Roman" w:hAnsi="Tahoma" w:cs="Tahoma"/>
                <w:sz w:val="18"/>
                <w:szCs w:val="18"/>
                <w:lang w:eastAsia="hr-HR"/>
              </w:rPr>
              <w:t>3</w:t>
            </w:r>
          </w:p>
        </w:tc>
        <w:tc>
          <w:tcPr>
            <w:tcW w:w="467" w:type="dxa"/>
            <w:tcBorders>
              <w:top w:val="nil"/>
              <w:left w:val="nil"/>
              <w:bottom w:val="single" w:sz="4" w:space="0" w:color="auto"/>
              <w:right w:val="single" w:sz="4" w:space="0" w:color="auto"/>
            </w:tcBorders>
            <w:shd w:val="clear" w:color="000000" w:fill="FFFF00"/>
            <w:vAlign w:val="center"/>
            <w:hideMark/>
          </w:tcPr>
          <w:p w14:paraId="0C0CF1FC" w14:textId="77777777" w:rsidR="00C779A5" w:rsidRPr="00C779A5" w:rsidRDefault="00C779A5" w:rsidP="00C779A5">
            <w:pPr>
              <w:spacing w:after="0" w:line="240" w:lineRule="auto"/>
              <w:jc w:val="center"/>
              <w:rPr>
                <w:rFonts w:ascii="Tahoma" w:eastAsia="Times New Roman" w:hAnsi="Tahoma" w:cs="Tahoma"/>
                <w:sz w:val="18"/>
                <w:szCs w:val="18"/>
                <w:lang w:eastAsia="hr-HR"/>
              </w:rPr>
            </w:pPr>
            <w:r w:rsidRPr="00C779A5">
              <w:rPr>
                <w:rFonts w:ascii="Tahoma" w:eastAsia="Times New Roman" w:hAnsi="Tahoma" w:cs="Tahoma"/>
                <w:sz w:val="18"/>
                <w:szCs w:val="18"/>
                <w:lang w:eastAsia="hr-HR"/>
              </w:rPr>
              <w:t>11</w:t>
            </w:r>
          </w:p>
        </w:tc>
        <w:tc>
          <w:tcPr>
            <w:tcW w:w="877" w:type="dxa"/>
            <w:gridSpan w:val="2"/>
            <w:tcBorders>
              <w:top w:val="nil"/>
              <w:left w:val="nil"/>
              <w:bottom w:val="single" w:sz="4" w:space="0" w:color="auto"/>
              <w:right w:val="single" w:sz="4" w:space="0" w:color="auto"/>
            </w:tcBorders>
            <w:shd w:val="clear" w:color="000000" w:fill="FF9900"/>
            <w:vAlign w:val="center"/>
            <w:hideMark/>
          </w:tcPr>
          <w:p w14:paraId="67AC1A80" w14:textId="77777777" w:rsidR="00C779A5" w:rsidRPr="00C779A5" w:rsidRDefault="00C779A5" w:rsidP="00C779A5">
            <w:pPr>
              <w:spacing w:after="0" w:line="240" w:lineRule="auto"/>
              <w:jc w:val="center"/>
              <w:rPr>
                <w:rFonts w:ascii="Tahoma" w:eastAsia="Times New Roman" w:hAnsi="Tahoma" w:cs="Tahoma"/>
                <w:sz w:val="18"/>
                <w:szCs w:val="18"/>
                <w:lang w:eastAsia="hr-HR"/>
              </w:rPr>
            </w:pPr>
            <w:r w:rsidRPr="00C779A5">
              <w:rPr>
                <w:rFonts w:ascii="Tahoma" w:eastAsia="Times New Roman" w:hAnsi="Tahoma" w:cs="Tahoma"/>
                <w:sz w:val="18"/>
                <w:szCs w:val="18"/>
                <w:lang w:eastAsia="hr-HR"/>
              </w:rPr>
              <w:t>27</w:t>
            </w:r>
          </w:p>
        </w:tc>
        <w:tc>
          <w:tcPr>
            <w:tcW w:w="576" w:type="dxa"/>
            <w:gridSpan w:val="2"/>
            <w:tcBorders>
              <w:top w:val="nil"/>
              <w:left w:val="nil"/>
              <w:bottom w:val="single" w:sz="4" w:space="0" w:color="auto"/>
              <w:right w:val="single" w:sz="4" w:space="0" w:color="auto"/>
            </w:tcBorders>
            <w:shd w:val="clear" w:color="000000" w:fill="FF9900"/>
            <w:noWrap/>
            <w:vAlign w:val="center"/>
            <w:hideMark/>
          </w:tcPr>
          <w:p w14:paraId="5081850E" w14:textId="77777777" w:rsidR="00C779A5" w:rsidRPr="00C779A5" w:rsidRDefault="00C779A5" w:rsidP="00C779A5">
            <w:pPr>
              <w:spacing w:after="0" w:line="240" w:lineRule="auto"/>
              <w:jc w:val="center"/>
              <w:rPr>
                <w:rFonts w:ascii="Tahoma" w:eastAsia="Times New Roman" w:hAnsi="Tahoma" w:cs="Tahoma"/>
                <w:sz w:val="18"/>
                <w:szCs w:val="18"/>
                <w:lang w:eastAsia="hr-HR"/>
              </w:rPr>
            </w:pPr>
            <w:r w:rsidRPr="00C779A5">
              <w:rPr>
                <w:rFonts w:ascii="Tahoma" w:eastAsia="Times New Roman" w:hAnsi="Tahoma" w:cs="Tahoma"/>
                <w:sz w:val="18"/>
                <w:szCs w:val="18"/>
                <w:lang w:eastAsia="hr-HR"/>
              </w:rPr>
              <w:t>10</w:t>
            </w:r>
          </w:p>
        </w:tc>
        <w:tc>
          <w:tcPr>
            <w:tcW w:w="440" w:type="dxa"/>
            <w:tcBorders>
              <w:top w:val="nil"/>
              <w:left w:val="nil"/>
              <w:bottom w:val="single" w:sz="4" w:space="0" w:color="auto"/>
              <w:right w:val="single" w:sz="4" w:space="0" w:color="auto"/>
            </w:tcBorders>
            <w:shd w:val="clear" w:color="000000" w:fill="FF9900"/>
            <w:noWrap/>
            <w:vAlign w:val="center"/>
            <w:hideMark/>
          </w:tcPr>
          <w:p w14:paraId="13DA3AC9" w14:textId="77777777" w:rsidR="00C779A5" w:rsidRPr="00C779A5" w:rsidRDefault="00C779A5" w:rsidP="00C779A5">
            <w:pPr>
              <w:spacing w:after="0" w:line="240" w:lineRule="auto"/>
              <w:jc w:val="center"/>
              <w:rPr>
                <w:rFonts w:ascii="Tahoma" w:eastAsia="Times New Roman" w:hAnsi="Tahoma" w:cs="Tahoma"/>
                <w:sz w:val="18"/>
                <w:szCs w:val="18"/>
                <w:lang w:eastAsia="hr-HR"/>
              </w:rPr>
            </w:pPr>
            <w:r w:rsidRPr="00C779A5">
              <w:rPr>
                <w:rFonts w:ascii="Tahoma" w:eastAsia="Times New Roman" w:hAnsi="Tahoma" w:cs="Tahoma"/>
                <w:sz w:val="18"/>
                <w:szCs w:val="18"/>
                <w:lang w:eastAsia="hr-HR"/>
              </w:rPr>
              <w:t>0</w:t>
            </w:r>
          </w:p>
        </w:tc>
        <w:tc>
          <w:tcPr>
            <w:tcW w:w="793" w:type="dxa"/>
            <w:tcBorders>
              <w:top w:val="nil"/>
              <w:left w:val="nil"/>
              <w:bottom w:val="single" w:sz="4" w:space="0" w:color="auto"/>
              <w:right w:val="single" w:sz="4" w:space="0" w:color="auto"/>
            </w:tcBorders>
            <w:shd w:val="clear" w:color="000000" w:fill="FF9900"/>
            <w:noWrap/>
            <w:vAlign w:val="center"/>
            <w:hideMark/>
          </w:tcPr>
          <w:p w14:paraId="360DFC8C" w14:textId="77777777" w:rsidR="00C779A5" w:rsidRPr="00C779A5" w:rsidRDefault="00C779A5" w:rsidP="00C779A5">
            <w:pPr>
              <w:spacing w:after="0" w:line="240" w:lineRule="auto"/>
              <w:jc w:val="center"/>
              <w:rPr>
                <w:rFonts w:ascii="Tahoma" w:eastAsia="Times New Roman" w:hAnsi="Tahoma" w:cs="Tahoma"/>
                <w:sz w:val="18"/>
                <w:szCs w:val="18"/>
                <w:lang w:eastAsia="hr-HR"/>
              </w:rPr>
            </w:pPr>
            <w:r w:rsidRPr="00C779A5">
              <w:rPr>
                <w:rFonts w:ascii="Tahoma" w:eastAsia="Times New Roman" w:hAnsi="Tahoma" w:cs="Tahoma"/>
                <w:sz w:val="18"/>
                <w:szCs w:val="18"/>
                <w:lang w:eastAsia="hr-HR"/>
              </w:rPr>
              <w:t>3</w:t>
            </w:r>
          </w:p>
        </w:tc>
        <w:tc>
          <w:tcPr>
            <w:tcW w:w="645" w:type="dxa"/>
            <w:gridSpan w:val="2"/>
            <w:tcBorders>
              <w:top w:val="nil"/>
              <w:left w:val="nil"/>
              <w:bottom w:val="single" w:sz="4" w:space="0" w:color="auto"/>
              <w:right w:val="single" w:sz="4" w:space="0" w:color="auto"/>
            </w:tcBorders>
            <w:shd w:val="clear" w:color="000000" w:fill="CCFFFF"/>
            <w:noWrap/>
            <w:vAlign w:val="bottom"/>
            <w:hideMark/>
          </w:tcPr>
          <w:p w14:paraId="519E644B" w14:textId="77777777" w:rsidR="00C779A5" w:rsidRPr="00C779A5" w:rsidRDefault="00C779A5" w:rsidP="00C779A5">
            <w:pPr>
              <w:spacing w:after="0" w:line="240" w:lineRule="auto"/>
              <w:jc w:val="right"/>
              <w:rPr>
                <w:rFonts w:ascii="Tahoma" w:eastAsia="Times New Roman" w:hAnsi="Tahoma" w:cs="Tahoma"/>
                <w:sz w:val="18"/>
                <w:szCs w:val="18"/>
                <w:lang w:eastAsia="hr-HR"/>
              </w:rPr>
            </w:pPr>
            <w:r w:rsidRPr="00C779A5">
              <w:rPr>
                <w:rFonts w:ascii="Tahoma" w:eastAsia="Times New Roman" w:hAnsi="Tahoma" w:cs="Tahoma"/>
                <w:sz w:val="18"/>
                <w:szCs w:val="18"/>
                <w:lang w:eastAsia="hr-HR"/>
              </w:rPr>
              <w:t>4</w:t>
            </w:r>
          </w:p>
        </w:tc>
        <w:tc>
          <w:tcPr>
            <w:tcW w:w="467" w:type="dxa"/>
            <w:tcBorders>
              <w:top w:val="nil"/>
              <w:left w:val="nil"/>
              <w:bottom w:val="single" w:sz="4" w:space="0" w:color="auto"/>
              <w:right w:val="single" w:sz="4" w:space="0" w:color="auto"/>
            </w:tcBorders>
            <w:shd w:val="clear" w:color="000000" w:fill="CCFFFF"/>
            <w:noWrap/>
            <w:vAlign w:val="bottom"/>
            <w:hideMark/>
          </w:tcPr>
          <w:p w14:paraId="447A7E7E" w14:textId="77777777" w:rsidR="00C779A5" w:rsidRPr="00C779A5" w:rsidRDefault="00C779A5" w:rsidP="00C779A5">
            <w:pPr>
              <w:spacing w:after="0" w:line="240" w:lineRule="auto"/>
              <w:jc w:val="right"/>
              <w:rPr>
                <w:rFonts w:ascii="Tahoma" w:eastAsia="Times New Roman" w:hAnsi="Tahoma" w:cs="Tahoma"/>
                <w:sz w:val="18"/>
                <w:szCs w:val="18"/>
                <w:lang w:eastAsia="hr-HR"/>
              </w:rPr>
            </w:pPr>
            <w:r w:rsidRPr="00C779A5">
              <w:rPr>
                <w:rFonts w:ascii="Tahoma" w:eastAsia="Times New Roman" w:hAnsi="Tahoma" w:cs="Tahoma"/>
                <w:sz w:val="18"/>
                <w:szCs w:val="18"/>
                <w:lang w:eastAsia="hr-HR"/>
              </w:rPr>
              <w:t>3</w:t>
            </w:r>
          </w:p>
        </w:tc>
        <w:tc>
          <w:tcPr>
            <w:tcW w:w="467" w:type="dxa"/>
            <w:tcBorders>
              <w:top w:val="nil"/>
              <w:left w:val="nil"/>
              <w:bottom w:val="single" w:sz="4" w:space="0" w:color="auto"/>
              <w:right w:val="single" w:sz="4" w:space="0" w:color="auto"/>
            </w:tcBorders>
            <w:shd w:val="clear" w:color="000000" w:fill="CCFFFF"/>
            <w:noWrap/>
            <w:vAlign w:val="bottom"/>
            <w:hideMark/>
          </w:tcPr>
          <w:p w14:paraId="2A537B2C" w14:textId="77777777" w:rsidR="00C779A5" w:rsidRPr="00C779A5" w:rsidRDefault="00C779A5" w:rsidP="00C779A5">
            <w:pPr>
              <w:spacing w:after="0" w:line="240" w:lineRule="auto"/>
              <w:jc w:val="right"/>
              <w:rPr>
                <w:rFonts w:ascii="Tahoma" w:eastAsia="Times New Roman" w:hAnsi="Tahoma" w:cs="Tahoma"/>
                <w:sz w:val="18"/>
                <w:szCs w:val="18"/>
                <w:lang w:eastAsia="hr-HR"/>
              </w:rPr>
            </w:pPr>
            <w:r w:rsidRPr="00C779A5">
              <w:rPr>
                <w:rFonts w:ascii="Tahoma" w:eastAsia="Times New Roman" w:hAnsi="Tahoma" w:cs="Tahoma"/>
                <w:sz w:val="18"/>
                <w:szCs w:val="18"/>
                <w:lang w:eastAsia="hr-HR"/>
              </w:rPr>
              <w:t>0</w:t>
            </w:r>
          </w:p>
        </w:tc>
        <w:tc>
          <w:tcPr>
            <w:tcW w:w="478" w:type="dxa"/>
            <w:gridSpan w:val="2"/>
            <w:tcBorders>
              <w:top w:val="nil"/>
              <w:left w:val="nil"/>
              <w:bottom w:val="single" w:sz="4" w:space="0" w:color="auto"/>
              <w:right w:val="nil"/>
            </w:tcBorders>
            <w:shd w:val="clear" w:color="000000" w:fill="33CCCC"/>
            <w:noWrap/>
            <w:vAlign w:val="bottom"/>
            <w:hideMark/>
          </w:tcPr>
          <w:p w14:paraId="5FA900D4" w14:textId="77777777" w:rsidR="00C779A5" w:rsidRPr="00C779A5" w:rsidRDefault="00C779A5" w:rsidP="00C779A5">
            <w:pPr>
              <w:spacing w:after="0" w:line="240" w:lineRule="auto"/>
              <w:jc w:val="right"/>
              <w:rPr>
                <w:rFonts w:ascii="Tahoma" w:eastAsia="Times New Roman" w:hAnsi="Tahoma" w:cs="Tahoma"/>
                <w:sz w:val="18"/>
                <w:szCs w:val="18"/>
                <w:lang w:eastAsia="hr-HR"/>
              </w:rPr>
            </w:pPr>
            <w:r w:rsidRPr="00C779A5">
              <w:rPr>
                <w:rFonts w:ascii="Tahoma" w:eastAsia="Times New Roman" w:hAnsi="Tahoma" w:cs="Tahoma"/>
                <w:sz w:val="18"/>
                <w:szCs w:val="18"/>
                <w:lang w:eastAsia="hr-HR"/>
              </w:rPr>
              <w:t>4</w:t>
            </w:r>
          </w:p>
        </w:tc>
        <w:tc>
          <w:tcPr>
            <w:tcW w:w="876" w:type="dxa"/>
            <w:tcBorders>
              <w:top w:val="nil"/>
              <w:left w:val="single" w:sz="4" w:space="0" w:color="auto"/>
              <w:bottom w:val="single" w:sz="4" w:space="0" w:color="auto"/>
              <w:right w:val="single" w:sz="8" w:space="0" w:color="auto"/>
            </w:tcBorders>
            <w:shd w:val="clear" w:color="000000" w:fill="33CCCC"/>
            <w:noWrap/>
            <w:vAlign w:val="bottom"/>
            <w:hideMark/>
          </w:tcPr>
          <w:p w14:paraId="7191A78B" w14:textId="77777777" w:rsidR="00C779A5" w:rsidRPr="00C779A5" w:rsidRDefault="00C779A5" w:rsidP="00C779A5">
            <w:pPr>
              <w:spacing w:after="0" w:line="240" w:lineRule="auto"/>
              <w:jc w:val="right"/>
              <w:rPr>
                <w:rFonts w:ascii="Tahoma" w:eastAsia="Times New Roman" w:hAnsi="Tahoma" w:cs="Tahoma"/>
                <w:sz w:val="18"/>
                <w:szCs w:val="18"/>
                <w:lang w:eastAsia="hr-HR"/>
              </w:rPr>
            </w:pPr>
            <w:r w:rsidRPr="00C779A5">
              <w:rPr>
                <w:rFonts w:ascii="Tahoma" w:eastAsia="Times New Roman" w:hAnsi="Tahoma" w:cs="Tahoma"/>
                <w:sz w:val="18"/>
                <w:szCs w:val="18"/>
                <w:lang w:eastAsia="hr-HR"/>
              </w:rPr>
              <w:t>7</w:t>
            </w:r>
          </w:p>
        </w:tc>
        <w:tc>
          <w:tcPr>
            <w:tcW w:w="236" w:type="dxa"/>
            <w:gridSpan w:val="3"/>
            <w:vAlign w:val="center"/>
            <w:hideMark/>
          </w:tcPr>
          <w:p w14:paraId="7BD57A3A" w14:textId="77777777" w:rsidR="00C779A5" w:rsidRPr="00C779A5" w:rsidRDefault="00C779A5" w:rsidP="00C779A5">
            <w:pPr>
              <w:spacing w:after="0" w:line="240" w:lineRule="auto"/>
              <w:rPr>
                <w:rFonts w:ascii="Times New Roman" w:eastAsia="Times New Roman" w:hAnsi="Times New Roman" w:cs="Times New Roman"/>
                <w:sz w:val="18"/>
                <w:szCs w:val="18"/>
                <w:lang w:eastAsia="hr-HR"/>
              </w:rPr>
            </w:pPr>
          </w:p>
        </w:tc>
      </w:tr>
      <w:tr w:rsidR="00C779A5" w:rsidRPr="00C779A5" w14:paraId="27FF766A" w14:textId="77777777" w:rsidTr="00C779A5">
        <w:trPr>
          <w:gridAfter w:val="2"/>
          <w:wAfter w:w="149" w:type="dxa"/>
          <w:trHeight w:val="300"/>
        </w:trPr>
        <w:tc>
          <w:tcPr>
            <w:tcW w:w="1567" w:type="dxa"/>
            <w:tcBorders>
              <w:top w:val="single" w:sz="4" w:space="0" w:color="auto"/>
              <w:left w:val="single" w:sz="8" w:space="0" w:color="auto"/>
              <w:bottom w:val="single" w:sz="4" w:space="0" w:color="auto"/>
              <w:right w:val="single" w:sz="4" w:space="0" w:color="auto"/>
            </w:tcBorders>
            <w:shd w:val="clear" w:color="000000" w:fill="CCFFCC"/>
            <w:vAlign w:val="center"/>
            <w:hideMark/>
          </w:tcPr>
          <w:p w14:paraId="033B8538" w14:textId="77777777" w:rsidR="00C779A5" w:rsidRPr="00C779A5" w:rsidRDefault="00C779A5" w:rsidP="00C779A5">
            <w:pPr>
              <w:spacing w:after="0" w:line="240" w:lineRule="auto"/>
              <w:rPr>
                <w:rFonts w:ascii="Tahoma" w:eastAsia="Times New Roman" w:hAnsi="Tahoma" w:cs="Tahoma"/>
                <w:sz w:val="18"/>
                <w:szCs w:val="18"/>
                <w:lang w:eastAsia="hr-HR"/>
              </w:rPr>
            </w:pPr>
            <w:r w:rsidRPr="00C779A5">
              <w:rPr>
                <w:rFonts w:ascii="Tahoma" w:eastAsia="Times New Roman" w:hAnsi="Tahoma" w:cs="Tahoma"/>
                <w:sz w:val="18"/>
                <w:szCs w:val="18"/>
                <w:lang w:eastAsia="hr-HR"/>
              </w:rPr>
              <w:t>Bračni ili obiteljski status</w:t>
            </w:r>
          </w:p>
        </w:tc>
        <w:tc>
          <w:tcPr>
            <w:tcW w:w="557" w:type="dxa"/>
            <w:tcBorders>
              <w:top w:val="nil"/>
              <w:left w:val="nil"/>
              <w:bottom w:val="single" w:sz="4" w:space="0" w:color="auto"/>
              <w:right w:val="single" w:sz="4" w:space="0" w:color="auto"/>
            </w:tcBorders>
            <w:shd w:val="clear" w:color="000000" w:fill="FFCC99"/>
            <w:noWrap/>
            <w:vAlign w:val="bottom"/>
            <w:hideMark/>
          </w:tcPr>
          <w:p w14:paraId="1D7266F3" w14:textId="77777777" w:rsidR="00C779A5" w:rsidRPr="00C779A5" w:rsidRDefault="00C779A5" w:rsidP="00C779A5">
            <w:pPr>
              <w:spacing w:after="0" w:line="240" w:lineRule="auto"/>
              <w:jc w:val="center"/>
              <w:rPr>
                <w:rFonts w:ascii="Tahoma" w:eastAsia="Times New Roman" w:hAnsi="Tahoma" w:cs="Tahoma"/>
                <w:sz w:val="18"/>
                <w:szCs w:val="18"/>
                <w:lang w:eastAsia="hr-HR"/>
              </w:rPr>
            </w:pPr>
            <w:r w:rsidRPr="00C779A5">
              <w:rPr>
                <w:rFonts w:ascii="Tahoma" w:eastAsia="Times New Roman" w:hAnsi="Tahoma" w:cs="Tahoma"/>
                <w:sz w:val="18"/>
                <w:szCs w:val="18"/>
                <w:lang w:eastAsia="hr-HR"/>
              </w:rPr>
              <w:t>7</w:t>
            </w:r>
          </w:p>
        </w:tc>
        <w:tc>
          <w:tcPr>
            <w:tcW w:w="444" w:type="dxa"/>
            <w:tcBorders>
              <w:top w:val="nil"/>
              <w:left w:val="nil"/>
              <w:bottom w:val="single" w:sz="4" w:space="0" w:color="auto"/>
              <w:right w:val="single" w:sz="4" w:space="0" w:color="auto"/>
            </w:tcBorders>
            <w:shd w:val="clear" w:color="000000" w:fill="FFFF00"/>
            <w:noWrap/>
            <w:vAlign w:val="bottom"/>
            <w:hideMark/>
          </w:tcPr>
          <w:p w14:paraId="48E43532" w14:textId="77777777" w:rsidR="00C779A5" w:rsidRPr="00C779A5" w:rsidRDefault="00C779A5" w:rsidP="00C779A5">
            <w:pPr>
              <w:spacing w:after="0" w:line="240" w:lineRule="auto"/>
              <w:jc w:val="center"/>
              <w:rPr>
                <w:rFonts w:ascii="Tahoma" w:eastAsia="Times New Roman" w:hAnsi="Tahoma" w:cs="Tahoma"/>
                <w:sz w:val="18"/>
                <w:szCs w:val="18"/>
                <w:lang w:eastAsia="hr-HR"/>
              </w:rPr>
            </w:pPr>
            <w:r w:rsidRPr="00C779A5">
              <w:rPr>
                <w:rFonts w:ascii="Tahoma" w:eastAsia="Times New Roman" w:hAnsi="Tahoma" w:cs="Tahoma"/>
                <w:sz w:val="18"/>
                <w:szCs w:val="18"/>
                <w:lang w:eastAsia="hr-HR"/>
              </w:rPr>
              <w:t>1</w:t>
            </w:r>
          </w:p>
        </w:tc>
        <w:tc>
          <w:tcPr>
            <w:tcW w:w="399" w:type="dxa"/>
            <w:tcBorders>
              <w:top w:val="nil"/>
              <w:left w:val="nil"/>
              <w:bottom w:val="single" w:sz="4" w:space="0" w:color="auto"/>
              <w:right w:val="single" w:sz="4" w:space="0" w:color="auto"/>
            </w:tcBorders>
            <w:shd w:val="clear" w:color="000000" w:fill="CCFFFF"/>
            <w:noWrap/>
            <w:vAlign w:val="bottom"/>
            <w:hideMark/>
          </w:tcPr>
          <w:p w14:paraId="75D9A37D" w14:textId="77777777" w:rsidR="00C779A5" w:rsidRPr="00C779A5" w:rsidRDefault="00C779A5" w:rsidP="00C779A5">
            <w:pPr>
              <w:spacing w:after="0" w:line="240" w:lineRule="auto"/>
              <w:jc w:val="right"/>
              <w:rPr>
                <w:rFonts w:ascii="Tahoma" w:eastAsia="Times New Roman" w:hAnsi="Tahoma" w:cs="Tahoma"/>
                <w:sz w:val="18"/>
                <w:szCs w:val="18"/>
                <w:lang w:eastAsia="hr-HR"/>
              </w:rPr>
            </w:pPr>
            <w:r w:rsidRPr="00C779A5">
              <w:rPr>
                <w:rFonts w:ascii="Tahoma" w:eastAsia="Times New Roman" w:hAnsi="Tahoma" w:cs="Tahoma"/>
                <w:sz w:val="18"/>
                <w:szCs w:val="18"/>
                <w:lang w:eastAsia="hr-HR"/>
              </w:rPr>
              <w:t>1</w:t>
            </w:r>
          </w:p>
        </w:tc>
        <w:tc>
          <w:tcPr>
            <w:tcW w:w="425" w:type="dxa"/>
            <w:tcBorders>
              <w:top w:val="nil"/>
              <w:left w:val="nil"/>
              <w:bottom w:val="single" w:sz="4" w:space="0" w:color="auto"/>
              <w:right w:val="single" w:sz="4" w:space="0" w:color="auto"/>
            </w:tcBorders>
            <w:shd w:val="clear" w:color="000000" w:fill="CCFFFF"/>
            <w:noWrap/>
            <w:vAlign w:val="bottom"/>
            <w:hideMark/>
          </w:tcPr>
          <w:p w14:paraId="3961FAEE" w14:textId="77777777" w:rsidR="00C779A5" w:rsidRPr="00C779A5" w:rsidRDefault="00C779A5" w:rsidP="00C779A5">
            <w:pPr>
              <w:spacing w:after="0" w:line="240" w:lineRule="auto"/>
              <w:jc w:val="right"/>
              <w:rPr>
                <w:rFonts w:ascii="Tahoma" w:eastAsia="Times New Roman" w:hAnsi="Tahoma" w:cs="Tahoma"/>
                <w:sz w:val="18"/>
                <w:szCs w:val="18"/>
                <w:lang w:eastAsia="hr-HR"/>
              </w:rPr>
            </w:pPr>
            <w:r w:rsidRPr="00C779A5">
              <w:rPr>
                <w:rFonts w:ascii="Tahoma" w:eastAsia="Times New Roman" w:hAnsi="Tahoma" w:cs="Tahoma"/>
                <w:sz w:val="18"/>
                <w:szCs w:val="18"/>
                <w:lang w:eastAsia="hr-HR"/>
              </w:rPr>
              <w:t>0</w:t>
            </w:r>
          </w:p>
        </w:tc>
        <w:tc>
          <w:tcPr>
            <w:tcW w:w="574" w:type="dxa"/>
            <w:tcBorders>
              <w:top w:val="nil"/>
              <w:left w:val="nil"/>
              <w:bottom w:val="single" w:sz="4" w:space="0" w:color="auto"/>
              <w:right w:val="single" w:sz="4" w:space="0" w:color="auto"/>
            </w:tcBorders>
            <w:shd w:val="clear" w:color="000000" w:fill="FFFF99"/>
            <w:noWrap/>
            <w:vAlign w:val="bottom"/>
            <w:hideMark/>
          </w:tcPr>
          <w:p w14:paraId="7EE45480" w14:textId="77777777" w:rsidR="00C779A5" w:rsidRPr="00C779A5" w:rsidRDefault="00C779A5" w:rsidP="00C779A5">
            <w:pPr>
              <w:spacing w:after="0" w:line="240" w:lineRule="auto"/>
              <w:jc w:val="center"/>
              <w:rPr>
                <w:rFonts w:ascii="Tahoma" w:eastAsia="Times New Roman" w:hAnsi="Tahoma" w:cs="Tahoma"/>
                <w:sz w:val="18"/>
                <w:szCs w:val="18"/>
                <w:lang w:eastAsia="hr-HR"/>
              </w:rPr>
            </w:pPr>
            <w:r w:rsidRPr="00C779A5">
              <w:rPr>
                <w:rFonts w:ascii="Tahoma" w:eastAsia="Times New Roman" w:hAnsi="Tahoma" w:cs="Tahoma"/>
                <w:sz w:val="18"/>
                <w:szCs w:val="18"/>
                <w:lang w:eastAsia="hr-HR"/>
              </w:rPr>
              <w:t>1</w:t>
            </w:r>
          </w:p>
        </w:tc>
        <w:tc>
          <w:tcPr>
            <w:tcW w:w="706" w:type="dxa"/>
            <w:tcBorders>
              <w:top w:val="nil"/>
              <w:left w:val="nil"/>
              <w:bottom w:val="single" w:sz="4" w:space="0" w:color="auto"/>
              <w:right w:val="single" w:sz="4" w:space="0" w:color="auto"/>
            </w:tcBorders>
            <w:shd w:val="clear" w:color="000000" w:fill="FFFF99"/>
            <w:noWrap/>
            <w:vAlign w:val="bottom"/>
            <w:hideMark/>
          </w:tcPr>
          <w:p w14:paraId="188A9CC0" w14:textId="77777777" w:rsidR="00C779A5" w:rsidRPr="00C779A5" w:rsidRDefault="00C779A5" w:rsidP="00C779A5">
            <w:pPr>
              <w:spacing w:after="0" w:line="240" w:lineRule="auto"/>
              <w:jc w:val="center"/>
              <w:rPr>
                <w:rFonts w:ascii="Tahoma" w:eastAsia="Times New Roman" w:hAnsi="Tahoma" w:cs="Tahoma"/>
                <w:sz w:val="18"/>
                <w:szCs w:val="18"/>
                <w:lang w:eastAsia="hr-HR"/>
              </w:rPr>
            </w:pPr>
            <w:r w:rsidRPr="00C779A5">
              <w:rPr>
                <w:rFonts w:ascii="Tahoma" w:eastAsia="Times New Roman" w:hAnsi="Tahoma" w:cs="Tahoma"/>
                <w:sz w:val="18"/>
                <w:szCs w:val="18"/>
                <w:lang w:eastAsia="hr-HR"/>
              </w:rPr>
              <w:t>0</w:t>
            </w:r>
          </w:p>
        </w:tc>
        <w:tc>
          <w:tcPr>
            <w:tcW w:w="565" w:type="dxa"/>
            <w:tcBorders>
              <w:top w:val="nil"/>
              <w:left w:val="nil"/>
              <w:bottom w:val="single" w:sz="4" w:space="0" w:color="auto"/>
              <w:right w:val="single" w:sz="4" w:space="0" w:color="auto"/>
            </w:tcBorders>
            <w:shd w:val="clear" w:color="000000" w:fill="FFFF99"/>
            <w:noWrap/>
            <w:vAlign w:val="bottom"/>
            <w:hideMark/>
          </w:tcPr>
          <w:p w14:paraId="18AC3B1C" w14:textId="77777777" w:rsidR="00C779A5" w:rsidRPr="00C779A5" w:rsidRDefault="00C779A5" w:rsidP="00C779A5">
            <w:pPr>
              <w:spacing w:after="0" w:line="240" w:lineRule="auto"/>
              <w:jc w:val="center"/>
              <w:rPr>
                <w:rFonts w:ascii="Tahoma" w:eastAsia="Times New Roman" w:hAnsi="Tahoma" w:cs="Tahoma"/>
                <w:sz w:val="18"/>
                <w:szCs w:val="18"/>
                <w:lang w:eastAsia="hr-HR"/>
              </w:rPr>
            </w:pPr>
            <w:r w:rsidRPr="00C779A5">
              <w:rPr>
                <w:rFonts w:ascii="Tahoma" w:eastAsia="Times New Roman" w:hAnsi="Tahoma" w:cs="Tahoma"/>
                <w:sz w:val="18"/>
                <w:szCs w:val="18"/>
                <w:lang w:eastAsia="hr-HR"/>
              </w:rPr>
              <w:t>1</w:t>
            </w:r>
          </w:p>
        </w:tc>
        <w:tc>
          <w:tcPr>
            <w:tcW w:w="565" w:type="dxa"/>
            <w:tcBorders>
              <w:top w:val="nil"/>
              <w:left w:val="nil"/>
              <w:bottom w:val="single" w:sz="4" w:space="0" w:color="auto"/>
              <w:right w:val="single" w:sz="4" w:space="0" w:color="auto"/>
            </w:tcBorders>
            <w:shd w:val="clear" w:color="000000" w:fill="FFFF99"/>
            <w:noWrap/>
            <w:vAlign w:val="bottom"/>
            <w:hideMark/>
          </w:tcPr>
          <w:p w14:paraId="22644DFB" w14:textId="77777777" w:rsidR="00C779A5" w:rsidRPr="00C779A5" w:rsidRDefault="00C779A5" w:rsidP="00C779A5">
            <w:pPr>
              <w:spacing w:after="0" w:line="240" w:lineRule="auto"/>
              <w:jc w:val="center"/>
              <w:rPr>
                <w:rFonts w:ascii="Tahoma" w:eastAsia="Times New Roman" w:hAnsi="Tahoma" w:cs="Tahoma"/>
                <w:sz w:val="18"/>
                <w:szCs w:val="18"/>
                <w:lang w:eastAsia="hr-HR"/>
              </w:rPr>
            </w:pPr>
            <w:r w:rsidRPr="00C779A5">
              <w:rPr>
                <w:rFonts w:ascii="Tahoma" w:eastAsia="Times New Roman" w:hAnsi="Tahoma" w:cs="Tahoma"/>
                <w:sz w:val="18"/>
                <w:szCs w:val="18"/>
                <w:lang w:eastAsia="hr-HR"/>
              </w:rPr>
              <w:t>0</w:t>
            </w:r>
          </w:p>
        </w:tc>
        <w:tc>
          <w:tcPr>
            <w:tcW w:w="467" w:type="dxa"/>
            <w:tcBorders>
              <w:top w:val="nil"/>
              <w:left w:val="nil"/>
              <w:bottom w:val="single" w:sz="4" w:space="0" w:color="auto"/>
              <w:right w:val="single" w:sz="4" w:space="0" w:color="auto"/>
            </w:tcBorders>
            <w:shd w:val="clear" w:color="000000" w:fill="FFFF99"/>
            <w:noWrap/>
            <w:vAlign w:val="bottom"/>
            <w:hideMark/>
          </w:tcPr>
          <w:p w14:paraId="7D10617C" w14:textId="77777777" w:rsidR="00C779A5" w:rsidRPr="00C779A5" w:rsidRDefault="00C779A5" w:rsidP="00C779A5">
            <w:pPr>
              <w:spacing w:after="0" w:line="240" w:lineRule="auto"/>
              <w:jc w:val="center"/>
              <w:rPr>
                <w:rFonts w:ascii="Tahoma" w:eastAsia="Times New Roman" w:hAnsi="Tahoma" w:cs="Tahoma"/>
                <w:sz w:val="18"/>
                <w:szCs w:val="18"/>
                <w:lang w:eastAsia="hr-HR"/>
              </w:rPr>
            </w:pPr>
            <w:r w:rsidRPr="00C779A5">
              <w:rPr>
                <w:rFonts w:ascii="Tahoma" w:eastAsia="Times New Roman" w:hAnsi="Tahoma" w:cs="Tahoma"/>
                <w:sz w:val="18"/>
                <w:szCs w:val="18"/>
                <w:lang w:eastAsia="hr-HR"/>
              </w:rPr>
              <w:t>0</w:t>
            </w:r>
          </w:p>
        </w:tc>
        <w:tc>
          <w:tcPr>
            <w:tcW w:w="805" w:type="dxa"/>
            <w:tcBorders>
              <w:top w:val="nil"/>
              <w:left w:val="nil"/>
              <w:bottom w:val="single" w:sz="4" w:space="0" w:color="auto"/>
              <w:right w:val="single" w:sz="4" w:space="0" w:color="auto"/>
            </w:tcBorders>
            <w:shd w:val="clear" w:color="000000" w:fill="FFFF99"/>
            <w:noWrap/>
            <w:vAlign w:val="bottom"/>
            <w:hideMark/>
          </w:tcPr>
          <w:p w14:paraId="7878C0F0" w14:textId="77777777" w:rsidR="00C779A5" w:rsidRPr="00C779A5" w:rsidRDefault="00C779A5" w:rsidP="00C779A5">
            <w:pPr>
              <w:spacing w:after="0" w:line="240" w:lineRule="auto"/>
              <w:jc w:val="center"/>
              <w:rPr>
                <w:rFonts w:ascii="Tahoma" w:eastAsia="Times New Roman" w:hAnsi="Tahoma" w:cs="Tahoma"/>
                <w:sz w:val="18"/>
                <w:szCs w:val="18"/>
                <w:lang w:eastAsia="hr-HR"/>
              </w:rPr>
            </w:pPr>
            <w:r w:rsidRPr="00C779A5">
              <w:rPr>
                <w:rFonts w:ascii="Tahoma" w:eastAsia="Times New Roman" w:hAnsi="Tahoma" w:cs="Tahoma"/>
                <w:sz w:val="18"/>
                <w:szCs w:val="18"/>
                <w:lang w:eastAsia="hr-HR"/>
              </w:rPr>
              <w:t>1</w:t>
            </w:r>
          </w:p>
        </w:tc>
        <w:tc>
          <w:tcPr>
            <w:tcW w:w="467" w:type="dxa"/>
            <w:gridSpan w:val="2"/>
            <w:tcBorders>
              <w:top w:val="nil"/>
              <w:left w:val="nil"/>
              <w:bottom w:val="single" w:sz="4" w:space="0" w:color="auto"/>
              <w:right w:val="single" w:sz="4" w:space="0" w:color="auto"/>
            </w:tcBorders>
            <w:shd w:val="clear" w:color="000000" w:fill="FF9900"/>
            <w:noWrap/>
            <w:vAlign w:val="bottom"/>
            <w:hideMark/>
          </w:tcPr>
          <w:p w14:paraId="4B8EB0CC" w14:textId="77777777" w:rsidR="00C779A5" w:rsidRPr="00C779A5" w:rsidRDefault="00C779A5" w:rsidP="00C779A5">
            <w:pPr>
              <w:spacing w:after="0" w:line="240" w:lineRule="auto"/>
              <w:jc w:val="right"/>
              <w:rPr>
                <w:rFonts w:ascii="Tahoma" w:eastAsia="Times New Roman" w:hAnsi="Tahoma" w:cs="Tahoma"/>
                <w:sz w:val="18"/>
                <w:szCs w:val="18"/>
                <w:lang w:eastAsia="hr-HR"/>
              </w:rPr>
            </w:pPr>
            <w:r w:rsidRPr="00C779A5">
              <w:rPr>
                <w:rFonts w:ascii="Tahoma" w:eastAsia="Times New Roman" w:hAnsi="Tahoma" w:cs="Tahoma"/>
                <w:sz w:val="18"/>
                <w:szCs w:val="18"/>
                <w:lang w:eastAsia="hr-HR"/>
              </w:rPr>
              <w:t>0</w:t>
            </w:r>
          </w:p>
        </w:tc>
        <w:tc>
          <w:tcPr>
            <w:tcW w:w="522" w:type="dxa"/>
            <w:tcBorders>
              <w:top w:val="nil"/>
              <w:left w:val="nil"/>
              <w:bottom w:val="single" w:sz="4" w:space="0" w:color="auto"/>
              <w:right w:val="single" w:sz="4" w:space="0" w:color="auto"/>
            </w:tcBorders>
            <w:shd w:val="clear" w:color="000000" w:fill="FF9900"/>
            <w:noWrap/>
            <w:vAlign w:val="bottom"/>
            <w:hideMark/>
          </w:tcPr>
          <w:p w14:paraId="3C215475" w14:textId="77777777" w:rsidR="00C779A5" w:rsidRPr="00C779A5" w:rsidRDefault="00C779A5" w:rsidP="00C779A5">
            <w:pPr>
              <w:spacing w:after="0" w:line="240" w:lineRule="auto"/>
              <w:jc w:val="right"/>
              <w:rPr>
                <w:rFonts w:ascii="Tahoma" w:eastAsia="Times New Roman" w:hAnsi="Tahoma" w:cs="Tahoma"/>
                <w:sz w:val="18"/>
                <w:szCs w:val="18"/>
                <w:lang w:eastAsia="hr-HR"/>
              </w:rPr>
            </w:pPr>
            <w:r w:rsidRPr="00C779A5">
              <w:rPr>
                <w:rFonts w:ascii="Tahoma" w:eastAsia="Times New Roman" w:hAnsi="Tahoma" w:cs="Tahoma"/>
                <w:sz w:val="18"/>
                <w:szCs w:val="18"/>
                <w:lang w:eastAsia="hr-HR"/>
              </w:rPr>
              <w:t>0</w:t>
            </w:r>
          </w:p>
        </w:tc>
        <w:tc>
          <w:tcPr>
            <w:tcW w:w="467" w:type="dxa"/>
            <w:tcBorders>
              <w:top w:val="nil"/>
              <w:left w:val="nil"/>
              <w:bottom w:val="single" w:sz="4" w:space="0" w:color="auto"/>
              <w:right w:val="single" w:sz="4" w:space="0" w:color="auto"/>
            </w:tcBorders>
            <w:shd w:val="clear" w:color="000000" w:fill="FF9900"/>
            <w:noWrap/>
            <w:vAlign w:val="bottom"/>
            <w:hideMark/>
          </w:tcPr>
          <w:p w14:paraId="65B1D7E1" w14:textId="77777777" w:rsidR="00C779A5" w:rsidRPr="00C779A5" w:rsidRDefault="00C779A5" w:rsidP="00C779A5">
            <w:pPr>
              <w:spacing w:after="0" w:line="240" w:lineRule="auto"/>
              <w:jc w:val="right"/>
              <w:rPr>
                <w:rFonts w:ascii="Tahoma" w:eastAsia="Times New Roman" w:hAnsi="Tahoma" w:cs="Tahoma"/>
                <w:sz w:val="18"/>
                <w:szCs w:val="18"/>
                <w:lang w:eastAsia="hr-HR"/>
              </w:rPr>
            </w:pPr>
            <w:r w:rsidRPr="00C779A5">
              <w:rPr>
                <w:rFonts w:ascii="Tahoma" w:eastAsia="Times New Roman" w:hAnsi="Tahoma" w:cs="Tahoma"/>
                <w:sz w:val="18"/>
                <w:szCs w:val="18"/>
                <w:lang w:eastAsia="hr-HR"/>
              </w:rPr>
              <w:t>0</w:t>
            </w:r>
          </w:p>
        </w:tc>
        <w:tc>
          <w:tcPr>
            <w:tcW w:w="467" w:type="dxa"/>
            <w:tcBorders>
              <w:top w:val="nil"/>
              <w:left w:val="nil"/>
              <w:bottom w:val="single" w:sz="4" w:space="0" w:color="auto"/>
              <w:right w:val="single" w:sz="4" w:space="0" w:color="auto"/>
            </w:tcBorders>
            <w:shd w:val="clear" w:color="000000" w:fill="FFFF00"/>
            <w:vAlign w:val="center"/>
            <w:hideMark/>
          </w:tcPr>
          <w:p w14:paraId="72B3C899" w14:textId="77777777" w:rsidR="00C779A5" w:rsidRPr="00C779A5" w:rsidRDefault="00C779A5" w:rsidP="00C779A5">
            <w:pPr>
              <w:spacing w:after="0" w:line="240" w:lineRule="auto"/>
              <w:jc w:val="center"/>
              <w:rPr>
                <w:rFonts w:ascii="Tahoma" w:eastAsia="Times New Roman" w:hAnsi="Tahoma" w:cs="Tahoma"/>
                <w:sz w:val="18"/>
                <w:szCs w:val="18"/>
                <w:lang w:eastAsia="hr-HR"/>
              </w:rPr>
            </w:pPr>
            <w:r w:rsidRPr="00C779A5">
              <w:rPr>
                <w:rFonts w:ascii="Tahoma" w:eastAsia="Times New Roman" w:hAnsi="Tahoma" w:cs="Tahoma"/>
                <w:sz w:val="18"/>
                <w:szCs w:val="18"/>
                <w:lang w:eastAsia="hr-HR"/>
              </w:rPr>
              <w:t>0</w:t>
            </w:r>
          </w:p>
        </w:tc>
        <w:tc>
          <w:tcPr>
            <w:tcW w:w="877" w:type="dxa"/>
            <w:gridSpan w:val="2"/>
            <w:tcBorders>
              <w:top w:val="nil"/>
              <w:left w:val="nil"/>
              <w:bottom w:val="single" w:sz="4" w:space="0" w:color="auto"/>
              <w:right w:val="single" w:sz="4" w:space="0" w:color="auto"/>
            </w:tcBorders>
            <w:shd w:val="clear" w:color="000000" w:fill="FF9900"/>
            <w:vAlign w:val="center"/>
            <w:hideMark/>
          </w:tcPr>
          <w:p w14:paraId="76238B11" w14:textId="77777777" w:rsidR="00C779A5" w:rsidRPr="00C779A5" w:rsidRDefault="00C779A5" w:rsidP="00C779A5">
            <w:pPr>
              <w:spacing w:after="0" w:line="240" w:lineRule="auto"/>
              <w:jc w:val="center"/>
              <w:rPr>
                <w:rFonts w:ascii="Tahoma" w:eastAsia="Times New Roman" w:hAnsi="Tahoma" w:cs="Tahoma"/>
                <w:sz w:val="18"/>
                <w:szCs w:val="18"/>
                <w:lang w:eastAsia="hr-HR"/>
              </w:rPr>
            </w:pPr>
            <w:r w:rsidRPr="00C779A5">
              <w:rPr>
                <w:rFonts w:ascii="Tahoma" w:eastAsia="Times New Roman" w:hAnsi="Tahoma" w:cs="Tahoma"/>
                <w:sz w:val="18"/>
                <w:szCs w:val="18"/>
                <w:lang w:eastAsia="hr-HR"/>
              </w:rPr>
              <w:t>8</w:t>
            </w:r>
          </w:p>
        </w:tc>
        <w:tc>
          <w:tcPr>
            <w:tcW w:w="576" w:type="dxa"/>
            <w:gridSpan w:val="2"/>
            <w:tcBorders>
              <w:top w:val="nil"/>
              <w:left w:val="nil"/>
              <w:bottom w:val="single" w:sz="4" w:space="0" w:color="auto"/>
              <w:right w:val="single" w:sz="4" w:space="0" w:color="auto"/>
            </w:tcBorders>
            <w:shd w:val="clear" w:color="000000" w:fill="FF9900"/>
            <w:noWrap/>
            <w:vAlign w:val="center"/>
            <w:hideMark/>
          </w:tcPr>
          <w:p w14:paraId="4C9B042F" w14:textId="77777777" w:rsidR="00C779A5" w:rsidRPr="00C779A5" w:rsidRDefault="00C779A5" w:rsidP="00C779A5">
            <w:pPr>
              <w:spacing w:after="0" w:line="240" w:lineRule="auto"/>
              <w:jc w:val="center"/>
              <w:rPr>
                <w:rFonts w:ascii="Tahoma" w:eastAsia="Times New Roman" w:hAnsi="Tahoma" w:cs="Tahoma"/>
                <w:sz w:val="18"/>
                <w:szCs w:val="18"/>
                <w:lang w:eastAsia="hr-HR"/>
              </w:rPr>
            </w:pPr>
            <w:r w:rsidRPr="00C779A5">
              <w:rPr>
                <w:rFonts w:ascii="Tahoma" w:eastAsia="Times New Roman" w:hAnsi="Tahoma" w:cs="Tahoma"/>
                <w:sz w:val="18"/>
                <w:szCs w:val="18"/>
                <w:lang w:eastAsia="hr-HR"/>
              </w:rPr>
              <w:t>0</w:t>
            </w:r>
          </w:p>
        </w:tc>
        <w:tc>
          <w:tcPr>
            <w:tcW w:w="440" w:type="dxa"/>
            <w:tcBorders>
              <w:top w:val="nil"/>
              <w:left w:val="nil"/>
              <w:bottom w:val="single" w:sz="4" w:space="0" w:color="auto"/>
              <w:right w:val="single" w:sz="4" w:space="0" w:color="auto"/>
            </w:tcBorders>
            <w:shd w:val="clear" w:color="000000" w:fill="FF9900"/>
            <w:noWrap/>
            <w:vAlign w:val="center"/>
            <w:hideMark/>
          </w:tcPr>
          <w:p w14:paraId="71FC6666" w14:textId="77777777" w:rsidR="00C779A5" w:rsidRPr="00C779A5" w:rsidRDefault="00C779A5" w:rsidP="00C779A5">
            <w:pPr>
              <w:spacing w:after="0" w:line="240" w:lineRule="auto"/>
              <w:jc w:val="center"/>
              <w:rPr>
                <w:rFonts w:ascii="Tahoma" w:eastAsia="Times New Roman" w:hAnsi="Tahoma" w:cs="Tahoma"/>
                <w:sz w:val="18"/>
                <w:szCs w:val="18"/>
                <w:lang w:eastAsia="hr-HR"/>
              </w:rPr>
            </w:pPr>
            <w:r w:rsidRPr="00C779A5">
              <w:rPr>
                <w:rFonts w:ascii="Tahoma" w:eastAsia="Times New Roman" w:hAnsi="Tahoma" w:cs="Tahoma"/>
                <w:sz w:val="18"/>
                <w:szCs w:val="18"/>
                <w:lang w:eastAsia="hr-HR"/>
              </w:rPr>
              <w:t>0</w:t>
            </w:r>
          </w:p>
        </w:tc>
        <w:tc>
          <w:tcPr>
            <w:tcW w:w="793" w:type="dxa"/>
            <w:tcBorders>
              <w:top w:val="nil"/>
              <w:left w:val="nil"/>
              <w:bottom w:val="single" w:sz="4" w:space="0" w:color="auto"/>
              <w:right w:val="single" w:sz="4" w:space="0" w:color="auto"/>
            </w:tcBorders>
            <w:shd w:val="clear" w:color="000000" w:fill="FF9900"/>
            <w:noWrap/>
            <w:vAlign w:val="center"/>
            <w:hideMark/>
          </w:tcPr>
          <w:p w14:paraId="7AF14366" w14:textId="77777777" w:rsidR="00C779A5" w:rsidRPr="00C779A5" w:rsidRDefault="00C779A5" w:rsidP="00C779A5">
            <w:pPr>
              <w:spacing w:after="0" w:line="240" w:lineRule="auto"/>
              <w:jc w:val="center"/>
              <w:rPr>
                <w:rFonts w:ascii="Tahoma" w:eastAsia="Times New Roman" w:hAnsi="Tahoma" w:cs="Tahoma"/>
                <w:sz w:val="18"/>
                <w:szCs w:val="18"/>
                <w:lang w:eastAsia="hr-HR"/>
              </w:rPr>
            </w:pPr>
            <w:r w:rsidRPr="00C779A5">
              <w:rPr>
                <w:rFonts w:ascii="Tahoma" w:eastAsia="Times New Roman" w:hAnsi="Tahoma" w:cs="Tahoma"/>
                <w:sz w:val="18"/>
                <w:szCs w:val="18"/>
                <w:lang w:eastAsia="hr-HR"/>
              </w:rPr>
              <w:t>0</w:t>
            </w:r>
          </w:p>
        </w:tc>
        <w:tc>
          <w:tcPr>
            <w:tcW w:w="645" w:type="dxa"/>
            <w:gridSpan w:val="2"/>
            <w:tcBorders>
              <w:top w:val="nil"/>
              <w:left w:val="nil"/>
              <w:bottom w:val="single" w:sz="4" w:space="0" w:color="auto"/>
              <w:right w:val="single" w:sz="4" w:space="0" w:color="auto"/>
            </w:tcBorders>
            <w:shd w:val="clear" w:color="000000" w:fill="CCFFFF"/>
            <w:noWrap/>
            <w:vAlign w:val="bottom"/>
            <w:hideMark/>
          </w:tcPr>
          <w:p w14:paraId="14B39313" w14:textId="77777777" w:rsidR="00C779A5" w:rsidRPr="00C779A5" w:rsidRDefault="00C779A5" w:rsidP="00C779A5">
            <w:pPr>
              <w:spacing w:after="0" w:line="240" w:lineRule="auto"/>
              <w:jc w:val="right"/>
              <w:rPr>
                <w:rFonts w:ascii="Tahoma" w:eastAsia="Times New Roman" w:hAnsi="Tahoma" w:cs="Tahoma"/>
                <w:sz w:val="18"/>
                <w:szCs w:val="18"/>
                <w:lang w:eastAsia="hr-HR"/>
              </w:rPr>
            </w:pPr>
            <w:r w:rsidRPr="00C779A5">
              <w:rPr>
                <w:rFonts w:ascii="Tahoma" w:eastAsia="Times New Roman" w:hAnsi="Tahoma" w:cs="Tahoma"/>
                <w:sz w:val="18"/>
                <w:szCs w:val="18"/>
                <w:lang w:eastAsia="hr-HR"/>
              </w:rPr>
              <w:t>0</w:t>
            </w:r>
          </w:p>
        </w:tc>
        <w:tc>
          <w:tcPr>
            <w:tcW w:w="467" w:type="dxa"/>
            <w:tcBorders>
              <w:top w:val="nil"/>
              <w:left w:val="nil"/>
              <w:bottom w:val="single" w:sz="4" w:space="0" w:color="auto"/>
              <w:right w:val="single" w:sz="4" w:space="0" w:color="auto"/>
            </w:tcBorders>
            <w:shd w:val="clear" w:color="000000" w:fill="CCFFFF"/>
            <w:noWrap/>
            <w:vAlign w:val="bottom"/>
            <w:hideMark/>
          </w:tcPr>
          <w:p w14:paraId="481DEC7C" w14:textId="77777777" w:rsidR="00C779A5" w:rsidRPr="00C779A5" w:rsidRDefault="00C779A5" w:rsidP="00C779A5">
            <w:pPr>
              <w:spacing w:after="0" w:line="240" w:lineRule="auto"/>
              <w:jc w:val="right"/>
              <w:rPr>
                <w:rFonts w:ascii="Tahoma" w:eastAsia="Times New Roman" w:hAnsi="Tahoma" w:cs="Tahoma"/>
                <w:sz w:val="18"/>
                <w:szCs w:val="18"/>
                <w:lang w:eastAsia="hr-HR"/>
              </w:rPr>
            </w:pPr>
            <w:r w:rsidRPr="00C779A5">
              <w:rPr>
                <w:rFonts w:ascii="Tahoma" w:eastAsia="Times New Roman" w:hAnsi="Tahoma" w:cs="Tahoma"/>
                <w:sz w:val="18"/>
                <w:szCs w:val="18"/>
                <w:lang w:eastAsia="hr-HR"/>
              </w:rPr>
              <w:t>0</w:t>
            </w:r>
          </w:p>
        </w:tc>
        <w:tc>
          <w:tcPr>
            <w:tcW w:w="467" w:type="dxa"/>
            <w:tcBorders>
              <w:top w:val="nil"/>
              <w:left w:val="nil"/>
              <w:bottom w:val="single" w:sz="4" w:space="0" w:color="auto"/>
              <w:right w:val="single" w:sz="4" w:space="0" w:color="auto"/>
            </w:tcBorders>
            <w:shd w:val="clear" w:color="000000" w:fill="CCFFFF"/>
            <w:noWrap/>
            <w:vAlign w:val="bottom"/>
            <w:hideMark/>
          </w:tcPr>
          <w:p w14:paraId="3F062DCF" w14:textId="77777777" w:rsidR="00C779A5" w:rsidRPr="00C779A5" w:rsidRDefault="00C779A5" w:rsidP="00C779A5">
            <w:pPr>
              <w:spacing w:after="0" w:line="240" w:lineRule="auto"/>
              <w:jc w:val="right"/>
              <w:rPr>
                <w:rFonts w:ascii="Tahoma" w:eastAsia="Times New Roman" w:hAnsi="Tahoma" w:cs="Tahoma"/>
                <w:sz w:val="18"/>
                <w:szCs w:val="18"/>
                <w:lang w:eastAsia="hr-HR"/>
              </w:rPr>
            </w:pPr>
            <w:r w:rsidRPr="00C779A5">
              <w:rPr>
                <w:rFonts w:ascii="Tahoma" w:eastAsia="Times New Roman" w:hAnsi="Tahoma" w:cs="Tahoma"/>
                <w:sz w:val="18"/>
                <w:szCs w:val="18"/>
                <w:lang w:eastAsia="hr-HR"/>
              </w:rPr>
              <w:t>0</w:t>
            </w:r>
          </w:p>
        </w:tc>
        <w:tc>
          <w:tcPr>
            <w:tcW w:w="478" w:type="dxa"/>
            <w:gridSpan w:val="2"/>
            <w:tcBorders>
              <w:top w:val="nil"/>
              <w:left w:val="nil"/>
              <w:bottom w:val="single" w:sz="4" w:space="0" w:color="auto"/>
              <w:right w:val="nil"/>
            </w:tcBorders>
            <w:shd w:val="clear" w:color="000000" w:fill="33CCCC"/>
            <w:noWrap/>
            <w:vAlign w:val="bottom"/>
            <w:hideMark/>
          </w:tcPr>
          <w:p w14:paraId="6B183317" w14:textId="77777777" w:rsidR="00C779A5" w:rsidRPr="00C779A5" w:rsidRDefault="00C779A5" w:rsidP="00C779A5">
            <w:pPr>
              <w:spacing w:after="0" w:line="240" w:lineRule="auto"/>
              <w:jc w:val="right"/>
              <w:rPr>
                <w:rFonts w:ascii="Tahoma" w:eastAsia="Times New Roman" w:hAnsi="Tahoma" w:cs="Tahoma"/>
                <w:sz w:val="18"/>
                <w:szCs w:val="18"/>
                <w:lang w:eastAsia="hr-HR"/>
              </w:rPr>
            </w:pPr>
            <w:r w:rsidRPr="00C779A5">
              <w:rPr>
                <w:rFonts w:ascii="Tahoma" w:eastAsia="Times New Roman" w:hAnsi="Tahoma" w:cs="Tahoma"/>
                <w:sz w:val="18"/>
                <w:szCs w:val="18"/>
                <w:lang w:eastAsia="hr-HR"/>
              </w:rPr>
              <w:t>0</w:t>
            </w:r>
          </w:p>
        </w:tc>
        <w:tc>
          <w:tcPr>
            <w:tcW w:w="876" w:type="dxa"/>
            <w:tcBorders>
              <w:top w:val="nil"/>
              <w:left w:val="single" w:sz="4" w:space="0" w:color="auto"/>
              <w:bottom w:val="single" w:sz="4" w:space="0" w:color="auto"/>
              <w:right w:val="single" w:sz="8" w:space="0" w:color="auto"/>
            </w:tcBorders>
            <w:shd w:val="clear" w:color="000000" w:fill="33CCCC"/>
            <w:noWrap/>
            <w:vAlign w:val="bottom"/>
            <w:hideMark/>
          </w:tcPr>
          <w:p w14:paraId="1A6CF1D8" w14:textId="77777777" w:rsidR="00C779A5" w:rsidRPr="00C779A5" w:rsidRDefault="00C779A5" w:rsidP="00C779A5">
            <w:pPr>
              <w:spacing w:after="0" w:line="240" w:lineRule="auto"/>
              <w:jc w:val="right"/>
              <w:rPr>
                <w:rFonts w:ascii="Tahoma" w:eastAsia="Times New Roman" w:hAnsi="Tahoma" w:cs="Tahoma"/>
                <w:sz w:val="18"/>
                <w:szCs w:val="18"/>
                <w:lang w:eastAsia="hr-HR"/>
              </w:rPr>
            </w:pPr>
            <w:r w:rsidRPr="00C779A5">
              <w:rPr>
                <w:rFonts w:ascii="Tahoma" w:eastAsia="Times New Roman" w:hAnsi="Tahoma" w:cs="Tahoma"/>
                <w:sz w:val="18"/>
                <w:szCs w:val="18"/>
                <w:lang w:eastAsia="hr-HR"/>
              </w:rPr>
              <w:t>0</w:t>
            </w:r>
          </w:p>
        </w:tc>
        <w:tc>
          <w:tcPr>
            <w:tcW w:w="236" w:type="dxa"/>
            <w:gridSpan w:val="3"/>
            <w:vAlign w:val="center"/>
            <w:hideMark/>
          </w:tcPr>
          <w:p w14:paraId="6086A1F1" w14:textId="77777777" w:rsidR="00C779A5" w:rsidRPr="00C779A5" w:rsidRDefault="00C779A5" w:rsidP="00C779A5">
            <w:pPr>
              <w:spacing w:after="0" w:line="240" w:lineRule="auto"/>
              <w:rPr>
                <w:rFonts w:ascii="Times New Roman" w:eastAsia="Times New Roman" w:hAnsi="Times New Roman" w:cs="Times New Roman"/>
                <w:sz w:val="18"/>
                <w:szCs w:val="18"/>
                <w:lang w:eastAsia="hr-HR"/>
              </w:rPr>
            </w:pPr>
          </w:p>
        </w:tc>
      </w:tr>
      <w:tr w:rsidR="00C779A5" w:rsidRPr="00C779A5" w14:paraId="26616E4C" w14:textId="77777777" w:rsidTr="00C779A5">
        <w:trPr>
          <w:gridAfter w:val="2"/>
          <w:wAfter w:w="149" w:type="dxa"/>
          <w:trHeight w:val="300"/>
        </w:trPr>
        <w:tc>
          <w:tcPr>
            <w:tcW w:w="1567" w:type="dxa"/>
            <w:tcBorders>
              <w:top w:val="single" w:sz="4" w:space="0" w:color="auto"/>
              <w:left w:val="single" w:sz="8" w:space="0" w:color="auto"/>
              <w:bottom w:val="single" w:sz="4" w:space="0" w:color="auto"/>
              <w:right w:val="single" w:sz="4" w:space="0" w:color="auto"/>
            </w:tcBorders>
            <w:shd w:val="clear" w:color="000000" w:fill="CCFFCC"/>
            <w:vAlign w:val="center"/>
            <w:hideMark/>
          </w:tcPr>
          <w:p w14:paraId="0E6E8E83" w14:textId="77777777" w:rsidR="00C779A5" w:rsidRPr="00C779A5" w:rsidRDefault="00C779A5" w:rsidP="00C779A5">
            <w:pPr>
              <w:spacing w:after="0" w:line="240" w:lineRule="auto"/>
              <w:rPr>
                <w:rFonts w:ascii="Tahoma" w:eastAsia="Times New Roman" w:hAnsi="Tahoma" w:cs="Tahoma"/>
                <w:sz w:val="18"/>
                <w:szCs w:val="18"/>
                <w:lang w:eastAsia="hr-HR"/>
              </w:rPr>
            </w:pPr>
            <w:r w:rsidRPr="00C779A5">
              <w:rPr>
                <w:rFonts w:ascii="Tahoma" w:eastAsia="Times New Roman" w:hAnsi="Tahoma" w:cs="Tahoma"/>
                <w:sz w:val="18"/>
                <w:szCs w:val="18"/>
                <w:lang w:eastAsia="hr-HR"/>
              </w:rPr>
              <w:t>Dob</w:t>
            </w:r>
          </w:p>
        </w:tc>
        <w:tc>
          <w:tcPr>
            <w:tcW w:w="557" w:type="dxa"/>
            <w:tcBorders>
              <w:top w:val="nil"/>
              <w:left w:val="nil"/>
              <w:bottom w:val="single" w:sz="4" w:space="0" w:color="auto"/>
              <w:right w:val="single" w:sz="4" w:space="0" w:color="auto"/>
            </w:tcBorders>
            <w:shd w:val="clear" w:color="000000" w:fill="FFCC99"/>
            <w:noWrap/>
            <w:vAlign w:val="bottom"/>
            <w:hideMark/>
          </w:tcPr>
          <w:p w14:paraId="425DEE70" w14:textId="77777777" w:rsidR="00C779A5" w:rsidRPr="00C779A5" w:rsidRDefault="00C779A5" w:rsidP="00C779A5">
            <w:pPr>
              <w:spacing w:after="0" w:line="240" w:lineRule="auto"/>
              <w:jc w:val="center"/>
              <w:rPr>
                <w:rFonts w:ascii="Tahoma" w:eastAsia="Times New Roman" w:hAnsi="Tahoma" w:cs="Tahoma"/>
                <w:sz w:val="18"/>
                <w:szCs w:val="18"/>
                <w:lang w:eastAsia="hr-HR"/>
              </w:rPr>
            </w:pPr>
            <w:r w:rsidRPr="00C779A5">
              <w:rPr>
                <w:rFonts w:ascii="Tahoma" w:eastAsia="Times New Roman" w:hAnsi="Tahoma" w:cs="Tahoma"/>
                <w:sz w:val="18"/>
                <w:szCs w:val="18"/>
                <w:lang w:eastAsia="hr-HR"/>
              </w:rPr>
              <w:t>9</w:t>
            </w:r>
          </w:p>
        </w:tc>
        <w:tc>
          <w:tcPr>
            <w:tcW w:w="444" w:type="dxa"/>
            <w:tcBorders>
              <w:top w:val="nil"/>
              <w:left w:val="nil"/>
              <w:bottom w:val="single" w:sz="4" w:space="0" w:color="auto"/>
              <w:right w:val="single" w:sz="4" w:space="0" w:color="auto"/>
            </w:tcBorders>
            <w:shd w:val="clear" w:color="000000" w:fill="FFFF00"/>
            <w:noWrap/>
            <w:vAlign w:val="bottom"/>
            <w:hideMark/>
          </w:tcPr>
          <w:p w14:paraId="28911708" w14:textId="77777777" w:rsidR="00C779A5" w:rsidRPr="00C779A5" w:rsidRDefault="00C779A5" w:rsidP="00C779A5">
            <w:pPr>
              <w:spacing w:after="0" w:line="240" w:lineRule="auto"/>
              <w:jc w:val="center"/>
              <w:rPr>
                <w:rFonts w:ascii="Tahoma" w:eastAsia="Times New Roman" w:hAnsi="Tahoma" w:cs="Tahoma"/>
                <w:sz w:val="18"/>
                <w:szCs w:val="18"/>
                <w:lang w:eastAsia="hr-HR"/>
              </w:rPr>
            </w:pPr>
            <w:r w:rsidRPr="00C779A5">
              <w:rPr>
                <w:rFonts w:ascii="Tahoma" w:eastAsia="Times New Roman" w:hAnsi="Tahoma" w:cs="Tahoma"/>
                <w:sz w:val="18"/>
                <w:szCs w:val="18"/>
                <w:lang w:eastAsia="hr-HR"/>
              </w:rPr>
              <w:t>6</w:t>
            </w:r>
          </w:p>
        </w:tc>
        <w:tc>
          <w:tcPr>
            <w:tcW w:w="399" w:type="dxa"/>
            <w:tcBorders>
              <w:top w:val="nil"/>
              <w:left w:val="nil"/>
              <w:bottom w:val="single" w:sz="4" w:space="0" w:color="auto"/>
              <w:right w:val="single" w:sz="4" w:space="0" w:color="auto"/>
            </w:tcBorders>
            <w:shd w:val="clear" w:color="000000" w:fill="CCFFFF"/>
            <w:noWrap/>
            <w:vAlign w:val="bottom"/>
            <w:hideMark/>
          </w:tcPr>
          <w:p w14:paraId="612D474D" w14:textId="77777777" w:rsidR="00C779A5" w:rsidRPr="00C779A5" w:rsidRDefault="00C779A5" w:rsidP="00C779A5">
            <w:pPr>
              <w:spacing w:after="0" w:line="240" w:lineRule="auto"/>
              <w:jc w:val="right"/>
              <w:rPr>
                <w:rFonts w:ascii="Tahoma" w:eastAsia="Times New Roman" w:hAnsi="Tahoma" w:cs="Tahoma"/>
                <w:sz w:val="18"/>
                <w:szCs w:val="18"/>
                <w:lang w:eastAsia="hr-HR"/>
              </w:rPr>
            </w:pPr>
            <w:r w:rsidRPr="00C779A5">
              <w:rPr>
                <w:rFonts w:ascii="Tahoma" w:eastAsia="Times New Roman" w:hAnsi="Tahoma" w:cs="Tahoma"/>
                <w:sz w:val="18"/>
                <w:szCs w:val="18"/>
                <w:lang w:eastAsia="hr-HR"/>
              </w:rPr>
              <w:t>1</w:t>
            </w:r>
          </w:p>
        </w:tc>
        <w:tc>
          <w:tcPr>
            <w:tcW w:w="425" w:type="dxa"/>
            <w:tcBorders>
              <w:top w:val="nil"/>
              <w:left w:val="nil"/>
              <w:bottom w:val="single" w:sz="4" w:space="0" w:color="auto"/>
              <w:right w:val="single" w:sz="4" w:space="0" w:color="auto"/>
            </w:tcBorders>
            <w:shd w:val="clear" w:color="000000" w:fill="CCFFFF"/>
            <w:noWrap/>
            <w:vAlign w:val="bottom"/>
            <w:hideMark/>
          </w:tcPr>
          <w:p w14:paraId="2115340F" w14:textId="77777777" w:rsidR="00C779A5" w:rsidRPr="00C779A5" w:rsidRDefault="00C779A5" w:rsidP="00C779A5">
            <w:pPr>
              <w:spacing w:after="0" w:line="240" w:lineRule="auto"/>
              <w:jc w:val="right"/>
              <w:rPr>
                <w:rFonts w:ascii="Tahoma" w:eastAsia="Times New Roman" w:hAnsi="Tahoma" w:cs="Tahoma"/>
                <w:sz w:val="18"/>
                <w:szCs w:val="18"/>
                <w:lang w:eastAsia="hr-HR"/>
              </w:rPr>
            </w:pPr>
            <w:r w:rsidRPr="00C779A5">
              <w:rPr>
                <w:rFonts w:ascii="Tahoma" w:eastAsia="Times New Roman" w:hAnsi="Tahoma" w:cs="Tahoma"/>
                <w:sz w:val="18"/>
                <w:szCs w:val="18"/>
                <w:lang w:eastAsia="hr-HR"/>
              </w:rPr>
              <w:t>5</w:t>
            </w:r>
          </w:p>
        </w:tc>
        <w:tc>
          <w:tcPr>
            <w:tcW w:w="574" w:type="dxa"/>
            <w:tcBorders>
              <w:top w:val="nil"/>
              <w:left w:val="nil"/>
              <w:bottom w:val="single" w:sz="4" w:space="0" w:color="auto"/>
              <w:right w:val="single" w:sz="4" w:space="0" w:color="auto"/>
            </w:tcBorders>
            <w:shd w:val="clear" w:color="000000" w:fill="FFFF99"/>
            <w:noWrap/>
            <w:vAlign w:val="bottom"/>
            <w:hideMark/>
          </w:tcPr>
          <w:p w14:paraId="457AEA2E" w14:textId="77777777" w:rsidR="00C779A5" w:rsidRPr="00C779A5" w:rsidRDefault="00C779A5" w:rsidP="00C779A5">
            <w:pPr>
              <w:spacing w:after="0" w:line="240" w:lineRule="auto"/>
              <w:jc w:val="center"/>
              <w:rPr>
                <w:rFonts w:ascii="Tahoma" w:eastAsia="Times New Roman" w:hAnsi="Tahoma" w:cs="Tahoma"/>
                <w:sz w:val="18"/>
                <w:szCs w:val="18"/>
                <w:lang w:eastAsia="hr-HR"/>
              </w:rPr>
            </w:pPr>
            <w:r w:rsidRPr="00C779A5">
              <w:rPr>
                <w:rFonts w:ascii="Tahoma" w:eastAsia="Times New Roman" w:hAnsi="Tahoma" w:cs="Tahoma"/>
                <w:sz w:val="18"/>
                <w:szCs w:val="18"/>
                <w:lang w:eastAsia="hr-HR"/>
              </w:rPr>
              <w:t>4</w:t>
            </w:r>
          </w:p>
        </w:tc>
        <w:tc>
          <w:tcPr>
            <w:tcW w:w="706" w:type="dxa"/>
            <w:tcBorders>
              <w:top w:val="nil"/>
              <w:left w:val="nil"/>
              <w:bottom w:val="single" w:sz="4" w:space="0" w:color="auto"/>
              <w:right w:val="single" w:sz="4" w:space="0" w:color="auto"/>
            </w:tcBorders>
            <w:shd w:val="clear" w:color="000000" w:fill="FFFF99"/>
            <w:noWrap/>
            <w:vAlign w:val="bottom"/>
            <w:hideMark/>
          </w:tcPr>
          <w:p w14:paraId="1776D289" w14:textId="77777777" w:rsidR="00C779A5" w:rsidRPr="00C779A5" w:rsidRDefault="00C779A5" w:rsidP="00C779A5">
            <w:pPr>
              <w:spacing w:after="0" w:line="240" w:lineRule="auto"/>
              <w:jc w:val="center"/>
              <w:rPr>
                <w:rFonts w:ascii="Tahoma" w:eastAsia="Times New Roman" w:hAnsi="Tahoma" w:cs="Tahoma"/>
                <w:sz w:val="18"/>
                <w:szCs w:val="18"/>
                <w:lang w:eastAsia="hr-HR"/>
              </w:rPr>
            </w:pPr>
            <w:r w:rsidRPr="00C779A5">
              <w:rPr>
                <w:rFonts w:ascii="Tahoma" w:eastAsia="Times New Roman" w:hAnsi="Tahoma" w:cs="Tahoma"/>
                <w:sz w:val="18"/>
                <w:szCs w:val="18"/>
                <w:lang w:eastAsia="hr-HR"/>
              </w:rPr>
              <w:t>0</w:t>
            </w:r>
          </w:p>
        </w:tc>
        <w:tc>
          <w:tcPr>
            <w:tcW w:w="565" w:type="dxa"/>
            <w:tcBorders>
              <w:top w:val="nil"/>
              <w:left w:val="nil"/>
              <w:bottom w:val="single" w:sz="4" w:space="0" w:color="auto"/>
              <w:right w:val="single" w:sz="4" w:space="0" w:color="auto"/>
            </w:tcBorders>
            <w:shd w:val="clear" w:color="000000" w:fill="FFFF99"/>
            <w:noWrap/>
            <w:vAlign w:val="bottom"/>
            <w:hideMark/>
          </w:tcPr>
          <w:p w14:paraId="447793DB" w14:textId="77777777" w:rsidR="00C779A5" w:rsidRPr="00C779A5" w:rsidRDefault="00C779A5" w:rsidP="00C779A5">
            <w:pPr>
              <w:spacing w:after="0" w:line="240" w:lineRule="auto"/>
              <w:jc w:val="center"/>
              <w:rPr>
                <w:rFonts w:ascii="Tahoma" w:eastAsia="Times New Roman" w:hAnsi="Tahoma" w:cs="Tahoma"/>
                <w:sz w:val="18"/>
                <w:szCs w:val="18"/>
                <w:lang w:eastAsia="hr-HR"/>
              </w:rPr>
            </w:pPr>
            <w:r w:rsidRPr="00C779A5">
              <w:rPr>
                <w:rFonts w:ascii="Tahoma" w:eastAsia="Times New Roman" w:hAnsi="Tahoma" w:cs="Tahoma"/>
                <w:sz w:val="18"/>
                <w:szCs w:val="18"/>
                <w:lang w:eastAsia="hr-HR"/>
              </w:rPr>
              <w:t>3</w:t>
            </w:r>
          </w:p>
        </w:tc>
        <w:tc>
          <w:tcPr>
            <w:tcW w:w="565" w:type="dxa"/>
            <w:tcBorders>
              <w:top w:val="nil"/>
              <w:left w:val="nil"/>
              <w:bottom w:val="single" w:sz="4" w:space="0" w:color="auto"/>
              <w:right w:val="single" w:sz="4" w:space="0" w:color="auto"/>
            </w:tcBorders>
            <w:shd w:val="clear" w:color="000000" w:fill="FFFF99"/>
            <w:noWrap/>
            <w:vAlign w:val="bottom"/>
            <w:hideMark/>
          </w:tcPr>
          <w:p w14:paraId="3A701A57" w14:textId="77777777" w:rsidR="00C779A5" w:rsidRPr="00C779A5" w:rsidRDefault="00C779A5" w:rsidP="00C779A5">
            <w:pPr>
              <w:spacing w:after="0" w:line="240" w:lineRule="auto"/>
              <w:jc w:val="center"/>
              <w:rPr>
                <w:rFonts w:ascii="Tahoma" w:eastAsia="Times New Roman" w:hAnsi="Tahoma" w:cs="Tahoma"/>
                <w:sz w:val="18"/>
                <w:szCs w:val="18"/>
                <w:lang w:eastAsia="hr-HR"/>
              </w:rPr>
            </w:pPr>
            <w:r w:rsidRPr="00C779A5">
              <w:rPr>
                <w:rFonts w:ascii="Tahoma" w:eastAsia="Times New Roman" w:hAnsi="Tahoma" w:cs="Tahoma"/>
                <w:sz w:val="18"/>
                <w:szCs w:val="18"/>
                <w:lang w:eastAsia="hr-HR"/>
              </w:rPr>
              <w:t>0</w:t>
            </w:r>
          </w:p>
        </w:tc>
        <w:tc>
          <w:tcPr>
            <w:tcW w:w="467" w:type="dxa"/>
            <w:tcBorders>
              <w:top w:val="nil"/>
              <w:left w:val="nil"/>
              <w:bottom w:val="single" w:sz="4" w:space="0" w:color="auto"/>
              <w:right w:val="single" w:sz="4" w:space="0" w:color="auto"/>
            </w:tcBorders>
            <w:shd w:val="clear" w:color="000000" w:fill="FFFF99"/>
            <w:noWrap/>
            <w:vAlign w:val="bottom"/>
            <w:hideMark/>
          </w:tcPr>
          <w:p w14:paraId="79AF5704" w14:textId="77777777" w:rsidR="00C779A5" w:rsidRPr="00C779A5" w:rsidRDefault="00C779A5" w:rsidP="00C779A5">
            <w:pPr>
              <w:spacing w:after="0" w:line="240" w:lineRule="auto"/>
              <w:jc w:val="center"/>
              <w:rPr>
                <w:rFonts w:ascii="Tahoma" w:eastAsia="Times New Roman" w:hAnsi="Tahoma" w:cs="Tahoma"/>
                <w:sz w:val="18"/>
                <w:szCs w:val="18"/>
                <w:lang w:eastAsia="hr-HR"/>
              </w:rPr>
            </w:pPr>
            <w:r w:rsidRPr="00C779A5">
              <w:rPr>
                <w:rFonts w:ascii="Tahoma" w:eastAsia="Times New Roman" w:hAnsi="Tahoma" w:cs="Tahoma"/>
                <w:sz w:val="18"/>
                <w:szCs w:val="18"/>
                <w:lang w:eastAsia="hr-HR"/>
              </w:rPr>
              <w:t>0</w:t>
            </w:r>
          </w:p>
        </w:tc>
        <w:tc>
          <w:tcPr>
            <w:tcW w:w="805" w:type="dxa"/>
            <w:tcBorders>
              <w:top w:val="nil"/>
              <w:left w:val="nil"/>
              <w:bottom w:val="single" w:sz="4" w:space="0" w:color="auto"/>
              <w:right w:val="single" w:sz="4" w:space="0" w:color="auto"/>
            </w:tcBorders>
            <w:shd w:val="clear" w:color="000000" w:fill="FFFF99"/>
            <w:noWrap/>
            <w:vAlign w:val="bottom"/>
            <w:hideMark/>
          </w:tcPr>
          <w:p w14:paraId="56AA255E" w14:textId="77777777" w:rsidR="00C779A5" w:rsidRPr="00C779A5" w:rsidRDefault="00C779A5" w:rsidP="00C779A5">
            <w:pPr>
              <w:spacing w:after="0" w:line="240" w:lineRule="auto"/>
              <w:jc w:val="center"/>
              <w:rPr>
                <w:rFonts w:ascii="Tahoma" w:eastAsia="Times New Roman" w:hAnsi="Tahoma" w:cs="Tahoma"/>
                <w:sz w:val="18"/>
                <w:szCs w:val="18"/>
                <w:lang w:eastAsia="hr-HR"/>
              </w:rPr>
            </w:pPr>
            <w:r w:rsidRPr="00C779A5">
              <w:rPr>
                <w:rFonts w:ascii="Tahoma" w:eastAsia="Times New Roman" w:hAnsi="Tahoma" w:cs="Tahoma"/>
                <w:sz w:val="18"/>
                <w:szCs w:val="18"/>
                <w:lang w:eastAsia="hr-HR"/>
              </w:rPr>
              <w:t>1</w:t>
            </w:r>
          </w:p>
        </w:tc>
        <w:tc>
          <w:tcPr>
            <w:tcW w:w="467" w:type="dxa"/>
            <w:gridSpan w:val="2"/>
            <w:tcBorders>
              <w:top w:val="nil"/>
              <w:left w:val="nil"/>
              <w:bottom w:val="single" w:sz="4" w:space="0" w:color="auto"/>
              <w:right w:val="single" w:sz="4" w:space="0" w:color="auto"/>
            </w:tcBorders>
            <w:shd w:val="clear" w:color="000000" w:fill="FF9900"/>
            <w:noWrap/>
            <w:vAlign w:val="bottom"/>
            <w:hideMark/>
          </w:tcPr>
          <w:p w14:paraId="58687D29" w14:textId="77777777" w:rsidR="00C779A5" w:rsidRPr="00C779A5" w:rsidRDefault="00C779A5" w:rsidP="00C779A5">
            <w:pPr>
              <w:spacing w:after="0" w:line="240" w:lineRule="auto"/>
              <w:jc w:val="right"/>
              <w:rPr>
                <w:rFonts w:ascii="Tahoma" w:eastAsia="Times New Roman" w:hAnsi="Tahoma" w:cs="Tahoma"/>
                <w:sz w:val="18"/>
                <w:szCs w:val="18"/>
                <w:lang w:eastAsia="hr-HR"/>
              </w:rPr>
            </w:pPr>
            <w:r w:rsidRPr="00C779A5">
              <w:rPr>
                <w:rFonts w:ascii="Tahoma" w:eastAsia="Times New Roman" w:hAnsi="Tahoma" w:cs="Tahoma"/>
                <w:sz w:val="18"/>
                <w:szCs w:val="18"/>
                <w:lang w:eastAsia="hr-HR"/>
              </w:rPr>
              <w:t>1</w:t>
            </w:r>
          </w:p>
        </w:tc>
        <w:tc>
          <w:tcPr>
            <w:tcW w:w="522" w:type="dxa"/>
            <w:tcBorders>
              <w:top w:val="nil"/>
              <w:left w:val="nil"/>
              <w:bottom w:val="single" w:sz="4" w:space="0" w:color="auto"/>
              <w:right w:val="single" w:sz="4" w:space="0" w:color="auto"/>
            </w:tcBorders>
            <w:shd w:val="clear" w:color="000000" w:fill="FF9900"/>
            <w:noWrap/>
            <w:vAlign w:val="bottom"/>
            <w:hideMark/>
          </w:tcPr>
          <w:p w14:paraId="3B966AF5" w14:textId="77777777" w:rsidR="00C779A5" w:rsidRPr="00C779A5" w:rsidRDefault="00C779A5" w:rsidP="00C779A5">
            <w:pPr>
              <w:spacing w:after="0" w:line="240" w:lineRule="auto"/>
              <w:jc w:val="right"/>
              <w:rPr>
                <w:rFonts w:ascii="Tahoma" w:eastAsia="Times New Roman" w:hAnsi="Tahoma" w:cs="Tahoma"/>
                <w:sz w:val="18"/>
                <w:szCs w:val="18"/>
                <w:lang w:eastAsia="hr-HR"/>
              </w:rPr>
            </w:pPr>
            <w:r w:rsidRPr="00C779A5">
              <w:rPr>
                <w:rFonts w:ascii="Tahoma" w:eastAsia="Times New Roman" w:hAnsi="Tahoma" w:cs="Tahoma"/>
                <w:sz w:val="18"/>
                <w:szCs w:val="18"/>
                <w:lang w:eastAsia="hr-HR"/>
              </w:rPr>
              <w:t>3</w:t>
            </w:r>
          </w:p>
        </w:tc>
        <w:tc>
          <w:tcPr>
            <w:tcW w:w="467" w:type="dxa"/>
            <w:tcBorders>
              <w:top w:val="nil"/>
              <w:left w:val="nil"/>
              <w:bottom w:val="single" w:sz="4" w:space="0" w:color="auto"/>
              <w:right w:val="single" w:sz="4" w:space="0" w:color="auto"/>
            </w:tcBorders>
            <w:shd w:val="clear" w:color="000000" w:fill="FF9900"/>
            <w:noWrap/>
            <w:vAlign w:val="bottom"/>
            <w:hideMark/>
          </w:tcPr>
          <w:p w14:paraId="14920369" w14:textId="77777777" w:rsidR="00C779A5" w:rsidRPr="00C779A5" w:rsidRDefault="00C779A5" w:rsidP="00C779A5">
            <w:pPr>
              <w:spacing w:after="0" w:line="240" w:lineRule="auto"/>
              <w:jc w:val="right"/>
              <w:rPr>
                <w:rFonts w:ascii="Tahoma" w:eastAsia="Times New Roman" w:hAnsi="Tahoma" w:cs="Tahoma"/>
                <w:sz w:val="18"/>
                <w:szCs w:val="18"/>
                <w:lang w:eastAsia="hr-HR"/>
              </w:rPr>
            </w:pPr>
            <w:r w:rsidRPr="00C779A5">
              <w:rPr>
                <w:rFonts w:ascii="Tahoma" w:eastAsia="Times New Roman" w:hAnsi="Tahoma" w:cs="Tahoma"/>
                <w:sz w:val="18"/>
                <w:szCs w:val="18"/>
                <w:lang w:eastAsia="hr-HR"/>
              </w:rPr>
              <w:t>0</w:t>
            </w:r>
          </w:p>
        </w:tc>
        <w:tc>
          <w:tcPr>
            <w:tcW w:w="467" w:type="dxa"/>
            <w:tcBorders>
              <w:top w:val="nil"/>
              <w:left w:val="nil"/>
              <w:bottom w:val="single" w:sz="4" w:space="0" w:color="auto"/>
              <w:right w:val="single" w:sz="4" w:space="0" w:color="auto"/>
            </w:tcBorders>
            <w:shd w:val="clear" w:color="000000" w:fill="FFFF00"/>
            <w:vAlign w:val="center"/>
            <w:hideMark/>
          </w:tcPr>
          <w:p w14:paraId="409994C8" w14:textId="77777777" w:rsidR="00C779A5" w:rsidRPr="00C779A5" w:rsidRDefault="00C779A5" w:rsidP="00C779A5">
            <w:pPr>
              <w:spacing w:after="0" w:line="240" w:lineRule="auto"/>
              <w:jc w:val="center"/>
              <w:rPr>
                <w:rFonts w:ascii="Tahoma" w:eastAsia="Times New Roman" w:hAnsi="Tahoma" w:cs="Tahoma"/>
                <w:sz w:val="18"/>
                <w:szCs w:val="18"/>
                <w:lang w:eastAsia="hr-HR"/>
              </w:rPr>
            </w:pPr>
            <w:r w:rsidRPr="00C779A5">
              <w:rPr>
                <w:rFonts w:ascii="Tahoma" w:eastAsia="Times New Roman" w:hAnsi="Tahoma" w:cs="Tahoma"/>
                <w:sz w:val="18"/>
                <w:szCs w:val="18"/>
                <w:lang w:eastAsia="hr-HR"/>
              </w:rPr>
              <w:t>4</w:t>
            </w:r>
          </w:p>
        </w:tc>
        <w:tc>
          <w:tcPr>
            <w:tcW w:w="877" w:type="dxa"/>
            <w:gridSpan w:val="2"/>
            <w:tcBorders>
              <w:top w:val="nil"/>
              <w:left w:val="nil"/>
              <w:bottom w:val="single" w:sz="4" w:space="0" w:color="auto"/>
              <w:right w:val="single" w:sz="4" w:space="0" w:color="auto"/>
            </w:tcBorders>
            <w:shd w:val="clear" w:color="000000" w:fill="FF9900"/>
            <w:vAlign w:val="center"/>
            <w:hideMark/>
          </w:tcPr>
          <w:p w14:paraId="5EED9AFD" w14:textId="77777777" w:rsidR="00C779A5" w:rsidRPr="00C779A5" w:rsidRDefault="00C779A5" w:rsidP="00C779A5">
            <w:pPr>
              <w:spacing w:after="0" w:line="240" w:lineRule="auto"/>
              <w:jc w:val="center"/>
              <w:rPr>
                <w:rFonts w:ascii="Tahoma" w:eastAsia="Times New Roman" w:hAnsi="Tahoma" w:cs="Tahoma"/>
                <w:sz w:val="18"/>
                <w:szCs w:val="18"/>
                <w:lang w:eastAsia="hr-HR"/>
              </w:rPr>
            </w:pPr>
            <w:r w:rsidRPr="00C779A5">
              <w:rPr>
                <w:rFonts w:ascii="Tahoma" w:eastAsia="Times New Roman" w:hAnsi="Tahoma" w:cs="Tahoma"/>
                <w:sz w:val="18"/>
                <w:szCs w:val="18"/>
                <w:lang w:eastAsia="hr-HR"/>
              </w:rPr>
              <w:t>11</w:t>
            </w:r>
          </w:p>
        </w:tc>
        <w:tc>
          <w:tcPr>
            <w:tcW w:w="576" w:type="dxa"/>
            <w:gridSpan w:val="2"/>
            <w:tcBorders>
              <w:top w:val="nil"/>
              <w:left w:val="nil"/>
              <w:bottom w:val="single" w:sz="4" w:space="0" w:color="auto"/>
              <w:right w:val="single" w:sz="4" w:space="0" w:color="auto"/>
            </w:tcBorders>
            <w:shd w:val="clear" w:color="000000" w:fill="FF9900"/>
            <w:noWrap/>
            <w:vAlign w:val="center"/>
            <w:hideMark/>
          </w:tcPr>
          <w:p w14:paraId="5C5FD00C" w14:textId="77777777" w:rsidR="00C779A5" w:rsidRPr="00C779A5" w:rsidRDefault="00C779A5" w:rsidP="00C779A5">
            <w:pPr>
              <w:spacing w:after="0" w:line="240" w:lineRule="auto"/>
              <w:jc w:val="center"/>
              <w:rPr>
                <w:rFonts w:ascii="Tahoma" w:eastAsia="Times New Roman" w:hAnsi="Tahoma" w:cs="Tahoma"/>
                <w:sz w:val="18"/>
                <w:szCs w:val="18"/>
                <w:lang w:eastAsia="hr-HR"/>
              </w:rPr>
            </w:pPr>
            <w:r w:rsidRPr="00C779A5">
              <w:rPr>
                <w:rFonts w:ascii="Tahoma" w:eastAsia="Times New Roman" w:hAnsi="Tahoma" w:cs="Tahoma"/>
                <w:sz w:val="18"/>
                <w:szCs w:val="18"/>
                <w:lang w:eastAsia="hr-HR"/>
              </w:rPr>
              <w:t>2</w:t>
            </w:r>
          </w:p>
        </w:tc>
        <w:tc>
          <w:tcPr>
            <w:tcW w:w="440" w:type="dxa"/>
            <w:tcBorders>
              <w:top w:val="nil"/>
              <w:left w:val="nil"/>
              <w:bottom w:val="single" w:sz="4" w:space="0" w:color="auto"/>
              <w:right w:val="single" w:sz="4" w:space="0" w:color="auto"/>
            </w:tcBorders>
            <w:shd w:val="clear" w:color="000000" w:fill="FF9900"/>
            <w:noWrap/>
            <w:vAlign w:val="center"/>
            <w:hideMark/>
          </w:tcPr>
          <w:p w14:paraId="62BD4B07" w14:textId="77777777" w:rsidR="00C779A5" w:rsidRPr="00C779A5" w:rsidRDefault="00C779A5" w:rsidP="00C779A5">
            <w:pPr>
              <w:spacing w:after="0" w:line="240" w:lineRule="auto"/>
              <w:jc w:val="center"/>
              <w:rPr>
                <w:rFonts w:ascii="Tahoma" w:eastAsia="Times New Roman" w:hAnsi="Tahoma" w:cs="Tahoma"/>
                <w:sz w:val="18"/>
                <w:szCs w:val="18"/>
                <w:lang w:eastAsia="hr-HR"/>
              </w:rPr>
            </w:pPr>
            <w:r w:rsidRPr="00C779A5">
              <w:rPr>
                <w:rFonts w:ascii="Tahoma" w:eastAsia="Times New Roman" w:hAnsi="Tahoma" w:cs="Tahoma"/>
                <w:sz w:val="18"/>
                <w:szCs w:val="18"/>
                <w:lang w:eastAsia="hr-HR"/>
              </w:rPr>
              <w:t>1</w:t>
            </w:r>
          </w:p>
        </w:tc>
        <w:tc>
          <w:tcPr>
            <w:tcW w:w="793" w:type="dxa"/>
            <w:tcBorders>
              <w:top w:val="nil"/>
              <w:left w:val="nil"/>
              <w:bottom w:val="single" w:sz="4" w:space="0" w:color="auto"/>
              <w:right w:val="single" w:sz="4" w:space="0" w:color="auto"/>
            </w:tcBorders>
            <w:shd w:val="clear" w:color="000000" w:fill="FF9900"/>
            <w:noWrap/>
            <w:vAlign w:val="center"/>
            <w:hideMark/>
          </w:tcPr>
          <w:p w14:paraId="12F43040" w14:textId="77777777" w:rsidR="00C779A5" w:rsidRPr="00C779A5" w:rsidRDefault="00C779A5" w:rsidP="00C779A5">
            <w:pPr>
              <w:spacing w:after="0" w:line="240" w:lineRule="auto"/>
              <w:jc w:val="center"/>
              <w:rPr>
                <w:rFonts w:ascii="Tahoma" w:eastAsia="Times New Roman" w:hAnsi="Tahoma" w:cs="Tahoma"/>
                <w:sz w:val="18"/>
                <w:szCs w:val="18"/>
                <w:lang w:eastAsia="hr-HR"/>
              </w:rPr>
            </w:pPr>
            <w:r w:rsidRPr="00C779A5">
              <w:rPr>
                <w:rFonts w:ascii="Tahoma" w:eastAsia="Times New Roman" w:hAnsi="Tahoma" w:cs="Tahoma"/>
                <w:sz w:val="18"/>
                <w:szCs w:val="18"/>
                <w:lang w:eastAsia="hr-HR"/>
              </w:rPr>
              <w:t>3</w:t>
            </w:r>
          </w:p>
        </w:tc>
        <w:tc>
          <w:tcPr>
            <w:tcW w:w="645" w:type="dxa"/>
            <w:gridSpan w:val="2"/>
            <w:tcBorders>
              <w:top w:val="nil"/>
              <w:left w:val="nil"/>
              <w:bottom w:val="single" w:sz="4" w:space="0" w:color="auto"/>
              <w:right w:val="single" w:sz="4" w:space="0" w:color="auto"/>
            </w:tcBorders>
            <w:shd w:val="clear" w:color="000000" w:fill="CCFFFF"/>
            <w:noWrap/>
            <w:vAlign w:val="bottom"/>
            <w:hideMark/>
          </w:tcPr>
          <w:p w14:paraId="3CEBBF86" w14:textId="77777777" w:rsidR="00C779A5" w:rsidRPr="00C779A5" w:rsidRDefault="00C779A5" w:rsidP="00C779A5">
            <w:pPr>
              <w:spacing w:after="0" w:line="240" w:lineRule="auto"/>
              <w:jc w:val="right"/>
              <w:rPr>
                <w:rFonts w:ascii="Tahoma" w:eastAsia="Times New Roman" w:hAnsi="Tahoma" w:cs="Tahoma"/>
                <w:sz w:val="18"/>
                <w:szCs w:val="18"/>
                <w:lang w:eastAsia="hr-HR"/>
              </w:rPr>
            </w:pPr>
            <w:r w:rsidRPr="00C779A5">
              <w:rPr>
                <w:rFonts w:ascii="Tahoma" w:eastAsia="Times New Roman" w:hAnsi="Tahoma" w:cs="Tahoma"/>
                <w:sz w:val="18"/>
                <w:szCs w:val="18"/>
                <w:lang w:eastAsia="hr-HR"/>
              </w:rPr>
              <w:t>1</w:t>
            </w:r>
          </w:p>
        </w:tc>
        <w:tc>
          <w:tcPr>
            <w:tcW w:w="467" w:type="dxa"/>
            <w:tcBorders>
              <w:top w:val="nil"/>
              <w:left w:val="nil"/>
              <w:bottom w:val="single" w:sz="4" w:space="0" w:color="auto"/>
              <w:right w:val="single" w:sz="4" w:space="0" w:color="auto"/>
            </w:tcBorders>
            <w:shd w:val="clear" w:color="000000" w:fill="CCFFFF"/>
            <w:noWrap/>
            <w:vAlign w:val="bottom"/>
            <w:hideMark/>
          </w:tcPr>
          <w:p w14:paraId="3B1F3AF7" w14:textId="77777777" w:rsidR="00C779A5" w:rsidRPr="00C779A5" w:rsidRDefault="00C779A5" w:rsidP="00C779A5">
            <w:pPr>
              <w:spacing w:after="0" w:line="240" w:lineRule="auto"/>
              <w:jc w:val="right"/>
              <w:rPr>
                <w:rFonts w:ascii="Tahoma" w:eastAsia="Times New Roman" w:hAnsi="Tahoma" w:cs="Tahoma"/>
                <w:sz w:val="18"/>
                <w:szCs w:val="18"/>
                <w:lang w:eastAsia="hr-HR"/>
              </w:rPr>
            </w:pPr>
            <w:r w:rsidRPr="00C779A5">
              <w:rPr>
                <w:rFonts w:ascii="Tahoma" w:eastAsia="Times New Roman" w:hAnsi="Tahoma" w:cs="Tahoma"/>
                <w:sz w:val="18"/>
                <w:szCs w:val="18"/>
                <w:lang w:eastAsia="hr-HR"/>
              </w:rPr>
              <w:t>0</w:t>
            </w:r>
          </w:p>
        </w:tc>
        <w:tc>
          <w:tcPr>
            <w:tcW w:w="467" w:type="dxa"/>
            <w:tcBorders>
              <w:top w:val="nil"/>
              <w:left w:val="nil"/>
              <w:bottom w:val="single" w:sz="4" w:space="0" w:color="auto"/>
              <w:right w:val="single" w:sz="4" w:space="0" w:color="auto"/>
            </w:tcBorders>
            <w:shd w:val="clear" w:color="000000" w:fill="CCFFFF"/>
            <w:noWrap/>
            <w:vAlign w:val="bottom"/>
            <w:hideMark/>
          </w:tcPr>
          <w:p w14:paraId="3825F3EB" w14:textId="77777777" w:rsidR="00C779A5" w:rsidRPr="00C779A5" w:rsidRDefault="00C779A5" w:rsidP="00C779A5">
            <w:pPr>
              <w:spacing w:after="0" w:line="240" w:lineRule="auto"/>
              <w:jc w:val="right"/>
              <w:rPr>
                <w:rFonts w:ascii="Tahoma" w:eastAsia="Times New Roman" w:hAnsi="Tahoma" w:cs="Tahoma"/>
                <w:sz w:val="18"/>
                <w:szCs w:val="18"/>
                <w:lang w:eastAsia="hr-HR"/>
              </w:rPr>
            </w:pPr>
            <w:r w:rsidRPr="00C779A5">
              <w:rPr>
                <w:rFonts w:ascii="Tahoma" w:eastAsia="Times New Roman" w:hAnsi="Tahoma" w:cs="Tahoma"/>
                <w:sz w:val="18"/>
                <w:szCs w:val="18"/>
                <w:lang w:eastAsia="hr-HR"/>
              </w:rPr>
              <w:t>0</w:t>
            </w:r>
          </w:p>
        </w:tc>
        <w:tc>
          <w:tcPr>
            <w:tcW w:w="478" w:type="dxa"/>
            <w:gridSpan w:val="2"/>
            <w:tcBorders>
              <w:top w:val="nil"/>
              <w:left w:val="nil"/>
              <w:bottom w:val="single" w:sz="4" w:space="0" w:color="auto"/>
              <w:right w:val="nil"/>
            </w:tcBorders>
            <w:shd w:val="clear" w:color="000000" w:fill="33CCCC"/>
            <w:noWrap/>
            <w:vAlign w:val="bottom"/>
            <w:hideMark/>
          </w:tcPr>
          <w:p w14:paraId="230B3E36" w14:textId="77777777" w:rsidR="00C779A5" w:rsidRPr="00C779A5" w:rsidRDefault="00C779A5" w:rsidP="00C779A5">
            <w:pPr>
              <w:spacing w:after="0" w:line="240" w:lineRule="auto"/>
              <w:jc w:val="right"/>
              <w:rPr>
                <w:rFonts w:ascii="Tahoma" w:eastAsia="Times New Roman" w:hAnsi="Tahoma" w:cs="Tahoma"/>
                <w:sz w:val="18"/>
                <w:szCs w:val="18"/>
                <w:lang w:eastAsia="hr-HR"/>
              </w:rPr>
            </w:pPr>
            <w:r w:rsidRPr="00C779A5">
              <w:rPr>
                <w:rFonts w:ascii="Tahoma" w:eastAsia="Times New Roman" w:hAnsi="Tahoma" w:cs="Tahoma"/>
                <w:sz w:val="18"/>
                <w:szCs w:val="18"/>
                <w:lang w:eastAsia="hr-HR"/>
              </w:rPr>
              <w:t>1</w:t>
            </w:r>
          </w:p>
        </w:tc>
        <w:tc>
          <w:tcPr>
            <w:tcW w:w="876" w:type="dxa"/>
            <w:tcBorders>
              <w:top w:val="nil"/>
              <w:left w:val="single" w:sz="4" w:space="0" w:color="auto"/>
              <w:bottom w:val="single" w:sz="4" w:space="0" w:color="auto"/>
              <w:right w:val="single" w:sz="8" w:space="0" w:color="auto"/>
            </w:tcBorders>
            <w:shd w:val="clear" w:color="000000" w:fill="33CCCC"/>
            <w:noWrap/>
            <w:vAlign w:val="bottom"/>
            <w:hideMark/>
          </w:tcPr>
          <w:p w14:paraId="015E6E2B" w14:textId="77777777" w:rsidR="00C779A5" w:rsidRPr="00C779A5" w:rsidRDefault="00C779A5" w:rsidP="00C779A5">
            <w:pPr>
              <w:spacing w:after="0" w:line="240" w:lineRule="auto"/>
              <w:jc w:val="right"/>
              <w:rPr>
                <w:rFonts w:ascii="Tahoma" w:eastAsia="Times New Roman" w:hAnsi="Tahoma" w:cs="Tahoma"/>
                <w:sz w:val="18"/>
                <w:szCs w:val="18"/>
                <w:lang w:eastAsia="hr-HR"/>
              </w:rPr>
            </w:pPr>
            <w:r w:rsidRPr="00C779A5">
              <w:rPr>
                <w:rFonts w:ascii="Tahoma" w:eastAsia="Times New Roman" w:hAnsi="Tahoma" w:cs="Tahoma"/>
                <w:sz w:val="18"/>
                <w:szCs w:val="18"/>
                <w:lang w:eastAsia="hr-HR"/>
              </w:rPr>
              <w:t>3</w:t>
            </w:r>
          </w:p>
        </w:tc>
        <w:tc>
          <w:tcPr>
            <w:tcW w:w="236" w:type="dxa"/>
            <w:gridSpan w:val="3"/>
            <w:vAlign w:val="center"/>
            <w:hideMark/>
          </w:tcPr>
          <w:p w14:paraId="1EB52537" w14:textId="77777777" w:rsidR="00C779A5" w:rsidRPr="00C779A5" w:rsidRDefault="00C779A5" w:rsidP="00C779A5">
            <w:pPr>
              <w:spacing w:after="0" w:line="240" w:lineRule="auto"/>
              <w:rPr>
                <w:rFonts w:ascii="Times New Roman" w:eastAsia="Times New Roman" w:hAnsi="Times New Roman" w:cs="Times New Roman"/>
                <w:sz w:val="18"/>
                <w:szCs w:val="18"/>
                <w:lang w:eastAsia="hr-HR"/>
              </w:rPr>
            </w:pPr>
          </w:p>
        </w:tc>
      </w:tr>
      <w:tr w:rsidR="00C779A5" w:rsidRPr="00C779A5" w14:paraId="109FA4EC" w14:textId="77777777" w:rsidTr="00C779A5">
        <w:trPr>
          <w:gridAfter w:val="2"/>
          <w:wAfter w:w="149" w:type="dxa"/>
          <w:trHeight w:val="300"/>
        </w:trPr>
        <w:tc>
          <w:tcPr>
            <w:tcW w:w="1567" w:type="dxa"/>
            <w:tcBorders>
              <w:top w:val="single" w:sz="4" w:space="0" w:color="auto"/>
              <w:left w:val="single" w:sz="8" w:space="0" w:color="auto"/>
              <w:bottom w:val="single" w:sz="4" w:space="0" w:color="auto"/>
              <w:right w:val="single" w:sz="4" w:space="0" w:color="auto"/>
            </w:tcBorders>
            <w:shd w:val="clear" w:color="000000" w:fill="CCFFCC"/>
            <w:vAlign w:val="center"/>
            <w:hideMark/>
          </w:tcPr>
          <w:p w14:paraId="02D12B3F" w14:textId="77777777" w:rsidR="00C779A5" w:rsidRPr="00C779A5" w:rsidRDefault="00C779A5" w:rsidP="00C779A5">
            <w:pPr>
              <w:spacing w:after="0" w:line="240" w:lineRule="auto"/>
              <w:rPr>
                <w:rFonts w:ascii="Tahoma" w:eastAsia="Times New Roman" w:hAnsi="Tahoma" w:cs="Tahoma"/>
                <w:sz w:val="18"/>
                <w:szCs w:val="18"/>
                <w:lang w:eastAsia="hr-HR"/>
              </w:rPr>
            </w:pPr>
            <w:r w:rsidRPr="00C779A5">
              <w:rPr>
                <w:rFonts w:ascii="Tahoma" w:eastAsia="Times New Roman" w:hAnsi="Tahoma" w:cs="Tahoma"/>
                <w:sz w:val="18"/>
                <w:szCs w:val="18"/>
                <w:lang w:eastAsia="hr-HR"/>
              </w:rPr>
              <w:t>Obrazovanje</w:t>
            </w:r>
          </w:p>
        </w:tc>
        <w:tc>
          <w:tcPr>
            <w:tcW w:w="557" w:type="dxa"/>
            <w:tcBorders>
              <w:top w:val="nil"/>
              <w:left w:val="nil"/>
              <w:bottom w:val="single" w:sz="4" w:space="0" w:color="auto"/>
              <w:right w:val="single" w:sz="4" w:space="0" w:color="auto"/>
            </w:tcBorders>
            <w:shd w:val="clear" w:color="000000" w:fill="FFCC99"/>
            <w:noWrap/>
            <w:vAlign w:val="bottom"/>
            <w:hideMark/>
          </w:tcPr>
          <w:p w14:paraId="2D74D29D" w14:textId="77777777" w:rsidR="00C779A5" w:rsidRPr="00C779A5" w:rsidRDefault="00C779A5" w:rsidP="00C779A5">
            <w:pPr>
              <w:spacing w:after="0" w:line="240" w:lineRule="auto"/>
              <w:jc w:val="center"/>
              <w:rPr>
                <w:rFonts w:ascii="Tahoma" w:eastAsia="Times New Roman" w:hAnsi="Tahoma" w:cs="Tahoma"/>
                <w:sz w:val="18"/>
                <w:szCs w:val="18"/>
                <w:lang w:eastAsia="hr-HR"/>
              </w:rPr>
            </w:pPr>
            <w:r w:rsidRPr="00C779A5">
              <w:rPr>
                <w:rFonts w:ascii="Tahoma" w:eastAsia="Times New Roman" w:hAnsi="Tahoma" w:cs="Tahoma"/>
                <w:sz w:val="18"/>
                <w:szCs w:val="18"/>
                <w:lang w:eastAsia="hr-HR"/>
              </w:rPr>
              <w:t>10</w:t>
            </w:r>
          </w:p>
        </w:tc>
        <w:tc>
          <w:tcPr>
            <w:tcW w:w="444" w:type="dxa"/>
            <w:tcBorders>
              <w:top w:val="nil"/>
              <w:left w:val="nil"/>
              <w:bottom w:val="single" w:sz="4" w:space="0" w:color="auto"/>
              <w:right w:val="single" w:sz="4" w:space="0" w:color="auto"/>
            </w:tcBorders>
            <w:shd w:val="clear" w:color="000000" w:fill="FFFF00"/>
            <w:noWrap/>
            <w:vAlign w:val="bottom"/>
            <w:hideMark/>
          </w:tcPr>
          <w:p w14:paraId="75C08E23" w14:textId="77777777" w:rsidR="00C779A5" w:rsidRPr="00C779A5" w:rsidRDefault="00C779A5" w:rsidP="00C779A5">
            <w:pPr>
              <w:spacing w:after="0" w:line="240" w:lineRule="auto"/>
              <w:jc w:val="center"/>
              <w:rPr>
                <w:rFonts w:ascii="Tahoma" w:eastAsia="Times New Roman" w:hAnsi="Tahoma" w:cs="Tahoma"/>
                <w:sz w:val="18"/>
                <w:szCs w:val="18"/>
                <w:lang w:eastAsia="hr-HR"/>
              </w:rPr>
            </w:pPr>
            <w:r w:rsidRPr="00C779A5">
              <w:rPr>
                <w:rFonts w:ascii="Tahoma" w:eastAsia="Times New Roman" w:hAnsi="Tahoma" w:cs="Tahoma"/>
                <w:sz w:val="18"/>
                <w:szCs w:val="18"/>
                <w:lang w:eastAsia="hr-HR"/>
              </w:rPr>
              <w:t>3</w:t>
            </w:r>
          </w:p>
        </w:tc>
        <w:tc>
          <w:tcPr>
            <w:tcW w:w="399" w:type="dxa"/>
            <w:tcBorders>
              <w:top w:val="nil"/>
              <w:left w:val="nil"/>
              <w:bottom w:val="single" w:sz="4" w:space="0" w:color="auto"/>
              <w:right w:val="single" w:sz="4" w:space="0" w:color="auto"/>
            </w:tcBorders>
            <w:shd w:val="clear" w:color="000000" w:fill="CCFFFF"/>
            <w:noWrap/>
            <w:vAlign w:val="bottom"/>
            <w:hideMark/>
          </w:tcPr>
          <w:p w14:paraId="7719DDA5" w14:textId="77777777" w:rsidR="00C779A5" w:rsidRPr="00C779A5" w:rsidRDefault="00C779A5" w:rsidP="00C779A5">
            <w:pPr>
              <w:spacing w:after="0" w:line="240" w:lineRule="auto"/>
              <w:jc w:val="right"/>
              <w:rPr>
                <w:rFonts w:ascii="Tahoma" w:eastAsia="Times New Roman" w:hAnsi="Tahoma" w:cs="Tahoma"/>
                <w:sz w:val="18"/>
                <w:szCs w:val="18"/>
                <w:lang w:eastAsia="hr-HR"/>
              </w:rPr>
            </w:pPr>
            <w:r w:rsidRPr="00C779A5">
              <w:rPr>
                <w:rFonts w:ascii="Tahoma" w:eastAsia="Times New Roman" w:hAnsi="Tahoma" w:cs="Tahoma"/>
                <w:sz w:val="18"/>
                <w:szCs w:val="18"/>
                <w:lang w:eastAsia="hr-HR"/>
              </w:rPr>
              <w:t>2</w:t>
            </w:r>
          </w:p>
        </w:tc>
        <w:tc>
          <w:tcPr>
            <w:tcW w:w="425" w:type="dxa"/>
            <w:tcBorders>
              <w:top w:val="nil"/>
              <w:left w:val="nil"/>
              <w:bottom w:val="single" w:sz="4" w:space="0" w:color="auto"/>
              <w:right w:val="single" w:sz="4" w:space="0" w:color="auto"/>
            </w:tcBorders>
            <w:shd w:val="clear" w:color="000000" w:fill="CCFFFF"/>
            <w:noWrap/>
            <w:vAlign w:val="bottom"/>
            <w:hideMark/>
          </w:tcPr>
          <w:p w14:paraId="3658EE04" w14:textId="77777777" w:rsidR="00C779A5" w:rsidRPr="00C779A5" w:rsidRDefault="00C779A5" w:rsidP="00C779A5">
            <w:pPr>
              <w:spacing w:after="0" w:line="240" w:lineRule="auto"/>
              <w:jc w:val="right"/>
              <w:rPr>
                <w:rFonts w:ascii="Tahoma" w:eastAsia="Times New Roman" w:hAnsi="Tahoma" w:cs="Tahoma"/>
                <w:sz w:val="18"/>
                <w:szCs w:val="18"/>
                <w:lang w:eastAsia="hr-HR"/>
              </w:rPr>
            </w:pPr>
            <w:r w:rsidRPr="00C779A5">
              <w:rPr>
                <w:rFonts w:ascii="Tahoma" w:eastAsia="Times New Roman" w:hAnsi="Tahoma" w:cs="Tahoma"/>
                <w:sz w:val="18"/>
                <w:szCs w:val="18"/>
                <w:lang w:eastAsia="hr-HR"/>
              </w:rPr>
              <w:t>1</w:t>
            </w:r>
          </w:p>
        </w:tc>
        <w:tc>
          <w:tcPr>
            <w:tcW w:w="574" w:type="dxa"/>
            <w:tcBorders>
              <w:top w:val="nil"/>
              <w:left w:val="nil"/>
              <w:bottom w:val="single" w:sz="4" w:space="0" w:color="auto"/>
              <w:right w:val="single" w:sz="4" w:space="0" w:color="auto"/>
            </w:tcBorders>
            <w:shd w:val="clear" w:color="000000" w:fill="FFFF99"/>
            <w:noWrap/>
            <w:vAlign w:val="bottom"/>
            <w:hideMark/>
          </w:tcPr>
          <w:p w14:paraId="0CAFD8A9" w14:textId="77777777" w:rsidR="00C779A5" w:rsidRPr="00C779A5" w:rsidRDefault="00C779A5" w:rsidP="00C779A5">
            <w:pPr>
              <w:spacing w:after="0" w:line="240" w:lineRule="auto"/>
              <w:jc w:val="center"/>
              <w:rPr>
                <w:rFonts w:ascii="Tahoma" w:eastAsia="Times New Roman" w:hAnsi="Tahoma" w:cs="Tahoma"/>
                <w:sz w:val="18"/>
                <w:szCs w:val="18"/>
                <w:lang w:eastAsia="hr-HR"/>
              </w:rPr>
            </w:pPr>
            <w:r w:rsidRPr="00C779A5">
              <w:rPr>
                <w:rFonts w:ascii="Tahoma" w:eastAsia="Times New Roman" w:hAnsi="Tahoma" w:cs="Tahoma"/>
                <w:sz w:val="18"/>
                <w:szCs w:val="18"/>
                <w:lang w:eastAsia="hr-HR"/>
              </w:rPr>
              <w:t>2</w:t>
            </w:r>
          </w:p>
        </w:tc>
        <w:tc>
          <w:tcPr>
            <w:tcW w:w="706" w:type="dxa"/>
            <w:tcBorders>
              <w:top w:val="nil"/>
              <w:left w:val="nil"/>
              <w:bottom w:val="single" w:sz="4" w:space="0" w:color="auto"/>
              <w:right w:val="single" w:sz="4" w:space="0" w:color="auto"/>
            </w:tcBorders>
            <w:shd w:val="clear" w:color="000000" w:fill="FFFF99"/>
            <w:noWrap/>
            <w:vAlign w:val="bottom"/>
            <w:hideMark/>
          </w:tcPr>
          <w:p w14:paraId="511790A1" w14:textId="77777777" w:rsidR="00C779A5" w:rsidRPr="00C779A5" w:rsidRDefault="00C779A5" w:rsidP="00C779A5">
            <w:pPr>
              <w:spacing w:after="0" w:line="240" w:lineRule="auto"/>
              <w:jc w:val="center"/>
              <w:rPr>
                <w:rFonts w:ascii="Tahoma" w:eastAsia="Times New Roman" w:hAnsi="Tahoma" w:cs="Tahoma"/>
                <w:sz w:val="18"/>
                <w:szCs w:val="18"/>
                <w:lang w:eastAsia="hr-HR"/>
              </w:rPr>
            </w:pPr>
            <w:r w:rsidRPr="00C779A5">
              <w:rPr>
                <w:rFonts w:ascii="Tahoma" w:eastAsia="Times New Roman" w:hAnsi="Tahoma" w:cs="Tahoma"/>
                <w:sz w:val="18"/>
                <w:szCs w:val="18"/>
                <w:lang w:eastAsia="hr-HR"/>
              </w:rPr>
              <w:t>0</w:t>
            </w:r>
          </w:p>
        </w:tc>
        <w:tc>
          <w:tcPr>
            <w:tcW w:w="565" w:type="dxa"/>
            <w:tcBorders>
              <w:top w:val="nil"/>
              <w:left w:val="nil"/>
              <w:bottom w:val="single" w:sz="4" w:space="0" w:color="auto"/>
              <w:right w:val="single" w:sz="4" w:space="0" w:color="auto"/>
            </w:tcBorders>
            <w:shd w:val="clear" w:color="000000" w:fill="FFFF99"/>
            <w:noWrap/>
            <w:vAlign w:val="bottom"/>
            <w:hideMark/>
          </w:tcPr>
          <w:p w14:paraId="10144409" w14:textId="77777777" w:rsidR="00C779A5" w:rsidRPr="00C779A5" w:rsidRDefault="00C779A5" w:rsidP="00C779A5">
            <w:pPr>
              <w:spacing w:after="0" w:line="240" w:lineRule="auto"/>
              <w:jc w:val="center"/>
              <w:rPr>
                <w:rFonts w:ascii="Tahoma" w:eastAsia="Times New Roman" w:hAnsi="Tahoma" w:cs="Tahoma"/>
                <w:sz w:val="18"/>
                <w:szCs w:val="18"/>
                <w:lang w:eastAsia="hr-HR"/>
              </w:rPr>
            </w:pPr>
            <w:r w:rsidRPr="00C779A5">
              <w:rPr>
                <w:rFonts w:ascii="Tahoma" w:eastAsia="Times New Roman" w:hAnsi="Tahoma" w:cs="Tahoma"/>
                <w:sz w:val="18"/>
                <w:szCs w:val="18"/>
                <w:lang w:eastAsia="hr-HR"/>
              </w:rPr>
              <w:t>1</w:t>
            </w:r>
          </w:p>
        </w:tc>
        <w:tc>
          <w:tcPr>
            <w:tcW w:w="565" w:type="dxa"/>
            <w:tcBorders>
              <w:top w:val="nil"/>
              <w:left w:val="nil"/>
              <w:bottom w:val="single" w:sz="4" w:space="0" w:color="auto"/>
              <w:right w:val="single" w:sz="4" w:space="0" w:color="auto"/>
            </w:tcBorders>
            <w:shd w:val="clear" w:color="000000" w:fill="FFFF99"/>
            <w:noWrap/>
            <w:vAlign w:val="bottom"/>
            <w:hideMark/>
          </w:tcPr>
          <w:p w14:paraId="7482D50C" w14:textId="77777777" w:rsidR="00C779A5" w:rsidRPr="00C779A5" w:rsidRDefault="00C779A5" w:rsidP="00C779A5">
            <w:pPr>
              <w:spacing w:after="0" w:line="240" w:lineRule="auto"/>
              <w:jc w:val="center"/>
              <w:rPr>
                <w:rFonts w:ascii="Tahoma" w:eastAsia="Times New Roman" w:hAnsi="Tahoma" w:cs="Tahoma"/>
                <w:sz w:val="18"/>
                <w:szCs w:val="18"/>
                <w:lang w:eastAsia="hr-HR"/>
              </w:rPr>
            </w:pPr>
            <w:r w:rsidRPr="00C779A5">
              <w:rPr>
                <w:rFonts w:ascii="Tahoma" w:eastAsia="Times New Roman" w:hAnsi="Tahoma" w:cs="Tahoma"/>
                <w:sz w:val="18"/>
                <w:szCs w:val="18"/>
                <w:lang w:eastAsia="hr-HR"/>
              </w:rPr>
              <w:t>0</w:t>
            </w:r>
          </w:p>
        </w:tc>
        <w:tc>
          <w:tcPr>
            <w:tcW w:w="467" w:type="dxa"/>
            <w:tcBorders>
              <w:top w:val="nil"/>
              <w:left w:val="nil"/>
              <w:bottom w:val="single" w:sz="4" w:space="0" w:color="auto"/>
              <w:right w:val="single" w:sz="4" w:space="0" w:color="auto"/>
            </w:tcBorders>
            <w:shd w:val="clear" w:color="000000" w:fill="FFFF99"/>
            <w:noWrap/>
            <w:vAlign w:val="bottom"/>
            <w:hideMark/>
          </w:tcPr>
          <w:p w14:paraId="5A342E03" w14:textId="77777777" w:rsidR="00C779A5" w:rsidRPr="00C779A5" w:rsidRDefault="00C779A5" w:rsidP="00C779A5">
            <w:pPr>
              <w:spacing w:after="0" w:line="240" w:lineRule="auto"/>
              <w:jc w:val="center"/>
              <w:rPr>
                <w:rFonts w:ascii="Tahoma" w:eastAsia="Times New Roman" w:hAnsi="Tahoma" w:cs="Tahoma"/>
                <w:sz w:val="18"/>
                <w:szCs w:val="18"/>
                <w:lang w:eastAsia="hr-HR"/>
              </w:rPr>
            </w:pPr>
            <w:r w:rsidRPr="00C779A5">
              <w:rPr>
                <w:rFonts w:ascii="Tahoma" w:eastAsia="Times New Roman" w:hAnsi="Tahoma" w:cs="Tahoma"/>
                <w:sz w:val="18"/>
                <w:szCs w:val="18"/>
                <w:lang w:eastAsia="hr-HR"/>
              </w:rPr>
              <w:t>0</w:t>
            </w:r>
          </w:p>
        </w:tc>
        <w:tc>
          <w:tcPr>
            <w:tcW w:w="805" w:type="dxa"/>
            <w:tcBorders>
              <w:top w:val="nil"/>
              <w:left w:val="nil"/>
              <w:bottom w:val="single" w:sz="4" w:space="0" w:color="auto"/>
              <w:right w:val="single" w:sz="4" w:space="0" w:color="auto"/>
            </w:tcBorders>
            <w:shd w:val="clear" w:color="000000" w:fill="FFFF99"/>
            <w:noWrap/>
            <w:vAlign w:val="bottom"/>
            <w:hideMark/>
          </w:tcPr>
          <w:p w14:paraId="1ED5FE49" w14:textId="77777777" w:rsidR="00C779A5" w:rsidRPr="00C779A5" w:rsidRDefault="00C779A5" w:rsidP="00C779A5">
            <w:pPr>
              <w:spacing w:after="0" w:line="240" w:lineRule="auto"/>
              <w:jc w:val="center"/>
              <w:rPr>
                <w:rFonts w:ascii="Tahoma" w:eastAsia="Times New Roman" w:hAnsi="Tahoma" w:cs="Tahoma"/>
                <w:sz w:val="18"/>
                <w:szCs w:val="18"/>
                <w:lang w:eastAsia="hr-HR"/>
              </w:rPr>
            </w:pPr>
            <w:r w:rsidRPr="00C779A5">
              <w:rPr>
                <w:rFonts w:ascii="Tahoma" w:eastAsia="Times New Roman" w:hAnsi="Tahoma" w:cs="Tahoma"/>
                <w:sz w:val="18"/>
                <w:szCs w:val="18"/>
                <w:lang w:eastAsia="hr-HR"/>
              </w:rPr>
              <w:t>0</w:t>
            </w:r>
          </w:p>
        </w:tc>
        <w:tc>
          <w:tcPr>
            <w:tcW w:w="467" w:type="dxa"/>
            <w:gridSpan w:val="2"/>
            <w:tcBorders>
              <w:top w:val="nil"/>
              <w:left w:val="nil"/>
              <w:bottom w:val="single" w:sz="4" w:space="0" w:color="auto"/>
              <w:right w:val="single" w:sz="4" w:space="0" w:color="auto"/>
            </w:tcBorders>
            <w:shd w:val="clear" w:color="000000" w:fill="FF9900"/>
            <w:noWrap/>
            <w:vAlign w:val="bottom"/>
            <w:hideMark/>
          </w:tcPr>
          <w:p w14:paraId="1288FE27" w14:textId="77777777" w:rsidR="00C779A5" w:rsidRPr="00C779A5" w:rsidRDefault="00C779A5" w:rsidP="00C779A5">
            <w:pPr>
              <w:spacing w:after="0" w:line="240" w:lineRule="auto"/>
              <w:jc w:val="right"/>
              <w:rPr>
                <w:rFonts w:ascii="Tahoma" w:eastAsia="Times New Roman" w:hAnsi="Tahoma" w:cs="Tahoma"/>
                <w:sz w:val="18"/>
                <w:szCs w:val="18"/>
                <w:lang w:eastAsia="hr-HR"/>
              </w:rPr>
            </w:pPr>
            <w:r w:rsidRPr="00C779A5">
              <w:rPr>
                <w:rFonts w:ascii="Tahoma" w:eastAsia="Times New Roman" w:hAnsi="Tahoma" w:cs="Tahoma"/>
                <w:sz w:val="18"/>
                <w:szCs w:val="18"/>
                <w:lang w:eastAsia="hr-HR"/>
              </w:rPr>
              <w:t>0</w:t>
            </w:r>
          </w:p>
        </w:tc>
        <w:tc>
          <w:tcPr>
            <w:tcW w:w="522" w:type="dxa"/>
            <w:tcBorders>
              <w:top w:val="nil"/>
              <w:left w:val="nil"/>
              <w:bottom w:val="single" w:sz="4" w:space="0" w:color="auto"/>
              <w:right w:val="single" w:sz="4" w:space="0" w:color="auto"/>
            </w:tcBorders>
            <w:shd w:val="clear" w:color="000000" w:fill="FF9900"/>
            <w:noWrap/>
            <w:vAlign w:val="bottom"/>
            <w:hideMark/>
          </w:tcPr>
          <w:p w14:paraId="2C8AEA85" w14:textId="77777777" w:rsidR="00C779A5" w:rsidRPr="00C779A5" w:rsidRDefault="00C779A5" w:rsidP="00C779A5">
            <w:pPr>
              <w:spacing w:after="0" w:line="240" w:lineRule="auto"/>
              <w:jc w:val="right"/>
              <w:rPr>
                <w:rFonts w:ascii="Tahoma" w:eastAsia="Times New Roman" w:hAnsi="Tahoma" w:cs="Tahoma"/>
                <w:sz w:val="18"/>
                <w:szCs w:val="18"/>
                <w:lang w:eastAsia="hr-HR"/>
              </w:rPr>
            </w:pPr>
            <w:r w:rsidRPr="00C779A5">
              <w:rPr>
                <w:rFonts w:ascii="Tahoma" w:eastAsia="Times New Roman" w:hAnsi="Tahoma" w:cs="Tahoma"/>
                <w:sz w:val="18"/>
                <w:szCs w:val="18"/>
                <w:lang w:eastAsia="hr-HR"/>
              </w:rPr>
              <w:t>5</w:t>
            </w:r>
          </w:p>
        </w:tc>
        <w:tc>
          <w:tcPr>
            <w:tcW w:w="467" w:type="dxa"/>
            <w:tcBorders>
              <w:top w:val="nil"/>
              <w:left w:val="nil"/>
              <w:bottom w:val="single" w:sz="4" w:space="0" w:color="auto"/>
              <w:right w:val="single" w:sz="4" w:space="0" w:color="auto"/>
            </w:tcBorders>
            <w:shd w:val="clear" w:color="000000" w:fill="FF9900"/>
            <w:noWrap/>
            <w:vAlign w:val="bottom"/>
            <w:hideMark/>
          </w:tcPr>
          <w:p w14:paraId="6853CDAD" w14:textId="77777777" w:rsidR="00C779A5" w:rsidRPr="00C779A5" w:rsidRDefault="00C779A5" w:rsidP="00C779A5">
            <w:pPr>
              <w:spacing w:after="0" w:line="240" w:lineRule="auto"/>
              <w:jc w:val="right"/>
              <w:rPr>
                <w:rFonts w:ascii="Tahoma" w:eastAsia="Times New Roman" w:hAnsi="Tahoma" w:cs="Tahoma"/>
                <w:sz w:val="18"/>
                <w:szCs w:val="18"/>
                <w:lang w:eastAsia="hr-HR"/>
              </w:rPr>
            </w:pPr>
            <w:r w:rsidRPr="00C779A5">
              <w:rPr>
                <w:rFonts w:ascii="Tahoma" w:eastAsia="Times New Roman" w:hAnsi="Tahoma" w:cs="Tahoma"/>
                <w:sz w:val="18"/>
                <w:szCs w:val="18"/>
                <w:lang w:eastAsia="hr-HR"/>
              </w:rPr>
              <w:t>1</w:t>
            </w:r>
          </w:p>
        </w:tc>
        <w:tc>
          <w:tcPr>
            <w:tcW w:w="467" w:type="dxa"/>
            <w:tcBorders>
              <w:top w:val="nil"/>
              <w:left w:val="nil"/>
              <w:bottom w:val="single" w:sz="4" w:space="0" w:color="auto"/>
              <w:right w:val="single" w:sz="4" w:space="0" w:color="auto"/>
            </w:tcBorders>
            <w:shd w:val="clear" w:color="000000" w:fill="FFFF00"/>
            <w:vAlign w:val="center"/>
            <w:hideMark/>
          </w:tcPr>
          <w:p w14:paraId="72064C1F" w14:textId="77777777" w:rsidR="00C779A5" w:rsidRPr="00C779A5" w:rsidRDefault="00C779A5" w:rsidP="00C779A5">
            <w:pPr>
              <w:spacing w:after="0" w:line="240" w:lineRule="auto"/>
              <w:jc w:val="center"/>
              <w:rPr>
                <w:rFonts w:ascii="Tahoma" w:eastAsia="Times New Roman" w:hAnsi="Tahoma" w:cs="Tahoma"/>
                <w:sz w:val="18"/>
                <w:szCs w:val="18"/>
                <w:lang w:eastAsia="hr-HR"/>
              </w:rPr>
            </w:pPr>
            <w:r w:rsidRPr="00C779A5">
              <w:rPr>
                <w:rFonts w:ascii="Tahoma" w:eastAsia="Times New Roman" w:hAnsi="Tahoma" w:cs="Tahoma"/>
                <w:sz w:val="18"/>
                <w:szCs w:val="18"/>
                <w:lang w:eastAsia="hr-HR"/>
              </w:rPr>
              <w:t>6</w:t>
            </w:r>
          </w:p>
        </w:tc>
        <w:tc>
          <w:tcPr>
            <w:tcW w:w="877" w:type="dxa"/>
            <w:gridSpan w:val="2"/>
            <w:tcBorders>
              <w:top w:val="nil"/>
              <w:left w:val="nil"/>
              <w:bottom w:val="single" w:sz="4" w:space="0" w:color="auto"/>
              <w:right w:val="single" w:sz="4" w:space="0" w:color="auto"/>
            </w:tcBorders>
            <w:shd w:val="clear" w:color="000000" w:fill="FF9900"/>
            <w:vAlign w:val="center"/>
            <w:hideMark/>
          </w:tcPr>
          <w:p w14:paraId="76A33F23" w14:textId="77777777" w:rsidR="00C779A5" w:rsidRPr="00C779A5" w:rsidRDefault="00C779A5" w:rsidP="00C779A5">
            <w:pPr>
              <w:spacing w:after="0" w:line="240" w:lineRule="auto"/>
              <w:jc w:val="center"/>
              <w:rPr>
                <w:rFonts w:ascii="Tahoma" w:eastAsia="Times New Roman" w:hAnsi="Tahoma" w:cs="Tahoma"/>
                <w:sz w:val="18"/>
                <w:szCs w:val="18"/>
                <w:lang w:eastAsia="hr-HR"/>
              </w:rPr>
            </w:pPr>
            <w:r w:rsidRPr="00C779A5">
              <w:rPr>
                <w:rFonts w:ascii="Tahoma" w:eastAsia="Times New Roman" w:hAnsi="Tahoma" w:cs="Tahoma"/>
                <w:sz w:val="18"/>
                <w:szCs w:val="18"/>
                <w:lang w:eastAsia="hr-HR"/>
              </w:rPr>
              <w:t>7</w:t>
            </w:r>
          </w:p>
        </w:tc>
        <w:tc>
          <w:tcPr>
            <w:tcW w:w="576" w:type="dxa"/>
            <w:gridSpan w:val="2"/>
            <w:tcBorders>
              <w:top w:val="nil"/>
              <w:left w:val="nil"/>
              <w:bottom w:val="single" w:sz="4" w:space="0" w:color="auto"/>
              <w:right w:val="single" w:sz="4" w:space="0" w:color="auto"/>
            </w:tcBorders>
            <w:shd w:val="clear" w:color="000000" w:fill="FF9900"/>
            <w:noWrap/>
            <w:vAlign w:val="center"/>
            <w:hideMark/>
          </w:tcPr>
          <w:p w14:paraId="6FBA27E9" w14:textId="77777777" w:rsidR="00C779A5" w:rsidRPr="00C779A5" w:rsidRDefault="00C779A5" w:rsidP="00C779A5">
            <w:pPr>
              <w:spacing w:after="0" w:line="240" w:lineRule="auto"/>
              <w:jc w:val="center"/>
              <w:rPr>
                <w:rFonts w:ascii="Tahoma" w:eastAsia="Times New Roman" w:hAnsi="Tahoma" w:cs="Tahoma"/>
                <w:sz w:val="18"/>
                <w:szCs w:val="18"/>
                <w:lang w:eastAsia="hr-HR"/>
              </w:rPr>
            </w:pPr>
            <w:r w:rsidRPr="00C779A5">
              <w:rPr>
                <w:rFonts w:ascii="Tahoma" w:eastAsia="Times New Roman" w:hAnsi="Tahoma" w:cs="Tahoma"/>
                <w:sz w:val="18"/>
                <w:szCs w:val="18"/>
                <w:lang w:eastAsia="hr-HR"/>
              </w:rPr>
              <w:t>5</w:t>
            </w:r>
          </w:p>
        </w:tc>
        <w:tc>
          <w:tcPr>
            <w:tcW w:w="440" w:type="dxa"/>
            <w:tcBorders>
              <w:top w:val="nil"/>
              <w:left w:val="nil"/>
              <w:bottom w:val="single" w:sz="4" w:space="0" w:color="auto"/>
              <w:right w:val="single" w:sz="4" w:space="0" w:color="auto"/>
            </w:tcBorders>
            <w:shd w:val="clear" w:color="000000" w:fill="FF9900"/>
            <w:noWrap/>
            <w:vAlign w:val="center"/>
            <w:hideMark/>
          </w:tcPr>
          <w:p w14:paraId="5399FBC5" w14:textId="77777777" w:rsidR="00C779A5" w:rsidRPr="00C779A5" w:rsidRDefault="00C779A5" w:rsidP="00C779A5">
            <w:pPr>
              <w:spacing w:after="0" w:line="240" w:lineRule="auto"/>
              <w:jc w:val="center"/>
              <w:rPr>
                <w:rFonts w:ascii="Tahoma" w:eastAsia="Times New Roman" w:hAnsi="Tahoma" w:cs="Tahoma"/>
                <w:sz w:val="18"/>
                <w:szCs w:val="18"/>
                <w:lang w:eastAsia="hr-HR"/>
              </w:rPr>
            </w:pPr>
            <w:r w:rsidRPr="00C779A5">
              <w:rPr>
                <w:rFonts w:ascii="Tahoma" w:eastAsia="Times New Roman" w:hAnsi="Tahoma" w:cs="Tahoma"/>
                <w:sz w:val="18"/>
                <w:szCs w:val="18"/>
                <w:lang w:eastAsia="hr-HR"/>
              </w:rPr>
              <w:t>1</w:t>
            </w:r>
          </w:p>
        </w:tc>
        <w:tc>
          <w:tcPr>
            <w:tcW w:w="793" w:type="dxa"/>
            <w:tcBorders>
              <w:top w:val="nil"/>
              <w:left w:val="nil"/>
              <w:bottom w:val="single" w:sz="4" w:space="0" w:color="auto"/>
              <w:right w:val="single" w:sz="4" w:space="0" w:color="auto"/>
            </w:tcBorders>
            <w:shd w:val="clear" w:color="000000" w:fill="FF9900"/>
            <w:noWrap/>
            <w:vAlign w:val="center"/>
            <w:hideMark/>
          </w:tcPr>
          <w:p w14:paraId="555CA495" w14:textId="77777777" w:rsidR="00C779A5" w:rsidRPr="00C779A5" w:rsidRDefault="00C779A5" w:rsidP="00C779A5">
            <w:pPr>
              <w:spacing w:after="0" w:line="240" w:lineRule="auto"/>
              <w:jc w:val="center"/>
              <w:rPr>
                <w:rFonts w:ascii="Tahoma" w:eastAsia="Times New Roman" w:hAnsi="Tahoma" w:cs="Tahoma"/>
                <w:sz w:val="18"/>
                <w:szCs w:val="18"/>
                <w:lang w:eastAsia="hr-HR"/>
              </w:rPr>
            </w:pPr>
            <w:r w:rsidRPr="00C779A5">
              <w:rPr>
                <w:rFonts w:ascii="Tahoma" w:eastAsia="Times New Roman" w:hAnsi="Tahoma" w:cs="Tahoma"/>
                <w:sz w:val="18"/>
                <w:szCs w:val="18"/>
                <w:lang w:eastAsia="hr-HR"/>
              </w:rPr>
              <w:t>5</w:t>
            </w:r>
          </w:p>
        </w:tc>
        <w:tc>
          <w:tcPr>
            <w:tcW w:w="645" w:type="dxa"/>
            <w:gridSpan w:val="2"/>
            <w:tcBorders>
              <w:top w:val="nil"/>
              <w:left w:val="nil"/>
              <w:bottom w:val="single" w:sz="4" w:space="0" w:color="auto"/>
              <w:right w:val="single" w:sz="4" w:space="0" w:color="auto"/>
            </w:tcBorders>
            <w:shd w:val="clear" w:color="000000" w:fill="CCFFFF"/>
            <w:noWrap/>
            <w:vAlign w:val="bottom"/>
            <w:hideMark/>
          </w:tcPr>
          <w:p w14:paraId="5E22D72C" w14:textId="77777777" w:rsidR="00C779A5" w:rsidRPr="00C779A5" w:rsidRDefault="00C779A5" w:rsidP="00C779A5">
            <w:pPr>
              <w:spacing w:after="0" w:line="240" w:lineRule="auto"/>
              <w:jc w:val="right"/>
              <w:rPr>
                <w:rFonts w:ascii="Tahoma" w:eastAsia="Times New Roman" w:hAnsi="Tahoma" w:cs="Tahoma"/>
                <w:sz w:val="18"/>
                <w:szCs w:val="18"/>
                <w:lang w:eastAsia="hr-HR"/>
              </w:rPr>
            </w:pPr>
            <w:r w:rsidRPr="00C779A5">
              <w:rPr>
                <w:rFonts w:ascii="Tahoma" w:eastAsia="Times New Roman" w:hAnsi="Tahoma" w:cs="Tahoma"/>
                <w:sz w:val="18"/>
                <w:szCs w:val="18"/>
                <w:lang w:eastAsia="hr-HR"/>
              </w:rPr>
              <w:t>1</w:t>
            </w:r>
          </w:p>
        </w:tc>
        <w:tc>
          <w:tcPr>
            <w:tcW w:w="467" w:type="dxa"/>
            <w:tcBorders>
              <w:top w:val="nil"/>
              <w:left w:val="nil"/>
              <w:bottom w:val="single" w:sz="4" w:space="0" w:color="auto"/>
              <w:right w:val="single" w:sz="4" w:space="0" w:color="auto"/>
            </w:tcBorders>
            <w:shd w:val="clear" w:color="000000" w:fill="CCFFFF"/>
            <w:noWrap/>
            <w:vAlign w:val="bottom"/>
            <w:hideMark/>
          </w:tcPr>
          <w:p w14:paraId="79A5942A" w14:textId="77777777" w:rsidR="00C779A5" w:rsidRPr="00C779A5" w:rsidRDefault="00C779A5" w:rsidP="00C779A5">
            <w:pPr>
              <w:spacing w:after="0" w:line="240" w:lineRule="auto"/>
              <w:jc w:val="right"/>
              <w:rPr>
                <w:rFonts w:ascii="Tahoma" w:eastAsia="Times New Roman" w:hAnsi="Tahoma" w:cs="Tahoma"/>
                <w:sz w:val="18"/>
                <w:szCs w:val="18"/>
                <w:lang w:eastAsia="hr-HR"/>
              </w:rPr>
            </w:pPr>
            <w:r w:rsidRPr="00C779A5">
              <w:rPr>
                <w:rFonts w:ascii="Tahoma" w:eastAsia="Times New Roman" w:hAnsi="Tahoma" w:cs="Tahoma"/>
                <w:sz w:val="18"/>
                <w:szCs w:val="18"/>
                <w:lang w:eastAsia="hr-HR"/>
              </w:rPr>
              <w:t>0</w:t>
            </w:r>
          </w:p>
        </w:tc>
        <w:tc>
          <w:tcPr>
            <w:tcW w:w="467" w:type="dxa"/>
            <w:tcBorders>
              <w:top w:val="nil"/>
              <w:left w:val="nil"/>
              <w:bottom w:val="single" w:sz="4" w:space="0" w:color="auto"/>
              <w:right w:val="single" w:sz="4" w:space="0" w:color="auto"/>
            </w:tcBorders>
            <w:shd w:val="clear" w:color="000000" w:fill="CCFFFF"/>
            <w:noWrap/>
            <w:vAlign w:val="bottom"/>
            <w:hideMark/>
          </w:tcPr>
          <w:p w14:paraId="6031FFA6" w14:textId="77777777" w:rsidR="00C779A5" w:rsidRPr="00C779A5" w:rsidRDefault="00C779A5" w:rsidP="00C779A5">
            <w:pPr>
              <w:spacing w:after="0" w:line="240" w:lineRule="auto"/>
              <w:jc w:val="right"/>
              <w:rPr>
                <w:rFonts w:ascii="Tahoma" w:eastAsia="Times New Roman" w:hAnsi="Tahoma" w:cs="Tahoma"/>
                <w:sz w:val="18"/>
                <w:szCs w:val="18"/>
                <w:lang w:eastAsia="hr-HR"/>
              </w:rPr>
            </w:pPr>
            <w:r w:rsidRPr="00C779A5">
              <w:rPr>
                <w:rFonts w:ascii="Tahoma" w:eastAsia="Times New Roman" w:hAnsi="Tahoma" w:cs="Tahoma"/>
                <w:sz w:val="18"/>
                <w:szCs w:val="18"/>
                <w:lang w:eastAsia="hr-HR"/>
              </w:rPr>
              <w:t>0</w:t>
            </w:r>
          </w:p>
        </w:tc>
        <w:tc>
          <w:tcPr>
            <w:tcW w:w="478" w:type="dxa"/>
            <w:gridSpan w:val="2"/>
            <w:tcBorders>
              <w:top w:val="nil"/>
              <w:left w:val="nil"/>
              <w:bottom w:val="single" w:sz="4" w:space="0" w:color="auto"/>
              <w:right w:val="nil"/>
            </w:tcBorders>
            <w:shd w:val="clear" w:color="000000" w:fill="33CCCC"/>
            <w:noWrap/>
            <w:vAlign w:val="bottom"/>
            <w:hideMark/>
          </w:tcPr>
          <w:p w14:paraId="79296ED3" w14:textId="77777777" w:rsidR="00C779A5" w:rsidRPr="00C779A5" w:rsidRDefault="00C779A5" w:rsidP="00C779A5">
            <w:pPr>
              <w:spacing w:after="0" w:line="240" w:lineRule="auto"/>
              <w:jc w:val="right"/>
              <w:rPr>
                <w:rFonts w:ascii="Tahoma" w:eastAsia="Times New Roman" w:hAnsi="Tahoma" w:cs="Tahoma"/>
                <w:sz w:val="18"/>
                <w:szCs w:val="18"/>
                <w:lang w:eastAsia="hr-HR"/>
              </w:rPr>
            </w:pPr>
            <w:r w:rsidRPr="00C779A5">
              <w:rPr>
                <w:rFonts w:ascii="Tahoma" w:eastAsia="Times New Roman" w:hAnsi="Tahoma" w:cs="Tahoma"/>
                <w:sz w:val="18"/>
                <w:szCs w:val="18"/>
                <w:lang w:eastAsia="hr-HR"/>
              </w:rPr>
              <w:t>2</w:t>
            </w:r>
          </w:p>
        </w:tc>
        <w:tc>
          <w:tcPr>
            <w:tcW w:w="876" w:type="dxa"/>
            <w:tcBorders>
              <w:top w:val="nil"/>
              <w:left w:val="single" w:sz="4" w:space="0" w:color="auto"/>
              <w:bottom w:val="single" w:sz="4" w:space="0" w:color="auto"/>
              <w:right w:val="single" w:sz="8" w:space="0" w:color="auto"/>
            </w:tcBorders>
            <w:shd w:val="clear" w:color="000000" w:fill="33CCCC"/>
            <w:noWrap/>
            <w:vAlign w:val="bottom"/>
            <w:hideMark/>
          </w:tcPr>
          <w:p w14:paraId="458D8798" w14:textId="77777777" w:rsidR="00C779A5" w:rsidRPr="00C779A5" w:rsidRDefault="00C779A5" w:rsidP="00C779A5">
            <w:pPr>
              <w:spacing w:after="0" w:line="240" w:lineRule="auto"/>
              <w:jc w:val="right"/>
              <w:rPr>
                <w:rFonts w:ascii="Tahoma" w:eastAsia="Times New Roman" w:hAnsi="Tahoma" w:cs="Tahoma"/>
                <w:sz w:val="18"/>
                <w:szCs w:val="18"/>
                <w:lang w:eastAsia="hr-HR"/>
              </w:rPr>
            </w:pPr>
            <w:r w:rsidRPr="00C779A5">
              <w:rPr>
                <w:rFonts w:ascii="Tahoma" w:eastAsia="Times New Roman" w:hAnsi="Tahoma" w:cs="Tahoma"/>
                <w:sz w:val="18"/>
                <w:szCs w:val="18"/>
                <w:lang w:eastAsia="hr-HR"/>
              </w:rPr>
              <w:t>4</w:t>
            </w:r>
          </w:p>
        </w:tc>
        <w:tc>
          <w:tcPr>
            <w:tcW w:w="236" w:type="dxa"/>
            <w:gridSpan w:val="3"/>
            <w:vAlign w:val="center"/>
            <w:hideMark/>
          </w:tcPr>
          <w:p w14:paraId="61979E45" w14:textId="77777777" w:rsidR="00C779A5" w:rsidRPr="00C779A5" w:rsidRDefault="00C779A5" w:rsidP="00C779A5">
            <w:pPr>
              <w:spacing w:after="0" w:line="240" w:lineRule="auto"/>
              <w:rPr>
                <w:rFonts w:ascii="Times New Roman" w:eastAsia="Times New Roman" w:hAnsi="Times New Roman" w:cs="Times New Roman"/>
                <w:sz w:val="18"/>
                <w:szCs w:val="18"/>
                <w:lang w:eastAsia="hr-HR"/>
              </w:rPr>
            </w:pPr>
          </w:p>
        </w:tc>
      </w:tr>
      <w:tr w:rsidR="00C779A5" w:rsidRPr="00C779A5" w14:paraId="45335DBD" w14:textId="77777777" w:rsidTr="00C779A5">
        <w:trPr>
          <w:gridAfter w:val="2"/>
          <w:wAfter w:w="149" w:type="dxa"/>
          <w:trHeight w:val="300"/>
        </w:trPr>
        <w:tc>
          <w:tcPr>
            <w:tcW w:w="1567" w:type="dxa"/>
            <w:tcBorders>
              <w:top w:val="single" w:sz="4" w:space="0" w:color="auto"/>
              <w:left w:val="single" w:sz="8" w:space="0" w:color="auto"/>
              <w:bottom w:val="single" w:sz="4" w:space="0" w:color="auto"/>
              <w:right w:val="single" w:sz="4" w:space="0" w:color="auto"/>
            </w:tcBorders>
            <w:shd w:val="clear" w:color="000000" w:fill="CCFFCC"/>
            <w:vAlign w:val="center"/>
            <w:hideMark/>
          </w:tcPr>
          <w:p w14:paraId="57869BC5" w14:textId="77777777" w:rsidR="00C779A5" w:rsidRPr="00C779A5" w:rsidRDefault="00C779A5" w:rsidP="00C779A5">
            <w:pPr>
              <w:spacing w:after="0" w:line="240" w:lineRule="auto"/>
              <w:rPr>
                <w:rFonts w:ascii="Tahoma" w:eastAsia="Times New Roman" w:hAnsi="Tahoma" w:cs="Tahoma"/>
                <w:sz w:val="18"/>
                <w:szCs w:val="18"/>
                <w:lang w:eastAsia="hr-HR"/>
              </w:rPr>
            </w:pPr>
            <w:r w:rsidRPr="00C779A5">
              <w:rPr>
                <w:rFonts w:ascii="Tahoma" w:eastAsia="Times New Roman" w:hAnsi="Tahoma" w:cs="Tahoma"/>
                <w:sz w:val="18"/>
                <w:szCs w:val="18"/>
                <w:lang w:eastAsia="hr-HR"/>
              </w:rPr>
              <w:t>Zdravstveno stanje</w:t>
            </w:r>
          </w:p>
        </w:tc>
        <w:tc>
          <w:tcPr>
            <w:tcW w:w="557" w:type="dxa"/>
            <w:tcBorders>
              <w:top w:val="nil"/>
              <w:left w:val="nil"/>
              <w:bottom w:val="single" w:sz="4" w:space="0" w:color="auto"/>
              <w:right w:val="single" w:sz="4" w:space="0" w:color="auto"/>
            </w:tcBorders>
            <w:shd w:val="clear" w:color="000000" w:fill="FFCC99"/>
            <w:noWrap/>
            <w:vAlign w:val="bottom"/>
            <w:hideMark/>
          </w:tcPr>
          <w:p w14:paraId="6212AA95" w14:textId="77777777" w:rsidR="00C779A5" w:rsidRPr="00C779A5" w:rsidRDefault="00C779A5" w:rsidP="00C779A5">
            <w:pPr>
              <w:spacing w:after="0" w:line="240" w:lineRule="auto"/>
              <w:jc w:val="center"/>
              <w:rPr>
                <w:rFonts w:ascii="Tahoma" w:eastAsia="Times New Roman" w:hAnsi="Tahoma" w:cs="Tahoma"/>
                <w:sz w:val="18"/>
                <w:szCs w:val="18"/>
                <w:lang w:eastAsia="hr-HR"/>
              </w:rPr>
            </w:pPr>
            <w:r w:rsidRPr="00C779A5">
              <w:rPr>
                <w:rFonts w:ascii="Tahoma" w:eastAsia="Times New Roman" w:hAnsi="Tahoma" w:cs="Tahoma"/>
                <w:sz w:val="18"/>
                <w:szCs w:val="18"/>
                <w:lang w:eastAsia="hr-HR"/>
              </w:rPr>
              <w:t>8</w:t>
            </w:r>
          </w:p>
        </w:tc>
        <w:tc>
          <w:tcPr>
            <w:tcW w:w="444" w:type="dxa"/>
            <w:tcBorders>
              <w:top w:val="nil"/>
              <w:left w:val="nil"/>
              <w:bottom w:val="single" w:sz="4" w:space="0" w:color="auto"/>
              <w:right w:val="single" w:sz="4" w:space="0" w:color="auto"/>
            </w:tcBorders>
            <w:shd w:val="clear" w:color="000000" w:fill="FFFF00"/>
            <w:noWrap/>
            <w:vAlign w:val="bottom"/>
            <w:hideMark/>
          </w:tcPr>
          <w:p w14:paraId="0127040E" w14:textId="77777777" w:rsidR="00C779A5" w:rsidRPr="00C779A5" w:rsidRDefault="00C779A5" w:rsidP="00C779A5">
            <w:pPr>
              <w:spacing w:after="0" w:line="240" w:lineRule="auto"/>
              <w:jc w:val="center"/>
              <w:rPr>
                <w:rFonts w:ascii="Tahoma" w:eastAsia="Times New Roman" w:hAnsi="Tahoma" w:cs="Tahoma"/>
                <w:sz w:val="18"/>
                <w:szCs w:val="18"/>
                <w:lang w:eastAsia="hr-HR"/>
              </w:rPr>
            </w:pPr>
            <w:r w:rsidRPr="00C779A5">
              <w:rPr>
                <w:rFonts w:ascii="Tahoma" w:eastAsia="Times New Roman" w:hAnsi="Tahoma" w:cs="Tahoma"/>
                <w:sz w:val="18"/>
                <w:szCs w:val="18"/>
                <w:lang w:eastAsia="hr-HR"/>
              </w:rPr>
              <w:t>1</w:t>
            </w:r>
          </w:p>
        </w:tc>
        <w:tc>
          <w:tcPr>
            <w:tcW w:w="399" w:type="dxa"/>
            <w:tcBorders>
              <w:top w:val="nil"/>
              <w:left w:val="nil"/>
              <w:bottom w:val="single" w:sz="4" w:space="0" w:color="auto"/>
              <w:right w:val="single" w:sz="4" w:space="0" w:color="auto"/>
            </w:tcBorders>
            <w:shd w:val="clear" w:color="000000" w:fill="CCFFFF"/>
            <w:noWrap/>
            <w:vAlign w:val="bottom"/>
            <w:hideMark/>
          </w:tcPr>
          <w:p w14:paraId="50D32C1B" w14:textId="77777777" w:rsidR="00C779A5" w:rsidRPr="00C779A5" w:rsidRDefault="00C779A5" w:rsidP="00C779A5">
            <w:pPr>
              <w:spacing w:after="0" w:line="240" w:lineRule="auto"/>
              <w:jc w:val="right"/>
              <w:rPr>
                <w:rFonts w:ascii="Tahoma" w:eastAsia="Times New Roman" w:hAnsi="Tahoma" w:cs="Tahoma"/>
                <w:sz w:val="18"/>
                <w:szCs w:val="18"/>
                <w:lang w:eastAsia="hr-HR"/>
              </w:rPr>
            </w:pPr>
            <w:r w:rsidRPr="00C779A5">
              <w:rPr>
                <w:rFonts w:ascii="Tahoma" w:eastAsia="Times New Roman" w:hAnsi="Tahoma" w:cs="Tahoma"/>
                <w:sz w:val="18"/>
                <w:szCs w:val="18"/>
                <w:lang w:eastAsia="hr-HR"/>
              </w:rPr>
              <w:t>1</w:t>
            </w:r>
          </w:p>
        </w:tc>
        <w:tc>
          <w:tcPr>
            <w:tcW w:w="425" w:type="dxa"/>
            <w:tcBorders>
              <w:top w:val="nil"/>
              <w:left w:val="nil"/>
              <w:bottom w:val="single" w:sz="4" w:space="0" w:color="auto"/>
              <w:right w:val="single" w:sz="4" w:space="0" w:color="auto"/>
            </w:tcBorders>
            <w:shd w:val="clear" w:color="000000" w:fill="CCFFFF"/>
            <w:noWrap/>
            <w:vAlign w:val="bottom"/>
            <w:hideMark/>
          </w:tcPr>
          <w:p w14:paraId="504FE94A" w14:textId="77777777" w:rsidR="00C779A5" w:rsidRPr="00C779A5" w:rsidRDefault="00C779A5" w:rsidP="00C779A5">
            <w:pPr>
              <w:spacing w:after="0" w:line="240" w:lineRule="auto"/>
              <w:jc w:val="right"/>
              <w:rPr>
                <w:rFonts w:ascii="Tahoma" w:eastAsia="Times New Roman" w:hAnsi="Tahoma" w:cs="Tahoma"/>
                <w:sz w:val="18"/>
                <w:szCs w:val="18"/>
                <w:lang w:eastAsia="hr-HR"/>
              </w:rPr>
            </w:pPr>
            <w:r w:rsidRPr="00C779A5">
              <w:rPr>
                <w:rFonts w:ascii="Tahoma" w:eastAsia="Times New Roman" w:hAnsi="Tahoma" w:cs="Tahoma"/>
                <w:sz w:val="18"/>
                <w:szCs w:val="18"/>
                <w:lang w:eastAsia="hr-HR"/>
              </w:rPr>
              <w:t>0</w:t>
            </w:r>
          </w:p>
        </w:tc>
        <w:tc>
          <w:tcPr>
            <w:tcW w:w="574" w:type="dxa"/>
            <w:tcBorders>
              <w:top w:val="nil"/>
              <w:left w:val="nil"/>
              <w:bottom w:val="single" w:sz="4" w:space="0" w:color="auto"/>
              <w:right w:val="single" w:sz="4" w:space="0" w:color="auto"/>
            </w:tcBorders>
            <w:shd w:val="clear" w:color="000000" w:fill="FFFF99"/>
            <w:noWrap/>
            <w:vAlign w:val="bottom"/>
            <w:hideMark/>
          </w:tcPr>
          <w:p w14:paraId="24B5AD40" w14:textId="77777777" w:rsidR="00C779A5" w:rsidRPr="00C779A5" w:rsidRDefault="00C779A5" w:rsidP="00C779A5">
            <w:pPr>
              <w:spacing w:after="0" w:line="240" w:lineRule="auto"/>
              <w:jc w:val="center"/>
              <w:rPr>
                <w:rFonts w:ascii="Tahoma" w:eastAsia="Times New Roman" w:hAnsi="Tahoma" w:cs="Tahoma"/>
                <w:sz w:val="18"/>
                <w:szCs w:val="18"/>
                <w:lang w:eastAsia="hr-HR"/>
              </w:rPr>
            </w:pPr>
            <w:r w:rsidRPr="00C779A5">
              <w:rPr>
                <w:rFonts w:ascii="Tahoma" w:eastAsia="Times New Roman" w:hAnsi="Tahoma" w:cs="Tahoma"/>
                <w:sz w:val="18"/>
                <w:szCs w:val="18"/>
                <w:lang w:eastAsia="hr-HR"/>
              </w:rPr>
              <w:t>1</w:t>
            </w:r>
          </w:p>
        </w:tc>
        <w:tc>
          <w:tcPr>
            <w:tcW w:w="706" w:type="dxa"/>
            <w:tcBorders>
              <w:top w:val="nil"/>
              <w:left w:val="nil"/>
              <w:bottom w:val="single" w:sz="4" w:space="0" w:color="auto"/>
              <w:right w:val="single" w:sz="4" w:space="0" w:color="auto"/>
            </w:tcBorders>
            <w:shd w:val="clear" w:color="000000" w:fill="FFFF99"/>
            <w:noWrap/>
            <w:vAlign w:val="bottom"/>
            <w:hideMark/>
          </w:tcPr>
          <w:p w14:paraId="68C44345" w14:textId="77777777" w:rsidR="00C779A5" w:rsidRPr="00C779A5" w:rsidRDefault="00C779A5" w:rsidP="00C779A5">
            <w:pPr>
              <w:spacing w:after="0" w:line="240" w:lineRule="auto"/>
              <w:jc w:val="center"/>
              <w:rPr>
                <w:rFonts w:ascii="Tahoma" w:eastAsia="Times New Roman" w:hAnsi="Tahoma" w:cs="Tahoma"/>
                <w:sz w:val="18"/>
                <w:szCs w:val="18"/>
                <w:lang w:eastAsia="hr-HR"/>
              </w:rPr>
            </w:pPr>
            <w:r w:rsidRPr="00C779A5">
              <w:rPr>
                <w:rFonts w:ascii="Tahoma" w:eastAsia="Times New Roman" w:hAnsi="Tahoma" w:cs="Tahoma"/>
                <w:sz w:val="18"/>
                <w:szCs w:val="18"/>
                <w:lang w:eastAsia="hr-HR"/>
              </w:rPr>
              <w:t>0</w:t>
            </w:r>
          </w:p>
        </w:tc>
        <w:tc>
          <w:tcPr>
            <w:tcW w:w="565" w:type="dxa"/>
            <w:tcBorders>
              <w:top w:val="nil"/>
              <w:left w:val="nil"/>
              <w:bottom w:val="single" w:sz="4" w:space="0" w:color="auto"/>
              <w:right w:val="single" w:sz="4" w:space="0" w:color="auto"/>
            </w:tcBorders>
            <w:shd w:val="clear" w:color="000000" w:fill="FFFF99"/>
            <w:noWrap/>
            <w:vAlign w:val="bottom"/>
            <w:hideMark/>
          </w:tcPr>
          <w:p w14:paraId="4C5591CC" w14:textId="77777777" w:rsidR="00C779A5" w:rsidRPr="00C779A5" w:rsidRDefault="00C779A5" w:rsidP="00C779A5">
            <w:pPr>
              <w:spacing w:after="0" w:line="240" w:lineRule="auto"/>
              <w:jc w:val="center"/>
              <w:rPr>
                <w:rFonts w:ascii="Tahoma" w:eastAsia="Times New Roman" w:hAnsi="Tahoma" w:cs="Tahoma"/>
                <w:sz w:val="18"/>
                <w:szCs w:val="18"/>
                <w:lang w:eastAsia="hr-HR"/>
              </w:rPr>
            </w:pPr>
            <w:r w:rsidRPr="00C779A5">
              <w:rPr>
                <w:rFonts w:ascii="Tahoma" w:eastAsia="Times New Roman" w:hAnsi="Tahoma" w:cs="Tahoma"/>
                <w:sz w:val="18"/>
                <w:szCs w:val="18"/>
                <w:lang w:eastAsia="hr-HR"/>
              </w:rPr>
              <w:t>0</w:t>
            </w:r>
          </w:p>
        </w:tc>
        <w:tc>
          <w:tcPr>
            <w:tcW w:w="565" w:type="dxa"/>
            <w:tcBorders>
              <w:top w:val="nil"/>
              <w:left w:val="nil"/>
              <w:bottom w:val="single" w:sz="4" w:space="0" w:color="auto"/>
              <w:right w:val="single" w:sz="4" w:space="0" w:color="auto"/>
            </w:tcBorders>
            <w:shd w:val="clear" w:color="000000" w:fill="FFFF99"/>
            <w:noWrap/>
            <w:vAlign w:val="bottom"/>
            <w:hideMark/>
          </w:tcPr>
          <w:p w14:paraId="09C70FE3" w14:textId="77777777" w:rsidR="00C779A5" w:rsidRPr="00C779A5" w:rsidRDefault="00C779A5" w:rsidP="00C779A5">
            <w:pPr>
              <w:spacing w:after="0" w:line="240" w:lineRule="auto"/>
              <w:jc w:val="center"/>
              <w:rPr>
                <w:rFonts w:ascii="Tahoma" w:eastAsia="Times New Roman" w:hAnsi="Tahoma" w:cs="Tahoma"/>
                <w:sz w:val="18"/>
                <w:szCs w:val="18"/>
                <w:lang w:eastAsia="hr-HR"/>
              </w:rPr>
            </w:pPr>
            <w:r w:rsidRPr="00C779A5">
              <w:rPr>
                <w:rFonts w:ascii="Tahoma" w:eastAsia="Times New Roman" w:hAnsi="Tahoma" w:cs="Tahoma"/>
                <w:sz w:val="18"/>
                <w:szCs w:val="18"/>
                <w:lang w:eastAsia="hr-HR"/>
              </w:rPr>
              <w:t>0</w:t>
            </w:r>
          </w:p>
        </w:tc>
        <w:tc>
          <w:tcPr>
            <w:tcW w:w="467" w:type="dxa"/>
            <w:tcBorders>
              <w:top w:val="nil"/>
              <w:left w:val="nil"/>
              <w:bottom w:val="single" w:sz="4" w:space="0" w:color="auto"/>
              <w:right w:val="single" w:sz="4" w:space="0" w:color="auto"/>
            </w:tcBorders>
            <w:shd w:val="clear" w:color="000000" w:fill="FFFF99"/>
            <w:noWrap/>
            <w:vAlign w:val="bottom"/>
            <w:hideMark/>
          </w:tcPr>
          <w:p w14:paraId="34B92399" w14:textId="77777777" w:rsidR="00C779A5" w:rsidRPr="00C779A5" w:rsidRDefault="00C779A5" w:rsidP="00C779A5">
            <w:pPr>
              <w:spacing w:after="0" w:line="240" w:lineRule="auto"/>
              <w:jc w:val="center"/>
              <w:rPr>
                <w:rFonts w:ascii="Tahoma" w:eastAsia="Times New Roman" w:hAnsi="Tahoma" w:cs="Tahoma"/>
                <w:sz w:val="18"/>
                <w:szCs w:val="18"/>
                <w:lang w:eastAsia="hr-HR"/>
              </w:rPr>
            </w:pPr>
            <w:r w:rsidRPr="00C779A5">
              <w:rPr>
                <w:rFonts w:ascii="Tahoma" w:eastAsia="Times New Roman" w:hAnsi="Tahoma" w:cs="Tahoma"/>
                <w:sz w:val="18"/>
                <w:szCs w:val="18"/>
                <w:lang w:eastAsia="hr-HR"/>
              </w:rPr>
              <w:t>0</w:t>
            </w:r>
          </w:p>
        </w:tc>
        <w:tc>
          <w:tcPr>
            <w:tcW w:w="805" w:type="dxa"/>
            <w:tcBorders>
              <w:top w:val="nil"/>
              <w:left w:val="nil"/>
              <w:bottom w:val="single" w:sz="4" w:space="0" w:color="auto"/>
              <w:right w:val="single" w:sz="4" w:space="0" w:color="auto"/>
            </w:tcBorders>
            <w:shd w:val="clear" w:color="000000" w:fill="FFFF99"/>
            <w:noWrap/>
            <w:vAlign w:val="bottom"/>
            <w:hideMark/>
          </w:tcPr>
          <w:p w14:paraId="3D977DE6" w14:textId="77777777" w:rsidR="00C779A5" w:rsidRPr="00C779A5" w:rsidRDefault="00C779A5" w:rsidP="00C779A5">
            <w:pPr>
              <w:spacing w:after="0" w:line="240" w:lineRule="auto"/>
              <w:jc w:val="center"/>
              <w:rPr>
                <w:rFonts w:ascii="Tahoma" w:eastAsia="Times New Roman" w:hAnsi="Tahoma" w:cs="Tahoma"/>
                <w:sz w:val="18"/>
                <w:szCs w:val="18"/>
                <w:lang w:eastAsia="hr-HR"/>
              </w:rPr>
            </w:pPr>
            <w:r w:rsidRPr="00C779A5">
              <w:rPr>
                <w:rFonts w:ascii="Tahoma" w:eastAsia="Times New Roman" w:hAnsi="Tahoma" w:cs="Tahoma"/>
                <w:sz w:val="18"/>
                <w:szCs w:val="18"/>
                <w:lang w:eastAsia="hr-HR"/>
              </w:rPr>
              <w:t>0</w:t>
            </w:r>
          </w:p>
        </w:tc>
        <w:tc>
          <w:tcPr>
            <w:tcW w:w="467" w:type="dxa"/>
            <w:gridSpan w:val="2"/>
            <w:tcBorders>
              <w:top w:val="nil"/>
              <w:left w:val="nil"/>
              <w:bottom w:val="single" w:sz="4" w:space="0" w:color="auto"/>
              <w:right w:val="single" w:sz="4" w:space="0" w:color="auto"/>
            </w:tcBorders>
            <w:shd w:val="clear" w:color="000000" w:fill="FF9900"/>
            <w:noWrap/>
            <w:vAlign w:val="bottom"/>
            <w:hideMark/>
          </w:tcPr>
          <w:p w14:paraId="77C5A7CF" w14:textId="77777777" w:rsidR="00C779A5" w:rsidRPr="00C779A5" w:rsidRDefault="00C779A5" w:rsidP="00C779A5">
            <w:pPr>
              <w:spacing w:after="0" w:line="240" w:lineRule="auto"/>
              <w:jc w:val="right"/>
              <w:rPr>
                <w:rFonts w:ascii="Tahoma" w:eastAsia="Times New Roman" w:hAnsi="Tahoma" w:cs="Tahoma"/>
                <w:sz w:val="18"/>
                <w:szCs w:val="18"/>
                <w:lang w:eastAsia="hr-HR"/>
              </w:rPr>
            </w:pPr>
            <w:r w:rsidRPr="00C779A5">
              <w:rPr>
                <w:rFonts w:ascii="Tahoma" w:eastAsia="Times New Roman" w:hAnsi="Tahoma" w:cs="Tahoma"/>
                <w:sz w:val="18"/>
                <w:szCs w:val="18"/>
                <w:lang w:eastAsia="hr-HR"/>
              </w:rPr>
              <w:t>0</w:t>
            </w:r>
          </w:p>
        </w:tc>
        <w:tc>
          <w:tcPr>
            <w:tcW w:w="522" w:type="dxa"/>
            <w:tcBorders>
              <w:top w:val="nil"/>
              <w:left w:val="nil"/>
              <w:bottom w:val="single" w:sz="4" w:space="0" w:color="auto"/>
              <w:right w:val="single" w:sz="4" w:space="0" w:color="auto"/>
            </w:tcBorders>
            <w:shd w:val="clear" w:color="000000" w:fill="FF9900"/>
            <w:noWrap/>
            <w:vAlign w:val="bottom"/>
            <w:hideMark/>
          </w:tcPr>
          <w:p w14:paraId="74C3A66F" w14:textId="77777777" w:rsidR="00C779A5" w:rsidRPr="00C779A5" w:rsidRDefault="00C779A5" w:rsidP="00C779A5">
            <w:pPr>
              <w:spacing w:after="0" w:line="240" w:lineRule="auto"/>
              <w:jc w:val="right"/>
              <w:rPr>
                <w:rFonts w:ascii="Tahoma" w:eastAsia="Times New Roman" w:hAnsi="Tahoma" w:cs="Tahoma"/>
                <w:sz w:val="18"/>
                <w:szCs w:val="18"/>
                <w:lang w:eastAsia="hr-HR"/>
              </w:rPr>
            </w:pPr>
            <w:r w:rsidRPr="00C779A5">
              <w:rPr>
                <w:rFonts w:ascii="Tahoma" w:eastAsia="Times New Roman" w:hAnsi="Tahoma" w:cs="Tahoma"/>
                <w:sz w:val="18"/>
                <w:szCs w:val="18"/>
                <w:lang w:eastAsia="hr-HR"/>
              </w:rPr>
              <w:t>2</w:t>
            </w:r>
          </w:p>
        </w:tc>
        <w:tc>
          <w:tcPr>
            <w:tcW w:w="467" w:type="dxa"/>
            <w:tcBorders>
              <w:top w:val="nil"/>
              <w:left w:val="nil"/>
              <w:bottom w:val="single" w:sz="4" w:space="0" w:color="auto"/>
              <w:right w:val="single" w:sz="4" w:space="0" w:color="auto"/>
            </w:tcBorders>
            <w:shd w:val="clear" w:color="000000" w:fill="FF9900"/>
            <w:noWrap/>
            <w:vAlign w:val="bottom"/>
            <w:hideMark/>
          </w:tcPr>
          <w:p w14:paraId="10D4E271" w14:textId="77777777" w:rsidR="00C779A5" w:rsidRPr="00C779A5" w:rsidRDefault="00C779A5" w:rsidP="00C779A5">
            <w:pPr>
              <w:spacing w:after="0" w:line="240" w:lineRule="auto"/>
              <w:jc w:val="right"/>
              <w:rPr>
                <w:rFonts w:ascii="Tahoma" w:eastAsia="Times New Roman" w:hAnsi="Tahoma" w:cs="Tahoma"/>
                <w:sz w:val="18"/>
                <w:szCs w:val="18"/>
                <w:lang w:eastAsia="hr-HR"/>
              </w:rPr>
            </w:pPr>
            <w:r w:rsidRPr="00C779A5">
              <w:rPr>
                <w:rFonts w:ascii="Tahoma" w:eastAsia="Times New Roman" w:hAnsi="Tahoma" w:cs="Tahoma"/>
                <w:sz w:val="18"/>
                <w:szCs w:val="18"/>
                <w:lang w:eastAsia="hr-HR"/>
              </w:rPr>
              <w:t>0</w:t>
            </w:r>
          </w:p>
        </w:tc>
        <w:tc>
          <w:tcPr>
            <w:tcW w:w="467" w:type="dxa"/>
            <w:tcBorders>
              <w:top w:val="nil"/>
              <w:left w:val="nil"/>
              <w:bottom w:val="single" w:sz="4" w:space="0" w:color="auto"/>
              <w:right w:val="single" w:sz="4" w:space="0" w:color="auto"/>
            </w:tcBorders>
            <w:shd w:val="clear" w:color="000000" w:fill="FFFF00"/>
            <w:vAlign w:val="center"/>
            <w:hideMark/>
          </w:tcPr>
          <w:p w14:paraId="51FFD51A" w14:textId="77777777" w:rsidR="00C779A5" w:rsidRPr="00C779A5" w:rsidRDefault="00C779A5" w:rsidP="00C779A5">
            <w:pPr>
              <w:spacing w:after="0" w:line="240" w:lineRule="auto"/>
              <w:jc w:val="center"/>
              <w:rPr>
                <w:rFonts w:ascii="Tahoma" w:eastAsia="Times New Roman" w:hAnsi="Tahoma" w:cs="Tahoma"/>
                <w:sz w:val="18"/>
                <w:szCs w:val="18"/>
                <w:lang w:eastAsia="hr-HR"/>
              </w:rPr>
            </w:pPr>
            <w:r w:rsidRPr="00C779A5">
              <w:rPr>
                <w:rFonts w:ascii="Tahoma" w:eastAsia="Times New Roman" w:hAnsi="Tahoma" w:cs="Tahoma"/>
                <w:sz w:val="18"/>
                <w:szCs w:val="18"/>
                <w:lang w:eastAsia="hr-HR"/>
              </w:rPr>
              <w:t>2</w:t>
            </w:r>
          </w:p>
        </w:tc>
        <w:tc>
          <w:tcPr>
            <w:tcW w:w="877" w:type="dxa"/>
            <w:gridSpan w:val="2"/>
            <w:tcBorders>
              <w:top w:val="nil"/>
              <w:left w:val="nil"/>
              <w:bottom w:val="single" w:sz="4" w:space="0" w:color="auto"/>
              <w:right w:val="single" w:sz="4" w:space="0" w:color="auto"/>
            </w:tcBorders>
            <w:shd w:val="clear" w:color="000000" w:fill="FF9900"/>
            <w:vAlign w:val="center"/>
            <w:hideMark/>
          </w:tcPr>
          <w:p w14:paraId="5E9F2E4B" w14:textId="77777777" w:rsidR="00C779A5" w:rsidRPr="00C779A5" w:rsidRDefault="00C779A5" w:rsidP="00C779A5">
            <w:pPr>
              <w:spacing w:after="0" w:line="240" w:lineRule="auto"/>
              <w:jc w:val="center"/>
              <w:rPr>
                <w:rFonts w:ascii="Tahoma" w:eastAsia="Times New Roman" w:hAnsi="Tahoma" w:cs="Tahoma"/>
                <w:sz w:val="18"/>
                <w:szCs w:val="18"/>
                <w:lang w:eastAsia="hr-HR"/>
              </w:rPr>
            </w:pPr>
            <w:r w:rsidRPr="00C779A5">
              <w:rPr>
                <w:rFonts w:ascii="Tahoma" w:eastAsia="Times New Roman" w:hAnsi="Tahoma" w:cs="Tahoma"/>
                <w:sz w:val="18"/>
                <w:szCs w:val="18"/>
                <w:lang w:eastAsia="hr-HR"/>
              </w:rPr>
              <w:t>7</w:t>
            </w:r>
          </w:p>
        </w:tc>
        <w:tc>
          <w:tcPr>
            <w:tcW w:w="576" w:type="dxa"/>
            <w:gridSpan w:val="2"/>
            <w:tcBorders>
              <w:top w:val="nil"/>
              <w:left w:val="nil"/>
              <w:bottom w:val="single" w:sz="4" w:space="0" w:color="auto"/>
              <w:right w:val="single" w:sz="4" w:space="0" w:color="auto"/>
            </w:tcBorders>
            <w:shd w:val="clear" w:color="000000" w:fill="FF9900"/>
            <w:noWrap/>
            <w:vAlign w:val="center"/>
            <w:hideMark/>
          </w:tcPr>
          <w:p w14:paraId="1BBFEA03" w14:textId="77777777" w:rsidR="00C779A5" w:rsidRPr="00C779A5" w:rsidRDefault="00C779A5" w:rsidP="00C779A5">
            <w:pPr>
              <w:spacing w:after="0" w:line="240" w:lineRule="auto"/>
              <w:jc w:val="center"/>
              <w:rPr>
                <w:rFonts w:ascii="Tahoma" w:eastAsia="Times New Roman" w:hAnsi="Tahoma" w:cs="Tahoma"/>
                <w:sz w:val="18"/>
                <w:szCs w:val="18"/>
                <w:lang w:eastAsia="hr-HR"/>
              </w:rPr>
            </w:pPr>
            <w:r w:rsidRPr="00C779A5">
              <w:rPr>
                <w:rFonts w:ascii="Tahoma" w:eastAsia="Times New Roman" w:hAnsi="Tahoma" w:cs="Tahoma"/>
                <w:sz w:val="18"/>
                <w:szCs w:val="18"/>
                <w:lang w:eastAsia="hr-HR"/>
              </w:rPr>
              <w:t>2</w:t>
            </w:r>
          </w:p>
        </w:tc>
        <w:tc>
          <w:tcPr>
            <w:tcW w:w="440" w:type="dxa"/>
            <w:tcBorders>
              <w:top w:val="nil"/>
              <w:left w:val="nil"/>
              <w:bottom w:val="single" w:sz="4" w:space="0" w:color="auto"/>
              <w:right w:val="single" w:sz="4" w:space="0" w:color="auto"/>
            </w:tcBorders>
            <w:shd w:val="clear" w:color="000000" w:fill="FF9900"/>
            <w:noWrap/>
            <w:vAlign w:val="center"/>
            <w:hideMark/>
          </w:tcPr>
          <w:p w14:paraId="2C8124BF" w14:textId="77777777" w:rsidR="00C779A5" w:rsidRPr="00C779A5" w:rsidRDefault="00C779A5" w:rsidP="00C779A5">
            <w:pPr>
              <w:spacing w:after="0" w:line="240" w:lineRule="auto"/>
              <w:jc w:val="center"/>
              <w:rPr>
                <w:rFonts w:ascii="Tahoma" w:eastAsia="Times New Roman" w:hAnsi="Tahoma" w:cs="Tahoma"/>
                <w:sz w:val="18"/>
                <w:szCs w:val="18"/>
                <w:lang w:eastAsia="hr-HR"/>
              </w:rPr>
            </w:pPr>
            <w:r w:rsidRPr="00C779A5">
              <w:rPr>
                <w:rFonts w:ascii="Tahoma" w:eastAsia="Times New Roman" w:hAnsi="Tahoma" w:cs="Tahoma"/>
                <w:sz w:val="18"/>
                <w:szCs w:val="18"/>
                <w:lang w:eastAsia="hr-HR"/>
              </w:rPr>
              <w:t>0</w:t>
            </w:r>
          </w:p>
        </w:tc>
        <w:tc>
          <w:tcPr>
            <w:tcW w:w="793" w:type="dxa"/>
            <w:tcBorders>
              <w:top w:val="nil"/>
              <w:left w:val="nil"/>
              <w:bottom w:val="single" w:sz="4" w:space="0" w:color="auto"/>
              <w:right w:val="single" w:sz="4" w:space="0" w:color="auto"/>
            </w:tcBorders>
            <w:shd w:val="clear" w:color="000000" w:fill="FF9900"/>
            <w:noWrap/>
            <w:vAlign w:val="center"/>
            <w:hideMark/>
          </w:tcPr>
          <w:p w14:paraId="716B7AF1" w14:textId="77777777" w:rsidR="00C779A5" w:rsidRPr="00C779A5" w:rsidRDefault="00C779A5" w:rsidP="00C779A5">
            <w:pPr>
              <w:spacing w:after="0" w:line="240" w:lineRule="auto"/>
              <w:jc w:val="center"/>
              <w:rPr>
                <w:rFonts w:ascii="Tahoma" w:eastAsia="Times New Roman" w:hAnsi="Tahoma" w:cs="Tahoma"/>
                <w:sz w:val="18"/>
                <w:szCs w:val="18"/>
                <w:lang w:eastAsia="hr-HR"/>
              </w:rPr>
            </w:pPr>
            <w:r w:rsidRPr="00C779A5">
              <w:rPr>
                <w:rFonts w:ascii="Tahoma" w:eastAsia="Times New Roman" w:hAnsi="Tahoma" w:cs="Tahoma"/>
                <w:sz w:val="18"/>
                <w:szCs w:val="18"/>
                <w:lang w:eastAsia="hr-HR"/>
              </w:rPr>
              <w:t>2</w:t>
            </w:r>
          </w:p>
        </w:tc>
        <w:tc>
          <w:tcPr>
            <w:tcW w:w="645" w:type="dxa"/>
            <w:gridSpan w:val="2"/>
            <w:tcBorders>
              <w:top w:val="nil"/>
              <w:left w:val="nil"/>
              <w:bottom w:val="single" w:sz="4" w:space="0" w:color="auto"/>
              <w:right w:val="single" w:sz="4" w:space="0" w:color="auto"/>
            </w:tcBorders>
            <w:shd w:val="clear" w:color="000000" w:fill="CCFFFF"/>
            <w:noWrap/>
            <w:vAlign w:val="bottom"/>
            <w:hideMark/>
          </w:tcPr>
          <w:p w14:paraId="43585B4C" w14:textId="77777777" w:rsidR="00C779A5" w:rsidRPr="00C779A5" w:rsidRDefault="00C779A5" w:rsidP="00C779A5">
            <w:pPr>
              <w:spacing w:after="0" w:line="240" w:lineRule="auto"/>
              <w:jc w:val="right"/>
              <w:rPr>
                <w:rFonts w:ascii="Tahoma" w:eastAsia="Times New Roman" w:hAnsi="Tahoma" w:cs="Tahoma"/>
                <w:sz w:val="18"/>
                <w:szCs w:val="18"/>
                <w:lang w:eastAsia="hr-HR"/>
              </w:rPr>
            </w:pPr>
            <w:r w:rsidRPr="00C779A5">
              <w:rPr>
                <w:rFonts w:ascii="Tahoma" w:eastAsia="Times New Roman" w:hAnsi="Tahoma" w:cs="Tahoma"/>
                <w:sz w:val="18"/>
                <w:szCs w:val="18"/>
                <w:lang w:eastAsia="hr-HR"/>
              </w:rPr>
              <w:t>0</w:t>
            </w:r>
          </w:p>
        </w:tc>
        <w:tc>
          <w:tcPr>
            <w:tcW w:w="467" w:type="dxa"/>
            <w:tcBorders>
              <w:top w:val="nil"/>
              <w:left w:val="nil"/>
              <w:bottom w:val="single" w:sz="4" w:space="0" w:color="auto"/>
              <w:right w:val="single" w:sz="4" w:space="0" w:color="auto"/>
            </w:tcBorders>
            <w:shd w:val="clear" w:color="000000" w:fill="CCFFFF"/>
            <w:noWrap/>
            <w:vAlign w:val="bottom"/>
            <w:hideMark/>
          </w:tcPr>
          <w:p w14:paraId="2FB3543E" w14:textId="77777777" w:rsidR="00C779A5" w:rsidRPr="00C779A5" w:rsidRDefault="00C779A5" w:rsidP="00C779A5">
            <w:pPr>
              <w:spacing w:after="0" w:line="240" w:lineRule="auto"/>
              <w:jc w:val="right"/>
              <w:rPr>
                <w:rFonts w:ascii="Tahoma" w:eastAsia="Times New Roman" w:hAnsi="Tahoma" w:cs="Tahoma"/>
                <w:sz w:val="18"/>
                <w:szCs w:val="18"/>
                <w:lang w:eastAsia="hr-HR"/>
              </w:rPr>
            </w:pPr>
            <w:r w:rsidRPr="00C779A5">
              <w:rPr>
                <w:rFonts w:ascii="Tahoma" w:eastAsia="Times New Roman" w:hAnsi="Tahoma" w:cs="Tahoma"/>
                <w:sz w:val="18"/>
                <w:szCs w:val="18"/>
                <w:lang w:eastAsia="hr-HR"/>
              </w:rPr>
              <w:t>0</w:t>
            </w:r>
          </w:p>
        </w:tc>
        <w:tc>
          <w:tcPr>
            <w:tcW w:w="467" w:type="dxa"/>
            <w:tcBorders>
              <w:top w:val="nil"/>
              <w:left w:val="nil"/>
              <w:bottom w:val="single" w:sz="4" w:space="0" w:color="auto"/>
              <w:right w:val="single" w:sz="4" w:space="0" w:color="auto"/>
            </w:tcBorders>
            <w:shd w:val="clear" w:color="000000" w:fill="CCFFFF"/>
            <w:noWrap/>
            <w:vAlign w:val="bottom"/>
            <w:hideMark/>
          </w:tcPr>
          <w:p w14:paraId="0DB39C01" w14:textId="77777777" w:rsidR="00C779A5" w:rsidRPr="00C779A5" w:rsidRDefault="00C779A5" w:rsidP="00C779A5">
            <w:pPr>
              <w:spacing w:after="0" w:line="240" w:lineRule="auto"/>
              <w:jc w:val="right"/>
              <w:rPr>
                <w:rFonts w:ascii="Tahoma" w:eastAsia="Times New Roman" w:hAnsi="Tahoma" w:cs="Tahoma"/>
                <w:sz w:val="18"/>
                <w:szCs w:val="18"/>
                <w:lang w:eastAsia="hr-HR"/>
              </w:rPr>
            </w:pPr>
            <w:r w:rsidRPr="00C779A5">
              <w:rPr>
                <w:rFonts w:ascii="Tahoma" w:eastAsia="Times New Roman" w:hAnsi="Tahoma" w:cs="Tahoma"/>
                <w:sz w:val="18"/>
                <w:szCs w:val="18"/>
                <w:lang w:eastAsia="hr-HR"/>
              </w:rPr>
              <w:t>0</w:t>
            </w:r>
          </w:p>
        </w:tc>
        <w:tc>
          <w:tcPr>
            <w:tcW w:w="478" w:type="dxa"/>
            <w:gridSpan w:val="2"/>
            <w:tcBorders>
              <w:top w:val="nil"/>
              <w:left w:val="nil"/>
              <w:bottom w:val="single" w:sz="4" w:space="0" w:color="auto"/>
              <w:right w:val="nil"/>
            </w:tcBorders>
            <w:shd w:val="clear" w:color="000000" w:fill="33CCCC"/>
            <w:noWrap/>
            <w:vAlign w:val="bottom"/>
            <w:hideMark/>
          </w:tcPr>
          <w:p w14:paraId="3E747ECC" w14:textId="77777777" w:rsidR="00C779A5" w:rsidRPr="00C779A5" w:rsidRDefault="00C779A5" w:rsidP="00C779A5">
            <w:pPr>
              <w:spacing w:after="0" w:line="240" w:lineRule="auto"/>
              <w:jc w:val="right"/>
              <w:rPr>
                <w:rFonts w:ascii="Tahoma" w:eastAsia="Times New Roman" w:hAnsi="Tahoma" w:cs="Tahoma"/>
                <w:sz w:val="18"/>
                <w:szCs w:val="18"/>
                <w:lang w:eastAsia="hr-HR"/>
              </w:rPr>
            </w:pPr>
            <w:r w:rsidRPr="00C779A5">
              <w:rPr>
                <w:rFonts w:ascii="Tahoma" w:eastAsia="Times New Roman" w:hAnsi="Tahoma" w:cs="Tahoma"/>
                <w:sz w:val="18"/>
                <w:szCs w:val="18"/>
                <w:lang w:eastAsia="hr-HR"/>
              </w:rPr>
              <w:t>0</w:t>
            </w:r>
          </w:p>
        </w:tc>
        <w:tc>
          <w:tcPr>
            <w:tcW w:w="876" w:type="dxa"/>
            <w:tcBorders>
              <w:top w:val="nil"/>
              <w:left w:val="single" w:sz="4" w:space="0" w:color="auto"/>
              <w:bottom w:val="single" w:sz="4" w:space="0" w:color="auto"/>
              <w:right w:val="single" w:sz="8" w:space="0" w:color="auto"/>
            </w:tcBorders>
            <w:shd w:val="clear" w:color="000000" w:fill="33CCCC"/>
            <w:noWrap/>
            <w:vAlign w:val="bottom"/>
            <w:hideMark/>
          </w:tcPr>
          <w:p w14:paraId="163126F0" w14:textId="77777777" w:rsidR="00C779A5" w:rsidRPr="00C779A5" w:rsidRDefault="00C779A5" w:rsidP="00C779A5">
            <w:pPr>
              <w:spacing w:after="0" w:line="240" w:lineRule="auto"/>
              <w:jc w:val="right"/>
              <w:rPr>
                <w:rFonts w:ascii="Tahoma" w:eastAsia="Times New Roman" w:hAnsi="Tahoma" w:cs="Tahoma"/>
                <w:sz w:val="18"/>
                <w:szCs w:val="18"/>
                <w:lang w:eastAsia="hr-HR"/>
              </w:rPr>
            </w:pPr>
            <w:r w:rsidRPr="00C779A5">
              <w:rPr>
                <w:rFonts w:ascii="Tahoma" w:eastAsia="Times New Roman" w:hAnsi="Tahoma" w:cs="Tahoma"/>
                <w:sz w:val="18"/>
                <w:szCs w:val="18"/>
                <w:lang w:eastAsia="hr-HR"/>
              </w:rPr>
              <w:t>2</w:t>
            </w:r>
          </w:p>
        </w:tc>
        <w:tc>
          <w:tcPr>
            <w:tcW w:w="236" w:type="dxa"/>
            <w:gridSpan w:val="3"/>
            <w:vAlign w:val="center"/>
            <w:hideMark/>
          </w:tcPr>
          <w:p w14:paraId="76AF7BF5" w14:textId="77777777" w:rsidR="00C779A5" w:rsidRPr="00C779A5" w:rsidRDefault="00C779A5" w:rsidP="00C779A5">
            <w:pPr>
              <w:spacing w:after="0" w:line="240" w:lineRule="auto"/>
              <w:rPr>
                <w:rFonts w:ascii="Times New Roman" w:eastAsia="Times New Roman" w:hAnsi="Times New Roman" w:cs="Times New Roman"/>
                <w:sz w:val="18"/>
                <w:szCs w:val="18"/>
                <w:lang w:eastAsia="hr-HR"/>
              </w:rPr>
            </w:pPr>
          </w:p>
        </w:tc>
      </w:tr>
      <w:tr w:rsidR="00C779A5" w:rsidRPr="00C779A5" w14:paraId="22135A00" w14:textId="77777777" w:rsidTr="00C779A5">
        <w:trPr>
          <w:gridAfter w:val="2"/>
          <w:wAfter w:w="149" w:type="dxa"/>
          <w:trHeight w:val="300"/>
        </w:trPr>
        <w:tc>
          <w:tcPr>
            <w:tcW w:w="1567" w:type="dxa"/>
            <w:tcBorders>
              <w:top w:val="single" w:sz="4" w:space="0" w:color="auto"/>
              <w:left w:val="single" w:sz="8" w:space="0" w:color="auto"/>
              <w:bottom w:val="single" w:sz="4" w:space="0" w:color="auto"/>
              <w:right w:val="single" w:sz="4" w:space="0" w:color="auto"/>
            </w:tcBorders>
            <w:shd w:val="clear" w:color="000000" w:fill="CCFFCC"/>
            <w:vAlign w:val="center"/>
            <w:hideMark/>
          </w:tcPr>
          <w:p w14:paraId="5E9FFFB0" w14:textId="77777777" w:rsidR="00C779A5" w:rsidRPr="00C779A5" w:rsidRDefault="00C779A5" w:rsidP="00C779A5">
            <w:pPr>
              <w:spacing w:after="0" w:line="240" w:lineRule="auto"/>
              <w:rPr>
                <w:rFonts w:ascii="Tahoma" w:eastAsia="Times New Roman" w:hAnsi="Tahoma" w:cs="Tahoma"/>
                <w:sz w:val="18"/>
                <w:szCs w:val="18"/>
                <w:lang w:eastAsia="hr-HR"/>
              </w:rPr>
            </w:pPr>
            <w:r w:rsidRPr="00C779A5">
              <w:rPr>
                <w:rFonts w:ascii="Tahoma" w:eastAsia="Times New Roman" w:hAnsi="Tahoma" w:cs="Tahoma"/>
                <w:sz w:val="18"/>
                <w:szCs w:val="18"/>
                <w:lang w:eastAsia="hr-HR"/>
              </w:rPr>
              <w:t>Invaliditet</w:t>
            </w:r>
          </w:p>
        </w:tc>
        <w:tc>
          <w:tcPr>
            <w:tcW w:w="557" w:type="dxa"/>
            <w:tcBorders>
              <w:top w:val="nil"/>
              <w:left w:val="nil"/>
              <w:bottom w:val="single" w:sz="4" w:space="0" w:color="auto"/>
              <w:right w:val="single" w:sz="4" w:space="0" w:color="auto"/>
            </w:tcBorders>
            <w:shd w:val="clear" w:color="000000" w:fill="FFCC99"/>
            <w:noWrap/>
            <w:vAlign w:val="bottom"/>
            <w:hideMark/>
          </w:tcPr>
          <w:p w14:paraId="3B20EF96" w14:textId="77777777" w:rsidR="00C779A5" w:rsidRPr="00C779A5" w:rsidRDefault="00C779A5" w:rsidP="00C779A5">
            <w:pPr>
              <w:spacing w:after="0" w:line="240" w:lineRule="auto"/>
              <w:jc w:val="center"/>
              <w:rPr>
                <w:rFonts w:ascii="Tahoma" w:eastAsia="Times New Roman" w:hAnsi="Tahoma" w:cs="Tahoma"/>
                <w:sz w:val="18"/>
                <w:szCs w:val="18"/>
                <w:lang w:eastAsia="hr-HR"/>
              </w:rPr>
            </w:pPr>
            <w:r w:rsidRPr="00C779A5">
              <w:rPr>
                <w:rFonts w:ascii="Tahoma" w:eastAsia="Times New Roman" w:hAnsi="Tahoma" w:cs="Tahoma"/>
                <w:sz w:val="18"/>
                <w:szCs w:val="18"/>
                <w:lang w:eastAsia="hr-HR"/>
              </w:rPr>
              <w:t>3</w:t>
            </w:r>
          </w:p>
        </w:tc>
        <w:tc>
          <w:tcPr>
            <w:tcW w:w="444" w:type="dxa"/>
            <w:tcBorders>
              <w:top w:val="nil"/>
              <w:left w:val="nil"/>
              <w:bottom w:val="single" w:sz="4" w:space="0" w:color="auto"/>
              <w:right w:val="single" w:sz="4" w:space="0" w:color="auto"/>
            </w:tcBorders>
            <w:shd w:val="clear" w:color="000000" w:fill="FFFF00"/>
            <w:noWrap/>
            <w:vAlign w:val="bottom"/>
            <w:hideMark/>
          </w:tcPr>
          <w:p w14:paraId="79940F80" w14:textId="77777777" w:rsidR="00C779A5" w:rsidRPr="00C779A5" w:rsidRDefault="00C779A5" w:rsidP="00C779A5">
            <w:pPr>
              <w:spacing w:after="0" w:line="240" w:lineRule="auto"/>
              <w:jc w:val="center"/>
              <w:rPr>
                <w:rFonts w:ascii="Tahoma" w:eastAsia="Times New Roman" w:hAnsi="Tahoma" w:cs="Tahoma"/>
                <w:sz w:val="18"/>
                <w:szCs w:val="18"/>
                <w:lang w:eastAsia="hr-HR"/>
              </w:rPr>
            </w:pPr>
            <w:r w:rsidRPr="00C779A5">
              <w:rPr>
                <w:rFonts w:ascii="Tahoma" w:eastAsia="Times New Roman" w:hAnsi="Tahoma" w:cs="Tahoma"/>
                <w:sz w:val="18"/>
                <w:szCs w:val="18"/>
                <w:lang w:eastAsia="hr-HR"/>
              </w:rPr>
              <w:t>6</w:t>
            </w:r>
          </w:p>
        </w:tc>
        <w:tc>
          <w:tcPr>
            <w:tcW w:w="399" w:type="dxa"/>
            <w:tcBorders>
              <w:top w:val="nil"/>
              <w:left w:val="nil"/>
              <w:bottom w:val="single" w:sz="4" w:space="0" w:color="auto"/>
              <w:right w:val="single" w:sz="4" w:space="0" w:color="auto"/>
            </w:tcBorders>
            <w:shd w:val="clear" w:color="000000" w:fill="CCFFFF"/>
            <w:noWrap/>
            <w:vAlign w:val="bottom"/>
            <w:hideMark/>
          </w:tcPr>
          <w:p w14:paraId="4023A2AD" w14:textId="77777777" w:rsidR="00C779A5" w:rsidRPr="00C779A5" w:rsidRDefault="00C779A5" w:rsidP="00C779A5">
            <w:pPr>
              <w:spacing w:after="0" w:line="240" w:lineRule="auto"/>
              <w:jc w:val="right"/>
              <w:rPr>
                <w:rFonts w:ascii="Tahoma" w:eastAsia="Times New Roman" w:hAnsi="Tahoma" w:cs="Tahoma"/>
                <w:sz w:val="18"/>
                <w:szCs w:val="18"/>
                <w:lang w:eastAsia="hr-HR"/>
              </w:rPr>
            </w:pPr>
            <w:r w:rsidRPr="00C779A5">
              <w:rPr>
                <w:rFonts w:ascii="Tahoma" w:eastAsia="Times New Roman" w:hAnsi="Tahoma" w:cs="Tahoma"/>
                <w:sz w:val="18"/>
                <w:szCs w:val="18"/>
                <w:lang w:eastAsia="hr-HR"/>
              </w:rPr>
              <w:t>1</w:t>
            </w:r>
          </w:p>
        </w:tc>
        <w:tc>
          <w:tcPr>
            <w:tcW w:w="425" w:type="dxa"/>
            <w:tcBorders>
              <w:top w:val="nil"/>
              <w:left w:val="nil"/>
              <w:bottom w:val="single" w:sz="4" w:space="0" w:color="auto"/>
              <w:right w:val="single" w:sz="4" w:space="0" w:color="auto"/>
            </w:tcBorders>
            <w:shd w:val="clear" w:color="000000" w:fill="CCFFFF"/>
            <w:noWrap/>
            <w:vAlign w:val="bottom"/>
            <w:hideMark/>
          </w:tcPr>
          <w:p w14:paraId="3224A662" w14:textId="77777777" w:rsidR="00C779A5" w:rsidRPr="00C779A5" w:rsidRDefault="00C779A5" w:rsidP="00C779A5">
            <w:pPr>
              <w:spacing w:after="0" w:line="240" w:lineRule="auto"/>
              <w:jc w:val="right"/>
              <w:rPr>
                <w:rFonts w:ascii="Tahoma" w:eastAsia="Times New Roman" w:hAnsi="Tahoma" w:cs="Tahoma"/>
                <w:sz w:val="18"/>
                <w:szCs w:val="18"/>
                <w:lang w:eastAsia="hr-HR"/>
              </w:rPr>
            </w:pPr>
            <w:r w:rsidRPr="00C779A5">
              <w:rPr>
                <w:rFonts w:ascii="Tahoma" w:eastAsia="Times New Roman" w:hAnsi="Tahoma" w:cs="Tahoma"/>
                <w:sz w:val="18"/>
                <w:szCs w:val="18"/>
                <w:lang w:eastAsia="hr-HR"/>
              </w:rPr>
              <w:t>5</w:t>
            </w:r>
          </w:p>
        </w:tc>
        <w:tc>
          <w:tcPr>
            <w:tcW w:w="574" w:type="dxa"/>
            <w:tcBorders>
              <w:top w:val="nil"/>
              <w:left w:val="nil"/>
              <w:bottom w:val="single" w:sz="4" w:space="0" w:color="auto"/>
              <w:right w:val="single" w:sz="4" w:space="0" w:color="auto"/>
            </w:tcBorders>
            <w:shd w:val="clear" w:color="000000" w:fill="FFFF99"/>
            <w:noWrap/>
            <w:vAlign w:val="bottom"/>
            <w:hideMark/>
          </w:tcPr>
          <w:p w14:paraId="430FC7C8" w14:textId="77777777" w:rsidR="00C779A5" w:rsidRPr="00C779A5" w:rsidRDefault="00C779A5" w:rsidP="00C779A5">
            <w:pPr>
              <w:spacing w:after="0" w:line="240" w:lineRule="auto"/>
              <w:jc w:val="center"/>
              <w:rPr>
                <w:rFonts w:ascii="Tahoma" w:eastAsia="Times New Roman" w:hAnsi="Tahoma" w:cs="Tahoma"/>
                <w:sz w:val="18"/>
                <w:szCs w:val="18"/>
                <w:lang w:eastAsia="hr-HR"/>
              </w:rPr>
            </w:pPr>
            <w:r w:rsidRPr="00C779A5">
              <w:rPr>
                <w:rFonts w:ascii="Tahoma" w:eastAsia="Times New Roman" w:hAnsi="Tahoma" w:cs="Tahoma"/>
                <w:sz w:val="18"/>
                <w:szCs w:val="18"/>
                <w:lang w:eastAsia="hr-HR"/>
              </w:rPr>
              <w:t>4</w:t>
            </w:r>
          </w:p>
        </w:tc>
        <w:tc>
          <w:tcPr>
            <w:tcW w:w="706" w:type="dxa"/>
            <w:tcBorders>
              <w:top w:val="nil"/>
              <w:left w:val="nil"/>
              <w:bottom w:val="single" w:sz="4" w:space="0" w:color="auto"/>
              <w:right w:val="single" w:sz="4" w:space="0" w:color="auto"/>
            </w:tcBorders>
            <w:shd w:val="clear" w:color="000000" w:fill="FFFF99"/>
            <w:noWrap/>
            <w:vAlign w:val="bottom"/>
            <w:hideMark/>
          </w:tcPr>
          <w:p w14:paraId="4F7016C0" w14:textId="77777777" w:rsidR="00C779A5" w:rsidRPr="00C779A5" w:rsidRDefault="00C779A5" w:rsidP="00C779A5">
            <w:pPr>
              <w:spacing w:after="0" w:line="240" w:lineRule="auto"/>
              <w:jc w:val="center"/>
              <w:rPr>
                <w:rFonts w:ascii="Tahoma" w:eastAsia="Times New Roman" w:hAnsi="Tahoma" w:cs="Tahoma"/>
                <w:sz w:val="18"/>
                <w:szCs w:val="18"/>
                <w:lang w:eastAsia="hr-HR"/>
              </w:rPr>
            </w:pPr>
            <w:r w:rsidRPr="00C779A5">
              <w:rPr>
                <w:rFonts w:ascii="Tahoma" w:eastAsia="Times New Roman" w:hAnsi="Tahoma" w:cs="Tahoma"/>
                <w:sz w:val="18"/>
                <w:szCs w:val="18"/>
                <w:lang w:eastAsia="hr-HR"/>
              </w:rPr>
              <w:t>2</w:t>
            </w:r>
          </w:p>
        </w:tc>
        <w:tc>
          <w:tcPr>
            <w:tcW w:w="565" w:type="dxa"/>
            <w:tcBorders>
              <w:top w:val="nil"/>
              <w:left w:val="nil"/>
              <w:bottom w:val="single" w:sz="4" w:space="0" w:color="auto"/>
              <w:right w:val="single" w:sz="4" w:space="0" w:color="auto"/>
            </w:tcBorders>
            <w:shd w:val="clear" w:color="000000" w:fill="FFFF99"/>
            <w:noWrap/>
            <w:vAlign w:val="bottom"/>
            <w:hideMark/>
          </w:tcPr>
          <w:p w14:paraId="1A25AE73" w14:textId="77777777" w:rsidR="00C779A5" w:rsidRPr="00C779A5" w:rsidRDefault="00C779A5" w:rsidP="00C779A5">
            <w:pPr>
              <w:spacing w:after="0" w:line="240" w:lineRule="auto"/>
              <w:jc w:val="center"/>
              <w:rPr>
                <w:rFonts w:ascii="Tahoma" w:eastAsia="Times New Roman" w:hAnsi="Tahoma" w:cs="Tahoma"/>
                <w:sz w:val="18"/>
                <w:szCs w:val="18"/>
                <w:lang w:eastAsia="hr-HR"/>
              </w:rPr>
            </w:pPr>
            <w:r w:rsidRPr="00C779A5">
              <w:rPr>
                <w:rFonts w:ascii="Tahoma" w:eastAsia="Times New Roman" w:hAnsi="Tahoma" w:cs="Tahoma"/>
                <w:sz w:val="18"/>
                <w:szCs w:val="18"/>
                <w:lang w:eastAsia="hr-HR"/>
              </w:rPr>
              <w:t>6</w:t>
            </w:r>
          </w:p>
        </w:tc>
        <w:tc>
          <w:tcPr>
            <w:tcW w:w="565" w:type="dxa"/>
            <w:tcBorders>
              <w:top w:val="nil"/>
              <w:left w:val="nil"/>
              <w:bottom w:val="single" w:sz="4" w:space="0" w:color="auto"/>
              <w:right w:val="single" w:sz="4" w:space="0" w:color="auto"/>
            </w:tcBorders>
            <w:shd w:val="clear" w:color="000000" w:fill="FFFF99"/>
            <w:noWrap/>
            <w:vAlign w:val="bottom"/>
            <w:hideMark/>
          </w:tcPr>
          <w:p w14:paraId="32A23E6E" w14:textId="77777777" w:rsidR="00C779A5" w:rsidRPr="00C779A5" w:rsidRDefault="00C779A5" w:rsidP="00C779A5">
            <w:pPr>
              <w:spacing w:after="0" w:line="240" w:lineRule="auto"/>
              <w:jc w:val="center"/>
              <w:rPr>
                <w:rFonts w:ascii="Tahoma" w:eastAsia="Times New Roman" w:hAnsi="Tahoma" w:cs="Tahoma"/>
                <w:sz w:val="18"/>
                <w:szCs w:val="18"/>
                <w:lang w:eastAsia="hr-HR"/>
              </w:rPr>
            </w:pPr>
            <w:r w:rsidRPr="00C779A5">
              <w:rPr>
                <w:rFonts w:ascii="Tahoma" w:eastAsia="Times New Roman" w:hAnsi="Tahoma" w:cs="Tahoma"/>
                <w:sz w:val="18"/>
                <w:szCs w:val="18"/>
                <w:lang w:eastAsia="hr-HR"/>
              </w:rPr>
              <w:t>0</w:t>
            </w:r>
          </w:p>
        </w:tc>
        <w:tc>
          <w:tcPr>
            <w:tcW w:w="467" w:type="dxa"/>
            <w:tcBorders>
              <w:top w:val="nil"/>
              <w:left w:val="nil"/>
              <w:bottom w:val="single" w:sz="4" w:space="0" w:color="auto"/>
              <w:right w:val="single" w:sz="4" w:space="0" w:color="auto"/>
            </w:tcBorders>
            <w:shd w:val="clear" w:color="000000" w:fill="FFFF99"/>
            <w:noWrap/>
            <w:vAlign w:val="bottom"/>
            <w:hideMark/>
          </w:tcPr>
          <w:p w14:paraId="1541D4D6" w14:textId="77777777" w:rsidR="00C779A5" w:rsidRPr="00C779A5" w:rsidRDefault="00C779A5" w:rsidP="00C779A5">
            <w:pPr>
              <w:spacing w:after="0" w:line="240" w:lineRule="auto"/>
              <w:jc w:val="center"/>
              <w:rPr>
                <w:rFonts w:ascii="Tahoma" w:eastAsia="Times New Roman" w:hAnsi="Tahoma" w:cs="Tahoma"/>
                <w:sz w:val="18"/>
                <w:szCs w:val="18"/>
                <w:lang w:eastAsia="hr-HR"/>
              </w:rPr>
            </w:pPr>
            <w:r w:rsidRPr="00C779A5">
              <w:rPr>
                <w:rFonts w:ascii="Tahoma" w:eastAsia="Times New Roman" w:hAnsi="Tahoma" w:cs="Tahoma"/>
                <w:sz w:val="18"/>
                <w:szCs w:val="18"/>
                <w:lang w:eastAsia="hr-HR"/>
              </w:rPr>
              <w:t>0</w:t>
            </w:r>
          </w:p>
        </w:tc>
        <w:tc>
          <w:tcPr>
            <w:tcW w:w="805" w:type="dxa"/>
            <w:tcBorders>
              <w:top w:val="nil"/>
              <w:left w:val="nil"/>
              <w:bottom w:val="single" w:sz="4" w:space="0" w:color="auto"/>
              <w:right w:val="single" w:sz="4" w:space="0" w:color="auto"/>
            </w:tcBorders>
            <w:shd w:val="clear" w:color="000000" w:fill="FFFF99"/>
            <w:noWrap/>
            <w:vAlign w:val="bottom"/>
            <w:hideMark/>
          </w:tcPr>
          <w:p w14:paraId="198EC52D" w14:textId="77777777" w:rsidR="00C779A5" w:rsidRPr="00C779A5" w:rsidRDefault="00C779A5" w:rsidP="00C779A5">
            <w:pPr>
              <w:spacing w:after="0" w:line="240" w:lineRule="auto"/>
              <w:jc w:val="center"/>
              <w:rPr>
                <w:rFonts w:ascii="Tahoma" w:eastAsia="Times New Roman" w:hAnsi="Tahoma" w:cs="Tahoma"/>
                <w:sz w:val="18"/>
                <w:szCs w:val="18"/>
                <w:lang w:eastAsia="hr-HR"/>
              </w:rPr>
            </w:pPr>
            <w:r w:rsidRPr="00C779A5">
              <w:rPr>
                <w:rFonts w:ascii="Tahoma" w:eastAsia="Times New Roman" w:hAnsi="Tahoma" w:cs="Tahoma"/>
                <w:sz w:val="18"/>
                <w:szCs w:val="18"/>
                <w:lang w:eastAsia="hr-HR"/>
              </w:rPr>
              <w:t>0</w:t>
            </w:r>
          </w:p>
        </w:tc>
        <w:tc>
          <w:tcPr>
            <w:tcW w:w="467" w:type="dxa"/>
            <w:gridSpan w:val="2"/>
            <w:tcBorders>
              <w:top w:val="nil"/>
              <w:left w:val="nil"/>
              <w:bottom w:val="single" w:sz="4" w:space="0" w:color="auto"/>
              <w:right w:val="single" w:sz="4" w:space="0" w:color="auto"/>
            </w:tcBorders>
            <w:shd w:val="clear" w:color="000000" w:fill="FF9900"/>
            <w:noWrap/>
            <w:vAlign w:val="bottom"/>
            <w:hideMark/>
          </w:tcPr>
          <w:p w14:paraId="152F0201" w14:textId="77777777" w:rsidR="00C779A5" w:rsidRPr="00C779A5" w:rsidRDefault="00C779A5" w:rsidP="00C779A5">
            <w:pPr>
              <w:spacing w:after="0" w:line="240" w:lineRule="auto"/>
              <w:jc w:val="right"/>
              <w:rPr>
                <w:rFonts w:ascii="Tahoma" w:eastAsia="Times New Roman" w:hAnsi="Tahoma" w:cs="Tahoma"/>
                <w:sz w:val="18"/>
                <w:szCs w:val="18"/>
                <w:lang w:eastAsia="hr-HR"/>
              </w:rPr>
            </w:pPr>
            <w:r w:rsidRPr="00C779A5">
              <w:rPr>
                <w:rFonts w:ascii="Tahoma" w:eastAsia="Times New Roman" w:hAnsi="Tahoma" w:cs="Tahoma"/>
                <w:sz w:val="18"/>
                <w:szCs w:val="18"/>
                <w:lang w:eastAsia="hr-HR"/>
              </w:rPr>
              <w:t>0</w:t>
            </w:r>
          </w:p>
        </w:tc>
        <w:tc>
          <w:tcPr>
            <w:tcW w:w="522" w:type="dxa"/>
            <w:tcBorders>
              <w:top w:val="nil"/>
              <w:left w:val="nil"/>
              <w:bottom w:val="single" w:sz="4" w:space="0" w:color="auto"/>
              <w:right w:val="single" w:sz="4" w:space="0" w:color="auto"/>
            </w:tcBorders>
            <w:shd w:val="clear" w:color="000000" w:fill="FF9900"/>
            <w:noWrap/>
            <w:vAlign w:val="bottom"/>
            <w:hideMark/>
          </w:tcPr>
          <w:p w14:paraId="476C8BBF" w14:textId="77777777" w:rsidR="00C779A5" w:rsidRPr="00C779A5" w:rsidRDefault="00C779A5" w:rsidP="00C779A5">
            <w:pPr>
              <w:spacing w:after="0" w:line="240" w:lineRule="auto"/>
              <w:jc w:val="right"/>
              <w:rPr>
                <w:rFonts w:ascii="Tahoma" w:eastAsia="Times New Roman" w:hAnsi="Tahoma" w:cs="Tahoma"/>
                <w:sz w:val="18"/>
                <w:szCs w:val="18"/>
                <w:lang w:eastAsia="hr-HR"/>
              </w:rPr>
            </w:pPr>
            <w:r w:rsidRPr="00C779A5">
              <w:rPr>
                <w:rFonts w:ascii="Tahoma" w:eastAsia="Times New Roman" w:hAnsi="Tahoma" w:cs="Tahoma"/>
                <w:sz w:val="18"/>
                <w:szCs w:val="18"/>
                <w:lang w:eastAsia="hr-HR"/>
              </w:rPr>
              <w:t>0</w:t>
            </w:r>
          </w:p>
        </w:tc>
        <w:tc>
          <w:tcPr>
            <w:tcW w:w="467" w:type="dxa"/>
            <w:tcBorders>
              <w:top w:val="nil"/>
              <w:left w:val="nil"/>
              <w:bottom w:val="single" w:sz="4" w:space="0" w:color="auto"/>
              <w:right w:val="single" w:sz="4" w:space="0" w:color="auto"/>
            </w:tcBorders>
            <w:shd w:val="clear" w:color="000000" w:fill="FF9900"/>
            <w:noWrap/>
            <w:vAlign w:val="bottom"/>
            <w:hideMark/>
          </w:tcPr>
          <w:p w14:paraId="2A39FEBF" w14:textId="77777777" w:rsidR="00C779A5" w:rsidRPr="00C779A5" w:rsidRDefault="00C779A5" w:rsidP="00C779A5">
            <w:pPr>
              <w:spacing w:after="0" w:line="240" w:lineRule="auto"/>
              <w:jc w:val="right"/>
              <w:rPr>
                <w:rFonts w:ascii="Tahoma" w:eastAsia="Times New Roman" w:hAnsi="Tahoma" w:cs="Tahoma"/>
                <w:sz w:val="18"/>
                <w:szCs w:val="18"/>
                <w:lang w:eastAsia="hr-HR"/>
              </w:rPr>
            </w:pPr>
            <w:r w:rsidRPr="00C779A5">
              <w:rPr>
                <w:rFonts w:ascii="Tahoma" w:eastAsia="Times New Roman" w:hAnsi="Tahoma" w:cs="Tahoma"/>
                <w:sz w:val="18"/>
                <w:szCs w:val="18"/>
                <w:lang w:eastAsia="hr-HR"/>
              </w:rPr>
              <w:t>0</w:t>
            </w:r>
          </w:p>
        </w:tc>
        <w:tc>
          <w:tcPr>
            <w:tcW w:w="467" w:type="dxa"/>
            <w:tcBorders>
              <w:top w:val="nil"/>
              <w:left w:val="nil"/>
              <w:bottom w:val="single" w:sz="4" w:space="0" w:color="auto"/>
              <w:right w:val="single" w:sz="4" w:space="0" w:color="auto"/>
            </w:tcBorders>
            <w:shd w:val="clear" w:color="000000" w:fill="FFFF00"/>
            <w:vAlign w:val="center"/>
            <w:hideMark/>
          </w:tcPr>
          <w:p w14:paraId="0DEEAF7F" w14:textId="77777777" w:rsidR="00C779A5" w:rsidRPr="00C779A5" w:rsidRDefault="00C779A5" w:rsidP="00C779A5">
            <w:pPr>
              <w:spacing w:after="0" w:line="240" w:lineRule="auto"/>
              <w:jc w:val="center"/>
              <w:rPr>
                <w:rFonts w:ascii="Tahoma" w:eastAsia="Times New Roman" w:hAnsi="Tahoma" w:cs="Tahoma"/>
                <w:sz w:val="18"/>
                <w:szCs w:val="18"/>
                <w:lang w:eastAsia="hr-HR"/>
              </w:rPr>
            </w:pPr>
            <w:r w:rsidRPr="00C779A5">
              <w:rPr>
                <w:rFonts w:ascii="Tahoma" w:eastAsia="Times New Roman" w:hAnsi="Tahoma" w:cs="Tahoma"/>
                <w:sz w:val="18"/>
                <w:szCs w:val="18"/>
                <w:lang w:eastAsia="hr-HR"/>
              </w:rPr>
              <w:t>0</w:t>
            </w:r>
          </w:p>
        </w:tc>
        <w:tc>
          <w:tcPr>
            <w:tcW w:w="877" w:type="dxa"/>
            <w:gridSpan w:val="2"/>
            <w:tcBorders>
              <w:top w:val="nil"/>
              <w:left w:val="nil"/>
              <w:bottom w:val="single" w:sz="4" w:space="0" w:color="auto"/>
              <w:right w:val="single" w:sz="4" w:space="0" w:color="auto"/>
            </w:tcBorders>
            <w:shd w:val="clear" w:color="000000" w:fill="FF9900"/>
            <w:vAlign w:val="center"/>
            <w:hideMark/>
          </w:tcPr>
          <w:p w14:paraId="18CF40E7" w14:textId="77777777" w:rsidR="00C779A5" w:rsidRPr="00C779A5" w:rsidRDefault="00C779A5" w:rsidP="00C779A5">
            <w:pPr>
              <w:spacing w:after="0" w:line="240" w:lineRule="auto"/>
              <w:jc w:val="center"/>
              <w:rPr>
                <w:rFonts w:ascii="Tahoma" w:eastAsia="Times New Roman" w:hAnsi="Tahoma" w:cs="Tahoma"/>
                <w:sz w:val="18"/>
                <w:szCs w:val="18"/>
                <w:lang w:eastAsia="hr-HR"/>
              </w:rPr>
            </w:pPr>
            <w:r w:rsidRPr="00C779A5">
              <w:rPr>
                <w:rFonts w:ascii="Tahoma" w:eastAsia="Times New Roman" w:hAnsi="Tahoma" w:cs="Tahoma"/>
                <w:sz w:val="18"/>
                <w:szCs w:val="18"/>
                <w:lang w:eastAsia="hr-HR"/>
              </w:rPr>
              <w:t>9</w:t>
            </w:r>
          </w:p>
        </w:tc>
        <w:tc>
          <w:tcPr>
            <w:tcW w:w="576" w:type="dxa"/>
            <w:gridSpan w:val="2"/>
            <w:tcBorders>
              <w:top w:val="nil"/>
              <w:left w:val="nil"/>
              <w:bottom w:val="single" w:sz="4" w:space="0" w:color="auto"/>
              <w:right w:val="single" w:sz="4" w:space="0" w:color="auto"/>
            </w:tcBorders>
            <w:shd w:val="clear" w:color="000000" w:fill="FF9900"/>
            <w:noWrap/>
            <w:vAlign w:val="center"/>
            <w:hideMark/>
          </w:tcPr>
          <w:p w14:paraId="61F9A65F" w14:textId="77777777" w:rsidR="00C779A5" w:rsidRPr="00C779A5" w:rsidRDefault="00C779A5" w:rsidP="00C779A5">
            <w:pPr>
              <w:spacing w:after="0" w:line="240" w:lineRule="auto"/>
              <w:jc w:val="center"/>
              <w:rPr>
                <w:rFonts w:ascii="Tahoma" w:eastAsia="Times New Roman" w:hAnsi="Tahoma" w:cs="Tahoma"/>
                <w:sz w:val="18"/>
                <w:szCs w:val="18"/>
                <w:lang w:eastAsia="hr-HR"/>
              </w:rPr>
            </w:pPr>
            <w:r w:rsidRPr="00C779A5">
              <w:rPr>
                <w:rFonts w:ascii="Tahoma" w:eastAsia="Times New Roman" w:hAnsi="Tahoma" w:cs="Tahoma"/>
                <w:sz w:val="18"/>
                <w:szCs w:val="18"/>
                <w:lang w:eastAsia="hr-HR"/>
              </w:rPr>
              <w:t>0</w:t>
            </w:r>
          </w:p>
        </w:tc>
        <w:tc>
          <w:tcPr>
            <w:tcW w:w="440" w:type="dxa"/>
            <w:tcBorders>
              <w:top w:val="nil"/>
              <w:left w:val="nil"/>
              <w:bottom w:val="single" w:sz="4" w:space="0" w:color="auto"/>
              <w:right w:val="single" w:sz="4" w:space="0" w:color="auto"/>
            </w:tcBorders>
            <w:shd w:val="clear" w:color="000000" w:fill="FF9900"/>
            <w:noWrap/>
            <w:vAlign w:val="center"/>
            <w:hideMark/>
          </w:tcPr>
          <w:p w14:paraId="41707D27" w14:textId="77777777" w:rsidR="00C779A5" w:rsidRPr="00C779A5" w:rsidRDefault="00C779A5" w:rsidP="00C779A5">
            <w:pPr>
              <w:spacing w:after="0" w:line="240" w:lineRule="auto"/>
              <w:jc w:val="center"/>
              <w:rPr>
                <w:rFonts w:ascii="Tahoma" w:eastAsia="Times New Roman" w:hAnsi="Tahoma" w:cs="Tahoma"/>
                <w:sz w:val="18"/>
                <w:szCs w:val="18"/>
                <w:lang w:eastAsia="hr-HR"/>
              </w:rPr>
            </w:pPr>
            <w:r w:rsidRPr="00C779A5">
              <w:rPr>
                <w:rFonts w:ascii="Tahoma" w:eastAsia="Times New Roman" w:hAnsi="Tahoma" w:cs="Tahoma"/>
                <w:sz w:val="18"/>
                <w:szCs w:val="18"/>
                <w:lang w:eastAsia="hr-HR"/>
              </w:rPr>
              <w:t>0</w:t>
            </w:r>
          </w:p>
        </w:tc>
        <w:tc>
          <w:tcPr>
            <w:tcW w:w="793" w:type="dxa"/>
            <w:tcBorders>
              <w:top w:val="nil"/>
              <w:left w:val="nil"/>
              <w:bottom w:val="single" w:sz="4" w:space="0" w:color="auto"/>
              <w:right w:val="single" w:sz="4" w:space="0" w:color="auto"/>
            </w:tcBorders>
            <w:shd w:val="clear" w:color="000000" w:fill="FF9900"/>
            <w:noWrap/>
            <w:vAlign w:val="center"/>
            <w:hideMark/>
          </w:tcPr>
          <w:p w14:paraId="137E1790" w14:textId="77777777" w:rsidR="00C779A5" w:rsidRPr="00C779A5" w:rsidRDefault="00C779A5" w:rsidP="00C779A5">
            <w:pPr>
              <w:spacing w:after="0" w:line="240" w:lineRule="auto"/>
              <w:jc w:val="center"/>
              <w:rPr>
                <w:rFonts w:ascii="Tahoma" w:eastAsia="Times New Roman" w:hAnsi="Tahoma" w:cs="Tahoma"/>
                <w:sz w:val="18"/>
                <w:szCs w:val="18"/>
                <w:lang w:eastAsia="hr-HR"/>
              </w:rPr>
            </w:pPr>
            <w:r w:rsidRPr="00C779A5">
              <w:rPr>
                <w:rFonts w:ascii="Tahoma" w:eastAsia="Times New Roman" w:hAnsi="Tahoma" w:cs="Tahoma"/>
                <w:sz w:val="18"/>
                <w:szCs w:val="18"/>
                <w:lang w:eastAsia="hr-HR"/>
              </w:rPr>
              <w:t>0</w:t>
            </w:r>
          </w:p>
        </w:tc>
        <w:tc>
          <w:tcPr>
            <w:tcW w:w="645" w:type="dxa"/>
            <w:gridSpan w:val="2"/>
            <w:tcBorders>
              <w:top w:val="nil"/>
              <w:left w:val="nil"/>
              <w:bottom w:val="single" w:sz="4" w:space="0" w:color="auto"/>
              <w:right w:val="single" w:sz="4" w:space="0" w:color="auto"/>
            </w:tcBorders>
            <w:shd w:val="clear" w:color="000000" w:fill="CCFFFF"/>
            <w:noWrap/>
            <w:vAlign w:val="bottom"/>
            <w:hideMark/>
          </w:tcPr>
          <w:p w14:paraId="675AB358" w14:textId="77777777" w:rsidR="00C779A5" w:rsidRPr="00C779A5" w:rsidRDefault="00C779A5" w:rsidP="00C779A5">
            <w:pPr>
              <w:spacing w:after="0" w:line="240" w:lineRule="auto"/>
              <w:jc w:val="right"/>
              <w:rPr>
                <w:rFonts w:ascii="Tahoma" w:eastAsia="Times New Roman" w:hAnsi="Tahoma" w:cs="Tahoma"/>
                <w:sz w:val="18"/>
                <w:szCs w:val="18"/>
                <w:lang w:eastAsia="hr-HR"/>
              </w:rPr>
            </w:pPr>
            <w:r w:rsidRPr="00C779A5">
              <w:rPr>
                <w:rFonts w:ascii="Tahoma" w:eastAsia="Times New Roman" w:hAnsi="Tahoma" w:cs="Tahoma"/>
                <w:sz w:val="18"/>
                <w:szCs w:val="18"/>
                <w:lang w:eastAsia="hr-HR"/>
              </w:rPr>
              <w:t>0</w:t>
            </w:r>
          </w:p>
        </w:tc>
        <w:tc>
          <w:tcPr>
            <w:tcW w:w="467" w:type="dxa"/>
            <w:tcBorders>
              <w:top w:val="nil"/>
              <w:left w:val="nil"/>
              <w:bottom w:val="single" w:sz="4" w:space="0" w:color="auto"/>
              <w:right w:val="single" w:sz="4" w:space="0" w:color="auto"/>
            </w:tcBorders>
            <w:shd w:val="clear" w:color="000000" w:fill="CCFFFF"/>
            <w:noWrap/>
            <w:vAlign w:val="bottom"/>
            <w:hideMark/>
          </w:tcPr>
          <w:p w14:paraId="1D9F347A" w14:textId="77777777" w:rsidR="00C779A5" w:rsidRPr="00C779A5" w:rsidRDefault="00C779A5" w:rsidP="00C779A5">
            <w:pPr>
              <w:spacing w:after="0" w:line="240" w:lineRule="auto"/>
              <w:jc w:val="right"/>
              <w:rPr>
                <w:rFonts w:ascii="Tahoma" w:eastAsia="Times New Roman" w:hAnsi="Tahoma" w:cs="Tahoma"/>
                <w:sz w:val="18"/>
                <w:szCs w:val="18"/>
                <w:lang w:eastAsia="hr-HR"/>
              </w:rPr>
            </w:pPr>
            <w:r w:rsidRPr="00C779A5">
              <w:rPr>
                <w:rFonts w:ascii="Tahoma" w:eastAsia="Times New Roman" w:hAnsi="Tahoma" w:cs="Tahoma"/>
                <w:sz w:val="18"/>
                <w:szCs w:val="18"/>
                <w:lang w:eastAsia="hr-HR"/>
              </w:rPr>
              <w:t>0</w:t>
            </w:r>
          </w:p>
        </w:tc>
        <w:tc>
          <w:tcPr>
            <w:tcW w:w="467" w:type="dxa"/>
            <w:tcBorders>
              <w:top w:val="nil"/>
              <w:left w:val="nil"/>
              <w:bottom w:val="single" w:sz="4" w:space="0" w:color="auto"/>
              <w:right w:val="single" w:sz="4" w:space="0" w:color="auto"/>
            </w:tcBorders>
            <w:shd w:val="clear" w:color="000000" w:fill="CCFFFF"/>
            <w:noWrap/>
            <w:vAlign w:val="bottom"/>
            <w:hideMark/>
          </w:tcPr>
          <w:p w14:paraId="7FACE94F" w14:textId="77777777" w:rsidR="00C779A5" w:rsidRPr="00C779A5" w:rsidRDefault="00C779A5" w:rsidP="00C779A5">
            <w:pPr>
              <w:spacing w:after="0" w:line="240" w:lineRule="auto"/>
              <w:jc w:val="right"/>
              <w:rPr>
                <w:rFonts w:ascii="Tahoma" w:eastAsia="Times New Roman" w:hAnsi="Tahoma" w:cs="Tahoma"/>
                <w:sz w:val="18"/>
                <w:szCs w:val="18"/>
                <w:lang w:eastAsia="hr-HR"/>
              </w:rPr>
            </w:pPr>
            <w:r w:rsidRPr="00C779A5">
              <w:rPr>
                <w:rFonts w:ascii="Tahoma" w:eastAsia="Times New Roman" w:hAnsi="Tahoma" w:cs="Tahoma"/>
                <w:sz w:val="18"/>
                <w:szCs w:val="18"/>
                <w:lang w:eastAsia="hr-HR"/>
              </w:rPr>
              <w:t>0</w:t>
            </w:r>
          </w:p>
        </w:tc>
        <w:tc>
          <w:tcPr>
            <w:tcW w:w="478" w:type="dxa"/>
            <w:gridSpan w:val="2"/>
            <w:tcBorders>
              <w:top w:val="nil"/>
              <w:left w:val="nil"/>
              <w:bottom w:val="single" w:sz="4" w:space="0" w:color="auto"/>
              <w:right w:val="nil"/>
            </w:tcBorders>
            <w:shd w:val="clear" w:color="000000" w:fill="33CCCC"/>
            <w:noWrap/>
            <w:vAlign w:val="bottom"/>
            <w:hideMark/>
          </w:tcPr>
          <w:p w14:paraId="277F765C" w14:textId="77777777" w:rsidR="00C779A5" w:rsidRPr="00C779A5" w:rsidRDefault="00C779A5" w:rsidP="00C779A5">
            <w:pPr>
              <w:spacing w:after="0" w:line="240" w:lineRule="auto"/>
              <w:jc w:val="right"/>
              <w:rPr>
                <w:rFonts w:ascii="Tahoma" w:eastAsia="Times New Roman" w:hAnsi="Tahoma" w:cs="Tahoma"/>
                <w:sz w:val="18"/>
                <w:szCs w:val="18"/>
                <w:lang w:eastAsia="hr-HR"/>
              </w:rPr>
            </w:pPr>
            <w:r w:rsidRPr="00C779A5">
              <w:rPr>
                <w:rFonts w:ascii="Tahoma" w:eastAsia="Times New Roman" w:hAnsi="Tahoma" w:cs="Tahoma"/>
                <w:sz w:val="18"/>
                <w:szCs w:val="18"/>
                <w:lang w:eastAsia="hr-HR"/>
              </w:rPr>
              <w:t>0</w:t>
            </w:r>
          </w:p>
        </w:tc>
        <w:tc>
          <w:tcPr>
            <w:tcW w:w="876" w:type="dxa"/>
            <w:tcBorders>
              <w:top w:val="nil"/>
              <w:left w:val="single" w:sz="4" w:space="0" w:color="auto"/>
              <w:bottom w:val="single" w:sz="4" w:space="0" w:color="auto"/>
              <w:right w:val="single" w:sz="8" w:space="0" w:color="auto"/>
            </w:tcBorders>
            <w:shd w:val="clear" w:color="000000" w:fill="33CCCC"/>
            <w:noWrap/>
            <w:vAlign w:val="bottom"/>
            <w:hideMark/>
          </w:tcPr>
          <w:p w14:paraId="5FEC683C" w14:textId="77777777" w:rsidR="00C779A5" w:rsidRPr="00C779A5" w:rsidRDefault="00C779A5" w:rsidP="00C779A5">
            <w:pPr>
              <w:spacing w:after="0" w:line="240" w:lineRule="auto"/>
              <w:jc w:val="right"/>
              <w:rPr>
                <w:rFonts w:ascii="Tahoma" w:eastAsia="Times New Roman" w:hAnsi="Tahoma" w:cs="Tahoma"/>
                <w:sz w:val="18"/>
                <w:szCs w:val="18"/>
                <w:lang w:eastAsia="hr-HR"/>
              </w:rPr>
            </w:pPr>
            <w:r w:rsidRPr="00C779A5">
              <w:rPr>
                <w:rFonts w:ascii="Tahoma" w:eastAsia="Times New Roman" w:hAnsi="Tahoma" w:cs="Tahoma"/>
                <w:sz w:val="18"/>
                <w:szCs w:val="18"/>
                <w:lang w:eastAsia="hr-HR"/>
              </w:rPr>
              <w:t>0</w:t>
            </w:r>
          </w:p>
        </w:tc>
        <w:tc>
          <w:tcPr>
            <w:tcW w:w="236" w:type="dxa"/>
            <w:gridSpan w:val="3"/>
            <w:vAlign w:val="center"/>
            <w:hideMark/>
          </w:tcPr>
          <w:p w14:paraId="0B67A436" w14:textId="77777777" w:rsidR="00C779A5" w:rsidRPr="00C779A5" w:rsidRDefault="00C779A5" w:rsidP="00C779A5">
            <w:pPr>
              <w:spacing w:after="0" w:line="240" w:lineRule="auto"/>
              <w:rPr>
                <w:rFonts w:ascii="Times New Roman" w:eastAsia="Times New Roman" w:hAnsi="Times New Roman" w:cs="Times New Roman"/>
                <w:sz w:val="18"/>
                <w:szCs w:val="18"/>
                <w:lang w:eastAsia="hr-HR"/>
              </w:rPr>
            </w:pPr>
          </w:p>
        </w:tc>
      </w:tr>
      <w:tr w:rsidR="00C779A5" w:rsidRPr="00C779A5" w14:paraId="1F6E0EC7" w14:textId="77777777" w:rsidTr="00C779A5">
        <w:trPr>
          <w:gridAfter w:val="2"/>
          <w:wAfter w:w="149" w:type="dxa"/>
          <w:trHeight w:val="300"/>
        </w:trPr>
        <w:tc>
          <w:tcPr>
            <w:tcW w:w="1567" w:type="dxa"/>
            <w:tcBorders>
              <w:top w:val="single" w:sz="4" w:space="0" w:color="auto"/>
              <w:left w:val="single" w:sz="8" w:space="0" w:color="auto"/>
              <w:bottom w:val="single" w:sz="4" w:space="0" w:color="auto"/>
              <w:right w:val="single" w:sz="4" w:space="0" w:color="auto"/>
            </w:tcBorders>
            <w:shd w:val="clear" w:color="000000" w:fill="CCFFCC"/>
            <w:vAlign w:val="center"/>
            <w:hideMark/>
          </w:tcPr>
          <w:p w14:paraId="5B70762F" w14:textId="77777777" w:rsidR="00C779A5" w:rsidRPr="00C779A5" w:rsidRDefault="00C779A5" w:rsidP="00C779A5">
            <w:pPr>
              <w:spacing w:after="0" w:line="240" w:lineRule="auto"/>
              <w:rPr>
                <w:rFonts w:ascii="Tahoma" w:eastAsia="Times New Roman" w:hAnsi="Tahoma" w:cs="Tahoma"/>
                <w:sz w:val="18"/>
                <w:szCs w:val="18"/>
                <w:lang w:eastAsia="hr-HR"/>
              </w:rPr>
            </w:pPr>
            <w:r w:rsidRPr="00C779A5">
              <w:rPr>
                <w:rFonts w:ascii="Tahoma" w:eastAsia="Times New Roman" w:hAnsi="Tahoma" w:cs="Tahoma"/>
                <w:sz w:val="18"/>
                <w:szCs w:val="18"/>
                <w:lang w:eastAsia="hr-HR"/>
              </w:rPr>
              <w:t>Genetsko nasljeđe</w:t>
            </w:r>
          </w:p>
        </w:tc>
        <w:tc>
          <w:tcPr>
            <w:tcW w:w="557" w:type="dxa"/>
            <w:tcBorders>
              <w:top w:val="nil"/>
              <w:left w:val="nil"/>
              <w:bottom w:val="single" w:sz="4" w:space="0" w:color="auto"/>
              <w:right w:val="single" w:sz="4" w:space="0" w:color="auto"/>
            </w:tcBorders>
            <w:shd w:val="clear" w:color="000000" w:fill="FFCC99"/>
            <w:noWrap/>
            <w:vAlign w:val="bottom"/>
            <w:hideMark/>
          </w:tcPr>
          <w:p w14:paraId="0472CE28" w14:textId="77777777" w:rsidR="00C779A5" w:rsidRPr="00C779A5" w:rsidRDefault="00C779A5" w:rsidP="00C779A5">
            <w:pPr>
              <w:spacing w:after="0" w:line="240" w:lineRule="auto"/>
              <w:jc w:val="center"/>
              <w:rPr>
                <w:rFonts w:ascii="Tahoma" w:eastAsia="Times New Roman" w:hAnsi="Tahoma" w:cs="Tahoma"/>
                <w:sz w:val="18"/>
                <w:szCs w:val="18"/>
                <w:lang w:eastAsia="hr-HR"/>
              </w:rPr>
            </w:pPr>
            <w:r w:rsidRPr="00C779A5">
              <w:rPr>
                <w:rFonts w:ascii="Tahoma" w:eastAsia="Times New Roman" w:hAnsi="Tahoma" w:cs="Tahoma"/>
                <w:sz w:val="18"/>
                <w:szCs w:val="18"/>
                <w:lang w:eastAsia="hr-HR"/>
              </w:rPr>
              <w:t>1</w:t>
            </w:r>
          </w:p>
        </w:tc>
        <w:tc>
          <w:tcPr>
            <w:tcW w:w="444" w:type="dxa"/>
            <w:tcBorders>
              <w:top w:val="nil"/>
              <w:left w:val="nil"/>
              <w:bottom w:val="single" w:sz="4" w:space="0" w:color="auto"/>
              <w:right w:val="single" w:sz="4" w:space="0" w:color="auto"/>
            </w:tcBorders>
            <w:shd w:val="clear" w:color="000000" w:fill="FFFF00"/>
            <w:noWrap/>
            <w:vAlign w:val="bottom"/>
            <w:hideMark/>
          </w:tcPr>
          <w:p w14:paraId="435B8948" w14:textId="77777777" w:rsidR="00C779A5" w:rsidRPr="00C779A5" w:rsidRDefault="00C779A5" w:rsidP="00C779A5">
            <w:pPr>
              <w:spacing w:after="0" w:line="240" w:lineRule="auto"/>
              <w:jc w:val="center"/>
              <w:rPr>
                <w:rFonts w:ascii="Tahoma" w:eastAsia="Times New Roman" w:hAnsi="Tahoma" w:cs="Tahoma"/>
                <w:sz w:val="18"/>
                <w:szCs w:val="18"/>
                <w:lang w:eastAsia="hr-HR"/>
              </w:rPr>
            </w:pPr>
            <w:r w:rsidRPr="00C779A5">
              <w:rPr>
                <w:rFonts w:ascii="Tahoma" w:eastAsia="Times New Roman" w:hAnsi="Tahoma" w:cs="Tahoma"/>
                <w:sz w:val="18"/>
                <w:szCs w:val="18"/>
                <w:lang w:eastAsia="hr-HR"/>
              </w:rPr>
              <w:t>0</w:t>
            </w:r>
          </w:p>
        </w:tc>
        <w:tc>
          <w:tcPr>
            <w:tcW w:w="399" w:type="dxa"/>
            <w:tcBorders>
              <w:top w:val="nil"/>
              <w:left w:val="nil"/>
              <w:bottom w:val="single" w:sz="4" w:space="0" w:color="auto"/>
              <w:right w:val="single" w:sz="4" w:space="0" w:color="auto"/>
            </w:tcBorders>
            <w:shd w:val="clear" w:color="000000" w:fill="CCFFFF"/>
            <w:noWrap/>
            <w:vAlign w:val="bottom"/>
            <w:hideMark/>
          </w:tcPr>
          <w:p w14:paraId="29AE6434" w14:textId="77777777" w:rsidR="00C779A5" w:rsidRPr="00C779A5" w:rsidRDefault="00C779A5" w:rsidP="00C779A5">
            <w:pPr>
              <w:spacing w:after="0" w:line="240" w:lineRule="auto"/>
              <w:jc w:val="right"/>
              <w:rPr>
                <w:rFonts w:ascii="Tahoma" w:eastAsia="Times New Roman" w:hAnsi="Tahoma" w:cs="Tahoma"/>
                <w:sz w:val="18"/>
                <w:szCs w:val="18"/>
                <w:lang w:eastAsia="hr-HR"/>
              </w:rPr>
            </w:pPr>
            <w:r w:rsidRPr="00C779A5">
              <w:rPr>
                <w:rFonts w:ascii="Tahoma" w:eastAsia="Times New Roman" w:hAnsi="Tahoma" w:cs="Tahoma"/>
                <w:sz w:val="18"/>
                <w:szCs w:val="18"/>
                <w:lang w:eastAsia="hr-HR"/>
              </w:rPr>
              <w:t>0</w:t>
            </w:r>
          </w:p>
        </w:tc>
        <w:tc>
          <w:tcPr>
            <w:tcW w:w="425" w:type="dxa"/>
            <w:tcBorders>
              <w:top w:val="nil"/>
              <w:left w:val="nil"/>
              <w:bottom w:val="single" w:sz="4" w:space="0" w:color="auto"/>
              <w:right w:val="single" w:sz="4" w:space="0" w:color="auto"/>
            </w:tcBorders>
            <w:shd w:val="clear" w:color="000000" w:fill="CCFFFF"/>
            <w:noWrap/>
            <w:vAlign w:val="bottom"/>
            <w:hideMark/>
          </w:tcPr>
          <w:p w14:paraId="2246D896" w14:textId="77777777" w:rsidR="00C779A5" w:rsidRPr="00C779A5" w:rsidRDefault="00C779A5" w:rsidP="00C779A5">
            <w:pPr>
              <w:spacing w:after="0" w:line="240" w:lineRule="auto"/>
              <w:jc w:val="right"/>
              <w:rPr>
                <w:rFonts w:ascii="Tahoma" w:eastAsia="Times New Roman" w:hAnsi="Tahoma" w:cs="Tahoma"/>
                <w:sz w:val="18"/>
                <w:szCs w:val="18"/>
                <w:lang w:eastAsia="hr-HR"/>
              </w:rPr>
            </w:pPr>
            <w:r w:rsidRPr="00C779A5">
              <w:rPr>
                <w:rFonts w:ascii="Tahoma" w:eastAsia="Times New Roman" w:hAnsi="Tahoma" w:cs="Tahoma"/>
                <w:sz w:val="18"/>
                <w:szCs w:val="18"/>
                <w:lang w:eastAsia="hr-HR"/>
              </w:rPr>
              <w:t>0</w:t>
            </w:r>
          </w:p>
        </w:tc>
        <w:tc>
          <w:tcPr>
            <w:tcW w:w="574" w:type="dxa"/>
            <w:tcBorders>
              <w:top w:val="nil"/>
              <w:left w:val="nil"/>
              <w:bottom w:val="single" w:sz="4" w:space="0" w:color="auto"/>
              <w:right w:val="single" w:sz="4" w:space="0" w:color="auto"/>
            </w:tcBorders>
            <w:shd w:val="clear" w:color="000000" w:fill="FFFF99"/>
            <w:noWrap/>
            <w:vAlign w:val="bottom"/>
            <w:hideMark/>
          </w:tcPr>
          <w:p w14:paraId="12EFC717" w14:textId="77777777" w:rsidR="00C779A5" w:rsidRPr="00C779A5" w:rsidRDefault="00C779A5" w:rsidP="00C779A5">
            <w:pPr>
              <w:spacing w:after="0" w:line="240" w:lineRule="auto"/>
              <w:jc w:val="center"/>
              <w:rPr>
                <w:rFonts w:ascii="Tahoma" w:eastAsia="Times New Roman" w:hAnsi="Tahoma" w:cs="Tahoma"/>
                <w:sz w:val="18"/>
                <w:szCs w:val="18"/>
                <w:lang w:eastAsia="hr-HR"/>
              </w:rPr>
            </w:pPr>
            <w:r w:rsidRPr="00C779A5">
              <w:rPr>
                <w:rFonts w:ascii="Tahoma" w:eastAsia="Times New Roman" w:hAnsi="Tahoma" w:cs="Tahoma"/>
                <w:sz w:val="18"/>
                <w:szCs w:val="18"/>
                <w:lang w:eastAsia="hr-HR"/>
              </w:rPr>
              <w:t>0</w:t>
            </w:r>
          </w:p>
        </w:tc>
        <w:tc>
          <w:tcPr>
            <w:tcW w:w="706" w:type="dxa"/>
            <w:tcBorders>
              <w:top w:val="nil"/>
              <w:left w:val="nil"/>
              <w:bottom w:val="single" w:sz="4" w:space="0" w:color="auto"/>
              <w:right w:val="single" w:sz="4" w:space="0" w:color="auto"/>
            </w:tcBorders>
            <w:shd w:val="clear" w:color="000000" w:fill="FFFF99"/>
            <w:noWrap/>
            <w:vAlign w:val="bottom"/>
            <w:hideMark/>
          </w:tcPr>
          <w:p w14:paraId="13B5739B" w14:textId="77777777" w:rsidR="00C779A5" w:rsidRPr="00C779A5" w:rsidRDefault="00C779A5" w:rsidP="00C779A5">
            <w:pPr>
              <w:spacing w:after="0" w:line="240" w:lineRule="auto"/>
              <w:jc w:val="center"/>
              <w:rPr>
                <w:rFonts w:ascii="Tahoma" w:eastAsia="Times New Roman" w:hAnsi="Tahoma" w:cs="Tahoma"/>
                <w:sz w:val="18"/>
                <w:szCs w:val="18"/>
                <w:lang w:eastAsia="hr-HR"/>
              </w:rPr>
            </w:pPr>
            <w:r w:rsidRPr="00C779A5">
              <w:rPr>
                <w:rFonts w:ascii="Tahoma" w:eastAsia="Times New Roman" w:hAnsi="Tahoma" w:cs="Tahoma"/>
                <w:sz w:val="18"/>
                <w:szCs w:val="18"/>
                <w:lang w:eastAsia="hr-HR"/>
              </w:rPr>
              <w:t>0</w:t>
            </w:r>
          </w:p>
        </w:tc>
        <w:tc>
          <w:tcPr>
            <w:tcW w:w="565" w:type="dxa"/>
            <w:tcBorders>
              <w:top w:val="nil"/>
              <w:left w:val="nil"/>
              <w:bottom w:val="single" w:sz="4" w:space="0" w:color="auto"/>
              <w:right w:val="single" w:sz="4" w:space="0" w:color="auto"/>
            </w:tcBorders>
            <w:shd w:val="clear" w:color="000000" w:fill="FFFF99"/>
            <w:noWrap/>
            <w:vAlign w:val="bottom"/>
            <w:hideMark/>
          </w:tcPr>
          <w:p w14:paraId="3320C844" w14:textId="77777777" w:rsidR="00C779A5" w:rsidRPr="00C779A5" w:rsidRDefault="00C779A5" w:rsidP="00C779A5">
            <w:pPr>
              <w:spacing w:after="0" w:line="240" w:lineRule="auto"/>
              <w:jc w:val="center"/>
              <w:rPr>
                <w:rFonts w:ascii="Tahoma" w:eastAsia="Times New Roman" w:hAnsi="Tahoma" w:cs="Tahoma"/>
                <w:sz w:val="18"/>
                <w:szCs w:val="18"/>
                <w:lang w:eastAsia="hr-HR"/>
              </w:rPr>
            </w:pPr>
            <w:r w:rsidRPr="00C779A5">
              <w:rPr>
                <w:rFonts w:ascii="Tahoma" w:eastAsia="Times New Roman" w:hAnsi="Tahoma" w:cs="Tahoma"/>
                <w:sz w:val="18"/>
                <w:szCs w:val="18"/>
                <w:lang w:eastAsia="hr-HR"/>
              </w:rPr>
              <w:t>0</w:t>
            </w:r>
          </w:p>
        </w:tc>
        <w:tc>
          <w:tcPr>
            <w:tcW w:w="565" w:type="dxa"/>
            <w:tcBorders>
              <w:top w:val="nil"/>
              <w:left w:val="nil"/>
              <w:bottom w:val="single" w:sz="4" w:space="0" w:color="auto"/>
              <w:right w:val="single" w:sz="4" w:space="0" w:color="auto"/>
            </w:tcBorders>
            <w:shd w:val="clear" w:color="000000" w:fill="FFFF99"/>
            <w:noWrap/>
            <w:vAlign w:val="bottom"/>
            <w:hideMark/>
          </w:tcPr>
          <w:p w14:paraId="0BAFB312" w14:textId="77777777" w:rsidR="00C779A5" w:rsidRPr="00C779A5" w:rsidRDefault="00C779A5" w:rsidP="00C779A5">
            <w:pPr>
              <w:spacing w:after="0" w:line="240" w:lineRule="auto"/>
              <w:jc w:val="center"/>
              <w:rPr>
                <w:rFonts w:ascii="Tahoma" w:eastAsia="Times New Roman" w:hAnsi="Tahoma" w:cs="Tahoma"/>
                <w:sz w:val="18"/>
                <w:szCs w:val="18"/>
                <w:lang w:eastAsia="hr-HR"/>
              </w:rPr>
            </w:pPr>
            <w:r w:rsidRPr="00C779A5">
              <w:rPr>
                <w:rFonts w:ascii="Tahoma" w:eastAsia="Times New Roman" w:hAnsi="Tahoma" w:cs="Tahoma"/>
                <w:sz w:val="18"/>
                <w:szCs w:val="18"/>
                <w:lang w:eastAsia="hr-HR"/>
              </w:rPr>
              <w:t>0</w:t>
            </w:r>
          </w:p>
        </w:tc>
        <w:tc>
          <w:tcPr>
            <w:tcW w:w="467" w:type="dxa"/>
            <w:tcBorders>
              <w:top w:val="nil"/>
              <w:left w:val="nil"/>
              <w:bottom w:val="single" w:sz="4" w:space="0" w:color="auto"/>
              <w:right w:val="single" w:sz="4" w:space="0" w:color="auto"/>
            </w:tcBorders>
            <w:shd w:val="clear" w:color="000000" w:fill="FFFF99"/>
            <w:noWrap/>
            <w:vAlign w:val="bottom"/>
            <w:hideMark/>
          </w:tcPr>
          <w:p w14:paraId="6E756F43" w14:textId="77777777" w:rsidR="00C779A5" w:rsidRPr="00C779A5" w:rsidRDefault="00C779A5" w:rsidP="00C779A5">
            <w:pPr>
              <w:spacing w:after="0" w:line="240" w:lineRule="auto"/>
              <w:jc w:val="center"/>
              <w:rPr>
                <w:rFonts w:ascii="Tahoma" w:eastAsia="Times New Roman" w:hAnsi="Tahoma" w:cs="Tahoma"/>
                <w:sz w:val="18"/>
                <w:szCs w:val="18"/>
                <w:lang w:eastAsia="hr-HR"/>
              </w:rPr>
            </w:pPr>
            <w:r w:rsidRPr="00C779A5">
              <w:rPr>
                <w:rFonts w:ascii="Tahoma" w:eastAsia="Times New Roman" w:hAnsi="Tahoma" w:cs="Tahoma"/>
                <w:sz w:val="18"/>
                <w:szCs w:val="18"/>
                <w:lang w:eastAsia="hr-HR"/>
              </w:rPr>
              <w:t>0</w:t>
            </w:r>
          </w:p>
        </w:tc>
        <w:tc>
          <w:tcPr>
            <w:tcW w:w="805" w:type="dxa"/>
            <w:tcBorders>
              <w:top w:val="nil"/>
              <w:left w:val="nil"/>
              <w:bottom w:val="single" w:sz="4" w:space="0" w:color="auto"/>
              <w:right w:val="single" w:sz="4" w:space="0" w:color="auto"/>
            </w:tcBorders>
            <w:shd w:val="clear" w:color="000000" w:fill="FFFF99"/>
            <w:noWrap/>
            <w:vAlign w:val="bottom"/>
            <w:hideMark/>
          </w:tcPr>
          <w:p w14:paraId="2A3A403F" w14:textId="77777777" w:rsidR="00C779A5" w:rsidRPr="00C779A5" w:rsidRDefault="00C779A5" w:rsidP="00C779A5">
            <w:pPr>
              <w:spacing w:after="0" w:line="240" w:lineRule="auto"/>
              <w:jc w:val="center"/>
              <w:rPr>
                <w:rFonts w:ascii="Tahoma" w:eastAsia="Times New Roman" w:hAnsi="Tahoma" w:cs="Tahoma"/>
                <w:sz w:val="18"/>
                <w:szCs w:val="18"/>
                <w:lang w:eastAsia="hr-HR"/>
              </w:rPr>
            </w:pPr>
            <w:r w:rsidRPr="00C779A5">
              <w:rPr>
                <w:rFonts w:ascii="Tahoma" w:eastAsia="Times New Roman" w:hAnsi="Tahoma" w:cs="Tahoma"/>
                <w:sz w:val="18"/>
                <w:szCs w:val="18"/>
                <w:lang w:eastAsia="hr-HR"/>
              </w:rPr>
              <w:t>0</w:t>
            </w:r>
          </w:p>
        </w:tc>
        <w:tc>
          <w:tcPr>
            <w:tcW w:w="467" w:type="dxa"/>
            <w:gridSpan w:val="2"/>
            <w:tcBorders>
              <w:top w:val="nil"/>
              <w:left w:val="nil"/>
              <w:bottom w:val="single" w:sz="4" w:space="0" w:color="auto"/>
              <w:right w:val="single" w:sz="4" w:space="0" w:color="auto"/>
            </w:tcBorders>
            <w:shd w:val="clear" w:color="000000" w:fill="FF9900"/>
            <w:noWrap/>
            <w:vAlign w:val="bottom"/>
            <w:hideMark/>
          </w:tcPr>
          <w:p w14:paraId="17BF81BD" w14:textId="77777777" w:rsidR="00C779A5" w:rsidRPr="00C779A5" w:rsidRDefault="00C779A5" w:rsidP="00C779A5">
            <w:pPr>
              <w:spacing w:after="0" w:line="240" w:lineRule="auto"/>
              <w:jc w:val="right"/>
              <w:rPr>
                <w:rFonts w:ascii="Tahoma" w:eastAsia="Times New Roman" w:hAnsi="Tahoma" w:cs="Tahoma"/>
                <w:sz w:val="18"/>
                <w:szCs w:val="18"/>
                <w:lang w:eastAsia="hr-HR"/>
              </w:rPr>
            </w:pPr>
            <w:r w:rsidRPr="00C779A5">
              <w:rPr>
                <w:rFonts w:ascii="Tahoma" w:eastAsia="Times New Roman" w:hAnsi="Tahoma" w:cs="Tahoma"/>
                <w:sz w:val="18"/>
                <w:szCs w:val="18"/>
                <w:lang w:eastAsia="hr-HR"/>
              </w:rPr>
              <w:t>0</w:t>
            </w:r>
          </w:p>
        </w:tc>
        <w:tc>
          <w:tcPr>
            <w:tcW w:w="522" w:type="dxa"/>
            <w:tcBorders>
              <w:top w:val="nil"/>
              <w:left w:val="nil"/>
              <w:bottom w:val="single" w:sz="4" w:space="0" w:color="auto"/>
              <w:right w:val="single" w:sz="4" w:space="0" w:color="auto"/>
            </w:tcBorders>
            <w:shd w:val="clear" w:color="000000" w:fill="FF9900"/>
            <w:noWrap/>
            <w:vAlign w:val="bottom"/>
            <w:hideMark/>
          </w:tcPr>
          <w:p w14:paraId="28E0E2C3" w14:textId="77777777" w:rsidR="00C779A5" w:rsidRPr="00C779A5" w:rsidRDefault="00C779A5" w:rsidP="00C779A5">
            <w:pPr>
              <w:spacing w:after="0" w:line="240" w:lineRule="auto"/>
              <w:jc w:val="right"/>
              <w:rPr>
                <w:rFonts w:ascii="Tahoma" w:eastAsia="Times New Roman" w:hAnsi="Tahoma" w:cs="Tahoma"/>
                <w:sz w:val="18"/>
                <w:szCs w:val="18"/>
                <w:lang w:eastAsia="hr-HR"/>
              </w:rPr>
            </w:pPr>
            <w:r w:rsidRPr="00C779A5">
              <w:rPr>
                <w:rFonts w:ascii="Tahoma" w:eastAsia="Times New Roman" w:hAnsi="Tahoma" w:cs="Tahoma"/>
                <w:sz w:val="18"/>
                <w:szCs w:val="18"/>
                <w:lang w:eastAsia="hr-HR"/>
              </w:rPr>
              <w:t>0</w:t>
            </w:r>
          </w:p>
        </w:tc>
        <w:tc>
          <w:tcPr>
            <w:tcW w:w="467" w:type="dxa"/>
            <w:tcBorders>
              <w:top w:val="nil"/>
              <w:left w:val="nil"/>
              <w:bottom w:val="single" w:sz="4" w:space="0" w:color="auto"/>
              <w:right w:val="single" w:sz="4" w:space="0" w:color="auto"/>
            </w:tcBorders>
            <w:shd w:val="clear" w:color="000000" w:fill="FF9900"/>
            <w:noWrap/>
            <w:vAlign w:val="bottom"/>
            <w:hideMark/>
          </w:tcPr>
          <w:p w14:paraId="56682808" w14:textId="77777777" w:rsidR="00C779A5" w:rsidRPr="00C779A5" w:rsidRDefault="00C779A5" w:rsidP="00C779A5">
            <w:pPr>
              <w:spacing w:after="0" w:line="240" w:lineRule="auto"/>
              <w:jc w:val="right"/>
              <w:rPr>
                <w:rFonts w:ascii="Tahoma" w:eastAsia="Times New Roman" w:hAnsi="Tahoma" w:cs="Tahoma"/>
                <w:sz w:val="18"/>
                <w:szCs w:val="18"/>
                <w:lang w:eastAsia="hr-HR"/>
              </w:rPr>
            </w:pPr>
            <w:r w:rsidRPr="00C779A5">
              <w:rPr>
                <w:rFonts w:ascii="Tahoma" w:eastAsia="Times New Roman" w:hAnsi="Tahoma" w:cs="Tahoma"/>
                <w:sz w:val="18"/>
                <w:szCs w:val="18"/>
                <w:lang w:eastAsia="hr-HR"/>
              </w:rPr>
              <w:t>0</w:t>
            </w:r>
          </w:p>
        </w:tc>
        <w:tc>
          <w:tcPr>
            <w:tcW w:w="467" w:type="dxa"/>
            <w:tcBorders>
              <w:top w:val="nil"/>
              <w:left w:val="nil"/>
              <w:bottom w:val="single" w:sz="4" w:space="0" w:color="auto"/>
              <w:right w:val="single" w:sz="4" w:space="0" w:color="auto"/>
            </w:tcBorders>
            <w:shd w:val="clear" w:color="000000" w:fill="FFFF00"/>
            <w:vAlign w:val="center"/>
            <w:hideMark/>
          </w:tcPr>
          <w:p w14:paraId="74D4A8E6" w14:textId="77777777" w:rsidR="00C779A5" w:rsidRPr="00C779A5" w:rsidRDefault="00C779A5" w:rsidP="00C779A5">
            <w:pPr>
              <w:spacing w:after="0" w:line="240" w:lineRule="auto"/>
              <w:jc w:val="center"/>
              <w:rPr>
                <w:rFonts w:ascii="Tahoma" w:eastAsia="Times New Roman" w:hAnsi="Tahoma" w:cs="Tahoma"/>
                <w:sz w:val="18"/>
                <w:szCs w:val="18"/>
                <w:lang w:eastAsia="hr-HR"/>
              </w:rPr>
            </w:pPr>
            <w:r w:rsidRPr="00C779A5">
              <w:rPr>
                <w:rFonts w:ascii="Tahoma" w:eastAsia="Times New Roman" w:hAnsi="Tahoma" w:cs="Tahoma"/>
                <w:sz w:val="18"/>
                <w:szCs w:val="18"/>
                <w:lang w:eastAsia="hr-HR"/>
              </w:rPr>
              <w:t>0</w:t>
            </w:r>
          </w:p>
        </w:tc>
        <w:tc>
          <w:tcPr>
            <w:tcW w:w="877" w:type="dxa"/>
            <w:gridSpan w:val="2"/>
            <w:tcBorders>
              <w:top w:val="nil"/>
              <w:left w:val="nil"/>
              <w:bottom w:val="single" w:sz="4" w:space="0" w:color="auto"/>
              <w:right w:val="single" w:sz="4" w:space="0" w:color="auto"/>
            </w:tcBorders>
            <w:shd w:val="clear" w:color="000000" w:fill="FF9900"/>
            <w:vAlign w:val="center"/>
            <w:hideMark/>
          </w:tcPr>
          <w:p w14:paraId="1D607246" w14:textId="77777777" w:rsidR="00C779A5" w:rsidRPr="00C779A5" w:rsidRDefault="00C779A5" w:rsidP="00C779A5">
            <w:pPr>
              <w:spacing w:after="0" w:line="240" w:lineRule="auto"/>
              <w:jc w:val="center"/>
              <w:rPr>
                <w:rFonts w:ascii="Tahoma" w:eastAsia="Times New Roman" w:hAnsi="Tahoma" w:cs="Tahoma"/>
                <w:sz w:val="18"/>
                <w:szCs w:val="18"/>
                <w:lang w:eastAsia="hr-HR"/>
              </w:rPr>
            </w:pPr>
            <w:r w:rsidRPr="00C779A5">
              <w:rPr>
                <w:rFonts w:ascii="Tahoma" w:eastAsia="Times New Roman" w:hAnsi="Tahoma" w:cs="Tahoma"/>
                <w:sz w:val="18"/>
                <w:szCs w:val="18"/>
                <w:lang w:eastAsia="hr-HR"/>
              </w:rPr>
              <w:t>1</w:t>
            </w:r>
          </w:p>
        </w:tc>
        <w:tc>
          <w:tcPr>
            <w:tcW w:w="576" w:type="dxa"/>
            <w:gridSpan w:val="2"/>
            <w:tcBorders>
              <w:top w:val="nil"/>
              <w:left w:val="nil"/>
              <w:bottom w:val="single" w:sz="4" w:space="0" w:color="auto"/>
              <w:right w:val="single" w:sz="4" w:space="0" w:color="auto"/>
            </w:tcBorders>
            <w:shd w:val="clear" w:color="000000" w:fill="FF9900"/>
            <w:noWrap/>
            <w:vAlign w:val="center"/>
            <w:hideMark/>
          </w:tcPr>
          <w:p w14:paraId="180C9E81" w14:textId="77777777" w:rsidR="00C779A5" w:rsidRPr="00C779A5" w:rsidRDefault="00C779A5" w:rsidP="00C779A5">
            <w:pPr>
              <w:spacing w:after="0" w:line="240" w:lineRule="auto"/>
              <w:jc w:val="center"/>
              <w:rPr>
                <w:rFonts w:ascii="Tahoma" w:eastAsia="Times New Roman" w:hAnsi="Tahoma" w:cs="Tahoma"/>
                <w:sz w:val="18"/>
                <w:szCs w:val="18"/>
                <w:lang w:eastAsia="hr-HR"/>
              </w:rPr>
            </w:pPr>
            <w:r w:rsidRPr="00C779A5">
              <w:rPr>
                <w:rFonts w:ascii="Tahoma" w:eastAsia="Times New Roman" w:hAnsi="Tahoma" w:cs="Tahoma"/>
                <w:sz w:val="18"/>
                <w:szCs w:val="18"/>
                <w:lang w:eastAsia="hr-HR"/>
              </w:rPr>
              <w:t>0</w:t>
            </w:r>
          </w:p>
        </w:tc>
        <w:tc>
          <w:tcPr>
            <w:tcW w:w="440" w:type="dxa"/>
            <w:tcBorders>
              <w:top w:val="nil"/>
              <w:left w:val="nil"/>
              <w:bottom w:val="single" w:sz="4" w:space="0" w:color="auto"/>
              <w:right w:val="single" w:sz="4" w:space="0" w:color="auto"/>
            </w:tcBorders>
            <w:shd w:val="clear" w:color="000000" w:fill="FF9900"/>
            <w:noWrap/>
            <w:vAlign w:val="center"/>
            <w:hideMark/>
          </w:tcPr>
          <w:p w14:paraId="372981BF" w14:textId="77777777" w:rsidR="00C779A5" w:rsidRPr="00C779A5" w:rsidRDefault="00C779A5" w:rsidP="00C779A5">
            <w:pPr>
              <w:spacing w:after="0" w:line="240" w:lineRule="auto"/>
              <w:jc w:val="center"/>
              <w:rPr>
                <w:rFonts w:ascii="Tahoma" w:eastAsia="Times New Roman" w:hAnsi="Tahoma" w:cs="Tahoma"/>
                <w:sz w:val="18"/>
                <w:szCs w:val="18"/>
                <w:lang w:eastAsia="hr-HR"/>
              </w:rPr>
            </w:pPr>
            <w:r w:rsidRPr="00C779A5">
              <w:rPr>
                <w:rFonts w:ascii="Tahoma" w:eastAsia="Times New Roman" w:hAnsi="Tahoma" w:cs="Tahoma"/>
                <w:sz w:val="18"/>
                <w:szCs w:val="18"/>
                <w:lang w:eastAsia="hr-HR"/>
              </w:rPr>
              <w:t>0</w:t>
            </w:r>
          </w:p>
        </w:tc>
        <w:tc>
          <w:tcPr>
            <w:tcW w:w="793" w:type="dxa"/>
            <w:tcBorders>
              <w:top w:val="nil"/>
              <w:left w:val="nil"/>
              <w:bottom w:val="single" w:sz="4" w:space="0" w:color="auto"/>
              <w:right w:val="single" w:sz="4" w:space="0" w:color="auto"/>
            </w:tcBorders>
            <w:shd w:val="clear" w:color="000000" w:fill="FF9900"/>
            <w:noWrap/>
            <w:vAlign w:val="center"/>
            <w:hideMark/>
          </w:tcPr>
          <w:p w14:paraId="4E634FC8" w14:textId="77777777" w:rsidR="00C779A5" w:rsidRPr="00C779A5" w:rsidRDefault="00C779A5" w:rsidP="00C779A5">
            <w:pPr>
              <w:spacing w:after="0" w:line="240" w:lineRule="auto"/>
              <w:jc w:val="center"/>
              <w:rPr>
                <w:rFonts w:ascii="Tahoma" w:eastAsia="Times New Roman" w:hAnsi="Tahoma" w:cs="Tahoma"/>
                <w:sz w:val="18"/>
                <w:szCs w:val="18"/>
                <w:lang w:eastAsia="hr-HR"/>
              </w:rPr>
            </w:pPr>
            <w:r w:rsidRPr="00C779A5">
              <w:rPr>
                <w:rFonts w:ascii="Tahoma" w:eastAsia="Times New Roman" w:hAnsi="Tahoma" w:cs="Tahoma"/>
                <w:sz w:val="18"/>
                <w:szCs w:val="18"/>
                <w:lang w:eastAsia="hr-HR"/>
              </w:rPr>
              <w:t>0</w:t>
            </w:r>
          </w:p>
        </w:tc>
        <w:tc>
          <w:tcPr>
            <w:tcW w:w="645" w:type="dxa"/>
            <w:gridSpan w:val="2"/>
            <w:tcBorders>
              <w:top w:val="nil"/>
              <w:left w:val="nil"/>
              <w:bottom w:val="single" w:sz="4" w:space="0" w:color="auto"/>
              <w:right w:val="single" w:sz="4" w:space="0" w:color="auto"/>
            </w:tcBorders>
            <w:shd w:val="clear" w:color="000000" w:fill="CCFFFF"/>
            <w:noWrap/>
            <w:vAlign w:val="bottom"/>
            <w:hideMark/>
          </w:tcPr>
          <w:p w14:paraId="52F88BDD" w14:textId="77777777" w:rsidR="00C779A5" w:rsidRPr="00C779A5" w:rsidRDefault="00C779A5" w:rsidP="00C779A5">
            <w:pPr>
              <w:spacing w:after="0" w:line="240" w:lineRule="auto"/>
              <w:jc w:val="right"/>
              <w:rPr>
                <w:rFonts w:ascii="Tahoma" w:eastAsia="Times New Roman" w:hAnsi="Tahoma" w:cs="Tahoma"/>
                <w:sz w:val="18"/>
                <w:szCs w:val="18"/>
                <w:lang w:eastAsia="hr-HR"/>
              </w:rPr>
            </w:pPr>
            <w:r w:rsidRPr="00C779A5">
              <w:rPr>
                <w:rFonts w:ascii="Tahoma" w:eastAsia="Times New Roman" w:hAnsi="Tahoma" w:cs="Tahoma"/>
                <w:sz w:val="18"/>
                <w:szCs w:val="18"/>
                <w:lang w:eastAsia="hr-HR"/>
              </w:rPr>
              <w:t>0</w:t>
            </w:r>
          </w:p>
        </w:tc>
        <w:tc>
          <w:tcPr>
            <w:tcW w:w="467" w:type="dxa"/>
            <w:tcBorders>
              <w:top w:val="nil"/>
              <w:left w:val="nil"/>
              <w:bottom w:val="single" w:sz="4" w:space="0" w:color="auto"/>
              <w:right w:val="single" w:sz="4" w:space="0" w:color="auto"/>
            </w:tcBorders>
            <w:shd w:val="clear" w:color="000000" w:fill="CCFFFF"/>
            <w:noWrap/>
            <w:vAlign w:val="bottom"/>
            <w:hideMark/>
          </w:tcPr>
          <w:p w14:paraId="241A7FD1" w14:textId="77777777" w:rsidR="00C779A5" w:rsidRPr="00C779A5" w:rsidRDefault="00C779A5" w:rsidP="00C779A5">
            <w:pPr>
              <w:spacing w:after="0" w:line="240" w:lineRule="auto"/>
              <w:jc w:val="right"/>
              <w:rPr>
                <w:rFonts w:ascii="Tahoma" w:eastAsia="Times New Roman" w:hAnsi="Tahoma" w:cs="Tahoma"/>
                <w:sz w:val="18"/>
                <w:szCs w:val="18"/>
                <w:lang w:eastAsia="hr-HR"/>
              </w:rPr>
            </w:pPr>
            <w:r w:rsidRPr="00C779A5">
              <w:rPr>
                <w:rFonts w:ascii="Tahoma" w:eastAsia="Times New Roman" w:hAnsi="Tahoma" w:cs="Tahoma"/>
                <w:sz w:val="18"/>
                <w:szCs w:val="18"/>
                <w:lang w:eastAsia="hr-HR"/>
              </w:rPr>
              <w:t>0</w:t>
            </w:r>
          </w:p>
        </w:tc>
        <w:tc>
          <w:tcPr>
            <w:tcW w:w="467" w:type="dxa"/>
            <w:tcBorders>
              <w:top w:val="nil"/>
              <w:left w:val="nil"/>
              <w:bottom w:val="single" w:sz="4" w:space="0" w:color="auto"/>
              <w:right w:val="single" w:sz="4" w:space="0" w:color="auto"/>
            </w:tcBorders>
            <w:shd w:val="clear" w:color="000000" w:fill="CCFFFF"/>
            <w:noWrap/>
            <w:vAlign w:val="bottom"/>
            <w:hideMark/>
          </w:tcPr>
          <w:p w14:paraId="27A6494C" w14:textId="77777777" w:rsidR="00C779A5" w:rsidRPr="00C779A5" w:rsidRDefault="00C779A5" w:rsidP="00C779A5">
            <w:pPr>
              <w:spacing w:after="0" w:line="240" w:lineRule="auto"/>
              <w:jc w:val="right"/>
              <w:rPr>
                <w:rFonts w:ascii="Tahoma" w:eastAsia="Times New Roman" w:hAnsi="Tahoma" w:cs="Tahoma"/>
                <w:sz w:val="18"/>
                <w:szCs w:val="18"/>
                <w:lang w:eastAsia="hr-HR"/>
              </w:rPr>
            </w:pPr>
            <w:r w:rsidRPr="00C779A5">
              <w:rPr>
                <w:rFonts w:ascii="Tahoma" w:eastAsia="Times New Roman" w:hAnsi="Tahoma" w:cs="Tahoma"/>
                <w:sz w:val="18"/>
                <w:szCs w:val="18"/>
                <w:lang w:eastAsia="hr-HR"/>
              </w:rPr>
              <w:t>0</w:t>
            </w:r>
          </w:p>
        </w:tc>
        <w:tc>
          <w:tcPr>
            <w:tcW w:w="478" w:type="dxa"/>
            <w:gridSpan w:val="2"/>
            <w:tcBorders>
              <w:top w:val="nil"/>
              <w:left w:val="nil"/>
              <w:bottom w:val="single" w:sz="4" w:space="0" w:color="auto"/>
              <w:right w:val="nil"/>
            </w:tcBorders>
            <w:shd w:val="clear" w:color="000000" w:fill="33CCCC"/>
            <w:noWrap/>
            <w:vAlign w:val="bottom"/>
            <w:hideMark/>
          </w:tcPr>
          <w:p w14:paraId="3156B051" w14:textId="77777777" w:rsidR="00C779A5" w:rsidRPr="00C779A5" w:rsidRDefault="00C779A5" w:rsidP="00C779A5">
            <w:pPr>
              <w:spacing w:after="0" w:line="240" w:lineRule="auto"/>
              <w:jc w:val="right"/>
              <w:rPr>
                <w:rFonts w:ascii="Tahoma" w:eastAsia="Times New Roman" w:hAnsi="Tahoma" w:cs="Tahoma"/>
                <w:sz w:val="18"/>
                <w:szCs w:val="18"/>
                <w:lang w:eastAsia="hr-HR"/>
              </w:rPr>
            </w:pPr>
            <w:r w:rsidRPr="00C779A5">
              <w:rPr>
                <w:rFonts w:ascii="Tahoma" w:eastAsia="Times New Roman" w:hAnsi="Tahoma" w:cs="Tahoma"/>
                <w:sz w:val="18"/>
                <w:szCs w:val="18"/>
                <w:lang w:eastAsia="hr-HR"/>
              </w:rPr>
              <w:t>0</w:t>
            </w:r>
          </w:p>
        </w:tc>
        <w:tc>
          <w:tcPr>
            <w:tcW w:w="876" w:type="dxa"/>
            <w:tcBorders>
              <w:top w:val="nil"/>
              <w:left w:val="single" w:sz="4" w:space="0" w:color="auto"/>
              <w:bottom w:val="single" w:sz="4" w:space="0" w:color="auto"/>
              <w:right w:val="single" w:sz="8" w:space="0" w:color="auto"/>
            </w:tcBorders>
            <w:shd w:val="clear" w:color="000000" w:fill="33CCCC"/>
            <w:noWrap/>
            <w:vAlign w:val="bottom"/>
            <w:hideMark/>
          </w:tcPr>
          <w:p w14:paraId="65B6E6BE" w14:textId="77777777" w:rsidR="00C779A5" w:rsidRPr="00C779A5" w:rsidRDefault="00C779A5" w:rsidP="00C779A5">
            <w:pPr>
              <w:spacing w:after="0" w:line="240" w:lineRule="auto"/>
              <w:jc w:val="right"/>
              <w:rPr>
                <w:rFonts w:ascii="Tahoma" w:eastAsia="Times New Roman" w:hAnsi="Tahoma" w:cs="Tahoma"/>
                <w:sz w:val="18"/>
                <w:szCs w:val="18"/>
                <w:lang w:eastAsia="hr-HR"/>
              </w:rPr>
            </w:pPr>
            <w:r w:rsidRPr="00C779A5">
              <w:rPr>
                <w:rFonts w:ascii="Tahoma" w:eastAsia="Times New Roman" w:hAnsi="Tahoma" w:cs="Tahoma"/>
                <w:sz w:val="18"/>
                <w:szCs w:val="18"/>
                <w:lang w:eastAsia="hr-HR"/>
              </w:rPr>
              <w:t>0</w:t>
            </w:r>
          </w:p>
        </w:tc>
        <w:tc>
          <w:tcPr>
            <w:tcW w:w="236" w:type="dxa"/>
            <w:gridSpan w:val="3"/>
            <w:vAlign w:val="center"/>
            <w:hideMark/>
          </w:tcPr>
          <w:p w14:paraId="34BF06A1" w14:textId="77777777" w:rsidR="00C779A5" w:rsidRPr="00C779A5" w:rsidRDefault="00C779A5" w:rsidP="00C779A5">
            <w:pPr>
              <w:spacing w:after="0" w:line="240" w:lineRule="auto"/>
              <w:rPr>
                <w:rFonts w:ascii="Times New Roman" w:eastAsia="Times New Roman" w:hAnsi="Times New Roman" w:cs="Times New Roman"/>
                <w:sz w:val="18"/>
                <w:szCs w:val="18"/>
                <w:lang w:eastAsia="hr-HR"/>
              </w:rPr>
            </w:pPr>
          </w:p>
        </w:tc>
      </w:tr>
      <w:tr w:rsidR="00C779A5" w:rsidRPr="00C779A5" w14:paraId="55B86ED9" w14:textId="77777777" w:rsidTr="00C779A5">
        <w:trPr>
          <w:gridAfter w:val="2"/>
          <w:wAfter w:w="149" w:type="dxa"/>
          <w:trHeight w:val="300"/>
        </w:trPr>
        <w:tc>
          <w:tcPr>
            <w:tcW w:w="1567" w:type="dxa"/>
            <w:tcBorders>
              <w:top w:val="single" w:sz="4" w:space="0" w:color="auto"/>
              <w:left w:val="single" w:sz="8" w:space="0" w:color="auto"/>
              <w:bottom w:val="single" w:sz="4" w:space="0" w:color="auto"/>
              <w:right w:val="single" w:sz="4" w:space="0" w:color="auto"/>
            </w:tcBorders>
            <w:shd w:val="clear" w:color="000000" w:fill="CCFFCC"/>
            <w:vAlign w:val="center"/>
            <w:hideMark/>
          </w:tcPr>
          <w:p w14:paraId="5C39BC49" w14:textId="77777777" w:rsidR="00C779A5" w:rsidRPr="00C779A5" w:rsidRDefault="00C779A5" w:rsidP="00C779A5">
            <w:pPr>
              <w:spacing w:after="0" w:line="240" w:lineRule="auto"/>
              <w:rPr>
                <w:rFonts w:ascii="Tahoma" w:eastAsia="Times New Roman" w:hAnsi="Tahoma" w:cs="Tahoma"/>
                <w:sz w:val="18"/>
                <w:szCs w:val="18"/>
                <w:lang w:eastAsia="hr-HR"/>
              </w:rPr>
            </w:pPr>
            <w:r w:rsidRPr="00C779A5">
              <w:rPr>
                <w:rFonts w:ascii="Tahoma" w:eastAsia="Times New Roman" w:hAnsi="Tahoma" w:cs="Tahoma"/>
                <w:sz w:val="18"/>
                <w:szCs w:val="18"/>
                <w:lang w:eastAsia="hr-HR"/>
              </w:rPr>
              <w:t>Rodni identitet rodno izražavanje</w:t>
            </w:r>
          </w:p>
        </w:tc>
        <w:tc>
          <w:tcPr>
            <w:tcW w:w="557" w:type="dxa"/>
            <w:tcBorders>
              <w:top w:val="nil"/>
              <w:left w:val="nil"/>
              <w:bottom w:val="single" w:sz="4" w:space="0" w:color="auto"/>
              <w:right w:val="single" w:sz="4" w:space="0" w:color="auto"/>
            </w:tcBorders>
            <w:shd w:val="clear" w:color="000000" w:fill="FFCC99"/>
            <w:noWrap/>
            <w:vAlign w:val="bottom"/>
            <w:hideMark/>
          </w:tcPr>
          <w:p w14:paraId="2DF92E1D" w14:textId="77777777" w:rsidR="00C779A5" w:rsidRPr="00C779A5" w:rsidRDefault="00C779A5" w:rsidP="00C779A5">
            <w:pPr>
              <w:spacing w:after="0" w:line="240" w:lineRule="auto"/>
              <w:jc w:val="center"/>
              <w:rPr>
                <w:rFonts w:ascii="Tahoma" w:eastAsia="Times New Roman" w:hAnsi="Tahoma" w:cs="Tahoma"/>
                <w:sz w:val="18"/>
                <w:szCs w:val="18"/>
                <w:lang w:eastAsia="hr-HR"/>
              </w:rPr>
            </w:pPr>
            <w:r w:rsidRPr="00C779A5">
              <w:rPr>
                <w:rFonts w:ascii="Tahoma" w:eastAsia="Times New Roman" w:hAnsi="Tahoma" w:cs="Tahoma"/>
                <w:sz w:val="18"/>
                <w:szCs w:val="18"/>
                <w:lang w:eastAsia="hr-HR"/>
              </w:rPr>
              <w:t>0</w:t>
            </w:r>
          </w:p>
        </w:tc>
        <w:tc>
          <w:tcPr>
            <w:tcW w:w="444" w:type="dxa"/>
            <w:tcBorders>
              <w:top w:val="nil"/>
              <w:left w:val="nil"/>
              <w:bottom w:val="single" w:sz="4" w:space="0" w:color="auto"/>
              <w:right w:val="single" w:sz="4" w:space="0" w:color="auto"/>
            </w:tcBorders>
            <w:shd w:val="clear" w:color="000000" w:fill="FFFF00"/>
            <w:noWrap/>
            <w:vAlign w:val="bottom"/>
            <w:hideMark/>
          </w:tcPr>
          <w:p w14:paraId="4B6AD019" w14:textId="77777777" w:rsidR="00C779A5" w:rsidRPr="00C779A5" w:rsidRDefault="00C779A5" w:rsidP="00C779A5">
            <w:pPr>
              <w:spacing w:after="0" w:line="240" w:lineRule="auto"/>
              <w:jc w:val="center"/>
              <w:rPr>
                <w:rFonts w:ascii="Tahoma" w:eastAsia="Times New Roman" w:hAnsi="Tahoma" w:cs="Tahoma"/>
                <w:sz w:val="18"/>
                <w:szCs w:val="18"/>
                <w:lang w:eastAsia="hr-HR"/>
              </w:rPr>
            </w:pPr>
            <w:r w:rsidRPr="00C779A5">
              <w:rPr>
                <w:rFonts w:ascii="Tahoma" w:eastAsia="Times New Roman" w:hAnsi="Tahoma" w:cs="Tahoma"/>
                <w:sz w:val="18"/>
                <w:szCs w:val="18"/>
                <w:lang w:eastAsia="hr-HR"/>
              </w:rPr>
              <w:t>0</w:t>
            </w:r>
          </w:p>
        </w:tc>
        <w:tc>
          <w:tcPr>
            <w:tcW w:w="399" w:type="dxa"/>
            <w:tcBorders>
              <w:top w:val="nil"/>
              <w:left w:val="nil"/>
              <w:bottom w:val="single" w:sz="4" w:space="0" w:color="auto"/>
              <w:right w:val="single" w:sz="4" w:space="0" w:color="auto"/>
            </w:tcBorders>
            <w:shd w:val="clear" w:color="000000" w:fill="CCFFFF"/>
            <w:noWrap/>
            <w:vAlign w:val="bottom"/>
            <w:hideMark/>
          </w:tcPr>
          <w:p w14:paraId="5BBE2672" w14:textId="77777777" w:rsidR="00C779A5" w:rsidRPr="00C779A5" w:rsidRDefault="00C779A5" w:rsidP="00C779A5">
            <w:pPr>
              <w:spacing w:after="0" w:line="240" w:lineRule="auto"/>
              <w:jc w:val="right"/>
              <w:rPr>
                <w:rFonts w:ascii="Tahoma" w:eastAsia="Times New Roman" w:hAnsi="Tahoma" w:cs="Tahoma"/>
                <w:sz w:val="18"/>
                <w:szCs w:val="18"/>
                <w:lang w:eastAsia="hr-HR"/>
              </w:rPr>
            </w:pPr>
            <w:r w:rsidRPr="00C779A5">
              <w:rPr>
                <w:rFonts w:ascii="Tahoma" w:eastAsia="Times New Roman" w:hAnsi="Tahoma" w:cs="Tahoma"/>
                <w:sz w:val="18"/>
                <w:szCs w:val="18"/>
                <w:lang w:eastAsia="hr-HR"/>
              </w:rPr>
              <w:t>0</w:t>
            </w:r>
          </w:p>
        </w:tc>
        <w:tc>
          <w:tcPr>
            <w:tcW w:w="425" w:type="dxa"/>
            <w:tcBorders>
              <w:top w:val="nil"/>
              <w:left w:val="nil"/>
              <w:bottom w:val="single" w:sz="4" w:space="0" w:color="auto"/>
              <w:right w:val="single" w:sz="4" w:space="0" w:color="auto"/>
            </w:tcBorders>
            <w:shd w:val="clear" w:color="000000" w:fill="CCFFFF"/>
            <w:noWrap/>
            <w:vAlign w:val="bottom"/>
            <w:hideMark/>
          </w:tcPr>
          <w:p w14:paraId="28D5DBAD" w14:textId="77777777" w:rsidR="00C779A5" w:rsidRPr="00C779A5" w:rsidRDefault="00C779A5" w:rsidP="00C779A5">
            <w:pPr>
              <w:spacing w:after="0" w:line="240" w:lineRule="auto"/>
              <w:jc w:val="right"/>
              <w:rPr>
                <w:rFonts w:ascii="Tahoma" w:eastAsia="Times New Roman" w:hAnsi="Tahoma" w:cs="Tahoma"/>
                <w:sz w:val="18"/>
                <w:szCs w:val="18"/>
                <w:lang w:eastAsia="hr-HR"/>
              </w:rPr>
            </w:pPr>
            <w:r w:rsidRPr="00C779A5">
              <w:rPr>
                <w:rFonts w:ascii="Tahoma" w:eastAsia="Times New Roman" w:hAnsi="Tahoma" w:cs="Tahoma"/>
                <w:sz w:val="18"/>
                <w:szCs w:val="18"/>
                <w:lang w:eastAsia="hr-HR"/>
              </w:rPr>
              <w:t>0</w:t>
            </w:r>
          </w:p>
        </w:tc>
        <w:tc>
          <w:tcPr>
            <w:tcW w:w="574" w:type="dxa"/>
            <w:tcBorders>
              <w:top w:val="nil"/>
              <w:left w:val="nil"/>
              <w:bottom w:val="single" w:sz="4" w:space="0" w:color="auto"/>
              <w:right w:val="single" w:sz="4" w:space="0" w:color="auto"/>
            </w:tcBorders>
            <w:shd w:val="clear" w:color="000000" w:fill="FFFF99"/>
            <w:noWrap/>
            <w:vAlign w:val="bottom"/>
            <w:hideMark/>
          </w:tcPr>
          <w:p w14:paraId="2F5943C8" w14:textId="77777777" w:rsidR="00C779A5" w:rsidRPr="00C779A5" w:rsidRDefault="00C779A5" w:rsidP="00C779A5">
            <w:pPr>
              <w:spacing w:after="0" w:line="240" w:lineRule="auto"/>
              <w:jc w:val="center"/>
              <w:rPr>
                <w:rFonts w:ascii="Tahoma" w:eastAsia="Times New Roman" w:hAnsi="Tahoma" w:cs="Tahoma"/>
                <w:sz w:val="18"/>
                <w:szCs w:val="18"/>
                <w:lang w:eastAsia="hr-HR"/>
              </w:rPr>
            </w:pPr>
            <w:r w:rsidRPr="00C779A5">
              <w:rPr>
                <w:rFonts w:ascii="Tahoma" w:eastAsia="Times New Roman" w:hAnsi="Tahoma" w:cs="Tahoma"/>
                <w:sz w:val="18"/>
                <w:szCs w:val="18"/>
                <w:lang w:eastAsia="hr-HR"/>
              </w:rPr>
              <w:t>0</w:t>
            </w:r>
          </w:p>
        </w:tc>
        <w:tc>
          <w:tcPr>
            <w:tcW w:w="706" w:type="dxa"/>
            <w:tcBorders>
              <w:top w:val="nil"/>
              <w:left w:val="nil"/>
              <w:bottom w:val="single" w:sz="4" w:space="0" w:color="auto"/>
              <w:right w:val="single" w:sz="4" w:space="0" w:color="auto"/>
            </w:tcBorders>
            <w:shd w:val="clear" w:color="000000" w:fill="FFFF99"/>
            <w:noWrap/>
            <w:vAlign w:val="bottom"/>
            <w:hideMark/>
          </w:tcPr>
          <w:p w14:paraId="0E8A1186" w14:textId="77777777" w:rsidR="00C779A5" w:rsidRPr="00C779A5" w:rsidRDefault="00C779A5" w:rsidP="00C779A5">
            <w:pPr>
              <w:spacing w:after="0" w:line="240" w:lineRule="auto"/>
              <w:jc w:val="center"/>
              <w:rPr>
                <w:rFonts w:ascii="Tahoma" w:eastAsia="Times New Roman" w:hAnsi="Tahoma" w:cs="Tahoma"/>
                <w:sz w:val="18"/>
                <w:szCs w:val="18"/>
                <w:lang w:eastAsia="hr-HR"/>
              </w:rPr>
            </w:pPr>
            <w:r w:rsidRPr="00C779A5">
              <w:rPr>
                <w:rFonts w:ascii="Tahoma" w:eastAsia="Times New Roman" w:hAnsi="Tahoma" w:cs="Tahoma"/>
                <w:sz w:val="18"/>
                <w:szCs w:val="18"/>
                <w:lang w:eastAsia="hr-HR"/>
              </w:rPr>
              <w:t>0</w:t>
            </w:r>
          </w:p>
        </w:tc>
        <w:tc>
          <w:tcPr>
            <w:tcW w:w="565" w:type="dxa"/>
            <w:tcBorders>
              <w:top w:val="nil"/>
              <w:left w:val="nil"/>
              <w:bottom w:val="single" w:sz="4" w:space="0" w:color="auto"/>
              <w:right w:val="single" w:sz="4" w:space="0" w:color="auto"/>
            </w:tcBorders>
            <w:shd w:val="clear" w:color="000000" w:fill="FFFF99"/>
            <w:noWrap/>
            <w:vAlign w:val="bottom"/>
            <w:hideMark/>
          </w:tcPr>
          <w:p w14:paraId="61CEE831" w14:textId="77777777" w:rsidR="00C779A5" w:rsidRPr="00C779A5" w:rsidRDefault="00C779A5" w:rsidP="00C779A5">
            <w:pPr>
              <w:spacing w:after="0" w:line="240" w:lineRule="auto"/>
              <w:jc w:val="center"/>
              <w:rPr>
                <w:rFonts w:ascii="Tahoma" w:eastAsia="Times New Roman" w:hAnsi="Tahoma" w:cs="Tahoma"/>
                <w:sz w:val="18"/>
                <w:szCs w:val="18"/>
                <w:lang w:eastAsia="hr-HR"/>
              </w:rPr>
            </w:pPr>
            <w:r w:rsidRPr="00C779A5">
              <w:rPr>
                <w:rFonts w:ascii="Tahoma" w:eastAsia="Times New Roman" w:hAnsi="Tahoma" w:cs="Tahoma"/>
                <w:sz w:val="18"/>
                <w:szCs w:val="18"/>
                <w:lang w:eastAsia="hr-HR"/>
              </w:rPr>
              <w:t>0</w:t>
            </w:r>
          </w:p>
        </w:tc>
        <w:tc>
          <w:tcPr>
            <w:tcW w:w="565" w:type="dxa"/>
            <w:tcBorders>
              <w:top w:val="nil"/>
              <w:left w:val="nil"/>
              <w:bottom w:val="single" w:sz="4" w:space="0" w:color="auto"/>
              <w:right w:val="single" w:sz="4" w:space="0" w:color="auto"/>
            </w:tcBorders>
            <w:shd w:val="clear" w:color="000000" w:fill="FFFF99"/>
            <w:noWrap/>
            <w:vAlign w:val="bottom"/>
            <w:hideMark/>
          </w:tcPr>
          <w:p w14:paraId="59AE8793" w14:textId="77777777" w:rsidR="00C779A5" w:rsidRPr="00C779A5" w:rsidRDefault="00C779A5" w:rsidP="00C779A5">
            <w:pPr>
              <w:spacing w:after="0" w:line="240" w:lineRule="auto"/>
              <w:jc w:val="center"/>
              <w:rPr>
                <w:rFonts w:ascii="Tahoma" w:eastAsia="Times New Roman" w:hAnsi="Tahoma" w:cs="Tahoma"/>
                <w:sz w:val="18"/>
                <w:szCs w:val="18"/>
                <w:lang w:eastAsia="hr-HR"/>
              </w:rPr>
            </w:pPr>
            <w:r w:rsidRPr="00C779A5">
              <w:rPr>
                <w:rFonts w:ascii="Tahoma" w:eastAsia="Times New Roman" w:hAnsi="Tahoma" w:cs="Tahoma"/>
                <w:sz w:val="18"/>
                <w:szCs w:val="18"/>
                <w:lang w:eastAsia="hr-HR"/>
              </w:rPr>
              <w:t>0</w:t>
            </w:r>
          </w:p>
        </w:tc>
        <w:tc>
          <w:tcPr>
            <w:tcW w:w="467" w:type="dxa"/>
            <w:tcBorders>
              <w:top w:val="nil"/>
              <w:left w:val="nil"/>
              <w:bottom w:val="single" w:sz="4" w:space="0" w:color="auto"/>
              <w:right w:val="single" w:sz="4" w:space="0" w:color="auto"/>
            </w:tcBorders>
            <w:shd w:val="clear" w:color="000000" w:fill="FFFF99"/>
            <w:noWrap/>
            <w:vAlign w:val="bottom"/>
            <w:hideMark/>
          </w:tcPr>
          <w:p w14:paraId="17940233" w14:textId="77777777" w:rsidR="00C779A5" w:rsidRPr="00C779A5" w:rsidRDefault="00C779A5" w:rsidP="00C779A5">
            <w:pPr>
              <w:spacing w:after="0" w:line="240" w:lineRule="auto"/>
              <w:jc w:val="center"/>
              <w:rPr>
                <w:rFonts w:ascii="Tahoma" w:eastAsia="Times New Roman" w:hAnsi="Tahoma" w:cs="Tahoma"/>
                <w:sz w:val="18"/>
                <w:szCs w:val="18"/>
                <w:lang w:eastAsia="hr-HR"/>
              </w:rPr>
            </w:pPr>
            <w:r w:rsidRPr="00C779A5">
              <w:rPr>
                <w:rFonts w:ascii="Tahoma" w:eastAsia="Times New Roman" w:hAnsi="Tahoma" w:cs="Tahoma"/>
                <w:sz w:val="18"/>
                <w:szCs w:val="18"/>
                <w:lang w:eastAsia="hr-HR"/>
              </w:rPr>
              <w:t>0</w:t>
            </w:r>
          </w:p>
        </w:tc>
        <w:tc>
          <w:tcPr>
            <w:tcW w:w="805" w:type="dxa"/>
            <w:tcBorders>
              <w:top w:val="nil"/>
              <w:left w:val="nil"/>
              <w:bottom w:val="single" w:sz="4" w:space="0" w:color="auto"/>
              <w:right w:val="single" w:sz="4" w:space="0" w:color="auto"/>
            </w:tcBorders>
            <w:shd w:val="clear" w:color="000000" w:fill="FFFF99"/>
            <w:noWrap/>
            <w:vAlign w:val="bottom"/>
            <w:hideMark/>
          </w:tcPr>
          <w:p w14:paraId="2425124E" w14:textId="77777777" w:rsidR="00C779A5" w:rsidRPr="00C779A5" w:rsidRDefault="00C779A5" w:rsidP="00C779A5">
            <w:pPr>
              <w:spacing w:after="0" w:line="240" w:lineRule="auto"/>
              <w:jc w:val="center"/>
              <w:rPr>
                <w:rFonts w:ascii="Tahoma" w:eastAsia="Times New Roman" w:hAnsi="Tahoma" w:cs="Tahoma"/>
                <w:sz w:val="18"/>
                <w:szCs w:val="18"/>
                <w:lang w:eastAsia="hr-HR"/>
              </w:rPr>
            </w:pPr>
            <w:r w:rsidRPr="00C779A5">
              <w:rPr>
                <w:rFonts w:ascii="Tahoma" w:eastAsia="Times New Roman" w:hAnsi="Tahoma" w:cs="Tahoma"/>
                <w:sz w:val="18"/>
                <w:szCs w:val="18"/>
                <w:lang w:eastAsia="hr-HR"/>
              </w:rPr>
              <w:t>0</w:t>
            </w:r>
          </w:p>
        </w:tc>
        <w:tc>
          <w:tcPr>
            <w:tcW w:w="467" w:type="dxa"/>
            <w:gridSpan w:val="2"/>
            <w:tcBorders>
              <w:top w:val="nil"/>
              <w:left w:val="nil"/>
              <w:bottom w:val="single" w:sz="4" w:space="0" w:color="auto"/>
              <w:right w:val="single" w:sz="4" w:space="0" w:color="auto"/>
            </w:tcBorders>
            <w:shd w:val="clear" w:color="000000" w:fill="FF9900"/>
            <w:noWrap/>
            <w:vAlign w:val="bottom"/>
            <w:hideMark/>
          </w:tcPr>
          <w:p w14:paraId="3D3C0185" w14:textId="77777777" w:rsidR="00C779A5" w:rsidRPr="00C779A5" w:rsidRDefault="00C779A5" w:rsidP="00C779A5">
            <w:pPr>
              <w:spacing w:after="0" w:line="240" w:lineRule="auto"/>
              <w:jc w:val="right"/>
              <w:rPr>
                <w:rFonts w:ascii="Tahoma" w:eastAsia="Times New Roman" w:hAnsi="Tahoma" w:cs="Tahoma"/>
                <w:sz w:val="18"/>
                <w:szCs w:val="18"/>
                <w:lang w:eastAsia="hr-HR"/>
              </w:rPr>
            </w:pPr>
            <w:r w:rsidRPr="00C779A5">
              <w:rPr>
                <w:rFonts w:ascii="Tahoma" w:eastAsia="Times New Roman" w:hAnsi="Tahoma" w:cs="Tahoma"/>
                <w:sz w:val="18"/>
                <w:szCs w:val="18"/>
                <w:lang w:eastAsia="hr-HR"/>
              </w:rPr>
              <w:t>0</w:t>
            </w:r>
          </w:p>
        </w:tc>
        <w:tc>
          <w:tcPr>
            <w:tcW w:w="522" w:type="dxa"/>
            <w:tcBorders>
              <w:top w:val="nil"/>
              <w:left w:val="nil"/>
              <w:bottom w:val="single" w:sz="4" w:space="0" w:color="auto"/>
              <w:right w:val="single" w:sz="4" w:space="0" w:color="auto"/>
            </w:tcBorders>
            <w:shd w:val="clear" w:color="000000" w:fill="FF9900"/>
            <w:noWrap/>
            <w:vAlign w:val="bottom"/>
            <w:hideMark/>
          </w:tcPr>
          <w:p w14:paraId="42131439" w14:textId="77777777" w:rsidR="00C779A5" w:rsidRPr="00C779A5" w:rsidRDefault="00C779A5" w:rsidP="00C779A5">
            <w:pPr>
              <w:spacing w:after="0" w:line="240" w:lineRule="auto"/>
              <w:jc w:val="right"/>
              <w:rPr>
                <w:rFonts w:ascii="Tahoma" w:eastAsia="Times New Roman" w:hAnsi="Tahoma" w:cs="Tahoma"/>
                <w:sz w:val="18"/>
                <w:szCs w:val="18"/>
                <w:lang w:eastAsia="hr-HR"/>
              </w:rPr>
            </w:pPr>
            <w:r w:rsidRPr="00C779A5">
              <w:rPr>
                <w:rFonts w:ascii="Tahoma" w:eastAsia="Times New Roman" w:hAnsi="Tahoma" w:cs="Tahoma"/>
                <w:sz w:val="18"/>
                <w:szCs w:val="18"/>
                <w:lang w:eastAsia="hr-HR"/>
              </w:rPr>
              <w:t>0</w:t>
            </w:r>
          </w:p>
        </w:tc>
        <w:tc>
          <w:tcPr>
            <w:tcW w:w="467" w:type="dxa"/>
            <w:tcBorders>
              <w:top w:val="nil"/>
              <w:left w:val="nil"/>
              <w:bottom w:val="single" w:sz="4" w:space="0" w:color="auto"/>
              <w:right w:val="single" w:sz="4" w:space="0" w:color="auto"/>
            </w:tcBorders>
            <w:shd w:val="clear" w:color="000000" w:fill="FF9900"/>
            <w:noWrap/>
            <w:vAlign w:val="bottom"/>
            <w:hideMark/>
          </w:tcPr>
          <w:p w14:paraId="70FB9E6E" w14:textId="77777777" w:rsidR="00C779A5" w:rsidRPr="00C779A5" w:rsidRDefault="00C779A5" w:rsidP="00C779A5">
            <w:pPr>
              <w:spacing w:after="0" w:line="240" w:lineRule="auto"/>
              <w:jc w:val="right"/>
              <w:rPr>
                <w:rFonts w:ascii="Tahoma" w:eastAsia="Times New Roman" w:hAnsi="Tahoma" w:cs="Tahoma"/>
                <w:sz w:val="18"/>
                <w:szCs w:val="18"/>
                <w:lang w:eastAsia="hr-HR"/>
              </w:rPr>
            </w:pPr>
            <w:r w:rsidRPr="00C779A5">
              <w:rPr>
                <w:rFonts w:ascii="Tahoma" w:eastAsia="Times New Roman" w:hAnsi="Tahoma" w:cs="Tahoma"/>
                <w:sz w:val="18"/>
                <w:szCs w:val="18"/>
                <w:lang w:eastAsia="hr-HR"/>
              </w:rPr>
              <w:t>0</w:t>
            </w:r>
          </w:p>
        </w:tc>
        <w:tc>
          <w:tcPr>
            <w:tcW w:w="467" w:type="dxa"/>
            <w:tcBorders>
              <w:top w:val="nil"/>
              <w:left w:val="nil"/>
              <w:bottom w:val="single" w:sz="4" w:space="0" w:color="auto"/>
              <w:right w:val="single" w:sz="4" w:space="0" w:color="auto"/>
            </w:tcBorders>
            <w:shd w:val="clear" w:color="000000" w:fill="FFFF00"/>
            <w:vAlign w:val="center"/>
            <w:hideMark/>
          </w:tcPr>
          <w:p w14:paraId="7FF9C5FD" w14:textId="77777777" w:rsidR="00C779A5" w:rsidRPr="00C779A5" w:rsidRDefault="00C779A5" w:rsidP="00C779A5">
            <w:pPr>
              <w:spacing w:after="0" w:line="240" w:lineRule="auto"/>
              <w:jc w:val="center"/>
              <w:rPr>
                <w:rFonts w:ascii="Tahoma" w:eastAsia="Times New Roman" w:hAnsi="Tahoma" w:cs="Tahoma"/>
                <w:sz w:val="18"/>
                <w:szCs w:val="18"/>
                <w:lang w:eastAsia="hr-HR"/>
              </w:rPr>
            </w:pPr>
            <w:r w:rsidRPr="00C779A5">
              <w:rPr>
                <w:rFonts w:ascii="Tahoma" w:eastAsia="Times New Roman" w:hAnsi="Tahoma" w:cs="Tahoma"/>
                <w:sz w:val="18"/>
                <w:szCs w:val="18"/>
                <w:lang w:eastAsia="hr-HR"/>
              </w:rPr>
              <w:t>0</w:t>
            </w:r>
          </w:p>
        </w:tc>
        <w:tc>
          <w:tcPr>
            <w:tcW w:w="877" w:type="dxa"/>
            <w:gridSpan w:val="2"/>
            <w:tcBorders>
              <w:top w:val="nil"/>
              <w:left w:val="nil"/>
              <w:bottom w:val="single" w:sz="4" w:space="0" w:color="auto"/>
              <w:right w:val="single" w:sz="4" w:space="0" w:color="auto"/>
            </w:tcBorders>
            <w:shd w:val="clear" w:color="000000" w:fill="FF9900"/>
            <w:vAlign w:val="center"/>
            <w:hideMark/>
          </w:tcPr>
          <w:p w14:paraId="2C2D67A2" w14:textId="77777777" w:rsidR="00C779A5" w:rsidRPr="00C779A5" w:rsidRDefault="00C779A5" w:rsidP="00C779A5">
            <w:pPr>
              <w:spacing w:after="0" w:line="240" w:lineRule="auto"/>
              <w:jc w:val="center"/>
              <w:rPr>
                <w:rFonts w:ascii="Tahoma" w:eastAsia="Times New Roman" w:hAnsi="Tahoma" w:cs="Tahoma"/>
                <w:sz w:val="18"/>
                <w:szCs w:val="18"/>
                <w:lang w:eastAsia="hr-HR"/>
              </w:rPr>
            </w:pPr>
            <w:r w:rsidRPr="00C779A5">
              <w:rPr>
                <w:rFonts w:ascii="Tahoma" w:eastAsia="Times New Roman" w:hAnsi="Tahoma" w:cs="Tahoma"/>
                <w:sz w:val="18"/>
                <w:szCs w:val="18"/>
                <w:lang w:eastAsia="hr-HR"/>
              </w:rPr>
              <w:t>0</w:t>
            </w:r>
          </w:p>
        </w:tc>
        <w:tc>
          <w:tcPr>
            <w:tcW w:w="576" w:type="dxa"/>
            <w:gridSpan w:val="2"/>
            <w:tcBorders>
              <w:top w:val="nil"/>
              <w:left w:val="nil"/>
              <w:bottom w:val="single" w:sz="4" w:space="0" w:color="auto"/>
              <w:right w:val="single" w:sz="4" w:space="0" w:color="auto"/>
            </w:tcBorders>
            <w:shd w:val="clear" w:color="000000" w:fill="FF9900"/>
            <w:noWrap/>
            <w:vAlign w:val="center"/>
            <w:hideMark/>
          </w:tcPr>
          <w:p w14:paraId="64ED7AE8" w14:textId="77777777" w:rsidR="00C779A5" w:rsidRPr="00C779A5" w:rsidRDefault="00C779A5" w:rsidP="00C779A5">
            <w:pPr>
              <w:spacing w:after="0" w:line="240" w:lineRule="auto"/>
              <w:jc w:val="center"/>
              <w:rPr>
                <w:rFonts w:ascii="Tahoma" w:eastAsia="Times New Roman" w:hAnsi="Tahoma" w:cs="Tahoma"/>
                <w:sz w:val="18"/>
                <w:szCs w:val="18"/>
                <w:lang w:eastAsia="hr-HR"/>
              </w:rPr>
            </w:pPr>
            <w:r w:rsidRPr="00C779A5">
              <w:rPr>
                <w:rFonts w:ascii="Tahoma" w:eastAsia="Times New Roman" w:hAnsi="Tahoma" w:cs="Tahoma"/>
                <w:sz w:val="18"/>
                <w:szCs w:val="18"/>
                <w:lang w:eastAsia="hr-HR"/>
              </w:rPr>
              <w:t>0</w:t>
            </w:r>
          </w:p>
        </w:tc>
        <w:tc>
          <w:tcPr>
            <w:tcW w:w="440" w:type="dxa"/>
            <w:tcBorders>
              <w:top w:val="nil"/>
              <w:left w:val="nil"/>
              <w:bottom w:val="single" w:sz="4" w:space="0" w:color="auto"/>
              <w:right w:val="single" w:sz="4" w:space="0" w:color="auto"/>
            </w:tcBorders>
            <w:shd w:val="clear" w:color="000000" w:fill="FF9900"/>
            <w:noWrap/>
            <w:vAlign w:val="center"/>
            <w:hideMark/>
          </w:tcPr>
          <w:p w14:paraId="0590F3F2" w14:textId="77777777" w:rsidR="00C779A5" w:rsidRPr="00C779A5" w:rsidRDefault="00C779A5" w:rsidP="00C779A5">
            <w:pPr>
              <w:spacing w:after="0" w:line="240" w:lineRule="auto"/>
              <w:jc w:val="center"/>
              <w:rPr>
                <w:rFonts w:ascii="Tahoma" w:eastAsia="Times New Roman" w:hAnsi="Tahoma" w:cs="Tahoma"/>
                <w:sz w:val="18"/>
                <w:szCs w:val="18"/>
                <w:lang w:eastAsia="hr-HR"/>
              </w:rPr>
            </w:pPr>
            <w:r w:rsidRPr="00C779A5">
              <w:rPr>
                <w:rFonts w:ascii="Tahoma" w:eastAsia="Times New Roman" w:hAnsi="Tahoma" w:cs="Tahoma"/>
                <w:sz w:val="18"/>
                <w:szCs w:val="18"/>
                <w:lang w:eastAsia="hr-HR"/>
              </w:rPr>
              <w:t>0</w:t>
            </w:r>
          </w:p>
        </w:tc>
        <w:tc>
          <w:tcPr>
            <w:tcW w:w="793" w:type="dxa"/>
            <w:tcBorders>
              <w:top w:val="nil"/>
              <w:left w:val="nil"/>
              <w:bottom w:val="single" w:sz="4" w:space="0" w:color="auto"/>
              <w:right w:val="single" w:sz="4" w:space="0" w:color="auto"/>
            </w:tcBorders>
            <w:shd w:val="clear" w:color="000000" w:fill="FF9900"/>
            <w:noWrap/>
            <w:vAlign w:val="center"/>
            <w:hideMark/>
          </w:tcPr>
          <w:p w14:paraId="24EB4057" w14:textId="77777777" w:rsidR="00C779A5" w:rsidRPr="00C779A5" w:rsidRDefault="00C779A5" w:rsidP="00C779A5">
            <w:pPr>
              <w:spacing w:after="0" w:line="240" w:lineRule="auto"/>
              <w:jc w:val="center"/>
              <w:rPr>
                <w:rFonts w:ascii="Tahoma" w:eastAsia="Times New Roman" w:hAnsi="Tahoma" w:cs="Tahoma"/>
                <w:sz w:val="18"/>
                <w:szCs w:val="18"/>
                <w:lang w:eastAsia="hr-HR"/>
              </w:rPr>
            </w:pPr>
            <w:r w:rsidRPr="00C779A5">
              <w:rPr>
                <w:rFonts w:ascii="Tahoma" w:eastAsia="Times New Roman" w:hAnsi="Tahoma" w:cs="Tahoma"/>
                <w:sz w:val="18"/>
                <w:szCs w:val="18"/>
                <w:lang w:eastAsia="hr-HR"/>
              </w:rPr>
              <w:t>0</w:t>
            </w:r>
          </w:p>
        </w:tc>
        <w:tc>
          <w:tcPr>
            <w:tcW w:w="645" w:type="dxa"/>
            <w:gridSpan w:val="2"/>
            <w:tcBorders>
              <w:top w:val="nil"/>
              <w:left w:val="nil"/>
              <w:bottom w:val="single" w:sz="4" w:space="0" w:color="auto"/>
              <w:right w:val="single" w:sz="4" w:space="0" w:color="auto"/>
            </w:tcBorders>
            <w:shd w:val="clear" w:color="000000" w:fill="CCFFFF"/>
            <w:noWrap/>
            <w:vAlign w:val="bottom"/>
            <w:hideMark/>
          </w:tcPr>
          <w:p w14:paraId="701010A3" w14:textId="77777777" w:rsidR="00C779A5" w:rsidRPr="00C779A5" w:rsidRDefault="00C779A5" w:rsidP="00C779A5">
            <w:pPr>
              <w:spacing w:after="0" w:line="240" w:lineRule="auto"/>
              <w:jc w:val="right"/>
              <w:rPr>
                <w:rFonts w:ascii="Tahoma" w:eastAsia="Times New Roman" w:hAnsi="Tahoma" w:cs="Tahoma"/>
                <w:sz w:val="18"/>
                <w:szCs w:val="18"/>
                <w:lang w:eastAsia="hr-HR"/>
              </w:rPr>
            </w:pPr>
            <w:r w:rsidRPr="00C779A5">
              <w:rPr>
                <w:rFonts w:ascii="Tahoma" w:eastAsia="Times New Roman" w:hAnsi="Tahoma" w:cs="Tahoma"/>
                <w:sz w:val="18"/>
                <w:szCs w:val="18"/>
                <w:lang w:eastAsia="hr-HR"/>
              </w:rPr>
              <w:t>0</w:t>
            </w:r>
          </w:p>
        </w:tc>
        <w:tc>
          <w:tcPr>
            <w:tcW w:w="467" w:type="dxa"/>
            <w:tcBorders>
              <w:top w:val="nil"/>
              <w:left w:val="nil"/>
              <w:bottom w:val="single" w:sz="4" w:space="0" w:color="auto"/>
              <w:right w:val="single" w:sz="4" w:space="0" w:color="auto"/>
            </w:tcBorders>
            <w:shd w:val="clear" w:color="000000" w:fill="CCFFFF"/>
            <w:noWrap/>
            <w:vAlign w:val="bottom"/>
            <w:hideMark/>
          </w:tcPr>
          <w:p w14:paraId="335B1E8C" w14:textId="77777777" w:rsidR="00C779A5" w:rsidRPr="00C779A5" w:rsidRDefault="00C779A5" w:rsidP="00C779A5">
            <w:pPr>
              <w:spacing w:after="0" w:line="240" w:lineRule="auto"/>
              <w:jc w:val="right"/>
              <w:rPr>
                <w:rFonts w:ascii="Tahoma" w:eastAsia="Times New Roman" w:hAnsi="Tahoma" w:cs="Tahoma"/>
                <w:sz w:val="18"/>
                <w:szCs w:val="18"/>
                <w:lang w:eastAsia="hr-HR"/>
              </w:rPr>
            </w:pPr>
            <w:r w:rsidRPr="00C779A5">
              <w:rPr>
                <w:rFonts w:ascii="Tahoma" w:eastAsia="Times New Roman" w:hAnsi="Tahoma" w:cs="Tahoma"/>
                <w:sz w:val="18"/>
                <w:szCs w:val="18"/>
                <w:lang w:eastAsia="hr-HR"/>
              </w:rPr>
              <w:t>0</w:t>
            </w:r>
          </w:p>
        </w:tc>
        <w:tc>
          <w:tcPr>
            <w:tcW w:w="467" w:type="dxa"/>
            <w:tcBorders>
              <w:top w:val="nil"/>
              <w:left w:val="nil"/>
              <w:bottom w:val="single" w:sz="4" w:space="0" w:color="auto"/>
              <w:right w:val="single" w:sz="4" w:space="0" w:color="auto"/>
            </w:tcBorders>
            <w:shd w:val="clear" w:color="000000" w:fill="CCFFFF"/>
            <w:noWrap/>
            <w:vAlign w:val="bottom"/>
            <w:hideMark/>
          </w:tcPr>
          <w:p w14:paraId="49AFB8E6" w14:textId="77777777" w:rsidR="00C779A5" w:rsidRPr="00C779A5" w:rsidRDefault="00C779A5" w:rsidP="00C779A5">
            <w:pPr>
              <w:spacing w:after="0" w:line="240" w:lineRule="auto"/>
              <w:jc w:val="right"/>
              <w:rPr>
                <w:rFonts w:ascii="Tahoma" w:eastAsia="Times New Roman" w:hAnsi="Tahoma" w:cs="Tahoma"/>
                <w:sz w:val="18"/>
                <w:szCs w:val="18"/>
                <w:lang w:eastAsia="hr-HR"/>
              </w:rPr>
            </w:pPr>
            <w:r w:rsidRPr="00C779A5">
              <w:rPr>
                <w:rFonts w:ascii="Tahoma" w:eastAsia="Times New Roman" w:hAnsi="Tahoma" w:cs="Tahoma"/>
                <w:sz w:val="18"/>
                <w:szCs w:val="18"/>
                <w:lang w:eastAsia="hr-HR"/>
              </w:rPr>
              <w:t>0</w:t>
            </w:r>
          </w:p>
        </w:tc>
        <w:tc>
          <w:tcPr>
            <w:tcW w:w="478" w:type="dxa"/>
            <w:gridSpan w:val="2"/>
            <w:tcBorders>
              <w:top w:val="nil"/>
              <w:left w:val="nil"/>
              <w:bottom w:val="single" w:sz="4" w:space="0" w:color="auto"/>
              <w:right w:val="nil"/>
            </w:tcBorders>
            <w:shd w:val="clear" w:color="000000" w:fill="33CCCC"/>
            <w:noWrap/>
            <w:vAlign w:val="bottom"/>
            <w:hideMark/>
          </w:tcPr>
          <w:p w14:paraId="755539CD" w14:textId="77777777" w:rsidR="00C779A5" w:rsidRPr="00C779A5" w:rsidRDefault="00C779A5" w:rsidP="00C779A5">
            <w:pPr>
              <w:spacing w:after="0" w:line="240" w:lineRule="auto"/>
              <w:jc w:val="right"/>
              <w:rPr>
                <w:rFonts w:ascii="Tahoma" w:eastAsia="Times New Roman" w:hAnsi="Tahoma" w:cs="Tahoma"/>
                <w:sz w:val="18"/>
                <w:szCs w:val="18"/>
                <w:lang w:eastAsia="hr-HR"/>
              </w:rPr>
            </w:pPr>
            <w:r w:rsidRPr="00C779A5">
              <w:rPr>
                <w:rFonts w:ascii="Tahoma" w:eastAsia="Times New Roman" w:hAnsi="Tahoma" w:cs="Tahoma"/>
                <w:sz w:val="18"/>
                <w:szCs w:val="18"/>
                <w:lang w:eastAsia="hr-HR"/>
              </w:rPr>
              <w:t>0</w:t>
            </w:r>
          </w:p>
        </w:tc>
        <w:tc>
          <w:tcPr>
            <w:tcW w:w="876" w:type="dxa"/>
            <w:tcBorders>
              <w:top w:val="nil"/>
              <w:left w:val="single" w:sz="4" w:space="0" w:color="auto"/>
              <w:bottom w:val="single" w:sz="4" w:space="0" w:color="auto"/>
              <w:right w:val="single" w:sz="8" w:space="0" w:color="auto"/>
            </w:tcBorders>
            <w:shd w:val="clear" w:color="000000" w:fill="33CCCC"/>
            <w:noWrap/>
            <w:vAlign w:val="bottom"/>
            <w:hideMark/>
          </w:tcPr>
          <w:p w14:paraId="61975D0A" w14:textId="77777777" w:rsidR="00C779A5" w:rsidRPr="00C779A5" w:rsidRDefault="00C779A5" w:rsidP="00C779A5">
            <w:pPr>
              <w:spacing w:after="0" w:line="240" w:lineRule="auto"/>
              <w:jc w:val="right"/>
              <w:rPr>
                <w:rFonts w:ascii="Tahoma" w:eastAsia="Times New Roman" w:hAnsi="Tahoma" w:cs="Tahoma"/>
                <w:sz w:val="18"/>
                <w:szCs w:val="18"/>
                <w:lang w:eastAsia="hr-HR"/>
              </w:rPr>
            </w:pPr>
            <w:r w:rsidRPr="00C779A5">
              <w:rPr>
                <w:rFonts w:ascii="Tahoma" w:eastAsia="Times New Roman" w:hAnsi="Tahoma" w:cs="Tahoma"/>
                <w:sz w:val="18"/>
                <w:szCs w:val="18"/>
                <w:lang w:eastAsia="hr-HR"/>
              </w:rPr>
              <w:t>0</w:t>
            </w:r>
          </w:p>
        </w:tc>
        <w:tc>
          <w:tcPr>
            <w:tcW w:w="236" w:type="dxa"/>
            <w:gridSpan w:val="3"/>
            <w:vAlign w:val="center"/>
            <w:hideMark/>
          </w:tcPr>
          <w:p w14:paraId="06D9344F" w14:textId="77777777" w:rsidR="00C779A5" w:rsidRPr="00C779A5" w:rsidRDefault="00C779A5" w:rsidP="00C779A5">
            <w:pPr>
              <w:spacing w:after="0" w:line="240" w:lineRule="auto"/>
              <w:rPr>
                <w:rFonts w:ascii="Times New Roman" w:eastAsia="Times New Roman" w:hAnsi="Times New Roman" w:cs="Times New Roman"/>
                <w:sz w:val="18"/>
                <w:szCs w:val="18"/>
                <w:lang w:eastAsia="hr-HR"/>
              </w:rPr>
            </w:pPr>
          </w:p>
        </w:tc>
      </w:tr>
      <w:tr w:rsidR="00C779A5" w:rsidRPr="00C779A5" w14:paraId="2DA03D27" w14:textId="77777777" w:rsidTr="00C779A5">
        <w:trPr>
          <w:gridAfter w:val="2"/>
          <w:wAfter w:w="149" w:type="dxa"/>
          <w:trHeight w:val="315"/>
        </w:trPr>
        <w:tc>
          <w:tcPr>
            <w:tcW w:w="1567" w:type="dxa"/>
            <w:tcBorders>
              <w:top w:val="single" w:sz="4" w:space="0" w:color="auto"/>
              <w:left w:val="single" w:sz="8" w:space="0" w:color="auto"/>
              <w:bottom w:val="single" w:sz="4" w:space="0" w:color="auto"/>
              <w:right w:val="single" w:sz="4" w:space="0" w:color="000000"/>
            </w:tcBorders>
            <w:shd w:val="clear" w:color="000000" w:fill="CCFFCC"/>
            <w:vAlign w:val="center"/>
            <w:hideMark/>
          </w:tcPr>
          <w:p w14:paraId="1F8164DC" w14:textId="77777777" w:rsidR="00C779A5" w:rsidRPr="00C779A5" w:rsidRDefault="00C779A5" w:rsidP="00C779A5">
            <w:pPr>
              <w:spacing w:after="0" w:line="240" w:lineRule="auto"/>
              <w:jc w:val="center"/>
              <w:rPr>
                <w:rFonts w:ascii="Tahoma" w:eastAsia="Times New Roman" w:hAnsi="Tahoma" w:cs="Tahoma"/>
                <w:b/>
                <w:bCs/>
                <w:sz w:val="18"/>
                <w:szCs w:val="18"/>
                <w:lang w:eastAsia="hr-HR"/>
              </w:rPr>
            </w:pPr>
            <w:r w:rsidRPr="00C779A5">
              <w:rPr>
                <w:rFonts w:ascii="Tahoma" w:eastAsia="Times New Roman" w:hAnsi="Tahoma" w:cs="Tahoma"/>
                <w:b/>
                <w:bCs/>
                <w:sz w:val="18"/>
                <w:szCs w:val="18"/>
                <w:lang w:eastAsia="hr-HR"/>
              </w:rPr>
              <w:t>Ukupno</w:t>
            </w:r>
          </w:p>
        </w:tc>
        <w:tc>
          <w:tcPr>
            <w:tcW w:w="557" w:type="dxa"/>
            <w:tcBorders>
              <w:top w:val="nil"/>
              <w:left w:val="nil"/>
              <w:bottom w:val="single" w:sz="4" w:space="0" w:color="auto"/>
              <w:right w:val="single" w:sz="4" w:space="0" w:color="auto"/>
            </w:tcBorders>
            <w:shd w:val="clear" w:color="000000" w:fill="FFFF00"/>
            <w:noWrap/>
            <w:vAlign w:val="bottom"/>
            <w:hideMark/>
          </w:tcPr>
          <w:p w14:paraId="42070039" w14:textId="77777777" w:rsidR="00C779A5" w:rsidRPr="00C779A5" w:rsidRDefault="00C779A5" w:rsidP="00C779A5">
            <w:pPr>
              <w:spacing w:after="0" w:line="240" w:lineRule="auto"/>
              <w:jc w:val="center"/>
              <w:rPr>
                <w:rFonts w:ascii="Tahoma" w:eastAsia="Times New Roman" w:hAnsi="Tahoma" w:cs="Tahoma"/>
                <w:b/>
                <w:bCs/>
                <w:sz w:val="18"/>
                <w:szCs w:val="18"/>
                <w:lang w:eastAsia="hr-HR"/>
              </w:rPr>
            </w:pPr>
            <w:r w:rsidRPr="00C779A5">
              <w:rPr>
                <w:rFonts w:ascii="Tahoma" w:eastAsia="Times New Roman" w:hAnsi="Tahoma" w:cs="Tahoma"/>
                <w:b/>
                <w:bCs/>
                <w:sz w:val="18"/>
                <w:szCs w:val="18"/>
                <w:lang w:eastAsia="hr-HR"/>
              </w:rPr>
              <w:t>150</w:t>
            </w:r>
          </w:p>
        </w:tc>
        <w:tc>
          <w:tcPr>
            <w:tcW w:w="444" w:type="dxa"/>
            <w:tcBorders>
              <w:top w:val="nil"/>
              <w:left w:val="nil"/>
              <w:bottom w:val="single" w:sz="4" w:space="0" w:color="auto"/>
              <w:right w:val="single" w:sz="4" w:space="0" w:color="auto"/>
            </w:tcBorders>
            <w:shd w:val="clear" w:color="000000" w:fill="FFFF00"/>
            <w:noWrap/>
            <w:vAlign w:val="bottom"/>
            <w:hideMark/>
          </w:tcPr>
          <w:p w14:paraId="21A05C4E" w14:textId="77777777" w:rsidR="00C779A5" w:rsidRPr="00C779A5" w:rsidRDefault="00C779A5" w:rsidP="00C779A5">
            <w:pPr>
              <w:spacing w:after="0" w:line="240" w:lineRule="auto"/>
              <w:jc w:val="center"/>
              <w:rPr>
                <w:rFonts w:ascii="Tahoma" w:eastAsia="Times New Roman" w:hAnsi="Tahoma" w:cs="Tahoma"/>
                <w:b/>
                <w:bCs/>
                <w:sz w:val="18"/>
                <w:szCs w:val="18"/>
                <w:lang w:eastAsia="hr-HR"/>
              </w:rPr>
            </w:pPr>
            <w:r w:rsidRPr="00C779A5">
              <w:rPr>
                <w:rFonts w:ascii="Tahoma" w:eastAsia="Times New Roman" w:hAnsi="Tahoma" w:cs="Tahoma"/>
                <w:b/>
                <w:bCs/>
                <w:sz w:val="18"/>
                <w:szCs w:val="18"/>
                <w:lang w:eastAsia="hr-HR"/>
              </w:rPr>
              <w:t>36</w:t>
            </w:r>
          </w:p>
        </w:tc>
        <w:tc>
          <w:tcPr>
            <w:tcW w:w="399" w:type="dxa"/>
            <w:tcBorders>
              <w:top w:val="nil"/>
              <w:left w:val="nil"/>
              <w:bottom w:val="single" w:sz="4" w:space="0" w:color="auto"/>
              <w:right w:val="single" w:sz="4" w:space="0" w:color="auto"/>
            </w:tcBorders>
            <w:shd w:val="clear" w:color="000000" w:fill="FFFF00"/>
            <w:noWrap/>
            <w:vAlign w:val="bottom"/>
            <w:hideMark/>
          </w:tcPr>
          <w:p w14:paraId="2001EEC2" w14:textId="77777777" w:rsidR="00C779A5" w:rsidRPr="00C779A5" w:rsidRDefault="00C779A5" w:rsidP="00C779A5">
            <w:pPr>
              <w:spacing w:after="0" w:line="240" w:lineRule="auto"/>
              <w:jc w:val="center"/>
              <w:rPr>
                <w:rFonts w:ascii="Tahoma" w:eastAsia="Times New Roman" w:hAnsi="Tahoma" w:cs="Tahoma"/>
                <w:b/>
                <w:bCs/>
                <w:sz w:val="18"/>
                <w:szCs w:val="18"/>
                <w:lang w:eastAsia="hr-HR"/>
              </w:rPr>
            </w:pPr>
            <w:r w:rsidRPr="00C779A5">
              <w:rPr>
                <w:rFonts w:ascii="Tahoma" w:eastAsia="Times New Roman" w:hAnsi="Tahoma" w:cs="Tahoma"/>
                <w:b/>
                <w:bCs/>
                <w:sz w:val="18"/>
                <w:szCs w:val="18"/>
                <w:lang w:eastAsia="hr-HR"/>
              </w:rPr>
              <w:t>24</w:t>
            </w:r>
          </w:p>
        </w:tc>
        <w:tc>
          <w:tcPr>
            <w:tcW w:w="425" w:type="dxa"/>
            <w:tcBorders>
              <w:top w:val="nil"/>
              <w:left w:val="nil"/>
              <w:bottom w:val="single" w:sz="4" w:space="0" w:color="auto"/>
              <w:right w:val="single" w:sz="4" w:space="0" w:color="auto"/>
            </w:tcBorders>
            <w:shd w:val="clear" w:color="000000" w:fill="FFFF00"/>
            <w:noWrap/>
            <w:vAlign w:val="bottom"/>
            <w:hideMark/>
          </w:tcPr>
          <w:p w14:paraId="05315AD4" w14:textId="77777777" w:rsidR="00C779A5" w:rsidRPr="00C779A5" w:rsidRDefault="00C779A5" w:rsidP="00C779A5">
            <w:pPr>
              <w:spacing w:after="0" w:line="240" w:lineRule="auto"/>
              <w:jc w:val="center"/>
              <w:rPr>
                <w:rFonts w:ascii="Tahoma" w:eastAsia="Times New Roman" w:hAnsi="Tahoma" w:cs="Tahoma"/>
                <w:b/>
                <w:bCs/>
                <w:sz w:val="18"/>
                <w:szCs w:val="18"/>
                <w:lang w:eastAsia="hr-HR"/>
              </w:rPr>
            </w:pPr>
            <w:r w:rsidRPr="00C779A5">
              <w:rPr>
                <w:rFonts w:ascii="Tahoma" w:eastAsia="Times New Roman" w:hAnsi="Tahoma" w:cs="Tahoma"/>
                <w:b/>
                <w:bCs/>
                <w:sz w:val="18"/>
                <w:szCs w:val="18"/>
                <w:lang w:eastAsia="hr-HR"/>
              </w:rPr>
              <w:t>28</w:t>
            </w:r>
          </w:p>
        </w:tc>
        <w:tc>
          <w:tcPr>
            <w:tcW w:w="574" w:type="dxa"/>
            <w:tcBorders>
              <w:top w:val="nil"/>
              <w:left w:val="nil"/>
              <w:bottom w:val="single" w:sz="4" w:space="0" w:color="auto"/>
              <w:right w:val="single" w:sz="4" w:space="0" w:color="auto"/>
            </w:tcBorders>
            <w:shd w:val="clear" w:color="000000" w:fill="FFFF00"/>
            <w:noWrap/>
            <w:vAlign w:val="bottom"/>
            <w:hideMark/>
          </w:tcPr>
          <w:p w14:paraId="51761C08" w14:textId="77777777" w:rsidR="00C779A5" w:rsidRPr="00C779A5" w:rsidRDefault="00C779A5" w:rsidP="00C779A5">
            <w:pPr>
              <w:spacing w:after="0" w:line="240" w:lineRule="auto"/>
              <w:jc w:val="center"/>
              <w:rPr>
                <w:rFonts w:ascii="Tahoma" w:eastAsia="Times New Roman" w:hAnsi="Tahoma" w:cs="Tahoma"/>
                <w:b/>
                <w:bCs/>
                <w:sz w:val="18"/>
                <w:szCs w:val="18"/>
                <w:lang w:eastAsia="hr-HR"/>
              </w:rPr>
            </w:pPr>
            <w:r w:rsidRPr="00C779A5">
              <w:rPr>
                <w:rFonts w:ascii="Tahoma" w:eastAsia="Times New Roman" w:hAnsi="Tahoma" w:cs="Tahoma"/>
                <w:b/>
                <w:bCs/>
                <w:sz w:val="18"/>
                <w:szCs w:val="18"/>
                <w:lang w:eastAsia="hr-HR"/>
              </w:rPr>
              <w:t>22</w:t>
            </w:r>
          </w:p>
        </w:tc>
        <w:tc>
          <w:tcPr>
            <w:tcW w:w="706" w:type="dxa"/>
            <w:tcBorders>
              <w:top w:val="nil"/>
              <w:left w:val="nil"/>
              <w:bottom w:val="single" w:sz="4" w:space="0" w:color="auto"/>
              <w:right w:val="single" w:sz="4" w:space="0" w:color="auto"/>
            </w:tcBorders>
            <w:shd w:val="clear" w:color="000000" w:fill="FFFF00"/>
            <w:noWrap/>
            <w:vAlign w:val="bottom"/>
            <w:hideMark/>
          </w:tcPr>
          <w:p w14:paraId="3B1E2E68" w14:textId="77777777" w:rsidR="00C779A5" w:rsidRPr="00C779A5" w:rsidRDefault="00C779A5" w:rsidP="00C779A5">
            <w:pPr>
              <w:spacing w:after="0" w:line="240" w:lineRule="auto"/>
              <w:jc w:val="center"/>
              <w:rPr>
                <w:rFonts w:ascii="Tahoma" w:eastAsia="Times New Roman" w:hAnsi="Tahoma" w:cs="Tahoma"/>
                <w:b/>
                <w:bCs/>
                <w:sz w:val="18"/>
                <w:szCs w:val="18"/>
                <w:lang w:eastAsia="hr-HR"/>
              </w:rPr>
            </w:pPr>
            <w:r w:rsidRPr="00C779A5">
              <w:rPr>
                <w:rFonts w:ascii="Tahoma" w:eastAsia="Times New Roman" w:hAnsi="Tahoma" w:cs="Tahoma"/>
                <w:b/>
                <w:bCs/>
                <w:sz w:val="18"/>
                <w:szCs w:val="18"/>
                <w:lang w:eastAsia="hr-HR"/>
              </w:rPr>
              <w:t>6</w:t>
            </w:r>
          </w:p>
        </w:tc>
        <w:tc>
          <w:tcPr>
            <w:tcW w:w="565" w:type="dxa"/>
            <w:tcBorders>
              <w:top w:val="nil"/>
              <w:left w:val="nil"/>
              <w:bottom w:val="single" w:sz="4" w:space="0" w:color="auto"/>
              <w:right w:val="single" w:sz="4" w:space="0" w:color="auto"/>
            </w:tcBorders>
            <w:shd w:val="clear" w:color="000000" w:fill="FFFF00"/>
            <w:noWrap/>
            <w:vAlign w:val="bottom"/>
            <w:hideMark/>
          </w:tcPr>
          <w:p w14:paraId="0FE71AE9" w14:textId="77777777" w:rsidR="00C779A5" w:rsidRPr="00C779A5" w:rsidRDefault="00C779A5" w:rsidP="00C779A5">
            <w:pPr>
              <w:spacing w:after="0" w:line="240" w:lineRule="auto"/>
              <w:jc w:val="center"/>
              <w:rPr>
                <w:rFonts w:ascii="Tahoma" w:eastAsia="Times New Roman" w:hAnsi="Tahoma" w:cs="Tahoma"/>
                <w:b/>
                <w:bCs/>
                <w:sz w:val="18"/>
                <w:szCs w:val="18"/>
                <w:lang w:eastAsia="hr-HR"/>
              </w:rPr>
            </w:pPr>
            <w:r w:rsidRPr="00C779A5">
              <w:rPr>
                <w:rFonts w:ascii="Tahoma" w:eastAsia="Times New Roman" w:hAnsi="Tahoma" w:cs="Tahoma"/>
                <w:b/>
                <w:bCs/>
                <w:sz w:val="18"/>
                <w:szCs w:val="18"/>
                <w:lang w:eastAsia="hr-HR"/>
              </w:rPr>
              <w:t>21</w:t>
            </w:r>
          </w:p>
        </w:tc>
        <w:tc>
          <w:tcPr>
            <w:tcW w:w="565" w:type="dxa"/>
            <w:tcBorders>
              <w:top w:val="nil"/>
              <w:left w:val="nil"/>
              <w:bottom w:val="single" w:sz="4" w:space="0" w:color="auto"/>
              <w:right w:val="single" w:sz="4" w:space="0" w:color="auto"/>
            </w:tcBorders>
            <w:shd w:val="clear" w:color="000000" w:fill="FFFF00"/>
            <w:noWrap/>
            <w:vAlign w:val="bottom"/>
            <w:hideMark/>
          </w:tcPr>
          <w:p w14:paraId="300008EE" w14:textId="77777777" w:rsidR="00C779A5" w:rsidRPr="00C779A5" w:rsidRDefault="00C779A5" w:rsidP="00C779A5">
            <w:pPr>
              <w:spacing w:after="0" w:line="240" w:lineRule="auto"/>
              <w:jc w:val="center"/>
              <w:rPr>
                <w:rFonts w:ascii="Tahoma" w:eastAsia="Times New Roman" w:hAnsi="Tahoma" w:cs="Tahoma"/>
                <w:b/>
                <w:bCs/>
                <w:sz w:val="18"/>
                <w:szCs w:val="18"/>
                <w:lang w:eastAsia="hr-HR"/>
              </w:rPr>
            </w:pPr>
            <w:r w:rsidRPr="00C779A5">
              <w:rPr>
                <w:rFonts w:ascii="Tahoma" w:eastAsia="Times New Roman" w:hAnsi="Tahoma" w:cs="Tahoma"/>
                <w:b/>
                <w:bCs/>
                <w:sz w:val="18"/>
                <w:szCs w:val="18"/>
                <w:lang w:eastAsia="hr-HR"/>
              </w:rPr>
              <w:t>0</w:t>
            </w:r>
          </w:p>
        </w:tc>
        <w:tc>
          <w:tcPr>
            <w:tcW w:w="467" w:type="dxa"/>
            <w:tcBorders>
              <w:top w:val="nil"/>
              <w:left w:val="nil"/>
              <w:bottom w:val="single" w:sz="4" w:space="0" w:color="auto"/>
              <w:right w:val="single" w:sz="4" w:space="0" w:color="auto"/>
            </w:tcBorders>
            <w:shd w:val="clear" w:color="000000" w:fill="FFFF00"/>
            <w:noWrap/>
            <w:vAlign w:val="bottom"/>
            <w:hideMark/>
          </w:tcPr>
          <w:p w14:paraId="0C63535A" w14:textId="77777777" w:rsidR="00C779A5" w:rsidRPr="00C779A5" w:rsidRDefault="00C779A5" w:rsidP="00C779A5">
            <w:pPr>
              <w:spacing w:after="0" w:line="240" w:lineRule="auto"/>
              <w:jc w:val="center"/>
              <w:rPr>
                <w:rFonts w:ascii="Tahoma" w:eastAsia="Times New Roman" w:hAnsi="Tahoma" w:cs="Tahoma"/>
                <w:b/>
                <w:bCs/>
                <w:sz w:val="18"/>
                <w:szCs w:val="18"/>
                <w:lang w:eastAsia="hr-HR"/>
              </w:rPr>
            </w:pPr>
            <w:r w:rsidRPr="00C779A5">
              <w:rPr>
                <w:rFonts w:ascii="Tahoma" w:eastAsia="Times New Roman" w:hAnsi="Tahoma" w:cs="Tahoma"/>
                <w:b/>
                <w:bCs/>
                <w:sz w:val="18"/>
                <w:szCs w:val="18"/>
                <w:lang w:eastAsia="hr-HR"/>
              </w:rPr>
              <w:t>0</w:t>
            </w:r>
          </w:p>
        </w:tc>
        <w:tc>
          <w:tcPr>
            <w:tcW w:w="805" w:type="dxa"/>
            <w:tcBorders>
              <w:top w:val="nil"/>
              <w:left w:val="nil"/>
              <w:bottom w:val="single" w:sz="4" w:space="0" w:color="auto"/>
              <w:right w:val="single" w:sz="4" w:space="0" w:color="auto"/>
            </w:tcBorders>
            <w:shd w:val="clear" w:color="000000" w:fill="FFFF00"/>
            <w:noWrap/>
            <w:vAlign w:val="bottom"/>
            <w:hideMark/>
          </w:tcPr>
          <w:p w14:paraId="598162B5" w14:textId="77777777" w:rsidR="00C779A5" w:rsidRPr="00C779A5" w:rsidRDefault="00C779A5" w:rsidP="00C779A5">
            <w:pPr>
              <w:spacing w:after="0" w:line="240" w:lineRule="auto"/>
              <w:jc w:val="center"/>
              <w:rPr>
                <w:rFonts w:ascii="Tahoma" w:eastAsia="Times New Roman" w:hAnsi="Tahoma" w:cs="Tahoma"/>
                <w:b/>
                <w:bCs/>
                <w:sz w:val="18"/>
                <w:szCs w:val="18"/>
                <w:lang w:eastAsia="hr-HR"/>
              </w:rPr>
            </w:pPr>
            <w:r w:rsidRPr="00C779A5">
              <w:rPr>
                <w:rFonts w:ascii="Tahoma" w:eastAsia="Times New Roman" w:hAnsi="Tahoma" w:cs="Tahoma"/>
                <w:b/>
                <w:bCs/>
                <w:sz w:val="18"/>
                <w:szCs w:val="18"/>
                <w:lang w:eastAsia="hr-HR"/>
              </w:rPr>
              <w:t>2</w:t>
            </w:r>
          </w:p>
        </w:tc>
        <w:tc>
          <w:tcPr>
            <w:tcW w:w="467" w:type="dxa"/>
            <w:gridSpan w:val="2"/>
            <w:tcBorders>
              <w:top w:val="nil"/>
              <w:left w:val="nil"/>
              <w:bottom w:val="single" w:sz="4" w:space="0" w:color="auto"/>
              <w:right w:val="single" w:sz="4" w:space="0" w:color="auto"/>
            </w:tcBorders>
            <w:shd w:val="clear" w:color="000000" w:fill="FFFF00"/>
            <w:noWrap/>
            <w:vAlign w:val="bottom"/>
            <w:hideMark/>
          </w:tcPr>
          <w:p w14:paraId="53B4B0BD" w14:textId="77777777" w:rsidR="00C779A5" w:rsidRPr="00C779A5" w:rsidRDefault="00C779A5" w:rsidP="00C779A5">
            <w:pPr>
              <w:spacing w:after="0" w:line="240" w:lineRule="auto"/>
              <w:jc w:val="center"/>
              <w:rPr>
                <w:rFonts w:ascii="Tahoma" w:eastAsia="Times New Roman" w:hAnsi="Tahoma" w:cs="Tahoma"/>
                <w:b/>
                <w:bCs/>
                <w:sz w:val="18"/>
                <w:szCs w:val="18"/>
                <w:lang w:eastAsia="hr-HR"/>
              </w:rPr>
            </w:pPr>
            <w:r w:rsidRPr="00C779A5">
              <w:rPr>
                <w:rFonts w:ascii="Tahoma" w:eastAsia="Times New Roman" w:hAnsi="Tahoma" w:cs="Tahoma"/>
                <w:b/>
                <w:bCs/>
                <w:sz w:val="18"/>
                <w:szCs w:val="18"/>
                <w:lang w:eastAsia="hr-HR"/>
              </w:rPr>
              <w:t>11</w:t>
            </w:r>
          </w:p>
        </w:tc>
        <w:tc>
          <w:tcPr>
            <w:tcW w:w="522" w:type="dxa"/>
            <w:tcBorders>
              <w:top w:val="nil"/>
              <w:left w:val="nil"/>
              <w:bottom w:val="single" w:sz="4" w:space="0" w:color="auto"/>
              <w:right w:val="single" w:sz="4" w:space="0" w:color="auto"/>
            </w:tcBorders>
            <w:shd w:val="clear" w:color="000000" w:fill="FFFF00"/>
            <w:noWrap/>
            <w:vAlign w:val="bottom"/>
            <w:hideMark/>
          </w:tcPr>
          <w:p w14:paraId="55ED2D95" w14:textId="77777777" w:rsidR="00C779A5" w:rsidRPr="00C779A5" w:rsidRDefault="00C779A5" w:rsidP="00C779A5">
            <w:pPr>
              <w:spacing w:after="0" w:line="240" w:lineRule="auto"/>
              <w:jc w:val="center"/>
              <w:rPr>
                <w:rFonts w:ascii="Tahoma" w:eastAsia="Times New Roman" w:hAnsi="Tahoma" w:cs="Tahoma"/>
                <w:b/>
                <w:bCs/>
                <w:sz w:val="18"/>
                <w:szCs w:val="18"/>
                <w:lang w:eastAsia="hr-HR"/>
              </w:rPr>
            </w:pPr>
            <w:r w:rsidRPr="00C779A5">
              <w:rPr>
                <w:rFonts w:ascii="Tahoma" w:eastAsia="Times New Roman" w:hAnsi="Tahoma" w:cs="Tahoma"/>
                <w:b/>
                <w:bCs/>
                <w:sz w:val="18"/>
                <w:szCs w:val="18"/>
                <w:lang w:eastAsia="hr-HR"/>
              </w:rPr>
              <w:t>31</w:t>
            </w:r>
          </w:p>
        </w:tc>
        <w:tc>
          <w:tcPr>
            <w:tcW w:w="467" w:type="dxa"/>
            <w:tcBorders>
              <w:top w:val="nil"/>
              <w:left w:val="nil"/>
              <w:bottom w:val="single" w:sz="4" w:space="0" w:color="auto"/>
              <w:right w:val="single" w:sz="4" w:space="0" w:color="auto"/>
            </w:tcBorders>
            <w:shd w:val="clear" w:color="000000" w:fill="FFFF00"/>
            <w:noWrap/>
            <w:vAlign w:val="bottom"/>
            <w:hideMark/>
          </w:tcPr>
          <w:p w14:paraId="06FA8EB0" w14:textId="77777777" w:rsidR="00C779A5" w:rsidRPr="00C779A5" w:rsidRDefault="00C779A5" w:rsidP="00C779A5">
            <w:pPr>
              <w:spacing w:after="0" w:line="240" w:lineRule="auto"/>
              <w:jc w:val="center"/>
              <w:rPr>
                <w:rFonts w:ascii="Tahoma" w:eastAsia="Times New Roman" w:hAnsi="Tahoma" w:cs="Tahoma"/>
                <w:b/>
                <w:bCs/>
                <w:sz w:val="18"/>
                <w:szCs w:val="18"/>
                <w:lang w:eastAsia="hr-HR"/>
              </w:rPr>
            </w:pPr>
            <w:r w:rsidRPr="00C779A5">
              <w:rPr>
                <w:rFonts w:ascii="Tahoma" w:eastAsia="Times New Roman" w:hAnsi="Tahoma" w:cs="Tahoma"/>
                <w:b/>
                <w:bCs/>
                <w:sz w:val="18"/>
                <w:szCs w:val="18"/>
                <w:lang w:eastAsia="hr-HR"/>
              </w:rPr>
              <w:t>13</w:t>
            </w:r>
          </w:p>
        </w:tc>
        <w:tc>
          <w:tcPr>
            <w:tcW w:w="467" w:type="dxa"/>
            <w:tcBorders>
              <w:top w:val="nil"/>
              <w:left w:val="nil"/>
              <w:bottom w:val="single" w:sz="4" w:space="0" w:color="auto"/>
              <w:right w:val="single" w:sz="4" w:space="0" w:color="auto"/>
            </w:tcBorders>
            <w:shd w:val="clear" w:color="000000" w:fill="FFFF00"/>
            <w:noWrap/>
            <w:vAlign w:val="bottom"/>
            <w:hideMark/>
          </w:tcPr>
          <w:p w14:paraId="5540BC72" w14:textId="77777777" w:rsidR="00C779A5" w:rsidRPr="00C779A5" w:rsidRDefault="00C779A5" w:rsidP="00C779A5">
            <w:pPr>
              <w:spacing w:after="0" w:line="240" w:lineRule="auto"/>
              <w:jc w:val="center"/>
              <w:rPr>
                <w:rFonts w:ascii="Tahoma" w:eastAsia="Times New Roman" w:hAnsi="Tahoma" w:cs="Tahoma"/>
                <w:b/>
                <w:bCs/>
                <w:sz w:val="18"/>
                <w:szCs w:val="18"/>
                <w:lang w:eastAsia="hr-HR"/>
              </w:rPr>
            </w:pPr>
            <w:r w:rsidRPr="00C779A5">
              <w:rPr>
                <w:rFonts w:ascii="Tahoma" w:eastAsia="Times New Roman" w:hAnsi="Tahoma" w:cs="Tahoma"/>
                <w:b/>
                <w:bCs/>
                <w:sz w:val="18"/>
                <w:szCs w:val="18"/>
                <w:lang w:eastAsia="hr-HR"/>
              </w:rPr>
              <w:t>54</w:t>
            </w:r>
          </w:p>
        </w:tc>
        <w:tc>
          <w:tcPr>
            <w:tcW w:w="877" w:type="dxa"/>
            <w:gridSpan w:val="2"/>
            <w:tcBorders>
              <w:top w:val="nil"/>
              <w:left w:val="nil"/>
              <w:bottom w:val="single" w:sz="4" w:space="0" w:color="auto"/>
              <w:right w:val="single" w:sz="4" w:space="0" w:color="auto"/>
            </w:tcBorders>
            <w:shd w:val="clear" w:color="000000" w:fill="FFFF00"/>
            <w:noWrap/>
            <w:vAlign w:val="bottom"/>
            <w:hideMark/>
          </w:tcPr>
          <w:p w14:paraId="2F8A3855" w14:textId="77777777" w:rsidR="00C779A5" w:rsidRPr="00C779A5" w:rsidRDefault="00C779A5" w:rsidP="00C779A5">
            <w:pPr>
              <w:spacing w:after="0" w:line="240" w:lineRule="auto"/>
              <w:jc w:val="center"/>
              <w:rPr>
                <w:rFonts w:ascii="Tahoma" w:eastAsia="Times New Roman" w:hAnsi="Tahoma" w:cs="Tahoma"/>
                <w:b/>
                <w:bCs/>
                <w:sz w:val="18"/>
                <w:szCs w:val="18"/>
                <w:lang w:eastAsia="hr-HR"/>
              </w:rPr>
            </w:pPr>
            <w:r w:rsidRPr="00C779A5">
              <w:rPr>
                <w:rFonts w:ascii="Tahoma" w:eastAsia="Times New Roman" w:hAnsi="Tahoma" w:cs="Tahoma"/>
                <w:b/>
                <w:bCs/>
                <w:sz w:val="18"/>
                <w:szCs w:val="18"/>
                <w:lang w:eastAsia="hr-HR"/>
              </w:rPr>
              <w:t>132</w:t>
            </w:r>
          </w:p>
        </w:tc>
        <w:tc>
          <w:tcPr>
            <w:tcW w:w="576" w:type="dxa"/>
            <w:gridSpan w:val="2"/>
            <w:tcBorders>
              <w:top w:val="nil"/>
              <w:left w:val="nil"/>
              <w:bottom w:val="single" w:sz="4" w:space="0" w:color="auto"/>
              <w:right w:val="single" w:sz="4" w:space="0" w:color="auto"/>
            </w:tcBorders>
            <w:shd w:val="clear" w:color="000000" w:fill="FFFF00"/>
            <w:noWrap/>
            <w:vAlign w:val="bottom"/>
            <w:hideMark/>
          </w:tcPr>
          <w:p w14:paraId="649FE354" w14:textId="77777777" w:rsidR="00C779A5" w:rsidRPr="00C779A5" w:rsidRDefault="00C779A5" w:rsidP="00C779A5">
            <w:pPr>
              <w:spacing w:after="0" w:line="240" w:lineRule="auto"/>
              <w:jc w:val="center"/>
              <w:rPr>
                <w:rFonts w:ascii="Tahoma" w:eastAsia="Times New Roman" w:hAnsi="Tahoma" w:cs="Tahoma"/>
                <w:b/>
                <w:bCs/>
                <w:sz w:val="18"/>
                <w:szCs w:val="18"/>
                <w:lang w:eastAsia="hr-HR"/>
              </w:rPr>
            </w:pPr>
            <w:r w:rsidRPr="00C779A5">
              <w:rPr>
                <w:rFonts w:ascii="Tahoma" w:eastAsia="Times New Roman" w:hAnsi="Tahoma" w:cs="Tahoma"/>
                <w:b/>
                <w:bCs/>
                <w:sz w:val="18"/>
                <w:szCs w:val="18"/>
                <w:lang w:eastAsia="hr-HR"/>
              </w:rPr>
              <w:t>40</w:t>
            </w:r>
          </w:p>
        </w:tc>
        <w:tc>
          <w:tcPr>
            <w:tcW w:w="440" w:type="dxa"/>
            <w:tcBorders>
              <w:top w:val="nil"/>
              <w:left w:val="nil"/>
              <w:bottom w:val="single" w:sz="4" w:space="0" w:color="auto"/>
              <w:right w:val="single" w:sz="4" w:space="0" w:color="auto"/>
            </w:tcBorders>
            <w:shd w:val="clear" w:color="000000" w:fill="FFFF00"/>
            <w:noWrap/>
            <w:vAlign w:val="bottom"/>
            <w:hideMark/>
          </w:tcPr>
          <w:p w14:paraId="64E0EE2C" w14:textId="77777777" w:rsidR="00C779A5" w:rsidRPr="00C779A5" w:rsidRDefault="00C779A5" w:rsidP="00C779A5">
            <w:pPr>
              <w:spacing w:after="0" w:line="240" w:lineRule="auto"/>
              <w:jc w:val="center"/>
              <w:rPr>
                <w:rFonts w:ascii="Tahoma" w:eastAsia="Times New Roman" w:hAnsi="Tahoma" w:cs="Tahoma"/>
                <w:b/>
                <w:bCs/>
                <w:sz w:val="18"/>
                <w:szCs w:val="18"/>
                <w:lang w:eastAsia="hr-HR"/>
              </w:rPr>
            </w:pPr>
            <w:r w:rsidRPr="00C779A5">
              <w:rPr>
                <w:rFonts w:ascii="Tahoma" w:eastAsia="Times New Roman" w:hAnsi="Tahoma" w:cs="Tahoma"/>
                <w:b/>
                <w:bCs/>
                <w:sz w:val="18"/>
                <w:szCs w:val="18"/>
                <w:lang w:eastAsia="hr-HR"/>
              </w:rPr>
              <w:t>7</w:t>
            </w:r>
          </w:p>
        </w:tc>
        <w:tc>
          <w:tcPr>
            <w:tcW w:w="793" w:type="dxa"/>
            <w:tcBorders>
              <w:top w:val="nil"/>
              <w:left w:val="nil"/>
              <w:bottom w:val="single" w:sz="4" w:space="0" w:color="auto"/>
              <w:right w:val="single" w:sz="4" w:space="0" w:color="auto"/>
            </w:tcBorders>
            <w:shd w:val="clear" w:color="000000" w:fill="FFFF00"/>
            <w:noWrap/>
            <w:vAlign w:val="bottom"/>
            <w:hideMark/>
          </w:tcPr>
          <w:p w14:paraId="241DF3F7" w14:textId="77777777" w:rsidR="00C779A5" w:rsidRPr="00C779A5" w:rsidRDefault="00C779A5" w:rsidP="00C779A5">
            <w:pPr>
              <w:spacing w:after="0" w:line="240" w:lineRule="auto"/>
              <w:jc w:val="center"/>
              <w:rPr>
                <w:rFonts w:ascii="Tahoma" w:eastAsia="Times New Roman" w:hAnsi="Tahoma" w:cs="Tahoma"/>
                <w:b/>
                <w:bCs/>
                <w:sz w:val="18"/>
                <w:szCs w:val="18"/>
                <w:lang w:eastAsia="hr-HR"/>
              </w:rPr>
            </w:pPr>
            <w:r w:rsidRPr="00C779A5">
              <w:rPr>
                <w:rFonts w:ascii="Tahoma" w:eastAsia="Times New Roman" w:hAnsi="Tahoma" w:cs="Tahoma"/>
                <w:b/>
                <w:bCs/>
                <w:sz w:val="18"/>
                <w:szCs w:val="18"/>
                <w:lang w:eastAsia="hr-HR"/>
              </w:rPr>
              <w:t>29</w:t>
            </w:r>
          </w:p>
        </w:tc>
        <w:tc>
          <w:tcPr>
            <w:tcW w:w="645" w:type="dxa"/>
            <w:gridSpan w:val="2"/>
            <w:tcBorders>
              <w:top w:val="nil"/>
              <w:left w:val="nil"/>
              <w:bottom w:val="single" w:sz="4" w:space="0" w:color="auto"/>
              <w:right w:val="single" w:sz="4" w:space="0" w:color="auto"/>
            </w:tcBorders>
            <w:shd w:val="clear" w:color="000000" w:fill="FFFF00"/>
            <w:noWrap/>
            <w:vAlign w:val="bottom"/>
            <w:hideMark/>
          </w:tcPr>
          <w:p w14:paraId="2C250660" w14:textId="77777777" w:rsidR="00C779A5" w:rsidRPr="00C779A5" w:rsidRDefault="00C779A5" w:rsidP="00C779A5">
            <w:pPr>
              <w:spacing w:after="0" w:line="240" w:lineRule="auto"/>
              <w:jc w:val="center"/>
              <w:rPr>
                <w:rFonts w:ascii="Tahoma" w:eastAsia="Times New Roman" w:hAnsi="Tahoma" w:cs="Tahoma"/>
                <w:b/>
                <w:bCs/>
                <w:sz w:val="18"/>
                <w:szCs w:val="18"/>
                <w:lang w:eastAsia="hr-HR"/>
              </w:rPr>
            </w:pPr>
            <w:r w:rsidRPr="00C779A5">
              <w:rPr>
                <w:rFonts w:ascii="Tahoma" w:eastAsia="Times New Roman" w:hAnsi="Tahoma" w:cs="Tahoma"/>
                <w:b/>
                <w:bCs/>
                <w:sz w:val="18"/>
                <w:szCs w:val="18"/>
                <w:lang w:eastAsia="hr-HR"/>
              </w:rPr>
              <w:t>17</w:t>
            </w:r>
          </w:p>
        </w:tc>
        <w:tc>
          <w:tcPr>
            <w:tcW w:w="467" w:type="dxa"/>
            <w:tcBorders>
              <w:top w:val="nil"/>
              <w:left w:val="nil"/>
              <w:bottom w:val="single" w:sz="4" w:space="0" w:color="auto"/>
              <w:right w:val="single" w:sz="4" w:space="0" w:color="auto"/>
            </w:tcBorders>
            <w:shd w:val="clear" w:color="000000" w:fill="FFFF00"/>
            <w:noWrap/>
            <w:vAlign w:val="bottom"/>
            <w:hideMark/>
          </w:tcPr>
          <w:p w14:paraId="23725AD5" w14:textId="77777777" w:rsidR="00C779A5" w:rsidRPr="00C779A5" w:rsidRDefault="00C779A5" w:rsidP="00C779A5">
            <w:pPr>
              <w:spacing w:after="0" w:line="240" w:lineRule="auto"/>
              <w:jc w:val="center"/>
              <w:rPr>
                <w:rFonts w:ascii="Tahoma" w:eastAsia="Times New Roman" w:hAnsi="Tahoma" w:cs="Tahoma"/>
                <w:b/>
                <w:bCs/>
                <w:sz w:val="18"/>
                <w:szCs w:val="18"/>
                <w:lang w:eastAsia="hr-HR"/>
              </w:rPr>
            </w:pPr>
            <w:r w:rsidRPr="00C779A5">
              <w:rPr>
                <w:rFonts w:ascii="Tahoma" w:eastAsia="Times New Roman" w:hAnsi="Tahoma" w:cs="Tahoma"/>
                <w:b/>
                <w:bCs/>
                <w:sz w:val="18"/>
                <w:szCs w:val="18"/>
                <w:lang w:eastAsia="hr-HR"/>
              </w:rPr>
              <w:t>11</w:t>
            </w:r>
          </w:p>
        </w:tc>
        <w:tc>
          <w:tcPr>
            <w:tcW w:w="467" w:type="dxa"/>
            <w:tcBorders>
              <w:top w:val="nil"/>
              <w:left w:val="nil"/>
              <w:bottom w:val="single" w:sz="4" w:space="0" w:color="auto"/>
              <w:right w:val="single" w:sz="4" w:space="0" w:color="auto"/>
            </w:tcBorders>
            <w:shd w:val="clear" w:color="000000" w:fill="FFFF00"/>
            <w:noWrap/>
            <w:vAlign w:val="bottom"/>
            <w:hideMark/>
          </w:tcPr>
          <w:p w14:paraId="75135B91" w14:textId="77777777" w:rsidR="00C779A5" w:rsidRPr="00C779A5" w:rsidRDefault="00C779A5" w:rsidP="00C779A5">
            <w:pPr>
              <w:spacing w:after="0" w:line="240" w:lineRule="auto"/>
              <w:jc w:val="center"/>
              <w:rPr>
                <w:rFonts w:ascii="Tahoma" w:eastAsia="Times New Roman" w:hAnsi="Tahoma" w:cs="Tahoma"/>
                <w:b/>
                <w:bCs/>
                <w:sz w:val="18"/>
                <w:szCs w:val="18"/>
                <w:lang w:eastAsia="hr-HR"/>
              </w:rPr>
            </w:pPr>
            <w:r w:rsidRPr="00C779A5">
              <w:rPr>
                <w:rFonts w:ascii="Tahoma" w:eastAsia="Times New Roman" w:hAnsi="Tahoma" w:cs="Tahoma"/>
                <w:b/>
                <w:bCs/>
                <w:sz w:val="18"/>
                <w:szCs w:val="18"/>
                <w:lang w:eastAsia="hr-HR"/>
              </w:rPr>
              <w:t>0</w:t>
            </w:r>
          </w:p>
        </w:tc>
        <w:tc>
          <w:tcPr>
            <w:tcW w:w="478" w:type="dxa"/>
            <w:gridSpan w:val="2"/>
            <w:tcBorders>
              <w:top w:val="nil"/>
              <w:left w:val="nil"/>
              <w:bottom w:val="single" w:sz="4" w:space="0" w:color="auto"/>
              <w:right w:val="single" w:sz="4" w:space="0" w:color="auto"/>
            </w:tcBorders>
            <w:shd w:val="clear" w:color="000000" w:fill="FFFF00"/>
            <w:noWrap/>
            <w:vAlign w:val="bottom"/>
            <w:hideMark/>
          </w:tcPr>
          <w:p w14:paraId="02ACC0BE" w14:textId="77777777" w:rsidR="00C779A5" w:rsidRPr="00C779A5" w:rsidRDefault="00C779A5" w:rsidP="00C779A5">
            <w:pPr>
              <w:spacing w:after="0" w:line="240" w:lineRule="auto"/>
              <w:jc w:val="center"/>
              <w:rPr>
                <w:rFonts w:ascii="Tahoma" w:eastAsia="Times New Roman" w:hAnsi="Tahoma" w:cs="Tahoma"/>
                <w:b/>
                <w:bCs/>
                <w:sz w:val="18"/>
                <w:szCs w:val="18"/>
                <w:lang w:eastAsia="hr-HR"/>
              </w:rPr>
            </w:pPr>
            <w:r w:rsidRPr="00C779A5">
              <w:rPr>
                <w:rFonts w:ascii="Tahoma" w:eastAsia="Times New Roman" w:hAnsi="Tahoma" w:cs="Tahoma"/>
                <w:b/>
                <w:bCs/>
                <w:sz w:val="18"/>
                <w:szCs w:val="18"/>
                <w:lang w:eastAsia="hr-HR"/>
              </w:rPr>
              <w:t>11</w:t>
            </w:r>
          </w:p>
        </w:tc>
        <w:tc>
          <w:tcPr>
            <w:tcW w:w="876" w:type="dxa"/>
            <w:tcBorders>
              <w:top w:val="nil"/>
              <w:left w:val="nil"/>
              <w:bottom w:val="single" w:sz="4" w:space="0" w:color="auto"/>
              <w:right w:val="single" w:sz="4" w:space="0" w:color="auto"/>
            </w:tcBorders>
            <w:shd w:val="clear" w:color="000000" w:fill="FFFF00"/>
            <w:noWrap/>
            <w:vAlign w:val="bottom"/>
            <w:hideMark/>
          </w:tcPr>
          <w:p w14:paraId="386ADE43" w14:textId="77777777" w:rsidR="00C779A5" w:rsidRPr="00C779A5" w:rsidRDefault="00C779A5" w:rsidP="00C779A5">
            <w:pPr>
              <w:spacing w:after="0" w:line="240" w:lineRule="auto"/>
              <w:jc w:val="center"/>
              <w:rPr>
                <w:rFonts w:ascii="Tahoma" w:eastAsia="Times New Roman" w:hAnsi="Tahoma" w:cs="Tahoma"/>
                <w:b/>
                <w:bCs/>
                <w:sz w:val="18"/>
                <w:szCs w:val="18"/>
                <w:lang w:eastAsia="hr-HR"/>
              </w:rPr>
            </w:pPr>
            <w:r w:rsidRPr="00C779A5">
              <w:rPr>
                <w:rFonts w:ascii="Tahoma" w:eastAsia="Times New Roman" w:hAnsi="Tahoma" w:cs="Tahoma"/>
                <w:b/>
                <w:bCs/>
                <w:sz w:val="18"/>
                <w:szCs w:val="18"/>
                <w:lang w:eastAsia="hr-HR"/>
              </w:rPr>
              <w:t>43</w:t>
            </w:r>
          </w:p>
        </w:tc>
        <w:tc>
          <w:tcPr>
            <w:tcW w:w="236" w:type="dxa"/>
            <w:gridSpan w:val="3"/>
            <w:vAlign w:val="center"/>
            <w:hideMark/>
          </w:tcPr>
          <w:p w14:paraId="76DD94BE" w14:textId="77777777" w:rsidR="00C779A5" w:rsidRPr="00C779A5" w:rsidRDefault="00C779A5" w:rsidP="00C779A5">
            <w:pPr>
              <w:spacing w:after="0" w:line="240" w:lineRule="auto"/>
              <w:rPr>
                <w:rFonts w:ascii="Times New Roman" w:eastAsia="Times New Roman" w:hAnsi="Times New Roman" w:cs="Times New Roman"/>
                <w:sz w:val="18"/>
                <w:szCs w:val="18"/>
                <w:lang w:eastAsia="hr-HR"/>
              </w:rPr>
            </w:pPr>
          </w:p>
        </w:tc>
      </w:tr>
    </w:tbl>
    <w:p w14:paraId="47DA8B82" w14:textId="2626CC46" w:rsidR="00C779A5" w:rsidRDefault="00C779A5" w:rsidP="001752B7">
      <w:pPr>
        <w:rPr>
          <w:rFonts w:ascii="Times New Roman" w:hAnsi="Times New Roman" w:cs="Times New Roman"/>
          <w:sz w:val="24"/>
          <w:szCs w:val="24"/>
        </w:rPr>
      </w:pPr>
    </w:p>
    <w:p w14:paraId="39776F4C" w14:textId="77777777" w:rsidR="00C779A5" w:rsidRPr="005E671C" w:rsidRDefault="00C779A5" w:rsidP="001752B7">
      <w:pPr>
        <w:rPr>
          <w:rFonts w:ascii="Times New Roman" w:hAnsi="Times New Roman" w:cs="Times New Roman"/>
          <w:sz w:val="24"/>
          <w:szCs w:val="24"/>
        </w:rPr>
      </w:pPr>
    </w:p>
    <w:p w14:paraId="56D729FF" w14:textId="77777777" w:rsidR="00E72E51" w:rsidRDefault="00E72E51">
      <w:pPr>
        <w:rPr>
          <w:rFonts w:ascii="Times New Roman" w:hAnsi="Times New Roman" w:cs="Times New Roman"/>
          <w:sz w:val="24"/>
          <w:szCs w:val="24"/>
        </w:rPr>
      </w:pPr>
      <w:r>
        <w:rPr>
          <w:rFonts w:ascii="Times New Roman" w:hAnsi="Times New Roman" w:cs="Times New Roman"/>
          <w:sz w:val="24"/>
          <w:szCs w:val="24"/>
        </w:rPr>
        <w:br w:type="page"/>
      </w:r>
    </w:p>
    <w:p w14:paraId="46D84056" w14:textId="2BF7A73A" w:rsidR="001752B7" w:rsidRDefault="001752B7" w:rsidP="001752B7">
      <w:pPr>
        <w:rPr>
          <w:rFonts w:ascii="Times New Roman" w:hAnsi="Times New Roman" w:cs="Times New Roman"/>
          <w:sz w:val="24"/>
          <w:szCs w:val="24"/>
        </w:rPr>
      </w:pPr>
      <w:r w:rsidRPr="005E671C">
        <w:rPr>
          <w:rFonts w:ascii="Times New Roman" w:hAnsi="Times New Roman" w:cs="Times New Roman"/>
          <w:sz w:val="24"/>
          <w:szCs w:val="24"/>
        </w:rPr>
        <w:lastRenderedPageBreak/>
        <w:t>OPĆINSKI SUDOVI (KAZNENI PREDMETI) - UKUPNO 201</w:t>
      </w:r>
      <w:r>
        <w:rPr>
          <w:rFonts w:ascii="Times New Roman" w:hAnsi="Times New Roman" w:cs="Times New Roman"/>
          <w:sz w:val="24"/>
          <w:szCs w:val="24"/>
        </w:rPr>
        <w:t>8</w:t>
      </w:r>
      <w:r w:rsidRPr="005E671C">
        <w:rPr>
          <w:rFonts w:ascii="Times New Roman" w:hAnsi="Times New Roman" w:cs="Times New Roman"/>
          <w:sz w:val="24"/>
          <w:szCs w:val="24"/>
        </w:rPr>
        <w:t>. godina</w:t>
      </w:r>
    </w:p>
    <w:tbl>
      <w:tblPr>
        <w:tblW w:w="14853" w:type="dxa"/>
        <w:tblLayout w:type="fixed"/>
        <w:tblLook w:val="04A0" w:firstRow="1" w:lastRow="0" w:firstColumn="1" w:lastColumn="0" w:noHBand="0" w:noVBand="1"/>
      </w:tblPr>
      <w:tblGrid>
        <w:gridCol w:w="983"/>
        <w:gridCol w:w="442"/>
        <w:gridCol w:w="443"/>
        <w:gridCol w:w="316"/>
        <w:gridCol w:w="452"/>
        <w:gridCol w:w="14"/>
        <w:gridCol w:w="477"/>
        <w:gridCol w:w="447"/>
        <w:gridCol w:w="495"/>
        <w:gridCol w:w="451"/>
        <w:gridCol w:w="14"/>
        <w:gridCol w:w="618"/>
        <w:gridCol w:w="447"/>
        <w:gridCol w:w="543"/>
        <w:gridCol w:w="447"/>
        <w:gridCol w:w="543"/>
        <w:gridCol w:w="356"/>
        <w:gridCol w:w="64"/>
        <w:gridCol w:w="383"/>
        <w:gridCol w:w="447"/>
        <w:gridCol w:w="447"/>
        <w:gridCol w:w="475"/>
        <w:gridCol w:w="80"/>
        <w:gridCol w:w="367"/>
        <w:gridCol w:w="447"/>
        <w:gridCol w:w="521"/>
        <w:gridCol w:w="446"/>
        <w:gridCol w:w="122"/>
        <w:gridCol w:w="670"/>
        <w:gridCol w:w="14"/>
        <w:gridCol w:w="493"/>
        <w:gridCol w:w="244"/>
        <w:gridCol w:w="425"/>
        <w:gridCol w:w="607"/>
        <w:gridCol w:w="20"/>
        <w:gridCol w:w="405"/>
        <w:gridCol w:w="426"/>
        <w:gridCol w:w="26"/>
        <w:gridCol w:w="210"/>
        <w:gridCol w:w="7"/>
        <w:gridCol w:w="19"/>
      </w:tblGrid>
      <w:tr w:rsidR="00E72E51" w:rsidRPr="003D0C85" w14:paraId="7BF0C80C" w14:textId="77777777" w:rsidTr="00E72E51">
        <w:trPr>
          <w:gridAfter w:val="4"/>
          <w:wAfter w:w="262" w:type="dxa"/>
          <w:trHeight w:val="450"/>
        </w:trPr>
        <w:tc>
          <w:tcPr>
            <w:tcW w:w="983" w:type="dxa"/>
            <w:vMerge w:val="restart"/>
            <w:tcBorders>
              <w:top w:val="single" w:sz="8" w:space="0" w:color="auto"/>
              <w:left w:val="single" w:sz="8" w:space="0" w:color="auto"/>
              <w:bottom w:val="single" w:sz="4" w:space="0" w:color="auto"/>
              <w:right w:val="single" w:sz="4" w:space="0" w:color="auto"/>
            </w:tcBorders>
            <w:shd w:val="clear" w:color="000000" w:fill="CCFFCC"/>
            <w:vAlign w:val="center"/>
            <w:hideMark/>
          </w:tcPr>
          <w:p w14:paraId="70BF321D" w14:textId="77777777" w:rsidR="003D0C85" w:rsidRPr="003D0C85" w:rsidRDefault="003D0C85" w:rsidP="003D0C85">
            <w:pPr>
              <w:spacing w:after="0" w:line="240" w:lineRule="auto"/>
              <w:ind w:right="342"/>
              <w:jc w:val="center"/>
              <w:rPr>
                <w:rFonts w:ascii="Calibri" w:eastAsia="Times New Roman" w:hAnsi="Calibri" w:cs="Calibri"/>
                <w:b/>
                <w:bCs/>
                <w:sz w:val="18"/>
                <w:szCs w:val="18"/>
                <w:lang w:eastAsia="hr-HR"/>
              </w:rPr>
            </w:pPr>
            <w:r w:rsidRPr="003D0C85">
              <w:rPr>
                <w:rFonts w:ascii="Calibri" w:eastAsia="Times New Roman" w:hAnsi="Calibri" w:cs="Calibri"/>
                <w:b/>
                <w:bCs/>
                <w:sz w:val="18"/>
                <w:szCs w:val="18"/>
                <w:lang w:eastAsia="hr-HR"/>
              </w:rPr>
              <w:t>OSNOVE DISKRIMINACIJE (po  KZ)</w:t>
            </w:r>
          </w:p>
        </w:tc>
        <w:tc>
          <w:tcPr>
            <w:tcW w:w="13608" w:type="dxa"/>
            <w:gridSpan w:val="36"/>
            <w:vMerge w:val="restart"/>
            <w:tcBorders>
              <w:top w:val="single" w:sz="8" w:space="0" w:color="auto"/>
              <w:left w:val="single" w:sz="4" w:space="0" w:color="auto"/>
              <w:bottom w:val="single" w:sz="4" w:space="0" w:color="000000"/>
              <w:right w:val="single" w:sz="8" w:space="0" w:color="000000"/>
            </w:tcBorders>
            <w:shd w:val="clear" w:color="000000" w:fill="CCFFCC"/>
            <w:noWrap/>
            <w:vAlign w:val="center"/>
            <w:hideMark/>
          </w:tcPr>
          <w:p w14:paraId="71F26A9C" w14:textId="77777777" w:rsidR="003D0C85" w:rsidRPr="003D0C85" w:rsidRDefault="003D0C85" w:rsidP="003D0C85">
            <w:pPr>
              <w:spacing w:after="0" w:line="240" w:lineRule="auto"/>
              <w:jc w:val="center"/>
              <w:rPr>
                <w:rFonts w:ascii="Calibri" w:eastAsia="Times New Roman" w:hAnsi="Calibri" w:cs="Calibri"/>
                <w:b/>
                <w:bCs/>
                <w:sz w:val="18"/>
                <w:szCs w:val="18"/>
                <w:lang w:eastAsia="hr-HR"/>
              </w:rPr>
            </w:pPr>
            <w:r w:rsidRPr="003D0C85">
              <w:rPr>
                <w:rFonts w:ascii="Calibri" w:eastAsia="Times New Roman" w:hAnsi="Calibri" w:cs="Calibri"/>
                <w:b/>
                <w:bCs/>
                <w:sz w:val="18"/>
                <w:szCs w:val="18"/>
                <w:lang w:eastAsia="hr-HR"/>
              </w:rPr>
              <w:t>KA Z N E N I    P R E D M E T I</w:t>
            </w:r>
          </w:p>
        </w:tc>
      </w:tr>
      <w:tr w:rsidR="00E72E51" w:rsidRPr="003D0C85" w14:paraId="33EB3391" w14:textId="77777777" w:rsidTr="00E72E51">
        <w:trPr>
          <w:gridAfter w:val="1"/>
          <w:wAfter w:w="19" w:type="dxa"/>
          <w:trHeight w:val="300"/>
        </w:trPr>
        <w:tc>
          <w:tcPr>
            <w:tcW w:w="983" w:type="dxa"/>
            <w:vMerge/>
            <w:tcBorders>
              <w:top w:val="single" w:sz="8" w:space="0" w:color="auto"/>
              <w:left w:val="single" w:sz="8" w:space="0" w:color="auto"/>
              <w:bottom w:val="single" w:sz="4" w:space="0" w:color="auto"/>
              <w:right w:val="single" w:sz="4" w:space="0" w:color="auto"/>
            </w:tcBorders>
            <w:vAlign w:val="center"/>
            <w:hideMark/>
          </w:tcPr>
          <w:p w14:paraId="5F376B6B" w14:textId="77777777" w:rsidR="003D0C85" w:rsidRPr="003D0C85" w:rsidRDefault="003D0C85" w:rsidP="003D0C85">
            <w:pPr>
              <w:spacing w:after="0" w:line="240" w:lineRule="auto"/>
              <w:rPr>
                <w:rFonts w:ascii="Calibri" w:eastAsia="Times New Roman" w:hAnsi="Calibri" w:cs="Calibri"/>
                <w:b/>
                <w:bCs/>
                <w:sz w:val="18"/>
                <w:szCs w:val="18"/>
                <w:lang w:eastAsia="hr-HR"/>
              </w:rPr>
            </w:pPr>
          </w:p>
        </w:tc>
        <w:tc>
          <w:tcPr>
            <w:tcW w:w="13608" w:type="dxa"/>
            <w:gridSpan w:val="36"/>
            <w:vMerge/>
            <w:tcBorders>
              <w:top w:val="single" w:sz="8" w:space="0" w:color="auto"/>
              <w:left w:val="single" w:sz="4" w:space="0" w:color="auto"/>
              <w:bottom w:val="single" w:sz="4" w:space="0" w:color="000000"/>
              <w:right w:val="single" w:sz="8" w:space="0" w:color="000000"/>
            </w:tcBorders>
            <w:vAlign w:val="center"/>
            <w:hideMark/>
          </w:tcPr>
          <w:p w14:paraId="6C20D9D6" w14:textId="77777777" w:rsidR="003D0C85" w:rsidRPr="003D0C85" w:rsidRDefault="003D0C85" w:rsidP="003D0C85">
            <w:pPr>
              <w:spacing w:after="0" w:line="240" w:lineRule="auto"/>
              <w:rPr>
                <w:rFonts w:ascii="Calibri" w:eastAsia="Times New Roman" w:hAnsi="Calibri" w:cs="Calibri"/>
                <w:b/>
                <w:bCs/>
                <w:sz w:val="18"/>
                <w:szCs w:val="18"/>
                <w:lang w:eastAsia="hr-HR"/>
              </w:rPr>
            </w:pPr>
          </w:p>
        </w:tc>
        <w:tc>
          <w:tcPr>
            <w:tcW w:w="243" w:type="dxa"/>
            <w:gridSpan w:val="3"/>
            <w:tcBorders>
              <w:top w:val="nil"/>
              <w:left w:val="nil"/>
              <w:bottom w:val="nil"/>
              <w:right w:val="nil"/>
            </w:tcBorders>
            <w:shd w:val="clear" w:color="auto" w:fill="auto"/>
            <w:noWrap/>
            <w:vAlign w:val="bottom"/>
            <w:hideMark/>
          </w:tcPr>
          <w:p w14:paraId="4351CB25" w14:textId="77777777" w:rsidR="003D0C85" w:rsidRPr="003D0C85" w:rsidRDefault="003D0C85" w:rsidP="003D0C85">
            <w:pPr>
              <w:spacing w:after="0" w:line="240" w:lineRule="auto"/>
              <w:jc w:val="center"/>
              <w:rPr>
                <w:rFonts w:ascii="Calibri" w:eastAsia="Times New Roman" w:hAnsi="Calibri" w:cs="Calibri"/>
                <w:b/>
                <w:bCs/>
                <w:sz w:val="18"/>
                <w:szCs w:val="18"/>
                <w:lang w:eastAsia="hr-HR"/>
              </w:rPr>
            </w:pPr>
          </w:p>
        </w:tc>
      </w:tr>
      <w:tr w:rsidR="00E72E51" w:rsidRPr="00E72E51" w14:paraId="11ECC1EF" w14:textId="77777777" w:rsidTr="00E72E51">
        <w:trPr>
          <w:gridAfter w:val="2"/>
          <w:wAfter w:w="26" w:type="dxa"/>
          <w:trHeight w:val="1005"/>
        </w:trPr>
        <w:tc>
          <w:tcPr>
            <w:tcW w:w="983" w:type="dxa"/>
            <w:vMerge/>
            <w:tcBorders>
              <w:top w:val="single" w:sz="8" w:space="0" w:color="auto"/>
              <w:left w:val="single" w:sz="8" w:space="0" w:color="auto"/>
              <w:bottom w:val="single" w:sz="4" w:space="0" w:color="auto"/>
              <w:right w:val="single" w:sz="4" w:space="0" w:color="auto"/>
            </w:tcBorders>
            <w:vAlign w:val="center"/>
            <w:hideMark/>
          </w:tcPr>
          <w:p w14:paraId="61261572" w14:textId="77777777" w:rsidR="003D0C85" w:rsidRPr="003D0C85" w:rsidRDefault="003D0C85" w:rsidP="003D0C85">
            <w:pPr>
              <w:spacing w:after="0" w:line="240" w:lineRule="auto"/>
              <w:rPr>
                <w:rFonts w:ascii="Calibri" w:eastAsia="Times New Roman" w:hAnsi="Calibri" w:cs="Calibri"/>
                <w:b/>
                <w:bCs/>
                <w:sz w:val="18"/>
                <w:szCs w:val="18"/>
                <w:lang w:eastAsia="hr-HR"/>
              </w:rPr>
            </w:pPr>
          </w:p>
        </w:tc>
        <w:tc>
          <w:tcPr>
            <w:tcW w:w="442" w:type="dxa"/>
            <w:vMerge w:val="restart"/>
            <w:tcBorders>
              <w:top w:val="nil"/>
              <w:left w:val="single" w:sz="4" w:space="0" w:color="auto"/>
              <w:bottom w:val="single" w:sz="4" w:space="0" w:color="auto"/>
              <w:right w:val="single" w:sz="4" w:space="0" w:color="auto"/>
            </w:tcBorders>
            <w:shd w:val="clear" w:color="000000" w:fill="CCFFCC"/>
            <w:textDirection w:val="btLr"/>
            <w:vAlign w:val="center"/>
            <w:hideMark/>
          </w:tcPr>
          <w:p w14:paraId="0D11931B" w14:textId="77777777" w:rsidR="003D0C85" w:rsidRPr="003D0C85" w:rsidRDefault="003D0C85" w:rsidP="003D0C85">
            <w:pPr>
              <w:spacing w:after="0" w:line="240" w:lineRule="auto"/>
              <w:jc w:val="center"/>
              <w:rPr>
                <w:rFonts w:ascii="Tahoma" w:eastAsia="Times New Roman" w:hAnsi="Tahoma" w:cs="Tahoma"/>
                <w:b/>
                <w:bCs/>
                <w:sz w:val="18"/>
                <w:szCs w:val="18"/>
                <w:lang w:eastAsia="hr-HR"/>
              </w:rPr>
            </w:pPr>
            <w:r w:rsidRPr="003D0C85">
              <w:rPr>
                <w:rFonts w:ascii="Tahoma" w:eastAsia="Times New Roman" w:hAnsi="Tahoma" w:cs="Tahoma"/>
                <w:b/>
                <w:bCs/>
                <w:sz w:val="18"/>
                <w:szCs w:val="18"/>
                <w:lang w:eastAsia="hr-HR"/>
              </w:rPr>
              <w:t xml:space="preserve">Broj </w:t>
            </w:r>
            <w:proofErr w:type="spellStart"/>
            <w:r w:rsidRPr="003D0C85">
              <w:rPr>
                <w:rFonts w:ascii="Tahoma" w:eastAsia="Times New Roman" w:hAnsi="Tahoma" w:cs="Tahoma"/>
                <w:b/>
                <w:bCs/>
                <w:sz w:val="18"/>
                <w:szCs w:val="18"/>
                <w:lang w:eastAsia="hr-HR"/>
              </w:rPr>
              <w:t>nerješenih</w:t>
            </w:r>
            <w:proofErr w:type="spellEnd"/>
            <w:r w:rsidRPr="003D0C85">
              <w:rPr>
                <w:rFonts w:ascii="Tahoma" w:eastAsia="Times New Roman" w:hAnsi="Tahoma" w:cs="Tahoma"/>
                <w:b/>
                <w:bCs/>
                <w:sz w:val="18"/>
                <w:szCs w:val="18"/>
                <w:lang w:eastAsia="hr-HR"/>
              </w:rPr>
              <w:t xml:space="preserve"> predmeta na početku razdoblja</w:t>
            </w:r>
          </w:p>
        </w:tc>
        <w:tc>
          <w:tcPr>
            <w:tcW w:w="443" w:type="dxa"/>
            <w:vMerge w:val="restart"/>
            <w:tcBorders>
              <w:top w:val="nil"/>
              <w:left w:val="single" w:sz="4" w:space="0" w:color="auto"/>
              <w:bottom w:val="single" w:sz="4" w:space="0" w:color="auto"/>
              <w:right w:val="single" w:sz="4" w:space="0" w:color="000000"/>
            </w:tcBorders>
            <w:shd w:val="clear" w:color="000000" w:fill="CCFFCC"/>
            <w:textDirection w:val="btLr"/>
            <w:vAlign w:val="center"/>
            <w:hideMark/>
          </w:tcPr>
          <w:p w14:paraId="76451A5E" w14:textId="77777777" w:rsidR="003D0C85" w:rsidRPr="003D0C85" w:rsidRDefault="003D0C85" w:rsidP="003D0C85">
            <w:pPr>
              <w:spacing w:after="0" w:line="240" w:lineRule="auto"/>
              <w:jc w:val="center"/>
              <w:rPr>
                <w:rFonts w:ascii="Tahoma" w:eastAsia="Times New Roman" w:hAnsi="Tahoma" w:cs="Tahoma"/>
                <w:b/>
                <w:bCs/>
                <w:sz w:val="18"/>
                <w:szCs w:val="18"/>
                <w:lang w:eastAsia="hr-HR"/>
              </w:rPr>
            </w:pPr>
            <w:r w:rsidRPr="003D0C85">
              <w:rPr>
                <w:rFonts w:ascii="Tahoma" w:eastAsia="Times New Roman" w:hAnsi="Tahoma" w:cs="Tahoma"/>
                <w:b/>
                <w:bCs/>
                <w:sz w:val="18"/>
                <w:szCs w:val="18"/>
                <w:lang w:eastAsia="hr-HR"/>
              </w:rPr>
              <w:t xml:space="preserve">Broj primljenih predmeta </w:t>
            </w:r>
          </w:p>
        </w:tc>
        <w:tc>
          <w:tcPr>
            <w:tcW w:w="782" w:type="dxa"/>
            <w:gridSpan w:val="3"/>
            <w:tcBorders>
              <w:top w:val="single" w:sz="4" w:space="0" w:color="auto"/>
              <w:left w:val="nil"/>
              <w:bottom w:val="single" w:sz="4" w:space="0" w:color="auto"/>
              <w:right w:val="single" w:sz="4" w:space="0" w:color="000000"/>
            </w:tcBorders>
            <w:shd w:val="clear" w:color="000000" w:fill="CCFFCC"/>
            <w:vAlign w:val="center"/>
            <w:hideMark/>
          </w:tcPr>
          <w:p w14:paraId="541184C1" w14:textId="77777777" w:rsidR="003D0C85" w:rsidRPr="003D0C85" w:rsidRDefault="003D0C85" w:rsidP="003D0C85">
            <w:pPr>
              <w:spacing w:after="0" w:line="240" w:lineRule="auto"/>
              <w:jc w:val="center"/>
              <w:rPr>
                <w:rFonts w:ascii="Tahoma" w:eastAsia="Times New Roman" w:hAnsi="Tahoma" w:cs="Tahoma"/>
                <w:sz w:val="18"/>
                <w:szCs w:val="18"/>
                <w:lang w:eastAsia="hr-HR"/>
              </w:rPr>
            </w:pPr>
            <w:r w:rsidRPr="003D0C85">
              <w:rPr>
                <w:rFonts w:ascii="Tahoma" w:eastAsia="Times New Roman" w:hAnsi="Tahoma" w:cs="Tahoma"/>
                <w:sz w:val="18"/>
                <w:szCs w:val="18"/>
                <w:lang w:eastAsia="hr-HR"/>
              </w:rPr>
              <w:t>Broj diskriminiranih osoba prema optužnom aktu</w:t>
            </w:r>
          </w:p>
        </w:tc>
        <w:tc>
          <w:tcPr>
            <w:tcW w:w="1884" w:type="dxa"/>
            <w:gridSpan w:val="5"/>
            <w:tcBorders>
              <w:top w:val="single" w:sz="4" w:space="0" w:color="auto"/>
              <w:left w:val="nil"/>
              <w:bottom w:val="single" w:sz="4" w:space="0" w:color="auto"/>
              <w:right w:val="single" w:sz="4" w:space="0" w:color="auto"/>
            </w:tcBorders>
            <w:shd w:val="clear" w:color="000000" w:fill="CCFFCC"/>
            <w:vAlign w:val="center"/>
            <w:hideMark/>
          </w:tcPr>
          <w:p w14:paraId="3F1EBCA6" w14:textId="77777777" w:rsidR="003D0C85" w:rsidRPr="003D0C85" w:rsidRDefault="003D0C85" w:rsidP="003D0C85">
            <w:pPr>
              <w:spacing w:after="0" w:line="240" w:lineRule="auto"/>
              <w:jc w:val="center"/>
              <w:rPr>
                <w:rFonts w:ascii="Calibri" w:eastAsia="Times New Roman" w:hAnsi="Calibri" w:cs="Calibri"/>
                <w:b/>
                <w:bCs/>
                <w:sz w:val="18"/>
                <w:szCs w:val="18"/>
                <w:lang w:eastAsia="hr-HR"/>
              </w:rPr>
            </w:pPr>
            <w:r w:rsidRPr="003D0C85">
              <w:rPr>
                <w:rFonts w:ascii="Calibri" w:eastAsia="Times New Roman" w:hAnsi="Calibri" w:cs="Calibri"/>
                <w:b/>
                <w:bCs/>
                <w:sz w:val="18"/>
                <w:szCs w:val="18"/>
                <w:lang w:eastAsia="hr-HR"/>
              </w:rPr>
              <w:t>KAZNENO DJELO (za ranije primljene predmete po starom KZ-u)</w:t>
            </w:r>
          </w:p>
        </w:tc>
        <w:tc>
          <w:tcPr>
            <w:tcW w:w="3018" w:type="dxa"/>
            <w:gridSpan w:val="7"/>
            <w:tcBorders>
              <w:top w:val="single" w:sz="4" w:space="0" w:color="auto"/>
              <w:left w:val="nil"/>
              <w:bottom w:val="single" w:sz="4" w:space="0" w:color="auto"/>
              <w:right w:val="single" w:sz="4" w:space="0" w:color="auto"/>
            </w:tcBorders>
            <w:shd w:val="clear" w:color="000000" w:fill="CCFFCC"/>
            <w:vAlign w:val="center"/>
            <w:hideMark/>
          </w:tcPr>
          <w:p w14:paraId="193812A9" w14:textId="77777777" w:rsidR="003D0C85" w:rsidRPr="003D0C85" w:rsidRDefault="003D0C85" w:rsidP="003D0C85">
            <w:pPr>
              <w:spacing w:after="0" w:line="240" w:lineRule="auto"/>
              <w:jc w:val="center"/>
              <w:rPr>
                <w:rFonts w:ascii="Calibri" w:eastAsia="Times New Roman" w:hAnsi="Calibri" w:cs="Calibri"/>
                <w:b/>
                <w:bCs/>
                <w:sz w:val="18"/>
                <w:szCs w:val="18"/>
                <w:lang w:eastAsia="hr-HR"/>
              </w:rPr>
            </w:pPr>
            <w:r w:rsidRPr="003D0C85">
              <w:rPr>
                <w:rFonts w:ascii="Calibri" w:eastAsia="Times New Roman" w:hAnsi="Calibri" w:cs="Calibri"/>
                <w:b/>
                <w:bCs/>
                <w:sz w:val="18"/>
                <w:szCs w:val="18"/>
                <w:lang w:eastAsia="hr-HR"/>
              </w:rPr>
              <w:t>KAZNENO DJELO</w:t>
            </w:r>
          </w:p>
        </w:tc>
        <w:tc>
          <w:tcPr>
            <w:tcW w:w="1832" w:type="dxa"/>
            <w:gridSpan w:val="5"/>
            <w:tcBorders>
              <w:top w:val="single" w:sz="4" w:space="0" w:color="auto"/>
              <w:left w:val="nil"/>
              <w:bottom w:val="single" w:sz="4" w:space="0" w:color="auto"/>
              <w:right w:val="single" w:sz="4" w:space="0" w:color="000000"/>
            </w:tcBorders>
            <w:shd w:val="clear" w:color="000000" w:fill="CCFFCC"/>
            <w:vAlign w:val="center"/>
            <w:hideMark/>
          </w:tcPr>
          <w:p w14:paraId="17309585" w14:textId="77777777" w:rsidR="003D0C85" w:rsidRPr="003D0C85" w:rsidRDefault="003D0C85" w:rsidP="003D0C85">
            <w:pPr>
              <w:spacing w:after="0" w:line="240" w:lineRule="auto"/>
              <w:jc w:val="center"/>
              <w:rPr>
                <w:rFonts w:ascii="Calibri" w:eastAsia="Times New Roman" w:hAnsi="Calibri" w:cs="Calibri"/>
                <w:b/>
                <w:bCs/>
                <w:sz w:val="18"/>
                <w:szCs w:val="18"/>
                <w:lang w:eastAsia="hr-HR"/>
              </w:rPr>
            </w:pPr>
            <w:r w:rsidRPr="003D0C85">
              <w:rPr>
                <w:rFonts w:ascii="Calibri" w:eastAsia="Times New Roman" w:hAnsi="Calibri" w:cs="Calibri"/>
                <w:b/>
                <w:bCs/>
                <w:sz w:val="18"/>
                <w:szCs w:val="18"/>
                <w:lang w:eastAsia="hr-HR"/>
              </w:rPr>
              <w:t>PRAVOMOĆNO RIJEŠENO</w:t>
            </w:r>
          </w:p>
        </w:tc>
        <w:tc>
          <w:tcPr>
            <w:tcW w:w="1903" w:type="dxa"/>
            <w:gridSpan w:val="5"/>
            <w:tcBorders>
              <w:top w:val="single" w:sz="4" w:space="0" w:color="auto"/>
              <w:left w:val="nil"/>
              <w:bottom w:val="single" w:sz="4" w:space="0" w:color="auto"/>
              <w:right w:val="single" w:sz="4" w:space="0" w:color="000000"/>
            </w:tcBorders>
            <w:shd w:val="clear" w:color="000000" w:fill="CCFFCC"/>
            <w:vAlign w:val="center"/>
            <w:hideMark/>
          </w:tcPr>
          <w:p w14:paraId="3DE4C4AA" w14:textId="77777777" w:rsidR="003D0C85" w:rsidRPr="003D0C85" w:rsidRDefault="003D0C85" w:rsidP="003D0C85">
            <w:pPr>
              <w:spacing w:after="0" w:line="240" w:lineRule="auto"/>
              <w:jc w:val="center"/>
              <w:rPr>
                <w:rFonts w:ascii="Calibri" w:eastAsia="Times New Roman" w:hAnsi="Calibri" w:cs="Calibri"/>
                <w:b/>
                <w:bCs/>
                <w:sz w:val="18"/>
                <w:szCs w:val="18"/>
                <w:lang w:eastAsia="hr-HR"/>
              </w:rPr>
            </w:pPr>
            <w:r w:rsidRPr="003D0C85">
              <w:rPr>
                <w:rFonts w:ascii="Calibri" w:eastAsia="Times New Roman" w:hAnsi="Calibri" w:cs="Calibri"/>
                <w:b/>
                <w:bCs/>
                <w:sz w:val="18"/>
                <w:szCs w:val="18"/>
                <w:lang w:eastAsia="hr-HR"/>
              </w:rPr>
              <w:t>Broj i vrsta kazni</w:t>
            </w:r>
          </w:p>
        </w:tc>
        <w:tc>
          <w:tcPr>
            <w:tcW w:w="684" w:type="dxa"/>
            <w:gridSpan w:val="2"/>
            <w:tcBorders>
              <w:top w:val="nil"/>
              <w:left w:val="single" w:sz="4" w:space="0" w:color="auto"/>
              <w:bottom w:val="single" w:sz="4" w:space="0" w:color="auto"/>
              <w:right w:val="single" w:sz="4" w:space="0" w:color="auto"/>
            </w:tcBorders>
            <w:shd w:val="clear" w:color="000000" w:fill="CCFFCC"/>
            <w:textDirection w:val="btLr"/>
            <w:vAlign w:val="center"/>
            <w:hideMark/>
          </w:tcPr>
          <w:p w14:paraId="0C599430" w14:textId="77777777" w:rsidR="003D0C85" w:rsidRPr="003D0C85" w:rsidRDefault="003D0C85" w:rsidP="003D0C85">
            <w:pPr>
              <w:spacing w:after="0" w:line="240" w:lineRule="auto"/>
              <w:jc w:val="center"/>
              <w:rPr>
                <w:rFonts w:ascii="Calibri" w:eastAsia="Times New Roman" w:hAnsi="Calibri" w:cs="Calibri"/>
                <w:b/>
                <w:bCs/>
                <w:sz w:val="18"/>
                <w:szCs w:val="18"/>
                <w:lang w:eastAsia="hr-HR"/>
              </w:rPr>
            </w:pPr>
            <w:r w:rsidRPr="003D0C85">
              <w:rPr>
                <w:rFonts w:ascii="Calibri" w:eastAsia="Times New Roman" w:hAnsi="Calibri" w:cs="Calibri"/>
                <w:b/>
                <w:bCs/>
                <w:sz w:val="18"/>
                <w:szCs w:val="18"/>
                <w:lang w:eastAsia="hr-HR"/>
              </w:rPr>
              <w:t xml:space="preserve">Broj </w:t>
            </w:r>
            <w:proofErr w:type="spellStart"/>
            <w:r w:rsidRPr="003D0C85">
              <w:rPr>
                <w:rFonts w:ascii="Calibri" w:eastAsia="Times New Roman" w:hAnsi="Calibri" w:cs="Calibri"/>
                <w:b/>
                <w:bCs/>
                <w:sz w:val="18"/>
                <w:szCs w:val="18"/>
                <w:lang w:eastAsia="hr-HR"/>
              </w:rPr>
              <w:t>nerješenih</w:t>
            </w:r>
            <w:proofErr w:type="spellEnd"/>
            <w:r w:rsidRPr="003D0C85">
              <w:rPr>
                <w:rFonts w:ascii="Calibri" w:eastAsia="Times New Roman" w:hAnsi="Calibri" w:cs="Calibri"/>
                <w:b/>
                <w:bCs/>
                <w:sz w:val="18"/>
                <w:szCs w:val="18"/>
                <w:lang w:eastAsia="hr-HR"/>
              </w:rPr>
              <w:t xml:space="preserve"> predmeta na kraju izvještajnog razdoblja</w:t>
            </w:r>
          </w:p>
        </w:tc>
        <w:tc>
          <w:tcPr>
            <w:tcW w:w="493" w:type="dxa"/>
            <w:tcBorders>
              <w:top w:val="nil"/>
              <w:left w:val="single" w:sz="4" w:space="0" w:color="auto"/>
              <w:bottom w:val="single" w:sz="4" w:space="0" w:color="000000"/>
              <w:right w:val="single" w:sz="4" w:space="0" w:color="000000"/>
            </w:tcBorders>
            <w:shd w:val="clear" w:color="000000" w:fill="CCFFCC"/>
            <w:textDirection w:val="btLr"/>
            <w:vAlign w:val="center"/>
            <w:hideMark/>
          </w:tcPr>
          <w:p w14:paraId="6396B486" w14:textId="77777777" w:rsidR="003D0C85" w:rsidRPr="003D0C85" w:rsidRDefault="003D0C85" w:rsidP="003D0C85">
            <w:pPr>
              <w:spacing w:after="0" w:line="240" w:lineRule="auto"/>
              <w:jc w:val="center"/>
              <w:rPr>
                <w:rFonts w:ascii="Calibri" w:eastAsia="Times New Roman" w:hAnsi="Calibri" w:cs="Calibri"/>
                <w:b/>
                <w:bCs/>
                <w:sz w:val="18"/>
                <w:szCs w:val="18"/>
                <w:lang w:eastAsia="hr-HR"/>
              </w:rPr>
            </w:pPr>
            <w:r w:rsidRPr="003D0C85">
              <w:rPr>
                <w:rFonts w:ascii="Calibri" w:eastAsia="Times New Roman" w:hAnsi="Calibri" w:cs="Calibri"/>
                <w:b/>
                <w:bCs/>
                <w:sz w:val="18"/>
                <w:szCs w:val="18"/>
                <w:lang w:eastAsia="hr-HR"/>
              </w:rPr>
              <w:t>BROJ OSUĐENIH OSOBA</w:t>
            </w:r>
          </w:p>
        </w:tc>
        <w:tc>
          <w:tcPr>
            <w:tcW w:w="1296" w:type="dxa"/>
            <w:gridSpan w:val="4"/>
            <w:tcBorders>
              <w:top w:val="single" w:sz="4" w:space="0" w:color="auto"/>
              <w:left w:val="nil"/>
              <w:bottom w:val="single" w:sz="4" w:space="0" w:color="auto"/>
              <w:right w:val="single" w:sz="4" w:space="0" w:color="000000"/>
            </w:tcBorders>
            <w:shd w:val="clear" w:color="000000" w:fill="CCFFCC"/>
            <w:vAlign w:val="center"/>
            <w:hideMark/>
          </w:tcPr>
          <w:p w14:paraId="279876A3" w14:textId="77777777" w:rsidR="003D0C85" w:rsidRPr="003D0C85" w:rsidRDefault="003D0C85" w:rsidP="003D0C85">
            <w:pPr>
              <w:spacing w:after="0" w:line="240" w:lineRule="auto"/>
              <w:jc w:val="center"/>
              <w:rPr>
                <w:rFonts w:ascii="Tahoma" w:eastAsia="Times New Roman" w:hAnsi="Tahoma" w:cs="Tahoma"/>
                <w:sz w:val="18"/>
                <w:szCs w:val="18"/>
                <w:lang w:eastAsia="hr-HR"/>
              </w:rPr>
            </w:pPr>
            <w:r w:rsidRPr="003D0C85">
              <w:rPr>
                <w:rFonts w:ascii="Tahoma" w:eastAsia="Times New Roman" w:hAnsi="Tahoma" w:cs="Tahoma"/>
                <w:sz w:val="18"/>
                <w:szCs w:val="18"/>
                <w:lang w:eastAsia="hr-HR"/>
              </w:rPr>
              <w:t>Broj diskriminiranih osoba prema pravomoćnoj presudi</w:t>
            </w:r>
          </w:p>
        </w:tc>
        <w:tc>
          <w:tcPr>
            <w:tcW w:w="831" w:type="dxa"/>
            <w:gridSpan w:val="2"/>
            <w:tcBorders>
              <w:top w:val="single" w:sz="4" w:space="0" w:color="auto"/>
              <w:left w:val="nil"/>
              <w:bottom w:val="single" w:sz="4" w:space="0" w:color="auto"/>
              <w:right w:val="single" w:sz="8" w:space="0" w:color="000000"/>
            </w:tcBorders>
            <w:shd w:val="clear" w:color="000000" w:fill="CCFFCC"/>
            <w:vAlign w:val="center"/>
            <w:hideMark/>
          </w:tcPr>
          <w:p w14:paraId="1F0C0BA8" w14:textId="77777777" w:rsidR="003D0C85" w:rsidRPr="003D0C85" w:rsidRDefault="003D0C85" w:rsidP="003D0C85">
            <w:pPr>
              <w:spacing w:after="0" w:line="240" w:lineRule="auto"/>
              <w:jc w:val="center"/>
              <w:rPr>
                <w:rFonts w:ascii="Calibri" w:eastAsia="Times New Roman" w:hAnsi="Calibri" w:cs="Calibri"/>
                <w:b/>
                <w:bCs/>
                <w:sz w:val="18"/>
                <w:szCs w:val="18"/>
                <w:lang w:eastAsia="hr-HR"/>
              </w:rPr>
            </w:pPr>
            <w:r w:rsidRPr="003D0C85">
              <w:rPr>
                <w:rFonts w:ascii="Calibri" w:eastAsia="Times New Roman" w:hAnsi="Calibri" w:cs="Calibri"/>
                <w:b/>
                <w:bCs/>
                <w:sz w:val="18"/>
                <w:szCs w:val="18"/>
                <w:lang w:eastAsia="hr-HR"/>
              </w:rPr>
              <w:t>TRAJANJE POSTUPKA</w:t>
            </w:r>
          </w:p>
        </w:tc>
        <w:tc>
          <w:tcPr>
            <w:tcW w:w="236" w:type="dxa"/>
            <w:gridSpan w:val="2"/>
            <w:vAlign w:val="center"/>
            <w:hideMark/>
          </w:tcPr>
          <w:p w14:paraId="2C27E79A" w14:textId="77777777" w:rsidR="003D0C85" w:rsidRPr="003D0C85" w:rsidRDefault="003D0C85" w:rsidP="003D0C85">
            <w:pPr>
              <w:spacing w:after="0" w:line="240" w:lineRule="auto"/>
              <w:rPr>
                <w:rFonts w:ascii="Times New Roman" w:eastAsia="Times New Roman" w:hAnsi="Times New Roman" w:cs="Times New Roman"/>
                <w:sz w:val="18"/>
                <w:szCs w:val="18"/>
                <w:lang w:eastAsia="hr-HR"/>
              </w:rPr>
            </w:pPr>
          </w:p>
        </w:tc>
      </w:tr>
      <w:tr w:rsidR="00E72E51" w:rsidRPr="00E72E51" w14:paraId="5ABC008B" w14:textId="77777777" w:rsidTr="00E72E51">
        <w:trPr>
          <w:trHeight w:val="3870"/>
        </w:trPr>
        <w:tc>
          <w:tcPr>
            <w:tcW w:w="983" w:type="dxa"/>
            <w:vMerge/>
            <w:tcBorders>
              <w:top w:val="single" w:sz="8" w:space="0" w:color="auto"/>
              <w:left w:val="single" w:sz="8" w:space="0" w:color="auto"/>
              <w:bottom w:val="single" w:sz="4" w:space="0" w:color="auto"/>
              <w:right w:val="single" w:sz="4" w:space="0" w:color="auto"/>
            </w:tcBorders>
            <w:vAlign w:val="center"/>
            <w:hideMark/>
          </w:tcPr>
          <w:p w14:paraId="42D8B023" w14:textId="77777777" w:rsidR="003D0C85" w:rsidRPr="003D0C85" w:rsidRDefault="003D0C85" w:rsidP="003D0C85">
            <w:pPr>
              <w:spacing w:after="0" w:line="240" w:lineRule="auto"/>
              <w:rPr>
                <w:rFonts w:ascii="Calibri" w:eastAsia="Times New Roman" w:hAnsi="Calibri" w:cs="Calibri"/>
                <w:b/>
                <w:bCs/>
                <w:sz w:val="18"/>
                <w:szCs w:val="18"/>
                <w:lang w:eastAsia="hr-HR"/>
              </w:rPr>
            </w:pPr>
          </w:p>
        </w:tc>
        <w:tc>
          <w:tcPr>
            <w:tcW w:w="442" w:type="dxa"/>
            <w:vMerge/>
            <w:tcBorders>
              <w:top w:val="nil"/>
              <w:left w:val="single" w:sz="4" w:space="0" w:color="auto"/>
              <w:bottom w:val="single" w:sz="4" w:space="0" w:color="auto"/>
              <w:right w:val="single" w:sz="4" w:space="0" w:color="auto"/>
            </w:tcBorders>
            <w:vAlign w:val="center"/>
            <w:hideMark/>
          </w:tcPr>
          <w:p w14:paraId="0DE9FF0B" w14:textId="77777777" w:rsidR="003D0C85" w:rsidRPr="003D0C85" w:rsidRDefault="003D0C85" w:rsidP="003D0C85">
            <w:pPr>
              <w:spacing w:after="0" w:line="240" w:lineRule="auto"/>
              <w:rPr>
                <w:rFonts w:ascii="Tahoma" w:eastAsia="Times New Roman" w:hAnsi="Tahoma" w:cs="Tahoma"/>
                <w:b/>
                <w:bCs/>
                <w:sz w:val="18"/>
                <w:szCs w:val="18"/>
                <w:lang w:eastAsia="hr-HR"/>
              </w:rPr>
            </w:pPr>
          </w:p>
        </w:tc>
        <w:tc>
          <w:tcPr>
            <w:tcW w:w="443" w:type="dxa"/>
            <w:vMerge/>
            <w:tcBorders>
              <w:top w:val="nil"/>
              <w:left w:val="single" w:sz="4" w:space="0" w:color="auto"/>
              <w:bottom w:val="single" w:sz="4" w:space="0" w:color="auto"/>
              <w:right w:val="single" w:sz="4" w:space="0" w:color="000000"/>
            </w:tcBorders>
            <w:vAlign w:val="center"/>
            <w:hideMark/>
          </w:tcPr>
          <w:p w14:paraId="64E9F1AE" w14:textId="77777777" w:rsidR="003D0C85" w:rsidRPr="003D0C85" w:rsidRDefault="003D0C85" w:rsidP="003D0C85">
            <w:pPr>
              <w:spacing w:after="0" w:line="240" w:lineRule="auto"/>
              <w:rPr>
                <w:rFonts w:ascii="Tahoma" w:eastAsia="Times New Roman" w:hAnsi="Tahoma" w:cs="Tahoma"/>
                <w:b/>
                <w:bCs/>
                <w:sz w:val="18"/>
                <w:szCs w:val="18"/>
                <w:lang w:eastAsia="hr-HR"/>
              </w:rPr>
            </w:pPr>
          </w:p>
        </w:tc>
        <w:tc>
          <w:tcPr>
            <w:tcW w:w="316" w:type="dxa"/>
            <w:tcBorders>
              <w:top w:val="nil"/>
              <w:left w:val="nil"/>
              <w:bottom w:val="nil"/>
              <w:right w:val="single" w:sz="4" w:space="0" w:color="auto"/>
            </w:tcBorders>
            <w:shd w:val="clear" w:color="000000" w:fill="CCFFCC"/>
            <w:textDirection w:val="btLr"/>
            <w:vAlign w:val="center"/>
            <w:hideMark/>
          </w:tcPr>
          <w:p w14:paraId="7DE99240" w14:textId="77777777" w:rsidR="003D0C85" w:rsidRPr="003D0C85" w:rsidRDefault="003D0C85" w:rsidP="003D0C85">
            <w:pPr>
              <w:spacing w:after="0" w:line="240" w:lineRule="auto"/>
              <w:jc w:val="center"/>
              <w:rPr>
                <w:rFonts w:ascii="Tahoma" w:eastAsia="Times New Roman" w:hAnsi="Tahoma" w:cs="Tahoma"/>
                <w:sz w:val="18"/>
                <w:szCs w:val="18"/>
                <w:lang w:eastAsia="hr-HR"/>
              </w:rPr>
            </w:pPr>
            <w:r w:rsidRPr="003D0C85">
              <w:rPr>
                <w:rFonts w:ascii="Tahoma" w:eastAsia="Times New Roman" w:hAnsi="Tahoma" w:cs="Tahoma"/>
                <w:sz w:val="18"/>
                <w:szCs w:val="18"/>
                <w:lang w:eastAsia="hr-HR"/>
              </w:rPr>
              <w:t>Žene</w:t>
            </w:r>
          </w:p>
        </w:tc>
        <w:tc>
          <w:tcPr>
            <w:tcW w:w="452" w:type="dxa"/>
            <w:tcBorders>
              <w:top w:val="nil"/>
              <w:left w:val="nil"/>
              <w:bottom w:val="nil"/>
              <w:right w:val="single" w:sz="4" w:space="0" w:color="auto"/>
            </w:tcBorders>
            <w:shd w:val="clear" w:color="000000" w:fill="CCFFCC"/>
            <w:textDirection w:val="btLr"/>
            <w:vAlign w:val="center"/>
            <w:hideMark/>
          </w:tcPr>
          <w:p w14:paraId="049C8CA0" w14:textId="77777777" w:rsidR="003D0C85" w:rsidRPr="003D0C85" w:rsidRDefault="003D0C85" w:rsidP="003D0C85">
            <w:pPr>
              <w:spacing w:after="0" w:line="240" w:lineRule="auto"/>
              <w:jc w:val="center"/>
              <w:rPr>
                <w:rFonts w:ascii="Tahoma" w:eastAsia="Times New Roman" w:hAnsi="Tahoma" w:cs="Tahoma"/>
                <w:sz w:val="18"/>
                <w:szCs w:val="18"/>
                <w:lang w:eastAsia="hr-HR"/>
              </w:rPr>
            </w:pPr>
            <w:r w:rsidRPr="003D0C85">
              <w:rPr>
                <w:rFonts w:ascii="Tahoma" w:eastAsia="Times New Roman" w:hAnsi="Tahoma" w:cs="Tahoma"/>
                <w:sz w:val="18"/>
                <w:szCs w:val="18"/>
                <w:lang w:eastAsia="hr-HR"/>
              </w:rPr>
              <w:t>Muškarci</w:t>
            </w:r>
          </w:p>
        </w:tc>
        <w:tc>
          <w:tcPr>
            <w:tcW w:w="491" w:type="dxa"/>
            <w:gridSpan w:val="2"/>
            <w:tcBorders>
              <w:top w:val="nil"/>
              <w:left w:val="nil"/>
              <w:bottom w:val="single" w:sz="4" w:space="0" w:color="auto"/>
              <w:right w:val="single" w:sz="4" w:space="0" w:color="auto"/>
            </w:tcBorders>
            <w:shd w:val="clear" w:color="000000" w:fill="CCFFCC"/>
            <w:textDirection w:val="btLr"/>
            <w:vAlign w:val="center"/>
            <w:hideMark/>
          </w:tcPr>
          <w:p w14:paraId="04CB94D8" w14:textId="77777777" w:rsidR="003D0C85" w:rsidRPr="003D0C85" w:rsidRDefault="003D0C85" w:rsidP="003D0C85">
            <w:pPr>
              <w:spacing w:after="0" w:line="240" w:lineRule="auto"/>
              <w:jc w:val="center"/>
              <w:rPr>
                <w:rFonts w:ascii="Calibri" w:eastAsia="Times New Roman" w:hAnsi="Calibri" w:cs="Calibri"/>
                <w:sz w:val="18"/>
                <w:szCs w:val="18"/>
                <w:lang w:eastAsia="hr-HR"/>
              </w:rPr>
            </w:pPr>
            <w:r w:rsidRPr="003D0C85">
              <w:rPr>
                <w:rFonts w:ascii="Calibri" w:eastAsia="Times New Roman" w:hAnsi="Calibri" w:cs="Calibri"/>
                <w:sz w:val="18"/>
                <w:szCs w:val="18"/>
                <w:lang w:eastAsia="hr-HR"/>
              </w:rPr>
              <w:t>POVREDA RAVNOPRANVOSTI GRAĐANA čl. 106.</w:t>
            </w:r>
          </w:p>
        </w:tc>
        <w:tc>
          <w:tcPr>
            <w:tcW w:w="447" w:type="dxa"/>
            <w:tcBorders>
              <w:top w:val="nil"/>
              <w:left w:val="nil"/>
              <w:bottom w:val="single" w:sz="4" w:space="0" w:color="auto"/>
              <w:right w:val="single" w:sz="4" w:space="0" w:color="auto"/>
            </w:tcBorders>
            <w:shd w:val="clear" w:color="000000" w:fill="CCFFCC"/>
            <w:textDirection w:val="btLr"/>
            <w:vAlign w:val="center"/>
            <w:hideMark/>
          </w:tcPr>
          <w:p w14:paraId="1119D739" w14:textId="77777777" w:rsidR="003D0C85" w:rsidRPr="003D0C85" w:rsidRDefault="003D0C85" w:rsidP="003D0C85">
            <w:pPr>
              <w:spacing w:after="0" w:line="240" w:lineRule="auto"/>
              <w:jc w:val="center"/>
              <w:rPr>
                <w:rFonts w:ascii="Calibri" w:eastAsia="Times New Roman" w:hAnsi="Calibri" w:cs="Calibri"/>
                <w:sz w:val="18"/>
                <w:szCs w:val="18"/>
                <w:lang w:eastAsia="hr-HR"/>
              </w:rPr>
            </w:pPr>
            <w:r w:rsidRPr="003D0C85">
              <w:rPr>
                <w:rFonts w:ascii="Calibri" w:eastAsia="Times New Roman" w:hAnsi="Calibri" w:cs="Calibri"/>
                <w:sz w:val="18"/>
                <w:szCs w:val="18"/>
                <w:lang w:eastAsia="hr-HR"/>
              </w:rPr>
              <w:t xml:space="preserve">RASNA I DRUGA DISKIMINACIJA </w:t>
            </w:r>
            <w:proofErr w:type="spellStart"/>
            <w:r w:rsidRPr="003D0C85">
              <w:rPr>
                <w:rFonts w:ascii="Calibri" w:eastAsia="Times New Roman" w:hAnsi="Calibri" w:cs="Calibri"/>
                <w:sz w:val="18"/>
                <w:szCs w:val="18"/>
                <w:lang w:eastAsia="hr-HR"/>
              </w:rPr>
              <w:t>čl</w:t>
            </w:r>
            <w:proofErr w:type="spellEnd"/>
            <w:r w:rsidRPr="003D0C85">
              <w:rPr>
                <w:rFonts w:ascii="Calibri" w:eastAsia="Times New Roman" w:hAnsi="Calibri" w:cs="Calibri"/>
                <w:sz w:val="18"/>
                <w:szCs w:val="18"/>
                <w:lang w:eastAsia="hr-HR"/>
              </w:rPr>
              <w:t xml:space="preserve"> 174.</w:t>
            </w:r>
          </w:p>
        </w:tc>
        <w:tc>
          <w:tcPr>
            <w:tcW w:w="495" w:type="dxa"/>
            <w:tcBorders>
              <w:top w:val="nil"/>
              <w:left w:val="nil"/>
              <w:bottom w:val="single" w:sz="4" w:space="0" w:color="auto"/>
              <w:right w:val="single" w:sz="4" w:space="0" w:color="auto"/>
            </w:tcBorders>
            <w:shd w:val="clear" w:color="000000" w:fill="CCFFCC"/>
            <w:textDirection w:val="btLr"/>
            <w:vAlign w:val="center"/>
            <w:hideMark/>
          </w:tcPr>
          <w:p w14:paraId="27625464" w14:textId="77777777" w:rsidR="003D0C85" w:rsidRPr="003D0C85" w:rsidRDefault="003D0C85" w:rsidP="003D0C85">
            <w:pPr>
              <w:spacing w:after="0" w:line="240" w:lineRule="auto"/>
              <w:jc w:val="center"/>
              <w:rPr>
                <w:rFonts w:ascii="Calibri" w:eastAsia="Times New Roman" w:hAnsi="Calibri" w:cs="Calibri"/>
                <w:sz w:val="16"/>
                <w:szCs w:val="16"/>
                <w:lang w:eastAsia="hr-HR"/>
              </w:rPr>
            </w:pPr>
            <w:r w:rsidRPr="003D0C85">
              <w:rPr>
                <w:rFonts w:ascii="Calibri" w:eastAsia="Times New Roman" w:hAnsi="Calibri" w:cs="Calibri"/>
                <w:sz w:val="16"/>
                <w:szCs w:val="16"/>
                <w:lang w:eastAsia="hr-HR"/>
              </w:rPr>
              <w:t>MUČENJE I DRUGO OKRUTNO, NELJUDSKO ILI PONIŽAVAJUĆE POSTUPANJE čl.176.</w:t>
            </w:r>
          </w:p>
        </w:tc>
        <w:tc>
          <w:tcPr>
            <w:tcW w:w="451" w:type="dxa"/>
            <w:tcBorders>
              <w:top w:val="nil"/>
              <w:left w:val="nil"/>
              <w:bottom w:val="single" w:sz="4" w:space="0" w:color="auto"/>
              <w:right w:val="single" w:sz="4" w:space="0" w:color="auto"/>
            </w:tcBorders>
            <w:shd w:val="clear" w:color="000000" w:fill="CCFFCC"/>
            <w:textDirection w:val="btLr"/>
            <w:vAlign w:val="center"/>
            <w:hideMark/>
          </w:tcPr>
          <w:p w14:paraId="024C3A07" w14:textId="77777777" w:rsidR="003D0C85" w:rsidRPr="003D0C85" w:rsidRDefault="003D0C85" w:rsidP="003D0C85">
            <w:pPr>
              <w:spacing w:after="0" w:line="240" w:lineRule="auto"/>
              <w:jc w:val="center"/>
              <w:rPr>
                <w:rFonts w:ascii="Calibri" w:eastAsia="Times New Roman" w:hAnsi="Calibri" w:cs="Calibri"/>
                <w:sz w:val="18"/>
                <w:szCs w:val="18"/>
                <w:lang w:eastAsia="hr-HR"/>
              </w:rPr>
            </w:pPr>
            <w:r w:rsidRPr="003D0C85">
              <w:rPr>
                <w:rFonts w:ascii="Calibri" w:eastAsia="Times New Roman" w:hAnsi="Calibri" w:cs="Calibri"/>
                <w:sz w:val="18"/>
                <w:szCs w:val="18"/>
                <w:lang w:eastAsia="hr-HR"/>
              </w:rPr>
              <w:t>OSTALO</w:t>
            </w:r>
          </w:p>
        </w:tc>
        <w:tc>
          <w:tcPr>
            <w:tcW w:w="632" w:type="dxa"/>
            <w:gridSpan w:val="2"/>
            <w:tcBorders>
              <w:top w:val="nil"/>
              <w:left w:val="nil"/>
              <w:bottom w:val="single" w:sz="4" w:space="0" w:color="auto"/>
              <w:right w:val="single" w:sz="4" w:space="0" w:color="auto"/>
            </w:tcBorders>
            <w:shd w:val="clear" w:color="000000" w:fill="CCFFCC"/>
            <w:textDirection w:val="btLr"/>
            <w:vAlign w:val="center"/>
            <w:hideMark/>
          </w:tcPr>
          <w:p w14:paraId="415ACCC6" w14:textId="77777777" w:rsidR="003D0C85" w:rsidRPr="003D0C85" w:rsidRDefault="003D0C85" w:rsidP="003D0C85">
            <w:pPr>
              <w:spacing w:after="0" w:line="240" w:lineRule="auto"/>
              <w:jc w:val="center"/>
              <w:rPr>
                <w:rFonts w:ascii="Calibri" w:eastAsia="Times New Roman" w:hAnsi="Calibri" w:cs="Calibri"/>
                <w:sz w:val="18"/>
                <w:szCs w:val="18"/>
                <w:lang w:eastAsia="hr-HR"/>
              </w:rPr>
            </w:pPr>
            <w:r w:rsidRPr="003D0C85">
              <w:rPr>
                <w:rFonts w:ascii="Calibri" w:eastAsia="Times New Roman" w:hAnsi="Calibri" w:cs="Calibri"/>
                <w:sz w:val="18"/>
                <w:szCs w:val="18"/>
                <w:lang w:eastAsia="hr-HR"/>
              </w:rPr>
              <w:t>Mučenje i drugo okrutno, neljudsko ili ponižavajuće postupanje ili kažnjavanje čl. 104</w:t>
            </w:r>
          </w:p>
        </w:tc>
        <w:tc>
          <w:tcPr>
            <w:tcW w:w="447" w:type="dxa"/>
            <w:tcBorders>
              <w:top w:val="nil"/>
              <w:left w:val="nil"/>
              <w:bottom w:val="single" w:sz="4" w:space="0" w:color="auto"/>
              <w:right w:val="single" w:sz="4" w:space="0" w:color="auto"/>
            </w:tcBorders>
            <w:shd w:val="clear" w:color="000000" w:fill="CCFFCC"/>
            <w:textDirection w:val="btLr"/>
            <w:vAlign w:val="center"/>
            <w:hideMark/>
          </w:tcPr>
          <w:p w14:paraId="536EA48B" w14:textId="77777777" w:rsidR="003D0C85" w:rsidRPr="003D0C85" w:rsidRDefault="003D0C85" w:rsidP="003D0C85">
            <w:pPr>
              <w:spacing w:after="0" w:line="240" w:lineRule="auto"/>
              <w:jc w:val="center"/>
              <w:rPr>
                <w:rFonts w:ascii="Calibri" w:eastAsia="Times New Roman" w:hAnsi="Calibri" w:cs="Calibri"/>
                <w:sz w:val="18"/>
                <w:szCs w:val="18"/>
                <w:lang w:eastAsia="hr-HR"/>
              </w:rPr>
            </w:pPr>
            <w:r w:rsidRPr="003D0C85">
              <w:rPr>
                <w:rFonts w:ascii="Calibri" w:eastAsia="Times New Roman" w:hAnsi="Calibri" w:cs="Calibri"/>
                <w:sz w:val="18"/>
                <w:szCs w:val="18"/>
                <w:lang w:eastAsia="hr-HR"/>
              </w:rPr>
              <w:t>Povreda ravnopravnost čl. 125</w:t>
            </w:r>
          </w:p>
        </w:tc>
        <w:tc>
          <w:tcPr>
            <w:tcW w:w="543" w:type="dxa"/>
            <w:tcBorders>
              <w:top w:val="nil"/>
              <w:left w:val="nil"/>
              <w:bottom w:val="single" w:sz="4" w:space="0" w:color="auto"/>
              <w:right w:val="single" w:sz="4" w:space="0" w:color="auto"/>
            </w:tcBorders>
            <w:shd w:val="clear" w:color="000000" w:fill="CCFFCC"/>
            <w:textDirection w:val="btLr"/>
            <w:vAlign w:val="center"/>
            <w:hideMark/>
          </w:tcPr>
          <w:p w14:paraId="56AB4675" w14:textId="77777777" w:rsidR="003D0C85" w:rsidRPr="003D0C85" w:rsidRDefault="003D0C85" w:rsidP="003D0C85">
            <w:pPr>
              <w:spacing w:after="0" w:line="240" w:lineRule="auto"/>
              <w:jc w:val="center"/>
              <w:rPr>
                <w:rFonts w:ascii="Calibri" w:eastAsia="Times New Roman" w:hAnsi="Calibri" w:cs="Calibri"/>
                <w:sz w:val="18"/>
                <w:szCs w:val="18"/>
                <w:lang w:eastAsia="hr-HR"/>
              </w:rPr>
            </w:pPr>
            <w:r w:rsidRPr="003D0C85">
              <w:rPr>
                <w:rFonts w:ascii="Calibri" w:eastAsia="Times New Roman" w:hAnsi="Calibri" w:cs="Calibri"/>
                <w:sz w:val="18"/>
                <w:szCs w:val="18"/>
                <w:lang w:eastAsia="hr-HR"/>
              </w:rPr>
              <w:t>Povreda slobode izražavanja nacionalne pripadnosti čl. 126.</w:t>
            </w:r>
          </w:p>
        </w:tc>
        <w:tc>
          <w:tcPr>
            <w:tcW w:w="447" w:type="dxa"/>
            <w:tcBorders>
              <w:top w:val="nil"/>
              <w:left w:val="nil"/>
              <w:bottom w:val="single" w:sz="4" w:space="0" w:color="auto"/>
              <w:right w:val="single" w:sz="4" w:space="0" w:color="auto"/>
            </w:tcBorders>
            <w:shd w:val="clear" w:color="000000" w:fill="CCFFCC"/>
            <w:textDirection w:val="btLr"/>
            <w:vAlign w:val="center"/>
            <w:hideMark/>
          </w:tcPr>
          <w:p w14:paraId="03BAC7CE" w14:textId="77777777" w:rsidR="003D0C85" w:rsidRPr="003D0C85" w:rsidRDefault="003D0C85" w:rsidP="003D0C85">
            <w:pPr>
              <w:spacing w:after="0" w:line="240" w:lineRule="auto"/>
              <w:jc w:val="center"/>
              <w:rPr>
                <w:rFonts w:ascii="Calibri" w:eastAsia="Times New Roman" w:hAnsi="Calibri" w:cs="Calibri"/>
                <w:sz w:val="18"/>
                <w:szCs w:val="18"/>
                <w:lang w:eastAsia="hr-HR"/>
              </w:rPr>
            </w:pPr>
            <w:r w:rsidRPr="003D0C85">
              <w:rPr>
                <w:rFonts w:ascii="Calibri" w:eastAsia="Times New Roman" w:hAnsi="Calibri" w:cs="Calibri"/>
                <w:sz w:val="18"/>
                <w:szCs w:val="18"/>
                <w:lang w:eastAsia="hr-HR"/>
              </w:rPr>
              <w:t>Spolno uznemiravanje čl. 156.</w:t>
            </w:r>
          </w:p>
        </w:tc>
        <w:tc>
          <w:tcPr>
            <w:tcW w:w="543" w:type="dxa"/>
            <w:tcBorders>
              <w:top w:val="nil"/>
              <w:left w:val="nil"/>
              <w:bottom w:val="single" w:sz="4" w:space="0" w:color="auto"/>
              <w:right w:val="single" w:sz="4" w:space="0" w:color="auto"/>
            </w:tcBorders>
            <w:shd w:val="clear" w:color="000000" w:fill="CCFFCC"/>
            <w:textDirection w:val="btLr"/>
            <w:vAlign w:val="center"/>
            <w:hideMark/>
          </w:tcPr>
          <w:p w14:paraId="2F8FE063" w14:textId="77777777" w:rsidR="003D0C85" w:rsidRPr="003D0C85" w:rsidRDefault="003D0C85" w:rsidP="003D0C85">
            <w:pPr>
              <w:spacing w:after="0" w:line="240" w:lineRule="auto"/>
              <w:jc w:val="center"/>
              <w:rPr>
                <w:rFonts w:ascii="Calibri" w:eastAsia="Times New Roman" w:hAnsi="Calibri" w:cs="Calibri"/>
                <w:sz w:val="18"/>
                <w:szCs w:val="18"/>
                <w:lang w:eastAsia="hr-HR"/>
              </w:rPr>
            </w:pPr>
            <w:r w:rsidRPr="003D0C85">
              <w:rPr>
                <w:rFonts w:ascii="Calibri" w:eastAsia="Times New Roman" w:hAnsi="Calibri" w:cs="Calibri"/>
                <w:sz w:val="18"/>
                <w:szCs w:val="18"/>
                <w:lang w:eastAsia="hr-HR"/>
              </w:rPr>
              <w:t>Javno poticanje na nasilje i mržnju čl. 325.</w:t>
            </w:r>
          </w:p>
        </w:tc>
        <w:tc>
          <w:tcPr>
            <w:tcW w:w="356" w:type="dxa"/>
            <w:tcBorders>
              <w:top w:val="nil"/>
              <w:left w:val="nil"/>
              <w:bottom w:val="single" w:sz="4" w:space="0" w:color="auto"/>
              <w:right w:val="single" w:sz="4" w:space="0" w:color="auto"/>
            </w:tcBorders>
            <w:shd w:val="clear" w:color="000000" w:fill="CCFFCC"/>
            <w:textDirection w:val="btLr"/>
            <w:vAlign w:val="center"/>
            <w:hideMark/>
          </w:tcPr>
          <w:p w14:paraId="3D9FF26F" w14:textId="77777777" w:rsidR="003D0C85" w:rsidRPr="003D0C85" w:rsidRDefault="003D0C85" w:rsidP="003D0C85">
            <w:pPr>
              <w:spacing w:after="0" w:line="240" w:lineRule="auto"/>
              <w:jc w:val="center"/>
              <w:rPr>
                <w:rFonts w:ascii="Calibri" w:eastAsia="Times New Roman" w:hAnsi="Calibri" w:cs="Calibri"/>
                <w:sz w:val="18"/>
                <w:szCs w:val="18"/>
                <w:lang w:eastAsia="hr-HR"/>
              </w:rPr>
            </w:pPr>
            <w:r w:rsidRPr="003D0C85">
              <w:rPr>
                <w:rFonts w:ascii="Calibri" w:eastAsia="Times New Roman" w:hAnsi="Calibri" w:cs="Calibri"/>
                <w:sz w:val="18"/>
                <w:szCs w:val="18"/>
                <w:lang w:eastAsia="hr-HR"/>
              </w:rPr>
              <w:t>Ostalo</w:t>
            </w:r>
          </w:p>
        </w:tc>
        <w:tc>
          <w:tcPr>
            <w:tcW w:w="447" w:type="dxa"/>
            <w:gridSpan w:val="2"/>
            <w:tcBorders>
              <w:top w:val="nil"/>
              <w:left w:val="nil"/>
              <w:bottom w:val="single" w:sz="4" w:space="0" w:color="auto"/>
              <w:right w:val="single" w:sz="4" w:space="0" w:color="auto"/>
            </w:tcBorders>
            <w:shd w:val="clear" w:color="000000" w:fill="CCFFCC"/>
            <w:textDirection w:val="btLr"/>
            <w:vAlign w:val="center"/>
            <w:hideMark/>
          </w:tcPr>
          <w:p w14:paraId="3C245634" w14:textId="77777777" w:rsidR="003D0C85" w:rsidRPr="003D0C85" w:rsidRDefault="003D0C85" w:rsidP="003D0C85">
            <w:pPr>
              <w:spacing w:after="0" w:line="240" w:lineRule="auto"/>
              <w:jc w:val="center"/>
              <w:rPr>
                <w:rFonts w:ascii="Calibri" w:eastAsia="Times New Roman" w:hAnsi="Calibri" w:cs="Calibri"/>
                <w:sz w:val="18"/>
                <w:szCs w:val="18"/>
                <w:lang w:eastAsia="hr-HR"/>
              </w:rPr>
            </w:pPr>
            <w:r w:rsidRPr="003D0C85">
              <w:rPr>
                <w:rFonts w:ascii="Calibri" w:eastAsia="Times New Roman" w:hAnsi="Calibri" w:cs="Calibri"/>
                <w:sz w:val="18"/>
                <w:szCs w:val="18"/>
                <w:lang w:eastAsia="hr-HR"/>
              </w:rPr>
              <w:t>OSUĐUJUĆA PRESUDA</w:t>
            </w:r>
          </w:p>
        </w:tc>
        <w:tc>
          <w:tcPr>
            <w:tcW w:w="447" w:type="dxa"/>
            <w:tcBorders>
              <w:top w:val="nil"/>
              <w:left w:val="nil"/>
              <w:bottom w:val="single" w:sz="4" w:space="0" w:color="auto"/>
              <w:right w:val="single" w:sz="4" w:space="0" w:color="auto"/>
            </w:tcBorders>
            <w:shd w:val="clear" w:color="000000" w:fill="CCFFCC"/>
            <w:textDirection w:val="btLr"/>
            <w:vAlign w:val="center"/>
            <w:hideMark/>
          </w:tcPr>
          <w:p w14:paraId="590BE67A" w14:textId="77777777" w:rsidR="003D0C85" w:rsidRPr="003D0C85" w:rsidRDefault="003D0C85" w:rsidP="003D0C85">
            <w:pPr>
              <w:spacing w:after="0" w:line="240" w:lineRule="auto"/>
              <w:jc w:val="center"/>
              <w:rPr>
                <w:rFonts w:ascii="Calibri" w:eastAsia="Times New Roman" w:hAnsi="Calibri" w:cs="Calibri"/>
                <w:sz w:val="18"/>
                <w:szCs w:val="18"/>
                <w:lang w:eastAsia="hr-HR"/>
              </w:rPr>
            </w:pPr>
            <w:r w:rsidRPr="003D0C85">
              <w:rPr>
                <w:rFonts w:ascii="Calibri" w:eastAsia="Times New Roman" w:hAnsi="Calibri" w:cs="Calibri"/>
                <w:sz w:val="18"/>
                <w:szCs w:val="18"/>
                <w:lang w:eastAsia="hr-HR"/>
              </w:rPr>
              <w:t>OSLOBAĐAJUĆA PRESUDA</w:t>
            </w:r>
          </w:p>
        </w:tc>
        <w:tc>
          <w:tcPr>
            <w:tcW w:w="447" w:type="dxa"/>
            <w:tcBorders>
              <w:top w:val="nil"/>
              <w:left w:val="nil"/>
              <w:bottom w:val="single" w:sz="4" w:space="0" w:color="auto"/>
              <w:right w:val="single" w:sz="4" w:space="0" w:color="auto"/>
            </w:tcBorders>
            <w:shd w:val="clear" w:color="000000" w:fill="CCFFCC"/>
            <w:textDirection w:val="btLr"/>
            <w:vAlign w:val="center"/>
            <w:hideMark/>
          </w:tcPr>
          <w:p w14:paraId="3895AB24" w14:textId="77777777" w:rsidR="003D0C85" w:rsidRPr="003D0C85" w:rsidRDefault="003D0C85" w:rsidP="003D0C85">
            <w:pPr>
              <w:spacing w:after="0" w:line="240" w:lineRule="auto"/>
              <w:jc w:val="center"/>
              <w:rPr>
                <w:rFonts w:ascii="Calibri" w:eastAsia="Times New Roman" w:hAnsi="Calibri" w:cs="Calibri"/>
                <w:sz w:val="18"/>
                <w:szCs w:val="18"/>
                <w:lang w:eastAsia="hr-HR"/>
              </w:rPr>
            </w:pPr>
            <w:r w:rsidRPr="003D0C85">
              <w:rPr>
                <w:rFonts w:ascii="Calibri" w:eastAsia="Times New Roman" w:hAnsi="Calibri" w:cs="Calibri"/>
                <w:sz w:val="18"/>
                <w:szCs w:val="18"/>
                <w:lang w:eastAsia="hr-HR"/>
              </w:rPr>
              <w:t>NA DRUGI NAČIN</w:t>
            </w:r>
          </w:p>
        </w:tc>
        <w:tc>
          <w:tcPr>
            <w:tcW w:w="475" w:type="dxa"/>
            <w:tcBorders>
              <w:top w:val="nil"/>
              <w:left w:val="nil"/>
              <w:bottom w:val="single" w:sz="4" w:space="0" w:color="auto"/>
              <w:right w:val="single" w:sz="4" w:space="0" w:color="auto"/>
            </w:tcBorders>
            <w:shd w:val="clear" w:color="000000" w:fill="CCFFCC"/>
            <w:textDirection w:val="btLr"/>
            <w:vAlign w:val="center"/>
            <w:hideMark/>
          </w:tcPr>
          <w:p w14:paraId="60D34F3B" w14:textId="77777777" w:rsidR="003D0C85" w:rsidRPr="003D0C85" w:rsidRDefault="003D0C85" w:rsidP="003D0C85">
            <w:pPr>
              <w:spacing w:after="0" w:line="240" w:lineRule="auto"/>
              <w:jc w:val="center"/>
              <w:rPr>
                <w:rFonts w:ascii="Tahoma" w:eastAsia="Times New Roman" w:hAnsi="Tahoma" w:cs="Tahoma"/>
                <w:b/>
                <w:bCs/>
                <w:sz w:val="18"/>
                <w:szCs w:val="18"/>
                <w:lang w:eastAsia="hr-HR"/>
              </w:rPr>
            </w:pPr>
            <w:r w:rsidRPr="003D0C85">
              <w:rPr>
                <w:rFonts w:ascii="Tahoma" w:eastAsia="Times New Roman" w:hAnsi="Tahoma" w:cs="Tahoma"/>
                <w:b/>
                <w:bCs/>
                <w:sz w:val="18"/>
                <w:szCs w:val="18"/>
                <w:lang w:eastAsia="hr-HR"/>
              </w:rPr>
              <w:t>Ukupno pravomoćno riješeno</w:t>
            </w:r>
          </w:p>
        </w:tc>
        <w:tc>
          <w:tcPr>
            <w:tcW w:w="447" w:type="dxa"/>
            <w:gridSpan w:val="2"/>
            <w:tcBorders>
              <w:top w:val="nil"/>
              <w:left w:val="nil"/>
              <w:bottom w:val="single" w:sz="4" w:space="0" w:color="auto"/>
              <w:right w:val="single" w:sz="4" w:space="0" w:color="auto"/>
            </w:tcBorders>
            <w:shd w:val="clear" w:color="000000" w:fill="CCFFCC"/>
            <w:textDirection w:val="btLr"/>
            <w:vAlign w:val="center"/>
            <w:hideMark/>
          </w:tcPr>
          <w:p w14:paraId="25936B65" w14:textId="77777777" w:rsidR="003D0C85" w:rsidRPr="003D0C85" w:rsidRDefault="003D0C85" w:rsidP="003D0C85">
            <w:pPr>
              <w:spacing w:after="0" w:line="240" w:lineRule="auto"/>
              <w:jc w:val="center"/>
              <w:rPr>
                <w:rFonts w:ascii="Calibri" w:eastAsia="Times New Roman" w:hAnsi="Calibri" w:cs="Calibri"/>
                <w:sz w:val="18"/>
                <w:szCs w:val="18"/>
                <w:lang w:eastAsia="hr-HR"/>
              </w:rPr>
            </w:pPr>
            <w:r w:rsidRPr="003D0C85">
              <w:rPr>
                <w:rFonts w:ascii="Calibri" w:eastAsia="Times New Roman" w:hAnsi="Calibri" w:cs="Calibri"/>
                <w:sz w:val="18"/>
                <w:szCs w:val="18"/>
                <w:lang w:eastAsia="hr-HR"/>
              </w:rPr>
              <w:t>Kazna zatvora</w:t>
            </w:r>
          </w:p>
        </w:tc>
        <w:tc>
          <w:tcPr>
            <w:tcW w:w="447" w:type="dxa"/>
            <w:tcBorders>
              <w:top w:val="nil"/>
              <w:left w:val="nil"/>
              <w:bottom w:val="single" w:sz="4" w:space="0" w:color="auto"/>
              <w:right w:val="single" w:sz="4" w:space="0" w:color="auto"/>
            </w:tcBorders>
            <w:shd w:val="clear" w:color="000000" w:fill="CCFFCC"/>
            <w:textDirection w:val="btLr"/>
            <w:vAlign w:val="center"/>
            <w:hideMark/>
          </w:tcPr>
          <w:p w14:paraId="238BB6D1" w14:textId="77777777" w:rsidR="003D0C85" w:rsidRPr="003D0C85" w:rsidRDefault="003D0C85" w:rsidP="003D0C85">
            <w:pPr>
              <w:spacing w:after="0" w:line="240" w:lineRule="auto"/>
              <w:jc w:val="center"/>
              <w:rPr>
                <w:rFonts w:ascii="Calibri" w:eastAsia="Times New Roman" w:hAnsi="Calibri" w:cs="Calibri"/>
                <w:sz w:val="18"/>
                <w:szCs w:val="18"/>
                <w:lang w:eastAsia="hr-HR"/>
              </w:rPr>
            </w:pPr>
            <w:r w:rsidRPr="003D0C85">
              <w:rPr>
                <w:rFonts w:ascii="Calibri" w:eastAsia="Times New Roman" w:hAnsi="Calibri" w:cs="Calibri"/>
                <w:sz w:val="18"/>
                <w:szCs w:val="18"/>
                <w:lang w:eastAsia="hr-HR"/>
              </w:rPr>
              <w:t xml:space="preserve">Uvjetna osuda </w:t>
            </w:r>
          </w:p>
        </w:tc>
        <w:tc>
          <w:tcPr>
            <w:tcW w:w="521" w:type="dxa"/>
            <w:tcBorders>
              <w:top w:val="nil"/>
              <w:left w:val="nil"/>
              <w:bottom w:val="single" w:sz="4" w:space="0" w:color="auto"/>
              <w:right w:val="single" w:sz="4" w:space="0" w:color="auto"/>
            </w:tcBorders>
            <w:shd w:val="clear" w:color="000000" w:fill="CCFFCC"/>
            <w:textDirection w:val="btLr"/>
            <w:vAlign w:val="center"/>
            <w:hideMark/>
          </w:tcPr>
          <w:p w14:paraId="41F14173" w14:textId="77777777" w:rsidR="003D0C85" w:rsidRPr="003D0C85" w:rsidRDefault="003D0C85" w:rsidP="003D0C85">
            <w:pPr>
              <w:spacing w:after="0" w:line="240" w:lineRule="auto"/>
              <w:jc w:val="center"/>
              <w:rPr>
                <w:rFonts w:ascii="Calibri" w:eastAsia="Times New Roman" w:hAnsi="Calibri" w:cs="Calibri"/>
                <w:sz w:val="18"/>
                <w:szCs w:val="18"/>
                <w:lang w:eastAsia="hr-HR"/>
              </w:rPr>
            </w:pPr>
            <w:r w:rsidRPr="003D0C85">
              <w:rPr>
                <w:rFonts w:ascii="Calibri" w:eastAsia="Times New Roman" w:hAnsi="Calibri" w:cs="Calibri"/>
                <w:sz w:val="18"/>
                <w:szCs w:val="18"/>
                <w:lang w:eastAsia="hr-HR"/>
              </w:rPr>
              <w:t>Rad za opće dobro</w:t>
            </w:r>
          </w:p>
        </w:tc>
        <w:tc>
          <w:tcPr>
            <w:tcW w:w="446" w:type="dxa"/>
            <w:tcBorders>
              <w:top w:val="nil"/>
              <w:left w:val="nil"/>
              <w:bottom w:val="single" w:sz="4" w:space="0" w:color="auto"/>
              <w:right w:val="single" w:sz="4" w:space="0" w:color="auto"/>
            </w:tcBorders>
            <w:shd w:val="clear" w:color="000000" w:fill="CCFFCC"/>
            <w:textDirection w:val="btLr"/>
            <w:vAlign w:val="center"/>
            <w:hideMark/>
          </w:tcPr>
          <w:p w14:paraId="5F68A43B" w14:textId="77777777" w:rsidR="003D0C85" w:rsidRPr="003D0C85" w:rsidRDefault="003D0C85" w:rsidP="003D0C85">
            <w:pPr>
              <w:spacing w:after="0" w:line="240" w:lineRule="auto"/>
              <w:jc w:val="center"/>
              <w:rPr>
                <w:rFonts w:ascii="Tahoma" w:eastAsia="Times New Roman" w:hAnsi="Tahoma" w:cs="Tahoma"/>
                <w:b/>
                <w:bCs/>
                <w:sz w:val="18"/>
                <w:szCs w:val="18"/>
                <w:lang w:eastAsia="hr-HR"/>
              </w:rPr>
            </w:pPr>
            <w:r w:rsidRPr="003D0C85">
              <w:rPr>
                <w:rFonts w:ascii="Tahoma" w:eastAsia="Times New Roman" w:hAnsi="Tahoma" w:cs="Tahoma"/>
                <w:b/>
                <w:bCs/>
                <w:sz w:val="18"/>
                <w:szCs w:val="18"/>
                <w:lang w:eastAsia="hr-HR"/>
              </w:rPr>
              <w:t>Ukupno</w:t>
            </w:r>
          </w:p>
        </w:tc>
        <w:tc>
          <w:tcPr>
            <w:tcW w:w="792" w:type="dxa"/>
            <w:gridSpan w:val="2"/>
            <w:tcBorders>
              <w:top w:val="nil"/>
              <w:left w:val="single" w:sz="4" w:space="0" w:color="auto"/>
              <w:bottom w:val="single" w:sz="4" w:space="0" w:color="auto"/>
              <w:right w:val="single" w:sz="4" w:space="0" w:color="auto"/>
            </w:tcBorders>
            <w:vAlign w:val="center"/>
            <w:hideMark/>
          </w:tcPr>
          <w:p w14:paraId="4C7141E7" w14:textId="77777777" w:rsidR="003D0C85" w:rsidRPr="003D0C85" w:rsidRDefault="003D0C85" w:rsidP="003D0C85">
            <w:pPr>
              <w:spacing w:after="0" w:line="240" w:lineRule="auto"/>
              <w:rPr>
                <w:rFonts w:ascii="Calibri" w:eastAsia="Times New Roman" w:hAnsi="Calibri" w:cs="Calibri"/>
                <w:b/>
                <w:bCs/>
                <w:sz w:val="18"/>
                <w:szCs w:val="18"/>
                <w:lang w:eastAsia="hr-HR"/>
              </w:rPr>
            </w:pPr>
          </w:p>
        </w:tc>
        <w:tc>
          <w:tcPr>
            <w:tcW w:w="507" w:type="dxa"/>
            <w:gridSpan w:val="2"/>
            <w:tcBorders>
              <w:top w:val="nil"/>
              <w:left w:val="single" w:sz="4" w:space="0" w:color="auto"/>
              <w:bottom w:val="single" w:sz="4" w:space="0" w:color="000000"/>
              <w:right w:val="single" w:sz="4" w:space="0" w:color="000000"/>
            </w:tcBorders>
            <w:vAlign w:val="center"/>
            <w:hideMark/>
          </w:tcPr>
          <w:p w14:paraId="2FFA05EC" w14:textId="77777777" w:rsidR="003D0C85" w:rsidRPr="003D0C85" w:rsidRDefault="003D0C85" w:rsidP="003D0C85">
            <w:pPr>
              <w:spacing w:after="0" w:line="240" w:lineRule="auto"/>
              <w:rPr>
                <w:rFonts w:ascii="Calibri" w:eastAsia="Times New Roman" w:hAnsi="Calibri" w:cs="Calibri"/>
                <w:b/>
                <w:bCs/>
                <w:sz w:val="18"/>
                <w:szCs w:val="18"/>
                <w:lang w:eastAsia="hr-HR"/>
              </w:rPr>
            </w:pPr>
          </w:p>
        </w:tc>
        <w:tc>
          <w:tcPr>
            <w:tcW w:w="244" w:type="dxa"/>
            <w:tcBorders>
              <w:top w:val="nil"/>
              <w:left w:val="nil"/>
              <w:bottom w:val="single" w:sz="4" w:space="0" w:color="auto"/>
              <w:right w:val="single" w:sz="4" w:space="0" w:color="auto"/>
            </w:tcBorders>
            <w:shd w:val="clear" w:color="000000" w:fill="CCFFCC"/>
            <w:textDirection w:val="btLr"/>
            <w:vAlign w:val="center"/>
            <w:hideMark/>
          </w:tcPr>
          <w:p w14:paraId="25C201C2" w14:textId="77777777" w:rsidR="003D0C85" w:rsidRPr="003D0C85" w:rsidRDefault="003D0C85" w:rsidP="003D0C85">
            <w:pPr>
              <w:spacing w:after="0" w:line="240" w:lineRule="auto"/>
              <w:jc w:val="center"/>
              <w:rPr>
                <w:rFonts w:ascii="Tahoma" w:eastAsia="Times New Roman" w:hAnsi="Tahoma" w:cs="Tahoma"/>
                <w:sz w:val="18"/>
                <w:szCs w:val="18"/>
                <w:lang w:eastAsia="hr-HR"/>
              </w:rPr>
            </w:pPr>
            <w:r w:rsidRPr="003D0C85">
              <w:rPr>
                <w:rFonts w:ascii="Tahoma" w:eastAsia="Times New Roman" w:hAnsi="Tahoma" w:cs="Tahoma"/>
                <w:sz w:val="18"/>
                <w:szCs w:val="18"/>
                <w:lang w:eastAsia="hr-HR"/>
              </w:rPr>
              <w:t xml:space="preserve">Žene </w:t>
            </w:r>
          </w:p>
        </w:tc>
        <w:tc>
          <w:tcPr>
            <w:tcW w:w="425" w:type="dxa"/>
            <w:tcBorders>
              <w:top w:val="nil"/>
              <w:left w:val="nil"/>
              <w:bottom w:val="single" w:sz="4" w:space="0" w:color="auto"/>
              <w:right w:val="single" w:sz="4" w:space="0" w:color="auto"/>
            </w:tcBorders>
            <w:shd w:val="clear" w:color="000000" w:fill="CCFFCC"/>
            <w:textDirection w:val="btLr"/>
            <w:vAlign w:val="center"/>
            <w:hideMark/>
          </w:tcPr>
          <w:p w14:paraId="1ECA2CD8" w14:textId="77777777" w:rsidR="003D0C85" w:rsidRPr="003D0C85" w:rsidRDefault="003D0C85" w:rsidP="003D0C85">
            <w:pPr>
              <w:spacing w:after="0" w:line="240" w:lineRule="auto"/>
              <w:jc w:val="center"/>
              <w:rPr>
                <w:rFonts w:ascii="Tahoma" w:eastAsia="Times New Roman" w:hAnsi="Tahoma" w:cs="Tahoma"/>
                <w:sz w:val="18"/>
                <w:szCs w:val="18"/>
                <w:lang w:eastAsia="hr-HR"/>
              </w:rPr>
            </w:pPr>
            <w:r w:rsidRPr="003D0C85">
              <w:rPr>
                <w:rFonts w:ascii="Tahoma" w:eastAsia="Times New Roman" w:hAnsi="Tahoma" w:cs="Tahoma"/>
                <w:sz w:val="18"/>
                <w:szCs w:val="18"/>
                <w:lang w:eastAsia="hr-HR"/>
              </w:rPr>
              <w:t>Muškarci</w:t>
            </w:r>
          </w:p>
        </w:tc>
        <w:tc>
          <w:tcPr>
            <w:tcW w:w="607" w:type="dxa"/>
            <w:tcBorders>
              <w:top w:val="nil"/>
              <w:left w:val="nil"/>
              <w:bottom w:val="single" w:sz="4" w:space="0" w:color="auto"/>
              <w:right w:val="single" w:sz="4" w:space="0" w:color="auto"/>
            </w:tcBorders>
            <w:shd w:val="clear" w:color="000000" w:fill="CCFFCC"/>
            <w:textDirection w:val="btLr"/>
            <w:vAlign w:val="center"/>
            <w:hideMark/>
          </w:tcPr>
          <w:p w14:paraId="4D272B3E" w14:textId="77777777" w:rsidR="003D0C85" w:rsidRPr="003D0C85" w:rsidRDefault="003D0C85" w:rsidP="003D0C85">
            <w:pPr>
              <w:spacing w:after="0" w:line="240" w:lineRule="auto"/>
              <w:jc w:val="center"/>
              <w:rPr>
                <w:rFonts w:ascii="Tahoma" w:eastAsia="Times New Roman" w:hAnsi="Tahoma" w:cs="Tahoma"/>
                <w:sz w:val="18"/>
                <w:szCs w:val="18"/>
                <w:lang w:eastAsia="hr-HR"/>
              </w:rPr>
            </w:pPr>
            <w:r w:rsidRPr="003D0C85">
              <w:rPr>
                <w:rFonts w:ascii="Tahoma" w:eastAsia="Times New Roman" w:hAnsi="Tahoma" w:cs="Tahoma"/>
                <w:sz w:val="18"/>
                <w:szCs w:val="18"/>
                <w:lang w:eastAsia="hr-HR"/>
              </w:rPr>
              <w:t>Ostalo</w:t>
            </w:r>
          </w:p>
        </w:tc>
        <w:tc>
          <w:tcPr>
            <w:tcW w:w="425" w:type="dxa"/>
            <w:gridSpan w:val="2"/>
            <w:tcBorders>
              <w:top w:val="nil"/>
              <w:left w:val="nil"/>
              <w:bottom w:val="single" w:sz="4" w:space="0" w:color="auto"/>
              <w:right w:val="single" w:sz="4" w:space="0" w:color="auto"/>
            </w:tcBorders>
            <w:shd w:val="clear" w:color="000000" w:fill="CCFFCC"/>
            <w:textDirection w:val="btLr"/>
            <w:vAlign w:val="center"/>
            <w:hideMark/>
          </w:tcPr>
          <w:p w14:paraId="72B2BC04" w14:textId="77777777" w:rsidR="003D0C85" w:rsidRPr="003D0C85" w:rsidRDefault="003D0C85" w:rsidP="003D0C85">
            <w:pPr>
              <w:spacing w:after="0" w:line="240" w:lineRule="auto"/>
              <w:jc w:val="center"/>
              <w:rPr>
                <w:rFonts w:ascii="Calibri" w:eastAsia="Times New Roman" w:hAnsi="Calibri" w:cs="Calibri"/>
                <w:b/>
                <w:bCs/>
                <w:sz w:val="18"/>
                <w:szCs w:val="18"/>
                <w:lang w:eastAsia="hr-HR"/>
              </w:rPr>
            </w:pPr>
            <w:r w:rsidRPr="003D0C85">
              <w:rPr>
                <w:rFonts w:ascii="Calibri" w:eastAsia="Times New Roman" w:hAnsi="Calibri" w:cs="Calibri"/>
                <w:b/>
                <w:bCs/>
                <w:sz w:val="18"/>
                <w:szCs w:val="18"/>
                <w:lang w:eastAsia="hr-HR"/>
              </w:rPr>
              <w:t xml:space="preserve"> DO 12 MJESECI</w:t>
            </w:r>
          </w:p>
        </w:tc>
        <w:tc>
          <w:tcPr>
            <w:tcW w:w="452" w:type="dxa"/>
            <w:gridSpan w:val="2"/>
            <w:tcBorders>
              <w:top w:val="nil"/>
              <w:left w:val="nil"/>
              <w:bottom w:val="single" w:sz="4" w:space="0" w:color="auto"/>
              <w:right w:val="single" w:sz="8" w:space="0" w:color="auto"/>
            </w:tcBorders>
            <w:shd w:val="clear" w:color="000000" w:fill="CCFFCC"/>
            <w:textDirection w:val="btLr"/>
            <w:vAlign w:val="center"/>
            <w:hideMark/>
          </w:tcPr>
          <w:p w14:paraId="4DE3E521" w14:textId="77777777" w:rsidR="003D0C85" w:rsidRPr="003D0C85" w:rsidRDefault="003D0C85" w:rsidP="003D0C85">
            <w:pPr>
              <w:spacing w:after="0" w:line="240" w:lineRule="auto"/>
              <w:jc w:val="center"/>
              <w:rPr>
                <w:rFonts w:ascii="Calibri" w:eastAsia="Times New Roman" w:hAnsi="Calibri" w:cs="Calibri"/>
                <w:b/>
                <w:bCs/>
                <w:sz w:val="18"/>
                <w:szCs w:val="18"/>
                <w:lang w:eastAsia="hr-HR"/>
              </w:rPr>
            </w:pPr>
            <w:r w:rsidRPr="003D0C85">
              <w:rPr>
                <w:rFonts w:ascii="Calibri" w:eastAsia="Times New Roman" w:hAnsi="Calibri" w:cs="Calibri"/>
                <w:b/>
                <w:bCs/>
                <w:sz w:val="18"/>
                <w:szCs w:val="18"/>
                <w:lang w:eastAsia="hr-HR"/>
              </w:rPr>
              <w:t>PREKO 12 MJESECI</w:t>
            </w:r>
          </w:p>
        </w:tc>
        <w:tc>
          <w:tcPr>
            <w:tcW w:w="236" w:type="dxa"/>
            <w:gridSpan w:val="3"/>
            <w:vAlign w:val="center"/>
            <w:hideMark/>
          </w:tcPr>
          <w:p w14:paraId="3ADA109C" w14:textId="77777777" w:rsidR="003D0C85" w:rsidRPr="003D0C85" w:rsidRDefault="003D0C85" w:rsidP="003D0C85">
            <w:pPr>
              <w:spacing w:after="0" w:line="240" w:lineRule="auto"/>
              <w:rPr>
                <w:rFonts w:ascii="Times New Roman" w:eastAsia="Times New Roman" w:hAnsi="Times New Roman" w:cs="Times New Roman"/>
                <w:sz w:val="18"/>
                <w:szCs w:val="18"/>
                <w:lang w:eastAsia="hr-HR"/>
              </w:rPr>
            </w:pPr>
          </w:p>
        </w:tc>
      </w:tr>
      <w:tr w:rsidR="00E72E51" w:rsidRPr="00E72E51" w14:paraId="32A11C9C" w14:textId="77777777" w:rsidTr="00E72E51">
        <w:trPr>
          <w:trHeight w:val="300"/>
        </w:trPr>
        <w:tc>
          <w:tcPr>
            <w:tcW w:w="983" w:type="dxa"/>
            <w:tcBorders>
              <w:top w:val="single" w:sz="4" w:space="0" w:color="auto"/>
              <w:left w:val="single" w:sz="8" w:space="0" w:color="auto"/>
              <w:bottom w:val="single" w:sz="4" w:space="0" w:color="auto"/>
              <w:right w:val="nil"/>
            </w:tcBorders>
            <w:shd w:val="clear" w:color="000000" w:fill="CCFFCC"/>
            <w:vAlign w:val="center"/>
            <w:hideMark/>
          </w:tcPr>
          <w:p w14:paraId="796DC675" w14:textId="77777777" w:rsidR="003D0C85" w:rsidRPr="003D0C85" w:rsidRDefault="003D0C85" w:rsidP="003D0C85">
            <w:pPr>
              <w:spacing w:after="0" w:line="240" w:lineRule="auto"/>
              <w:jc w:val="center"/>
              <w:rPr>
                <w:rFonts w:ascii="Calibri" w:eastAsia="Times New Roman" w:hAnsi="Calibri" w:cs="Calibri"/>
                <w:sz w:val="18"/>
                <w:szCs w:val="18"/>
                <w:lang w:eastAsia="hr-HR"/>
              </w:rPr>
            </w:pPr>
            <w:r w:rsidRPr="003D0C85">
              <w:rPr>
                <w:rFonts w:ascii="Calibri" w:eastAsia="Times New Roman" w:hAnsi="Calibri" w:cs="Calibri"/>
                <w:sz w:val="18"/>
                <w:szCs w:val="18"/>
                <w:lang w:eastAsia="hr-HR"/>
              </w:rPr>
              <w:t>1.</w:t>
            </w:r>
          </w:p>
        </w:tc>
        <w:tc>
          <w:tcPr>
            <w:tcW w:w="442" w:type="dxa"/>
            <w:tcBorders>
              <w:top w:val="nil"/>
              <w:left w:val="single" w:sz="4" w:space="0" w:color="auto"/>
              <w:bottom w:val="single" w:sz="4" w:space="0" w:color="auto"/>
              <w:right w:val="single" w:sz="4" w:space="0" w:color="auto"/>
            </w:tcBorders>
            <w:shd w:val="clear" w:color="000000" w:fill="CCFFCC"/>
            <w:vAlign w:val="center"/>
            <w:hideMark/>
          </w:tcPr>
          <w:p w14:paraId="03638146" w14:textId="77777777" w:rsidR="003D0C85" w:rsidRPr="003D0C85" w:rsidRDefault="003D0C85" w:rsidP="003D0C85">
            <w:pPr>
              <w:spacing w:after="0" w:line="240" w:lineRule="auto"/>
              <w:jc w:val="center"/>
              <w:rPr>
                <w:rFonts w:ascii="Calibri" w:eastAsia="Times New Roman" w:hAnsi="Calibri" w:cs="Calibri"/>
                <w:b/>
                <w:bCs/>
                <w:sz w:val="18"/>
                <w:szCs w:val="18"/>
                <w:lang w:eastAsia="hr-HR"/>
              </w:rPr>
            </w:pPr>
            <w:r w:rsidRPr="003D0C85">
              <w:rPr>
                <w:rFonts w:ascii="Calibri" w:eastAsia="Times New Roman" w:hAnsi="Calibri" w:cs="Calibri"/>
                <w:b/>
                <w:bCs/>
                <w:sz w:val="18"/>
                <w:szCs w:val="18"/>
                <w:lang w:eastAsia="hr-HR"/>
              </w:rPr>
              <w:t>2.</w:t>
            </w:r>
          </w:p>
        </w:tc>
        <w:tc>
          <w:tcPr>
            <w:tcW w:w="443" w:type="dxa"/>
            <w:tcBorders>
              <w:top w:val="nil"/>
              <w:left w:val="nil"/>
              <w:bottom w:val="single" w:sz="4" w:space="0" w:color="auto"/>
              <w:right w:val="single" w:sz="4" w:space="0" w:color="auto"/>
            </w:tcBorders>
            <w:shd w:val="clear" w:color="000000" w:fill="CCFFCC"/>
            <w:vAlign w:val="center"/>
            <w:hideMark/>
          </w:tcPr>
          <w:p w14:paraId="1B631D31" w14:textId="77777777" w:rsidR="003D0C85" w:rsidRPr="003D0C85" w:rsidRDefault="003D0C85" w:rsidP="003D0C85">
            <w:pPr>
              <w:spacing w:after="0" w:line="240" w:lineRule="auto"/>
              <w:jc w:val="center"/>
              <w:rPr>
                <w:rFonts w:ascii="Calibri" w:eastAsia="Times New Roman" w:hAnsi="Calibri" w:cs="Calibri"/>
                <w:b/>
                <w:bCs/>
                <w:sz w:val="18"/>
                <w:szCs w:val="18"/>
                <w:lang w:eastAsia="hr-HR"/>
              </w:rPr>
            </w:pPr>
            <w:r w:rsidRPr="003D0C85">
              <w:rPr>
                <w:rFonts w:ascii="Calibri" w:eastAsia="Times New Roman" w:hAnsi="Calibri" w:cs="Calibri"/>
                <w:b/>
                <w:bCs/>
                <w:sz w:val="18"/>
                <w:szCs w:val="18"/>
                <w:lang w:eastAsia="hr-HR"/>
              </w:rPr>
              <w:t>3.</w:t>
            </w:r>
          </w:p>
        </w:tc>
        <w:tc>
          <w:tcPr>
            <w:tcW w:w="316" w:type="dxa"/>
            <w:tcBorders>
              <w:top w:val="single" w:sz="4" w:space="0" w:color="auto"/>
              <w:left w:val="nil"/>
              <w:bottom w:val="single" w:sz="4" w:space="0" w:color="auto"/>
              <w:right w:val="single" w:sz="4" w:space="0" w:color="auto"/>
            </w:tcBorders>
            <w:shd w:val="clear" w:color="000000" w:fill="CCFFCC"/>
            <w:vAlign w:val="center"/>
            <w:hideMark/>
          </w:tcPr>
          <w:p w14:paraId="4463B492" w14:textId="77777777" w:rsidR="003D0C85" w:rsidRPr="003D0C85" w:rsidRDefault="003D0C85" w:rsidP="003D0C85">
            <w:pPr>
              <w:spacing w:after="0" w:line="240" w:lineRule="auto"/>
              <w:jc w:val="center"/>
              <w:rPr>
                <w:rFonts w:ascii="Calibri" w:eastAsia="Times New Roman" w:hAnsi="Calibri" w:cs="Calibri"/>
                <w:b/>
                <w:bCs/>
                <w:sz w:val="18"/>
                <w:szCs w:val="18"/>
                <w:lang w:eastAsia="hr-HR"/>
              </w:rPr>
            </w:pPr>
            <w:r w:rsidRPr="003D0C85">
              <w:rPr>
                <w:rFonts w:ascii="Calibri" w:eastAsia="Times New Roman" w:hAnsi="Calibri" w:cs="Calibri"/>
                <w:b/>
                <w:bCs/>
                <w:sz w:val="18"/>
                <w:szCs w:val="18"/>
                <w:lang w:eastAsia="hr-HR"/>
              </w:rPr>
              <w:t>4.</w:t>
            </w:r>
          </w:p>
        </w:tc>
        <w:tc>
          <w:tcPr>
            <w:tcW w:w="452" w:type="dxa"/>
            <w:tcBorders>
              <w:top w:val="single" w:sz="4" w:space="0" w:color="auto"/>
              <w:left w:val="nil"/>
              <w:bottom w:val="single" w:sz="4" w:space="0" w:color="auto"/>
              <w:right w:val="single" w:sz="4" w:space="0" w:color="auto"/>
            </w:tcBorders>
            <w:shd w:val="clear" w:color="000000" w:fill="CCFFCC"/>
            <w:vAlign w:val="center"/>
            <w:hideMark/>
          </w:tcPr>
          <w:p w14:paraId="401321BA" w14:textId="77777777" w:rsidR="003D0C85" w:rsidRPr="003D0C85" w:rsidRDefault="003D0C85" w:rsidP="003D0C85">
            <w:pPr>
              <w:spacing w:after="0" w:line="240" w:lineRule="auto"/>
              <w:jc w:val="center"/>
              <w:rPr>
                <w:rFonts w:ascii="Calibri" w:eastAsia="Times New Roman" w:hAnsi="Calibri" w:cs="Calibri"/>
                <w:b/>
                <w:bCs/>
                <w:sz w:val="18"/>
                <w:szCs w:val="18"/>
                <w:lang w:eastAsia="hr-HR"/>
              </w:rPr>
            </w:pPr>
            <w:r w:rsidRPr="003D0C85">
              <w:rPr>
                <w:rFonts w:ascii="Calibri" w:eastAsia="Times New Roman" w:hAnsi="Calibri" w:cs="Calibri"/>
                <w:b/>
                <w:bCs/>
                <w:sz w:val="18"/>
                <w:szCs w:val="18"/>
                <w:lang w:eastAsia="hr-HR"/>
              </w:rPr>
              <w:t>5.</w:t>
            </w:r>
          </w:p>
        </w:tc>
        <w:tc>
          <w:tcPr>
            <w:tcW w:w="491" w:type="dxa"/>
            <w:gridSpan w:val="2"/>
            <w:tcBorders>
              <w:top w:val="nil"/>
              <w:left w:val="nil"/>
              <w:bottom w:val="single" w:sz="4" w:space="0" w:color="auto"/>
              <w:right w:val="single" w:sz="4" w:space="0" w:color="auto"/>
            </w:tcBorders>
            <w:shd w:val="clear" w:color="000000" w:fill="CCFFCC"/>
            <w:vAlign w:val="center"/>
            <w:hideMark/>
          </w:tcPr>
          <w:p w14:paraId="3901AA7F" w14:textId="77777777" w:rsidR="003D0C85" w:rsidRPr="003D0C85" w:rsidRDefault="003D0C85" w:rsidP="003D0C85">
            <w:pPr>
              <w:spacing w:after="0" w:line="240" w:lineRule="auto"/>
              <w:jc w:val="center"/>
              <w:rPr>
                <w:rFonts w:ascii="Calibri" w:eastAsia="Times New Roman" w:hAnsi="Calibri" w:cs="Calibri"/>
                <w:b/>
                <w:bCs/>
                <w:sz w:val="18"/>
                <w:szCs w:val="18"/>
                <w:lang w:eastAsia="hr-HR"/>
              </w:rPr>
            </w:pPr>
            <w:r w:rsidRPr="003D0C85">
              <w:rPr>
                <w:rFonts w:ascii="Calibri" w:eastAsia="Times New Roman" w:hAnsi="Calibri" w:cs="Calibri"/>
                <w:b/>
                <w:bCs/>
                <w:sz w:val="18"/>
                <w:szCs w:val="18"/>
                <w:lang w:eastAsia="hr-HR"/>
              </w:rPr>
              <w:t>6.</w:t>
            </w:r>
          </w:p>
        </w:tc>
        <w:tc>
          <w:tcPr>
            <w:tcW w:w="447" w:type="dxa"/>
            <w:tcBorders>
              <w:top w:val="nil"/>
              <w:left w:val="nil"/>
              <w:bottom w:val="single" w:sz="4" w:space="0" w:color="auto"/>
              <w:right w:val="single" w:sz="4" w:space="0" w:color="auto"/>
            </w:tcBorders>
            <w:shd w:val="clear" w:color="000000" w:fill="CCFFCC"/>
            <w:vAlign w:val="center"/>
            <w:hideMark/>
          </w:tcPr>
          <w:p w14:paraId="0FF6A062" w14:textId="77777777" w:rsidR="003D0C85" w:rsidRPr="003D0C85" w:rsidRDefault="003D0C85" w:rsidP="003D0C85">
            <w:pPr>
              <w:spacing w:after="0" w:line="240" w:lineRule="auto"/>
              <w:jc w:val="center"/>
              <w:rPr>
                <w:rFonts w:ascii="Calibri" w:eastAsia="Times New Roman" w:hAnsi="Calibri" w:cs="Calibri"/>
                <w:b/>
                <w:bCs/>
                <w:sz w:val="18"/>
                <w:szCs w:val="18"/>
                <w:lang w:eastAsia="hr-HR"/>
              </w:rPr>
            </w:pPr>
            <w:r w:rsidRPr="003D0C85">
              <w:rPr>
                <w:rFonts w:ascii="Calibri" w:eastAsia="Times New Roman" w:hAnsi="Calibri" w:cs="Calibri"/>
                <w:b/>
                <w:bCs/>
                <w:sz w:val="18"/>
                <w:szCs w:val="18"/>
                <w:lang w:eastAsia="hr-HR"/>
              </w:rPr>
              <w:t>7.</w:t>
            </w:r>
          </w:p>
        </w:tc>
        <w:tc>
          <w:tcPr>
            <w:tcW w:w="495" w:type="dxa"/>
            <w:tcBorders>
              <w:top w:val="nil"/>
              <w:left w:val="nil"/>
              <w:bottom w:val="single" w:sz="4" w:space="0" w:color="auto"/>
              <w:right w:val="single" w:sz="4" w:space="0" w:color="auto"/>
            </w:tcBorders>
            <w:shd w:val="clear" w:color="000000" w:fill="CCFFCC"/>
            <w:vAlign w:val="center"/>
            <w:hideMark/>
          </w:tcPr>
          <w:p w14:paraId="037385B4" w14:textId="77777777" w:rsidR="003D0C85" w:rsidRPr="003D0C85" w:rsidRDefault="003D0C85" w:rsidP="003D0C85">
            <w:pPr>
              <w:spacing w:after="0" w:line="240" w:lineRule="auto"/>
              <w:jc w:val="center"/>
              <w:rPr>
                <w:rFonts w:ascii="Calibri" w:eastAsia="Times New Roman" w:hAnsi="Calibri" w:cs="Calibri"/>
                <w:b/>
                <w:bCs/>
                <w:sz w:val="18"/>
                <w:szCs w:val="18"/>
                <w:lang w:eastAsia="hr-HR"/>
              </w:rPr>
            </w:pPr>
            <w:r w:rsidRPr="003D0C85">
              <w:rPr>
                <w:rFonts w:ascii="Calibri" w:eastAsia="Times New Roman" w:hAnsi="Calibri" w:cs="Calibri"/>
                <w:b/>
                <w:bCs/>
                <w:sz w:val="18"/>
                <w:szCs w:val="18"/>
                <w:lang w:eastAsia="hr-HR"/>
              </w:rPr>
              <w:t>8.</w:t>
            </w:r>
          </w:p>
        </w:tc>
        <w:tc>
          <w:tcPr>
            <w:tcW w:w="451" w:type="dxa"/>
            <w:tcBorders>
              <w:top w:val="nil"/>
              <w:left w:val="nil"/>
              <w:bottom w:val="single" w:sz="4" w:space="0" w:color="auto"/>
              <w:right w:val="single" w:sz="4" w:space="0" w:color="auto"/>
            </w:tcBorders>
            <w:shd w:val="clear" w:color="000000" w:fill="CCFFCC"/>
            <w:vAlign w:val="center"/>
            <w:hideMark/>
          </w:tcPr>
          <w:p w14:paraId="01DD036A" w14:textId="77777777" w:rsidR="003D0C85" w:rsidRPr="003D0C85" w:rsidRDefault="003D0C85" w:rsidP="003D0C85">
            <w:pPr>
              <w:spacing w:after="0" w:line="240" w:lineRule="auto"/>
              <w:jc w:val="center"/>
              <w:rPr>
                <w:rFonts w:ascii="Calibri" w:eastAsia="Times New Roman" w:hAnsi="Calibri" w:cs="Calibri"/>
                <w:b/>
                <w:bCs/>
                <w:sz w:val="18"/>
                <w:szCs w:val="18"/>
                <w:lang w:eastAsia="hr-HR"/>
              </w:rPr>
            </w:pPr>
            <w:r w:rsidRPr="003D0C85">
              <w:rPr>
                <w:rFonts w:ascii="Calibri" w:eastAsia="Times New Roman" w:hAnsi="Calibri" w:cs="Calibri"/>
                <w:b/>
                <w:bCs/>
                <w:sz w:val="18"/>
                <w:szCs w:val="18"/>
                <w:lang w:eastAsia="hr-HR"/>
              </w:rPr>
              <w:t>9.</w:t>
            </w:r>
          </w:p>
        </w:tc>
        <w:tc>
          <w:tcPr>
            <w:tcW w:w="632" w:type="dxa"/>
            <w:gridSpan w:val="2"/>
            <w:tcBorders>
              <w:top w:val="nil"/>
              <w:left w:val="nil"/>
              <w:bottom w:val="single" w:sz="4" w:space="0" w:color="auto"/>
              <w:right w:val="single" w:sz="4" w:space="0" w:color="auto"/>
            </w:tcBorders>
            <w:shd w:val="clear" w:color="000000" w:fill="CCFFCC"/>
            <w:vAlign w:val="center"/>
            <w:hideMark/>
          </w:tcPr>
          <w:p w14:paraId="16D8B5C1" w14:textId="77777777" w:rsidR="003D0C85" w:rsidRPr="003D0C85" w:rsidRDefault="003D0C85" w:rsidP="003D0C85">
            <w:pPr>
              <w:spacing w:after="0" w:line="240" w:lineRule="auto"/>
              <w:jc w:val="center"/>
              <w:rPr>
                <w:rFonts w:ascii="Calibri" w:eastAsia="Times New Roman" w:hAnsi="Calibri" w:cs="Calibri"/>
                <w:b/>
                <w:bCs/>
                <w:sz w:val="18"/>
                <w:szCs w:val="18"/>
                <w:lang w:eastAsia="hr-HR"/>
              </w:rPr>
            </w:pPr>
            <w:r w:rsidRPr="003D0C85">
              <w:rPr>
                <w:rFonts w:ascii="Calibri" w:eastAsia="Times New Roman" w:hAnsi="Calibri" w:cs="Calibri"/>
                <w:b/>
                <w:bCs/>
                <w:sz w:val="18"/>
                <w:szCs w:val="18"/>
                <w:lang w:eastAsia="hr-HR"/>
              </w:rPr>
              <w:t>10.</w:t>
            </w:r>
          </w:p>
        </w:tc>
        <w:tc>
          <w:tcPr>
            <w:tcW w:w="447" w:type="dxa"/>
            <w:tcBorders>
              <w:top w:val="nil"/>
              <w:left w:val="nil"/>
              <w:bottom w:val="single" w:sz="4" w:space="0" w:color="auto"/>
              <w:right w:val="single" w:sz="4" w:space="0" w:color="auto"/>
            </w:tcBorders>
            <w:shd w:val="clear" w:color="000000" w:fill="CCFFCC"/>
            <w:vAlign w:val="center"/>
            <w:hideMark/>
          </w:tcPr>
          <w:p w14:paraId="12C16218" w14:textId="77777777" w:rsidR="003D0C85" w:rsidRPr="003D0C85" w:rsidRDefault="003D0C85" w:rsidP="003D0C85">
            <w:pPr>
              <w:spacing w:after="0" w:line="240" w:lineRule="auto"/>
              <w:jc w:val="center"/>
              <w:rPr>
                <w:rFonts w:ascii="Calibri" w:eastAsia="Times New Roman" w:hAnsi="Calibri" w:cs="Calibri"/>
                <w:b/>
                <w:bCs/>
                <w:sz w:val="18"/>
                <w:szCs w:val="18"/>
                <w:lang w:eastAsia="hr-HR"/>
              </w:rPr>
            </w:pPr>
            <w:r w:rsidRPr="003D0C85">
              <w:rPr>
                <w:rFonts w:ascii="Calibri" w:eastAsia="Times New Roman" w:hAnsi="Calibri" w:cs="Calibri"/>
                <w:b/>
                <w:bCs/>
                <w:sz w:val="18"/>
                <w:szCs w:val="18"/>
                <w:lang w:eastAsia="hr-HR"/>
              </w:rPr>
              <w:t>11.</w:t>
            </w:r>
          </w:p>
        </w:tc>
        <w:tc>
          <w:tcPr>
            <w:tcW w:w="543" w:type="dxa"/>
            <w:tcBorders>
              <w:top w:val="nil"/>
              <w:left w:val="nil"/>
              <w:bottom w:val="single" w:sz="4" w:space="0" w:color="auto"/>
              <w:right w:val="single" w:sz="4" w:space="0" w:color="auto"/>
            </w:tcBorders>
            <w:shd w:val="clear" w:color="000000" w:fill="CCFFCC"/>
            <w:vAlign w:val="center"/>
            <w:hideMark/>
          </w:tcPr>
          <w:p w14:paraId="1FDCE6F2" w14:textId="77777777" w:rsidR="003D0C85" w:rsidRPr="003D0C85" w:rsidRDefault="003D0C85" w:rsidP="003D0C85">
            <w:pPr>
              <w:spacing w:after="0" w:line="240" w:lineRule="auto"/>
              <w:jc w:val="center"/>
              <w:rPr>
                <w:rFonts w:ascii="Calibri" w:eastAsia="Times New Roman" w:hAnsi="Calibri" w:cs="Calibri"/>
                <w:b/>
                <w:bCs/>
                <w:sz w:val="18"/>
                <w:szCs w:val="18"/>
                <w:lang w:eastAsia="hr-HR"/>
              </w:rPr>
            </w:pPr>
            <w:r w:rsidRPr="003D0C85">
              <w:rPr>
                <w:rFonts w:ascii="Calibri" w:eastAsia="Times New Roman" w:hAnsi="Calibri" w:cs="Calibri"/>
                <w:b/>
                <w:bCs/>
                <w:sz w:val="18"/>
                <w:szCs w:val="18"/>
                <w:lang w:eastAsia="hr-HR"/>
              </w:rPr>
              <w:t>12.</w:t>
            </w:r>
          </w:p>
        </w:tc>
        <w:tc>
          <w:tcPr>
            <w:tcW w:w="447" w:type="dxa"/>
            <w:tcBorders>
              <w:top w:val="nil"/>
              <w:left w:val="nil"/>
              <w:bottom w:val="single" w:sz="4" w:space="0" w:color="auto"/>
              <w:right w:val="single" w:sz="4" w:space="0" w:color="auto"/>
            </w:tcBorders>
            <w:shd w:val="clear" w:color="000000" w:fill="CCFFCC"/>
            <w:vAlign w:val="center"/>
            <w:hideMark/>
          </w:tcPr>
          <w:p w14:paraId="78949C8A" w14:textId="77777777" w:rsidR="003D0C85" w:rsidRPr="003D0C85" w:rsidRDefault="003D0C85" w:rsidP="003D0C85">
            <w:pPr>
              <w:spacing w:after="0" w:line="240" w:lineRule="auto"/>
              <w:jc w:val="center"/>
              <w:rPr>
                <w:rFonts w:ascii="Calibri" w:eastAsia="Times New Roman" w:hAnsi="Calibri" w:cs="Calibri"/>
                <w:b/>
                <w:bCs/>
                <w:sz w:val="18"/>
                <w:szCs w:val="18"/>
                <w:lang w:eastAsia="hr-HR"/>
              </w:rPr>
            </w:pPr>
            <w:r w:rsidRPr="003D0C85">
              <w:rPr>
                <w:rFonts w:ascii="Calibri" w:eastAsia="Times New Roman" w:hAnsi="Calibri" w:cs="Calibri"/>
                <w:b/>
                <w:bCs/>
                <w:sz w:val="18"/>
                <w:szCs w:val="18"/>
                <w:lang w:eastAsia="hr-HR"/>
              </w:rPr>
              <w:t>13.</w:t>
            </w:r>
          </w:p>
        </w:tc>
        <w:tc>
          <w:tcPr>
            <w:tcW w:w="543" w:type="dxa"/>
            <w:tcBorders>
              <w:top w:val="nil"/>
              <w:left w:val="nil"/>
              <w:bottom w:val="single" w:sz="4" w:space="0" w:color="auto"/>
              <w:right w:val="single" w:sz="4" w:space="0" w:color="auto"/>
            </w:tcBorders>
            <w:shd w:val="clear" w:color="000000" w:fill="CCFFCC"/>
            <w:vAlign w:val="center"/>
            <w:hideMark/>
          </w:tcPr>
          <w:p w14:paraId="78465709" w14:textId="77777777" w:rsidR="003D0C85" w:rsidRPr="003D0C85" w:rsidRDefault="003D0C85" w:rsidP="003D0C85">
            <w:pPr>
              <w:spacing w:after="0" w:line="240" w:lineRule="auto"/>
              <w:jc w:val="center"/>
              <w:rPr>
                <w:rFonts w:ascii="Calibri" w:eastAsia="Times New Roman" w:hAnsi="Calibri" w:cs="Calibri"/>
                <w:b/>
                <w:bCs/>
                <w:sz w:val="18"/>
                <w:szCs w:val="18"/>
                <w:lang w:eastAsia="hr-HR"/>
              </w:rPr>
            </w:pPr>
            <w:r w:rsidRPr="003D0C85">
              <w:rPr>
                <w:rFonts w:ascii="Calibri" w:eastAsia="Times New Roman" w:hAnsi="Calibri" w:cs="Calibri"/>
                <w:b/>
                <w:bCs/>
                <w:sz w:val="18"/>
                <w:szCs w:val="18"/>
                <w:lang w:eastAsia="hr-HR"/>
              </w:rPr>
              <w:t>14.</w:t>
            </w:r>
          </w:p>
        </w:tc>
        <w:tc>
          <w:tcPr>
            <w:tcW w:w="356" w:type="dxa"/>
            <w:tcBorders>
              <w:top w:val="nil"/>
              <w:left w:val="nil"/>
              <w:bottom w:val="single" w:sz="4" w:space="0" w:color="auto"/>
              <w:right w:val="single" w:sz="4" w:space="0" w:color="auto"/>
            </w:tcBorders>
            <w:shd w:val="clear" w:color="000000" w:fill="CCFFCC"/>
            <w:vAlign w:val="center"/>
            <w:hideMark/>
          </w:tcPr>
          <w:p w14:paraId="3D85ECAE" w14:textId="77777777" w:rsidR="003D0C85" w:rsidRPr="003D0C85" w:rsidRDefault="003D0C85" w:rsidP="003D0C85">
            <w:pPr>
              <w:spacing w:after="0" w:line="240" w:lineRule="auto"/>
              <w:jc w:val="center"/>
              <w:rPr>
                <w:rFonts w:ascii="Calibri" w:eastAsia="Times New Roman" w:hAnsi="Calibri" w:cs="Calibri"/>
                <w:b/>
                <w:bCs/>
                <w:sz w:val="18"/>
                <w:szCs w:val="18"/>
                <w:lang w:eastAsia="hr-HR"/>
              </w:rPr>
            </w:pPr>
            <w:r w:rsidRPr="003D0C85">
              <w:rPr>
                <w:rFonts w:ascii="Calibri" w:eastAsia="Times New Roman" w:hAnsi="Calibri" w:cs="Calibri"/>
                <w:b/>
                <w:bCs/>
                <w:sz w:val="18"/>
                <w:szCs w:val="18"/>
                <w:lang w:eastAsia="hr-HR"/>
              </w:rPr>
              <w:t>15.</w:t>
            </w:r>
          </w:p>
        </w:tc>
        <w:tc>
          <w:tcPr>
            <w:tcW w:w="447" w:type="dxa"/>
            <w:gridSpan w:val="2"/>
            <w:tcBorders>
              <w:top w:val="nil"/>
              <w:left w:val="nil"/>
              <w:bottom w:val="single" w:sz="4" w:space="0" w:color="auto"/>
              <w:right w:val="single" w:sz="4" w:space="0" w:color="auto"/>
            </w:tcBorders>
            <w:shd w:val="clear" w:color="000000" w:fill="CCFFCC"/>
            <w:vAlign w:val="center"/>
            <w:hideMark/>
          </w:tcPr>
          <w:p w14:paraId="55D5A527" w14:textId="77777777" w:rsidR="003D0C85" w:rsidRPr="003D0C85" w:rsidRDefault="003D0C85" w:rsidP="003D0C85">
            <w:pPr>
              <w:spacing w:after="0" w:line="240" w:lineRule="auto"/>
              <w:jc w:val="center"/>
              <w:rPr>
                <w:rFonts w:ascii="Calibri" w:eastAsia="Times New Roman" w:hAnsi="Calibri" w:cs="Calibri"/>
                <w:b/>
                <w:bCs/>
                <w:sz w:val="18"/>
                <w:szCs w:val="18"/>
                <w:lang w:eastAsia="hr-HR"/>
              </w:rPr>
            </w:pPr>
            <w:r w:rsidRPr="003D0C85">
              <w:rPr>
                <w:rFonts w:ascii="Calibri" w:eastAsia="Times New Roman" w:hAnsi="Calibri" w:cs="Calibri"/>
                <w:b/>
                <w:bCs/>
                <w:sz w:val="18"/>
                <w:szCs w:val="18"/>
                <w:lang w:eastAsia="hr-HR"/>
              </w:rPr>
              <w:t>16.</w:t>
            </w:r>
          </w:p>
        </w:tc>
        <w:tc>
          <w:tcPr>
            <w:tcW w:w="447" w:type="dxa"/>
            <w:tcBorders>
              <w:top w:val="nil"/>
              <w:left w:val="nil"/>
              <w:bottom w:val="single" w:sz="4" w:space="0" w:color="auto"/>
              <w:right w:val="single" w:sz="4" w:space="0" w:color="auto"/>
            </w:tcBorders>
            <w:shd w:val="clear" w:color="000000" w:fill="CCFFCC"/>
            <w:vAlign w:val="center"/>
            <w:hideMark/>
          </w:tcPr>
          <w:p w14:paraId="002DB020" w14:textId="77777777" w:rsidR="003D0C85" w:rsidRPr="003D0C85" w:rsidRDefault="003D0C85" w:rsidP="003D0C85">
            <w:pPr>
              <w:spacing w:after="0" w:line="240" w:lineRule="auto"/>
              <w:jc w:val="center"/>
              <w:rPr>
                <w:rFonts w:ascii="Calibri" w:eastAsia="Times New Roman" w:hAnsi="Calibri" w:cs="Calibri"/>
                <w:b/>
                <w:bCs/>
                <w:sz w:val="18"/>
                <w:szCs w:val="18"/>
                <w:lang w:eastAsia="hr-HR"/>
              </w:rPr>
            </w:pPr>
            <w:r w:rsidRPr="003D0C85">
              <w:rPr>
                <w:rFonts w:ascii="Calibri" w:eastAsia="Times New Roman" w:hAnsi="Calibri" w:cs="Calibri"/>
                <w:b/>
                <w:bCs/>
                <w:sz w:val="18"/>
                <w:szCs w:val="18"/>
                <w:lang w:eastAsia="hr-HR"/>
              </w:rPr>
              <w:t>17.</w:t>
            </w:r>
          </w:p>
        </w:tc>
        <w:tc>
          <w:tcPr>
            <w:tcW w:w="447" w:type="dxa"/>
            <w:tcBorders>
              <w:top w:val="nil"/>
              <w:left w:val="nil"/>
              <w:bottom w:val="single" w:sz="4" w:space="0" w:color="auto"/>
              <w:right w:val="single" w:sz="4" w:space="0" w:color="auto"/>
            </w:tcBorders>
            <w:shd w:val="clear" w:color="000000" w:fill="CCFFCC"/>
            <w:vAlign w:val="center"/>
            <w:hideMark/>
          </w:tcPr>
          <w:p w14:paraId="73CA5EC3" w14:textId="77777777" w:rsidR="003D0C85" w:rsidRPr="003D0C85" w:rsidRDefault="003D0C85" w:rsidP="003D0C85">
            <w:pPr>
              <w:spacing w:after="0" w:line="240" w:lineRule="auto"/>
              <w:jc w:val="center"/>
              <w:rPr>
                <w:rFonts w:ascii="Calibri" w:eastAsia="Times New Roman" w:hAnsi="Calibri" w:cs="Calibri"/>
                <w:b/>
                <w:bCs/>
                <w:sz w:val="18"/>
                <w:szCs w:val="18"/>
                <w:lang w:eastAsia="hr-HR"/>
              </w:rPr>
            </w:pPr>
            <w:r w:rsidRPr="003D0C85">
              <w:rPr>
                <w:rFonts w:ascii="Calibri" w:eastAsia="Times New Roman" w:hAnsi="Calibri" w:cs="Calibri"/>
                <w:b/>
                <w:bCs/>
                <w:sz w:val="18"/>
                <w:szCs w:val="18"/>
                <w:lang w:eastAsia="hr-HR"/>
              </w:rPr>
              <w:t>18.</w:t>
            </w:r>
          </w:p>
        </w:tc>
        <w:tc>
          <w:tcPr>
            <w:tcW w:w="475" w:type="dxa"/>
            <w:tcBorders>
              <w:top w:val="nil"/>
              <w:left w:val="nil"/>
              <w:bottom w:val="single" w:sz="4" w:space="0" w:color="auto"/>
              <w:right w:val="single" w:sz="4" w:space="0" w:color="auto"/>
            </w:tcBorders>
            <w:shd w:val="clear" w:color="000000" w:fill="CCFFCC"/>
            <w:vAlign w:val="center"/>
            <w:hideMark/>
          </w:tcPr>
          <w:p w14:paraId="35A26650" w14:textId="77777777" w:rsidR="003D0C85" w:rsidRPr="003D0C85" w:rsidRDefault="003D0C85" w:rsidP="003D0C85">
            <w:pPr>
              <w:spacing w:after="0" w:line="240" w:lineRule="auto"/>
              <w:jc w:val="center"/>
              <w:rPr>
                <w:rFonts w:ascii="Calibri" w:eastAsia="Times New Roman" w:hAnsi="Calibri" w:cs="Calibri"/>
                <w:b/>
                <w:bCs/>
                <w:sz w:val="18"/>
                <w:szCs w:val="18"/>
                <w:lang w:eastAsia="hr-HR"/>
              </w:rPr>
            </w:pPr>
            <w:r w:rsidRPr="003D0C85">
              <w:rPr>
                <w:rFonts w:ascii="Calibri" w:eastAsia="Times New Roman" w:hAnsi="Calibri" w:cs="Calibri"/>
                <w:b/>
                <w:bCs/>
                <w:sz w:val="18"/>
                <w:szCs w:val="18"/>
                <w:lang w:eastAsia="hr-HR"/>
              </w:rPr>
              <w:t>19.</w:t>
            </w:r>
          </w:p>
        </w:tc>
        <w:tc>
          <w:tcPr>
            <w:tcW w:w="447" w:type="dxa"/>
            <w:gridSpan w:val="2"/>
            <w:tcBorders>
              <w:top w:val="nil"/>
              <w:left w:val="nil"/>
              <w:bottom w:val="single" w:sz="4" w:space="0" w:color="auto"/>
              <w:right w:val="single" w:sz="4" w:space="0" w:color="auto"/>
            </w:tcBorders>
            <w:shd w:val="clear" w:color="000000" w:fill="CCFFCC"/>
            <w:vAlign w:val="center"/>
            <w:hideMark/>
          </w:tcPr>
          <w:p w14:paraId="323BDC83" w14:textId="77777777" w:rsidR="003D0C85" w:rsidRPr="003D0C85" w:rsidRDefault="003D0C85" w:rsidP="003D0C85">
            <w:pPr>
              <w:spacing w:after="0" w:line="240" w:lineRule="auto"/>
              <w:jc w:val="center"/>
              <w:rPr>
                <w:rFonts w:ascii="Calibri" w:eastAsia="Times New Roman" w:hAnsi="Calibri" w:cs="Calibri"/>
                <w:b/>
                <w:bCs/>
                <w:sz w:val="18"/>
                <w:szCs w:val="18"/>
                <w:lang w:eastAsia="hr-HR"/>
              </w:rPr>
            </w:pPr>
            <w:r w:rsidRPr="003D0C85">
              <w:rPr>
                <w:rFonts w:ascii="Calibri" w:eastAsia="Times New Roman" w:hAnsi="Calibri" w:cs="Calibri"/>
                <w:b/>
                <w:bCs/>
                <w:sz w:val="18"/>
                <w:szCs w:val="18"/>
                <w:lang w:eastAsia="hr-HR"/>
              </w:rPr>
              <w:t>20.</w:t>
            </w:r>
          </w:p>
        </w:tc>
        <w:tc>
          <w:tcPr>
            <w:tcW w:w="447" w:type="dxa"/>
            <w:tcBorders>
              <w:top w:val="nil"/>
              <w:left w:val="nil"/>
              <w:bottom w:val="single" w:sz="4" w:space="0" w:color="auto"/>
              <w:right w:val="single" w:sz="4" w:space="0" w:color="auto"/>
            </w:tcBorders>
            <w:shd w:val="clear" w:color="000000" w:fill="CCFFCC"/>
            <w:vAlign w:val="center"/>
            <w:hideMark/>
          </w:tcPr>
          <w:p w14:paraId="3D875213" w14:textId="77777777" w:rsidR="003D0C85" w:rsidRPr="003D0C85" w:rsidRDefault="003D0C85" w:rsidP="003D0C85">
            <w:pPr>
              <w:spacing w:after="0" w:line="240" w:lineRule="auto"/>
              <w:jc w:val="center"/>
              <w:rPr>
                <w:rFonts w:ascii="Calibri" w:eastAsia="Times New Roman" w:hAnsi="Calibri" w:cs="Calibri"/>
                <w:b/>
                <w:bCs/>
                <w:sz w:val="18"/>
                <w:szCs w:val="18"/>
                <w:lang w:eastAsia="hr-HR"/>
              </w:rPr>
            </w:pPr>
            <w:r w:rsidRPr="003D0C85">
              <w:rPr>
                <w:rFonts w:ascii="Calibri" w:eastAsia="Times New Roman" w:hAnsi="Calibri" w:cs="Calibri"/>
                <w:b/>
                <w:bCs/>
                <w:sz w:val="18"/>
                <w:szCs w:val="18"/>
                <w:lang w:eastAsia="hr-HR"/>
              </w:rPr>
              <w:t>21.</w:t>
            </w:r>
          </w:p>
        </w:tc>
        <w:tc>
          <w:tcPr>
            <w:tcW w:w="521" w:type="dxa"/>
            <w:tcBorders>
              <w:top w:val="nil"/>
              <w:left w:val="nil"/>
              <w:bottom w:val="single" w:sz="4" w:space="0" w:color="auto"/>
              <w:right w:val="single" w:sz="4" w:space="0" w:color="auto"/>
            </w:tcBorders>
            <w:shd w:val="clear" w:color="000000" w:fill="CCFFCC"/>
            <w:vAlign w:val="center"/>
            <w:hideMark/>
          </w:tcPr>
          <w:p w14:paraId="0B647D7F" w14:textId="77777777" w:rsidR="003D0C85" w:rsidRPr="003D0C85" w:rsidRDefault="003D0C85" w:rsidP="003D0C85">
            <w:pPr>
              <w:spacing w:after="0" w:line="240" w:lineRule="auto"/>
              <w:jc w:val="center"/>
              <w:rPr>
                <w:rFonts w:ascii="Calibri" w:eastAsia="Times New Roman" w:hAnsi="Calibri" w:cs="Calibri"/>
                <w:b/>
                <w:bCs/>
                <w:sz w:val="18"/>
                <w:szCs w:val="18"/>
                <w:lang w:eastAsia="hr-HR"/>
              </w:rPr>
            </w:pPr>
            <w:r w:rsidRPr="003D0C85">
              <w:rPr>
                <w:rFonts w:ascii="Calibri" w:eastAsia="Times New Roman" w:hAnsi="Calibri" w:cs="Calibri"/>
                <w:b/>
                <w:bCs/>
                <w:sz w:val="18"/>
                <w:szCs w:val="18"/>
                <w:lang w:eastAsia="hr-HR"/>
              </w:rPr>
              <w:t>22.</w:t>
            </w:r>
          </w:p>
        </w:tc>
        <w:tc>
          <w:tcPr>
            <w:tcW w:w="446" w:type="dxa"/>
            <w:tcBorders>
              <w:top w:val="nil"/>
              <w:left w:val="nil"/>
              <w:bottom w:val="single" w:sz="4" w:space="0" w:color="auto"/>
              <w:right w:val="single" w:sz="4" w:space="0" w:color="auto"/>
            </w:tcBorders>
            <w:shd w:val="clear" w:color="000000" w:fill="CCFFCC"/>
            <w:vAlign w:val="center"/>
            <w:hideMark/>
          </w:tcPr>
          <w:p w14:paraId="292F1567" w14:textId="77777777" w:rsidR="003D0C85" w:rsidRPr="003D0C85" w:rsidRDefault="003D0C85" w:rsidP="003D0C85">
            <w:pPr>
              <w:spacing w:after="0" w:line="240" w:lineRule="auto"/>
              <w:jc w:val="center"/>
              <w:rPr>
                <w:rFonts w:ascii="Calibri" w:eastAsia="Times New Roman" w:hAnsi="Calibri" w:cs="Calibri"/>
                <w:b/>
                <w:bCs/>
                <w:sz w:val="18"/>
                <w:szCs w:val="18"/>
                <w:lang w:eastAsia="hr-HR"/>
              </w:rPr>
            </w:pPr>
            <w:r w:rsidRPr="003D0C85">
              <w:rPr>
                <w:rFonts w:ascii="Calibri" w:eastAsia="Times New Roman" w:hAnsi="Calibri" w:cs="Calibri"/>
                <w:b/>
                <w:bCs/>
                <w:sz w:val="18"/>
                <w:szCs w:val="18"/>
                <w:lang w:eastAsia="hr-HR"/>
              </w:rPr>
              <w:t>23.</w:t>
            </w:r>
          </w:p>
        </w:tc>
        <w:tc>
          <w:tcPr>
            <w:tcW w:w="792" w:type="dxa"/>
            <w:gridSpan w:val="2"/>
            <w:tcBorders>
              <w:top w:val="nil"/>
              <w:left w:val="nil"/>
              <w:bottom w:val="single" w:sz="4" w:space="0" w:color="auto"/>
              <w:right w:val="single" w:sz="4" w:space="0" w:color="auto"/>
            </w:tcBorders>
            <w:shd w:val="clear" w:color="000000" w:fill="CCFFCC"/>
            <w:vAlign w:val="center"/>
            <w:hideMark/>
          </w:tcPr>
          <w:p w14:paraId="0E54E6F7" w14:textId="77777777" w:rsidR="003D0C85" w:rsidRPr="003D0C85" w:rsidRDefault="003D0C85" w:rsidP="003D0C85">
            <w:pPr>
              <w:spacing w:after="0" w:line="240" w:lineRule="auto"/>
              <w:jc w:val="center"/>
              <w:rPr>
                <w:rFonts w:ascii="Calibri" w:eastAsia="Times New Roman" w:hAnsi="Calibri" w:cs="Calibri"/>
                <w:b/>
                <w:bCs/>
                <w:sz w:val="18"/>
                <w:szCs w:val="18"/>
                <w:lang w:eastAsia="hr-HR"/>
              </w:rPr>
            </w:pPr>
            <w:r w:rsidRPr="003D0C85">
              <w:rPr>
                <w:rFonts w:ascii="Calibri" w:eastAsia="Times New Roman" w:hAnsi="Calibri" w:cs="Calibri"/>
                <w:b/>
                <w:bCs/>
                <w:sz w:val="18"/>
                <w:szCs w:val="18"/>
                <w:lang w:eastAsia="hr-HR"/>
              </w:rPr>
              <w:t>24.</w:t>
            </w:r>
          </w:p>
        </w:tc>
        <w:tc>
          <w:tcPr>
            <w:tcW w:w="507" w:type="dxa"/>
            <w:gridSpan w:val="2"/>
            <w:tcBorders>
              <w:top w:val="nil"/>
              <w:left w:val="nil"/>
              <w:bottom w:val="single" w:sz="4" w:space="0" w:color="auto"/>
              <w:right w:val="single" w:sz="4" w:space="0" w:color="auto"/>
            </w:tcBorders>
            <w:shd w:val="clear" w:color="000000" w:fill="CCFFCC"/>
            <w:vAlign w:val="center"/>
            <w:hideMark/>
          </w:tcPr>
          <w:p w14:paraId="6A2D3D56" w14:textId="77777777" w:rsidR="003D0C85" w:rsidRPr="003D0C85" w:rsidRDefault="003D0C85" w:rsidP="003D0C85">
            <w:pPr>
              <w:spacing w:after="0" w:line="240" w:lineRule="auto"/>
              <w:jc w:val="center"/>
              <w:rPr>
                <w:rFonts w:ascii="Calibri" w:eastAsia="Times New Roman" w:hAnsi="Calibri" w:cs="Calibri"/>
                <w:b/>
                <w:bCs/>
                <w:sz w:val="18"/>
                <w:szCs w:val="18"/>
                <w:lang w:eastAsia="hr-HR"/>
              </w:rPr>
            </w:pPr>
            <w:r w:rsidRPr="003D0C85">
              <w:rPr>
                <w:rFonts w:ascii="Calibri" w:eastAsia="Times New Roman" w:hAnsi="Calibri" w:cs="Calibri"/>
                <w:b/>
                <w:bCs/>
                <w:sz w:val="18"/>
                <w:szCs w:val="18"/>
                <w:lang w:eastAsia="hr-HR"/>
              </w:rPr>
              <w:t>25.</w:t>
            </w:r>
          </w:p>
        </w:tc>
        <w:tc>
          <w:tcPr>
            <w:tcW w:w="244" w:type="dxa"/>
            <w:tcBorders>
              <w:top w:val="nil"/>
              <w:left w:val="nil"/>
              <w:bottom w:val="single" w:sz="4" w:space="0" w:color="auto"/>
              <w:right w:val="single" w:sz="4" w:space="0" w:color="auto"/>
            </w:tcBorders>
            <w:shd w:val="clear" w:color="000000" w:fill="CCFFCC"/>
            <w:vAlign w:val="center"/>
            <w:hideMark/>
          </w:tcPr>
          <w:p w14:paraId="64970181" w14:textId="77777777" w:rsidR="003D0C85" w:rsidRPr="003D0C85" w:rsidRDefault="003D0C85" w:rsidP="003D0C85">
            <w:pPr>
              <w:spacing w:after="0" w:line="240" w:lineRule="auto"/>
              <w:jc w:val="center"/>
              <w:rPr>
                <w:rFonts w:ascii="Calibri" w:eastAsia="Times New Roman" w:hAnsi="Calibri" w:cs="Calibri"/>
                <w:b/>
                <w:bCs/>
                <w:sz w:val="18"/>
                <w:szCs w:val="18"/>
                <w:lang w:eastAsia="hr-HR"/>
              </w:rPr>
            </w:pPr>
            <w:r w:rsidRPr="003D0C85">
              <w:rPr>
                <w:rFonts w:ascii="Calibri" w:eastAsia="Times New Roman" w:hAnsi="Calibri" w:cs="Calibri"/>
                <w:b/>
                <w:bCs/>
                <w:sz w:val="18"/>
                <w:szCs w:val="18"/>
                <w:lang w:eastAsia="hr-HR"/>
              </w:rPr>
              <w:t>26.</w:t>
            </w:r>
          </w:p>
        </w:tc>
        <w:tc>
          <w:tcPr>
            <w:tcW w:w="425" w:type="dxa"/>
            <w:tcBorders>
              <w:top w:val="nil"/>
              <w:left w:val="nil"/>
              <w:bottom w:val="single" w:sz="4" w:space="0" w:color="auto"/>
              <w:right w:val="single" w:sz="4" w:space="0" w:color="auto"/>
            </w:tcBorders>
            <w:shd w:val="clear" w:color="000000" w:fill="CCFFCC"/>
            <w:vAlign w:val="center"/>
            <w:hideMark/>
          </w:tcPr>
          <w:p w14:paraId="102195F9" w14:textId="77777777" w:rsidR="003D0C85" w:rsidRPr="003D0C85" w:rsidRDefault="003D0C85" w:rsidP="003D0C85">
            <w:pPr>
              <w:spacing w:after="0" w:line="240" w:lineRule="auto"/>
              <w:jc w:val="center"/>
              <w:rPr>
                <w:rFonts w:ascii="Calibri" w:eastAsia="Times New Roman" w:hAnsi="Calibri" w:cs="Calibri"/>
                <w:b/>
                <w:bCs/>
                <w:sz w:val="18"/>
                <w:szCs w:val="18"/>
                <w:lang w:eastAsia="hr-HR"/>
              </w:rPr>
            </w:pPr>
            <w:r w:rsidRPr="003D0C85">
              <w:rPr>
                <w:rFonts w:ascii="Calibri" w:eastAsia="Times New Roman" w:hAnsi="Calibri" w:cs="Calibri"/>
                <w:b/>
                <w:bCs/>
                <w:sz w:val="18"/>
                <w:szCs w:val="18"/>
                <w:lang w:eastAsia="hr-HR"/>
              </w:rPr>
              <w:t>27.</w:t>
            </w:r>
          </w:p>
        </w:tc>
        <w:tc>
          <w:tcPr>
            <w:tcW w:w="607" w:type="dxa"/>
            <w:tcBorders>
              <w:top w:val="nil"/>
              <w:left w:val="nil"/>
              <w:bottom w:val="single" w:sz="4" w:space="0" w:color="auto"/>
              <w:right w:val="single" w:sz="4" w:space="0" w:color="auto"/>
            </w:tcBorders>
            <w:shd w:val="clear" w:color="000000" w:fill="CCFFCC"/>
            <w:vAlign w:val="center"/>
            <w:hideMark/>
          </w:tcPr>
          <w:p w14:paraId="73831858" w14:textId="77777777" w:rsidR="003D0C85" w:rsidRPr="003D0C85" w:rsidRDefault="003D0C85" w:rsidP="003D0C85">
            <w:pPr>
              <w:spacing w:after="0" w:line="240" w:lineRule="auto"/>
              <w:jc w:val="center"/>
              <w:rPr>
                <w:rFonts w:ascii="Calibri" w:eastAsia="Times New Roman" w:hAnsi="Calibri" w:cs="Calibri"/>
                <w:b/>
                <w:bCs/>
                <w:sz w:val="18"/>
                <w:szCs w:val="18"/>
                <w:lang w:eastAsia="hr-HR"/>
              </w:rPr>
            </w:pPr>
            <w:r w:rsidRPr="003D0C85">
              <w:rPr>
                <w:rFonts w:ascii="Calibri" w:eastAsia="Times New Roman" w:hAnsi="Calibri" w:cs="Calibri"/>
                <w:b/>
                <w:bCs/>
                <w:sz w:val="18"/>
                <w:szCs w:val="18"/>
                <w:lang w:eastAsia="hr-HR"/>
              </w:rPr>
              <w:t>28.</w:t>
            </w:r>
          </w:p>
        </w:tc>
        <w:tc>
          <w:tcPr>
            <w:tcW w:w="425" w:type="dxa"/>
            <w:gridSpan w:val="2"/>
            <w:tcBorders>
              <w:top w:val="nil"/>
              <w:left w:val="nil"/>
              <w:bottom w:val="single" w:sz="4" w:space="0" w:color="auto"/>
              <w:right w:val="single" w:sz="4" w:space="0" w:color="auto"/>
            </w:tcBorders>
            <w:shd w:val="clear" w:color="000000" w:fill="CCFFCC"/>
            <w:vAlign w:val="center"/>
            <w:hideMark/>
          </w:tcPr>
          <w:p w14:paraId="0749CC3A" w14:textId="77777777" w:rsidR="003D0C85" w:rsidRPr="003D0C85" w:rsidRDefault="003D0C85" w:rsidP="003D0C85">
            <w:pPr>
              <w:spacing w:after="0" w:line="240" w:lineRule="auto"/>
              <w:jc w:val="center"/>
              <w:rPr>
                <w:rFonts w:ascii="Calibri" w:eastAsia="Times New Roman" w:hAnsi="Calibri" w:cs="Calibri"/>
                <w:b/>
                <w:bCs/>
                <w:sz w:val="18"/>
                <w:szCs w:val="18"/>
                <w:lang w:eastAsia="hr-HR"/>
              </w:rPr>
            </w:pPr>
            <w:r w:rsidRPr="003D0C85">
              <w:rPr>
                <w:rFonts w:ascii="Calibri" w:eastAsia="Times New Roman" w:hAnsi="Calibri" w:cs="Calibri"/>
                <w:b/>
                <w:bCs/>
                <w:sz w:val="18"/>
                <w:szCs w:val="18"/>
                <w:lang w:eastAsia="hr-HR"/>
              </w:rPr>
              <w:t>29.</w:t>
            </w:r>
          </w:p>
        </w:tc>
        <w:tc>
          <w:tcPr>
            <w:tcW w:w="452" w:type="dxa"/>
            <w:gridSpan w:val="2"/>
            <w:tcBorders>
              <w:top w:val="nil"/>
              <w:left w:val="nil"/>
              <w:bottom w:val="single" w:sz="4" w:space="0" w:color="auto"/>
              <w:right w:val="single" w:sz="4" w:space="0" w:color="auto"/>
            </w:tcBorders>
            <w:shd w:val="clear" w:color="000000" w:fill="CCFFCC"/>
            <w:vAlign w:val="center"/>
            <w:hideMark/>
          </w:tcPr>
          <w:p w14:paraId="352C820C" w14:textId="77777777" w:rsidR="003D0C85" w:rsidRPr="003D0C85" w:rsidRDefault="003D0C85" w:rsidP="003D0C85">
            <w:pPr>
              <w:spacing w:after="0" w:line="240" w:lineRule="auto"/>
              <w:jc w:val="center"/>
              <w:rPr>
                <w:rFonts w:ascii="Calibri" w:eastAsia="Times New Roman" w:hAnsi="Calibri" w:cs="Calibri"/>
                <w:b/>
                <w:bCs/>
                <w:sz w:val="18"/>
                <w:szCs w:val="18"/>
                <w:lang w:eastAsia="hr-HR"/>
              </w:rPr>
            </w:pPr>
            <w:r w:rsidRPr="003D0C85">
              <w:rPr>
                <w:rFonts w:ascii="Calibri" w:eastAsia="Times New Roman" w:hAnsi="Calibri" w:cs="Calibri"/>
                <w:b/>
                <w:bCs/>
                <w:sz w:val="18"/>
                <w:szCs w:val="18"/>
                <w:lang w:eastAsia="hr-HR"/>
              </w:rPr>
              <w:t>30.</w:t>
            </w:r>
          </w:p>
        </w:tc>
        <w:tc>
          <w:tcPr>
            <w:tcW w:w="236" w:type="dxa"/>
            <w:gridSpan w:val="3"/>
            <w:vAlign w:val="center"/>
            <w:hideMark/>
          </w:tcPr>
          <w:p w14:paraId="0785C9F3" w14:textId="77777777" w:rsidR="003D0C85" w:rsidRPr="003D0C85" w:rsidRDefault="003D0C85" w:rsidP="003D0C85">
            <w:pPr>
              <w:spacing w:after="0" w:line="240" w:lineRule="auto"/>
              <w:rPr>
                <w:rFonts w:ascii="Times New Roman" w:eastAsia="Times New Roman" w:hAnsi="Times New Roman" w:cs="Times New Roman"/>
                <w:sz w:val="18"/>
                <w:szCs w:val="18"/>
                <w:lang w:eastAsia="hr-HR"/>
              </w:rPr>
            </w:pPr>
          </w:p>
        </w:tc>
      </w:tr>
      <w:tr w:rsidR="00E72E51" w:rsidRPr="00E72E51" w14:paraId="48878345" w14:textId="77777777" w:rsidTr="00E72E51">
        <w:trPr>
          <w:trHeight w:val="315"/>
        </w:trPr>
        <w:tc>
          <w:tcPr>
            <w:tcW w:w="983" w:type="dxa"/>
            <w:tcBorders>
              <w:top w:val="single" w:sz="4" w:space="0" w:color="auto"/>
              <w:left w:val="single" w:sz="8" w:space="0" w:color="auto"/>
              <w:bottom w:val="single" w:sz="4" w:space="0" w:color="auto"/>
              <w:right w:val="single" w:sz="4" w:space="0" w:color="auto"/>
            </w:tcBorders>
            <w:shd w:val="clear" w:color="000000" w:fill="CCFFCC"/>
            <w:vAlign w:val="center"/>
            <w:hideMark/>
          </w:tcPr>
          <w:p w14:paraId="69D36263" w14:textId="77777777" w:rsidR="003D0C85" w:rsidRPr="003D0C85" w:rsidRDefault="003D0C85" w:rsidP="003D0C85">
            <w:pPr>
              <w:spacing w:after="0" w:line="240" w:lineRule="auto"/>
              <w:rPr>
                <w:rFonts w:ascii="Calibri" w:eastAsia="Times New Roman" w:hAnsi="Calibri" w:cs="Calibri"/>
                <w:sz w:val="18"/>
                <w:szCs w:val="18"/>
                <w:lang w:eastAsia="hr-HR"/>
              </w:rPr>
            </w:pPr>
            <w:proofErr w:type="spellStart"/>
            <w:r w:rsidRPr="003D0C85">
              <w:rPr>
                <w:rFonts w:ascii="Calibri" w:eastAsia="Times New Roman" w:hAnsi="Calibri" w:cs="Calibri"/>
                <w:sz w:val="18"/>
                <w:szCs w:val="18"/>
                <w:lang w:eastAsia="hr-HR"/>
              </w:rPr>
              <w:t>Rasa,etnička</w:t>
            </w:r>
            <w:proofErr w:type="spellEnd"/>
            <w:r w:rsidRPr="003D0C85">
              <w:rPr>
                <w:rFonts w:ascii="Calibri" w:eastAsia="Times New Roman" w:hAnsi="Calibri" w:cs="Calibri"/>
                <w:sz w:val="18"/>
                <w:szCs w:val="18"/>
                <w:lang w:eastAsia="hr-HR"/>
              </w:rPr>
              <w:t xml:space="preserve"> pripadnost ili boja kože</w:t>
            </w:r>
          </w:p>
        </w:tc>
        <w:tc>
          <w:tcPr>
            <w:tcW w:w="442" w:type="dxa"/>
            <w:tcBorders>
              <w:top w:val="nil"/>
              <w:left w:val="nil"/>
              <w:bottom w:val="single" w:sz="4" w:space="0" w:color="auto"/>
              <w:right w:val="single" w:sz="4" w:space="0" w:color="auto"/>
            </w:tcBorders>
            <w:shd w:val="clear" w:color="000000" w:fill="FFFF00"/>
            <w:vAlign w:val="bottom"/>
            <w:hideMark/>
          </w:tcPr>
          <w:p w14:paraId="6D72685F" w14:textId="77777777" w:rsidR="003D0C85" w:rsidRPr="003D0C85" w:rsidRDefault="003D0C85" w:rsidP="003D0C85">
            <w:pPr>
              <w:spacing w:after="0" w:line="240" w:lineRule="auto"/>
              <w:jc w:val="right"/>
              <w:rPr>
                <w:rFonts w:ascii="Calibri" w:eastAsia="Times New Roman" w:hAnsi="Calibri" w:cs="Calibri"/>
                <w:b/>
                <w:bCs/>
                <w:sz w:val="18"/>
                <w:szCs w:val="18"/>
                <w:lang w:eastAsia="hr-HR"/>
              </w:rPr>
            </w:pPr>
            <w:r w:rsidRPr="003D0C85">
              <w:rPr>
                <w:rFonts w:ascii="Calibri" w:eastAsia="Times New Roman" w:hAnsi="Calibri" w:cs="Calibri"/>
                <w:b/>
                <w:bCs/>
                <w:sz w:val="18"/>
                <w:szCs w:val="18"/>
                <w:lang w:eastAsia="hr-HR"/>
              </w:rPr>
              <w:t>1</w:t>
            </w:r>
          </w:p>
        </w:tc>
        <w:tc>
          <w:tcPr>
            <w:tcW w:w="443" w:type="dxa"/>
            <w:tcBorders>
              <w:top w:val="nil"/>
              <w:left w:val="nil"/>
              <w:bottom w:val="single" w:sz="4" w:space="0" w:color="auto"/>
              <w:right w:val="single" w:sz="4" w:space="0" w:color="auto"/>
            </w:tcBorders>
            <w:shd w:val="clear" w:color="000000" w:fill="FFCC99"/>
            <w:noWrap/>
            <w:vAlign w:val="bottom"/>
            <w:hideMark/>
          </w:tcPr>
          <w:p w14:paraId="591B00BE" w14:textId="77777777" w:rsidR="003D0C85" w:rsidRPr="003D0C85" w:rsidRDefault="003D0C85" w:rsidP="003D0C85">
            <w:pPr>
              <w:spacing w:after="0" w:line="240" w:lineRule="auto"/>
              <w:jc w:val="right"/>
              <w:rPr>
                <w:rFonts w:ascii="Calibri" w:eastAsia="Times New Roman" w:hAnsi="Calibri" w:cs="Calibri"/>
                <w:sz w:val="18"/>
                <w:szCs w:val="18"/>
                <w:lang w:eastAsia="hr-HR"/>
              </w:rPr>
            </w:pPr>
            <w:r w:rsidRPr="003D0C85">
              <w:rPr>
                <w:rFonts w:ascii="Calibri" w:eastAsia="Times New Roman" w:hAnsi="Calibri" w:cs="Calibri"/>
                <w:sz w:val="18"/>
                <w:szCs w:val="18"/>
                <w:lang w:eastAsia="hr-HR"/>
              </w:rPr>
              <w:t>0</w:t>
            </w:r>
          </w:p>
        </w:tc>
        <w:tc>
          <w:tcPr>
            <w:tcW w:w="316" w:type="dxa"/>
            <w:tcBorders>
              <w:top w:val="nil"/>
              <w:left w:val="nil"/>
              <w:bottom w:val="single" w:sz="4" w:space="0" w:color="auto"/>
              <w:right w:val="single" w:sz="4" w:space="0" w:color="auto"/>
            </w:tcBorders>
            <w:shd w:val="clear" w:color="000000" w:fill="CCFFFF"/>
            <w:vAlign w:val="bottom"/>
            <w:hideMark/>
          </w:tcPr>
          <w:p w14:paraId="7BF85927" w14:textId="77777777" w:rsidR="003D0C85" w:rsidRPr="003D0C85" w:rsidRDefault="003D0C85" w:rsidP="003D0C85">
            <w:pPr>
              <w:spacing w:after="0" w:line="240" w:lineRule="auto"/>
              <w:jc w:val="right"/>
              <w:rPr>
                <w:rFonts w:ascii="Calibri" w:eastAsia="Times New Roman" w:hAnsi="Calibri" w:cs="Calibri"/>
                <w:sz w:val="18"/>
                <w:szCs w:val="18"/>
                <w:lang w:eastAsia="hr-HR"/>
              </w:rPr>
            </w:pPr>
            <w:r w:rsidRPr="003D0C85">
              <w:rPr>
                <w:rFonts w:ascii="Calibri" w:eastAsia="Times New Roman" w:hAnsi="Calibri" w:cs="Calibri"/>
                <w:sz w:val="18"/>
                <w:szCs w:val="18"/>
                <w:lang w:eastAsia="hr-HR"/>
              </w:rPr>
              <w:t>0</w:t>
            </w:r>
          </w:p>
        </w:tc>
        <w:tc>
          <w:tcPr>
            <w:tcW w:w="452" w:type="dxa"/>
            <w:tcBorders>
              <w:top w:val="nil"/>
              <w:left w:val="nil"/>
              <w:bottom w:val="single" w:sz="4" w:space="0" w:color="auto"/>
              <w:right w:val="single" w:sz="4" w:space="0" w:color="auto"/>
            </w:tcBorders>
            <w:shd w:val="clear" w:color="000000" w:fill="CCFFFF"/>
            <w:vAlign w:val="bottom"/>
            <w:hideMark/>
          </w:tcPr>
          <w:p w14:paraId="01812F19" w14:textId="77777777" w:rsidR="003D0C85" w:rsidRPr="003D0C85" w:rsidRDefault="003D0C85" w:rsidP="003D0C85">
            <w:pPr>
              <w:spacing w:after="0" w:line="240" w:lineRule="auto"/>
              <w:jc w:val="right"/>
              <w:rPr>
                <w:rFonts w:ascii="Calibri" w:eastAsia="Times New Roman" w:hAnsi="Calibri" w:cs="Calibri"/>
                <w:sz w:val="18"/>
                <w:szCs w:val="18"/>
                <w:lang w:eastAsia="hr-HR"/>
              </w:rPr>
            </w:pPr>
            <w:r w:rsidRPr="003D0C85">
              <w:rPr>
                <w:rFonts w:ascii="Calibri" w:eastAsia="Times New Roman" w:hAnsi="Calibri" w:cs="Calibri"/>
                <w:sz w:val="18"/>
                <w:szCs w:val="18"/>
                <w:lang w:eastAsia="hr-HR"/>
              </w:rPr>
              <w:t>0</w:t>
            </w:r>
          </w:p>
        </w:tc>
        <w:tc>
          <w:tcPr>
            <w:tcW w:w="491" w:type="dxa"/>
            <w:gridSpan w:val="2"/>
            <w:tcBorders>
              <w:top w:val="nil"/>
              <w:left w:val="nil"/>
              <w:bottom w:val="single" w:sz="4" w:space="0" w:color="auto"/>
              <w:right w:val="single" w:sz="4" w:space="0" w:color="auto"/>
            </w:tcBorders>
            <w:shd w:val="clear" w:color="000000" w:fill="FFFF99"/>
            <w:noWrap/>
            <w:vAlign w:val="bottom"/>
            <w:hideMark/>
          </w:tcPr>
          <w:p w14:paraId="53F8845C" w14:textId="77777777" w:rsidR="003D0C85" w:rsidRPr="003D0C85" w:rsidRDefault="003D0C85" w:rsidP="003D0C85">
            <w:pPr>
              <w:spacing w:after="0" w:line="240" w:lineRule="auto"/>
              <w:jc w:val="right"/>
              <w:rPr>
                <w:rFonts w:ascii="Calibri" w:eastAsia="Times New Roman" w:hAnsi="Calibri" w:cs="Calibri"/>
                <w:sz w:val="18"/>
                <w:szCs w:val="18"/>
                <w:lang w:eastAsia="hr-HR"/>
              </w:rPr>
            </w:pPr>
            <w:r w:rsidRPr="003D0C85">
              <w:rPr>
                <w:rFonts w:ascii="Calibri" w:eastAsia="Times New Roman" w:hAnsi="Calibri" w:cs="Calibri"/>
                <w:sz w:val="18"/>
                <w:szCs w:val="18"/>
                <w:lang w:eastAsia="hr-HR"/>
              </w:rPr>
              <w:t>0</w:t>
            </w:r>
          </w:p>
        </w:tc>
        <w:tc>
          <w:tcPr>
            <w:tcW w:w="447" w:type="dxa"/>
            <w:tcBorders>
              <w:top w:val="nil"/>
              <w:left w:val="nil"/>
              <w:bottom w:val="single" w:sz="4" w:space="0" w:color="auto"/>
              <w:right w:val="single" w:sz="4" w:space="0" w:color="auto"/>
            </w:tcBorders>
            <w:shd w:val="clear" w:color="000000" w:fill="FFFF99"/>
            <w:noWrap/>
            <w:vAlign w:val="bottom"/>
            <w:hideMark/>
          </w:tcPr>
          <w:p w14:paraId="7FFA92B0" w14:textId="77777777" w:rsidR="003D0C85" w:rsidRPr="003D0C85" w:rsidRDefault="003D0C85" w:rsidP="003D0C85">
            <w:pPr>
              <w:spacing w:after="0" w:line="240" w:lineRule="auto"/>
              <w:jc w:val="right"/>
              <w:rPr>
                <w:rFonts w:ascii="Calibri" w:eastAsia="Times New Roman" w:hAnsi="Calibri" w:cs="Calibri"/>
                <w:sz w:val="18"/>
                <w:szCs w:val="18"/>
                <w:lang w:eastAsia="hr-HR"/>
              </w:rPr>
            </w:pPr>
            <w:r w:rsidRPr="003D0C85">
              <w:rPr>
                <w:rFonts w:ascii="Calibri" w:eastAsia="Times New Roman" w:hAnsi="Calibri" w:cs="Calibri"/>
                <w:sz w:val="18"/>
                <w:szCs w:val="18"/>
                <w:lang w:eastAsia="hr-HR"/>
              </w:rPr>
              <w:t>0</w:t>
            </w:r>
          </w:p>
        </w:tc>
        <w:tc>
          <w:tcPr>
            <w:tcW w:w="495" w:type="dxa"/>
            <w:tcBorders>
              <w:top w:val="nil"/>
              <w:left w:val="nil"/>
              <w:bottom w:val="single" w:sz="4" w:space="0" w:color="auto"/>
              <w:right w:val="single" w:sz="4" w:space="0" w:color="auto"/>
            </w:tcBorders>
            <w:shd w:val="clear" w:color="000000" w:fill="FFFF99"/>
            <w:noWrap/>
            <w:vAlign w:val="bottom"/>
            <w:hideMark/>
          </w:tcPr>
          <w:p w14:paraId="4ADA6A5D" w14:textId="77777777" w:rsidR="003D0C85" w:rsidRPr="003D0C85" w:rsidRDefault="003D0C85" w:rsidP="003D0C85">
            <w:pPr>
              <w:spacing w:after="0" w:line="240" w:lineRule="auto"/>
              <w:jc w:val="right"/>
              <w:rPr>
                <w:rFonts w:ascii="Calibri" w:eastAsia="Times New Roman" w:hAnsi="Calibri" w:cs="Calibri"/>
                <w:sz w:val="18"/>
                <w:szCs w:val="18"/>
                <w:lang w:eastAsia="hr-HR"/>
              </w:rPr>
            </w:pPr>
            <w:r w:rsidRPr="003D0C85">
              <w:rPr>
                <w:rFonts w:ascii="Calibri" w:eastAsia="Times New Roman" w:hAnsi="Calibri" w:cs="Calibri"/>
                <w:sz w:val="18"/>
                <w:szCs w:val="18"/>
                <w:lang w:eastAsia="hr-HR"/>
              </w:rPr>
              <w:t>0</w:t>
            </w:r>
          </w:p>
        </w:tc>
        <w:tc>
          <w:tcPr>
            <w:tcW w:w="451" w:type="dxa"/>
            <w:tcBorders>
              <w:top w:val="nil"/>
              <w:left w:val="nil"/>
              <w:bottom w:val="single" w:sz="4" w:space="0" w:color="auto"/>
              <w:right w:val="single" w:sz="4" w:space="0" w:color="auto"/>
            </w:tcBorders>
            <w:shd w:val="clear" w:color="000000" w:fill="FFFF99"/>
            <w:noWrap/>
            <w:vAlign w:val="bottom"/>
            <w:hideMark/>
          </w:tcPr>
          <w:p w14:paraId="382F5883" w14:textId="77777777" w:rsidR="003D0C85" w:rsidRPr="003D0C85" w:rsidRDefault="003D0C85" w:rsidP="003D0C85">
            <w:pPr>
              <w:spacing w:after="0" w:line="240" w:lineRule="auto"/>
              <w:jc w:val="right"/>
              <w:rPr>
                <w:rFonts w:ascii="Calibri" w:eastAsia="Times New Roman" w:hAnsi="Calibri" w:cs="Calibri"/>
                <w:sz w:val="18"/>
                <w:szCs w:val="18"/>
                <w:lang w:eastAsia="hr-HR"/>
              </w:rPr>
            </w:pPr>
            <w:r w:rsidRPr="003D0C85">
              <w:rPr>
                <w:rFonts w:ascii="Calibri" w:eastAsia="Times New Roman" w:hAnsi="Calibri" w:cs="Calibri"/>
                <w:sz w:val="18"/>
                <w:szCs w:val="18"/>
                <w:lang w:eastAsia="hr-HR"/>
              </w:rPr>
              <w:t>0</w:t>
            </w:r>
          </w:p>
        </w:tc>
        <w:tc>
          <w:tcPr>
            <w:tcW w:w="632" w:type="dxa"/>
            <w:gridSpan w:val="2"/>
            <w:tcBorders>
              <w:top w:val="nil"/>
              <w:left w:val="nil"/>
              <w:bottom w:val="single" w:sz="4" w:space="0" w:color="auto"/>
              <w:right w:val="single" w:sz="4" w:space="0" w:color="auto"/>
            </w:tcBorders>
            <w:shd w:val="clear" w:color="000000" w:fill="FFFF99"/>
            <w:noWrap/>
            <w:vAlign w:val="bottom"/>
            <w:hideMark/>
          </w:tcPr>
          <w:p w14:paraId="0B63748E" w14:textId="77777777" w:rsidR="003D0C85" w:rsidRPr="003D0C85" w:rsidRDefault="003D0C85" w:rsidP="003D0C85">
            <w:pPr>
              <w:spacing w:after="0" w:line="240" w:lineRule="auto"/>
              <w:jc w:val="right"/>
              <w:rPr>
                <w:rFonts w:ascii="Calibri" w:eastAsia="Times New Roman" w:hAnsi="Calibri" w:cs="Calibri"/>
                <w:sz w:val="18"/>
                <w:szCs w:val="18"/>
                <w:lang w:eastAsia="hr-HR"/>
              </w:rPr>
            </w:pPr>
            <w:r w:rsidRPr="003D0C85">
              <w:rPr>
                <w:rFonts w:ascii="Calibri" w:eastAsia="Times New Roman" w:hAnsi="Calibri" w:cs="Calibri"/>
                <w:sz w:val="18"/>
                <w:szCs w:val="18"/>
                <w:lang w:eastAsia="hr-HR"/>
              </w:rPr>
              <w:t>0</w:t>
            </w:r>
          </w:p>
        </w:tc>
        <w:tc>
          <w:tcPr>
            <w:tcW w:w="447" w:type="dxa"/>
            <w:tcBorders>
              <w:top w:val="nil"/>
              <w:left w:val="nil"/>
              <w:bottom w:val="single" w:sz="4" w:space="0" w:color="auto"/>
              <w:right w:val="single" w:sz="4" w:space="0" w:color="auto"/>
            </w:tcBorders>
            <w:shd w:val="clear" w:color="000000" w:fill="FFFF99"/>
            <w:noWrap/>
            <w:vAlign w:val="bottom"/>
            <w:hideMark/>
          </w:tcPr>
          <w:p w14:paraId="017B32B2" w14:textId="77777777" w:rsidR="003D0C85" w:rsidRPr="003D0C85" w:rsidRDefault="003D0C85" w:rsidP="003D0C85">
            <w:pPr>
              <w:spacing w:after="0" w:line="240" w:lineRule="auto"/>
              <w:jc w:val="right"/>
              <w:rPr>
                <w:rFonts w:ascii="Calibri" w:eastAsia="Times New Roman" w:hAnsi="Calibri" w:cs="Calibri"/>
                <w:sz w:val="18"/>
                <w:szCs w:val="18"/>
                <w:lang w:eastAsia="hr-HR"/>
              </w:rPr>
            </w:pPr>
            <w:r w:rsidRPr="003D0C85">
              <w:rPr>
                <w:rFonts w:ascii="Calibri" w:eastAsia="Times New Roman" w:hAnsi="Calibri" w:cs="Calibri"/>
                <w:sz w:val="18"/>
                <w:szCs w:val="18"/>
                <w:lang w:eastAsia="hr-HR"/>
              </w:rPr>
              <w:t>0</w:t>
            </w:r>
          </w:p>
        </w:tc>
        <w:tc>
          <w:tcPr>
            <w:tcW w:w="543" w:type="dxa"/>
            <w:tcBorders>
              <w:top w:val="nil"/>
              <w:left w:val="nil"/>
              <w:bottom w:val="single" w:sz="4" w:space="0" w:color="auto"/>
              <w:right w:val="single" w:sz="4" w:space="0" w:color="auto"/>
            </w:tcBorders>
            <w:shd w:val="clear" w:color="000000" w:fill="FFFF99"/>
            <w:noWrap/>
            <w:vAlign w:val="bottom"/>
            <w:hideMark/>
          </w:tcPr>
          <w:p w14:paraId="6E549899" w14:textId="77777777" w:rsidR="003D0C85" w:rsidRPr="003D0C85" w:rsidRDefault="003D0C85" w:rsidP="003D0C85">
            <w:pPr>
              <w:spacing w:after="0" w:line="240" w:lineRule="auto"/>
              <w:jc w:val="right"/>
              <w:rPr>
                <w:rFonts w:ascii="Calibri" w:eastAsia="Times New Roman" w:hAnsi="Calibri" w:cs="Calibri"/>
                <w:sz w:val="18"/>
                <w:szCs w:val="18"/>
                <w:lang w:eastAsia="hr-HR"/>
              </w:rPr>
            </w:pPr>
            <w:r w:rsidRPr="003D0C85">
              <w:rPr>
                <w:rFonts w:ascii="Calibri" w:eastAsia="Times New Roman" w:hAnsi="Calibri" w:cs="Calibri"/>
                <w:sz w:val="18"/>
                <w:szCs w:val="18"/>
                <w:lang w:eastAsia="hr-HR"/>
              </w:rPr>
              <w:t>0</w:t>
            </w:r>
          </w:p>
        </w:tc>
        <w:tc>
          <w:tcPr>
            <w:tcW w:w="447" w:type="dxa"/>
            <w:tcBorders>
              <w:top w:val="nil"/>
              <w:left w:val="nil"/>
              <w:bottom w:val="single" w:sz="4" w:space="0" w:color="auto"/>
              <w:right w:val="single" w:sz="4" w:space="0" w:color="auto"/>
            </w:tcBorders>
            <w:shd w:val="clear" w:color="000000" w:fill="FFFF99"/>
            <w:noWrap/>
            <w:vAlign w:val="bottom"/>
            <w:hideMark/>
          </w:tcPr>
          <w:p w14:paraId="3E6F1FCB" w14:textId="77777777" w:rsidR="003D0C85" w:rsidRPr="003D0C85" w:rsidRDefault="003D0C85" w:rsidP="003D0C85">
            <w:pPr>
              <w:spacing w:after="0" w:line="240" w:lineRule="auto"/>
              <w:jc w:val="right"/>
              <w:rPr>
                <w:rFonts w:ascii="Calibri" w:eastAsia="Times New Roman" w:hAnsi="Calibri" w:cs="Calibri"/>
                <w:sz w:val="18"/>
                <w:szCs w:val="18"/>
                <w:lang w:eastAsia="hr-HR"/>
              </w:rPr>
            </w:pPr>
            <w:r w:rsidRPr="003D0C85">
              <w:rPr>
                <w:rFonts w:ascii="Calibri" w:eastAsia="Times New Roman" w:hAnsi="Calibri" w:cs="Calibri"/>
                <w:sz w:val="18"/>
                <w:szCs w:val="18"/>
                <w:lang w:eastAsia="hr-HR"/>
              </w:rPr>
              <w:t>0</w:t>
            </w:r>
          </w:p>
        </w:tc>
        <w:tc>
          <w:tcPr>
            <w:tcW w:w="543" w:type="dxa"/>
            <w:tcBorders>
              <w:top w:val="nil"/>
              <w:left w:val="nil"/>
              <w:bottom w:val="single" w:sz="4" w:space="0" w:color="auto"/>
              <w:right w:val="single" w:sz="4" w:space="0" w:color="auto"/>
            </w:tcBorders>
            <w:shd w:val="clear" w:color="000000" w:fill="FFFF99"/>
            <w:noWrap/>
            <w:vAlign w:val="bottom"/>
            <w:hideMark/>
          </w:tcPr>
          <w:p w14:paraId="482377A7" w14:textId="77777777" w:rsidR="003D0C85" w:rsidRPr="003D0C85" w:rsidRDefault="003D0C85" w:rsidP="003D0C85">
            <w:pPr>
              <w:spacing w:after="0" w:line="240" w:lineRule="auto"/>
              <w:jc w:val="right"/>
              <w:rPr>
                <w:rFonts w:ascii="Calibri" w:eastAsia="Times New Roman" w:hAnsi="Calibri" w:cs="Calibri"/>
                <w:sz w:val="18"/>
                <w:szCs w:val="18"/>
                <w:lang w:eastAsia="hr-HR"/>
              </w:rPr>
            </w:pPr>
            <w:r w:rsidRPr="003D0C85">
              <w:rPr>
                <w:rFonts w:ascii="Calibri" w:eastAsia="Times New Roman" w:hAnsi="Calibri" w:cs="Calibri"/>
                <w:sz w:val="18"/>
                <w:szCs w:val="18"/>
                <w:lang w:eastAsia="hr-HR"/>
              </w:rPr>
              <w:t>0</w:t>
            </w:r>
          </w:p>
        </w:tc>
        <w:tc>
          <w:tcPr>
            <w:tcW w:w="356" w:type="dxa"/>
            <w:tcBorders>
              <w:top w:val="nil"/>
              <w:left w:val="nil"/>
              <w:bottom w:val="single" w:sz="4" w:space="0" w:color="auto"/>
              <w:right w:val="single" w:sz="4" w:space="0" w:color="auto"/>
            </w:tcBorders>
            <w:shd w:val="clear" w:color="000000" w:fill="FFFF99"/>
            <w:noWrap/>
            <w:vAlign w:val="bottom"/>
            <w:hideMark/>
          </w:tcPr>
          <w:p w14:paraId="13B21165" w14:textId="77777777" w:rsidR="003D0C85" w:rsidRPr="003D0C85" w:rsidRDefault="003D0C85" w:rsidP="003D0C85">
            <w:pPr>
              <w:spacing w:after="0" w:line="240" w:lineRule="auto"/>
              <w:jc w:val="right"/>
              <w:rPr>
                <w:rFonts w:ascii="Calibri" w:eastAsia="Times New Roman" w:hAnsi="Calibri" w:cs="Calibri"/>
                <w:sz w:val="18"/>
                <w:szCs w:val="18"/>
                <w:lang w:eastAsia="hr-HR"/>
              </w:rPr>
            </w:pPr>
            <w:r w:rsidRPr="003D0C85">
              <w:rPr>
                <w:rFonts w:ascii="Calibri" w:eastAsia="Times New Roman" w:hAnsi="Calibri" w:cs="Calibri"/>
                <w:sz w:val="18"/>
                <w:szCs w:val="18"/>
                <w:lang w:eastAsia="hr-HR"/>
              </w:rPr>
              <w:t>0</w:t>
            </w:r>
          </w:p>
        </w:tc>
        <w:tc>
          <w:tcPr>
            <w:tcW w:w="447" w:type="dxa"/>
            <w:gridSpan w:val="2"/>
            <w:tcBorders>
              <w:top w:val="nil"/>
              <w:left w:val="nil"/>
              <w:bottom w:val="single" w:sz="4" w:space="0" w:color="auto"/>
              <w:right w:val="single" w:sz="4" w:space="0" w:color="auto"/>
            </w:tcBorders>
            <w:shd w:val="clear" w:color="000000" w:fill="FF9900"/>
            <w:noWrap/>
            <w:vAlign w:val="bottom"/>
            <w:hideMark/>
          </w:tcPr>
          <w:p w14:paraId="31520D5C" w14:textId="77777777" w:rsidR="003D0C85" w:rsidRPr="003D0C85" w:rsidRDefault="003D0C85" w:rsidP="003D0C85">
            <w:pPr>
              <w:spacing w:after="0" w:line="240" w:lineRule="auto"/>
              <w:jc w:val="right"/>
              <w:rPr>
                <w:rFonts w:ascii="Calibri" w:eastAsia="Times New Roman" w:hAnsi="Calibri" w:cs="Calibri"/>
                <w:sz w:val="18"/>
                <w:szCs w:val="18"/>
                <w:lang w:eastAsia="hr-HR"/>
              </w:rPr>
            </w:pPr>
            <w:r w:rsidRPr="003D0C85">
              <w:rPr>
                <w:rFonts w:ascii="Calibri" w:eastAsia="Times New Roman" w:hAnsi="Calibri" w:cs="Calibri"/>
                <w:sz w:val="18"/>
                <w:szCs w:val="18"/>
                <w:lang w:eastAsia="hr-HR"/>
              </w:rPr>
              <w:t>0</w:t>
            </w:r>
          </w:p>
        </w:tc>
        <w:tc>
          <w:tcPr>
            <w:tcW w:w="447" w:type="dxa"/>
            <w:tcBorders>
              <w:top w:val="nil"/>
              <w:left w:val="nil"/>
              <w:bottom w:val="single" w:sz="4" w:space="0" w:color="auto"/>
              <w:right w:val="single" w:sz="4" w:space="0" w:color="auto"/>
            </w:tcBorders>
            <w:shd w:val="clear" w:color="000000" w:fill="FF9900"/>
            <w:noWrap/>
            <w:vAlign w:val="bottom"/>
            <w:hideMark/>
          </w:tcPr>
          <w:p w14:paraId="33D748B5" w14:textId="77777777" w:rsidR="003D0C85" w:rsidRPr="003D0C85" w:rsidRDefault="003D0C85" w:rsidP="003D0C85">
            <w:pPr>
              <w:spacing w:after="0" w:line="240" w:lineRule="auto"/>
              <w:jc w:val="right"/>
              <w:rPr>
                <w:rFonts w:ascii="Calibri" w:eastAsia="Times New Roman" w:hAnsi="Calibri" w:cs="Calibri"/>
                <w:sz w:val="18"/>
                <w:szCs w:val="18"/>
                <w:lang w:eastAsia="hr-HR"/>
              </w:rPr>
            </w:pPr>
            <w:r w:rsidRPr="003D0C85">
              <w:rPr>
                <w:rFonts w:ascii="Calibri" w:eastAsia="Times New Roman" w:hAnsi="Calibri" w:cs="Calibri"/>
                <w:sz w:val="18"/>
                <w:szCs w:val="18"/>
                <w:lang w:eastAsia="hr-HR"/>
              </w:rPr>
              <w:t>0</w:t>
            </w:r>
          </w:p>
        </w:tc>
        <w:tc>
          <w:tcPr>
            <w:tcW w:w="447" w:type="dxa"/>
            <w:tcBorders>
              <w:top w:val="nil"/>
              <w:left w:val="nil"/>
              <w:bottom w:val="single" w:sz="4" w:space="0" w:color="auto"/>
              <w:right w:val="single" w:sz="4" w:space="0" w:color="auto"/>
            </w:tcBorders>
            <w:shd w:val="clear" w:color="000000" w:fill="FF9900"/>
            <w:noWrap/>
            <w:vAlign w:val="bottom"/>
            <w:hideMark/>
          </w:tcPr>
          <w:p w14:paraId="650D09C4" w14:textId="77777777" w:rsidR="003D0C85" w:rsidRPr="003D0C85" w:rsidRDefault="003D0C85" w:rsidP="003D0C85">
            <w:pPr>
              <w:spacing w:after="0" w:line="240" w:lineRule="auto"/>
              <w:jc w:val="right"/>
              <w:rPr>
                <w:rFonts w:ascii="Calibri" w:eastAsia="Times New Roman" w:hAnsi="Calibri" w:cs="Calibri"/>
                <w:sz w:val="18"/>
                <w:szCs w:val="18"/>
                <w:lang w:eastAsia="hr-HR"/>
              </w:rPr>
            </w:pPr>
            <w:r w:rsidRPr="003D0C85">
              <w:rPr>
                <w:rFonts w:ascii="Calibri" w:eastAsia="Times New Roman" w:hAnsi="Calibri" w:cs="Calibri"/>
                <w:sz w:val="18"/>
                <w:szCs w:val="18"/>
                <w:lang w:eastAsia="hr-HR"/>
              </w:rPr>
              <w:t>0</w:t>
            </w:r>
          </w:p>
        </w:tc>
        <w:tc>
          <w:tcPr>
            <w:tcW w:w="475" w:type="dxa"/>
            <w:tcBorders>
              <w:top w:val="nil"/>
              <w:left w:val="nil"/>
              <w:bottom w:val="single" w:sz="4" w:space="0" w:color="auto"/>
              <w:right w:val="single" w:sz="4" w:space="0" w:color="auto"/>
            </w:tcBorders>
            <w:shd w:val="clear" w:color="auto" w:fill="auto"/>
            <w:vAlign w:val="bottom"/>
            <w:hideMark/>
          </w:tcPr>
          <w:p w14:paraId="403C7F04" w14:textId="77777777" w:rsidR="003D0C85" w:rsidRPr="003D0C85" w:rsidRDefault="003D0C85" w:rsidP="003D0C85">
            <w:pPr>
              <w:spacing w:after="0" w:line="240" w:lineRule="auto"/>
              <w:jc w:val="right"/>
              <w:rPr>
                <w:rFonts w:ascii="Calibri" w:eastAsia="Times New Roman" w:hAnsi="Calibri" w:cs="Calibri"/>
                <w:b/>
                <w:bCs/>
                <w:sz w:val="18"/>
                <w:szCs w:val="18"/>
                <w:lang w:eastAsia="hr-HR"/>
              </w:rPr>
            </w:pPr>
            <w:r w:rsidRPr="003D0C85">
              <w:rPr>
                <w:rFonts w:ascii="Calibri" w:eastAsia="Times New Roman" w:hAnsi="Calibri" w:cs="Calibri"/>
                <w:b/>
                <w:bCs/>
                <w:sz w:val="18"/>
                <w:szCs w:val="18"/>
                <w:lang w:eastAsia="hr-HR"/>
              </w:rPr>
              <w:t>0</w:t>
            </w:r>
          </w:p>
        </w:tc>
        <w:tc>
          <w:tcPr>
            <w:tcW w:w="447" w:type="dxa"/>
            <w:gridSpan w:val="2"/>
            <w:tcBorders>
              <w:top w:val="nil"/>
              <w:left w:val="nil"/>
              <w:bottom w:val="single" w:sz="4" w:space="0" w:color="auto"/>
              <w:right w:val="single" w:sz="4" w:space="0" w:color="auto"/>
            </w:tcBorders>
            <w:shd w:val="clear" w:color="000000" w:fill="FFFF00"/>
            <w:noWrap/>
            <w:vAlign w:val="bottom"/>
            <w:hideMark/>
          </w:tcPr>
          <w:p w14:paraId="6BE19BFC" w14:textId="77777777" w:rsidR="003D0C85" w:rsidRPr="003D0C85" w:rsidRDefault="003D0C85" w:rsidP="003D0C85">
            <w:pPr>
              <w:spacing w:after="0" w:line="240" w:lineRule="auto"/>
              <w:jc w:val="right"/>
              <w:rPr>
                <w:rFonts w:ascii="Calibri" w:eastAsia="Times New Roman" w:hAnsi="Calibri" w:cs="Calibri"/>
                <w:b/>
                <w:bCs/>
                <w:sz w:val="18"/>
                <w:szCs w:val="18"/>
                <w:lang w:eastAsia="hr-HR"/>
              </w:rPr>
            </w:pPr>
            <w:r w:rsidRPr="003D0C85">
              <w:rPr>
                <w:rFonts w:ascii="Calibri" w:eastAsia="Times New Roman" w:hAnsi="Calibri" w:cs="Calibri"/>
                <w:b/>
                <w:bCs/>
                <w:sz w:val="18"/>
                <w:szCs w:val="18"/>
                <w:lang w:eastAsia="hr-HR"/>
              </w:rPr>
              <w:t>0</w:t>
            </w:r>
          </w:p>
        </w:tc>
        <w:tc>
          <w:tcPr>
            <w:tcW w:w="447" w:type="dxa"/>
            <w:tcBorders>
              <w:top w:val="nil"/>
              <w:left w:val="nil"/>
              <w:bottom w:val="single" w:sz="4" w:space="0" w:color="auto"/>
              <w:right w:val="single" w:sz="4" w:space="0" w:color="auto"/>
            </w:tcBorders>
            <w:shd w:val="clear" w:color="000000" w:fill="FFFF00"/>
            <w:noWrap/>
            <w:vAlign w:val="bottom"/>
            <w:hideMark/>
          </w:tcPr>
          <w:p w14:paraId="492A0317" w14:textId="77777777" w:rsidR="003D0C85" w:rsidRPr="003D0C85" w:rsidRDefault="003D0C85" w:rsidP="003D0C85">
            <w:pPr>
              <w:spacing w:after="0" w:line="240" w:lineRule="auto"/>
              <w:jc w:val="right"/>
              <w:rPr>
                <w:rFonts w:ascii="Calibri" w:eastAsia="Times New Roman" w:hAnsi="Calibri" w:cs="Calibri"/>
                <w:b/>
                <w:bCs/>
                <w:sz w:val="18"/>
                <w:szCs w:val="18"/>
                <w:lang w:eastAsia="hr-HR"/>
              </w:rPr>
            </w:pPr>
            <w:r w:rsidRPr="003D0C85">
              <w:rPr>
                <w:rFonts w:ascii="Calibri" w:eastAsia="Times New Roman" w:hAnsi="Calibri" w:cs="Calibri"/>
                <w:b/>
                <w:bCs/>
                <w:sz w:val="18"/>
                <w:szCs w:val="18"/>
                <w:lang w:eastAsia="hr-HR"/>
              </w:rPr>
              <w:t>0</w:t>
            </w:r>
          </w:p>
        </w:tc>
        <w:tc>
          <w:tcPr>
            <w:tcW w:w="521" w:type="dxa"/>
            <w:tcBorders>
              <w:top w:val="nil"/>
              <w:left w:val="nil"/>
              <w:bottom w:val="single" w:sz="4" w:space="0" w:color="auto"/>
              <w:right w:val="single" w:sz="4" w:space="0" w:color="auto"/>
            </w:tcBorders>
            <w:shd w:val="clear" w:color="000000" w:fill="FFFF00"/>
            <w:noWrap/>
            <w:vAlign w:val="bottom"/>
            <w:hideMark/>
          </w:tcPr>
          <w:p w14:paraId="6BC55C99" w14:textId="77777777" w:rsidR="003D0C85" w:rsidRPr="003D0C85" w:rsidRDefault="003D0C85" w:rsidP="003D0C85">
            <w:pPr>
              <w:spacing w:after="0" w:line="240" w:lineRule="auto"/>
              <w:jc w:val="right"/>
              <w:rPr>
                <w:rFonts w:ascii="Calibri" w:eastAsia="Times New Roman" w:hAnsi="Calibri" w:cs="Calibri"/>
                <w:b/>
                <w:bCs/>
                <w:sz w:val="18"/>
                <w:szCs w:val="18"/>
                <w:lang w:eastAsia="hr-HR"/>
              </w:rPr>
            </w:pPr>
            <w:r w:rsidRPr="003D0C85">
              <w:rPr>
                <w:rFonts w:ascii="Calibri" w:eastAsia="Times New Roman" w:hAnsi="Calibri" w:cs="Calibri"/>
                <w:b/>
                <w:bCs/>
                <w:sz w:val="18"/>
                <w:szCs w:val="18"/>
                <w:lang w:eastAsia="hr-HR"/>
              </w:rPr>
              <w:t>0</w:t>
            </w:r>
          </w:p>
        </w:tc>
        <w:tc>
          <w:tcPr>
            <w:tcW w:w="446" w:type="dxa"/>
            <w:tcBorders>
              <w:top w:val="nil"/>
              <w:left w:val="nil"/>
              <w:bottom w:val="single" w:sz="4" w:space="0" w:color="auto"/>
              <w:right w:val="single" w:sz="4" w:space="0" w:color="auto"/>
            </w:tcBorders>
            <w:shd w:val="clear" w:color="auto" w:fill="auto"/>
            <w:vAlign w:val="bottom"/>
            <w:hideMark/>
          </w:tcPr>
          <w:p w14:paraId="0D7E5238" w14:textId="77777777" w:rsidR="003D0C85" w:rsidRPr="003D0C85" w:rsidRDefault="003D0C85" w:rsidP="003D0C85">
            <w:pPr>
              <w:spacing w:after="0" w:line="240" w:lineRule="auto"/>
              <w:jc w:val="right"/>
              <w:rPr>
                <w:rFonts w:ascii="Calibri" w:eastAsia="Times New Roman" w:hAnsi="Calibri" w:cs="Calibri"/>
                <w:b/>
                <w:bCs/>
                <w:sz w:val="18"/>
                <w:szCs w:val="18"/>
                <w:lang w:eastAsia="hr-HR"/>
              </w:rPr>
            </w:pPr>
            <w:r w:rsidRPr="003D0C85">
              <w:rPr>
                <w:rFonts w:ascii="Calibri" w:eastAsia="Times New Roman" w:hAnsi="Calibri" w:cs="Calibri"/>
                <w:b/>
                <w:bCs/>
                <w:sz w:val="18"/>
                <w:szCs w:val="18"/>
                <w:lang w:eastAsia="hr-HR"/>
              </w:rPr>
              <w:t>0</w:t>
            </w:r>
          </w:p>
        </w:tc>
        <w:tc>
          <w:tcPr>
            <w:tcW w:w="792" w:type="dxa"/>
            <w:gridSpan w:val="2"/>
            <w:tcBorders>
              <w:top w:val="nil"/>
              <w:left w:val="nil"/>
              <w:bottom w:val="single" w:sz="4" w:space="0" w:color="auto"/>
              <w:right w:val="single" w:sz="4" w:space="0" w:color="auto"/>
            </w:tcBorders>
            <w:shd w:val="clear" w:color="000000" w:fill="FFFF00"/>
            <w:vAlign w:val="bottom"/>
            <w:hideMark/>
          </w:tcPr>
          <w:p w14:paraId="4224F2E7" w14:textId="77777777" w:rsidR="003D0C85" w:rsidRPr="003D0C85" w:rsidRDefault="003D0C85" w:rsidP="003D0C85">
            <w:pPr>
              <w:spacing w:after="0" w:line="240" w:lineRule="auto"/>
              <w:jc w:val="right"/>
              <w:rPr>
                <w:rFonts w:ascii="Calibri" w:eastAsia="Times New Roman" w:hAnsi="Calibri" w:cs="Calibri"/>
                <w:b/>
                <w:bCs/>
                <w:sz w:val="18"/>
                <w:szCs w:val="18"/>
                <w:lang w:eastAsia="hr-HR"/>
              </w:rPr>
            </w:pPr>
            <w:r w:rsidRPr="003D0C85">
              <w:rPr>
                <w:rFonts w:ascii="Calibri" w:eastAsia="Times New Roman" w:hAnsi="Calibri" w:cs="Calibri"/>
                <w:b/>
                <w:bCs/>
                <w:sz w:val="18"/>
                <w:szCs w:val="18"/>
                <w:lang w:eastAsia="hr-HR"/>
              </w:rPr>
              <w:t>1</w:t>
            </w:r>
          </w:p>
        </w:tc>
        <w:tc>
          <w:tcPr>
            <w:tcW w:w="507" w:type="dxa"/>
            <w:gridSpan w:val="2"/>
            <w:tcBorders>
              <w:top w:val="nil"/>
              <w:left w:val="nil"/>
              <w:bottom w:val="single" w:sz="4" w:space="0" w:color="auto"/>
              <w:right w:val="single" w:sz="4" w:space="0" w:color="auto"/>
            </w:tcBorders>
            <w:shd w:val="clear" w:color="000000" w:fill="FF9900"/>
            <w:noWrap/>
            <w:vAlign w:val="bottom"/>
            <w:hideMark/>
          </w:tcPr>
          <w:p w14:paraId="1E87697A" w14:textId="77777777" w:rsidR="003D0C85" w:rsidRPr="003D0C85" w:rsidRDefault="003D0C85" w:rsidP="003D0C85">
            <w:pPr>
              <w:spacing w:after="0" w:line="240" w:lineRule="auto"/>
              <w:jc w:val="right"/>
              <w:rPr>
                <w:rFonts w:ascii="Calibri" w:eastAsia="Times New Roman" w:hAnsi="Calibri" w:cs="Calibri"/>
                <w:sz w:val="18"/>
                <w:szCs w:val="18"/>
                <w:lang w:eastAsia="hr-HR"/>
              </w:rPr>
            </w:pPr>
            <w:r w:rsidRPr="003D0C85">
              <w:rPr>
                <w:rFonts w:ascii="Calibri" w:eastAsia="Times New Roman" w:hAnsi="Calibri" w:cs="Calibri"/>
                <w:sz w:val="18"/>
                <w:szCs w:val="18"/>
                <w:lang w:eastAsia="hr-HR"/>
              </w:rPr>
              <w:t>0</w:t>
            </w:r>
          </w:p>
        </w:tc>
        <w:tc>
          <w:tcPr>
            <w:tcW w:w="244" w:type="dxa"/>
            <w:tcBorders>
              <w:top w:val="nil"/>
              <w:left w:val="nil"/>
              <w:bottom w:val="single" w:sz="4" w:space="0" w:color="auto"/>
              <w:right w:val="single" w:sz="4" w:space="0" w:color="auto"/>
            </w:tcBorders>
            <w:shd w:val="clear" w:color="000000" w:fill="CCFFFF"/>
            <w:noWrap/>
            <w:vAlign w:val="bottom"/>
            <w:hideMark/>
          </w:tcPr>
          <w:p w14:paraId="4BE633D4" w14:textId="77777777" w:rsidR="003D0C85" w:rsidRPr="003D0C85" w:rsidRDefault="003D0C85" w:rsidP="003D0C85">
            <w:pPr>
              <w:spacing w:after="0" w:line="240" w:lineRule="auto"/>
              <w:jc w:val="right"/>
              <w:rPr>
                <w:rFonts w:ascii="Calibri" w:eastAsia="Times New Roman" w:hAnsi="Calibri" w:cs="Calibri"/>
                <w:sz w:val="18"/>
                <w:szCs w:val="18"/>
                <w:lang w:eastAsia="hr-HR"/>
              </w:rPr>
            </w:pPr>
            <w:r w:rsidRPr="003D0C85">
              <w:rPr>
                <w:rFonts w:ascii="Calibri" w:eastAsia="Times New Roman" w:hAnsi="Calibri" w:cs="Calibri"/>
                <w:sz w:val="18"/>
                <w:szCs w:val="18"/>
                <w:lang w:eastAsia="hr-HR"/>
              </w:rPr>
              <w:t>0</w:t>
            </w:r>
          </w:p>
        </w:tc>
        <w:tc>
          <w:tcPr>
            <w:tcW w:w="425" w:type="dxa"/>
            <w:tcBorders>
              <w:top w:val="nil"/>
              <w:left w:val="nil"/>
              <w:bottom w:val="single" w:sz="4" w:space="0" w:color="auto"/>
              <w:right w:val="single" w:sz="4" w:space="0" w:color="auto"/>
            </w:tcBorders>
            <w:shd w:val="clear" w:color="000000" w:fill="CCFFFF"/>
            <w:noWrap/>
            <w:vAlign w:val="bottom"/>
            <w:hideMark/>
          </w:tcPr>
          <w:p w14:paraId="595F22EE" w14:textId="77777777" w:rsidR="003D0C85" w:rsidRPr="003D0C85" w:rsidRDefault="003D0C85" w:rsidP="003D0C85">
            <w:pPr>
              <w:spacing w:after="0" w:line="240" w:lineRule="auto"/>
              <w:jc w:val="right"/>
              <w:rPr>
                <w:rFonts w:ascii="Calibri" w:eastAsia="Times New Roman" w:hAnsi="Calibri" w:cs="Calibri"/>
                <w:sz w:val="18"/>
                <w:szCs w:val="18"/>
                <w:lang w:eastAsia="hr-HR"/>
              </w:rPr>
            </w:pPr>
            <w:r w:rsidRPr="003D0C85">
              <w:rPr>
                <w:rFonts w:ascii="Calibri" w:eastAsia="Times New Roman" w:hAnsi="Calibri" w:cs="Calibri"/>
                <w:sz w:val="18"/>
                <w:szCs w:val="18"/>
                <w:lang w:eastAsia="hr-HR"/>
              </w:rPr>
              <w:t>0</w:t>
            </w:r>
          </w:p>
        </w:tc>
        <w:tc>
          <w:tcPr>
            <w:tcW w:w="607" w:type="dxa"/>
            <w:tcBorders>
              <w:top w:val="nil"/>
              <w:left w:val="nil"/>
              <w:bottom w:val="single" w:sz="4" w:space="0" w:color="auto"/>
              <w:right w:val="single" w:sz="4" w:space="0" w:color="auto"/>
            </w:tcBorders>
            <w:shd w:val="clear" w:color="000000" w:fill="CCFFFF"/>
            <w:noWrap/>
            <w:vAlign w:val="bottom"/>
            <w:hideMark/>
          </w:tcPr>
          <w:p w14:paraId="31CBF946" w14:textId="77777777" w:rsidR="003D0C85" w:rsidRPr="003D0C85" w:rsidRDefault="003D0C85" w:rsidP="003D0C85">
            <w:pPr>
              <w:spacing w:after="0" w:line="240" w:lineRule="auto"/>
              <w:jc w:val="right"/>
              <w:rPr>
                <w:rFonts w:ascii="Calibri" w:eastAsia="Times New Roman" w:hAnsi="Calibri" w:cs="Calibri"/>
                <w:sz w:val="18"/>
                <w:szCs w:val="18"/>
                <w:lang w:eastAsia="hr-HR"/>
              </w:rPr>
            </w:pPr>
            <w:r w:rsidRPr="003D0C85">
              <w:rPr>
                <w:rFonts w:ascii="Calibri" w:eastAsia="Times New Roman" w:hAnsi="Calibri" w:cs="Calibri"/>
                <w:sz w:val="18"/>
                <w:szCs w:val="18"/>
                <w:lang w:eastAsia="hr-HR"/>
              </w:rPr>
              <w:t>0</w:t>
            </w:r>
          </w:p>
        </w:tc>
        <w:tc>
          <w:tcPr>
            <w:tcW w:w="425" w:type="dxa"/>
            <w:gridSpan w:val="2"/>
            <w:tcBorders>
              <w:top w:val="nil"/>
              <w:left w:val="nil"/>
              <w:bottom w:val="single" w:sz="4" w:space="0" w:color="auto"/>
              <w:right w:val="nil"/>
            </w:tcBorders>
            <w:shd w:val="clear" w:color="000000" w:fill="33CCCC"/>
            <w:noWrap/>
            <w:vAlign w:val="bottom"/>
            <w:hideMark/>
          </w:tcPr>
          <w:p w14:paraId="7926D316" w14:textId="77777777" w:rsidR="003D0C85" w:rsidRPr="003D0C85" w:rsidRDefault="003D0C85" w:rsidP="003D0C85">
            <w:pPr>
              <w:spacing w:after="0" w:line="240" w:lineRule="auto"/>
              <w:jc w:val="right"/>
              <w:rPr>
                <w:rFonts w:ascii="Calibri" w:eastAsia="Times New Roman" w:hAnsi="Calibri" w:cs="Calibri"/>
                <w:sz w:val="18"/>
                <w:szCs w:val="18"/>
                <w:lang w:eastAsia="hr-HR"/>
              </w:rPr>
            </w:pPr>
            <w:r w:rsidRPr="003D0C85">
              <w:rPr>
                <w:rFonts w:ascii="Calibri" w:eastAsia="Times New Roman" w:hAnsi="Calibri" w:cs="Calibri"/>
                <w:sz w:val="18"/>
                <w:szCs w:val="18"/>
                <w:lang w:eastAsia="hr-HR"/>
              </w:rPr>
              <w:t>0</w:t>
            </w:r>
          </w:p>
        </w:tc>
        <w:tc>
          <w:tcPr>
            <w:tcW w:w="452" w:type="dxa"/>
            <w:gridSpan w:val="2"/>
            <w:tcBorders>
              <w:top w:val="nil"/>
              <w:left w:val="single" w:sz="4" w:space="0" w:color="auto"/>
              <w:bottom w:val="single" w:sz="4" w:space="0" w:color="auto"/>
              <w:right w:val="single" w:sz="8" w:space="0" w:color="auto"/>
            </w:tcBorders>
            <w:shd w:val="clear" w:color="000000" w:fill="33CCCC"/>
            <w:noWrap/>
            <w:vAlign w:val="bottom"/>
            <w:hideMark/>
          </w:tcPr>
          <w:p w14:paraId="617CD8F8" w14:textId="77777777" w:rsidR="003D0C85" w:rsidRPr="003D0C85" w:rsidRDefault="003D0C85" w:rsidP="003D0C85">
            <w:pPr>
              <w:spacing w:after="0" w:line="240" w:lineRule="auto"/>
              <w:jc w:val="right"/>
              <w:rPr>
                <w:rFonts w:ascii="Calibri" w:eastAsia="Times New Roman" w:hAnsi="Calibri" w:cs="Calibri"/>
                <w:sz w:val="18"/>
                <w:szCs w:val="18"/>
                <w:lang w:eastAsia="hr-HR"/>
              </w:rPr>
            </w:pPr>
            <w:r w:rsidRPr="003D0C85">
              <w:rPr>
                <w:rFonts w:ascii="Calibri" w:eastAsia="Times New Roman" w:hAnsi="Calibri" w:cs="Calibri"/>
                <w:sz w:val="18"/>
                <w:szCs w:val="18"/>
                <w:lang w:eastAsia="hr-HR"/>
              </w:rPr>
              <w:t>0</w:t>
            </w:r>
          </w:p>
        </w:tc>
        <w:tc>
          <w:tcPr>
            <w:tcW w:w="236" w:type="dxa"/>
            <w:gridSpan w:val="3"/>
            <w:vAlign w:val="center"/>
            <w:hideMark/>
          </w:tcPr>
          <w:p w14:paraId="0D9C842E" w14:textId="77777777" w:rsidR="003D0C85" w:rsidRPr="003D0C85" w:rsidRDefault="003D0C85" w:rsidP="003D0C85">
            <w:pPr>
              <w:spacing w:after="0" w:line="240" w:lineRule="auto"/>
              <w:rPr>
                <w:rFonts w:ascii="Times New Roman" w:eastAsia="Times New Roman" w:hAnsi="Times New Roman" w:cs="Times New Roman"/>
                <w:sz w:val="18"/>
                <w:szCs w:val="18"/>
                <w:lang w:eastAsia="hr-HR"/>
              </w:rPr>
            </w:pPr>
          </w:p>
        </w:tc>
      </w:tr>
      <w:tr w:rsidR="00E72E51" w:rsidRPr="00E72E51" w14:paraId="393FAFE4" w14:textId="77777777" w:rsidTr="00E72E51">
        <w:trPr>
          <w:trHeight w:val="315"/>
        </w:trPr>
        <w:tc>
          <w:tcPr>
            <w:tcW w:w="983" w:type="dxa"/>
            <w:tcBorders>
              <w:top w:val="single" w:sz="4" w:space="0" w:color="auto"/>
              <w:left w:val="single" w:sz="8" w:space="0" w:color="auto"/>
              <w:bottom w:val="single" w:sz="4" w:space="0" w:color="auto"/>
              <w:right w:val="single" w:sz="4" w:space="0" w:color="auto"/>
            </w:tcBorders>
            <w:shd w:val="clear" w:color="000000" w:fill="CCFFCC"/>
            <w:vAlign w:val="center"/>
            <w:hideMark/>
          </w:tcPr>
          <w:p w14:paraId="11C3CE81" w14:textId="77777777" w:rsidR="003D0C85" w:rsidRPr="003D0C85" w:rsidRDefault="003D0C85" w:rsidP="003D0C85">
            <w:pPr>
              <w:spacing w:after="0" w:line="240" w:lineRule="auto"/>
              <w:rPr>
                <w:rFonts w:ascii="Calibri" w:eastAsia="Times New Roman" w:hAnsi="Calibri" w:cs="Calibri"/>
                <w:sz w:val="18"/>
                <w:szCs w:val="18"/>
                <w:lang w:eastAsia="hr-HR"/>
              </w:rPr>
            </w:pPr>
            <w:r w:rsidRPr="003D0C85">
              <w:rPr>
                <w:rFonts w:ascii="Calibri" w:eastAsia="Times New Roman" w:hAnsi="Calibri" w:cs="Calibri"/>
                <w:sz w:val="18"/>
                <w:szCs w:val="18"/>
                <w:lang w:eastAsia="hr-HR"/>
              </w:rPr>
              <w:lastRenderedPageBreak/>
              <w:t>Spol</w:t>
            </w:r>
          </w:p>
        </w:tc>
        <w:tc>
          <w:tcPr>
            <w:tcW w:w="442" w:type="dxa"/>
            <w:tcBorders>
              <w:top w:val="nil"/>
              <w:left w:val="nil"/>
              <w:bottom w:val="single" w:sz="4" w:space="0" w:color="auto"/>
              <w:right w:val="single" w:sz="4" w:space="0" w:color="auto"/>
            </w:tcBorders>
            <w:shd w:val="clear" w:color="000000" w:fill="FFFF00"/>
            <w:vAlign w:val="bottom"/>
            <w:hideMark/>
          </w:tcPr>
          <w:p w14:paraId="1FD5D593" w14:textId="77777777" w:rsidR="003D0C85" w:rsidRPr="003D0C85" w:rsidRDefault="003D0C85" w:rsidP="003D0C85">
            <w:pPr>
              <w:spacing w:after="0" w:line="240" w:lineRule="auto"/>
              <w:jc w:val="right"/>
              <w:rPr>
                <w:rFonts w:ascii="Calibri" w:eastAsia="Times New Roman" w:hAnsi="Calibri" w:cs="Calibri"/>
                <w:b/>
                <w:bCs/>
                <w:sz w:val="18"/>
                <w:szCs w:val="18"/>
                <w:lang w:eastAsia="hr-HR"/>
              </w:rPr>
            </w:pPr>
            <w:r w:rsidRPr="003D0C85">
              <w:rPr>
                <w:rFonts w:ascii="Calibri" w:eastAsia="Times New Roman" w:hAnsi="Calibri" w:cs="Calibri"/>
                <w:b/>
                <w:bCs/>
                <w:sz w:val="18"/>
                <w:szCs w:val="18"/>
                <w:lang w:eastAsia="hr-HR"/>
              </w:rPr>
              <w:t>0</w:t>
            </w:r>
          </w:p>
        </w:tc>
        <w:tc>
          <w:tcPr>
            <w:tcW w:w="443" w:type="dxa"/>
            <w:tcBorders>
              <w:top w:val="nil"/>
              <w:left w:val="nil"/>
              <w:bottom w:val="single" w:sz="4" w:space="0" w:color="auto"/>
              <w:right w:val="single" w:sz="4" w:space="0" w:color="auto"/>
            </w:tcBorders>
            <w:shd w:val="clear" w:color="000000" w:fill="FFCC99"/>
            <w:noWrap/>
            <w:vAlign w:val="bottom"/>
            <w:hideMark/>
          </w:tcPr>
          <w:p w14:paraId="696F3068" w14:textId="77777777" w:rsidR="003D0C85" w:rsidRPr="003D0C85" w:rsidRDefault="003D0C85" w:rsidP="003D0C85">
            <w:pPr>
              <w:spacing w:after="0" w:line="240" w:lineRule="auto"/>
              <w:jc w:val="right"/>
              <w:rPr>
                <w:rFonts w:ascii="Calibri" w:eastAsia="Times New Roman" w:hAnsi="Calibri" w:cs="Calibri"/>
                <w:sz w:val="18"/>
                <w:szCs w:val="18"/>
                <w:lang w:eastAsia="hr-HR"/>
              </w:rPr>
            </w:pPr>
            <w:r w:rsidRPr="003D0C85">
              <w:rPr>
                <w:rFonts w:ascii="Calibri" w:eastAsia="Times New Roman" w:hAnsi="Calibri" w:cs="Calibri"/>
                <w:sz w:val="18"/>
                <w:szCs w:val="18"/>
                <w:lang w:eastAsia="hr-HR"/>
              </w:rPr>
              <w:t>1</w:t>
            </w:r>
          </w:p>
        </w:tc>
        <w:tc>
          <w:tcPr>
            <w:tcW w:w="316" w:type="dxa"/>
            <w:tcBorders>
              <w:top w:val="nil"/>
              <w:left w:val="nil"/>
              <w:bottom w:val="single" w:sz="4" w:space="0" w:color="auto"/>
              <w:right w:val="single" w:sz="4" w:space="0" w:color="auto"/>
            </w:tcBorders>
            <w:shd w:val="clear" w:color="000000" w:fill="CCFFFF"/>
            <w:vAlign w:val="bottom"/>
            <w:hideMark/>
          </w:tcPr>
          <w:p w14:paraId="69A0F4F9" w14:textId="77777777" w:rsidR="003D0C85" w:rsidRPr="003D0C85" w:rsidRDefault="003D0C85" w:rsidP="003D0C85">
            <w:pPr>
              <w:spacing w:after="0" w:line="240" w:lineRule="auto"/>
              <w:jc w:val="right"/>
              <w:rPr>
                <w:rFonts w:ascii="Calibri" w:eastAsia="Times New Roman" w:hAnsi="Calibri" w:cs="Calibri"/>
                <w:sz w:val="18"/>
                <w:szCs w:val="18"/>
                <w:lang w:eastAsia="hr-HR"/>
              </w:rPr>
            </w:pPr>
            <w:r w:rsidRPr="003D0C85">
              <w:rPr>
                <w:rFonts w:ascii="Calibri" w:eastAsia="Times New Roman" w:hAnsi="Calibri" w:cs="Calibri"/>
                <w:sz w:val="18"/>
                <w:szCs w:val="18"/>
                <w:lang w:eastAsia="hr-HR"/>
              </w:rPr>
              <w:t>1</w:t>
            </w:r>
          </w:p>
        </w:tc>
        <w:tc>
          <w:tcPr>
            <w:tcW w:w="452" w:type="dxa"/>
            <w:tcBorders>
              <w:top w:val="nil"/>
              <w:left w:val="nil"/>
              <w:bottom w:val="single" w:sz="4" w:space="0" w:color="auto"/>
              <w:right w:val="single" w:sz="4" w:space="0" w:color="auto"/>
            </w:tcBorders>
            <w:shd w:val="clear" w:color="000000" w:fill="CCFFFF"/>
            <w:vAlign w:val="bottom"/>
            <w:hideMark/>
          </w:tcPr>
          <w:p w14:paraId="5EE2E393" w14:textId="77777777" w:rsidR="003D0C85" w:rsidRPr="003D0C85" w:rsidRDefault="003D0C85" w:rsidP="003D0C85">
            <w:pPr>
              <w:spacing w:after="0" w:line="240" w:lineRule="auto"/>
              <w:jc w:val="right"/>
              <w:rPr>
                <w:rFonts w:ascii="Calibri" w:eastAsia="Times New Roman" w:hAnsi="Calibri" w:cs="Calibri"/>
                <w:sz w:val="18"/>
                <w:szCs w:val="18"/>
                <w:lang w:eastAsia="hr-HR"/>
              </w:rPr>
            </w:pPr>
            <w:r w:rsidRPr="003D0C85">
              <w:rPr>
                <w:rFonts w:ascii="Calibri" w:eastAsia="Times New Roman" w:hAnsi="Calibri" w:cs="Calibri"/>
                <w:sz w:val="18"/>
                <w:szCs w:val="18"/>
                <w:lang w:eastAsia="hr-HR"/>
              </w:rPr>
              <w:t>0</w:t>
            </w:r>
          </w:p>
        </w:tc>
        <w:tc>
          <w:tcPr>
            <w:tcW w:w="491" w:type="dxa"/>
            <w:gridSpan w:val="2"/>
            <w:tcBorders>
              <w:top w:val="nil"/>
              <w:left w:val="nil"/>
              <w:bottom w:val="single" w:sz="4" w:space="0" w:color="auto"/>
              <w:right w:val="single" w:sz="4" w:space="0" w:color="auto"/>
            </w:tcBorders>
            <w:shd w:val="clear" w:color="000000" w:fill="FFFF99"/>
            <w:noWrap/>
            <w:vAlign w:val="bottom"/>
            <w:hideMark/>
          </w:tcPr>
          <w:p w14:paraId="4141668E" w14:textId="77777777" w:rsidR="003D0C85" w:rsidRPr="003D0C85" w:rsidRDefault="003D0C85" w:rsidP="003D0C85">
            <w:pPr>
              <w:spacing w:after="0" w:line="240" w:lineRule="auto"/>
              <w:jc w:val="right"/>
              <w:rPr>
                <w:rFonts w:ascii="Calibri" w:eastAsia="Times New Roman" w:hAnsi="Calibri" w:cs="Calibri"/>
                <w:sz w:val="18"/>
                <w:szCs w:val="18"/>
                <w:lang w:eastAsia="hr-HR"/>
              </w:rPr>
            </w:pPr>
            <w:r w:rsidRPr="003D0C85">
              <w:rPr>
                <w:rFonts w:ascii="Calibri" w:eastAsia="Times New Roman" w:hAnsi="Calibri" w:cs="Calibri"/>
                <w:sz w:val="18"/>
                <w:szCs w:val="18"/>
                <w:lang w:eastAsia="hr-HR"/>
              </w:rPr>
              <w:t>0</w:t>
            </w:r>
          </w:p>
        </w:tc>
        <w:tc>
          <w:tcPr>
            <w:tcW w:w="447" w:type="dxa"/>
            <w:tcBorders>
              <w:top w:val="nil"/>
              <w:left w:val="nil"/>
              <w:bottom w:val="single" w:sz="4" w:space="0" w:color="auto"/>
              <w:right w:val="single" w:sz="4" w:space="0" w:color="auto"/>
            </w:tcBorders>
            <w:shd w:val="clear" w:color="000000" w:fill="FFFF99"/>
            <w:noWrap/>
            <w:vAlign w:val="bottom"/>
            <w:hideMark/>
          </w:tcPr>
          <w:p w14:paraId="05081B7F" w14:textId="77777777" w:rsidR="003D0C85" w:rsidRPr="003D0C85" w:rsidRDefault="003D0C85" w:rsidP="003D0C85">
            <w:pPr>
              <w:spacing w:after="0" w:line="240" w:lineRule="auto"/>
              <w:jc w:val="right"/>
              <w:rPr>
                <w:rFonts w:ascii="Calibri" w:eastAsia="Times New Roman" w:hAnsi="Calibri" w:cs="Calibri"/>
                <w:sz w:val="18"/>
                <w:szCs w:val="18"/>
                <w:lang w:eastAsia="hr-HR"/>
              </w:rPr>
            </w:pPr>
            <w:r w:rsidRPr="003D0C85">
              <w:rPr>
                <w:rFonts w:ascii="Calibri" w:eastAsia="Times New Roman" w:hAnsi="Calibri" w:cs="Calibri"/>
                <w:sz w:val="18"/>
                <w:szCs w:val="18"/>
                <w:lang w:eastAsia="hr-HR"/>
              </w:rPr>
              <w:t>0</w:t>
            </w:r>
          </w:p>
        </w:tc>
        <w:tc>
          <w:tcPr>
            <w:tcW w:w="495" w:type="dxa"/>
            <w:tcBorders>
              <w:top w:val="nil"/>
              <w:left w:val="nil"/>
              <w:bottom w:val="single" w:sz="4" w:space="0" w:color="auto"/>
              <w:right w:val="single" w:sz="4" w:space="0" w:color="auto"/>
            </w:tcBorders>
            <w:shd w:val="clear" w:color="000000" w:fill="FFFF99"/>
            <w:noWrap/>
            <w:vAlign w:val="bottom"/>
            <w:hideMark/>
          </w:tcPr>
          <w:p w14:paraId="23139CAC" w14:textId="77777777" w:rsidR="003D0C85" w:rsidRPr="003D0C85" w:rsidRDefault="003D0C85" w:rsidP="003D0C85">
            <w:pPr>
              <w:spacing w:after="0" w:line="240" w:lineRule="auto"/>
              <w:jc w:val="right"/>
              <w:rPr>
                <w:rFonts w:ascii="Calibri" w:eastAsia="Times New Roman" w:hAnsi="Calibri" w:cs="Calibri"/>
                <w:sz w:val="18"/>
                <w:szCs w:val="18"/>
                <w:lang w:eastAsia="hr-HR"/>
              </w:rPr>
            </w:pPr>
            <w:r w:rsidRPr="003D0C85">
              <w:rPr>
                <w:rFonts w:ascii="Calibri" w:eastAsia="Times New Roman" w:hAnsi="Calibri" w:cs="Calibri"/>
                <w:sz w:val="18"/>
                <w:szCs w:val="18"/>
                <w:lang w:eastAsia="hr-HR"/>
              </w:rPr>
              <w:t>0</w:t>
            </w:r>
          </w:p>
        </w:tc>
        <w:tc>
          <w:tcPr>
            <w:tcW w:w="451" w:type="dxa"/>
            <w:tcBorders>
              <w:top w:val="nil"/>
              <w:left w:val="nil"/>
              <w:bottom w:val="single" w:sz="4" w:space="0" w:color="auto"/>
              <w:right w:val="single" w:sz="4" w:space="0" w:color="auto"/>
            </w:tcBorders>
            <w:shd w:val="clear" w:color="000000" w:fill="FFFF99"/>
            <w:noWrap/>
            <w:vAlign w:val="bottom"/>
            <w:hideMark/>
          </w:tcPr>
          <w:p w14:paraId="426E3B8A" w14:textId="77777777" w:rsidR="003D0C85" w:rsidRPr="003D0C85" w:rsidRDefault="003D0C85" w:rsidP="003D0C85">
            <w:pPr>
              <w:spacing w:after="0" w:line="240" w:lineRule="auto"/>
              <w:jc w:val="right"/>
              <w:rPr>
                <w:rFonts w:ascii="Calibri" w:eastAsia="Times New Roman" w:hAnsi="Calibri" w:cs="Calibri"/>
                <w:sz w:val="18"/>
                <w:szCs w:val="18"/>
                <w:lang w:eastAsia="hr-HR"/>
              </w:rPr>
            </w:pPr>
            <w:r w:rsidRPr="003D0C85">
              <w:rPr>
                <w:rFonts w:ascii="Calibri" w:eastAsia="Times New Roman" w:hAnsi="Calibri" w:cs="Calibri"/>
                <w:sz w:val="18"/>
                <w:szCs w:val="18"/>
                <w:lang w:eastAsia="hr-HR"/>
              </w:rPr>
              <w:t>0</w:t>
            </w:r>
          </w:p>
        </w:tc>
        <w:tc>
          <w:tcPr>
            <w:tcW w:w="632" w:type="dxa"/>
            <w:gridSpan w:val="2"/>
            <w:tcBorders>
              <w:top w:val="nil"/>
              <w:left w:val="nil"/>
              <w:bottom w:val="single" w:sz="4" w:space="0" w:color="auto"/>
              <w:right w:val="single" w:sz="4" w:space="0" w:color="auto"/>
            </w:tcBorders>
            <w:shd w:val="clear" w:color="000000" w:fill="FFFF99"/>
            <w:noWrap/>
            <w:vAlign w:val="bottom"/>
            <w:hideMark/>
          </w:tcPr>
          <w:p w14:paraId="19EEFACC" w14:textId="77777777" w:rsidR="003D0C85" w:rsidRPr="003D0C85" w:rsidRDefault="003D0C85" w:rsidP="003D0C85">
            <w:pPr>
              <w:spacing w:after="0" w:line="240" w:lineRule="auto"/>
              <w:jc w:val="right"/>
              <w:rPr>
                <w:rFonts w:ascii="Calibri" w:eastAsia="Times New Roman" w:hAnsi="Calibri" w:cs="Calibri"/>
                <w:sz w:val="18"/>
                <w:szCs w:val="18"/>
                <w:lang w:eastAsia="hr-HR"/>
              </w:rPr>
            </w:pPr>
            <w:r w:rsidRPr="003D0C85">
              <w:rPr>
                <w:rFonts w:ascii="Calibri" w:eastAsia="Times New Roman" w:hAnsi="Calibri" w:cs="Calibri"/>
                <w:sz w:val="18"/>
                <w:szCs w:val="18"/>
                <w:lang w:eastAsia="hr-HR"/>
              </w:rPr>
              <w:t>0</w:t>
            </w:r>
          </w:p>
        </w:tc>
        <w:tc>
          <w:tcPr>
            <w:tcW w:w="447" w:type="dxa"/>
            <w:tcBorders>
              <w:top w:val="nil"/>
              <w:left w:val="nil"/>
              <w:bottom w:val="single" w:sz="4" w:space="0" w:color="auto"/>
              <w:right w:val="single" w:sz="4" w:space="0" w:color="auto"/>
            </w:tcBorders>
            <w:shd w:val="clear" w:color="000000" w:fill="FFFF99"/>
            <w:noWrap/>
            <w:vAlign w:val="bottom"/>
            <w:hideMark/>
          </w:tcPr>
          <w:p w14:paraId="0018198A" w14:textId="77777777" w:rsidR="003D0C85" w:rsidRPr="003D0C85" w:rsidRDefault="003D0C85" w:rsidP="003D0C85">
            <w:pPr>
              <w:spacing w:after="0" w:line="240" w:lineRule="auto"/>
              <w:jc w:val="right"/>
              <w:rPr>
                <w:rFonts w:ascii="Calibri" w:eastAsia="Times New Roman" w:hAnsi="Calibri" w:cs="Calibri"/>
                <w:sz w:val="18"/>
                <w:szCs w:val="18"/>
                <w:lang w:eastAsia="hr-HR"/>
              </w:rPr>
            </w:pPr>
            <w:r w:rsidRPr="003D0C85">
              <w:rPr>
                <w:rFonts w:ascii="Calibri" w:eastAsia="Times New Roman" w:hAnsi="Calibri" w:cs="Calibri"/>
                <w:sz w:val="18"/>
                <w:szCs w:val="18"/>
                <w:lang w:eastAsia="hr-HR"/>
              </w:rPr>
              <w:t>0</w:t>
            </w:r>
          </w:p>
        </w:tc>
        <w:tc>
          <w:tcPr>
            <w:tcW w:w="543" w:type="dxa"/>
            <w:tcBorders>
              <w:top w:val="nil"/>
              <w:left w:val="nil"/>
              <w:bottom w:val="single" w:sz="4" w:space="0" w:color="auto"/>
              <w:right w:val="single" w:sz="4" w:space="0" w:color="auto"/>
            </w:tcBorders>
            <w:shd w:val="clear" w:color="000000" w:fill="FFFF99"/>
            <w:noWrap/>
            <w:vAlign w:val="bottom"/>
            <w:hideMark/>
          </w:tcPr>
          <w:p w14:paraId="379863CD" w14:textId="77777777" w:rsidR="003D0C85" w:rsidRPr="003D0C85" w:rsidRDefault="003D0C85" w:rsidP="003D0C85">
            <w:pPr>
              <w:spacing w:after="0" w:line="240" w:lineRule="auto"/>
              <w:jc w:val="right"/>
              <w:rPr>
                <w:rFonts w:ascii="Calibri" w:eastAsia="Times New Roman" w:hAnsi="Calibri" w:cs="Calibri"/>
                <w:sz w:val="18"/>
                <w:szCs w:val="18"/>
                <w:lang w:eastAsia="hr-HR"/>
              </w:rPr>
            </w:pPr>
            <w:r w:rsidRPr="003D0C85">
              <w:rPr>
                <w:rFonts w:ascii="Calibri" w:eastAsia="Times New Roman" w:hAnsi="Calibri" w:cs="Calibri"/>
                <w:sz w:val="18"/>
                <w:szCs w:val="18"/>
                <w:lang w:eastAsia="hr-HR"/>
              </w:rPr>
              <w:t>0</w:t>
            </w:r>
          </w:p>
        </w:tc>
        <w:tc>
          <w:tcPr>
            <w:tcW w:w="447" w:type="dxa"/>
            <w:tcBorders>
              <w:top w:val="nil"/>
              <w:left w:val="nil"/>
              <w:bottom w:val="single" w:sz="4" w:space="0" w:color="auto"/>
              <w:right w:val="single" w:sz="4" w:space="0" w:color="auto"/>
            </w:tcBorders>
            <w:shd w:val="clear" w:color="000000" w:fill="FFFF99"/>
            <w:noWrap/>
            <w:vAlign w:val="bottom"/>
            <w:hideMark/>
          </w:tcPr>
          <w:p w14:paraId="6C3990CE" w14:textId="77777777" w:rsidR="003D0C85" w:rsidRPr="003D0C85" w:rsidRDefault="003D0C85" w:rsidP="003D0C85">
            <w:pPr>
              <w:spacing w:after="0" w:line="240" w:lineRule="auto"/>
              <w:jc w:val="right"/>
              <w:rPr>
                <w:rFonts w:ascii="Calibri" w:eastAsia="Times New Roman" w:hAnsi="Calibri" w:cs="Calibri"/>
                <w:sz w:val="18"/>
                <w:szCs w:val="18"/>
                <w:lang w:eastAsia="hr-HR"/>
              </w:rPr>
            </w:pPr>
            <w:r w:rsidRPr="003D0C85">
              <w:rPr>
                <w:rFonts w:ascii="Calibri" w:eastAsia="Times New Roman" w:hAnsi="Calibri" w:cs="Calibri"/>
                <w:sz w:val="18"/>
                <w:szCs w:val="18"/>
                <w:lang w:eastAsia="hr-HR"/>
              </w:rPr>
              <w:t>1</w:t>
            </w:r>
          </w:p>
        </w:tc>
        <w:tc>
          <w:tcPr>
            <w:tcW w:w="543" w:type="dxa"/>
            <w:tcBorders>
              <w:top w:val="nil"/>
              <w:left w:val="nil"/>
              <w:bottom w:val="single" w:sz="4" w:space="0" w:color="auto"/>
              <w:right w:val="single" w:sz="4" w:space="0" w:color="auto"/>
            </w:tcBorders>
            <w:shd w:val="clear" w:color="000000" w:fill="FFFF99"/>
            <w:noWrap/>
            <w:vAlign w:val="bottom"/>
            <w:hideMark/>
          </w:tcPr>
          <w:p w14:paraId="77751470" w14:textId="77777777" w:rsidR="003D0C85" w:rsidRPr="003D0C85" w:rsidRDefault="003D0C85" w:rsidP="003D0C85">
            <w:pPr>
              <w:spacing w:after="0" w:line="240" w:lineRule="auto"/>
              <w:jc w:val="right"/>
              <w:rPr>
                <w:rFonts w:ascii="Calibri" w:eastAsia="Times New Roman" w:hAnsi="Calibri" w:cs="Calibri"/>
                <w:sz w:val="18"/>
                <w:szCs w:val="18"/>
                <w:lang w:eastAsia="hr-HR"/>
              </w:rPr>
            </w:pPr>
            <w:r w:rsidRPr="003D0C85">
              <w:rPr>
                <w:rFonts w:ascii="Calibri" w:eastAsia="Times New Roman" w:hAnsi="Calibri" w:cs="Calibri"/>
                <w:sz w:val="18"/>
                <w:szCs w:val="18"/>
                <w:lang w:eastAsia="hr-HR"/>
              </w:rPr>
              <w:t>0</w:t>
            </w:r>
          </w:p>
        </w:tc>
        <w:tc>
          <w:tcPr>
            <w:tcW w:w="356" w:type="dxa"/>
            <w:tcBorders>
              <w:top w:val="nil"/>
              <w:left w:val="nil"/>
              <w:bottom w:val="single" w:sz="4" w:space="0" w:color="auto"/>
              <w:right w:val="single" w:sz="4" w:space="0" w:color="auto"/>
            </w:tcBorders>
            <w:shd w:val="clear" w:color="000000" w:fill="FFFF99"/>
            <w:noWrap/>
            <w:vAlign w:val="bottom"/>
            <w:hideMark/>
          </w:tcPr>
          <w:p w14:paraId="619DF237" w14:textId="77777777" w:rsidR="003D0C85" w:rsidRPr="003D0C85" w:rsidRDefault="003D0C85" w:rsidP="003D0C85">
            <w:pPr>
              <w:spacing w:after="0" w:line="240" w:lineRule="auto"/>
              <w:jc w:val="right"/>
              <w:rPr>
                <w:rFonts w:ascii="Calibri" w:eastAsia="Times New Roman" w:hAnsi="Calibri" w:cs="Calibri"/>
                <w:sz w:val="18"/>
                <w:szCs w:val="18"/>
                <w:lang w:eastAsia="hr-HR"/>
              </w:rPr>
            </w:pPr>
            <w:r w:rsidRPr="003D0C85">
              <w:rPr>
                <w:rFonts w:ascii="Calibri" w:eastAsia="Times New Roman" w:hAnsi="Calibri" w:cs="Calibri"/>
                <w:sz w:val="18"/>
                <w:szCs w:val="18"/>
                <w:lang w:eastAsia="hr-HR"/>
              </w:rPr>
              <w:t>0</w:t>
            </w:r>
          </w:p>
        </w:tc>
        <w:tc>
          <w:tcPr>
            <w:tcW w:w="447" w:type="dxa"/>
            <w:gridSpan w:val="2"/>
            <w:tcBorders>
              <w:top w:val="nil"/>
              <w:left w:val="nil"/>
              <w:bottom w:val="single" w:sz="4" w:space="0" w:color="auto"/>
              <w:right w:val="single" w:sz="4" w:space="0" w:color="auto"/>
            </w:tcBorders>
            <w:shd w:val="clear" w:color="000000" w:fill="FF9900"/>
            <w:noWrap/>
            <w:vAlign w:val="bottom"/>
            <w:hideMark/>
          </w:tcPr>
          <w:p w14:paraId="0362069E" w14:textId="77777777" w:rsidR="003D0C85" w:rsidRPr="003D0C85" w:rsidRDefault="003D0C85" w:rsidP="003D0C85">
            <w:pPr>
              <w:spacing w:after="0" w:line="240" w:lineRule="auto"/>
              <w:jc w:val="right"/>
              <w:rPr>
                <w:rFonts w:ascii="Calibri" w:eastAsia="Times New Roman" w:hAnsi="Calibri" w:cs="Calibri"/>
                <w:sz w:val="18"/>
                <w:szCs w:val="18"/>
                <w:lang w:eastAsia="hr-HR"/>
              </w:rPr>
            </w:pPr>
            <w:r w:rsidRPr="003D0C85">
              <w:rPr>
                <w:rFonts w:ascii="Calibri" w:eastAsia="Times New Roman" w:hAnsi="Calibri" w:cs="Calibri"/>
                <w:sz w:val="18"/>
                <w:szCs w:val="18"/>
                <w:lang w:eastAsia="hr-HR"/>
              </w:rPr>
              <w:t>0</w:t>
            </w:r>
          </w:p>
        </w:tc>
        <w:tc>
          <w:tcPr>
            <w:tcW w:w="447" w:type="dxa"/>
            <w:tcBorders>
              <w:top w:val="nil"/>
              <w:left w:val="nil"/>
              <w:bottom w:val="single" w:sz="4" w:space="0" w:color="auto"/>
              <w:right w:val="single" w:sz="4" w:space="0" w:color="auto"/>
            </w:tcBorders>
            <w:shd w:val="clear" w:color="000000" w:fill="FF9900"/>
            <w:noWrap/>
            <w:vAlign w:val="bottom"/>
            <w:hideMark/>
          </w:tcPr>
          <w:p w14:paraId="62A49EAF" w14:textId="77777777" w:rsidR="003D0C85" w:rsidRPr="003D0C85" w:rsidRDefault="003D0C85" w:rsidP="003D0C85">
            <w:pPr>
              <w:spacing w:after="0" w:line="240" w:lineRule="auto"/>
              <w:jc w:val="right"/>
              <w:rPr>
                <w:rFonts w:ascii="Calibri" w:eastAsia="Times New Roman" w:hAnsi="Calibri" w:cs="Calibri"/>
                <w:sz w:val="18"/>
                <w:szCs w:val="18"/>
                <w:lang w:eastAsia="hr-HR"/>
              </w:rPr>
            </w:pPr>
            <w:r w:rsidRPr="003D0C85">
              <w:rPr>
                <w:rFonts w:ascii="Calibri" w:eastAsia="Times New Roman" w:hAnsi="Calibri" w:cs="Calibri"/>
                <w:sz w:val="18"/>
                <w:szCs w:val="18"/>
                <w:lang w:eastAsia="hr-HR"/>
              </w:rPr>
              <w:t>0</w:t>
            </w:r>
          </w:p>
        </w:tc>
        <w:tc>
          <w:tcPr>
            <w:tcW w:w="447" w:type="dxa"/>
            <w:tcBorders>
              <w:top w:val="nil"/>
              <w:left w:val="nil"/>
              <w:bottom w:val="single" w:sz="4" w:space="0" w:color="auto"/>
              <w:right w:val="single" w:sz="4" w:space="0" w:color="auto"/>
            </w:tcBorders>
            <w:shd w:val="clear" w:color="000000" w:fill="FF9900"/>
            <w:noWrap/>
            <w:vAlign w:val="bottom"/>
            <w:hideMark/>
          </w:tcPr>
          <w:p w14:paraId="60687DC2" w14:textId="77777777" w:rsidR="003D0C85" w:rsidRPr="003D0C85" w:rsidRDefault="003D0C85" w:rsidP="003D0C85">
            <w:pPr>
              <w:spacing w:after="0" w:line="240" w:lineRule="auto"/>
              <w:jc w:val="right"/>
              <w:rPr>
                <w:rFonts w:ascii="Calibri" w:eastAsia="Times New Roman" w:hAnsi="Calibri" w:cs="Calibri"/>
                <w:sz w:val="18"/>
                <w:szCs w:val="18"/>
                <w:lang w:eastAsia="hr-HR"/>
              </w:rPr>
            </w:pPr>
            <w:r w:rsidRPr="003D0C85">
              <w:rPr>
                <w:rFonts w:ascii="Calibri" w:eastAsia="Times New Roman" w:hAnsi="Calibri" w:cs="Calibri"/>
                <w:sz w:val="18"/>
                <w:szCs w:val="18"/>
                <w:lang w:eastAsia="hr-HR"/>
              </w:rPr>
              <w:t>0</w:t>
            </w:r>
          </w:p>
        </w:tc>
        <w:tc>
          <w:tcPr>
            <w:tcW w:w="475" w:type="dxa"/>
            <w:tcBorders>
              <w:top w:val="nil"/>
              <w:left w:val="nil"/>
              <w:bottom w:val="single" w:sz="4" w:space="0" w:color="auto"/>
              <w:right w:val="single" w:sz="4" w:space="0" w:color="auto"/>
            </w:tcBorders>
            <w:shd w:val="clear" w:color="auto" w:fill="auto"/>
            <w:vAlign w:val="bottom"/>
            <w:hideMark/>
          </w:tcPr>
          <w:p w14:paraId="23AD61AE" w14:textId="77777777" w:rsidR="003D0C85" w:rsidRPr="003D0C85" w:rsidRDefault="003D0C85" w:rsidP="003D0C85">
            <w:pPr>
              <w:spacing w:after="0" w:line="240" w:lineRule="auto"/>
              <w:jc w:val="right"/>
              <w:rPr>
                <w:rFonts w:ascii="Calibri" w:eastAsia="Times New Roman" w:hAnsi="Calibri" w:cs="Calibri"/>
                <w:b/>
                <w:bCs/>
                <w:sz w:val="18"/>
                <w:szCs w:val="18"/>
                <w:lang w:eastAsia="hr-HR"/>
              </w:rPr>
            </w:pPr>
            <w:r w:rsidRPr="003D0C85">
              <w:rPr>
                <w:rFonts w:ascii="Calibri" w:eastAsia="Times New Roman" w:hAnsi="Calibri" w:cs="Calibri"/>
                <w:b/>
                <w:bCs/>
                <w:sz w:val="18"/>
                <w:szCs w:val="18"/>
                <w:lang w:eastAsia="hr-HR"/>
              </w:rPr>
              <w:t>0</w:t>
            </w:r>
          </w:p>
        </w:tc>
        <w:tc>
          <w:tcPr>
            <w:tcW w:w="447" w:type="dxa"/>
            <w:gridSpan w:val="2"/>
            <w:tcBorders>
              <w:top w:val="nil"/>
              <w:left w:val="nil"/>
              <w:bottom w:val="single" w:sz="4" w:space="0" w:color="auto"/>
              <w:right w:val="single" w:sz="4" w:space="0" w:color="auto"/>
            </w:tcBorders>
            <w:shd w:val="clear" w:color="000000" w:fill="FFFF00"/>
            <w:noWrap/>
            <w:vAlign w:val="bottom"/>
            <w:hideMark/>
          </w:tcPr>
          <w:p w14:paraId="4D8920C2" w14:textId="77777777" w:rsidR="003D0C85" w:rsidRPr="003D0C85" w:rsidRDefault="003D0C85" w:rsidP="003D0C85">
            <w:pPr>
              <w:spacing w:after="0" w:line="240" w:lineRule="auto"/>
              <w:jc w:val="right"/>
              <w:rPr>
                <w:rFonts w:ascii="Calibri" w:eastAsia="Times New Roman" w:hAnsi="Calibri" w:cs="Calibri"/>
                <w:sz w:val="18"/>
                <w:szCs w:val="18"/>
                <w:lang w:eastAsia="hr-HR"/>
              </w:rPr>
            </w:pPr>
            <w:r w:rsidRPr="003D0C85">
              <w:rPr>
                <w:rFonts w:ascii="Calibri" w:eastAsia="Times New Roman" w:hAnsi="Calibri" w:cs="Calibri"/>
                <w:sz w:val="18"/>
                <w:szCs w:val="18"/>
                <w:lang w:eastAsia="hr-HR"/>
              </w:rPr>
              <w:t>0</w:t>
            </w:r>
          </w:p>
        </w:tc>
        <w:tc>
          <w:tcPr>
            <w:tcW w:w="447" w:type="dxa"/>
            <w:tcBorders>
              <w:top w:val="nil"/>
              <w:left w:val="nil"/>
              <w:bottom w:val="single" w:sz="4" w:space="0" w:color="auto"/>
              <w:right w:val="single" w:sz="4" w:space="0" w:color="auto"/>
            </w:tcBorders>
            <w:shd w:val="clear" w:color="000000" w:fill="FFFF00"/>
            <w:noWrap/>
            <w:vAlign w:val="bottom"/>
            <w:hideMark/>
          </w:tcPr>
          <w:p w14:paraId="20BA966F" w14:textId="77777777" w:rsidR="003D0C85" w:rsidRPr="003D0C85" w:rsidRDefault="003D0C85" w:rsidP="003D0C85">
            <w:pPr>
              <w:spacing w:after="0" w:line="240" w:lineRule="auto"/>
              <w:jc w:val="right"/>
              <w:rPr>
                <w:rFonts w:ascii="Calibri" w:eastAsia="Times New Roman" w:hAnsi="Calibri" w:cs="Calibri"/>
                <w:sz w:val="18"/>
                <w:szCs w:val="18"/>
                <w:lang w:eastAsia="hr-HR"/>
              </w:rPr>
            </w:pPr>
            <w:r w:rsidRPr="003D0C85">
              <w:rPr>
                <w:rFonts w:ascii="Calibri" w:eastAsia="Times New Roman" w:hAnsi="Calibri" w:cs="Calibri"/>
                <w:sz w:val="18"/>
                <w:szCs w:val="18"/>
                <w:lang w:eastAsia="hr-HR"/>
              </w:rPr>
              <w:t>0</w:t>
            </w:r>
          </w:p>
        </w:tc>
        <w:tc>
          <w:tcPr>
            <w:tcW w:w="521" w:type="dxa"/>
            <w:tcBorders>
              <w:top w:val="nil"/>
              <w:left w:val="nil"/>
              <w:bottom w:val="single" w:sz="4" w:space="0" w:color="auto"/>
              <w:right w:val="single" w:sz="4" w:space="0" w:color="auto"/>
            </w:tcBorders>
            <w:shd w:val="clear" w:color="000000" w:fill="FFFF00"/>
            <w:noWrap/>
            <w:vAlign w:val="bottom"/>
            <w:hideMark/>
          </w:tcPr>
          <w:p w14:paraId="3129DFA4" w14:textId="77777777" w:rsidR="003D0C85" w:rsidRPr="003D0C85" w:rsidRDefault="003D0C85" w:rsidP="003D0C85">
            <w:pPr>
              <w:spacing w:after="0" w:line="240" w:lineRule="auto"/>
              <w:jc w:val="right"/>
              <w:rPr>
                <w:rFonts w:ascii="Calibri" w:eastAsia="Times New Roman" w:hAnsi="Calibri" w:cs="Calibri"/>
                <w:sz w:val="18"/>
                <w:szCs w:val="18"/>
                <w:lang w:eastAsia="hr-HR"/>
              </w:rPr>
            </w:pPr>
            <w:r w:rsidRPr="003D0C85">
              <w:rPr>
                <w:rFonts w:ascii="Calibri" w:eastAsia="Times New Roman" w:hAnsi="Calibri" w:cs="Calibri"/>
                <w:sz w:val="18"/>
                <w:szCs w:val="18"/>
                <w:lang w:eastAsia="hr-HR"/>
              </w:rPr>
              <w:t>0</w:t>
            </w:r>
          </w:p>
        </w:tc>
        <w:tc>
          <w:tcPr>
            <w:tcW w:w="446" w:type="dxa"/>
            <w:tcBorders>
              <w:top w:val="nil"/>
              <w:left w:val="nil"/>
              <w:bottom w:val="single" w:sz="4" w:space="0" w:color="auto"/>
              <w:right w:val="single" w:sz="4" w:space="0" w:color="auto"/>
            </w:tcBorders>
            <w:shd w:val="clear" w:color="auto" w:fill="auto"/>
            <w:vAlign w:val="bottom"/>
            <w:hideMark/>
          </w:tcPr>
          <w:p w14:paraId="2E755CB6" w14:textId="77777777" w:rsidR="003D0C85" w:rsidRPr="003D0C85" w:rsidRDefault="003D0C85" w:rsidP="003D0C85">
            <w:pPr>
              <w:spacing w:after="0" w:line="240" w:lineRule="auto"/>
              <w:jc w:val="right"/>
              <w:rPr>
                <w:rFonts w:ascii="Calibri" w:eastAsia="Times New Roman" w:hAnsi="Calibri" w:cs="Calibri"/>
                <w:b/>
                <w:bCs/>
                <w:sz w:val="18"/>
                <w:szCs w:val="18"/>
                <w:lang w:eastAsia="hr-HR"/>
              </w:rPr>
            </w:pPr>
            <w:r w:rsidRPr="003D0C85">
              <w:rPr>
                <w:rFonts w:ascii="Calibri" w:eastAsia="Times New Roman" w:hAnsi="Calibri" w:cs="Calibri"/>
                <w:b/>
                <w:bCs/>
                <w:sz w:val="18"/>
                <w:szCs w:val="18"/>
                <w:lang w:eastAsia="hr-HR"/>
              </w:rPr>
              <w:t>0</w:t>
            </w:r>
          </w:p>
        </w:tc>
        <w:tc>
          <w:tcPr>
            <w:tcW w:w="792" w:type="dxa"/>
            <w:gridSpan w:val="2"/>
            <w:tcBorders>
              <w:top w:val="nil"/>
              <w:left w:val="nil"/>
              <w:bottom w:val="single" w:sz="4" w:space="0" w:color="auto"/>
              <w:right w:val="single" w:sz="4" w:space="0" w:color="auto"/>
            </w:tcBorders>
            <w:shd w:val="clear" w:color="000000" w:fill="FFFF00"/>
            <w:vAlign w:val="bottom"/>
            <w:hideMark/>
          </w:tcPr>
          <w:p w14:paraId="67728C8E" w14:textId="77777777" w:rsidR="003D0C85" w:rsidRPr="003D0C85" w:rsidRDefault="003D0C85" w:rsidP="003D0C85">
            <w:pPr>
              <w:spacing w:after="0" w:line="240" w:lineRule="auto"/>
              <w:jc w:val="right"/>
              <w:rPr>
                <w:rFonts w:ascii="Calibri" w:eastAsia="Times New Roman" w:hAnsi="Calibri" w:cs="Calibri"/>
                <w:b/>
                <w:bCs/>
                <w:sz w:val="18"/>
                <w:szCs w:val="18"/>
                <w:lang w:eastAsia="hr-HR"/>
              </w:rPr>
            </w:pPr>
            <w:r w:rsidRPr="003D0C85">
              <w:rPr>
                <w:rFonts w:ascii="Calibri" w:eastAsia="Times New Roman" w:hAnsi="Calibri" w:cs="Calibri"/>
                <w:b/>
                <w:bCs/>
                <w:sz w:val="18"/>
                <w:szCs w:val="18"/>
                <w:lang w:eastAsia="hr-HR"/>
              </w:rPr>
              <w:t>1</w:t>
            </w:r>
          </w:p>
        </w:tc>
        <w:tc>
          <w:tcPr>
            <w:tcW w:w="507" w:type="dxa"/>
            <w:gridSpan w:val="2"/>
            <w:tcBorders>
              <w:top w:val="nil"/>
              <w:left w:val="nil"/>
              <w:bottom w:val="single" w:sz="4" w:space="0" w:color="auto"/>
              <w:right w:val="single" w:sz="4" w:space="0" w:color="auto"/>
            </w:tcBorders>
            <w:shd w:val="clear" w:color="000000" w:fill="FF9900"/>
            <w:vAlign w:val="bottom"/>
            <w:hideMark/>
          </w:tcPr>
          <w:p w14:paraId="308706A4" w14:textId="77777777" w:rsidR="003D0C85" w:rsidRPr="003D0C85" w:rsidRDefault="003D0C85" w:rsidP="003D0C85">
            <w:pPr>
              <w:spacing w:after="0" w:line="240" w:lineRule="auto"/>
              <w:jc w:val="right"/>
              <w:rPr>
                <w:rFonts w:ascii="Calibri" w:eastAsia="Times New Roman" w:hAnsi="Calibri" w:cs="Calibri"/>
                <w:sz w:val="18"/>
                <w:szCs w:val="18"/>
                <w:lang w:eastAsia="hr-HR"/>
              </w:rPr>
            </w:pPr>
            <w:r w:rsidRPr="003D0C85">
              <w:rPr>
                <w:rFonts w:ascii="Calibri" w:eastAsia="Times New Roman" w:hAnsi="Calibri" w:cs="Calibri"/>
                <w:sz w:val="18"/>
                <w:szCs w:val="18"/>
                <w:lang w:eastAsia="hr-HR"/>
              </w:rPr>
              <w:t>0</w:t>
            </w:r>
          </w:p>
        </w:tc>
        <w:tc>
          <w:tcPr>
            <w:tcW w:w="244" w:type="dxa"/>
            <w:tcBorders>
              <w:top w:val="nil"/>
              <w:left w:val="nil"/>
              <w:bottom w:val="single" w:sz="4" w:space="0" w:color="auto"/>
              <w:right w:val="single" w:sz="4" w:space="0" w:color="auto"/>
            </w:tcBorders>
            <w:shd w:val="clear" w:color="000000" w:fill="CCFFFF"/>
            <w:noWrap/>
            <w:vAlign w:val="bottom"/>
            <w:hideMark/>
          </w:tcPr>
          <w:p w14:paraId="4716A05D" w14:textId="77777777" w:rsidR="003D0C85" w:rsidRPr="003D0C85" w:rsidRDefault="003D0C85" w:rsidP="003D0C85">
            <w:pPr>
              <w:spacing w:after="0" w:line="240" w:lineRule="auto"/>
              <w:jc w:val="right"/>
              <w:rPr>
                <w:rFonts w:ascii="Calibri" w:eastAsia="Times New Roman" w:hAnsi="Calibri" w:cs="Calibri"/>
                <w:sz w:val="18"/>
                <w:szCs w:val="18"/>
                <w:lang w:eastAsia="hr-HR"/>
              </w:rPr>
            </w:pPr>
            <w:r w:rsidRPr="003D0C85">
              <w:rPr>
                <w:rFonts w:ascii="Calibri" w:eastAsia="Times New Roman" w:hAnsi="Calibri" w:cs="Calibri"/>
                <w:sz w:val="18"/>
                <w:szCs w:val="18"/>
                <w:lang w:eastAsia="hr-HR"/>
              </w:rPr>
              <w:t>0</w:t>
            </w:r>
          </w:p>
        </w:tc>
        <w:tc>
          <w:tcPr>
            <w:tcW w:w="425" w:type="dxa"/>
            <w:tcBorders>
              <w:top w:val="nil"/>
              <w:left w:val="nil"/>
              <w:bottom w:val="single" w:sz="4" w:space="0" w:color="auto"/>
              <w:right w:val="single" w:sz="4" w:space="0" w:color="auto"/>
            </w:tcBorders>
            <w:shd w:val="clear" w:color="000000" w:fill="CCFFFF"/>
            <w:noWrap/>
            <w:vAlign w:val="bottom"/>
            <w:hideMark/>
          </w:tcPr>
          <w:p w14:paraId="4A12E102" w14:textId="77777777" w:rsidR="003D0C85" w:rsidRPr="003D0C85" w:rsidRDefault="003D0C85" w:rsidP="003D0C85">
            <w:pPr>
              <w:spacing w:after="0" w:line="240" w:lineRule="auto"/>
              <w:jc w:val="right"/>
              <w:rPr>
                <w:rFonts w:ascii="Calibri" w:eastAsia="Times New Roman" w:hAnsi="Calibri" w:cs="Calibri"/>
                <w:sz w:val="18"/>
                <w:szCs w:val="18"/>
                <w:lang w:eastAsia="hr-HR"/>
              </w:rPr>
            </w:pPr>
            <w:r w:rsidRPr="003D0C85">
              <w:rPr>
                <w:rFonts w:ascii="Calibri" w:eastAsia="Times New Roman" w:hAnsi="Calibri" w:cs="Calibri"/>
                <w:sz w:val="18"/>
                <w:szCs w:val="18"/>
                <w:lang w:eastAsia="hr-HR"/>
              </w:rPr>
              <w:t>0</w:t>
            </w:r>
          </w:p>
        </w:tc>
        <w:tc>
          <w:tcPr>
            <w:tcW w:w="607" w:type="dxa"/>
            <w:tcBorders>
              <w:top w:val="nil"/>
              <w:left w:val="nil"/>
              <w:bottom w:val="single" w:sz="4" w:space="0" w:color="auto"/>
              <w:right w:val="single" w:sz="4" w:space="0" w:color="auto"/>
            </w:tcBorders>
            <w:shd w:val="clear" w:color="000000" w:fill="CCFFFF"/>
            <w:noWrap/>
            <w:vAlign w:val="bottom"/>
            <w:hideMark/>
          </w:tcPr>
          <w:p w14:paraId="514EDFAB" w14:textId="77777777" w:rsidR="003D0C85" w:rsidRPr="003D0C85" w:rsidRDefault="003D0C85" w:rsidP="003D0C85">
            <w:pPr>
              <w:spacing w:after="0" w:line="240" w:lineRule="auto"/>
              <w:jc w:val="right"/>
              <w:rPr>
                <w:rFonts w:ascii="Calibri" w:eastAsia="Times New Roman" w:hAnsi="Calibri" w:cs="Calibri"/>
                <w:sz w:val="18"/>
                <w:szCs w:val="18"/>
                <w:lang w:eastAsia="hr-HR"/>
              </w:rPr>
            </w:pPr>
            <w:r w:rsidRPr="003D0C85">
              <w:rPr>
                <w:rFonts w:ascii="Calibri" w:eastAsia="Times New Roman" w:hAnsi="Calibri" w:cs="Calibri"/>
                <w:sz w:val="18"/>
                <w:szCs w:val="18"/>
                <w:lang w:eastAsia="hr-HR"/>
              </w:rPr>
              <w:t>0</w:t>
            </w:r>
          </w:p>
        </w:tc>
        <w:tc>
          <w:tcPr>
            <w:tcW w:w="425" w:type="dxa"/>
            <w:gridSpan w:val="2"/>
            <w:tcBorders>
              <w:top w:val="nil"/>
              <w:left w:val="nil"/>
              <w:bottom w:val="single" w:sz="4" w:space="0" w:color="auto"/>
              <w:right w:val="nil"/>
            </w:tcBorders>
            <w:shd w:val="clear" w:color="000000" w:fill="33CCCC"/>
            <w:noWrap/>
            <w:vAlign w:val="bottom"/>
            <w:hideMark/>
          </w:tcPr>
          <w:p w14:paraId="59E78A12" w14:textId="77777777" w:rsidR="003D0C85" w:rsidRPr="003D0C85" w:rsidRDefault="003D0C85" w:rsidP="003D0C85">
            <w:pPr>
              <w:spacing w:after="0" w:line="240" w:lineRule="auto"/>
              <w:jc w:val="right"/>
              <w:rPr>
                <w:rFonts w:ascii="Calibri" w:eastAsia="Times New Roman" w:hAnsi="Calibri" w:cs="Calibri"/>
                <w:sz w:val="18"/>
                <w:szCs w:val="18"/>
                <w:lang w:eastAsia="hr-HR"/>
              </w:rPr>
            </w:pPr>
            <w:r w:rsidRPr="003D0C85">
              <w:rPr>
                <w:rFonts w:ascii="Calibri" w:eastAsia="Times New Roman" w:hAnsi="Calibri" w:cs="Calibri"/>
                <w:sz w:val="18"/>
                <w:szCs w:val="18"/>
                <w:lang w:eastAsia="hr-HR"/>
              </w:rPr>
              <w:t>0</w:t>
            </w:r>
          </w:p>
        </w:tc>
        <w:tc>
          <w:tcPr>
            <w:tcW w:w="452" w:type="dxa"/>
            <w:gridSpan w:val="2"/>
            <w:tcBorders>
              <w:top w:val="nil"/>
              <w:left w:val="single" w:sz="4" w:space="0" w:color="auto"/>
              <w:bottom w:val="single" w:sz="4" w:space="0" w:color="auto"/>
              <w:right w:val="single" w:sz="8" w:space="0" w:color="auto"/>
            </w:tcBorders>
            <w:shd w:val="clear" w:color="000000" w:fill="33CCCC"/>
            <w:noWrap/>
            <w:vAlign w:val="bottom"/>
            <w:hideMark/>
          </w:tcPr>
          <w:p w14:paraId="22A8C469" w14:textId="77777777" w:rsidR="003D0C85" w:rsidRPr="003D0C85" w:rsidRDefault="003D0C85" w:rsidP="003D0C85">
            <w:pPr>
              <w:spacing w:after="0" w:line="240" w:lineRule="auto"/>
              <w:jc w:val="right"/>
              <w:rPr>
                <w:rFonts w:ascii="Calibri" w:eastAsia="Times New Roman" w:hAnsi="Calibri" w:cs="Calibri"/>
                <w:sz w:val="18"/>
                <w:szCs w:val="18"/>
                <w:lang w:eastAsia="hr-HR"/>
              </w:rPr>
            </w:pPr>
            <w:r w:rsidRPr="003D0C85">
              <w:rPr>
                <w:rFonts w:ascii="Calibri" w:eastAsia="Times New Roman" w:hAnsi="Calibri" w:cs="Calibri"/>
                <w:sz w:val="18"/>
                <w:szCs w:val="18"/>
                <w:lang w:eastAsia="hr-HR"/>
              </w:rPr>
              <w:t>0</w:t>
            </w:r>
          </w:p>
        </w:tc>
        <w:tc>
          <w:tcPr>
            <w:tcW w:w="236" w:type="dxa"/>
            <w:gridSpan w:val="3"/>
            <w:vAlign w:val="center"/>
            <w:hideMark/>
          </w:tcPr>
          <w:p w14:paraId="3F83AAE3" w14:textId="77777777" w:rsidR="003D0C85" w:rsidRPr="003D0C85" w:rsidRDefault="003D0C85" w:rsidP="003D0C85">
            <w:pPr>
              <w:spacing w:after="0" w:line="240" w:lineRule="auto"/>
              <w:rPr>
                <w:rFonts w:ascii="Times New Roman" w:eastAsia="Times New Roman" w:hAnsi="Times New Roman" w:cs="Times New Roman"/>
                <w:sz w:val="18"/>
                <w:szCs w:val="18"/>
                <w:lang w:eastAsia="hr-HR"/>
              </w:rPr>
            </w:pPr>
          </w:p>
        </w:tc>
      </w:tr>
      <w:tr w:rsidR="00E72E51" w:rsidRPr="00E72E51" w14:paraId="4790717F" w14:textId="77777777" w:rsidTr="00E72E51">
        <w:trPr>
          <w:trHeight w:val="315"/>
        </w:trPr>
        <w:tc>
          <w:tcPr>
            <w:tcW w:w="983" w:type="dxa"/>
            <w:tcBorders>
              <w:top w:val="single" w:sz="4" w:space="0" w:color="auto"/>
              <w:left w:val="single" w:sz="8" w:space="0" w:color="auto"/>
              <w:bottom w:val="single" w:sz="4" w:space="0" w:color="auto"/>
              <w:right w:val="single" w:sz="4" w:space="0" w:color="auto"/>
            </w:tcBorders>
            <w:shd w:val="clear" w:color="000000" w:fill="CCFFCC"/>
            <w:vAlign w:val="center"/>
            <w:hideMark/>
          </w:tcPr>
          <w:p w14:paraId="5B4B871B" w14:textId="77777777" w:rsidR="003D0C85" w:rsidRPr="003D0C85" w:rsidRDefault="003D0C85" w:rsidP="003D0C85">
            <w:pPr>
              <w:spacing w:after="0" w:line="240" w:lineRule="auto"/>
              <w:rPr>
                <w:rFonts w:ascii="Calibri" w:eastAsia="Times New Roman" w:hAnsi="Calibri" w:cs="Calibri"/>
                <w:sz w:val="18"/>
                <w:szCs w:val="18"/>
                <w:lang w:eastAsia="hr-HR"/>
              </w:rPr>
            </w:pPr>
            <w:r w:rsidRPr="003D0C85">
              <w:rPr>
                <w:rFonts w:ascii="Calibri" w:eastAsia="Times New Roman" w:hAnsi="Calibri" w:cs="Calibri"/>
                <w:sz w:val="18"/>
                <w:szCs w:val="18"/>
                <w:lang w:eastAsia="hr-HR"/>
              </w:rPr>
              <w:t>Spolna orijentacija</w:t>
            </w:r>
          </w:p>
        </w:tc>
        <w:tc>
          <w:tcPr>
            <w:tcW w:w="442" w:type="dxa"/>
            <w:tcBorders>
              <w:top w:val="nil"/>
              <w:left w:val="nil"/>
              <w:bottom w:val="single" w:sz="4" w:space="0" w:color="auto"/>
              <w:right w:val="single" w:sz="4" w:space="0" w:color="auto"/>
            </w:tcBorders>
            <w:shd w:val="clear" w:color="000000" w:fill="FFFF00"/>
            <w:vAlign w:val="bottom"/>
            <w:hideMark/>
          </w:tcPr>
          <w:p w14:paraId="7B8B095F" w14:textId="77777777" w:rsidR="003D0C85" w:rsidRPr="003D0C85" w:rsidRDefault="003D0C85" w:rsidP="003D0C85">
            <w:pPr>
              <w:spacing w:after="0" w:line="240" w:lineRule="auto"/>
              <w:jc w:val="right"/>
              <w:rPr>
                <w:rFonts w:ascii="Calibri" w:eastAsia="Times New Roman" w:hAnsi="Calibri" w:cs="Calibri"/>
                <w:b/>
                <w:bCs/>
                <w:sz w:val="18"/>
                <w:szCs w:val="18"/>
                <w:lang w:eastAsia="hr-HR"/>
              </w:rPr>
            </w:pPr>
            <w:r w:rsidRPr="003D0C85">
              <w:rPr>
                <w:rFonts w:ascii="Calibri" w:eastAsia="Times New Roman" w:hAnsi="Calibri" w:cs="Calibri"/>
                <w:b/>
                <w:bCs/>
                <w:sz w:val="18"/>
                <w:szCs w:val="18"/>
                <w:lang w:eastAsia="hr-HR"/>
              </w:rPr>
              <w:t>5</w:t>
            </w:r>
          </w:p>
        </w:tc>
        <w:tc>
          <w:tcPr>
            <w:tcW w:w="443" w:type="dxa"/>
            <w:tcBorders>
              <w:top w:val="nil"/>
              <w:left w:val="nil"/>
              <w:bottom w:val="single" w:sz="4" w:space="0" w:color="auto"/>
              <w:right w:val="single" w:sz="4" w:space="0" w:color="auto"/>
            </w:tcBorders>
            <w:shd w:val="clear" w:color="000000" w:fill="FFCC99"/>
            <w:noWrap/>
            <w:vAlign w:val="bottom"/>
            <w:hideMark/>
          </w:tcPr>
          <w:p w14:paraId="1FF3774D" w14:textId="77777777" w:rsidR="003D0C85" w:rsidRPr="003D0C85" w:rsidRDefault="003D0C85" w:rsidP="003D0C85">
            <w:pPr>
              <w:spacing w:after="0" w:line="240" w:lineRule="auto"/>
              <w:jc w:val="right"/>
              <w:rPr>
                <w:rFonts w:ascii="Calibri" w:eastAsia="Times New Roman" w:hAnsi="Calibri" w:cs="Calibri"/>
                <w:sz w:val="18"/>
                <w:szCs w:val="18"/>
                <w:lang w:eastAsia="hr-HR"/>
              </w:rPr>
            </w:pPr>
            <w:r w:rsidRPr="003D0C85">
              <w:rPr>
                <w:rFonts w:ascii="Calibri" w:eastAsia="Times New Roman" w:hAnsi="Calibri" w:cs="Calibri"/>
                <w:sz w:val="18"/>
                <w:szCs w:val="18"/>
                <w:lang w:eastAsia="hr-HR"/>
              </w:rPr>
              <w:t>0</w:t>
            </w:r>
          </w:p>
        </w:tc>
        <w:tc>
          <w:tcPr>
            <w:tcW w:w="316" w:type="dxa"/>
            <w:tcBorders>
              <w:top w:val="nil"/>
              <w:left w:val="nil"/>
              <w:bottom w:val="single" w:sz="4" w:space="0" w:color="auto"/>
              <w:right w:val="single" w:sz="4" w:space="0" w:color="auto"/>
            </w:tcBorders>
            <w:shd w:val="clear" w:color="000000" w:fill="CCFFFF"/>
            <w:vAlign w:val="bottom"/>
            <w:hideMark/>
          </w:tcPr>
          <w:p w14:paraId="5A348D21" w14:textId="77777777" w:rsidR="003D0C85" w:rsidRPr="003D0C85" w:rsidRDefault="003D0C85" w:rsidP="003D0C85">
            <w:pPr>
              <w:spacing w:after="0" w:line="240" w:lineRule="auto"/>
              <w:jc w:val="right"/>
              <w:rPr>
                <w:rFonts w:ascii="Calibri" w:eastAsia="Times New Roman" w:hAnsi="Calibri" w:cs="Calibri"/>
                <w:sz w:val="18"/>
                <w:szCs w:val="18"/>
                <w:lang w:eastAsia="hr-HR"/>
              </w:rPr>
            </w:pPr>
            <w:r w:rsidRPr="003D0C85">
              <w:rPr>
                <w:rFonts w:ascii="Calibri" w:eastAsia="Times New Roman" w:hAnsi="Calibri" w:cs="Calibri"/>
                <w:sz w:val="18"/>
                <w:szCs w:val="18"/>
                <w:lang w:eastAsia="hr-HR"/>
              </w:rPr>
              <w:t>0</w:t>
            </w:r>
          </w:p>
        </w:tc>
        <w:tc>
          <w:tcPr>
            <w:tcW w:w="452" w:type="dxa"/>
            <w:tcBorders>
              <w:top w:val="nil"/>
              <w:left w:val="nil"/>
              <w:bottom w:val="single" w:sz="4" w:space="0" w:color="auto"/>
              <w:right w:val="single" w:sz="4" w:space="0" w:color="auto"/>
            </w:tcBorders>
            <w:shd w:val="clear" w:color="000000" w:fill="CCFFFF"/>
            <w:vAlign w:val="bottom"/>
            <w:hideMark/>
          </w:tcPr>
          <w:p w14:paraId="2D1701C2" w14:textId="77777777" w:rsidR="003D0C85" w:rsidRPr="003D0C85" w:rsidRDefault="003D0C85" w:rsidP="003D0C85">
            <w:pPr>
              <w:spacing w:after="0" w:line="240" w:lineRule="auto"/>
              <w:jc w:val="right"/>
              <w:rPr>
                <w:rFonts w:ascii="Calibri" w:eastAsia="Times New Roman" w:hAnsi="Calibri" w:cs="Calibri"/>
                <w:sz w:val="18"/>
                <w:szCs w:val="18"/>
                <w:lang w:eastAsia="hr-HR"/>
              </w:rPr>
            </w:pPr>
            <w:r w:rsidRPr="003D0C85">
              <w:rPr>
                <w:rFonts w:ascii="Calibri" w:eastAsia="Times New Roman" w:hAnsi="Calibri" w:cs="Calibri"/>
                <w:sz w:val="18"/>
                <w:szCs w:val="18"/>
                <w:lang w:eastAsia="hr-HR"/>
              </w:rPr>
              <w:t>0</w:t>
            </w:r>
          </w:p>
        </w:tc>
        <w:tc>
          <w:tcPr>
            <w:tcW w:w="491" w:type="dxa"/>
            <w:gridSpan w:val="2"/>
            <w:tcBorders>
              <w:top w:val="nil"/>
              <w:left w:val="nil"/>
              <w:bottom w:val="single" w:sz="4" w:space="0" w:color="auto"/>
              <w:right w:val="single" w:sz="4" w:space="0" w:color="auto"/>
            </w:tcBorders>
            <w:shd w:val="clear" w:color="000000" w:fill="FFFF99"/>
            <w:noWrap/>
            <w:vAlign w:val="bottom"/>
            <w:hideMark/>
          </w:tcPr>
          <w:p w14:paraId="66AB2FFD" w14:textId="77777777" w:rsidR="003D0C85" w:rsidRPr="003D0C85" w:rsidRDefault="003D0C85" w:rsidP="003D0C85">
            <w:pPr>
              <w:spacing w:after="0" w:line="240" w:lineRule="auto"/>
              <w:jc w:val="right"/>
              <w:rPr>
                <w:rFonts w:ascii="Calibri" w:eastAsia="Times New Roman" w:hAnsi="Calibri" w:cs="Calibri"/>
                <w:sz w:val="18"/>
                <w:szCs w:val="18"/>
                <w:lang w:eastAsia="hr-HR"/>
              </w:rPr>
            </w:pPr>
            <w:r w:rsidRPr="003D0C85">
              <w:rPr>
                <w:rFonts w:ascii="Calibri" w:eastAsia="Times New Roman" w:hAnsi="Calibri" w:cs="Calibri"/>
                <w:sz w:val="18"/>
                <w:szCs w:val="18"/>
                <w:lang w:eastAsia="hr-HR"/>
              </w:rPr>
              <w:t>0</w:t>
            </w:r>
          </w:p>
        </w:tc>
        <w:tc>
          <w:tcPr>
            <w:tcW w:w="447" w:type="dxa"/>
            <w:tcBorders>
              <w:top w:val="nil"/>
              <w:left w:val="nil"/>
              <w:bottom w:val="single" w:sz="4" w:space="0" w:color="auto"/>
              <w:right w:val="single" w:sz="4" w:space="0" w:color="auto"/>
            </w:tcBorders>
            <w:shd w:val="clear" w:color="000000" w:fill="FFFF99"/>
            <w:noWrap/>
            <w:vAlign w:val="bottom"/>
            <w:hideMark/>
          </w:tcPr>
          <w:p w14:paraId="505CE5CF" w14:textId="77777777" w:rsidR="003D0C85" w:rsidRPr="003D0C85" w:rsidRDefault="003D0C85" w:rsidP="003D0C85">
            <w:pPr>
              <w:spacing w:after="0" w:line="240" w:lineRule="auto"/>
              <w:jc w:val="right"/>
              <w:rPr>
                <w:rFonts w:ascii="Calibri" w:eastAsia="Times New Roman" w:hAnsi="Calibri" w:cs="Calibri"/>
                <w:sz w:val="18"/>
                <w:szCs w:val="18"/>
                <w:lang w:eastAsia="hr-HR"/>
              </w:rPr>
            </w:pPr>
            <w:r w:rsidRPr="003D0C85">
              <w:rPr>
                <w:rFonts w:ascii="Calibri" w:eastAsia="Times New Roman" w:hAnsi="Calibri" w:cs="Calibri"/>
                <w:sz w:val="18"/>
                <w:szCs w:val="18"/>
                <w:lang w:eastAsia="hr-HR"/>
              </w:rPr>
              <w:t>0</w:t>
            </w:r>
          </w:p>
        </w:tc>
        <w:tc>
          <w:tcPr>
            <w:tcW w:w="495" w:type="dxa"/>
            <w:tcBorders>
              <w:top w:val="nil"/>
              <w:left w:val="nil"/>
              <w:bottom w:val="single" w:sz="4" w:space="0" w:color="auto"/>
              <w:right w:val="single" w:sz="4" w:space="0" w:color="auto"/>
            </w:tcBorders>
            <w:shd w:val="clear" w:color="000000" w:fill="FFFF99"/>
            <w:noWrap/>
            <w:vAlign w:val="bottom"/>
            <w:hideMark/>
          </w:tcPr>
          <w:p w14:paraId="16E91B6E" w14:textId="77777777" w:rsidR="003D0C85" w:rsidRPr="003D0C85" w:rsidRDefault="003D0C85" w:rsidP="003D0C85">
            <w:pPr>
              <w:spacing w:after="0" w:line="240" w:lineRule="auto"/>
              <w:jc w:val="right"/>
              <w:rPr>
                <w:rFonts w:ascii="Calibri" w:eastAsia="Times New Roman" w:hAnsi="Calibri" w:cs="Calibri"/>
                <w:sz w:val="18"/>
                <w:szCs w:val="18"/>
                <w:lang w:eastAsia="hr-HR"/>
              </w:rPr>
            </w:pPr>
            <w:r w:rsidRPr="003D0C85">
              <w:rPr>
                <w:rFonts w:ascii="Calibri" w:eastAsia="Times New Roman" w:hAnsi="Calibri" w:cs="Calibri"/>
                <w:sz w:val="18"/>
                <w:szCs w:val="18"/>
                <w:lang w:eastAsia="hr-HR"/>
              </w:rPr>
              <w:t>0</w:t>
            </w:r>
          </w:p>
        </w:tc>
        <w:tc>
          <w:tcPr>
            <w:tcW w:w="451" w:type="dxa"/>
            <w:tcBorders>
              <w:top w:val="nil"/>
              <w:left w:val="nil"/>
              <w:bottom w:val="single" w:sz="4" w:space="0" w:color="auto"/>
              <w:right w:val="single" w:sz="4" w:space="0" w:color="auto"/>
            </w:tcBorders>
            <w:shd w:val="clear" w:color="000000" w:fill="FFFF99"/>
            <w:noWrap/>
            <w:vAlign w:val="bottom"/>
            <w:hideMark/>
          </w:tcPr>
          <w:p w14:paraId="07CE0DA7" w14:textId="77777777" w:rsidR="003D0C85" w:rsidRPr="003D0C85" w:rsidRDefault="003D0C85" w:rsidP="003D0C85">
            <w:pPr>
              <w:spacing w:after="0" w:line="240" w:lineRule="auto"/>
              <w:jc w:val="right"/>
              <w:rPr>
                <w:rFonts w:ascii="Calibri" w:eastAsia="Times New Roman" w:hAnsi="Calibri" w:cs="Calibri"/>
                <w:sz w:val="18"/>
                <w:szCs w:val="18"/>
                <w:lang w:eastAsia="hr-HR"/>
              </w:rPr>
            </w:pPr>
            <w:r w:rsidRPr="003D0C85">
              <w:rPr>
                <w:rFonts w:ascii="Calibri" w:eastAsia="Times New Roman" w:hAnsi="Calibri" w:cs="Calibri"/>
                <w:sz w:val="18"/>
                <w:szCs w:val="18"/>
                <w:lang w:eastAsia="hr-HR"/>
              </w:rPr>
              <w:t>0</w:t>
            </w:r>
          </w:p>
        </w:tc>
        <w:tc>
          <w:tcPr>
            <w:tcW w:w="632" w:type="dxa"/>
            <w:gridSpan w:val="2"/>
            <w:tcBorders>
              <w:top w:val="nil"/>
              <w:left w:val="nil"/>
              <w:bottom w:val="single" w:sz="4" w:space="0" w:color="auto"/>
              <w:right w:val="single" w:sz="4" w:space="0" w:color="auto"/>
            </w:tcBorders>
            <w:shd w:val="clear" w:color="000000" w:fill="FFFF99"/>
            <w:noWrap/>
            <w:vAlign w:val="bottom"/>
            <w:hideMark/>
          </w:tcPr>
          <w:p w14:paraId="06EE661C" w14:textId="77777777" w:rsidR="003D0C85" w:rsidRPr="003D0C85" w:rsidRDefault="003D0C85" w:rsidP="003D0C85">
            <w:pPr>
              <w:spacing w:after="0" w:line="240" w:lineRule="auto"/>
              <w:jc w:val="right"/>
              <w:rPr>
                <w:rFonts w:ascii="Calibri" w:eastAsia="Times New Roman" w:hAnsi="Calibri" w:cs="Calibri"/>
                <w:sz w:val="18"/>
                <w:szCs w:val="18"/>
                <w:lang w:eastAsia="hr-HR"/>
              </w:rPr>
            </w:pPr>
            <w:r w:rsidRPr="003D0C85">
              <w:rPr>
                <w:rFonts w:ascii="Calibri" w:eastAsia="Times New Roman" w:hAnsi="Calibri" w:cs="Calibri"/>
                <w:sz w:val="18"/>
                <w:szCs w:val="18"/>
                <w:lang w:eastAsia="hr-HR"/>
              </w:rPr>
              <w:t>0</w:t>
            </w:r>
          </w:p>
        </w:tc>
        <w:tc>
          <w:tcPr>
            <w:tcW w:w="447" w:type="dxa"/>
            <w:tcBorders>
              <w:top w:val="nil"/>
              <w:left w:val="nil"/>
              <w:bottom w:val="single" w:sz="4" w:space="0" w:color="auto"/>
              <w:right w:val="single" w:sz="4" w:space="0" w:color="auto"/>
            </w:tcBorders>
            <w:shd w:val="clear" w:color="000000" w:fill="FFFF99"/>
            <w:noWrap/>
            <w:vAlign w:val="bottom"/>
            <w:hideMark/>
          </w:tcPr>
          <w:p w14:paraId="02CFFA9F" w14:textId="77777777" w:rsidR="003D0C85" w:rsidRPr="003D0C85" w:rsidRDefault="003D0C85" w:rsidP="003D0C85">
            <w:pPr>
              <w:spacing w:after="0" w:line="240" w:lineRule="auto"/>
              <w:jc w:val="right"/>
              <w:rPr>
                <w:rFonts w:ascii="Calibri" w:eastAsia="Times New Roman" w:hAnsi="Calibri" w:cs="Calibri"/>
                <w:sz w:val="18"/>
                <w:szCs w:val="18"/>
                <w:lang w:eastAsia="hr-HR"/>
              </w:rPr>
            </w:pPr>
            <w:r w:rsidRPr="003D0C85">
              <w:rPr>
                <w:rFonts w:ascii="Calibri" w:eastAsia="Times New Roman" w:hAnsi="Calibri" w:cs="Calibri"/>
                <w:sz w:val="18"/>
                <w:szCs w:val="18"/>
                <w:lang w:eastAsia="hr-HR"/>
              </w:rPr>
              <w:t>0</w:t>
            </w:r>
          </w:p>
        </w:tc>
        <w:tc>
          <w:tcPr>
            <w:tcW w:w="543" w:type="dxa"/>
            <w:tcBorders>
              <w:top w:val="nil"/>
              <w:left w:val="nil"/>
              <w:bottom w:val="single" w:sz="4" w:space="0" w:color="auto"/>
              <w:right w:val="single" w:sz="4" w:space="0" w:color="auto"/>
            </w:tcBorders>
            <w:shd w:val="clear" w:color="000000" w:fill="FFFF99"/>
            <w:noWrap/>
            <w:vAlign w:val="bottom"/>
            <w:hideMark/>
          </w:tcPr>
          <w:p w14:paraId="7FCE4CF2" w14:textId="77777777" w:rsidR="003D0C85" w:rsidRPr="003D0C85" w:rsidRDefault="003D0C85" w:rsidP="003D0C85">
            <w:pPr>
              <w:spacing w:after="0" w:line="240" w:lineRule="auto"/>
              <w:jc w:val="right"/>
              <w:rPr>
                <w:rFonts w:ascii="Calibri" w:eastAsia="Times New Roman" w:hAnsi="Calibri" w:cs="Calibri"/>
                <w:sz w:val="18"/>
                <w:szCs w:val="18"/>
                <w:lang w:eastAsia="hr-HR"/>
              </w:rPr>
            </w:pPr>
            <w:r w:rsidRPr="003D0C85">
              <w:rPr>
                <w:rFonts w:ascii="Calibri" w:eastAsia="Times New Roman" w:hAnsi="Calibri" w:cs="Calibri"/>
                <w:sz w:val="18"/>
                <w:szCs w:val="18"/>
                <w:lang w:eastAsia="hr-HR"/>
              </w:rPr>
              <w:t>0</w:t>
            </w:r>
          </w:p>
        </w:tc>
        <w:tc>
          <w:tcPr>
            <w:tcW w:w="447" w:type="dxa"/>
            <w:tcBorders>
              <w:top w:val="nil"/>
              <w:left w:val="nil"/>
              <w:bottom w:val="single" w:sz="4" w:space="0" w:color="auto"/>
              <w:right w:val="single" w:sz="4" w:space="0" w:color="auto"/>
            </w:tcBorders>
            <w:shd w:val="clear" w:color="000000" w:fill="FFFF99"/>
            <w:noWrap/>
            <w:vAlign w:val="bottom"/>
            <w:hideMark/>
          </w:tcPr>
          <w:p w14:paraId="286AE00C" w14:textId="77777777" w:rsidR="003D0C85" w:rsidRPr="003D0C85" w:rsidRDefault="003D0C85" w:rsidP="003D0C85">
            <w:pPr>
              <w:spacing w:after="0" w:line="240" w:lineRule="auto"/>
              <w:jc w:val="right"/>
              <w:rPr>
                <w:rFonts w:ascii="Calibri" w:eastAsia="Times New Roman" w:hAnsi="Calibri" w:cs="Calibri"/>
                <w:sz w:val="18"/>
                <w:szCs w:val="18"/>
                <w:lang w:eastAsia="hr-HR"/>
              </w:rPr>
            </w:pPr>
            <w:r w:rsidRPr="003D0C85">
              <w:rPr>
                <w:rFonts w:ascii="Calibri" w:eastAsia="Times New Roman" w:hAnsi="Calibri" w:cs="Calibri"/>
                <w:sz w:val="18"/>
                <w:szCs w:val="18"/>
                <w:lang w:eastAsia="hr-HR"/>
              </w:rPr>
              <w:t>0</w:t>
            </w:r>
          </w:p>
        </w:tc>
        <w:tc>
          <w:tcPr>
            <w:tcW w:w="543" w:type="dxa"/>
            <w:tcBorders>
              <w:top w:val="nil"/>
              <w:left w:val="nil"/>
              <w:bottom w:val="single" w:sz="4" w:space="0" w:color="auto"/>
              <w:right w:val="single" w:sz="4" w:space="0" w:color="auto"/>
            </w:tcBorders>
            <w:shd w:val="clear" w:color="000000" w:fill="FFFF99"/>
            <w:noWrap/>
            <w:vAlign w:val="bottom"/>
            <w:hideMark/>
          </w:tcPr>
          <w:p w14:paraId="2721E7C8" w14:textId="77777777" w:rsidR="003D0C85" w:rsidRPr="003D0C85" w:rsidRDefault="003D0C85" w:rsidP="003D0C85">
            <w:pPr>
              <w:spacing w:after="0" w:line="240" w:lineRule="auto"/>
              <w:jc w:val="right"/>
              <w:rPr>
                <w:rFonts w:ascii="Calibri" w:eastAsia="Times New Roman" w:hAnsi="Calibri" w:cs="Calibri"/>
                <w:sz w:val="18"/>
                <w:szCs w:val="18"/>
                <w:lang w:eastAsia="hr-HR"/>
              </w:rPr>
            </w:pPr>
            <w:r w:rsidRPr="003D0C85">
              <w:rPr>
                <w:rFonts w:ascii="Calibri" w:eastAsia="Times New Roman" w:hAnsi="Calibri" w:cs="Calibri"/>
                <w:sz w:val="18"/>
                <w:szCs w:val="18"/>
                <w:lang w:eastAsia="hr-HR"/>
              </w:rPr>
              <w:t>0</w:t>
            </w:r>
          </w:p>
        </w:tc>
        <w:tc>
          <w:tcPr>
            <w:tcW w:w="356" w:type="dxa"/>
            <w:tcBorders>
              <w:top w:val="nil"/>
              <w:left w:val="nil"/>
              <w:bottom w:val="single" w:sz="4" w:space="0" w:color="auto"/>
              <w:right w:val="single" w:sz="4" w:space="0" w:color="auto"/>
            </w:tcBorders>
            <w:shd w:val="clear" w:color="000000" w:fill="FFFF99"/>
            <w:noWrap/>
            <w:vAlign w:val="bottom"/>
            <w:hideMark/>
          </w:tcPr>
          <w:p w14:paraId="5AC598B4" w14:textId="77777777" w:rsidR="003D0C85" w:rsidRPr="003D0C85" w:rsidRDefault="003D0C85" w:rsidP="003D0C85">
            <w:pPr>
              <w:spacing w:after="0" w:line="240" w:lineRule="auto"/>
              <w:jc w:val="right"/>
              <w:rPr>
                <w:rFonts w:ascii="Calibri" w:eastAsia="Times New Roman" w:hAnsi="Calibri" w:cs="Calibri"/>
                <w:sz w:val="18"/>
                <w:szCs w:val="18"/>
                <w:lang w:eastAsia="hr-HR"/>
              </w:rPr>
            </w:pPr>
            <w:r w:rsidRPr="003D0C85">
              <w:rPr>
                <w:rFonts w:ascii="Calibri" w:eastAsia="Times New Roman" w:hAnsi="Calibri" w:cs="Calibri"/>
                <w:sz w:val="18"/>
                <w:szCs w:val="18"/>
                <w:lang w:eastAsia="hr-HR"/>
              </w:rPr>
              <w:t>0</w:t>
            </w:r>
          </w:p>
        </w:tc>
        <w:tc>
          <w:tcPr>
            <w:tcW w:w="447" w:type="dxa"/>
            <w:gridSpan w:val="2"/>
            <w:tcBorders>
              <w:top w:val="nil"/>
              <w:left w:val="nil"/>
              <w:bottom w:val="single" w:sz="4" w:space="0" w:color="auto"/>
              <w:right w:val="single" w:sz="4" w:space="0" w:color="auto"/>
            </w:tcBorders>
            <w:shd w:val="clear" w:color="000000" w:fill="FF9900"/>
            <w:noWrap/>
            <w:vAlign w:val="bottom"/>
            <w:hideMark/>
          </w:tcPr>
          <w:p w14:paraId="6980224E" w14:textId="77777777" w:rsidR="003D0C85" w:rsidRPr="003D0C85" w:rsidRDefault="003D0C85" w:rsidP="003D0C85">
            <w:pPr>
              <w:spacing w:after="0" w:line="240" w:lineRule="auto"/>
              <w:jc w:val="right"/>
              <w:rPr>
                <w:rFonts w:ascii="Calibri" w:eastAsia="Times New Roman" w:hAnsi="Calibri" w:cs="Calibri"/>
                <w:sz w:val="18"/>
                <w:szCs w:val="18"/>
                <w:lang w:eastAsia="hr-HR"/>
              </w:rPr>
            </w:pPr>
            <w:r w:rsidRPr="003D0C85">
              <w:rPr>
                <w:rFonts w:ascii="Calibri" w:eastAsia="Times New Roman" w:hAnsi="Calibri" w:cs="Calibri"/>
                <w:sz w:val="18"/>
                <w:szCs w:val="18"/>
                <w:lang w:eastAsia="hr-HR"/>
              </w:rPr>
              <w:t>3</w:t>
            </w:r>
          </w:p>
        </w:tc>
        <w:tc>
          <w:tcPr>
            <w:tcW w:w="447" w:type="dxa"/>
            <w:tcBorders>
              <w:top w:val="nil"/>
              <w:left w:val="nil"/>
              <w:bottom w:val="single" w:sz="4" w:space="0" w:color="auto"/>
              <w:right w:val="single" w:sz="4" w:space="0" w:color="auto"/>
            </w:tcBorders>
            <w:shd w:val="clear" w:color="000000" w:fill="FF9900"/>
            <w:noWrap/>
            <w:vAlign w:val="bottom"/>
            <w:hideMark/>
          </w:tcPr>
          <w:p w14:paraId="73B10045" w14:textId="77777777" w:rsidR="003D0C85" w:rsidRPr="003D0C85" w:rsidRDefault="003D0C85" w:rsidP="003D0C85">
            <w:pPr>
              <w:spacing w:after="0" w:line="240" w:lineRule="auto"/>
              <w:jc w:val="right"/>
              <w:rPr>
                <w:rFonts w:ascii="Calibri" w:eastAsia="Times New Roman" w:hAnsi="Calibri" w:cs="Calibri"/>
                <w:sz w:val="18"/>
                <w:szCs w:val="18"/>
                <w:lang w:eastAsia="hr-HR"/>
              </w:rPr>
            </w:pPr>
            <w:r w:rsidRPr="003D0C85">
              <w:rPr>
                <w:rFonts w:ascii="Calibri" w:eastAsia="Times New Roman" w:hAnsi="Calibri" w:cs="Calibri"/>
                <w:sz w:val="18"/>
                <w:szCs w:val="18"/>
                <w:lang w:eastAsia="hr-HR"/>
              </w:rPr>
              <w:t>0</w:t>
            </w:r>
          </w:p>
        </w:tc>
        <w:tc>
          <w:tcPr>
            <w:tcW w:w="447" w:type="dxa"/>
            <w:tcBorders>
              <w:top w:val="nil"/>
              <w:left w:val="nil"/>
              <w:bottom w:val="single" w:sz="4" w:space="0" w:color="auto"/>
              <w:right w:val="single" w:sz="4" w:space="0" w:color="auto"/>
            </w:tcBorders>
            <w:shd w:val="clear" w:color="000000" w:fill="FF9900"/>
            <w:noWrap/>
            <w:vAlign w:val="bottom"/>
            <w:hideMark/>
          </w:tcPr>
          <w:p w14:paraId="68645385" w14:textId="77777777" w:rsidR="003D0C85" w:rsidRPr="003D0C85" w:rsidRDefault="003D0C85" w:rsidP="003D0C85">
            <w:pPr>
              <w:spacing w:after="0" w:line="240" w:lineRule="auto"/>
              <w:jc w:val="right"/>
              <w:rPr>
                <w:rFonts w:ascii="Calibri" w:eastAsia="Times New Roman" w:hAnsi="Calibri" w:cs="Calibri"/>
                <w:sz w:val="18"/>
                <w:szCs w:val="18"/>
                <w:lang w:eastAsia="hr-HR"/>
              </w:rPr>
            </w:pPr>
            <w:r w:rsidRPr="003D0C85">
              <w:rPr>
                <w:rFonts w:ascii="Calibri" w:eastAsia="Times New Roman" w:hAnsi="Calibri" w:cs="Calibri"/>
                <w:sz w:val="18"/>
                <w:szCs w:val="18"/>
                <w:lang w:eastAsia="hr-HR"/>
              </w:rPr>
              <w:t>0</w:t>
            </w:r>
          </w:p>
        </w:tc>
        <w:tc>
          <w:tcPr>
            <w:tcW w:w="475" w:type="dxa"/>
            <w:tcBorders>
              <w:top w:val="nil"/>
              <w:left w:val="nil"/>
              <w:bottom w:val="single" w:sz="4" w:space="0" w:color="auto"/>
              <w:right w:val="single" w:sz="4" w:space="0" w:color="auto"/>
            </w:tcBorders>
            <w:shd w:val="clear" w:color="auto" w:fill="auto"/>
            <w:vAlign w:val="bottom"/>
            <w:hideMark/>
          </w:tcPr>
          <w:p w14:paraId="6BE50A47" w14:textId="77777777" w:rsidR="003D0C85" w:rsidRPr="003D0C85" w:rsidRDefault="003D0C85" w:rsidP="003D0C85">
            <w:pPr>
              <w:spacing w:after="0" w:line="240" w:lineRule="auto"/>
              <w:jc w:val="right"/>
              <w:rPr>
                <w:rFonts w:ascii="Calibri" w:eastAsia="Times New Roman" w:hAnsi="Calibri" w:cs="Calibri"/>
                <w:b/>
                <w:bCs/>
                <w:sz w:val="18"/>
                <w:szCs w:val="18"/>
                <w:lang w:eastAsia="hr-HR"/>
              </w:rPr>
            </w:pPr>
            <w:r w:rsidRPr="003D0C85">
              <w:rPr>
                <w:rFonts w:ascii="Calibri" w:eastAsia="Times New Roman" w:hAnsi="Calibri" w:cs="Calibri"/>
                <w:b/>
                <w:bCs/>
                <w:sz w:val="18"/>
                <w:szCs w:val="18"/>
                <w:lang w:eastAsia="hr-HR"/>
              </w:rPr>
              <w:t>3</w:t>
            </w:r>
          </w:p>
        </w:tc>
        <w:tc>
          <w:tcPr>
            <w:tcW w:w="447" w:type="dxa"/>
            <w:gridSpan w:val="2"/>
            <w:tcBorders>
              <w:top w:val="nil"/>
              <w:left w:val="nil"/>
              <w:bottom w:val="single" w:sz="4" w:space="0" w:color="auto"/>
              <w:right w:val="single" w:sz="4" w:space="0" w:color="auto"/>
            </w:tcBorders>
            <w:shd w:val="clear" w:color="000000" w:fill="FFFF00"/>
            <w:noWrap/>
            <w:vAlign w:val="bottom"/>
            <w:hideMark/>
          </w:tcPr>
          <w:p w14:paraId="4CC83463" w14:textId="77777777" w:rsidR="003D0C85" w:rsidRPr="003D0C85" w:rsidRDefault="003D0C85" w:rsidP="003D0C85">
            <w:pPr>
              <w:spacing w:after="0" w:line="240" w:lineRule="auto"/>
              <w:jc w:val="right"/>
              <w:rPr>
                <w:rFonts w:ascii="Calibri" w:eastAsia="Times New Roman" w:hAnsi="Calibri" w:cs="Calibri"/>
                <w:sz w:val="18"/>
                <w:szCs w:val="18"/>
                <w:lang w:eastAsia="hr-HR"/>
              </w:rPr>
            </w:pPr>
            <w:r w:rsidRPr="003D0C85">
              <w:rPr>
                <w:rFonts w:ascii="Calibri" w:eastAsia="Times New Roman" w:hAnsi="Calibri" w:cs="Calibri"/>
                <w:sz w:val="18"/>
                <w:szCs w:val="18"/>
                <w:lang w:eastAsia="hr-HR"/>
              </w:rPr>
              <w:t>0</w:t>
            </w:r>
          </w:p>
        </w:tc>
        <w:tc>
          <w:tcPr>
            <w:tcW w:w="447" w:type="dxa"/>
            <w:tcBorders>
              <w:top w:val="nil"/>
              <w:left w:val="nil"/>
              <w:bottom w:val="single" w:sz="4" w:space="0" w:color="auto"/>
              <w:right w:val="single" w:sz="4" w:space="0" w:color="auto"/>
            </w:tcBorders>
            <w:shd w:val="clear" w:color="000000" w:fill="FFFF00"/>
            <w:noWrap/>
            <w:vAlign w:val="bottom"/>
            <w:hideMark/>
          </w:tcPr>
          <w:p w14:paraId="378E97B3" w14:textId="77777777" w:rsidR="003D0C85" w:rsidRPr="003D0C85" w:rsidRDefault="003D0C85" w:rsidP="003D0C85">
            <w:pPr>
              <w:spacing w:after="0" w:line="240" w:lineRule="auto"/>
              <w:jc w:val="right"/>
              <w:rPr>
                <w:rFonts w:ascii="Calibri" w:eastAsia="Times New Roman" w:hAnsi="Calibri" w:cs="Calibri"/>
                <w:sz w:val="18"/>
                <w:szCs w:val="18"/>
                <w:lang w:eastAsia="hr-HR"/>
              </w:rPr>
            </w:pPr>
            <w:r w:rsidRPr="003D0C85">
              <w:rPr>
                <w:rFonts w:ascii="Calibri" w:eastAsia="Times New Roman" w:hAnsi="Calibri" w:cs="Calibri"/>
                <w:sz w:val="18"/>
                <w:szCs w:val="18"/>
                <w:lang w:eastAsia="hr-HR"/>
              </w:rPr>
              <w:t>2</w:t>
            </w:r>
          </w:p>
        </w:tc>
        <w:tc>
          <w:tcPr>
            <w:tcW w:w="521" w:type="dxa"/>
            <w:tcBorders>
              <w:top w:val="nil"/>
              <w:left w:val="nil"/>
              <w:bottom w:val="single" w:sz="4" w:space="0" w:color="auto"/>
              <w:right w:val="single" w:sz="4" w:space="0" w:color="auto"/>
            </w:tcBorders>
            <w:shd w:val="clear" w:color="000000" w:fill="FFFF00"/>
            <w:noWrap/>
            <w:vAlign w:val="bottom"/>
            <w:hideMark/>
          </w:tcPr>
          <w:p w14:paraId="745E90C8" w14:textId="77777777" w:rsidR="003D0C85" w:rsidRPr="003D0C85" w:rsidRDefault="003D0C85" w:rsidP="003D0C85">
            <w:pPr>
              <w:spacing w:after="0" w:line="240" w:lineRule="auto"/>
              <w:jc w:val="right"/>
              <w:rPr>
                <w:rFonts w:ascii="Calibri" w:eastAsia="Times New Roman" w:hAnsi="Calibri" w:cs="Calibri"/>
                <w:sz w:val="18"/>
                <w:szCs w:val="18"/>
                <w:lang w:eastAsia="hr-HR"/>
              </w:rPr>
            </w:pPr>
            <w:r w:rsidRPr="003D0C85">
              <w:rPr>
                <w:rFonts w:ascii="Calibri" w:eastAsia="Times New Roman" w:hAnsi="Calibri" w:cs="Calibri"/>
                <w:sz w:val="18"/>
                <w:szCs w:val="18"/>
                <w:lang w:eastAsia="hr-HR"/>
              </w:rPr>
              <w:t>1</w:t>
            </w:r>
          </w:p>
        </w:tc>
        <w:tc>
          <w:tcPr>
            <w:tcW w:w="446" w:type="dxa"/>
            <w:tcBorders>
              <w:top w:val="nil"/>
              <w:left w:val="nil"/>
              <w:bottom w:val="single" w:sz="4" w:space="0" w:color="auto"/>
              <w:right w:val="single" w:sz="4" w:space="0" w:color="auto"/>
            </w:tcBorders>
            <w:shd w:val="clear" w:color="auto" w:fill="auto"/>
            <w:vAlign w:val="bottom"/>
            <w:hideMark/>
          </w:tcPr>
          <w:p w14:paraId="6AE531EE" w14:textId="77777777" w:rsidR="003D0C85" w:rsidRPr="003D0C85" w:rsidRDefault="003D0C85" w:rsidP="003D0C85">
            <w:pPr>
              <w:spacing w:after="0" w:line="240" w:lineRule="auto"/>
              <w:jc w:val="right"/>
              <w:rPr>
                <w:rFonts w:ascii="Calibri" w:eastAsia="Times New Roman" w:hAnsi="Calibri" w:cs="Calibri"/>
                <w:b/>
                <w:bCs/>
                <w:sz w:val="18"/>
                <w:szCs w:val="18"/>
                <w:lang w:eastAsia="hr-HR"/>
              </w:rPr>
            </w:pPr>
            <w:r w:rsidRPr="003D0C85">
              <w:rPr>
                <w:rFonts w:ascii="Calibri" w:eastAsia="Times New Roman" w:hAnsi="Calibri" w:cs="Calibri"/>
                <w:b/>
                <w:bCs/>
                <w:sz w:val="18"/>
                <w:szCs w:val="18"/>
                <w:lang w:eastAsia="hr-HR"/>
              </w:rPr>
              <w:t>3</w:t>
            </w:r>
          </w:p>
        </w:tc>
        <w:tc>
          <w:tcPr>
            <w:tcW w:w="792" w:type="dxa"/>
            <w:gridSpan w:val="2"/>
            <w:tcBorders>
              <w:top w:val="nil"/>
              <w:left w:val="nil"/>
              <w:bottom w:val="single" w:sz="4" w:space="0" w:color="auto"/>
              <w:right w:val="single" w:sz="4" w:space="0" w:color="auto"/>
            </w:tcBorders>
            <w:shd w:val="clear" w:color="000000" w:fill="FFFF00"/>
            <w:vAlign w:val="bottom"/>
            <w:hideMark/>
          </w:tcPr>
          <w:p w14:paraId="75B9593D" w14:textId="77777777" w:rsidR="003D0C85" w:rsidRPr="003D0C85" w:rsidRDefault="003D0C85" w:rsidP="003D0C85">
            <w:pPr>
              <w:spacing w:after="0" w:line="240" w:lineRule="auto"/>
              <w:jc w:val="right"/>
              <w:rPr>
                <w:rFonts w:ascii="Calibri" w:eastAsia="Times New Roman" w:hAnsi="Calibri" w:cs="Calibri"/>
                <w:b/>
                <w:bCs/>
                <w:sz w:val="18"/>
                <w:szCs w:val="18"/>
                <w:lang w:eastAsia="hr-HR"/>
              </w:rPr>
            </w:pPr>
            <w:r w:rsidRPr="003D0C85">
              <w:rPr>
                <w:rFonts w:ascii="Calibri" w:eastAsia="Times New Roman" w:hAnsi="Calibri" w:cs="Calibri"/>
                <w:b/>
                <w:bCs/>
                <w:sz w:val="18"/>
                <w:szCs w:val="18"/>
                <w:lang w:eastAsia="hr-HR"/>
              </w:rPr>
              <w:t>2</w:t>
            </w:r>
          </w:p>
        </w:tc>
        <w:tc>
          <w:tcPr>
            <w:tcW w:w="507" w:type="dxa"/>
            <w:gridSpan w:val="2"/>
            <w:tcBorders>
              <w:top w:val="nil"/>
              <w:left w:val="nil"/>
              <w:bottom w:val="single" w:sz="4" w:space="0" w:color="auto"/>
              <w:right w:val="single" w:sz="4" w:space="0" w:color="auto"/>
            </w:tcBorders>
            <w:shd w:val="clear" w:color="000000" w:fill="FF9900"/>
            <w:noWrap/>
            <w:vAlign w:val="bottom"/>
            <w:hideMark/>
          </w:tcPr>
          <w:p w14:paraId="62A17B02" w14:textId="77777777" w:rsidR="003D0C85" w:rsidRPr="003D0C85" w:rsidRDefault="003D0C85" w:rsidP="003D0C85">
            <w:pPr>
              <w:spacing w:after="0" w:line="240" w:lineRule="auto"/>
              <w:jc w:val="right"/>
              <w:rPr>
                <w:rFonts w:ascii="Calibri" w:eastAsia="Times New Roman" w:hAnsi="Calibri" w:cs="Calibri"/>
                <w:sz w:val="18"/>
                <w:szCs w:val="18"/>
                <w:lang w:eastAsia="hr-HR"/>
              </w:rPr>
            </w:pPr>
            <w:r w:rsidRPr="003D0C85">
              <w:rPr>
                <w:rFonts w:ascii="Calibri" w:eastAsia="Times New Roman" w:hAnsi="Calibri" w:cs="Calibri"/>
                <w:sz w:val="18"/>
                <w:szCs w:val="18"/>
                <w:lang w:eastAsia="hr-HR"/>
              </w:rPr>
              <w:t>3</w:t>
            </w:r>
          </w:p>
        </w:tc>
        <w:tc>
          <w:tcPr>
            <w:tcW w:w="244" w:type="dxa"/>
            <w:tcBorders>
              <w:top w:val="nil"/>
              <w:left w:val="nil"/>
              <w:bottom w:val="single" w:sz="4" w:space="0" w:color="auto"/>
              <w:right w:val="single" w:sz="4" w:space="0" w:color="auto"/>
            </w:tcBorders>
            <w:shd w:val="clear" w:color="000000" w:fill="CCFFFF"/>
            <w:noWrap/>
            <w:vAlign w:val="bottom"/>
            <w:hideMark/>
          </w:tcPr>
          <w:p w14:paraId="67F8F3AF" w14:textId="77777777" w:rsidR="003D0C85" w:rsidRPr="003D0C85" w:rsidRDefault="003D0C85" w:rsidP="003D0C85">
            <w:pPr>
              <w:spacing w:after="0" w:line="240" w:lineRule="auto"/>
              <w:jc w:val="right"/>
              <w:rPr>
                <w:rFonts w:ascii="Calibri" w:eastAsia="Times New Roman" w:hAnsi="Calibri" w:cs="Calibri"/>
                <w:sz w:val="18"/>
                <w:szCs w:val="18"/>
                <w:lang w:eastAsia="hr-HR"/>
              </w:rPr>
            </w:pPr>
            <w:r w:rsidRPr="003D0C85">
              <w:rPr>
                <w:rFonts w:ascii="Calibri" w:eastAsia="Times New Roman" w:hAnsi="Calibri" w:cs="Calibri"/>
                <w:sz w:val="18"/>
                <w:szCs w:val="18"/>
                <w:lang w:eastAsia="hr-HR"/>
              </w:rPr>
              <w:t>1</w:t>
            </w:r>
          </w:p>
        </w:tc>
        <w:tc>
          <w:tcPr>
            <w:tcW w:w="425" w:type="dxa"/>
            <w:tcBorders>
              <w:top w:val="nil"/>
              <w:left w:val="nil"/>
              <w:bottom w:val="single" w:sz="4" w:space="0" w:color="auto"/>
              <w:right w:val="single" w:sz="4" w:space="0" w:color="auto"/>
            </w:tcBorders>
            <w:shd w:val="clear" w:color="000000" w:fill="CCFFFF"/>
            <w:noWrap/>
            <w:vAlign w:val="bottom"/>
            <w:hideMark/>
          </w:tcPr>
          <w:p w14:paraId="54A9795C" w14:textId="77777777" w:rsidR="003D0C85" w:rsidRPr="003D0C85" w:rsidRDefault="003D0C85" w:rsidP="003D0C85">
            <w:pPr>
              <w:spacing w:after="0" w:line="240" w:lineRule="auto"/>
              <w:jc w:val="right"/>
              <w:rPr>
                <w:rFonts w:ascii="Calibri" w:eastAsia="Times New Roman" w:hAnsi="Calibri" w:cs="Calibri"/>
                <w:sz w:val="18"/>
                <w:szCs w:val="18"/>
                <w:lang w:eastAsia="hr-HR"/>
              </w:rPr>
            </w:pPr>
            <w:r w:rsidRPr="003D0C85">
              <w:rPr>
                <w:rFonts w:ascii="Calibri" w:eastAsia="Times New Roman" w:hAnsi="Calibri" w:cs="Calibri"/>
                <w:sz w:val="18"/>
                <w:szCs w:val="18"/>
                <w:lang w:eastAsia="hr-HR"/>
              </w:rPr>
              <w:t>0</w:t>
            </w:r>
          </w:p>
        </w:tc>
        <w:tc>
          <w:tcPr>
            <w:tcW w:w="607" w:type="dxa"/>
            <w:tcBorders>
              <w:top w:val="nil"/>
              <w:left w:val="nil"/>
              <w:bottom w:val="single" w:sz="4" w:space="0" w:color="auto"/>
              <w:right w:val="single" w:sz="4" w:space="0" w:color="auto"/>
            </w:tcBorders>
            <w:shd w:val="clear" w:color="000000" w:fill="CCFFFF"/>
            <w:noWrap/>
            <w:vAlign w:val="bottom"/>
            <w:hideMark/>
          </w:tcPr>
          <w:p w14:paraId="04A190C6" w14:textId="77777777" w:rsidR="003D0C85" w:rsidRPr="003D0C85" w:rsidRDefault="003D0C85" w:rsidP="003D0C85">
            <w:pPr>
              <w:spacing w:after="0" w:line="240" w:lineRule="auto"/>
              <w:jc w:val="right"/>
              <w:rPr>
                <w:rFonts w:ascii="Calibri" w:eastAsia="Times New Roman" w:hAnsi="Calibri" w:cs="Calibri"/>
                <w:sz w:val="18"/>
                <w:szCs w:val="18"/>
                <w:lang w:eastAsia="hr-HR"/>
              </w:rPr>
            </w:pPr>
            <w:r w:rsidRPr="003D0C85">
              <w:rPr>
                <w:rFonts w:ascii="Calibri" w:eastAsia="Times New Roman" w:hAnsi="Calibri" w:cs="Calibri"/>
                <w:sz w:val="18"/>
                <w:szCs w:val="18"/>
                <w:lang w:eastAsia="hr-HR"/>
              </w:rPr>
              <w:t>2</w:t>
            </w:r>
          </w:p>
        </w:tc>
        <w:tc>
          <w:tcPr>
            <w:tcW w:w="425" w:type="dxa"/>
            <w:gridSpan w:val="2"/>
            <w:tcBorders>
              <w:top w:val="nil"/>
              <w:left w:val="nil"/>
              <w:bottom w:val="single" w:sz="4" w:space="0" w:color="auto"/>
              <w:right w:val="nil"/>
            </w:tcBorders>
            <w:shd w:val="clear" w:color="000000" w:fill="33CCCC"/>
            <w:noWrap/>
            <w:vAlign w:val="bottom"/>
            <w:hideMark/>
          </w:tcPr>
          <w:p w14:paraId="453BA0F2" w14:textId="77777777" w:rsidR="003D0C85" w:rsidRPr="003D0C85" w:rsidRDefault="003D0C85" w:rsidP="003D0C85">
            <w:pPr>
              <w:spacing w:after="0" w:line="240" w:lineRule="auto"/>
              <w:jc w:val="right"/>
              <w:rPr>
                <w:rFonts w:ascii="Calibri" w:eastAsia="Times New Roman" w:hAnsi="Calibri" w:cs="Calibri"/>
                <w:sz w:val="18"/>
                <w:szCs w:val="18"/>
                <w:lang w:eastAsia="hr-HR"/>
              </w:rPr>
            </w:pPr>
            <w:r w:rsidRPr="003D0C85">
              <w:rPr>
                <w:rFonts w:ascii="Calibri" w:eastAsia="Times New Roman" w:hAnsi="Calibri" w:cs="Calibri"/>
                <w:sz w:val="18"/>
                <w:szCs w:val="18"/>
                <w:lang w:eastAsia="hr-HR"/>
              </w:rPr>
              <w:t>1</w:t>
            </w:r>
          </w:p>
        </w:tc>
        <w:tc>
          <w:tcPr>
            <w:tcW w:w="452" w:type="dxa"/>
            <w:gridSpan w:val="2"/>
            <w:tcBorders>
              <w:top w:val="nil"/>
              <w:left w:val="single" w:sz="4" w:space="0" w:color="auto"/>
              <w:bottom w:val="single" w:sz="4" w:space="0" w:color="auto"/>
              <w:right w:val="single" w:sz="8" w:space="0" w:color="auto"/>
            </w:tcBorders>
            <w:shd w:val="clear" w:color="000000" w:fill="33CCCC"/>
            <w:noWrap/>
            <w:vAlign w:val="bottom"/>
            <w:hideMark/>
          </w:tcPr>
          <w:p w14:paraId="1B9A336A" w14:textId="77777777" w:rsidR="003D0C85" w:rsidRPr="003D0C85" w:rsidRDefault="003D0C85" w:rsidP="003D0C85">
            <w:pPr>
              <w:spacing w:after="0" w:line="240" w:lineRule="auto"/>
              <w:jc w:val="right"/>
              <w:rPr>
                <w:rFonts w:ascii="Calibri" w:eastAsia="Times New Roman" w:hAnsi="Calibri" w:cs="Calibri"/>
                <w:sz w:val="18"/>
                <w:szCs w:val="18"/>
                <w:lang w:eastAsia="hr-HR"/>
              </w:rPr>
            </w:pPr>
            <w:r w:rsidRPr="003D0C85">
              <w:rPr>
                <w:rFonts w:ascii="Calibri" w:eastAsia="Times New Roman" w:hAnsi="Calibri" w:cs="Calibri"/>
                <w:sz w:val="18"/>
                <w:szCs w:val="18"/>
                <w:lang w:eastAsia="hr-HR"/>
              </w:rPr>
              <w:t>2</w:t>
            </w:r>
          </w:p>
        </w:tc>
        <w:tc>
          <w:tcPr>
            <w:tcW w:w="236" w:type="dxa"/>
            <w:gridSpan w:val="3"/>
            <w:vAlign w:val="center"/>
            <w:hideMark/>
          </w:tcPr>
          <w:p w14:paraId="05B338A3" w14:textId="77777777" w:rsidR="003D0C85" w:rsidRPr="003D0C85" w:rsidRDefault="003D0C85" w:rsidP="003D0C85">
            <w:pPr>
              <w:spacing w:after="0" w:line="240" w:lineRule="auto"/>
              <w:rPr>
                <w:rFonts w:ascii="Times New Roman" w:eastAsia="Times New Roman" w:hAnsi="Times New Roman" w:cs="Times New Roman"/>
                <w:sz w:val="18"/>
                <w:szCs w:val="18"/>
                <w:lang w:eastAsia="hr-HR"/>
              </w:rPr>
            </w:pPr>
          </w:p>
        </w:tc>
      </w:tr>
      <w:tr w:rsidR="00E72E51" w:rsidRPr="00E72E51" w14:paraId="5DCCA846" w14:textId="77777777" w:rsidTr="00E72E51">
        <w:trPr>
          <w:trHeight w:val="315"/>
        </w:trPr>
        <w:tc>
          <w:tcPr>
            <w:tcW w:w="983" w:type="dxa"/>
            <w:tcBorders>
              <w:top w:val="single" w:sz="4" w:space="0" w:color="auto"/>
              <w:left w:val="single" w:sz="8" w:space="0" w:color="auto"/>
              <w:bottom w:val="single" w:sz="4" w:space="0" w:color="auto"/>
              <w:right w:val="single" w:sz="4" w:space="0" w:color="auto"/>
            </w:tcBorders>
            <w:shd w:val="clear" w:color="000000" w:fill="CCFFCC"/>
            <w:vAlign w:val="center"/>
            <w:hideMark/>
          </w:tcPr>
          <w:p w14:paraId="0B5EFC64" w14:textId="77777777" w:rsidR="003D0C85" w:rsidRPr="003D0C85" w:rsidRDefault="003D0C85" w:rsidP="003D0C85">
            <w:pPr>
              <w:spacing w:after="0" w:line="240" w:lineRule="auto"/>
              <w:rPr>
                <w:rFonts w:ascii="Calibri" w:eastAsia="Times New Roman" w:hAnsi="Calibri" w:cs="Calibri"/>
                <w:sz w:val="18"/>
                <w:szCs w:val="18"/>
                <w:lang w:eastAsia="hr-HR"/>
              </w:rPr>
            </w:pPr>
            <w:r w:rsidRPr="003D0C85">
              <w:rPr>
                <w:rFonts w:ascii="Calibri" w:eastAsia="Times New Roman" w:hAnsi="Calibri" w:cs="Calibri"/>
                <w:sz w:val="18"/>
                <w:szCs w:val="18"/>
                <w:lang w:eastAsia="hr-HR"/>
              </w:rPr>
              <w:t>Jezik</w:t>
            </w:r>
          </w:p>
        </w:tc>
        <w:tc>
          <w:tcPr>
            <w:tcW w:w="442" w:type="dxa"/>
            <w:tcBorders>
              <w:top w:val="nil"/>
              <w:left w:val="nil"/>
              <w:bottom w:val="single" w:sz="4" w:space="0" w:color="auto"/>
              <w:right w:val="single" w:sz="4" w:space="0" w:color="auto"/>
            </w:tcBorders>
            <w:shd w:val="clear" w:color="000000" w:fill="FFFF00"/>
            <w:vAlign w:val="bottom"/>
            <w:hideMark/>
          </w:tcPr>
          <w:p w14:paraId="56054758" w14:textId="77777777" w:rsidR="003D0C85" w:rsidRPr="003D0C85" w:rsidRDefault="003D0C85" w:rsidP="003D0C85">
            <w:pPr>
              <w:spacing w:after="0" w:line="240" w:lineRule="auto"/>
              <w:jc w:val="right"/>
              <w:rPr>
                <w:rFonts w:ascii="Calibri" w:eastAsia="Times New Roman" w:hAnsi="Calibri" w:cs="Calibri"/>
                <w:b/>
                <w:bCs/>
                <w:sz w:val="18"/>
                <w:szCs w:val="18"/>
                <w:lang w:eastAsia="hr-HR"/>
              </w:rPr>
            </w:pPr>
            <w:r w:rsidRPr="003D0C85">
              <w:rPr>
                <w:rFonts w:ascii="Calibri" w:eastAsia="Times New Roman" w:hAnsi="Calibri" w:cs="Calibri"/>
                <w:b/>
                <w:bCs/>
                <w:sz w:val="18"/>
                <w:szCs w:val="18"/>
                <w:lang w:eastAsia="hr-HR"/>
              </w:rPr>
              <w:t>5</w:t>
            </w:r>
          </w:p>
        </w:tc>
        <w:tc>
          <w:tcPr>
            <w:tcW w:w="443" w:type="dxa"/>
            <w:tcBorders>
              <w:top w:val="nil"/>
              <w:left w:val="nil"/>
              <w:bottom w:val="single" w:sz="4" w:space="0" w:color="auto"/>
              <w:right w:val="single" w:sz="4" w:space="0" w:color="auto"/>
            </w:tcBorders>
            <w:shd w:val="clear" w:color="000000" w:fill="FFCC99"/>
            <w:noWrap/>
            <w:vAlign w:val="bottom"/>
            <w:hideMark/>
          </w:tcPr>
          <w:p w14:paraId="238ECB98" w14:textId="77777777" w:rsidR="003D0C85" w:rsidRPr="003D0C85" w:rsidRDefault="003D0C85" w:rsidP="003D0C85">
            <w:pPr>
              <w:spacing w:after="0" w:line="240" w:lineRule="auto"/>
              <w:jc w:val="right"/>
              <w:rPr>
                <w:rFonts w:ascii="Calibri" w:eastAsia="Times New Roman" w:hAnsi="Calibri" w:cs="Calibri"/>
                <w:sz w:val="18"/>
                <w:szCs w:val="18"/>
                <w:lang w:eastAsia="hr-HR"/>
              </w:rPr>
            </w:pPr>
            <w:r w:rsidRPr="003D0C85">
              <w:rPr>
                <w:rFonts w:ascii="Calibri" w:eastAsia="Times New Roman" w:hAnsi="Calibri" w:cs="Calibri"/>
                <w:sz w:val="18"/>
                <w:szCs w:val="18"/>
                <w:lang w:eastAsia="hr-HR"/>
              </w:rPr>
              <w:t>0</w:t>
            </w:r>
          </w:p>
        </w:tc>
        <w:tc>
          <w:tcPr>
            <w:tcW w:w="316" w:type="dxa"/>
            <w:tcBorders>
              <w:top w:val="nil"/>
              <w:left w:val="nil"/>
              <w:bottom w:val="single" w:sz="4" w:space="0" w:color="auto"/>
              <w:right w:val="single" w:sz="4" w:space="0" w:color="auto"/>
            </w:tcBorders>
            <w:shd w:val="clear" w:color="000000" w:fill="CCFFFF"/>
            <w:vAlign w:val="bottom"/>
            <w:hideMark/>
          </w:tcPr>
          <w:p w14:paraId="38254AC7" w14:textId="77777777" w:rsidR="003D0C85" w:rsidRPr="003D0C85" w:rsidRDefault="003D0C85" w:rsidP="003D0C85">
            <w:pPr>
              <w:spacing w:after="0" w:line="240" w:lineRule="auto"/>
              <w:jc w:val="right"/>
              <w:rPr>
                <w:rFonts w:ascii="Calibri" w:eastAsia="Times New Roman" w:hAnsi="Calibri" w:cs="Calibri"/>
                <w:sz w:val="18"/>
                <w:szCs w:val="18"/>
                <w:lang w:eastAsia="hr-HR"/>
              </w:rPr>
            </w:pPr>
            <w:r w:rsidRPr="003D0C85">
              <w:rPr>
                <w:rFonts w:ascii="Calibri" w:eastAsia="Times New Roman" w:hAnsi="Calibri" w:cs="Calibri"/>
                <w:sz w:val="18"/>
                <w:szCs w:val="18"/>
                <w:lang w:eastAsia="hr-HR"/>
              </w:rPr>
              <w:t>0</w:t>
            </w:r>
          </w:p>
        </w:tc>
        <w:tc>
          <w:tcPr>
            <w:tcW w:w="452" w:type="dxa"/>
            <w:tcBorders>
              <w:top w:val="nil"/>
              <w:left w:val="nil"/>
              <w:bottom w:val="single" w:sz="4" w:space="0" w:color="auto"/>
              <w:right w:val="single" w:sz="4" w:space="0" w:color="auto"/>
            </w:tcBorders>
            <w:shd w:val="clear" w:color="000000" w:fill="CCFFFF"/>
            <w:vAlign w:val="bottom"/>
            <w:hideMark/>
          </w:tcPr>
          <w:p w14:paraId="09B295DA" w14:textId="77777777" w:rsidR="003D0C85" w:rsidRPr="003D0C85" w:rsidRDefault="003D0C85" w:rsidP="003D0C85">
            <w:pPr>
              <w:spacing w:after="0" w:line="240" w:lineRule="auto"/>
              <w:jc w:val="right"/>
              <w:rPr>
                <w:rFonts w:ascii="Calibri" w:eastAsia="Times New Roman" w:hAnsi="Calibri" w:cs="Calibri"/>
                <w:sz w:val="18"/>
                <w:szCs w:val="18"/>
                <w:lang w:eastAsia="hr-HR"/>
              </w:rPr>
            </w:pPr>
            <w:r w:rsidRPr="003D0C85">
              <w:rPr>
                <w:rFonts w:ascii="Calibri" w:eastAsia="Times New Roman" w:hAnsi="Calibri" w:cs="Calibri"/>
                <w:sz w:val="18"/>
                <w:szCs w:val="18"/>
                <w:lang w:eastAsia="hr-HR"/>
              </w:rPr>
              <w:t>0</w:t>
            </w:r>
          </w:p>
        </w:tc>
        <w:tc>
          <w:tcPr>
            <w:tcW w:w="491" w:type="dxa"/>
            <w:gridSpan w:val="2"/>
            <w:tcBorders>
              <w:top w:val="nil"/>
              <w:left w:val="nil"/>
              <w:bottom w:val="single" w:sz="4" w:space="0" w:color="auto"/>
              <w:right w:val="single" w:sz="4" w:space="0" w:color="auto"/>
            </w:tcBorders>
            <w:shd w:val="clear" w:color="000000" w:fill="FFFF99"/>
            <w:noWrap/>
            <w:vAlign w:val="bottom"/>
            <w:hideMark/>
          </w:tcPr>
          <w:p w14:paraId="232B92B4" w14:textId="77777777" w:rsidR="003D0C85" w:rsidRPr="003D0C85" w:rsidRDefault="003D0C85" w:rsidP="003D0C85">
            <w:pPr>
              <w:spacing w:after="0" w:line="240" w:lineRule="auto"/>
              <w:jc w:val="right"/>
              <w:rPr>
                <w:rFonts w:ascii="Calibri" w:eastAsia="Times New Roman" w:hAnsi="Calibri" w:cs="Calibri"/>
                <w:sz w:val="18"/>
                <w:szCs w:val="18"/>
                <w:lang w:eastAsia="hr-HR"/>
              </w:rPr>
            </w:pPr>
            <w:r w:rsidRPr="003D0C85">
              <w:rPr>
                <w:rFonts w:ascii="Calibri" w:eastAsia="Times New Roman" w:hAnsi="Calibri" w:cs="Calibri"/>
                <w:sz w:val="18"/>
                <w:szCs w:val="18"/>
                <w:lang w:eastAsia="hr-HR"/>
              </w:rPr>
              <w:t>0</w:t>
            </w:r>
          </w:p>
        </w:tc>
        <w:tc>
          <w:tcPr>
            <w:tcW w:w="447" w:type="dxa"/>
            <w:tcBorders>
              <w:top w:val="nil"/>
              <w:left w:val="nil"/>
              <w:bottom w:val="single" w:sz="4" w:space="0" w:color="auto"/>
              <w:right w:val="single" w:sz="4" w:space="0" w:color="auto"/>
            </w:tcBorders>
            <w:shd w:val="clear" w:color="000000" w:fill="FFFF99"/>
            <w:noWrap/>
            <w:vAlign w:val="bottom"/>
            <w:hideMark/>
          </w:tcPr>
          <w:p w14:paraId="59A7DA4E" w14:textId="77777777" w:rsidR="003D0C85" w:rsidRPr="003D0C85" w:rsidRDefault="003D0C85" w:rsidP="003D0C85">
            <w:pPr>
              <w:spacing w:after="0" w:line="240" w:lineRule="auto"/>
              <w:jc w:val="right"/>
              <w:rPr>
                <w:rFonts w:ascii="Calibri" w:eastAsia="Times New Roman" w:hAnsi="Calibri" w:cs="Calibri"/>
                <w:sz w:val="18"/>
                <w:szCs w:val="18"/>
                <w:lang w:eastAsia="hr-HR"/>
              </w:rPr>
            </w:pPr>
            <w:r w:rsidRPr="003D0C85">
              <w:rPr>
                <w:rFonts w:ascii="Calibri" w:eastAsia="Times New Roman" w:hAnsi="Calibri" w:cs="Calibri"/>
                <w:sz w:val="18"/>
                <w:szCs w:val="18"/>
                <w:lang w:eastAsia="hr-HR"/>
              </w:rPr>
              <w:t>0</w:t>
            </w:r>
          </w:p>
        </w:tc>
        <w:tc>
          <w:tcPr>
            <w:tcW w:w="495" w:type="dxa"/>
            <w:tcBorders>
              <w:top w:val="nil"/>
              <w:left w:val="nil"/>
              <w:bottom w:val="single" w:sz="4" w:space="0" w:color="auto"/>
              <w:right w:val="single" w:sz="4" w:space="0" w:color="auto"/>
            </w:tcBorders>
            <w:shd w:val="clear" w:color="000000" w:fill="FFFF99"/>
            <w:noWrap/>
            <w:vAlign w:val="bottom"/>
            <w:hideMark/>
          </w:tcPr>
          <w:p w14:paraId="176ED727" w14:textId="77777777" w:rsidR="003D0C85" w:rsidRPr="003D0C85" w:rsidRDefault="003D0C85" w:rsidP="003D0C85">
            <w:pPr>
              <w:spacing w:after="0" w:line="240" w:lineRule="auto"/>
              <w:jc w:val="right"/>
              <w:rPr>
                <w:rFonts w:ascii="Calibri" w:eastAsia="Times New Roman" w:hAnsi="Calibri" w:cs="Calibri"/>
                <w:sz w:val="18"/>
                <w:szCs w:val="18"/>
                <w:lang w:eastAsia="hr-HR"/>
              </w:rPr>
            </w:pPr>
            <w:r w:rsidRPr="003D0C85">
              <w:rPr>
                <w:rFonts w:ascii="Calibri" w:eastAsia="Times New Roman" w:hAnsi="Calibri" w:cs="Calibri"/>
                <w:sz w:val="18"/>
                <w:szCs w:val="18"/>
                <w:lang w:eastAsia="hr-HR"/>
              </w:rPr>
              <w:t>0</w:t>
            </w:r>
          </w:p>
        </w:tc>
        <w:tc>
          <w:tcPr>
            <w:tcW w:w="451" w:type="dxa"/>
            <w:tcBorders>
              <w:top w:val="nil"/>
              <w:left w:val="nil"/>
              <w:bottom w:val="single" w:sz="4" w:space="0" w:color="auto"/>
              <w:right w:val="single" w:sz="4" w:space="0" w:color="auto"/>
            </w:tcBorders>
            <w:shd w:val="clear" w:color="000000" w:fill="FFFF99"/>
            <w:noWrap/>
            <w:vAlign w:val="bottom"/>
            <w:hideMark/>
          </w:tcPr>
          <w:p w14:paraId="1240AD77" w14:textId="77777777" w:rsidR="003D0C85" w:rsidRPr="003D0C85" w:rsidRDefault="003D0C85" w:rsidP="003D0C85">
            <w:pPr>
              <w:spacing w:after="0" w:line="240" w:lineRule="auto"/>
              <w:jc w:val="right"/>
              <w:rPr>
                <w:rFonts w:ascii="Calibri" w:eastAsia="Times New Roman" w:hAnsi="Calibri" w:cs="Calibri"/>
                <w:sz w:val="18"/>
                <w:szCs w:val="18"/>
                <w:lang w:eastAsia="hr-HR"/>
              </w:rPr>
            </w:pPr>
            <w:r w:rsidRPr="003D0C85">
              <w:rPr>
                <w:rFonts w:ascii="Calibri" w:eastAsia="Times New Roman" w:hAnsi="Calibri" w:cs="Calibri"/>
                <w:sz w:val="18"/>
                <w:szCs w:val="18"/>
                <w:lang w:eastAsia="hr-HR"/>
              </w:rPr>
              <w:t>0</w:t>
            </w:r>
          </w:p>
        </w:tc>
        <w:tc>
          <w:tcPr>
            <w:tcW w:w="632" w:type="dxa"/>
            <w:gridSpan w:val="2"/>
            <w:tcBorders>
              <w:top w:val="nil"/>
              <w:left w:val="nil"/>
              <w:bottom w:val="single" w:sz="4" w:space="0" w:color="auto"/>
              <w:right w:val="single" w:sz="4" w:space="0" w:color="auto"/>
            </w:tcBorders>
            <w:shd w:val="clear" w:color="000000" w:fill="FFFF99"/>
            <w:noWrap/>
            <w:vAlign w:val="bottom"/>
            <w:hideMark/>
          </w:tcPr>
          <w:p w14:paraId="564B6DD8" w14:textId="77777777" w:rsidR="003D0C85" w:rsidRPr="003D0C85" w:rsidRDefault="003D0C85" w:rsidP="003D0C85">
            <w:pPr>
              <w:spacing w:after="0" w:line="240" w:lineRule="auto"/>
              <w:jc w:val="right"/>
              <w:rPr>
                <w:rFonts w:ascii="Calibri" w:eastAsia="Times New Roman" w:hAnsi="Calibri" w:cs="Calibri"/>
                <w:sz w:val="18"/>
                <w:szCs w:val="18"/>
                <w:lang w:eastAsia="hr-HR"/>
              </w:rPr>
            </w:pPr>
            <w:r w:rsidRPr="003D0C85">
              <w:rPr>
                <w:rFonts w:ascii="Calibri" w:eastAsia="Times New Roman" w:hAnsi="Calibri" w:cs="Calibri"/>
                <w:sz w:val="18"/>
                <w:szCs w:val="18"/>
                <w:lang w:eastAsia="hr-HR"/>
              </w:rPr>
              <w:t>0</w:t>
            </w:r>
          </w:p>
        </w:tc>
        <w:tc>
          <w:tcPr>
            <w:tcW w:w="447" w:type="dxa"/>
            <w:tcBorders>
              <w:top w:val="nil"/>
              <w:left w:val="nil"/>
              <w:bottom w:val="single" w:sz="4" w:space="0" w:color="auto"/>
              <w:right w:val="single" w:sz="4" w:space="0" w:color="auto"/>
            </w:tcBorders>
            <w:shd w:val="clear" w:color="000000" w:fill="FFFF99"/>
            <w:noWrap/>
            <w:vAlign w:val="bottom"/>
            <w:hideMark/>
          </w:tcPr>
          <w:p w14:paraId="26C1D97A" w14:textId="77777777" w:rsidR="003D0C85" w:rsidRPr="003D0C85" w:rsidRDefault="003D0C85" w:rsidP="003D0C85">
            <w:pPr>
              <w:spacing w:after="0" w:line="240" w:lineRule="auto"/>
              <w:jc w:val="right"/>
              <w:rPr>
                <w:rFonts w:ascii="Calibri" w:eastAsia="Times New Roman" w:hAnsi="Calibri" w:cs="Calibri"/>
                <w:sz w:val="18"/>
                <w:szCs w:val="18"/>
                <w:lang w:eastAsia="hr-HR"/>
              </w:rPr>
            </w:pPr>
            <w:r w:rsidRPr="003D0C85">
              <w:rPr>
                <w:rFonts w:ascii="Calibri" w:eastAsia="Times New Roman" w:hAnsi="Calibri" w:cs="Calibri"/>
                <w:sz w:val="18"/>
                <w:szCs w:val="18"/>
                <w:lang w:eastAsia="hr-HR"/>
              </w:rPr>
              <w:t>0</w:t>
            </w:r>
          </w:p>
        </w:tc>
        <w:tc>
          <w:tcPr>
            <w:tcW w:w="543" w:type="dxa"/>
            <w:tcBorders>
              <w:top w:val="nil"/>
              <w:left w:val="nil"/>
              <w:bottom w:val="single" w:sz="4" w:space="0" w:color="auto"/>
              <w:right w:val="single" w:sz="4" w:space="0" w:color="auto"/>
            </w:tcBorders>
            <w:shd w:val="clear" w:color="000000" w:fill="FFFF99"/>
            <w:noWrap/>
            <w:vAlign w:val="bottom"/>
            <w:hideMark/>
          </w:tcPr>
          <w:p w14:paraId="75C0E746" w14:textId="77777777" w:rsidR="003D0C85" w:rsidRPr="003D0C85" w:rsidRDefault="003D0C85" w:rsidP="003D0C85">
            <w:pPr>
              <w:spacing w:after="0" w:line="240" w:lineRule="auto"/>
              <w:jc w:val="right"/>
              <w:rPr>
                <w:rFonts w:ascii="Calibri" w:eastAsia="Times New Roman" w:hAnsi="Calibri" w:cs="Calibri"/>
                <w:sz w:val="18"/>
                <w:szCs w:val="18"/>
                <w:lang w:eastAsia="hr-HR"/>
              </w:rPr>
            </w:pPr>
            <w:r w:rsidRPr="003D0C85">
              <w:rPr>
                <w:rFonts w:ascii="Calibri" w:eastAsia="Times New Roman" w:hAnsi="Calibri" w:cs="Calibri"/>
                <w:sz w:val="18"/>
                <w:szCs w:val="18"/>
                <w:lang w:eastAsia="hr-HR"/>
              </w:rPr>
              <w:t>0</w:t>
            </w:r>
          </w:p>
        </w:tc>
        <w:tc>
          <w:tcPr>
            <w:tcW w:w="447" w:type="dxa"/>
            <w:tcBorders>
              <w:top w:val="nil"/>
              <w:left w:val="nil"/>
              <w:bottom w:val="single" w:sz="4" w:space="0" w:color="auto"/>
              <w:right w:val="single" w:sz="4" w:space="0" w:color="auto"/>
            </w:tcBorders>
            <w:shd w:val="clear" w:color="000000" w:fill="FFFF99"/>
            <w:noWrap/>
            <w:vAlign w:val="bottom"/>
            <w:hideMark/>
          </w:tcPr>
          <w:p w14:paraId="04754CFD" w14:textId="77777777" w:rsidR="003D0C85" w:rsidRPr="003D0C85" w:rsidRDefault="003D0C85" w:rsidP="003D0C85">
            <w:pPr>
              <w:spacing w:after="0" w:line="240" w:lineRule="auto"/>
              <w:jc w:val="right"/>
              <w:rPr>
                <w:rFonts w:ascii="Calibri" w:eastAsia="Times New Roman" w:hAnsi="Calibri" w:cs="Calibri"/>
                <w:sz w:val="18"/>
                <w:szCs w:val="18"/>
                <w:lang w:eastAsia="hr-HR"/>
              </w:rPr>
            </w:pPr>
            <w:r w:rsidRPr="003D0C85">
              <w:rPr>
                <w:rFonts w:ascii="Calibri" w:eastAsia="Times New Roman" w:hAnsi="Calibri" w:cs="Calibri"/>
                <w:sz w:val="18"/>
                <w:szCs w:val="18"/>
                <w:lang w:eastAsia="hr-HR"/>
              </w:rPr>
              <w:t>0</w:t>
            </w:r>
          </w:p>
        </w:tc>
        <w:tc>
          <w:tcPr>
            <w:tcW w:w="543" w:type="dxa"/>
            <w:tcBorders>
              <w:top w:val="nil"/>
              <w:left w:val="nil"/>
              <w:bottom w:val="single" w:sz="4" w:space="0" w:color="auto"/>
              <w:right w:val="single" w:sz="4" w:space="0" w:color="auto"/>
            </w:tcBorders>
            <w:shd w:val="clear" w:color="000000" w:fill="FFFF99"/>
            <w:noWrap/>
            <w:vAlign w:val="bottom"/>
            <w:hideMark/>
          </w:tcPr>
          <w:p w14:paraId="23173066" w14:textId="77777777" w:rsidR="003D0C85" w:rsidRPr="003D0C85" w:rsidRDefault="003D0C85" w:rsidP="003D0C85">
            <w:pPr>
              <w:spacing w:after="0" w:line="240" w:lineRule="auto"/>
              <w:jc w:val="right"/>
              <w:rPr>
                <w:rFonts w:ascii="Calibri" w:eastAsia="Times New Roman" w:hAnsi="Calibri" w:cs="Calibri"/>
                <w:sz w:val="18"/>
                <w:szCs w:val="18"/>
                <w:lang w:eastAsia="hr-HR"/>
              </w:rPr>
            </w:pPr>
            <w:r w:rsidRPr="003D0C85">
              <w:rPr>
                <w:rFonts w:ascii="Calibri" w:eastAsia="Times New Roman" w:hAnsi="Calibri" w:cs="Calibri"/>
                <w:sz w:val="18"/>
                <w:szCs w:val="18"/>
                <w:lang w:eastAsia="hr-HR"/>
              </w:rPr>
              <w:t>0</w:t>
            </w:r>
          </w:p>
        </w:tc>
        <w:tc>
          <w:tcPr>
            <w:tcW w:w="356" w:type="dxa"/>
            <w:tcBorders>
              <w:top w:val="nil"/>
              <w:left w:val="nil"/>
              <w:bottom w:val="single" w:sz="4" w:space="0" w:color="auto"/>
              <w:right w:val="single" w:sz="4" w:space="0" w:color="auto"/>
            </w:tcBorders>
            <w:shd w:val="clear" w:color="000000" w:fill="FFFF99"/>
            <w:noWrap/>
            <w:vAlign w:val="bottom"/>
            <w:hideMark/>
          </w:tcPr>
          <w:p w14:paraId="4BA86C28" w14:textId="77777777" w:rsidR="003D0C85" w:rsidRPr="003D0C85" w:rsidRDefault="003D0C85" w:rsidP="003D0C85">
            <w:pPr>
              <w:spacing w:after="0" w:line="240" w:lineRule="auto"/>
              <w:jc w:val="right"/>
              <w:rPr>
                <w:rFonts w:ascii="Calibri" w:eastAsia="Times New Roman" w:hAnsi="Calibri" w:cs="Calibri"/>
                <w:sz w:val="18"/>
                <w:szCs w:val="18"/>
                <w:lang w:eastAsia="hr-HR"/>
              </w:rPr>
            </w:pPr>
            <w:r w:rsidRPr="003D0C85">
              <w:rPr>
                <w:rFonts w:ascii="Calibri" w:eastAsia="Times New Roman" w:hAnsi="Calibri" w:cs="Calibri"/>
                <w:sz w:val="18"/>
                <w:szCs w:val="18"/>
                <w:lang w:eastAsia="hr-HR"/>
              </w:rPr>
              <w:t>0</w:t>
            </w:r>
          </w:p>
        </w:tc>
        <w:tc>
          <w:tcPr>
            <w:tcW w:w="447" w:type="dxa"/>
            <w:gridSpan w:val="2"/>
            <w:tcBorders>
              <w:top w:val="nil"/>
              <w:left w:val="nil"/>
              <w:bottom w:val="single" w:sz="4" w:space="0" w:color="auto"/>
              <w:right w:val="single" w:sz="4" w:space="0" w:color="auto"/>
            </w:tcBorders>
            <w:shd w:val="clear" w:color="000000" w:fill="FF9900"/>
            <w:noWrap/>
            <w:vAlign w:val="bottom"/>
            <w:hideMark/>
          </w:tcPr>
          <w:p w14:paraId="174A0FBA" w14:textId="77777777" w:rsidR="003D0C85" w:rsidRPr="003D0C85" w:rsidRDefault="003D0C85" w:rsidP="003D0C85">
            <w:pPr>
              <w:spacing w:after="0" w:line="240" w:lineRule="auto"/>
              <w:jc w:val="right"/>
              <w:rPr>
                <w:rFonts w:ascii="Calibri" w:eastAsia="Times New Roman" w:hAnsi="Calibri" w:cs="Calibri"/>
                <w:sz w:val="18"/>
                <w:szCs w:val="18"/>
                <w:lang w:eastAsia="hr-HR"/>
              </w:rPr>
            </w:pPr>
            <w:r w:rsidRPr="003D0C85">
              <w:rPr>
                <w:rFonts w:ascii="Calibri" w:eastAsia="Times New Roman" w:hAnsi="Calibri" w:cs="Calibri"/>
                <w:sz w:val="18"/>
                <w:szCs w:val="18"/>
                <w:lang w:eastAsia="hr-HR"/>
              </w:rPr>
              <w:t>1</w:t>
            </w:r>
          </w:p>
        </w:tc>
        <w:tc>
          <w:tcPr>
            <w:tcW w:w="447" w:type="dxa"/>
            <w:tcBorders>
              <w:top w:val="nil"/>
              <w:left w:val="nil"/>
              <w:bottom w:val="single" w:sz="4" w:space="0" w:color="auto"/>
              <w:right w:val="single" w:sz="4" w:space="0" w:color="auto"/>
            </w:tcBorders>
            <w:shd w:val="clear" w:color="000000" w:fill="FF9900"/>
            <w:noWrap/>
            <w:vAlign w:val="bottom"/>
            <w:hideMark/>
          </w:tcPr>
          <w:p w14:paraId="0F4A1A34" w14:textId="77777777" w:rsidR="003D0C85" w:rsidRPr="003D0C85" w:rsidRDefault="003D0C85" w:rsidP="003D0C85">
            <w:pPr>
              <w:spacing w:after="0" w:line="240" w:lineRule="auto"/>
              <w:jc w:val="right"/>
              <w:rPr>
                <w:rFonts w:ascii="Calibri" w:eastAsia="Times New Roman" w:hAnsi="Calibri" w:cs="Calibri"/>
                <w:sz w:val="18"/>
                <w:szCs w:val="18"/>
                <w:lang w:eastAsia="hr-HR"/>
              </w:rPr>
            </w:pPr>
            <w:r w:rsidRPr="003D0C85">
              <w:rPr>
                <w:rFonts w:ascii="Calibri" w:eastAsia="Times New Roman" w:hAnsi="Calibri" w:cs="Calibri"/>
                <w:sz w:val="18"/>
                <w:szCs w:val="18"/>
                <w:lang w:eastAsia="hr-HR"/>
              </w:rPr>
              <w:t>0</w:t>
            </w:r>
          </w:p>
        </w:tc>
        <w:tc>
          <w:tcPr>
            <w:tcW w:w="447" w:type="dxa"/>
            <w:tcBorders>
              <w:top w:val="nil"/>
              <w:left w:val="nil"/>
              <w:bottom w:val="single" w:sz="4" w:space="0" w:color="auto"/>
              <w:right w:val="single" w:sz="4" w:space="0" w:color="auto"/>
            </w:tcBorders>
            <w:shd w:val="clear" w:color="000000" w:fill="FF9900"/>
            <w:noWrap/>
            <w:vAlign w:val="bottom"/>
            <w:hideMark/>
          </w:tcPr>
          <w:p w14:paraId="28DC093F" w14:textId="77777777" w:rsidR="003D0C85" w:rsidRPr="003D0C85" w:rsidRDefault="003D0C85" w:rsidP="003D0C85">
            <w:pPr>
              <w:spacing w:after="0" w:line="240" w:lineRule="auto"/>
              <w:jc w:val="right"/>
              <w:rPr>
                <w:rFonts w:ascii="Calibri" w:eastAsia="Times New Roman" w:hAnsi="Calibri" w:cs="Calibri"/>
                <w:sz w:val="18"/>
                <w:szCs w:val="18"/>
                <w:lang w:eastAsia="hr-HR"/>
              </w:rPr>
            </w:pPr>
            <w:r w:rsidRPr="003D0C85">
              <w:rPr>
                <w:rFonts w:ascii="Calibri" w:eastAsia="Times New Roman" w:hAnsi="Calibri" w:cs="Calibri"/>
                <w:sz w:val="18"/>
                <w:szCs w:val="18"/>
                <w:lang w:eastAsia="hr-HR"/>
              </w:rPr>
              <w:t>0</w:t>
            </w:r>
          </w:p>
        </w:tc>
        <w:tc>
          <w:tcPr>
            <w:tcW w:w="475" w:type="dxa"/>
            <w:tcBorders>
              <w:top w:val="nil"/>
              <w:left w:val="nil"/>
              <w:bottom w:val="single" w:sz="4" w:space="0" w:color="auto"/>
              <w:right w:val="single" w:sz="4" w:space="0" w:color="auto"/>
            </w:tcBorders>
            <w:shd w:val="clear" w:color="auto" w:fill="auto"/>
            <w:vAlign w:val="bottom"/>
            <w:hideMark/>
          </w:tcPr>
          <w:p w14:paraId="1C5B6CE3" w14:textId="77777777" w:rsidR="003D0C85" w:rsidRPr="003D0C85" w:rsidRDefault="003D0C85" w:rsidP="003D0C85">
            <w:pPr>
              <w:spacing w:after="0" w:line="240" w:lineRule="auto"/>
              <w:jc w:val="right"/>
              <w:rPr>
                <w:rFonts w:ascii="Calibri" w:eastAsia="Times New Roman" w:hAnsi="Calibri" w:cs="Calibri"/>
                <w:b/>
                <w:bCs/>
                <w:sz w:val="18"/>
                <w:szCs w:val="18"/>
                <w:lang w:eastAsia="hr-HR"/>
              </w:rPr>
            </w:pPr>
            <w:r w:rsidRPr="003D0C85">
              <w:rPr>
                <w:rFonts w:ascii="Calibri" w:eastAsia="Times New Roman" w:hAnsi="Calibri" w:cs="Calibri"/>
                <w:b/>
                <w:bCs/>
                <w:sz w:val="18"/>
                <w:szCs w:val="18"/>
                <w:lang w:eastAsia="hr-HR"/>
              </w:rPr>
              <w:t>1</w:t>
            </w:r>
          </w:p>
        </w:tc>
        <w:tc>
          <w:tcPr>
            <w:tcW w:w="447" w:type="dxa"/>
            <w:gridSpan w:val="2"/>
            <w:tcBorders>
              <w:top w:val="nil"/>
              <w:left w:val="nil"/>
              <w:bottom w:val="single" w:sz="4" w:space="0" w:color="auto"/>
              <w:right w:val="single" w:sz="4" w:space="0" w:color="auto"/>
            </w:tcBorders>
            <w:shd w:val="clear" w:color="000000" w:fill="FFFF00"/>
            <w:noWrap/>
            <w:vAlign w:val="bottom"/>
            <w:hideMark/>
          </w:tcPr>
          <w:p w14:paraId="7A6D0060" w14:textId="77777777" w:rsidR="003D0C85" w:rsidRPr="003D0C85" w:rsidRDefault="003D0C85" w:rsidP="003D0C85">
            <w:pPr>
              <w:spacing w:after="0" w:line="240" w:lineRule="auto"/>
              <w:jc w:val="right"/>
              <w:rPr>
                <w:rFonts w:ascii="Calibri" w:eastAsia="Times New Roman" w:hAnsi="Calibri" w:cs="Calibri"/>
                <w:sz w:val="18"/>
                <w:szCs w:val="18"/>
                <w:lang w:eastAsia="hr-HR"/>
              </w:rPr>
            </w:pPr>
            <w:r w:rsidRPr="003D0C85">
              <w:rPr>
                <w:rFonts w:ascii="Calibri" w:eastAsia="Times New Roman" w:hAnsi="Calibri" w:cs="Calibri"/>
                <w:sz w:val="18"/>
                <w:szCs w:val="18"/>
                <w:lang w:eastAsia="hr-HR"/>
              </w:rPr>
              <w:t>0</w:t>
            </w:r>
          </w:p>
        </w:tc>
        <w:tc>
          <w:tcPr>
            <w:tcW w:w="447" w:type="dxa"/>
            <w:tcBorders>
              <w:top w:val="nil"/>
              <w:left w:val="nil"/>
              <w:bottom w:val="single" w:sz="4" w:space="0" w:color="auto"/>
              <w:right w:val="single" w:sz="4" w:space="0" w:color="auto"/>
            </w:tcBorders>
            <w:shd w:val="clear" w:color="000000" w:fill="FFFF00"/>
            <w:noWrap/>
            <w:vAlign w:val="bottom"/>
            <w:hideMark/>
          </w:tcPr>
          <w:p w14:paraId="42B460C1" w14:textId="77777777" w:rsidR="003D0C85" w:rsidRPr="003D0C85" w:rsidRDefault="003D0C85" w:rsidP="003D0C85">
            <w:pPr>
              <w:spacing w:after="0" w:line="240" w:lineRule="auto"/>
              <w:jc w:val="right"/>
              <w:rPr>
                <w:rFonts w:ascii="Calibri" w:eastAsia="Times New Roman" w:hAnsi="Calibri" w:cs="Calibri"/>
                <w:sz w:val="18"/>
                <w:szCs w:val="18"/>
                <w:lang w:eastAsia="hr-HR"/>
              </w:rPr>
            </w:pPr>
            <w:r w:rsidRPr="003D0C85">
              <w:rPr>
                <w:rFonts w:ascii="Calibri" w:eastAsia="Times New Roman" w:hAnsi="Calibri" w:cs="Calibri"/>
                <w:sz w:val="18"/>
                <w:szCs w:val="18"/>
                <w:lang w:eastAsia="hr-HR"/>
              </w:rPr>
              <w:t>1</w:t>
            </w:r>
          </w:p>
        </w:tc>
        <w:tc>
          <w:tcPr>
            <w:tcW w:w="521" w:type="dxa"/>
            <w:tcBorders>
              <w:top w:val="nil"/>
              <w:left w:val="nil"/>
              <w:bottom w:val="single" w:sz="4" w:space="0" w:color="auto"/>
              <w:right w:val="single" w:sz="4" w:space="0" w:color="auto"/>
            </w:tcBorders>
            <w:shd w:val="clear" w:color="000000" w:fill="FFFF00"/>
            <w:noWrap/>
            <w:vAlign w:val="bottom"/>
            <w:hideMark/>
          </w:tcPr>
          <w:p w14:paraId="1CF0ABF3" w14:textId="77777777" w:rsidR="003D0C85" w:rsidRPr="003D0C85" w:rsidRDefault="003D0C85" w:rsidP="003D0C85">
            <w:pPr>
              <w:spacing w:after="0" w:line="240" w:lineRule="auto"/>
              <w:jc w:val="right"/>
              <w:rPr>
                <w:rFonts w:ascii="Calibri" w:eastAsia="Times New Roman" w:hAnsi="Calibri" w:cs="Calibri"/>
                <w:sz w:val="18"/>
                <w:szCs w:val="18"/>
                <w:lang w:eastAsia="hr-HR"/>
              </w:rPr>
            </w:pPr>
            <w:r w:rsidRPr="003D0C85">
              <w:rPr>
                <w:rFonts w:ascii="Calibri" w:eastAsia="Times New Roman" w:hAnsi="Calibri" w:cs="Calibri"/>
                <w:sz w:val="18"/>
                <w:szCs w:val="18"/>
                <w:lang w:eastAsia="hr-HR"/>
              </w:rPr>
              <w:t>0</w:t>
            </w:r>
          </w:p>
        </w:tc>
        <w:tc>
          <w:tcPr>
            <w:tcW w:w="446" w:type="dxa"/>
            <w:tcBorders>
              <w:top w:val="nil"/>
              <w:left w:val="nil"/>
              <w:bottom w:val="single" w:sz="4" w:space="0" w:color="auto"/>
              <w:right w:val="single" w:sz="4" w:space="0" w:color="auto"/>
            </w:tcBorders>
            <w:shd w:val="clear" w:color="auto" w:fill="auto"/>
            <w:vAlign w:val="bottom"/>
            <w:hideMark/>
          </w:tcPr>
          <w:p w14:paraId="580148F7" w14:textId="77777777" w:rsidR="003D0C85" w:rsidRPr="003D0C85" w:rsidRDefault="003D0C85" w:rsidP="003D0C85">
            <w:pPr>
              <w:spacing w:after="0" w:line="240" w:lineRule="auto"/>
              <w:jc w:val="right"/>
              <w:rPr>
                <w:rFonts w:ascii="Calibri" w:eastAsia="Times New Roman" w:hAnsi="Calibri" w:cs="Calibri"/>
                <w:b/>
                <w:bCs/>
                <w:sz w:val="18"/>
                <w:szCs w:val="18"/>
                <w:lang w:eastAsia="hr-HR"/>
              </w:rPr>
            </w:pPr>
            <w:r w:rsidRPr="003D0C85">
              <w:rPr>
                <w:rFonts w:ascii="Calibri" w:eastAsia="Times New Roman" w:hAnsi="Calibri" w:cs="Calibri"/>
                <w:b/>
                <w:bCs/>
                <w:sz w:val="18"/>
                <w:szCs w:val="18"/>
                <w:lang w:eastAsia="hr-HR"/>
              </w:rPr>
              <w:t>1</w:t>
            </w:r>
          </w:p>
        </w:tc>
        <w:tc>
          <w:tcPr>
            <w:tcW w:w="792" w:type="dxa"/>
            <w:gridSpan w:val="2"/>
            <w:tcBorders>
              <w:top w:val="nil"/>
              <w:left w:val="nil"/>
              <w:bottom w:val="single" w:sz="4" w:space="0" w:color="auto"/>
              <w:right w:val="single" w:sz="4" w:space="0" w:color="auto"/>
            </w:tcBorders>
            <w:shd w:val="clear" w:color="000000" w:fill="FFFF00"/>
            <w:vAlign w:val="bottom"/>
            <w:hideMark/>
          </w:tcPr>
          <w:p w14:paraId="445914B4" w14:textId="77777777" w:rsidR="003D0C85" w:rsidRPr="003D0C85" w:rsidRDefault="003D0C85" w:rsidP="003D0C85">
            <w:pPr>
              <w:spacing w:after="0" w:line="240" w:lineRule="auto"/>
              <w:jc w:val="right"/>
              <w:rPr>
                <w:rFonts w:ascii="Calibri" w:eastAsia="Times New Roman" w:hAnsi="Calibri" w:cs="Calibri"/>
                <w:b/>
                <w:bCs/>
                <w:sz w:val="18"/>
                <w:szCs w:val="18"/>
                <w:lang w:eastAsia="hr-HR"/>
              </w:rPr>
            </w:pPr>
            <w:r w:rsidRPr="003D0C85">
              <w:rPr>
                <w:rFonts w:ascii="Calibri" w:eastAsia="Times New Roman" w:hAnsi="Calibri" w:cs="Calibri"/>
                <w:b/>
                <w:bCs/>
                <w:sz w:val="18"/>
                <w:szCs w:val="18"/>
                <w:lang w:eastAsia="hr-HR"/>
              </w:rPr>
              <w:t>4</w:t>
            </w:r>
          </w:p>
        </w:tc>
        <w:tc>
          <w:tcPr>
            <w:tcW w:w="507" w:type="dxa"/>
            <w:gridSpan w:val="2"/>
            <w:tcBorders>
              <w:top w:val="nil"/>
              <w:left w:val="nil"/>
              <w:bottom w:val="single" w:sz="4" w:space="0" w:color="auto"/>
              <w:right w:val="single" w:sz="4" w:space="0" w:color="auto"/>
            </w:tcBorders>
            <w:shd w:val="clear" w:color="000000" w:fill="FF9900"/>
            <w:vAlign w:val="bottom"/>
            <w:hideMark/>
          </w:tcPr>
          <w:p w14:paraId="287C2997" w14:textId="77777777" w:rsidR="003D0C85" w:rsidRPr="003D0C85" w:rsidRDefault="003D0C85" w:rsidP="003D0C85">
            <w:pPr>
              <w:spacing w:after="0" w:line="240" w:lineRule="auto"/>
              <w:jc w:val="right"/>
              <w:rPr>
                <w:rFonts w:ascii="Calibri" w:eastAsia="Times New Roman" w:hAnsi="Calibri" w:cs="Calibri"/>
                <w:sz w:val="18"/>
                <w:szCs w:val="18"/>
                <w:lang w:eastAsia="hr-HR"/>
              </w:rPr>
            </w:pPr>
            <w:r w:rsidRPr="003D0C85">
              <w:rPr>
                <w:rFonts w:ascii="Calibri" w:eastAsia="Times New Roman" w:hAnsi="Calibri" w:cs="Calibri"/>
                <w:sz w:val="18"/>
                <w:szCs w:val="18"/>
                <w:lang w:eastAsia="hr-HR"/>
              </w:rPr>
              <w:t>1</w:t>
            </w:r>
          </w:p>
        </w:tc>
        <w:tc>
          <w:tcPr>
            <w:tcW w:w="244" w:type="dxa"/>
            <w:tcBorders>
              <w:top w:val="nil"/>
              <w:left w:val="nil"/>
              <w:bottom w:val="single" w:sz="4" w:space="0" w:color="auto"/>
              <w:right w:val="single" w:sz="4" w:space="0" w:color="auto"/>
            </w:tcBorders>
            <w:shd w:val="clear" w:color="000000" w:fill="CCFFFF"/>
            <w:noWrap/>
            <w:vAlign w:val="bottom"/>
            <w:hideMark/>
          </w:tcPr>
          <w:p w14:paraId="3E54446C" w14:textId="77777777" w:rsidR="003D0C85" w:rsidRPr="003D0C85" w:rsidRDefault="003D0C85" w:rsidP="003D0C85">
            <w:pPr>
              <w:spacing w:after="0" w:line="240" w:lineRule="auto"/>
              <w:jc w:val="right"/>
              <w:rPr>
                <w:rFonts w:ascii="Calibri" w:eastAsia="Times New Roman" w:hAnsi="Calibri" w:cs="Calibri"/>
                <w:sz w:val="18"/>
                <w:szCs w:val="18"/>
                <w:lang w:eastAsia="hr-HR"/>
              </w:rPr>
            </w:pPr>
            <w:r w:rsidRPr="003D0C85">
              <w:rPr>
                <w:rFonts w:ascii="Calibri" w:eastAsia="Times New Roman" w:hAnsi="Calibri" w:cs="Calibri"/>
                <w:sz w:val="18"/>
                <w:szCs w:val="18"/>
                <w:lang w:eastAsia="hr-HR"/>
              </w:rPr>
              <w:t>0</w:t>
            </w:r>
          </w:p>
        </w:tc>
        <w:tc>
          <w:tcPr>
            <w:tcW w:w="425" w:type="dxa"/>
            <w:tcBorders>
              <w:top w:val="nil"/>
              <w:left w:val="nil"/>
              <w:bottom w:val="single" w:sz="4" w:space="0" w:color="auto"/>
              <w:right w:val="single" w:sz="4" w:space="0" w:color="auto"/>
            </w:tcBorders>
            <w:shd w:val="clear" w:color="000000" w:fill="CCFFFF"/>
            <w:noWrap/>
            <w:vAlign w:val="bottom"/>
            <w:hideMark/>
          </w:tcPr>
          <w:p w14:paraId="41D1B069" w14:textId="77777777" w:rsidR="003D0C85" w:rsidRPr="003D0C85" w:rsidRDefault="003D0C85" w:rsidP="003D0C85">
            <w:pPr>
              <w:spacing w:after="0" w:line="240" w:lineRule="auto"/>
              <w:jc w:val="right"/>
              <w:rPr>
                <w:rFonts w:ascii="Calibri" w:eastAsia="Times New Roman" w:hAnsi="Calibri" w:cs="Calibri"/>
                <w:sz w:val="18"/>
                <w:szCs w:val="18"/>
                <w:lang w:eastAsia="hr-HR"/>
              </w:rPr>
            </w:pPr>
            <w:r w:rsidRPr="003D0C85">
              <w:rPr>
                <w:rFonts w:ascii="Calibri" w:eastAsia="Times New Roman" w:hAnsi="Calibri" w:cs="Calibri"/>
                <w:sz w:val="18"/>
                <w:szCs w:val="18"/>
                <w:lang w:eastAsia="hr-HR"/>
              </w:rPr>
              <w:t>0</w:t>
            </w:r>
          </w:p>
        </w:tc>
        <w:tc>
          <w:tcPr>
            <w:tcW w:w="607" w:type="dxa"/>
            <w:tcBorders>
              <w:top w:val="nil"/>
              <w:left w:val="nil"/>
              <w:bottom w:val="single" w:sz="4" w:space="0" w:color="auto"/>
              <w:right w:val="single" w:sz="4" w:space="0" w:color="auto"/>
            </w:tcBorders>
            <w:shd w:val="clear" w:color="000000" w:fill="CCFFFF"/>
            <w:noWrap/>
            <w:vAlign w:val="bottom"/>
            <w:hideMark/>
          </w:tcPr>
          <w:p w14:paraId="2469896F" w14:textId="77777777" w:rsidR="003D0C85" w:rsidRPr="003D0C85" w:rsidRDefault="003D0C85" w:rsidP="003D0C85">
            <w:pPr>
              <w:spacing w:after="0" w:line="240" w:lineRule="auto"/>
              <w:jc w:val="right"/>
              <w:rPr>
                <w:rFonts w:ascii="Calibri" w:eastAsia="Times New Roman" w:hAnsi="Calibri" w:cs="Calibri"/>
                <w:sz w:val="18"/>
                <w:szCs w:val="18"/>
                <w:lang w:eastAsia="hr-HR"/>
              </w:rPr>
            </w:pPr>
            <w:r w:rsidRPr="003D0C85">
              <w:rPr>
                <w:rFonts w:ascii="Calibri" w:eastAsia="Times New Roman" w:hAnsi="Calibri" w:cs="Calibri"/>
                <w:sz w:val="18"/>
                <w:szCs w:val="18"/>
                <w:lang w:eastAsia="hr-HR"/>
              </w:rPr>
              <w:t>1</w:t>
            </w:r>
          </w:p>
        </w:tc>
        <w:tc>
          <w:tcPr>
            <w:tcW w:w="425" w:type="dxa"/>
            <w:gridSpan w:val="2"/>
            <w:tcBorders>
              <w:top w:val="nil"/>
              <w:left w:val="nil"/>
              <w:bottom w:val="single" w:sz="4" w:space="0" w:color="auto"/>
              <w:right w:val="nil"/>
            </w:tcBorders>
            <w:shd w:val="clear" w:color="000000" w:fill="33CCCC"/>
            <w:noWrap/>
            <w:vAlign w:val="bottom"/>
            <w:hideMark/>
          </w:tcPr>
          <w:p w14:paraId="7FCA2044" w14:textId="77777777" w:rsidR="003D0C85" w:rsidRPr="003D0C85" w:rsidRDefault="003D0C85" w:rsidP="003D0C85">
            <w:pPr>
              <w:spacing w:after="0" w:line="240" w:lineRule="auto"/>
              <w:jc w:val="right"/>
              <w:rPr>
                <w:rFonts w:ascii="Calibri" w:eastAsia="Times New Roman" w:hAnsi="Calibri" w:cs="Calibri"/>
                <w:sz w:val="18"/>
                <w:szCs w:val="18"/>
                <w:lang w:eastAsia="hr-HR"/>
              </w:rPr>
            </w:pPr>
            <w:r w:rsidRPr="003D0C85">
              <w:rPr>
                <w:rFonts w:ascii="Calibri" w:eastAsia="Times New Roman" w:hAnsi="Calibri" w:cs="Calibri"/>
                <w:sz w:val="18"/>
                <w:szCs w:val="18"/>
                <w:lang w:eastAsia="hr-HR"/>
              </w:rPr>
              <w:t>0</w:t>
            </w:r>
          </w:p>
        </w:tc>
        <w:tc>
          <w:tcPr>
            <w:tcW w:w="452" w:type="dxa"/>
            <w:gridSpan w:val="2"/>
            <w:tcBorders>
              <w:top w:val="nil"/>
              <w:left w:val="single" w:sz="4" w:space="0" w:color="auto"/>
              <w:bottom w:val="single" w:sz="4" w:space="0" w:color="auto"/>
              <w:right w:val="single" w:sz="8" w:space="0" w:color="auto"/>
            </w:tcBorders>
            <w:shd w:val="clear" w:color="000000" w:fill="33CCCC"/>
            <w:noWrap/>
            <w:vAlign w:val="bottom"/>
            <w:hideMark/>
          </w:tcPr>
          <w:p w14:paraId="0844D2B5" w14:textId="77777777" w:rsidR="003D0C85" w:rsidRPr="003D0C85" w:rsidRDefault="003D0C85" w:rsidP="003D0C85">
            <w:pPr>
              <w:spacing w:after="0" w:line="240" w:lineRule="auto"/>
              <w:jc w:val="right"/>
              <w:rPr>
                <w:rFonts w:ascii="Calibri" w:eastAsia="Times New Roman" w:hAnsi="Calibri" w:cs="Calibri"/>
                <w:sz w:val="18"/>
                <w:szCs w:val="18"/>
                <w:lang w:eastAsia="hr-HR"/>
              </w:rPr>
            </w:pPr>
            <w:r w:rsidRPr="003D0C85">
              <w:rPr>
                <w:rFonts w:ascii="Calibri" w:eastAsia="Times New Roman" w:hAnsi="Calibri" w:cs="Calibri"/>
                <w:sz w:val="18"/>
                <w:szCs w:val="18"/>
                <w:lang w:eastAsia="hr-HR"/>
              </w:rPr>
              <w:t>1</w:t>
            </w:r>
          </w:p>
        </w:tc>
        <w:tc>
          <w:tcPr>
            <w:tcW w:w="236" w:type="dxa"/>
            <w:gridSpan w:val="3"/>
            <w:vAlign w:val="center"/>
            <w:hideMark/>
          </w:tcPr>
          <w:p w14:paraId="535422EC" w14:textId="77777777" w:rsidR="003D0C85" w:rsidRPr="003D0C85" w:rsidRDefault="003D0C85" w:rsidP="003D0C85">
            <w:pPr>
              <w:spacing w:after="0" w:line="240" w:lineRule="auto"/>
              <w:rPr>
                <w:rFonts w:ascii="Times New Roman" w:eastAsia="Times New Roman" w:hAnsi="Times New Roman" w:cs="Times New Roman"/>
                <w:sz w:val="18"/>
                <w:szCs w:val="18"/>
                <w:lang w:eastAsia="hr-HR"/>
              </w:rPr>
            </w:pPr>
          </w:p>
        </w:tc>
      </w:tr>
      <w:tr w:rsidR="00E72E51" w:rsidRPr="00E72E51" w14:paraId="5A654E42" w14:textId="77777777" w:rsidTr="00E72E51">
        <w:trPr>
          <w:trHeight w:val="315"/>
        </w:trPr>
        <w:tc>
          <w:tcPr>
            <w:tcW w:w="983" w:type="dxa"/>
            <w:tcBorders>
              <w:top w:val="single" w:sz="4" w:space="0" w:color="auto"/>
              <w:left w:val="single" w:sz="8" w:space="0" w:color="auto"/>
              <w:bottom w:val="single" w:sz="4" w:space="0" w:color="auto"/>
              <w:right w:val="single" w:sz="4" w:space="0" w:color="auto"/>
            </w:tcBorders>
            <w:shd w:val="clear" w:color="000000" w:fill="CCFFCC"/>
            <w:vAlign w:val="center"/>
            <w:hideMark/>
          </w:tcPr>
          <w:p w14:paraId="0F607EE4" w14:textId="77777777" w:rsidR="003D0C85" w:rsidRPr="003D0C85" w:rsidRDefault="003D0C85" w:rsidP="003D0C85">
            <w:pPr>
              <w:spacing w:after="0" w:line="240" w:lineRule="auto"/>
              <w:rPr>
                <w:rFonts w:ascii="Calibri" w:eastAsia="Times New Roman" w:hAnsi="Calibri" w:cs="Calibri"/>
                <w:sz w:val="18"/>
                <w:szCs w:val="18"/>
                <w:lang w:eastAsia="hr-HR"/>
              </w:rPr>
            </w:pPr>
            <w:r w:rsidRPr="003D0C85">
              <w:rPr>
                <w:rFonts w:ascii="Calibri" w:eastAsia="Times New Roman" w:hAnsi="Calibri" w:cs="Calibri"/>
                <w:sz w:val="18"/>
                <w:szCs w:val="18"/>
                <w:lang w:eastAsia="hr-HR"/>
              </w:rPr>
              <w:t>Vjera</w:t>
            </w:r>
          </w:p>
        </w:tc>
        <w:tc>
          <w:tcPr>
            <w:tcW w:w="442" w:type="dxa"/>
            <w:tcBorders>
              <w:top w:val="nil"/>
              <w:left w:val="nil"/>
              <w:bottom w:val="single" w:sz="4" w:space="0" w:color="auto"/>
              <w:right w:val="single" w:sz="4" w:space="0" w:color="auto"/>
            </w:tcBorders>
            <w:shd w:val="clear" w:color="000000" w:fill="FFFF00"/>
            <w:vAlign w:val="bottom"/>
            <w:hideMark/>
          </w:tcPr>
          <w:p w14:paraId="03F0B52B" w14:textId="77777777" w:rsidR="003D0C85" w:rsidRPr="003D0C85" w:rsidRDefault="003D0C85" w:rsidP="003D0C85">
            <w:pPr>
              <w:spacing w:after="0" w:line="240" w:lineRule="auto"/>
              <w:jc w:val="right"/>
              <w:rPr>
                <w:rFonts w:ascii="Calibri" w:eastAsia="Times New Roman" w:hAnsi="Calibri" w:cs="Calibri"/>
                <w:b/>
                <w:bCs/>
                <w:sz w:val="18"/>
                <w:szCs w:val="18"/>
                <w:lang w:eastAsia="hr-HR"/>
              </w:rPr>
            </w:pPr>
            <w:r w:rsidRPr="003D0C85">
              <w:rPr>
                <w:rFonts w:ascii="Calibri" w:eastAsia="Times New Roman" w:hAnsi="Calibri" w:cs="Calibri"/>
                <w:b/>
                <w:bCs/>
                <w:sz w:val="18"/>
                <w:szCs w:val="18"/>
                <w:lang w:eastAsia="hr-HR"/>
              </w:rPr>
              <w:t>0</w:t>
            </w:r>
          </w:p>
        </w:tc>
        <w:tc>
          <w:tcPr>
            <w:tcW w:w="443" w:type="dxa"/>
            <w:tcBorders>
              <w:top w:val="nil"/>
              <w:left w:val="nil"/>
              <w:bottom w:val="single" w:sz="4" w:space="0" w:color="auto"/>
              <w:right w:val="single" w:sz="4" w:space="0" w:color="auto"/>
            </w:tcBorders>
            <w:shd w:val="clear" w:color="000000" w:fill="FFCC99"/>
            <w:noWrap/>
            <w:vAlign w:val="bottom"/>
            <w:hideMark/>
          </w:tcPr>
          <w:p w14:paraId="4462D8E9" w14:textId="77777777" w:rsidR="003D0C85" w:rsidRPr="003D0C85" w:rsidRDefault="003D0C85" w:rsidP="003D0C85">
            <w:pPr>
              <w:spacing w:after="0" w:line="240" w:lineRule="auto"/>
              <w:jc w:val="right"/>
              <w:rPr>
                <w:rFonts w:ascii="Calibri" w:eastAsia="Times New Roman" w:hAnsi="Calibri" w:cs="Calibri"/>
                <w:sz w:val="18"/>
                <w:szCs w:val="18"/>
                <w:lang w:eastAsia="hr-HR"/>
              </w:rPr>
            </w:pPr>
            <w:r w:rsidRPr="003D0C85">
              <w:rPr>
                <w:rFonts w:ascii="Calibri" w:eastAsia="Times New Roman" w:hAnsi="Calibri" w:cs="Calibri"/>
                <w:sz w:val="18"/>
                <w:szCs w:val="18"/>
                <w:lang w:eastAsia="hr-HR"/>
              </w:rPr>
              <w:t>1</w:t>
            </w:r>
          </w:p>
        </w:tc>
        <w:tc>
          <w:tcPr>
            <w:tcW w:w="316" w:type="dxa"/>
            <w:tcBorders>
              <w:top w:val="nil"/>
              <w:left w:val="nil"/>
              <w:bottom w:val="single" w:sz="4" w:space="0" w:color="auto"/>
              <w:right w:val="single" w:sz="4" w:space="0" w:color="auto"/>
            </w:tcBorders>
            <w:shd w:val="clear" w:color="000000" w:fill="CCFFFF"/>
            <w:vAlign w:val="bottom"/>
            <w:hideMark/>
          </w:tcPr>
          <w:p w14:paraId="1F283584" w14:textId="77777777" w:rsidR="003D0C85" w:rsidRPr="003D0C85" w:rsidRDefault="003D0C85" w:rsidP="003D0C85">
            <w:pPr>
              <w:spacing w:after="0" w:line="240" w:lineRule="auto"/>
              <w:jc w:val="right"/>
              <w:rPr>
                <w:rFonts w:ascii="Calibri" w:eastAsia="Times New Roman" w:hAnsi="Calibri" w:cs="Calibri"/>
                <w:sz w:val="18"/>
                <w:szCs w:val="18"/>
                <w:lang w:eastAsia="hr-HR"/>
              </w:rPr>
            </w:pPr>
            <w:r w:rsidRPr="003D0C85">
              <w:rPr>
                <w:rFonts w:ascii="Calibri" w:eastAsia="Times New Roman" w:hAnsi="Calibri" w:cs="Calibri"/>
                <w:sz w:val="18"/>
                <w:szCs w:val="18"/>
                <w:lang w:eastAsia="hr-HR"/>
              </w:rPr>
              <w:t>0</w:t>
            </w:r>
          </w:p>
        </w:tc>
        <w:tc>
          <w:tcPr>
            <w:tcW w:w="452" w:type="dxa"/>
            <w:tcBorders>
              <w:top w:val="nil"/>
              <w:left w:val="nil"/>
              <w:bottom w:val="single" w:sz="4" w:space="0" w:color="auto"/>
              <w:right w:val="single" w:sz="4" w:space="0" w:color="auto"/>
            </w:tcBorders>
            <w:shd w:val="clear" w:color="000000" w:fill="CCFFFF"/>
            <w:vAlign w:val="bottom"/>
            <w:hideMark/>
          </w:tcPr>
          <w:p w14:paraId="6499DEBE" w14:textId="77777777" w:rsidR="003D0C85" w:rsidRPr="003D0C85" w:rsidRDefault="003D0C85" w:rsidP="003D0C85">
            <w:pPr>
              <w:spacing w:after="0" w:line="240" w:lineRule="auto"/>
              <w:jc w:val="right"/>
              <w:rPr>
                <w:rFonts w:ascii="Calibri" w:eastAsia="Times New Roman" w:hAnsi="Calibri" w:cs="Calibri"/>
                <w:sz w:val="18"/>
                <w:szCs w:val="18"/>
                <w:lang w:eastAsia="hr-HR"/>
              </w:rPr>
            </w:pPr>
            <w:r w:rsidRPr="003D0C85">
              <w:rPr>
                <w:rFonts w:ascii="Calibri" w:eastAsia="Times New Roman" w:hAnsi="Calibri" w:cs="Calibri"/>
                <w:sz w:val="18"/>
                <w:szCs w:val="18"/>
                <w:lang w:eastAsia="hr-HR"/>
              </w:rPr>
              <w:t>0</w:t>
            </w:r>
          </w:p>
        </w:tc>
        <w:tc>
          <w:tcPr>
            <w:tcW w:w="491" w:type="dxa"/>
            <w:gridSpan w:val="2"/>
            <w:tcBorders>
              <w:top w:val="nil"/>
              <w:left w:val="nil"/>
              <w:bottom w:val="single" w:sz="4" w:space="0" w:color="auto"/>
              <w:right w:val="single" w:sz="4" w:space="0" w:color="auto"/>
            </w:tcBorders>
            <w:shd w:val="clear" w:color="000000" w:fill="FFFF99"/>
            <w:noWrap/>
            <w:vAlign w:val="bottom"/>
            <w:hideMark/>
          </w:tcPr>
          <w:p w14:paraId="7E031E66" w14:textId="77777777" w:rsidR="003D0C85" w:rsidRPr="003D0C85" w:rsidRDefault="003D0C85" w:rsidP="003D0C85">
            <w:pPr>
              <w:spacing w:after="0" w:line="240" w:lineRule="auto"/>
              <w:jc w:val="right"/>
              <w:rPr>
                <w:rFonts w:ascii="Calibri" w:eastAsia="Times New Roman" w:hAnsi="Calibri" w:cs="Calibri"/>
                <w:sz w:val="18"/>
                <w:szCs w:val="18"/>
                <w:lang w:eastAsia="hr-HR"/>
              </w:rPr>
            </w:pPr>
            <w:r w:rsidRPr="003D0C85">
              <w:rPr>
                <w:rFonts w:ascii="Calibri" w:eastAsia="Times New Roman" w:hAnsi="Calibri" w:cs="Calibri"/>
                <w:sz w:val="18"/>
                <w:szCs w:val="18"/>
                <w:lang w:eastAsia="hr-HR"/>
              </w:rPr>
              <w:t>0</w:t>
            </w:r>
          </w:p>
        </w:tc>
        <w:tc>
          <w:tcPr>
            <w:tcW w:w="447" w:type="dxa"/>
            <w:tcBorders>
              <w:top w:val="nil"/>
              <w:left w:val="nil"/>
              <w:bottom w:val="single" w:sz="4" w:space="0" w:color="auto"/>
              <w:right w:val="single" w:sz="4" w:space="0" w:color="auto"/>
            </w:tcBorders>
            <w:shd w:val="clear" w:color="000000" w:fill="FFFF99"/>
            <w:noWrap/>
            <w:vAlign w:val="bottom"/>
            <w:hideMark/>
          </w:tcPr>
          <w:p w14:paraId="58B2272A" w14:textId="77777777" w:rsidR="003D0C85" w:rsidRPr="003D0C85" w:rsidRDefault="003D0C85" w:rsidP="003D0C85">
            <w:pPr>
              <w:spacing w:after="0" w:line="240" w:lineRule="auto"/>
              <w:jc w:val="right"/>
              <w:rPr>
                <w:rFonts w:ascii="Calibri" w:eastAsia="Times New Roman" w:hAnsi="Calibri" w:cs="Calibri"/>
                <w:sz w:val="18"/>
                <w:szCs w:val="18"/>
                <w:lang w:eastAsia="hr-HR"/>
              </w:rPr>
            </w:pPr>
            <w:r w:rsidRPr="003D0C85">
              <w:rPr>
                <w:rFonts w:ascii="Calibri" w:eastAsia="Times New Roman" w:hAnsi="Calibri" w:cs="Calibri"/>
                <w:sz w:val="18"/>
                <w:szCs w:val="18"/>
                <w:lang w:eastAsia="hr-HR"/>
              </w:rPr>
              <w:t>0</w:t>
            </w:r>
          </w:p>
        </w:tc>
        <w:tc>
          <w:tcPr>
            <w:tcW w:w="495" w:type="dxa"/>
            <w:tcBorders>
              <w:top w:val="nil"/>
              <w:left w:val="nil"/>
              <w:bottom w:val="single" w:sz="4" w:space="0" w:color="auto"/>
              <w:right w:val="single" w:sz="4" w:space="0" w:color="auto"/>
            </w:tcBorders>
            <w:shd w:val="clear" w:color="000000" w:fill="FFFF99"/>
            <w:noWrap/>
            <w:vAlign w:val="bottom"/>
            <w:hideMark/>
          </w:tcPr>
          <w:p w14:paraId="459556B1" w14:textId="77777777" w:rsidR="003D0C85" w:rsidRPr="003D0C85" w:rsidRDefault="003D0C85" w:rsidP="003D0C85">
            <w:pPr>
              <w:spacing w:after="0" w:line="240" w:lineRule="auto"/>
              <w:jc w:val="right"/>
              <w:rPr>
                <w:rFonts w:ascii="Calibri" w:eastAsia="Times New Roman" w:hAnsi="Calibri" w:cs="Calibri"/>
                <w:sz w:val="18"/>
                <w:szCs w:val="18"/>
                <w:lang w:eastAsia="hr-HR"/>
              </w:rPr>
            </w:pPr>
            <w:r w:rsidRPr="003D0C85">
              <w:rPr>
                <w:rFonts w:ascii="Calibri" w:eastAsia="Times New Roman" w:hAnsi="Calibri" w:cs="Calibri"/>
                <w:sz w:val="18"/>
                <w:szCs w:val="18"/>
                <w:lang w:eastAsia="hr-HR"/>
              </w:rPr>
              <w:t>0</w:t>
            </w:r>
          </w:p>
        </w:tc>
        <w:tc>
          <w:tcPr>
            <w:tcW w:w="451" w:type="dxa"/>
            <w:tcBorders>
              <w:top w:val="nil"/>
              <w:left w:val="nil"/>
              <w:bottom w:val="single" w:sz="4" w:space="0" w:color="auto"/>
              <w:right w:val="single" w:sz="4" w:space="0" w:color="auto"/>
            </w:tcBorders>
            <w:shd w:val="clear" w:color="000000" w:fill="FFFF99"/>
            <w:noWrap/>
            <w:vAlign w:val="bottom"/>
            <w:hideMark/>
          </w:tcPr>
          <w:p w14:paraId="0D2B9560" w14:textId="77777777" w:rsidR="003D0C85" w:rsidRPr="003D0C85" w:rsidRDefault="003D0C85" w:rsidP="003D0C85">
            <w:pPr>
              <w:spacing w:after="0" w:line="240" w:lineRule="auto"/>
              <w:jc w:val="right"/>
              <w:rPr>
                <w:rFonts w:ascii="Calibri" w:eastAsia="Times New Roman" w:hAnsi="Calibri" w:cs="Calibri"/>
                <w:sz w:val="18"/>
                <w:szCs w:val="18"/>
                <w:lang w:eastAsia="hr-HR"/>
              </w:rPr>
            </w:pPr>
            <w:r w:rsidRPr="003D0C85">
              <w:rPr>
                <w:rFonts w:ascii="Calibri" w:eastAsia="Times New Roman" w:hAnsi="Calibri" w:cs="Calibri"/>
                <w:sz w:val="18"/>
                <w:szCs w:val="18"/>
                <w:lang w:eastAsia="hr-HR"/>
              </w:rPr>
              <w:t>0</w:t>
            </w:r>
          </w:p>
        </w:tc>
        <w:tc>
          <w:tcPr>
            <w:tcW w:w="632" w:type="dxa"/>
            <w:gridSpan w:val="2"/>
            <w:tcBorders>
              <w:top w:val="nil"/>
              <w:left w:val="nil"/>
              <w:bottom w:val="single" w:sz="4" w:space="0" w:color="auto"/>
              <w:right w:val="single" w:sz="4" w:space="0" w:color="auto"/>
            </w:tcBorders>
            <w:shd w:val="clear" w:color="000000" w:fill="FFFF99"/>
            <w:noWrap/>
            <w:vAlign w:val="bottom"/>
            <w:hideMark/>
          </w:tcPr>
          <w:p w14:paraId="5C0E4BE1" w14:textId="77777777" w:rsidR="003D0C85" w:rsidRPr="003D0C85" w:rsidRDefault="003D0C85" w:rsidP="003D0C85">
            <w:pPr>
              <w:spacing w:after="0" w:line="240" w:lineRule="auto"/>
              <w:jc w:val="right"/>
              <w:rPr>
                <w:rFonts w:ascii="Calibri" w:eastAsia="Times New Roman" w:hAnsi="Calibri" w:cs="Calibri"/>
                <w:sz w:val="18"/>
                <w:szCs w:val="18"/>
                <w:lang w:eastAsia="hr-HR"/>
              </w:rPr>
            </w:pPr>
            <w:r w:rsidRPr="003D0C85">
              <w:rPr>
                <w:rFonts w:ascii="Calibri" w:eastAsia="Times New Roman" w:hAnsi="Calibri" w:cs="Calibri"/>
                <w:sz w:val="18"/>
                <w:szCs w:val="18"/>
                <w:lang w:eastAsia="hr-HR"/>
              </w:rPr>
              <w:t>0</w:t>
            </w:r>
          </w:p>
        </w:tc>
        <w:tc>
          <w:tcPr>
            <w:tcW w:w="447" w:type="dxa"/>
            <w:tcBorders>
              <w:top w:val="nil"/>
              <w:left w:val="nil"/>
              <w:bottom w:val="single" w:sz="4" w:space="0" w:color="auto"/>
              <w:right w:val="single" w:sz="4" w:space="0" w:color="auto"/>
            </w:tcBorders>
            <w:shd w:val="clear" w:color="000000" w:fill="FFFF99"/>
            <w:noWrap/>
            <w:vAlign w:val="bottom"/>
            <w:hideMark/>
          </w:tcPr>
          <w:p w14:paraId="2B81E5EF" w14:textId="77777777" w:rsidR="003D0C85" w:rsidRPr="003D0C85" w:rsidRDefault="003D0C85" w:rsidP="003D0C85">
            <w:pPr>
              <w:spacing w:after="0" w:line="240" w:lineRule="auto"/>
              <w:jc w:val="right"/>
              <w:rPr>
                <w:rFonts w:ascii="Calibri" w:eastAsia="Times New Roman" w:hAnsi="Calibri" w:cs="Calibri"/>
                <w:sz w:val="18"/>
                <w:szCs w:val="18"/>
                <w:lang w:eastAsia="hr-HR"/>
              </w:rPr>
            </w:pPr>
            <w:r w:rsidRPr="003D0C85">
              <w:rPr>
                <w:rFonts w:ascii="Calibri" w:eastAsia="Times New Roman" w:hAnsi="Calibri" w:cs="Calibri"/>
                <w:sz w:val="18"/>
                <w:szCs w:val="18"/>
                <w:lang w:eastAsia="hr-HR"/>
              </w:rPr>
              <w:t>1</w:t>
            </w:r>
          </w:p>
        </w:tc>
        <w:tc>
          <w:tcPr>
            <w:tcW w:w="543" w:type="dxa"/>
            <w:tcBorders>
              <w:top w:val="nil"/>
              <w:left w:val="nil"/>
              <w:bottom w:val="single" w:sz="4" w:space="0" w:color="auto"/>
              <w:right w:val="single" w:sz="4" w:space="0" w:color="auto"/>
            </w:tcBorders>
            <w:shd w:val="clear" w:color="000000" w:fill="FFFF99"/>
            <w:noWrap/>
            <w:vAlign w:val="bottom"/>
            <w:hideMark/>
          </w:tcPr>
          <w:p w14:paraId="315ECA95" w14:textId="77777777" w:rsidR="003D0C85" w:rsidRPr="003D0C85" w:rsidRDefault="003D0C85" w:rsidP="003D0C85">
            <w:pPr>
              <w:spacing w:after="0" w:line="240" w:lineRule="auto"/>
              <w:jc w:val="right"/>
              <w:rPr>
                <w:rFonts w:ascii="Calibri" w:eastAsia="Times New Roman" w:hAnsi="Calibri" w:cs="Calibri"/>
                <w:sz w:val="18"/>
                <w:szCs w:val="18"/>
                <w:lang w:eastAsia="hr-HR"/>
              </w:rPr>
            </w:pPr>
            <w:r w:rsidRPr="003D0C85">
              <w:rPr>
                <w:rFonts w:ascii="Calibri" w:eastAsia="Times New Roman" w:hAnsi="Calibri" w:cs="Calibri"/>
                <w:sz w:val="18"/>
                <w:szCs w:val="18"/>
                <w:lang w:eastAsia="hr-HR"/>
              </w:rPr>
              <w:t>0</w:t>
            </w:r>
          </w:p>
        </w:tc>
        <w:tc>
          <w:tcPr>
            <w:tcW w:w="447" w:type="dxa"/>
            <w:tcBorders>
              <w:top w:val="nil"/>
              <w:left w:val="nil"/>
              <w:bottom w:val="single" w:sz="4" w:space="0" w:color="auto"/>
              <w:right w:val="single" w:sz="4" w:space="0" w:color="auto"/>
            </w:tcBorders>
            <w:shd w:val="clear" w:color="000000" w:fill="FFFF99"/>
            <w:noWrap/>
            <w:vAlign w:val="bottom"/>
            <w:hideMark/>
          </w:tcPr>
          <w:p w14:paraId="1C8E77EB" w14:textId="77777777" w:rsidR="003D0C85" w:rsidRPr="003D0C85" w:rsidRDefault="003D0C85" w:rsidP="003D0C85">
            <w:pPr>
              <w:spacing w:after="0" w:line="240" w:lineRule="auto"/>
              <w:jc w:val="right"/>
              <w:rPr>
                <w:rFonts w:ascii="Calibri" w:eastAsia="Times New Roman" w:hAnsi="Calibri" w:cs="Calibri"/>
                <w:sz w:val="18"/>
                <w:szCs w:val="18"/>
                <w:lang w:eastAsia="hr-HR"/>
              </w:rPr>
            </w:pPr>
            <w:r w:rsidRPr="003D0C85">
              <w:rPr>
                <w:rFonts w:ascii="Calibri" w:eastAsia="Times New Roman" w:hAnsi="Calibri" w:cs="Calibri"/>
                <w:sz w:val="18"/>
                <w:szCs w:val="18"/>
                <w:lang w:eastAsia="hr-HR"/>
              </w:rPr>
              <w:t>0</w:t>
            </w:r>
          </w:p>
        </w:tc>
        <w:tc>
          <w:tcPr>
            <w:tcW w:w="543" w:type="dxa"/>
            <w:tcBorders>
              <w:top w:val="nil"/>
              <w:left w:val="nil"/>
              <w:bottom w:val="single" w:sz="4" w:space="0" w:color="auto"/>
              <w:right w:val="single" w:sz="4" w:space="0" w:color="auto"/>
            </w:tcBorders>
            <w:shd w:val="clear" w:color="000000" w:fill="FFFF99"/>
            <w:noWrap/>
            <w:vAlign w:val="bottom"/>
            <w:hideMark/>
          </w:tcPr>
          <w:p w14:paraId="209B3848" w14:textId="77777777" w:rsidR="003D0C85" w:rsidRPr="003D0C85" w:rsidRDefault="003D0C85" w:rsidP="003D0C85">
            <w:pPr>
              <w:spacing w:after="0" w:line="240" w:lineRule="auto"/>
              <w:jc w:val="right"/>
              <w:rPr>
                <w:rFonts w:ascii="Calibri" w:eastAsia="Times New Roman" w:hAnsi="Calibri" w:cs="Calibri"/>
                <w:sz w:val="18"/>
                <w:szCs w:val="18"/>
                <w:lang w:eastAsia="hr-HR"/>
              </w:rPr>
            </w:pPr>
            <w:r w:rsidRPr="003D0C85">
              <w:rPr>
                <w:rFonts w:ascii="Calibri" w:eastAsia="Times New Roman" w:hAnsi="Calibri" w:cs="Calibri"/>
                <w:sz w:val="18"/>
                <w:szCs w:val="18"/>
                <w:lang w:eastAsia="hr-HR"/>
              </w:rPr>
              <w:t>0</w:t>
            </w:r>
          </w:p>
        </w:tc>
        <w:tc>
          <w:tcPr>
            <w:tcW w:w="356" w:type="dxa"/>
            <w:tcBorders>
              <w:top w:val="nil"/>
              <w:left w:val="nil"/>
              <w:bottom w:val="single" w:sz="4" w:space="0" w:color="auto"/>
              <w:right w:val="single" w:sz="4" w:space="0" w:color="auto"/>
            </w:tcBorders>
            <w:shd w:val="clear" w:color="000000" w:fill="FFFF99"/>
            <w:noWrap/>
            <w:vAlign w:val="bottom"/>
            <w:hideMark/>
          </w:tcPr>
          <w:p w14:paraId="7DCAE7B0" w14:textId="77777777" w:rsidR="003D0C85" w:rsidRPr="003D0C85" w:rsidRDefault="003D0C85" w:rsidP="003D0C85">
            <w:pPr>
              <w:spacing w:after="0" w:line="240" w:lineRule="auto"/>
              <w:jc w:val="right"/>
              <w:rPr>
                <w:rFonts w:ascii="Calibri" w:eastAsia="Times New Roman" w:hAnsi="Calibri" w:cs="Calibri"/>
                <w:sz w:val="18"/>
                <w:szCs w:val="18"/>
                <w:lang w:eastAsia="hr-HR"/>
              </w:rPr>
            </w:pPr>
            <w:r w:rsidRPr="003D0C85">
              <w:rPr>
                <w:rFonts w:ascii="Calibri" w:eastAsia="Times New Roman" w:hAnsi="Calibri" w:cs="Calibri"/>
                <w:sz w:val="18"/>
                <w:szCs w:val="18"/>
                <w:lang w:eastAsia="hr-HR"/>
              </w:rPr>
              <w:t>0</w:t>
            </w:r>
          </w:p>
        </w:tc>
        <w:tc>
          <w:tcPr>
            <w:tcW w:w="447" w:type="dxa"/>
            <w:gridSpan w:val="2"/>
            <w:tcBorders>
              <w:top w:val="nil"/>
              <w:left w:val="nil"/>
              <w:bottom w:val="single" w:sz="4" w:space="0" w:color="auto"/>
              <w:right w:val="single" w:sz="4" w:space="0" w:color="auto"/>
            </w:tcBorders>
            <w:shd w:val="clear" w:color="000000" w:fill="FF9900"/>
            <w:noWrap/>
            <w:vAlign w:val="bottom"/>
            <w:hideMark/>
          </w:tcPr>
          <w:p w14:paraId="6C273A5A" w14:textId="77777777" w:rsidR="003D0C85" w:rsidRPr="003D0C85" w:rsidRDefault="003D0C85" w:rsidP="003D0C85">
            <w:pPr>
              <w:spacing w:after="0" w:line="240" w:lineRule="auto"/>
              <w:jc w:val="right"/>
              <w:rPr>
                <w:rFonts w:ascii="Calibri" w:eastAsia="Times New Roman" w:hAnsi="Calibri" w:cs="Calibri"/>
                <w:sz w:val="18"/>
                <w:szCs w:val="18"/>
                <w:lang w:eastAsia="hr-HR"/>
              </w:rPr>
            </w:pPr>
            <w:r w:rsidRPr="003D0C85">
              <w:rPr>
                <w:rFonts w:ascii="Calibri" w:eastAsia="Times New Roman" w:hAnsi="Calibri" w:cs="Calibri"/>
                <w:sz w:val="18"/>
                <w:szCs w:val="18"/>
                <w:lang w:eastAsia="hr-HR"/>
              </w:rPr>
              <w:t>0</w:t>
            </w:r>
          </w:p>
        </w:tc>
        <w:tc>
          <w:tcPr>
            <w:tcW w:w="447" w:type="dxa"/>
            <w:tcBorders>
              <w:top w:val="nil"/>
              <w:left w:val="nil"/>
              <w:bottom w:val="single" w:sz="4" w:space="0" w:color="auto"/>
              <w:right w:val="single" w:sz="4" w:space="0" w:color="auto"/>
            </w:tcBorders>
            <w:shd w:val="clear" w:color="000000" w:fill="FF9900"/>
            <w:noWrap/>
            <w:vAlign w:val="bottom"/>
            <w:hideMark/>
          </w:tcPr>
          <w:p w14:paraId="37F692CB" w14:textId="77777777" w:rsidR="003D0C85" w:rsidRPr="003D0C85" w:rsidRDefault="003D0C85" w:rsidP="003D0C85">
            <w:pPr>
              <w:spacing w:after="0" w:line="240" w:lineRule="auto"/>
              <w:jc w:val="right"/>
              <w:rPr>
                <w:rFonts w:ascii="Calibri" w:eastAsia="Times New Roman" w:hAnsi="Calibri" w:cs="Calibri"/>
                <w:sz w:val="18"/>
                <w:szCs w:val="18"/>
                <w:lang w:eastAsia="hr-HR"/>
              </w:rPr>
            </w:pPr>
            <w:r w:rsidRPr="003D0C85">
              <w:rPr>
                <w:rFonts w:ascii="Calibri" w:eastAsia="Times New Roman" w:hAnsi="Calibri" w:cs="Calibri"/>
                <w:sz w:val="18"/>
                <w:szCs w:val="18"/>
                <w:lang w:eastAsia="hr-HR"/>
              </w:rPr>
              <w:t>0</w:t>
            </w:r>
          </w:p>
        </w:tc>
        <w:tc>
          <w:tcPr>
            <w:tcW w:w="447" w:type="dxa"/>
            <w:tcBorders>
              <w:top w:val="nil"/>
              <w:left w:val="nil"/>
              <w:bottom w:val="single" w:sz="4" w:space="0" w:color="auto"/>
              <w:right w:val="single" w:sz="4" w:space="0" w:color="auto"/>
            </w:tcBorders>
            <w:shd w:val="clear" w:color="000000" w:fill="FF9900"/>
            <w:noWrap/>
            <w:vAlign w:val="bottom"/>
            <w:hideMark/>
          </w:tcPr>
          <w:p w14:paraId="096A5895" w14:textId="77777777" w:rsidR="003D0C85" w:rsidRPr="003D0C85" w:rsidRDefault="003D0C85" w:rsidP="003D0C85">
            <w:pPr>
              <w:spacing w:after="0" w:line="240" w:lineRule="auto"/>
              <w:jc w:val="right"/>
              <w:rPr>
                <w:rFonts w:ascii="Calibri" w:eastAsia="Times New Roman" w:hAnsi="Calibri" w:cs="Calibri"/>
                <w:sz w:val="18"/>
                <w:szCs w:val="18"/>
                <w:lang w:eastAsia="hr-HR"/>
              </w:rPr>
            </w:pPr>
            <w:r w:rsidRPr="003D0C85">
              <w:rPr>
                <w:rFonts w:ascii="Calibri" w:eastAsia="Times New Roman" w:hAnsi="Calibri" w:cs="Calibri"/>
                <w:sz w:val="18"/>
                <w:szCs w:val="18"/>
                <w:lang w:eastAsia="hr-HR"/>
              </w:rPr>
              <w:t>0</w:t>
            </w:r>
          </w:p>
        </w:tc>
        <w:tc>
          <w:tcPr>
            <w:tcW w:w="475" w:type="dxa"/>
            <w:tcBorders>
              <w:top w:val="nil"/>
              <w:left w:val="nil"/>
              <w:bottom w:val="single" w:sz="4" w:space="0" w:color="auto"/>
              <w:right w:val="single" w:sz="4" w:space="0" w:color="auto"/>
            </w:tcBorders>
            <w:shd w:val="clear" w:color="auto" w:fill="auto"/>
            <w:vAlign w:val="bottom"/>
            <w:hideMark/>
          </w:tcPr>
          <w:p w14:paraId="4FD4EFA5" w14:textId="77777777" w:rsidR="003D0C85" w:rsidRPr="003D0C85" w:rsidRDefault="003D0C85" w:rsidP="003D0C85">
            <w:pPr>
              <w:spacing w:after="0" w:line="240" w:lineRule="auto"/>
              <w:jc w:val="right"/>
              <w:rPr>
                <w:rFonts w:ascii="Calibri" w:eastAsia="Times New Roman" w:hAnsi="Calibri" w:cs="Calibri"/>
                <w:b/>
                <w:bCs/>
                <w:sz w:val="18"/>
                <w:szCs w:val="18"/>
                <w:lang w:eastAsia="hr-HR"/>
              </w:rPr>
            </w:pPr>
            <w:r w:rsidRPr="003D0C85">
              <w:rPr>
                <w:rFonts w:ascii="Calibri" w:eastAsia="Times New Roman" w:hAnsi="Calibri" w:cs="Calibri"/>
                <w:b/>
                <w:bCs/>
                <w:sz w:val="18"/>
                <w:szCs w:val="18"/>
                <w:lang w:eastAsia="hr-HR"/>
              </w:rPr>
              <w:t>0</w:t>
            </w:r>
          </w:p>
        </w:tc>
        <w:tc>
          <w:tcPr>
            <w:tcW w:w="447" w:type="dxa"/>
            <w:gridSpan w:val="2"/>
            <w:tcBorders>
              <w:top w:val="nil"/>
              <w:left w:val="nil"/>
              <w:bottom w:val="single" w:sz="4" w:space="0" w:color="auto"/>
              <w:right w:val="single" w:sz="4" w:space="0" w:color="auto"/>
            </w:tcBorders>
            <w:shd w:val="clear" w:color="000000" w:fill="FFFF00"/>
            <w:noWrap/>
            <w:vAlign w:val="bottom"/>
            <w:hideMark/>
          </w:tcPr>
          <w:p w14:paraId="36FA6A87" w14:textId="77777777" w:rsidR="003D0C85" w:rsidRPr="003D0C85" w:rsidRDefault="003D0C85" w:rsidP="003D0C85">
            <w:pPr>
              <w:spacing w:after="0" w:line="240" w:lineRule="auto"/>
              <w:jc w:val="right"/>
              <w:rPr>
                <w:rFonts w:ascii="Calibri" w:eastAsia="Times New Roman" w:hAnsi="Calibri" w:cs="Calibri"/>
                <w:sz w:val="18"/>
                <w:szCs w:val="18"/>
                <w:lang w:eastAsia="hr-HR"/>
              </w:rPr>
            </w:pPr>
            <w:r w:rsidRPr="003D0C85">
              <w:rPr>
                <w:rFonts w:ascii="Calibri" w:eastAsia="Times New Roman" w:hAnsi="Calibri" w:cs="Calibri"/>
                <w:sz w:val="18"/>
                <w:szCs w:val="18"/>
                <w:lang w:eastAsia="hr-HR"/>
              </w:rPr>
              <w:t>0</w:t>
            </w:r>
          </w:p>
        </w:tc>
        <w:tc>
          <w:tcPr>
            <w:tcW w:w="447" w:type="dxa"/>
            <w:tcBorders>
              <w:top w:val="nil"/>
              <w:left w:val="nil"/>
              <w:bottom w:val="single" w:sz="4" w:space="0" w:color="auto"/>
              <w:right w:val="single" w:sz="4" w:space="0" w:color="auto"/>
            </w:tcBorders>
            <w:shd w:val="clear" w:color="000000" w:fill="FFFF00"/>
            <w:noWrap/>
            <w:vAlign w:val="bottom"/>
            <w:hideMark/>
          </w:tcPr>
          <w:p w14:paraId="3FD591DD" w14:textId="77777777" w:rsidR="003D0C85" w:rsidRPr="003D0C85" w:rsidRDefault="003D0C85" w:rsidP="003D0C85">
            <w:pPr>
              <w:spacing w:after="0" w:line="240" w:lineRule="auto"/>
              <w:jc w:val="right"/>
              <w:rPr>
                <w:rFonts w:ascii="Calibri" w:eastAsia="Times New Roman" w:hAnsi="Calibri" w:cs="Calibri"/>
                <w:sz w:val="18"/>
                <w:szCs w:val="18"/>
                <w:lang w:eastAsia="hr-HR"/>
              </w:rPr>
            </w:pPr>
            <w:r w:rsidRPr="003D0C85">
              <w:rPr>
                <w:rFonts w:ascii="Calibri" w:eastAsia="Times New Roman" w:hAnsi="Calibri" w:cs="Calibri"/>
                <w:sz w:val="18"/>
                <w:szCs w:val="18"/>
                <w:lang w:eastAsia="hr-HR"/>
              </w:rPr>
              <w:t>0</w:t>
            </w:r>
          </w:p>
        </w:tc>
        <w:tc>
          <w:tcPr>
            <w:tcW w:w="521" w:type="dxa"/>
            <w:tcBorders>
              <w:top w:val="nil"/>
              <w:left w:val="nil"/>
              <w:bottom w:val="single" w:sz="4" w:space="0" w:color="auto"/>
              <w:right w:val="single" w:sz="4" w:space="0" w:color="auto"/>
            </w:tcBorders>
            <w:shd w:val="clear" w:color="000000" w:fill="FFFF00"/>
            <w:noWrap/>
            <w:vAlign w:val="bottom"/>
            <w:hideMark/>
          </w:tcPr>
          <w:p w14:paraId="7F49966F" w14:textId="77777777" w:rsidR="003D0C85" w:rsidRPr="003D0C85" w:rsidRDefault="003D0C85" w:rsidP="003D0C85">
            <w:pPr>
              <w:spacing w:after="0" w:line="240" w:lineRule="auto"/>
              <w:jc w:val="right"/>
              <w:rPr>
                <w:rFonts w:ascii="Calibri" w:eastAsia="Times New Roman" w:hAnsi="Calibri" w:cs="Calibri"/>
                <w:sz w:val="18"/>
                <w:szCs w:val="18"/>
                <w:lang w:eastAsia="hr-HR"/>
              </w:rPr>
            </w:pPr>
            <w:r w:rsidRPr="003D0C85">
              <w:rPr>
                <w:rFonts w:ascii="Calibri" w:eastAsia="Times New Roman" w:hAnsi="Calibri" w:cs="Calibri"/>
                <w:sz w:val="18"/>
                <w:szCs w:val="18"/>
                <w:lang w:eastAsia="hr-HR"/>
              </w:rPr>
              <w:t>0</w:t>
            </w:r>
          </w:p>
        </w:tc>
        <w:tc>
          <w:tcPr>
            <w:tcW w:w="446" w:type="dxa"/>
            <w:tcBorders>
              <w:top w:val="nil"/>
              <w:left w:val="nil"/>
              <w:bottom w:val="single" w:sz="4" w:space="0" w:color="auto"/>
              <w:right w:val="single" w:sz="4" w:space="0" w:color="auto"/>
            </w:tcBorders>
            <w:shd w:val="clear" w:color="auto" w:fill="auto"/>
            <w:vAlign w:val="bottom"/>
            <w:hideMark/>
          </w:tcPr>
          <w:p w14:paraId="451D27A5" w14:textId="77777777" w:rsidR="003D0C85" w:rsidRPr="003D0C85" w:rsidRDefault="003D0C85" w:rsidP="003D0C85">
            <w:pPr>
              <w:spacing w:after="0" w:line="240" w:lineRule="auto"/>
              <w:jc w:val="right"/>
              <w:rPr>
                <w:rFonts w:ascii="Calibri" w:eastAsia="Times New Roman" w:hAnsi="Calibri" w:cs="Calibri"/>
                <w:b/>
                <w:bCs/>
                <w:sz w:val="18"/>
                <w:szCs w:val="18"/>
                <w:lang w:eastAsia="hr-HR"/>
              </w:rPr>
            </w:pPr>
            <w:r w:rsidRPr="003D0C85">
              <w:rPr>
                <w:rFonts w:ascii="Calibri" w:eastAsia="Times New Roman" w:hAnsi="Calibri" w:cs="Calibri"/>
                <w:b/>
                <w:bCs/>
                <w:sz w:val="18"/>
                <w:szCs w:val="18"/>
                <w:lang w:eastAsia="hr-HR"/>
              </w:rPr>
              <w:t>0</w:t>
            </w:r>
          </w:p>
        </w:tc>
        <w:tc>
          <w:tcPr>
            <w:tcW w:w="792" w:type="dxa"/>
            <w:gridSpan w:val="2"/>
            <w:tcBorders>
              <w:top w:val="nil"/>
              <w:left w:val="nil"/>
              <w:bottom w:val="single" w:sz="4" w:space="0" w:color="auto"/>
              <w:right w:val="single" w:sz="4" w:space="0" w:color="auto"/>
            </w:tcBorders>
            <w:shd w:val="clear" w:color="000000" w:fill="FFFF00"/>
            <w:vAlign w:val="bottom"/>
            <w:hideMark/>
          </w:tcPr>
          <w:p w14:paraId="0A86C095" w14:textId="77777777" w:rsidR="003D0C85" w:rsidRPr="003D0C85" w:rsidRDefault="003D0C85" w:rsidP="003D0C85">
            <w:pPr>
              <w:spacing w:after="0" w:line="240" w:lineRule="auto"/>
              <w:jc w:val="right"/>
              <w:rPr>
                <w:rFonts w:ascii="Calibri" w:eastAsia="Times New Roman" w:hAnsi="Calibri" w:cs="Calibri"/>
                <w:b/>
                <w:bCs/>
                <w:sz w:val="18"/>
                <w:szCs w:val="18"/>
                <w:lang w:eastAsia="hr-HR"/>
              </w:rPr>
            </w:pPr>
            <w:r w:rsidRPr="003D0C85">
              <w:rPr>
                <w:rFonts w:ascii="Calibri" w:eastAsia="Times New Roman" w:hAnsi="Calibri" w:cs="Calibri"/>
                <w:b/>
                <w:bCs/>
                <w:sz w:val="18"/>
                <w:szCs w:val="18"/>
                <w:lang w:eastAsia="hr-HR"/>
              </w:rPr>
              <w:t>1</w:t>
            </w:r>
          </w:p>
        </w:tc>
        <w:tc>
          <w:tcPr>
            <w:tcW w:w="507" w:type="dxa"/>
            <w:gridSpan w:val="2"/>
            <w:tcBorders>
              <w:top w:val="nil"/>
              <w:left w:val="nil"/>
              <w:bottom w:val="single" w:sz="4" w:space="0" w:color="auto"/>
              <w:right w:val="single" w:sz="4" w:space="0" w:color="auto"/>
            </w:tcBorders>
            <w:shd w:val="clear" w:color="000000" w:fill="FF9900"/>
            <w:noWrap/>
            <w:vAlign w:val="bottom"/>
            <w:hideMark/>
          </w:tcPr>
          <w:p w14:paraId="6E96CD39" w14:textId="77777777" w:rsidR="003D0C85" w:rsidRPr="003D0C85" w:rsidRDefault="003D0C85" w:rsidP="003D0C85">
            <w:pPr>
              <w:spacing w:after="0" w:line="240" w:lineRule="auto"/>
              <w:jc w:val="right"/>
              <w:rPr>
                <w:rFonts w:ascii="Calibri" w:eastAsia="Times New Roman" w:hAnsi="Calibri" w:cs="Calibri"/>
                <w:sz w:val="18"/>
                <w:szCs w:val="18"/>
                <w:lang w:eastAsia="hr-HR"/>
              </w:rPr>
            </w:pPr>
            <w:r w:rsidRPr="003D0C85">
              <w:rPr>
                <w:rFonts w:ascii="Calibri" w:eastAsia="Times New Roman" w:hAnsi="Calibri" w:cs="Calibri"/>
                <w:sz w:val="18"/>
                <w:szCs w:val="18"/>
                <w:lang w:eastAsia="hr-HR"/>
              </w:rPr>
              <w:t>0</w:t>
            </w:r>
          </w:p>
        </w:tc>
        <w:tc>
          <w:tcPr>
            <w:tcW w:w="244" w:type="dxa"/>
            <w:tcBorders>
              <w:top w:val="nil"/>
              <w:left w:val="nil"/>
              <w:bottom w:val="single" w:sz="4" w:space="0" w:color="auto"/>
              <w:right w:val="single" w:sz="4" w:space="0" w:color="auto"/>
            </w:tcBorders>
            <w:shd w:val="clear" w:color="000000" w:fill="CCFFFF"/>
            <w:noWrap/>
            <w:vAlign w:val="bottom"/>
            <w:hideMark/>
          </w:tcPr>
          <w:p w14:paraId="2A4BED48" w14:textId="77777777" w:rsidR="003D0C85" w:rsidRPr="003D0C85" w:rsidRDefault="003D0C85" w:rsidP="003D0C85">
            <w:pPr>
              <w:spacing w:after="0" w:line="240" w:lineRule="auto"/>
              <w:jc w:val="right"/>
              <w:rPr>
                <w:rFonts w:ascii="Calibri" w:eastAsia="Times New Roman" w:hAnsi="Calibri" w:cs="Calibri"/>
                <w:sz w:val="18"/>
                <w:szCs w:val="18"/>
                <w:lang w:eastAsia="hr-HR"/>
              </w:rPr>
            </w:pPr>
            <w:r w:rsidRPr="003D0C85">
              <w:rPr>
                <w:rFonts w:ascii="Calibri" w:eastAsia="Times New Roman" w:hAnsi="Calibri" w:cs="Calibri"/>
                <w:sz w:val="18"/>
                <w:szCs w:val="18"/>
                <w:lang w:eastAsia="hr-HR"/>
              </w:rPr>
              <w:t>0</w:t>
            </w:r>
          </w:p>
        </w:tc>
        <w:tc>
          <w:tcPr>
            <w:tcW w:w="425" w:type="dxa"/>
            <w:tcBorders>
              <w:top w:val="nil"/>
              <w:left w:val="nil"/>
              <w:bottom w:val="single" w:sz="4" w:space="0" w:color="auto"/>
              <w:right w:val="single" w:sz="4" w:space="0" w:color="auto"/>
            </w:tcBorders>
            <w:shd w:val="clear" w:color="000000" w:fill="CCFFFF"/>
            <w:noWrap/>
            <w:vAlign w:val="bottom"/>
            <w:hideMark/>
          </w:tcPr>
          <w:p w14:paraId="3DDABA73" w14:textId="77777777" w:rsidR="003D0C85" w:rsidRPr="003D0C85" w:rsidRDefault="003D0C85" w:rsidP="003D0C85">
            <w:pPr>
              <w:spacing w:after="0" w:line="240" w:lineRule="auto"/>
              <w:jc w:val="right"/>
              <w:rPr>
                <w:rFonts w:ascii="Calibri" w:eastAsia="Times New Roman" w:hAnsi="Calibri" w:cs="Calibri"/>
                <w:sz w:val="18"/>
                <w:szCs w:val="18"/>
                <w:lang w:eastAsia="hr-HR"/>
              </w:rPr>
            </w:pPr>
            <w:r w:rsidRPr="003D0C85">
              <w:rPr>
                <w:rFonts w:ascii="Calibri" w:eastAsia="Times New Roman" w:hAnsi="Calibri" w:cs="Calibri"/>
                <w:sz w:val="18"/>
                <w:szCs w:val="18"/>
                <w:lang w:eastAsia="hr-HR"/>
              </w:rPr>
              <w:t>0</w:t>
            </w:r>
          </w:p>
        </w:tc>
        <w:tc>
          <w:tcPr>
            <w:tcW w:w="607" w:type="dxa"/>
            <w:tcBorders>
              <w:top w:val="nil"/>
              <w:left w:val="nil"/>
              <w:bottom w:val="single" w:sz="4" w:space="0" w:color="auto"/>
              <w:right w:val="single" w:sz="4" w:space="0" w:color="auto"/>
            </w:tcBorders>
            <w:shd w:val="clear" w:color="000000" w:fill="CCFFFF"/>
            <w:noWrap/>
            <w:vAlign w:val="bottom"/>
            <w:hideMark/>
          </w:tcPr>
          <w:p w14:paraId="0B2F98B6" w14:textId="77777777" w:rsidR="003D0C85" w:rsidRPr="003D0C85" w:rsidRDefault="003D0C85" w:rsidP="003D0C85">
            <w:pPr>
              <w:spacing w:after="0" w:line="240" w:lineRule="auto"/>
              <w:jc w:val="right"/>
              <w:rPr>
                <w:rFonts w:ascii="Calibri" w:eastAsia="Times New Roman" w:hAnsi="Calibri" w:cs="Calibri"/>
                <w:sz w:val="18"/>
                <w:szCs w:val="18"/>
                <w:lang w:eastAsia="hr-HR"/>
              </w:rPr>
            </w:pPr>
            <w:r w:rsidRPr="003D0C85">
              <w:rPr>
                <w:rFonts w:ascii="Calibri" w:eastAsia="Times New Roman" w:hAnsi="Calibri" w:cs="Calibri"/>
                <w:sz w:val="18"/>
                <w:szCs w:val="18"/>
                <w:lang w:eastAsia="hr-HR"/>
              </w:rPr>
              <w:t>0</w:t>
            </w:r>
          </w:p>
        </w:tc>
        <w:tc>
          <w:tcPr>
            <w:tcW w:w="425" w:type="dxa"/>
            <w:gridSpan w:val="2"/>
            <w:tcBorders>
              <w:top w:val="nil"/>
              <w:left w:val="nil"/>
              <w:bottom w:val="single" w:sz="4" w:space="0" w:color="auto"/>
              <w:right w:val="nil"/>
            </w:tcBorders>
            <w:shd w:val="clear" w:color="000000" w:fill="33CCCC"/>
            <w:noWrap/>
            <w:vAlign w:val="bottom"/>
            <w:hideMark/>
          </w:tcPr>
          <w:p w14:paraId="3C0223CF" w14:textId="77777777" w:rsidR="003D0C85" w:rsidRPr="003D0C85" w:rsidRDefault="003D0C85" w:rsidP="003D0C85">
            <w:pPr>
              <w:spacing w:after="0" w:line="240" w:lineRule="auto"/>
              <w:jc w:val="right"/>
              <w:rPr>
                <w:rFonts w:ascii="Calibri" w:eastAsia="Times New Roman" w:hAnsi="Calibri" w:cs="Calibri"/>
                <w:sz w:val="18"/>
                <w:szCs w:val="18"/>
                <w:lang w:eastAsia="hr-HR"/>
              </w:rPr>
            </w:pPr>
            <w:r w:rsidRPr="003D0C85">
              <w:rPr>
                <w:rFonts w:ascii="Calibri" w:eastAsia="Times New Roman" w:hAnsi="Calibri" w:cs="Calibri"/>
                <w:sz w:val="18"/>
                <w:szCs w:val="18"/>
                <w:lang w:eastAsia="hr-HR"/>
              </w:rPr>
              <w:t>0</w:t>
            </w:r>
          </w:p>
        </w:tc>
        <w:tc>
          <w:tcPr>
            <w:tcW w:w="452" w:type="dxa"/>
            <w:gridSpan w:val="2"/>
            <w:tcBorders>
              <w:top w:val="nil"/>
              <w:left w:val="single" w:sz="4" w:space="0" w:color="auto"/>
              <w:bottom w:val="single" w:sz="4" w:space="0" w:color="auto"/>
              <w:right w:val="single" w:sz="8" w:space="0" w:color="auto"/>
            </w:tcBorders>
            <w:shd w:val="clear" w:color="000000" w:fill="33CCCC"/>
            <w:noWrap/>
            <w:vAlign w:val="bottom"/>
            <w:hideMark/>
          </w:tcPr>
          <w:p w14:paraId="39247DB0" w14:textId="77777777" w:rsidR="003D0C85" w:rsidRPr="003D0C85" w:rsidRDefault="003D0C85" w:rsidP="003D0C85">
            <w:pPr>
              <w:spacing w:after="0" w:line="240" w:lineRule="auto"/>
              <w:jc w:val="right"/>
              <w:rPr>
                <w:rFonts w:ascii="Calibri" w:eastAsia="Times New Roman" w:hAnsi="Calibri" w:cs="Calibri"/>
                <w:sz w:val="18"/>
                <w:szCs w:val="18"/>
                <w:lang w:eastAsia="hr-HR"/>
              </w:rPr>
            </w:pPr>
            <w:r w:rsidRPr="003D0C85">
              <w:rPr>
                <w:rFonts w:ascii="Calibri" w:eastAsia="Times New Roman" w:hAnsi="Calibri" w:cs="Calibri"/>
                <w:sz w:val="18"/>
                <w:szCs w:val="18"/>
                <w:lang w:eastAsia="hr-HR"/>
              </w:rPr>
              <w:t>0</w:t>
            </w:r>
          </w:p>
        </w:tc>
        <w:tc>
          <w:tcPr>
            <w:tcW w:w="236" w:type="dxa"/>
            <w:gridSpan w:val="3"/>
            <w:vAlign w:val="center"/>
            <w:hideMark/>
          </w:tcPr>
          <w:p w14:paraId="47F69956" w14:textId="77777777" w:rsidR="003D0C85" w:rsidRPr="003D0C85" w:rsidRDefault="003D0C85" w:rsidP="003D0C85">
            <w:pPr>
              <w:spacing w:after="0" w:line="240" w:lineRule="auto"/>
              <w:rPr>
                <w:rFonts w:ascii="Times New Roman" w:eastAsia="Times New Roman" w:hAnsi="Times New Roman" w:cs="Times New Roman"/>
                <w:sz w:val="18"/>
                <w:szCs w:val="18"/>
                <w:lang w:eastAsia="hr-HR"/>
              </w:rPr>
            </w:pPr>
          </w:p>
        </w:tc>
      </w:tr>
      <w:tr w:rsidR="00E72E51" w:rsidRPr="00E72E51" w14:paraId="1B17FD5C" w14:textId="77777777" w:rsidTr="00E72E51">
        <w:trPr>
          <w:trHeight w:val="315"/>
        </w:trPr>
        <w:tc>
          <w:tcPr>
            <w:tcW w:w="983" w:type="dxa"/>
            <w:tcBorders>
              <w:top w:val="single" w:sz="4" w:space="0" w:color="auto"/>
              <w:left w:val="single" w:sz="8" w:space="0" w:color="auto"/>
              <w:bottom w:val="single" w:sz="4" w:space="0" w:color="auto"/>
              <w:right w:val="single" w:sz="4" w:space="0" w:color="auto"/>
            </w:tcBorders>
            <w:shd w:val="clear" w:color="000000" w:fill="CCFFCC"/>
            <w:vAlign w:val="center"/>
            <w:hideMark/>
          </w:tcPr>
          <w:p w14:paraId="7B7827E5" w14:textId="77777777" w:rsidR="003D0C85" w:rsidRPr="003D0C85" w:rsidRDefault="003D0C85" w:rsidP="003D0C85">
            <w:pPr>
              <w:spacing w:after="0" w:line="240" w:lineRule="auto"/>
              <w:rPr>
                <w:rFonts w:ascii="Calibri" w:eastAsia="Times New Roman" w:hAnsi="Calibri" w:cs="Calibri"/>
                <w:sz w:val="18"/>
                <w:szCs w:val="18"/>
                <w:lang w:eastAsia="hr-HR"/>
              </w:rPr>
            </w:pPr>
            <w:r w:rsidRPr="003D0C85">
              <w:rPr>
                <w:rFonts w:ascii="Calibri" w:eastAsia="Times New Roman" w:hAnsi="Calibri" w:cs="Calibri"/>
                <w:sz w:val="18"/>
                <w:szCs w:val="18"/>
                <w:lang w:eastAsia="hr-HR"/>
              </w:rPr>
              <w:t>Političko ili drugo uvjerenje</w:t>
            </w:r>
          </w:p>
        </w:tc>
        <w:tc>
          <w:tcPr>
            <w:tcW w:w="442" w:type="dxa"/>
            <w:tcBorders>
              <w:top w:val="nil"/>
              <w:left w:val="nil"/>
              <w:bottom w:val="single" w:sz="4" w:space="0" w:color="auto"/>
              <w:right w:val="single" w:sz="4" w:space="0" w:color="auto"/>
            </w:tcBorders>
            <w:shd w:val="clear" w:color="000000" w:fill="FFFF00"/>
            <w:vAlign w:val="bottom"/>
            <w:hideMark/>
          </w:tcPr>
          <w:p w14:paraId="4B9F67F0" w14:textId="77777777" w:rsidR="003D0C85" w:rsidRPr="003D0C85" w:rsidRDefault="003D0C85" w:rsidP="003D0C85">
            <w:pPr>
              <w:spacing w:after="0" w:line="240" w:lineRule="auto"/>
              <w:jc w:val="right"/>
              <w:rPr>
                <w:rFonts w:ascii="Calibri" w:eastAsia="Times New Roman" w:hAnsi="Calibri" w:cs="Calibri"/>
                <w:b/>
                <w:bCs/>
                <w:sz w:val="18"/>
                <w:szCs w:val="18"/>
                <w:lang w:eastAsia="hr-HR"/>
              </w:rPr>
            </w:pPr>
            <w:r w:rsidRPr="003D0C85">
              <w:rPr>
                <w:rFonts w:ascii="Calibri" w:eastAsia="Times New Roman" w:hAnsi="Calibri" w:cs="Calibri"/>
                <w:b/>
                <w:bCs/>
                <w:sz w:val="18"/>
                <w:szCs w:val="18"/>
                <w:lang w:eastAsia="hr-HR"/>
              </w:rPr>
              <w:t>0</w:t>
            </w:r>
          </w:p>
        </w:tc>
        <w:tc>
          <w:tcPr>
            <w:tcW w:w="443" w:type="dxa"/>
            <w:tcBorders>
              <w:top w:val="nil"/>
              <w:left w:val="nil"/>
              <w:bottom w:val="single" w:sz="4" w:space="0" w:color="auto"/>
              <w:right w:val="single" w:sz="4" w:space="0" w:color="auto"/>
            </w:tcBorders>
            <w:shd w:val="clear" w:color="000000" w:fill="FFCC99"/>
            <w:noWrap/>
            <w:vAlign w:val="bottom"/>
            <w:hideMark/>
          </w:tcPr>
          <w:p w14:paraId="3D6343D2" w14:textId="77777777" w:rsidR="003D0C85" w:rsidRPr="003D0C85" w:rsidRDefault="003D0C85" w:rsidP="003D0C85">
            <w:pPr>
              <w:spacing w:after="0" w:line="240" w:lineRule="auto"/>
              <w:jc w:val="right"/>
              <w:rPr>
                <w:rFonts w:ascii="Calibri" w:eastAsia="Times New Roman" w:hAnsi="Calibri" w:cs="Calibri"/>
                <w:sz w:val="18"/>
                <w:szCs w:val="18"/>
                <w:lang w:eastAsia="hr-HR"/>
              </w:rPr>
            </w:pPr>
            <w:r w:rsidRPr="003D0C85">
              <w:rPr>
                <w:rFonts w:ascii="Calibri" w:eastAsia="Times New Roman" w:hAnsi="Calibri" w:cs="Calibri"/>
                <w:sz w:val="18"/>
                <w:szCs w:val="18"/>
                <w:lang w:eastAsia="hr-HR"/>
              </w:rPr>
              <w:t>0</w:t>
            </w:r>
          </w:p>
        </w:tc>
        <w:tc>
          <w:tcPr>
            <w:tcW w:w="316" w:type="dxa"/>
            <w:tcBorders>
              <w:top w:val="nil"/>
              <w:left w:val="nil"/>
              <w:bottom w:val="single" w:sz="4" w:space="0" w:color="auto"/>
              <w:right w:val="single" w:sz="4" w:space="0" w:color="auto"/>
            </w:tcBorders>
            <w:shd w:val="clear" w:color="000000" w:fill="CCFFFF"/>
            <w:vAlign w:val="bottom"/>
            <w:hideMark/>
          </w:tcPr>
          <w:p w14:paraId="242D9CC4" w14:textId="77777777" w:rsidR="003D0C85" w:rsidRPr="003D0C85" w:rsidRDefault="003D0C85" w:rsidP="003D0C85">
            <w:pPr>
              <w:spacing w:after="0" w:line="240" w:lineRule="auto"/>
              <w:jc w:val="right"/>
              <w:rPr>
                <w:rFonts w:ascii="Calibri" w:eastAsia="Times New Roman" w:hAnsi="Calibri" w:cs="Calibri"/>
                <w:sz w:val="18"/>
                <w:szCs w:val="18"/>
                <w:lang w:eastAsia="hr-HR"/>
              </w:rPr>
            </w:pPr>
            <w:r w:rsidRPr="003D0C85">
              <w:rPr>
                <w:rFonts w:ascii="Calibri" w:eastAsia="Times New Roman" w:hAnsi="Calibri" w:cs="Calibri"/>
                <w:sz w:val="18"/>
                <w:szCs w:val="18"/>
                <w:lang w:eastAsia="hr-HR"/>
              </w:rPr>
              <w:t>0</w:t>
            </w:r>
          </w:p>
        </w:tc>
        <w:tc>
          <w:tcPr>
            <w:tcW w:w="452" w:type="dxa"/>
            <w:tcBorders>
              <w:top w:val="nil"/>
              <w:left w:val="nil"/>
              <w:bottom w:val="single" w:sz="4" w:space="0" w:color="auto"/>
              <w:right w:val="single" w:sz="4" w:space="0" w:color="auto"/>
            </w:tcBorders>
            <w:shd w:val="clear" w:color="000000" w:fill="CCFFFF"/>
            <w:vAlign w:val="bottom"/>
            <w:hideMark/>
          </w:tcPr>
          <w:p w14:paraId="04E3DE01" w14:textId="77777777" w:rsidR="003D0C85" w:rsidRPr="003D0C85" w:rsidRDefault="003D0C85" w:rsidP="003D0C85">
            <w:pPr>
              <w:spacing w:after="0" w:line="240" w:lineRule="auto"/>
              <w:jc w:val="right"/>
              <w:rPr>
                <w:rFonts w:ascii="Calibri" w:eastAsia="Times New Roman" w:hAnsi="Calibri" w:cs="Calibri"/>
                <w:sz w:val="18"/>
                <w:szCs w:val="18"/>
                <w:lang w:eastAsia="hr-HR"/>
              </w:rPr>
            </w:pPr>
            <w:r w:rsidRPr="003D0C85">
              <w:rPr>
                <w:rFonts w:ascii="Calibri" w:eastAsia="Times New Roman" w:hAnsi="Calibri" w:cs="Calibri"/>
                <w:sz w:val="18"/>
                <w:szCs w:val="18"/>
                <w:lang w:eastAsia="hr-HR"/>
              </w:rPr>
              <w:t>0</w:t>
            </w:r>
          </w:p>
        </w:tc>
        <w:tc>
          <w:tcPr>
            <w:tcW w:w="491" w:type="dxa"/>
            <w:gridSpan w:val="2"/>
            <w:tcBorders>
              <w:top w:val="nil"/>
              <w:left w:val="nil"/>
              <w:bottom w:val="single" w:sz="4" w:space="0" w:color="auto"/>
              <w:right w:val="single" w:sz="4" w:space="0" w:color="auto"/>
            </w:tcBorders>
            <w:shd w:val="clear" w:color="000000" w:fill="FFFF99"/>
            <w:noWrap/>
            <w:vAlign w:val="bottom"/>
            <w:hideMark/>
          </w:tcPr>
          <w:p w14:paraId="34C874D3" w14:textId="77777777" w:rsidR="003D0C85" w:rsidRPr="003D0C85" w:rsidRDefault="003D0C85" w:rsidP="003D0C85">
            <w:pPr>
              <w:spacing w:after="0" w:line="240" w:lineRule="auto"/>
              <w:jc w:val="right"/>
              <w:rPr>
                <w:rFonts w:ascii="Calibri" w:eastAsia="Times New Roman" w:hAnsi="Calibri" w:cs="Calibri"/>
                <w:sz w:val="18"/>
                <w:szCs w:val="18"/>
                <w:lang w:eastAsia="hr-HR"/>
              </w:rPr>
            </w:pPr>
            <w:r w:rsidRPr="003D0C85">
              <w:rPr>
                <w:rFonts w:ascii="Calibri" w:eastAsia="Times New Roman" w:hAnsi="Calibri" w:cs="Calibri"/>
                <w:sz w:val="18"/>
                <w:szCs w:val="18"/>
                <w:lang w:eastAsia="hr-HR"/>
              </w:rPr>
              <w:t>0</w:t>
            </w:r>
          </w:p>
        </w:tc>
        <w:tc>
          <w:tcPr>
            <w:tcW w:w="447" w:type="dxa"/>
            <w:tcBorders>
              <w:top w:val="nil"/>
              <w:left w:val="nil"/>
              <w:bottom w:val="single" w:sz="4" w:space="0" w:color="auto"/>
              <w:right w:val="single" w:sz="4" w:space="0" w:color="auto"/>
            </w:tcBorders>
            <w:shd w:val="clear" w:color="000000" w:fill="FFFF99"/>
            <w:noWrap/>
            <w:vAlign w:val="bottom"/>
            <w:hideMark/>
          </w:tcPr>
          <w:p w14:paraId="09369FCB" w14:textId="77777777" w:rsidR="003D0C85" w:rsidRPr="003D0C85" w:rsidRDefault="003D0C85" w:rsidP="003D0C85">
            <w:pPr>
              <w:spacing w:after="0" w:line="240" w:lineRule="auto"/>
              <w:jc w:val="right"/>
              <w:rPr>
                <w:rFonts w:ascii="Calibri" w:eastAsia="Times New Roman" w:hAnsi="Calibri" w:cs="Calibri"/>
                <w:sz w:val="18"/>
                <w:szCs w:val="18"/>
                <w:lang w:eastAsia="hr-HR"/>
              </w:rPr>
            </w:pPr>
            <w:r w:rsidRPr="003D0C85">
              <w:rPr>
                <w:rFonts w:ascii="Calibri" w:eastAsia="Times New Roman" w:hAnsi="Calibri" w:cs="Calibri"/>
                <w:sz w:val="18"/>
                <w:szCs w:val="18"/>
                <w:lang w:eastAsia="hr-HR"/>
              </w:rPr>
              <w:t>0</w:t>
            </w:r>
          </w:p>
        </w:tc>
        <w:tc>
          <w:tcPr>
            <w:tcW w:w="495" w:type="dxa"/>
            <w:tcBorders>
              <w:top w:val="nil"/>
              <w:left w:val="nil"/>
              <w:bottom w:val="single" w:sz="4" w:space="0" w:color="auto"/>
              <w:right w:val="single" w:sz="4" w:space="0" w:color="auto"/>
            </w:tcBorders>
            <w:shd w:val="clear" w:color="000000" w:fill="FFFF99"/>
            <w:noWrap/>
            <w:vAlign w:val="bottom"/>
            <w:hideMark/>
          </w:tcPr>
          <w:p w14:paraId="0F9CD9C2" w14:textId="77777777" w:rsidR="003D0C85" w:rsidRPr="003D0C85" w:rsidRDefault="003D0C85" w:rsidP="003D0C85">
            <w:pPr>
              <w:spacing w:after="0" w:line="240" w:lineRule="auto"/>
              <w:jc w:val="right"/>
              <w:rPr>
                <w:rFonts w:ascii="Calibri" w:eastAsia="Times New Roman" w:hAnsi="Calibri" w:cs="Calibri"/>
                <w:sz w:val="18"/>
                <w:szCs w:val="18"/>
                <w:lang w:eastAsia="hr-HR"/>
              </w:rPr>
            </w:pPr>
            <w:r w:rsidRPr="003D0C85">
              <w:rPr>
                <w:rFonts w:ascii="Calibri" w:eastAsia="Times New Roman" w:hAnsi="Calibri" w:cs="Calibri"/>
                <w:sz w:val="18"/>
                <w:szCs w:val="18"/>
                <w:lang w:eastAsia="hr-HR"/>
              </w:rPr>
              <w:t>0</w:t>
            </w:r>
          </w:p>
        </w:tc>
        <w:tc>
          <w:tcPr>
            <w:tcW w:w="451" w:type="dxa"/>
            <w:tcBorders>
              <w:top w:val="nil"/>
              <w:left w:val="nil"/>
              <w:bottom w:val="single" w:sz="4" w:space="0" w:color="auto"/>
              <w:right w:val="single" w:sz="4" w:space="0" w:color="auto"/>
            </w:tcBorders>
            <w:shd w:val="clear" w:color="000000" w:fill="FFFF99"/>
            <w:noWrap/>
            <w:vAlign w:val="bottom"/>
            <w:hideMark/>
          </w:tcPr>
          <w:p w14:paraId="0F5AA4FF" w14:textId="77777777" w:rsidR="003D0C85" w:rsidRPr="003D0C85" w:rsidRDefault="003D0C85" w:rsidP="003D0C85">
            <w:pPr>
              <w:spacing w:after="0" w:line="240" w:lineRule="auto"/>
              <w:jc w:val="right"/>
              <w:rPr>
                <w:rFonts w:ascii="Calibri" w:eastAsia="Times New Roman" w:hAnsi="Calibri" w:cs="Calibri"/>
                <w:sz w:val="18"/>
                <w:szCs w:val="18"/>
                <w:lang w:eastAsia="hr-HR"/>
              </w:rPr>
            </w:pPr>
            <w:r w:rsidRPr="003D0C85">
              <w:rPr>
                <w:rFonts w:ascii="Calibri" w:eastAsia="Times New Roman" w:hAnsi="Calibri" w:cs="Calibri"/>
                <w:sz w:val="18"/>
                <w:szCs w:val="18"/>
                <w:lang w:eastAsia="hr-HR"/>
              </w:rPr>
              <w:t>0</w:t>
            </w:r>
          </w:p>
        </w:tc>
        <w:tc>
          <w:tcPr>
            <w:tcW w:w="632" w:type="dxa"/>
            <w:gridSpan w:val="2"/>
            <w:tcBorders>
              <w:top w:val="nil"/>
              <w:left w:val="nil"/>
              <w:bottom w:val="single" w:sz="4" w:space="0" w:color="auto"/>
              <w:right w:val="single" w:sz="4" w:space="0" w:color="auto"/>
            </w:tcBorders>
            <w:shd w:val="clear" w:color="000000" w:fill="FFFF99"/>
            <w:noWrap/>
            <w:vAlign w:val="bottom"/>
            <w:hideMark/>
          </w:tcPr>
          <w:p w14:paraId="237882FC" w14:textId="77777777" w:rsidR="003D0C85" w:rsidRPr="003D0C85" w:rsidRDefault="003D0C85" w:rsidP="003D0C85">
            <w:pPr>
              <w:spacing w:after="0" w:line="240" w:lineRule="auto"/>
              <w:jc w:val="right"/>
              <w:rPr>
                <w:rFonts w:ascii="Calibri" w:eastAsia="Times New Roman" w:hAnsi="Calibri" w:cs="Calibri"/>
                <w:sz w:val="18"/>
                <w:szCs w:val="18"/>
                <w:lang w:eastAsia="hr-HR"/>
              </w:rPr>
            </w:pPr>
            <w:r w:rsidRPr="003D0C85">
              <w:rPr>
                <w:rFonts w:ascii="Calibri" w:eastAsia="Times New Roman" w:hAnsi="Calibri" w:cs="Calibri"/>
                <w:sz w:val="18"/>
                <w:szCs w:val="18"/>
                <w:lang w:eastAsia="hr-HR"/>
              </w:rPr>
              <w:t>0</w:t>
            </w:r>
          </w:p>
        </w:tc>
        <w:tc>
          <w:tcPr>
            <w:tcW w:w="447" w:type="dxa"/>
            <w:tcBorders>
              <w:top w:val="nil"/>
              <w:left w:val="nil"/>
              <w:bottom w:val="single" w:sz="4" w:space="0" w:color="auto"/>
              <w:right w:val="single" w:sz="4" w:space="0" w:color="auto"/>
            </w:tcBorders>
            <w:shd w:val="clear" w:color="000000" w:fill="FFFF99"/>
            <w:noWrap/>
            <w:vAlign w:val="bottom"/>
            <w:hideMark/>
          </w:tcPr>
          <w:p w14:paraId="6145C7CD" w14:textId="77777777" w:rsidR="003D0C85" w:rsidRPr="003D0C85" w:rsidRDefault="003D0C85" w:rsidP="003D0C85">
            <w:pPr>
              <w:spacing w:after="0" w:line="240" w:lineRule="auto"/>
              <w:jc w:val="right"/>
              <w:rPr>
                <w:rFonts w:ascii="Calibri" w:eastAsia="Times New Roman" w:hAnsi="Calibri" w:cs="Calibri"/>
                <w:sz w:val="18"/>
                <w:szCs w:val="18"/>
                <w:lang w:eastAsia="hr-HR"/>
              </w:rPr>
            </w:pPr>
            <w:r w:rsidRPr="003D0C85">
              <w:rPr>
                <w:rFonts w:ascii="Calibri" w:eastAsia="Times New Roman" w:hAnsi="Calibri" w:cs="Calibri"/>
                <w:sz w:val="18"/>
                <w:szCs w:val="18"/>
                <w:lang w:eastAsia="hr-HR"/>
              </w:rPr>
              <w:t>0</w:t>
            </w:r>
          </w:p>
        </w:tc>
        <w:tc>
          <w:tcPr>
            <w:tcW w:w="543" w:type="dxa"/>
            <w:tcBorders>
              <w:top w:val="nil"/>
              <w:left w:val="nil"/>
              <w:bottom w:val="single" w:sz="4" w:space="0" w:color="auto"/>
              <w:right w:val="single" w:sz="4" w:space="0" w:color="auto"/>
            </w:tcBorders>
            <w:shd w:val="clear" w:color="000000" w:fill="FFFF99"/>
            <w:noWrap/>
            <w:vAlign w:val="bottom"/>
            <w:hideMark/>
          </w:tcPr>
          <w:p w14:paraId="4D0EDD89" w14:textId="77777777" w:rsidR="003D0C85" w:rsidRPr="003D0C85" w:rsidRDefault="003D0C85" w:rsidP="003D0C85">
            <w:pPr>
              <w:spacing w:after="0" w:line="240" w:lineRule="auto"/>
              <w:jc w:val="right"/>
              <w:rPr>
                <w:rFonts w:ascii="Calibri" w:eastAsia="Times New Roman" w:hAnsi="Calibri" w:cs="Calibri"/>
                <w:sz w:val="18"/>
                <w:szCs w:val="18"/>
                <w:lang w:eastAsia="hr-HR"/>
              </w:rPr>
            </w:pPr>
            <w:r w:rsidRPr="003D0C85">
              <w:rPr>
                <w:rFonts w:ascii="Calibri" w:eastAsia="Times New Roman" w:hAnsi="Calibri" w:cs="Calibri"/>
                <w:sz w:val="18"/>
                <w:szCs w:val="18"/>
                <w:lang w:eastAsia="hr-HR"/>
              </w:rPr>
              <w:t>0</w:t>
            </w:r>
          </w:p>
        </w:tc>
        <w:tc>
          <w:tcPr>
            <w:tcW w:w="447" w:type="dxa"/>
            <w:tcBorders>
              <w:top w:val="nil"/>
              <w:left w:val="nil"/>
              <w:bottom w:val="single" w:sz="4" w:space="0" w:color="auto"/>
              <w:right w:val="single" w:sz="4" w:space="0" w:color="auto"/>
            </w:tcBorders>
            <w:shd w:val="clear" w:color="000000" w:fill="FFFF99"/>
            <w:noWrap/>
            <w:vAlign w:val="bottom"/>
            <w:hideMark/>
          </w:tcPr>
          <w:p w14:paraId="4E55B759" w14:textId="77777777" w:rsidR="003D0C85" w:rsidRPr="003D0C85" w:rsidRDefault="003D0C85" w:rsidP="003D0C85">
            <w:pPr>
              <w:spacing w:after="0" w:line="240" w:lineRule="auto"/>
              <w:jc w:val="right"/>
              <w:rPr>
                <w:rFonts w:ascii="Calibri" w:eastAsia="Times New Roman" w:hAnsi="Calibri" w:cs="Calibri"/>
                <w:sz w:val="18"/>
                <w:szCs w:val="18"/>
                <w:lang w:eastAsia="hr-HR"/>
              </w:rPr>
            </w:pPr>
            <w:r w:rsidRPr="003D0C85">
              <w:rPr>
                <w:rFonts w:ascii="Calibri" w:eastAsia="Times New Roman" w:hAnsi="Calibri" w:cs="Calibri"/>
                <w:sz w:val="18"/>
                <w:szCs w:val="18"/>
                <w:lang w:eastAsia="hr-HR"/>
              </w:rPr>
              <w:t>0</w:t>
            </w:r>
          </w:p>
        </w:tc>
        <w:tc>
          <w:tcPr>
            <w:tcW w:w="543" w:type="dxa"/>
            <w:tcBorders>
              <w:top w:val="nil"/>
              <w:left w:val="nil"/>
              <w:bottom w:val="single" w:sz="4" w:space="0" w:color="auto"/>
              <w:right w:val="single" w:sz="4" w:space="0" w:color="auto"/>
            </w:tcBorders>
            <w:shd w:val="clear" w:color="000000" w:fill="FFFF99"/>
            <w:noWrap/>
            <w:vAlign w:val="bottom"/>
            <w:hideMark/>
          </w:tcPr>
          <w:p w14:paraId="49679E5C" w14:textId="77777777" w:rsidR="003D0C85" w:rsidRPr="003D0C85" w:rsidRDefault="003D0C85" w:rsidP="003D0C85">
            <w:pPr>
              <w:spacing w:after="0" w:line="240" w:lineRule="auto"/>
              <w:jc w:val="right"/>
              <w:rPr>
                <w:rFonts w:ascii="Calibri" w:eastAsia="Times New Roman" w:hAnsi="Calibri" w:cs="Calibri"/>
                <w:sz w:val="18"/>
                <w:szCs w:val="18"/>
                <w:lang w:eastAsia="hr-HR"/>
              </w:rPr>
            </w:pPr>
            <w:r w:rsidRPr="003D0C85">
              <w:rPr>
                <w:rFonts w:ascii="Calibri" w:eastAsia="Times New Roman" w:hAnsi="Calibri" w:cs="Calibri"/>
                <w:sz w:val="18"/>
                <w:szCs w:val="18"/>
                <w:lang w:eastAsia="hr-HR"/>
              </w:rPr>
              <w:t>0</w:t>
            </w:r>
          </w:p>
        </w:tc>
        <w:tc>
          <w:tcPr>
            <w:tcW w:w="356" w:type="dxa"/>
            <w:tcBorders>
              <w:top w:val="nil"/>
              <w:left w:val="nil"/>
              <w:bottom w:val="single" w:sz="4" w:space="0" w:color="auto"/>
              <w:right w:val="single" w:sz="4" w:space="0" w:color="auto"/>
            </w:tcBorders>
            <w:shd w:val="clear" w:color="000000" w:fill="FFFF99"/>
            <w:noWrap/>
            <w:vAlign w:val="bottom"/>
            <w:hideMark/>
          </w:tcPr>
          <w:p w14:paraId="2732FEC6" w14:textId="77777777" w:rsidR="003D0C85" w:rsidRPr="003D0C85" w:rsidRDefault="003D0C85" w:rsidP="003D0C85">
            <w:pPr>
              <w:spacing w:after="0" w:line="240" w:lineRule="auto"/>
              <w:jc w:val="right"/>
              <w:rPr>
                <w:rFonts w:ascii="Calibri" w:eastAsia="Times New Roman" w:hAnsi="Calibri" w:cs="Calibri"/>
                <w:sz w:val="18"/>
                <w:szCs w:val="18"/>
                <w:lang w:eastAsia="hr-HR"/>
              </w:rPr>
            </w:pPr>
            <w:r w:rsidRPr="003D0C85">
              <w:rPr>
                <w:rFonts w:ascii="Calibri" w:eastAsia="Times New Roman" w:hAnsi="Calibri" w:cs="Calibri"/>
                <w:sz w:val="18"/>
                <w:szCs w:val="18"/>
                <w:lang w:eastAsia="hr-HR"/>
              </w:rPr>
              <w:t>0</w:t>
            </w:r>
          </w:p>
        </w:tc>
        <w:tc>
          <w:tcPr>
            <w:tcW w:w="447" w:type="dxa"/>
            <w:gridSpan w:val="2"/>
            <w:tcBorders>
              <w:top w:val="nil"/>
              <w:left w:val="nil"/>
              <w:bottom w:val="single" w:sz="4" w:space="0" w:color="auto"/>
              <w:right w:val="single" w:sz="4" w:space="0" w:color="auto"/>
            </w:tcBorders>
            <w:shd w:val="clear" w:color="000000" w:fill="FF9900"/>
            <w:noWrap/>
            <w:vAlign w:val="bottom"/>
            <w:hideMark/>
          </w:tcPr>
          <w:p w14:paraId="6A64B31D" w14:textId="77777777" w:rsidR="003D0C85" w:rsidRPr="003D0C85" w:rsidRDefault="003D0C85" w:rsidP="003D0C85">
            <w:pPr>
              <w:spacing w:after="0" w:line="240" w:lineRule="auto"/>
              <w:jc w:val="right"/>
              <w:rPr>
                <w:rFonts w:ascii="Calibri" w:eastAsia="Times New Roman" w:hAnsi="Calibri" w:cs="Calibri"/>
                <w:sz w:val="18"/>
                <w:szCs w:val="18"/>
                <w:lang w:eastAsia="hr-HR"/>
              </w:rPr>
            </w:pPr>
            <w:r w:rsidRPr="003D0C85">
              <w:rPr>
                <w:rFonts w:ascii="Calibri" w:eastAsia="Times New Roman" w:hAnsi="Calibri" w:cs="Calibri"/>
                <w:sz w:val="18"/>
                <w:szCs w:val="18"/>
                <w:lang w:eastAsia="hr-HR"/>
              </w:rPr>
              <w:t>0</w:t>
            </w:r>
          </w:p>
        </w:tc>
        <w:tc>
          <w:tcPr>
            <w:tcW w:w="447" w:type="dxa"/>
            <w:tcBorders>
              <w:top w:val="nil"/>
              <w:left w:val="nil"/>
              <w:bottom w:val="single" w:sz="4" w:space="0" w:color="auto"/>
              <w:right w:val="single" w:sz="4" w:space="0" w:color="auto"/>
            </w:tcBorders>
            <w:shd w:val="clear" w:color="000000" w:fill="FF9900"/>
            <w:noWrap/>
            <w:vAlign w:val="bottom"/>
            <w:hideMark/>
          </w:tcPr>
          <w:p w14:paraId="343860CA" w14:textId="77777777" w:rsidR="003D0C85" w:rsidRPr="003D0C85" w:rsidRDefault="003D0C85" w:rsidP="003D0C85">
            <w:pPr>
              <w:spacing w:after="0" w:line="240" w:lineRule="auto"/>
              <w:jc w:val="right"/>
              <w:rPr>
                <w:rFonts w:ascii="Calibri" w:eastAsia="Times New Roman" w:hAnsi="Calibri" w:cs="Calibri"/>
                <w:sz w:val="18"/>
                <w:szCs w:val="18"/>
                <w:lang w:eastAsia="hr-HR"/>
              </w:rPr>
            </w:pPr>
            <w:r w:rsidRPr="003D0C85">
              <w:rPr>
                <w:rFonts w:ascii="Calibri" w:eastAsia="Times New Roman" w:hAnsi="Calibri" w:cs="Calibri"/>
                <w:sz w:val="18"/>
                <w:szCs w:val="18"/>
                <w:lang w:eastAsia="hr-HR"/>
              </w:rPr>
              <w:t>0</w:t>
            </w:r>
          </w:p>
        </w:tc>
        <w:tc>
          <w:tcPr>
            <w:tcW w:w="447" w:type="dxa"/>
            <w:tcBorders>
              <w:top w:val="nil"/>
              <w:left w:val="nil"/>
              <w:bottom w:val="single" w:sz="4" w:space="0" w:color="auto"/>
              <w:right w:val="single" w:sz="4" w:space="0" w:color="auto"/>
            </w:tcBorders>
            <w:shd w:val="clear" w:color="000000" w:fill="FF9900"/>
            <w:noWrap/>
            <w:vAlign w:val="bottom"/>
            <w:hideMark/>
          </w:tcPr>
          <w:p w14:paraId="71E5E585" w14:textId="77777777" w:rsidR="003D0C85" w:rsidRPr="003D0C85" w:rsidRDefault="003D0C85" w:rsidP="003D0C85">
            <w:pPr>
              <w:spacing w:after="0" w:line="240" w:lineRule="auto"/>
              <w:jc w:val="right"/>
              <w:rPr>
                <w:rFonts w:ascii="Calibri" w:eastAsia="Times New Roman" w:hAnsi="Calibri" w:cs="Calibri"/>
                <w:sz w:val="18"/>
                <w:szCs w:val="18"/>
                <w:lang w:eastAsia="hr-HR"/>
              </w:rPr>
            </w:pPr>
            <w:r w:rsidRPr="003D0C85">
              <w:rPr>
                <w:rFonts w:ascii="Calibri" w:eastAsia="Times New Roman" w:hAnsi="Calibri" w:cs="Calibri"/>
                <w:sz w:val="18"/>
                <w:szCs w:val="18"/>
                <w:lang w:eastAsia="hr-HR"/>
              </w:rPr>
              <w:t>0</w:t>
            </w:r>
          </w:p>
        </w:tc>
        <w:tc>
          <w:tcPr>
            <w:tcW w:w="475" w:type="dxa"/>
            <w:tcBorders>
              <w:top w:val="nil"/>
              <w:left w:val="nil"/>
              <w:bottom w:val="single" w:sz="4" w:space="0" w:color="auto"/>
              <w:right w:val="single" w:sz="4" w:space="0" w:color="auto"/>
            </w:tcBorders>
            <w:shd w:val="clear" w:color="auto" w:fill="auto"/>
            <w:vAlign w:val="bottom"/>
            <w:hideMark/>
          </w:tcPr>
          <w:p w14:paraId="1BA30BBD" w14:textId="77777777" w:rsidR="003D0C85" w:rsidRPr="003D0C85" w:rsidRDefault="003D0C85" w:rsidP="003D0C85">
            <w:pPr>
              <w:spacing w:after="0" w:line="240" w:lineRule="auto"/>
              <w:jc w:val="right"/>
              <w:rPr>
                <w:rFonts w:ascii="Calibri" w:eastAsia="Times New Roman" w:hAnsi="Calibri" w:cs="Calibri"/>
                <w:b/>
                <w:bCs/>
                <w:sz w:val="18"/>
                <w:szCs w:val="18"/>
                <w:lang w:eastAsia="hr-HR"/>
              </w:rPr>
            </w:pPr>
            <w:r w:rsidRPr="003D0C85">
              <w:rPr>
                <w:rFonts w:ascii="Calibri" w:eastAsia="Times New Roman" w:hAnsi="Calibri" w:cs="Calibri"/>
                <w:b/>
                <w:bCs/>
                <w:sz w:val="18"/>
                <w:szCs w:val="18"/>
                <w:lang w:eastAsia="hr-HR"/>
              </w:rPr>
              <w:t>0</w:t>
            </w:r>
          </w:p>
        </w:tc>
        <w:tc>
          <w:tcPr>
            <w:tcW w:w="447" w:type="dxa"/>
            <w:gridSpan w:val="2"/>
            <w:tcBorders>
              <w:top w:val="nil"/>
              <w:left w:val="nil"/>
              <w:bottom w:val="single" w:sz="4" w:space="0" w:color="auto"/>
              <w:right w:val="single" w:sz="4" w:space="0" w:color="auto"/>
            </w:tcBorders>
            <w:shd w:val="clear" w:color="000000" w:fill="FFFF00"/>
            <w:noWrap/>
            <w:vAlign w:val="bottom"/>
            <w:hideMark/>
          </w:tcPr>
          <w:p w14:paraId="59062534" w14:textId="77777777" w:rsidR="003D0C85" w:rsidRPr="003D0C85" w:rsidRDefault="003D0C85" w:rsidP="003D0C85">
            <w:pPr>
              <w:spacing w:after="0" w:line="240" w:lineRule="auto"/>
              <w:jc w:val="right"/>
              <w:rPr>
                <w:rFonts w:ascii="Calibri" w:eastAsia="Times New Roman" w:hAnsi="Calibri" w:cs="Calibri"/>
                <w:sz w:val="18"/>
                <w:szCs w:val="18"/>
                <w:lang w:eastAsia="hr-HR"/>
              </w:rPr>
            </w:pPr>
            <w:r w:rsidRPr="003D0C85">
              <w:rPr>
                <w:rFonts w:ascii="Calibri" w:eastAsia="Times New Roman" w:hAnsi="Calibri" w:cs="Calibri"/>
                <w:sz w:val="18"/>
                <w:szCs w:val="18"/>
                <w:lang w:eastAsia="hr-HR"/>
              </w:rPr>
              <w:t>0</w:t>
            </w:r>
          </w:p>
        </w:tc>
        <w:tc>
          <w:tcPr>
            <w:tcW w:w="447" w:type="dxa"/>
            <w:tcBorders>
              <w:top w:val="nil"/>
              <w:left w:val="nil"/>
              <w:bottom w:val="single" w:sz="4" w:space="0" w:color="auto"/>
              <w:right w:val="single" w:sz="4" w:space="0" w:color="auto"/>
            </w:tcBorders>
            <w:shd w:val="clear" w:color="000000" w:fill="FFFF00"/>
            <w:noWrap/>
            <w:vAlign w:val="bottom"/>
            <w:hideMark/>
          </w:tcPr>
          <w:p w14:paraId="5BCE2A09" w14:textId="77777777" w:rsidR="003D0C85" w:rsidRPr="003D0C85" w:rsidRDefault="003D0C85" w:rsidP="003D0C85">
            <w:pPr>
              <w:spacing w:after="0" w:line="240" w:lineRule="auto"/>
              <w:jc w:val="right"/>
              <w:rPr>
                <w:rFonts w:ascii="Calibri" w:eastAsia="Times New Roman" w:hAnsi="Calibri" w:cs="Calibri"/>
                <w:sz w:val="18"/>
                <w:szCs w:val="18"/>
                <w:lang w:eastAsia="hr-HR"/>
              </w:rPr>
            </w:pPr>
            <w:r w:rsidRPr="003D0C85">
              <w:rPr>
                <w:rFonts w:ascii="Calibri" w:eastAsia="Times New Roman" w:hAnsi="Calibri" w:cs="Calibri"/>
                <w:sz w:val="18"/>
                <w:szCs w:val="18"/>
                <w:lang w:eastAsia="hr-HR"/>
              </w:rPr>
              <w:t>0</w:t>
            </w:r>
          </w:p>
        </w:tc>
        <w:tc>
          <w:tcPr>
            <w:tcW w:w="521" w:type="dxa"/>
            <w:tcBorders>
              <w:top w:val="nil"/>
              <w:left w:val="nil"/>
              <w:bottom w:val="single" w:sz="4" w:space="0" w:color="auto"/>
              <w:right w:val="single" w:sz="4" w:space="0" w:color="auto"/>
            </w:tcBorders>
            <w:shd w:val="clear" w:color="000000" w:fill="FFFF00"/>
            <w:noWrap/>
            <w:vAlign w:val="bottom"/>
            <w:hideMark/>
          </w:tcPr>
          <w:p w14:paraId="0F2F7590" w14:textId="77777777" w:rsidR="003D0C85" w:rsidRPr="003D0C85" w:rsidRDefault="003D0C85" w:rsidP="003D0C85">
            <w:pPr>
              <w:spacing w:after="0" w:line="240" w:lineRule="auto"/>
              <w:jc w:val="right"/>
              <w:rPr>
                <w:rFonts w:ascii="Calibri" w:eastAsia="Times New Roman" w:hAnsi="Calibri" w:cs="Calibri"/>
                <w:sz w:val="18"/>
                <w:szCs w:val="18"/>
                <w:lang w:eastAsia="hr-HR"/>
              </w:rPr>
            </w:pPr>
            <w:r w:rsidRPr="003D0C85">
              <w:rPr>
                <w:rFonts w:ascii="Calibri" w:eastAsia="Times New Roman" w:hAnsi="Calibri" w:cs="Calibri"/>
                <w:sz w:val="18"/>
                <w:szCs w:val="18"/>
                <w:lang w:eastAsia="hr-HR"/>
              </w:rPr>
              <w:t>0</w:t>
            </w:r>
          </w:p>
        </w:tc>
        <w:tc>
          <w:tcPr>
            <w:tcW w:w="446" w:type="dxa"/>
            <w:tcBorders>
              <w:top w:val="nil"/>
              <w:left w:val="nil"/>
              <w:bottom w:val="single" w:sz="4" w:space="0" w:color="auto"/>
              <w:right w:val="single" w:sz="4" w:space="0" w:color="auto"/>
            </w:tcBorders>
            <w:shd w:val="clear" w:color="auto" w:fill="auto"/>
            <w:vAlign w:val="bottom"/>
            <w:hideMark/>
          </w:tcPr>
          <w:p w14:paraId="2ABDC412" w14:textId="77777777" w:rsidR="003D0C85" w:rsidRPr="003D0C85" w:rsidRDefault="003D0C85" w:rsidP="003D0C85">
            <w:pPr>
              <w:spacing w:after="0" w:line="240" w:lineRule="auto"/>
              <w:jc w:val="right"/>
              <w:rPr>
                <w:rFonts w:ascii="Calibri" w:eastAsia="Times New Roman" w:hAnsi="Calibri" w:cs="Calibri"/>
                <w:b/>
                <w:bCs/>
                <w:sz w:val="18"/>
                <w:szCs w:val="18"/>
                <w:lang w:eastAsia="hr-HR"/>
              </w:rPr>
            </w:pPr>
            <w:r w:rsidRPr="003D0C85">
              <w:rPr>
                <w:rFonts w:ascii="Calibri" w:eastAsia="Times New Roman" w:hAnsi="Calibri" w:cs="Calibri"/>
                <w:b/>
                <w:bCs/>
                <w:sz w:val="18"/>
                <w:szCs w:val="18"/>
                <w:lang w:eastAsia="hr-HR"/>
              </w:rPr>
              <w:t>0</w:t>
            </w:r>
          </w:p>
        </w:tc>
        <w:tc>
          <w:tcPr>
            <w:tcW w:w="792" w:type="dxa"/>
            <w:gridSpan w:val="2"/>
            <w:tcBorders>
              <w:top w:val="nil"/>
              <w:left w:val="nil"/>
              <w:bottom w:val="single" w:sz="4" w:space="0" w:color="auto"/>
              <w:right w:val="single" w:sz="4" w:space="0" w:color="auto"/>
            </w:tcBorders>
            <w:shd w:val="clear" w:color="000000" w:fill="FFFF00"/>
            <w:vAlign w:val="bottom"/>
            <w:hideMark/>
          </w:tcPr>
          <w:p w14:paraId="4D17A734" w14:textId="77777777" w:rsidR="003D0C85" w:rsidRPr="003D0C85" w:rsidRDefault="003D0C85" w:rsidP="003D0C85">
            <w:pPr>
              <w:spacing w:after="0" w:line="240" w:lineRule="auto"/>
              <w:jc w:val="right"/>
              <w:rPr>
                <w:rFonts w:ascii="Calibri" w:eastAsia="Times New Roman" w:hAnsi="Calibri" w:cs="Calibri"/>
                <w:b/>
                <w:bCs/>
                <w:sz w:val="18"/>
                <w:szCs w:val="18"/>
                <w:lang w:eastAsia="hr-HR"/>
              </w:rPr>
            </w:pPr>
            <w:r w:rsidRPr="003D0C85">
              <w:rPr>
                <w:rFonts w:ascii="Calibri" w:eastAsia="Times New Roman" w:hAnsi="Calibri" w:cs="Calibri"/>
                <w:b/>
                <w:bCs/>
                <w:sz w:val="18"/>
                <w:szCs w:val="18"/>
                <w:lang w:eastAsia="hr-HR"/>
              </w:rPr>
              <w:t>0</w:t>
            </w:r>
          </w:p>
        </w:tc>
        <w:tc>
          <w:tcPr>
            <w:tcW w:w="507" w:type="dxa"/>
            <w:gridSpan w:val="2"/>
            <w:tcBorders>
              <w:top w:val="nil"/>
              <w:left w:val="nil"/>
              <w:bottom w:val="single" w:sz="4" w:space="0" w:color="auto"/>
              <w:right w:val="single" w:sz="4" w:space="0" w:color="auto"/>
            </w:tcBorders>
            <w:shd w:val="clear" w:color="000000" w:fill="FF9900"/>
            <w:noWrap/>
            <w:vAlign w:val="bottom"/>
            <w:hideMark/>
          </w:tcPr>
          <w:p w14:paraId="1F76465E" w14:textId="77777777" w:rsidR="003D0C85" w:rsidRPr="003D0C85" w:rsidRDefault="003D0C85" w:rsidP="003D0C85">
            <w:pPr>
              <w:spacing w:after="0" w:line="240" w:lineRule="auto"/>
              <w:jc w:val="right"/>
              <w:rPr>
                <w:rFonts w:ascii="Calibri" w:eastAsia="Times New Roman" w:hAnsi="Calibri" w:cs="Calibri"/>
                <w:sz w:val="18"/>
                <w:szCs w:val="18"/>
                <w:lang w:eastAsia="hr-HR"/>
              </w:rPr>
            </w:pPr>
            <w:r w:rsidRPr="003D0C85">
              <w:rPr>
                <w:rFonts w:ascii="Calibri" w:eastAsia="Times New Roman" w:hAnsi="Calibri" w:cs="Calibri"/>
                <w:sz w:val="18"/>
                <w:szCs w:val="18"/>
                <w:lang w:eastAsia="hr-HR"/>
              </w:rPr>
              <w:t>0</w:t>
            </w:r>
          </w:p>
        </w:tc>
        <w:tc>
          <w:tcPr>
            <w:tcW w:w="244" w:type="dxa"/>
            <w:tcBorders>
              <w:top w:val="nil"/>
              <w:left w:val="nil"/>
              <w:bottom w:val="single" w:sz="4" w:space="0" w:color="auto"/>
              <w:right w:val="single" w:sz="4" w:space="0" w:color="auto"/>
            </w:tcBorders>
            <w:shd w:val="clear" w:color="000000" w:fill="CCFFFF"/>
            <w:noWrap/>
            <w:vAlign w:val="bottom"/>
            <w:hideMark/>
          </w:tcPr>
          <w:p w14:paraId="17763AC6" w14:textId="77777777" w:rsidR="003D0C85" w:rsidRPr="003D0C85" w:rsidRDefault="003D0C85" w:rsidP="003D0C85">
            <w:pPr>
              <w:spacing w:after="0" w:line="240" w:lineRule="auto"/>
              <w:jc w:val="right"/>
              <w:rPr>
                <w:rFonts w:ascii="Calibri" w:eastAsia="Times New Roman" w:hAnsi="Calibri" w:cs="Calibri"/>
                <w:sz w:val="18"/>
                <w:szCs w:val="18"/>
                <w:lang w:eastAsia="hr-HR"/>
              </w:rPr>
            </w:pPr>
            <w:r w:rsidRPr="003D0C85">
              <w:rPr>
                <w:rFonts w:ascii="Calibri" w:eastAsia="Times New Roman" w:hAnsi="Calibri" w:cs="Calibri"/>
                <w:sz w:val="18"/>
                <w:szCs w:val="18"/>
                <w:lang w:eastAsia="hr-HR"/>
              </w:rPr>
              <w:t>0</w:t>
            </w:r>
          </w:p>
        </w:tc>
        <w:tc>
          <w:tcPr>
            <w:tcW w:w="425" w:type="dxa"/>
            <w:tcBorders>
              <w:top w:val="nil"/>
              <w:left w:val="nil"/>
              <w:bottom w:val="single" w:sz="4" w:space="0" w:color="auto"/>
              <w:right w:val="single" w:sz="4" w:space="0" w:color="auto"/>
            </w:tcBorders>
            <w:shd w:val="clear" w:color="000000" w:fill="CCFFFF"/>
            <w:noWrap/>
            <w:vAlign w:val="bottom"/>
            <w:hideMark/>
          </w:tcPr>
          <w:p w14:paraId="2DB9815E" w14:textId="77777777" w:rsidR="003D0C85" w:rsidRPr="003D0C85" w:rsidRDefault="003D0C85" w:rsidP="003D0C85">
            <w:pPr>
              <w:spacing w:after="0" w:line="240" w:lineRule="auto"/>
              <w:jc w:val="right"/>
              <w:rPr>
                <w:rFonts w:ascii="Calibri" w:eastAsia="Times New Roman" w:hAnsi="Calibri" w:cs="Calibri"/>
                <w:sz w:val="18"/>
                <w:szCs w:val="18"/>
                <w:lang w:eastAsia="hr-HR"/>
              </w:rPr>
            </w:pPr>
            <w:r w:rsidRPr="003D0C85">
              <w:rPr>
                <w:rFonts w:ascii="Calibri" w:eastAsia="Times New Roman" w:hAnsi="Calibri" w:cs="Calibri"/>
                <w:sz w:val="18"/>
                <w:szCs w:val="18"/>
                <w:lang w:eastAsia="hr-HR"/>
              </w:rPr>
              <w:t>0</w:t>
            </w:r>
          </w:p>
        </w:tc>
        <w:tc>
          <w:tcPr>
            <w:tcW w:w="607" w:type="dxa"/>
            <w:tcBorders>
              <w:top w:val="nil"/>
              <w:left w:val="nil"/>
              <w:bottom w:val="single" w:sz="4" w:space="0" w:color="auto"/>
              <w:right w:val="single" w:sz="4" w:space="0" w:color="auto"/>
            </w:tcBorders>
            <w:shd w:val="clear" w:color="000000" w:fill="CCFFFF"/>
            <w:noWrap/>
            <w:vAlign w:val="bottom"/>
            <w:hideMark/>
          </w:tcPr>
          <w:p w14:paraId="40A4B8E8" w14:textId="77777777" w:rsidR="003D0C85" w:rsidRPr="003D0C85" w:rsidRDefault="003D0C85" w:rsidP="003D0C85">
            <w:pPr>
              <w:spacing w:after="0" w:line="240" w:lineRule="auto"/>
              <w:jc w:val="right"/>
              <w:rPr>
                <w:rFonts w:ascii="Calibri" w:eastAsia="Times New Roman" w:hAnsi="Calibri" w:cs="Calibri"/>
                <w:sz w:val="18"/>
                <w:szCs w:val="18"/>
                <w:lang w:eastAsia="hr-HR"/>
              </w:rPr>
            </w:pPr>
            <w:r w:rsidRPr="003D0C85">
              <w:rPr>
                <w:rFonts w:ascii="Calibri" w:eastAsia="Times New Roman" w:hAnsi="Calibri" w:cs="Calibri"/>
                <w:sz w:val="18"/>
                <w:szCs w:val="18"/>
                <w:lang w:eastAsia="hr-HR"/>
              </w:rPr>
              <w:t>0</w:t>
            </w:r>
          </w:p>
        </w:tc>
        <w:tc>
          <w:tcPr>
            <w:tcW w:w="425" w:type="dxa"/>
            <w:gridSpan w:val="2"/>
            <w:tcBorders>
              <w:top w:val="nil"/>
              <w:left w:val="nil"/>
              <w:bottom w:val="single" w:sz="4" w:space="0" w:color="auto"/>
              <w:right w:val="nil"/>
            </w:tcBorders>
            <w:shd w:val="clear" w:color="000000" w:fill="33CCCC"/>
            <w:noWrap/>
            <w:vAlign w:val="bottom"/>
            <w:hideMark/>
          </w:tcPr>
          <w:p w14:paraId="0A567A3F" w14:textId="77777777" w:rsidR="003D0C85" w:rsidRPr="003D0C85" w:rsidRDefault="003D0C85" w:rsidP="003D0C85">
            <w:pPr>
              <w:spacing w:after="0" w:line="240" w:lineRule="auto"/>
              <w:jc w:val="right"/>
              <w:rPr>
                <w:rFonts w:ascii="Calibri" w:eastAsia="Times New Roman" w:hAnsi="Calibri" w:cs="Calibri"/>
                <w:sz w:val="18"/>
                <w:szCs w:val="18"/>
                <w:lang w:eastAsia="hr-HR"/>
              </w:rPr>
            </w:pPr>
            <w:r w:rsidRPr="003D0C85">
              <w:rPr>
                <w:rFonts w:ascii="Calibri" w:eastAsia="Times New Roman" w:hAnsi="Calibri" w:cs="Calibri"/>
                <w:sz w:val="18"/>
                <w:szCs w:val="18"/>
                <w:lang w:eastAsia="hr-HR"/>
              </w:rPr>
              <w:t>0</w:t>
            </w:r>
          </w:p>
        </w:tc>
        <w:tc>
          <w:tcPr>
            <w:tcW w:w="452" w:type="dxa"/>
            <w:gridSpan w:val="2"/>
            <w:tcBorders>
              <w:top w:val="nil"/>
              <w:left w:val="single" w:sz="4" w:space="0" w:color="auto"/>
              <w:bottom w:val="single" w:sz="4" w:space="0" w:color="auto"/>
              <w:right w:val="single" w:sz="8" w:space="0" w:color="auto"/>
            </w:tcBorders>
            <w:shd w:val="clear" w:color="000000" w:fill="33CCCC"/>
            <w:noWrap/>
            <w:vAlign w:val="bottom"/>
            <w:hideMark/>
          </w:tcPr>
          <w:p w14:paraId="329C6DD2" w14:textId="77777777" w:rsidR="003D0C85" w:rsidRPr="003D0C85" w:rsidRDefault="003D0C85" w:rsidP="003D0C85">
            <w:pPr>
              <w:spacing w:after="0" w:line="240" w:lineRule="auto"/>
              <w:jc w:val="right"/>
              <w:rPr>
                <w:rFonts w:ascii="Calibri" w:eastAsia="Times New Roman" w:hAnsi="Calibri" w:cs="Calibri"/>
                <w:sz w:val="18"/>
                <w:szCs w:val="18"/>
                <w:lang w:eastAsia="hr-HR"/>
              </w:rPr>
            </w:pPr>
            <w:r w:rsidRPr="003D0C85">
              <w:rPr>
                <w:rFonts w:ascii="Calibri" w:eastAsia="Times New Roman" w:hAnsi="Calibri" w:cs="Calibri"/>
                <w:sz w:val="18"/>
                <w:szCs w:val="18"/>
                <w:lang w:eastAsia="hr-HR"/>
              </w:rPr>
              <w:t>0</w:t>
            </w:r>
          </w:p>
        </w:tc>
        <w:tc>
          <w:tcPr>
            <w:tcW w:w="236" w:type="dxa"/>
            <w:gridSpan w:val="3"/>
            <w:vAlign w:val="center"/>
            <w:hideMark/>
          </w:tcPr>
          <w:p w14:paraId="362DEE33" w14:textId="77777777" w:rsidR="003D0C85" w:rsidRPr="003D0C85" w:rsidRDefault="003D0C85" w:rsidP="003D0C85">
            <w:pPr>
              <w:spacing w:after="0" w:line="240" w:lineRule="auto"/>
              <w:rPr>
                <w:rFonts w:ascii="Times New Roman" w:eastAsia="Times New Roman" w:hAnsi="Times New Roman" w:cs="Times New Roman"/>
                <w:sz w:val="18"/>
                <w:szCs w:val="18"/>
                <w:lang w:eastAsia="hr-HR"/>
              </w:rPr>
            </w:pPr>
          </w:p>
        </w:tc>
      </w:tr>
      <w:tr w:rsidR="00E72E51" w:rsidRPr="00E72E51" w14:paraId="2356967C" w14:textId="77777777" w:rsidTr="00E72E51">
        <w:trPr>
          <w:trHeight w:val="315"/>
        </w:trPr>
        <w:tc>
          <w:tcPr>
            <w:tcW w:w="983" w:type="dxa"/>
            <w:tcBorders>
              <w:top w:val="single" w:sz="4" w:space="0" w:color="auto"/>
              <w:left w:val="single" w:sz="8" w:space="0" w:color="auto"/>
              <w:bottom w:val="single" w:sz="4" w:space="0" w:color="auto"/>
              <w:right w:val="single" w:sz="4" w:space="0" w:color="auto"/>
            </w:tcBorders>
            <w:shd w:val="clear" w:color="000000" w:fill="CCFFCC"/>
            <w:vAlign w:val="center"/>
            <w:hideMark/>
          </w:tcPr>
          <w:p w14:paraId="025F7C4E" w14:textId="77777777" w:rsidR="003D0C85" w:rsidRPr="003D0C85" w:rsidRDefault="003D0C85" w:rsidP="003D0C85">
            <w:pPr>
              <w:spacing w:after="0" w:line="240" w:lineRule="auto"/>
              <w:rPr>
                <w:rFonts w:ascii="Calibri" w:eastAsia="Times New Roman" w:hAnsi="Calibri" w:cs="Calibri"/>
                <w:sz w:val="18"/>
                <w:szCs w:val="18"/>
                <w:lang w:eastAsia="hr-HR"/>
              </w:rPr>
            </w:pPr>
            <w:r w:rsidRPr="003D0C85">
              <w:rPr>
                <w:rFonts w:ascii="Calibri" w:eastAsia="Times New Roman" w:hAnsi="Calibri" w:cs="Calibri"/>
                <w:sz w:val="18"/>
                <w:szCs w:val="18"/>
                <w:lang w:eastAsia="hr-HR"/>
              </w:rPr>
              <w:t>Nacionalno podrijetlo</w:t>
            </w:r>
          </w:p>
        </w:tc>
        <w:tc>
          <w:tcPr>
            <w:tcW w:w="442" w:type="dxa"/>
            <w:tcBorders>
              <w:top w:val="nil"/>
              <w:left w:val="nil"/>
              <w:bottom w:val="single" w:sz="4" w:space="0" w:color="auto"/>
              <w:right w:val="single" w:sz="4" w:space="0" w:color="auto"/>
            </w:tcBorders>
            <w:shd w:val="clear" w:color="000000" w:fill="FFFF00"/>
            <w:vAlign w:val="bottom"/>
            <w:hideMark/>
          </w:tcPr>
          <w:p w14:paraId="2430738F" w14:textId="77777777" w:rsidR="003D0C85" w:rsidRPr="003D0C85" w:rsidRDefault="003D0C85" w:rsidP="003D0C85">
            <w:pPr>
              <w:spacing w:after="0" w:line="240" w:lineRule="auto"/>
              <w:jc w:val="right"/>
              <w:rPr>
                <w:rFonts w:ascii="Calibri" w:eastAsia="Times New Roman" w:hAnsi="Calibri" w:cs="Calibri"/>
                <w:b/>
                <w:bCs/>
                <w:sz w:val="18"/>
                <w:szCs w:val="18"/>
                <w:lang w:eastAsia="hr-HR"/>
              </w:rPr>
            </w:pPr>
            <w:r w:rsidRPr="003D0C85">
              <w:rPr>
                <w:rFonts w:ascii="Calibri" w:eastAsia="Times New Roman" w:hAnsi="Calibri" w:cs="Calibri"/>
                <w:b/>
                <w:bCs/>
                <w:sz w:val="18"/>
                <w:szCs w:val="18"/>
                <w:lang w:eastAsia="hr-HR"/>
              </w:rPr>
              <w:t>2</w:t>
            </w:r>
          </w:p>
        </w:tc>
        <w:tc>
          <w:tcPr>
            <w:tcW w:w="443" w:type="dxa"/>
            <w:tcBorders>
              <w:top w:val="nil"/>
              <w:left w:val="nil"/>
              <w:bottom w:val="single" w:sz="4" w:space="0" w:color="auto"/>
              <w:right w:val="single" w:sz="4" w:space="0" w:color="auto"/>
            </w:tcBorders>
            <w:shd w:val="clear" w:color="000000" w:fill="FFCC99"/>
            <w:noWrap/>
            <w:vAlign w:val="bottom"/>
            <w:hideMark/>
          </w:tcPr>
          <w:p w14:paraId="71CE09C5" w14:textId="77777777" w:rsidR="003D0C85" w:rsidRPr="003D0C85" w:rsidRDefault="003D0C85" w:rsidP="003D0C85">
            <w:pPr>
              <w:spacing w:after="0" w:line="240" w:lineRule="auto"/>
              <w:jc w:val="right"/>
              <w:rPr>
                <w:rFonts w:ascii="Calibri" w:eastAsia="Times New Roman" w:hAnsi="Calibri" w:cs="Calibri"/>
                <w:sz w:val="18"/>
                <w:szCs w:val="18"/>
                <w:lang w:eastAsia="hr-HR"/>
              </w:rPr>
            </w:pPr>
            <w:r w:rsidRPr="003D0C85">
              <w:rPr>
                <w:rFonts w:ascii="Calibri" w:eastAsia="Times New Roman" w:hAnsi="Calibri" w:cs="Calibri"/>
                <w:sz w:val="18"/>
                <w:szCs w:val="18"/>
                <w:lang w:eastAsia="hr-HR"/>
              </w:rPr>
              <w:t>0</w:t>
            </w:r>
          </w:p>
        </w:tc>
        <w:tc>
          <w:tcPr>
            <w:tcW w:w="316" w:type="dxa"/>
            <w:tcBorders>
              <w:top w:val="nil"/>
              <w:left w:val="nil"/>
              <w:bottom w:val="single" w:sz="4" w:space="0" w:color="auto"/>
              <w:right w:val="single" w:sz="4" w:space="0" w:color="auto"/>
            </w:tcBorders>
            <w:shd w:val="clear" w:color="000000" w:fill="CCFFFF"/>
            <w:vAlign w:val="bottom"/>
            <w:hideMark/>
          </w:tcPr>
          <w:p w14:paraId="0859ACBA" w14:textId="77777777" w:rsidR="003D0C85" w:rsidRPr="003D0C85" w:rsidRDefault="003D0C85" w:rsidP="003D0C85">
            <w:pPr>
              <w:spacing w:after="0" w:line="240" w:lineRule="auto"/>
              <w:jc w:val="right"/>
              <w:rPr>
                <w:rFonts w:ascii="Calibri" w:eastAsia="Times New Roman" w:hAnsi="Calibri" w:cs="Calibri"/>
                <w:sz w:val="18"/>
                <w:szCs w:val="18"/>
                <w:lang w:eastAsia="hr-HR"/>
              </w:rPr>
            </w:pPr>
            <w:r w:rsidRPr="003D0C85">
              <w:rPr>
                <w:rFonts w:ascii="Calibri" w:eastAsia="Times New Roman" w:hAnsi="Calibri" w:cs="Calibri"/>
                <w:sz w:val="18"/>
                <w:szCs w:val="18"/>
                <w:lang w:eastAsia="hr-HR"/>
              </w:rPr>
              <w:t>0</w:t>
            </w:r>
          </w:p>
        </w:tc>
        <w:tc>
          <w:tcPr>
            <w:tcW w:w="452" w:type="dxa"/>
            <w:tcBorders>
              <w:top w:val="nil"/>
              <w:left w:val="nil"/>
              <w:bottom w:val="single" w:sz="4" w:space="0" w:color="auto"/>
              <w:right w:val="single" w:sz="4" w:space="0" w:color="auto"/>
            </w:tcBorders>
            <w:shd w:val="clear" w:color="000000" w:fill="CCFFFF"/>
            <w:vAlign w:val="bottom"/>
            <w:hideMark/>
          </w:tcPr>
          <w:p w14:paraId="73440D3F" w14:textId="77777777" w:rsidR="003D0C85" w:rsidRPr="003D0C85" w:rsidRDefault="003D0C85" w:rsidP="003D0C85">
            <w:pPr>
              <w:spacing w:after="0" w:line="240" w:lineRule="auto"/>
              <w:jc w:val="right"/>
              <w:rPr>
                <w:rFonts w:ascii="Calibri" w:eastAsia="Times New Roman" w:hAnsi="Calibri" w:cs="Calibri"/>
                <w:sz w:val="18"/>
                <w:szCs w:val="18"/>
                <w:lang w:eastAsia="hr-HR"/>
              </w:rPr>
            </w:pPr>
            <w:r w:rsidRPr="003D0C85">
              <w:rPr>
                <w:rFonts w:ascii="Calibri" w:eastAsia="Times New Roman" w:hAnsi="Calibri" w:cs="Calibri"/>
                <w:sz w:val="18"/>
                <w:szCs w:val="18"/>
                <w:lang w:eastAsia="hr-HR"/>
              </w:rPr>
              <w:t>0</w:t>
            </w:r>
          </w:p>
        </w:tc>
        <w:tc>
          <w:tcPr>
            <w:tcW w:w="491" w:type="dxa"/>
            <w:gridSpan w:val="2"/>
            <w:tcBorders>
              <w:top w:val="nil"/>
              <w:left w:val="nil"/>
              <w:bottom w:val="single" w:sz="4" w:space="0" w:color="auto"/>
              <w:right w:val="single" w:sz="4" w:space="0" w:color="auto"/>
            </w:tcBorders>
            <w:shd w:val="clear" w:color="000000" w:fill="FFFF99"/>
            <w:noWrap/>
            <w:vAlign w:val="bottom"/>
            <w:hideMark/>
          </w:tcPr>
          <w:p w14:paraId="14BD1423" w14:textId="77777777" w:rsidR="003D0C85" w:rsidRPr="003D0C85" w:rsidRDefault="003D0C85" w:rsidP="003D0C85">
            <w:pPr>
              <w:spacing w:after="0" w:line="240" w:lineRule="auto"/>
              <w:jc w:val="right"/>
              <w:rPr>
                <w:rFonts w:ascii="Calibri" w:eastAsia="Times New Roman" w:hAnsi="Calibri" w:cs="Calibri"/>
                <w:sz w:val="18"/>
                <w:szCs w:val="18"/>
                <w:lang w:eastAsia="hr-HR"/>
              </w:rPr>
            </w:pPr>
            <w:r w:rsidRPr="003D0C85">
              <w:rPr>
                <w:rFonts w:ascii="Calibri" w:eastAsia="Times New Roman" w:hAnsi="Calibri" w:cs="Calibri"/>
                <w:sz w:val="18"/>
                <w:szCs w:val="18"/>
                <w:lang w:eastAsia="hr-HR"/>
              </w:rPr>
              <w:t>0</w:t>
            </w:r>
          </w:p>
        </w:tc>
        <w:tc>
          <w:tcPr>
            <w:tcW w:w="447" w:type="dxa"/>
            <w:tcBorders>
              <w:top w:val="nil"/>
              <w:left w:val="nil"/>
              <w:bottom w:val="single" w:sz="4" w:space="0" w:color="auto"/>
              <w:right w:val="single" w:sz="4" w:space="0" w:color="auto"/>
            </w:tcBorders>
            <w:shd w:val="clear" w:color="000000" w:fill="FFFF99"/>
            <w:noWrap/>
            <w:vAlign w:val="bottom"/>
            <w:hideMark/>
          </w:tcPr>
          <w:p w14:paraId="34BA4C12" w14:textId="77777777" w:rsidR="003D0C85" w:rsidRPr="003D0C85" w:rsidRDefault="003D0C85" w:rsidP="003D0C85">
            <w:pPr>
              <w:spacing w:after="0" w:line="240" w:lineRule="auto"/>
              <w:jc w:val="right"/>
              <w:rPr>
                <w:rFonts w:ascii="Calibri" w:eastAsia="Times New Roman" w:hAnsi="Calibri" w:cs="Calibri"/>
                <w:sz w:val="18"/>
                <w:szCs w:val="18"/>
                <w:lang w:eastAsia="hr-HR"/>
              </w:rPr>
            </w:pPr>
            <w:r w:rsidRPr="003D0C85">
              <w:rPr>
                <w:rFonts w:ascii="Calibri" w:eastAsia="Times New Roman" w:hAnsi="Calibri" w:cs="Calibri"/>
                <w:sz w:val="18"/>
                <w:szCs w:val="18"/>
                <w:lang w:eastAsia="hr-HR"/>
              </w:rPr>
              <w:t>0</w:t>
            </w:r>
          </w:p>
        </w:tc>
        <w:tc>
          <w:tcPr>
            <w:tcW w:w="495" w:type="dxa"/>
            <w:tcBorders>
              <w:top w:val="nil"/>
              <w:left w:val="nil"/>
              <w:bottom w:val="single" w:sz="4" w:space="0" w:color="auto"/>
              <w:right w:val="single" w:sz="4" w:space="0" w:color="auto"/>
            </w:tcBorders>
            <w:shd w:val="clear" w:color="000000" w:fill="FFFF99"/>
            <w:noWrap/>
            <w:vAlign w:val="bottom"/>
            <w:hideMark/>
          </w:tcPr>
          <w:p w14:paraId="6A0521B5" w14:textId="77777777" w:rsidR="003D0C85" w:rsidRPr="003D0C85" w:rsidRDefault="003D0C85" w:rsidP="003D0C85">
            <w:pPr>
              <w:spacing w:after="0" w:line="240" w:lineRule="auto"/>
              <w:jc w:val="right"/>
              <w:rPr>
                <w:rFonts w:ascii="Calibri" w:eastAsia="Times New Roman" w:hAnsi="Calibri" w:cs="Calibri"/>
                <w:sz w:val="18"/>
                <w:szCs w:val="18"/>
                <w:lang w:eastAsia="hr-HR"/>
              </w:rPr>
            </w:pPr>
            <w:r w:rsidRPr="003D0C85">
              <w:rPr>
                <w:rFonts w:ascii="Calibri" w:eastAsia="Times New Roman" w:hAnsi="Calibri" w:cs="Calibri"/>
                <w:sz w:val="18"/>
                <w:szCs w:val="18"/>
                <w:lang w:eastAsia="hr-HR"/>
              </w:rPr>
              <w:t>0</w:t>
            </w:r>
          </w:p>
        </w:tc>
        <w:tc>
          <w:tcPr>
            <w:tcW w:w="451" w:type="dxa"/>
            <w:tcBorders>
              <w:top w:val="nil"/>
              <w:left w:val="nil"/>
              <w:bottom w:val="single" w:sz="4" w:space="0" w:color="auto"/>
              <w:right w:val="single" w:sz="4" w:space="0" w:color="auto"/>
            </w:tcBorders>
            <w:shd w:val="clear" w:color="000000" w:fill="FFFF99"/>
            <w:noWrap/>
            <w:vAlign w:val="bottom"/>
            <w:hideMark/>
          </w:tcPr>
          <w:p w14:paraId="61EB0E6B" w14:textId="77777777" w:rsidR="003D0C85" w:rsidRPr="003D0C85" w:rsidRDefault="003D0C85" w:rsidP="003D0C85">
            <w:pPr>
              <w:spacing w:after="0" w:line="240" w:lineRule="auto"/>
              <w:jc w:val="right"/>
              <w:rPr>
                <w:rFonts w:ascii="Calibri" w:eastAsia="Times New Roman" w:hAnsi="Calibri" w:cs="Calibri"/>
                <w:sz w:val="18"/>
                <w:szCs w:val="18"/>
                <w:lang w:eastAsia="hr-HR"/>
              </w:rPr>
            </w:pPr>
            <w:r w:rsidRPr="003D0C85">
              <w:rPr>
                <w:rFonts w:ascii="Calibri" w:eastAsia="Times New Roman" w:hAnsi="Calibri" w:cs="Calibri"/>
                <w:sz w:val="18"/>
                <w:szCs w:val="18"/>
                <w:lang w:eastAsia="hr-HR"/>
              </w:rPr>
              <w:t>0</w:t>
            </w:r>
          </w:p>
        </w:tc>
        <w:tc>
          <w:tcPr>
            <w:tcW w:w="632" w:type="dxa"/>
            <w:gridSpan w:val="2"/>
            <w:tcBorders>
              <w:top w:val="nil"/>
              <w:left w:val="nil"/>
              <w:bottom w:val="single" w:sz="4" w:space="0" w:color="auto"/>
              <w:right w:val="single" w:sz="4" w:space="0" w:color="auto"/>
            </w:tcBorders>
            <w:shd w:val="clear" w:color="000000" w:fill="FFFF99"/>
            <w:noWrap/>
            <w:vAlign w:val="bottom"/>
            <w:hideMark/>
          </w:tcPr>
          <w:p w14:paraId="11950DC5" w14:textId="77777777" w:rsidR="003D0C85" w:rsidRPr="003D0C85" w:rsidRDefault="003D0C85" w:rsidP="003D0C85">
            <w:pPr>
              <w:spacing w:after="0" w:line="240" w:lineRule="auto"/>
              <w:jc w:val="right"/>
              <w:rPr>
                <w:rFonts w:ascii="Calibri" w:eastAsia="Times New Roman" w:hAnsi="Calibri" w:cs="Calibri"/>
                <w:sz w:val="18"/>
                <w:szCs w:val="18"/>
                <w:lang w:eastAsia="hr-HR"/>
              </w:rPr>
            </w:pPr>
            <w:r w:rsidRPr="003D0C85">
              <w:rPr>
                <w:rFonts w:ascii="Calibri" w:eastAsia="Times New Roman" w:hAnsi="Calibri" w:cs="Calibri"/>
                <w:sz w:val="18"/>
                <w:szCs w:val="18"/>
                <w:lang w:eastAsia="hr-HR"/>
              </w:rPr>
              <w:t>0</w:t>
            </w:r>
          </w:p>
        </w:tc>
        <w:tc>
          <w:tcPr>
            <w:tcW w:w="447" w:type="dxa"/>
            <w:tcBorders>
              <w:top w:val="nil"/>
              <w:left w:val="nil"/>
              <w:bottom w:val="single" w:sz="4" w:space="0" w:color="auto"/>
              <w:right w:val="single" w:sz="4" w:space="0" w:color="auto"/>
            </w:tcBorders>
            <w:shd w:val="clear" w:color="000000" w:fill="FFFF99"/>
            <w:noWrap/>
            <w:vAlign w:val="bottom"/>
            <w:hideMark/>
          </w:tcPr>
          <w:p w14:paraId="1E3DEB73" w14:textId="77777777" w:rsidR="003D0C85" w:rsidRPr="003D0C85" w:rsidRDefault="003D0C85" w:rsidP="003D0C85">
            <w:pPr>
              <w:spacing w:after="0" w:line="240" w:lineRule="auto"/>
              <w:jc w:val="right"/>
              <w:rPr>
                <w:rFonts w:ascii="Calibri" w:eastAsia="Times New Roman" w:hAnsi="Calibri" w:cs="Calibri"/>
                <w:sz w:val="18"/>
                <w:szCs w:val="18"/>
                <w:lang w:eastAsia="hr-HR"/>
              </w:rPr>
            </w:pPr>
            <w:r w:rsidRPr="003D0C85">
              <w:rPr>
                <w:rFonts w:ascii="Calibri" w:eastAsia="Times New Roman" w:hAnsi="Calibri" w:cs="Calibri"/>
                <w:sz w:val="18"/>
                <w:szCs w:val="18"/>
                <w:lang w:eastAsia="hr-HR"/>
              </w:rPr>
              <w:t>0</w:t>
            </w:r>
          </w:p>
        </w:tc>
        <w:tc>
          <w:tcPr>
            <w:tcW w:w="543" w:type="dxa"/>
            <w:tcBorders>
              <w:top w:val="nil"/>
              <w:left w:val="nil"/>
              <w:bottom w:val="single" w:sz="4" w:space="0" w:color="auto"/>
              <w:right w:val="single" w:sz="4" w:space="0" w:color="auto"/>
            </w:tcBorders>
            <w:shd w:val="clear" w:color="000000" w:fill="FFFF99"/>
            <w:noWrap/>
            <w:vAlign w:val="bottom"/>
            <w:hideMark/>
          </w:tcPr>
          <w:p w14:paraId="487E6D0C" w14:textId="77777777" w:rsidR="003D0C85" w:rsidRPr="003D0C85" w:rsidRDefault="003D0C85" w:rsidP="003D0C85">
            <w:pPr>
              <w:spacing w:after="0" w:line="240" w:lineRule="auto"/>
              <w:jc w:val="right"/>
              <w:rPr>
                <w:rFonts w:ascii="Calibri" w:eastAsia="Times New Roman" w:hAnsi="Calibri" w:cs="Calibri"/>
                <w:sz w:val="18"/>
                <w:szCs w:val="18"/>
                <w:lang w:eastAsia="hr-HR"/>
              </w:rPr>
            </w:pPr>
            <w:r w:rsidRPr="003D0C85">
              <w:rPr>
                <w:rFonts w:ascii="Calibri" w:eastAsia="Times New Roman" w:hAnsi="Calibri" w:cs="Calibri"/>
                <w:sz w:val="18"/>
                <w:szCs w:val="18"/>
                <w:lang w:eastAsia="hr-HR"/>
              </w:rPr>
              <w:t>0</w:t>
            </w:r>
          </w:p>
        </w:tc>
        <w:tc>
          <w:tcPr>
            <w:tcW w:w="447" w:type="dxa"/>
            <w:tcBorders>
              <w:top w:val="nil"/>
              <w:left w:val="nil"/>
              <w:bottom w:val="single" w:sz="4" w:space="0" w:color="auto"/>
              <w:right w:val="single" w:sz="4" w:space="0" w:color="auto"/>
            </w:tcBorders>
            <w:shd w:val="clear" w:color="000000" w:fill="FFFF99"/>
            <w:noWrap/>
            <w:vAlign w:val="bottom"/>
            <w:hideMark/>
          </w:tcPr>
          <w:p w14:paraId="352A5022" w14:textId="77777777" w:rsidR="003D0C85" w:rsidRPr="003D0C85" w:rsidRDefault="003D0C85" w:rsidP="003D0C85">
            <w:pPr>
              <w:spacing w:after="0" w:line="240" w:lineRule="auto"/>
              <w:jc w:val="right"/>
              <w:rPr>
                <w:rFonts w:ascii="Calibri" w:eastAsia="Times New Roman" w:hAnsi="Calibri" w:cs="Calibri"/>
                <w:sz w:val="18"/>
                <w:szCs w:val="18"/>
                <w:lang w:eastAsia="hr-HR"/>
              </w:rPr>
            </w:pPr>
            <w:r w:rsidRPr="003D0C85">
              <w:rPr>
                <w:rFonts w:ascii="Calibri" w:eastAsia="Times New Roman" w:hAnsi="Calibri" w:cs="Calibri"/>
                <w:sz w:val="18"/>
                <w:szCs w:val="18"/>
                <w:lang w:eastAsia="hr-HR"/>
              </w:rPr>
              <w:t>0</w:t>
            </w:r>
          </w:p>
        </w:tc>
        <w:tc>
          <w:tcPr>
            <w:tcW w:w="543" w:type="dxa"/>
            <w:tcBorders>
              <w:top w:val="nil"/>
              <w:left w:val="nil"/>
              <w:bottom w:val="single" w:sz="4" w:space="0" w:color="auto"/>
              <w:right w:val="single" w:sz="4" w:space="0" w:color="auto"/>
            </w:tcBorders>
            <w:shd w:val="clear" w:color="000000" w:fill="FFFF99"/>
            <w:noWrap/>
            <w:vAlign w:val="bottom"/>
            <w:hideMark/>
          </w:tcPr>
          <w:p w14:paraId="3350FBF9" w14:textId="77777777" w:rsidR="003D0C85" w:rsidRPr="003D0C85" w:rsidRDefault="003D0C85" w:rsidP="003D0C85">
            <w:pPr>
              <w:spacing w:after="0" w:line="240" w:lineRule="auto"/>
              <w:jc w:val="right"/>
              <w:rPr>
                <w:rFonts w:ascii="Calibri" w:eastAsia="Times New Roman" w:hAnsi="Calibri" w:cs="Calibri"/>
                <w:sz w:val="18"/>
                <w:szCs w:val="18"/>
                <w:lang w:eastAsia="hr-HR"/>
              </w:rPr>
            </w:pPr>
            <w:r w:rsidRPr="003D0C85">
              <w:rPr>
                <w:rFonts w:ascii="Calibri" w:eastAsia="Times New Roman" w:hAnsi="Calibri" w:cs="Calibri"/>
                <w:sz w:val="18"/>
                <w:szCs w:val="18"/>
                <w:lang w:eastAsia="hr-HR"/>
              </w:rPr>
              <w:t>0</w:t>
            </w:r>
          </w:p>
        </w:tc>
        <w:tc>
          <w:tcPr>
            <w:tcW w:w="356" w:type="dxa"/>
            <w:tcBorders>
              <w:top w:val="nil"/>
              <w:left w:val="nil"/>
              <w:bottom w:val="single" w:sz="4" w:space="0" w:color="auto"/>
              <w:right w:val="single" w:sz="4" w:space="0" w:color="auto"/>
            </w:tcBorders>
            <w:shd w:val="clear" w:color="000000" w:fill="FFFF99"/>
            <w:noWrap/>
            <w:vAlign w:val="bottom"/>
            <w:hideMark/>
          </w:tcPr>
          <w:p w14:paraId="44DF4E35" w14:textId="77777777" w:rsidR="003D0C85" w:rsidRPr="003D0C85" w:rsidRDefault="003D0C85" w:rsidP="003D0C85">
            <w:pPr>
              <w:spacing w:after="0" w:line="240" w:lineRule="auto"/>
              <w:jc w:val="right"/>
              <w:rPr>
                <w:rFonts w:ascii="Calibri" w:eastAsia="Times New Roman" w:hAnsi="Calibri" w:cs="Calibri"/>
                <w:sz w:val="18"/>
                <w:szCs w:val="18"/>
                <w:lang w:eastAsia="hr-HR"/>
              </w:rPr>
            </w:pPr>
            <w:r w:rsidRPr="003D0C85">
              <w:rPr>
                <w:rFonts w:ascii="Calibri" w:eastAsia="Times New Roman" w:hAnsi="Calibri" w:cs="Calibri"/>
                <w:sz w:val="18"/>
                <w:szCs w:val="18"/>
                <w:lang w:eastAsia="hr-HR"/>
              </w:rPr>
              <w:t>0</w:t>
            </w:r>
          </w:p>
        </w:tc>
        <w:tc>
          <w:tcPr>
            <w:tcW w:w="447" w:type="dxa"/>
            <w:gridSpan w:val="2"/>
            <w:tcBorders>
              <w:top w:val="nil"/>
              <w:left w:val="nil"/>
              <w:bottom w:val="single" w:sz="4" w:space="0" w:color="auto"/>
              <w:right w:val="single" w:sz="4" w:space="0" w:color="auto"/>
            </w:tcBorders>
            <w:shd w:val="clear" w:color="000000" w:fill="FF9900"/>
            <w:noWrap/>
            <w:vAlign w:val="bottom"/>
            <w:hideMark/>
          </w:tcPr>
          <w:p w14:paraId="45C81D6C" w14:textId="77777777" w:rsidR="003D0C85" w:rsidRPr="003D0C85" w:rsidRDefault="003D0C85" w:rsidP="003D0C85">
            <w:pPr>
              <w:spacing w:after="0" w:line="240" w:lineRule="auto"/>
              <w:jc w:val="right"/>
              <w:rPr>
                <w:rFonts w:ascii="Calibri" w:eastAsia="Times New Roman" w:hAnsi="Calibri" w:cs="Calibri"/>
                <w:sz w:val="18"/>
                <w:szCs w:val="18"/>
                <w:lang w:eastAsia="hr-HR"/>
              </w:rPr>
            </w:pPr>
            <w:r w:rsidRPr="003D0C85">
              <w:rPr>
                <w:rFonts w:ascii="Calibri" w:eastAsia="Times New Roman" w:hAnsi="Calibri" w:cs="Calibri"/>
                <w:sz w:val="18"/>
                <w:szCs w:val="18"/>
                <w:lang w:eastAsia="hr-HR"/>
              </w:rPr>
              <w:t>0</w:t>
            </w:r>
          </w:p>
        </w:tc>
        <w:tc>
          <w:tcPr>
            <w:tcW w:w="447" w:type="dxa"/>
            <w:tcBorders>
              <w:top w:val="nil"/>
              <w:left w:val="nil"/>
              <w:bottom w:val="single" w:sz="4" w:space="0" w:color="auto"/>
              <w:right w:val="single" w:sz="4" w:space="0" w:color="auto"/>
            </w:tcBorders>
            <w:shd w:val="clear" w:color="000000" w:fill="FF9900"/>
            <w:noWrap/>
            <w:vAlign w:val="bottom"/>
            <w:hideMark/>
          </w:tcPr>
          <w:p w14:paraId="291D8DBB" w14:textId="77777777" w:rsidR="003D0C85" w:rsidRPr="003D0C85" w:rsidRDefault="003D0C85" w:rsidP="003D0C85">
            <w:pPr>
              <w:spacing w:after="0" w:line="240" w:lineRule="auto"/>
              <w:jc w:val="right"/>
              <w:rPr>
                <w:rFonts w:ascii="Calibri" w:eastAsia="Times New Roman" w:hAnsi="Calibri" w:cs="Calibri"/>
                <w:sz w:val="18"/>
                <w:szCs w:val="18"/>
                <w:lang w:eastAsia="hr-HR"/>
              </w:rPr>
            </w:pPr>
            <w:r w:rsidRPr="003D0C85">
              <w:rPr>
                <w:rFonts w:ascii="Calibri" w:eastAsia="Times New Roman" w:hAnsi="Calibri" w:cs="Calibri"/>
                <w:sz w:val="18"/>
                <w:szCs w:val="18"/>
                <w:lang w:eastAsia="hr-HR"/>
              </w:rPr>
              <w:t>0</w:t>
            </w:r>
          </w:p>
        </w:tc>
        <w:tc>
          <w:tcPr>
            <w:tcW w:w="447" w:type="dxa"/>
            <w:tcBorders>
              <w:top w:val="nil"/>
              <w:left w:val="nil"/>
              <w:bottom w:val="single" w:sz="4" w:space="0" w:color="auto"/>
              <w:right w:val="single" w:sz="4" w:space="0" w:color="auto"/>
            </w:tcBorders>
            <w:shd w:val="clear" w:color="000000" w:fill="FF9900"/>
            <w:noWrap/>
            <w:vAlign w:val="bottom"/>
            <w:hideMark/>
          </w:tcPr>
          <w:p w14:paraId="6DD2FC13" w14:textId="77777777" w:rsidR="003D0C85" w:rsidRPr="003D0C85" w:rsidRDefault="003D0C85" w:rsidP="003D0C85">
            <w:pPr>
              <w:spacing w:after="0" w:line="240" w:lineRule="auto"/>
              <w:jc w:val="right"/>
              <w:rPr>
                <w:rFonts w:ascii="Calibri" w:eastAsia="Times New Roman" w:hAnsi="Calibri" w:cs="Calibri"/>
                <w:sz w:val="18"/>
                <w:szCs w:val="18"/>
                <w:lang w:eastAsia="hr-HR"/>
              </w:rPr>
            </w:pPr>
            <w:r w:rsidRPr="003D0C85">
              <w:rPr>
                <w:rFonts w:ascii="Calibri" w:eastAsia="Times New Roman" w:hAnsi="Calibri" w:cs="Calibri"/>
                <w:sz w:val="18"/>
                <w:szCs w:val="18"/>
                <w:lang w:eastAsia="hr-HR"/>
              </w:rPr>
              <w:t>1</w:t>
            </w:r>
          </w:p>
        </w:tc>
        <w:tc>
          <w:tcPr>
            <w:tcW w:w="475" w:type="dxa"/>
            <w:tcBorders>
              <w:top w:val="nil"/>
              <w:left w:val="nil"/>
              <w:bottom w:val="single" w:sz="4" w:space="0" w:color="auto"/>
              <w:right w:val="single" w:sz="4" w:space="0" w:color="auto"/>
            </w:tcBorders>
            <w:shd w:val="clear" w:color="auto" w:fill="auto"/>
            <w:vAlign w:val="bottom"/>
            <w:hideMark/>
          </w:tcPr>
          <w:p w14:paraId="521D4722" w14:textId="77777777" w:rsidR="003D0C85" w:rsidRPr="003D0C85" w:rsidRDefault="003D0C85" w:rsidP="003D0C85">
            <w:pPr>
              <w:spacing w:after="0" w:line="240" w:lineRule="auto"/>
              <w:jc w:val="right"/>
              <w:rPr>
                <w:rFonts w:ascii="Calibri" w:eastAsia="Times New Roman" w:hAnsi="Calibri" w:cs="Calibri"/>
                <w:b/>
                <w:bCs/>
                <w:sz w:val="18"/>
                <w:szCs w:val="18"/>
                <w:lang w:eastAsia="hr-HR"/>
              </w:rPr>
            </w:pPr>
            <w:r w:rsidRPr="003D0C85">
              <w:rPr>
                <w:rFonts w:ascii="Calibri" w:eastAsia="Times New Roman" w:hAnsi="Calibri" w:cs="Calibri"/>
                <w:b/>
                <w:bCs/>
                <w:sz w:val="18"/>
                <w:szCs w:val="18"/>
                <w:lang w:eastAsia="hr-HR"/>
              </w:rPr>
              <w:t>1</w:t>
            </w:r>
          </w:p>
        </w:tc>
        <w:tc>
          <w:tcPr>
            <w:tcW w:w="447" w:type="dxa"/>
            <w:gridSpan w:val="2"/>
            <w:tcBorders>
              <w:top w:val="nil"/>
              <w:left w:val="nil"/>
              <w:bottom w:val="single" w:sz="4" w:space="0" w:color="auto"/>
              <w:right w:val="single" w:sz="4" w:space="0" w:color="auto"/>
            </w:tcBorders>
            <w:shd w:val="clear" w:color="000000" w:fill="FFFF00"/>
            <w:noWrap/>
            <w:vAlign w:val="bottom"/>
            <w:hideMark/>
          </w:tcPr>
          <w:p w14:paraId="483EC249" w14:textId="77777777" w:rsidR="003D0C85" w:rsidRPr="003D0C85" w:rsidRDefault="003D0C85" w:rsidP="003D0C85">
            <w:pPr>
              <w:spacing w:after="0" w:line="240" w:lineRule="auto"/>
              <w:jc w:val="right"/>
              <w:rPr>
                <w:rFonts w:ascii="Calibri" w:eastAsia="Times New Roman" w:hAnsi="Calibri" w:cs="Calibri"/>
                <w:sz w:val="18"/>
                <w:szCs w:val="18"/>
                <w:lang w:eastAsia="hr-HR"/>
              </w:rPr>
            </w:pPr>
            <w:r w:rsidRPr="003D0C85">
              <w:rPr>
                <w:rFonts w:ascii="Calibri" w:eastAsia="Times New Roman" w:hAnsi="Calibri" w:cs="Calibri"/>
                <w:sz w:val="18"/>
                <w:szCs w:val="18"/>
                <w:lang w:eastAsia="hr-HR"/>
              </w:rPr>
              <w:t>0</w:t>
            </w:r>
          </w:p>
        </w:tc>
        <w:tc>
          <w:tcPr>
            <w:tcW w:w="447" w:type="dxa"/>
            <w:tcBorders>
              <w:top w:val="nil"/>
              <w:left w:val="nil"/>
              <w:bottom w:val="single" w:sz="4" w:space="0" w:color="auto"/>
              <w:right w:val="single" w:sz="4" w:space="0" w:color="auto"/>
            </w:tcBorders>
            <w:shd w:val="clear" w:color="000000" w:fill="FFFF00"/>
            <w:noWrap/>
            <w:vAlign w:val="bottom"/>
            <w:hideMark/>
          </w:tcPr>
          <w:p w14:paraId="2AB049AE" w14:textId="77777777" w:rsidR="003D0C85" w:rsidRPr="003D0C85" w:rsidRDefault="003D0C85" w:rsidP="003D0C85">
            <w:pPr>
              <w:spacing w:after="0" w:line="240" w:lineRule="auto"/>
              <w:jc w:val="right"/>
              <w:rPr>
                <w:rFonts w:ascii="Calibri" w:eastAsia="Times New Roman" w:hAnsi="Calibri" w:cs="Calibri"/>
                <w:sz w:val="18"/>
                <w:szCs w:val="18"/>
                <w:lang w:eastAsia="hr-HR"/>
              </w:rPr>
            </w:pPr>
            <w:r w:rsidRPr="003D0C85">
              <w:rPr>
                <w:rFonts w:ascii="Calibri" w:eastAsia="Times New Roman" w:hAnsi="Calibri" w:cs="Calibri"/>
                <w:sz w:val="18"/>
                <w:szCs w:val="18"/>
                <w:lang w:eastAsia="hr-HR"/>
              </w:rPr>
              <w:t>0</w:t>
            </w:r>
          </w:p>
        </w:tc>
        <w:tc>
          <w:tcPr>
            <w:tcW w:w="521" w:type="dxa"/>
            <w:tcBorders>
              <w:top w:val="nil"/>
              <w:left w:val="nil"/>
              <w:bottom w:val="single" w:sz="4" w:space="0" w:color="auto"/>
              <w:right w:val="single" w:sz="4" w:space="0" w:color="auto"/>
            </w:tcBorders>
            <w:shd w:val="clear" w:color="000000" w:fill="FFFF00"/>
            <w:noWrap/>
            <w:vAlign w:val="bottom"/>
            <w:hideMark/>
          </w:tcPr>
          <w:p w14:paraId="480765E9" w14:textId="77777777" w:rsidR="003D0C85" w:rsidRPr="003D0C85" w:rsidRDefault="003D0C85" w:rsidP="003D0C85">
            <w:pPr>
              <w:spacing w:after="0" w:line="240" w:lineRule="auto"/>
              <w:jc w:val="right"/>
              <w:rPr>
                <w:rFonts w:ascii="Calibri" w:eastAsia="Times New Roman" w:hAnsi="Calibri" w:cs="Calibri"/>
                <w:sz w:val="18"/>
                <w:szCs w:val="18"/>
                <w:lang w:eastAsia="hr-HR"/>
              </w:rPr>
            </w:pPr>
            <w:r w:rsidRPr="003D0C85">
              <w:rPr>
                <w:rFonts w:ascii="Calibri" w:eastAsia="Times New Roman" w:hAnsi="Calibri" w:cs="Calibri"/>
                <w:sz w:val="18"/>
                <w:szCs w:val="18"/>
                <w:lang w:eastAsia="hr-HR"/>
              </w:rPr>
              <w:t>0</w:t>
            </w:r>
          </w:p>
        </w:tc>
        <w:tc>
          <w:tcPr>
            <w:tcW w:w="446" w:type="dxa"/>
            <w:tcBorders>
              <w:top w:val="nil"/>
              <w:left w:val="nil"/>
              <w:bottom w:val="single" w:sz="4" w:space="0" w:color="auto"/>
              <w:right w:val="single" w:sz="4" w:space="0" w:color="auto"/>
            </w:tcBorders>
            <w:shd w:val="clear" w:color="auto" w:fill="auto"/>
            <w:vAlign w:val="bottom"/>
            <w:hideMark/>
          </w:tcPr>
          <w:p w14:paraId="5EDD8358" w14:textId="77777777" w:rsidR="003D0C85" w:rsidRPr="003D0C85" w:rsidRDefault="003D0C85" w:rsidP="003D0C85">
            <w:pPr>
              <w:spacing w:after="0" w:line="240" w:lineRule="auto"/>
              <w:jc w:val="right"/>
              <w:rPr>
                <w:rFonts w:ascii="Calibri" w:eastAsia="Times New Roman" w:hAnsi="Calibri" w:cs="Calibri"/>
                <w:b/>
                <w:bCs/>
                <w:sz w:val="18"/>
                <w:szCs w:val="18"/>
                <w:lang w:eastAsia="hr-HR"/>
              </w:rPr>
            </w:pPr>
            <w:r w:rsidRPr="003D0C85">
              <w:rPr>
                <w:rFonts w:ascii="Calibri" w:eastAsia="Times New Roman" w:hAnsi="Calibri" w:cs="Calibri"/>
                <w:b/>
                <w:bCs/>
                <w:sz w:val="18"/>
                <w:szCs w:val="18"/>
                <w:lang w:eastAsia="hr-HR"/>
              </w:rPr>
              <w:t>0</w:t>
            </w:r>
          </w:p>
        </w:tc>
        <w:tc>
          <w:tcPr>
            <w:tcW w:w="792" w:type="dxa"/>
            <w:gridSpan w:val="2"/>
            <w:tcBorders>
              <w:top w:val="nil"/>
              <w:left w:val="nil"/>
              <w:bottom w:val="single" w:sz="4" w:space="0" w:color="auto"/>
              <w:right w:val="single" w:sz="4" w:space="0" w:color="auto"/>
            </w:tcBorders>
            <w:shd w:val="clear" w:color="000000" w:fill="FFFF00"/>
            <w:vAlign w:val="bottom"/>
            <w:hideMark/>
          </w:tcPr>
          <w:p w14:paraId="7304AFCA" w14:textId="77777777" w:rsidR="003D0C85" w:rsidRPr="003D0C85" w:rsidRDefault="003D0C85" w:rsidP="003D0C85">
            <w:pPr>
              <w:spacing w:after="0" w:line="240" w:lineRule="auto"/>
              <w:jc w:val="right"/>
              <w:rPr>
                <w:rFonts w:ascii="Calibri" w:eastAsia="Times New Roman" w:hAnsi="Calibri" w:cs="Calibri"/>
                <w:b/>
                <w:bCs/>
                <w:sz w:val="18"/>
                <w:szCs w:val="18"/>
                <w:lang w:eastAsia="hr-HR"/>
              </w:rPr>
            </w:pPr>
            <w:r w:rsidRPr="003D0C85">
              <w:rPr>
                <w:rFonts w:ascii="Calibri" w:eastAsia="Times New Roman" w:hAnsi="Calibri" w:cs="Calibri"/>
                <w:b/>
                <w:bCs/>
                <w:sz w:val="18"/>
                <w:szCs w:val="18"/>
                <w:lang w:eastAsia="hr-HR"/>
              </w:rPr>
              <w:t>1</w:t>
            </w:r>
          </w:p>
        </w:tc>
        <w:tc>
          <w:tcPr>
            <w:tcW w:w="507" w:type="dxa"/>
            <w:gridSpan w:val="2"/>
            <w:tcBorders>
              <w:top w:val="nil"/>
              <w:left w:val="nil"/>
              <w:bottom w:val="single" w:sz="4" w:space="0" w:color="auto"/>
              <w:right w:val="single" w:sz="4" w:space="0" w:color="auto"/>
            </w:tcBorders>
            <w:shd w:val="clear" w:color="000000" w:fill="FF9900"/>
            <w:noWrap/>
            <w:vAlign w:val="bottom"/>
            <w:hideMark/>
          </w:tcPr>
          <w:p w14:paraId="15D8DD02" w14:textId="77777777" w:rsidR="003D0C85" w:rsidRPr="003D0C85" w:rsidRDefault="003D0C85" w:rsidP="003D0C85">
            <w:pPr>
              <w:spacing w:after="0" w:line="240" w:lineRule="auto"/>
              <w:jc w:val="right"/>
              <w:rPr>
                <w:rFonts w:ascii="Calibri" w:eastAsia="Times New Roman" w:hAnsi="Calibri" w:cs="Calibri"/>
                <w:sz w:val="18"/>
                <w:szCs w:val="18"/>
                <w:lang w:eastAsia="hr-HR"/>
              </w:rPr>
            </w:pPr>
            <w:r w:rsidRPr="003D0C85">
              <w:rPr>
                <w:rFonts w:ascii="Calibri" w:eastAsia="Times New Roman" w:hAnsi="Calibri" w:cs="Calibri"/>
                <w:sz w:val="18"/>
                <w:szCs w:val="18"/>
                <w:lang w:eastAsia="hr-HR"/>
              </w:rPr>
              <w:t>0</w:t>
            </w:r>
          </w:p>
        </w:tc>
        <w:tc>
          <w:tcPr>
            <w:tcW w:w="244" w:type="dxa"/>
            <w:tcBorders>
              <w:top w:val="nil"/>
              <w:left w:val="nil"/>
              <w:bottom w:val="single" w:sz="4" w:space="0" w:color="auto"/>
              <w:right w:val="single" w:sz="4" w:space="0" w:color="auto"/>
            </w:tcBorders>
            <w:shd w:val="clear" w:color="000000" w:fill="CCFFFF"/>
            <w:noWrap/>
            <w:vAlign w:val="bottom"/>
            <w:hideMark/>
          </w:tcPr>
          <w:p w14:paraId="3BA35CAF" w14:textId="77777777" w:rsidR="003D0C85" w:rsidRPr="003D0C85" w:rsidRDefault="003D0C85" w:rsidP="003D0C85">
            <w:pPr>
              <w:spacing w:after="0" w:line="240" w:lineRule="auto"/>
              <w:jc w:val="right"/>
              <w:rPr>
                <w:rFonts w:ascii="Calibri" w:eastAsia="Times New Roman" w:hAnsi="Calibri" w:cs="Calibri"/>
                <w:sz w:val="18"/>
                <w:szCs w:val="18"/>
                <w:lang w:eastAsia="hr-HR"/>
              </w:rPr>
            </w:pPr>
            <w:r w:rsidRPr="003D0C85">
              <w:rPr>
                <w:rFonts w:ascii="Calibri" w:eastAsia="Times New Roman" w:hAnsi="Calibri" w:cs="Calibri"/>
                <w:sz w:val="18"/>
                <w:szCs w:val="18"/>
                <w:lang w:eastAsia="hr-HR"/>
              </w:rPr>
              <w:t>0</w:t>
            </w:r>
          </w:p>
        </w:tc>
        <w:tc>
          <w:tcPr>
            <w:tcW w:w="425" w:type="dxa"/>
            <w:tcBorders>
              <w:top w:val="nil"/>
              <w:left w:val="nil"/>
              <w:bottom w:val="single" w:sz="4" w:space="0" w:color="auto"/>
              <w:right w:val="single" w:sz="4" w:space="0" w:color="auto"/>
            </w:tcBorders>
            <w:shd w:val="clear" w:color="000000" w:fill="CCFFFF"/>
            <w:noWrap/>
            <w:vAlign w:val="bottom"/>
            <w:hideMark/>
          </w:tcPr>
          <w:p w14:paraId="05277FF1" w14:textId="77777777" w:rsidR="003D0C85" w:rsidRPr="003D0C85" w:rsidRDefault="003D0C85" w:rsidP="003D0C85">
            <w:pPr>
              <w:spacing w:after="0" w:line="240" w:lineRule="auto"/>
              <w:jc w:val="right"/>
              <w:rPr>
                <w:rFonts w:ascii="Calibri" w:eastAsia="Times New Roman" w:hAnsi="Calibri" w:cs="Calibri"/>
                <w:sz w:val="18"/>
                <w:szCs w:val="18"/>
                <w:lang w:eastAsia="hr-HR"/>
              </w:rPr>
            </w:pPr>
            <w:r w:rsidRPr="003D0C85">
              <w:rPr>
                <w:rFonts w:ascii="Calibri" w:eastAsia="Times New Roman" w:hAnsi="Calibri" w:cs="Calibri"/>
                <w:sz w:val="18"/>
                <w:szCs w:val="18"/>
                <w:lang w:eastAsia="hr-HR"/>
              </w:rPr>
              <w:t>0</w:t>
            </w:r>
          </w:p>
        </w:tc>
        <w:tc>
          <w:tcPr>
            <w:tcW w:w="607" w:type="dxa"/>
            <w:tcBorders>
              <w:top w:val="nil"/>
              <w:left w:val="nil"/>
              <w:bottom w:val="single" w:sz="4" w:space="0" w:color="auto"/>
              <w:right w:val="single" w:sz="4" w:space="0" w:color="auto"/>
            </w:tcBorders>
            <w:shd w:val="clear" w:color="000000" w:fill="CCFFFF"/>
            <w:noWrap/>
            <w:vAlign w:val="bottom"/>
            <w:hideMark/>
          </w:tcPr>
          <w:p w14:paraId="5763F646" w14:textId="77777777" w:rsidR="003D0C85" w:rsidRPr="003D0C85" w:rsidRDefault="003D0C85" w:rsidP="003D0C85">
            <w:pPr>
              <w:spacing w:after="0" w:line="240" w:lineRule="auto"/>
              <w:jc w:val="right"/>
              <w:rPr>
                <w:rFonts w:ascii="Calibri" w:eastAsia="Times New Roman" w:hAnsi="Calibri" w:cs="Calibri"/>
                <w:sz w:val="18"/>
                <w:szCs w:val="18"/>
                <w:lang w:eastAsia="hr-HR"/>
              </w:rPr>
            </w:pPr>
            <w:r w:rsidRPr="003D0C85">
              <w:rPr>
                <w:rFonts w:ascii="Calibri" w:eastAsia="Times New Roman" w:hAnsi="Calibri" w:cs="Calibri"/>
                <w:sz w:val="18"/>
                <w:szCs w:val="18"/>
                <w:lang w:eastAsia="hr-HR"/>
              </w:rPr>
              <w:t>1</w:t>
            </w:r>
          </w:p>
        </w:tc>
        <w:tc>
          <w:tcPr>
            <w:tcW w:w="425" w:type="dxa"/>
            <w:gridSpan w:val="2"/>
            <w:tcBorders>
              <w:top w:val="nil"/>
              <w:left w:val="nil"/>
              <w:bottom w:val="single" w:sz="4" w:space="0" w:color="auto"/>
              <w:right w:val="nil"/>
            </w:tcBorders>
            <w:shd w:val="clear" w:color="000000" w:fill="33CCCC"/>
            <w:noWrap/>
            <w:vAlign w:val="bottom"/>
            <w:hideMark/>
          </w:tcPr>
          <w:p w14:paraId="30EBBE56" w14:textId="77777777" w:rsidR="003D0C85" w:rsidRPr="003D0C85" w:rsidRDefault="003D0C85" w:rsidP="003D0C85">
            <w:pPr>
              <w:spacing w:after="0" w:line="240" w:lineRule="auto"/>
              <w:jc w:val="right"/>
              <w:rPr>
                <w:rFonts w:ascii="Calibri" w:eastAsia="Times New Roman" w:hAnsi="Calibri" w:cs="Calibri"/>
                <w:sz w:val="18"/>
                <w:szCs w:val="18"/>
                <w:lang w:eastAsia="hr-HR"/>
              </w:rPr>
            </w:pPr>
            <w:r w:rsidRPr="003D0C85">
              <w:rPr>
                <w:rFonts w:ascii="Calibri" w:eastAsia="Times New Roman" w:hAnsi="Calibri" w:cs="Calibri"/>
                <w:sz w:val="18"/>
                <w:szCs w:val="18"/>
                <w:lang w:eastAsia="hr-HR"/>
              </w:rPr>
              <w:t>1</w:t>
            </w:r>
          </w:p>
        </w:tc>
        <w:tc>
          <w:tcPr>
            <w:tcW w:w="452" w:type="dxa"/>
            <w:gridSpan w:val="2"/>
            <w:tcBorders>
              <w:top w:val="nil"/>
              <w:left w:val="single" w:sz="4" w:space="0" w:color="auto"/>
              <w:bottom w:val="single" w:sz="4" w:space="0" w:color="auto"/>
              <w:right w:val="single" w:sz="8" w:space="0" w:color="auto"/>
            </w:tcBorders>
            <w:shd w:val="clear" w:color="000000" w:fill="33CCCC"/>
            <w:noWrap/>
            <w:vAlign w:val="bottom"/>
            <w:hideMark/>
          </w:tcPr>
          <w:p w14:paraId="5EF1BA17" w14:textId="77777777" w:rsidR="003D0C85" w:rsidRPr="003D0C85" w:rsidRDefault="003D0C85" w:rsidP="003D0C85">
            <w:pPr>
              <w:spacing w:after="0" w:line="240" w:lineRule="auto"/>
              <w:jc w:val="right"/>
              <w:rPr>
                <w:rFonts w:ascii="Calibri" w:eastAsia="Times New Roman" w:hAnsi="Calibri" w:cs="Calibri"/>
                <w:sz w:val="18"/>
                <w:szCs w:val="18"/>
                <w:lang w:eastAsia="hr-HR"/>
              </w:rPr>
            </w:pPr>
            <w:r w:rsidRPr="003D0C85">
              <w:rPr>
                <w:rFonts w:ascii="Calibri" w:eastAsia="Times New Roman" w:hAnsi="Calibri" w:cs="Calibri"/>
                <w:sz w:val="18"/>
                <w:szCs w:val="18"/>
                <w:lang w:eastAsia="hr-HR"/>
              </w:rPr>
              <w:t>0</w:t>
            </w:r>
          </w:p>
        </w:tc>
        <w:tc>
          <w:tcPr>
            <w:tcW w:w="236" w:type="dxa"/>
            <w:gridSpan w:val="3"/>
            <w:vAlign w:val="center"/>
            <w:hideMark/>
          </w:tcPr>
          <w:p w14:paraId="7A7CDDD1" w14:textId="77777777" w:rsidR="003D0C85" w:rsidRPr="003D0C85" w:rsidRDefault="003D0C85" w:rsidP="003D0C85">
            <w:pPr>
              <w:spacing w:after="0" w:line="240" w:lineRule="auto"/>
              <w:rPr>
                <w:rFonts w:ascii="Times New Roman" w:eastAsia="Times New Roman" w:hAnsi="Times New Roman" w:cs="Times New Roman"/>
                <w:sz w:val="18"/>
                <w:szCs w:val="18"/>
                <w:lang w:eastAsia="hr-HR"/>
              </w:rPr>
            </w:pPr>
          </w:p>
        </w:tc>
      </w:tr>
      <w:tr w:rsidR="00E72E51" w:rsidRPr="00E72E51" w14:paraId="1782F38C" w14:textId="77777777" w:rsidTr="00E72E51">
        <w:trPr>
          <w:trHeight w:val="315"/>
        </w:trPr>
        <w:tc>
          <w:tcPr>
            <w:tcW w:w="983" w:type="dxa"/>
            <w:tcBorders>
              <w:top w:val="single" w:sz="4" w:space="0" w:color="auto"/>
              <w:left w:val="single" w:sz="8" w:space="0" w:color="auto"/>
              <w:bottom w:val="single" w:sz="4" w:space="0" w:color="auto"/>
              <w:right w:val="single" w:sz="4" w:space="0" w:color="auto"/>
            </w:tcBorders>
            <w:shd w:val="clear" w:color="000000" w:fill="CCFFCC"/>
            <w:vAlign w:val="center"/>
            <w:hideMark/>
          </w:tcPr>
          <w:p w14:paraId="4BD7DAC1" w14:textId="77777777" w:rsidR="003D0C85" w:rsidRPr="003D0C85" w:rsidRDefault="003D0C85" w:rsidP="003D0C85">
            <w:pPr>
              <w:spacing w:after="0" w:line="240" w:lineRule="auto"/>
              <w:rPr>
                <w:rFonts w:ascii="Calibri" w:eastAsia="Times New Roman" w:hAnsi="Calibri" w:cs="Calibri"/>
                <w:sz w:val="18"/>
                <w:szCs w:val="18"/>
                <w:lang w:eastAsia="hr-HR"/>
              </w:rPr>
            </w:pPr>
            <w:r w:rsidRPr="003D0C85">
              <w:rPr>
                <w:rFonts w:ascii="Calibri" w:eastAsia="Times New Roman" w:hAnsi="Calibri" w:cs="Calibri"/>
                <w:sz w:val="18"/>
                <w:szCs w:val="18"/>
                <w:lang w:eastAsia="hr-HR"/>
              </w:rPr>
              <w:t>Socijalno podrijetlo</w:t>
            </w:r>
          </w:p>
        </w:tc>
        <w:tc>
          <w:tcPr>
            <w:tcW w:w="442" w:type="dxa"/>
            <w:tcBorders>
              <w:top w:val="nil"/>
              <w:left w:val="nil"/>
              <w:bottom w:val="single" w:sz="4" w:space="0" w:color="auto"/>
              <w:right w:val="single" w:sz="4" w:space="0" w:color="auto"/>
            </w:tcBorders>
            <w:shd w:val="clear" w:color="000000" w:fill="FFFF00"/>
            <w:vAlign w:val="bottom"/>
            <w:hideMark/>
          </w:tcPr>
          <w:p w14:paraId="32EFF16F" w14:textId="77777777" w:rsidR="003D0C85" w:rsidRPr="003D0C85" w:rsidRDefault="003D0C85" w:rsidP="003D0C85">
            <w:pPr>
              <w:spacing w:after="0" w:line="240" w:lineRule="auto"/>
              <w:jc w:val="right"/>
              <w:rPr>
                <w:rFonts w:ascii="Calibri" w:eastAsia="Times New Roman" w:hAnsi="Calibri" w:cs="Calibri"/>
                <w:b/>
                <w:bCs/>
                <w:sz w:val="18"/>
                <w:szCs w:val="18"/>
                <w:lang w:eastAsia="hr-HR"/>
              </w:rPr>
            </w:pPr>
            <w:r w:rsidRPr="003D0C85">
              <w:rPr>
                <w:rFonts w:ascii="Calibri" w:eastAsia="Times New Roman" w:hAnsi="Calibri" w:cs="Calibri"/>
                <w:b/>
                <w:bCs/>
                <w:sz w:val="18"/>
                <w:szCs w:val="18"/>
                <w:lang w:eastAsia="hr-HR"/>
              </w:rPr>
              <w:t>0</w:t>
            </w:r>
          </w:p>
        </w:tc>
        <w:tc>
          <w:tcPr>
            <w:tcW w:w="443" w:type="dxa"/>
            <w:tcBorders>
              <w:top w:val="nil"/>
              <w:left w:val="nil"/>
              <w:bottom w:val="single" w:sz="4" w:space="0" w:color="auto"/>
              <w:right w:val="single" w:sz="4" w:space="0" w:color="auto"/>
            </w:tcBorders>
            <w:shd w:val="clear" w:color="000000" w:fill="FFCC99"/>
            <w:noWrap/>
            <w:vAlign w:val="bottom"/>
            <w:hideMark/>
          </w:tcPr>
          <w:p w14:paraId="3A0E0891" w14:textId="77777777" w:rsidR="003D0C85" w:rsidRPr="003D0C85" w:rsidRDefault="003D0C85" w:rsidP="003D0C85">
            <w:pPr>
              <w:spacing w:after="0" w:line="240" w:lineRule="auto"/>
              <w:jc w:val="right"/>
              <w:rPr>
                <w:rFonts w:ascii="Calibri" w:eastAsia="Times New Roman" w:hAnsi="Calibri" w:cs="Calibri"/>
                <w:sz w:val="18"/>
                <w:szCs w:val="18"/>
                <w:lang w:eastAsia="hr-HR"/>
              </w:rPr>
            </w:pPr>
            <w:r w:rsidRPr="003D0C85">
              <w:rPr>
                <w:rFonts w:ascii="Calibri" w:eastAsia="Times New Roman" w:hAnsi="Calibri" w:cs="Calibri"/>
                <w:sz w:val="18"/>
                <w:szCs w:val="18"/>
                <w:lang w:eastAsia="hr-HR"/>
              </w:rPr>
              <w:t>0</w:t>
            </w:r>
          </w:p>
        </w:tc>
        <w:tc>
          <w:tcPr>
            <w:tcW w:w="316" w:type="dxa"/>
            <w:tcBorders>
              <w:top w:val="nil"/>
              <w:left w:val="nil"/>
              <w:bottom w:val="single" w:sz="4" w:space="0" w:color="auto"/>
              <w:right w:val="single" w:sz="4" w:space="0" w:color="auto"/>
            </w:tcBorders>
            <w:shd w:val="clear" w:color="000000" w:fill="CCFFFF"/>
            <w:vAlign w:val="bottom"/>
            <w:hideMark/>
          </w:tcPr>
          <w:p w14:paraId="476B62F7" w14:textId="77777777" w:rsidR="003D0C85" w:rsidRPr="003D0C85" w:rsidRDefault="003D0C85" w:rsidP="003D0C85">
            <w:pPr>
              <w:spacing w:after="0" w:line="240" w:lineRule="auto"/>
              <w:jc w:val="right"/>
              <w:rPr>
                <w:rFonts w:ascii="Calibri" w:eastAsia="Times New Roman" w:hAnsi="Calibri" w:cs="Calibri"/>
                <w:sz w:val="18"/>
                <w:szCs w:val="18"/>
                <w:lang w:eastAsia="hr-HR"/>
              </w:rPr>
            </w:pPr>
            <w:r w:rsidRPr="003D0C85">
              <w:rPr>
                <w:rFonts w:ascii="Calibri" w:eastAsia="Times New Roman" w:hAnsi="Calibri" w:cs="Calibri"/>
                <w:sz w:val="18"/>
                <w:szCs w:val="18"/>
                <w:lang w:eastAsia="hr-HR"/>
              </w:rPr>
              <w:t>0</w:t>
            </w:r>
          </w:p>
        </w:tc>
        <w:tc>
          <w:tcPr>
            <w:tcW w:w="452" w:type="dxa"/>
            <w:tcBorders>
              <w:top w:val="nil"/>
              <w:left w:val="nil"/>
              <w:bottom w:val="single" w:sz="4" w:space="0" w:color="auto"/>
              <w:right w:val="single" w:sz="4" w:space="0" w:color="auto"/>
            </w:tcBorders>
            <w:shd w:val="clear" w:color="000000" w:fill="CCFFFF"/>
            <w:vAlign w:val="bottom"/>
            <w:hideMark/>
          </w:tcPr>
          <w:p w14:paraId="7DC071B9" w14:textId="77777777" w:rsidR="003D0C85" w:rsidRPr="003D0C85" w:rsidRDefault="003D0C85" w:rsidP="003D0C85">
            <w:pPr>
              <w:spacing w:after="0" w:line="240" w:lineRule="auto"/>
              <w:jc w:val="right"/>
              <w:rPr>
                <w:rFonts w:ascii="Calibri" w:eastAsia="Times New Roman" w:hAnsi="Calibri" w:cs="Calibri"/>
                <w:sz w:val="18"/>
                <w:szCs w:val="18"/>
                <w:lang w:eastAsia="hr-HR"/>
              </w:rPr>
            </w:pPr>
            <w:r w:rsidRPr="003D0C85">
              <w:rPr>
                <w:rFonts w:ascii="Calibri" w:eastAsia="Times New Roman" w:hAnsi="Calibri" w:cs="Calibri"/>
                <w:sz w:val="18"/>
                <w:szCs w:val="18"/>
                <w:lang w:eastAsia="hr-HR"/>
              </w:rPr>
              <w:t>0</w:t>
            </w:r>
          </w:p>
        </w:tc>
        <w:tc>
          <w:tcPr>
            <w:tcW w:w="491" w:type="dxa"/>
            <w:gridSpan w:val="2"/>
            <w:tcBorders>
              <w:top w:val="nil"/>
              <w:left w:val="nil"/>
              <w:bottom w:val="single" w:sz="4" w:space="0" w:color="auto"/>
              <w:right w:val="single" w:sz="4" w:space="0" w:color="auto"/>
            </w:tcBorders>
            <w:shd w:val="clear" w:color="000000" w:fill="FFFF99"/>
            <w:noWrap/>
            <w:vAlign w:val="bottom"/>
            <w:hideMark/>
          </w:tcPr>
          <w:p w14:paraId="5AD7B7CC" w14:textId="77777777" w:rsidR="003D0C85" w:rsidRPr="003D0C85" w:rsidRDefault="003D0C85" w:rsidP="003D0C85">
            <w:pPr>
              <w:spacing w:after="0" w:line="240" w:lineRule="auto"/>
              <w:jc w:val="right"/>
              <w:rPr>
                <w:rFonts w:ascii="Calibri" w:eastAsia="Times New Roman" w:hAnsi="Calibri" w:cs="Calibri"/>
                <w:sz w:val="18"/>
                <w:szCs w:val="18"/>
                <w:lang w:eastAsia="hr-HR"/>
              </w:rPr>
            </w:pPr>
            <w:r w:rsidRPr="003D0C85">
              <w:rPr>
                <w:rFonts w:ascii="Calibri" w:eastAsia="Times New Roman" w:hAnsi="Calibri" w:cs="Calibri"/>
                <w:sz w:val="18"/>
                <w:szCs w:val="18"/>
                <w:lang w:eastAsia="hr-HR"/>
              </w:rPr>
              <w:t>0</w:t>
            </w:r>
          </w:p>
        </w:tc>
        <w:tc>
          <w:tcPr>
            <w:tcW w:w="447" w:type="dxa"/>
            <w:tcBorders>
              <w:top w:val="nil"/>
              <w:left w:val="nil"/>
              <w:bottom w:val="single" w:sz="4" w:space="0" w:color="auto"/>
              <w:right w:val="single" w:sz="4" w:space="0" w:color="auto"/>
            </w:tcBorders>
            <w:shd w:val="clear" w:color="000000" w:fill="FFFF99"/>
            <w:noWrap/>
            <w:vAlign w:val="bottom"/>
            <w:hideMark/>
          </w:tcPr>
          <w:p w14:paraId="20B2F50A" w14:textId="77777777" w:rsidR="003D0C85" w:rsidRPr="003D0C85" w:rsidRDefault="003D0C85" w:rsidP="003D0C85">
            <w:pPr>
              <w:spacing w:after="0" w:line="240" w:lineRule="auto"/>
              <w:jc w:val="right"/>
              <w:rPr>
                <w:rFonts w:ascii="Calibri" w:eastAsia="Times New Roman" w:hAnsi="Calibri" w:cs="Calibri"/>
                <w:sz w:val="18"/>
                <w:szCs w:val="18"/>
                <w:lang w:eastAsia="hr-HR"/>
              </w:rPr>
            </w:pPr>
            <w:r w:rsidRPr="003D0C85">
              <w:rPr>
                <w:rFonts w:ascii="Calibri" w:eastAsia="Times New Roman" w:hAnsi="Calibri" w:cs="Calibri"/>
                <w:sz w:val="18"/>
                <w:szCs w:val="18"/>
                <w:lang w:eastAsia="hr-HR"/>
              </w:rPr>
              <w:t>0</w:t>
            </w:r>
          </w:p>
        </w:tc>
        <w:tc>
          <w:tcPr>
            <w:tcW w:w="495" w:type="dxa"/>
            <w:tcBorders>
              <w:top w:val="nil"/>
              <w:left w:val="nil"/>
              <w:bottom w:val="single" w:sz="4" w:space="0" w:color="auto"/>
              <w:right w:val="single" w:sz="4" w:space="0" w:color="auto"/>
            </w:tcBorders>
            <w:shd w:val="clear" w:color="000000" w:fill="FFFF99"/>
            <w:noWrap/>
            <w:vAlign w:val="bottom"/>
            <w:hideMark/>
          </w:tcPr>
          <w:p w14:paraId="0C6F31A4" w14:textId="77777777" w:rsidR="003D0C85" w:rsidRPr="003D0C85" w:rsidRDefault="003D0C85" w:rsidP="003D0C85">
            <w:pPr>
              <w:spacing w:after="0" w:line="240" w:lineRule="auto"/>
              <w:jc w:val="right"/>
              <w:rPr>
                <w:rFonts w:ascii="Calibri" w:eastAsia="Times New Roman" w:hAnsi="Calibri" w:cs="Calibri"/>
                <w:sz w:val="18"/>
                <w:szCs w:val="18"/>
                <w:lang w:eastAsia="hr-HR"/>
              </w:rPr>
            </w:pPr>
            <w:r w:rsidRPr="003D0C85">
              <w:rPr>
                <w:rFonts w:ascii="Calibri" w:eastAsia="Times New Roman" w:hAnsi="Calibri" w:cs="Calibri"/>
                <w:sz w:val="18"/>
                <w:szCs w:val="18"/>
                <w:lang w:eastAsia="hr-HR"/>
              </w:rPr>
              <w:t>0</w:t>
            </w:r>
          </w:p>
        </w:tc>
        <w:tc>
          <w:tcPr>
            <w:tcW w:w="451" w:type="dxa"/>
            <w:tcBorders>
              <w:top w:val="nil"/>
              <w:left w:val="nil"/>
              <w:bottom w:val="single" w:sz="4" w:space="0" w:color="auto"/>
              <w:right w:val="single" w:sz="4" w:space="0" w:color="auto"/>
            </w:tcBorders>
            <w:shd w:val="clear" w:color="000000" w:fill="FFFF99"/>
            <w:noWrap/>
            <w:vAlign w:val="bottom"/>
            <w:hideMark/>
          </w:tcPr>
          <w:p w14:paraId="20D00C1D" w14:textId="77777777" w:rsidR="003D0C85" w:rsidRPr="003D0C85" w:rsidRDefault="003D0C85" w:rsidP="003D0C85">
            <w:pPr>
              <w:spacing w:after="0" w:line="240" w:lineRule="auto"/>
              <w:jc w:val="right"/>
              <w:rPr>
                <w:rFonts w:ascii="Calibri" w:eastAsia="Times New Roman" w:hAnsi="Calibri" w:cs="Calibri"/>
                <w:sz w:val="18"/>
                <w:szCs w:val="18"/>
                <w:lang w:eastAsia="hr-HR"/>
              </w:rPr>
            </w:pPr>
            <w:r w:rsidRPr="003D0C85">
              <w:rPr>
                <w:rFonts w:ascii="Calibri" w:eastAsia="Times New Roman" w:hAnsi="Calibri" w:cs="Calibri"/>
                <w:sz w:val="18"/>
                <w:szCs w:val="18"/>
                <w:lang w:eastAsia="hr-HR"/>
              </w:rPr>
              <w:t>0</w:t>
            </w:r>
          </w:p>
        </w:tc>
        <w:tc>
          <w:tcPr>
            <w:tcW w:w="632" w:type="dxa"/>
            <w:gridSpan w:val="2"/>
            <w:tcBorders>
              <w:top w:val="nil"/>
              <w:left w:val="nil"/>
              <w:bottom w:val="single" w:sz="4" w:space="0" w:color="auto"/>
              <w:right w:val="single" w:sz="4" w:space="0" w:color="auto"/>
            </w:tcBorders>
            <w:shd w:val="clear" w:color="000000" w:fill="FFFF99"/>
            <w:noWrap/>
            <w:vAlign w:val="bottom"/>
            <w:hideMark/>
          </w:tcPr>
          <w:p w14:paraId="686D7C77" w14:textId="77777777" w:rsidR="003D0C85" w:rsidRPr="003D0C85" w:rsidRDefault="003D0C85" w:rsidP="003D0C85">
            <w:pPr>
              <w:spacing w:after="0" w:line="240" w:lineRule="auto"/>
              <w:jc w:val="right"/>
              <w:rPr>
                <w:rFonts w:ascii="Calibri" w:eastAsia="Times New Roman" w:hAnsi="Calibri" w:cs="Calibri"/>
                <w:sz w:val="18"/>
                <w:szCs w:val="18"/>
                <w:lang w:eastAsia="hr-HR"/>
              </w:rPr>
            </w:pPr>
            <w:r w:rsidRPr="003D0C85">
              <w:rPr>
                <w:rFonts w:ascii="Calibri" w:eastAsia="Times New Roman" w:hAnsi="Calibri" w:cs="Calibri"/>
                <w:sz w:val="18"/>
                <w:szCs w:val="18"/>
                <w:lang w:eastAsia="hr-HR"/>
              </w:rPr>
              <w:t>0</w:t>
            </w:r>
          </w:p>
        </w:tc>
        <w:tc>
          <w:tcPr>
            <w:tcW w:w="447" w:type="dxa"/>
            <w:tcBorders>
              <w:top w:val="nil"/>
              <w:left w:val="nil"/>
              <w:bottom w:val="single" w:sz="4" w:space="0" w:color="auto"/>
              <w:right w:val="single" w:sz="4" w:space="0" w:color="auto"/>
            </w:tcBorders>
            <w:shd w:val="clear" w:color="000000" w:fill="FFFF99"/>
            <w:noWrap/>
            <w:vAlign w:val="bottom"/>
            <w:hideMark/>
          </w:tcPr>
          <w:p w14:paraId="4B4CC975" w14:textId="77777777" w:rsidR="003D0C85" w:rsidRPr="003D0C85" w:rsidRDefault="003D0C85" w:rsidP="003D0C85">
            <w:pPr>
              <w:spacing w:after="0" w:line="240" w:lineRule="auto"/>
              <w:jc w:val="right"/>
              <w:rPr>
                <w:rFonts w:ascii="Calibri" w:eastAsia="Times New Roman" w:hAnsi="Calibri" w:cs="Calibri"/>
                <w:sz w:val="18"/>
                <w:szCs w:val="18"/>
                <w:lang w:eastAsia="hr-HR"/>
              </w:rPr>
            </w:pPr>
            <w:r w:rsidRPr="003D0C85">
              <w:rPr>
                <w:rFonts w:ascii="Calibri" w:eastAsia="Times New Roman" w:hAnsi="Calibri" w:cs="Calibri"/>
                <w:sz w:val="18"/>
                <w:szCs w:val="18"/>
                <w:lang w:eastAsia="hr-HR"/>
              </w:rPr>
              <w:t>0</w:t>
            </w:r>
          </w:p>
        </w:tc>
        <w:tc>
          <w:tcPr>
            <w:tcW w:w="543" w:type="dxa"/>
            <w:tcBorders>
              <w:top w:val="nil"/>
              <w:left w:val="nil"/>
              <w:bottom w:val="single" w:sz="4" w:space="0" w:color="auto"/>
              <w:right w:val="single" w:sz="4" w:space="0" w:color="auto"/>
            </w:tcBorders>
            <w:shd w:val="clear" w:color="000000" w:fill="FFFF99"/>
            <w:noWrap/>
            <w:vAlign w:val="bottom"/>
            <w:hideMark/>
          </w:tcPr>
          <w:p w14:paraId="5BD95A61" w14:textId="77777777" w:rsidR="003D0C85" w:rsidRPr="003D0C85" w:rsidRDefault="003D0C85" w:rsidP="003D0C85">
            <w:pPr>
              <w:spacing w:after="0" w:line="240" w:lineRule="auto"/>
              <w:jc w:val="right"/>
              <w:rPr>
                <w:rFonts w:ascii="Calibri" w:eastAsia="Times New Roman" w:hAnsi="Calibri" w:cs="Calibri"/>
                <w:sz w:val="18"/>
                <w:szCs w:val="18"/>
                <w:lang w:eastAsia="hr-HR"/>
              </w:rPr>
            </w:pPr>
            <w:r w:rsidRPr="003D0C85">
              <w:rPr>
                <w:rFonts w:ascii="Calibri" w:eastAsia="Times New Roman" w:hAnsi="Calibri" w:cs="Calibri"/>
                <w:sz w:val="18"/>
                <w:szCs w:val="18"/>
                <w:lang w:eastAsia="hr-HR"/>
              </w:rPr>
              <w:t>0</w:t>
            </w:r>
          </w:p>
        </w:tc>
        <w:tc>
          <w:tcPr>
            <w:tcW w:w="447" w:type="dxa"/>
            <w:tcBorders>
              <w:top w:val="nil"/>
              <w:left w:val="nil"/>
              <w:bottom w:val="single" w:sz="4" w:space="0" w:color="auto"/>
              <w:right w:val="single" w:sz="4" w:space="0" w:color="auto"/>
            </w:tcBorders>
            <w:shd w:val="clear" w:color="000000" w:fill="FFFF99"/>
            <w:noWrap/>
            <w:vAlign w:val="bottom"/>
            <w:hideMark/>
          </w:tcPr>
          <w:p w14:paraId="3C6D2304" w14:textId="77777777" w:rsidR="003D0C85" w:rsidRPr="003D0C85" w:rsidRDefault="003D0C85" w:rsidP="003D0C85">
            <w:pPr>
              <w:spacing w:after="0" w:line="240" w:lineRule="auto"/>
              <w:jc w:val="right"/>
              <w:rPr>
                <w:rFonts w:ascii="Calibri" w:eastAsia="Times New Roman" w:hAnsi="Calibri" w:cs="Calibri"/>
                <w:sz w:val="18"/>
                <w:szCs w:val="18"/>
                <w:lang w:eastAsia="hr-HR"/>
              </w:rPr>
            </w:pPr>
            <w:r w:rsidRPr="003D0C85">
              <w:rPr>
                <w:rFonts w:ascii="Calibri" w:eastAsia="Times New Roman" w:hAnsi="Calibri" w:cs="Calibri"/>
                <w:sz w:val="18"/>
                <w:szCs w:val="18"/>
                <w:lang w:eastAsia="hr-HR"/>
              </w:rPr>
              <w:t>0</w:t>
            </w:r>
          </w:p>
        </w:tc>
        <w:tc>
          <w:tcPr>
            <w:tcW w:w="543" w:type="dxa"/>
            <w:tcBorders>
              <w:top w:val="nil"/>
              <w:left w:val="nil"/>
              <w:bottom w:val="single" w:sz="4" w:space="0" w:color="auto"/>
              <w:right w:val="single" w:sz="4" w:space="0" w:color="auto"/>
            </w:tcBorders>
            <w:shd w:val="clear" w:color="000000" w:fill="FFFF99"/>
            <w:noWrap/>
            <w:vAlign w:val="bottom"/>
            <w:hideMark/>
          </w:tcPr>
          <w:p w14:paraId="41E519E2" w14:textId="77777777" w:rsidR="003D0C85" w:rsidRPr="003D0C85" w:rsidRDefault="003D0C85" w:rsidP="003D0C85">
            <w:pPr>
              <w:spacing w:after="0" w:line="240" w:lineRule="auto"/>
              <w:jc w:val="right"/>
              <w:rPr>
                <w:rFonts w:ascii="Calibri" w:eastAsia="Times New Roman" w:hAnsi="Calibri" w:cs="Calibri"/>
                <w:sz w:val="18"/>
                <w:szCs w:val="18"/>
                <w:lang w:eastAsia="hr-HR"/>
              </w:rPr>
            </w:pPr>
            <w:r w:rsidRPr="003D0C85">
              <w:rPr>
                <w:rFonts w:ascii="Calibri" w:eastAsia="Times New Roman" w:hAnsi="Calibri" w:cs="Calibri"/>
                <w:sz w:val="18"/>
                <w:szCs w:val="18"/>
                <w:lang w:eastAsia="hr-HR"/>
              </w:rPr>
              <w:t>0</w:t>
            </w:r>
          </w:p>
        </w:tc>
        <w:tc>
          <w:tcPr>
            <w:tcW w:w="356" w:type="dxa"/>
            <w:tcBorders>
              <w:top w:val="nil"/>
              <w:left w:val="nil"/>
              <w:bottom w:val="single" w:sz="4" w:space="0" w:color="auto"/>
              <w:right w:val="single" w:sz="4" w:space="0" w:color="auto"/>
            </w:tcBorders>
            <w:shd w:val="clear" w:color="000000" w:fill="FFFF99"/>
            <w:noWrap/>
            <w:vAlign w:val="bottom"/>
            <w:hideMark/>
          </w:tcPr>
          <w:p w14:paraId="0D1ECD3E" w14:textId="77777777" w:rsidR="003D0C85" w:rsidRPr="003D0C85" w:rsidRDefault="003D0C85" w:rsidP="003D0C85">
            <w:pPr>
              <w:spacing w:after="0" w:line="240" w:lineRule="auto"/>
              <w:jc w:val="right"/>
              <w:rPr>
                <w:rFonts w:ascii="Calibri" w:eastAsia="Times New Roman" w:hAnsi="Calibri" w:cs="Calibri"/>
                <w:sz w:val="18"/>
                <w:szCs w:val="18"/>
                <w:lang w:eastAsia="hr-HR"/>
              </w:rPr>
            </w:pPr>
            <w:r w:rsidRPr="003D0C85">
              <w:rPr>
                <w:rFonts w:ascii="Calibri" w:eastAsia="Times New Roman" w:hAnsi="Calibri" w:cs="Calibri"/>
                <w:sz w:val="18"/>
                <w:szCs w:val="18"/>
                <w:lang w:eastAsia="hr-HR"/>
              </w:rPr>
              <w:t>0</w:t>
            </w:r>
          </w:p>
        </w:tc>
        <w:tc>
          <w:tcPr>
            <w:tcW w:w="447" w:type="dxa"/>
            <w:gridSpan w:val="2"/>
            <w:tcBorders>
              <w:top w:val="nil"/>
              <w:left w:val="nil"/>
              <w:bottom w:val="single" w:sz="4" w:space="0" w:color="auto"/>
              <w:right w:val="single" w:sz="4" w:space="0" w:color="auto"/>
            </w:tcBorders>
            <w:shd w:val="clear" w:color="000000" w:fill="FF9900"/>
            <w:noWrap/>
            <w:vAlign w:val="bottom"/>
            <w:hideMark/>
          </w:tcPr>
          <w:p w14:paraId="71B48AB4" w14:textId="77777777" w:rsidR="003D0C85" w:rsidRPr="003D0C85" w:rsidRDefault="003D0C85" w:rsidP="003D0C85">
            <w:pPr>
              <w:spacing w:after="0" w:line="240" w:lineRule="auto"/>
              <w:jc w:val="right"/>
              <w:rPr>
                <w:rFonts w:ascii="Calibri" w:eastAsia="Times New Roman" w:hAnsi="Calibri" w:cs="Calibri"/>
                <w:sz w:val="18"/>
                <w:szCs w:val="18"/>
                <w:lang w:eastAsia="hr-HR"/>
              </w:rPr>
            </w:pPr>
            <w:r w:rsidRPr="003D0C85">
              <w:rPr>
                <w:rFonts w:ascii="Calibri" w:eastAsia="Times New Roman" w:hAnsi="Calibri" w:cs="Calibri"/>
                <w:sz w:val="18"/>
                <w:szCs w:val="18"/>
                <w:lang w:eastAsia="hr-HR"/>
              </w:rPr>
              <w:t>0</w:t>
            </w:r>
          </w:p>
        </w:tc>
        <w:tc>
          <w:tcPr>
            <w:tcW w:w="447" w:type="dxa"/>
            <w:tcBorders>
              <w:top w:val="nil"/>
              <w:left w:val="nil"/>
              <w:bottom w:val="single" w:sz="4" w:space="0" w:color="auto"/>
              <w:right w:val="single" w:sz="4" w:space="0" w:color="auto"/>
            </w:tcBorders>
            <w:shd w:val="clear" w:color="000000" w:fill="FF9900"/>
            <w:noWrap/>
            <w:vAlign w:val="bottom"/>
            <w:hideMark/>
          </w:tcPr>
          <w:p w14:paraId="363A0AA9" w14:textId="77777777" w:rsidR="003D0C85" w:rsidRPr="003D0C85" w:rsidRDefault="003D0C85" w:rsidP="003D0C85">
            <w:pPr>
              <w:spacing w:after="0" w:line="240" w:lineRule="auto"/>
              <w:jc w:val="right"/>
              <w:rPr>
                <w:rFonts w:ascii="Calibri" w:eastAsia="Times New Roman" w:hAnsi="Calibri" w:cs="Calibri"/>
                <w:sz w:val="18"/>
                <w:szCs w:val="18"/>
                <w:lang w:eastAsia="hr-HR"/>
              </w:rPr>
            </w:pPr>
            <w:r w:rsidRPr="003D0C85">
              <w:rPr>
                <w:rFonts w:ascii="Calibri" w:eastAsia="Times New Roman" w:hAnsi="Calibri" w:cs="Calibri"/>
                <w:sz w:val="18"/>
                <w:szCs w:val="18"/>
                <w:lang w:eastAsia="hr-HR"/>
              </w:rPr>
              <w:t>0</w:t>
            </w:r>
          </w:p>
        </w:tc>
        <w:tc>
          <w:tcPr>
            <w:tcW w:w="447" w:type="dxa"/>
            <w:tcBorders>
              <w:top w:val="nil"/>
              <w:left w:val="nil"/>
              <w:bottom w:val="single" w:sz="4" w:space="0" w:color="auto"/>
              <w:right w:val="single" w:sz="4" w:space="0" w:color="auto"/>
            </w:tcBorders>
            <w:shd w:val="clear" w:color="000000" w:fill="FF9900"/>
            <w:noWrap/>
            <w:vAlign w:val="bottom"/>
            <w:hideMark/>
          </w:tcPr>
          <w:p w14:paraId="6BB7C531" w14:textId="77777777" w:rsidR="003D0C85" w:rsidRPr="003D0C85" w:rsidRDefault="003D0C85" w:rsidP="003D0C85">
            <w:pPr>
              <w:spacing w:after="0" w:line="240" w:lineRule="auto"/>
              <w:jc w:val="right"/>
              <w:rPr>
                <w:rFonts w:ascii="Calibri" w:eastAsia="Times New Roman" w:hAnsi="Calibri" w:cs="Calibri"/>
                <w:sz w:val="18"/>
                <w:szCs w:val="18"/>
                <w:lang w:eastAsia="hr-HR"/>
              </w:rPr>
            </w:pPr>
            <w:r w:rsidRPr="003D0C85">
              <w:rPr>
                <w:rFonts w:ascii="Calibri" w:eastAsia="Times New Roman" w:hAnsi="Calibri" w:cs="Calibri"/>
                <w:sz w:val="18"/>
                <w:szCs w:val="18"/>
                <w:lang w:eastAsia="hr-HR"/>
              </w:rPr>
              <w:t>0</w:t>
            </w:r>
          </w:p>
        </w:tc>
        <w:tc>
          <w:tcPr>
            <w:tcW w:w="475" w:type="dxa"/>
            <w:tcBorders>
              <w:top w:val="nil"/>
              <w:left w:val="nil"/>
              <w:bottom w:val="single" w:sz="4" w:space="0" w:color="auto"/>
              <w:right w:val="single" w:sz="4" w:space="0" w:color="auto"/>
            </w:tcBorders>
            <w:shd w:val="clear" w:color="auto" w:fill="auto"/>
            <w:vAlign w:val="bottom"/>
            <w:hideMark/>
          </w:tcPr>
          <w:p w14:paraId="0414D3CD" w14:textId="77777777" w:rsidR="003D0C85" w:rsidRPr="003D0C85" w:rsidRDefault="003D0C85" w:rsidP="003D0C85">
            <w:pPr>
              <w:spacing w:after="0" w:line="240" w:lineRule="auto"/>
              <w:jc w:val="right"/>
              <w:rPr>
                <w:rFonts w:ascii="Calibri" w:eastAsia="Times New Roman" w:hAnsi="Calibri" w:cs="Calibri"/>
                <w:b/>
                <w:bCs/>
                <w:sz w:val="18"/>
                <w:szCs w:val="18"/>
                <w:lang w:eastAsia="hr-HR"/>
              </w:rPr>
            </w:pPr>
            <w:r w:rsidRPr="003D0C85">
              <w:rPr>
                <w:rFonts w:ascii="Calibri" w:eastAsia="Times New Roman" w:hAnsi="Calibri" w:cs="Calibri"/>
                <w:b/>
                <w:bCs/>
                <w:sz w:val="18"/>
                <w:szCs w:val="18"/>
                <w:lang w:eastAsia="hr-HR"/>
              </w:rPr>
              <w:t>0</w:t>
            </w:r>
          </w:p>
        </w:tc>
        <w:tc>
          <w:tcPr>
            <w:tcW w:w="447" w:type="dxa"/>
            <w:gridSpan w:val="2"/>
            <w:tcBorders>
              <w:top w:val="nil"/>
              <w:left w:val="nil"/>
              <w:bottom w:val="single" w:sz="4" w:space="0" w:color="auto"/>
              <w:right w:val="single" w:sz="4" w:space="0" w:color="auto"/>
            </w:tcBorders>
            <w:shd w:val="clear" w:color="000000" w:fill="FFFF00"/>
            <w:noWrap/>
            <w:vAlign w:val="bottom"/>
            <w:hideMark/>
          </w:tcPr>
          <w:p w14:paraId="2E0E21A3" w14:textId="77777777" w:rsidR="003D0C85" w:rsidRPr="003D0C85" w:rsidRDefault="003D0C85" w:rsidP="003D0C85">
            <w:pPr>
              <w:spacing w:after="0" w:line="240" w:lineRule="auto"/>
              <w:jc w:val="right"/>
              <w:rPr>
                <w:rFonts w:ascii="Calibri" w:eastAsia="Times New Roman" w:hAnsi="Calibri" w:cs="Calibri"/>
                <w:sz w:val="18"/>
                <w:szCs w:val="18"/>
                <w:lang w:eastAsia="hr-HR"/>
              </w:rPr>
            </w:pPr>
            <w:r w:rsidRPr="003D0C85">
              <w:rPr>
                <w:rFonts w:ascii="Calibri" w:eastAsia="Times New Roman" w:hAnsi="Calibri" w:cs="Calibri"/>
                <w:sz w:val="18"/>
                <w:szCs w:val="18"/>
                <w:lang w:eastAsia="hr-HR"/>
              </w:rPr>
              <w:t>0</w:t>
            </w:r>
          </w:p>
        </w:tc>
        <w:tc>
          <w:tcPr>
            <w:tcW w:w="447" w:type="dxa"/>
            <w:tcBorders>
              <w:top w:val="nil"/>
              <w:left w:val="nil"/>
              <w:bottom w:val="single" w:sz="4" w:space="0" w:color="auto"/>
              <w:right w:val="single" w:sz="4" w:space="0" w:color="auto"/>
            </w:tcBorders>
            <w:shd w:val="clear" w:color="000000" w:fill="FFFF00"/>
            <w:noWrap/>
            <w:vAlign w:val="bottom"/>
            <w:hideMark/>
          </w:tcPr>
          <w:p w14:paraId="6F2D2C99" w14:textId="77777777" w:rsidR="003D0C85" w:rsidRPr="003D0C85" w:rsidRDefault="003D0C85" w:rsidP="003D0C85">
            <w:pPr>
              <w:spacing w:after="0" w:line="240" w:lineRule="auto"/>
              <w:jc w:val="right"/>
              <w:rPr>
                <w:rFonts w:ascii="Calibri" w:eastAsia="Times New Roman" w:hAnsi="Calibri" w:cs="Calibri"/>
                <w:sz w:val="18"/>
                <w:szCs w:val="18"/>
                <w:lang w:eastAsia="hr-HR"/>
              </w:rPr>
            </w:pPr>
            <w:r w:rsidRPr="003D0C85">
              <w:rPr>
                <w:rFonts w:ascii="Calibri" w:eastAsia="Times New Roman" w:hAnsi="Calibri" w:cs="Calibri"/>
                <w:sz w:val="18"/>
                <w:szCs w:val="18"/>
                <w:lang w:eastAsia="hr-HR"/>
              </w:rPr>
              <w:t>0</w:t>
            </w:r>
          </w:p>
        </w:tc>
        <w:tc>
          <w:tcPr>
            <w:tcW w:w="521" w:type="dxa"/>
            <w:tcBorders>
              <w:top w:val="nil"/>
              <w:left w:val="nil"/>
              <w:bottom w:val="single" w:sz="4" w:space="0" w:color="auto"/>
              <w:right w:val="single" w:sz="4" w:space="0" w:color="auto"/>
            </w:tcBorders>
            <w:shd w:val="clear" w:color="000000" w:fill="FFFF00"/>
            <w:noWrap/>
            <w:vAlign w:val="bottom"/>
            <w:hideMark/>
          </w:tcPr>
          <w:p w14:paraId="3314E73D" w14:textId="77777777" w:rsidR="003D0C85" w:rsidRPr="003D0C85" w:rsidRDefault="003D0C85" w:rsidP="003D0C85">
            <w:pPr>
              <w:spacing w:after="0" w:line="240" w:lineRule="auto"/>
              <w:jc w:val="right"/>
              <w:rPr>
                <w:rFonts w:ascii="Calibri" w:eastAsia="Times New Roman" w:hAnsi="Calibri" w:cs="Calibri"/>
                <w:sz w:val="18"/>
                <w:szCs w:val="18"/>
                <w:lang w:eastAsia="hr-HR"/>
              </w:rPr>
            </w:pPr>
            <w:r w:rsidRPr="003D0C85">
              <w:rPr>
                <w:rFonts w:ascii="Calibri" w:eastAsia="Times New Roman" w:hAnsi="Calibri" w:cs="Calibri"/>
                <w:sz w:val="18"/>
                <w:szCs w:val="18"/>
                <w:lang w:eastAsia="hr-HR"/>
              </w:rPr>
              <w:t>0</w:t>
            </w:r>
          </w:p>
        </w:tc>
        <w:tc>
          <w:tcPr>
            <w:tcW w:w="446" w:type="dxa"/>
            <w:tcBorders>
              <w:top w:val="nil"/>
              <w:left w:val="nil"/>
              <w:bottom w:val="single" w:sz="4" w:space="0" w:color="auto"/>
              <w:right w:val="single" w:sz="4" w:space="0" w:color="auto"/>
            </w:tcBorders>
            <w:shd w:val="clear" w:color="auto" w:fill="auto"/>
            <w:vAlign w:val="bottom"/>
            <w:hideMark/>
          </w:tcPr>
          <w:p w14:paraId="43F7DA2A" w14:textId="77777777" w:rsidR="003D0C85" w:rsidRPr="003D0C85" w:rsidRDefault="003D0C85" w:rsidP="003D0C85">
            <w:pPr>
              <w:spacing w:after="0" w:line="240" w:lineRule="auto"/>
              <w:jc w:val="right"/>
              <w:rPr>
                <w:rFonts w:ascii="Calibri" w:eastAsia="Times New Roman" w:hAnsi="Calibri" w:cs="Calibri"/>
                <w:b/>
                <w:bCs/>
                <w:sz w:val="18"/>
                <w:szCs w:val="18"/>
                <w:lang w:eastAsia="hr-HR"/>
              </w:rPr>
            </w:pPr>
            <w:r w:rsidRPr="003D0C85">
              <w:rPr>
                <w:rFonts w:ascii="Calibri" w:eastAsia="Times New Roman" w:hAnsi="Calibri" w:cs="Calibri"/>
                <w:b/>
                <w:bCs/>
                <w:sz w:val="18"/>
                <w:szCs w:val="18"/>
                <w:lang w:eastAsia="hr-HR"/>
              </w:rPr>
              <w:t>0</w:t>
            </w:r>
          </w:p>
        </w:tc>
        <w:tc>
          <w:tcPr>
            <w:tcW w:w="792" w:type="dxa"/>
            <w:gridSpan w:val="2"/>
            <w:tcBorders>
              <w:top w:val="nil"/>
              <w:left w:val="nil"/>
              <w:bottom w:val="single" w:sz="4" w:space="0" w:color="auto"/>
              <w:right w:val="single" w:sz="4" w:space="0" w:color="auto"/>
            </w:tcBorders>
            <w:shd w:val="clear" w:color="000000" w:fill="FFFF00"/>
            <w:vAlign w:val="bottom"/>
            <w:hideMark/>
          </w:tcPr>
          <w:p w14:paraId="16795048" w14:textId="77777777" w:rsidR="003D0C85" w:rsidRPr="003D0C85" w:rsidRDefault="003D0C85" w:rsidP="003D0C85">
            <w:pPr>
              <w:spacing w:after="0" w:line="240" w:lineRule="auto"/>
              <w:jc w:val="right"/>
              <w:rPr>
                <w:rFonts w:ascii="Calibri" w:eastAsia="Times New Roman" w:hAnsi="Calibri" w:cs="Calibri"/>
                <w:b/>
                <w:bCs/>
                <w:sz w:val="18"/>
                <w:szCs w:val="18"/>
                <w:lang w:eastAsia="hr-HR"/>
              </w:rPr>
            </w:pPr>
            <w:r w:rsidRPr="003D0C85">
              <w:rPr>
                <w:rFonts w:ascii="Calibri" w:eastAsia="Times New Roman" w:hAnsi="Calibri" w:cs="Calibri"/>
                <w:b/>
                <w:bCs/>
                <w:sz w:val="18"/>
                <w:szCs w:val="18"/>
                <w:lang w:eastAsia="hr-HR"/>
              </w:rPr>
              <w:t>0</w:t>
            </w:r>
          </w:p>
        </w:tc>
        <w:tc>
          <w:tcPr>
            <w:tcW w:w="507" w:type="dxa"/>
            <w:gridSpan w:val="2"/>
            <w:tcBorders>
              <w:top w:val="nil"/>
              <w:left w:val="nil"/>
              <w:bottom w:val="single" w:sz="4" w:space="0" w:color="auto"/>
              <w:right w:val="single" w:sz="4" w:space="0" w:color="auto"/>
            </w:tcBorders>
            <w:shd w:val="clear" w:color="000000" w:fill="FF9900"/>
            <w:noWrap/>
            <w:vAlign w:val="bottom"/>
            <w:hideMark/>
          </w:tcPr>
          <w:p w14:paraId="47099786" w14:textId="77777777" w:rsidR="003D0C85" w:rsidRPr="003D0C85" w:rsidRDefault="003D0C85" w:rsidP="003D0C85">
            <w:pPr>
              <w:spacing w:after="0" w:line="240" w:lineRule="auto"/>
              <w:jc w:val="right"/>
              <w:rPr>
                <w:rFonts w:ascii="Calibri" w:eastAsia="Times New Roman" w:hAnsi="Calibri" w:cs="Calibri"/>
                <w:sz w:val="18"/>
                <w:szCs w:val="18"/>
                <w:lang w:eastAsia="hr-HR"/>
              </w:rPr>
            </w:pPr>
            <w:r w:rsidRPr="003D0C85">
              <w:rPr>
                <w:rFonts w:ascii="Calibri" w:eastAsia="Times New Roman" w:hAnsi="Calibri" w:cs="Calibri"/>
                <w:sz w:val="18"/>
                <w:szCs w:val="18"/>
                <w:lang w:eastAsia="hr-HR"/>
              </w:rPr>
              <w:t>0</w:t>
            </w:r>
          </w:p>
        </w:tc>
        <w:tc>
          <w:tcPr>
            <w:tcW w:w="244" w:type="dxa"/>
            <w:tcBorders>
              <w:top w:val="nil"/>
              <w:left w:val="nil"/>
              <w:bottom w:val="single" w:sz="4" w:space="0" w:color="auto"/>
              <w:right w:val="single" w:sz="4" w:space="0" w:color="auto"/>
            </w:tcBorders>
            <w:shd w:val="clear" w:color="000000" w:fill="CCFFFF"/>
            <w:noWrap/>
            <w:vAlign w:val="bottom"/>
            <w:hideMark/>
          </w:tcPr>
          <w:p w14:paraId="5606C074" w14:textId="77777777" w:rsidR="003D0C85" w:rsidRPr="003D0C85" w:rsidRDefault="003D0C85" w:rsidP="003D0C85">
            <w:pPr>
              <w:spacing w:after="0" w:line="240" w:lineRule="auto"/>
              <w:jc w:val="right"/>
              <w:rPr>
                <w:rFonts w:ascii="Calibri" w:eastAsia="Times New Roman" w:hAnsi="Calibri" w:cs="Calibri"/>
                <w:sz w:val="18"/>
                <w:szCs w:val="18"/>
                <w:lang w:eastAsia="hr-HR"/>
              </w:rPr>
            </w:pPr>
            <w:r w:rsidRPr="003D0C85">
              <w:rPr>
                <w:rFonts w:ascii="Calibri" w:eastAsia="Times New Roman" w:hAnsi="Calibri" w:cs="Calibri"/>
                <w:sz w:val="18"/>
                <w:szCs w:val="18"/>
                <w:lang w:eastAsia="hr-HR"/>
              </w:rPr>
              <w:t>0</w:t>
            </w:r>
          </w:p>
        </w:tc>
        <w:tc>
          <w:tcPr>
            <w:tcW w:w="425" w:type="dxa"/>
            <w:tcBorders>
              <w:top w:val="nil"/>
              <w:left w:val="nil"/>
              <w:bottom w:val="single" w:sz="4" w:space="0" w:color="auto"/>
              <w:right w:val="single" w:sz="4" w:space="0" w:color="auto"/>
            </w:tcBorders>
            <w:shd w:val="clear" w:color="000000" w:fill="CCFFFF"/>
            <w:noWrap/>
            <w:vAlign w:val="bottom"/>
            <w:hideMark/>
          </w:tcPr>
          <w:p w14:paraId="5C11F4A3" w14:textId="77777777" w:rsidR="003D0C85" w:rsidRPr="003D0C85" w:rsidRDefault="003D0C85" w:rsidP="003D0C85">
            <w:pPr>
              <w:spacing w:after="0" w:line="240" w:lineRule="auto"/>
              <w:jc w:val="right"/>
              <w:rPr>
                <w:rFonts w:ascii="Calibri" w:eastAsia="Times New Roman" w:hAnsi="Calibri" w:cs="Calibri"/>
                <w:sz w:val="18"/>
                <w:szCs w:val="18"/>
                <w:lang w:eastAsia="hr-HR"/>
              </w:rPr>
            </w:pPr>
            <w:r w:rsidRPr="003D0C85">
              <w:rPr>
                <w:rFonts w:ascii="Calibri" w:eastAsia="Times New Roman" w:hAnsi="Calibri" w:cs="Calibri"/>
                <w:sz w:val="18"/>
                <w:szCs w:val="18"/>
                <w:lang w:eastAsia="hr-HR"/>
              </w:rPr>
              <w:t>0</w:t>
            </w:r>
          </w:p>
        </w:tc>
        <w:tc>
          <w:tcPr>
            <w:tcW w:w="607" w:type="dxa"/>
            <w:tcBorders>
              <w:top w:val="nil"/>
              <w:left w:val="nil"/>
              <w:bottom w:val="single" w:sz="4" w:space="0" w:color="auto"/>
              <w:right w:val="single" w:sz="4" w:space="0" w:color="auto"/>
            </w:tcBorders>
            <w:shd w:val="clear" w:color="000000" w:fill="CCFFFF"/>
            <w:noWrap/>
            <w:vAlign w:val="bottom"/>
            <w:hideMark/>
          </w:tcPr>
          <w:p w14:paraId="37E2EA88" w14:textId="77777777" w:rsidR="003D0C85" w:rsidRPr="003D0C85" w:rsidRDefault="003D0C85" w:rsidP="003D0C85">
            <w:pPr>
              <w:spacing w:after="0" w:line="240" w:lineRule="auto"/>
              <w:jc w:val="right"/>
              <w:rPr>
                <w:rFonts w:ascii="Calibri" w:eastAsia="Times New Roman" w:hAnsi="Calibri" w:cs="Calibri"/>
                <w:sz w:val="18"/>
                <w:szCs w:val="18"/>
                <w:lang w:eastAsia="hr-HR"/>
              </w:rPr>
            </w:pPr>
            <w:r w:rsidRPr="003D0C85">
              <w:rPr>
                <w:rFonts w:ascii="Calibri" w:eastAsia="Times New Roman" w:hAnsi="Calibri" w:cs="Calibri"/>
                <w:sz w:val="18"/>
                <w:szCs w:val="18"/>
                <w:lang w:eastAsia="hr-HR"/>
              </w:rPr>
              <w:t>0</w:t>
            </w:r>
          </w:p>
        </w:tc>
        <w:tc>
          <w:tcPr>
            <w:tcW w:w="425" w:type="dxa"/>
            <w:gridSpan w:val="2"/>
            <w:tcBorders>
              <w:top w:val="nil"/>
              <w:left w:val="nil"/>
              <w:bottom w:val="single" w:sz="4" w:space="0" w:color="auto"/>
              <w:right w:val="nil"/>
            </w:tcBorders>
            <w:shd w:val="clear" w:color="000000" w:fill="33CCCC"/>
            <w:noWrap/>
            <w:vAlign w:val="bottom"/>
            <w:hideMark/>
          </w:tcPr>
          <w:p w14:paraId="174C2AAA" w14:textId="77777777" w:rsidR="003D0C85" w:rsidRPr="003D0C85" w:rsidRDefault="003D0C85" w:rsidP="003D0C85">
            <w:pPr>
              <w:spacing w:after="0" w:line="240" w:lineRule="auto"/>
              <w:jc w:val="right"/>
              <w:rPr>
                <w:rFonts w:ascii="Calibri" w:eastAsia="Times New Roman" w:hAnsi="Calibri" w:cs="Calibri"/>
                <w:sz w:val="18"/>
                <w:szCs w:val="18"/>
                <w:lang w:eastAsia="hr-HR"/>
              </w:rPr>
            </w:pPr>
            <w:r w:rsidRPr="003D0C85">
              <w:rPr>
                <w:rFonts w:ascii="Calibri" w:eastAsia="Times New Roman" w:hAnsi="Calibri" w:cs="Calibri"/>
                <w:sz w:val="18"/>
                <w:szCs w:val="18"/>
                <w:lang w:eastAsia="hr-HR"/>
              </w:rPr>
              <w:t>0</w:t>
            </w:r>
          </w:p>
        </w:tc>
        <w:tc>
          <w:tcPr>
            <w:tcW w:w="452" w:type="dxa"/>
            <w:gridSpan w:val="2"/>
            <w:tcBorders>
              <w:top w:val="nil"/>
              <w:left w:val="single" w:sz="4" w:space="0" w:color="auto"/>
              <w:bottom w:val="single" w:sz="4" w:space="0" w:color="auto"/>
              <w:right w:val="single" w:sz="8" w:space="0" w:color="auto"/>
            </w:tcBorders>
            <w:shd w:val="clear" w:color="000000" w:fill="33CCCC"/>
            <w:noWrap/>
            <w:vAlign w:val="bottom"/>
            <w:hideMark/>
          </w:tcPr>
          <w:p w14:paraId="600D8BA1" w14:textId="77777777" w:rsidR="003D0C85" w:rsidRPr="003D0C85" w:rsidRDefault="003D0C85" w:rsidP="003D0C85">
            <w:pPr>
              <w:spacing w:after="0" w:line="240" w:lineRule="auto"/>
              <w:jc w:val="right"/>
              <w:rPr>
                <w:rFonts w:ascii="Calibri" w:eastAsia="Times New Roman" w:hAnsi="Calibri" w:cs="Calibri"/>
                <w:sz w:val="18"/>
                <w:szCs w:val="18"/>
                <w:lang w:eastAsia="hr-HR"/>
              </w:rPr>
            </w:pPr>
            <w:r w:rsidRPr="003D0C85">
              <w:rPr>
                <w:rFonts w:ascii="Calibri" w:eastAsia="Times New Roman" w:hAnsi="Calibri" w:cs="Calibri"/>
                <w:sz w:val="18"/>
                <w:szCs w:val="18"/>
                <w:lang w:eastAsia="hr-HR"/>
              </w:rPr>
              <w:t>0</w:t>
            </w:r>
          </w:p>
        </w:tc>
        <w:tc>
          <w:tcPr>
            <w:tcW w:w="236" w:type="dxa"/>
            <w:gridSpan w:val="3"/>
            <w:vAlign w:val="center"/>
            <w:hideMark/>
          </w:tcPr>
          <w:p w14:paraId="02B29175" w14:textId="77777777" w:rsidR="003D0C85" w:rsidRPr="003D0C85" w:rsidRDefault="003D0C85" w:rsidP="003D0C85">
            <w:pPr>
              <w:spacing w:after="0" w:line="240" w:lineRule="auto"/>
              <w:rPr>
                <w:rFonts w:ascii="Times New Roman" w:eastAsia="Times New Roman" w:hAnsi="Times New Roman" w:cs="Times New Roman"/>
                <w:sz w:val="18"/>
                <w:szCs w:val="18"/>
                <w:lang w:eastAsia="hr-HR"/>
              </w:rPr>
            </w:pPr>
          </w:p>
        </w:tc>
      </w:tr>
      <w:tr w:rsidR="00E72E51" w:rsidRPr="00E72E51" w14:paraId="1347F657" w14:textId="77777777" w:rsidTr="00E72E51">
        <w:trPr>
          <w:trHeight w:val="315"/>
        </w:trPr>
        <w:tc>
          <w:tcPr>
            <w:tcW w:w="983" w:type="dxa"/>
            <w:tcBorders>
              <w:top w:val="single" w:sz="4" w:space="0" w:color="auto"/>
              <w:left w:val="single" w:sz="8" w:space="0" w:color="auto"/>
              <w:bottom w:val="single" w:sz="4" w:space="0" w:color="auto"/>
              <w:right w:val="single" w:sz="4" w:space="0" w:color="auto"/>
            </w:tcBorders>
            <w:shd w:val="clear" w:color="000000" w:fill="CCFFCC"/>
            <w:vAlign w:val="center"/>
            <w:hideMark/>
          </w:tcPr>
          <w:p w14:paraId="15C604A0" w14:textId="77777777" w:rsidR="003D0C85" w:rsidRPr="003D0C85" w:rsidRDefault="003D0C85" w:rsidP="003D0C85">
            <w:pPr>
              <w:spacing w:after="0" w:line="240" w:lineRule="auto"/>
              <w:rPr>
                <w:rFonts w:ascii="Calibri" w:eastAsia="Times New Roman" w:hAnsi="Calibri" w:cs="Calibri"/>
                <w:sz w:val="18"/>
                <w:szCs w:val="18"/>
                <w:lang w:eastAsia="hr-HR"/>
              </w:rPr>
            </w:pPr>
            <w:r w:rsidRPr="003D0C85">
              <w:rPr>
                <w:rFonts w:ascii="Calibri" w:eastAsia="Times New Roman" w:hAnsi="Calibri" w:cs="Calibri"/>
                <w:sz w:val="18"/>
                <w:szCs w:val="18"/>
                <w:lang w:eastAsia="hr-HR"/>
              </w:rPr>
              <w:t>Imovina</w:t>
            </w:r>
          </w:p>
        </w:tc>
        <w:tc>
          <w:tcPr>
            <w:tcW w:w="442" w:type="dxa"/>
            <w:tcBorders>
              <w:top w:val="nil"/>
              <w:left w:val="nil"/>
              <w:bottom w:val="single" w:sz="4" w:space="0" w:color="auto"/>
              <w:right w:val="single" w:sz="4" w:space="0" w:color="auto"/>
            </w:tcBorders>
            <w:shd w:val="clear" w:color="000000" w:fill="FFFF00"/>
            <w:vAlign w:val="bottom"/>
            <w:hideMark/>
          </w:tcPr>
          <w:p w14:paraId="68AC3288" w14:textId="77777777" w:rsidR="003D0C85" w:rsidRPr="003D0C85" w:rsidRDefault="003D0C85" w:rsidP="003D0C85">
            <w:pPr>
              <w:spacing w:after="0" w:line="240" w:lineRule="auto"/>
              <w:jc w:val="right"/>
              <w:rPr>
                <w:rFonts w:ascii="Calibri" w:eastAsia="Times New Roman" w:hAnsi="Calibri" w:cs="Calibri"/>
                <w:b/>
                <w:bCs/>
                <w:sz w:val="18"/>
                <w:szCs w:val="18"/>
                <w:lang w:eastAsia="hr-HR"/>
              </w:rPr>
            </w:pPr>
            <w:r w:rsidRPr="003D0C85">
              <w:rPr>
                <w:rFonts w:ascii="Calibri" w:eastAsia="Times New Roman" w:hAnsi="Calibri" w:cs="Calibri"/>
                <w:b/>
                <w:bCs/>
                <w:sz w:val="18"/>
                <w:szCs w:val="18"/>
                <w:lang w:eastAsia="hr-HR"/>
              </w:rPr>
              <w:t>0</w:t>
            </w:r>
          </w:p>
        </w:tc>
        <w:tc>
          <w:tcPr>
            <w:tcW w:w="443" w:type="dxa"/>
            <w:tcBorders>
              <w:top w:val="nil"/>
              <w:left w:val="nil"/>
              <w:bottom w:val="single" w:sz="4" w:space="0" w:color="auto"/>
              <w:right w:val="single" w:sz="4" w:space="0" w:color="auto"/>
            </w:tcBorders>
            <w:shd w:val="clear" w:color="000000" w:fill="FFCC99"/>
            <w:noWrap/>
            <w:vAlign w:val="bottom"/>
            <w:hideMark/>
          </w:tcPr>
          <w:p w14:paraId="311B8564" w14:textId="77777777" w:rsidR="003D0C85" w:rsidRPr="003D0C85" w:rsidRDefault="003D0C85" w:rsidP="003D0C85">
            <w:pPr>
              <w:spacing w:after="0" w:line="240" w:lineRule="auto"/>
              <w:jc w:val="right"/>
              <w:rPr>
                <w:rFonts w:ascii="Calibri" w:eastAsia="Times New Roman" w:hAnsi="Calibri" w:cs="Calibri"/>
                <w:sz w:val="18"/>
                <w:szCs w:val="18"/>
                <w:lang w:eastAsia="hr-HR"/>
              </w:rPr>
            </w:pPr>
            <w:r w:rsidRPr="003D0C85">
              <w:rPr>
                <w:rFonts w:ascii="Calibri" w:eastAsia="Times New Roman" w:hAnsi="Calibri" w:cs="Calibri"/>
                <w:sz w:val="18"/>
                <w:szCs w:val="18"/>
                <w:lang w:eastAsia="hr-HR"/>
              </w:rPr>
              <w:t>0</w:t>
            </w:r>
          </w:p>
        </w:tc>
        <w:tc>
          <w:tcPr>
            <w:tcW w:w="316" w:type="dxa"/>
            <w:tcBorders>
              <w:top w:val="nil"/>
              <w:left w:val="nil"/>
              <w:bottom w:val="single" w:sz="4" w:space="0" w:color="auto"/>
              <w:right w:val="single" w:sz="4" w:space="0" w:color="auto"/>
            </w:tcBorders>
            <w:shd w:val="clear" w:color="000000" w:fill="CCFFFF"/>
            <w:vAlign w:val="bottom"/>
            <w:hideMark/>
          </w:tcPr>
          <w:p w14:paraId="07D91C15" w14:textId="77777777" w:rsidR="003D0C85" w:rsidRPr="003D0C85" w:rsidRDefault="003D0C85" w:rsidP="003D0C85">
            <w:pPr>
              <w:spacing w:after="0" w:line="240" w:lineRule="auto"/>
              <w:jc w:val="right"/>
              <w:rPr>
                <w:rFonts w:ascii="Calibri" w:eastAsia="Times New Roman" w:hAnsi="Calibri" w:cs="Calibri"/>
                <w:sz w:val="18"/>
                <w:szCs w:val="18"/>
                <w:lang w:eastAsia="hr-HR"/>
              </w:rPr>
            </w:pPr>
            <w:r w:rsidRPr="003D0C85">
              <w:rPr>
                <w:rFonts w:ascii="Calibri" w:eastAsia="Times New Roman" w:hAnsi="Calibri" w:cs="Calibri"/>
                <w:sz w:val="18"/>
                <w:szCs w:val="18"/>
                <w:lang w:eastAsia="hr-HR"/>
              </w:rPr>
              <w:t>0</w:t>
            </w:r>
          </w:p>
        </w:tc>
        <w:tc>
          <w:tcPr>
            <w:tcW w:w="452" w:type="dxa"/>
            <w:tcBorders>
              <w:top w:val="nil"/>
              <w:left w:val="nil"/>
              <w:bottom w:val="single" w:sz="4" w:space="0" w:color="auto"/>
              <w:right w:val="single" w:sz="4" w:space="0" w:color="auto"/>
            </w:tcBorders>
            <w:shd w:val="clear" w:color="000000" w:fill="CCFFFF"/>
            <w:vAlign w:val="bottom"/>
            <w:hideMark/>
          </w:tcPr>
          <w:p w14:paraId="2F17016F" w14:textId="77777777" w:rsidR="003D0C85" w:rsidRPr="003D0C85" w:rsidRDefault="003D0C85" w:rsidP="003D0C85">
            <w:pPr>
              <w:spacing w:after="0" w:line="240" w:lineRule="auto"/>
              <w:jc w:val="right"/>
              <w:rPr>
                <w:rFonts w:ascii="Calibri" w:eastAsia="Times New Roman" w:hAnsi="Calibri" w:cs="Calibri"/>
                <w:sz w:val="18"/>
                <w:szCs w:val="18"/>
                <w:lang w:eastAsia="hr-HR"/>
              </w:rPr>
            </w:pPr>
            <w:r w:rsidRPr="003D0C85">
              <w:rPr>
                <w:rFonts w:ascii="Calibri" w:eastAsia="Times New Roman" w:hAnsi="Calibri" w:cs="Calibri"/>
                <w:sz w:val="18"/>
                <w:szCs w:val="18"/>
                <w:lang w:eastAsia="hr-HR"/>
              </w:rPr>
              <w:t>0</w:t>
            </w:r>
          </w:p>
        </w:tc>
        <w:tc>
          <w:tcPr>
            <w:tcW w:w="491" w:type="dxa"/>
            <w:gridSpan w:val="2"/>
            <w:tcBorders>
              <w:top w:val="nil"/>
              <w:left w:val="nil"/>
              <w:bottom w:val="single" w:sz="4" w:space="0" w:color="auto"/>
              <w:right w:val="single" w:sz="4" w:space="0" w:color="auto"/>
            </w:tcBorders>
            <w:shd w:val="clear" w:color="000000" w:fill="FFFF99"/>
            <w:noWrap/>
            <w:vAlign w:val="bottom"/>
            <w:hideMark/>
          </w:tcPr>
          <w:p w14:paraId="209ED4D2" w14:textId="77777777" w:rsidR="003D0C85" w:rsidRPr="003D0C85" w:rsidRDefault="003D0C85" w:rsidP="003D0C85">
            <w:pPr>
              <w:spacing w:after="0" w:line="240" w:lineRule="auto"/>
              <w:jc w:val="right"/>
              <w:rPr>
                <w:rFonts w:ascii="Calibri" w:eastAsia="Times New Roman" w:hAnsi="Calibri" w:cs="Calibri"/>
                <w:sz w:val="18"/>
                <w:szCs w:val="18"/>
                <w:lang w:eastAsia="hr-HR"/>
              </w:rPr>
            </w:pPr>
            <w:r w:rsidRPr="003D0C85">
              <w:rPr>
                <w:rFonts w:ascii="Calibri" w:eastAsia="Times New Roman" w:hAnsi="Calibri" w:cs="Calibri"/>
                <w:sz w:val="18"/>
                <w:szCs w:val="18"/>
                <w:lang w:eastAsia="hr-HR"/>
              </w:rPr>
              <w:t>0</w:t>
            </w:r>
          </w:p>
        </w:tc>
        <w:tc>
          <w:tcPr>
            <w:tcW w:w="447" w:type="dxa"/>
            <w:tcBorders>
              <w:top w:val="nil"/>
              <w:left w:val="nil"/>
              <w:bottom w:val="single" w:sz="4" w:space="0" w:color="auto"/>
              <w:right w:val="single" w:sz="4" w:space="0" w:color="auto"/>
            </w:tcBorders>
            <w:shd w:val="clear" w:color="000000" w:fill="FFFF99"/>
            <w:noWrap/>
            <w:vAlign w:val="bottom"/>
            <w:hideMark/>
          </w:tcPr>
          <w:p w14:paraId="0857396F" w14:textId="77777777" w:rsidR="003D0C85" w:rsidRPr="003D0C85" w:rsidRDefault="003D0C85" w:rsidP="003D0C85">
            <w:pPr>
              <w:spacing w:after="0" w:line="240" w:lineRule="auto"/>
              <w:jc w:val="right"/>
              <w:rPr>
                <w:rFonts w:ascii="Calibri" w:eastAsia="Times New Roman" w:hAnsi="Calibri" w:cs="Calibri"/>
                <w:sz w:val="18"/>
                <w:szCs w:val="18"/>
                <w:lang w:eastAsia="hr-HR"/>
              </w:rPr>
            </w:pPr>
            <w:r w:rsidRPr="003D0C85">
              <w:rPr>
                <w:rFonts w:ascii="Calibri" w:eastAsia="Times New Roman" w:hAnsi="Calibri" w:cs="Calibri"/>
                <w:sz w:val="18"/>
                <w:szCs w:val="18"/>
                <w:lang w:eastAsia="hr-HR"/>
              </w:rPr>
              <w:t>0</w:t>
            </w:r>
          </w:p>
        </w:tc>
        <w:tc>
          <w:tcPr>
            <w:tcW w:w="495" w:type="dxa"/>
            <w:tcBorders>
              <w:top w:val="nil"/>
              <w:left w:val="nil"/>
              <w:bottom w:val="single" w:sz="4" w:space="0" w:color="auto"/>
              <w:right w:val="single" w:sz="4" w:space="0" w:color="auto"/>
            </w:tcBorders>
            <w:shd w:val="clear" w:color="000000" w:fill="FFFF99"/>
            <w:noWrap/>
            <w:vAlign w:val="bottom"/>
            <w:hideMark/>
          </w:tcPr>
          <w:p w14:paraId="15431332" w14:textId="77777777" w:rsidR="003D0C85" w:rsidRPr="003D0C85" w:rsidRDefault="003D0C85" w:rsidP="003D0C85">
            <w:pPr>
              <w:spacing w:after="0" w:line="240" w:lineRule="auto"/>
              <w:jc w:val="right"/>
              <w:rPr>
                <w:rFonts w:ascii="Calibri" w:eastAsia="Times New Roman" w:hAnsi="Calibri" w:cs="Calibri"/>
                <w:sz w:val="18"/>
                <w:szCs w:val="18"/>
                <w:lang w:eastAsia="hr-HR"/>
              </w:rPr>
            </w:pPr>
            <w:r w:rsidRPr="003D0C85">
              <w:rPr>
                <w:rFonts w:ascii="Calibri" w:eastAsia="Times New Roman" w:hAnsi="Calibri" w:cs="Calibri"/>
                <w:sz w:val="18"/>
                <w:szCs w:val="18"/>
                <w:lang w:eastAsia="hr-HR"/>
              </w:rPr>
              <w:t>0</w:t>
            </w:r>
          </w:p>
        </w:tc>
        <w:tc>
          <w:tcPr>
            <w:tcW w:w="451" w:type="dxa"/>
            <w:tcBorders>
              <w:top w:val="nil"/>
              <w:left w:val="nil"/>
              <w:bottom w:val="single" w:sz="4" w:space="0" w:color="auto"/>
              <w:right w:val="single" w:sz="4" w:space="0" w:color="auto"/>
            </w:tcBorders>
            <w:shd w:val="clear" w:color="000000" w:fill="FFFF99"/>
            <w:noWrap/>
            <w:vAlign w:val="bottom"/>
            <w:hideMark/>
          </w:tcPr>
          <w:p w14:paraId="49441DA9" w14:textId="77777777" w:rsidR="003D0C85" w:rsidRPr="003D0C85" w:rsidRDefault="003D0C85" w:rsidP="003D0C85">
            <w:pPr>
              <w:spacing w:after="0" w:line="240" w:lineRule="auto"/>
              <w:jc w:val="right"/>
              <w:rPr>
                <w:rFonts w:ascii="Calibri" w:eastAsia="Times New Roman" w:hAnsi="Calibri" w:cs="Calibri"/>
                <w:sz w:val="18"/>
                <w:szCs w:val="18"/>
                <w:lang w:eastAsia="hr-HR"/>
              </w:rPr>
            </w:pPr>
            <w:r w:rsidRPr="003D0C85">
              <w:rPr>
                <w:rFonts w:ascii="Calibri" w:eastAsia="Times New Roman" w:hAnsi="Calibri" w:cs="Calibri"/>
                <w:sz w:val="18"/>
                <w:szCs w:val="18"/>
                <w:lang w:eastAsia="hr-HR"/>
              </w:rPr>
              <w:t>0</w:t>
            </w:r>
          </w:p>
        </w:tc>
        <w:tc>
          <w:tcPr>
            <w:tcW w:w="632" w:type="dxa"/>
            <w:gridSpan w:val="2"/>
            <w:tcBorders>
              <w:top w:val="nil"/>
              <w:left w:val="nil"/>
              <w:bottom w:val="single" w:sz="4" w:space="0" w:color="auto"/>
              <w:right w:val="single" w:sz="4" w:space="0" w:color="auto"/>
            </w:tcBorders>
            <w:shd w:val="clear" w:color="000000" w:fill="FFFF99"/>
            <w:noWrap/>
            <w:vAlign w:val="bottom"/>
            <w:hideMark/>
          </w:tcPr>
          <w:p w14:paraId="5532B496" w14:textId="77777777" w:rsidR="003D0C85" w:rsidRPr="003D0C85" w:rsidRDefault="003D0C85" w:rsidP="003D0C85">
            <w:pPr>
              <w:spacing w:after="0" w:line="240" w:lineRule="auto"/>
              <w:jc w:val="right"/>
              <w:rPr>
                <w:rFonts w:ascii="Calibri" w:eastAsia="Times New Roman" w:hAnsi="Calibri" w:cs="Calibri"/>
                <w:sz w:val="18"/>
                <w:szCs w:val="18"/>
                <w:lang w:eastAsia="hr-HR"/>
              </w:rPr>
            </w:pPr>
            <w:r w:rsidRPr="003D0C85">
              <w:rPr>
                <w:rFonts w:ascii="Calibri" w:eastAsia="Times New Roman" w:hAnsi="Calibri" w:cs="Calibri"/>
                <w:sz w:val="18"/>
                <w:szCs w:val="18"/>
                <w:lang w:eastAsia="hr-HR"/>
              </w:rPr>
              <w:t>0</w:t>
            </w:r>
          </w:p>
        </w:tc>
        <w:tc>
          <w:tcPr>
            <w:tcW w:w="447" w:type="dxa"/>
            <w:tcBorders>
              <w:top w:val="nil"/>
              <w:left w:val="nil"/>
              <w:bottom w:val="single" w:sz="4" w:space="0" w:color="auto"/>
              <w:right w:val="single" w:sz="4" w:space="0" w:color="auto"/>
            </w:tcBorders>
            <w:shd w:val="clear" w:color="000000" w:fill="FFFF99"/>
            <w:noWrap/>
            <w:vAlign w:val="bottom"/>
            <w:hideMark/>
          </w:tcPr>
          <w:p w14:paraId="1546B051" w14:textId="77777777" w:rsidR="003D0C85" w:rsidRPr="003D0C85" w:rsidRDefault="003D0C85" w:rsidP="003D0C85">
            <w:pPr>
              <w:spacing w:after="0" w:line="240" w:lineRule="auto"/>
              <w:jc w:val="right"/>
              <w:rPr>
                <w:rFonts w:ascii="Calibri" w:eastAsia="Times New Roman" w:hAnsi="Calibri" w:cs="Calibri"/>
                <w:sz w:val="18"/>
                <w:szCs w:val="18"/>
                <w:lang w:eastAsia="hr-HR"/>
              </w:rPr>
            </w:pPr>
            <w:r w:rsidRPr="003D0C85">
              <w:rPr>
                <w:rFonts w:ascii="Calibri" w:eastAsia="Times New Roman" w:hAnsi="Calibri" w:cs="Calibri"/>
                <w:sz w:val="18"/>
                <w:szCs w:val="18"/>
                <w:lang w:eastAsia="hr-HR"/>
              </w:rPr>
              <w:t>0</w:t>
            </w:r>
          </w:p>
        </w:tc>
        <w:tc>
          <w:tcPr>
            <w:tcW w:w="543" w:type="dxa"/>
            <w:tcBorders>
              <w:top w:val="nil"/>
              <w:left w:val="nil"/>
              <w:bottom w:val="single" w:sz="4" w:space="0" w:color="auto"/>
              <w:right w:val="single" w:sz="4" w:space="0" w:color="auto"/>
            </w:tcBorders>
            <w:shd w:val="clear" w:color="000000" w:fill="FFFF99"/>
            <w:noWrap/>
            <w:vAlign w:val="bottom"/>
            <w:hideMark/>
          </w:tcPr>
          <w:p w14:paraId="53E6D463" w14:textId="77777777" w:rsidR="003D0C85" w:rsidRPr="003D0C85" w:rsidRDefault="003D0C85" w:rsidP="003D0C85">
            <w:pPr>
              <w:spacing w:after="0" w:line="240" w:lineRule="auto"/>
              <w:jc w:val="right"/>
              <w:rPr>
                <w:rFonts w:ascii="Calibri" w:eastAsia="Times New Roman" w:hAnsi="Calibri" w:cs="Calibri"/>
                <w:sz w:val="18"/>
                <w:szCs w:val="18"/>
                <w:lang w:eastAsia="hr-HR"/>
              </w:rPr>
            </w:pPr>
            <w:r w:rsidRPr="003D0C85">
              <w:rPr>
                <w:rFonts w:ascii="Calibri" w:eastAsia="Times New Roman" w:hAnsi="Calibri" w:cs="Calibri"/>
                <w:sz w:val="18"/>
                <w:szCs w:val="18"/>
                <w:lang w:eastAsia="hr-HR"/>
              </w:rPr>
              <w:t>0</w:t>
            </w:r>
          </w:p>
        </w:tc>
        <w:tc>
          <w:tcPr>
            <w:tcW w:w="447" w:type="dxa"/>
            <w:tcBorders>
              <w:top w:val="nil"/>
              <w:left w:val="nil"/>
              <w:bottom w:val="single" w:sz="4" w:space="0" w:color="auto"/>
              <w:right w:val="single" w:sz="4" w:space="0" w:color="auto"/>
            </w:tcBorders>
            <w:shd w:val="clear" w:color="000000" w:fill="FFFF99"/>
            <w:noWrap/>
            <w:vAlign w:val="bottom"/>
            <w:hideMark/>
          </w:tcPr>
          <w:p w14:paraId="596EC64F" w14:textId="77777777" w:rsidR="003D0C85" w:rsidRPr="003D0C85" w:rsidRDefault="003D0C85" w:rsidP="003D0C85">
            <w:pPr>
              <w:spacing w:after="0" w:line="240" w:lineRule="auto"/>
              <w:jc w:val="right"/>
              <w:rPr>
                <w:rFonts w:ascii="Calibri" w:eastAsia="Times New Roman" w:hAnsi="Calibri" w:cs="Calibri"/>
                <w:sz w:val="18"/>
                <w:szCs w:val="18"/>
                <w:lang w:eastAsia="hr-HR"/>
              </w:rPr>
            </w:pPr>
            <w:r w:rsidRPr="003D0C85">
              <w:rPr>
                <w:rFonts w:ascii="Calibri" w:eastAsia="Times New Roman" w:hAnsi="Calibri" w:cs="Calibri"/>
                <w:sz w:val="18"/>
                <w:szCs w:val="18"/>
                <w:lang w:eastAsia="hr-HR"/>
              </w:rPr>
              <w:t>0</w:t>
            </w:r>
          </w:p>
        </w:tc>
        <w:tc>
          <w:tcPr>
            <w:tcW w:w="543" w:type="dxa"/>
            <w:tcBorders>
              <w:top w:val="nil"/>
              <w:left w:val="nil"/>
              <w:bottom w:val="single" w:sz="4" w:space="0" w:color="auto"/>
              <w:right w:val="single" w:sz="4" w:space="0" w:color="auto"/>
            </w:tcBorders>
            <w:shd w:val="clear" w:color="000000" w:fill="FFFF99"/>
            <w:noWrap/>
            <w:vAlign w:val="bottom"/>
            <w:hideMark/>
          </w:tcPr>
          <w:p w14:paraId="09BAB791" w14:textId="77777777" w:rsidR="003D0C85" w:rsidRPr="003D0C85" w:rsidRDefault="003D0C85" w:rsidP="003D0C85">
            <w:pPr>
              <w:spacing w:after="0" w:line="240" w:lineRule="auto"/>
              <w:jc w:val="right"/>
              <w:rPr>
                <w:rFonts w:ascii="Calibri" w:eastAsia="Times New Roman" w:hAnsi="Calibri" w:cs="Calibri"/>
                <w:sz w:val="18"/>
                <w:szCs w:val="18"/>
                <w:lang w:eastAsia="hr-HR"/>
              </w:rPr>
            </w:pPr>
            <w:r w:rsidRPr="003D0C85">
              <w:rPr>
                <w:rFonts w:ascii="Calibri" w:eastAsia="Times New Roman" w:hAnsi="Calibri" w:cs="Calibri"/>
                <w:sz w:val="18"/>
                <w:szCs w:val="18"/>
                <w:lang w:eastAsia="hr-HR"/>
              </w:rPr>
              <w:t>0</w:t>
            </w:r>
          </w:p>
        </w:tc>
        <w:tc>
          <w:tcPr>
            <w:tcW w:w="356" w:type="dxa"/>
            <w:tcBorders>
              <w:top w:val="nil"/>
              <w:left w:val="nil"/>
              <w:bottom w:val="single" w:sz="4" w:space="0" w:color="auto"/>
              <w:right w:val="single" w:sz="4" w:space="0" w:color="auto"/>
            </w:tcBorders>
            <w:shd w:val="clear" w:color="000000" w:fill="FFFF99"/>
            <w:noWrap/>
            <w:vAlign w:val="bottom"/>
            <w:hideMark/>
          </w:tcPr>
          <w:p w14:paraId="5B20FA9C" w14:textId="77777777" w:rsidR="003D0C85" w:rsidRPr="003D0C85" w:rsidRDefault="003D0C85" w:rsidP="003D0C85">
            <w:pPr>
              <w:spacing w:after="0" w:line="240" w:lineRule="auto"/>
              <w:jc w:val="right"/>
              <w:rPr>
                <w:rFonts w:ascii="Calibri" w:eastAsia="Times New Roman" w:hAnsi="Calibri" w:cs="Calibri"/>
                <w:sz w:val="18"/>
                <w:szCs w:val="18"/>
                <w:lang w:eastAsia="hr-HR"/>
              </w:rPr>
            </w:pPr>
            <w:r w:rsidRPr="003D0C85">
              <w:rPr>
                <w:rFonts w:ascii="Calibri" w:eastAsia="Times New Roman" w:hAnsi="Calibri" w:cs="Calibri"/>
                <w:sz w:val="18"/>
                <w:szCs w:val="18"/>
                <w:lang w:eastAsia="hr-HR"/>
              </w:rPr>
              <w:t>0</w:t>
            </w:r>
          </w:p>
        </w:tc>
        <w:tc>
          <w:tcPr>
            <w:tcW w:w="447" w:type="dxa"/>
            <w:gridSpan w:val="2"/>
            <w:tcBorders>
              <w:top w:val="nil"/>
              <w:left w:val="nil"/>
              <w:bottom w:val="single" w:sz="4" w:space="0" w:color="auto"/>
              <w:right w:val="single" w:sz="4" w:space="0" w:color="auto"/>
            </w:tcBorders>
            <w:shd w:val="clear" w:color="000000" w:fill="FF9900"/>
            <w:noWrap/>
            <w:vAlign w:val="bottom"/>
            <w:hideMark/>
          </w:tcPr>
          <w:p w14:paraId="1B3B10B6" w14:textId="77777777" w:rsidR="003D0C85" w:rsidRPr="003D0C85" w:rsidRDefault="003D0C85" w:rsidP="003D0C85">
            <w:pPr>
              <w:spacing w:after="0" w:line="240" w:lineRule="auto"/>
              <w:jc w:val="right"/>
              <w:rPr>
                <w:rFonts w:ascii="Calibri" w:eastAsia="Times New Roman" w:hAnsi="Calibri" w:cs="Calibri"/>
                <w:sz w:val="18"/>
                <w:szCs w:val="18"/>
                <w:lang w:eastAsia="hr-HR"/>
              </w:rPr>
            </w:pPr>
            <w:r w:rsidRPr="003D0C85">
              <w:rPr>
                <w:rFonts w:ascii="Calibri" w:eastAsia="Times New Roman" w:hAnsi="Calibri" w:cs="Calibri"/>
                <w:sz w:val="18"/>
                <w:szCs w:val="18"/>
                <w:lang w:eastAsia="hr-HR"/>
              </w:rPr>
              <w:t>0</w:t>
            </w:r>
          </w:p>
        </w:tc>
        <w:tc>
          <w:tcPr>
            <w:tcW w:w="447" w:type="dxa"/>
            <w:tcBorders>
              <w:top w:val="nil"/>
              <w:left w:val="nil"/>
              <w:bottom w:val="single" w:sz="4" w:space="0" w:color="auto"/>
              <w:right w:val="single" w:sz="4" w:space="0" w:color="auto"/>
            </w:tcBorders>
            <w:shd w:val="clear" w:color="000000" w:fill="FF9900"/>
            <w:noWrap/>
            <w:vAlign w:val="bottom"/>
            <w:hideMark/>
          </w:tcPr>
          <w:p w14:paraId="43FCC805" w14:textId="77777777" w:rsidR="003D0C85" w:rsidRPr="003D0C85" w:rsidRDefault="003D0C85" w:rsidP="003D0C85">
            <w:pPr>
              <w:spacing w:after="0" w:line="240" w:lineRule="auto"/>
              <w:jc w:val="right"/>
              <w:rPr>
                <w:rFonts w:ascii="Calibri" w:eastAsia="Times New Roman" w:hAnsi="Calibri" w:cs="Calibri"/>
                <w:sz w:val="18"/>
                <w:szCs w:val="18"/>
                <w:lang w:eastAsia="hr-HR"/>
              </w:rPr>
            </w:pPr>
            <w:r w:rsidRPr="003D0C85">
              <w:rPr>
                <w:rFonts w:ascii="Calibri" w:eastAsia="Times New Roman" w:hAnsi="Calibri" w:cs="Calibri"/>
                <w:sz w:val="18"/>
                <w:szCs w:val="18"/>
                <w:lang w:eastAsia="hr-HR"/>
              </w:rPr>
              <w:t>0</w:t>
            </w:r>
          </w:p>
        </w:tc>
        <w:tc>
          <w:tcPr>
            <w:tcW w:w="447" w:type="dxa"/>
            <w:tcBorders>
              <w:top w:val="nil"/>
              <w:left w:val="nil"/>
              <w:bottom w:val="single" w:sz="4" w:space="0" w:color="auto"/>
              <w:right w:val="single" w:sz="4" w:space="0" w:color="auto"/>
            </w:tcBorders>
            <w:shd w:val="clear" w:color="000000" w:fill="FF9900"/>
            <w:noWrap/>
            <w:vAlign w:val="bottom"/>
            <w:hideMark/>
          </w:tcPr>
          <w:p w14:paraId="5392409B" w14:textId="77777777" w:rsidR="003D0C85" w:rsidRPr="003D0C85" w:rsidRDefault="003D0C85" w:rsidP="003D0C85">
            <w:pPr>
              <w:spacing w:after="0" w:line="240" w:lineRule="auto"/>
              <w:jc w:val="right"/>
              <w:rPr>
                <w:rFonts w:ascii="Calibri" w:eastAsia="Times New Roman" w:hAnsi="Calibri" w:cs="Calibri"/>
                <w:sz w:val="18"/>
                <w:szCs w:val="18"/>
                <w:lang w:eastAsia="hr-HR"/>
              </w:rPr>
            </w:pPr>
            <w:r w:rsidRPr="003D0C85">
              <w:rPr>
                <w:rFonts w:ascii="Calibri" w:eastAsia="Times New Roman" w:hAnsi="Calibri" w:cs="Calibri"/>
                <w:sz w:val="18"/>
                <w:szCs w:val="18"/>
                <w:lang w:eastAsia="hr-HR"/>
              </w:rPr>
              <w:t>0</w:t>
            </w:r>
          </w:p>
        </w:tc>
        <w:tc>
          <w:tcPr>
            <w:tcW w:w="475" w:type="dxa"/>
            <w:tcBorders>
              <w:top w:val="nil"/>
              <w:left w:val="nil"/>
              <w:bottom w:val="single" w:sz="4" w:space="0" w:color="auto"/>
              <w:right w:val="single" w:sz="4" w:space="0" w:color="auto"/>
            </w:tcBorders>
            <w:shd w:val="clear" w:color="auto" w:fill="auto"/>
            <w:vAlign w:val="bottom"/>
            <w:hideMark/>
          </w:tcPr>
          <w:p w14:paraId="2CC55D84" w14:textId="77777777" w:rsidR="003D0C85" w:rsidRPr="003D0C85" w:rsidRDefault="003D0C85" w:rsidP="003D0C85">
            <w:pPr>
              <w:spacing w:after="0" w:line="240" w:lineRule="auto"/>
              <w:jc w:val="right"/>
              <w:rPr>
                <w:rFonts w:ascii="Calibri" w:eastAsia="Times New Roman" w:hAnsi="Calibri" w:cs="Calibri"/>
                <w:b/>
                <w:bCs/>
                <w:sz w:val="18"/>
                <w:szCs w:val="18"/>
                <w:lang w:eastAsia="hr-HR"/>
              </w:rPr>
            </w:pPr>
            <w:r w:rsidRPr="003D0C85">
              <w:rPr>
                <w:rFonts w:ascii="Calibri" w:eastAsia="Times New Roman" w:hAnsi="Calibri" w:cs="Calibri"/>
                <w:b/>
                <w:bCs/>
                <w:sz w:val="18"/>
                <w:szCs w:val="18"/>
                <w:lang w:eastAsia="hr-HR"/>
              </w:rPr>
              <w:t>0</w:t>
            </w:r>
          </w:p>
        </w:tc>
        <w:tc>
          <w:tcPr>
            <w:tcW w:w="447" w:type="dxa"/>
            <w:gridSpan w:val="2"/>
            <w:tcBorders>
              <w:top w:val="nil"/>
              <w:left w:val="nil"/>
              <w:bottom w:val="single" w:sz="4" w:space="0" w:color="auto"/>
              <w:right w:val="single" w:sz="4" w:space="0" w:color="auto"/>
            </w:tcBorders>
            <w:shd w:val="clear" w:color="000000" w:fill="FFFF00"/>
            <w:noWrap/>
            <w:vAlign w:val="bottom"/>
            <w:hideMark/>
          </w:tcPr>
          <w:p w14:paraId="2AA15750" w14:textId="77777777" w:rsidR="003D0C85" w:rsidRPr="003D0C85" w:rsidRDefault="003D0C85" w:rsidP="003D0C85">
            <w:pPr>
              <w:spacing w:after="0" w:line="240" w:lineRule="auto"/>
              <w:jc w:val="right"/>
              <w:rPr>
                <w:rFonts w:ascii="Calibri" w:eastAsia="Times New Roman" w:hAnsi="Calibri" w:cs="Calibri"/>
                <w:sz w:val="18"/>
                <w:szCs w:val="18"/>
                <w:lang w:eastAsia="hr-HR"/>
              </w:rPr>
            </w:pPr>
            <w:r w:rsidRPr="003D0C85">
              <w:rPr>
                <w:rFonts w:ascii="Calibri" w:eastAsia="Times New Roman" w:hAnsi="Calibri" w:cs="Calibri"/>
                <w:sz w:val="18"/>
                <w:szCs w:val="18"/>
                <w:lang w:eastAsia="hr-HR"/>
              </w:rPr>
              <w:t>0</w:t>
            </w:r>
          </w:p>
        </w:tc>
        <w:tc>
          <w:tcPr>
            <w:tcW w:w="447" w:type="dxa"/>
            <w:tcBorders>
              <w:top w:val="nil"/>
              <w:left w:val="nil"/>
              <w:bottom w:val="single" w:sz="4" w:space="0" w:color="auto"/>
              <w:right w:val="single" w:sz="4" w:space="0" w:color="auto"/>
            </w:tcBorders>
            <w:shd w:val="clear" w:color="000000" w:fill="FFFF00"/>
            <w:noWrap/>
            <w:vAlign w:val="bottom"/>
            <w:hideMark/>
          </w:tcPr>
          <w:p w14:paraId="0A9F610C" w14:textId="77777777" w:rsidR="003D0C85" w:rsidRPr="003D0C85" w:rsidRDefault="003D0C85" w:rsidP="003D0C85">
            <w:pPr>
              <w:spacing w:after="0" w:line="240" w:lineRule="auto"/>
              <w:jc w:val="right"/>
              <w:rPr>
                <w:rFonts w:ascii="Calibri" w:eastAsia="Times New Roman" w:hAnsi="Calibri" w:cs="Calibri"/>
                <w:sz w:val="18"/>
                <w:szCs w:val="18"/>
                <w:lang w:eastAsia="hr-HR"/>
              </w:rPr>
            </w:pPr>
            <w:r w:rsidRPr="003D0C85">
              <w:rPr>
                <w:rFonts w:ascii="Calibri" w:eastAsia="Times New Roman" w:hAnsi="Calibri" w:cs="Calibri"/>
                <w:sz w:val="18"/>
                <w:szCs w:val="18"/>
                <w:lang w:eastAsia="hr-HR"/>
              </w:rPr>
              <w:t>0</w:t>
            </w:r>
          </w:p>
        </w:tc>
        <w:tc>
          <w:tcPr>
            <w:tcW w:w="521" w:type="dxa"/>
            <w:tcBorders>
              <w:top w:val="nil"/>
              <w:left w:val="nil"/>
              <w:bottom w:val="single" w:sz="4" w:space="0" w:color="auto"/>
              <w:right w:val="single" w:sz="4" w:space="0" w:color="auto"/>
            </w:tcBorders>
            <w:shd w:val="clear" w:color="000000" w:fill="FFFF00"/>
            <w:noWrap/>
            <w:vAlign w:val="bottom"/>
            <w:hideMark/>
          </w:tcPr>
          <w:p w14:paraId="1F5AB9B1" w14:textId="77777777" w:rsidR="003D0C85" w:rsidRPr="003D0C85" w:rsidRDefault="003D0C85" w:rsidP="003D0C85">
            <w:pPr>
              <w:spacing w:after="0" w:line="240" w:lineRule="auto"/>
              <w:jc w:val="right"/>
              <w:rPr>
                <w:rFonts w:ascii="Calibri" w:eastAsia="Times New Roman" w:hAnsi="Calibri" w:cs="Calibri"/>
                <w:sz w:val="18"/>
                <w:szCs w:val="18"/>
                <w:lang w:eastAsia="hr-HR"/>
              </w:rPr>
            </w:pPr>
            <w:r w:rsidRPr="003D0C85">
              <w:rPr>
                <w:rFonts w:ascii="Calibri" w:eastAsia="Times New Roman" w:hAnsi="Calibri" w:cs="Calibri"/>
                <w:sz w:val="18"/>
                <w:szCs w:val="18"/>
                <w:lang w:eastAsia="hr-HR"/>
              </w:rPr>
              <w:t>0</w:t>
            </w:r>
          </w:p>
        </w:tc>
        <w:tc>
          <w:tcPr>
            <w:tcW w:w="446" w:type="dxa"/>
            <w:tcBorders>
              <w:top w:val="nil"/>
              <w:left w:val="nil"/>
              <w:bottom w:val="single" w:sz="4" w:space="0" w:color="auto"/>
              <w:right w:val="single" w:sz="4" w:space="0" w:color="auto"/>
            </w:tcBorders>
            <w:shd w:val="clear" w:color="auto" w:fill="auto"/>
            <w:vAlign w:val="bottom"/>
            <w:hideMark/>
          </w:tcPr>
          <w:p w14:paraId="769274D8" w14:textId="77777777" w:rsidR="003D0C85" w:rsidRPr="003D0C85" w:rsidRDefault="003D0C85" w:rsidP="003D0C85">
            <w:pPr>
              <w:spacing w:after="0" w:line="240" w:lineRule="auto"/>
              <w:jc w:val="right"/>
              <w:rPr>
                <w:rFonts w:ascii="Calibri" w:eastAsia="Times New Roman" w:hAnsi="Calibri" w:cs="Calibri"/>
                <w:b/>
                <w:bCs/>
                <w:sz w:val="18"/>
                <w:szCs w:val="18"/>
                <w:lang w:eastAsia="hr-HR"/>
              </w:rPr>
            </w:pPr>
            <w:r w:rsidRPr="003D0C85">
              <w:rPr>
                <w:rFonts w:ascii="Calibri" w:eastAsia="Times New Roman" w:hAnsi="Calibri" w:cs="Calibri"/>
                <w:b/>
                <w:bCs/>
                <w:sz w:val="18"/>
                <w:szCs w:val="18"/>
                <w:lang w:eastAsia="hr-HR"/>
              </w:rPr>
              <w:t>0</w:t>
            </w:r>
          </w:p>
        </w:tc>
        <w:tc>
          <w:tcPr>
            <w:tcW w:w="792" w:type="dxa"/>
            <w:gridSpan w:val="2"/>
            <w:tcBorders>
              <w:top w:val="nil"/>
              <w:left w:val="nil"/>
              <w:bottom w:val="single" w:sz="4" w:space="0" w:color="auto"/>
              <w:right w:val="single" w:sz="4" w:space="0" w:color="auto"/>
            </w:tcBorders>
            <w:shd w:val="clear" w:color="000000" w:fill="FFFF00"/>
            <w:vAlign w:val="bottom"/>
            <w:hideMark/>
          </w:tcPr>
          <w:p w14:paraId="6B996F7D" w14:textId="77777777" w:rsidR="003D0C85" w:rsidRPr="003D0C85" w:rsidRDefault="003D0C85" w:rsidP="003D0C85">
            <w:pPr>
              <w:spacing w:after="0" w:line="240" w:lineRule="auto"/>
              <w:jc w:val="right"/>
              <w:rPr>
                <w:rFonts w:ascii="Calibri" w:eastAsia="Times New Roman" w:hAnsi="Calibri" w:cs="Calibri"/>
                <w:b/>
                <w:bCs/>
                <w:sz w:val="18"/>
                <w:szCs w:val="18"/>
                <w:lang w:eastAsia="hr-HR"/>
              </w:rPr>
            </w:pPr>
            <w:r w:rsidRPr="003D0C85">
              <w:rPr>
                <w:rFonts w:ascii="Calibri" w:eastAsia="Times New Roman" w:hAnsi="Calibri" w:cs="Calibri"/>
                <w:b/>
                <w:bCs/>
                <w:sz w:val="18"/>
                <w:szCs w:val="18"/>
                <w:lang w:eastAsia="hr-HR"/>
              </w:rPr>
              <w:t>0</w:t>
            </w:r>
          </w:p>
        </w:tc>
        <w:tc>
          <w:tcPr>
            <w:tcW w:w="507" w:type="dxa"/>
            <w:gridSpan w:val="2"/>
            <w:tcBorders>
              <w:top w:val="nil"/>
              <w:left w:val="nil"/>
              <w:bottom w:val="single" w:sz="4" w:space="0" w:color="auto"/>
              <w:right w:val="single" w:sz="4" w:space="0" w:color="auto"/>
            </w:tcBorders>
            <w:shd w:val="clear" w:color="000000" w:fill="FF9900"/>
            <w:noWrap/>
            <w:vAlign w:val="bottom"/>
            <w:hideMark/>
          </w:tcPr>
          <w:p w14:paraId="7856F356" w14:textId="77777777" w:rsidR="003D0C85" w:rsidRPr="003D0C85" w:rsidRDefault="003D0C85" w:rsidP="003D0C85">
            <w:pPr>
              <w:spacing w:after="0" w:line="240" w:lineRule="auto"/>
              <w:jc w:val="right"/>
              <w:rPr>
                <w:rFonts w:ascii="Calibri" w:eastAsia="Times New Roman" w:hAnsi="Calibri" w:cs="Calibri"/>
                <w:sz w:val="18"/>
                <w:szCs w:val="18"/>
                <w:lang w:eastAsia="hr-HR"/>
              </w:rPr>
            </w:pPr>
            <w:r w:rsidRPr="003D0C85">
              <w:rPr>
                <w:rFonts w:ascii="Calibri" w:eastAsia="Times New Roman" w:hAnsi="Calibri" w:cs="Calibri"/>
                <w:sz w:val="18"/>
                <w:szCs w:val="18"/>
                <w:lang w:eastAsia="hr-HR"/>
              </w:rPr>
              <w:t>0</w:t>
            </w:r>
          </w:p>
        </w:tc>
        <w:tc>
          <w:tcPr>
            <w:tcW w:w="244" w:type="dxa"/>
            <w:tcBorders>
              <w:top w:val="nil"/>
              <w:left w:val="nil"/>
              <w:bottom w:val="single" w:sz="4" w:space="0" w:color="auto"/>
              <w:right w:val="single" w:sz="4" w:space="0" w:color="auto"/>
            </w:tcBorders>
            <w:shd w:val="clear" w:color="000000" w:fill="CCFFFF"/>
            <w:noWrap/>
            <w:vAlign w:val="bottom"/>
            <w:hideMark/>
          </w:tcPr>
          <w:p w14:paraId="3AC21DDB" w14:textId="77777777" w:rsidR="003D0C85" w:rsidRPr="003D0C85" w:rsidRDefault="003D0C85" w:rsidP="003D0C85">
            <w:pPr>
              <w:spacing w:after="0" w:line="240" w:lineRule="auto"/>
              <w:jc w:val="right"/>
              <w:rPr>
                <w:rFonts w:ascii="Calibri" w:eastAsia="Times New Roman" w:hAnsi="Calibri" w:cs="Calibri"/>
                <w:sz w:val="18"/>
                <w:szCs w:val="18"/>
                <w:lang w:eastAsia="hr-HR"/>
              </w:rPr>
            </w:pPr>
            <w:r w:rsidRPr="003D0C85">
              <w:rPr>
                <w:rFonts w:ascii="Calibri" w:eastAsia="Times New Roman" w:hAnsi="Calibri" w:cs="Calibri"/>
                <w:sz w:val="18"/>
                <w:szCs w:val="18"/>
                <w:lang w:eastAsia="hr-HR"/>
              </w:rPr>
              <w:t>0</w:t>
            </w:r>
          </w:p>
        </w:tc>
        <w:tc>
          <w:tcPr>
            <w:tcW w:w="425" w:type="dxa"/>
            <w:tcBorders>
              <w:top w:val="nil"/>
              <w:left w:val="nil"/>
              <w:bottom w:val="single" w:sz="4" w:space="0" w:color="auto"/>
              <w:right w:val="single" w:sz="4" w:space="0" w:color="auto"/>
            </w:tcBorders>
            <w:shd w:val="clear" w:color="000000" w:fill="CCFFFF"/>
            <w:noWrap/>
            <w:vAlign w:val="bottom"/>
            <w:hideMark/>
          </w:tcPr>
          <w:p w14:paraId="44003EE3" w14:textId="77777777" w:rsidR="003D0C85" w:rsidRPr="003D0C85" w:rsidRDefault="003D0C85" w:rsidP="003D0C85">
            <w:pPr>
              <w:spacing w:after="0" w:line="240" w:lineRule="auto"/>
              <w:jc w:val="right"/>
              <w:rPr>
                <w:rFonts w:ascii="Calibri" w:eastAsia="Times New Roman" w:hAnsi="Calibri" w:cs="Calibri"/>
                <w:sz w:val="18"/>
                <w:szCs w:val="18"/>
                <w:lang w:eastAsia="hr-HR"/>
              </w:rPr>
            </w:pPr>
            <w:r w:rsidRPr="003D0C85">
              <w:rPr>
                <w:rFonts w:ascii="Calibri" w:eastAsia="Times New Roman" w:hAnsi="Calibri" w:cs="Calibri"/>
                <w:sz w:val="18"/>
                <w:szCs w:val="18"/>
                <w:lang w:eastAsia="hr-HR"/>
              </w:rPr>
              <w:t>0</w:t>
            </w:r>
          </w:p>
        </w:tc>
        <w:tc>
          <w:tcPr>
            <w:tcW w:w="607" w:type="dxa"/>
            <w:tcBorders>
              <w:top w:val="nil"/>
              <w:left w:val="nil"/>
              <w:bottom w:val="single" w:sz="4" w:space="0" w:color="auto"/>
              <w:right w:val="single" w:sz="4" w:space="0" w:color="auto"/>
            </w:tcBorders>
            <w:shd w:val="clear" w:color="000000" w:fill="CCFFFF"/>
            <w:noWrap/>
            <w:vAlign w:val="bottom"/>
            <w:hideMark/>
          </w:tcPr>
          <w:p w14:paraId="58796C9F" w14:textId="77777777" w:rsidR="003D0C85" w:rsidRPr="003D0C85" w:rsidRDefault="003D0C85" w:rsidP="003D0C85">
            <w:pPr>
              <w:spacing w:after="0" w:line="240" w:lineRule="auto"/>
              <w:jc w:val="right"/>
              <w:rPr>
                <w:rFonts w:ascii="Calibri" w:eastAsia="Times New Roman" w:hAnsi="Calibri" w:cs="Calibri"/>
                <w:sz w:val="18"/>
                <w:szCs w:val="18"/>
                <w:lang w:eastAsia="hr-HR"/>
              </w:rPr>
            </w:pPr>
            <w:r w:rsidRPr="003D0C85">
              <w:rPr>
                <w:rFonts w:ascii="Calibri" w:eastAsia="Times New Roman" w:hAnsi="Calibri" w:cs="Calibri"/>
                <w:sz w:val="18"/>
                <w:szCs w:val="18"/>
                <w:lang w:eastAsia="hr-HR"/>
              </w:rPr>
              <w:t>0</w:t>
            </w:r>
          </w:p>
        </w:tc>
        <w:tc>
          <w:tcPr>
            <w:tcW w:w="425" w:type="dxa"/>
            <w:gridSpan w:val="2"/>
            <w:tcBorders>
              <w:top w:val="nil"/>
              <w:left w:val="nil"/>
              <w:bottom w:val="single" w:sz="4" w:space="0" w:color="auto"/>
              <w:right w:val="nil"/>
            </w:tcBorders>
            <w:shd w:val="clear" w:color="000000" w:fill="33CCCC"/>
            <w:noWrap/>
            <w:vAlign w:val="bottom"/>
            <w:hideMark/>
          </w:tcPr>
          <w:p w14:paraId="4548E7A7" w14:textId="77777777" w:rsidR="003D0C85" w:rsidRPr="003D0C85" w:rsidRDefault="003D0C85" w:rsidP="003D0C85">
            <w:pPr>
              <w:spacing w:after="0" w:line="240" w:lineRule="auto"/>
              <w:jc w:val="right"/>
              <w:rPr>
                <w:rFonts w:ascii="Calibri" w:eastAsia="Times New Roman" w:hAnsi="Calibri" w:cs="Calibri"/>
                <w:sz w:val="18"/>
                <w:szCs w:val="18"/>
                <w:lang w:eastAsia="hr-HR"/>
              </w:rPr>
            </w:pPr>
            <w:r w:rsidRPr="003D0C85">
              <w:rPr>
                <w:rFonts w:ascii="Calibri" w:eastAsia="Times New Roman" w:hAnsi="Calibri" w:cs="Calibri"/>
                <w:sz w:val="18"/>
                <w:szCs w:val="18"/>
                <w:lang w:eastAsia="hr-HR"/>
              </w:rPr>
              <w:t>0</w:t>
            </w:r>
          </w:p>
        </w:tc>
        <w:tc>
          <w:tcPr>
            <w:tcW w:w="452" w:type="dxa"/>
            <w:gridSpan w:val="2"/>
            <w:tcBorders>
              <w:top w:val="nil"/>
              <w:left w:val="single" w:sz="4" w:space="0" w:color="auto"/>
              <w:bottom w:val="single" w:sz="4" w:space="0" w:color="auto"/>
              <w:right w:val="single" w:sz="8" w:space="0" w:color="auto"/>
            </w:tcBorders>
            <w:shd w:val="clear" w:color="000000" w:fill="33CCCC"/>
            <w:noWrap/>
            <w:vAlign w:val="bottom"/>
            <w:hideMark/>
          </w:tcPr>
          <w:p w14:paraId="18EBCDFB" w14:textId="77777777" w:rsidR="003D0C85" w:rsidRPr="003D0C85" w:rsidRDefault="003D0C85" w:rsidP="003D0C85">
            <w:pPr>
              <w:spacing w:after="0" w:line="240" w:lineRule="auto"/>
              <w:jc w:val="right"/>
              <w:rPr>
                <w:rFonts w:ascii="Calibri" w:eastAsia="Times New Roman" w:hAnsi="Calibri" w:cs="Calibri"/>
                <w:sz w:val="18"/>
                <w:szCs w:val="18"/>
                <w:lang w:eastAsia="hr-HR"/>
              </w:rPr>
            </w:pPr>
            <w:r w:rsidRPr="003D0C85">
              <w:rPr>
                <w:rFonts w:ascii="Calibri" w:eastAsia="Times New Roman" w:hAnsi="Calibri" w:cs="Calibri"/>
                <w:sz w:val="18"/>
                <w:szCs w:val="18"/>
                <w:lang w:eastAsia="hr-HR"/>
              </w:rPr>
              <w:t>0</w:t>
            </w:r>
          </w:p>
        </w:tc>
        <w:tc>
          <w:tcPr>
            <w:tcW w:w="236" w:type="dxa"/>
            <w:gridSpan w:val="3"/>
            <w:vAlign w:val="center"/>
            <w:hideMark/>
          </w:tcPr>
          <w:p w14:paraId="2949E7A2" w14:textId="77777777" w:rsidR="003D0C85" w:rsidRPr="003D0C85" w:rsidRDefault="003D0C85" w:rsidP="003D0C85">
            <w:pPr>
              <w:spacing w:after="0" w:line="240" w:lineRule="auto"/>
              <w:rPr>
                <w:rFonts w:ascii="Times New Roman" w:eastAsia="Times New Roman" w:hAnsi="Times New Roman" w:cs="Times New Roman"/>
                <w:sz w:val="18"/>
                <w:szCs w:val="18"/>
                <w:lang w:eastAsia="hr-HR"/>
              </w:rPr>
            </w:pPr>
          </w:p>
        </w:tc>
      </w:tr>
      <w:tr w:rsidR="00E72E51" w:rsidRPr="00E72E51" w14:paraId="06008B41" w14:textId="77777777" w:rsidTr="00E72E51">
        <w:trPr>
          <w:trHeight w:val="315"/>
        </w:trPr>
        <w:tc>
          <w:tcPr>
            <w:tcW w:w="983" w:type="dxa"/>
            <w:tcBorders>
              <w:top w:val="single" w:sz="4" w:space="0" w:color="auto"/>
              <w:left w:val="single" w:sz="8" w:space="0" w:color="auto"/>
              <w:bottom w:val="single" w:sz="4" w:space="0" w:color="auto"/>
              <w:right w:val="single" w:sz="4" w:space="0" w:color="auto"/>
            </w:tcBorders>
            <w:shd w:val="clear" w:color="000000" w:fill="CCFFCC"/>
            <w:vAlign w:val="center"/>
            <w:hideMark/>
          </w:tcPr>
          <w:p w14:paraId="4AC21BD5" w14:textId="77777777" w:rsidR="003D0C85" w:rsidRPr="003D0C85" w:rsidRDefault="003D0C85" w:rsidP="003D0C85">
            <w:pPr>
              <w:spacing w:after="0" w:line="240" w:lineRule="auto"/>
              <w:rPr>
                <w:rFonts w:ascii="Calibri" w:eastAsia="Times New Roman" w:hAnsi="Calibri" w:cs="Calibri"/>
                <w:sz w:val="18"/>
                <w:szCs w:val="18"/>
                <w:lang w:eastAsia="hr-HR"/>
              </w:rPr>
            </w:pPr>
            <w:r w:rsidRPr="003D0C85">
              <w:rPr>
                <w:rFonts w:ascii="Calibri" w:eastAsia="Times New Roman" w:hAnsi="Calibri" w:cs="Calibri"/>
                <w:sz w:val="18"/>
                <w:szCs w:val="18"/>
                <w:lang w:eastAsia="hr-HR"/>
              </w:rPr>
              <w:t>Rođenje</w:t>
            </w:r>
          </w:p>
        </w:tc>
        <w:tc>
          <w:tcPr>
            <w:tcW w:w="442" w:type="dxa"/>
            <w:tcBorders>
              <w:top w:val="nil"/>
              <w:left w:val="nil"/>
              <w:bottom w:val="single" w:sz="4" w:space="0" w:color="auto"/>
              <w:right w:val="single" w:sz="4" w:space="0" w:color="auto"/>
            </w:tcBorders>
            <w:shd w:val="clear" w:color="000000" w:fill="FFFF00"/>
            <w:vAlign w:val="bottom"/>
            <w:hideMark/>
          </w:tcPr>
          <w:p w14:paraId="13B28503" w14:textId="77777777" w:rsidR="003D0C85" w:rsidRPr="003D0C85" w:rsidRDefault="003D0C85" w:rsidP="003D0C85">
            <w:pPr>
              <w:spacing w:after="0" w:line="240" w:lineRule="auto"/>
              <w:jc w:val="right"/>
              <w:rPr>
                <w:rFonts w:ascii="Calibri" w:eastAsia="Times New Roman" w:hAnsi="Calibri" w:cs="Calibri"/>
                <w:b/>
                <w:bCs/>
                <w:sz w:val="18"/>
                <w:szCs w:val="18"/>
                <w:lang w:eastAsia="hr-HR"/>
              </w:rPr>
            </w:pPr>
            <w:r w:rsidRPr="003D0C85">
              <w:rPr>
                <w:rFonts w:ascii="Calibri" w:eastAsia="Times New Roman" w:hAnsi="Calibri" w:cs="Calibri"/>
                <w:b/>
                <w:bCs/>
                <w:sz w:val="18"/>
                <w:szCs w:val="18"/>
                <w:lang w:eastAsia="hr-HR"/>
              </w:rPr>
              <w:t>0</w:t>
            </w:r>
          </w:p>
        </w:tc>
        <w:tc>
          <w:tcPr>
            <w:tcW w:w="443" w:type="dxa"/>
            <w:tcBorders>
              <w:top w:val="nil"/>
              <w:left w:val="nil"/>
              <w:bottom w:val="single" w:sz="4" w:space="0" w:color="auto"/>
              <w:right w:val="single" w:sz="4" w:space="0" w:color="auto"/>
            </w:tcBorders>
            <w:shd w:val="clear" w:color="000000" w:fill="FFCC99"/>
            <w:noWrap/>
            <w:vAlign w:val="bottom"/>
            <w:hideMark/>
          </w:tcPr>
          <w:p w14:paraId="42A57445" w14:textId="77777777" w:rsidR="003D0C85" w:rsidRPr="003D0C85" w:rsidRDefault="003D0C85" w:rsidP="003D0C85">
            <w:pPr>
              <w:spacing w:after="0" w:line="240" w:lineRule="auto"/>
              <w:jc w:val="right"/>
              <w:rPr>
                <w:rFonts w:ascii="Calibri" w:eastAsia="Times New Roman" w:hAnsi="Calibri" w:cs="Calibri"/>
                <w:sz w:val="18"/>
                <w:szCs w:val="18"/>
                <w:lang w:eastAsia="hr-HR"/>
              </w:rPr>
            </w:pPr>
            <w:r w:rsidRPr="003D0C85">
              <w:rPr>
                <w:rFonts w:ascii="Calibri" w:eastAsia="Times New Roman" w:hAnsi="Calibri" w:cs="Calibri"/>
                <w:sz w:val="18"/>
                <w:szCs w:val="18"/>
                <w:lang w:eastAsia="hr-HR"/>
              </w:rPr>
              <w:t>0</w:t>
            </w:r>
          </w:p>
        </w:tc>
        <w:tc>
          <w:tcPr>
            <w:tcW w:w="316" w:type="dxa"/>
            <w:tcBorders>
              <w:top w:val="nil"/>
              <w:left w:val="nil"/>
              <w:bottom w:val="single" w:sz="4" w:space="0" w:color="auto"/>
              <w:right w:val="single" w:sz="4" w:space="0" w:color="auto"/>
            </w:tcBorders>
            <w:shd w:val="clear" w:color="000000" w:fill="CCFFFF"/>
            <w:vAlign w:val="bottom"/>
            <w:hideMark/>
          </w:tcPr>
          <w:p w14:paraId="606A4D09" w14:textId="77777777" w:rsidR="003D0C85" w:rsidRPr="003D0C85" w:rsidRDefault="003D0C85" w:rsidP="003D0C85">
            <w:pPr>
              <w:spacing w:after="0" w:line="240" w:lineRule="auto"/>
              <w:jc w:val="right"/>
              <w:rPr>
                <w:rFonts w:ascii="Calibri" w:eastAsia="Times New Roman" w:hAnsi="Calibri" w:cs="Calibri"/>
                <w:sz w:val="18"/>
                <w:szCs w:val="18"/>
                <w:lang w:eastAsia="hr-HR"/>
              </w:rPr>
            </w:pPr>
            <w:r w:rsidRPr="003D0C85">
              <w:rPr>
                <w:rFonts w:ascii="Calibri" w:eastAsia="Times New Roman" w:hAnsi="Calibri" w:cs="Calibri"/>
                <w:sz w:val="18"/>
                <w:szCs w:val="18"/>
                <w:lang w:eastAsia="hr-HR"/>
              </w:rPr>
              <w:t>0</w:t>
            </w:r>
          </w:p>
        </w:tc>
        <w:tc>
          <w:tcPr>
            <w:tcW w:w="452" w:type="dxa"/>
            <w:tcBorders>
              <w:top w:val="nil"/>
              <w:left w:val="nil"/>
              <w:bottom w:val="single" w:sz="4" w:space="0" w:color="auto"/>
              <w:right w:val="single" w:sz="4" w:space="0" w:color="auto"/>
            </w:tcBorders>
            <w:shd w:val="clear" w:color="000000" w:fill="CCFFFF"/>
            <w:vAlign w:val="bottom"/>
            <w:hideMark/>
          </w:tcPr>
          <w:p w14:paraId="691A4788" w14:textId="77777777" w:rsidR="003D0C85" w:rsidRPr="003D0C85" w:rsidRDefault="003D0C85" w:rsidP="003D0C85">
            <w:pPr>
              <w:spacing w:after="0" w:line="240" w:lineRule="auto"/>
              <w:jc w:val="right"/>
              <w:rPr>
                <w:rFonts w:ascii="Calibri" w:eastAsia="Times New Roman" w:hAnsi="Calibri" w:cs="Calibri"/>
                <w:sz w:val="18"/>
                <w:szCs w:val="18"/>
                <w:lang w:eastAsia="hr-HR"/>
              </w:rPr>
            </w:pPr>
            <w:r w:rsidRPr="003D0C85">
              <w:rPr>
                <w:rFonts w:ascii="Calibri" w:eastAsia="Times New Roman" w:hAnsi="Calibri" w:cs="Calibri"/>
                <w:sz w:val="18"/>
                <w:szCs w:val="18"/>
                <w:lang w:eastAsia="hr-HR"/>
              </w:rPr>
              <w:t>0</w:t>
            </w:r>
          </w:p>
        </w:tc>
        <w:tc>
          <w:tcPr>
            <w:tcW w:w="491" w:type="dxa"/>
            <w:gridSpan w:val="2"/>
            <w:tcBorders>
              <w:top w:val="nil"/>
              <w:left w:val="nil"/>
              <w:bottom w:val="single" w:sz="4" w:space="0" w:color="auto"/>
              <w:right w:val="single" w:sz="4" w:space="0" w:color="auto"/>
            </w:tcBorders>
            <w:shd w:val="clear" w:color="000000" w:fill="FFFF99"/>
            <w:noWrap/>
            <w:vAlign w:val="bottom"/>
            <w:hideMark/>
          </w:tcPr>
          <w:p w14:paraId="30371083" w14:textId="77777777" w:rsidR="003D0C85" w:rsidRPr="003D0C85" w:rsidRDefault="003D0C85" w:rsidP="003D0C85">
            <w:pPr>
              <w:spacing w:after="0" w:line="240" w:lineRule="auto"/>
              <w:jc w:val="right"/>
              <w:rPr>
                <w:rFonts w:ascii="Calibri" w:eastAsia="Times New Roman" w:hAnsi="Calibri" w:cs="Calibri"/>
                <w:sz w:val="18"/>
                <w:szCs w:val="18"/>
                <w:lang w:eastAsia="hr-HR"/>
              </w:rPr>
            </w:pPr>
            <w:r w:rsidRPr="003D0C85">
              <w:rPr>
                <w:rFonts w:ascii="Calibri" w:eastAsia="Times New Roman" w:hAnsi="Calibri" w:cs="Calibri"/>
                <w:sz w:val="18"/>
                <w:szCs w:val="18"/>
                <w:lang w:eastAsia="hr-HR"/>
              </w:rPr>
              <w:t>0</w:t>
            </w:r>
          </w:p>
        </w:tc>
        <w:tc>
          <w:tcPr>
            <w:tcW w:w="447" w:type="dxa"/>
            <w:tcBorders>
              <w:top w:val="nil"/>
              <w:left w:val="nil"/>
              <w:bottom w:val="single" w:sz="4" w:space="0" w:color="auto"/>
              <w:right w:val="single" w:sz="4" w:space="0" w:color="auto"/>
            </w:tcBorders>
            <w:shd w:val="clear" w:color="000000" w:fill="FFFF99"/>
            <w:noWrap/>
            <w:vAlign w:val="bottom"/>
            <w:hideMark/>
          </w:tcPr>
          <w:p w14:paraId="4B813ED7" w14:textId="77777777" w:rsidR="003D0C85" w:rsidRPr="003D0C85" w:rsidRDefault="003D0C85" w:rsidP="003D0C85">
            <w:pPr>
              <w:spacing w:after="0" w:line="240" w:lineRule="auto"/>
              <w:jc w:val="right"/>
              <w:rPr>
                <w:rFonts w:ascii="Calibri" w:eastAsia="Times New Roman" w:hAnsi="Calibri" w:cs="Calibri"/>
                <w:sz w:val="18"/>
                <w:szCs w:val="18"/>
                <w:lang w:eastAsia="hr-HR"/>
              </w:rPr>
            </w:pPr>
            <w:r w:rsidRPr="003D0C85">
              <w:rPr>
                <w:rFonts w:ascii="Calibri" w:eastAsia="Times New Roman" w:hAnsi="Calibri" w:cs="Calibri"/>
                <w:sz w:val="18"/>
                <w:szCs w:val="18"/>
                <w:lang w:eastAsia="hr-HR"/>
              </w:rPr>
              <w:t>0</w:t>
            </w:r>
          </w:p>
        </w:tc>
        <w:tc>
          <w:tcPr>
            <w:tcW w:w="495" w:type="dxa"/>
            <w:tcBorders>
              <w:top w:val="nil"/>
              <w:left w:val="nil"/>
              <w:bottom w:val="single" w:sz="4" w:space="0" w:color="auto"/>
              <w:right w:val="single" w:sz="4" w:space="0" w:color="auto"/>
            </w:tcBorders>
            <w:shd w:val="clear" w:color="000000" w:fill="FFFF99"/>
            <w:noWrap/>
            <w:vAlign w:val="bottom"/>
            <w:hideMark/>
          </w:tcPr>
          <w:p w14:paraId="3854A25C" w14:textId="77777777" w:rsidR="003D0C85" w:rsidRPr="003D0C85" w:rsidRDefault="003D0C85" w:rsidP="003D0C85">
            <w:pPr>
              <w:spacing w:after="0" w:line="240" w:lineRule="auto"/>
              <w:jc w:val="right"/>
              <w:rPr>
                <w:rFonts w:ascii="Calibri" w:eastAsia="Times New Roman" w:hAnsi="Calibri" w:cs="Calibri"/>
                <w:sz w:val="18"/>
                <w:szCs w:val="18"/>
                <w:lang w:eastAsia="hr-HR"/>
              </w:rPr>
            </w:pPr>
            <w:r w:rsidRPr="003D0C85">
              <w:rPr>
                <w:rFonts w:ascii="Calibri" w:eastAsia="Times New Roman" w:hAnsi="Calibri" w:cs="Calibri"/>
                <w:sz w:val="18"/>
                <w:szCs w:val="18"/>
                <w:lang w:eastAsia="hr-HR"/>
              </w:rPr>
              <w:t>0</w:t>
            </w:r>
          </w:p>
        </w:tc>
        <w:tc>
          <w:tcPr>
            <w:tcW w:w="451" w:type="dxa"/>
            <w:tcBorders>
              <w:top w:val="nil"/>
              <w:left w:val="nil"/>
              <w:bottom w:val="single" w:sz="4" w:space="0" w:color="auto"/>
              <w:right w:val="single" w:sz="4" w:space="0" w:color="auto"/>
            </w:tcBorders>
            <w:shd w:val="clear" w:color="000000" w:fill="FFFF99"/>
            <w:noWrap/>
            <w:vAlign w:val="bottom"/>
            <w:hideMark/>
          </w:tcPr>
          <w:p w14:paraId="21E57E9D" w14:textId="77777777" w:rsidR="003D0C85" w:rsidRPr="003D0C85" w:rsidRDefault="003D0C85" w:rsidP="003D0C85">
            <w:pPr>
              <w:spacing w:after="0" w:line="240" w:lineRule="auto"/>
              <w:jc w:val="right"/>
              <w:rPr>
                <w:rFonts w:ascii="Calibri" w:eastAsia="Times New Roman" w:hAnsi="Calibri" w:cs="Calibri"/>
                <w:sz w:val="18"/>
                <w:szCs w:val="18"/>
                <w:lang w:eastAsia="hr-HR"/>
              </w:rPr>
            </w:pPr>
            <w:r w:rsidRPr="003D0C85">
              <w:rPr>
                <w:rFonts w:ascii="Calibri" w:eastAsia="Times New Roman" w:hAnsi="Calibri" w:cs="Calibri"/>
                <w:sz w:val="18"/>
                <w:szCs w:val="18"/>
                <w:lang w:eastAsia="hr-HR"/>
              </w:rPr>
              <w:t>0</w:t>
            </w:r>
          </w:p>
        </w:tc>
        <w:tc>
          <w:tcPr>
            <w:tcW w:w="632" w:type="dxa"/>
            <w:gridSpan w:val="2"/>
            <w:tcBorders>
              <w:top w:val="nil"/>
              <w:left w:val="nil"/>
              <w:bottom w:val="single" w:sz="4" w:space="0" w:color="auto"/>
              <w:right w:val="single" w:sz="4" w:space="0" w:color="auto"/>
            </w:tcBorders>
            <w:shd w:val="clear" w:color="000000" w:fill="FFFF99"/>
            <w:noWrap/>
            <w:vAlign w:val="bottom"/>
            <w:hideMark/>
          </w:tcPr>
          <w:p w14:paraId="7C3702AE" w14:textId="77777777" w:rsidR="003D0C85" w:rsidRPr="003D0C85" w:rsidRDefault="003D0C85" w:rsidP="003D0C85">
            <w:pPr>
              <w:spacing w:after="0" w:line="240" w:lineRule="auto"/>
              <w:jc w:val="right"/>
              <w:rPr>
                <w:rFonts w:ascii="Calibri" w:eastAsia="Times New Roman" w:hAnsi="Calibri" w:cs="Calibri"/>
                <w:sz w:val="18"/>
                <w:szCs w:val="18"/>
                <w:lang w:eastAsia="hr-HR"/>
              </w:rPr>
            </w:pPr>
            <w:r w:rsidRPr="003D0C85">
              <w:rPr>
                <w:rFonts w:ascii="Calibri" w:eastAsia="Times New Roman" w:hAnsi="Calibri" w:cs="Calibri"/>
                <w:sz w:val="18"/>
                <w:szCs w:val="18"/>
                <w:lang w:eastAsia="hr-HR"/>
              </w:rPr>
              <w:t>0</w:t>
            </w:r>
          </w:p>
        </w:tc>
        <w:tc>
          <w:tcPr>
            <w:tcW w:w="447" w:type="dxa"/>
            <w:tcBorders>
              <w:top w:val="nil"/>
              <w:left w:val="nil"/>
              <w:bottom w:val="single" w:sz="4" w:space="0" w:color="auto"/>
              <w:right w:val="single" w:sz="4" w:space="0" w:color="auto"/>
            </w:tcBorders>
            <w:shd w:val="clear" w:color="000000" w:fill="FFFF99"/>
            <w:noWrap/>
            <w:vAlign w:val="bottom"/>
            <w:hideMark/>
          </w:tcPr>
          <w:p w14:paraId="656ECF82" w14:textId="77777777" w:rsidR="003D0C85" w:rsidRPr="003D0C85" w:rsidRDefault="003D0C85" w:rsidP="003D0C85">
            <w:pPr>
              <w:spacing w:after="0" w:line="240" w:lineRule="auto"/>
              <w:jc w:val="right"/>
              <w:rPr>
                <w:rFonts w:ascii="Calibri" w:eastAsia="Times New Roman" w:hAnsi="Calibri" w:cs="Calibri"/>
                <w:sz w:val="18"/>
                <w:szCs w:val="18"/>
                <w:lang w:eastAsia="hr-HR"/>
              </w:rPr>
            </w:pPr>
            <w:r w:rsidRPr="003D0C85">
              <w:rPr>
                <w:rFonts w:ascii="Calibri" w:eastAsia="Times New Roman" w:hAnsi="Calibri" w:cs="Calibri"/>
                <w:sz w:val="18"/>
                <w:szCs w:val="18"/>
                <w:lang w:eastAsia="hr-HR"/>
              </w:rPr>
              <w:t>0</w:t>
            </w:r>
          </w:p>
        </w:tc>
        <w:tc>
          <w:tcPr>
            <w:tcW w:w="543" w:type="dxa"/>
            <w:tcBorders>
              <w:top w:val="nil"/>
              <w:left w:val="nil"/>
              <w:bottom w:val="single" w:sz="4" w:space="0" w:color="auto"/>
              <w:right w:val="single" w:sz="4" w:space="0" w:color="auto"/>
            </w:tcBorders>
            <w:shd w:val="clear" w:color="000000" w:fill="FFFF99"/>
            <w:noWrap/>
            <w:vAlign w:val="bottom"/>
            <w:hideMark/>
          </w:tcPr>
          <w:p w14:paraId="671BA9A2" w14:textId="77777777" w:rsidR="003D0C85" w:rsidRPr="003D0C85" w:rsidRDefault="003D0C85" w:rsidP="003D0C85">
            <w:pPr>
              <w:spacing w:after="0" w:line="240" w:lineRule="auto"/>
              <w:jc w:val="right"/>
              <w:rPr>
                <w:rFonts w:ascii="Calibri" w:eastAsia="Times New Roman" w:hAnsi="Calibri" w:cs="Calibri"/>
                <w:sz w:val="18"/>
                <w:szCs w:val="18"/>
                <w:lang w:eastAsia="hr-HR"/>
              </w:rPr>
            </w:pPr>
            <w:r w:rsidRPr="003D0C85">
              <w:rPr>
                <w:rFonts w:ascii="Calibri" w:eastAsia="Times New Roman" w:hAnsi="Calibri" w:cs="Calibri"/>
                <w:sz w:val="18"/>
                <w:szCs w:val="18"/>
                <w:lang w:eastAsia="hr-HR"/>
              </w:rPr>
              <w:t>0</w:t>
            </w:r>
          </w:p>
        </w:tc>
        <w:tc>
          <w:tcPr>
            <w:tcW w:w="447" w:type="dxa"/>
            <w:tcBorders>
              <w:top w:val="nil"/>
              <w:left w:val="nil"/>
              <w:bottom w:val="single" w:sz="4" w:space="0" w:color="auto"/>
              <w:right w:val="single" w:sz="4" w:space="0" w:color="auto"/>
            </w:tcBorders>
            <w:shd w:val="clear" w:color="000000" w:fill="FFFF99"/>
            <w:noWrap/>
            <w:vAlign w:val="bottom"/>
            <w:hideMark/>
          </w:tcPr>
          <w:p w14:paraId="2B478BE9" w14:textId="77777777" w:rsidR="003D0C85" w:rsidRPr="003D0C85" w:rsidRDefault="003D0C85" w:rsidP="003D0C85">
            <w:pPr>
              <w:spacing w:after="0" w:line="240" w:lineRule="auto"/>
              <w:jc w:val="right"/>
              <w:rPr>
                <w:rFonts w:ascii="Calibri" w:eastAsia="Times New Roman" w:hAnsi="Calibri" w:cs="Calibri"/>
                <w:sz w:val="18"/>
                <w:szCs w:val="18"/>
                <w:lang w:eastAsia="hr-HR"/>
              </w:rPr>
            </w:pPr>
            <w:r w:rsidRPr="003D0C85">
              <w:rPr>
                <w:rFonts w:ascii="Calibri" w:eastAsia="Times New Roman" w:hAnsi="Calibri" w:cs="Calibri"/>
                <w:sz w:val="18"/>
                <w:szCs w:val="18"/>
                <w:lang w:eastAsia="hr-HR"/>
              </w:rPr>
              <w:t>0</w:t>
            </w:r>
          </w:p>
        </w:tc>
        <w:tc>
          <w:tcPr>
            <w:tcW w:w="543" w:type="dxa"/>
            <w:tcBorders>
              <w:top w:val="nil"/>
              <w:left w:val="nil"/>
              <w:bottom w:val="single" w:sz="4" w:space="0" w:color="auto"/>
              <w:right w:val="single" w:sz="4" w:space="0" w:color="auto"/>
            </w:tcBorders>
            <w:shd w:val="clear" w:color="000000" w:fill="FFFF99"/>
            <w:noWrap/>
            <w:vAlign w:val="bottom"/>
            <w:hideMark/>
          </w:tcPr>
          <w:p w14:paraId="72CF3E3C" w14:textId="77777777" w:rsidR="003D0C85" w:rsidRPr="003D0C85" w:rsidRDefault="003D0C85" w:rsidP="003D0C85">
            <w:pPr>
              <w:spacing w:after="0" w:line="240" w:lineRule="auto"/>
              <w:jc w:val="right"/>
              <w:rPr>
                <w:rFonts w:ascii="Calibri" w:eastAsia="Times New Roman" w:hAnsi="Calibri" w:cs="Calibri"/>
                <w:sz w:val="18"/>
                <w:szCs w:val="18"/>
                <w:lang w:eastAsia="hr-HR"/>
              </w:rPr>
            </w:pPr>
            <w:r w:rsidRPr="003D0C85">
              <w:rPr>
                <w:rFonts w:ascii="Calibri" w:eastAsia="Times New Roman" w:hAnsi="Calibri" w:cs="Calibri"/>
                <w:sz w:val="18"/>
                <w:szCs w:val="18"/>
                <w:lang w:eastAsia="hr-HR"/>
              </w:rPr>
              <w:t>0</w:t>
            </w:r>
          </w:p>
        </w:tc>
        <w:tc>
          <w:tcPr>
            <w:tcW w:w="356" w:type="dxa"/>
            <w:tcBorders>
              <w:top w:val="nil"/>
              <w:left w:val="nil"/>
              <w:bottom w:val="single" w:sz="4" w:space="0" w:color="auto"/>
              <w:right w:val="single" w:sz="4" w:space="0" w:color="auto"/>
            </w:tcBorders>
            <w:shd w:val="clear" w:color="000000" w:fill="FFFF99"/>
            <w:noWrap/>
            <w:vAlign w:val="bottom"/>
            <w:hideMark/>
          </w:tcPr>
          <w:p w14:paraId="139386C6" w14:textId="77777777" w:rsidR="003D0C85" w:rsidRPr="003D0C85" w:rsidRDefault="003D0C85" w:rsidP="003D0C85">
            <w:pPr>
              <w:spacing w:after="0" w:line="240" w:lineRule="auto"/>
              <w:jc w:val="right"/>
              <w:rPr>
                <w:rFonts w:ascii="Calibri" w:eastAsia="Times New Roman" w:hAnsi="Calibri" w:cs="Calibri"/>
                <w:sz w:val="18"/>
                <w:szCs w:val="18"/>
                <w:lang w:eastAsia="hr-HR"/>
              </w:rPr>
            </w:pPr>
            <w:r w:rsidRPr="003D0C85">
              <w:rPr>
                <w:rFonts w:ascii="Calibri" w:eastAsia="Times New Roman" w:hAnsi="Calibri" w:cs="Calibri"/>
                <w:sz w:val="18"/>
                <w:szCs w:val="18"/>
                <w:lang w:eastAsia="hr-HR"/>
              </w:rPr>
              <w:t>0</w:t>
            </w:r>
          </w:p>
        </w:tc>
        <w:tc>
          <w:tcPr>
            <w:tcW w:w="447" w:type="dxa"/>
            <w:gridSpan w:val="2"/>
            <w:tcBorders>
              <w:top w:val="nil"/>
              <w:left w:val="nil"/>
              <w:bottom w:val="single" w:sz="4" w:space="0" w:color="auto"/>
              <w:right w:val="single" w:sz="4" w:space="0" w:color="auto"/>
            </w:tcBorders>
            <w:shd w:val="clear" w:color="000000" w:fill="FF9900"/>
            <w:noWrap/>
            <w:vAlign w:val="bottom"/>
            <w:hideMark/>
          </w:tcPr>
          <w:p w14:paraId="1DA620E4" w14:textId="77777777" w:rsidR="003D0C85" w:rsidRPr="003D0C85" w:rsidRDefault="003D0C85" w:rsidP="003D0C85">
            <w:pPr>
              <w:spacing w:after="0" w:line="240" w:lineRule="auto"/>
              <w:jc w:val="right"/>
              <w:rPr>
                <w:rFonts w:ascii="Calibri" w:eastAsia="Times New Roman" w:hAnsi="Calibri" w:cs="Calibri"/>
                <w:sz w:val="18"/>
                <w:szCs w:val="18"/>
                <w:lang w:eastAsia="hr-HR"/>
              </w:rPr>
            </w:pPr>
            <w:r w:rsidRPr="003D0C85">
              <w:rPr>
                <w:rFonts w:ascii="Calibri" w:eastAsia="Times New Roman" w:hAnsi="Calibri" w:cs="Calibri"/>
                <w:sz w:val="18"/>
                <w:szCs w:val="18"/>
                <w:lang w:eastAsia="hr-HR"/>
              </w:rPr>
              <w:t>0</w:t>
            </w:r>
          </w:p>
        </w:tc>
        <w:tc>
          <w:tcPr>
            <w:tcW w:w="447" w:type="dxa"/>
            <w:tcBorders>
              <w:top w:val="nil"/>
              <w:left w:val="nil"/>
              <w:bottom w:val="single" w:sz="4" w:space="0" w:color="auto"/>
              <w:right w:val="single" w:sz="4" w:space="0" w:color="auto"/>
            </w:tcBorders>
            <w:shd w:val="clear" w:color="000000" w:fill="FF9900"/>
            <w:noWrap/>
            <w:vAlign w:val="bottom"/>
            <w:hideMark/>
          </w:tcPr>
          <w:p w14:paraId="09487ED5" w14:textId="77777777" w:rsidR="003D0C85" w:rsidRPr="003D0C85" w:rsidRDefault="003D0C85" w:rsidP="003D0C85">
            <w:pPr>
              <w:spacing w:after="0" w:line="240" w:lineRule="auto"/>
              <w:jc w:val="right"/>
              <w:rPr>
                <w:rFonts w:ascii="Calibri" w:eastAsia="Times New Roman" w:hAnsi="Calibri" w:cs="Calibri"/>
                <w:sz w:val="18"/>
                <w:szCs w:val="18"/>
                <w:lang w:eastAsia="hr-HR"/>
              </w:rPr>
            </w:pPr>
            <w:r w:rsidRPr="003D0C85">
              <w:rPr>
                <w:rFonts w:ascii="Calibri" w:eastAsia="Times New Roman" w:hAnsi="Calibri" w:cs="Calibri"/>
                <w:sz w:val="18"/>
                <w:szCs w:val="18"/>
                <w:lang w:eastAsia="hr-HR"/>
              </w:rPr>
              <w:t>0</w:t>
            </w:r>
          </w:p>
        </w:tc>
        <w:tc>
          <w:tcPr>
            <w:tcW w:w="447" w:type="dxa"/>
            <w:tcBorders>
              <w:top w:val="nil"/>
              <w:left w:val="nil"/>
              <w:bottom w:val="single" w:sz="4" w:space="0" w:color="auto"/>
              <w:right w:val="single" w:sz="4" w:space="0" w:color="auto"/>
            </w:tcBorders>
            <w:shd w:val="clear" w:color="000000" w:fill="FF9900"/>
            <w:noWrap/>
            <w:vAlign w:val="bottom"/>
            <w:hideMark/>
          </w:tcPr>
          <w:p w14:paraId="3D36671A" w14:textId="77777777" w:rsidR="003D0C85" w:rsidRPr="003D0C85" w:rsidRDefault="003D0C85" w:rsidP="003D0C85">
            <w:pPr>
              <w:spacing w:after="0" w:line="240" w:lineRule="auto"/>
              <w:jc w:val="right"/>
              <w:rPr>
                <w:rFonts w:ascii="Calibri" w:eastAsia="Times New Roman" w:hAnsi="Calibri" w:cs="Calibri"/>
                <w:sz w:val="18"/>
                <w:szCs w:val="18"/>
                <w:lang w:eastAsia="hr-HR"/>
              </w:rPr>
            </w:pPr>
            <w:r w:rsidRPr="003D0C85">
              <w:rPr>
                <w:rFonts w:ascii="Calibri" w:eastAsia="Times New Roman" w:hAnsi="Calibri" w:cs="Calibri"/>
                <w:sz w:val="18"/>
                <w:szCs w:val="18"/>
                <w:lang w:eastAsia="hr-HR"/>
              </w:rPr>
              <w:t>0</w:t>
            </w:r>
          </w:p>
        </w:tc>
        <w:tc>
          <w:tcPr>
            <w:tcW w:w="475" w:type="dxa"/>
            <w:tcBorders>
              <w:top w:val="nil"/>
              <w:left w:val="nil"/>
              <w:bottom w:val="single" w:sz="4" w:space="0" w:color="auto"/>
              <w:right w:val="single" w:sz="4" w:space="0" w:color="auto"/>
            </w:tcBorders>
            <w:shd w:val="clear" w:color="auto" w:fill="auto"/>
            <w:vAlign w:val="bottom"/>
            <w:hideMark/>
          </w:tcPr>
          <w:p w14:paraId="6B1E3359" w14:textId="77777777" w:rsidR="003D0C85" w:rsidRPr="003D0C85" w:rsidRDefault="003D0C85" w:rsidP="003D0C85">
            <w:pPr>
              <w:spacing w:after="0" w:line="240" w:lineRule="auto"/>
              <w:jc w:val="right"/>
              <w:rPr>
                <w:rFonts w:ascii="Calibri" w:eastAsia="Times New Roman" w:hAnsi="Calibri" w:cs="Calibri"/>
                <w:b/>
                <w:bCs/>
                <w:sz w:val="18"/>
                <w:szCs w:val="18"/>
                <w:lang w:eastAsia="hr-HR"/>
              </w:rPr>
            </w:pPr>
            <w:r w:rsidRPr="003D0C85">
              <w:rPr>
                <w:rFonts w:ascii="Calibri" w:eastAsia="Times New Roman" w:hAnsi="Calibri" w:cs="Calibri"/>
                <w:b/>
                <w:bCs/>
                <w:sz w:val="18"/>
                <w:szCs w:val="18"/>
                <w:lang w:eastAsia="hr-HR"/>
              </w:rPr>
              <w:t>0</w:t>
            </w:r>
          </w:p>
        </w:tc>
        <w:tc>
          <w:tcPr>
            <w:tcW w:w="447" w:type="dxa"/>
            <w:gridSpan w:val="2"/>
            <w:tcBorders>
              <w:top w:val="nil"/>
              <w:left w:val="nil"/>
              <w:bottom w:val="single" w:sz="4" w:space="0" w:color="auto"/>
              <w:right w:val="single" w:sz="4" w:space="0" w:color="auto"/>
            </w:tcBorders>
            <w:shd w:val="clear" w:color="000000" w:fill="FFFF00"/>
            <w:noWrap/>
            <w:vAlign w:val="bottom"/>
            <w:hideMark/>
          </w:tcPr>
          <w:p w14:paraId="00A4D48C" w14:textId="77777777" w:rsidR="003D0C85" w:rsidRPr="003D0C85" w:rsidRDefault="003D0C85" w:rsidP="003D0C85">
            <w:pPr>
              <w:spacing w:after="0" w:line="240" w:lineRule="auto"/>
              <w:jc w:val="right"/>
              <w:rPr>
                <w:rFonts w:ascii="Calibri" w:eastAsia="Times New Roman" w:hAnsi="Calibri" w:cs="Calibri"/>
                <w:sz w:val="18"/>
                <w:szCs w:val="18"/>
                <w:lang w:eastAsia="hr-HR"/>
              </w:rPr>
            </w:pPr>
            <w:r w:rsidRPr="003D0C85">
              <w:rPr>
                <w:rFonts w:ascii="Calibri" w:eastAsia="Times New Roman" w:hAnsi="Calibri" w:cs="Calibri"/>
                <w:sz w:val="18"/>
                <w:szCs w:val="18"/>
                <w:lang w:eastAsia="hr-HR"/>
              </w:rPr>
              <w:t>0</w:t>
            </w:r>
          </w:p>
        </w:tc>
        <w:tc>
          <w:tcPr>
            <w:tcW w:w="447" w:type="dxa"/>
            <w:tcBorders>
              <w:top w:val="nil"/>
              <w:left w:val="nil"/>
              <w:bottom w:val="single" w:sz="4" w:space="0" w:color="auto"/>
              <w:right w:val="single" w:sz="4" w:space="0" w:color="auto"/>
            </w:tcBorders>
            <w:shd w:val="clear" w:color="000000" w:fill="FFFF00"/>
            <w:noWrap/>
            <w:vAlign w:val="bottom"/>
            <w:hideMark/>
          </w:tcPr>
          <w:p w14:paraId="4E7AB209" w14:textId="77777777" w:rsidR="003D0C85" w:rsidRPr="003D0C85" w:rsidRDefault="003D0C85" w:rsidP="003D0C85">
            <w:pPr>
              <w:spacing w:after="0" w:line="240" w:lineRule="auto"/>
              <w:jc w:val="right"/>
              <w:rPr>
                <w:rFonts w:ascii="Calibri" w:eastAsia="Times New Roman" w:hAnsi="Calibri" w:cs="Calibri"/>
                <w:sz w:val="18"/>
                <w:szCs w:val="18"/>
                <w:lang w:eastAsia="hr-HR"/>
              </w:rPr>
            </w:pPr>
            <w:r w:rsidRPr="003D0C85">
              <w:rPr>
                <w:rFonts w:ascii="Calibri" w:eastAsia="Times New Roman" w:hAnsi="Calibri" w:cs="Calibri"/>
                <w:sz w:val="18"/>
                <w:szCs w:val="18"/>
                <w:lang w:eastAsia="hr-HR"/>
              </w:rPr>
              <w:t>0</w:t>
            </w:r>
          </w:p>
        </w:tc>
        <w:tc>
          <w:tcPr>
            <w:tcW w:w="521" w:type="dxa"/>
            <w:tcBorders>
              <w:top w:val="nil"/>
              <w:left w:val="nil"/>
              <w:bottom w:val="single" w:sz="4" w:space="0" w:color="auto"/>
              <w:right w:val="single" w:sz="4" w:space="0" w:color="auto"/>
            </w:tcBorders>
            <w:shd w:val="clear" w:color="000000" w:fill="FFFF00"/>
            <w:noWrap/>
            <w:vAlign w:val="bottom"/>
            <w:hideMark/>
          </w:tcPr>
          <w:p w14:paraId="540CDF6E" w14:textId="77777777" w:rsidR="003D0C85" w:rsidRPr="003D0C85" w:rsidRDefault="003D0C85" w:rsidP="003D0C85">
            <w:pPr>
              <w:spacing w:after="0" w:line="240" w:lineRule="auto"/>
              <w:jc w:val="right"/>
              <w:rPr>
                <w:rFonts w:ascii="Calibri" w:eastAsia="Times New Roman" w:hAnsi="Calibri" w:cs="Calibri"/>
                <w:sz w:val="18"/>
                <w:szCs w:val="18"/>
                <w:lang w:eastAsia="hr-HR"/>
              </w:rPr>
            </w:pPr>
            <w:r w:rsidRPr="003D0C85">
              <w:rPr>
                <w:rFonts w:ascii="Calibri" w:eastAsia="Times New Roman" w:hAnsi="Calibri" w:cs="Calibri"/>
                <w:sz w:val="18"/>
                <w:szCs w:val="18"/>
                <w:lang w:eastAsia="hr-HR"/>
              </w:rPr>
              <w:t>0</w:t>
            </w:r>
          </w:p>
        </w:tc>
        <w:tc>
          <w:tcPr>
            <w:tcW w:w="446" w:type="dxa"/>
            <w:tcBorders>
              <w:top w:val="nil"/>
              <w:left w:val="nil"/>
              <w:bottom w:val="single" w:sz="4" w:space="0" w:color="auto"/>
              <w:right w:val="single" w:sz="4" w:space="0" w:color="auto"/>
            </w:tcBorders>
            <w:shd w:val="clear" w:color="auto" w:fill="auto"/>
            <w:vAlign w:val="bottom"/>
            <w:hideMark/>
          </w:tcPr>
          <w:p w14:paraId="0CE4744D" w14:textId="77777777" w:rsidR="003D0C85" w:rsidRPr="003D0C85" w:rsidRDefault="003D0C85" w:rsidP="003D0C85">
            <w:pPr>
              <w:spacing w:after="0" w:line="240" w:lineRule="auto"/>
              <w:jc w:val="right"/>
              <w:rPr>
                <w:rFonts w:ascii="Calibri" w:eastAsia="Times New Roman" w:hAnsi="Calibri" w:cs="Calibri"/>
                <w:b/>
                <w:bCs/>
                <w:sz w:val="18"/>
                <w:szCs w:val="18"/>
                <w:lang w:eastAsia="hr-HR"/>
              </w:rPr>
            </w:pPr>
            <w:r w:rsidRPr="003D0C85">
              <w:rPr>
                <w:rFonts w:ascii="Calibri" w:eastAsia="Times New Roman" w:hAnsi="Calibri" w:cs="Calibri"/>
                <w:b/>
                <w:bCs/>
                <w:sz w:val="18"/>
                <w:szCs w:val="18"/>
                <w:lang w:eastAsia="hr-HR"/>
              </w:rPr>
              <w:t>0</w:t>
            </w:r>
          </w:p>
        </w:tc>
        <w:tc>
          <w:tcPr>
            <w:tcW w:w="792" w:type="dxa"/>
            <w:gridSpan w:val="2"/>
            <w:tcBorders>
              <w:top w:val="nil"/>
              <w:left w:val="nil"/>
              <w:bottom w:val="single" w:sz="4" w:space="0" w:color="auto"/>
              <w:right w:val="single" w:sz="4" w:space="0" w:color="auto"/>
            </w:tcBorders>
            <w:shd w:val="clear" w:color="000000" w:fill="FFFF00"/>
            <w:vAlign w:val="bottom"/>
            <w:hideMark/>
          </w:tcPr>
          <w:p w14:paraId="334E72AF" w14:textId="77777777" w:rsidR="003D0C85" w:rsidRPr="003D0C85" w:rsidRDefault="003D0C85" w:rsidP="003D0C85">
            <w:pPr>
              <w:spacing w:after="0" w:line="240" w:lineRule="auto"/>
              <w:jc w:val="right"/>
              <w:rPr>
                <w:rFonts w:ascii="Calibri" w:eastAsia="Times New Roman" w:hAnsi="Calibri" w:cs="Calibri"/>
                <w:b/>
                <w:bCs/>
                <w:sz w:val="18"/>
                <w:szCs w:val="18"/>
                <w:lang w:eastAsia="hr-HR"/>
              </w:rPr>
            </w:pPr>
            <w:r w:rsidRPr="003D0C85">
              <w:rPr>
                <w:rFonts w:ascii="Calibri" w:eastAsia="Times New Roman" w:hAnsi="Calibri" w:cs="Calibri"/>
                <w:b/>
                <w:bCs/>
                <w:sz w:val="18"/>
                <w:szCs w:val="18"/>
                <w:lang w:eastAsia="hr-HR"/>
              </w:rPr>
              <w:t>0</w:t>
            </w:r>
          </w:p>
        </w:tc>
        <w:tc>
          <w:tcPr>
            <w:tcW w:w="507" w:type="dxa"/>
            <w:gridSpan w:val="2"/>
            <w:tcBorders>
              <w:top w:val="nil"/>
              <w:left w:val="nil"/>
              <w:bottom w:val="single" w:sz="4" w:space="0" w:color="auto"/>
              <w:right w:val="single" w:sz="4" w:space="0" w:color="auto"/>
            </w:tcBorders>
            <w:shd w:val="clear" w:color="000000" w:fill="FF9900"/>
            <w:noWrap/>
            <w:vAlign w:val="bottom"/>
            <w:hideMark/>
          </w:tcPr>
          <w:p w14:paraId="63926CB4" w14:textId="77777777" w:rsidR="003D0C85" w:rsidRPr="003D0C85" w:rsidRDefault="003D0C85" w:rsidP="003D0C85">
            <w:pPr>
              <w:spacing w:after="0" w:line="240" w:lineRule="auto"/>
              <w:jc w:val="right"/>
              <w:rPr>
                <w:rFonts w:ascii="Calibri" w:eastAsia="Times New Roman" w:hAnsi="Calibri" w:cs="Calibri"/>
                <w:sz w:val="18"/>
                <w:szCs w:val="18"/>
                <w:lang w:eastAsia="hr-HR"/>
              </w:rPr>
            </w:pPr>
            <w:r w:rsidRPr="003D0C85">
              <w:rPr>
                <w:rFonts w:ascii="Calibri" w:eastAsia="Times New Roman" w:hAnsi="Calibri" w:cs="Calibri"/>
                <w:sz w:val="18"/>
                <w:szCs w:val="18"/>
                <w:lang w:eastAsia="hr-HR"/>
              </w:rPr>
              <w:t>0</w:t>
            </w:r>
          </w:p>
        </w:tc>
        <w:tc>
          <w:tcPr>
            <w:tcW w:w="244" w:type="dxa"/>
            <w:tcBorders>
              <w:top w:val="nil"/>
              <w:left w:val="nil"/>
              <w:bottom w:val="single" w:sz="4" w:space="0" w:color="auto"/>
              <w:right w:val="single" w:sz="4" w:space="0" w:color="auto"/>
            </w:tcBorders>
            <w:shd w:val="clear" w:color="000000" w:fill="CCFFFF"/>
            <w:noWrap/>
            <w:vAlign w:val="bottom"/>
            <w:hideMark/>
          </w:tcPr>
          <w:p w14:paraId="03611A06" w14:textId="77777777" w:rsidR="003D0C85" w:rsidRPr="003D0C85" w:rsidRDefault="003D0C85" w:rsidP="003D0C85">
            <w:pPr>
              <w:spacing w:after="0" w:line="240" w:lineRule="auto"/>
              <w:jc w:val="right"/>
              <w:rPr>
                <w:rFonts w:ascii="Calibri" w:eastAsia="Times New Roman" w:hAnsi="Calibri" w:cs="Calibri"/>
                <w:sz w:val="18"/>
                <w:szCs w:val="18"/>
                <w:lang w:eastAsia="hr-HR"/>
              </w:rPr>
            </w:pPr>
            <w:r w:rsidRPr="003D0C85">
              <w:rPr>
                <w:rFonts w:ascii="Calibri" w:eastAsia="Times New Roman" w:hAnsi="Calibri" w:cs="Calibri"/>
                <w:sz w:val="18"/>
                <w:szCs w:val="18"/>
                <w:lang w:eastAsia="hr-HR"/>
              </w:rPr>
              <w:t>0</w:t>
            </w:r>
          </w:p>
        </w:tc>
        <w:tc>
          <w:tcPr>
            <w:tcW w:w="425" w:type="dxa"/>
            <w:tcBorders>
              <w:top w:val="nil"/>
              <w:left w:val="nil"/>
              <w:bottom w:val="single" w:sz="4" w:space="0" w:color="auto"/>
              <w:right w:val="single" w:sz="4" w:space="0" w:color="auto"/>
            </w:tcBorders>
            <w:shd w:val="clear" w:color="000000" w:fill="CCFFFF"/>
            <w:noWrap/>
            <w:vAlign w:val="bottom"/>
            <w:hideMark/>
          </w:tcPr>
          <w:p w14:paraId="3F30097C" w14:textId="77777777" w:rsidR="003D0C85" w:rsidRPr="003D0C85" w:rsidRDefault="003D0C85" w:rsidP="003D0C85">
            <w:pPr>
              <w:spacing w:after="0" w:line="240" w:lineRule="auto"/>
              <w:jc w:val="right"/>
              <w:rPr>
                <w:rFonts w:ascii="Calibri" w:eastAsia="Times New Roman" w:hAnsi="Calibri" w:cs="Calibri"/>
                <w:sz w:val="18"/>
                <w:szCs w:val="18"/>
                <w:lang w:eastAsia="hr-HR"/>
              </w:rPr>
            </w:pPr>
            <w:r w:rsidRPr="003D0C85">
              <w:rPr>
                <w:rFonts w:ascii="Calibri" w:eastAsia="Times New Roman" w:hAnsi="Calibri" w:cs="Calibri"/>
                <w:sz w:val="18"/>
                <w:szCs w:val="18"/>
                <w:lang w:eastAsia="hr-HR"/>
              </w:rPr>
              <w:t>0</w:t>
            </w:r>
          </w:p>
        </w:tc>
        <w:tc>
          <w:tcPr>
            <w:tcW w:w="607" w:type="dxa"/>
            <w:tcBorders>
              <w:top w:val="nil"/>
              <w:left w:val="nil"/>
              <w:bottom w:val="single" w:sz="4" w:space="0" w:color="auto"/>
              <w:right w:val="single" w:sz="4" w:space="0" w:color="auto"/>
            </w:tcBorders>
            <w:shd w:val="clear" w:color="000000" w:fill="CCFFFF"/>
            <w:noWrap/>
            <w:vAlign w:val="bottom"/>
            <w:hideMark/>
          </w:tcPr>
          <w:p w14:paraId="30E8A174" w14:textId="77777777" w:rsidR="003D0C85" w:rsidRPr="003D0C85" w:rsidRDefault="003D0C85" w:rsidP="003D0C85">
            <w:pPr>
              <w:spacing w:after="0" w:line="240" w:lineRule="auto"/>
              <w:jc w:val="right"/>
              <w:rPr>
                <w:rFonts w:ascii="Calibri" w:eastAsia="Times New Roman" w:hAnsi="Calibri" w:cs="Calibri"/>
                <w:sz w:val="18"/>
                <w:szCs w:val="18"/>
                <w:lang w:eastAsia="hr-HR"/>
              </w:rPr>
            </w:pPr>
            <w:r w:rsidRPr="003D0C85">
              <w:rPr>
                <w:rFonts w:ascii="Calibri" w:eastAsia="Times New Roman" w:hAnsi="Calibri" w:cs="Calibri"/>
                <w:sz w:val="18"/>
                <w:szCs w:val="18"/>
                <w:lang w:eastAsia="hr-HR"/>
              </w:rPr>
              <w:t>0</w:t>
            </w:r>
          </w:p>
        </w:tc>
        <w:tc>
          <w:tcPr>
            <w:tcW w:w="425" w:type="dxa"/>
            <w:gridSpan w:val="2"/>
            <w:tcBorders>
              <w:top w:val="nil"/>
              <w:left w:val="nil"/>
              <w:bottom w:val="single" w:sz="4" w:space="0" w:color="auto"/>
              <w:right w:val="nil"/>
            </w:tcBorders>
            <w:shd w:val="clear" w:color="000000" w:fill="33CCCC"/>
            <w:noWrap/>
            <w:vAlign w:val="bottom"/>
            <w:hideMark/>
          </w:tcPr>
          <w:p w14:paraId="6786BCF3" w14:textId="77777777" w:rsidR="003D0C85" w:rsidRPr="003D0C85" w:rsidRDefault="003D0C85" w:rsidP="003D0C85">
            <w:pPr>
              <w:spacing w:after="0" w:line="240" w:lineRule="auto"/>
              <w:jc w:val="right"/>
              <w:rPr>
                <w:rFonts w:ascii="Calibri" w:eastAsia="Times New Roman" w:hAnsi="Calibri" w:cs="Calibri"/>
                <w:sz w:val="18"/>
                <w:szCs w:val="18"/>
                <w:lang w:eastAsia="hr-HR"/>
              </w:rPr>
            </w:pPr>
            <w:r w:rsidRPr="003D0C85">
              <w:rPr>
                <w:rFonts w:ascii="Calibri" w:eastAsia="Times New Roman" w:hAnsi="Calibri" w:cs="Calibri"/>
                <w:sz w:val="18"/>
                <w:szCs w:val="18"/>
                <w:lang w:eastAsia="hr-HR"/>
              </w:rPr>
              <w:t>0</w:t>
            </w:r>
          </w:p>
        </w:tc>
        <w:tc>
          <w:tcPr>
            <w:tcW w:w="452" w:type="dxa"/>
            <w:gridSpan w:val="2"/>
            <w:tcBorders>
              <w:top w:val="nil"/>
              <w:left w:val="single" w:sz="4" w:space="0" w:color="auto"/>
              <w:bottom w:val="single" w:sz="4" w:space="0" w:color="auto"/>
              <w:right w:val="single" w:sz="8" w:space="0" w:color="auto"/>
            </w:tcBorders>
            <w:shd w:val="clear" w:color="000000" w:fill="33CCCC"/>
            <w:noWrap/>
            <w:vAlign w:val="bottom"/>
            <w:hideMark/>
          </w:tcPr>
          <w:p w14:paraId="370BA001" w14:textId="77777777" w:rsidR="003D0C85" w:rsidRPr="003D0C85" w:rsidRDefault="003D0C85" w:rsidP="003D0C85">
            <w:pPr>
              <w:spacing w:after="0" w:line="240" w:lineRule="auto"/>
              <w:jc w:val="right"/>
              <w:rPr>
                <w:rFonts w:ascii="Calibri" w:eastAsia="Times New Roman" w:hAnsi="Calibri" w:cs="Calibri"/>
                <w:sz w:val="18"/>
                <w:szCs w:val="18"/>
                <w:lang w:eastAsia="hr-HR"/>
              </w:rPr>
            </w:pPr>
            <w:r w:rsidRPr="003D0C85">
              <w:rPr>
                <w:rFonts w:ascii="Calibri" w:eastAsia="Times New Roman" w:hAnsi="Calibri" w:cs="Calibri"/>
                <w:sz w:val="18"/>
                <w:szCs w:val="18"/>
                <w:lang w:eastAsia="hr-HR"/>
              </w:rPr>
              <w:t>0</w:t>
            </w:r>
          </w:p>
        </w:tc>
        <w:tc>
          <w:tcPr>
            <w:tcW w:w="236" w:type="dxa"/>
            <w:gridSpan w:val="3"/>
            <w:vAlign w:val="center"/>
            <w:hideMark/>
          </w:tcPr>
          <w:p w14:paraId="54060527" w14:textId="77777777" w:rsidR="003D0C85" w:rsidRPr="003D0C85" w:rsidRDefault="003D0C85" w:rsidP="003D0C85">
            <w:pPr>
              <w:spacing w:after="0" w:line="240" w:lineRule="auto"/>
              <w:rPr>
                <w:rFonts w:ascii="Times New Roman" w:eastAsia="Times New Roman" w:hAnsi="Times New Roman" w:cs="Times New Roman"/>
                <w:sz w:val="18"/>
                <w:szCs w:val="18"/>
                <w:lang w:eastAsia="hr-HR"/>
              </w:rPr>
            </w:pPr>
          </w:p>
        </w:tc>
      </w:tr>
      <w:tr w:rsidR="00E72E51" w:rsidRPr="00E72E51" w14:paraId="24E090DA" w14:textId="77777777" w:rsidTr="00E72E51">
        <w:trPr>
          <w:trHeight w:val="315"/>
        </w:trPr>
        <w:tc>
          <w:tcPr>
            <w:tcW w:w="983" w:type="dxa"/>
            <w:tcBorders>
              <w:top w:val="single" w:sz="4" w:space="0" w:color="auto"/>
              <w:left w:val="single" w:sz="8" w:space="0" w:color="auto"/>
              <w:bottom w:val="single" w:sz="4" w:space="0" w:color="auto"/>
              <w:right w:val="single" w:sz="4" w:space="0" w:color="auto"/>
            </w:tcBorders>
            <w:shd w:val="clear" w:color="000000" w:fill="CCFFCC"/>
            <w:vAlign w:val="center"/>
            <w:hideMark/>
          </w:tcPr>
          <w:p w14:paraId="5DEAE72C" w14:textId="77777777" w:rsidR="003D0C85" w:rsidRPr="003D0C85" w:rsidRDefault="003D0C85" w:rsidP="003D0C85">
            <w:pPr>
              <w:spacing w:after="0" w:line="240" w:lineRule="auto"/>
              <w:rPr>
                <w:rFonts w:ascii="Calibri" w:eastAsia="Times New Roman" w:hAnsi="Calibri" w:cs="Calibri"/>
                <w:sz w:val="18"/>
                <w:szCs w:val="18"/>
                <w:lang w:eastAsia="hr-HR"/>
              </w:rPr>
            </w:pPr>
            <w:r w:rsidRPr="003D0C85">
              <w:rPr>
                <w:rFonts w:ascii="Calibri" w:eastAsia="Times New Roman" w:hAnsi="Calibri" w:cs="Calibri"/>
                <w:sz w:val="18"/>
                <w:szCs w:val="18"/>
                <w:lang w:eastAsia="hr-HR"/>
              </w:rPr>
              <w:t>Naobrazba</w:t>
            </w:r>
          </w:p>
        </w:tc>
        <w:tc>
          <w:tcPr>
            <w:tcW w:w="442" w:type="dxa"/>
            <w:tcBorders>
              <w:top w:val="nil"/>
              <w:left w:val="nil"/>
              <w:bottom w:val="single" w:sz="4" w:space="0" w:color="auto"/>
              <w:right w:val="single" w:sz="4" w:space="0" w:color="auto"/>
            </w:tcBorders>
            <w:shd w:val="clear" w:color="000000" w:fill="FFFF00"/>
            <w:vAlign w:val="bottom"/>
            <w:hideMark/>
          </w:tcPr>
          <w:p w14:paraId="17B3636B" w14:textId="77777777" w:rsidR="003D0C85" w:rsidRPr="003D0C85" w:rsidRDefault="003D0C85" w:rsidP="003D0C85">
            <w:pPr>
              <w:spacing w:after="0" w:line="240" w:lineRule="auto"/>
              <w:jc w:val="right"/>
              <w:rPr>
                <w:rFonts w:ascii="Calibri" w:eastAsia="Times New Roman" w:hAnsi="Calibri" w:cs="Calibri"/>
                <w:b/>
                <w:bCs/>
                <w:sz w:val="18"/>
                <w:szCs w:val="18"/>
                <w:lang w:eastAsia="hr-HR"/>
              </w:rPr>
            </w:pPr>
            <w:r w:rsidRPr="003D0C85">
              <w:rPr>
                <w:rFonts w:ascii="Calibri" w:eastAsia="Times New Roman" w:hAnsi="Calibri" w:cs="Calibri"/>
                <w:b/>
                <w:bCs/>
                <w:sz w:val="18"/>
                <w:szCs w:val="18"/>
                <w:lang w:eastAsia="hr-HR"/>
              </w:rPr>
              <w:t>0</w:t>
            </w:r>
          </w:p>
        </w:tc>
        <w:tc>
          <w:tcPr>
            <w:tcW w:w="443" w:type="dxa"/>
            <w:tcBorders>
              <w:top w:val="nil"/>
              <w:left w:val="nil"/>
              <w:bottom w:val="single" w:sz="4" w:space="0" w:color="auto"/>
              <w:right w:val="single" w:sz="4" w:space="0" w:color="auto"/>
            </w:tcBorders>
            <w:shd w:val="clear" w:color="000000" w:fill="FFCC99"/>
            <w:noWrap/>
            <w:vAlign w:val="bottom"/>
            <w:hideMark/>
          </w:tcPr>
          <w:p w14:paraId="57F9D0F1" w14:textId="77777777" w:rsidR="003D0C85" w:rsidRPr="003D0C85" w:rsidRDefault="003D0C85" w:rsidP="003D0C85">
            <w:pPr>
              <w:spacing w:after="0" w:line="240" w:lineRule="auto"/>
              <w:jc w:val="right"/>
              <w:rPr>
                <w:rFonts w:ascii="Calibri" w:eastAsia="Times New Roman" w:hAnsi="Calibri" w:cs="Calibri"/>
                <w:sz w:val="18"/>
                <w:szCs w:val="18"/>
                <w:lang w:eastAsia="hr-HR"/>
              </w:rPr>
            </w:pPr>
            <w:r w:rsidRPr="003D0C85">
              <w:rPr>
                <w:rFonts w:ascii="Calibri" w:eastAsia="Times New Roman" w:hAnsi="Calibri" w:cs="Calibri"/>
                <w:sz w:val="18"/>
                <w:szCs w:val="18"/>
                <w:lang w:eastAsia="hr-HR"/>
              </w:rPr>
              <w:t>0</w:t>
            </w:r>
          </w:p>
        </w:tc>
        <w:tc>
          <w:tcPr>
            <w:tcW w:w="316" w:type="dxa"/>
            <w:tcBorders>
              <w:top w:val="nil"/>
              <w:left w:val="nil"/>
              <w:bottom w:val="single" w:sz="4" w:space="0" w:color="auto"/>
              <w:right w:val="single" w:sz="4" w:space="0" w:color="auto"/>
            </w:tcBorders>
            <w:shd w:val="clear" w:color="000000" w:fill="CCFFFF"/>
            <w:vAlign w:val="bottom"/>
            <w:hideMark/>
          </w:tcPr>
          <w:p w14:paraId="25D19BEC" w14:textId="77777777" w:rsidR="003D0C85" w:rsidRPr="003D0C85" w:rsidRDefault="003D0C85" w:rsidP="003D0C85">
            <w:pPr>
              <w:spacing w:after="0" w:line="240" w:lineRule="auto"/>
              <w:jc w:val="right"/>
              <w:rPr>
                <w:rFonts w:ascii="Calibri" w:eastAsia="Times New Roman" w:hAnsi="Calibri" w:cs="Calibri"/>
                <w:sz w:val="18"/>
                <w:szCs w:val="18"/>
                <w:lang w:eastAsia="hr-HR"/>
              </w:rPr>
            </w:pPr>
            <w:r w:rsidRPr="003D0C85">
              <w:rPr>
                <w:rFonts w:ascii="Calibri" w:eastAsia="Times New Roman" w:hAnsi="Calibri" w:cs="Calibri"/>
                <w:sz w:val="18"/>
                <w:szCs w:val="18"/>
                <w:lang w:eastAsia="hr-HR"/>
              </w:rPr>
              <w:t>0</w:t>
            </w:r>
          </w:p>
        </w:tc>
        <w:tc>
          <w:tcPr>
            <w:tcW w:w="452" w:type="dxa"/>
            <w:tcBorders>
              <w:top w:val="nil"/>
              <w:left w:val="nil"/>
              <w:bottom w:val="single" w:sz="4" w:space="0" w:color="auto"/>
              <w:right w:val="single" w:sz="4" w:space="0" w:color="auto"/>
            </w:tcBorders>
            <w:shd w:val="clear" w:color="000000" w:fill="CCFFFF"/>
            <w:vAlign w:val="bottom"/>
            <w:hideMark/>
          </w:tcPr>
          <w:p w14:paraId="75577590" w14:textId="77777777" w:rsidR="003D0C85" w:rsidRPr="003D0C85" w:rsidRDefault="003D0C85" w:rsidP="003D0C85">
            <w:pPr>
              <w:spacing w:after="0" w:line="240" w:lineRule="auto"/>
              <w:jc w:val="right"/>
              <w:rPr>
                <w:rFonts w:ascii="Calibri" w:eastAsia="Times New Roman" w:hAnsi="Calibri" w:cs="Calibri"/>
                <w:sz w:val="18"/>
                <w:szCs w:val="18"/>
                <w:lang w:eastAsia="hr-HR"/>
              </w:rPr>
            </w:pPr>
            <w:r w:rsidRPr="003D0C85">
              <w:rPr>
                <w:rFonts w:ascii="Calibri" w:eastAsia="Times New Roman" w:hAnsi="Calibri" w:cs="Calibri"/>
                <w:sz w:val="18"/>
                <w:szCs w:val="18"/>
                <w:lang w:eastAsia="hr-HR"/>
              </w:rPr>
              <w:t>0</w:t>
            </w:r>
          </w:p>
        </w:tc>
        <w:tc>
          <w:tcPr>
            <w:tcW w:w="491" w:type="dxa"/>
            <w:gridSpan w:val="2"/>
            <w:tcBorders>
              <w:top w:val="nil"/>
              <w:left w:val="nil"/>
              <w:bottom w:val="single" w:sz="4" w:space="0" w:color="auto"/>
              <w:right w:val="single" w:sz="4" w:space="0" w:color="auto"/>
            </w:tcBorders>
            <w:shd w:val="clear" w:color="000000" w:fill="FFFF99"/>
            <w:noWrap/>
            <w:vAlign w:val="bottom"/>
            <w:hideMark/>
          </w:tcPr>
          <w:p w14:paraId="3746046F" w14:textId="77777777" w:rsidR="003D0C85" w:rsidRPr="003D0C85" w:rsidRDefault="003D0C85" w:rsidP="003D0C85">
            <w:pPr>
              <w:spacing w:after="0" w:line="240" w:lineRule="auto"/>
              <w:jc w:val="right"/>
              <w:rPr>
                <w:rFonts w:ascii="Calibri" w:eastAsia="Times New Roman" w:hAnsi="Calibri" w:cs="Calibri"/>
                <w:sz w:val="18"/>
                <w:szCs w:val="18"/>
                <w:lang w:eastAsia="hr-HR"/>
              </w:rPr>
            </w:pPr>
            <w:r w:rsidRPr="003D0C85">
              <w:rPr>
                <w:rFonts w:ascii="Calibri" w:eastAsia="Times New Roman" w:hAnsi="Calibri" w:cs="Calibri"/>
                <w:sz w:val="18"/>
                <w:szCs w:val="18"/>
                <w:lang w:eastAsia="hr-HR"/>
              </w:rPr>
              <w:t>0</w:t>
            </w:r>
          </w:p>
        </w:tc>
        <w:tc>
          <w:tcPr>
            <w:tcW w:w="447" w:type="dxa"/>
            <w:tcBorders>
              <w:top w:val="nil"/>
              <w:left w:val="nil"/>
              <w:bottom w:val="single" w:sz="4" w:space="0" w:color="auto"/>
              <w:right w:val="single" w:sz="4" w:space="0" w:color="auto"/>
            </w:tcBorders>
            <w:shd w:val="clear" w:color="000000" w:fill="FFFF99"/>
            <w:noWrap/>
            <w:vAlign w:val="bottom"/>
            <w:hideMark/>
          </w:tcPr>
          <w:p w14:paraId="1424D830" w14:textId="77777777" w:rsidR="003D0C85" w:rsidRPr="003D0C85" w:rsidRDefault="003D0C85" w:rsidP="003D0C85">
            <w:pPr>
              <w:spacing w:after="0" w:line="240" w:lineRule="auto"/>
              <w:jc w:val="right"/>
              <w:rPr>
                <w:rFonts w:ascii="Calibri" w:eastAsia="Times New Roman" w:hAnsi="Calibri" w:cs="Calibri"/>
                <w:sz w:val="18"/>
                <w:szCs w:val="18"/>
                <w:lang w:eastAsia="hr-HR"/>
              </w:rPr>
            </w:pPr>
            <w:r w:rsidRPr="003D0C85">
              <w:rPr>
                <w:rFonts w:ascii="Calibri" w:eastAsia="Times New Roman" w:hAnsi="Calibri" w:cs="Calibri"/>
                <w:sz w:val="18"/>
                <w:szCs w:val="18"/>
                <w:lang w:eastAsia="hr-HR"/>
              </w:rPr>
              <w:t>0</w:t>
            </w:r>
          </w:p>
        </w:tc>
        <w:tc>
          <w:tcPr>
            <w:tcW w:w="495" w:type="dxa"/>
            <w:tcBorders>
              <w:top w:val="nil"/>
              <w:left w:val="nil"/>
              <w:bottom w:val="single" w:sz="4" w:space="0" w:color="auto"/>
              <w:right w:val="single" w:sz="4" w:space="0" w:color="auto"/>
            </w:tcBorders>
            <w:shd w:val="clear" w:color="000000" w:fill="FFFF99"/>
            <w:noWrap/>
            <w:vAlign w:val="bottom"/>
            <w:hideMark/>
          </w:tcPr>
          <w:p w14:paraId="64867650" w14:textId="77777777" w:rsidR="003D0C85" w:rsidRPr="003D0C85" w:rsidRDefault="003D0C85" w:rsidP="003D0C85">
            <w:pPr>
              <w:spacing w:after="0" w:line="240" w:lineRule="auto"/>
              <w:jc w:val="right"/>
              <w:rPr>
                <w:rFonts w:ascii="Calibri" w:eastAsia="Times New Roman" w:hAnsi="Calibri" w:cs="Calibri"/>
                <w:sz w:val="18"/>
                <w:szCs w:val="18"/>
                <w:lang w:eastAsia="hr-HR"/>
              </w:rPr>
            </w:pPr>
            <w:r w:rsidRPr="003D0C85">
              <w:rPr>
                <w:rFonts w:ascii="Calibri" w:eastAsia="Times New Roman" w:hAnsi="Calibri" w:cs="Calibri"/>
                <w:sz w:val="18"/>
                <w:szCs w:val="18"/>
                <w:lang w:eastAsia="hr-HR"/>
              </w:rPr>
              <w:t>0</w:t>
            </w:r>
          </w:p>
        </w:tc>
        <w:tc>
          <w:tcPr>
            <w:tcW w:w="451" w:type="dxa"/>
            <w:tcBorders>
              <w:top w:val="nil"/>
              <w:left w:val="nil"/>
              <w:bottom w:val="single" w:sz="4" w:space="0" w:color="auto"/>
              <w:right w:val="single" w:sz="4" w:space="0" w:color="auto"/>
            </w:tcBorders>
            <w:shd w:val="clear" w:color="000000" w:fill="FFFF99"/>
            <w:noWrap/>
            <w:vAlign w:val="bottom"/>
            <w:hideMark/>
          </w:tcPr>
          <w:p w14:paraId="1575C2D7" w14:textId="77777777" w:rsidR="003D0C85" w:rsidRPr="003D0C85" w:rsidRDefault="003D0C85" w:rsidP="003D0C85">
            <w:pPr>
              <w:spacing w:after="0" w:line="240" w:lineRule="auto"/>
              <w:jc w:val="right"/>
              <w:rPr>
                <w:rFonts w:ascii="Calibri" w:eastAsia="Times New Roman" w:hAnsi="Calibri" w:cs="Calibri"/>
                <w:sz w:val="18"/>
                <w:szCs w:val="18"/>
                <w:lang w:eastAsia="hr-HR"/>
              </w:rPr>
            </w:pPr>
            <w:r w:rsidRPr="003D0C85">
              <w:rPr>
                <w:rFonts w:ascii="Calibri" w:eastAsia="Times New Roman" w:hAnsi="Calibri" w:cs="Calibri"/>
                <w:sz w:val="18"/>
                <w:szCs w:val="18"/>
                <w:lang w:eastAsia="hr-HR"/>
              </w:rPr>
              <w:t>0</w:t>
            </w:r>
          </w:p>
        </w:tc>
        <w:tc>
          <w:tcPr>
            <w:tcW w:w="632" w:type="dxa"/>
            <w:gridSpan w:val="2"/>
            <w:tcBorders>
              <w:top w:val="nil"/>
              <w:left w:val="nil"/>
              <w:bottom w:val="single" w:sz="4" w:space="0" w:color="auto"/>
              <w:right w:val="single" w:sz="4" w:space="0" w:color="auto"/>
            </w:tcBorders>
            <w:shd w:val="clear" w:color="000000" w:fill="FFFF99"/>
            <w:noWrap/>
            <w:vAlign w:val="bottom"/>
            <w:hideMark/>
          </w:tcPr>
          <w:p w14:paraId="61C07B89" w14:textId="77777777" w:rsidR="003D0C85" w:rsidRPr="003D0C85" w:rsidRDefault="003D0C85" w:rsidP="003D0C85">
            <w:pPr>
              <w:spacing w:after="0" w:line="240" w:lineRule="auto"/>
              <w:jc w:val="right"/>
              <w:rPr>
                <w:rFonts w:ascii="Calibri" w:eastAsia="Times New Roman" w:hAnsi="Calibri" w:cs="Calibri"/>
                <w:sz w:val="18"/>
                <w:szCs w:val="18"/>
                <w:lang w:eastAsia="hr-HR"/>
              </w:rPr>
            </w:pPr>
            <w:r w:rsidRPr="003D0C85">
              <w:rPr>
                <w:rFonts w:ascii="Calibri" w:eastAsia="Times New Roman" w:hAnsi="Calibri" w:cs="Calibri"/>
                <w:sz w:val="18"/>
                <w:szCs w:val="18"/>
                <w:lang w:eastAsia="hr-HR"/>
              </w:rPr>
              <w:t>0</w:t>
            </w:r>
          </w:p>
        </w:tc>
        <w:tc>
          <w:tcPr>
            <w:tcW w:w="447" w:type="dxa"/>
            <w:tcBorders>
              <w:top w:val="nil"/>
              <w:left w:val="nil"/>
              <w:bottom w:val="single" w:sz="4" w:space="0" w:color="auto"/>
              <w:right w:val="single" w:sz="4" w:space="0" w:color="auto"/>
            </w:tcBorders>
            <w:shd w:val="clear" w:color="000000" w:fill="FFFF99"/>
            <w:noWrap/>
            <w:vAlign w:val="bottom"/>
            <w:hideMark/>
          </w:tcPr>
          <w:p w14:paraId="305010E9" w14:textId="77777777" w:rsidR="003D0C85" w:rsidRPr="003D0C85" w:rsidRDefault="003D0C85" w:rsidP="003D0C85">
            <w:pPr>
              <w:spacing w:after="0" w:line="240" w:lineRule="auto"/>
              <w:jc w:val="right"/>
              <w:rPr>
                <w:rFonts w:ascii="Calibri" w:eastAsia="Times New Roman" w:hAnsi="Calibri" w:cs="Calibri"/>
                <w:sz w:val="18"/>
                <w:szCs w:val="18"/>
                <w:lang w:eastAsia="hr-HR"/>
              </w:rPr>
            </w:pPr>
            <w:r w:rsidRPr="003D0C85">
              <w:rPr>
                <w:rFonts w:ascii="Calibri" w:eastAsia="Times New Roman" w:hAnsi="Calibri" w:cs="Calibri"/>
                <w:sz w:val="18"/>
                <w:szCs w:val="18"/>
                <w:lang w:eastAsia="hr-HR"/>
              </w:rPr>
              <w:t>0</w:t>
            </w:r>
          </w:p>
        </w:tc>
        <w:tc>
          <w:tcPr>
            <w:tcW w:w="543" w:type="dxa"/>
            <w:tcBorders>
              <w:top w:val="nil"/>
              <w:left w:val="nil"/>
              <w:bottom w:val="single" w:sz="4" w:space="0" w:color="auto"/>
              <w:right w:val="single" w:sz="4" w:space="0" w:color="auto"/>
            </w:tcBorders>
            <w:shd w:val="clear" w:color="000000" w:fill="FFFF99"/>
            <w:noWrap/>
            <w:vAlign w:val="bottom"/>
            <w:hideMark/>
          </w:tcPr>
          <w:p w14:paraId="0AA581D4" w14:textId="77777777" w:rsidR="003D0C85" w:rsidRPr="003D0C85" w:rsidRDefault="003D0C85" w:rsidP="003D0C85">
            <w:pPr>
              <w:spacing w:after="0" w:line="240" w:lineRule="auto"/>
              <w:jc w:val="right"/>
              <w:rPr>
                <w:rFonts w:ascii="Calibri" w:eastAsia="Times New Roman" w:hAnsi="Calibri" w:cs="Calibri"/>
                <w:sz w:val="18"/>
                <w:szCs w:val="18"/>
                <w:lang w:eastAsia="hr-HR"/>
              </w:rPr>
            </w:pPr>
            <w:r w:rsidRPr="003D0C85">
              <w:rPr>
                <w:rFonts w:ascii="Calibri" w:eastAsia="Times New Roman" w:hAnsi="Calibri" w:cs="Calibri"/>
                <w:sz w:val="18"/>
                <w:szCs w:val="18"/>
                <w:lang w:eastAsia="hr-HR"/>
              </w:rPr>
              <w:t>0</w:t>
            </w:r>
          </w:p>
        </w:tc>
        <w:tc>
          <w:tcPr>
            <w:tcW w:w="447" w:type="dxa"/>
            <w:tcBorders>
              <w:top w:val="nil"/>
              <w:left w:val="nil"/>
              <w:bottom w:val="single" w:sz="4" w:space="0" w:color="auto"/>
              <w:right w:val="single" w:sz="4" w:space="0" w:color="auto"/>
            </w:tcBorders>
            <w:shd w:val="clear" w:color="000000" w:fill="FFFF99"/>
            <w:noWrap/>
            <w:vAlign w:val="bottom"/>
            <w:hideMark/>
          </w:tcPr>
          <w:p w14:paraId="0A726AED" w14:textId="77777777" w:rsidR="003D0C85" w:rsidRPr="003D0C85" w:rsidRDefault="003D0C85" w:rsidP="003D0C85">
            <w:pPr>
              <w:spacing w:after="0" w:line="240" w:lineRule="auto"/>
              <w:jc w:val="right"/>
              <w:rPr>
                <w:rFonts w:ascii="Calibri" w:eastAsia="Times New Roman" w:hAnsi="Calibri" w:cs="Calibri"/>
                <w:sz w:val="18"/>
                <w:szCs w:val="18"/>
                <w:lang w:eastAsia="hr-HR"/>
              </w:rPr>
            </w:pPr>
            <w:r w:rsidRPr="003D0C85">
              <w:rPr>
                <w:rFonts w:ascii="Calibri" w:eastAsia="Times New Roman" w:hAnsi="Calibri" w:cs="Calibri"/>
                <w:sz w:val="18"/>
                <w:szCs w:val="18"/>
                <w:lang w:eastAsia="hr-HR"/>
              </w:rPr>
              <w:t>0</w:t>
            </w:r>
          </w:p>
        </w:tc>
        <w:tc>
          <w:tcPr>
            <w:tcW w:w="543" w:type="dxa"/>
            <w:tcBorders>
              <w:top w:val="nil"/>
              <w:left w:val="nil"/>
              <w:bottom w:val="single" w:sz="4" w:space="0" w:color="auto"/>
              <w:right w:val="single" w:sz="4" w:space="0" w:color="auto"/>
            </w:tcBorders>
            <w:shd w:val="clear" w:color="000000" w:fill="FFFF99"/>
            <w:noWrap/>
            <w:vAlign w:val="bottom"/>
            <w:hideMark/>
          </w:tcPr>
          <w:p w14:paraId="627CAF75" w14:textId="77777777" w:rsidR="003D0C85" w:rsidRPr="003D0C85" w:rsidRDefault="003D0C85" w:rsidP="003D0C85">
            <w:pPr>
              <w:spacing w:after="0" w:line="240" w:lineRule="auto"/>
              <w:jc w:val="right"/>
              <w:rPr>
                <w:rFonts w:ascii="Calibri" w:eastAsia="Times New Roman" w:hAnsi="Calibri" w:cs="Calibri"/>
                <w:sz w:val="18"/>
                <w:szCs w:val="18"/>
                <w:lang w:eastAsia="hr-HR"/>
              </w:rPr>
            </w:pPr>
            <w:r w:rsidRPr="003D0C85">
              <w:rPr>
                <w:rFonts w:ascii="Calibri" w:eastAsia="Times New Roman" w:hAnsi="Calibri" w:cs="Calibri"/>
                <w:sz w:val="18"/>
                <w:szCs w:val="18"/>
                <w:lang w:eastAsia="hr-HR"/>
              </w:rPr>
              <w:t>0</w:t>
            </w:r>
          </w:p>
        </w:tc>
        <w:tc>
          <w:tcPr>
            <w:tcW w:w="356" w:type="dxa"/>
            <w:tcBorders>
              <w:top w:val="nil"/>
              <w:left w:val="nil"/>
              <w:bottom w:val="single" w:sz="4" w:space="0" w:color="auto"/>
              <w:right w:val="single" w:sz="4" w:space="0" w:color="auto"/>
            </w:tcBorders>
            <w:shd w:val="clear" w:color="000000" w:fill="FFFF99"/>
            <w:noWrap/>
            <w:vAlign w:val="bottom"/>
            <w:hideMark/>
          </w:tcPr>
          <w:p w14:paraId="6463FF88" w14:textId="77777777" w:rsidR="003D0C85" w:rsidRPr="003D0C85" w:rsidRDefault="003D0C85" w:rsidP="003D0C85">
            <w:pPr>
              <w:spacing w:after="0" w:line="240" w:lineRule="auto"/>
              <w:jc w:val="right"/>
              <w:rPr>
                <w:rFonts w:ascii="Calibri" w:eastAsia="Times New Roman" w:hAnsi="Calibri" w:cs="Calibri"/>
                <w:sz w:val="18"/>
                <w:szCs w:val="18"/>
                <w:lang w:eastAsia="hr-HR"/>
              </w:rPr>
            </w:pPr>
            <w:r w:rsidRPr="003D0C85">
              <w:rPr>
                <w:rFonts w:ascii="Calibri" w:eastAsia="Times New Roman" w:hAnsi="Calibri" w:cs="Calibri"/>
                <w:sz w:val="18"/>
                <w:szCs w:val="18"/>
                <w:lang w:eastAsia="hr-HR"/>
              </w:rPr>
              <w:t>0</w:t>
            </w:r>
          </w:p>
        </w:tc>
        <w:tc>
          <w:tcPr>
            <w:tcW w:w="447" w:type="dxa"/>
            <w:gridSpan w:val="2"/>
            <w:tcBorders>
              <w:top w:val="nil"/>
              <w:left w:val="nil"/>
              <w:bottom w:val="single" w:sz="4" w:space="0" w:color="auto"/>
              <w:right w:val="single" w:sz="4" w:space="0" w:color="auto"/>
            </w:tcBorders>
            <w:shd w:val="clear" w:color="000000" w:fill="FF9900"/>
            <w:noWrap/>
            <w:vAlign w:val="bottom"/>
            <w:hideMark/>
          </w:tcPr>
          <w:p w14:paraId="6B4EF10D" w14:textId="77777777" w:rsidR="003D0C85" w:rsidRPr="003D0C85" w:rsidRDefault="003D0C85" w:rsidP="003D0C85">
            <w:pPr>
              <w:spacing w:after="0" w:line="240" w:lineRule="auto"/>
              <w:jc w:val="right"/>
              <w:rPr>
                <w:rFonts w:ascii="Calibri" w:eastAsia="Times New Roman" w:hAnsi="Calibri" w:cs="Calibri"/>
                <w:sz w:val="18"/>
                <w:szCs w:val="18"/>
                <w:lang w:eastAsia="hr-HR"/>
              </w:rPr>
            </w:pPr>
            <w:r w:rsidRPr="003D0C85">
              <w:rPr>
                <w:rFonts w:ascii="Calibri" w:eastAsia="Times New Roman" w:hAnsi="Calibri" w:cs="Calibri"/>
                <w:sz w:val="18"/>
                <w:szCs w:val="18"/>
                <w:lang w:eastAsia="hr-HR"/>
              </w:rPr>
              <w:t>0</w:t>
            </w:r>
          </w:p>
        </w:tc>
        <w:tc>
          <w:tcPr>
            <w:tcW w:w="447" w:type="dxa"/>
            <w:tcBorders>
              <w:top w:val="nil"/>
              <w:left w:val="nil"/>
              <w:bottom w:val="single" w:sz="4" w:space="0" w:color="auto"/>
              <w:right w:val="single" w:sz="4" w:space="0" w:color="auto"/>
            </w:tcBorders>
            <w:shd w:val="clear" w:color="000000" w:fill="FF9900"/>
            <w:noWrap/>
            <w:vAlign w:val="bottom"/>
            <w:hideMark/>
          </w:tcPr>
          <w:p w14:paraId="4E826819" w14:textId="77777777" w:rsidR="003D0C85" w:rsidRPr="003D0C85" w:rsidRDefault="003D0C85" w:rsidP="003D0C85">
            <w:pPr>
              <w:spacing w:after="0" w:line="240" w:lineRule="auto"/>
              <w:jc w:val="right"/>
              <w:rPr>
                <w:rFonts w:ascii="Calibri" w:eastAsia="Times New Roman" w:hAnsi="Calibri" w:cs="Calibri"/>
                <w:sz w:val="18"/>
                <w:szCs w:val="18"/>
                <w:lang w:eastAsia="hr-HR"/>
              </w:rPr>
            </w:pPr>
            <w:r w:rsidRPr="003D0C85">
              <w:rPr>
                <w:rFonts w:ascii="Calibri" w:eastAsia="Times New Roman" w:hAnsi="Calibri" w:cs="Calibri"/>
                <w:sz w:val="18"/>
                <w:szCs w:val="18"/>
                <w:lang w:eastAsia="hr-HR"/>
              </w:rPr>
              <w:t>0</w:t>
            </w:r>
          </w:p>
        </w:tc>
        <w:tc>
          <w:tcPr>
            <w:tcW w:w="447" w:type="dxa"/>
            <w:tcBorders>
              <w:top w:val="nil"/>
              <w:left w:val="nil"/>
              <w:bottom w:val="single" w:sz="4" w:space="0" w:color="auto"/>
              <w:right w:val="single" w:sz="4" w:space="0" w:color="auto"/>
            </w:tcBorders>
            <w:shd w:val="clear" w:color="000000" w:fill="FF9900"/>
            <w:noWrap/>
            <w:vAlign w:val="bottom"/>
            <w:hideMark/>
          </w:tcPr>
          <w:p w14:paraId="7BE061F7" w14:textId="77777777" w:rsidR="003D0C85" w:rsidRPr="003D0C85" w:rsidRDefault="003D0C85" w:rsidP="003D0C85">
            <w:pPr>
              <w:spacing w:after="0" w:line="240" w:lineRule="auto"/>
              <w:jc w:val="right"/>
              <w:rPr>
                <w:rFonts w:ascii="Calibri" w:eastAsia="Times New Roman" w:hAnsi="Calibri" w:cs="Calibri"/>
                <w:sz w:val="18"/>
                <w:szCs w:val="18"/>
                <w:lang w:eastAsia="hr-HR"/>
              </w:rPr>
            </w:pPr>
            <w:r w:rsidRPr="003D0C85">
              <w:rPr>
                <w:rFonts w:ascii="Calibri" w:eastAsia="Times New Roman" w:hAnsi="Calibri" w:cs="Calibri"/>
                <w:sz w:val="18"/>
                <w:szCs w:val="18"/>
                <w:lang w:eastAsia="hr-HR"/>
              </w:rPr>
              <w:t>0</w:t>
            </w:r>
          </w:p>
        </w:tc>
        <w:tc>
          <w:tcPr>
            <w:tcW w:w="475" w:type="dxa"/>
            <w:tcBorders>
              <w:top w:val="nil"/>
              <w:left w:val="nil"/>
              <w:bottom w:val="single" w:sz="4" w:space="0" w:color="auto"/>
              <w:right w:val="single" w:sz="4" w:space="0" w:color="auto"/>
            </w:tcBorders>
            <w:shd w:val="clear" w:color="auto" w:fill="auto"/>
            <w:vAlign w:val="bottom"/>
            <w:hideMark/>
          </w:tcPr>
          <w:p w14:paraId="6A1B4D98" w14:textId="77777777" w:rsidR="003D0C85" w:rsidRPr="003D0C85" w:rsidRDefault="003D0C85" w:rsidP="003D0C85">
            <w:pPr>
              <w:spacing w:after="0" w:line="240" w:lineRule="auto"/>
              <w:jc w:val="right"/>
              <w:rPr>
                <w:rFonts w:ascii="Calibri" w:eastAsia="Times New Roman" w:hAnsi="Calibri" w:cs="Calibri"/>
                <w:b/>
                <w:bCs/>
                <w:sz w:val="18"/>
                <w:szCs w:val="18"/>
                <w:lang w:eastAsia="hr-HR"/>
              </w:rPr>
            </w:pPr>
            <w:r w:rsidRPr="003D0C85">
              <w:rPr>
                <w:rFonts w:ascii="Calibri" w:eastAsia="Times New Roman" w:hAnsi="Calibri" w:cs="Calibri"/>
                <w:b/>
                <w:bCs/>
                <w:sz w:val="18"/>
                <w:szCs w:val="18"/>
                <w:lang w:eastAsia="hr-HR"/>
              </w:rPr>
              <w:t>0</w:t>
            </w:r>
          </w:p>
        </w:tc>
        <w:tc>
          <w:tcPr>
            <w:tcW w:w="447" w:type="dxa"/>
            <w:gridSpan w:val="2"/>
            <w:tcBorders>
              <w:top w:val="nil"/>
              <w:left w:val="nil"/>
              <w:bottom w:val="single" w:sz="4" w:space="0" w:color="auto"/>
              <w:right w:val="single" w:sz="4" w:space="0" w:color="auto"/>
            </w:tcBorders>
            <w:shd w:val="clear" w:color="000000" w:fill="FFFF00"/>
            <w:noWrap/>
            <w:vAlign w:val="bottom"/>
            <w:hideMark/>
          </w:tcPr>
          <w:p w14:paraId="347CACA4" w14:textId="77777777" w:rsidR="003D0C85" w:rsidRPr="003D0C85" w:rsidRDefault="003D0C85" w:rsidP="003D0C85">
            <w:pPr>
              <w:spacing w:after="0" w:line="240" w:lineRule="auto"/>
              <w:jc w:val="right"/>
              <w:rPr>
                <w:rFonts w:ascii="Calibri" w:eastAsia="Times New Roman" w:hAnsi="Calibri" w:cs="Calibri"/>
                <w:sz w:val="18"/>
                <w:szCs w:val="18"/>
                <w:lang w:eastAsia="hr-HR"/>
              </w:rPr>
            </w:pPr>
            <w:r w:rsidRPr="003D0C85">
              <w:rPr>
                <w:rFonts w:ascii="Calibri" w:eastAsia="Times New Roman" w:hAnsi="Calibri" w:cs="Calibri"/>
                <w:sz w:val="18"/>
                <w:szCs w:val="18"/>
                <w:lang w:eastAsia="hr-HR"/>
              </w:rPr>
              <w:t>0</w:t>
            </w:r>
          </w:p>
        </w:tc>
        <w:tc>
          <w:tcPr>
            <w:tcW w:w="447" w:type="dxa"/>
            <w:tcBorders>
              <w:top w:val="nil"/>
              <w:left w:val="nil"/>
              <w:bottom w:val="single" w:sz="4" w:space="0" w:color="auto"/>
              <w:right w:val="single" w:sz="4" w:space="0" w:color="auto"/>
            </w:tcBorders>
            <w:shd w:val="clear" w:color="000000" w:fill="FFFF00"/>
            <w:noWrap/>
            <w:vAlign w:val="bottom"/>
            <w:hideMark/>
          </w:tcPr>
          <w:p w14:paraId="2DF7E30D" w14:textId="77777777" w:rsidR="003D0C85" w:rsidRPr="003D0C85" w:rsidRDefault="003D0C85" w:rsidP="003D0C85">
            <w:pPr>
              <w:spacing w:after="0" w:line="240" w:lineRule="auto"/>
              <w:jc w:val="right"/>
              <w:rPr>
                <w:rFonts w:ascii="Calibri" w:eastAsia="Times New Roman" w:hAnsi="Calibri" w:cs="Calibri"/>
                <w:sz w:val="18"/>
                <w:szCs w:val="18"/>
                <w:lang w:eastAsia="hr-HR"/>
              </w:rPr>
            </w:pPr>
            <w:r w:rsidRPr="003D0C85">
              <w:rPr>
                <w:rFonts w:ascii="Calibri" w:eastAsia="Times New Roman" w:hAnsi="Calibri" w:cs="Calibri"/>
                <w:sz w:val="18"/>
                <w:szCs w:val="18"/>
                <w:lang w:eastAsia="hr-HR"/>
              </w:rPr>
              <w:t>0</w:t>
            </w:r>
          </w:p>
        </w:tc>
        <w:tc>
          <w:tcPr>
            <w:tcW w:w="521" w:type="dxa"/>
            <w:tcBorders>
              <w:top w:val="nil"/>
              <w:left w:val="nil"/>
              <w:bottom w:val="single" w:sz="4" w:space="0" w:color="auto"/>
              <w:right w:val="single" w:sz="4" w:space="0" w:color="auto"/>
            </w:tcBorders>
            <w:shd w:val="clear" w:color="000000" w:fill="FFFF00"/>
            <w:noWrap/>
            <w:vAlign w:val="bottom"/>
            <w:hideMark/>
          </w:tcPr>
          <w:p w14:paraId="19CE2A8A" w14:textId="77777777" w:rsidR="003D0C85" w:rsidRPr="003D0C85" w:rsidRDefault="003D0C85" w:rsidP="003D0C85">
            <w:pPr>
              <w:spacing w:after="0" w:line="240" w:lineRule="auto"/>
              <w:jc w:val="right"/>
              <w:rPr>
                <w:rFonts w:ascii="Calibri" w:eastAsia="Times New Roman" w:hAnsi="Calibri" w:cs="Calibri"/>
                <w:sz w:val="18"/>
                <w:szCs w:val="18"/>
                <w:lang w:eastAsia="hr-HR"/>
              </w:rPr>
            </w:pPr>
            <w:r w:rsidRPr="003D0C85">
              <w:rPr>
                <w:rFonts w:ascii="Calibri" w:eastAsia="Times New Roman" w:hAnsi="Calibri" w:cs="Calibri"/>
                <w:sz w:val="18"/>
                <w:szCs w:val="18"/>
                <w:lang w:eastAsia="hr-HR"/>
              </w:rPr>
              <w:t>0</w:t>
            </w:r>
          </w:p>
        </w:tc>
        <w:tc>
          <w:tcPr>
            <w:tcW w:w="446" w:type="dxa"/>
            <w:tcBorders>
              <w:top w:val="nil"/>
              <w:left w:val="nil"/>
              <w:bottom w:val="single" w:sz="4" w:space="0" w:color="auto"/>
              <w:right w:val="single" w:sz="4" w:space="0" w:color="auto"/>
            </w:tcBorders>
            <w:shd w:val="clear" w:color="auto" w:fill="auto"/>
            <w:vAlign w:val="bottom"/>
            <w:hideMark/>
          </w:tcPr>
          <w:p w14:paraId="1542A82F" w14:textId="77777777" w:rsidR="003D0C85" w:rsidRPr="003D0C85" w:rsidRDefault="003D0C85" w:rsidP="003D0C85">
            <w:pPr>
              <w:spacing w:after="0" w:line="240" w:lineRule="auto"/>
              <w:jc w:val="right"/>
              <w:rPr>
                <w:rFonts w:ascii="Calibri" w:eastAsia="Times New Roman" w:hAnsi="Calibri" w:cs="Calibri"/>
                <w:b/>
                <w:bCs/>
                <w:sz w:val="18"/>
                <w:szCs w:val="18"/>
                <w:lang w:eastAsia="hr-HR"/>
              </w:rPr>
            </w:pPr>
            <w:r w:rsidRPr="003D0C85">
              <w:rPr>
                <w:rFonts w:ascii="Calibri" w:eastAsia="Times New Roman" w:hAnsi="Calibri" w:cs="Calibri"/>
                <w:b/>
                <w:bCs/>
                <w:sz w:val="18"/>
                <w:szCs w:val="18"/>
                <w:lang w:eastAsia="hr-HR"/>
              </w:rPr>
              <w:t>0</w:t>
            </w:r>
          </w:p>
        </w:tc>
        <w:tc>
          <w:tcPr>
            <w:tcW w:w="792" w:type="dxa"/>
            <w:gridSpan w:val="2"/>
            <w:tcBorders>
              <w:top w:val="nil"/>
              <w:left w:val="nil"/>
              <w:bottom w:val="single" w:sz="4" w:space="0" w:color="auto"/>
              <w:right w:val="single" w:sz="4" w:space="0" w:color="auto"/>
            </w:tcBorders>
            <w:shd w:val="clear" w:color="000000" w:fill="FFFF00"/>
            <w:vAlign w:val="bottom"/>
            <w:hideMark/>
          </w:tcPr>
          <w:p w14:paraId="393AC175" w14:textId="77777777" w:rsidR="003D0C85" w:rsidRPr="003D0C85" w:rsidRDefault="003D0C85" w:rsidP="003D0C85">
            <w:pPr>
              <w:spacing w:after="0" w:line="240" w:lineRule="auto"/>
              <w:jc w:val="right"/>
              <w:rPr>
                <w:rFonts w:ascii="Calibri" w:eastAsia="Times New Roman" w:hAnsi="Calibri" w:cs="Calibri"/>
                <w:b/>
                <w:bCs/>
                <w:sz w:val="18"/>
                <w:szCs w:val="18"/>
                <w:lang w:eastAsia="hr-HR"/>
              </w:rPr>
            </w:pPr>
            <w:r w:rsidRPr="003D0C85">
              <w:rPr>
                <w:rFonts w:ascii="Calibri" w:eastAsia="Times New Roman" w:hAnsi="Calibri" w:cs="Calibri"/>
                <w:b/>
                <w:bCs/>
                <w:sz w:val="18"/>
                <w:szCs w:val="18"/>
                <w:lang w:eastAsia="hr-HR"/>
              </w:rPr>
              <w:t>0</w:t>
            </w:r>
          </w:p>
        </w:tc>
        <w:tc>
          <w:tcPr>
            <w:tcW w:w="507" w:type="dxa"/>
            <w:gridSpan w:val="2"/>
            <w:tcBorders>
              <w:top w:val="nil"/>
              <w:left w:val="nil"/>
              <w:bottom w:val="single" w:sz="4" w:space="0" w:color="auto"/>
              <w:right w:val="single" w:sz="4" w:space="0" w:color="auto"/>
            </w:tcBorders>
            <w:shd w:val="clear" w:color="000000" w:fill="FF9900"/>
            <w:noWrap/>
            <w:vAlign w:val="bottom"/>
            <w:hideMark/>
          </w:tcPr>
          <w:p w14:paraId="1E1C69B1" w14:textId="77777777" w:rsidR="003D0C85" w:rsidRPr="003D0C85" w:rsidRDefault="003D0C85" w:rsidP="003D0C85">
            <w:pPr>
              <w:spacing w:after="0" w:line="240" w:lineRule="auto"/>
              <w:jc w:val="right"/>
              <w:rPr>
                <w:rFonts w:ascii="Calibri" w:eastAsia="Times New Roman" w:hAnsi="Calibri" w:cs="Calibri"/>
                <w:sz w:val="18"/>
                <w:szCs w:val="18"/>
                <w:lang w:eastAsia="hr-HR"/>
              </w:rPr>
            </w:pPr>
            <w:r w:rsidRPr="003D0C85">
              <w:rPr>
                <w:rFonts w:ascii="Calibri" w:eastAsia="Times New Roman" w:hAnsi="Calibri" w:cs="Calibri"/>
                <w:sz w:val="18"/>
                <w:szCs w:val="18"/>
                <w:lang w:eastAsia="hr-HR"/>
              </w:rPr>
              <w:t>0</w:t>
            </w:r>
          </w:p>
        </w:tc>
        <w:tc>
          <w:tcPr>
            <w:tcW w:w="244" w:type="dxa"/>
            <w:tcBorders>
              <w:top w:val="nil"/>
              <w:left w:val="nil"/>
              <w:bottom w:val="single" w:sz="4" w:space="0" w:color="auto"/>
              <w:right w:val="single" w:sz="4" w:space="0" w:color="auto"/>
            </w:tcBorders>
            <w:shd w:val="clear" w:color="000000" w:fill="CCFFFF"/>
            <w:noWrap/>
            <w:vAlign w:val="bottom"/>
            <w:hideMark/>
          </w:tcPr>
          <w:p w14:paraId="430F6A04" w14:textId="77777777" w:rsidR="003D0C85" w:rsidRPr="003D0C85" w:rsidRDefault="003D0C85" w:rsidP="003D0C85">
            <w:pPr>
              <w:spacing w:after="0" w:line="240" w:lineRule="auto"/>
              <w:jc w:val="right"/>
              <w:rPr>
                <w:rFonts w:ascii="Calibri" w:eastAsia="Times New Roman" w:hAnsi="Calibri" w:cs="Calibri"/>
                <w:sz w:val="18"/>
                <w:szCs w:val="18"/>
                <w:lang w:eastAsia="hr-HR"/>
              </w:rPr>
            </w:pPr>
            <w:r w:rsidRPr="003D0C85">
              <w:rPr>
                <w:rFonts w:ascii="Calibri" w:eastAsia="Times New Roman" w:hAnsi="Calibri" w:cs="Calibri"/>
                <w:sz w:val="18"/>
                <w:szCs w:val="18"/>
                <w:lang w:eastAsia="hr-HR"/>
              </w:rPr>
              <w:t>0</w:t>
            </w:r>
          </w:p>
        </w:tc>
        <w:tc>
          <w:tcPr>
            <w:tcW w:w="425" w:type="dxa"/>
            <w:tcBorders>
              <w:top w:val="nil"/>
              <w:left w:val="nil"/>
              <w:bottom w:val="single" w:sz="4" w:space="0" w:color="auto"/>
              <w:right w:val="single" w:sz="4" w:space="0" w:color="auto"/>
            </w:tcBorders>
            <w:shd w:val="clear" w:color="000000" w:fill="CCFFFF"/>
            <w:noWrap/>
            <w:vAlign w:val="bottom"/>
            <w:hideMark/>
          </w:tcPr>
          <w:p w14:paraId="4162F691" w14:textId="77777777" w:rsidR="003D0C85" w:rsidRPr="003D0C85" w:rsidRDefault="003D0C85" w:rsidP="003D0C85">
            <w:pPr>
              <w:spacing w:after="0" w:line="240" w:lineRule="auto"/>
              <w:jc w:val="right"/>
              <w:rPr>
                <w:rFonts w:ascii="Calibri" w:eastAsia="Times New Roman" w:hAnsi="Calibri" w:cs="Calibri"/>
                <w:sz w:val="18"/>
                <w:szCs w:val="18"/>
                <w:lang w:eastAsia="hr-HR"/>
              </w:rPr>
            </w:pPr>
            <w:r w:rsidRPr="003D0C85">
              <w:rPr>
                <w:rFonts w:ascii="Calibri" w:eastAsia="Times New Roman" w:hAnsi="Calibri" w:cs="Calibri"/>
                <w:sz w:val="18"/>
                <w:szCs w:val="18"/>
                <w:lang w:eastAsia="hr-HR"/>
              </w:rPr>
              <w:t>0</w:t>
            </w:r>
          </w:p>
        </w:tc>
        <w:tc>
          <w:tcPr>
            <w:tcW w:w="607" w:type="dxa"/>
            <w:tcBorders>
              <w:top w:val="nil"/>
              <w:left w:val="nil"/>
              <w:bottom w:val="single" w:sz="4" w:space="0" w:color="auto"/>
              <w:right w:val="single" w:sz="4" w:space="0" w:color="auto"/>
            </w:tcBorders>
            <w:shd w:val="clear" w:color="000000" w:fill="CCFFFF"/>
            <w:noWrap/>
            <w:vAlign w:val="bottom"/>
            <w:hideMark/>
          </w:tcPr>
          <w:p w14:paraId="0C99EDB9" w14:textId="77777777" w:rsidR="003D0C85" w:rsidRPr="003D0C85" w:rsidRDefault="003D0C85" w:rsidP="003D0C85">
            <w:pPr>
              <w:spacing w:after="0" w:line="240" w:lineRule="auto"/>
              <w:jc w:val="right"/>
              <w:rPr>
                <w:rFonts w:ascii="Calibri" w:eastAsia="Times New Roman" w:hAnsi="Calibri" w:cs="Calibri"/>
                <w:sz w:val="18"/>
                <w:szCs w:val="18"/>
                <w:lang w:eastAsia="hr-HR"/>
              </w:rPr>
            </w:pPr>
            <w:r w:rsidRPr="003D0C85">
              <w:rPr>
                <w:rFonts w:ascii="Calibri" w:eastAsia="Times New Roman" w:hAnsi="Calibri" w:cs="Calibri"/>
                <w:sz w:val="18"/>
                <w:szCs w:val="18"/>
                <w:lang w:eastAsia="hr-HR"/>
              </w:rPr>
              <w:t>0</w:t>
            </w:r>
          </w:p>
        </w:tc>
        <w:tc>
          <w:tcPr>
            <w:tcW w:w="425" w:type="dxa"/>
            <w:gridSpan w:val="2"/>
            <w:tcBorders>
              <w:top w:val="nil"/>
              <w:left w:val="nil"/>
              <w:bottom w:val="single" w:sz="4" w:space="0" w:color="auto"/>
              <w:right w:val="nil"/>
            </w:tcBorders>
            <w:shd w:val="clear" w:color="000000" w:fill="33CCCC"/>
            <w:noWrap/>
            <w:vAlign w:val="bottom"/>
            <w:hideMark/>
          </w:tcPr>
          <w:p w14:paraId="08418BE8" w14:textId="77777777" w:rsidR="003D0C85" w:rsidRPr="003D0C85" w:rsidRDefault="003D0C85" w:rsidP="003D0C85">
            <w:pPr>
              <w:spacing w:after="0" w:line="240" w:lineRule="auto"/>
              <w:jc w:val="right"/>
              <w:rPr>
                <w:rFonts w:ascii="Calibri" w:eastAsia="Times New Roman" w:hAnsi="Calibri" w:cs="Calibri"/>
                <w:sz w:val="18"/>
                <w:szCs w:val="18"/>
                <w:lang w:eastAsia="hr-HR"/>
              </w:rPr>
            </w:pPr>
            <w:r w:rsidRPr="003D0C85">
              <w:rPr>
                <w:rFonts w:ascii="Calibri" w:eastAsia="Times New Roman" w:hAnsi="Calibri" w:cs="Calibri"/>
                <w:sz w:val="18"/>
                <w:szCs w:val="18"/>
                <w:lang w:eastAsia="hr-HR"/>
              </w:rPr>
              <w:t>0</w:t>
            </w:r>
          </w:p>
        </w:tc>
        <w:tc>
          <w:tcPr>
            <w:tcW w:w="452" w:type="dxa"/>
            <w:gridSpan w:val="2"/>
            <w:tcBorders>
              <w:top w:val="nil"/>
              <w:left w:val="single" w:sz="4" w:space="0" w:color="auto"/>
              <w:bottom w:val="single" w:sz="4" w:space="0" w:color="auto"/>
              <w:right w:val="single" w:sz="8" w:space="0" w:color="auto"/>
            </w:tcBorders>
            <w:shd w:val="clear" w:color="000000" w:fill="33CCCC"/>
            <w:noWrap/>
            <w:vAlign w:val="bottom"/>
            <w:hideMark/>
          </w:tcPr>
          <w:p w14:paraId="55A0F183" w14:textId="77777777" w:rsidR="003D0C85" w:rsidRPr="003D0C85" w:rsidRDefault="003D0C85" w:rsidP="003D0C85">
            <w:pPr>
              <w:spacing w:after="0" w:line="240" w:lineRule="auto"/>
              <w:jc w:val="right"/>
              <w:rPr>
                <w:rFonts w:ascii="Calibri" w:eastAsia="Times New Roman" w:hAnsi="Calibri" w:cs="Calibri"/>
                <w:sz w:val="18"/>
                <w:szCs w:val="18"/>
                <w:lang w:eastAsia="hr-HR"/>
              </w:rPr>
            </w:pPr>
            <w:r w:rsidRPr="003D0C85">
              <w:rPr>
                <w:rFonts w:ascii="Calibri" w:eastAsia="Times New Roman" w:hAnsi="Calibri" w:cs="Calibri"/>
                <w:sz w:val="18"/>
                <w:szCs w:val="18"/>
                <w:lang w:eastAsia="hr-HR"/>
              </w:rPr>
              <w:t>0</w:t>
            </w:r>
          </w:p>
        </w:tc>
        <w:tc>
          <w:tcPr>
            <w:tcW w:w="236" w:type="dxa"/>
            <w:gridSpan w:val="3"/>
            <w:vAlign w:val="center"/>
            <w:hideMark/>
          </w:tcPr>
          <w:p w14:paraId="1A5E0B34" w14:textId="77777777" w:rsidR="003D0C85" w:rsidRPr="003D0C85" w:rsidRDefault="003D0C85" w:rsidP="003D0C85">
            <w:pPr>
              <w:spacing w:after="0" w:line="240" w:lineRule="auto"/>
              <w:rPr>
                <w:rFonts w:ascii="Times New Roman" w:eastAsia="Times New Roman" w:hAnsi="Times New Roman" w:cs="Times New Roman"/>
                <w:sz w:val="18"/>
                <w:szCs w:val="18"/>
                <w:lang w:eastAsia="hr-HR"/>
              </w:rPr>
            </w:pPr>
          </w:p>
        </w:tc>
      </w:tr>
      <w:tr w:rsidR="00E72E51" w:rsidRPr="00E72E51" w14:paraId="2DC9DBD8" w14:textId="77777777" w:rsidTr="00E72E51">
        <w:trPr>
          <w:trHeight w:val="315"/>
        </w:trPr>
        <w:tc>
          <w:tcPr>
            <w:tcW w:w="983" w:type="dxa"/>
            <w:tcBorders>
              <w:top w:val="single" w:sz="4" w:space="0" w:color="auto"/>
              <w:left w:val="single" w:sz="8" w:space="0" w:color="auto"/>
              <w:bottom w:val="single" w:sz="4" w:space="0" w:color="auto"/>
              <w:right w:val="single" w:sz="4" w:space="0" w:color="auto"/>
            </w:tcBorders>
            <w:shd w:val="clear" w:color="000000" w:fill="CCFFCC"/>
            <w:vAlign w:val="center"/>
            <w:hideMark/>
          </w:tcPr>
          <w:p w14:paraId="5621AF32" w14:textId="77777777" w:rsidR="003D0C85" w:rsidRPr="003D0C85" w:rsidRDefault="003D0C85" w:rsidP="003D0C85">
            <w:pPr>
              <w:spacing w:after="0" w:line="240" w:lineRule="auto"/>
              <w:rPr>
                <w:rFonts w:ascii="Calibri" w:eastAsia="Times New Roman" w:hAnsi="Calibri" w:cs="Calibri"/>
                <w:sz w:val="18"/>
                <w:szCs w:val="18"/>
                <w:lang w:eastAsia="hr-HR"/>
              </w:rPr>
            </w:pPr>
            <w:r w:rsidRPr="003D0C85">
              <w:rPr>
                <w:rFonts w:ascii="Calibri" w:eastAsia="Times New Roman" w:hAnsi="Calibri" w:cs="Calibri"/>
                <w:sz w:val="18"/>
                <w:szCs w:val="18"/>
                <w:lang w:eastAsia="hr-HR"/>
              </w:rPr>
              <w:t>Društveni položaj</w:t>
            </w:r>
          </w:p>
        </w:tc>
        <w:tc>
          <w:tcPr>
            <w:tcW w:w="442" w:type="dxa"/>
            <w:tcBorders>
              <w:top w:val="nil"/>
              <w:left w:val="nil"/>
              <w:bottom w:val="single" w:sz="4" w:space="0" w:color="auto"/>
              <w:right w:val="single" w:sz="4" w:space="0" w:color="auto"/>
            </w:tcBorders>
            <w:shd w:val="clear" w:color="000000" w:fill="FFFF00"/>
            <w:vAlign w:val="bottom"/>
            <w:hideMark/>
          </w:tcPr>
          <w:p w14:paraId="654AED40" w14:textId="77777777" w:rsidR="003D0C85" w:rsidRPr="003D0C85" w:rsidRDefault="003D0C85" w:rsidP="003D0C85">
            <w:pPr>
              <w:spacing w:after="0" w:line="240" w:lineRule="auto"/>
              <w:jc w:val="right"/>
              <w:rPr>
                <w:rFonts w:ascii="Calibri" w:eastAsia="Times New Roman" w:hAnsi="Calibri" w:cs="Calibri"/>
                <w:b/>
                <w:bCs/>
                <w:sz w:val="18"/>
                <w:szCs w:val="18"/>
                <w:lang w:eastAsia="hr-HR"/>
              </w:rPr>
            </w:pPr>
            <w:r w:rsidRPr="003D0C85">
              <w:rPr>
                <w:rFonts w:ascii="Calibri" w:eastAsia="Times New Roman" w:hAnsi="Calibri" w:cs="Calibri"/>
                <w:b/>
                <w:bCs/>
                <w:sz w:val="18"/>
                <w:szCs w:val="18"/>
                <w:lang w:eastAsia="hr-HR"/>
              </w:rPr>
              <w:t>1</w:t>
            </w:r>
          </w:p>
        </w:tc>
        <w:tc>
          <w:tcPr>
            <w:tcW w:w="443" w:type="dxa"/>
            <w:tcBorders>
              <w:top w:val="nil"/>
              <w:left w:val="nil"/>
              <w:bottom w:val="single" w:sz="4" w:space="0" w:color="auto"/>
              <w:right w:val="single" w:sz="4" w:space="0" w:color="auto"/>
            </w:tcBorders>
            <w:shd w:val="clear" w:color="000000" w:fill="FFCC99"/>
            <w:noWrap/>
            <w:vAlign w:val="bottom"/>
            <w:hideMark/>
          </w:tcPr>
          <w:p w14:paraId="067C9329" w14:textId="77777777" w:rsidR="003D0C85" w:rsidRPr="003D0C85" w:rsidRDefault="003D0C85" w:rsidP="003D0C85">
            <w:pPr>
              <w:spacing w:after="0" w:line="240" w:lineRule="auto"/>
              <w:jc w:val="right"/>
              <w:rPr>
                <w:rFonts w:ascii="Calibri" w:eastAsia="Times New Roman" w:hAnsi="Calibri" w:cs="Calibri"/>
                <w:sz w:val="18"/>
                <w:szCs w:val="18"/>
                <w:lang w:eastAsia="hr-HR"/>
              </w:rPr>
            </w:pPr>
            <w:r w:rsidRPr="003D0C85">
              <w:rPr>
                <w:rFonts w:ascii="Calibri" w:eastAsia="Times New Roman" w:hAnsi="Calibri" w:cs="Calibri"/>
                <w:sz w:val="18"/>
                <w:szCs w:val="18"/>
                <w:lang w:eastAsia="hr-HR"/>
              </w:rPr>
              <w:t>0</w:t>
            </w:r>
          </w:p>
        </w:tc>
        <w:tc>
          <w:tcPr>
            <w:tcW w:w="316" w:type="dxa"/>
            <w:tcBorders>
              <w:top w:val="nil"/>
              <w:left w:val="nil"/>
              <w:bottom w:val="single" w:sz="4" w:space="0" w:color="auto"/>
              <w:right w:val="single" w:sz="4" w:space="0" w:color="auto"/>
            </w:tcBorders>
            <w:shd w:val="clear" w:color="000000" w:fill="CCFFFF"/>
            <w:vAlign w:val="bottom"/>
            <w:hideMark/>
          </w:tcPr>
          <w:p w14:paraId="74263660" w14:textId="77777777" w:rsidR="003D0C85" w:rsidRPr="003D0C85" w:rsidRDefault="003D0C85" w:rsidP="003D0C85">
            <w:pPr>
              <w:spacing w:after="0" w:line="240" w:lineRule="auto"/>
              <w:jc w:val="right"/>
              <w:rPr>
                <w:rFonts w:ascii="Calibri" w:eastAsia="Times New Roman" w:hAnsi="Calibri" w:cs="Calibri"/>
                <w:sz w:val="18"/>
                <w:szCs w:val="18"/>
                <w:lang w:eastAsia="hr-HR"/>
              </w:rPr>
            </w:pPr>
            <w:r w:rsidRPr="003D0C85">
              <w:rPr>
                <w:rFonts w:ascii="Calibri" w:eastAsia="Times New Roman" w:hAnsi="Calibri" w:cs="Calibri"/>
                <w:sz w:val="18"/>
                <w:szCs w:val="18"/>
                <w:lang w:eastAsia="hr-HR"/>
              </w:rPr>
              <w:t>0</w:t>
            </w:r>
          </w:p>
        </w:tc>
        <w:tc>
          <w:tcPr>
            <w:tcW w:w="452" w:type="dxa"/>
            <w:tcBorders>
              <w:top w:val="nil"/>
              <w:left w:val="nil"/>
              <w:bottom w:val="single" w:sz="4" w:space="0" w:color="auto"/>
              <w:right w:val="single" w:sz="4" w:space="0" w:color="auto"/>
            </w:tcBorders>
            <w:shd w:val="clear" w:color="000000" w:fill="CCFFFF"/>
            <w:vAlign w:val="bottom"/>
            <w:hideMark/>
          </w:tcPr>
          <w:p w14:paraId="790100B3" w14:textId="77777777" w:rsidR="003D0C85" w:rsidRPr="003D0C85" w:rsidRDefault="003D0C85" w:rsidP="003D0C85">
            <w:pPr>
              <w:spacing w:after="0" w:line="240" w:lineRule="auto"/>
              <w:jc w:val="right"/>
              <w:rPr>
                <w:rFonts w:ascii="Calibri" w:eastAsia="Times New Roman" w:hAnsi="Calibri" w:cs="Calibri"/>
                <w:sz w:val="18"/>
                <w:szCs w:val="18"/>
                <w:lang w:eastAsia="hr-HR"/>
              </w:rPr>
            </w:pPr>
            <w:r w:rsidRPr="003D0C85">
              <w:rPr>
                <w:rFonts w:ascii="Calibri" w:eastAsia="Times New Roman" w:hAnsi="Calibri" w:cs="Calibri"/>
                <w:sz w:val="18"/>
                <w:szCs w:val="18"/>
                <w:lang w:eastAsia="hr-HR"/>
              </w:rPr>
              <w:t>0</w:t>
            </w:r>
          </w:p>
        </w:tc>
        <w:tc>
          <w:tcPr>
            <w:tcW w:w="491" w:type="dxa"/>
            <w:gridSpan w:val="2"/>
            <w:tcBorders>
              <w:top w:val="nil"/>
              <w:left w:val="nil"/>
              <w:bottom w:val="single" w:sz="4" w:space="0" w:color="auto"/>
              <w:right w:val="single" w:sz="4" w:space="0" w:color="auto"/>
            </w:tcBorders>
            <w:shd w:val="clear" w:color="000000" w:fill="FFFF99"/>
            <w:noWrap/>
            <w:vAlign w:val="bottom"/>
            <w:hideMark/>
          </w:tcPr>
          <w:p w14:paraId="3684CEBC" w14:textId="77777777" w:rsidR="003D0C85" w:rsidRPr="003D0C85" w:rsidRDefault="003D0C85" w:rsidP="003D0C85">
            <w:pPr>
              <w:spacing w:after="0" w:line="240" w:lineRule="auto"/>
              <w:jc w:val="right"/>
              <w:rPr>
                <w:rFonts w:ascii="Calibri" w:eastAsia="Times New Roman" w:hAnsi="Calibri" w:cs="Calibri"/>
                <w:sz w:val="18"/>
                <w:szCs w:val="18"/>
                <w:lang w:eastAsia="hr-HR"/>
              </w:rPr>
            </w:pPr>
            <w:r w:rsidRPr="003D0C85">
              <w:rPr>
                <w:rFonts w:ascii="Calibri" w:eastAsia="Times New Roman" w:hAnsi="Calibri" w:cs="Calibri"/>
                <w:sz w:val="18"/>
                <w:szCs w:val="18"/>
                <w:lang w:eastAsia="hr-HR"/>
              </w:rPr>
              <w:t>0</w:t>
            </w:r>
          </w:p>
        </w:tc>
        <w:tc>
          <w:tcPr>
            <w:tcW w:w="447" w:type="dxa"/>
            <w:tcBorders>
              <w:top w:val="nil"/>
              <w:left w:val="nil"/>
              <w:bottom w:val="single" w:sz="4" w:space="0" w:color="auto"/>
              <w:right w:val="single" w:sz="4" w:space="0" w:color="auto"/>
            </w:tcBorders>
            <w:shd w:val="clear" w:color="000000" w:fill="FFFF99"/>
            <w:noWrap/>
            <w:vAlign w:val="bottom"/>
            <w:hideMark/>
          </w:tcPr>
          <w:p w14:paraId="1FFBD7F1" w14:textId="77777777" w:rsidR="003D0C85" w:rsidRPr="003D0C85" w:rsidRDefault="003D0C85" w:rsidP="003D0C85">
            <w:pPr>
              <w:spacing w:after="0" w:line="240" w:lineRule="auto"/>
              <w:jc w:val="right"/>
              <w:rPr>
                <w:rFonts w:ascii="Calibri" w:eastAsia="Times New Roman" w:hAnsi="Calibri" w:cs="Calibri"/>
                <w:sz w:val="18"/>
                <w:szCs w:val="18"/>
                <w:lang w:eastAsia="hr-HR"/>
              </w:rPr>
            </w:pPr>
            <w:r w:rsidRPr="003D0C85">
              <w:rPr>
                <w:rFonts w:ascii="Calibri" w:eastAsia="Times New Roman" w:hAnsi="Calibri" w:cs="Calibri"/>
                <w:sz w:val="18"/>
                <w:szCs w:val="18"/>
                <w:lang w:eastAsia="hr-HR"/>
              </w:rPr>
              <w:t>0</w:t>
            </w:r>
          </w:p>
        </w:tc>
        <w:tc>
          <w:tcPr>
            <w:tcW w:w="495" w:type="dxa"/>
            <w:tcBorders>
              <w:top w:val="nil"/>
              <w:left w:val="nil"/>
              <w:bottom w:val="single" w:sz="4" w:space="0" w:color="auto"/>
              <w:right w:val="single" w:sz="4" w:space="0" w:color="auto"/>
            </w:tcBorders>
            <w:shd w:val="clear" w:color="000000" w:fill="FFFF99"/>
            <w:noWrap/>
            <w:vAlign w:val="bottom"/>
            <w:hideMark/>
          </w:tcPr>
          <w:p w14:paraId="1B9803A2" w14:textId="77777777" w:rsidR="003D0C85" w:rsidRPr="003D0C85" w:rsidRDefault="003D0C85" w:rsidP="003D0C85">
            <w:pPr>
              <w:spacing w:after="0" w:line="240" w:lineRule="auto"/>
              <w:jc w:val="right"/>
              <w:rPr>
                <w:rFonts w:ascii="Calibri" w:eastAsia="Times New Roman" w:hAnsi="Calibri" w:cs="Calibri"/>
                <w:sz w:val="18"/>
                <w:szCs w:val="18"/>
                <w:lang w:eastAsia="hr-HR"/>
              </w:rPr>
            </w:pPr>
            <w:r w:rsidRPr="003D0C85">
              <w:rPr>
                <w:rFonts w:ascii="Calibri" w:eastAsia="Times New Roman" w:hAnsi="Calibri" w:cs="Calibri"/>
                <w:sz w:val="18"/>
                <w:szCs w:val="18"/>
                <w:lang w:eastAsia="hr-HR"/>
              </w:rPr>
              <w:t>0</w:t>
            </w:r>
          </w:p>
        </w:tc>
        <w:tc>
          <w:tcPr>
            <w:tcW w:w="451" w:type="dxa"/>
            <w:tcBorders>
              <w:top w:val="nil"/>
              <w:left w:val="nil"/>
              <w:bottom w:val="single" w:sz="4" w:space="0" w:color="auto"/>
              <w:right w:val="single" w:sz="4" w:space="0" w:color="auto"/>
            </w:tcBorders>
            <w:shd w:val="clear" w:color="000000" w:fill="FFFF99"/>
            <w:noWrap/>
            <w:vAlign w:val="bottom"/>
            <w:hideMark/>
          </w:tcPr>
          <w:p w14:paraId="31D0117A" w14:textId="77777777" w:rsidR="003D0C85" w:rsidRPr="003D0C85" w:rsidRDefault="003D0C85" w:rsidP="003D0C85">
            <w:pPr>
              <w:spacing w:after="0" w:line="240" w:lineRule="auto"/>
              <w:jc w:val="right"/>
              <w:rPr>
                <w:rFonts w:ascii="Calibri" w:eastAsia="Times New Roman" w:hAnsi="Calibri" w:cs="Calibri"/>
                <w:sz w:val="18"/>
                <w:szCs w:val="18"/>
                <w:lang w:eastAsia="hr-HR"/>
              </w:rPr>
            </w:pPr>
            <w:r w:rsidRPr="003D0C85">
              <w:rPr>
                <w:rFonts w:ascii="Calibri" w:eastAsia="Times New Roman" w:hAnsi="Calibri" w:cs="Calibri"/>
                <w:sz w:val="18"/>
                <w:szCs w:val="18"/>
                <w:lang w:eastAsia="hr-HR"/>
              </w:rPr>
              <w:t>0</w:t>
            </w:r>
          </w:p>
        </w:tc>
        <w:tc>
          <w:tcPr>
            <w:tcW w:w="632" w:type="dxa"/>
            <w:gridSpan w:val="2"/>
            <w:tcBorders>
              <w:top w:val="nil"/>
              <w:left w:val="nil"/>
              <w:bottom w:val="single" w:sz="4" w:space="0" w:color="auto"/>
              <w:right w:val="single" w:sz="4" w:space="0" w:color="auto"/>
            </w:tcBorders>
            <w:shd w:val="clear" w:color="000000" w:fill="FFFF99"/>
            <w:noWrap/>
            <w:vAlign w:val="bottom"/>
            <w:hideMark/>
          </w:tcPr>
          <w:p w14:paraId="163B54EF" w14:textId="77777777" w:rsidR="003D0C85" w:rsidRPr="003D0C85" w:rsidRDefault="003D0C85" w:rsidP="003D0C85">
            <w:pPr>
              <w:spacing w:after="0" w:line="240" w:lineRule="auto"/>
              <w:jc w:val="right"/>
              <w:rPr>
                <w:rFonts w:ascii="Calibri" w:eastAsia="Times New Roman" w:hAnsi="Calibri" w:cs="Calibri"/>
                <w:sz w:val="18"/>
                <w:szCs w:val="18"/>
                <w:lang w:eastAsia="hr-HR"/>
              </w:rPr>
            </w:pPr>
            <w:r w:rsidRPr="003D0C85">
              <w:rPr>
                <w:rFonts w:ascii="Calibri" w:eastAsia="Times New Roman" w:hAnsi="Calibri" w:cs="Calibri"/>
                <w:sz w:val="18"/>
                <w:szCs w:val="18"/>
                <w:lang w:eastAsia="hr-HR"/>
              </w:rPr>
              <w:t>0</w:t>
            </w:r>
          </w:p>
        </w:tc>
        <w:tc>
          <w:tcPr>
            <w:tcW w:w="447" w:type="dxa"/>
            <w:tcBorders>
              <w:top w:val="nil"/>
              <w:left w:val="nil"/>
              <w:bottom w:val="single" w:sz="4" w:space="0" w:color="auto"/>
              <w:right w:val="single" w:sz="4" w:space="0" w:color="auto"/>
            </w:tcBorders>
            <w:shd w:val="clear" w:color="000000" w:fill="FFFF99"/>
            <w:noWrap/>
            <w:vAlign w:val="bottom"/>
            <w:hideMark/>
          </w:tcPr>
          <w:p w14:paraId="7D35FF9B" w14:textId="77777777" w:rsidR="003D0C85" w:rsidRPr="003D0C85" w:rsidRDefault="003D0C85" w:rsidP="003D0C85">
            <w:pPr>
              <w:spacing w:after="0" w:line="240" w:lineRule="auto"/>
              <w:jc w:val="right"/>
              <w:rPr>
                <w:rFonts w:ascii="Calibri" w:eastAsia="Times New Roman" w:hAnsi="Calibri" w:cs="Calibri"/>
                <w:sz w:val="18"/>
                <w:szCs w:val="18"/>
                <w:lang w:eastAsia="hr-HR"/>
              </w:rPr>
            </w:pPr>
            <w:r w:rsidRPr="003D0C85">
              <w:rPr>
                <w:rFonts w:ascii="Calibri" w:eastAsia="Times New Roman" w:hAnsi="Calibri" w:cs="Calibri"/>
                <w:sz w:val="18"/>
                <w:szCs w:val="18"/>
                <w:lang w:eastAsia="hr-HR"/>
              </w:rPr>
              <w:t>0</w:t>
            </w:r>
          </w:p>
        </w:tc>
        <w:tc>
          <w:tcPr>
            <w:tcW w:w="543" w:type="dxa"/>
            <w:tcBorders>
              <w:top w:val="nil"/>
              <w:left w:val="nil"/>
              <w:bottom w:val="single" w:sz="4" w:space="0" w:color="auto"/>
              <w:right w:val="single" w:sz="4" w:space="0" w:color="auto"/>
            </w:tcBorders>
            <w:shd w:val="clear" w:color="000000" w:fill="FFFF99"/>
            <w:noWrap/>
            <w:vAlign w:val="bottom"/>
            <w:hideMark/>
          </w:tcPr>
          <w:p w14:paraId="1B9BD2A6" w14:textId="77777777" w:rsidR="003D0C85" w:rsidRPr="003D0C85" w:rsidRDefault="003D0C85" w:rsidP="003D0C85">
            <w:pPr>
              <w:spacing w:after="0" w:line="240" w:lineRule="auto"/>
              <w:jc w:val="right"/>
              <w:rPr>
                <w:rFonts w:ascii="Calibri" w:eastAsia="Times New Roman" w:hAnsi="Calibri" w:cs="Calibri"/>
                <w:sz w:val="18"/>
                <w:szCs w:val="18"/>
                <w:lang w:eastAsia="hr-HR"/>
              </w:rPr>
            </w:pPr>
            <w:r w:rsidRPr="003D0C85">
              <w:rPr>
                <w:rFonts w:ascii="Calibri" w:eastAsia="Times New Roman" w:hAnsi="Calibri" w:cs="Calibri"/>
                <w:sz w:val="18"/>
                <w:szCs w:val="18"/>
                <w:lang w:eastAsia="hr-HR"/>
              </w:rPr>
              <w:t>0</w:t>
            </w:r>
          </w:p>
        </w:tc>
        <w:tc>
          <w:tcPr>
            <w:tcW w:w="447" w:type="dxa"/>
            <w:tcBorders>
              <w:top w:val="nil"/>
              <w:left w:val="nil"/>
              <w:bottom w:val="single" w:sz="4" w:space="0" w:color="auto"/>
              <w:right w:val="single" w:sz="4" w:space="0" w:color="auto"/>
            </w:tcBorders>
            <w:shd w:val="clear" w:color="000000" w:fill="FFFF99"/>
            <w:noWrap/>
            <w:vAlign w:val="bottom"/>
            <w:hideMark/>
          </w:tcPr>
          <w:p w14:paraId="43ECEF2A" w14:textId="77777777" w:rsidR="003D0C85" w:rsidRPr="003D0C85" w:rsidRDefault="003D0C85" w:rsidP="003D0C85">
            <w:pPr>
              <w:spacing w:after="0" w:line="240" w:lineRule="auto"/>
              <w:jc w:val="right"/>
              <w:rPr>
                <w:rFonts w:ascii="Calibri" w:eastAsia="Times New Roman" w:hAnsi="Calibri" w:cs="Calibri"/>
                <w:sz w:val="18"/>
                <w:szCs w:val="18"/>
                <w:lang w:eastAsia="hr-HR"/>
              </w:rPr>
            </w:pPr>
            <w:r w:rsidRPr="003D0C85">
              <w:rPr>
                <w:rFonts w:ascii="Calibri" w:eastAsia="Times New Roman" w:hAnsi="Calibri" w:cs="Calibri"/>
                <w:sz w:val="18"/>
                <w:szCs w:val="18"/>
                <w:lang w:eastAsia="hr-HR"/>
              </w:rPr>
              <w:t>0</w:t>
            </w:r>
          </w:p>
        </w:tc>
        <w:tc>
          <w:tcPr>
            <w:tcW w:w="543" w:type="dxa"/>
            <w:tcBorders>
              <w:top w:val="nil"/>
              <w:left w:val="nil"/>
              <w:bottom w:val="single" w:sz="4" w:space="0" w:color="auto"/>
              <w:right w:val="single" w:sz="4" w:space="0" w:color="auto"/>
            </w:tcBorders>
            <w:shd w:val="clear" w:color="000000" w:fill="FFFF99"/>
            <w:noWrap/>
            <w:vAlign w:val="bottom"/>
            <w:hideMark/>
          </w:tcPr>
          <w:p w14:paraId="739FF552" w14:textId="77777777" w:rsidR="003D0C85" w:rsidRPr="003D0C85" w:rsidRDefault="003D0C85" w:rsidP="003D0C85">
            <w:pPr>
              <w:spacing w:after="0" w:line="240" w:lineRule="auto"/>
              <w:jc w:val="right"/>
              <w:rPr>
                <w:rFonts w:ascii="Calibri" w:eastAsia="Times New Roman" w:hAnsi="Calibri" w:cs="Calibri"/>
                <w:sz w:val="18"/>
                <w:szCs w:val="18"/>
                <w:lang w:eastAsia="hr-HR"/>
              </w:rPr>
            </w:pPr>
            <w:r w:rsidRPr="003D0C85">
              <w:rPr>
                <w:rFonts w:ascii="Calibri" w:eastAsia="Times New Roman" w:hAnsi="Calibri" w:cs="Calibri"/>
                <w:sz w:val="18"/>
                <w:szCs w:val="18"/>
                <w:lang w:eastAsia="hr-HR"/>
              </w:rPr>
              <w:t>0</w:t>
            </w:r>
          </w:p>
        </w:tc>
        <w:tc>
          <w:tcPr>
            <w:tcW w:w="356" w:type="dxa"/>
            <w:tcBorders>
              <w:top w:val="nil"/>
              <w:left w:val="nil"/>
              <w:bottom w:val="single" w:sz="4" w:space="0" w:color="auto"/>
              <w:right w:val="single" w:sz="4" w:space="0" w:color="auto"/>
            </w:tcBorders>
            <w:shd w:val="clear" w:color="000000" w:fill="FFFF99"/>
            <w:noWrap/>
            <w:vAlign w:val="bottom"/>
            <w:hideMark/>
          </w:tcPr>
          <w:p w14:paraId="5A934D8A" w14:textId="77777777" w:rsidR="003D0C85" w:rsidRPr="003D0C85" w:rsidRDefault="003D0C85" w:rsidP="003D0C85">
            <w:pPr>
              <w:spacing w:after="0" w:line="240" w:lineRule="auto"/>
              <w:jc w:val="right"/>
              <w:rPr>
                <w:rFonts w:ascii="Calibri" w:eastAsia="Times New Roman" w:hAnsi="Calibri" w:cs="Calibri"/>
                <w:sz w:val="18"/>
                <w:szCs w:val="18"/>
                <w:lang w:eastAsia="hr-HR"/>
              </w:rPr>
            </w:pPr>
            <w:r w:rsidRPr="003D0C85">
              <w:rPr>
                <w:rFonts w:ascii="Calibri" w:eastAsia="Times New Roman" w:hAnsi="Calibri" w:cs="Calibri"/>
                <w:sz w:val="18"/>
                <w:szCs w:val="18"/>
                <w:lang w:eastAsia="hr-HR"/>
              </w:rPr>
              <w:t>0</w:t>
            </w:r>
          </w:p>
        </w:tc>
        <w:tc>
          <w:tcPr>
            <w:tcW w:w="447" w:type="dxa"/>
            <w:gridSpan w:val="2"/>
            <w:tcBorders>
              <w:top w:val="nil"/>
              <w:left w:val="nil"/>
              <w:bottom w:val="single" w:sz="4" w:space="0" w:color="auto"/>
              <w:right w:val="single" w:sz="4" w:space="0" w:color="auto"/>
            </w:tcBorders>
            <w:shd w:val="clear" w:color="000000" w:fill="FF9900"/>
            <w:noWrap/>
            <w:vAlign w:val="bottom"/>
            <w:hideMark/>
          </w:tcPr>
          <w:p w14:paraId="60127F9F" w14:textId="77777777" w:rsidR="003D0C85" w:rsidRPr="003D0C85" w:rsidRDefault="003D0C85" w:rsidP="003D0C85">
            <w:pPr>
              <w:spacing w:after="0" w:line="240" w:lineRule="auto"/>
              <w:jc w:val="right"/>
              <w:rPr>
                <w:rFonts w:ascii="Calibri" w:eastAsia="Times New Roman" w:hAnsi="Calibri" w:cs="Calibri"/>
                <w:sz w:val="18"/>
                <w:szCs w:val="18"/>
                <w:lang w:eastAsia="hr-HR"/>
              </w:rPr>
            </w:pPr>
            <w:r w:rsidRPr="003D0C85">
              <w:rPr>
                <w:rFonts w:ascii="Calibri" w:eastAsia="Times New Roman" w:hAnsi="Calibri" w:cs="Calibri"/>
                <w:sz w:val="18"/>
                <w:szCs w:val="18"/>
                <w:lang w:eastAsia="hr-HR"/>
              </w:rPr>
              <w:t>0</w:t>
            </w:r>
          </w:p>
        </w:tc>
        <w:tc>
          <w:tcPr>
            <w:tcW w:w="447" w:type="dxa"/>
            <w:tcBorders>
              <w:top w:val="nil"/>
              <w:left w:val="nil"/>
              <w:bottom w:val="single" w:sz="4" w:space="0" w:color="auto"/>
              <w:right w:val="single" w:sz="4" w:space="0" w:color="auto"/>
            </w:tcBorders>
            <w:shd w:val="clear" w:color="000000" w:fill="FF9900"/>
            <w:noWrap/>
            <w:vAlign w:val="bottom"/>
            <w:hideMark/>
          </w:tcPr>
          <w:p w14:paraId="40B6E475" w14:textId="77777777" w:rsidR="003D0C85" w:rsidRPr="003D0C85" w:rsidRDefault="003D0C85" w:rsidP="003D0C85">
            <w:pPr>
              <w:spacing w:after="0" w:line="240" w:lineRule="auto"/>
              <w:jc w:val="right"/>
              <w:rPr>
                <w:rFonts w:ascii="Calibri" w:eastAsia="Times New Roman" w:hAnsi="Calibri" w:cs="Calibri"/>
                <w:sz w:val="18"/>
                <w:szCs w:val="18"/>
                <w:lang w:eastAsia="hr-HR"/>
              </w:rPr>
            </w:pPr>
            <w:r w:rsidRPr="003D0C85">
              <w:rPr>
                <w:rFonts w:ascii="Calibri" w:eastAsia="Times New Roman" w:hAnsi="Calibri" w:cs="Calibri"/>
                <w:sz w:val="18"/>
                <w:szCs w:val="18"/>
                <w:lang w:eastAsia="hr-HR"/>
              </w:rPr>
              <w:t>0</w:t>
            </w:r>
          </w:p>
        </w:tc>
        <w:tc>
          <w:tcPr>
            <w:tcW w:w="447" w:type="dxa"/>
            <w:tcBorders>
              <w:top w:val="nil"/>
              <w:left w:val="nil"/>
              <w:bottom w:val="single" w:sz="4" w:space="0" w:color="auto"/>
              <w:right w:val="single" w:sz="4" w:space="0" w:color="auto"/>
            </w:tcBorders>
            <w:shd w:val="clear" w:color="000000" w:fill="FF9900"/>
            <w:noWrap/>
            <w:vAlign w:val="bottom"/>
            <w:hideMark/>
          </w:tcPr>
          <w:p w14:paraId="43673359" w14:textId="77777777" w:rsidR="003D0C85" w:rsidRPr="003D0C85" w:rsidRDefault="003D0C85" w:rsidP="003D0C85">
            <w:pPr>
              <w:spacing w:after="0" w:line="240" w:lineRule="auto"/>
              <w:jc w:val="right"/>
              <w:rPr>
                <w:rFonts w:ascii="Calibri" w:eastAsia="Times New Roman" w:hAnsi="Calibri" w:cs="Calibri"/>
                <w:sz w:val="18"/>
                <w:szCs w:val="18"/>
                <w:lang w:eastAsia="hr-HR"/>
              </w:rPr>
            </w:pPr>
            <w:r w:rsidRPr="003D0C85">
              <w:rPr>
                <w:rFonts w:ascii="Calibri" w:eastAsia="Times New Roman" w:hAnsi="Calibri" w:cs="Calibri"/>
                <w:sz w:val="18"/>
                <w:szCs w:val="18"/>
                <w:lang w:eastAsia="hr-HR"/>
              </w:rPr>
              <w:t>0</w:t>
            </w:r>
          </w:p>
        </w:tc>
        <w:tc>
          <w:tcPr>
            <w:tcW w:w="475" w:type="dxa"/>
            <w:tcBorders>
              <w:top w:val="nil"/>
              <w:left w:val="nil"/>
              <w:bottom w:val="single" w:sz="4" w:space="0" w:color="auto"/>
              <w:right w:val="single" w:sz="4" w:space="0" w:color="auto"/>
            </w:tcBorders>
            <w:shd w:val="clear" w:color="auto" w:fill="auto"/>
            <w:vAlign w:val="bottom"/>
            <w:hideMark/>
          </w:tcPr>
          <w:p w14:paraId="6929A4D0" w14:textId="77777777" w:rsidR="003D0C85" w:rsidRPr="003D0C85" w:rsidRDefault="003D0C85" w:rsidP="003D0C85">
            <w:pPr>
              <w:spacing w:after="0" w:line="240" w:lineRule="auto"/>
              <w:jc w:val="right"/>
              <w:rPr>
                <w:rFonts w:ascii="Calibri" w:eastAsia="Times New Roman" w:hAnsi="Calibri" w:cs="Calibri"/>
                <w:b/>
                <w:bCs/>
                <w:sz w:val="18"/>
                <w:szCs w:val="18"/>
                <w:lang w:eastAsia="hr-HR"/>
              </w:rPr>
            </w:pPr>
            <w:r w:rsidRPr="003D0C85">
              <w:rPr>
                <w:rFonts w:ascii="Calibri" w:eastAsia="Times New Roman" w:hAnsi="Calibri" w:cs="Calibri"/>
                <w:b/>
                <w:bCs/>
                <w:sz w:val="18"/>
                <w:szCs w:val="18"/>
                <w:lang w:eastAsia="hr-HR"/>
              </w:rPr>
              <w:t>0</w:t>
            </w:r>
          </w:p>
        </w:tc>
        <w:tc>
          <w:tcPr>
            <w:tcW w:w="447" w:type="dxa"/>
            <w:gridSpan w:val="2"/>
            <w:tcBorders>
              <w:top w:val="nil"/>
              <w:left w:val="nil"/>
              <w:bottom w:val="single" w:sz="4" w:space="0" w:color="auto"/>
              <w:right w:val="single" w:sz="4" w:space="0" w:color="auto"/>
            </w:tcBorders>
            <w:shd w:val="clear" w:color="000000" w:fill="FFFF00"/>
            <w:noWrap/>
            <w:vAlign w:val="bottom"/>
            <w:hideMark/>
          </w:tcPr>
          <w:p w14:paraId="7DA4A456" w14:textId="77777777" w:rsidR="003D0C85" w:rsidRPr="003D0C85" w:rsidRDefault="003D0C85" w:rsidP="003D0C85">
            <w:pPr>
              <w:spacing w:after="0" w:line="240" w:lineRule="auto"/>
              <w:jc w:val="right"/>
              <w:rPr>
                <w:rFonts w:ascii="Calibri" w:eastAsia="Times New Roman" w:hAnsi="Calibri" w:cs="Calibri"/>
                <w:sz w:val="18"/>
                <w:szCs w:val="18"/>
                <w:lang w:eastAsia="hr-HR"/>
              </w:rPr>
            </w:pPr>
            <w:r w:rsidRPr="003D0C85">
              <w:rPr>
                <w:rFonts w:ascii="Calibri" w:eastAsia="Times New Roman" w:hAnsi="Calibri" w:cs="Calibri"/>
                <w:sz w:val="18"/>
                <w:szCs w:val="18"/>
                <w:lang w:eastAsia="hr-HR"/>
              </w:rPr>
              <w:t>0</w:t>
            </w:r>
          </w:p>
        </w:tc>
        <w:tc>
          <w:tcPr>
            <w:tcW w:w="447" w:type="dxa"/>
            <w:tcBorders>
              <w:top w:val="nil"/>
              <w:left w:val="nil"/>
              <w:bottom w:val="single" w:sz="4" w:space="0" w:color="auto"/>
              <w:right w:val="single" w:sz="4" w:space="0" w:color="auto"/>
            </w:tcBorders>
            <w:shd w:val="clear" w:color="000000" w:fill="FFFF00"/>
            <w:noWrap/>
            <w:vAlign w:val="bottom"/>
            <w:hideMark/>
          </w:tcPr>
          <w:p w14:paraId="30418336" w14:textId="77777777" w:rsidR="003D0C85" w:rsidRPr="003D0C85" w:rsidRDefault="003D0C85" w:rsidP="003D0C85">
            <w:pPr>
              <w:spacing w:after="0" w:line="240" w:lineRule="auto"/>
              <w:jc w:val="right"/>
              <w:rPr>
                <w:rFonts w:ascii="Calibri" w:eastAsia="Times New Roman" w:hAnsi="Calibri" w:cs="Calibri"/>
                <w:sz w:val="18"/>
                <w:szCs w:val="18"/>
                <w:lang w:eastAsia="hr-HR"/>
              </w:rPr>
            </w:pPr>
            <w:r w:rsidRPr="003D0C85">
              <w:rPr>
                <w:rFonts w:ascii="Calibri" w:eastAsia="Times New Roman" w:hAnsi="Calibri" w:cs="Calibri"/>
                <w:sz w:val="18"/>
                <w:szCs w:val="18"/>
                <w:lang w:eastAsia="hr-HR"/>
              </w:rPr>
              <w:t>0</w:t>
            </w:r>
          </w:p>
        </w:tc>
        <w:tc>
          <w:tcPr>
            <w:tcW w:w="521" w:type="dxa"/>
            <w:tcBorders>
              <w:top w:val="nil"/>
              <w:left w:val="nil"/>
              <w:bottom w:val="single" w:sz="4" w:space="0" w:color="auto"/>
              <w:right w:val="single" w:sz="4" w:space="0" w:color="auto"/>
            </w:tcBorders>
            <w:shd w:val="clear" w:color="000000" w:fill="FFFF00"/>
            <w:noWrap/>
            <w:vAlign w:val="bottom"/>
            <w:hideMark/>
          </w:tcPr>
          <w:p w14:paraId="5C536DC8" w14:textId="77777777" w:rsidR="003D0C85" w:rsidRPr="003D0C85" w:rsidRDefault="003D0C85" w:rsidP="003D0C85">
            <w:pPr>
              <w:spacing w:after="0" w:line="240" w:lineRule="auto"/>
              <w:jc w:val="right"/>
              <w:rPr>
                <w:rFonts w:ascii="Calibri" w:eastAsia="Times New Roman" w:hAnsi="Calibri" w:cs="Calibri"/>
                <w:sz w:val="18"/>
                <w:szCs w:val="18"/>
                <w:lang w:eastAsia="hr-HR"/>
              </w:rPr>
            </w:pPr>
            <w:r w:rsidRPr="003D0C85">
              <w:rPr>
                <w:rFonts w:ascii="Calibri" w:eastAsia="Times New Roman" w:hAnsi="Calibri" w:cs="Calibri"/>
                <w:sz w:val="18"/>
                <w:szCs w:val="18"/>
                <w:lang w:eastAsia="hr-HR"/>
              </w:rPr>
              <w:t>0</w:t>
            </w:r>
          </w:p>
        </w:tc>
        <w:tc>
          <w:tcPr>
            <w:tcW w:w="446" w:type="dxa"/>
            <w:tcBorders>
              <w:top w:val="nil"/>
              <w:left w:val="nil"/>
              <w:bottom w:val="single" w:sz="4" w:space="0" w:color="auto"/>
              <w:right w:val="single" w:sz="4" w:space="0" w:color="auto"/>
            </w:tcBorders>
            <w:shd w:val="clear" w:color="auto" w:fill="auto"/>
            <w:vAlign w:val="bottom"/>
            <w:hideMark/>
          </w:tcPr>
          <w:p w14:paraId="07A77038" w14:textId="77777777" w:rsidR="003D0C85" w:rsidRPr="003D0C85" w:rsidRDefault="003D0C85" w:rsidP="003D0C85">
            <w:pPr>
              <w:spacing w:after="0" w:line="240" w:lineRule="auto"/>
              <w:jc w:val="right"/>
              <w:rPr>
                <w:rFonts w:ascii="Calibri" w:eastAsia="Times New Roman" w:hAnsi="Calibri" w:cs="Calibri"/>
                <w:b/>
                <w:bCs/>
                <w:sz w:val="18"/>
                <w:szCs w:val="18"/>
                <w:lang w:eastAsia="hr-HR"/>
              </w:rPr>
            </w:pPr>
            <w:r w:rsidRPr="003D0C85">
              <w:rPr>
                <w:rFonts w:ascii="Calibri" w:eastAsia="Times New Roman" w:hAnsi="Calibri" w:cs="Calibri"/>
                <w:b/>
                <w:bCs/>
                <w:sz w:val="18"/>
                <w:szCs w:val="18"/>
                <w:lang w:eastAsia="hr-HR"/>
              </w:rPr>
              <w:t>0</w:t>
            </w:r>
          </w:p>
        </w:tc>
        <w:tc>
          <w:tcPr>
            <w:tcW w:w="792" w:type="dxa"/>
            <w:gridSpan w:val="2"/>
            <w:tcBorders>
              <w:top w:val="nil"/>
              <w:left w:val="nil"/>
              <w:bottom w:val="single" w:sz="4" w:space="0" w:color="auto"/>
              <w:right w:val="single" w:sz="4" w:space="0" w:color="auto"/>
            </w:tcBorders>
            <w:shd w:val="clear" w:color="000000" w:fill="FFFF00"/>
            <w:vAlign w:val="bottom"/>
            <w:hideMark/>
          </w:tcPr>
          <w:p w14:paraId="3D88D0A9" w14:textId="77777777" w:rsidR="003D0C85" w:rsidRPr="003D0C85" w:rsidRDefault="003D0C85" w:rsidP="003D0C85">
            <w:pPr>
              <w:spacing w:after="0" w:line="240" w:lineRule="auto"/>
              <w:jc w:val="right"/>
              <w:rPr>
                <w:rFonts w:ascii="Calibri" w:eastAsia="Times New Roman" w:hAnsi="Calibri" w:cs="Calibri"/>
                <w:b/>
                <w:bCs/>
                <w:sz w:val="18"/>
                <w:szCs w:val="18"/>
                <w:lang w:eastAsia="hr-HR"/>
              </w:rPr>
            </w:pPr>
            <w:r w:rsidRPr="003D0C85">
              <w:rPr>
                <w:rFonts w:ascii="Calibri" w:eastAsia="Times New Roman" w:hAnsi="Calibri" w:cs="Calibri"/>
                <w:b/>
                <w:bCs/>
                <w:sz w:val="18"/>
                <w:szCs w:val="18"/>
                <w:lang w:eastAsia="hr-HR"/>
              </w:rPr>
              <w:t>1</w:t>
            </w:r>
          </w:p>
        </w:tc>
        <w:tc>
          <w:tcPr>
            <w:tcW w:w="507" w:type="dxa"/>
            <w:gridSpan w:val="2"/>
            <w:tcBorders>
              <w:top w:val="nil"/>
              <w:left w:val="nil"/>
              <w:bottom w:val="single" w:sz="4" w:space="0" w:color="auto"/>
              <w:right w:val="single" w:sz="4" w:space="0" w:color="auto"/>
            </w:tcBorders>
            <w:shd w:val="clear" w:color="000000" w:fill="FF9900"/>
            <w:noWrap/>
            <w:vAlign w:val="bottom"/>
            <w:hideMark/>
          </w:tcPr>
          <w:p w14:paraId="44B9C5B3" w14:textId="77777777" w:rsidR="003D0C85" w:rsidRPr="003D0C85" w:rsidRDefault="003D0C85" w:rsidP="003D0C85">
            <w:pPr>
              <w:spacing w:after="0" w:line="240" w:lineRule="auto"/>
              <w:jc w:val="right"/>
              <w:rPr>
                <w:rFonts w:ascii="Calibri" w:eastAsia="Times New Roman" w:hAnsi="Calibri" w:cs="Calibri"/>
                <w:sz w:val="18"/>
                <w:szCs w:val="18"/>
                <w:lang w:eastAsia="hr-HR"/>
              </w:rPr>
            </w:pPr>
            <w:r w:rsidRPr="003D0C85">
              <w:rPr>
                <w:rFonts w:ascii="Calibri" w:eastAsia="Times New Roman" w:hAnsi="Calibri" w:cs="Calibri"/>
                <w:sz w:val="18"/>
                <w:szCs w:val="18"/>
                <w:lang w:eastAsia="hr-HR"/>
              </w:rPr>
              <w:t>0</w:t>
            </w:r>
          </w:p>
        </w:tc>
        <w:tc>
          <w:tcPr>
            <w:tcW w:w="244" w:type="dxa"/>
            <w:tcBorders>
              <w:top w:val="nil"/>
              <w:left w:val="nil"/>
              <w:bottom w:val="single" w:sz="4" w:space="0" w:color="auto"/>
              <w:right w:val="single" w:sz="4" w:space="0" w:color="auto"/>
            </w:tcBorders>
            <w:shd w:val="clear" w:color="000000" w:fill="CCFFFF"/>
            <w:noWrap/>
            <w:vAlign w:val="bottom"/>
            <w:hideMark/>
          </w:tcPr>
          <w:p w14:paraId="25E249DB" w14:textId="77777777" w:rsidR="003D0C85" w:rsidRPr="003D0C85" w:rsidRDefault="003D0C85" w:rsidP="003D0C85">
            <w:pPr>
              <w:spacing w:after="0" w:line="240" w:lineRule="auto"/>
              <w:jc w:val="right"/>
              <w:rPr>
                <w:rFonts w:ascii="Calibri" w:eastAsia="Times New Roman" w:hAnsi="Calibri" w:cs="Calibri"/>
                <w:sz w:val="18"/>
                <w:szCs w:val="18"/>
                <w:lang w:eastAsia="hr-HR"/>
              </w:rPr>
            </w:pPr>
            <w:r w:rsidRPr="003D0C85">
              <w:rPr>
                <w:rFonts w:ascii="Calibri" w:eastAsia="Times New Roman" w:hAnsi="Calibri" w:cs="Calibri"/>
                <w:sz w:val="18"/>
                <w:szCs w:val="18"/>
                <w:lang w:eastAsia="hr-HR"/>
              </w:rPr>
              <w:t>0</w:t>
            </w:r>
          </w:p>
        </w:tc>
        <w:tc>
          <w:tcPr>
            <w:tcW w:w="425" w:type="dxa"/>
            <w:tcBorders>
              <w:top w:val="nil"/>
              <w:left w:val="nil"/>
              <w:bottom w:val="single" w:sz="4" w:space="0" w:color="auto"/>
              <w:right w:val="single" w:sz="4" w:space="0" w:color="auto"/>
            </w:tcBorders>
            <w:shd w:val="clear" w:color="000000" w:fill="CCFFFF"/>
            <w:noWrap/>
            <w:vAlign w:val="bottom"/>
            <w:hideMark/>
          </w:tcPr>
          <w:p w14:paraId="75382AA0" w14:textId="77777777" w:rsidR="003D0C85" w:rsidRPr="003D0C85" w:rsidRDefault="003D0C85" w:rsidP="003D0C85">
            <w:pPr>
              <w:spacing w:after="0" w:line="240" w:lineRule="auto"/>
              <w:jc w:val="right"/>
              <w:rPr>
                <w:rFonts w:ascii="Calibri" w:eastAsia="Times New Roman" w:hAnsi="Calibri" w:cs="Calibri"/>
                <w:sz w:val="18"/>
                <w:szCs w:val="18"/>
                <w:lang w:eastAsia="hr-HR"/>
              </w:rPr>
            </w:pPr>
            <w:r w:rsidRPr="003D0C85">
              <w:rPr>
                <w:rFonts w:ascii="Calibri" w:eastAsia="Times New Roman" w:hAnsi="Calibri" w:cs="Calibri"/>
                <w:sz w:val="18"/>
                <w:szCs w:val="18"/>
                <w:lang w:eastAsia="hr-HR"/>
              </w:rPr>
              <w:t>0</w:t>
            </w:r>
          </w:p>
        </w:tc>
        <w:tc>
          <w:tcPr>
            <w:tcW w:w="607" w:type="dxa"/>
            <w:tcBorders>
              <w:top w:val="nil"/>
              <w:left w:val="nil"/>
              <w:bottom w:val="single" w:sz="4" w:space="0" w:color="auto"/>
              <w:right w:val="single" w:sz="4" w:space="0" w:color="auto"/>
            </w:tcBorders>
            <w:shd w:val="clear" w:color="000000" w:fill="CCFFFF"/>
            <w:noWrap/>
            <w:vAlign w:val="bottom"/>
            <w:hideMark/>
          </w:tcPr>
          <w:p w14:paraId="06C834B0" w14:textId="77777777" w:rsidR="003D0C85" w:rsidRPr="003D0C85" w:rsidRDefault="003D0C85" w:rsidP="003D0C85">
            <w:pPr>
              <w:spacing w:after="0" w:line="240" w:lineRule="auto"/>
              <w:jc w:val="right"/>
              <w:rPr>
                <w:rFonts w:ascii="Calibri" w:eastAsia="Times New Roman" w:hAnsi="Calibri" w:cs="Calibri"/>
                <w:sz w:val="18"/>
                <w:szCs w:val="18"/>
                <w:lang w:eastAsia="hr-HR"/>
              </w:rPr>
            </w:pPr>
            <w:r w:rsidRPr="003D0C85">
              <w:rPr>
                <w:rFonts w:ascii="Calibri" w:eastAsia="Times New Roman" w:hAnsi="Calibri" w:cs="Calibri"/>
                <w:sz w:val="18"/>
                <w:szCs w:val="18"/>
                <w:lang w:eastAsia="hr-HR"/>
              </w:rPr>
              <w:t>0</w:t>
            </w:r>
          </w:p>
        </w:tc>
        <w:tc>
          <w:tcPr>
            <w:tcW w:w="425" w:type="dxa"/>
            <w:gridSpan w:val="2"/>
            <w:tcBorders>
              <w:top w:val="nil"/>
              <w:left w:val="nil"/>
              <w:bottom w:val="single" w:sz="4" w:space="0" w:color="auto"/>
              <w:right w:val="nil"/>
            </w:tcBorders>
            <w:shd w:val="clear" w:color="000000" w:fill="33CCCC"/>
            <w:noWrap/>
            <w:vAlign w:val="bottom"/>
            <w:hideMark/>
          </w:tcPr>
          <w:p w14:paraId="499A0174" w14:textId="77777777" w:rsidR="003D0C85" w:rsidRPr="003D0C85" w:rsidRDefault="003D0C85" w:rsidP="003D0C85">
            <w:pPr>
              <w:spacing w:after="0" w:line="240" w:lineRule="auto"/>
              <w:jc w:val="right"/>
              <w:rPr>
                <w:rFonts w:ascii="Calibri" w:eastAsia="Times New Roman" w:hAnsi="Calibri" w:cs="Calibri"/>
                <w:sz w:val="18"/>
                <w:szCs w:val="18"/>
                <w:lang w:eastAsia="hr-HR"/>
              </w:rPr>
            </w:pPr>
            <w:r w:rsidRPr="003D0C85">
              <w:rPr>
                <w:rFonts w:ascii="Calibri" w:eastAsia="Times New Roman" w:hAnsi="Calibri" w:cs="Calibri"/>
                <w:sz w:val="18"/>
                <w:szCs w:val="18"/>
                <w:lang w:eastAsia="hr-HR"/>
              </w:rPr>
              <w:t>0</w:t>
            </w:r>
          </w:p>
        </w:tc>
        <w:tc>
          <w:tcPr>
            <w:tcW w:w="452" w:type="dxa"/>
            <w:gridSpan w:val="2"/>
            <w:tcBorders>
              <w:top w:val="nil"/>
              <w:left w:val="single" w:sz="4" w:space="0" w:color="auto"/>
              <w:bottom w:val="single" w:sz="4" w:space="0" w:color="auto"/>
              <w:right w:val="single" w:sz="8" w:space="0" w:color="auto"/>
            </w:tcBorders>
            <w:shd w:val="clear" w:color="000000" w:fill="33CCCC"/>
            <w:noWrap/>
            <w:vAlign w:val="bottom"/>
            <w:hideMark/>
          </w:tcPr>
          <w:p w14:paraId="34369DDA" w14:textId="77777777" w:rsidR="003D0C85" w:rsidRPr="003D0C85" w:rsidRDefault="003D0C85" w:rsidP="003D0C85">
            <w:pPr>
              <w:spacing w:after="0" w:line="240" w:lineRule="auto"/>
              <w:jc w:val="right"/>
              <w:rPr>
                <w:rFonts w:ascii="Calibri" w:eastAsia="Times New Roman" w:hAnsi="Calibri" w:cs="Calibri"/>
                <w:sz w:val="18"/>
                <w:szCs w:val="18"/>
                <w:lang w:eastAsia="hr-HR"/>
              </w:rPr>
            </w:pPr>
            <w:r w:rsidRPr="003D0C85">
              <w:rPr>
                <w:rFonts w:ascii="Calibri" w:eastAsia="Times New Roman" w:hAnsi="Calibri" w:cs="Calibri"/>
                <w:sz w:val="18"/>
                <w:szCs w:val="18"/>
                <w:lang w:eastAsia="hr-HR"/>
              </w:rPr>
              <w:t>0</w:t>
            </w:r>
          </w:p>
        </w:tc>
        <w:tc>
          <w:tcPr>
            <w:tcW w:w="236" w:type="dxa"/>
            <w:gridSpan w:val="3"/>
            <w:vAlign w:val="center"/>
            <w:hideMark/>
          </w:tcPr>
          <w:p w14:paraId="2E527E73" w14:textId="77777777" w:rsidR="003D0C85" w:rsidRPr="003D0C85" w:rsidRDefault="003D0C85" w:rsidP="003D0C85">
            <w:pPr>
              <w:spacing w:after="0" w:line="240" w:lineRule="auto"/>
              <w:rPr>
                <w:rFonts w:ascii="Times New Roman" w:eastAsia="Times New Roman" w:hAnsi="Times New Roman" w:cs="Times New Roman"/>
                <w:sz w:val="18"/>
                <w:szCs w:val="18"/>
                <w:lang w:eastAsia="hr-HR"/>
              </w:rPr>
            </w:pPr>
          </w:p>
        </w:tc>
      </w:tr>
      <w:tr w:rsidR="00E72E51" w:rsidRPr="00E72E51" w14:paraId="20CF3CDF" w14:textId="77777777" w:rsidTr="00E72E51">
        <w:trPr>
          <w:trHeight w:val="315"/>
        </w:trPr>
        <w:tc>
          <w:tcPr>
            <w:tcW w:w="983" w:type="dxa"/>
            <w:tcBorders>
              <w:top w:val="single" w:sz="4" w:space="0" w:color="auto"/>
              <w:left w:val="single" w:sz="8" w:space="0" w:color="auto"/>
              <w:bottom w:val="single" w:sz="4" w:space="0" w:color="auto"/>
              <w:right w:val="single" w:sz="4" w:space="0" w:color="auto"/>
            </w:tcBorders>
            <w:shd w:val="clear" w:color="000000" w:fill="CCFFCC"/>
            <w:hideMark/>
          </w:tcPr>
          <w:p w14:paraId="3403ADAF" w14:textId="77777777" w:rsidR="003D0C85" w:rsidRPr="003D0C85" w:rsidRDefault="003D0C85" w:rsidP="003D0C85">
            <w:pPr>
              <w:spacing w:after="0" w:line="240" w:lineRule="auto"/>
              <w:rPr>
                <w:rFonts w:ascii="Calibri" w:eastAsia="Times New Roman" w:hAnsi="Calibri" w:cs="Calibri"/>
                <w:sz w:val="18"/>
                <w:szCs w:val="18"/>
                <w:lang w:eastAsia="hr-HR"/>
              </w:rPr>
            </w:pPr>
            <w:r w:rsidRPr="003D0C85">
              <w:rPr>
                <w:rFonts w:ascii="Calibri" w:eastAsia="Times New Roman" w:hAnsi="Calibri" w:cs="Calibri"/>
                <w:sz w:val="18"/>
                <w:szCs w:val="18"/>
                <w:lang w:eastAsia="hr-HR"/>
              </w:rPr>
              <w:t>Druge osobine (navesti)*:</w:t>
            </w:r>
          </w:p>
        </w:tc>
        <w:tc>
          <w:tcPr>
            <w:tcW w:w="442" w:type="dxa"/>
            <w:tcBorders>
              <w:top w:val="nil"/>
              <w:left w:val="nil"/>
              <w:bottom w:val="single" w:sz="4" w:space="0" w:color="auto"/>
              <w:right w:val="single" w:sz="4" w:space="0" w:color="auto"/>
            </w:tcBorders>
            <w:shd w:val="clear" w:color="000000" w:fill="FFFF00"/>
            <w:vAlign w:val="bottom"/>
            <w:hideMark/>
          </w:tcPr>
          <w:p w14:paraId="0C2ADF9B" w14:textId="77777777" w:rsidR="003D0C85" w:rsidRPr="003D0C85" w:rsidRDefault="003D0C85" w:rsidP="003D0C85">
            <w:pPr>
              <w:spacing w:after="0" w:line="240" w:lineRule="auto"/>
              <w:jc w:val="right"/>
              <w:rPr>
                <w:rFonts w:ascii="Calibri" w:eastAsia="Times New Roman" w:hAnsi="Calibri" w:cs="Calibri"/>
                <w:b/>
                <w:bCs/>
                <w:sz w:val="18"/>
                <w:szCs w:val="18"/>
                <w:lang w:eastAsia="hr-HR"/>
              </w:rPr>
            </w:pPr>
            <w:r w:rsidRPr="003D0C85">
              <w:rPr>
                <w:rFonts w:ascii="Calibri" w:eastAsia="Times New Roman" w:hAnsi="Calibri" w:cs="Calibri"/>
                <w:b/>
                <w:bCs/>
                <w:sz w:val="18"/>
                <w:szCs w:val="18"/>
                <w:lang w:eastAsia="hr-HR"/>
              </w:rPr>
              <w:t>0</w:t>
            </w:r>
          </w:p>
        </w:tc>
        <w:tc>
          <w:tcPr>
            <w:tcW w:w="443" w:type="dxa"/>
            <w:tcBorders>
              <w:top w:val="nil"/>
              <w:left w:val="nil"/>
              <w:bottom w:val="single" w:sz="4" w:space="0" w:color="auto"/>
              <w:right w:val="single" w:sz="4" w:space="0" w:color="auto"/>
            </w:tcBorders>
            <w:shd w:val="clear" w:color="000000" w:fill="FFCC99"/>
            <w:noWrap/>
            <w:vAlign w:val="bottom"/>
            <w:hideMark/>
          </w:tcPr>
          <w:p w14:paraId="63D0E64B" w14:textId="77777777" w:rsidR="003D0C85" w:rsidRPr="003D0C85" w:rsidRDefault="003D0C85" w:rsidP="003D0C85">
            <w:pPr>
              <w:spacing w:after="0" w:line="240" w:lineRule="auto"/>
              <w:jc w:val="right"/>
              <w:rPr>
                <w:rFonts w:ascii="Calibri" w:eastAsia="Times New Roman" w:hAnsi="Calibri" w:cs="Calibri"/>
                <w:sz w:val="18"/>
                <w:szCs w:val="18"/>
                <w:lang w:eastAsia="hr-HR"/>
              </w:rPr>
            </w:pPr>
            <w:r w:rsidRPr="003D0C85">
              <w:rPr>
                <w:rFonts w:ascii="Calibri" w:eastAsia="Times New Roman" w:hAnsi="Calibri" w:cs="Calibri"/>
                <w:sz w:val="18"/>
                <w:szCs w:val="18"/>
                <w:lang w:eastAsia="hr-HR"/>
              </w:rPr>
              <w:t>3</w:t>
            </w:r>
          </w:p>
        </w:tc>
        <w:tc>
          <w:tcPr>
            <w:tcW w:w="316" w:type="dxa"/>
            <w:tcBorders>
              <w:top w:val="nil"/>
              <w:left w:val="nil"/>
              <w:bottom w:val="single" w:sz="4" w:space="0" w:color="auto"/>
              <w:right w:val="single" w:sz="4" w:space="0" w:color="auto"/>
            </w:tcBorders>
            <w:shd w:val="clear" w:color="000000" w:fill="CCFFFF"/>
            <w:vAlign w:val="bottom"/>
            <w:hideMark/>
          </w:tcPr>
          <w:p w14:paraId="601FB2CC" w14:textId="77777777" w:rsidR="003D0C85" w:rsidRPr="003D0C85" w:rsidRDefault="003D0C85" w:rsidP="003D0C85">
            <w:pPr>
              <w:spacing w:after="0" w:line="240" w:lineRule="auto"/>
              <w:jc w:val="right"/>
              <w:rPr>
                <w:rFonts w:ascii="Calibri" w:eastAsia="Times New Roman" w:hAnsi="Calibri" w:cs="Calibri"/>
                <w:sz w:val="18"/>
                <w:szCs w:val="18"/>
                <w:lang w:eastAsia="hr-HR"/>
              </w:rPr>
            </w:pPr>
            <w:r w:rsidRPr="003D0C85">
              <w:rPr>
                <w:rFonts w:ascii="Calibri" w:eastAsia="Times New Roman" w:hAnsi="Calibri" w:cs="Calibri"/>
                <w:sz w:val="18"/>
                <w:szCs w:val="18"/>
                <w:lang w:eastAsia="hr-HR"/>
              </w:rPr>
              <w:t>3</w:t>
            </w:r>
          </w:p>
        </w:tc>
        <w:tc>
          <w:tcPr>
            <w:tcW w:w="452" w:type="dxa"/>
            <w:tcBorders>
              <w:top w:val="nil"/>
              <w:left w:val="nil"/>
              <w:bottom w:val="single" w:sz="4" w:space="0" w:color="auto"/>
              <w:right w:val="single" w:sz="4" w:space="0" w:color="auto"/>
            </w:tcBorders>
            <w:shd w:val="clear" w:color="000000" w:fill="CCFFFF"/>
            <w:vAlign w:val="bottom"/>
            <w:hideMark/>
          </w:tcPr>
          <w:p w14:paraId="3B1B16FF" w14:textId="77777777" w:rsidR="003D0C85" w:rsidRPr="003D0C85" w:rsidRDefault="003D0C85" w:rsidP="003D0C85">
            <w:pPr>
              <w:spacing w:after="0" w:line="240" w:lineRule="auto"/>
              <w:jc w:val="right"/>
              <w:rPr>
                <w:rFonts w:ascii="Calibri" w:eastAsia="Times New Roman" w:hAnsi="Calibri" w:cs="Calibri"/>
                <w:sz w:val="18"/>
                <w:szCs w:val="18"/>
                <w:lang w:eastAsia="hr-HR"/>
              </w:rPr>
            </w:pPr>
            <w:r w:rsidRPr="003D0C85">
              <w:rPr>
                <w:rFonts w:ascii="Calibri" w:eastAsia="Times New Roman" w:hAnsi="Calibri" w:cs="Calibri"/>
                <w:sz w:val="18"/>
                <w:szCs w:val="18"/>
                <w:lang w:eastAsia="hr-HR"/>
              </w:rPr>
              <w:t>0</w:t>
            </w:r>
          </w:p>
        </w:tc>
        <w:tc>
          <w:tcPr>
            <w:tcW w:w="491" w:type="dxa"/>
            <w:gridSpan w:val="2"/>
            <w:tcBorders>
              <w:top w:val="nil"/>
              <w:left w:val="nil"/>
              <w:bottom w:val="single" w:sz="4" w:space="0" w:color="auto"/>
              <w:right w:val="single" w:sz="4" w:space="0" w:color="auto"/>
            </w:tcBorders>
            <w:shd w:val="clear" w:color="000000" w:fill="FFFF99"/>
            <w:noWrap/>
            <w:vAlign w:val="bottom"/>
            <w:hideMark/>
          </w:tcPr>
          <w:p w14:paraId="194E1B24" w14:textId="77777777" w:rsidR="003D0C85" w:rsidRPr="003D0C85" w:rsidRDefault="003D0C85" w:rsidP="003D0C85">
            <w:pPr>
              <w:spacing w:after="0" w:line="240" w:lineRule="auto"/>
              <w:jc w:val="right"/>
              <w:rPr>
                <w:rFonts w:ascii="Calibri" w:eastAsia="Times New Roman" w:hAnsi="Calibri" w:cs="Calibri"/>
                <w:sz w:val="18"/>
                <w:szCs w:val="18"/>
                <w:lang w:eastAsia="hr-HR"/>
              </w:rPr>
            </w:pPr>
            <w:r w:rsidRPr="003D0C85">
              <w:rPr>
                <w:rFonts w:ascii="Calibri" w:eastAsia="Times New Roman" w:hAnsi="Calibri" w:cs="Calibri"/>
                <w:sz w:val="18"/>
                <w:szCs w:val="18"/>
                <w:lang w:eastAsia="hr-HR"/>
              </w:rPr>
              <w:t>0</w:t>
            </w:r>
          </w:p>
        </w:tc>
        <w:tc>
          <w:tcPr>
            <w:tcW w:w="447" w:type="dxa"/>
            <w:tcBorders>
              <w:top w:val="nil"/>
              <w:left w:val="nil"/>
              <w:bottom w:val="single" w:sz="4" w:space="0" w:color="auto"/>
              <w:right w:val="single" w:sz="4" w:space="0" w:color="auto"/>
            </w:tcBorders>
            <w:shd w:val="clear" w:color="000000" w:fill="FFFF99"/>
            <w:noWrap/>
            <w:vAlign w:val="bottom"/>
            <w:hideMark/>
          </w:tcPr>
          <w:p w14:paraId="6473FA22" w14:textId="77777777" w:rsidR="003D0C85" w:rsidRPr="003D0C85" w:rsidRDefault="003D0C85" w:rsidP="003D0C85">
            <w:pPr>
              <w:spacing w:after="0" w:line="240" w:lineRule="auto"/>
              <w:jc w:val="right"/>
              <w:rPr>
                <w:rFonts w:ascii="Calibri" w:eastAsia="Times New Roman" w:hAnsi="Calibri" w:cs="Calibri"/>
                <w:sz w:val="18"/>
                <w:szCs w:val="18"/>
                <w:lang w:eastAsia="hr-HR"/>
              </w:rPr>
            </w:pPr>
            <w:r w:rsidRPr="003D0C85">
              <w:rPr>
                <w:rFonts w:ascii="Calibri" w:eastAsia="Times New Roman" w:hAnsi="Calibri" w:cs="Calibri"/>
                <w:sz w:val="18"/>
                <w:szCs w:val="18"/>
                <w:lang w:eastAsia="hr-HR"/>
              </w:rPr>
              <w:t>0</w:t>
            </w:r>
          </w:p>
        </w:tc>
        <w:tc>
          <w:tcPr>
            <w:tcW w:w="495" w:type="dxa"/>
            <w:tcBorders>
              <w:top w:val="nil"/>
              <w:left w:val="nil"/>
              <w:bottom w:val="single" w:sz="4" w:space="0" w:color="auto"/>
              <w:right w:val="single" w:sz="4" w:space="0" w:color="auto"/>
            </w:tcBorders>
            <w:shd w:val="clear" w:color="000000" w:fill="FFFF99"/>
            <w:noWrap/>
            <w:vAlign w:val="bottom"/>
            <w:hideMark/>
          </w:tcPr>
          <w:p w14:paraId="504FE42F" w14:textId="77777777" w:rsidR="003D0C85" w:rsidRPr="003D0C85" w:rsidRDefault="003D0C85" w:rsidP="003D0C85">
            <w:pPr>
              <w:spacing w:after="0" w:line="240" w:lineRule="auto"/>
              <w:jc w:val="right"/>
              <w:rPr>
                <w:rFonts w:ascii="Calibri" w:eastAsia="Times New Roman" w:hAnsi="Calibri" w:cs="Calibri"/>
                <w:sz w:val="18"/>
                <w:szCs w:val="18"/>
                <w:lang w:eastAsia="hr-HR"/>
              </w:rPr>
            </w:pPr>
            <w:r w:rsidRPr="003D0C85">
              <w:rPr>
                <w:rFonts w:ascii="Calibri" w:eastAsia="Times New Roman" w:hAnsi="Calibri" w:cs="Calibri"/>
                <w:sz w:val="18"/>
                <w:szCs w:val="18"/>
                <w:lang w:eastAsia="hr-HR"/>
              </w:rPr>
              <w:t>0</w:t>
            </w:r>
          </w:p>
        </w:tc>
        <w:tc>
          <w:tcPr>
            <w:tcW w:w="451" w:type="dxa"/>
            <w:tcBorders>
              <w:top w:val="nil"/>
              <w:left w:val="nil"/>
              <w:bottom w:val="single" w:sz="4" w:space="0" w:color="auto"/>
              <w:right w:val="single" w:sz="4" w:space="0" w:color="auto"/>
            </w:tcBorders>
            <w:shd w:val="clear" w:color="000000" w:fill="FFFF99"/>
            <w:noWrap/>
            <w:vAlign w:val="bottom"/>
            <w:hideMark/>
          </w:tcPr>
          <w:p w14:paraId="23F1C641" w14:textId="77777777" w:rsidR="003D0C85" w:rsidRPr="003D0C85" w:rsidRDefault="003D0C85" w:rsidP="003D0C85">
            <w:pPr>
              <w:spacing w:after="0" w:line="240" w:lineRule="auto"/>
              <w:jc w:val="right"/>
              <w:rPr>
                <w:rFonts w:ascii="Calibri" w:eastAsia="Times New Roman" w:hAnsi="Calibri" w:cs="Calibri"/>
                <w:sz w:val="18"/>
                <w:szCs w:val="18"/>
                <w:lang w:eastAsia="hr-HR"/>
              </w:rPr>
            </w:pPr>
            <w:r w:rsidRPr="003D0C85">
              <w:rPr>
                <w:rFonts w:ascii="Calibri" w:eastAsia="Times New Roman" w:hAnsi="Calibri" w:cs="Calibri"/>
                <w:sz w:val="18"/>
                <w:szCs w:val="18"/>
                <w:lang w:eastAsia="hr-HR"/>
              </w:rPr>
              <w:t>0</w:t>
            </w:r>
          </w:p>
        </w:tc>
        <w:tc>
          <w:tcPr>
            <w:tcW w:w="632" w:type="dxa"/>
            <w:gridSpan w:val="2"/>
            <w:tcBorders>
              <w:top w:val="nil"/>
              <w:left w:val="nil"/>
              <w:bottom w:val="single" w:sz="4" w:space="0" w:color="auto"/>
              <w:right w:val="single" w:sz="4" w:space="0" w:color="auto"/>
            </w:tcBorders>
            <w:shd w:val="clear" w:color="000000" w:fill="FFFF99"/>
            <w:noWrap/>
            <w:vAlign w:val="bottom"/>
            <w:hideMark/>
          </w:tcPr>
          <w:p w14:paraId="0D4F63AA" w14:textId="77777777" w:rsidR="003D0C85" w:rsidRPr="003D0C85" w:rsidRDefault="003D0C85" w:rsidP="003D0C85">
            <w:pPr>
              <w:spacing w:after="0" w:line="240" w:lineRule="auto"/>
              <w:jc w:val="right"/>
              <w:rPr>
                <w:rFonts w:ascii="Calibri" w:eastAsia="Times New Roman" w:hAnsi="Calibri" w:cs="Calibri"/>
                <w:sz w:val="18"/>
                <w:szCs w:val="18"/>
                <w:lang w:eastAsia="hr-HR"/>
              </w:rPr>
            </w:pPr>
            <w:r w:rsidRPr="003D0C85">
              <w:rPr>
                <w:rFonts w:ascii="Calibri" w:eastAsia="Times New Roman" w:hAnsi="Calibri" w:cs="Calibri"/>
                <w:sz w:val="18"/>
                <w:szCs w:val="18"/>
                <w:lang w:eastAsia="hr-HR"/>
              </w:rPr>
              <w:t>0</w:t>
            </w:r>
          </w:p>
        </w:tc>
        <w:tc>
          <w:tcPr>
            <w:tcW w:w="447" w:type="dxa"/>
            <w:tcBorders>
              <w:top w:val="nil"/>
              <w:left w:val="nil"/>
              <w:bottom w:val="single" w:sz="4" w:space="0" w:color="auto"/>
              <w:right w:val="single" w:sz="4" w:space="0" w:color="auto"/>
            </w:tcBorders>
            <w:shd w:val="clear" w:color="000000" w:fill="FFFF99"/>
            <w:noWrap/>
            <w:vAlign w:val="bottom"/>
            <w:hideMark/>
          </w:tcPr>
          <w:p w14:paraId="39AF1F24" w14:textId="77777777" w:rsidR="003D0C85" w:rsidRPr="003D0C85" w:rsidRDefault="003D0C85" w:rsidP="003D0C85">
            <w:pPr>
              <w:spacing w:after="0" w:line="240" w:lineRule="auto"/>
              <w:jc w:val="right"/>
              <w:rPr>
                <w:rFonts w:ascii="Calibri" w:eastAsia="Times New Roman" w:hAnsi="Calibri" w:cs="Calibri"/>
                <w:sz w:val="18"/>
                <w:szCs w:val="18"/>
                <w:lang w:eastAsia="hr-HR"/>
              </w:rPr>
            </w:pPr>
            <w:r w:rsidRPr="003D0C85">
              <w:rPr>
                <w:rFonts w:ascii="Calibri" w:eastAsia="Times New Roman" w:hAnsi="Calibri" w:cs="Calibri"/>
                <w:sz w:val="18"/>
                <w:szCs w:val="18"/>
                <w:lang w:eastAsia="hr-HR"/>
              </w:rPr>
              <w:t>0</w:t>
            </w:r>
          </w:p>
        </w:tc>
        <w:tc>
          <w:tcPr>
            <w:tcW w:w="543" w:type="dxa"/>
            <w:tcBorders>
              <w:top w:val="nil"/>
              <w:left w:val="nil"/>
              <w:bottom w:val="single" w:sz="4" w:space="0" w:color="auto"/>
              <w:right w:val="single" w:sz="4" w:space="0" w:color="auto"/>
            </w:tcBorders>
            <w:shd w:val="clear" w:color="000000" w:fill="FFFF99"/>
            <w:noWrap/>
            <w:vAlign w:val="bottom"/>
            <w:hideMark/>
          </w:tcPr>
          <w:p w14:paraId="0E4A6C44" w14:textId="77777777" w:rsidR="003D0C85" w:rsidRPr="003D0C85" w:rsidRDefault="003D0C85" w:rsidP="003D0C85">
            <w:pPr>
              <w:spacing w:after="0" w:line="240" w:lineRule="auto"/>
              <w:jc w:val="right"/>
              <w:rPr>
                <w:rFonts w:ascii="Calibri" w:eastAsia="Times New Roman" w:hAnsi="Calibri" w:cs="Calibri"/>
                <w:sz w:val="18"/>
                <w:szCs w:val="18"/>
                <w:lang w:eastAsia="hr-HR"/>
              </w:rPr>
            </w:pPr>
            <w:r w:rsidRPr="003D0C85">
              <w:rPr>
                <w:rFonts w:ascii="Calibri" w:eastAsia="Times New Roman" w:hAnsi="Calibri" w:cs="Calibri"/>
                <w:sz w:val="18"/>
                <w:szCs w:val="18"/>
                <w:lang w:eastAsia="hr-HR"/>
              </w:rPr>
              <w:t>0</w:t>
            </w:r>
          </w:p>
        </w:tc>
        <w:tc>
          <w:tcPr>
            <w:tcW w:w="447" w:type="dxa"/>
            <w:tcBorders>
              <w:top w:val="nil"/>
              <w:left w:val="nil"/>
              <w:bottom w:val="single" w:sz="4" w:space="0" w:color="auto"/>
              <w:right w:val="single" w:sz="4" w:space="0" w:color="auto"/>
            </w:tcBorders>
            <w:shd w:val="clear" w:color="000000" w:fill="FFFF99"/>
            <w:noWrap/>
            <w:vAlign w:val="bottom"/>
            <w:hideMark/>
          </w:tcPr>
          <w:p w14:paraId="58282B6B" w14:textId="77777777" w:rsidR="003D0C85" w:rsidRPr="003D0C85" w:rsidRDefault="003D0C85" w:rsidP="003D0C85">
            <w:pPr>
              <w:spacing w:after="0" w:line="240" w:lineRule="auto"/>
              <w:jc w:val="right"/>
              <w:rPr>
                <w:rFonts w:ascii="Calibri" w:eastAsia="Times New Roman" w:hAnsi="Calibri" w:cs="Calibri"/>
                <w:sz w:val="18"/>
                <w:szCs w:val="18"/>
                <w:lang w:eastAsia="hr-HR"/>
              </w:rPr>
            </w:pPr>
            <w:r w:rsidRPr="003D0C85">
              <w:rPr>
                <w:rFonts w:ascii="Calibri" w:eastAsia="Times New Roman" w:hAnsi="Calibri" w:cs="Calibri"/>
                <w:sz w:val="18"/>
                <w:szCs w:val="18"/>
                <w:lang w:eastAsia="hr-HR"/>
              </w:rPr>
              <w:t>3</w:t>
            </w:r>
          </w:p>
        </w:tc>
        <w:tc>
          <w:tcPr>
            <w:tcW w:w="543" w:type="dxa"/>
            <w:tcBorders>
              <w:top w:val="nil"/>
              <w:left w:val="nil"/>
              <w:bottom w:val="single" w:sz="4" w:space="0" w:color="auto"/>
              <w:right w:val="single" w:sz="4" w:space="0" w:color="auto"/>
            </w:tcBorders>
            <w:shd w:val="clear" w:color="000000" w:fill="FFFF99"/>
            <w:noWrap/>
            <w:vAlign w:val="bottom"/>
            <w:hideMark/>
          </w:tcPr>
          <w:p w14:paraId="181682FD" w14:textId="77777777" w:rsidR="003D0C85" w:rsidRPr="003D0C85" w:rsidRDefault="003D0C85" w:rsidP="003D0C85">
            <w:pPr>
              <w:spacing w:after="0" w:line="240" w:lineRule="auto"/>
              <w:jc w:val="right"/>
              <w:rPr>
                <w:rFonts w:ascii="Calibri" w:eastAsia="Times New Roman" w:hAnsi="Calibri" w:cs="Calibri"/>
                <w:sz w:val="18"/>
                <w:szCs w:val="18"/>
                <w:lang w:eastAsia="hr-HR"/>
              </w:rPr>
            </w:pPr>
            <w:r w:rsidRPr="003D0C85">
              <w:rPr>
                <w:rFonts w:ascii="Calibri" w:eastAsia="Times New Roman" w:hAnsi="Calibri" w:cs="Calibri"/>
                <w:sz w:val="18"/>
                <w:szCs w:val="18"/>
                <w:lang w:eastAsia="hr-HR"/>
              </w:rPr>
              <w:t>0</w:t>
            </w:r>
          </w:p>
        </w:tc>
        <w:tc>
          <w:tcPr>
            <w:tcW w:w="356" w:type="dxa"/>
            <w:tcBorders>
              <w:top w:val="nil"/>
              <w:left w:val="nil"/>
              <w:bottom w:val="single" w:sz="4" w:space="0" w:color="auto"/>
              <w:right w:val="single" w:sz="4" w:space="0" w:color="auto"/>
            </w:tcBorders>
            <w:shd w:val="clear" w:color="000000" w:fill="FFFF99"/>
            <w:noWrap/>
            <w:vAlign w:val="bottom"/>
            <w:hideMark/>
          </w:tcPr>
          <w:p w14:paraId="32ABD297" w14:textId="77777777" w:rsidR="003D0C85" w:rsidRPr="003D0C85" w:rsidRDefault="003D0C85" w:rsidP="003D0C85">
            <w:pPr>
              <w:spacing w:after="0" w:line="240" w:lineRule="auto"/>
              <w:jc w:val="right"/>
              <w:rPr>
                <w:rFonts w:ascii="Calibri" w:eastAsia="Times New Roman" w:hAnsi="Calibri" w:cs="Calibri"/>
                <w:sz w:val="18"/>
                <w:szCs w:val="18"/>
                <w:lang w:eastAsia="hr-HR"/>
              </w:rPr>
            </w:pPr>
            <w:r w:rsidRPr="003D0C85">
              <w:rPr>
                <w:rFonts w:ascii="Calibri" w:eastAsia="Times New Roman" w:hAnsi="Calibri" w:cs="Calibri"/>
                <w:sz w:val="18"/>
                <w:szCs w:val="18"/>
                <w:lang w:eastAsia="hr-HR"/>
              </w:rPr>
              <w:t>0</w:t>
            </w:r>
          </w:p>
        </w:tc>
        <w:tc>
          <w:tcPr>
            <w:tcW w:w="447" w:type="dxa"/>
            <w:gridSpan w:val="2"/>
            <w:tcBorders>
              <w:top w:val="nil"/>
              <w:left w:val="nil"/>
              <w:bottom w:val="single" w:sz="4" w:space="0" w:color="auto"/>
              <w:right w:val="single" w:sz="4" w:space="0" w:color="auto"/>
            </w:tcBorders>
            <w:shd w:val="clear" w:color="000000" w:fill="FF9900"/>
            <w:noWrap/>
            <w:vAlign w:val="bottom"/>
            <w:hideMark/>
          </w:tcPr>
          <w:p w14:paraId="04BACAEB" w14:textId="77777777" w:rsidR="003D0C85" w:rsidRPr="003D0C85" w:rsidRDefault="003D0C85" w:rsidP="003D0C85">
            <w:pPr>
              <w:spacing w:after="0" w:line="240" w:lineRule="auto"/>
              <w:jc w:val="right"/>
              <w:rPr>
                <w:rFonts w:ascii="Calibri" w:eastAsia="Times New Roman" w:hAnsi="Calibri" w:cs="Calibri"/>
                <w:sz w:val="18"/>
                <w:szCs w:val="18"/>
                <w:lang w:eastAsia="hr-HR"/>
              </w:rPr>
            </w:pPr>
            <w:r w:rsidRPr="003D0C85">
              <w:rPr>
                <w:rFonts w:ascii="Calibri" w:eastAsia="Times New Roman" w:hAnsi="Calibri" w:cs="Calibri"/>
                <w:sz w:val="18"/>
                <w:szCs w:val="18"/>
                <w:lang w:eastAsia="hr-HR"/>
              </w:rPr>
              <w:t>0</w:t>
            </w:r>
          </w:p>
        </w:tc>
        <w:tc>
          <w:tcPr>
            <w:tcW w:w="447" w:type="dxa"/>
            <w:tcBorders>
              <w:top w:val="nil"/>
              <w:left w:val="nil"/>
              <w:bottom w:val="single" w:sz="4" w:space="0" w:color="auto"/>
              <w:right w:val="single" w:sz="4" w:space="0" w:color="auto"/>
            </w:tcBorders>
            <w:shd w:val="clear" w:color="000000" w:fill="FF9900"/>
            <w:noWrap/>
            <w:vAlign w:val="bottom"/>
            <w:hideMark/>
          </w:tcPr>
          <w:p w14:paraId="0D07479B" w14:textId="77777777" w:rsidR="003D0C85" w:rsidRPr="003D0C85" w:rsidRDefault="003D0C85" w:rsidP="003D0C85">
            <w:pPr>
              <w:spacing w:after="0" w:line="240" w:lineRule="auto"/>
              <w:jc w:val="right"/>
              <w:rPr>
                <w:rFonts w:ascii="Calibri" w:eastAsia="Times New Roman" w:hAnsi="Calibri" w:cs="Calibri"/>
                <w:sz w:val="18"/>
                <w:szCs w:val="18"/>
                <w:lang w:eastAsia="hr-HR"/>
              </w:rPr>
            </w:pPr>
            <w:r w:rsidRPr="003D0C85">
              <w:rPr>
                <w:rFonts w:ascii="Calibri" w:eastAsia="Times New Roman" w:hAnsi="Calibri" w:cs="Calibri"/>
                <w:sz w:val="18"/>
                <w:szCs w:val="18"/>
                <w:lang w:eastAsia="hr-HR"/>
              </w:rPr>
              <w:t>0</w:t>
            </w:r>
          </w:p>
        </w:tc>
        <w:tc>
          <w:tcPr>
            <w:tcW w:w="447" w:type="dxa"/>
            <w:tcBorders>
              <w:top w:val="nil"/>
              <w:left w:val="nil"/>
              <w:bottom w:val="single" w:sz="4" w:space="0" w:color="auto"/>
              <w:right w:val="single" w:sz="4" w:space="0" w:color="auto"/>
            </w:tcBorders>
            <w:shd w:val="clear" w:color="000000" w:fill="FF9900"/>
            <w:noWrap/>
            <w:vAlign w:val="bottom"/>
            <w:hideMark/>
          </w:tcPr>
          <w:p w14:paraId="6B52BB8E" w14:textId="77777777" w:rsidR="003D0C85" w:rsidRPr="003D0C85" w:rsidRDefault="003D0C85" w:rsidP="003D0C85">
            <w:pPr>
              <w:spacing w:after="0" w:line="240" w:lineRule="auto"/>
              <w:jc w:val="right"/>
              <w:rPr>
                <w:rFonts w:ascii="Calibri" w:eastAsia="Times New Roman" w:hAnsi="Calibri" w:cs="Calibri"/>
                <w:sz w:val="18"/>
                <w:szCs w:val="18"/>
                <w:lang w:eastAsia="hr-HR"/>
              </w:rPr>
            </w:pPr>
            <w:r w:rsidRPr="003D0C85">
              <w:rPr>
                <w:rFonts w:ascii="Calibri" w:eastAsia="Times New Roman" w:hAnsi="Calibri" w:cs="Calibri"/>
                <w:sz w:val="18"/>
                <w:szCs w:val="18"/>
                <w:lang w:eastAsia="hr-HR"/>
              </w:rPr>
              <w:t>0</w:t>
            </w:r>
          </w:p>
        </w:tc>
        <w:tc>
          <w:tcPr>
            <w:tcW w:w="475" w:type="dxa"/>
            <w:tcBorders>
              <w:top w:val="nil"/>
              <w:left w:val="nil"/>
              <w:bottom w:val="single" w:sz="4" w:space="0" w:color="auto"/>
              <w:right w:val="single" w:sz="4" w:space="0" w:color="auto"/>
            </w:tcBorders>
            <w:shd w:val="clear" w:color="auto" w:fill="auto"/>
            <w:vAlign w:val="bottom"/>
            <w:hideMark/>
          </w:tcPr>
          <w:p w14:paraId="5FF223E8" w14:textId="77777777" w:rsidR="003D0C85" w:rsidRPr="003D0C85" w:rsidRDefault="003D0C85" w:rsidP="003D0C85">
            <w:pPr>
              <w:spacing w:after="0" w:line="240" w:lineRule="auto"/>
              <w:jc w:val="right"/>
              <w:rPr>
                <w:rFonts w:ascii="Calibri" w:eastAsia="Times New Roman" w:hAnsi="Calibri" w:cs="Calibri"/>
                <w:b/>
                <w:bCs/>
                <w:sz w:val="18"/>
                <w:szCs w:val="18"/>
                <w:lang w:eastAsia="hr-HR"/>
              </w:rPr>
            </w:pPr>
            <w:r w:rsidRPr="003D0C85">
              <w:rPr>
                <w:rFonts w:ascii="Calibri" w:eastAsia="Times New Roman" w:hAnsi="Calibri" w:cs="Calibri"/>
                <w:b/>
                <w:bCs/>
                <w:sz w:val="18"/>
                <w:szCs w:val="18"/>
                <w:lang w:eastAsia="hr-HR"/>
              </w:rPr>
              <w:t>0</w:t>
            </w:r>
          </w:p>
        </w:tc>
        <w:tc>
          <w:tcPr>
            <w:tcW w:w="447" w:type="dxa"/>
            <w:gridSpan w:val="2"/>
            <w:tcBorders>
              <w:top w:val="nil"/>
              <w:left w:val="nil"/>
              <w:bottom w:val="single" w:sz="4" w:space="0" w:color="auto"/>
              <w:right w:val="single" w:sz="4" w:space="0" w:color="auto"/>
            </w:tcBorders>
            <w:shd w:val="clear" w:color="000000" w:fill="FFFF00"/>
            <w:noWrap/>
            <w:vAlign w:val="bottom"/>
            <w:hideMark/>
          </w:tcPr>
          <w:p w14:paraId="675855B8" w14:textId="77777777" w:rsidR="003D0C85" w:rsidRPr="003D0C85" w:rsidRDefault="003D0C85" w:rsidP="003D0C85">
            <w:pPr>
              <w:spacing w:after="0" w:line="240" w:lineRule="auto"/>
              <w:jc w:val="right"/>
              <w:rPr>
                <w:rFonts w:ascii="Calibri" w:eastAsia="Times New Roman" w:hAnsi="Calibri" w:cs="Calibri"/>
                <w:sz w:val="18"/>
                <w:szCs w:val="18"/>
                <w:lang w:eastAsia="hr-HR"/>
              </w:rPr>
            </w:pPr>
            <w:r w:rsidRPr="003D0C85">
              <w:rPr>
                <w:rFonts w:ascii="Calibri" w:eastAsia="Times New Roman" w:hAnsi="Calibri" w:cs="Calibri"/>
                <w:sz w:val="18"/>
                <w:szCs w:val="18"/>
                <w:lang w:eastAsia="hr-HR"/>
              </w:rPr>
              <w:t>0</w:t>
            </w:r>
          </w:p>
        </w:tc>
        <w:tc>
          <w:tcPr>
            <w:tcW w:w="447" w:type="dxa"/>
            <w:tcBorders>
              <w:top w:val="nil"/>
              <w:left w:val="nil"/>
              <w:bottom w:val="single" w:sz="4" w:space="0" w:color="auto"/>
              <w:right w:val="single" w:sz="4" w:space="0" w:color="auto"/>
            </w:tcBorders>
            <w:shd w:val="clear" w:color="000000" w:fill="FFFF00"/>
            <w:noWrap/>
            <w:vAlign w:val="bottom"/>
            <w:hideMark/>
          </w:tcPr>
          <w:p w14:paraId="42DD56E6" w14:textId="77777777" w:rsidR="003D0C85" w:rsidRPr="003D0C85" w:rsidRDefault="003D0C85" w:rsidP="003D0C85">
            <w:pPr>
              <w:spacing w:after="0" w:line="240" w:lineRule="auto"/>
              <w:jc w:val="right"/>
              <w:rPr>
                <w:rFonts w:ascii="Calibri" w:eastAsia="Times New Roman" w:hAnsi="Calibri" w:cs="Calibri"/>
                <w:sz w:val="18"/>
                <w:szCs w:val="18"/>
                <w:lang w:eastAsia="hr-HR"/>
              </w:rPr>
            </w:pPr>
            <w:r w:rsidRPr="003D0C85">
              <w:rPr>
                <w:rFonts w:ascii="Calibri" w:eastAsia="Times New Roman" w:hAnsi="Calibri" w:cs="Calibri"/>
                <w:sz w:val="18"/>
                <w:szCs w:val="18"/>
                <w:lang w:eastAsia="hr-HR"/>
              </w:rPr>
              <w:t>0</w:t>
            </w:r>
          </w:p>
        </w:tc>
        <w:tc>
          <w:tcPr>
            <w:tcW w:w="521" w:type="dxa"/>
            <w:tcBorders>
              <w:top w:val="nil"/>
              <w:left w:val="nil"/>
              <w:bottom w:val="single" w:sz="4" w:space="0" w:color="auto"/>
              <w:right w:val="single" w:sz="4" w:space="0" w:color="auto"/>
            </w:tcBorders>
            <w:shd w:val="clear" w:color="000000" w:fill="FFFF00"/>
            <w:noWrap/>
            <w:vAlign w:val="bottom"/>
            <w:hideMark/>
          </w:tcPr>
          <w:p w14:paraId="405B9457" w14:textId="77777777" w:rsidR="003D0C85" w:rsidRPr="003D0C85" w:rsidRDefault="003D0C85" w:rsidP="003D0C85">
            <w:pPr>
              <w:spacing w:after="0" w:line="240" w:lineRule="auto"/>
              <w:jc w:val="right"/>
              <w:rPr>
                <w:rFonts w:ascii="Calibri" w:eastAsia="Times New Roman" w:hAnsi="Calibri" w:cs="Calibri"/>
                <w:sz w:val="18"/>
                <w:szCs w:val="18"/>
                <w:lang w:eastAsia="hr-HR"/>
              </w:rPr>
            </w:pPr>
            <w:r w:rsidRPr="003D0C85">
              <w:rPr>
                <w:rFonts w:ascii="Calibri" w:eastAsia="Times New Roman" w:hAnsi="Calibri" w:cs="Calibri"/>
                <w:sz w:val="18"/>
                <w:szCs w:val="18"/>
                <w:lang w:eastAsia="hr-HR"/>
              </w:rPr>
              <w:t>0</w:t>
            </w:r>
          </w:p>
        </w:tc>
        <w:tc>
          <w:tcPr>
            <w:tcW w:w="446" w:type="dxa"/>
            <w:tcBorders>
              <w:top w:val="nil"/>
              <w:left w:val="nil"/>
              <w:bottom w:val="single" w:sz="4" w:space="0" w:color="auto"/>
              <w:right w:val="single" w:sz="4" w:space="0" w:color="auto"/>
            </w:tcBorders>
            <w:shd w:val="clear" w:color="auto" w:fill="auto"/>
            <w:vAlign w:val="bottom"/>
            <w:hideMark/>
          </w:tcPr>
          <w:p w14:paraId="14569ED5" w14:textId="77777777" w:rsidR="003D0C85" w:rsidRPr="003D0C85" w:rsidRDefault="003D0C85" w:rsidP="003D0C85">
            <w:pPr>
              <w:spacing w:after="0" w:line="240" w:lineRule="auto"/>
              <w:jc w:val="right"/>
              <w:rPr>
                <w:rFonts w:ascii="Calibri" w:eastAsia="Times New Roman" w:hAnsi="Calibri" w:cs="Calibri"/>
                <w:b/>
                <w:bCs/>
                <w:sz w:val="18"/>
                <w:szCs w:val="18"/>
                <w:lang w:eastAsia="hr-HR"/>
              </w:rPr>
            </w:pPr>
            <w:r w:rsidRPr="003D0C85">
              <w:rPr>
                <w:rFonts w:ascii="Calibri" w:eastAsia="Times New Roman" w:hAnsi="Calibri" w:cs="Calibri"/>
                <w:b/>
                <w:bCs/>
                <w:sz w:val="18"/>
                <w:szCs w:val="18"/>
                <w:lang w:eastAsia="hr-HR"/>
              </w:rPr>
              <w:t>0</w:t>
            </w:r>
          </w:p>
        </w:tc>
        <w:tc>
          <w:tcPr>
            <w:tcW w:w="792" w:type="dxa"/>
            <w:gridSpan w:val="2"/>
            <w:tcBorders>
              <w:top w:val="nil"/>
              <w:left w:val="nil"/>
              <w:bottom w:val="single" w:sz="4" w:space="0" w:color="auto"/>
              <w:right w:val="single" w:sz="4" w:space="0" w:color="auto"/>
            </w:tcBorders>
            <w:shd w:val="clear" w:color="000000" w:fill="FFFF00"/>
            <w:vAlign w:val="bottom"/>
            <w:hideMark/>
          </w:tcPr>
          <w:p w14:paraId="5A1800F5" w14:textId="77777777" w:rsidR="003D0C85" w:rsidRPr="003D0C85" w:rsidRDefault="003D0C85" w:rsidP="003D0C85">
            <w:pPr>
              <w:spacing w:after="0" w:line="240" w:lineRule="auto"/>
              <w:jc w:val="right"/>
              <w:rPr>
                <w:rFonts w:ascii="Calibri" w:eastAsia="Times New Roman" w:hAnsi="Calibri" w:cs="Calibri"/>
                <w:b/>
                <w:bCs/>
                <w:sz w:val="18"/>
                <w:szCs w:val="18"/>
                <w:lang w:eastAsia="hr-HR"/>
              </w:rPr>
            </w:pPr>
            <w:r w:rsidRPr="003D0C85">
              <w:rPr>
                <w:rFonts w:ascii="Calibri" w:eastAsia="Times New Roman" w:hAnsi="Calibri" w:cs="Calibri"/>
                <w:b/>
                <w:bCs/>
                <w:sz w:val="18"/>
                <w:szCs w:val="18"/>
                <w:lang w:eastAsia="hr-HR"/>
              </w:rPr>
              <w:t>3</w:t>
            </w:r>
          </w:p>
        </w:tc>
        <w:tc>
          <w:tcPr>
            <w:tcW w:w="507" w:type="dxa"/>
            <w:gridSpan w:val="2"/>
            <w:tcBorders>
              <w:top w:val="nil"/>
              <w:left w:val="nil"/>
              <w:bottom w:val="single" w:sz="4" w:space="0" w:color="auto"/>
              <w:right w:val="single" w:sz="4" w:space="0" w:color="auto"/>
            </w:tcBorders>
            <w:shd w:val="clear" w:color="000000" w:fill="FF9900"/>
            <w:noWrap/>
            <w:vAlign w:val="bottom"/>
            <w:hideMark/>
          </w:tcPr>
          <w:p w14:paraId="65E99DF4" w14:textId="77777777" w:rsidR="003D0C85" w:rsidRPr="003D0C85" w:rsidRDefault="003D0C85" w:rsidP="003D0C85">
            <w:pPr>
              <w:spacing w:after="0" w:line="240" w:lineRule="auto"/>
              <w:jc w:val="right"/>
              <w:rPr>
                <w:rFonts w:ascii="Calibri" w:eastAsia="Times New Roman" w:hAnsi="Calibri" w:cs="Calibri"/>
                <w:sz w:val="18"/>
                <w:szCs w:val="18"/>
                <w:lang w:eastAsia="hr-HR"/>
              </w:rPr>
            </w:pPr>
            <w:r w:rsidRPr="003D0C85">
              <w:rPr>
                <w:rFonts w:ascii="Calibri" w:eastAsia="Times New Roman" w:hAnsi="Calibri" w:cs="Calibri"/>
                <w:sz w:val="18"/>
                <w:szCs w:val="18"/>
                <w:lang w:eastAsia="hr-HR"/>
              </w:rPr>
              <w:t>0</w:t>
            </w:r>
          </w:p>
        </w:tc>
        <w:tc>
          <w:tcPr>
            <w:tcW w:w="244" w:type="dxa"/>
            <w:tcBorders>
              <w:top w:val="nil"/>
              <w:left w:val="nil"/>
              <w:bottom w:val="single" w:sz="4" w:space="0" w:color="auto"/>
              <w:right w:val="single" w:sz="4" w:space="0" w:color="auto"/>
            </w:tcBorders>
            <w:shd w:val="clear" w:color="000000" w:fill="CCFFFF"/>
            <w:noWrap/>
            <w:vAlign w:val="bottom"/>
            <w:hideMark/>
          </w:tcPr>
          <w:p w14:paraId="4E5D8982" w14:textId="77777777" w:rsidR="003D0C85" w:rsidRPr="003D0C85" w:rsidRDefault="003D0C85" w:rsidP="003D0C85">
            <w:pPr>
              <w:spacing w:after="0" w:line="240" w:lineRule="auto"/>
              <w:jc w:val="right"/>
              <w:rPr>
                <w:rFonts w:ascii="Calibri" w:eastAsia="Times New Roman" w:hAnsi="Calibri" w:cs="Calibri"/>
                <w:sz w:val="18"/>
                <w:szCs w:val="18"/>
                <w:lang w:eastAsia="hr-HR"/>
              </w:rPr>
            </w:pPr>
            <w:r w:rsidRPr="003D0C85">
              <w:rPr>
                <w:rFonts w:ascii="Calibri" w:eastAsia="Times New Roman" w:hAnsi="Calibri" w:cs="Calibri"/>
                <w:sz w:val="18"/>
                <w:szCs w:val="18"/>
                <w:lang w:eastAsia="hr-HR"/>
              </w:rPr>
              <w:t>0</w:t>
            </w:r>
          </w:p>
        </w:tc>
        <w:tc>
          <w:tcPr>
            <w:tcW w:w="425" w:type="dxa"/>
            <w:tcBorders>
              <w:top w:val="nil"/>
              <w:left w:val="nil"/>
              <w:bottom w:val="single" w:sz="4" w:space="0" w:color="auto"/>
              <w:right w:val="single" w:sz="4" w:space="0" w:color="auto"/>
            </w:tcBorders>
            <w:shd w:val="clear" w:color="000000" w:fill="CCFFFF"/>
            <w:noWrap/>
            <w:vAlign w:val="bottom"/>
            <w:hideMark/>
          </w:tcPr>
          <w:p w14:paraId="75712155" w14:textId="77777777" w:rsidR="003D0C85" w:rsidRPr="003D0C85" w:rsidRDefault="003D0C85" w:rsidP="003D0C85">
            <w:pPr>
              <w:spacing w:after="0" w:line="240" w:lineRule="auto"/>
              <w:jc w:val="right"/>
              <w:rPr>
                <w:rFonts w:ascii="Calibri" w:eastAsia="Times New Roman" w:hAnsi="Calibri" w:cs="Calibri"/>
                <w:sz w:val="18"/>
                <w:szCs w:val="18"/>
                <w:lang w:eastAsia="hr-HR"/>
              </w:rPr>
            </w:pPr>
            <w:r w:rsidRPr="003D0C85">
              <w:rPr>
                <w:rFonts w:ascii="Calibri" w:eastAsia="Times New Roman" w:hAnsi="Calibri" w:cs="Calibri"/>
                <w:sz w:val="18"/>
                <w:szCs w:val="18"/>
                <w:lang w:eastAsia="hr-HR"/>
              </w:rPr>
              <w:t>0</w:t>
            </w:r>
          </w:p>
        </w:tc>
        <w:tc>
          <w:tcPr>
            <w:tcW w:w="607" w:type="dxa"/>
            <w:tcBorders>
              <w:top w:val="nil"/>
              <w:left w:val="nil"/>
              <w:bottom w:val="single" w:sz="4" w:space="0" w:color="auto"/>
              <w:right w:val="single" w:sz="4" w:space="0" w:color="auto"/>
            </w:tcBorders>
            <w:shd w:val="clear" w:color="000000" w:fill="CCFFFF"/>
            <w:noWrap/>
            <w:vAlign w:val="bottom"/>
            <w:hideMark/>
          </w:tcPr>
          <w:p w14:paraId="1018A34E" w14:textId="77777777" w:rsidR="003D0C85" w:rsidRPr="003D0C85" w:rsidRDefault="003D0C85" w:rsidP="003D0C85">
            <w:pPr>
              <w:spacing w:after="0" w:line="240" w:lineRule="auto"/>
              <w:jc w:val="right"/>
              <w:rPr>
                <w:rFonts w:ascii="Calibri" w:eastAsia="Times New Roman" w:hAnsi="Calibri" w:cs="Calibri"/>
                <w:sz w:val="18"/>
                <w:szCs w:val="18"/>
                <w:lang w:eastAsia="hr-HR"/>
              </w:rPr>
            </w:pPr>
            <w:r w:rsidRPr="003D0C85">
              <w:rPr>
                <w:rFonts w:ascii="Calibri" w:eastAsia="Times New Roman" w:hAnsi="Calibri" w:cs="Calibri"/>
                <w:sz w:val="18"/>
                <w:szCs w:val="18"/>
                <w:lang w:eastAsia="hr-HR"/>
              </w:rPr>
              <w:t>0</w:t>
            </w:r>
          </w:p>
        </w:tc>
        <w:tc>
          <w:tcPr>
            <w:tcW w:w="425" w:type="dxa"/>
            <w:gridSpan w:val="2"/>
            <w:tcBorders>
              <w:top w:val="nil"/>
              <w:left w:val="nil"/>
              <w:bottom w:val="single" w:sz="4" w:space="0" w:color="auto"/>
              <w:right w:val="nil"/>
            </w:tcBorders>
            <w:shd w:val="clear" w:color="000000" w:fill="33CCCC"/>
            <w:noWrap/>
            <w:vAlign w:val="bottom"/>
            <w:hideMark/>
          </w:tcPr>
          <w:p w14:paraId="1C3DB0B1" w14:textId="77777777" w:rsidR="003D0C85" w:rsidRPr="003D0C85" w:rsidRDefault="003D0C85" w:rsidP="003D0C85">
            <w:pPr>
              <w:spacing w:after="0" w:line="240" w:lineRule="auto"/>
              <w:jc w:val="right"/>
              <w:rPr>
                <w:rFonts w:ascii="Calibri" w:eastAsia="Times New Roman" w:hAnsi="Calibri" w:cs="Calibri"/>
                <w:sz w:val="18"/>
                <w:szCs w:val="18"/>
                <w:lang w:eastAsia="hr-HR"/>
              </w:rPr>
            </w:pPr>
            <w:r w:rsidRPr="003D0C85">
              <w:rPr>
                <w:rFonts w:ascii="Calibri" w:eastAsia="Times New Roman" w:hAnsi="Calibri" w:cs="Calibri"/>
                <w:sz w:val="18"/>
                <w:szCs w:val="18"/>
                <w:lang w:eastAsia="hr-HR"/>
              </w:rPr>
              <w:t>0</w:t>
            </w:r>
          </w:p>
        </w:tc>
        <w:tc>
          <w:tcPr>
            <w:tcW w:w="452" w:type="dxa"/>
            <w:gridSpan w:val="2"/>
            <w:tcBorders>
              <w:top w:val="nil"/>
              <w:left w:val="single" w:sz="4" w:space="0" w:color="auto"/>
              <w:bottom w:val="single" w:sz="4" w:space="0" w:color="auto"/>
              <w:right w:val="single" w:sz="8" w:space="0" w:color="auto"/>
            </w:tcBorders>
            <w:shd w:val="clear" w:color="000000" w:fill="33CCCC"/>
            <w:noWrap/>
            <w:vAlign w:val="bottom"/>
            <w:hideMark/>
          </w:tcPr>
          <w:p w14:paraId="05B0497A" w14:textId="77777777" w:rsidR="003D0C85" w:rsidRPr="003D0C85" w:rsidRDefault="003D0C85" w:rsidP="003D0C85">
            <w:pPr>
              <w:spacing w:after="0" w:line="240" w:lineRule="auto"/>
              <w:jc w:val="right"/>
              <w:rPr>
                <w:rFonts w:ascii="Calibri" w:eastAsia="Times New Roman" w:hAnsi="Calibri" w:cs="Calibri"/>
                <w:sz w:val="18"/>
                <w:szCs w:val="18"/>
                <w:lang w:eastAsia="hr-HR"/>
              </w:rPr>
            </w:pPr>
            <w:r w:rsidRPr="003D0C85">
              <w:rPr>
                <w:rFonts w:ascii="Calibri" w:eastAsia="Times New Roman" w:hAnsi="Calibri" w:cs="Calibri"/>
                <w:sz w:val="18"/>
                <w:szCs w:val="18"/>
                <w:lang w:eastAsia="hr-HR"/>
              </w:rPr>
              <w:t>0</w:t>
            </w:r>
          </w:p>
        </w:tc>
        <w:tc>
          <w:tcPr>
            <w:tcW w:w="236" w:type="dxa"/>
            <w:gridSpan w:val="3"/>
            <w:vAlign w:val="center"/>
            <w:hideMark/>
          </w:tcPr>
          <w:p w14:paraId="56FF7242" w14:textId="77777777" w:rsidR="003D0C85" w:rsidRPr="003D0C85" w:rsidRDefault="003D0C85" w:rsidP="003D0C85">
            <w:pPr>
              <w:spacing w:after="0" w:line="240" w:lineRule="auto"/>
              <w:rPr>
                <w:rFonts w:ascii="Times New Roman" w:eastAsia="Times New Roman" w:hAnsi="Times New Roman" w:cs="Times New Roman"/>
                <w:sz w:val="18"/>
                <w:szCs w:val="18"/>
                <w:lang w:eastAsia="hr-HR"/>
              </w:rPr>
            </w:pPr>
          </w:p>
        </w:tc>
      </w:tr>
      <w:tr w:rsidR="00E72E51" w:rsidRPr="00E72E51" w14:paraId="59E34F49" w14:textId="77777777" w:rsidTr="00E72E51">
        <w:trPr>
          <w:trHeight w:val="315"/>
        </w:trPr>
        <w:tc>
          <w:tcPr>
            <w:tcW w:w="983" w:type="dxa"/>
            <w:tcBorders>
              <w:top w:val="single" w:sz="4" w:space="0" w:color="auto"/>
              <w:left w:val="single" w:sz="8" w:space="0" w:color="auto"/>
              <w:bottom w:val="single" w:sz="4" w:space="0" w:color="auto"/>
              <w:right w:val="single" w:sz="4" w:space="0" w:color="000000"/>
            </w:tcBorders>
            <w:shd w:val="clear" w:color="000000" w:fill="CCFFCC"/>
            <w:vAlign w:val="center"/>
            <w:hideMark/>
          </w:tcPr>
          <w:p w14:paraId="495F0A42" w14:textId="77777777" w:rsidR="003D0C85" w:rsidRPr="003D0C85" w:rsidRDefault="003D0C85" w:rsidP="003D0C85">
            <w:pPr>
              <w:spacing w:after="0" w:line="240" w:lineRule="auto"/>
              <w:jc w:val="center"/>
              <w:rPr>
                <w:rFonts w:ascii="Calibri" w:eastAsia="Times New Roman" w:hAnsi="Calibri" w:cs="Calibri"/>
                <w:b/>
                <w:bCs/>
                <w:sz w:val="18"/>
                <w:szCs w:val="18"/>
                <w:lang w:eastAsia="hr-HR"/>
              </w:rPr>
            </w:pPr>
            <w:r w:rsidRPr="003D0C85">
              <w:rPr>
                <w:rFonts w:ascii="Calibri" w:eastAsia="Times New Roman" w:hAnsi="Calibri" w:cs="Calibri"/>
                <w:b/>
                <w:bCs/>
                <w:sz w:val="18"/>
                <w:szCs w:val="18"/>
                <w:lang w:eastAsia="hr-HR"/>
              </w:rPr>
              <w:t>Ukupno</w:t>
            </w:r>
          </w:p>
        </w:tc>
        <w:tc>
          <w:tcPr>
            <w:tcW w:w="442" w:type="dxa"/>
            <w:tcBorders>
              <w:top w:val="nil"/>
              <w:left w:val="nil"/>
              <w:bottom w:val="single" w:sz="4" w:space="0" w:color="auto"/>
              <w:right w:val="single" w:sz="4" w:space="0" w:color="auto"/>
            </w:tcBorders>
            <w:shd w:val="clear" w:color="000000" w:fill="FFFF00"/>
            <w:vAlign w:val="bottom"/>
            <w:hideMark/>
          </w:tcPr>
          <w:p w14:paraId="5E19583F" w14:textId="77777777" w:rsidR="003D0C85" w:rsidRPr="003D0C85" w:rsidRDefault="003D0C85" w:rsidP="003D0C85">
            <w:pPr>
              <w:spacing w:after="0" w:line="240" w:lineRule="auto"/>
              <w:jc w:val="right"/>
              <w:rPr>
                <w:rFonts w:ascii="Calibri" w:eastAsia="Times New Roman" w:hAnsi="Calibri" w:cs="Calibri"/>
                <w:b/>
                <w:bCs/>
                <w:sz w:val="18"/>
                <w:szCs w:val="18"/>
                <w:lang w:eastAsia="hr-HR"/>
              </w:rPr>
            </w:pPr>
            <w:r w:rsidRPr="003D0C85">
              <w:rPr>
                <w:rFonts w:ascii="Calibri" w:eastAsia="Times New Roman" w:hAnsi="Calibri" w:cs="Calibri"/>
                <w:b/>
                <w:bCs/>
                <w:sz w:val="18"/>
                <w:szCs w:val="18"/>
                <w:lang w:eastAsia="hr-HR"/>
              </w:rPr>
              <w:t>14</w:t>
            </w:r>
          </w:p>
        </w:tc>
        <w:tc>
          <w:tcPr>
            <w:tcW w:w="443" w:type="dxa"/>
            <w:tcBorders>
              <w:top w:val="nil"/>
              <w:left w:val="nil"/>
              <w:bottom w:val="single" w:sz="4" w:space="0" w:color="auto"/>
              <w:right w:val="single" w:sz="4" w:space="0" w:color="auto"/>
            </w:tcBorders>
            <w:shd w:val="clear" w:color="000000" w:fill="FFFF00"/>
            <w:vAlign w:val="bottom"/>
            <w:hideMark/>
          </w:tcPr>
          <w:p w14:paraId="0D5B53AA" w14:textId="77777777" w:rsidR="003D0C85" w:rsidRPr="003D0C85" w:rsidRDefault="003D0C85" w:rsidP="003D0C85">
            <w:pPr>
              <w:spacing w:after="0" w:line="240" w:lineRule="auto"/>
              <w:jc w:val="right"/>
              <w:rPr>
                <w:rFonts w:ascii="Calibri" w:eastAsia="Times New Roman" w:hAnsi="Calibri" w:cs="Calibri"/>
                <w:b/>
                <w:bCs/>
                <w:sz w:val="18"/>
                <w:szCs w:val="18"/>
                <w:lang w:eastAsia="hr-HR"/>
              </w:rPr>
            </w:pPr>
            <w:r w:rsidRPr="003D0C85">
              <w:rPr>
                <w:rFonts w:ascii="Calibri" w:eastAsia="Times New Roman" w:hAnsi="Calibri" w:cs="Calibri"/>
                <w:b/>
                <w:bCs/>
                <w:sz w:val="18"/>
                <w:szCs w:val="18"/>
                <w:lang w:eastAsia="hr-HR"/>
              </w:rPr>
              <w:t>5</w:t>
            </w:r>
          </w:p>
        </w:tc>
        <w:tc>
          <w:tcPr>
            <w:tcW w:w="316" w:type="dxa"/>
            <w:tcBorders>
              <w:top w:val="nil"/>
              <w:left w:val="nil"/>
              <w:bottom w:val="single" w:sz="4" w:space="0" w:color="auto"/>
              <w:right w:val="single" w:sz="4" w:space="0" w:color="auto"/>
            </w:tcBorders>
            <w:shd w:val="clear" w:color="000000" w:fill="FFFF00"/>
            <w:vAlign w:val="bottom"/>
            <w:hideMark/>
          </w:tcPr>
          <w:p w14:paraId="03A54E05" w14:textId="77777777" w:rsidR="003D0C85" w:rsidRPr="003D0C85" w:rsidRDefault="003D0C85" w:rsidP="003D0C85">
            <w:pPr>
              <w:spacing w:after="0" w:line="240" w:lineRule="auto"/>
              <w:jc w:val="right"/>
              <w:rPr>
                <w:rFonts w:ascii="Calibri" w:eastAsia="Times New Roman" w:hAnsi="Calibri" w:cs="Calibri"/>
                <w:b/>
                <w:bCs/>
                <w:sz w:val="18"/>
                <w:szCs w:val="18"/>
                <w:lang w:eastAsia="hr-HR"/>
              </w:rPr>
            </w:pPr>
            <w:r w:rsidRPr="003D0C85">
              <w:rPr>
                <w:rFonts w:ascii="Calibri" w:eastAsia="Times New Roman" w:hAnsi="Calibri" w:cs="Calibri"/>
                <w:b/>
                <w:bCs/>
                <w:sz w:val="18"/>
                <w:szCs w:val="18"/>
                <w:lang w:eastAsia="hr-HR"/>
              </w:rPr>
              <w:t>4</w:t>
            </w:r>
          </w:p>
        </w:tc>
        <w:tc>
          <w:tcPr>
            <w:tcW w:w="452" w:type="dxa"/>
            <w:tcBorders>
              <w:top w:val="nil"/>
              <w:left w:val="nil"/>
              <w:bottom w:val="single" w:sz="4" w:space="0" w:color="auto"/>
              <w:right w:val="single" w:sz="4" w:space="0" w:color="auto"/>
            </w:tcBorders>
            <w:shd w:val="clear" w:color="000000" w:fill="FFFF00"/>
            <w:vAlign w:val="bottom"/>
            <w:hideMark/>
          </w:tcPr>
          <w:p w14:paraId="77AEBE33" w14:textId="77777777" w:rsidR="003D0C85" w:rsidRPr="003D0C85" w:rsidRDefault="003D0C85" w:rsidP="003D0C85">
            <w:pPr>
              <w:spacing w:after="0" w:line="240" w:lineRule="auto"/>
              <w:jc w:val="right"/>
              <w:rPr>
                <w:rFonts w:ascii="Calibri" w:eastAsia="Times New Roman" w:hAnsi="Calibri" w:cs="Calibri"/>
                <w:b/>
                <w:bCs/>
                <w:sz w:val="18"/>
                <w:szCs w:val="18"/>
                <w:lang w:eastAsia="hr-HR"/>
              </w:rPr>
            </w:pPr>
            <w:r w:rsidRPr="003D0C85">
              <w:rPr>
                <w:rFonts w:ascii="Calibri" w:eastAsia="Times New Roman" w:hAnsi="Calibri" w:cs="Calibri"/>
                <w:b/>
                <w:bCs/>
                <w:sz w:val="18"/>
                <w:szCs w:val="18"/>
                <w:lang w:eastAsia="hr-HR"/>
              </w:rPr>
              <w:t>0</w:t>
            </w:r>
          </w:p>
        </w:tc>
        <w:tc>
          <w:tcPr>
            <w:tcW w:w="491" w:type="dxa"/>
            <w:gridSpan w:val="2"/>
            <w:tcBorders>
              <w:top w:val="nil"/>
              <w:left w:val="nil"/>
              <w:bottom w:val="single" w:sz="4" w:space="0" w:color="auto"/>
              <w:right w:val="single" w:sz="4" w:space="0" w:color="auto"/>
            </w:tcBorders>
            <w:shd w:val="clear" w:color="000000" w:fill="FFFF00"/>
            <w:vAlign w:val="bottom"/>
            <w:hideMark/>
          </w:tcPr>
          <w:p w14:paraId="05C3A710" w14:textId="77777777" w:rsidR="003D0C85" w:rsidRPr="003D0C85" w:rsidRDefault="003D0C85" w:rsidP="003D0C85">
            <w:pPr>
              <w:spacing w:after="0" w:line="240" w:lineRule="auto"/>
              <w:jc w:val="right"/>
              <w:rPr>
                <w:rFonts w:ascii="Calibri" w:eastAsia="Times New Roman" w:hAnsi="Calibri" w:cs="Calibri"/>
                <w:b/>
                <w:bCs/>
                <w:sz w:val="18"/>
                <w:szCs w:val="18"/>
                <w:lang w:eastAsia="hr-HR"/>
              </w:rPr>
            </w:pPr>
            <w:r w:rsidRPr="003D0C85">
              <w:rPr>
                <w:rFonts w:ascii="Calibri" w:eastAsia="Times New Roman" w:hAnsi="Calibri" w:cs="Calibri"/>
                <w:b/>
                <w:bCs/>
                <w:sz w:val="18"/>
                <w:szCs w:val="18"/>
                <w:lang w:eastAsia="hr-HR"/>
              </w:rPr>
              <w:t>0</w:t>
            </w:r>
          </w:p>
        </w:tc>
        <w:tc>
          <w:tcPr>
            <w:tcW w:w="447" w:type="dxa"/>
            <w:tcBorders>
              <w:top w:val="nil"/>
              <w:left w:val="nil"/>
              <w:bottom w:val="single" w:sz="4" w:space="0" w:color="auto"/>
              <w:right w:val="single" w:sz="4" w:space="0" w:color="auto"/>
            </w:tcBorders>
            <w:shd w:val="clear" w:color="000000" w:fill="FFFF00"/>
            <w:vAlign w:val="bottom"/>
            <w:hideMark/>
          </w:tcPr>
          <w:p w14:paraId="3DECC018" w14:textId="77777777" w:rsidR="003D0C85" w:rsidRPr="003D0C85" w:rsidRDefault="003D0C85" w:rsidP="003D0C85">
            <w:pPr>
              <w:spacing w:after="0" w:line="240" w:lineRule="auto"/>
              <w:jc w:val="right"/>
              <w:rPr>
                <w:rFonts w:ascii="Calibri" w:eastAsia="Times New Roman" w:hAnsi="Calibri" w:cs="Calibri"/>
                <w:b/>
                <w:bCs/>
                <w:sz w:val="18"/>
                <w:szCs w:val="18"/>
                <w:lang w:eastAsia="hr-HR"/>
              </w:rPr>
            </w:pPr>
            <w:r w:rsidRPr="003D0C85">
              <w:rPr>
                <w:rFonts w:ascii="Calibri" w:eastAsia="Times New Roman" w:hAnsi="Calibri" w:cs="Calibri"/>
                <w:b/>
                <w:bCs/>
                <w:sz w:val="18"/>
                <w:szCs w:val="18"/>
                <w:lang w:eastAsia="hr-HR"/>
              </w:rPr>
              <w:t>0</w:t>
            </w:r>
          </w:p>
        </w:tc>
        <w:tc>
          <w:tcPr>
            <w:tcW w:w="495" w:type="dxa"/>
            <w:tcBorders>
              <w:top w:val="nil"/>
              <w:left w:val="nil"/>
              <w:bottom w:val="single" w:sz="4" w:space="0" w:color="auto"/>
              <w:right w:val="single" w:sz="4" w:space="0" w:color="auto"/>
            </w:tcBorders>
            <w:shd w:val="clear" w:color="000000" w:fill="FFFF00"/>
            <w:vAlign w:val="bottom"/>
            <w:hideMark/>
          </w:tcPr>
          <w:p w14:paraId="3E9223CC" w14:textId="77777777" w:rsidR="003D0C85" w:rsidRPr="003D0C85" w:rsidRDefault="003D0C85" w:rsidP="003D0C85">
            <w:pPr>
              <w:spacing w:after="0" w:line="240" w:lineRule="auto"/>
              <w:jc w:val="right"/>
              <w:rPr>
                <w:rFonts w:ascii="Calibri" w:eastAsia="Times New Roman" w:hAnsi="Calibri" w:cs="Calibri"/>
                <w:b/>
                <w:bCs/>
                <w:sz w:val="18"/>
                <w:szCs w:val="18"/>
                <w:lang w:eastAsia="hr-HR"/>
              </w:rPr>
            </w:pPr>
            <w:r w:rsidRPr="003D0C85">
              <w:rPr>
                <w:rFonts w:ascii="Calibri" w:eastAsia="Times New Roman" w:hAnsi="Calibri" w:cs="Calibri"/>
                <w:b/>
                <w:bCs/>
                <w:sz w:val="18"/>
                <w:szCs w:val="18"/>
                <w:lang w:eastAsia="hr-HR"/>
              </w:rPr>
              <w:t>0</w:t>
            </w:r>
          </w:p>
        </w:tc>
        <w:tc>
          <w:tcPr>
            <w:tcW w:w="451" w:type="dxa"/>
            <w:tcBorders>
              <w:top w:val="nil"/>
              <w:left w:val="nil"/>
              <w:bottom w:val="single" w:sz="4" w:space="0" w:color="auto"/>
              <w:right w:val="single" w:sz="4" w:space="0" w:color="auto"/>
            </w:tcBorders>
            <w:shd w:val="clear" w:color="000000" w:fill="FFFF00"/>
            <w:vAlign w:val="bottom"/>
            <w:hideMark/>
          </w:tcPr>
          <w:p w14:paraId="0774231A" w14:textId="77777777" w:rsidR="003D0C85" w:rsidRPr="003D0C85" w:rsidRDefault="003D0C85" w:rsidP="003D0C85">
            <w:pPr>
              <w:spacing w:after="0" w:line="240" w:lineRule="auto"/>
              <w:jc w:val="right"/>
              <w:rPr>
                <w:rFonts w:ascii="Calibri" w:eastAsia="Times New Roman" w:hAnsi="Calibri" w:cs="Calibri"/>
                <w:b/>
                <w:bCs/>
                <w:sz w:val="18"/>
                <w:szCs w:val="18"/>
                <w:lang w:eastAsia="hr-HR"/>
              </w:rPr>
            </w:pPr>
            <w:r w:rsidRPr="003D0C85">
              <w:rPr>
                <w:rFonts w:ascii="Calibri" w:eastAsia="Times New Roman" w:hAnsi="Calibri" w:cs="Calibri"/>
                <w:b/>
                <w:bCs/>
                <w:sz w:val="18"/>
                <w:szCs w:val="18"/>
                <w:lang w:eastAsia="hr-HR"/>
              </w:rPr>
              <w:t>0</w:t>
            </w:r>
          </w:p>
        </w:tc>
        <w:tc>
          <w:tcPr>
            <w:tcW w:w="632" w:type="dxa"/>
            <w:gridSpan w:val="2"/>
            <w:tcBorders>
              <w:top w:val="nil"/>
              <w:left w:val="nil"/>
              <w:bottom w:val="single" w:sz="4" w:space="0" w:color="auto"/>
              <w:right w:val="single" w:sz="4" w:space="0" w:color="auto"/>
            </w:tcBorders>
            <w:shd w:val="clear" w:color="000000" w:fill="FFFF00"/>
            <w:vAlign w:val="bottom"/>
            <w:hideMark/>
          </w:tcPr>
          <w:p w14:paraId="0D7355B2" w14:textId="77777777" w:rsidR="003D0C85" w:rsidRPr="003D0C85" w:rsidRDefault="003D0C85" w:rsidP="003D0C85">
            <w:pPr>
              <w:spacing w:after="0" w:line="240" w:lineRule="auto"/>
              <w:jc w:val="right"/>
              <w:rPr>
                <w:rFonts w:ascii="Calibri" w:eastAsia="Times New Roman" w:hAnsi="Calibri" w:cs="Calibri"/>
                <w:b/>
                <w:bCs/>
                <w:sz w:val="18"/>
                <w:szCs w:val="18"/>
                <w:lang w:eastAsia="hr-HR"/>
              </w:rPr>
            </w:pPr>
            <w:r w:rsidRPr="003D0C85">
              <w:rPr>
                <w:rFonts w:ascii="Calibri" w:eastAsia="Times New Roman" w:hAnsi="Calibri" w:cs="Calibri"/>
                <w:b/>
                <w:bCs/>
                <w:sz w:val="18"/>
                <w:szCs w:val="18"/>
                <w:lang w:eastAsia="hr-HR"/>
              </w:rPr>
              <w:t>0</w:t>
            </w:r>
          </w:p>
        </w:tc>
        <w:tc>
          <w:tcPr>
            <w:tcW w:w="447" w:type="dxa"/>
            <w:tcBorders>
              <w:top w:val="nil"/>
              <w:left w:val="nil"/>
              <w:bottom w:val="single" w:sz="4" w:space="0" w:color="auto"/>
              <w:right w:val="single" w:sz="4" w:space="0" w:color="auto"/>
            </w:tcBorders>
            <w:shd w:val="clear" w:color="000000" w:fill="FFFF00"/>
            <w:vAlign w:val="bottom"/>
            <w:hideMark/>
          </w:tcPr>
          <w:p w14:paraId="1CAB3873" w14:textId="77777777" w:rsidR="003D0C85" w:rsidRPr="003D0C85" w:rsidRDefault="003D0C85" w:rsidP="003D0C85">
            <w:pPr>
              <w:spacing w:after="0" w:line="240" w:lineRule="auto"/>
              <w:jc w:val="right"/>
              <w:rPr>
                <w:rFonts w:ascii="Calibri" w:eastAsia="Times New Roman" w:hAnsi="Calibri" w:cs="Calibri"/>
                <w:b/>
                <w:bCs/>
                <w:sz w:val="18"/>
                <w:szCs w:val="18"/>
                <w:lang w:eastAsia="hr-HR"/>
              </w:rPr>
            </w:pPr>
            <w:r w:rsidRPr="003D0C85">
              <w:rPr>
                <w:rFonts w:ascii="Calibri" w:eastAsia="Times New Roman" w:hAnsi="Calibri" w:cs="Calibri"/>
                <w:b/>
                <w:bCs/>
                <w:sz w:val="18"/>
                <w:szCs w:val="18"/>
                <w:lang w:eastAsia="hr-HR"/>
              </w:rPr>
              <w:t>1</w:t>
            </w:r>
          </w:p>
        </w:tc>
        <w:tc>
          <w:tcPr>
            <w:tcW w:w="543" w:type="dxa"/>
            <w:tcBorders>
              <w:top w:val="nil"/>
              <w:left w:val="nil"/>
              <w:bottom w:val="single" w:sz="4" w:space="0" w:color="auto"/>
              <w:right w:val="single" w:sz="4" w:space="0" w:color="auto"/>
            </w:tcBorders>
            <w:shd w:val="clear" w:color="000000" w:fill="FFFF00"/>
            <w:vAlign w:val="bottom"/>
            <w:hideMark/>
          </w:tcPr>
          <w:p w14:paraId="6FA162C0" w14:textId="77777777" w:rsidR="003D0C85" w:rsidRPr="003D0C85" w:rsidRDefault="003D0C85" w:rsidP="003D0C85">
            <w:pPr>
              <w:spacing w:after="0" w:line="240" w:lineRule="auto"/>
              <w:jc w:val="right"/>
              <w:rPr>
                <w:rFonts w:ascii="Calibri" w:eastAsia="Times New Roman" w:hAnsi="Calibri" w:cs="Calibri"/>
                <w:b/>
                <w:bCs/>
                <w:sz w:val="18"/>
                <w:szCs w:val="18"/>
                <w:lang w:eastAsia="hr-HR"/>
              </w:rPr>
            </w:pPr>
            <w:r w:rsidRPr="003D0C85">
              <w:rPr>
                <w:rFonts w:ascii="Calibri" w:eastAsia="Times New Roman" w:hAnsi="Calibri" w:cs="Calibri"/>
                <w:b/>
                <w:bCs/>
                <w:sz w:val="18"/>
                <w:szCs w:val="18"/>
                <w:lang w:eastAsia="hr-HR"/>
              </w:rPr>
              <w:t>0</w:t>
            </w:r>
          </w:p>
        </w:tc>
        <w:tc>
          <w:tcPr>
            <w:tcW w:w="447" w:type="dxa"/>
            <w:tcBorders>
              <w:top w:val="nil"/>
              <w:left w:val="nil"/>
              <w:bottom w:val="single" w:sz="4" w:space="0" w:color="auto"/>
              <w:right w:val="single" w:sz="4" w:space="0" w:color="auto"/>
            </w:tcBorders>
            <w:shd w:val="clear" w:color="000000" w:fill="FFFF00"/>
            <w:vAlign w:val="bottom"/>
            <w:hideMark/>
          </w:tcPr>
          <w:p w14:paraId="1D564AD3" w14:textId="77777777" w:rsidR="003D0C85" w:rsidRPr="003D0C85" w:rsidRDefault="003D0C85" w:rsidP="003D0C85">
            <w:pPr>
              <w:spacing w:after="0" w:line="240" w:lineRule="auto"/>
              <w:jc w:val="right"/>
              <w:rPr>
                <w:rFonts w:ascii="Calibri" w:eastAsia="Times New Roman" w:hAnsi="Calibri" w:cs="Calibri"/>
                <w:b/>
                <w:bCs/>
                <w:sz w:val="18"/>
                <w:szCs w:val="18"/>
                <w:lang w:eastAsia="hr-HR"/>
              </w:rPr>
            </w:pPr>
            <w:r w:rsidRPr="003D0C85">
              <w:rPr>
                <w:rFonts w:ascii="Calibri" w:eastAsia="Times New Roman" w:hAnsi="Calibri" w:cs="Calibri"/>
                <w:b/>
                <w:bCs/>
                <w:sz w:val="18"/>
                <w:szCs w:val="18"/>
                <w:lang w:eastAsia="hr-HR"/>
              </w:rPr>
              <w:t>4</w:t>
            </w:r>
          </w:p>
        </w:tc>
        <w:tc>
          <w:tcPr>
            <w:tcW w:w="543" w:type="dxa"/>
            <w:tcBorders>
              <w:top w:val="nil"/>
              <w:left w:val="nil"/>
              <w:bottom w:val="single" w:sz="4" w:space="0" w:color="auto"/>
              <w:right w:val="single" w:sz="4" w:space="0" w:color="auto"/>
            </w:tcBorders>
            <w:shd w:val="clear" w:color="000000" w:fill="FFFF00"/>
            <w:vAlign w:val="bottom"/>
            <w:hideMark/>
          </w:tcPr>
          <w:p w14:paraId="128149DC" w14:textId="77777777" w:rsidR="003D0C85" w:rsidRPr="003D0C85" w:rsidRDefault="003D0C85" w:rsidP="003D0C85">
            <w:pPr>
              <w:spacing w:after="0" w:line="240" w:lineRule="auto"/>
              <w:jc w:val="right"/>
              <w:rPr>
                <w:rFonts w:ascii="Calibri" w:eastAsia="Times New Roman" w:hAnsi="Calibri" w:cs="Calibri"/>
                <w:b/>
                <w:bCs/>
                <w:sz w:val="18"/>
                <w:szCs w:val="18"/>
                <w:lang w:eastAsia="hr-HR"/>
              </w:rPr>
            </w:pPr>
            <w:r w:rsidRPr="003D0C85">
              <w:rPr>
                <w:rFonts w:ascii="Calibri" w:eastAsia="Times New Roman" w:hAnsi="Calibri" w:cs="Calibri"/>
                <w:b/>
                <w:bCs/>
                <w:sz w:val="18"/>
                <w:szCs w:val="18"/>
                <w:lang w:eastAsia="hr-HR"/>
              </w:rPr>
              <w:t>0</w:t>
            </w:r>
          </w:p>
        </w:tc>
        <w:tc>
          <w:tcPr>
            <w:tcW w:w="356" w:type="dxa"/>
            <w:tcBorders>
              <w:top w:val="nil"/>
              <w:left w:val="nil"/>
              <w:bottom w:val="single" w:sz="4" w:space="0" w:color="auto"/>
              <w:right w:val="single" w:sz="4" w:space="0" w:color="auto"/>
            </w:tcBorders>
            <w:shd w:val="clear" w:color="000000" w:fill="FFFF00"/>
            <w:vAlign w:val="bottom"/>
            <w:hideMark/>
          </w:tcPr>
          <w:p w14:paraId="04FB4229" w14:textId="77777777" w:rsidR="003D0C85" w:rsidRPr="003D0C85" w:rsidRDefault="003D0C85" w:rsidP="003D0C85">
            <w:pPr>
              <w:spacing w:after="0" w:line="240" w:lineRule="auto"/>
              <w:jc w:val="right"/>
              <w:rPr>
                <w:rFonts w:ascii="Calibri" w:eastAsia="Times New Roman" w:hAnsi="Calibri" w:cs="Calibri"/>
                <w:b/>
                <w:bCs/>
                <w:sz w:val="18"/>
                <w:szCs w:val="18"/>
                <w:lang w:eastAsia="hr-HR"/>
              </w:rPr>
            </w:pPr>
            <w:r w:rsidRPr="003D0C85">
              <w:rPr>
                <w:rFonts w:ascii="Calibri" w:eastAsia="Times New Roman" w:hAnsi="Calibri" w:cs="Calibri"/>
                <w:b/>
                <w:bCs/>
                <w:sz w:val="18"/>
                <w:szCs w:val="18"/>
                <w:lang w:eastAsia="hr-HR"/>
              </w:rPr>
              <w:t>0</w:t>
            </w:r>
          </w:p>
        </w:tc>
        <w:tc>
          <w:tcPr>
            <w:tcW w:w="447" w:type="dxa"/>
            <w:gridSpan w:val="2"/>
            <w:tcBorders>
              <w:top w:val="nil"/>
              <w:left w:val="nil"/>
              <w:bottom w:val="single" w:sz="4" w:space="0" w:color="auto"/>
              <w:right w:val="single" w:sz="4" w:space="0" w:color="auto"/>
            </w:tcBorders>
            <w:shd w:val="clear" w:color="000000" w:fill="FFFF00"/>
            <w:vAlign w:val="bottom"/>
            <w:hideMark/>
          </w:tcPr>
          <w:p w14:paraId="3625CC14" w14:textId="77777777" w:rsidR="003D0C85" w:rsidRPr="003D0C85" w:rsidRDefault="003D0C85" w:rsidP="003D0C85">
            <w:pPr>
              <w:spacing w:after="0" w:line="240" w:lineRule="auto"/>
              <w:jc w:val="right"/>
              <w:rPr>
                <w:rFonts w:ascii="Calibri" w:eastAsia="Times New Roman" w:hAnsi="Calibri" w:cs="Calibri"/>
                <w:b/>
                <w:bCs/>
                <w:sz w:val="18"/>
                <w:szCs w:val="18"/>
                <w:lang w:eastAsia="hr-HR"/>
              </w:rPr>
            </w:pPr>
            <w:r w:rsidRPr="003D0C85">
              <w:rPr>
                <w:rFonts w:ascii="Calibri" w:eastAsia="Times New Roman" w:hAnsi="Calibri" w:cs="Calibri"/>
                <w:b/>
                <w:bCs/>
                <w:sz w:val="18"/>
                <w:szCs w:val="18"/>
                <w:lang w:eastAsia="hr-HR"/>
              </w:rPr>
              <w:t>4</w:t>
            </w:r>
          </w:p>
        </w:tc>
        <w:tc>
          <w:tcPr>
            <w:tcW w:w="447" w:type="dxa"/>
            <w:tcBorders>
              <w:top w:val="nil"/>
              <w:left w:val="nil"/>
              <w:bottom w:val="single" w:sz="4" w:space="0" w:color="auto"/>
              <w:right w:val="single" w:sz="4" w:space="0" w:color="auto"/>
            </w:tcBorders>
            <w:shd w:val="clear" w:color="000000" w:fill="FFFF00"/>
            <w:vAlign w:val="bottom"/>
            <w:hideMark/>
          </w:tcPr>
          <w:p w14:paraId="6312E30C" w14:textId="77777777" w:rsidR="003D0C85" w:rsidRPr="003D0C85" w:rsidRDefault="003D0C85" w:rsidP="003D0C85">
            <w:pPr>
              <w:spacing w:after="0" w:line="240" w:lineRule="auto"/>
              <w:jc w:val="right"/>
              <w:rPr>
                <w:rFonts w:ascii="Calibri" w:eastAsia="Times New Roman" w:hAnsi="Calibri" w:cs="Calibri"/>
                <w:b/>
                <w:bCs/>
                <w:sz w:val="18"/>
                <w:szCs w:val="18"/>
                <w:lang w:eastAsia="hr-HR"/>
              </w:rPr>
            </w:pPr>
            <w:r w:rsidRPr="003D0C85">
              <w:rPr>
                <w:rFonts w:ascii="Calibri" w:eastAsia="Times New Roman" w:hAnsi="Calibri" w:cs="Calibri"/>
                <w:b/>
                <w:bCs/>
                <w:sz w:val="18"/>
                <w:szCs w:val="18"/>
                <w:lang w:eastAsia="hr-HR"/>
              </w:rPr>
              <w:t>0</w:t>
            </w:r>
          </w:p>
        </w:tc>
        <w:tc>
          <w:tcPr>
            <w:tcW w:w="447" w:type="dxa"/>
            <w:tcBorders>
              <w:top w:val="nil"/>
              <w:left w:val="nil"/>
              <w:bottom w:val="single" w:sz="4" w:space="0" w:color="auto"/>
              <w:right w:val="single" w:sz="4" w:space="0" w:color="auto"/>
            </w:tcBorders>
            <w:shd w:val="clear" w:color="000000" w:fill="FFFF00"/>
            <w:vAlign w:val="bottom"/>
            <w:hideMark/>
          </w:tcPr>
          <w:p w14:paraId="669D1DA5" w14:textId="77777777" w:rsidR="003D0C85" w:rsidRPr="003D0C85" w:rsidRDefault="003D0C85" w:rsidP="003D0C85">
            <w:pPr>
              <w:spacing w:after="0" w:line="240" w:lineRule="auto"/>
              <w:jc w:val="right"/>
              <w:rPr>
                <w:rFonts w:ascii="Calibri" w:eastAsia="Times New Roman" w:hAnsi="Calibri" w:cs="Calibri"/>
                <w:b/>
                <w:bCs/>
                <w:sz w:val="18"/>
                <w:szCs w:val="18"/>
                <w:lang w:eastAsia="hr-HR"/>
              </w:rPr>
            </w:pPr>
            <w:r w:rsidRPr="003D0C85">
              <w:rPr>
                <w:rFonts w:ascii="Calibri" w:eastAsia="Times New Roman" w:hAnsi="Calibri" w:cs="Calibri"/>
                <w:b/>
                <w:bCs/>
                <w:sz w:val="18"/>
                <w:szCs w:val="18"/>
                <w:lang w:eastAsia="hr-HR"/>
              </w:rPr>
              <w:t>1</w:t>
            </w:r>
          </w:p>
        </w:tc>
        <w:tc>
          <w:tcPr>
            <w:tcW w:w="475" w:type="dxa"/>
            <w:tcBorders>
              <w:top w:val="nil"/>
              <w:left w:val="nil"/>
              <w:bottom w:val="single" w:sz="4" w:space="0" w:color="auto"/>
              <w:right w:val="single" w:sz="4" w:space="0" w:color="auto"/>
            </w:tcBorders>
            <w:shd w:val="clear" w:color="000000" w:fill="FFFF00"/>
            <w:vAlign w:val="bottom"/>
            <w:hideMark/>
          </w:tcPr>
          <w:p w14:paraId="34873E6D" w14:textId="77777777" w:rsidR="003D0C85" w:rsidRPr="003D0C85" w:rsidRDefault="003D0C85" w:rsidP="003D0C85">
            <w:pPr>
              <w:spacing w:after="0" w:line="240" w:lineRule="auto"/>
              <w:jc w:val="right"/>
              <w:rPr>
                <w:rFonts w:ascii="Calibri" w:eastAsia="Times New Roman" w:hAnsi="Calibri" w:cs="Calibri"/>
                <w:b/>
                <w:bCs/>
                <w:sz w:val="18"/>
                <w:szCs w:val="18"/>
                <w:lang w:eastAsia="hr-HR"/>
              </w:rPr>
            </w:pPr>
            <w:r w:rsidRPr="003D0C85">
              <w:rPr>
                <w:rFonts w:ascii="Calibri" w:eastAsia="Times New Roman" w:hAnsi="Calibri" w:cs="Calibri"/>
                <w:b/>
                <w:bCs/>
                <w:sz w:val="18"/>
                <w:szCs w:val="18"/>
                <w:lang w:eastAsia="hr-HR"/>
              </w:rPr>
              <w:t>5</w:t>
            </w:r>
          </w:p>
        </w:tc>
        <w:tc>
          <w:tcPr>
            <w:tcW w:w="447" w:type="dxa"/>
            <w:gridSpan w:val="2"/>
            <w:tcBorders>
              <w:top w:val="nil"/>
              <w:left w:val="nil"/>
              <w:bottom w:val="single" w:sz="4" w:space="0" w:color="auto"/>
              <w:right w:val="single" w:sz="4" w:space="0" w:color="auto"/>
            </w:tcBorders>
            <w:shd w:val="clear" w:color="000000" w:fill="FFFF00"/>
            <w:vAlign w:val="bottom"/>
            <w:hideMark/>
          </w:tcPr>
          <w:p w14:paraId="43729C43" w14:textId="77777777" w:rsidR="003D0C85" w:rsidRPr="003D0C85" w:rsidRDefault="003D0C85" w:rsidP="003D0C85">
            <w:pPr>
              <w:spacing w:after="0" w:line="240" w:lineRule="auto"/>
              <w:jc w:val="right"/>
              <w:rPr>
                <w:rFonts w:ascii="Calibri" w:eastAsia="Times New Roman" w:hAnsi="Calibri" w:cs="Calibri"/>
                <w:b/>
                <w:bCs/>
                <w:sz w:val="18"/>
                <w:szCs w:val="18"/>
                <w:lang w:eastAsia="hr-HR"/>
              </w:rPr>
            </w:pPr>
            <w:r w:rsidRPr="003D0C85">
              <w:rPr>
                <w:rFonts w:ascii="Calibri" w:eastAsia="Times New Roman" w:hAnsi="Calibri" w:cs="Calibri"/>
                <w:b/>
                <w:bCs/>
                <w:sz w:val="18"/>
                <w:szCs w:val="18"/>
                <w:lang w:eastAsia="hr-HR"/>
              </w:rPr>
              <w:t>0</w:t>
            </w:r>
          </w:p>
        </w:tc>
        <w:tc>
          <w:tcPr>
            <w:tcW w:w="447" w:type="dxa"/>
            <w:tcBorders>
              <w:top w:val="nil"/>
              <w:left w:val="nil"/>
              <w:bottom w:val="single" w:sz="4" w:space="0" w:color="auto"/>
              <w:right w:val="single" w:sz="4" w:space="0" w:color="auto"/>
            </w:tcBorders>
            <w:shd w:val="clear" w:color="000000" w:fill="FFFF00"/>
            <w:vAlign w:val="bottom"/>
            <w:hideMark/>
          </w:tcPr>
          <w:p w14:paraId="1EE186D1" w14:textId="77777777" w:rsidR="003D0C85" w:rsidRPr="003D0C85" w:rsidRDefault="003D0C85" w:rsidP="003D0C85">
            <w:pPr>
              <w:spacing w:after="0" w:line="240" w:lineRule="auto"/>
              <w:jc w:val="right"/>
              <w:rPr>
                <w:rFonts w:ascii="Calibri" w:eastAsia="Times New Roman" w:hAnsi="Calibri" w:cs="Calibri"/>
                <w:b/>
                <w:bCs/>
                <w:sz w:val="18"/>
                <w:szCs w:val="18"/>
                <w:lang w:eastAsia="hr-HR"/>
              </w:rPr>
            </w:pPr>
            <w:r w:rsidRPr="003D0C85">
              <w:rPr>
                <w:rFonts w:ascii="Calibri" w:eastAsia="Times New Roman" w:hAnsi="Calibri" w:cs="Calibri"/>
                <w:b/>
                <w:bCs/>
                <w:sz w:val="18"/>
                <w:szCs w:val="18"/>
                <w:lang w:eastAsia="hr-HR"/>
              </w:rPr>
              <w:t>3</w:t>
            </w:r>
          </w:p>
        </w:tc>
        <w:tc>
          <w:tcPr>
            <w:tcW w:w="521" w:type="dxa"/>
            <w:tcBorders>
              <w:top w:val="nil"/>
              <w:left w:val="nil"/>
              <w:bottom w:val="single" w:sz="4" w:space="0" w:color="auto"/>
              <w:right w:val="single" w:sz="4" w:space="0" w:color="auto"/>
            </w:tcBorders>
            <w:shd w:val="clear" w:color="000000" w:fill="FFFF00"/>
            <w:vAlign w:val="bottom"/>
            <w:hideMark/>
          </w:tcPr>
          <w:p w14:paraId="4CFDB68C" w14:textId="77777777" w:rsidR="003D0C85" w:rsidRPr="003D0C85" w:rsidRDefault="003D0C85" w:rsidP="003D0C85">
            <w:pPr>
              <w:spacing w:after="0" w:line="240" w:lineRule="auto"/>
              <w:jc w:val="right"/>
              <w:rPr>
                <w:rFonts w:ascii="Calibri" w:eastAsia="Times New Roman" w:hAnsi="Calibri" w:cs="Calibri"/>
                <w:b/>
                <w:bCs/>
                <w:sz w:val="18"/>
                <w:szCs w:val="18"/>
                <w:lang w:eastAsia="hr-HR"/>
              </w:rPr>
            </w:pPr>
            <w:r w:rsidRPr="003D0C85">
              <w:rPr>
                <w:rFonts w:ascii="Calibri" w:eastAsia="Times New Roman" w:hAnsi="Calibri" w:cs="Calibri"/>
                <w:b/>
                <w:bCs/>
                <w:sz w:val="18"/>
                <w:szCs w:val="18"/>
                <w:lang w:eastAsia="hr-HR"/>
              </w:rPr>
              <w:t>1</w:t>
            </w:r>
          </w:p>
        </w:tc>
        <w:tc>
          <w:tcPr>
            <w:tcW w:w="446" w:type="dxa"/>
            <w:tcBorders>
              <w:top w:val="nil"/>
              <w:left w:val="nil"/>
              <w:bottom w:val="single" w:sz="4" w:space="0" w:color="auto"/>
              <w:right w:val="single" w:sz="4" w:space="0" w:color="auto"/>
            </w:tcBorders>
            <w:shd w:val="clear" w:color="000000" w:fill="FFFF00"/>
            <w:vAlign w:val="bottom"/>
            <w:hideMark/>
          </w:tcPr>
          <w:p w14:paraId="3C5102A9" w14:textId="77777777" w:rsidR="003D0C85" w:rsidRPr="003D0C85" w:rsidRDefault="003D0C85" w:rsidP="003D0C85">
            <w:pPr>
              <w:spacing w:after="0" w:line="240" w:lineRule="auto"/>
              <w:jc w:val="right"/>
              <w:rPr>
                <w:rFonts w:ascii="Calibri" w:eastAsia="Times New Roman" w:hAnsi="Calibri" w:cs="Calibri"/>
                <w:b/>
                <w:bCs/>
                <w:sz w:val="18"/>
                <w:szCs w:val="18"/>
                <w:lang w:eastAsia="hr-HR"/>
              </w:rPr>
            </w:pPr>
            <w:r w:rsidRPr="003D0C85">
              <w:rPr>
                <w:rFonts w:ascii="Calibri" w:eastAsia="Times New Roman" w:hAnsi="Calibri" w:cs="Calibri"/>
                <w:b/>
                <w:bCs/>
                <w:sz w:val="18"/>
                <w:szCs w:val="18"/>
                <w:lang w:eastAsia="hr-HR"/>
              </w:rPr>
              <w:t>4</w:t>
            </w:r>
          </w:p>
        </w:tc>
        <w:tc>
          <w:tcPr>
            <w:tcW w:w="792" w:type="dxa"/>
            <w:gridSpan w:val="2"/>
            <w:tcBorders>
              <w:top w:val="nil"/>
              <w:left w:val="nil"/>
              <w:bottom w:val="single" w:sz="4" w:space="0" w:color="auto"/>
              <w:right w:val="single" w:sz="4" w:space="0" w:color="auto"/>
            </w:tcBorders>
            <w:shd w:val="clear" w:color="000000" w:fill="FFFF00"/>
            <w:vAlign w:val="bottom"/>
            <w:hideMark/>
          </w:tcPr>
          <w:p w14:paraId="0ADFD328" w14:textId="77777777" w:rsidR="003D0C85" w:rsidRPr="003D0C85" w:rsidRDefault="003D0C85" w:rsidP="003D0C85">
            <w:pPr>
              <w:spacing w:after="0" w:line="240" w:lineRule="auto"/>
              <w:jc w:val="right"/>
              <w:rPr>
                <w:rFonts w:ascii="Calibri" w:eastAsia="Times New Roman" w:hAnsi="Calibri" w:cs="Calibri"/>
                <w:b/>
                <w:bCs/>
                <w:sz w:val="18"/>
                <w:szCs w:val="18"/>
                <w:lang w:eastAsia="hr-HR"/>
              </w:rPr>
            </w:pPr>
            <w:r w:rsidRPr="003D0C85">
              <w:rPr>
                <w:rFonts w:ascii="Calibri" w:eastAsia="Times New Roman" w:hAnsi="Calibri" w:cs="Calibri"/>
                <w:b/>
                <w:bCs/>
                <w:sz w:val="18"/>
                <w:szCs w:val="18"/>
                <w:lang w:eastAsia="hr-HR"/>
              </w:rPr>
              <w:t>14</w:t>
            </w:r>
          </w:p>
        </w:tc>
        <w:tc>
          <w:tcPr>
            <w:tcW w:w="507" w:type="dxa"/>
            <w:gridSpan w:val="2"/>
            <w:tcBorders>
              <w:top w:val="nil"/>
              <w:left w:val="nil"/>
              <w:bottom w:val="single" w:sz="4" w:space="0" w:color="auto"/>
              <w:right w:val="single" w:sz="4" w:space="0" w:color="auto"/>
            </w:tcBorders>
            <w:shd w:val="clear" w:color="000000" w:fill="FFFF00"/>
            <w:vAlign w:val="bottom"/>
            <w:hideMark/>
          </w:tcPr>
          <w:p w14:paraId="47B45D21" w14:textId="77777777" w:rsidR="003D0C85" w:rsidRPr="003D0C85" w:rsidRDefault="003D0C85" w:rsidP="003D0C85">
            <w:pPr>
              <w:spacing w:after="0" w:line="240" w:lineRule="auto"/>
              <w:jc w:val="right"/>
              <w:rPr>
                <w:rFonts w:ascii="Calibri" w:eastAsia="Times New Roman" w:hAnsi="Calibri" w:cs="Calibri"/>
                <w:b/>
                <w:bCs/>
                <w:sz w:val="18"/>
                <w:szCs w:val="18"/>
                <w:lang w:eastAsia="hr-HR"/>
              </w:rPr>
            </w:pPr>
            <w:r w:rsidRPr="003D0C85">
              <w:rPr>
                <w:rFonts w:ascii="Calibri" w:eastAsia="Times New Roman" w:hAnsi="Calibri" w:cs="Calibri"/>
                <w:b/>
                <w:bCs/>
                <w:sz w:val="18"/>
                <w:szCs w:val="18"/>
                <w:lang w:eastAsia="hr-HR"/>
              </w:rPr>
              <w:t>4</w:t>
            </w:r>
          </w:p>
        </w:tc>
        <w:tc>
          <w:tcPr>
            <w:tcW w:w="244" w:type="dxa"/>
            <w:tcBorders>
              <w:top w:val="nil"/>
              <w:left w:val="nil"/>
              <w:bottom w:val="single" w:sz="4" w:space="0" w:color="auto"/>
              <w:right w:val="single" w:sz="4" w:space="0" w:color="auto"/>
            </w:tcBorders>
            <w:shd w:val="clear" w:color="000000" w:fill="FFFF00"/>
            <w:vAlign w:val="bottom"/>
            <w:hideMark/>
          </w:tcPr>
          <w:p w14:paraId="6D658C48" w14:textId="77777777" w:rsidR="003D0C85" w:rsidRPr="003D0C85" w:rsidRDefault="003D0C85" w:rsidP="003D0C85">
            <w:pPr>
              <w:spacing w:after="0" w:line="240" w:lineRule="auto"/>
              <w:jc w:val="right"/>
              <w:rPr>
                <w:rFonts w:ascii="Calibri" w:eastAsia="Times New Roman" w:hAnsi="Calibri" w:cs="Calibri"/>
                <w:b/>
                <w:bCs/>
                <w:sz w:val="18"/>
                <w:szCs w:val="18"/>
                <w:lang w:eastAsia="hr-HR"/>
              </w:rPr>
            </w:pPr>
            <w:r w:rsidRPr="003D0C85">
              <w:rPr>
                <w:rFonts w:ascii="Calibri" w:eastAsia="Times New Roman" w:hAnsi="Calibri" w:cs="Calibri"/>
                <w:b/>
                <w:bCs/>
                <w:sz w:val="18"/>
                <w:szCs w:val="18"/>
                <w:lang w:eastAsia="hr-HR"/>
              </w:rPr>
              <w:t>1</w:t>
            </w:r>
          </w:p>
        </w:tc>
        <w:tc>
          <w:tcPr>
            <w:tcW w:w="425" w:type="dxa"/>
            <w:tcBorders>
              <w:top w:val="nil"/>
              <w:left w:val="nil"/>
              <w:bottom w:val="single" w:sz="4" w:space="0" w:color="auto"/>
              <w:right w:val="single" w:sz="4" w:space="0" w:color="auto"/>
            </w:tcBorders>
            <w:shd w:val="clear" w:color="000000" w:fill="FFFF00"/>
            <w:vAlign w:val="bottom"/>
            <w:hideMark/>
          </w:tcPr>
          <w:p w14:paraId="6BC3A96E" w14:textId="77777777" w:rsidR="003D0C85" w:rsidRPr="003D0C85" w:rsidRDefault="003D0C85" w:rsidP="003D0C85">
            <w:pPr>
              <w:spacing w:after="0" w:line="240" w:lineRule="auto"/>
              <w:jc w:val="right"/>
              <w:rPr>
                <w:rFonts w:ascii="Calibri" w:eastAsia="Times New Roman" w:hAnsi="Calibri" w:cs="Calibri"/>
                <w:b/>
                <w:bCs/>
                <w:sz w:val="18"/>
                <w:szCs w:val="18"/>
                <w:lang w:eastAsia="hr-HR"/>
              </w:rPr>
            </w:pPr>
            <w:r w:rsidRPr="003D0C85">
              <w:rPr>
                <w:rFonts w:ascii="Calibri" w:eastAsia="Times New Roman" w:hAnsi="Calibri" w:cs="Calibri"/>
                <w:b/>
                <w:bCs/>
                <w:sz w:val="18"/>
                <w:szCs w:val="18"/>
                <w:lang w:eastAsia="hr-HR"/>
              </w:rPr>
              <w:t>0</w:t>
            </w:r>
          </w:p>
        </w:tc>
        <w:tc>
          <w:tcPr>
            <w:tcW w:w="607" w:type="dxa"/>
            <w:tcBorders>
              <w:top w:val="nil"/>
              <w:left w:val="nil"/>
              <w:bottom w:val="single" w:sz="4" w:space="0" w:color="auto"/>
              <w:right w:val="single" w:sz="4" w:space="0" w:color="auto"/>
            </w:tcBorders>
            <w:shd w:val="clear" w:color="000000" w:fill="FFFF00"/>
            <w:vAlign w:val="bottom"/>
            <w:hideMark/>
          </w:tcPr>
          <w:p w14:paraId="4C47C3CA" w14:textId="77777777" w:rsidR="003D0C85" w:rsidRPr="003D0C85" w:rsidRDefault="003D0C85" w:rsidP="003D0C85">
            <w:pPr>
              <w:spacing w:after="0" w:line="240" w:lineRule="auto"/>
              <w:jc w:val="right"/>
              <w:rPr>
                <w:rFonts w:ascii="Calibri" w:eastAsia="Times New Roman" w:hAnsi="Calibri" w:cs="Calibri"/>
                <w:b/>
                <w:bCs/>
                <w:sz w:val="18"/>
                <w:szCs w:val="18"/>
                <w:lang w:eastAsia="hr-HR"/>
              </w:rPr>
            </w:pPr>
            <w:r w:rsidRPr="003D0C85">
              <w:rPr>
                <w:rFonts w:ascii="Calibri" w:eastAsia="Times New Roman" w:hAnsi="Calibri" w:cs="Calibri"/>
                <w:b/>
                <w:bCs/>
                <w:sz w:val="18"/>
                <w:szCs w:val="18"/>
                <w:lang w:eastAsia="hr-HR"/>
              </w:rPr>
              <w:t>4</w:t>
            </w:r>
          </w:p>
        </w:tc>
        <w:tc>
          <w:tcPr>
            <w:tcW w:w="425" w:type="dxa"/>
            <w:gridSpan w:val="2"/>
            <w:tcBorders>
              <w:top w:val="nil"/>
              <w:left w:val="nil"/>
              <w:bottom w:val="single" w:sz="4" w:space="0" w:color="auto"/>
              <w:right w:val="single" w:sz="4" w:space="0" w:color="auto"/>
            </w:tcBorders>
            <w:shd w:val="clear" w:color="000000" w:fill="FFFF00"/>
            <w:vAlign w:val="bottom"/>
            <w:hideMark/>
          </w:tcPr>
          <w:p w14:paraId="782F0CB2" w14:textId="77777777" w:rsidR="003D0C85" w:rsidRPr="003D0C85" w:rsidRDefault="003D0C85" w:rsidP="003D0C85">
            <w:pPr>
              <w:spacing w:after="0" w:line="240" w:lineRule="auto"/>
              <w:jc w:val="right"/>
              <w:rPr>
                <w:rFonts w:ascii="Calibri" w:eastAsia="Times New Roman" w:hAnsi="Calibri" w:cs="Calibri"/>
                <w:b/>
                <w:bCs/>
                <w:sz w:val="18"/>
                <w:szCs w:val="18"/>
                <w:lang w:eastAsia="hr-HR"/>
              </w:rPr>
            </w:pPr>
            <w:r w:rsidRPr="003D0C85">
              <w:rPr>
                <w:rFonts w:ascii="Calibri" w:eastAsia="Times New Roman" w:hAnsi="Calibri" w:cs="Calibri"/>
                <w:b/>
                <w:bCs/>
                <w:sz w:val="18"/>
                <w:szCs w:val="18"/>
                <w:lang w:eastAsia="hr-HR"/>
              </w:rPr>
              <w:t>2</w:t>
            </w:r>
          </w:p>
        </w:tc>
        <w:tc>
          <w:tcPr>
            <w:tcW w:w="452" w:type="dxa"/>
            <w:gridSpan w:val="2"/>
            <w:tcBorders>
              <w:top w:val="nil"/>
              <w:left w:val="nil"/>
              <w:bottom w:val="single" w:sz="4" w:space="0" w:color="auto"/>
              <w:right w:val="single" w:sz="4" w:space="0" w:color="auto"/>
            </w:tcBorders>
            <w:shd w:val="clear" w:color="000000" w:fill="FFFF00"/>
            <w:vAlign w:val="bottom"/>
            <w:hideMark/>
          </w:tcPr>
          <w:p w14:paraId="40071395" w14:textId="77777777" w:rsidR="003D0C85" w:rsidRPr="003D0C85" w:rsidRDefault="003D0C85" w:rsidP="003D0C85">
            <w:pPr>
              <w:spacing w:after="0" w:line="240" w:lineRule="auto"/>
              <w:jc w:val="right"/>
              <w:rPr>
                <w:rFonts w:ascii="Calibri" w:eastAsia="Times New Roman" w:hAnsi="Calibri" w:cs="Calibri"/>
                <w:b/>
                <w:bCs/>
                <w:sz w:val="18"/>
                <w:szCs w:val="18"/>
                <w:lang w:eastAsia="hr-HR"/>
              </w:rPr>
            </w:pPr>
            <w:r w:rsidRPr="003D0C85">
              <w:rPr>
                <w:rFonts w:ascii="Calibri" w:eastAsia="Times New Roman" w:hAnsi="Calibri" w:cs="Calibri"/>
                <w:b/>
                <w:bCs/>
                <w:sz w:val="18"/>
                <w:szCs w:val="18"/>
                <w:lang w:eastAsia="hr-HR"/>
              </w:rPr>
              <w:t>3</w:t>
            </w:r>
          </w:p>
        </w:tc>
        <w:tc>
          <w:tcPr>
            <w:tcW w:w="236" w:type="dxa"/>
            <w:gridSpan w:val="3"/>
            <w:vAlign w:val="center"/>
            <w:hideMark/>
          </w:tcPr>
          <w:p w14:paraId="6A870BF9" w14:textId="77777777" w:rsidR="003D0C85" w:rsidRPr="003D0C85" w:rsidRDefault="003D0C85" w:rsidP="003D0C85">
            <w:pPr>
              <w:spacing w:after="0" w:line="240" w:lineRule="auto"/>
              <w:rPr>
                <w:rFonts w:ascii="Times New Roman" w:eastAsia="Times New Roman" w:hAnsi="Times New Roman" w:cs="Times New Roman"/>
                <w:sz w:val="18"/>
                <w:szCs w:val="18"/>
                <w:lang w:eastAsia="hr-HR"/>
              </w:rPr>
            </w:pPr>
          </w:p>
        </w:tc>
      </w:tr>
    </w:tbl>
    <w:p w14:paraId="7A75F422" w14:textId="77777777" w:rsidR="003D0C85" w:rsidRPr="005E671C" w:rsidRDefault="003D0C85" w:rsidP="001752B7">
      <w:pPr>
        <w:rPr>
          <w:rFonts w:ascii="Times New Roman" w:hAnsi="Times New Roman" w:cs="Times New Roman"/>
          <w:sz w:val="24"/>
          <w:szCs w:val="24"/>
        </w:rPr>
      </w:pPr>
    </w:p>
    <w:p w14:paraId="1499E63C" w14:textId="3AB796C7" w:rsidR="001752B7" w:rsidRDefault="001752B7" w:rsidP="005E671C">
      <w:pPr>
        <w:rPr>
          <w:rFonts w:ascii="Times New Roman" w:eastAsiaTheme="majorEastAsia" w:hAnsi="Times New Roman" w:cs="Times New Roman"/>
          <w:b/>
          <w:bCs/>
          <w:sz w:val="24"/>
          <w:szCs w:val="24"/>
          <w:u w:val="single"/>
        </w:rPr>
      </w:pPr>
    </w:p>
    <w:p w14:paraId="30201D65" w14:textId="5B148202" w:rsidR="001752B7" w:rsidRDefault="001752B7" w:rsidP="005E671C">
      <w:pPr>
        <w:rPr>
          <w:rFonts w:ascii="Times New Roman" w:eastAsiaTheme="majorEastAsia" w:hAnsi="Times New Roman" w:cs="Times New Roman"/>
          <w:b/>
          <w:bCs/>
          <w:sz w:val="24"/>
          <w:szCs w:val="24"/>
          <w:u w:val="single"/>
        </w:rPr>
      </w:pPr>
    </w:p>
    <w:p w14:paraId="3CCC6A28" w14:textId="09115BCC" w:rsidR="001752B7" w:rsidRDefault="001752B7" w:rsidP="005E671C">
      <w:pPr>
        <w:rPr>
          <w:rFonts w:ascii="Times New Roman" w:eastAsiaTheme="majorEastAsia" w:hAnsi="Times New Roman" w:cs="Times New Roman"/>
          <w:b/>
          <w:bCs/>
          <w:sz w:val="24"/>
          <w:szCs w:val="24"/>
          <w:u w:val="single"/>
        </w:rPr>
      </w:pPr>
    </w:p>
    <w:p w14:paraId="68B8CE09" w14:textId="77777777" w:rsidR="0078259C" w:rsidRDefault="0078259C">
      <w:pPr>
        <w:rPr>
          <w:rFonts w:ascii="Times New Roman" w:eastAsiaTheme="majorEastAsia" w:hAnsi="Times New Roman" w:cs="Times New Roman"/>
          <w:b/>
          <w:bCs/>
          <w:sz w:val="24"/>
          <w:szCs w:val="24"/>
          <w:u w:val="single"/>
        </w:rPr>
      </w:pPr>
      <w:r>
        <w:rPr>
          <w:rFonts w:ascii="Times New Roman" w:eastAsiaTheme="majorEastAsia" w:hAnsi="Times New Roman" w:cs="Times New Roman"/>
          <w:b/>
          <w:bCs/>
          <w:sz w:val="24"/>
          <w:szCs w:val="24"/>
          <w:u w:val="single"/>
        </w:rPr>
        <w:br w:type="page"/>
      </w:r>
    </w:p>
    <w:p w14:paraId="3B478063" w14:textId="035ED909" w:rsidR="001752B7" w:rsidRDefault="001752B7" w:rsidP="001752B7">
      <w:pPr>
        <w:rPr>
          <w:rFonts w:ascii="Times New Roman" w:eastAsiaTheme="majorEastAsia" w:hAnsi="Times New Roman" w:cs="Times New Roman"/>
          <w:b/>
          <w:bCs/>
          <w:sz w:val="24"/>
          <w:szCs w:val="24"/>
          <w:u w:val="single"/>
        </w:rPr>
      </w:pPr>
      <w:r w:rsidRPr="005E671C">
        <w:rPr>
          <w:rFonts w:ascii="Times New Roman" w:eastAsiaTheme="majorEastAsia" w:hAnsi="Times New Roman" w:cs="Times New Roman"/>
          <w:b/>
          <w:bCs/>
          <w:sz w:val="24"/>
          <w:szCs w:val="24"/>
          <w:u w:val="single"/>
        </w:rPr>
        <w:lastRenderedPageBreak/>
        <w:t>Prilog</w:t>
      </w:r>
      <w:r>
        <w:rPr>
          <w:rFonts w:ascii="Times New Roman" w:eastAsiaTheme="majorEastAsia" w:hAnsi="Times New Roman" w:cs="Times New Roman"/>
          <w:b/>
          <w:bCs/>
          <w:sz w:val="24"/>
          <w:szCs w:val="24"/>
          <w:u w:val="single"/>
        </w:rPr>
        <w:t xml:space="preserve"> 8</w:t>
      </w:r>
    </w:p>
    <w:p w14:paraId="41152B4F" w14:textId="157F250A" w:rsidR="001752B7" w:rsidRDefault="001752B7" w:rsidP="001752B7">
      <w:pPr>
        <w:rPr>
          <w:rFonts w:ascii="Times New Roman" w:hAnsi="Times New Roman" w:cs="Times New Roman"/>
          <w:sz w:val="24"/>
          <w:szCs w:val="24"/>
        </w:rPr>
      </w:pPr>
      <w:r w:rsidRPr="005E671C">
        <w:rPr>
          <w:rFonts w:ascii="Times New Roman" w:hAnsi="Times New Roman" w:cs="Times New Roman"/>
          <w:sz w:val="24"/>
          <w:szCs w:val="24"/>
        </w:rPr>
        <w:t>PREKRŠAJNI SUDOVI - UKUPNO 201</w:t>
      </w:r>
      <w:r>
        <w:rPr>
          <w:rFonts w:ascii="Times New Roman" w:hAnsi="Times New Roman" w:cs="Times New Roman"/>
          <w:sz w:val="24"/>
          <w:szCs w:val="24"/>
        </w:rPr>
        <w:t>9</w:t>
      </w:r>
      <w:r w:rsidRPr="005E671C">
        <w:rPr>
          <w:rFonts w:ascii="Times New Roman" w:hAnsi="Times New Roman" w:cs="Times New Roman"/>
          <w:sz w:val="24"/>
          <w:szCs w:val="24"/>
        </w:rPr>
        <w:t>. godin</w:t>
      </w:r>
      <w:r>
        <w:rPr>
          <w:rFonts w:ascii="Times New Roman" w:hAnsi="Times New Roman" w:cs="Times New Roman"/>
          <w:sz w:val="24"/>
          <w:szCs w:val="24"/>
        </w:rPr>
        <w:t>a</w:t>
      </w:r>
    </w:p>
    <w:tbl>
      <w:tblPr>
        <w:tblW w:w="14564" w:type="dxa"/>
        <w:tblLayout w:type="fixed"/>
        <w:tblLook w:val="04A0" w:firstRow="1" w:lastRow="0" w:firstColumn="1" w:lastColumn="0" w:noHBand="0" w:noVBand="1"/>
      </w:tblPr>
      <w:tblGrid>
        <w:gridCol w:w="1394"/>
        <w:gridCol w:w="575"/>
        <w:gridCol w:w="488"/>
        <w:gridCol w:w="500"/>
        <w:gridCol w:w="435"/>
        <w:gridCol w:w="426"/>
        <w:gridCol w:w="425"/>
        <w:gridCol w:w="567"/>
        <w:gridCol w:w="567"/>
        <w:gridCol w:w="437"/>
        <w:gridCol w:w="413"/>
        <w:gridCol w:w="58"/>
        <w:gridCol w:w="225"/>
        <w:gridCol w:w="568"/>
        <w:gridCol w:w="425"/>
        <w:gridCol w:w="85"/>
        <w:gridCol w:w="340"/>
        <w:gridCol w:w="437"/>
        <w:gridCol w:w="556"/>
        <w:gridCol w:w="425"/>
        <w:gridCol w:w="119"/>
        <w:gridCol w:w="448"/>
        <w:gridCol w:w="122"/>
        <w:gridCol w:w="456"/>
        <w:gridCol w:w="124"/>
        <w:gridCol w:w="715"/>
        <w:gridCol w:w="124"/>
        <w:gridCol w:w="302"/>
        <w:gridCol w:w="446"/>
        <w:gridCol w:w="404"/>
        <w:gridCol w:w="151"/>
        <w:gridCol w:w="688"/>
        <w:gridCol w:w="839"/>
        <w:gridCol w:w="23"/>
        <w:gridCol w:w="213"/>
        <w:gridCol w:w="23"/>
        <w:gridCol w:w="21"/>
      </w:tblGrid>
      <w:tr w:rsidR="0078259C" w:rsidRPr="0078259C" w14:paraId="3F6C4CD3" w14:textId="77777777" w:rsidTr="0078259C">
        <w:trPr>
          <w:gridAfter w:val="3"/>
          <w:wAfter w:w="257" w:type="dxa"/>
          <w:trHeight w:val="450"/>
        </w:trPr>
        <w:tc>
          <w:tcPr>
            <w:tcW w:w="1394" w:type="dxa"/>
            <w:vMerge w:val="restart"/>
            <w:tcBorders>
              <w:top w:val="single" w:sz="8" w:space="0" w:color="auto"/>
              <w:left w:val="single" w:sz="8" w:space="0" w:color="auto"/>
              <w:bottom w:val="single" w:sz="4" w:space="0" w:color="auto"/>
              <w:right w:val="single" w:sz="4" w:space="0" w:color="auto"/>
            </w:tcBorders>
            <w:shd w:val="clear" w:color="000000" w:fill="CCFFCC"/>
            <w:vAlign w:val="center"/>
            <w:hideMark/>
          </w:tcPr>
          <w:p w14:paraId="2793BA43" w14:textId="77777777" w:rsidR="0078259C" w:rsidRPr="0078259C" w:rsidRDefault="0078259C" w:rsidP="0078259C">
            <w:pPr>
              <w:spacing w:after="0" w:line="240" w:lineRule="auto"/>
              <w:jc w:val="center"/>
              <w:rPr>
                <w:rFonts w:ascii="Calibri" w:eastAsia="Times New Roman" w:hAnsi="Calibri" w:cs="Calibri"/>
                <w:sz w:val="18"/>
                <w:szCs w:val="18"/>
                <w:lang w:eastAsia="hr-HR"/>
              </w:rPr>
            </w:pPr>
            <w:r w:rsidRPr="0078259C">
              <w:rPr>
                <w:rFonts w:ascii="Calibri" w:eastAsia="Times New Roman" w:hAnsi="Calibri" w:cs="Calibri"/>
                <w:sz w:val="18"/>
                <w:szCs w:val="18"/>
                <w:lang w:eastAsia="hr-HR"/>
              </w:rPr>
              <w:t xml:space="preserve">OSNOVE DISKRIMINACIJE </w:t>
            </w:r>
          </w:p>
        </w:tc>
        <w:tc>
          <w:tcPr>
            <w:tcW w:w="12913" w:type="dxa"/>
            <w:gridSpan w:val="33"/>
            <w:vMerge w:val="restart"/>
            <w:tcBorders>
              <w:top w:val="single" w:sz="8" w:space="0" w:color="auto"/>
              <w:left w:val="single" w:sz="4" w:space="0" w:color="auto"/>
              <w:bottom w:val="single" w:sz="4" w:space="0" w:color="000000"/>
              <w:right w:val="single" w:sz="8" w:space="0" w:color="000000"/>
            </w:tcBorders>
            <w:shd w:val="clear" w:color="000000" w:fill="CCFFCC"/>
            <w:noWrap/>
            <w:vAlign w:val="center"/>
            <w:hideMark/>
          </w:tcPr>
          <w:p w14:paraId="695D6804" w14:textId="77777777" w:rsidR="0078259C" w:rsidRPr="0078259C" w:rsidRDefault="0078259C" w:rsidP="0078259C">
            <w:pPr>
              <w:spacing w:after="0" w:line="240" w:lineRule="auto"/>
              <w:jc w:val="center"/>
              <w:rPr>
                <w:rFonts w:ascii="Calibri" w:eastAsia="Times New Roman" w:hAnsi="Calibri" w:cs="Calibri"/>
                <w:b/>
                <w:bCs/>
                <w:sz w:val="18"/>
                <w:szCs w:val="18"/>
                <w:lang w:eastAsia="hr-HR"/>
              </w:rPr>
            </w:pPr>
            <w:r w:rsidRPr="0078259C">
              <w:rPr>
                <w:rFonts w:ascii="Calibri" w:eastAsia="Times New Roman" w:hAnsi="Calibri" w:cs="Calibri"/>
                <w:b/>
                <w:bCs/>
                <w:sz w:val="18"/>
                <w:szCs w:val="18"/>
                <w:lang w:eastAsia="hr-HR"/>
              </w:rPr>
              <w:t>P R E K R Š A J N I     P R E D M E T I</w:t>
            </w:r>
          </w:p>
        </w:tc>
      </w:tr>
      <w:tr w:rsidR="0078259C" w:rsidRPr="0078259C" w14:paraId="1970C047" w14:textId="77777777" w:rsidTr="0078259C">
        <w:trPr>
          <w:trHeight w:val="300"/>
        </w:trPr>
        <w:tc>
          <w:tcPr>
            <w:tcW w:w="1394" w:type="dxa"/>
            <w:vMerge/>
            <w:tcBorders>
              <w:top w:val="single" w:sz="8" w:space="0" w:color="auto"/>
              <w:left w:val="single" w:sz="8" w:space="0" w:color="auto"/>
              <w:bottom w:val="single" w:sz="4" w:space="0" w:color="auto"/>
              <w:right w:val="single" w:sz="4" w:space="0" w:color="auto"/>
            </w:tcBorders>
            <w:vAlign w:val="center"/>
            <w:hideMark/>
          </w:tcPr>
          <w:p w14:paraId="38CC1FA8" w14:textId="77777777" w:rsidR="0078259C" w:rsidRPr="0078259C" w:rsidRDefault="0078259C" w:rsidP="0078259C">
            <w:pPr>
              <w:spacing w:after="0" w:line="240" w:lineRule="auto"/>
              <w:rPr>
                <w:rFonts w:ascii="Calibri" w:eastAsia="Times New Roman" w:hAnsi="Calibri" w:cs="Calibri"/>
                <w:sz w:val="18"/>
                <w:szCs w:val="18"/>
                <w:lang w:eastAsia="hr-HR"/>
              </w:rPr>
            </w:pPr>
          </w:p>
        </w:tc>
        <w:tc>
          <w:tcPr>
            <w:tcW w:w="12913" w:type="dxa"/>
            <w:gridSpan w:val="33"/>
            <w:vMerge/>
            <w:tcBorders>
              <w:top w:val="single" w:sz="8" w:space="0" w:color="auto"/>
              <w:left w:val="single" w:sz="4" w:space="0" w:color="auto"/>
              <w:bottom w:val="single" w:sz="4" w:space="0" w:color="000000"/>
              <w:right w:val="single" w:sz="8" w:space="0" w:color="000000"/>
            </w:tcBorders>
            <w:vAlign w:val="center"/>
            <w:hideMark/>
          </w:tcPr>
          <w:p w14:paraId="09E7442E" w14:textId="77777777" w:rsidR="0078259C" w:rsidRPr="0078259C" w:rsidRDefault="0078259C" w:rsidP="0078259C">
            <w:pPr>
              <w:spacing w:after="0" w:line="240" w:lineRule="auto"/>
              <w:rPr>
                <w:rFonts w:ascii="Calibri" w:eastAsia="Times New Roman" w:hAnsi="Calibri" w:cs="Calibri"/>
                <w:b/>
                <w:bCs/>
                <w:sz w:val="18"/>
                <w:szCs w:val="18"/>
                <w:lang w:eastAsia="hr-HR"/>
              </w:rPr>
            </w:pPr>
          </w:p>
        </w:tc>
        <w:tc>
          <w:tcPr>
            <w:tcW w:w="257" w:type="dxa"/>
            <w:gridSpan w:val="3"/>
            <w:tcBorders>
              <w:top w:val="nil"/>
              <w:left w:val="nil"/>
              <w:bottom w:val="nil"/>
              <w:right w:val="nil"/>
            </w:tcBorders>
            <w:shd w:val="clear" w:color="auto" w:fill="auto"/>
            <w:noWrap/>
            <w:vAlign w:val="bottom"/>
            <w:hideMark/>
          </w:tcPr>
          <w:p w14:paraId="082F4B84" w14:textId="77777777" w:rsidR="0078259C" w:rsidRPr="0078259C" w:rsidRDefault="0078259C" w:rsidP="0078259C">
            <w:pPr>
              <w:spacing w:after="0" w:line="240" w:lineRule="auto"/>
              <w:jc w:val="center"/>
              <w:rPr>
                <w:rFonts w:ascii="Calibri" w:eastAsia="Times New Roman" w:hAnsi="Calibri" w:cs="Calibri"/>
                <w:b/>
                <w:bCs/>
                <w:sz w:val="18"/>
                <w:szCs w:val="18"/>
                <w:lang w:eastAsia="hr-HR"/>
              </w:rPr>
            </w:pPr>
          </w:p>
        </w:tc>
      </w:tr>
      <w:tr w:rsidR="0078259C" w:rsidRPr="0078259C" w14:paraId="62C021EB" w14:textId="77777777" w:rsidTr="0078259C">
        <w:trPr>
          <w:gridAfter w:val="1"/>
          <w:wAfter w:w="21" w:type="dxa"/>
          <w:trHeight w:val="765"/>
        </w:trPr>
        <w:tc>
          <w:tcPr>
            <w:tcW w:w="1394" w:type="dxa"/>
            <w:vMerge/>
            <w:tcBorders>
              <w:top w:val="single" w:sz="8" w:space="0" w:color="auto"/>
              <w:left w:val="single" w:sz="8" w:space="0" w:color="auto"/>
              <w:bottom w:val="single" w:sz="4" w:space="0" w:color="auto"/>
              <w:right w:val="single" w:sz="4" w:space="0" w:color="auto"/>
            </w:tcBorders>
            <w:vAlign w:val="center"/>
            <w:hideMark/>
          </w:tcPr>
          <w:p w14:paraId="158D158C" w14:textId="77777777" w:rsidR="0078259C" w:rsidRPr="0078259C" w:rsidRDefault="0078259C" w:rsidP="0078259C">
            <w:pPr>
              <w:spacing w:after="0" w:line="240" w:lineRule="auto"/>
              <w:rPr>
                <w:rFonts w:ascii="Calibri" w:eastAsia="Times New Roman" w:hAnsi="Calibri" w:cs="Calibri"/>
                <w:sz w:val="18"/>
                <w:szCs w:val="18"/>
                <w:lang w:eastAsia="hr-HR"/>
              </w:rPr>
            </w:pPr>
          </w:p>
        </w:tc>
        <w:tc>
          <w:tcPr>
            <w:tcW w:w="575" w:type="dxa"/>
            <w:vMerge w:val="restart"/>
            <w:tcBorders>
              <w:top w:val="nil"/>
              <w:left w:val="single" w:sz="4" w:space="0" w:color="auto"/>
              <w:bottom w:val="single" w:sz="4" w:space="0" w:color="auto"/>
              <w:right w:val="single" w:sz="4" w:space="0" w:color="auto"/>
            </w:tcBorders>
            <w:shd w:val="clear" w:color="000000" w:fill="CCFFCC"/>
            <w:textDirection w:val="btLr"/>
            <w:vAlign w:val="center"/>
            <w:hideMark/>
          </w:tcPr>
          <w:p w14:paraId="608066B6" w14:textId="77777777" w:rsidR="0078259C" w:rsidRPr="0078259C" w:rsidRDefault="0078259C" w:rsidP="0078259C">
            <w:pPr>
              <w:spacing w:after="0" w:line="240" w:lineRule="auto"/>
              <w:jc w:val="center"/>
              <w:rPr>
                <w:rFonts w:ascii="Tahoma" w:eastAsia="Times New Roman" w:hAnsi="Tahoma" w:cs="Tahoma"/>
                <w:b/>
                <w:bCs/>
                <w:sz w:val="18"/>
                <w:szCs w:val="18"/>
                <w:lang w:eastAsia="hr-HR"/>
              </w:rPr>
            </w:pPr>
            <w:r w:rsidRPr="0078259C">
              <w:rPr>
                <w:rFonts w:ascii="Tahoma" w:eastAsia="Times New Roman" w:hAnsi="Tahoma" w:cs="Tahoma"/>
                <w:b/>
                <w:bCs/>
                <w:sz w:val="18"/>
                <w:szCs w:val="18"/>
                <w:lang w:eastAsia="hr-HR"/>
              </w:rPr>
              <w:t xml:space="preserve">Broj </w:t>
            </w:r>
            <w:proofErr w:type="spellStart"/>
            <w:r w:rsidRPr="0078259C">
              <w:rPr>
                <w:rFonts w:ascii="Tahoma" w:eastAsia="Times New Roman" w:hAnsi="Tahoma" w:cs="Tahoma"/>
                <w:b/>
                <w:bCs/>
                <w:sz w:val="18"/>
                <w:szCs w:val="18"/>
                <w:lang w:eastAsia="hr-HR"/>
              </w:rPr>
              <w:t>nerješenih</w:t>
            </w:r>
            <w:proofErr w:type="spellEnd"/>
            <w:r w:rsidRPr="0078259C">
              <w:rPr>
                <w:rFonts w:ascii="Tahoma" w:eastAsia="Times New Roman" w:hAnsi="Tahoma" w:cs="Tahoma"/>
                <w:b/>
                <w:bCs/>
                <w:sz w:val="18"/>
                <w:szCs w:val="18"/>
                <w:lang w:eastAsia="hr-HR"/>
              </w:rPr>
              <w:t xml:space="preserve"> predmeta na početku razdoblja</w:t>
            </w:r>
          </w:p>
        </w:tc>
        <w:tc>
          <w:tcPr>
            <w:tcW w:w="488" w:type="dxa"/>
            <w:vMerge w:val="restart"/>
            <w:tcBorders>
              <w:top w:val="nil"/>
              <w:left w:val="single" w:sz="4" w:space="0" w:color="auto"/>
              <w:bottom w:val="single" w:sz="4" w:space="0" w:color="auto"/>
              <w:right w:val="single" w:sz="4" w:space="0" w:color="000000"/>
            </w:tcBorders>
            <w:shd w:val="clear" w:color="000000" w:fill="CCFFCC"/>
            <w:textDirection w:val="btLr"/>
            <w:vAlign w:val="center"/>
            <w:hideMark/>
          </w:tcPr>
          <w:p w14:paraId="38F13F91" w14:textId="77777777" w:rsidR="0078259C" w:rsidRPr="0078259C" w:rsidRDefault="0078259C" w:rsidP="0078259C">
            <w:pPr>
              <w:spacing w:after="0" w:line="240" w:lineRule="auto"/>
              <w:jc w:val="center"/>
              <w:rPr>
                <w:rFonts w:ascii="Tahoma" w:eastAsia="Times New Roman" w:hAnsi="Tahoma" w:cs="Tahoma"/>
                <w:b/>
                <w:bCs/>
                <w:sz w:val="18"/>
                <w:szCs w:val="18"/>
                <w:lang w:eastAsia="hr-HR"/>
              </w:rPr>
            </w:pPr>
            <w:r w:rsidRPr="0078259C">
              <w:rPr>
                <w:rFonts w:ascii="Tahoma" w:eastAsia="Times New Roman" w:hAnsi="Tahoma" w:cs="Tahoma"/>
                <w:b/>
                <w:bCs/>
                <w:sz w:val="18"/>
                <w:szCs w:val="18"/>
                <w:lang w:eastAsia="hr-HR"/>
              </w:rPr>
              <w:t xml:space="preserve">Broj primljenih predmeta </w:t>
            </w:r>
          </w:p>
        </w:tc>
        <w:tc>
          <w:tcPr>
            <w:tcW w:w="500" w:type="dxa"/>
            <w:vMerge w:val="restart"/>
            <w:tcBorders>
              <w:top w:val="nil"/>
              <w:left w:val="single" w:sz="4" w:space="0" w:color="auto"/>
              <w:bottom w:val="single" w:sz="4" w:space="0" w:color="000000"/>
              <w:right w:val="single" w:sz="4" w:space="0" w:color="auto"/>
            </w:tcBorders>
            <w:shd w:val="clear" w:color="000000" w:fill="CCFFCC"/>
            <w:textDirection w:val="btLr"/>
            <w:vAlign w:val="center"/>
            <w:hideMark/>
          </w:tcPr>
          <w:p w14:paraId="1A206349" w14:textId="77777777" w:rsidR="0078259C" w:rsidRPr="0078259C" w:rsidRDefault="0078259C" w:rsidP="0078259C">
            <w:pPr>
              <w:spacing w:after="0" w:line="240" w:lineRule="auto"/>
              <w:jc w:val="center"/>
              <w:rPr>
                <w:rFonts w:ascii="Tahoma" w:eastAsia="Times New Roman" w:hAnsi="Tahoma" w:cs="Tahoma"/>
                <w:b/>
                <w:bCs/>
                <w:sz w:val="18"/>
                <w:szCs w:val="18"/>
                <w:lang w:eastAsia="hr-HR"/>
              </w:rPr>
            </w:pPr>
            <w:r w:rsidRPr="0078259C">
              <w:rPr>
                <w:rFonts w:ascii="Tahoma" w:eastAsia="Times New Roman" w:hAnsi="Tahoma" w:cs="Tahoma"/>
                <w:b/>
                <w:bCs/>
                <w:sz w:val="18"/>
                <w:szCs w:val="18"/>
                <w:lang w:eastAsia="hr-HR"/>
              </w:rPr>
              <w:t>Broj primljenih predmeta po ZPSS</w:t>
            </w:r>
          </w:p>
        </w:tc>
        <w:tc>
          <w:tcPr>
            <w:tcW w:w="861" w:type="dxa"/>
            <w:gridSpan w:val="2"/>
            <w:tcBorders>
              <w:top w:val="single" w:sz="4" w:space="0" w:color="auto"/>
              <w:left w:val="nil"/>
              <w:bottom w:val="single" w:sz="4" w:space="0" w:color="auto"/>
              <w:right w:val="single" w:sz="4" w:space="0" w:color="000000"/>
            </w:tcBorders>
            <w:shd w:val="clear" w:color="000000" w:fill="CCFFCC"/>
            <w:vAlign w:val="center"/>
            <w:hideMark/>
          </w:tcPr>
          <w:p w14:paraId="678DB78A" w14:textId="77777777" w:rsidR="0078259C" w:rsidRPr="0078259C" w:rsidRDefault="0078259C" w:rsidP="0078259C">
            <w:pPr>
              <w:spacing w:after="0" w:line="240" w:lineRule="auto"/>
              <w:jc w:val="center"/>
              <w:rPr>
                <w:rFonts w:ascii="Tahoma" w:eastAsia="Times New Roman" w:hAnsi="Tahoma" w:cs="Tahoma"/>
                <w:sz w:val="18"/>
                <w:szCs w:val="18"/>
                <w:lang w:eastAsia="hr-HR"/>
              </w:rPr>
            </w:pPr>
            <w:r w:rsidRPr="0078259C">
              <w:rPr>
                <w:rFonts w:ascii="Tahoma" w:eastAsia="Times New Roman" w:hAnsi="Tahoma" w:cs="Tahoma"/>
                <w:sz w:val="18"/>
                <w:szCs w:val="18"/>
                <w:lang w:eastAsia="hr-HR"/>
              </w:rPr>
              <w:t>Broj diskriminiranih osoba prema prijavi</w:t>
            </w:r>
          </w:p>
        </w:tc>
        <w:tc>
          <w:tcPr>
            <w:tcW w:w="2467" w:type="dxa"/>
            <w:gridSpan w:val="6"/>
            <w:tcBorders>
              <w:top w:val="single" w:sz="4" w:space="0" w:color="auto"/>
              <w:left w:val="nil"/>
              <w:bottom w:val="single" w:sz="4" w:space="0" w:color="auto"/>
              <w:right w:val="single" w:sz="4" w:space="0" w:color="auto"/>
            </w:tcBorders>
            <w:shd w:val="clear" w:color="000000" w:fill="CCFFCC"/>
            <w:vAlign w:val="center"/>
            <w:hideMark/>
          </w:tcPr>
          <w:p w14:paraId="42C72909" w14:textId="77777777" w:rsidR="0078259C" w:rsidRPr="0078259C" w:rsidRDefault="0078259C" w:rsidP="0078259C">
            <w:pPr>
              <w:spacing w:after="0" w:line="240" w:lineRule="auto"/>
              <w:jc w:val="center"/>
              <w:rPr>
                <w:rFonts w:ascii="Calibri" w:eastAsia="Times New Roman" w:hAnsi="Calibri" w:cs="Calibri"/>
                <w:b/>
                <w:bCs/>
                <w:sz w:val="18"/>
                <w:szCs w:val="18"/>
                <w:lang w:eastAsia="hr-HR"/>
              </w:rPr>
            </w:pPr>
            <w:r w:rsidRPr="0078259C">
              <w:rPr>
                <w:rFonts w:ascii="Calibri" w:eastAsia="Times New Roman" w:hAnsi="Calibri" w:cs="Calibri"/>
                <w:b/>
                <w:bCs/>
                <w:sz w:val="18"/>
                <w:szCs w:val="18"/>
                <w:lang w:eastAsia="hr-HR"/>
              </w:rPr>
              <w:t>PREKRŠAJ</w:t>
            </w:r>
          </w:p>
        </w:tc>
        <w:tc>
          <w:tcPr>
            <w:tcW w:w="1303" w:type="dxa"/>
            <w:gridSpan w:val="4"/>
            <w:tcBorders>
              <w:top w:val="single" w:sz="4" w:space="0" w:color="auto"/>
              <w:left w:val="nil"/>
              <w:bottom w:val="single" w:sz="4" w:space="0" w:color="auto"/>
              <w:right w:val="single" w:sz="4" w:space="0" w:color="auto"/>
            </w:tcBorders>
            <w:shd w:val="clear" w:color="000000" w:fill="CCFFCC"/>
            <w:vAlign w:val="center"/>
            <w:hideMark/>
          </w:tcPr>
          <w:p w14:paraId="6D7E1A6E" w14:textId="77777777" w:rsidR="0078259C" w:rsidRPr="0078259C" w:rsidRDefault="0078259C" w:rsidP="0078259C">
            <w:pPr>
              <w:spacing w:after="0" w:line="240" w:lineRule="auto"/>
              <w:jc w:val="center"/>
              <w:rPr>
                <w:rFonts w:ascii="Calibri" w:eastAsia="Times New Roman" w:hAnsi="Calibri" w:cs="Calibri"/>
                <w:b/>
                <w:bCs/>
                <w:sz w:val="18"/>
                <w:szCs w:val="18"/>
                <w:lang w:eastAsia="hr-HR"/>
              </w:rPr>
            </w:pPr>
            <w:r w:rsidRPr="0078259C">
              <w:rPr>
                <w:rFonts w:ascii="Calibri" w:eastAsia="Times New Roman" w:hAnsi="Calibri" w:cs="Calibri"/>
                <w:b/>
                <w:bCs/>
                <w:sz w:val="18"/>
                <w:szCs w:val="18"/>
                <w:lang w:eastAsia="hr-HR"/>
              </w:rPr>
              <w:t>PRAVOMOĆNO RIJEŠENO</w:t>
            </w:r>
          </w:p>
        </w:tc>
        <w:tc>
          <w:tcPr>
            <w:tcW w:w="1877" w:type="dxa"/>
            <w:gridSpan w:val="5"/>
            <w:tcBorders>
              <w:top w:val="single" w:sz="4" w:space="0" w:color="auto"/>
              <w:left w:val="nil"/>
              <w:bottom w:val="single" w:sz="4" w:space="0" w:color="auto"/>
              <w:right w:val="single" w:sz="4" w:space="0" w:color="000000"/>
            </w:tcBorders>
            <w:shd w:val="clear" w:color="000000" w:fill="CCFFCC"/>
            <w:vAlign w:val="center"/>
            <w:hideMark/>
          </w:tcPr>
          <w:p w14:paraId="19C8D7D6" w14:textId="77777777" w:rsidR="0078259C" w:rsidRPr="0078259C" w:rsidRDefault="0078259C" w:rsidP="0078259C">
            <w:pPr>
              <w:spacing w:after="0" w:line="240" w:lineRule="auto"/>
              <w:jc w:val="center"/>
              <w:rPr>
                <w:rFonts w:ascii="Calibri" w:eastAsia="Times New Roman" w:hAnsi="Calibri" w:cs="Calibri"/>
                <w:b/>
                <w:bCs/>
                <w:sz w:val="18"/>
                <w:szCs w:val="18"/>
                <w:lang w:eastAsia="hr-HR"/>
              </w:rPr>
            </w:pPr>
            <w:r w:rsidRPr="0078259C">
              <w:rPr>
                <w:rFonts w:ascii="Calibri" w:eastAsia="Times New Roman" w:hAnsi="Calibri" w:cs="Calibri"/>
                <w:b/>
                <w:bCs/>
                <w:sz w:val="18"/>
                <w:szCs w:val="18"/>
                <w:lang w:eastAsia="hr-HR"/>
              </w:rPr>
              <w:t>Broj i vrsta kazni</w:t>
            </w:r>
          </w:p>
        </w:tc>
        <w:tc>
          <w:tcPr>
            <w:tcW w:w="570" w:type="dxa"/>
            <w:gridSpan w:val="2"/>
            <w:tcBorders>
              <w:top w:val="nil"/>
              <w:left w:val="single" w:sz="4" w:space="0" w:color="auto"/>
              <w:bottom w:val="single" w:sz="4" w:space="0" w:color="000000"/>
              <w:right w:val="single" w:sz="4" w:space="0" w:color="auto"/>
            </w:tcBorders>
            <w:shd w:val="clear" w:color="000000" w:fill="CCFFCC"/>
            <w:textDirection w:val="btLr"/>
            <w:vAlign w:val="center"/>
            <w:hideMark/>
          </w:tcPr>
          <w:p w14:paraId="490CF98B" w14:textId="77777777" w:rsidR="0078259C" w:rsidRPr="0078259C" w:rsidRDefault="0078259C" w:rsidP="0078259C">
            <w:pPr>
              <w:spacing w:after="0" w:line="240" w:lineRule="auto"/>
              <w:jc w:val="center"/>
              <w:rPr>
                <w:rFonts w:ascii="Calibri" w:eastAsia="Times New Roman" w:hAnsi="Calibri" w:cs="Calibri"/>
                <w:b/>
                <w:bCs/>
                <w:sz w:val="18"/>
                <w:szCs w:val="18"/>
                <w:lang w:eastAsia="hr-HR"/>
              </w:rPr>
            </w:pPr>
            <w:r w:rsidRPr="0078259C">
              <w:rPr>
                <w:rFonts w:ascii="Calibri" w:eastAsia="Times New Roman" w:hAnsi="Calibri" w:cs="Calibri"/>
                <w:b/>
                <w:bCs/>
                <w:sz w:val="18"/>
                <w:szCs w:val="18"/>
                <w:lang w:eastAsia="hr-HR"/>
              </w:rPr>
              <w:t>Ukupno riješeno</w:t>
            </w:r>
          </w:p>
        </w:tc>
        <w:tc>
          <w:tcPr>
            <w:tcW w:w="580" w:type="dxa"/>
            <w:gridSpan w:val="2"/>
            <w:tcBorders>
              <w:top w:val="nil"/>
              <w:left w:val="single" w:sz="4" w:space="0" w:color="auto"/>
              <w:bottom w:val="single" w:sz="4" w:space="0" w:color="000000"/>
              <w:right w:val="single" w:sz="4" w:space="0" w:color="auto"/>
            </w:tcBorders>
            <w:shd w:val="clear" w:color="000000" w:fill="CCFFCC"/>
            <w:textDirection w:val="btLr"/>
            <w:vAlign w:val="center"/>
            <w:hideMark/>
          </w:tcPr>
          <w:p w14:paraId="11CE2A4E" w14:textId="77777777" w:rsidR="0078259C" w:rsidRPr="0078259C" w:rsidRDefault="0078259C" w:rsidP="0078259C">
            <w:pPr>
              <w:spacing w:after="0" w:line="240" w:lineRule="auto"/>
              <w:jc w:val="center"/>
              <w:rPr>
                <w:rFonts w:ascii="Calibri" w:eastAsia="Times New Roman" w:hAnsi="Calibri" w:cs="Calibri"/>
                <w:b/>
                <w:bCs/>
                <w:sz w:val="18"/>
                <w:szCs w:val="18"/>
                <w:lang w:eastAsia="hr-HR"/>
              </w:rPr>
            </w:pPr>
            <w:r w:rsidRPr="0078259C">
              <w:rPr>
                <w:rFonts w:ascii="Calibri" w:eastAsia="Times New Roman" w:hAnsi="Calibri" w:cs="Calibri"/>
                <w:b/>
                <w:bCs/>
                <w:sz w:val="18"/>
                <w:szCs w:val="18"/>
                <w:lang w:eastAsia="hr-HR"/>
              </w:rPr>
              <w:t>Ukupno neriješeno</w:t>
            </w:r>
          </w:p>
        </w:tc>
        <w:tc>
          <w:tcPr>
            <w:tcW w:w="839" w:type="dxa"/>
            <w:gridSpan w:val="2"/>
            <w:tcBorders>
              <w:top w:val="nil"/>
              <w:left w:val="single" w:sz="4" w:space="0" w:color="auto"/>
              <w:bottom w:val="single" w:sz="4" w:space="0" w:color="000000"/>
              <w:right w:val="single" w:sz="4" w:space="0" w:color="auto"/>
            </w:tcBorders>
            <w:shd w:val="clear" w:color="000000" w:fill="CCFFCC"/>
            <w:textDirection w:val="btLr"/>
            <w:vAlign w:val="center"/>
            <w:hideMark/>
          </w:tcPr>
          <w:p w14:paraId="2D39BFE3" w14:textId="77777777" w:rsidR="0078259C" w:rsidRPr="0078259C" w:rsidRDefault="0078259C" w:rsidP="0078259C">
            <w:pPr>
              <w:spacing w:after="0" w:line="240" w:lineRule="auto"/>
              <w:jc w:val="center"/>
              <w:rPr>
                <w:rFonts w:ascii="Calibri" w:eastAsia="Times New Roman" w:hAnsi="Calibri" w:cs="Calibri"/>
                <w:sz w:val="18"/>
                <w:szCs w:val="18"/>
                <w:lang w:eastAsia="hr-HR"/>
              </w:rPr>
            </w:pPr>
            <w:r w:rsidRPr="0078259C">
              <w:rPr>
                <w:rFonts w:ascii="Calibri" w:eastAsia="Times New Roman" w:hAnsi="Calibri" w:cs="Calibri"/>
                <w:sz w:val="18"/>
                <w:szCs w:val="18"/>
                <w:lang w:eastAsia="hr-HR"/>
              </w:rPr>
              <w:t>BROJ OSUĐENIH OSOBA</w:t>
            </w:r>
          </w:p>
        </w:tc>
        <w:tc>
          <w:tcPr>
            <w:tcW w:w="1303" w:type="dxa"/>
            <w:gridSpan w:val="4"/>
            <w:tcBorders>
              <w:top w:val="single" w:sz="4" w:space="0" w:color="auto"/>
              <w:left w:val="nil"/>
              <w:bottom w:val="single" w:sz="4" w:space="0" w:color="auto"/>
              <w:right w:val="single" w:sz="4" w:space="0" w:color="000000"/>
            </w:tcBorders>
            <w:shd w:val="clear" w:color="000000" w:fill="CCFFCC"/>
            <w:vAlign w:val="center"/>
            <w:hideMark/>
          </w:tcPr>
          <w:p w14:paraId="1B83413B" w14:textId="77777777" w:rsidR="0078259C" w:rsidRPr="0078259C" w:rsidRDefault="0078259C" w:rsidP="0078259C">
            <w:pPr>
              <w:spacing w:after="0" w:line="240" w:lineRule="auto"/>
              <w:jc w:val="center"/>
              <w:rPr>
                <w:rFonts w:ascii="Tahoma" w:eastAsia="Times New Roman" w:hAnsi="Tahoma" w:cs="Tahoma"/>
                <w:sz w:val="18"/>
                <w:szCs w:val="18"/>
                <w:lang w:eastAsia="hr-HR"/>
              </w:rPr>
            </w:pPr>
            <w:r w:rsidRPr="0078259C">
              <w:rPr>
                <w:rFonts w:ascii="Tahoma" w:eastAsia="Times New Roman" w:hAnsi="Tahoma" w:cs="Tahoma"/>
                <w:sz w:val="18"/>
                <w:szCs w:val="18"/>
                <w:lang w:eastAsia="hr-HR"/>
              </w:rPr>
              <w:t>Broj diskriminiranih osoba prema pravomoćnoj presudi</w:t>
            </w:r>
          </w:p>
        </w:tc>
        <w:tc>
          <w:tcPr>
            <w:tcW w:w="1550" w:type="dxa"/>
            <w:gridSpan w:val="3"/>
            <w:tcBorders>
              <w:top w:val="single" w:sz="4" w:space="0" w:color="auto"/>
              <w:left w:val="nil"/>
              <w:bottom w:val="single" w:sz="4" w:space="0" w:color="auto"/>
              <w:right w:val="single" w:sz="8" w:space="0" w:color="000000"/>
            </w:tcBorders>
            <w:shd w:val="clear" w:color="000000" w:fill="CCFFCC"/>
            <w:vAlign w:val="center"/>
            <w:hideMark/>
          </w:tcPr>
          <w:p w14:paraId="156A3F24" w14:textId="77777777" w:rsidR="0078259C" w:rsidRPr="0078259C" w:rsidRDefault="0078259C" w:rsidP="0078259C">
            <w:pPr>
              <w:spacing w:after="0" w:line="240" w:lineRule="auto"/>
              <w:jc w:val="center"/>
              <w:rPr>
                <w:rFonts w:ascii="Calibri" w:eastAsia="Times New Roman" w:hAnsi="Calibri" w:cs="Calibri"/>
                <w:sz w:val="18"/>
                <w:szCs w:val="18"/>
                <w:lang w:eastAsia="hr-HR"/>
              </w:rPr>
            </w:pPr>
            <w:r w:rsidRPr="0078259C">
              <w:rPr>
                <w:rFonts w:ascii="Calibri" w:eastAsia="Times New Roman" w:hAnsi="Calibri" w:cs="Calibri"/>
                <w:sz w:val="18"/>
                <w:szCs w:val="18"/>
                <w:lang w:eastAsia="hr-HR"/>
              </w:rPr>
              <w:t>TRAJANJE POSTUPKA</w:t>
            </w:r>
          </w:p>
        </w:tc>
        <w:tc>
          <w:tcPr>
            <w:tcW w:w="236" w:type="dxa"/>
            <w:gridSpan w:val="2"/>
            <w:vAlign w:val="center"/>
            <w:hideMark/>
          </w:tcPr>
          <w:p w14:paraId="2804FF3A" w14:textId="77777777" w:rsidR="0078259C" w:rsidRPr="0078259C" w:rsidRDefault="0078259C" w:rsidP="0078259C">
            <w:pPr>
              <w:spacing w:after="0" w:line="240" w:lineRule="auto"/>
              <w:rPr>
                <w:rFonts w:ascii="Times New Roman" w:eastAsia="Times New Roman" w:hAnsi="Times New Roman" w:cs="Times New Roman"/>
                <w:sz w:val="18"/>
                <w:szCs w:val="18"/>
                <w:lang w:eastAsia="hr-HR"/>
              </w:rPr>
            </w:pPr>
          </w:p>
        </w:tc>
      </w:tr>
      <w:tr w:rsidR="0078259C" w:rsidRPr="0078259C" w14:paraId="237078BB" w14:textId="77777777" w:rsidTr="0078259C">
        <w:trPr>
          <w:gridAfter w:val="2"/>
          <w:wAfter w:w="44" w:type="dxa"/>
          <w:trHeight w:val="2550"/>
        </w:trPr>
        <w:tc>
          <w:tcPr>
            <w:tcW w:w="1394" w:type="dxa"/>
            <w:vMerge/>
            <w:tcBorders>
              <w:top w:val="single" w:sz="8" w:space="0" w:color="auto"/>
              <w:left w:val="single" w:sz="8" w:space="0" w:color="auto"/>
              <w:bottom w:val="single" w:sz="4" w:space="0" w:color="auto"/>
              <w:right w:val="single" w:sz="4" w:space="0" w:color="auto"/>
            </w:tcBorders>
            <w:vAlign w:val="center"/>
            <w:hideMark/>
          </w:tcPr>
          <w:p w14:paraId="7FE22A01" w14:textId="77777777" w:rsidR="0078259C" w:rsidRPr="0078259C" w:rsidRDefault="0078259C" w:rsidP="0078259C">
            <w:pPr>
              <w:spacing w:after="0" w:line="240" w:lineRule="auto"/>
              <w:rPr>
                <w:rFonts w:ascii="Calibri" w:eastAsia="Times New Roman" w:hAnsi="Calibri" w:cs="Calibri"/>
                <w:sz w:val="18"/>
                <w:szCs w:val="18"/>
                <w:lang w:eastAsia="hr-HR"/>
              </w:rPr>
            </w:pPr>
          </w:p>
        </w:tc>
        <w:tc>
          <w:tcPr>
            <w:tcW w:w="575" w:type="dxa"/>
            <w:vMerge/>
            <w:tcBorders>
              <w:top w:val="nil"/>
              <w:left w:val="single" w:sz="4" w:space="0" w:color="auto"/>
              <w:bottom w:val="single" w:sz="4" w:space="0" w:color="auto"/>
              <w:right w:val="single" w:sz="4" w:space="0" w:color="auto"/>
            </w:tcBorders>
            <w:vAlign w:val="center"/>
            <w:hideMark/>
          </w:tcPr>
          <w:p w14:paraId="22726F50" w14:textId="77777777" w:rsidR="0078259C" w:rsidRPr="0078259C" w:rsidRDefault="0078259C" w:rsidP="0078259C">
            <w:pPr>
              <w:spacing w:after="0" w:line="240" w:lineRule="auto"/>
              <w:rPr>
                <w:rFonts w:ascii="Tahoma" w:eastAsia="Times New Roman" w:hAnsi="Tahoma" w:cs="Tahoma"/>
                <w:b/>
                <w:bCs/>
                <w:sz w:val="18"/>
                <w:szCs w:val="18"/>
                <w:lang w:eastAsia="hr-HR"/>
              </w:rPr>
            </w:pPr>
          </w:p>
        </w:tc>
        <w:tc>
          <w:tcPr>
            <w:tcW w:w="488" w:type="dxa"/>
            <w:vMerge/>
            <w:tcBorders>
              <w:top w:val="nil"/>
              <w:left w:val="single" w:sz="4" w:space="0" w:color="auto"/>
              <w:bottom w:val="single" w:sz="4" w:space="0" w:color="auto"/>
              <w:right w:val="single" w:sz="4" w:space="0" w:color="000000"/>
            </w:tcBorders>
            <w:vAlign w:val="center"/>
            <w:hideMark/>
          </w:tcPr>
          <w:p w14:paraId="1B2508C9" w14:textId="77777777" w:rsidR="0078259C" w:rsidRPr="0078259C" w:rsidRDefault="0078259C" w:rsidP="0078259C">
            <w:pPr>
              <w:spacing w:after="0" w:line="240" w:lineRule="auto"/>
              <w:rPr>
                <w:rFonts w:ascii="Tahoma" w:eastAsia="Times New Roman" w:hAnsi="Tahoma" w:cs="Tahoma"/>
                <w:b/>
                <w:bCs/>
                <w:sz w:val="18"/>
                <w:szCs w:val="18"/>
                <w:lang w:eastAsia="hr-HR"/>
              </w:rPr>
            </w:pPr>
          </w:p>
        </w:tc>
        <w:tc>
          <w:tcPr>
            <w:tcW w:w="500" w:type="dxa"/>
            <w:vMerge/>
            <w:tcBorders>
              <w:top w:val="nil"/>
              <w:left w:val="single" w:sz="4" w:space="0" w:color="auto"/>
              <w:bottom w:val="single" w:sz="4" w:space="0" w:color="000000"/>
              <w:right w:val="single" w:sz="4" w:space="0" w:color="auto"/>
            </w:tcBorders>
            <w:vAlign w:val="center"/>
            <w:hideMark/>
          </w:tcPr>
          <w:p w14:paraId="76CECDC0" w14:textId="77777777" w:rsidR="0078259C" w:rsidRPr="0078259C" w:rsidRDefault="0078259C" w:rsidP="0078259C">
            <w:pPr>
              <w:spacing w:after="0" w:line="240" w:lineRule="auto"/>
              <w:rPr>
                <w:rFonts w:ascii="Tahoma" w:eastAsia="Times New Roman" w:hAnsi="Tahoma" w:cs="Tahoma"/>
                <w:b/>
                <w:bCs/>
                <w:sz w:val="18"/>
                <w:szCs w:val="18"/>
                <w:lang w:eastAsia="hr-HR"/>
              </w:rPr>
            </w:pPr>
          </w:p>
        </w:tc>
        <w:tc>
          <w:tcPr>
            <w:tcW w:w="435" w:type="dxa"/>
            <w:tcBorders>
              <w:top w:val="nil"/>
              <w:left w:val="nil"/>
              <w:bottom w:val="nil"/>
              <w:right w:val="single" w:sz="4" w:space="0" w:color="auto"/>
            </w:tcBorders>
            <w:shd w:val="clear" w:color="000000" w:fill="CCFFCC"/>
            <w:textDirection w:val="btLr"/>
            <w:vAlign w:val="center"/>
            <w:hideMark/>
          </w:tcPr>
          <w:p w14:paraId="76B82A92" w14:textId="77777777" w:rsidR="0078259C" w:rsidRPr="0078259C" w:rsidRDefault="0078259C" w:rsidP="0078259C">
            <w:pPr>
              <w:spacing w:after="0" w:line="240" w:lineRule="auto"/>
              <w:jc w:val="center"/>
              <w:rPr>
                <w:rFonts w:ascii="Tahoma" w:eastAsia="Times New Roman" w:hAnsi="Tahoma" w:cs="Tahoma"/>
                <w:sz w:val="18"/>
                <w:szCs w:val="18"/>
                <w:lang w:eastAsia="hr-HR"/>
              </w:rPr>
            </w:pPr>
            <w:r w:rsidRPr="0078259C">
              <w:rPr>
                <w:rFonts w:ascii="Tahoma" w:eastAsia="Times New Roman" w:hAnsi="Tahoma" w:cs="Tahoma"/>
                <w:sz w:val="18"/>
                <w:szCs w:val="18"/>
                <w:lang w:eastAsia="hr-HR"/>
              </w:rPr>
              <w:t>Žene</w:t>
            </w:r>
          </w:p>
        </w:tc>
        <w:tc>
          <w:tcPr>
            <w:tcW w:w="426" w:type="dxa"/>
            <w:tcBorders>
              <w:top w:val="nil"/>
              <w:left w:val="nil"/>
              <w:bottom w:val="nil"/>
              <w:right w:val="single" w:sz="4" w:space="0" w:color="auto"/>
            </w:tcBorders>
            <w:shd w:val="clear" w:color="000000" w:fill="CCFFCC"/>
            <w:textDirection w:val="btLr"/>
            <w:vAlign w:val="center"/>
            <w:hideMark/>
          </w:tcPr>
          <w:p w14:paraId="12460B91" w14:textId="77777777" w:rsidR="0078259C" w:rsidRPr="0078259C" w:rsidRDefault="0078259C" w:rsidP="0078259C">
            <w:pPr>
              <w:spacing w:after="0" w:line="240" w:lineRule="auto"/>
              <w:jc w:val="center"/>
              <w:rPr>
                <w:rFonts w:ascii="Tahoma" w:eastAsia="Times New Roman" w:hAnsi="Tahoma" w:cs="Tahoma"/>
                <w:sz w:val="18"/>
                <w:szCs w:val="18"/>
                <w:lang w:eastAsia="hr-HR"/>
              </w:rPr>
            </w:pPr>
            <w:r w:rsidRPr="0078259C">
              <w:rPr>
                <w:rFonts w:ascii="Tahoma" w:eastAsia="Times New Roman" w:hAnsi="Tahoma" w:cs="Tahoma"/>
                <w:sz w:val="18"/>
                <w:szCs w:val="18"/>
                <w:lang w:eastAsia="hr-HR"/>
              </w:rPr>
              <w:t>Muškarci</w:t>
            </w:r>
          </w:p>
        </w:tc>
        <w:tc>
          <w:tcPr>
            <w:tcW w:w="425" w:type="dxa"/>
            <w:tcBorders>
              <w:top w:val="nil"/>
              <w:left w:val="nil"/>
              <w:bottom w:val="single" w:sz="4" w:space="0" w:color="auto"/>
              <w:right w:val="single" w:sz="4" w:space="0" w:color="auto"/>
            </w:tcBorders>
            <w:shd w:val="clear" w:color="000000" w:fill="CCFFCC"/>
            <w:textDirection w:val="btLr"/>
            <w:vAlign w:val="center"/>
            <w:hideMark/>
          </w:tcPr>
          <w:p w14:paraId="24367C24" w14:textId="77777777" w:rsidR="0078259C" w:rsidRPr="0078259C" w:rsidRDefault="0078259C" w:rsidP="0078259C">
            <w:pPr>
              <w:spacing w:after="0" w:line="240" w:lineRule="auto"/>
              <w:jc w:val="center"/>
              <w:rPr>
                <w:rFonts w:ascii="Calibri" w:eastAsia="Times New Roman" w:hAnsi="Calibri" w:cs="Calibri"/>
                <w:sz w:val="18"/>
                <w:szCs w:val="18"/>
                <w:lang w:eastAsia="hr-HR"/>
              </w:rPr>
            </w:pPr>
            <w:r w:rsidRPr="0078259C">
              <w:rPr>
                <w:rFonts w:ascii="Calibri" w:eastAsia="Times New Roman" w:hAnsi="Calibri" w:cs="Calibri"/>
                <w:sz w:val="18"/>
                <w:szCs w:val="18"/>
                <w:lang w:eastAsia="hr-HR"/>
              </w:rPr>
              <w:t>UZNEMIRAVANJE čl. 25. ZSD</w:t>
            </w:r>
          </w:p>
        </w:tc>
        <w:tc>
          <w:tcPr>
            <w:tcW w:w="567" w:type="dxa"/>
            <w:tcBorders>
              <w:top w:val="nil"/>
              <w:left w:val="nil"/>
              <w:bottom w:val="single" w:sz="4" w:space="0" w:color="auto"/>
              <w:right w:val="single" w:sz="4" w:space="0" w:color="auto"/>
            </w:tcBorders>
            <w:shd w:val="clear" w:color="000000" w:fill="CCFFCC"/>
            <w:textDirection w:val="btLr"/>
            <w:vAlign w:val="center"/>
            <w:hideMark/>
          </w:tcPr>
          <w:p w14:paraId="594528F9" w14:textId="77777777" w:rsidR="0078259C" w:rsidRPr="0078259C" w:rsidRDefault="0078259C" w:rsidP="0078259C">
            <w:pPr>
              <w:spacing w:after="0" w:line="240" w:lineRule="auto"/>
              <w:jc w:val="center"/>
              <w:rPr>
                <w:rFonts w:ascii="Calibri" w:eastAsia="Times New Roman" w:hAnsi="Calibri" w:cs="Calibri"/>
                <w:sz w:val="18"/>
                <w:szCs w:val="18"/>
                <w:lang w:eastAsia="hr-HR"/>
              </w:rPr>
            </w:pPr>
            <w:r w:rsidRPr="0078259C">
              <w:rPr>
                <w:rFonts w:ascii="Calibri" w:eastAsia="Times New Roman" w:hAnsi="Calibri" w:cs="Calibri"/>
                <w:sz w:val="18"/>
                <w:szCs w:val="18"/>
                <w:lang w:eastAsia="hr-HR"/>
              </w:rPr>
              <w:t>SPOLNO UZNEMIRAVANJE čl. 26. ZSD</w:t>
            </w:r>
          </w:p>
        </w:tc>
        <w:tc>
          <w:tcPr>
            <w:tcW w:w="567" w:type="dxa"/>
            <w:tcBorders>
              <w:top w:val="nil"/>
              <w:left w:val="nil"/>
              <w:bottom w:val="single" w:sz="4" w:space="0" w:color="auto"/>
              <w:right w:val="single" w:sz="4" w:space="0" w:color="auto"/>
            </w:tcBorders>
            <w:shd w:val="clear" w:color="000000" w:fill="CCFFCC"/>
            <w:textDirection w:val="btLr"/>
            <w:vAlign w:val="center"/>
            <w:hideMark/>
          </w:tcPr>
          <w:p w14:paraId="4D41C5A1" w14:textId="77777777" w:rsidR="0078259C" w:rsidRPr="0078259C" w:rsidRDefault="0078259C" w:rsidP="0078259C">
            <w:pPr>
              <w:spacing w:after="0" w:line="240" w:lineRule="auto"/>
              <w:jc w:val="center"/>
              <w:rPr>
                <w:rFonts w:ascii="Calibri" w:eastAsia="Times New Roman" w:hAnsi="Calibri" w:cs="Calibri"/>
                <w:sz w:val="18"/>
                <w:szCs w:val="18"/>
                <w:lang w:eastAsia="hr-HR"/>
              </w:rPr>
            </w:pPr>
            <w:r w:rsidRPr="0078259C">
              <w:rPr>
                <w:rFonts w:ascii="Calibri" w:eastAsia="Times New Roman" w:hAnsi="Calibri" w:cs="Calibri"/>
                <w:sz w:val="18"/>
                <w:szCs w:val="18"/>
                <w:lang w:eastAsia="hr-HR"/>
              </w:rPr>
              <w:t>NEDOSTAVLJANJE PODATAKA čl. 27. ZSD</w:t>
            </w:r>
          </w:p>
        </w:tc>
        <w:tc>
          <w:tcPr>
            <w:tcW w:w="437" w:type="dxa"/>
            <w:tcBorders>
              <w:top w:val="nil"/>
              <w:left w:val="nil"/>
              <w:bottom w:val="single" w:sz="4" w:space="0" w:color="auto"/>
              <w:right w:val="single" w:sz="4" w:space="0" w:color="auto"/>
            </w:tcBorders>
            <w:shd w:val="clear" w:color="000000" w:fill="CCFFCC"/>
            <w:textDirection w:val="btLr"/>
            <w:vAlign w:val="center"/>
            <w:hideMark/>
          </w:tcPr>
          <w:p w14:paraId="6F477DEA" w14:textId="77777777" w:rsidR="0078259C" w:rsidRPr="0078259C" w:rsidRDefault="0078259C" w:rsidP="0078259C">
            <w:pPr>
              <w:spacing w:after="0" w:line="240" w:lineRule="auto"/>
              <w:jc w:val="center"/>
              <w:rPr>
                <w:rFonts w:ascii="Calibri" w:eastAsia="Times New Roman" w:hAnsi="Calibri" w:cs="Calibri"/>
                <w:sz w:val="18"/>
                <w:szCs w:val="18"/>
                <w:lang w:eastAsia="hr-HR"/>
              </w:rPr>
            </w:pPr>
            <w:r w:rsidRPr="0078259C">
              <w:rPr>
                <w:rFonts w:ascii="Calibri" w:eastAsia="Times New Roman" w:hAnsi="Calibri" w:cs="Calibri"/>
                <w:sz w:val="18"/>
                <w:szCs w:val="18"/>
                <w:lang w:eastAsia="hr-HR"/>
              </w:rPr>
              <w:t>VIKTIMIZACIJA čl. 28. ZSD</w:t>
            </w:r>
          </w:p>
        </w:tc>
        <w:tc>
          <w:tcPr>
            <w:tcW w:w="413" w:type="dxa"/>
            <w:tcBorders>
              <w:top w:val="nil"/>
              <w:left w:val="nil"/>
              <w:bottom w:val="single" w:sz="4" w:space="0" w:color="auto"/>
              <w:right w:val="single" w:sz="4" w:space="0" w:color="auto"/>
            </w:tcBorders>
            <w:shd w:val="clear" w:color="000000" w:fill="CCFFCC"/>
            <w:textDirection w:val="btLr"/>
            <w:vAlign w:val="center"/>
            <w:hideMark/>
          </w:tcPr>
          <w:p w14:paraId="24B65E57" w14:textId="77777777" w:rsidR="0078259C" w:rsidRPr="0078259C" w:rsidRDefault="0078259C" w:rsidP="0078259C">
            <w:pPr>
              <w:spacing w:after="0" w:line="240" w:lineRule="auto"/>
              <w:jc w:val="center"/>
              <w:rPr>
                <w:rFonts w:ascii="Calibri" w:eastAsia="Times New Roman" w:hAnsi="Calibri" w:cs="Calibri"/>
                <w:sz w:val="18"/>
                <w:szCs w:val="18"/>
                <w:lang w:eastAsia="hr-HR"/>
              </w:rPr>
            </w:pPr>
            <w:r w:rsidRPr="0078259C">
              <w:rPr>
                <w:rFonts w:ascii="Calibri" w:eastAsia="Times New Roman" w:hAnsi="Calibri" w:cs="Calibri"/>
                <w:sz w:val="18"/>
                <w:szCs w:val="18"/>
                <w:lang w:eastAsia="hr-HR"/>
              </w:rPr>
              <w:t xml:space="preserve">OSTALO - po drugim. propisima: </w:t>
            </w:r>
          </w:p>
        </w:tc>
        <w:tc>
          <w:tcPr>
            <w:tcW w:w="283" w:type="dxa"/>
            <w:gridSpan w:val="2"/>
            <w:tcBorders>
              <w:top w:val="nil"/>
              <w:left w:val="nil"/>
              <w:bottom w:val="single" w:sz="4" w:space="0" w:color="auto"/>
              <w:right w:val="single" w:sz="4" w:space="0" w:color="auto"/>
            </w:tcBorders>
            <w:shd w:val="clear" w:color="000000" w:fill="CCFFCC"/>
            <w:textDirection w:val="btLr"/>
            <w:vAlign w:val="center"/>
            <w:hideMark/>
          </w:tcPr>
          <w:p w14:paraId="034DEB7A" w14:textId="77777777" w:rsidR="0078259C" w:rsidRPr="0078259C" w:rsidRDefault="0078259C" w:rsidP="0078259C">
            <w:pPr>
              <w:spacing w:after="0" w:line="240" w:lineRule="auto"/>
              <w:jc w:val="center"/>
              <w:rPr>
                <w:rFonts w:ascii="Calibri" w:eastAsia="Times New Roman" w:hAnsi="Calibri" w:cs="Calibri"/>
                <w:sz w:val="18"/>
                <w:szCs w:val="18"/>
                <w:lang w:eastAsia="hr-HR"/>
              </w:rPr>
            </w:pPr>
            <w:r w:rsidRPr="0078259C">
              <w:rPr>
                <w:rFonts w:ascii="Calibri" w:eastAsia="Times New Roman" w:hAnsi="Calibri" w:cs="Calibri"/>
                <w:sz w:val="18"/>
                <w:szCs w:val="18"/>
                <w:lang w:eastAsia="hr-HR"/>
              </w:rPr>
              <w:t>OSUĐUJUĆA PRESUDA</w:t>
            </w:r>
          </w:p>
        </w:tc>
        <w:tc>
          <w:tcPr>
            <w:tcW w:w="568" w:type="dxa"/>
            <w:tcBorders>
              <w:top w:val="nil"/>
              <w:left w:val="nil"/>
              <w:bottom w:val="single" w:sz="4" w:space="0" w:color="auto"/>
              <w:right w:val="single" w:sz="4" w:space="0" w:color="auto"/>
            </w:tcBorders>
            <w:shd w:val="clear" w:color="000000" w:fill="CCFFCC"/>
            <w:textDirection w:val="btLr"/>
            <w:vAlign w:val="center"/>
            <w:hideMark/>
          </w:tcPr>
          <w:p w14:paraId="5F4F5FD1" w14:textId="77777777" w:rsidR="0078259C" w:rsidRPr="0078259C" w:rsidRDefault="0078259C" w:rsidP="0078259C">
            <w:pPr>
              <w:spacing w:after="0" w:line="240" w:lineRule="auto"/>
              <w:jc w:val="center"/>
              <w:rPr>
                <w:rFonts w:ascii="Calibri" w:eastAsia="Times New Roman" w:hAnsi="Calibri" w:cs="Calibri"/>
                <w:sz w:val="18"/>
                <w:szCs w:val="18"/>
                <w:lang w:eastAsia="hr-HR"/>
              </w:rPr>
            </w:pPr>
            <w:r w:rsidRPr="0078259C">
              <w:rPr>
                <w:rFonts w:ascii="Calibri" w:eastAsia="Times New Roman" w:hAnsi="Calibri" w:cs="Calibri"/>
                <w:sz w:val="18"/>
                <w:szCs w:val="18"/>
                <w:lang w:eastAsia="hr-HR"/>
              </w:rPr>
              <w:t>OSLOBAĐAJUĆA PRESUDA</w:t>
            </w:r>
          </w:p>
        </w:tc>
        <w:tc>
          <w:tcPr>
            <w:tcW w:w="425" w:type="dxa"/>
            <w:tcBorders>
              <w:top w:val="nil"/>
              <w:left w:val="nil"/>
              <w:bottom w:val="single" w:sz="4" w:space="0" w:color="auto"/>
              <w:right w:val="single" w:sz="4" w:space="0" w:color="auto"/>
            </w:tcBorders>
            <w:shd w:val="clear" w:color="000000" w:fill="CCFFCC"/>
            <w:textDirection w:val="btLr"/>
            <w:vAlign w:val="center"/>
            <w:hideMark/>
          </w:tcPr>
          <w:p w14:paraId="031BAD1F" w14:textId="77777777" w:rsidR="0078259C" w:rsidRPr="0078259C" w:rsidRDefault="0078259C" w:rsidP="0078259C">
            <w:pPr>
              <w:spacing w:after="0" w:line="240" w:lineRule="auto"/>
              <w:jc w:val="center"/>
              <w:rPr>
                <w:rFonts w:ascii="Calibri" w:eastAsia="Times New Roman" w:hAnsi="Calibri" w:cs="Calibri"/>
                <w:sz w:val="18"/>
                <w:szCs w:val="18"/>
                <w:lang w:eastAsia="hr-HR"/>
              </w:rPr>
            </w:pPr>
            <w:r w:rsidRPr="0078259C">
              <w:rPr>
                <w:rFonts w:ascii="Calibri" w:eastAsia="Times New Roman" w:hAnsi="Calibri" w:cs="Calibri"/>
                <w:sz w:val="18"/>
                <w:szCs w:val="18"/>
                <w:lang w:eastAsia="hr-HR"/>
              </w:rPr>
              <w:t>NA DRUGI NAČIN</w:t>
            </w:r>
          </w:p>
        </w:tc>
        <w:tc>
          <w:tcPr>
            <w:tcW w:w="425" w:type="dxa"/>
            <w:gridSpan w:val="2"/>
            <w:tcBorders>
              <w:top w:val="nil"/>
              <w:left w:val="nil"/>
              <w:bottom w:val="single" w:sz="4" w:space="0" w:color="auto"/>
              <w:right w:val="single" w:sz="4" w:space="0" w:color="auto"/>
            </w:tcBorders>
            <w:shd w:val="clear" w:color="000000" w:fill="CCFFCC"/>
            <w:textDirection w:val="btLr"/>
            <w:vAlign w:val="center"/>
            <w:hideMark/>
          </w:tcPr>
          <w:p w14:paraId="57CD40B9" w14:textId="77777777" w:rsidR="0078259C" w:rsidRPr="0078259C" w:rsidRDefault="0078259C" w:rsidP="0078259C">
            <w:pPr>
              <w:spacing w:after="0" w:line="240" w:lineRule="auto"/>
              <w:jc w:val="center"/>
              <w:rPr>
                <w:rFonts w:ascii="Calibri" w:eastAsia="Times New Roman" w:hAnsi="Calibri" w:cs="Calibri"/>
                <w:sz w:val="18"/>
                <w:szCs w:val="18"/>
                <w:lang w:eastAsia="hr-HR"/>
              </w:rPr>
            </w:pPr>
            <w:r w:rsidRPr="0078259C">
              <w:rPr>
                <w:rFonts w:ascii="Calibri" w:eastAsia="Times New Roman" w:hAnsi="Calibri" w:cs="Calibri"/>
                <w:sz w:val="18"/>
                <w:szCs w:val="18"/>
                <w:lang w:eastAsia="hr-HR"/>
              </w:rPr>
              <w:t>Kazna zatvora</w:t>
            </w:r>
          </w:p>
        </w:tc>
        <w:tc>
          <w:tcPr>
            <w:tcW w:w="437" w:type="dxa"/>
            <w:tcBorders>
              <w:top w:val="nil"/>
              <w:left w:val="nil"/>
              <w:bottom w:val="single" w:sz="4" w:space="0" w:color="auto"/>
              <w:right w:val="single" w:sz="4" w:space="0" w:color="auto"/>
            </w:tcBorders>
            <w:shd w:val="clear" w:color="000000" w:fill="CCFFCC"/>
            <w:textDirection w:val="btLr"/>
            <w:vAlign w:val="center"/>
            <w:hideMark/>
          </w:tcPr>
          <w:p w14:paraId="7838D777" w14:textId="77777777" w:rsidR="0078259C" w:rsidRPr="0078259C" w:rsidRDefault="0078259C" w:rsidP="0078259C">
            <w:pPr>
              <w:spacing w:after="0" w:line="240" w:lineRule="auto"/>
              <w:jc w:val="center"/>
              <w:rPr>
                <w:rFonts w:ascii="Calibri" w:eastAsia="Times New Roman" w:hAnsi="Calibri" w:cs="Calibri"/>
                <w:sz w:val="18"/>
                <w:szCs w:val="18"/>
                <w:lang w:eastAsia="hr-HR"/>
              </w:rPr>
            </w:pPr>
            <w:r w:rsidRPr="0078259C">
              <w:rPr>
                <w:rFonts w:ascii="Calibri" w:eastAsia="Times New Roman" w:hAnsi="Calibri" w:cs="Calibri"/>
                <w:sz w:val="18"/>
                <w:szCs w:val="18"/>
                <w:lang w:eastAsia="hr-HR"/>
              </w:rPr>
              <w:t>Novčana kazna</w:t>
            </w:r>
          </w:p>
        </w:tc>
        <w:tc>
          <w:tcPr>
            <w:tcW w:w="556" w:type="dxa"/>
            <w:tcBorders>
              <w:top w:val="nil"/>
              <w:left w:val="nil"/>
              <w:bottom w:val="single" w:sz="4" w:space="0" w:color="auto"/>
              <w:right w:val="single" w:sz="4" w:space="0" w:color="auto"/>
            </w:tcBorders>
            <w:shd w:val="clear" w:color="000000" w:fill="CCFFCC"/>
            <w:textDirection w:val="btLr"/>
            <w:vAlign w:val="center"/>
            <w:hideMark/>
          </w:tcPr>
          <w:p w14:paraId="37AEF468" w14:textId="77777777" w:rsidR="0078259C" w:rsidRPr="0078259C" w:rsidRDefault="0078259C" w:rsidP="0078259C">
            <w:pPr>
              <w:spacing w:after="0" w:line="240" w:lineRule="auto"/>
              <w:jc w:val="center"/>
              <w:rPr>
                <w:rFonts w:ascii="Calibri" w:eastAsia="Times New Roman" w:hAnsi="Calibri" w:cs="Calibri"/>
                <w:sz w:val="18"/>
                <w:szCs w:val="18"/>
                <w:lang w:eastAsia="hr-HR"/>
              </w:rPr>
            </w:pPr>
            <w:r w:rsidRPr="0078259C">
              <w:rPr>
                <w:rFonts w:ascii="Calibri" w:eastAsia="Times New Roman" w:hAnsi="Calibri" w:cs="Calibri"/>
                <w:sz w:val="18"/>
                <w:szCs w:val="18"/>
                <w:lang w:eastAsia="hr-HR"/>
              </w:rPr>
              <w:t>Rad za opće dobro/ostalo</w:t>
            </w:r>
          </w:p>
        </w:tc>
        <w:tc>
          <w:tcPr>
            <w:tcW w:w="425" w:type="dxa"/>
            <w:tcBorders>
              <w:top w:val="nil"/>
              <w:left w:val="nil"/>
              <w:bottom w:val="single" w:sz="4" w:space="0" w:color="auto"/>
              <w:right w:val="single" w:sz="4" w:space="0" w:color="auto"/>
            </w:tcBorders>
            <w:shd w:val="clear" w:color="000000" w:fill="CCFFCC"/>
            <w:textDirection w:val="btLr"/>
            <w:vAlign w:val="center"/>
            <w:hideMark/>
          </w:tcPr>
          <w:p w14:paraId="4DE2FD24" w14:textId="77777777" w:rsidR="0078259C" w:rsidRPr="0078259C" w:rsidRDefault="0078259C" w:rsidP="0078259C">
            <w:pPr>
              <w:spacing w:after="0" w:line="240" w:lineRule="auto"/>
              <w:jc w:val="center"/>
              <w:rPr>
                <w:rFonts w:ascii="Calibri" w:eastAsia="Times New Roman" w:hAnsi="Calibri" w:cs="Calibri"/>
                <w:b/>
                <w:bCs/>
                <w:sz w:val="18"/>
                <w:szCs w:val="18"/>
                <w:lang w:eastAsia="hr-HR"/>
              </w:rPr>
            </w:pPr>
            <w:r w:rsidRPr="0078259C">
              <w:rPr>
                <w:rFonts w:ascii="Calibri" w:eastAsia="Times New Roman" w:hAnsi="Calibri" w:cs="Calibri"/>
                <w:b/>
                <w:bCs/>
                <w:sz w:val="18"/>
                <w:szCs w:val="18"/>
                <w:lang w:eastAsia="hr-HR"/>
              </w:rPr>
              <w:t>Ukupno</w:t>
            </w:r>
          </w:p>
        </w:tc>
        <w:tc>
          <w:tcPr>
            <w:tcW w:w="567" w:type="dxa"/>
            <w:gridSpan w:val="2"/>
            <w:tcBorders>
              <w:top w:val="nil"/>
              <w:left w:val="single" w:sz="4" w:space="0" w:color="auto"/>
              <w:bottom w:val="single" w:sz="4" w:space="0" w:color="000000"/>
              <w:right w:val="single" w:sz="4" w:space="0" w:color="auto"/>
            </w:tcBorders>
            <w:vAlign w:val="center"/>
            <w:hideMark/>
          </w:tcPr>
          <w:p w14:paraId="1816333C" w14:textId="77777777" w:rsidR="0078259C" w:rsidRPr="0078259C" w:rsidRDefault="0078259C" w:rsidP="0078259C">
            <w:pPr>
              <w:spacing w:after="0" w:line="240" w:lineRule="auto"/>
              <w:rPr>
                <w:rFonts w:ascii="Calibri" w:eastAsia="Times New Roman" w:hAnsi="Calibri" w:cs="Calibri"/>
                <w:b/>
                <w:bCs/>
                <w:sz w:val="18"/>
                <w:szCs w:val="18"/>
                <w:lang w:eastAsia="hr-HR"/>
              </w:rPr>
            </w:pPr>
          </w:p>
        </w:tc>
        <w:tc>
          <w:tcPr>
            <w:tcW w:w="578" w:type="dxa"/>
            <w:gridSpan w:val="2"/>
            <w:tcBorders>
              <w:top w:val="nil"/>
              <w:left w:val="single" w:sz="4" w:space="0" w:color="auto"/>
              <w:bottom w:val="single" w:sz="4" w:space="0" w:color="000000"/>
              <w:right w:val="single" w:sz="4" w:space="0" w:color="auto"/>
            </w:tcBorders>
            <w:vAlign w:val="center"/>
            <w:hideMark/>
          </w:tcPr>
          <w:p w14:paraId="26B84084" w14:textId="77777777" w:rsidR="0078259C" w:rsidRPr="0078259C" w:rsidRDefault="0078259C" w:rsidP="0078259C">
            <w:pPr>
              <w:spacing w:after="0" w:line="240" w:lineRule="auto"/>
              <w:rPr>
                <w:rFonts w:ascii="Calibri" w:eastAsia="Times New Roman" w:hAnsi="Calibri" w:cs="Calibri"/>
                <w:b/>
                <w:bCs/>
                <w:sz w:val="18"/>
                <w:szCs w:val="18"/>
                <w:lang w:eastAsia="hr-HR"/>
              </w:rPr>
            </w:pPr>
          </w:p>
        </w:tc>
        <w:tc>
          <w:tcPr>
            <w:tcW w:w="839" w:type="dxa"/>
            <w:gridSpan w:val="2"/>
            <w:tcBorders>
              <w:top w:val="nil"/>
              <w:left w:val="single" w:sz="4" w:space="0" w:color="auto"/>
              <w:bottom w:val="single" w:sz="4" w:space="0" w:color="000000"/>
              <w:right w:val="single" w:sz="4" w:space="0" w:color="auto"/>
            </w:tcBorders>
            <w:vAlign w:val="center"/>
            <w:hideMark/>
          </w:tcPr>
          <w:p w14:paraId="058FD8E1" w14:textId="77777777" w:rsidR="0078259C" w:rsidRPr="0078259C" w:rsidRDefault="0078259C" w:rsidP="0078259C">
            <w:pPr>
              <w:spacing w:after="0" w:line="240" w:lineRule="auto"/>
              <w:rPr>
                <w:rFonts w:ascii="Calibri" w:eastAsia="Times New Roman" w:hAnsi="Calibri" w:cs="Calibri"/>
                <w:sz w:val="18"/>
                <w:szCs w:val="18"/>
                <w:lang w:eastAsia="hr-HR"/>
              </w:rPr>
            </w:pPr>
          </w:p>
        </w:tc>
        <w:tc>
          <w:tcPr>
            <w:tcW w:w="426" w:type="dxa"/>
            <w:gridSpan w:val="2"/>
            <w:tcBorders>
              <w:top w:val="nil"/>
              <w:left w:val="nil"/>
              <w:bottom w:val="single" w:sz="4" w:space="0" w:color="auto"/>
              <w:right w:val="single" w:sz="4" w:space="0" w:color="auto"/>
            </w:tcBorders>
            <w:shd w:val="clear" w:color="000000" w:fill="CCFFCC"/>
            <w:textDirection w:val="btLr"/>
            <w:vAlign w:val="center"/>
            <w:hideMark/>
          </w:tcPr>
          <w:p w14:paraId="7A7FE9CE" w14:textId="77777777" w:rsidR="0078259C" w:rsidRPr="0078259C" w:rsidRDefault="0078259C" w:rsidP="0078259C">
            <w:pPr>
              <w:spacing w:after="0" w:line="240" w:lineRule="auto"/>
              <w:jc w:val="center"/>
              <w:rPr>
                <w:rFonts w:ascii="Tahoma" w:eastAsia="Times New Roman" w:hAnsi="Tahoma" w:cs="Tahoma"/>
                <w:sz w:val="18"/>
                <w:szCs w:val="18"/>
                <w:lang w:eastAsia="hr-HR"/>
              </w:rPr>
            </w:pPr>
            <w:r w:rsidRPr="0078259C">
              <w:rPr>
                <w:rFonts w:ascii="Tahoma" w:eastAsia="Times New Roman" w:hAnsi="Tahoma" w:cs="Tahoma"/>
                <w:sz w:val="18"/>
                <w:szCs w:val="18"/>
                <w:lang w:eastAsia="hr-HR"/>
              </w:rPr>
              <w:t xml:space="preserve">Žene </w:t>
            </w:r>
          </w:p>
        </w:tc>
        <w:tc>
          <w:tcPr>
            <w:tcW w:w="446" w:type="dxa"/>
            <w:tcBorders>
              <w:top w:val="nil"/>
              <w:left w:val="nil"/>
              <w:bottom w:val="single" w:sz="4" w:space="0" w:color="auto"/>
              <w:right w:val="single" w:sz="4" w:space="0" w:color="auto"/>
            </w:tcBorders>
            <w:shd w:val="clear" w:color="000000" w:fill="CCFFCC"/>
            <w:textDirection w:val="btLr"/>
            <w:vAlign w:val="center"/>
            <w:hideMark/>
          </w:tcPr>
          <w:p w14:paraId="18397B46" w14:textId="77777777" w:rsidR="0078259C" w:rsidRPr="0078259C" w:rsidRDefault="0078259C" w:rsidP="0078259C">
            <w:pPr>
              <w:spacing w:after="0" w:line="240" w:lineRule="auto"/>
              <w:jc w:val="center"/>
              <w:rPr>
                <w:rFonts w:ascii="Tahoma" w:eastAsia="Times New Roman" w:hAnsi="Tahoma" w:cs="Tahoma"/>
                <w:sz w:val="18"/>
                <w:szCs w:val="18"/>
                <w:lang w:eastAsia="hr-HR"/>
              </w:rPr>
            </w:pPr>
            <w:r w:rsidRPr="0078259C">
              <w:rPr>
                <w:rFonts w:ascii="Tahoma" w:eastAsia="Times New Roman" w:hAnsi="Tahoma" w:cs="Tahoma"/>
                <w:sz w:val="18"/>
                <w:szCs w:val="18"/>
                <w:lang w:eastAsia="hr-HR"/>
              </w:rPr>
              <w:t>Muškarci</w:t>
            </w:r>
          </w:p>
        </w:tc>
        <w:tc>
          <w:tcPr>
            <w:tcW w:w="404" w:type="dxa"/>
            <w:tcBorders>
              <w:top w:val="nil"/>
              <w:left w:val="nil"/>
              <w:bottom w:val="single" w:sz="4" w:space="0" w:color="auto"/>
              <w:right w:val="single" w:sz="4" w:space="0" w:color="auto"/>
            </w:tcBorders>
            <w:shd w:val="clear" w:color="000000" w:fill="CCFFCC"/>
            <w:textDirection w:val="btLr"/>
            <w:vAlign w:val="center"/>
            <w:hideMark/>
          </w:tcPr>
          <w:p w14:paraId="703AF495" w14:textId="77777777" w:rsidR="0078259C" w:rsidRPr="0078259C" w:rsidRDefault="0078259C" w:rsidP="0078259C">
            <w:pPr>
              <w:spacing w:after="0" w:line="240" w:lineRule="auto"/>
              <w:jc w:val="center"/>
              <w:rPr>
                <w:rFonts w:ascii="Tahoma" w:eastAsia="Times New Roman" w:hAnsi="Tahoma" w:cs="Tahoma"/>
                <w:sz w:val="18"/>
                <w:szCs w:val="18"/>
                <w:lang w:eastAsia="hr-HR"/>
              </w:rPr>
            </w:pPr>
            <w:r w:rsidRPr="0078259C">
              <w:rPr>
                <w:rFonts w:ascii="Tahoma" w:eastAsia="Times New Roman" w:hAnsi="Tahoma" w:cs="Tahoma"/>
                <w:sz w:val="18"/>
                <w:szCs w:val="18"/>
                <w:lang w:eastAsia="hr-HR"/>
              </w:rPr>
              <w:t>Ostalo</w:t>
            </w:r>
          </w:p>
        </w:tc>
        <w:tc>
          <w:tcPr>
            <w:tcW w:w="839" w:type="dxa"/>
            <w:gridSpan w:val="2"/>
            <w:tcBorders>
              <w:top w:val="nil"/>
              <w:left w:val="nil"/>
              <w:bottom w:val="single" w:sz="4" w:space="0" w:color="auto"/>
              <w:right w:val="single" w:sz="4" w:space="0" w:color="auto"/>
            </w:tcBorders>
            <w:shd w:val="clear" w:color="000000" w:fill="CCFFCC"/>
            <w:textDirection w:val="btLr"/>
            <w:vAlign w:val="center"/>
            <w:hideMark/>
          </w:tcPr>
          <w:p w14:paraId="20C5F543" w14:textId="77777777" w:rsidR="0078259C" w:rsidRPr="0078259C" w:rsidRDefault="0078259C" w:rsidP="0078259C">
            <w:pPr>
              <w:spacing w:after="0" w:line="240" w:lineRule="auto"/>
              <w:jc w:val="center"/>
              <w:rPr>
                <w:rFonts w:ascii="Calibri" w:eastAsia="Times New Roman" w:hAnsi="Calibri" w:cs="Calibri"/>
                <w:sz w:val="18"/>
                <w:szCs w:val="18"/>
                <w:lang w:eastAsia="hr-HR"/>
              </w:rPr>
            </w:pPr>
            <w:r w:rsidRPr="0078259C">
              <w:rPr>
                <w:rFonts w:ascii="Calibri" w:eastAsia="Times New Roman" w:hAnsi="Calibri" w:cs="Calibri"/>
                <w:sz w:val="18"/>
                <w:szCs w:val="18"/>
                <w:lang w:eastAsia="hr-HR"/>
              </w:rPr>
              <w:t xml:space="preserve"> DO 12 MJESECI</w:t>
            </w:r>
          </w:p>
        </w:tc>
        <w:tc>
          <w:tcPr>
            <w:tcW w:w="839" w:type="dxa"/>
            <w:tcBorders>
              <w:top w:val="nil"/>
              <w:left w:val="nil"/>
              <w:bottom w:val="single" w:sz="4" w:space="0" w:color="auto"/>
              <w:right w:val="nil"/>
            </w:tcBorders>
            <w:shd w:val="clear" w:color="000000" w:fill="CCFFCC"/>
            <w:textDirection w:val="btLr"/>
            <w:vAlign w:val="center"/>
            <w:hideMark/>
          </w:tcPr>
          <w:p w14:paraId="655ECC00" w14:textId="77777777" w:rsidR="0078259C" w:rsidRPr="0078259C" w:rsidRDefault="0078259C" w:rsidP="0078259C">
            <w:pPr>
              <w:spacing w:after="0" w:line="240" w:lineRule="auto"/>
              <w:jc w:val="center"/>
              <w:rPr>
                <w:rFonts w:ascii="Calibri" w:eastAsia="Times New Roman" w:hAnsi="Calibri" w:cs="Calibri"/>
                <w:sz w:val="18"/>
                <w:szCs w:val="18"/>
                <w:lang w:eastAsia="hr-HR"/>
              </w:rPr>
            </w:pPr>
            <w:r w:rsidRPr="0078259C">
              <w:rPr>
                <w:rFonts w:ascii="Calibri" w:eastAsia="Times New Roman" w:hAnsi="Calibri" w:cs="Calibri"/>
                <w:sz w:val="18"/>
                <w:szCs w:val="18"/>
                <w:lang w:eastAsia="hr-HR"/>
              </w:rPr>
              <w:t>PREKO 12 MJESECI</w:t>
            </w:r>
          </w:p>
        </w:tc>
        <w:tc>
          <w:tcPr>
            <w:tcW w:w="236" w:type="dxa"/>
            <w:gridSpan w:val="2"/>
            <w:vAlign w:val="center"/>
            <w:hideMark/>
          </w:tcPr>
          <w:p w14:paraId="00C512D7" w14:textId="77777777" w:rsidR="0078259C" w:rsidRPr="0078259C" w:rsidRDefault="0078259C" w:rsidP="0078259C">
            <w:pPr>
              <w:spacing w:after="0" w:line="240" w:lineRule="auto"/>
              <w:rPr>
                <w:rFonts w:ascii="Times New Roman" w:eastAsia="Times New Roman" w:hAnsi="Times New Roman" w:cs="Times New Roman"/>
                <w:sz w:val="18"/>
                <w:szCs w:val="18"/>
                <w:lang w:eastAsia="hr-HR"/>
              </w:rPr>
            </w:pPr>
          </w:p>
        </w:tc>
      </w:tr>
      <w:tr w:rsidR="0078259C" w:rsidRPr="0078259C" w14:paraId="60C85DFB" w14:textId="77777777" w:rsidTr="0078259C">
        <w:trPr>
          <w:gridAfter w:val="2"/>
          <w:wAfter w:w="44" w:type="dxa"/>
          <w:trHeight w:val="300"/>
        </w:trPr>
        <w:tc>
          <w:tcPr>
            <w:tcW w:w="1394" w:type="dxa"/>
            <w:tcBorders>
              <w:top w:val="single" w:sz="4" w:space="0" w:color="auto"/>
              <w:left w:val="single" w:sz="8" w:space="0" w:color="auto"/>
              <w:bottom w:val="single" w:sz="4" w:space="0" w:color="auto"/>
              <w:right w:val="single" w:sz="4" w:space="0" w:color="auto"/>
            </w:tcBorders>
            <w:shd w:val="clear" w:color="000000" w:fill="CCFFCC"/>
            <w:vAlign w:val="center"/>
            <w:hideMark/>
          </w:tcPr>
          <w:p w14:paraId="2CD4615F" w14:textId="77777777" w:rsidR="0078259C" w:rsidRPr="0078259C" w:rsidRDefault="0078259C" w:rsidP="0078259C">
            <w:pPr>
              <w:spacing w:after="0" w:line="240" w:lineRule="auto"/>
              <w:jc w:val="center"/>
              <w:rPr>
                <w:rFonts w:ascii="Calibri" w:eastAsia="Times New Roman" w:hAnsi="Calibri" w:cs="Calibri"/>
                <w:sz w:val="18"/>
                <w:szCs w:val="18"/>
                <w:lang w:eastAsia="hr-HR"/>
              </w:rPr>
            </w:pPr>
            <w:r w:rsidRPr="0078259C">
              <w:rPr>
                <w:rFonts w:ascii="Calibri" w:eastAsia="Times New Roman" w:hAnsi="Calibri" w:cs="Calibri"/>
                <w:sz w:val="18"/>
                <w:szCs w:val="18"/>
                <w:lang w:eastAsia="hr-HR"/>
              </w:rPr>
              <w:t>1.</w:t>
            </w:r>
          </w:p>
        </w:tc>
        <w:tc>
          <w:tcPr>
            <w:tcW w:w="575" w:type="dxa"/>
            <w:tcBorders>
              <w:top w:val="nil"/>
              <w:left w:val="nil"/>
              <w:bottom w:val="single" w:sz="4" w:space="0" w:color="auto"/>
              <w:right w:val="single" w:sz="4" w:space="0" w:color="auto"/>
            </w:tcBorders>
            <w:shd w:val="clear" w:color="000000" w:fill="CCFFCC"/>
            <w:vAlign w:val="center"/>
            <w:hideMark/>
          </w:tcPr>
          <w:p w14:paraId="6AA84AC5" w14:textId="77777777" w:rsidR="0078259C" w:rsidRPr="0078259C" w:rsidRDefault="0078259C" w:rsidP="0078259C">
            <w:pPr>
              <w:spacing w:after="0" w:line="240" w:lineRule="auto"/>
              <w:jc w:val="center"/>
              <w:rPr>
                <w:rFonts w:ascii="Calibri" w:eastAsia="Times New Roman" w:hAnsi="Calibri" w:cs="Calibri"/>
                <w:sz w:val="18"/>
                <w:szCs w:val="18"/>
                <w:lang w:eastAsia="hr-HR"/>
              </w:rPr>
            </w:pPr>
            <w:r w:rsidRPr="0078259C">
              <w:rPr>
                <w:rFonts w:ascii="Calibri" w:eastAsia="Times New Roman" w:hAnsi="Calibri" w:cs="Calibri"/>
                <w:sz w:val="18"/>
                <w:szCs w:val="18"/>
                <w:lang w:eastAsia="hr-HR"/>
              </w:rPr>
              <w:t>2.</w:t>
            </w:r>
          </w:p>
        </w:tc>
        <w:tc>
          <w:tcPr>
            <w:tcW w:w="488" w:type="dxa"/>
            <w:tcBorders>
              <w:top w:val="nil"/>
              <w:left w:val="nil"/>
              <w:bottom w:val="single" w:sz="4" w:space="0" w:color="auto"/>
              <w:right w:val="single" w:sz="4" w:space="0" w:color="auto"/>
            </w:tcBorders>
            <w:shd w:val="clear" w:color="000000" w:fill="CCFFCC"/>
            <w:vAlign w:val="center"/>
            <w:hideMark/>
          </w:tcPr>
          <w:p w14:paraId="5549542D" w14:textId="77777777" w:rsidR="0078259C" w:rsidRPr="0078259C" w:rsidRDefault="0078259C" w:rsidP="0078259C">
            <w:pPr>
              <w:spacing w:after="0" w:line="240" w:lineRule="auto"/>
              <w:jc w:val="center"/>
              <w:rPr>
                <w:rFonts w:ascii="Calibri" w:eastAsia="Times New Roman" w:hAnsi="Calibri" w:cs="Calibri"/>
                <w:sz w:val="18"/>
                <w:szCs w:val="18"/>
                <w:lang w:eastAsia="hr-HR"/>
              </w:rPr>
            </w:pPr>
            <w:r w:rsidRPr="0078259C">
              <w:rPr>
                <w:rFonts w:ascii="Calibri" w:eastAsia="Times New Roman" w:hAnsi="Calibri" w:cs="Calibri"/>
                <w:sz w:val="18"/>
                <w:szCs w:val="18"/>
                <w:lang w:eastAsia="hr-HR"/>
              </w:rPr>
              <w:t>3.</w:t>
            </w:r>
          </w:p>
        </w:tc>
        <w:tc>
          <w:tcPr>
            <w:tcW w:w="500" w:type="dxa"/>
            <w:tcBorders>
              <w:top w:val="nil"/>
              <w:left w:val="nil"/>
              <w:bottom w:val="single" w:sz="4" w:space="0" w:color="auto"/>
              <w:right w:val="single" w:sz="4" w:space="0" w:color="auto"/>
            </w:tcBorders>
            <w:shd w:val="clear" w:color="000000" w:fill="CCFFCC"/>
            <w:vAlign w:val="center"/>
            <w:hideMark/>
          </w:tcPr>
          <w:p w14:paraId="792F1404" w14:textId="77777777" w:rsidR="0078259C" w:rsidRPr="0078259C" w:rsidRDefault="0078259C" w:rsidP="0078259C">
            <w:pPr>
              <w:spacing w:after="0" w:line="240" w:lineRule="auto"/>
              <w:jc w:val="center"/>
              <w:rPr>
                <w:rFonts w:ascii="Calibri" w:eastAsia="Times New Roman" w:hAnsi="Calibri" w:cs="Calibri"/>
                <w:sz w:val="18"/>
                <w:szCs w:val="18"/>
                <w:lang w:eastAsia="hr-HR"/>
              </w:rPr>
            </w:pPr>
            <w:r w:rsidRPr="0078259C">
              <w:rPr>
                <w:rFonts w:ascii="Calibri" w:eastAsia="Times New Roman" w:hAnsi="Calibri" w:cs="Calibri"/>
                <w:sz w:val="18"/>
                <w:szCs w:val="18"/>
                <w:lang w:eastAsia="hr-HR"/>
              </w:rPr>
              <w:t> </w:t>
            </w:r>
          </w:p>
        </w:tc>
        <w:tc>
          <w:tcPr>
            <w:tcW w:w="435" w:type="dxa"/>
            <w:tcBorders>
              <w:top w:val="single" w:sz="4" w:space="0" w:color="auto"/>
              <w:left w:val="nil"/>
              <w:bottom w:val="single" w:sz="4" w:space="0" w:color="auto"/>
              <w:right w:val="single" w:sz="4" w:space="0" w:color="auto"/>
            </w:tcBorders>
            <w:shd w:val="clear" w:color="000000" w:fill="CCFFCC"/>
            <w:vAlign w:val="center"/>
            <w:hideMark/>
          </w:tcPr>
          <w:p w14:paraId="1E1FDD35" w14:textId="77777777" w:rsidR="0078259C" w:rsidRPr="0078259C" w:rsidRDefault="0078259C" w:rsidP="0078259C">
            <w:pPr>
              <w:spacing w:after="0" w:line="240" w:lineRule="auto"/>
              <w:jc w:val="center"/>
              <w:rPr>
                <w:rFonts w:ascii="Calibri" w:eastAsia="Times New Roman" w:hAnsi="Calibri" w:cs="Calibri"/>
                <w:sz w:val="18"/>
                <w:szCs w:val="18"/>
                <w:lang w:eastAsia="hr-HR"/>
              </w:rPr>
            </w:pPr>
            <w:r w:rsidRPr="0078259C">
              <w:rPr>
                <w:rFonts w:ascii="Calibri" w:eastAsia="Times New Roman" w:hAnsi="Calibri" w:cs="Calibri"/>
                <w:sz w:val="18"/>
                <w:szCs w:val="18"/>
                <w:lang w:eastAsia="hr-HR"/>
              </w:rPr>
              <w:t>4.</w:t>
            </w:r>
          </w:p>
        </w:tc>
        <w:tc>
          <w:tcPr>
            <w:tcW w:w="426" w:type="dxa"/>
            <w:tcBorders>
              <w:top w:val="single" w:sz="4" w:space="0" w:color="auto"/>
              <w:left w:val="nil"/>
              <w:bottom w:val="single" w:sz="4" w:space="0" w:color="auto"/>
              <w:right w:val="single" w:sz="4" w:space="0" w:color="auto"/>
            </w:tcBorders>
            <w:shd w:val="clear" w:color="000000" w:fill="CCFFCC"/>
            <w:vAlign w:val="center"/>
            <w:hideMark/>
          </w:tcPr>
          <w:p w14:paraId="4776088E" w14:textId="77777777" w:rsidR="0078259C" w:rsidRPr="0078259C" w:rsidRDefault="0078259C" w:rsidP="0078259C">
            <w:pPr>
              <w:spacing w:after="0" w:line="240" w:lineRule="auto"/>
              <w:jc w:val="center"/>
              <w:rPr>
                <w:rFonts w:ascii="Calibri" w:eastAsia="Times New Roman" w:hAnsi="Calibri" w:cs="Calibri"/>
                <w:sz w:val="18"/>
                <w:szCs w:val="18"/>
                <w:lang w:eastAsia="hr-HR"/>
              </w:rPr>
            </w:pPr>
            <w:r w:rsidRPr="0078259C">
              <w:rPr>
                <w:rFonts w:ascii="Calibri" w:eastAsia="Times New Roman" w:hAnsi="Calibri" w:cs="Calibri"/>
                <w:sz w:val="18"/>
                <w:szCs w:val="18"/>
                <w:lang w:eastAsia="hr-HR"/>
              </w:rPr>
              <w:t>5.</w:t>
            </w:r>
          </w:p>
        </w:tc>
        <w:tc>
          <w:tcPr>
            <w:tcW w:w="425" w:type="dxa"/>
            <w:tcBorders>
              <w:top w:val="nil"/>
              <w:left w:val="nil"/>
              <w:bottom w:val="single" w:sz="4" w:space="0" w:color="auto"/>
              <w:right w:val="single" w:sz="4" w:space="0" w:color="auto"/>
            </w:tcBorders>
            <w:shd w:val="clear" w:color="000000" w:fill="CCFFCC"/>
            <w:vAlign w:val="center"/>
            <w:hideMark/>
          </w:tcPr>
          <w:p w14:paraId="1633024F" w14:textId="77777777" w:rsidR="0078259C" w:rsidRPr="0078259C" w:rsidRDefault="0078259C" w:rsidP="0078259C">
            <w:pPr>
              <w:spacing w:after="0" w:line="240" w:lineRule="auto"/>
              <w:jc w:val="center"/>
              <w:rPr>
                <w:rFonts w:ascii="Calibri" w:eastAsia="Times New Roman" w:hAnsi="Calibri" w:cs="Calibri"/>
                <w:sz w:val="18"/>
                <w:szCs w:val="18"/>
                <w:lang w:eastAsia="hr-HR"/>
              </w:rPr>
            </w:pPr>
            <w:r w:rsidRPr="0078259C">
              <w:rPr>
                <w:rFonts w:ascii="Calibri" w:eastAsia="Times New Roman" w:hAnsi="Calibri" w:cs="Calibri"/>
                <w:sz w:val="18"/>
                <w:szCs w:val="18"/>
                <w:lang w:eastAsia="hr-HR"/>
              </w:rPr>
              <w:t>6.</w:t>
            </w:r>
          </w:p>
        </w:tc>
        <w:tc>
          <w:tcPr>
            <w:tcW w:w="567" w:type="dxa"/>
            <w:tcBorders>
              <w:top w:val="nil"/>
              <w:left w:val="nil"/>
              <w:bottom w:val="single" w:sz="4" w:space="0" w:color="auto"/>
              <w:right w:val="single" w:sz="4" w:space="0" w:color="auto"/>
            </w:tcBorders>
            <w:shd w:val="clear" w:color="000000" w:fill="CCFFCC"/>
            <w:vAlign w:val="center"/>
            <w:hideMark/>
          </w:tcPr>
          <w:p w14:paraId="3DEC588E" w14:textId="77777777" w:rsidR="0078259C" w:rsidRPr="0078259C" w:rsidRDefault="0078259C" w:rsidP="0078259C">
            <w:pPr>
              <w:spacing w:after="0" w:line="240" w:lineRule="auto"/>
              <w:jc w:val="center"/>
              <w:rPr>
                <w:rFonts w:ascii="Calibri" w:eastAsia="Times New Roman" w:hAnsi="Calibri" w:cs="Calibri"/>
                <w:sz w:val="18"/>
                <w:szCs w:val="18"/>
                <w:lang w:eastAsia="hr-HR"/>
              </w:rPr>
            </w:pPr>
            <w:r w:rsidRPr="0078259C">
              <w:rPr>
                <w:rFonts w:ascii="Calibri" w:eastAsia="Times New Roman" w:hAnsi="Calibri" w:cs="Calibri"/>
                <w:sz w:val="18"/>
                <w:szCs w:val="18"/>
                <w:lang w:eastAsia="hr-HR"/>
              </w:rPr>
              <w:t>7.</w:t>
            </w:r>
          </w:p>
        </w:tc>
        <w:tc>
          <w:tcPr>
            <w:tcW w:w="567" w:type="dxa"/>
            <w:tcBorders>
              <w:top w:val="nil"/>
              <w:left w:val="nil"/>
              <w:bottom w:val="single" w:sz="4" w:space="0" w:color="auto"/>
              <w:right w:val="single" w:sz="4" w:space="0" w:color="auto"/>
            </w:tcBorders>
            <w:shd w:val="clear" w:color="000000" w:fill="CCFFCC"/>
            <w:vAlign w:val="center"/>
            <w:hideMark/>
          </w:tcPr>
          <w:p w14:paraId="2F0E20D8" w14:textId="77777777" w:rsidR="0078259C" w:rsidRPr="0078259C" w:rsidRDefault="0078259C" w:rsidP="0078259C">
            <w:pPr>
              <w:spacing w:after="0" w:line="240" w:lineRule="auto"/>
              <w:jc w:val="center"/>
              <w:rPr>
                <w:rFonts w:ascii="Calibri" w:eastAsia="Times New Roman" w:hAnsi="Calibri" w:cs="Calibri"/>
                <w:sz w:val="18"/>
                <w:szCs w:val="18"/>
                <w:lang w:eastAsia="hr-HR"/>
              </w:rPr>
            </w:pPr>
            <w:r w:rsidRPr="0078259C">
              <w:rPr>
                <w:rFonts w:ascii="Calibri" w:eastAsia="Times New Roman" w:hAnsi="Calibri" w:cs="Calibri"/>
                <w:sz w:val="18"/>
                <w:szCs w:val="18"/>
                <w:lang w:eastAsia="hr-HR"/>
              </w:rPr>
              <w:t>8.</w:t>
            </w:r>
          </w:p>
        </w:tc>
        <w:tc>
          <w:tcPr>
            <w:tcW w:w="437" w:type="dxa"/>
            <w:tcBorders>
              <w:top w:val="nil"/>
              <w:left w:val="nil"/>
              <w:bottom w:val="single" w:sz="4" w:space="0" w:color="auto"/>
              <w:right w:val="single" w:sz="4" w:space="0" w:color="auto"/>
            </w:tcBorders>
            <w:shd w:val="clear" w:color="000000" w:fill="CCFFCC"/>
            <w:vAlign w:val="center"/>
            <w:hideMark/>
          </w:tcPr>
          <w:p w14:paraId="4C0ECF77" w14:textId="77777777" w:rsidR="0078259C" w:rsidRPr="0078259C" w:rsidRDefault="0078259C" w:rsidP="0078259C">
            <w:pPr>
              <w:spacing w:after="0" w:line="240" w:lineRule="auto"/>
              <w:jc w:val="center"/>
              <w:rPr>
                <w:rFonts w:ascii="Calibri" w:eastAsia="Times New Roman" w:hAnsi="Calibri" w:cs="Calibri"/>
                <w:sz w:val="18"/>
                <w:szCs w:val="18"/>
                <w:lang w:eastAsia="hr-HR"/>
              </w:rPr>
            </w:pPr>
            <w:r w:rsidRPr="0078259C">
              <w:rPr>
                <w:rFonts w:ascii="Calibri" w:eastAsia="Times New Roman" w:hAnsi="Calibri" w:cs="Calibri"/>
                <w:sz w:val="18"/>
                <w:szCs w:val="18"/>
                <w:lang w:eastAsia="hr-HR"/>
              </w:rPr>
              <w:t>9.</w:t>
            </w:r>
          </w:p>
        </w:tc>
        <w:tc>
          <w:tcPr>
            <w:tcW w:w="413" w:type="dxa"/>
            <w:tcBorders>
              <w:top w:val="nil"/>
              <w:left w:val="nil"/>
              <w:bottom w:val="single" w:sz="4" w:space="0" w:color="auto"/>
              <w:right w:val="single" w:sz="4" w:space="0" w:color="auto"/>
            </w:tcBorders>
            <w:shd w:val="clear" w:color="000000" w:fill="CCFFCC"/>
            <w:vAlign w:val="center"/>
            <w:hideMark/>
          </w:tcPr>
          <w:p w14:paraId="6F39EFA1" w14:textId="77777777" w:rsidR="0078259C" w:rsidRPr="0078259C" w:rsidRDefault="0078259C" w:rsidP="0078259C">
            <w:pPr>
              <w:spacing w:after="0" w:line="240" w:lineRule="auto"/>
              <w:jc w:val="center"/>
              <w:rPr>
                <w:rFonts w:ascii="Calibri" w:eastAsia="Times New Roman" w:hAnsi="Calibri" w:cs="Calibri"/>
                <w:sz w:val="18"/>
                <w:szCs w:val="18"/>
                <w:lang w:eastAsia="hr-HR"/>
              </w:rPr>
            </w:pPr>
            <w:r w:rsidRPr="0078259C">
              <w:rPr>
                <w:rFonts w:ascii="Calibri" w:eastAsia="Times New Roman" w:hAnsi="Calibri" w:cs="Calibri"/>
                <w:sz w:val="18"/>
                <w:szCs w:val="18"/>
                <w:lang w:eastAsia="hr-HR"/>
              </w:rPr>
              <w:t>10.</w:t>
            </w:r>
          </w:p>
        </w:tc>
        <w:tc>
          <w:tcPr>
            <w:tcW w:w="283" w:type="dxa"/>
            <w:gridSpan w:val="2"/>
            <w:tcBorders>
              <w:top w:val="nil"/>
              <w:left w:val="nil"/>
              <w:bottom w:val="single" w:sz="4" w:space="0" w:color="auto"/>
              <w:right w:val="single" w:sz="4" w:space="0" w:color="auto"/>
            </w:tcBorders>
            <w:shd w:val="clear" w:color="000000" w:fill="CCFFCC"/>
            <w:vAlign w:val="center"/>
            <w:hideMark/>
          </w:tcPr>
          <w:p w14:paraId="1CAAE6CE" w14:textId="77777777" w:rsidR="0078259C" w:rsidRPr="0078259C" w:rsidRDefault="0078259C" w:rsidP="0078259C">
            <w:pPr>
              <w:spacing w:after="0" w:line="240" w:lineRule="auto"/>
              <w:jc w:val="center"/>
              <w:rPr>
                <w:rFonts w:ascii="Calibri" w:eastAsia="Times New Roman" w:hAnsi="Calibri" w:cs="Calibri"/>
                <w:sz w:val="18"/>
                <w:szCs w:val="18"/>
                <w:lang w:eastAsia="hr-HR"/>
              </w:rPr>
            </w:pPr>
            <w:r w:rsidRPr="0078259C">
              <w:rPr>
                <w:rFonts w:ascii="Calibri" w:eastAsia="Times New Roman" w:hAnsi="Calibri" w:cs="Calibri"/>
                <w:sz w:val="18"/>
                <w:szCs w:val="18"/>
                <w:lang w:eastAsia="hr-HR"/>
              </w:rPr>
              <w:t>11.</w:t>
            </w:r>
          </w:p>
        </w:tc>
        <w:tc>
          <w:tcPr>
            <w:tcW w:w="568" w:type="dxa"/>
            <w:tcBorders>
              <w:top w:val="nil"/>
              <w:left w:val="nil"/>
              <w:bottom w:val="single" w:sz="4" w:space="0" w:color="auto"/>
              <w:right w:val="single" w:sz="4" w:space="0" w:color="auto"/>
            </w:tcBorders>
            <w:shd w:val="clear" w:color="000000" w:fill="CCFFCC"/>
            <w:vAlign w:val="center"/>
            <w:hideMark/>
          </w:tcPr>
          <w:p w14:paraId="6365354A" w14:textId="77777777" w:rsidR="0078259C" w:rsidRPr="0078259C" w:rsidRDefault="0078259C" w:rsidP="0078259C">
            <w:pPr>
              <w:spacing w:after="0" w:line="240" w:lineRule="auto"/>
              <w:jc w:val="center"/>
              <w:rPr>
                <w:rFonts w:ascii="Calibri" w:eastAsia="Times New Roman" w:hAnsi="Calibri" w:cs="Calibri"/>
                <w:sz w:val="18"/>
                <w:szCs w:val="18"/>
                <w:lang w:eastAsia="hr-HR"/>
              </w:rPr>
            </w:pPr>
            <w:r w:rsidRPr="0078259C">
              <w:rPr>
                <w:rFonts w:ascii="Calibri" w:eastAsia="Times New Roman" w:hAnsi="Calibri" w:cs="Calibri"/>
                <w:sz w:val="18"/>
                <w:szCs w:val="18"/>
                <w:lang w:eastAsia="hr-HR"/>
              </w:rPr>
              <w:t>12.</w:t>
            </w:r>
          </w:p>
        </w:tc>
        <w:tc>
          <w:tcPr>
            <w:tcW w:w="425" w:type="dxa"/>
            <w:tcBorders>
              <w:top w:val="nil"/>
              <w:left w:val="nil"/>
              <w:bottom w:val="single" w:sz="4" w:space="0" w:color="auto"/>
              <w:right w:val="single" w:sz="4" w:space="0" w:color="auto"/>
            </w:tcBorders>
            <w:shd w:val="clear" w:color="000000" w:fill="CCFFCC"/>
            <w:vAlign w:val="center"/>
            <w:hideMark/>
          </w:tcPr>
          <w:p w14:paraId="3CBA4A86" w14:textId="77777777" w:rsidR="0078259C" w:rsidRPr="0078259C" w:rsidRDefault="0078259C" w:rsidP="0078259C">
            <w:pPr>
              <w:spacing w:after="0" w:line="240" w:lineRule="auto"/>
              <w:jc w:val="center"/>
              <w:rPr>
                <w:rFonts w:ascii="Calibri" w:eastAsia="Times New Roman" w:hAnsi="Calibri" w:cs="Calibri"/>
                <w:sz w:val="18"/>
                <w:szCs w:val="18"/>
                <w:lang w:eastAsia="hr-HR"/>
              </w:rPr>
            </w:pPr>
            <w:r w:rsidRPr="0078259C">
              <w:rPr>
                <w:rFonts w:ascii="Calibri" w:eastAsia="Times New Roman" w:hAnsi="Calibri" w:cs="Calibri"/>
                <w:sz w:val="18"/>
                <w:szCs w:val="18"/>
                <w:lang w:eastAsia="hr-HR"/>
              </w:rPr>
              <w:t>13.</w:t>
            </w:r>
          </w:p>
        </w:tc>
        <w:tc>
          <w:tcPr>
            <w:tcW w:w="425" w:type="dxa"/>
            <w:gridSpan w:val="2"/>
            <w:tcBorders>
              <w:top w:val="nil"/>
              <w:left w:val="nil"/>
              <w:bottom w:val="single" w:sz="4" w:space="0" w:color="auto"/>
              <w:right w:val="single" w:sz="4" w:space="0" w:color="auto"/>
            </w:tcBorders>
            <w:shd w:val="clear" w:color="000000" w:fill="CCFFCC"/>
            <w:vAlign w:val="center"/>
            <w:hideMark/>
          </w:tcPr>
          <w:p w14:paraId="51C9CD12" w14:textId="77777777" w:rsidR="0078259C" w:rsidRPr="0078259C" w:rsidRDefault="0078259C" w:rsidP="0078259C">
            <w:pPr>
              <w:spacing w:after="0" w:line="240" w:lineRule="auto"/>
              <w:jc w:val="center"/>
              <w:rPr>
                <w:rFonts w:ascii="Calibri" w:eastAsia="Times New Roman" w:hAnsi="Calibri" w:cs="Calibri"/>
                <w:sz w:val="18"/>
                <w:szCs w:val="18"/>
                <w:lang w:eastAsia="hr-HR"/>
              </w:rPr>
            </w:pPr>
            <w:r w:rsidRPr="0078259C">
              <w:rPr>
                <w:rFonts w:ascii="Calibri" w:eastAsia="Times New Roman" w:hAnsi="Calibri" w:cs="Calibri"/>
                <w:sz w:val="18"/>
                <w:szCs w:val="18"/>
                <w:lang w:eastAsia="hr-HR"/>
              </w:rPr>
              <w:t>14.</w:t>
            </w:r>
          </w:p>
        </w:tc>
        <w:tc>
          <w:tcPr>
            <w:tcW w:w="437" w:type="dxa"/>
            <w:tcBorders>
              <w:top w:val="nil"/>
              <w:left w:val="nil"/>
              <w:bottom w:val="single" w:sz="4" w:space="0" w:color="auto"/>
              <w:right w:val="single" w:sz="4" w:space="0" w:color="auto"/>
            </w:tcBorders>
            <w:shd w:val="clear" w:color="000000" w:fill="CCFFCC"/>
            <w:vAlign w:val="center"/>
            <w:hideMark/>
          </w:tcPr>
          <w:p w14:paraId="45CD15F0" w14:textId="77777777" w:rsidR="0078259C" w:rsidRPr="0078259C" w:rsidRDefault="0078259C" w:rsidP="0078259C">
            <w:pPr>
              <w:spacing w:after="0" w:line="240" w:lineRule="auto"/>
              <w:jc w:val="center"/>
              <w:rPr>
                <w:rFonts w:ascii="Calibri" w:eastAsia="Times New Roman" w:hAnsi="Calibri" w:cs="Calibri"/>
                <w:sz w:val="18"/>
                <w:szCs w:val="18"/>
                <w:lang w:eastAsia="hr-HR"/>
              </w:rPr>
            </w:pPr>
            <w:r w:rsidRPr="0078259C">
              <w:rPr>
                <w:rFonts w:ascii="Calibri" w:eastAsia="Times New Roman" w:hAnsi="Calibri" w:cs="Calibri"/>
                <w:sz w:val="18"/>
                <w:szCs w:val="18"/>
                <w:lang w:eastAsia="hr-HR"/>
              </w:rPr>
              <w:t>15.</w:t>
            </w:r>
          </w:p>
        </w:tc>
        <w:tc>
          <w:tcPr>
            <w:tcW w:w="556" w:type="dxa"/>
            <w:tcBorders>
              <w:top w:val="nil"/>
              <w:left w:val="nil"/>
              <w:bottom w:val="single" w:sz="4" w:space="0" w:color="auto"/>
              <w:right w:val="single" w:sz="4" w:space="0" w:color="auto"/>
            </w:tcBorders>
            <w:shd w:val="clear" w:color="000000" w:fill="CCFFCC"/>
            <w:vAlign w:val="center"/>
            <w:hideMark/>
          </w:tcPr>
          <w:p w14:paraId="67CF6F54" w14:textId="77777777" w:rsidR="0078259C" w:rsidRPr="0078259C" w:rsidRDefault="0078259C" w:rsidP="0078259C">
            <w:pPr>
              <w:spacing w:after="0" w:line="240" w:lineRule="auto"/>
              <w:jc w:val="center"/>
              <w:rPr>
                <w:rFonts w:ascii="Calibri" w:eastAsia="Times New Roman" w:hAnsi="Calibri" w:cs="Calibri"/>
                <w:sz w:val="18"/>
                <w:szCs w:val="18"/>
                <w:lang w:eastAsia="hr-HR"/>
              </w:rPr>
            </w:pPr>
            <w:r w:rsidRPr="0078259C">
              <w:rPr>
                <w:rFonts w:ascii="Calibri" w:eastAsia="Times New Roman" w:hAnsi="Calibri" w:cs="Calibri"/>
                <w:sz w:val="18"/>
                <w:szCs w:val="18"/>
                <w:lang w:eastAsia="hr-HR"/>
              </w:rPr>
              <w:t>16.</w:t>
            </w:r>
          </w:p>
        </w:tc>
        <w:tc>
          <w:tcPr>
            <w:tcW w:w="425" w:type="dxa"/>
            <w:tcBorders>
              <w:top w:val="nil"/>
              <w:left w:val="nil"/>
              <w:bottom w:val="single" w:sz="4" w:space="0" w:color="auto"/>
              <w:right w:val="single" w:sz="4" w:space="0" w:color="auto"/>
            </w:tcBorders>
            <w:shd w:val="clear" w:color="000000" w:fill="CCFFCC"/>
            <w:vAlign w:val="center"/>
            <w:hideMark/>
          </w:tcPr>
          <w:p w14:paraId="1BEECCE0" w14:textId="77777777" w:rsidR="0078259C" w:rsidRPr="0078259C" w:rsidRDefault="0078259C" w:rsidP="0078259C">
            <w:pPr>
              <w:spacing w:after="0" w:line="240" w:lineRule="auto"/>
              <w:jc w:val="center"/>
              <w:rPr>
                <w:rFonts w:ascii="Calibri" w:eastAsia="Times New Roman" w:hAnsi="Calibri" w:cs="Calibri"/>
                <w:sz w:val="18"/>
                <w:szCs w:val="18"/>
                <w:lang w:eastAsia="hr-HR"/>
              </w:rPr>
            </w:pPr>
            <w:r w:rsidRPr="0078259C">
              <w:rPr>
                <w:rFonts w:ascii="Calibri" w:eastAsia="Times New Roman" w:hAnsi="Calibri" w:cs="Calibri"/>
                <w:sz w:val="18"/>
                <w:szCs w:val="18"/>
                <w:lang w:eastAsia="hr-HR"/>
              </w:rPr>
              <w:t>17.</w:t>
            </w:r>
          </w:p>
        </w:tc>
        <w:tc>
          <w:tcPr>
            <w:tcW w:w="567" w:type="dxa"/>
            <w:gridSpan w:val="2"/>
            <w:tcBorders>
              <w:top w:val="nil"/>
              <w:left w:val="nil"/>
              <w:bottom w:val="single" w:sz="4" w:space="0" w:color="auto"/>
              <w:right w:val="single" w:sz="4" w:space="0" w:color="auto"/>
            </w:tcBorders>
            <w:shd w:val="clear" w:color="000000" w:fill="CCFFCC"/>
            <w:vAlign w:val="center"/>
            <w:hideMark/>
          </w:tcPr>
          <w:p w14:paraId="33365B4F" w14:textId="77777777" w:rsidR="0078259C" w:rsidRPr="0078259C" w:rsidRDefault="0078259C" w:rsidP="0078259C">
            <w:pPr>
              <w:spacing w:after="0" w:line="240" w:lineRule="auto"/>
              <w:jc w:val="center"/>
              <w:rPr>
                <w:rFonts w:ascii="Calibri" w:eastAsia="Times New Roman" w:hAnsi="Calibri" w:cs="Calibri"/>
                <w:sz w:val="18"/>
                <w:szCs w:val="18"/>
                <w:lang w:eastAsia="hr-HR"/>
              </w:rPr>
            </w:pPr>
            <w:r w:rsidRPr="0078259C">
              <w:rPr>
                <w:rFonts w:ascii="Calibri" w:eastAsia="Times New Roman" w:hAnsi="Calibri" w:cs="Calibri"/>
                <w:sz w:val="18"/>
                <w:szCs w:val="18"/>
                <w:lang w:eastAsia="hr-HR"/>
              </w:rPr>
              <w:t>18.</w:t>
            </w:r>
          </w:p>
        </w:tc>
        <w:tc>
          <w:tcPr>
            <w:tcW w:w="578" w:type="dxa"/>
            <w:gridSpan w:val="2"/>
            <w:tcBorders>
              <w:top w:val="nil"/>
              <w:left w:val="nil"/>
              <w:bottom w:val="single" w:sz="4" w:space="0" w:color="auto"/>
              <w:right w:val="single" w:sz="4" w:space="0" w:color="auto"/>
            </w:tcBorders>
            <w:shd w:val="clear" w:color="000000" w:fill="CCFFCC"/>
            <w:vAlign w:val="center"/>
            <w:hideMark/>
          </w:tcPr>
          <w:p w14:paraId="4759A670" w14:textId="77777777" w:rsidR="0078259C" w:rsidRPr="0078259C" w:rsidRDefault="0078259C" w:rsidP="0078259C">
            <w:pPr>
              <w:spacing w:after="0" w:line="240" w:lineRule="auto"/>
              <w:jc w:val="center"/>
              <w:rPr>
                <w:rFonts w:ascii="Calibri" w:eastAsia="Times New Roman" w:hAnsi="Calibri" w:cs="Calibri"/>
                <w:sz w:val="18"/>
                <w:szCs w:val="18"/>
                <w:lang w:eastAsia="hr-HR"/>
              </w:rPr>
            </w:pPr>
            <w:r w:rsidRPr="0078259C">
              <w:rPr>
                <w:rFonts w:ascii="Calibri" w:eastAsia="Times New Roman" w:hAnsi="Calibri" w:cs="Calibri"/>
                <w:sz w:val="18"/>
                <w:szCs w:val="18"/>
                <w:lang w:eastAsia="hr-HR"/>
              </w:rPr>
              <w:t>19.</w:t>
            </w:r>
          </w:p>
        </w:tc>
        <w:tc>
          <w:tcPr>
            <w:tcW w:w="839" w:type="dxa"/>
            <w:gridSpan w:val="2"/>
            <w:tcBorders>
              <w:top w:val="nil"/>
              <w:left w:val="nil"/>
              <w:bottom w:val="single" w:sz="4" w:space="0" w:color="auto"/>
              <w:right w:val="single" w:sz="4" w:space="0" w:color="auto"/>
            </w:tcBorders>
            <w:shd w:val="clear" w:color="000000" w:fill="CCFFCC"/>
            <w:vAlign w:val="center"/>
            <w:hideMark/>
          </w:tcPr>
          <w:p w14:paraId="5552EE21" w14:textId="77777777" w:rsidR="0078259C" w:rsidRPr="0078259C" w:rsidRDefault="0078259C" w:rsidP="0078259C">
            <w:pPr>
              <w:spacing w:after="0" w:line="240" w:lineRule="auto"/>
              <w:jc w:val="center"/>
              <w:rPr>
                <w:rFonts w:ascii="Calibri" w:eastAsia="Times New Roman" w:hAnsi="Calibri" w:cs="Calibri"/>
                <w:sz w:val="18"/>
                <w:szCs w:val="18"/>
                <w:lang w:eastAsia="hr-HR"/>
              </w:rPr>
            </w:pPr>
            <w:r w:rsidRPr="0078259C">
              <w:rPr>
                <w:rFonts w:ascii="Calibri" w:eastAsia="Times New Roman" w:hAnsi="Calibri" w:cs="Calibri"/>
                <w:sz w:val="18"/>
                <w:szCs w:val="18"/>
                <w:lang w:eastAsia="hr-HR"/>
              </w:rPr>
              <w:t>20.</w:t>
            </w:r>
          </w:p>
        </w:tc>
        <w:tc>
          <w:tcPr>
            <w:tcW w:w="426" w:type="dxa"/>
            <w:gridSpan w:val="2"/>
            <w:tcBorders>
              <w:top w:val="nil"/>
              <w:left w:val="nil"/>
              <w:bottom w:val="single" w:sz="4" w:space="0" w:color="auto"/>
              <w:right w:val="single" w:sz="4" w:space="0" w:color="auto"/>
            </w:tcBorders>
            <w:shd w:val="clear" w:color="000000" w:fill="CCFFCC"/>
            <w:vAlign w:val="center"/>
            <w:hideMark/>
          </w:tcPr>
          <w:p w14:paraId="698640DA" w14:textId="77777777" w:rsidR="0078259C" w:rsidRPr="0078259C" w:rsidRDefault="0078259C" w:rsidP="0078259C">
            <w:pPr>
              <w:spacing w:after="0" w:line="240" w:lineRule="auto"/>
              <w:jc w:val="center"/>
              <w:rPr>
                <w:rFonts w:ascii="Calibri" w:eastAsia="Times New Roman" w:hAnsi="Calibri" w:cs="Calibri"/>
                <w:sz w:val="18"/>
                <w:szCs w:val="18"/>
                <w:lang w:eastAsia="hr-HR"/>
              </w:rPr>
            </w:pPr>
            <w:r w:rsidRPr="0078259C">
              <w:rPr>
                <w:rFonts w:ascii="Calibri" w:eastAsia="Times New Roman" w:hAnsi="Calibri" w:cs="Calibri"/>
                <w:sz w:val="18"/>
                <w:szCs w:val="18"/>
                <w:lang w:eastAsia="hr-HR"/>
              </w:rPr>
              <w:t>21.</w:t>
            </w:r>
          </w:p>
        </w:tc>
        <w:tc>
          <w:tcPr>
            <w:tcW w:w="446" w:type="dxa"/>
            <w:tcBorders>
              <w:top w:val="nil"/>
              <w:left w:val="nil"/>
              <w:bottom w:val="single" w:sz="4" w:space="0" w:color="auto"/>
              <w:right w:val="single" w:sz="4" w:space="0" w:color="auto"/>
            </w:tcBorders>
            <w:shd w:val="clear" w:color="000000" w:fill="CCFFCC"/>
            <w:vAlign w:val="center"/>
            <w:hideMark/>
          </w:tcPr>
          <w:p w14:paraId="5E72D55E" w14:textId="77777777" w:rsidR="0078259C" w:rsidRPr="0078259C" w:rsidRDefault="0078259C" w:rsidP="0078259C">
            <w:pPr>
              <w:spacing w:after="0" w:line="240" w:lineRule="auto"/>
              <w:jc w:val="center"/>
              <w:rPr>
                <w:rFonts w:ascii="Calibri" w:eastAsia="Times New Roman" w:hAnsi="Calibri" w:cs="Calibri"/>
                <w:sz w:val="18"/>
                <w:szCs w:val="18"/>
                <w:lang w:eastAsia="hr-HR"/>
              </w:rPr>
            </w:pPr>
            <w:r w:rsidRPr="0078259C">
              <w:rPr>
                <w:rFonts w:ascii="Calibri" w:eastAsia="Times New Roman" w:hAnsi="Calibri" w:cs="Calibri"/>
                <w:sz w:val="18"/>
                <w:szCs w:val="18"/>
                <w:lang w:eastAsia="hr-HR"/>
              </w:rPr>
              <w:t>22.</w:t>
            </w:r>
          </w:p>
        </w:tc>
        <w:tc>
          <w:tcPr>
            <w:tcW w:w="404" w:type="dxa"/>
            <w:tcBorders>
              <w:top w:val="nil"/>
              <w:left w:val="nil"/>
              <w:bottom w:val="single" w:sz="4" w:space="0" w:color="auto"/>
              <w:right w:val="single" w:sz="4" w:space="0" w:color="auto"/>
            </w:tcBorders>
            <w:shd w:val="clear" w:color="000000" w:fill="CCFFCC"/>
            <w:vAlign w:val="center"/>
            <w:hideMark/>
          </w:tcPr>
          <w:p w14:paraId="76705FBF" w14:textId="77777777" w:rsidR="0078259C" w:rsidRPr="0078259C" w:rsidRDefault="0078259C" w:rsidP="0078259C">
            <w:pPr>
              <w:spacing w:after="0" w:line="240" w:lineRule="auto"/>
              <w:jc w:val="center"/>
              <w:rPr>
                <w:rFonts w:ascii="Calibri" w:eastAsia="Times New Roman" w:hAnsi="Calibri" w:cs="Calibri"/>
                <w:sz w:val="18"/>
                <w:szCs w:val="18"/>
                <w:lang w:eastAsia="hr-HR"/>
              </w:rPr>
            </w:pPr>
            <w:r w:rsidRPr="0078259C">
              <w:rPr>
                <w:rFonts w:ascii="Calibri" w:eastAsia="Times New Roman" w:hAnsi="Calibri" w:cs="Calibri"/>
                <w:sz w:val="18"/>
                <w:szCs w:val="18"/>
                <w:lang w:eastAsia="hr-HR"/>
              </w:rPr>
              <w:t>23.</w:t>
            </w:r>
          </w:p>
        </w:tc>
        <w:tc>
          <w:tcPr>
            <w:tcW w:w="839" w:type="dxa"/>
            <w:gridSpan w:val="2"/>
            <w:tcBorders>
              <w:top w:val="nil"/>
              <w:left w:val="nil"/>
              <w:bottom w:val="single" w:sz="4" w:space="0" w:color="auto"/>
              <w:right w:val="single" w:sz="4" w:space="0" w:color="auto"/>
            </w:tcBorders>
            <w:shd w:val="clear" w:color="000000" w:fill="CCFFCC"/>
            <w:vAlign w:val="center"/>
            <w:hideMark/>
          </w:tcPr>
          <w:p w14:paraId="5016121B" w14:textId="77777777" w:rsidR="0078259C" w:rsidRPr="0078259C" w:rsidRDefault="0078259C" w:rsidP="0078259C">
            <w:pPr>
              <w:spacing w:after="0" w:line="240" w:lineRule="auto"/>
              <w:jc w:val="center"/>
              <w:rPr>
                <w:rFonts w:ascii="Calibri" w:eastAsia="Times New Roman" w:hAnsi="Calibri" w:cs="Calibri"/>
                <w:sz w:val="18"/>
                <w:szCs w:val="18"/>
                <w:lang w:eastAsia="hr-HR"/>
              </w:rPr>
            </w:pPr>
            <w:r w:rsidRPr="0078259C">
              <w:rPr>
                <w:rFonts w:ascii="Calibri" w:eastAsia="Times New Roman" w:hAnsi="Calibri" w:cs="Calibri"/>
                <w:sz w:val="18"/>
                <w:szCs w:val="18"/>
                <w:lang w:eastAsia="hr-HR"/>
              </w:rPr>
              <w:t>24.</w:t>
            </w:r>
          </w:p>
        </w:tc>
        <w:tc>
          <w:tcPr>
            <w:tcW w:w="839" w:type="dxa"/>
            <w:tcBorders>
              <w:top w:val="nil"/>
              <w:left w:val="nil"/>
              <w:bottom w:val="single" w:sz="4" w:space="0" w:color="auto"/>
              <w:right w:val="nil"/>
            </w:tcBorders>
            <w:shd w:val="clear" w:color="000000" w:fill="CCFFCC"/>
            <w:vAlign w:val="center"/>
            <w:hideMark/>
          </w:tcPr>
          <w:p w14:paraId="79C1690D" w14:textId="77777777" w:rsidR="0078259C" w:rsidRPr="0078259C" w:rsidRDefault="0078259C" w:rsidP="0078259C">
            <w:pPr>
              <w:spacing w:after="0" w:line="240" w:lineRule="auto"/>
              <w:jc w:val="center"/>
              <w:rPr>
                <w:rFonts w:ascii="Calibri" w:eastAsia="Times New Roman" w:hAnsi="Calibri" w:cs="Calibri"/>
                <w:sz w:val="18"/>
                <w:szCs w:val="18"/>
                <w:lang w:eastAsia="hr-HR"/>
              </w:rPr>
            </w:pPr>
            <w:r w:rsidRPr="0078259C">
              <w:rPr>
                <w:rFonts w:ascii="Calibri" w:eastAsia="Times New Roman" w:hAnsi="Calibri" w:cs="Calibri"/>
                <w:sz w:val="18"/>
                <w:szCs w:val="18"/>
                <w:lang w:eastAsia="hr-HR"/>
              </w:rPr>
              <w:t>25.</w:t>
            </w:r>
          </w:p>
        </w:tc>
        <w:tc>
          <w:tcPr>
            <w:tcW w:w="236" w:type="dxa"/>
            <w:gridSpan w:val="2"/>
            <w:vAlign w:val="center"/>
            <w:hideMark/>
          </w:tcPr>
          <w:p w14:paraId="0BE8105C" w14:textId="77777777" w:rsidR="0078259C" w:rsidRPr="0078259C" w:rsidRDefault="0078259C" w:rsidP="0078259C">
            <w:pPr>
              <w:spacing w:after="0" w:line="240" w:lineRule="auto"/>
              <w:rPr>
                <w:rFonts w:ascii="Times New Roman" w:eastAsia="Times New Roman" w:hAnsi="Times New Roman" w:cs="Times New Roman"/>
                <w:sz w:val="18"/>
                <w:szCs w:val="18"/>
                <w:lang w:eastAsia="hr-HR"/>
              </w:rPr>
            </w:pPr>
          </w:p>
        </w:tc>
      </w:tr>
      <w:tr w:rsidR="0078259C" w:rsidRPr="0078259C" w14:paraId="64F5F893" w14:textId="77777777" w:rsidTr="0078259C">
        <w:trPr>
          <w:gridAfter w:val="2"/>
          <w:wAfter w:w="44" w:type="dxa"/>
          <w:trHeight w:val="600"/>
        </w:trPr>
        <w:tc>
          <w:tcPr>
            <w:tcW w:w="1394" w:type="dxa"/>
            <w:tcBorders>
              <w:top w:val="single" w:sz="4" w:space="0" w:color="auto"/>
              <w:left w:val="single" w:sz="8" w:space="0" w:color="auto"/>
              <w:bottom w:val="single" w:sz="4" w:space="0" w:color="auto"/>
              <w:right w:val="single" w:sz="4" w:space="0" w:color="auto"/>
            </w:tcBorders>
            <w:shd w:val="clear" w:color="000000" w:fill="CCFFCC"/>
            <w:vAlign w:val="center"/>
            <w:hideMark/>
          </w:tcPr>
          <w:p w14:paraId="01CA47BF" w14:textId="77777777" w:rsidR="0078259C" w:rsidRPr="0078259C" w:rsidRDefault="0078259C" w:rsidP="0078259C">
            <w:pPr>
              <w:spacing w:after="0" w:line="240" w:lineRule="auto"/>
              <w:jc w:val="center"/>
              <w:rPr>
                <w:rFonts w:ascii="Calibri" w:eastAsia="Times New Roman" w:hAnsi="Calibri" w:cs="Calibri"/>
                <w:sz w:val="18"/>
                <w:szCs w:val="18"/>
                <w:lang w:eastAsia="hr-HR"/>
              </w:rPr>
            </w:pPr>
            <w:r w:rsidRPr="0078259C">
              <w:rPr>
                <w:rFonts w:ascii="Calibri" w:eastAsia="Times New Roman" w:hAnsi="Calibri" w:cs="Calibri"/>
                <w:sz w:val="18"/>
                <w:szCs w:val="18"/>
                <w:lang w:eastAsia="hr-HR"/>
              </w:rPr>
              <w:t xml:space="preserve">Rasa ili etnička </w:t>
            </w:r>
            <w:proofErr w:type="spellStart"/>
            <w:r w:rsidRPr="0078259C">
              <w:rPr>
                <w:rFonts w:ascii="Calibri" w:eastAsia="Times New Roman" w:hAnsi="Calibri" w:cs="Calibri"/>
                <w:sz w:val="18"/>
                <w:szCs w:val="18"/>
                <w:lang w:eastAsia="hr-HR"/>
              </w:rPr>
              <w:t>propadnost</w:t>
            </w:r>
            <w:proofErr w:type="spellEnd"/>
            <w:r w:rsidRPr="0078259C">
              <w:rPr>
                <w:rFonts w:ascii="Calibri" w:eastAsia="Times New Roman" w:hAnsi="Calibri" w:cs="Calibri"/>
                <w:sz w:val="18"/>
                <w:szCs w:val="18"/>
                <w:lang w:eastAsia="hr-HR"/>
              </w:rPr>
              <w:t xml:space="preserve"> ili boja kože</w:t>
            </w:r>
          </w:p>
        </w:tc>
        <w:tc>
          <w:tcPr>
            <w:tcW w:w="575" w:type="dxa"/>
            <w:tcBorders>
              <w:top w:val="nil"/>
              <w:left w:val="nil"/>
              <w:bottom w:val="single" w:sz="4" w:space="0" w:color="auto"/>
              <w:right w:val="single" w:sz="4" w:space="0" w:color="auto"/>
            </w:tcBorders>
            <w:shd w:val="clear" w:color="000000" w:fill="CCFFCC"/>
            <w:vAlign w:val="center"/>
            <w:hideMark/>
          </w:tcPr>
          <w:p w14:paraId="482F0A88" w14:textId="77777777" w:rsidR="0078259C" w:rsidRPr="0078259C" w:rsidRDefault="0078259C" w:rsidP="0078259C">
            <w:pPr>
              <w:spacing w:after="0" w:line="240" w:lineRule="auto"/>
              <w:jc w:val="right"/>
              <w:rPr>
                <w:rFonts w:ascii="Calibri" w:eastAsia="Times New Roman" w:hAnsi="Calibri" w:cs="Calibri"/>
                <w:sz w:val="18"/>
                <w:szCs w:val="18"/>
                <w:lang w:eastAsia="hr-HR"/>
              </w:rPr>
            </w:pPr>
            <w:r w:rsidRPr="0078259C">
              <w:rPr>
                <w:rFonts w:ascii="Calibri" w:eastAsia="Times New Roman" w:hAnsi="Calibri" w:cs="Calibri"/>
                <w:sz w:val="18"/>
                <w:szCs w:val="18"/>
                <w:lang w:eastAsia="hr-HR"/>
              </w:rPr>
              <w:t>15</w:t>
            </w:r>
          </w:p>
        </w:tc>
        <w:tc>
          <w:tcPr>
            <w:tcW w:w="488" w:type="dxa"/>
            <w:tcBorders>
              <w:top w:val="nil"/>
              <w:left w:val="nil"/>
              <w:bottom w:val="single" w:sz="4" w:space="0" w:color="auto"/>
              <w:right w:val="single" w:sz="4" w:space="0" w:color="auto"/>
            </w:tcBorders>
            <w:shd w:val="clear" w:color="000000" w:fill="FFCC99"/>
            <w:noWrap/>
            <w:vAlign w:val="center"/>
            <w:hideMark/>
          </w:tcPr>
          <w:p w14:paraId="4FB3DA53" w14:textId="77777777" w:rsidR="0078259C" w:rsidRPr="0078259C" w:rsidRDefault="0078259C" w:rsidP="0078259C">
            <w:pPr>
              <w:spacing w:after="0" w:line="240" w:lineRule="auto"/>
              <w:jc w:val="right"/>
              <w:rPr>
                <w:rFonts w:ascii="Calibri" w:eastAsia="Times New Roman" w:hAnsi="Calibri" w:cs="Calibri"/>
                <w:sz w:val="18"/>
                <w:szCs w:val="18"/>
                <w:lang w:eastAsia="hr-HR"/>
              </w:rPr>
            </w:pPr>
            <w:r w:rsidRPr="0078259C">
              <w:rPr>
                <w:rFonts w:ascii="Calibri" w:eastAsia="Times New Roman" w:hAnsi="Calibri" w:cs="Calibri"/>
                <w:sz w:val="18"/>
                <w:szCs w:val="18"/>
                <w:lang w:eastAsia="hr-HR"/>
              </w:rPr>
              <w:t>10</w:t>
            </w:r>
          </w:p>
        </w:tc>
        <w:tc>
          <w:tcPr>
            <w:tcW w:w="500" w:type="dxa"/>
            <w:tcBorders>
              <w:top w:val="nil"/>
              <w:left w:val="nil"/>
              <w:bottom w:val="single" w:sz="4" w:space="0" w:color="auto"/>
              <w:right w:val="single" w:sz="4" w:space="0" w:color="auto"/>
            </w:tcBorders>
            <w:shd w:val="clear" w:color="000000" w:fill="FFCC99"/>
            <w:noWrap/>
            <w:vAlign w:val="center"/>
            <w:hideMark/>
          </w:tcPr>
          <w:p w14:paraId="41CB879B" w14:textId="77777777" w:rsidR="0078259C" w:rsidRPr="0078259C" w:rsidRDefault="0078259C" w:rsidP="0078259C">
            <w:pPr>
              <w:spacing w:after="0" w:line="240" w:lineRule="auto"/>
              <w:jc w:val="right"/>
              <w:rPr>
                <w:rFonts w:ascii="Calibri" w:eastAsia="Times New Roman" w:hAnsi="Calibri" w:cs="Calibri"/>
                <w:sz w:val="18"/>
                <w:szCs w:val="18"/>
                <w:lang w:eastAsia="hr-HR"/>
              </w:rPr>
            </w:pPr>
            <w:r w:rsidRPr="0078259C">
              <w:rPr>
                <w:rFonts w:ascii="Calibri" w:eastAsia="Times New Roman" w:hAnsi="Calibri" w:cs="Calibri"/>
                <w:sz w:val="18"/>
                <w:szCs w:val="18"/>
                <w:lang w:eastAsia="hr-HR"/>
              </w:rPr>
              <w:t>7</w:t>
            </w:r>
          </w:p>
        </w:tc>
        <w:tc>
          <w:tcPr>
            <w:tcW w:w="435" w:type="dxa"/>
            <w:tcBorders>
              <w:top w:val="nil"/>
              <w:left w:val="nil"/>
              <w:bottom w:val="single" w:sz="4" w:space="0" w:color="auto"/>
              <w:right w:val="single" w:sz="4" w:space="0" w:color="auto"/>
            </w:tcBorders>
            <w:shd w:val="clear" w:color="000000" w:fill="CCFFFF"/>
            <w:vAlign w:val="center"/>
            <w:hideMark/>
          </w:tcPr>
          <w:p w14:paraId="381E1CE7" w14:textId="77777777" w:rsidR="0078259C" w:rsidRPr="0078259C" w:rsidRDefault="0078259C" w:rsidP="0078259C">
            <w:pPr>
              <w:spacing w:after="0" w:line="240" w:lineRule="auto"/>
              <w:jc w:val="right"/>
              <w:rPr>
                <w:rFonts w:ascii="Calibri" w:eastAsia="Times New Roman" w:hAnsi="Calibri" w:cs="Calibri"/>
                <w:sz w:val="18"/>
                <w:szCs w:val="18"/>
                <w:lang w:eastAsia="hr-HR"/>
              </w:rPr>
            </w:pPr>
            <w:r w:rsidRPr="0078259C">
              <w:rPr>
                <w:rFonts w:ascii="Calibri" w:eastAsia="Times New Roman" w:hAnsi="Calibri" w:cs="Calibri"/>
                <w:sz w:val="18"/>
                <w:szCs w:val="18"/>
                <w:lang w:eastAsia="hr-HR"/>
              </w:rPr>
              <w:t>3</w:t>
            </w:r>
          </w:p>
        </w:tc>
        <w:tc>
          <w:tcPr>
            <w:tcW w:w="426" w:type="dxa"/>
            <w:tcBorders>
              <w:top w:val="nil"/>
              <w:left w:val="nil"/>
              <w:bottom w:val="single" w:sz="4" w:space="0" w:color="auto"/>
              <w:right w:val="single" w:sz="4" w:space="0" w:color="auto"/>
            </w:tcBorders>
            <w:shd w:val="clear" w:color="000000" w:fill="CCFFFF"/>
            <w:noWrap/>
            <w:vAlign w:val="center"/>
            <w:hideMark/>
          </w:tcPr>
          <w:p w14:paraId="76478A5A" w14:textId="77777777" w:rsidR="0078259C" w:rsidRPr="0078259C" w:rsidRDefault="0078259C" w:rsidP="0078259C">
            <w:pPr>
              <w:spacing w:after="0" w:line="240" w:lineRule="auto"/>
              <w:jc w:val="right"/>
              <w:rPr>
                <w:rFonts w:ascii="Calibri" w:eastAsia="Times New Roman" w:hAnsi="Calibri" w:cs="Calibri"/>
                <w:sz w:val="18"/>
                <w:szCs w:val="18"/>
                <w:lang w:eastAsia="hr-HR"/>
              </w:rPr>
            </w:pPr>
            <w:r w:rsidRPr="0078259C">
              <w:rPr>
                <w:rFonts w:ascii="Calibri" w:eastAsia="Times New Roman" w:hAnsi="Calibri" w:cs="Calibri"/>
                <w:sz w:val="18"/>
                <w:szCs w:val="18"/>
                <w:lang w:eastAsia="hr-HR"/>
              </w:rPr>
              <w:t>8</w:t>
            </w:r>
          </w:p>
        </w:tc>
        <w:tc>
          <w:tcPr>
            <w:tcW w:w="425" w:type="dxa"/>
            <w:tcBorders>
              <w:top w:val="nil"/>
              <w:left w:val="nil"/>
              <w:bottom w:val="single" w:sz="4" w:space="0" w:color="auto"/>
              <w:right w:val="single" w:sz="4" w:space="0" w:color="auto"/>
            </w:tcBorders>
            <w:shd w:val="clear" w:color="000000" w:fill="FFFF99"/>
            <w:noWrap/>
            <w:vAlign w:val="center"/>
            <w:hideMark/>
          </w:tcPr>
          <w:p w14:paraId="3193A6FE" w14:textId="77777777" w:rsidR="0078259C" w:rsidRPr="0078259C" w:rsidRDefault="0078259C" w:rsidP="0078259C">
            <w:pPr>
              <w:spacing w:after="0" w:line="240" w:lineRule="auto"/>
              <w:jc w:val="right"/>
              <w:rPr>
                <w:rFonts w:ascii="Calibri" w:eastAsia="Times New Roman" w:hAnsi="Calibri" w:cs="Calibri"/>
                <w:sz w:val="18"/>
                <w:szCs w:val="18"/>
                <w:lang w:eastAsia="hr-HR"/>
              </w:rPr>
            </w:pPr>
            <w:r w:rsidRPr="0078259C">
              <w:rPr>
                <w:rFonts w:ascii="Calibri" w:eastAsia="Times New Roman" w:hAnsi="Calibri" w:cs="Calibri"/>
                <w:sz w:val="18"/>
                <w:szCs w:val="18"/>
                <w:lang w:eastAsia="hr-HR"/>
              </w:rPr>
              <w:t>12</w:t>
            </w:r>
          </w:p>
        </w:tc>
        <w:tc>
          <w:tcPr>
            <w:tcW w:w="567" w:type="dxa"/>
            <w:tcBorders>
              <w:top w:val="nil"/>
              <w:left w:val="nil"/>
              <w:bottom w:val="single" w:sz="4" w:space="0" w:color="auto"/>
              <w:right w:val="single" w:sz="4" w:space="0" w:color="auto"/>
            </w:tcBorders>
            <w:shd w:val="clear" w:color="000000" w:fill="FFFF99"/>
            <w:noWrap/>
            <w:vAlign w:val="center"/>
            <w:hideMark/>
          </w:tcPr>
          <w:p w14:paraId="087A2157" w14:textId="77777777" w:rsidR="0078259C" w:rsidRPr="0078259C" w:rsidRDefault="0078259C" w:rsidP="0078259C">
            <w:pPr>
              <w:spacing w:after="0" w:line="240" w:lineRule="auto"/>
              <w:jc w:val="right"/>
              <w:rPr>
                <w:rFonts w:ascii="Calibri" w:eastAsia="Times New Roman" w:hAnsi="Calibri" w:cs="Calibri"/>
                <w:sz w:val="18"/>
                <w:szCs w:val="18"/>
                <w:lang w:eastAsia="hr-HR"/>
              </w:rPr>
            </w:pPr>
            <w:r w:rsidRPr="0078259C">
              <w:rPr>
                <w:rFonts w:ascii="Calibri" w:eastAsia="Times New Roman" w:hAnsi="Calibri" w:cs="Calibri"/>
                <w:sz w:val="18"/>
                <w:szCs w:val="18"/>
                <w:lang w:eastAsia="hr-HR"/>
              </w:rPr>
              <w:t>0</w:t>
            </w:r>
          </w:p>
        </w:tc>
        <w:tc>
          <w:tcPr>
            <w:tcW w:w="567" w:type="dxa"/>
            <w:tcBorders>
              <w:top w:val="nil"/>
              <w:left w:val="nil"/>
              <w:bottom w:val="single" w:sz="4" w:space="0" w:color="auto"/>
              <w:right w:val="single" w:sz="4" w:space="0" w:color="auto"/>
            </w:tcBorders>
            <w:shd w:val="clear" w:color="000000" w:fill="FFFF99"/>
            <w:noWrap/>
            <w:vAlign w:val="center"/>
            <w:hideMark/>
          </w:tcPr>
          <w:p w14:paraId="505DA985" w14:textId="77777777" w:rsidR="0078259C" w:rsidRPr="0078259C" w:rsidRDefault="0078259C" w:rsidP="0078259C">
            <w:pPr>
              <w:spacing w:after="0" w:line="240" w:lineRule="auto"/>
              <w:jc w:val="right"/>
              <w:rPr>
                <w:rFonts w:ascii="Calibri" w:eastAsia="Times New Roman" w:hAnsi="Calibri" w:cs="Calibri"/>
                <w:sz w:val="18"/>
                <w:szCs w:val="18"/>
                <w:lang w:eastAsia="hr-HR"/>
              </w:rPr>
            </w:pPr>
            <w:r w:rsidRPr="0078259C">
              <w:rPr>
                <w:rFonts w:ascii="Calibri" w:eastAsia="Times New Roman" w:hAnsi="Calibri" w:cs="Calibri"/>
                <w:sz w:val="18"/>
                <w:szCs w:val="18"/>
                <w:lang w:eastAsia="hr-HR"/>
              </w:rPr>
              <w:t>0</w:t>
            </w:r>
          </w:p>
        </w:tc>
        <w:tc>
          <w:tcPr>
            <w:tcW w:w="437" w:type="dxa"/>
            <w:tcBorders>
              <w:top w:val="nil"/>
              <w:left w:val="nil"/>
              <w:bottom w:val="single" w:sz="4" w:space="0" w:color="auto"/>
              <w:right w:val="single" w:sz="4" w:space="0" w:color="auto"/>
            </w:tcBorders>
            <w:shd w:val="clear" w:color="000000" w:fill="FFFF99"/>
            <w:noWrap/>
            <w:vAlign w:val="center"/>
            <w:hideMark/>
          </w:tcPr>
          <w:p w14:paraId="343D45E2" w14:textId="77777777" w:rsidR="0078259C" w:rsidRPr="0078259C" w:rsidRDefault="0078259C" w:rsidP="0078259C">
            <w:pPr>
              <w:spacing w:after="0" w:line="240" w:lineRule="auto"/>
              <w:jc w:val="right"/>
              <w:rPr>
                <w:rFonts w:ascii="Calibri" w:eastAsia="Times New Roman" w:hAnsi="Calibri" w:cs="Calibri"/>
                <w:sz w:val="18"/>
                <w:szCs w:val="18"/>
                <w:lang w:eastAsia="hr-HR"/>
              </w:rPr>
            </w:pPr>
            <w:r w:rsidRPr="0078259C">
              <w:rPr>
                <w:rFonts w:ascii="Calibri" w:eastAsia="Times New Roman" w:hAnsi="Calibri" w:cs="Calibri"/>
                <w:sz w:val="18"/>
                <w:szCs w:val="18"/>
                <w:lang w:eastAsia="hr-HR"/>
              </w:rPr>
              <w:t>0</w:t>
            </w:r>
          </w:p>
        </w:tc>
        <w:tc>
          <w:tcPr>
            <w:tcW w:w="413" w:type="dxa"/>
            <w:tcBorders>
              <w:top w:val="nil"/>
              <w:left w:val="nil"/>
              <w:bottom w:val="single" w:sz="4" w:space="0" w:color="auto"/>
              <w:right w:val="single" w:sz="4" w:space="0" w:color="auto"/>
            </w:tcBorders>
            <w:shd w:val="clear" w:color="000000" w:fill="FFFF99"/>
            <w:noWrap/>
            <w:vAlign w:val="center"/>
            <w:hideMark/>
          </w:tcPr>
          <w:p w14:paraId="2DAEBE87" w14:textId="77777777" w:rsidR="0078259C" w:rsidRPr="0078259C" w:rsidRDefault="0078259C" w:rsidP="0078259C">
            <w:pPr>
              <w:spacing w:after="0" w:line="240" w:lineRule="auto"/>
              <w:jc w:val="right"/>
              <w:rPr>
                <w:rFonts w:ascii="Calibri" w:eastAsia="Times New Roman" w:hAnsi="Calibri" w:cs="Calibri"/>
                <w:sz w:val="18"/>
                <w:szCs w:val="18"/>
                <w:lang w:eastAsia="hr-HR"/>
              </w:rPr>
            </w:pPr>
            <w:r w:rsidRPr="0078259C">
              <w:rPr>
                <w:rFonts w:ascii="Calibri" w:eastAsia="Times New Roman" w:hAnsi="Calibri" w:cs="Calibri"/>
                <w:sz w:val="18"/>
                <w:szCs w:val="18"/>
                <w:lang w:eastAsia="hr-HR"/>
              </w:rPr>
              <w:t>0</w:t>
            </w:r>
          </w:p>
        </w:tc>
        <w:tc>
          <w:tcPr>
            <w:tcW w:w="283" w:type="dxa"/>
            <w:gridSpan w:val="2"/>
            <w:tcBorders>
              <w:top w:val="nil"/>
              <w:left w:val="nil"/>
              <w:bottom w:val="single" w:sz="4" w:space="0" w:color="auto"/>
              <w:right w:val="single" w:sz="4" w:space="0" w:color="auto"/>
            </w:tcBorders>
            <w:shd w:val="clear" w:color="000000" w:fill="FF9900"/>
            <w:noWrap/>
            <w:vAlign w:val="center"/>
            <w:hideMark/>
          </w:tcPr>
          <w:p w14:paraId="23D00933" w14:textId="77777777" w:rsidR="0078259C" w:rsidRPr="0078259C" w:rsidRDefault="0078259C" w:rsidP="0078259C">
            <w:pPr>
              <w:spacing w:after="0" w:line="240" w:lineRule="auto"/>
              <w:jc w:val="right"/>
              <w:rPr>
                <w:rFonts w:ascii="Calibri" w:eastAsia="Times New Roman" w:hAnsi="Calibri" w:cs="Calibri"/>
                <w:sz w:val="18"/>
                <w:szCs w:val="18"/>
                <w:lang w:eastAsia="hr-HR"/>
              </w:rPr>
            </w:pPr>
            <w:r w:rsidRPr="0078259C">
              <w:rPr>
                <w:rFonts w:ascii="Calibri" w:eastAsia="Times New Roman" w:hAnsi="Calibri" w:cs="Calibri"/>
                <w:sz w:val="18"/>
                <w:szCs w:val="18"/>
                <w:lang w:eastAsia="hr-HR"/>
              </w:rPr>
              <w:t>7</w:t>
            </w:r>
          </w:p>
        </w:tc>
        <w:tc>
          <w:tcPr>
            <w:tcW w:w="568" w:type="dxa"/>
            <w:tcBorders>
              <w:top w:val="nil"/>
              <w:left w:val="nil"/>
              <w:bottom w:val="single" w:sz="4" w:space="0" w:color="auto"/>
              <w:right w:val="single" w:sz="4" w:space="0" w:color="auto"/>
            </w:tcBorders>
            <w:shd w:val="clear" w:color="000000" w:fill="FF9900"/>
            <w:noWrap/>
            <w:vAlign w:val="center"/>
            <w:hideMark/>
          </w:tcPr>
          <w:p w14:paraId="7EFDC04A" w14:textId="77777777" w:rsidR="0078259C" w:rsidRPr="0078259C" w:rsidRDefault="0078259C" w:rsidP="0078259C">
            <w:pPr>
              <w:spacing w:after="0" w:line="240" w:lineRule="auto"/>
              <w:jc w:val="right"/>
              <w:rPr>
                <w:rFonts w:ascii="Calibri" w:eastAsia="Times New Roman" w:hAnsi="Calibri" w:cs="Calibri"/>
                <w:sz w:val="18"/>
                <w:szCs w:val="18"/>
                <w:lang w:eastAsia="hr-HR"/>
              </w:rPr>
            </w:pPr>
            <w:r w:rsidRPr="0078259C">
              <w:rPr>
                <w:rFonts w:ascii="Calibri" w:eastAsia="Times New Roman" w:hAnsi="Calibri" w:cs="Calibri"/>
                <w:sz w:val="18"/>
                <w:szCs w:val="18"/>
                <w:lang w:eastAsia="hr-HR"/>
              </w:rPr>
              <w:t>2</w:t>
            </w:r>
          </w:p>
        </w:tc>
        <w:tc>
          <w:tcPr>
            <w:tcW w:w="425" w:type="dxa"/>
            <w:tcBorders>
              <w:top w:val="nil"/>
              <w:left w:val="nil"/>
              <w:bottom w:val="single" w:sz="4" w:space="0" w:color="auto"/>
              <w:right w:val="single" w:sz="4" w:space="0" w:color="auto"/>
            </w:tcBorders>
            <w:shd w:val="clear" w:color="000000" w:fill="FF9900"/>
            <w:noWrap/>
            <w:vAlign w:val="center"/>
            <w:hideMark/>
          </w:tcPr>
          <w:p w14:paraId="67C6E41F" w14:textId="77777777" w:rsidR="0078259C" w:rsidRPr="0078259C" w:rsidRDefault="0078259C" w:rsidP="0078259C">
            <w:pPr>
              <w:spacing w:after="0" w:line="240" w:lineRule="auto"/>
              <w:jc w:val="right"/>
              <w:rPr>
                <w:rFonts w:ascii="Calibri" w:eastAsia="Times New Roman" w:hAnsi="Calibri" w:cs="Calibri"/>
                <w:sz w:val="18"/>
                <w:szCs w:val="18"/>
                <w:lang w:eastAsia="hr-HR"/>
              </w:rPr>
            </w:pPr>
            <w:r w:rsidRPr="0078259C">
              <w:rPr>
                <w:rFonts w:ascii="Calibri" w:eastAsia="Times New Roman" w:hAnsi="Calibri" w:cs="Calibri"/>
                <w:sz w:val="18"/>
                <w:szCs w:val="18"/>
                <w:lang w:eastAsia="hr-HR"/>
              </w:rPr>
              <w:t>3</w:t>
            </w:r>
          </w:p>
        </w:tc>
        <w:tc>
          <w:tcPr>
            <w:tcW w:w="425" w:type="dxa"/>
            <w:gridSpan w:val="2"/>
            <w:tcBorders>
              <w:top w:val="nil"/>
              <w:left w:val="nil"/>
              <w:bottom w:val="single" w:sz="4" w:space="0" w:color="auto"/>
              <w:right w:val="single" w:sz="4" w:space="0" w:color="auto"/>
            </w:tcBorders>
            <w:shd w:val="clear" w:color="000000" w:fill="66FFCC"/>
            <w:noWrap/>
            <w:vAlign w:val="center"/>
            <w:hideMark/>
          </w:tcPr>
          <w:p w14:paraId="542A623C" w14:textId="77777777" w:rsidR="0078259C" w:rsidRPr="0078259C" w:rsidRDefault="0078259C" w:rsidP="0078259C">
            <w:pPr>
              <w:spacing w:after="0" w:line="240" w:lineRule="auto"/>
              <w:jc w:val="right"/>
              <w:rPr>
                <w:rFonts w:ascii="Calibri" w:eastAsia="Times New Roman" w:hAnsi="Calibri" w:cs="Calibri"/>
                <w:sz w:val="18"/>
                <w:szCs w:val="18"/>
                <w:lang w:eastAsia="hr-HR"/>
              </w:rPr>
            </w:pPr>
            <w:r w:rsidRPr="0078259C">
              <w:rPr>
                <w:rFonts w:ascii="Calibri" w:eastAsia="Times New Roman" w:hAnsi="Calibri" w:cs="Calibri"/>
                <w:sz w:val="18"/>
                <w:szCs w:val="18"/>
                <w:lang w:eastAsia="hr-HR"/>
              </w:rPr>
              <w:t>0</w:t>
            </w:r>
          </w:p>
        </w:tc>
        <w:tc>
          <w:tcPr>
            <w:tcW w:w="437" w:type="dxa"/>
            <w:tcBorders>
              <w:top w:val="nil"/>
              <w:left w:val="nil"/>
              <w:bottom w:val="single" w:sz="4" w:space="0" w:color="auto"/>
              <w:right w:val="single" w:sz="4" w:space="0" w:color="auto"/>
            </w:tcBorders>
            <w:shd w:val="clear" w:color="000000" w:fill="66FFCC"/>
            <w:noWrap/>
            <w:vAlign w:val="center"/>
            <w:hideMark/>
          </w:tcPr>
          <w:p w14:paraId="790783FD" w14:textId="77777777" w:rsidR="0078259C" w:rsidRPr="0078259C" w:rsidRDefault="0078259C" w:rsidP="0078259C">
            <w:pPr>
              <w:spacing w:after="0" w:line="240" w:lineRule="auto"/>
              <w:jc w:val="right"/>
              <w:rPr>
                <w:rFonts w:ascii="Calibri" w:eastAsia="Times New Roman" w:hAnsi="Calibri" w:cs="Calibri"/>
                <w:sz w:val="18"/>
                <w:szCs w:val="18"/>
                <w:lang w:eastAsia="hr-HR"/>
              </w:rPr>
            </w:pPr>
            <w:r w:rsidRPr="0078259C">
              <w:rPr>
                <w:rFonts w:ascii="Calibri" w:eastAsia="Times New Roman" w:hAnsi="Calibri" w:cs="Calibri"/>
                <w:sz w:val="18"/>
                <w:szCs w:val="18"/>
                <w:lang w:eastAsia="hr-HR"/>
              </w:rPr>
              <w:t>7</w:t>
            </w:r>
          </w:p>
        </w:tc>
        <w:tc>
          <w:tcPr>
            <w:tcW w:w="556" w:type="dxa"/>
            <w:tcBorders>
              <w:top w:val="nil"/>
              <w:left w:val="nil"/>
              <w:bottom w:val="single" w:sz="4" w:space="0" w:color="auto"/>
              <w:right w:val="single" w:sz="4" w:space="0" w:color="auto"/>
            </w:tcBorders>
            <w:shd w:val="clear" w:color="000000" w:fill="66FFCC"/>
            <w:noWrap/>
            <w:vAlign w:val="center"/>
            <w:hideMark/>
          </w:tcPr>
          <w:p w14:paraId="305F8C34" w14:textId="77777777" w:rsidR="0078259C" w:rsidRPr="0078259C" w:rsidRDefault="0078259C" w:rsidP="0078259C">
            <w:pPr>
              <w:spacing w:after="0" w:line="240" w:lineRule="auto"/>
              <w:jc w:val="right"/>
              <w:rPr>
                <w:rFonts w:ascii="Calibri" w:eastAsia="Times New Roman" w:hAnsi="Calibri" w:cs="Calibri"/>
                <w:sz w:val="18"/>
                <w:szCs w:val="18"/>
                <w:lang w:eastAsia="hr-HR"/>
              </w:rPr>
            </w:pPr>
            <w:r w:rsidRPr="0078259C">
              <w:rPr>
                <w:rFonts w:ascii="Calibri" w:eastAsia="Times New Roman" w:hAnsi="Calibri" w:cs="Calibri"/>
                <w:sz w:val="18"/>
                <w:szCs w:val="18"/>
                <w:lang w:eastAsia="hr-HR"/>
              </w:rPr>
              <w:t>1</w:t>
            </w:r>
          </w:p>
        </w:tc>
        <w:tc>
          <w:tcPr>
            <w:tcW w:w="425" w:type="dxa"/>
            <w:tcBorders>
              <w:top w:val="nil"/>
              <w:left w:val="nil"/>
              <w:bottom w:val="single" w:sz="4" w:space="0" w:color="auto"/>
              <w:right w:val="single" w:sz="4" w:space="0" w:color="auto"/>
            </w:tcBorders>
            <w:shd w:val="clear" w:color="000000" w:fill="66FFCC"/>
            <w:noWrap/>
            <w:vAlign w:val="center"/>
            <w:hideMark/>
          </w:tcPr>
          <w:p w14:paraId="5C927424" w14:textId="77777777" w:rsidR="0078259C" w:rsidRPr="0078259C" w:rsidRDefault="0078259C" w:rsidP="0078259C">
            <w:pPr>
              <w:spacing w:after="0" w:line="240" w:lineRule="auto"/>
              <w:jc w:val="right"/>
              <w:rPr>
                <w:rFonts w:ascii="Calibri" w:eastAsia="Times New Roman" w:hAnsi="Calibri" w:cs="Calibri"/>
                <w:sz w:val="18"/>
                <w:szCs w:val="18"/>
                <w:lang w:eastAsia="hr-HR"/>
              </w:rPr>
            </w:pPr>
            <w:r w:rsidRPr="0078259C">
              <w:rPr>
                <w:rFonts w:ascii="Calibri" w:eastAsia="Times New Roman" w:hAnsi="Calibri" w:cs="Calibri"/>
                <w:sz w:val="18"/>
                <w:szCs w:val="18"/>
                <w:lang w:eastAsia="hr-HR"/>
              </w:rPr>
              <w:t>8</w:t>
            </w:r>
          </w:p>
        </w:tc>
        <w:tc>
          <w:tcPr>
            <w:tcW w:w="567" w:type="dxa"/>
            <w:gridSpan w:val="2"/>
            <w:tcBorders>
              <w:top w:val="nil"/>
              <w:left w:val="nil"/>
              <w:bottom w:val="single" w:sz="4" w:space="0" w:color="auto"/>
              <w:right w:val="single" w:sz="4" w:space="0" w:color="auto"/>
            </w:tcBorders>
            <w:shd w:val="clear" w:color="000000" w:fill="FFFF00"/>
            <w:vAlign w:val="center"/>
            <w:hideMark/>
          </w:tcPr>
          <w:p w14:paraId="797E6D54" w14:textId="77777777" w:rsidR="0078259C" w:rsidRPr="0078259C" w:rsidRDefault="0078259C" w:rsidP="0078259C">
            <w:pPr>
              <w:spacing w:after="0" w:line="240" w:lineRule="auto"/>
              <w:jc w:val="right"/>
              <w:rPr>
                <w:rFonts w:ascii="Calibri" w:eastAsia="Times New Roman" w:hAnsi="Calibri" w:cs="Calibri"/>
                <w:sz w:val="18"/>
                <w:szCs w:val="18"/>
                <w:lang w:eastAsia="hr-HR"/>
              </w:rPr>
            </w:pPr>
            <w:r w:rsidRPr="0078259C">
              <w:rPr>
                <w:rFonts w:ascii="Calibri" w:eastAsia="Times New Roman" w:hAnsi="Calibri" w:cs="Calibri"/>
                <w:sz w:val="18"/>
                <w:szCs w:val="18"/>
                <w:lang w:eastAsia="hr-HR"/>
              </w:rPr>
              <w:t>12</w:t>
            </w:r>
          </w:p>
        </w:tc>
        <w:tc>
          <w:tcPr>
            <w:tcW w:w="578" w:type="dxa"/>
            <w:gridSpan w:val="2"/>
            <w:tcBorders>
              <w:top w:val="nil"/>
              <w:left w:val="nil"/>
              <w:bottom w:val="single" w:sz="4" w:space="0" w:color="auto"/>
              <w:right w:val="single" w:sz="4" w:space="0" w:color="auto"/>
            </w:tcBorders>
            <w:shd w:val="clear" w:color="000000" w:fill="FFFF99"/>
            <w:vAlign w:val="center"/>
            <w:hideMark/>
          </w:tcPr>
          <w:p w14:paraId="02353112" w14:textId="77777777" w:rsidR="0078259C" w:rsidRPr="0078259C" w:rsidRDefault="0078259C" w:rsidP="0078259C">
            <w:pPr>
              <w:spacing w:after="0" w:line="240" w:lineRule="auto"/>
              <w:jc w:val="right"/>
              <w:rPr>
                <w:rFonts w:ascii="Calibri" w:eastAsia="Times New Roman" w:hAnsi="Calibri" w:cs="Calibri"/>
                <w:sz w:val="18"/>
                <w:szCs w:val="18"/>
                <w:lang w:eastAsia="hr-HR"/>
              </w:rPr>
            </w:pPr>
            <w:r w:rsidRPr="0078259C">
              <w:rPr>
                <w:rFonts w:ascii="Calibri" w:eastAsia="Times New Roman" w:hAnsi="Calibri" w:cs="Calibri"/>
                <w:sz w:val="18"/>
                <w:szCs w:val="18"/>
                <w:lang w:eastAsia="hr-HR"/>
              </w:rPr>
              <w:t>13</w:t>
            </w:r>
          </w:p>
        </w:tc>
        <w:tc>
          <w:tcPr>
            <w:tcW w:w="839" w:type="dxa"/>
            <w:gridSpan w:val="2"/>
            <w:tcBorders>
              <w:top w:val="nil"/>
              <w:left w:val="nil"/>
              <w:bottom w:val="single" w:sz="4" w:space="0" w:color="auto"/>
              <w:right w:val="single" w:sz="4" w:space="0" w:color="auto"/>
            </w:tcBorders>
            <w:shd w:val="clear" w:color="000000" w:fill="FF9900"/>
            <w:vAlign w:val="center"/>
            <w:hideMark/>
          </w:tcPr>
          <w:p w14:paraId="4DA83543" w14:textId="77777777" w:rsidR="0078259C" w:rsidRPr="0078259C" w:rsidRDefault="0078259C" w:rsidP="0078259C">
            <w:pPr>
              <w:spacing w:after="0" w:line="240" w:lineRule="auto"/>
              <w:jc w:val="right"/>
              <w:rPr>
                <w:rFonts w:ascii="Calibri" w:eastAsia="Times New Roman" w:hAnsi="Calibri" w:cs="Calibri"/>
                <w:sz w:val="18"/>
                <w:szCs w:val="18"/>
                <w:lang w:eastAsia="hr-HR"/>
              </w:rPr>
            </w:pPr>
            <w:r w:rsidRPr="0078259C">
              <w:rPr>
                <w:rFonts w:ascii="Calibri" w:eastAsia="Times New Roman" w:hAnsi="Calibri" w:cs="Calibri"/>
                <w:sz w:val="18"/>
                <w:szCs w:val="18"/>
                <w:lang w:eastAsia="hr-HR"/>
              </w:rPr>
              <w:t>7</w:t>
            </w:r>
          </w:p>
        </w:tc>
        <w:tc>
          <w:tcPr>
            <w:tcW w:w="426" w:type="dxa"/>
            <w:gridSpan w:val="2"/>
            <w:tcBorders>
              <w:top w:val="nil"/>
              <w:left w:val="nil"/>
              <w:bottom w:val="single" w:sz="4" w:space="0" w:color="auto"/>
              <w:right w:val="single" w:sz="4" w:space="0" w:color="auto"/>
            </w:tcBorders>
            <w:shd w:val="clear" w:color="000000" w:fill="CCFFFF"/>
            <w:vAlign w:val="center"/>
            <w:hideMark/>
          </w:tcPr>
          <w:p w14:paraId="49102E3F" w14:textId="77777777" w:rsidR="0078259C" w:rsidRPr="0078259C" w:rsidRDefault="0078259C" w:rsidP="0078259C">
            <w:pPr>
              <w:spacing w:after="0" w:line="240" w:lineRule="auto"/>
              <w:jc w:val="right"/>
              <w:rPr>
                <w:rFonts w:ascii="Calibri" w:eastAsia="Times New Roman" w:hAnsi="Calibri" w:cs="Calibri"/>
                <w:sz w:val="18"/>
                <w:szCs w:val="18"/>
                <w:lang w:eastAsia="hr-HR"/>
              </w:rPr>
            </w:pPr>
            <w:r w:rsidRPr="0078259C">
              <w:rPr>
                <w:rFonts w:ascii="Calibri" w:eastAsia="Times New Roman" w:hAnsi="Calibri" w:cs="Calibri"/>
                <w:sz w:val="18"/>
                <w:szCs w:val="18"/>
                <w:lang w:eastAsia="hr-HR"/>
              </w:rPr>
              <w:t>1</w:t>
            </w:r>
          </w:p>
        </w:tc>
        <w:tc>
          <w:tcPr>
            <w:tcW w:w="446" w:type="dxa"/>
            <w:tcBorders>
              <w:top w:val="nil"/>
              <w:left w:val="nil"/>
              <w:bottom w:val="single" w:sz="4" w:space="0" w:color="auto"/>
              <w:right w:val="single" w:sz="4" w:space="0" w:color="auto"/>
            </w:tcBorders>
            <w:shd w:val="clear" w:color="000000" w:fill="CCFFFF"/>
            <w:vAlign w:val="center"/>
            <w:hideMark/>
          </w:tcPr>
          <w:p w14:paraId="0CCB0EBE" w14:textId="77777777" w:rsidR="0078259C" w:rsidRPr="0078259C" w:rsidRDefault="0078259C" w:rsidP="0078259C">
            <w:pPr>
              <w:spacing w:after="0" w:line="240" w:lineRule="auto"/>
              <w:jc w:val="right"/>
              <w:rPr>
                <w:rFonts w:ascii="Calibri" w:eastAsia="Times New Roman" w:hAnsi="Calibri" w:cs="Calibri"/>
                <w:sz w:val="18"/>
                <w:szCs w:val="18"/>
                <w:lang w:eastAsia="hr-HR"/>
              </w:rPr>
            </w:pPr>
            <w:r w:rsidRPr="0078259C">
              <w:rPr>
                <w:rFonts w:ascii="Calibri" w:eastAsia="Times New Roman" w:hAnsi="Calibri" w:cs="Calibri"/>
                <w:sz w:val="18"/>
                <w:szCs w:val="18"/>
                <w:lang w:eastAsia="hr-HR"/>
              </w:rPr>
              <w:t>7</w:t>
            </w:r>
          </w:p>
        </w:tc>
        <w:tc>
          <w:tcPr>
            <w:tcW w:w="404" w:type="dxa"/>
            <w:tcBorders>
              <w:top w:val="nil"/>
              <w:left w:val="nil"/>
              <w:bottom w:val="single" w:sz="4" w:space="0" w:color="auto"/>
              <w:right w:val="single" w:sz="4" w:space="0" w:color="auto"/>
            </w:tcBorders>
            <w:shd w:val="clear" w:color="000000" w:fill="CCFFFF"/>
            <w:noWrap/>
            <w:vAlign w:val="center"/>
            <w:hideMark/>
          </w:tcPr>
          <w:p w14:paraId="6501390E" w14:textId="77777777" w:rsidR="0078259C" w:rsidRPr="0078259C" w:rsidRDefault="0078259C" w:rsidP="0078259C">
            <w:pPr>
              <w:spacing w:after="0" w:line="240" w:lineRule="auto"/>
              <w:jc w:val="right"/>
              <w:rPr>
                <w:rFonts w:ascii="Calibri" w:eastAsia="Times New Roman" w:hAnsi="Calibri" w:cs="Calibri"/>
                <w:sz w:val="18"/>
                <w:szCs w:val="18"/>
                <w:lang w:eastAsia="hr-HR"/>
              </w:rPr>
            </w:pPr>
            <w:r w:rsidRPr="0078259C">
              <w:rPr>
                <w:rFonts w:ascii="Calibri" w:eastAsia="Times New Roman" w:hAnsi="Calibri" w:cs="Calibri"/>
                <w:sz w:val="18"/>
                <w:szCs w:val="18"/>
                <w:lang w:eastAsia="hr-HR"/>
              </w:rPr>
              <w:t>3</w:t>
            </w:r>
          </w:p>
        </w:tc>
        <w:tc>
          <w:tcPr>
            <w:tcW w:w="839" w:type="dxa"/>
            <w:gridSpan w:val="2"/>
            <w:tcBorders>
              <w:top w:val="nil"/>
              <w:left w:val="nil"/>
              <w:bottom w:val="single" w:sz="4" w:space="0" w:color="auto"/>
              <w:right w:val="single" w:sz="4" w:space="0" w:color="auto"/>
            </w:tcBorders>
            <w:shd w:val="clear" w:color="000000" w:fill="33CCCC"/>
            <w:noWrap/>
            <w:vAlign w:val="center"/>
            <w:hideMark/>
          </w:tcPr>
          <w:p w14:paraId="7AF6CA77" w14:textId="77777777" w:rsidR="0078259C" w:rsidRPr="0078259C" w:rsidRDefault="0078259C" w:rsidP="0078259C">
            <w:pPr>
              <w:spacing w:after="0" w:line="240" w:lineRule="auto"/>
              <w:jc w:val="right"/>
              <w:rPr>
                <w:rFonts w:ascii="Calibri" w:eastAsia="Times New Roman" w:hAnsi="Calibri" w:cs="Calibri"/>
                <w:sz w:val="18"/>
                <w:szCs w:val="18"/>
                <w:lang w:eastAsia="hr-HR"/>
              </w:rPr>
            </w:pPr>
            <w:r w:rsidRPr="0078259C">
              <w:rPr>
                <w:rFonts w:ascii="Calibri" w:eastAsia="Times New Roman" w:hAnsi="Calibri" w:cs="Calibri"/>
                <w:sz w:val="18"/>
                <w:szCs w:val="18"/>
                <w:lang w:eastAsia="hr-HR"/>
              </w:rPr>
              <w:t>7</w:t>
            </w:r>
          </w:p>
        </w:tc>
        <w:tc>
          <w:tcPr>
            <w:tcW w:w="839" w:type="dxa"/>
            <w:tcBorders>
              <w:top w:val="nil"/>
              <w:left w:val="nil"/>
              <w:bottom w:val="single" w:sz="4" w:space="0" w:color="auto"/>
              <w:right w:val="nil"/>
            </w:tcBorders>
            <w:shd w:val="clear" w:color="000000" w:fill="33CCCC"/>
            <w:noWrap/>
            <w:vAlign w:val="center"/>
            <w:hideMark/>
          </w:tcPr>
          <w:p w14:paraId="68C22526" w14:textId="77777777" w:rsidR="0078259C" w:rsidRPr="0078259C" w:rsidRDefault="0078259C" w:rsidP="0078259C">
            <w:pPr>
              <w:spacing w:after="0" w:line="240" w:lineRule="auto"/>
              <w:jc w:val="right"/>
              <w:rPr>
                <w:rFonts w:ascii="Calibri" w:eastAsia="Times New Roman" w:hAnsi="Calibri" w:cs="Calibri"/>
                <w:sz w:val="18"/>
                <w:szCs w:val="18"/>
                <w:lang w:eastAsia="hr-HR"/>
              </w:rPr>
            </w:pPr>
            <w:r w:rsidRPr="0078259C">
              <w:rPr>
                <w:rFonts w:ascii="Calibri" w:eastAsia="Times New Roman" w:hAnsi="Calibri" w:cs="Calibri"/>
                <w:sz w:val="18"/>
                <w:szCs w:val="18"/>
                <w:lang w:eastAsia="hr-HR"/>
              </w:rPr>
              <w:t>5</w:t>
            </w:r>
          </w:p>
        </w:tc>
        <w:tc>
          <w:tcPr>
            <w:tcW w:w="236" w:type="dxa"/>
            <w:gridSpan w:val="2"/>
            <w:vAlign w:val="center"/>
            <w:hideMark/>
          </w:tcPr>
          <w:p w14:paraId="7B180EA0" w14:textId="77777777" w:rsidR="0078259C" w:rsidRPr="0078259C" w:rsidRDefault="0078259C" w:rsidP="0078259C">
            <w:pPr>
              <w:spacing w:after="0" w:line="240" w:lineRule="auto"/>
              <w:rPr>
                <w:rFonts w:ascii="Times New Roman" w:eastAsia="Times New Roman" w:hAnsi="Times New Roman" w:cs="Times New Roman"/>
                <w:sz w:val="18"/>
                <w:szCs w:val="18"/>
                <w:lang w:eastAsia="hr-HR"/>
              </w:rPr>
            </w:pPr>
          </w:p>
        </w:tc>
      </w:tr>
      <w:tr w:rsidR="0078259C" w:rsidRPr="0078259C" w14:paraId="1DE83855" w14:textId="77777777" w:rsidTr="0078259C">
        <w:trPr>
          <w:gridAfter w:val="2"/>
          <w:wAfter w:w="44" w:type="dxa"/>
          <w:trHeight w:val="405"/>
        </w:trPr>
        <w:tc>
          <w:tcPr>
            <w:tcW w:w="1394" w:type="dxa"/>
            <w:tcBorders>
              <w:top w:val="single" w:sz="4" w:space="0" w:color="auto"/>
              <w:left w:val="single" w:sz="8" w:space="0" w:color="auto"/>
              <w:bottom w:val="single" w:sz="4" w:space="0" w:color="auto"/>
              <w:right w:val="single" w:sz="4" w:space="0" w:color="auto"/>
            </w:tcBorders>
            <w:shd w:val="clear" w:color="000000" w:fill="CCFFCC"/>
            <w:vAlign w:val="center"/>
            <w:hideMark/>
          </w:tcPr>
          <w:p w14:paraId="4B4E0155" w14:textId="77777777" w:rsidR="0078259C" w:rsidRPr="0078259C" w:rsidRDefault="0078259C" w:rsidP="0078259C">
            <w:pPr>
              <w:spacing w:after="0" w:line="240" w:lineRule="auto"/>
              <w:jc w:val="center"/>
              <w:rPr>
                <w:rFonts w:ascii="Calibri" w:eastAsia="Times New Roman" w:hAnsi="Calibri" w:cs="Calibri"/>
                <w:sz w:val="18"/>
                <w:szCs w:val="18"/>
                <w:lang w:eastAsia="hr-HR"/>
              </w:rPr>
            </w:pPr>
            <w:r w:rsidRPr="0078259C">
              <w:rPr>
                <w:rFonts w:ascii="Calibri" w:eastAsia="Times New Roman" w:hAnsi="Calibri" w:cs="Calibri"/>
                <w:sz w:val="18"/>
                <w:szCs w:val="18"/>
                <w:lang w:eastAsia="hr-HR"/>
              </w:rPr>
              <w:t>Spol</w:t>
            </w:r>
          </w:p>
        </w:tc>
        <w:tc>
          <w:tcPr>
            <w:tcW w:w="575" w:type="dxa"/>
            <w:tcBorders>
              <w:top w:val="nil"/>
              <w:left w:val="nil"/>
              <w:bottom w:val="single" w:sz="4" w:space="0" w:color="auto"/>
              <w:right w:val="single" w:sz="4" w:space="0" w:color="auto"/>
            </w:tcBorders>
            <w:shd w:val="clear" w:color="000000" w:fill="CCFFCC"/>
            <w:vAlign w:val="center"/>
            <w:hideMark/>
          </w:tcPr>
          <w:p w14:paraId="0A96033B" w14:textId="77777777" w:rsidR="0078259C" w:rsidRPr="0078259C" w:rsidRDefault="0078259C" w:rsidP="0078259C">
            <w:pPr>
              <w:spacing w:after="0" w:line="240" w:lineRule="auto"/>
              <w:jc w:val="right"/>
              <w:rPr>
                <w:rFonts w:ascii="Calibri" w:eastAsia="Times New Roman" w:hAnsi="Calibri" w:cs="Calibri"/>
                <w:sz w:val="18"/>
                <w:szCs w:val="18"/>
                <w:lang w:eastAsia="hr-HR"/>
              </w:rPr>
            </w:pPr>
            <w:r w:rsidRPr="0078259C">
              <w:rPr>
                <w:rFonts w:ascii="Calibri" w:eastAsia="Times New Roman" w:hAnsi="Calibri" w:cs="Calibri"/>
                <w:sz w:val="18"/>
                <w:szCs w:val="18"/>
                <w:lang w:eastAsia="hr-HR"/>
              </w:rPr>
              <w:t>7</w:t>
            </w:r>
          </w:p>
        </w:tc>
        <w:tc>
          <w:tcPr>
            <w:tcW w:w="488" w:type="dxa"/>
            <w:tcBorders>
              <w:top w:val="nil"/>
              <w:left w:val="nil"/>
              <w:bottom w:val="single" w:sz="4" w:space="0" w:color="auto"/>
              <w:right w:val="single" w:sz="4" w:space="0" w:color="auto"/>
            </w:tcBorders>
            <w:shd w:val="clear" w:color="000000" w:fill="FFCC99"/>
            <w:noWrap/>
            <w:vAlign w:val="center"/>
            <w:hideMark/>
          </w:tcPr>
          <w:p w14:paraId="3806B0BF" w14:textId="77777777" w:rsidR="0078259C" w:rsidRPr="0078259C" w:rsidRDefault="0078259C" w:rsidP="0078259C">
            <w:pPr>
              <w:spacing w:after="0" w:line="240" w:lineRule="auto"/>
              <w:jc w:val="right"/>
              <w:rPr>
                <w:rFonts w:ascii="Calibri" w:eastAsia="Times New Roman" w:hAnsi="Calibri" w:cs="Calibri"/>
                <w:sz w:val="18"/>
                <w:szCs w:val="18"/>
                <w:lang w:eastAsia="hr-HR"/>
              </w:rPr>
            </w:pPr>
            <w:r w:rsidRPr="0078259C">
              <w:rPr>
                <w:rFonts w:ascii="Calibri" w:eastAsia="Times New Roman" w:hAnsi="Calibri" w:cs="Calibri"/>
                <w:sz w:val="18"/>
                <w:szCs w:val="18"/>
                <w:lang w:eastAsia="hr-HR"/>
              </w:rPr>
              <w:t>19</w:t>
            </w:r>
          </w:p>
        </w:tc>
        <w:tc>
          <w:tcPr>
            <w:tcW w:w="500" w:type="dxa"/>
            <w:tcBorders>
              <w:top w:val="nil"/>
              <w:left w:val="nil"/>
              <w:bottom w:val="single" w:sz="4" w:space="0" w:color="auto"/>
              <w:right w:val="single" w:sz="4" w:space="0" w:color="auto"/>
            </w:tcBorders>
            <w:shd w:val="clear" w:color="000000" w:fill="FFCC99"/>
            <w:noWrap/>
            <w:vAlign w:val="center"/>
            <w:hideMark/>
          </w:tcPr>
          <w:p w14:paraId="73B75FB5" w14:textId="77777777" w:rsidR="0078259C" w:rsidRPr="0078259C" w:rsidRDefault="0078259C" w:rsidP="0078259C">
            <w:pPr>
              <w:spacing w:after="0" w:line="240" w:lineRule="auto"/>
              <w:jc w:val="right"/>
              <w:rPr>
                <w:rFonts w:ascii="Calibri" w:eastAsia="Times New Roman" w:hAnsi="Calibri" w:cs="Calibri"/>
                <w:sz w:val="18"/>
                <w:szCs w:val="18"/>
                <w:lang w:eastAsia="hr-HR"/>
              </w:rPr>
            </w:pPr>
            <w:r w:rsidRPr="0078259C">
              <w:rPr>
                <w:rFonts w:ascii="Calibri" w:eastAsia="Times New Roman" w:hAnsi="Calibri" w:cs="Calibri"/>
                <w:sz w:val="18"/>
                <w:szCs w:val="18"/>
                <w:lang w:eastAsia="hr-HR"/>
              </w:rPr>
              <w:t>6</w:t>
            </w:r>
          </w:p>
        </w:tc>
        <w:tc>
          <w:tcPr>
            <w:tcW w:w="435" w:type="dxa"/>
            <w:tcBorders>
              <w:top w:val="nil"/>
              <w:left w:val="nil"/>
              <w:bottom w:val="single" w:sz="4" w:space="0" w:color="auto"/>
              <w:right w:val="single" w:sz="4" w:space="0" w:color="auto"/>
            </w:tcBorders>
            <w:shd w:val="clear" w:color="000000" w:fill="CCFFFF"/>
            <w:vAlign w:val="center"/>
            <w:hideMark/>
          </w:tcPr>
          <w:p w14:paraId="5CDF982A" w14:textId="77777777" w:rsidR="0078259C" w:rsidRPr="0078259C" w:rsidRDefault="0078259C" w:rsidP="0078259C">
            <w:pPr>
              <w:spacing w:after="0" w:line="240" w:lineRule="auto"/>
              <w:jc w:val="right"/>
              <w:rPr>
                <w:rFonts w:ascii="Calibri" w:eastAsia="Times New Roman" w:hAnsi="Calibri" w:cs="Calibri"/>
                <w:sz w:val="18"/>
                <w:szCs w:val="18"/>
                <w:lang w:eastAsia="hr-HR"/>
              </w:rPr>
            </w:pPr>
            <w:r w:rsidRPr="0078259C">
              <w:rPr>
                <w:rFonts w:ascii="Calibri" w:eastAsia="Times New Roman" w:hAnsi="Calibri" w:cs="Calibri"/>
                <w:sz w:val="18"/>
                <w:szCs w:val="18"/>
                <w:lang w:eastAsia="hr-HR"/>
              </w:rPr>
              <w:t>21</w:t>
            </w:r>
          </w:p>
        </w:tc>
        <w:tc>
          <w:tcPr>
            <w:tcW w:w="426" w:type="dxa"/>
            <w:tcBorders>
              <w:top w:val="nil"/>
              <w:left w:val="nil"/>
              <w:bottom w:val="single" w:sz="4" w:space="0" w:color="auto"/>
              <w:right w:val="single" w:sz="4" w:space="0" w:color="auto"/>
            </w:tcBorders>
            <w:shd w:val="clear" w:color="000000" w:fill="CCFFFF"/>
            <w:noWrap/>
            <w:vAlign w:val="center"/>
            <w:hideMark/>
          </w:tcPr>
          <w:p w14:paraId="08DD7561" w14:textId="77777777" w:rsidR="0078259C" w:rsidRPr="0078259C" w:rsidRDefault="0078259C" w:rsidP="0078259C">
            <w:pPr>
              <w:spacing w:after="0" w:line="240" w:lineRule="auto"/>
              <w:jc w:val="right"/>
              <w:rPr>
                <w:rFonts w:ascii="Calibri" w:eastAsia="Times New Roman" w:hAnsi="Calibri" w:cs="Calibri"/>
                <w:sz w:val="18"/>
                <w:szCs w:val="18"/>
                <w:lang w:eastAsia="hr-HR"/>
              </w:rPr>
            </w:pPr>
            <w:r w:rsidRPr="0078259C">
              <w:rPr>
                <w:rFonts w:ascii="Calibri" w:eastAsia="Times New Roman" w:hAnsi="Calibri" w:cs="Calibri"/>
                <w:sz w:val="18"/>
                <w:szCs w:val="18"/>
                <w:lang w:eastAsia="hr-HR"/>
              </w:rPr>
              <w:t>0</w:t>
            </w:r>
          </w:p>
        </w:tc>
        <w:tc>
          <w:tcPr>
            <w:tcW w:w="425" w:type="dxa"/>
            <w:tcBorders>
              <w:top w:val="nil"/>
              <w:left w:val="nil"/>
              <w:bottom w:val="single" w:sz="4" w:space="0" w:color="auto"/>
              <w:right w:val="single" w:sz="4" w:space="0" w:color="auto"/>
            </w:tcBorders>
            <w:shd w:val="clear" w:color="000000" w:fill="FFFF99"/>
            <w:noWrap/>
            <w:vAlign w:val="center"/>
            <w:hideMark/>
          </w:tcPr>
          <w:p w14:paraId="32ECAFDA" w14:textId="77777777" w:rsidR="0078259C" w:rsidRPr="0078259C" w:rsidRDefault="0078259C" w:rsidP="0078259C">
            <w:pPr>
              <w:spacing w:after="0" w:line="240" w:lineRule="auto"/>
              <w:jc w:val="right"/>
              <w:rPr>
                <w:rFonts w:ascii="Calibri" w:eastAsia="Times New Roman" w:hAnsi="Calibri" w:cs="Calibri"/>
                <w:sz w:val="18"/>
                <w:szCs w:val="18"/>
                <w:lang w:eastAsia="hr-HR"/>
              </w:rPr>
            </w:pPr>
            <w:r w:rsidRPr="0078259C">
              <w:rPr>
                <w:rFonts w:ascii="Calibri" w:eastAsia="Times New Roman" w:hAnsi="Calibri" w:cs="Calibri"/>
                <w:sz w:val="18"/>
                <w:szCs w:val="18"/>
                <w:lang w:eastAsia="hr-HR"/>
              </w:rPr>
              <w:t>7</w:t>
            </w:r>
          </w:p>
        </w:tc>
        <w:tc>
          <w:tcPr>
            <w:tcW w:w="567" w:type="dxa"/>
            <w:tcBorders>
              <w:top w:val="nil"/>
              <w:left w:val="nil"/>
              <w:bottom w:val="single" w:sz="4" w:space="0" w:color="auto"/>
              <w:right w:val="single" w:sz="4" w:space="0" w:color="auto"/>
            </w:tcBorders>
            <w:shd w:val="clear" w:color="000000" w:fill="FFFF99"/>
            <w:noWrap/>
            <w:vAlign w:val="center"/>
            <w:hideMark/>
          </w:tcPr>
          <w:p w14:paraId="3D231F14" w14:textId="77777777" w:rsidR="0078259C" w:rsidRPr="0078259C" w:rsidRDefault="0078259C" w:rsidP="0078259C">
            <w:pPr>
              <w:spacing w:after="0" w:line="240" w:lineRule="auto"/>
              <w:jc w:val="right"/>
              <w:rPr>
                <w:rFonts w:ascii="Calibri" w:eastAsia="Times New Roman" w:hAnsi="Calibri" w:cs="Calibri"/>
                <w:sz w:val="18"/>
                <w:szCs w:val="18"/>
                <w:lang w:eastAsia="hr-HR"/>
              </w:rPr>
            </w:pPr>
            <w:r w:rsidRPr="0078259C">
              <w:rPr>
                <w:rFonts w:ascii="Calibri" w:eastAsia="Times New Roman" w:hAnsi="Calibri" w:cs="Calibri"/>
                <w:sz w:val="18"/>
                <w:szCs w:val="18"/>
                <w:lang w:eastAsia="hr-HR"/>
              </w:rPr>
              <w:t>2</w:t>
            </w:r>
          </w:p>
        </w:tc>
        <w:tc>
          <w:tcPr>
            <w:tcW w:w="567" w:type="dxa"/>
            <w:tcBorders>
              <w:top w:val="nil"/>
              <w:left w:val="nil"/>
              <w:bottom w:val="single" w:sz="4" w:space="0" w:color="auto"/>
              <w:right w:val="single" w:sz="4" w:space="0" w:color="auto"/>
            </w:tcBorders>
            <w:shd w:val="clear" w:color="000000" w:fill="FFFF99"/>
            <w:noWrap/>
            <w:vAlign w:val="center"/>
            <w:hideMark/>
          </w:tcPr>
          <w:p w14:paraId="076C16CA" w14:textId="77777777" w:rsidR="0078259C" w:rsidRPr="0078259C" w:rsidRDefault="0078259C" w:rsidP="0078259C">
            <w:pPr>
              <w:spacing w:after="0" w:line="240" w:lineRule="auto"/>
              <w:jc w:val="right"/>
              <w:rPr>
                <w:rFonts w:ascii="Calibri" w:eastAsia="Times New Roman" w:hAnsi="Calibri" w:cs="Calibri"/>
                <w:sz w:val="18"/>
                <w:szCs w:val="18"/>
                <w:lang w:eastAsia="hr-HR"/>
              </w:rPr>
            </w:pPr>
            <w:r w:rsidRPr="0078259C">
              <w:rPr>
                <w:rFonts w:ascii="Calibri" w:eastAsia="Times New Roman" w:hAnsi="Calibri" w:cs="Calibri"/>
                <w:sz w:val="18"/>
                <w:szCs w:val="18"/>
                <w:lang w:eastAsia="hr-HR"/>
              </w:rPr>
              <w:t>0</w:t>
            </w:r>
          </w:p>
        </w:tc>
        <w:tc>
          <w:tcPr>
            <w:tcW w:w="437" w:type="dxa"/>
            <w:tcBorders>
              <w:top w:val="nil"/>
              <w:left w:val="nil"/>
              <w:bottom w:val="single" w:sz="4" w:space="0" w:color="auto"/>
              <w:right w:val="single" w:sz="4" w:space="0" w:color="auto"/>
            </w:tcBorders>
            <w:shd w:val="clear" w:color="000000" w:fill="FFFF99"/>
            <w:noWrap/>
            <w:vAlign w:val="center"/>
            <w:hideMark/>
          </w:tcPr>
          <w:p w14:paraId="58B2F2A9" w14:textId="77777777" w:rsidR="0078259C" w:rsidRPr="0078259C" w:rsidRDefault="0078259C" w:rsidP="0078259C">
            <w:pPr>
              <w:spacing w:after="0" w:line="240" w:lineRule="auto"/>
              <w:jc w:val="right"/>
              <w:rPr>
                <w:rFonts w:ascii="Calibri" w:eastAsia="Times New Roman" w:hAnsi="Calibri" w:cs="Calibri"/>
                <w:sz w:val="18"/>
                <w:szCs w:val="18"/>
                <w:lang w:eastAsia="hr-HR"/>
              </w:rPr>
            </w:pPr>
            <w:r w:rsidRPr="0078259C">
              <w:rPr>
                <w:rFonts w:ascii="Calibri" w:eastAsia="Times New Roman" w:hAnsi="Calibri" w:cs="Calibri"/>
                <w:sz w:val="18"/>
                <w:szCs w:val="18"/>
                <w:lang w:eastAsia="hr-HR"/>
              </w:rPr>
              <w:t>0</w:t>
            </w:r>
          </w:p>
        </w:tc>
        <w:tc>
          <w:tcPr>
            <w:tcW w:w="413" w:type="dxa"/>
            <w:tcBorders>
              <w:top w:val="nil"/>
              <w:left w:val="nil"/>
              <w:bottom w:val="single" w:sz="4" w:space="0" w:color="auto"/>
              <w:right w:val="single" w:sz="4" w:space="0" w:color="auto"/>
            </w:tcBorders>
            <w:shd w:val="clear" w:color="000000" w:fill="FFFF99"/>
            <w:noWrap/>
            <w:vAlign w:val="center"/>
            <w:hideMark/>
          </w:tcPr>
          <w:p w14:paraId="64142ED6" w14:textId="77777777" w:rsidR="0078259C" w:rsidRPr="0078259C" w:rsidRDefault="0078259C" w:rsidP="0078259C">
            <w:pPr>
              <w:spacing w:after="0" w:line="240" w:lineRule="auto"/>
              <w:jc w:val="right"/>
              <w:rPr>
                <w:rFonts w:ascii="Calibri" w:eastAsia="Times New Roman" w:hAnsi="Calibri" w:cs="Calibri"/>
                <w:sz w:val="18"/>
                <w:szCs w:val="18"/>
                <w:lang w:eastAsia="hr-HR"/>
              </w:rPr>
            </w:pPr>
            <w:r w:rsidRPr="0078259C">
              <w:rPr>
                <w:rFonts w:ascii="Calibri" w:eastAsia="Times New Roman" w:hAnsi="Calibri" w:cs="Calibri"/>
                <w:sz w:val="18"/>
                <w:szCs w:val="18"/>
                <w:lang w:eastAsia="hr-HR"/>
              </w:rPr>
              <w:t>10</w:t>
            </w:r>
          </w:p>
        </w:tc>
        <w:tc>
          <w:tcPr>
            <w:tcW w:w="283" w:type="dxa"/>
            <w:gridSpan w:val="2"/>
            <w:tcBorders>
              <w:top w:val="nil"/>
              <w:left w:val="nil"/>
              <w:bottom w:val="single" w:sz="4" w:space="0" w:color="auto"/>
              <w:right w:val="single" w:sz="4" w:space="0" w:color="auto"/>
            </w:tcBorders>
            <w:shd w:val="clear" w:color="000000" w:fill="FF9900"/>
            <w:noWrap/>
            <w:vAlign w:val="center"/>
            <w:hideMark/>
          </w:tcPr>
          <w:p w14:paraId="7555A1BA" w14:textId="77777777" w:rsidR="0078259C" w:rsidRPr="0078259C" w:rsidRDefault="0078259C" w:rsidP="0078259C">
            <w:pPr>
              <w:spacing w:after="0" w:line="240" w:lineRule="auto"/>
              <w:jc w:val="right"/>
              <w:rPr>
                <w:rFonts w:ascii="Calibri" w:eastAsia="Times New Roman" w:hAnsi="Calibri" w:cs="Calibri"/>
                <w:sz w:val="18"/>
                <w:szCs w:val="18"/>
                <w:lang w:eastAsia="hr-HR"/>
              </w:rPr>
            </w:pPr>
            <w:r w:rsidRPr="0078259C">
              <w:rPr>
                <w:rFonts w:ascii="Calibri" w:eastAsia="Times New Roman" w:hAnsi="Calibri" w:cs="Calibri"/>
                <w:sz w:val="18"/>
                <w:szCs w:val="18"/>
                <w:lang w:eastAsia="hr-HR"/>
              </w:rPr>
              <w:t>19</w:t>
            </w:r>
          </w:p>
        </w:tc>
        <w:tc>
          <w:tcPr>
            <w:tcW w:w="568" w:type="dxa"/>
            <w:tcBorders>
              <w:top w:val="nil"/>
              <w:left w:val="nil"/>
              <w:bottom w:val="single" w:sz="4" w:space="0" w:color="auto"/>
              <w:right w:val="single" w:sz="4" w:space="0" w:color="auto"/>
            </w:tcBorders>
            <w:shd w:val="clear" w:color="000000" w:fill="FF9900"/>
            <w:noWrap/>
            <w:vAlign w:val="center"/>
            <w:hideMark/>
          </w:tcPr>
          <w:p w14:paraId="712A628A" w14:textId="77777777" w:rsidR="0078259C" w:rsidRPr="0078259C" w:rsidRDefault="0078259C" w:rsidP="0078259C">
            <w:pPr>
              <w:spacing w:after="0" w:line="240" w:lineRule="auto"/>
              <w:jc w:val="right"/>
              <w:rPr>
                <w:rFonts w:ascii="Calibri" w:eastAsia="Times New Roman" w:hAnsi="Calibri" w:cs="Calibri"/>
                <w:sz w:val="18"/>
                <w:szCs w:val="18"/>
                <w:lang w:eastAsia="hr-HR"/>
              </w:rPr>
            </w:pPr>
            <w:r w:rsidRPr="0078259C">
              <w:rPr>
                <w:rFonts w:ascii="Calibri" w:eastAsia="Times New Roman" w:hAnsi="Calibri" w:cs="Calibri"/>
                <w:sz w:val="18"/>
                <w:szCs w:val="18"/>
                <w:lang w:eastAsia="hr-HR"/>
              </w:rPr>
              <w:t>2</w:t>
            </w:r>
          </w:p>
        </w:tc>
        <w:tc>
          <w:tcPr>
            <w:tcW w:w="425" w:type="dxa"/>
            <w:tcBorders>
              <w:top w:val="nil"/>
              <w:left w:val="nil"/>
              <w:bottom w:val="single" w:sz="4" w:space="0" w:color="auto"/>
              <w:right w:val="single" w:sz="4" w:space="0" w:color="auto"/>
            </w:tcBorders>
            <w:shd w:val="clear" w:color="000000" w:fill="FF9900"/>
            <w:noWrap/>
            <w:vAlign w:val="center"/>
            <w:hideMark/>
          </w:tcPr>
          <w:p w14:paraId="02133FA6" w14:textId="77777777" w:rsidR="0078259C" w:rsidRPr="0078259C" w:rsidRDefault="0078259C" w:rsidP="0078259C">
            <w:pPr>
              <w:spacing w:after="0" w:line="240" w:lineRule="auto"/>
              <w:jc w:val="right"/>
              <w:rPr>
                <w:rFonts w:ascii="Calibri" w:eastAsia="Times New Roman" w:hAnsi="Calibri" w:cs="Calibri"/>
                <w:sz w:val="18"/>
                <w:szCs w:val="18"/>
                <w:lang w:eastAsia="hr-HR"/>
              </w:rPr>
            </w:pPr>
            <w:r w:rsidRPr="0078259C">
              <w:rPr>
                <w:rFonts w:ascii="Calibri" w:eastAsia="Times New Roman" w:hAnsi="Calibri" w:cs="Calibri"/>
                <w:sz w:val="18"/>
                <w:szCs w:val="18"/>
                <w:lang w:eastAsia="hr-HR"/>
              </w:rPr>
              <w:t>0</w:t>
            </w:r>
          </w:p>
        </w:tc>
        <w:tc>
          <w:tcPr>
            <w:tcW w:w="425" w:type="dxa"/>
            <w:gridSpan w:val="2"/>
            <w:tcBorders>
              <w:top w:val="nil"/>
              <w:left w:val="nil"/>
              <w:bottom w:val="single" w:sz="4" w:space="0" w:color="auto"/>
              <w:right w:val="single" w:sz="4" w:space="0" w:color="auto"/>
            </w:tcBorders>
            <w:shd w:val="clear" w:color="000000" w:fill="66FFCC"/>
            <w:noWrap/>
            <w:vAlign w:val="center"/>
            <w:hideMark/>
          </w:tcPr>
          <w:p w14:paraId="377D6BFE" w14:textId="77777777" w:rsidR="0078259C" w:rsidRPr="0078259C" w:rsidRDefault="0078259C" w:rsidP="0078259C">
            <w:pPr>
              <w:spacing w:after="0" w:line="240" w:lineRule="auto"/>
              <w:jc w:val="right"/>
              <w:rPr>
                <w:rFonts w:ascii="Calibri" w:eastAsia="Times New Roman" w:hAnsi="Calibri" w:cs="Calibri"/>
                <w:sz w:val="18"/>
                <w:szCs w:val="18"/>
                <w:lang w:eastAsia="hr-HR"/>
              </w:rPr>
            </w:pPr>
            <w:r w:rsidRPr="0078259C">
              <w:rPr>
                <w:rFonts w:ascii="Calibri" w:eastAsia="Times New Roman" w:hAnsi="Calibri" w:cs="Calibri"/>
                <w:sz w:val="18"/>
                <w:szCs w:val="18"/>
                <w:lang w:eastAsia="hr-HR"/>
              </w:rPr>
              <w:t>0</w:t>
            </w:r>
          </w:p>
        </w:tc>
        <w:tc>
          <w:tcPr>
            <w:tcW w:w="437" w:type="dxa"/>
            <w:tcBorders>
              <w:top w:val="nil"/>
              <w:left w:val="nil"/>
              <w:bottom w:val="single" w:sz="4" w:space="0" w:color="auto"/>
              <w:right w:val="single" w:sz="4" w:space="0" w:color="auto"/>
            </w:tcBorders>
            <w:shd w:val="clear" w:color="000000" w:fill="66FFCC"/>
            <w:noWrap/>
            <w:vAlign w:val="center"/>
            <w:hideMark/>
          </w:tcPr>
          <w:p w14:paraId="61A4BAF4" w14:textId="77777777" w:rsidR="0078259C" w:rsidRPr="0078259C" w:rsidRDefault="0078259C" w:rsidP="0078259C">
            <w:pPr>
              <w:spacing w:after="0" w:line="240" w:lineRule="auto"/>
              <w:jc w:val="right"/>
              <w:rPr>
                <w:rFonts w:ascii="Calibri" w:eastAsia="Times New Roman" w:hAnsi="Calibri" w:cs="Calibri"/>
                <w:sz w:val="18"/>
                <w:szCs w:val="18"/>
                <w:lang w:eastAsia="hr-HR"/>
              </w:rPr>
            </w:pPr>
            <w:r w:rsidRPr="0078259C">
              <w:rPr>
                <w:rFonts w:ascii="Calibri" w:eastAsia="Times New Roman" w:hAnsi="Calibri" w:cs="Calibri"/>
                <w:sz w:val="18"/>
                <w:szCs w:val="18"/>
                <w:lang w:eastAsia="hr-HR"/>
              </w:rPr>
              <w:t>19</w:t>
            </w:r>
          </w:p>
        </w:tc>
        <w:tc>
          <w:tcPr>
            <w:tcW w:w="556" w:type="dxa"/>
            <w:tcBorders>
              <w:top w:val="nil"/>
              <w:left w:val="nil"/>
              <w:bottom w:val="single" w:sz="4" w:space="0" w:color="auto"/>
              <w:right w:val="single" w:sz="4" w:space="0" w:color="auto"/>
            </w:tcBorders>
            <w:shd w:val="clear" w:color="000000" w:fill="66FFCC"/>
            <w:noWrap/>
            <w:vAlign w:val="center"/>
            <w:hideMark/>
          </w:tcPr>
          <w:p w14:paraId="07A4FEA8" w14:textId="77777777" w:rsidR="0078259C" w:rsidRPr="0078259C" w:rsidRDefault="0078259C" w:rsidP="0078259C">
            <w:pPr>
              <w:spacing w:after="0" w:line="240" w:lineRule="auto"/>
              <w:jc w:val="right"/>
              <w:rPr>
                <w:rFonts w:ascii="Calibri" w:eastAsia="Times New Roman" w:hAnsi="Calibri" w:cs="Calibri"/>
                <w:sz w:val="18"/>
                <w:szCs w:val="18"/>
                <w:lang w:eastAsia="hr-HR"/>
              </w:rPr>
            </w:pPr>
            <w:r w:rsidRPr="0078259C">
              <w:rPr>
                <w:rFonts w:ascii="Calibri" w:eastAsia="Times New Roman" w:hAnsi="Calibri" w:cs="Calibri"/>
                <w:sz w:val="18"/>
                <w:szCs w:val="18"/>
                <w:lang w:eastAsia="hr-HR"/>
              </w:rPr>
              <w:t>0</w:t>
            </w:r>
          </w:p>
        </w:tc>
        <w:tc>
          <w:tcPr>
            <w:tcW w:w="425" w:type="dxa"/>
            <w:tcBorders>
              <w:top w:val="nil"/>
              <w:left w:val="nil"/>
              <w:bottom w:val="single" w:sz="4" w:space="0" w:color="auto"/>
              <w:right w:val="single" w:sz="4" w:space="0" w:color="auto"/>
            </w:tcBorders>
            <w:shd w:val="clear" w:color="000000" w:fill="66FFCC"/>
            <w:noWrap/>
            <w:vAlign w:val="center"/>
            <w:hideMark/>
          </w:tcPr>
          <w:p w14:paraId="5FCA289A" w14:textId="77777777" w:rsidR="0078259C" w:rsidRPr="0078259C" w:rsidRDefault="0078259C" w:rsidP="0078259C">
            <w:pPr>
              <w:spacing w:after="0" w:line="240" w:lineRule="auto"/>
              <w:jc w:val="right"/>
              <w:rPr>
                <w:rFonts w:ascii="Calibri" w:eastAsia="Times New Roman" w:hAnsi="Calibri" w:cs="Calibri"/>
                <w:sz w:val="18"/>
                <w:szCs w:val="18"/>
                <w:lang w:eastAsia="hr-HR"/>
              </w:rPr>
            </w:pPr>
            <w:r w:rsidRPr="0078259C">
              <w:rPr>
                <w:rFonts w:ascii="Calibri" w:eastAsia="Times New Roman" w:hAnsi="Calibri" w:cs="Calibri"/>
                <w:sz w:val="18"/>
                <w:szCs w:val="18"/>
                <w:lang w:eastAsia="hr-HR"/>
              </w:rPr>
              <w:t>19</w:t>
            </w:r>
          </w:p>
        </w:tc>
        <w:tc>
          <w:tcPr>
            <w:tcW w:w="567" w:type="dxa"/>
            <w:gridSpan w:val="2"/>
            <w:tcBorders>
              <w:top w:val="nil"/>
              <w:left w:val="nil"/>
              <w:bottom w:val="single" w:sz="4" w:space="0" w:color="auto"/>
              <w:right w:val="single" w:sz="4" w:space="0" w:color="auto"/>
            </w:tcBorders>
            <w:shd w:val="clear" w:color="000000" w:fill="FFFF00"/>
            <w:vAlign w:val="center"/>
            <w:hideMark/>
          </w:tcPr>
          <w:p w14:paraId="69849746" w14:textId="77777777" w:rsidR="0078259C" w:rsidRPr="0078259C" w:rsidRDefault="0078259C" w:rsidP="0078259C">
            <w:pPr>
              <w:spacing w:after="0" w:line="240" w:lineRule="auto"/>
              <w:jc w:val="right"/>
              <w:rPr>
                <w:rFonts w:ascii="Calibri" w:eastAsia="Times New Roman" w:hAnsi="Calibri" w:cs="Calibri"/>
                <w:sz w:val="18"/>
                <w:szCs w:val="18"/>
                <w:lang w:eastAsia="hr-HR"/>
              </w:rPr>
            </w:pPr>
            <w:r w:rsidRPr="0078259C">
              <w:rPr>
                <w:rFonts w:ascii="Calibri" w:eastAsia="Times New Roman" w:hAnsi="Calibri" w:cs="Calibri"/>
                <w:sz w:val="18"/>
                <w:szCs w:val="18"/>
                <w:lang w:eastAsia="hr-HR"/>
              </w:rPr>
              <w:t>21</w:t>
            </w:r>
          </w:p>
        </w:tc>
        <w:tc>
          <w:tcPr>
            <w:tcW w:w="578" w:type="dxa"/>
            <w:gridSpan w:val="2"/>
            <w:tcBorders>
              <w:top w:val="nil"/>
              <w:left w:val="nil"/>
              <w:bottom w:val="single" w:sz="4" w:space="0" w:color="auto"/>
              <w:right w:val="single" w:sz="4" w:space="0" w:color="auto"/>
            </w:tcBorders>
            <w:shd w:val="clear" w:color="000000" w:fill="FFFF99"/>
            <w:vAlign w:val="center"/>
            <w:hideMark/>
          </w:tcPr>
          <w:p w14:paraId="1EAC57E3" w14:textId="77777777" w:rsidR="0078259C" w:rsidRPr="0078259C" w:rsidRDefault="0078259C" w:rsidP="0078259C">
            <w:pPr>
              <w:spacing w:after="0" w:line="240" w:lineRule="auto"/>
              <w:jc w:val="right"/>
              <w:rPr>
                <w:rFonts w:ascii="Calibri" w:eastAsia="Times New Roman" w:hAnsi="Calibri" w:cs="Calibri"/>
                <w:sz w:val="18"/>
                <w:szCs w:val="18"/>
                <w:lang w:eastAsia="hr-HR"/>
              </w:rPr>
            </w:pPr>
            <w:r w:rsidRPr="0078259C">
              <w:rPr>
                <w:rFonts w:ascii="Calibri" w:eastAsia="Times New Roman" w:hAnsi="Calibri" w:cs="Calibri"/>
                <w:sz w:val="18"/>
                <w:szCs w:val="18"/>
                <w:lang w:eastAsia="hr-HR"/>
              </w:rPr>
              <w:t>5</w:t>
            </w:r>
          </w:p>
        </w:tc>
        <w:tc>
          <w:tcPr>
            <w:tcW w:w="839" w:type="dxa"/>
            <w:gridSpan w:val="2"/>
            <w:tcBorders>
              <w:top w:val="nil"/>
              <w:left w:val="nil"/>
              <w:bottom w:val="single" w:sz="4" w:space="0" w:color="auto"/>
              <w:right w:val="single" w:sz="4" w:space="0" w:color="auto"/>
            </w:tcBorders>
            <w:shd w:val="clear" w:color="000000" w:fill="FF9900"/>
            <w:vAlign w:val="center"/>
            <w:hideMark/>
          </w:tcPr>
          <w:p w14:paraId="54B451D1" w14:textId="77777777" w:rsidR="0078259C" w:rsidRPr="0078259C" w:rsidRDefault="0078259C" w:rsidP="0078259C">
            <w:pPr>
              <w:spacing w:after="0" w:line="240" w:lineRule="auto"/>
              <w:jc w:val="right"/>
              <w:rPr>
                <w:rFonts w:ascii="Calibri" w:eastAsia="Times New Roman" w:hAnsi="Calibri" w:cs="Calibri"/>
                <w:sz w:val="18"/>
                <w:szCs w:val="18"/>
                <w:lang w:eastAsia="hr-HR"/>
              </w:rPr>
            </w:pPr>
            <w:r w:rsidRPr="0078259C">
              <w:rPr>
                <w:rFonts w:ascii="Calibri" w:eastAsia="Times New Roman" w:hAnsi="Calibri" w:cs="Calibri"/>
                <w:sz w:val="18"/>
                <w:szCs w:val="18"/>
                <w:lang w:eastAsia="hr-HR"/>
              </w:rPr>
              <w:t>20</w:t>
            </w:r>
          </w:p>
        </w:tc>
        <w:tc>
          <w:tcPr>
            <w:tcW w:w="426" w:type="dxa"/>
            <w:gridSpan w:val="2"/>
            <w:tcBorders>
              <w:top w:val="nil"/>
              <w:left w:val="nil"/>
              <w:bottom w:val="single" w:sz="4" w:space="0" w:color="auto"/>
              <w:right w:val="single" w:sz="4" w:space="0" w:color="auto"/>
            </w:tcBorders>
            <w:shd w:val="clear" w:color="000000" w:fill="CCFFFF"/>
            <w:vAlign w:val="center"/>
            <w:hideMark/>
          </w:tcPr>
          <w:p w14:paraId="24B39B2A" w14:textId="77777777" w:rsidR="0078259C" w:rsidRPr="0078259C" w:rsidRDefault="0078259C" w:rsidP="0078259C">
            <w:pPr>
              <w:spacing w:after="0" w:line="240" w:lineRule="auto"/>
              <w:jc w:val="right"/>
              <w:rPr>
                <w:rFonts w:ascii="Calibri" w:eastAsia="Times New Roman" w:hAnsi="Calibri" w:cs="Calibri"/>
                <w:sz w:val="18"/>
                <w:szCs w:val="18"/>
                <w:lang w:eastAsia="hr-HR"/>
              </w:rPr>
            </w:pPr>
            <w:r w:rsidRPr="0078259C">
              <w:rPr>
                <w:rFonts w:ascii="Calibri" w:eastAsia="Times New Roman" w:hAnsi="Calibri" w:cs="Calibri"/>
                <w:sz w:val="18"/>
                <w:szCs w:val="18"/>
                <w:lang w:eastAsia="hr-HR"/>
              </w:rPr>
              <w:t>22</w:t>
            </w:r>
          </w:p>
        </w:tc>
        <w:tc>
          <w:tcPr>
            <w:tcW w:w="446" w:type="dxa"/>
            <w:tcBorders>
              <w:top w:val="nil"/>
              <w:left w:val="nil"/>
              <w:bottom w:val="single" w:sz="4" w:space="0" w:color="auto"/>
              <w:right w:val="single" w:sz="4" w:space="0" w:color="auto"/>
            </w:tcBorders>
            <w:shd w:val="clear" w:color="000000" w:fill="CCFFFF"/>
            <w:vAlign w:val="center"/>
            <w:hideMark/>
          </w:tcPr>
          <w:p w14:paraId="195464BD" w14:textId="77777777" w:rsidR="0078259C" w:rsidRPr="0078259C" w:rsidRDefault="0078259C" w:rsidP="0078259C">
            <w:pPr>
              <w:spacing w:after="0" w:line="240" w:lineRule="auto"/>
              <w:jc w:val="right"/>
              <w:rPr>
                <w:rFonts w:ascii="Calibri" w:eastAsia="Times New Roman" w:hAnsi="Calibri" w:cs="Calibri"/>
                <w:sz w:val="18"/>
                <w:szCs w:val="18"/>
                <w:lang w:eastAsia="hr-HR"/>
              </w:rPr>
            </w:pPr>
            <w:r w:rsidRPr="0078259C">
              <w:rPr>
                <w:rFonts w:ascii="Calibri" w:eastAsia="Times New Roman" w:hAnsi="Calibri" w:cs="Calibri"/>
                <w:sz w:val="18"/>
                <w:szCs w:val="18"/>
                <w:lang w:eastAsia="hr-HR"/>
              </w:rPr>
              <w:t>0</w:t>
            </w:r>
          </w:p>
        </w:tc>
        <w:tc>
          <w:tcPr>
            <w:tcW w:w="404" w:type="dxa"/>
            <w:tcBorders>
              <w:top w:val="nil"/>
              <w:left w:val="nil"/>
              <w:bottom w:val="single" w:sz="4" w:space="0" w:color="auto"/>
              <w:right w:val="single" w:sz="4" w:space="0" w:color="auto"/>
            </w:tcBorders>
            <w:shd w:val="clear" w:color="000000" w:fill="CCFFFF"/>
            <w:noWrap/>
            <w:vAlign w:val="center"/>
            <w:hideMark/>
          </w:tcPr>
          <w:p w14:paraId="55A96F44" w14:textId="77777777" w:rsidR="0078259C" w:rsidRPr="0078259C" w:rsidRDefault="0078259C" w:rsidP="0078259C">
            <w:pPr>
              <w:spacing w:after="0" w:line="240" w:lineRule="auto"/>
              <w:jc w:val="right"/>
              <w:rPr>
                <w:rFonts w:ascii="Calibri" w:eastAsia="Times New Roman" w:hAnsi="Calibri" w:cs="Calibri"/>
                <w:sz w:val="18"/>
                <w:szCs w:val="18"/>
                <w:lang w:eastAsia="hr-HR"/>
              </w:rPr>
            </w:pPr>
            <w:r w:rsidRPr="0078259C">
              <w:rPr>
                <w:rFonts w:ascii="Calibri" w:eastAsia="Times New Roman" w:hAnsi="Calibri" w:cs="Calibri"/>
                <w:sz w:val="18"/>
                <w:szCs w:val="18"/>
                <w:lang w:eastAsia="hr-HR"/>
              </w:rPr>
              <w:t>1</w:t>
            </w:r>
          </w:p>
        </w:tc>
        <w:tc>
          <w:tcPr>
            <w:tcW w:w="839" w:type="dxa"/>
            <w:gridSpan w:val="2"/>
            <w:tcBorders>
              <w:top w:val="nil"/>
              <w:left w:val="nil"/>
              <w:bottom w:val="single" w:sz="4" w:space="0" w:color="auto"/>
              <w:right w:val="single" w:sz="4" w:space="0" w:color="auto"/>
            </w:tcBorders>
            <w:shd w:val="clear" w:color="000000" w:fill="33CCCC"/>
            <w:noWrap/>
            <w:vAlign w:val="center"/>
            <w:hideMark/>
          </w:tcPr>
          <w:p w14:paraId="601E5DEA" w14:textId="77777777" w:rsidR="0078259C" w:rsidRPr="0078259C" w:rsidRDefault="0078259C" w:rsidP="0078259C">
            <w:pPr>
              <w:spacing w:after="0" w:line="240" w:lineRule="auto"/>
              <w:jc w:val="right"/>
              <w:rPr>
                <w:rFonts w:ascii="Calibri" w:eastAsia="Times New Roman" w:hAnsi="Calibri" w:cs="Calibri"/>
                <w:sz w:val="18"/>
                <w:szCs w:val="18"/>
                <w:lang w:eastAsia="hr-HR"/>
              </w:rPr>
            </w:pPr>
            <w:r w:rsidRPr="0078259C">
              <w:rPr>
                <w:rFonts w:ascii="Calibri" w:eastAsia="Times New Roman" w:hAnsi="Calibri" w:cs="Calibri"/>
                <w:sz w:val="18"/>
                <w:szCs w:val="18"/>
                <w:lang w:eastAsia="hr-HR"/>
              </w:rPr>
              <w:t>20</w:t>
            </w:r>
          </w:p>
        </w:tc>
        <w:tc>
          <w:tcPr>
            <w:tcW w:w="839" w:type="dxa"/>
            <w:tcBorders>
              <w:top w:val="nil"/>
              <w:left w:val="nil"/>
              <w:bottom w:val="single" w:sz="4" w:space="0" w:color="auto"/>
              <w:right w:val="nil"/>
            </w:tcBorders>
            <w:shd w:val="clear" w:color="000000" w:fill="33CCCC"/>
            <w:noWrap/>
            <w:vAlign w:val="center"/>
            <w:hideMark/>
          </w:tcPr>
          <w:p w14:paraId="0805CE86" w14:textId="77777777" w:rsidR="0078259C" w:rsidRPr="0078259C" w:rsidRDefault="0078259C" w:rsidP="0078259C">
            <w:pPr>
              <w:spacing w:after="0" w:line="240" w:lineRule="auto"/>
              <w:jc w:val="right"/>
              <w:rPr>
                <w:rFonts w:ascii="Calibri" w:eastAsia="Times New Roman" w:hAnsi="Calibri" w:cs="Calibri"/>
                <w:sz w:val="18"/>
                <w:szCs w:val="18"/>
                <w:lang w:eastAsia="hr-HR"/>
              </w:rPr>
            </w:pPr>
            <w:r w:rsidRPr="0078259C">
              <w:rPr>
                <w:rFonts w:ascii="Calibri" w:eastAsia="Times New Roman" w:hAnsi="Calibri" w:cs="Calibri"/>
                <w:sz w:val="18"/>
                <w:szCs w:val="18"/>
                <w:lang w:eastAsia="hr-HR"/>
              </w:rPr>
              <w:t>1</w:t>
            </w:r>
          </w:p>
        </w:tc>
        <w:tc>
          <w:tcPr>
            <w:tcW w:w="236" w:type="dxa"/>
            <w:gridSpan w:val="2"/>
            <w:vAlign w:val="center"/>
            <w:hideMark/>
          </w:tcPr>
          <w:p w14:paraId="61D0AF76" w14:textId="77777777" w:rsidR="0078259C" w:rsidRPr="0078259C" w:rsidRDefault="0078259C" w:rsidP="0078259C">
            <w:pPr>
              <w:spacing w:after="0" w:line="240" w:lineRule="auto"/>
              <w:rPr>
                <w:rFonts w:ascii="Times New Roman" w:eastAsia="Times New Roman" w:hAnsi="Times New Roman" w:cs="Times New Roman"/>
                <w:sz w:val="18"/>
                <w:szCs w:val="18"/>
                <w:lang w:eastAsia="hr-HR"/>
              </w:rPr>
            </w:pPr>
          </w:p>
        </w:tc>
      </w:tr>
      <w:tr w:rsidR="0078259C" w:rsidRPr="0078259C" w14:paraId="5C2C84EA" w14:textId="77777777" w:rsidTr="0078259C">
        <w:trPr>
          <w:gridAfter w:val="2"/>
          <w:wAfter w:w="44" w:type="dxa"/>
          <w:trHeight w:val="405"/>
        </w:trPr>
        <w:tc>
          <w:tcPr>
            <w:tcW w:w="1394" w:type="dxa"/>
            <w:tcBorders>
              <w:top w:val="single" w:sz="4" w:space="0" w:color="auto"/>
              <w:left w:val="single" w:sz="8" w:space="0" w:color="auto"/>
              <w:bottom w:val="single" w:sz="4" w:space="0" w:color="auto"/>
              <w:right w:val="single" w:sz="4" w:space="0" w:color="auto"/>
            </w:tcBorders>
            <w:shd w:val="clear" w:color="000000" w:fill="CCFFCC"/>
            <w:vAlign w:val="center"/>
            <w:hideMark/>
          </w:tcPr>
          <w:p w14:paraId="70C5CF05" w14:textId="77777777" w:rsidR="0078259C" w:rsidRPr="0078259C" w:rsidRDefault="0078259C" w:rsidP="0078259C">
            <w:pPr>
              <w:spacing w:after="0" w:line="240" w:lineRule="auto"/>
              <w:jc w:val="center"/>
              <w:rPr>
                <w:rFonts w:ascii="Calibri" w:eastAsia="Times New Roman" w:hAnsi="Calibri" w:cs="Calibri"/>
                <w:sz w:val="18"/>
                <w:szCs w:val="18"/>
                <w:lang w:eastAsia="hr-HR"/>
              </w:rPr>
            </w:pPr>
            <w:r w:rsidRPr="0078259C">
              <w:rPr>
                <w:rFonts w:ascii="Calibri" w:eastAsia="Times New Roman" w:hAnsi="Calibri" w:cs="Calibri"/>
                <w:sz w:val="18"/>
                <w:szCs w:val="18"/>
                <w:lang w:eastAsia="hr-HR"/>
              </w:rPr>
              <w:t>Spolna orijentacija</w:t>
            </w:r>
          </w:p>
        </w:tc>
        <w:tc>
          <w:tcPr>
            <w:tcW w:w="575" w:type="dxa"/>
            <w:tcBorders>
              <w:top w:val="nil"/>
              <w:left w:val="nil"/>
              <w:bottom w:val="single" w:sz="4" w:space="0" w:color="auto"/>
              <w:right w:val="single" w:sz="4" w:space="0" w:color="auto"/>
            </w:tcBorders>
            <w:shd w:val="clear" w:color="000000" w:fill="CCFFCC"/>
            <w:vAlign w:val="center"/>
            <w:hideMark/>
          </w:tcPr>
          <w:p w14:paraId="6FA3F138" w14:textId="77777777" w:rsidR="0078259C" w:rsidRPr="0078259C" w:rsidRDefault="0078259C" w:rsidP="0078259C">
            <w:pPr>
              <w:spacing w:after="0" w:line="240" w:lineRule="auto"/>
              <w:jc w:val="right"/>
              <w:rPr>
                <w:rFonts w:ascii="Calibri" w:eastAsia="Times New Roman" w:hAnsi="Calibri" w:cs="Calibri"/>
                <w:sz w:val="18"/>
                <w:szCs w:val="18"/>
                <w:lang w:eastAsia="hr-HR"/>
              </w:rPr>
            </w:pPr>
            <w:r w:rsidRPr="0078259C">
              <w:rPr>
                <w:rFonts w:ascii="Calibri" w:eastAsia="Times New Roman" w:hAnsi="Calibri" w:cs="Calibri"/>
                <w:sz w:val="18"/>
                <w:szCs w:val="18"/>
                <w:lang w:eastAsia="hr-HR"/>
              </w:rPr>
              <w:t>1</w:t>
            </w:r>
          </w:p>
        </w:tc>
        <w:tc>
          <w:tcPr>
            <w:tcW w:w="488" w:type="dxa"/>
            <w:tcBorders>
              <w:top w:val="nil"/>
              <w:left w:val="nil"/>
              <w:bottom w:val="single" w:sz="4" w:space="0" w:color="auto"/>
              <w:right w:val="single" w:sz="4" w:space="0" w:color="auto"/>
            </w:tcBorders>
            <w:shd w:val="clear" w:color="000000" w:fill="FFCC99"/>
            <w:noWrap/>
            <w:vAlign w:val="center"/>
            <w:hideMark/>
          </w:tcPr>
          <w:p w14:paraId="7F69DBAA" w14:textId="77777777" w:rsidR="0078259C" w:rsidRPr="0078259C" w:rsidRDefault="0078259C" w:rsidP="0078259C">
            <w:pPr>
              <w:spacing w:after="0" w:line="240" w:lineRule="auto"/>
              <w:jc w:val="right"/>
              <w:rPr>
                <w:rFonts w:ascii="Calibri" w:eastAsia="Times New Roman" w:hAnsi="Calibri" w:cs="Calibri"/>
                <w:sz w:val="18"/>
                <w:szCs w:val="18"/>
                <w:lang w:eastAsia="hr-HR"/>
              </w:rPr>
            </w:pPr>
            <w:r w:rsidRPr="0078259C">
              <w:rPr>
                <w:rFonts w:ascii="Calibri" w:eastAsia="Times New Roman" w:hAnsi="Calibri" w:cs="Calibri"/>
                <w:sz w:val="18"/>
                <w:szCs w:val="18"/>
                <w:lang w:eastAsia="hr-HR"/>
              </w:rPr>
              <w:t>8</w:t>
            </w:r>
          </w:p>
        </w:tc>
        <w:tc>
          <w:tcPr>
            <w:tcW w:w="500" w:type="dxa"/>
            <w:tcBorders>
              <w:top w:val="nil"/>
              <w:left w:val="nil"/>
              <w:bottom w:val="single" w:sz="4" w:space="0" w:color="auto"/>
              <w:right w:val="single" w:sz="4" w:space="0" w:color="auto"/>
            </w:tcBorders>
            <w:shd w:val="clear" w:color="000000" w:fill="FFCC99"/>
            <w:noWrap/>
            <w:vAlign w:val="center"/>
            <w:hideMark/>
          </w:tcPr>
          <w:p w14:paraId="1B1CFF5F" w14:textId="77777777" w:rsidR="0078259C" w:rsidRPr="0078259C" w:rsidRDefault="0078259C" w:rsidP="0078259C">
            <w:pPr>
              <w:spacing w:after="0" w:line="240" w:lineRule="auto"/>
              <w:jc w:val="right"/>
              <w:rPr>
                <w:rFonts w:ascii="Calibri" w:eastAsia="Times New Roman" w:hAnsi="Calibri" w:cs="Calibri"/>
                <w:sz w:val="18"/>
                <w:szCs w:val="18"/>
                <w:lang w:eastAsia="hr-HR"/>
              </w:rPr>
            </w:pPr>
            <w:r w:rsidRPr="0078259C">
              <w:rPr>
                <w:rFonts w:ascii="Calibri" w:eastAsia="Times New Roman" w:hAnsi="Calibri" w:cs="Calibri"/>
                <w:sz w:val="18"/>
                <w:szCs w:val="18"/>
                <w:lang w:eastAsia="hr-HR"/>
              </w:rPr>
              <w:t>1</w:t>
            </w:r>
          </w:p>
        </w:tc>
        <w:tc>
          <w:tcPr>
            <w:tcW w:w="435" w:type="dxa"/>
            <w:tcBorders>
              <w:top w:val="nil"/>
              <w:left w:val="nil"/>
              <w:bottom w:val="single" w:sz="4" w:space="0" w:color="auto"/>
              <w:right w:val="single" w:sz="4" w:space="0" w:color="auto"/>
            </w:tcBorders>
            <w:shd w:val="clear" w:color="000000" w:fill="CCFFFF"/>
            <w:vAlign w:val="center"/>
            <w:hideMark/>
          </w:tcPr>
          <w:p w14:paraId="427DA7AB" w14:textId="77777777" w:rsidR="0078259C" w:rsidRPr="0078259C" w:rsidRDefault="0078259C" w:rsidP="0078259C">
            <w:pPr>
              <w:spacing w:after="0" w:line="240" w:lineRule="auto"/>
              <w:jc w:val="right"/>
              <w:rPr>
                <w:rFonts w:ascii="Calibri" w:eastAsia="Times New Roman" w:hAnsi="Calibri" w:cs="Calibri"/>
                <w:sz w:val="18"/>
                <w:szCs w:val="18"/>
                <w:lang w:eastAsia="hr-HR"/>
              </w:rPr>
            </w:pPr>
            <w:r w:rsidRPr="0078259C">
              <w:rPr>
                <w:rFonts w:ascii="Calibri" w:eastAsia="Times New Roman" w:hAnsi="Calibri" w:cs="Calibri"/>
                <w:sz w:val="18"/>
                <w:szCs w:val="18"/>
                <w:lang w:eastAsia="hr-HR"/>
              </w:rPr>
              <w:t>2</w:t>
            </w:r>
          </w:p>
        </w:tc>
        <w:tc>
          <w:tcPr>
            <w:tcW w:w="426" w:type="dxa"/>
            <w:tcBorders>
              <w:top w:val="nil"/>
              <w:left w:val="nil"/>
              <w:bottom w:val="single" w:sz="4" w:space="0" w:color="auto"/>
              <w:right w:val="single" w:sz="4" w:space="0" w:color="auto"/>
            </w:tcBorders>
            <w:shd w:val="clear" w:color="000000" w:fill="CCFFFF"/>
            <w:noWrap/>
            <w:vAlign w:val="center"/>
            <w:hideMark/>
          </w:tcPr>
          <w:p w14:paraId="699621E3" w14:textId="77777777" w:rsidR="0078259C" w:rsidRPr="0078259C" w:rsidRDefault="0078259C" w:rsidP="0078259C">
            <w:pPr>
              <w:spacing w:after="0" w:line="240" w:lineRule="auto"/>
              <w:jc w:val="right"/>
              <w:rPr>
                <w:rFonts w:ascii="Calibri" w:eastAsia="Times New Roman" w:hAnsi="Calibri" w:cs="Calibri"/>
                <w:sz w:val="18"/>
                <w:szCs w:val="18"/>
                <w:lang w:eastAsia="hr-HR"/>
              </w:rPr>
            </w:pPr>
            <w:r w:rsidRPr="0078259C">
              <w:rPr>
                <w:rFonts w:ascii="Calibri" w:eastAsia="Times New Roman" w:hAnsi="Calibri" w:cs="Calibri"/>
                <w:sz w:val="18"/>
                <w:szCs w:val="18"/>
                <w:lang w:eastAsia="hr-HR"/>
              </w:rPr>
              <w:t>3</w:t>
            </w:r>
          </w:p>
        </w:tc>
        <w:tc>
          <w:tcPr>
            <w:tcW w:w="425" w:type="dxa"/>
            <w:tcBorders>
              <w:top w:val="nil"/>
              <w:left w:val="nil"/>
              <w:bottom w:val="single" w:sz="4" w:space="0" w:color="auto"/>
              <w:right w:val="single" w:sz="4" w:space="0" w:color="auto"/>
            </w:tcBorders>
            <w:shd w:val="clear" w:color="000000" w:fill="FFFF99"/>
            <w:noWrap/>
            <w:vAlign w:val="center"/>
            <w:hideMark/>
          </w:tcPr>
          <w:p w14:paraId="3F9EE857" w14:textId="77777777" w:rsidR="0078259C" w:rsidRPr="0078259C" w:rsidRDefault="0078259C" w:rsidP="0078259C">
            <w:pPr>
              <w:spacing w:after="0" w:line="240" w:lineRule="auto"/>
              <w:jc w:val="right"/>
              <w:rPr>
                <w:rFonts w:ascii="Calibri" w:eastAsia="Times New Roman" w:hAnsi="Calibri" w:cs="Calibri"/>
                <w:sz w:val="18"/>
                <w:szCs w:val="18"/>
                <w:lang w:eastAsia="hr-HR"/>
              </w:rPr>
            </w:pPr>
            <w:r w:rsidRPr="0078259C">
              <w:rPr>
                <w:rFonts w:ascii="Calibri" w:eastAsia="Times New Roman" w:hAnsi="Calibri" w:cs="Calibri"/>
                <w:sz w:val="18"/>
                <w:szCs w:val="18"/>
                <w:lang w:eastAsia="hr-HR"/>
              </w:rPr>
              <w:t>6</w:t>
            </w:r>
          </w:p>
        </w:tc>
        <w:tc>
          <w:tcPr>
            <w:tcW w:w="567" w:type="dxa"/>
            <w:tcBorders>
              <w:top w:val="nil"/>
              <w:left w:val="nil"/>
              <w:bottom w:val="single" w:sz="4" w:space="0" w:color="auto"/>
              <w:right w:val="single" w:sz="4" w:space="0" w:color="auto"/>
            </w:tcBorders>
            <w:shd w:val="clear" w:color="000000" w:fill="FFFF99"/>
            <w:noWrap/>
            <w:vAlign w:val="center"/>
            <w:hideMark/>
          </w:tcPr>
          <w:p w14:paraId="4E443A81" w14:textId="77777777" w:rsidR="0078259C" w:rsidRPr="0078259C" w:rsidRDefault="0078259C" w:rsidP="0078259C">
            <w:pPr>
              <w:spacing w:after="0" w:line="240" w:lineRule="auto"/>
              <w:jc w:val="right"/>
              <w:rPr>
                <w:rFonts w:ascii="Calibri" w:eastAsia="Times New Roman" w:hAnsi="Calibri" w:cs="Calibri"/>
                <w:sz w:val="18"/>
                <w:szCs w:val="18"/>
                <w:lang w:eastAsia="hr-HR"/>
              </w:rPr>
            </w:pPr>
            <w:r w:rsidRPr="0078259C">
              <w:rPr>
                <w:rFonts w:ascii="Calibri" w:eastAsia="Times New Roman" w:hAnsi="Calibri" w:cs="Calibri"/>
                <w:sz w:val="18"/>
                <w:szCs w:val="18"/>
                <w:lang w:eastAsia="hr-HR"/>
              </w:rPr>
              <w:t>1</w:t>
            </w:r>
          </w:p>
        </w:tc>
        <w:tc>
          <w:tcPr>
            <w:tcW w:w="567" w:type="dxa"/>
            <w:tcBorders>
              <w:top w:val="nil"/>
              <w:left w:val="nil"/>
              <w:bottom w:val="single" w:sz="4" w:space="0" w:color="auto"/>
              <w:right w:val="single" w:sz="4" w:space="0" w:color="auto"/>
            </w:tcBorders>
            <w:shd w:val="clear" w:color="000000" w:fill="FFFF99"/>
            <w:noWrap/>
            <w:vAlign w:val="center"/>
            <w:hideMark/>
          </w:tcPr>
          <w:p w14:paraId="2A854C18" w14:textId="77777777" w:rsidR="0078259C" w:rsidRPr="0078259C" w:rsidRDefault="0078259C" w:rsidP="0078259C">
            <w:pPr>
              <w:spacing w:after="0" w:line="240" w:lineRule="auto"/>
              <w:jc w:val="right"/>
              <w:rPr>
                <w:rFonts w:ascii="Calibri" w:eastAsia="Times New Roman" w:hAnsi="Calibri" w:cs="Calibri"/>
                <w:sz w:val="18"/>
                <w:szCs w:val="18"/>
                <w:lang w:eastAsia="hr-HR"/>
              </w:rPr>
            </w:pPr>
            <w:r w:rsidRPr="0078259C">
              <w:rPr>
                <w:rFonts w:ascii="Calibri" w:eastAsia="Times New Roman" w:hAnsi="Calibri" w:cs="Calibri"/>
                <w:sz w:val="18"/>
                <w:szCs w:val="18"/>
                <w:lang w:eastAsia="hr-HR"/>
              </w:rPr>
              <w:t>0</w:t>
            </w:r>
          </w:p>
        </w:tc>
        <w:tc>
          <w:tcPr>
            <w:tcW w:w="437" w:type="dxa"/>
            <w:tcBorders>
              <w:top w:val="nil"/>
              <w:left w:val="nil"/>
              <w:bottom w:val="single" w:sz="4" w:space="0" w:color="auto"/>
              <w:right w:val="single" w:sz="4" w:space="0" w:color="auto"/>
            </w:tcBorders>
            <w:shd w:val="clear" w:color="000000" w:fill="FFFF99"/>
            <w:noWrap/>
            <w:vAlign w:val="center"/>
            <w:hideMark/>
          </w:tcPr>
          <w:p w14:paraId="56C4F767" w14:textId="77777777" w:rsidR="0078259C" w:rsidRPr="0078259C" w:rsidRDefault="0078259C" w:rsidP="0078259C">
            <w:pPr>
              <w:spacing w:after="0" w:line="240" w:lineRule="auto"/>
              <w:jc w:val="right"/>
              <w:rPr>
                <w:rFonts w:ascii="Calibri" w:eastAsia="Times New Roman" w:hAnsi="Calibri" w:cs="Calibri"/>
                <w:sz w:val="18"/>
                <w:szCs w:val="18"/>
                <w:lang w:eastAsia="hr-HR"/>
              </w:rPr>
            </w:pPr>
            <w:r w:rsidRPr="0078259C">
              <w:rPr>
                <w:rFonts w:ascii="Calibri" w:eastAsia="Times New Roman" w:hAnsi="Calibri" w:cs="Calibri"/>
                <w:sz w:val="18"/>
                <w:szCs w:val="18"/>
                <w:lang w:eastAsia="hr-HR"/>
              </w:rPr>
              <w:t>0</w:t>
            </w:r>
          </w:p>
        </w:tc>
        <w:tc>
          <w:tcPr>
            <w:tcW w:w="413" w:type="dxa"/>
            <w:tcBorders>
              <w:top w:val="nil"/>
              <w:left w:val="nil"/>
              <w:bottom w:val="single" w:sz="4" w:space="0" w:color="auto"/>
              <w:right w:val="single" w:sz="4" w:space="0" w:color="auto"/>
            </w:tcBorders>
            <w:shd w:val="clear" w:color="000000" w:fill="FFFF99"/>
            <w:noWrap/>
            <w:vAlign w:val="center"/>
            <w:hideMark/>
          </w:tcPr>
          <w:p w14:paraId="5D541D95" w14:textId="77777777" w:rsidR="0078259C" w:rsidRPr="0078259C" w:rsidRDefault="0078259C" w:rsidP="0078259C">
            <w:pPr>
              <w:spacing w:after="0" w:line="240" w:lineRule="auto"/>
              <w:jc w:val="right"/>
              <w:rPr>
                <w:rFonts w:ascii="Calibri" w:eastAsia="Times New Roman" w:hAnsi="Calibri" w:cs="Calibri"/>
                <w:sz w:val="18"/>
                <w:szCs w:val="18"/>
                <w:lang w:eastAsia="hr-HR"/>
              </w:rPr>
            </w:pPr>
            <w:r w:rsidRPr="0078259C">
              <w:rPr>
                <w:rFonts w:ascii="Calibri" w:eastAsia="Times New Roman" w:hAnsi="Calibri" w:cs="Calibri"/>
                <w:sz w:val="18"/>
                <w:szCs w:val="18"/>
                <w:lang w:eastAsia="hr-HR"/>
              </w:rPr>
              <w:t>1</w:t>
            </w:r>
          </w:p>
        </w:tc>
        <w:tc>
          <w:tcPr>
            <w:tcW w:w="283" w:type="dxa"/>
            <w:gridSpan w:val="2"/>
            <w:tcBorders>
              <w:top w:val="nil"/>
              <w:left w:val="nil"/>
              <w:bottom w:val="single" w:sz="4" w:space="0" w:color="auto"/>
              <w:right w:val="single" w:sz="4" w:space="0" w:color="auto"/>
            </w:tcBorders>
            <w:shd w:val="clear" w:color="000000" w:fill="FF9900"/>
            <w:noWrap/>
            <w:vAlign w:val="center"/>
            <w:hideMark/>
          </w:tcPr>
          <w:p w14:paraId="7EFFBDEF" w14:textId="77777777" w:rsidR="0078259C" w:rsidRPr="0078259C" w:rsidRDefault="0078259C" w:rsidP="0078259C">
            <w:pPr>
              <w:spacing w:after="0" w:line="240" w:lineRule="auto"/>
              <w:jc w:val="right"/>
              <w:rPr>
                <w:rFonts w:ascii="Calibri" w:eastAsia="Times New Roman" w:hAnsi="Calibri" w:cs="Calibri"/>
                <w:sz w:val="18"/>
                <w:szCs w:val="18"/>
                <w:lang w:eastAsia="hr-HR"/>
              </w:rPr>
            </w:pPr>
            <w:r w:rsidRPr="0078259C">
              <w:rPr>
                <w:rFonts w:ascii="Calibri" w:eastAsia="Times New Roman" w:hAnsi="Calibri" w:cs="Calibri"/>
                <w:sz w:val="18"/>
                <w:szCs w:val="18"/>
                <w:lang w:eastAsia="hr-HR"/>
              </w:rPr>
              <w:t>5</w:t>
            </w:r>
          </w:p>
        </w:tc>
        <w:tc>
          <w:tcPr>
            <w:tcW w:w="568" w:type="dxa"/>
            <w:tcBorders>
              <w:top w:val="nil"/>
              <w:left w:val="nil"/>
              <w:bottom w:val="single" w:sz="4" w:space="0" w:color="auto"/>
              <w:right w:val="single" w:sz="4" w:space="0" w:color="auto"/>
            </w:tcBorders>
            <w:shd w:val="clear" w:color="000000" w:fill="FF9900"/>
            <w:noWrap/>
            <w:vAlign w:val="center"/>
            <w:hideMark/>
          </w:tcPr>
          <w:p w14:paraId="34266DBD" w14:textId="77777777" w:rsidR="0078259C" w:rsidRPr="0078259C" w:rsidRDefault="0078259C" w:rsidP="0078259C">
            <w:pPr>
              <w:spacing w:after="0" w:line="240" w:lineRule="auto"/>
              <w:jc w:val="right"/>
              <w:rPr>
                <w:rFonts w:ascii="Calibri" w:eastAsia="Times New Roman" w:hAnsi="Calibri" w:cs="Calibri"/>
                <w:sz w:val="18"/>
                <w:szCs w:val="18"/>
                <w:lang w:eastAsia="hr-HR"/>
              </w:rPr>
            </w:pPr>
            <w:r w:rsidRPr="0078259C">
              <w:rPr>
                <w:rFonts w:ascii="Calibri" w:eastAsia="Times New Roman" w:hAnsi="Calibri" w:cs="Calibri"/>
                <w:sz w:val="18"/>
                <w:szCs w:val="18"/>
                <w:lang w:eastAsia="hr-HR"/>
              </w:rPr>
              <w:t>0</w:t>
            </w:r>
          </w:p>
        </w:tc>
        <w:tc>
          <w:tcPr>
            <w:tcW w:w="425" w:type="dxa"/>
            <w:tcBorders>
              <w:top w:val="nil"/>
              <w:left w:val="nil"/>
              <w:bottom w:val="single" w:sz="4" w:space="0" w:color="auto"/>
              <w:right w:val="single" w:sz="4" w:space="0" w:color="auto"/>
            </w:tcBorders>
            <w:shd w:val="clear" w:color="000000" w:fill="FF9900"/>
            <w:noWrap/>
            <w:vAlign w:val="center"/>
            <w:hideMark/>
          </w:tcPr>
          <w:p w14:paraId="414CC580" w14:textId="77777777" w:rsidR="0078259C" w:rsidRPr="0078259C" w:rsidRDefault="0078259C" w:rsidP="0078259C">
            <w:pPr>
              <w:spacing w:after="0" w:line="240" w:lineRule="auto"/>
              <w:jc w:val="right"/>
              <w:rPr>
                <w:rFonts w:ascii="Calibri" w:eastAsia="Times New Roman" w:hAnsi="Calibri" w:cs="Calibri"/>
                <w:sz w:val="18"/>
                <w:szCs w:val="18"/>
                <w:lang w:eastAsia="hr-HR"/>
              </w:rPr>
            </w:pPr>
            <w:r w:rsidRPr="0078259C">
              <w:rPr>
                <w:rFonts w:ascii="Calibri" w:eastAsia="Times New Roman" w:hAnsi="Calibri" w:cs="Calibri"/>
                <w:sz w:val="18"/>
                <w:szCs w:val="18"/>
                <w:lang w:eastAsia="hr-HR"/>
              </w:rPr>
              <w:t>0</w:t>
            </w:r>
          </w:p>
        </w:tc>
        <w:tc>
          <w:tcPr>
            <w:tcW w:w="425" w:type="dxa"/>
            <w:gridSpan w:val="2"/>
            <w:tcBorders>
              <w:top w:val="nil"/>
              <w:left w:val="nil"/>
              <w:bottom w:val="single" w:sz="4" w:space="0" w:color="auto"/>
              <w:right w:val="single" w:sz="4" w:space="0" w:color="auto"/>
            </w:tcBorders>
            <w:shd w:val="clear" w:color="000000" w:fill="66FFCC"/>
            <w:noWrap/>
            <w:vAlign w:val="center"/>
            <w:hideMark/>
          </w:tcPr>
          <w:p w14:paraId="3941912C" w14:textId="77777777" w:rsidR="0078259C" w:rsidRPr="0078259C" w:rsidRDefault="0078259C" w:rsidP="0078259C">
            <w:pPr>
              <w:spacing w:after="0" w:line="240" w:lineRule="auto"/>
              <w:jc w:val="right"/>
              <w:rPr>
                <w:rFonts w:ascii="Calibri" w:eastAsia="Times New Roman" w:hAnsi="Calibri" w:cs="Calibri"/>
                <w:sz w:val="18"/>
                <w:szCs w:val="18"/>
                <w:lang w:eastAsia="hr-HR"/>
              </w:rPr>
            </w:pPr>
            <w:r w:rsidRPr="0078259C">
              <w:rPr>
                <w:rFonts w:ascii="Calibri" w:eastAsia="Times New Roman" w:hAnsi="Calibri" w:cs="Calibri"/>
                <w:sz w:val="18"/>
                <w:szCs w:val="18"/>
                <w:lang w:eastAsia="hr-HR"/>
              </w:rPr>
              <w:t>0</w:t>
            </w:r>
          </w:p>
        </w:tc>
        <w:tc>
          <w:tcPr>
            <w:tcW w:w="437" w:type="dxa"/>
            <w:tcBorders>
              <w:top w:val="nil"/>
              <w:left w:val="nil"/>
              <w:bottom w:val="single" w:sz="4" w:space="0" w:color="auto"/>
              <w:right w:val="single" w:sz="4" w:space="0" w:color="auto"/>
            </w:tcBorders>
            <w:shd w:val="clear" w:color="000000" w:fill="66FFCC"/>
            <w:noWrap/>
            <w:vAlign w:val="center"/>
            <w:hideMark/>
          </w:tcPr>
          <w:p w14:paraId="236B1E60" w14:textId="77777777" w:rsidR="0078259C" w:rsidRPr="0078259C" w:rsidRDefault="0078259C" w:rsidP="0078259C">
            <w:pPr>
              <w:spacing w:after="0" w:line="240" w:lineRule="auto"/>
              <w:jc w:val="right"/>
              <w:rPr>
                <w:rFonts w:ascii="Calibri" w:eastAsia="Times New Roman" w:hAnsi="Calibri" w:cs="Calibri"/>
                <w:sz w:val="18"/>
                <w:szCs w:val="18"/>
                <w:lang w:eastAsia="hr-HR"/>
              </w:rPr>
            </w:pPr>
            <w:r w:rsidRPr="0078259C">
              <w:rPr>
                <w:rFonts w:ascii="Calibri" w:eastAsia="Times New Roman" w:hAnsi="Calibri" w:cs="Calibri"/>
                <w:sz w:val="18"/>
                <w:szCs w:val="18"/>
                <w:lang w:eastAsia="hr-HR"/>
              </w:rPr>
              <w:t>5</w:t>
            </w:r>
          </w:p>
        </w:tc>
        <w:tc>
          <w:tcPr>
            <w:tcW w:w="556" w:type="dxa"/>
            <w:tcBorders>
              <w:top w:val="nil"/>
              <w:left w:val="nil"/>
              <w:bottom w:val="single" w:sz="4" w:space="0" w:color="auto"/>
              <w:right w:val="single" w:sz="4" w:space="0" w:color="auto"/>
            </w:tcBorders>
            <w:shd w:val="clear" w:color="000000" w:fill="66FFCC"/>
            <w:noWrap/>
            <w:vAlign w:val="center"/>
            <w:hideMark/>
          </w:tcPr>
          <w:p w14:paraId="5F791719" w14:textId="77777777" w:rsidR="0078259C" w:rsidRPr="0078259C" w:rsidRDefault="0078259C" w:rsidP="0078259C">
            <w:pPr>
              <w:spacing w:after="0" w:line="240" w:lineRule="auto"/>
              <w:jc w:val="right"/>
              <w:rPr>
                <w:rFonts w:ascii="Calibri" w:eastAsia="Times New Roman" w:hAnsi="Calibri" w:cs="Calibri"/>
                <w:sz w:val="18"/>
                <w:szCs w:val="18"/>
                <w:lang w:eastAsia="hr-HR"/>
              </w:rPr>
            </w:pPr>
            <w:r w:rsidRPr="0078259C">
              <w:rPr>
                <w:rFonts w:ascii="Calibri" w:eastAsia="Times New Roman" w:hAnsi="Calibri" w:cs="Calibri"/>
                <w:sz w:val="18"/>
                <w:szCs w:val="18"/>
                <w:lang w:eastAsia="hr-HR"/>
              </w:rPr>
              <w:t>0</w:t>
            </w:r>
          </w:p>
        </w:tc>
        <w:tc>
          <w:tcPr>
            <w:tcW w:w="425" w:type="dxa"/>
            <w:tcBorders>
              <w:top w:val="nil"/>
              <w:left w:val="nil"/>
              <w:bottom w:val="single" w:sz="4" w:space="0" w:color="auto"/>
              <w:right w:val="single" w:sz="4" w:space="0" w:color="auto"/>
            </w:tcBorders>
            <w:shd w:val="clear" w:color="000000" w:fill="66FFCC"/>
            <w:noWrap/>
            <w:vAlign w:val="center"/>
            <w:hideMark/>
          </w:tcPr>
          <w:p w14:paraId="43780C33" w14:textId="77777777" w:rsidR="0078259C" w:rsidRPr="0078259C" w:rsidRDefault="0078259C" w:rsidP="0078259C">
            <w:pPr>
              <w:spacing w:after="0" w:line="240" w:lineRule="auto"/>
              <w:jc w:val="right"/>
              <w:rPr>
                <w:rFonts w:ascii="Calibri" w:eastAsia="Times New Roman" w:hAnsi="Calibri" w:cs="Calibri"/>
                <w:sz w:val="18"/>
                <w:szCs w:val="18"/>
                <w:lang w:eastAsia="hr-HR"/>
              </w:rPr>
            </w:pPr>
            <w:r w:rsidRPr="0078259C">
              <w:rPr>
                <w:rFonts w:ascii="Calibri" w:eastAsia="Times New Roman" w:hAnsi="Calibri" w:cs="Calibri"/>
                <w:sz w:val="18"/>
                <w:szCs w:val="18"/>
                <w:lang w:eastAsia="hr-HR"/>
              </w:rPr>
              <w:t>5</w:t>
            </w:r>
          </w:p>
        </w:tc>
        <w:tc>
          <w:tcPr>
            <w:tcW w:w="567" w:type="dxa"/>
            <w:gridSpan w:val="2"/>
            <w:tcBorders>
              <w:top w:val="nil"/>
              <w:left w:val="nil"/>
              <w:bottom w:val="single" w:sz="4" w:space="0" w:color="auto"/>
              <w:right w:val="single" w:sz="4" w:space="0" w:color="auto"/>
            </w:tcBorders>
            <w:shd w:val="clear" w:color="000000" w:fill="FFFF00"/>
            <w:vAlign w:val="center"/>
            <w:hideMark/>
          </w:tcPr>
          <w:p w14:paraId="6F78CC81" w14:textId="77777777" w:rsidR="0078259C" w:rsidRPr="0078259C" w:rsidRDefault="0078259C" w:rsidP="0078259C">
            <w:pPr>
              <w:spacing w:after="0" w:line="240" w:lineRule="auto"/>
              <w:jc w:val="right"/>
              <w:rPr>
                <w:rFonts w:ascii="Calibri" w:eastAsia="Times New Roman" w:hAnsi="Calibri" w:cs="Calibri"/>
                <w:sz w:val="18"/>
                <w:szCs w:val="18"/>
                <w:lang w:eastAsia="hr-HR"/>
              </w:rPr>
            </w:pPr>
            <w:r w:rsidRPr="0078259C">
              <w:rPr>
                <w:rFonts w:ascii="Calibri" w:eastAsia="Times New Roman" w:hAnsi="Calibri" w:cs="Calibri"/>
                <w:sz w:val="18"/>
                <w:szCs w:val="18"/>
                <w:lang w:eastAsia="hr-HR"/>
              </w:rPr>
              <w:t>5</w:t>
            </w:r>
          </w:p>
        </w:tc>
        <w:tc>
          <w:tcPr>
            <w:tcW w:w="578" w:type="dxa"/>
            <w:gridSpan w:val="2"/>
            <w:tcBorders>
              <w:top w:val="nil"/>
              <w:left w:val="nil"/>
              <w:bottom w:val="single" w:sz="4" w:space="0" w:color="auto"/>
              <w:right w:val="single" w:sz="4" w:space="0" w:color="auto"/>
            </w:tcBorders>
            <w:shd w:val="clear" w:color="000000" w:fill="FFFF99"/>
            <w:vAlign w:val="center"/>
            <w:hideMark/>
          </w:tcPr>
          <w:p w14:paraId="084A51C0" w14:textId="77777777" w:rsidR="0078259C" w:rsidRPr="0078259C" w:rsidRDefault="0078259C" w:rsidP="0078259C">
            <w:pPr>
              <w:spacing w:after="0" w:line="240" w:lineRule="auto"/>
              <w:jc w:val="right"/>
              <w:rPr>
                <w:rFonts w:ascii="Calibri" w:eastAsia="Times New Roman" w:hAnsi="Calibri" w:cs="Calibri"/>
                <w:sz w:val="18"/>
                <w:szCs w:val="18"/>
                <w:lang w:eastAsia="hr-HR"/>
              </w:rPr>
            </w:pPr>
            <w:r w:rsidRPr="0078259C">
              <w:rPr>
                <w:rFonts w:ascii="Calibri" w:eastAsia="Times New Roman" w:hAnsi="Calibri" w:cs="Calibri"/>
                <w:sz w:val="18"/>
                <w:szCs w:val="18"/>
                <w:lang w:eastAsia="hr-HR"/>
              </w:rPr>
              <w:t>4</w:t>
            </w:r>
          </w:p>
        </w:tc>
        <w:tc>
          <w:tcPr>
            <w:tcW w:w="839" w:type="dxa"/>
            <w:gridSpan w:val="2"/>
            <w:tcBorders>
              <w:top w:val="nil"/>
              <w:left w:val="nil"/>
              <w:bottom w:val="single" w:sz="4" w:space="0" w:color="auto"/>
              <w:right w:val="single" w:sz="4" w:space="0" w:color="auto"/>
            </w:tcBorders>
            <w:shd w:val="clear" w:color="000000" w:fill="FF9900"/>
            <w:vAlign w:val="center"/>
            <w:hideMark/>
          </w:tcPr>
          <w:p w14:paraId="262EE0FC" w14:textId="77777777" w:rsidR="0078259C" w:rsidRPr="0078259C" w:rsidRDefault="0078259C" w:rsidP="0078259C">
            <w:pPr>
              <w:spacing w:after="0" w:line="240" w:lineRule="auto"/>
              <w:jc w:val="right"/>
              <w:rPr>
                <w:rFonts w:ascii="Calibri" w:eastAsia="Times New Roman" w:hAnsi="Calibri" w:cs="Calibri"/>
                <w:sz w:val="18"/>
                <w:szCs w:val="18"/>
                <w:lang w:eastAsia="hr-HR"/>
              </w:rPr>
            </w:pPr>
            <w:r w:rsidRPr="0078259C">
              <w:rPr>
                <w:rFonts w:ascii="Calibri" w:eastAsia="Times New Roman" w:hAnsi="Calibri" w:cs="Calibri"/>
                <w:sz w:val="18"/>
                <w:szCs w:val="18"/>
                <w:lang w:eastAsia="hr-HR"/>
              </w:rPr>
              <w:t>5</w:t>
            </w:r>
          </w:p>
        </w:tc>
        <w:tc>
          <w:tcPr>
            <w:tcW w:w="426" w:type="dxa"/>
            <w:gridSpan w:val="2"/>
            <w:tcBorders>
              <w:top w:val="nil"/>
              <w:left w:val="nil"/>
              <w:bottom w:val="single" w:sz="4" w:space="0" w:color="auto"/>
              <w:right w:val="single" w:sz="4" w:space="0" w:color="auto"/>
            </w:tcBorders>
            <w:shd w:val="clear" w:color="000000" w:fill="CCFFFF"/>
            <w:vAlign w:val="center"/>
            <w:hideMark/>
          </w:tcPr>
          <w:p w14:paraId="6F79D9CB" w14:textId="77777777" w:rsidR="0078259C" w:rsidRPr="0078259C" w:rsidRDefault="0078259C" w:rsidP="0078259C">
            <w:pPr>
              <w:spacing w:after="0" w:line="240" w:lineRule="auto"/>
              <w:jc w:val="right"/>
              <w:rPr>
                <w:rFonts w:ascii="Calibri" w:eastAsia="Times New Roman" w:hAnsi="Calibri" w:cs="Calibri"/>
                <w:sz w:val="18"/>
                <w:szCs w:val="18"/>
                <w:lang w:eastAsia="hr-HR"/>
              </w:rPr>
            </w:pPr>
            <w:r w:rsidRPr="0078259C">
              <w:rPr>
                <w:rFonts w:ascii="Calibri" w:eastAsia="Times New Roman" w:hAnsi="Calibri" w:cs="Calibri"/>
                <w:sz w:val="18"/>
                <w:szCs w:val="18"/>
                <w:lang w:eastAsia="hr-HR"/>
              </w:rPr>
              <w:t>0</w:t>
            </w:r>
          </w:p>
        </w:tc>
        <w:tc>
          <w:tcPr>
            <w:tcW w:w="446" w:type="dxa"/>
            <w:tcBorders>
              <w:top w:val="nil"/>
              <w:left w:val="nil"/>
              <w:bottom w:val="single" w:sz="4" w:space="0" w:color="auto"/>
              <w:right w:val="single" w:sz="4" w:space="0" w:color="auto"/>
            </w:tcBorders>
            <w:shd w:val="clear" w:color="000000" w:fill="CCFFFF"/>
            <w:vAlign w:val="center"/>
            <w:hideMark/>
          </w:tcPr>
          <w:p w14:paraId="30A52E11" w14:textId="77777777" w:rsidR="0078259C" w:rsidRPr="0078259C" w:rsidRDefault="0078259C" w:rsidP="0078259C">
            <w:pPr>
              <w:spacing w:after="0" w:line="240" w:lineRule="auto"/>
              <w:jc w:val="right"/>
              <w:rPr>
                <w:rFonts w:ascii="Calibri" w:eastAsia="Times New Roman" w:hAnsi="Calibri" w:cs="Calibri"/>
                <w:sz w:val="18"/>
                <w:szCs w:val="18"/>
                <w:lang w:eastAsia="hr-HR"/>
              </w:rPr>
            </w:pPr>
            <w:r w:rsidRPr="0078259C">
              <w:rPr>
                <w:rFonts w:ascii="Calibri" w:eastAsia="Times New Roman" w:hAnsi="Calibri" w:cs="Calibri"/>
                <w:sz w:val="18"/>
                <w:szCs w:val="18"/>
                <w:lang w:eastAsia="hr-HR"/>
              </w:rPr>
              <w:t>2</w:t>
            </w:r>
          </w:p>
        </w:tc>
        <w:tc>
          <w:tcPr>
            <w:tcW w:w="404" w:type="dxa"/>
            <w:tcBorders>
              <w:top w:val="nil"/>
              <w:left w:val="nil"/>
              <w:bottom w:val="single" w:sz="4" w:space="0" w:color="auto"/>
              <w:right w:val="single" w:sz="4" w:space="0" w:color="auto"/>
            </w:tcBorders>
            <w:shd w:val="clear" w:color="000000" w:fill="CCFFFF"/>
            <w:noWrap/>
            <w:vAlign w:val="center"/>
            <w:hideMark/>
          </w:tcPr>
          <w:p w14:paraId="4BE51C9D" w14:textId="77777777" w:rsidR="0078259C" w:rsidRPr="0078259C" w:rsidRDefault="0078259C" w:rsidP="0078259C">
            <w:pPr>
              <w:spacing w:after="0" w:line="240" w:lineRule="auto"/>
              <w:jc w:val="right"/>
              <w:rPr>
                <w:rFonts w:ascii="Calibri" w:eastAsia="Times New Roman" w:hAnsi="Calibri" w:cs="Calibri"/>
                <w:sz w:val="18"/>
                <w:szCs w:val="18"/>
                <w:lang w:eastAsia="hr-HR"/>
              </w:rPr>
            </w:pPr>
            <w:r w:rsidRPr="0078259C">
              <w:rPr>
                <w:rFonts w:ascii="Calibri" w:eastAsia="Times New Roman" w:hAnsi="Calibri" w:cs="Calibri"/>
                <w:sz w:val="18"/>
                <w:szCs w:val="18"/>
                <w:lang w:eastAsia="hr-HR"/>
              </w:rPr>
              <w:t>4</w:t>
            </w:r>
          </w:p>
        </w:tc>
        <w:tc>
          <w:tcPr>
            <w:tcW w:w="839" w:type="dxa"/>
            <w:gridSpan w:val="2"/>
            <w:tcBorders>
              <w:top w:val="nil"/>
              <w:left w:val="nil"/>
              <w:bottom w:val="single" w:sz="4" w:space="0" w:color="auto"/>
              <w:right w:val="single" w:sz="4" w:space="0" w:color="auto"/>
            </w:tcBorders>
            <w:shd w:val="clear" w:color="000000" w:fill="33CCCC"/>
            <w:noWrap/>
            <w:vAlign w:val="center"/>
            <w:hideMark/>
          </w:tcPr>
          <w:p w14:paraId="2F879617" w14:textId="77777777" w:rsidR="0078259C" w:rsidRPr="0078259C" w:rsidRDefault="0078259C" w:rsidP="0078259C">
            <w:pPr>
              <w:spacing w:after="0" w:line="240" w:lineRule="auto"/>
              <w:jc w:val="right"/>
              <w:rPr>
                <w:rFonts w:ascii="Calibri" w:eastAsia="Times New Roman" w:hAnsi="Calibri" w:cs="Calibri"/>
                <w:sz w:val="18"/>
                <w:szCs w:val="18"/>
                <w:lang w:eastAsia="hr-HR"/>
              </w:rPr>
            </w:pPr>
            <w:r w:rsidRPr="0078259C">
              <w:rPr>
                <w:rFonts w:ascii="Calibri" w:eastAsia="Times New Roman" w:hAnsi="Calibri" w:cs="Calibri"/>
                <w:sz w:val="18"/>
                <w:szCs w:val="18"/>
                <w:lang w:eastAsia="hr-HR"/>
              </w:rPr>
              <w:t>5</w:t>
            </w:r>
          </w:p>
        </w:tc>
        <w:tc>
          <w:tcPr>
            <w:tcW w:w="839" w:type="dxa"/>
            <w:tcBorders>
              <w:top w:val="nil"/>
              <w:left w:val="nil"/>
              <w:bottom w:val="single" w:sz="4" w:space="0" w:color="auto"/>
              <w:right w:val="nil"/>
            </w:tcBorders>
            <w:shd w:val="clear" w:color="000000" w:fill="33CCCC"/>
            <w:noWrap/>
            <w:vAlign w:val="center"/>
            <w:hideMark/>
          </w:tcPr>
          <w:p w14:paraId="7F95CF23" w14:textId="77777777" w:rsidR="0078259C" w:rsidRPr="0078259C" w:rsidRDefault="0078259C" w:rsidP="0078259C">
            <w:pPr>
              <w:spacing w:after="0" w:line="240" w:lineRule="auto"/>
              <w:jc w:val="right"/>
              <w:rPr>
                <w:rFonts w:ascii="Calibri" w:eastAsia="Times New Roman" w:hAnsi="Calibri" w:cs="Calibri"/>
                <w:sz w:val="18"/>
                <w:szCs w:val="18"/>
                <w:lang w:eastAsia="hr-HR"/>
              </w:rPr>
            </w:pPr>
            <w:r w:rsidRPr="0078259C">
              <w:rPr>
                <w:rFonts w:ascii="Calibri" w:eastAsia="Times New Roman" w:hAnsi="Calibri" w:cs="Calibri"/>
                <w:sz w:val="18"/>
                <w:szCs w:val="18"/>
                <w:lang w:eastAsia="hr-HR"/>
              </w:rPr>
              <w:t>0</w:t>
            </w:r>
          </w:p>
        </w:tc>
        <w:tc>
          <w:tcPr>
            <w:tcW w:w="236" w:type="dxa"/>
            <w:gridSpan w:val="2"/>
            <w:vAlign w:val="center"/>
            <w:hideMark/>
          </w:tcPr>
          <w:p w14:paraId="3138694D" w14:textId="77777777" w:rsidR="0078259C" w:rsidRPr="0078259C" w:rsidRDefault="0078259C" w:rsidP="0078259C">
            <w:pPr>
              <w:spacing w:after="0" w:line="240" w:lineRule="auto"/>
              <w:rPr>
                <w:rFonts w:ascii="Times New Roman" w:eastAsia="Times New Roman" w:hAnsi="Times New Roman" w:cs="Times New Roman"/>
                <w:sz w:val="18"/>
                <w:szCs w:val="18"/>
                <w:lang w:eastAsia="hr-HR"/>
              </w:rPr>
            </w:pPr>
          </w:p>
        </w:tc>
      </w:tr>
      <w:tr w:rsidR="0078259C" w:rsidRPr="0078259C" w14:paraId="361B863F" w14:textId="77777777" w:rsidTr="0078259C">
        <w:trPr>
          <w:gridAfter w:val="2"/>
          <w:wAfter w:w="44" w:type="dxa"/>
          <w:trHeight w:val="405"/>
        </w:trPr>
        <w:tc>
          <w:tcPr>
            <w:tcW w:w="1394" w:type="dxa"/>
            <w:tcBorders>
              <w:top w:val="single" w:sz="4" w:space="0" w:color="auto"/>
              <w:left w:val="single" w:sz="8" w:space="0" w:color="auto"/>
              <w:bottom w:val="single" w:sz="4" w:space="0" w:color="auto"/>
              <w:right w:val="single" w:sz="4" w:space="0" w:color="auto"/>
            </w:tcBorders>
            <w:shd w:val="clear" w:color="000000" w:fill="CCFFCC"/>
            <w:vAlign w:val="center"/>
            <w:hideMark/>
          </w:tcPr>
          <w:p w14:paraId="32F3EBF6" w14:textId="77777777" w:rsidR="0078259C" w:rsidRPr="0078259C" w:rsidRDefault="0078259C" w:rsidP="0078259C">
            <w:pPr>
              <w:spacing w:after="0" w:line="240" w:lineRule="auto"/>
              <w:jc w:val="center"/>
              <w:rPr>
                <w:rFonts w:ascii="Calibri" w:eastAsia="Times New Roman" w:hAnsi="Calibri" w:cs="Calibri"/>
                <w:sz w:val="18"/>
                <w:szCs w:val="18"/>
                <w:lang w:eastAsia="hr-HR"/>
              </w:rPr>
            </w:pPr>
            <w:r w:rsidRPr="0078259C">
              <w:rPr>
                <w:rFonts w:ascii="Calibri" w:eastAsia="Times New Roman" w:hAnsi="Calibri" w:cs="Calibri"/>
                <w:sz w:val="18"/>
                <w:szCs w:val="18"/>
                <w:lang w:eastAsia="hr-HR"/>
              </w:rPr>
              <w:t>Jezik</w:t>
            </w:r>
          </w:p>
        </w:tc>
        <w:tc>
          <w:tcPr>
            <w:tcW w:w="575" w:type="dxa"/>
            <w:tcBorders>
              <w:top w:val="nil"/>
              <w:left w:val="nil"/>
              <w:bottom w:val="single" w:sz="4" w:space="0" w:color="auto"/>
              <w:right w:val="single" w:sz="4" w:space="0" w:color="auto"/>
            </w:tcBorders>
            <w:shd w:val="clear" w:color="000000" w:fill="CCFFCC"/>
            <w:vAlign w:val="center"/>
            <w:hideMark/>
          </w:tcPr>
          <w:p w14:paraId="52B005DF" w14:textId="77777777" w:rsidR="0078259C" w:rsidRPr="0078259C" w:rsidRDefault="0078259C" w:rsidP="0078259C">
            <w:pPr>
              <w:spacing w:after="0" w:line="240" w:lineRule="auto"/>
              <w:jc w:val="right"/>
              <w:rPr>
                <w:rFonts w:ascii="Calibri" w:eastAsia="Times New Roman" w:hAnsi="Calibri" w:cs="Calibri"/>
                <w:sz w:val="18"/>
                <w:szCs w:val="18"/>
                <w:lang w:eastAsia="hr-HR"/>
              </w:rPr>
            </w:pPr>
            <w:r w:rsidRPr="0078259C">
              <w:rPr>
                <w:rFonts w:ascii="Calibri" w:eastAsia="Times New Roman" w:hAnsi="Calibri" w:cs="Calibri"/>
                <w:sz w:val="18"/>
                <w:szCs w:val="18"/>
                <w:lang w:eastAsia="hr-HR"/>
              </w:rPr>
              <w:t>0</w:t>
            </w:r>
          </w:p>
        </w:tc>
        <w:tc>
          <w:tcPr>
            <w:tcW w:w="488" w:type="dxa"/>
            <w:tcBorders>
              <w:top w:val="nil"/>
              <w:left w:val="nil"/>
              <w:bottom w:val="single" w:sz="4" w:space="0" w:color="auto"/>
              <w:right w:val="single" w:sz="4" w:space="0" w:color="auto"/>
            </w:tcBorders>
            <w:shd w:val="clear" w:color="000000" w:fill="FFCC99"/>
            <w:noWrap/>
            <w:vAlign w:val="center"/>
            <w:hideMark/>
          </w:tcPr>
          <w:p w14:paraId="45DE1D1E" w14:textId="77777777" w:rsidR="0078259C" w:rsidRPr="0078259C" w:rsidRDefault="0078259C" w:rsidP="0078259C">
            <w:pPr>
              <w:spacing w:after="0" w:line="240" w:lineRule="auto"/>
              <w:jc w:val="right"/>
              <w:rPr>
                <w:rFonts w:ascii="Calibri" w:eastAsia="Times New Roman" w:hAnsi="Calibri" w:cs="Calibri"/>
                <w:sz w:val="18"/>
                <w:szCs w:val="18"/>
                <w:lang w:eastAsia="hr-HR"/>
              </w:rPr>
            </w:pPr>
            <w:r w:rsidRPr="0078259C">
              <w:rPr>
                <w:rFonts w:ascii="Calibri" w:eastAsia="Times New Roman" w:hAnsi="Calibri" w:cs="Calibri"/>
                <w:sz w:val="18"/>
                <w:szCs w:val="18"/>
                <w:lang w:eastAsia="hr-HR"/>
              </w:rPr>
              <w:t>0</w:t>
            </w:r>
          </w:p>
        </w:tc>
        <w:tc>
          <w:tcPr>
            <w:tcW w:w="500" w:type="dxa"/>
            <w:tcBorders>
              <w:top w:val="nil"/>
              <w:left w:val="nil"/>
              <w:bottom w:val="single" w:sz="4" w:space="0" w:color="auto"/>
              <w:right w:val="single" w:sz="4" w:space="0" w:color="auto"/>
            </w:tcBorders>
            <w:shd w:val="clear" w:color="000000" w:fill="FFCC99"/>
            <w:noWrap/>
            <w:vAlign w:val="center"/>
            <w:hideMark/>
          </w:tcPr>
          <w:p w14:paraId="750FF152" w14:textId="77777777" w:rsidR="0078259C" w:rsidRPr="0078259C" w:rsidRDefault="0078259C" w:rsidP="0078259C">
            <w:pPr>
              <w:spacing w:after="0" w:line="240" w:lineRule="auto"/>
              <w:jc w:val="right"/>
              <w:rPr>
                <w:rFonts w:ascii="Calibri" w:eastAsia="Times New Roman" w:hAnsi="Calibri" w:cs="Calibri"/>
                <w:sz w:val="18"/>
                <w:szCs w:val="18"/>
                <w:lang w:eastAsia="hr-HR"/>
              </w:rPr>
            </w:pPr>
            <w:r w:rsidRPr="0078259C">
              <w:rPr>
                <w:rFonts w:ascii="Calibri" w:eastAsia="Times New Roman" w:hAnsi="Calibri" w:cs="Calibri"/>
                <w:sz w:val="18"/>
                <w:szCs w:val="18"/>
                <w:lang w:eastAsia="hr-HR"/>
              </w:rPr>
              <w:t>0</w:t>
            </w:r>
          </w:p>
        </w:tc>
        <w:tc>
          <w:tcPr>
            <w:tcW w:w="435" w:type="dxa"/>
            <w:tcBorders>
              <w:top w:val="nil"/>
              <w:left w:val="nil"/>
              <w:bottom w:val="single" w:sz="4" w:space="0" w:color="auto"/>
              <w:right w:val="single" w:sz="4" w:space="0" w:color="auto"/>
            </w:tcBorders>
            <w:shd w:val="clear" w:color="000000" w:fill="CCFFFF"/>
            <w:vAlign w:val="center"/>
            <w:hideMark/>
          </w:tcPr>
          <w:p w14:paraId="7FA9C66E" w14:textId="77777777" w:rsidR="0078259C" w:rsidRPr="0078259C" w:rsidRDefault="0078259C" w:rsidP="0078259C">
            <w:pPr>
              <w:spacing w:after="0" w:line="240" w:lineRule="auto"/>
              <w:jc w:val="right"/>
              <w:rPr>
                <w:rFonts w:ascii="Calibri" w:eastAsia="Times New Roman" w:hAnsi="Calibri" w:cs="Calibri"/>
                <w:sz w:val="18"/>
                <w:szCs w:val="18"/>
                <w:lang w:eastAsia="hr-HR"/>
              </w:rPr>
            </w:pPr>
            <w:r w:rsidRPr="0078259C">
              <w:rPr>
                <w:rFonts w:ascii="Calibri" w:eastAsia="Times New Roman" w:hAnsi="Calibri" w:cs="Calibri"/>
                <w:sz w:val="18"/>
                <w:szCs w:val="18"/>
                <w:lang w:eastAsia="hr-HR"/>
              </w:rPr>
              <w:t>0</w:t>
            </w:r>
          </w:p>
        </w:tc>
        <w:tc>
          <w:tcPr>
            <w:tcW w:w="426" w:type="dxa"/>
            <w:tcBorders>
              <w:top w:val="nil"/>
              <w:left w:val="nil"/>
              <w:bottom w:val="single" w:sz="4" w:space="0" w:color="auto"/>
              <w:right w:val="single" w:sz="4" w:space="0" w:color="auto"/>
            </w:tcBorders>
            <w:shd w:val="clear" w:color="000000" w:fill="CCFFFF"/>
            <w:noWrap/>
            <w:vAlign w:val="center"/>
            <w:hideMark/>
          </w:tcPr>
          <w:p w14:paraId="2F2E5CAD" w14:textId="77777777" w:rsidR="0078259C" w:rsidRPr="0078259C" w:rsidRDefault="0078259C" w:rsidP="0078259C">
            <w:pPr>
              <w:spacing w:after="0" w:line="240" w:lineRule="auto"/>
              <w:jc w:val="right"/>
              <w:rPr>
                <w:rFonts w:ascii="Calibri" w:eastAsia="Times New Roman" w:hAnsi="Calibri" w:cs="Calibri"/>
                <w:sz w:val="18"/>
                <w:szCs w:val="18"/>
                <w:lang w:eastAsia="hr-HR"/>
              </w:rPr>
            </w:pPr>
            <w:r w:rsidRPr="0078259C">
              <w:rPr>
                <w:rFonts w:ascii="Calibri" w:eastAsia="Times New Roman" w:hAnsi="Calibri" w:cs="Calibri"/>
                <w:sz w:val="18"/>
                <w:szCs w:val="18"/>
                <w:lang w:eastAsia="hr-HR"/>
              </w:rPr>
              <w:t>0</w:t>
            </w:r>
          </w:p>
        </w:tc>
        <w:tc>
          <w:tcPr>
            <w:tcW w:w="425" w:type="dxa"/>
            <w:tcBorders>
              <w:top w:val="nil"/>
              <w:left w:val="nil"/>
              <w:bottom w:val="single" w:sz="4" w:space="0" w:color="auto"/>
              <w:right w:val="single" w:sz="4" w:space="0" w:color="auto"/>
            </w:tcBorders>
            <w:shd w:val="clear" w:color="000000" w:fill="FFFF99"/>
            <w:noWrap/>
            <w:vAlign w:val="center"/>
            <w:hideMark/>
          </w:tcPr>
          <w:p w14:paraId="20A63649" w14:textId="77777777" w:rsidR="0078259C" w:rsidRPr="0078259C" w:rsidRDefault="0078259C" w:rsidP="0078259C">
            <w:pPr>
              <w:spacing w:after="0" w:line="240" w:lineRule="auto"/>
              <w:jc w:val="right"/>
              <w:rPr>
                <w:rFonts w:ascii="Calibri" w:eastAsia="Times New Roman" w:hAnsi="Calibri" w:cs="Calibri"/>
                <w:sz w:val="18"/>
                <w:szCs w:val="18"/>
                <w:lang w:eastAsia="hr-HR"/>
              </w:rPr>
            </w:pPr>
            <w:r w:rsidRPr="0078259C">
              <w:rPr>
                <w:rFonts w:ascii="Calibri" w:eastAsia="Times New Roman" w:hAnsi="Calibri" w:cs="Calibri"/>
                <w:sz w:val="18"/>
                <w:szCs w:val="18"/>
                <w:lang w:eastAsia="hr-HR"/>
              </w:rPr>
              <w:t>0</w:t>
            </w:r>
          </w:p>
        </w:tc>
        <w:tc>
          <w:tcPr>
            <w:tcW w:w="567" w:type="dxa"/>
            <w:tcBorders>
              <w:top w:val="nil"/>
              <w:left w:val="nil"/>
              <w:bottom w:val="single" w:sz="4" w:space="0" w:color="auto"/>
              <w:right w:val="single" w:sz="4" w:space="0" w:color="auto"/>
            </w:tcBorders>
            <w:shd w:val="clear" w:color="000000" w:fill="FFFF99"/>
            <w:noWrap/>
            <w:vAlign w:val="center"/>
            <w:hideMark/>
          </w:tcPr>
          <w:p w14:paraId="237D5567" w14:textId="77777777" w:rsidR="0078259C" w:rsidRPr="0078259C" w:rsidRDefault="0078259C" w:rsidP="0078259C">
            <w:pPr>
              <w:spacing w:after="0" w:line="240" w:lineRule="auto"/>
              <w:jc w:val="right"/>
              <w:rPr>
                <w:rFonts w:ascii="Calibri" w:eastAsia="Times New Roman" w:hAnsi="Calibri" w:cs="Calibri"/>
                <w:sz w:val="18"/>
                <w:szCs w:val="18"/>
                <w:lang w:eastAsia="hr-HR"/>
              </w:rPr>
            </w:pPr>
            <w:r w:rsidRPr="0078259C">
              <w:rPr>
                <w:rFonts w:ascii="Calibri" w:eastAsia="Times New Roman" w:hAnsi="Calibri" w:cs="Calibri"/>
                <w:sz w:val="18"/>
                <w:szCs w:val="18"/>
                <w:lang w:eastAsia="hr-HR"/>
              </w:rPr>
              <w:t>0</w:t>
            </w:r>
          </w:p>
        </w:tc>
        <w:tc>
          <w:tcPr>
            <w:tcW w:w="567" w:type="dxa"/>
            <w:tcBorders>
              <w:top w:val="nil"/>
              <w:left w:val="nil"/>
              <w:bottom w:val="single" w:sz="4" w:space="0" w:color="auto"/>
              <w:right w:val="single" w:sz="4" w:space="0" w:color="auto"/>
            </w:tcBorders>
            <w:shd w:val="clear" w:color="000000" w:fill="FFFF99"/>
            <w:noWrap/>
            <w:vAlign w:val="center"/>
            <w:hideMark/>
          </w:tcPr>
          <w:p w14:paraId="1A4223D1" w14:textId="77777777" w:rsidR="0078259C" w:rsidRPr="0078259C" w:rsidRDefault="0078259C" w:rsidP="0078259C">
            <w:pPr>
              <w:spacing w:after="0" w:line="240" w:lineRule="auto"/>
              <w:jc w:val="right"/>
              <w:rPr>
                <w:rFonts w:ascii="Calibri" w:eastAsia="Times New Roman" w:hAnsi="Calibri" w:cs="Calibri"/>
                <w:sz w:val="18"/>
                <w:szCs w:val="18"/>
                <w:lang w:eastAsia="hr-HR"/>
              </w:rPr>
            </w:pPr>
            <w:r w:rsidRPr="0078259C">
              <w:rPr>
                <w:rFonts w:ascii="Calibri" w:eastAsia="Times New Roman" w:hAnsi="Calibri" w:cs="Calibri"/>
                <w:sz w:val="18"/>
                <w:szCs w:val="18"/>
                <w:lang w:eastAsia="hr-HR"/>
              </w:rPr>
              <w:t>0</w:t>
            </w:r>
          </w:p>
        </w:tc>
        <w:tc>
          <w:tcPr>
            <w:tcW w:w="437" w:type="dxa"/>
            <w:tcBorders>
              <w:top w:val="nil"/>
              <w:left w:val="nil"/>
              <w:bottom w:val="single" w:sz="4" w:space="0" w:color="auto"/>
              <w:right w:val="single" w:sz="4" w:space="0" w:color="auto"/>
            </w:tcBorders>
            <w:shd w:val="clear" w:color="000000" w:fill="FFFF99"/>
            <w:noWrap/>
            <w:vAlign w:val="center"/>
            <w:hideMark/>
          </w:tcPr>
          <w:p w14:paraId="7664C2C4" w14:textId="77777777" w:rsidR="0078259C" w:rsidRPr="0078259C" w:rsidRDefault="0078259C" w:rsidP="0078259C">
            <w:pPr>
              <w:spacing w:after="0" w:line="240" w:lineRule="auto"/>
              <w:jc w:val="right"/>
              <w:rPr>
                <w:rFonts w:ascii="Calibri" w:eastAsia="Times New Roman" w:hAnsi="Calibri" w:cs="Calibri"/>
                <w:sz w:val="18"/>
                <w:szCs w:val="18"/>
                <w:lang w:eastAsia="hr-HR"/>
              </w:rPr>
            </w:pPr>
            <w:r w:rsidRPr="0078259C">
              <w:rPr>
                <w:rFonts w:ascii="Calibri" w:eastAsia="Times New Roman" w:hAnsi="Calibri" w:cs="Calibri"/>
                <w:sz w:val="18"/>
                <w:szCs w:val="18"/>
                <w:lang w:eastAsia="hr-HR"/>
              </w:rPr>
              <w:t>0</w:t>
            </w:r>
          </w:p>
        </w:tc>
        <w:tc>
          <w:tcPr>
            <w:tcW w:w="413" w:type="dxa"/>
            <w:tcBorders>
              <w:top w:val="nil"/>
              <w:left w:val="nil"/>
              <w:bottom w:val="single" w:sz="4" w:space="0" w:color="auto"/>
              <w:right w:val="single" w:sz="4" w:space="0" w:color="auto"/>
            </w:tcBorders>
            <w:shd w:val="clear" w:color="000000" w:fill="FFFF99"/>
            <w:noWrap/>
            <w:vAlign w:val="center"/>
            <w:hideMark/>
          </w:tcPr>
          <w:p w14:paraId="1290E21A" w14:textId="77777777" w:rsidR="0078259C" w:rsidRPr="0078259C" w:rsidRDefault="0078259C" w:rsidP="0078259C">
            <w:pPr>
              <w:spacing w:after="0" w:line="240" w:lineRule="auto"/>
              <w:jc w:val="right"/>
              <w:rPr>
                <w:rFonts w:ascii="Calibri" w:eastAsia="Times New Roman" w:hAnsi="Calibri" w:cs="Calibri"/>
                <w:sz w:val="18"/>
                <w:szCs w:val="18"/>
                <w:lang w:eastAsia="hr-HR"/>
              </w:rPr>
            </w:pPr>
            <w:r w:rsidRPr="0078259C">
              <w:rPr>
                <w:rFonts w:ascii="Calibri" w:eastAsia="Times New Roman" w:hAnsi="Calibri" w:cs="Calibri"/>
                <w:sz w:val="18"/>
                <w:szCs w:val="18"/>
                <w:lang w:eastAsia="hr-HR"/>
              </w:rPr>
              <w:t>0</w:t>
            </w:r>
          </w:p>
        </w:tc>
        <w:tc>
          <w:tcPr>
            <w:tcW w:w="283" w:type="dxa"/>
            <w:gridSpan w:val="2"/>
            <w:tcBorders>
              <w:top w:val="nil"/>
              <w:left w:val="nil"/>
              <w:bottom w:val="single" w:sz="4" w:space="0" w:color="auto"/>
              <w:right w:val="single" w:sz="4" w:space="0" w:color="auto"/>
            </w:tcBorders>
            <w:shd w:val="clear" w:color="000000" w:fill="FF9900"/>
            <w:noWrap/>
            <w:vAlign w:val="center"/>
            <w:hideMark/>
          </w:tcPr>
          <w:p w14:paraId="5B3EAD86" w14:textId="77777777" w:rsidR="0078259C" w:rsidRPr="0078259C" w:rsidRDefault="0078259C" w:rsidP="0078259C">
            <w:pPr>
              <w:spacing w:after="0" w:line="240" w:lineRule="auto"/>
              <w:jc w:val="right"/>
              <w:rPr>
                <w:rFonts w:ascii="Calibri" w:eastAsia="Times New Roman" w:hAnsi="Calibri" w:cs="Calibri"/>
                <w:sz w:val="18"/>
                <w:szCs w:val="18"/>
                <w:lang w:eastAsia="hr-HR"/>
              </w:rPr>
            </w:pPr>
            <w:r w:rsidRPr="0078259C">
              <w:rPr>
                <w:rFonts w:ascii="Calibri" w:eastAsia="Times New Roman" w:hAnsi="Calibri" w:cs="Calibri"/>
                <w:sz w:val="18"/>
                <w:szCs w:val="18"/>
                <w:lang w:eastAsia="hr-HR"/>
              </w:rPr>
              <w:t>0</w:t>
            </w:r>
          </w:p>
        </w:tc>
        <w:tc>
          <w:tcPr>
            <w:tcW w:w="568" w:type="dxa"/>
            <w:tcBorders>
              <w:top w:val="nil"/>
              <w:left w:val="nil"/>
              <w:bottom w:val="single" w:sz="4" w:space="0" w:color="auto"/>
              <w:right w:val="single" w:sz="4" w:space="0" w:color="auto"/>
            </w:tcBorders>
            <w:shd w:val="clear" w:color="000000" w:fill="FF9900"/>
            <w:noWrap/>
            <w:vAlign w:val="center"/>
            <w:hideMark/>
          </w:tcPr>
          <w:p w14:paraId="0E93E2B9" w14:textId="77777777" w:rsidR="0078259C" w:rsidRPr="0078259C" w:rsidRDefault="0078259C" w:rsidP="0078259C">
            <w:pPr>
              <w:spacing w:after="0" w:line="240" w:lineRule="auto"/>
              <w:jc w:val="right"/>
              <w:rPr>
                <w:rFonts w:ascii="Calibri" w:eastAsia="Times New Roman" w:hAnsi="Calibri" w:cs="Calibri"/>
                <w:sz w:val="18"/>
                <w:szCs w:val="18"/>
                <w:lang w:eastAsia="hr-HR"/>
              </w:rPr>
            </w:pPr>
            <w:r w:rsidRPr="0078259C">
              <w:rPr>
                <w:rFonts w:ascii="Calibri" w:eastAsia="Times New Roman" w:hAnsi="Calibri" w:cs="Calibri"/>
                <w:sz w:val="18"/>
                <w:szCs w:val="18"/>
                <w:lang w:eastAsia="hr-HR"/>
              </w:rPr>
              <w:t>0</w:t>
            </w:r>
          </w:p>
        </w:tc>
        <w:tc>
          <w:tcPr>
            <w:tcW w:w="425" w:type="dxa"/>
            <w:tcBorders>
              <w:top w:val="nil"/>
              <w:left w:val="nil"/>
              <w:bottom w:val="single" w:sz="4" w:space="0" w:color="auto"/>
              <w:right w:val="single" w:sz="4" w:space="0" w:color="auto"/>
            </w:tcBorders>
            <w:shd w:val="clear" w:color="000000" w:fill="FF9900"/>
            <w:noWrap/>
            <w:vAlign w:val="center"/>
            <w:hideMark/>
          </w:tcPr>
          <w:p w14:paraId="5A6D7C0B" w14:textId="77777777" w:rsidR="0078259C" w:rsidRPr="0078259C" w:rsidRDefault="0078259C" w:rsidP="0078259C">
            <w:pPr>
              <w:spacing w:after="0" w:line="240" w:lineRule="auto"/>
              <w:jc w:val="right"/>
              <w:rPr>
                <w:rFonts w:ascii="Calibri" w:eastAsia="Times New Roman" w:hAnsi="Calibri" w:cs="Calibri"/>
                <w:sz w:val="18"/>
                <w:szCs w:val="18"/>
                <w:lang w:eastAsia="hr-HR"/>
              </w:rPr>
            </w:pPr>
            <w:r w:rsidRPr="0078259C">
              <w:rPr>
                <w:rFonts w:ascii="Calibri" w:eastAsia="Times New Roman" w:hAnsi="Calibri" w:cs="Calibri"/>
                <w:sz w:val="18"/>
                <w:szCs w:val="18"/>
                <w:lang w:eastAsia="hr-HR"/>
              </w:rPr>
              <w:t>0</w:t>
            </w:r>
          </w:p>
        </w:tc>
        <w:tc>
          <w:tcPr>
            <w:tcW w:w="425" w:type="dxa"/>
            <w:gridSpan w:val="2"/>
            <w:tcBorders>
              <w:top w:val="nil"/>
              <w:left w:val="nil"/>
              <w:bottom w:val="single" w:sz="4" w:space="0" w:color="auto"/>
              <w:right w:val="single" w:sz="4" w:space="0" w:color="auto"/>
            </w:tcBorders>
            <w:shd w:val="clear" w:color="000000" w:fill="66FFCC"/>
            <w:noWrap/>
            <w:vAlign w:val="center"/>
            <w:hideMark/>
          </w:tcPr>
          <w:p w14:paraId="353C8B9C" w14:textId="77777777" w:rsidR="0078259C" w:rsidRPr="0078259C" w:rsidRDefault="0078259C" w:rsidP="0078259C">
            <w:pPr>
              <w:spacing w:after="0" w:line="240" w:lineRule="auto"/>
              <w:jc w:val="right"/>
              <w:rPr>
                <w:rFonts w:ascii="Calibri" w:eastAsia="Times New Roman" w:hAnsi="Calibri" w:cs="Calibri"/>
                <w:sz w:val="18"/>
                <w:szCs w:val="18"/>
                <w:lang w:eastAsia="hr-HR"/>
              </w:rPr>
            </w:pPr>
            <w:r w:rsidRPr="0078259C">
              <w:rPr>
                <w:rFonts w:ascii="Calibri" w:eastAsia="Times New Roman" w:hAnsi="Calibri" w:cs="Calibri"/>
                <w:sz w:val="18"/>
                <w:szCs w:val="18"/>
                <w:lang w:eastAsia="hr-HR"/>
              </w:rPr>
              <w:t>0</w:t>
            </w:r>
          </w:p>
        </w:tc>
        <w:tc>
          <w:tcPr>
            <w:tcW w:w="437" w:type="dxa"/>
            <w:tcBorders>
              <w:top w:val="nil"/>
              <w:left w:val="nil"/>
              <w:bottom w:val="single" w:sz="4" w:space="0" w:color="auto"/>
              <w:right w:val="single" w:sz="4" w:space="0" w:color="auto"/>
            </w:tcBorders>
            <w:shd w:val="clear" w:color="000000" w:fill="66FFCC"/>
            <w:noWrap/>
            <w:vAlign w:val="center"/>
            <w:hideMark/>
          </w:tcPr>
          <w:p w14:paraId="6EC4C2CD" w14:textId="77777777" w:rsidR="0078259C" w:rsidRPr="0078259C" w:rsidRDefault="0078259C" w:rsidP="0078259C">
            <w:pPr>
              <w:spacing w:after="0" w:line="240" w:lineRule="auto"/>
              <w:jc w:val="right"/>
              <w:rPr>
                <w:rFonts w:ascii="Calibri" w:eastAsia="Times New Roman" w:hAnsi="Calibri" w:cs="Calibri"/>
                <w:sz w:val="18"/>
                <w:szCs w:val="18"/>
                <w:lang w:eastAsia="hr-HR"/>
              </w:rPr>
            </w:pPr>
            <w:r w:rsidRPr="0078259C">
              <w:rPr>
                <w:rFonts w:ascii="Calibri" w:eastAsia="Times New Roman" w:hAnsi="Calibri" w:cs="Calibri"/>
                <w:sz w:val="18"/>
                <w:szCs w:val="18"/>
                <w:lang w:eastAsia="hr-HR"/>
              </w:rPr>
              <w:t>0</w:t>
            </w:r>
          </w:p>
        </w:tc>
        <w:tc>
          <w:tcPr>
            <w:tcW w:w="556" w:type="dxa"/>
            <w:tcBorders>
              <w:top w:val="nil"/>
              <w:left w:val="nil"/>
              <w:bottom w:val="single" w:sz="4" w:space="0" w:color="auto"/>
              <w:right w:val="single" w:sz="4" w:space="0" w:color="auto"/>
            </w:tcBorders>
            <w:shd w:val="clear" w:color="000000" w:fill="66FFCC"/>
            <w:noWrap/>
            <w:vAlign w:val="center"/>
            <w:hideMark/>
          </w:tcPr>
          <w:p w14:paraId="0D72183B" w14:textId="77777777" w:rsidR="0078259C" w:rsidRPr="0078259C" w:rsidRDefault="0078259C" w:rsidP="0078259C">
            <w:pPr>
              <w:spacing w:after="0" w:line="240" w:lineRule="auto"/>
              <w:jc w:val="right"/>
              <w:rPr>
                <w:rFonts w:ascii="Calibri" w:eastAsia="Times New Roman" w:hAnsi="Calibri" w:cs="Calibri"/>
                <w:sz w:val="18"/>
                <w:szCs w:val="18"/>
                <w:lang w:eastAsia="hr-HR"/>
              </w:rPr>
            </w:pPr>
            <w:r w:rsidRPr="0078259C">
              <w:rPr>
                <w:rFonts w:ascii="Calibri" w:eastAsia="Times New Roman" w:hAnsi="Calibri" w:cs="Calibri"/>
                <w:sz w:val="18"/>
                <w:szCs w:val="18"/>
                <w:lang w:eastAsia="hr-HR"/>
              </w:rPr>
              <w:t>0</w:t>
            </w:r>
          </w:p>
        </w:tc>
        <w:tc>
          <w:tcPr>
            <w:tcW w:w="425" w:type="dxa"/>
            <w:tcBorders>
              <w:top w:val="nil"/>
              <w:left w:val="nil"/>
              <w:bottom w:val="single" w:sz="4" w:space="0" w:color="auto"/>
              <w:right w:val="single" w:sz="4" w:space="0" w:color="auto"/>
            </w:tcBorders>
            <w:shd w:val="clear" w:color="000000" w:fill="66FFCC"/>
            <w:noWrap/>
            <w:vAlign w:val="center"/>
            <w:hideMark/>
          </w:tcPr>
          <w:p w14:paraId="6D183652" w14:textId="77777777" w:rsidR="0078259C" w:rsidRPr="0078259C" w:rsidRDefault="0078259C" w:rsidP="0078259C">
            <w:pPr>
              <w:spacing w:after="0" w:line="240" w:lineRule="auto"/>
              <w:jc w:val="right"/>
              <w:rPr>
                <w:rFonts w:ascii="Calibri" w:eastAsia="Times New Roman" w:hAnsi="Calibri" w:cs="Calibri"/>
                <w:sz w:val="18"/>
                <w:szCs w:val="18"/>
                <w:lang w:eastAsia="hr-HR"/>
              </w:rPr>
            </w:pPr>
            <w:r w:rsidRPr="0078259C">
              <w:rPr>
                <w:rFonts w:ascii="Calibri" w:eastAsia="Times New Roman" w:hAnsi="Calibri" w:cs="Calibri"/>
                <w:sz w:val="18"/>
                <w:szCs w:val="18"/>
                <w:lang w:eastAsia="hr-HR"/>
              </w:rPr>
              <w:t>0</w:t>
            </w:r>
          </w:p>
        </w:tc>
        <w:tc>
          <w:tcPr>
            <w:tcW w:w="567" w:type="dxa"/>
            <w:gridSpan w:val="2"/>
            <w:tcBorders>
              <w:top w:val="nil"/>
              <w:left w:val="nil"/>
              <w:bottom w:val="single" w:sz="4" w:space="0" w:color="auto"/>
              <w:right w:val="single" w:sz="4" w:space="0" w:color="auto"/>
            </w:tcBorders>
            <w:shd w:val="clear" w:color="000000" w:fill="FFFF00"/>
            <w:vAlign w:val="center"/>
            <w:hideMark/>
          </w:tcPr>
          <w:p w14:paraId="54E8CC0B" w14:textId="77777777" w:rsidR="0078259C" w:rsidRPr="0078259C" w:rsidRDefault="0078259C" w:rsidP="0078259C">
            <w:pPr>
              <w:spacing w:after="0" w:line="240" w:lineRule="auto"/>
              <w:jc w:val="right"/>
              <w:rPr>
                <w:rFonts w:ascii="Calibri" w:eastAsia="Times New Roman" w:hAnsi="Calibri" w:cs="Calibri"/>
                <w:sz w:val="18"/>
                <w:szCs w:val="18"/>
                <w:lang w:eastAsia="hr-HR"/>
              </w:rPr>
            </w:pPr>
            <w:r w:rsidRPr="0078259C">
              <w:rPr>
                <w:rFonts w:ascii="Calibri" w:eastAsia="Times New Roman" w:hAnsi="Calibri" w:cs="Calibri"/>
                <w:sz w:val="18"/>
                <w:szCs w:val="18"/>
                <w:lang w:eastAsia="hr-HR"/>
              </w:rPr>
              <w:t>0</w:t>
            </w:r>
          </w:p>
        </w:tc>
        <w:tc>
          <w:tcPr>
            <w:tcW w:w="578" w:type="dxa"/>
            <w:gridSpan w:val="2"/>
            <w:tcBorders>
              <w:top w:val="nil"/>
              <w:left w:val="nil"/>
              <w:bottom w:val="single" w:sz="4" w:space="0" w:color="auto"/>
              <w:right w:val="single" w:sz="4" w:space="0" w:color="auto"/>
            </w:tcBorders>
            <w:shd w:val="clear" w:color="000000" w:fill="FFFF99"/>
            <w:vAlign w:val="center"/>
            <w:hideMark/>
          </w:tcPr>
          <w:p w14:paraId="01E89D56" w14:textId="77777777" w:rsidR="0078259C" w:rsidRPr="0078259C" w:rsidRDefault="0078259C" w:rsidP="0078259C">
            <w:pPr>
              <w:spacing w:after="0" w:line="240" w:lineRule="auto"/>
              <w:jc w:val="right"/>
              <w:rPr>
                <w:rFonts w:ascii="Calibri" w:eastAsia="Times New Roman" w:hAnsi="Calibri" w:cs="Calibri"/>
                <w:sz w:val="18"/>
                <w:szCs w:val="18"/>
                <w:lang w:eastAsia="hr-HR"/>
              </w:rPr>
            </w:pPr>
            <w:r w:rsidRPr="0078259C">
              <w:rPr>
                <w:rFonts w:ascii="Calibri" w:eastAsia="Times New Roman" w:hAnsi="Calibri" w:cs="Calibri"/>
                <w:sz w:val="18"/>
                <w:szCs w:val="18"/>
                <w:lang w:eastAsia="hr-HR"/>
              </w:rPr>
              <w:t>0</w:t>
            </w:r>
          </w:p>
        </w:tc>
        <w:tc>
          <w:tcPr>
            <w:tcW w:w="839" w:type="dxa"/>
            <w:gridSpan w:val="2"/>
            <w:tcBorders>
              <w:top w:val="nil"/>
              <w:left w:val="nil"/>
              <w:bottom w:val="single" w:sz="4" w:space="0" w:color="auto"/>
              <w:right w:val="single" w:sz="4" w:space="0" w:color="auto"/>
            </w:tcBorders>
            <w:shd w:val="clear" w:color="000000" w:fill="FF9900"/>
            <w:vAlign w:val="center"/>
            <w:hideMark/>
          </w:tcPr>
          <w:p w14:paraId="53E8AFD4" w14:textId="77777777" w:rsidR="0078259C" w:rsidRPr="0078259C" w:rsidRDefault="0078259C" w:rsidP="0078259C">
            <w:pPr>
              <w:spacing w:after="0" w:line="240" w:lineRule="auto"/>
              <w:jc w:val="right"/>
              <w:rPr>
                <w:rFonts w:ascii="Calibri" w:eastAsia="Times New Roman" w:hAnsi="Calibri" w:cs="Calibri"/>
                <w:sz w:val="18"/>
                <w:szCs w:val="18"/>
                <w:lang w:eastAsia="hr-HR"/>
              </w:rPr>
            </w:pPr>
            <w:r w:rsidRPr="0078259C">
              <w:rPr>
                <w:rFonts w:ascii="Calibri" w:eastAsia="Times New Roman" w:hAnsi="Calibri" w:cs="Calibri"/>
                <w:sz w:val="18"/>
                <w:szCs w:val="18"/>
                <w:lang w:eastAsia="hr-HR"/>
              </w:rPr>
              <w:t>0</w:t>
            </w:r>
          </w:p>
        </w:tc>
        <w:tc>
          <w:tcPr>
            <w:tcW w:w="426" w:type="dxa"/>
            <w:gridSpan w:val="2"/>
            <w:tcBorders>
              <w:top w:val="nil"/>
              <w:left w:val="nil"/>
              <w:bottom w:val="single" w:sz="4" w:space="0" w:color="auto"/>
              <w:right w:val="single" w:sz="4" w:space="0" w:color="auto"/>
            </w:tcBorders>
            <w:shd w:val="clear" w:color="000000" w:fill="CCFFFF"/>
            <w:vAlign w:val="center"/>
            <w:hideMark/>
          </w:tcPr>
          <w:p w14:paraId="20AE2BB7" w14:textId="77777777" w:rsidR="0078259C" w:rsidRPr="0078259C" w:rsidRDefault="0078259C" w:rsidP="0078259C">
            <w:pPr>
              <w:spacing w:after="0" w:line="240" w:lineRule="auto"/>
              <w:jc w:val="right"/>
              <w:rPr>
                <w:rFonts w:ascii="Calibri" w:eastAsia="Times New Roman" w:hAnsi="Calibri" w:cs="Calibri"/>
                <w:sz w:val="18"/>
                <w:szCs w:val="18"/>
                <w:lang w:eastAsia="hr-HR"/>
              </w:rPr>
            </w:pPr>
            <w:r w:rsidRPr="0078259C">
              <w:rPr>
                <w:rFonts w:ascii="Calibri" w:eastAsia="Times New Roman" w:hAnsi="Calibri" w:cs="Calibri"/>
                <w:sz w:val="18"/>
                <w:szCs w:val="18"/>
                <w:lang w:eastAsia="hr-HR"/>
              </w:rPr>
              <w:t>0</w:t>
            </w:r>
          </w:p>
        </w:tc>
        <w:tc>
          <w:tcPr>
            <w:tcW w:w="446" w:type="dxa"/>
            <w:tcBorders>
              <w:top w:val="nil"/>
              <w:left w:val="nil"/>
              <w:bottom w:val="single" w:sz="4" w:space="0" w:color="auto"/>
              <w:right w:val="single" w:sz="4" w:space="0" w:color="auto"/>
            </w:tcBorders>
            <w:shd w:val="clear" w:color="000000" w:fill="CCFFFF"/>
            <w:vAlign w:val="center"/>
            <w:hideMark/>
          </w:tcPr>
          <w:p w14:paraId="54CFD1D6" w14:textId="77777777" w:rsidR="0078259C" w:rsidRPr="0078259C" w:rsidRDefault="0078259C" w:rsidP="0078259C">
            <w:pPr>
              <w:spacing w:after="0" w:line="240" w:lineRule="auto"/>
              <w:jc w:val="right"/>
              <w:rPr>
                <w:rFonts w:ascii="Calibri" w:eastAsia="Times New Roman" w:hAnsi="Calibri" w:cs="Calibri"/>
                <w:sz w:val="18"/>
                <w:szCs w:val="18"/>
                <w:lang w:eastAsia="hr-HR"/>
              </w:rPr>
            </w:pPr>
            <w:r w:rsidRPr="0078259C">
              <w:rPr>
                <w:rFonts w:ascii="Calibri" w:eastAsia="Times New Roman" w:hAnsi="Calibri" w:cs="Calibri"/>
                <w:sz w:val="18"/>
                <w:szCs w:val="18"/>
                <w:lang w:eastAsia="hr-HR"/>
              </w:rPr>
              <w:t>0</w:t>
            </w:r>
          </w:p>
        </w:tc>
        <w:tc>
          <w:tcPr>
            <w:tcW w:w="404" w:type="dxa"/>
            <w:tcBorders>
              <w:top w:val="nil"/>
              <w:left w:val="nil"/>
              <w:bottom w:val="single" w:sz="4" w:space="0" w:color="auto"/>
              <w:right w:val="single" w:sz="4" w:space="0" w:color="auto"/>
            </w:tcBorders>
            <w:shd w:val="clear" w:color="000000" w:fill="CCFFFF"/>
            <w:noWrap/>
            <w:vAlign w:val="center"/>
            <w:hideMark/>
          </w:tcPr>
          <w:p w14:paraId="43B1EE16" w14:textId="77777777" w:rsidR="0078259C" w:rsidRPr="0078259C" w:rsidRDefault="0078259C" w:rsidP="0078259C">
            <w:pPr>
              <w:spacing w:after="0" w:line="240" w:lineRule="auto"/>
              <w:jc w:val="right"/>
              <w:rPr>
                <w:rFonts w:ascii="Calibri" w:eastAsia="Times New Roman" w:hAnsi="Calibri" w:cs="Calibri"/>
                <w:sz w:val="18"/>
                <w:szCs w:val="18"/>
                <w:lang w:eastAsia="hr-HR"/>
              </w:rPr>
            </w:pPr>
            <w:r w:rsidRPr="0078259C">
              <w:rPr>
                <w:rFonts w:ascii="Calibri" w:eastAsia="Times New Roman" w:hAnsi="Calibri" w:cs="Calibri"/>
                <w:sz w:val="18"/>
                <w:szCs w:val="18"/>
                <w:lang w:eastAsia="hr-HR"/>
              </w:rPr>
              <w:t>0</w:t>
            </w:r>
          </w:p>
        </w:tc>
        <w:tc>
          <w:tcPr>
            <w:tcW w:w="839" w:type="dxa"/>
            <w:gridSpan w:val="2"/>
            <w:tcBorders>
              <w:top w:val="nil"/>
              <w:left w:val="nil"/>
              <w:bottom w:val="single" w:sz="4" w:space="0" w:color="auto"/>
              <w:right w:val="single" w:sz="4" w:space="0" w:color="auto"/>
            </w:tcBorders>
            <w:shd w:val="clear" w:color="000000" w:fill="33CCCC"/>
            <w:noWrap/>
            <w:vAlign w:val="center"/>
            <w:hideMark/>
          </w:tcPr>
          <w:p w14:paraId="1C0798B0" w14:textId="77777777" w:rsidR="0078259C" w:rsidRPr="0078259C" w:rsidRDefault="0078259C" w:rsidP="0078259C">
            <w:pPr>
              <w:spacing w:after="0" w:line="240" w:lineRule="auto"/>
              <w:jc w:val="right"/>
              <w:rPr>
                <w:rFonts w:ascii="Calibri" w:eastAsia="Times New Roman" w:hAnsi="Calibri" w:cs="Calibri"/>
                <w:sz w:val="18"/>
                <w:szCs w:val="18"/>
                <w:lang w:eastAsia="hr-HR"/>
              </w:rPr>
            </w:pPr>
            <w:r w:rsidRPr="0078259C">
              <w:rPr>
                <w:rFonts w:ascii="Calibri" w:eastAsia="Times New Roman" w:hAnsi="Calibri" w:cs="Calibri"/>
                <w:sz w:val="18"/>
                <w:szCs w:val="18"/>
                <w:lang w:eastAsia="hr-HR"/>
              </w:rPr>
              <w:t>0</w:t>
            </w:r>
          </w:p>
        </w:tc>
        <w:tc>
          <w:tcPr>
            <w:tcW w:w="839" w:type="dxa"/>
            <w:tcBorders>
              <w:top w:val="nil"/>
              <w:left w:val="nil"/>
              <w:bottom w:val="single" w:sz="4" w:space="0" w:color="auto"/>
              <w:right w:val="nil"/>
            </w:tcBorders>
            <w:shd w:val="clear" w:color="000000" w:fill="33CCCC"/>
            <w:noWrap/>
            <w:vAlign w:val="center"/>
            <w:hideMark/>
          </w:tcPr>
          <w:p w14:paraId="6A79517B" w14:textId="77777777" w:rsidR="0078259C" w:rsidRPr="0078259C" w:rsidRDefault="0078259C" w:rsidP="0078259C">
            <w:pPr>
              <w:spacing w:after="0" w:line="240" w:lineRule="auto"/>
              <w:jc w:val="right"/>
              <w:rPr>
                <w:rFonts w:ascii="Calibri" w:eastAsia="Times New Roman" w:hAnsi="Calibri" w:cs="Calibri"/>
                <w:sz w:val="18"/>
                <w:szCs w:val="18"/>
                <w:lang w:eastAsia="hr-HR"/>
              </w:rPr>
            </w:pPr>
            <w:r w:rsidRPr="0078259C">
              <w:rPr>
                <w:rFonts w:ascii="Calibri" w:eastAsia="Times New Roman" w:hAnsi="Calibri" w:cs="Calibri"/>
                <w:sz w:val="18"/>
                <w:szCs w:val="18"/>
                <w:lang w:eastAsia="hr-HR"/>
              </w:rPr>
              <w:t>0</w:t>
            </w:r>
          </w:p>
        </w:tc>
        <w:tc>
          <w:tcPr>
            <w:tcW w:w="236" w:type="dxa"/>
            <w:gridSpan w:val="2"/>
            <w:vAlign w:val="center"/>
            <w:hideMark/>
          </w:tcPr>
          <w:p w14:paraId="4B37C8B4" w14:textId="77777777" w:rsidR="0078259C" w:rsidRPr="0078259C" w:rsidRDefault="0078259C" w:rsidP="0078259C">
            <w:pPr>
              <w:spacing w:after="0" w:line="240" w:lineRule="auto"/>
              <w:rPr>
                <w:rFonts w:ascii="Times New Roman" w:eastAsia="Times New Roman" w:hAnsi="Times New Roman" w:cs="Times New Roman"/>
                <w:sz w:val="18"/>
                <w:szCs w:val="18"/>
                <w:lang w:eastAsia="hr-HR"/>
              </w:rPr>
            </w:pPr>
          </w:p>
        </w:tc>
      </w:tr>
      <w:tr w:rsidR="0078259C" w:rsidRPr="0078259C" w14:paraId="2ED9E480" w14:textId="77777777" w:rsidTr="0078259C">
        <w:trPr>
          <w:gridAfter w:val="2"/>
          <w:wAfter w:w="44" w:type="dxa"/>
          <w:trHeight w:val="405"/>
        </w:trPr>
        <w:tc>
          <w:tcPr>
            <w:tcW w:w="1394" w:type="dxa"/>
            <w:tcBorders>
              <w:top w:val="single" w:sz="4" w:space="0" w:color="auto"/>
              <w:left w:val="single" w:sz="8" w:space="0" w:color="auto"/>
              <w:bottom w:val="single" w:sz="4" w:space="0" w:color="auto"/>
              <w:right w:val="single" w:sz="4" w:space="0" w:color="auto"/>
            </w:tcBorders>
            <w:shd w:val="clear" w:color="000000" w:fill="CCFFCC"/>
            <w:vAlign w:val="center"/>
            <w:hideMark/>
          </w:tcPr>
          <w:p w14:paraId="58F9E518" w14:textId="77777777" w:rsidR="0078259C" w:rsidRPr="0078259C" w:rsidRDefault="0078259C" w:rsidP="0078259C">
            <w:pPr>
              <w:spacing w:after="0" w:line="240" w:lineRule="auto"/>
              <w:jc w:val="center"/>
              <w:rPr>
                <w:rFonts w:ascii="Calibri" w:eastAsia="Times New Roman" w:hAnsi="Calibri" w:cs="Calibri"/>
                <w:sz w:val="18"/>
                <w:szCs w:val="18"/>
                <w:lang w:eastAsia="hr-HR"/>
              </w:rPr>
            </w:pPr>
            <w:r w:rsidRPr="0078259C">
              <w:rPr>
                <w:rFonts w:ascii="Calibri" w:eastAsia="Times New Roman" w:hAnsi="Calibri" w:cs="Calibri"/>
                <w:sz w:val="18"/>
                <w:szCs w:val="18"/>
                <w:lang w:eastAsia="hr-HR"/>
              </w:rPr>
              <w:t>Vjera</w:t>
            </w:r>
          </w:p>
        </w:tc>
        <w:tc>
          <w:tcPr>
            <w:tcW w:w="575" w:type="dxa"/>
            <w:tcBorders>
              <w:top w:val="nil"/>
              <w:left w:val="nil"/>
              <w:bottom w:val="single" w:sz="4" w:space="0" w:color="auto"/>
              <w:right w:val="single" w:sz="4" w:space="0" w:color="auto"/>
            </w:tcBorders>
            <w:shd w:val="clear" w:color="000000" w:fill="CCFFCC"/>
            <w:vAlign w:val="center"/>
            <w:hideMark/>
          </w:tcPr>
          <w:p w14:paraId="05D6AB21" w14:textId="77777777" w:rsidR="0078259C" w:rsidRPr="0078259C" w:rsidRDefault="0078259C" w:rsidP="0078259C">
            <w:pPr>
              <w:spacing w:after="0" w:line="240" w:lineRule="auto"/>
              <w:jc w:val="right"/>
              <w:rPr>
                <w:rFonts w:ascii="Calibri" w:eastAsia="Times New Roman" w:hAnsi="Calibri" w:cs="Calibri"/>
                <w:sz w:val="18"/>
                <w:szCs w:val="18"/>
                <w:lang w:eastAsia="hr-HR"/>
              </w:rPr>
            </w:pPr>
            <w:r w:rsidRPr="0078259C">
              <w:rPr>
                <w:rFonts w:ascii="Calibri" w:eastAsia="Times New Roman" w:hAnsi="Calibri" w:cs="Calibri"/>
                <w:sz w:val="18"/>
                <w:szCs w:val="18"/>
                <w:lang w:eastAsia="hr-HR"/>
              </w:rPr>
              <w:t>3</w:t>
            </w:r>
          </w:p>
        </w:tc>
        <w:tc>
          <w:tcPr>
            <w:tcW w:w="488" w:type="dxa"/>
            <w:tcBorders>
              <w:top w:val="nil"/>
              <w:left w:val="nil"/>
              <w:bottom w:val="single" w:sz="4" w:space="0" w:color="auto"/>
              <w:right w:val="single" w:sz="4" w:space="0" w:color="auto"/>
            </w:tcBorders>
            <w:shd w:val="clear" w:color="000000" w:fill="FFCC99"/>
            <w:noWrap/>
            <w:vAlign w:val="center"/>
            <w:hideMark/>
          </w:tcPr>
          <w:p w14:paraId="176FC990" w14:textId="77777777" w:rsidR="0078259C" w:rsidRPr="0078259C" w:rsidRDefault="0078259C" w:rsidP="0078259C">
            <w:pPr>
              <w:spacing w:after="0" w:line="240" w:lineRule="auto"/>
              <w:jc w:val="right"/>
              <w:rPr>
                <w:rFonts w:ascii="Calibri" w:eastAsia="Times New Roman" w:hAnsi="Calibri" w:cs="Calibri"/>
                <w:sz w:val="18"/>
                <w:szCs w:val="18"/>
                <w:lang w:eastAsia="hr-HR"/>
              </w:rPr>
            </w:pPr>
            <w:r w:rsidRPr="0078259C">
              <w:rPr>
                <w:rFonts w:ascii="Calibri" w:eastAsia="Times New Roman" w:hAnsi="Calibri" w:cs="Calibri"/>
                <w:sz w:val="18"/>
                <w:szCs w:val="18"/>
                <w:lang w:eastAsia="hr-HR"/>
              </w:rPr>
              <w:t>2</w:t>
            </w:r>
          </w:p>
        </w:tc>
        <w:tc>
          <w:tcPr>
            <w:tcW w:w="500" w:type="dxa"/>
            <w:tcBorders>
              <w:top w:val="nil"/>
              <w:left w:val="nil"/>
              <w:bottom w:val="single" w:sz="4" w:space="0" w:color="auto"/>
              <w:right w:val="single" w:sz="4" w:space="0" w:color="auto"/>
            </w:tcBorders>
            <w:shd w:val="clear" w:color="000000" w:fill="FFCC99"/>
            <w:noWrap/>
            <w:vAlign w:val="center"/>
            <w:hideMark/>
          </w:tcPr>
          <w:p w14:paraId="3694521C" w14:textId="77777777" w:rsidR="0078259C" w:rsidRPr="0078259C" w:rsidRDefault="0078259C" w:rsidP="0078259C">
            <w:pPr>
              <w:spacing w:after="0" w:line="240" w:lineRule="auto"/>
              <w:jc w:val="right"/>
              <w:rPr>
                <w:rFonts w:ascii="Calibri" w:eastAsia="Times New Roman" w:hAnsi="Calibri" w:cs="Calibri"/>
                <w:sz w:val="18"/>
                <w:szCs w:val="18"/>
                <w:lang w:eastAsia="hr-HR"/>
              </w:rPr>
            </w:pPr>
            <w:r w:rsidRPr="0078259C">
              <w:rPr>
                <w:rFonts w:ascii="Calibri" w:eastAsia="Times New Roman" w:hAnsi="Calibri" w:cs="Calibri"/>
                <w:sz w:val="18"/>
                <w:szCs w:val="18"/>
                <w:lang w:eastAsia="hr-HR"/>
              </w:rPr>
              <w:t>3</w:t>
            </w:r>
          </w:p>
        </w:tc>
        <w:tc>
          <w:tcPr>
            <w:tcW w:w="435" w:type="dxa"/>
            <w:tcBorders>
              <w:top w:val="nil"/>
              <w:left w:val="nil"/>
              <w:bottom w:val="single" w:sz="4" w:space="0" w:color="auto"/>
              <w:right w:val="single" w:sz="4" w:space="0" w:color="auto"/>
            </w:tcBorders>
            <w:shd w:val="clear" w:color="000000" w:fill="CCFFFF"/>
            <w:vAlign w:val="center"/>
            <w:hideMark/>
          </w:tcPr>
          <w:p w14:paraId="731EC9DF" w14:textId="77777777" w:rsidR="0078259C" w:rsidRPr="0078259C" w:rsidRDefault="0078259C" w:rsidP="0078259C">
            <w:pPr>
              <w:spacing w:after="0" w:line="240" w:lineRule="auto"/>
              <w:jc w:val="right"/>
              <w:rPr>
                <w:rFonts w:ascii="Calibri" w:eastAsia="Times New Roman" w:hAnsi="Calibri" w:cs="Calibri"/>
                <w:sz w:val="18"/>
                <w:szCs w:val="18"/>
                <w:lang w:eastAsia="hr-HR"/>
              </w:rPr>
            </w:pPr>
            <w:r w:rsidRPr="0078259C">
              <w:rPr>
                <w:rFonts w:ascii="Calibri" w:eastAsia="Times New Roman" w:hAnsi="Calibri" w:cs="Calibri"/>
                <w:sz w:val="18"/>
                <w:szCs w:val="18"/>
                <w:lang w:eastAsia="hr-HR"/>
              </w:rPr>
              <w:t>1</w:t>
            </w:r>
          </w:p>
        </w:tc>
        <w:tc>
          <w:tcPr>
            <w:tcW w:w="426" w:type="dxa"/>
            <w:tcBorders>
              <w:top w:val="nil"/>
              <w:left w:val="nil"/>
              <w:bottom w:val="single" w:sz="4" w:space="0" w:color="auto"/>
              <w:right w:val="single" w:sz="4" w:space="0" w:color="auto"/>
            </w:tcBorders>
            <w:shd w:val="clear" w:color="000000" w:fill="CCFFFF"/>
            <w:noWrap/>
            <w:vAlign w:val="center"/>
            <w:hideMark/>
          </w:tcPr>
          <w:p w14:paraId="7F3357B5" w14:textId="77777777" w:rsidR="0078259C" w:rsidRPr="0078259C" w:rsidRDefault="0078259C" w:rsidP="0078259C">
            <w:pPr>
              <w:spacing w:after="0" w:line="240" w:lineRule="auto"/>
              <w:jc w:val="right"/>
              <w:rPr>
                <w:rFonts w:ascii="Calibri" w:eastAsia="Times New Roman" w:hAnsi="Calibri" w:cs="Calibri"/>
                <w:sz w:val="18"/>
                <w:szCs w:val="18"/>
                <w:lang w:eastAsia="hr-HR"/>
              </w:rPr>
            </w:pPr>
            <w:r w:rsidRPr="0078259C">
              <w:rPr>
                <w:rFonts w:ascii="Calibri" w:eastAsia="Times New Roman" w:hAnsi="Calibri" w:cs="Calibri"/>
                <w:sz w:val="18"/>
                <w:szCs w:val="18"/>
                <w:lang w:eastAsia="hr-HR"/>
              </w:rPr>
              <w:t>1</w:t>
            </w:r>
          </w:p>
        </w:tc>
        <w:tc>
          <w:tcPr>
            <w:tcW w:w="425" w:type="dxa"/>
            <w:tcBorders>
              <w:top w:val="nil"/>
              <w:left w:val="nil"/>
              <w:bottom w:val="single" w:sz="4" w:space="0" w:color="auto"/>
              <w:right w:val="single" w:sz="4" w:space="0" w:color="auto"/>
            </w:tcBorders>
            <w:shd w:val="clear" w:color="000000" w:fill="FFFF99"/>
            <w:noWrap/>
            <w:vAlign w:val="center"/>
            <w:hideMark/>
          </w:tcPr>
          <w:p w14:paraId="6FB8C9F0" w14:textId="77777777" w:rsidR="0078259C" w:rsidRPr="0078259C" w:rsidRDefault="0078259C" w:rsidP="0078259C">
            <w:pPr>
              <w:spacing w:after="0" w:line="240" w:lineRule="auto"/>
              <w:jc w:val="right"/>
              <w:rPr>
                <w:rFonts w:ascii="Calibri" w:eastAsia="Times New Roman" w:hAnsi="Calibri" w:cs="Calibri"/>
                <w:sz w:val="18"/>
                <w:szCs w:val="18"/>
                <w:lang w:eastAsia="hr-HR"/>
              </w:rPr>
            </w:pPr>
            <w:r w:rsidRPr="0078259C">
              <w:rPr>
                <w:rFonts w:ascii="Calibri" w:eastAsia="Times New Roman" w:hAnsi="Calibri" w:cs="Calibri"/>
                <w:sz w:val="18"/>
                <w:szCs w:val="18"/>
                <w:lang w:eastAsia="hr-HR"/>
              </w:rPr>
              <w:t>2</w:t>
            </w:r>
          </w:p>
        </w:tc>
        <w:tc>
          <w:tcPr>
            <w:tcW w:w="567" w:type="dxa"/>
            <w:tcBorders>
              <w:top w:val="nil"/>
              <w:left w:val="nil"/>
              <w:bottom w:val="single" w:sz="4" w:space="0" w:color="auto"/>
              <w:right w:val="single" w:sz="4" w:space="0" w:color="auto"/>
            </w:tcBorders>
            <w:shd w:val="clear" w:color="000000" w:fill="FFFF99"/>
            <w:noWrap/>
            <w:vAlign w:val="center"/>
            <w:hideMark/>
          </w:tcPr>
          <w:p w14:paraId="1F2800E3" w14:textId="77777777" w:rsidR="0078259C" w:rsidRPr="0078259C" w:rsidRDefault="0078259C" w:rsidP="0078259C">
            <w:pPr>
              <w:spacing w:after="0" w:line="240" w:lineRule="auto"/>
              <w:jc w:val="right"/>
              <w:rPr>
                <w:rFonts w:ascii="Calibri" w:eastAsia="Times New Roman" w:hAnsi="Calibri" w:cs="Calibri"/>
                <w:sz w:val="18"/>
                <w:szCs w:val="18"/>
                <w:lang w:eastAsia="hr-HR"/>
              </w:rPr>
            </w:pPr>
            <w:r w:rsidRPr="0078259C">
              <w:rPr>
                <w:rFonts w:ascii="Calibri" w:eastAsia="Times New Roman" w:hAnsi="Calibri" w:cs="Calibri"/>
                <w:sz w:val="18"/>
                <w:szCs w:val="18"/>
                <w:lang w:eastAsia="hr-HR"/>
              </w:rPr>
              <w:t>0</w:t>
            </w:r>
          </w:p>
        </w:tc>
        <w:tc>
          <w:tcPr>
            <w:tcW w:w="567" w:type="dxa"/>
            <w:tcBorders>
              <w:top w:val="nil"/>
              <w:left w:val="nil"/>
              <w:bottom w:val="single" w:sz="4" w:space="0" w:color="auto"/>
              <w:right w:val="single" w:sz="4" w:space="0" w:color="auto"/>
            </w:tcBorders>
            <w:shd w:val="clear" w:color="000000" w:fill="FFFF99"/>
            <w:noWrap/>
            <w:vAlign w:val="center"/>
            <w:hideMark/>
          </w:tcPr>
          <w:p w14:paraId="5CB6D250" w14:textId="77777777" w:rsidR="0078259C" w:rsidRPr="0078259C" w:rsidRDefault="0078259C" w:rsidP="0078259C">
            <w:pPr>
              <w:spacing w:after="0" w:line="240" w:lineRule="auto"/>
              <w:jc w:val="right"/>
              <w:rPr>
                <w:rFonts w:ascii="Calibri" w:eastAsia="Times New Roman" w:hAnsi="Calibri" w:cs="Calibri"/>
                <w:sz w:val="18"/>
                <w:szCs w:val="18"/>
                <w:lang w:eastAsia="hr-HR"/>
              </w:rPr>
            </w:pPr>
            <w:r w:rsidRPr="0078259C">
              <w:rPr>
                <w:rFonts w:ascii="Calibri" w:eastAsia="Times New Roman" w:hAnsi="Calibri" w:cs="Calibri"/>
                <w:sz w:val="18"/>
                <w:szCs w:val="18"/>
                <w:lang w:eastAsia="hr-HR"/>
              </w:rPr>
              <w:t>0</w:t>
            </w:r>
          </w:p>
        </w:tc>
        <w:tc>
          <w:tcPr>
            <w:tcW w:w="437" w:type="dxa"/>
            <w:tcBorders>
              <w:top w:val="nil"/>
              <w:left w:val="nil"/>
              <w:bottom w:val="single" w:sz="4" w:space="0" w:color="auto"/>
              <w:right w:val="single" w:sz="4" w:space="0" w:color="auto"/>
            </w:tcBorders>
            <w:shd w:val="clear" w:color="000000" w:fill="FFFF99"/>
            <w:noWrap/>
            <w:vAlign w:val="center"/>
            <w:hideMark/>
          </w:tcPr>
          <w:p w14:paraId="6CAF3CB3" w14:textId="77777777" w:rsidR="0078259C" w:rsidRPr="0078259C" w:rsidRDefault="0078259C" w:rsidP="0078259C">
            <w:pPr>
              <w:spacing w:after="0" w:line="240" w:lineRule="auto"/>
              <w:jc w:val="right"/>
              <w:rPr>
                <w:rFonts w:ascii="Calibri" w:eastAsia="Times New Roman" w:hAnsi="Calibri" w:cs="Calibri"/>
                <w:sz w:val="18"/>
                <w:szCs w:val="18"/>
                <w:lang w:eastAsia="hr-HR"/>
              </w:rPr>
            </w:pPr>
            <w:r w:rsidRPr="0078259C">
              <w:rPr>
                <w:rFonts w:ascii="Calibri" w:eastAsia="Times New Roman" w:hAnsi="Calibri" w:cs="Calibri"/>
                <w:sz w:val="18"/>
                <w:szCs w:val="18"/>
                <w:lang w:eastAsia="hr-HR"/>
              </w:rPr>
              <w:t>0</w:t>
            </w:r>
          </w:p>
        </w:tc>
        <w:tc>
          <w:tcPr>
            <w:tcW w:w="413" w:type="dxa"/>
            <w:tcBorders>
              <w:top w:val="nil"/>
              <w:left w:val="nil"/>
              <w:bottom w:val="single" w:sz="4" w:space="0" w:color="auto"/>
              <w:right w:val="single" w:sz="4" w:space="0" w:color="auto"/>
            </w:tcBorders>
            <w:shd w:val="clear" w:color="000000" w:fill="FFFF99"/>
            <w:noWrap/>
            <w:vAlign w:val="center"/>
            <w:hideMark/>
          </w:tcPr>
          <w:p w14:paraId="19B87F9D" w14:textId="77777777" w:rsidR="0078259C" w:rsidRPr="0078259C" w:rsidRDefault="0078259C" w:rsidP="0078259C">
            <w:pPr>
              <w:spacing w:after="0" w:line="240" w:lineRule="auto"/>
              <w:jc w:val="right"/>
              <w:rPr>
                <w:rFonts w:ascii="Calibri" w:eastAsia="Times New Roman" w:hAnsi="Calibri" w:cs="Calibri"/>
                <w:sz w:val="18"/>
                <w:szCs w:val="18"/>
                <w:lang w:eastAsia="hr-HR"/>
              </w:rPr>
            </w:pPr>
            <w:r w:rsidRPr="0078259C">
              <w:rPr>
                <w:rFonts w:ascii="Calibri" w:eastAsia="Times New Roman" w:hAnsi="Calibri" w:cs="Calibri"/>
                <w:sz w:val="18"/>
                <w:szCs w:val="18"/>
                <w:lang w:eastAsia="hr-HR"/>
              </w:rPr>
              <w:t>0</w:t>
            </w:r>
          </w:p>
        </w:tc>
        <w:tc>
          <w:tcPr>
            <w:tcW w:w="283" w:type="dxa"/>
            <w:gridSpan w:val="2"/>
            <w:tcBorders>
              <w:top w:val="nil"/>
              <w:left w:val="nil"/>
              <w:bottom w:val="single" w:sz="4" w:space="0" w:color="auto"/>
              <w:right w:val="single" w:sz="4" w:space="0" w:color="auto"/>
            </w:tcBorders>
            <w:shd w:val="clear" w:color="000000" w:fill="FF9900"/>
            <w:noWrap/>
            <w:vAlign w:val="center"/>
            <w:hideMark/>
          </w:tcPr>
          <w:p w14:paraId="560462C1" w14:textId="77777777" w:rsidR="0078259C" w:rsidRPr="0078259C" w:rsidRDefault="0078259C" w:rsidP="0078259C">
            <w:pPr>
              <w:spacing w:after="0" w:line="240" w:lineRule="auto"/>
              <w:jc w:val="right"/>
              <w:rPr>
                <w:rFonts w:ascii="Calibri" w:eastAsia="Times New Roman" w:hAnsi="Calibri" w:cs="Calibri"/>
                <w:sz w:val="18"/>
                <w:szCs w:val="18"/>
                <w:lang w:eastAsia="hr-HR"/>
              </w:rPr>
            </w:pPr>
            <w:r w:rsidRPr="0078259C">
              <w:rPr>
                <w:rFonts w:ascii="Calibri" w:eastAsia="Times New Roman" w:hAnsi="Calibri" w:cs="Calibri"/>
                <w:sz w:val="18"/>
                <w:szCs w:val="18"/>
                <w:lang w:eastAsia="hr-HR"/>
              </w:rPr>
              <w:t>1</w:t>
            </w:r>
          </w:p>
        </w:tc>
        <w:tc>
          <w:tcPr>
            <w:tcW w:w="568" w:type="dxa"/>
            <w:tcBorders>
              <w:top w:val="nil"/>
              <w:left w:val="nil"/>
              <w:bottom w:val="single" w:sz="4" w:space="0" w:color="auto"/>
              <w:right w:val="single" w:sz="4" w:space="0" w:color="auto"/>
            </w:tcBorders>
            <w:shd w:val="clear" w:color="000000" w:fill="FF9900"/>
            <w:noWrap/>
            <w:vAlign w:val="center"/>
            <w:hideMark/>
          </w:tcPr>
          <w:p w14:paraId="014D7337" w14:textId="77777777" w:rsidR="0078259C" w:rsidRPr="0078259C" w:rsidRDefault="0078259C" w:rsidP="0078259C">
            <w:pPr>
              <w:spacing w:after="0" w:line="240" w:lineRule="auto"/>
              <w:jc w:val="right"/>
              <w:rPr>
                <w:rFonts w:ascii="Calibri" w:eastAsia="Times New Roman" w:hAnsi="Calibri" w:cs="Calibri"/>
                <w:sz w:val="18"/>
                <w:szCs w:val="18"/>
                <w:lang w:eastAsia="hr-HR"/>
              </w:rPr>
            </w:pPr>
            <w:r w:rsidRPr="0078259C">
              <w:rPr>
                <w:rFonts w:ascii="Calibri" w:eastAsia="Times New Roman" w:hAnsi="Calibri" w:cs="Calibri"/>
                <w:sz w:val="18"/>
                <w:szCs w:val="18"/>
                <w:lang w:eastAsia="hr-HR"/>
              </w:rPr>
              <w:t>0</w:t>
            </w:r>
          </w:p>
        </w:tc>
        <w:tc>
          <w:tcPr>
            <w:tcW w:w="425" w:type="dxa"/>
            <w:tcBorders>
              <w:top w:val="nil"/>
              <w:left w:val="nil"/>
              <w:bottom w:val="single" w:sz="4" w:space="0" w:color="auto"/>
              <w:right w:val="single" w:sz="4" w:space="0" w:color="auto"/>
            </w:tcBorders>
            <w:shd w:val="clear" w:color="000000" w:fill="FF9900"/>
            <w:noWrap/>
            <w:vAlign w:val="center"/>
            <w:hideMark/>
          </w:tcPr>
          <w:p w14:paraId="1349A414" w14:textId="77777777" w:rsidR="0078259C" w:rsidRPr="0078259C" w:rsidRDefault="0078259C" w:rsidP="0078259C">
            <w:pPr>
              <w:spacing w:after="0" w:line="240" w:lineRule="auto"/>
              <w:jc w:val="right"/>
              <w:rPr>
                <w:rFonts w:ascii="Calibri" w:eastAsia="Times New Roman" w:hAnsi="Calibri" w:cs="Calibri"/>
                <w:sz w:val="18"/>
                <w:szCs w:val="18"/>
                <w:lang w:eastAsia="hr-HR"/>
              </w:rPr>
            </w:pPr>
            <w:r w:rsidRPr="0078259C">
              <w:rPr>
                <w:rFonts w:ascii="Calibri" w:eastAsia="Times New Roman" w:hAnsi="Calibri" w:cs="Calibri"/>
                <w:sz w:val="18"/>
                <w:szCs w:val="18"/>
                <w:lang w:eastAsia="hr-HR"/>
              </w:rPr>
              <w:t>0</w:t>
            </w:r>
          </w:p>
        </w:tc>
        <w:tc>
          <w:tcPr>
            <w:tcW w:w="425" w:type="dxa"/>
            <w:gridSpan w:val="2"/>
            <w:tcBorders>
              <w:top w:val="nil"/>
              <w:left w:val="nil"/>
              <w:bottom w:val="single" w:sz="4" w:space="0" w:color="auto"/>
              <w:right w:val="single" w:sz="4" w:space="0" w:color="auto"/>
            </w:tcBorders>
            <w:shd w:val="clear" w:color="000000" w:fill="66FFCC"/>
            <w:noWrap/>
            <w:vAlign w:val="center"/>
            <w:hideMark/>
          </w:tcPr>
          <w:p w14:paraId="0B28555B" w14:textId="77777777" w:rsidR="0078259C" w:rsidRPr="0078259C" w:rsidRDefault="0078259C" w:rsidP="0078259C">
            <w:pPr>
              <w:spacing w:after="0" w:line="240" w:lineRule="auto"/>
              <w:jc w:val="right"/>
              <w:rPr>
                <w:rFonts w:ascii="Calibri" w:eastAsia="Times New Roman" w:hAnsi="Calibri" w:cs="Calibri"/>
                <w:sz w:val="18"/>
                <w:szCs w:val="18"/>
                <w:lang w:eastAsia="hr-HR"/>
              </w:rPr>
            </w:pPr>
            <w:r w:rsidRPr="0078259C">
              <w:rPr>
                <w:rFonts w:ascii="Calibri" w:eastAsia="Times New Roman" w:hAnsi="Calibri" w:cs="Calibri"/>
                <w:sz w:val="18"/>
                <w:szCs w:val="18"/>
                <w:lang w:eastAsia="hr-HR"/>
              </w:rPr>
              <w:t>0</w:t>
            </w:r>
          </w:p>
        </w:tc>
        <w:tc>
          <w:tcPr>
            <w:tcW w:w="437" w:type="dxa"/>
            <w:tcBorders>
              <w:top w:val="nil"/>
              <w:left w:val="nil"/>
              <w:bottom w:val="single" w:sz="4" w:space="0" w:color="auto"/>
              <w:right w:val="single" w:sz="4" w:space="0" w:color="auto"/>
            </w:tcBorders>
            <w:shd w:val="clear" w:color="000000" w:fill="66FFCC"/>
            <w:noWrap/>
            <w:vAlign w:val="center"/>
            <w:hideMark/>
          </w:tcPr>
          <w:p w14:paraId="255F4AFB" w14:textId="77777777" w:rsidR="0078259C" w:rsidRPr="0078259C" w:rsidRDefault="0078259C" w:rsidP="0078259C">
            <w:pPr>
              <w:spacing w:after="0" w:line="240" w:lineRule="auto"/>
              <w:jc w:val="right"/>
              <w:rPr>
                <w:rFonts w:ascii="Calibri" w:eastAsia="Times New Roman" w:hAnsi="Calibri" w:cs="Calibri"/>
                <w:sz w:val="18"/>
                <w:szCs w:val="18"/>
                <w:lang w:eastAsia="hr-HR"/>
              </w:rPr>
            </w:pPr>
            <w:r w:rsidRPr="0078259C">
              <w:rPr>
                <w:rFonts w:ascii="Calibri" w:eastAsia="Times New Roman" w:hAnsi="Calibri" w:cs="Calibri"/>
                <w:sz w:val="18"/>
                <w:szCs w:val="18"/>
                <w:lang w:eastAsia="hr-HR"/>
              </w:rPr>
              <w:t>1</w:t>
            </w:r>
          </w:p>
        </w:tc>
        <w:tc>
          <w:tcPr>
            <w:tcW w:w="556" w:type="dxa"/>
            <w:tcBorders>
              <w:top w:val="nil"/>
              <w:left w:val="nil"/>
              <w:bottom w:val="single" w:sz="4" w:space="0" w:color="auto"/>
              <w:right w:val="single" w:sz="4" w:space="0" w:color="auto"/>
            </w:tcBorders>
            <w:shd w:val="clear" w:color="000000" w:fill="66FFCC"/>
            <w:noWrap/>
            <w:vAlign w:val="center"/>
            <w:hideMark/>
          </w:tcPr>
          <w:p w14:paraId="53CC42E1" w14:textId="77777777" w:rsidR="0078259C" w:rsidRPr="0078259C" w:rsidRDefault="0078259C" w:rsidP="0078259C">
            <w:pPr>
              <w:spacing w:after="0" w:line="240" w:lineRule="auto"/>
              <w:jc w:val="right"/>
              <w:rPr>
                <w:rFonts w:ascii="Calibri" w:eastAsia="Times New Roman" w:hAnsi="Calibri" w:cs="Calibri"/>
                <w:sz w:val="18"/>
                <w:szCs w:val="18"/>
                <w:lang w:eastAsia="hr-HR"/>
              </w:rPr>
            </w:pPr>
            <w:r w:rsidRPr="0078259C">
              <w:rPr>
                <w:rFonts w:ascii="Calibri" w:eastAsia="Times New Roman" w:hAnsi="Calibri" w:cs="Calibri"/>
                <w:sz w:val="18"/>
                <w:szCs w:val="18"/>
                <w:lang w:eastAsia="hr-HR"/>
              </w:rPr>
              <w:t>0</w:t>
            </w:r>
          </w:p>
        </w:tc>
        <w:tc>
          <w:tcPr>
            <w:tcW w:w="425" w:type="dxa"/>
            <w:tcBorders>
              <w:top w:val="nil"/>
              <w:left w:val="nil"/>
              <w:bottom w:val="single" w:sz="4" w:space="0" w:color="auto"/>
              <w:right w:val="single" w:sz="4" w:space="0" w:color="auto"/>
            </w:tcBorders>
            <w:shd w:val="clear" w:color="000000" w:fill="66FFCC"/>
            <w:noWrap/>
            <w:vAlign w:val="center"/>
            <w:hideMark/>
          </w:tcPr>
          <w:p w14:paraId="5E2EA311" w14:textId="77777777" w:rsidR="0078259C" w:rsidRPr="0078259C" w:rsidRDefault="0078259C" w:rsidP="0078259C">
            <w:pPr>
              <w:spacing w:after="0" w:line="240" w:lineRule="auto"/>
              <w:jc w:val="right"/>
              <w:rPr>
                <w:rFonts w:ascii="Calibri" w:eastAsia="Times New Roman" w:hAnsi="Calibri" w:cs="Calibri"/>
                <w:sz w:val="18"/>
                <w:szCs w:val="18"/>
                <w:lang w:eastAsia="hr-HR"/>
              </w:rPr>
            </w:pPr>
            <w:r w:rsidRPr="0078259C">
              <w:rPr>
                <w:rFonts w:ascii="Calibri" w:eastAsia="Times New Roman" w:hAnsi="Calibri" w:cs="Calibri"/>
                <w:sz w:val="18"/>
                <w:szCs w:val="18"/>
                <w:lang w:eastAsia="hr-HR"/>
              </w:rPr>
              <w:t>1</w:t>
            </w:r>
          </w:p>
        </w:tc>
        <w:tc>
          <w:tcPr>
            <w:tcW w:w="567" w:type="dxa"/>
            <w:gridSpan w:val="2"/>
            <w:tcBorders>
              <w:top w:val="nil"/>
              <w:left w:val="nil"/>
              <w:bottom w:val="single" w:sz="4" w:space="0" w:color="auto"/>
              <w:right w:val="single" w:sz="4" w:space="0" w:color="auto"/>
            </w:tcBorders>
            <w:shd w:val="clear" w:color="000000" w:fill="FFFF00"/>
            <w:vAlign w:val="center"/>
            <w:hideMark/>
          </w:tcPr>
          <w:p w14:paraId="3E32A5EF" w14:textId="77777777" w:rsidR="0078259C" w:rsidRPr="0078259C" w:rsidRDefault="0078259C" w:rsidP="0078259C">
            <w:pPr>
              <w:spacing w:after="0" w:line="240" w:lineRule="auto"/>
              <w:jc w:val="right"/>
              <w:rPr>
                <w:rFonts w:ascii="Calibri" w:eastAsia="Times New Roman" w:hAnsi="Calibri" w:cs="Calibri"/>
                <w:sz w:val="18"/>
                <w:szCs w:val="18"/>
                <w:lang w:eastAsia="hr-HR"/>
              </w:rPr>
            </w:pPr>
            <w:r w:rsidRPr="0078259C">
              <w:rPr>
                <w:rFonts w:ascii="Calibri" w:eastAsia="Times New Roman" w:hAnsi="Calibri" w:cs="Calibri"/>
                <w:sz w:val="18"/>
                <w:szCs w:val="18"/>
                <w:lang w:eastAsia="hr-HR"/>
              </w:rPr>
              <w:t>1</w:t>
            </w:r>
          </w:p>
        </w:tc>
        <w:tc>
          <w:tcPr>
            <w:tcW w:w="578" w:type="dxa"/>
            <w:gridSpan w:val="2"/>
            <w:tcBorders>
              <w:top w:val="nil"/>
              <w:left w:val="nil"/>
              <w:bottom w:val="single" w:sz="4" w:space="0" w:color="auto"/>
              <w:right w:val="single" w:sz="4" w:space="0" w:color="auto"/>
            </w:tcBorders>
            <w:shd w:val="clear" w:color="000000" w:fill="FFFF99"/>
            <w:vAlign w:val="center"/>
            <w:hideMark/>
          </w:tcPr>
          <w:p w14:paraId="381484BC" w14:textId="77777777" w:rsidR="0078259C" w:rsidRPr="0078259C" w:rsidRDefault="0078259C" w:rsidP="0078259C">
            <w:pPr>
              <w:spacing w:after="0" w:line="240" w:lineRule="auto"/>
              <w:jc w:val="right"/>
              <w:rPr>
                <w:rFonts w:ascii="Calibri" w:eastAsia="Times New Roman" w:hAnsi="Calibri" w:cs="Calibri"/>
                <w:sz w:val="18"/>
                <w:szCs w:val="18"/>
                <w:lang w:eastAsia="hr-HR"/>
              </w:rPr>
            </w:pPr>
            <w:r w:rsidRPr="0078259C">
              <w:rPr>
                <w:rFonts w:ascii="Calibri" w:eastAsia="Times New Roman" w:hAnsi="Calibri" w:cs="Calibri"/>
                <w:sz w:val="18"/>
                <w:szCs w:val="18"/>
                <w:lang w:eastAsia="hr-HR"/>
              </w:rPr>
              <w:t>4</w:t>
            </w:r>
          </w:p>
        </w:tc>
        <w:tc>
          <w:tcPr>
            <w:tcW w:w="839" w:type="dxa"/>
            <w:gridSpan w:val="2"/>
            <w:tcBorders>
              <w:top w:val="nil"/>
              <w:left w:val="nil"/>
              <w:bottom w:val="single" w:sz="4" w:space="0" w:color="auto"/>
              <w:right w:val="single" w:sz="4" w:space="0" w:color="auto"/>
            </w:tcBorders>
            <w:shd w:val="clear" w:color="000000" w:fill="FF9900"/>
            <w:vAlign w:val="center"/>
            <w:hideMark/>
          </w:tcPr>
          <w:p w14:paraId="06350202" w14:textId="77777777" w:rsidR="0078259C" w:rsidRPr="0078259C" w:rsidRDefault="0078259C" w:rsidP="0078259C">
            <w:pPr>
              <w:spacing w:after="0" w:line="240" w:lineRule="auto"/>
              <w:jc w:val="right"/>
              <w:rPr>
                <w:rFonts w:ascii="Calibri" w:eastAsia="Times New Roman" w:hAnsi="Calibri" w:cs="Calibri"/>
                <w:sz w:val="18"/>
                <w:szCs w:val="18"/>
                <w:lang w:eastAsia="hr-HR"/>
              </w:rPr>
            </w:pPr>
            <w:r w:rsidRPr="0078259C">
              <w:rPr>
                <w:rFonts w:ascii="Calibri" w:eastAsia="Times New Roman" w:hAnsi="Calibri" w:cs="Calibri"/>
                <w:sz w:val="18"/>
                <w:szCs w:val="18"/>
                <w:lang w:eastAsia="hr-HR"/>
              </w:rPr>
              <w:t>1</w:t>
            </w:r>
          </w:p>
        </w:tc>
        <w:tc>
          <w:tcPr>
            <w:tcW w:w="426" w:type="dxa"/>
            <w:gridSpan w:val="2"/>
            <w:tcBorders>
              <w:top w:val="nil"/>
              <w:left w:val="nil"/>
              <w:bottom w:val="single" w:sz="4" w:space="0" w:color="auto"/>
              <w:right w:val="single" w:sz="4" w:space="0" w:color="auto"/>
            </w:tcBorders>
            <w:shd w:val="clear" w:color="000000" w:fill="CCFFFF"/>
            <w:vAlign w:val="center"/>
            <w:hideMark/>
          </w:tcPr>
          <w:p w14:paraId="3A9AB4CF" w14:textId="77777777" w:rsidR="0078259C" w:rsidRPr="0078259C" w:rsidRDefault="0078259C" w:rsidP="0078259C">
            <w:pPr>
              <w:spacing w:after="0" w:line="240" w:lineRule="auto"/>
              <w:jc w:val="right"/>
              <w:rPr>
                <w:rFonts w:ascii="Calibri" w:eastAsia="Times New Roman" w:hAnsi="Calibri" w:cs="Calibri"/>
                <w:sz w:val="18"/>
                <w:szCs w:val="18"/>
                <w:lang w:eastAsia="hr-HR"/>
              </w:rPr>
            </w:pPr>
            <w:r w:rsidRPr="0078259C">
              <w:rPr>
                <w:rFonts w:ascii="Calibri" w:eastAsia="Times New Roman" w:hAnsi="Calibri" w:cs="Calibri"/>
                <w:sz w:val="18"/>
                <w:szCs w:val="18"/>
                <w:lang w:eastAsia="hr-HR"/>
              </w:rPr>
              <w:t>0</w:t>
            </w:r>
          </w:p>
        </w:tc>
        <w:tc>
          <w:tcPr>
            <w:tcW w:w="446" w:type="dxa"/>
            <w:tcBorders>
              <w:top w:val="nil"/>
              <w:left w:val="nil"/>
              <w:bottom w:val="single" w:sz="4" w:space="0" w:color="auto"/>
              <w:right w:val="single" w:sz="4" w:space="0" w:color="auto"/>
            </w:tcBorders>
            <w:shd w:val="clear" w:color="000000" w:fill="CCFFFF"/>
            <w:vAlign w:val="center"/>
            <w:hideMark/>
          </w:tcPr>
          <w:p w14:paraId="5C1737DF" w14:textId="77777777" w:rsidR="0078259C" w:rsidRPr="0078259C" w:rsidRDefault="0078259C" w:rsidP="0078259C">
            <w:pPr>
              <w:spacing w:after="0" w:line="240" w:lineRule="auto"/>
              <w:jc w:val="right"/>
              <w:rPr>
                <w:rFonts w:ascii="Calibri" w:eastAsia="Times New Roman" w:hAnsi="Calibri" w:cs="Calibri"/>
                <w:sz w:val="18"/>
                <w:szCs w:val="18"/>
                <w:lang w:eastAsia="hr-HR"/>
              </w:rPr>
            </w:pPr>
            <w:r w:rsidRPr="0078259C">
              <w:rPr>
                <w:rFonts w:ascii="Calibri" w:eastAsia="Times New Roman" w:hAnsi="Calibri" w:cs="Calibri"/>
                <w:sz w:val="18"/>
                <w:szCs w:val="18"/>
                <w:lang w:eastAsia="hr-HR"/>
              </w:rPr>
              <w:t>1</w:t>
            </w:r>
          </w:p>
        </w:tc>
        <w:tc>
          <w:tcPr>
            <w:tcW w:w="404" w:type="dxa"/>
            <w:tcBorders>
              <w:top w:val="nil"/>
              <w:left w:val="nil"/>
              <w:bottom w:val="single" w:sz="4" w:space="0" w:color="auto"/>
              <w:right w:val="single" w:sz="4" w:space="0" w:color="auto"/>
            </w:tcBorders>
            <w:shd w:val="clear" w:color="000000" w:fill="CCFFFF"/>
            <w:noWrap/>
            <w:vAlign w:val="center"/>
            <w:hideMark/>
          </w:tcPr>
          <w:p w14:paraId="01C75B94" w14:textId="77777777" w:rsidR="0078259C" w:rsidRPr="0078259C" w:rsidRDefault="0078259C" w:rsidP="0078259C">
            <w:pPr>
              <w:spacing w:after="0" w:line="240" w:lineRule="auto"/>
              <w:jc w:val="right"/>
              <w:rPr>
                <w:rFonts w:ascii="Calibri" w:eastAsia="Times New Roman" w:hAnsi="Calibri" w:cs="Calibri"/>
                <w:sz w:val="18"/>
                <w:szCs w:val="18"/>
                <w:lang w:eastAsia="hr-HR"/>
              </w:rPr>
            </w:pPr>
            <w:r w:rsidRPr="0078259C">
              <w:rPr>
                <w:rFonts w:ascii="Calibri" w:eastAsia="Times New Roman" w:hAnsi="Calibri" w:cs="Calibri"/>
                <w:sz w:val="18"/>
                <w:szCs w:val="18"/>
                <w:lang w:eastAsia="hr-HR"/>
              </w:rPr>
              <w:t>0</w:t>
            </w:r>
          </w:p>
        </w:tc>
        <w:tc>
          <w:tcPr>
            <w:tcW w:w="839" w:type="dxa"/>
            <w:gridSpan w:val="2"/>
            <w:tcBorders>
              <w:top w:val="nil"/>
              <w:left w:val="nil"/>
              <w:bottom w:val="single" w:sz="4" w:space="0" w:color="auto"/>
              <w:right w:val="single" w:sz="4" w:space="0" w:color="auto"/>
            </w:tcBorders>
            <w:shd w:val="clear" w:color="000000" w:fill="33CCCC"/>
            <w:noWrap/>
            <w:vAlign w:val="center"/>
            <w:hideMark/>
          </w:tcPr>
          <w:p w14:paraId="5810F004" w14:textId="77777777" w:rsidR="0078259C" w:rsidRPr="0078259C" w:rsidRDefault="0078259C" w:rsidP="0078259C">
            <w:pPr>
              <w:spacing w:after="0" w:line="240" w:lineRule="auto"/>
              <w:jc w:val="right"/>
              <w:rPr>
                <w:rFonts w:ascii="Calibri" w:eastAsia="Times New Roman" w:hAnsi="Calibri" w:cs="Calibri"/>
                <w:sz w:val="18"/>
                <w:szCs w:val="18"/>
                <w:lang w:eastAsia="hr-HR"/>
              </w:rPr>
            </w:pPr>
            <w:r w:rsidRPr="0078259C">
              <w:rPr>
                <w:rFonts w:ascii="Calibri" w:eastAsia="Times New Roman" w:hAnsi="Calibri" w:cs="Calibri"/>
                <w:sz w:val="18"/>
                <w:szCs w:val="18"/>
                <w:lang w:eastAsia="hr-HR"/>
              </w:rPr>
              <w:t>0</w:t>
            </w:r>
          </w:p>
        </w:tc>
        <w:tc>
          <w:tcPr>
            <w:tcW w:w="839" w:type="dxa"/>
            <w:tcBorders>
              <w:top w:val="nil"/>
              <w:left w:val="nil"/>
              <w:bottom w:val="single" w:sz="4" w:space="0" w:color="auto"/>
              <w:right w:val="nil"/>
            </w:tcBorders>
            <w:shd w:val="clear" w:color="000000" w:fill="33CCCC"/>
            <w:noWrap/>
            <w:vAlign w:val="center"/>
            <w:hideMark/>
          </w:tcPr>
          <w:p w14:paraId="1CD4AC97" w14:textId="77777777" w:rsidR="0078259C" w:rsidRPr="0078259C" w:rsidRDefault="0078259C" w:rsidP="0078259C">
            <w:pPr>
              <w:spacing w:after="0" w:line="240" w:lineRule="auto"/>
              <w:jc w:val="right"/>
              <w:rPr>
                <w:rFonts w:ascii="Calibri" w:eastAsia="Times New Roman" w:hAnsi="Calibri" w:cs="Calibri"/>
                <w:sz w:val="18"/>
                <w:szCs w:val="18"/>
                <w:lang w:eastAsia="hr-HR"/>
              </w:rPr>
            </w:pPr>
            <w:r w:rsidRPr="0078259C">
              <w:rPr>
                <w:rFonts w:ascii="Calibri" w:eastAsia="Times New Roman" w:hAnsi="Calibri" w:cs="Calibri"/>
                <w:sz w:val="18"/>
                <w:szCs w:val="18"/>
                <w:lang w:eastAsia="hr-HR"/>
              </w:rPr>
              <w:t>1</w:t>
            </w:r>
          </w:p>
        </w:tc>
        <w:tc>
          <w:tcPr>
            <w:tcW w:w="236" w:type="dxa"/>
            <w:gridSpan w:val="2"/>
            <w:vAlign w:val="center"/>
            <w:hideMark/>
          </w:tcPr>
          <w:p w14:paraId="25EDCCE3" w14:textId="77777777" w:rsidR="0078259C" w:rsidRPr="0078259C" w:rsidRDefault="0078259C" w:rsidP="0078259C">
            <w:pPr>
              <w:spacing w:after="0" w:line="240" w:lineRule="auto"/>
              <w:rPr>
                <w:rFonts w:ascii="Times New Roman" w:eastAsia="Times New Roman" w:hAnsi="Times New Roman" w:cs="Times New Roman"/>
                <w:sz w:val="18"/>
                <w:szCs w:val="18"/>
                <w:lang w:eastAsia="hr-HR"/>
              </w:rPr>
            </w:pPr>
          </w:p>
        </w:tc>
      </w:tr>
      <w:tr w:rsidR="0078259C" w:rsidRPr="0078259C" w14:paraId="29791368" w14:textId="77777777" w:rsidTr="0078259C">
        <w:trPr>
          <w:gridAfter w:val="2"/>
          <w:wAfter w:w="44" w:type="dxa"/>
          <w:trHeight w:val="600"/>
        </w:trPr>
        <w:tc>
          <w:tcPr>
            <w:tcW w:w="1394" w:type="dxa"/>
            <w:tcBorders>
              <w:top w:val="single" w:sz="4" w:space="0" w:color="auto"/>
              <w:left w:val="single" w:sz="8" w:space="0" w:color="auto"/>
              <w:bottom w:val="single" w:sz="4" w:space="0" w:color="auto"/>
              <w:right w:val="single" w:sz="4" w:space="0" w:color="auto"/>
            </w:tcBorders>
            <w:shd w:val="clear" w:color="000000" w:fill="CCFFCC"/>
            <w:vAlign w:val="center"/>
            <w:hideMark/>
          </w:tcPr>
          <w:p w14:paraId="781FD9A3" w14:textId="77777777" w:rsidR="0078259C" w:rsidRPr="0078259C" w:rsidRDefault="0078259C" w:rsidP="0078259C">
            <w:pPr>
              <w:spacing w:after="0" w:line="240" w:lineRule="auto"/>
              <w:jc w:val="center"/>
              <w:rPr>
                <w:rFonts w:ascii="Calibri" w:eastAsia="Times New Roman" w:hAnsi="Calibri" w:cs="Calibri"/>
                <w:sz w:val="18"/>
                <w:szCs w:val="18"/>
                <w:lang w:eastAsia="hr-HR"/>
              </w:rPr>
            </w:pPr>
            <w:r w:rsidRPr="0078259C">
              <w:rPr>
                <w:rFonts w:ascii="Calibri" w:eastAsia="Times New Roman" w:hAnsi="Calibri" w:cs="Calibri"/>
                <w:sz w:val="18"/>
                <w:szCs w:val="18"/>
                <w:lang w:eastAsia="hr-HR"/>
              </w:rPr>
              <w:lastRenderedPageBreak/>
              <w:t>Političko ili drugo uvjerenje</w:t>
            </w:r>
          </w:p>
        </w:tc>
        <w:tc>
          <w:tcPr>
            <w:tcW w:w="575" w:type="dxa"/>
            <w:tcBorders>
              <w:top w:val="nil"/>
              <w:left w:val="nil"/>
              <w:bottom w:val="single" w:sz="4" w:space="0" w:color="auto"/>
              <w:right w:val="single" w:sz="4" w:space="0" w:color="auto"/>
            </w:tcBorders>
            <w:shd w:val="clear" w:color="000000" w:fill="CCFFCC"/>
            <w:vAlign w:val="center"/>
            <w:hideMark/>
          </w:tcPr>
          <w:p w14:paraId="78ED4BEE" w14:textId="77777777" w:rsidR="0078259C" w:rsidRPr="0078259C" w:rsidRDefault="0078259C" w:rsidP="0078259C">
            <w:pPr>
              <w:spacing w:after="0" w:line="240" w:lineRule="auto"/>
              <w:jc w:val="right"/>
              <w:rPr>
                <w:rFonts w:ascii="Calibri" w:eastAsia="Times New Roman" w:hAnsi="Calibri" w:cs="Calibri"/>
                <w:sz w:val="18"/>
                <w:szCs w:val="18"/>
                <w:lang w:eastAsia="hr-HR"/>
              </w:rPr>
            </w:pPr>
            <w:r w:rsidRPr="0078259C">
              <w:rPr>
                <w:rFonts w:ascii="Calibri" w:eastAsia="Times New Roman" w:hAnsi="Calibri" w:cs="Calibri"/>
                <w:sz w:val="18"/>
                <w:szCs w:val="18"/>
                <w:lang w:eastAsia="hr-HR"/>
              </w:rPr>
              <w:t>4</w:t>
            </w:r>
          </w:p>
        </w:tc>
        <w:tc>
          <w:tcPr>
            <w:tcW w:w="488" w:type="dxa"/>
            <w:tcBorders>
              <w:top w:val="nil"/>
              <w:left w:val="nil"/>
              <w:bottom w:val="single" w:sz="4" w:space="0" w:color="auto"/>
              <w:right w:val="single" w:sz="4" w:space="0" w:color="auto"/>
            </w:tcBorders>
            <w:shd w:val="clear" w:color="000000" w:fill="FFCC99"/>
            <w:noWrap/>
            <w:vAlign w:val="center"/>
            <w:hideMark/>
          </w:tcPr>
          <w:p w14:paraId="4286E445" w14:textId="77777777" w:rsidR="0078259C" w:rsidRPr="0078259C" w:rsidRDefault="0078259C" w:rsidP="0078259C">
            <w:pPr>
              <w:spacing w:after="0" w:line="240" w:lineRule="auto"/>
              <w:jc w:val="right"/>
              <w:rPr>
                <w:rFonts w:ascii="Calibri" w:eastAsia="Times New Roman" w:hAnsi="Calibri" w:cs="Calibri"/>
                <w:sz w:val="18"/>
                <w:szCs w:val="18"/>
                <w:lang w:eastAsia="hr-HR"/>
              </w:rPr>
            </w:pPr>
            <w:r w:rsidRPr="0078259C">
              <w:rPr>
                <w:rFonts w:ascii="Calibri" w:eastAsia="Times New Roman" w:hAnsi="Calibri" w:cs="Calibri"/>
                <w:sz w:val="18"/>
                <w:szCs w:val="18"/>
                <w:lang w:eastAsia="hr-HR"/>
              </w:rPr>
              <w:t>2</w:t>
            </w:r>
          </w:p>
        </w:tc>
        <w:tc>
          <w:tcPr>
            <w:tcW w:w="500" w:type="dxa"/>
            <w:tcBorders>
              <w:top w:val="nil"/>
              <w:left w:val="nil"/>
              <w:bottom w:val="single" w:sz="4" w:space="0" w:color="auto"/>
              <w:right w:val="single" w:sz="4" w:space="0" w:color="auto"/>
            </w:tcBorders>
            <w:shd w:val="clear" w:color="000000" w:fill="FFCC99"/>
            <w:noWrap/>
            <w:vAlign w:val="center"/>
            <w:hideMark/>
          </w:tcPr>
          <w:p w14:paraId="4BEFF9D1" w14:textId="77777777" w:rsidR="0078259C" w:rsidRPr="0078259C" w:rsidRDefault="0078259C" w:rsidP="0078259C">
            <w:pPr>
              <w:spacing w:after="0" w:line="240" w:lineRule="auto"/>
              <w:jc w:val="right"/>
              <w:rPr>
                <w:rFonts w:ascii="Calibri" w:eastAsia="Times New Roman" w:hAnsi="Calibri" w:cs="Calibri"/>
                <w:sz w:val="18"/>
                <w:szCs w:val="18"/>
                <w:lang w:eastAsia="hr-HR"/>
              </w:rPr>
            </w:pPr>
            <w:r w:rsidRPr="0078259C">
              <w:rPr>
                <w:rFonts w:ascii="Calibri" w:eastAsia="Times New Roman" w:hAnsi="Calibri" w:cs="Calibri"/>
                <w:sz w:val="18"/>
                <w:szCs w:val="18"/>
                <w:lang w:eastAsia="hr-HR"/>
              </w:rPr>
              <w:t>1</w:t>
            </w:r>
          </w:p>
        </w:tc>
        <w:tc>
          <w:tcPr>
            <w:tcW w:w="435" w:type="dxa"/>
            <w:tcBorders>
              <w:top w:val="nil"/>
              <w:left w:val="nil"/>
              <w:bottom w:val="single" w:sz="4" w:space="0" w:color="auto"/>
              <w:right w:val="single" w:sz="4" w:space="0" w:color="auto"/>
            </w:tcBorders>
            <w:shd w:val="clear" w:color="000000" w:fill="CCFFFF"/>
            <w:vAlign w:val="center"/>
            <w:hideMark/>
          </w:tcPr>
          <w:p w14:paraId="504F9D18" w14:textId="77777777" w:rsidR="0078259C" w:rsidRPr="0078259C" w:rsidRDefault="0078259C" w:rsidP="0078259C">
            <w:pPr>
              <w:spacing w:after="0" w:line="240" w:lineRule="auto"/>
              <w:jc w:val="right"/>
              <w:rPr>
                <w:rFonts w:ascii="Calibri" w:eastAsia="Times New Roman" w:hAnsi="Calibri" w:cs="Calibri"/>
                <w:sz w:val="18"/>
                <w:szCs w:val="18"/>
                <w:lang w:eastAsia="hr-HR"/>
              </w:rPr>
            </w:pPr>
            <w:r w:rsidRPr="0078259C">
              <w:rPr>
                <w:rFonts w:ascii="Calibri" w:eastAsia="Times New Roman" w:hAnsi="Calibri" w:cs="Calibri"/>
                <w:sz w:val="18"/>
                <w:szCs w:val="18"/>
                <w:lang w:eastAsia="hr-HR"/>
              </w:rPr>
              <w:t>0</w:t>
            </w:r>
          </w:p>
        </w:tc>
        <w:tc>
          <w:tcPr>
            <w:tcW w:w="426" w:type="dxa"/>
            <w:tcBorders>
              <w:top w:val="nil"/>
              <w:left w:val="nil"/>
              <w:bottom w:val="single" w:sz="4" w:space="0" w:color="auto"/>
              <w:right w:val="single" w:sz="4" w:space="0" w:color="auto"/>
            </w:tcBorders>
            <w:shd w:val="clear" w:color="000000" w:fill="CCFFFF"/>
            <w:noWrap/>
            <w:vAlign w:val="center"/>
            <w:hideMark/>
          </w:tcPr>
          <w:p w14:paraId="194A7737" w14:textId="77777777" w:rsidR="0078259C" w:rsidRPr="0078259C" w:rsidRDefault="0078259C" w:rsidP="0078259C">
            <w:pPr>
              <w:spacing w:after="0" w:line="240" w:lineRule="auto"/>
              <w:jc w:val="right"/>
              <w:rPr>
                <w:rFonts w:ascii="Calibri" w:eastAsia="Times New Roman" w:hAnsi="Calibri" w:cs="Calibri"/>
                <w:sz w:val="18"/>
                <w:szCs w:val="18"/>
                <w:lang w:eastAsia="hr-HR"/>
              </w:rPr>
            </w:pPr>
            <w:r w:rsidRPr="0078259C">
              <w:rPr>
                <w:rFonts w:ascii="Calibri" w:eastAsia="Times New Roman" w:hAnsi="Calibri" w:cs="Calibri"/>
                <w:sz w:val="18"/>
                <w:szCs w:val="18"/>
                <w:lang w:eastAsia="hr-HR"/>
              </w:rPr>
              <w:t>1</w:t>
            </w:r>
          </w:p>
        </w:tc>
        <w:tc>
          <w:tcPr>
            <w:tcW w:w="425" w:type="dxa"/>
            <w:tcBorders>
              <w:top w:val="nil"/>
              <w:left w:val="nil"/>
              <w:bottom w:val="single" w:sz="4" w:space="0" w:color="auto"/>
              <w:right w:val="single" w:sz="4" w:space="0" w:color="auto"/>
            </w:tcBorders>
            <w:shd w:val="clear" w:color="000000" w:fill="FFFF99"/>
            <w:noWrap/>
            <w:vAlign w:val="center"/>
            <w:hideMark/>
          </w:tcPr>
          <w:p w14:paraId="58CC361F" w14:textId="77777777" w:rsidR="0078259C" w:rsidRPr="0078259C" w:rsidRDefault="0078259C" w:rsidP="0078259C">
            <w:pPr>
              <w:spacing w:after="0" w:line="240" w:lineRule="auto"/>
              <w:jc w:val="right"/>
              <w:rPr>
                <w:rFonts w:ascii="Calibri" w:eastAsia="Times New Roman" w:hAnsi="Calibri" w:cs="Calibri"/>
                <w:sz w:val="18"/>
                <w:szCs w:val="18"/>
                <w:lang w:eastAsia="hr-HR"/>
              </w:rPr>
            </w:pPr>
            <w:r w:rsidRPr="0078259C">
              <w:rPr>
                <w:rFonts w:ascii="Calibri" w:eastAsia="Times New Roman" w:hAnsi="Calibri" w:cs="Calibri"/>
                <w:sz w:val="18"/>
                <w:szCs w:val="18"/>
                <w:lang w:eastAsia="hr-HR"/>
              </w:rPr>
              <w:t>1</w:t>
            </w:r>
          </w:p>
        </w:tc>
        <w:tc>
          <w:tcPr>
            <w:tcW w:w="567" w:type="dxa"/>
            <w:tcBorders>
              <w:top w:val="nil"/>
              <w:left w:val="nil"/>
              <w:bottom w:val="single" w:sz="4" w:space="0" w:color="auto"/>
              <w:right w:val="single" w:sz="4" w:space="0" w:color="auto"/>
            </w:tcBorders>
            <w:shd w:val="clear" w:color="000000" w:fill="FFFF99"/>
            <w:noWrap/>
            <w:vAlign w:val="center"/>
            <w:hideMark/>
          </w:tcPr>
          <w:p w14:paraId="2D45257F" w14:textId="77777777" w:rsidR="0078259C" w:rsidRPr="0078259C" w:rsidRDefault="0078259C" w:rsidP="0078259C">
            <w:pPr>
              <w:spacing w:after="0" w:line="240" w:lineRule="auto"/>
              <w:jc w:val="right"/>
              <w:rPr>
                <w:rFonts w:ascii="Calibri" w:eastAsia="Times New Roman" w:hAnsi="Calibri" w:cs="Calibri"/>
                <w:sz w:val="18"/>
                <w:szCs w:val="18"/>
                <w:lang w:eastAsia="hr-HR"/>
              </w:rPr>
            </w:pPr>
            <w:r w:rsidRPr="0078259C">
              <w:rPr>
                <w:rFonts w:ascii="Calibri" w:eastAsia="Times New Roman" w:hAnsi="Calibri" w:cs="Calibri"/>
                <w:sz w:val="18"/>
                <w:szCs w:val="18"/>
                <w:lang w:eastAsia="hr-HR"/>
              </w:rPr>
              <w:t>0</w:t>
            </w:r>
          </w:p>
        </w:tc>
        <w:tc>
          <w:tcPr>
            <w:tcW w:w="567" w:type="dxa"/>
            <w:tcBorders>
              <w:top w:val="nil"/>
              <w:left w:val="nil"/>
              <w:bottom w:val="single" w:sz="4" w:space="0" w:color="auto"/>
              <w:right w:val="single" w:sz="4" w:space="0" w:color="auto"/>
            </w:tcBorders>
            <w:shd w:val="clear" w:color="000000" w:fill="FFFF99"/>
            <w:noWrap/>
            <w:vAlign w:val="center"/>
            <w:hideMark/>
          </w:tcPr>
          <w:p w14:paraId="50BC31A2" w14:textId="77777777" w:rsidR="0078259C" w:rsidRPr="0078259C" w:rsidRDefault="0078259C" w:rsidP="0078259C">
            <w:pPr>
              <w:spacing w:after="0" w:line="240" w:lineRule="auto"/>
              <w:jc w:val="right"/>
              <w:rPr>
                <w:rFonts w:ascii="Calibri" w:eastAsia="Times New Roman" w:hAnsi="Calibri" w:cs="Calibri"/>
                <w:sz w:val="18"/>
                <w:szCs w:val="18"/>
                <w:lang w:eastAsia="hr-HR"/>
              </w:rPr>
            </w:pPr>
            <w:r w:rsidRPr="0078259C">
              <w:rPr>
                <w:rFonts w:ascii="Calibri" w:eastAsia="Times New Roman" w:hAnsi="Calibri" w:cs="Calibri"/>
                <w:sz w:val="18"/>
                <w:szCs w:val="18"/>
                <w:lang w:eastAsia="hr-HR"/>
              </w:rPr>
              <w:t>0</w:t>
            </w:r>
          </w:p>
        </w:tc>
        <w:tc>
          <w:tcPr>
            <w:tcW w:w="437" w:type="dxa"/>
            <w:tcBorders>
              <w:top w:val="nil"/>
              <w:left w:val="nil"/>
              <w:bottom w:val="single" w:sz="4" w:space="0" w:color="auto"/>
              <w:right w:val="single" w:sz="4" w:space="0" w:color="auto"/>
            </w:tcBorders>
            <w:shd w:val="clear" w:color="000000" w:fill="FFFF99"/>
            <w:noWrap/>
            <w:vAlign w:val="center"/>
            <w:hideMark/>
          </w:tcPr>
          <w:p w14:paraId="5EC8EC0A" w14:textId="77777777" w:rsidR="0078259C" w:rsidRPr="0078259C" w:rsidRDefault="0078259C" w:rsidP="0078259C">
            <w:pPr>
              <w:spacing w:after="0" w:line="240" w:lineRule="auto"/>
              <w:jc w:val="right"/>
              <w:rPr>
                <w:rFonts w:ascii="Calibri" w:eastAsia="Times New Roman" w:hAnsi="Calibri" w:cs="Calibri"/>
                <w:sz w:val="18"/>
                <w:szCs w:val="18"/>
                <w:lang w:eastAsia="hr-HR"/>
              </w:rPr>
            </w:pPr>
            <w:r w:rsidRPr="0078259C">
              <w:rPr>
                <w:rFonts w:ascii="Calibri" w:eastAsia="Times New Roman" w:hAnsi="Calibri" w:cs="Calibri"/>
                <w:sz w:val="18"/>
                <w:szCs w:val="18"/>
                <w:lang w:eastAsia="hr-HR"/>
              </w:rPr>
              <w:t>0</w:t>
            </w:r>
          </w:p>
        </w:tc>
        <w:tc>
          <w:tcPr>
            <w:tcW w:w="413" w:type="dxa"/>
            <w:tcBorders>
              <w:top w:val="nil"/>
              <w:left w:val="nil"/>
              <w:bottom w:val="single" w:sz="4" w:space="0" w:color="auto"/>
              <w:right w:val="single" w:sz="4" w:space="0" w:color="auto"/>
            </w:tcBorders>
            <w:shd w:val="clear" w:color="000000" w:fill="FFFF99"/>
            <w:noWrap/>
            <w:vAlign w:val="center"/>
            <w:hideMark/>
          </w:tcPr>
          <w:p w14:paraId="5D1433D1" w14:textId="77777777" w:rsidR="0078259C" w:rsidRPr="0078259C" w:rsidRDefault="0078259C" w:rsidP="0078259C">
            <w:pPr>
              <w:spacing w:after="0" w:line="240" w:lineRule="auto"/>
              <w:jc w:val="right"/>
              <w:rPr>
                <w:rFonts w:ascii="Calibri" w:eastAsia="Times New Roman" w:hAnsi="Calibri" w:cs="Calibri"/>
                <w:sz w:val="18"/>
                <w:szCs w:val="18"/>
                <w:lang w:eastAsia="hr-HR"/>
              </w:rPr>
            </w:pPr>
            <w:r w:rsidRPr="0078259C">
              <w:rPr>
                <w:rFonts w:ascii="Calibri" w:eastAsia="Times New Roman" w:hAnsi="Calibri" w:cs="Calibri"/>
                <w:sz w:val="18"/>
                <w:szCs w:val="18"/>
                <w:lang w:eastAsia="hr-HR"/>
              </w:rPr>
              <w:t>1</w:t>
            </w:r>
          </w:p>
        </w:tc>
        <w:tc>
          <w:tcPr>
            <w:tcW w:w="283" w:type="dxa"/>
            <w:gridSpan w:val="2"/>
            <w:tcBorders>
              <w:top w:val="nil"/>
              <w:left w:val="nil"/>
              <w:bottom w:val="single" w:sz="4" w:space="0" w:color="auto"/>
              <w:right w:val="single" w:sz="4" w:space="0" w:color="auto"/>
            </w:tcBorders>
            <w:shd w:val="clear" w:color="000000" w:fill="FF9900"/>
            <w:noWrap/>
            <w:vAlign w:val="center"/>
            <w:hideMark/>
          </w:tcPr>
          <w:p w14:paraId="6B14C040" w14:textId="77777777" w:rsidR="0078259C" w:rsidRPr="0078259C" w:rsidRDefault="0078259C" w:rsidP="0078259C">
            <w:pPr>
              <w:spacing w:after="0" w:line="240" w:lineRule="auto"/>
              <w:jc w:val="right"/>
              <w:rPr>
                <w:rFonts w:ascii="Calibri" w:eastAsia="Times New Roman" w:hAnsi="Calibri" w:cs="Calibri"/>
                <w:sz w:val="18"/>
                <w:szCs w:val="18"/>
                <w:lang w:eastAsia="hr-HR"/>
              </w:rPr>
            </w:pPr>
            <w:r w:rsidRPr="0078259C">
              <w:rPr>
                <w:rFonts w:ascii="Calibri" w:eastAsia="Times New Roman" w:hAnsi="Calibri" w:cs="Calibri"/>
                <w:sz w:val="18"/>
                <w:szCs w:val="18"/>
                <w:lang w:eastAsia="hr-HR"/>
              </w:rPr>
              <w:t>4</w:t>
            </w:r>
          </w:p>
        </w:tc>
        <w:tc>
          <w:tcPr>
            <w:tcW w:w="568" w:type="dxa"/>
            <w:tcBorders>
              <w:top w:val="nil"/>
              <w:left w:val="nil"/>
              <w:bottom w:val="single" w:sz="4" w:space="0" w:color="auto"/>
              <w:right w:val="single" w:sz="4" w:space="0" w:color="auto"/>
            </w:tcBorders>
            <w:shd w:val="clear" w:color="000000" w:fill="FF9900"/>
            <w:noWrap/>
            <w:vAlign w:val="center"/>
            <w:hideMark/>
          </w:tcPr>
          <w:p w14:paraId="16204399" w14:textId="77777777" w:rsidR="0078259C" w:rsidRPr="0078259C" w:rsidRDefault="0078259C" w:rsidP="0078259C">
            <w:pPr>
              <w:spacing w:after="0" w:line="240" w:lineRule="auto"/>
              <w:jc w:val="right"/>
              <w:rPr>
                <w:rFonts w:ascii="Calibri" w:eastAsia="Times New Roman" w:hAnsi="Calibri" w:cs="Calibri"/>
                <w:sz w:val="18"/>
                <w:szCs w:val="18"/>
                <w:lang w:eastAsia="hr-HR"/>
              </w:rPr>
            </w:pPr>
            <w:r w:rsidRPr="0078259C">
              <w:rPr>
                <w:rFonts w:ascii="Calibri" w:eastAsia="Times New Roman" w:hAnsi="Calibri" w:cs="Calibri"/>
                <w:sz w:val="18"/>
                <w:szCs w:val="18"/>
                <w:lang w:eastAsia="hr-HR"/>
              </w:rPr>
              <w:t>1</w:t>
            </w:r>
          </w:p>
        </w:tc>
        <w:tc>
          <w:tcPr>
            <w:tcW w:w="425" w:type="dxa"/>
            <w:tcBorders>
              <w:top w:val="nil"/>
              <w:left w:val="nil"/>
              <w:bottom w:val="single" w:sz="4" w:space="0" w:color="auto"/>
              <w:right w:val="single" w:sz="4" w:space="0" w:color="auto"/>
            </w:tcBorders>
            <w:shd w:val="clear" w:color="000000" w:fill="FF9900"/>
            <w:noWrap/>
            <w:vAlign w:val="center"/>
            <w:hideMark/>
          </w:tcPr>
          <w:p w14:paraId="6ECE113B" w14:textId="77777777" w:rsidR="0078259C" w:rsidRPr="0078259C" w:rsidRDefault="0078259C" w:rsidP="0078259C">
            <w:pPr>
              <w:spacing w:after="0" w:line="240" w:lineRule="auto"/>
              <w:jc w:val="right"/>
              <w:rPr>
                <w:rFonts w:ascii="Calibri" w:eastAsia="Times New Roman" w:hAnsi="Calibri" w:cs="Calibri"/>
                <w:sz w:val="18"/>
                <w:szCs w:val="18"/>
                <w:lang w:eastAsia="hr-HR"/>
              </w:rPr>
            </w:pPr>
            <w:r w:rsidRPr="0078259C">
              <w:rPr>
                <w:rFonts w:ascii="Calibri" w:eastAsia="Times New Roman" w:hAnsi="Calibri" w:cs="Calibri"/>
                <w:sz w:val="18"/>
                <w:szCs w:val="18"/>
                <w:lang w:eastAsia="hr-HR"/>
              </w:rPr>
              <w:t>0</w:t>
            </w:r>
          </w:p>
        </w:tc>
        <w:tc>
          <w:tcPr>
            <w:tcW w:w="425" w:type="dxa"/>
            <w:gridSpan w:val="2"/>
            <w:tcBorders>
              <w:top w:val="nil"/>
              <w:left w:val="nil"/>
              <w:bottom w:val="single" w:sz="4" w:space="0" w:color="auto"/>
              <w:right w:val="single" w:sz="4" w:space="0" w:color="auto"/>
            </w:tcBorders>
            <w:shd w:val="clear" w:color="000000" w:fill="66FFCC"/>
            <w:noWrap/>
            <w:vAlign w:val="center"/>
            <w:hideMark/>
          </w:tcPr>
          <w:p w14:paraId="7277FDAA" w14:textId="77777777" w:rsidR="0078259C" w:rsidRPr="0078259C" w:rsidRDefault="0078259C" w:rsidP="0078259C">
            <w:pPr>
              <w:spacing w:after="0" w:line="240" w:lineRule="auto"/>
              <w:jc w:val="right"/>
              <w:rPr>
                <w:rFonts w:ascii="Calibri" w:eastAsia="Times New Roman" w:hAnsi="Calibri" w:cs="Calibri"/>
                <w:sz w:val="18"/>
                <w:szCs w:val="18"/>
                <w:lang w:eastAsia="hr-HR"/>
              </w:rPr>
            </w:pPr>
            <w:r w:rsidRPr="0078259C">
              <w:rPr>
                <w:rFonts w:ascii="Calibri" w:eastAsia="Times New Roman" w:hAnsi="Calibri" w:cs="Calibri"/>
                <w:sz w:val="18"/>
                <w:szCs w:val="18"/>
                <w:lang w:eastAsia="hr-HR"/>
              </w:rPr>
              <w:t>0</w:t>
            </w:r>
          </w:p>
        </w:tc>
        <w:tc>
          <w:tcPr>
            <w:tcW w:w="437" w:type="dxa"/>
            <w:tcBorders>
              <w:top w:val="nil"/>
              <w:left w:val="nil"/>
              <w:bottom w:val="single" w:sz="4" w:space="0" w:color="auto"/>
              <w:right w:val="single" w:sz="4" w:space="0" w:color="auto"/>
            </w:tcBorders>
            <w:shd w:val="clear" w:color="000000" w:fill="66FFCC"/>
            <w:noWrap/>
            <w:vAlign w:val="center"/>
            <w:hideMark/>
          </w:tcPr>
          <w:p w14:paraId="004B5F11" w14:textId="77777777" w:rsidR="0078259C" w:rsidRPr="0078259C" w:rsidRDefault="0078259C" w:rsidP="0078259C">
            <w:pPr>
              <w:spacing w:after="0" w:line="240" w:lineRule="auto"/>
              <w:jc w:val="right"/>
              <w:rPr>
                <w:rFonts w:ascii="Calibri" w:eastAsia="Times New Roman" w:hAnsi="Calibri" w:cs="Calibri"/>
                <w:sz w:val="18"/>
                <w:szCs w:val="18"/>
                <w:lang w:eastAsia="hr-HR"/>
              </w:rPr>
            </w:pPr>
            <w:r w:rsidRPr="0078259C">
              <w:rPr>
                <w:rFonts w:ascii="Calibri" w:eastAsia="Times New Roman" w:hAnsi="Calibri" w:cs="Calibri"/>
                <w:sz w:val="18"/>
                <w:szCs w:val="18"/>
                <w:lang w:eastAsia="hr-HR"/>
              </w:rPr>
              <w:t>4</w:t>
            </w:r>
          </w:p>
        </w:tc>
        <w:tc>
          <w:tcPr>
            <w:tcW w:w="556" w:type="dxa"/>
            <w:tcBorders>
              <w:top w:val="nil"/>
              <w:left w:val="nil"/>
              <w:bottom w:val="single" w:sz="4" w:space="0" w:color="auto"/>
              <w:right w:val="single" w:sz="4" w:space="0" w:color="auto"/>
            </w:tcBorders>
            <w:shd w:val="clear" w:color="000000" w:fill="66FFCC"/>
            <w:noWrap/>
            <w:vAlign w:val="center"/>
            <w:hideMark/>
          </w:tcPr>
          <w:p w14:paraId="668ACFD6" w14:textId="77777777" w:rsidR="0078259C" w:rsidRPr="0078259C" w:rsidRDefault="0078259C" w:rsidP="0078259C">
            <w:pPr>
              <w:spacing w:after="0" w:line="240" w:lineRule="auto"/>
              <w:jc w:val="right"/>
              <w:rPr>
                <w:rFonts w:ascii="Calibri" w:eastAsia="Times New Roman" w:hAnsi="Calibri" w:cs="Calibri"/>
                <w:sz w:val="18"/>
                <w:szCs w:val="18"/>
                <w:lang w:eastAsia="hr-HR"/>
              </w:rPr>
            </w:pPr>
            <w:r w:rsidRPr="0078259C">
              <w:rPr>
                <w:rFonts w:ascii="Calibri" w:eastAsia="Times New Roman" w:hAnsi="Calibri" w:cs="Calibri"/>
                <w:sz w:val="18"/>
                <w:szCs w:val="18"/>
                <w:lang w:eastAsia="hr-HR"/>
              </w:rPr>
              <w:t>0</w:t>
            </w:r>
          </w:p>
        </w:tc>
        <w:tc>
          <w:tcPr>
            <w:tcW w:w="425" w:type="dxa"/>
            <w:tcBorders>
              <w:top w:val="nil"/>
              <w:left w:val="nil"/>
              <w:bottom w:val="single" w:sz="4" w:space="0" w:color="auto"/>
              <w:right w:val="single" w:sz="4" w:space="0" w:color="auto"/>
            </w:tcBorders>
            <w:shd w:val="clear" w:color="000000" w:fill="66FFCC"/>
            <w:noWrap/>
            <w:vAlign w:val="center"/>
            <w:hideMark/>
          </w:tcPr>
          <w:p w14:paraId="76543B94" w14:textId="77777777" w:rsidR="0078259C" w:rsidRPr="0078259C" w:rsidRDefault="0078259C" w:rsidP="0078259C">
            <w:pPr>
              <w:spacing w:after="0" w:line="240" w:lineRule="auto"/>
              <w:jc w:val="right"/>
              <w:rPr>
                <w:rFonts w:ascii="Calibri" w:eastAsia="Times New Roman" w:hAnsi="Calibri" w:cs="Calibri"/>
                <w:sz w:val="18"/>
                <w:szCs w:val="18"/>
                <w:lang w:eastAsia="hr-HR"/>
              </w:rPr>
            </w:pPr>
            <w:r w:rsidRPr="0078259C">
              <w:rPr>
                <w:rFonts w:ascii="Calibri" w:eastAsia="Times New Roman" w:hAnsi="Calibri" w:cs="Calibri"/>
                <w:sz w:val="18"/>
                <w:szCs w:val="18"/>
                <w:lang w:eastAsia="hr-HR"/>
              </w:rPr>
              <w:t>4</w:t>
            </w:r>
          </w:p>
        </w:tc>
        <w:tc>
          <w:tcPr>
            <w:tcW w:w="567" w:type="dxa"/>
            <w:gridSpan w:val="2"/>
            <w:tcBorders>
              <w:top w:val="nil"/>
              <w:left w:val="nil"/>
              <w:bottom w:val="single" w:sz="4" w:space="0" w:color="auto"/>
              <w:right w:val="single" w:sz="4" w:space="0" w:color="auto"/>
            </w:tcBorders>
            <w:shd w:val="clear" w:color="000000" w:fill="FFFF00"/>
            <w:vAlign w:val="center"/>
            <w:hideMark/>
          </w:tcPr>
          <w:p w14:paraId="187E8824" w14:textId="77777777" w:rsidR="0078259C" w:rsidRPr="0078259C" w:rsidRDefault="0078259C" w:rsidP="0078259C">
            <w:pPr>
              <w:spacing w:after="0" w:line="240" w:lineRule="auto"/>
              <w:jc w:val="right"/>
              <w:rPr>
                <w:rFonts w:ascii="Calibri" w:eastAsia="Times New Roman" w:hAnsi="Calibri" w:cs="Calibri"/>
                <w:sz w:val="18"/>
                <w:szCs w:val="18"/>
                <w:lang w:eastAsia="hr-HR"/>
              </w:rPr>
            </w:pPr>
            <w:r w:rsidRPr="0078259C">
              <w:rPr>
                <w:rFonts w:ascii="Calibri" w:eastAsia="Times New Roman" w:hAnsi="Calibri" w:cs="Calibri"/>
                <w:sz w:val="18"/>
                <w:szCs w:val="18"/>
                <w:lang w:eastAsia="hr-HR"/>
              </w:rPr>
              <w:t>5</w:t>
            </w:r>
          </w:p>
        </w:tc>
        <w:tc>
          <w:tcPr>
            <w:tcW w:w="578" w:type="dxa"/>
            <w:gridSpan w:val="2"/>
            <w:tcBorders>
              <w:top w:val="nil"/>
              <w:left w:val="nil"/>
              <w:bottom w:val="single" w:sz="4" w:space="0" w:color="auto"/>
              <w:right w:val="single" w:sz="4" w:space="0" w:color="auto"/>
            </w:tcBorders>
            <w:shd w:val="clear" w:color="000000" w:fill="FFFF99"/>
            <w:vAlign w:val="center"/>
            <w:hideMark/>
          </w:tcPr>
          <w:p w14:paraId="49398BCB" w14:textId="77777777" w:rsidR="0078259C" w:rsidRPr="0078259C" w:rsidRDefault="0078259C" w:rsidP="0078259C">
            <w:pPr>
              <w:spacing w:after="0" w:line="240" w:lineRule="auto"/>
              <w:jc w:val="right"/>
              <w:rPr>
                <w:rFonts w:ascii="Calibri" w:eastAsia="Times New Roman" w:hAnsi="Calibri" w:cs="Calibri"/>
                <w:sz w:val="18"/>
                <w:szCs w:val="18"/>
                <w:lang w:eastAsia="hr-HR"/>
              </w:rPr>
            </w:pPr>
            <w:r w:rsidRPr="0078259C">
              <w:rPr>
                <w:rFonts w:ascii="Calibri" w:eastAsia="Times New Roman" w:hAnsi="Calibri" w:cs="Calibri"/>
                <w:sz w:val="18"/>
                <w:szCs w:val="18"/>
                <w:lang w:eastAsia="hr-HR"/>
              </w:rPr>
              <w:t>1</w:t>
            </w:r>
          </w:p>
        </w:tc>
        <w:tc>
          <w:tcPr>
            <w:tcW w:w="839" w:type="dxa"/>
            <w:gridSpan w:val="2"/>
            <w:tcBorders>
              <w:top w:val="nil"/>
              <w:left w:val="nil"/>
              <w:bottom w:val="single" w:sz="4" w:space="0" w:color="auto"/>
              <w:right w:val="single" w:sz="4" w:space="0" w:color="auto"/>
            </w:tcBorders>
            <w:shd w:val="clear" w:color="000000" w:fill="FF9900"/>
            <w:vAlign w:val="center"/>
            <w:hideMark/>
          </w:tcPr>
          <w:p w14:paraId="3FB4C5DC" w14:textId="77777777" w:rsidR="0078259C" w:rsidRPr="0078259C" w:rsidRDefault="0078259C" w:rsidP="0078259C">
            <w:pPr>
              <w:spacing w:after="0" w:line="240" w:lineRule="auto"/>
              <w:jc w:val="right"/>
              <w:rPr>
                <w:rFonts w:ascii="Calibri" w:eastAsia="Times New Roman" w:hAnsi="Calibri" w:cs="Calibri"/>
                <w:sz w:val="18"/>
                <w:szCs w:val="18"/>
                <w:lang w:eastAsia="hr-HR"/>
              </w:rPr>
            </w:pPr>
            <w:r w:rsidRPr="0078259C">
              <w:rPr>
                <w:rFonts w:ascii="Calibri" w:eastAsia="Times New Roman" w:hAnsi="Calibri" w:cs="Calibri"/>
                <w:sz w:val="18"/>
                <w:szCs w:val="18"/>
                <w:lang w:eastAsia="hr-HR"/>
              </w:rPr>
              <w:t>4</w:t>
            </w:r>
          </w:p>
        </w:tc>
        <w:tc>
          <w:tcPr>
            <w:tcW w:w="426" w:type="dxa"/>
            <w:gridSpan w:val="2"/>
            <w:tcBorders>
              <w:top w:val="nil"/>
              <w:left w:val="nil"/>
              <w:bottom w:val="single" w:sz="4" w:space="0" w:color="auto"/>
              <w:right w:val="single" w:sz="4" w:space="0" w:color="auto"/>
            </w:tcBorders>
            <w:shd w:val="clear" w:color="000000" w:fill="CCFFFF"/>
            <w:vAlign w:val="center"/>
            <w:hideMark/>
          </w:tcPr>
          <w:p w14:paraId="15175DF8" w14:textId="77777777" w:rsidR="0078259C" w:rsidRPr="0078259C" w:rsidRDefault="0078259C" w:rsidP="0078259C">
            <w:pPr>
              <w:spacing w:after="0" w:line="240" w:lineRule="auto"/>
              <w:jc w:val="right"/>
              <w:rPr>
                <w:rFonts w:ascii="Calibri" w:eastAsia="Times New Roman" w:hAnsi="Calibri" w:cs="Calibri"/>
                <w:sz w:val="18"/>
                <w:szCs w:val="18"/>
                <w:lang w:eastAsia="hr-HR"/>
              </w:rPr>
            </w:pPr>
            <w:r w:rsidRPr="0078259C">
              <w:rPr>
                <w:rFonts w:ascii="Calibri" w:eastAsia="Times New Roman" w:hAnsi="Calibri" w:cs="Calibri"/>
                <w:sz w:val="18"/>
                <w:szCs w:val="18"/>
                <w:lang w:eastAsia="hr-HR"/>
              </w:rPr>
              <w:t>0</w:t>
            </w:r>
          </w:p>
        </w:tc>
        <w:tc>
          <w:tcPr>
            <w:tcW w:w="446" w:type="dxa"/>
            <w:tcBorders>
              <w:top w:val="nil"/>
              <w:left w:val="nil"/>
              <w:bottom w:val="single" w:sz="4" w:space="0" w:color="auto"/>
              <w:right w:val="single" w:sz="4" w:space="0" w:color="auto"/>
            </w:tcBorders>
            <w:shd w:val="clear" w:color="000000" w:fill="CCFFFF"/>
            <w:vAlign w:val="center"/>
            <w:hideMark/>
          </w:tcPr>
          <w:p w14:paraId="3C7CACCA" w14:textId="77777777" w:rsidR="0078259C" w:rsidRPr="0078259C" w:rsidRDefault="0078259C" w:rsidP="0078259C">
            <w:pPr>
              <w:spacing w:after="0" w:line="240" w:lineRule="auto"/>
              <w:jc w:val="right"/>
              <w:rPr>
                <w:rFonts w:ascii="Calibri" w:eastAsia="Times New Roman" w:hAnsi="Calibri" w:cs="Calibri"/>
                <w:sz w:val="18"/>
                <w:szCs w:val="18"/>
                <w:lang w:eastAsia="hr-HR"/>
              </w:rPr>
            </w:pPr>
            <w:r w:rsidRPr="0078259C">
              <w:rPr>
                <w:rFonts w:ascii="Calibri" w:eastAsia="Times New Roman" w:hAnsi="Calibri" w:cs="Calibri"/>
                <w:sz w:val="18"/>
                <w:szCs w:val="18"/>
                <w:lang w:eastAsia="hr-HR"/>
              </w:rPr>
              <w:t>3</w:t>
            </w:r>
          </w:p>
        </w:tc>
        <w:tc>
          <w:tcPr>
            <w:tcW w:w="404" w:type="dxa"/>
            <w:tcBorders>
              <w:top w:val="nil"/>
              <w:left w:val="nil"/>
              <w:bottom w:val="single" w:sz="4" w:space="0" w:color="auto"/>
              <w:right w:val="single" w:sz="4" w:space="0" w:color="auto"/>
            </w:tcBorders>
            <w:shd w:val="clear" w:color="000000" w:fill="CCFFFF"/>
            <w:noWrap/>
            <w:vAlign w:val="center"/>
            <w:hideMark/>
          </w:tcPr>
          <w:p w14:paraId="15FD95FB" w14:textId="77777777" w:rsidR="0078259C" w:rsidRPr="0078259C" w:rsidRDefault="0078259C" w:rsidP="0078259C">
            <w:pPr>
              <w:spacing w:after="0" w:line="240" w:lineRule="auto"/>
              <w:jc w:val="right"/>
              <w:rPr>
                <w:rFonts w:ascii="Calibri" w:eastAsia="Times New Roman" w:hAnsi="Calibri" w:cs="Calibri"/>
                <w:sz w:val="18"/>
                <w:szCs w:val="18"/>
                <w:lang w:eastAsia="hr-HR"/>
              </w:rPr>
            </w:pPr>
            <w:r w:rsidRPr="0078259C">
              <w:rPr>
                <w:rFonts w:ascii="Calibri" w:eastAsia="Times New Roman" w:hAnsi="Calibri" w:cs="Calibri"/>
                <w:sz w:val="18"/>
                <w:szCs w:val="18"/>
                <w:lang w:eastAsia="hr-HR"/>
              </w:rPr>
              <w:t>1</w:t>
            </w:r>
          </w:p>
        </w:tc>
        <w:tc>
          <w:tcPr>
            <w:tcW w:w="839" w:type="dxa"/>
            <w:gridSpan w:val="2"/>
            <w:tcBorders>
              <w:top w:val="nil"/>
              <w:left w:val="nil"/>
              <w:bottom w:val="single" w:sz="4" w:space="0" w:color="auto"/>
              <w:right w:val="single" w:sz="4" w:space="0" w:color="auto"/>
            </w:tcBorders>
            <w:shd w:val="clear" w:color="000000" w:fill="33CCCC"/>
            <w:noWrap/>
            <w:vAlign w:val="center"/>
            <w:hideMark/>
          </w:tcPr>
          <w:p w14:paraId="3C6F746F" w14:textId="77777777" w:rsidR="0078259C" w:rsidRPr="0078259C" w:rsidRDefault="0078259C" w:rsidP="0078259C">
            <w:pPr>
              <w:spacing w:after="0" w:line="240" w:lineRule="auto"/>
              <w:jc w:val="right"/>
              <w:rPr>
                <w:rFonts w:ascii="Calibri" w:eastAsia="Times New Roman" w:hAnsi="Calibri" w:cs="Calibri"/>
                <w:sz w:val="18"/>
                <w:szCs w:val="18"/>
                <w:lang w:eastAsia="hr-HR"/>
              </w:rPr>
            </w:pPr>
            <w:r w:rsidRPr="0078259C">
              <w:rPr>
                <w:rFonts w:ascii="Calibri" w:eastAsia="Times New Roman" w:hAnsi="Calibri" w:cs="Calibri"/>
                <w:sz w:val="18"/>
                <w:szCs w:val="18"/>
                <w:lang w:eastAsia="hr-HR"/>
              </w:rPr>
              <w:t>4</w:t>
            </w:r>
          </w:p>
        </w:tc>
        <w:tc>
          <w:tcPr>
            <w:tcW w:w="839" w:type="dxa"/>
            <w:tcBorders>
              <w:top w:val="nil"/>
              <w:left w:val="nil"/>
              <w:bottom w:val="single" w:sz="4" w:space="0" w:color="auto"/>
              <w:right w:val="nil"/>
            </w:tcBorders>
            <w:shd w:val="clear" w:color="000000" w:fill="33CCCC"/>
            <w:noWrap/>
            <w:vAlign w:val="center"/>
            <w:hideMark/>
          </w:tcPr>
          <w:p w14:paraId="1AD28D49" w14:textId="77777777" w:rsidR="0078259C" w:rsidRPr="0078259C" w:rsidRDefault="0078259C" w:rsidP="0078259C">
            <w:pPr>
              <w:spacing w:after="0" w:line="240" w:lineRule="auto"/>
              <w:jc w:val="right"/>
              <w:rPr>
                <w:rFonts w:ascii="Calibri" w:eastAsia="Times New Roman" w:hAnsi="Calibri" w:cs="Calibri"/>
                <w:sz w:val="18"/>
                <w:szCs w:val="18"/>
                <w:lang w:eastAsia="hr-HR"/>
              </w:rPr>
            </w:pPr>
            <w:r w:rsidRPr="0078259C">
              <w:rPr>
                <w:rFonts w:ascii="Calibri" w:eastAsia="Times New Roman" w:hAnsi="Calibri" w:cs="Calibri"/>
                <w:sz w:val="18"/>
                <w:szCs w:val="18"/>
                <w:lang w:eastAsia="hr-HR"/>
              </w:rPr>
              <w:t>1</w:t>
            </w:r>
          </w:p>
        </w:tc>
        <w:tc>
          <w:tcPr>
            <w:tcW w:w="236" w:type="dxa"/>
            <w:gridSpan w:val="2"/>
            <w:vAlign w:val="center"/>
            <w:hideMark/>
          </w:tcPr>
          <w:p w14:paraId="1A82DD86" w14:textId="77777777" w:rsidR="0078259C" w:rsidRPr="0078259C" w:rsidRDefault="0078259C" w:rsidP="0078259C">
            <w:pPr>
              <w:spacing w:after="0" w:line="240" w:lineRule="auto"/>
              <w:rPr>
                <w:rFonts w:ascii="Times New Roman" w:eastAsia="Times New Roman" w:hAnsi="Times New Roman" w:cs="Times New Roman"/>
                <w:sz w:val="18"/>
                <w:szCs w:val="18"/>
                <w:lang w:eastAsia="hr-HR"/>
              </w:rPr>
            </w:pPr>
          </w:p>
        </w:tc>
      </w:tr>
      <w:tr w:rsidR="0078259C" w:rsidRPr="0078259C" w14:paraId="34CEC34D" w14:textId="77777777" w:rsidTr="0078259C">
        <w:trPr>
          <w:gridAfter w:val="2"/>
          <w:wAfter w:w="44" w:type="dxa"/>
          <w:trHeight w:val="405"/>
        </w:trPr>
        <w:tc>
          <w:tcPr>
            <w:tcW w:w="1394" w:type="dxa"/>
            <w:tcBorders>
              <w:top w:val="single" w:sz="4" w:space="0" w:color="auto"/>
              <w:left w:val="single" w:sz="8" w:space="0" w:color="auto"/>
              <w:bottom w:val="single" w:sz="4" w:space="0" w:color="auto"/>
              <w:right w:val="single" w:sz="4" w:space="0" w:color="auto"/>
            </w:tcBorders>
            <w:shd w:val="clear" w:color="000000" w:fill="CCFFCC"/>
            <w:vAlign w:val="center"/>
            <w:hideMark/>
          </w:tcPr>
          <w:p w14:paraId="24EA3953" w14:textId="77777777" w:rsidR="0078259C" w:rsidRPr="0078259C" w:rsidRDefault="0078259C" w:rsidP="0078259C">
            <w:pPr>
              <w:spacing w:after="0" w:line="240" w:lineRule="auto"/>
              <w:jc w:val="center"/>
              <w:rPr>
                <w:rFonts w:ascii="Calibri" w:eastAsia="Times New Roman" w:hAnsi="Calibri" w:cs="Calibri"/>
                <w:sz w:val="18"/>
                <w:szCs w:val="18"/>
                <w:lang w:eastAsia="hr-HR"/>
              </w:rPr>
            </w:pPr>
            <w:r w:rsidRPr="0078259C">
              <w:rPr>
                <w:rFonts w:ascii="Calibri" w:eastAsia="Times New Roman" w:hAnsi="Calibri" w:cs="Calibri"/>
                <w:sz w:val="18"/>
                <w:szCs w:val="18"/>
                <w:lang w:eastAsia="hr-HR"/>
              </w:rPr>
              <w:t>Nacionalno podrijetlo</w:t>
            </w:r>
          </w:p>
        </w:tc>
        <w:tc>
          <w:tcPr>
            <w:tcW w:w="575" w:type="dxa"/>
            <w:tcBorders>
              <w:top w:val="nil"/>
              <w:left w:val="nil"/>
              <w:bottom w:val="single" w:sz="4" w:space="0" w:color="auto"/>
              <w:right w:val="single" w:sz="4" w:space="0" w:color="auto"/>
            </w:tcBorders>
            <w:shd w:val="clear" w:color="000000" w:fill="CCFFCC"/>
            <w:vAlign w:val="center"/>
            <w:hideMark/>
          </w:tcPr>
          <w:p w14:paraId="48A5F600" w14:textId="77777777" w:rsidR="0078259C" w:rsidRPr="0078259C" w:rsidRDefault="0078259C" w:rsidP="0078259C">
            <w:pPr>
              <w:spacing w:after="0" w:line="240" w:lineRule="auto"/>
              <w:jc w:val="right"/>
              <w:rPr>
                <w:rFonts w:ascii="Calibri" w:eastAsia="Times New Roman" w:hAnsi="Calibri" w:cs="Calibri"/>
                <w:sz w:val="18"/>
                <w:szCs w:val="18"/>
                <w:lang w:eastAsia="hr-HR"/>
              </w:rPr>
            </w:pPr>
            <w:r w:rsidRPr="0078259C">
              <w:rPr>
                <w:rFonts w:ascii="Calibri" w:eastAsia="Times New Roman" w:hAnsi="Calibri" w:cs="Calibri"/>
                <w:sz w:val="18"/>
                <w:szCs w:val="18"/>
                <w:lang w:eastAsia="hr-HR"/>
              </w:rPr>
              <w:t>28</w:t>
            </w:r>
          </w:p>
        </w:tc>
        <w:tc>
          <w:tcPr>
            <w:tcW w:w="488" w:type="dxa"/>
            <w:tcBorders>
              <w:top w:val="nil"/>
              <w:left w:val="nil"/>
              <w:bottom w:val="single" w:sz="4" w:space="0" w:color="auto"/>
              <w:right w:val="single" w:sz="4" w:space="0" w:color="auto"/>
            </w:tcBorders>
            <w:shd w:val="clear" w:color="000000" w:fill="FFCC99"/>
            <w:noWrap/>
            <w:vAlign w:val="center"/>
            <w:hideMark/>
          </w:tcPr>
          <w:p w14:paraId="21DB3777" w14:textId="77777777" w:rsidR="0078259C" w:rsidRPr="0078259C" w:rsidRDefault="0078259C" w:rsidP="0078259C">
            <w:pPr>
              <w:spacing w:after="0" w:line="240" w:lineRule="auto"/>
              <w:jc w:val="right"/>
              <w:rPr>
                <w:rFonts w:ascii="Calibri" w:eastAsia="Times New Roman" w:hAnsi="Calibri" w:cs="Calibri"/>
                <w:sz w:val="18"/>
                <w:szCs w:val="18"/>
                <w:lang w:eastAsia="hr-HR"/>
              </w:rPr>
            </w:pPr>
            <w:r w:rsidRPr="0078259C">
              <w:rPr>
                <w:rFonts w:ascii="Calibri" w:eastAsia="Times New Roman" w:hAnsi="Calibri" w:cs="Calibri"/>
                <w:sz w:val="18"/>
                <w:szCs w:val="18"/>
                <w:lang w:eastAsia="hr-HR"/>
              </w:rPr>
              <w:t>44</w:t>
            </w:r>
          </w:p>
        </w:tc>
        <w:tc>
          <w:tcPr>
            <w:tcW w:w="500" w:type="dxa"/>
            <w:tcBorders>
              <w:top w:val="nil"/>
              <w:left w:val="nil"/>
              <w:bottom w:val="single" w:sz="4" w:space="0" w:color="auto"/>
              <w:right w:val="single" w:sz="4" w:space="0" w:color="auto"/>
            </w:tcBorders>
            <w:shd w:val="clear" w:color="000000" w:fill="FFCC99"/>
            <w:noWrap/>
            <w:vAlign w:val="center"/>
            <w:hideMark/>
          </w:tcPr>
          <w:p w14:paraId="71EBA56C" w14:textId="77777777" w:rsidR="0078259C" w:rsidRPr="0078259C" w:rsidRDefault="0078259C" w:rsidP="0078259C">
            <w:pPr>
              <w:spacing w:after="0" w:line="240" w:lineRule="auto"/>
              <w:jc w:val="right"/>
              <w:rPr>
                <w:rFonts w:ascii="Calibri" w:eastAsia="Times New Roman" w:hAnsi="Calibri" w:cs="Calibri"/>
                <w:sz w:val="18"/>
                <w:szCs w:val="18"/>
                <w:lang w:eastAsia="hr-HR"/>
              </w:rPr>
            </w:pPr>
            <w:r w:rsidRPr="0078259C">
              <w:rPr>
                <w:rFonts w:ascii="Calibri" w:eastAsia="Times New Roman" w:hAnsi="Calibri" w:cs="Calibri"/>
                <w:sz w:val="18"/>
                <w:szCs w:val="18"/>
                <w:lang w:eastAsia="hr-HR"/>
              </w:rPr>
              <w:t>22</w:t>
            </w:r>
          </w:p>
        </w:tc>
        <w:tc>
          <w:tcPr>
            <w:tcW w:w="435" w:type="dxa"/>
            <w:tcBorders>
              <w:top w:val="nil"/>
              <w:left w:val="nil"/>
              <w:bottom w:val="single" w:sz="4" w:space="0" w:color="auto"/>
              <w:right w:val="single" w:sz="4" w:space="0" w:color="auto"/>
            </w:tcBorders>
            <w:shd w:val="clear" w:color="000000" w:fill="CCFFFF"/>
            <w:vAlign w:val="center"/>
            <w:hideMark/>
          </w:tcPr>
          <w:p w14:paraId="78360E3A" w14:textId="77777777" w:rsidR="0078259C" w:rsidRPr="0078259C" w:rsidRDefault="0078259C" w:rsidP="0078259C">
            <w:pPr>
              <w:spacing w:after="0" w:line="240" w:lineRule="auto"/>
              <w:jc w:val="right"/>
              <w:rPr>
                <w:rFonts w:ascii="Calibri" w:eastAsia="Times New Roman" w:hAnsi="Calibri" w:cs="Calibri"/>
                <w:sz w:val="18"/>
                <w:szCs w:val="18"/>
                <w:lang w:eastAsia="hr-HR"/>
              </w:rPr>
            </w:pPr>
            <w:r w:rsidRPr="0078259C">
              <w:rPr>
                <w:rFonts w:ascii="Calibri" w:eastAsia="Times New Roman" w:hAnsi="Calibri" w:cs="Calibri"/>
                <w:sz w:val="18"/>
                <w:szCs w:val="18"/>
                <w:lang w:eastAsia="hr-HR"/>
              </w:rPr>
              <w:t>20</w:t>
            </w:r>
          </w:p>
        </w:tc>
        <w:tc>
          <w:tcPr>
            <w:tcW w:w="426" w:type="dxa"/>
            <w:tcBorders>
              <w:top w:val="nil"/>
              <w:left w:val="nil"/>
              <w:bottom w:val="single" w:sz="4" w:space="0" w:color="auto"/>
              <w:right w:val="single" w:sz="4" w:space="0" w:color="auto"/>
            </w:tcBorders>
            <w:shd w:val="clear" w:color="000000" w:fill="CCFFFF"/>
            <w:noWrap/>
            <w:vAlign w:val="center"/>
            <w:hideMark/>
          </w:tcPr>
          <w:p w14:paraId="4CCCB9C9" w14:textId="77777777" w:rsidR="0078259C" w:rsidRPr="0078259C" w:rsidRDefault="0078259C" w:rsidP="0078259C">
            <w:pPr>
              <w:spacing w:after="0" w:line="240" w:lineRule="auto"/>
              <w:jc w:val="right"/>
              <w:rPr>
                <w:rFonts w:ascii="Calibri" w:eastAsia="Times New Roman" w:hAnsi="Calibri" w:cs="Calibri"/>
                <w:sz w:val="18"/>
                <w:szCs w:val="18"/>
                <w:lang w:eastAsia="hr-HR"/>
              </w:rPr>
            </w:pPr>
            <w:r w:rsidRPr="0078259C">
              <w:rPr>
                <w:rFonts w:ascii="Calibri" w:eastAsia="Times New Roman" w:hAnsi="Calibri" w:cs="Calibri"/>
                <w:sz w:val="18"/>
                <w:szCs w:val="18"/>
                <w:lang w:eastAsia="hr-HR"/>
              </w:rPr>
              <w:t>29</w:t>
            </w:r>
          </w:p>
        </w:tc>
        <w:tc>
          <w:tcPr>
            <w:tcW w:w="425" w:type="dxa"/>
            <w:tcBorders>
              <w:top w:val="nil"/>
              <w:left w:val="nil"/>
              <w:bottom w:val="single" w:sz="4" w:space="0" w:color="auto"/>
              <w:right w:val="single" w:sz="4" w:space="0" w:color="auto"/>
            </w:tcBorders>
            <w:shd w:val="clear" w:color="000000" w:fill="FFFF99"/>
            <w:noWrap/>
            <w:vAlign w:val="center"/>
            <w:hideMark/>
          </w:tcPr>
          <w:p w14:paraId="65003174" w14:textId="77777777" w:rsidR="0078259C" w:rsidRPr="0078259C" w:rsidRDefault="0078259C" w:rsidP="0078259C">
            <w:pPr>
              <w:spacing w:after="0" w:line="240" w:lineRule="auto"/>
              <w:jc w:val="right"/>
              <w:rPr>
                <w:rFonts w:ascii="Calibri" w:eastAsia="Times New Roman" w:hAnsi="Calibri" w:cs="Calibri"/>
                <w:sz w:val="18"/>
                <w:szCs w:val="18"/>
                <w:lang w:eastAsia="hr-HR"/>
              </w:rPr>
            </w:pPr>
            <w:r w:rsidRPr="0078259C">
              <w:rPr>
                <w:rFonts w:ascii="Calibri" w:eastAsia="Times New Roman" w:hAnsi="Calibri" w:cs="Calibri"/>
                <w:sz w:val="18"/>
                <w:szCs w:val="18"/>
                <w:lang w:eastAsia="hr-HR"/>
              </w:rPr>
              <w:t>42</w:t>
            </w:r>
          </w:p>
        </w:tc>
        <w:tc>
          <w:tcPr>
            <w:tcW w:w="567" w:type="dxa"/>
            <w:tcBorders>
              <w:top w:val="nil"/>
              <w:left w:val="nil"/>
              <w:bottom w:val="single" w:sz="4" w:space="0" w:color="auto"/>
              <w:right w:val="single" w:sz="4" w:space="0" w:color="auto"/>
            </w:tcBorders>
            <w:shd w:val="clear" w:color="000000" w:fill="FFFF99"/>
            <w:noWrap/>
            <w:vAlign w:val="center"/>
            <w:hideMark/>
          </w:tcPr>
          <w:p w14:paraId="53761C63" w14:textId="77777777" w:rsidR="0078259C" w:rsidRPr="0078259C" w:rsidRDefault="0078259C" w:rsidP="0078259C">
            <w:pPr>
              <w:spacing w:after="0" w:line="240" w:lineRule="auto"/>
              <w:jc w:val="right"/>
              <w:rPr>
                <w:rFonts w:ascii="Calibri" w:eastAsia="Times New Roman" w:hAnsi="Calibri" w:cs="Calibri"/>
                <w:sz w:val="18"/>
                <w:szCs w:val="18"/>
                <w:lang w:eastAsia="hr-HR"/>
              </w:rPr>
            </w:pPr>
            <w:r w:rsidRPr="0078259C">
              <w:rPr>
                <w:rFonts w:ascii="Calibri" w:eastAsia="Times New Roman" w:hAnsi="Calibri" w:cs="Calibri"/>
                <w:sz w:val="18"/>
                <w:szCs w:val="18"/>
                <w:lang w:eastAsia="hr-HR"/>
              </w:rPr>
              <w:t>0</w:t>
            </w:r>
          </w:p>
        </w:tc>
        <w:tc>
          <w:tcPr>
            <w:tcW w:w="567" w:type="dxa"/>
            <w:tcBorders>
              <w:top w:val="nil"/>
              <w:left w:val="nil"/>
              <w:bottom w:val="single" w:sz="4" w:space="0" w:color="auto"/>
              <w:right w:val="single" w:sz="4" w:space="0" w:color="auto"/>
            </w:tcBorders>
            <w:shd w:val="clear" w:color="000000" w:fill="FFFF99"/>
            <w:noWrap/>
            <w:vAlign w:val="center"/>
            <w:hideMark/>
          </w:tcPr>
          <w:p w14:paraId="752BD55B" w14:textId="77777777" w:rsidR="0078259C" w:rsidRPr="0078259C" w:rsidRDefault="0078259C" w:rsidP="0078259C">
            <w:pPr>
              <w:spacing w:after="0" w:line="240" w:lineRule="auto"/>
              <w:jc w:val="right"/>
              <w:rPr>
                <w:rFonts w:ascii="Calibri" w:eastAsia="Times New Roman" w:hAnsi="Calibri" w:cs="Calibri"/>
                <w:sz w:val="18"/>
                <w:szCs w:val="18"/>
                <w:lang w:eastAsia="hr-HR"/>
              </w:rPr>
            </w:pPr>
            <w:r w:rsidRPr="0078259C">
              <w:rPr>
                <w:rFonts w:ascii="Calibri" w:eastAsia="Times New Roman" w:hAnsi="Calibri" w:cs="Calibri"/>
                <w:sz w:val="18"/>
                <w:szCs w:val="18"/>
                <w:lang w:eastAsia="hr-HR"/>
              </w:rPr>
              <w:t>0</w:t>
            </w:r>
          </w:p>
        </w:tc>
        <w:tc>
          <w:tcPr>
            <w:tcW w:w="437" w:type="dxa"/>
            <w:tcBorders>
              <w:top w:val="nil"/>
              <w:left w:val="nil"/>
              <w:bottom w:val="single" w:sz="4" w:space="0" w:color="auto"/>
              <w:right w:val="single" w:sz="4" w:space="0" w:color="auto"/>
            </w:tcBorders>
            <w:shd w:val="clear" w:color="000000" w:fill="FFFF99"/>
            <w:noWrap/>
            <w:vAlign w:val="center"/>
            <w:hideMark/>
          </w:tcPr>
          <w:p w14:paraId="2DA50AA2" w14:textId="77777777" w:rsidR="0078259C" w:rsidRPr="0078259C" w:rsidRDefault="0078259C" w:rsidP="0078259C">
            <w:pPr>
              <w:spacing w:after="0" w:line="240" w:lineRule="auto"/>
              <w:jc w:val="right"/>
              <w:rPr>
                <w:rFonts w:ascii="Calibri" w:eastAsia="Times New Roman" w:hAnsi="Calibri" w:cs="Calibri"/>
                <w:sz w:val="18"/>
                <w:szCs w:val="18"/>
                <w:lang w:eastAsia="hr-HR"/>
              </w:rPr>
            </w:pPr>
            <w:r w:rsidRPr="0078259C">
              <w:rPr>
                <w:rFonts w:ascii="Calibri" w:eastAsia="Times New Roman" w:hAnsi="Calibri" w:cs="Calibri"/>
                <w:sz w:val="18"/>
                <w:szCs w:val="18"/>
                <w:lang w:eastAsia="hr-HR"/>
              </w:rPr>
              <w:t>0</w:t>
            </w:r>
          </w:p>
        </w:tc>
        <w:tc>
          <w:tcPr>
            <w:tcW w:w="413" w:type="dxa"/>
            <w:tcBorders>
              <w:top w:val="nil"/>
              <w:left w:val="nil"/>
              <w:bottom w:val="single" w:sz="4" w:space="0" w:color="auto"/>
              <w:right w:val="single" w:sz="4" w:space="0" w:color="auto"/>
            </w:tcBorders>
            <w:shd w:val="clear" w:color="000000" w:fill="FFFF99"/>
            <w:noWrap/>
            <w:vAlign w:val="center"/>
            <w:hideMark/>
          </w:tcPr>
          <w:p w14:paraId="2F95A505" w14:textId="77777777" w:rsidR="0078259C" w:rsidRPr="0078259C" w:rsidRDefault="0078259C" w:rsidP="0078259C">
            <w:pPr>
              <w:spacing w:after="0" w:line="240" w:lineRule="auto"/>
              <w:jc w:val="right"/>
              <w:rPr>
                <w:rFonts w:ascii="Calibri" w:eastAsia="Times New Roman" w:hAnsi="Calibri" w:cs="Calibri"/>
                <w:sz w:val="18"/>
                <w:szCs w:val="18"/>
                <w:lang w:eastAsia="hr-HR"/>
              </w:rPr>
            </w:pPr>
            <w:r w:rsidRPr="0078259C">
              <w:rPr>
                <w:rFonts w:ascii="Calibri" w:eastAsia="Times New Roman" w:hAnsi="Calibri" w:cs="Calibri"/>
                <w:sz w:val="18"/>
                <w:szCs w:val="18"/>
                <w:lang w:eastAsia="hr-HR"/>
              </w:rPr>
              <w:t>4</w:t>
            </w:r>
          </w:p>
        </w:tc>
        <w:tc>
          <w:tcPr>
            <w:tcW w:w="283" w:type="dxa"/>
            <w:gridSpan w:val="2"/>
            <w:tcBorders>
              <w:top w:val="nil"/>
              <w:left w:val="nil"/>
              <w:bottom w:val="single" w:sz="4" w:space="0" w:color="auto"/>
              <w:right w:val="single" w:sz="4" w:space="0" w:color="auto"/>
            </w:tcBorders>
            <w:shd w:val="clear" w:color="000000" w:fill="FF9900"/>
            <w:noWrap/>
            <w:vAlign w:val="center"/>
            <w:hideMark/>
          </w:tcPr>
          <w:p w14:paraId="1AE88530" w14:textId="77777777" w:rsidR="0078259C" w:rsidRPr="0078259C" w:rsidRDefault="0078259C" w:rsidP="0078259C">
            <w:pPr>
              <w:spacing w:after="0" w:line="240" w:lineRule="auto"/>
              <w:jc w:val="right"/>
              <w:rPr>
                <w:rFonts w:ascii="Calibri" w:eastAsia="Times New Roman" w:hAnsi="Calibri" w:cs="Calibri"/>
                <w:sz w:val="18"/>
                <w:szCs w:val="18"/>
                <w:lang w:eastAsia="hr-HR"/>
              </w:rPr>
            </w:pPr>
            <w:r w:rsidRPr="0078259C">
              <w:rPr>
                <w:rFonts w:ascii="Calibri" w:eastAsia="Times New Roman" w:hAnsi="Calibri" w:cs="Calibri"/>
                <w:sz w:val="18"/>
                <w:szCs w:val="18"/>
                <w:lang w:eastAsia="hr-HR"/>
              </w:rPr>
              <w:t>17</w:t>
            </w:r>
          </w:p>
        </w:tc>
        <w:tc>
          <w:tcPr>
            <w:tcW w:w="568" w:type="dxa"/>
            <w:tcBorders>
              <w:top w:val="nil"/>
              <w:left w:val="nil"/>
              <w:bottom w:val="single" w:sz="4" w:space="0" w:color="auto"/>
              <w:right w:val="single" w:sz="4" w:space="0" w:color="auto"/>
            </w:tcBorders>
            <w:shd w:val="clear" w:color="000000" w:fill="FF9900"/>
            <w:noWrap/>
            <w:vAlign w:val="center"/>
            <w:hideMark/>
          </w:tcPr>
          <w:p w14:paraId="654A4A24" w14:textId="77777777" w:rsidR="0078259C" w:rsidRPr="0078259C" w:rsidRDefault="0078259C" w:rsidP="0078259C">
            <w:pPr>
              <w:spacing w:after="0" w:line="240" w:lineRule="auto"/>
              <w:jc w:val="right"/>
              <w:rPr>
                <w:rFonts w:ascii="Calibri" w:eastAsia="Times New Roman" w:hAnsi="Calibri" w:cs="Calibri"/>
                <w:sz w:val="18"/>
                <w:szCs w:val="18"/>
                <w:lang w:eastAsia="hr-HR"/>
              </w:rPr>
            </w:pPr>
            <w:r w:rsidRPr="0078259C">
              <w:rPr>
                <w:rFonts w:ascii="Calibri" w:eastAsia="Times New Roman" w:hAnsi="Calibri" w:cs="Calibri"/>
                <w:sz w:val="18"/>
                <w:szCs w:val="18"/>
                <w:lang w:eastAsia="hr-HR"/>
              </w:rPr>
              <w:t>10</w:t>
            </w:r>
          </w:p>
        </w:tc>
        <w:tc>
          <w:tcPr>
            <w:tcW w:w="425" w:type="dxa"/>
            <w:tcBorders>
              <w:top w:val="nil"/>
              <w:left w:val="nil"/>
              <w:bottom w:val="single" w:sz="4" w:space="0" w:color="auto"/>
              <w:right w:val="single" w:sz="4" w:space="0" w:color="auto"/>
            </w:tcBorders>
            <w:shd w:val="clear" w:color="000000" w:fill="FF9900"/>
            <w:noWrap/>
            <w:vAlign w:val="center"/>
            <w:hideMark/>
          </w:tcPr>
          <w:p w14:paraId="6E0B40C2" w14:textId="77777777" w:rsidR="0078259C" w:rsidRPr="0078259C" w:rsidRDefault="0078259C" w:rsidP="0078259C">
            <w:pPr>
              <w:spacing w:after="0" w:line="240" w:lineRule="auto"/>
              <w:jc w:val="right"/>
              <w:rPr>
                <w:rFonts w:ascii="Calibri" w:eastAsia="Times New Roman" w:hAnsi="Calibri" w:cs="Calibri"/>
                <w:sz w:val="18"/>
                <w:szCs w:val="18"/>
                <w:lang w:eastAsia="hr-HR"/>
              </w:rPr>
            </w:pPr>
            <w:r w:rsidRPr="0078259C">
              <w:rPr>
                <w:rFonts w:ascii="Calibri" w:eastAsia="Times New Roman" w:hAnsi="Calibri" w:cs="Calibri"/>
                <w:sz w:val="18"/>
                <w:szCs w:val="18"/>
                <w:lang w:eastAsia="hr-HR"/>
              </w:rPr>
              <w:t>5</w:t>
            </w:r>
          </w:p>
        </w:tc>
        <w:tc>
          <w:tcPr>
            <w:tcW w:w="425" w:type="dxa"/>
            <w:gridSpan w:val="2"/>
            <w:tcBorders>
              <w:top w:val="nil"/>
              <w:left w:val="nil"/>
              <w:bottom w:val="single" w:sz="4" w:space="0" w:color="auto"/>
              <w:right w:val="single" w:sz="4" w:space="0" w:color="auto"/>
            </w:tcBorders>
            <w:shd w:val="clear" w:color="000000" w:fill="66FFCC"/>
            <w:noWrap/>
            <w:vAlign w:val="center"/>
            <w:hideMark/>
          </w:tcPr>
          <w:p w14:paraId="40C05214" w14:textId="77777777" w:rsidR="0078259C" w:rsidRPr="0078259C" w:rsidRDefault="0078259C" w:rsidP="0078259C">
            <w:pPr>
              <w:spacing w:after="0" w:line="240" w:lineRule="auto"/>
              <w:jc w:val="right"/>
              <w:rPr>
                <w:rFonts w:ascii="Calibri" w:eastAsia="Times New Roman" w:hAnsi="Calibri" w:cs="Calibri"/>
                <w:sz w:val="18"/>
                <w:szCs w:val="18"/>
                <w:lang w:eastAsia="hr-HR"/>
              </w:rPr>
            </w:pPr>
            <w:r w:rsidRPr="0078259C">
              <w:rPr>
                <w:rFonts w:ascii="Calibri" w:eastAsia="Times New Roman" w:hAnsi="Calibri" w:cs="Calibri"/>
                <w:sz w:val="18"/>
                <w:szCs w:val="18"/>
                <w:lang w:eastAsia="hr-HR"/>
              </w:rPr>
              <w:t>1</w:t>
            </w:r>
          </w:p>
        </w:tc>
        <w:tc>
          <w:tcPr>
            <w:tcW w:w="437" w:type="dxa"/>
            <w:tcBorders>
              <w:top w:val="nil"/>
              <w:left w:val="nil"/>
              <w:bottom w:val="single" w:sz="4" w:space="0" w:color="auto"/>
              <w:right w:val="single" w:sz="4" w:space="0" w:color="auto"/>
            </w:tcBorders>
            <w:shd w:val="clear" w:color="000000" w:fill="66FFCC"/>
            <w:noWrap/>
            <w:vAlign w:val="center"/>
            <w:hideMark/>
          </w:tcPr>
          <w:p w14:paraId="2D19AFFE" w14:textId="77777777" w:rsidR="0078259C" w:rsidRPr="0078259C" w:rsidRDefault="0078259C" w:rsidP="0078259C">
            <w:pPr>
              <w:spacing w:after="0" w:line="240" w:lineRule="auto"/>
              <w:jc w:val="right"/>
              <w:rPr>
                <w:rFonts w:ascii="Calibri" w:eastAsia="Times New Roman" w:hAnsi="Calibri" w:cs="Calibri"/>
                <w:sz w:val="18"/>
                <w:szCs w:val="18"/>
                <w:lang w:eastAsia="hr-HR"/>
              </w:rPr>
            </w:pPr>
            <w:r w:rsidRPr="0078259C">
              <w:rPr>
                <w:rFonts w:ascii="Calibri" w:eastAsia="Times New Roman" w:hAnsi="Calibri" w:cs="Calibri"/>
                <w:sz w:val="18"/>
                <w:szCs w:val="18"/>
                <w:lang w:eastAsia="hr-HR"/>
              </w:rPr>
              <w:t>16</w:t>
            </w:r>
          </w:p>
        </w:tc>
        <w:tc>
          <w:tcPr>
            <w:tcW w:w="556" w:type="dxa"/>
            <w:tcBorders>
              <w:top w:val="nil"/>
              <w:left w:val="nil"/>
              <w:bottom w:val="single" w:sz="4" w:space="0" w:color="auto"/>
              <w:right w:val="single" w:sz="4" w:space="0" w:color="auto"/>
            </w:tcBorders>
            <w:shd w:val="clear" w:color="000000" w:fill="66FFCC"/>
            <w:noWrap/>
            <w:vAlign w:val="center"/>
            <w:hideMark/>
          </w:tcPr>
          <w:p w14:paraId="4D817E3C" w14:textId="77777777" w:rsidR="0078259C" w:rsidRPr="0078259C" w:rsidRDefault="0078259C" w:rsidP="0078259C">
            <w:pPr>
              <w:spacing w:after="0" w:line="240" w:lineRule="auto"/>
              <w:jc w:val="right"/>
              <w:rPr>
                <w:rFonts w:ascii="Calibri" w:eastAsia="Times New Roman" w:hAnsi="Calibri" w:cs="Calibri"/>
                <w:sz w:val="18"/>
                <w:szCs w:val="18"/>
                <w:lang w:eastAsia="hr-HR"/>
              </w:rPr>
            </w:pPr>
            <w:r w:rsidRPr="0078259C">
              <w:rPr>
                <w:rFonts w:ascii="Calibri" w:eastAsia="Times New Roman" w:hAnsi="Calibri" w:cs="Calibri"/>
                <w:sz w:val="18"/>
                <w:szCs w:val="18"/>
                <w:lang w:eastAsia="hr-HR"/>
              </w:rPr>
              <w:t>1</w:t>
            </w:r>
          </w:p>
        </w:tc>
        <w:tc>
          <w:tcPr>
            <w:tcW w:w="425" w:type="dxa"/>
            <w:tcBorders>
              <w:top w:val="nil"/>
              <w:left w:val="nil"/>
              <w:bottom w:val="single" w:sz="4" w:space="0" w:color="auto"/>
              <w:right w:val="single" w:sz="4" w:space="0" w:color="auto"/>
            </w:tcBorders>
            <w:shd w:val="clear" w:color="000000" w:fill="66FFCC"/>
            <w:noWrap/>
            <w:vAlign w:val="center"/>
            <w:hideMark/>
          </w:tcPr>
          <w:p w14:paraId="7BD4B144" w14:textId="77777777" w:rsidR="0078259C" w:rsidRPr="0078259C" w:rsidRDefault="0078259C" w:rsidP="0078259C">
            <w:pPr>
              <w:spacing w:after="0" w:line="240" w:lineRule="auto"/>
              <w:jc w:val="right"/>
              <w:rPr>
                <w:rFonts w:ascii="Calibri" w:eastAsia="Times New Roman" w:hAnsi="Calibri" w:cs="Calibri"/>
                <w:sz w:val="18"/>
                <w:szCs w:val="18"/>
                <w:lang w:eastAsia="hr-HR"/>
              </w:rPr>
            </w:pPr>
            <w:r w:rsidRPr="0078259C">
              <w:rPr>
                <w:rFonts w:ascii="Calibri" w:eastAsia="Times New Roman" w:hAnsi="Calibri" w:cs="Calibri"/>
                <w:sz w:val="18"/>
                <w:szCs w:val="18"/>
                <w:lang w:eastAsia="hr-HR"/>
              </w:rPr>
              <w:t>18</w:t>
            </w:r>
          </w:p>
        </w:tc>
        <w:tc>
          <w:tcPr>
            <w:tcW w:w="567" w:type="dxa"/>
            <w:gridSpan w:val="2"/>
            <w:tcBorders>
              <w:top w:val="nil"/>
              <w:left w:val="nil"/>
              <w:bottom w:val="single" w:sz="4" w:space="0" w:color="auto"/>
              <w:right w:val="single" w:sz="4" w:space="0" w:color="auto"/>
            </w:tcBorders>
            <w:shd w:val="clear" w:color="000000" w:fill="FFFF00"/>
            <w:vAlign w:val="center"/>
            <w:hideMark/>
          </w:tcPr>
          <w:p w14:paraId="29A16601" w14:textId="77777777" w:rsidR="0078259C" w:rsidRPr="0078259C" w:rsidRDefault="0078259C" w:rsidP="0078259C">
            <w:pPr>
              <w:spacing w:after="0" w:line="240" w:lineRule="auto"/>
              <w:jc w:val="right"/>
              <w:rPr>
                <w:rFonts w:ascii="Calibri" w:eastAsia="Times New Roman" w:hAnsi="Calibri" w:cs="Calibri"/>
                <w:sz w:val="18"/>
                <w:szCs w:val="18"/>
                <w:lang w:eastAsia="hr-HR"/>
              </w:rPr>
            </w:pPr>
            <w:r w:rsidRPr="0078259C">
              <w:rPr>
                <w:rFonts w:ascii="Calibri" w:eastAsia="Times New Roman" w:hAnsi="Calibri" w:cs="Calibri"/>
                <w:sz w:val="18"/>
                <w:szCs w:val="18"/>
                <w:lang w:eastAsia="hr-HR"/>
              </w:rPr>
              <w:t>32</w:t>
            </w:r>
          </w:p>
        </w:tc>
        <w:tc>
          <w:tcPr>
            <w:tcW w:w="578" w:type="dxa"/>
            <w:gridSpan w:val="2"/>
            <w:tcBorders>
              <w:top w:val="nil"/>
              <w:left w:val="nil"/>
              <w:bottom w:val="single" w:sz="4" w:space="0" w:color="auto"/>
              <w:right w:val="single" w:sz="4" w:space="0" w:color="auto"/>
            </w:tcBorders>
            <w:shd w:val="clear" w:color="000000" w:fill="FFFF99"/>
            <w:vAlign w:val="center"/>
            <w:hideMark/>
          </w:tcPr>
          <w:p w14:paraId="2FD30836" w14:textId="77777777" w:rsidR="0078259C" w:rsidRPr="0078259C" w:rsidRDefault="0078259C" w:rsidP="0078259C">
            <w:pPr>
              <w:spacing w:after="0" w:line="240" w:lineRule="auto"/>
              <w:jc w:val="right"/>
              <w:rPr>
                <w:rFonts w:ascii="Calibri" w:eastAsia="Times New Roman" w:hAnsi="Calibri" w:cs="Calibri"/>
                <w:sz w:val="18"/>
                <w:szCs w:val="18"/>
                <w:lang w:eastAsia="hr-HR"/>
              </w:rPr>
            </w:pPr>
            <w:r w:rsidRPr="0078259C">
              <w:rPr>
                <w:rFonts w:ascii="Calibri" w:eastAsia="Times New Roman" w:hAnsi="Calibri" w:cs="Calibri"/>
                <w:sz w:val="18"/>
                <w:szCs w:val="18"/>
                <w:lang w:eastAsia="hr-HR"/>
              </w:rPr>
              <w:t>40</w:t>
            </w:r>
          </w:p>
        </w:tc>
        <w:tc>
          <w:tcPr>
            <w:tcW w:w="839" w:type="dxa"/>
            <w:gridSpan w:val="2"/>
            <w:tcBorders>
              <w:top w:val="nil"/>
              <w:left w:val="nil"/>
              <w:bottom w:val="single" w:sz="4" w:space="0" w:color="auto"/>
              <w:right w:val="single" w:sz="4" w:space="0" w:color="auto"/>
            </w:tcBorders>
            <w:shd w:val="clear" w:color="000000" w:fill="FF9900"/>
            <w:vAlign w:val="center"/>
            <w:hideMark/>
          </w:tcPr>
          <w:p w14:paraId="4DEEBCE8" w14:textId="77777777" w:rsidR="0078259C" w:rsidRPr="0078259C" w:rsidRDefault="0078259C" w:rsidP="0078259C">
            <w:pPr>
              <w:spacing w:after="0" w:line="240" w:lineRule="auto"/>
              <w:jc w:val="right"/>
              <w:rPr>
                <w:rFonts w:ascii="Calibri" w:eastAsia="Times New Roman" w:hAnsi="Calibri" w:cs="Calibri"/>
                <w:sz w:val="18"/>
                <w:szCs w:val="18"/>
                <w:lang w:eastAsia="hr-HR"/>
              </w:rPr>
            </w:pPr>
            <w:r w:rsidRPr="0078259C">
              <w:rPr>
                <w:rFonts w:ascii="Calibri" w:eastAsia="Times New Roman" w:hAnsi="Calibri" w:cs="Calibri"/>
                <w:sz w:val="18"/>
                <w:szCs w:val="18"/>
                <w:lang w:eastAsia="hr-HR"/>
              </w:rPr>
              <w:t>18</w:t>
            </w:r>
          </w:p>
        </w:tc>
        <w:tc>
          <w:tcPr>
            <w:tcW w:w="426" w:type="dxa"/>
            <w:gridSpan w:val="2"/>
            <w:tcBorders>
              <w:top w:val="nil"/>
              <w:left w:val="nil"/>
              <w:bottom w:val="single" w:sz="4" w:space="0" w:color="auto"/>
              <w:right w:val="single" w:sz="4" w:space="0" w:color="auto"/>
            </w:tcBorders>
            <w:shd w:val="clear" w:color="000000" w:fill="CCFFFF"/>
            <w:vAlign w:val="center"/>
            <w:hideMark/>
          </w:tcPr>
          <w:p w14:paraId="5AD20073" w14:textId="77777777" w:rsidR="0078259C" w:rsidRPr="0078259C" w:rsidRDefault="0078259C" w:rsidP="0078259C">
            <w:pPr>
              <w:spacing w:after="0" w:line="240" w:lineRule="auto"/>
              <w:jc w:val="right"/>
              <w:rPr>
                <w:rFonts w:ascii="Calibri" w:eastAsia="Times New Roman" w:hAnsi="Calibri" w:cs="Calibri"/>
                <w:sz w:val="18"/>
                <w:szCs w:val="18"/>
                <w:lang w:eastAsia="hr-HR"/>
              </w:rPr>
            </w:pPr>
            <w:r w:rsidRPr="0078259C">
              <w:rPr>
                <w:rFonts w:ascii="Calibri" w:eastAsia="Times New Roman" w:hAnsi="Calibri" w:cs="Calibri"/>
                <w:sz w:val="18"/>
                <w:szCs w:val="18"/>
                <w:lang w:eastAsia="hr-HR"/>
              </w:rPr>
              <w:t>7</w:t>
            </w:r>
          </w:p>
        </w:tc>
        <w:tc>
          <w:tcPr>
            <w:tcW w:w="446" w:type="dxa"/>
            <w:tcBorders>
              <w:top w:val="nil"/>
              <w:left w:val="nil"/>
              <w:bottom w:val="single" w:sz="4" w:space="0" w:color="auto"/>
              <w:right w:val="single" w:sz="4" w:space="0" w:color="auto"/>
            </w:tcBorders>
            <w:shd w:val="clear" w:color="000000" w:fill="CCFFFF"/>
            <w:vAlign w:val="center"/>
            <w:hideMark/>
          </w:tcPr>
          <w:p w14:paraId="45681265" w14:textId="77777777" w:rsidR="0078259C" w:rsidRPr="0078259C" w:rsidRDefault="0078259C" w:rsidP="0078259C">
            <w:pPr>
              <w:spacing w:after="0" w:line="240" w:lineRule="auto"/>
              <w:jc w:val="right"/>
              <w:rPr>
                <w:rFonts w:ascii="Calibri" w:eastAsia="Times New Roman" w:hAnsi="Calibri" w:cs="Calibri"/>
                <w:sz w:val="18"/>
                <w:szCs w:val="18"/>
                <w:lang w:eastAsia="hr-HR"/>
              </w:rPr>
            </w:pPr>
            <w:r w:rsidRPr="0078259C">
              <w:rPr>
                <w:rFonts w:ascii="Calibri" w:eastAsia="Times New Roman" w:hAnsi="Calibri" w:cs="Calibri"/>
                <w:sz w:val="18"/>
                <w:szCs w:val="18"/>
                <w:lang w:eastAsia="hr-HR"/>
              </w:rPr>
              <w:t>8</w:t>
            </w:r>
          </w:p>
        </w:tc>
        <w:tc>
          <w:tcPr>
            <w:tcW w:w="404" w:type="dxa"/>
            <w:tcBorders>
              <w:top w:val="nil"/>
              <w:left w:val="nil"/>
              <w:bottom w:val="single" w:sz="4" w:space="0" w:color="auto"/>
              <w:right w:val="single" w:sz="4" w:space="0" w:color="auto"/>
            </w:tcBorders>
            <w:shd w:val="clear" w:color="000000" w:fill="CCFFFF"/>
            <w:noWrap/>
            <w:vAlign w:val="center"/>
            <w:hideMark/>
          </w:tcPr>
          <w:p w14:paraId="449685A2" w14:textId="77777777" w:rsidR="0078259C" w:rsidRPr="0078259C" w:rsidRDefault="0078259C" w:rsidP="0078259C">
            <w:pPr>
              <w:spacing w:after="0" w:line="240" w:lineRule="auto"/>
              <w:jc w:val="right"/>
              <w:rPr>
                <w:rFonts w:ascii="Calibri" w:eastAsia="Times New Roman" w:hAnsi="Calibri" w:cs="Calibri"/>
                <w:sz w:val="18"/>
                <w:szCs w:val="18"/>
                <w:lang w:eastAsia="hr-HR"/>
              </w:rPr>
            </w:pPr>
            <w:r w:rsidRPr="0078259C">
              <w:rPr>
                <w:rFonts w:ascii="Calibri" w:eastAsia="Times New Roman" w:hAnsi="Calibri" w:cs="Calibri"/>
                <w:sz w:val="18"/>
                <w:szCs w:val="18"/>
                <w:lang w:eastAsia="hr-HR"/>
              </w:rPr>
              <w:t>5</w:t>
            </w:r>
          </w:p>
        </w:tc>
        <w:tc>
          <w:tcPr>
            <w:tcW w:w="839" w:type="dxa"/>
            <w:gridSpan w:val="2"/>
            <w:tcBorders>
              <w:top w:val="nil"/>
              <w:left w:val="nil"/>
              <w:bottom w:val="single" w:sz="4" w:space="0" w:color="auto"/>
              <w:right w:val="single" w:sz="4" w:space="0" w:color="auto"/>
            </w:tcBorders>
            <w:shd w:val="clear" w:color="000000" w:fill="33CCCC"/>
            <w:noWrap/>
            <w:vAlign w:val="center"/>
            <w:hideMark/>
          </w:tcPr>
          <w:p w14:paraId="5D9162A1" w14:textId="77777777" w:rsidR="0078259C" w:rsidRPr="0078259C" w:rsidRDefault="0078259C" w:rsidP="0078259C">
            <w:pPr>
              <w:spacing w:after="0" w:line="240" w:lineRule="auto"/>
              <w:jc w:val="right"/>
              <w:rPr>
                <w:rFonts w:ascii="Calibri" w:eastAsia="Times New Roman" w:hAnsi="Calibri" w:cs="Calibri"/>
                <w:sz w:val="18"/>
                <w:szCs w:val="18"/>
                <w:lang w:eastAsia="hr-HR"/>
              </w:rPr>
            </w:pPr>
            <w:r w:rsidRPr="0078259C">
              <w:rPr>
                <w:rFonts w:ascii="Calibri" w:eastAsia="Times New Roman" w:hAnsi="Calibri" w:cs="Calibri"/>
                <w:sz w:val="18"/>
                <w:szCs w:val="18"/>
                <w:lang w:eastAsia="hr-HR"/>
              </w:rPr>
              <w:t>21</w:t>
            </w:r>
          </w:p>
        </w:tc>
        <w:tc>
          <w:tcPr>
            <w:tcW w:w="839" w:type="dxa"/>
            <w:tcBorders>
              <w:top w:val="nil"/>
              <w:left w:val="nil"/>
              <w:bottom w:val="single" w:sz="4" w:space="0" w:color="auto"/>
              <w:right w:val="nil"/>
            </w:tcBorders>
            <w:shd w:val="clear" w:color="000000" w:fill="33CCCC"/>
            <w:noWrap/>
            <w:vAlign w:val="center"/>
            <w:hideMark/>
          </w:tcPr>
          <w:p w14:paraId="2D819EF8" w14:textId="77777777" w:rsidR="0078259C" w:rsidRPr="0078259C" w:rsidRDefault="0078259C" w:rsidP="0078259C">
            <w:pPr>
              <w:spacing w:after="0" w:line="240" w:lineRule="auto"/>
              <w:jc w:val="right"/>
              <w:rPr>
                <w:rFonts w:ascii="Calibri" w:eastAsia="Times New Roman" w:hAnsi="Calibri" w:cs="Calibri"/>
                <w:sz w:val="18"/>
                <w:szCs w:val="18"/>
                <w:lang w:eastAsia="hr-HR"/>
              </w:rPr>
            </w:pPr>
            <w:r w:rsidRPr="0078259C">
              <w:rPr>
                <w:rFonts w:ascii="Calibri" w:eastAsia="Times New Roman" w:hAnsi="Calibri" w:cs="Calibri"/>
                <w:sz w:val="18"/>
                <w:szCs w:val="18"/>
                <w:lang w:eastAsia="hr-HR"/>
              </w:rPr>
              <w:t>11</w:t>
            </w:r>
          </w:p>
        </w:tc>
        <w:tc>
          <w:tcPr>
            <w:tcW w:w="236" w:type="dxa"/>
            <w:gridSpan w:val="2"/>
            <w:vAlign w:val="center"/>
            <w:hideMark/>
          </w:tcPr>
          <w:p w14:paraId="60BC59D2" w14:textId="77777777" w:rsidR="0078259C" w:rsidRPr="0078259C" w:rsidRDefault="0078259C" w:rsidP="0078259C">
            <w:pPr>
              <w:spacing w:after="0" w:line="240" w:lineRule="auto"/>
              <w:rPr>
                <w:rFonts w:ascii="Times New Roman" w:eastAsia="Times New Roman" w:hAnsi="Times New Roman" w:cs="Times New Roman"/>
                <w:sz w:val="18"/>
                <w:szCs w:val="18"/>
                <w:lang w:eastAsia="hr-HR"/>
              </w:rPr>
            </w:pPr>
          </w:p>
        </w:tc>
      </w:tr>
      <w:tr w:rsidR="0078259C" w:rsidRPr="0078259C" w14:paraId="349A574A" w14:textId="77777777" w:rsidTr="0078259C">
        <w:trPr>
          <w:gridAfter w:val="2"/>
          <w:wAfter w:w="44" w:type="dxa"/>
          <w:trHeight w:val="405"/>
        </w:trPr>
        <w:tc>
          <w:tcPr>
            <w:tcW w:w="1394" w:type="dxa"/>
            <w:tcBorders>
              <w:top w:val="single" w:sz="4" w:space="0" w:color="auto"/>
              <w:left w:val="single" w:sz="8" w:space="0" w:color="auto"/>
              <w:bottom w:val="single" w:sz="4" w:space="0" w:color="auto"/>
              <w:right w:val="single" w:sz="4" w:space="0" w:color="auto"/>
            </w:tcBorders>
            <w:shd w:val="clear" w:color="000000" w:fill="CCFFCC"/>
            <w:vAlign w:val="center"/>
            <w:hideMark/>
          </w:tcPr>
          <w:p w14:paraId="7B273E08" w14:textId="77777777" w:rsidR="0078259C" w:rsidRPr="0078259C" w:rsidRDefault="0078259C" w:rsidP="0078259C">
            <w:pPr>
              <w:spacing w:after="0" w:line="240" w:lineRule="auto"/>
              <w:jc w:val="center"/>
              <w:rPr>
                <w:rFonts w:ascii="Calibri" w:eastAsia="Times New Roman" w:hAnsi="Calibri" w:cs="Calibri"/>
                <w:sz w:val="18"/>
                <w:szCs w:val="18"/>
                <w:lang w:eastAsia="hr-HR"/>
              </w:rPr>
            </w:pPr>
            <w:r w:rsidRPr="0078259C">
              <w:rPr>
                <w:rFonts w:ascii="Calibri" w:eastAsia="Times New Roman" w:hAnsi="Calibri" w:cs="Calibri"/>
                <w:sz w:val="18"/>
                <w:szCs w:val="18"/>
                <w:lang w:eastAsia="hr-HR"/>
              </w:rPr>
              <w:t>Socijalno podrijetlo</w:t>
            </w:r>
          </w:p>
        </w:tc>
        <w:tc>
          <w:tcPr>
            <w:tcW w:w="575" w:type="dxa"/>
            <w:tcBorders>
              <w:top w:val="nil"/>
              <w:left w:val="nil"/>
              <w:bottom w:val="single" w:sz="4" w:space="0" w:color="auto"/>
              <w:right w:val="single" w:sz="4" w:space="0" w:color="auto"/>
            </w:tcBorders>
            <w:shd w:val="clear" w:color="000000" w:fill="CCFFCC"/>
            <w:vAlign w:val="center"/>
            <w:hideMark/>
          </w:tcPr>
          <w:p w14:paraId="2B83A9AD" w14:textId="77777777" w:rsidR="0078259C" w:rsidRPr="0078259C" w:rsidRDefault="0078259C" w:rsidP="0078259C">
            <w:pPr>
              <w:spacing w:after="0" w:line="240" w:lineRule="auto"/>
              <w:jc w:val="right"/>
              <w:rPr>
                <w:rFonts w:ascii="Calibri" w:eastAsia="Times New Roman" w:hAnsi="Calibri" w:cs="Calibri"/>
                <w:sz w:val="18"/>
                <w:szCs w:val="18"/>
                <w:lang w:eastAsia="hr-HR"/>
              </w:rPr>
            </w:pPr>
            <w:r w:rsidRPr="0078259C">
              <w:rPr>
                <w:rFonts w:ascii="Calibri" w:eastAsia="Times New Roman" w:hAnsi="Calibri" w:cs="Calibri"/>
                <w:sz w:val="18"/>
                <w:szCs w:val="18"/>
                <w:lang w:eastAsia="hr-HR"/>
              </w:rPr>
              <w:t>0</w:t>
            </w:r>
          </w:p>
        </w:tc>
        <w:tc>
          <w:tcPr>
            <w:tcW w:w="488" w:type="dxa"/>
            <w:tcBorders>
              <w:top w:val="nil"/>
              <w:left w:val="nil"/>
              <w:bottom w:val="single" w:sz="4" w:space="0" w:color="auto"/>
              <w:right w:val="single" w:sz="4" w:space="0" w:color="auto"/>
            </w:tcBorders>
            <w:shd w:val="clear" w:color="000000" w:fill="FFCC99"/>
            <w:noWrap/>
            <w:vAlign w:val="center"/>
            <w:hideMark/>
          </w:tcPr>
          <w:p w14:paraId="7511138F" w14:textId="77777777" w:rsidR="0078259C" w:rsidRPr="0078259C" w:rsidRDefault="0078259C" w:rsidP="0078259C">
            <w:pPr>
              <w:spacing w:after="0" w:line="240" w:lineRule="auto"/>
              <w:jc w:val="right"/>
              <w:rPr>
                <w:rFonts w:ascii="Calibri" w:eastAsia="Times New Roman" w:hAnsi="Calibri" w:cs="Calibri"/>
                <w:sz w:val="18"/>
                <w:szCs w:val="18"/>
                <w:lang w:eastAsia="hr-HR"/>
              </w:rPr>
            </w:pPr>
            <w:r w:rsidRPr="0078259C">
              <w:rPr>
                <w:rFonts w:ascii="Calibri" w:eastAsia="Times New Roman" w:hAnsi="Calibri" w:cs="Calibri"/>
                <w:sz w:val="18"/>
                <w:szCs w:val="18"/>
                <w:lang w:eastAsia="hr-HR"/>
              </w:rPr>
              <w:t>1</w:t>
            </w:r>
          </w:p>
        </w:tc>
        <w:tc>
          <w:tcPr>
            <w:tcW w:w="500" w:type="dxa"/>
            <w:tcBorders>
              <w:top w:val="nil"/>
              <w:left w:val="nil"/>
              <w:bottom w:val="single" w:sz="4" w:space="0" w:color="auto"/>
              <w:right w:val="single" w:sz="4" w:space="0" w:color="auto"/>
            </w:tcBorders>
            <w:shd w:val="clear" w:color="000000" w:fill="FFCC99"/>
            <w:noWrap/>
            <w:vAlign w:val="center"/>
            <w:hideMark/>
          </w:tcPr>
          <w:p w14:paraId="2B283A41" w14:textId="77777777" w:rsidR="0078259C" w:rsidRPr="0078259C" w:rsidRDefault="0078259C" w:rsidP="0078259C">
            <w:pPr>
              <w:spacing w:after="0" w:line="240" w:lineRule="auto"/>
              <w:jc w:val="right"/>
              <w:rPr>
                <w:rFonts w:ascii="Calibri" w:eastAsia="Times New Roman" w:hAnsi="Calibri" w:cs="Calibri"/>
                <w:sz w:val="18"/>
                <w:szCs w:val="18"/>
                <w:lang w:eastAsia="hr-HR"/>
              </w:rPr>
            </w:pPr>
            <w:r w:rsidRPr="0078259C">
              <w:rPr>
                <w:rFonts w:ascii="Calibri" w:eastAsia="Times New Roman" w:hAnsi="Calibri" w:cs="Calibri"/>
                <w:sz w:val="18"/>
                <w:szCs w:val="18"/>
                <w:lang w:eastAsia="hr-HR"/>
              </w:rPr>
              <w:t>0</w:t>
            </w:r>
          </w:p>
        </w:tc>
        <w:tc>
          <w:tcPr>
            <w:tcW w:w="435" w:type="dxa"/>
            <w:tcBorders>
              <w:top w:val="nil"/>
              <w:left w:val="nil"/>
              <w:bottom w:val="single" w:sz="4" w:space="0" w:color="auto"/>
              <w:right w:val="single" w:sz="4" w:space="0" w:color="auto"/>
            </w:tcBorders>
            <w:shd w:val="clear" w:color="000000" w:fill="CCFFFF"/>
            <w:vAlign w:val="center"/>
            <w:hideMark/>
          </w:tcPr>
          <w:p w14:paraId="414F9945" w14:textId="77777777" w:rsidR="0078259C" w:rsidRPr="0078259C" w:rsidRDefault="0078259C" w:rsidP="0078259C">
            <w:pPr>
              <w:spacing w:after="0" w:line="240" w:lineRule="auto"/>
              <w:jc w:val="right"/>
              <w:rPr>
                <w:rFonts w:ascii="Calibri" w:eastAsia="Times New Roman" w:hAnsi="Calibri" w:cs="Calibri"/>
                <w:sz w:val="18"/>
                <w:szCs w:val="18"/>
                <w:lang w:eastAsia="hr-HR"/>
              </w:rPr>
            </w:pPr>
            <w:r w:rsidRPr="0078259C">
              <w:rPr>
                <w:rFonts w:ascii="Calibri" w:eastAsia="Times New Roman" w:hAnsi="Calibri" w:cs="Calibri"/>
                <w:sz w:val="18"/>
                <w:szCs w:val="18"/>
                <w:lang w:eastAsia="hr-HR"/>
              </w:rPr>
              <w:t>1</w:t>
            </w:r>
          </w:p>
        </w:tc>
        <w:tc>
          <w:tcPr>
            <w:tcW w:w="426" w:type="dxa"/>
            <w:tcBorders>
              <w:top w:val="nil"/>
              <w:left w:val="nil"/>
              <w:bottom w:val="single" w:sz="4" w:space="0" w:color="auto"/>
              <w:right w:val="single" w:sz="4" w:space="0" w:color="auto"/>
            </w:tcBorders>
            <w:shd w:val="clear" w:color="000000" w:fill="CCFFFF"/>
            <w:noWrap/>
            <w:vAlign w:val="center"/>
            <w:hideMark/>
          </w:tcPr>
          <w:p w14:paraId="25B7B4C0" w14:textId="77777777" w:rsidR="0078259C" w:rsidRPr="0078259C" w:rsidRDefault="0078259C" w:rsidP="0078259C">
            <w:pPr>
              <w:spacing w:after="0" w:line="240" w:lineRule="auto"/>
              <w:jc w:val="right"/>
              <w:rPr>
                <w:rFonts w:ascii="Calibri" w:eastAsia="Times New Roman" w:hAnsi="Calibri" w:cs="Calibri"/>
                <w:sz w:val="18"/>
                <w:szCs w:val="18"/>
                <w:lang w:eastAsia="hr-HR"/>
              </w:rPr>
            </w:pPr>
            <w:r w:rsidRPr="0078259C">
              <w:rPr>
                <w:rFonts w:ascii="Calibri" w:eastAsia="Times New Roman" w:hAnsi="Calibri" w:cs="Calibri"/>
                <w:sz w:val="18"/>
                <w:szCs w:val="18"/>
                <w:lang w:eastAsia="hr-HR"/>
              </w:rPr>
              <w:t>0</w:t>
            </w:r>
          </w:p>
        </w:tc>
        <w:tc>
          <w:tcPr>
            <w:tcW w:w="425" w:type="dxa"/>
            <w:tcBorders>
              <w:top w:val="nil"/>
              <w:left w:val="nil"/>
              <w:bottom w:val="single" w:sz="4" w:space="0" w:color="auto"/>
              <w:right w:val="single" w:sz="4" w:space="0" w:color="auto"/>
            </w:tcBorders>
            <w:shd w:val="clear" w:color="000000" w:fill="FFFF99"/>
            <w:noWrap/>
            <w:vAlign w:val="center"/>
            <w:hideMark/>
          </w:tcPr>
          <w:p w14:paraId="139DE492" w14:textId="77777777" w:rsidR="0078259C" w:rsidRPr="0078259C" w:rsidRDefault="0078259C" w:rsidP="0078259C">
            <w:pPr>
              <w:spacing w:after="0" w:line="240" w:lineRule="auto"/>
              <w:jc w:val="right"/>
              <w:rPr>
                <w:rFonts w:ascii="Calibri" w:eastAsia="Times New Roman" w:hAnsi="Calibri" w:cs="Calibri"/>
                <w:sz w:val="18"/>
                <w:szCs w:val="18"/>
                <w:lang w:eastAsia="hr-HR"/>
              </w:rPr>
            </w:pPr>
            <w:r w:rsidRPr="0078259C">
              <w:rPr>
                <w:rFonts w:ascii="Calibri" w:eastAsia="Times New Roman" w:hAnsi="Calibri" w:cs="Calibri"/>
                <w:sz w:val="18"/>
                <w:szCs w:val="18"/>
                <w:lang w:eastAsia="hr-HR"/>
              </w:rPr>
              <w:t>0</w:t>
            </w:r>
          </w:p>
        </w:tc>
        <w:tc>
          <w:tcPr>
            <w:tcW w:w="567" w:type="dxa"/>
            <w:tcBorders>
              <w:top w:val="nil"/>
              <w:left w:val="nil"/>
              <w:bottom w:val="single" w:sz="4" w:space="0" w:color="auto"/>
              <w:right w:val="single" w:sz="4" w:space="0" w:color="auto"/>
            </w:tcBorders>
            <w:shd w:val="clear" w:color="000000" w:fill="FFFF99"/>
            <w:noWrap/>
            <w:vAlign w:val="center"/>
            <w:hideMark/>
          </w:tcPr>
          <w:p w14:paraId="2B567F12" w14:textId="77777777" w:rsidR="0078259C" w:rsidRPr="0078259C" w:rsidRDefault="0078259C" w:rsidP="0078259C">
            <w:pPr>
              <w:spacing w:after="0" w:line="240" w:lineRule="auto"/>
              <w:jc w:val="right"/>
              <w:rPr>
                <w:rFonts w:ascii="Calibri" w:eastAsia="Times New Roman" w:hAnsi="Calibri" w:cs="Calibri"/>
                <w:sz w:val="18"/>
                <w:szCs w:val="18"/>
                <w:lang w:eastAsia="hr-HR"/>
              </w:rPr>
            </w:pPr>
            <w:r w:rsidRPr="0078259C">
              <w:rPr>
                <w:rFonts w:ascii="Calibri" w:eastAsia="Times New Roman" w:hAnsi="Calibri" w:cs="Calibri"/>
                <w:sz w:val="18"/>
                <w:szCs w:val="18"/>
                <w:lang w:eastAsia="hr-HR"/>
              </w:rPr>
              <w:t>0</w:t>
            </w:r>
          </w:p>
        </w:tc>
        <w:tc>
          <w:tcPr>
            <w:tcW w:w="567" w:type="dxa"/>
            <w:tcBorders>
              <w:top w:val="nil"/>
              <w:left w:val="nil"/>
              <w:bottom w:val="single" w:sz="4" w:space="0" w:color="auto"/>
              <w:right w:val="single" w:sz="4" w:space="0" w:color="auto"/>
            </w:tcBorders>
            <w:shd w:val="clear" w:color="000000" w:fill="FFFF99"/>
            <w:noWrap/>
            <w:vAlign w:val="center"/>
            <w:hideMark/>
          </w:tcPr>
          <w:p w14:paraId="30559AB3" w14:textId="77777777" w:rsidR="0078259C" w:rsidRPr="0078259C" w:rsidRDefault="0078259C" w:rsidP="0078259C">
            <w:pPr>
              <w:spacing w:after="0" w:line="240" w:lineRule="auto"/>
              <w:jc w:val="right"/>
              <w:rPr>
                <w:rFonts w:ascii="Calibri" w:eastAsia="Times New Roman" w:hAnsi="Calibri" w:cs="Calibri"/>
                <w:sz w:val="18"/>
                <w:szCs w:val="18"/>
                <w:lang w:eastAsia="hr-HR"/>
              </w:rPr>
            </w:pPr>
            <w:r w:rsidRPr="0078259C">
              <w:rPr>
                <w:rFonts w:ascii="Calibri" w:eastAsia="Times New Roman" w:hAnsi="Calibri" w:cs="Calibri"/>
                <w:sz w:val="18"/>
                <w:szCs w:val="18"/>
                <w:lang w:eastAsia="hr-HR"/>
              </w:rPr>
              <w:t>0</w:t>
            </w:r>
          </w:p>
        </w:tc>
        <w:tc>
          <w:tcPr>
            <w:tcW w:w="437" w:type="dxa"/>
            <w:tcBorders>
              <w:top w:val="nil"/>
              <w:left w:val="nil"/>
              <w:bottom w:val="single" w:sz="4" w:space="0" w:color="auto"/>
              <w:right w:val="single" w:sz="4" w:space="0" w:color="auto"/>
            </w:tcBorders>
            <w:shd w:val="clear" w:color="000000" w:fill="FFFF99"/>
            <w:noWrap/>
            <w:vAlign w:val="center"/>
            <w:hideMark/>
          </w:tcPr>
          <w:p w14:paraId="5F1C919A" w14:textId="77777777" w:rsidR="0078259C" w:rsidRPr="0078259C" w:rsidRDefault="0078259C" w:rsidP="0078259C">
            <w:pPr>
              <w:spacing w:after="0" w:line="240" w:lineRule="auto"/>
              <w:jc w:val="right"/>
              <w:rPr>
                <w:rFonts w:ascii="Calibri" w:eastAsia="Times New Roman" w:hAnsi="Calibri" w:cs="Calibri"/>
                <w:sz w:val="18"/>
                <w:szCs w:val="18"/>
                <w:lang w:eastAsia="hr-HR"/>
              </w:rPr>
            </w:pPr>
            <w:r w:rsidRPr="0078259C">
              <w:rPr>
                <w:rFonts w:ascii="Calibri" w:eastAsia="Times New Roman" w:hAnsi="Calibri" w:cs="Calibri"/>
                <w:sz w:val="18"/>
                <w:szCs w:val="18"/>
                <w:lang w:eastAsia="hr-HR"/>
              </w:rPr>
              <w:t>0</w:t>
            </w:r>
          </w:p>
        </w:tc>
        <w:tc>
          <w:tcPr>
            <w:tcW w:w="413" w:type="dxa"/>
            <w:tcBorders>
              <w:top w:val="nil"/>
              <w:left w:val="nil"/>
              <w:bottom w:val="single" w:sz="4" w:space="0" w:color="auto"/>
              <w:right w:val="single" w:sz="4" w:space="0" w:color="auto"/>
            </w:tcBorders>
            <w:shd w:val="clear" w:color="000000" w:fill="FFFF99"/>
            <w:noWrap/>
            <w:vAlign w:val="center"/>
            <w:hideMark/>
          </w:tcPr>
          <w:p w14:paraId="660AB335" w14:textId="77777777" w:rsidR="0078259C" w:rsidRPr="0078259C" w:rsidRDefault="0078259C" w:rsidP="0078259C">
            <w:pPr>
              <w:spacing w:after="0" w:line="240" w:lineRule="auto"/>
              <w:jc w:val="right"/>
              <w:rPr>
                <w:rFonts w:ascii="Calibri" w:eastAsia="Times New Roman" w:hAnsi="Calibri" w:cs="Calibri"/>
                <w:sz w:val="18"/>
                <w:szCs w:val="18"/>
                <w:lang w:eastAsia="hr-HR"/>
              </w:rPr>
            </w:pPr>
            <w:r w:rsidRPr="0078259C">
              <w:rPr>
                <w:rFonts w:ascii="Calibri" w:eastAsia="Times New Roman" w:hAnsi="Calibri" w:cs="Calibri"/>
                <w:sz w:val="18"/>
                <w:szCs w:val="18"/>
                <w:lang w:eastAsia="hr-HR"/>
              </w:rPr>
              <w:t>1</w:t>
            </w:r>
          </w:p>
        </w:tc>
        <w:tc>
          <w:tcPr>
            <w:tcW w:w="283" w:type="dxa"/>
            <w:gridSpan w:val="2"/>
            <w:tcBorders>
              <w:top w:val="nil"/>
              <w:left w:val="nil"/>
              <w:bottom w:val="single" w:sz="4" w:space="0" w:color="auto"/>
              <w:right w:val="single" w:sz="4" w:space="0" w:color="auto"/>
            </w:tcBorders>
            <w:shd w:val="clear" w:color="000000" w:fill="FF9900"/>
            <w:noWrap/>
            <w:vAlign w:val="center"/>
            <w:hideMark/>
          </w:tcPr>
          <w:p w14:paraId="4389F888" w14:textId="77777777" w:rsidR="0078259C" w:rsidRPr="0078259C" w:rsidRDefault="0078259C" w:rsidP="0078259C">
            <w:pPr>
              <w:spacing w:after="0" w:line="240" w:lineRule="auto"/>
              <w:jc w:val="right"/>
              <w:rPr>
                <w:rFonts w:ascii="Calibri" w:eastAsia="Times New Roman" w:hAnsi="Calibri" w:cs="Calibri"/>
                <w:sz w:val="18"/>
                <w:szCs w:val="18"/>
                <w:lang w:eastAsia="hr-HR"/>
              </w:rPr>
            </w:pPr>
            <w:r w:rsidRPr="0078259C">
              <w:rPr>
                <w:rFonts w:ascii="Calibri" w:eastAsia="Times New Roman" w:hAnsi="Calibri" w:cs="Calibri"/>
                <w:sz w:val="18"/>
                <w:szCs w:val="18"/>
                <w:lang w:eastAsia="hr-HR"/>
              </w:rPr>
              <w:t>0</w:t>
            </w:r>
          </w:p>
        </w:tc>
        <w:tc>
          <w:tcPr>
            <w:tcW w:w="568" w:type="dxa"/>
            <w:tcBorders>
              <w:top w:val="nil"/>
              <w:left w:val="nil"/>
              <w:bottom w:val="single" w:sz="4" w:space="0" w:color="auto"/>
              <w:right w:val="single" w:sz="4" w:space="0" w:color="auto"/>
            </w:tcBorders>
            <w:shd w:val="clear" w:color="000000" w:fill="FF9900"/>
            <w:noWrap/>
            <w:vAlign w:val="center"/>
            <w:hideMark/>
          </w:tcPr>
          <w:p w14:paraId="1F10520C" w14:textId="77777777" w:rsidR="0078259C" w:rsidRPr="0078259C" w:rsidRDefault="0078259C" w:rsidP="0078259C">
            <w:pPr>
              <w:spacing w:after="0" w:line="240" w:lineRule="auto"/>
              <w:jc w:val="right"/>
              <w:rPr>
                <w:rFonts w:ascii="Calibri" w:eastAsia="Times New Roman" w:hAnsi="Calibri" w:cs="Calibri"/>
                <w:sz w:val="18"/>
                <w:szCs w:val="18"/>
                <w:lang w:eastAsia="hr-HR"/>
              </w:rPr>
            </w:pPr>
            <w:r w:rsidRPr="0078259C">
              <w:rPr>
                <w:rFonts w:ascii="Calibri" w:eastAsia="Times New Roman" w:hAnsi="Calibri" w:cs="Calibri"/>
                <w:sz w:val="18"/>
                <w:szCs w:val="18"/>
                <w:lang w:eastAsia="hr-HR"/>
              </w:rPr>
              <w:t>0</w:t>
            </w:r>
          </w:p>
        </w:tc>
        <w:tc>
          <w:tcPr>
            <w:tcW w:w="425" w:type="dxa"/>
            <w:tcBorders>
              <w:top w:val="nil"/>
              <w:left w:val="nil"/>
              <w:bottom w:val="single" w:sz="4" w:space="0" w:color="auto"/>
              <w:right w:val="single" w:sz="4" w:space="0" w:color="auto"/>
            </w:tcBorders>
            <w:shd w:val="clear" w:color="000000" w:fill="FF9900"/>
            <w:noWrap/>
            <w:vAlign w:val="center"/>
            <w:hideMark/>
          </w:tcPr>
          <w:p w14:paraId="50286BA1" w14:textId="77777777" w:rsidR="0078259C" w:rsidRPr="0078259C" w:rsidRDefault="0078259C" w:rsidP="0078259C">
            <w:pPr>
              <w:spacing w:after="0" w:line="240" w:lineRule="auto"/>
              <w:jc w:val="right"/>
              <w:rPr>
                <w:rFonts w:ascii="Calibri" w:eastAsia="Times New Roman" w:hAnsi="Calibri" w:cs="Calibri"/>
                <w:sz w:val="18"/>
                <w:szCs w:val="18"/>
                <w:lang w:eastAsia="hr-HR"/>
              </w:rPr>
            </w:pPr>
            <w:r w:rsidRPr="0078259C">
              <w:rPr>
                <w:rFonts w:ascii="Calibri" w:eastAsia="Times New Roman" w:hAnsi="Calibri" w:cs="Calibri"/>
                <w:sz w:val="18"/>
                <w:szCs w:val="18"/>
                <w:lang w:eastAsia="hr-HR"/>
              </w:rPr>
              <w:t>0</w:t>
            </w:r>
          </w:p>
        </w:tc>
        <w:tc>
          <w:tcPr>
            <w:tcW w:w="425" w:type="dxa"/>
            <w:gridSpan w:val="2"/>
            <w:tcBorders>
              <w:top w:val="nil"/>
              <w:left w:val="nil"/>
              <w:bottom w:val="single" w:sz="4" w:space="0" w:color="auto"/>
              <w:right w:val="single" w:sz="4" w:space="0" w:color="auto"/>
            </w:tcBorders>
            <w:shd w:val="clear" w:color="000000" w:fill="66FFCC"/>
            <w:noWrap/>
            <w:vAlign w:val="center"/>
            <w:hideMark/>
          </w:tcPr>
          <w:p w14:paraId="39B5CE17" w14:textId="77777777" w:rsidR="0078259C" w:rsidRPr="0078259C" w:rsidRDefault="0078259C" w:rsidP="0078259C">
            <w:pPr>
              <w:spacing w:after="0" w:line="240" w:lineRule="auto"/>
              <w:jc w:val="right"/>
              <w:rPr>
                <w:rFonts w:ascii="Calibri" w:eastAsia="Times New Roman" w:hAnsi="Calibri" w:cs="Calibri"/>
                <w:sz w:val="18"/>
                <w:szCs w:val="18"/>
                <w:lang w:eastAsia="hr-HR"/>
              </w:rPr>
            </w:pPr>
            <w:r w:rsidRPr="0078259C">
              <w:rPr>
                <w:rFonts w:ascii="Calibri" w:eastAsia="Times New Roman" w:hAnsi="Calibri" w:cs="Calibri"/>
                <w:sz w:val="18"/>
                <w:szCs w:val="18"/>
                <w:lang w:eastAsia="hr-HR"/>
              </w:rPr>
              <w:t>0</w:t>
            </w:r>
          </w:p>
        </w:tc>
        <w:tc>
          <w:tcPr>
            <w:tcW w:w="437" w:type="dxa"/>
            <w:tcBorders>
              <w:top w:val="nil"/>
              <w:left w:val="nil"/>
              <w:bottom w:val="single" w:sz="4" w:space="0" w:color="auto"/>
              <w:right w:val="single" w:sz="4" w:space="0" w:color="auto"/>
            </w:tcBorders>
            <w:shd w:val="clear" w:color="000000" w:fill="66FFCC"/>
            <w:noWrap/>
            <w:vAlign w:val="center"/>
            <w:hideMark/>
          </w:tcPr>
          <w:p w14:paraId="0EB01097" w14:textId="77777777" w:rsidR="0078259C" w:rsidRPr="0078259C" w:rsidRDefault="0078259C" w:rsidP="0078259C">
            <w:pPr>
              <w:spacing w:after="0" w:line="240" w:lineRule="auto"/>
              <w:jc w:val="right"/>
              <w:rPr>
                <w:rFonts w:ascii="Calibri" w:eastAsia="Times New Roman" w:hAnsi="Calibri" w:cs="Calibri"/>
                <w:sz w:val="18"/>
                <w:szCs w:val="18"/>
                <w:lang w:eastAsia="hr-HR"/>
              </w:rPr>
            </w:pPr>
            <w:r w:rsidRPr="0078259C">
              <w:rPr>
                <w:rFonts w:ascii="Calibri" w:eastAsia="Times New Roman" w:hAnsi="Calibri" w:cs="Calibri"/>
                <w:sz w:val="18"/>
                <w:szCs w:val="18"/>
                <w:lang w:eastAsia="hr-HR"/>
              </w:rPr>
              <w:t>0</w:t>
            </w:r>
          </w:p>
        </w:tc>
        <w:tc>
          <w:tcPr>
            <w:tcW w:w="556" w:type="dxa"/>
            <w:tcBorders>
              <w:top w:val="nil"/>
              <w:left w:val="nil"/>
              <w:bottom w:val="single" w:sz="4" w:space="0" w:color="auto"/>
              <w:right w:val="single" w:sz="4" w:space="0" w:color="auto"/>
            </w:tcBorders>
            <w:shd w:val="clear" w:color="000000" w:fill="66FFCC"/>
            <w:noWrap/>
            <w:vAlign w:val="center"/>
            <w:hideMark/>
          </w:tcPr>
          <w:p w14:paraId="1379283B" w14:textId="77777777" w:rsidR="0078259C" w:rsidRPr="0078259C" w:rsidRDefault="0078259C" w:rsidP="0078259C">
            <w:pPr>
              <w:spacing w:after="0" w:line="240" w:lineRule="auto"/>
              <w:jc w:val="right"/>
              <w:rPr>
                <w:rFonts w:ascii="Calibri" w:eastAsia="Times New Roman" w:hAnsi="Calibri" w:cs="Calibri"/>
                <w:sz w:val="18"/>
                <w:szCs w:val="18"/>
                <w:lang w:eastAsia="hr-HR"/>
              </w:rPr>
            </w:pPr>
            <w:r w:rsidRPr="0078259C">
              <w:rPr>
                <w:rFonts w:ascii="Calibri" w:eastAsia="Times New Roman" w:hAnsi="Calibri" w:cs="Calibri"/>
                <w:sz w:val="18"/>
                <w:szCs w:val="18"/>
                <w:lang w:eastAsia="hr-HR"/>
              </w:rPr>
              <w:t>0</w:t>
            </w:r>
          </w:p>
        </w:tc>
        <w:tc>
          <w:tcPr>
            <w:tcW w:w="425" w:type="dxa"/>
            <w:tcBorders>
              <w:top w:val="nil"/>
              <w:left w:val="nil"/>
              <w:bottom w:val="single" w:sz="4" w:space="0" w:color="auto"/>
              <w:right w:val="single" w:sz="4" w:space="0" w:color="auto"/>
            </w:tcBorders>
            <w:shd w:val="clear" w:color="000000" w:fill="66FFCC"/>
            <w:noWrap/>
            <w:vAlign w:val="center"/>
            <w:hideMark/>
          </w:tcPr>
          <w:p w14:paraId="2A091BD4" w14:textId="77777777" w:rsidR="0078259C" w:rsidRPr="0078259C" w:rsidRDefault="0078259C" w:rsidP="0078259C">
            <w:pPr>
              <w:spacing w:after="0" w:line="240" w:lineRule="auto"/>
              <w:jc w:val="right"/>
              <w:rPr>
                <w:rFonts w:ascii="Calibri" w:eastAsia="Times New Roman" w:hAnsi="Calibri" w:cs="Calibri"/>
                <w:sz w:val="18"/>
                <w:szCs w:val="18"/>
                <w:lang w:eastAsia="hr-HR"/>
              </w:rPr>
            </w:pPr>
            <w:r w:rsidRPr="0078259C">
              <w:rPr>
                <w:rFonts w:ascii="Calibri" w:eastAsia="Times New Roman" w:hAnsi="Calibri" w:cs="Calibri"/>
                <w:sz w:val="18"/>
                <w:szCs w:val="18"/>
                <w:lang w:eastAsia="hr-HR"/>
              </w:rPr>
              <w:t>0</w:t>
            </w:r>
          </w:p>
        </w:tc>
        <w:tc>
          <w:tcPr>
            <w:tcW w:w="567" w:type="dxa"/>
            <w:gridSpan w:val="2"/>
            <w:tcBorders>
              <w:top w:val="nil"/>
              <w:left w:val="nil"/>
              <w:bottom w:val="single" w:sz="4" w:space="0" w:color="auto"/>
              <w:right w:val="single" w:sz="4" w:space="0" w:color="auto"/>
            </w:tcBorders>
            <w:shd w:val="clear" w:color="000000" w:fill="FFFF00"/>
            <w:vAlign w:val="center"/>
            <w:hideMark/>
          </w:tcPr>
          <w:p w14:paraId="3A7D56ED" w14:textId="77777777" w:rsidR="0078259C" w:rsidRPr="0078259C" w:rsidRDefault="0078259C" w:rsidP="0078259C">
            <w:pPr>
              <w:spacing w:after="0" w:line="240" w:lineRule="auto"/>
              <w:jc w:val="right"/>
              <w:rPr>
                <w:rFonts w:ascii="Calibri" w:eastAsia="Times New Roman" w:hAnsi="Calibri" w:cs="Calibri"/>
                <w:sz w:val="18"/>
                <w:szCs w:val="18"/>
                <w:lang w:eastAsia="hr-HR"/>
              </w:rPr>
            </w:pPr>
            <w:r w:rsidRPr="0078259C">
              <w:rPr>
                <w:rFonts w:ascii="Calibri" w:eastAsia="Times New Roman" w:hAnsi="Calibri" w:cs="Calibri"/>
                <w:sz w:val="18"/>
                <w:szCs w:val="18"/>
                <w:lang w:eastAsia="hr-HR"/>
              </w:rPr>
              <w:t>0</w:t>
            </w:r>
          </w:p>
        </w:tc>
        <w:tc>
          <w:tcPr>
            <w:tcW w:w="578" w:type="dxa"/>
            <w:gridSpan w:val="2"/>
            <w:tcBorders>
              <w:top w:val="nil"/>
              <w:left w:val="nil"/>
              <w:bottom w:val="single" w:sz="4" w:space="0" w:color="auto"/>
              <w:right w:val="single" w:sz="4" w:space="0" w:color="auto"/>
            </w:tcBorders>
            <w:shd w:val="clear" w:color="000000" w:fill="FFFF99"/>
            <w:vAlign w:val="center"/>
            <w:hideMark/>
          </w:tcPr>
          <w:p w14:paraId="757CA3CD" w14:textId="77777777" w:rsidR="0078259C" w:rsidRPr="0078259C" w:rsidRDefault="0078259C" w:rsidP="0078259C">
            <w:pPr>
              <w:spacing w:after="0" w:line="240" w:lineRule="auto"/>
              <w:jc w:val="right"/>
              <w:rPr>
                <w:rFonts w:ascii="Calibri" w:eastAsia="Times New Roman" w:hAnsi="Calibri" w:cs="Calibri"/>
                <w:sz w:val="18"/>
                <w:szCs w:val="18"/>
                <w:lang w:eastAsia="hr-HR"/>
              </w:rPr>
            </w:pPr>
            <w:r w:rsidRPr="0078259C">
              <w:rPr>
                <w:rFonts w:ascii="Calibri" w:eastAsia="Times New Roman" w:hAnsi="Calibri" w:cs="Calibri"/>
                <w:sz w:val="18"/>
                <w:szCs w:val="18"/>
                <w:lang w:eastAsia="hr-HR"/>
              </w:rPr>
              <w:t>1</w:t>
            </w:r>
          </w:p>
        </w:tc>
        <w:tc>
          <w:tcPr>
            <w:tcW w:w="839" w:type="dxa"/>
            <w:gridSpan w:val="2"/>
            <w:tcBorders>
              <w:top w:val="nil"/>
              <w:left w:val="nil"/>
              <w:bottom w:val="single" w:sz="4" w:space="0" w:color="auto"/>
              <w:right w:val="single" w:sz="4" w:space="0" w:color="auto"/>
            </w:tcBorders>
            <w:shd w:val="clear" w:color="000000" w:fill="FF9900"/>
            <w:vAlign w:val="center"/>
            <w:hideMark/>
          </w:tcPr>
          <w:p w14:paraId="49A4EA48" w14:textId="77777777" w:rsidR="0078259C" w:rsidRPr="0078259C" w:rsidRDefault="0078259C" w:rsidP="0078259C">
            <w:pPr>
              <w:spacing w:after="0" w:line="240" w:lineRule="auto"/>
              <w:jc w:val="right"/>
              <w:rPr>
                <w:rFonts w:ascii="Calibri" w:eastAsia="Times New Roman" w:hAnsi="Calibri" w:cs="Calibri"/>
                <w:sz w:val="18"/>
                <w:szCs w:val="18"/>
                <w:lang w:eastAsia="hr-HR"/>
              </w:rPr>
            </w:pPr>
            <w:r w:rsidRPr="0078259C">
              <w:rPr>
                <w:rFonts w:ascii="Calibri" w:eastAsia="Times New Roman" w:hAnsi="Calibri" w:cs="Calibri"/>
                <w:sz w:val="18"/>
                <w:szCs w:val="18"/>
                <w:lang w:eastAsia="hr-HR"/>
              </w:rPr>
              <w:t>0</w:t>
            </w:r>
          </w:p>
        </w:tc>
        <w:tc>
          <w:tcPr>
            <w:tcW w:w="426" w:type="dxa"/>
            <w:gridSpan w:val="2"/>
            <w:tcBorders>
              <w:top w:val="nil"/>
              <w:left w:val="nil"/>
              <w:bottom w:val="single" w:sz="4" w:space="0" w:color="auto"/>
              <w:right w:val="single" w:sz="4" w:space="0" w:color="auto"/>
            </w:tcBorders>
            <w:shd w:val="clear" w:color="000000" w:fill="CCFFFF"/>
            <w:vAlign w:val="center"/>
            <w:hideMark/>
          </w:tcPr>
          <w:p w14:paraId="56BC9AE8" w14:textId="77777777" w:rsidR="0078259C" w:rsidRPr="0078259C" w:rsidRDefault="0078259C" w:rsidP="0078259C">
            <w:pPr>
              <w:spacing w:after="0" w:line="240" w:lineRule="auto"/>
              <w:jc w:val="right"/>
              <w:rPr>
                <w:rFonts w:ascii="Calibri" w:eastAsia="Times New Roman" w:hAnsi="Calibri" w:cs="Calibri"/>
                <w:sz w:val="18"/>
                <w:szCs w:val="18"/>
                <w:lang w:eastAsia="hr-HR"/>
              </w:rPr>
            </w:pPr>
            <w:r w:rsidRPr="0078259C">
              <w:rPr>
                <w:rFonts w:ascii="Calibri" w:eastAsia="Times New Roman" w:hAnsi="Calibri" w:cs="Calibri"/>
                <w:sz w:val="18"/>
                <w:szCs w:val="18"/>
                <w:lang w:eastAsia="hr-HR"/>
              </w:rPr>
              <w:t>0</w:t>
            </w:r>
          </w:p>
        </w:tc>
        <w:tc>
          <w:tcPr>
            <w:tcW w:w="446" w:type="dxa"/>
            <w:tcBorders>
              <w:top w:val="nil"/>
              <w:left w:val="nil"/>
              <w:bottom w:val="single" w:sz="4" w:space="0" w:color="auto"/>
              <w:right w:val="single" w:sz="4" w:space="0" w:color="auto"/>
            </w:tcBorders>
            <w:shd w:val="clear" w:color="000000" w:fill="CCFFFF"/>
            <w:vAlign w:val="center"/>
            <w:hideMark/>
          </w:tcPr>
          <w:p w14:paraId="1C8F8C74" w14:textId="77777777" w:rsidR="0078259C" w:rsidRPr="0078259C" w:rsidRDefault="0078259C" w:rsidP="0078259C">
            <w:pPr>
              <w:spacing w:after="0" w:line="240" w:lineRule="auto"/>
              <w:jc w:val="right"/>
              <w:rPr>
                <w:rFonts w:ascii="Calibri" w:eastAsia="Times New Roman" w:hAnsi="Calibri" w:cs="Calibri"/>
                <w:sz w:val="18"/>
                <w:szCs w:val="18"/>
                <w:lang w:eastAsia="hr-HR"/>
              </w:rPr>
            </w:pPr>
            <w:r w:rsidRPr="0078259C">
              <w:rPr>
                <w:rFonts w:ascii="Calibri" w:eastAsia="Times New Roman" w:hAnsi="Calibri" w:cs="Calibri"/>
                <w:sz w:val="18"/>
                <w:szCs w:val="18"/>
                <w:lang w:eastAsia="hr-HR"/>
              </w:rPr>
              <w:t>0</w:t>
            </w:r>
          </w:p>
        </w:tc>
        <w:tc>
          <w:tcPr>
            <w:tcW w:w="404" w:type="dxa"/>
            <w:tcBorders>
              <w:top w:val="nil"/>
              <w:left w:val="nil"/>
              <w:bottom w:val="single" w:sz="4" w:space="0" w:color="auto"/>
              <w:right w:val="single" w:sz="4" w:space="0" w:color="auto"/>
            </w:tcBorders>
            <w:shd w:val="clear" w:color="000000" w:fill="CCFFFF"/>
            <w:noWrap/>
            <w:vAlign w:val="center"/>
            <w:hideMark/>
          </w:tcPr>
          <w:p w14:paraId="4A0BED45" w14:textId="77777777" w:rsidR="0078259C" w:rsidRPr="0078259C" w:rsidRDefault="0078259C" w:rsidP="0078259C">
            <w:pPr>
              <w:spacing w:after="0" w:line="240" w:lineRule="auto"/>
              <w:jc w:val="right"/>
              <w:rPr>
                <w:rFonts w:ascii="Calibri" w:eastAsia="Times New Roman" w:hAnsi="Calibri" w:cs="Calibri"/>
                <w:sz w:val="18"/>
                <w:szCs w:val="18"/>
                <w:lang w:eastAsia="hr-HR"/>
              </w:rPr>
            </w:pPr>
            <w:r w:rsidRPr="0078259C">
              <w:rPr>
                <w:rFonts w:ascii="Calibri" w:eastAsia="Times New Roman" w:hAnsi="Calibri" w:cs="Calibri"/>
                <w:sz w:val="18"/>
                <w:szCs w:val="18"/>
                <w:lang w:eastAsia="hr-HR"/>
              </w:rPr>
              <w:t>0</w:t>
            </w:r>
          </w:p>
        </w:tc>
        <w:tc>
          <w:tcPr>
            <w:tcW w:w="839" w:type="dxa"/>
            <w:gridSpan w:val="2"/>
            <w:tcBorders>
              <w:top w:val="nil"/>
              <w:left w:val="nil"/>
              <w:bottom w:val="single" w:sz="4" w:space="0" w:color="auto"/>
              <w:right w:val="single" w:sz="4" w:space="0" w:color="auto"/>
            </w:tcBorders>
            <w:shd w:val="clear" w:color="000000" w:fill="33CCCC"/>
            <w:noWrap/>
            <w:vAlign w:val="center"/>
            <w:hideMark/>
          </w:tcPr>
          <w:p w14:paraId="469A5392" w14:textId="77777777" w:rsidR="0078259C" w:rsidRPr="0078259C" w:rsidRDefault="0078259C" w:rsidP="0078259C">
            <w:pPr>
              <w:spacing w:after="0" w:line="240" w:lineRule="auto"/>
              <w:jc w:val="right"/>
              <w:rPr>
                <w:rFonts w:ascii="Calibri" w:eastAsia="Times New Roman" w:hAnsi="Calibri" w:cs="Calibri"/>
                <w:sz w:val="18"/>
                <w:szCs w:val="18"/>
                <w:lang w:eastAsia="hr-HR"/>
              </w:rPr>
            </w:pPr>
            <w:r w:rsidRPr="0078259C">
              <w:rPr>
                <w:rFonts w:ascii="Calibri" w:eastAsia="Times New Roman" w:hAnsi="Calibri" w:cs="Calibri"/>
                <w:sz w:val="18"/>
                <w:szCs w:val="18"/>
                <w:lang w:eastAsia="hr-HR"/>
              </w:rPr>
              <w:t>0</w:t>
            </w:r>
          </w:p>
        </w:tc>
        <w:tc>
          <w:tcPr>
            <w:tcW w:w="839" w:type="dxa"/>
            <w:tcBorders>
              <w:top w:val="nil"/>
              <w:left w:val="nil"/>
              <w:bottom w:val="single" w:sz="4" w:space="0" w:color="auto"/>
              <w:right w:val="nil"/>
            </w:tcBorders>
            <w:shd w:val="clear" w:color="000000" w:fill="33CCCC"/>
            <w:noWrap/>
            <w:vAlign w:val="center"/>
            <w:hideMark/>
          </w:tcPr>
          <w:p w14:paraId="2984EA46" w14:textId="77777777" w:rsidR="0078259C" w:rsidRPr="0078259C" w:rsidRDefault="0078259C" w:rsidP="0078259C">
            <w:pPr>
              <w:spacing w:after="0" w:line="240" w:lineRule="auto"/>
              <w:jc w:val="right"/>
              <w:rPr>
                <w:rFonts w:ascii="Calibri" w:eastAsia="Times New Roman" w:hAnsi="Calibri" w:cs="Calibri"/>
                <w:sz w:val="18"/>
                <w:szCs w:val="18"/>
                <w:lang w:eastAsia="hr-HR"/>
              </w:rPr>
            </w:pPr>
            <w:r w:rsidRPr="0078259C">
              <w:rPr>
                <w:rFonts w:ascii="Calibri" w:eastAsia="Times New Roman" w:hAnsi="Calibri" w:cs="Calibri"/>
                <w:sz w:val="18"/>
                <w:szCs w:val="18"/>
                <w:lang w:eastAsia="hr-HR"/>
              </w:rPr>
              <w:t>0</w:t>
            </w:r>
          </w:p>
        </w:tc>
        <w:tc>
          <w:tcPr>
            <w:tcW w:w="236" w:type="dxa"/>
            <w:gridSpan w:val="2"/>
            <w:vAlign w:val="center"/>
            <w:hideMark/>
          </w:tcPr>
          <w:p w14:paraId="6B1C37EC" w14:textId="77777777" w:rsidR="0078259C" w:rsidRPr="0078259C" w:rsidRDefault="0078259C" w:rsidP="0078259C">
            <w:pPr>
              <w:spacing w:after="0" w:line="240" w:lineRule="auto"/>
              <w:rPr>
                <w:rFonts w:ascii="Times New Roman" w:eastAsia="Times New Roman" w:hAnsi="Times New Roman" w:cs="Times New Roman"/>
                <w:sz w:val="18"/>
                <w:szCs w:val="18"/>
                <w:lang w:eastAsia="hr-HR"/>
              </w:rPr>
            </w:pPr>
          </w:p>
        </w:tc>
      </w:tr>
      <w:tr w:rsidR="0078259C" w:rsidRPr="0078259C" w14:paraId="1491DE5C" w14:textId="77777777" w:rsidTr="0078259C">
        <w:trPr>
          <w:gridAfter w:val="2"/>
          <w:wAfter w:w="44" w:type="dxa"/>
          <w:trHeight w:val="405"/>
        </w:trPr>
        <w:tc>
          <w:tcPr>
            <w:tcW w:w="1394" w:type="dxa"/>
            <w:tcBorders>
              <w:top w:val="single" w:sz="4" w:space="0" w:color="auto"/>
              <w:left w:val="single" w:sz="8" w:space="0" w:color="auto"/>
              <w:bottom w:val="single" w:sz="4" w:space="0" w:color="auto"/>
              <w:right w:val="single" w:sz="4" w:space="0" w:color="auto"/>
            </w:tcBorders>
            <w:shd w:val="clear" w:color="000000" w:fill="CCFFCC"/>
            <w:vAlign w:val="center"/>
            <w:hideMark/>
          </w:tcPr>
          <w:p w14:paraId="201383C8" w14:textId="77777777" w:rsidR="0078259C" w:rsidRPr="0078259C" w:rsidRDefault="0078259C" w:rsidP="0078259C">
            <w:pPr>
              <w:spacing w:after="0" w:line="240" w:lineRule="auto"/>
              <w:jc w:val="center"/>
              <w:rPr>
                <w:rFonts w:ascii="Calibri" w:eastAsia="Times New Roman" w:hAnsi="Calibri" w:cs="Calibri"/>
                <w:sz w:val="18"/>
                <w:szCs w:val="18"/>
                <w:lang w:eastAsia="hr-HR"/>
              </w:rPr>
            </w:pPr>
            <w:r w:rsidRPr="0078259C">
              <w:rPr>
                <w:rFonts w:ascii="Calibri" w:eastAsia="Times New Roman" w:hAnsi="Calibri" w:cs="Calibri"/>
                <w:sz w:val="18"/>
                <w:szCs w:val="18"/>
                <w:lang w:eastAsia="hr-HR"/>
              </w:rPr>
              <w:t>Imovno stanje</w:t>
            </w:r>
          </w:p>
        </w:tc>
        <w:tc>
          <w:tcPr>
            <w:tcW w:w="575" w:type="dxa"/>
            <w:tcBorders>
              <w:top w:val="nil"/>
              <w:left w:val="nil"/>
              <w:bottom w:val="single" w:sz="4" w:space="0" w:color="auto"/>
              <w:right w:val="single" w:sz="4" w:space="0" w:color="auto"/>
            </w:tcBorders>
            <w:shd w:val="clear" w:color="000000" w:fill="CCFFCC"/>
            <w:vAlign w:val="center"/>
            <w:hideMark/>
          </w:tcPr>
          <w:p w14:paraId="27B35797" w14:textId="77777777" w:rsidR="0078259C" w:rsidRPr="0078259C" w:rsidRDefault="0078259C" w:rsidP="0078259C">
            <w:pPr>
              <w:spacing w:after="0" w:line="240" w:lineRule="auto"/>
              <w:jc w:val="right"/>
              <w:rPr>
                <w:rFonts w:ascii="Calibri" w:eastAsia="Times New Roman" w:hAnsi="Calibri" w:cs="Calibri"/>
                <w:sz w:val="18"/>
                <w:szCs w:val="18"/>
                <w:lang w:eastAsia="hr-HR"/>
              </w:rPr>
            </w:pPr>
            <w:r w:rsidRPr="0078259C">
              <w:rPr>
                <w:rFonts w:ascii="Calibri" w:eastAsia="Times New Roman" w:hAnsi="Calibri" w:cs="Calibri"/>
                <w:sz w:val="18"/>
                <w:szCs w:val="18"/>
                <w:lang w:eastAsia="hr-HR"/>
              </w:rPr>
              <w:t>0</w:t>
            </w:r>
          </w:p>
        </w:tc>
        <w:tc>
          <w:tcPr>
            <w:tcW w:w="488" w:type="dxa"/>
            <w:tcBorders>
              <w:top w:val="nil"/>
              <w:left w:val="nil"/>
              <w:bottom w:val="single" w:sz="4" w:space="0" w:color="auto"/>
              <w:right w:val="single" w:sz="4" w:space="0" w:color="auto"/>
            </w:tcBorders>
            <w:shd w:val="clear" w:color="000000" w:fill="FFCC99"/>
            <w:noWrap/>
            <w:vAlign w:val="center"/>
            <w:hideMark/>
          </w:tcPr>
          <w:p w14:paraId="2633FDB8" w14:textId="77777777" w:rsidR="0078259C" w:rsidRPr="0078259C" w:rsidRDefault="0078259C" w:rsidP="0078259C">
            <w:pPr>
              <w:spacing w:after="0" w:line="240" w:lineRule="auto"/>
              <w:jc w:val="right"/>
              <w:rPr>
                <w:rFonts w:ascii="Calibri" w:eastAsia="Times New Roman" w:hAnsi="Calibri" w:cs="Calibri"/>
                <w:sz w:val="18"/>
                <w:szCs w:val="18"/>
                <w:lang w:eastAsia="hr-HR"/>
              </w:rPr>
            </w:pPr>
            <w:r w:rsidRPr="0078259C">
              <w:rPr>
                <w:rFonts w:ascii="Calibri" w:eastAsia="Times New Roman" w:hAnsi="Calibri" w:cs="Calibri"/>
                <w:sz w:val="18"/>
                <w:szCs w:val="18"/>
                <w:lang w:eastAsia="hr-HR"/>
              </w:rPr>
              <w:t>0</w:t>
            </w:r>
          </w:p>
        </w:tc>
        <w:tc>
          <w:tcPr>
            <w:tcW w:w="500" w:type="dxa"/>
            <w:tcBorders>
              <w:top w:val="nil"/>
              <w:left w:val="nil"/>
              <w:bottom w:val="single" w:sz="4" w:space="0" w:color="auto"/>
              <w:right w:val="single" w:sz="4" w:space="0" w:color="auto"/>
            </w:tcBorders>
            <w:shd w:val="clear" w:color="000000" w:fill="FFCC99"/>
            <w:noWrap/>
            <w:vAlign w:val="center"/>
            <w:hideMark/>
          </w:tcPr>
          <w:p w14:paraId="339948B9" w14:textId="77777777" w:rsidR="0078259C" w:rsidRPr="0078259C" w:rsidRDefault="0078259C" w:rsidP="0078259C">
            <w:pPr>
              <w:spacing w:after="0" w:line="240" w:lineRule="auto"/>
              <w:jc w:val="right"/>
              <w:rPr>
                <w:rFonts w:ascii="Calibri" w:eastAsia="Times New Roman" w:hAnsi="Calibri" w:cs="Calibri"/>
                <w:sz w:val="18"/>
                <w:szCs w:val="18"/>
                <w:lang w:eastAsia="hr-HR"/>
              </w:rPr>
            </w:pPr>
            <w:r w:rsidRPr="0078259C">
              <w:rPr>
                <w:rFonts w:ascii="Calibri" w:eastAsia="Times New Roman" w:hAnsi="Calibri" w:cs="Calibri"/>
                <w:sz w:val="18"/>
                <w:szCs w:val="18"/>
                <w:lang w:eastAsia="hr-HR"/>
              </w:rPr>
              <w:t>0</w:t>
            </w:r>
          </w:p>
        </w:tc>
        <w:tc>
          <w:tcPr>
            <w:tcW w:w="435" w:type="dxa"/>
            <w:tcBorders>
              <w:top w:val="nil"/>
              <w:left w:val="nil"/>
              <w:bottom w:val="single" w:sz="4" w:space="0" w:color="auto"/>
              <w:right w:val="single" w:sz="4" w:space="0" w:color="auto"/>
            </w:tcBorders>
            <w:shd w:val="clear" w:color="000000" w:fill="CCFFFF"/>
            <w:vAlign w:val="center"/>
            <w:hideMark/>
          </w:tcPr>
          <w:p w14:paraId="1A87A29F" w14:textId="77777777" w:rsidR="0078259C" w:rsidRPr="0078259C" w:rsidRDefault="0078259C" w:rsidP="0078259C">
            <w:pPr>
              <w:spacing w:after="0" w:line="240" w:lineRule="auto"/>
              <w:jc w:val="right"/>
              <w:rPr>
                <w:rFonts w:ascii="Calibri" w:eastAsia="Times New Roman" w:hAnsi="Calibri" w:cs="Calibri"/>
                <w:sz w:val="18"/>
                <w:szCs w:val="18"/>
                <w:lang w:eastAsia="hr-HR"/>
              </w:rPr>
            </w:pPr>
            <w:r w:rsidRPr="0078259C">
              <w:rPr>
                <w:rFonts w:ascii="Calibri" w:eastAsia="Times New Roman" w:hAnsi="Calibri" w:cs="Calibri"/>
                <w:sz w:val="18"/>
                <w:szCs w:val="18"/>
                <w:lang w:eastAsia="hr-HR"/>
              </w:rPr>
              <w:t>0</w:t>
            </w:r>
          </w:p>
        </w:tc>
        <w:tc>
          <w:tcPr>
            <w:tcW w:w="426" w:type="dxa"/>
            <w:tcBorders>
              <w:top w:val="nil"/>
              <w:left w:val="nil"/>
              <w:bottom w:val="single" w:sz="4" w:space="0" w:color="auto"/>
              <w:right w:val="single" w:sz="4" w:space="0" w:color="auto"/>
            </w:tcBorders>
            <w:shd w:val="clear" w:color="000000" w:fill="CCFFFF"/>
            <w:noWrap/>
            <w:vAlign w:val="center"/>
            <w:hideMark/>
          </w:tcPr>
          <w:p w14:paraId="60767731" w14:textId="77777777" w:rsidR="0078259C" w:rsidRPr="0078259C" w:rsidRDefault="0078259C" w:rsidP="0078259C">
            <w:pPr>
              <w:spacing w:after="0" w:line="240" w:lineRule="auto"/>
              <w:jc w:val="right"/>
              <w:rPr>
                <w:rFonts w:ascii="Calibri" w:eastAsia="Times New Roman" w:hAnsi="Calibri" w:cs="Calibri"/>
                <w:sz w:val="18"/>
                <w:szCs w:val="18"/>
                <w:lang w:eastAsia="hr-HR"/>
              </w:rPr>
            </w:pPr>
            <w:r w:rsidRPr="0078259C">
              <w:rPr>
                <w:rFonts w:ascii="Calibri" w:eastAsia="Times New Roman" w:hAnsi="Calibri" w:cs="Calibri"/>
                <w:sz w:val="18"/>
                <w:szCs w:val="18"/>
                <w:lang w:eastAsia="hr-HR"/>
              </w:rPr>
              <w:t>0</w:t>
            </w:r>
          </w:p>
        </w:tc>
        <w:tc>
          <w:tcPr>
            <w:tcW w:w="425" w:type="dxa"/>
            <w:tcBorders>
              <w:top w:val="nil"/>
              <w:left w:val="nil"/>
              <w:bottom w:val="single" w:sz="4" w:space="0" w:color="auto"/>
              <w:right w:val="single" w:sz="4" w:space="0" w:color="auto"/>
            </w:tcBorders>
            <w:shd w:val="clear" w:color="000000" w:fill="FFFF99"/>
            <w:noWrap/>
            <w:vAlign w:val="center"/>
            <w:hideMark/>
          </w:tcPr>
          <w:p w14:paraId="3BC76CF1" w14:textId="77777777" w:rsidR="0078259C" w:rsidRPr="0078259C" w:rsidRDefault="0078259C" w:rsidP="0078259C">
            <w:pPr>
              <w:spacing w:after="0" w:line="240" w:lineRule="auto"/>
              <w:jc w:val="right"/>
              <w:rPr>
                <w:rFonts w:ascii="Calibri" w:eastAsia="Times New Roman" w:hAnsi="Calibri" w:cs="Calibri"/>
                <w:sz w:val="18"/>
                <w:szCs w:val="18"/>
                <w:lang w:eastAsia="hr-HR"/>
              </w:rPr>
            </w:pPr>
            <w:r w:rsidRPr="0078259C">
              <w:rPr>
                <w:rFonts w:ascii="Calibri" w:eastAsia="Times New Roman" w:hAnsi="Calibri" w:cs="Calibri"/>
                <w:sz w:val="18"/>
                <w:szCs w:val="18"/>
                <w:lang w:eastAsia="hr-HR"/>
              </w:rPr>
              <w:t>0</w:t>
            </w:r>
          </w:p>
        </w:tc>
        <w:tc>
          <w:tcPr>
            <w:tcW w:w="567" w:type="dxa"/>
            <w:tcBorders>
              <w:top w:val="nil"/>
              <w:left w:val="nil"/>
              <w:bottom w:val="single" w:sz="4" w:space="0" w:color="auto"/>
              <w:right w:val="single" w:sz="4" w:space="0" w:color="auto"/>
            </w:tcBorders>
            <w:shd w:val="clear" w:color="000000" w:fill="FFFF99"/>
            <w:noWrap/>
            <w:vAlign w:val="center"/>
            <w:hideMark/>
          </w:tcPr>
          <w:p w14:paraId="6CAB20BB" w14:textId="77777777" w:rsidR="0078259C" w:rsidRPr="0078259C" w:rsidRDefault="0078259C" w:rsidP="0078259C">
            <w:pPr>
              <w:spacing w:after="0" w:line="240" w:lineRule="auto"/>
              <w:jc w:val="right"/>
              <w:rPr>
                <w:rFonts w:ascii="Calibri" w:eastAsia="Times New Roman" w:hAnsi="Calibri" w:cs="Calibri"/>
                <w:sz w:val="18"/>
                <w:szCs w:val="18"/>
                <w:lang w:eastAsia="hr-HR"/>
              </w:rPr>
            </w:pPr>
            <w:r w:rsidRPr="0078259C">
              <w:rPr>
                <w:rFonts w:ascii="Calibri" w:eastAsia="Times New Roman" w:hAnsi="Calibri" w:cs="Calibri"/>
                <w:sz w:val="18"/>
                <w:szCs w:val="18"/>
                <w:lang w:eastAsia="hr-HR"/>
              </w:rPr>
              <w:t>0</w:t>
            </w:r>
          </w:p>
        </w:tc>
        <w:tc>
          <w:tcPr>
            <w:tcW w:w="567" w:type="dxa"/>
            <w:tcBorders>
              <w:top w:val="nil"/>
              <w:left w:val="nil"/>
              <w:bottom w:val="single" w:sz="4" w:space="0" w:color="auto"/>
              <w:right w:val="single" w:sz="4" w:space="0" w:color="auto"/>
            </w:tcBorders>
            <w:shd w:val="clear" w:color="000000" w:fill="FFFF99"/>
            <w:noWrap/>
            <w:vAlign w:val="center"/>
            <w:hideMark/>
          </w:tcPr>
          <w:p w14:paraId="7C139533" w14:textId="77777777" w:rsidR="0078259C" w:rsidRPr="0078259C" w:rsidRDefault="0078259C" w:rsidP="0078259C">
            <w:pPr>
              <w:spacing w:after="0" w:line="240" w:lineRule="auto"/>
              <w:jc w:val="right"/>
              <w:rPr>
                <w:rFonts w:ascii="Calibri" w:eastAsia="Times New Roman" w:hAnsi="Calibri" w:cs="Calibri"/>
                <w:sz w:val="18"/>
                <w:szCs w:val="18"/>
                <w:lang w:eastAsia="hr-HR"/>
              </w:rPr>
            </w:pPr>
            <w:r w:rsidRPr="0078259C">
              <w:rPr>
                <w:rFonts w:ascii="Calibri" w:eastAsia="Times New Roman" w:hAnsi="Calibri" w:cs="Calibri"/>
                <w:sz w:val="18"/>
                <w:szCs w:val="18"/>
                <w:lang w:eastAsia="hr-HR"/>
              </w:rPr>
              <w:t>0</w:t>
            </w:r>
          </w:p>
        </w:tc>
        <w:tc>
          <w:tcPr>
            <w:tcW w:w="437" w:type="dxa"/>
            <w:tcBorders>
              <w:top w:val="nil"/>
              <w:left w:val="nil"/>
              <w:bottom w:val="single" w:sz="4" w:space="0" w:color="auto"/>
              <w:right w:val="single" w:sz="4" w:space="0" w:color="auto"/>
            </w:tcBorders>
            <w:shd w:val="clear" w:color="000000" w:fill="FFFF99"/>
            <w:noWrap/>
            <w:vAlign w:val="center"/>
            <w:hideMark/>
          </w:tcPr>
          <w:p w14:paraId="164FBBB1" w14:textId="77777777" w:rsidR="0078259C" w:rsidRPr="0078259C" w:rsidRDefault="0078259C" w:rsidP="0078259C">
            <w:pPr>
              <w:spacing w:after="0" w:line="240" w:lineRule="auto"/>
              <w:jc w:val="right"/>
              <w:rPr>
                <w:rFonts w:ascii="Calibri" w:eastAsia="Times New Roman" w:hAnsi="Calibri" w:cs="Calibri"/>
                <w:sz w:val="18"/>
                <w:szCs w:val="18"/>
                <w:lang w:eastAsia="hr-HR"/>
              </w:rPr>
            </w:pPr>
            <w:r w:rsidRPr="0078259C">
              <w:rPr>
                <w:rFonts w:ascii="Calibri" w:eastAsia="Times New Roman" w:hAnsi="Calibri" w:cs="Calibri"/>
                <w:sz w:val="18"/>
                <w:szCs w:val="18"/>
                <w:lang w:eastAsia="hr-HR"/>
              </w:rPr>
              <w:t>0</w:t>
            </w:r>
          </w:p>
        </w:tc>
        <w:tc>
          <w:tcPr>
            <w:tcW w:w="413" w:type="dxa"/>
            <w:tcBorders>
              <w:top w:val="nil"/>
              <w:left w:val="nil"/>
              <w:bottom w:val="single" w:sz="4" w:space="0" w:color="auto"/>
              <w:right w:val="single" w:sz="4" w:space="0" w:color="auto"/>
            </w:tcBorders>
            <w:shd w:val="clear" w:color="000000" w:fill="FFFF99"/>
            <w:noWrap/>
            <w:vAlign w:val="center"/>
            <w:hideMark/>
          </w:tcPr>
          <w:p w14:paraId="0BE03A03" w14:textId="77777777" w:rsidR="0078259C" w:rsidRPr="0078259C" w:rsidRDefault="0078259C" w:rsidP="0078259C">
            <w:pPr>
              <w:spacing w:after="0" w:line="240" w:lineRule="auto"/>
              <w:jc w:val="right"/>
              <w:rPr>
                <w:rFonts w:ascii="Calibri" w:eastAsia="Times New Roman" w:hAnsi="Calibri" w:cs="Calibri"/>
                <w:sz w:val="18"/>
                <w:szCs w:val="18"/>
                <w:lang w:eastAsia="hr-HR"/>
              </w:rPr>
            </w:pPr>
            <w:r w:rsidRPr="0078259C">
              <w:rPr>
                <w:rFonts w:ascii="Calibri" w:eastAsia="Times New Roman" w:hAnsi="Calibri" w:cs="Calibri"/>
                <w:sz w:val="18"/>
                <w:szCs w:val="18"/>
                <w:lang w:eastAsia="hr-HR"/>
              </w:rPr>
              <w:t>0</w:t>
            </w:r>
          </w:p>
        </w:tc>
        <w:tc>
          <w:tcPr>
            <w:tcW w:w="283" w:type="dxa"/>
            <w:gridSpan w:val="2"/>
            <w:tcBorders>
              <w:top w:val="nil"/>
              <w:left w:val="nil"/>
              <w:bottom w:val="single" w:sz="4" w:space="0" w:color="auto"/>
              <w:right w:val="single" w:sz="4" w:space="0" w:color="auto"/>
            </w:tcBorders>
            <w:shd w:val="clear" w:color="000000" w:fill="FF9900"/>
            <w:noWrap/>
            <w:vAlign w:val="center"/>
            <w:hideMark/>
          </w:tcPr>
          <w:p w14:paraId="341E4E39" w14:textId="77777777" w:rsidR="0078259C" w:rsidRPr="0078259C" w:rsidRDefault="0078259C" w:rsidP="0078259C">
            <w:pPr>
              <w:spacing w:after="0" w:line="240" w:lineRule="auto"/>
              <w:jc w:val="right"/>
              <w:rPr>
                <w:rFonts w:ascii="Calibri" w:eastAsia="Times New Roman" w:hAnsi="Calibri" w:cs="Calibri"/>
                <w:sz w:val="18"/>
                <w:szCs w:val="18"/>
                <w:lang w:eastAsia="hr-HR"/>
              </w:rPr>
            </w:pPr>
            <w:r w:rsidRPr="0078259C">
              <w:rPr>
                <w:rFonts w:ascii="Calibri" w:eastAsia="Times New Roman" w:hAnsi="Calibri" w:cs="Calibri"/>
                <w:sz w:val="18"/>
                <w:szCs w:val="18"/>
                <w:lang w:eastAsia="hr-HR"/>
              </w:rPr>
              <w:t>0</w:t>
            </w:r>
          </w:p>
        </w:tc>
        <w:tc>
          <w:tcPr>
            <w:tcW w:w="568" w:type="dxa"/>
            <w:tcBorders>
              <w:top w:val="nil"/>
              <w:left w:val="nil"/>
              <w:bottom w:val="single" w:sz="4" w:space="0" w:color="auto"/>
              <w:right w:val="single" w:sz="4" w:space="0" w:color="auto"/>
            </w:tcBorders>
            <w:shd w:val="clear" w:color="000000" w:fill="FF9900"/>
            <w:noWrap/>
            <w:vAlign w:val="center"/>
            <w:hideMark/>
          </w:tcPr>
          <w:p w14:paraId="09AB9EFA" w14:textId="77777777" w:rsidR="0078259C" w:rsidRPr="0078259C" w:rsidRDefault="0078259C" w:rsidP="0078259C">
            <w:pPr>
              <w:spacing w:after="0" w:line="240" w:lineRule="auto"/>
              <w:jc w:val="right"/>
              <w:rPr>
                <w:rFonts w:ascii="Calibri" w:eastAsia="Times New Roman" w:hAnsi="Calibri" w:cs="Calibri"/>
                <w:sz w:val="18"/>
                <w:szCs w:val="18"/>
                <w:lang w:eastAsia="hr-HR"/>
              </w:rPr>
            </w:pPr>
            <w:r w:rsidRPr="0078259C">
              <w:rPr>
                <w:rFonts w:ascii="Calibri" w:eastAsia="Times New Roman" w:hAnsi="Calibri" w:cs="Calibri"/>
                <w:sz w:val="18"/>
                <w:szCs w:val="18"/>
                <w:lang w:eastAsia="hr-HR"/>
              </w:rPr>
              <w:t>0</w:t>
            </w:r>
          </w:p>
        </w:tc>
        <w:tc>
          <w:tcPr>
            <w:tcW w:w="425" w:type="dxa"/>
            <w:tcBorders>
              <w:top w:val="nil"/>
              <w:left w:val="nil"/>
              <w:bottom w:val="single" w:sz="4" w:space="0" w:color="auto"/>
              <w:right w:val="single" w:sz="4" w:space="0" w:color="auto"/>
            </w:tcBorders>
            <w:shd w:val="clear" w:color="000000" w:fill="FF9900"/>
            <w:noWrap/>
            <w:vAlign w:val="center"/>
            <w:hideMark/>
          </w:tcPr>
          <w:p w14:paraId="17FE8E20" w14:textId="77777777" w:rsidR="0078259C" w:rsidRPr="0078259C" w:rsidRDefault="0078259C" w:rsidP="0078259C">
            <w:pPr>
              <w:spacing w:after="0" w:line="240" w:lineRule="auto"/>
              <w:jc w:val="right"/>
              <w:rPr>
                <w:rFonts w:ascii="Calibri" w:eastAsia="Times New Roman" w:hAnsi="Calibri" w:cs="Calibri"/>
                <w:sz w:val="18"/>
                <w:szCs w:val="18"/>
                <w:lang w:eastAsia="hr-HR"/>
              </w:rPr>
            </w:pPr>
            <w:r w:rsidRPr="0078259C">
              <w:rPr>
                <w:rFonts w:ascii="Calibri" w:eastAsia="Times New Roman" w:hAnsi="Calibri" w:cs="Calibri"/>
                <w:sz w:val="18"/>
                <w:szCs w:val="18"/>
                <w:lang w:eastAsia="hr-HR"/>
              </w:rPr>
              <w:t>0</w:t>
            </w:r>
          </w:p>
        </w:tc>
        <w:tc>
          <w:tcPr>
            <w:tcW w:w="425" w:type="dxa"/>
            <w:gridSpan w:val="2"/>
            <w:tcBorders>
              <w:top w:val="nil"/>
              <w:left w:val="nil"/>
              <w:bottom w:val="single" w:sz="4" w:space="0" w:color="auto"/>
              <w:right w:val="single" w:sz="4" w:space="0" w:color="auto"/>
            </w:tcBorders>
            <w:shd w:val="clear" w:color="000000" w:fill="66FFCC"/>
            <w:noWrap/>
            <w:vAlign w:val="center"/>
            <w:hideMark/>
          </w:tcPr>
          <w:p w14:paraId="1B9F2909" w14:textId="77777777" w:rsidR="0078259C" w:rsidRPr="0078259C" w:rsidRDefault="0078259C" w:rsidP="0078259C">
            <w:pPr>
              <w:spacing w:after="0" w:line="240" w:lineRule="auto"/>
              <w:jc w:val="right"/>
              <w:rPr>
                <w:rFonts w:ascii="Calibri" w:eastAsia="Times New Roman" w:hAnsi="Calibri" w:cs="Calibri"/>
                <w:sz w:val="18"/>
                <w:szCs w:val="18"/>
                <w:lang w:eastAsia="hr-HR"/>
              </w:rPr>
            </w:pPr>
            <w:r w:rsidRPr="0078259C">
              <w:rPr>
                <w:rFonts w:ascii="Calibri" w:eastAsia="Times New Roman" w:hAnsi="Calibri" w:cs="Calibri"/>
                <w:sz w:val="18"/>
                <w:szCs w:val="18"/>
                <w:lang w:eastAsia="hr-HR"/>
              </w:rPr>
              <w:t>0</w:t>
            </w:r>
          </w:p>
        </w:tc>
        <w:tc>
          <w:tcPr>
            <w:tcW w:w="437" w:type="dxa"/>
            <w:tcBorders>
              <w:top w:val="nil"/>
              <w:left w:val="nil"/>
              <w:bottom w:val="single" w:sz="4" w:space="0" w:color="auto"/>
              <w:right w:val="single" w:sz="4" w:space="0" w:color="auto"/>
            </w:tcBorders>
            <w:shd w:val="clear" w:color="000000" w:fill="66FFCC"/>
            <w:noWrap/>
            <w:vAlign w:val="center"/>
            <w:hideMark/>
          </w:tcPr>
          <w:p w14:paraId="43F5F5B7" w14:textId="77777777" w:rsidR="0078259C" w:rsidRPr="0078259C" w:rsidRDefault="0078259C" w:rsidP="0078259C">
            <w:pPr>
              <w:spacing w:after="0" w:line="240" w:lineRule="auto"/>
              <w:jc w:val="right"/>
              <w:rPr>
                <w:rFonts w:ascii="Calibri" w:eastAsia="Times New Roman" w:hAnsi="Calibri" w:cs="Calibri"/>
                <w:sz w:val="18"/>
                <w:szCs w:val="18"/>
                <w:lang w:eastAsia="hr-HR"/>
              </w:rPr>
            </w:pPr>
            <w:r w:rsidRPr="0078259C">
              <w:rPr>
                <w:rFonts w:ascii="Calibri" w:eastAsia="Times New Roman" w:hAnsi="Calibri" w:cs="Calibri"/>
                <w:sz w:val="18"/>
                <w:szCs w:val="18"/>
                <w:lang w:eastAsia="hr-HR"/>
              </w:rPr>
              <w:t>0</w:t>
            </w:r>
          </w:p>
        </w:tc>
        <w:tc>
          <w:tcPr>
            <w:tcW w:w="556" w:type="dxa"/>
            <w:tcBorders>
              <w:top w:val="nil"/>
              <w:left w:val="nil"/>
              <w:bottom w:val="single" w:sz="4" w:space="0" w:color="auto"/>
              <w:right w:val="single" w:sz="4" w:space="0" w:color="auto"/>
            </w:tcBorders>
            <w:shd w:val="clear" w:color="000000" w:fill="66FFCC"/>
            <w:noWrap/>
            <w:vAlign w:val="center"/>
            <w:hideMark/>
          </w:tcPr>
          <w:p w14:paraId="4DE05734" w14:textId="77777777" w:rsidR="0078259C" w:rsidRPr="0078259C" w:rsidRDefault="0078259C" w:rsidP="0078259C">
            <w:pPr>
              <w:spacing w:after="0" w:line="240" w:lineRule="auto"/>
              <w:jc w:val="right"/>
              <w:rPr>
                <w:rFonts w:ascii="Calibri" w:eastAsia="Times New Roman" w:hAnsi="Calibri" w:cs="Calibri"/>
                <w:sz w:val="18"/>
                <w:szCs w:val="18"/>
                <w:lang w:eastAsia="hr-HR"/>
              </w:rPr>
            </w:pPr>
            <w:r w:rsidRPr="0078259C">
              <w:rPr>
                <w:rFonts w:ascii="Calibri" w:eastAsia="Times New Roman" w:hAnsi="Calibri" w:cs="Calibri"/>
                <w:sz w:val="18"/>
                <w:szCs w:val="18"/>
                <w:lang w:eastAsia="hr-HR"/>
              </w:rPr>
              <w:t>0</w:t>
            </w:r>
          </w:p>
        </w:tc>
        <w:tc>
          <w:tcPr>
            <w:tcW w:w="425" w:type="dxa"/>
            <w:tcBorders>
              <w:top w:val="nil"/>
              <w:left w:val="nil"/>
              <w:bottom w:val="single" w:sz="4" w:space="0" w:color="auto"/>
              <w:right w:val="single" w:sz="4" w:space="0" w:color="auto"/>
            </w:tcBorders>
            <w:shd w:val="clear" w:color="000000" w:fill="66FFCC"/>
            <w:noWrap/>
            <w:vAlign w:val="center"/>
            <w:hideMark/>
          </w:tcPr>
          <w:p w14:paraId="327E4B0C" w14:textId="77777777" w:rsidR="0078259C" w:rsidRPr="0078259C" w:rsidRDefault="0078259C" w:rsidP="0078259C">
            <w:pPr>
              <w:spacing w:after="0" w:line="240" w:lineRule="auto"/>
              <w:jc w:val="right"/>
              <w:rPr>
                <w:rFonts w:ascii="Calibri" w:eastAsia="Times New Roman" w:hAnsi="Calibri" w:cs="Calibri"/>
                <w:sz w:val="18"/>
                <w:szCs w:val="18"/>
                <w:lang w:eastAsia="hr-HR"/>
              </w:rPr>
            </w:pPr>
            <w:r w:rsidRPr="0078259C">
              <w:rPr>
                <w:rFonts w:ascii="Calibri" w:eastAsia="Times New Roman" w:hAnsi="Calibri" w:cs="Calibri"/>
                <w:sz w:val="18"/>
                <w:szCs w:val="18"/>
                <w:lang w:eastAsia="hr-HR"/>
              </w:rPr>
              <w:t>0</w:t>
            </w:r>
          </w:p>
        </w:tc>
        <w:tc>
          <w:tcPr>
            <w:tcW w:w="567" w:type="dxa"/>
            <w:gridSpan w:val="2"/>
            <w:tcBorders>
              <w:top w:val="nil"/>
              <w:left w:val="nil"/>
              <w:bottom w:val="single" w:sz="4" w:space="0" w:color="auto"/>
              <w:right w:val="single" w:sz="4" w:space="0" w:color="auto"/>
            </w:tcBorders>
            <w:shd w:val="clear" w:color="000000" w:fill="FFFF00"/>
            <w:vAlign w:val="center"/>
            <w:hideMark/>
          </w:tcPr>
          <w:p w14:paraId="3211C714" w14:textId="77777777" w:rsidR="0078259C" w:rsidRPr="0078259C" w:rsidRDefault="0078259C" w:rsidP="0078259C">
            <w:pPr>
              <w:spacing w:after="0" w:line="240" w:lineRule="auto"/>
              <w:jc w:val="right"/>
              <w:rPr>
                <w:rFonts w:ascii="Calibri" w:eastAsia="Times New Roman" w:hAnsi="Calibri" w:cs="Calibri"/>
                <w:sz w:val="18"/>
                <w:szCs w:val="18"/>
                <w:lang w:eastAsia="hr-HR"/>
              </w:rPr>
            </w:pPr>
            <w:r w:rsidRPr="0078259C">
              <w:rPr>
                <w:rFonts w:ascii="Calibri" w:eastAsia="Times New Roman" w:hAnsi="Calibri" w:cs="Calibri"/>
                <w:sz w:val="18"/>
                <w:szCs w:val="18"/>
                <w:lang w:eastAsia="hr-HR"/>
              </w:rPr>
              <w:t>0</w:t>
            </w:r>
          </w:p>
        </w:tc>
        <w:tc>
          <w:tcPr>
            <w:tcW w:w="578" w:type="dxa"/>
            <w:gridSpan w:val="2"/>
            <w:tcBorders>
              <w:top w:val="nil"/>
              <w:left w:val="nil"/>
              <w:bottom w:val="single" w:sz="4" w:space="0" w:color="auto"/>
              <w:right w:val="single" w:sz="4" w:space="0" w:color="auto"/>
            </w:tcBorders>
            <w:shd w:val="clear" w:color="000000" w:fill="FFFF99"/>
            <w:vAlign w:val="center"/>
            <w:hideMark/>
          </w:tcPr>
          <w:p w14:paraId="6F0F1B30" w14:textId="77777777" w:rsidR="0078259C" w:rsidRPr="0078259C" w:rsidRDefault="0078259C" w:rsidP="0078259C">
            <w:pPr>
              <w:spacing w:after="0" w:line="240" w:lineRule="auto"/>
              <w:jc w:val="right"/>
              <w:rPr>
                <w:rFonts w:ascii="Calibri" w:eastAsia="Times New Roman" w:hAnsi="Calibri" w:cs="Calibri"/>
                <w:sz w:val="18"/>
                <w:szCs w:val="18"/>
                <w:lang w:eastAsia="hr-HR"/>
              </w:rPr>
            </w:pPr>
            <w:r w:rsidRPr="0078259C">
              <w:rPr>
                <w:rFonts w:ascii="Calibri" w:eastAsia="Times New Roman" w:hAnsi="Calibri" w:cs="Calibri"/>
                <w:sz w:val="18"/>
                <w:szCs w:val="18"/>
                <w:lang w:eastAsia="hr-HR"/>
              </w:rPr>
              <w:t>0</w:t>
            </w:r>
          </w:p>
        </w:tc>
        <w:tc>
          <w:tcPr>
            <w:tcW w:w="839" w:type="dxa"/>
            <w:gridSpan w:val="2"/>
            <w:tcBorders>
              <w:top w:val="nil"/>
              <w:left w:val="nil"/>
              <w:bottom w:val="single" w:sz="4" w:space="0" w:color="auto"/>
              <w:right w:val="single" w:sz="4" w:space="0" w:color="auto"/>
            </w:tcBorders>
            <w:shd w:val="clear" w:color="000000" w:fill="FF9900"/>
            <w:vAlign w:val="center"/>
            <w:hideMark/>
          </w:tcPr>
          <w:p w14:paraId="3192E0DF" w14:textId="77777777" w:rsidR="0078259C" w:rsidRPr="0078259C" w:rsidRDefault="0078259C" w:rsidP="0078259C">
            <w:pPr>
              <w:spacing w:after="0" w:line="240" w:lineRule="auto"/>
              <w:jc w:val="right"/>
              <w:rPr>
                <w:rFonts w:ascii="Calibri" w:eastAsia="Times New Roman" w:hAnsi="Calibri" w:cs="Calibri"/>
                <w:sz w:val="18"/>
                <w:szCs w:val="18"/>
                <w:lang w:eastAsia="hr-HR"/>
              </w:rPr>
            </w:pPr>
            <w:r w:rsidRPr="0078259C">
              <w:rPr>
                <w:rFonts w:ascii="Calibri" w:eastAsia="Times New Roman" w:hAnsi="Calibri" w:cs="Calibri"/>
                <w:sz w:val="18"/>
                <w:szCs w:val="18"/>
                <w:lang w:eastAsia="hr-HR"/>
              </w:rPr>
              <w:t>0</w:t>
            </w:r>
          </w:p>
        </w:tc>
        <w:tc>
          <w:tcPr>
            <w:tcW w:w="426" w:type="dxa"/>
            <w:gridSpan w:val="2"/>
            <w:tcBorders>
              <w:top w:val="nil"/>
              <w:left w:val="nil"/>
              <w:bottom w:val="single" w:sz="4" w:space="0" w:color="auto"/>
              <w:right w:val="single" w:sz="4" w:space="0" w:color="auto"/>
            </w:tcBorders>
            <w:shd w:val="clear" w:color="000000" w:fill="CCFFFF"/>
            <w:vAlign w:val="center"/>
            <w:hideMark/>
          </w:tcPr>
          <w:p w14:paraId="6AC99C28" w14:textId="77777777" w:rsidR="0078259C" w:rsidRPr="0078259C" w:rsidRDefault="0078259C" w:rsidP="0078259C">
            <w:pPr>
              <w:spacing w:after="0" w:line="240" w:lineRule="auto"/>
              <w:jc w:val="right"/>
              <w:rPr>
                <w:rFonts w:ascii="Calibri" w:eastAsia="Times New Roman" w:hAnsi="Calibri" w:cs="Calibri"/>
                <w:sz w:val="18"/>
                <w:szCs w:val="18"/>
                <w:lang w:eastAsia="hr-HR"/>
              </w:rPr>
            </w:pPr>
            <w:r w:rsidRPr="0078259C">
              <w:rPr>
                <w:rFonts w:ascii="Calibri" w:eastAsia="Times New Roman" w:hAnsi="Calibri" w:cs="Calibri"/>
                <w:sz w:val="18"/>
                <w:szCs w:val="18"/>
                <w:lang w:eastAsia="hr-HR"/>
              </w:rPr>
              <w:t>0</w:t>
            </w:r>
          </w:p>
        </w:tc>
        <w:tc>
          <w:tcPr>
            <w:tcW w:w="446" w:type="dxa"/>
            <w:tcBorders>
              <w:top w:val="nil"/>
              <w:left w:val="nil"/>
              <w:bottom w:val="single" w:sz="4" w:space="0" w:color="auto"/>
              <w:right w:val="single" w:sz="4" w:space="0" w:color="auto"/>
            </w:tcBorders>
            <w:shd w:val="clear" w:color="000000" w:fill="CCFFFF"/>
            <w:vAlign w:val="center"/>
            <w:hideMark/>
          </w:tcPr>
          <w:p w14:paraId="53789FDE" w14:textId="77777777" w:rsidR="0078259C" w:rsidRPr="0078259C" w:rsidRDefault="0078259C" w:rsidP="0078259C">
            <w:pPr>
              <w:spacing w:after="0" w:line="240" w:lineRule="auto"/>
              <w:jc w:val="right"/>
              <w:rPr>
                <w:rFonts w:ascii="Calibri" w:eastAsia="Times New Roman" w:hAnsi="Calibri" w:cs="Calibri"/>
                <w:sz w:val="18"/>
                <w:szCs w:val="18"/>
                <w:lang w:eastAsia="hr-HR"/>
              </w:rPr>
            </w:pPr>
            <w:r w:rsidRPr="0078259C">
              <w:rPr>
                <w:rFonts w:ascii="Calibri" w:eastAsia="Times New Roman" w:hAnsi="Calibri" w:cs="Calibri"/>
                <w:sz w:val="18"/>
                <w:szCs w:val="18"/>
                <w:lang w:eastAsia="hr-HR"/>
              </w:rPr>
              <w:t>0</w:t>
            </w:r>
          </w:p>
        </w:tc>
        <w:tc>
          <w:tcPr>
            <w:tcW w:w="404" w:type="dxa"/>
            <w:tcBorders>
              <w:top w:val="nil"/>
              <w:left w:val="nil"/>
              <w:bottom w:val="single" w:sz="4" w:space="0" w:color="auto"/>
              <w:right w:val="single" w:sz="4" w:space="0" w:color="auto"/>
            </w:tcBorders>
            <w:shd w:val="clear" w:color="000000" w:fill="CCFFFF"/>
            <w:noWrap/>
            <w:vAlign w:val="center"/>
            <w:hideMark/>
          </w:tcPr>
          <w:p w14:paraId="5599F2DF" w14:textId="77777777" w:rsidR="0078259C" w:rsidRPr="0078259C" w:rsidRDefault="0078259C" w:rsidP="0078259C">
            <w:pPr>
              <w:spacing w:after="0" w:line="240" w:lineRule="auto"/>
              <w:jc w:val="right"/>
              <w:rPr>
                <w:rFonts w:ascii="Calibri" w:eastAsia="Times New Roman" w:hAnsi="Calibri" w:cs="Calibri"/>
                <w:sz w:val="18"/>
                <w:szCs w:val="18"/>
                <w:lang w:eastAsia="hr-HR"/>
              </w:rPr>
            </w:pPr>
            <w:r w:rsidRPr="0078259C">
              <w:rPr>
                <w:rFonts w:ascii="Calibri" w:eastAsia="Times New Roman" w:hAnsi="Calibri" w:cs="Calibri"/>
                <w:sz w:val="18"/>
                <w:szCs w:val="18"/>
                <w:lang w:eastAsia="hr-HR"/>
              </w:rPr>
              <w:t>0</w:t>
            </w:r>
          </w:p>
        </w:tc>
        <w:tc>
          <w:tcPr>
            <w:tcW w:w="839" w:type="dxa"/>
            <w:gridSpan w:val="2"/>
            <w:tcBorders>
              <w:top w:val="nil"/>
              <w:left w:val="nil"/>
              <w:bottom w:val="single" w:sz="4" w:space="0" w:color="auto"/>
              <w:right w:val="single" w:sz="4" w:space="0" w:color="auto"/>
            </w:tcBorders>
            <w:shd w:val="clear" w:color="000000" w:fill="33CCCC"/>
            <w:noWrap/>
            <w:vAlign w:val="center"/>
            <w:hideMark/>
          </w:tcPr>
          <w:p w14:paraId="0E072C15" w14:textId="77777777" w:rsidR="0078259C" w:rsidRPr="0078259C" w:rsidRDefault="0078259C" w:rsidP="0078259C">
            <w:pPr>
              <w:spacing w:after="0" w:line="240" w:lineRule="auto"/>
              <w:jc w:val="right"/>
              <w:rPr>
                <w:rFonts w:ascii="Calibri" w:eastAsia="Times New Roman" w:hAnsi="Calibri" w:cs="Calibri"/>
                <w:sz w:val="18"/>
                <w:szCs w:val="18"/>
                <w:lang w:eastAsia="hr-HR"/>
              </w:rPr>
            </w:pPr>
            <w:r w:rsidRPr="0078259C">
              <w:rPr>
                <w:rFonts w:ascii="Calibri" w:eastAsia="Times New Roman" w:hAnsi="Calibri" w:cs="Calibri"/>
                <w:sz w:val="18"/>
                <w:szCs w:val="18"/>
                <w:lang w:eastAsia="hr-HR"/>
              </w:rPr>
              <w:t>0</w:t>
            </w:r>
          </w:p>
        </w:tc>
        <w:tc>
          <w:tcPr>
            <w:tcW w:w="839" w:type="dxa"/>
            <w:tcBorders>
              <w:top w:val="nil"/>
              <w:left w:val="nil"/>
              <w:bottom w:val="single" w:sz="4" w:space="0" w:color="auto"/>
              <w:right w:val="nil"/>
            </w:tcBorders>
            <w:shd w:val="clear" w:color="000000" w:fill="33CCCC"/>
            <w:noWrap/>
            <w:vAlign w:val="center"/>
            <w:hideMark/>
          </w:tcPr>
          <w:p w14:paraId="4432D7A7" w14:textId="77777777" w:rsidR="0078259C" w:rsidRPr="0078259C" w:rsidRDefault="0078259C" w:rsidP="0078259C">
            <w:pPr>
              <w:spacing w:after="0" w:line="240" w:lineRule="auto"/>
              <w:jc w:val="right"/>
              <w:rPr>
                <w:rFonts w:ascii="Calibri" w:eastAsia="Times New Roman" w:hAnsi="Calibri" w:cs="Calibri"/>
                <w:sz w:val="18"/>
                <w:szCs w:val="18"/>
                <w:lang w:eastAsia="hr-HR"/>
              </w:rPr>
            </w:pPr>
            <w:r w:rsidRPr="0078259C">
              <w:rPr>
                <w:rFonts w:ascii="Calibri" w:eastAsia="Times New Roman" w:hAnsi="Calibri" w:cs="Calibri"/>
                <w:sz w:val="18"/>
                <w:szCs w:val="18"/>
                <w:lang w:eastAsia="hr-HR"/>
              </w:rPr>
              <w:t>0</w:t>
            </w:r>
          </w:p>
        </w:tc>
        <w:tc>
          <w:tcPr>
            <w:tcW w:w="236" w:type="dxa"/>
            <w:gridSpan w:val="2"/>
            <w:vAlign w:val="center"/>
            <w:hideMark/>
          </w:tcPr>
          <w:p w14:paraId="6D87FA15" w14:textId="77777777" w:rsidR="0078259C" w:rsidRPr="0078259C" w:rsidRDefault="0078259C" w:rsidP="0078259C">
            <w:pPr>
              <w:spacing w:after="0" w:line="240" w:lineRule="auto"/>
              <w:rPr>
                <w:rFonts w:ascii="Times New Roman" w:eastAsia="Times New Roman" w:hAnsi="Times New Roman" w:cs="Times New Roman"/>
                <w:sz w:val="18"/>
                <w:szCs w:val="18"/>
                <w:lang w:eastAsia="hr-HR"/>
              </w:rPr>
            </w:pPr>
          </w:p>
        </w:tc>
      </w:tr>
      <w:tr w:rsidR="0078259C" w:rsidRPr="0078259C" w14:paraId="2D79B20B" w14:textId="77777777" w:rsidTr="0078259C">
        <w:trPr>
          <w:gridAfter w:val="2"/>
          <w:wAfter w:w="44" w:type="dxa"/>
          <w:trHeight w:val="405"/>
        </w:trPr>
        <w:tc>
          <w:tcPr>
            <w:tcW w:w="1394" w:type="dxa"/>
            <w:tcBorders>
              <w:top w:val="single" w:sz="4" w:space="0" w:color="auto"/>
              <w:left w:val="single" w:sz="8" w:space="0" w:color="auto"/>
              <w:bottom w:val="single" w:sz="4" w:space="0" w:color="auto"/>
              <w:right w:val="single" w:sz="4" w:space="0" w:color="auto"/>
            </w:tcBorders>
            <w:shd w:val="clear" w:color="000000" w:fill="CCFFCC"/>
            <w:vAlign w:val="center"/>
            <w:hideMark/>
          </w:tcPr>
          <w:p w14:paraId="3B0C2419" w14:textId="77777777" w:rsidR="0078259C" w:rsidRPr="0078259C" w:rsidRDefault="0078259C" w:rsidP="0078259C">
            <w:pPr>
              <w:spacing w:after="0" w:line="240" w:lineRule="auto"/>
              <w:jc w:val="center"/>
              <w:rPr>
                <w:rFonts w:ascii="Calibri" w:eastAsia="Times New Roman" w:hAnsi="Calibri" w:cs="Calibri"/>
                <w:sz w:val="18"/>
                <w:szCs w:val="18"/>
                <w:lang w:eastAsia="hr-HR"/>
              </w:rPr>
            </w:pPr>
            <w:r w:rsidRPr="0078259C">
              <w:rPr>
                <w:rFonts w:ascii="Calibri" w:eastAsia="Times New Roman" w:hAnsi="Calibri" w:cs="Calibri"/>
                <w:sz w:val="18"/>
                <w:szCs w:val="18"/>
                <w:lang w:eastAsia="hr-HR"/>
              </w:rPr>
              <w:t>Članstvo u sindikatu</w:t>
            </w:r>
          </w:p>
        </w:tc>
        <w:tc>
          <w:tcPr>
            <w:tcW w:w="575" w:type="dxa"/>
            <w:tcBorders>
              <w:top w:val="nil"/>
              <w:left w:val="nil"/>
              <w:bottom w:val="single" w:sz="4" w:space="0" w:color="auto"/>
              <w:right w:val="single" w:sz="4" w:space="0" w:color="auto"/>
            </w:tcBorders>
            <w:shd w:val="clear" w:color="000000" w:fill="CCFFCC"/>
            <w:vAlign w:val="center"/>
            <w:hideMark/>
          </w:tcPr>
          <w:p w14:paraId="5BD1A128" w14:textId="77777777" w:rsidR="0078259C" w:rsidRPr="0078259C" w:rsidRDefault="0078259C" w:rsidP="0078259C">
            <w:pPr>
              <w:spacing w:after="0" w:line="240" w:lineRule="auto"/>
              <w:jc w:val="right"/>
              <w:rPr>
                <w:rFonts w:ascii="Calibri" w:eastAsia="Times New Roman" w:hAnsi="Calibri" w:cs="Calibri"/>
                <w:sz w:val="18"/>
                <w:szCs w:val="18"/>
                <w:lang w:eastAsia="hr-HR"/>
              </w:rPr>
            </w:pPr>
            <w:r w:rsidRPr="0078259C">
              <w:rPr>
                <w:rFonts w:ascii="Calibri" w:eastAsia="Times New Roman" w:hAnsi="Calibri" w:cs="Calibri"/>
                <w:sz w:val="18"/>
                <w:szCs w:val="18"/>
                <w:lang w:eastAsia="hr-HR"/>
              </w:rPr>
              <w:t>0</w:t>
            </w:r>
          </w:p>
        </w:tc>
        <w:tc>
          <w:tcPr>
            <w:tcW w:w="488" w:type="dxa"/>
            <w:tcBorders>
              <w:top w:val="nil"/>
              <w:left w:val="nil"/>
              <w:bottom w:val="single" w:sz="4" w:space="0" w:color="auto"/>
              <w:right w:val="single" w:sz="4" w:space="0" w:color="auto"/>
            </w:tcBorders>
            <w:shd w:val="clear" w:color="000000" w:fill="FFCC99"/>
            <w:noWrap/>
            <w:vAlign w:val="center"/>
            <w:hideMark/>
          </w:tcPr>
          <w:p w14:paraId="14205FB7" w14:textId="77777777" w:rsidR="0078259C" w:rsidRPr="0078259C" w:rsidRDefault="0078259C" w:rsidP="0078259C">
            <w:pPr>
              <w:spacing w:after="0" w:line="240" w:lineRule="auto"/>
              <w:jc w:val="right"/>
              <w:rPr>
                <w:rFonts w:ascii="Calibri" w:eastAsia="Times New Roman" w:hAnsi="Calibri" w:cs="Calibri"/>
                <w:sz w:val="18"/>
                <w:szCs w:val="18"/>
                <w:lang w:eastAsia="hr-HR"/>
              </w:rPr>
            </w:pPr>
            <w:r w:rsidRPr="0078259C">
              <w:rPr>
                <w:rFonts w:ascii="Calibri" w:eastAsia="Times New Roman" w:hAnsi="Calibri" w:cs="Calibri"/>
                <w:sz w:val="18"/>
                <w:szCs w:val="18"/>
                <w:lang w:eastAsia="hr-HR"/>
              </w:rPr>
              <w:t>0</w:t>
            </w:r>
          </w:p>
        </w:tc>
        <w:tc>
          <w:tcPr>
            <w:tcW w:w="500" w:type="dxa"/>
            <w:tcBorders>
              <w:top w:val="nil"/>
              <w:left w:val="nil"/>
              <w:bottom w:val="single" w:sz="4" w:space="0" w:color="auto"/>
              <w:right w:val="single" w:sz="4" w:space="0" w:color="auto"/>
            </w:tcBorders>
            <w:shd w:val="clear" w:color="000000" w:fill="FFCC99"/>
            <w:noWrap/>
            <w:vAlign w:val="center"/>
            <w:hideMark/>
          </w:tcPr>
          <w:p w14:paraId="39049D56" w14:textId="77777777" w:rsidR="0078259C" w:rsidRPr="0078259C" w:rsidRDefault="0078259C" w:rsidP="0078259C">
            <w:pPr>
              <w:spacing w:after="0" w:line="240" w:lineRule="auto"/>
              <w:jc w:val="right"/>
              <w:rPr>
                <w:rFonts w:ascii="Calibri" w:eastAsia="Times New Roman" w:hAnsi="Calibri" w:cs="Calibri"/>
                <w:sz w:val="18"/>
                <w:szCs w:val="18"/>
                <w:lang w:eastAsia="hr-HR"/>
              </w:rPr>
            </w:pPr>
            <w:r w:rsidRPr="0078259C">
              <w:rPr>
                <w:rFonts w:ascii="Calibri" w:eastAsia="Times New Roman" w:hAnsi="Calibri" w:cs="Calibri"/>
                <w:sz w:val="18"/>
                <w:szCs w:val="18"/>
                <w:lang w:eastAsia="hr-HR"/>
              </w:rPr>
              <w:t>0</w:t>
            </w:r>
          </w:p>
        </w:tc>
        <w:tc>
          <w:tcPr>
            <w:tcW w:w="435" w:type="dxa"/>
            <w:tcBorders>
              <w:top w:val="nil"/>
              <w:left w:val="nil"/>
              <w:bottom w:val="single" w:sz="4" w:space="0" w:color="auto"/>
              <w:right w:val="single" w:sz="4" w:space="0" w:color="auto"/>
            </w:tcBorders>
            <w:shd w:val="clear" w:color="000000" w:fill="CCFFFF"/>
            <w:vAlign w:val="center"/>
            <w:hideMark/>
          </w:tcPr>
          <w:p w14:paraId="0114CC61" w14:textId="77777777" w:rsidR="0078259C" w:rsidRPr="0078259C" w:rsidRDefault="0078259C" w:rsidP="0078259C">
            <w:pPr>
              <w:spacing w:after="0" w:line="240" w:lineRule="auto"/>
              <w:jc w:val="right"/>
              <w:rPr>
                <w:rFonts w:ascii="Calibri" w:eastAsia="Times New Roman" w:hAnsi="Calibri" w:cs="Calibri"/>
                <w:sz w:val="18"/>
                <w:szCs w:val="18"/>
                <w:lang w:eastAsia="hr-HR"/>
              </w:rPr>
            </w:pPr>
            <w:r w:rsidRPr="0078259C">
              <w:rPr>
                <w:rFonts w:ascii="Calibri" w:eastAsia="Times New Roman" w:hAnsi="Calibri" w:cs="Calibri"/>
                <w:sz w:val="18"/>
                <w:szCs w:val="18"/>
                <w:lang w:eastAsia="hr-HR"/>
              </w:rPr>
              <w:t>0</w:t>
            </w:r>
          </w:p>
        </w:tc>
        <w:tc>
          <w:tcPr>
            <w:tcW w:w="426" w:type="dxa"/>
            <w:tcBorders>
              <w:top w:val="nil"/>
              <w:left w:val="nil"/>
              <w:bottom w:val="single" w:sz="4" w:space="0" w:color="auto"/>
              <w:right w:val="single" w:sz="4" w:space="0" w:color="auto"/>
            </w:tcBorders>
            <w:shd w:val="clear" w:color="000000" w:fill="CCFFFF"/>
            <w:noWrap/>
            <w:vAlign w:val="center"/>
            <w:hideMark/>
          </w:tcPr>
          <w:p w14:paraId="15F15A71" w14:textId="77777777" w:rsidR="0078259C" w:rsidRPr="0078259C" w:rsidRDefault="0078259C" w:rsidP="0078259C">
            <w:pPr>
              <w:spacing w:after="0" w:line="240" w:lineRule="auto"/>
              <w:jc w:val="right"/>
              <w:rPr>
                <w:rFonts w:ascii="Calibri" w:eastAsia="Times New Roman" w:hAnsi="Calibri" w:cs="Calibri"/>
                <w:sz w:val="18"/>
                <w:szCs w:val="18"/>
                <w:lang w:eastAsia="hr-HR"/>
              </w:rPr>
            </w:pPr>
            <w:r w:rsidRPr="0078259C">
              <w:rPr>
                <w:rFonts w:ascii="Calibri" w:eastAsia="Times New Roman" w:hAnsi="Calibri" w:cs="Calibri"/>
                <w:sz w:val="18"/>
                <w:szCs w:val="18"/>
                <w:lang w:eastAsia="hr-HR"/>
              </w:rPr>
              <w:t>0</w:t>
            </w:r>
          </w:p>
        </w:tc>
        <w:tc>
          <w:tcPr>
            <w:tcW w:w="425" w:type="dxa"/>
            <w:tcBorders>
              <w:top w:val="nil"/>
              <w:left w:val="nil"/>
              <w:bottom w:val="single" w:sz="4" w:space="0" w:color="auto"/>
              <w:right w:val="single" w:sz="4" w:space="0" w:color="auto"/>
            </w:tcBorders>
            <w:shd w:val="clear" w:color="000000" w:fill="FFFF99"/>
            <w:noWrap/>
            <w:vAlign w:val="center"/>
            <w:hideMark/>
          </w:tcPr>
          <w:p w14:paraId="6727532D" w14:textId="77777777" w:rsidR="0078259C" w:rsidRPr="0078259C" w:rsidRDefault="0078259C" w:rsidP="0078259C">
            <w:pPr>
              <w:spacing w:after="0" w:line="240" w:lineRule="auto"/>
              <w:jc w:val="right"/>
              <w:rPr>
                <w:rFonts w:ascii="Calibri" w:eastAsia="Times New Roman" w:hAnsi="Calibri" w:cs="Calibri"/>
                <w:sz w:val="18"/>
                <w:szCs w:val="18"/>
                <w:lang w:eastAsia="hr-HR"/>
              </w:rPr>
            </w:pPr>
            <w:r w:rsidRPr="0078259C">
              <w:rPr>
                <w:rFonts w:ascii="Calibri" w:eastAsia="Times New Roman" w:hAnsi="Calibri" w:cs="Calibri"/>
                <w:sz w:val="18"/>
                <w:szCs w:val="18"/>
                <w:lang w:eastAsia="hr-HR"/>
              </w:rPr>
              <w:t>0</w:t>
            </w:r>
          </w:p>
        </w:tc>
        <w:tc>
          <w:tcPr>
            <w:tcW w:w="567" w:type="dxa"/>
            <w:tcBorders>
              <w:top w:val="nil"/>
              <w:left w:val="nil"/>
              <w:bottom w:val="single" w:sz="4" w:space="0" w:color="auto"/>
              <w:right w:val="single" w:sz="4" w:space="0" w:color="auto"/>
            </w:tcBorders>
            <w:shd w:val="clear" w:color="000000" w:fill="FFFF99"/>
            <w:noWrap/>
            <w:vAlign w:val="center"/>
            <w:hideMark/>
          </w:tcPr>
          <w:p w14:paraId="6AAEDE8B" w14:textId="77777777" w:rsidR="0078259C" w:rsidRPr="0078259C" w:rsidRDefault="0078259C" w:rsidP="0078259C">
            <w:pPr>
              <w:spacing w:after="0" w:line="240" w:lineRule="auto"/>
              <w:jc w:val="right"/>
              <w:rPr>
                <w:rFonts w:ascii="Calibri" w:eastAsia="Times New Roman" w:hAnsi="Calibri" w:cs="Calibri"/>
                <w:sz w:val="18"/>
                <w:szCs w:val="18"/>
                <w:lang w:eastAsia="hr-HR"/>
              </w:rPr>
            </w:pPr>
            <w:r w:rsidRPr="0078259C">
              <w:rPr>
                <w:rFonts w:ascii="Calibri" w:eastAsia="Times New Roman" w:hAnsi="Calibri" w:cs="Calibri"/>
                <w:sz w:val="18"/>
                <w:szCs w:val="18"/>
                <w:lang w:eastAsia="hr-HR"/>
              </w:rPr>
              <w:t>0</w:t>
            </w:r>
          </w:p>
        </w:tc>
        <w:tc>
          <w:tcPr>
            <w:tcW w:w="567" w:type="dxa"/>
            <w:tcBorders>
              <w:top w:val="nil"/>
              <w:left w:val="nil"/>
              <w:bottom w:val="single" w:sz="4" w:space="0" w:color="auto"/>
              <w:right w:val="single" w:sz="4" w:space="0" w:color="auto"/>
            </w:tcBorders>
            <w:shd w:val="clear" w:color="000000" w:fill="FFFF99"/>
            <w:noWrap/>
            <w:vAlign w:val="center"/>
            <w:hideMark/>
          </w:tcPr>
          <w:p w14:paraId="519C5FF3" w14:textId="77777777" w:rsidR="0078259C" w:rsidRPr="0078259C" w:rsidRDefault="0078259C" w:rsidP="0078259C">
            <w:pPr>
              <w:spacing w:after="0" w:line="240" w:lineRule="auto"/>
              <w:jc w:val="right"/>
              <w:rPr>
                <w:rFonts w:ascii="Calibri" w:eastAsia="Times New Roman" w:hAnsi="Calibri" w:cs="Calibri"/>
                <w:sz w:val="18"/>
                <w:szCs w:val="18"/>
                <w:lang w:eastAsia="hr-HR"/>
              </w:rPr>
            </w:pPr>
            <w:r w:rsidRPr="0078259C">
              <w:rPr>
                <w:rFonts w:ascii="Calibri" w:eastAsia="Times New Roman" w:hAnsi="Calibri" w:cs="Calibri"/>
                <w:sz w:val="18"/>
                <w:szCs w:val="18"/>
                <w:lang w:eastAsia="hr-HR"/>
              </w:rPr>
              <w:t>0</w:t>
            </w:r>
          </w:p>
        </w:tc>
        <w:tc>
          <w:tcPr>
            <w:tcW w:w="437" w:type="dxa"/>
            <w:tcBorders>
              <w:top w:val="nil"/>
              <w:left w:val="nil"/>
              <w:bottom w:val="single" w:sz="4" w:space="0" w:color="auto"/>
              <w:right w:val="single" w:sz="4" w:space="0" w:color="auto"/>
            </w:tcBorders>
            <w:shd w:val="clear" w:color="000000" w:fill="FFFF99"/>
            <w:noWrap/>
            <w:vAlign w:val="center"/>
            <w:hideMark/>
          </w:tcPr>
          <w:p w14:paraId="7719C4DE" w14:textId="77777777" w:rsidR="0078259C" w:rsidRPr="0078259C" w:rsidRDefault="0078259C" w:rsidP="0078259C">
            <w:pPr>
              <w:spacing w:after="0" w:line="240" w:lineRule="auto"/>
              <w:jc w:val="right"/>
              <w:rPr>
                <w:rFonts w:ascii="Calibri" w:eastAsia="Times New Roman" w:hAnsi="Calibri" w:cs="Calibri"/>
                <w:sz w:val="18"/>
                <w:szCs w:val="18"/>
                <w:lang w:eastAsia="hr-HR"/>
              </w:rPr>
            </w:pPr>
            <w:r w:rsidRPr="0078259C">
              <w:rPr>
                <w:rFonts w:ascii="Calibri" w:eastAsia="Times New Roman" w:hAnsi="Calibri" w:cs="Calibri"/>
                <w:sz w:val="18"/>
                <w:szCs w:val="18"/>
                <w:lang w:eastAsia="hr-HR"/>
              </w:rPr>
              <w:t>0</w:t>
            </w:r>
          </w:p>
        </w:tc>
        <w:tc>
          <w:tcPr>
            <w:tcW w:w="413" w:type="dxa"/>
            <w:tcBorders>
              <w:top w:val="nil"/>
              <w:left w:val="nil"/>
              <w:bottom w:val="single" w:sz="4" w:space="0" w:color="auto"/>
              <w:right w:val="single" w:sz="4" w:space="0" w:color="auto"/>
            </w:tcBorders>
            <w:shd w:val="clear" w:color="000000" w:fill="FFFF99"/>
            <w:noWrap/>
            <w:vAlign w:val="center"/>
            <w:hideMark/>
          </w:tcPr>
          <w:p w14:paraId="32A25F74" w14:textId="77777777" w:rsidR="0078259C" w:rsidRPr="0078259C" w:rsidRDefault="0078259C" w:rsidP="0078259C">
            <w:pPr>
              <w:spacing w:after="0" w:line="240" w:lineRule="auto"/>
              <w:jc w:val="right"/>
              <w:rPr>
                <w:rFonts w:ascii="Calibri" w:eastAsia="Times New Roman" w:hAnsi="Calibri" w:cs="Calibri"/>
                <w:sz w:val="18"/>
                <w:szCs w:val="18"/>
                <w:lang w:eastAsia="hr-HR"/>
              </w:rPr>
            </w:pPr>
            <w:r w:rsidRPr="0078259C">
              <w:rPr>
                <w:rFonts w:ascii="Calibri" w:eastAsia="Times New Roman" w:hAnsi="Calibri" w:cs="Calibri"/>
                <w:sz w:val="18"/>
                <w:szCs w:val="18"/>
                <w:lang w:eastAsia="hr-HR"/>
              </w:rPr>
              <w:t>0</w:t>
            </w:r>
          </w:p>
        </w:tc>
        <w:tc>
          <w:tcPr>
            <w:tcW w:w="283" w:type="dxa"/>
            <w:gridSpan w:val="2"/>
            <w:tcBorders>
              <w:top w:val="nil"/>
              <w:left w:val="nil"/>
              <w:bottom w:val="single" w:sz="4" w:space="0" w:color="auto"/>
              <w:right w:val="single" w:sz="4" w:space="0" w:color="auto"/>
            </w:tcBorders>
            <w:shd w:val="clear" w:color="000000" w:fill="FF9900"/>
            <w:noWrap/>
            <w:vAlign w:val="center"/>
            <w:hideMark/>
          </w:tcPr>
          <w:p w14:paraId="1A34A0B6" w14:textId="77777777" w:rsidR="0078259C" w:rsidRPr="0078259C" w:rsidRDefault="0078259C" w:rsidP="0078259C">
            <w:pPr>
              <w:spacing w:after="0" w:line="240" w:lineRule="auto"/>
              <w:jc w:val="right"/>
              <w:rPr>
                <w:rFonts w:ascii="Calibri" w:eastAsia="Times New Roman" w:hAnsi="Calibri" w:cs="Calibri"/>
                <w:sz w:val="18"/>
                <w:szCs w:val="18"/>
                <w:lang w:eastAsia="hr-HR"/>
              </w:rPr>
            </w:pPr>
            <w:r w:rsidRPr="0078259C">
              <w:rPr>
                <w:rFonts w:ascii="Calibri" w:eastAsia="Times New Roman" w:hAnsi="Calibri" w:cs="Calibri"/>
                <w:sz w:val="18"/>
                <w:szCs w:val="18"/>
                <w:lang w:eastAsia="hr-HR"/>
              </w:rPr>
              <w:t>0</w:t>
            </w:r>
          </w:p>
        </w:tc>
        <w:tc>
          <w:tcPr>
            <w:tcW w:w="568" w:type="dxa"/>
            <w:tcBorders>
              <w:top w:val="nil"/>
              <w:left w:val="nil"/>
              <w:bottom w:val="single" w:sz="4" w:space="0" w:color="auto"/>
              <w:right w:val="single" w:sz="4" w:space="0" w:color="auto"/>
            </w:tcBorders>
            <w:shd w:val="clear" w:color="000000" w:fill="FF9900"/>
            <w:noWrap/>
            <w:vAlign w:val="center"/>
            <w:hideMark/>
          </w:tcPr>
          <w:p w14:paraId="7006291A" w14:textId="77777777" w:rsidR="0078259C" w:rsidRPr="0078259C" w:rsidRDefault="0078259C" w:rsidP="0078259C">
            <w:pPr>
              <w:spacing w:after="0" w:line="240" w:lineRule="auto"/>
              <w:jc w:val="right"/>
              <w:rPr>
                <w:rFonts w:ascii="Calibri" w:eastAsia="Times New Roman" w:hAnsi="Calibri" w:cs="Calibri"/>
                <w:sz w:val="18"/>
                <w:szCs w:val="18"/>
                <w:lang w:eastAsia="hr-HR"/>
              </w:rPr>
            </w:pPr>
            <w:r w:rsidRPr="0078259C">
              <w:rPr>
                <w:rFonts w:ascii="Calibri" w:eastAsia="Times New Roman" w:hAnsi="Calibri" w:cs="Calibri"/>
                <w:sz w:val="18"/>
                <w:szCs w:val="18"/>
                <w:lang w:eastAsia="hr-HR"/>
              </w:rPr>
              <w:t>0</w:t>
            </w:r>
          </w:p>
        </w:tc>
        <w:tc>
          <w:tcPr>
            <w:tcW w:w="425" w:type="dxa"/>
            <w:tcBorders>
              <w:top w:val="nil"/>
              <w:left w:val="nil"/>
              <w:bottom w:val="single" w:sz="4" w:space="0" w:color="auto"/>
              <w:right w:val="single" w:sz="4" w:space="0" w:color="auto"/>
            </w:tcBorders>
            <w:shd w:val="clear" w:color="000000" w:fill="FF9900"/>
            <w:noWrap/>
            <w:vAlign w:val="center"/>
            <w:hideMark/>
          </w:tcPr>
          <w:p w14:paraId="3763B31F" w14:textId="77777777" w:rsidR="0078259C" w:rsidRPr="0078259C" w:rsidRDefault="0078259C" w:rsidP="0078259C">
            <w:pPr>
              <w:spacing w:after="0" w:line="240" w:lineRule="auto"/>
              <w:jc w:val="right"/>
              <w:rPr>
                <w:rFonts w:ascii="Calibri" w:eastAsia="Times New Roman" w:hAnsi="Calibri" w:cs="Calibri"/>
                <w:sz w:val="18"/>
                <w:szCs w:val="18"/>
                <w:lang w:eastAsia="hr-HR"/>
              </w:rPr>
            </w:pPr>
            <w:r w:rsidRPr="0078259C">
              <w:rPr>
                <w:rFonts w:ascii="Calibri" w:eastAsia="Times New Roman" w:hAnsi="Calibri" w:cs="Calibri"/>
                <w:sz w:val="18"/>
                <w:szCs w:val="18"/>
                <w:lang w:eastAsia="hr-HR"/>
              </w:rPr>
              <w:t>0</w:t>
            </w:r>
          </w:p>
        </w:tc>
        <w:tc>
          <w:tcPr>
            <w:tcW w:w="425" w:type="dxa"/>
            <w:gridSpan w:val="2"/>
            <w:tcBorders>
              <w:top w:val="nil"/>
              <w:left w:val="nil"/>
              <w:bottom w:val="single" w:sz="4" w:space="0" w:color="auto"/>
              <w:right w:val="single" w:sz="4" w:space="0" w:color="auto"/>
            </w:tcBorders>
            <w:shd w:val="clear" w:color="000000" w:fill="66FFCC"/>
            <w:noWrap/>
            <w:vAlign w:val="center"/>
            <w:hideMark/>
          </w:tcPr>
          <w:p w14:paraId="06DB7CAA" w14:textId="77777777" w:rsidR="0078259C" w:rsidRPr="0078259C" w:rsidRDefault="0078259C" w:rsidP="0078259C">
            <w:pPr>
              <w:spacing w:after="0" w:line="240" w:lineRule="auto"/>
              <w:jc w:val="right"/>
              <w:rPr>
                <w:rFonts w:ascii="Calibri" w:eastAsia="Times New Roman" w:hAnsi="Calibri" w:cs="Calibri"/>
                <w:sz w:val="18"/>
                <w:szCs w:val="18"/>
                <w:lang w:eastAsia="hr-HR"/>
              </w:rPr>
            </w:pPr>
            <w:r w:rsidRPr="0078259C">
              <w:rPr>
                <w:rFonts w:ascii="Calibri" w:eastAsia="Times New Roman" w:hAnsi="Calibri" w:cs="Calibri"/>
                <w:sz w:val="18"/>
                <w:szCs w:val="18"/>
                <w:lang w:eastAsia="hr-HR"/>
              </w:rPr>
              <w:t>0</w:t>
            </w:r>
          </w:p>
        </w:tc>
        <w:tc>
          <w:tcPr>
            <w:tcW w:w="437" w:type="dxa"/>
            <w:tcBorders>
              <w:top w:val="nil"/>
              <w:left w:val="nil"/>
              <w:bottom w:val="single" w:sz="4" w:space="0" w:color="auto"/>
              <w:right w:val="single" w:sz="4" w:space="0" w:color="auto"/>
            </w:tcBorders>
            <w:shd w:val="clear" w:color="000000" w:fill="66FFCC"/>
            <w:noWrap/>
            <w:vAlign w:val="center"/>
            <w:hideMark/>
          </w:tcPr>
          <w:p w14:paraId="2D4A356A" w14:textId="77777777" w:rsidR="0078259C" w:rsidRPr="0078259C" w:rsidRDefault="0078259C" w:rsidP="0078259C">
            <w:pPr>
              <w:spacing w:after="0" w:line="240" w:lineRule="auto"/>
              <w:jc w:val="right"/>
              <w:rPr>
                <w:rFonts w:ascii="Calibri" w:eastAsia="Times New Roman" w:hAnsi="Calibri" w:cs="Calibri"/>
                <w:sz w:val="18"/>
                <w:szCs w:val="18"/>
                <w:lang w:eastAsia="hr-HR"/>
              </w:rPr>
            </w:pPr>
            <w:r w:rsidRPr="0078259C">
              <w:rPr>
                <w:rFonts w:ascii="Calibri" w:eastAsia="Times New Roman" w:hAnsi="Calibri" w:cs="Calibri"/>
                <w:sz w:val="18"/>
                <w:szCs w:val="18"/>
                <w:lang w:eastAsia="hr-HR"/>
              </w:rPr>
              <w:t>0</w:t>
            </w:r>
          </w:p>
        </w:tc>
        <w:tc>
          <w:tcPr>
            <w:tcW w:w="556" w:type="dxa"/>
            <w:tcBorders>
              <w:top w:val="nil"/>
              <w:left w:val="nil"/>
              <w:bottom w:val="single" w:sz="4" w:space="0" w:color="auto"/>
              <w:right w:val="single" w:sz="4" w:space="0" w:color="auto"/>
            </w:tcBorders>
            <w:shd w:val="clear" w:color="000000" w:fill="66FFCC"/>
            <w:noWrap/>
            <w:vAlign w:val="center"/>
            <w:hideMark/>
          </w:tcPr>
          <w:p w14:paraId="12EFEB11" w14:textId="77777777" w:rsidR="0078259C" w:rsidRPr="0078259C" w:rsidRDefault="0078259C" w:rsidP="0078259C">
            <w:pPr>
              <w:spacing w:after="0" w:line="240" w:lineRule="auto"/>
              <w:jc w:val="right"/>
              <w:rPr>
                <w:rFonts w:ascii="Calibri" w:eastAsia="Times New Roman" w:hAnsi="Calibri" w:cs="Calibri"/>
                <w:sz w:val="18"/>
                <w:szCs w:val="18"/>
                <w:lang w:eastAsia="hr-HR"/>
              </w:rPr>
            </w:pPr>
            <w:r w:rsidRPr="0078259C">
              <w:rPr>
                <w:rFonts w:ascii="Calibri" w:eastAsia="Times New Roman" w:hAnsi="Calibri" w:cs="Calibri"/>
                <w:sz w:val="18"/>
                <w:szCs w:val="18"/>
                <w:lang w:eastAsia="hr-HR"/>
              </w:rPr>
              <w:t>0</w:t>
            </w:r>
          </w:p>
        </w:tc>
        <w:tc>
          <w:tcPr>
            <w:tcW w:w="425" w:type="dxa"/>
            <w:tcBorders>
              <w:top w:val="nil"/>
              <w:left w:val="nil"/>
              <w:bottom w:val="single" w:sz="4" w:space="0" w:color="auto"/>
              <w:right w:val="single" w:sz="4" w:space="0" w:color="auto"/>
            </w:tcBorders>
            <w:shd w:val="clear" w:color="000000" w:fill="66FFCC"/>
            <w:noWrap/>
            <w:vAlign w:val="center"/>
            <w:hideMark/>
          </w:tcPr>
          <w:p w14:paraId="1919B090" w14:textId="77777777" w:rsidR="0078259C" w:rsidRPr="0078259C" w:rsidRDefault="0078259C" w:rsidP="0078259C">
            <w:pPr>
              <w:spacing w:after="0" w:line="240" w:lineRule="auto"/>
              <w:jc w:val="right"/>
              <w:rPr>
                <w:rFonts w:ascii="Calibri" w:eastAsia="Times New Roman" w:hAnsi="Calibri" w:cs="Calibri"/>
                <w:sz w:val="18"/>
                <w:szCs w:val="18"/>
                <w:lang w:eastAsia="hr-HR"/>
              </w:rPr>
            </w:pPr>
            <w:r w:rsidRPr="0078259C">
              <w:rPr>
                <w:rFonts w:ascii="Calibri" w:eastAsia="Times New Roman" w:hAnsi="Calibri" w:cs="Calibri"/>
                <w:sz w:val="18"/>
                <w:szCs w:val="18"/>
                <w:lang w:eastAsia="hr-HR"/>
              </w:rPr>
              <w:t>0</w:t>
            </w:r>
          </w:p>
        </w:tc>
        <w:tc>
          <w:tcPr>
            <w:tcW w:w="567" w:type="dxa"/>
            <w:gridSpan w:val="2"/>
            <w:tcBorders>
              <w:top w:val="nil"/>
              <w:left w:val="nil"/>
              <w:bottom w:val="single" w:sz="4" w:space="0" w:color="auto"/>
              <w:right w:val="single" w:sz="4" w:space="0" w:color="auto"/>
            </w:tcBorders>
            <w:shd w:val="clear" w:color="000000" w:fill="FFFF00"/>
            <w:vAlign w:val="center"/>
            <w:hideMark/>
          </w:tcPr>
          <w:p w14:paraId="09973F6F" w14:textId="77777777" w:rsidR="0078259C" w:rsidRPr="0078259C" w:rsidRDefault="0078259C" w:rsidP="0078259C">
            <w:pPr>
              <w:spacing w:after="0" w:line="240" w:lineRule="auto"/>
              <w:jc w:val="right"/>
              <w:rPr>
                <w:rFonts w:ascii="Calibri" w:eastAsia="Times New Roman" w:hAnsi="Calibri" w:cs="Calibri"/>
                <w:sz w:val="18"/>
                <w:szCs w:val="18"/>
                <w:lang w:eastAsia="hr-HR"/>
              </w:rPr>
            </w:pPr>
            <w:r w:rsidRPr="0078259C">
              <w:rPr>
                <w:rFonts w:ascii="Calibri" w:eastAsia="Times New Roman" w:hAnsi="Calibri" w:cs="Calibri"/>
                <w:sz w:val="18"/>
                <w:szCs w:val="18"/>
                <w:lang w:eastAsia="hr-HR"/>
              </w:rPr>
              <w:t>0</w:t>
            </w:r>
          </w:p>
        </w:tc>
        <w:tc>
          <w:tcPr>
            <w:tcW w:w="578" w:type="dxa"/>
            <w:gridSpan w:val="2"/>
            <w:tcBorders>
              <w:top w:val="nil"/>
              <w:left w:val="nil"/>
              <w:bottom w:val="single" w:sz="4" w:space="0" w:color="auto"/>
              <w:right w:val="single" w:sz="4" w:space="0" w:color="auto"/>
            </w:tcBorders>
            <w:shd w:val="clear" w:color="000000" w:fill="FFFF99"/>
            <w:vAlign w:val="center"/>
            <w:hideMark/>
          </w:tcPr>
          <w:p w14:paraId="0A6944DE" w14:textId="77777777" w:rsidR="0078259C" w:rsidRPr="0078259C" w:rsidRDefault="0078259C" w:rsidP="0078259C">
            <w:pPr>
              <w:spacing w:after="0" w:line="240" w:lineRule="auto"/>
              <w:jc w:val="right"/>
              <w:rPr>
                <w:rFonts w:ascii="Calibri" w:eastAsia="Times New Roman" w:hAnsi="Calibri" w:cs="Calibri"/>
                <w:sz w:val="18"/>
                <w:szCs w:val="18"/>
                <w:lang w:eastAsia="hr-HR"/>
              </w:rPr>
            </w:pPr>
            <w:r w:rsidRPr="0078259C">
              <w:rPr>
                <w:rFonts w:ascii="Calibri" w:eastAsia="Times New Roman" w:hAnsi="Calibri" w:cs="Calibri"/>
                <w:sz w:val="18"/>
                <w:szCs w:val="18"/>
                <w:lang w:eastAsia="hr-HR"/>
              </w:rPr>
              <w:t>0</w:t>
            </w:r>
          </w:p>
        </w:tc>
        <w:tc>
          <w:tcPr>
            <w:tcW w:w="839" w:type="dxa"/>
            <w:gridSpan w:val="2"/>
            <w:tcBorders>
              <w:top w:val="nil"/>
              <w:left w:val="nil"/>
              <w:bottom w:val="single" w:sz="4" w:space="0" w:color="auto"/>
              <w:right w:val="single" w:sz="4" w:space="0" w:color="auto"/>
            </w:tcBorders>
            <w:shd w:val="clear" w:color="000000" w:fill="FF9900"/>
            <w:vAlign w:val="center"/>
            <w:hideMark/>
          </w:tcPr>
          <w:p w14:paraId="0383AD54" w14:textId="77777777" w:rsidR="0078259C" w:rsidRPr="0078259C" w:rsidRDefault="0078259C" w:rsidP="0078259C">
            <w:pPr>
              <w:spacing w:after="0" w:line="240" w:lineRule="auto"/>
              <w:jc w:val="right"/>
              <w:rPr>
                <w:rFonts w:ascii="Calibri" w:eastAsia="Times New Roman" w:hAnsi="Calibri" w:cs="Calibri"/>
                <w:sz w:val="18"/>
                <w:szCs w:val="18"/>
                <w:lang w:eastAsia="hr-HR"/>
              </w:rPr>
            </w:pPr>
            <w:r w:rsidRPr="0078259C">
              <w:rPr>
                <w:rFonts w:ascii="Calibri" w:eastAsia="Times New Roman" w:hAnsi="Calibri" w:cs="Calibri"/>
                <w:sz w:val="18"/>
                <w:szCs w:val="18"/>
                <w:lang w:eastAsia="hr-HR"/>
              </w:rPr>
              <w:t>0</w:t>
            </w:r>
          </w:p>
        </w:tc>
        <w:tc>
          <w:tcPr>
            <w:tcW w:w="426" w:type="dxa"/>
            <w:gridSpan w:val="2"/>
            <w:tcBorders>
              <w:top w:val="nil"/>
              <w:left w:val="nil"/>
              <w:bottom w:val="single" w:sz="4" w:space="0" w:color="auto"/>
              <w:right w:val="single" w:sz="4" w:space="0" w:color="auto"/>
            </w:tcBorders>
            <w:shd w:val="clear" w:color="000000" w:fill="CCFFFF"/>
            <w:vAlign w:val="center"/>
            <w:hideMark/>
          </w:tcPr>
          <w:p w14:paraId="6D9D173A" w14:textId="77777777" w:rsidR="0078259C" w:rsidRPr="0078259C" w:rsidRDefault="0078259C" w:rsidP="0078259C">
            <w:pPr>
              <w:spacing w:after="0" w:line="240" w:lineRule="auto"/>
              <w:jc w:val="right"/>
              <w:rPr>
                <w:rFonts w:ascii="Calibri" w:eastAsia="Times New Roman" w:hAnsi="Calibri" w:cs="Calibri"/>
                <w:sz w:val="18"/>
                <w:szCs w:val="18"/>
                <w:lang w:eastAsia="hr-HR"/>
              </w:rPr>
            </w:pPr>
            <w:r w:rsidRPr="0078259C">
              <w:rPr>
                <w:rFonts w:ascii="Calibri" w:eastAsia="Times New Roman" w:hAnsi="Calibri" w:cs="Calibri"/>
                <w:sz w:val="18"/>
                <w:szCs w:val="18"/>
                <w:lang w:eastAsia="hr-HR"/>
              </w:rPr>
              <w:t>0</w:t>
            </w:r>
          </w:p>
        </w:tc>
        <w:tc>
          <w:tcPr>
            <w:tcW w:w="446" w:type="dxa"/>
            <w:tcBorders>
              <w:top w:val="nil"/>
              <w:left w:val="nil"/>
              <w:bottom w:val="single" w:sz="4" w:space="0" w:color="auto"/>
              <w:right w:val="single" w:sz="4" w:space="0" w:color="auto"/>
            </w:tcBorders>
            <w:shd w:val="clear" w:color="000000" w:fill="CCFFFF"/>
            <w:vAlign w:val="center"/>
            <w:hideMark/>
          </w:tcPr>
          <w:p w14:paraId="3E90F040" w14:textId="77777777" w:rsidR="0078259C" w:rsidRPr="0078259C" w:rsidRDefault="0078259C" w:rsidP="0078259C">
            <w:pPr>
              <w:spacing w:after="0" w:line="240" w:lineRule="auto"/>
              <w:jc w:val="right"/>
              <w:rPr>
                <w:rFonts w:ascii="Calibri" w:eastAsia="Times New Roman" w:hAnsi="Calibri" w:cs="Calibri"/>
                <w:sz w:val="18"/>
                <w:szCs w:val="18"/>
                <w:lang w:eastAsia="hr-HR"/>
              </w:rPr>
            </w:pPr>
            <w:r w:rsidRPr="0078259C">
              <w:rPr>
                <w:rFonts w:ascii="Calibri" w:eastAsia="Times New Roman" w:hAnsi="Calibri" w:cs="Calibri"/>
                <w:sz w:val="18"/>
                <w:szCs w:val="18"/>
                <w:lang w:eastAsia="hr-HR"/>
              </w:rPr>
              <w:t>0</w:t>
            </w:r>
          </w:p>
        </w:tc>
        <w:tc>
          <w:tcPr>
            <w:tcW w:w="404" w:type="dxa"/>
            <w:tcBorders>
              <w:top w:val="nil"/>
              <w:left w:val="nil"/>
              <w:bottom w:val="single" w:sz="4" w:space="0" w:color="auto"/>
              <w:right w:val="single" w:sz="4" w:space="0" w:color="auto"/>
            </w:tcBorders>
            <w:shd w:val="clear" w:color="000000" w:fill="CCFFFF"/>
            <w:noWrap/>
            <w:vAlign w:val="center"/>
            <w:hideMark/>
          </w:tcPr>
          <w:p w14:paraId="595D9B8B" w14:textId="77777777" w:rsidR="0078259C" w:rsidRPr="0078259C" w:rsidRDefault="0078259C" w:rsidP="0078259C">
            <w:pPr>
              <w:spacing w:after="0" w:line="240" w:lineRule="auto"/>
              <w:jc w:val="right"/>
              <w:rPr>
                <w:rFonts w:ascii="Calibri" w:eastAsia="Times New Roman" w:hAnsi="Calibri" w:cs="Calibri"/>
                <w:sz w:val="18"/>
                <w:szCs w:val="18"/>
                <w:lang w:eastAsia="hr-HR"/>
              </w:rPr>
            </w:pPr>
            <w:r w:rsidRPr="0078259C">
              <w:rPr>
                <w:rFonts w:ascii="Calibri" w:eastAsia="Times New Roman" w:hAnsi="Calibri" w:cs="Calibri"/>
                <w:sz w:val="18"/>
                <w:szCs w:val="18"/>
                <w:lang w:eastAsia="hr-HR"/>
              </w:rPr>
              <w:t>0</w:t>
            </w:r>
          </w:p>
        </w:tc>
        <w:tc>
          <w:tcPr>
            <w:tcW w:w="839" w:type="dxa"/>
            <w:gridSpan w:val="2"/>
            <w:tcBorders>
              <w:top w:val="nil"/>
              <w:left w:val="nil"/>
              <w:bottom w:val="single" w:sz="4" w:space="0" w:color="auto"/>
              <w:right w:val="single" w:sz="4" w:space="0" w:color="auto"/>
            </w:tcBorders>
            <w:shd w:val="clear" w:color="000000" w:fill="33CCCC"/>
            <w:noWrap/>
            <w:vAlign w:val="center"/>
            <w:hideMark/>
          </w:tcPr>
          <w:p w14:paraId="77250A98" w14:textId="77777777" w:rsidR="0078259C" w:rsidRPr="0078259C" w:rsidRDefault="0078259C" w:rsidP="0078259C">
            <w:pPr>
              <w:spacing w:after="0" w:line="240" w:lineRule="auto"/>
              <w:jc w:val="right"/>
              <w:rPr>
                <w:rFonts w:ascii="Calibri" w:eastAsia="Times New Roman" w:hAnsi="Calibri" w:cs="Calibri"/>
                <w:sz w:val="18"/>
                <w:szCs w:val="18"/>
                <w:lang w:eastAsia="hr-HR"/>
              </w:rPr>
            </w:pPr>
            <w:r w:rsidRPr="0078259C">
              <w:rPr>
                <w:rFonts w:ascii="Calibri" w:eastAsia="Times New Roman" w:hAnsi="Calibri" w:cs="Calibri"/>
                <w:sz w:val="18"/>
                <w:szCs w:val="18"/>
                <w:lang w:eastAsia="hr-HR"/>
              </w:rPr>
              <w:t>0</w:t>
            </w:r>
          </w:p>
        </w:tc>
        <w:tc>
          <w:tcPr>
            <w:tcW w:w="839" w:type="dxa"/>
            <w:tcBorders>
              <w:top w:val="nil"/>
              <w:left w:val="nil"/>
              <w:bottom w:val="single" w:sz="4" w:space="0" w:color="auto"/>
              <w:right w:val="nil"/>
            </w:tcBorders>
            <w:shd w:val="clear" w:color="000000" w:fill="33CCCC"/>
            <w:noWrap/>
            <w:vAlign w:val="center"/>
            <w:hideMark/>
          </w:tcPr>
          <w:p w14:paraId="63146706" w14:textId="77777777" w:rsidR="0078259C" w:rsidRPr="0078259C" w:rsidRDefault="0078259C" w:rsidP="0078259C">
            <w:pPr>
              <w:spacing w:after="0" w:line="240" w:lineRule="auto"/>
              <w:jc w:val="right"/>
              <w:rPr>
                <w:rFonts w:ascii="Calibri" w:eastAsia="Times New Roman" w:hAnsi="Calibri" w:cs="Calibri"/>
                <w:sz w:val="18"/>
                <w:szCs w:val="18"/>
                <w:lang w:eastAsia="hr-HR"/>
              </w:rPr>
            </w:pPr>
            <w:r w:rsidRPr="0078259C">
              <w:rPr>
                <w:rFonts w:ascii="Calibri" w:eastAsia="Times New Roman" w:hAnsi="Calibri" w:cs="Calibri"/>
                <w:sz w:val="18"/>
                <w:szCs w:val="18"/>
                <w:lang w:eastAsia="hr-HR"/>
              </w:rPr>
              <w:t>0</w:t>
            </w:r>
          </w:p>
        </w:tc>
        <w:tc>
          <w:tcPr>
            <w:tcW w:w="236" w:type="dxa"/>
            <w:gridSpan w:val="2"/>
            <w:vAlign w:val="center"/>
            <w:hideMark/>
          </w:tcPr>
          <w:p w14:paraId="20C12A1F" w14:textId="77777777" w:rsidR="0078259C" w:rsidRPr="0078259C" w:rsidRDefault="0078259C" w:rsidP="0078259C">
            <w:pPr>
              <w:spacing w:after="0" w:line="240" w:lineRule="auto"/>
              <w:rPr>
                <w:rFonts w:ascii="Times New Roman" w:eastAsia="Times New Roman" w:hAnsi="Times New Roman" w:cs="Times New Roman"/>
                <w:sz w:val="18"/>
                <w:szCs w:val="18"/>
                <w:lang w:eastAsia="hr-HR"/>
              </w:rPr>
            </w:pPr>
          </w:p>
        </w:tc>
      </w:tr>
      <w:tr w:rsidR="0078259C" w:rsidRPr="0078259C" w14:paraId="5FB2DB3F" w14:textId="77777777" w:rsidTr="0078259C">
        <w:trPr>
          <w:gridAfter w:val="2"/>
          <w:wAfter w:w="44" w:type="dxa"/>
          <w:trHeight w:val="405"/>
        </w:trPr>
        <w:tc>
          <w:tcPr>
            <w:tcW w:w="1394" w:type="dxa"/>
            <w:tcBorders>
              <w:top w:val="single" w:sz="4" w:space="0" w:color="auto"/>
              <w:left w:val="single" w:sz="8" w:space="0" w:color="auto"/>
              <w:bottom w:val="single" w:sz="4" w:space="0" w:color="auto"/>
              <w:right w:val="single" w:sz="4" w:space="0" w:color="auto"/>
            </w:tcBorders>
            <w:shd w:val="clear" w:color="000000" w:fill="CCFFCC"/>
            <w:vAlign w:val="center"/>
            <w:hideMark/>
          </w:tcPr>
          <w:p w14:paraId="30B00E1D" w14:textId="77777777" w:rsidR="0078259C" w:rsidRPr="0078259C" w:rsidRDefault="0078259C" w:rsidP="0078259C">
            <w:pPr>
              <w:spacing w:after="0" w:line="240" w:lineRule="auto"/>
              <w:jc w:val="center"/>
              <w:rPr>
                <w:rFonts w:ascii="Calibri" w:eastAsia="Times New Roman" w:hAnsi="Calibri" w:cs="Calibri"/>
                <w:sz w:val="18"/>
                <w:szCs w:val="18"/>
                <w:lang w:eastAsia="hr-HR"/>
              </w:rPr>
            </w:pPr>
            <w:r w:rsidRPr="0078259C">
              <w:rPr>
                <w:rFonts w:ascii="Calibri" w:eastAsia="Times New Roman" w:hAnsi="Calibri" w:cs="Calibri"/>
                <w:sz w:val="18"/>
                <w:szCs w:val="18"/>
                <w:lang w:eastAsia="hr-HR"/>
              </w:rPr>
              <w:t>Društveni položaj</w:t>
            </w:r>
          </w:p>
        </w:tc>
        <w:tc>
          <w:tcPr>
            <w:tcW w:w="575" w:type="dxa"/>
            <w:tcBorders>
              <w:top w:val="nil"/>
              <w:left w:val="nil"/>
              <w:bottom w:val="single" w:sz="4" w:space="0" w:color="auto"/>
              <w:right w:val="single" w:sz="4" w:space="0" w:color="auto"/>
            </w:tcBorders>
            <w:shd w:val="clear" w:color="000000" w:fill="CCFFCC"/>
            <w:vAlign w:val="center"/>
            <w:hideMark/>
          </w:tcPr>
          <w:p w14:paraId="6D1A3843" w14:textId="77777777" w:rsidR="0078259C" w:rsidRPr="0078259C" w:rsidRDefault="0078259C" w:rsidP="0078259C">
            <w:pPr>
              <w:spacing w:after="0" w:line="240" w:lineRule="auto"/>
              <w:jc w:val="right"/>
              <w:rPr>
                <w:rFonts w:ascii="Calibri" w:eastAsia="Times New Roman" w:hAnsi="Calibri" w:cs="Calibri"/>
                <w:sz w:val="18"/>
                <w:szCs w:val="18"/>
                <w:lang w:eastAsia="hr-HR"/>
              </w:rPr>
            </w:pPr>
            <w:r w:rsidRPr="0078259C">
              <w:rPr>
                <w:rFonts w:ascii="Calibri" w:eastAsia="Times New Roman" w:hAnsi="Calibri" w:cs="Calibri"/>
                <w:sz w:val="18"/>
                <w:szCs w:val="18"/>
                <w:lang w:eastAsia="hr-HR"/>
              </w:rPr>
              <w:t>6</w:t>
            </w:r>
          </w:p>
        </w:tc>
        <w:tc>
          <w:tcPr>
            <w:tcW w:w="488" w:type="dxa"/>
            <w:tcBorders>
              <w:top w:val="nil"/>
              <w:left w:val="nil"/>
              <w:bottom w:val="single" w:sz="4" w:space="0" w:color="auto"/>
              <w:right w:val="single" w:sz="4" w:space="0" w:color="auto"/>
            </w:tcBorders>
            <w:shd w:val="clear" w:color="000000" w:fill="FFCC99"/>
            <w:noWrap/>
            <w:vAlign w:val="center"/>
            <w:hideMark/>
          </w:tcPr>
          <w:p w14:paraId="21ED585B" w14:textId="77777777" w:rsidR="0078259C" w:rsidRPr="0078259C" w:rsidRDefault="0078259C" w:rsidP="0078259C">
            <w:pPr>
              <w:spacing w:after="0" w:line="240" w:lineRule="auto"/>
              <w:jc w:val="right"/>
              <w:rPr>
                <w:rFonts w:ascii="Calibri" w:eastAsia="Times New Roman" w:hAnsi="Calibri" w:cs="Calibri"/>
                <w:sz w:val="18"/>
                <w:szCs w:val="18"/>
                <w:lang w:eastAsia="hr-HR"/>
              </w:rPr>
            </w:pPr>
            <w:r w:rsidRPr="0078259C">
              <w:rPr>
                <w:rFonts w:ascii="Calibri" w:eastAsia="Times New Roman" w:hAnsi="Calibri" w:cs="Calibri"/>
                <w:sz w:val="18"/>
                <w:szCs w:val="18"/>
                <w:lang w:eastAsia="hr-HR"/>
              </w:rPr>
              <w:t>1</w:t>
            </w:r>
          </w:p>
        </w:tc>
        <w:tc>
          <w:tcPr>
            <w:tcW w:w="500" w:type="dxa"/>
            <w:tcBorders>
              <w:top w:val="nil"/>
              <w:left w:val="nil"/>
              <w:bottom w:val="single" w:sz="4" w:space="0" w:color="auto"/>
              <w:right w:val="single" w:sz="4" w:space="0" w:color="auto"/>
            </w:tcBorders>
            <w:shd w:val="clear" w:color="000000" w:fill="FFCC99"/>
            <w:noWrap/>
            <w:vAlign w:val="center"/>
            <w:hideMark/>
          </w:tcPr>
          <w:p w14:paraId="296351D5" w14:textId="77777777" w:rsidR="0078259C" w:rsidRPr="0078259C" w:rsidRDefault="0078259C" w:rsidP="0078259C">
            <w:pPr>
              <w:spacing w:after="0" w:line="240" w:lineRule="auto"/>
              <w:jc w:val="right"/>
              <w:rPr>
                <w:rFonts w:ascii="Calibri" w:eastAsia="Times New Roman" w:hAnsi="Calibri" w:cs="Calibri"/>
                <w:sz w:val="18"/>
                <w:szCs w:val="18"/>
                <w:lang w:eastAsia="hr-HR"/>
              </w:rPr>
            </w:pPr>
            <w:r w:rsidRPr="0078259C">
              <w:rPr>
                <w:rFonts w:ascii="Calibri" w:eastAsia="Times New Roman" w:hAnsi="Calibri" w:cs="Calibri"/>
                <w:sz w:val="18"/>
                <w:szCs w:val="18"/>
                <w:lang w:eastAsia="hr-HR"/>
              </w:rPr>
              <w:t>6</w:t>
            </w:r>
          </w:p>
        </w:tc>
        <w:tc>
          <w:tcPr>
            <w:tcW w:w="435" w:type="dxa"/>
            <w:tcBorders>
              <w:top w:val="nil"/>
              <w:left w:val="nil"/>
              <w:bottom w:val="single" w:sz="4" w:space="0" w:color="auto"/>
              <w:right w:val="single" w:sz="4" w:space="0" w:color="auto"/>
            </w:tcBorders>
            <w:shd w:val="clear" w:color="000000" w:fill="CCFFFF"/>
            <w:vAlign w:val="center"/>
            <w:hideMark/>
          </w:tcPr>
          <w:p w14:paraId="624729C0" w14:textId="77777777" w:rsidR="0078259C" w:rsidRPr="0078259C" w:rsidRDefault="0078259C" w:rsidP="0078259C">
            <w:pPr>
              <w:spacing w:after="0" w:line="240" w:lineRule="auto"/>
              <w:jc w:val="right"/>
              <w:rPr>
                <w:rFonts w:ascii="Calibri" w:eastAsia="Times New Roman" w:hAnsi="Calibri" w:cs="Calibri"/>
                <w:sz w:val="18"/>
                <w:szCs w:val="18"/>
                <w:lang w:eastAsia="hr-HR"/>
              </w:rPr>
            </w:pPr>
            <w:r w:rsidRPr="0078259C">
              <w:rPr>
                <w:rFonts w:ascii="Calibri" w:eastAsia="Times New Roman" w:hAnsi="Calibri" w:cs="Calibri"/>
                <w:sz w:val="18"/>
                <w:szCs w:val="18"/>
                <w:lang w:eastAsia="hr-HR"/>
              </w:rPr>
              <w:t>0</w:t>
            </w:r>
          </w:p>
        </w:tc>
        <w:tc>
          <w:tcPr>
            <w:tcW w:w="426" w:type="dxa"/>
            <w:tcBorders>
              <w:top w:val="nil"/>
              <w:left w:val="nil"/>
              <w:bottom w:val="single" w:sz="4" w:space="0" w:color="auto"/>
              <w:right w:val="single" w:sz="4" w:space="0" w:color="auto"/>
            </w:tcBorders>
            <w:shd w:val="clear" w:color="000000" w:fill="CCFFFF"/>
            <w:noWrap/>
            <w:vAlign w:val="center"/>
            <w:hideMark/>
          </w:tcPr>
          <w:p w14:paraId="5F198EA1" w14:textId="77777777" w:rsidR="0078259C" w:rsidRPr="0078259C" w:rsidRDefault="0078259C" w:rsidP="0078259C">
            <w:pPr>
              <w:spacing w:after="0" w:line="240" w:lineRule="auto"/>
              <w:jc w:val="right"/>
              <w:rPr>
                <w:rFonts w:ascii="Calibri" w:eastAsia="Times New Roman" w:hAnsi="Calibri" w:cs="Calibri"/>
                <w:sz w:val="18"/>
                <w:szCs w:val="18"/>
                <w:lang w:eastAsia="hr-HR"/>
              </w:rPr>
            </w:pPr>
            <w:r w:rsidRPr="0078259C">
              <w:rPr>
                <w:rFonts w:ascii="Calibri" w:eastAsia="Times New Roman" w:hAnsi="Calibri" w:cs="Calibri"/>
                <w:sz w:val="18"/>
                <w:szCs w:val="18"/>
                <w:lang w:eastAsia="hr-HR"/>
              </w:rPr>
              <w:t>0</w:t>
            </w:r>
          </w:p>
        </w:tc>
        <w:tc>
          <w:tcPr>
            <w:tcW w:w="425" w:type="dxa"/>
            <w:tcBorders>
              <w:top w:val="nil"/>
              <w:left w:val="nil"/>
              <w:bottom w:val="single" w:sz="4" w:space="0" w:color="auto"/>
              <w:right w:val="single" w:sz="4" w:space="0" w:color="auto"/>
            </w:tcBorders>
            <w:shd w:val="clear" w:color="000000" w:fill="FFFF99"/>
            <w:noWrap/>
            <w:vAlign w:val="center"/>
            <w:hideMark/>
          </w:tcPr>
          <w:p w14:paraId="72819532" w14:textId="77777777" w:rsidR="0078259C" w:rsidRPr="0078259C" w:rsidRDefault="0078259C" w:rsidP="0078259C">
            <w:pPr>
              <w:spacing w:after="0" w:line="240" w:lineRule="auto"/>
              <w:jc w:val="right"/>
              <w:rPr>
                <w:rFonts w:ascii="Calibri" w:eastAsia="Times New Roman" w:hAnsi="Calibri" w:cs="Calibri"/>
                <w:sz w:val="18"/>
                <w:szCs w:val="18"/>
                <w:lang w:eastAsia="hr-HR"/>
              </w:rPr>
            </w:pPr>
            <w:r w:rsidRPr="0078259C">
              <w:rPr>
                <w:rFonts w:ascii="Calibri" w:eastAsia="Times New Roman" w:hAnsi="Calibri" w:cs="Calibri"/>
                <w:sz w:val="18"/>
                <w:szCs w:val="18"/>
                <w:lang w:eastAsia="hr-HR"/>
              </w:rPr>
              <w:t>1</w:t>
            </w:r>
          </w:p>
        </w:tc>
        <w:tc>
          <w:tcPr>
            <w:tcW w:w="567" w:type="dxa"/>
            <w:tcBorders>
              <w:top w:val="nil"/>
              <w:left w:val="nil"/>
              <w:bottom w:val="single" w:sz="4" w:space="0" w:color="auto"/>
              <w:right w:val="single" w:sz="4" w:space="0" w:color="auto"/>
            </w:tcBorders>
            <w:shd w:val="clear" w:color="000000" w:fill="FFFF99"/>
            <w:noWrap/>
            <w:vAlign w:val="center"/>
            <w:hideMark/>
          </w:tcPr>
          <w:p w14:paraId="70458FC7" w14:textId="77777777" w:rsidR="0078259C" w:rsidRPr="0078259C" w:rsidRDefault="0078259C" w:rsidP="0078259C">
            <w:pPr>
              <w:spacing w:after="0" w:line="240" w:lineRule="auto"/>
              <w:jc w:val="right"/>
              <w:rPr>
                <w:rFonts w:ascii="Calibri" w:eastAsia="Times New Roman" w:hAnsi="Calibri" w:cs="Calibri"/>
                <w:sz w:val="18"/>
                <w:szCs w:val="18"/>
                <w:lang w:eastAsia="hr-HR"/>
              </w:rPr>
            </w:pPr>
            <w:r w:rsidRPr="0078259C">
              <w:rPr>
                <w:rFonts w:ascii="Calibri" w:eastAsia="Times New Roman" w:hAnsi="Calibri" w:cs="Calibri"/>
                <w:sz w:val="18"/>
                <w:szCs w:val="18"/>
                <w:lang w:eastAsia="hr-HR"/>
              </w:rPr>
              <w:t>0</w:t>
            </w:r>
          </w:p>
        </w:tc>
        <w:tc>
          <w:tcPr>
            <w:tcW w:w="567" w:type="dxa"/>
            <w:tcBorders>
              <w:top w:val="nil"/>
              <w:left w:val="nil"/>
              <w:bottom w:val="single" w:sz="4" w:space="0" w:color="auto"/>
              <w:right w:val="single" w:sz="4" w:space="0" w:color="auto"/>
            </w:tcBorders>
            <w:shd w:val="clear" w:color="000000" w:fill="FFFF99"/>
            <w:noWrap/>
            <w:vAlign w:val="center"/>
            <w:hideMark/>
          </w:tcPr>
          <w:p w14:paraId="37A9C5CC" w14:textId="77777777" w:rsidR="0078259C" w:rsidRPr="0078259C" w:rsidRDefault="0078259C" w:rsidP="0078259C">
            <w:pPr>
              <w:spacing w:after="0" w:line="240" w:lineRule="auto"/>
              <w:jc w:val="right"/>
              <w:rPr>
                <w:rFonts w:ascii="Calibri" w:eastAsia="Times New Roman" w:hAnsi="Calibri" w:cs="Calibri"/>
                <w:sz w:val="18"/>
                <w:szCs w:val="18"/>
                <w:lang w:eastAsia="hr-HR"/>
              </w:rPr>
            </w:pPr>
            <w:r w:rsidRPr="0078259C">
              <w:rPr>
                <w:rFonts w:ascii="Calibri" w:eastAsia="Times New Roman" w:hAnsi="Calibri" w:cs="Calibri"/>
                <w:sz w:val="18"/>
                <w:szCs w:val="18"/>
                <w:lang w:eastAsia="hr-HR"/>
              </w:rPr>
              <w:t>0</w:t>
            </w:r>
          </w:p>
        </w:tc>
        <w:tc>
          <w:tcPr>
            <w:tcW w:w="437" w:type="dxa"/>
            <w:tcBorders>
              <w:top w:val="nil"/>
              <w:left w:val="nil"/>
              <w:bottom w:val="single" w:sz="4" w:space="0" w:color="auto"/>
              <w:right w:val="single" w:sz="4" w:space="0" w:color="auto"/>
            </w:tcBorders>
            <w:shd w:val="clear" w:color="000000" w:fill="FFFF99"/>
            <w:noWrap/>
            <w:vAlign w:val="center"/>
            <w:hideMark/>
          </w:tcPr>
          <w:p w14:paraId="0715EA5F" w14:textId="77777777" w:rsidR="0078259C" w:rsidRPr="0078259C" w:rsidRDefault="0078259C" w:rsidP="0078259C">
            <w:pPr>
              <w:spacing w:after="0" w:line="240" w:lineRule="auto"/>
              <w:jc w:val="right"/>
              <w:rPr>
                <w:rFonts w:ascii="Calibri" w:eastAsia="Times New Roman" w:hAnsi="Calibri" w:cs="Calibri"/>
                <w:sz w:val="18"/>
                <w:szCs w:val="18"/>
                <w:lang w:eastAsia="hr-HR"/>
              </w:rPr>
            </w:pPr>
            <w:r w:rsidRPr="0078259C">
              <w:rPr>
                <w:rFonts w:ascii="Calibri" w:eastAsia="Times New Roman" w:hAnsi="Calibri" w:cs="Calibri"/>
                <w:sz w:val="18"/>
                <w:szCs w:val="18"/>
                <w:lang w:eastAsia="hr-HR"/>
              </w:rPr>
              <w:t>0</w:t>
            </w:r>
          </w:p>
        </w:tc>
        <w:tc>
          <w:tcPr>
            <w:tcW w:w="413" w:type="dxa"/>
            <w:tcBorders>
              <w:top w:val="nil"/>
              <w:left w:val="nil"/>
              <w:bottom w:val="single" w:sz="4" w:space="0" w:color="auto"/>
              <w:right w:val="single" w:sz="4" w:space="0" w:color="auto"/>
            </w:tcBorders>
            <w:shd w:val="clear" w:color="000000" w:fill="FFFF99"/>
            <w:noWrap/>
            <w:vAlign w:val="center"/>
            <w:hideMark/>
          </w:tcPr>
          <w:p w14:paraId="6ECCE805" w14:textId="77777777" w:rsidR="0078259C" w:rsidRPr="0078259C" w:rsidRDefault="0078259C" w:rsidP="0078259C">
            <w:pPr>
              <w:spacing w:after="0" w:line="240" w:lineRule="auto"/>
              <w:jc w:val="right"/>
              <w:rPr>
                <w:rFonts w:ascii="Calibri" w:eastAsia="Times New Roman" w:hAnsi="Calibri" w:cs="Calibri"/>
                <w:sz w:val="18"/>
                <w:szCs w:val="18"/>
                <w:lang w:eastAsia="hr-HR"/>
              </w:rPr>
            </w:pPr>
            <w:r w:rsidRPr="0078259C">
              <w:rPr>
                <w:rFonts w:ascii="Calibri" w:eastAsia="Times New Roman" w:hAnsi="Calibri" w:cs="Calibri"/>
                <w:sz w:val="18"/>
                <w:szCs w:val="18"/>
                <w:lang w:eastAsia="hr-HR"/>
              </w:rPr>
              <w:t>0</w:t>
            </w:r>
          </w:p>
        </w:tc>
        <w:tc>
          <w:tcPr>
            <w:tcW w:w="283" w:type="dxa"/>
            <w:gridSpan w:val="2"/>
            <w:tcBorders>
              <w:top w:val="nil"/>
              <w:left w:val="nil"/>
              <w:bottom w:val="single" w:sz="4" w:space="0" w:color="auto"/>
              <w:right w:val="single" w:sz="4" w:space="0" w:color="auto"/>
            </w:tcBorders>
            <w:shd w:val="clear" w:color="000000" w:fill="FF9900"/>
            <w:noWrap/>
            <w:vAlign w:val="center"/>
            <w:hideMark/>
          </w:tcPr>
          <w:p w14:paraId="45EDF9C8" w14:textId="77777777" w:rsidR="0078259C" w:rsidRPr="0078259C" w:rsidRDefault="0078259C" w:rsidP="0078259C">
            <w:pPr>
              <w:spacing w:after="0" w:line="240" w:lineRule="auto"/>
              <w:jc w:val="right"/>
              <w:rPr>
                <w:rFonts w:ascii="Calibri" w:eastAsia="Times New Roman" w:hAnsi="Calibri" w:cs="Calibri"/>
                <w:sz w:val="18"/>
                <w:szCs w:val="18"/>
                <w:lang w:eastAsia="hr-HR"/>
              </w:rPr>
            </w:pPr>
            <w:r w:rsidRPr="0078259C">
              <w:rPr>
                <w:rFonts w:ascii="Calibri" w:eastAsia="Times New Roman" w:hAnsi="Calibri" w:cs="Calibri"/>
                <w:sz w:val="18"/>
                <w:szCs w:val="18"/>
                <w:lang w:eastAsia="hr-HR"/>
              </w:rPr>
              <w:t>0</w:t>
            </w:r>
          </w:p>
        </w:tc>
        <w:tc>
          <w:tcPr>
            <w:tcW w:w="568" w:type="dxa"/>
            <w:tcBorders>
              <w:top w:val="nil"/>
              <w:left w:val="nil"/>
              <w:bottom w:val="single" w:sz="4" w:space="0" w:color="auto"/>
              <w:right w:val="single" w:sz="4" w:space="0" w:color="auto"/>
            </w:tcBorders>
            <w:shd w:val="clear" w:color="000000" w:fill="FF9900"/>
            <w:noWrap/>
            <w:vAlign w:val="center"/>
            <w:hideMark/>
          </w:tcPr>
          <w:p w14:paraId="55945222" w14:textId="77777777" w:rsidR="0078259C" w:rsidRPr="0078259C" w:rsidRDefault="0078259C" w:rsidP="0078259C">
            <w:pPr>
              <w:spacing w:after="0" w:line="240" w:lineRule="auto"/>
              <w:jc w:val="right"/>
              <w:rPr>
                <w:rFonts w:ascii="Calibri" w:eastAsia="Times New Roman" w:hAnsi="Calibri" w:cs="Calibri"/>
                <w:sz w:val="18"/>
                <w:szCs w:val="18"/>
                <w:lang w:eastAsia="hr-HR"/>
              </w:rPr>
            </w:pPr>
            <w:r w:rsidRPr="0078259C">
              <w:rPr>
                <w:rFonts w:ascii="Calibri" w:eastAsia="Times New Roman" w:hAnsi="Calibri" w:cs="Calibri"/>
                <w:sz w:val="18"/>
                <w:szCs w:val="18"/>
                <w:lang w:eastAsia="hr-HR"/>
              </w:rPr>
              <w:t>1</w:t>
            </w:r>
          </w:p>
        </w:tc>
        <w:tc>
          <w:tcPr>
            <w:tcW w:w="425" w:type="dxa"/>
            <w:tcBorders>
              <w:top w:val="nil"/>
              <w:left w:val="nil"/>
              <w:bottom w:val="single" w:sz="4" w:space="0" w:color="auto"/>
              <w:right w:val="single" w:sz="4" w:space="0" w:color="auto"/>
            </w:tcBorders>
            <w:shd w:val="clear" w:color="000000" w:fill="FF9900"/>
            <w:noWrap/>
            <w:vAlign w:val="center"/>
            <w:hideMark/>
          </w:tcPr>
          <w:p w14:paraId="361FD272" w14:textId="77777777" w:rsidR="0078259C" w:rsidRPr="0078259C" w:rsidRDefault="0078259C" w:rsidP="0078259C">
            <w:pPr>
              <w:spacing w:after="0" w:line="240" w:lineRule="auto"/>
              <w:jc w:val="right"/>
              <w:rPr>
                <w:rFonts w:ascii="Calibri" w:eastAsia="Times New Roman" w:hAnsi="Calibri" w:cs="Calibri"/>
                <w:sz w:val="18"/>
                <w:szCs w:val="18"/>
                <w:lang w:eastAsia="hr-HR"/>
              </w:rPr>
            </w:pPr>
            <w:r w:rsidRPr="0078259C">
              <w:rPr>
                <w:rFonts w:ascii="Calibri" w:eastAsia="Times New Roman" w:hAnsi="Calibri" w:cs="Calibri"/>
                <w:sz w:val="18"/>
                <w:szCs w:val="18"/>
                <w:lang w:eastAsia="hr-HR"/>
              </w:rPr>
              <w:t>3</w:t>
            </w:r>
          </w:p>
        </w:tc>
        <w:tc>
          <w:tcPr>
            <w:tcW w:w="425" w:type="dxa"/>
            <w:gridSpan w:val="2"/>
            <w:tcBorders>
              <w:top w:val="nil"/>
              <w:left w:val="nil"/>
              <w:bottom w:val="single" w:sz="4" w:space="0" w:color="auto"/>
              <w:right w:val="single" w:sz="4" w:space="0" w:color="auto"/>
            </w:tcBorders>
            <w:shd w:val="clear" w:color="000000" w:fill="66FFCC"/>
            <w:noWrap/>
            <w:vAlign w:val="center"/>
            <w:hideMark/>
          </w:tcPr>
          <w:p w14:paraId="7DD92F0F" w14:textId="77777777" w:rsidR="0078259C" w:rsidRPr="0078259C" w:rsidRDefault="0078259C" w:rsidP="0078259C">
            <w:pPr>
              <w:spacing w:after="0" w:line="240" w:lineRule="auto"/>
              <w:jc w:val="right"/>
              <w:rPr>
                <w:rFonts w:ascii="Calibri" w:eastAsia="Times New Roman" w:hAnsi="Calibri" w:cs="Calibri"/>
                <w:sz w:val="18"/>
                <w:szCs w:val="18"/>
                <w:lang w:eastAsia="hr-HR"/>
              </w:rPr>
            </w:pPr>
            <w:r w:rsidRPr="0078259C">
              <w:rPr>
                <w:rFonts w:ascii="Calibri" w:eastAsia="Times New Roman" w:hAnsi="Calibri" w:cs="Calibri"/>
                <w:sz w:val="18"/>
                <w:szCs w:val="18"/>
                <w:lang w:eastAsia="hr-HR"/>
              </w:rPr>
              <w:t>0</w:t>
            </w:r>
          </w:p>
        </w:tc>
        <w:tc>
          <w:tcPr>
            <w:tcW w:w="437" w:type="dxa"/>
            <w:tcBorders>
              <w:top w:val="nil"/>
              <w:left w:val="nil"/>
              <w:bottom w:val="single" w:sz="4" w:space="0" w:color="auto"/>
              <w:right w:val="single" w:sz="4" w:space="0" w:color="auto"/>
            </w:tcBorders>
            <w:shd w:val="clear" w:color="000000" w:fill="66FFCC"/>
            <w:noWrap/>
            <w:vAlign w:val="center"/>
            <w:hideMark/>
          </w:tcPr>
          <w:p w14:paraId="0FEF55E0" w14:textId="77777777" w:rsidR="0078259C" w:rsidRPr="0078259C" w:rsidRDefault="0078259C" w:rsidP="0078259C">
            <w:pPr>
              <w:spacing w:after="0" w:line="240" w:lineRule="auto"/>
              <w:jc w:val="right"/>
              <w:rPr>
                <w:rFonts w:ascii="Calibri" w:eastAsia="Times New Roman" w:hAnsi="Calibri" w:cs="Calibri"/>
                <w:sz w:val="18"/>
                <w:szCs w:val="18"/>
                <w:lang w:eastAsia="hr-HR"/>
              </w:rPr>
            </w:pPr>
            <w:r w:rsidRPr="0078259C">
              <w:rPr>
                <w:rFonts w:ascii="Calibri" w:eastAsia="Times New Roman" w:hAnsi="Calibri" w:cs="Calibri"/>
                <w:sz w:val="18"/>
                <w:szCs w:val="18"/>
                <w:lang w:eastAsia="hr-HR"/>
              </w:rPr>
              <w:t>0</w:t>
            </w:r>
          </w:p>
        </w:tc>
        <w:tc>
          <w:tcPr>
            <w:tcW w:w="556" w:type="dxa"/>
            <w:tcBorders>
              <w:top w:val="nil"/>
              <w:left w:val="nil"/>
              <w:bottom w:val="single" w:sz="4" w:space="0" w:color="auto"/>
              <w:right w:val="single" w:sz="4" w:space="0" w:color="auto"/>
            </w:tcBorders>
            <w:shd w:val="clear" w:color="000000" w:fill="66FFCC"/>
            <w:noWrap/>
            <w:vAlign w:val="center"/>
            <w:hideMark/>
          </w:tcPr>
          <w:p w14:paraId="6BBE3CED" w14:textId="77777777" w:rsidR="0078259C" w:rsidRPr="0078259C" w:rsidRDefault="0078259C" w:rsidP="0078259C">
            <w:pPr>
              <w:spacing w:after="0" w:line="240" w:lineRule="auto"/>
              <w:jc w:val="right"/>
              <w:rPr>
                <w:rFonts w:ascii="Calibri" w:eastAsia="Times New Roman" w:hAnsi="Calibri" w:cs="Calibri"/>
                <w:sz w:val="18"/>
                <w:szCs w:val="18"/>
                <w:lang w:eastAsia="hr-HR"/>
              </w:rPr>
            </w:pPr>
            <w:r w:rsidRPr="0078259C">
              <w:rPr>
                <w:rFonts w:ascii="Calibri" w:eastAsia="Times New Roman" w:hAnsi="Calibri" w:cs="Calibri"/>
                <w:sz w:val="18"/>
                <w:szCs w:val="18"/>
                <w:lang w:eastAsia="hr-HR"/>
              </w:rPr>
              <w:t>0</w:t>
            </w:r>
          </w:p>
        </w:tc>
        <w:tc>
          <w:tcPr>
            <w:tcW w:w="425" w:type="dxa"/>
            <w:tcBorders>
              <w:top w:val="nil"/>
              <w:left w:val="nil"/>
              <w:bottom w:val="single" w:sz="4" w:space="0" w:color="auto"/>
              <w:right w:val="single" w:sz="4" w:space="0" w:color="auto"/>
            </w:tcBorders>
            <w:shd w:val="clear" w:color="000000" w:fill="66FFCC"/>
            <w:noWrap/>
            <w:vAlign w:val="center"/>
            <w:hideMark/>
          </w:tcPr>
          <w:p w14:paraId="7C344608" w14:textId="77777777" w:rsidR="0078259C" w:rsidRPr="0078259C" w:rsidRDefault="0078259C" w:rsidP="0078259C">
            <w:pPr>
              <w:spacing w:after="0" w:line="240" w:lineRule="auto"/>
              <w:jc w:val="right"/>
              <w:rPr>
                <w:rFonts w:ascii="Calibri" w:eastAsia="Times New Roman" w:hAnsi="Calibri" w:cs="Calibri"/>
                <w:sz w:val="18"/>
                <w:szCs w:val="18"/>
                <w:lang w:eastAsia="hr-HR"/>
              </w:rPr>
            </w:pPr>
            <w:r w:rsidRPr="0078259C">
              <w:rPr>
                <w:rFonts w:ascii="Calibri" w:eastAsia="Times New Roman" w:hAnsi="Calibri" w:cs="Calibri"/>
                <w:sz w:val="18"/>
                <w:szCs w:val="18"/>
                <w:lang w:eastAsia="hr-HR"/>
              </w:rPr>
              <w:t>0</w:t>
            </w:r>
          </w:p>
        </w:tc>
        <w:tc>
          <w:tcPr>
            <w:tcW w:w="567" w:type="dxa"/>
            <w:gridSpan w:val="2"/>
            <w:tcBorders>
              <w:top w:val="nil"/>
              <w:left w:val="nil"/>
              <w:bottom w:val="single" w:sz="4" w:space="0" w:color="auto"/>
              <w:right w:val="single" w:sz="4" w:space="0" w:color="auto"/>
            </w:tcBorders>
            <w:shd w:val="clear" w:color="000000" w:fill="FFFF00"/>
            <w:vAlign w:val="center"/>
            <w:hideMark/>
          </w:tcPr>
          <w:p w14:paraId="7C6F9D82" w14:textId="77777777" w:rsidR="0078259C" w:rsidRPr="0078259C" w:rsidRDefault="0078259C" w:rsidP="0078259C">
            <w:pPr>
              <w:spacing w:after="0" w:line="240" w:lineRule="auto"/>
              <w:jc w:val="right"/>
              <w:rPr>
                <w:rFonts w:ascii="Calibri" w:eastAsia="Times New Roman" w:hAnsi="Calibri" w:cs="Calibri"/>
                <w:sz w:val="18"/>
                <w:szCs w:val="18"/>
                <w:lang w:eastAsia="hr-HR"/>
              </w:rPr>
            </w:pPr>
            <w:r w:rsidRPr="0078259C">
              <w:rPr>
                <w:rFonts w:ascii="Calibri" w:eastAsia="Times New Roman" w:hAnsi="Calibri" w:cs="Calibri"/>
                <w:sz w:val="18"/>
                <w:szCs w:val="18"/>
                <w:lang w:eastAsia="hr-HR"/>
              </w:rPr>
              <w:t>4</w:t>
            </w:r>
          </w:p>
        </w:tc>
        <w:tc>
          <w:tcPr>
            <w:tcW w:w="578" w:type="dxa"/>
            <w:gridSpan w:val="2"/>
            <w:tcBorders>
              <w:top w:val="nil"/>
              <w:left w:val="nil"/>
              <w:bottom w:val="single" w:sz="4" w:space="0" w:color="auto"/>
              <w:right w:val="single" w:sz="4" w:space="0" w:color="auto"/>
            </w:tcBorders>
            <w:shd w:val="clear" w:color="000000" w:fill="FFFF99"/>
            <w:vAlign w:val="center"/>
            <w:hideMark/>
          </w:tcPr>
          <w:p w14:paraId="60FA8720" w14:textId="77777777" w:rsidR="0078259C" w:rsidRPr="0078259C" w:rsidRDefault="0078259C" w:rsidP="0078259C">
            <w:pPr>
              <w:spacing w:after="0" w:line="240" w:lineRule="auto"/>
              <w:jc w:val="right"/>
              <w:rPr>
                <w:rFonts w:ascii="Calibri" w:eastAsia="Times New Roman" w:hAnsi="Calibri" w:cs="Calibri"/>
                <w:sz w:val="18"/>
                <w:szCs w:val="18"/>
                <w:lang w:eastAsia="hr-HR"/>
              </w:rPr>
            </w:pPr>
            <w:r w:rsidRPr="0078259C">
              <w:rPr>
                <w:rFonts w:ascii="Calibri" w:eastAsia="Times New Roman" w:hAnsi="Calibri" w:cs="Calibri"/>
                <w:sz w:val="18"/>
                <w:szCs w:val="18"/>
                <w:lang w:eastAsia="hr-HR"/>
              </w:rPr>
              <w:t>3</w:t>
            </w:r>
          </w:p>
        </w:tc>
        <w:tc>
          <w:tcPr>
            <w:tcW w:w="839" w:type="dxa"/>
            <w:gridSpan w:val="2"/>
            <w:tcBorders>
              <w:top w:val="nil"/>
              <w:left w:val="nil"/>
              <w:bottom w:val="single" w:sz="4" w:space="0" w:color="auto"/>
              <w:right w:val="single" w:sz="4" w:space="0" w:color="auto"/>
            </w:tcBorders>
            <w:shd w:val="clear" w:color="000000" w:fill="FF9900"/>
            <w:vAlign w:val="center"/>
            <w:hideMark/>
          </w:tcPr>
          <w:p w14:paraId="061EBD0E" w14:textId="77777777" w:rsidR="0078259C" w:rsidRPr="0078259C" w:rsidRDefault="0078259C" w:rsidP="0078259C">
            <w:pPr>
              <w:spacing w:after="0" w:line="240" w:lineRule="auto"/>
              <w:jc w:val="right"/>
              <w:rPr>
                <w:rFonts w:ascii="Calibri" w:eastAsia="Times New Roman" w:hAnsi="Calibri" w:cs="Calibri"/>
                <w:sz w:val="18"/>
                <w:szCs w:val="18"/>
                <w:lang w:eastAsia="hr-HR"/>
              </w:rPr>
            </w:pPr>
            <w:r w:rsidRPr="0078259C">
              <w:rPr>
                <w:rFonts w:ascii="Calibri" w:eastAsia="Times New Roman" w:hAnsi="Calibri" w:cs="Calibri"/>
                <w:sz w:val="18"/>
                <w:szCs w:val="18"/>
                <w:lang w:eastAsia="hr-HR"/>
              </w:rPr>
              <w:t>0</w:t>
            </w:r>
          </w:p>
        </w:tc>
        <w:tc>
          <w:tcPr>
            <w:tcW w:w="426" w:type="dxa"/>
            <w:gridSpan w:val="2"/>
            <w:tcBorders>
              <w:top w:val="nil"/>
              <w:left w:val="nil"/>
              <w:bottom w:val="single" w:sz="4" w:space="0" w:color="auto"/>
              <w:right w:val="single" w:sz="4" w:space="0" w:color="auto"/>
            </w:tcBorders>
            <w:shd w:val="clear" w:color="000000" w:fill="CCFFFF"/>
            <w:vAlign w:val="center"/>
            <w:hideMark/>
          </w:tcPr>
          <w:p w14:paraId="6447812C" w14:textId="77777777" w:rsidR="0078259C" w:rsidRPr="0078259C" w:rsidRDefault="0078259C" w:rsidP="0078259C">
            <w:pPr>
              <w:spacing w:after="0" w:line="240" w:lineRule="auto"/>
              <w:jc w:val="right"/>
              <w:rPr>
                <w:rFonts w:ascii="Calibri" w:eastAsia="Times New Roman" w:hAnsi="Calibri" w:cs="Calibri"/>
                <w:sz w:val="18"/>
                <w:szCs w:val="18"/>
                <w:lang w:eastAsia="hr-HR"/>
              </w:rPr>
            </w:pPr>
            <w:r w:rsidRPr="0078259C">
              <w:rPr>
                <w:rFonts w:ascii="Calibri" w:eastAsia="Times New Roman" w:hAnsi="Calibri" w:cs="Calibri"/>
                <w:sz w:val="18"/>
                <w:szCs w:val="18"/>
                <w:lang w:eastAsia="hr-HR"/>
              </w:rPr>
              <w:t>0</w:t>
            </w:r>
          </w:p>
        </w:tc>
        <w:tc>
          <w:tcPr>
            <w:tcW w:w="446" w:type="dxa"/>
            <w:tcBorders>
              <w:top w:val="nil"/>
              <w:left w:val="nil"/>
              <w:bottom w:val="single" w:sz="4" w:space="0" w:color="auto"/>
              <w:right w:val="single" w:sz="4" w:space="0" w:color="auto"/>
            </w:tcBorders>
            <w:shd w:val="clear" w:color="000000" w:fill="CCFFFF"/>
            <w:vAlign w:val="center"/>
            <w:hideMark/>
          </w:tcPr>
          <w:p w14:paraId="263372F1" w14:textId="77777777" w:rsidR="0078259C" w:rsidRPr="0078259C" w:rsidRDefault="0078259C" w:rsidP="0078259C">
            <w:pPr>
              <w:spacing w:after="0" w:line="240" w:lineRule="auto"/>
              <w:jc w:val="right"/>
              <w:rPr>
                <w:rFonts w:ascii="Calibri" w:eastAsia="Times New Roman" w:hAnsi="Calibri" w:cs="Calibri"/>
                <w:sz w:val="18"/>
                <w:szCs w:val="18"/>
                <w:lang w:eastAsia="hr-HR"/>
              </w:rPr>
            </w:pPr>
            <w:r w:rsidRPr="0078259C">
              <w:rPr>
                <w:rFonts w:ascii="Calibri" w:eastAsia="Times New Roman" w:hAnsi="Calibri" w:cs="Calibri"/>
                <w:sz w:val="18"/>
                <w:szCs w:val="18"/>
                <w:lang w:eastAsia="hr-HR"/>
              </w:rPr>
              <w:t>0</w:t>
            </w:r>
          </w:p>
        </w:tc>
        <w:tc>
          <w:tcPr>
            <w:tcW w:w="404" w:type="dxa"/>
            <w:tcBorders>
              <w:top w:val="nil"/>
              <w:left w:val="nil"/>
              <w:bottom w:val="single" w:sz="4" w:space="0" w:color="auto"/>
              <w:right w:val="single" w:sz="4" w:space="0" w:color="auto"/>
            </w:tcBorders>
            <w:shd w:val="clear" w:color="000000" w:fill="CCFFFF"/>
            <w:noWrap/>
            <w:vAlign w:val="center"/>
            <w:hideMark/>
          </w:tcPr>
          <w:p w14:paraId="1ECD47FE" w14:textId="77777777" w:rsidR="0078259C" w:rsidRPr="0078259C" w:rsidRDefault="0078259C" w:rsidP="0078259C">
            <w:pPr>
              <w:spacing w:after="0" w:line="240" w:lineRule="auto"/>
              <w:jc w:val="right"/>
              <w:rPr>
                <w:rFonts w:ascii="Calibri" w:eastAsia="Times New Roman" w:hAnsi="Calibri" w:cs="Calibri"/>
                <w:sz w:val="18"/>
                <w:szCs w:val="18"/>
                <w:lang w:eastAsia="hr-HR"/>
              </w:rPr>
            </w:pPr>
            <w:r w:rsidRPr="0078259C">
              <w:rPr>
                <w:rFonts w:ascii="Calibri" w:eastAsia="Times New Roman" w:hAnsi="Calibri" w:cs="Calibri"/>
                <w:sz w:val="18"/>
                <w:szCs w:val="18"/>
                <w:lang w:eastAsia="hr-HR"/>
              </w:rPr>
              <w:t>0</w:t>
            </w:r>
          </w:p>
        </w:tc>
        <w:tc>
          <w:tcPr>
            <w:tcW w:w="839" w:type="dxa"/>
            <w:gridSpan w:val="2"/>
            <w:tcBorders>
              <w:top w:val="nil"/>
              <w:left w:val="nil"/>
              <w:bottom w:val="single" w:sz="4" w:space="0" w:color="auto"/>
              <w:right w:val="single" w:sz="4" w:space="0" w:color="auto"/>
            </w:tcBorders>
            <w:shd w:val="clear" w:color="000000" w:fill="33CCCC"/>
            <w:noWrap/>
            <w:vAlign w:val="center"/>
            <w:hideMark/>
          </w:tcPr>
          <w:p w14:paraId="444F96D7" w14:textId="77777777" w:rsidR="0078259C" w:rsidRPr="0078259C" w:rsidRDefault="0078259C" w:rsidP="0078259C">
            <w:pPr>
              <w:spacing w:after="0" w:line="240" w:lineRule="auto"/>
              <w:jc w:val="right"/>
              <w:rPr>
                <w:rFonts w:ascii="Calibri" w:eastAsia="Times New Roman" w:hAnsi="Calibri" w:cs="Calibri"/>
                <w:sz w:val="18"/>
                <w:szCs w:val="18"/>
                <w:lang w:eastAsia="hr-HR"/>
              </w:rPr>
            </w:pPr>
            <w:r w:rsidRPr="0078259C">
              <w:rPr>
                <w:rFonts w:ascii="Calibri" w:eastAsia="Times New Roman" w:hAnsi="Calibri" w:cs="Calibri"/>
                <w:sz w:val="18"/>
                <w:szCs w:val="18"/>
                <w:lang w:eastAsia="hr-HR"/>
              </w:rPr>
              <w:t>0</w:t>
            </w:r>
          </w:p>
        </w:tc>
        <w:tc>
          <w:tcPr>
            <w:tcW w:w="839" w:type="dxa"/>
            <w:tcBorders>
              <w:top w:val="nil"/>
              <w:left w:val="nil"/>
              <w:bottom w:val="single" w:sz="4" w:space="0" w:color="auto"/>
              <w:right w:val="nil"/>
            </w:tcBorders>
            <w:shd w:val="clear" w:color="000000" w:fill="33CCCC"/>
            <w:noWrap/>
            <w:vAlign w:val="center"/>
            <w:hideMark/>
          </w:tcPr>
          <w:p w14:paraId="3C5A9F75" w14:textId="77777777" w:rsidR="0078259C" w:rsidRPr="0078259C" w:rsidRDefault="0078259C" w:rsidP="0078259C">
            <w:pPr>
              <w:spacing w:after="0" w:line="240" w:lineRule="auto"/>
              <w:jc w:val="right"/>
              <w:rPr>
                <w:rFonts w:ascii="Calibri" w:eastAsia="Times New Roman" w:hAnsi="Calibri" w:cs="Calibri"/>
                <w:sz w:val="18"/>
                <w:szCs w:val="18"/>
                <w:lang w:eastAsia="hr-HR"/>
              </w:rPr>
            </w:pPr>
            <w:r w:rsidRPr="0078259C">
              <w:rPr>
                <w:rFonts w:ascii="Calibri" w:eastAsia="Times New Roman" w:hAnsi="Calibri" w:cs="Calibri"/>
                <w:sz w:val="18"/>
                <w:szCs w:val="18"/>
                <w:lang w:eastAsia="hr-HR"/>
              </w:rPr>
              <w:t>4</w:t>
            </w:r>
          </w:p>
        </w:tc>
        <w:tc>
          <w:tcPr>
            <w:tcW w:w="236" w:type="dxa"/>
            <w:gridSpan w:val="2"/>
            <w:vAlign w:val="center"/>
            <w:hideMark/>
          </w:tcPr>
          <w:p w14:paraId="7BA40DD0" w14:textId="77777777" w:rsidR="0078259C" w:rsidRPr="0078259C" w:rsidRDefault="0078259C" w:rsidP="0078259C">
            <w:pPr>
              <w:spacing w:after="0" w:line="240" w:lineRule="auto"/>
              <w:rPr>
                <w:rFonts w:ascii="Times New Roman" w:eastAsia="Times New Roman" w:hAnsi="Times New Roman" w:cs="Times New Roman"/>
                <w:sz w:val="18"/>
                <w:szCs w:val="18"/>
                <w:lang w:eastAsia="hr-HR"/>
              </w:rPr>
            </w:pPr>
          </w:p>
        </w:tc>
      </w:tr>
      <w:tr w:rsidR="0078259C" w:rsidRPr="0078259C" w14:paraId="113F972B" w14:textId="77777777" w:rsidTr="0078259C">
        <w:trPr>
          <w:gridAfter w:val="2"/>
          <w:wAfter w:w="44" w:type="dxa"/>
          <w:trHeight w:val="600"/>
        </w:trPr>
        <w:tc>
          <w:tcPr>
            <w:tcW w:w="1394" w:type="dxa"/>
            <w:tcBorders>
              <w:top w:val="single" w:sz="4" w:space="0" w:color="auto"/>
              <w:left w:val="single" w:sz="8" w:space="0" w:color="auto"/>
              <w:bottom w:val="single" w:sz="4" w:space="0" w:color="auto"/>
              <w:right w:val="single" w:sz="4" w:space="0" w:color="auto"/>
            </w:tcBorders>
            <w:shd w:val="clear" w:color="000000" w:fill="CCFFCC"/>
            <w:vAlign w:val="center"/>
            <w:hideMark/>
          </w:tcPr>
          <w:p w14:paraId="6B91F54C" w14:textId="77777777" w:rsidR="0078259C" w:rsidRPr="0078259C" w:rsidRDefault="0078259C" w:rsidP="0078259C">
            <w:pPr>
              <w:spacing w:after="0" w:line="240" w:lineRule="auto"/>
              <w:jc w:val="center"/>
              <w:rPr>
                <w:rFonts w:ascii="Calibri" w:eastAsia="Times New Roman" w:hAnsi="Calibri" w:cs="Calibri"/>
                <w:sz w:val="18"/>
                <w:szCs w:val="18"/>
                <w:lang w:eastAsia="hr-HR"/>
              </w:rPr>
            </w:pPr>
            <w:r w:rsidRPr="0078259C">
              <w:rPr>
                <w:rFonts w:ascii="Calibri" w:eastAsia="Times New Roman" w:hAnsi="Calibri" w:cs="Calibri"/>
                <w:sz w:val="18"/>
                <w:szCs w:val="18"/>
                <w:lang w:eastAsia="hr-HR"/>
              </w:rPr>
              <w:t>Bračni ili obiteljski status</w:t>
            </w:r>
          </w:p>
        </w:tc>
        <w:tc>
          <w:tcPr>
            <w:tcW w:w="575" w:type="dxa"/>
            <w:tcBorders>
              <w:top w:val="nil"/>
              <w:left w:val="nil"/>
              <w:bottom w:val="single" w:sz="4" w:space="0" w:color="auto"/>
              <w:right w:val="single" w:sz="4" w:space="0" w:color="auto"/>
            </w:tcBorders>
            <w:shd w:val="clear" w:color="000000" w:fill="CCFFCC"/>
            <w:vAlign w:val="center"/>
            <w:hideMark/>
          </w:tcPr>
          <w:p w14:paraId="597C56A6" w14:textId="77777777" w:rsidR="0078259C" w:rsidRPr="0078259C" w:rsidRDefault="0078259C" w:rsidP="0078259C">
            <w:pPr>
              <w:spacing w:after="0" w:line="240" w:lineRule="auto"/>
              <w:jc w:val="right"/>
              <w:rPr>
                <w:rFonts w:ascii="Calibri" w:eastAsia="Times New Roman" w:hAnsi="Calibri" w:cs="Calibri"/>
                <w:sz w:val="18"/>
                <w:szCs w:val="18"/>
                <w:lang w:eastAsia="hr-HR"/>
              </w:rPr>
            </w:pPr>
            <w:r w:rsidRPr="0078259C">
              <w:rPr>
                <w:rFonts w:ascii="Calibri" w:eastAsia="Times New Roman" w:hAnsi="Calibri" w:cs="Calibri"/>
                <w:sz w:val="18"/>
                <w:szCs w:val="18"/>
                <w:lang w:eastAsia="hr-HR"/>
              </w:rPr>
              <w:t>0</w:t>
            </w:r>
          </w:p>
        </w:tc>
        <w:tc>
          <w:tcPr>
            <w:tcW w:w="488" w:type="dxa"/>
            <w:tcBorders>
              <w:top w:val="nil"/>
              <w:left w:val="nil"/>
              <w:bottom w:val="single" w:sz="4" w:space="0" w:color="auto"/>
              <w:right w:val="single" w:sz="4" w:space="0" w:color="auto"/>
            </w:tcBorders>
            <w:shd w:val="clear" w:color="000000" w:fill="FFCC99"/>
            <w:noWrap/>
            <w:vAlign w:val="center"/>
            <w:hideMark/>
          </w:tcPr>
          <w:p w14:paraId="121509D4" w14:textId="77777777" w:rsidR="0078259C" w:rsidRPr="0078259C" w:rsidRDefault="0078259C" w:rsidP="0078259C">
            <w:pPr>
              <w:spacing w:after="0" w:line="240" w:lineRule="auto"/>
              <w:jc w:val="right"/>
              <w:rPr>
                <w:rFonts w:ascii="Calibri" w:eastAsia="Times New Roman" w:hAnsi="Calibri" w:cs="Calibri"/>
                <w:sz w:val="18"/>
                <w:szCs w:val="18"/>
                <w:lang w:eastAsia="hr-HR"/>
              </w:rPr>
            </w:pPr>
            <w:r w:rsidRPr="0078259C">
              <w:rPr>
                <w:rFonts w:ascii="Calibri" w:eastAsia="Times New Roman" w:hAnsi="Calibri" w:cs="Calibri"/>
                <w:sz w:val="18"/>
                <w:szCs w:val="18"/>
                <w:lang w:eastAsia="hr-HR"/>
              </w:rPr>
              <w:t>1</w:t>
            </w:r>
          </w:p>
        </w:tc>
        <w:tc>
          <w:tcPr>
            <w:tcW w:w="500" w:type="dxa"/>
            <w:tcBorders>
              <w:top w:val="nil"/>
              <w:left w:val="nil"/>
              <w:bottom w:val="single" w:sz="4" w:space="0" w:color="auto"/>
              <w:right w:val="single" w:sz="4" w:space="0" w:color="auto"/>
            </w:tcBorders>
            <w:shd w:val="clear" w:color="000000" w:fill="FFCC99"/>
            <w:noWrap/>
            <w:vAlign w:val="center"/>
            <w:hideMark/>
          </w:tcPr>
          <w:p w14:paraId="4C26D698" w14:textId="77777777" w:rsidR="0078259C" w:rsidRPr="0078259C" w:rsidRDefault="0078259C" w:rsidP="0078259C">
            <w:pPr>
              <w:spacing w:after="0" w:line="240" w:lineRule="auto"/>
              <w:jc w:val="right"/>
              <w:rPr>
                <w:rFonts w:ascii="Calibri" w:eastAsia="Times New Roman" w:hAnsi="Calibri" w:cs="Calibri"/>
                <w:sz w:val="18"/>
                <w:szCs w:val="18"/>
                <w:lang w:eastAsia="hr-HR"/>
              </w:rPr>
            </w:pPr>
            <w:r w:rsidRPr="0078259C">
              <w:rPr>
                <w:rFonts w:ascii="Calibri" w:eastAsia="Times New Roman" w:hAnsi="Calibri" w:cs="Calibri"/>
                <w:sz w:val="18"/>
                <w:szCs w:val="18"/>
                <w:lang w:eastAsia="hr-HR"/>
              </w:rPr>
              <w:t>0</w:t>
            </w:r>
          </w:p>
        </w:tc>
        <w:tc>
          <w:tcPr>
            <w:tcW w:w="435" w:type="dxa"/>
            <w:tcBorders>
              <w:top w:val="nil"/>
              <w:left w:val="nil"/>
              <w:bottom w:val="single" w:sz="4" w:space="0" w:color="auto"/>
              <w:right w:val="single" w:sz="4" w:space="0" w:color="auto"/>
            </w:tcBorders>
            <w:shd w:val="clear" w:color="000000" w:fill="CCFFFF"/>
            <w:vAlign w:val="center"/>
            <w:hideMark/>
          </w:tcPr>
          <w:p w14:paraId="09035120" w14:textId="77777777" w:rsidR="0078259C" w:rsidRPr="0078259C" w:rsidRDefault="0078259C" w:rsidP="0078259C">
            <w:pPr>
              <w:spacing w:after="0" w:line="240" w:lineRule="auto"/>
              <w:jc w:val="right"/>
              <w:rPr>
                <w:rFonts w:ascii="Calibri" w:eastAsia="Times New Roman" w:hAnsi="Calibri" w:cs="Calibri"/>
                <w:sz w:val="18"/>
                <w:szCs w:val="18"/>
                <w:lang w:eastAsia="hr-HR"/>
              </w:rPr>
            </w:pPr>
            <w:r w:rsidRPr="0078259C">
              <w:rPr>
                <w:rFonts w:ascii="Calibri" w:eastAsia="Times New Roman" w:hAnsi="Calibri" w:cs="Calibri"/>
                <w:sz w:val="18"/>
                <w:szCs w:val="18"/>
                <w:lang w:eastAsia="hr-HR"/>
              </w:rPr>
              <w:t>0</w:t>
            </w:r>
          </w:p>
        </w:tc>
        <w:tc>
          <w:tcPr>
            <w:tcW w:w="426" w:type="dxa"/>
            <w:tcBorders>
              <w:top w:val="nil"/>
              <w:left w:val="nil"/>
              <w:bottom w:val="single" w:sz="4" w:space="0" w:color="auto"/>
              <w:right w:val="single" w:sz="4" w:space="0" w:color="auto"/>
            </w:tcBorders>
            <w:shd w:val="clear" w:color="000000" w:fill="CCFFFF"/>
            <w:noWrap/>
            <w:vAlign w:val="center"/>
            <w:hideMark/>
          </w:tcPr>
          <w:p w14:paraId="5F4BEC2D" w14:textId="77777777" w:rsidR="0078259C" w:rsidRPr="0078259C" w:rsidRDefault="0078259C" w:rsidP="0078259C">
            <w:pPr>
              <w:spacing w:after="0" w:line="240" w:lineRule="auto"/>
              <w:jc w:val="right"/>
              <w:rPr>
                <w:rFonts w:ascii="Calibri" w:eastAsia="Times New Roman" w:hAnsi="Calibri" w:cs="Calibri"/>
                <w:sz w:val="18"/>
                <w:szCs w:val="18"/>
                <w:lang w:eastAsia="hr-HR"/>
              </w:rPr>
            </w:pPr>
            <w:r w:rsidRPr="0078259C">
              <w:rPr>
                <w:rFonts w:ascii="Calibri" w:eastAsia="Times New Roman" w:hAnsi="Calibri" w:cs="Calibri"/>
                <w:sz w:val="18"/>
                <w:szCs w:val="18"/>
                <w:lang w:eastAsia="hr-HR"/>
              </w:rPr>
              <w:t>1</w:t>
            </w:r>
          </w:p>
        </w:tc>
        <w:tc>
          <w:tcPr>
            <w:tcW w:w="425" w:type="dxa"/>
            <w:tcBorders>
              <w:top w:val="nil"/>
              <w:left w:val="nil"/>
              <w:bottom w:val="single" w:sz="4" w:space="0" w:color="auto"/>
              <w:right w:val="single" w:sz="4" w:space="0" w:color="auto"/>
            </w:tcBorders>
            <w:shd w:val="clear" w:color="000000" w:fill="FFFF99"/>
            <w:noWrap/>
            <w:vAlign w:val="center"/>
            <w:hideMark/>
          </w:tcPr>
          <w:p w14:paraId="7EB052FC" w14:textId="77777777" w:rsidR="0078259C" w:rsidRPr="0078259C" w:rsidRDefault="0078259C" w:rsidP="0078259C">
            <w:pPr>
              <w:spacing w:after="0" w:line="240" w:lineRule="auto"/>
              <w:jc w:val="right"/>
              <w:rPr>
                <w:rFonts w:ascii="Calibri" w:eastAsia="Times New Roman" w:hAnsi="Calibri" w:cs="Calibri"/>
                <w:sz w:val="18"/>
                <w:szCs w:val="18"/>
                <w:lang w:eastAsia="hr-HR"/>
              </w:rPr>
            </w:pPr>
            <w:r w:rsidRPr="0078259C">
              <w:rPr>
                <w:rFonts w:ascii="Calibri" w:eastAsia="Times New Roman" w:hAnsi="Calibri" w:cs="Calibri"/>
                <w:sz w:val="18"/>
                <w:szCs w:val="18"/>
                <w:lang w:eastAsia="hr-HR"/>
              </w:rPr>
              <w:t>1</w:t>
            </w:r>
          </w:p>
        </w:tc>
        <w:tc>
          <w:tcPr>
            <w:tcW w:w="567" w:type="dxa"/>
            <w:tcBorders>
              <w:top w:val="nil"/>
              <w:left w:val="nil"/>
              <w:bottom w:val="single" w:sz="4" w:space="0" w:color="auto"/>
              <w:right w:val="single" w:sz="4" w:space="0" w:color="auto"/>
            </w:tcBorders>
            <w:shd w:val="clear" w:color="000000" w:fill="FFFF99"/>
            <w:noWrap/>
            <w:vAlign w:val="center"/>
            <w:hideMark/>
          </w:tcPr>
          <w:p w14:paraId="4D6C892E" w14:textId="77777777" w:rsidR="0078259C" w:rsidRPr="0078259C" w:rsidRDefault="0078259C" w:rsidP="0078259C">
            <w:pPr>
              <w:spacing w:after="0" w:line="240" w:lineRule="auto"/>
              <w:jc w:val="right"/>
              <w:rPr>
                <w:rFonts w:ascii="Calibri" w:eastAsia="Times New Roman" w:hAnsi="Calibri" w:cs="Calibri"/>
                <w:sz w:val="18"/>
                <w:szCs w:val="18"/>
                <w:lang w:eastAsia="hr-HR"/>
              </w:rPr>
            </w:pPr>
            <w:r w:rsidRPr="0078259C">
              <w:rPr>
                <w:rFonts w:ascii="Calibri" w:eastAsia="Times New Roman" w:hAnsi="Calibri" w:cs="Calibri"/>
                <w:sz w:val="18"/>
                <w:szCs w:val="18"/>
                <w:lang w:eastAsia="hr-HR"/>
              </w:rPr>
              <w:t>0</w:t>
            </w:r>
          </w:p>
        </w:tc>
        <w:tc>
          <w:tcPr>
            <w:tcW w:w="567" w:type="dxa"/>
            <w:tcBorders>
              <w:top w:val="nil"/>
              <w:left w:val="nil"/>
              <w:bottom w:val="single" w:sz="4" w:space="0" w:color="auto"/>
              <w:right w:val="single" w:sz="4" w:space="0" w:color="auto"/>
            </w:tcBorders>
            <w:shd w:val="clear" w:color="000000" w:fill="FFFF99"/>
            <w:noWrap/>
            <w:vAlign w:val="center"/>
            <w:hideMark/>
          </w:tcPr>
          <w:p w14:paraId="57D77876" w14:textId="77777777" w:rsidR="0078259C" w:rsidRPr="0078259C" w:rsidRDefault="0078259C" w:rsidP="0078259C">
            <w:pPr>
              <w:spacing w:after="0" w:line="240" w:lineRule="auto"/>
              <w:jc w:val="right"/>
              <w:rPr>
                <w:rFonts w:ascii="Calibri" w:eastAsia="Times New Roman" w:hAnsi="Calibri" w:cs="Calibri"/>
                <w:sz w:val="18"/>
                <w:szCs w:val="18"/>
                <w:lang w:eastAsia="hr-HR"/>
              </w:rPr>
            </w:pPr>
            <w:r w:rsidRPr="0078259C">
              <w:rPr>
                <w:rFonts w:ascii="Calibri" w:eastAsia="Times New Roman" w:hAnsi="Calibri" w:cs="Calibri"/>
                <w:sz w:val="18"/>
                <w:szCs w:val="18"/>
                <w:lang w:eastAsia="hr-HR"/>
              </w:rPr>
              <w:t>0</w:t>
            </w:r>
          </w:p>
        </w:tc>
        <w:tc>
          <w:tcPr>
            <w:tcW w:w="437" w:type="dxa"/>
            <w:tcBorders>
              <w:top w:val="nil"/>
              <w:left w:val="nil"/>
              <w:bottom w:val="single" w:sz="4" w:space="0" w:color="auto"/>
              <w:right w:val="single" w:sz="4" w:space="0" w:color="auto"/>
            </w:tcBorders>
            <w:shd w:val="clear" w:color="000000" w:fill="FFFF99"/>
            <w:noWrap/>
            <w:vAlign w:val="center"/>
            <w:hideMark/>
          </w:tcPr>
          <w:p w14:paraId="00351D0A" w14:textId="77777777" w:rsidR="0078259C" w:rsidRPr="0078259C" w:rsidRDefault="0078259C" w:rsidP="0078259C">
            <w:pPr>
              <w:spacing w:after="0" w:line="240" w:lineRule="auto"/>
              <w:jc w:val="right"/>
              <w:rPr>
                <w:rFonts w:ascii="Calibri" w:eastAsia="Times New Roman" w:hAnsi="Calibri" w:cs="Calibri"/>
                <w:sz w:val="18"/>
                <w:szCs w:val="18"/>
                <w:lang w:eastAsia="hr-HR"/>
              </w:rPr>
            </w:pPr>
            <w:r w:rsidRPr="0078259C">
              <w:rPr>
                <w:rFonts w:ascii="Calibri" w:eastAsia="Times New Roman" w:hAnsi="Calibri" w:cs="Calibri"/>
                <w:sz w:val="18"/>
                <w:szCs w:val="18"/>
                <w:lang w:eastAsia="hr-HR"/>
              </w:rPr>
              <w:t>0</w:t>
            </w:r>
          </w:p>
        </w:tc>
        <w:tc>
          <w:tcPr>
            <w:tcW w:w="413" w:type="dxa"/>
            <w:tcBorders>
              <w:top w:val="nil"/>
              <w:left w:val="nil"/>
              <w:bottom w:val="single" w:sz="4" w:space="0" w:color="auto"/>
              <w:right w:val="single" w:sz="4" w:space="0" w:color="auto"/>
            </w:tcBorders>
            <w:shd w:val="clear" w:color="000000" w:fill="FFFF99"/>
            <w:noWrap/>
            <w:vAlign w:val="center"/>
            <w:hideMark/>
          </w:tcPr>
          <w:p w14:paraId="10A7B7C4" w14:textId="77777777" w:rsidR="0078259C" w:rsidRPr="0078259C" w:rsidRDefault="0078259C" w:rsidP="0078259C">
            <w:pPr>
              <w:spacing w:after="0" w:line="240" w:lineRule="auto"/>
              <w:jc w:val="right"/>
              <w:rPr>
                <w:rFonts w:ascii="Calibri" w:eastAsia="Times New Roman" w:hAnsi="Calibri" w:cs="Calibri"/>
                <w:sz w:val="18"/>
                <w:szCs w:val="18"/>
                <w:lang w:eastAsia="hr-HR"/>
              </w:rPr>
            </w:pPr>
            <w:r w:rsidRPr="0078259C">
              <w:rPr>
                <w:rFonts w:ascii="Calibri" w:eastAsia="Times New Roman" w:hAnsi="Calibri" w:cs="Calibri"/>
                <w:sz w:val="18"/>
                <w:szCs w:val="18"/>
                <w:lang w:eastAsia="hr-HR"/>
              </w:rPr>
              <w:t>0</w:t>
            </w:r>
          </w:p>
        </w:tc>
        <w:tc>
          <w:tcPr>
            <w:tcW w:w="283" w:type="dxa"/>
            <w:gridSpan w:val="2"/>
            <w:tcBorders>
              <w:top w:val="nil"/>
              <w:left w:val="nil"/>
              <w:bottom w:val="single" w:sz="4" w:space="0" w:color="auto"/>
              <w:right w:val="single" w:sz="4" w:space="0" w:color="auto"/>
            </w:tcBorders>
            <w:shd w:val="clear" w:color="000000" w:fill="FF9900"/>
            <w:noWrap/>
            <w:vAlign w:val="center"/>
            <w:hideMark/>
          </w:tcPr>
          <w:p w14:paraId="0D419759" w14:textId="77777777" w:rsidR="0078259C" w:rsidRPr="0078259C" w:rsidRDefault="0078259C" w:rsidP="0078259C">
            <w:pPr>
              <w:spacing w:after="0" w:line="240" w:lineRule="auto"/>
              <w:jc w:val="right"/>
              <w:rPr>
                <w:rFonts w:ascii="Calibri" w:eastAsia="Times New Roman" w:hAnsi="Calibri" w:cs="Calibri"/>
                <w:sz w:val="18"/>
                <w:szCs w:val="18"/>
                <w:lang w:eastAsia="hr-HR"/>
              </w:rPr>
            </w:pPr>
            <w:r w:rsidRPr="0078259C">
              <w:rPr>
                <w:rFonts w:ascii="Calibri" w:eastAsia="Times New Roman" w:hAnsi="Calibri" w:cs="Calibri"/>
                <w:sz w:val="18"/>
                <w:szCs w:val="18"/>
                <w:lang w:eastAsia="hr-HR"/>
              </w:rPr>
              <w:t>0</w:t>
            </w:r>
          </w:p>
        </w:tc>
        <w:tc>
          <w:tcPr>
            <w:tcW w:w="568" w:type="dxa"/>
            <w:tcBorders>
              <w:top w:val="nil"/>
              <w:left w:val="nil"/>
              <w:bottom w:val="single" w:sz="4" w:space="0" w:color="auto"/>
              <w:right w:val="single" w:sz="4" w:space="0" w:color="auto"/>
            </w:tcBorders>
            <w:shd w:val="clear" w:color="000000" w:fill="FF9900"/>
            <w:noWrap/>
            <w:vAlign w:val="center"/>
            <w:hideMark/>
          </w:tcPr>
          <w:p w14:paraId="2857FB92" w14:textId="77777777" w:rsidR="0078259C" w:rsidRPr="0078259C" w:rsidRDefault="0078259C" w:rsidP="0078259C">
            <w:pPr>
              <w:spacing w:after="0" w:line="240" w:lineRule="auto"/>
              <w:jc w:val="right"/>
              <w:rPr>
                <w:rFonts w:ascii="Calibri" w:eastAsia="Times New Roman" w:hAnsi="Calibri" w:cs="Calibri"/>
                <w:sz w:val="18"/>
                <w:szCs w:val="18"/>
                <w:lang w:eastAsia="hr-HR"/>
              </w:rPr>
            </w:pPr>
            <w:r w:rsidRPr="0078259C">
              <w:rPr>
                <w:rFonts w:ascii="Calibri" w:eastAsia="Times New Roman" w:hAnsi="Calibri" w:cs="Calibri"/>
                <w:sz w:val="18"/>
                <w:szCs w:val="18"/>
                <w:lang w:eastAsia="hr-HR"/>
              </w:rPr>
              <w:t>0</w:t>
            </w:r>
          </w:p>
        </w:tc>
        <w:tc>
          <w:tcPr>
            <w:tcW w:w="425" w:type="dxa"/>
            <w:tcBorders>
              <w:top w:val="nil"/>
              <w:left w:val="nil"/>
              <w:bottom w:val="single" w:sz="4" w:space="0" w:color="auto"/>
              <w:right w:val="single" w:sz="4" w:space="0" w:color="auto"/>
            </w:tcBorders>
            <w:shd w:val="clear" w:color="000000" w:fill="FF9900"/>
            <w:noWrap/>
            <w:vAlign w:val="center"/>
            <w:hideMark/>
          </w:tcPr>
          <w:p w14:paraId="525ACB96" w14:textId="77777777" w:rsidR="0078259C" w:rsidRPr="0078259C" w:rsidRDefault="0078259C" w:rsidP="0078259C">
            <w:pPr>
              <w:spacing w:after="0" w:line="240" w:lineRule="auto"/>
              <w:jc w:val="right"/>
              <w:rPr>
                <w:rFonts w:ascii="Calibri" w:eastAsia="Times New Roman" w:hAnsi="Calibri" w:cs="Calibri"/>
                <w:sz w:val="18"/>
                <w:szCs w:val="18"/>
                <w:lang w:eastAsia="hr-HR"/>
              </w:rPr>
            </w:pPr>
            <w:r w:rsidRPr="0078259C">
              <w:rPr>
                <w:rFonts w:ascii="Calibri" w:eastAsia="Times New Roman" w:hAnsi="Calibri" w:cs="Calibri"/>
                <w:sz w:val="18"/>
                <w:szCs w:val="18"/>
                <w:lang w:eastAsia="hr-HR"/>
              </w:rPr>
              <w:t>1</w:t>
            </w:r>
          </w:p>
        </w:tc>
        <w:tc>
          <w:tcPr>
            <w:tcW w:w="425" w:type="dxa"/>
            <w:gridSpan w:val="2"/>
            <w:tcBorders>
              <w:top w:val="nil"/>
              <w:left w:val="nil"/>
              <w:bottom w:val="single" w:sz="4" w:space="0" w:color="auto"/>
              <w:right w:val="single" w:sz="4" w:space="0" w:color="auto"/>
            </w:tcBorders>
            <w:shd w:val="clear" w:color="000000" w:fill="66FFCC"/>
            <w:noWrap/>
            <w:vAlign w:val="center"/>
            <w:hideMark/>
          </w:tcPr>
          <w:p w14:paraId="00412AB7" w14:textId="77777777" w:rsidR="0078259C" w:rsidRPr="0078259C" w:rsidRDefault="0078259C" w:rsidP="0078259C">
            <w:pPr>
              <w:spacing w:after="0" w:line="240" w:lineRule="auto"/>
              <w:jc w:val="right"/>
              <w:rPr>
                <w:rFonts w:ascii="Calibri" w:eastAsia="Times New Roman" w:hAnsi="Calibri" w:cs="Calibri"/>
                <w:sz w:val="18"/>
                <w:szCs w:val="18"/>
                <w:lang w:eastAsia="hr-HR"/>
              </w:rPr>
            </w:pPr>
            <w:r w:rsidRPr="0078259C">
              <w:rPr>
                <w:rFonts w:ascii="Calibri" w:eastAsia="Times New Roman" w:hAnsi="Calibri" w:cs="Calibri"/>
                <w:sz w:val="18"/>
                <w:szCs w:val="18"/>
                <w:lang w:eastAsia="hr-HR"/>
              </w:rPr>
              <w:t>0</w:t>
            </w:r>
          </w:p>
        </w:tc>
        <w:tc>
          <w:tcPr>
            <w:tcW w:w="437" w:type="dxa"/>
            <w:tcBorders>
              <w:top w:val="nil"/>
              <w:left w:val="nil"/>
              <w:bottom w:val="single" w:sz="4" w:space="0" w:color="auto"/>
              <w:right w:val="single" w:sz="4" w:space="0" w:color="auto"/>
            </w:tcBorders>
            <w:shd w:val="clear" w:color="000000" w:fill="66FFCC"/>
            <w:noWrap/>
            <w:vAlign w:val="center"/>
            <w:hideMark/>
          </w:tcPr>
          <w:p w14:paraId="5F104D33" w14:textId="77777777" w:rsidR="0078259C" w:rsidRPr="0078259C" w:rsidRDefault="0078259C" w:rsidP="0078259C">
            <w:pPr>
              <w:spacing w:after="0" w:line="240" w:lineRule="auto"/>
              <w:jc w:val="right"/>
              <w:rPr>
                <w:rFonts w:ascii="Calibri" w:eastAsia="Times New Roman" w:hAnsi="Calibri" w:cs="Calibri"/>
                <w:sz w:val="18"/>
                <w:szCs w:val="18"/>
                <w:lang w:eastAsia="hr-HR"/>
              </w:rPr>
            </w:pPr>
            <w:r w:rsidRPr="0078259C">
              <w:rPr>
                <w:rFonts w:ascii="Calibri" w:eastAsia="Times New Roman" w:hAnsi="Calibri" w:cs="Calibri"/>
                <w:sz w:val="18"/>
                <w:szCs w:val="18"/>
                <w:lang w:eastAsia="hr-HR"/>
              </w:rPr>
              <w:t>0</w:t>
            </w:r>
          </w:p>
        </w:tc>
        <w:tc>
          <w:tcPr>
            <w:tcW w:w="556" w:type="dxa"/>
            <w:tcBorders>
              <w:top w:val="nil"/>
              <w:left w:val="nil"/>
              <w:bottom w:val="single" w:sz="4" w:space="0" w:color="auto"/>
              <w:right w:val="single" w:sz="4" w:space="0" w:color="auto"/>
            </w:tcBorders>
            <w:shd w:val="clear" w:color="000000" w:fill="66FFCC"/>
            <w:noWrap/>
            <w:vAlign w:val="center"/>
            <w:hideMark/>
          </w:tcPr>
          <w:p w14:paraId="0F6E8981" w14:textId="77777777" w:rsidR="0078259C" w:rsidRPr="0078259C" w:rsidRDefault="0078259C" w:rsidP="0078259C">
            <w:pPr>
              <w:spacing w:after="0" w:line="240" w:lineRule="auto"/>
              <w:jc w:val="right"/>
              <w:rPr>
                <w:rFonts w:ascii="Calibri" w:eastAsia="Times New Roman" w:hAnsi="Calibri" w:cs="Calibri"/>
                <w:sz w:val="18"/>
                <w:szCs w:val="18"/>
                <w:lang w:eastAsia="hr-HR"/>
              </w:rPr>
            </w:pPr>
            <w:r w:rsidRPr="0078259C">
              <w:rPr>
                <w:rFonts w:ascii="Calibri" w:eastAsia="Times New Roman" w:hAnsi="Calibri" w:cs="Calibri"/>
                <w:sz w:val="18"/>
                <w:szCs w:val="18"/>
                <w:lang w:eastAsia="hr-HR"/>
              </w:rPr>
              <w:t>0</w:t>
            </w:r>
          </w:p>
        </w:tc>
        <w:tc>
          <w:tcPr>
            <w:tcW w:w="425" w:type="dxa"/>
            <w:tcBorders>
              <w:top w:val="nil"/>
              <w:left w:val="nil"/>
              <w:bottom w:val="single" w:sz="4" w:space="0" w:color="auto"/>
              <w:right w:val="single" w:sz="4" w:space="0" w:color="auto"/>
            </w:tcBorders>
            <w:shd w:val="clear" w:color="000000" w:fill="66FFCC"/>
            <w:noWrap/>
            <w:vAlign w:val="center"/>
            <w:hideMark/>
          </w:tcPr>
          <w:p w14:paraId="1E9DD1E9" w14:textId="77777777" w:rsidR="0078259C" w:rsidRPr="0078259C" w:rsidRDefault="0078259C" w:rsidP="0078259C">
            <w:pPr>
              <w:spacing w:after="0" w:line="240" w:lineRule="auto"/>
              <w:jc w:val="right"/>
              <w:rPr>
                <w:rFonts w:ascii="Calibri" w:eastAsia="Times New Roman" w:hAnsi="Calibri" w:cs="Calibri"/>
                <w:sz w:val="18"/>
                <w:szCs w:val="18"/>
                <w:lang w:eastAsia="hr-HR"/>
              </w:rPr>
            </w:pPr>
            <w:r w:rsidRPr="0078259C">
              <w:rPr>
                <w:rFonts w:ascii="Calibri" w:eastAsia="Times New Roman" w:hAnsi="Calibri" w:cs="Calibri"/>
                <w:sz w:val="18"/>
                <w:szCs w:val="18"/>
                <w:lang w:eastAsia="hr-HR"/>
              </w:rPr>
              <w:t>0</w:t>
            </w:r>
          </w:p>
        </w:tc>
        <w:tc>
          <w:tcPr>
            <w:tcW w:w="567" w:type="dxa"/>
            <w:gridSpan w:val="2"/>
            <w:tcBorders>
              <w:top w:val="nil"/>
              <w:left w:val="nil"/>
              <w:bottom w:val="single" w:sz="4" w:space="0" w:color="auto"/>
              <w:right w:val="single" w:sz="4" w:space="0" w:color="auto"/>
            </w:tcBorders>
            <w:shd w:val="clear" w:color="000000" w:fill="FFFF00"/>
            <w:vAlign w:val="center"/>
            <w:hideMark/>
          </w:tcPr>
          <w:p w14:paraId="278AAC64" w14:textId="77777777" w:rsidR="0078259C" w:rsidRPr="0078259C" w:rsidRDefault="0078259C" w:rsidP="0078259C">
            <w:pPr>
              <w:spacing w:after="0" w:line="240" w:lineRule="auto"/>
              <w:jc w:val="right"/>
              <w:rPr>
                <w:rFonts w:ascii="Calibri" w:eastAsia="Times New Roman" w:hAnsi="Calibri" w:cs="Calibri"/>
                <w:sz w:val="18"/>
                <w:szCs w:val="18"/>
                <w:lang w:eastAsia="hr-HR"/>
              </w:rPr>
            </w:pPr>
            <w:r w:rsidRPr="0078259C">
              <w:rPr>
                <w:rFonts w:ascii="Calibri" w:eastAsia="Times New Roman" w:hAnsi="Calibri" w:cs="Calibri"/>
                <w:sz w:val="18"/>
                <w:szCs w:val="18"/>
                <w:lang w:eastAsia="hr-HR"/>
              </w:rPr>
              <w:t>1</w:t>
            </w:r>
          </w:p>
        </w:tc>
        <w:tc>
          <w:tcPr>
            <w:tcW w:w="578" w:type="dxa"/>
            <w:gridSpan w:val="2"/>
            <w:tcBorders>
              <w:top w:val="nil"/>
              <w:left w:val="nil"/>
              <w:bottom w:val="single" w:sz="4" w:space="0" w:color="auto"/>
              <w:right w:val="single" w:sz="4" w:space="0" w:color="auto"/>
            </w:tcBorders>
            <w:shd w:val="clear" w:color="000000" w:fill="FFFF99"/>
            <w:vAlign w:val="center"/>
            <w:hideMark/>
          </w:tcPr>
          <w:p w14:paraId="0E043C84" w14:textId="77777777" w:rsidR="0078259C" w:rsidRPr="0078259C" w:rsidRDefault="0078259C" w:rsidP="0078259C">
            <w:pPr>
              <w:spacing w:after="0" w:line="240" w:lineRule="auto"/>
              <w:jc w:val="right"/>
              <w:rPr>
                <w:rFonts w:ascii="Calibri" w:eastAsia="Times New Roman" w:hAnsi="Calibri" w:cs="Calibri"/>
                <w:sz w:val="18"/>
                <w:szCs w:val="18"/>
                <w:lang w:eastAsia="hr-HR"/>
              </w:rPr>
            </w:pPr>
            <w:r w:rsidRPr="0078259C">
              <w:rPr>
                <w:rFonts w:ascii="Calibri" w:eastAsia="Times New Roman" w:hAnsi="Calibri" w:cs="Calibri"/>
                <w:sz w:val="18"/>
                <w:szCs w:val="18"/>
                <w:lang w:eastAsia="hr-HR"/>
              </w:rPr>
              <w:t>0</w:t>
            </w:r>
          </w:p>
        </w:tc>
        <w:tc>
          <w:tcPr>
            <w:tcW w:w="839" w:type="dxa"/>
            <w:gridSpan w:val="2"/>
            <w:tcBorders>
              <w:top w:val="nil"/>
              <w:left w:val="nil"/>
              <w:bottom w:val="single" w:sz="4" w:space="0" w:color="auto"/>
              <w:right w:val="single" w:sz="4" w:space="0" w:color="auto"/>
            </w:tcBorders>
            <w:shd w:val="clear" w:color="000000" w:fill="FF9900"/>
            <w:vAlign w:val="center"/>
            <w:hideMark/>
          </w:tcPr>
          <w:p w14:paraId="539252AB" w14:textId="77777777" w:rsidR="0078259C" w:rsidRPr="0078259C" w:rsidRDefault="0078259C" w:rsidP="0078259C">
            <w:pPr>
              <w:spacing w:after="0" w:line="240" w:lineRule="auto"/>
              <w:jc w:val="right"/>
              <w:rPr>
                <w:rFonts w:ascii="Calibri" w:eastAsia="Times New Roman" w:hAnsi="Calibri" w:cs="Calibri"/>
                <w:sz w:val="18"/>
                <w:szCs w:val="18"/>
                <w:lang w:eastAsia="hr-HR"/>
              </w:rPr>
            </w:pPr>
            <w:r w:rsidRPr="0078259C">
              <w:rPr>
                <w:rFonts w:ascii="Calibri" w:eastAsia="Times New Roman" w:hAnsi="Calibri" w:cs="Calibri"/>
                <w:sz w:val="18"/>
                <w:szCs w:val="18"/>
                <w:lang w:eastAsia="hr-HR"/>
              </w:rPr>
              <w:t>0</w:t>
            </w:r>
          </w:p>
        </w:tc>
        <w:tc>
          <w:tcPr>
            <w:tcW w:w="426" w:type="dxa"/>
            <w:gridSpan w:val="2"/>
            <w:tcBorders>
              <w:top w:val="nil"/>
              <w:left w:val="nil"/>
              <w:bottom w:val="single" w:sz="4" w:space="0" w:color="auto"/>
              <w:right w:val="single" w:sz="4" w:space="0" w:color="auto"/>
            </w:tcBorders>
            <w:shd w:val="clear" w:color="000000" w:fill="CCFFFF"/>
            <w:vAlign w:val="center"/>
            <w:hideMark/>
          </w:tcPr>
          <w:p w14:paraId="2F7A453C" w14:textId="77777777" w:rsidR="0078259C" w:rsidRPr="0078259C" w:rsidRDefault="0078259C" w:rsidP="0078259C">
            <w:pPr>
              <w:spacing w:after="0" w:line="240" w:lineRule="auto"/>
              <w:jc w:val="right"/>
              <w:rPr>
                <w:rFonts w:ascii="Calibri" w:eastAsia="Times New Roman" w:hAnsi="Calibri" w:cs="Calibri"/>
                <w:sz w:val="18"/>
                <w:szCs w:val="18"/>
                <w:lang w:eastAsia="hr-HR"/>
              </w:rPr>
            </w:pPr>
            <w:r w:rsidRPr="0078259C">
              <w:rPr>
                <w:rFonts w:ascii="Calibri" w:eastAsia="Times New Roman" w:hAnsi="Calibri" w:cs="Calibri"/>
                <w:sz w:val="18"/>
                <w:szCs w:val="18"/>
                <w:lang w:eastAsia="hr-HR"/>
              </w:rPr>
              <w:t>0</w:t>
            </w:r>
          </w:p>
        </w:tc>
        <w:tc>
          <w:tcPr>
            <w:tcW w:w="446" w:type="dxa"/>
            <w:tcBorders>
              <w:top w:val="nil"/>
              <w:left w:val="nil"/>
              <w:bottom w:val="single" w:sz="4" w:space="0" w:color="auto"/>
              <w:right w:val="single" w:sz="4" w:space="0" w:color="auto"/>
            </w:tcBorders>
            <w:shd w:val="clear" w:color="000000" w:fill="CCFFFF"/>
            <w:vAlign w:val="center"/>
            <w:hideMark/>
          </w:tcPr>
          <w:p w14:paraId="00BEE3D8" w14:textId="77777777" w:rsidR="0078259C" w:rsidRPr="0078259C" w:rsidRDefault="0078259C" w:rsidP="0078259C">
            <w:pPr>
              <w:spacing w:after="0" w:line="240" w:lineRule="auto"/>
              <w:jc w:val="right"/>
              <w:rPr>
                <w:rFonts w:ascii="Calibri" w:eastAsia="Times New Roman" w:hAnsi="Calibri" w:cs="Calibri"/>
                <w:sz w:val="18"/>
                <w:szCs w:val="18"/>
                <w:lang w:eastAsia="hr-HR"/>
              </w:rPr>
            </w:pPr>
            <w:r w:rsidRPr="0078259C">
              <w:rPr>
                <w:rFonts w:ascii="Calibri" w:eastAsia="Times New Roman" w:hAnsi="Calibri" w:cs="Calibri"/>
                <w:sz w:val="18"/>
                <w:szCs w:val="18"/>
                <w:lang w:eastAsia="hr-HR"/>
              </w:rPr>
              <w:t>0</w:t>
            </w:r>
          </w:p>
        </w:tc>
        <w:tc>
          <w:tcPr>
            <w:tcW w:w="404" w:type="dxa"/>
            <w:tcBorders>
              <w:top w:val="nil"/>
              <w:left w:val="nil"/>
              <w:bottom w:val="single" w:sz="4" w:space="0" w:color="auto"/>
              <w:right w:val="single" w:sz="4" w:space="0" w:color="auto"/>
            </w:tcBorders>
            <w:shd w:val="clear" w:color="000000" w:fill="CCFFFF"/>
            <w:noWrap/>
            <w:vAlign w:val="center"/>
            <w:hideMark/>
          </w:tcPr>
          <w:p w14:paraId="36378F2A" w14:textId="77777777" w:rsidR="0078259C" w:rsidRPr="0078259C" w:rsidRDefault="0078259C" w:rsidP="0078259C">
            <w:pPr>
              <w:spacing w:after="0" w:line="240" w:lineRule="auto"/>
              <w:jc w:val="right"/>
              <w:rPr>
                <w:rFonts w:ascii="Calibri" w:eastAsia="Times New Roman" w:hAnsi="Calibri" w:cs="Calibri"/>
                <w:sz w:val="18"/>
                <w:szCs w:val="18"/>
                <w:lang w:eastAsia="hr-HR"/>
              </w:rPr>
            </w:pPr>
            <w:r w:rsidRPr="0078259C">
              <w:rPr>
                <w:rFonts w:ascii="Calibri" w:eastAsia="Times New Roman" w:hAnsi="Calibri" w:cs="Calibri"/>
                <w:sz w:val="18"/>
                <w:szCs w:val="18"/>
                <w:lang w:eastAsia="hr-HR"/>
              </w:rPr>
              <w:t>0</w:t>
            </w:r>
          </w:p>
        </w:tc>
        <w:tc>
          <w:tcPr>
            <w:tcW w:w="839" w:type="dxa"/>
            <w:gridSpan w:val="2"/>
            <w:tcBorders>
              <w:top w:val="nil"/>
              <w:left w:val="nil"/>
              <w:bottom w:val="single" w:sz="4" w:space="0" w:color="auto"/>
              <w:right w:val="single" w:sz="4" w:space="0" w:color="auto"/>
            </w:tcBorders>
            <w:shd w:val="clear" w:color="000000" w:fill="33CCCC"/>
            <w:noWrap/>
            <w:vAlign w:val="center"/>
            <w:hideMark/>
          </w:tcPr>
          <w:p w14:paraId="0C7C12DB" w14:textId="77777777" w:rsidR="0078259C" w:rsidRPr="0078259C" w:rsidRDefault="0078259C" w:rsidP="0078259C">
            <w:pPr>
              <w:spacing w:after="0" w:line="240" w:lineRule="auto"/>
              <w:jc w:val="right"/>
              <w:rPr>
                <w:rFonts w:ascii="Calibri" w:eastAsia="Times New Roman" w:hAnsi="Calibri" w:cs="Calibri"/>
                <w:sz w:val="18"/>
                <w:szCs w:val="18"/>
                <w:lang w:eastAsia="hr-HR"/>
              </w:rPr>
            </w:pPr>
            <w:r w:rsidRPr="0078259C">
              <w:rPr>
                <w:rFonts w:ascii="Calibri" w:eastAsia="Times New Roman" w:hAnsi="Calibri" w:cs="Calibri"/>
                <w:sz w:val="18"/>
                <w:szCs w:val="18"/>
                <w:lang w:eastAsia="hr-HR"/>
              </w:rPr>
              <w:t>1</w:t>
            </w:r>
          </w:p>
        </w:tc>
        <w:tc>
          <w:tcPr>
            <w:tcW w:w="839" w:type="dxa"/>
            <w:tcBorders>
              <w:top w:val="nil"/>
              <w:left w:val="nil"/>
              <w:bottom w:val="single" w:sz="4" w:space="0" w:color="auto"/>
              <w:right w:val="nil"/>
            </w:tcBorders>
            <w:shd w:val="clear" w:color="000000" w:fill="33CCCC"/>
            <w:noWrap/>
            <w:vAlign w:val="center"/>
            <w:hideMark/>
          </w:tcPr>
          <w:p w14:paraId="0EEC1D46" w14:textId="77777777" w:rsidR="0078259C" w:rsidRPr="0078259C" w:rsidRDefault="0078259C" w:rsidP="0078259C">
            <w:pPr>
              <w:spacing w:after="0" w:line="240" w:lineRule="auto"/>
              <w:jc w:val="right"/>
              <w:rPr>
                <w:rFonts w:ascii="Calibri" w:eastAsia="Times New Roman" w:hAnsi="Calibri" w:cs="Calibri"/>
                <w:sz w:val="18"/>
                <w:szCs w:val="18"/>
                <w:lang w:eastAsia="hr-HR"/>
              </w:rPr>
            </w:pPr>
            <w:r w:rsidRPr="0078259C">
              <w:rPr>
                <w:rFonts w:ascii="Calibri" w:eastAsia="Times New Roman" w:hAnsi="Calibri" w:cs="Calibri"/>
                <w:sz w:val="18"/>
                <w:szCs w:val="18"/>
                <w:lang w:eastAsia="hr-HR"/>
              </w:rPr>
              <w:t>0</w:t>
            </w:r>
          </w:p>
        </w:tc>
        <w:tc>
          <w:tcPr>
            <w:tcW w:w="236" w:type="dxa"/>
            <w:gridSpan w:val="2"/>
            <w:vAlign w:val="center"/>
            <w:hideMark/>
          </w:tcPr>
          <w:p w14:paraId="132BC55F" w14:textId="77777777" w:rsidR="0078259C" w:rsidRPr="0078259C" w:rsidRDefault="0078259C" w:rsidP="0078259C">
            <w:pPr>
              <w:spacing w:after="0" w:line="240" w:lineRule="auto"/>
              <w:rPr>
                <w:rFonts w:ascii="Times New Roman" w:eastAsia="Times New Roman" w:hAnsi="Times New Roman" w:cs="Times New Roman"/>
                <w:sz w:val="18"/>
                <w:szCs w:val="18"/>
                <w:lang w:eastAsia="hr-HR"/>
              </w:rPr>
            </w:pPr>
          </w:p>
        </w:tc>
      </w:tr>
      <w:tr w:rsidR="0078259C" w:rsidRPr="0078259C" w14:paraId="787C4951" w14:textId="77777777" w:rsidTr="0078259C">
        <w:trPr>
          <w:gridAfter w:val="2"/>
          <w:wAfter w:w="44" w:type="dxa"/>
          <w:trHeight w:val="405"/>
        </w:trPr>
        <w:tc>
          <w:tcPr>
            <w:tcW w:w="1394" w:type="dxa"/>
            <w:tcBorders>
              <w:top w:val="single" w:sz="4" w:space="0" w:color="auto"/>
              <w:left w:val="single" w:sz="8" w:space="0" w:color="auto"/>
              <w:bottom w:val="single" w:sz="4" w:space="0" w:color="auto"/>
              <w:right w:val="single" w:sz="4" w:space="0" w:color="auto"/>
            </w:tcBorders>
            <w:shd w:val="clear" w:color="000000" w:fill="CCFFCC"/>
            <w:vAlign w:val="center"/>
            <w:hideMark/>
          </w:tcPr>
          <w:p w14:paraId="4F97154D" w14:textId="77777777" w:rsidR="0078259C" w:rsidRPr="0078259C" w:rsidRDefault="0078259C" w:rsidP="0078259C">
            <w:pPr>
              <w:spacing w:after="0" w:line="240" w:lineRule="auto"/>
              <w:jc w:val="center"/>
              <w:rPr>
                <w:rFonts w:ascii="Calibri" w:eastAsia="Times New Roman" w:hAnsi="Calibri" w:cs="Calibri"/>
                <w:sz w:val="18"/>
                <w:szCs w:val="18"/>
                <w:lang w:eastAsia="hr-HR"/>
              </w:rPr>
            </w:pPr>
            <w:r w:rsidRPr="0078259C">
              <w:rPr>
                <w:rFonts w:ascii="Calibri" w:eastAsia="Times New Roman" w:hAnsi="Calibri" w:cs="Calibri"/>
                <w:sz w:val="18"/>
                <w:szCs w:val="18"/>
                <w:lang w:eastAsia="hr-HR"/>
              </w:rPr>
              <w:t>Dob</w:t>
            </w:r>
          </w:p>
        </w:tc>
        <w:tc>
          <w:tcPr>
            <w:tcW w:w="575" w:type="dxa"/>
            <w:tcBorders>
              <w:top w:val="nil"/>
              <w:left w:val="nil"/>
              <w:bottom w:val="single" w:sz="4" w:space="0" w:color="auto"/>
              <w:right w:val="single" w:sz="4" w:space="0" w:color="auto"/>
            </w:tcBorders>
            <w:shd w:val="clear" w:color="000000" w:fill="CCFFCC"/>
            <w:vAlign w:val="center"/>
            <w:hideMark/>
          </w:tcPr>
          <w:p w14:paraId="72190C27" w14:textId="77777777" w:rsidR="0078259C" w:rsidRPr="0078259C" w:rsidRDefault="0078259C" w:rsidP="0078259C">
            <w:pPr>
              <w:spacing w:after="0" w:line="240" w:lineRule="auto"/>
              <w:jc w:val="right"/>
              <w:rPr>
                <w:rFonts w:ascii="Calibri" w:eastAsia="Times New Roman" w:hAnsi="Calibri" w:cs="Calibri"/>
                <w:sz w:val="18"/>
                <w:szCs w:val="18"/>
                <w:lang w:eastAsia="hr-HR"/>
              </w:rPr>
            </w:pPr>
            <w:r w:rsidRPr="0078259C">
              <w:rPr>
                <w:rFonts w:ascii="Calibri" w:eastAsia="Times New Roman" w:hAnsi="Calibri" w:cs="Calibri"/>
                <w:sz w:val="18"/>
                <w:szCs w:val="18"/>
                <w:lang w:eastAsia="hr-HR"/>
              </w:rPr>
              <w:t>0</w:t>
            </w:r>
          </w:p>
        </w:tc>
        <w:tc>
          <w:tcPr>
            <w:tcW w:w="488" w:type="dxa"/>
            <w:tcBorders>
              <w:top w:val="nil"/>
              <w:left w:val="nil"/>
              <w:bottom w:val="single" w:sz="4" w:space="0" w:color="auto"/>
              <w:right w:val="single" w:sz="4" w:space="0" w:color="auto"/>
            </w:tcBorders>
            <w:shd w:val="clear" w:color="000000" w:fill="FFCC99"/>
            <w:noWrap/>
            <w:vAlign w:val="center"/>
            <w:hideMark/>
          </w:tcPr>
          <w:p w14:paraId="45F4248F" w14:textId="77777777" w:rsidR="0078259C" w:rsidRPr="0078259C" w:rsidRDefault="0078259C" w:rsidP="0078259C">
            <w:pPr>
              <w:spacing w:after="0" w:line="240" w:lineRule="auto"/>
              <w:jc w:val="right"/>
              <w:rPr>
                <w:rFonts w:ascii="Calibri" w:eastAsia="Times New Roman" w:hAnsi="Calibri" w:cs="Calibri"/>
                <w:sz w:val="18"/>
                <w:szCs w:val="18"/>
                <w:lang w:eastAsia="hr-HR"/>
              </w:rPr>
            </w:pPr>
            <w:r w:rsidRPr="0078259C">
              <w:rPr>
                <w:rFonts w:ascii="Calibri" w:eastAsia="Times New Roman" w:hAnsi="Calibri" w:cs="Calibri"/>
                <w:sz w:val="18"/>
                <w:szCs w:val="18"/>
                <w:lang w:eastAsia="hr-HR"/>
              </w:rPr>
              <w:t>0</w:t>
            </w:r>
          </w:p>
        </w:tc>
        <w:tc>
          <w:tcPr>
            <w:tcW w:w="500" w:type="dxa"/>
            <w:tcBorders>
              <w:top w:val="nil"/>
              <w:left w:val="nil"/>
              <w:bottom w:val="single" w:sz="4" w:space="0" w:color="auto"/>
              <w:right w:val="single" w:sz="4" w:space="0" w:color="auto"/>
            </w:tcBorders>
            <w:shd w:val="clear" w:color="000000" w:fill="FFCC99"/>
            <w:noWrap/>
            <w:vAlign w:val="center"/>
            <w:hideMark/>
          </w:tcPr>
          <w:p w14:paraId="422B6D79" w14:textId="77777777" w:rsidR="0078259C" w:rsidRPr="0078259C" w:rsidRDefault="0078259C" w:rsidP="0078259C">
            <w:pPr>
              <w:spacing w:after="0" w:line="240" w:lineRule="auto"/>
              <w:jc w:val="right"/>
              <w:rPr>
                <w:rFonts w:ascii="Calibri" w:eastAsia="Times New Roman" w:hAnsi="Calibri" w:cs="Calibri"/>
                <w:sz w:val="18"/>
                <w:szCs w:val="18"/>
                <w:lang w:eastAsia="hr-HR"/>
              </w:rPr>
            </w:pPr>
            <w:r w:rsidRPr="0078259C">
              <w:rPr>
                <w:rFonts w:ascii="Calibri" w:eastAsia="Times New Roman" w:hAnsi="Calibri" w:cs="Calibri"/>
                <w:sz w:val="18"/>
                <w:szCs w:val="18"/>
                <w:lang w:eastAsia="hr-HR"/>
              </w:rPr>
              <w:t>0</w:t>
            </w:r>
          </w:p>
        </w:tc>
        <w:tc>
          <w:tcPr>
            <w:tcW w:w="435" w:type="dxa"/>
            <w:tcBorders>
              <w:top w:val="nil"/>
              <w:left w:val="nil"/>
              <w:bottom w:val="single" w:sz="4" w:space="0" w:color="auto"/>
              <w:right w:val="single" w:sz="4" w:space="0" w:color="auto"/>
            </w:tcBorders>
            <w:shd w:val="clear" w:color="000000" w:fill="CCFFFF"/>
            <w:vAlign w:val="center"/>
            <w:hideMark/>
          </w:tcPr>
          <w:p w14:paraId="17138789" w14:textId="77777777" w:rsidR="0078259C" w:rsidRPr="0078259C" w:rsidRDefault="0078259C" w:rsidP="0078259C">
            <w:pPr>
              <w:spacing w:after="0" w:line="240" w:lineRule="auto"/>
              <w:jc w:val="right"/>
              <w:rPr>
                <w:rFonts w:ascii="Calibri" w:eastAsia="Times New Roman" w:hAnsi="Calibri" w:cs="Calibri"/>
                <w:sz w:val="18"/>
                <w:szCs w:val="18"/>
                <w:lang w:eastAsia="hr-HR"/>
              </w:rPr>
            </w:pPr>
            <w:r w:rsidRPr="0078259C">
              <w:rPr>
                <w:rFonts w:ascii="Calibri" w:eastAsia="Times New Roman" w:hAnsi="Calibri" w:cs="Calibri"/>
                <w:sz w:val="18"/>
                <w:szCs w:val="18"/>
                <w:lang w:eastAsia="hr-HR"/>
              </w:rPr>
              <w:t>0</w:t>
            </w:r>
          </w:p>
        </w:tc>
        <w:tc>
          <w:tcPr>
            <w:tcW w:w="426" w:type="dxa"/>
            <w:tcBorders>
              <w:top w:val="nil"/>
              <w:left w:val="nil"/>
              <w:bottom w:val="single" w:sz="4" w:space="0" w:color="auto"/>
              <w:right w:val="single" w:sz="4" w:space="0" w:color="auto"/>
            </w:tcBorders>
            <w:shd w:val="clear" w:color="000000" w:fill="CCFFFF"/>
            <w:noWrap/>
            <w:vAlign w:val="center"/>
            <w:hideMark/>
          </w:tcPr>
          <w:p w14:paraId="63435EAC" w14:textId="77777777" w:rsidR="0078259C" w:rsidRPr="0078259C" w:rsidRDefault="0078259C" w:rsidP="0078259C">
            <w:pPr>
              <w:spacing w:after="0" w:line="240" w:lineRule="auto"/>
              <w:jc w:val="right"/>
              <w:rPr>
                <w:rFonts w:ascii="Calibri" w:eastAsia="Times New Roman" w:hAnsi="Calibri" w:cs="Calibri"/>
                <w:sz w:val="18"/>
                <w:szCs w:val="18"/>
                <w:lang w:eastAsia="hr-HR"/>
              </w:rPr>
            </w:pPr>
            <w:r w:rsidRPr="0078259C">
              <w:rPr>
                <w:rFonts w:ascii="Calibri" w:eastAsia="Times New Roman" w:hAnsi="Calibri" w:cs="Calibri"/>
                <w:sz w:val="18"/>
                <w:szCs w:val="18"/>
                <w:lang w:eastAsia="hr-HR"/>
              </w:rPr>
              <w:t>0</w:t>
            </w:r>
          </w:p>
        </w:tc>
        <w:tc>
          <w:tcPr>
            <w:tcW w:w="425" w:type="dxa"/>
            <w:tcBorders>
              <w:top w:val="nil"/>
              <w:left w:val="nil"/>
              <w:bottom w:val="single" w:sz="4" w:space="0" w:color="auto"/>
              <w:right w:val="single" w:sz="4" w:space="0" w:color="auto"/>
            </w:tcBorders>
            <w:shd w:val="clear" w:color="000000" w:fill="FFFF99"/>
            <w:noWrap/>
            <w:vAlign w:val="center"/>
            <w:hideMark/>
          </w:tcPr>
          <w:p w14:paraId="2A93C666" w14:textId="77777777" w:rsidR="0078259C" w:rsidRPr="0078259C" w:rsidRDefault="0078259C" w:rsidP="0078259C">
            <w:pPr>
              <w:spacing w:after="0" w:line="240" w:lineRule="auto"/>
              <w:jc w:val="right"/>
              <w:rPr>
                <w:rFonts w:ascii="Calibri" w:eastAsia="Times New Roman" w:hAnsi="Calibri" w:cs="Calibri"/>
                <w:sz w:val="18"/>
                <w:szCs w:val="18"/>
                <w:lang w:eastAsia="hr-HR"/>
              </w:rPr>
            </w:pPr>
            <w:r w:rsidRPr="0078259C">
              <w:rPr>
                <w:rFonts w:ascii="Calibri" w:eastAsia="Times New Roman" w:hAnsi="Calibri" w:cs="Calibri"/>
                <w:sz w:val="18"/>
                <w:szCs w:val="18"/>
                <w:lang w:eastAsia="hr-HR"/>
              </w:rPr>
              <w:t>0</w:t>
            </w:r>
          </w:p>
        </w:tc>
        <w:tc>
          <w:tcPr>
            <w:tcW w:w="567" w:type="dxa"/>
            <w:tcBorders>
              <w:top w:val="nil"/>
              <w:left w:val="nil"/>
              <w:bottom w:val="single" w:sz="4" w:space="0" w:color="auto"/>
              <w:right w:val="single" w:sz="4" w:space="0" w:color="auto"/>
            </w:tcBorders>
            <w:shd w:val="clear" w:color="000000" w:fill="FFFF99"/>
            <w:noWrap/>
            <w:vAlign w:val="center"/>
            <w:hideMark/>
          </w:tcPr>
          <w:p w14:paraId="022F0FB3" w14:textId="77777777" w:rsidR="0078259C" w:rsidRPr="0078259C" w:rsidRDefault="0078259C" w:rsidP="0078259C">
            <w:pPr>
              <w:spacing w:after="0" w:line="240" w:lineRule="auto"/>
              <w:jc w:val="right"/>
              <w:rPr>
                <w:rFonts w:ascii="Calibri" w:eastAsia="Times New Roman" w:hAnsi="Calibri" w:cs="Calibri"/>
                <w:sz w:val="18"/>
                <w:szCs w:val="18"/>
                <w:lang w:eastAsia="hr-HR"/>
              </w:rPr>
            </w:pPr>
            <w:r w:rsidRPr="0078259C">
              <w:rPr>
                <w:rFonts w:ascii="Calibri" w:eastAsia="Times New Roman" w:hAnsi="Calibri" w:cs="Calibri"/>
                <w:sz w:val="18"/>
                <w:szCs w:val="18"/>
                <w:lang w:eastAsia="hr-HR"/>
              </w:rPr>
              <w:t>0</w:t>
            </w:r>
          </w:p>
        </w:tc>
        <w:tc>
          <w:tcPr>
            <w:tcW w:w="567" w:type="dxa"/>
            <w:tcBorders>
              <w:top w:val="nil"/>
              <w:left w:val="nil"/>
              <w:bottom w:val="single" w:sz="4" w:space="0" w:color="auto"/>
              <w:right w:val="single" w:sz="4" w:space="0" w:color="auto"/>
            </w:tcBorders>
            <w:shd w:val="clear" w:color="000000" w:fill="FFFF99"/>
            <w:noWrap/>
            <w:vAlign w:val="center"/>
            <w:hideMark/>
          </w:tcPr>
          <w:p w14:paraId="6279F4EE" w14:textId="77777777" w:rsidR="0078259C" w:rsidRPr="0078259C" w:rsidRDefault="0078259C" w:rsidP="0078259C">
            <w:pPr>
              <w:spacing w:after="0" w:line="240" w:lineRule="auto"/>
              <w:jc w:val="right"/>
              <w:rPr>
                <w:rFonts w:ascii="Calibri" w:eastAsia="Times New Roman" w:hAnsi="Calibri" w:cs="Calibri"/>
                <w:sz w:val="18"/>
                <w:szCs w:val="18"/>
                <w:lang w:eastAsia="hr-HR"/>
              </w:rPr>
            </w:pPr>
            <w:r w:rsidRPr="0078259C">
              <w:rPr>
                <w:rFonts w:ascii="Calibri" w:eastAsia="Times New Roman" w:hAnsi="Calibri" w:cs="Calibri"/>
                <w:sz w:val="18"/>
                <w:szCs w:val="18"/>
                <w:lang w:eastAsia="hr-HR"/>
              </w:rPr>
              <w:t>0</w:t>
            </w:r>
          </w:p>
        </w:tc>
        <w:tc>
          <w:tcPr>
            <w:tcW w:w="437" w:type="dxa"/>
            <w:tcBorders>
              <w:top w:val="nil"/>
              <w:left w:val="nil"/>
              <w:bottom w:val="single" w:sz="4" w:space="0" w:color="auto"/>
              <w:right w:val="single" w:sz="4" w:space="0" w:color="auto"/>
            </w:tcBorders>
            <w:shd w:val="clear" w:color="000000" w:fill="FFFF99"/>
            <w:noWrap/>
            <w:vAlign w:val="center"/>
            <w:hideMark/>
          </w:tcPr>
          <w:p w14:paraId="7BB6436C" w14:textId="77777777" w:rsidR="0078259C" w:rsidRPr="0078259C" w:rsidRDefault="0078259C" w:rsidP="0078259C">
            <w:pPr>
              <w:spacing w:after="0" w:line="240" w:lineRule="auto"/>
              <w:jc w:val="right"/>
              <w:rPr>
                <w:rFonts w:ascii="Calibri" w:eastAsia="Times New Roman" w:hAnsi="Calibri" w:cs="Calibri"/>
                <w:sz w:val="18"/>
                <w:szCs w:val="18"/>
                <w:lang w:eastAsia="hr-HR"/>
              </w:rPr>
            </w:pPr>
            <w:r w:rsidRPr="0078259C">
              <w:rPr>
                <w:rFonts w:ascii="Calibri" w:eastAsia="Times New Roman" w:hAnsi="Calibri" w:cs="Calibri"/>
                <w:sz w:val="18"/>
                <w:szCs w:val="18"/>
                <w:lang w:eastAsia="hr-HR"/>
              </w:rPr>
              <w:t>0</w:t>
            </w:r>
          </w:p>
        </w:tc>
        <w:tc>
          <w:tcPr>
            <w:tcW w:w="413" w:type="dxa"/>
            <w:tcBorders>
              <w:top w:val="nil"/>
              <w:left w:val="nil"/>
              <w:bottom w:val="single" w:sz="4" w:space="0" w:color="auto"/>
              <w:right w:val="single" w:sz="4" w:space="0" w:color="auto"/>
            </w:tcBorders>
            <w:shd w:val="clear" w:color="000000" w:fill="FFFF99"/>
            <w:noWrap/>
            <w:vAlign w:val="center"/>
            <w:hideMark/>
          </w:tcPr>
          <w:p w14:paraId="1A458BD6" w14:textId="77777777" w:rsidR="0078259C" w:rsidRPr="0078259C" w:rsidRDefault="0078259C" w:rsidP="0078259C">
            <w:pPr>
              <w:spacing w:after="0" w:line="240" w:lineRule="auto"/>
              <w:jc w:val="right"/>
              <w:rPr>
                <w:rFonts w:ascii="Calibri" w:eastAsia="Times New Roman" w:hAnsi="Calibri" w:cs="Calibri"/>
                <w:sz w:val="18"/>
                <w:szCs w:val="18"/>
                <w:lang w:eastAsia="hr-HR"/>
              </w:rPr>
            </w:pPr>
            <w:r w:rsidRPr="0078259C">
              <w:rPr>
                <w:rFonts w:ascii="Calibri" w:eastAsia="Times New Roman" w:hAnsi="Calibri" w:cs="Calibri"/>
                <w:sz w:val="18"/>
                <w:szCs w:val="18"/>
                <w:lang w:eastAsia="hr-HR"/>
              </w:rPr>
              <w:t>0</w:t>
            </w:r>
          </w:p>
        </w:tc>
        <w:tc>
          <w:tcPr>
            <w:tcW w:w="283" w:type="dxa"/>
            <w:gridSpan w:val="2"/>
            <w:tcBorders>
              <w:top w:val="nil"/>
              <w:left w:val="nil"/>
              <w:bottom w:val="single" w:sz="4" w:space="0" w:color="auto"/>
              <w:right w:val="single" w:sz="4" w:space="0" w:color="auto"/>
            </w:tcBorders>
            <w:shd w:val="clear" w:color="000000" w:fill="FF9900"/>
            <w:noWrap/>
            <w:vAlign w:val="center"/>
            <w:hideMark/>
          </w:tcPr>
          <w:p w14:paraId="79123F1F" w14:textId="77777777" w:rsidR="0078259C" w:rsidRPr="0078259C" w:rsidRDefault="0078259C" w:rsidP="0078259C">
            <w:pPr>
              <w:spacing w:after="0" w:line="240" w:lineRule="auto"/>
              <w:jc w:val="right"/>
              <w:rPr>
                <w:rFonts w:ascii="Calibri" w:eastAsia="Times New Roman" w:hAnsi="Calibri" w:cs="Calibri"/>
                <w:sz w:val="18"/>
                <w:szCs w:val="18"/>
                <w:lang w:eastAsia="hr-HR"/>
              </w:rPr>
            </w:pPr>
            <w:r w:rsidRPr="0078259C">
              <w:rPr>
                <w:rFonts w:ascii="Calibri" w:eastAsia="Times New Roman" w:hAnsi="Calibri" w:cs="Calibri"/>
                <w:sz w:val="18"/>
                <w:szCs w:val="18"/>
                <w:lang w:eastAsia="hr-HR"/>
              </w:rPr>
              <w:t>0</w:t>
            </w:r>
          </w:p>
        </w:tc>
        <w:tc>
          <w:tcPr>
            <w:tcW w:w="568" w:type="dxa"/>
            <w:tcBorders>
              <w:top w:val="nil"/>
              <w:left w:val="nil"/>
              <w:bottom w:val="single" w:sz="4" w:space="0" w:color="auto"/>
              <w:right w:val="single" w:sz="4" w:space="0" w:color="auto"/>
            </w:tcBorders>
            <w:shd w:val="clear" w:color="000000" w:fill="FF9900"/>
            <w:noWrap/>
            <w:vAlign w:val="center"/>
            <w:hideMark/>
          </w:tcPr>
          <w:p w14:paraId="4C0C72CF" w14:textId="77777777" w:rsidR="0078259C" w:rsidRPr="0078259C" w:rsidRDefault="0078259C" w:rsidP="0078259C">
            <w:pPr>
              <w:spacing w:after="0" w:line="240" w:lineRule="auto"/>
              <w:jc w:val="right"/>
              <w:rPr>
                <w:rFonts w:ascii="Calibri" w:eastAsia="Times New Roman" w:hAnsi="Calibri" w:cs="Calibri"/>
                <w:sz w:val="18"/>
                <w:szCs w:val="18"/>
                <w:lang w:eastAsia="hr-HR"/>
              </w:rPr>
            </w:pPr>
            <w:r w:rsidRPr="0078259C">
              <w:rPr>
                <w:rFonts w:ascii="Calibri" w:eastAsia="Times New Roman" w:hAnsi="Calibri" w:cs="Calibri"/>
                <w:sz w:val="18"/>
                <w:szCs w:val="18"/>
                <w:lang w:eastAsia="hr-HR"/>
              </w:rPr>
              <w:t>0</w:t>
            </w:r>
          </w:p>
        </w:tc>
        <w:tc>
          <w:tcPr>
            <w:tcW w:w="425" w:type="dxa"/>
            <w:tcBorders>
              <w:top w:val="nil"/>
              <w:left w:val="nil"/>
              <w:bottom w:val="single" w:sz="4" w:space="0" w:color="auto"/>
              <w:right w:val="single" w:sz="4" w:space="0" w:color="auto"/>
            </w:tcBorders>
            <w:shd w:val="clear" w:color="000000" w:fill="FF9900"/>
            <w:noWrap/>
            <w:vAlign w:val="center"/>
            <w:hideMark/>
          </w:tcPr>
          <w:p w14:paraId="149D546E" w14:textId="77777777" w:rsidR="0078259C" w:rsidRPr="0078259C" w:rsidRDefault="0078259C" w:rsidP="0078259C">
            <w:pPr>
              <w:spacing w:after="0" w:line="240" w:lineRule="auto"/>
              <w:jc w:val="right"/>
              <w:rPr>
                <w:rFonts w:ascii="Calibri" w:eastAsia="Times New Roman" w:hAnsi="Calibri" w:cs="Calibri"/>
                <w:sz w:val="18"/>
                <w:szCs w:val="18"/>
                <w:lang w:eastAsia="hr-HR"/>
              </w:rPr>
            </w:pPr>
            <w:r w:rsidRPr="0078259C">
              <w:rPr>
                <w:rFonts w:ascii="Calibri" w:eastAsia="Times New Roman" w:hAnsi="Calibri" w:cs="Calibri"/>
                <w:sz w:val="18"/>
                <w:szCs w:val="18"/>
                <w:lang w:eastAsia="hr-HR"/>
              </w:rPr>
              <w:t>0</w:t>
            </w:r>
          </w:p>
        </w:tc>
        <w:tc>
          <w:tcPr>
            <w:tcW w:w="425" w:type="dxa"/>
            <w:gridSpan w:val="2"/>
            <w:tcBorders>
              <w:top w:val="nil"/>
              <w:left w:val="nil"/>
              <w:bottom w:val="single" w:sz="4" w:space="0" w:color="auto"/>
              <w:right w:val="single" w:sz="4" w:space="0" w:color="auto"/>
            </w:tcBorders>
            <w:shd w:val="clear" w:color="000000" w:fill="66FFCC"/>
            <w:noWrap/>
            <w:vAlign w:val="center"/>
            <w:hideMark/>
          </w:tcPr>
          <w:p w14:paraId="72BCC2A5" w14:textId="77777777" w:rsidR="0078259C" w:rsidRPr="0078259C" w:rsidRDefault="0078259C" w:rsidP="0078259C">
            <w:pPr>
              <w:spacing w:after="0" w:line="240" w:lineRule="auto"/>
              <w:jc w:val="right"/>
              <w:rPr>
                <w:rFonts w:ascii="Calibri" w:eastAsia="Times New Roman" w:hAnsi="Calibri" w:cs="Calibri"/>
                <w:sz w:val="18"/>
                <w:szCs w:val="18"/>
                <w:lang w:eastAsia="hr-HR"/>
              </w:rPr>
            </w:pPr>
            <w:r w:rsidRPr="0078259C">
              <w:rPr>
                <w:rFonts w:ascii="Calibri" w:eastAsia="Times New Roman" w:hAnsi="Calibri" w:cs="Calibri"/>
                <w:sz w:val="18"/>
                <w:szCs w:val="18"/>
                <w:lang w:eastAsia="hr-HR"/>
              </w:rPr>
              <w:t>0</w:t>
            </w:r>
          </w:p>
        </w:tc>
        <w:tc>
          <w:tcPr>
            <w:tcW w:w="437" w:type="dxa"/>
            <w:tcBorders>
              <w:top w:val="nil"/>
              <w:left w:val="nil"/>
              <w:bottom w:val="single" w:sz="4" w:space="0" w:color="auto"/>
              <w:right w:val="single" w:sz="4" w:space="0" w:color="auto"/>
            </w:tcBorders>
            <w:shd w:val="clear" w:color="000000" w:fill="66FFCC"/>
            <w:noWrap/>
            <w:vAlign w:val="center"/>
            <w:hideMark/>
          </w:tcPr>
          <w:p w14:paraId="4E84271B" w14:textId="77777777" w:rsidR="0078259C" w:rsidRPr="0078259C" w:rsidRDefault="0078259C" w:rsidP="0078259C">
            <w:pPr>
              <w:spacing w:after="0" w:line="240" w:lineRule="auto"/>
              <w:jc w:val="right"/>
              <w:rPr>
                <w:rFonts w:ascii="Calibri" w:eastAsia="Times New Roman" w:hAnsi="Calibri" w:cs="Calibri"/>
                <w:sz w:val="18"/>
                <w:szCs w:val="18"/>
                <w:lang w:eastAsia="hr-HR"/>
              </w:rPr>
            </w:pPr>
            <w:r w:rsidRPr="0078259C">
              <w:rPr>
                <w:rFonts w:ascii="Calibri" w:eastAsia="Times New Roman" w:hAnsi="Calibri" w:cs="Calibri"/>
                <w:sz w:val="18"/>
                <w:szCs w:val="18"/>
                <w:lang w:eastAsia="hr-HR"/>
              </w:rPr>
              <w:t>0</w:t>
            </w:r>
          </w:p>
        </w:tc>
        <w:tc>
          <w:tcPr>
            <w:tcW w:w="556" w:type="dxa"/>
            <w:tcBorders>
              <w:top w:val="nil"/>
              <w:left w:val="nil"/>
              <w:bottom w:val="single" w:sz="4" w:space="0" w:color="auto"/>
              <w:right w:val="single" w:sz="4" w:space="0" w:color="auto"/>
            </w:tcBorders>
            <w:shd w:val="clear" w:color="000000" w:fill="66FFCC"/>
            <w:noWrap/>
            <w:vAlign w:val="center"/>
            <w:hideMark/>
          </w:tcPr>
          <w:p w14:paraId="3EDD17B1" w14:textId="77777777" w:rsidR="0078259C" w:rsidRPr="0078259C" w:rsidRDefault="0078259C" w:rsidP="0078259C">
            <w:pPr>
              <w:spacing w:after="0" w:line="240" w:lineRule="auto"/>
              <w:jc w:val="right"/>
              <w:rPr>
                <w:rFonts w:ascii="Calibri" w:eastAsia="Times New Roman" w:hAnsi="Calibri" w:cs="Calibri"/>
                <w:sz w:val="18"/>
                <w:szCs w:val="18"/>
                <w:lang w:eastAsia="hr-HR"/>
              </w:rPr>
            </w:pPr>
            <w:r w:rsidRPr="0078259C">
              <w:rPr>
                <w:rFonts w:ascii="Calibri" w:eastAsia="Times New Roman" w:hAnsi="Calibri" w:cs="Calibri"/>
                <w:sz w:val="18"/>
                <w:szCs w:val="18"/>
                <w:lang w:eastAsia="hr-HR"/>
              </w:rPr>
              <w:t>0</w:t>
            </w:r>
          </w:p>
        </w:tc>
        <w:tc>
          <w:tcPr>
            <w:tcW w:w="425" w:type="dxa"/>
            <w:tcBorders>
              <w:top w:val="nil"/>
              <w:left w:val="nil"/>
              <w:bottom w:val="single" w:sz="4" w:space="0" w:color="auto"/>
              <w:right w:val="single" w:sz="4" w:space="0" w:color="auto"/>
            </w:tcBorders>
            <w:shd w:val="clear" w:color="000000" w:fill="66FFCC"/>
            <w:noWrap/>
            <w:vAlign w:val="center"/>
            <w:hideMark/>
          </w:tcPr>
          <w:p w14:paraId="42E2B5D2" w14:textId="77777777" w:rsidR="0078259C" w:rsidRPr="0078259C" w:rsidRDefault="0078259C" w:rsidP="0078259C">
            <w:pPr>
              <w:spacing w:after="0" w:line="240" w:lineRule="auto"/>
              <w:jc w:val="right"/>
              <w:rPr>
                <w:rFonts w:ascii="Calibri" w:eastAsia="Times New Roman" w:hAnsi="Calibri" w:cs="Calibri"/>
                <w:sz w:val="18"/>
                <w:szCs w:val="18"/>
                <w:lang w:eastAsia="hr-HR"/>
              </w:rPr>
            </w:pPr>
            <w:r w:rsidRPr="0078259C">
              <w:rPr>
                <w:rFonts w:ascii="Calibri" w:eastAsia="Times New Roman" w:hAnsi="Calibri" w:cs="Calibri"/>
                <w:sz w:val="18"/>
                <w:szCs w:val="18"/>
                <w:lang w:eastAsia="hr-HR"/>
              </w:rPr>
              <w:t>0</w:t>
            </w:r>
          </w:p>
        </w:tc>
        <w:tc>
          <w:tcPr>
            <w:tcW w:w="567" w:type="dxa"/>
            <w:gridSpan w:val="2"/>
            <w:tcBorders>
              <w:top w:val="nil"/>
              <w:left w:val="nil"/>
              <w:bottom w:val="single" w:sz="4" w:space="0" w:color="auto"/>
              <w:right w:val="single" w:sz="4" w:space="0" w:color="auto"/>
            </w:tcBorders>
            <w:shd w:val="clear" w:color="000000" w:fill="FFFF00"/>
            <w:vAlign w:val="center"/>
            <w:hideMark/>
          </w:tcPr>
          <w:p w14:paraId="0E660EEF" w14:textId="77777777" w:rsidR="0078259C" w:rsidRPr="0078259C" w:rsidRDefault="0078259C" w:rsidP="0078259C">
            <w:pPr>
              <w:spacing w:after="0" w:line="240" w:lineRule="auto"/>
              <w:jc w:val="right"/>
              <w:rPr>
                <w:rFonts w:ascii="Calibri" w:eastAsia="Times New Roman" w:hAnsi="Calibri" w:cs="Calibri"/>
                <w:sz w:val="18"/>
                <w:szCs w:val="18"/>
                <w:lang w:eastAsia="hr-HR"/>
              </w:rPr>
            </w:pPr>
            <w:r w:rsidRPr="0078259C">
              <w:rPr>
                <w:rFonts w:ascii="Calibri" w:eastAsia="Times New Roman" w:hAnsi="Calibri" w:cs="Calibri"/>
                <w:sz w:val="18"/>
                <w:szCs w:val="18"/>
                <w:lang w:eastAsia="hr-HR"/>
              </w:rPr>
              <w:t>0</w:t>
            </w:r>
          </w:p>
        </w:tc>
        <w:tc>
          <w:tcPr>
            <w:tcW w:w="578" w:type="dxa"/>
            <w:gridSpan w:val="2"/>
            <w:tcBorders>
              <w:top w:val="nil"/>
              <w:left w:val="nil"/>
              <w:bottom w:val="single" w:sz="4" w:space="0" w:color="auto"/>
              <w:right w:val="single" w:sz="4" w:space="0" w:color="auto"/>
            </w:tcBorders>
            <w:shd w:val="clear" w:color="000000" w:fill="FFFF99"/>
            <w:vAlign w:val="center"/>
            <w:hideMark/>
          </w:tcPr>
          <w:p w14:paraId="7C57B1E6" w14:textId="77777777" w:rsidR="0078259C" w:rsidRPr="0078259C" w:rsidRDefault="0078259C" w:rsidP="0078259C">
            <w:pPr>
              <w:spacing w:after="0" w:line="240" w:lineRule="auto"/>
              <w:jc w:val="right"/>
              <w:rPr>
                <w:rFonts w:ascii="Calibri" w:eastAsia="Times New Roman" w:hAnsi="Calibri" w:cs="Calibri"/>
                <w:sz w:val="18"/>
                <w:szCs w:val="18"/>
                <w:lang w:eastAsia="hr-HR"/>
              </w:rPr>
            </w:pPr>
            <w:r w:rsidRPr="0078259C">
              <w:rPr>
                <w:rFonts w:ascii="Calibri" w:eastAsia="Times New Roman" w:hAnsi="Calibri" w:cs="Calibri"/>
                <w:sz w:val="18"/>
                <w:szCs w:val="18"/>
                <w:lang w:eastAsia="hr-HR"/>
              </w:rPr>
              <w:t>0</w:t>
            </w:r>
          </w:p>
        </w:tc>
        <w:tc>
          <w:tcPr>
            <w:tcW w:w="839" w:type="dxa"/>
            <w:gridSpan w:val="2"/>
            <w:tcBorders>
              <w:top w:val="nil"/>
              <w:left w:val="nil"/>
              <w:bottom w:val="single" w:sz="4" w:space="0" w:color="auto"/>
              <w:right w:val="single" w:sz="4" w:space="0" w:color="auto"/>
            </w:tcBorders>
            <w:shd w:val="clear" w:color="000000" w:fill="FF9900"/>
            <w:vAlign w:val="center"/>
            <w:hideMark/>
          </w:tcPr>
          <w:p w14:paraId="4B50C4E8" w14:textId="77777777" w:rsidR="0078259C" w:rsidRPr="0078259C" w:rsidRDefault="0078259C" w:rsidP="0078259C">
            <w:pPr>
              <w:spacing w:after="0" w:line="240" w:lineRule="auto"/>
              <w:jc w:val="right"/>
              <w:rPr>
                <w:rFonts w:ascii="Calibri" w:eastAsia="Times New Roman" w:hAnsi="Calibri" w:cs="Calibri"/>
                <w:sz w:val="18"/>
                <w:szCs w:val="18"/>
                <w:lang w:eastAsia="hr-HR"/>
              </w:rPr>
            </w:pPr>
            <w:r w:rsidRPr="0078259C">
              <w:rPr>
                <w:rFonts w:ascii="Calibri" w:eastAsia="Times New Roman" w:hAnsi="Calibri" w:cs="Calibri"/>
                <w:sz w:val="18"/>
                <w:szCs w:val="18"/>
                <w:lang w:eastAsia="hr-HR"/>
              </w:rPr>
              <w:t>0</w:t>
            </w:r>
          </w:p>
        </w:tc>
        <w:tc>
          <w:tcPr>
            <w:tcW w:w="426" w:type="dxa"/>
            <w:gridSpan w:val="2"/>
            <w:tcBorders>
              <w:top w:val="nil"/>
              <w:left w:val="nil"/>
              <w:bottom w:val="single" w:sz="4" w:space="0" w:color="auto"/>
              <w:right w:val="single" w:sz="4" w:space="0" w:color="auto"/>
            </w:tcBorders>
            <w:shd w:val="clear" w:color="000000" w:fill="CCFFFF"/>
            <w:vAlign w:val="center"/>
            <w:hideMark/>
          </w:tcPr>
          <w:p w14:paraId="749ED7F6" w14:textId="77777777" w:rsidR="0078259C" w:rsidRPr="0078259C" w:rsidRDefault="0078259C" w:rsidP="0078259C">
            <w:pPr>
              <w:spacing w:after="0" w:line="240" w:lineRule="auto"/>
              <w:jc w:val="right"/>
              <w:rPr>
                <w:rFonts w:ascii="Calibri" w:eastAsia="Times New Roman" w:hAnsi="Calibri" w:cs="Calibri"/>
                <w:sz w:val="18"/>
                <w:szCs w:val="18"/>
                <w:lang w:eastAsia="hr-HR"/>
              </w:rPr>
            </w:pPr>
            <w:r w:rsidRPr="0078259C">
              <w:rPr>
                <w:rFonts w:ascii="Calibri" w:eastAsia="Times New Roman" w:hAnsi="Calibri" w:cs="Calibri"/>
                <w:sz w:val="18"/>
                <w:szCs w:val="18"/>
                <w:lang w:eastAsia="hr-HR"/>
              </w:rPr>
              <w:t>0</w:t>
            </w:r>
          </w:p>
        </w:tc>
        <w:tc>
          <w:tcPr>
            <w:tcW w:w="446" w:type="dxa"/>
            <w:tcBorders>
              <w:top w:val="nil"/>
              <w:left w:val="nil"/>
              <w:bottom w:val="single" w:sz="4" w:space="0" w:color="auto"/>
              <w:right w:val="single" w:sz="4" w:space="0" w:color="auto"/>
            </w:tcBorders>
            <w:shd w:val="clear" w:color="000000" w:fill="CCFFFF"/>
            <w:vAlign w:val="center"/>
            <w:hideMark/>
          </w:tcPr>
          <w:p w14:paraId="0CCFF6D9" w14:textId="77777777" w:rsidR="0078259C" w:rsidRPr="0078259C" w:rsidRDefault="0078259C" w:rsidP="0078259C">
            <w:pPr>
              <w:spacing w:after="0" w:line="240" w:lineRule="auto"/>
              <w:jc w:val="right"/>
              <w:rPr>
                <w:rFonts w:ascii="Calibri" w:eastAsia="Times New Roman" w:hAnsi="Calibri" w:cs="Calibri"/>
                <w:sz w:val="18"/>
                <w:szCs w:val="18"/>
                <w:lang w:eastAsia="hr-HR"/>
              </w:rPr>
            </w:pPr>
            <w:r w:rsidRPr="0078259C">
              <w:rPr>
                <w:rFonts w:ascii="Calibri" w:eastAsia="Times New Roman" w:hAnsi="Calibri" w:cs="Calibri"/>
                <w:sz w:val="18"/>
                <w:szCs w:val="18"/>
                <w:lang w:eastAsia="hr-HR"/>
              </w:rPr>
              <w:t>0</w:t>
            </w:r>
          </w:p>
        </w:tc>
        <w:tc>
          <w:tcPr>
            <w:tcW w:w="404" w:type="dxa"/>
            <w:tcBorders>
              <w:top w:val="nil"/>
              <w:left w:val="nil"/>
              <w:bottom w:val="single" w:sz="4" w:space="0" w:color="auto"/>
              <w:right w:val="single" w:sz="4" w:space="0" w:color="auto"/>
            </w:tcBorders>
            <w:shd w:val="clear" w:color="000000" w:fill="CCFFFF"/>
            <w:noWrap/>
            <w:vAlign w:val="center"/>
            <w:hideMark/>
          </w:tcPr>
          <w:p w14:paraId="213DADB0" w14:textId="77777777" w:rsidR="0078259C" w:rsidRPr="0078259C" w:rsidRDefault="0078259C" w:rsidP="0078259C">
            <w:pPr>
              <w:spacing w:after="0" w:line="240" w:lineRule="auto"/>
              <w:jc w:val="right"/>
              <w:rPr>
                <w:rFonts w:ascii="Calibri" w:eastAsia="Times New Roman" w:hAnsi="Calibri" w:cs="Calibri"/>
                <w:sz w:val="18"/>
                <w:szCs w:val="18"/>
                <w:lang w:eastAsia="hr-HR"/>
              </w:rPr>
            </w:pPr>
            <w:r w:rsidRPr="0078259C">
              <w:rPr>
                <w:rFonts w:ascii="Calibri" w:eastAsia="Times New Roman" w:hAnsi="Calibri" w:cs="Calibri"/>
                <w:sz w:val="18"/>
                <w:szCs w:val="18"/>
                <w:lang w:eastAsia="hr-HR"/>
              </w:rPr>
              <w:t>0</w:t>
            </w:r>
          </w:p>
        </w:tc>
        <w:tc>
          <w:tcPr>
            <w:tcW w:w="839" w:type="dxa"/>
            <w:gridSpan w:val="2"/>
            <w:tcBorders>
              <w:top w:val="nil"/>
              <w:left w:val="nil"/>
              <w:bottom w:val="single" w:sz="4" w:space="0" w:color="auto"/>
              <w:right w:val="single" w:sz="4" w:space="0" w:color="auto"/>
            </w:tcBorders>
            <w:shd w:val="clear" w:color="000000" w:fill="33CCCC"/>
            <w:noWrap/>
            <w:vAlign w:val="center"/>
            <w:hideMark/>
          </w:tcPr>
          <w:p w14:paraId="563CFE05" w14:textId="77777777" w:rsidR="0078259C" w:rsidRPr="0078259C" w:rsidRDefault="0078259C" w:rsidP="0078259C">
            <w:pPr>
              <w:spacing w:after="0" w:line="240" w:lineRule="auto"/>
              <w:jc w:val="right"/>
              <w:rPr>
                <w:rFonts w:ascii="Calibri" w:eastAsia="Times New Roman" w:hAnsi="Calibri" w:cs="Calibri"/>
                <w:sz w:val="18"/>
                <w:szCs w:val="18"/>
                <w:lang w:eastAsia="hr-HR"/>
              </w:rPr>
            </w:pPr>
            <w:r w:rsidRPr="0078259C">
              <w:rPr>
                <w:rFonts w:ascii="Calibri" w:eastAsia="Times New Roman" w:hAnsi="Calibri" w:cs="Calibri"/>
                <w:sz w:val="18"/>
                <w:szCs w:val="18"/>
                <w:lang w:eastAsia="hr-HR"/>
              </w:rPr>
              <w:t>0</w:t>
            </w:r>
          </w:p>
        </w:tc>
        <w:tc>
          <w:tcPr>
            <w:tcW w:w="839" w:type="dxa"/>
            <w:tcBorders>
              <w:top w:val="nil"/>
              <w:left w:val="nil"/>
              <w:bottom w:val="single" w:sz="4" w:space="0" w:color="auto"/>
              <w:right w:val="nil"/>
            </w:tcBorders>
            <w:shd w:val="clear" w:color="000000" w:fill="33CCCC"/>
            <w:noWrap/>
            <w:vAlign w:val="center"/>
            <w:hideMark/>
          </w:tcPr>
          <w:p w14:paraId="7CE9F1C9" w14:textId="77777777" w:rsidR="0078259C" w:rsidRPr="0078259C" w:rsidRDefault="0078259C" w:rsidP="0078259C">
            <w:pPr>
              <w:spacing w:after="0" w:line="240" w:lineRule="auto"/>
              <w:jc w:val="right"/>
              <w:rPr>
                <w:rFonts w:ascii="Calibri" w:eastAsia="Times New Roman" w:hAnsi="Calibri" w:cs="Calibri"/>
                <w:sz w:val="18"/>
                <w:szCs w:val="18"/>
                <w:lang w:eastAsia="hr-HR"/>
              </w:rPr>
            </w:pPr>
            <w:r w:rsidRPr="0078259C">
              <w:rPr>
                <w:rFonts w:ascii="Calibri" w:eastAsia="Times New Roman" w:hAnsi="Calibri" w:cs="Calibri"/>
                <w:sz w:val="18"/>
                <w:szCs w:val="18"/>
                <w:lang w:eastAsia="hr-HR"/>
              </w:rPr>
              <w:t>0</w:t>
            </w:r>
          </w:p>
        </w:tc>
        <w:tc>
          <w:tcPr>
            <w:tcW w:w="236" w:type="dxa"/>
            <w:gridSpan w:val="2"/>
            <w:vAlign w:val="center"/>
            <w:hideMark/>
          </w:tcPr>
          <w:p w14:paraId="35EDA268" w14:textId="77777777" w:rsidR="0078259C" w:rsidRPr="0078259C" w:rsidRDefault="0078259C" w:rsidP="0078259C">
            <w:pPr>
              <w:spacing w:after="0" w:line="240" w:lineRule="auto"/>
              <w:rPr>
                <w:rFonts w:ascii="Times New Roman" w:eastAsia="Times New Roman" w:hAnsi="Times New Roman" w:cs="Times New Roman"/>
                <w:sz w:val="18"/>
                <w:szCs w:val="18"/>
                <w:lang w:eastAsia="hr-HR"/>
              </w:rPr>
            </w:pPr>
          </w:p>
        </w:tc>
      </w:tr>
      <w:tr w:rsidR="0078259C" w:rsidRPr="0078259C" w14:paraId="32DDC231" w14:textId="77777777" w:rsidTr="0078259C">
        <w:trPr>
          <w:gridAfter w:val="2"/>
          <w:wAfter w:w="44" w:type="dxa"/>
          <w:trHeight w:val="405"/>
        </w:trPr>
        <w:tc>
          <w:tcPr>
            <w:tcW w:w="1394" w:type="dxa"/>
            <w:tcBorders>
              <w:top w:val="single" w:sz="4" w:space="0" w:color="auto"/>
              <w:left w:val="single" w:sz="8" w:space="0" w:color="auto"/>
              <w:bottom w:val="single" w:sz="4" w:space="0" w:color="auto"/>
              <w:right w:val="single" w:sz="4" w:space="0" w:color="auto"/>
            </w:tcBorders>
            <w:shd w:val="clear" w:color="000000" w:fill="CCFFCC"/>
            <w:vAlign w:val="center"/>
            <w:hideMark/>
          </w:tcPr>
          <w:p w14:paraId="5315AAF3" w14:textId="77777777" w:rsidR="0078259C" w:rsidRPr="0078259C" w:rsidRDefault="0078259C" w:rsidP="0078259C">
            <w:pPr>
              <w:spacing w:after="0" w:line="240" w:lineRule="auto"/>
              <w:jc w:val="center"/>
              <w:rPr>
                <w:rFonts w:ascii="Calibri" w:eastAsia="Times New Roman" w:hAnsi="Calibri" w:cs="Calibri"/>
                <w:sz w:val="18"/>
                <w:szCs w:val="18"/>
                <w:lang w:eastAsia="hr-HR"/>
              </w:rPr>
            </w:pPr>
            <w:r w:rsidRPr="0078259C">
              <w:rPr>
                <w:rFonts w:ascii="Calibri" w:eastAsia="Times New Roman" w:hAnsi="Calibri" w:cs="Calibri"/>
                <w:sz w:val="18"/>
                <w:szCs w:val="18"/>
                <w:lang w:eastAsia="hr-HR"/>
              </w:rPr>
              <w:t>Obrazovanje</w:t>
            </w:r>
          </w:p>
        </w:tc>
        <w:tc>
          <w:tcPr>
            <w:tcW w:w="575" w:type="dxa"/>
            <w:tcBorders>
              <w:top w:val="nil"/>
              <w:left w:val="nil"/>
              <w:bottom w:val="single" w:sz="4" w:space="0" w:color="auto"/>
              <w:right w:val="single" w:sz="4" w:space="0" w:color="auto"/>
            </w:tcBorders>
            <w:shd w:val="clear" w:color="000000" w:fill="CCFFCC"/>
            <w:vAlign w:val="center"/>
            <w:hideMark/>
          </w:tcPr>
          <w:p w14:paraId="014C164E" w14:textId="77777777" w:rsidR="0078259C" w:rsidRPr="0078259C" w:rsidRDefault="0078259C" w:rsidP="0078259C">
            <w:pPr>
              <w:spacing w:after="0" w:line="240" w:lineRule="auto"/>
              <w:jc w:val="right"/>
              <w:rPr>
                <w:rFonts w:ascii="Calibri" w:eastAsia="Times New Roman" w:hAnsi="Calibri" w:cs="Calibri"/>
                <w:sz w:val="18"/>
                <w:szCs w:val="18"/>
                <w:lang w:eastAsia="hr-HR"/>
              </w:rPr>
            </w:pPr>
            <w:r w:rsidRPr="0078259C">
              <w:rPr>
                <w:rFonts w:ascii="Calibri" w:eastAsia="Times New Roman" w:hAnsi="Calibri" w:cs="Calibri"/>
                <w:sz w:val="18"/>
                <w:szCs w:val="18"/>
                <w:lang w:eastAsia="hr-HR"/>
              </w:rPr>
              <w:t>0</w:t>
            </w:r>
          </w:p>
        </w:tc>
        <w:tc>
          <w:tcPr>
            <w:tcW w:w="488" w:type="dxa"/>
            <w:tcBorders>
              <w:top w:val="nil"/>
              <w:left w:val="nil"/>
              <w:bottom w:val="single" w:sz="4" w:space="0" w:color="auto"/>
              <w:right w:val="single" w:sz="4" w:space="0" w:color="auto"/>
            </w:tcBorders>
            <w:shd w:val="clear" w:color="000000" w:fill="FFCC99"/>
            <w:noWrap/>
            <w:vAlign w:val="center"/>
            <w:hideMark/>
          </w:tcPr>
          <w:p w14:paraId="5F0062A2" w14:textId="77777777" w:rsidR="0078259C" w:rsidRPr="0078259C" w:rsidRDefault="0078259C" w:rsidP="0078259C">
            <w:pPr>
              <w:spacing w:after="0" w:line="240" w:lineRule="auto"/>
              <w:jc w:val="right"/>
              <w:rPr>
                <w:rFonts w:ascii="Calibri" w:eastAsia="Times New Roman" w:hAnsi="Calibri" w:cs="Calibri"/>
                <w:sz w:val="18"/>
                <w:szCs w:val="18"/>
                <w:lang w:eastAsia="hr-HR"/>
              </w:rPr>
            </w:pPr>
            <w:r w:rsidRPr="0078259C">
              <w:rPr>
                <w:rFonts w:ascii="Calibri" w:eastAsia="Times New Roman" w:hAnsi="Calibri" w:cs="Calibri"/>
                <w:sz w:val="18"/>
                <w:szCs w:val="18"/>
                <w:lang w:eastAsia="hr-HR"/>
              </w:rPr>
              <w:t>0</w:t>
            </w:r>
          </w:p>
        </w:tc>
        <w:tc>
          <w:tcPr>
            <w:tcW w:w="500" w:type="dxa"/>
            <w:tcBorders>
              <w:top w:val="nil"/>
              <w:left w:val="nil"/>
              <w:bottom w:val="single" w:sz="4" w:space="0" w:color="auto"/>
              <w:right w:val="single" w:sz="4" w:space="0" w:color="auto"/>
            </w:tcBorders>
            <w:shd w:val="clear" w:color="000000" w:fill="FFCC99"/>
            <w:noWrap/>
            <w:vAlign w:val="center"/>
            <w:hideMark/>
          </w:tcPr>
          <w:p w14:paraId="2CD4D8D0" w14:textId="77777777" w:rsidR="0078259C" w:rsidRPr="0078259C" w:rsidRDefault="0078259C" w:rsidP="0078259C">
            <w:pPr>
              <w:spacing w:after="0" w:line="240" w:lineRule="auto"/>
              <w:jc w:val="right"/>
              <w:rPr>
                <w:rFonts w:ascii="Calibri" w:eastAsia="Times New Roman" w:hAnsi="Calibri" w:cs="Calibri"/>
                <w:sz w:val="18"/>
                <w:szCs w:val="18"/>
                <w:lang w:eastAsia="hr-HR"/>
              </w:rPr>
            </w:pPr>
            <w:r w:rsidRPr="0078259C">
              <w:rPr>
                <w:rFonts w:ascii="Calibri" w:eastAsia="Times New Roman" w:hAnsi="Calibri" w:cs="Calibri"/>
                <w:sz w:val="18"/>
                <w:szCs w:val="18"/>
                <w:lang w:eastAsia="hr-HR"/>
              </w:rPr>
              <w:t>0</w:t>
            </w:r>
          </w:p>
        </w:tc>
        <w:tc>
          <w:tcPr>
            <w:tcW w:w="435" w:type="dxa"/>
            <w:tcBorders>
              <w:top w:val="nil"/>
              <w:left w:val="nil"/>
              <w:bottom w:val="single" w:sz="4" w:space="0" w:color="auto"/>
              <w:right w:val="single" w:sz="4" w:space="0" w:color="auto"/>
            </w:tcBorders>
            <w:shd w:val="clear" w:color="000000" w:fill="CCFFFF"/>
            <w:vAlign w:val="center"/>
            <w:hideMark/>
          </w:tcPr>
          <w:p w14:paraId="7C8E8172" w14:textId="77777777" w:rsidR="0078259C" w:rsidRPr="0078259C" w:rsidRDefault="0078259C" w:rsidP="0078259C">
            <w:pPr>
              <w:spacing w:after="0" w:line="240" w:lineRule="auto"/>
              <w:jc w:val="right"/>
              <w:rPr>
                <w:rFonts w:ascii="Calibri" w:eastAsia="Times New Roman" w:hAnsi="Calibri" w:cs="Calibri"/>
                <w:sz w:val="18"/>
                <w:szCs w:val="18"/>
                <w:lang w:eastAsia="hr-HR"/>
              </w:rPr>
            </w:pPr>
            <w:r w:rsidRPr="0078259C">
              <w:rPr>
                <w:rFonts w:ascii="Calibri" w:eastAsia="Times New Roman" w:hAnsi="Calibri" w:cs="Calibri"/>
                <w:sz w:val="18"/>
                <w:szCs w:val="18"/>
                <w:lang w:eastAsia="hr-HR"/>
              </w:rPr>
              <w:t>0</w:t>
            </w:r>
          </w:p>
        </w:tc>
        <w:tc>
          <w:tcPr>
            <w:tcW w:w="426" w:type="dxa"/>
            <w:tcBorders>
              <w:top w:val="nil"/>
              <w:left w:val="nil"/>
              <w:bottom w:val="single" w:sz="4" w:space="0" w:color="auto"/>
              <w:right w:val="single" w:sz="4" w:space="0" w:color="auto"/>
            </w:tcBorders>
            <w:shd w:val="clear" w:color="000000" w:fill="CCFFFF"/>
            <w:noWrap/>
            <w:vAlign w:val="center"/>
            <w:hideMark/>
          </w:tcPr>
          <w:p w14:paraId="0208E31C" w14:textId="77777777" w:rsidR="0078259C" w:rsidRPr="0078259C" w:rsidRDefault="0078259C" w:rsidP="0078259C">
            <w:pPr>
              <w:spacing w:after="0" w:line="240" w:lineRule="auto"/>
              <w:jc w:val="right"/>
              <w:rPr>
                <w:rFonts w:ascii="Calibri" w:eastAsia="Times New Roman" w:hAnsi="Calibri" w:cs="Calibri"/>
                <w:sz w:val="18"/>
                <w:szCs w:val="18"/>
                <w:lang w:eastAsia="hr-HR"/>
              </w:rPr>
            </w:pPr>
            <w:r w:rsidRPr="0078259C">
              <w:rPr>
                <w:rFonts w:ascii="Calibri" w:eastAsia="Times New Roman" w:hAnsi="Calibri" w:cs="Calibri"/>
                <w:sz w:val="18"/>
                <w:szCs w:val="18"/>
                <w:lang w:eastAsia="hr-HR"/>
              </w:rPr>
              <w:t>0</w:t>
            </w:r>
          </w:p>
        </w:tc>
        <w:tc>
          <w:tcPr>
            <w:tcW w:w="425" w:type="dxa"/>
            <w:tcBorders>
              <w:top w:val="nil"/>
              <w:left w:val="nil"/>
              <w:bottom w:val="single" w:sz="4" w:space="0" w:color="auto"/>
              <w:right w:val="single" w:sz="4" w:space="0" w:color="auto"/>
            </w:tcBorders>
            <w:shd w:val="clear" w:color="000000" w:fill="FFFF99"/>
            <w:noWrap/>
            <w:vAlign w:val="center"/>
            <w:hideMark/>
          </w:tcPr>
          <w:p w14:paraId="29FD63D8" w14:textId="77777777" w:rsidR="0078259C" w:rsidRPr="0078259C" w:rsidRDefault="0078259C" w:rsidP="0078259C">
            <w:pPr>
              <w:spacing w:after="0" w:line="240" w:lineRule="auto"/>
              <w:jc w:val="right"/>
              <w:rPr>
                <w:rFonts w:ascii="Calibri" w:eastAsia="Times New Roman" w:hAnsi="Calibri" w:cs="Calibri"/>
                <w:sz w:val="18"/>
                <w:szCs w:val="18"/>
                <w:lang w:eastAsia="hr-HR"/>
              </w:rPr>
            </w:pPr>
            <w:r w:rsidRPr="0078259C">
              <w:rPr>
                <w:rFonts w:ascii="Calibri" w:eastAsia="Times New Roman" w:hAnsi="Calibri" w:cs="Calibri"/>
                <w:sz w:val="18"/>
                <w:szCs w:val="18"/>
                <w:lang w:eastAsia="hr-HR"/>
              </w:rPr>
              <w:t>0</w:t>
            </w:r>
          </w:p>
        </w:tc>
        <w:tc>
          <w:tcPr>
            <w:tcW w:w="567" w:type="dxa"/>
            <w:tcBorders>
              <w:top w:val="nil"/>
              <w:left w:val="nil"/>
              <w:bottom w:val="single" w:sz="4" w:space="0" w:color="auto"/>
              <w:right w:val="single" w:sz="4" w:space="0" w:color="auto"/>
            </w:tcBorders>
            <w:shd w:val="clear" w:color="000000" w:fill="FFFF99"/>
            <w:noWrap/>
            <w:vAlign w:val="center"/>
            <w:hideMark/>
          </w:tcPr>
          <w:p w14:paraId="78EC118F" w14:textId="77777777" w:rsidR="0078259C" w:rsidRPr="0078259C" w:rsidRDefault="0078259C" w:rsidP="0078259C">
            <w:pPr>
              <w:spacing w:after="0" w:line="240" w:lineRule="auto"/>
              <w:jc w:val="right"/>
              <w:rPr>
                <w:rFonts w:ascii="Calibri" w:eastAsia="Times New Roman" w:hAnsi="Calibri" w:cs="Calibri"/>
                <w:sz w:val="18"/>
                <w:szCs w:val="18"/>
                <w:lang w:eastAsia="hr-HR"/>
              </w:rPr>
            </w:pPr>
            <w:r w:rsidRPr="0078259C">
              <w:rPr>
                <w:rFonts w:ascii="Calibri" w:eastAsia="Times New Roman" w:hAnsi="Calibri" w:cs="Calibri"/>
                <w:sz w:val="18"/>
                <w:szCs w:val="18"/>
                <w:lang w:eastAsia="hr-HR"/>
              </w:rPr>
              <w:t>0</w:t>
            </w:r>
          </w:p>
        </w:tc>
        <w:tc>
          <w:tcPr>
            <w:tcW w:w="567" w:type="dxa"/>
            <w:tcBorders>
              <w:top w:val="nil"/>
              <w:left w:val="nil"/>
              <w:bottom w:val="single" w:sz="4" w:space="0" w:color="auto"/>
              <w:right w:val="single" w:sz="4" w:space="0" w:color="auto"/>
            </w:tcBorders>
            <w:shd w:val="clear" w:color="000000" w:fill="FFFF99"/>
            <w:noWrap/>
            <w:vAlign w:val="center"/>
            <w:hideMark/>
          </w:tcPr>
          <w:p w14:paraId="136AA5B8" w14:textId="77777777" w:rsidR="0078259C" w:rsidRPr="0078259C" w:rsidRDefault="0078259C" w:rsidP="0078259C">
            <w:pPr>
              <w:spacing w:after="0" w:line="240" w:lineRule="auto"/>
              <w:jc w:val="right"/>
              <w:rPr>
                <w:rFonts w:ascii="Calibri" w:eastAsia="Times New Roman" w:hAnsi="Calibri" w:cs="Calibri"/>
                <w:sz w:val="18"/>
                <w:szCs w:val="18"/>
                <w:lang w:eastAsia="hr-HR"/>
              </w:rPr>
            </w:pPr>
            <w:r w:rsidRPr="0078259C">
              <w:rPr>
                <w:rFonts w:ascii="Calibri" w:eastAsia="Times New Roman" w:hAnsi="Calibri" w:cs="Calibri"/>
                <w:sz w:val="18"/>
                <w:szCs w:val="18"/>
                <w:lang w:eastAsia="hr-HR"/>
              </w:rPr>
              <w:t>0</w:t>
            </w:r>
          </w:p>
        </w:tc>
        <w:tc>
          <w:tcPr>
            <w:tcW w:w="437" w:type="dxa"/>
            <w:tcBorders>
              <w:top w:val="nil"/>
              <w:left w:val="nil"/>
              <w:bottom w:val="single" w:sz="4" w:space="0" w:color="auto"/>
              <w:right w:val="single" w:sz="4" w:space="0" w:color="auto"/>
            </w:tcBorders>
            <w:shd w:val="clear" w:color="000000" w:fill="FFFF99"/>
            <w:noWrap/>
            <w:vAlign w:val="center"/>
            <w:hideMark/>
          </w:tcPr>
          <w:p w14:paraId="7D64469A" w14:textId="77777777" w:rsidR="0078259C" w:rsidRPr="0078259C" w:rsidRDefault="0078259C" w:rsidP="0078259C">
            <w:pPr>
              <w:spacing w:after="0" w:line="240" w:lineRule="auto"/>
              <w:jc w:val="right"/>
              <w:rPr>
                <w:rFonts w:ascii="Calibri" w:eastAsia="Times New Roman" w:hAnsi="Calibri" w:cs="Calibri"/>
                <w:sz w:val="18"/>
                <w:szCs w:val="18"/>
                <w:lang w:eastAsia="hr-HR"/>
              </w:rPr>
            </w:pPr>
            <w:r w:rsidRPr="0078259C">
              <w:rPr>
                <w:rFonts w:ascii="Calibri" w:eastAsia="Times New Roman" w:hAnsi="Calibri" w:cs="Calibri"/>
                <w:sz w:val="18"/>
                <w:szCs w:val="18"/>
                <w:lang w:eastAsia="hr-HR"/>
              </w:rPr>
              <w:t>0</w:t>
            </w:r>
          </w:p>
        </w:tc>
        <w:tc>
          <w:tcPr>
            <w:tcW w:w="413" w:type="dxa"/>
            <w:tcBorders>
              <w:top w:val="nil"/>
              <w:left w:val="nil"/>
              <w:bottom w:val="single" w:sz="4" w:space="0" w:color="auto"/>
              <w:right w:val="single" w:sz="4" w:space="0" w:color="auto"/>
            </w:tcBorders>
            <w:shd w:val="clear" w:color="000000" w:fill="FFFF99"/>
            <w:noWrap/>
            <w:vAlign w:val="center"/>
            <w:hideMark/>
          </w:tcPr>
          <w:p w14:paraId="0AF57C15" w14:textId="77777777" w:rsidR="0078259C" w:rsidRPr="0078259C" w:rsidRDefault="0078259C" w:rsidP="0078259C">
            <w:pPr>
              <w:spacing w:after="0" w:line="240" w:lineRule="auto"/>
              <w:jc w:val="right"/>
              <w:rPr>
                <w:rFonts w:ascii="Calibri" w:eastAsia="Times New Roman" w:hAnsi="Calibri" w:cs="Calibri"/>
                <w:sz w:val="18"/>
                <w:szCs w:val="18"/>
                <w:lang w:eastAsia="hr-HR"/>
              </w:rPr>
            </w:pPr>
            <w:r w:rsidRPr="0078259C">
              <w:rPr>
                <w:rFonts w:ascii="Calibri" w:eastAsia="Times New Roman" w:hAnsi="Calibri" w:cs="Calibri"/>
                <w:sz w:val="18"/>
                <w:szCs w:val="18"/>
                <w:lang w:eastAsia="hr-HR"/>
              </w:rPr>
              <w:t>0</w:t>
            </w:r>
          </w:p>
        </w:tc>
        <w:tc>
          <w:tcPr>
            <w:tcW w:w="283" w:type="dxa"/>
            <w:gridSpan w:val="2"/>
            <w:tcBorders>
              <w:top w:val="nil"/>
              <w:left w:val="nil"/>
              <w:bottom w:val="single" w:sz="4" w:space="0" w:color="auto"/>
              <w:right w:val="single" w:sz="4" w:space="0" w:color="auto"/>
            </w:tcBorders>
            <w:shd w:val="clear" w:color="000000" w:fill="FF9900"/>
            <w:noWrap/>
            <w:vAlign w:val="center"/>
            <w:hideMark/>
          </w:tcPr>
          <w:p w14:paraId="06A5E81B" w14:textId="77777777" w:rsidR="0078259C" w:rsidRPr="0078259C" w:rsidRDefault="0078259C" w:rsidP="0078259C">
            <w:pPr>
              <w:spacing w:after="0" w:line="240" w:lineRule="auto"/>
              <w:jc w:val="right"/>
              <w:rPr>
                <w:rFonts w:ascii="Calibri" w:eastAsia="Times New Roman" w:hAnsi="Calibri" w:cs="Calibri"/>
                <w:sz w:val="18"/>
                <w:szCs w:val="18"/>
                <w:lang w:eastAsia="hr-HR"/>
              </w:rPr>
            </w:pPr>
            <w:r w:rsidRPr="0078259C">
              <w:rPr>
                <w:rFonts w:ascii="Calibri" w:eastAsia="Times New Roman" w:hAnsi="Calibri" w:cs="Calibri"/>
                <w:sz w:val="18"/>
                <w:szCs w:val="18"/>
                <w:lang w:eastAsia="hr-HR"/>
              </w:rPr>
              <w:t>0</w:t>
            </w:r>
          </w:p>
        </w:tc>
        <w:tc>
          <w:tcPr>
            <w:tcW w:w="568" w:type="dxa"/>
            <w:tcBorders>
              <w:top w:val="nil"/>
              <w:left w:val="nil"/>
              <w:bottom w:val="single" w:sz="4" w:space="0" w:color="auto"/>
              <w:right w:val="single" w:sz="4" w:space="0" w:color="auto"/>
            </w:tcBorders>
            <w:shd w:val="clear" w:color="000000" w:fill="FF9900"/>
            <w:noWrap/>
            <w:vAlign w:val="center"/>
            <w:hideMark/>
          </w:tcPr>
          <w:p w14:paraId="25C6094F" w14:textId="77777777" w:rsidR="0078259C" w:rsidRPr="0078259C" w:rsidRDefault="0078259C" w:rsidP="0078259C">
            <w:pPr>
              <w:spacing w:after="0" w:line="240" w:lineRule="auto"/>
              <w:jc w:val="right"/>
              <w:rPr>
                <w:rFonts w:ascii="Calibri" w:eastAsia="Times New Roman" w:hAnsi="Calibri" w:cs="Calibri"/>
                <w:sz w:val="18"/>
                <w:szCs w:val="18"/>
                <w:lang w:eastAsia="hr-HR"/>
              </w:rPr>
            </w:pPr>
            <w:r w:rsidRPr="0078259C">
              <w:rPr>
                <w:rFonts w:ascii="Calibri" w:eastAsia="Times New Roman" w:hAnsi="Calibri" w:cs="Calibri"/>
                <w:sz w:val="18"/>
                <w:szCs w:val="18"/>
                <w:lang w:eastAsia="hr-HR"/>
              </w:rPr>
              <w:t>0</w:t>
            </w:r>
          </w:p>
        </w:tc>
        <w:tc>
          <w:tcPr>
            <w:tcW w:w="425" w:type="dxa"/>
            <w:tcBorders>
              <w:top w:val="nil"/>
              <w:left w:val="nil"/>
              <w:bottom w:val="single" w:sz="4" w:space="0" w:color="auto"/>
              <w:right w:val="single" w:sz="4" w:space="0" w:color="auto"/>
            </w:tcBorders>
            <w:shd w:val="clear" w:color="000000" w:fill="FF9900"/>
            <w:noWrap/>
            <w:vAlign w:val="center"/>
            <w:hideMark/>
          </w:tcPr>
          <w:p w14:paraId="395FE9B3" w14:textId="77777777" w:rsidR="0078259C" w:rsidRPr="0078259C" w:rsidRDefault="0078259C" w:rsidP="0078259C">
            <w:pPr>
              <w:spacing w:after="0" w:line="240" w:lineRule="auto"/>
              <w:jc w:val="right"/>
              <w:rPr>
                <w:rFonts w:ascii="Calibri" w:eastAsia="Times New Roman" w:hAnsi="Calibri" w:cs="Calibri"/>
                <w:sz w:val="18"/>
                <w:szCs w:val="18"/>
                <w:lang w:eastAsia="hr-HR"/>
              </w:rPr>
            </w:pPr>
            <w:r w:rsidRPr="0078259C">
              <w:rPr>
                <w:rFonts w:ascii="Calibri" w:eastAsia="Times New Roman" w:hAnsi="Calibri" w:cs="Calibri"/>
                <w:sz w:val="18"/>
                <w:szCs w:val="18"/>
                <w:lang w:eastAsia="hr-HR"/>
              </w:rPr>
              <w:t>0</w:t>
            </w:r>
          </w:p>
        </w:tc>
        <w:tc>
          <w:tcPr>
            <w:tcW w:w="425" w:type="dxa"/>
            <w:gridSpan w:val="2"/>
            <w:tcBorders>
              <w:top w:val="nil"/>
              <w:left w:val="nil"/>
              <w:bottom w:val="single" w:sz="4" w:space="0" w:color="auto"/>
              <w:right w:val="single" w:sz="4" w:space="0" w:color="auto"/>
            </w:tcBorders>
            <w:shd w:val="clear" w:color="000000" w:fill="66FFCC"/>
            <w:noWrap/>
            <w:vAlign w:val="center"/>
            <w:hideMark/>
          </w:tcPr>
          <w:p w14:paraId="2F95553D" w14:textId="77777777" w:rsidR="0078259C" w:rsidRPr="0078259C" w:rsidRDefault="0078259C" w:rsidP="0078259C">
            <w:pPr>
              <w:spacing w:after="0" w:line="240" w:lineRule="auto"/>
              <w:jc w:val="right"/>
              <w:rPr>
                <w:rFonts w:ascii="Calibri" w:eastAsia="Times New Roman" w:hAnsi="Calibri" w:cs="Calibri"/>
                <w:sz w:val="18"/>
                <w:szCs w:val="18"/>
                <w:lang w:eastAsia="hr-HR"/>
              </w:rPr>
            </w:pPr>
            <w:r w:rsidRPr="0078259C">
              <w:rPr>
                <w:rFonts w:ascii="Calibri" w:eastAsia="Times New Roman" w:hAnsi="Calibri" w:cs="Calibri"/>
                <w:sz w:val="18"/>
                <w:szCs w:val="18"/>
                <w:lang w:eastAsia="hr-HR"/>
              </w:rPr>
              <w:t>0</w:t>
            </w:r>
          </w:p>
        </w:tc>
        <w:tc>
          <w:tcPr>
            <w:tcW w:w="437" w:type="dxa"/>
            <w:tcBorders>
              <w:top w:val="nil"/>
              <w:left w:val="nil"/>
              <w:bottom w:val="single" w:sz="4" w:space="0" w:color="auto"/>
              <w:right w:val="single" w:sz="4" w:space="0" w:color="auto"/>
            </w:tcBorders>
            <w:shd w:val="clear" w:color="000000" w:fill="66FFCC"/>
            <w:noWrap/>
            <w:vAlign w:val="center"/>
            <w:hideMark/>
          </w:tcPr>
          <w:p w14:paraId="0EF3DD81" w14:textId="77777777" w:rsidR="0078259C" w:rsidRPr="0078259C" w:rsidRDefault="0078259C" w:rsidP="0078259C">
            <w:pPr>
              <w:spacing w:after="0" w:line="240" w:lineRule="auto"/>
              <w:jc w:val="right"/>
              <w:rPr>
                <w:rFonts w:ascii="Calibri" w:eastAsia="Times New Roman" w:hAnsi="Calibri" w:cs="Calibri"/>
                <w:sz w:val="18"/>
                <w:szCs w:val="18"/>
                <w:lang w:eastAsia="hr-HR"/>
              </w:rPr>
            </w:pPr>
            <w:r w:rsidRPr="0078259C">
              <w:rPr>
                <w:rFonts w:ascii="Calibri" w:eastAsia="Times New Roman" w:hAnsi="Calibri" w:cs="Calibri"/>
                <w:sz w:val="18"/>
                <w:szCs w:val="18"/>
                <w:lang w:eastAsia="hr-HR"/>
              </w:rPr>
              <w:t>0</w:t>
            </w:r>
          </w:p>
        </w:tc>
        <w:tc>
          <w:tcPr>
            <w:tcW w:w="556" w:type="dxa"/>
            <w:tcBorders>
              <w:top w:val="nil"/>
              <w:left w:val="nil"/>
              <w:bottom w:val="single" w:sz="4" w:space="0" w:color="auto"/>
              <w:right w:val="single" w:sz="4" w:space="0" w:color="auto"/>
            </w:tcBorders>
            <w:shd w:val="clear" w:color="000000" w:fill="66FFCC"/>
            <w:noWrap/>
            <w:vAlign w:val="center"/>
            <w:hideMark/>
          </w:tcPr>
          <w:p w14:paraId="3C855742" w14:textId="77777777" w:rsidR="0078259C" w:rsidRPr="0078259C" w:rsidRDefault="0078259C" w:rsidP="0078259C">
            <w:pPr>
              <w:spacing w:after="0" w:line="240" w:lineRule="auto"/>
              <w:jc w:val="right"/>
              <w:rPr>
                <w:rFonts w:ascii="Calibri" w:eastAsia="Times New Roman" w:hAnsi="Calibri" w:cs="Calibri"/>
                <w:sz w:val="18"/>
                <w:szCs w:val="18"/>
                <w:lang w:eastAsia="hr-HR"/>
              </w:rPr>
            </w:pPr>
            <w:r w:rsidRPr="0078259C">
              <w:rPr>
                <w:rFonts w:ascii="Calibri" w:eastAsia="Times New Roman" w:hAnsi="Calibri" w:cs="Calibri"/>
                <w:sz w:val="18"/>
                <w:szCs w:val="18"/>
                <w:lang w:eastAsia="hr-HR"/>
              </w:rPr>
              <w:t>0</w:t>
            </w:r>
          </w:p>
        </w:tc>
        <w:tc>
          <w:tcPr>
            <w:tcW w:w="425" w:type="dxa"/>
            <w:tcBorders>
              <w:top w:val="nil"/>
              <w:left w:val="nil"/>
              <w:bottom w:val="single" w:sz="4" w:space="0" w:color="auto"/>
              <w:right w:val="single" w:sz="4" w:space="0" w:color="auto"/>
            </w:tcBorders>
            <w:shd w:val="clear" w:color="000000" w:fill="66FFCC"/>
            <w:noWrap/>
            <w:vAlign w:val="center"/>
            <w:hideMark/>
          </w:tcPr>
          <w:p w14:paraId="62715E0F" w14:textId="77777777" w:rsidR="0078259C" w:rsidRPr="0078259C" w:rsidRDefault="0078259C" w:rsidP="0078259C">
            <w:pPr>
              <w:spacing w:after="0" w:line="240" w:lineRule="auto"/>
              <w:jc w:val="right"/>
              <w:rPr>
                <w:rFonts w:ascii="Calibri" w:eastAsia="Times New Roman" w:hAnsi="Calibri" w:cs="Calibri"/>
                <w:sz w:val="18"/>
                <w:szCs w:val="18"/>
                <w:lang w:eastAsia="hr-HR"/>
              </w:rPr>
            </w:pPr>
            <w:r w:rsidRPr="0078259C">
              <w:rPr>
                <w:rFonts w:ascii="Calibri" w:eastAsia="Times New Roman" w:hAnsi="Calibri" w:cs="Calibri"/>
                <w:sz w:val="18"/>
                <w:szCs w:val="18"/>
                <w:lang w:eastAsia="hr-HR"/>
              </w:rPr>
              <w:t>0</w:t>
            </w:r>
          </w:p>
        </w:tc>
        <w:tc>
          <w:tcPr>
            <w:tcW w:w="567" w:type="dxa"/>
            <w:gridSpan w:val="2"/>
            <w:tcBorders>
              <w:top w:val="nil"/>
              <w:left w:val="nil"/>
              <w:bottom w:val="single" w:sz="4" w:space="0" w:color="auto"/>
              <w:right w:val="single" w:sz="4" w:space="0" w:color="auto"/>
            </w:tcBorders>
            <w:shd w:val="clear" w:color="000000" w:fill="FFFF00"/>
            <w:vAlign w:val="center"/>
            <w:hideMark/>
          </w:tcPr>
          <w:p w14:paraId="3232528C" w14:textId="77777777" w:rsidR="0078259C" w:rsidRPr="0078259C" w:rsidRDefault="0078259C" w:rsidP="0078259C">
            <w:pPr>
              <w:spacing w:after="0" w:line="240" w:lineRule="auto"/>
              <w:jc w:val="right"/>
              <w:rPr>
                <w:rFonts w:ascii="Calibri" w:eastAsia="Times New Roman" w:hAnsi="Calibri" w:cs="Calibri"/>
                <w:sz w:val="18"/>
                <w:szCs w:val="18"/>
                <w:lang w:eastAsia="hr-HR"/>
              </w:rPr>
            </w:pPr>
            <w:r w:rsidRPr="0078259C">
              <w:rPr>
                <w:rFonts w:ascii="Calibri" w:eastAsia="Times New Roman" w:hAnsi="Calibri" w:cs="Calibri"/>
                <w:sz w:val="18"/>
                <w:szCs w:val="18"/>
                <w:lang w:eastAsia="hr-HR"/>
              </w:rPr>
              <w:t>0</w:t>
            </w:r>
          </w:p>
        </w:tc>
        <w:tc>
          <w:tcPr>
            <w:tcW w:w="578" w:type="dxa"/>
            <w:gridSpan w:val="2"/>
            <w:tcBorders>
              <w:top w:val="nil"/>
              <w:left w:val="nil"/>
              <w:bottom w:val="single" w:sz="4" w:space="0" w:color="auto"/>
              <w:right w:val="single" w:sz="4" w:space="0" w:color="auto"/>
            </w:tcBorders>
            <w:shd w:val="clear" w:color="000000" w:fill="FFFF99"/>
            <w:vAlign w:val="center"/>
            <w:hideMark/>
          </w:tcPr>
          <w:p w14:paraId="4F958A51" w14:textId="77777777" w:rsidR="0078259C" w:rsidRPr="0078259C" w:rsidRDefault="0078259C" w:rsidP="0078259C">
            <w:pPr>
              <w:spacing w:after="0" w:line="240" w:lineRule="auto"/>
              <w:jc w:val="right"/>
              <w:rPr>
                <w:rFonts w:ascii="Calibri" w:eastAsia="Times New Roman" w:hAnsi="Calibri" w:cs="Calibri"/>
                <w:sz w:val="18"/>
                <w:szCs w:val="18"/>
                <w:lang w:eastAsia="hr-HR"/>
              </w:rPr>
            </w:pPr>
            <w:r w:rsidRPr="0078259C">
              <w:rPr>
                <w:rFonts w:ascii="Calibri" w:eastAsia="Times New Roman" w:hAnsi="Calibri" w:cs="Calibri"/>
                <w:sz w:val="18"/>
                <w:szCs w:val="18"/>
                <w:lang w:eastAsia="hr-HR"/>
              </w:rPr>
              <w:t>0</w:t>
            </w:r>
          </w:p>
        </w:tc>
        <w:tc>
          <w:tcPr>
            <w:tcW w:w="839" w:type="dxa"/>
            <w:gridSpan w:val="2"/>
            <w:tcBorders>
              <w:top w:val="nil"/>
              <w:left w:val="nil"/>
              <w:bottom w:val="single" w:sz="4" w:space="0" w:color="auto"/>
              <w:right w:val="single" w:sz="4" w:space="0" w:color="auto"/>
            </w:tcBorders>
            <w:shd w:val="clear" w:color="000000" w:fill="FF9900"/>
            <w:vAlign w:val="center"/>
            <w:hideMark/>
          </w:tcPr>
          <w:p w14:paraId="36E82DE0" w14:textId="77777777" w:rsidR="0078259C" w:rsidRPr="0078259C" w:rsidRDefault="0078259C" w:rsidP="0078259C">
            <w:pPr>
              <w:spacing w:after="0" w:line="240" w:lineRule="auto"/>
              <w:jc w:val="right"/>
              <w:rPr>
                <w:rFonts w:ascii="Calibri" w:eastAsia="Times New Roman" w:hAnsi="Calibri" w:cs="Calibri"/>
                <w:sz w:val="18"/>
                <w:szCs w:val="18"/>
                <w:lang w:eastAsia="hr-HR"/>
              </w:rPr>
            </w:pPr>
            <w:r w:rsidRPr="0078259C">
              <w:rPr>
                <w:rFonts w:ascii="Calibri" w:eastAsia="Times New Roman" w:hAnsi="Calibri" w:cs="Calibri"/>
                <w:sz w:val="18"/>
                <w:szCs w:val="18"/>
                <w:lang w:eastAsia="hr-HR"/>
              </w:rPr>
              <w:t>0</w:t>
            </w:r>
          </w:p>
        </w:tc>
        <w:tc>
          <w:tcPr>
            <w:tcW w:w="426" w:type="dxa"/>
            <w:gridSpan w:val="2"/>
            <w:tcBorders>
              <w:top w:val="nil"/>
              <w:left w:val="nil"/>
              <w:bottom w:val="single" w:sz="4" w:space="0" w:color="auto"/>
              <w:right w:val="single" w:sz="4" w:space="0" w:color="auto"/>
            </w:tcBorders>
            <w:shd w:val="clear" w:color="000000" w:fill="CCFFFF"/>
            <w:vAlign w:val="center"/>
            <w:hideMark/>
          </w:tcPr>
          <w:p w14:paraId="0434CC29" w14:textId="77777777" w:rsidR="0078259C" w:rsidRPr="0078259C" w:rsidRDefault="0078259C" w:rsidP="0078259C">
            <w:pPr>
              <w:spacing w:after="0" w:line="240" w:lineRule="auto"/>
              <w:jc w:val="right"/>
              <w:rPr>
                <w:rFonts w:ascii="Calibri" w:eastAsia="Times New Roman" w:hAnsi="Calibri" w:cs="Calibri"/>
                <w:sz w:val="18"/>
                <w:szCs w:val="18"/>
                <w:lang w:eastAsia="hr-HR"/>
              </w:rPr>
            </w:pPr>
            <w:r w:rsidRPr="0078259C">
              <w:rPr>
                <w:rFonts w:ascii="Calibri" w:eastAsia="Times New Roman" w:hAnsi="Calibri" w:cs="Calibri"/>
                <w:sz w:val="18"/>
                <w:szCs w:val="18"/>
                <w:lang w:eastAsia="hr-HR"/>
              </w:rPr>
              <w:t>0</w:t>
            </w:r>
          </w:p>
        </w:tc>
        <w:tc>
          <w:tcPr>
            <w:tcW w:w="446" w:type="dxa"/>
            <w:tcBorders>
              <w:top w:val="nil"/>
              <w:left w:val="nil"/>
              <w:bottom w:val="single" w:sz="4" w:space="0" w:color="auto"/>
              <w:right w:val="single" w:sz="4" w:space="0" w:color="auto"/>
            </w:tcBorders>
            <w:shd w:val="clear" w:color="000000" w:fill="CCFFFF"/>
            <w:vAlign w:val="center"/>
            <w:hideMark/>
          </w:tcPr>
          <w:p w14:paraId="7888F5F1" w14:textId="77777777" w:rsidR="0078259C" w:rsidRPr="0078259C" w:rsidRDefault="0078259C" w:rsidP="0078259C">
            <w:pPr>
              <w:spacing w:after="0" w:line="240" w:lineRule="auto"/>
              <w:jc w:val="right"/>
              <w:rPr>
                <w:rFonts w:ascii="Calibri" w:eastAsia="Times New Roman" w:hAnsi="Calibri" w:cs="Calibri"/>
                <w:sz w:val="18"/>
                <w:szCs w:val="18"/>
                <w:lang w:eastAsia="hr-HR"/>
              </w:rPr>
            </w:pPr>
            <w:r w:rsidRPr="0078259C">
              <w:rPr>
                <w:rFonts w:ascii="Calibri" w:eastAsia="Times New Roman" w:hAnsi="Calibri" w:cs="Calibri"/>
                <w:sz w:val="18"/>
                <w:szCs w:val="18"/>
                <w:lang w:eastAsia="hr-HR"/>
              </w:rPr>
              <w:t>0</w:t>
            </w:r>
          </w:p>
        </w:tc>
        <w:tc>
          <w:tcPr>
            <w:tcW w:w="404" w:type="dxa"/>
            <w:tcBorders>
              <w:top w:val="nil"/>
              <w:left w:val="nil"/>
              <w:bottom w:val="single" w:sz="4" w:space="0" w:color="auto"/>
              <w:right w:val="single" w:sz="4" w:space="0" w:color="auto"/>
            </w:tcBorders>
            <w:shd w:val="clear" w:color="000000" w:fill="CCFFFF"/>
            <w:noWrap/>
            <w:vAlign w:val="center"/>
            <w:hideMark/>
          </w:tcPr>
          <w:p w14:paraId="39500F78" w14:textId="77777777" w:rsidR="0078259C" w:rsidRPr="0078259C" w:rsidRDefault="0078259C" w:rsidP="0078259C">
            <w:pPr>
              <w:spacing w:after="0" w:line="240" w:lineRule="auto"/>
              <w:jc w:val="right"/>
              <w:rPr>
                <w:rFonts w:ascii="Calibri" w:eastAsia="Times New Roman" w:hAnsi="Calibri" w:cs="Calibri"/>
                <w:sz w:val="18"/>
                <w:szCs w:val="18"/>
                <w:lang w:eastAsia="hr-HR"/>
              </w:rPr>
            </w:pPr>
            <w:r w:rsidRPr="0078259C">
              <w:rPr>
                <w:rFonts w:ascii="Calibri" w:eastAsia="Times New Roman" w:hAnsi="Calibri" w:cs="Calibri"/>
                <w:sz w:val="18"/>
                <w:szCs w:val="18"/>
                <w:lang w:eastAsia="hr-HR"/>
              </w:rPr>
              <w:t>0</w:t>
            </w:r>
          </w:p>
        </w:tc>
        <w:tc>
          <w:tcPr>
            <w:tcW w:w="839" w:type="dxa"/>
            <w:gridSpan w:val="2"/>
            <w:tcBorders>
              <w:top w:val="nil"/>
              <w:left w:val="nil"/>
              <w:bottom w:val="single" w:sz="4" w:space="0" w:color="auto"/>
              <w:right w:val="single" w:sz="4" w:space="0" w:color="auto"/>
            </w:tcBorders>
            <w:shd w:val="clear" w:color="000000" w:fill="33CCCC"/>
            <w:noWrap/>
            <w:vAlign w:val="center"/>
            <w:hideMark/>
          </w:tcPr>
          <w:p w14:paraId="4F6E3E3E" w14:textId="77777777" w:rsidR="0078259C" w:rsidRPr="0078259C" w:rsidRDefault="0078259C" w:rsidP="0078259C">
            <w:pPr>
              <w:spacing w:after="0" w:line="240" w:lineRule="auto"/>
              <w:jc w:val="right"/>
              <w:rPr>
                <w:rFonts w:ascii="Calibri" w:eastAsia="Times New Roman" w:hAnsi="Calibri" w:cs="Calibri"/>
                <w:sz w:val="18"/>
                <w:szCs w:val="18"/>
                <w:lang w:eastAsia="hr-HR"/>
              </w:rPr>
            </w:pPr>
            <w:r w:rsidRPr="0078259C">
              <w:rPr>
                <w:rFonts w:ascii="Calibri" w:eastAsia="Times New Roman" w:hAnsi="Calibri" w:cs="Calibri"/>
                <w:sz w:val="18"/>
                <w:szCs w:val="18"/>
                <w:lang w:eastAsia="hr-HR"/>
              </w:rPr>
              <w:t>0</w:t>
            </w:r>
          </w:p>
        </w:tc>
        <w:tc>
          <w:tcPr>
            <w:tcW w:w="839" w:type="dxa"/>
            <w:tcBorders>
              <w:top w:val="nil"/>
              <w:left w:val="nil"/>
              <w:bottom w:val="single" w:sz="4" w:space="0" w:color="auto"/>
              <w:right w:val="nil"/>
            </w:tcBorders>
            <w:shd w:val="clear" w:color="000000" w:fill="33CCCC"/>
            <w:noWrap/>
            <w:vAlign w:val="center"/>
            <w:hideMark/>
          </w:tcPr>
          <w:p w14:paraId="5356AD95" w14:textId="77777777" w:rsidR="0078259C" w:rsidRPr="0078259C" w:rsidRDefault="0078259C" w:rsidP="0078259C">
            <w:pPr>
              <w:spacing w:after="0" w:line="240" w:lineRule="auto"/>
              <w:jc w:val="right"/>
              <w:rPr>
                <w:rFonts w:ascii="Calibri" w:eastAsia="Times New Roman" w:hAnsi="Calibri" w:cs="Calibri"/>
                <w:sz w:val="18"/>
                <w:szCs w:val="18"/>
                <w:lang w:eastAsia="hr-HR"/>
              </w:rPr>
            </w:pPr>
            <w:r w:rsidRPr="0078259C">
              <w:rPr>
                <w:rFonts w:ascii="Calibri" w:eastAsia="Times New Roman" w:hAnsi="Calibri" w:cs="Calibri"/>
                <w:sz w:val="18"/>
                <w:szCs w:val="18"/>
                <w:lang w:eastAsia="hr-HR"/>
              </w:rPr>
              <w:t>0</w:t>
            </w:r>
          </w:p>
        </w:tc>
        <w:tc>
          <w:tcPr>
            <w:tcW w:w="236" w:type="dxa"/>
            <w:gridSpan w:val="2"/>
            <w:vAlign w:val="center"/>
            <w:hideMark/>
          </w:tcPr>
          <w:p w14:paraId="3F4E1DE5" w14:textId="77777777" w:rsidR="0078259C" w:rsidRPr="0078259C" w:rsidRDefault="0078259C" w:rsidP="0078259C">
            <w:pPr>
              <w:spacing w:after="0" w:line="240" w:lineRule="auto"/>
              <w:rPr>
                <w:rFonts w:ascii="Times New Roman" w:eastAsia="Times New Roman" w:hAnsi="Times New Roman" w:cs="Times New Roman"/>
                <w:sz w:val="18"/>
                <w:szCs w:val="18"/>
                <w:lang w:eastAsia="hr-HR"/>
              </w:rPr>
            </w:pPr>
          </w:p>
        </w:tc>
      </w:tr>
      <w:tr w:rsidR="0078259C" w:rsidRPr="0078259C" w14:paraId="2590326D" w14:textId="77777777" w:rsidTr="0078259C">
        <w:trPr>
          <w:gridAfter w:val="2"/>
          <w:wAfter w:w="44" w:type="dxa"/>
          <w:trHeight w:val="405"/>
        </w:trPr>
        <w:tc>
          <w:tcPr>
            <w:tcW w:w="1394" w:type="dxa"/>
            <w:tcBorders>
              <w:top w:val="single" w:sz="4" w:space="0" w:color="auto"/>
              <w:left w:val="single" w:sz="8" w:space="0" w:color="auto"/>
              <w:bottom w:val="single" w:sz="4" w:space="0" w:color="auto"/>
              <w:right w:val="single" w:sz="4" w:space="0" w:color="auto"/>
            </w:tcBorders>
            <w:shd w:val="clear" w:color="000000" w:fill="CCFFCC"/>
            <w:vAlign w:val="center"/>
            <w:hideMark/>
          </w:tcPr>
          <w:p w14:paraId="006FB024" w14:textId="77777777" w:rsidR="0078259C" w:rsidRPr="0078259C" w:rsidRDefault="0078259C" w:rsidP="0078259C">
            <w:pPr>
              <w:spacing w:after="0" w:line="240" w:lineRule="auto"/>
              <w:jc w:val="center"/>
              <w:rPr>
                <w:rFonts w:ascii="Calibri" w:eastAsia="Times New Roman" w:hAnsi="Calibri" w:cs="Calibri"/>
                <w:sz w:val="18"/>
                <w:szCs w:val="18"/>
                <w:lang w:eastAsia="hr-HR"/>
              </w:rPr>
            </w:pPr>
            <w:r w:rsidRPr="0078259C">
              <w:rPr>
                <w:rFonts w:ascii="Calibri" w:eastAsia="Times New Roman" w:hAnsi="Calibri" w:cs="Calibri"/>
                <w:sz w:val="18"/>
                <w:szCs w:val="18"/>
                <w:lang w:eastAsia="hr-HR"/>
              </w:rPr>
              <w:t>Zdravstveno stanje</w:t>
            </w:r>
          </w:p>
        </w:tc>
        <w:tc>
          <w:tcPr>
            <w:tcW w:w="575" w:type="dxa"/>
            <w:tcBorders>
              <w:top w:val="nil"/>
              <w:left w:val="nil"/>
              <w:bottom w:val="single" w:sz="4" w:space="0" w:color="auto"/>
              <w:right w:val="single" w:sz="4" w:space="0" w:color="auto"/>
            </w:tcBorders>
            <w:shd w:val="clear" w:color="000000" w:fill="CCFFCC"/>
            <w:vAlign w:val="center"/>
            <w:hideMark/>
          </w:tcPr>
          <w:p w14:paraId="57C4FC7D" w14:textId="77777777" w:rsidR="0078259C" w:rsidRPr="0078259C" w:rsidRDefault="0078259C" w:rsidP="0078259C">
            <w:pPr>
              <w:spacing w:after="0" w:line="240" w:lineRule="auto"/>
              <w:jc w:val="right"/>
              <w:rPr>
                <w:rFonts w:ascii="Calibri" w:eastAsia="Times New Roman" w:hAnsi="Calibri" w:cs="Calibri"/>
                <w:sz w:val="18"/>
                <w:szCs w:val="18"/>
                <w:lang w:eastAsia="hr-HR"/>
              </w:rPr>
            </w:pPr>
            <w:r w:rsidRPr="0078259C">
              <w:rPr>
                <w:rFonts w:ascii="Calibri" w:eastAsia="Times New Roman" w:hAnsi="Calibri" w:cs="Calibri"/>
                <w:sz w:val="18"/>
                <w:szCs w:val="18"/>
                <w:lang w:eastAsia="hr-HR"/>
              </w:rPr>
              <w:t>1</w:t>
            </w:r>
          </w:p>
        </w:tc>
        <w:tc>
          <w:tcPr>
            <w:tcW w:w="488" w:type="dxa"/>
            <w:tcBorders>
              <w:top w:val="nil"/>
              <w:left w:val="nil"/>
              <w:bottom w:val="single" w:sz="4" w:space="0" w:color="auto"/>
              <w:right w:val="single" w:sz="4" w:space="0" w:color="auto"/>
            </w:tcBorders>
            <w:shd w:val="clear" w:color="000000" w:fill="FFCC99"/>
            <w:noWrap/>
            <w:vAlign w:val="center"/>
            <w:hideMark/>
          </w:tcPr>
          <w:p w14:paraId="3B173615" w14:textId="77777777" w:rsidR="0078259C" w:rsidRPr="0078259C" w:rsidRDefault="0078259C" w:rsidP="0078259C">
            <w:pPr>
              <w:spacing w:after="0" w:line="240" w:lineRule="auto"/>
              <w:jc w:val="right"/>
              <w:rPr>
                <w:rFonts w:ascii="Calibri" w:eastAsia="Times New Roman" w:hAnsi="Calibri" w:cs="Calibri"/>
                <w:sz w:val="18"/>
                <w:szCs w:val="18"/>
                <w:lang w:eastAsia="hr-HR"/>
              </w:rPr>
            </w:pPr>
            <w:r w:rsidRPr="0078259C">
              <w:rPr>
                <w:rFonts w:ascii="Calibri" w:eastAsia="Times New Roman" w:hAnsi="Calibri" w:cs="Calibri"/>
                <w:sz w:val="18"/>
                <w:szCs w:val="18"/>
                <w:lang w:eastAsia="hr-HR"/>
              </w:rPr>
              <w:t>0</w:t>
            </w:r>
          </w:p>
        </w:tc>
        <w:tc>
          <w:tcPr>
            <w:tcW w:w="500" w:type="dxa"/>
            <w:tcBorders>
              <w:top w:val="nil"/>
              <w:left w:val="nil"/>
              <w:bottom w:val="single" w:sz="4" w:space="0" w:color="auto"/>
              <w:right w:val="single" w:sz="4" w:space="0" w:color="auto"/>
            </w:tcBorders>
            <w:shd w:val="clear" w:color="000000" w:fill="FFCC99"/>
            <w:noWrap/>
            <w:vAlign w:val="center"/>
            <w:hideMark/>
          </w:tcPr>
          <w:p w14:paraId="04828D70" w14:textId="77777777" w:rsidR="0078259C" w:rsidRPr="0078259C" w:rsidRDefault="0078259C" w:rsidP="0078259C">
            <w:pPr>
              <w:spacing w:after="0" w:line="240" w:lineRule="auto"/>
              <w:jc w:val="right"/>
              <w:rPr>
                <w:rFonts w:ascii="Calibri" w:eastAsia="Times New Roman" w:hAnsi="Calibri" w:cs="Calibri"/>
                <w:sz w:val="18"/>
                <w:szCs w:val="18"/>
                <w:lang w:eastAsia="hr-HR"/>
              </w:rPr>
            </w:pPr>
            <w:r w:rsidRPr="0078259C">
              <w:rPr>
                <w:rFonts w:ascii="Calibri" w:eastAsia="Times New Roman" w:hAnsi="Calibri" w:cs="Calibri"/>
                <w:sz w:val="18"/>
                <w:szCs w:val="18"/>
                <w:lang w:eastAsia="hr-HR"/>
              </w:rPr>
              <w:t>1</w:t>
            </w:r>
          </w:p>
        </w:tc>
        <w:tc>
          <w:tcPr>
            <w:tcW w:w="435" w:type="dxa"/>
            <w:tcBorders>
              <w:top w:val="nil"/>
              <w:left w:val="nil"/>
              <w:bottom w:val="single" w:sz="4" w:space="0" w:color="auto"/>
              <w:right w:val="single" w:sz="4" w:space="0" w:color="auto"/>
            </w:tcBorders>
            <w:shd w:val="clear" w:color="000000" w:fill="CCFFFF"/>
            <w:vAlign w:val="center"/>
            <w:hideMark/>
          </w:tcPr>
          <w:p w14:paraId="1F78B1F2" w14:textId="77777777" w:rsidR="0078259C" w:rsidRPr="0078259C" w:rsidRDefault="0078259C" w:rsidP="0078259C">
            <w:pPr>
              <w:spacing w:after="0" w:line="240" w:lineRule="auto"/>
              <w:jc w:val="right"/>
              <w:rPr>
                <w:rFonts w:ascii="Calibri" w:eastAsia="Times New Roman" w:hAnsi="Calibri" w:cs="Calibri"/>
                <w:sz w:val="18"/>
                <w:szCs w:val="18"/>
                <w:lang w:eastAsia="hr-HR"/>
              </w:rPr>
            </w:pPr>
            <w:r w:rsidRPr="0078259C">
              <w:rPr>
                <w:rFonts w:ascii="Calibri" w:eastAsia="Times New Roman" w:hAnsi="Calibri" w:cs="Calibri"/>
                <w:sz w:val="18"/>
                <w:szCs w:val="18"/>
                <w:lang w:eastAsia="hr-HR"/>
              </w:rPr>
              <w:t>0</w:t>
            </w:r>
          </w:p>
        </w:tc>
        <w:tc>
          <w:tcPr>
            <w:tcW w:w="426" w:type="dxa"/>
            <w:tcBorders>
              <w:top w:val="nil"/>
              <w:left w:val="nil"/>
              <w:bottom w:val="single" w:sz="4" w:space="0" w:color="auto"/>
              <w:right w:val="single" w:sz="4" w:space="0" w:color="auto"/>
            </w:tcBorders>
            <w:shd w:val="clear" w:color="000000" w:fill="CCFFFF"/>
            <w:noWrap/>
            <w:vAlign w:val="center"/>
            <w:hideMark/>
          </w:tcPr>
          <w:p w14:paraId="744F437D" w14:textId="77777777" w:rsidR="0078259C" w:rsidRPr="0078259C" w:rsidRDefault="0078259C" w:rsidP="0078259C">
            <w:pPr>
              <w:spacing w:after="0" w:line="240" w:lineRule="auto"/>
              <w:jc w:val="right"/>
              <w:rPr>
                <w:rFonts w:ascii="Calibri" w:eastAsia="Times New Roman" w:hAnsi="Calibri" w:cs="Calibri"/>
                <w:sz w:val="18"/>
                <w:szCs w:val="18"/>
                <w:lang w:eastAsia="hr-HR"/>
              </w:rPr>
            </w:pPr>
            <w:r w:rsidRPr="0078259C">
              <w:rPr>
                <w:rFonts w:ascii="Calibri" w:eastAsia="Times New Roman" w:hAnsi="Calibri" w:cs="Calibri"/>
                <w:sz w:val="18"/>
                <w:szCs w:val="18"/>
                <w:lang w:eastAsia="hr-HR"/>
              </w:rPr>
              <w:t>0</w:t>
            </w:r>
          </w:p>
        </w:tc>
        <w:tc>
          <w:tcPr>
            <w:tcW w:w="425" w:type="dxa"/>
            <w:tcBorders>
              <w:top w:val="nil"/>
              <w:left w:val="nil"/>
              <w:bottom w:val="single" w:sz="4" w:space="0" w:color="auto"/>
              <w:right w:val="single" w:sz="4" w:space="0" w:color="auto"/>
            </w:tcBorders>
            <w:shd w:val="clear" w:color="000000" w:fill="FFFF99"/>
            <w:noWrap/>
            <w:vAlign w:val="center"/>
            <w:hideMark/>
          </w:tcPr>
          <w:p w14:paraId="1FDD038E" w14:textId="77777777" w:rsidR="0078259C" w:rsidRPr="0078259C" w:rsidRDefault="0078259C" w:rsidP="0078259C">
            <w:pPr>
              <w:spacing w:after="0" w:line="240" w:lineRule="auto"/>
              <w:jc w:val="right"/>
              <w:rPr>
                <w:rFonts w:ascii="Calibri" w:eastAsia="Times New Roman" w:hAnsi="Calibri" w:cs="Calibri"/>
                <w:sz w:val="18"/>
                <w:szCs w:val="18"/>
                <w:lang w:eastAsia="hr-HR"/>
              </w:rPr>
            </w:pPr>
            <w:r w:rsidRPr="0078259C">
              <w:rPr>
                <w:rFonts w:ascii="Calibri" w:eastAsia="Times New Roman" w:hAnsi="Calibri" w:cs="Calibri"/>
                <w:sz w:val="18"/>
                <w:szCs w:val="18"/>
                <w:lang w:eastAsia="hr-HR"/>
              </w:rPr>
              <w:t>1</w:t>
            </w:r>
          </w:p>
        </w:tc>
        <w:tc>
          <w:tcPr>
            <w:tcW w:w="567" w:type="dxa"/>
            <w:tcBorders>
              <w:top w:val="nil"/>
              <w:left w:val="nil"/>
              <w:bottom w:val="single" w:sz="4" w:space="0" w:color="auto"/>
              <w:right w:val="single" w:sz="4" w:space="0" w:color="auto"/>
            </w:tcBorders>
            <w:shd w:val="clear" w:color="000000" w:fill="FFFF99"/>
            <w:noWrap/>
            <w:vAlign w:val="center"/>
            <w:hideMark/>
          </w:tcPr>
          <w:p w14:paraId="7CDE1CD9" w14:textId="77777777" w:rsidR="0078259C" w:rsidRPr="0078259C" w:rsidRDefault="0078259C" w:rsidP="0078259C">
            <w:pPr>
              <w:spacing w:after="0" w:line="240" w:lineRule="auto"/>
              <w:jc w:val="right"/>
              <w:rPr>
                <w:rFonts w:ascii="Calibri" w:eastAsia="Times New Roman" w:hAnsi="Calibri" w:cs="Calibri"/>
                <w:sz w:val="18"/>
                <w:szCs w:val="18"/>
                <w:lang w:eastAsia="hr-HR"/>
              </w:rPr>
            </w:pPr>
            <w:r w:rsidRPr="0078259C">
              <w:rPr>
                <w:rFonts w:ascii="Calibri" w:eastAsia="Times New Roman" w:hAnsi="Calibri" w:cs="Calibri"/>
                <w:sz w:val="18"/>
                <w:szCs w:val="18"/>
                <w:lang w:eastAsia="hr-HR"/>
              </w:rPr>
              <w:t>0</w:t>
            </w:r>
          </w:p>
        </w:tc>
        <w:tc>
          <w:tcPr>
            <w:tcW w:w="567" w:type="dxa"/>
            <w:tcBorders>
              <w:top w:val="nil"/>
              <w:left w:val="nil"/>
              <w:bottom w:val="single" w:sz="4" w:space="0" w:color="auto"/>
              <w:right w:val="single" w:sz="4" w:space="0" w:color="auto"/>
            </w:tcBorders>
            <w:shd w:val="clear" w:color="000000" w:fill="FFFF99"/>
            <w:noWrap/>
            <w:vAlign w:val="center"/>
            <w:hideMark/>
          </w:tcPr>
          <w:p w14:paraId="7005AEDC" w14:textId="77777777" w:rsidR="0078259C" w:rsidRPr="0078259C" w:rsidRDefault="0078259C" w:rsidP="0078259C">
            <w:pPr>
              <w:spacing w:after="0" w:line="240" w:lineRule="auto"/>
              <w:jc w:val="right"/>
              <w:rPr>
                <w:rFonts w:ascii="Calibri" w:eastAsia="Times New Roman" w:hAnsi="Calibri" w:cs="Calibri"/>
                <w:sz w:val="18"/>
                <w:szCs w:val="18"/>
                <w:lang w:eastAsia="hr-HR"/>
              </w:rPr>
            </w:pPr>
            <w:r w:rsidRPr="0078259C">
              <w:rPr>
                <w:rFonts w:ascii="Calibri" w:eastAsia="Times New Roman" w:hAnsi="Calibri" w:cs="Calibri"/>
                <w:sz w:val="18"/>
                <w:szCs w:val="18"/>
                <w:lang w:eastAsia="hr-HR"/>
              </w:rPr>
              <w:t>0</w:t>
            </w:r>
          </w:p>
        </w:tc>
        <w:tc>
          <w:tcPr>
            <w:tcW w:w="437" w:type="dxa"/>
            <w:tcBorders>
              <w:top w:val="nil"/>
              <w:left w:val="nil"/>
              <w:bottom w:val="single" w:sz="4" w:space="0" w:color="auto"/>
              <w:right w:val="single" w:sz="4" w:space="0" w:color="auto"/>
            </w:tcBorders>
            <w:shd w:val="clear" w:color="000000" w:fill="FFFF99"/>
            <w:noWrap/>
            <w:vAlign w:val="center"/>
            <w:hideMark/>
          </w:tcPr>
          <w:p w14:paraId="25121BD8" w14:textId="77777777" w:rsidR="0078259C" w:rsidRPr="0078259C" w:rsidRDefault="0078259C" w:rsidP="0078259C">
            <w:pPr>
              <w:spacing w:after="0" w:line="240" w:lineRule="auto"/>
              <w:jc w:val="right"/>
              <w:rPr>
                <w:rFonts w:ascii="Calibri" w:eastAsia="Times New Roman" w:hAnsi="Calibri" w:cs="Calibri"/>
                <w:sz w:val="18"/>
                <w:szCs w:val="18"/>
                <w:lang w:eastAsia="hr-HR"/>
              </w:rPr>
            </w:pPr>
            <w:r w:rsidRPr="0078259C">
              <w:rPr>
                <w:rFonts w:ascii="Calibri" w:eastAsia="Times New Roman" w:hAnsi="Calibri" w:cs="Calibri"/>
                <w:sz w:val="18"/>
                <w:szCs w:val="18"/>
                <w:lang w:eastAsia="hr-HR"/>
              </w:rPr>
              <w:t>0</w:t>
            </w:r>
          </w:p>
        </w:tc>
        <w:tc>
          <w:tcPr>
            <w:tcW w:w="413" w:type="dxa"/>
            <w:tcBorders>
              <w:top w:val="nil"/>
              <w:left w:val="nil"/>
              <w:bottom w:val="single" w:sz="4" w:space="0" w:color="auto"/>
              <w:right w:val="single" w:sz="4" w:space="0" w:color="auto"/>
            </w:tcBorders>
            <w:shd w:val="clear" w:color="000000" w:fill="FFFF99"/>
            <w:noWrap/>
            <w:vAlign w:val="center"/>
            <w:hideMark/>
          </w:tcPr>
          <w:p w14:paraId="42C2F2ED" w14:textId="77777777" w:rsidR="0078259C" w:rsidRPr="0078259C" w:rsidRDefault="0078259C" w:rsidP="0078259C">
            <w:pPr>
              <w:spacing w:after="0" w:line="240" w:lineRule="auto"/>
              <w:jc w:val="right"/>
              <w:rPr>
                <w:rFonts w:ascii="Calibri" w:eastAsia="Times New Roman" w:hAnsi="Calibri" w:cs="Calibri"/>
                <w:sz w:val="18"/>
                <w:szCs w:val="18"/>
                <w:lang w:eastAsia="hr-HR"/>
              </w:rPr>
            </w:pPr>
            <w:r w:rsidRPr="0078259C">
              <w:rPr>
                <w:rFonts w:ascii="Calibri" w:eastAsia="Times New Roman" w:hAnsi="Calibri" w:cs="Calibri"/>
                <w:sz w:val="18"/>
                <w:szCs w:val="18"/>
                <w:lang w:eastAsia="hr-HR"/>
              </w:rPr>
              <w:t>0</w:t>
            </w:r>
          </w:p>
        </w:tc>
        <w:tc>
          <w:tcPr>
            <w:tcW w:w="283" w:type="dxa"/>
            <w:gridSpan w:val="2"/>
            <w:tcBorders>
              <w:top w:val="nil"/>
              <w:left w:val="nil"/>
              <w:bottom w:val="single" w:sz="4" w:space="0" w:color="auto"/>
              <w:right w:val="single" w:sz="4" w:space="0" w:color="auto"/>
            </w:tcBorders>
            <w:shd w:val="clear" w:color="000000" w:fill="FF9900"/>
            <w:noWrap/>
            <w:vAlign w:val="center"/>
            <w:hideMark/>
          </w:tcPr>
          <w:p w14:paraId="4BEE568C" w14:textId="77777777" w:rsidR="0078259C" w:rsidRPr="0078259C" w:rsidRDefault="0078259C" w:rsidP="0078259C">
            <w:pPr>
              <w:spacing w:after="0" w:line="240" w:lineRule="auto"/>
              <w:jc w:val="right"/>
              <w:rPr>
                <w:rFonts w:ascii="Calibri" w:eastAsia="Times New Roman" w:hAnsi="Calibri" w:cs="Calibri"/>
                <w:sz w:val="18"/>
                <w:szCs w:val="18"/>
                <w:lang w:eastAsia="hr-HR"/>
              </w:rPr>
            </w:pPr>
            <w:r w:rsidRPr="0078259C">
              <w:rPr>
                <w:rFonts w:ascii="Calibri" w:eastAsia="Times New Roman" w:hAnsi="Calibri" w:cs="Calibri"/>
                <w:sz w:val="18"/>
                <w:szCs w:val="18"/>
                <w:lang w:eastAsia="hr-HR"/>
              </w:rPr>
              <w:t>0</w:t>
            </w:r>
          </w:p>
        </w:tc>
        <w:tc>
          <w:tcPr>
            <w:tcW w:w="568" w:type="dxa"/>
            <w:tcBorders>
              <w:top w:val="nil"/>
              <w:left w:val="nil"/>
              <w:bottom w:val="single" w:sz="4" w:space="0" w:color="auto"/>
              <w:right w:val="single" w:sz="4" w:space="0" w:color="auto"/>
            </w:tcBorders>
            <w:shd w:val="clear" w:color="000000" w:fill="FF9900"/>
            <w:noWrap/>
            <w:vAlign w:val="center"/>
            <w:hideMark/>
          </w:tcPr>
          <w:p w14:paraId="117B1AA5" w14:textId="77777777" w:rsidR="0078259C" w:rsidRPr="0078259C" w:rsidRDefault="0078259C" w:rsidP="0078259C">
            <w:pPr>
              <w:spacing w:after="0" w:line="240" w:lineRule="auto"/>
              <w:jc w:val="right"/>
              <w:rPr>
                <w:rFonts w:ascii="Calibri" w:eastAsia="Times New Roman" w:hAnsi="Calibri" w:cs="Calibri"/>
                <w:sz w:val="18"/>
                <w:szCs w:val="18"/>
                <w:lang w:eastAsia="hr-HR"/>
              </w:rPr>
            </w:pPr>
            <w:r w:rsidRPr="0078259C">
              <w:rPr>
                <w:rFonts w:ascii="Calibri" w:eastAsia="Times New Roman" w:hAnsi="Calibri" w:cs="Calibri"/>
                <w:sz w:val="18"/>
                <w:szCs w:val="18"/>
                <w:lang w:eastAsia="hr-HR"/>
              </w:rPr>
              <w:t>1</w:t>
            </w:r>
          </w:p>
        </w:tc>
        <w:tc>
          <w:tcPr>
            <w:tcW w:w="425" w:type="dxa"/>
            <w:tcBorders>
              <w:top w:val="nil"/>
              <w:left w:val="nil"/>
              <w:bottom w:val="single" w:sz="4" w:space="0" w:color="auto"/>
              <w:right w:val="single" w:sz="4" w:space="0" w:color="auto"/>
            </w:tcBorders>
            <w:shd w:val="clear" w:color="000000" w:fill="FF9900"/>
            <w:noWrap/>
            <w:vAlign w:val="center"/>
            <w:hideMark/>
          </w:tcPr>
          <w:p w14:paraId="3AB9E0FE" w14:textId="77777777" w:rsidR="0078259C" w:rsidRPr="0078259C" w:rsidRDefault="0078259C" w:rsidP="0078259C">
            <w:pPr>
              <w:spacing w:after="0" w:line="240" w:lineRule="auto"/>
              <w:jc w:val="right"/>
              <w:rPr>
                <w:rFonts w:ascii="Calibri" w:eastAsia="Times New Roman" w:hAnsi="Calibri" w:cs="Calibri"/>
                <w:sz w:val="18"/>
                <w:szCs w:val="18"/>
                <w:lang w:eastAsia="hr-HR"/>
              </w:rPr>
            </w:pPr>
            <w:r w:rsidRPr="0078259C">
              <w:rPr>
                <w:rFonts w:ascii="Calibri" w:eastAsia="Times New Roman" w:hAnsi="Calibri" w:cs="Calibri"/>
                <w:sz w:val="18"/>
                <w:szCs w:val="18"/>
                <w:lang w:eastAsia="hr-HR"/>
              </w:rPr>
              <w:t>0</w:t>
            </w:r>
          </w:p>
        </w:tc>
        <w:tc>
          <w:tcPr>
            <w:tcW w:w="425" w:type="dxa"/>
            <w:gridSpan w:val="2"/>
            <w:tcBorders>
              <w:top w:val="nil"/>
              <w:left w:val="nil"/>
              <w:bottom w:val="single" w:sz="4" w:space="0" w:color="auto"/>
              <w:right w:val="single" w:sz="4" w:space="0" w:color="auto"/>
            </w:tcBorders>
            <w:shd w:val="clear" w:color="000000" w:fill="66FFCC"/>
            <w:noWrap/>
            <w:vAlign w:val="center"/>
            <w:hideMark/>
          </w:tcPr>
          <w:p w14:paraId="07F93AD5" w14:textId="77777777" w:rsidR="0078259C" w:rsidRPr="0078259C" w:rsidRDefault="0078259C" w:rsidP="0078259C">
            <w:pPr>
              <w:spacing w:after="0" w:line="240" w:lineRule="auto"/>
              <w:jc w:val="right"/>
              <w:rPr>
                <w:rFonts w:ascii="Calibri" w:eastAsia="Times New Roman" w:hAnsi="Calibri" w:cs="Calibri"/>
                <w:sz w:val="18"/>
                <w:szCs w:val="18"/>
                <w:lang w:eastAsia="hr-HR"/>
              </w:rPr>
            </w:pPr>
            <w:r w:rsidRPr="0078259C">
              <w:rPr>
                <w:rFonts w:ascii="Calibri" w:eastAsia="Times New Roman" w:hAnsi="Calibri" w:cs="Calibri"/>
                <w:sz w:val="18"/>
                <w:szCs w:val="18"/>
                <w:lang w:eastAsia="hr-HR"/>
              </w:rPr>
              <w:t>0</w:t>
            </w:r>
          </w:p>
        </w:tc>
        <w:tc>
          <w:tcPr>
            <w:tcW w:w="437" w:type="dxa"/>
            <w:tcBorders>
              <w:top w:val="nil"/>
              <w:left w:val="nil"/>
              <w:bottom w:val="single" w:sz="4" w:space="0" w:color="auto"/>
              <w:right w:val="single" w:sz="4" w:space="0" w:color="auto"/>
            </w:tcBorders>
            <w:shd w:val="clear" w:color="000000" w:fill="66FFCC"/>
            <w:noWrap/>
            <w:vAlign w:val="center"/>
            <w:hideMark/>
          </w:tcPr>
          <w:p w14:paraId="7F52A696" w14:textId="77777777" w:rsidR="0078259C" w:rsidRPr="0078259C" w:rsidRDefault="0078259C" w:rsidP="0078259C">
            <w:pPr>
              <w:spacing w:after="0" w:line="240" w:lineRule="auto"/>
              <w:jc w:val="right"/>
              <w:rPr>
                <w:rFonts w:ascii="Calibri" w:eastAsia="Times New Roman" w:hAnsi="Calibri" w:cs="Calibri"/>
                <w:sz w:val="18"/>
                <w:szCs w:val="18"/>
                <w:lang w:eastAsia="hr-HR"/>
              </w:rPr>
            </w:pPr>
            <w:r w:rsidRPr="0078259C">
              <w:rPr>
                <w:rFonts w:ascii="Calibri" w:eastAsia="Times New Roman" w:hAnsi="Calibri" w:cs="Calibri"/>
                <w:sz w:val="18"/>
                <w:szCs w:val="18"/>
                <w:lang w:eastAsia="hr-HR"/>
              </w:rPr>
              <w:t>0</w:t>
            </w:r>
          </w:p>
        </w:tc>
        <w:tc>
          <w:tcPr>
            <w:tcW w:w="556" w:type="dxa"/>
            <w:tcBorders>
              <w:top w:val="nil"/>
              <w:left w:val="nil"/>
              <w:bottom w:val="single" w:sz="4" w:space="0" w:color="auto"/>
              <w:right w:val="single" w:sz="4" w:space="0" w:color="auto"/>
            </w:tcBorders>
            <w:shd w:val="clear" w:color="000000" w:fill="66FFCC"/>
            <w:noWrap/>
            <w:vAlign w:val="center"/>
            <w:hideMark/>
          </w:tcPr>
          <w:p w14:paraId="20CDC4F3" w14:textId="77777777" w:rsidR="0078259C" w:rsidRPr="0078259C" w:rsidRDefault="0078259C" w:rsidP="0078259C">
            <w:pPr>
              <w:spacing w:after="0" w:line="240" w:lineRule="auto"/>
              <w:jc w:val="right"/>
              <w:rPr>
                <w:rFonts w:ascii="Calibri" w:eastAsia="Times New Roman" w:hAnsi="Calibri" w:cs="Calibri"/>
                <w:sz w:val="18"/>
                <w:szCs w:val="18"/>
                <w:lang w:eastAsia="hr-HR"/>
              </w:rPr>
            </w:pPr>
            <w:r w:rsidRPr="0078259C">
              <w:rPr>
                <w:rFonts w:ascii="Calibri" w:eastAsia="Times New Roman" w:hAnsi="Calibri" w:cs="Calibri"/>
                <w:sz w:val="18"/>
                <w:szCs w:val="18"/>
                <w:lang w:eastAsia="hr-HR"/>
              </w:rPr>
              <w:t>0</w:t>
            </w:r>
          </w:p>
        </w:tc>
        <w:tc>
          <w:tcPr>
            <w:tcW w:w="425" w:type="dxa"/>
            <w:tcBorders>
              <w:top w:val="nil"/>
              <w:left w:val="nil"/>
              <w:bottom w:val="single" w:sz="4" w:space="0" w:color="auto"/>
              <w:right w:val="single" w:sz="4" w:space="0" w:color="auto"/>
            </w:tcBorders>
            <w:shd w:val="clear" w:color="000000" w:fill="66FFCC"/>
            <w:noWrap/>
            <w:vAlign w:val="center"/>
            <w:hideMark/>
          </w:tcPr>
          <w:p w14:paraId="11096CE1" w14:textId="77777777" w:rsidR="0078259C" w:rsidRPr="0078259C" w:rsidRDefault="0078259C" w:rsidP="0078259C">
            <w:pPr>
              <w:spacing w:after="0" w:line="240" w:lineRule="auto"/>
              <w:jc w:val="right"/>
              <w:rPr>
                <w:rFonts w:ascii="Calibri" w:eastAsia="Times New Roman" w:hAnsi="Calibri" w:cs="Calibri"/>
                <w:sz w:val="18"/>
                <w:szCs w:val="18"/>
                <w:lang w:eastAsia="hr-HR"/>
              </w:rPr>
            </w:pPr>
            <w:r w:rsidRPr="0078259C">
              <w:rPr>
                <w:rFonts w:ascii="Calibri" w:eastAsia="Times New Roman" w:hAnsi="Calibri" w:cs="Calibri"/>
                <w:sz w:val="18"/>
                <w:szCs w:val="18"/>
                <w:lang w:eastAsia="hr-HR"/>
              </w:rPr>
              <w:t>0</w:t>
            </w:r>
          </w:p>
        </w:tc>
        <w:tc>
          <w:tcPr>
            <w:tcW w:w="567" w:type="dxa"/>
            <w:gridSpan w:val="2"/>
            <w:tcBorders>
              <w:top w:val="nil"/>
              <w:left w:val="nil"/>
              <w:bottom w:val="single" w:sz="4" w:space="0" w:color="auto"/>
              <w:right w:val="single" w:sz="4" w:space="0" w:color="auto"/>
            </w:tcBorders>
            <w:shd w:val="clear" w:color="000000" w:fill="FFFF00"/>
            <w:vAlign w:val="center"/>
            <w:hideMark/>
          </w:tcPr>
          <w:p w14:paraId="31A2BBF8" w14:textId="77777777" w:rsidR="0078259C" w:rsidRPr="0078259C" w:rsidRDefault="0078259C" w:rsidP="0078259C">
            <w:pPr>
              <w:spacing w:after="0" w:line="240" w:lineRule="auto"/>
              <w:jc w:val="right"/>
              <w:rPr>
                <w:rFonts w:ascii="Calibri" w:eastAsia="Times New Roman" w:hAnsi="Calibri" w:cs="Calibri"/>
                <w:sz w:val="18"/>
                <w:szCs w:val="18"/>
                <w:lang w:eastAsia="hr-HR"/>
              </w:rPr>
            </w:pPr>
            <w:r w:rsidRPr="0078259C">
              <w:rPr>
                <w:rFonts w:ascii="Calibri" w:eastAsia="Times New Roman" w:hAnsi="Calibri" w:cs="Calibri"/>
                <w:sz w:val="18"/>
                <w:szCs w:val="18"/>
                <w:lang w:eastAsia="hr-HR"/>
              </w:rPr>
              <w:t>1</w:t>
            </w:r>
          </w:p>
        </w:tc>
        <w:tc>
          <w:tcPr>
            <w:tcW w:w="578" w:type="dxa"/>
            <w:gridSpan w:val="2"/>
            <w:tcBorders>
              <w:top w:val="nil"/>
              <w:left w:val="nil"/>
              <w:bottom w:val="single" w:sz="4" w:space="0" w:color="auto"/>
              <w:right w:val="single" w:sz="4" w:space="0" w:color="auto"/>
            </w:tcBorders>
            <w:shd w:val="clear" w:color="000000" w:fill="FFFF99"/>
            <w:vAlign w:val="center"/>
            <w:hideMark/>
          </w:tcPr>
          <w:p w14:paraId="4B11F6D4" w14:textId="77777777" w:rsidR="0078259C" w:rsidRPr="0078259C" w:rsidRDefault="0078259C" w:rsidP="0078259C">
            <w:pPr>
              <w:spacing w:after="0" w:line="240" w:lineRule="auto"/>
              <w:jc w:val="right"/>
              <w:rPr>
                <w:rFonts w:ascii="Calibri" w:eastAsia="Times New Roman" w:hAnsi="Calibri" w:cs="Calibri"/>
                <w:sz w:val="18"/>
                <w:szCs w:val="18"/>
                <w:lang w:eastAsia="hr-HR"/>
              </w:rPr>
            </w:pPr>
            <w:r w:rsidRPr="0078259C">
              <w:rPr>
                <w:rFonts w:ascii="Calibri" w:eastAsia="Times New Roman" w:hAnsi="Calibri" w:cs="Calibri"/>
                <w:sz w:val="18"/>
                <w:szCs w:val="18"/>
                <w:lang w:eastAsia="hr-HR"/>
              </w:rPr>
              <w:t>0</w:t>
            </w:r>
          </w:p>
        </w:tc>
        <w:tc>
          <w:tcPr>
            <w:tcW w:w="839" w:type="dxa"/>
            <w:gridSpan w:val="2"/>
            <w:tcBorders>
              <w:top w:val="nil"/>
              <w:left w:val="nil"/>
              <w:bottom w:val="single" w:sz="4" w:space="0" w:color="auto"/>
              <w:right w:val="single" w:sz="4" w:space="0" w:color="auto"/>
            </w:tcBorders>
            <w:shd w:val="clear" w:color="000000" w:fill="FF9900"/>
            <w:vAlign w:val="center"/>
            <w:hideMark/>
          </w:tcPr>
          <w:p w14:paraId="0B3705C6" w14:textId="77777777" w:rsidR="0078259C" w:rsidRPr="0078259C" w:rsidRDefault="0078259C" w:rsidP="0078259C">
            <w:pPr>
              <w:spacing w:after="0" w:line="240" w:lineRule="auto"/>
              <w:jc w:val="right"/>
              <w:rPr>
                <w:rFonts w:ascii="Calibri" w:eastAsia="Times New Roman" w:hAnsi="Calibri" w:cs="Calibri"/>
                <w:sz w:val="18"/>
                <w:szCs w:val="18"/>
                <w:lang w:eastAsia="hr-HR"/>
              </w:rPr>
            </w:pPr>
            <w:r w:rsidRPr="0078259C">
              <w:rPr>
                <w:rFonts w:ascii="Calibri" w:eastAsia="Times New Roman" w:hAnsi="Calibri" w:cs="Calibri"/>
                <w:sz w:val="18"/>
                <w:szCs w:val="18"/>
                <w:lang w:eastAsia="hr-HR"/>
              </w:rPr>
              <w:t>0</w:t>
            </w:r>
          </w:p>
        </w:tc>
        <w:tc>
          <w:tcPr>
            <w:tcW w:w="426" w:type="dxa"/>
            <w:gridSpan w:val="2"/>
            <w:tcBorders>
              <w:top w:val="nil"/>
              <w:left w:val="nil"/>
              <w:bottom w:val="single" w:sz="4" w:space="0" w:color="auto"/>
              <w:right w:val="single" w:sz="4" w:space="0" w:color="auto"/>
            </w:tcBorders>
            <w:shd w:val="clear" w:color="000000" w:fill="CCFFFF"/>
            <w:vAlign w:val="center"/>
            <w:hideMark/>
          </w:tcPr>
          <w:p w14:paraId="58E53FD7" w14:textId="77777777" w:rsidR="0078259C" w:rsidRPr="0078259C" w:rsidRDefault="0078259C" w:rsidP="0078259C">
            <w:pPr>
              <w:spacing w:after="0" w:line="240" w:lineRule="auto"/>
              <w:jc w:val="right"/>
              <w:rPr>
                <w:rFonts w:ascii="Calibri" w:eastAsia="Times New Roman" w:hAnsi="Calibri" w:cs="Calibri"/>
                <w:sz w:val="18"/>
                <w:szCs w:val="18"/>
                <w:lang w:eastAsia="hr-HR"/>
              </w:rPr>
            </w:pPr>
            <w:r w:rsidRPr="0078259C">
              <w:rPr>
                <w:rFonts w:ascii="Calibri" w:eastAsia="Times New Roman" w:hAnsi="Calibri" w:cs="Calibri"/>
                <w:sz w:val="18"/>
                <w:szCs w:val="18"/>
                <w:lang w:eastAsia="hr-HR"/>
              </w:rPr>
              <w:t>0</w:t>
            </w:r>
          </w:p>
        </w:tc>
        <w:tc>
          <w:tcPr>
            <w:tcW w:w="446" w:type="dxa"/>
            <w:tcBorders>
              <w:top w:val="nil"/>
              <w:left w:val="nil"/>
              <w:bottom w:val="single" w:sz="4" w:space="0" w:color="auto"/>
              <w:right w:val="single" w:sz="4" w:space="0" w:color="auto"/>
            </w:tcBorders>
            <w:shd w:val="clear" w:color="000000" w:fill="CCFFFF"/>
            <w:vAlign w:val="center"/>
            <w:hideMark/>
          </w:tcPr>
          <w:p w14:paraId="6DCEFCCF" w14:textId="77777777" w:rsidR="0078259C" w:rsidRPr="0078259C" w:rsidRDefault="0078259C" w:rsidP="0078259C">
            <w:pPr>
              <w:spacing w:after="0" w:line="240" w:lineRule="auto"/>
              <w:jc w:val="right"/>
              <w:rPr>
                <w:rFonts w:ascii="Calibri" w:eastAsia="Times New Roman" w:hAnsi="Calibri" w:cs="Calibri"/>
                <w:sz w:val="18"/>
                <w:szCs w:val="18"/>
                <w:lang w:eastAsia="hr-HR"/>
              </w:rPr>
            </w:pPr>
            <w:r w:rsidRPr="0078259C">
              <w:rPr>
                <w:rFonts w:ascii="Calibri" w:eastAsia="Times New Roman" w:hAnsi="Calibri" w:cs="Calibri"/>
                <w:sz w:val="18"/>
                <w:szCs w:val="18"/>
                <w:lang w:eastAsia="hr-HR"/>
              </w:rPr>
              <w:t>0</w:t>
            </w:r>
          </w:p>
        </w:tc>
        <w:tc>
          <w:tcPr>
            <w:tcW w:w="404" w:type="dxa"/>
            <w:tcBorders>
              <w:top w:val="nil"/>
              <w:left w:val="nil"/>
              <w:bottom w:val="single" w:sz="4" w:space="0" w:color="auto"/>
              <w:right w:val="single" w:sz="4" w:space="0" w:color="auto"/>
            </w:tcBorders>
            <w:shd w:val="clear" w:color="000000" w:fill="CCFFFF"/>
            <w:noWrap/>
            <w:vAlign w:val="center"/>
            <w:hideMark/>
          </w:tcPr>
          <w:p w14:paraId="38C58C02" w14:textId="77777777" w:rsidR="0078259C" w:rsidRPr="0078259C" w:rsidRDefault="0078259C" w:rsidP="0078259C">
            <w:pPr>
              <w:spacing w:after="0" w:line="240" w:lineRule="auto"/>
              <w:jc w:val="right"/>
              <w:rPr>
                <w:rFonts w:ascii="Calibri" w:eastAsia="Times New Roman" w:hAnsi="Calibri" w:cs="Calibri"/>
                <w:sz w:val="18"/>
                <w:szCs w:val="18"/>
                <w:lang w:eastAsia="hr-HR"/>
              </w:rPr>
            </w:pPr>
            <w:r w:rsidRPr="0078259C">
              <w:rPr>
                <w:rFonts w:ascii="Calibri" w:eastAsia="Times New Roman" w:hAnsi="Calibri" w:cs="Calibri"/>
                <w:sz w:val="18"/>
                <w:szCs w:val="18"/>
                <w:lang w:eastAsia="hr-HR"/>
              </w:rPr>
              <w:t>0</w:t>
            </w:r>
          </w:p>
        </w:tc>
        <w:tc>
          <w:tcPr>
            <w:tcW w:w="839" w:type="dxa"/>
            <w:gridSpan w:val="2"/>
            <w:tcBorders>
              <w:top w:val="nil"/>
              <w:left w:val="nil"/>
              <w:bottom w:val="single" w:sz="4" w:space="0" w:color="auto"/>
              <w:right w:val="single" w:sz="4" w:space="0" w:color="auto"/>
            </w:tcBorders>
            <w:shd w:val="clear" w:color="000000" w:fill="33CCCC"/>
            <w:noWrap/>
            <w:vAlign w:val="center"/>
            <w:hideMark/>
          </w:tcPr>
          <w:p w14:paraId="0D98F77B" w14:textId="77777777" w:rsidR="0078259C" w:rsidRPr="0078259C" w:rsidRDefault="0078259C" w:rsidP="0078259C">
            <w:pPr>
              <w:spacing w:after="0" w:line="240" w:lineRule="auto"/>
              <w:jc w:val="right"/>
              <w:rPr>
                <w:rFonts w:ascii="Calibri" w:eastAsia="Times New Roman" w:hAnsi="Calibri" w:cs="Calibri"/>
                <w:sz w:val="18"/>
                <w:szCs w:val="18"/>
                <w:lang w:eastAsia="hr-HR"/>
              </w:rPr>
            </w:pPr>
            <w:r w:rsidRPr="0078259C">
              <w:rPr>
                <w:rFonts w:ascii="Calibri" w:eastAsia="Times New Roman" w:hAnsi="Calibri" w:cs="Calibri"/>
                <w:sz w:val="18"/>
                <w:szCs w:val="18"/>
                <w:lang w:eastAsia="hr-HR"/>
              </w:rPr>
              <w:t>1</w:t>
            </w:r>
          </w:p>
        </w:tc>
        <w:tc>
          <w:tcPr>
            <w:tcW w:w="839" w:type="dxa"/>
            <w:tcBorders>
              <w:top w:val="nil"/>
              <w:left w:val="nil"/>
              <w:bottom w:val="single" w:sz="4" w:space="0" w:color="auto"/>
              <w:right w:val="nil"/>
            </w:tcBorders>
            <w:shd w:val="clear" w:color="000000" w:fill="33CCCC"/>
            <w:noWrap/>
            <w:vAlign w:val="center"/>
            <w:hideMark/>
          </w:tcPr>
          <w:p w14:paraId="405AD97D" w14:textId="77777777" w:rsidR="0078259C" w:rsidRPr="0078259C" w:rsidRDefault="0078259C" w:rsidP="0078259C">
            <w:pPr>
              <w:spacing w:after="0" w:line="240" w:lineRule="auto"/>
              <w:jc w:val="right"/>
              <w:rPr>
                <w:rFonts w:ascii="Calibri" w:eastAsia="Times New Roman" w:hAnsi="Calibri" w:cs="Calibri"/>
                <w:sz w:val="18"/>
                <w:szCs w:val="18"/>
                <w:lang w:eastAsia="hr-HR"/>
              </w:rPr>
            </w:pPr>
            <w:r w:rsidRPr="0078259C">
              <w:rPr>
                <w:rFonts w:ascii="Calibri" w:eastAsia="Times New Roman" w:hAnsi="Calibri" w:cs="Calibri"/>
                <w:sz w:val="18"/>
                <w:szCs w:val="18"/>
                <w:lang w:eastAsia="hr-HR"/>
              </w:rPr>
              <w:t>0</w:t>
            </w:r>
          </w:p>
        </w:tc>
        <w:tc>
          <w:tcPr>
            <w:tcW w:w="236" w:type="dxa"/>
            <w:gridSpan w:val="2"/>
            <w:vAlign w:val="center"/>
            <w:hideMark/>
          </w:tcPr>
          <w:p w14:paraId="785665E6" w14:textId="77777777" w:rsidR="0078259C" w:rsidRPr="0078259C" w:rsidRDefault="0078259C" w:rsidP="0078259C">
            <w:pPr>
              <w:spacing w:after="0" w:line="240" w:lineRule="auto"/>
              <w:rPr>
                <w:rFonts w:ascii="Times New Roman" w:eastAsia="Times New Roman" w:hAnsi="Times New Roman" w:cs="Times New Roman"/>
                <w:sz w:val="18"/>
                <w:szCs w:val="18"/>
                <w:lang w:eastAsia="hr-HR"/>
              </w:rPr>
            </w:pPr>
          </w:p>
        </w:tc>
      </w:tr>
      <w:tr w:rsidR="0078259C" w:rsidRPr="0078259C" w14:paraId="0D0A1952" w14:textId="77777777" w:rsidTr="0078259C">
        <w:trPr>
          <w:gridAfter w:val="2"/>
          <w:wAfter w:w="44" w:type="dxa"/>
          <w:trHeight w:val="405"/>
        </w:trPr>
        <w:tc>
          <w:tcPr>
            <w:tcW w:w="1394" w:type="dxa"/>
            <w:tcBorders>
              <w:top w:val="single" w:sz="4" w:space="0" w:color="auto"/>
              <w:left w:val="single" w:sz="8" w:space="0" w:color="auto"/>
              <w:bottom w:val="single" w:sz="4" w:space="0" w:color="auto"/>
              <w:right w:val="single" w:sz="4" w:space="0" w:color="auto"/>
            </w:tcBorders>
            <w:shd w:val="clear" w:color="000000" w:fill="CCFFCC"/>
            <w:vAlign w:val="center"/>
            <w:hideMark/>
          </w:tcPr>
          <w:p w14:paraId="27EB3B78" w14:textId="77777777" w:rsidR="0078259C" w:rsidRPr="0078259C" w:rsidRDefault="0078259C" w:rsidP="0078259C">
            <w:pPr>
              <w:spacing w:after="0" w:line="240" w:lineRule="auto"/>
              <w:jc w:val="center"/>
              <w:rPr>
                <w:rFonts w:ascii="Calibri" w:eastAsia="Times New Roman" w:hAnsi="Calibri" w:cs="Calibri"/>
                <w:sz w:val="18"/>
                <w:szCs w:val="18"/>
                <w:lang w:eastAsia="hr-HR"/>
              </w:rPr>
            </w:pPr>
            <w:r w:rsidRPr="0078259C">
              <w:rPr>
                <w:rFonts w:ascii="Calibri" w:eastAsia="Times New Roman" w:hAnsi="Calibri" w:cs="Calibri"/>
                <w:sz w:val="18"/>
                <w:szCs w:val="18"/>
                <w:lang w:eastAsia="hr-HR"/>
              </w:rPr>
              <w:t>Invaliditet</w:t>
            </w:r>
          </w:p>
        </w:tc>
        <w:tc>
          <w:tcPr>
            <w:tcW w:w="575" w:type="dxa"/>
            <w:tcBorders>
              <w:top w:val="nil"/>
              <w:left w:val="nil"/>
              <w:bottom w:val="single" w:sz="4" w:space="0" w:color="auto"/>
              <w:right w:val="single" w:sz="4" w:space="0" w:color="auto"/>
            </w:tcBorders>
            <w:shd w:val="clear" w:color="000000" w:fill="CCFFCC"/>
            <w:vAlign w:val="center"/>
            <w:hideMark/>
          </w:tcPr>
          <w:p w14:paraId="06552318" w14:textId="77777777" w:rsidR="0078259C" w:rsidRPr="0078259C" w:rsidRDefault="0078259C" w:rsidP="0078259C">
            <w:pPr>
              <w:spacing w:after="0" w:line="240" w:lineRule="auto"/>
              <w:jc w:val="right"/>
              <w:rPr>
                <w:rFonts w:ascii="Calibri" w:eastAsia="Times New Roman" w:hAnsi="Calibri" w:cs="Calibri"/>
                <w:sz w:val="18"/>
                <w:szCs w:val="18"/>
                <w:lang w:eastAsia="hr-HR"/>
              </w:rPr>
            </w:pPr>
            <w:r w:rsidRPr="0078259C">
              <w:rPr>
                <w:rFonts w:ascii="Calibri" w:eastAsia="Times New Roman" w:hAnsi="Calibri" w:cs="Calibri"/>
                <w:sz w:val="18"/>
                <w:szCs w:val="18"/>
                <w:lang w:eastAsia="hr-HR"/>
              </w:rPr>
              <w:t>0</w:t>
            </w:r>
          </w:p>
        </w:tc>
        <w:tc>
          <w:tcPr>
            <w:tcW w:w="488" w:type="dxa"/>
            <w:tcBorders>
              <w:top w:val="nil"/>
              <w:left w:val="nil"/>
              <w:bottom w:val="single" w:sz="4" w:space="0" w:color="auto"/>
              <w:right w:val="single" w:sz="4" w:space="0" w:color="auto"/>
            </w:tcBorders>
            <w:shd w:val="clear" w:color="000000" w:fill="FFCC99"/>
            <w:noWrap/>
            <w:vAlign w:val="center"/>
            <w:hideMark/>
          </w:tcPr>
          <w:p w14:paraId="0B30018D" w14:textId="77777777" w:rsidR="0078259C" w:rsidRPr="0078259C" w:rsidRDefault="0078259C" w:rsidP="0078259C">
            <w:pPr>
              <w:spacing w:after="0" w:line="240" w:lineRule="auto"/>
              <w:jc w:val="right"/>
              <w:rPr>
                <w:rFonts w:ascii="Calibri" w:eastAsia="Times New Roman" w:hAnsi="Calibri" w:cs="Calibri"/>
                <w:sz w:val="18"/>
                <w:szCs w:val="18"/>
                <w:lang w:eastAsia="hr-HR"/>
              </w:rPr>
            </w:pPr>
            <w:r w:rsidRPr="0078259C">
              <w:rPr>
                <w:rFonts w:ascii="Calibri" w:eastAsia="Times New Roman" w:hAnsi="Calibri" w:cs="Calibri"/>
                <w:sz w:val="18"/>
                <w:szCs w:val="18"/>
                <w:lang w:eastAsia="hr-HR"/>
              </w:rPr>
              <w:t>0</w:t>
            </w:r>
          </w:p>
        </w:tc>
        <w:tc>
          <w:tcPr>
            <w:tcW w:w="500" w:type="dxa"/>
            <w:tcBorders>
              <w:top w:val="nil"/>
              <w:left w:val="nil"/>
              <w:bottom w:val="single" w:sz="4" w:space="0" w:color="auto"/>
              <w:right w:val="single" w:sz="4" w:space="0" w:color="auto"/>
            </w:tcBorders>
            <w:shd w:val="clear" w:color="000000" w:fill="FFCC99"/>
            <w:noWrap/>
            <w:vAlign w:val="center"/>
            <w:hideMark/>
          </w:tcPr>
          <w:p w14:paraId="4BB829AE" w14:textId="77777777" w:rsidR="0078259C" w:rsidRPr="0078259C" w:rsidRDefault="0078259C" w:rsidP="0078259C">
            <w:pPr>
              <w:spacing w:after="0" w:line="240" w:lineRule="auto"/>
              <w:jc w:val="right"/>
              <w:rPr>
                <w:rFonts w:ascii="Calibri" w:eastAsia="Times New Roman" w:hAnsi="Calibri" w:cs="Calibri"/>
                <w:sz w:val="18"/>
                <w:szCs w:val="18"/>
                <w:lang w:eastAsia="hr-HR"/>
              </w:rPr>
            </w:pPr>
            <w:r w:rsidRPr="0078259C">
              <w:rPr>
                <w:rFonts w:ascii="Calibri" w:eastAsia="Times New Roman" w:hAnsi="Calibri" w:cs="Calibri"/>
                <w:sz w:val="18"/>
                <w:szCs w:val="18"/>
                <w:lang w:eastAsia="hr-HR"/>
              </w:rPr>
              <w:t>0</w:t>
            </w:r>
          </w:p>
        </w:tc>
        <w:tc>
          <w:tcPr>
            <w:tcW w:w="435" w:type="dxa"/>
            <w:tcBorders>
              <w:top w:val="nil"/>
              <w:left w:val="nil"/>
              <w:bottom w:val="single" w:sz="4" w:space="0" w:color="auto"/>
              <w:right w:val="single" w:sz="4" w:space="0" w:color="auto"/>
            </w:tcBorders>
            <w:shd w:val="clear" w:color="000000" w:fill="CCFFFF"/>
            <w:vAlign w:val="center"/>
            <w:hideMark/>
          </w:tcPr>
          <w:p w14:paraId="7323DF89" w14:textId="77777777" w:rsidR="0078259C" w:rsidRPr="0078259C" w:rsidRDefault="0078259C" w:rsidP="0078259C">
            <w:pPr>
              <w:spacing w:after="0" w:line="240" w:lineRule="auto"/>
              <w:jc w:val="right"/>
              <w:rPr>
                <w:rFonts w:ascii="Calibri" w:eastAsia="Times New Roman" w:hAnsi="Calibri" w:cs="Calibri"/>
                <w:sz w:val="18"/>
                <w:szCs w:val="18"/>
                <w:lang w:eastAsia="hr-HR"/>
              </w:rPr>
            </w:pPr>
            <w:r w:rsidRPr="0078259C">
              <w:rPr>
                <w:rFonts w:ascii="Calibri" w:eastAsia="Times New Roman" w:hAnsi="Calibri" w:cs="Calibri"/>
                <w:sz w:val="18"/>
                <w:szCs w:val="18"/>
                <w:lang w:eastAsia="hr-HR"/>
              </w:rPr>
              <w:t>0</w:t>
            </w:r>
          </w:p>
        </w:tc>
        <w:tc>
          <w:tcPr>
            <w:tcW w:w="426" w:type="dxa"/>
            <w:tcBorders>
              <w:top w:val="nil"/>
              <w:left w:val="nil"/>
              <w:bottom w:val="single" w:sz="4" w:space="0" w:color="auto"/>
              <w:right w:val="single" w:sz="4" w:space="0" w:color="auto"/>
            </w:tcBorders>
            <w:shd w:val="clear" w:color="000000" w:fill="CCFFFF"/>
            <w:noWrap/>
            <w:vAlign w:val="center"/>
            <w:hideMark/>
          </w:tcPr>
          <w:p w14:paraId="4243771E" w14:textId="77777777" w:rsidR="0078259C" w:rsidRPr="0078259C" w:rsidRDefault="0078259C" w:rsidP="0078259C">
            <w:pPr>
              <w:spacing w:after="0" w:line="240" w:lineRule="auto"/>
              <w:jc w:val="right"/>
              <w:rPr>
                <w:rFonts w:ascii="Calibri" w:eastAsia="Times New Roman" w:hAnsi="Calibri" w:cs="Calibri"/>
                <w:sz w:val="18"/>
                <w:szCs w:val="18"/>
                <w:lang w:eastAsia="hr-HR"/>
              </w:rPr>
            </w:pPr>
            <w:r w:rsidRPr="0078259C">
              <w:rPr>
                <w:rFonts w:ascii="Calibri" w:eastAsia="Times New Roman" w:hAnsi="Calibri" w:cs="Calibri"/>
                <w:sz w:val="18"/>
                <w:szCs w:val="18"/>
                <w:lang w:eastAsia="hr-HR"/>
              </w:rPr>
              <w:t>0</w:t>
            </w:r>
          </w:p>
        </w:tc>
        <w:tc>
          <w:tcPr>
            <w:tcW w:w="425" w:type="dxa"/>
            <w:tcBorders>
              <w:top w:val="nil"/>
              <w:left w:val="nil"/>
              <w:bottom w:val="single" w:sz="4" w:space="0" w:color="auto"/>
              <w:right w:val="single" w:sz="4" w:space="0" w:color="auto"/>
            </w:tcBorders>
            <w:shd w:val="clear" w:color="000000" w:fill="FFFF99"/>
            <w:noWrap/>
            <w:vAlign w:val="center"/>
            <w:hideMark/>
          </w:tcPr>
          <w:p w14:paraId="313D868D" w14:textId="77777777" w:rsidR="0078259C" w:rsidRPr="0078259C" w:rsidRDefault="0078259C" w:rsidP="0078259C">
            <w:pPr>
              <w:spacing w:after="0" w:line="240" w:lineRule="auto"/>
              <w:jc w:val="right"/>
              <w:rPr>
                <w:rFonts w:ascii="Calibri" w:eastAsia="Times New Roman" w:hAnsi="Calibri" w:cs="Calibri"/>
                <w:sz w:val="18"/>
                <w:szCs w:val="18"/>
                <w:lang w:eastAsia="hr-HR"/>
              </w:rPr>
            </w:pPr>
            <w:r w:rsidRPr="0078259C">
              <w:rPr>
                <w:rFonts w:ascii="Calibri" w:eastAsia="Times New Roman" w:hAnsi="Calibri" w:cs="Calibri"/>
                <w:sz w:val="18"/>
                <w:szCs w:val="18"/>
                <w:lang w:eastAsia="hr-HR"/>
              </w:rPr>
              <w:t>0</w:t>
            </w:r>
          </w:p>
        </w:tc>
        <w:tc>
          <w:tcPr>
            <w:tcW w:w="567" w:type="dxa"/>
            <w:tcBorders>
              <w:top w:val="nil"/>
              <w:left w:val="nil"/>
              <w:bottom w:val="single" w:sz="4" w:space="0" w:color="auto"/>
              <w:right w:val="single" w:sz="4" w:space="0" w:color="auto"/>
            </w:tcBorders>
            <w:shd w:val="clear" w:color="000000" w:fill="FFFF99"/>
            <w:noWrap/>
            <w:vAlign w:val="center"/>
            <w:hideMark/>
          </w:tcPr>
          <w:p w14:paraId="205FA218" w14:textId="77777777" w:rsidR="0078259C" w:rsidRPr="0078259C" w:rsidRDefault="0078259C" w:rsidP="0078259C">
            <w:pPr>
              <w:spacing w:after="0" w:line="240" w:lineRule="auto"/>
              <w:jc w:val="right"/>
              <w:rPr>
                <w:rFonts w:ascii="Calibri" w:eastAsia="Times New Roman" w:hAnsi="Calibri" w:cs="Calibri"/>
                <w:sz w:val="18"/>
                <w:szCs w:val="18"/>
                <w:lang w:eastAsia="hr-HR"/>
              </w:rPr>
            </w:pPr>
            <w:r w:rsidRPr="0078259C">
              <w:rPr>
                <w:rFonts w:ascii="Calibri" w:eastAsia="Times New Roman" w:hAnsi="Calibri" w:cs="Calibri"/>
                <w:sz w:val="18"/>
                <w:szCs w:val="18"/>
                <w:lang w:eastAsia="hr-HR"/>
              </w:rPr>
              <w:t>0</w:t>
            </w:r>
          </w:p>
        </w:tc>
        <w:tc>
          <w:tcPr>
            <w:tcW w:w="567" w:type="dxa"/>
            <w:tcBorders>
              <w:top w:val="nil"/>
              <w:left w:val="nil"/>
              <w:bottom w:val="single" w:sz="4" w:space="0" w:color="auto"/>
              <w:right w:val="single" w:sz="4" w:space="0" w:color="auto"/>
            </w:tcBorders>
            <w:shd w:val="clear" w:color="000000" w:fill="FFFF99"/>
            <w:noWrap/>
            <w:vAlign w:val="center"/>
            <w:hideMark/>
          </w:tcPr>
          <w:p w14:paraId="0FDA4884" w14:textId="77777777" w:rsidR="0078259C" w:rsidRPr="0078259C" w:rsidRDefault="0078259C" w:rsidP="0078259C">
            <w:pPr>
              <w:spacing w:after="0" w:line="240" w:lineRule="auto"/>
              <w:jc w:val="right"/>
              <w:rPr>
                <w:rFonts w:ascii="Calibri" w:eastAsia="Times New Roman" w:hAnsi="Calibri" w:cs="Calibri"/>
                <w:sz w:val="18"/>
                <w:szCs w:val="18"/>
                <w:lang w:eastAsia="hr-HR"/>
              </w:rPr>
            </w:pPr>
            <w:r w:rsidRPr="0078259C">
              <w:rPr>
                <w:rFonts w:ascii="Calibri" w:eastAsia="Times New Roman" w:hAnsi="Calibri" w:cs="Calibri"/>
                <w:sz w:val="18"/>
                <w:szCs w:val="18"/>
                <w:lang w:eastAsia="hr-HR"/>
              </w:rPr>
              <w:t>0</w:t>
            </w:r>
          </w:p>
        </w:tc>
        <w:tc>
          <w:tcPr>
            <w:tcW w:w="437" w:type="dxa"/>
            <w:tcBorders>
              <w:top w:val="nil"/>
              <w:left w:val="nil"/>
              <w:bottom w:val="single" w:sz="4" w:space="0" w:color="auto"/>
              <w:right w:val="single" w:sz="4" w:space="0" w:color="auto"/>
            </w:tcBorders>
            <w:shd w:val="clear" w:color="000000" w:fill="FFFF99"/>
            <w:noWrap/>
            <w:vAlign w:val="center"/>
            <w:hideMark/>
          </w:tcPr>
          <w:p w14:paraId="441CA29B" w14:textId="77777777" w:rsidR="0078259C" w:rsidRPr="0078259C" w:rsidRDefault="0078259C" w:rsidP="0078259C">
            <w:pPr>
              <w:spacing w:after="0" w:line="240" w:lineRule="auto"/>
              <w:jc w:val="right"/>
              <w:rPr>
                <w:rFonts w:ascii="Calibri" w:eastAsia="Times New Roman" w:hAnsi="Calibri" w:cs="Calibri"/>
                <w:sz w:val="18"/>
                <w:szCs w:val="18"/>
                <w:lang w:eastAsia="hr-HR"/>
              </w:rPr>
            </w:pPr>
            <w:r w:rsidRPr="0078259C">
              <w:rPr>
                <w:rFonts w:ascii="Calibri" w:eastAsia="Times New Roman" w:hAnsi="Calibri" w:cs="Calibri"/>
                <w:sz w:val="18"/>
                <w:szCs w:val="18"/>
                <w:lang w:eastAsia="hr-HR"/>
              </w:rPr>
              <w:t>0</w:t>
            </w:r>
          </w:p>
        </w:tc>
        <w:tc>
          <w:tcPr>
            <w:tcW w:w="413" w:type="dxa"/>
            <w:tcBorders>
              <w:top w:val="nil"/>
              <w:left w:val="nil"/>
              <w:bottom w:val="single" w:sz="4" w:space="0" w:color="auto"/>
              <w:right w:val="single" w:sz="4" w:space="0" w:color="auto"/>
            </w:tcBorders>
            <w:shd w:val="clear" w:color="000000" w:fill="FFFF99"/>
            <w:noWrap/>
            <w:vAlign w:val="center"/>
            <w:hideMark/>
          </w:tcPr>
          <w:p w14:paraId="1996E60F" w14:textId="77777777" w:rsidR="0078259C" w:rsidRPr="0078259C" w:rsidRDefault="0078259C" w:rsidP="0078259C">
            <w:pPr>
              <w:spacing w:after="0" w:line="240" w:lineRule="auto"/>
              <w:jc w:val="right"/>
              <w:rPr>
                <w:rFonts w:ascii="Calibri" w:eastAsia="Times New Roman" w:hAnsi="Calibri" w:cs="Calibri"/>
                <w:sz w:val="18"/>
                <w:szCs w:val="18"/>
                <w:lang w:eastAsia="hr-HR"/>
              </w:rPr>
            </w:pPr>
            <w:r w:rsidRPr="0078259C">
              <w:rPr>
                <w:rFonts w:ascii="Calibri" w:eastAsia="Times New Roman" w:hAnsi="Calibri" w:cs="Calibri"/>
                <w:sz w:val="18"/>
                <w:szCs w:val="18"/>
                <w:lang w:eastAsia="hr-HR"/>
              </w:rPr>
              <w:t>0</w:t>
            </w:r>
          </w:p>
        </w:tc>
        <w:tc>
          <w:tcPr>
            <w:tcW w:w="283" w:type="dxa"/>
            <w:gridSpan w:val="2"/>
            <w:tcBorders>
              <w:top w:val="nil"/>
              <w:left w:val="nil"/>
              <w:bottom w:val="single" w:sz="4" w:space="0" w:color="auto"/>
              <w:right w:val="single" w:sz="4" w:space="0" w:color="auto"/>
            </w:tcBorders>
            <w:shd w:val="clear" w:color="000000" w:fill="FF9900"/>
            <w:noWrap/>
            <w:vAlign w:val="center"/>
            <w:hideMark/>
          </w:tcPr>
          <w:p w14:paraId="4D048771" w14:textId="77777777" w:rsidR="0078259C" w:rsidRPr="0078259C" w:rsidRDefault="0078259C" w:rsidP="0078259C">
            <w:pPr>
              <w:spacing w:after="0" w:line="240" w:lineRule="auto"/>
              <w:jc w:val="right"/>
              <w:rPr>
                <w:rFonts w:ascii="Calibri" w:eastAsia="Times New Roman" w:hAnsi="Calibri" w:cs="Calibri"/>
                <w:sz w:val="18"/>
                <w:szCs w:val="18"/>
                <w:lang w:eastAsia="hr-HR"/>
              </w:rPr>
            </w:pPr>
            <w:r w:rsidRPr="0078259C">
              <w:rPr>
                <w:rFonts w:ascii="Calibri" w:eastAsia="Times New Roman" w:hAnsi="Calibri" w:cs="Calibri"/>
                <w:sz w:val="18"/>
                <w:szCs w:val="18"/>
                <w:lang w:eastAsia="hr-HR"/>
              </w:rPr>
              <w:t>0</w:t>
            </w:r>
          </w:p>
        </w:tc>
        <w:tc>
          <w:tcPr>
            <w:tcW w:w="568" w:type="dxa"/>
            <w:tcBorders>
              <w:top w:val="nil"/>
              <w:left w:val="nil"/>
              <w:bottom w:val="single" w:sz="4" w:space="0" w:color="auto"/>
              <w:right w:val="single" w:sz="4" w:space="0" w:color="auto"/>
            </w:tcBorders>
            <w:shd w:val="clear" w:color="000000" w:fill="FF9900"/>
            <w:noWrap/>
            <w:vAlign w:val="center"/>
            <w:hideMark/>
          </w:tcPr>
          <w:p w14:paraId="41CCEA85" w14:textId="77777777" w:rsidR="0078259C" w:rsidRPr="0078259C" w:rsidRDefault="0078259C" w:rsidP="0078259C">
            <w:pPr>
              <w:spacing w:after="0" w:line="240" w:lineRule="auto"/>
              <w:jc w:val="right"/>
              <w:rPr>
                <w:rFonts w:ascii="Calibri" w:eastAsia="Times New Roman" w:hAnsi="Calibri" w:cs="Calibri"/>
                <w:sz w:val="18"/>
                <w:szCs w:val="18"/>
                <w:lang w:eastAsia="hr-HR"/>
              </w:rPr>
            </w:pPr>
            <w:r w:rsidRPr="0078259C">
              <w:rPr>
                <w:rFonts w:ascii="Calibri" w:eastAsia="Times New Roman" w:hAnsi="Calibri" w:cs="Calibri"/>
                <w:sz w:val="18"/>
                <w:szCs w:val="18"/>
                <w:lang w:eastAsia="hr-HR"/>
              </w:rPr>
              <w:t>0</w:t>
            </w:r>
          </w:p>
        </w:tc>
        <w:tc>
          <w:tcPr>
            <w:tcW w:w="425" w:type="dxa"/>
            <w:tcBorders>
              <w:top w:val="nil"/>
              <w:left w:val="nil"/>
              <w:bottom w:val="single" w:sz="4" w:space="0" w:color="auto"/>
              <w:right w:val="single" w:sz="4" w:space="0" w:color="auto"/>
            </w:tcBorders>
            <w:shd w:val="clear" w:color="000000" w:fill="FF9900"/>
            <w:noWrap/>
            <w:vAlign w:val="center"/>
            <w:hideMark/>
          </w:tcPr>
          <w:p w14:paraId="6D4DBC71" w14:textId="77777777" w:rsidR="0078259C" w:rsidRPr="0078259C" w:rsidRDefault="0078259C" w:rsidP="0078259C">
            <w:pPr>
              <w:spacing w:after="0" w:line="240" w:lineRule="auto"/>
              <w:jc w:val="right"/>
              <w:rPr>
                <w:rFonts w:ascii="Calibri" w:eastAsia="Times New Roman" w:hAnsi="Calibri" w:cs="Calibri"/>
                <w:sz w:val="18"/>
                <w:szCs w:val="18"/>
                <w:lang w:eastAsia="hr-HR"/>
              </w:rPr>
            </w:pPr>
            <w:r w:rsidRPr="0078259C">
              <w:rPr>
                <w:rFonts w:ascii="Calibri" w:eastAsia="Times New Roman" w:hAnsi="Calibri" w:cs="Calibri"/>
                <w:sz w:val="18"/>
                <w:szCs w:val="18"/>
                <w:lang w:eastAsia="hr-HR"/>
              </w:rPr>
              <w:t>0</w:t>
            </w:r>
          </w:p>
        </w:tc>
        <w:tc>
          <w:tcPr>
            <w:tcW w:w="425" w:type="dxa"/>
            <w:gridSpan w:val="2"/>
            <w:tcBorders>
              <w:top w:val="nil"/>
              <w:left w:val="nil"/>
              <w:bottom w:val="single" w:sz="4" w:space="0" w:color="auto"/>
              <w:right w:val="single" w:sz="4" w:space="0" w:color="auto"/>
            </w:tcBorders>
            <w:shd w:val="clear" w:color="000000" w:fill="66FFCC"/>
            <w:noWrap/>
            <w:vAlign w:val="center"/>
            <w:hideMark/>
          </w:tcPr>
          <w:p w14:paraId="5A4329DE" w14:textId="77777777" w:rsidR="0078259C" w:rsidRPr="0078259C" w:rsidRDefault="0078259C" w:rsidP="0078259C">
            <w:pPr>
              <w:spacing w:after="0" w:line="240" w:lineRule="auto"/>
              <w:jc w:val="right"/>
              <w:rPr>
                <w:rFonts w:ascii="Calibri" w:eastAsia="Times New Roman" w:hAnsi="Calibri" w:cs="Calibri"/>
                <w:sz w:val="18"/>
                <w:szCs w:val="18"/>
                <w:lang w:eastAsia="hr-HR"/>
              </w:rPr>
            </w:pPr>
            <w:r w:rsidRPr="0078259C">
              <w:rPr>
                <w:rFonts w:ascii="Calibri" w:eastAsia="Times New Roman" w:hAnsi="Calibri" w:cs="Calibri"/>
                <w:sz w:val="18"/>
                <w:szCs w:val="18"/>
                <w:lang w:eastAsia="hr-HR"/>
              </w:rPr>
              <w:t>0</w:t>
            </w:r>
          </w:p>
        </w:tc>
        <w:tc>
          <w:tcPr>
            <w:tcW w:w="437" w:type="dxa"/>
            <w:tcBorders>
              <w:top w:val="nil"/>
              <w:left w:val="nil"/>
              <w:bottom w:val="single" w:sz="4" w:space="0" w:color="auto"/>
              <w:right w:val="single" w:sz="4" w:space="0" w:color="auto"/>
            </w:tcBorders>
            <w:shd w:val="clear" w:color="000000" w:fill="66FFCC"/>
            <w:noWrap/>
            <w:vAlign w:val="center"/>
            <w:hideMark/>
          </w:tcPr>
          <w:p w14:paraId="5DAA1C5D" w14:textId="77777777" w:rsidR="0078259C" w:rsidRPr="0078259C" w:rsidRDefault="0078259C" w:rsidP="0078259C">
            <w:pPr>
              <w:spacing w:after="0" w:line="240" w:lineRule="auto"/>
              <w:jc w:val="right"/>
              <w:rPr>
                <w:rFonts w:ascii="Calibri" w:eastAsia="Times New Roman" w:hAnsi="Calibri" w:cs="Calibri"/>
                <w:sz w:val="18"/>
                <w:szCs w:val="18"/>
                <w:lang w:eastAsia="hr-HR"/>
              </w:rPr>
            </w:pPr>
            <w:r w:rsidRPr="0078259C">
              <w:rPr>
                <w:rFonts w:ascii="Calibri" w:eastAsia="Times New Roman" w:hAnsi="Calibri" w:cs="Calibri"/>
                <w:sz w:val="18"/>
                <w:szCs w:val="18"/>
                <w:lang w:eastAsia="hr-HR"/>
              </w:rPr>
              <w:t>0</w:t>
            </w:r>
          </w:p>
        </w:tc>
        <w:tc>
          <w:tcPr>
            <w:tcW w:w="556" w:type="dxa"/>
            <w:tcBorders>
              <w:top w:val="nil"/>
              <w:left w:val="nil"/>
              <w:bottom w:val="single" w:sz="4" w:space="0" w:color="auto"/>
              <w:right w:val="single" w:sz="4" w:space="0" w:color="auto"/>
            </w:tcBorders>
            <w:shd w:val="clear" w:color="000000" w:fill="66FFCC"/>
            <w:noWrap/>
            <w:vAlign w:val="center"/>
            <w:hideMark/>
          </w:tcPr>
          <w:p w14:paraId="620EF925" w14:textId="77777777" w:rsidR="0078259C" w:rsidRPr="0078259C" w:rsidRDefault="0078259C" w:rsidP="0078259C">
            <w:pPr>
              <w:spacing w:after="0" w:line="240" w:lineRule="auto"/>
              <w:jc w:val="right"/>
              <w:rPr>
                <w:rFonts w:ascii="Calibri" w:eastAsia="Times New Roman" w:hAnsi="Calibri" w:cs="Calibri"/>
                <w:sz w:val="18"/>
                <w:szCs w:val="18"/>
                <w:lang w:eastAsia="hr-HR"/>
              </w:rPr>
            </w:pPr>
            <w:r w:rsidRPr="0078259C">
              <w:rPr>
                <w:rFonts w:ascii="Calibri" w:eastAsia="Times New Roman" w:hAnsi="Calibri" w:cs="Calibri"/>
                <w:sz w:val="18"/>
                <w:szCs w:val="18"/>
                <w:lang w:eastAsia="hr-HR"/>
              </w:rPr>
              <w:t>0</w:t>
            </w:r>
          </w:p>
        </w:tc>
        <w:tc>
          <w:tcPr>
            <w:tcW w:w="425" w:type="dxa"/>
            <w:tcBorders>
              <w:top w:val="nil"/>
              <w:left w:val="nil"/>
              <w:bottom w:val="single" w:sz="4" w:space="0" w:color="auto"/>
              <w:right w:val="single" w:sz="4" w:space="0" w:color="auto"/>
            </w:tcBorders>
            <w:shd w:val="clear" w:color="000000" w:fill="66FFCC"/>
            <w:noWrap/>
            <w:vAlign w:val="center"/>
            <w:hideMark/>
          </w:tcPr>
          <w:p w14:paraId="7378E6B7" w14:textId="77777777" w:rsidR="0078259C" w:rsidRPr="0078259C" w:rsidRDefault="0078259C" w:rsidP="0078259C">
            <w:pPr>
              <w:spacing w:after="0" w:line="240" w:lineRule="auto"/>
              <w:jc w:val="right"/>
              <w:rPr>
                <w:rFonts w:ascii="Calibri" w:eastAsia="Times New Roman" w:hAnsi="Calibri" w:cs="Calibri"/>
                <w:sz w:val="18"/>
                <w:szCs w:val="18"/>
                <w:lang w:eastAsia="hr-HR"/>
              </w:rPr>
            </w:pPr>
            <w:r w:rsidRPr="0078259C">
              <w:rPr>
                <w:rFonts w:ascii="Calibri" w:eastAsia="Times New Roman" w:hAnsi="Calibri" w:cs="Calibri"/>
                <w:sz w:val="18"/>
                <w:szCs w:val="18"/>
                <w:lang w:eastAsia="hr-HR"/>
              </w:rPr>
              <w:t>0</w:t>
            </w:r>
          </w:p>
        </w:tc>
        <w:tc>
          <w:tcPr>
            <w:tcW w:w="567" w:type="dxa"/>
            <w:gridSpan w:val="2"/>
            <w:tcBorders>
              <w:top w:val="nil"/>
              <w:left w:val="nil"/>
              <w:bottom w:val="single" w:sz="4" w:space="0" w:color="auto"/>
              <w:right w:val="single" w:sz="4" w:space="0" w:color="auto"/>
            </w:tcBorders>
            <w:shd w:val="clear" w:color="000000" w:fill="FFFF00"/>
            <w:vAlign w:val="center"/>
            <w:hideMark/>
          </w:tcPr>
          <w:p w14:paraId="0037F85D" w14:textId="77777777" w:rsidR="0078259C" w:rsidRPr="0078259C" w:rsidRDefault="0078259C" w:rsidP="0078259C">
            <w:pPr>
              <w:spacing w:after="0" w:line="240" w:lineRule="auto"/>
              <w:jc w:val="right"/>
              <w:rPr>
                <w:rFonts w:ascii="Calibri" w:eastAsia="Times New Roman" w:hAnsi="Calibri" w:cs="Calibri"/>
                <w:sz w:val="18"/>
                <w:szCs w:val="18"/>
                <w:lang w:eastAsia="hr-HR"/>
              </w:rPr>
            </w:pPr>
            <w:r w:rsidRPr="0078259C">
              <w:rPr>
                <w:rFonts w:ascii="Calibri" w:eastAsia="Times New Roman" w:hAnsi="Calibri" w:cs="Calibri"/>
                <w:sz w:val="18"/>
                <w:szCs w:val="18"/>
                <w:lang w:eastAsia="hr-HR"/>
              </w:rPr>
              <w:t>0</w:t>
            </w:r>
          </w:p>
        </w:tc>
        <w:tc>
          <w:tcPr>
            <w:tcW w:w="578" w:type="dxa"/>
            <w:gridSpan w:val="2"/>
            <w:tcBorders>
              <w:top w:val="nil"/>
              <w:left w:val="nil"/>
              <w:bottom w:val="single" w:sz="4" w:space="0" w:color="auto"/>
              <w:right w:val="single" w:sz="4" w:space="0" w:color="auto"/>
            </w:tcBorders>
            <w:shd w:val="clear" w:color="000000" w:fill="FFFF99"/>
            <w:vAlign w:val="center"/>
            <w:hideMark/>
          </w:tcPr>
          <w:p w14:paraId="7E3FC140" w14:textId="77777777" w:rsidR="0078259C" w:rsidRPr="0078259C" w:rsidRDefault="0078259C" w:rsidP="0078259C">
            <w:pPr>
              <w:spacing w:after="0" w:line="240" w:lineRule="auto"/>
              <w:jc w:val="right"/>
              <w:rPr>
                <w:rFonts w:ascii="Calibri" w:eastAsia="Times New Roman" w:hAnsi="Calibri" w:cs="Calibri"/>
                <w:sz w:val="18"/>
                <w:szCs w:val="18"/>
                <w:lang w:eastAsia="hr-HR"/>
              </w:rPr>
            </w:pPr>
            <w:r w:rsidRPr="0078259C">
              <w:rPr>
                <w:rFonts w:ascii="Calibri" w:eastAsia="Times New Roman" w:hAnsi="Calibri" w:cs="Calibri"/>
                <w:sz w:val="18"/>
                <w:szCs w:val="18"/>
                <w:lang w:eastAsia="hr-HR"/>
              </w:rPr>
              <w:t>0</w:t>
            </w:r>
          </w:p>
        </w:tc>
        <w:tc>
          <w:tcPr>
            <w:tcW w:w="839" w:type="dxa"/>
            <w:gridSpan w:val="2"/>
            <w:tcBorders>
              <w:top w:val="nil"/>
              <w:left w:val="nil"/>
              <w:bottom w:val="single" w:sz="4" w:space="0" w:color="auto"/>
              <w:right w:val="single" w:sz="4" w:space="0" w:color="auto"/>
            </w:tcBorders>
            <w:shd w:val="clear" w:color="000000" w:fill="FF9900"/>
            <w:vAlign w:val="center"/>
            <w:hideMark/>
          </w:tcPr>
          <w:p w14:paraId="6EE5C0AA" w14:textId="77777777" w:rsidR="0078259C" w:rsidRPr="0078259C" w:rsidRDefault="0078259C" w:rsidP="0078259C">
            <w:pPr>
              <w:spacing w:after="0" w:line="240" w:lineRule="auto"/>
              <w:jc w:val="right"/>
              <w:rPr>
                <w:rFonts w:ascii="Calibri" w:eastAsia="Times New Roman" w:hAnsi="Calibri" w:cs="Calibri"/>
                <w:sz w:val="18"/>
                <w:szCs w:val="18"/>
                <w:lang w:eastAsia="hr-HR"/>
              </w:rPr>
            </w:pPr>
            <w:r w:rsidRPr="0078259C">
              <w:rPr>
                <w:rFonts w:ascii="Calibri" w:eastAsia="Times New Roman" w:hAnsi="Calibri" w:cs="Calibri"/>
                <w:sz w:val="18"/>
                <w:szCs w:val="18"/>
                <w:lang w:eastAsia="hr-HR"/>
              </w:rPr>
              <w:t>0</w:t>
            </w:r>
          </w:p>
        </w:tc>
        <w:tc>
          <w:tcPr>
            <w:tcW w:w="426" w:type="dxa"/>
            <w:gridSpan w:val="2"/>
            <w:tcBorders>
              <w:top w:val="nil"/>
              <w:left w:val="nil"/>
              <w:bottom w:val="single" w:sz="4" w:space="0" w:color="auto"/>
              <w:right w:val="single" w:sz="4" w:space="0" w:color="auto"/>
            </w:tcBorders>
            <w:shd w:val="clear" w:color="000000" w:fill="CCFFFF"/>
            <w:vAlign w:val="center"/>
            <w:hideMark/>
          </w:tcPr>
          <w:p w14:paraId="7F1D311D" w14:textId="77777777" w:rsidR="0078259C" w:rsidRPr="0078259C" w:rsidRDefault="0078259C" w:rsidP="0078259C">
            <w:pPr>
              <w:spacing w:after="0" w:line="240" w:lineRule="auto"/>
              <w:jc w:val="right"/>
              <w:rPr>
                <w:rFonts w:ascii="Calibri" w:eastAsia="Times New Roman" w:hAnsi="Calibri" w:cs="Calibri"/>
                <w:sz w:val="18"/>
                <w:szCs w:val="18"/>
                <w:lang w:eastAsia="hr-HR"/>
              </w:rPr>
            </w:pPr>
            <w:r w:rsidRPr="0078259C">
              <w:rPr>
                <w:rFonts w:ascii="Calibri" w:eastAsia="Times New Roman" w:hAnsi="Calibri" w:cs="Calibri"/>
                <w:sz w:val="18"/>
                <w:szCs w:val="18"/>
                <w:lang w:eastAsia="hr-HR"/>
              </w:rPr>
              <w:t>0</w:t>
            </w:r>
          </w:p>
        </w:tc>
        <w:tc>
          <w:tcPr>
            <w:tcW w:w="446" w:type="dxa"/>
            <w:tcBorders>
              <w:top w:val="nil"/>
              <w:left w:val="nil"/>
              <w:bottom w:val="single" w:sz="4" w:space="0" w:color="auto"/>
              <w:right w:val="single" w:sz="4" w:space="0" w:color="auto"/>
            </w:tcBorders>
            <w:shd w:val="clear" w:color="000000" w:fill="CCFFFF"/>
            <w:vAlign w:val="center"/>
            <w:hideMark/>
          </w:tcPr>
          <w:p w14:paraId="1DF23360" w14:textId="77777777" w:rsidR="0078259C" w:rsidRPr="0078259C" w:rsidRDefault="0078259C" w:rsidP="0078259C">
            <w:pPr>
              <w:spacing w:after="0" w:line="240" w:lineRule="auto"/>
              <w:jc w:val="right"/>
              <w:rPr>
                <w:rFonts w:ascii="Calibri" w:eastAsia="Times New Roman" w:hAnsi="Calibri" w:cs="Calibri"/>
                <w:sz w:val="18"/>
                <w:szCs w:val="18"/>
                <w:lang w:eastAsia="hr-HR"/>
              </w:rPr>
            </w:pPr>
            <w:r w:rsidRPr="0078259C">
              <w:rPr>
                <w:rFonts w:ascii="Calibri" w:eastAsia="Times New Roman" w:hAnsi="Calibri" w:cs="Calibri"/>
                <w:sz w:val="18"/>
                <w:szCs w:val="18"/>
                <w:lang w:eastAsia="hr-HR"/>
              </w:rPr>
              <w:t>1</w:t>
            </w:r>
          </w:p>
        </w:tc>
        <w:tc>
          <w:tcPr>
            <w:tcW w:w="404" w:type="dxa"/>
            <w:tcBorders>
              <w:top w:val="nil"/>
              <w:left w:val="nil"/>
              <w:bottom w:val="single" w:sz="4" w:space="0" w:color="auto"/>
              <w:right w:val="single" w:sz="4" w:space="0" w:color="auto"/>
            </w:tcBorders>
            <w:shd w:val="clear" w:color="000000" w:fill="CCFFFF"/>
            <w:noWrap/>
            <w:vAlign w:val="center"/>
            <w:hideMark/>
          </w:tcPr>
          <w:p w14:paraId="6FA9BDDE" w14:textId="77777777" w:rsidR="0078259C" w:rsidRPr="0078259C" w:rsidRDefault="0078259C" w:rsidP="0078259C">
            <w:pPr>
              <w:spacing w:after="0" w:line="240" w:lineRule="auto"/>
              <w:jc w:val="right"/>
              <w:rPr>
                <w:rFonts w:ascii="Calibri" w:eastAsia="Times New Roman" w:hAnsi="Calibri" w:cs="Calibri"/>
                <w:sz w:val="18"/>
                <w:szCs w:val="18"/>
                <w:lang w:eastAsia="hr-HR"/>
              </w:rPr>
            </w:pPr>
            <w:r w:rsidRPr="0078259C">
              <w:rPr>
                <w:rFonts w:ascii="Calibri" w:eastAsia="Times New Roman" w:hAnsi="Calibri" w:cs="Calibri"/>
                <w:sz w:val="18"/>
                <w:szCs w:val="18"/>
                <w:lang w:eastAsia="hr-HR"/>
              </w:rPr>
              <w:t>0</w:t>
            </w:r>
          </w:p>
        </w:tc>
        <w:tc>
          <w:tcPr>
            <w:tcW w:w="839" w:type="dxa"/>
            <w:gridSpan w:val="2"/>
            <w:tcBorders>
              <w:top w:val="nil"/>
              <w:left w:val="nil"/>
              <w:bottom w:val="single" w:sz="4" w:space="0" w:color="auto"/>
              <w:right w:val="single" w:sz="4" w:space="0" w:color="auto"/>
            </w:tcBorders>
            <w:shd w:val="clear" w:color="000000" w:fill="33CCCC"/>
            <w:noWrap/>
            <w:vAlign w:val="center"/>
            <w:hideMark/>
          </w:tcPr>
          <w:p w14:paraId="5DE5DF3D" w14:textId="77777777" w:rsidR="0078259C" w:rsidRPr="0078259C" w:rsidRDefault="0078259C" w:rsidP="0078259C">
            <w:pPr>
              <w:spacing w:after="0" w:line="240" w:lineRule="auto"/>
              <w:jc w:val="right"/>
              <w:rPr>
                <w:rFonts w:ascii="Calibri" w:eastAsia="Times New Roman" w:hAnsi="Calibri" w:cs="Calibri"/>
                <w:sz w:val="18"/>
                <w:szCs w:val="18"/>
                <w:lang w:eastAsia="hr-HR"/>
              </w:rPr>
            </w:pPr>
            <w:r w:rsidRPr="0078259C">
              <w:rPr>
                <w:rFonts w:ascii="Calibri" w:eastAsia="Times New Roman" w:hAnsi="Calibri" w:cs="Calibri"/>
                <w:sz w:val="18"/>
                <w:szCs w:val="18"/>
                <w:lang w:eastAsia="hr-HR"/>
              </w:rPr>
              <w:t>0</w:t>
            </w:r>
          </w:p>
        </w:tc>
        <w:tc>
          <w:tcPr>
            <w:tcW w:w="839" w:type="dxa"/>
            <w:tcBorders>
              <w:top w:val="nil"/>
              <w:left w:val="nil"/>
              <w:bottom w:val="single" w:sz="4" w:space="0" w:color="auto"/>
              <w:right w:val="nil"/>
            </w:tcBorders>
            <w:shd w:val="clear" w:color="000000" w:fill="33CCCC"/>
            <w:noWrap/>
            <w:vAlign w:val="center"/>
            <w:hideMark/>
          </w:tcPr>
          <w:p w14:paraId="56B20F16" w14:textId="77777777" w:rsidR="0078259C" w:rsidRPr="0078259C" w:rsidRDefault="0078259C" w:rsidP="0078259C">
            <w:pPr>
              <w:spacing w:after="0" w:line="240" w:lineRule="auto"/>
              <w:jc w:val="right"/>
              <w:rPr>
                <w:rFonts w:ascii="Calibri" w:eastAsia="Times New Roman" w:hAnsi="Calibri" w:cs="Calibri"/>
                <w:sz w:val="18"/>
                <w:szCs w:val="18"/>
                <w:lang w:eastAsia="hr-HR"/>
              </w:rPr>
            </w:pPr>
            <w:r w:rsidRPr="0078259C">
              <w:rPr>
                <w:rFonts w:ascii="Calibri" w:eastAsia="Times New Roman" w:hAnsi="Calibri" w:cs="Calibri"/>
                <w:sz w:val="18"/>
                <w:szCs w:val="18"/>
                <w:lang w:eastAsia="hr-HR"/>
              </w:rPr>
              <w:t>0</w:t>
            </w:r>
          </w:p>
        </w:tc>
        <w:tc>
          <w:tcPr>
            <w:tcW w:w="236" w:type="dxa"/>
            <w:gridSpan w:val="2"/>
            <w:vAlign w:val="center"/>
            <w:hideMark/>
          </w:tcPr>
          <w:p w14:paraId="07F9965D" w14:textId="77777777" w:rsidR="0078259C" w:rsidRPr="0078259C" w:rsidRDefault="0078259C" w:rsidP="0078259C">
            <w:pPr>
              <w:spacing w:after="0" w:line="240" w:lineRule="auto"/>
              <w:rPr>
                <w:rFonts w:ascii="Times New Roman" w:eastAsia="Times New Roman" w:hAnsi="Times New Roman" w:cs="Times New Roman"/>
                <w:sz w:val="18"/>
                <w:szCs w:val="18"/>
                <w:lang w:eastAsia="hr-HR"/>
              </w:rPr>
            </w:pPr>
          </w:p>
        </w:tc>
      </w:tr>
      <w:tr w:rsidR="0078259C" w:rsidRPr="0078259C" w14:paraId="5486B565" w14:textId="77777777" w:rsidTr="0078259C">
        <w:trPr>
          <w:gridAfter w:val="2"/>
          <w:wAfter w:w="44" w:type="dxa"/>
          <w:trHeight w:val="405"/>
        </w:trPr>
        <w:tc>
          <w:tcPr>
            <w:tcW w:w="1394" w:type="dxa"/>
            <w:tcBorders>
              <w:top w:val="single" w:sz="4" w:space="0" w:color="auto"/>
              <w:left w:val="single" w:sz="8" w:space="0" w:color="auto"/>
              <w:bottom w:val="single" w:sz="4" w:space="0" w:color="auto"/>
              <w:right w:val="single" w:sz="4" w:space="0" w:color="auto"/>
            </w:tcBorders>
            <w:shd w:val="clear" w:color="000000" w:fill="CCFFCC"/>
            <w:vAlign w:val="center"/>
            <w:hideMark/>
          </w:tcPr>
          <w:p w14:paraId="577A26B8" w14:textId="77777777" w:rsidR="0078259C" w:rsidRPr="0078259C" w:rsidRDefault="0078259C" w:rsidP="0078259C">
            <w:pPr>
              <w:spacing w:after="0" w:line="240" w:lineRule="auto"/>
              <w:jc w:val="center"/>
              <w:rPr>
                <w:rFonts w:ascii="Calibri" w:eastAsia="Times New Roman" w:hAnsi="Calibri" w:cs="Calibri"/>
                <w:sz w:val="18"/>
                <w:szCs w:val="18"/>
                <w:lang w:eastAsia="hr-HR"/>
              </w:rPr>
            </w:pPr>
            <w:r w:rsidRPr="0078259C">
              <w:rPr>
                <w:rFonts w:ascii="Calibri" w:eastAsia="Times New Roman" w:hAnsi="Calibri" w:cs="Calibri"/>
                <w:sz w:val="18"/>
                <w:szCs w:val="18"/>
                <w:lang w:eastAsia="hr-HR"/>
              </w:rPr>
              <w:t>Genetsko nasljeđe</w:t>
            </w:r>
          </w:p>
        </w:tc>
        <w:tc>
          <w:tcPr>
            <w:tcW w:w="575" w:type="dxa"/>
            <w:tcBorders>
              <w:top w:val="nil"/>
              <w:left w:val="nil"/>
              <w:bottom w:val="single" w:sz="4" w:space="0" w:color="auto"/>
              <w:right w:val="single" w:sz="4" w:space="0" w:color="auto"/>
            </w:tcBorders>
            <w:shd w:val="clear" w:color="000000" w:fill="CCFFCC"/>
            <w:vAlign w:val="center"/>
            <w:hideMark/>
          </w:tcPr>
          <w:p w14:paraId="042C4913" w14:textId="77777777" w:rsidR="0078259C" w:rsidRPr="0078259C" w:rsidRDefault="0078259C" w:rsidP="0078259C">
            <w:pPr>
              <w:spacing w:after="0" w:line="240" w:lineRule="auto"/>
              <w:jc w:val="right"/>
              <w:rPr>
                <w:rFonts w:ascii="Calibri" w:eastAsia="Times New Roman" w:hAnsi="Calibri" w:cs="Calibri"/>
                <w:sz w:val="18"/>
                <w:szCs w:val="18"/>
                <w:lang w:eastAsia="hr-HR"/>
              </w:rPr>
            </w:pPr>
            <w:r w:rsidRPr="0078259C">
              <w:rPr>
                <w:rFonts w:ascii="Calibri" w:eastAsia="Times New Roman" w:hAnsi="Calibri" w:cs="Calibri"/>
                <w:sz w:val="18"/>
                <w:szCs w:val="18"/>
                <w:lang w:eastAsia="hr-HR"/>
              </w:rPr>
              <w:t>0</w:t>
            </w:r>
          </w:p>
        </w:tc>
        <w:tc>
          <w:tcPr>
            <w:tcW w:w="488" w:type="dxa"/>
            <w:tcBorders>
              <w:top w:val="nil"/>
              <w:left w:val="nil"/>
              <w:bottom w:val="single" w:sz="4" w:space="0" w:color="auto"/>
              <w:right w:val="single" w:sz="4" w:space="0" w:color="auto"/>
            </w:tcBorders>
            <w:shd w:val="clear" w:color="000000" w:fill="FFCC99"/>
            <w:noWrap/>
            <w:vAlign w:val="center"/>
            <w:hideMark/>
          </w:tcPr>
          <w:p w14:paraId="31FC046B" w14:textId="77777777" w:rsidR="0078259C" w:rsidRPr="0078259C" w:rsidRDefault="0078259C" w:rsidP="0078259C">
            <w:pPr>
              <w:spacing w:after="0" w:line="240" w:lineRule="auto"/>
              <w:jc w:val="right"/>
              <w:rPr>
                <w:rFonts w:ascii="Calibri" w:eastAsia="Times New Roman" w:hAnsi="Calibri" w:cs="Calibri"/>
                <w:sz w:val="18"/>
                <w:szCs w:val="18"/>
                <w:lang w:eastAsia="hr-HR"/>
              </w:rPr>
            </w:pPr>
            <w:r w:rsidRPr="0078259C">
              <w:rPr>
                <w:rFonts w:ascii="Calibri" w:eastAsia="Times New Roman" w:hAnsi="Calibri" w:cs="Calibri"/>
                <w:sz w:val="18"/>
                <w:szCs w:val="18"/>
                <w:lang w:eastAsia="hr-HR"/>
              </w:rPr>
              <w:t>0</w:t>
            </w:r>
          </w:p>
        </w:tc>
        <w:tc>
          <w:tcPr>
            <w:tcW w:w="500" w:type="dxa"/>
            <w:tcBorders>
              <w:top w:val="nil"/>
              <w:left w:val="nil"/>
              <w:bottom w:val="single" w:sz="4" w:space="0" w:color="auto"/>
              <w:right w:val="single" w:sz="4" w:space="0" w:color="auto"/>
            </w:tcBorders>
            <w:shd w:val="clear" w:color="000000" w:fill="FFCC99"/>
            <w:noWrap/>
            <w:vAlign w:val="center"/>
            <w:hideMark/>
          </w:tcPr>
          <w:p w14:paraId="2C423E49" w14:textId="77777777" w:rsidR="0078259C" w:rsidRPr="0078259C" w:rsidRDefault="0078259C" w:rsidP="0078259C">
            <w:pPr>
              <w:spacing w:after="0" w:line="240" w:lineRule="auto"/>
              <w:jc w:val="right"/>
              <w:rPr>
                <w:rFonts w:ascii="Calibri" w:eastAsia="Times New Roman" w:hAnsi="Calibri" w:cs="Calibri"/>
                <w:sz w:val="18"/>
                <w:szCs w:val="18"/>
                <w:lang w:eastAsia="hr-HR"/>
              </w:rPr>
            </w:pPr>
            <w:r w:rsidRPr="0078259C">
              <w:rPr>
                <w:rFonts w:ascii="Calibri" w:eastAsia="Times New Roman" w:hAnsi="Calibri" w:cs="Calibri"/>
                <w:sz w:val="18"/>
                <w:szCs w:val="18"/>
                <w:lang w:eastAsia="hr-HR"/>
              </w:rPr>
              <w:t>0</w:t>
            </w:r>
          </w:p>
        </w:tc>
        <w:tc>
          <w:tcPr>
            <w:tcW w:w="435" w:type="dxa"/>
            <w:tcBorders>
              <w:top w:val="nil"/>
              <w:left w:val="nil"/>
              <w:bottom w:val="single" w:sz="4" w:space="0" w:color="auto"/>
              <w:right w:val="single" w:sz="4" w:space="0" w:color="auto"/>
            </w:tcBorders>
            <w:shd w:val="clear" w:color="000000" w:fill="CCFFFF"/>
            <w:vAlign w:val="center"/>
            <w:hideMark/>
          </w:tcPr>
          <w:p w14:paraId="045C3FF4" w14:textId="77777777" w:rsidR="0078259C" w:rsidRPr="0078259C" w:rsidRDefault="0078259C" w:rsidP="0078259C">
            <w:pPr>
              <w:spacing w:after="0" w:line="240" w:lineRule="auto"/>
              <w:jc w:val="right"/>
              <w:rPr>
                <w:rFonts w:ascii="Calibri" w:eastAsia="Times New Roman" w:hAnsi="Calibri" w:cs="Calibri"/>
                <w:sz w:val="18"/>
                <w:szCs w:val="18"/>
                <w:lang w:eastAsia="hr-HR"/>
              </w:rPr>
            </w:pPr>
            <w:r w:rsidRPr="0078259C">
              <w:rPr>
                <w:rFonts w:ascii="Calibri" w:eastAsia="Times New Roman" w:hAnsi="Calibri" w:cs="Calibri"/>
                <w:sz w:val="18"/>
                <w:szCs w:val="18"/>
                <w:lang w:eastAsia="hr-HR"/>
              </w:rPr>
              <w:t>0</w:t>
            </w:r>
          </w:p>
        </w:tc>
        <w:tc>
          <w:tcPr>
            <w:tcW w:w="426" w:type="dxa"/>
            <w:tcBorders>
              <w:top w:val="nil"/>
              <w:left w:val="nil"/>
              <w:bottom w:val="single" w:sz="4" w:space="0" w:color="auto"/>
              <w:right w:val="single" w:sz="4" w:space="0" w:color="auto"/>
            </w:tcBorders>
            <w:shd w:val="clear" w:color="000000" w:fill="CCFFFF"/>
            <w:noWrap/>
            <w:vAlign w:val="center"/>
            <w:hideMark/>
          </w:tcPr>
          <w:p w14:paraId="620E276A" w14:textId="77777777" w:rsidR="0078259C" w:rsidRPr="0078259C" w:rsidRDefault="0078259C" w:rsidP="0078259C">
            <w:pPr>
              <w:spacing w:after="0" w:line="240" w:lineRule="auto"/>
              <w:jc w:val="right"/>
              <w:rPr>
                <w:rFonts w:ascii="Calibri" w:eastAsia="Times New Roman" w:hAnsi="Calibri" w:cs="Calibri"/>
                <w:sz w:val="18"/>
                <w:szCs w:val="18"/>
                <w:lang w:eastAsia="hr-HR"/>
              </w:rPr>
            </w:pPr>
            <w:r w:rsidRPr="0078259C">
              <w:rPr>
                <w:rFonts w:ascii="Calibri" w:eastAsia="Times New Roman" w:hAnsi="Calibri" w:cs="Calibri"/>
                <w:sz w:val="18"/>
                <w:szCs w:val="18"/>
                <w:lang w:eastAsia="hr-HR"/>
              </w:rPr>
              <w:t>0</w:t>
            </w:r>
          </w:p>
        </w:tc>
        <w:tc>
          <w:tcPr>
            <w:tcW w:w="425" w:type="dxa"/>
            <w:tcBorders>
              <w:top w:val="nil"/>
              <w:left w:val="nil"/>
              <w:bottom w:val="single" w:sz="4" w:space="0" w:color="auto"/>
              <w:right w:val="single" w:sz="4" w:space="0" w:color="auto"/>
            </w:tcBorders>
            <w:shd w:val="clear" w:color="000000" w:fill="FFFF99"/>
            <w:noWrap/>
            <w:vAlign w:val="center"/>
            <w:hideMark/>
          </w:tcPr>
          <w:p w14:paraId="540AFB0D" w14:textId="77777777" w:rsidR="0078259C" w:rsidRPr="0078259C" w:rsidRDefault="0078259C" w:rsidP="0078259C">
            <w:pPr>
              <w:spacing w:after="0" w:line="240" w:lineRule="auto"/>
              <w:jc w:val="right"/>
              <w:rPr>
                <w:rFonts w:ascii="Calibri" w:eastAsia="Times New Roman" w:hAnsi="Calibri" w:cs="Calibri"/>
                <w:sz w:val="18"/>
                <w:szCs w:val="18"/>
                <w:lang w:eastAsia="hr-HR"/>
              </w:rPr>
            </w:pPr>
            <w:r w:rsidRPr="0078259C">
              <w:rPr>
                <w:rFonts w:ascii="Calibri" w:eastAsia="Times New Roman" w:hAnsi="Calibri" w:cs="Calibri"/>
                <w:sz w:val="18"/>
                <w:szCs w:val="18"/>
                <w:lang w:eastAsia="hr-HR"/>
              </w:rPr>
              <w:t>0</w:t>
            </w:r>
          </w:p>
        </w:tc>
        <w:tc>
          <w:tcPr>
            <w:tcW w:w="567" w:type="dxa"/>
            <w:tcBorders>
              <w:top w:val="nil"/>
              <w:left w:val="nil"/>
              <w:bottom w:val="single" w:sz="4" w:space="0" w:color="auto"/>
              <w:right w:val="single" w:sz="4" w:space="0" w:color="auto"/>
            </w:tcBorders>
            <w:shd w:val="clear" w:color="000000" w:fill="FFFF99"/>
            <w:noWrap/>
            <w:vAlign w:val="center"/>
            <w:hideMark/>
          </w:tcPr>
          <w:p w14:paraId="444E10FE" w14:textId="77777777" w:rsidR="0078259C" w:rsidRPr="0078259C" w:rsidRDefault="0078259C" w:rsidP="0078259C">
            <w:pPr>
              <w:spacing w:after="0" w:line="240" w:lineRule="auto"/>
              <w:jc w:val="right"/>
              <w:rPr>
                <w:rFonts w:ascii="Calibri" w:eastAsia="Times New Roman" w:hAnsi="Calibri" w:cs="Calibri"/>
                <w:sz w:val="18"/>
                <w:szCs w:val="18"/>
                <w:lang w:eastAsia="hr-HR"/>
              </w:rPr>
            </w:pPr>
            <w:r w:rsidRPr="0078259C">
              <w:rPr>
                <w:rFonts w:ascii="Calibri" w:eastAsia="Times New Roman" w:hAnsi="Calibri" w:cs="Calibri"/>
                <w:sz w:val="18"/>
                <w:szCs w:val="18"/>
                <w:lang w:eastAsia="hr-HR"/>
              </w:rPr>
              <w:t>0</w:t>
            </w:r>
          </w:p>
        </w:tc>
        <w:tc>
          <w:tcPr>
            <w:tcW w:w="567" w:type="dxa"/>
            <w:tcBorders>
              <w:top w:val="nil"/>
              <w:left w:val="nil"/>
              <w:bottom w:val="single" w:sz="4" w:space="0" w:color="auto"/>
              <w:right w:val="single" w:sz="4" w:space="0" w:color="auto"/>
            </w:tcBorders>
            <w:shd w:val="clear" w:color="000000" w:fill="FFFF99"/>
            <w:noWrap/>
            <w:vAlign w:val="center"/>
            <w:hideMark/>
          </w:tcPr>
          <w:p w14:paraId="01EEB000" w14:textId="77777777" w:rsidR="0078259C" w:rsidRPr="0078259C" w:rsidRDefault="0078259C" w:rsidP="0078259C">
            <w:pPr>
              <w:spacing w:after="0" w:line="240" w:lineRule="auto"/>
              <w:jc w:val="right"/>
              <w:rPr>
                <w:rFonts w:ascii="Calibri" w:eastAsia="Times New Roman" w:hAnsi="Calibri" w:cs="Calibri"/>
                <w:sz w:val="18"/>
                <w:szCs w:val="18"/>
                <w:lang w:eastAsia="hr-HR"/>
              </w:rPr>
            </w:pPr>
            <w:r w:rsidRPr="0078259C">
              <w:rPr>
                <w:rFonts w:ascii="Calibri" w:eastAsia="Times New Roman" w:hAnsi="Calibri" w:cs="Calibri"/>
                <w:sz w:val="18"/>
                <w:szCs w:val="18"/>
                <w:lang w:eastAsia="hr-HR"/>
              </w:rPr>
              <w:t>0</w:t>
            </w:r>
          </w:p>
        </w:tc>
        <w:tc>
          <w:tcPr>
            <w:tcW w:w="437" w:type="dxa"/>
            <w:tcBorders>
              <w:top w:val="nil"/>
              <w:left w:val="nil"/>
              <w:bottom w:val="single" w:sz="4" w:space="0" w:color="auto"/>
              <w:right w:val="single" w:sz="4" w:space="0" w:color="auto"/>
            </w:tcBorders>
            <w:shd w:val="clear" w:color="000000" w:fill="FFFF99"/>
            <w:noWrap/>
            <w:vAlign w:val="center"/>
            <w:hideMark/>
          </w:tcPr>
          <w:p w14:paraId="3CE2ADAB" w14:textId="77777777" w:rsidR="0078259C" w:rsidRPr="0078259C" w:rsidRDefault="0078259C" w:rsidP="0078259C">
            <w:pPr>
              <w:spacing w:after="0" w:line="240" w:lineRule="auto"/>
              <w:jc w:val="right"/>
              <w:rPr>
                <w:rFonts w:ascii="Calibri" w:eastAsia="Times New Roman" w:hAnsi="Calibri" w:cs="Calibri"/>
                <w:sz w:val="18"/>
                <w:szCs w:val="18"/>
                <w:lang w:eastAsia="hr-HR"/>
              </w:rPr>
            </w:pPr>
            <w:r w:rsidRPr="0078259C">
              <w:rPr>
                <w:rFonts w:ascii="Calibri" w:eastAsia="Times New Roman" w:hAnsi="Calibri" w:cs="Calibri"/>
                <w:sz w:val="18"/>
                <w:szCs w:val="18"/>
                <w:lang w:eastAsia="hr-HR"/>
              </w:rPr>
              <w:t>0</w:t>
            </w:r>
          </w:p>
        </w:tc>
        <w:tc>
          <w:tcPr>
            <w:tcW w:w="413" w:type="dxa"/>
            <w:tcBorders>
              <w:top w:val="nil"/>
              <w:left w:val="nil"/>
              <w:bottom w:val="single" w:sz="4" w:space="0" w:color="auto"/>
              <w:right w:val="single" w:sz="4" w:space="0" w:color="auto"/>
            </w:tcBorders>
            <w:shd w:val="clear" w:color="000000" w:fill="FFFF99"/>
            <w:noWrap/>
            <w:vAlign w:val="center"/>
            <w:hideMark/>
          </w:tcPr>
          <w:p w14:paraId="5F2D3F68" w14:textId="77777777" w:rsidR="0078259C" w:rsidRPr="0078259C" w:rsidRDefault="0078259C" w:rsidP="0078259C">
            <w:pPr>
              <w:spacing w:after="0" w:line="240" w:lineRule="auto"/>
              <w:jc w:val="right"/>
              <w:rPr>
                <w:rFonts w:ascii="Calibri" w:eastAsia="Times New Roman" w:hAnsi="Calibri" w:cs="Calibri"/>
                <w:sz w:val="18"/>
                <w:szCs w:val="18"/>
                <w:lang w:eastAsia="hr-HR"/>
              </w:rPr>
            </w:pPr>
            <w:r w:rsidRPr="0078259C">
              <w:rPr>
                <w:rFonts w:ascii="Calibri" w:eastAsia="Times New Roman" w:hAnsi="Calibri" w:cs="Calibri"/>
                <w:sz w:val="18"/>
                <w:szCs w:val="18"/>
                <w:lang w:eastAsia="hr-HR"/>
              </w:rPr>
              <w:t>0</w:t>
            </w:r>
          </w:p>
        </w:tc>
        <w:tc>
          <w:tcPr>
            <w:tcW w:w="283" w:type="dxa"/>
            <w:gridSpan w:val="2"/>
            <w:tcBorders>
              <w:top w:val="nil"/>
              <w:left w:val="nil"/>
              <w:bottom w:val="single" w:sz="4" w:space="0" w:color="auto"/>
              <w:right w:val="single" w:sz="4" w:space="0" w:color="auto"/>
            </w:tcBorders>
            <w:shd w:val="clear" w:color="000000" w:fill="FF9900"/>
            <w:noWrap/>
            <w:vAlign w:val="center"/>
            <w:hideMark/>
          </w:tcPr>
          <w:p w14:paraId="65E651CB" w14:textId="77777777" w:rsidR="0078259C" w:rsidRPr="0078259C" w:rsidRDefault="0078259C" w:rsidP="0078259C">
            <w:pPr>
              <w:spacing w:after="0" w:line="240" w:lineRule="auto"/>
              <w:jc w:val="right"/>
              <w:rPr>
                <w:rFonts w:ascii="Calibri" w:eastAsia="Times New Roman" w:hAnsi="Calibri" w:cs="Calibri"/>
                <w:sz w:val="18"/>
                <w:szCs w:val="18"/>
                <w:lang w:eastAsia="hr-HR"/>
              </w:rPr>
            </w:pPr>
            <w:r w:rsidRPr="0078259C">
              <w:rPr>
                <w:rFonts w:ascii="Calibri" w:eastAsia="Times New Roman" w:hAnsi="Calibri" w:cs="Calibri"/>
                <w:sz w:val="18"/>
                <w:szCs w:val="18"/>
                <w:lang w:eastAsia="hr-HR"/>
              </w:rPr>
              <w:t>0</w:t>
            </w:r>
          </w:p>
        </w:tc>
        <w:tc>
          <w:tcPr>
            <w:tcW w:w="568" w:type="dxa"/>
            <w:tcBorders>
              <w:top w:val="nil"/>
              <w:left w:val="nil"/>
              <w:bottom w:val="single" w:sz="4" w:space="0" w:color="auto"/>
              <w:right w:val="single" w:sz="4" w:space="0" w:color="auto"/>
            </w:tcBorders>
            <w:shd w:val="clear" w:color="000000" w:fill="FF9900"/>
            <w:noWrap/>
            <w:vAlign w:val="center"/>
            <w:hideMark/>
          </w:tcPr>
          <w:p w14:paraId="4FDCD0DB" w14:textId="77777777" w:rsidR="0078259C" w:rsidRPr="0078259C" w:rsidRDefault="0078259C" w:rsidP="0078259C">
            <w:pPr>
              <w:spacing w:after="0" w:line="240" w:lineRule="auto"/>
              <w:jc w:val="right"/>
              <w:rPr>
                <w:rFonts w:ascii="Calibri" w:eastAsia="Times New Roman" w:hAnsi="Calibri" w:cs="Calibri"/>
                <w:sz w:val="18"/>
                <w:szCs w:val="18"/>
                <w:lang w:eastAsia="hr-HR"/>
              </w:rPr>
            </w:pPr>
            <w:r w:rsidRPr="0078259C">
              <w:rPr>
                <w:rFonts w:ascii="Calibri" w:eastAsia="Times New Roman" w:hAnsi="Calibri" w:cs="Calibri"/>
                <w:sz w:val="18"/>
                <w:szCs w:val="18"/>
                <w:lang w:eastAsia="hr-HR"/>
              </w:rPr>
              <w:t>0</w:t>
            </w:r>
          </w:p>
        </w:tc>
        <w:tc>
          <w:tcPr>
            <w:tcW w:w="425" w:type="dxa"/>
            <w:tcBorders>
              <w:top w:val="nil"/>
              <w:left w:val="nil"/>
              <w:bottom w:val="single" w:sz="4" w:space="0" w:color="auto"/>
              <w:right w:val="single" w:sz="4" w:space="0" w:color="auto"/>
            </w:tcBorders>
            <w:shd w:val="clear" w:color="000000" w:fill="FF9900"/>
            <w:noWrap/>
            <w:vAlign w:val="center"/>
            <w:hideMark/>
          </w:tcPr>
          <w:p w14:paraId="654541EA" w14:textId="77777777" w:rsidR="0078259C" w:rsidRPr="0078259C" w:rsidRDefault="0078259C" w:rsidP="0078259C">
            <w:pPr>
              <w:spacing w:after="0" w:line="240" w:lineRule="auto"/>
              <w:jc w:val="right"/>
              <w:rPr>
                <w:rFonts w:ascii="Calibri" w:eastAsia="Times New Roman" w:hAnsi="Calibri" w:cs="Calibri"/>
                <w:sz w:val="18"/>
                <w:szCs w:val="18"/>
                <w:lang w:eastAsia="hr-HR"/>
              </w:rPr>
            </w:pPr>
            <w:r w:rsidRPr="0078259C">
              <w:rPr>
                <w:rFonts w:ascii="Calibri" w:eastAsia="Times New Roman" w:hAnsi="Calibri" w:cs="Calibri"/>
                <w:sz w:val="18"/>
                <w:szCs w:val="18"/>
                <w:lang w:eastAsia="hr-HR"/>
              </w:rPr>
              <w:t>0</w:t>
            </w:r>
          </w:p>
        </w:tc>
        <w:tc>
          <w:tcPr>
            <w:tcW w:w="425" w:type="dxa"/>
            <w:gridSpan w:val="2"/>
            <w:tcBorders>
              <w:top w:val="nil"/>
              <w:left w:val="nil"/>
              <w:bottom w:val="single" w:sz="4" w:space="0" w:color="auto"/>
              <w:right w:val="single" w:sz="4" w:space="0" w:color="auto"/>
            </w:tcBorders>
            <w:shd w:val="clear" w:color="000000" w:fill="66FFCC"/>
            <w:noWrap/>
            <w:vAlign w:val="center"/>
            <w:hideMark/>
          </w:tcPr>
          <w:p w14:paraId="2CFE9E7A" w14:textId="77777777" w:rsidR="0078259C" w:rsidRPr="0078259C" w:rsidRDefault="0078259C" w:rsidP="0078259C">
            <w:pPr>
              <w:spacing w:after="0" w:line="240" w:lineRule="auto"/>
              <w:jc w:val="right"/>
              <w:rPr>
                <w:rFonts w:ascii="Calibri" w:eastAsia="Times New Roman" w:hAnsi="Calibri" w:cs="Calibri"/>
                <w:sz w:val="18"/>
                <w:szCs w:val="18"/>
                <w:lang w:eastAsia="hr-HR"/>
              </w:rPr>
            </w:pPr>
            <w:r w:rsidRPr="0078259C">
              <w:rPr>
                <w:rFonts w:ascii="Calibri" w:eastAsia="Times New Roman" w:hAnsi="Calibri" w:cs="Calibri"/>
                <w:sz w:val="18"/>
                <w:szCs w:val="18"/>
                <w:lang w:eastAsia="hr-HR"/>
              </w:rPr>
              <w:t>0</w:t>
            </w:r>
          </w:p>
        </w:tc>
        <w:tc>
          <w:tcPr>
            <w:tcW w:w="437" w:type="dxa"/>
            <w:tcBorders>
              <w:top w:val="nil"/>
              <w:left w:val="nil"/>
              <w:bottom w:val="single" w:sz="4" w:space="0" w:color="auto"/>
              <w:right w:val="single" w:sz="4" w:space="0" w:color="auto"/>
            </w:tcBorders>
            <w:shd w:val="clear" w:color="000000" w:fill="66FFCC"/>
            <w:noWrap/>
            <w:vAlign w:val="center"/>
            <w:hideMark/>
          </w:tcPr>
          <w:p w14:paraId="3F127A73" w14:textId="77777777" w:rsidR="0078259C" w:rsidRPr="0078259C" w:rsidRDefault="0078259C" w:rsidP="0078259C">
            <w:pPr>
              <w:spacing w:after="0" w:line="240" w:lineRule="auto"/>
              <w:jc w:val="right"/>
              <w:rPr>
                <w:rFonts w:ascii="Calibri" w:eastAsia="Times New Roman" w:hAnsi="Calibri" w:cs="Calibri"/>
                <w:sz w:val="18"/>
                <w:szCs w:val="18"/>
                <w:lang w:eastAsia="hr-HR"/>
              </w:rPr>
            </w:pPr>
            <w:r w:rsidRPr="0078259C">
              <w:rPr>
                <w:rFonts w:ascii="Calibri" w:eastAsia="Times New Roman" w:hAnsi="Calibri" w:cs="Calibri"/>
                <w:sz w:val="18"/>
                <w:szCs w:val="18"/>
                <w:lang w:eastAsia="hr-HR"/>
              </w:rPr>
              <w:t>0</w:t>
            </w:r>
          </w:p>
        </w:tc>
        <w:tc>
          <w:tcPr>
            <w:tcW w:w="556" w:type="dxa"/>
            <w:tcBorders>
              <w:top w:val="nil"/>
              <w:left w:val="nil"/>
              <w:bottom w:val="single" w:sz="4" w:space="0" w:color="auto"/>
              <w:right w:val="single" w:sz="4" w:space="0" w:color="auto"/>
            </w:tcBorders>
            <w:shd w:val="clear" w:color="000000" w:fill="66FFCC"/>
            <w:noWrap/>
            <w:vAlign w:val="center"/>
            <w:hideMark/>
          </w:tcPr>
          <w:p w14:paraId="42F0563C" w14:textId="77777777" w:rsidR="0078259C" w:rsidRPr="0078259C" w:rsidRDefault="0078259C" w:rsidP="0078259C">
            <w:pPr>
              <w:spacing w:after="0" w:line="240" w:lineRule="auto"/>
              <w:jc w:val="right"/>
              <w:rPr>
                <w:rFonts w:ascii="Calibri" w:eastAsia="Times New Roman" w:hAnsi="Calibri" w:cs="Calibri"/>
                <w:sz w:val="18"/>
                <w:szCs w:val="18"/>
                <w:lang w:eastAsia="hr-HR"/>
              </w:rPr>
            </w:pPr>
            <w:r w:rsidRPr="0078259C">
              <w:rPr>
                <w:rFonts w:ascii="Calibri" w:eastAsia="Times New Roman" w:hAnsi="Calibri" w:cs="Calibri"/>
                <w:sz w:val="18"/>
                <w:szCs w:val="18"/>
                <w:lang w:eastAsia="hr-HR"/>
              </w:rPr>
              <w:t>0</w:t>
            </w:r>
          </w:p>
        </w:tc>
        <w:tc>
          <w:tcPr>
            <w:tcW w:w="425" w:type="dxa"/>
            <w:tcBorders>
              <w:top w:val="nil"/>
              <w:left w:val="nil"/>
              <w:bottom w:val="single" w:sz="4" w:space="0" w:color="auto"/>
              <w:right w:val="single" w:sz="4" w:space="0" w:color="auto"/>
            </w:tcBorders>
            <w:shd w:val="clear" w:color="000000" w:fill="66FFCC"/>
            <w:noWrap/>
            <w:vAlign w:val="center"/>
            <w:hideMark/>
          </w:tcPr>
          <w:p w14:paraId="19290814" w14:textId="77777777" w:rsidR="0078259C" w:rsidRPr="0078259C" w:rsidRDefault="0078259C" w:rsidP="0078259C">
            <w:pPr>
              <w:spacing w:after="0" w:line="240" w:lineRule="auto"/>
              <w:jc w:val="right"/>
              <w:rPr>
                <w:rFonts w:ascii="Calibri" w:eastAsia="Times New Roman" w:hAnsi="Calibri" w:cs="Calibri"/>
                <w:sz w:val="18"/>
                <w:szCs w:val="18"/>
                <w:lang w:eastAsia="hr-HR"/>
              </w:rPr>
            </w:pPr>
            <w:r w:rsidRPr="0078259C">
              <w:rPr>
                <w:rFonts w:ascii="Calibri" w:eastAsia="Times New Roman" w:hAnsi="Calibri" w:cs="Calibri"/>
                <w:sz w:val="18"/>
                <w:szCs w:val="18"/>
                <w:lang w:eastAsia="hr-HR"/>
              </w:rPr>
              <w:t>0</w:t>
            </w:r>
          </w:p>
        </w:tc>
        <w:tc>
          <w:tcPr>
            <w:tcW w:w="567" w:type="dxa"/>
            <w:gridSpan w:val="2"/>
            <w:tcBorders>
              <w:top w:val="nil"/>
              <w:left w:val="nil"/>
              <w:bottom w:val="single" w:sz="4" w:space="0" w:color="auto"/>
              <w:right w:val="single" w:sz="4" w:space="0" w:color="auto"/>
            </w:tcBorders>
            <w:shd w:val="clear" w:color="000000" w:fill="FFFF00"/>
            <w:vAlign w:val="center"/>
            <w:hideMark/>
          </w:tcPr>
          <w:p w14:paraId="5627974B" w14:textId="77777777" w:rsidR="0078259C" w:rsidRPr="0078259C" w:rsidRDefault="0078259C" w:rsidP="0078259C">
            <w:pPr>
              <w:spacing w:after="0" w:line="240" w:lineRule="auto"/>
              <w:jc w:val="right"/>
              <w:rPr>
                <w:rFonts w:ascii="Calibri" w:eastAsia="Times New Roman" w:hAnsi="Calibri" w:cs="Calibri"/>
                <w:sz w:val="18"/>
                <w:szCs w:val="18"/>
                <w:lang w:eastAsia="hr-HR"/>
              </w:rPr>
            </w:pPr>
            <w:r w:rsidRPr="0078259C">
              <w:rPr>
                <w:rFonts w:ascii="Calibri" w:eastAsia="Times New Roman" w:hAnsi="Calibri" w:cs="Calibri"/>
                <w:sz w:val="18"/>
                <w:szCs w:val="18"/>
                <w:lang w:eastAsia="hr-HR"/>
              </w:rPr>
              <w:t>0</w:t>
            </w:r>
          </w:p>
        </w:tc>
        <w:tc>
          <w:tcPr>
            <w:tcW w:w="578" w:type="dxa"/>
            <w:gridSpan w:val="2"/>
            <w:tcBorders>
              <w:top w:val="nil"/>
              <w:left w:val="nil"/>
              <w:bottom w:val="single" w:sz="4" w:space="0" w:color="auto"/>
              <w:right w:val="single" w:sz="4" w:space="0" w:color="auto"/>
            </w:tcBorders>
            <w:shd w:val="clear" w:color="000000" w:fill="FFFF99"/>
            <w:vAlign w:val="center"/>
            <w:hideMark/>
          </w:tcPr>
          <w:p w14:paraId="47E402A5" w14:textId="77777777" w:rsidR="0078259C" w:rsidRPr="0078259C" w:rsidRDefault="0078259C" w:rsidP="0078259C">
            <w:pPr>
              <w:spacing w:after="0" w:line="240" w:lineRule="auto"/>
              <w:jc w:val="right"/>
              <w:rPr>
                <w:rFonts w:ascii="Calibri" w:eastAsia="Times New Roman" w:hAnsi="Calibri" w:cs="Calibri"/>
                <w:sz w:val="18"/>
                <w:szCs w:val="18"/>
                <w:lang w:eastAsia="hr-HR"/>
              </w:rPr>
            </w:pPr>
            <w:r w:rsidRPr="0078259C">
              <w:rPr>
                <w:rFonts w:ascii="Calibri" w:eastAsia="Times New Roman" w:hAnsi="Calibri" w:cs="Calibri"/>
                <w:sz w:val="18"/>
                <w:szCs w:val="18"/>
                <w:lang w:eastAsia="hr-HR"/>
              </w:rPr>
              <w:t>0</w:t>
            </w:r>
          </w:p>
        </w:tc>
        <w:tc>
          <w:tcPr>
            <w:tcW w:w="839" w:type="dxa"/>
            <w:gridSpan w:val="2"/>
            <w:tcBorders>
              <w:top w:val="nil"/>
              <w:left w:val="nil"/>
              <w:bottom w:val="single" w:sz="4" w:space="0" w:color="auto"/>
              <w:right w:val="single" w:sz="4" w:space="0" w:color="auto"/>
            </w:tcBorders>
            <w:shd w:val="clear" w:color="000000" w:fill="FF9900"/>
            <w:vAlign w:val="center"/>
            <w:hideMark/>
          </w:tcPr>
          <w:p w14:paraId="11464B16" w14:textId="77777777" w:rsidR="0078259C" w:rsidRPr="0078259C" w:rsidRDefault="0078259C" w:rsidP="0078259C">
            <w:pPr>
              <w:spacing w:after="0" w:line="240" w:lineRule="auto"/>
              <w:jc w:val="right"/>
              <w:rPr>
                <w:rFonts w:ascii="Calibri" w:eastAsia="Times New Roman" w:hAnsi="Calibri" w:cs="Calibri"/>
                <w:sz w:val="18"/>
                <w:szCs w:val="18"/>
                <w:lang w:eastAsia="hr-HR"/>
              </w:rPr>
            </w:pPr>
            <w:r w:rsidRPr="0078259C">
              <w:rPr>
                <w:rFonts w:ascii="Calibri" w:eastAsia="Times New Roman" w:hAnsi="Calibri" w:cs="Calibri"/>
                <w:sz w:val="18"/>
                <w:szCs w:val="18"/>
                <w:lang w:eastAsia="hr-HR"/>
              </w:rPr>
              <w:t>0</w:t>
            </w:r>
          </w:p>
        </w:tc>
        <w:tc>
          <w:tcPr>
            <w:tcW w:w="426" w:type="dxa"/>
            <w:gridSpan w:val="2"/>
            <w:tcBorders>
              <w:top w:val="nil"/>
              <w:left w:val="nil"/>
              <w:bottom w:val="single" w:sz="4" w:space="0" w:color="auto"/>
              <w:right w:val="single" w:sz="4" w:space="0" w:color="auto"/>
            </w:tcBorders>
            <w:shd w:val="clear" w:color="000000" w:fill="CCFFFF"/>
            <w:vAlign w:val="center"/>
            <w:hideMark/>
          </w:tcPr>
          <w:p w14:paraId="50BB47FC" w14:textId="77777777" w:rsidR="0078259C" w:rsidRPr="0078259C" w:rsidRDefault="0078259C" w:rsidP="0078259C">
            <w:pPr>
              <w:spacing w:after="0" w:line="240" w:lineRule="auto"/>
              <w:jc w:val="right"/>
              <w:rPr>
                <w:rFonts w:ascii="Calibri" w:eastAsia="Times New Roman" w:hAnsi="Calibri" w:cs="Calibri"/>
                <w:sz w:val="18"/>
                <w:szCs w:val="18"/>
                <w:lang w:eastAsia="hr-HR"/>
              </w:rPr>
            </w:pPr>
            <w:r w:rsidRPr="0078259C">
              <w:rPr>
                <w:rFonts w:ascii="Calibri" w:eastAsia="Times New Roman" w:hAnsi="Calibri" w:cs="Calibri"/>
                <w:sz w:val="18"/>
                <w:szCs w:val="18"/>
                <w:lang w:eastAsia="hr-HR"/>
              </w:rPr>
              <w:t>0</w:t>
            </w:r>
          </w:p>
        </w:tc>
        <w:tc>
          <w:tcPr>
            <w:tcW w:w="446" w:type="dxa"/>
            <w:tcBorders>
              <w:top w:val="nil"/>
              <w:left w:val="nil"/>
              <w:bottom w:val="single" w:sz="4" w:space="0" w:color="auto"/>
              <w:right w:val="single" w:sz="4" w:space="0" w:color="auto"/>
            </w:tcBorders>
            <w:shd w:val="clear" w:color="000000" w:fill="CCFFFF"/>
            <w:vAlign w:val="center"/>
            <w:hideMark/>
          </w:tcPr>
          <w:p w14:paraId="3BC562D7" w14:textId="77777777" w:rsidR="0078259C" w:rsidRPr="0078259C" w:rsidRDefault="0078259C" w:rsidP="0078259C">
            <w:pPr>
              <w:spacing w:after="0" w:line="240" w:lineRule="auto"/>
              <w:jc w:val="right"/>
              <w:rPr>
                <w:rFonts w:ascii="Calibri" w:eastAsia="Times New Roman" w:hAnsi="Calibri" w:cs="Calibri"/>
                <w:sz w:val="18"/>
                <w:szCs w:val="18"/>
                <w:lang w:eastAsia="hr-HR"/>
              </w:rPr>
            </w:pPr>
            <w:r w:rsidRPr="0078259C">
              <w:rPr>
                <w:rFonts w:ascii="Calibri" w:eastAsia="Times New Roman" w:hAnsi="Calibri" w:cs="Calibri"/>
                <w:sz w:val="18"/>
                <w:szCs w:val="18"/>
                <w:lang w:eastAsia="hr-HR"/>
              </w:rPr>
              <w:t>0</w:t>
            </w:r>
          </w:p>
        </w:tc>
        <w:tc>
          <w:tcPr>
            <w:tcW w:w="404" w:type="dxa"/>
            <w:tcBorders>
              <w:top w:val="nil"/>
              <w:left w:val="nil"/>
              <w:bottom w:val="single" w:sz="4" w:space="0" w:color="auto"/>
              <w:right w:val="single" w:sz="4" w:space="0" w:color="auto"/>
            </w:tcBorders>
            <w:shd w:val="clear" w:color="000000" w:fill="CCFFFF"/>
            <w:noWrap/>
            <w:vAlign w:val="center"/>
            <w:hideMark/>
          </w:tcPr>
          <w:p w14:paraId="1E6DB936" w14:textId="77777777" w:rsidR="0078259C" w:rsidRPr="0078259C" w:rsidRDefault="0078259C" w:rsidP="0078259C">
            <w:pPr>
              <w:spacing w:after="0" w:line="240" w:lineRule="auto"/>
              <w:jc w:val="right"/>
              <w:rPr>
                <w:rFonts w:ascii="Calibri" w:eastAsia="Times New Roman" w:hAnsi="Calibri" w:cs="Calibri"/>
                <w:sz w:val="18"/>
                <w:szCs w:val="18"/>
                <w:lang w:eastAsia="hr-HR"/>
              </w:rPr>
            </w:pPr>
            <w:r w:rsidRPr="0078259C">
              <w:rPr>
                <w:rFonts w:ascii="Calibri" w:eastAsia="Times New Roman" w:hAnsi="Calibri" w:cs="Calibri"/>
                <w:sz w:val="18"/>
                <w:szCs w:val="18"/>
                <w:lang w:eastAsia="hr-HR"/>
              </w:rPr>
              <w:t>0</w:t>
            </w:r>
          </w:p>
        </w:tc>
        <w:tc>
          <w:tcPr>
            <w:tcW w:w="839" w:type="dxa"/>
            <w:gridSpan w:val="2"/>
            <w:tcBorders>
              <w:top w:val="nil"/>
              <w:left w:val="nil"/>
              <w:bottom w:val="single" w:sz="4" w:space="0" w:color="auto"/>
              <w:right w:val="single" w:sz="4" w:space="0" w:color="auto"/>
            </w:tcBorders>
            <w:shd w:val="clear" w:color="000000" w:fill="33CCCC"/>
            <w:noWrap/>
            <w:vAlign w:val="center"/>
            <w:hideMark/>
          </w:tcPr>
          <w:p w14:paraId="7266FDB1" w14:textId="77777777" w:rsidR="0078259C" w:rsidRPr="0078259C" w:rsidRDefault="0078259C" w:rsidP="0078259C">
            <w:pPr>
              <w:spacing w:after="0" w:line="240" w:lineRule="auto"/>
              <w:jc w:val="right"/>
              <w:rPr>
                <w:rFonts w:ascii="Calibri" w:eastAsia="Times New Roman" w:hAnsi="Calibri" w:cs="Calibri"/>
                <w:sz w:val="18"/>
                <w:szCs w:val="18"/>
                <w:lang w:eastAsia="hr-HR"/>
              </w:rPr>
            </w:pPr>
            <w:r w:rsidRPr="0078259C">
              <w:rPr>
                <w:rFonts w:ascii="Calibri" w:eastAsia="Times New Roman" w:hAnsi="Calibri" w:cs="Calibri"/>
                <w:sz w:val="18"/>
                <w:szCs w:val="18"/>
                <w:lang w:eastAsia="hr-HR"/>
              </w:rPr>
              <w:t>0</w:t>
            </w:r>
          </w:p>
        </w:tc>
        <w:tc>
          <w:tcPr>
            <w:tcW w:w="839" w:type="dxa"/>
            <w:tcBorders>
              <w:top w:val="nil"/>
              <w:left w:val="nil"/>
              <w:bottom w:val="single" w:sz="4" w:space="0" w:color="auto"/>
              <w:right w:val="nil"/>
            </w:tcBorders>
            <w:shd w:val="clear" w:color="000000" w:fill="33CCCC"/>
            <w:noWrap/>
            <w:vAlign w:val="center"/>
            <w:hideMark/>
          </w:tcPr>
          <w:p w14:paraId="741F6E87" w14:textId="77777777" w:rsidR="0078259C" w:rsidRPr="0078259C" w:rsidRDefault="0078259C" w:rsidP="0078259C">
            <w:pPr>
              <w:spacing w:after="0" w:line="240" w:lineRule="auto"/>
              <w:jc w:val="right"/>
              <w:rPr>
                <w:rFonts w:ascii="Calibri" w:eastAsia="Times New Roman" w:hAnsi="Calibri" w:cs="Calibri"/>
                <w:sz w:val="18"/>
                <w:szCs w:val="18"/>
                <w:lang w:eastAsia="hr-HR"/>
              </w:rPr>
            </w:pPr>
            <w:r w:rsidRPr="0078259C">
              <w:rPr>
                <w:rFonts w:ascii="Calibri" w:eastAsia="Times New Roman" w:hAnsi="Calibri" w:cs="Calibri"/>
                <w:sz w:val="18"/>
                <w:szCs w:val="18"/>
                <w:lang w:eastAsia="hr-HR"/>
              </w:rPr>
              <w:t>0</w:t>
            </w:r>
          </w:p>
        </w:tc>
        <w:tc>
          <w:tcPr>
            <w:tcW w:w="236" w:type="dxa"/>
            <w:gridSpan w:val="2"/>
            <w:vAlign w:val="center"/>
            <w:hideMark/>
          </w:tcPr>
          <w:p w14:paraId="74E01B5D" w14:textId="77777777" w:rsidR="0078259C" w:rsidRPr="0078259C" w:rsidRDefault="0078259C" w:rsidP="0078259C">
            <w:pPr>
              <w:spacing w:after="0" w:line="240" w:lineRule="auto"/>
              <w:rPr>
                <w:rFonts w:ascii="Times New Roman" w:eastAsia="Times New Roman" w:hAnsi="Times New Roman" w:cs="Times New Roman"/>
                <w:sz w:val="18"/>
                <w:szCs w:val="18"/>
                <w:lang w:eastAsia="hr-HR"/>
              </w:rPr>
            </w:pPr>
          </w:p>
        </w:tc>
      </w:tr>
      <w:tr w:rsidR="0078259C" w:rsidRPr="0078259C" w14:paraId="50D77FC4" w14:textId="77777777" w:rsidTr="0078259C">
        <w:trPr>
          <w:gridAfter w:val="2"/>
          <w:wAfter w:w="44" w:type="dxa"/>
          <w:trHeight w:val="570"/>
        </w:trPr>
        <w:tc>
          <w:tcPr>
            <w:tcW w:w="1394" w:type="dxa"/>
            <w:tcBorders>
              <w:top w:val="single" w:sz="4" w:space="0" w:color="auto"/>
              <w:left w:val="single" w:sz="8" w:space="0" w:color="auto"/>
              <w:bottom w:val="single" w:sz="4" w:space="0" w:color="auto"/>
              <w:right w:val="single" w:sz="4" w:space="0" w:color="auto"/>
            </w:tcBorders>
            <w:shd w:val="clear" w:color="000000" w:fill="CCFFCC"/>
            <w:vAlign w:val="center"/>
            <w:hideMark/>
          </w:tcPr>
          <w:p w14:paraId="4EE9D236" w14:textId="77777777" w:rsidR="0078259C" w:rsidRPr="0078259C" w:rsidRDefault="0078259C" w:rsidP="0078259C">
            <w:pPr>
              <w:spacing w:after="0" w:line="240" w:lineRule="auto"/>
              <w:jc w:val="center"/>
              <w:rPr>
                <w:rFonts w:ascii="Calibri" w:eastAsia="Times New Roman" w:hAnsi="Calibri" w:cs="Calibri"/>
                <w:sz w:val="18"/>
                <w:szCs w:val="18"/>
                <w:lang w:eastAsia="hr-HR"/>
              </w:rPr>
            </w:pPr>
            <w:r w:rsidRPr="0078259C">
              <w:rPr>
                <w:rFonts w:ascii="Calibri" w:eastAsia="Times New Roman" w:hAnsi="Calibri" w:cs="Calibri"/>
                <w:sz w:val="18"/>
                <w:szCs w:val="18"/>
                <w:lang w:eastAsia="hr-HR"/>
              </w:rPr>
              <w:t>Rodni identitet   rodno izražavanje</w:t>
            </w:r>
          </w:p>
        </w:tc>
        <w:tc>
          <w:tcPr>
            <w:tcW w:w="575" w:type="dxa"/>
            <w:tcBorders>
              <w:top w:val="nil"/>
              <w:left w:val="nil"/>
              <w:bottom w:val="single" w:sz="4" w:space="0" w:color="auto"/>
              <w:right w:val="single" w:sz="4" w:space="0" w:color="auto"/>
            </w:tcBorders>
            <w:shd w:val="clear" w:color="000000" w:fill="CCFFCC"/>
            <w:vAlign w:val="center"/>
            <w:hideMark/>
          </w:tcPr>
          <w:p w14:paraId="7B323862" w14:textId="77777777" w:rsidR="0078259C" w:rsidRPr="0078259C" w:rsidRDefault="0078259C" w:rsidP="0078259C">
            <w:pPr>
              <w:spacing w:after="0" w:line="240" w:lineRule="auto"/>
              <w:jc w:val="right"/>
              <w:rPr>
                <w:rFonts w:ascii="Calibri" w:eastAsia="Times New Roman" w:hAnsi="Calibri" w:cs="Calibri"/>
                <w:sz w:val="18"/>
                <w:szCs w:val="18"/>
                <w:lang w:eastAsia="hr-HR"/>
              </w:rPr>
            </w:pPr>
            <w:r w:rsidRPr="0078259C">
              <w:rPr>
                <w:rFonts w:ascii="Calibri" w:eastAsia="Times New Roman" w:hAnsi="Calibri" w:cs="Calibri"/>
                <w:sz w:val="18"/>
                <w:szCs w:val="18"/>
                <w:lang w:eastAsia="hr-HR"/>
              </w:rPr>
              <w:t>3</w:t>
            </w:r>
          </w:p>
        </w:tc>
        <w:tc>
          <w:tcPr>
            <w:tcW w:w="488" w:type="dxa"/>
            <w:tcBorders>
              <w:top w:val="nil"/>
              <w:left w:val="nil"/>
              <w:bottom w:val="single" w:sz="4" w:space="0" w:color="auto"/>
              <w:right w:val="single" w:sz="4" w:space="0" w:color="auto"/>
            </w:tcBorders>
            <w:shd w:val="clear" w:color="000000" w:fill="FFCC99"/>
            <w:noWrap/>
            <w:vAlign w:val="center"/>
            <w:hideMark/>
          </w:tcPr>
          <w:p w14:paraId="50A9EE7A" w14:textId="77777777" w:rsidR="0078259C" w:rsidRPr="0078259C" w:rsidRDefault="0078259C" w:rsidP="0078259C">
            <w:pPr>
              <w:spacing w:after="0" w:line="240" w:lineRule="auto"/>
              <w:jc w:val="right"/>
              <w:rPr>
                <w:rFonts w:ascii="Calibri" w:eastAsia="Times New Roman" w:hAnsi="Calibri" w:cs="Calibri"/>
                <w:sz w:val="18"/>
                <w:szCs w:val="18"/>
                <w:lang w:eastAsia="hr-HR"/>
              </w:rPr>
            </w:pPr>
            <w:r w:rsidRPr="0078259C">
              <w:rPr>
                <w:rFonts w:ascii="Calibri" w:eastAsia="Times New Roman" w:hAnsi="Calibri" w:cs="Calibri"/>
                <w:sz w:val="18"/>
                <w:szCs w:val="18"/>
                <w:lang w:eastAsia="hr-HR"/>
              </w:rPr>
              <w:t>1</w:t>
            </w:r>
          </w:p>
        </w:tc>
        <w:tc>
          <w:tcPr>
            <w:tcW w:w="500" w:type="dxa"/>
            <w:tcBorders>
              <w:top w:val="nil"/>
              <w:left w:val="nil"/>
              <w:bottom w:val="single" w:sz="4" w:space="0" w:color="auto"/>
              <w:right w:val="single" w:sz="4" w:space="0" w:color="auto"/>
            </w:tcBorders>
            <w:shd w:val="clear" w:color="000000" w:fill="FFCC99"/>
            <w:noWrap/>
            <w:vAlign w:val="center"/>
            <w:hideMark/>
          </w:tcPr>
          <w:p w14:paraId="222EA74C" w14:textId="77777777" w:rsidR="0078259C" w:rsidRPr="0078259C" w:rsidRDefault="0078259C" w:rsidP="0078259C">
            <w:pPr>
              <w:spacing w:after="0" w:line="240" w:lineRule="auto"/>
              <w:jc w:val="right"/>
              <w:rPr>
                <w:rFonts w:ascii="Calibri" w:eastAsia="Times New Roman" w:hAnsi="Calibri" w:cs="Calibri"/>
                <w:sz w:val="18"/>
                <w:szCs w:val="18"/>
                <w:lang w:eastAsia="hr-HR"/>
              </w:rPr>
            </w:pPr>
            <w:r w:rsidRPr="0078259C">
              <w:rPr>
                <w:rFonts w:ascii="Calibri" w:eastAsia="Times New Roman" w:hAnsi="Calibri" w:cs="Calibri"/>
                <w:sz w:val="18"/>
                <w:szCs w:val="18"/>
                <w:lang w:eastAsia="hr-HR"/>
              </w:rPr>
              <w:t>3</w:t>
            </w:r>
          </w:p>
        </w:tc>
        <w:tc>
          <w:tcPr>
            <w:tcW w:w="435" w:type="dxa"/>
            <w:tcBorders>
              <w:top w:val="nil"/>
              <w:left w:val="nil"/>
              <w:bottom w:val="single" w:sz="4" w:space="0" w:color="auto"/>
              <w:right w:val="single" w:sz="4" w:space="0" w:color="auto"/>
            </w:tcBorders>
            <w:shd w:val="clear" w:color="000000" w:fill="CCFFFF"/>
            <w:vAlign w:val="center"/>
            <w:hideMark/>
          </w:tcPr>
          <w:p w14:paraId="72D4D471" w14:textId="77777777" w:rsidR="0078259C" w:rsidRPr="0078259C" w:rsidRDefault="0078259C" w:rsidP="0078259C">
            <w:pPr>
              <w:spacing w:after="0" w:line="240" w:lineRule="auto"/>
              <w:jc w:val="right"/>
              <w:rPr>
                <w:rFonts w:ascii="Calibri" w:eastAsia="Times New Roman" w:hAnsi="Calibri" w:cs="Calibri"/>
                <w:sz w:val="18"/>
                <w:szCs w:val="18"/>
                <w:lang w:eastAsia="hr-HR"/>
              </w:rPr>
            </w:pPr>
            <w:r w:rsidRPr="0078259C">
              <w:rPr>
                <w:rFonts w:ascii="Calibri" w:eastAsia="Times New Roman" w:hAnsi="Calibri" w:cs="Calibri"/>
                <w:sz w:val="18"/>
                <w:szCs w:val="18"/>
                <w:lang w:eastAsia="hr-HR"/>
              </w:rPr>
              <w:t>0</w:t>
            </w:r>
          </w:p>
        </w:tc>
        <w:tc>
          <w:tcPr>
            <w:tcW w:w="426" w:type="dxa"/>
            <w:tcBorders>
              <w:top w:val="nil"/>
              <w:left w:val="nil"/>
              <w:bottom w:val="single" w:sz="4" w:space="0" w:color="auto"/>
              <w:right w:val="single" w:sz="4" w:space="0" w:color="auto"/>
            </w:tcBorders>
            <w:shd w:val="clear" w:color="000000" w:fill="CCFFFF"/>
            <w:noWrap/>
            <w:vAlign w:val="center"/>
            <w:hideMark/>
          </w:tcPr>
          <w:p w14:paraId="69E6D7FA" w14:textId="77777777" w:rsidR="0078259C" w:rsidRPr="0078259C" w:rsidRDefault="0078259C" w:rsidP="0078259C">
            <w:pPr>
              <w:spacing w:after="0" w:line="240" w:lineRule="auto"/>
              <w:jc w:val="right"/>
              <w:rPr>
                <w:rFonts w:ascii="Calibri" w:eastAsia="Times New Roman" w:hAnsi="Calibri" w:cs="Calibri"/>
                <w:sz w:val="18"/>
                <w:szCs w:val="18"/>
                <w:lang w:eastAsia="hr-HR"/>
              </w:rPr>
            </w:pPr>
            <w:r w:rsidRPr="0078259C">
              <w:rPr>
                <w:rFonts w:ascii="Calibri" w:eastAsia="Times New Roman" w:hAnsi="Calibri" w:cs="Calibri"/>
                <w:sz w:val="18"/>
                <w:szCs w:val="18"/>
                <w:lang w:eastAsia="hr-HR"/>
              </w:rPr>
              <w:t>0</w:t>
            </w:r>
          </w:p>
        </w:tc>
        <w:tc>
          <w:tcPr>
            <w:tcW w:w="425" w:type="dxa"/>
            <w:tcBorders>
              <w:top w:val="nil"/>
              <w:left w:val="nil"/>
              <w:bottom w:val="single" w:sz="4" w:space="0" w:color="auto"/>
              <w:right w:val="single" w:sz="4" w:space="0" w:color="auto"/>
            </w:tcBorders>
            <w:shd w:val="clear" w:color="000000" w:fill="FFFF99"/>
            <w:noWrap/>
            <w:vAlign w:val="center"/>
            <w:hideMark/>
          </w:tcPr>
          <w:p w14:paraId="57F8856F" w14:textId="77777777" w:rsidR="0078259C" w:rsidRPr="0078259C" w:rsidRDefault="0078259C" w:rsidP="0078259C">
            <w:pPr>
              <w:spacing w:after="0" w:line="240" w:lineRule="auto"/>
              <w:jc w:val="right"/>
              <w:rPr>
                <w:rFonts w:ascii="Calibri" w:eastAsia="Times New Roman" w:hAnsi="Calibri" w:cs="Calibri"/>
                <w:sz w:val="18"/>
                <w:szCs w:val="18"/>
                <w:lang w:eastAsia="hr-HR"/>
              </w:rPr>
            </w:pPr>
            <w:r w:rsidRPr="0078259C">
              <w:rPr>
                <w:rFonts w:ascii="Calibri" w:eastAsia="Times New Roman" w:hAnsi="Calibri" w:cs="Calibri"/>
                <w:sz w:val="18"/>
                <w:szCs w:val="18"/>
                <w:lang w:eastAsia="hr-HR"/>
              </w:rPr>
              <w:t>1</w:t>
            </w:r>
          </w:p>
        </w:tc>
        <w:tc>
          <w:tcPr>
            <w:tcW w:w="567" w:type="dxa"/>
            <w:tcBorders>
              <w:top w:val="nil"/>
              <w:left w:val="nil"/>
              <w:bottom w:val="single" w:sz="4" w:space="0" w:color="auto"/>
              <w:right w:val="single" w:sz="4" w:space="0" w:color="auto"/>
            </w:tcBorders>
            <w:shd w:val="clear" w:color="000000" w:fill="FFFF99"/>
            <w:noWrap/>
            <w:vAlign w:val="center"/>
            <w:hideMark/>
          </w:tcPr>
          <w:p w14:paraId="7423D793" w14:textId="77777777" w:rsidR="0078259C" w:rsidRPr="0078259C" w:rsidRDefault="0078259C" w:rsidP="0078259C">
            <w:pPr>
              <w:spacing w:after="0" w:line="240" w:lineRule="auto"/>
              <w:jc w:val="right"/>
              <w:rPr>
                <w:rFonts w:ascii="Calibri" w:eastAsia="Times New Roman" w:hAnsi="Calibri" w:cs="Calibri"/>
                <w:sz w:val="18"/>
                <w:szCs w:val="18"/>
                <w:lang w:eastAsia="hr-HR"/>
              </w:rPr>
            </w:pPr>
            <w:r w:rsidRPr="0078259C">
              <w:rPr>
                <w:rFonts w:ascii="Calibri" w:eastAsia="Times New Roman" w:hAnsi="Calibri" w:cs="Calibri"/>
                <w:sz w:val="18"/>
                <w:szCs w:val="18"/>
                <w:lang w:eastAsia="hr-HR"/>
              </w:rPr>
              <w:t>0</w:t>
            </w:r>
          </w:p>
        </w:tc>
        <w:tc>
          <w:tcPr>
            <w:tcW w:w="567" w:type="dxa"/>
            <w:tcBorders>
              <w:top w:val="nil"/>
              <w:left w:val="nil"/>
              <w:bottom w:val="single" w:sz="4" w:space="0" w:color="auto"/>
              <w:right w:val="single" w:sz="4" w:space="0" w:color="auto"/>
            </w:tcBorders>
            <w:shd w:val="clear" w:color="000000" w:fill="FFFF99"/>
            <w:noWrap/>
            <w:vAlign w:val="center"/>
            <w:hideMark/>
          </w:tcPr>
          <w:p w14:paraId="1E1223F5" w14:textId="77777777" w:rsidR="0078259C" w:rsidRPr="0078259C" w:rsidRDefault="0078259C" w:rsidP="0078259C">
            <w:pPr>
              <w:spacing w:after="0" w:line="240" w:lineRule="auto"/>
              <w:jc w:val="right"/>
              <w:rPr>
                <w:rFonts w:ascii="Calibri" w:eastAsia="Times New Roman" w:hAnsi="Calibri" w:cs="Calibri"/>
                <w:sz w:val="18"/>
                <w:szCs w:val="18"/>
                <w:lang w:eastAsia="hr-HR"/>
              </w:rPr>
            </w:pPr>
            <w:r w:rsidRPr="0078259C">
              <w:rPr>
                <w:rFonts w:ascii="Calibri" w:eastAsia="Times New Roman" w:hAnsi="Calibri" w:cs="Calibri"/>
                <w:sz w:val="18"/>
                <w:szCs w:val="18"/>
                <w:lang w:eastAsia="hr-HR"/>
              </w:rPr>
              <w:t>0</w:t>
            </w:r>
          </w:p>
        </w:tc>
        <w:tc>
          <w:tcPr>
            <w:tcW w:w="437" w:type="dxa"/>
            <w:tcBorders>
              <w:top w:val="nil"/>
              <w:left w:val="nil"/>
              <w:bottom w:val="single" w:sz="4" w:space="0" w:color="auto"/>
              <w:right w:val="single" w:sz="4" w:space="0" w:color="auto"/>
            </w:tcBorders>
            <w:shd w:val="clear" w:color="000000" w:fill="FFFF99"/>
            <w:noWrap/>
            <w:vAlign w:val="center"/>
            <w:hideMark/>
          </w:tcPr>
          <w:p w14:paraId="38FA23BA" w14:textId="77777777" w:rsidR="0078259C" w:rsidRPr="0078259C" w:rsidRDefault="0078259C" w:rsidP="0078259C">
            <w:pPr>
              <w:spacing w:after="0" w:line="240" w:lineRule="auto"/>
              <w:jc w:val="right"/>
              <w:rPr>
                <w:rFonts w:ascii="Calibri" w:eastAsia="Times New Roman" w:hAnsi="Calibri" w:cs="Calibri"/>
                <w:sz w:val="18"/>
                <w:szCs w:val="18"/>
                <w:lang w:eastAsia="hr-HR"/>
              </w:rPr>
            </w:pPr>
            <w:r w:rsidRPr="0078259C">
              <w:rPr>
                <w:rFonts w:ascii="Calibri" w:eastAsia="Times New Roman" w:hAnsi="Calibri" w:cs="Calibri"/>
                <w:sz w:val="18"/>
                <w:szCs w:val="18"/>
                <w:lang w:eastAsia="hr-HR"/>
              </w:rPr>
              <w:t>0</w:t>
            </w:r>
          </w:p>
        </w:tc>
        <w:tc>
          <w:tcPr>
            <w:tcW w:w="413" w:type="dxa"/>
            <w:tcBorders>
              <w:top w:val="nil"/>
              <w:left w:val="nil"/>
              <w:bottom w:val="single" w:sz="4" w:space="0" w:color="auto"/>
              <w:right w:val="single" w:sz="4" w:space="0" w:color="auto"/>
            </w:tcBorders>
            <w:shd w:val="clear" w:color="000000" w:fill="FFFF99"/>
            <w:noWrap/>
            <w:vAlign w:val="center"/>
            <w:hideMark/>
          </w:tcPr>
          <w:p w14:paraId="6F397979" w14:textId="77777777" w:rsidR="0078259C" w:rsidRPr="0078259C" w:rsidRDefault="0078259C" w:rsidP="0078259C">
            <w:pPr>
              <w:spacing w:after="0" w:line="240" w:lineRule="auto"/>
              <w:jc w:val="right"/>
              <w:rPr>
                <w:rFonts w:ascii="Calibri" w:eastAsia="Times New Roman" w:hAnsi="Calibri" w:cs="Calibri"/>
                <w:sz w:val="18"/>
                <w:szCs w:val="18"/>
                <w:lang w:eastAsia="hr-HR"/>
              </w:rPr>
            </w:pPr>
            <w:r w:rsidRPr="0078259C">
              <w:rPr>
                <w:rFonts w:ascii="Calibri" w:eastAsia="Times New Roman" w:hAnsi="Calibri" w:cs="Calibri"/>
                <w:sz w:val="18"/>
                <w:szCs w:val="18"/>
                <w:lang w:eastAsia="hr-HR"/>
              </w:rPr>
              <w:t>0</w:t>
            </w:r>
          </w:p>
        </w:tc>
        <w:tc>
          <w:tcPr>
            <w:tcW w:w="283" w:type="dxa"/>
            <w:gridSpan w:val="2"/>
            <w:tcBorders>
              <w:top w:val="nil"/>
              <w:left w:val="nil"/>
              <w:bottom w:val="single" w:sz="4" w:space="0" w:color="auto"/>
              <w:right w:val="single" w:sz="4" w:space="0" w:color="auto"/>
            </w:tcBorders>
            <w:shd w:val="clear" w:color="000000" w:fill="FF9900"/>
            <w:noWrap/>
            <w:vAlign w:val="center"/>
            <w:hideMark/>
          </w:tcPr>
          <w:p w14:paraId="0AF60E2C" w14:textId="77777777" w:rsidR="0078259C" w:rsidRPr="0078259C" w:rsidRDefault="0078259C" w:rsidP="0078259C">
            <w:pPr>
              <w:spacing w:after="0" w:line="240" w:lineRule="auto"/>
              <w:jc w:val="right"/>
              <w:rPr>
                <w:rFonts w:ascii="Calibri" w:eastAsia="Times New Roman" w:hAnsi="Calibri" w:cs="Calibri"/>
                <w:sz w:val="18"/>
                <w:szCs w:val="18"/>
                <w:lang w:eastAsia="hr-HR"/>
              </w:rPr>
            </w:pPr>
            <w:r w:rsidRPr="0078259C">
              <w:rPr>
                <w:rFonts w:ascii="Calibri" w:eastAsia="Times New Roman" w:hAnsi="Calibri" w:cs="Calibri"/>
                <w:sz w:val="18"/>
                <w:szCs w:val="18"/>
                <w:lang w:eastAsia="hr-HR"/>
              </w:rPr>
              <w:t>1</w:t>
            </w:r>
          </w:p>
        </w:tc>
        <w:tc>
          <w:tcPr>
            <w:tcW w:w="568" w:type="dxa"/>
            <w:tcBorders>
              <w:top w:val="nil"/>
              <w:left w:val="nil"/>
              <w:bottom w:val="single" w:sz="4" w:space="0" w:color="auto"/>
              <w:right w:val="single" w:sz="4" w:space="0" w:color="auto"/>
            </w:tcBorders>
            <w:shd w:val="clear" w:color="000000" w:fill="FF9900"/>
            <w:noWrap/>
            <w:vAlign w:val="center"/>
            <w:hideMark/>
          </w:tcPr>
          <w:p w14:paraId="1C8A612A" w14:textId="77777777" w:rsidR="0078259C" w:rsidRPr="0078259C" w:rsidRDefault="0078259C" w:rsidP="0078259C">
            <w:pPr>
              <w:spacing w:after="0" w:line="240" w:lineRule="auto"/>
              <w:jc w:val="right"/>
              <w:rPr>
                <w:rFonts w:ascii="Calibri" w:eastAsia="Times New Roman" w:hAnsi="Calibri" w:cs="Calibri"/>
                <w:sz w:val="18"/>
                <w:szCs w:val="18"/>
                <w:lang w:eastAsia="hr-HR"/>
              </w:rPr>
            </w:pPr>
            <w:r w:rsidRPr="0078259C">
              <w:rPr>
                <w:rFonts w:ascii="Calibri" w:eastAsia="Times New Roman" w:hAnsi="Calibri" w:cs="Calibri"/>
                <w:sz w:val="18"/>
                <w:szCs w:val="18"/>
                <w:lang w:eastAsia="hr-HR"/>
              </w:rPr>
              <w:t>0</w:t>
            </w:r>
          </w:p>
        </w:tc>
        <w:tc>
          <w:tcPr>
            <w:tcW w:w="425" w:type="dxa"/>
            <w:tcBorders>
              <w:top w:val="nil"/>
              <w:left w:val="nil"/>
              <w:bottom w:val="single" w:sz="4" w:space="0" w:color="auto"/>
              <w:right w:val="single" w:sz="4" w:space="0" w:color="auto"/>
            </w:tcBorders>
            <w:shd w:val="clear" w:color="000000" w:fill="FF9900"/>
            <w:noWrap/>
            <w:vAlign w:val="center"/>
            <w:hideMark/>
          </w:tcPr>
          <w:p w14:paraId="03BE3E0F" w14:textId="77777777" w:rsidR="0078259C" w:rsidRPr="0078259C" w:rsidRDefault="0078259C" w:rsidP="0078259C">
            <w:pPr>
              <w:spacing w:after="0" w:line="240" w:lineRule="auto"/>
              <w:jc w:val="right"/>
              <w:rPr>
                <w:rFonts w:ascii="Calibri" w:eastAsia="Times New Roman" w:hAnsi="Calibri" w:cs="Calibri"/>
                <w:sz w:val="18"/>
                <w:szCs w:val="18"/>
                <w:lang w:eastAsia="hr-HR"/>
              </w:rPr>
            </w:pPr>
            <w:r w:rsidRPr="0078259C">
              <w:rPr>
                <w:rFonts w:ascii="Calibri" w:eastAsia="Times New Roman" w:hAnsi="Calibri" w:cs="Calibri"/>
                <w:sz w:val="18"/>
                <w:szCs w:val="18"/>
                <w:lang w:eastAsia="hr-HR"/>
              </w:rPr>
              <w:t>0</w:t>
            </w:r>
          </w:p>
        </w:tc>
        <w:tc>
          <w:tcPr>
            <w:tcW w:w="425" w:type="dxa"/>
            <w:gridSpan w:val="2"/>
            <w:tcBorders>
              <w:top w:val="nil"/>
              <w:left w:val="nil"/>
              <w:bottom w:val="single" w:sz="4" w:space="0" w:color="auto"/>
              <w:right w:val="single" w:sz="4" w:space="0" w:color="auto"/>
            </w:tcBorders>
            <w:shd w:val="clear" w:color="000000" w:fill="66FFCC"/>
            <w:noWrap/>
            <w:vAlign w:val="center"/>
            <w:hideMark/>
          </w:tcPr>
          <w:p w14:paraId="345F88F6" w14:textId="77777777" w:rsidR="0078259C" w:rsidRPr="0078259C" w:rsidRDefault="0078259C" w:rsidP="0078259C">
            <w:pPr>
              <w:spacing w:after="0" w:line="240" w:lineRule="auto"/>
              <w:jc w:val="right"/>
              <w:rPr>
                <w:rFonts w:ascii="Calibri" w:eastAsia="Times New Roman" w:hAnsi="Calibri" w:cs="Calibri"/>
                <w:sz w:val="18"/>
                <w:szCs w:val="18"/>
                <w:lang w:eastAsia="hr-HR"/>
              </w:rPr>
            </w:pPr>
            <w:r w:rsidRPr="0078259C">
              <w:rPr>
                <w:rFonts w:ascii="Calibri" w:eastAsia="Times New Roman" w:hAnsi="Calibri" w:cs="Calibri"/>
                <w:sz w:val="18"/>
                <w:szCs w:val="18"/>
                <w:lang w:eastAsia="hr-HR"/>
              </w:rPr>
              <w:t>0</w:t>
            </w:r>
          </w:p>
        </w:tc>
        <w:tc>
          <w:tcPr>
            <w:tcW w:w="437" w:type="dxa"/>
            <w:tcBorders>
              <w:top w:val="nil"/>
              <w:left w:val="nil"/>
              <w:bottom w:val="single" w:sz="4" w:space="0" w:color="auto"/>
              <w:right w:val="single" w:sz="4" w:space="0" w:color="auto"/>
            </w:tcBorders>
            <w:shd w:val="clear" w:color="000000" w:fill="66FFCC"/>
            <w:noWrap/>
            <w:vAlign w:val="center"/>
            <w:hideMark/>
          </w:tcPr>
          <w:p w14:paraId="50161218" w14:textId="77777777" w:rsidR="0078259C" w:rsidRPr="0078259C" w:rsidRDefault="0078259C" w:rsidP="0078259C">
            <w:pPr>
              <w:spacing w:after="0" w:line="240" w:lineRule="auto"/>
              <w:jc w:val="right"/>
              <w:rPr>
                <w:rFonts w:ascii="Calibri" w:eastAsia="Times New Roman" w:hAnsi="Calibri" w:cs="Calibri"/>
                <w:sz w:val="18"/>
                <w:szCs w:val="18"/>
                <w:lang w:eastAsia="hr-HR"/>
              </w:rPr>
            </w:pPr>
            <w:r w:rsidRPr="0078259C">
              <w:rPr>
                <w:rFonts w:ascii="Calibri" w:eastAsia="Times New Roman" w:hAnsi="Calibri" w:cs="Calibri"/>
                <w:sz w:val="18"/>
                <w:szCs w:val="18"/>
                <w:lang w:eastAsia="hr-HR"/>
              </w:rPr>
              <w:t>0</w:t>
            </w:r>
          </w:p>
        </w:tc>
        <w:tc>
          <w:tcPr>
            <w:tcW w:w="556" w:type="dxa"/>
            <w:tcBorders>
              <w:top w:val="nil"/>
              <w:left w:val="nil"/>
              <w:bottom w:val="single" w:sz="4" w:space="0" w:color="auto"/>
              <w:right w:val="single" w:sz="4" w:space="0" w:color="auto"/>
            </w:tcBorders>
            <w:shd w:val="clear" w:color="000000" w:fill="66FFCC"/>
            <w:noWrap/>
            <w:vAlign w:val="center"/>
            <w:hideMark/>
          </w:tcPr>
          <w:p w14:paraId="79C0FC8E" w14:textId="77777777" w:rsidR="0078259C" w:rsidRPr="0078259C" w:rsidRDefault="0078259C" w:rsidP="0078259C">
            <w:pPr>
              <w:spacing w:after="0" w:line="240" w:lineRule="auto"/>
              <w:jc w:val="right"/>
              <w:rPr>
                <w:rFonts w:ascii="Calibri" w:eastAsia="Times New Roman" w:hAnsi="Calibri" w:cs="Calibri"/>
                <w:sz w:val="18"/>
                <w:szCs w:val="18"/>
                <w:lang w:eastAsia="hr-HR"/>
              </w:rPr>
            </w:pPr>
            <w:r w:rsidRPr="0078259C">
              <w:rPr>
                <w:rFonts w:ascii="Calibri" w:eastAsia="Times New Roman" w:hAnsi="Calibri" w:cs="Calibri"/>
                <w:sz w:val="18"/>
                <w:szCs w:val="18"/>
                <w:lang w:eastAsia="hr-HR"/>
              </w:rPr>
              <w:t>2</w:t>
            </w:r>
          </w:p>
        </w:tc>
        <w:tc>
          <w:tcPr>
            <w:tcW w:w="425" w:type="dxa"/>
            <w:tcBorders>
              <w:top w:val="nil"/>
              <w:left w:val="nil"/>
              <w:bottom w:val="single" w:sz="4" w:space="0" w:color="auto"/>
              <w:right w:val="single" w:sz="4" w:space="0" w:color="auto"/>
            </w:tcBorders>
            <w:shd w:val="clear" w:color="000000" w:fill="66FFCC"/>
            <w:noWrap/>
            <w:vAlign w:val="center"/>
            <w:hideMark/>
          </w:tcPr>
          <w:p w14:paraId="7BA5CB9E" w14:textId="77777777" w:rsidR="0078259C" w:rsidRPr="0078259C" w:rsidRDefault="0078259C" w:rsidP="0078259C">
            <w:pPr>
              <w:spacing w:after="0" w:line="240" w:lineRule="auto"/>
              <w:jc w:val="right"/>
              <w:rPr>
                <w:rFonts w:ascii="Calibri" w:eastAsia="Times New Roman" w:hAnsi="Calibri" w:cs="Calibri"/>
                <w:sz w:val="18"/>
                <w:szCs w:val="18"/>
                <w:lang w:eastAsia="hr-HR"/>
              </w:rPr>
            </w:pPr>
            <w:r w:rsidRPr="0078259C">
              <w:rPr>
                <w:rFonts w:ascii="Calibri" w:eastAsia="Times New Roman" w:hAnsi="Calibri" w:cs="Calibri"/>
                <w:sz w:val="18"/>
                <w:szCs w:val="18"/>
                <w:lang w:eastAsia="hr-HR"/>
              </w:rPr>
              <w:t>2</w:t>
            </w:r>
          </w:p>
        </w:tc>
        <w:tc>
          <w:tcPr>
            <w:tcW w:w="567" w:type="dxa"/>
            <w:gridSpan w:val="2"/>
            <w:tcBorders>
              <w:top w:val="nil"/>
              <w:left w:val="nil"/>
              <w:bottom w:val="single" w:sz="4" w:space="0" w:color="auto"/>
              <w:right w:val="single" w:sz="4" w:space="0" w:color="auto"/>
            </w:tcBorders>
            <w:shd w:val="clear" w:color="000000" w:fill="FFFF00"/>
            <w:vAlign w:val="center"/>
            <w:hideMark/>
          </w:tcPr>
          <w:p w14:paraId="22816C4E" w14:textId="77777777" w:rsidR="0078259C" w:rsidRPr="0078259C" w:rsidRDefault="0078259C" w:rsidP="0078259C">
            <w:pPr>
              <w:spacing w:after="0" w:line="240" w:lineRule="auto"/>
              <w:jc w:val="right"/>
              <w:rPr>
                <w:rFonts w:ascii="Calibri" w:eastAsia="Times New Roman" w:hAnsi="Calibri" w:cs="Calibri"/>
                <w:sz w:val="18"/>
                <w:szCs w:val="18"/>
                <w:lang w:eastAsia="hr-HR"/>
              </w:rPr>
            </w:pPr>
            <w:r w:rsidRPr="0078259C">
              <w:rPr>
                <w:rFonts w:ascii="Calibri" w:eastAsia="Times New Roman" w:hAnsi="Calibri" w:cs="Calibri"/>
                <w:sz w:val="18"/>
                <w:szCs w:val="18"/>
                <w:lang w:eastAsia="hr-HR"/>
              </w:rPr>
              <w:t>1</w:t>
            </w:r>
          </w:p>
        </w:tc>
        <w:tc>
          <w:tcPr>
            <w:tcW w:w="578" w:type="dxa"/>
            <w:gridSpan w:val="2"/>
            <w:tcBorders>
              <w:top w:val="nil"/>
              <w:left w:val="nil"/>
              <w:bottom w:val="single" w:sz="4" w:space="0" w:color="auto"/>
              <w:right w:val="single" w:sz="4" w:space="0" w:color="auto"/>
            </w:tcBorders>
            <w:shd w:val="clear" w:color="000000" w:fill="FFFF99"/>
            <w:vAlign w:val="center"/>
            <w:hideMark/>
          </w:tcPr>
          <w:p w14:paraId="5A24A235" w14:textId="77777777" w:rsidR="0078259C" w:rsidRPr="0078259C" w:rsidRDefault="0078259C" w:rsidP="0078259C">
            <w:pPr>
              <w:spacing w:after="0" w:line="240" w:lineRule="auto"/>
              <w:jc w:val="right"/>
              <w:rPr>
                <w:rFonts w:ascii="Calibri" w:eastAsia="Times New Roman" w:hAnsi="Calibri" w:cs="Calibri"/>
                <w:sz w:val="18"/>
                <w:szCs w:val="18"/>
                <w:lang w:eastAsia="hr-HR"/>
              </w:rPr>
            </w:pPr>
            <w:r w:rsidRPr="0078259C">
              <w:rPr>
                <w:rFonts w:ascii="Calibri" w:eastAsia="Times New Roman" w:hAnsi="Calibri" w:cs="Calibri"/>
                <w:sz w:val="18"/>
                <w:szCs w:val="18"/>
                <w:lang w:eastAsia="hr-HR"/>
              </w:rPr>
              <w:t>3</w:t>
            </w:r>
          </w:p>
        </w:tc>
        <w:tc>
          <w:tcPr>
            <w:tcW w:w="839" w:type="dxa"/>
            <w:gridSpan w:val="2"/>
            <w:tcBorders>
              <w:top w:val="nil"/>
              <w:left w:val="nil"/>
              <w:bottom w:val="single" w:sz="4" w:space="0" w:color="auto"/>
              <w:right w:val="single" w:sz="4" w:space="0" w:color="auto"/>
            </w:tcBorders>
            <w:shd w:val="clear" w:color="000000" w:fill="FF9900"/>
            <w:vAlign w:val="center"/>
            <w:hideMark/>
          </w:tcPr>
          <w:p w14:paraId="4A6FBC18" w14:textId="77777777" w:rsidR="0078259C" w:rsidRPr="0078259C" w:rsidRDefault="0078259C" w:rsidP="0078259C">
            <w:pPr>
              <w:spacing w:after="0" w:line="240" w:lineRule="auto"/>
              <w:jc w:val="right"/>
              <w:rPr>
                <w:rFonts w:ascii="Calibri" w:eastAsia="Times New Roman" w:hAnsi="Calibri" w:cs="Calibri"/>
                <w:sz w:val="18"/>
                <w:szCs w:val="18"/>
                <w:lang w:eastAsia="hr-HR"/>
              </w:rPr>
            </w:pPr>
            <w:r w:rsidRPr="0078259C">
              <w:rPr>
                <w:rFonts w:ascii="Calibri" w:eastAsia="Times New Roman" w:hAnsi="Calibri" w:cs="Calibri"/>
                <w:sz w:val="18"/>
                <w:szCs w:val="18"/>
                <w:lang w:eastAsia="hr-HR"/>
              </w:rPr>
              <w:t>2</w:t>
            </w:r>
          </w:p>
        </w:tc>
        <w:tc>
          <w:tcPr>
            <w:tcW w:w="426" w:type="dxa"/>
            <w:gridSpan w:val="2"/>
            <w:tcBorders>
              <w:top w:val="nil"/>
              <w:left w:val="nil"/>
              <w:bottom w:val="single" w:sz="4" w:space="0" w:color="auto"/>
              <w:right w:val="single" w:sz="4" w:space="0" w:color="auto"/>
            </w:tcBorders>
            <w:shd w:val="clear" w:color="000000" w:fill="CCFFFF"/>
            <w:vAlign w:val="center"/>
            <w:hideMark/>
          </w:tcPr>
          <w:p w14:paraId="3B8FD3B0" w14:textId="77777777" w:rsidR="0078259C" w:rsidRPr="0078259C" w:rsidRDefault="0078259C" w:rsidP="0078259C">
            <w:pPr>
              <w:spacing w:after="0" w:line="240" w:lineRule="auto"/>
              <w:jc w:val="right"/>
              <w:rPr>
                <w:rFonts w:ascii="Calibri" w:eastAsia="Times New Roman" w:hAnsi="Calibri" w:cs="Calibri"/>
                <w:sz w:val="18"/>
                <w:szCs w:val="18"/>
                <w:lang w:eastAsia="hr-HR"/>
              </w:rPr>
            </w:pPr>
            <w:r w:rsidRPr="0078259C">
              <w:rPr>
                <w:rFonts w:ascii="Calibri" w:eastAsia="Times New Roman" w:hAnsi="Calibri" w:cs="Calibri"/>
                <w:sz w:val="18"/>
                <w:szCs w:val="18"/>
                <w:lang w:eastAsia="hr-HR"/>
              </w:rPr>
              <w:t>0</w:t>
            </w:r>
          </w:p>
        </w:tc>
        <w:tc>
          <w:tcPr>
            <w:tcW w:w="446" w:type="dxa"/>
            <w:tcBorders>
              <w:top w:val="nil"/>
              <w:left w:val="nil"/>
              <w:bottom w:val="single" w:sz="4" w:space="0" w:color="auto"/>
              <w:right w:val="single" w:sz="4" w:space="0" w:color="auto"/>
            </w:tcBorders>
            <w:shd w:val="clear" w:color="000000" w:fill="CCFFFF"/>
            <w:vAlign w:val="center"/>
            <w:hideMark/>
          </w:tcPr>
          <w:p w14:paraId="17B8E127" w14:textId="77777777" w:rsidR="0078259C" w:rsidRPr="0078259C" w:rsidRDefault="0078259C" w:rsidP="0078259C">
            <w:pPr>
              <w:spacing w:after="0" w:line="240" w:lineRule="auto"/>
              <w:jc w:val="right"/>
              <w:rPr>
                <w:rFonts w:ascii="Calibri" w:eastAsia="Times New Roman" w:hAnsi="Calibri" w:cs="Calibri"/>
                <w:sz w:val="18"/>
                <w:szCs w:val="18"/>
                <w:lang w:eastAsia="hr-HR"/>
              </w:rPr>
            </w:pPr>
            <w:r w:rsidRPr="0078259C">
              <w:rPr>
                <w:rFonts w:ascii="Calibri" w:eastAsia="Times New Roman" w:hAnsi="Calibri" w:cs="Calibri"/>
                <w:sz w:val="18"/>
                <w:szCs w:val="18"/>
                <w:lang w:eastAsia="hr-HR"/>
              </w:rPr>
              <w:t>0</w:t>
            </w:r>
          </w:p>
        </w:tc>
        <w:tc>
          <w:tcPr>
            <w:tcW w:w="404" w:type="dxa"/>
            <w:tcBorders>
              <w:top w:val="nil"/>
              <w:left w:val="nil"/>
              <w:bottom w:val="single" w:sz="4" w:space="0" w:color="auto"/>
              <w:right w:val="single" w:sz="4" w:space="0" w:color="auto"/>
            </w:tcBorders>
            <w:shd w:val="clear" w:color="000000" w:fill="CCFFFF"/>
            <w:noWrap/>
            <w:vAlign w:val="center"/>
            <w:hideMark/>
          </w:tcPr>
          <w:p w14:paraId="2AA26352" w14:textId="77777777" w:rsidR="0078259C" w:rsidRPr="0078259C" w:rsidRDefault="0078259C" w:rsidP="0078259C">
            <w:pPr>
              <w:spacing w:after="0" w:line="240" w:lineRule="auto"/>
              <w:jc w:val="right"/>
              <w:rPr>
                <w:rFonts w:ascii="Calibri" w:eastAsia="Times New Roman" w:hAnsi="Calibri" w:cs="Calibri"/>
                <w:sz w:val="18"/>
                <w:szCs w:val="18"/>
                <w:lang w:eastAsia="hr-HR"/>
              </w:rPr>
            </w:pPr>
            <w:r w:rsidRPr="0078259C">
              <w:rPr>
                <w:rFonts w:ascii="Calibri" w:eastAsia="Times New Roman" w:hAnsi="Calibri" w:cs="Calibri"/>
                <w:sz w:val="18"/>
                <w:szCs w:val="18"/>
                <w:lang w:eastAsia="hr-HR"/>
              </w:rPr>
              <w:t>1</w:t>
            </w:r>
          </w:p>
        </w:tc>
        <w:tc>
          <w:tcPr>
            <w:tcW w:w="839" w:type="dxa"/>
            <w:gridSpan w:val="2"/>
            <w:tcBorders>
              <w:top w:val="nil"/>
              <w:left w:val="nil"/>
              <w:bottom w:val="single" w:sz="4" w:space="0" w:color="auto"/>
              <w:right w:val="single" w:sz="4" w:space="0" w:color="auto"/>
            </w:tcBorders>
            <w:shd w:val="clear" w:color="000000" w:fill="33CCCC"/>
            <w:noWrap/>
            <w:vAlign w:val="center"/>
            <w:hideMark/>
          </w:tcPr>
          <w:p w14:paraId="32C90593" w14:textId="77777777" w:rsidR="0078259C" w:rsidRPr="0078259C" w:rsidRDefault="0078259C" w:rsidP="0078259C">
            <w:pPr>
              <w:spacing w:after="0" w:line="240" w:lineRule="auto"/>
              <w:jc w:val="right"/>
              <w:rPr>
                <w:rFonts w:ascii="Calibri" w:eastAsia="Times New Roman" w:hAnsi="Calibri" w:cs="Calibri"/>
                <w:sz w:val="18"/>
                <w:szCs w:val="18"/>
                <w:lang w:eastAsia="hr-HR"/>
              </w:rPr>
            </w:pPr>
            <w:r w:rsidRPr="0078259C">
              <w:rPr>
                <w:rFonts w:ascii="Calibri" w:eastAsia="Times New Roman" w:hAnsi="Calibri" w:cs="Calibri"/>
                <w:sz w:val="18"/>
                <w:szCs w:val="18"/>
                <w:lang w:eastAsia="hr-HR"/>
              </w:rPr>
              <w:t>1</w:t>
            </w:r>
          </w:p>
        </w:tc>
        <w:tc>
          <w:tcPr>
            <w:tcW w:w="839" w:type="dxa"/>
            <w:tcBorders>
              <w:top w:val="nil"/>
              <w:left w:val="nil"/>
              <w:bottom w:val="single" w:sz="4" w:space="0" w:color="auto"/>
              <w:right w:val="nil"/>
            </w:tcBorders>
            <w:shd w:val="clear" w:color="000000" w:fill="33CCCC"/>
            <w:noWrap/>
            <w:vAlign w:val="center"/>
            <w:hideMark/>
          </w:tcPr>
          <w:p w14:paraId="64E7A880" w14:textId="77777777" w:rsidR="0078259C" w:rsidRPr="0078259C" w:rsidRDefault="0078259C" w:rsidP="0078259C">
            <w:pPr>
              <w:spacing w:after="0" w:line="240" w:lineRule="auto"/>
              <w:jc w:val="right"/>
              <w:rPr>
                <w:rFonts w:ascii="Calibri" w:eastAsia="Times New Roman" w:hAnsi="Calibri" w:cs="Calibri"/>
                <w:sz w:val="18"/>
                <w:szCs w:val="18"/>
                <w:lang w:eastAsia="hr-HR"/>
              </w:rPr>
            </w:pPr>
            <w:r w:rsidRPr="0078259C">
              <w:rPr>
                <w:rFonts w:ascii="Calibri" w:eastAsia="Times New Roman" w:hAnsi="Calibri" w:cs="Calibri"/>
                <w:sz w:val="18"/>
                <w:szCs w:val="18"/>
                <w:lang w:eastAsia="hr-HR"/>
              </w:rPr>
              <w:t>0</w:t>
            </w:r>
          </w:p>
        </w:tc>
        <w:tc>
          <w:tcPr>
            <w:tcW w:w="236" w:type="dxa"/>
            <w:gridSpan w:val="2"/>
            <w:vAlign w:val="center"/>
            <w:hideMark/>
          </w:tcPr>
          <w:p w14:paraId="26381702" w14:textId="77777777" w:rsidR="0078259C" w:rsidRPr="0078259C" w:rsidRDefault="0078259C" w:rsidP="0078259C">
            <w:pPr>
              <w:spacing w:after="0" w:line="240" w:lineRule="auto"/>
              <w:rPr>
                <w:rFonts w:ascii="Times New Roman" w:eastAsia="Times New Roman" w:hAnsi="Times New Roman" w:cs="Times New Roman"/>
                <w:sz w:val="18"/>
                <w:szCs w:val="18"/>
                <w:lang w:eastAsia="hr-HR"/>
              </w:rPr>
            </w:pPr>
          </w:p>
        </w:tc>
      </w:tr>
      <w:tr w:rsidR="0078259C" w:rsidRPr="0078259C" w14:paraId="17CEF550" w14:textId="77777777" w:rsidTr="0078259C">
        <w:trPr>
          <w:gridAfter w:val="2"/>
          <w:wAfter w:w="44" w:type="dxa"/>
          <w:trHeight w:val="405"/>
        </w:trPr>
        <w:tc>
          <w:tcPr>
            <w:tcW w:w="1394" w:type="dxa"/>
            <w:tcBorders>
              <w:top w:val="single" w:sz="4" w:space="0" w:color="auto"/>
              <w:left w:val="single" w:sz="8" w:space="0" w:color="auto"/>
              <w:bottom w:val="single" w:sz="4" w:space="0" w:color="auto"/>
              <w:right w:val="single" w:sz="4" w:space="0" w:color="000000"/>
            </w:tcBorders>
            <w:shd w:val="clear" w:color="000000" w:fill="CCFFCC"/>
            <w:vAlign w:val="center"/>
            <w:hideMark/>
          </w:tcPr>
          <w:p w14:paraId="764D6C73" w14:textId="77777777" w:rsidR="0078259C" w:rsidRPr="0078259C" w:rsidRDefault="0078259C" w:rsidP="0078259C">
            <w:pPr>
              <w:spacing w:after="0" w:line="240" w:lineRule="auto"/>
              <w:jc w:val="center"/>
              <w:rPr>
                <w:rFonts w:ascii="Calibri" w:eastAsia="Times New Roman" w:hAnsi="Calibri" w:cs="Calibri"/>
                <w:sz w:val="18"/>
                <w:szCs w:val="18"/>
                <w:lang w:eastAsia="hr-HR"/>
              </w:rPr>
            </w:pPr>
            <w:r w:rsidRPr="0078259C">
              <w:rPr>
                <w:rFonts w:ascii="Calibri" w:eastAsia="Times New Roman" w:hAnsi="Calibri" w:cs="Calibri"/>
                <w:sz w:val="18"/>
                <w:szCs w:val="18"/>
                <w:lang w:eastAsia="hr-HR"/>
              </w:rPr>
              <w:t xml:space="preserve">Ostale osnove    </w:t>
            </w:r>
          </w:p>
        </w:tc>
        <w:tc>
          <w:tcPr>
            <w:tcW w:w="575" w:type="dxa"/>
            <w:tcBorders>
              <w:top w:val="nil"/>
              <w:left w:val="nil"/>
              <w:bottom w:val="single" w:sz="4" w:space="0" w:color="auto"/>
              <w:right w:val="single" w:sz="4" w:space="0" w:color="auto"/>
            </w:tcBorders>
            <w:shd w:val="clear" w:color="000000" w:fill="CCFFCC"/>
            <w:vAlign w:val="center"/>
            <w:hideMark/>
          </w:tcPr>
          <w:p w14:paraId="13466759" w14:textId="77777777" w:rsidR="0078259C" w:rsidRPr="0078259C" w:rsidRDefault="0078259C" w:rsidP="0078259C">
            <w:pPr>
              <w:spacing w:after="0" w:line="240" w:lineRule="auto"/>
              <w:jc w:val="right"/>
              <w:rPr>
                <w:rFonts w:ascii="Calibri" w:eastAsia="Times New Roman" w:hAnsi="Calibri" w:cs="Calibri"/>
                <w:sz w:val="18"/>
                <w:szCs w:val="18"/>
                <w:lang w:eastAsia="hr-HR"/>
              </w:rPr>
            </w:pPr>
            <w:r w:rsidRPr="0078259C">
              <w:rPr>
                <w:rFonts w:ascii="Calibri" w:eastAsia="Times New Roman" w:hAnsi="Calibri" w:cs="Calibri"/>
                <w:sz w:val="18"/>
                <w:szCs w:val="18"/>
                <w:lang w:eastAsia="hr-HR"/>
              </w:rPr>
              <w:t>13</w:t>
            </w:r>
          </w:p>
        </w:tc>
        <w:tc>
          <w:tcPr>
            <w:tcW w:w="488" w:type="dxa"/>
            <w:tcBorders>
              <w:top w:val="nil"/>
              <w:left w:val="nil"/>
              <w:bottom w:val="single" w:sz="4" w:space="0" w:color="auto"/>
              <w:right w:val="single" w:sz="4" w:space="0" w:color="auto"/>
            </w:tcBorders>
            <w:shd w:val="clear" w:color="000000" w:fill="FFCC99"/>
            <w:noWrap/>
            <w:vAlign w:val="center"/>
            <w:hideMark/>
          </w:tcPr>
          <w:p w14:paraId="0EF786A5" w14:textId="77777777" w:rsidR="0078259C" w:rsidRPr="0078259C" w:rsidRDefault="0078259C" w:rsidP="0078259C">
            <w:pPr>
              <w:spacing w:after="0" w:line="240" w:lineRule="auto"/>
              <w:jc w:val="right"/>
              <w:rPr>
                <w:rFonts w:ascii="Calibri" w:eastAsia="Times New Roman" w:hAnsi="Calibri" w:cs="Calibri"/>
                <w:sz w:val="18"/>
                <w:szCs w:val="18"/>
                <w:lang w:eastAsia="hr-HR"/>
              </w:rPr>
            </w:pPr>
            <w:r w:rsidRPr="0078259C">
              <w:rPr>
                <w:rFonts w:ascii="Calibri" w:eastAsia="Times New Roman" w:hAnsi="Calibri" w:cs="Calibri"/>
                <w:sz w:val="18"/>
                <w:szCs w:val="18"/>
                <w:lang w:eastAsia="hr-HR"/>
              </w:rPr>
              <w:t>17</w:t>
            </w:r>
          </w:p>
        </w:tc>
        <w:tc>
          <w:tcPr>
            <w:tcW w:w="500" w:type="dxa"/>
            <w:tcBorders>
              <w:top w:val="nil"/>
              <w:left w:val="nil"/>
              <w:bottom w:val="single" w:sz="4" w:space="0" w:color="auto"/>
              <w:right w:val="single" w:sz="4" w:space="0" w:color="auto"/>
            </w:tcBorders>
            <w:shd w:val="clear" w:color="000000" w:fill="FFCC99"/>
            <w:noWrap/>
            <w:vAlign w:val="center"/>
            <w:hideMark/>
          </w:tcPr>
          <w:p w14:paraId="48F51C17" w14:textId="77777777" w:rsidR="0078259C" w:rsidRPr="0078259C" w:rsidRDefault="0078259C" w:rsidP="0078259C">
            <w:pPr>
              <w:spacing w:after="0" w:line="240" w:lineRule="auto"/>
              <w:jc w:val="right"/>
              <w:rPr>
                <w:rFonts w:ascii="Calibri" w:eastAsia="Times New Roman" w:hAnsi="Calibri" w:cs="Calibri"/>
                <w:sz w:val="18"/>
                <w:szCs w:val="18"/>
                <w:lang w:eastAsia="hr-HR"/>
              </w:rPr>
            </w:pPr>
            <w:r w:rsidRPr="0078259C">
              <w:rPr>
                <w:rFonts w:ascii="Calibri" w:eastAsia="Times New Roman" w:hAnsi="Calibri" w:cs="Calibri"/>
                <w:sz w:val="18"/>
                <w:szCs w:val="18"/>
                <w:lang w:eastAsia="hr-HR"/>
              </w:rPr>
              <w:t>11</w:t>
            </w:r>
          </w:p>
        </w:tc>
        <w:tc>
          <w:tcPr>
            <w:tcW w:w="435" w:type="dxa"/>
            <w:tcBorders>
              <w:top w:val="nil"/>
              <w:left w:val="nil"/>
              <w:bottom w:val="single" w:sz="4" w:space="0" w:color="auto"/>
              <w:right w:val="single" w:sz="4" w:space="0" w:color="auto"/>
            </w:tcBorders>
            <w:shd w:val="clear" w:color="000000" w:fill="CCFFFF"/>
            <w:vAlign w:val="center"/>
            <w:hideMark/>
          </w:tcPr>
          <w:p w14:paraId="7E438860" w14:textId="77777777" w:rsidR="0078259C" w:rsidRPr="0078259C" w:rsidRDefault="0078259C" w:rsidP="0078259C">
            <w:pPr>
              <w:spacing w:after="0" w:line="240" w:lineRule="auto"/>
              <w:jc w:val="right"/>
              <w:rPr>
                <w:rFonts w:ascii="Calibri" w:eastAsia="Times New Roman" w:hAnsi="Calibri" w:cs="Calibri"/>
                <w:sz w:val="18"/>
                <w:szCs w:val="18"/>
                <w:lang w:eastAsia="hr-HR"/>
              </w:rPr>
            </w:pPr>
            <w:r w:rsidRPr="0078259C">
              <w:rPr>
                <w:rFonts w:ascii="Calibri" w:eastAsia="Times New Roman" w:hAnsi="Calibri" w:cs="Calibri"/>
                <w:sz w:val="18"/>
                <w:szCs w:val="18"/>
                <w:lang w:eastAsia="hr-HR"/>
              </w:rPr>
              <w:t>8</w:t>
            </w:r>
          </w:p>
        </w:tc>
        <w:tc>
          <w:tcPr>
            <w:tcW w:w="426" w:type="dxa"/>
            <w:tcBorders>
              <w:top w:val="nil"/>
              <w:left w:val="nil"/>
              <w:bottom w:val="single" w:sz="4" w:space="0" w:color="auto"/>
              <w:right w:val="single" w:sz="4" w:space="0" w:color="auto"/>
            </w:tcBorders>
            <w:shd w:val="clear" w:color="000000" w:fill="CCFFFF"/>
            <w:noWrap/>
            <w:vAlign w:val="center"/>
            <w:hideMark/>
          </w:tcPr>
          <w:p w14:paraId="7FD3CBE6" w14:textId="77777777" w:rsidR="0078259C" w:rsidRPr="0078259C" w:rsidRDefault="0078259C" w:rsidP="0078259C">
            <w:pPr>
              <w:spacing w:after="0" w:line="240" w:lineRule="auto"/>
              <w:jc w:val="right"/>
              <w:rPr>
                <w:rFonts w:ascii="Calibri" w:eastAsia="Times New Roman" w:hAnsi="Calibri" w:cs="Calibri"/>
                <w:sz w:val="18"/>
                <w:szCs w:val="18"/>
                <w:lang w:eastAsia="hr-HR"/>
              </w:rPr>
            </w:pPr>
            <w:r w:rsidRPr="0078259C">
              <w:rPr>
                <w:rFonts w:ascii="Calibri" w:eastAsia="Times New Roman" w:hAnsi="Calibri" w:cs="Calibri"/>
                <w:sz w:val="18"/>
                <w:szCs w:val="18"/>
                <w:lang w:eastAsia="hr-HR"/>
              </w:rPr>
              <w:t>2</w:t>
            </w:r>
          </w:p>
        </w:tc>
        <w:tc>
          <w:tcPr>
            <w:tcW w:w="425" w:type="dxa"/>
            <w:tcBorders>
              <w:top w:val="nil"/>
              <w:left w:val="nil"/>
              <w:bottom w:val="single" w:sz="4" w:space="0" w:color="auto"/>
              <w:right w:val="single" w:sz="4" w:space="0" w:color="auto"/>
            </w:tcBorders>
            <w:shd w:val="clear" w:color="000000" w:fill="FFFF99"/>
            <w:noWrap/>
            <w:vAlign w:val="center"/>
            <w:hideMark/>
          </w:tcPr>
          <w:p w14:paraId="7B422EA9" w14:textId="77777777" w:rsidR="0078259C" w:rsidRPr="0078259C" w:rsidRDefault="0078259C" w:rsidP="0078259C">
            <w:pPr>
              <w:spacing w:after="0" w:line="240" w:lineRule="auto"/>
              <w:jc w:val="right"/>
              <w:rPr>
                <w:rFonts w:ascii="Calibri" w:eastAsia="Times New Roman" w:hAnsi="Calibri" w:cs="Calibri"/>
                <w:sz w:val="18"/>
                <w:szCs w:val="18"/>
                <w:lang w:eastAsia="hr-HR"/>
              </w:rPr>
            </w:pPr>
            <w:r w:rsidRPr="0078259C">
              <w:rPr>
                <w:rFonts w:ascii="Calibri" w:eastAsia="Times New Roman" w:hAnsi="Calibri" w:cs="Calibri"/>
                <w:sz w:val="18"/>
                <w:szCs w:val="18"/>
                <w:lang w:eastAsia="hr-HR"/>
              </w:rPr>
              <w:t>11</w:t>
            </w:r>
          </w:p>
        </w:tc>
        <w:tc>
          <w:tcPr>
            <w:tcW w:w="567" w:type="dxa"/>
            <w:tcBorders>
              <w:top w:val="nil"/>
              <w:left w:val="nil"/>
              <w:bottom w:val="single" w:sz="4" w:space="0" w:color="auto"/>
              <w:right w:val="single" w:sz="4" w:space="0" w:color="auto"/>
            </w:tcBorders>
            <w:shd w:val="clear" w:color="000000" w:fill="FFFF99"/>
            <w:noWrap/>
            <w:vAlign w:val="center"/>
            <w:hideMark/>
          </w:tcPr>
          <w:p w14:paraId="35051031" w14:textId="77777777" w:rsidR="0078259C" w:rsidRPr="0078259C" w:rsidRDefault="0078259C" w:rsidP="0078259C">
            <w:pPr>
              <w:spacing w:after="0" w:line="240" w:lineRule="auto"/>
              <w:jc w:val="right"/>
              <w:rPr>
                <w:rFonts w:ascii="Calibri" w:eastAsia="Times New Roman" w:hAnsi="Calibri" w:cs="Calibri"/>
                <w:sz w:val="18"/>
                <w:szCs w:val="18"/>
                <w:lang w:eastAsia="hr-HR"/>
              </w:rPr>
            </w:pPr>
            <w:r w:rsidRPr="0078259C">
              <w:rPr>
                <w:rFonts w:ascii="Calibri" w:eastAsia="Times New Roman" w:hAnsi="Calibri" w:cs="Calibri"/>
                <w:sz w:val="18"/>
                <w:szCs w:val="18"/>
                <w:lang w:eastAsia="hr-HR"/>
              </w:rPr>
              <w:t>2</w:t>
            </w:r>
          </w:p>
        </w:tc>
        <w:tc>
          <w:tcPr>
            <w:tcW w:w="567" w:type="dxa"/>
            <w:tcBorders>
              <w:top w:val="nil"/>
              <w:left w:val="nil"/>
              <w:bottom w:val="single" w:sz="4" w:space="0" w:color="auto"/>
              <w:right w:val="single" w:sz="4" w:space="0" w:color="auto"/>
            </w:tcBorders>
            <w:shd w:val="clear" w:color="000000" w:fill="FFFF99"/>
            <w:noWrap/>
            <w:vAlign w:val="center"/>
            <w:hideMark/>
          </w:tcPr>
          <w:p w14:paraId="1E4AF8F3" w14:textId="77777777" w:rsidR="0078259C" w:rsidRPr="0078259C" w:rsidRDefault="0078259C" w:rsidP="0078259C">
            <w:pPr>
              <w:spacing w:after="0" w:line="240" w:lineRule="auto"/>
              <w:jc w:val="right"/>
              <w:rPr>
                <w:rFonts w:ascii="Calibri" w:eastAsia="Times New Roman" w:hAnsi="Calibri" w:cs="Calibri"/>
                <w:sz w:val="18"/>
                <w:szCs w:val="18"/>
                <w:lang w:eastAsia="hr-HR"/>
              </w:rPr>
            </w:pPr>
            <w:r w:rsidRPr="0078259C">
              <w:rPr>
                <w:rFonts w:ascii="Calibri" w:eastAsia="Times New Roman" w:hAnsi="Calibri" w:cs="Calibri"/>
                <w:sz w:val="18"/>
                <w:szCs w:val="18"/>
                <w:lang w:eastAsia="hr-HR"/>
              </w:rPr>
              <w:t>0</w:t>
            </w:r>
          </w:p>
        </w:tc>
        <w:tc>
          <w:tcPr>
            <w:tcW w:w="437" w:type="dxa"/>
            <w:tcBorders>
              <w:top w:val="nil"/>
              <w:left w:val="nil"/>
              <w:bottom w:val="single" w:sz="4" w:space="0" w:color="auto"/>
              <w:right w:val="single" w:sz="4" w:space="0" w:color="auto"/>
            </w:tcBorders>
            <w:shd w:val="clear" w:color="000000" w:fill="FFFF99"/>
            <w:noWrap/>
            <w:vAlign w:val="center"/>
            <w:hideMark/>
          </w:tcPr>
          <w:p w14:paraId="3D3D5141" w14:textId="77777777" w:rsidR="0078259C" w:rsidRPr="0078259C" w:rsidRDefault="0078259C" w:rsidP="0078259C">
            <w:pPr>
              <w:spacing w:after="0" w:line="240" w:lineRule="auto"/>
              <w:jc w:val="right"/>
              <w:rPr>
                <w:rFonts w:ascii="Calibri" w:eastAsia="Times New Roman" w:hAnsi="Calibri" w:cs="Calibri"/>
                <w:sz w:val="18"/>
                <w:szCs w:val="18"/>
                <w:lang w:eastAsia="hr-HR"/>
              </w:rPr>
            </w:pPr>
            <w:r w:rsidRPr="0078259C">
              <w:rPr>
                <w:rFonts w:ascii="Calibri" w:eastAsia="Times New Roman" w:hAnsi="Calibri" w:cs="Calibri"/>
                <w:sz w:val="18"/>
                <w:szCs w:val="18"/>
                <w:lang w:eastAsia="hr-HR"/>
              </w:rPr>
              <w:t>0</w:t>
            </w:r>
          </w:p>
        </w:tc>
        <w:tc>
          <w:tcPr>
            <w:tcW w:w="413" w:type="dxa"/>
            <w:tcBorders>
              <w:top w:val="nil"/>
              <w:left w:val="nil"/>
              <w:bottom w:val="single" w:sz="4" w:space="0" w:color="auto"/>
              <w:right w:val="single" w:sz="4" w:space="0" w:color="auto"/>
            </w:tcBorders>
            <w:shd w:val="clear" w:color="000000" w:fill="FFFF99"/>
            <w:noWrap/>
            <w:vAlign w:val="center"/>
            <w:hideMark/>
          </w:tcPr>
          <w:p w14:paraId="7462EF52" w14:textId="77777777" w:rsidR="0078259C" w:rsidRPr="0078259C" w:rsidRDefault="0078259C" w:rsidP="0078259C">
            <w:pPr>
              <w:spacing w:after="0" w:line="240" w:lineRule="auto"/>
              <w:jc w:val="right"/>
              <w:rPr>
                <w:rFonts w:ascii="Calibri" w:eastAsia="Times New Roman" w:hAnsi="Calibri" w:cs="Calibri"/>
                <w:sz w:val="18"/>
                <w:szCs w:val="18"/>
                <w:lang w:eastAsia="hr-HR"/>
              </w:rPr>
            </w:pPr>
            <w:r w:rsidRPr="0078259C">
              <w:rPr>
                <w:rFonts w:ascii="Calibri" w:eastAsia="Times New Roman" w:hAnsi="Calibri" w:cs="Calibri"/>
                <w:sz w:val="18"/>
                <w:szCs w:val="18"/>
                <w:lang w:eastAsia="hr-HR"/>
              </w:rPr>
              <w:t>5</w:t>
            </w:r>
          </w:p>
        </w:tc>
        <w:tc>
          <w:tcPr>
            <w:tcW w:w="283" w:type="dxa"/>
            <w:gridSpan w:val="2"/>
            <w:tcBorders>
              <w:top w:val="nil"/>
              <w:left w:val="nil"/>
              <w:bottom w:val="single" w:sz="4" w:space="0" w:color="auto"/>
              <w:right w:val="single" w:sz="4" w:space="0" w:color="auto"/>
            </w:tcBorders>
            <w:shd w:val="clear" w:color="000000" w:fill="FF9900"/>
            <w:noWrap/>
            <w:vAlign w:val="center"/>
            <w:hideMark/>
          </w:tcPr>
          <w:p w14:paraId="12840C49" w14:textId="77777777" w:rsidR="0078259C" w:rsidRPr="0078259C" w:rsidRDefault="0078259C" w:rsidP="0078259C">
            <w:pPr>
              <w:spacing w:after="0" w:line="240" w:lineRule="auto"/>
              <w:jc w:val="right"/>
              <w:rPr>
                <w:rFonts w:ascii="Calibri" w:eastAsia="Times New Roman" w:hAnsi="Calibri" w:cs="Calibri"/>
                <w:sz w:val="18"/>
                <w:szCs w:val="18"/>
                <w:lang w:eastAsia="hr-HR"/>
              </w:rPr>
            </w:pPr>
            <w:r w:rsidRPr="0078259C">
              <w:rPr>
                <w:rFonts w:ascii="Calibri" w:eastAsia="Times New Roman" w:hAnsi="Calibri" w:cs="Calibri"/>
                <w:sz w:val="18"/>
                <w:szCs w:val="18"/>
                <w:lang w:eastAsia="hr-HR"/>
              </w:rPr>
              <w:t>13</w:t>
            </w:r>
          </w:p>
        </w:tc>
        <w:tc>
          <w:tcPr>
            <w:tcW w:w="568" w:type="dxa"/>
            <w:tcBorders>
              <w:top w:val="nil"/>
              <w:left w:val="nil"/>
              <w:bottom w:val="single" w:sz="4" w:space="0" w:color="auto"/>
              <w:right w:val="single" w:sz="4" w:space="0" w:color="auto"/>
            </w:tcBorders>
            <w:shd w:val="clear" w:color="000000" w:fill="FF9900"/>
            <w:noWrap/>
            <w:vAlign w:val="center"/>
            <w:hideMark/>
          </w:tcPr>
          <w:p w14:paraId="6ED80AC8" w14:textId="77777777" w:rsidR="0078259C" w:rsidRPr="0078259C" w:rsidRDefault="0078259C" w:rsidP="0078259C">
            <w:pPr>
              <w:spacing w:after="0" w:line="240" w:lineRule="auto"/>
              <w:jc w:val="right"/>
              <w:rPr>
                <w:rFonts w:ascii="Calibri" w:eastAsia="Times New Roman" w:hAnsi="Calibri" w:cs="Calibri"/>
                <w:sz w:val="18"/>
                <w:szCs w:val="18"/>
                <w:lang w:eastAsia="hr-HR"/>
              </w:rPr>
            </w:pPr>
            <w:r w:rsidRPr="0078259C">
              <w:rPr>
                <w:rFonts w:ascii="Calibri" w:eastAsia="Times New Roman" w:hAnsi="Calibri" w:cs="Calibri"/>
                <w:sz w:val="18"/>
                <w:szCs w:val="18"/>
                <w:lang w:eastAsia="hr-HR"/>
              </w:rPr>
              <w:t>4</w:t>
            </w:r>
          </w:p>
        </w:tc>
        <w:tc>
          <w:tcPr>
            <w:tcW w:w="425" w:type="dxa"/>
            <w:tcBorders>
              <w:top w:val="nil"/>
              <w:left w:val="nil"/>
              <w:bottom w:val="single" w:sz="4" w:space="0" w:color="auto"/>
              <w:right w:val="single" w:sz="4" w:space="0" w:color="auto"/>
            </w:tcBorders>
            <w:shd w:val="clear" w:color="000000" w:fill="FF9900"/>
            <w:noWrap/>
            <w:vAlign w:val="center"/>
            <w:hideMark/>
          </w:tcPr>
          <w:p w14:paraId="712298AF" w14:textId="77777777" w:rsidR="0078259C" w:rsidRPr="0078259C" w:rsidRDefault="0078259C" w:rsidP="0078259C">
            <w:pPr>
              <w:spacing w:after="0" w:line="240" w:lineRule="auto"/>
              <w:jc w:val="right"/>
              <w:rPr>
                <w:rFonts w:ascii="Calibri" w:eastAsia="Times New Roman" w:hAnsi="Calibri" w:cs="Calibri"/>
                <w:sz w:val="18"/>
                <w:szCs w:val="18"/>
                <w:lang w:eastAsia="hr-HR"/>
              </w:rPr>
            </w:pPr>
            <w:r w:rsidRPr="0078259C">
              <w:rPr>
                <w:rFonts w:ascii="Calibri" w:eastAsia="Times New Roman" w:hAnsi="Calibri" w:cs="Calibri"/>
                <w:sz w:val="18"/>
                <w:szCs w:val="18"/>
                <w:lang w:eastAsia="hr-HR"/>
              </w:rPr>
              <w:t>1</w:t>
            </w:r>
          </w:p>
        </w:tc>
        <w:tc>
          <w:tcPr>
            <w:tcW w:w="425" w:type="dxa"/>
            <w:gridSpan w:val="2"/>
            <w:tcBorders>
              <w:top w:val="nil"/>
              <w:left w:val="nil"/>
              <w:bottom w:val="single" w:sz="4" w:space="0" w:color="auto"/>
              <w:right w:val="single" w:sz="4" w:space="0" w:color="auto"/>
            </w:tcBorders>
            <w:shd w:val="clear" w:color="000000" w:fill="66FFCC"/>
            <w:noWrap/>
            <w:vAlign w:val="center"/>
            <w:hideMark/>
          </w:tcPr>
          <w:p w14:paraId="57485F7E" w14:textId="77777777" w:rsidR="0078259C" w:rsidRPr="0078259C" w:rsidRDefault="0078259C" w:rsidP="0078259C">
            <w:pPr>
              <w:spacing w:after="0" w:line="240" w:lineRule="auto"/>
              <w:jc w:val="right"/>
              <w:rPr>
                <w:rFonts w:ascii="Calibri" w:eastAsia="Times New Roman" w:hAnsi="Calibri" w:cs="Calibri"/>
                <w:sz w:val="18"/>
                <w:szCs w:val="18"/>
                <w:lang w:eastAsia="hr-HR"/>
              </w:rPr>
            </w:pPr>
            <w:r w:rsidRPr="0078259C">
              <w:rPr>
                <w:rFonts w:ascii="Calibri" w:eastAsia="Times New Roman" w:hAnsi="Calibri" w:cs="Calibri"/>
                <w:sz w:val="18"/>
                <w:szCs w:val="18"/>
                <w:lang w:eastAsia="hr-HR"/>
              </w:rPr>
              <w:t>0</w:t>
            </w:r>
          </w:p>
        </w:tc>
        <w:tc>
          <w:tcPr>
            <w:tcW w:w="437" w:type="dxa"/>
            <w:tcBorders>
              <w:top w:val="nil"/>
              <w:left w:val="nil"/>
              <w:bottom w:val="single" w:sz="4" w:space="0" w:color="auto"/>
              <w:right w:val="single" w:sz="4" w:space="0" w:color="auto"/>
            </w:tcBorders>
            <w:shd w:val="clear" w:color="000000" w:fill="66FFCC"/>
            <w:noWrap/>
            <w:vAlign w:val="center"/>
            <w:hideMark/>
          </w:tcPr>
          <w:p w14:paraId="0E845099" w14:textId="77777777" w:rsidR="0078259C" w:rsidRPr="0078259C" w:rsidRDefault="0078259C" w:rsidP="0078259C">
            <w:pPr>
              <w:spacing w:after="0" w:line="240" w:lineRule="auto"/>
              <w:jc w:val="right"/>
              <w:rPr>
                <w:rFonts w:ascii="Calibri" w:eastAsia="Times New Roman" w:hAnsi="Calibri" w:cs="Calibri"/>
                <w:sz w:val="18"/>
                <w:szCs w:val="18"/>
                <w:lang w:eastAsia="hr-HR"/>
              </w:rPr>
            </w:pPr>
            <w:r w:rsidRPr="0078259C">
              <w:rPr>
                <w:rFonts w:ascii="Calibri" w:eastAsia="Times New Roman" w:hAnsi="Calibri" w:cs="Calibri"/>
                <w:sz w:val="18"/>
                <w:szCs w:val="18"/>
                <w:lang w:eastAsia="hr-HR"/>
              </w:rPr>
              <w:t>11</w:t>
            </w:r>
          </w:p>
        </w:tc>
        <w:tc>
          <w:tcPr>
            <w:tcW w:w="556" w:type="dxa"/>
            <w:tcBorders>
              <w:top w:val="nil"/>
              <w:left w:val="nil"/>
              <w:bottom w:val="single" w:sz="4" w:space="0" w:color="auto"/>
              <w:right w:val="single" w:sz="4" w:space="0" w:color="auto"/>
            </w:tcBorders>
            <w:shd w:val="clear" w:color="000000" w:fill="66FFCC"/>
            <w:noWrap/>
            <w:vAlign w:val="center"/>
            <w:hideMark/>
          </w:tcPr>
          <w:p w14:paraId="0514BFAC" w14:textId="77777777" w:rsidR="0078259C" w:rsidRPr="0078259C" w:rsidRDefault="0078259C" w:rsidP="0078259C">
            <w:pPr>
              <w:spacing w:after="0" w:line="240" w:lineRule="auto"/>
              <w:jc w:val="right"/>
              <w:rPr>
                <w:rFonts w:ascii="Calibri" w:eastAsia="Times New Roman" w:hAnsi="Calibri" w:cs="Calibri"/>
                <w:sz w:val="18"/>
                <w:szCs w:val="18"/>
                <w:lang w:eastAsia="hr-HR"/>
              </w:rPr>
            </w:pPr>
            <w:r w:rsidRPr="0078259C">
              <w:rPr>
                <w:rFonts w:ascii="Calibri" w:eastAsia="Times New Roman" w:hAnsi="Calibri" w:cs="Calibri"/>
                <w:sz w:val="18"/>
                <w:szCs w:val="18"/>
                <w:lang w:eastAsia="hr-HR"/>
              </w:rPr>
              <w:t>2</w:t>
            </w:r>
          </w:p>
        </w:tc>
        <w:tc>
          <w:tcPr>
            <w:tcW w:w="425" w:type="dxa"/>
            <w:tcBorders>
              <w:top w:val="nil"/>
              <w:left w:val="nil"/>
              <w:bottom w:val="single" w:sz="4" w:space="0" w:color="auto"/>
              <w:right w:val="single" w:sz="4" w:space="0" w:color="auto"/>
            </w:tcBorders>
            <w:shd w:val="clear" w:color="000000" w:fill="66FFCC"/>
            <w:noWrap/>
            <w:vAlign w:val="center"/>
            <w:hideMark/>
          </w:tcPr>
          <w:p w14:paraId="0809E4E8" w14:textId="77777777" w:rsidR="0078259C" w:rsidRPr="0078259C" w:rsidRDefault="0078259C" w:rsidP="0078259C">
            <w:pPr>
              <w:spacing w:after="0" w:line="240" w:lineRule="auto"/>
              <w:jc w:val="right"/>
              <w:rPr>
                <w:rFonts w:ascii="Calibri" w:eastAsia="Times New Roman" w:hAnsi="Calibri" w:cs="Calibri"/>
                <w:sz w:val="18"/>
                <w:szCs w:val="18"/>
                <w:lang w:eastAsia="hr-HR"/>
              </w:rPr>
            </w:pPr>
            <w:r w:rsidRPr="0078259C">
              <w:rPr>
                <w:rFonts w:ascii="Calibri" w:eastAsia="Times New Roman" w:hAnsi="Calibri" w:cs="Calibri"/>
                <w:sz w:val="18"/>
                <w:szCs w:val="18"/>
                <w:lang w:eastAsia="hr-HR"/>
              </w:rPr>
              <w:t>13</w:t>
            </w:r>
          </w:p>
        </w:tc>
        <w:tc>
          <w:tcPr>
            <w:tcW w:w="567" w:type="dxa"/>
            <w:gridSpan w:val="2"/>
            <w:tcBorders>
              <w:top w:val="nil"/>
              <w:left w:val="nil"/>
              <w:bottom w:val="single" w:sz="4" w:space="0" w:color="auto"/>
              <w:right w:val="single" w:sz="4" w:space="0" w:color="auto"/>
            </w:tcBorders>
            <w:shd w:val="clear" w:color="000000" w:fill="FFFF00"/>
            <w:vAlign w:val="center"/>
            <w:hideMark/>
          </w:tcPr>
          <w:p w14:paraId="7E9F4D54" w14:textId="77777777" w:rsidR="0078259C" w:rsidRPr="0078259C" w:rsidRDefault="0078259C" w:rsidP="0078259C">
            <w:pPr>
              <w:spacing w:after="0" w:line="240" w:lineRule="auto"/>
              <w:jc w:val="right"/>
              <w:rPr>
                <w:rFonts w:ascii="Calibri" w:eastAsia="Times New Roman" w:hAnsi="Calibri" w:cs="Calibri"/>
                <w:sz w:val="18"/>
                <w:szCs w:val="18"/>
                <w:lang w:eastAsia="hr-HR"/>
              </w:rPr>
            </w:pPr>
            <w:r w:rsidRPr="0078259C">
              <w:rPr>
                <w:rFonts w:ascii="Calibri" w:eastAsia="Times New Roman" w:hAnsi="Calibri" w:cs="Calibri"/>
                <w:sz w:val="18"/>
                <w:szCs w:val="18"/>
                <w:lang w:eastAsia="hr-HR"/>
              </w:rPr>
              <w:t>18</w:t>
            </w:r>
          </w:p>
        </w:tc>
        <w:tc>
          <w:tcPr>
            <w:tcW w:w="578" w:type="dxa"/>
            <w:gridSpan w:val="2"/>
            <w:tcBorders>
              <w:top w:val="nil"/>
              <w:left w:val="nil"/>
              <w:bottom w:val="single" w:sz="4" w:space="0" w:color="auto"/>
              <w:right w:val="single" w:sz="4" w:space="0" w:color="auto"/>
            </w:tcBorders>
            <w:shd w:val="clear" w:color="000000" w:fill="FFFF99"/>
            <w:vAlign w:val="center"/>
            <w:hideMark/>
          </w:tcPr>
          <w:p w14:paraId="4066806F" w14:textId="77777777" w:rsidR="0078259C" w:rsidRPr="0078259C" w:rsidRDefault="0078259C" w:rsidP="0078259C">
            <w:pPr>
              <w:spacing w:after="0" w:line="240" w:lineRule="auto"/>
              <w:jc w:val="right"/>
              <w:rPr>
                <w:rFonts w:ascii="Calibri" w:eastAsia="Times New Roman" w:hAnsi="Calibri" w:cs="Calibri"/>
                <w:sz w:val="18"/>
                <w:szCs w:val="18"/>
                <w:lang w:eastAsia="hr-HR"/>
              </w:rPr>
            </w:pPr>
            <w:r w:rsidRPr="0078259C">
              <w:rPr>
                <w:rFonts w:ascii="Calibri" w:eastAsia="Times New Roman" w:hAnsi="Calibri" w:cs="Calibri"/>
                <w:sz w:val="18"/>
                <w:szCs w:val="18"/>
                <w:lang w:eastAsia="hr-HR"/>
              </w:rPr>
              <w:t>12</w:t>
            </w:r>
          </w:p>
        </w:tc>
        <w:tc>
          <w:tcPr>
            <w:tcW w:w="839" w:type="dxa"/>
            <w:gridSpan w:val="2"/>
            <w:tcBorders>
              <w:top w:val="nil"/>
              <w:left w:val="nil"/>
              <w:bottom w:val="single" w:sz="4" w:space="0" w:color="auto"/>
              <w:right w:val="single" w:sz="4" w:space="0" w:color="auto"/>
            </w:tcBorders>
            <w:shd w:val="clear" w:color="000000" w:fill="FF9900"/>
            <w:vAlign w:val="center"/>
            <w:hideMark/>
          </w:tcPr>
          <w:p w14:paraId="3759F1F9" w14:textId="77777777" w:rsidR="0078259C" w:rsidRPr="0078259C" w:rsidRDefault="0078259C" w:rsidP="0078259C">
            <w:pPr>
              <w:spacing w:after="0" w:line="240" w:lineRule="auto"/>
              <w:jc w:val="right"/>
              <w:rPr>
                <w:rFonts w:ascii="Calibri" w:eastAsia="Times New Roman" w:hAnsi="Calibri" w:cs="Calibri"/>
                <w:sz w:val="18"/>
                <w:szCs w:val="18"/>
                <w:lang w:eastAsia="hr-HR"/>
              </w:rPr>
            </w:pPr>
            <w:r w:rsidRPr="0078259C">
              <w:rPr>
                <w:rFonts w:ascii="Calibri" w:eastAsia="Times New Roman" w:hAnsi="Calibri" w:cs="Calibri"/>
                <w:sz w:val="18"/>
                <w:szCs w:val="18"/>
                <w:lang w:eastAsia="hr-HR"/>
              </w:rPr>
              <w:t>11</w:t>
            </w:r>
          </w:p>
        </w:tc>
        <w:tc>
          <w:tcPr>
            <w:tcW w:w="426" w:type="dxa"/>
            <w:gridSpan w:val="2"/>
            <w:tcBorders>
              <w:top w:val="nil"/>
              <w:left w:val="nil"/>
              <w:bottom w:val="single" w:sz="4" w:space="0" w:color="auto"/>
              <w:right w:val="single" w:sz="4" w:space="0" w:color="auto"/>
            </w:tcBorders>
            <w:shd w:val="clear" w:color="000000" w:fill="CCFFFF"/>
            <w:vAlign w:val="center"/>
            <w:hideMark/>
          </w:tcPr>
          <w:p w14:paraId="10A4BA85" w14:textId="77777777" w:rsidR="0078259C" w:rsidRPr="0078259C" w:rsidRDefault="0078259C" w:rsidP="0078259C">
            <w:pPr>
              <w:spacing w:after="0" w:line="240" w:lineRule="auto"/>
              <w:jc w:val="right"/>
              <w:rPr>
                <w:rFonts w:ascii="Calibri" w:eastAsia="Times New Roman" w:hAnsi="Calibri" w:cs="Calibri"/>
                <w:sz w:val="18"/>
                <w:szCs w:val="18"/>
                <w:lang w:eastAsia="hr-HR"/>
              </w:rPr>
            </w:pPr>
            <w:r w:rsidRPr="0078259C">
              <w:rPr>
                <w:rFonts w:ascii="Calibri" w:eastAsia="Times New Roman" w:hAnsi="Calibri" w:cs="Calibri"/>
                <w:sz w:val="18"/>
                <w:szCs w:val="18"/>
                <w:lang w:eastAsia="hr-HR"/>
              </w:rPr>
              <w:t>4</w:t>
            </w:r>
          </w:p>
        </w:tc>
        <w:tc>
          <w:tcPr>
            <w:tcW w:w="446" w:type="dxa"/>
            <w:tcBorders>
              <w:top w:val="nil"/>
              <w:left w:val="nil"/>
              <w:bottom w:val="single" w:sz="4" w:space="0" w:color="auto"/>
              <w:right w:val="single" w:sz="4" w:space="0" w:color="auto"/>
            </w:tcBorders>
            <w:shd w:val="clear" w:color="000000" w:fill="CCFFFF"/>
            <w:vAlign w:val="center"/>
            <w:hideMark/>
          </w:tcPr>
          <w:p w14:paraId="1A944AB9" w14:textId="77777777" w:rsidR="0078259C" w:rsidRPr="0078259C" w:rsidRDefault="0078259C" w:rsidP="0078259C">
            <w:pPr>
              <w:spacing w:after="0" w:line="240" w:lineRule="auto"/>
              <w:jc w:val="right"/>
              <w:rPr>
                <w:rFonts w:ascii="Calibri" w:eastAsia="Times New Roman" w:hAnsi="Calibri" w:cs="Calibri"/>
                <w:sz w:val="18"/>
                <w:szCs w:val="18"/>
                <w:lang w:eastAsia="hr-HR"/>
              </w:rPr>
            </w:pPr>
            <w:r w:rsidRPr="0078259C">
              <w:rPr>
                <w:rFonts w:ascii="Calibri" w:eastAsia="Times New Roman" w:hAnsi="Calibri" w:cs="Calibri"/>
                <w:sz w:val="18"/>
                <w:szCs w:val="18"/>
                <w:lang w:eastAsia="hr-HR"/>
              </w:rPr>
              <w:t>3</w:t>
            </w:r>
          </w:p>
        </w:tc>
        <w:tc>
          <w:tcPr>
            <w:tcW w:w="404" w:type="dxa"/>
            <w:tcBorders>
              <w:top w:val="nil"/>
              <w:left w:val="nil"/>
              <w:bottom w:val="single" w:sz="4" w:space="0" w:color="auto"/>
              <w:right w:val="single" w:sz="4" w:space="0" w:color="auto"/>
            </w:tcBorders>
            <w:shd w:val="clear" w:color="000000" w:fill="CCFFFF"/>
            <w:noWrap/>
            <w:vAlign w:val="center"/>
            <w:hideMark/>
          </w:tcPr>
          <w:p w14:paraId="46035CD8" w14:textId="77777777" w:rsidR="0078259C" w:rsidRPr="0078259C" w:rsidRDefault="0078259C" w:rsidP="0078259C">
            <w:pPr>
              <w:spacing w:after="0" w:line="240" w:lineRule="auto"/>
              <w:jc w:val="right"/>
              <w:rPr>
                <w:rFonts w:ascii="Calibri" w:eastAsia="Times New Roman" w:hAnsi="Calibri" w:cs="Calibri"/>
                <w:sz w:val="18"/>
                <w:szCs w:val="18"/>
                <w:lang w:eastAsia="hr-HR"/>
              </w:rPr>
            </w:pPr>
            <w:r w:rsidRPr="0078259C">
              <w:rPr>
                <w:rFonts w:ascii="Calibri" w:eastAsia="Times New Roman" w:hAnsi="Calibri" w:cs="Calibri"/>
                <w:sz w:val="18"/>
                <w:szCs w:val="18"/>
                <w:lang w:eastAsia="hr-HR"/>
              </w:rPr>
              <w:t>3</w:t>
            </w:r>
          </w:p>
        </w:tc>
        <w:tc>
          <w:tcPr>
            <w:tcW w:w="839" w:type="dxa"/>
            <w:gridSpan w:val="2"/>
            <w:tcBorders>
              <w:top w:val="nil"/>
              <w:left w:val="nil"/>
              <w:bottom w:val="single" w:sz="4" w:space="0" w:color="auto"/>
              <w:right w:val="single" w:sz="4" w:space="0" w:color="auto"/>
            </w:tcBorders>
            <w:shd w:val="clear" w:color="000000" w:fill="33CCCC"/>
            <w:noWrap/>
            <w:vAlign w:val="center"/>
            <w:hideMark/>
          </w:tcPr>
          <w:p w14:paraId="0A0DA8CF" w14:textId="77777777" w:rsidR="0078259C" w:rsidRPr="0078259C" w:rsidRDefault="0078259C" w:rsidP="0078259C">
            <w:pPr>
              <w:spacing w:after="0" w:line="240" w:lineRule="auto"/>
              <w:jc w:val="right"/>
              <w:rPr>
                <w:rFonts w:ascii="Calibri" w:eastAsia="Times New Roman" w:hAnsi="Calibri" w:cs="Calibri"/>
                <w:sz w:val="18"/>
                <w:szCs w:val="18"/>
                <w:lang w:eastAsia="hr-HR"/>
              </w:rPr>
            </w:pPr>
            <w:r w:rsidRPr="0078259C">
              <w:rPr>
                <w:rFonts w:ascii="Calibri" w:eastAsia="Times New Roman" w:hAnsi="Calibri" w:cs="Calibri"/>
                <w:sz w:val="18"/>
                <w:szCs w:val="18"/>
                <w:lang w:eastAsia="hr-HR"/>
              </w:rPr>
              <w:t>16</w:t>
            </w:r>
          </w:p>
        </w:tc>
        <w:tc>
          <w:tcPr>
            <w:tcW w:w="839" w:type="dxa"/>
            <w:tcBorders>
              <w:top w:val="nil"/>
              <w:left w:val="nil"/>
              <w:bottom w:val="single" w:sz="4" w:space="0" w:color="auto"/>
              <w:right w:val="nil"/>
            </w:tcBorders>
            <w:shd w:val="clear" w:color="000000" w:fill="33CCCC"/>
            <w:noWrap/>
            <w:vAlign w:val="center"/>
            <w:hideMark/>
          </w:tcPr>
          <w:p w14:paraId="4911B49C" w14:textId="77777777" w:rsidR="0078259C" w:rsidRPr="0078259C" w:rsidRDefault="0078259C" w:rsidP="0078259C">
            <w:pPr>
              <w:spacing w:after="0" w:line="240" w:lineRule="auto"/>
              <w:jc w:val="right"/>
              <w:rPr>
                <w:rFonts w:ascii="Calibri" w:eastAsia="Times New Roman" w:hAnsi="Calibri" w:cs="Calibri"/>
                <w:sz w:val="18"/>
                <w:szCs w:val="18"/>
                <w:lang w:eastAsia="hr-HR"/>
              </w:rPr>
            </w:pPr>
            <w:r w:rsidRPr="0078259C">
              <w:rPr>
                <w:rFonts w:ascii="Calibri" w:eastAsia="Times New Roman" w:hAnsi="Calibri" w:cs="Calibri"/>
                <w:sz w:val="18"/>
                <w:szCs w:val="18"/>
                <w:lang w:eastAsia="hr-HR"/>
              </w:rPr>
              <w:t>2</w:t>
            </w:r>
          </w:p>
        </w:tc>
        <w:tc>
          <w:tcPr>
            <w:tcW w:w="236" w:type="dxa"/>
            <w:gridSpan w:val="2"/>
            <w:vAlign w:val="center"/>
            <w:hideMark/>
          </w:tcPr>
          <w:p w14:paraId="474AB357" w14:textId="77777777" w:rsidR="0078259C" w:rsidRPr="0078259C" w:rsidRDefault="0078259C" w:rsidP="0078259C">
            <w:pPr>
              <w:spacing w:after="0" w:line="240" w:lineRule="auto"/>
              <w:rPr>
                <w:rFonts w:ascii="Times New Roman" w:eastAsia="Times New Roman" w:hAnsi="Times New Roman" w:cs="Times New Roman"/>
                <w:sz w:val="18"/>
                <w:szCs w:val="18"/>
                <w:lang w:eastAsia="hr-HR"/>
              </w:rPr>
            </w:pPr>
          </w:p>
        </w:tc>
      </w:tr>
      <w:tr w:rsidR="0078259C" w:rsidRPr="0078259C" w14:paraId="1A3A2971" w14:textId="77777777" w:rsidTr="0078259C">
        <w:trPr>
          <w:gridAfter w:val="2"/>
          <w:wAfter w:w="44" w:type="dxa"/>
          <w:trHeight w:val="705"/>
        </w:trPr>
        <w:tc>
          <w:tcPr>
            <w:tcW w:w="1394" w:type="dxa"/>
            <w:tcBorders>
              <w:top w:val="single" w:sz="4" w:space="0" w:color="auto"/>
              <w:left w:val="single" w:sz="8" w:space="0" w:color="auto"/>
              <w:bottom w:val="single" w:sz="8" w:space="0" w:color="auto"/>
              <w:right w:val="single" w:sz="4" w:space="0" w:color="auto"/>
            </w:tcBorders>
            <w:shd w:val="clear" w:color="000000" w:fill="FFFF00"/>
            <w:vAlign w:val="center"/>
            <w:hideMark/>
          </w:tcPr>
          <w:p w14:paraId="79A5B655" w14:textId="77777777" w:rsidR="0078259C" w:rsidRPr="0078259C" w:rsidRDefault="0078259C" w:rsidP="0078259C">
            <w:pPr>
              <w:spacing w:after="0" w:line="240" w:lineRule="auto"/>
              <w:jc w:val="center"/>
              <w:rPr>
                <w:rFonts w:ascii="Calibri" w:eastAsia="Times New Roman" w:hAnsi="Calibri" w:cs="Calibri"/>
                <w:b/>
                <w:bCs/>
                <w:sz w:val="18"/>
                <w:szCs w:val="18"/>
                <w:lang w:eastAsia="hr-HR"/>
              </w:rPr>
            </w:pPr>
            <w:r w:rsidRPr="0078259C">
              <w:rPr>
                <w:rFonts w:ascii="Calibri" w:eastAsia="Times New Roman" w:hAnsi="Calibri" w:cs="Calibri"/>
                <w:b/>
                <w:bCs/>
                <w:sz w:val="18"/>
                <w:szCs w:val="18"/>
                <w:lang w:eastAsia="hr-HR"/>
              </w:rPr>
              <w:t>UKUPNO</w:t>
            </w:r>
          </w:p>
        </w:tc>
        <w:tc>
          <w:tcPr>
            <w:tcW w:w="575" w:type="dxa"/>
            <w:tcBorders>
              <w:top w:val="nil"/>
              <w:left w:val="nil"/>
              <w:bottom w:val="single" w:sz="8" w:space="0" w:color="auto"/>
              <w:right w:val="single" w:sz="4" w:space="0" w:color="auto"/>
            </w:tcBorders>
            <w:shd w:val="clear" w:color="000000" w:fill="FFFF00"/>
            <w:vAlign w:val="center"/>
            <w:hideMark/>
          </w:tcPr>
          <w:p w14:paraId="6550C487" w14:textId="77777777" w:rsidR="0078259C" w:rsidRPr="0078259C" w:rsidRDefault="0078259C" w:rsidP="0078259C">
            <w:pPr>
              <w:spacing w:after="0" w:line="240" w:lineRule="auto"/>
              <w:jc w:val="right"/>
              <w:rPr>
                <w:rFonts w:ascii="Calibri" w:eastAsia="Times New Roman" w:hAnsi="Calibri" w:cs="Calibri"/>
                <w:b/>
                <w:bCs/>
                <w:sz w:val="18"/>
                <w:szCs w:val="18"/>
                <w:lang w:eastAsia="hr-HR"/>
              </w:rPr>
            </w:pPr>
            <w:r w:rsidRPr="0078259C">
              <w:rPr>
                <w:rFonts w:ascii="Calibri" w:eastAsia="Times New Roman" w:hAnsi="Calibri" w:cs="Calibri"/>
                <w:b/>
                <w:bCs/>
                <w:sz w:val="18"/>
                <w:szCs w:val="18"/>
                <w:lang w:eastAsia="hr-HR"/>
              </w:rPr>
              <w:t>81</w:t>
            </w:r>
          </w:p>
        </w:tc>
        <w:tc>
          <w:tcPr>
            <w:tcW w:w="488" w:type="dxa"/>
            <w:tcBorders>
              <w:top w:val="nil"/>
              <w:left w:val="nil"/>
              <w:bottom w:val="single" w:sz="8" w:space="0" w:color="auto"/>
              <w:right w:val="single" w:sz="4" w:space="0" w:color="auto"/>
            </w:tcBorders>
            <w:shd w:val="clear" w:color="000000" w:fill="FFFF00"/>
            <w:vAlign w:val="center"/>
            <w:hideMark/>
          </w:tcPr>
          <w:p w14:paraId="66904D60" w14:textId="77777777" w:rsidR="0078259C" w:rsidRPr="0078259C" w:rsidRDefault="0078259C" w:rsidP="0078259C">
            <w:pPr>
              <w:spacing w:after="0" w:line="240" w:lineRule="auto"/>
              <w:jc w:val="right"/>
              <w:rPr>
                <w:rFonts w:ascii="Calibri" w:eastAsia="Times New Roman" w:hAnsi="Calibri" w:cs="Calibri"/>
                <w:b/>
                <w:bCs/>
                <w:sz w:val="18"/>
                <w:szCs w:val="18"/>
                <w:lang w:eastAsia="hr-HR"/>
              </w:rPr>
            </w:pPr>
            <w:r w:rsidRPr="0078259C">
              <w:rPr>
                <w:rFonts w:ascii="Calibri" w:eastAsia="Times New Roman" w:hAnsi="Calibri" w:cs="Calibri"/>
                <w:b/>
                <w:bCs/>
                <w:sz w:val="18"/>
                <w:szCs w:val="18"/>
                <w:lang w:eastAsia="hr-HR"/>
              </w:rPr>
              <w:t>106</w:t>
            </w:r>
          </w:p>
        </w:tc>
        <w:tc>
          <w:tcPr>
            <w:tcW w:w="500" w:type="dxa"/>
            <w:tcBorders>
              <w:top w:val="nil"/>
              <w:left w:val="nil"/>
              <w:bottom w:val="single" w:sz="8" w:space="0" w:color="auto"/>
              <w:right w:val="single" w:sz="4" w:space="0" w:color="auto"/>
            </w:tcBorders>
            <w:shd w:val="clear" w:color="000000" w:fill="FFFF00"/>
            <w:vAlign w:val="center"/>
            <w:hideMark/>
          </w:tcPr>
          <w:p w14:paraId="48F55003" w14:textId="77777777" w:rsidR="0078259C" w:rsidRPr="0078259C" w:rsidRDefault="0078259C" w:rsidP="0078259C">
            <w:pPr>
              <w:spacing w:after="0" w:line="240" w:lineRule="auto"/>
              <w:jc w:val="right"/>
              <w:rPr>
                <w:rFonts w:ascii="Calibri" w:eastAsia="Times New Roman" w:hAnsi="Calibri" w:cs="Calibri"/>
                <w:b/>
                <w:bCs/>
                <w:sz w:val="18"/>
                <w:szCs w:val="18"/>
                <w:lang w:eastAsia="hr-HR"/>
              </w:rPr>
            </w:pPr>
            <w:r w:rsidRPr="0078259C">
              <w:rPr>
                <w:rFonts w:ascii="Calibri" w:eastAsia="Times New Roman" w:hAnsi="Calibri" w:cs="Calibri"/>
                <w:b/>
                <w:bCs/>
                <w:sz w:val="18"/>
                <w:szCs w:val="18"/>
                <w:lang w:eastAsia="hr-HR"/>
              </w:rPr>
              <w:t>61</w:t>
            </w:r>
          </w:p>
        </w:tc>
        <w:tc>
          <w:tcPr>
            <w:tcW w:w="435" w:type="dxa"/>
            <w:tcBorders>
              <w:top w:val="nil"/>
              <w:left w:val="nil"/>
              <w:bottom w:val="single" w:sz="8" w:space="0" w:color="auto"/>
              <w:right w:val="single" w:sz="4" w:space="0" w:color="auto"/>
            </w:tcBorders>
            <w:shd w:val="clear" w:color="000000" w:fill="FFFF00"/>
            <w:vAlign w:val="center"/>
            <w:hideMark/>
          </w:tcPr>
          <w:p w14:paraId="060B71C3" w14:textId="77777777" w:rsidR="0078259C" w:rsidRPr="0078259C" w:rsidRDefault="0078259C" w:rsidP="0078259C">
            <w:pPr>
              <w:spacing w:after="0" w:line="240" w:lineRule="auto"/>
              <w:jc w:val="right"/>
              <w:rPr>
                <w:rFonts w:ascii="Calibri" w:eastAsia="Times New Roman" w:hAnsi="Calibri" w:cs="Calibri"/>
                <w:b/>
                <w:bCs/>
                <w:sz w:val="18"/>
                <w:szCs w:val="18"/>
                <w:lang w:eastAsia="hr-HR"/>
              </w:rPr>
            </w:pPr>
            <w:r w:rsidRPr="0078259C">
              <w:rPr>
                <w:rFonts w:ascii="Calibri" w:eastAsia="Times New Roman" w:hAnsi="Calibri" w:cs="Calibri"/>
                <w:b/>
                <w:bCs/>
                <w:sz w:val="18"/>
                <w:szCs w:val="18"/>
                <w:lang w:eastAsia="hr-HR"/>
              </w:rPr>
              <w:t>56</w:t>
            </w:r>
          </w:p>
        </w:tc>
        <w:tc>
          <w:tcPr>
            <w:tcW w:w="426" w:type="dxa"/>
            <w:tcBorders>
              <w:top w:val="nil"/>
              <w:left w:val="nil"/>
              <w:bottom w:val="single" w:sz="8" w:space="0" w:color="auto"/>
              <w:right w:val="single" w:sz="4" w:space="0" w:color="auto"/>
            </w:tcBorders>
            <w:shd w:val="clear" w:color="000000" w:fill="FFFF00"/>
            <w:vAlign w:val="center"/>
            <w:hideMark/>
          </w:tcPr>
          <w:p w14:paraId="0018042F" w14:textId="77777777" w:rsidR="0078259C" w:rsidRPr="0078259C" w:rsidRDefault="0078259C" w:rsidP="0078259C">
            <w:pPr>
              <w:spacing w:after="0" w:line="240" w:lineRule="auto"/>
              <w:jc w:val="right"/>
              <w:rPr>
                <w:rFonts w:ascii="Calibri" w:eastAsia="Times New Roman" w:hAnsi="Calibri" w:cs="Calibri"/>
                <w:b/>
                <w:bCs/>
                <w:sz w:val="18"/>
                <w:szCs w:val="18"/>
                <w:lang w:eastAsia="hr-HR"/>
              </w:rPr>
            </w:pPr>
            <w:r w:rsidRPr="0078259C">
              <w:rPr>
                <w:rFonts w:ascii="Calibri" w:eastAsia="Times New Roman" w:hAnsi="Calibri" w:cs="Calibri"/>
                <w:b/>
                <w:bCs/>
                <w:sz w:val="18"/>
                <w:szCs w:val="18"/>
                <w:lang w:eastAsia="hr-HR"/>
              </w:rPr>
              <w:t>45</w:t>
            </w:r>
          </w:p>
        </w:tc>
        <w:tc>
          <w:tcPr>
            <w:tcW w:w="425" w:type="dxa"/>
            <w:tcBorders>
              <w:top w:val="nil"/>
              <w:left w:val="nil"/>
              <w:bottom w:val="single" w:sz="8" w:space="0" w:color="auto"/>
              <w:right w:val="single" w:sz="4" w:space="0" w:color="auto"/>
            </w:tcBorders>
            <w:shd w:val="clear" w:color="000000" w:fill="FFFF00"/>
            <w:vAlign w:val="center"/>
            <w:hideMark/>
          </w:tcPr>
          <w:p w14:paraId="34653759" w14:textId="77777777" w:rsidR="0078259C" w:rsidRPr="0078259C" w:rsidRDefault="0078259C" w:rsidP="0078259C">
            <w:pPr>
              <w:spacing w:after="0" w:line="240" w:lineRule="auto"/>
              <w:jc w:val="right"/>
              <w:rPr>
                <w:rFonts w:ascii="Calibri" w:eastAsia="Times New Roman" w:hAnsi="Calibri" w:cs="Calibri"/>
                <w:b/>
                <w:bCs/>
                <w:sz w:val="18"/>
                <w:szCs w:val="18"/>
                <w:lang w:eastAsia="hr-HR"/>
              </w:rPr>
            </w:pPr>
            <w:r w:rsidRPr="0078259C">
              <w:rPr>
                <w:rFonts w:ascii="Calibri" w:eastAsia="Times New Roman" w:hAnsi="Calibri" w:cs="Calibri"/>
                <w:b/>
                <w:bCs/>
                <w:sz w:val="18"/>
                <w:szCs w:val="18"/>
                <w:lang w:eastAsia="hr-HR"/>
              </w:rPr>
              <w:t>85</w:t>
            </w:r>
          </w:p>
        </w:tc>
        <w:tc>
          <w:tcPr>
            <w:tcW w:w="567" w:type="dxa"/>
            <w:tcBorders>
              <w:top w:val="nil"/>
              <w:left w:val="nil"/>
              <w:bottom w:val="single" w:sz="8" w:space="0" w:color="auto"/>
              <w:right w:val="single" w:sz="4" w:space="0" w:color="auto"/>
            </w:tcBorders>
            <w:shd w:val="clear" w:color="000000" w:fill="FFFF00"/>
            <w:vAlign w:val="center"/>
            <w:hideMark/>
          </w:tcPr>
          <w:p w14:paraId="2A09149F" w14:textId="77777777" w:rsidR="0078259C" w:rsidRPr="0078259C" w:rsidRDefault="0078259C" w:rsidP="0078259C">
            <w:pPr>
              <w:spacing w:after="0" w:line="240" w:lineRule="auto"/>
              <w:jc w:val="right"/>
              <w:rPr>
                <w:rFonts w:ascii="Calibri" w:eastAsia="Times New Roman" w:hAnsi="Calibri" w:cs="Calibri"/>
                <w:b/>
                <w:bCs/>
                <w:sz w:val="18"/>
                <w:szCs w:val="18"/>
                <w:lang w:eastAsia="hr-HR"/>
              </w:rPr>
            </w:pPr>
            <w:r w:rsidRPr="0078259C">
              <w:rPr>
                <w:rFonts w:ascii="Calibri" w:eastAsia="Times New Roman" w:hAnsi="Calibri" w:cs="Calibri"/>
                <w:b/>
                <w:bCs/>
                <w:sz w:val="18"/>
                <w:szCs w:val="18"/>
                <w:lang w:eastAsia="hr-HR"/>
              </w:rPr>
              <w:t>5</w:t>
            </w:r>
          </w:p>
        </w:tc>
        <w:tc>
          <w:tcPr>
            <w:tcW w:w="567" w:type="dxa"/>
            <w:tcBorders>
              <w:top w:val="nil"/>
              <w:left w:val="nil"/>
              <w:bottom w:val="single" w:sz="8" w:space="0" w:color="auto"/>
              <w:right w:val="single" w:sz="4" w:space="0" w:color="auto"/>
            </w:tcBorders>
            <w:shd w:val="clear" w:color="000000" w:fill="FFFF00"/>
            <w:vAlign w:val="center"/>
            <w:hideMark/>
          </w:tcPr>
          <w:p w14:paraId="3968DD39" w14:textId="77777777" w:rsidR="0078259C" w:rsidRPr="0078259C" w:rsidRDefault="0078259C" w:rsidP="0078259C">
            <w:pPr>
              <w:spacing w:after="0" w:line="240" w:lineRule="auto"/>
              <w:jc w:val="right"/>
              <w:rPr>
                <w:rFonts w:ascii="Calibri" w:eastAsia="Times New Roman" w:hAnsi="Calibri" w:cs="Calibri"/>
                <w:b/>
                <w:bCs/>
                <w:sz w:val="18"/>
                <w:szCs w:val="18"/>
                <w:lang w:eastAsia="hr-HR"/>
              </w:rPr>
            </w:pPr>
            <w:r w:rsidRPr="0078259C">
              <w:rPr>
                <w:rFonts w:ascii="Calibri" w:eastAsia="Times New Roman" w:hAnsi="Calibri" w:cs="Calibri"/>
                <w:b/>
                <w:bCs/>
                <w:sz w:val="18"/>
                <w:szCs w:val="18"/>
                <w:lang w:eastAsia="hr-HR"/>
              </w:rPr>
              <w:t>0</w:t>
            </w:r>
          </w:p>
        </w:tc>
        <w:tc>
          <w:tcPr>
            <w:tcW w:w="437" w:type="dxa"/>
            <w:tcBorders>
              <w:top w:val="nil"/>
              <w:left w:val="nil"/>
              <w:bottom w:val="single" w:sz="8" w:space="0" w:color="auto"/>
              <w:right w:val="single" w:sz="4" w:space="0" w:color="auto"/>
            </w:tcBorders>
            <w:shd w:val="clear" w:color="000000" w:fill="FFFF00"/>
            <w:vAlign w:val="center"/>
            <w:hideMark/>
          </w:tcPr>
          <w:p w14:paraId="06FB95CC" w14:textId="77777777" w:rsidR="0078259C" w:rsidRPr="0078259C" w:rsidRDefault="0078259C" w:rsidP="0078259C">
            <w:pPr>
              <w:spacing w:after="0" w:line="240" w:lineRule="auto"/>
              <w:jc w:val="right"/>
              <w:rPr>
                <w:rFonts w:ascii="Calibri" w:eastAsia="Times New Roman" w:hAnsi="Calibri" w:cs="Calibri"/>
                <w:b/>
                <w:bCs/>
                <w:sz w:val="18"/>
                <w:szCs w:val="18"/>
                <w:lang w:eastAsia="hr-HR"/>
              </w:rPr>
            </w:pPr>
            <w:r w:rsidRPr="0078259C">
              <w:rPr>
                <w:rFonts w:ascii="Calibri" w:eastAsia="Times New Roman" w:hAnsi="Calibri" w:cs="Calibri"/>
                <w:b/>
                <w:bCs/>
                <w:sz w:val="18"/>
                <w:szCs w:val="18"/>
                <w:lang w:eastAsia="hr-HR"/>
              </w:rPr>
              <w:t>0</w:t>
            </w:r>
          </w:p>
        </w:tc>
        <w:tc>
          <w:tcPr>
            <w:tcW w:w="413" w:type="dxa"/>
            <w:tcBorders>
              <w:top w:val="nil"/>
              <w:left w:val="nil"/>
              <w:bottom w:val="single" w:sz="8" w:space="0" w:color="auto"/>
              <w:right w:val="single" w:sz="4" w:space="0" w:color="auto"/>
            </w:tcBorders>
            <w:shd w:val="clear" w:color="000000" w:fill="FFFF00"/>
            <w:vAlign w:val="center"/>
            <w:hideMark/>
          </w:tcPr>
          <w:p w14:paraId="7CAE6E86" w14:textId="77777777" w:rsidR="0078259C" w:rsidRPr="0078259C" w:rsidRDefault="0078259C" w:rsidP="0078259C">
            <w:pPr>
              <w:spacing w:after="0" w:line="240" w:lineRule="auto"/>
              <w:jc w:val="right"/>
              <w:rPr>
                <w:rFonts w:ascii="Calibri" w:eastAsia="Times New Roman" w:hAnsi="Calibri" w:cs="Calibri"/>
                <w:b/>
                <w:bCs/>
                <w:sz w:val="18"/>
                <w:szCs w:val="18"/>
                <w:lang w:eastAsia="hr-HR"/>
              </w:rPr>
            </w:pPr>
            <w:r w:rsidRPr="0078259C">
              <w:rPr>
                <w:rFonts w:ascii="Calibri" w:eastAsia="Times New Roman" w:hAnsi="Calibri" w:cs="Calibri"/>
                <w:b/>
                <w:bCs/>
                <w:sz w:val="18"/>
                <w:szCs w:val="18"/>
                <w:lang w:eastAsia="hr-HR"/>
              </w:rPr>
              <w:t>22</w:t>
            </w:r>
          </w:p>
        </w:tc>
        <w:tc>
          <w:tcPr>
            <w:tcW w:w="283" w:type="dxa"/>
            <w:gridSpan w:val="2"/>
            <w:tcBorders>
              <w:top w:val="nil"/>
              <w:left w:val="nil"/>
              <w:bottom w:val="single" w:sz="8" w:space="0" w:color="auto"/>
              <w:right w:val="single" w:sz="4" w:space="0" w:color="auto"/>
            </w:tcBorders>
            <w:shd w:val="clear" w:color="000000" w:fill="FFFF00"/>
            <w:vAlign w:val="center"/>
            <w:hideMark/>
          </w:tcPr>
          <w:p w14:paraId="4AD30C75" w14:textId="77777777" w:rsidR="0078259C" w:rsidRPr="0078259C" w:rsidRDefault="0078259C" w:rsidP="0078259C">
            <w:pPr>
              <w:spacing w:after="0" w:line="240" w:lineRule="auto"/>
              <w:jc w:val="right"/>
              <w:rPr>
                <w:rFonts w:ascii="Calibri" w:eastAsia="Times New Roman" w:hAnsi="Calibri" w:cs="Calibri"/>
                <w:b/>
                <w:bCs/>
                <w:sz w:val="18"/>
                <w:szCs w:val="18"/>
                <w:lang w:eastAsia="hr-HR"/>
              </w:rPr>
            </w:pPr>
            <w:r w:rsidRPr="0078259C">
              <w:rPr>
                <w:rFonts w:ascii="Calibri" w:eastAsia="Times New Roman" w:hAnsi="Calibri" w:cs="Calibri"/>
                <w:b/>
                <w:bCs/>
                <w:sz w:val="18"/>
                <w:szCs w:val="18"/>
                <w:lang w:eastAsia="hr-HR"/>
              </w:rPr>
              <w:t>67</w:t>
            </w:r>
          </w:p>
        </w:tc>
        <w:tc>
          <w:tcPr>
            <w:tcW w:w="568" w:type="dxa"/>
            <w:tcBorders>
              <w:top w:val="nil"/>
              <w:left w:val="nil"/>
              <w:bottom w:val="single" w:sz="8" w:space="0" w:color="auto"/>
              <w:right w:val="single" w:sz="4" w:space="0" w:color="auto"/>
            </w:tcBorders>
            <w:shd w:val="clear" w:color="000000" w:fill="FFFF00"/>
            <w:vAlign w:val="center"/>
            <w:hideMark/>
          </w:tcPr>
          <w:p w14:paraId="1D91AF0F" w14:textId="77777777" w:rsidR="0078259C" w:rsidRPr="0078259C" w:rsidRDefault="0078259C" w:rsidP="0078259C">
            <w:pPr>
              <w:spacing w:after="0" w:line="240" w:lineRule="auto"/>
              <w:jc w:val="right"/>
              <w:rPr>
                <w:rFonts w:ascii="Calibri" w:eastAsia="Times New Roman" w:hAnsi="Calibri" w:cs="Calibri"/>
                <w:b/>
                <w:bCs/>
                <w:sz w:val="18"/>
                <w:szCs w:val="18"/>
                <w:lang w:eastAsia="hr-HR"/>
              </w:rPr>
            </w:pPr>
            <w:r w:rsidRPr="0078259C">
              <w:rPr>
                <w:rFonts w:ascii="Calibri" w:eastAsia="Times New Roman" w:hAnsi="Calibri" w:cs="Calibri"/>
                <w:b/>
                <w:bCs/>
                <w:sz w:val="18"/>
                <w:szCs w:val="18"/>
                <w:lang w:eastAsia="hr-HR"/>
              </w:rPr>
              <w:t>21</w:t>
            </w:r>
          </w:p>
        </w:tc>
        <w:tc>
          <w:tcPr>
            <w:tcW w:w="425" w:type="dxa"/>
            <w:tcBorders>
              <w:top w:val="nil"/>
              <w:left w:val="nil"/>
              <w:bottom w:val="single" w:sz="8" w:space="0" w:color="auto"/>
              <w:right w:val="single" w:sz="4" w:space="0" w:color="auto"/>
            </w:tcBorders>
            <w:shd w:val="clear" w:color="000000" w:fill="FFFF00"/>
            <w:vAlign w:val="center"/>
            <w:hideMark/>
          </w:tcPr>
          <w:p w14:paraId="78F5A205" w14:textId="77777777" w:rsidR="0078259C" w:rsidRPr="0078259C" w:rsidRDefault="0078259C" w:rsidP="0078259C">
            <w:pPr>
              <w:spacing w:after="0" w:line="240" w:lineRule="auto"/>
              <w:jc w:val="right"/>
              <w:rPr>
                <w:rFonts w:ascii="Calibri" w:eastAsia="Times New Roman" w:hAnsi="Calibri" w:cs="Calibri"/>
                <w:b/>
                <w:bCs/>
                <w:sz w:val="18"/>
                <w:szCs w:val="18"/>
                <w:lang w:eastAsia="hr-HR"/>
              </w:rPr>
            </w:pPr>
            <w:r w:rsidRPr="0078259C">
              <w:rPr>
                <w:rFonts w:ascii="Calibri" w:eastAsia="Times New Roman" w:hAnsi="Calibri" w:cs="Calibri"/>
                <w:b/>
                <w:bCs/>
                <w:sz w:val="18"/>
                <w:szCs w:val="18"/>
                <w:lang w:eastAsia="hr-HR"/>
              </w:rPr>
              <w:t>13</w:t>
            </w:r>
          </w:p>
        </w:tc>
        <w:tc>
          <w:tcPr>
            <w:tcW w:w="425" w:type="dxa"/>
            <w:gridSpan w:val="2"/>
            <w:tcBorders>
              <w:top w:val="nil"/>
              <w:left w:val="nil"/>
              <w:bottom w:val="single" w:sz="8" w:space="0" w:color="auto"/>
              <w:right w:val="single" w:sz="4" w:space="0" w:color="auto"/>
            </w:tcBorders>
            <w:shd w:val="clear" w:color="000000" w:fill="FFFF00"/>
            <w:vAlign w:val="center"/>
            <w:hideMark/>
          </w:tcPr>
          <w:p w14:paraId="02559647" w14:textId="77777777" w:rsidR="0078259C" w:rsidRPr="0078259C" w:rsidRDefault="0078259C" w:rsidP="0078259C">
            <w:pPr>
              <w:spacing w:after="0" w:line="240" w:lineRule="auto"/>
              <w:jc w:val="right"/>
              <w:rPr>
                <w:rFonts w:ascii="Calibri" w:eastAsia="Times New Roman" w:hAnsi="Calibri" w:cs="Calibri"/>
                <w:b/>
                <w:bCs/>
                <w:sz w:val="18"/>
                <w:szCs w:val="18"/>
                <w:lang w:eastAsia="hr-HR"/>
              </w:rPr>
            </w:pPr>
            <w:r w:rsidRPr="0078259C">
              <w:rPr>
                <w:rFonts w:ascii="Calibri" w:eastAsia="Times New Roman" w:hAnsi="Calibri" w:cs="Calibri"/>
                <w:b/>
                <w:bCs/>
                <w:sz w:val="18"/>
                <w:szCs w:val="18"/>
                <w:lang w:eastAsia="hr-HR"/>
              </w:rPr>
              <w:t>1</w:t>
            </w:r>
          </w:p>
        </w:tc>
        <w:tc>
          <w:tcPr>
            <w:tcW w:w="437" w:type="dxa"/>
            <w:tcBorders>
              <w:top w:val="nil"/>
              <w:left w:val="nil"/>
              <w:bottom w:val="single" w:sz="8" w:space="0" w:color="auto"/>
              <w:right w:val="single" w:sz="4" w:space="0" w:color="auto"/>
            </w:tcBorders>
            <w:shd w:val="clear" w:color="000000" w:fill="FFFF00"/>
            <w:vAlign w:val="center"/>
            <w:hideMark/>
          </w:tcPr>
          <w:p w14:paraId="2872CA08" w14:textId="77777777" w:rsidR="0078259C" w:rsidRPr="0078259C" w:rsidRDefault="0078259C" w:rsidP="0078259C">
            <w:pPr>
              <w:spacing w:after="0" w:line="240" w:lineRule="auto"/>
              <w:jc w:val="right"/>
              <w:rPr>
                <w:rFonts w:ascii="Calibri" w:eastAsia="Times New Roman" w:hAnsi="Calibri" w:cs="Calibri"/>
                <w:b/>
                <w:bCs/>
                <w:sz w:val="18"/>
                <w:szCs w:val="18"/>
                <w:lang w:eastAsia="hr-HR"/>
              </w:rPr>
            </w:pPr>
            <w:r w:rsidRPr="0078259C">
              <w:rPr>
                <w:rFonts w:ascii="Calibri" w:eastAsia="Times New Roman" w:hAnsi="Calibri" w:cs="Calibri"/>
                <w:b/>
                <w:bCs/>
                <w:sz w:val="18"/>
                <w:szCs w:val="18"/>
                <w:lang w:eastAsia="hr-HR"/>
              </w:rPr>
              <w:t>63</w:t>
            </w:r>
          </w:p>
        </w:tc>
        <w:tc>
          <w:tcPr>
            <w:tcW w:w="556" w:type="dxa"/>
            <w:tcBorders>
              <w:top w:val="nil"/>
              <w:left w:val="nil"/>
              <w:bottom w:val="single" w:sz="8" w:space="0" w:color="auto"/>
              <w:right w:val="single" w:sz="4" w:space="0" w:color="auto"/>
            </w:tcBorders>
            <w:shd w:val="clear" w:color="000000" w:fill="FFFF00"/>
            <w:vAlign w:val="center"/>
            <w:hideMark/>
          </w:tcPr>
          <w:p w14:paraId="56BD5D23" w14:textId="77777777" w:rsidR="0078259C" w:rsidRPr="0078259C" w:rsidRDefault="0078259C" w:rsidP="0078259C">
            <w:pPr>
              <w:spacing w:after="0" w:line="240" w:lineRule="auto"/>
              <w:jc w:val="right"/>
              <w:rPr>
                <w:rFonts w:ascii="Calibri" w:eastAsia="Times New Roman" w:hAnsi="Calibri" w:cs="Calibri"/>
                <w:b/>
                <w:bCs/>
                <w:sz w:val="18"/>
                <w:szCs w:val="18"/>
                <w:lang w:eastAsia="hr-HR"/>
              </w:rPr>
            </w:pPr>
            <w:r w:rsidRPr="0078259C">
              <w:rPr>
                <w:rFonts w:ascii="Calibri" w:eastAsia="Times New Roman" w:hAnsi="Calibri" w:cs="Calibri"/>
                <w:b/>
                <w:bCs/>
                <w:sz w:val="18"/>
                <w:szCs w:val="18"/>
                <w:lang w:eastAsia="hr-HR"/>
              </w:rPr>
              <w:t>6</w:t>
            </w:r>
          </w:p>
        </w:tc>
        <w:tc>
          <w:tcPr>
            <w:tcW w:w="425" w:type="dxa"/>
            <w:tcBorders>
              <w:top w:val="nil"/>
              <w:left w:val="nil"/>
              <w:bottom w:val="single" w:sz="8" w:space="0" w:color="auto"/>
              <w:right w:val="single" w:sz="4" w:space="0" w:color="auto"/>
            </w:tcBorders>
            <w:shd w:val="clear" w:color="000000" w:fill="FFFF00"/>
            <w:vAlign w:val="center"/>
            <w:hideMark/>
          </w:tcPr>
          <w:p w14:paraId="39AAFC74" w14:textId="77777777" w:rsidR="0078259C" w:rsidRPr="0078259C" w:rsidRDefault="0078259C" w:rsidP="0078259C">
            <w:pPr>
              <w:spacing w:after="0" w:line="240" w:lineRule="auto"/>
              <w:jc w:val="right"/>
              <w:rPr>
                <w:rFonts w:ascii="Calibri" w:eastAsia="Times New Roman" w:hAnsi="Calibri" w:cs="Calibri"/>
                <w:b/>
                <w:bCs/>
                <w:sz w:val="18"/>
                <w:szCs w:val="18"/>
                <w:lang w:eastAsia="hr-HR"/>
              </w:rPr>
            </w:pPr>
            <w:r w:rsidRPr="0078259C">
              <w:rPr>
                <w:rFonts w:ascii="Calibri" w:eastAsia="Times New Roman" w:hAnsi="Calibri" w:cs="Calibri"/>
                <w:b/>
                <w:bCs/>
                <w:sz w:val="18"/>
                <w:szCs w:val="18"/>
                <w:lang w:eastAsia="hr-HR"/>
              </w:rPr>
              <w:t>70</w:t>
            </w:r>
          </w:p>
        </w:tc>
        <w:tc>
          <w:tcPr>
            <w:tcW w:w="567" w:type="dxa"/>
            <w:gridSpan w:val="2"/>
            <w:tcBorders>
              <w:top w:val="nil"/>
              <w:left w:val="nil"/>
              <w:bottom w:val="single" w:sz="8" w:space="0" w:color="auto"/>
              <w:right w:val="single" w:sz="4" w:space="0" w:color="auto"/>
            </w:tcBorders>
            <w:shd w:val="clear" w:color="000000" w:fill="FFFF00"/>
            <w:vAlign w:val="center"/>
            <w:hideMark/>
          </w:tcPr>
          <w:p w14:paraId="6FA3C7D4" w14:textId="77777777" w:rsidR="0078259C" w:rsidRPr="0078259C" w:rsidRDefault="0078259C" w:rsidP="0078259C">
            <w:pPr>
              <w:spacing w:after="0" w:line="240" w:lineRule="auto"/>
              <w:jc w:val="right"/>
              <w:rPr>
                <w:rFonts w:ascii="Calibri" w:eastAsia="Times New Roman" w:hAnsi="Calibri" w:cs="Calibri"/>
                <w:b/>
                <w:bCs/>
                <w:sz w:val="18"/>
                <w:szCs w:val="18"/>
                <w:lang w:eastAsia="hr-HR"/>
              </w:rPr>
            </w:pPr>
            <w:r w:rsidRPr="0078259C">
              <w:rPr>
                <w:rFonts w:ascii="Calibri" w:eastAsia="Times New Roman" w:hAnsi="Calibri" w:cs="Calibri"/>
                <w:b/>
                <w:bCs/>
                <w:sz w:val="18"/>
                <w:szCs w:val="18"/>
                <w:lang w:eastAsia="hr-HR"/>
              </w:rPr>
              <w:t>101</w:t>
            </w:r>
          </w:p>
        </w:tc>
        <w:tc>
          <w:tcPr>
            <w:tcW w:w="578" w:type="dxa"/>
            <w:gridSpan w:val="2"/>
            <w:tcBorders>
              <w:top w:val="nil"/>
              <w:left w:val="nil"/>
              <w:bottom w:val="single" w:sz="8" w:space="0" w:color="auto"/>
              <w:right w:val="single" w:sz="4" w:space="0" w:color="auto"/>
            </w:tcBorders>
            <w:shd w:val="clear" w:color="000000" w:fill="FFFF00"/>
            <w:vAlign w:val="center"/>
            <w:hideMark/>
          </w:tcPr>
          <w:p w14:paraId="7935FA1C" w14:textId="77777777" w:rsidR="0078259C" w:rsidRPr="0078259C" w:rsidRDefault="0078259C" w:rsidP="0078259C">
            <w:pPr>
              <w:spacing w:after="0" w:line="240" w:lineRule="auto"/>
              <w:jc w:val="right"/>
              <w:rPr>
                <w:rFonts w:ascii="Calibri" w:eastAsia="Times New Roman" w:hAnsi="Calibri" w:cs="Calibri"/>
                <w:b/>
                <w:bCs/>
                <w:sz w:val="18"/>
                <w:szCs w:val="18"/>
                <w:lang w:eastAsia="hr-HR"/>
              </w:rPr>
            </w:pPr>
            <w:r w:rsidRPr="0078259C">
              <w:rPr>
                <w:rFonts w:ascii="Calibri" w:eastAsia="Times New Roman" w:hAnsi="Calibri" w:cs="Calibri"/>
                <w:b/>
                <w:bCs/>
                <w:sz w:val="18"/>
                <w:szCs w:val="18"/>
                <w:lang w:eastAsia="hr-HR"/>
              </w:rPr>
              <w:t>86</w:t>
            </w:r>
          </w:p>
        </w:tc>
        <w:tc>
          <w:tcPr>
            <w:tcW w:w="839" w:type="dxa"/>
            <w:gridSpan w:val="2"/>
            <w:tcBorders>
              <w:top w:val="nil"/>
              <w:left w:val="nil"/>
              <w:bottom w:val="single" w:sz="8" w:space="0" w:color="auto"/>
              <w:right w:val="single" w:sz="4" w:space="0" w:color="auto"/>
            </w:tcBorders>
            <w:shd w:val="clear" w:color="000000" w:fill="FFFF00"/>
            <w:vAlign w:val="center"/>
            <w:hideMark/>
          </w:tcPr>
          <w:p w14:paraId="26C90C2B" w14:textId="77777777" w:rsidR="0078259C" w:rsidRPr="0078259C" w:rsidRDefault="0078259C" w:rsidP="0078259C">
            <w:pPr>
              <w:spacing w:after="0" w:line="240" w:lineRule="auto"/>
              <w:jc w:val="right"/>
              <w:rPr>
                <w:rFonts w:ascii="Calibri" w:eastAsia="Times New Roman" w:hAnsi="Calibri" w:cs="Calibri"/>
                <w:b/>
                <w:bCs/>
                <w:sz w:val="18"/>
                <w:szCs w:val="18"/>
                <w:lang w:eastAsia="hr-HR"/>
              </w:rPr>
            </w:pPr>
            <w:r w:rsidRPr="0078259C">
              <w:rPr>
                <w:rFonts w:ascii="Calibri" w:eastAsia="Times New Roman" w:hAnsi="Calibri" w:cs="Calibri"/>
                <w:b/>
                <w:bCs/>
                <w:sz w:val="18"/>
                <w:szCs w:val="18"/>
                <w:lang w:eastAsia="hr-HR"/>
              </w:rPr>
              <w:t>68</w:t>
            </w:r>
          </w:p>
        </w:tc>
        <w:tc>
          <w:tcPr>
            <w:tcW w:w="426" w:type="dxa"/>
            <w:gridSpan w:val="2"/>
            <w:tcBorders>
              <w:top w:val="nil"/>
              <w:left w:val="nil"/>
              <w:bottom w:val="single" w:sz="8" w:space="0" w:color="auto"/>
              <w:right w:val="single" w:sz="4" w:space="0" w:color="auto"/>
            </w:tcBorders>
            <w:shd w:val="clear" w:color="000000" w:fill="FFFF00"/>
            <w:vAlign w:val="center"/>
            <w:hideMark/>
          </w:tcPr>
          <w:p w14:paraId="09E49B2D" w14:textId="77777777" w:rsidR="0078259C" w:rsidRPr="0078259C" w:rsidRDefault="0078259C" w:rsidP="0078259C">
            <w:pPr>
              <w:spacing w:after="0" w:line="240" w:lineRule="auto"/>
              <w:jc w:val="right"/>
              <w:rPr>
                <w:rFonts w:ascii="Calibri" w:eastAsia="Times New Roman" w:hAnsi="Calibri" w:cs="Calibri"/>
                <w:b/>
                <w:bCs/>
                <w:sz w:val="18"/>
                <w:szCs w:val="18"/>
                <w:lang w:eastAsia="hr-HR"/>
              </w:rPr>
            </w:pPr>
            <w:r w:rsidRPr="0078259C">
              <w:rPr>
                <w:rFonts w:ascii="Calibri" w:eastAsia="Times New Roman" w:hAnsi="Calibri" w:cs="Calibri"/>
                <w:b/>
                <w:bCs/>
                <w:sz w:val="18"/>
                <w:szCs w:val="18"/>
                <w:lang w:eastAsia="hr-HR"/>
              </w:rPr>
              <w:t>34</w:t>
            </w:r>
          </w:p>
        </w:tc>
        <w:tc>
          <w:tcPr>
            <w:tcW w:w="446" w:type="dxa"/>
            <w:tcBorders>
              <w:top w:val="nil"/>
              <w:left w:val="nil"/>
              <w:bottom w:val="single" w:sz="8" w:space="0" w:color="auto"/>
              <w:right w:val="single" w:sz="4" w:space="0" w:color="auto"/>
            </w:tcBorders>
            <w:shd w:val="clear" w:color="000000" w:fill="FFFF00"/>
            <w:vAlign w:val="center"/>
            <w:hideMark/>
          </w:tcPr>
          <w:p w14:paraId="2221C0C0" w14:textId="77777777" w:rsidR="0078259C" w:rsidRPr="0078259C" w:rsidRDefault="0078259C" w:rsidP="0078259C">
            <w:pPr>
              <w:spacing w:after="0" w:line="240" w:lineRule="auto"/>
              <w:jc w:val="right"/>
              <w:rPr>
                <w:rFonts w:ascii="Calibri" w:eastAsia="Times New Roman" w:hAnsi="Calibri" w:cs="Calibri"/>
                <w:b/>
                <w:bCs/>
                <w:sz w:val="18"/>
                <w:szCs w:val="18"/>
                <w:lang w:eastAsia="hr-HR"/>
              </w:rPr>
            </w:pPr>
            <w:r w:rsidRPr="0078259C">
              <w:rPr>
                <w:rFonts w:ascii="Calibri" w:eastAsia="Times New Roman" w:hAnsi="Calibri" w:cs="Calibri"/>
                <w:b/>
                <w:bCs/>
                <w:sz w:val="18"/>
                <w:szCs w:val="18"/>
                <w:lang w:eastAsia="hr-HR"/>
              </w:rPr>
              <w:t>25</w:t>
            </w:r>
          </w:p>
        </w:tc>
        <w:tc>
          <w:tcPr>
            <w:tcW w:w="404" w:type="dxa"/>
            <w:tcBorders>
              <w:top w:val="nil"/>
              <w:left w:val="nil"/>
              <w:bottom w:val="single" w:sz="8" w:space="0" w:color="auto"/>
              <w:right w:val="single" w:sz="4" w:space="0" w:color="auto"/>
            </w:tcBorders>
            <w:shd w:val="clear" w:color="000000" w:fill="FFFF00"/>
            <w:vAlign w:val="center"/>
            <w:hideMark/>
          </w:tcPr>
          <w:p w14:paraId="03EC5075" w14:textId="77777777" w:rsidR="0078259C" w:rsidRPr="0078259C" w:rsidRDefault="0078259C" w:rsidP="0078259C">
            <w:pPr>
              <w:spacing w:after="0" w:line="240" w:lineRule="auto"/>
              <w:jc w:val="right"/>
              <w:rPr>
                <w:rFonts w:ascii="Calibri" w:eastAsia="Times New Roman" w:hAnsi="Calibri" w:cs="Calibri"/>
                <w:b/>
                <w:bCs/>
                <w:sz w:val="18"/>
                <w:szCs w:val="18"/>
                <w:lang w:eastAsia="hr-HR"/>
              </w:rPr>
            </w:pPr>
            <w:r w:rsidRPr="0078259C">
              <w:rPr>
                <w:rFonts w:ascii="Calibri" w:eastAsia="Times New Roman" w:hAnsi="Calibri" w:cs="Calibri"/>
                <w:b/>
                <w:bCs/>
                <w:sz w:val="18"/>
                <w:szCs w:val="18"/>
                <w:lang w:eastAsia="hr-HR"/>
              </w:rPr>
              <w:t>18</w:t>
            </w:r>
          </w:p>
        </w:tc>
        <w:tc>
          <w:tcPr>
            <w:tcW w:w="839" w:type="dxa"/>
            <w:gridSpan w:val="2"/>
            <w:tcBorders>
              <w:top w:val="nil"/>
              <w:left w:val="nil"/>
              <w:bottom w:val="single" w:sz="8" w:space="0" w:color="auto"/>
              <w:right w:val="single" w:sz="4" w:space="0" w:color="auto"/>
            </w:tcBorders>
            <w:shd w:val="clear" w:color="000000" w:fill="FFFF00"/>
            <w:vAlign w:val="center"/>
            <w:hideMark/>
          </w:tcPr>
          <w:p w14:paraId="1BD74FA7" w14:textId="77777777" w:rsidR="0078259C" w:rsidRPr="0078259C" w:rsidRDefault="0078259C" w:rsidP="0078259C">
            <w:pPr>
              <w:spacing w:after="0" w:line="240" w:lineRule="auto"/>
              <w:jc w:val="right"/>
              <w:rPr>
                <w:rFonts w:ascii="Calibri" w:eastAsia="Times New Roman" w:hAnsi="Calibri" w:cs="Calibri"/>
                <w:b/>
                <w:bCs/>
                <w:sz w:val="18"/>
                <w:szCs w:val="18"/>
                <w:lang w:eastAsia="hr-HR"/>
              </w:rPr>
            </w:pPr>
            <w:r w:rsidRPr="0078259C">
              <w:rPr>
                <w:rFonts w:ascii="Calibri" w:eastAsia="Times New Roman" w:hAnsi="Calibri" w:cs="Calibri"/>
                <w:b/>
                <w:bCs/>
                <w:sz w:val="18"/>
                <w:szCs w:val="18"/>
                <w:lang w:eastAsia="hr-HR"/>
              </w:rPr>
              <w:t>76</w:t>
            </w:r>
          </w:p>
        </w:tc>
        <w:tc>
          <w:tcPr>
            <w:tcW w:w="839" w:type="dxa"/>
            <w:tcBorders>
              <w:top w:val="nil"/>
              <w:left w:val="nil"/>
              <w:bottom w:val="single" w:sz="8" w:space="0" w:color="auto"/>
              <w:right w:val="single" w:sz="4" w:space="0" w:color="auto"/>
            </w:tcBorders>
            <w:shd w:val="clear" w:color="000000" w:fill="FFFF00"/>
            <w:vAlign w:val="center"/>
            <w:hideMark/>
          </w:tcPr>
          <w:p w14:paraId="2E178785" w14:textId="77777777" w:rsidR="0078259C" w:rsidRPr="0078259C" w:rsidRDefault="0078259C" w:rsidP="0078259C">
            <w:pPr>
              <w:spacing w:after="0" w:line="240" w:lineRule="auto"/>
              <w:jc w:val="right"/>
              <w:rPr>
                <w:rFonts w:ascii="Calibri" w:eastAsia="Times New Roman" w:hAnsi="Calibri" w:cs="Calibri"/>
                <w:b/>
                <w:bCs/>
                <w:sz w:val="18"/>
                <w:szCs w:val="18"/>
                <w:lang w:eastAsia="hr-HR"/>
              </w:rPr>
            </w:pPr>
            <w:r w:rsidRPr="0078259C">
              <w:rPr>
                <w:rFonts w:ascii="Calibri" w:eastAsia="Times New Roman" w:hAnsi="Calibri" w:cs="Calibri"/>
                <w:b/>
                <w:bCs/>
                <w:sz w:val="18"/>
                <w:szCs w:val="18"/>
                <w:lang w:eastAsia="hr-HR"/>
              </w:rPr>
              <w:t>25</w:t>
            </w:r>
          </w:p>
        </w:tc>
        <w:tc>
          <w:tcPr>
            <w:tcW w:w="236" w:type="dxa"/>
            <w:gridSpan w:val="2"/>
            <w:vAlign w:val="center"/>
            <w:hideMark/>
          </w:tcPr>
          <w:p w14:paraId="57B6C897" w14:textId="77777777" w:rsidR="0078259C" w:rsidRPr="0078259C" w:rsidRDefault="0078259C" w:rsidP="0078259C">
            <w:pPr>
              <w:spacing w:after="0" w:line="240" w:lineRule="auto"/>
              <w:rPr>
                <w:rFonts w:ascii="Times New Roman" w:eastAsia="Times New Roman" w:hAnsi="Times New Roman" w:cs="Times New Roman"/>
                <w:sz w:val="18"/>
                <w:szCs w:val="18"/>
                <w:lang w:eastAsia="hr-HR"/>
              </w:rPr>
            </w:pPr>
          </w:p>
        </w:tc>
      </w:tr>
    </w:tbl>
    <w:p w14:paraId="49BCB664" w14:textId="77777777" w:rsidR="0078259C" w:rsidRPr="005E671C" w:rsidRDefault="0078259C" w:rsidP="001752B7">
      <w:pPr>
        <w:rPr>
          <w:rFonts w:ascii="Times New Roman" w:hAnsi="Times New Roman" w:cs="Times New Roman"/>
          <w:sz w:val="24"/>
          <w:szCs w:val="24"/>
        </w:rPr>
      </w:pPr>
    </w:p>
    <w:p w14:paraId="17B1D598" w14:textId="77777777" w:rsidR="00061543" w:rsidRDefault="00061543">
      <w:pPr>
        <w:rPr>
          <w:rFonts w:ascii="Times New Roman" w:hAnsi="Times New Roman" w:cs="Times New Roman"/>
          <w:sz w:val="24"/>
          <w:szCs w:val="24"/>
        </w:rPr>
      </w:pPr>
      <w:r>
        <w:rPr>
          <w:rFonts w:ascii="Times New Roman" w:hAnsi="Times New Roman" w:cs="Times New Roman"/>
          <w:sz w:val="24"/>
          <w:szCs w:val="24"/>
        </w:rPr>
        <w:br w:type="page"/>
      </w:r>
    </w:p>
    <w:p w14:paraId="642B4B44" w14:textId="5DF4E995" w:rsidR="001752B7" w:rsidRPr="005E671C" w:rsidRDefault="001752B7" w:rsidP="001752B7">
      <w:pPr>
        <w:rPr>
          <w:rFonts w:ascii="Times New Roman" w:hAnsi="Times New Roman" w:cs="Times New Roman"/>
          <w:sz w:val="24"/>
          <w:szCs w:val="24"/>
        </w:rPr>
      </w:pPr>
      <w:r w:rsidRPr="005E671C">
        <w:rPr>
          <w:rFonts w:ascii="Times New Roman" w:hAnsi="Times New Roman" w:cs="Times New Roman"/>
          <w:sz w:val="24"/>
          <w:szCs w:val="24"/>
        </w:rPr>
        <w:lastRenderedPageBreak/>
        <w:t>OPĆINSKI SUDOVI (GRAĐANSKI PREDMETI) - UKUPNO 201</w:t>
      </w:r>
      <w:r>
        <w:rPr>
          <w:rFonts w:ascii="Times New Roman" w:hAnsi="Times New Roman" w:cs="Times New Roman"/>
          <w:sz w:val="24"/>
          <w:szCs w:val="24"/>
        </w:rPr>
        <w:t>9</w:t>
      </w:r>
      <w:r w:rsidRPr="005E671C">
        <w:rPr>
          <w:rFonts w:ascii="Times New Roman" w:hAnsi="Times New Roman" w:cs="Times New Roman"/>
          <w:sz w:val="24"/>
          <w:szCs w:val="24"/>
        </w:rPr>
        <w:t>. godina</w:t>
      </w:r>
    </w:p>
    <w:p w14:paraId="0BDCC3C5" w14:textId="22C5A80F" w:rsidR="00061543" w:rsidRDefault="00061543" w:rsidP="001752B7">
      <w:pPr>
        <w:rPr>
          <w:rFonts w:ascii="Times New Roman" w:hAnsi="Times New Roman" w:cs="Times New Roman"/>
          <w:sz w:val="24"/>
          <w:szCs w:val="24"/>
        </w:rPr>
      </w:pPr>
    </w:p>
    <w:tbl>
      <w:tblPr>
        <w:tblW w:w="14834" w:type="dxa"/>
        <w:tblLayout w:type="fixed"/>
        <w:tblLook w:val="04A0" w:firstRow="1" w:lastRow="0" w:firstColumn="1" w:lastColumn="0" w:noHBand="0" w:noVBand="1"/>
      </w:tblPr>
      <w:tblGrid>
        <w:gridCol w:w="1576"/>
        <w:gridCol w:w="560"/>
        <w:gridCol w:w="446"/>
        <w:gridCol w:w="787"/>
        <w:gridCol w:w="581"/>
        <w:gridCol w:w="446"/>
        <w:gridCol w:w="697"/>
        <w:gridCol w:w="446"/>
        <w:gridCol w:w="567"/>
        <w:gridCol w:w="468"/>
        <w:gridCol w:w="808"/>
        <w:gridCol w:w="121"/>
        <w:gridCol w:w="347"/>
        <w:gridCol w:w="524"/>
        <w:gridCol w:w="468"/>
        <w:gridCol w:w="468"/>
        <w:gridCol w:w="223"/>
        <w:gridCol w:w="337"/>
        <w:gridCol w:w="233"/>
        <w:gridCol w:w="672"/>
        <w:gridCol w:w="498"/>
        <w:gridCol w:w="295"/>
        <w:gridCol w:w="721"/>
        <w:gridCol w:w="189"/>
        <w:gridCol w:w="316"/>
        <w:gridCol w:w="468"/>
        <w:gridCol w:w="336"/>
        <w:gridCol w:w="426"/>
        <w:gridCol w:w="473"/>
        <w:gridCol w:w="94"/>
        <w:gridCol w:w="7"/>
        <w:gridCol w:w="135"/>
        <w:gridCol w:w="94"/>
        <w:gridCol w:w="7"/>
      </w:tblGrid>
      <w:tr w:rsidR="00061543" w:rsidRPr="00061543" w14:paraId="39D0E91B" w14:textId="77777777" w:rsidTr="00061543">
        <w:trPr>
          <w:gridAfter w:val="4"/>
          <w:wAfter w:w="243" w:type="dxa"/>
          <w:trHeight w:val="450"/>
        </w:trPr>
        <w:tc>
          <w:tcPr>
            <w:tcW w:w="1576" w:type="dxa"/>
            <w:vMerge w:val="restart"/>
            <w:tcBorders>
              <w:top w:val="single" w:sz="8" w:space="0" w:color="auto"/>
              <w:left w:val="single" w:sz="8" w:space="0" w:color="auto"/>
              <w:bottom w:val="single" w:sz="4" w:space="0" w:color="auto"/>
              <w:right w:val="single" w:sz="4" w:space="0" w:color="auto"/>
            </w:tcBorders>
            <w:shd w:val="clear" w:color="000000" w:fill="CCFFCC"/>
            <w:vAlign w:val="center"/>
            <w:hideMark/>
          </w:tcPr>
          <w:p w14:paraId="2A044392" w14:textId="77777777" w:rsidR="00061543" w:rsidRPr="00061543" w:rsidRDefault="00061543" w:rsidP="00061543">
            <w:pPr>
              <w:spacing w:after="0" w:line="240" w:lineRule="auto"/>
              <w:jc w:val="center"/>
              <w:rPr>
                <w:rFonts w:ascii="Tahoma" w:eastAsia="Times New Roman" w:hAnsi="Tahoma" w:cs="Tahoma"/>
                <w:sz w:val="18"/>
                <w:szCs w:val="18"/>
                <w:lang w:eastAsia="hr-HR"/>
              </w:rPr>
            </w:pPr>
            <w:r w:rsidRPr="00061543">
              <w:rPr>
                <w:rFonts w:ascii="Tahoma" w:eastAsia="Times New Roman" w:hAnsi="Tahoma" w:cs="Tahoma"/>
                <w:sz w:val="18"/>
                <w:szCs w:val="18"/>
                <w:lang w:eastAsia="hr-HR"/>
              </w:rPr>
              <w:t>OSNOVE DISKRIMINACIJE (čl. 1. Zakona o suzbijanju diskriminacije)</w:t>
            </w:r>
          </w:p>
        </w:tc>
        <w:tc>
          <w:tcPr>
            <w:tcW w:w="13015" w:type="dxa"/>
            <w:gridSpan w:val="29"/>
            <w:vMerge w:val="restart"/>
            <w:tcBorders>
              <w:top w:val="single" w:sz="8" w:space="0" w:color="auto"/>
              <w:left w:val="single" w:sz="4" w:space="0" w:color="auto"/>
              <w:bottom w:val="single" w:sz="4" w:space="0" w:color="000000"/>
              <w:right w:val="single" w:sz="8" w:space="0" w:color="000000"/>
            </w:tcBorders>
            <w:shd w:val="clear" w:color="000000" w:fill="CCFFCC"/>
            <w:noWrap/>
            <w:vAlign w:val="center"/>
            <w:hideMark/>
          </w:tcPr>
          <w:p w14:paraId="00A0F483" w14:textId="77777777" w:rsidR="00061543" w:rsidRPr="00061543" w:rsidRDefault="00061543" w:rsidP="00061543">
            <w:pPr>
              <w:spacing w:after="0" w:line="240" w:lineRule="auto"/>
              <w:jc w:val="center"/>
              <w:rPr>
                <w:rFonts w:ascii="Tahoma" w:eastAsia="Times New Roman" w:hAnsi="Tahoma" w:cs="Tahoma"/>
                <w:b/>
                <w:bCs/>
                <w:sz w:val="18"/>
                <w:szCs w:val="18"/>
                <w:lang w:eastAsia="hr-HR"/>
              </w:rPr>
            </w:pPr>
            <w:r w:rsidRPr="00061543">
              <w:rPr>
                <w:rFonts w:ascii="Tahoma" w:eastAsia="Times New Roman" w:hAnsi="Tahoma" w:cs="Tahoma"/>
                <w:b/>
                <w:bCs/>
                <w:sz w:val="18"/>
                <w:szCs w:val="18"/>
                <w:lang w:eastAsia="hr-HR"/>
              </w:rPr>
              <w:t>G R A Đ A N S K I  P R E D M E T I</w:t>
            </w:r>
          </w:p>
        </w:tc>
      </w:tr>
      <w:tr w:rsidR="00061543" w:rsidRPr="00061543" w14:paraId="0F079441" w14:textId="77777777" w:rsidTr="00061543">
        <w:trPr>
          <w:gridAfter w:val="1"/>
          <w:wAfter w:w="7" w:type="dxa"/>
          <w:trHeight w:val="300"/>
        </w:trPr>
        <w:tc>
          <w:tcPr>
            <w:tcW w:w="1576" w:type="dxa"/>
            <w:vMerge/>
            <w:tcBorders>
              <w:top w:val="single" w:sz="8" w:space="0" w:color="auto"/>
              <w:left w:val="single" w:sz="8" w:space="0" w:color="auto"/>
              <w:bottom w:val="single" w:sz="4" w:space="0" w:color="auto"/>
              <w:right w:val="single" w:sz="4" w:space="0" w:color="auto"/>
            </w:tcBorders>
            <w:vAlign w:val="center"/>
            <w:hideMark/>
          </w:tcPr>
          <w:p w14:paraId="1E8B8E66" w14:textId="77777777" w:rsidR="00061543" w:rsidRPr="00061543" w:rsidRDefault="00061543" w:rsidP="00061543">
            <w:pPr>
              <w:spacing w:after="0" w:line="240" w:lineRule="auto"/>
              <w:rPr>
                <w:rFonts w:ascii="Tahoma" w:eastAsia="Times New Roman" w:hAnsi="Tahoma" w:cs="Tahoma"/>
                <w:sz w:val="18"/>
                <w:szCs w:val="18"/>
                <w:lang w:eastAsia="hr-HR"/>
              </w:rPr>
            </w:pPr>
          </w:p>
        </w:tc>
        <w:tc>
          <w:tcPr>
            <w:tcW w:w="13015" w:type="dxa"/>
            <w:gridSpan w:val="29"/>
            <w:vMerge/>
            <w:tcBorders>
              <w:top w:val="single" w:sz="8" w:space="0" w:color="auto"/>
              <w:left w:val="single" w:sz="4" w:space="0" w:color="auto"/>
              <w:bottom w:val="single" w:sz="4" w:space="0" w:color="000000"/>
              <w:right w:val="single" w:sz="8" w:space="0" w:color="000000"/>
            </w:tcBorders>
            <w:vAlign w:val="center"/>
            <w:hideMark/>
          </w:tcPr>
          <w:p w14:paraId="6AE298F9" w14:textId="77777777" w:rsidR="00061543" w:rsidRPr="00061543" w:rsidRDefault="00061543" w:rsidP="00061543">
            <w:pPr>
              <w:spacing w:after="0" w:line="240" w:lineRule="auto"/>
              <w:rPr>
                <w:rFonts w:ascii="Tahoma" w:eastAsia="Times New Roman" w:hAnsi="Tahoma" w:cs="Tahoma"/>
                <w:b/>
                <w:bCs/>
                <w:sz w:val="18"/>
                <w:szCs w:val="18"/>
                <w:lang w:eastAsia="hr-HR"/>
              </w:rPr>
            </w:pPr>
          </w:p>
        </w:tc>
        <w:tc>
          <w:tcPr>
            <w:tcW w:w="236" w:type="dxa"/>
            <w:gridSpan w:val="3"/>
            <w:tcBorders>
              <w:top w:val="nil"/>
              <w:left w:val="nil"/>
              <w:bottom w:val="nil"/>
              <w:right w:val="nil"/>
            </w:tcBorders>
            <w:shd w:val="clear" w:color="auto" w:fill="auto"/>
            <w:noWrap/>
            <w:vAlign w:val="bottom"/>
            <w:hideMark/>
          </w:tcPr>
          <w:p w14:paraId="121371F6" w14:textId="77777777" w:rsidR="00061543" w:rsidRPr="00061543" w:rsidRDefault="00061543" w:rsidP="00061543">
            <w:pPr>
              <w:spacing w:after="0" w:line="240" w:lineRule="auto"/>
              <w:jc w:val="center"/>
              <w:rPr>
                <w:rFonts w:ascii="Tahoma" w:eastAsia="Times New Roman" w:hAnsi="Tahoma" w:cs="Tahoma"/>
                <w:b/>
                <w:bCs/>
                <w:sz w:val="18"/>
                <w:szCs w:val="18"/>
                <w:lang w:eastAsia="hr-HR"/>
              </w:rPr>
            </w:pPr>
          </w:p>
        </w:tc>
      </w:tr>
      <w:tr w:rsidR="00061543" w:rsidRPr="00061543" w14:paraId="22CEC6DA" w14:textId="77777777" w:rsidTr="00061543">
        <w:trPr>
          <w:trHeight w:val="705"/>
        </w:trPr>
        <w:tc>
          <w:tcPr>
            <w:tcW w:w="1576" w:type="dxa"/>
            <w:vMerge/>
            <w:tcBorders>
              <w:top w:val="single" w:sz="8" w:space="0" w:color="auto"/>
              <w:left w:val="single" w:sz="8" w:space="0" w:color="auto"/>
              <w:bottom w:val="single" w:sz="4" w:space="0" w:color="auto"/>
              <w:right w:val="single" w:sz="4" w:space="0" w:color="auto"/>
            </w:tcBorders>
            <w:vAlign w:val="center"/>
            <w:hideMark/>
          </w:tcPr>
          <w:p w14:paraId="30CF49B2" w14:textId="77777777" w:rsidR="00061543" w:rsidRPr="00061543" w:rsidRDefault="00061543" w:rsidP="00061543">
            <w:pPr>
              <w:spacing w:after="0" w:line="240" w:lineRule="auto"/>
              <w:rPr>
                <w:rFonts w:ascii="Tahoma" w:eastAsia="Times New Roman" w:hAnsi="Tahoma" w:cs="Tahoma"/>
                <w:sz w:val="18"/>
                <w:szCs w:val="18"/>
                <w:lang w:eastAsia="hr-HR"/>
              </w:rPr>
            </w:pPr>
          </w:p>
        </w:tc>
        <w:tc>
          <w:tcPr>
            <w:tcW w:w="560" w:type="dxa"/>
            <w:vMerge w:val="restart"/>
            <w:tcBorders>
              <w:top w:val="nil"/>
              <w:left w:val="single" w:sz="4" w:space="0" w:color="auto"/>
              <w:bottom w:val="single" w:sz="4" w:space="0" w:color="auto"/>
              <w:right w:val="single" w:sz="4" w:space="0" w:color="auto"/>
            </w:tcBorders>
            <w:shd w:val="clear" w:color="000000" w:fill="CCFFCC"/>
            <w:textDirection w:val="btLr"/>
            <w:vAlign w:val="center"/>
            <w:hideMark/>
          </w:tcPr>
          <w:p w14:paraId="1B4B0177" w14:textId="77777777" w:rsidR="00061543" w:rsidRPr="00061543" w:rsidRDefault="00061543" w:rsidP="00061543">
            <w:pPr>
              <w:spacing w:after="0" w:line="240" w:lineRule="auto"/>
              <w:jc w:val="center"/>
              <w:rPr>
                <w:rFonts w:ascii="Tahoma" w:eastAsia="Times New Roman" w:hAnsi="Tahoma" w:cs="Tahoma"/>
                <w:b/>
                <w:bCs/>
                <w:sz w:val="18"/>
                <w:szCs w:val="18"/>
                <w:lang w:eastAsia="hr-HR"/>
              </w:rPr>
            </w:pPr>
            <w:r w:rsidRPr="00061543">
              <w:rPr>
                <w:rFonts w:ascii="Tahoma" w:eastAsia="Times New Roman" w:hAnsi="Tahoma" w:cs="Tahoma"/>
                <w:b/>
                <w:bCs/>
                <w:sz w:val="18"/>
                <w:szCs w:val="18"/>
                <w:lang w:eastAsia="hr-HR"/>
              </w:rPr>
              <w:t xml:space="preserve">Broj </w:t>
            </w:r>
            <w:proofErr w:type="spellStart"/>
            <w:r w:rsidRPr="00061543">
              <w:rPr>
                <w:rFonts w:ascii="Tahoma" w:eastAsia="Times New Roman" w:hAnsi="Tahoma" w:cs="Tahoma"/>
                <w:b/>
                <w:bCs/>
                <w:sz w:val="18"/>
                <w:szCs w:val="18"/>
                <w:lang w:eastAsia="hr-HR"/>
              </w:rPr>
              <w:t>nerješenih</w:t>
            </w:r>
            <w:proofErr w:type="spellEnd"/>
            <w:r w:rsidRPr="00061543">
              <w:rPr>
                <w:rFonts w:ascii="Tahoma" w:eastAsia="Times New Roman" w:hAnsi="Tahoma" w:cs="Tahoma"/>
                <w:b/>
                <w:bCs/>
                <w:sz w:val="18"/>
                <w:szCs w:val="18"/>
                <w:lang w:eastAsia="hr-HR"/>
              </w:rPr>
              <w:t xml:space="preserve"> predmeta na početku razdoblja</w:t>
            </w:r>
          </w:p>
        </w:tc>
        <w:tc>
          <w:tcPr>
            <w:tcW w:w="446" w:type="dxa"/>
            <w:vMerge w:val="restart"/>
            <w:tcBorders>
              <w:top w:val="nil"/>
              <w:left w:val="single" w:sz="4" w:space="0" w:color="auto"/>
              <w:bottom w:val="single" w:sz="4" w:space="0" w:color="000000"/>
              <w:right w:val="single" w:sz="4" w:space="0" w:color="000000"/>
            </w:tcBorders>
            <w:shd w:val="clear" w:color="000000" w:fill="CCFFCC"/>
            <w:textDirection w:val="btLr"/>
            <w:vAlign w:val="center"/>
            <w:hideMark/>
          </w:tcPr>
          <w:p w14:paraId="2783F6DE" w14:textId="77777777" w:rsidR="00061543" w:rsidRPr="00061543" w:rsidRDefault="00061543" w:rsidP="00061543">
            <w:pPr>
              <w:spacing w:after="0" w:line="240" w:lineRule="auto"/>
              <w:jc w:val="center"/>
              <w:rPr>
                <w:rFonts w:ascii="Tahoma" w:eastAsia="Times New Roman" w:hAnsi="Tahoma" w:cs="Tahoma"/>
                <w:b/>
                <w:bCs/>
                <w:sz w:val="18"/>
                <w:szCs w:val="18"/>
                <w:lang w:eastAsia="hr-HR"/>
              </w:rPr>
            </w:pPr>
            <w:r w:rsidRPr="00061543">
              <w:rPr>
                <w:rFonts w:ascii="Tahoma" w:eastAsia="Times New Roman" w:hAnsi="Tahoma" w:cs="Tahoma"/>
                <w:b/>
                <w:bCs/>
                <w:sz w:val="18"/>
                <w:szCs w:val="18"/>
                <w:lang w:eastAsia="hr-HR"/>
              </w:rPr>
              <w:t xml:space="preserve">Broj primljenih predmeta </w:t>
            </w:r>
          </w:p>
        </w:tc>
        <w:tc>
          <w:tcPr>
            <w:tcW w:w="1368" w:type="dxa"/>
            <w:gridSpan w:val="2"/>
            <w:tcBorders>
              <w:top w:val="single" w:sz="4" w:space="0" w:color="auto"/>
              <w:left w:val="nil"/>
              <w:bottom w:val="single" w:sz="4" w:space="0" w:color="auto"/>
              <w:right w:val="single" w:sz="4" w:space="0" w:color="000000"/>
            </w:tcBorders>
            <w:shd w:val="clear" w:color="000000" w:fill="CCFFCC"/>
            <w:vAlign w:val="center"/>
            <w:hideMark/>
          </w:tcPr>
          <w:p w14:paraId="0CA264D0" w14:textId="77777777" w:rsidR="00061543" w:rsidRPr="00061543" w:rsidRDefault="00061543" w:rsidP="00061543">
            <w:pPr>
              <w:spacing w:after="0" w:line="240" w:lineRule="auto"/>
              <w:jc w:val="center"/>
              <w:rPr>
                <w:rFonts w:ascii="Tahoma" w:eastAsia="Times New Roman" w:hAnsi="Tahoma" w:cs="Tahoma"/>
                <w:sz w:val="18"/>
                <w:szCs w:val="18"/>
                <w:lang w:eastAsia="hr-HR"/>
              </w:rPr>
            </w:pPr>
            <w:r w:rsidRPr="00061543">
              <w:rPr>
                <w:rFonts w:ascii="Tahoma" w:eastAsia="Times New Roman" w:hAnsi="Tahoma" w:cs="Tahoma"/>
                <w:sz w:val="18"/>
                <w:szCs w:val="18"/>
                <w:lang w:eastAsia="hr-HR"/>
              </w:rPr>
              <w:t>Broj diskriminiranih osoba prema tužbi</w:t>
            </w:r>
          </w:p>
        </w:tc>
        <w:tc>
          <w:tcPr>
            <w:tcW w:w="3553" w:type="dxa"/>
            <w:gridSpan w:val="7"/>
            <w:tcBorders>
              <w:top w:val="single" w:sz="4" w:space="0" w:color="auto"/>
              <w:left w:val="nil"/>
              <w:bottom w:val="single" w:sz="4" w:space="0" w:color="auto"/>
              <w:right w:val="single" w:sz="4" w:space="0" w:color="auto"/>
            </w:tcBorders>
            <w:shd w:val="clear" w:color="000000" w:fill="CCFFCC"/>
            <w:vAlign w:val="center"/>
            <w:hideMark/>
          </w:tcPr>
          <w:p w14:paraId="4D0241F3" w14:textId="77777777" w:rsidR="00061543" w:rsidRPr="00061543" w:rsidRDefault="00061543" w:rsidP="00061543">
            <w:pPr>
              <w:spacing w:after="0" w:line="240" w:lineRule="auto"/>
              <w:jc w:val="center"/>
              <w:rPr>
                <w:rFonts w:ascii="Tahoma" w:eastAsia="Times New Roman" w:hAnsi="Tahoma" w:cs="Tahoma"/>
                <w:b/>
                <w:bCs/>
                <w:sz w:val="18"/>
                <w:szCs w:val="18"/>
                <w:lang w:eastAsia="hr-HR"/>
              </w:rPr>
            </w:pPr>
            <w:r w:rsidRPr="00061543">
              <w:rPr>
                <w:rFonts w:ascii="Tahoma" w:eastAsia="Times New Roman" w:hAnsi="Tahoma" w:cs="Tahoma"/>
                <w:b/>
                <w:bCs/>
                <w:sz w:val="18"/>
                <w:szCs w:val="18"/>
                <w:lang w:eastAsia="hr-HR"/>
              </w:rPr>
              <w:t>VRSTA TUŽBE</w:t>
            </w:r>
          </w:p>
        </w:tc>
        <w:tc>
          <w:tcPr>
            <w:tcW w:w="2030" w:type="dxa"/>
            <w:gridSpan w:val="5"/>
            <w:tcBorders>
              <w:top w:val="single" w:sz="4" w:space="0" w:color="auto"/>
              <w:left w:val="nil"/>
              <w:bottom w:val="single" w:sz="4" w:space="0" w:color="auto"/>
              <w:right w:val="single" w:sz="4" w:space="0" w:color="auto"/>
            </w:tcBorders>
            <w:shd w:val="clear" w:color="000000" w:fill="CCFFCC"/>
            <w:vAlign w:val="center"/>
            <w:hideMark/>
          </w:tcPr>
          <w:p w14:paraId="6AA8DE91" w14:textId="77777777" w:rsidR="00061543" w:rsidRPr="00061543" w:rsidRDefault="00061543" w:rsidP="00061543">
            <w:pPr>
              <w:spacing w:after="0" w:line="240" w:lineRule="auto"/>
              <w:jc w:val="center"/>
              <w:rPr>
                <w:rFonts w:ascii="Tahoma" w:eastAsia="Times New Roman" w:hAnsi="Tahoma" w:cs="Tahoma"/>
                <w:b/>
                <w:bCs/>
                <w:sz w:val="18"/>
                <w:szCs w:val="18"/>
                <w:lang w:eastAsia="hr-HR"/>
              </w:rPr>
            </w:pPr>
            <w:r w:rsidRPr="00061543">
              <w:rPr>
                <w:rFonts w:ascii="Tahoma" w:eastAsia="Times New Roman" w:hAnsi="Tahoma" w:cs="Tahoma"/>
                <w:b/>
                <w:bCs/>
                <w:sz w:val="18"/>
                <w:szCs w:val="18"/>
                <w:lang w:eastAsia="hr-HR"/>
              </w:rPr>
              <w:t>PRAVOMOĆNO RIJEŠENO</w:t>
            </w:r>
          </w:p>
        </w:tc>
        <w:tc>
          <w:tcPr>
            <w:tcW w:w="570" w:type="dxa"/>
            <w:gridSpan w:val="2"/>
            <w:tcBorders>
              <w:top w:val="nil"/>
              <w:left w:val="single" w:sz="4" w:space="0" w:color="auto"/>
              <w:bottom w:val="single" w:sz="4" w:space="0" w:color="000000"/>
              <w:right w:val="single" w:sz="4" w:space="0" w:color="auto"/>
            </w:tcBorders>
            <w:shd w:val="clear" w:color="000000" w:fill="CCFFCC"/>
            <w:textDirection w:val="btLr"/>
            <w:vAlign w:val="center"/>
            <w:hideMark/>
          </w:tcPr>
          <w:p w14:paraId="6B6F51F7" w14:textId="77777777" w:rsidR="00061543" w:rsidRPr="00061543" w:rsidRDefault="00061543" w:rsidP="00061543">
            <w:pPr>
              <w:spacing w:after="0" w:line="240" w:lineRule="auto"/>
              <w:jc w:val="center"/>
              <w:rPr>
                <w:rFonts w:ascii="Tahoma" w:eastAsia="Times New Roman" w:hAnsi="Tahoma" w:cs="Tahoma"/>
                <w:b/>
                <w:bCs/>
                <w:sz w:val="18"/>
                <w:szCs w:val="18"/>
                <w:lang w:eastAsia="hr-HR"/>
              </w:rPr>
            </w:pPr>
            <w:r w:rsidRPr="00061543">
              <w:rPr>
                <w:rFonts w:ascii="Tahoma" w:eastAsia="Times New Roman" w:hAnsi="Tahoma" w:cs="Tahoma"/>
                <w:b/>
                <w:bCs/>
                <w:sz w:val="18"/>
                <w:szCs w:val="18"/>
                <w:lang w:eastAsia="hr-HR"/>
              </w:rPr>
              <w:t xml:space="preserve">Broj </w:t>
            </w:r>
            <w:proofErr w:type="spellStart"/>
            <w:r w:rsidRPr="00061543">
              <w:rPr>
                <w:rFonts w:ascii="Tahoma" w:eastAsia="Times New Roman" w:hAnsi="Tahoma" w:cs="Tahoma"/>
                <w:b/>
                <w:bCs/>
                <w:sz w:val="18"/>
                <w:szCs w:val="18"/>
                <w:lang w:eastAsia="hr-HR"/>
              </w:rPr>
              <w:t>nerješenih</w:t>
            </w:r>
            <w:proofErr w:type="spellEnd"/>
            <w:r w:rsidRPr="00061543">
              <w:rPr>
                <w:rFonts w:ascii="Tahoma" w:eastAsia="Times New Roman" w:hAnsi="Tahoma" w:cs="Tahoma"/>
                <w:b/>
                <w:bCs/>
                <w:sz w:val="18"/>
                <w:szCs w:val="18"/>
                <w:lang w:eastAsia="hr-HR"/>
              </w:rPr>
              <w:t xml:space="preserve"> predmeta na kraju izvještajnog razdoblja</w:t>
            </w:r>
          </w:p>
        </w:tc>
        <w:tc>
          <w:tcPr>
            <w:tcW w:w="1465" w:type="dxa"/>
            <w:gridSpan w:val="3"/>
            <w:tcBorders>
              <w:top w:val="single" w:sz="4" w:space="0" w:color="auto"/>
              <w:left w:val="nil"/>
              <w:bottom w:val="single" w:sz="4" w:space="0" w:color="auto"/>
              <w:right w:val="single" w:sz="4" w:space="0" w:color="000000"/>
            </w:tcBorders>
            <w:shd w:val="clear" w:color="000000" w:fill="FFCC00"/>
            <w:vAlign w:val="center"/>
            <w:hideMark/>
          </w:tcPr>
          <w:p w14:paraId="28A86326" w14:textId="77777777" w:rsidR="00061543" w:rsidRPr="00061543" w:rsidRDefault="00061543" w:rsidP="00061543">
            <w:pPr>
              <w:spacing w:after="0" w:line="240" w:lineRule="auto"/>
              <w:jc w:val="center"/>
              <w:rPr>
                <w:rFonts w:ascii="Tahoma" w:eastAsia="Times New Roman" w:hAnsi="Tahoma" w:cs="Tahoma"/>
                <w:sz w:val="18"/>
                <w:szCs w:val="18"/>
                <w:lang w:eastAsia="hr-HR"/>
              </w:rPr>
            </w:pPr>
            <w:r w:rsidRPr="00061543">
              <w:rPr>
                <w:rFonts w:ascii="Tahoma" w:eastAsia="Times New Roman" w:hAnsi="Tahoma" w:cs="Tahoma"/>
                <w:sz w:val="18"/>
                <w:szCs w:val="18"/>
                <w:lang w:eastAsia="hr-HR"/>
              </w:rPr>
              <w:t xml:space="preserve">OBLIK DISKIMINACIJE </w:t>
            </w:r>
          </w:p>
        </w:tc>
        <w:tc>
          <w:tcPr>
            <w:tcW w:w="910" w:type="dxa"/>
            <w:gridSpan w:val="2"/>
            <w:tcBorders>
              <w:top w:val="nil"/>
              <w:left w:val="single" w:sz="4" w:space="0" w:color="auto"/>
              <w:bottom w:val="single" w:sz="4" w:space="0" w:color="auto"/>
              <w:right w:val="single" w:sz="4" w:space="0" w:color="000000"/>
            </w:tcBorders>
            <w:shd w:val="clear" w:color="000000" w:fill="FFCC00"/>
            <w:textDirection w:val="btLr"/>
            <w:vAlign w:val="center"/>
            <w:hideMark/>
          </w:tcPr>
          <w:p w14:paraId="5EF06A5E" w14:textId="77777777" w:rsidR="00061543" w:rsidRPr="00061543" w:rsidRDefault="00061543" w:rsidP="00061543">
            <w:pPr>
              <w:spacing w:after="0" w:line="240" w:lineRule="auto"/>
              <w:jc w:val="center"/>
              <w:rPr>
                <w:rFonts w:ascii="Tahoma" w:eastAsia="Times New Roman" w:hAnsi="Tahoma" w:cs="Tahoma"/>
                <w:sz w:val="18"/>
                <w:szCs w:val="18"/>
                <w:lang w:eastAsia="hr-HR"/>
              </w:rPr>
            </w:pPr>
            <w:r w:rsidRPr="00061543">
              <w:rPr>
                <w:rFonts w:ascii="Tahoma" w:eastAsia="Times New Roman" w:hAnsi="Tahoma" w:cs="Tahoma"/>
                <w:sz w:val="18"/>
                <w:szCs w:val="18"/>
                <w:lang w:eastAsia="hr-HR"/>
              </w:rPr>
              <w:t xml:space="preserve">PODRUČJE DISKRIMINACIJE (iz čl.8 ZSD) </w:t>
            </w:r>
          </w:p>
        </w:tc>
        <w:tc>
          <w:tcPr>
            <w:tcW w:w="1120" w:type="dxa"/>
            <w:gridSpan w:val="3"/>
            <w:tcBorders>
              <w:top w:val="single" w:sz="4" w:space="0" w:color="auto"/>
              <w:left w:val="nil"/>
              <w:bottom w:val="single" w:sz="4" w:space="0" w:color="auto"/>
              <w:right w:val="single" w:sz="4" w:space="0" w:color="000000"/>
            </w:tcBorders>
            <w:shd w:val="clear" w:color="000000" w:fill="CCFFCC"/>
            <w:vAlign w:val="center"/>
            <w:hideMark/>
          </w:tcPr>
          <w:p w14:paraId="482D6F84" w14:textId="77777777" w:rsidR="00061543" w:rsidRPr="00061543" w:rsidRDefault="00061543" w:rsidP="00061543">
            <w:pPr>
              <w:spacing w:after="0" w:line="240" w:lineRule="auto"/>
              <w:jc w:val="center"/>
              <w:rPr>
                <w:rFonts w:ascii="Tahoma" w:eastAsia="Times New Roman" w:hAnsi="Tahoma" w:cs="Tahoma"/>
                <w:sz w:val="18"/>
                <w:szCs w:val="18"/>
                <w:lang w:eastAsia="hr-HR"/>
              </w:rPr>
            </w:pPr>
            <w:r w:rsidRPr="00061543">
              <w:rPr>
                <w:rFonts w:ascii="Tahoma" w:eastAsia="Times New Roman" w:hAnsi="Tahoma" w:cs="Tahoma"/>
                <w:sz w:val="18"/>
                <w:szCs w:val="18"/>
                <w:lang w:eastAsia="hr-HR"/>
              </w:rPr>
              <w:t>Broj diskriminiranih osoba prema pravomoćnoj presudi</w:t>
            </w:r>
          </w:p>
        </w:tc>
        <w:tc>
          <w:tcPr>
            <w:tcW w:w="1000" w:type="dxa"/>
            <w:gridSpan w:val="4"/>
            <w:tcBorders>
              <w:top w:val="single" w:sz="4" w:space="0" w:color="auto"/>
              <w:left w:val="nil"/>
              <w:bottom w:val="single" w:sz="4" w:space="0" w:color="auto"/>
              <w:right w:val="single" w:sz="8" w:space="0" w:color="000000"/>
            </w:tcBorders>
            <w:shd w:val="clear" w:color="000000" w:fill="CCFFCC"/>
            <w:vAlign w:val="center"/>
            <w:hideMark/>
          </w:tcPr>
          <w:p w14:paraId="121BECDA" w14:textId="77777777" w:rsidR="00061543" w:rsidRPr="00061543" w:rsidRDefault="00061543" w:rsidP="00061543">
            <w:pPr>
              <w:spacing w:after="0" w:line="240" w:lineRule="auto"/>
              <w:jc w:val="center"/>
              <w:rPr>
                <w:rFonts w:ascii="Tahoma" w:eastAsia="Times New Roman" w:hAnsi="Tahoma" w:cs="Tahoma"/>
                <w:sz w:val="18"/>
                <w:szCs w:val="18"/>
                <w:lang w:eastAsia="hr-HR"/>
              </w:rPr>
            </w:pPr>
            <w:r w:rsidRPr="00061543">
              <w:rPr>
                <w:rFonts w:ascii="Tahoma" w:eastAsia="Times New Roman" w:hAnsi="Tahoma" w:cs="Tahoma"/>
                <w:sz w:val="18"/>
                <w:szCs w:val="18"/>
                <w:lang w:eastAsia="hr-HR"/>
              </w:rPr>
              <w:t>TRAJANJE POSTUPKA</w:t>
            </w:r>
          </w:p>
        </w:tc>
        <w:tc>
          <w:tcPr>
            <w:tcW w:w="236" w:type="dxa"/>
            <w:gridSpan w:val="3"/>
            <w:vAlign w:val="center"/>
            <w:hideMark/>
          </w:tcPr>
          <w:p w14:paraId="545A2F20" w14:textId="77777777" w:rsidR="00061543" w:rsidRPr="00061543" w:rsidRDefault="00061543" w:rsidP="00061543">
            <w:pPr>
              <w:spacing w:after="0" w:line="240" w:lineRule="auto"/>
              <w:rPr>
                <w:rFonts w:ascii="Times New Roman" w:eastAsia="Times New Roman" w:hAnsi="Times New Roman" w:cs="Times New Roman"/>
                <w:sz w:val="18"/>
                <w:szCs w:val="18"/>
                <w:lang w:eastAsia="hr-HR"/>
              </w:rPr>
            </w:pPr>
          </w:p>
        </w:tc>
      </w:tr>
      <w:tr w:rsidR="00061543" w:rsidRPr="00061543" w14:paraId="4AF14195" w14:textId="77777777" w:rsidTr="00061543">
        <w:trPr>
          <w:gridAfter w:val="2"/>
          <w:wAfter w:w="101" w:type="dxa"/>
          <w:trHeight w:val="4989"/>
        </w:trPr>
        <w:tc>
          <w:tcPr>
            <w:tcW w:w="1576" w:type="dxa"/>
            <w:vMerge/>
            <w:tcBorders>
              <w:top w:val="single" w:sz="8" w:space="0" w:color="auto"/>
              <w:left w:val="single" w:sz="8" w:space="0" w:color="auto"/>
              <w:bottom w:val="single" w:sz="4" w:space="0" w:color="auto"/>
              <w:right w:val="single" w:sz="4" w:space="0" w:color="auto"/>
            </w:tcBorders>
            <w:vAlign w:val="center"/>
            <w:hideMark/>
          </w:tcPr>
          <w:p w14:paraId="71AF6612" w14:textId="77777777" w:rsidR="00061543" w:rsidRPr="00061543" w:rsidRDefault="00061543" w:rsidP="00061543">
            <w:pPr>
              <w:spacing w:after="0" w:line="240" w:lineRule="auto"/>
              <w:rPr>
                <w:rFonts w:ascii="Tahoma" w:eastAsia="Times New Roman" w:hAnsi="Tahoma" w:cs="Tahoma"/>
                <w:sz w:val="18"/>
                <w:szCs w:val="18"/>
                <w:lang w:eastAsia="hr-HR"/>
              </w:rPr>
            </w:pPr>
          </w:p>
        </w:tc>
        <w:tc>
          <w:tcPr>
            <w:tcW w:w="560" w:type="dxa"/>
            <w:vMerge/>
            <w:tcBorders>
              <w:top w:val="nil"/>
              <w:left w:val="single" w:sz="4" w:space="0" w:color="auto"/>
              <w:bottom w:val="single" w:sz="4" w:space="0" w:color="auto"/>
              <w:right w:val="single" w:sz="4" w:space="0" w:color="auto"/>
            </w:tcBorders>
            <w:vAlign w:val="center"/>
            <w:hideMark/>
          </w:tcPr>
          <w:p w14:paraId="70EBA850" w14:textId="77777777" w:rsidR="00061543" w:rsidRPr="00061543" w:rsidRDefault="00061543" w:rsidP="00061543">
            <w:pPr>
              <w:spacing w:after="0" w:line="240" w:lineRule="auto"/>
              <w:rPr>
                <w:rFonts w:ascii="Tahoma" w:eastAsia="Times New Roman" w:hAnsi="Tahoma" w:cs="Tahoma"/>
                <w:b/>
                <w:bCs/>
                <w:sz w:val="18"/>
                <w:szCs w:val="18"/>
                <w:lang w:eastAsia="hr-HR"/>
              </w:rPr>
            </w:pPr>
          </w:p>
        </w:tc>
        <w:tc>
          <w:tcPr>
            <w:tcW w:w="446" w:type="dxa"/>
            <w:vMerge/>
            <w:tcBorders>
              <w:top w:val="nil"/>
              <w:left w:val="single" w:sz="4" w:space="0" w:color="auto"/>
              <w:bottom w:val="single" w:sz="4" w:space="0" w:color="000000"/>
              <w:right w:val="single" w:sz="4" w:space="0" w:color="000000"/>
            </w:tcBorders>
            <w:vAlign w:val="center"/>
            <w:hideMark/>
          </w:tcPr>
          <w:p w14:paraId="1BA4F4EF" w14:textId="77777777" w:rsidR="00061543" w:rsidRPr="00061543" w:rsidRDefault="00061543" w:rsidP="00061543">
            <w:pPr>
              <w:spacing w:after="0" w:line="240" w:lineRule="auto"/>
              <w:rPr>
                <w:rFonts w:ascii="Tahoma" w:eastAsia="Times New Roman" w:hAnsi="Tahoma" w:cs="Tahoma"/>
                <w:b/>
                <w:bCs/>
                <w:sz w:val="18"/>
                <w:szCs w:val="18"/>
                <w:lang w:eastAsia="hr-HR"/>
              </w:rPr>
            </w:pPr>
          </w:p>
        </w:tc>
        <w:tc>
          <w:tcPr>
            <w:tcW w:w="787" w:type="dxa"/>
            <w:tcBorders>
              <w:top w:val="nil"/>
              <w:left w:val="nil"/>
              <w:bottom w:val="nil"/>
              <w:right w:val="single" w:sz="4" w:space="0" w:color="auto"/>
            </w:tcBorders>
            <w:shd w:val="clear" w:color="000000" w:fill="CCFFCC"/>
            <w:textDirection w:val="btLr"/>
            <w:vAlign w:val="center"/>
            <w:hideMark/>
          </w:tcPr>
          <w:p w14:paraId="22552FA5" w14:textId="77777777" w:rsidR="00061543" w:rsidRPr="00061543" w:rsidRDefault="00061543" w:rsidP="00061543">
            <w:pPr>
              <w:spacing w:after="0" w:line="240" w:lineRule="auto"/>
              <w:jc w:val="center"/>
              <w:rPr>
                <w:rFonts w:ascii="Tahoma" w:eastAsia="Times New Roman" w:hAnsi="Tahoma" w:cs="Tahoma"/>
                <w:sz w:val="18"/>
                <w:szCs w:val="18"/>
                <w:lang w:eastAsia="hr-HR"/>
              </w:rPr>
            </w:pPr>
            <w:r w:rsidRPr="00061543">
              <w:rPr>
                <w:rFonts w:ascii="Tahoma" w:eastAsia="Times New Roman" w:hAnsi="Tahoma" w:cs="Tahoma"/>
                <w:sz w:val="18"/>
                <w:szCs w:val="18"/>
                <w:lang w:eastAsia="hr-HR"/>
              </w:rPr>
              <w:t>Žene</w:t>
            </w:r>
          </w:p>
        </w:tc>
        <w:tc>
          <w:tcPr>
            <w:tcW w:w="581" w:type="dxa"/>
            <w:tcBorders>
              <w:top w:val="nil"/>
              <w:left w:val="nil"/>
              <w:bottom w:val="nil"/>
              <w:right w:val="single" w:sz="4" w:space="0" w:color="auto"/>
            </w:tcBorders>
            <w:shd w:val="clear" w:color="000000" w:fill="CCFFCC"/>
            <w:textDirection w:val="btLr"/>
            <w:vAlign w:val="center"/>
            <w:hideMark/>
          </w:tcPr>
          <w:p w14:paraId="391196F9" w14:textId="77777777" w:rsidR="00061543" w:rsidRPr="00061543" w:rsidRDefault="00061543" w:rsidP="00061543">
            <w:pPr>
              <w:spacing w:after="0" w:line="240" w:lineRule="auto"/>
              <w:jc w:val="center"/>
              <w:rPr>
                <w:rFonts w:ascii="Tahoma" w:eastAsia="Times New Roman" w:hAnsi="Tahoma" w:cs="Tahoma"/>
                <w:sz w:val="18"/>
                <w:szCs w:val="18"/>
                <w:lang w:eastAsia="hr-HR"/>
              </w:rPr>
            </w:pPr>
            <w:r w:rsidRPr="00061543">
              <w:rPr>
                <w:rFonts w:ascii="Tahoma" w:eastAsia="Times New Roman" w:hAnsi="Tahoma" w:cs="Tahoma"/>
                <w:sz w:val="18"/>
                <w:szCs w:val="18"/>
                <w:lang w:eastAsia="hr-HR"/>
              </w:rPr>
              <w:t>Muškarci</w:t>
            </w:r>
          </w:p>
        </w:tc>
        <w:tc>
          <w:tcPr>
            <w:tcW w:w="446" w:type="dxa"/>
            <w:tcBorders>
              <w:top w:val="nil"/>
              <w:left w:val="nil"/>
              <w:bottom w:val="single" w:sz="4" w:space="0" w:color="auto"/>
              <w:right w:val="single" w:sz="4" w:space="0" w:color="auto"/>
            </w:tcBorders>
            <w:shd w:val="clear" w:color="000000" w:fill="CCFFCC"/>
            <w:textDirection w:val="btLr"/>
            <w:vAlign w:val="center"/>
            <w:hideMark/>
          </w:tcPr>
          <w:p w14:paraId="72D9939D" w14:textId="77777777" w:rsidR="00061543" w:rsidRPr="00061543" w:rsidRDefault="00061543" w:rsidP="00061543">
            <w:pPr>
              <w:spacing w:after="0" w:line="240" w:lineRule="auto"/>
              <w:jc w:val="center"/>
              <w:rPr>
                <w:rFonts w:ascii="Tahoma" w:eastAsia="Times New Roman" w:hAnsi="Tahoma" w:cs="Tahoma"/>
                <w:sz w:val="18"/>
                <w:szCs w:val="18"/>
                <w:lang w:eastAsia="hr-HR"/>
              </w:rPr>
            </w:pPr>
            <w:r w:rsidRPr="00061543">
              <w:rPr>
                <w:rFonts w:ascii="Tahoma" w:eastAsia="Times New Roman" w:hAnsi="Tahoma" w:cs="Tahoma"/>
                <w:sz w:val="18"/>
                <w:szCs w:val="18"/>
                <w:lang w:eastAsia="hr-HR"/>
              </w:rPr>
              <w:t>UTVRĐENJE DISKRIMINACIJE (čl.17. st.1. toč.1. ZSD)</w:t>
            </w:r>
          </w:p>
        </w:tc>
        <w:tc>
          <w:tcPr>
            <w:tcW w:w="697" w:type="dxa"/>
            <w:tcBorders>
              <w:top w:val="nil"/>
              <w:left w:val="nil"/>
              <w:bottom w:val="single" w:sz="4" w:space="0" w:color="auto"/>
              <w:right w:val="single" w:sz="4" w:space="0" w:color="auto"/>
            </w:tcBorders>
            <w:shd w:val="clear" w:color="000000" w:fill="CCFFCC"/>
            <w:textDirection w:val="btLr"/>
            <w:vAlign w:val="center"/>
            <w:hideMark/>
          </w:tcPr>
          <w:p w14:paraId="2000E0FA" w14:textId="77777777" w:rsidR="00061543" w:rsidRPr="00061543" w:rsidRDefault="00061543" w:rsidP="00061543">
            <w:pPr>
              <w:spacing w:after="0" w:line="240" w:lineRule="auto"/>
              <w:jc w:val="center"/>
              <w:rPr>
                <w:rFonts w:ascii="Tahoma" w:eastAsia="Times New Roman" w:hAnsi="Tahoma" w:cs="Tahoma"/>
                <w:sz w:val="18"/>
                <w:szCs w:val="18"/>
                <w:lang w:eastAsia="hr-HR"/>
              </w:rPr>
            </w:pPr>
            <w:r w:rsidRPr="00061543">
              <w:rPr>
                <w:rFonts w:ascii="Tahoma" w:eastAsia="Times New Roman" w:hAnsi="Tahoma" w:cs="Tahoma"/>
                <w:sz w:val="18"/>
                <w:szCs w:val="18"/>
                <w:lang w:eastAsia="hr-HR"/>
              </w:rPr>
              <w:t>ZABRANA ILI OTKLANJANJE DISKRIMINACIJE (čl.17. st.1. toč.2. ZSD)</w:t>
            </w:r>
          </w:p>
        </w:tc>
        <w:tc>
          <w:tcPr>
            <w:tcW w:w="446" w:type="dxa"/>
            <w:tcBorders>
              <w:top w:val="nil"/>
              <w:left w:val="nil"/>
              <w:bottom w:val="single" w:sz="4" w:space="0" w:color="auto"/>
              <w:right w:val="single" w:sz="4" w:space="0" w:color="auto"/>
            </w:tcBorders>
            <w:shd w:val="clear" w:color="000000" w:fill="CCFFCC"/>
            <w:textDirection w:val="btLr"/>
            <w:vAlign w:val="center"/>
            <w:hideMark/>
          </w:tcPr>
          <w:p w14:paraId="5CC3A2DF" w14:textId="77777777" w:rsidR="00061543" w:rsidRPr="00061543" w:rsidRDefault="00061543" w:rsidP="00061543">
            <w:pPr>
              <w:spacing w:after="0" w:line="240" w:lineRule="auto"/>
              <w:jc w:val="center"/>
              <w:rPr>
                <w:rFonts w:ascii="Tahoma" w:eastAsia="Times New Roman" w:hAnsi="Tahoma" w:cs="Tahoma"/>
                <w:sz w:val="18"/>
                <w:szCs w:val="18"/>
                <w:lang w:eastAsia="hr-HR"/>
              </w:rPr>
            </w:pPr>
            <w:r w:rsidRPr="00061543">
              <w:rPr>
                <w:rFonts w:ascii="Tahoma" w:eastAsia="Times New Roman" w:hAnsi="Tahoma" w:cs="Tahoma"/>
                <w:sz w:val="18"/>
                <w:szCs w:val="18"/>
                <w:lang w:eastAsia="hr-HR"/>
              </w:rPr>
              <w:t>NAKNADA ŠTETE (čl.17. st.1. toč.3. ZSD)</w:t>
            </w:r>
          </w:p>
        </w:tc>
        <w:tc>
          <w:tcPr>
            <w:tcW w:w="567" w:type="dxa"/>
            <w:tcBorders>
              <w:top w:val="nil"/>
              <w:left w:val="nil"/>
              <w:bottom w:val="single" w:sz="4" w:space="0" w:color="auto"/>
              <w:right w:val="single" w:sz="4" w:space="0" w:color="auto"/>
            </w:tcBorders>
            <w:shd w:val="clear" w:color="000000" w:fill="CCFFCC"/>
            <w:textDirection w:val="btLr"/>
            <w:vAlign w:val="center"/>
            <w:hideMark/>
          </w:tcPr>
          <w:p w14:paraId="584C2CDC" w14:textId="77777777" w:rsidR="00061543" w:rsidRPr="00061543" w:rsidRDefault="00061543" w:rsidP="00061543">
            <w:pPr>
              <w:spacing w:after="0" w:line="240" w:lineRule="auto"/>
              <w:jc w:val="center"/>
              <w:rPr>
                <w:rFonts w:ascii="Tahoma" w:eastAsia="Times New Roman" w:hAnsi="Tahoma" w:cs="Tahoma"/>
                <w:sz w:val="18"/>
                <w:szCs w:val="18"/>
                <w:lang w:eastAsia="hr-HR"/>
              </w:rPr>
            </w:pPr>
            <w:r w:rsidRPr="00061543">
              <w:rPr>
                <w:rFonts w:ascii="Tahoma" w:eastAsia="Times New Roman" w:hAnsi="Tahoma" w:cs="Tahoma"/>
                <w:sz w:val="18"/>
                <w:szCs w:val="18"/>
                <w:lang w:eastAsia="hr-HR"/>
              </w:rPr>
              <w:t xml:space="preserve">OBJAVA PRESUDE U MEDIJIMA (čl. 17. st. 1. </w:t>
            </w:r>
            <w:proofErr w:type="spellStart"/>
            <w:r w:rsidRPr="00061543">
              <w:rPr>
                <w:rFonts w:ascii="Tahoma" w:eastAsia="Times New Roman" w:hAnsi="Tahoma" w:cs="Tahoma"/>
                <w:sz w:val="18"/>
                <w:szCs w:val="18"/>
                <w:lang w:eastAsia="hr-HR"/>
              </w:rPr>
              <w:t>toč</w:t>
            </w:r>
            <w:proofErr w:type="spellEnd"/>
            <w:r w:rsidRPr="00061543">
              <w:rPr>
                <w:rFonts w:ascii="Tahoma" w:eastAsia="Times New Roman" w:hAnsi="Tahoma" w:cs="Tahoma"/>
                <w:sz w:val="18"/>
                <w:szCs w:val="18"/>
                <w:lang w:eastAsia="hr-HR"/>
              </w:rPr>
              <w:t>. 4.)</w:t>
            </w:r>
          </w:p>
        </w:tc>
        <w:tc>
          <w:tcPr>
            <w:tcW w:w="468" w:type="dxa"/>
            <w:tcBorders>
              <w:top w:val="nil"/>
              <w:left w:val="nil"/>
              <w:bottom w:val="single" w:sz="4" w:space="0" w:color="auto"/>
              <w:right w:val="single" w:sz="4" w:space="0" w:color="auto"/>
            </w:tcBorders>
            <w:shd w:val="clear" w:color="000000" w:fill="CCFFCC"/>
            <w:textDirection w:val="btLr"/>
            <w:vAlign w:val="center"/>
            <w:hideMark/>
          </w:tcPr>
          <w:p w14:paraId="7D61EAAE" w14:textId="77777777" w:rsidR="00061543" w:rsidRPr="00061543" w:rsidRDefault="00061543" w:rsidP="00061543">
            <w:pPr>
              <w:spacing w:after="0" w:line="240" w:lineRule="auto"/>
              <w:jc w:val="center"/>
              <w:rPr>
                <w:rFonts w:ascii="Tahoma" w:eastAsia="Times New Roman" w:hAnsi="Tahoma" w:cs="Tahoma"/>
                <w:sz w:val="18"/>
                <w:szCs w:val="18"/>
                <w:lang w:eastAsia="hr-HR"/>
              </w:rPr>
            </w:pPr>
            <w:proofErr w:type="spellStart"/>
            <w:r w:rsidRPr="00061543">
              <w:rPr>
                <w:rFonts w:ascii="Tahoma" w:eastAsia="Times New Roman" w:hAnsi="Tahoma" w:cs="Tahoma"/>
                <w:sz w:val="18"/>
                <w:szCs w:val="18"/>
                <w:lang w:eastAsia="hr-HR"/>
              </w:rPr>
              <w:t>Udružne</w:t>
            </w:r>
            <w:proofErr w:type="spellEnd"/>
            <w:r w:rsidRPr="00061543">
              <w:rPr>
                <w:rFonts w:ascii="Tahoma" w:eastAsia="Times New Roman" w:hAnsi="Tahoma" w:cs="Tahoma"/>
                <w:sz w:val="18"/>
                <w:szCs w:val="18"/>
                <w:lang w:eastAsia="hr-HR"/>
              </w:rPr>
              <w:t xml:space="preserve"> tužbe (čl. 24. ZSD)</w:t>
            </w:r>
          </w:p>
        </w:tc>
        <w:tc>
          <w:tcPr>
            <w:tcW w:w="808" w:type="dxa"/>
            <w:tcBorders>
              <w:top w:val="nil"/>
              <w:left w:val="nil"/>
              <w:bottom w:val="single" w:sz="4" w:space="0" w:color="auto"/>
              <w:right w:val="single" w:sz="4" w:space="0" w:color="auto"/>
            </w:tcBorders>
            <w:shd w:val="clear" w:color="000000" w:fill="CCFFCC"/>
            <w:textDirection w:val="btLr"/>
            <w:vAlign w:val="center"/>
            <w:hideMark/>
          </w:tcPr>
          <w:p w14:paraId="30751198" w14:textId="77777777" w:rsidR="00061543" w:rsidRPr="00061543" w:rsidRDefault="00061543" w:rsidP="00061543">
            <w:pPr>
              <w:spacing w:after="0" w:line="240" w:lineRule="auto"/>
              <w:jc w:val="center"/>
              <w:rPr>
                <w:rFonts w:ascii="Tahoma" w:eastAsia="Times New Roman" w:hAnsi="Tahoma" w:cs="Tahoma"/>
                <w:sz w:val="18"/>
                <w:szCs w:val="18"/>
                <w:lang w:eastAsia="hr-HR"/>
              </w:rPr>
            </w:pPr>
            <w:r w:rsidRPr="00061543">
              <w:rPr>
                <w:rFonts w:ascii="Tahoma" w:eastAsia="Times New Roman" w:hAnsi="Tahoma" w:cs="Tahoma"/>
                <w:sz w:val="18"/>
                <w:szCs w:val="18"/>
                <w:lang w:eastAsia="hr-HR"/>
              </w:rPr>
              <w:t>OSTALO (odnosi se na čl. 16 st. 1 ZDS diskriminacija kao prethodno pitanje i st. 2 radni sporovi)</w:t>
            </w:r>
          </w:p>
        </w:tc>
        <w:tc>
          <w:tcPr>
            <w:tcW w:w="468" w:type="dxa"/>
            <w:gridSpan w:val="2"/>
            <w:tcBorders>
              <w:top w:val="nil"/>
              <w:left w:val="nil"/>
              <w:bottom w:val="single" w:sz="4" w:space="0" w:color="auto"/>
              <w:right w:val="single" w:sz="4" w:space="0" w:color="auto"/>
            </w:tcBorders>
            <w:shd w:val="clear" w:color="000000" w:fill="CCFFCC"/>
            <w:textDirection w:val="btLr"/>
            <w:vAlign w:val="center"/>
            <w:hideMark/>
          </w:tcPr>
          <w:p w14:paraId="1630BBC7" w14:textId="77777777" w:rsidR="00061543" w:rsidRPr="00061543" w:rsidRDefault="00061543" w:rsidP="00061543">
            <w:pPr>
              <w:spacing w:after="0" w:line="240" w:lineRule="auto"/>
              <w:jc w:val="center"/>
              <w:rPr>
                <w:rFonts w:ascii="Tahoma" w:eastAsia="Times New Roman" w:hAnsi="Tahoma" w:cs="Tahoma"/>
                <w:sz w:val="18"/>
                <w:szCs w:val="18"/>
                <w:lang w:eastAsia="hr-HR"/>
              </w:rPr>
            </w:pPr>
            <w:r w:rsidRPr="00061543">
              <w:rPr>
                <w:rFonts w:ascii="Tahoma" w:eastAsia="Times New Roman" w:hAnsi="Tahoma" w:cs="Tahoma"/>
                <w:sz w:val="18"/>
                <w:szCs w:val="18"/>
                <w:lang w:eastAsia="hr-HR"/>
              </w:rPr>
              <w:t xml:space="preserve">USVOJEN TUŽBENI ZAHTJEV </w:t>
            </w:r>
          </w:p>
        </w:tc>
        <w:tc>
          <w:tcPr>
            <w:tcW w:w="524" w:type="dxa"/>
            <w:tcBorders>
              <w:top w:val="nil"/>
              <w:left w:val="nil"/>
              <w:bottom w:val="single" w:sz="4" w:space="0" w:color="auto"/>
              <w:right w:val="single" w:sz="4" w:space="0" w:color="auto"/>
            </w:tcBorders>
            <w:shd w:val="clear" w:color="000000" w:fill="CCFFCC"/>
            <w:textDirection w:val="btLr"/>
            <w:vAlign w:val="center"/>
            <w:hideMark/>
          </w:tcPr>
          <w:p w14:paraId="66A086AD" w14:textId="77777777" w:rsidR="00061543" w:rsidRPr="00061543" w:rsidRDefault="00061543" w:rsidP="00061543">
            <w:pPr>
              <w:spacing w:after="0" w:line="240" w:lineRule="auto"/>
              <w:jc w:val="center"/>
              <w:rPr>
                <w:rFonts w:ascii="Tahoma" w:eastAsia="Times New Roman" w:hAnsi="Tahoma" w:cs="Tahoma"/>
                <w:sz w:val="18"/>
                <w:szCs w:val="18"/>
                <w:lang w:eastAsia="hr-HR"/>
              </w:rPr>
            </w:pPr>
            <w:r w:rsidRPr="00061543">
              <w:rPr>
                <w:rFonts w:ascii="Tahoma" w:eastAsia="Times New Roman" w:hAnsi="Tahoma" w:cs="Tahoma"/>
                <w:sz w:val="18"/>
                <w:szCs w:val="18"/>
                <w:lang w:eastAsia="hr-HR"/>
              </w:rPr>
              <w:t>ODBIJEN TUŽBENI ZAHTJEV</w:t>
            </w:r>
          </w:p>
        </w:tc>
        <w:tc>
          <w:tcPr>
            <w:tcW w:w="468" w:type="dxa"/>
            <w:tcBorders>
              <w:top w:val="nil"/>
              <w:left w:val="nil"/>
              <w:bottom w:val="single" w:sz="4" w:space="0" w:color="auto"/>
              <w:right w:val="single" w:sz="4" w:space="0" w:color="auto"/>
            </w:tcBorders>
            <w:shd w:val="clear" w:color="000000" w:fill="CCFFCC"/>
            <w:textDirection w:val="btLr"/>
            <w:vAlign w:val="center"/>
            <w:hideMark/>
          </w:tcPr>
          <w:p w14:paraId="375B7C55" w14:textId="77777777" w:rsidR="00061543" w:rsidRPr="00061543" w:rsidRDefault="00061543" w:rsidP="00061543">
            <w:pPr>
              <w:spacing w:after="0" w:line="240" w:lineRule="auto"/>
              <w:jc w:val="center"/>
              <w:rPr>
                <w:rFonts w:ascii="Tahoma" w:eastAsia="Times New Roman" w:hAnsi="Tahoma" w:cs="Tahoma"/>
                <w:sz w:val="18"/>
                <w:szCs w:val="18"/>
                <w:lang w:eastAsia="hr-HR"/>
              </w:rPr>
            </w:pPr>
            <w:r w:rsidRPr="00061543">
              <w:rPr>
                <w:rFonts w:ascii="Tahoma" w:eastAsia="Times New Roman" w:hAnsi="Tahoma" w:cs="Tahoma"/>
                <w:sz w:val="18"/>
                <w:szCs w:val="18"/>
                <w:lang w:eastAsia="hr-HR"/>
              </w:rPr>
              <w:t>NA DRUGI NAČIN</w:t>
            </w:r>
          </w:p>
        </w:tc>
        <w:tc>
          <w:tcPr>
            <w:tcW w:w="468" w:type="dxa"/>
            <w:tcBorders>
              <w:top w:val="nil"/>
              <w:left w:val="nil"/>
              <w:bottom w:val="single" w:sz="4" w:space="0" w:color="auto"/>
              <w:right w:val="single" w:sz="4" w:space="0" w:color="auto"/>
            </w:tcBorders>
            <w:shd w:val="clear" w:color="000000" w:fill="CCFFCC"/>
            <w:textDirection w:val="btLr"/>
            <w:vAlign w:val="center"/>
            <w:hideMark/>
          </w:tcPr>
          <w:p w14:paraId="4BBD886B" w14:textId="77777777" w:rsidR="00061543" w:rsidRPr="00061543" w:rsidRDefault="00061543" w:rsidP="00061543">
            <w:pPr>
              <w:spacing w:after="0" w:line="240" w:lineRule="auto"/>
              <w:jc w:val="center"/>
              <w:rPr>
                <w:rFonts w:ascii="Tahoma" w:eastAsia="Times New Roman" w:hAnsi="Tahoma" w:cs="Tahoma"/>
                <w:b/>
                <w:bCs/>
                <w:sz w:val="18"/>
                <w:szCs w:val="18"/>
                <w:lang w:eastAsia="hr-HR"/>
              </w:rPr>
            </w:pPr>
            <w:r w:rsidRPr="00061543">
              <w:rPr>
                <w:rFonts w:ascii="Tahoma" w:eastAsia="Times New Roman" w:hAnsi="Tahoma" w:cs="Tahoma"/>
                <w:b/>
                <w:bCs/>
                <w:sz w:val="18"/>
                <w:szCs w:val="18"/>
                <w:lang w:eastAsia="hr-HR"/>
              </w:rPr>
              <w:t>Ukupno pravomoćno riješeno</w:t>
            </w:r>
          </w:p>
        </w:tc>
        <w:tc>
          <w:tcPr>
            <w:tcW w:w="560" w:type="dxa"/>
            <w:gridSpan w:val="2"/>
            <w:tcBorders>
              <w:top w:val="nil"/>
              <w:left w:val="single" w:sz="4" w:space="0" w:color="auto"/>
              <w:bottom w:val="single" w:sz="4" w:space="0" w:color="000000"/>
              <w:right w:val="single" w:sz="4" w:space="0" w:color="auto"/>
            </w:tcBorders>
            <w:vAlign w:val="center"/>
            <w:hideMark/>
          </w:tcPr>
          <w:p w14:paraId="41274BE9" w14:textId="77777777" w:rsidR="00061543" w:rsidRPr="00061543" w:rsidRDefault="00061543" w:rsidP="00061543">
            <w:pPr>
              <w:spacing w:after="0" w:line="240" w:lineRule="auto"/>
              <w:rPr>
                <w:rFonts w:ascii="Tahoma" w:eastAsia="Times New Roman" w:hAnsi="Tahoma" w:cs="Tahoma"/>
                <w:b/>
                <w:bCs/>
                <w:sz w:val="18"/>
                <w:szCs w:val="18"/>
                <w:lang w:eastAsia="hr-HR"/>
              </w:rPr>
            </w:pPr>
          </w:p>
        </w:tc>
        <w:tc>
          <w:tcPr>
            <w:tcW w:w="905" w:type="dxa"/>
            <w:gridSpan w:val="2"/>
            <w:tcBorders>
              <w:top w:val="nil"/>
              <w:left w:val="nil"/>
              <w:bottom w:val="nil"/>
              <w:right w:val="single" w:sz="4" w:space="0" w:color="auto"/>
            </w:tcBorders>
            <w:shd w:val="clear" w:color="000000" w:fill="FFCC00"/>
            <w:textDirection w:val="btLr"/>
            <w:vAlign w:val="center"/>
            <w:hideMark/>
          </w:tcPr>
          <w:p w14:paraId="1B97F7B9" w14:textId="77777777" w:rsidR="00061543" w:rsidRPr="00061543" w:rsidRDefault="00061543" w:rsidP="00061543">
            <w:pPr>
              <w:spacing w:after="0" w:line="240" w:lineRule="auto"/>
              <w:jc w:val="center"/>
              <w:rPr>
                <w:rFonts w:ascii="Tahoma" w:eastAsia="Times New Roman" w:hAnsi="Tahoma" w:cs="Tahoma"/>
                <w:sz w:val="18"/>
                <w:szCs w:val="18"/>
                <w:lang w:eastAsia="hr-HR"/>
              </w:rPr>
            </w:pPr>
            <w:r w:rsidRPr="00061543">
              <w:rPr>
                <w:rFonts w:ascii="Tahoma" w:eastAsia="Times New Roman" w:hAnsi="Tahoma" w:cs="Tahoma"/>
                <w:sz w:val="18"/>
                <w:szCs w:val="18"/>
                <w:lang w:eastAsia="hr-HR"/>
              </w:rPr>
              <w:t>iz čl. 2. do 5. ZSD</w:t>
            </w:r>
          </w:p>
        </w:tc>
        <w:tc>
          <w:tcPr>
            <w:tcW w:w="498" w:type="dxa"/>
            <w:tcBorders>
              <w:top w:val="nil"/>
              <w:left w:val="nil"/>
              <w:bottom w:val="nil"/>
              <w:right w:val="single" w:sz="4" w:space="0" w:color="auto"/>
            </w:tcBorders>
            <w:shd w:val="clear" w:color="000000" w:fill="FFCC00"/>
            <w:textDirection w:val="btLr"/>
            <w:vAlign w:val="center"/>
            <w:hideMark/>
          </w:tcPr>
          <w:p w14:paraId="30073206" w14:textId="77777777" w:rsidR="00061543" w:rsidRPr="00061543" w:rsidRDefault="00061543" w:rsidP="00061543">
            <w:pPr>
              <w:spacing w:after="0" w:line="240" w:lineRule="auto"/>
              <w:jc w:val="center"/>
              <w:rPr>
                <w:rFonts w:ascii="Tahoma" w:eastAsia="Times New Roman" w:hAnsi="Tahoma" w:cs="Tahoma"/>
                <w:sz w:val="18"/>
                <w:szCs w:val="18"/>
                <w:lang w:eastAsia="hr-HR"/>
              </w:rPr>
            </w:pPr>
            <w:r w:rsidRPr="00061543">
              <w:rPr>
                <w:rFonts w:ascii="Tahoma" w:eastAsia="Times New Roman" w:hAnsi="Tahoma" w:cs="Tahoma"/>
                <w:sz w:val="18"/>
                <w:szCs w:val="18"/>
                <w:lang w:eastAsia="hr-HR"/>
              </w:rPr>
              <w:t xml:space="preserve">iz čl. 6 ZSD </w:t>
            </w:r>
          </w:p>
        </w:tc>
        <w:tc>
          <w:tcPr>
            <w:tcW w:w="1016" w:type="dxa"/>
            <w:gridSpan w:val="2"/>
            <w:tcBorders>
              <w:top w:val="nil"/>
              <w:left w:val="single" w:sz="4" w:space="0" w:color="auto"/>
              <w:bottom w:val="single" w:sz="4" w:space="0" w:color="auto"/>
              <w:right w:val="single" w:sz="4" w:space="0" w:color="000000"/>
            </w:tcBorders>
            <w:vAlign w:val="center"/>
            <w:hideMark/>
          </w:tcPr>
          <w:p w14:paraId="1F16E467" w14:textId="77777777" w:rsidR="00061543" w:rsidRPr="00061543" w:rsidRDefault="00061543" w:rsidP="00061543">
            <w:pPr>
              <w:spacing w:after="0" w:line="240" w:lineRule="auto"/>
              <w:rPr>
                <w:rFonts w:ascii="Tahoma" w:eastAsia="Times New Roman" w:hAnsi="Tahoma" w:cs="Tahoma"/>
                <w:sz w:val="18"/>
                <w:szCs w:val="18"/>
                <w:lang w:eastAsia="hr-HR"/>
              </w:rPr>
            </w:pPr>
          </w:p>
        </w:tc>
        <w:tc>
          <w:tcPr>
            <w:tcW w:w="505" w:type="dxa"/>
            <w:gridSpan w:val="2"/>
            <w:tcBorders>
              <w:top w:val="nil"/>
              <w:left w:val="nil"/>
              <w:bottom w:val="single" w:sz="4" w:space="0" w:color="auto"/>
              <w:right w:val="single" w:sz="4" w:space="0" w:color="auto"/>
            </w:tcBorders>
            <w:shd w:val="clear" w:color="000000" w:fill="CCFFCC"/>
            <w:textDirection w:val="btLr"/>
            <w:vAlign w:val="center"/>
            <w:hideMark/>
          </w:tcPr>
          <w:p w14:paraId="4C44FD30" w14:textId="77777777" w:rsidR="00061543" w:rsidRPr="00061543" w:rsidRDefault="00061543" w:rsidP="00061543">
            <w:pPr>
              <w:spacing w:after="0" w:line="240" w:lineRule="auto"/>
              <w:jc w:val="center"/>
              <w:rPr>
                <w:rFonts w:ascii="Tahoma" w:eastAsia="Times New Roman" w:hAnsi="Tahoma" w:cs="Tahoma"/>
                <w:sz w:val="18"/>
                <w:szCs w:val="18"/>
                <w:lang w:eastAsia="hr-HR"/>
              </w:rPr>
            </w:pPr>
            <w:r w:rsidRPr="00061543">
              <w:rPr>
                <w:rFonts w:ascii="Tahoma" w:eastAsia="Times New Roman" w:hAnsi="Tahoma" w:cs="Tahoma"/>
                <w:sz w:val="18"/>
                <w:szCs w:val="18"/>
                <w:lang w:eastAsia="hr-HR"/>
              </w:rPr>
              <w:t xml:space="preserve">Žene </w:t>
            </w:r>
          </w:p>
        </w:tc>
        <w:tc>
          <w:tcPr>
            <w:tcW w:w="468" w:type="dxa"/>
            <w:tcBorders>
              <w:top w:val="nil"/>
              <w:left w:val="nil"/>
              <w:bottom w:val="single" w:sz="4" w:space="0" w:color="auto"/>
              <w:right w:val="single" w:sz="4" w:space="0" w:color="auto"/>
            </w:tcBorders>
            <w:shd w:val="clear" w:color="000000" w:fill="CCFFCC"/>
            <w:textDirection w:val="btLr"/>
            <w:vAlign w:val="center"/>
            <w:hideMark/>
          </w:tcPr>
          <w:p w14:paraId="0DB1F601" w14:textId="77777777" w:rsidR="00061543" w:rsidRPr="00061543" w:rsidRDefault="00061543" w:rsidP="00061543">
            <w:pPr>
              <w:spacing w:after="0" w:line="240" w:lineRule="auto"/>
              <w:jc w:val="center"/>
              <w:rPr>
                <w:rFonts w:ascii="Tahoma" w:eastAsia="Times New Roman" w:hAnsi="Tahoma" w:cs="Tahoma"/>
                <w:sz w:val="18"/>
                <w:szCs w:val="18"/>
                <w:lang w:eastAsia="hr-HR"/>
              </w:rPr>
            </w:pPr>
            <w:r w:rsidRPr="00061543">
              <w:rPr>
                <w:rFonts w:ascii="Tahoma" w:eastAsia="Times New Roman" w:hAnsi="Tahoma" w:cs="Tahoma"/>
                <w:sz w:val="18"/>
                <w:szCs w:val="18"/>
                <w:lang w:eastAsia="hr-HR"/>
              </w:rPr>
              <w:t>Muškarci</w:t>
            </w:r>
          </w:p>
        </w:tc>
        <w:tc>
          <w:tcPr>
            <w:tcW w:w="336" w:type="dxa"/>
            <w:tcBorders>
              <w:top w:val="nil"/>
              <w:left w:val="nil"/>
              <w:bottom w:val="single" w:sz="4" w:space="0" w:color="auto"/>
              <w:right w:val="single" w:sz="4" w:space="0" w:color="auto"/>
            </w:tcBorders>
            <w:shd w:val="clear" w:color="000000" w:fill="CCFFCC"/>
            <w:textDirection w:val="btLr"/>
            <w:vAlign w:val="center"/>
            <w:hideMark/>
          </w:tcPr>
          <w:p w14:paraId="7F37367D" w14:textId="77777777" w:rsidR="00061543" w:rsidRPr="00061543" w:rsidRDefault="00061543" w:rsidP="00061543">
            <w:pPr>
              <w:spacing w:after="0" w:line="240" w:lineRule="auto"/>
              <w:jc w:val="center"/>
              <w:rPr>
                <w:rFonts w:ascii="Tahoma" w:eastAsia="Times New Roman" w:hAnsi="Tahoma" w:cs="Tahoma"/>
                <w:sz w:val="18"/>
                <w:szCs w:val="18"/>
                <w:lang w:eastAsia="hr-HR"/>
              </w:rPr>
            </w:pPr>
            <w:r w:rsidRPr="00061543">
              <w:rPr>
                <w:rFonts w:ascii="Tahoma" w:eastAsia="Times New Roman" w:hAnsi="Tahoma" w:cs="Tahoma"/>
                <w:sz w:val="18"/>
                <w:szCs w:val="18"/>
                <w:lang w:eastAsia="hr-HR"/>
              </w:rPr>
              <w:t>Ostalo</w:t>
            </w:r>
          </w:p>
        </w:tc>
        <w:tc>
          <w:tcPr>
            <w:tcW w:w="426" w:type="dxa"/>
            <w:tcBorders>
              <w:top w:val="nil"/>
              <w:left w:val="nil"/>
              <w:bottom w:val="single" w:sz="4" w:space="0" w:color="auto"/>
              <w:right w:val="single" w:sz="4" w:space="0" w:color="auto"/>
            </w:tcBorders>
            <w:shd w:val="clear" w:color="000000" w:fill="CCFFCC"/>
            <w:textDirection w:val="btLr"/>
            <w:vAlign w:val="center"/>
            <w:hideMark/>
          </w:tcPr>
          <w:p w14:paraId="0432471C" w14:textId="77777777" w:rsidR="00061543" w:rsidRPr="00061543" w:rsidRDefault="00061543" w:rsidP="00061543">
            <w:pPr>
              <w:spacing w:after="0" w:line="240" w:lineRule="auto"/>
              <w:jc w:val="center"/>
              <w:rPr>
                <w:rFonts w:ascii="Tahoma" w:eastAsia="Times New Roman" w:hAnsi="Tahoma" w:cs="Tahoma"/>
                <w:sz w:val="18"/>
                <w:szCs w:val="18"/>
                <w:lang w:eastAsia="hr-HR"/>
              </w:rPr>
            </w:pPr>
            <w:r w:rsidRPr="00061543">
              <w:rPr>
                <w:rFonts w:ascii="Tahoma" w:eastAsia="Times New Roman" w:hAnsi="Tahoma" w:cs="Tahoma"/>
                <w:sz w:val="18"/>
                <w:szCs w:val="18"/>
                <w:lang w:eastAsia="hr-HR"/>
              </w:rPr>
              <w:t xml:space="preserve"> DO 12 MJESECI</w:t>
            </w:r>
          </w:p>
        </w:tc>
        <w:tc>
          <w:tcPr>
            <w:tcW w:w="473" w:type="dxa"/>
            <w:tcBorders>
              <w:top w:val="nil"/>
              <w:left w:val="nil"/>
              <w:bottom w:val="single" w:sz="4" w:space="0" w:color="auto"/>
              <w:right w:val="single" w:sz="8" w:space="0" w:color="auto"/>
            </w:tcBorders>
            <w:shd w:val="clear" w:color="000000" w:fill="CCFFCC"/>
            <w:textDirection w:val="btLr"/>
            <w:vAlign w:val="center"/>
            <w:hideMark/>
          </w:tcPr>
          <w:p w14:paraId="17DEADA7" w14:textId="77777777" w:rsidR="00061543" w:rsidRPr="00061543" w:rsidRDefault="00061543" w:rsidP="00061543">
            <w:pPr>
              <w:spacing w:after="0" w:line="240" w:lineRule="auto"/>
              <w:jc w:val="center"/>
              <w:rPr>
                <w:rFonts w:ascii="Tahoma" w:eastAsia="Times New Roman" w:hAnsi="Tahoma" w:cs="Tahoma"/>
                <w:sz w:val="18"/>
                <w:szCs w:val="18"/>
                <w:lang w:eastAsia="hr-HR"/>
              </w:rPr>
            </w:pPr>
            <w:r w:rsidRPr="00061543">
              <w:rPr>
                <w:rFonts w:ascii="Tahoma" w:eastAsia="Times New Roman" w:hAnsi="Tahoma" w:cs="Tahoma"/>
                <w:sz w:val="18"/>
                <w:szCs w:val="18"/>
                <w:lang w:eastAsia="hr-HR"/>
              </w:rPr>
              <w:t>PREKO 12 MJESECI</w:t>
            </w:r>
          </w:p>
        </w:tc>
        <w:tc>
          <w:tcPr>
            <w:tcW w:w="236" w:type="dxa"/>
            <w:gridSpan w:val="3"/>
            <w:vAlign w:val="center"/>
            <w:hideMark/>
          </w:tcPr>
          <w:p w14:paraId="54B8A726" w14:textId="77777777" w:rsidR="00061543" w:rsidRPr="00061543" w:rsidRDefault="00061543" w:rsidP="00061543">
            <w:pPr>
              <w:spacing w:after="0" w:line="240" w:lineRule="auto"/>
              <w:rPr>
                <w:rFonts w:ascii="Times New Roman" w:eastAsia="Times New Roman" w:hAnsi="Times New Roman" w:cs="Times New Roman"/>
                <w:sz w:val="18"/>
                <w:szCs w:val="18"/>
                <w:lang w:eastAsia="hr-HR"/>
              </w:rPr>
            </w:pPr>
          </w:p>
        </w:tc>
      </w:tr>
      <w:tr w:rsidR="00061543" w:rsidRPr="00061543" w14:paraId="76AC1198" w14:textId="77777777" w:rsidTr="00061543">
        <w:trPr>
          <w:gridAfter w:val="2"/>
          <w:wAfter w:w="101" w:type="dxa"/>
          <w:trHeight w:val="300"/>
        </w:trPr>
        <w:tc>
          <w:tcPr>
            <w:tcW w:w="1576" w:type="dxa"/>
            <w:tcBorders>
              <w:top w:val="single" w:sz="4" w:space="0" w:color="auto"/>
              <w:left w:val="single" w:sz="8" w:space="0" w:color="auto"/>
              <w:bottom w:val="single" w:sz="4" w:space="0" w:color="auto"/>
              <w:right w:val="single" w:sz="4" w:space="0" w:color="000000"/>
            </w:tcBorders>
            <w:shd w:val="clear" w:color="000000" w:fill="CCFFCC"/>
            <w:vAlign w:val="center"/>
            <w:hideMark/>
          </w:tcPr>
          <w:p w14:paraId="246DD6BC" w14:textId="77777777" w:rsidR="00061543" w:rsidRPr="00061543" w:rsidRDefault="00061543" w:rsidP="00061543">
            <w:pPr>
              <w:spacing w:after="0" w:line="240" w:lineRule="auto"/>
              <w:jc w:val="center"/>
              <w:rPr>
                <w:rFonts w:ascii="Tahoma" w:eastAsia="Times New Roman" w:hAnsi="Tahoma" w:cs="Tahoma"/>
                <w:sz w:val="18"/>
                <w:szCs w:val="18"/>
                <w:lang w:eastAsia="hr-HR"/>
              </w:rPr>
            </w:pPr>
            <w:r w:rsidRPr="00061543">
              <w:rPr>
                <w:rFonts w:ascii="Tahoma" w:eastAsia="Times New Roman" w:hAnsi="Tahoma" w:cs="Tahoma"/>
                <w:sz w:val="18"/>
                <w:szCs w:val="18"/>
                <w:lang w:eastAsia="hr-HR"/>
              </w:rPr>
              <w:t>1.</w:t>
            </w:r>
          </w:p>
        </w:tc>
        <w:tc>
          <w:tcPr>
            <w:tcW w:w="560" w:type="dxa"/>
            <w:tcBorders>
              <w:top w:val="nil"/>
              <w:left w:val="nil"/>
              <w:bottom w:val="single" w:sz="4" w:space="0" w:color="auto"/>
              <w:right w:val="single" w:sz="4" w:space="0" w:color="auto"/>
            </w:tcBorders>
            <w:shd w:val="clear" w:color="000000" w:fill="CCFFCC"/>
            <w:noWrap/>
            <w:vAlign w:val="center"/>
            <w:hideMark/>
          </w:tcPr>
          <w:p w14:paraId="24D3A977" w14:textId="77777777" w:rsidR="00061543" w:rsidRPr="00061543" w:rsidRDefault="00061543" w:rsidP="00061543">
            <w:pPr>
              <w:spacing w:after="0" w:line="240" w:lineRule="auto"/>
              <w:jc w:val="center"/>
              <w:rPr>
                <w:rFonts w:ascii="Tahoma" w:eastAsia="Times New Roman" w:hAnsi="Tahoma" w:cs="Tahoma"/>
                <w:sz w:val="18"/>
                <w:szCs w:val="18"/>
                <w:lang w:eastAsia="hr-HR"/>
              </w:rPr>
            </w:pPr>
            <w:r w:rsidRPr="00061543">
              <w:rPr>
                <w:rFonts w:ascii="Tahoma" w:eastAsia="Times New Roman" w:hAnsi="Tahoma" w:cs="Tahoma"/>
                <w:sz w:val="18"/>
                <w:szCs w:val="18"/>
                <w:lang w:eastAsia="hr-HR"/>
              </w:rPr>
              <w:t>2.</w:t>
            </w:r>
          </w:p>
        </w:tc>
        <w:tc>
          <w:tcPr>
            <w:tcW w:w="446" w:type="dxa"/>
            <w:tcBorders>
              <w:top w:val="nil"/>
              <w:left w:val="nil"/>
              <w:bottom w:val="single" w:sz="4" w:space="0" w:color="auto"/>
              <w:right w:val="single" w:sz="4" w:space="0" w:color="auto"/>
            </w:tcBorders>
            <w:shd w:val="clear" w:color="000000" w:fill="CCFFCC"/>
            <w:noWrap/>
            <w:vAlign w:val="center"/>
            <w:hideMark/>
          </w:tcPr>
          <w:p w14:paraId="6718F26D" w14:textId="77777777" w:rsidR="00061543" w:rsidRPr="00061543" w:rsidRDefault="00061543" w:rsidP="00061543">
            <w:pPr>
              <w:spacing w:after="0" w:line="240" w:lineRule="auto"/>
              <w:jc w:val="center"/>
              <w:rPr>
                <w:rFonts w:ascii="Tahoma" w:eastAsia="Times New Roman" w:hAnsi="Tahoma" w:cs="Tahoma"/>
                <w:sz w:val="18"/>
                <w:szCs w:val="18"/>
                <w:lang w:eastAsia="hr-HR"/>
              </w:rPr>
            </w:pPr>
            <w:r w:rsidRPr="00061543">
              <w:rPr>
                <w:rFonts w:ascii="Tahoma" w:eastAsia="Times New Roman" w:hAnsi="Tahoma" w:cs="Tahoma"/>
                <w:sz w:val="18"/>
                <w:szCs w:val="18"/>
                <w:lang w:eastAsia="hr-HR"/>
              </w:rPr>
              <w:t>3.</w:t>
            </w:r>
          </w:p>
        </w:tc>
        <w:tc>
          <w:tcPr>
            <w:tcW w:w="787" w:type="dxa"/>
            <w:tcBorders>
              <w:top w:val="single" w:sz="4" w:space="0" w:color="auto"/>
              <w:left w:val="nil"/>
              <w:bottom w:val="single" w:sz="4" w:space="0" w:color="auto"/>
              <w:right w:val="single" w:sz="4" w:space="0" w:color="auto"/>
            </w:tcBorders>
            <w:shd w:val="clear" w:color="000000" w:fill="CCFFCC"/>
            <w:noWrap/>
            <w:vAlign w:val="center"/>
            <w:hideMark/>
          </w:tcPr>
          <w:p w14:paraId="43192247" w14:textId="77777777" w:rsidR="00061543" w:rsidRPr="00061543" w:rsidRDefault="00061543" w:rsidP="00061543">
            <w:pPr>
              <w:spacing w:after="0" w:line="240" w:lineRule="auto"/>
              <w:jc w:val="center"/>
              <w:rPr>
                <w:rFonts w:ascii="Tahoma" w:eastAsia="Times New Roman" w:hAnsi="Tahoma" w:cs="Tahoma"/>
                <w:sz w:val="18"/>
                <w:szCs w:val="18"/>
                <w:lang w:eastAsia="hr-HR"/>
              </w:rPr>
            </w:pPr>
            <w:r w:rsidRPr="00061543">
              <w:rPr>
                <w:rFonts w:ascii="Tahoma" w:eastAsia="Times New Roman" w:hAnsi="Tahoma" w:cs="Tahoma"/>
                <w:sz w:val="18"/>
                <w:szCs w:val="18"/>
                <w:lang w:eastAsia="hr-HR"/>
              </w:rPr>
              <w:t>4.</w:t>
            </w:r>
          </w:p>
        </w:tc>
        <w:tc>
          <w:tcPr>
            <w:tcW w:w="581" w:type="dxa"/>
            <w:tcBorders>
              <w:top w:val="single" w:sz="4" w:space="0" w:color="auto"/>
              <w:left w:val="nil"/>
              <w:bottom w:val="single" w:sz="4" w:space="0" w:color="auto"/>
              <w:right w:val="single" w:sz="4" w:space="0" w:color="auto"/>
            </w:tcBorders>
            <w:shd w:val="clear" w:color="000000" w:fill="CCFFCC"/>
            <w:noWrap/>
            <w:vAlign w:val="center"/>
            <w:hideMark/>
          </w:tcPr>
          <w:p w14:paraId="3644E01A" w14:textId="77777777" w:rsidR="00061543" w:rsidRPr="00061543" w:rsidRDefault="00061543" w:rsidP="00061543">
            <w:pPr>
              <w:spacing w:after="0" w:line="240" w:lineRule="auto"/>
              <w:jc w:val="center"/>
              <w:rPr>
                <w:rFonts w:ascii="Tahoma" w:eastAsia="Times New Roman" w:hAnsi="Tahoma" w:cs="Tahoma"/>
                <w:sz w:val="18"/>
                <w:szCs w:val="18"/>
                <w:lang w:eastAsia="hr-HR"/>
              </w:rPr>
            </w:pPr>
            <w:r w:rsidRPr="00061543">
              <w:rPr>
                <w:rFonts w:ascii="Tahoma" w:eastAsia="Times New Roman" w:hAnsi="Tahoma" w:cs="Tahoma"/>
                <w:sz w:val="18"/>
                <w:szCs w:val="18"/>
                <w:lang w:eastAsia="hr-HR"/>
              </w:rPr>
              <w:t>5.</w:t>
            </w:r>
          </w:p>
        </w:tc>
        <w:tc>
          <w:tcPr>
            <w:tcW w:w="446" w:type="dxa"/>
            <w:tcBorders>
              <w:top w:val="nil"/>
              <w:left w:val="nil"/>
              <w:bottom w:val="single" w:sz="4" w:space="0" w:color="auto"/>
              <w:right w:val="single" w:sz="4" w:space="0" w:color="auto"/>
            </w:tcBorders>
            <w:shd w:val="clear" w:color="000000" w:fill="CCFFCC"/>
            <w:noWrap/>
            <w:vAlign w:val="center"/>
            <w:hideMark/>
          </w:tcPr>
          <w:p w14:paraId="0B5604EA" w14:textId="77777777" w:rsidR="00061543" w:rsidRPr="00061543" w:rsidRDefault="00061543" w:rsidP="00061543">
            <w:pPr>
              <w:spacing w:after="0" w:line="240" w:lineRule="auto"/>
              <w:jc w:val="center"/>
              <w:rPr>
                <w:rFonts w:ascii="Tahoma" w:eastAsia="Times New Roman" w:hAnsi="Tahoma" w:cs="Tahoma"/>
                <w:sz w:val="18"/>
                <w:szCs w:val="18"/>
                <w:lang w:eastAsia="hr-HR"/>
              </w:rPr>
            </w:pPr>
            <w:r w:rsidRPr="00061543">
              <w:rPr>
                <w:rFonts w:ascii="Tahoma" w:eastAsia="Times New Roman" w:hAnsi="Tahoma" w:cs="Tahoma"/>
                <w:sz w:val="18"/>
                <w:szCs w:val="18"/>
                <w:lang w:eastAsia="hr-HR"/>
              </w:rPr>
              <w:t>6.</w:t>
            </w:r>
          </w:p>
        </w:tc>
        <w:tc>
          <w:tcPr>
            <w:tcW w:w="697" w:type="dxa"/>
            <w:tcBorders>
              <w:top w:val="nil"/>
              <w:left w:val="nil"/>
              <w:bottom w:val="single" w:sz="4" w:space="0" w:color="auto"/>
              <w:right w:val="single" w:sz="4" w:space="0" w:color="auto"/>
            </w:tcBorders>
            <w:shd w:val="clear" w:color="000000" w:fill="CCFFCC"/>
            <w:noWrap/>
            <w:vAlign w:val="center"/>
            <w:hideMark/>
          </w:tcPr>
          <w:p w14:paraId="7E0732B6" w14:textId="77777777" w:rsidR="00061543" w:rsidRPr="00061543" w:rsidRDefault="00061543" w:rsidP="00061543">
            <w:pPr>
              <w:spacing w:after="0" w:line="240" w:lineRule="auto"/>
              <w:jc w:val="center"/>
              <w:rPr>
                <w:rFonts w:ascii="Tahoma" w:eastAsia="Times New Roman" w:hAnsi="Tahoma" w:cs="Tahoma"/>
                <w:sz w:val="18"/>
                <w:szCs w:val="18"/>
                <w:lang w:eastAsia="hr-HR"/>
              </w:rPr>
            </w:pPr>
            <w:r w:rsidRPr="00061543">
              <w:rPr>
                <w:rFonts w:ascii="Tahoma" w:eastAsia="Times New Roman" w:hAnsi="Tahoma" w:cs="Tahoma"/>
                <w:sz w:val="18"/>
                <w:szCs w:val="18"/>
                <w:lang w:eastAsia="hr-HR"/>
              </w:rPr>
              <w:t>7.</w:t>
            </w:r>
          </w:p>
        </w:tc>
        <w:tc>
          <w:tcPr>
            <w:tcW w:w="446" w:type="dxa"/>
            <w:tcBorders>
              <w:top w:val="nil"/>
              <w:left w:val="nil"/>
              <w:bottom w:val="single" w:sz="4" w:space="0" w:color="auto"/>
              <w:right w:val="single" w:sz="4" w:space="0" w:color="auto"/>
            </w:tcBorders>
            <w:shd w:val="clear" w:color="000000" w:fill="CCFFCC"/>
            <w:noWrap/>
            <w:vAlign w:val="center"/>
            <w:hideMark/>
          </w:tcPr>
          <w:p w14:paraId="753168AD" w14:textId="77777777" w:rsidR="00061543" w:rsidRPr="00061543" w:rsidRDefault="00061543" w:rsidP="00061543">
            <w:pPr>
              <w:spacing w:after="0" w:line="240" w:lineRule="auto"/>
              <w:jc w:val="center"/>
              <w:rPr>
                <w:rFonts w:ascii="Tahoma" w:eastAsia="Times New Roman" w:hAnsi="Tahoma" w:cs="Tahoma"/>
                <w:sz w:val="18"/>
                <w:szCs w:val="18"/>
                <w:lang w:eastAsia="hr-HR"/>
              </w:rPr>
            </w:pPr>
            <w:r w:rsidRPr="00061543">
              <w:rPr>
                <w:rFonts w:ascii="Tahoma" w:eastAsia="Times New Roman" w:hAnsi="Tahoma" w:cs="Tahoma"/>
                <w:sz w:val="18"/>
                <w:szCs w:val="18"/>
                <w:lang w:eastAsia="hr-HR"/>
              </w:rPr>
              <w:t>8.</w:t>
            </w:r>
          </w:p>
        </w:tc>
        <w:tc>
          <w:tcPr>
            <w:tcW w:w="567" w:type="dxa"/>
            <w:tcBorders>
              <w:top w:val="nil"/>
              <w:left w:val="nil"/>
              <w:bottom w:val="single" w:sz="4" w:space="0" w:color="auto"/>
              <w:right w:val="single" w:sz="4" w:space="0" w:color="auto"/>
            </w:tcBorders>
            <w:shd w:val="clear" w:color="000000" w:fill="CCFFCC"/>
            <w:noWrap/>
            <w:vAlign w:val="center"/>
            <w:hideMark/>
          </w:tcPr>
          <w:p w14:paraId="038998BB" w14:textId="77777777" w:rsidR="00061543" w:rsidRPr="00061543" w:rsidRDefault="00061543" w:rsidP="00061543">
            <w:pPr>
              <w:spacing w:after="0" w:line="240" w:lineRule="auto"/>
              <w:jc w:val="center"/>
              <w:rPr>
                <w:rFonts w:ascii="Tahoma" w:eastAsia="Times New Roman" w:hAnsi="Tahoma" w:cs="Tahoma"/>
                <w:sz w:val="18"/>
                <w:szCs w:val="18"/>
                <w:lang w:eastAsia="hr-HR"/>
              </w:rPr>
            </w:pPr>
            <w:r w:rsidRPr="00061543">
              <w:rPr>
                <w:rFonts w:ascii="Tahoma" w:eastAsia="Times New Roman" w:hAnsi="Tahoma" w:cs="Tahoma"/>
                <w:sz w:val="18"/>
                <w:szCs w:val="18"/>
                <w:lang w:eastAsia="hr-HR"/>
              </w:rPr>
              <w:t>9.</w:t>
            </w:r>
          </w:p>
        </w:tc>
        <w:tc>
          <w:tcPr>
            <w:tcW w:w="468" w:type="dxa"/>
            <w:tcBorders>
              <w:top w:val="nil"/>
              <w:left w:val="nil"/>
              <w:bottom w:val="single" w:sz="4" w:space="0" w:color="auto"/>
              <w:right w:val="single" w:sz="4" w:space="0" w:color="auto"/>
            </w:tcBorders>
            <w:shd w:val="clear" w:color="000000" w:fill="CCFFCC"/>
            <w:noWrap/>
            <w:vAlign w:val="center"/>
            <w:hideMark/>
          </w:tcPr>
          <w:p w14:paraId="50B4F65B" w14:textId="77777777" w:rsidR="00061543" w:rsidRPr="00061543" w:rsidRDefault="00061543" w:rsidP="00061543">
            <w:pPr>
              <w:spacing w:after="0" w:line="240" w:lineRule="auto"/>
              <w:jc w:val="center"/>
              <w:rPr>
                <w:rFonts w:ascii="Tahoma" w:eastAsia="Times New Roman" w:hAnsi="Tahoma" w:cs="Tahoma"/>
                <w:sz w:val="18"/>
                <w:szCs w:val="18"/>
                <w:lang w:eastAsia="hr-HR"/>
              </w:rPr>
            </w:pPr>
            <w:r w:rsidRPr="00061543">
              <w:rPr>
                <w:rFonts w:ascii="Tahoma" w:eastAsia="Times New Roman" w:hAnsi="Tahoma" w:cs="Tahoma"/>
                <w:sz w:val="18"/>
                <w:szCs w:val="18"/>
                <w:lang w:eastAsia="hr-HR"/>
              </w:rPr>
              <w:t>10.</w:t>
            </w:r>
          </w:p>
        </w:tc>
        <w:tc>
          <w:tcPr>
            <w:tcW w:w="808" w:type="dxa"/>
            <w:tcBorders>
              <w:top w:val="nil"/>
              <w:left w:val="nil"/>
              <w:bottom w:val="single" w:sz="4" w:space="0" w:color="auto"/>
              <w:right w:val="single" w:sz="4" w:space="0" w:color="auto"/>
            </w:tcBorders>
            <w:shd w:val="clear" w:color="000000" w:fill="CCFFCC"/>
            <w:noWrap/>
            <w:vAlign w:val="center"/>
            <w:hideMark/>
          </w:tcPr>
          <w:p w14:paraId="495BD248" w14:textId="77777777" w:rsidR="00061543" w:rsidRPr="00061543" w:rsidRDefault="00061543" w:rsidP="00061543">
            <w:pPr>
              <w:spacing w:after="0" w:line="240" w:lineRule="auto"/>
              <w:jc w:val="center"/>
              <w:rPr>
                <w:rFonts w:ascii="Tahoma" w:eastAsia="Times New Roman" w:hAnsi="Tahoma" w:cs="Tahoma"/>
                <w:sz w:val="18"/>
                <w:szCs w:val="18"/>
                <w:lang w:eastAsia="hr-HR"/>
              </w:rPr>
            </w:pPr>
            <w:r w:rsidRPr="00061543">
              <w:rPr>
                <w:rFonts w:ascii="Tahoma" w:eastAsia="Times New Roman" w:hAnsi="Tahoma" w:cs="Tahoma"/>
                <w:sz w:val="18"/>
                <w:szCs w:val="18"/>
                <w:lang w:eastAsia="hr-HR"/>
              </w:rPr>
              <w:t>11.</w:t>
            </w:r>
          </w:p>
        </w:tc>
        <w:tc>
          <w:tcPr>
            <w:tcW w:w="468" w:type="dxa"/>
            <w:gridSpan w:val="2"/>
            <w:tcBorders>
              <w:top w:val="nil"/>
              <w:left w:val="nil"/>
              <w:bottom w:val="single" w:sz="4" w:space="0" w:color="auto"/>
              <w:right w:val="single" w:sz="4" w:space="0" w:color="auto"/>
            </w:tcBorders>
            <w:shd w:val="clear" w:color="000000" w:fill="CCFFCC"/>
            <w:noWrap/>
            <w:vAlign w:val="center"/>
            <w:hideMark/>
          </w:tcPr>
          <w:p w14:paraId="629EEA19" w14:textId="77777777" w:rsidR="00061543" w:rsidRPr="00061543" w:rsidRDefault="00061543" w:rsidP="00061543">
            <w:pPr>
              <w:spacing w:after="0" w:line="240" w:lineRule="auto"/>
              <w:jc w:val="center"/>
              <w:rPr>
                <w:rFonts w:ascii="Tahoma" w:eastAsia="Times New Roman" w:hAnsi="Tahoma" w:cs="Tahoma"/>
                <w:sz w:val="18"/>
                <w:szCs w:val="18"/>
                <w:lang w:eastAsia="hr-HR"/>
              </w:rPr>
            </w:pPr>
            <w:r w:rsidRPr="00061543">
              <w:rPr>
                <w:rFonts w:ascii="Tahoma" w:eastAsia="Times New Roman" w:hAnsi="Tahoma" w:cs="Tahoma"/>
                <w:sz w:val="18"/>
                <w:szCs w:val="18"/>
                <w:lang w:eastAsia="hr-HR"/>
              </w:rPr>
              <w:t>12.</w:t>
            </w:r>
          </w:p>
        </w:tc>
        <w:tc>
          <w:tcPr>
            <w:tcW w:w="524" w:type="dxa"/>
            <w:tcBorders>
              <w:top w:val="nil"/>
              <w:left w:val="nil"/>
              <w:bottom w:val="single" w:sz="4" w:space="0" w:color="auto"/>
              <w:right w:val="single" w:sz="4" w:space="0" w:color="auto"/>
            </w:tcBorders>
            <w:shd w:val="clear" w:color="000000" w:fill="CCFFCC"/>
            <w:noWrap/>
            <w:vAlign w:val="center"/>
            <w:hideMark/>
          </w:tcPr>
          <w:p w14:paraId="0587A80A" w14:textId="77777777" w:rsidR="00061543" w:rsidRPr="00061543" w:rsidRDefault="00061543" w:rsidP="00061543">
            <w:pPr>
              <w:spacing w:after="0" w:line="240" w:lineRule="auto"/>
              <w:jc w:val="center"/>
              <w:rPr>
                <w:rFonts w:ascii="Tahoma" w:eastAsia="Times New Roman" w:hAnsi="Tahoma" w:cs="Tahoma"/>
                <w:sz w:val="18"/>
                <w:szCs w:val="18"/>
                <w:lang w:eastAsia="hr-HR"/>
              </w:rPr>
            </w:pPr>
            <w:r w:rsidRPr="00061543">
              <w:rPr>
                <w:rFonts w:ascii="Tahoma" w:eastAsia="Times New Roman" w:hAnsi="Tahoma" w:cs="Tahoma"/>
                <w:sz w:val="18"/>
                <w:szCs w:val="18"/>
                <w:lang w:eastAsia="hr-HR"/>
              </w:rPr>
              <w:t>13.</w:t>
            </w:r>
          </w:p>
        </w:tc>
        <w:tc>
          <w:tcPr>
            <w:tcW w:w="468" w:type="dxa"/>
            <w:tcBorders>
              <w:top w:val="nil"/>
              <w:left w:val="nil"/>
              <w:bottom w:val="single" w:sz="4" w:space="0" w:color="auto"/>
              <w:right w:val="single" w:sz="4" w:space="0" w:color="auto"/>
            </w:tcBorders>
            <w:shd w:val="clear" w:color="000000" w:fill="CCFFCC"/>
            <w:noWrap/>
            <w:vAlign w:val="center"/>
            <w:hideMark/>
          </w:tcPr>
          <w:p w14:paraId="40462AC6" w14:textId="77777777" w:rsidR="00061543" w:rsidRPr="00061543" w:rsidRDefault="00061543" w:rsidP="00061543">
            <w:pPr>
              <w:spacing w:after="0" w:line="240" w:lineRule="auto"/>
              <w:jc w:val="center"/>
              <w:rPr>
                <w:rFonts w:ascii="Tahoma" w:eastAsia="Times New Roman" w:hAnsi="Tahoma" w:cs="Tahoma"/>
                <w:sz w:val="18"/>
                <w:szCs w:val="18"/>
                <w:lang w:eastAsia="hr-HR"/>
              </w:rPr>
            </w:pPr>
            <w:r w:rsidRPr="00061543">
              <w:rPr>
                <w:rFonts w:ascii="Tahoma" w:eastAsia="Times New Roman" w:hAnsi="Tahoma" w:cs="Tahoma"/>
                <w:sz w:val="18"/>
                <w:szCs w:val="18"/>
                <w:lang w:eastAsia="hr-HR"/>
              </w:rPr>
              <w:t>14.</w:t>
            </w:r>
          </w:p>
        </w:tc>
        <w:tc>
          <w:tcPr>
            <w:tcW w:w="468" w:type="dxa"/>
            <w:tcBorders>
              <w:top w:val="nil"/>
              <w:left w:val="nil"/>
              <w:bottom w:val="single" w:sz="4" w:space="0" w:color="auto"/>
              <w:right w:val="single" w:sz="4" w:space="0" w:color="auto"/>
            </w:tcBorders>
            <w:shd w:val="clear" w:color="000000" w:fill="CCFFCC"/>
            <w:noWrap/>
            <w:vAlign w:val="center"/>
            <w:hideMark/>
          </w:tcPr>
          <w:p w14:paraId="5EE3CF09" w14:textId="77777777" w:rsidR="00061543" w:rsidRPr="00061543" w:rsidRDefault="00061543" w:rsidP="00061543">
            <w:pPr>
              <w:spacing w:after="0" w:line="240" w:lineRule="auto"/>
              <w:jc w:val="center"/>
              <w:rPr>
                <w:rFonts w:ascii="Tahoma" w:eastAsia="Times New Roman" w:hAnsi="Tahoma" w:cs="Tahoma"/>
                <w:sz w:val="18"/>
                <w:szCs w:val="18"/>
                <w:lang w:eastAsia="hr-HR"/>
              </w:rPr>
            </w:pPr>
            <w:r w:rsidRPr="00061543">
              <w:rPr>
                <w:rFonts w:ascii="Tahoma" w:eastAsia="Times New Roman" w:hAnsi="Tahoma" w:cs="Tahoma"/>
                <w:sz w:val="18"/>
                <w:szCs w:val="18"/>
                <w:lang w:eastAsia="hr-HR"/>
              </w:rPr>
              <w:t>15.</w:t>
            </w:r>
          </w:p>
        </w:tc>
        <w:tc>
          <w:tcPr>
            <w:tcW w:w="560" w:type="dxa"/>
            <w:gridSpan w:val="2"/>
            <w:tcBorders>
              <w:top w:val="nil"/>
              <w:left w:val="nil"/>
              <w:bottom w:val="single" w:sz="4" w:space="0" w:color="auto"/>
              <w:right w:val="single" w:sz="4" w:space="0" w:color="auto"/>
            </w:tcBorders>
            <w:shd w:val="clear" w:color="000000" w:fill="CCFFCC"/>
            <w:noWrap/>
            <w:vAlign w:val="center"/>
            <w:hideMark/>
          </w:tcPr>
          <w:p w14:paraId="648A75B1" w14:textId="77777777" w:rsidR="00061543" w:rsidRPr="00061543" w:rsidRDefault="00061543" w:rsidP="00061543">
            <w:pPr>
              <w:spacing w:after="0" w:line="240" w:lineRule="auto"/>
              <w:jc w:val="center"/>
              <w:rPr>
                <w:rFonts w:ascii="Tahoma" w:eastAsia="Times New Roman" w:hAnsi="Tahoma" w:cs="Tahoma"/>
                <w:sz w:val="18"/>
                <w:szCs w:val="18"/>
                <w:lang w:eastAsia="hr-HR"/>
              </w:rPr>
            </w:pPr>
            <w:r w:rsidRPr="00061543">
              <w:rPr>
                <w:rFonts w:ascii="Tahoma" w:eastAsia="Times New Roman" w:hAnsi="Tahoma" w:cs="Tahoma"/>
                <w:sz w:val="18"/>
                <w:szCs w:val="18"/>
                <w:lang w:eastAsia="hr-HR"/>
              </w:rPr>
              <w:t>16.</w:t>
            </w:r>
          </w:p>
        </w:tc>
        <w:tc>
          <w:tcPr>
            <w:tcW w:w="905" w:type="dxa"/>
            <w:gridSpan w:val="2"/>
            <w:tcBorders>
              <w:top w:val="single" w:sz="4" w:space="0" w:color="auto"/>
              <w:left w:val="nil"/>
              <w:bottom w:val="single" w:sz="4" w:space="0" w:color="auto"/>
              <w:right w:val="single" w:sz="4" w:space="0" w:color="auto"/>
            </w:tcBorders>
            <w:shd w:val="clear" w:color="000000" w:fill="CCFFCC"/>
            <w:noWrap/>
            <w:vAlign w:val="center"/>
            <w:hideMark/>
          </w:tcPr>
          <w:p w14:paraId="2ED1F6F2" w14:textId="77777777" w:rsidR="00061543" w:rsidRPr="00061543" w:rsidRDefault="00061543" w:rsidP="00061543">
            <w:pPr>
              <w:spacing w:after="0" w:line="240" w:lineRule="auto"/>
              <w:jc w:val="center"/>
              <w:rPr>
                <w:rFonts w:ascii="Tahoma" w:eastAsia="Times New Roman" w:hAnsi="Tahoma" w:cs="Tahoma"/>
                <w:sz w:val="18"/>
                <w:szCs w:val="18"/>
                <w:lang w:eastAsia="hr-HR"/>
              </w:rPr>
            </w:pPr>
            <w:r w:rsidRPr="00061543">
              <w:rPr>
                <w:rFonts w:ascii="Tahoma" w:eastAsia="Times New Roman" w:hAnsi="Tahoma" w:cs="Tahoma"/>
                <w:sz w:val="18"/>
                <w:szCs w:val="18"/>
                <w:lang w:eastAsia="hr-HR"/>
              </w:rPr>
              <w:t>17.</w:t>
            </w:r>
          </w:p>
        </w:tc>
        <w:tc>
          <w:tcPr>
            <w:tcW w:w="498" w:type="dxa"/>
            <w:tcBorders>
              <w:top w:val="single" w:sz="4" w:space="0" w:color="auto"/>
              <w:left w:val="nil"/>
              <w:bottom w:val="single" w:sz="4" w:space="0" w:color="auto"/>
              <w:right w:val="single" w:sz="4" w:space="0" w:color="auto"/>
            </w:tcBorders>
            <w:shd w:val="clear" w:color="000000" w:fill="CCFFCC"/>
            <w:noWrap/>
            <w:vAlign w:val="center"/>
            <w:hideMark/>
          </w:tcPr>
          <w:p w14:paraId="47FB6E1E" w14:textId="77777777" w:rsidR="00061543" w:rsidRPr="00061543" w:rsidRDefault="00061543" w:rsidP="00061543">
            <w:pPr>
              <w:spacing w:after="0" w:line="240" w:lineRule="auto"/>
              <w:jc w:val="center"/>
              <w:rPr>
                <w:rFonts w:ascii="Tahoma" w:eastAsia="Times New Roman" w:hAnsi="Tahoma" w:cs="Tahoma"/>
                <w:sz w:val="18"/>
                <w:szCs w:val="18"/>
                <w:lang w:eastAsia="hr-HR"/>
              </w:rPr>
            </w:pPr>
            <w:r w:rsidRPr="00061543">
              <w:rPr>
                <w:rFonts w:ascii="Tahoma" w:eastAsia="Times New Roman" w:hAnsi="Tahoma" w:cs="Tahoma"/>
                <w:sz w:val="18"/>
                <w:szCs w:val="18"/>
                <w:lang w:eastAsia="hr-HR"/>
              </w:rPr>
              <w:t>18.</w:t>
            </w:r>
          </w:p>
        </w:tc>
        <w:tc>
          <w:tcPr>
            <w:tcW w:w="1016" w:type="dxa"/>
            <w:gridSpan w:val="2"/>
            <w:tcBorders>
              <w:top w:val="nil"/>
              <w:left w:val="nil"/>
              <w:bottom w:val="single" w:sz="4" w:space="0" w:color="auto"/>
              <w:right w:val="single" w:sz="4" w:space="0" w:color="auto"/>
            </w:tcBorders>
            <w:shd w:val="clear" w:color="000000" w:fill="CCFFCC"/>
            <w:noWrap/>
            <w:vAlign w:val="center"/>
            <w:hideMark/>
          </w:tcPr>
          <w:p w14:paraId="13BC4453" w14:textId="77777777" w:rsidR="00061543" w:rsidRPr="00061543" w:rsidRDefault="00061543" w:rsidP="00061543">
            <w:pPr>
              <w:spacing w:after="0" w:line="240" w:lineRule="auto"/>
              <w:jc w:val="center"/>
              <w:rPr>
                <w:rFonts w:ascii="Tahoma" w:eastAsia="Times New Roman" w:hAnsi="Tahoma" w:cs="Tahoma"/>
                <w:sz w:val="18"/>
                <w:szCs w:val="18"/>
                <w:lang w:eastAsia="hr-HR"/>
              </w:rPr>
            </w:pPr>
            <w:r w:rsidRPr="00061543">
              <w:rPr>
                <w:rFonts w:ascii="Tahoma" w:eastAsia="Times New Roman" w:hAnsi="Tahoma" w:cs="Tahoma"/>
                <w:sz w:val="18"/>
                <w:szCs w:val="18"/>
                <w:lang w:eastAsia="hr-HR"/>
              </w:rPr>
              <w:t>19.</w:t>
            </w:r>
          </w:p>
        </w:tc>
        <w:tc>
          <w:tcPr>
            <w:tcW w:w="505" w:type="dxa"/>
            <w:gridSpan w:val="2"/>
            <w:tcBorders>
              <w:top w:val="nil"/>
              <w:left w:val="nil"/>
              <w:bottom w:val="single" w:sz="4" w:space="0" w:color="auto"/>
              <w:right w:val="single" w:sz="4" w:space="0" w:color="auto"/>
            </w:tcBorders>
            <w:shd w:val="clear" w:color="000000" w:fill="CCFFCC"/>
            <w:noWrap/>
            <w:vAlign w:val="center"/>
            <w:hideMark/>
          </w:tcPr>
          <w:p w14:paraId="3895EC4F" w14:textId="77777777" w:rsidR="00061543" w:rsidRPr="00061543" w:rsidRDefault="00061543" w:rsidP="00061543">
            <w:pPr>
              <w:spacing w:after="0" w:line="240" w:lineRule="auto"/>
              <w:jc w:val="center"/>
              <w:rPr>
                <w:rFonts w:ascii="Tahoma" w:eastAsia="Times New Roman" w:hAnsi="Tahoma" w:cs="Tahoma"/>
                <w:sz w:val="18"/>
                <w:szCs w:val="18"/>
                <w:lang w:eastAsia="hr-HR"/>
              </w:rPr>
            </w:pPr>
            <w:r w:rsidRPr="00061543">
              <w:rPr>
                <w:rFonts w:ascii="Tahoma" w:eastAsia="Times New Roman" w:hAnsi="Tahoma" w:cs="Tahoma"/>
                <w:sz w:val="18"/>
                <w:szCs w:val="18"/>
                <w:lang w:eastAsia="hr-HR"/>
              </w:rPr>
              <w:t>20.</w:t>
            </w:r>
          </w:p>
        </w:tc>
        <w:tc>
          <w:tcPr>
            <w:tcW w:w="468" w:type="dxa"/>
            <w:tcBorders>
              <w:top w:val="nil"/>
              <w:left w:val="nil"/>
              <w:bottom w:val="single" w:sz="4" w:space="0" w:color="auto"/>
              <w:right w:val="single" w:sz="4" w:space="0" w:color="auto"/>
            </w:tcBorders>
            <w:shd w:val="clear" w:color="000000" w:fill="CCFFCC"/>
            <w:noWrap/>
            <w:vAlign w:val="center"/>
            <w:hideMark/>
          </w:tcPr>
          <w:p w14:paraId="6A976977" w14:textId="77777777" w:rsidR="00061543" w:rsidRPr="00061543" w:rsidRDefault="00061543" w:rsidP="00061543">
            <w:pPr>
              <w:spacing w:after="0" w:line="240" w:lineRule="auto"/>
              <w:jc w:val="center"/>
              <w:rPr>
                <w:rFonts w:ascii="Tahoma" w:eastAsia="Times New Roman" w:hAnsi="Tahoma" w:cs="Tahoma"/>
                <w:sz w:val="18"/>
                <w:szCs w:val="18"/>
                <w:lang w:eastAsia="hr-HR"/>
              </w:rPr>
            </w:pPr>
            <w:r w:rsidRPr="00061543">
              <w:rPr>
                <w:rFonts w:ascii="Tahoma" w:eastAsia="Times New Roman" w:hAnsi="Tahoma" w:cs="Tahoma"/>
                <w:sz w:val="18"/>
                <w:szCs w:val="18"/>
                <w:lang w:eastAsia="hr-HR"/>
              </w:rPr>
              <w:t>21.</w:t>
            </w:r>
          </w:p>
        </w:tc>
        <w:tc>
          <w:tcPr>
            <w:tcW w:w="336" w:type="dxa"/>
            <w:tcBorders>
              <w:top w:val="nil"/>
              <w:left w:val="nil"/>
              <w:bottom w:val="single" w:sz="4" w:space="0" w:color="auto"/>
              <w:right w:val="single" w:sz="4" w:space="0" w:color="auto"/>
            </w:tcBorders>
            <w:shd w:val="clear" w:color="000000" w:fill="CCFFCC"/>
            <w:noWrap/>
            <w:vAlign w:val="center"/>
            <w:hideMark/>
          </w:tcPr>
          <w:p w14:paraId="4DB5E11B" w14:textId="77777777" w:rsidR="00061543" w:rsidRPr="00061543" w:rsidRDefault="00061543" w:rsidP="00061543">
            <w:pPr>
              <w:spacing w:after="0" w:line="240" w:lineRule="auto"/>
              <w:jc w:val="center"/>
              <w:rPr>
                <w:rFonts w:ascii="Tahoma" w:eastAsia="Times New Roman" w:hAnsi="Tahoma" w:cs="Tahoma"/>
                <w:sz w:val="18"/>
                <w:szCs w:val="18"/>
                <w:lang w:eastAsia="hr-HR"/>
              </w:rPr>
            </w:pPr>
            <w:r w:rsidRPr="00061543">
              <w:rPr>
                <w:rFonts w:ascii="Tahoma" w:eastAsia="Times New Roman" w:hAnsi="Tahoma" w:cs="Tahoma"/>
                <w:sz w:val="18"/>
                <w:szCs w:val="18"/>
                <w:lang w:eastAsia="hr-HR"/>
              </w:rPr>
              <w:t>22.</w:t>
            </w:r>
          </w:p>
        </w:tc>
        <w:tc>
          <w:tcPr>
            <w:tcW w:w="426" w:type="dxa"/>
            <w:tcBorders>
              <w:top w:val="nil"/>
              <w:left w:val="nil"/>
              <w:bottom w:val="single" w:sz="4" w:space="0" w:color="auto"/>
              <w:right w:val="single" w:sz="4" w:space="0" w:color="auto"/>
            </w:tcBorders>
            <w:shd w:val="clear" w:color="000000" w:fill="CCFFCC"/>
            <w:noWrap/>
            <w:vAlign w:val="center"/>
            <w:hideMark/>
          </w:tcPr>
          <w:p w14:paraId="5589B1B5" w14:textId="77777777" w:rsidR="00061543" w:rsidRPr="00061543" w:rsidRDefault="00061543" w:rsidP="00061543">
            <w:pPr>
              <w:spacing w:after="0" w:line="240" w:lineRule="auto"/>
              <w:jc w:val="center"/>
              <w:rPr>
                <w:rFonts w:ascii="Tahoma" w:eastAsia="Times New Roman" w:hAnsi="Tahoma" w:cs="Tahoma"/>
                <w:sz w:val="18"/>
                <w:szCs w:val="18"/>
                <w:lang w:eastAsia="hr-HR"/>
              </w:rPr>
            </w:pPr>
            <w:r w:rsidRPr="00061543">
              <w:rPr>
                <w:rFonts w:ascii="Tahoma" w:eastAsia="Times New Roman" w:hAnsi="Tahoma" w:cs="Tahoma"/>
                <w:sz w:val="18"/>
                <w:szCs w:val="18"/>
                <w:lang w:eastAsia="hr-HR"/>
              </w:rPr>
              <w:t>23.</w:t>
            </w:r>
          </w:p>
        </w:tc>
        <w:tc>
          <w:tcPr>
            <w:tcW w:w="473" w:type="dxa"/>
            <w:tcBorders>
              <w:top w:val="nil"/>
              <w:left w:val="nil"/>
              <w:bottom w:val="single" w:sz="4" w:space="0" w:color="auto"/>
              <w:right w:val="single" w:sz="4" w:space="0" w:color="auto"/>
            </w:tcBorders>
            <w:shd w:val="clear" w:color="000000" w:fill="CCFFCC"/>
            <w:noWrap/>
            <w:vAlign w:val="center"/>
            <w:hideMark/>
          </w:tcPr>
          <w:p w14:paraId="1E7351FC" w14:textId="77777777" w:rsidR="00061543" w:rsidRPr="00061543" w:rsidRDefault="00061543" w:rsidP="00061543">
            <w:pPr>
              <w:spacing w:after="0" w:line="240" w:lineRule="auto"/>
              <w:jc w:val="center"/>
              <w:rPr>
                <w:rFonts w:ascii="Tahoma" w:eastAsia="Times New Roman" w:hAnsi="Tahoma" w:cs="Tahoma"/>
                <w:sz w:val="18"/>
                <w:szCs w:val="18"/>
                <w:lang w:eastAsia="hr-HR"/>
              </w:rPr>
            </w:pPr>
            <w:r w:rsidRPr="00061543">
              <w:rPr>
                <w:rFonts w:ascii="Tahoma" w:eastAsia="Times New Roman" w:hAnsi="Tahoma" w:cs="Tahoma"/>
                <w:sz w:val="18"/>
                <w:szCs w:val="18"/>
                <w:lang w:eastAsia="hr-HR"/>
              </w:rPr>
              <w:t>24.</w:t>
            </w:r>
          </w:p>
        </w:tc>
        <w:tc>
          <w:tcPr>
            <w:tcW w:w="236" w:type="dxa"/>
            <w:gridSpan w:val="3"/>
            <w:vAlign w:val="center"/>
            <w:hideMark/>
          </w:tcPr>
          <w:p w14:paraId="491CF33C" w14:textId="77777777" w:rsidR="00061543" w:rsidRPr="00061543" w:rsidRDefault="00061543" w:rsidP="00061543">
            <w:pPr>
              <w:spacing w:after="0" w:line="240" w:lineRule="auto"/>
              <w:rPr>
                <w:rFonts w:ascii="Times New Roman" w:eastAsia="Times New Roman" w:hAnsi="Times New Roman" w:cs="Times New Roman"/>
                <w:sz w:val="18"/>
                <w:szCs w:val="18"/>
                <w:lang w:eastAsia="hr-HR"/>
              </w:rPr>
            </w:pPr>
          </w:p>
        </w:tc>
      </w:tr>
      <w:tr w:rsidR="00061543" w:rsidRPr="00061543" w14:paraId="7744E642" w14:textId="77777777" w:rsidTr="00061543">
        <w:trPr>
          <w:gridAfter w:val="2"/>
          <w:wAfter w:w="101" w:type="dxa"/>
          <w:trHeight w:val="585"/>
        </w:trPr>
        <w:tc>
          <w:tcPr>
            <w:tcW w:w="1576" w:type="dxa"/>
            <w:tcBorders>
              <w:top w:val="single" w:sz="4" w:space="0" w:color="auto"/>
              <w:left w:val="single" w:sz="8" w:space="0" w:color="auto"/>
              <w:bottom w:val="single" w:sz="4" w:space="0" w:color="auto"/>
              <w:right w:val="single" w:sz="4" w:space="0" w:color="auto"/>
            </w:tcBorders>
            <w:shd w:val="clear" w:color="000000" w:fill="CCFFCC"/>
            <w:vAlign w:val="center"/>
            <w:hideMark/>
          </w:tcPr>
          <w:p w14:paraId="422BFB64" w14:textId="77777777" w:rsidR="00061543" w:rsidRPr="00061543" w:rsidRDefault="00061543" w:rsidP="00061543">
            <w:pPr>
              <w:spacing w:after="0" w:line="240" w:lineRule="auto"/>
              <w:rPr>
                <w:rFonts w:ascii="Tahoma" w:eastAsia="Times New Roman" w:hAnsi="Tahoma" w:cs="Tahoma"/>
                <w:sz w:val="18"/>
                <w:szCs w:val="18"/>
                <w:lang w:eastAsia="hr-HR"/>
              </w:rPr>
            </w:pPr>
            <w:r w:rsidRPr="00061543">
              <w:rPr>
                <w:rFonts w:ascii="Tahoma" w:eastAsia="Times New Roman" w:hAnsi="Tahoma" w:cs="Tahoma"/>
                <w:sz w:val="18"/>
                <w:szCs w:val="18"/>
                <w:lang w:eastAsia="hr-HR"/>
              </w:rPr>
              <w:lastRenderedPageBreak/>
              <w:t xml:space="preserve">Rasa ili etnička </w:t>
            </w:r>
            <w:proofErr w:type="spellStart"/>
            <w:r w:rsidRPr="00061543">
              <w:rPr>
                <w:rFonts w:ascii="Tahoma" w:eastAsia="Times New Roman" w:hAnsi="Tahoma" w:cs="Tahoma"/>
                <w:sz w:val="18"/>
                <w:szCs w:val="18"/>
                <w:lang w:eastAsia="hr-HR"/>
              </w:rPr>
              <w:t>propadnost</w:t>
            </w:r>
            <w:proofErr w:type="spellEnd"/>
            <w:r w:rsidRPr="00061543">
              <w:rPr>
                <w:rFonts w:ascii="Tahoma" w:eastAsia="Times New Roman" w:hAnsi="Tahoma" w:cs="Tahoma"/>
                <w:sz w:val="18"/>
                <w:szCs w:val="18"/>
                <w:lang w:eastAsia="hr-HR"/>
              </w:rPr>
              <w:t xml:space="preserve"> ili boja kože</w:t>
            </w:r>
          </w:p>
        </w:tc>
        <w:tc>
          <w:tcPr>
            <w:tcW w:w="560" w:type="dxa"/>
            <w:tcBorders>
              <w:top w:val="nil"/>
              <w:left w:val="nil"/>
              <w:bottom w:val="single" w:sz="4" w:space="0" w:color="auto"/>
              <w:right w:val="single" w:sz="4" w:space="0" w:color="auto"/>
            </w:tcBorders>
            <w:shd w:val="clear" w:color="000000" w:fill="FFCC99"/>
            <w:noWrap/>
            <w:vAlign w:val="center"/>
            <w:hideMark/>
          </w:tcPr>
          <w:p w14:paraId="2C57F8E1" w14:textId="77777777" w:rsidR="00061543" w:rsidRPr="00061543" w:rsidRDefault="00061543" w:rsidP="00061543">
            <w:pPr>
              <w:spacing w:after="0" w:line="240" w:lineRule="auto"/>
              <w:jc w:val="center"/>
              <w:rPr>
                <w:rFonts w:ascii="Tahoma" w:eastAsia="Times New Roman" w:hAnsi="Tahoma" w:cs="Tahoma"/>
                <w:sz w:val="18"/>
                <w:szCs w:val="18"/>
                <w:lang w:eastAsia="hr-HR"/>
              </w:rPr>
            </w:pPr>
            <w:r w:rsidRPr="00061543">
              <w:rPr>
                <w:rFonts w:ascii="Tahoma" w:eastAsia="Times New Roman" w:hAnsi="Tahoma" w:cs="Tahoma"/>
                <w:sz w:val="18"/>
                <w:szCs w:val="18"/>
                <w:lang w:eastAsia="hr-HR"/>
              </w:rPr>
              <w:t>6</w:t>
            </w:r>
          </w:p>
        </w:tc>
        <w:tc>
          <w:tcPr>
            <w:tcW w:w="446" w:type="dxa"/>
            <w:tcBorders>
              <w:top w:val="nil"/>
              <w:left w:val="nil"/>
              <w:bottom w:val="single" w:sz="4" w:space="0" w:color="auto"/>
              <w:right w:val="single" w:sz="4" w:space="0" w:color="auto"/>
            </w:tcBorders>
            <w:shd w:val="clear" w:color="000000" w:fill="FFFF00"/>
            <w:noWrap/>
            <w:vAlign w:val="center"/>
            <w:hideMark/>
          </w:tcPr>
          <w:p w14:paraId="45F3A981" w14:textId="77777777" w:rsidR="00061543" w:rsidRPr="00061543" w:rsidRDefault="00061543" w:rsidP="00061543">
            <w:pPr>
              <w:spacing w:after="0" w:line="240" w:lineRule="auto"/>
              <w:jc w:val="center"/>
              <w:rPr>
                <w:rFonts w:ascii="Tahoma" w:eastAsia="Times New Roman" w:hAnsi="Tahoma" w:cs="Tahoma"/>
                <w:sz w:val="18"/>
                <w:szCs w:val="18"/>
                <w:lang w:eastAsia="hr-HR"/>
              </w:rPr>
            </w:pPr>
            <w:r w:rsidRPr="00061543">
              <w:rPr>
                <w:rFonts w:ascii="Tahoma" w:eastAsia="Times New Roman" w:hAnsi="Tahoma" w:cs="Tahoma"/>
                <w:sz w:val="18"/>
                <w:szCs w:val="18"/>
                <w:lang w:eastAsia="hr-HR"/>
              </w:rPr>
              <w:t>1</w:t>
            </w:r>
          </w:p>
        </w:tc>
        <w:tc>
          <w:tcPr>
            <w:tcW w:w="787" w:type="dxa"/>
            <w:tcBorders>
              <w:top w:val="nil"/>
              <w:left w:val="nil"/>
              <w:bottom w:val="single" w:sz="4" w:space="0" w:color="auto"/>
              <w:right w:val="single" w:sz="4" w:space="0" w:color="auto"/>
            </w:tcBorders>
            <w:shd w:val="clear" w:color="000000" w:fill="CCFFFF"/>
            <w:vAlign w:val="center"/>
            <w:hideMark/>
          </w:tcPr>
          <w:p w14:paraId="2FBA8491" w14:textId="77777777" w:rsidR="00061543" w:rsidRPr="00061543" w:rsidRDefault="00061543" w:rsidP="00061543">
            <w:pPr>
              <w:spacing w:after="0" w:line="240" w:lineRule="auto"/>
              <w:jc w:val="right"/>
              <w:rPr>
                <w:rFonts w:ascii="Tahoma" w:eastAsia="Times New Roman" w:hAnsi="Tahoma" w:cs="Tahoma"/>
                <w:sz w:val="18"/>
                <w:szCs w:val="18"/>
                <w:lang w:eastAsia="hr-HR"/>
              </w:rPr>
            </w:pPr>
            <w:r w:rsidRPr="00061543">
              <w:rPr>
                <w:rFonts w:ascii="Tahoma" w:eastAsia="Times New Roman" w:hAnsi="Tahoma" w:cs="Tahoma"/>
                <w:sz w:val="18"/>
                <w:szCs w:val="18"/>
                <w:lang w:eastAsia="hr-HR"/>
              </w:rPr>
              <w:t>0</w:t>
            </w:r>
          </w:p>
        </w:tc>
        <w:tc>
          <w:tcPr>
            <w:tcW w:w="581" w:type="dxa"/>
            <w:tcBorders>
              <w:top w:val="nil"/>
              <w:left w:val="nil"/>
              <w:bottom w:val="single" w:sz="4" w:space="0" w:color="auto"/>
              <w:right w:val="single" w:sz="4" w:space="0" w:color="auto"/>
            </w:tcBorders>
            <w:shd w:val="clear" w:color="000000" w:fill="CCFFFF"/>
            <w:noWrap/>
            <w:vAlign w:val="center"/>
            <w:hideMark/>
          </w:tcPr>
          <w:p w14:paraId="217C8C30" w14:textId="77777777" w:rsidR="00061543" w:rsidRPr="00061543" w:rsidRDefault="00061543" w:rsidP="00061543">
            <w:pPr>
              <w:spacing w:after="0" w:line="240" w:lineRule="auto"/>
              <w:jc w:val="right"/>
              <w:rPr>
                <w:rFonts w:ascii="Tahoma" w:eastAsia="Times New Roman" w:hAnsi="Tahoma" w:cs="Tahoma"/>
                <w:sz w:val="18"/>
                <w:szCs w:val="18"/>
                <w:lang w:eastAsia="hr-HR"/>
              </w:rPr>
            </w:pPr>
            <w:r w:rsidRPr="00061543">
              <w:rPr>
                <w:rFonts w:ascii="Tahoma" w:eastAsia="Times New Roman" w:hAnsi="Tahoma" w:cs="Tahoma"/>
                <w:sz w:val="18"/>
                <w:szCs w:val="18"/>
                <w:lang w:eastAsia="hr-HR"/>
              </w:rPr>
              <w:t>1</w:t>
            </w:r>
          </w:p>
        </w:tc>
        <w:tc>
          <w:tcPr>
            <w:tcW w:w="446" w:type="dxa"/>
            <w:tcBorders>
              <w:top w:val="nil"/>
              <w:left w:val="nil"/>
              <w:bottom w:val="single" w:sz="4" w:space="0" w:color="auto"/>
              <w:right w:val="single" w:sz="4" w:space="0" w:color="auto"/>
            </w:tcBorders>
            <w:shd w:val="clear" w:color="000000" w:fill="FFFF99"/>
            <w:noWrap/>
            <w:vAlign w:val="center"/>
            <w:hideMark/>
          </w:tcPr>
          <w:p w14:paraId="421ADB4A" w14:textId="77777777" w:rsidR="00061543" w:rsidRPr="00061543" w:rsidRDefault="00061543" w:rsidP="00061543">
            <w:pPr>
              <w:spacing w:after="0" w:line="240" w:lineRule="auto"/>
              <w:jc w:val="center"/>
              <w:rPr>
                <w:rFonts w:ascii="Tahoma" w:eastAsia="Times New Roman" w:hAnsi="Tahoma" w:cs="Tahoma"/>
                <w:sz w:val="18"/>
                <w:szCs w:val="18"/>
                <w:lang w:eastAsia="hr-HR"/>
              </w:rPr>
            </w:pPr>
            <w:r w:rsidRPr="00061543">
              <w:rPr>
                <w:rFonts w:ascii="Tahoma" w:eastAsia="Times New Roman" w:hAnsi="Tahoma" w:cs="Tahoma"/>
                <w:sz w:val="18"/>
                <w:szCs w:val="18"/>
                <w:lang w:eastAsia="hr-HR"/>
              </w:rPr>
              <w:t>1</w:t>
            </w:r>
          </w:p>
        </w:tc>
        <w:tc>
          <w:tcPr>
            <w:tcW w:w="697" w:type="dxa"/>
            <w:tcBorders>
              <w:top w:val="nil"/>
              <w:left w:val="nil"/>
              <w:bottom w:val="single" w:sz="4" w:space="0" w:color="auto"/>
              <w:right w:val="single" w:sz="4" w:space="0" w:color="auto"/>
            </w:tcBorders>
            <w:shd w:val="clear" w:color="000000" w:fill="FFFF99"/>
            <w:noWrap/>
            <w:vAlign w:val="center"/>
            <w:hideMark/>
          </w:tcPr>
          <w:p w14:paraId="1B5B7529" w14:textId="77777777" w:rsidR="00061543" w:rsidRPr="00061543" w:rsidRDefault="00061543" w:rsidP="00061543">
            <w:pPr>
              <w:spacing w:after="0" w:line="240" w:lineRule="auto"/>
              <w:jc w:val="center"/>
              <w:rPr>
                <w:rFonts w:ascii="Tahoma" w:eastAsia="Times New Roman" w:hAnsi="Tahoma" w:cs="Tahoma"/>
                <w:sz w:val="18"/>
                <w:szCs w:val="18"/>
                <w:lang w:eastAsia="hr-HR"/>
              </w:rPr>
            </w:pPr>
            <w:r w:rsidRPr="00061543">
              <w:rPr>
                <w:rFonts w:ascii="Tahoma" w:eastAsia="Times New Roman" w:hAnsi="Tahoma" w:cs="Tahoma"/>
                <w:sz w:val="18"/>
                <w:szCs w:val="18"/>
                <w:lang w:eastAsia="hr-HR"/>
              </w:rPr>
              <w:t>1</w:t>
            </w:r>
          </w:p>
        </w:tc>
        <w:tc>
          <w:tcPr>
            <w:tcW w:w="446" w:type="dxa"/>
            <w:tcBorders>
              <w:top w:val="nil"/>
              <w:left w:val="nil"/>
              <w:bottom w:val="single" w:sz="4" w:space="0" w:color="auto"/>
              <w:right w:val="single" w:sz="4" w:space="0" w:color="auto"/>
            </w:tcBorders>
            <w:shd w:val="clear" w:color="000000" w:fill="FFFF99"/>
            <w:noWrap/>
            <w:vAlign w:val="center"/>
            <w:hideMark/>
          </w:tcPr>
          <w:p w14:paraId="1EAA601E" w14:textId="77777777" w:rsidR="00061543" w:rsidRPr="00061543" w:rsidRDefault="00061543" w:rsidP="00061543">
            <w:pPr>
              <w:spacing w:after="0" w:line="240" w:lineRule="auto"/>
              <w:jc w:val="center"/>
              <w:rPr>
                <w:rFonts w:ascii="Tahoma" w:eastAsia="Times New Roman" w:hAnsi="Tahoma" w:cs="Tahoma"/>
                <w:sz w:val="18"/>
                <w:szCs w:val="18"/>
                <w:lang w:eastAsia="hr-HR"/>
              </w:rPr>
            </w:pPr>
            <w:r w:rsidRPr="00061543">
              <w:rPr>
                <w:rFonts w:ascii="Tahoma" w:eastAsia="Times New Roman" w:hAnsi="Tahoma" w:cs="Tahoma"/>
                <w:sz w:val="18"/>
                <w:szCs w:val="18"/>
                <w:lang w:eastAsia="hr-HR"/>
              </w:rPr>
              <w:t>1</w:t>
            </w:r>
          </w:p>
        </w:tc>
        <w:tc>
          <w:tcPr>
            <w:tcW w:w="567" w:type="dxa"/>
            <w:tcBorders>
              <w:top w:val="nil"/>
              <w:left w:val="nil"/>
              <w:bottom w:val="single" w:sz="4" w:space="0" w:color="auto"/>
              <w:right w:val="single" w:sz="4" w:space="0" w:color="auto"/>
            </w:tcBorders>
            <w:shd w:val="clear" w:color="000000" w:fill="FFFF99"/>
            <w:noWrap/>
            <w:vAlign w:val="center"/>
            <w:hideMark/>
          </w:tcPr>
          <w:p w14:paraId="0936178C" w14:textId="77777777" w:rsidR="00061543" w:rsidRPr="00061543" w:rsidRDefault="00061543" w:rsidP="00061543">
            <w:pPr>
              <w:spacing w:after="0" w:line="240" w:lineRule="auto"/>
              <w:jc w:val="center"/>
              <w:rPr>
                <w:rFonts w:ascii="Tahoma" w:eastAsia="Times New Roman" w:hAnsi="Tahoma" w:cs="Tahoma"/>
                <w:sz w:val="18"/>
                <w:szCs w:val="18"/>
                <w:lang w:eastAsia="hr-HR"/>
              </w:rPr>
            </w:pPr>
            <w:r w:rsidRPr="00061543">
              <w:rPr>
                <w:rFonts w:ascii="Tahoma" w:eastAsia="Times New Roman" w:hAnsi="Tahoma" w:cs="Tahoma"/>
                <w:sz w:val="18"/>
                <w:szCs w:val="18"/>
                <w:lang w:eastAsia="hr-HR"/>
              </w:rPr>
              <w:t>0</w:t>
            </w:r>
          </w:p>
        </w:tc>
        <w:tc>
          <w:tcPr>
            <w:tcW w:w="468" w:type="dxa"/>
            <w:tcBorders>
              <w:top w:val="nil"/>
              <w:left w:val="nil"/>
              <w:bottom w:val="single" w:sz="4" w:space="0" w:color="auto"/>
              <w:right w:val="single" w:sz="4" w:space="0" w:color="auto"/>
            </w:tcBorders>
            <w:shd w:val="clear" w:color="000000" w:fill="FFFF99"/>
            <w:noWrap/>
            <w:vAlign w:val="center"/>
            <w:hideMark/>
          </w:tcPr>
          <w:p w14:paraId="7B32159F" w14:textId="77777777" w:rsidR="00061543" w:rsidRPr="00061543" w:rsidRDefault="00061543" w:rsidP="00061543">
            <w:pPr>
              <w:spacing w:after="0" w:line="240" w:lineRule="auto"/>
              <w:jc w:val="center"/>
              <w:rPr>
                <w:rFonts w:ascii="Tahoma" w:eastAsia="Times New Roman" w:hAnsi="Tahoma" w:cs="Tahoma"/>
                <w:sz w:val="18"/>
                <w:szCs w:val="18"/>
                <w:lang w:eastAsia="hr-HR"/>
              </w:rPr>
            </w:pPr>
            <w:r w:rsidRPr="00061543">
              <w:rPr>
                <w:rFonts w:ascii="Tahoma" w:eastAsia="Times New Roman" w:hAnsi="Tahoma" w:cs="Tahoma"/>
                <w:sz w:val="18"/>
                <w:szCs w:val="18"/>
                <w:lang w:eastAsia="hr-HR"/>
              </w:rPr>
              <w:t>0</w:t>
            </w:r>
          </w:p>
        </w:tc>
        <w:tc>
          <w:tcPr>
            <w:tcW w:w="808" w:type="dxa"/>
            <w:tcBorders>
              <w:top w:val="nil"/>
              <w:left w:val="nil"/>
              <w:bottom w:val="single" w:sz="4" w:space="0" w:color="auto"/>
              <w:right w:val="single" w:sz="4" w:space="0" w:color="auto"/>
            </w:tcBorders>
            <w:shd w:val="clear" w:color="000000" w:fill="FFFF99"/>
            <w:noWrap/>
            <w:vAlign w:val="center"/>
            <w:hideMark/>
          </w:tcPr>
          <w:p w14:paraId="4B7464B4" w14:textId="77777777" w:rsidR="00061543" w:rsidRPr="00061543" w:rsidRDefault="00061543" w:rsidP="00061543">
            <w:pPr>
              <w:spacing w:after="0" w:line="240" w:lineRule="auto"/>
              <w:jc w:val="center"/>
              <w:rPr>
                <w:rFonts w:ascii="Tahoma" w:eastAsia="Times New Roman" w:hAnsi="Tahoma" w:cs="Tahoma"/>
                <w:sz w:val="18"/>
                <w:szCs w:val="18"/>
                <w:lang w:eastAsia="hr-HR"/>
              </w:rPr>
            </w:pPr>
            <w:r w:rsidRPr="00061543">
              <w:rPr>
                <w:rFonts w:ascii="Tahoma" w:eastAsia="Times New Roman" w:hAnsi="Tahoma" w:cs="Tahoma"/>
                <w:sz w:val="18"/>
                <w:szCs w:val="18"/>
                <w:lang w:eastAsia="hr-HR"/>
              </w:rPr>
              <w:t>0</w:t>
            </w:r>
          </w:p>
        </w:tc>
        <w:tc>
          <w:tcPr>
            <w:tcW w:w="468" w:type="dxa"/>
            <w:gridSpan w:val="2"/>
            <w:tcBorders>
              <w:top w:val="nil"/>
              <w:left w:val="nil"/>
              <w:bottom w:val="single" w:sz="4" w:space="0" w:color="auto"/>
              <w:right w:val="single" w:sz="4" w:space="0" w:color="auto"/>
            </w:tcBorders>
            <w:shd w:val="clear" w:color="000000" w:fill="FF9900"/>
            <w:noWrap/>
            <w:vAlign w:val="center"/>
            <w:hideMark/>
          </w:tcPr>
          <w:p w14:paraId="4B48359E" w14:textId="77777777" w:rsidR="00061543" w:rsidRPr="00061543" w:rsidRDefault="00061543" w:rsidP="00061543">
            <w:pPr>
              <w:spacing w:after="0" w:line="240" w:lineRule="auto"/>
              <w:jc w:val="right"/>
              <w:rPr>
                <w:rFonts w:ascii="Tahoma" w:eastAsia="Times New Roman" w:hAnsi="Tahoma" w:cs="Tahoma"/>
                <w:sz w:val="18"/>
                <w:szCs w:val="18"/>
                <w:lang w:eastAsia="hr-HR"/>
              </w:rPr>
            </w:pPr>
            <w:r w:rsidRPr="00061543">
              <w:rPr>
                <w:rFonts w:ascii="Tahoma" w:eastAsia="Times New Roman" w:hAnsi="Tahoma" w:cs="Tahoma"/>
                <w:sz w:val="18"/>
                <w:szCs w:val="18"/>
                <w:lang w:eastAsia="hr-HR"/>
              </w:rPr>
              <w:t>1</w:t>
            </w:r>
          </w:p>
        </w:tc>
        <w:tc>
          <w:tcPr>
            <w:tcW w:w="524" w:type="dxa"/>
            <w:tcBorders>
              <w:top w:val="nil"/>
              <w:left w:val="nil"/>
              <w:bottom w:val="single" w:sz="4" w:space="0" w:color="auto"/>
              <w:right w:val="single" w:sz="4" w:space="0" w:color="auto"/>
            </w:tcBorders>
            <w:shd w:val="clear" w:color="000000" w:fill="FF9900"/>
            <w:noWrap/>
            <w:vAlign w:val="center"/>
            <w:hideMark/>
          </w:tcPr>
          <w:p w14:paraId="2C3DBB47" w14:textId="77777777" w:rsidR="00061543" w:rsidRPr="00061543" w:rsidRDefault="00061543" w:rsidP="00061543">
            <w:pPr>
              <w:spacing w:after="0" w:line="240" w:lineRule="auto"/>
              <w:jc w:val="right"/>
              <w:rPr>
                <w:rFonts w:ascii="Tahoma" w:eastAsia="Times New Roman" w:hAnsi="Tahoma" w:cs="Tahoma"/>
                <w:sz w:val="18"/>
                <w:szCs w:val="18"/>
                <w:lang w:eastAsia="hr-HR"/>
              </w:rPr>
            </w:pPr>
            <w:r w:rsidRPr="00061543">
              <w:rPr>
                <w:rFonts w:ascii="Tahoma" w:eastAsia="Times New Roman" w:hAnsi="Tahoma" w:cs="Tahoma"/>
                <w:sz w:val="18"/>
                <w:szCs w:val="18"/>
                <w:lang w:eastAsia="hr-HR"/>
              </w:rPr>
              <w:t>1</w:t>
            </w:r>
          </w:p>
        </w:tc>
        <w:tc>
          <w:tcPr>
            <w:tcW w:w="468" w:type="dxa"/>
            <w:tcBorders>
              <w:top w:val="nil"/>
              <w:left w:val="nil"/>
              <w:bottom w:val="single" w:sz="4" w:space="0" w:color="auto"/>
              <w:right w:val="single" w:sz="4" w:space="0" w:color="auto"/>
            </w:tcBorders>
            <w:shd w:val="clear" w:color="000000" w:fill="FF9900"/>
            <w:noWrap/>
            <w:vAlign w:val="center"/>
            <w:hideMark/>
          </w:tcPr>
          <w:p w14:paraId="57465434" w14:textId="77777777" w:rsidR="00061543" w:rsidRPr="00061543" w:rsidRDefault="00061543" w:rsidP="00061543">
            <w:pPr>
              <w:spacing w:after="0" w:line="240" w:lineRule="auto"/>
              <w:jc w:val="right"/>
              <w:rPr>
                <w:rFonts w:ascii="Tahoma" w:eastAsia="Times New Roman" w:hAnsi="Tahoma" w:cs="Tahoma"/>
                <w:sz w:val="18"/>
                <w:szCs w:val="18"/>
                <w:lang w:eastAsia="hr-HR"/>
              </w:rPr>
            </w:pPr>
            <w:r w:rsidRPr="00061543">
              <w:rPr>
                <w:rFonts w:ascii="Tahoma" w:eastAsia="Times New Roman" w:hAnsi="Tahoma" w:cs="Tahoma"/>
                <w:sz w:val="18"/>
                <w:szCs w:val="18"/>
                <w:lang w:eastAsia="hr-HR"/>
              </w:rPr>
              <w:t>0</w:t>
            </w:r>
          </w:p>
        </w:tc>
        <w:tc>
          <w:tcPr>
            <w:tcW w:w="468" w:type="dxa"/>
            <w:tcBorders>
              <w:top w:val="nil"/>
              <w:left w:val="nil"/>
              <w:bottom w:val="single" w:sz="4" w:space="0" w:color="auto"/>
              <w:right w:val="single" w:sz="4" w:space="0" w:color="auto"/>
            </w:tcBorders>
            <w:shd w:val="clear" w:color="000000" w:fill="FFFF00"/>
            <w:vAlign w:val="center"/>
            <w:hideMark/>
          </w:tcPr>
          <w:p w14:paraId="40193EAF" w14:textId="77777777" w:rsidR="00061543" w:rsidRPr="00061543" w:rsidRDefault="00061543" w:rsidP="00061543">
            <w:pPr>
              <w:spacing w:after="0" w:line="240" w:lineRule="auto"/>
              <w:jc w:val="center"/>
              <w:rPr>
                <w:rFonts w:ascii="Tahoma" w:eastAsia="Times New Roman" w:hAnsi="Tahoma" w:cs="Tahoma"/>
                <w:sz w:val="18"/>
                <w:szCs w:val="18"/>
                <w:lang w:eastAsia="hr-HR"/>
              </w:rPr>
            </w:pPr>
            <w:r w:rsidRPr="00061543">
              <w:rPr>
                <w:rFonts w:ascii="Tahoma" w:eastAsia="Times New Roman" w:hAnsi="Tahoma" w:cs="Tahoma"/>
                <w:sz w:val="18"/>
                <w:szCs w:val="18"/>
                <w:lang w:eastAsia="hr-HR"/>
              </w:rPr>
              <w:t>2</w:t>
            </w:r>
          </w:p>
        </w:tc>
        <w:tc>
          <w:tcPr>
            <w:tcW w:w="560" w:type="dxa"/>
            <w:gridSpan w:val="2"/>
            <w:tcBorders>
              <w:top w:val="nil"/>
              <w:left w:val="nil"/>
              <w:bottom w:val="single" w:sz="4" w:space="0" w:color="auto"/>
              <w:right w:val="single" w:sz="4" w:space="0" w:color="auto"/>
            </w:tcBorders>
            <w:shd w:val="clear" w:color="000000" w:fill="FF9900"/>
            <w:vAlign w:val="center"/>
            <w:hideMark/>
          </w:tcPr>
          <w:p w14:paraId="238699B7" w14:textId="77777777" w:rsidR="00061543" w:rsidRPr="00061543" w:rsidRDefault="00061543" w:rsidP="00061543">
            <w:pPr>
              <w:spacing w:after="0" w:line="240" w:lineRule="auto"/>
              <w:jc w:val="center"/>
              <w:rPr>
                <w:rFonts w:ascii="Tahoma" w:eastAsia="Times New Roman" w:hAnsi="Tahoma" w:cs="Tahoma"/>
                <w:sz w:val="18"/>
                <w:szCs w:val="18"/>
                <w:lang w:eastAsia="hr-HR"/>
              </w:rPr>
            </w:pPr>
            <w:r w:rsidRPr="00061543">
              <w:rPr>
                <w:rFonts w:ascii="Tahoma" w:eastAsia="Times New Roman" w:hAnsi="Tahoma" w:cs="Tahoma"/>
                <w:sz w:val="18"/>
                <w:szCs w:val="18"/>
                <w:lang w:eastAsia="hr-HR"/>
              </w:rPr>
              <w:t>5</w:t>
            </w:r>
          </w:p>
        </w:tc>
        <w:tc>
          <w:tcPr>
            <w:tcW w:w="905" w:type="dxa"/>
            <w:gridSpan w:val="2"/>
            <w:tcBorders>
              <w:top w:val="nil"/>
              <w:left w:val="nil"/>
              <w:bottom w:val="single" w:sz="4" w:space="0" w:color="auto"/>
              <w:right w:val="single" w:sz="4" w:space="0" w:color="auto"/>
            </w:tcBorders>
            <w:shd w:val="clear" w:color="000000" w:fill="FF9900"/>
            <w:vAlign w:val="center"/>
            <w:hideMark/>
          </w:tcPr>
          <w:p w14:paraId="7DC3C8A9" w14:textId="77777777" w:rsidR="00061543" w:rsidRPr="00061543" w:rsidRDefault="00061543" w:rsidP="00061543">
            <w:pPr>
              <w:spacing w:after="0" w:line="240" w:lineRule="auto"/>
              <w:jc w:val="center"/>
              <w:rPr>
                <w:rFonts w:ascii="Tahoma" w:eastAsia="Times New Roman" w:hAnsi="Tahoma" w:cs="Tahoma"/>
                <w:sz w:val="18"/>
                <w:szCs w:val="18"/>
                <w:lang w:eastAsia="hr-HR"/>
              </w:rPr>
            </w:pPr>
            <w:r w:rsidRPr="00061543">
              <w:rPr>
                <w:rFonts w:ascii="Tahoma" w:eastAsia="Times New Roman" w:hAnsi="Tahoma" w:cs="Tahoma"/>
                <w:sz w:val="18"/>
                <w:szCs w:val="18"/>
                <w:lang w:eastAsia="hr-HR"/>
              </w:rPr>
              <w:t>1</w:t>
            </w:r>
          </w:p>
        </w:tc>
        <w:tc>
          <w:tcPr>
            <w:tcW w:w="498" w:type="dxa"/>
            <w:tcBorders>
              <w:top w:val="nil"/>
              <w:left w:val="nil"/>
              <w:bottom w:val="single" w:sz="4" w:space="0" w:color="auto"/>
              <w:right w:val="single" w:sz="4" w:space="0" w:color="auto"/>
            </w:tcBorders>
            <w:shd w:val="clear" w:color="000000" w:fill="FF9900"/>
            <w:vAlign w:val="center"/>
            <w:hideMark/>
          </w:tcPr>
          <w:p w14:paraId="5AF5EAA9" w14:textId="77777777" w:rsidR="00061543" w:rsidRPr="00061543" w:rsidRDefault="00061543" w:rsidP="00061543">
            <w:pPr>
              <w:spacing w:after="0" w:line="240" w:lineRule="auto"/>
              <w:jc w:val="center"/>
              <w:rPr>
                <w:rFonts w:ascii="Tahoma" w:eastAsia="Times New Roman" w:hAnsi="Tahoma" w:cs="Tahoma"/>
                <w:sz w:val="18"/>
                <w:szCs w:val="18"/>
                <w:lang w:eastAsia="hr-HR"/>
              </w:rPr>
            </w:pPr>
            <w:r w:rsidRPr="00061543">
              <w:rPr>
                <w:rFonts w:ascii="Tahoma" w:eastAsia="Times New Roman" w:hAnsi="Tahoma" w:cs="Tahoma"/>
                <w:sz w:val="18"/>
                <w:szCs w:val="18"/>
                <w:lang w:eastAsia="hr-HR"/>
              </w:rPr>
              <w:t>0</w:t>
            </w:r>
          </w:p>
        </w:tc>
        <w:tc>
          <w:tcPr>
            <w:tcW w:w="1016" w:type="dxa"/>
            <w:gridSpan w:val="2"/>
            <w:tcBorders>
              <w:top w:val="nil"/>
              <w:left w:val="nil"/>
              <w:bottom w:val="single" w:sz="4" w:space="0" w:color="auto"/>
              <w:right w:val="single" w:sz="4" w:space="0" w:color="auto"/>
            </w:tcBorders>
            <w:shd w:val="clear" w:color="000000" w:fill="FF9900"/>
            <w:vAlign w:val="center"/>
            <w:hideMark/>
          </w:tcPr>
          <w:p w14:paraId="27384B8F" w14:textId="77777777" w:rsidR="00061543" w:rsidRPr="00061543" w:rsidRDefault="00061543" w:rsidP="00061543">
            <w:pPr>
              <w:spacing w:after="0" w:line="240" w:lineRule="auto"/>
              <w:jc w:val="center"/>
              <w:rPr>
                <w:rFonts w:ascii="Tahoma" w:eastAsia="Times New Roman" w:hAnsi="Tahoma" w:cs="Tahoma"/>
                <w:sz w:val="18"/>
                <w:szCs w:val="18"/>
                <w:lang w:eastAsia="hr-HR"/>
              </w:rPr>
            </w:pPr>
            <w:r w:rsidRPr="00061543">
              <w:rPr>
                <w:rFonts w:ascii="Tahoma" w:eastAsia="Times New Roman" w:hAnsi="Tahoma" w:cs="Tahoma"/>
                <w:sz w:val="18"/>
                <w:szCs w:val="18"/>
                <w:lang w:eastAsia="hr-HR"/>
              </w:rPr>
              <w:t>1</w:t>
            </w:r>
          </w:p>
        </w:tc>
        <w:tc>
          <w:tcPr>
            <w:tcW w:w="505" w:type="dxa"/>
            <w:gridSpan w:val="2"/>
            <w:tcBorders>
              <w:top w:val="nil"/>
              <w:left w:val="nil"/>
              <w:bottom w:val="single" w:sz="4" w:space="0" w:color="auto"/>
              <w:right w:val="single" w:sz="4" w:space="0" w:color="auto"/>
            </w:tcBorders>
            <w:shd w:val="clear" w:color="000000" w:fill="CCFFFF"/>
            <w:vAlign w:val="center"/>
            <w:hideMark/>
          </w:tcPr>
          <w:p w14:paraId="35B77196" w14:textId="77777777" w:rsidR="00061543" w:rsidRPr="00061543" w:rsidRDefault="00061543" w:rsidP="00061543">
            <w:pPr>
              <w:spacing w:after="0" w:line="240" w:lineRule="auto"/>
              <w:jc w:val="right"/>
              <w:rPr>
                <w:rFonts w:ascii="Tahoma" w:eastAsia="Times New Roman" w:hAnsi="Tahoma" w:cs="Tahoma"/>
                <w:sz w:val="18"/>
                <w:szCs w:val="18"/>
                <w:lang w:eastAsia="hr-HR"/>
              </w:rPr>
            </w:pPr>
            <w:r w:rsidRPr="00061543">
              <w:rPr>
                <w:rFonts w:ascii="Tahoma" w:eastAsia="Times New Roman" w:hAnsi="Tahoma" w:cs="Tahoma"/>
                <w:sz w:val="18"/>
                <w:szCs w:val="18"/>
                <w:lang w:eastAsia="hr-HR"/>
              </w:rPr>
              <w:t>0</w:t>
            </w:r>
          </w:p>
        </w:tc>
        <w:tc>
          <w:tcPr>
            <w:tcW w:w="468" w:type="dxa"/>
            <w:tcBorders>
              <w:top w:val="nil"/>
              <w:left w:val="nil"/>
              <w:bottom w:val="single" w:sz="4" w:space="0" w:color="auto"/>
              <w:right w:val="single" w:sz="4" w:space="0" w:color="auto"/>
            </w:tcBorders>
            <w:shd w:val="clear" w:color="000000" w:fill="CCFFFF"/>
            <w:vAlign w:val="center"/>
            <w:hideMark/>
          </w:tcPr>
          <w:p w14:paraId="598D49A7" w14:textId="77777777" w:rsidR="00061543" w:rsidRPr="00061543" w:rsidRDefault="00061543" w:rsidP="00061543">
            <w:pPr>
              <w:spacing w:after="0" w:line="240" w:lineRule="auto"/>
              <w:jc w:val="right"/>
              <w:rPr>
                <w:rFonts w:ascii="Tahoma" w:eastAsia="Times New Roman" w:hAnsi="Tahoma" w:cs="Tahoma"/>
                <w:sz w:val="18"/>
                <w:szCs w:val="18"/>
                <w:lang w:eastAsia="hr-HR"/>
              </w:rPr>
            </w:pPr>
            <w:r w:rsidRPr="00061543">
              <w:rPr>
                <w:rFonts w:ascii="Tahoma" w:eastAsia="Times New Roman" w:hAnsi="Tahoma" w:cs="Tahoma"/>
                <w:sz w:val="18"/>
                <w:szCs w:val="18"/>
                <w:lang w:eastAsia="hr-HR"/>
              </w:rPr>
              <w:t>1</w:t>
            </w:r>
          </w:p>
        </w:tc>
        <w:tc>
          <w:tcPr>
            <w:tcW w:w="336" w:type="dxa"/>
            <w:tcBorders>
              <w:top w:val="nil"/>
              <w:left w:val="nil"/>
              <w:bottom w:val="single" w:sz="4" w:space="0" w:color="auto"/>
              <w:right w:val="single" w:sz="4" w:space="0" w:color="auto"/>
            </w:tcBorders>
            <w:shd w:val="clear" w:color="000000" w:fill="CCFFFF"/>
            <w:noWrap/>
            <w:vAlign w:val="center"/>
            <w:hideMark/>
          </w:tcPr>
          <w:p w14:paraId="1C4F746C" w14:textId="77777777" w:rsidR="00061543" w:rsidRPr="00061543" w:rsidRDefault="00061543" w:rsidP="00061543">
            <w:pPr>
              <w:spacing w:after="0" w:line="240" w:lineRule="auto"/>
              <w:jc w:val="right"/>
              <w:rPr>
                <w:rFonts w:ascii="Tahoma" w:eastAsia="Times New Roman" w:hAnsi="Tahoma" w:cs="Tahoma"/>
                <w:sz w:val="18"/>
                <w:szCs w:val="18"/>
                <w:lang w:eastAsia="hr-HR"/>
              </w:rPr>
            </w:pPr>
            <w:r w:rsidRPr="00061543">
              <w:rPr>
                <w:rFonts w:ascii="Tahoma" w:eastAsia="Times New Roman" w:hAnsi="Tahoma" w:cs="Tahoma"/>
                <w:sz w:val="18"/>
                <w:szCs w:val="18"/>
                <w:lang w:eastAsia="hr-HR"/>
              </w:rPr>
              <w:t>0</w:t>
            </w:r>
          </w:p>
        </w:tc>
        <w:tc>
          <w:tcPr>
            <w:tcW w:w="426" w:type="dxa"/>
            <w:tcBorders>
              <w:top w:val="nil"/>
              <w:left w:val="nil"/>
              <w:bottom w:val="single" w:sz="4" w:space="0" w:color="auto"/>
              <w:right w:val="single" w:sz="4" w:space="0" w:color="auto"/>
            </w:tcBorders>
            <w:shd w:val="clear" w:color="000000" w:fill="33CCCC"/>
            <w:noWrap/>
            <w:vAlign w:val="center"/>
            <w:hideMark/>
          </w:tcPr>
          <w:p w14:paraId="2F32042A" w14:textId="77777777" w:rsidR="00061543" w:rsidRPr="00061543" w:rsidRDefault="00061543" w:rsidP="00061543">
            <w:pPr>
              <w:spacing w:after="0" w:line="240" w:lineRule="auto"/>
              <w:jc w:val="right"/>
              <w:rPr>
                <w:rFonts w:ascii="Tahoma" w:eastAsia="Times New Roman" w:hAnsi="Tahoma" w:cs="Tahoma"/>
                <w:sz w:val="18"/>
                <w:szCs w:val="18"/>
                <w:lang w:eastAsia="hr-HR"/>
              </w:rPr>
            </w:pPr>
            <w:r w:rsidRPr="00061543">
              <w:rPr>
                <w:rFonts w:ascii="Tahoma" w:eastAsia="Times New Roman" w:hAnsi="Tahoma" w:cs="Tahoma"/>
                <w:sz w:val="18"/>
                <w:szCs w:val="18"/>
                <w:lang w:eastAsia="hr-HR"/>
              </w:rPr>
              <w:t>0</w:t>
            </w:r>
          </w:p>
        </w:tc>
        <w:tc>
          <w:tcPr>
            <w:tcW w:w="473" w:type="dxa"/>
            <w:tcBorders>
              <w:top w:val="nil"/>
              <w:left w:val="nil"/>
              <w:bottom w:val="single" w:sz="4" w:space="0" w:color="auto"/>
              <w:right w:val="single" w:sz="8" w:space="0" w:color="auto"/>
            </w:tcBorders>
            <w:shd w:val="clear" w:color="000000" w:fill="33CCCC"/>
            <w:noWrap/>
            <w:vAlign w:val="center"/>
            <w:hideMark/>
          </w:tcPr>
          <w:p w14:paraId="2CD68A30" w14:textId="77777777" w:rsidR="00061543" w:rsidRPr="00061543" w:rsidRDefault="00061543" w:rsidP="00061543">
            <w:pPr>
              <w:spacing w:after="0" w:line="240" w:lineRule="auto"/>
              <w:jc w:val="right"/>
              <w:rPr>
                <w:rFonts w:ascii="Tahoma" w:eastAsia="Times New Roman" w:hAnsi="Tahoma" w:cs="Tahoma"/>
                <w:sz w:val="18"/>
                <w:szCs w:val="18"/>
                <w:lang w:eastAsia="hr-HR"/>
              </w:rPr>
            </w:pPr>
            <w:r w:rsidRPr="00061543">
              <w:rPr>
                <w:rFonts w:ascii="Tahoma" w:eastAsia="Times New Roman" w:hAnsi="Tahoma" w:cs="Tahoma"/>
                <w:sz w:val="18"/>
                <w:szCs w:val="18"/>
                <w:lang w:eastAsia="hr-HR"/>
              </w:rPr>
              <w:t>2</w:t>
            </w:r>
          </w:p>
        </w:tc>
        <w:tc>
          <w:tcPr>
            <w:tcW w:w="236" w:type="dxa"/>
            <w:gridSpan w:val="3"/>
            <w:vAlign w:val="center"/>
            <w:hideMark/>
          </w:tcPr>
          <w:p w14:paraId="3D801F7D" w14:textId="77777777" w:rsidR="00061543" w:rsidRPr="00061543" w:rsidRDefault="00061543" w:rsidP="00061543">
            <w:pPr>
              <w:spacing w:after="0" w:line="240" w:lineRule="auto"/>
              <w:rPr>
                <w:rFonts w:ascii="Times New Roman" w:eastAsia="Times New Roman" w:hAnsi="Times New Roman" w:cs="Times New Roman"/>
                <w:sz w:val="18"/>
                <w:szCs w:val="18"/>
                <w:lang w:eastAsia="hr-HR"/>
              </w:rPr>
            </w:pPr>
          </w:p>
        </w:tc>
      </w:tr>
      <w:tr w:rsidR="00061543" w:rsidRPr="00061543" w14:paraId="41B2CC35" w14:textId="77777777" w:rsidTr="00061543">
        <w:trPr>
          <w:gridAfter w:val="2"/>
          <w:wAfter w:w="101" w:type="dxa"/>
          <w:trHeight w:val="420"/>
        </w:trPr>
        <w:tc>
          <w:tcPr>
            <w:tcW w:w="1576" w:type="dxa"/>
            <w:tcBorders>
              <w:top w:val="single" w:sz="4" w:space="0" w:color="auto"/>
              <w:left w:val="single" w:sz="8" w:space="0" w:color="auto"/>
              <w:bottom w:val="single" w:sz="4" w:space="0" w:color="auto"/>
              <w:right w:val="single" w:sz="4" w:space="0" w:color="auto"/>
            </w:tcBorders>
            <w:shd w:val="clear" w:color="000000" w:fill="CCFFCC"/>
            <w:vAlign w:val="center"/>
            <w:hideMark/>
          </w:tcPr>
          <w:p w14:paraId="294268BD" w14:textId="77777777" w:rsidR="00061543" w:rsidRPr="00061543" w:rsidRDefault="00061543" w:rsidP="00061543">
            <w:pPr>
              <w:spacing w:after="0" w:line="240" w:lineRule="auto"/>
              <w:rPr>
                <w:rFonts w:ascii="Tahoma" w:eastAsia="Times New Roman" w:hAnsi="Tahoma" w:cs="Tahoma"/>
                <w:sz w:val="18"/>
                <w:szCs w:val="18"/>
                <w:lang w:eastAsia="hr-HR"/>
              </w:rPr>
            </w:pPr>
            <w:r w:rsidRPr="00061543">
              <w:rPr>
                <w:rFonts w:ascii="Tahoma" w:eastAsia="Times New Roman" w:hAnsi="Tahoma" w:cs="Tahoma"/>
                <w:sz w:val="18"/>
                <w:szCs w:val="18"/>
                <w:lang w:eastAsia="hr-HR"/>
              </w:rPr>
              <w:t>Spol</w:t>
            </w:r>
          </w:p>
        </w:tc>
        <w:tc>
          <w:tcPr>
            <w:tcW w:w="560" w:type="dxa"/>
            <w:tcBorders>
              <w:top w:val="nil"/>
              <w:left w:val="nil"/>
              <w:bottom w:val="single" w:sz="4" w:space="0" w:color="auto"/>
              <w:right w:val="single" w:sz="4" w:space="0" w:color="auto"/>
            </w:tcBorders>
            <w:shd w:val="clear" w:color="000000" w:fill="FFCC99"/>
            <w:noWrap/>
            <w:vAlign w:val="center"/>
            <w:hideMark/>
          </w:tcPr>
          <w:p w14:paraId="73B8F0C0" w14:textId="77777777" w:rsidR="00061543" w:rsidRPr="00061543" w:rsidRDefault="00061543" w:rsidP="00061543">
            <w:pPr>
              <w:spacing w:after="0" w:line="240" w:lineRule="auto"/>
              <w:jc w:val="center"/>
              <w:rPr>
                <w:rFonts w:ascii="Tahoma" w:eastAsia="Times New Roman" w:hAnsi="Tahoma" w:cs="Tahoma"/>
                <w:sz w:val="18"/>
                <w:szCs w:val="18"/>
                <w:lang w:eastAsia="hr-HR"/>
              </w:rPr>
            </w:pPr>
            <w:r w:rsidRPr="00061543">
              <w:rPr>
                <w:rFonts w:ascii="Tahoma" w:eastAsia="Times New Roman" w:hAnsi="Tahoma" w:cs="Tahoma"/>
                <w:sz w:val="18"/>
                <w:szCs w:val="18"/>
                <w:lang w:eastAsia="hr-HR"/>
              </w:rPr>
              <w:t>15</w:t>
            </w:r>
          </w:p>
        </w:tc>
        <w:tc>
          <w:tcPr>
            <w:tcW w:w="446" w:type="dxa"/>
            <w:tcBorders>
              <w:top w:val="nil"/>
              <w:left w:val="nil"/>
              <w:bottom w:val="single" w:sz="4" w:space="0" w:color="auto"/>
              <w:right w:val="single" w:sz="4" w:space="0" w:color="auto"/>
            </w:tcBorders>
            <w:shd w:val="clear" w:color="000000" w:fill="FFFF00"/>
            <w:noWrap/>
            <w:vAlign w:val="center"/>
            <w:hideMark/>
          </w:tcPr>
          <w:p w14:paraId="18F8EAA4" w14:textId="77777777" w:rsidR="00061543" w:rsidRPr="00061543" w:rsidRDefault="00061543" w:rsidP="00061543">
            <w:pPr>
              <w:spacing w:after="0" w:line="240" w:lineRule="auto"/>
              <w:jc w:val="center"/>
              <w:rPr>
                <w:rFonts w:ascii="Tahoma" w:eastAsia="Times New Roman" w:hAnsi="Tahoma" w:cs="Tahoma"/>
                <w:sz w:val="18"/>
                <w:szCs w:val="18"/>
                <w:lang w:eastAsia="hr-HR"/>
              </w:rPr>
            </w:pPr>
            <w:r w:rsidRPr="00061543">
              <w:rPr>
                <w:rFonts w:ascii="Tahoma" w:eastAsia="Times New Roman" w:hAnsi="Tahoma" w:cs="Tahoma"/>
                <w:sz w:val="18"/>
                <w:szCs w:val="18"/>
                <w:lang w:eastAsia="hr-HR"/>
              </w:rPr>
              <w:t>8</w:t>
            </w:r>
          </w:p>
        </w:tc>
        <w:tc>
          <w:tcPr>
            <w:tcW w:w="787" w:type="dxa"/>
            <w:tcBorders>
              <w:top w:val="nil"/>
              <w:left w:val="nil"/>
              <w:bottom w:val="single" w:sz="4" w:space="0" w:color="auto"/>
              <w:right w:val="single" w:sz="4" w:space="0" w:color="auto"/>
            </w:tcBorders>
            <w:shd w:val="clear" w:color="000000" w:fill="CCFFFF"/>
            <w:vAlign w:val="center"/>
            <w:hideMark/>
          </w:tcPr>
          <w:p w14:paraId="204E56D8" w14:textId="77777777" w:rsidR="00061543" w:rsidRPr="00061543" w:rsidRDefault="00061543" w:rsidP="00061543">
            <w:pPr>
              <w:spacing w:after="0" w:line="240" w:lineRule="auto"/>
              <w:jc w:val="right"/>
              <w:rPr>
                <w:rFonts w:ascii="Tahoma" w:eastAsia="Times New Roman" w:hAnsi="Tahoma" w:cs="Tahoma"/>
                <w:sz w:val="18"/>
                <w:szCs w:val="18"/>
                <w:lang w:eastAsia="hr-HR"/>
              </w:rPr>
            </w:pPr>
            <w:r w:rsidRPr="00061543">
              <w:rPr>
                <w:rFonts w:ascii="Tahoma" w:eastAsia="Times New Roman" w:hAnsi="Tahoma" w:cs="Tahoma"/>
                <w:sz w:val="18"/>
                <w:szCs w:val="18"/>
                <w:lang w:eastAsia="hr-HR"/>
              </w:rPr>
              <w:t>7</w:t>
            </w:r>
          </w:p>
        </w:tc>
        <w:tc>
          <w:tcPr>
            <w:tcW w:w="581" w:type="dxa"/>
            <w:tcBorders>
              <w:top w:val="nil"/>
              <w:left w:val="nil"/>
              <w:bottom w:val="single" w:sz="4" w:space="0" w:color="auto"/>
              <w:right w:val="single" w:sz="4" w:space="0" w:color="auto"/>
            </w:tcBorders>
            <w:shd w:val="clear" w:color="000000" w:fill="CCFFFF"/>
            <w:noWrap/>
            <w:vAlign w:val="center"/>
            <w:hideMark/>
          </w:tcPr>
          <w:p w14:paraId="786657F5" w14:textId="77777777" w:rsidR="00061543" w:rsidRPr="00061543" w:rsidRDefault="00061543" w:rsidP="00061543">
            <w:pPr>
              <w:spacing w:after="0" w:line="240" w:lineRule="auto"/>
              <w:jc w:val="right"/>
              <w:rPr>
                <w:rFonts w:ascii="Tahoma" w:eastAsia="Times New Roman" w:hAnsi="Tahoma" w:cs="Tahoma"/>
                <w:sz w:val="18"/>
                <w:szCs w:val="18"/>
                <w:lang w:eastAsia="hr-HR"/>
              </w:rPr>
            </w:pPr>
            <w:r w:rsidRPr="00061543">
              <w:rPr>
                <w:rFonts w:ascii="Tahoma" w:eastAsia="Times New Roman" w:hAnsi="Tahoma" w:cs="Tahoma"/>
                <w:sz w:val="18"/>
                <w:szCs w:val="18"/>
                <w:lang w:eastAsia="hr-HR"/>
              </w:rPr>
              <w:t>2</w:t>
            </w:r>
          </w:p>
        </w:tc>
        <w:tc>
          <w:tcPr>
            <w:tcW w:w="446" w:type="dxa"/>
            <w:tcBorders>
              <w:top w:val="nil"/>
              <w:left w:val="nil"/>
              <w:bottom w:val="single" w:sz="4" w:space="0" w:color="auto"/>
              <w:right w:val="single" w:sz="4" w:space="0" w:color="auto"/>
            </w:tcBorders>
            <w:shd w:val="clear" w:color="000000" w:fill="FFFF99"/>
            <w:noWrap/>
            <w:vAlign w:val="center"/>
            <w:hideMark/>
          </w:tcPr>
          <w:p w14:paraId="09495AC0" w14:textId="77777777" w:rsidR="00061543" w:rsidRPr="00061543" w:rsidRDefault="00061543" w:rsidP="00061543">
            <w:pPr>
              <w:spacing w:after="0" w:line="240" w:lineRule="auto"/>
              <w:jc w:val="center"/>
              <w:rPr>
                <w:rFonts w:ascii="Tahoma" w:eastAsia="Times New Roman" w:hAnsi="Tahoma" w:cs="Tahoma"/>
                <w:sz w:val="18"/>
                <w:szCs w:val="18"/>
                <w:lang w:eastAsia="hr-HR"/>
              </w:rPr>
            </w:pPr>
            <w:r w:rsidRPr="00061543">
              <w:rPr>
                <w:rFonts w:ascii="Tahoma" w:eastAsia="Times New Roman" w:hAnsi="Tahoma" w:cs="Tahoma"/>
                <w:sz w:val="18"/>
                <w:szCs w:val="18"/>
                <w:lang w:eastAsia="hr-HR"/>
              </w:rPr>
              <w:t>7</w:t>
            </w:r>
          </w:p>
        </w:tc>
        <w:tc>
          <w:tcPr>
            <w:tcW w:w="697" w:type="dxa"/>
            <w:tcBorders>
              <w:top w:val="nil"/>
              <w:left w:val="nil"/>
              <w:bottom w:val="single" w:sz="4" w:space="0" w:color="auto"/>
              <w:right w:val="single" w:sz="4" w:space="0" w:color="auto"/>
            </w:tcBorders>
            <w:shd w:val="clear" w:color="000000" w:fill="FFFF99"/>
            <w:noWrap/>
            <w:vAlign w:val="center"/>
            <w:hideMark/>
          </w:tcPr>
          <w:p w14:paraId="5E2B3E42" w14:textId="77777777" w:rsidR="00061543" w:rsidRPr="00061543" w:rsidRDefault="00061543" w:rsidP="00061543">
            <w:pPr>
              <w:spacing w:after="0" w:line="240" w:lineRule="auto"/>
              <w:jc w:val="center"/>
              <w:rPr>
                <w:rFonts w:ascii="Tahoma" w:eastAsia="Times New Roman" w:hAnsi="Tahoma" w:cs="Tahoma"/>
                <w:sz w:val="18"/>
                <w:szCs w:val="18"/>
                <w:lang w:eastAsia="hr-HR"/>
              </w:rPr>
            </w:pPr>
            <w:r w:rsidRPr="00061543">
              <w:rPr>
                <w:rFonts w:ascii="Tahoma" w:eastAsia="Times New Roman" w:hAnsi="Tahoma" w:cs="Tahoma"/>
                <w:sz w:val="18"/>
                <w:szCs w:val="18"/>
                <w:lang w:eastAsia="hr-HR"/>
              </w:rPr>
              <w:t>7</w:t>
            </w:r>
          </w:p>
        </w:tc>
        <w:tc>
          <w:tcPr>
            <w:tcW w:w="446" w:type="dxa"/>
            <w:tcBorders>
              <w:top w:val="nil"/>
              <w:left w:val="nil"/>
              <w:bottom w:val="single" w:sz="4" w:space="0" w:color="auto"/>
              <w:right w:val="single" w:sz="4" w:space="0" w:color="auto"/>
            </w:tcBorders>
            <w:shd w:val="clear" w:color="000000" w:fill="FFFF99"/>
            <w:noWrap/>
            <w:vAlign w:val="center"/>
            <w:hideMark/>
          </w:tcPr>
          <w:p w14:paraId="3C0040E5" w14:textId="77777777" w:rsidR="00061543" w:rsidRPr="00061543" w:rsidRDefault="00061543" w:rsidP="00061543">
            <w:pPr>
              <w:spacing w:after="0" w:line="240" w:lineRule="auto"/>
              <w:jc w:val="center"/>
              <w:rPr>
                <w:rFonts w:ascii="Tahoma" w:eastAsia="Times New Roman" w:hAnsi="Tahoma" w:cs="Tahoma"/>
                <w:sz w:val="18"/>
                <w:szCs w:val="18"/>
                <w:lang w:eastAsia="hr-HR"/>
              </w:rPr>
            </w:pPr>
            <w:r w:rsidRPr="00061543">
              <w:rPr>
                <w:rFonts w:ascii="Tahoma" w:eastAsia="Times New Roman" w:hAnsi="Tahoma" w:cs="Tahoma"/>
                <w:sz w:val="18"/>
                <w:szCs w:val="18"/>
                <w:lang w:eastAsia="hr-HR"/>
              </w:rPr>
              <w:t>6</w:t>
            </w:r>
          </w:p>
        </w:tc>
        <w:tc>
          <w:tcPr>
            <w:tcW w:w="567" w:type="dxa"/>
            <w:tcBorders>
              <w:top w:val="nil"/>
              <w:left w:val="nil"/>
              <w:bottom w:val="single" w:sz="4" w:space="0" w:color="auto"/>
              <w:right w:val="single" w:sz="4" w:space="0" w:color="auto"/>
            </w:tcBorders>
            <w:shd w:val="clear" w:color="000000" w:fill="FFFF99"/>
            <w:noWrap/>
            <w:vAlign w:val="center"/>
            <w:hideMark/>
          </w:tcPr>
          <w:p w14:paraId="70C65FA4" w14:textId="77777777" w:rsidR="00061543" w:rsidRPr="00061543" w:rsidRDefault="00061543" w:rsidP="00061543">
            <w:pPr>
              <w:spacing w:after="0" w:line="240" w:lineRule="auto"/>
              <w:jc w:val="center"/>
              <w:rPr>
                <w:rFonts w:ascii="Tahoma" w:eastAsia="Times New Roman" w:hAnsi="Tahoma" w:cs="Tahoma"/>
                <w:sz w:val="18"/>
                <w:szCs w:val="18"/>
                <w:lang w:eastAsia="hr-HR"/>
              </w:rPr>
            </w:pPr>
            <w:r w:rsidRPr="00061543">
              <w:rPr>
                <w:rFonts w:ascii="Tahoma" w:eastAsia="Times New Roman" w:hAnsi="Tahoma" w:cs="Tahoma"/>
                <w:sz w:val="18"/>
                <w:szCs w:val="18"/>
                <w:lang w:eastAsia="hr-HR"/>
              </w:rPr>
              <w:t>0</w:t>
            </w:r>
          </w:p>
        </w:tc>
        <w:tc>
          <w:tcPr>
            <w:tcW w:w="468" w:type="dxa"/>
            <w:tcBorders>
              <w:top w:val="nil"/>
              <w:left w:val="nil"/>
              <w:bottom w:val="single" w:sz="4" w:space="0" w:color="auto"/>
              <w:right w:val="single" w:sz="4" w:space="0" w:color="auto"/>
            </w:tcBorders>
            <w:shd w:val="clear" w:color="000000" w:fill="FFFF99"/>
            <w:noWrap/>
            <w:vAlign w:val="center"/>
            <w:hideMark/>
          </w:tcPr>
          <w:p w14:paraId="054FF73D" w14:textId="77777777" w:rsidR="00061543" w:rsidRPr="00061543" w:rsidRDefault="00061543" w:rsidP="00061543">
            <w:pPr>
              <w:spacing w:after="0" w:line="240" w:lineRule="auto"/>
              <w:jc w:val="center"/>
              <w:rPr>
                <w:rFonts w:ascii="Tahoma" w:eastAsia="Times New Roman" w:hAnsi="Tahoma" w:cs="Tahoma"/>
                <w:sz w:val="18"/>
                <w:szCs w:val="18"/>
                <w:lang w:eastAsia="hr-HR"/>
              </w:rPr>
            </w:pPr>
            <w:r w:rsidRPr="00061543">
              <w:rPr>
                <w:rFonts w:ascii="Tahoma" w:eastAsia="Times New Roman" w:hAnsi="Tahoma" w:cs="Tahoma"/>
                <w:sz w:val="18"/>
                <w:szCs w:val="18"/>
                <w:lang w:eastAsia="hr-HR"/>
              </w:rPr>
              <w:t>0</w:t>
            </w:r>
          </w:p>
        </w:tc>
        <w:tc>
          <w:tcPr>
            <w:tcW w:w="808" w:type="dxa"/>
            <w:tcBorders>
              <w:top w:val="nil"/>
              <w:left w:val="nil"/>
              <w:bottom w:val="single" w:sz="4" w:space="0" w:color="auto"/>
              <w:right w:val="single" w:sz="4" w:space="0" w:color="auto"/>
            </w:tcBorders>
            <w:shd w:val="clear" w:color="000000" w:fill="FFFF99"/>
            <w:noWrap/>
            <w:vAlign w:val="center"/>
            <w:hideMark/>
          </w:tcPr>
          <w:p w14:paraId="67CC9EEC" w14:textId="77777777" w:rsidR="00061543" w:rsidRPr="00061543" w:rsidRDefault="00061543" w:rsidP="00061543">
            <w:pPr>
              <w:spacing w:after="0" w:line="240" w:lineRule="auto"/>
              <w:jc w:val="center"/>
              <w:rPr>
                <w:rFonts w:ascii="Tahoma" w:eastAsia="Times New Roman" w:hAnsi="Tahoma" w:cs="Tahoma"/>
                <w:sz w:val="18"/>
                <w:szCs w:val="18"/>
                <w:lang w:eastAsia="hr-HR"/>
              </w:rPr>
            </w:pPr>
            <w:r w:rsidRPr="00061543">
              <w:rPr>
                <w:rFonts w:ascii="Tahoma" w:eastAsia="Times New Roman" w:hAnsi="Tahoma" w:cs="Tahoma"/>
                <w:sz w:val="18"/>
                <w:szCs w:val="18"/>
                <w:lang w:eastAsia="hr-HR"/>
              </w:rPr>
              <w:t>1</w:t>
            </w:r>
          </w:p>
        </w:tc>
        <w:tc>
          <w:tcPr>
            <w:tcW w:w="468" w:type="dxa"/>
            <w:gridSpan w:val="2"/>
            <w:tcBorders>
              <w:top w:val="nil"/>
              <w:left w:val="nil"/>
              <w:bottom w:val="single" w:sz="4" w:space="0" w:color="auto"/>
              <w:right w:val="single" w:sz="4" w:space="0" w:color="auto"/>
            </w:tcBorders>
            <w:shd w:val="clear" w:color="000000" w:fill="FF9900"/>
            <w:noWrap/>
            <w:vAlign w:val="center"/>
            <w:hideMark/>
          </w:tcPr>
          <w:p w14:paraId="2FF9B3AE" w14:textId="77777777" w:rsidR="00061543" w:rsidRPr="00061543" w:rsidRDefault="00061543" w:rsidP="00061543">
            <w:pPr>
              <w:spacing w:after="0" w:line="240" w:lineRule="auto"/>
              <w:jc w:val="right"/>
              <w:rPr>
                <w:rFonts w:ascii="Tahoma" w:eastAsia="Times New Roman" w:hAnsi="Tahoma" w:cs="Tahoma"/>
                <w:sz w:val="18"/>
                <w:szCs w:val="18"/>
                <w:lang w:eastAsia="hr-HR"/>
              </w:rPr>
            </w:pPr>
            <w:r w:rsidRPr="00061543">
              <w:rPr>
                <w:rFonts w:ascii="Tahoma" w:eastAsia="Times New Roman" w:hAnsi="Tahoma" w:cs="Tahoma"/>
                <w:sz w:val="18"/>
                <w:szCs w:val="18"/>
                <w:lang w:eastAsia="hr-HR"/>
              </w:rPr>
              <w:t>1</w:t>
            </w:r>
          </w:p>
        </w:tc>
        <w:tc>
          <w:tcPr>
            <w:tcW w:w="524" w:type="dxa"/>
            <w:tcBorders>
              <w:top w:val="nil"/>
              <w:left w:val="nil"/>
              <w:bottom w:val="single" w:sz="4" w:space="0" w:color="auto"/>
              <w:right w:val="single" w:sz="4" w:space="0" w:color="auto"/>
            </w:tcBorders>
            <w:shd w:val="clear" w:color="000000" w:fill="FF9900"/>
            <w:noWrap/>
            <w:vAlign w:val="center"/>
            <w:hideMark/>
          </w:tcPr>
          <w:p w14:paraId="196EDBED" w14:textId="77777777" w:rsidR="00061543" w:rsidRPr="00061543" w:rsidRDefault="00061543" w:rsidP="00061543">
            <w:pPr>
              <w:spacing w:after="0" w:line="240" w:lineRule="auto"/>
              <w:jc w:val="right"/>
              <w:rPr>
                <w:rFonts w:ascii="Tahoma" w:eastAsia="Times New Roman" w:hAnsi="Tahoma" w:cs="Tahoma"/>
                <w:sz w:val="18"/>
                <w:szCs w:val="18"/>
                <w:lang w:eastAsia="hr-HR"/>
              </w:rPr>
            </w:pPr>
            <w:r w:rsidRPr="00061543">
              <w:rPr>
                <w:rFonts w:ascii="Tahoma" w:eastAsia="Times New Roman" w:hAnsi="Tahoma" w:cs="Tahoma"/>
                <w:sz w:val="18"/>
                <w:szCs w:val="18"/>
                <w:lang w:eastAsia="hr-HR"/>
              </w:rPr>
              <w:t>4</w:t>
            </w:r>
          </w:p>
        </w:tc>
        <w:tc>
          <w:tcPr>
            <w:tcW w:w="468" w:type="dxa"/>
            <w:tcBorders>
              <w:top w:val="nil"/>
              <w:left w:val="nil"/>
              <w:bottom w:val="single" w:sz="4" w:space="0" w:color="auto"/>
              <w:right w:val="single" w:sz="4" w:space="0" w:color="auto"/>
            </w:tcBorders>
            <w:shd w:val="clear" w:color="000000" w:fill="FF9900"/>
            <w:noWrap/>
            <w:vAlign w:val="center"/>
            <w:hideMark/>
          </w:tcPr>
          <w:p w14:paraId="4CF7D209" w14:textId="77777777" w:rsidR="00061543" w:rsidRPr="00061543" w:rsidRDefault="00061543" w:rsidP="00061543">
            <w:pPr>
              <w:spacing w:after="0" w:line="240" w:lineRule="auto"/>
              <w:jc w:val="right"/>
              <w:rPr>
                <w:rFonts w:ascii="Tahoma" w:eastAsia="Times New Roman" w:hAnsi="Tahoma" w:cs="Tahoma"/>
                <w:sz w:val="18"/>
                <w:szCs w:val="18"/>
                <w:lang w:eastAsia="hr-HR"/>
              </w:rPr>
            </w:pPr>
            <w:r w:rsidRPr="00061543">
              <w:rPr>
                <w:rFonts w:ascii="Tahoma" w:eastAsia="Times New Roman" w:hAnsi="Tahoma" w:cs="Tahoma"/>
                <w:sz w:val="18"/>
                <w:szCs w:val="18"/>
                <w:lang w:eastAsia="hr-HR"/>
              </w:rPr>
              <w:t>4</w:t>
            </w:r>
          </w:p>
        </w:tc>
        <w:tc>
          <w:tcPr>
            <w:tcW w:w="468" w:type="dxa"/>
            <w:tcBorders>
              <w:top w:val="nil"/>
              <w:left w:val="nil"/>
              <w:bottom w:val="single" w:sz="4" w:space="0" w:color="auto"/>
              <w:right w:val="single" w:sz="4" w:space="0" w:color="auto"/>
            </w:tcBorders>
            <w:shd w:val="clear" w:color="000000" w:fill="FFFF00"/>
            <w:vAlign w:val="center"/>
            <w:hideMark/>
          </w:tcPr>
          <w:p w14:paraId="5A419349" w14:textId="77777777" w:rsidR="00061543" w:rsidRPr="00061543" w:rsidRDefault="00061543" w:rsidP="00061543">
            <w:pPr>
              <w:spacing w:after="0" w:line="240" w:lineRule="auto"/>
              <w:jc w:val="center"/>
              <w:rPr>
                <w:rFonts w:ascii="Tahoma" w:eastAsia="Times New Roman" w:hAnsi="Tahoma" w:cs="Tahoma"/>
                <w:sz w:val="18"/>
                <w:szCs w:val="18"/>
                <w:lang w:eastAsia="hr-HR"/>
              </w:rPr>
            </w:pPr>
            <w:r w:rsidRPr="00061543">
              <w:rPr>
                <w:rFonts w:ascii="Tahoma" w:eastAsia="Times New Roman" w:hAnsi="Tahoma" w:cs="Tahoma"/>
                <w:sz w:val="18"/>
                <w:szCs w:val="18"/>
                <w:lang w:eastAsia="hr-HR"/>
              </w:rPr>
              <w:t>9</w:t>
            </w:r>
          </w:p>
        </w:tc>
        <w:tc>
          <w:tcPr>
            <w:tcW w:w="560" w:type="dxa"/>
            <w:gridSpan w:val="2"/>
            <w:tcBorders>
              <w:top w:val="nil"/>
              <w:left w:val="nil"/>
              <w:bottom w:val="single" w:sz="4" w:space="0" w:color="auto"/>
              <w:right w:val="single" w:sz="4" w:space="0" w:color="auto"/>
            </w:tcBorders>
            <w:shd w:val="clear" w:color="000000" w:fill="FF9900"/>
            <w:vAlign w:val="center"/>
            <w:hideMark/>
          </w:tcPr>
          <w:p w14:paraId="20BC4691" w14:textId="77777777" w:rsidR="00061543" w:rsidRPr="00061543" w:rsidRDefault="00061543" w:rsidP="00061543">
            <w:pPr>
              <w:spacing w:after="0" w:line="240" w:lineRule="auto"/>
              <w:jc w:val="center"/>
              <w:rPr>
                <w:rFonts w:ascii="Tahoma" w:eastAsia="Times New Roman" w:hAnsi="Tahoma" w:cs="Tahoma"/>
                <w:sz w:val="18"/>
                <w:szCs w:val="18"/>
                <w:lang w:eastAsia="hr-HR"/>
              </w:rPr>
            </w:pPr>
            <w:r w:rsidRPr="00061543">
              <w:rPr>
                <w:rFonts w:ascii="Tahoma" w:eastAsia="Times New Roman" w:hAnsi="Tahoma" w:cs="Tahoma"/>
                <w:sz w:val="18"/>
                <w:szCs w:val="18"/>
                <w:lang w:eastAsia="hr-HR"/>
              </w:rPr>
              <w:t>14</w:t>
            </w:r>
          </w:p>
        </w:tc>
        <w:tc>
          <w:tcPr>
            <w:tcW w:w="905" w:type="dxa"/>
            <w:gridSpan w:val="2"/>
            <w:tcBorders>
              <w:top w:val="nil"/>
              <w:left w:val="nil"/>
              <w:bottom w:val="single" w:sz="4" w:space="0" w:color="auto"/>
              <w:right w:val="single" w:sz="4" w:space="0" w:color="auto"/>
            </w:tcBorders>
            <w:shd w:val="clear" w:color="000000" w:fill="FF9900"/>
            <w:vAlign w:val="center"/>
            <w:hideMark/>
          </w:tcPr>
          <w:p w14:paraId="71EBE37E" w14:textId="77777777" w:rsidR="00061543" w:rsidRPr="00061543" w:rsidRDefault="00061543" w:rsidP="00061543">
            <w:pPr>
              <w:spacing w:after="0" w:line="240" w:lineRule="auto"/>
              <w:jc w:val="center"/>
              <w:rPr>
                <w:rFonts w:ascii="Tahoma" w:eastAsia="Times New Roman" w:hAnsi="Tahoma" w:cs="Tahoma"/>
                <w:sz w:val="18"/>
                <w:szCs w:val="18"/>
                <w:lang w:eastAsia="hr-HR"/>
              </w:rPr>
            </w:pPr>
            <w:r w:rsidRPr="00061543">
              <w:rPr>
                <w:rFonts w:ascii="Tahoma" w:eastAsia="Times New Roman" w:hAnsi="Tahoma" w:cs="Tahoma"/>
                <w:sz w:val="18"/>
                <w:szCs w:val="18"/>
                <w:lang w:eastAsia="hr-HR"/>
              </w:rPr>
              <w:t>4</w:t>
            </w:r>
          </w:p>
        </w:tc>
        <w:tc>
          <w:tcPr>
            <w:tcW w:w="498" w:type="dxa"/>
            <w:tcBorders>
              <w:top w:val="nil"/>
              <w:left w:val="nil"/>
              <w:bottom w:val="single" w:sz="4" w:space="0" w:color="auto"/>
              <w:right w:val="single" w:sz="4" w:space="0" w:color="auto"/>
            </w:tcBorders>
            <w:shd w:val="clear" w:color="000000" w:fill="FF9900"/>
            <w:vAlign w:val="center"/>
            <w:hideMark/>
          </w:tcPr>
          <w:p w14:paraId="0183492C" w14:textId="77777777" w:rsidR="00061543" w:rsidRPr="00061543" w:rsidRDefault="00061543" w:rsidP="00061543">
            <w:pPr>
              <w:spacing w:after="0" w:line="240" w:lineRule="auto"/>
              <w:jc w:val="center"/>
              <w:rPr>
                <w:rFonts w:ascii="Tahoma" w:eastAsia="Times New Roman" w:hAnsi="Tahoma" w:cs="Tahoma"/>
                <w:sz w:val="18"/>
                <w:szCs w:val="18"/>
                <w:lang w:eastAsia="hr-HR"/>
              </w:rPr>
            </w:pPr>
            <w:r w:rsidRPr="00061543">
              <w:rPr>
                <w:rFonts w:ascii="Tahoma" w:eastAsia="Times New Roman" w:hAnsi="Tahoma" w:cs="Tahoma"/>
                <w:sz w:val="18"/>
                <w:szCs w:val="18"/>
                <w:lang w:eastAsia="hr-HR"/>
              </w:rPr>
              <w:t>1</w:t>
            </w:r>
          </w:p>
        </w:tc>
        <w:tc>
          <w:tcPr>
            <w:tcW w:w="1016" w:type="dxa"/>
            <w:gridSpan w:val="2"/>
            <w:tcBorders>
              <w:top w:val="nil"/>
              <w:left w:val="nil"/>
              <w:bottom w:val="single" w:sz="4" w:space="0" w:color="auto"/>
              <w:right w:val="single" w:sz="4" w:space="0" w:color="auto"/>
            </w:tcBorders>
            <w:shd w:val="clear" w:color="000000" w:fill="FF9900"/>
            <w:vAlign w:val="center"/>
            <w:hideMark/>
          </w:tcPr>
          <w:p w14:paraId="249ABBC8" w14:textId="77777777" w:rsidR="00061543" w:rsidRPr="00061543" w:rsidRDefault="00061543" w:rsidP="00061543">
            <w:pPr>
              <w:spacing w:after="0" w:line="240" w:lineRule="auto"/>
              <w:jc w:val="center"/>
              <w:rPr>
                <w:rFonts w:ascii="Tahoma" w:eastAsia="Times New Roman" w:hAnsi="Tahoma" w:cs="Tahoma"/>
                <w:sz w:val="18"/>
                <w:szCs w:val="18"/>
                <w:lang w:eastAsia="hr-HR"/>
              </w:rPr>
            </w:pPr>
            <w:r w:rsidRPr="00061543">
              <w:rPr>
                <w:rFonts w:ascii="Tahoma" w:eastAsia="Times New Roman" w:hAnsi="Tahoma" w:cs="Tahoma"/>
                <w:sz w:val="18"/>
                <w:szCs w:val="18"/>
                <w:lang w:eastAsia="hr-HR"/>
              </w:rPr>
              <w:t>3</w:t>
            </w:r>
          </w:p>
        </w:tc>
        <w:tc>
          <w:tcPr>
            <w:tcW w:w="505" w:type="dxa"/>
            <w:gridSpan w:val="2"/>
            <w:tcBorders>
              <w:top w:val="nil"/>
              <w:left w:val="nil"/>
              <w:bottom w:val="single" w:sz="4" w:space="0" w:color="auto"/>
              <w:right w:val="single" w:sz="4" w:space="0" w:color="auto"/>
            </w:tcBorders>
            <w:shd w:val="clear" w:color="000000" w:fill="CCFFFF"/>
            <w:vAlign w:val="center"/>
            <w:hideMark/>
          </w:tcPr>
          <w:p w14:paraId="5F22B43C" w14:textId="77777777" w:rsidR="00061543" w:rsidRPr="00061543" w:rsidRDefault="00061543" w:rsidP="00061543">
            <w:pPr>
              <w:spacing w:after="0" w:line="240" w:lineRule="auto"/>
              <w:jc w:val="right"/>
              <w:rPr>
                <w:rFonts w:ascii="Tahoma" w:eastAsia="Times New Roman" w:hAnsi="Tahoma" w:cs="Tahoma"/>
                <w:sz w:val="18"/>
                <w:szCs w:val="18"/>
                <w:lang w:eastAsia="hr-HR"/>
              </w:rPr>
            </w:pPr>
            <w:r w:rsidRPr="00061543">
              <w:rPr>
                <w:rFonts w:ascii="Tahoma" w:eastAsia="Times New Roman" w:hAnsi="Tahoma" w:cs="Tahoma"/>
                <w:sz w:val="18"/>
                <w:szCs w:val="18"/>
                <w:lang w:eastAsia="hr-HR"/>
              </w:rPr>
              <w:t>5</w:t>
            </w:r>
          </w:p>
        </w:tc>
        <w:tc>
          <w:tcPr>
            <w:tcW w:w="468" w:type="dxa"/>
            <w:tcBorders>
              <w:top w:val="nil"/>
              <w:left w:val="nil"/>
              <w:bottom w:val="single" w:sz="4" w:space="0" w:color="auto"/>
              <w:right w:val="single" w:sz="4" w:space="0" w:color="auto"/>
            </w:tcBorders>
            <w:shd w:val="clear" w:color="000000" w:fill="CCFFFF"/>
            <w:vAlign w:val="center"/>
            <w:hideMark/>
          </w:tcPr>
          <w:p w14:paraId="51693933" w14:textId="77777777" w:rsidR="00061543" w:rsidRPr="00061543" w:rsidRDefault="00061543" w:rsidP="00061543">
            <w:pPr>
              <w:spacing w:after="0" w:line="240" w:lineRule="auto"/>
              <w:jc w:val="right"/>
              <w:rPr>
                <w:rFonts w:ascii="Tahoma" w:eastAsia="Times New Roman" w:hAnsi="Tahoma" w:cs="Tahoma"/>
                <w:sz w:val="18"/>
                <w:szCs w:val="18"/>
                <w:lang w:eastAsia="hr-HR"/>
              </w:rPr>
            </w:pPr>
            <w:r w:rsidRPr="00061543">
              <w:rPr>
                <w:rFonts w:ascii="Tahoma" w:eastAsia="Times New Roman" w:hAnsi="Tahoma" w:cs="Tahoma"/>
                <w:sz w:val="18"/>
                <w:szCs w:val="18"/>
                <w:lang w:eastAsia="hr-HR"/>
              </w:rPr>
              <w:t>1</w:t>
            </w:r>
          </w:p>
        </w:tc>
        <w:tc>
          <w:tcPr>
            <w:tcW w:w="336" w:type="dxa"/>
            <w:tcBorders>
              <w:top w:val="nil"/>
              <w:left w:val="nil"/>
              <w:bottom w:val="single" w:sz="4" w:space="0" w:color="auto"/>
              <w:right w:val="single" w:sz="4" w:space="0" w:color="auto"/>
            </w:tcBorders>
            <w:shd w:val="clear" w:color="000000" w:fill="CCFFFF"/>
            <w:noWrap/>
            <w:vAlign w:val="center"/>
            <w:hideMark/>
          </w:tcPr>
          <w:p w14:paraId="4CC44220" w14:textId="77777777" w:rsidR="00061543" w:rsidRPr="00061543" w:rsidRDefault="00061543" w:rsidP="00061543">
            <w:pPr>
              <w:spacing w:after="0" w:line="240" w:lineRule="auto"/>
              <w:jc w:val="right"/>
              <w:rPr>
                <w:rFonts w:ascii="Tahoma" w:eastAsia="Times New Roman" w:hAnsi="Tahoma" w:cs="Tahoma"/>
                <w:sz w:val="18"/>
                <w:szCs w:val="18"/>
                <w:lang w:eastAsia="hr-HR"/>
              </w:rPr>
            </w:pPr>
            <w:r w:rsidRPr="00061543">
              <w:rPr>
                <w:rFonts w:ascii="Tahoma" w:eastAsia="Times New Roman" w:hAnsi="Tahoma" w:cs="Tahoma"/>
                <w:sz w:val="18"/>
                <w:szCs w:val="18"/>
                <w:lang w:eastAsia="hr-HR"/>
              </w:rPr>
              <w:t>0</w:t>
            </w:r>
          </w:p>
        </w:tc>
        <w:tc>
          <w:tcPr>
            <w:tcW w:w="426" w:type="dxa"/>
            <w:tcBorders>
              <w:top w:val="nil"/>
              <w:left w:val="nil"/>
              <w:bottom w:val="single" w:sz="4" w:space="0" w:color="auto"/>
              <w:right w:val="single" w:sz="4" w:space="0" w:color="auto"/>
            </w:tcBorders>
            <w:shd w:val="clear" w:color="000000" w:fill="33CCCC"/>
            <w:noWrap/>
            <w:vAlign w:val="center"/>
            <w:hideMark/>
          </w:tcPr>
          <w:p w14:paraId="2029B558" w14:textId="77777777" w:rsidR="00061543" w:rsidRPr="00061543" w:rsidRDefault="00061543" w:rsidP="00061543">
            <w:pPr>
              <w:spacing w:after="0" w:line="240" w:lineRule="auto"/>
              <w:jc w:val="right"/>
              <w:rPr>
                <w:rFonts w:ascii="Tahoma" w:eastAsia="Times New Roman" w:hAnsi="Tahoma" w:cs="Tahoma"/>
                <w:sz w:val="18"/>
                <w:szCs w:val="18"/>
                <w:lang w:eastAsia="hr-HR"/>
              </w:rPr>
            </w:pPr>
            <w:r w:rsidRPr="00061543">
              <w:rPr>
                <w:rFonts w:ascii="Tahoma" w:eastAsia="Times New Roman" w:hAnsi="Tahoma" w:cs="Tahoma"/>
                <w:sz w:val="18"/>
                <w:szCs w:val="18"/>
                <w:lang w:eastAsia="hr-HR"/>
              </w:rPr>
              <w:t>3</w:t>
            </w:r>
          </w:p>
        </w:tc>
        <w:tc>
          <w:tcPr>
            <w:tcW w:w="473" w:type="dxa"/>
            <w:tcBorders>
              <w:top w:val="nil"/>
              <w:left w:val="nil"/>
              <w:bottom w:val="single" w:sz="4" w:space="0" w:color="auto"/>
              <w:right w:val="single" w:sz="8" w:space="0" w:color="auto"/>
            </w:tcBorders>
            <w:shd w:val="clear" w:color="000000" w:fill="33CCCC"/>
            <w:noWrap/>
            <w:vAlign w:val="center"/>
            <w:hideMark/>
          </w:tcPr>
          <w:p w14:paraId="7B1EC423" w14:textId="77777777" w:rsidR="00061543" w:rsidRPr="00061543" w:rsidRDefault="00061543" w:rsidP="00061543">
            <w:pPr>
              <w:spacing w:after="0" w:line="240" w:lineRule="auto"/>
              <w:jc w:val="right"/>
              <w:rPr>
                <w:rFonts w:ascii="Tahoma" w:eastAsia="Times New Roman" w:hAnsi="Tahoma" w:cs="Tahoma"/>
                <w:sz w:val="18"/>
                <w:szCs w:val="18"/>
                <w:lang w:eastAsia="hr-HR"/>
              </w:rPr>
            </w:pPr>
            <w:r w:rsidRPr="00061543">
              <w:rPr>
                <w:rFonts w:ascii="Tahoma" w:eastAsia="Times New Roman" w:hAnsi="Tahoma" w:cs="Tahoma"/>
                <w:sz w:val="18"/>
                <w:szCs w:val="18"/>
                <w:lang w:eastAsia="hr-HR"/>
              </w:rPr>
              <w:t>6</w:t>
            </w:r>
          </w:p>
        </w:tc>
        <w:tc>
          <w:tcPr>
            <w:tcW w:w="236" w:type="dxa"/>
            <w:gridSpan w:val="3"/>
            <w:vAlign w:val="center"/>
            <w:hideMark/>
          </w:tcPr>
          <w:p w14:paraId="66576461" w14:textId="77777777" w:rsidR="00061543" w:rsidRPr="00061543" w:rsidRDefault="00061543" w:rsidP="00061543">
            <w:pPr>
              <w:spacing w:after="0" w:line="240" w:lineRule="auto"/>
              <w:rPr>
                <w:rFonts w:ascii="Times New Roman" w:eastAsia="Times New Roman" w:hAnsi="Times New Roman" w:cs="Times New Roman"/>
                <w:sz w:val="18"/>
                <w:szCs w:val="18"/>
                <w:lang w:eastAsia="hr-HR"/>
              </w:rPr>
            </w:pPr>
          </w:p>
        </w:tc>
      </w:tr>
      <w:tr w:rsidR="00061543" w:rsidRPr="00061543" w14:paraId="3F9D4C84" w14:textId="77777777" w:rsidTr="00061543">
        <w:trPr>
          <w:gridAfter w:val="2"/>
          <w:wAfter w:w="101" w:type="dxa"/>
          <w:trHeight w:val="420"/>
        </w:trPr>
        <w:tc>
          <w:tcPr>
            <w:tcW w:w="1576" w:type="dxa"/>
            <w:tcBorders>
              <w:top w:val="single" w:sz="4" w:space="0" w:color="auto"/>
              <w:left w:val="single" w:sz="8" w:space="0" w:color="auto"/>
              <w:bottom w:val="single" w:sz="4" w:space="0" w:color="auto"/>
              <w:right w:val="single" w:sz="4" w:space="0" w:color="auto"/>
            </w:tcBorders>
            <w:shd w:val="clear" w:color="000000" w:fill="CCFFCC"/>
            <w:vAlign w:val="center"/>
            <w:hideMark/>
          </w:tcPr>
          <w:p w14:paraId="0350E779" w14:textId="77777777" w:rsidR="00061543" w:rsidRPr="00061543" w:rsidRDefault="00061543" w:rsidP="00061543">
            <w:pPr>
              <w:spacing w:after="0" w:line="240" w:lineRule="auto"/>
              <w:rPr>
                <w:rFonts w:ascii="Tahoma" w:eastAsia="Times New Roman" w:hAnsi="Tahoma" w:cs="Tahoma"/>
                <w:sz w:val="18"/>
                <w:szCs w:val="18"/>
                <w:lang w:eastAsia="hr-HR"/>
              </w:rPr>
            </w:pPr>
            <w:r w:rsidRPr="00061543">
              <w:rPr>
                <w:rFonts w:ascii="Tahoma" w:eastAsia="Times New Roman" w:hAnsi="Tahoma" w:cs="Tahoma"/>
                <w:sz w:val="18"/>
                <w:szCs w:val="18"/>
                <w:lang w:eastAsia="hr-HR"/>
              </w:rPr>
              <w:t>Spolna orijentacija</w:t>
            </w:r>
          </w:p>
        </w:tc>
        <w:tc>
          <w:tcPr>
            <w:tcW w:w="560" w:type="dxa"/>
            <w:tcBorders>
              <w:top w:val="nil"/>
              <w:left w:val="nil"/>
              <w:bottom w:val="single" w:sz="4" w:space="0" w:color="auto"/>
              <w:right w:val="single" w:sz="4" w:space="0" w:color="auto"/>
            </w:tcBorders>
            <w:shd w:val="clear" w:color="000000" w:fill="FFCC99"/>
            <w:noWrap/>
            <w:vAlign w:val="center"/>
            <w:hideMark/>
          </w:tcPr>
          <w:p w14:paraId="51CCB4BE" w14:textId="77777777" w:rsidR="00061543" w:rsidRPr="00061543" w:rsidRDefault="00061543" w:rsidP="00061543">
            <w:pPr>
              <w:spacing w:after="0" w:line="240" w:lineRule="auto"/>
              <w:jc w:val="center"/>
              <w:rPr>
                <w:rFonts w:ascii="Tahoma" w:eastAsia="Times New Roman" w:hAnsi="Tahoma" w:cs="Tahoma"/>
                <w:sz w:val="18"/>
                <w:szCs w:val="18"/>
                <w:lang w:eastAsia="hr-HR"/>
              </w:rPr>
            </w:pPr>
            <w:r w:rsidRPr="00061543">
              <w:rPr>
                <w:rFonts w:ascii="Tahoma" w:eastAsia="Times New Roman" w:hAnsi="Tahoma" w:cs="Tahoma"/>
                <w:sz w:val="18"/>
                <w:szCs w:val="18"/>
                <w:lang w:eastAsia="hr-HR"/>
              </w:rPr>
              <w:t>3</w:t>
            </w:r>
          </w:p>
        </w:tc>
        <w:tc>
          <w:tcPr>
            <w:tcW w:w="446" w:type="dxa"/>
            <w:tcBorders>
              <w:top w:val="nil"/>
              <w:left w:val="nil"/>
              <w:bottom w:val="single" w:sz="4" w:space="0" w:color="auto"/>
              <w:right w:val="single" w:sz="4" w:space="0" w:color="auto"/>
            </w:tcBorders>
            <w:shd w:val="clear" w:color="000000" w:fill="FFFF00"/>
            <w:noWrap/>
            <w:vAlign w:val="center"/>
            <w:hideMark/>
          </w:tcPr>
          <w:p w14:paraId="353EC82D" w14:textId="77777777" w:rsidR="00061543" w:rsidRPr="00061543" w:rsidRDefault="00061543" w:rsidP="00061543">
            <w:pPr>
              <w:spacing w:after="0" w:line="240" w:lineRule="auto"/>
              <w:jc w:val="center"/>
              <w:rPr>
                <w:rFonts w:ascii="Tahoma" w:eastAsia="Times New Roman" w:hAnsi="Tahoma" w:cs="Tahoma"/>
                <w:sz w:val="18"/>
                <w:szCs w:val="18"/>
                <w:lang w:eastAsia="hr-HR"/>
              </w:rPr>
            </w:pPr>
            <w:r w:rsidRPr="00061543">
              <w:rPr>
                <w:rFonts w:ascii="Tahoma" w:eastAsia="Times New Roman" w:hAnsi="Tahoma" w:cs="Tahoma"/>
                <w:sz w:val="18"/>
                <w:szCs w:val="18"/>
                <w:lang w:eastAsia="hr-HR"/>
              </w:rPr>
              <w:t>0</w:t>
            </w:r>
          </w:p>
        </w:tc>
        <w:tc>
          <w:tcPr>
            <w:tcW w:w="787" w:type="dxa"/>
            <w:tcBorders>
              <w:top w:val="nil"/>
              <w:left w:val="nil"/>
              <w:bottom w:val="single" w:sz="4" w:space="0" w:color="auto"/>
              <w:right w:val="single" w:sz="4" w:space="0" w:color="auto"/>
            </w:tcBorders>
            <w:shd w:val="clear" w:color="000000" w:fill="CCFFFF"/>
            <w:noWrap/>
            <w:vAlign w:val="center"/>
            <w:hideMark/>
          </w:tcPr>
          <w:p w14:paraId="44922716" w14:textId="77777777" w:rsidR="00061543" w:rsidRPr="00061543" w:rsidRDefault="00061543" w:rsidP="00061543">
            <w:pPr>
              <w:spacing w:after="0" w:line="240" w:lineRule="auto"/>
              <w:jc w:val="right"/>
              <w:rPr>
                <w:rFonts w:ascii="Tahoma" w:eastAsia="Times New Roman" w:hAnsi="Tahoma" w:cs="Tahoma"/>
                <w:sz w:val="18"/>
                <w:szCs w:val="18"/>
                <w:lang w:eastAsia="hr-HR"/>
              </w:rPr>
            </w:pPr>
            <w:r w:rsidRPr="00061543">
              <w:rPr>
                <w:rFonts w:ascii="Tahoma" w:eastAsia="Times New Roman" w:hAnsi="Tahoma" w:cs="Tahoma"/>
                <w:sz w:val="18"/>
                <w:szCs w:val="18"/>
                <w:lang w:eastAsia="hr-HR"/>
              </w:rPr>
              <w:t>0</w:t>
            </w:r>
          </w:p>
        </w:tc>
        <w:tc>
          <w:tcPr>
            <w:tcW w:w="581" w:type="dxa"/>
            <w:tcBorders>
              <w:top w:val="nil"/>
              <w:left w:val="nil"/>
              <w:bottom w:val="single" w:sz="4" w:space="0" w:color="auto"/>
              <w:right w:val="single" w:sz="4" w:space="0" w:color="auto"/>
            </w:tcBorders>
            <w:shd w:val="clear" w:color="000000" w:fill="CCFFFF"/>
            <w:noWrap/>
            <w:vAlign w:val="center"/>
            <w:hideMark/>
          </w:tcPr>
          <w:p w14:paraId="35F24E6F" w14:textId="77777777" w:rsidR="00061543" w:rsidRPr="00061543" w:rsidRDefault="00061543" w:rsidP="00061543">
            <w:pPr>
              <w:spacing w:after="0" w:line="240" w:lineRule="auto"/>
              <w:jc w:val="right"/>
              <w:rPr>
                <w:rFonts w:ascii="Tahoma" w:eastAsia="Times New Roman" w:hAnsi="Tahoma" w:cs="Tahoma"/>
                <w:sz w:val="18"/>
                <w:szCs w:val="18"/>
                <w:lang w:eastAsia="hr-HR"/>
              </w:rPr>
            </w:pPr>
            <w:r w:rsidRPr="00061543">
              <w:rPr>
                <w:rFonts w:ascii="Tahoma" w:eastAsia="Times New Roman" w:hAnsi="Tahoma" w:cs="Tahoma"/>
                <w:sz w:val="18"/>
                <w:szCs w:val="18"/>
                <w:lang w:eastAsia="hr-HR"/>
              </w:rPr>
              <w:t>0</w:t>
            </w:r>
          </w:p>
        </w:tc>
        <w:tc>
          <w:tcPr>
            <w:tcW w:w="446" w:type="dxa"/>
            <w:tcBorders>
              <w:top w:val="nil"/>
              <w:left w:val="nil"/>
              <w:bottom w:val="single" w:sz="4" w:space="0" w:color="auto"/>
              <w:right w:val="single" w:sz="4" w:space="0" w:color="auto"/>
            </w:tcBorders>
            <w:shd w:val="clear" w:color="000000" w:fill="FFFF99"/>
            <w:noWrap/>
            <w:vAlign w:val="center"/>
            <w:hideMark/>
          </w:tcPr>
          <w:p w14:paraId="2BB7D131" w14:textId="77777777" w:rsidR="00061543" w:rsidRPr="00061543" w:rsidRDefault="00061543" w:rsidP="00061543">
            <w:pPr>
              <w:spacing w:after="0" w:line="240" w:lineRule="auto"/>
              <w:jc w:val="center"/>
              <w:rPr>
                <w:rFonts w:ascii="Tahoma" w:eastAsia="Times New Roman" w:hAnsi="Tahoma" w:cs="Tahoma"/>
                <w:sz w:val="18"/>
                <w:szCs w:val="18"/>
                <w:lang w:eastAsia="hr-HR"/>
              </w:rPr>
            </w:pPr>
            <w:r w:rsidRPr="00061543">
              <w:rPr>
                <w:rFonts w:ascii="Tahoma" w:eastAsia="Times New Roman" w:hAnsi="Tahoma" w:cs="Tahoma"/>
                <w:sz w:val="18"/>
                <w:szCs w:val="18"/>
                <w:lang w:eastAsia="hr-HR"/>
              </w:rPr>
              <w:t>0</w:t>
            </w:r>
          </w:p>
        </w:tc>
        <w:tc>
          <w:tcPr>
            <w:tcW w:w="697" w:type="dxa"/>
            <w:tcBorders>
              <w:top w:val="nil"/>
              <w:left w:val="nil"/>
              <w:bottom w:val="single" w:sz="4" w:space="0" w:color="auto"/>
              <w:right w:val="single" w:sz="4" w:space="0" w:color="auto"/>
            </w:tcBorders>
            <w:shd w:val="clear" w:color="000000" w:fill="FFFF99"/>
            <w:noWrap/>
            <w:vAlign w:val="center"/>
            <w:hideMark/>
          </w:tcPr>
          <w:p w14:paraId="45E1089C" w14:textId="77777777" w:rsidR="00061543" w:rsidRPr="00061543" w:rsidRDefault="00061543" w:rsidP="00061543">
            <w:pPr>
              <w:spacing w:after="0" w:line="240" w:lineRule="auto"/>
              <w:jc w:val="center"/>
              <w:rPr>
                <w:rFonts w:ascii="Tahoma" w:eastAsia="Times New Roman" w:hAnsi="Tahoma" w:cs="Tahoma"/>
                <w:sz w:val="18"/>
                <w:szCs w:val="18"/>
                <w:lang w:eastAsia="hr-HR"/>
              </w:rPr>
            </w:pPr>
            <w:r w:rsidRPr="00061543">
              <w:rPr>
                <w:rFonts w:ascii="Tahoma" w:eastAsia="Times New Roman" w:hAnsi="Tahoma" w:cs="Tahoma"/>
                <w:sz w:val="18"/>
                <w:szCs w:val="18"/>
                <w:lang w:eastAsia="hr-HR"/>
              </w:rPr>
              <w:t>0</w:t>
            </w:r>
          </w:p>
        </w:tc>
        <w:tc>
          <w:tcPr>
            <w:tcW w:w="446" w:type="dxa"/>
            <w:tcBorders>
              <w:top w:val="nil"/>
              <w:left w:val="nil"/>
              <w:bottom w:val="single" w:sz="4" w:space="0" w:color="auto"/>
              <w:right w:val="single" w:sz="4" w:space="0" w:color="auto"/>
            </w:tcBorders>
            <w:shd w:val="clear" w:color="000000" w:fill="FFFF99"/>
            <w:noWrap/>
            <w:vAlign w:val="center"/>
            <w:hideMark/>
          </w:tcPr>
          <w:p w14:paraId="65143145" w14:textId="77777777" w:rsidR="00061543" w:rsidRPr="00061543" w:rsidRDefault="00061543" w:rsidP="00061543">
            <w:pPr>
              <w:spacing w:after="0" w:line="240" w:lineRule="auto"/>
              <w:jc w:val="center"/>
              <w:rPr>
                <w:rFonts w:ascii="Tahoma" w:eastAsia="Times New Roman" w:hAnsi="Tahoma" w:cs="Tahoma"/>
                <w:sz w:val="18"/>
                <w:szCs w:val="18"/>
                <w:lang w:eastAsia="hr-HR"/>
              </w:rPr>
            </w:pPr>
            <w:r w:rsidRPr="00061543">
              <w:rPr>
                <w:rFonts w:ascii="Tahoma" w:eastAsia="Times New Roman" w:hAnsi="Tahoma" w:cs="Tahoma"/>
                <w:sz w:val="18"/>
                <w:szCs w:val="18"/>
                <w:lang w:eastAsia="hr-HR"/>
              </w:rPr>
              <w:t>0</w:t>
            </w:r>
          </w:p>
        </w:tc>
        <w:tc>
          <w:tcPr>
            <w:tcW w:w="567" w:type="dxa"/>
            <w:tcBorders>
              <w:top w:val="nil"/>
              <w:left w:val="nil"/>
              <w:bottom w:val="single" w:sz="4" w:space="0" w:color="auto"/>
              <w:right w:val="single" w:sz="4" w:space="0" w:color="auto"/>
            </w:tcBorders>
            <w:shd w:val="clear" w:color="000000" w:fill="FFFF99"/>
            <w:noWrap/>
            <w:vAlign w:val="center"/>
            <w:hideMark/>
          </w:tcPr>
          <w:p w14:paraId="52B313C9" w14:textId="77777777" w:rsidR="00061543" w:rsidRPr="00061543" w:rsidRDefault="00061543" w:rsidP="00061543">
            <w:pPr>
              <w:spacing w:after="0" w:line="240" w:lineRule="auto"/>
              <w:jc w:val="center"/>
              <w:rPr>
                <w:rFonts w:ascii="Tahoma" w:eastAsia="Times New Roman" w:hAnsi="Tahoma" w:cs="Tahoma"/>
                <w:sz w:val="18"/>
                <w:szCs w:val="18"/>
                <w:lang w:eastAsia="hr-HR"/>
              </w:rPr>
            </w:pPr>
            <w:r w:rsidRPr="00061543">
              <w:rPr>
                <w:rFonts w:ascii="Tahoma" w:eastAsia="Times New Roman" w:hAnsi="Tahoma" w:cs="Tahoma"/>
                <w:sz w:val="18"/>
                <w:szCs w:val="18"/>
                <w:lang w:eastAsia="hr-HR"/>
              </w:rPr>
              <w:t>0</w:t>
            </w:r>
          </w:p>
        </w:tc>
        <w:tc>
          <w:tcPr>
            <w:tcW w:w="468" w:type="dxa"/>
            <w:tcBorders>
              <w:top w:val="nil"/>
              <w:left w:val="nil"/>
              <w:bottom w:val="single" w:sz="4" w:space="0" w:color="auto"/>
              <w:right w:val="single" w:sz="4" w:space="0" w:color="auto"/>
            </w:tcBorders>
            <w:shd w:val="clear" w:color="000000" w:fill="FFFF99"/>
            <w:noWrap/>
            <w:vAlign w:val="center"/>
            <w:hideMark/>
          </w:tcPr>
          <w:p w14:paraId="3B0AD931" w14:textId="77777777" w:rsidR="00061543" w:rsidRPr="00061543" w:rsidRDefault="00061543" w:rsidP="00061543">
            <w:pPr>
              <w:spacing w:after="0" w:line="240" w:lineRule="auto"/>
              <w:jc w:val="center"/>
              <w:rPr>
                <w:rFonts w:ascii="Tahoma" w:eastAsia="Times New Roman" w:hAnsi="Tahoma" w:cs="Tahoma"/>
                <w:sz w:val="18"/>
                <w:szCs w:val="18"/>
                <w:lang w:eastAsia="hr-HR"/>
              </w:rPr>
            </w:pPr>
            <w:r w:rsidRPr="00061543">
              <w:rPr>
                <w:rFonts w:ascii="Tahoma" w:eastAsia="Times New Roman" w:hAnsi="Tahoma" w:cs="Tahoma"/>
                <w:sz w:val="18"/>
                <w:szCs w:val="18"/>
                <w:lang w:eastAsia="hr-HR"/>
              </w:rPr>
              <w:t>0</w:t>
            </w:r>
          </w:p>
        </w:tc>
        <w:tc>
          <w:tcPr>
            <w:tcW w:w="808" w:type="dxa"/>
            <w:tcBorders>
              <w:top w:val="nil"/>
              <w:left w:val="nil"/>
              <w:bottom w:val="single" w:sz="4" w:space="0" w:color="auto"/>
              <w:right w:val="single" w:sz="4" w:space="0" w:color="auto"/>
            </w:tcBorders>
            <w:shd w:val="clear" w:color="000000" w:fill="FFFF99"/>
            <w:noWrap/>
            <w:vAlign w:val="center"/>
            <w:hideMark/>
          </w:tcPr>
          <w:p w14:paraId="2A3AF81B" w14:textId="77777777" w:rsidR="00061543" w:rsidRPr="00061543" w:rsidRDefault="00061543" w:rsidP="00061543">
            <w:pPr>
              <w:spacing w:after="0" w:line="240" w:lineRule="auto"/>
              <w:jc w:val="center"/>
              <w:rPr>
                <w:rFonts w:ascii="Tahoma" w:eastAsia="Times New Roman" w:hAnsi="Tahoma" w:cs="Tahoma"/>
                <w:sz w:val="18"/>
                <w:szCs w:val="18"/>
                <w:lang w:eastAsia="hr-HR"/>
              </w:rPr>
            </w:pPr>
            <w:r w:rsidRPr="00061543">
              <w:rPr>
                <w:rFonts w:ascii="Tahoma" w:eastAsia="Times New Roman" w:hAnsi="Tahoma" w:cs="Tahoma"/>
                <w:sz w:val="18"/>
                <w:szCs w:val="18"/>
                <w:lang w:eastAsia="hr-HR"/>
              </w:rPr>
              <w:t>0</w:t>
            </w:r>
          </w:p>
        </w:tc>
        <w:tc>
          <w:tcPr>
            <w:tcW w:w="468" w:type="dxa"/>
            <w:gridSpan w:val="2"/>
            <w:tcBorders>
              <w:top w:val="nil"/>
              <w:left w:val="nil"/>
              <w:bottom w:val="single" w:sz="4" w:space="0" w:color="auto"/>
              <w:right w:val="single" w:sz="4" w:space="0" w:color="auto"/>
            </w:tcBorders>
            <w:shd w:val="clear" w:color="000000" w:fill="FF9900"/>
            <w:noWrap/>
            <w:vAlign w:val="center"/>
            <w:hideMark/>
          </w:tcPr>
          <w:p w14:paraId="334CEC57" w14:textId="77777777" w:rsidR="00061543" w:rsidRPr="00061543" w:rsidRDefault="00061543" w:rsidP="00061543">
            <w:pPr>
              <w:spacing w:after="0" w:line="240" w:lineRule="auto"/>
              <w:jc w:val="right"/>
              <w:rPr>
                <w:rFonts w:ascii="Tahoma" w:eastAsia="Times New Roman" w:hAnsi="Tahoma" w:cs="Tahoma"/>
                <w:sz w:val="18"/>
                <w:szCs w:val="18"/>
                <w:lang w:eastAsia="hr-HR"/>
              </w:rPr>
            </w:pPr>
            <w:r w:rsidRPr="00061543">
              <w:rPr>
                <w:rFonts w:ascii="Tahoma" w:eastAsia="Times New Roman" w:hAnsi="Tahoma" w:cs="Tahoma"/>
                <w:sz w:val="18"/>
                <w:szCs w:val="18"/>
                <w:lang w:eastAsia="hr-HR"/>
              </w:rPr>
              <w:t>0</w:t>
            </w:r>
          </w:p>
        </w:tc>
        <w:tc>
          <w:tcPr>
            <w:tcW w:w="524" w:type="dxa"/>
            <w:tcBorders>
              <w:top w:val="nil"/>
              <w:left w:val="nil"/>
              <w:bottom w:val="single" w:sz="4" w:space="0" w:color="auto"/>
              <w:right w:val="single" w:sz="4" w:space="0" w:color="auto"/>
            </w:tcBorders>
            <w:shd w:val="clear" w:color="000000" w:fill="FF9900"/>
            <w:noWrap/>
            <w:vAlign w:val="center"/>
            <w:hideMark/>
          </w:tcPr>
          <w:p w14:paraId="291398DA" w14:textId="77777777" w:rsidR="00061543" w:rsidRPr="00061543" w:rsidRDefault="00061543" w:rsidP="00061543">
            <w:pPr>
              <w:spacing w:after="0" w:line="240" w:lineRule="auto"/>
              <w:jc w:val="right"/>
              <w:rPr>
                <w:rFonts w:ascii="Tahoma" w:eastAsia="Times New Roman" w:hAnsi="Tahoma" w:cs="Tahoma"/>
                <w:sz w:val="18"/>
                <w:szCs w:val="18"/>
                <w:lang w:eastAsia="hr-HR"/>
              </w:rPr>
            </w:pPr>
            <w:r w:rsidRPr="00061543">
              <w:rPr>
                <w:rFonts w:ascii="Tahoma" w:eastAsia="Times New Roman" w:hAnsi="Tahoma" w:cs="Tahoma"/>
                <w:sz w:val="18"/>
                <w:szCs w:val="18"/>
                <w:lang w:eastAsia="hr-HR"/>
              </w:rPr>
              <w:t>0</w:t>
            </w:r>
          </w:p>
        </w:tc>
        <w:tc>
          <w:tcPr>
            <w:tcW w:w="468" w:type="dxa"/>
            <w:tcBorders>
              <w:top w:val="nil"/>
              <w:left w:val="nil"/>
              <w:bottom w:val="single" w:sz="4" w:space="0" w:color="auto"/>
              <w:right w:val="single" w:sz="4" w:space="0" w:color="auto"/>
            </w:tcBorders>
            <w:shd w:val="clear" w:color="000000" w:fill="FF9900"/>
            <w:noWrap/>
            <w:vAlign w:val="center"/>
            <w:hideMark/>
          </w:tcPr>
          <w:p w14:paraId="6FDBB577" w14:textId="77777777" w:rsidR="00061543" w:rsidRPr="00061543" w:rsidRDefault="00061543" w:rsidP="00061543">
            <w:pPr>
              <w:spacing w:after="0" w:line="240" w:lineRule="auto"/>
              <w:jc w:val="right"/>
              <w:rPr>
                <w:rFonts w:ascii="Tahoma" w:eastAsia="Times New Roman" w:hAnsi="Tahoma" w:cs="Tahoma"/>
                <w:sz w:val="18"/>
                <w:szCs w:val="18"/>
                <w:lang w:eastAsia="hr-HR"/>
              </w:rPr>
            </w:pPr>
            <w:r w:rsidRPr="00061543">
              <w:rPr>
                <w:rFonts w:ascii="Tahoma" w:eastAsia="Times New Roman" w:hAnsi="Tahoma" w:cs="Tahoma"/>
                <w:sz w:val="18"/>
                <w:szCs w:val="18"/>
                <w:lang w:eastAsia="hr-HR"/>
              </w:rPr>
              <w:t>0</w:t>
            </w:r>
          </w:p>
        </w:tc>
        <w:tc>
          <w:tcPr>
            <w:tcW w:w="468" w:type="dxa"/>
            <w:tcBorders>
              <w:top w:val="nil"/>
              <w:left w:val="nil"/>
              <w:bottom w:val="single" w:sz="4" w:space="0" w:color="auto"/>
              <w:right w:val="single" w:sz="4" w:space="0" w:color="auto"/>
            </w:tcBorders>
            <w:shd w:val="clear" w:color="000000" w:fill="FFFF00"/>
            <w:vAlign w:val="center"/>
            <w:hideMark/>
          </w:tcPr>
          <w:p w14:paraId="5ACD8101" w14:textId="77777777" w:rsidR="00061543" w:rsidRPr="00061543" w:rsidRDefault="00061543" w:rsidP="00061543">
            <w:pPr>
              <w:spacing w:after="0" w:line="240" w:lineRule="auto"/>
              <w:jc w:val="center"/>
              <w:rPr>
                <w:rFonts w:ascii="Tahoma" w:eastAsia="Times New Roman" w:hAnsi="Tahoma" w:cs="Tahoma"/>
                <w:sz w:val="18"/>
                <w:szCs w:val="18"/>
                <w:lang w:eastAsia="hr-HR"/>
              </w:rPr>
            </w:pPr>
            <w:r w:rsidRPr="00061543">
              <w:rPr>
                <w:rFonts w:ascii="Tahoma" w:eastAsia="Times New Roman" w:hAnsi="Tahoma" w:cs="Tahoma"/>
                <w:sz w:val="18"/>
                <w:szCs w:val="18"/>
                <w:lang w:eastAsia="hr-HR"/>
              </w:rPr>
              <w:t>0</w:t>
            </w:r>
          </w:p>
        </w:tc>
        <w:tc>
          <w:tcPr>
            <w:tcW w:w="560" w:type="dxa"/>
            <w:gridSpan w:val="2"/>
            <w:tcBorders>
              <w:top w:val="nil"/>
              <w:left w:val="nil"/>
              <w:bottom w:val="single" w:sz="4" w:space="0" w:color="auto"/>
              <w:right w:val="single" w:sz="4" w:space="0" w:color="auto"/>
            </w:tcBorders>
            <w:shd w:val="clear" w:color="000000" w:fill="FF9900"/>
            <w:vAlign w:val="center"/>
            <w:hideMark/>
          </w:tcPr>
          <w:p w14:paraId="18DAD710" w14:textId="77777777" w:rsidR="00061543" w:rsidRPr="00061543" w:rsidRDefault="00061543" w:rsidP="00061543">
            <w:pPr>
              <w:spacing w:after="0" w:line="240" w:lineRule="auto"/>
              <w:jc w:val="center"/>
              <w:rPr>
                <w:rFonts w:ascii="Tahoma" w:eastAsia="Times New Roman" w:hAnsi="Tahoma" w:cs="Tahoma"/>
                <w:sz w:val="18"/>
                <w:szCs w:val="18"/>
                <w:lang w:eastAsia="hr-HR"/>
              </w:rPr>
            </w:pPr>
            <w:r w:rsidRPr="00061543">
              <w:rPr>
                <w:rFonts w:ascii="Tahoma" w:eastAsia="Times New Roman" w:hAnsi="Tahoma" w:cs="Tahoma"/>
                <w:sz w:val="18"/>
                <w:szCs w:val="18"/>
                <w:lang w:eastAsia="hr-HR"/>
              </w:rPr>
              <w:t>3</w:t>
            </w:r>
          </w:p>
        </w:tc>
        <w:tc>
          <w:tcPr>
            <w:tcW w:w="905" w:type="dxa"/>
            <w:gridSpan w:val="2"/>
            <w:tcBorders>
              <w:top w:val="nil"/>
              <w:left w:val="nil"/>
              <w:bottom w:val="single" w:sz="4" w:space="0" w:color="auto"/>
              <w:right w:val="single" w:sz="4" w:space="0" w:color="auto"/>
            </w:tcBorders>
            <w:shd w:val="clear" w:color="000000" w:fill="FF9900"/>
            <w:noWrap/>
            <w:vAlign w:val="center"/>
            <w:hideMark/>
          </w:tcPr>
          <w:p w14:paraId="1E79302B" w14:textId="77777777" w:rsidR="00061543" w:rsidRPr="00061543" w:rsidRDefault="00061543" w:rsidP="00061543">
            <w:pPr>
              <w:spacing w:after="0" w:line="240" w:lineRule="auto"/>
              <w:jc w:val="center"/>
              <w:rPr>
                <w:rFonts w:ascii="Tahoma" w:eastAsia="Times New Roman" w:hAnsi="Tahoma" w:cs="Tahoma"/>
                <w:sz w:val="18"/>
                <w:szCs w:val="18"/>
                <w:lang w:eastAsia="hr-HR"/>
              </w:rPr>
            </w:pPr>
            <w:r w:rsidRPr="00061543">
              <w:rPr>
                <w:rFonts w:ascii="Tahoma" w:eastAsia="Times New Roman" w:hAnsi="Tahoma" w:cs="Tahoma"/>
                <w:sz w:val="18"/>
                <w:szCs w:val="18"/>
                <w:lang w:eastAsia="hr-HR"/>
              </w:rPr>
              <w:t>0</w:t>
            </w:r>
          </w:p>
        </w:tc>
        <w:tc>
          <w:tcPr>
            <w:tcW w:w="498" w:type="dxa"/>
            <w:tcBorders>
              <w:top w:val="nil"/>
              <w:left w:val="nil"/>
              <w:bottom w:val="single" w:sz="4" w:space="0" w:color="auto"/>
              <w:right w:val="single" w:sz="4" w:space="0" w:color="auto"/>
            </w:tcBorders>
            <w:shd w:val="clear" w:color="000000" w:fill="FF9900"/>
            <w:noWrap/>
            <w:vAlign w:val="center"/>
            <w:hideMark/>
          </w:tcPr>
          <w:p w14:paraId="2A39B3AB" w14:textId="77777777" w:rsidR="00061543" w:rsidRPr="00061543" w:rsidRDefault="00061543" w:rsidP="00061543">
            <w:pPr>
              <w:spacing w:after="0" w:line="240" w:lineRule="auto"/>
              <w:jc w:val="center"/>
              <w:rPr>
                <w:rFonts w:ascii="Tahoma" w:eastAsia="Times New Roman" w:hAnsi="Tahoma" w:cs="Tahoma"/>
                <w:sz w:val="18"/>
                <w:szCs w:val="18"/>
                <w:lang w:eastAsia="hr-HR"/>
              </w:rPr>
            </w:pPr>
            <w:r w:rsidRPr="00061543">
              <w:rPr>
                <w:rFonts w:ascii="Tahoma" w:eastAsia="Times New Roman" w:hAnsi="Tahoma" w:cs="Tahoma"/>
                <w:sz w:val="18"/>
                <w:szCs w:val="18"/>
                <w:lang w:eastAsia="hr-HR"/>
              </w:rPr>
              <w:t>0</w:t>
            </w:r>
          </w:p>
        </w:tc>
        <w:tc>
          <w:tcPr>
            <w:tcW w:w="1016" w:type="dxa"/>
            <w:gridSpan w:val="2"/>
            <w:tcBorders>
              <w:top w:val="nil"/>
              <w:left w:val="nil"/>
              <w:bottom w:val="single" w:sz="4" w:space="0" w:color="auto"/>
              <w:right w:val="single" w:sz="4" w:space="0" w:color="auto"/>
            </w:tcBorders>
            <w:shd w:val="clear" w:color="000000" w:fill="FF9900"/>
            <w:noWrap/>
            <w:vAlign w:val="center"/>
            <w:hideMark/>
          </w:tcPr>
          <w:p w14:paraId="02AE7CFE" w14:textId="77777777" w:rsidR="00061543" w:rsidRPr="00061543" w:rsidRDefault="00061543" w:rsidP="00061543">
            <w:pPr>
              <w:spacing w:after="0" w:line="240" w:lineRule="auto"/>
              <w:jc w:val="center"/>
              <w:rPr>
                <w:rFonts w:ascii="Tahoma" w:eastAsia="Times New Roman" w:hAnsi="Tahoma" w:cs="Tahoma"/>
                <w:sz w:val="18"/>
                <w:szCs w:val="18"/>
                <w:lang w:eastAsia="hr-HR"/>
              </w:rPr>
            </w:pPr>
            <w:r w:rsidRPr="00061543">
              <w:rPr>
                <w:rFonts w:ascii="Tahoma" w:eastAsia="Times New Roman" w:hAnsi="Tahoma" w:cs="Tahoma"/>
                <w:sz w:val="18"/>
                <w:szCs w:val="18"/>
                <w:lang w:eastAsia="hr-HR"/>
              </w:rPr>
              <w:t>0</w:t>
            </w:r>
          </w:p>
        </w:tc>
        <w:tc>
          <w:tcPr>
            <w:tcW w:w="505" w:type="dxa"/>
            <w:gridSpan w:val="2"/>
            <w:tcBorders>
              <w:top w:val="nil"/>
              <w:left w:val="nil"/>
              <w:bottom w:val="single" w:sz="4" w:space="0" w:color="auto"/>
              <w:right w:val="single" w:sz="4" w:space="0" w:color="auto"/>
            </w:tcBorders>
            <w:shd w:val="clear" w:color="000000" w:fill="CCFFFF"/>
            <w:vAlign w:val="center"/>
            <w:hideMark/>
          </w:tcPr>
          <w:p w14:paraId="7AFDD5E4" w14:textId="77777777" w:rsidR="00061543" w:rsidRPr="00061543" w:rsidRDefault="00061543" w:rsidP="00061543">
            <w:pPr>
              <w:spacing w:after="0" w:line="240" w:lineRule="auto"/>
              <w:jc w:val="right"/>
              <w:rPr>
                <w:rFonts w:ascii="Tahoma" w:eastAsia="Times New Roman" w:hAnsi="Tahoma" w:cs="Tahoma"/>
                <w:sz w:val="18"/>
                <w:szCs w:val="18"/>
                <w:lang w:eastAsia="hr-HR"/>
              </w:rPr>
            </w:pPr>
            <w:r w:rsidRPr="00061543">
              <w:rPr>
                <w:rFonts w:ascii="Tahoma" w:eastAsia="Times New Roman" w:hAnsi="Tahoma" w:cs="Tahoma"/>
                <w:sz w:val="18"/>
                <w:szCs w:val="18"/>
                <w:lang w:eastAsia="hr-HR"/>
              </w:rPr>
              <w:t>0</w:t>
            </w:r>
          </w:p>
        </w:tc>
        <w:tc>
          <w:tcPr>
            <w:tcW w:w="468" w:type="dxa"/>
            <w:tcBorders>
              <w:top w:val="nil"/>
              <w:left w:val="nil"/>
              <w:bottom w:val="single" w:sz="4" w:space="0" w:color="auto"/>
              <w:right w:val="single" w:sz="4" w:space="0" w:color="auto"/>
            </w:tcBorders>
            <w:shd w:val="clear" w:color="000000" w:fill="CCFFFF"/>
            <w:vAlign w:val="center"/>
            <w:hideMark/>
          </w:tcPr>
          <w:p w14:paraId="77037FD1" w14:textId="77777777" w:rsidR="00061543" w:rsidRPr="00061543" w:rsidRDefault="00061543" w:rsidP="00061543">
            <w:pPr>
              <w:spacing w:after="0" w:line="240" w:lineRule="auto"/>
              <w:jc w:val="right"/>
              <w:rPr>
                <w:rFonts w:ascii="Tahoma" w:eastAsia="Times New Roman" w:hAnsi="Tahoma" w:cs="Tahoma"/>
                <w:sz w:val="18"/>
                <w:szCs w:val="18"/>
                <w:lang w:eastAsia="hr-HR"/>
              </w:rPr>
            </w:pPr>
            <w:r w:rsidRPr="00061543">
              <w:rPr>
                <w:rFonts w:ascii="Tahoma" w:eastAsia="Times New Roman" w:hAnsi="Tahoma" w:cs="Tahoma"/>
                <w:sz w:val="18"/>
                <w:szCs w:val="18"/>
                <w:lang w:eastAsia="hr-HR"/>
              </w:rPr>
              <w:t>0</w:t>
            </w:r>
          </w:p>
        </w:tc>
        <w:tc>
          <w:tcPr>
            <w:tcW w:w="336" w:type="dxa"/>
            <w:tcBorders>
              <w:top w:val="nil"/>
              <w:left w:val="nil"/>
              <w:bottom w:val="single" w:sz="4" w:space="0" w:color="auto"/>
              <w:right w:val="single" w:sz="4" w:space="0" w:color="auto"/>
            </w:tcBorders>
            <w:shd w:val="clear" w:color="000000" w:fill="CCFFFF"/>
            <w:noWrap/>
            <w:vAlign w:val="center"/>
            <w:hideMark/>
          </w:tcPr>
          <w:p w14:paraId="5C4B6CBC" w14:textId="77777777" w:rsidR="00061543" w:rsidRPr="00061543" w:rsidRDefault="00061543" w:rsidP="00061543">
            <w:pPr>
              <w:spacing w:after="0" w:line="240" w:lineRule="auto"/>
              <w:jc w:val="right"/>
              <w:rPr>
                <w:rFonts w:ascii="Tahoma" w:eastAsia="Times New Roman" w:hAnsi="Tahoma" w:cs="Tahoma"/>
                <w:sz w:val="18"/>
                <w:szCs w:val="18"/>
                <w:lang w:eastAsia="hr-HR"/>
              </w:rPr>
            </w:pPr>
            <w:r w:rsidRPr="00061543">
              <w:rPr>
                <w:rFonts w:ascii="Tahoma" w:eastAsia="Times New Roman" w:hAnsi="Tahoma" w:cs="Tahoma"/>
                <w:sz w:val="18"/>
                <w:szCs w:val="18"/>
                <w:lang w:eastAsia="hr-HR"/>
              </w:rPr>
              <w:t>0</w:t>
            </w:r>
          </w:p>
        </w:tc>
        <w:tc>
          <w:tcPr>
            <w:tcW w:w="426" w:type="dxa"/>
            <w:tcBorders>
              <w:top w:val="nil"/>
              <w:left w:val="nil"/>
              <w:bottom w:val="single" w:sz="4" w:space="0" w:color="auto"/>
              <w:right w:val="single" w:sz="4" w:space="0" w:color="auto"/>
            </w:tcBorders>
            <w:shd w:val="clear" w:color="000000" w:fill="33CCCC"/>
            <w:noWrap/>
            <w:vAlign w:val="center"/>
            <w:hideMark/>
          </w:tcPr>
          <w:p w14:paraId="54975338" w14:textId="77777777" w:rsidR="00061543" w:rsidRPr="00061543" w:rsidRDefault="00061543" w:rsidP="00061543">
            <w:pPr>
              <w:spacing w:after="0" w:line="240" w:lineRule="auto"/>
              <w:jc w:val="right"/>
              <w:rPr>
                <w:rFonts w:ascii="Tahoma" w:eastAsia="Times New Roman" w:hAnsi="Tahoma" w:cs="Tahoma"/>
                <w:sz w:val="18"/>
                <w:szCs w:val="18"/>
                <w:lang w:eastAsia="hr-HR"/>
              </w:rPr>
            </w:pPr>
            <w:r w:rsidRPr="00061543">
              <w:rPr>
                <w:rFonts w:ascii="Tahoma" w:eastAsia="Times New Roman" w:hAnsi="Tahoma" w:cs="Tahoma"/>
                <w:sz w:val="18"/>
                <w:szCs w:val="18"/>
                <w:lang w:eastAsia="hr-HR"/>
              </w:rPr>
              <w:t>0</w:t>
            </w:r>
          </w:p>
        </w:tc>
        <w:tc>
          <w:tcPr>
            <w:tcW w:w="473" w:type="dxa"/>
            <w:tcBorders>
              <w:top w:val="nil"/>
              <w:left w:val="nil"/>
              <w:bottom w:val="single" w:sz="4" w:space="0" w:color="auto"/>
              <w:right w:val="single" w:sz="8" w:space="0" w:color="auto"/>
            </w:tcBorders>
            <w:shd w:val="clear" w:color="000000" w:fill="33CCCC"/>
            <w:noWrap/>
            <w:vAlign w:val="center"/>
            <w:hideMark/>
          </w:tcPr>
          <w:p w14:paraId="4C606CE6" w14:textId="77777777" w:rsidR="00061543" w:rsidRPr="00061543" w:rsidRDefault="00061543" w:rsidP="00061543">
            <w:pPr>
              <w:spacing w:after="0" w:line="240" w:lineRule="auto"/>
              <w:jc w:val="right"/>
              <w:rPr>
                <w:rFonts w:ascii="Tahoma" w:eastAsia="Times New Roman" w:hAnsi="Tahoma" w:cs="Tahoma"/>
                <w:sz w:val="18"/>
                <w:szCs w:val="18"/>
                <w:lang w:eastAsia="hr-HR"/>
              </w:rPr>
            </w:pPr>
            <w:r w:rsidRPr="00061543">
              <w:rPr>
                <w:rFonts w:ascii="Tahoma" w:eastAsia="Times New Roman" w:hAnsi="Tahoma" w:cs="Tahoma"/>
                <w:sz w:val="18"/>
                <w:szCs w:val="18"/>
                <w:lang w:eastAsia="hr-HR"/>
              </w:rPr>
              <w:t>0</w:t>
            </w:r>
          </w:p>
        </w:tc>
        <w:tc>
          <w:tcPr>
            <w:tcW w:w="236" w:type="dxa"/>
            <w:gridSpan w:val="3"/>
            <w:vAlign w:val="center"/>
            <w:hideMark/>
          </w:tcPr>
          <w:p w14:paraId="2A3EA06D" w14:textId="77777777" w:rsidR="00061543" w:rsidRPr="00061543" w:rsidRDefault="00061543" w:rsidP="00061543">
            <w:pPr>
              <w:spacing w:after="0" w:line="240" w:lineRule="auto"/>
              <w:rPr>
                <w:rFonts w:ascii="Times New Roman" w:eastAsia="Times New Roman" w:hAnsi="Times New Roman" w:cs="Times New Roman"/>
                <w:sz w:val="18"/>
                <w:szCs w:val="18"/>
                <w:lang w:eastAsia="hr-HR"/>
              </w:rPr>
            </w:pPr>
          </w:p>
        </w:tc>
      </w:tr>
      <w:tr w:rsidR="00061543" w:rsidRPr="00061543" w14:paraId="1242C4CD" w14:textId="77777777" w:rsidTr="00061543">
        <w:trPr>
          <w:gridAfter w:val="2"/>
          <w:wAfter w:w="101" w:type="dxa"/>
          <w:trHeight w:val="420"/>
        </w:trPr>
        <w:tc>
          <w:tcPr>
            <w:tcW w:w="1576" w:type="dxa"/>
            <w:tcBorders>
              <w:top w:val="single" w:sz="4" w:space="0" w:color="auto"/>
              <w:left w:val="single" w:sz="8" w:space="0" w:color="auto"/>
              <w:bottom w:val="single" w:sz="4" w:space="0" w:color="auto"/>
              <w:right w:val="single" w:sz="4" w:space="0" w:color="auto"/>
            </w:tcBorders>
            <w:shd w:val="clear" w:color="000000" w:fill="CCFFCC"/>
            <w:vAlign w:val="center"/>
            <w:hideMark/>
          </w:tcPr>
          <w:p w14:paraId="108D3268" w14:textId="77777777" w:rsidR="00061543" w:rsidRPr="00061543" w:rsidRDefault="00061543" w:rsidP="00061543">
            <w:pPr>
              <w:spacing w:after="0" w:line="240" w:lineRule="auto"/>
              <w:rPr>
                <w:rFonts w:ascii="Tahoma" w:eastAsia="Times New Roman" w:hAnsi="Tahoma" w:cs="Tahoma"/>
                <w:sz w:val="18"/>
                <w:szCs w:val="18"/>
                <w:lang w:eastAsia="hr-HR"/>
              </w:rPr>
            </w:pPr>
            <w:r w:rsidRPr="00061543">
              <w:rPr>
                <w:rFonts w:ascii="Tahoma" w:eastAsia="Times New Roman" w:hAnsi="Tahoma" w:cs="Tahoma"/>
                <w:sz w:val="18"/>
                <w:szCs w:val="18"/>
                <w:lang w:eastAsia="hr-HR"/>
              </w:rPr>
              <w:t>Jezik</w:t>
            </w:r>
          </w:p>
        </w:tc>
        <w:tc>
          <w:tcPr>
            <w:tcW w:w="560" w:type="dxa"/>
            <w:tcBorders>
              <w:top w:val="nil"/>
              <w:left w:val="nil"/>
              <w:bottom w:val="single" w:sz="4" w:space="0" w:color="auto"/>
              <w:right w:val="single" w:sz="4" w:space="0" w:color="auto"/>
            </w:tcBorders>
            <w:shd w:val="clear" w:color="000000" w:fill="FFCC99"/>
            <w:noWrap/>
            <w:vAlign w:val="center"/>
            <w:hideMark/>
          </w:tcPr>
          <w:p w14:paraId="13D37A14" w14:textId="77777777" w:rsidR="00061543" w:rsidRPr="00061543" w:rsidRDefault="00061543" w:rsidP="00061543">
            <w:pPr>
              <w:spacing w:after="0" w:line="240" w:lineRule="auto"/>
              <w:jc w:val="center"/>
              <w:rPr>
                <w:rFonts w:ascii="Tahoma" w:eastAsia="Times New Roman" w:hAnsi="Tahoma" w:cs="Tahoma"/>
                <w:sz w:val="18"/>
                <w:szCs w:val="18"/>
                <w:lang w:eastAsia="hr-HR"/>
              </w:rPr>
            </w:pPr>
            <w:r w:rsidRPr="00061543">
              <w:rPr>
                <w:rFonts w:ascii="Tahoma" w:eastAsia="Times New Roman" w:hAnsi="Tahoma" w:cs="Tahoma"/>
                <w:sz w:val="18"/>
                <w:szCs w:val="18"/>
                <w:lang w:eastAsia="hr-HR"/>
              </w:rPr>
              <w:t>0</w:t>
            </w:r>
          </w:p>
        </w:tc>
        <w:tc>
          <w:tcPr>
            <w:tcW w:w="446" w:type="dxa"/>
            <w:tcBorders>
              <w:top w:val="nil"/>
              <w:left w:val="nil"/>
              <w:bottom w:val="single" w:sz="4" w:space="0" w:color="auto"/>
              <w:right w:val="single" w:sz="4" w:space="0" w:color="auto"/>
            </w:tcBorders>
            <w:shd w:val="clear" w:color="000000" w:fill="FFFF00"/>
            <w:noWrap/>
            <w:vAlign w:val="center"/>
            <w:hideMark/>
          </w:tcPr>
          <w:p w14:paraId="32FF10E2" w14:textId="77777777" w:rsidR="00061543" w:rsidRPr="00061543" w:rsidRDefault="00061543" w:rsidP="00061543">
            <w:pPr>
              <w:spacing w:after="0" w:line="240" w:lineRule="auto"/>
              <w:jc w:val="center"/>
              <w:rPr>
                <w:rFonts w:ascii="Tahoma" w:eastAsia="Times New Roman" w:hAnsi="Tahoma" w:cs="Tahoma"/>
                <w:sz w:val="18"/>
                <w:szCs w:val="18"/>
                <w:lang w:eastAsia="hr-HR"/>
              </w:rPr>
            </w:pPr>
            <w:r w:rsidRPr="00061543">
              <w:rPr>
                <w:rFonts w:ascii="Tahoma" w:eastAsia="Times New Roman" w:hAnsi="Tahoma" w:cs="Tahoma"/>
                <w:sz w:val="18"/>
                <w:szCs w:val="18"/>
                <w:lang w:eastAsia="hr-HR"/>
              </w:rPr>
              <w:t>0</w:t>
            </w:r>
          </w:p>
        </w:tc>
        <w:tc>
          <w:tcPr>
            <w:tcW w:w="787" w:type="dxa"/>
            <w:tcBorders>
              <w:top w:val="nil"/>
              <w:left w:val="nil"/>
              <w:bottom w:val="single" w:sz="4" w:space="0" w:color="auto"/>
              <w:right w:val="single" w:sz="4" w:space="0" w:color="auto"/>
            </w:tcBorders>
            <w:shd w:val="clear" w:color="000000" w:fill="CCFFFF"/>
            <w:vAlign w:val="center"/>
            <w:hideMark/>
          </w:tcPr>
          <w:p w14:paraId="7E3769BE" w14:textId="77777777" w:rsidR="00061543" w:rsidRPr="00061543" w:rsidRDefault="00061543" w:rsidP="00061543">
            <w:pPr>
              <w:spacing w:after="0" w:line="240" w:lineRule="auto"/>
              <w:jc w:val="right"/>
              <w:rPr>
                <w:rFonts w:ascii="Tahoma" w:eastAsia="Times New Roman" w:hAnsi="Tahoma" w:cs="Tahoma"/>
                <w:sz w:val="18"/>
                <w:szCs w:val="18"/>
                <w:lang w:eastAsia="hr-HR"/>
              </w:rPr>
            </w:pPr>
            <w:r w:rsidRPr="00061543">
              <w:rPr>
                <w:rFonts w:ascii="Tahoma" w:eastAsia="Times New Roman" w:hAnsi="Tahoma" w:cs="Tahoma"/>
                <w:sz w:val="18"/>
                <w:szCs w:val="18"/>
                <w:lang w:eastAsia="hr-HR"/>
              </w:rPr>
              <w:t>0</w:t>
            </w:r>
          </w:p>
        </w:tc>
        <w:tc>
          <w:tcPr>
            <w:tcW w:w="581" w:type="dxa"/>
            <w:tcBorders>
              <w:top w:val="nil"/>
              <w:left w:val="nil"/>
              <w:bottom w:val="single" w:sz="4" w:space="0" w:color="auto"/>
              <w:right w:val="single" w:sz="4" w:space="0" w:color="auto"/>
            </w:tcBorders>
            <w:shd w:val="clear" w:color="000000" w:fill="CCFFFF"/>
            <w:noWrap/>
            <w:vAlign w:val="center"/>
            <w:hideMark/>
          </w:tcPr>
          <w:p w14:paraId="2EE08E58" w14:textId="77777777" w:rsidR="00061543" w:rsidRPr="00061543" w:rsidRDefault="00061543" w:rsidP="00061543">
            <w:pPr>
              <w:spacing w:after="0" w:line="240" w:lineRule="auto"/>
              <w:jc w:val="right"/>
              <w:rPr>
                <w:rFonts w:ascii="Tahoma" w:eastAsia="Times New Roman" w:hAnsi="Tahoma" w:cs="Tahoma"/>
                <w:sz w:val="18"/>
                <w:szCs w:val="18"/>
                <w:lang w:eastAsia="hr-HR"/>
              </w:rPr>
            </w:pPr>
            <w:r w:rsidRPr="00061543">
              <w:rPr>
                <w:rFonts w:ascii="Tahoma" w:eastAsia="Times New Roman" w:hAnsi="Tahoma" w:cs="Tahoma"/>
                <w:sz w:val="18"/>
                <w:szCs w:val="18"/>
                <w:lang w:eastAsia="hr-HR"/>
              </w:rPr>
              <w:t>0</w:t>
            </w:r>
          </w:p>
        </w:tc>
        <w:tc>
          <w:tcPr>
            <w:tcW w:w="446" w:type="dxa"/>
            <w:tcBorders>
              <w:top w:val="nil"/>
              <w:left w:val="nil"/>
              <w:bottom w:val="single" w:sz="4" w:space="0" w:color="auto"/>
              <w:right w:val="single" w:sz="4" w:space="0" w:color="auto"/>
            </w:tcBorders>
            <w:shd w:val="clear" w:color="000000" w:fill="FFFF99"/>
            <w:noWrap/>
            <w:vAlign w:val="center"/>
            <w:hideMark/>
          </w:tcPr>
          <w:p w14:paraId="77C1843B" w14:textId="77777777" w:rsidR="00061543" w:rsidRPr="00061543" w:rsidRDefault="00061543" w:rsidP="00061543">
            <w:pPr>
              <w:spacing w:after="0" w:line="240" w:lineRule="auto"/>
              <w:jc w:val="center"/>
              <w:rPr>
                <w:rFonts w:ascii="Tahoma" w:eastAsia="Times New Roman" w:hAnsi="Tahoma" w:cs="Tahoma"/>
                <w:sz w:val="18"/>
                <w:szCs w:val="18"/>
                <w:lang w:eastAsia="hr-HR"/>
              </w:rPr>
            </w:pPr>
            <w:r w:rsidRPr="00061543">
              <w:rPr>
                <w:rFonts w:ascii="Tahoma" w:eastAsia="Times New Roman" w:hAnsi="Tahoma" w:cs="Tahoma"/>
                <w:sz w:val="18"/>
                <w:szCs w:val="18"/>
                <w:lang w:eastAsia="hr-HR"/>
              </w:rPr>
              <w:t>0</w:t>
            </w:r>
          </w:p>
        </w:tc>
        <w:tc>
          <w:tcPr>
            <w:tcW w:w="697" w:type="dxa"/>
            <w:tcBorders>
              <w:top w:val="nil"/>
              <w:left w:val="nil"/>
              <w:bottom w:val="single" w:sz="4" w:space="0" w:color="auto"/>
              <w:right w:val="single" w:sz="4" w:space="0" w:color="auto"/>
            </w:tcBorders>
            <w:shd w:val="clear" w:color="000000" w:fill="FFFF99"/>
            <w:noWrap/>
            <w:vAlign w:val="center"/>
            <w:hideMark/>
          </w:tcPr>
          <w:p w14:paraId="55FAC976" w14:textId="77777777" w:rsidR="00061543" w:rsidRPr="00061543" w:rsidRDefault="00061543" w:rsidP="00061543">
            <w:pPr>
              <w:spacing w:after="0" w:line="240" w:lineRule="auto"/>
              <w:jc w:val="center"/>
              <w:rPr>
                <w:rFonts w:ascii="Tahoma" w:eastAsia="Times New Roman" w:hAnsi="Tahoma" w:cs="Tahoma"/>
                <w:sz w:val="18"/>
                <w:szCs w:val="18"/>
                <w:lang w:eastAsia="hr-HR"/>
              </w:rPr>
            </w:pPr>
            <w:r w:rsidRPr="00061543">
              <w:rPr>
                <w:rFonts w:ascii="Tahoma" w:eastAsia="Times New Roman" w:hAnsi="Tahoma" w:cs="Tahoma"/>
                <w:sz w:val="18"/>
                <w:szCs w:val="18"/>
                <w:lang w:eastAsia="hr-HR"/>
              </w:rPr>
              <w:t>0</w:t>
            </w:r>
          </w:p>
        </w:tc>
        <w:tc>
          <w:tcPr>
            <w:tcW w:w="446" w:type="dxa"/>
            <w:tcBorders>
              <w:top w:val="nil"/>
              <w:left w:val="nil"/>
              <w:bottom w:val="single" w:sz="4" w:space="0" w:color="auto"/>
              <w:right w:val="single" w:sz="4" w:space="0" w:color="auto"/>
            </w:tcBorders>
            <w:shd w:val="clear" w:color="000000" w:fill="FFFF99"/>
            <w:noWrap/>
            <w:vAlign w:val="center"/>
            <w:hideMark/>
          </w:tcPr>
          <w:p w14:paraId="110FA1CA" w14:textId="77777777" w:rsidR="00061543" w:rsidRPr="00061543" w:rsidRDefault="00061543" w:rsidP="00061543">
            <w:pPr>
              <w:spacing w:after="0" w:line="240" w:lineRule="auto"/>
              <w:jc w:val="center"/>
              <w:rPr>
                <w:rFonts w:ascii="Tahoma" w:eastAsia="Times New Roman" w:hAnsi="Tahoma" w:cs="Tahoma"/>
                <w:sz w:val="18"/>
                <w:szCs w:val="18"/>
                <w:lang w:eastAsia="hr-HR"/>
              </w:rPr>
            </w:pPr>
            <w:r w:rsidRPr="00061543">
              <w:rPr>
                <w:rFonts w:ascii="Tahoma" w:eastAsia="Times New Roman" w:hAnsi="Tahoma" w:cs="Tahoma"/>
                <w:sz w:val="18"/>
                <w:szCs w:val="18"/>
                <w:lang w:eastAsia="hr-HR"/>
              </w:rPr>
              <w:t>0</w:t>
            </w:r>
          </w:p>
        </w:tc>
        <w:tc>
          <w:tcPr>
            <w:tcW w:w="567" w:type="dxa"/>
            <w:tcBorders>
              <w:top w:val="nil"/>
              <w:left w:val="nil"/>
              <w:bottom w:val="single" w:sz="4" w:space="0" w:color="auto"/>
              <w:right w:val="single" w:sz="4" w:space="0" w:color="auto"/>
            </w:tcBorders>
            <w:shd w:val="clear" w:color="000000" w:fill="FFFF99"/>
            <w:noWrap/>
            <w:vAlign w:val="center"/>
            <w:hideMark/>
          </w:tcPr>
          <w:p w14:paraId="1FBE87C5" w14:textId="77777777" w:rsidR="00061543" w:rsidRPr="00061543" w:rsidRDefault="00061543" w:rsidP="00061543">
            <w:pPr>
              <w:spacing w:after="0" w:line="240" w:lineRule="auto"/>
              <w:jc w:val="center"/>
              <w:rPr>
                <w:rFonts w:ascii="Tahoma" w:eastAsia="Times New Roman" w:hAnsi="Tahoma" w:cs="Tahoma"/>
                <w:sz w:val="18"/>
                <w:szCs w:val="18"/>
                <w:lang w:eastAsia="hr-HR"/>
              </w:rPr>
            </w:pPr>
            <w:r w:rsidRPr="00061543">
              <w:rPr>
                <w:rFonts w:ascii="Tahoma" w:eastAsia="Times New Roman" w:hAnsi="Tahoma" w:cs="Tahoma"/>
                <w:sz w:val="18"/>
                <w:szCs w:val="18"/>
                <w:lang w:eastAsia="hr-HR"/>
              </w:rPr>
              <w:t>0</w:t>
            </w:r>
          </w:p>
        </w:tc>
        <w:tc>
          <w:tcPr>
            <w:tcW w:w="468" w:type="dxa"/>
            <w:tcBorders>
              <w:top w:val="nil"/>
              <w:left w:val="nil"/>
              <w:bottom w:val="single" w:sz="4" w:space="0" w:color="auto"/>
              <w:right w:val="single" w:sz="4" w:space="0" w:color="auto"/>
            </w:tcBorders>
            <w:shd w:val="clear" w:color="000000" w:fill="FFFF99"/>
            <w:noWrap/>
            <w:vAlign w:val="center"/>
            <w:hideMark/>
          </w:tcPr>
          <w:p w14:paraId="6B6B4BAF" w14:textId="77777777" w:rsidR="00061543" w:rsidRPr="00061543" w:rsidRDefault="00061543" w:rsidP="00061543">
            <w:pPr>
              <w:spacing w:after="0" w:line="240" w:lineRule="auto"/>
              <w:jc w:val="center"/>
              <w:rPr>
                <w:rFonts w:ascii="Tahoma" w:eastAsia="Times New Roman" w:hAnsi="Tahoma" w:cs="Tahoma"/>
                <w:sz w:val="18"/>
                <w:szCs w:val="18"/>
                <w:lang w:eastAsia="hr-HR"/>
              </w:rPr>
            </w:pPr>
            <w:r w:rsidRPr="00061543">
              <w:rPr>
                <w:rFonts w:ascii="Tahoma" w:eastAsia="Times New Roman" w:hAnsi="Tahoma" w:cs="Tahoma"/>
                <w:sz w:val="18"/>
                <w:szCs w:val="18"/>
                <w:lang w:eastAsia="hr-HR"/>
              </w:rPr>
              <w:t>0</w:t>
            </w:r>
          </w:p>
        </w:tc>
        <w:tc>
          <w:tcPr>
            <w:tcW w:w="808" w:type="dxa"/>
            <w:tcBorders>
              <w:top w:val="nil"/>
              <w:left w:val="nil"/>
              <w:bottom w:val="single" w:sz="4" w:space="0" w:color="auto"/>
              <w:right w:val="single" w:sz="4" w:space="0" w:color="auto"/>
            </w:tcBorders>
            <w:shd w:val="clear" w:color="000000" w:fill="FFFF99"/>
            <w:noWrap/>
            <w:vAlign w:val="center"/>
            <w:hideMark/>
          </w:tcPr>
          <w:p w14:paraId="0E435E7B" w14:textId="77777777" w:rsidR="00061543" w:rsidRPr="00061543" w:rsidRDefault="00061543" w:rsidP="00061543">
            <w:pPr>
              <w:spacing w:after="0" w:line="240" w:lineRule="auto"/>
              <w:jc w:val="center"/>
              <w:rPr>
                <w:rFonts w:ascii="Tahoma" w:eastAsia="Times New Roman" w:hAnsi="Tahoma" w:cs="Tahoma"/>
                <w:sz w:val="18"/>
                <w:szCs w:val="18"/>
                <w:lang w:eastAsia="hr-HR"/>
              </w:rPr>
            </w:pPr>
            <w:r w:rsidRPr="00061543">
              <w:rPr>
                <w:rFonts w:ascii="Tahoma" w:eastAsia="Times New Roman" w:hAnsi="Tahoma" w:cs="Tahoma"/>
                <w:sz w:val="18"/>
                <w:szCs w:val="18"/>
                <w:lang w:eastAsia="hr-HR"/>
              </w:rPr>
              <w:t>0</w:t>
            </w:r>
          </w:p>
        </w:tc>
        <w:tc>
          <w:tcPr>
            <w:tcW w:w="468" w:type="dxa"/>
            <w:gridSpan w:val="2"/>
            <w:tcBorders>
              <w:top w:val="nil"/>
              <w:left w:val="nil"/>
              <w:bottom w:val="single" w:sz="4" w:space="0" w:color="auto"/>
              <w:right w:val="single" w:sz="4" w:space="0" w:color="auto"/>
            </w:tcBorders>
            <w:shd w:val="clear" w:color="000000" w:fill="FF9900"/>
            <w:noWrap/>
            <w:vAlign w:val="center"/>
            <w:hideMark/>
          </w:tcPr>
          <w:p w14:paraId="498C495C" w14:textId="77777777" w:rsidR="00061543" w:rsidRPr="00061543" w:rsidRDefault="00061543" w:rsidP="00061543">
            <w:pPr>
              <w:spacing w:after="0" w:line="240" w:lineRule="auto"/>
              <w:jc w:val="right"/>
              <w:rPr>
                <w:rFonts w:ascii="Tahoma" w:eastAsia="Times New Roman" w:hAnsi="Tahoma" w:cs="Tahoma"/>
                <w:sz w:val="18"/>
                <w:szCs w:val="18"/>
                <w:lang w:eastAsia="hr-HR"/>
              </w:rPr>
            </w:pPr>
            <w:r w:rsidRPr="00061543">
              <w:rPr>
                <w:rFonts w:ascii="Tahoma" w:eastAsia="Times New Roman" w:hAnsi="Tahoma" w:cs="Tahoma"/>
                <w:sz w:val="18"/>
                <w:szCs w:val="18"/>
                <w:lang w:eastAsia="hr-HR"/>
              </w:rPr>
              <w:t>0</w:t>
            </w:r>
          </w:p>
        </w:tc>
        <w:tc>
          <w:tcPr>
            <w:tcW w:w="524" w:type="dxa"/>
            <w:tcBorders>
              <w:top w:val="nil"/>
              <w:left w:val="nil"/>
              <w:bottom w:val="single" w:sz="4" w:space="0" w:color="auto"/>
              <w:right w:val="single" w:sz="4" w:space="0" w:color="auto"/>
            </w:tcBorders>
            <w:shd w:val="clear" w:color="000000" w:fill="FF9900"/>
            <w:noWrap/>
            <w:vAlign w:val="center"/>
            <w:hideMark/>
          </w:tcPr>
          <w:p w14:paraId="25E71C80" w14:textId="77777777" w:rsidR="00061543" w:rsidRPr="00061543" w:rsidRDefault="00061543" w:rsidP="00061543">
            <w:pPr>
              <w:spacing w:after="0" w:line="240" w:lineRule="auto"/>
              <w:jc w:val="right"/>
              <w:rPr>
                <w:rFonts w:ascii="Tahoma" w:eastAsia="Times New Roman" w:hAnsi="Tahoma" w:cs="Tahoma"/>
                <w:sz w:val="18"/>
                <w:szCs w:val="18"/>
                <w:lang w:eastAsia="hr-HR"/>
              </w:rPr>
            </w:pPr>
            <w:r w:rsidRPr="00061543">
              <w:rPr>
                <w:rFonts w:ascii="Tahoma" w:eastAsia="Times New Roman" w:hAnsi="Tahoma" w:cs="Tahoma"/>
                <w:sz w:val="18"/>
                <w:szCs w:val="18"/>
                <w:lang w:eastAsia="hr-HR"/>
              </w:rPr>
              <w:t>0</w:t>
            </w:r>
          </w:p>
        </w:tc>
        <w:tc>
          <w:tcPr>
            <w:tcW w:w="468" w:type="dxa"/>
            <w:tcBorders>
              <w:top w:val="nil"/>
              <w:left w:val="nil"/>
              <w:bottom w:val="single" w:sz="4" w:space="0" w:color="auto"/>
              <w:right w:val="single" w:sz="4" w:space="0" w:color="auto"/>
            </w:tcBorders>
            <w:shd w:val="clear" w:color="000000" w:fill="FF9900"/>
            <w:noWrap/>
            <w:vAlign w:val="center"/>
            <w:hideMark/>
          </w:tcPr>
          <w:p w14:paraId="2E3D1851" w14:textId="77777777" w:rsidR="00061543" w:rsidRPr="00061543" w:rsidRDefault="00061543" w:rsidP="00061543">
            <w:pPr>
              <w:spacing w:after="0" w:line="240" w:lineRule="auto"/>
              <w:jc w:val="right"/>
              <w:rPr>
                <w:rFonts w:ascii="Tahoma" w:eastAsia="Times New Roman" w:hAnsi="Tahoma" w:cs="Tahoma"/>
                <w:sz w:val="18"/>
                <w:szCs w:val="18"/>
                <w:lang w:eastAsia="hr-HR"/>
              </w:rPr>
            </w:pPr>
            <w:r w:rsidRPr="00061543">
              <w:rPr>
                <w:rFonts w:ascii="Tahoma" w:eastAsia="Times New Roman" w:hAnsi="Tahoma" w:cs="Tahoma"/>
                <w:sz w:val="18"/>
                <w:szCs w:val="18"/>
                <w:lang w:eastAsia="hr-HR"/>
              </w:rPr>
              <w:t>0</w:t>
            </w:r>
          </w:p>
        </w:tc>
        <w:tc>
          <w:tcPr>
            <w:tcW w:w="468" w:type="dxa"/>
            <w:tcBorders>
              <w:top w:val="nil"/>
              <w:left w:val="nil"/>
              <w:bottom w:val="single" w:sz="4" w:space="0" w:color="auto"/>
              <w:right w:val="single" w:sz="4" w:space="0" w:color="auto"/>
            </w:tcBorders>
            <w:shd w:val="clear" w:color="000000" w:fill="FFFF00"/>
            <w:vAlign w:val="center"/>
            <w:hideMark/>
          </w:tcPr>
          <w:p w14:paraId="78DAAFA4" w14:textId="77777777" w:rsidR="00061543" w:rsidRPr="00061543" w:rsidRDefault="00061543" w:rsidP="00061543">
            <w:pPr>
              <w:spacing w:after="0" w:line="240" w:lineRule="auto"/>
              <w:jc w:val="center"/>
              <w:rPr>
                <w:rFonts w:ascii="Tahoma" w:eastAsia="Times New Roman" w:hAnsi="Tahoma" w:cs="Tahoma"/>
                <w:sz w:val="18"/>
                <w:szCs w:val="18"/>
                <w:lang w:eastAsia="hr-HR"/>
              </w:rPr>
            </w:pPr>
            <w:r w:rsidRPr="00061543">
              <w:rPr>
                <w:rFonts w:ascii="Tahoma" w:eastAsia="Times New Roman" w:hAnsi="Tahoma" w:cs="Tahoma"/>
                <w:sz w:val="18"/>
                <w:szCs w:val="18"/>
                <w:lang w:eastAsia="hr-HR"/>
              </w:rPr>
              <w:t>0</w:t>
            </w:r>
          </w:p>
        </w:tc>
        <w:tc>
          <w:tcPr>
            <w:tcW w:w="560" w:type="dxa"/>
            <w:gridSpan w:val="2"/>
            <w:tcBorders>
              <w:top w:val="nil"/>
              <w:left w:val="nil"/>
              <w:bottom w:val="single" w:sz="4" w:space="0" w:color="auto"/>
              <w:right w:val="single" w:sz="4" w:space="0" w:color="auto"/>
            </w:tcBorders>
            <w:shd w:val="clear" w:color="000000" w:fill="FF9900"/>
            <w:vAlign w:val="center"/>
            <w:hideMark/>
          </w:tcPr>
          <w:p w14:paraId="78912D12" w14:textId="77777777" w:rsidR="00061543" w:rsidRPr="00061543" w:rsidRDefault="00061543" w:rsidP="00061543">
            <w:pPr>
              <w:spacing w:after="0" w:line="240" w:lineRule="auto"/>
              <w:jc w:val="center"/>
              <w:rPr>
                <w:rFonts w:ascii="Tahoma" w:eastAsia="Times New Roman" w:hAnsi="Tahoma" w:cs="Tahoma"/>
                <w:sz w:val="18"/>
                <w:szCs w:val="18"/>
                <w:lang w:eastAsia="hr-HR"/>
              </w:rPr>
            </w:pPr>
            <w:r w:rsidRPr="00061543">
              <w:rPr>
                <w:rFonts w:ascii="Tahoma" w:eastAsia="Times New Roman" w:hAnsi="Tahoma" w:cs="Tahoma"/>
                <w:sz w:val="18"/>
                <w:szCs w:val="18"/>
                <w:lang w:eastAsia="hr-HR"/>
              </w:rPr>
              <w:t>0</w:t>
            </w:r>
          </w:p>
        </w:tc>
        <w:tc>
          <w:tcPr>
            <w:tcW w:w="905" w:type="dxa"/>
            <w:gridSpan w:val="2"/>
            <w:tcBorders>
              <w:top w:val="nil"/>
              <w:left w:val="nil"/>
              <w:bottom w:val="single" w:sz="4" w:space="0" w:color="auto"/>
              <w:right w:val="single" w:sz="4" w:space="0" w:color="auto"/>
            </w:tcBorders>
            <w:shd w:val="clear" w:color="000000" w:fill="FF9900"/>
            <w:vAlign w:val="center"/>
            <w:hideMark/>
          </w:tcPr>
          <w:p w14:paraId="747B0D89" w14:textId="77777777" w:rsidR="00061543" w:rsidRPr="00061543" w:rsidRDefault="00061543" w:rsidP="00061543">
            <w:pPr>
              <w:spacing w:after="0" w:line="240" w:lineRule="auto"/>
              <w:jc w:val="center"/>
              <w:rPr>
                <w:rFonts w:ascii="Tahoma" w:eastAsia="Times New Roman" w:hAnsi="Tahoma" w:cs="Tahoma"/>
                <w:sz w:val="18"/>
                <w:szCs w:val="18"/>
                <w:lang w:eastAsia="hr-HR"/>
              </w:rPr>
            </w:pPr>
            <w:r w:rsidRPr="00061543">
              <w:rPr>
                <w:rFonts w:ascii="Tahoma" w:eastAsia="Times New Roman" w:hAnsi="Tahoma" w:cs="Tahoma"/>
                <w:sz w:val="18"/>
                <w:szCs w:val="18"/>
                <w:lang w:eastAsia="hr-HR"/>
              </w:rPr>
              <w:t>0</w:t>
            </w:r>
          </w:p>
        </w:tc>
        <w:tc>
          <w:tcPr>
            <w:tcW w:w="498" w:type="dxa"/>
            <w:tcBorders>
              <w:top w:val="nil"/>
              <w:left w:val="nil"/>
              <w:bottom w:val="single" w:sz="4" w:space="0" w:color="auto"/>
              <w:right w:val="single" w:sz="4" w:space="0" w:color="auto"/>
            </w:tcBorders>
            <w:shd w:val="clear" w:color="000000" w:fill="FF9900"/>
            <w:vAlign w:val="center"/>
            <w:hideMark/>
          </w:tcPr>
          <w:p w14:paraId="2FC346AB" w14:textId="77777777" w:rsidR="00061543" w:rsidRPr="00061543" w:rsidRDefault="00061543" w:rsidP="00061543">
            <w:pPr>
              <w:spacing w:after="0" w:line="240" w:lineRule="auto"/>
              <w:jc w:val="center"/>
              <w:rPr>
                <w:rFonts w:ascii="Tahoma" w:eastAsia="Times New Roman" w:hAnsi="Tahoma" w:cs="Tahoma"/>
                <w:sz w:val="18"/>
                <w:szCs w:val="18"/>
                <w:lang w:eastAsia="hr-HR"/>
              </w:rPr>
            </w:pPr>
            <w:r w:rsidRPr="00061543">
              <w:rPr>
                <w:rFonts w:ascii="Tahoma" w:eastAsia="Times New Roman" w:hAnsi="Tahoma" w:cs="Tahoma"/>
                <w:sz w:val="18"/>
                <w:szCs w:val="18"/>
                <w:lang w:eastAsia="hr-HR"/>
              </w:rPr>
              <w:t>0</w:t>
            </w:r>
          </w:p>
        </w:tc>
        <w:tc>
          <w:tcPr>
            <w:tcW w:w="1016" w:type="dxa"/>
            <w:gridSpan w:val="2"/>
            <w:tcBorders>
              <w:top w:val="nil"/>
              <w:left w:val="nil"/>
              <w:bottom w:val="single" w:sz="4" w:space="0" w:color="auto"/>
              <w:right w:val="single" w:sz="4" w:space="0" w:color="auto"/>
            </w:tcBorders>
            <w:shd w:val="clear" w:color="000000" w:fill="FF9900"/>
            <w:vAlign w:val="center"/>
            <w:hideMark/>
          </w:tcPr>
          <w:p w14:paraId="717AD85F" w14:textId="77777777" w:rsidR="00061543" w:rsidRPr="00061543" w:rsidRDefault="00061543" w:rsidP="00061543">
            <w:pPr>
              <w:spacing w:after="0" w:line="240" w:lineRule="auto"/>
              <w:jc w:val="center"/>
              <w:rPr>
                <w:rFonts w:ascii="Tahoma" w:eastAsia="Times New Roman" w:hAnsi="Tahoma" w:cs="Tahoma"/>
                <w:sz w:val="18"/>
                <w:szCs w:val="18"/>
                <w:lang w:eastAsia="hr-HR"/>
              </w:rPr>
            </w:pPr>
            <w:r w:rsidRPr="00061543">
              <w:rPr>
                <w:rFonts w:ascii="Tahoma" w:eastAsia="Times New Roman" w:hAnsi="Tahoma" w:cs="Tahoma"/>
                <w:sz w:val="18"/>
                <w:szCs w:val="18"/>
                <w:lang w:eastAsia="hr-HR"/>
              </w:rPr>
              <w:t>0</w:t>
            </w:r>
          </w:p>
        </w:tc>
        <w:tc>
          <w:tcPr>
            <w:tcW w:w="505" w:type="dxa"/>
            <w:gridSpan w:val="2"/>
            <w:tcBorders>
              <w:top w:val="nil"/>
              <w:left w:val="nil"/>
              <w:bottom w:val="single" w:sz="4" w:space="0" w:color="auto"/>
              <w:right w:val="single" w:sz="4" w:space="0" w:color="auto"/>
            </w:tcBorders>
            <w:shd w:val="clear" w:color="000000" w:fill="CCFFFF"/>
            <w:vAlign w:val="center"/>
            <w:hideMark/>
          </w:tcPr>
          <w:p w14:paraId="10CBB4F1" w14:textId="77777777" w:rsidR="00061543" w:rsidRPr="00061543" w:rsidRDefault="00061543" w:rsidP="00061543">
            <w:pPr>
              <w:spacing w:after="0" w:line="240" w:lineRule="auto"/>
              <w:jc w:val="right"/>
              <w:rPr>
                <w:rFonts w:ascii="Tahoma" w:eastAsia="Times New Roman" w:hAnsi="Tahoma" w:cs="Tahoma"/>
                <w:sz w:val="18"/>
                <w:szCs w:val="18"/>
                <w:lang w:eastAsia="hr-HR"/>
              </w:rPr>
            </w:pPr>
            <w:r w:rsidRPr="00061543">
              <w:rPr>
                <w:rFonts w:ascii="Tahoma" w:eastAsia="Times New Roman" w:hAnsi="Tahoma" w:cs="Tahoma"/>
                <w:sz w:val="18"/>
                <w:szCs w:val="18"/>
                <w:lang w:eastAsia="hr-HR"/>
              </w:rPr>
              <w:t>0</w:t>
            </w:r>
          </w:p>
        </w:tc>
        <w:tc>
          <w:tcPr>
            <w:tcW w:w="468" w:type="dxa"/>
            <w:tcBorders>
              <w:top w:val="nil"/>
              <w:left w:val="nil"/>
              <w:bottom w:val="single" w:sz="4" w:space="0" w:color="auto"/>
              <w:right w:val="single" w:sz="4" w:space="0" w:color="auto"/>
            </w:tcBorders>
            <w:shd w:val="clear" w:color="000000" w:fill="CCFFFF"/>
            <w:vAlign w:val="center"/>
            <w:hideMark/>
          </w:tcPr>
          <w:p w14:paraId="71E941E9" w14:textId="77777777" w:rsidR="00061543" w:rsidRPr="00061543" w:rsidRDefault="00061543" w:rsidP="00061543">
            <w:pPr>
              <w:spacing w:after="0" w:line="240" w:lineRule="auto"/>
              <w:jc w:val="right"/>
              <w:rPr>
                <w:rFonts w:ascii="Tahoma" w:eastAsia="Times New Roman" w:hAnsi="Tahoma" w:cs="Tahoma"/>
                <w:sz w:val="18"/>
                <w:szCs w:val="18"/>
                <w:lang w:eastAsia="hr-HR"/>
              </w:rPr>
            </w:pPr>
            <w:r w:rsidRPr="00061543">
              <w:rPr>
                <w:rFonts w:ascii="Tahoma" w:eastAsia="Times New Roman" w:hAnsi="Tahoma" w:cs="Tahoma"/>
                <w:sz w:val="18"/>
                <w:szCs w:val="18"/>
                <w:lang w:eastAsia="hr-HR"/>
              </w:rPr>
              <w:t>0</w:t>
            </w:r>
          </w:p>
        </w:tc>
        <w:tc>
          <w:tcPr>
            <w:tcW w:w="336" w:type="dxa"/>
            <w:tcBorders>
              <w:top w:val="nil"/>
              <w:left w:val="nil"/>
              <w:bottom w:val="single" w:sz="4" w:space="0" w:color="auto"/>
              <w:right w:val="single" w:sz="4" w:space="0" w:color="auto"/>
            </w:tcBorders>
            <w:shd w:val="clear" w:color="000000" w:fill="CCFFFF"/>
            <w:noWrap/>
            <w:vAlign w:val="center"/>
            <w:hideMark/>
          </w:tcPr>
          <w:p w14:paraId="1C9288F9" w14:textId="77777777" w:rsidR="00061543" w:rsidRPr="00061543" w:rsidRDefault="00061543" w:rsidP="00061543">
            <w:pPr>
              <w:spacing w:after="0" w:line="240" w:lineRule="auto"/>
              <w:jc w:val="right"/>
              <w:rPr>
                <w:rFonts w:ascii="Tahoma" w:eastAsia="Times New Roman" w:hAnsi="Tahoma" w:cs="Tahoma"/>
                <w:sz w:val="18"/>
                <w:szCs w:val="18"/>
                <w:lang w:eastAsia="hr-HR"/>
              </w:rPr>
            </w:pPr>
            <w:r w:rsidRPr="00061543">
              <w:rPr>
                <w:rFonts w:ascii="Tahoma" w:eastAsia="Times New Roman" w:hAnsi="Tahoma" w:cs="Tahoma"/>
                <w:sz w:val="18"/>
                <w:szCs w:val="18"/>
                <w:lang w:eastAsia="hr-HR"/>
              </w:rPr>
              <w:t>0</w:t>
            </w:r>
          </w:p>
        </w:tc>
        <w:tc>
          <w:tcPr>
            <w:tcW w:w="426" w:type="dxa"/>
            <w:tcBorders>
              <w:top w:val="nil"/>
              <w:left w:val="nil"/>
              <w:bottom w:val="single" w:sz="4" w:space="0" w:color="auto"/>
              <w:right w:val="single" w:sz="4" w:space="0" w:color="auto"/>
            </w:tcBorders>
            <w:shd w:val="clear" w:color="000000" w:fill="33CCCC"/>
            <w:noWrap/>
            <w:vAlign w:val="center"/>
            <w:hideMark/>
          </w:tcPr>
          <w:p w14:paraId="3C9D7FB7" w14:textId="77777777" w:rsidR="00061543" w:rsidRPr="00061543" w:rsidRDefault="00061543" w:rsidP="00061543">
            <w:pPr>
              <w:spacing w:after="0" w:line="240" w:lineRule="auto"/>
              <w:jc w:val="right"/>
              <w:rPr>
                <w:rFonts w:ascii="Tahoma" w:eastAsia="Times New Roman" w:hAnsi="Tahoma" w:cs="Tahoma"/>
                <w:sz w:val="18"/>
                <w:szCs w:val="18"/>
                <w:lang w:eastAsia="hr-HR"/>
              </w:rPr>
            </w:pPr>
            <w:r w:rsidRPr="00061543">
              <w:rPr>
                <w:rFonts w:ascii="Tahoma" w:eastAsia="Times New Roman" w:hAnsi="Tahoma" w:cs="Tahoma"/>
                <w:sz w:val="18"/>
                <w:szCs w:val="18"/>
                <w:lang w:eastAsia="hr-HR"/>
              </w:rPr>
              <w:t>0</w:t>
            </w:r>
          </w:p>
        </w:tc>
        <w:tc>
          <w:tcPr>
            <w:tcW w:w="473" w:type="dxa"/>
            <w:tcBorders>
              <w:top w:val="nil"/>
              <w:left w:val="nil"/>
              <w:bottom w:val="single" w:sz="4" w:space="0" w:color="auto"/>
              <w:right w:val="single" w:sz="8" w:space="0" w:color="auto"/>
            </w:tcBorders>
            <w:shd w:val="clear" w:color="000000" w:fill="33CCCC"/>
            <w:noWrap/>
            <w:vAlign w:val="center"/>
            <w:hideMark/>
          </w:tcPr>
          <w:p w14:paraId="01395F5C" w14:textId="77777777" w:rsidR="00061543" w:rsidRPr="00061543" w:rsidRDefault="00061543" w:rsidP="00061543">
            <w:pPr>
              <w:spacing w:after="0" w:line="240" w:lineRule="auto"/>
              <w:jc w:val="right"/>
              <w:rPr>
                <w:rFonts w:ascii="Tahoma" w:eastAsia="Times New Roman" w:hAnsi="Tahoma" w:cs="Tahoma"/>
                <w:sz w:val="18"/>
                <w:szCs w:val="18"/>
                <w:lang w:eastAsia="hr-HR"/>
              </w:rPr>
            </w:pPr>
            <w:r w:rsidRPr="00061543">
              <w:rPr>
                <w:rFonts w:ascii="Tahoma" w:eastAsia="Times New Roman" w:hAnsi="Tahoma" w:cs="Tahoma"/>
                <w:sz w:val="18"/>
                <w:szCs w:val="18"/>
                <w:lang w:eastAsia="hr-HR"/>
              </w:rPr>
              <w:t>0</w:t>
            </w:r>
          </w:p>
        </w:tc>
        <w:tc>
          <w:tcPr>
            <w:tcW w:w="236" w:type="dxa"/>
            <w:gridSpan w:val="3"/>
            <w:vAlign w:val="center"/>
            <w:hideMark/>
          </w:tcPr>
          <w:p w14:paraId="110BF1AA" w14:textId="77777777" w:rsidR="00061543" w:rsidRPr="00061543" w:rsidRDefault="00061543" w:rsidP="00061543">
            <w:pPr>
              <w:spacing w:after="0" w:line="240" w:lineRule="auto"/>
              <w:rPr>
                <w:rFonts w:ascii="Times New Roman" w:eastAsia="Times New Roman" w:hAnsi="Times New Roman" w:cs="Times New Roman"/>
                <w:sz w:val="18"/>
                <w:szCs w:val="18"/>
                <w:lang w:eastAsia="hr-HR"/>
              </w:rPr>
            </w:pPr>
          </w:p>
        </w:tc>
      </w:tr>
      <w:tr w:rsidR="00061543" w:rsidRPr="00061543" w14:paraId="7FE5C3A5" w14:textId="77777777" w:rsidTr="00061543">
        <w:trPr>
          <w:gridAfter w:val="2"/>
          <w:wAfter w:w="101" w:type="dxa"/>
          <w:trHeight w:val="420"/>
        </w:trPr>
        <w:tc>
          <w:tcPr>
            <w:tcW w:w="1576" w:type="dxa"/>
            <w:tcBorders>
              <w:top w:val="single" w:sz="4" w:space="0" w:color="auto"/>
              <w:left w:val="single" w:sz="8" w:space="0" w:color="auto"/>
              <w:bottom w:val="single" w:sz="4" w:space="0" w:color="auto"/>
              <w:right w:val="single" w:sz="4" w:space="0" w:color="auto"/>
            </w:tcBorders>
            <w:shd w:val="clear" w:color="000000" w:fill="CCFFCC"/>
            <w:vAlign w:val="center"/>
            <w:hideMark/>
          </w:tcPr>
          <w:p w14:paraId="2684BABD" w14:textId="77777777" w:rsidR="00061543" w:rsidRPr="00061543" w:rsidRDefault="00061543" w:rsidP="00061543">
            <w:pPr>
              <w:spacing w:after="0" w:line="240" w:lineRule="auto"/>
              <w:rPr>
                <w:rFonts w:ascii="Tahoma" w:eastAsia="Times New Roman" w:hAnsi="Tahoma" w:cs="Tahoma"/>
                <w:sz w:val="18"/>
                <w:szCs w:val="18"/>
                <w:lang w:eastAsia="hr-HR"/>
              </w:rPr>
            </w:pPr>
            <w:r w:rsidRPr="00061543">
              <w:rPr>
                <w:rFonts w:ascii="Tahoma" w:eastAsia="Times New Roman" w:hAnsi="Tahoma" w:cs="Tahoma"/>
                <w:sz w:val="18"/>
                <w:szCs w:val="18"/>
                <w:lang w:eastAsia="hr-HR"/>
              </w:rPr>
              <w:t>Vjera</w:t>
            </w:r>
          </w:p>
        </w:tc>
        <w:tc>
          <w:tcPr>
            <w:tcW w:w="560" w:type="dxa"/>
            <w:tcBorders>
              <w:top w:val="nil"/>
              <w:left w:val="nil"/>
              <w:bottom w:val="single" w:sz="4" w:space="0" w:color="auto"/>
              <w:right w:val="single" w:sz="4" w:space="0" w:color="auto"/>
            </w:tcBorders>
            <w:shd w:val="clear" w:color="000000" w:fill="FFCC99"/>
            <w:noWrap/>
            <w:vAlign w:val="center"/>
            <w:hideMark/>
          </w:tcPr>
          <w:p w14:paraId="4CFCA0B7" w14:textId="77777777" w:rsidR="00061543" w:rsidRPr="00061543" w:rsidRDefault="00061543" w:rsidP="00061543">
            <w:pPr>
              <w:spacing w:after="0" w:line="240" w:lineRule="auto"/>
              <w:jc w:val="center"/>
              <w:rPr>
                <w:rFonts w:ascii="Tahoma" w:eastAsia="Times New Roman" w:hAnsi="Tahoma" w:cs="Tahoma"/>
                <w:sz w:val="18"/>
                <w:szCs w:val="18"/>
                <w:lang w:eastAsia="hr-HR"/>
              </w:rPr>
            </w:pPr>
            <w:r w:rsidRPr="00061543">
              <w:rPr>
                <w:rFonts w:ascii="Tahoma" w:eastAsia="Times New Roman" w:hAnsi="Tahoma" w:cs="Tahoma"/>
                <w:sz w:val="18"/>
                <w:szCs w:val="18"/>
                <w:lang w:eastAsia="hr-HR"/>
              </w:rPr>
              <w:t>1</w:t>
            </w:r>
          </w:p>
        </w:tc>
        <w:tc>
          <w:tcPr>
            <w:tcW w:w="446" w:type="dxa"/>
            <w:tcBorders>
              <w:top w:val="nil"/>
              <w:left w:val="nil"/>
              <w:bottom w:val="single" w:sz="4" w:space="0" w:color="auto"/>
              <w:right w:val="single" w:sz="4" w:space="0" w:color="auto"/>
            </w:tcBorders>
            <w:shd w:val="clear" w:color="000000" w:fill="FFFF00"/>
            <w:noWrap/>
            <w:vAlign w:val="center"/>
            <w:hideMark/>
          </w:tcPr>
          <w:p w14:paraId="12AE6995" w14:textId="77777777" w:rsidR="00061543" w:rsidRPr="00061543" w:rsidRDefault="00061543" w:rsidP="00061543">
            <w:pPr>
              <w:spacing w:after="0" w:line="240" w:lineRule="auto"/>
              <w:jc w:val="center"/>
              <w:rPr>
                <w:rFonts w:ascii="Tahoma" w:eastAsia="Times New Roman" w:hAnsi="Tahoma" w:cs="Tahoma"/>
                <w:sz w:val="18"/>
                <w:szCs w:val="18"/>
                <w:lang w:eastAsia="hr-HR"/>
              </w:rPr>
            </w:pPr>
            <w:r w:rsidRPr="00061543">
              <w:rPr>
                <w:rFonts w:ascii="Tahoma" w:eastAsia="Times New Roman" w:hAnsi="Tahoma" w:cs="Tahoma"/>
                <w:sz w:val="18"/>
                <w:szCs w:val="18"/>
                <w:lang w:eastAsia="hr-HR"/>
              </w:rPr>
              <w:t>1</w:t>
            </w:r>
          </w:p>
        </w:tc>
        <w:tc>
          <w:tcPr>
            <w:tcW w:w="787" w:type="dxa"/>
            <w:tcBorders>
              <w:top w:val="nil"/>
              <w:left w:val="nil"/>
              <w:bottom w:val="single" w:sz="4" w:space="0" w:color="auto"/>
              <w:right w:val="single" w:sz="4" w:space="0" w:color="auto"/>
            </w:tcBorders>
            <w:shd w:val="clear" w:color="000000" w:fill="CCFFFF"/>
            <w:noWrap/>
            <w:vAlign w:val="center"/>
            <w:hideMark/>
          </w:tcPr>
          <w:p w14:paraId="481533DF" w14:textId="77777777" w:rsidR="00061543" w:rsidRPr="00061543" w:rsidRDefault="00061543" w:rsidP="00061543">
            <w:pPr>
              <w:spacing w:after="0" w:line="240" w:lineRule="auto"/>
              <w:jc w:val="right"/>
              <w:rPr>
                <w:rFonts w:ascii="Tahoma" w:eastAsia="Times New Roman" w:hAnsi="Tahoma" w:cs="Tahoma"/>
                <w:sz w:val="18"/>
                <w:szCs w:val="18"/>
                <w:lang w:eastAsia="hr-HR"/>
              </w:rPr>
            </w:pPr>
            <w:r w:rsidRPr="00061543">
              <w:rPr>
                <w:rFonts w:ascii="Tahoma" w:eastAsia="Times New Roman" w:hAnsi="Tahoma" w:cs="Tahoma"/>
                <w:sz w:val="18"/>
                <w:szCs w:val="18"/>
                <w:lang w:eastAsia="hr-HR"/>
              </w:rPr>
              <w:t>0</w:t>
            </w:r>
          </w:p>
        </w:tc>
        <w:tc>
          <w:tcPr>
            <w:tcW w:w="581" w:type="dxa"/>
            <w:tcBorders>
              <w:top w:val="nil"/>
              <w:left w:val="nil"/>
              <w:bottom w:val="single" w:sz="4" w:space="0" w:color="auto"/>
              <w:right w:val="single" w:sz="4" w:space="0" w:color="auto"/>
            </w:tcBorders>
            <w:shd w:val="clear" w:color="000000" w:fill="CCFFFF"/>
            <w:noWrap/>
            <w:vAlign w:val="center"/>
            <w:hideMark/>
          </w:tcPr>
          <w:p w14:paraId="7073DB6F" w14:textId="77777777" w:rsidR="00061543" w:rsidRPr="00061543" w:rsidRDefault="00061543" w:rsidP="00061543">
            <w:pPr>
              <w:spacing w:after="0" w:line="240" w:lineRule="auto"/>
              <w:jc w:val="right"/>
              <w:rPr>
                <w:rFonts w:ascii="Tahoma" w:eastAsia="Times New Roman" w:hAnsi="Tahoma" w:cs="Tahoma"/>
                <w:sz w:val="18"/>
                <w:szCs w:val="18"/>
                <w:lang w:eastAsia="hr-HR"/>
              </w:rPr>
            </w:pPr>
            <w:r w:rsidRPr="00061543">
              <w:rPr>
                <w:rFonts w:ascii="Tahoma" w:eastAsia="Times New Roman" w:hAnsi="Tahoma" w:cs="Tahoma"/>
                <w:sz w:val="18"/>
                <w:szCs w:val="18"/>
                <w:lang w:eastAsia="hr-HR"/>
              </w:rPr>
              <w:t>1</w:t>
            </w:r>
          </w:p>
        </w:tc>
        <w:tc>
          <w:tcPr>
            <w:tcW w:w="446" w:type="dxa"/>
            <w:tcBorders>
              <w:top w:val="nil"/>
              <w:left w:val="nil"/>
              <w:bottom w:val="single" w:sz="4" w:space="0" w:color="auto"/>
              <w:right w:val="single" w:sz="4" w:space="0" w:color="auto"/>
            </w:tcBorders>
            <w:shd w:val="clear" w:color="000000" w:fill="FFFF99"/>
            <w:noWrap/>
            <w:vAlign w:val="center"/>
            <w:hideMark/>
          </w:tcPr>
          <w:p w14:paraId="27B620F8" w14:textId="77777777" w:rsidR="00061543" w:rsidRPr="00061543" w:rsidRDefault="00061543" w:rsidP="00061543">
            <w:pPr>
              <w:spacing w:after="0" w:line="240" w:lineRule="auto"/>
              <w:jc w:val="center"/>
              <w:rPr>
                <w:rFonts w:ascii="Tahoma" w:eastAsia="Times New Roman" w:hAnsi="Tahoma" w:cs="Tahoma"/>
                <w:sz w:val="18"/>
                <w:szCs w:val="18"/>
                <w:lang w:eastAsia="hr-HR"/>
              </w:rPr>
            </w:pPr>
            <w:r w:rsidRPr="00061543">
              <w:rPr>
                <w:rFonts w:ascii="Tahoma" w:eastAsia="Times New Roman" w:hAnsi="Tahoma" w:cs="Tahoma"/>
                <w:sz w:val="18"/>
                <w:szCs w:val="18"/>
                <w:lang w:eastAsia="hr-HR"/>
              </w:rPr>
              <w:t>1</w:t>
            </w:r>
          </w:p>
        </w:tc>
        <w:tc>
          <w:tcPr>
            <w:tcW w:w="697" w:type="dxa"/>
            <w:tcBorders>
              <w:top w:val="nil"/>
              <w:left w:val="nil"/>
              <w:bottom w:val="single" w:sz="4" w:space="0" w:color="auto"/>
              <w:right w:val="single" w:sz="4" w:space="0" w:color="auto"/>
            </w:tcBorders>
            <w:shd w:val="clear" w:color="000000" w:fill="FFFF99"/>
            <w:noWrap/>
            <w:vAlign w:val="center"/>
            <w:hideMark/>
          </w:tcPr>
          <w:p w14:paraId="111B9673" w14:textId="77777777" w:rsidR="00061543" w:rsidRPr="00061543" w:rsidRDefault="00061543" w:rsidP="00061543">
            <w:pPr>
              <w:spacing w:after="0" w:line="240" w:lineRule="auto"/>
              <w:jc w:val="center"/>
              <w:rPr>
                <w:rFonts w:ascii="Tahoma" w:eastAsia="Times New Roman" w:hAnsi="Tahoma" w:cs="Tahoma"/>
                <w:sz w:val="18"/>
                <w:szCs w:val="18"/>
                <w:lang w:eastAsia="hr-HR"/>
              </w:rPr>
            </w:pPr>
            <w:r w:rsidRPr="00061543">
              <w:rPr>
                <w:rFonts w:ascii="Tahoma" w:eastAsia="Times New Roman" w:hAnsi="Tahoma" w:cs="Tahoma"/>
                <w:sz w:val="18"/>
                <w:szCs w:val="18"/>
                <w:lang w:eastAsia="hr-HR"/>
              </w:rPr>
              <w:t>0</w:t>
            </w:r>
          </w:p>
        </w:tc>
        <w:tc>
          <w:tcPr>
            <w:tcW w:w="446" w:type="dxa"/>
            <w:tcBorders>
              <w:top w:val="nil"/>
              <w:left w:val="nil"/>
              <w:bottom w:val="single" w:sz="4" w:space="0" w:color="auto"/>
              <w:right w:val="single" w:sz="4" w:space="0" w:color="auto"/>
            </w:tcBorders>
            <w:shd w:val="clear" w:color="000000" w:fill="FFFF99"/>
            <w:noWrap/>
            <w:vAlign w:val="center"/>
            <w:hideMark/>
          </w:tcPr>
          <w:p w14:paraId="6A6770C6" w14:textId="77777777" w:rsidR="00061543" w:rsidRPr="00061543" w:rsidRDefault="00061543" w:rsidP="00061543">
            <w:pPr>
              <w:spacing w:after="0" w:line="240" w:lineRule="auto"/>
              <w:jc w:val="center"/>
              <w:rPr>
                <w:rFonts w:ascii="Tahoma" w:eastAsia="Times New Roman" w:hAnsi="Tahoma" w:cs="Tahoma"/>
                <w:sz w:val="18"/>
                <w:szCs w:val="18"/>
                <w:lang w:eastAsia="hr-HR"/>
              </w:rPr>
            </w:pPr>
            <w:r w:rsidRPr="00061543">
              <w:rPr>
                <w:rFonts w:ascii="Tahoma" w:eastAsia="Times New Roman" w:hAnsi="Tahoma" w:cs="Tahoma"/>
                <w:sz w:val="18"/>
                <w:szCs w:val="18"/>
                <w:lang w:eastAsia="hr-HR"/>
              </w:rPr>
              <w:t>0</w:t>
            </w:r>
          </w:p>
        </w:tc>
        <w:tc>
          <w:tcPr>
            <w:tcW w:w="567" w:type="dxa"/>
            <w:tcBorders>
              <w:top w:val="nil"/>
              <w:left w:val="nil"/>
              <w:bottom w:val="single" w:sz="4" w:space="0" w:color="auto"/>
              <w:right w:val="single" w:sz="4" w:space="0" w:color="auto"/>
            </w:tcBorders>
            <w:shd w:val="clear" w:color="000000" w:fill="FFFF99"/>
            <w:noWrap/>
            <w:vAlign w:val="center"/>
            <w:hideMark/>
          </w:tcPr>
          <w:p w14:paraId="1D5E4236" w14:textId="77777777" w:rsidR="00061543" w:rsidRPr="00061543" w:rsidRDefault="00061543" w:rsidP="00061543">
            <w:pPr>
              <w:spacing w:after="0" w:line="240" w:lineRule="auto"/>
              <w:jc w:val="center"/>
              <w:rPr>
                <w:rFonts w:ascii="Tahoma" w:eastAsia="Times New Roman" w:hAnsi="Tahoma" w:cs="Tahoma"/>
                <w:sz w:val="18"/>
                <w:szCs w:val="18"/>
                <w:lang w:eastAsia="hr-HR"/>
              </w:rPr>
            </w:pPr>
            <w:r w:rsidRPr="00061543">
              <w:rPr>
                <w:rFonts w:ascii="Tahoma" w:eastAsia="Times New Roman" w:hAnsi="Tahoma" w:cs="Tahoma"/>
                <w:sz w:val="18"/>
                <w:szCs w:val="18"/>
                <w:lang w:eastAsia="hr-HR"/>
              </w:rPr>
              <w:t>0</w:t>
            </w:r>
          </w:p>
        </w:tc>
        <w:tc>
          <w:tcPr>
            <w:tcW w:w="468" w:type="dxa"/>
            <w:tcBorders>
              <w:top w:val="nil"/>
              <w:left w:val="nil"/>
              <w:bottom w:val="single" w:sz="4" w:space="0" w:color="auto"/>
              <w:right w:val="single" w:sz="4" w:space="0" w:color="auto"/>
            </w:tcBorders>
            <w:shd w:val="clear" w:color="000000" w:fill="FFFF99"/>
            <w:noWrap/>
            <w:vAlign w:val="center"/>
            <w:hideMark/>
          </w:tcPr>
          <w:p w14:paraId="441EC2C5" w14:textId="77777777" w:rsidR="00061543" w:rsidRPr="00061543" w:rsidRDefault="00061543" w:rsidP="00061543">
            <w:pPr>
              <w:spacing w:after="0" w:line="240" w:lineRule="auto"/>
              <w:jc w:val="center"/>
              <w:rPr>
                <w:rFonts w:ascii="Tahoma" w:eastAsia="Times New Roman" w:hAnsi="Tahoma" w:cs="Tahoma"/>
                <w:sz w:val="18"/>
                <w:szCs w:val="18"/>
                <w:lang w:eastAsia="hr-HR"/>
              </w:rPr>
            </w:pPr>
            <w:r w:rsidRPr="00061543">
              <w:rPr>
                <w:rFonts w:ascii="Tahoma" w:eastAsia="Times New Roman" w:hAnsi="Tahoma" w:cs="Tahoma"/>
                <w:sz w:val="18"/>
                <w:szCs w:val="18"/>
                <w:lang w:eastAsia="hr-HR"/>
              </w:rPr>
              <w:t>0</w:t>
            </w:r>
          </w:p>
        </w:tc>
        <w:tc>
          <w:tcPr>
            <w:tcW w:w="808" w:type="dxa"/>
            <w:tcBorders>
              <w:top w:val="nil"/>
              <w:left w:val="nil"/>
              <w:bottom w:val="single" w:sz="4" w:space="0" w:color="auto"/>
              <w:right w:val="single" w:sz="4" w:space="0" w:color="auto"/>
            </w:tcBorders>
            <w:shd w:val="clear" w:color="000000" w:fill="FFFF99"/>
            <w:noWrap/>
            <w:vAlign w:val="center"/>
            <w:hideMark/>
          </w:tcPr>
          <w:p w14:paraId="6B22DF66" w14:textId="77777777" w:rsidR="00061543" w:rsidRPr="00061543" w:rsidRDefault="00061543" w:rsidP="00061543">
            <w:pPr>
              <w:spacing w:after="0" w:line="240" w:lineRule="auto"/>
              <w:jc w:val="center"/>
              <w:rPr>
                <w:rFonts w:ascii="Tahoma" w:eastAsia="Times New Roman" w:hAnsi="Tahoma" w:cs="Tahoma"/>
                <w:sz w:val="18"/>
                <w:szCs w:val="18"/>
                <w:lang w:eastAsia="hr-HR"/>
              </w:rPr>
            </w:pPr>
            <w:r w:rsidRPr="00061543">
              <w:rPr>
                <w:rFonts w:ascii="Tahoma" w:eastAsia="Times New Roman" w:hAnsi="Tahoma" w:cs="Tahoma"/>
                <w:sz w:val="18"/>
                <w:szCs w:val="18"/>
                <w:lang w:eastAsia="hr-HR"/>
              </w:rPr>
              <w:t>0</w:t>
            </w:r>
          </w:p>
        </w:tc>
        <w:tc>
          <w:tcPr>
            <w:tcW w:w="468" w:type="dxa"/>
            <w:gridSpan w:val="2"/>
            <w:tcBorders>
              <w:top w:val="nil"/>
              <w:left w:val="nil"/>
              <w:bottom w:val="single" w:sz="4" w:space="0" w:color="auto"/>
              <w:right w:val="single" w:sz="4" w:space="0" w:color="auto"/>
            </w:tcBorders>
            <w:shd w:val="clear" w:color="000000" w:fill="FF9900"/>
            <w:noWrap/>
            <w:vAlign w:val="center"/>
            <w:hideMark/>
          </w:tcPr>
          <w:p w14:paraId="33E1321C" w14:textId="77777777" w:rsidR="00061543" w:rsidRPr="00061543" w:rsidRDefault="00061543" w:rsidP="00061543">
            <w:pPr>
              <w:spacing w:after="0" w:line="240" w:lineRule="auto"/>
              <w:jc w:val="right"/>
              <w:rPr>
                <w:rFonts w:ascii="Tahoma" w:eastAsia="Times New Roman" w:hAnsi="Tahoma" w:cs="Tahoma"/>
                <w:sz w:val="18"/>
                <w:szCs w:val="18"/>
                <w:lang w:eastAsia="hr-HR"/>
              </w:rPr>
            </w:pPr>
            <w:r w:rsidRPr="00061543">
              <w:rPr>
                <w:rFonts w:ascii="Tahoma" w:eastAsia="Times New Roman" w:hAnsi="Tahoma" w:cs="Tahoma"/>
                <w:sz w:val="18"/>
                <w:szCs w:val="18"/>
                <w:lang w:eastAsia="hr-HR"/>
              </w:rPr>
              <w:t>0</w:t>
            </w:r>
          </w:p>
        </w:tc>
        <w:tc>
          <w:tcPr>
            <w:tcW w:w="524" w:type="dxa"/>
            <w:tcBorders>
              <w:top w:val="nil"/>
              <w:left w:val="nil"/>
              <w:bottom w:val="single" w:sz="4" w:space="0" w:color="auto"/>
              <w:right w:val="single" w:sz="4" w:space="0" w:color="auto"/>
            </w:tcBorders>
            <w:shd w:val="clear" w:color="000000" w:fill="FF9900"/>
            <w:noWrap/>
            <w:vAlign w:val="center"/>
            <w:hideMark/>
          </w:tcPr>
          <w:p w14:paraId="614C1EEE" w14:textId="77777777" w:rsidR="00061543" w:rsidRPr="00061543" w:rsidRDefault="00061543" w:rsidP="00061543">
            <w:pPr>
              <w:spacing w:after="0" w:line="240" w:lineRule="auto"/>
              <w:jc w:val="right"/>
              <w:rPr>
                <w:rFonts w:ascii="Tahoma" w:eastAsia="Times New Roman" w:hAnsi="Tahoma" w:cs="Tahoma"/>
                <w:sz w:val="18"/>
                <w:szCs w:val="18"/>
                <w:lang w:eastAsia="hr-HR"/>
              </w:rPr>
            </w:pPr>
            <w:r w:rsidRPr="00061543">
              <w:rPr>
                <w:rFonts w:ascii="Tahoma" w:eastAsia="Times New Roman" w:hAnsi="Tahoma" w:cs="Tahoma"/>
                <w:sz w:val="18"/>
                <w:szCs w:val="18"/>
                <w:lang w:eastAsia="hr-HR"/>
              </w:rPr>
              <w:t>0</w:t>
            </w:r>
          </w:p>
        </w:tc>
        <w:tc>
          <w:tcPr>
            <w:tcW w:w="468" w:type="dxa"/>
            <w:tcBorders>
              <w:top w:val="nil"/>
              <w:left w:val="nil"/>
              <w:bottom w:val="single" w:sz="4" w:space="0" w:color="auto"/>
              <w:right w:val="single" w:sz="4" w:space="0" w:color="auto"/>
            </w:tcBorders>
            <w:shd w:val="clear" w:color="000000" w:fill="FF9900"/>
            <w:noWrap/>
            <w:vAlign w:val="center"/>
            <w:hideMark/>
          </w:tcPr>
          <w:p w14:paraId="404B8A98" w14:textId="77777777" w:rsidR="00061543" w:rsidRPr="00061543" w:rsidRDefault="00061543" w:rsidP="00061543">
            <w:pPr>
              <w:spacing w:after="0" w:line="240" w:lineRule="auto"/>
              <w:jc w:val="right"/>
              <w:rPr>
                <w:rFonts w:ascii="Tahoma" w:eastAsia="Times New Roman" w:hAnsi="Tahoma" w:cs="Tahoma"/>
                <w:sz w:val="18"/>
                <w:szCs w:val="18"/>
                <w:lang w:eastAsia="hr-HR"/>
              </w:rPr>
            </w:pPr>
            <w:r w:rsidRPr="00061543">
              <w:rPr>
                <w:rFonts w:ascii="Tahoma" w:eastAsia="Times New Roman" w:hAnsi="Tahoma" w:cs="Tahoma"/>
                <w:sz w:val="18"/>
                <w:szCs w:val="18"/>
                <w:lang w:eastAsia="hr-HR"/>
              </w:rPr>
              <w:t>0</w:t>
            </w:r>
          </w:p>
        </w:tc>
        <w:tc>
          <w:tcPr>
            <w:tcW w:w="468" w:type="dxa"/>
            <w:tcBorders>
              <w:top w:val="nil"/>
              <w:left w:val="nil"/>
              <w:bottom w:val="single" w:sz="4" w:space="0" w:color="auto"/>
              <w:right w:val="single" w:sz="4" w:space="0" w:color="auto"/>
            </w:tcBorders>
            <w:shd w:val="clear" w:color="000000" w:fill="FFFF00"/>
            <w:vAlign w:val="center"/>
            <w:hideMark/>
          </w:tcPr>
          <w:p w14:paraId="2D10C5E8" w14:textId="77777777" w:rsidR="00061543" w:rsidRPr="00061543" w:rsidRDefault="00061543" w:rsidP="00061543">
            <w:pPr>
              <w:spacing w:after="0" w:line="240" w:lineRule="auto"/>
              <w:jc w:val="center"/>
              <w:rPr>
                <w:rFonts w:ascii="Tahoma" w:eastAsia="Times New Roman" w:hAnsi="Tahoma" w:cs="Tahoma"/>
                <w:sz w:val="18"/>
                <w:szCs w:val="18"/>
                <w:lang w:eastAsia="hr-HR"/>
              </w:rPr>
            </w:pPr>
            <w:r w:rsidRPr="00061543">
              <w:rPr>
                <w:rFonts w:ascii="Tahoma" w:eastAsia="Times New Roman" w:hAnsi="Tahoma" w:cs="Tahoma"/>
                <w:sz w:val="18"/>
                <w:szCs w:val="18"/>
                <w:lang w:eastAsia="hr-HR"/>
              </w:rPr>
              <w:t>0</w:t>
            </w:r>
          </w:p>
        </w:tc>
        <w:tc>
          <w:tcPr>
            <w:tcW w:w="560" w:type="dxa"/>
            <w:gridSpan w:val="2"/>
            <w:tcBorders>
              <w:top w:val="nil"/>
              <w:left w:val="nil"/>
              <w:bottom w:val="single" w:sz="4" w:space="0" w:color="auto"/>
              <w:right w:val="single" w:sz="4" w:space="0" w:color="auto"/>
            </w:tcBorders>
            <w:shd w:val="clear" w:color="000000" w:fill="FF9900"/>
            <w:vAlign w:val="center"/>
            <w:hideMark/>
          </w:tcPr>
          <w:p w14:paraId="77852334" w14:textId="77777777" w:rsidR="00061543" w:rsidRPr="00061543" w:rsidRDefault="00061543" w:rsidP="00061543">
            <w:pPr>
              <w:spacing w:after="0" w:line="240" w:lineRule="auto"/>
              <w:jc w:val="center"/>
              <w:rPr>
                <w:rFonts w:ascii="Tahoma" w:eastAsia="Times New Roman" w:hAnsi="Tahoma" w:cs="Tahoma"/>
                <w:sz w:val="18"/>
                <w:szCs w:val="18"/>
                <w:lang w:eastAsia="hr-HR"/>
              </w:rPr>
            </w:pPr>
            <w:r w:rsidRPr="00061543">
              <w:rPr>
                <w:rFonts w:ascii="Tahoma" w:eastAsia="Times New Roman" w:hAnsi="Tahoma" w:cs="Tahoma"/>
                <w:sz w:val="18"/>
                <w:szCs w:val="18"/>
                <w:lang w:eastAsia="hr-HR"/>
              </w:rPr>
              <w:t>2</w:t>
            </w:r>
          </w:p>
        </w:tc>
        <w:tc>
          <w:tcPr>
            <w:tcW w:w="905" w:type="dxa"/>
            <w:gridSpan w:val="2"/>
            <w:tcBorders>
              <w:top w:val="nil"/>
              <w:left w:val="nil"/>
              <w:bottom w:val="single" w:sz="4" w:space="0" w:color="auto"/>
              <w:right w:val="single" w:sz="4" w:space="0" w:color="auto"/>
            </w:tcBorders>
            <w:shd w:val="clear" w:color="000000" w:fill="FF9900"/>
            <w:noWrap/>
            <w:vAlign w:val="center"/>
            <w:hideMark/>
          </w:tcPr>
          <w:p w14:paraId="49A47E7F" w14:textId="77777777" w:rsidR="00061543" w:rsidRPr="00061543" w:rsidRDefault="00061543" w:rsidP="00061543">
            <w:pPr>
              <w:spacing w:after="0" w:line="240" w:lineRule="auto"/>
              <w:jc w:val="center"/>
              <w:rPr>
                <w:rFonts w:ascii="Tahoma" w:eastAsia="Times New Roman" w:hAnsi="Tahoma" w:cs="Tahoma"/>
                <w:sz w:val="18"/>
                <w:szCs w:val="18"/>
                <w:lang w:eastAsia="hr-HR"/>
              </w:rPr>
            </w:pPr>
            <w:r w:rsidRPr="00061543">
              <w:rPr>
                <w:rFonts w:ascii="Tahoma" w:eastAsia="Times New Roman" w:hAnsi="Tahoma" w:cs="Tahoma"/>
                <w:sz w:val="18"/>
                <w:szCs w:val="18"/>
                <w:lang w:eastAsia="hr-HR"/>
              </w:rPr>
              <w:t>0</w:t>
            </w:r>
          </w:p>
        </w:tc>
        <w:tc>
          <w:tcPr>
            <w:tcW w:w="498" w:type="dxa"/>
            <w:tcBorders>
              <w:top w:val="nil"/>
              <w:left w:val="nil"/>
              <w:bottom w:val="single" w:sz="4" w:space="0" w:color="auto"/>
              <w:right w:val="single" w:sz="4" w:space="0" w:color="auto"/>
            </w:tcBorders>
            <w:shd w:val="clear" w:color="000000" w:fill="FF9900"/>
            <w:noWrap/>
            <w:vAlign w:val="center"/>
            <w:hideMark/>
          </w:tcPr>
          <w:p w14:paraId="4695AAAC" w14:textId="77777777" w:rsidR="00061543" w:rsidRPr="00061543" w:rsidRDefault="00061543" w:rsidP="00061543">
            <w:pPr>
              <w:spacing w:after="0" w:line="240" w:lineRule="auto"/>
              <w:jc w:val="center"/>
              <w:rPr>
                <w:rFonts w:ascii="Tahoma" w:eastAsia="Times New Roman" w:hAnsi="Tahoma" w:cs="Tahoma"/>
                <w:sz w:val="18"/>
                <w:szCs w:val="18"/>
                <w:lang w:eastAsia="hr-HR"/>
              </w:rPr>
            </w:pPr>
            <w:r w:rsidRPr="00061543">
              <w:rPr>
                <w:rFonts w:ascii="Tahoma" w:eastAsia="Times New Roman" w:hAnsi="Tahoma" w:cs="Tahoma"/>
                <w:sz w:val="18"/>
                <w:szCs w:val="18"/>
                <w:lang w:eastAsia="hr-HR"/>
              </w:rPr>
              <w:t>0</w:t>
            </w:r>
          </w:p>
        </w:tc>
        <w:tc>
          <w:tcPr>
            <w:tcW w:w="1016" w:type="dxa"/>
            <w:gridSpan w:val="2"/>
            <w:tcBorders>
              <w:top w:val="nil"/>
              <w:left w:val="nil"/>
              <w:bottom w:val="single" w:sz="4" w:space="0" w:color="auto"/>
              <w:right w:val="single" w:sz="4" w:space="0" w:color="auto"/>
            </w:tcBorders>
            <w:shd w:val="clear" w:color="000000" w:fill="FF9900"/>
            <w:noWrap/>
            <w:vAlign w:val="center"/>
            <w:hideMark/>
          </w:tcPr>
          <w:p w14:paraId="76C16ED5" w14:textId="77777777" w:rsidR="00061543" w:rsidRPr="00061543" w:rsidRDefault="00061543" w:rsidP="00061543">
            <w:pPr>
              <w:spacing w:after="0" w:line="240" w:lineRule="auto"/>
              <w:jc w:val="center"/>
              <w:rPr>
                <w:rFonts w:ascii="Tahoma" w:eastAsia="Times New Roman" w:hAnsi="Tahoma" w:cs="Tahoma"/>
                <w:sz w:val="18"/>
                <w:szCs w:val="18"/>
                <w:lang w:eastAsia="hr-HR"/>
              </w:rPr>
            </w:pPr>
            <w:r w:rsidRPr="00061543">
              <w:rPr>
                <w:rFonts w:ascii="Tahoma" w:eastAsia="Times New Roman" w:hAnsi="Tahoma" w:cs="Tahoma"/>
                <w:sz w:val="18"/>
                <w:szCs w:val="18"/>
                <w:lang w:eastAsia="hr-HR"/>
              </w:rPr>
              <w:t>0</w:t>
            </w:r>
          </w:p>
        </w:tc>
        <w:tc>
          <w:tcPr>
            <w:tcW w:w="505" w:type="dxa"/>
            <w:gridSpan w:val="2"/>
            <w:tcBorders>
              <w:top w:val="nil"/>
              <w:left w:val="nil"/>
              <w:bottom w:val="single" w:sz="4" w:space="0" w:color="auto"/>
              <w:right w:val="single" w:sz="4" w:space="0" w:color="auto"/>
            </w:tcBorders>
            <w:shd w:val="clear" w:color="000000" w:fill="CCFFFF"/>
            <w:noWrap/>
            <w:vAlign w:val="center"/>
            <w:hideMark/>
          </w:tcPr>
          <w:p w14:paraId="75C5E639" w14:textId="77777777" w:rsidR="00061543" w:rsidRPr="00061543" w:rsidRDefault="00061543" w:rsidP="00061543">
            <w:pPr>
              <w:spacing w:after="0" w:line="240" w:lineRule="auto"/>
              <w:jc w:val="right"/>
              <w:rPr>
                <w:rFonts w:ascii="Tahoma" w:eastAsia="Times New Roman" w:hAnsi="Tahoma" w:cs="Tahoma"/>
                <w:sz w:val="18"/>
                <w:szCs w:val="18"/>
                <w:lang w:eastAsia="hr-HR"/>
              </w:rPr>
            </w:pPr>
            <w:r w:rsidRPr="00061543">
              <w:rPr>
                <w:rFonts w:ascii="Tahoma" w:eastAsia="Times New Roman" w:hAnsi="Tahoma" w:cs="Tahoma"/>
                <w:sz w:val="18"/>
                <w:szCs w:val="18"/>
                <w:lang w:eastAsia="hr-HR"/>
              </w:rPr>
              <w:t>0</w:t>
            </w:r>
          </w:p>
        </w:tc>
        <w:tc>
          <w:tcPr>
            <w:tcW w:w="468" w:type="dxa"/>
            <w:tcBorders>
              <w:top w:val="nil"/>
              <w:left w:val="nil"/>
              <w:bottom w:val="single" w:sz="4" w:space="0" w:color="auto"/>
              <w:right w:val="single" w:sz="4" w:space="0" w:color="auto"/>
            </w:tcBorders>
            <w:shd w:val="clear" w:color="000000" w:fill="CCFFFF"/>
            <w:noWrap/>
            <w:vAlign w:val="center"/>
            <w:hideMark/>
          </w:tcPr>
          <w:p w14:paraId="441E1ADC" w14:textId="77777777" w:rsidR="00061543" w:rsidRPr="00061543" w:rsidRDefault="00061543" w:rsidP="00061543">
            <w:pPr>
              <w:spacing w:after="0" w:line="240" w:lineRule="auto"/>
              <w:jc w:val="right"/>
              <w:rPr>
                <w:rFonts w:ascii="Tahoma" w:eastAsia="Times New Roman" w:hAnsi="Tahoma" w:cs="Tahoma"/>
                <w:sz w:val="18"/>
                <w:szCs w:val="18"/>
                <w:lang w:eastAsia="hr-HR"/>
              </w:rPr>
            </w:pPr>
            <w:r w:rsidRPr="00061543">
              <w:rPr>
                <w:rFonts w:ascii="Tahoma" w:eastAsia="Times New Roman" w:hAnsi="Tahoma" w:cs="Tahoma"/>
                <w:sz w:val="18"/>
                <w:szCs w:val="18"/>
                <w:lang w:eastAsia="hr-HR"/>
              </w:rPr>
              <w:t>0</w:t>
            </w:r>
          </w:p>
        </w:tc>
        <w:tc>
          <w:tcPr>
            <w:tcW w:w="336" w:type="dxa"/>
            <w:tcBorders>
              <w:top w:val="nil"/>
              <w:left w:val="nil"/>
              <w:bottom w:val="single" w:sz="4" w:space="0" w:color="auto"/>
              <w:right w:val="single" w:sz="4" w:space="0" w:color="auto"/>
            </w:tcBorders>
            <w:shd w:val="clear" w:color="000000" w:fill="CCFFFF"/>
            <w:noWrap/>
            <w:vAlign w:val="center"/>
            <w:hideMark/>
          </w:tcPr>
          <w:p w14:paraId="51F93107" w14:textId="77777777" w:rsidR="00061543" w:rsidRPr="00061543" w:rsidRDefault="00061543" w:rsidP="00061543">
            <w:pPr>
              <w:spacing w:after="0" w:line="240" w:lineRule="auto"/>
              <w:jc w:val="right"/>
              <w:rPr>
                <w:rFonts w:ascii="Tahoma" w:eastAsia="Times New Roman" w:hAnsi="Tahoma" w:cs="Tahoma"/>
                <w:sz w:val="18"/>
                <w:szCs w:val="18"/>
                <w:lang w:eastAsia="hr-HR"/>
              </w:rPr>
            </w:pPr>
            <w:r w:rsidRPr="00061543">
              <w:rPr>
                <w:rFonts w:ascii="Tahoma" w:eastAsia="Times New Roman" w:hAnsi="Tahoma" w:cs="Tahoma"/>
                <w:sz w:val="18"/>
                <w:szCs w:val="18"/>
                <w:lang w:eastAsia="hr-HR"/>
              </w:rPr>
              <w:t>0</w:t>
            </w:r>
          </w:p>
        </w:tc>
        <w:tc>
          <w:tcPr>
            <w:tcW w:w="426" w:type="dxa"/>
            <w:tcBorders>
              <w:top w:val="nil"/>
              <w:left w:val="nil"/>
              <w:bottom w:val="single" w:sz="4" w:space="0" w:color="auto"/>
              <w:right w:val="single" w:sz="4" w:space="0" w:color="auto"/>
            </w:tcBorders>
            <w:shd w:val="clear" w:color="000000" w:fill="33CCCC"/>
            <w:noWrap/>
            <w:vAlign w:val="center"/>
            <w:hideMark/>
          </w:tcPr>
          <w:p w14:paraId="5FDAC1D7" w14:textId="77777777" w:rsidR="00061543" w:rsidRPr="00061543" w:rsidRDefault="00061543" w:rsidP="00061543">
            <w:pPr>
              <w:spacing w:after="0" w:line="240" w:lineRule="auto"/>
              <w:jc w:val="right"/>
              <w:rPr>
                <w:rFonts w:ascii="Tahoma" w:eastAsia="Times New Roman" w:hAnsi="Tahoma" w:cs="Tahoma"/>
                <w:sz w:val="18"/>
                <w:szCs w:val="18"/>
                <w:lang w:eastAsia="hr-HR"/>
              </w:rPr>
            </w:pPr>
            <w:r w:rsidRPr="00061543">
              <w:rPr>
                <w:rFonts w:ascii="Tahoma" w:eastAsia="Times New Roman" w:hAnsi="Tahoma" w:cs="Tahoma"/>
                <w:sz w:val="18"/>
                <w:szCs w:val="18"/>
                <w:lang w:eastAsia="hr-HR"/>
              </w:rPr>
              <w:t>0</w:t>
            </w:r>
          </w:p>
        </w:tc>
        <w:tc>
          <w:tcPr>
            <w:tcW w:w="473" w:type="dxa"/>
            <w:tcBorders>
              <w:top w:val="nil"/>
              <w:left w:val="nil"/>
              <w:bottom w:val="single" w:sz="4" w:space="0" w:color="auto"/>
              <w:right w:val="single" w:sz="8" w:space="0" w:color="auto"/>
            </w:tcBorders>
            <w:shd w:val="clear" w:color="000000" w:fill="33CCCC"/>
            <w:noWrap/>
            <w:vAlign w:val="center"/>
            <w:hideMark/>
          </w:tcPr>
          <w:p w14:paraId="664B4F50" w14:textId="77777777" w:rsidR="00061543" w:rsidRPr="00061543" w:rsidRDefault="00061543" w:rsidP="00061543">
            <w:pPr>
              <w:spacing w:after="0" w:line="240" w:lineRule="auto"/>
              <w:jc w:val="right"/>
              <w:rPr>
                <w:rFonts w:ascii="Tahoma" w:eastAsia="Times New Roman" w:hAnsi="Tahoma" w:cs="Tahoma"/>
                <w:sz w:val="18"/>
                <w:szCs w:val="18"/>
                <w:lang w:eastAsia="hr-HR"/>
              </w:rPr>
            </w:pPr>
            <w:r w:rsidRPr="00061543">
              <w:rPr>
                <w:rFonts w:ascii="Tahoma" w:eastAsia="Times New Roman" w:hAnsi="Tahoma" w:cs="Tahoma"/>
                <w:sz w:val="18"/>
                <w:szCs w:val="18"/>
                <w:lang w:eastAsia="hr-HR"/>
              </w:rPr>
              <w:t>0</w:t>
            </w:r>
          </w:p>
        </w:tc>
        <w:tc>
          <w:tcPr>
            <w:tcW w:w="236" w:type="dxa"/>
            <w:gridSpan w:val="3"/>
            <w:vAlign w:val="center"/>
            <w:hideMark/>
          </w:tcPr>
          <w:p w14:paraId="722E93B7" w14:textId="77777777" w:rsidR="00061543" w:rsidRPr="00061543" w:rsidRDefault="00061543" w:rsidP="00061543">
            <w:pPr>
              <w:spacing w:after="0" w:line="240" w:lineRule="auto"/>
              <w:rPr>
                <w:rFonts w:ascii="Times New Roman" w:eastAsia="Times New Roman" w:hAnsi="Times New Roman" w:cs="Times New Roman"/>
                <w:sz w:val="18"/>
                <w:szCs w:val="18"/>
                <w:lang w:eastAsia="hr-HR"/>
              </w:rPr>
            </w:pPr>
          </w:p>
        </w:tc>
      </w:tr>
      <w:tr w:rsidR="00061543" w:rsidRPr="00061543" w14:paraId="36DC890B" w14:textId="77777777" w:rsidTr="00061543">
        <w:trPr>
          <w:gridAfter w:val="2"/>
          <w:wAfter w:w="101" w:type="dxa"/>
          <w:trHeight w:val="630"/>
        </w:trPr>
        <w:tc>
          <w:tcPr>
            <w:tcW w:w="1576" w:type="dxa"/>
            <w:tcBorders>
              <w:top w:val="single" w:sz="4" w:space="0" w:color="auto"/>
              <w:left w:val="single" w:sz="8" w:space="0" w:color="auto"/>
              <w:bottom w:val="single" w:sz="4" w:space="0" w:color="auto"/>
              <w:right w:val="single" w:sz="4" w:space="0" w:color="auto"/>
            </w:tcBorders>
            <w:shd w:val="clear" w:color="000000" w:fill="CCFFCC"/>
            <w:vAlign w:val="center"/>
            <w:hideMark/>
          </w:tcPr>
          <w:p w14:paraId="2C8F8E00" w14:textId="77777777" w:rsidR="00061543" w:rsidRPr="00061543" w:rsidRDefault="00061543" w:rsidP="00061543">
            <w:pPr>
              <w:spacing w:after="0" w:line="240" w:lineRule="auto"/>
              <w:rPr>
                <w:rFonts w:ascii="Tahoma" w:eastAsia="Times New Roman" w:hAnsi="Tahoma" w:cs="Tahoma"/>
                <w:sz w:val="18"/>
                <w:szCs w:val="18"/>
                <w:lang w:eastAsia="hr-HR"/>
              </w:rPr>
            </w:pPr>
            <w:r w:rsidRPr="00061543">
              <w:rPr>
                <w:rFonts w:ascii="Tahoma" w:eastAsia="Times New Roman" w:hAnsi="Tahoma" w:cs="Tahoma"/>
                <w:sz w:val="18"/>
                <w:szCs w:val="18"/>
                <w:lang w:eastAsia="hr-HR"/>
              </w:rPr>
              <w:t>Političko ili drugo uvjerenje</w:t>
            </w:r>
          </w:p>
        </w:tc>
        <w:tc>
          <w:tcPr>
            <w:tcW w:w="560" w:type="dxa"/>
            <w:tcBorders>
              <w:top w:val="nil"/>
              <w:left w:val="nil"/>
              <w:bottom w:val="single" w:sz="4" w:space="0" w:color="auto"/>
              <w:right w:val="single" w:sz="4" w:space="0" w:color="auto"/>
            </w:tcBorders>
            <w:shd w:val="clear" w:color="000000" w:fill="FFCC99"/>
            <w:noWrap/>
            <w:vAlign w:val="center"/>
            <w:hideMark/>
          </w:tcPr>
          <w:p w14:paraId="1A474F9F" w14:textId="77777777" w:rsidR="00061543" w:rsidRPr="00061543" w:rsidRDefault="00061543" w:rsidP="00061543">
            <w:pPr>
              <w:spacing w:after="0" w:line="240" w:lineRule="auto"/>
              <w:jc w:val="center"/>
              <w:rPr>
                <w:rFonts w:ascii="Tahoma" w:eastAsia="Times New Roman" w:hAnsi="Tahoma" w:cs="Tahoma"/>
                <w:sz w:val="18"/>
                <w:szCs w:val="18"/>
                <w:lang w:eastAsia="hr-HR"/>
              </w:rPr>
            </w:pPr>
            <w:r w:rsidRPr="00061543">
              <w:rPr>
                <w:rFonts w:ascii="Tahoma" w:eastAsia="Times New Roman" w:hAnsi="Tahoma" w:cs="Tahoma"/>
                <w:sz w:val="18"/>
                <w:szCs w:val="18"/>
                <w:lang w:eastAsia="hr-HR"/>
              </w:rPr>
              <w:t>7</w:t>
            </w:r>
          </w:p>
        </w:tc>
        <w:tc>
          <w:tcPr>
            <w:tcW w:w="446" w:type="dxa"/>
            <w:tcBorders>
              <w:top w:val="nil"/>
              <w:left w:val="nil"/>
              <w:bottom w:val="single" w:sz="4" w:space="0" w:color="auto"/>
              <w:right w:val="single" w:sz="4" w:space="0" w:color="auto"/>
            </w:tcBorders>
            <w:shd w:val="clear" w:color="000000" w:fill="FFFF00"/>
            <w:noWrap/>
            <w:vAlign w:val="center"/>
            <w:hideMark/>
          </w:tcPr>
          <w:p w14:paraId="3CC65463" w14:textId="77777777" w:rsidR="00061543" w:rsidRPr="00061543" w:rsidRDefault="00061543" w:rsidP="00061543">
            <w:pPr>
              <w:spacing w:after="0" w:line="240" w:lineRule="auto"/>
              <w:jc w:val="center"/>
              <w:rPr>
                <w:rFonts w:ascii="Tahoma" w:eastAsia="Times New Roman" w:hAnsi="Tahoma" w:cs="Tahoma"/>
                <w:sz w:val="18"/>
                <w:szCs w:val="18"/>
                <w:lang w:eastAsia="hr-HR"/>
              </w:rPr>
            </w:pPr>
            <w:r w:rsidRPr="00061543">
              <w:rPr>
                <w:rFonts w:ascii="Tahoma" w:eastAsia="Times New Roman" w:hAnsi="Tahoma" w:cs="Tahoma"/>
                <w:sz w:val="18"/>
                <w:szCs w:val="18"/>
                <w:lang w:eastAsia="hr-HR"/>
              </w:rPr>
              <w:t>1</w:t>
            </w:r>
          </w:p>
        </w:tc>
        <w:tc>
          <w:tcPr>
            <w:tcW w:w="787" w:type="dxa"/>
            <w:tcBorders>
              <w:top w:val="nil"/>
              <w:left w:val="nil"/>
              <w:bottom w:val="single" w:sz="4" w:space="0" w:color="auto"/>
              <w:right w:val="single" w:sz="4" w:space="0" w:color="auto"/>
            </w:tcBorders>
            <w:shd w:val="clear" w:color="000000" w:fill="CCFFFF"/>
            <w:noWrap/>
            <w:vAlign w:val="center"/>
            <w:hideMark/>
          </w:tcPr>
          <w:p w14:paraId="1FA03AB3" w14:textId="77777777" w:rsidR="00061543" w:rsidRPr="00061543" w:rsidRDefault="00061543" w:rsidP="00061543">
            <w:pPr>
              <w:spacing w:after="0" w:line="240" w:lineRule="auto"/>
              <w:jc w:val="right"/>
              <w:rPr>
                <w:rFonts w:ascii="Tahoma" w:eastAsia="Times New Roman" w:hAnsi="Tahoma" w:cs="Tahoma"/>
                <w:sz w:val="18"/>
                <w:szCs w:val="18"/>
                <w:lang w:eastAsia="hr-HR"/>
              </w:rPr>
            </w:pPr>
            <w:r w:rsidRPr="00061543">
              <w:rPr>
                <w:rFonts w:ascii="Tahoma" w:eastAsia="Times New Roman" w:hAnsi="Tahoma" w:cs="Tahoma"/>
                <w:sz w:val="18"/>
                <w:szCs w:val="18"/>
                <w:lang w:eastAsia="hr-HR"/>
              </w:rPr>
              <w:t>0</w:t>
            </w:r>
          </w:p>
        </w:tc>
        <w:tc>
          <w:tcPr>
            <w:tcW w:w="581" w:type="dxa"/>
            <w:tcBorders>
              <w:top w:val="nil"/>
              <w:left w:val="nil"/>
              <w:bottom w:val="single" w:sz="4" w:space="0" w:color="auto"/>
              <w:right w:val="single" w:sz="4" w:space="0" w:color="auto"/>
            </w:tcBorders>
            <w:shd w:val="clear" w:color="000000" w:fill="CCFFFF"/>
            <w:noWrap/>
            <w:vAlign w:val="center"/>
            <w:hideMark/>
          </w:tcPr>
          <w:p w14:paraId="60F8AB9C" w14:textId="77777777" w:rsidR="00061543" w:rsidRPr="00061543" w:rsidRDefault="00061543" w:rsidP="00061543">
            <w:pPr>
              <w:spacing w:after="0" w:line="240" w:lineRule="auto"/>
              <w:jc w:val="right"/>
              <w:rPr>
                <w:rFonts w:ascii="Tahoma" w:eastAsia="Times New Roman" w:hAnsi="Tahoma" w:cs="Tahoma"/>
                <w:sz w:val="18"/>
                <w:szCs w:val="18"/>
                <w:lang w:eastAsia="hr-HR"/>
              </w:rPr>
            </w:pPr>
            <w:r w:rsidRPr="00061543">
              <w:rPr>
                <w:rFonts w:ascii="Tahoma" w:eastAsia="Times New Roman" w:hAnsi="Tahoma" w:cs="Tahoma"/>
                <w:sz w:val="18"/>
                <w:szCs w:val="18"/>
                <w:lang w:eastAsia="hr-HR"/>
              </w:rPr>
              <w:t>1</w:t>
            </w:r>
          </w:p>
        </w:tc>
        <w:tc>
          <w:tcPr>
            <w:tcW w:w="446" w:type="dxa"/>
            <w:tcBorders>
              <w:top w:val="nil"/>
              <w:left w:val="nil"/>
              <w:bottom w:val="single" w:sz="4" w:space="0" w:color="auto"/>
              <w:right w:val="single" w:sz="4" w:space="0" w:color="auto"/>
            </w:tcBorders>
            <w:shd w:val="clear" w:color="000000" w:fill="FFFF99"/>
            <w:noWrap/>
            <w:vAlign w:val="center"/>
            <w:hideMark/>
          </w:tcPr>
          <w:p w14:paraId="3EDC5D8F" w14:textId="77777777" w:rsidR="00061543" w:rsidRPr="00061543" w:rsidRDefault="00061543" w:rsidP="00061543">
            <w:pPr>
              <w:spacing w:after="0" w:line="240" w:lineRule="auto"/>
              <w:jc w:val="center"/>
              <w:rPr>
                <w:rFonts w:ascii="Tahoma" w:eastAsia="Times New Roman" w:hAnsi="Tahoma" w:cs="Tahoma"/>
                <w:sz w:val="18"/>
                <w:szCs w:val="18"/>
                <w:lang w:eastAsia="hr-HR"/>
              </w:rPr>
            </w:pPr>
            <w:r w:rsidRPr="00061543">
              <w:rPr>
                <w:rFonts w:ascii="Tahoma" w:eastAsia="Times New Roman" w:hAnsi="Tahoma" w:cs="Tahoma"/>
                <w:sz w:val="18"/>
                <w:szCs w:val="18"/>
                <w:lang w:eastAsia="hr-HR"/>
              </w:rPr>
              <w:t>1</w:t>
            </w:r>
          </w:p>
        </w:tc>
        <w:tc>
          <w:tcPr>
            <w:tcW w:w="697" w:type="dxa"/>
            <w:tcBorders>
              <w:top w:val="nil"/>
              <w:left w:val="nil"/>
              <w:bottom w:val="single" w:sz="4" w:space="0" w:color="auto"/>
              <w:right w:val="single" w:sz="4" w:space="0" w:color="auto"/>
            </w:tcBorders>
            <w:shd w:val="clear" w:color="000000" w:fill="FFFF99"/>
            <w:noWrap/>
            <w:vAlign w:val="center"/>
            <w:hideMark/>
          </w:tcPr>
          <w:p w14:paraId="26FE0148" w14:textId="77777777" w:rsidR="00061543" w:rsidRPr="00061543" w:rsidRDefault="00061543" w:rsidP="00061543">
            <w:pPr>
              <w:spacing w:after="0" w:line="240" w:lineRule="auto"/>
              <w:jc w:val="center"/>
              <w:rPr>
                <w:rFonts w:ascii="Tahoma" w:eastAsia="Times New Roman" w:hAnsi="Tahoma" w:cs="Tahoma"/>
                <w:sz w:val="18"/>
                <w:szCs w:val="18"/>
                <w:lang w:eastAsia="hr-HR"/>
              </w:rPr>
            </w:pPr>
            <w:r w:rsidRPr="00061543">
              <w:rPr>
                <w:rFonts w:ascii="Tahoma" w:eastAsia="Times New Roman" w:hAnsi="Tahoma" w:cs="Tahoma"/>
                <w:sz w:val="18"/>
                <w:szCs w:val="18"/>
                <w:lang w:eastAsia="hr-HR"/>
              </w:rPr>
              <w:t>1</w:t>
            </w:r>
          </w:p>
        </w:tc>
        <w:tc>
          <w:tcPr>
            <w:tcW w:w="446" w:type="dxa"/>
            <w:tcBorders>
              <w:top w:val="nil"/>
              <w:left w:val="nil"/>
              <w:bottom w:val="single" w:sz="4" w:space="0" w:color="auto"/>
              <w:right w:val="single" w:sz="4" w:space="0" w:color="auto"/>
            </w:tcBorders>
            <w:shd w:val="clear" w:color="000000" w:fill="FFFF99"/>
            <w:noWrap/>
            <w:vAlign w:val="center"/>
            <w:hideMark/>
          </w:tcPr>
          <w:p w14:paraId="7983E1D2" w14:textId="77777777" w:rsidR="00061543" w:rsidRPr="00061543" w:rsidRDefault="00061543" w:rsidP="00061543">
            <w:pPr>
              <w:spacing w:after="0" w:line="240" w:lineRule="auto"/>
              <w:jc w:val="center"/>
              <w:rPr>
                <w:rFonts w:ascii="Tahoma" w:eastAsia="Times New Roman" w:hAnsi="Tahoma" w:cs="Tahoma"/>
                <w:sz w:val="18"/>
                <w:szCs w:val="18"/>
                <w:lang w:eastAsia="hr-HR"/>
              </w:rPr>
            </w:pPr>
            <w:r w:rsidRPr="00061543">
              <w:rPr>
                <w:rFonts w:ascii="Tahoma" w:eastAsia="Times New Roman" w:hAnsi="Tahoma" w:cs="Tahoma"/>
                <w:sz w:val="18"/>
                <w:szCs w:val="18"/>
                <w:lang w:eastAsia="hr-HR"/>
              </w:rPr>
              <w:t>1</w:t>
            </w:r>
          </w:p>
        </w:tc>
        <w:tc>
          <w:tcPr>
            <w:tcW w:w="567" w:type="dxa"/>
            <w:tcBorders>
              <w:top w:val="nil"/>
              <w:left w:val="nil"/>
              <w:bottom w:val="single" w:sz="4" w:space="0" w:color="auto"/>
              <w:right w:val="single" w:sz="4" w:space="0" w:color="auto"/>
            </w:tcBorders>
            <w:shd w:val="clear" w:color="000000" w:fill="FFFF99"/>
            <w:noWrap/>
            <w:vAlign w:val="center"/>
            <w:hideMark/>
          </w:tcPr>
          <w:p w14:paraId="537B3E1B" w14:textId="77777777" w:rsidR="00061543" w:rsidRPr="00061543" w:rsidRDefault="00061543" w:rsidP="00061543">
            <w:pPr>
              <w:spacing w:after="0" w:line="240" w:lineRule="auto"/>
              <w:jc w:val="center"/>
              <w:rPr>
                <w:rFonts w:ascii="Tahoma" w:eastAsia="Times New Roman" w:hAnsi="Tahoma" w:cs="Tahoma"/>
                <w:sz w:val="18"/>
                <w:szCs w:val="18"/>
                <w:lang w:eastAsia="hr-HR"/>
              </w:rPr>
            </w:pPr>
            <w:r w:rsidRPr="00061543">
              <w:rPr>
                <w:rFonts w:ascii="Tahoma" w:eastAsia="Times New Roman" w:hAnsi="Tahoma" w:cs="Tahoma"/>
                <w:sz w:val="18"/>
                <w:szCs w:val="18"/>
                <w:lang w:eastAsia="hr-HR"/>
              </w:rPr>
              <w:t>0</w:t>
            </w:r>
          </w:p>
        </w:tc>
        <w:tc>
          <w:tcPr>
            <w:tcW w:w="468" w:type="dxa"/>
            <w:tcBorders>
              <w:top w:val="nil"/>
              <w:left w:val="nil"/>
              <w:bottom w:val="single" w:sz="4" w:space="0" w:color="auto"/>
              <w:right w:val="single" w:sz="4" w:space="0" w:color="auto"/>
            </w:tcBorders>
            <w:shd w:val="clear" w:color="000000" w:fill="FFFF99"/>
            <w:noWrap/>
            <w:vAlign w:val="center"/>
            <w:hideMark/>
          </w:tcPr>
          <w:p w14:paraId="3A0A85B9" w14:textId="77777777" w:rsidR="00061543" w:rsidRPr="00061543" w:rsidRDefault="00061543" w:rsidP="00061543">
            <w:pPr>
              <w:spacing w:after="0" w:line="240" w:lineRule="auto"/>
              <w:jc w:val="center"/>
              <w:rPr>
                <w:rFonts w:ascii="Tahoma" w:eastAsia="Times New Roman" w:hAnsi="Tahoma" w:cs="Tahoma"/>
                <w:sz w:val="18"/>
                <w:szCs w:val="18"/>
                <w:lang w:eastAsia="hr-HR"/>
              </w:rPr>
            </w:pPr>
            <w:r w:rsidRPr="00061543">
              <w:rPr>
                <w:rFonts w:ascii="Tahoma" w:eastAsia="Times New Roman" w:hAnsi="Tahoma" w:cs="Tahoma"/>
                <w:sz w:val="18"/>
                <w:szCs w:val="18"/>
                <w:lang w:eastAsia="hr-HR"/>
              </w:rPr>
              <w:t>0</w:t>
            </w:r>
          </w:p>
        </w:tc>
        <w:tc>
          <w:tcPr>
            <w:tcW w:w="808" w:type="dxa"/>
            <w:tcBorders>
              <w:top w:val="nil"/>
              <w:left w:val="nil"/>
              <w:bottom w:val="single" w:sz="4" w:space="0" w:color="auto"/>
              <w:right w:val="single" w:sz="4" w:space="0" w:color="auto"/>
            </w:tcBorders>
            <w:shd w:val="clear" w:color="000000" w:fill="FFFF99"/>
            <w:noWrap/>
            <w:vAlign w:val="center"/>
            <w:hideMark/>
          </w:tcPr>
          <w:p w14:paraId="40B8E3F9" w14:textId="77777777" w:rsidR="00061543" w:rsidRPr="00061543" w:rsidRDefault="00061543" w:rsidP="00061543">
            <w:pPr>
              <w:spacing w:after="0" w:line="240" w:lineRule="auto"/>
              <w:jc w:val="center"/>
              <w:rPr>
                <w:rFonts w:ascii="Tahoma" w:eastAsia="Times New Roman" w:hAnsi="Tahoma" w:cs="Tahoma"/>
                <w:sz w:val="18"/>
                <w:szCs w:val="18"/>
                <w:lang w:eastAsia="hr-HR"/>
              </w:rPr>
            </w:pPr>
            <w:r w:rsidRPr="00061543">
              <w:rPr>
                <w:rFonts w:ascii="Tahoma" w:eastAsia="Times New Roman" w:hAnsi="Tahoma" w:cs="Tahoma"/>
                <w:sz w:val="18"/>
                <w:szCs w:val="18"/>
                <w:lang w:eastAsia="hr-HR"/>
              </w:rPr>
              <w:t>0</w:t>
            </w:r>
          </w:p>
        </w:tc>
        <w:tc>
          <w:tcPr>
            <w:tcW w:w="468" w:type="dxa"/>
            <w:gridSpan w:val="2"/>
            <w:tcBorders>
              <w:top w:val="nil"/>
              <w:left w:val="nil"/>
              <w:bottom w:val="single" w:sz="4" w:space="0" w:color="auto"/>
              <w:right w:val="single" w:sz="4" w:space="0" w:color="auto"/>
            </w:tcBorders>
            <w:shd w:val="clear" w:color="000000" w:fill="FF9900"/>
            <w:noWrap/>
            <w:vAlign w:val="center"/>
            <w:hideMark/>
          </w:tcPr>
          <w:p w14:paraId="100E922A" w14:textId="77777777" w:rsidR="00061543" w:rsidRPr="00061543" w:rsidRDefault="00061543" w:rsidP="00061543">
            <w:pPr>
              <w:spacing w:after="0" w:line="240" w:lineRule="auto"/>
              <w:jc w:val="right"/>
              <w:rPr>
                <w:rFonts w:ascii="Tahoma" w:eastAsia="Times New Roman" w:hAnsi="Tahoma" w:cs="Tahoma"/>
                <w:sz w:val="18"/>
                <w:szCs w:val="18"/>
                <w:lang w:eastAsia="hr-HR"/>
              </w:rPr>
            </w:pPr>
            <w:r w:rsidRPr="00061543">
              <w:rPr>
                <w:rFonts w:ascii="Tahoma" w:eastAsia="Times New Roman" w:hAnsi="Tahoma" w:cs="Tahoma"/>
                <w:sz w:val="18"/>
                <w:szCs w:val="18"/>
                <w:lang w:eastAsia="hr-HR"/>
              </w:rPr>
              <w:t>0</w:t>
            </w:r>
          </w:p>
        </w:tc>
        <w:tc>
          <w:tcPr>
            <w:tcW w:w="524" w:type="dxa"/>
            <w:tcBorders>
              <w:top w:val="nil"/>
              <w:left w:val="nil"/>
              <w:bottom w:val="single" w:sz="4" w:space="0" w:color="auto"/>
              <w:right w:val="single" w:sz="4" w:space="0" w:color="auto"/>
            </w:tcBorders>
            <w:shd w:val="clear" w:color="000000" w:fill="FF9900"/>
            <w:noWrap/>
            <w:vAlign w:val="center"/>
            <w:hideMark/>
          </w:tcPr>
          <w:p w14:paraId="1A0A0C68" w14:textId="77777777" w:rsidR="00061543" w:rsidRPr="00061543" w:rsidRDefault="00061543" w:rsidP="00061543">
            <w:pPr>
              <w:spacing w:after="0" w:line="240" w:lineRule="auto"/>
              <w:jc w:val="right"/>
              <w:rPr>
                <w:rFonts w:ascii="Tahoma" w:eastAsia="Times New Roman" w:hAnsi="Tahoma" w:cs="Tahoma"/>
                <w:sz w:val="18"/>
                <w:szCs w:val="18"/>
                <w:lang w:eastAsia="hr-HR"/>
              </w:rPr>
            </w:pPr>
            <w:r w:rsidRPr="00061543">
              <w:rPr>
                <w:rFonts w:ascii="Tahoma" w:eastAsia="Times New Roman" w:hAnsi="Tahoma" w:cs="Tahoma"/>
                <w:sz w:val="18"/>
                <w:szCs w:val="18"/>
                <w:lang w:eastAsia="hr-HR"/>
              </w:rPr>
              <w:t>0</w:t>
            </w:r>
          </w:p>
        </w:tc>
        <w:tc>
          <w:tcPr>
            <w:tcW w:w="468" w:type="dxa"/>
            <w:tcBorders>
              <w:top w:val="nil"/>
              <w:left w:val="nil"/>
              <w:bottom w:val="single" w:sz="4" w:space="0" w:color="auto"/>
              <w:right w:val="single" w:sz="4" w:space="0" w:color="auto"/>
            </w:tcBorders>
            <w:shd w:val="clear" w:color="000000" w:fill="FF9900"/>
            <w:noWrap/>
            <w:vAlign w:val="center"/>
            <w:hideMark/>
          </w:tcPr>
          <w:p w14:paraId="0E8ABFA3" w14:textId="77777777" w:rsidR="00061543" w:rsidRPr="00061543" w:rsidRDefault="00061543" w:rsidP="00061543">
            <w:pPr>
              <w:spacing w:after="0" w:line="240" w:lineRule="auto"/>
              <w:jc w:val="right"/>
              <w:rPr>
                <w:rFonts w:ascii="Tahoma" w:eastAsia="Times New Roman" w:hAnsi="Tahoma" w:cs="Tahoma"/>
                <w:sz w:val="18"/>
                <w:szCs w:val="18"/>
                <w:lang w:eastAsia="hr-HR"/>
              </w:rPr>
            </w:pPr>
            <w:r w:rsidRPr="00061543">
              <w:rPr>
                <w:rFonts w:ascii="Tahoma" w:eastAsia="Times New Roman" w:hAnsi="Tahoma" w:cs="Tahoma"/>
                <w:sz w:val="18"/>
                <w:szCs w:val="18"/>
                <w:lang w:eastAsia="hr-HR"/>
              </w:rPr>
              <w:t>1</w:t>
            </w:r>
          </w:p>
        </w:tc>
        <w:tc>
          <w:tcPr>
            <w:tcW w:w="468" w:type="dxa"/>
            <w:tcBorders>
              <w:top w:val="nil"/>
              <w:left w:val="nil"/>
              <w:bottom w:val="single" w:sz="4" w:space="0" w:color="auto"/>
              <w:right w:val="single" w:sz="4" w:space="0" w:color="auto"/>
            </w:tcBorders>
            <w:shd w:val="clear" w:color="000000" w:fill="FFFF00"/>
            <w:vAlign w:val="center"/>
            <w:hideMark/>
          </w:tcPr>
          <w:p w14:paraId="7BE6791F" w14:textId="77777777" w:rsidR="00061543" w:rsidRPr="00061543" w:rsidRDefault="00061543" w:rsidP="00061543">
            <w:pPr>
              <w:spacing w:after="0" w:line="240" w:lineRule="auto"/>
              <w:jc w:val="center"/>
              <w:rPr>
                <w:rFonts w:ascii="Tahoma" w:eastAsia="Times New Roman" w:hAnsi="Tahoma" w:cs="Tahoma"/>
                <w:sz w:val="18"/>
                <w:szCs w:val="18"/>
                <w:lang w:eastAsia="hr-HR"/>
              </w:rPr>
            </w:pPr>
            <w:r w:rsidRPr="00061543">
              <w:rPr>
                <w:rFonts w:ascii="Tahoma" w:eastAsia="Times New Roman" w:hAnsi="Tahoma" w:cs="Tahoma"/>
                <w:sz w:val="18"/>
                <w:szCs w:val="18"/>
                <w:lang w:eastAsia="hr-HR"/>
              </w:rPr>
              <w:t>1</w:t>
            </w:r>
          </w:p>
        </w:tc>
        <w:tc>
          <w:tcPr>
            <w:tcW w:w="560" w:type="dxa"/>
            <w:gridSpan w:val="2"/>
            <w:tcBorders>
              <w:top w:val="nil"/>
              <w:left w:val="nil"/>
              <w:bottom w:val="single" w:sz="4" w:space="0" w:color="auto"/>
              <w:right w:val="single" w:sz="4" w:space="0" w:color="auto"/>
            </w:tcBorders>
            <w:shd w:val="clear" w:color="000000" w:fill="FF9900"/>
            <w:vAlign w:val="center"/>
            <w:hideMark/>
          </w:tcPr>
          <w:p w14:paraId="53C1A135" w14:textId="77777777" w:rsidR="00061543" w:rsidRPr="00061543" w:rsidRDefault="00061543" w:rsidP="00061543">
            <w:pPr>
              <w:spacing w:after="0" w:line="240" w:lineRule="auto"/>
              <w:jc w:val="center"/>
              <w:rPr>
                <w:rFonts w:ascii="Tahoma" w:eastAsia="Times New Roman" w:hAnsi="Tahoma" w:cs="Tahoma"/>
                <w:sz w:val="18"/>
                <w:szCs w:val="18"/>
                <w:lang w:eastAsia="hr-HR"/>
              </w:rPr>
            </w:pPr>
            <w:r w:rsidRPr="00061543">
              <w:rPr>
                <w:rFonts w:ascii="Tahoma" w:eastAsia="Times New Roman" w:hAnsi="Tahoma" w:cs="Tahoma"/>
                <w:sz w:val="18"/>
                <w:szCs w:val="18"/>
                <w:lang w:eastAsia="hr-HR"/>
              </w:rPr>
              <w:t>7</w:t>
            </w:r>
          </w:p>
        </w:tc>
        <w:tc>
          <w:tcPr>
            <w:tcW w:w="905" w:type="dxa"/>
            <w:gridSpan w:val="2"/>
            <w:tcBorders>
              <w:top w:val="nil"/>
              <w:left w:val="nil"/>
              <w:bottom w:val="single" w:sz="4" w:space="0" w:color="auto"/>
              <w:right w:val="single" w:sz="4" w:space="0" w:color="auto"/>
            </w:tcBorders>
            <w:shd w:val="clear" w:color="000000" w:fill="FF9900"/>
            <w:noWrap/>
            <w:vAlign w:val="center"/>
            <w:hideMark/>
          </w:tcPr>
          <w:p w14:paraId="46524D56" w14:textId="77777777" w:rsidR="00061543" w:rsidRPr="00061543" w:rsidRDefault="00061543" w:rsidP="00061543">
            <w:pPr>
              <w:spacing w:after="0" w:line="240" w:lineRule="auto"/>
              <w:jc w:val="center"/>
              <w:rPr>
                <w:rFonts w:ascii="Tahoma" w:eastAsia="Times New Roman" w:hAnsi="Tahoma" w:cs="Tahoma"/>
                <w:sz w:val="18"/>
                <w:szCs w:val="18"/>
                <w:lang w:eastAsia="hr-HR"/>
              </w:rPr>
            </w:pPr>
            <w:r w:rsidRPr="00061543">
              <w:rPr>
                <w:rFonts w:ascii="Tahoma" w:eastAsia="Times New Roman" w:hAnsi="Tahoma" w:cs="Tahoma"/>
                <w:sz w:val="18"/>
                <w:szCs w:val="18"/>
                <w:lang w:eastAsia="hr-HR"/>
              </w:rPr>
              <w:t>1</w:t>
            </w:r>
          </w:p>
        </w:tc>
        <w:tc>
          <w:tcPr>
            <w:tcW w:w="498" w:type="dxa"/>
            <w:tcBorders>
              <w:top w:val="nil"/>
              <w:left w:val="nil"/>
              <w:bottom w:val="single" w:sz="4" w:space="0" w:color="auto"/>
              <w:right w:val="single" w:sz="4" w:space="0" w:color="auto"/>
            </w:tcBorders>
            <w:shd w:val="clear" w:color="000000" w:fill="FF9900"/>
            <w:noWrap/>
            <w:vAlign w:val="center"/>
            <w:hideMark/>
          </w:tcPr>
          <w:p w14:paraId="5E6DC956" w14:textId="77777777" w:rsidR="00061543" w:rsidRPr="00061543" w:rsidRDefault="00061543" w:rsidP="00061543">
            <w:pPr>
              <w:spacing w:after="0" w:line="240" w:lineRule="auto"/>
              <w:jc w:val="center"/>
              <w:rPr>
                <w:rFonts w:ascii="Tahoma" w:eastAsia="Times New Roman" w:hAnsi="Tahoma" w:cs="Tahoma"/>
                <w:sz w:val="18"/>
                <w:szCs w:val="18"/>
                <w:lang w:eastAsia="hr-HR"/>
              </w:rPr>
            </w:pPr>
            <w:r w:rsidRPr="00061543">
              <w:rPr>
                <w:rFonts w:ascii="Tahoma" w:eastAsia="Times New Roman" w:hAnsi="Tahoma" w:cs="Tahoma"/>
                <w:sz w:val="18"/>
                <w:szCs w:val="18"/>
                <w:lang w:eastAsia="hr-HR"/>
              </w:rPr>
              <w:t>0</w:t>
            </w:r>
          </w:p>
        </w:tc>
        <w:tc>
          <w:tcPr>
            <w:tcW w:w="1016" w:type="dxa"/>
            <w:gridSpan w:val="2"/>
            <w:tcBorders>
              <w:top w:val="nil"/>
              <w:left w:val="nil"/>
              <w:bottom w:val="single" w:sz="4" w:space="0" w:color="auto"/>
              <w:right w:val="single" w:sz="4" w:space="0" w:color="auto"/>
            </w:tcBorders>
            <w:shd w:val="clear" w:color="000000" w:fill="FF9900"/>
            <w:noWrap/>
            <w:vAlign w:val="center"/>
            <w:hideMark/>
          </w:tcPr>
          <w:p w14:paraId="34D1D411" w14:textId="77777777" w:rsidR="00061543" w:rsidRPr="00061543" w:rsidRDefault="00061543" w:rsidP="00061543">
            <w:pPr>
              <w:spacing w:after="0" w:line="240" w:lineRule="auto"/>
              <w:jc w:val="center"/>
              <w:rPr>
                <w:rFonts w:ascii="Tahoma" w:eastAsia="Times New Roman" w:hAnsi="Tahoma" w:cs="Tahoma"/>
                <w:sz w:val="18"/>
                <w:szCs w:val="18"/>
                <w:lang w:eastAsia="hr-HR"/>
              </w:rPr>
            </w:pPr>
            <w:r w:rsidRPr="00061543">
              <w:rPr>
                <w:rFonts w:ascii="Tahoma" w:eastAsia="Times New Roman" w:hAnsi="Tahoma" w:cs="Tahoma"/>
                <w:sz w:val="18"/>
                <w:szCs w:val="18"/>
                <w:lang w:eastAsia="hr-HR"/>
              </w:rPr>
              <w:t>1</w:t>
            </w:r>
          </w:p>
        </w:tc>
        <w:tc>
          <w:tcPr>
            <w:tcW w:w="505" w:type="dxa"/>
            <w:gridSpan w:val="2"/>
            <w:tcBorders>
              <w:top w:val="nil"/>
              <w:left w:val="nil"/>
              <w:bottom w:val="single" w:sz="4" w:space="0" w:color="auto"/>
              <w:right w:val="single" w:sz="4" w:space="0" w:color="auto"/>
            </w:tcBorders>
            <w:shd w:val="clear" w:color="000000" w:fill="CCFFFF"/>
            <w:noWrap/>
            <w:vAlign w:val="center"/>
            <w:hideMark/>
          </w:tcPr>
          <w:p w14:paraId="70C15243" w14:textId="77777777" w:rsidR="00061543" w:rsidRPr="00061543" w:rsidRDefault="00061543" w:rsidP="00061543">
            <w:pPr>
              <w:spacing w:after="0" w:line="240" w:lineRule="auto"/>
              <w:jc w:val="right"/>
              <w:rPr>
                <w:rFonts w:ascii="Tahoma" w:eastAsia="Times New Roman" w:hAnsi="Tahoma" w:cs="Tahoma"/>
                <w:sz w:val="18"/>
                <w:szCs w:val="18"/>
                <w:lang w:eastAsia="hr-HR"/>
              </w:rPr>
            </w:pPr>
            <w:r w:rsidRPr="00061543">
              <w:rPr>
                <w:rFonts w:ascii="Tahoma" w:eastAsia="Times New Roman" w:hAnsi="Tahoma" w:cs="Tahoma"/>
                <w:sz w:val="18"/>
                <w:szCs w:val="18"/>
                <w:lang w:eastAsia="hr-HR"/>
              </w:rPr>
              <w:t>0</w:t>
            </w:r>
          </w:p>
        </w:tc>
        <w:tc>
          <w:tcPr>
            <w:tcW w:w="468" w:type="dxa"/>
            <w:tcBorders>
              <w:top w:val="nil"/>
              <w:left w:val="nil"/>
              <w:bottom w:val="single" w:sz="4" w:space="0" w:color="auto"/>
              <w:right w:val="single" w:sz="4" w:space="0" w:color="auto"/>
            </w:tcBorders>
            <w:shd w:val="clear" w:color="000000" w:fill="CCFFFF"/>
            <w:noWrap/>
            <w:vAlign w:val="center"/>
            <w:hideMark/>
          </w:tcPr>
          <w:p w14:paraId="437DB61F" w14:textId="77777777" w:rsidR="00061543" w:rsidRPr="00061543" w:rsidRDefault="00061543" w:rsidP="00061543">
            <w:pPr>
              <w:spacing w:after="0" w:line="240" w:lineRule="auto"/>
              <w:jc w:val="right"/>
              <w:rPr>
                <w:rFonts w:ascii="Tahoma" w:eastAsia="Times New Roman" w:hAnsi="Tahoma" w:cs="Tahoma"/>
                <w:sz w:val="18"/>
                <w:szCs w:val="18"/>
                <w:lang w:eastAsia="hr-HR"/>
              </w:rPr>
            </w:pPr>
            <w:r w:rsidRPr="00061543">
              <w:rPr>
                <w:rFonts w:ascii="Tahoma" w:eastAsia="Times New Roman" w:hAnsi="Tahoma" w:cs="Tahoma"/>
                <w:sz w:val="18"/>
                <w:szCs w:val="18"/>
                <w:lang w:eastAsia="hr-HR"/>
              </w:rPr>
              <w:t>0</w:t>
            </w:r>
          </w:p>
        </w:tc>
        <w:tc>
          <w:tcPr>
            <w:tcW w:w="336" w:type="dxa"/>
            <w:tcBorders>
              <w:top w:val="nil"/>
              <w:left w:val="nil"/>
              <w:bottom w:val="single" w:sz="4" w:space="0" w:color="auto"/>
              <w:right w:val="single" w:sz="4" w:space="0" w:color="auto"/>
            </w:tcBorders>
            <w:shd w:val="clear" w:color="000000" w:fill="CCFFFF"/>
            <w:noWrap/>
            <w:vAlign w:val="center"/>
            <w:hideMark/>
          </w:tcPr>
          <w:p w14:paraId="48C09EC0" w14:textId="77777777" w:rsidR="00061543" w:rsidRPr="00061543" w:rsidRDefault="00061543" w:rsidP="00061543">
            <w:pPr>
              <w:spacing w:after="0" w:line="240" w:lineRule="auto"/>
              <w:jc w:val="right"/>
              <w:rPr>
                <w:rFonts w:ascii="Tahoma" w:eastAsia="Times New Roman" w:hAnsi="Tahoma" w:cs="Tahoma"/>
                <w:sz w:val="18"/>
                <w:szCs w:val="18"/>
                <w:lang w:eastAsia="hr-HR"/>
              </w:rPr>
            </w:pPr>
            <w:r w:rsidRPr="00061543">
              <w:rPr>
                <w:rFonts w:ascii="Tahoma" w:eastAsia="Times New Roman" w:hAnsi="Tahoma" w:cs="Tahoma"/>
                <w:sz w:val="18"/>
                <w:szCs w:val="18"/>
                <w:lang w:eastAsia="hr-HR"/>
              </w:rPr>
              <w:t>0</w:t>
            </w:r>
          </w:p>
        </w:tc>
        <w:tc>
          <w:tcPr>
            <w:tcW w:w="426" w:type="dxa"/>
            <w:tcBorders>
              <w:top w:val="nil"/>
              <w:left w:val="nil"/>
              <w:bottom w:val="single" w:sz="4" w:space="0" w:color="auto"/>
              <w:right w:val="single" w:sz="4" w:space="0" w:color="auto"/>
            </w:tcBorders>
            <w:shd w:val="clear" w:color="000000" w:fill="33CCCC"/>
            <w:noWrap/>
            <w:vAlign w:val="center"/>
            <w:hideMark/>
          </w:tcPr>
          <w:p w14:paraId="2096FD46" w14:textId="77777777" w:rsidR="00061543" w:rsidRPr="00061543" w:rsidRDefault="00061543" w:rsidP="00061543">
            <w:pPr>
              <w:spacing w:after="0" w:line="240" w:lineRule="auto"/>
              <w:jc w:val="right"/>
              <w:rPr>
                <w:rFonts w:ascii="Tahoma" w:eastAsia="Times New Roman" w:hAnsi="Tahoma" w:cs="Tahoma"/>
                <w:sz w:val="18"/>
                <w:szCs w:val="18"/>
                <w:lang w:eastAsia="hr-HR"/>
              </w:rPr>
            </w:pPr>
            <w:r w:rsidRPr="00061543">
              <w:rPr>
                <w:rFonts w:ascii="Tahoma" w:eastAsia="Times New Roman" w:hAnsi="Tahoma" w:cs="Tahoma"/>
                <w:sz w:val="18"/>
                <w:szCs w:val="18"/>
                <w:lang w:eastAsia="hr-HR"/>
              </w:rPr>
              <w:t>0</w:t>
            </w:r>
          </w:p>
        </w:tc>
        <w:tc>
          <w:tcPr>
            <w:tcW w:w="473" w:type="dxa"/>
            <w:tcBorders>
              <w:top w:val="nil"/>
              <w:left w:val="nil"/>
              <w:bottom w:val="single" w:sz="4" w:space="0" w:color="auto"/>
              <w:right w:val="single" w:sz="8" w:space="0" w:color="auto"/>
            </w:tcBorders>
            <w:shd w:val="clear" w:color="000000" w:fill="33CCCC"/>
            <w:noWrap/>
            <w:vAlign w:val="center"/>
            <w:hideMark/>
          </w:tcPr>
          <w:p w14:paraId="5B7F31E2" w14:textId="77777777" w:rsidR="00061543" w:rsidRPr="00061543" w:rsidRDefault="00061543" w:rsidP="00061543">
            <w:pPr>
              <w:spacing w:after="0" w:line="240" w:lineRule="auto"/>
              <w:jc w:val="right"/>
              <w:rPr>
                <w:rFonts w:ascii="Tahoma" w:eastAsia="Times New Roman" w:hAnsi="Tahoma" w:cs="Tahoma"/>
                <w:sz w:val="18"/>
                <w:szCs w:val="18"/>
                <w:lang w:eastAsia="hr-HR"/>
              </w:rPr>
            </w:pPr>
            <w:r w:rsidRPr="00061543">
              <w:rPr>
                <w:rFonts w:ascii="Tahoma" w:eastAsia="Times New Roman" w:hAnsi="Tahoma" w:cs="Tahoma"/>
                <w:sz w:val="18"/>
                <w:szCs w:val="18"/>
                <w:lang w:eastAsia="hr-HR"/>
              </w:rPr>
              <w:t>1</w:t>
            </w:r>
          </w:p>
        </w:tc>
        <w:tc>
          <w:tcPr>
            <w:tcW w:w="236" w:type="dxa"/>
            <w:gridSpan w:val="3"/>
            <w:vAlign w:val="center"/>
            <w:hideMark/>
          </w:tcPr>
          <w:p w14:paraId="39A98192" w14:textId="77777777" w:rsidR="00061543" w:rsidRPr="00061543" w:rsidRDefault="00061543" w:rsidP="00061543">
            <w:pPr>
              <w:spacing w:after="0" w:line="240" w:lineRule="auto"/>
              <w:rPr>
                <w:rFonts w:ascii="Times New Roman" w:eastAsia="Times New Roman" w:hAnsi="Times New Roman" w:cs="Times New Roman"/>
                <w:sz w:val="18"/>
                <w:szCs w:val="18"/>
                <w:lang w:eastAsia="hr-HR"/>
              </w:rPr>
            </w:pPr>
          </w:p>
        </w:tc>
      </w:tr>
      <w:tr w:rsidR="00061543" w:rsidRPr="00061543" w14:paraId="367FDBEF" w14:textId="77777777" w:rsidTr="00061543">
        <w:trPr>
          <w:gridAfter w:val="2"/>
          <w:wAfter w:w="101" w:type="dxa"/>
          <w:trHeight w:val="420"/>
        </w:trPr>
        <w:tc>
          <w:tcPr>
            <w:tcW w:w="1576" w:type="dxa"/>
            <w:tcBorders>
              <w:top w:val="single" w:sz="4" w:space="0" w:color="auto"/>
              <w:left w:val="single" w:sz="8" w:space="0" w:color="auto"/>
              <w:bottom w:val="single" w:sz="4" w:space="0" w:color="auto"/>
              <w:right w:val="single" w:sz="4" w:space="0" w:color="auto"/>
            </w:tcBorders>
            <w:shd w:val="clear" w:color="000000" w:fill="CCFFCC"/>
            <w:vAlign w:val="center"/>
            <w:hideMark/>
          </w:tcPr>
          <w:p w14:paraId="45823E04" w14:textId="77777777" w:rsidR="00061543" w:rsidRPr="00061543" w:rsidRDefault="00061543" w:rsidP="00061543">
            <w:pPr>
              <w:spacing w:after="0" w:line="240" w:lineRule="auto"/>
              <w:rPr>
                <w:rFonts w:ascii="Tahoma" w:eastAsia="Times New Roman" w:hAnsi="Tahoma" w:cs="Tahoma"/>
                <w:sz w:val="18"/>
                <w:szCs w:val="18"/>
                <w:lang w:eastAsia="hr-HR"/>
              </w:rPr>
            </w:pPr>
            <w:r w:rsidRPr="00061543">
              <w:rPr>
                <w:rFonts w:ascii="Tahoma" w:eastAsia="Times New Roman" w:hAnsi="Tahoma" w:cs="Tahoma"/>
                <w:sz w:val="18"/>
                <w:szCs w:val="18"/>
                <w:lang w:eastAsia="hr-HR"/>
              </w:rPr>
              <w:t>Nacionalno podrijetlo</w:t>
            </w:r>
          </w:p>
        </w:tc>
        <w:tc>
          <w:tcPr>
            <w:tcW w:w="560" w:type="dxa"/>
            <w:tcBorders>
              <w:top w:val="nil"/>
              <w:left w:val="nil"/>
              <w:bottom w:val="single" w:sz="4" w:space="0" w:color="auto"/>
              <w:right w:val="single" w:sz="4" w:space="0" w:color="auto"/>
            </w:tcBorders>
            <w:shd w:val="clear" w:color="000000" w:fill="FFCC99"/>
            <w:noWrap/>
            <w:vAlign w:val="center"/>
            <w:hideMark/>
          </w:tcPr>
          <w:p w14:paraId="3092032F" w14:textId="77777777" w:rsidR="00061543" w:rsidRPr="00061543" w:rsidRDefault="00061543" w:rsidP="00061543">
            <w:pPr>
              <w:spacing w:after="0" w:line="240" w:lineRule="auto"/>
              <w:jc w:val="center"/>
              <w:rPr>
                <w:rFonts w:ascii="Tahoma" w:eastAsia="Times New Roman" w:hAnsi="Tahoma" w:cs="Tahoma"/>
                <w:sz w:val="18"/>
                <w:szCs w:val="18"/>
                <w:lang w:eastAsia="hr-HR"/>
              </w:rPr>
            </w:pPr>
            <w:r w:rsidRPr="00061543">
              <w:rPr>
                <w:rFonts w:ascii="Tahoma" w:eastAsia="Times New Roman" w:hAnsi="Tahoma" w:cs="Tahoma"/>
                <w:sz w:val="18"/>
                <w:szCs w:val="18"/>
                <w:lang w:eastAsia="hr-HR"/>
              </w:rPr>
              <w:t>5</w:t>
            </w:r>
          </w:p>
        </w:tc>
        <w:tc>
          <w:tcPr>
            <w:tcW w:w="446" w:type="dxa"/>
            <w:tcBorders>
              <w:top w:val="nil"/>
              <w:left w:val="nil"/>
              <w:bottom w:val="single" w:sz="4" w:space="0" w:color="auto"/>
              <w:right w:val="single" w:sz="4" w:space="0" w:color="auto"/>
            </w:tcBorders>
            <w:shd w:val="clear" w:color="000000" w:fill="FFFF00"/>
            <w:noWrap/>
            <w:vAlign w:val="center"/>
            <w:hideMark/>
          </w:tcPr>
          <w:p w14:paraId="6C90F2D8" w14:textId="77777777" w:rsidR="00061543" w:rsidRPr="00061543" w:rsidRDefault="00061543" w:rsidP="00061543">
            <w:pPr>
              <w:spacing w:after="0" w:line="240" w:lineRule="auto"/>
              <w:jc w:val="center"/>
              <w:rPr>
                <w:rFonts w:ascii="Tahoma" w:eastAsia="Times New Roman" w:hAnsi="Tahoma" w:cs="Tahoma"/>
                <w:sz w:val="18"/>
                <w:szCs w:val="18"/>
                <w:lang w:eastAsia="hr-HR"/>
              </w:rPr>
            </w:pPr>
            <w:r w:rsidRPr="00061543">
              <w:rPr>
                <w:rFonts w:ascii="Tahoma" w:eastAsia="Times New Roman" w:hAnsi="Tahoma" w:cs="Tahoma"/>
                <w:sz w:val="18"/>
                <w:szCs w:val="18"/>
                <w:lang w:eastAsia="hr-HR"/>
              </w:rPr>
              <w:t>2</w:t>
            </w:r>
          </w:p>
        </w:tc>
        <w:tc>
          <w:tcPr>
            <w:tcW w:w="787" w:type="dxa"/>
            <w:tcBorders>
              <w:top w:val="nil"/>
              <w:left w:val="nil"/>
              <w:bottom w:val="single" w:sz="4" w:space="0" w:color="auto"/>
              <w:right w:val="single" w:sz="4" w:space="0" w:color="auto"/>
            </w:tcBorders>
            <w:shd w:val="clear" w:color="000000" w:fill="CCFFFF"/>
            <w:noWrap/>
            <w:vAlign w:val="center"/>
            <w:hideMark/>
          </w:tcPr>
          <w:p w14:paraId="0FC14155" w14:textId="77777777" w:rsidR="00061543" w:rsidRPr="00061543" w:rsidRDefault="00061543" w:rsidP="00061543">
            <w:pPr>
              <w:spacing w:after="0" w:line="240" w:lineRule="auto"/>
              <w:jc w:val="right"/>
              <w:rPr>
                <w:rFonts w:ascii="Tahoma" w:eastAsia="Times New Roman" w:hAnsi="Tahoma" w:cs="Tahoma"/>
                <w:sz w:val="18"/>
                <w:szCs w:val="18"/>
                <w:lang w:eastAsia="hr-HR"/>
              </w:rPr>
            </w:pPr>
            <w:r w:rsidRPr="00061543">
              <w:rPr>
                <w:rFonts w:ascii="Tahoma" w:eastAsia="Times New Roman" w:hAnsi="Tahoma" w:cs="Tahoma"/>
                <w:sz w:val="18"/>
                <w:szCs w:val="18"/>
                <w:lang w:eastAsia="hr-HR"/>
              </w:rPr>
              <w:t>2</w:t>
            </w:r>
          </w:p>
        </w:tc>
        <w:tc>
          <w:tcPr>
            <w:tcW w:w="581" w:type="dxa"/>
            <w:tcBorders>
              <w:top w:val="nil"/>
              <w:left w:val="nil"/>
              <w:bottom w:val="single" w:sz="4" w:space="0" w:color="auto"/>
              <w:right w:val="single" w:sz="4" w:space="0" w:color="auto"/>
            </w:tcBorders>
            <w:shd w:val="clear" w:color="000000" w:fill="CCFFFF"/>
            <w:noWrap/>
            <w:vAlign w:val="center"/>
            <w:hideMark/>
          </w:tcPr>
          <w:p w14:paraId="03F40CE9" w14:textId="77777777" w:rsidR="00061543" w:rsidRPr="00061543" w:rsidRDefault="00061543" w:rsidP="00061543">
            <w:pPr>
              <w:spacing w:after="0" w:line="240" w:lineRule="auto"/>
              <w:jc w:val="right"/>
              <w:rPr>
                <w:rFonts w:ascii="Tahoma" w:eastAsia="Times New Roman" w:hAnsi="Tahoma" w:cs="Tahoma"/>
                <w:sz w:val="18"/>
                <w:szCs w:val="18"/>
                <w:lang w:eastAsia="hr-HR"/>
              </w:rPr>
            </w:pPr>
            <w:r w:rsidRPr="00061543">
              <w:rPr>
                <w:rFonts w:ascii="Tahoma" w:eastAsia="Times New Roman" w:hAnsi="Tahoma" w:cs="Tahoma"/>
                <w:sz w:val="18"/>
                <w:szCs w:val="18"/>
                <w:lang w:eastAsia="hr-HR"/>
              </w:rPr>
              <w:t>0</w:t>
            </w:r>
          </w:p>
        </w:tc>
        <w:tc>
          <w:tcPr>
            <w:tcW w:w="446" w:type="dxa"/>
            <w:tcBorders>
              <w:top w:val="nil"/>
              <w:left w:val="nil"/>
              <w:bottom w:val="single" w:sz="4" w:space="0" w:color="auto"/>
              <w:right w:val="single" w:sz="4" w:space="0" w:color="auto"/>
            </w:tcBorders>
            <w:shd w:val="clear" w:color="000000" w:fill="FFFF99"/>
            <w:noWrap/>
            <w:vAlign w:val="center"/>
            <w:hideMark/>
          </w:tcPr>
          <w:p w14:paraId="449FEE82" w14:textId="77777777" w:rsidR="00061543" w:rsidRPr="00061543" w:rsidRDefault="00061543" w:rsidP="00061543">
            <w:pPr>
              <w:spacing w:after="0" w:line="240" w:lineRule="auto"/>
              <w:jc w:val="center"/>
              <w:rPr>
                <w:rFonts w:ascii="Tahoma" w:eastAsia="Times New Roman" w:hAnsi="Tahoma" w:cs="Tahoma"/>
                <w:sz w:val="18"/>
                <w:szCs w:val="18"/>
                <w:lang w:eastAsia="hr-HR"/>
              </w:rPr>
            </w:pPr>
            <w:r w:rsidRPr="00061543">
              <w:rPr>
                <w:rFonts w:ascii="Tahoma" w:eastAsia="Times New Roman" w:hAnsi="Tahoma" w:cs="Tahoma"/>
                <w:sz w:val="18"/>
                <w:szCs w:val="18"/>
                <w:lang w:eastAsia="hr-HR"/>
              </w:rPr>
              <w:t>1</w:t>
            </w:r>
          </w:p>
        </w:tc>
        <w:tc>
          <w:tcPr>
            <w:tcW w:w="697" w:type="dxa"/>
            <w:tcBorders>
              <w:top w:val="nil"/>
              <w:left w:val="nil"/>
              <w:bottom w:val="single" w:sz="4" w:space="0" w:color="auto"/>
              <w:right w:val="single" w:sz="4" w:space="0" w:color="auto"/>
            </w:tcBorders>
            <w:shd w:val="clear" w:color="000000" w:fill="FFFF99"/>
            <w:noWrap/>
            <w:vAlign w:val="center"/>
            <w:hideMark/>
          </w:tcPr>
          <w:p w14:paraId="468DBCFB" w14:textId="77777777" w:rsidR="00061543" w:rsidRPr="00061543" w:rsidRDefault="00061543" w:rsidP="00061543">
            <w:pPr>
              <w:spacing w:after="0" w:line="240" w:lineRule="auto"/>
              <w:jc w:val="center"/>
              <w:rPr>
                <w:rFonts w:ascii="Tahoma" w:eastAsia="Times New Roman" w:hAnsi="Tahoma" w:cs="Tahoma"/>
                <w:sz w:val="18"/>
                <w:szCs w:val="18"/>
                <w:lang w:eastAsia="hr-HR"/>
              </w:rPr>
            </w:pPr>
            <w:r w:rsidRPr="00061543">
              <w:rPr>
                <w:rFonts w:ascii="Tahoma" w:eastAsia="Times New Roman" w:hAnsi="Tahoma" w:cs="Tahoma"/>
                <w:sz w:val="18"/>
                <w:szCs w:val="18"/>
                <w:lang w:eastAsia="hr-HR"/>
              </w:rPr>
              <w:t>1</w:t>
            </w:r>
          </w:p>
        </w:tc>
        <w:tc>
          <w:tcPr>
            <w:tcW w:w="446" w:type="dxa"/>
            <w:tcBorders>
              <w:top w:val="nil"/>
              <w:left w:val="nil"/>
              <w:bottom w:val="single" w:sz="4" w:space="0" w:color="auto"/>
              <w:right w:val="single" w:sz="4" w:space="0" w:color="auto"/>
            </w:tcBorders>
            <w:shd w:val="clear" w:color="000000" w:fill="FFFF99"/>
            <w:noWrap/>
            <w:vAlign w:val="center"/>
            <w:hideMark/>
          </w:tcPr>
          <w:p w14:paraId="4697B529" w14:textId="77777777" w:rsidR="00061543" w:rsidRPr="00061543" w:rsidRDefault="00061543" w:rsidP="00061543">
            <w:pPr>
              <w:spacing w:after="0" w:line="240" w:lineRule="auto"/>
              <w:jc w:val="center"/>
              <w:rPr>
                <w:rFonts w:ascii="Tahoma" w:eastAsia="Times New Roman" w:hAnsi="Tahoma" w:cs="Tahoma"/>
                <w:sz w:val="18"/>
                <w:szCs w:val="18"/>
                <w:lang w:eastAsia="hr-HR"/>
              </w:rPr>
            </w:pPr>
            <w:r w:rsidRPr="00061543">
              <w:rPr>
                <w:rFonts w:ascii="Tahoma" w:eastAsia="Times New Roman" w:hAnsi="Tahoma" w:cs="Tahoma"/>
                <w:sz w:val="18"/>
                <w:szCs w:val="18"/>
                <w:lang w:eastAsia="hr-HR"/>
              </w:rPr>
              <w:t>0</w:t>
            </w:r>
          </w:p>
        </w:tc>
        <w:tc>
          <w:tcPr>
            <w:tcW w:w="567" w:type="dxa"/>
            <w:tcBorders>
              <w:top w:val="nil"/>
              <w:left w:val="nil"/>
              <w:bottom w:val="single" w:sz="4" w:space="0" w:color="auto"/>
              <w:right w:val="single" w:sz="4" w:space="0" w:color="auto"/>
            </w:tcBorders>
            <w:shd w:val="clear" w:color="000000" w:fill="FFFF99"/>
            <w:noWrap/>
            <w:vAlign w:val="center"/>
            <w:hideMark/>
          </w:tcPr>
          <w:p w14:paraId="450DC6C7" w14:textId="77777777" w:rsidR="00061543" w:rsidRPr="00061543" w:rsidRDefault="00061543" w:rsidP="00061543">
            <w:pPr>
              <w:spacing w:after="0" w:line="240" w:lineRule="auto"/>
              <w:jc w:val="center"/>
              <w:rPr>
                <w:rFonts w:ascii="Tahoma" w:eastAsia="Times New Roman" w:hAnsi="Tahoma" w:cs="Tahoma"/>
                <w:sz w:val="18"/>
                <w:szCs w:val="18"/>
                <w:lang w:eastAsia="hr-HR"/>
              </w:rPr>
            </w:pPr>
            <w:r w:rsidRPr="00061543">
              <w:rPr>
                <w:rFonts w:ascii="Tahoma" w:eastAsia="Times New Roman" w:hAnsi="Tahoma" w:cs="Tahoma"/>
                <w:sz w:val="18"/>
                <w:szCs w:val="18"/>
                <w:lang w:eastAsia="hr-HR"/>
              </w:rPr>
              <w:t>0</w:t>
            </w:r>
          </w:p>
        </w:tc>
        <w:tc>
          <w:tcPr>
            <w:tcW w:w="468" w:type="dxa"/>
            <w:tcBorders>
              <w:top w:val="nil"/>
              <w:left w:val="nil"/>
              <w:bottom w:val="single" w:sz="4" w:space="0" w:color="auto"/>
              <w:right w:val="single" w:sz="4" w:space="0" w:color="auto"/>
            </w:tcBorders>
            <w:shd w:val="clear" w:color="000000" w:fill="FFFF99"/>
            <w:noWrap/>
            <w:vAlign w:val="center"/>
            <w:hideMark/>
          </w:tcPr>
          <w:p w14:paraId="3C8F94D0" w14:textId="77777777" w:rsidR="00061543" w:rsidRPr="00061543" w:rsidRDefault="00061543" w:rsidP="00061543">
            <w:pPr>
              <w:spacing w:after="0" w:line="240" w:lineRule="auto"/>
              <w:jc w:val="center"/>
              <w:rPr>
                <w:rFonts w:ascii="Tahoma" w:eastAsia="Times New Roman" w:hAnsi="Tahoma" w:cs="Tahoma"/>
                <w:sz w:val="18"/>
                <w:szCs w:val="18"/>
                <w:lang w:eastAsia="hr-HR"/>
              </w:rPr>
            </w:pPr>
            <w:r w:rsidRPr="00061543">
              <w:rPr>
                <w:rFonts w:ascii="Tahoma" w:eastAsia="Times New Roman" w:hAnsi="Tahoma" w:cs="Tahoma"/>
                <w:sz w:val="18"/>
                <w:szCs w:val="18"/>
                <w:lang w:eastAsia="hr-HR"/>
              </w:rPr>
              <w:t>0</w:t>
            </w:r>
          </w:p>
        </w:tc>
        <w:tc>
          <w:tcPr>
            <w:tcW w:w="808" w:type="dxa"/>
            <w:tcBorders>
              <w:top w:val="nil"/>
              <w:left w:val="nil"/>
              <w:bottom w:val="single" w:sz="4" w:space="0" w:color="auto"/>
              <w:right w:val="single" w:sz="4" w:space="0" w:color="auto"/>
            </w:tcBorders>
            <w:shd w:val="clear" w:color="000000" w:fill="FFFF99"/>
            <w:noWrap/>
            <w:vAlign w:val="center"/>
            <w:hideMark/>
          </w:tcPr>
          <w:p w14:paraId="6B4CC534" w14:textId="77777777" w:rsidR="00061543" w:rsidRPr="00061543" w:rsidRDefault="00061543" w:rsidP="00061543">
            <w:pPr>
              <w:spacing w:after="0" w:line="240" w:lineRule="auto"/>
              <w:jc w:val="center"/>
              <w:rPr>
                <w:rFonts w:ascii="Tahoma" w:eastAsia="Times New Roman" w:hAnsi="Tahoma" w:cs="Tahoma"/>
                <w:sz w:val="18"/>
                <w:szCs w:val="18"/>
                <w:lang w:eastAsia="hr-HR"/>
              </w:rPr>
            </w:pPr>
            <w:r w:rsidRPr="00061543">
              <w:rPr>
                <w:rFonts w:ascii="Tahoma" w:eastAsia="Times New Roman" w:hAnsi="Tahoma" w:cs="Tahoma"/>
                <w:sz w:val="18"/>
                <w:szCs w:val="18"/>
                <w:lang w:eastAsia="hr-HR"/>
              </w:rPr>
              <w:t>0</w:t>
            </w:r>
          </w:p>
        </w:tc>
        <w:tc>
          <w:tcPr>
            <w:tcW w:w="468" w:type="dxa"/>
            <w:gridSpan w:val="2"/>
            <w:tcBorders>
              <w:top w:val="nil"/>
              <w:left w:val="nil"/>
              <w:bottom w:val="single" w:sz="4" w:space="0" w:color="auto"/>
              <w:right w:val="single" w:sz="4" w:space="0" w:color="auto"/>
            </w:tcBorders>
            <w:shd w:val="clear" w:color="000000" w:fill="FF9900"/>
            <w:noWrap/>
            <w:vAlign w:val="center"/>
            <w:hideMark/>
          </w:tcPr>
          <w:p w14:paraId="7B364D54" w14:textId="77777777" w:rsidR="00061543" w:rsidRPr="00061543" w:rsidRDefault="00061543" w:rsidP="00061543">
            <w:pPr>
              <w:spacing w:after="0" w:line="240" w:lineRule="auto"/>
              <w:jc w:val="right"/>
              <w:rPr>
                <w:rFonts w:ascii="Tahoma" w:eastAsia="Times New Roman" w:hAnsi="Tahoma" w:cs="Tahoma"/>
                <w:sz w:val="18"/>
                <w:szCs w:val="18"/>
                <w:lang w:eastAsia="hr-HR"/>
              </w:rPr>
            </w:pPr>
            <w:r w:rsidRPr="00061543">
              <w:rPr>
                <w:rFonts w:ascii="Tahoma" w:eastAsia="Times New Roman" w:hAnsi="Tahoma" w:cs="Tahoma"/>
                <w:sz w:val="18"/>
                <w:szCs w:val="18"/>
                <w:lang w:eastAsia="hr-HR"/>
              </w:rPr>
              <w:t>0</w:t>
            </w:r>
          </w:p>
        </w:tc>
        <w:tc>
          <w:tcPr>
            <w:tcW w:w="524" w:type="dxa"/>
            <w:tcBorders>
              <w:top w:val="nil"/>
              <w:left w:val="nil"/>
              <w:bottom w:val="single" w:sz="4" w:space="0" w:color="auto"/>
              <w:right w:val="single" w:sz="4" w:space="0" w:color="auto"/>
            </w:tcBorders>
            <w:shd w:val="clear" w:color="000000" w:fill="FF9900"/>
            <w:noWrap/>
            <w:vAlign w:val="center"/>
            <w:hideMark/>
          </w:tcPr>
          <w:p w14:paraId="6D419004" w14:textId="77777777" w:rsidR="00061543" w:rsidRPr="00061543" w:rsidRDefault="00061543" w:rsidP="00061543">
            <w:pPr>
              <w:spacing w:after="0" w:line="240" w:lineRule="auto"/>
              <w:jc w:val="right"/>
              <w:rPr>
                <w:rFonts w:ascii="Tahoma" w:eastAsia="Times New Roman" w:hAnsi="Tahoma" w:cs="Tahoma"/>
                <w:sz w:val="18"/>
                <w:szCs w:val="18"/>
                <w:lang w:eastAsia="hr-HR"/>
              </w:rPr>
            </w:pPr>
            <w:r w:rsidRPr="00061543">
              <w:rPr>
                <w:rFonts w:ascii="Tahoma" w:eastAsia="Times New Roman" w:hAnsi="Tahoma" w:cs="Tahoma"/>
                <w:sz w:val="18"/>
                <w:szCs w:val="18"/>
                <w:lang w:eastAsia="hr-HR"/>
              </w:rPr>
              <w:t>1</w:t>
            </w:r>
          </w:p>
        </w:tc>
        <w:tc>
          <w:tcPr>
            <w:tcW w:w="468" w:type="dxa"/>
            <w:tcBorders>
              <w:top w:val="nil"/>
              <w:left w:val="nil"/>
              <w:bottom w:val="single" w:sz="4" w:space="0" w:color="auto"/>
              <w:right w:val="single" w:sz="4" w:space="0" w:color="auto"/>
            </w:tcBorders>
            <w:shd w:val="clear" w:color="000000" w:fill="FF9900"/>
            <w:noWrap/>
            <w:vAlign w:val="center"/>
            <w:hideMark/>
          </w:tcPr>
          <w:p w14:paraId="073ED714" w14:textId="77777777" w:rsidR="00061543" w:rsidRPr="00061543" w:rsidRDefault="00061543" w:rsidP="00061543">
            <w:pPr>
              <w:spacing w:after="0" w:line="240" w:lineRule="auto"/>
              <w:jc w:val="right"/>
              <w:rPr>
                <w:rFonts w:ascii="Tahoma" w:eastAsia="Times New Roman" w:hAnsi="Tahoma" w:cs="Tahoma"/>
                <w:sz w:val="18"/>
                <w:szCs w:val="18"/>
                <w:lang w:eastAsia="hr-HR"/>
              </w:rPr>
            </w:pPr>
            <w:r w:rsidRPr="00061543">
              <w:rPr>
                <w:rFonts w:ascii="Tahoma" w:eastAsia="Times New Roman" w:hAnsi="Tahoma" w:cs="Tahoma"/>
                <w:sz w:val="18"/>
                <w:szCs w:val="18"/>
                <w:lang w:eastAsia="hr-HR"/>
              </w:rPr>
              <w:t>1</w:t>
            </w:r>
          </w:p>
        </w:tc>
        <w:tc>
          <w:tcPr>
            <w:tcW w:w="468" w:type="dxa"/>
            <w:tcBorders>
              <w:top w:val="nil"/>
              <w:left w:val="nil"/>
              <w:bottom w:val="single" w:sz="4" w:space="0" w:color="auto"/>
              <w:right w:val="single" w:sz="4" w:space="0" w:color="auto"/>
            </w:tcBorders>
            <w:shd w:val="clear" w:color="000000" w:fill="FFFF00"/>
            <w:vAlign w:val="center"/>
            <w:hideMark/>
          </w:tcPr>
          <w:p w14:paraId="10CDC3DB" w14:textId="77777777" w:rsidR="00061543" w:rsidRPr="00061543" w:rsidRDefault="00061543" w:rsidP="00061543">
            <w:pPr>
              <w:spacing w:after="0" w:line="240" w:lineRule="auto"/>
              <w:jc w:val="center"/>
              <w:rPr>
                <w:rFonts w:ascii="Tahoma" w:eastAsia="Times New Roman" w:hAnsi="Tahoma" w:cs="Tahoma"/>
                <w:sz w:val="18"/>
                <w:szCs w:val="18"/>
                <w:lang w:eastAsia="hr-HR"/>
              </w:rPr>
            </w:pPr>
            <w:r w:rsidRPr="00061543">
              <w:rPr>
                <w:rFonts w:ascii="Tahoma" w:eastAsia="Times New Roman" w:hAnsi="Tahoma" w:cs="Tahoma"/>
                <w:sz w:val="18"/>
                <w:szCs w:val="18"/>
                <w:lang w:eastAsia="hr-HR"/>
              </w:rPr>
              <w:t>2</w:t>
            </w:r>
          </w:p>
        </w:tc>
        <w:tc>
          <w:tcPr>
            <w:tcW w:w="560" w:type="dxa"/>
            <w:gridSpan w:val="2"/>
            <w:tcBorders>
              <w:top w:val="nil"/>
              <w:left w:val="nil"/>
              <w:bottom w:val="single" w:sz="4" w:space="0" w:color="auto"/>
              <w:right w:val="single" w:sz="4" w:space="0" w:color="auto"/>
            </w:tcBorders>
            <w:shd w:val="clear" w:color="000000" w:fill="FF9900"/>
            <w:vAlign w:val="center"/>
            <w:hideMark/>
          </w:tcPr>
          <w:p w14:paraId="40DF54C4" w14:textId="77777777" w:rsidR="00061543" w:rsidRPr="00061543" w:rsidRDefault="00061543" w:rsidP="00061543">
            <w:pPr>
              <w:spacing w:after="0" w:line="240" w:lineRule="auto"/>
              <w:jc w:val="center"/>
              <w:rPr>
                <w:rFonts w:ascii="Tahoma" w:eastAsia="Times New Roman" w:hAnsi="Tahoma" w:cs="Tahoma"/>
                <w:sz w:val="18"/>
                <w:szCs w:val="18"/>
                <w:lang w:eastAsia="hr-HR"/>
              </w:rPr>
            </w:pPr>
            <w:r w:rsidRPr="00061543">
              <w:rPr>
                <w:rFonts w:ascii="Tahoma" w:eastAsia="Times New Roman" w:hAnsi="Tahoma" w:cs="Tahoma"/>
                <w:sz w:val="18"/>
                <w:szCs w:val="18"/>
                <w:lang w:eastAsia="hr-HR"/>
              </w:rPr>
              <w:t>5</w:t>
            </w:r>
          </w:p>
        </w:tc>
        <w:tc>
          <w:tcPr>
            <w:tcW w:w="905" w:type="dxa"/>
            <w:gridSpan w:val="2"/>
            <w:tcBorders>
              <w:top w:val="nil"/>
              <w:left w:val="nil"/>
              <w:bottom w:val="single" w:sz="4" w:space="0" w:color="auto"/>
              <w:right w:val="single" w:sz="4" w:space="0" w:color="auto"/>
            </w:tcBorders>
            <w:shd w:val="clear" w:color="000000" w:fill="FF9900"/>
            <w:noWrap/>
            <w:vAlign w:val="center"/>
            <w:hideMark/>
          </w:tcPr>
          <w:p w14:paraId="52C3C37C" w14:textId="77777777" w:rsidR="00061543" w:rsidRPr="00061543" w:rsidRDefault="00061543" w:rsidP="00061543">
            <w:pPr>
              <w:spacing w:after="0" w:line="240" w:lineRule="auto"/>
              <w:jc w:val="center"/>
              <w:rPr>
                <w:rFonts w:ascii="Tahoma" w:eastAsia="Times New Roman" w:hAnsi="Tahoma" w:cs="Tahoma"/>
                <w:sz w:val="18"/>
                <w:szCs w:val="18"/>
                <w:lang w:eastAsia="hr-HR"/>
              </w:rPr>
            </w:pPr>
            <w:r w:rsidRPr="00061543">
              <w:rPr>
                <w:rFonts w:ascii="Tahoma" w:eastAsia="Times New Roman" w:hAnsi="Tahoma" w:cs="Tahoma"/>
                <w:sz w:val="18"/>
                <w:szCs w:val="18"/>
                <w:lang w:eastAsia="hr-HR"/>
              </w:rPr>
              <w:t>2</w:t>
            </w:r>
          </w:p>
        </w:tc>
        <w:tc>
          <w:tcPr>
            <w:tcW w:w="498" w:type="dxa"/>
            <w:tcBorders>
              <w:top w:val="nil"/>
              <w:left w:val="nil"/>
              <w:bottom w:val="single" w:sz="4" w:space="0" w:color="auto"/>
              <w:right w:val="single" w:sz="4" w:space="0" w:color="auto"/>
            </w:tcBorders>
            <w:shd w:val="clear" w:color="000000" w:fill="FF9900"/>
            <w:noWrap/>
            <w:vAlign w:val="center"/>
            <w:hideMark/>
          </w:tcPr>
          <w:p w14:paraId="3B2F558C" w14:textId="77777777" w:rsidR="00061543" w:rsidRPr="00061543" w:rsidRDefault="00061543" w:rsidP="00061543">
            <w:pPr>
              <w:spacing w:after="0" w:line="240" w:lineRule="auto"/>
              <w:jc w:val="center"/>
              <w:rPr>
                <w:rFonts w:ascii="Tahoma" w:eastAsia="Times New Roman" w:hAnsi="Tahoma" w:cs="Tahoma"/>
                <w:sz w:val="18"/>
                <w:szCs w:val="18"/>
                <w:lang w:eastAsia="hr-HR"/>
              </w:rPr>
            </w:pPr>
            <w:r w:rsidRPr="00061543">
              <w:rPr>
                <w:rFonts w:ascii="Tahoma" w:eastAsia="Times New Roman" w:hAnsi="Tahoma" w:cs="Tahoma"/>
                <w:sz w:val="18"/>
                <w:szCs w:val="18"/>
                <w:lang w:eastAsia="hr-HR"/>
              </w:rPr>
              <w:t>0</w:t>
            </w:r>
          </w:p>
        </w:tc>
        <w:tc>
          <w:tcPr>
            <w:tcW w:w="1016" w:type="dxa"/>
            <w:gridSpan w:val="2"/>
            <w:tcBorders>
              <w:top w:val="nil"/>
              <w:left w:val="nil"/>
              <w:bottom w:val="single" w:sz="4" w:space="0" w:color="auto"/>
              <w:right w:val="single" w:sz="4" w:space="0" w:color="auto"/>
            </w:tcBorders>
            <w:shd w:val="clear" w:color="000000" w:fill="FF9900"/>
            <w:noWrap/>
            <w:vAlign w:val="center"/>
            <w:hideMark/>
          </w:tcPr>
          <w:p w14:paraId="21F1AC1C" w14:textId="77777777" w:rsidR="00061543" w:rsidRPr="00061543" w:rsidRDefault="00061543" w:rsidP="00061543">
            <w:pPr>
              <w:spacing w:after="0" w:line="240" w:lineRule="auto"/>
              <w:jc w:val="center"/>
              <w:rPr>
                <w:rFonts w:ascii="Tahoma" w:eastAsia="Times New Roman" w:hAnsi="Tahoma" w:cs="Tahoma"/>
                <w:sz w:val="18"/>
                <w:szCs w:val="18"/>
                <w:lang w:eastAsia="hr-HR"/>
              </w:rPr>
            </w:pPr>
            <w:r w:rsidRPr="00061543">
              <w:rPr>
                <w:rFonts w:ascii="Tahoma" w:eastAsia="Times New Roman" w:hAnsi="Tahoma" w:cs="Tahoma"/>
                <w:sz w:val="18"/>
                <w:szCs w:val="18"/>
                <w:lang w:eastAsia="hr-HR"/>
              </w:rPr>
              <w:t>1</w:t>
            </w:r>
          </w:p>
        </w:tc>
        <w:tc>
          <w:tcPr>
            <w:tcW w:w="505" w:type="dxa"/>
            <w:gridSpan w:val="2"/>
            <w:tcBorders>
              <w:top w:val="nil"/>
              <w:left w:val="nil"/>
              <w:bottom w:val="single" w:sz="4" w:space="0" w:color="auto"/>
              <w:right w:val="single" w:sz="4" w:space="0" w:color="auto"/>
            </w:tcBorders>
            <w:shd w:val="clear" w:color="000000" w:fill="CCFFFF"/>
            <w:vAlign w:val="center"/>
            <w:hideMark/>
          </w:tcPr>
          <w:p w14:paraId="4F647641" w14:textId="77777777" w:rsidR="00061543" w:rsidRPr="00061543" w:rsidRDefault="00061543" w:rsidP="00061543">
            <w:pPr>
              <w:spacing w:after="0" w:line="240" w:lineRule="auto"/>
              <w:jc w:val="right"/>
              <w:rPr>
                <w:rFonts w:ascii="Tahoma" w:eastAsia="Times New Roman" w:hAnsi="Tahoma" w:cs="Tahoma"/>
                <w:sz w:val="18"/>
                <w:szCs w:val="18"/>
                <w:lang w:eastAsia="hr-HR"/>
              </w:rPr>
            </w:pPr>
            <w:r w:rsidRPr="00061543">
              <w:rPr>
                <w:rFonts w:ascii="Tahoma" w:eastAsia="Times New Roman" w:hAnsi="Tahoma" w:cs="Tahoma"/>
                <w:sz w:val="18"/>
                <w:szCs w:val="18"/>
                <w:lang w:eastAsia="hr-HR"/>
              </w:rPr>
              <w:t>1</w:t>
            </w:r>
          </w:p>
        </w:tc>
        <w:tc>
          <w:tcPr>
            <w:tcW w:w="468" w:type="dxa"/>
            <w:tcBorders>
              <w:top w:val="nil"/>
              <w:left w:val="nil"/>
              <w:bottom w:val="single" w:sz="4" w:space="0" w:color="auto"/>
              <w:right w:val="single" w:sz="4" w:space="0" w:color="auto"/>
            </w:tcBorders>
            <w:shd w:val="clear" w:color="000000" w:fill="CCFFFF"/>
            <w:vAlign w:val="center"/>
            <w:hideMark/>
          </w:tcPr>
          <w:p w14:paraId="5C196B69" w14:textId="77777777" w:rsidR="00061543" w:rsidRPr="00061543" w:rsidRDefault="00061543" w:rsidP="00061543">
            <w:pPr>
              <w:spacing w:after="0" w:line="240" w:lineRule="auto"/>
              <w:jc w:val="right"/>
              <w:rPr>
                <w:rFonts w:ascii="Tahoma" w:eastAsia="Times New Roman" w:hAnsi="Tahoma" w:cs="Tahoma"/>
                <w:sz w:val="18"/>
                <w:szCs w:val="18"/>
                <w:lang w:eastAsia="hr-HR"/>
              </w:rPr>
            </w:pPr>
            <w:r w:rsidRPr="00061543">
              <w:rPr>
                <w:rFonts w:ascii="Tahoma" w:eastAsia="Times New Roman" w:hAnsi="Tahoma" w:cs="Tahoma"/>
                <w:sz w:val="18"/>
                <w:szCs w:val="18"/>
                <w:lang w:eastAsia="hr-HR"/>
              </w:rPr>
              <w:t>0</w:t>
            </w:r>
          </w:p>
        </w:tc>
        <w:tc>
          <w:tcPr>
            <w:tcW w:w="336" w:type="dxa"/>
            <w:tcBorders>
              <w:top w:val="nil"/>
              <w:left w:val="nil"/>
              <w:bottom w:val="single" w:sz="4" w:space="0" w:color="auto"/>
              <w:right w:val="single" w:sz="4" w:space="0" w:color="auto"/>
            </w:tcBorders>
            <w:shd w:val="clear" w:color="000000" w:fill="CCFFFF"/>
            <w:noWrap/>
            <w:vAlign w:val="center"/>
            <w:hideMark/>
          </w:tcPr>
          <w:p w14:paraId="563A8624" w14:textId="77777777" w:rsidR="00061543" w:rsidRPr="00061543" w:rsidRDefault="00061543" w:rsidP="00061543">
            <w:pPr>
              <w:spacing w:after="0" w:line="240" w:lineRule="auto"/>
              <w:jc w:val="right"/>
              <w:rPr>
                <w:rFonts w:ascii="Tahoma" w:eastAsia="Times New Roman" w:hAnsi="Tahoma" w:cs="Tahoma"/>
                <w:sz w:val="18"/>
                <w:szCs w:val="18"/>
                <w:lang w:eastAsia="hr-HR"/>
              </w:rPr>
            </w:pPr>
            <w:r w:rsidRPr="00061543">
              <w:rPr>
                <w:rFonts w:ascii="Tahoma" w:eastAsia="Times New Roman" w:hAnsi="Tahoma" w:cs="Tahoma"/>
                <w:sz w:val="18"/>
                <w:szCs w:val="18"/>
                <w:lang w:eastAsia="hr-HR"/>
              </w:rPr>
              <w:t>0</w:t>
            </w:r>
          </w:p>
        </w:tc>
        <w:tc>
          <w:tcPr>
            <w:tcW w:w="426" w:type="dxa"/>
            <w:tcBorders>
              <w:top w:val="nil"/>
              <w:left w:val="nil"/>
              <w:bottom w:val="single" w:sz="4" w:space="0" w:color="auto"/>
              <w:right w:val="single" w:sz="4" w:space="0" w:color="auto"/>
            </w:tcBorders>
            <w:shd w:val="clear" w:color="000000" w:fill="33CCCC"/>
            <w:noWrap/>
            <w:vAlign w:val="center"/>
            <w:hideMark/>
          </w:tcPr>
          <w:p w14:paraId="1E38FB9B" w14:textId="77777777" w:rsidR="00061543" w:rsidRPr="00061543" w:rsidRDefault="00061543" w:rsidP="00061543">
            <w:pPr>
              <w:spacing w:after="0" w:line="240" w:lineRule="auto"/>
              <w:jc w:val="right"/>
              <w:rPr>
                <w:rFonts w:ascii="Tahoma" w:eastAsia="Times New Roman" w:hAnsi="Tahoma" w:cs="Tahoma"/>
                <w:sz w:val="18"/>
                <w:szCs w:val="18"/>
                <w:lang w:eastAsia="hr-HR"/>
              </w:rPr>
            </w:pPr>
            <w:r w:rsidRPr="00061543">
              <w:rPr>
                <w:rFonts w:ascii="Tahoma" w:eastAsia="Times New Roman" w:hAnsi="Tahoma" w:cs="Tahoma"/>
                <w:sz w:val="18"/>
                <w:szCs w:val="18"/>
                <w:lang w:eastAsia="hr-HR"/>
              </w:rPr>
              <w:t>1</w:t>
            </w:r>
          </w:p>
        </w:tc>
        <w:tc>
          <w:tcPr>
            <w:tcW w:w="473" w:type="dxa"/>
            <w:tcBorders>
              <w:top w:val="nil"/>
              <w:left w:val="nil"/>
              <w:bottom w:val="single" w:sz="4" w:space="0" w:color="auto"/>
              <w:right w:val="single" w:sz="8" w:space="0" w:color="auto"/>
            </w:tcBorders>
            <w:shd w:val="clear" w:color="000000" w:fill="33CCCC"/>
            <w:noWrap/>
            <w:vAlign w:val="center"/>
            <w:hideMark/>
          </w:tcPr>
          <w:p w14:paraId="0B192BB3" w14:textId="77777777" w:rsidR="00061543" w:rsidRPr="00061543" w:rsidRDefault="00061543" w:rsidP="00061543">
            <w:pPr>
              <w:spacing w:after="0" w:line="240" w:lineRule="auto"/>
              <w:jc w:val="right"/>
              <w:rPr>
                <w:rFonts w:ascii="Tahoma" w:eastAsia="Times New Roman" w:hAnsi="Tahoma" w:cs="Tahoma"/>
                <w:sz w:val="18"/>
                <w:szCs w:val="18"/>
                <w:lang w:eastAsia="hr-HR"/>
              </w:rPr>
            </w:pPr>
            <w:r w:rsidRPr="00061543">
              <w:rPr>
                <w:rFonts w:ascii="Tahoma" w:eastAsia="Times New Roman" w:hAnsi="Tahoma" w:cs="Tahoma"/>
                <w:sz w:val="18"/>
                <w:szCs w:val="18"/>
                <w:lang w:eastAsia="hr-HR"/>
              </w:rPr>
              <w:t>1</w:t>
            </w:r>
          </w:p>
        </w:tc>
        <w:tc>
          <w:tcPr>
            <w:tcW w:w="236" w:type="dxa"/>
            <w:gridSpan w:val="3"/>
            <w:vAlign w:val="center"/>
            <w:hideMark/>
          </w:tcPr>
          <w:p w14:paraId="5FAE22F4" w14:textId="77777777" w:rsidR="00061543" w:rsidRPr="00061543" w:rsidRDefault="00061543" w:rsidP="00061543">
            <w:pPr>
              <w:spacing w:after="0" w:line="240" w:lineRule="auto"/>
              <w:rPr>
                <w:rFonts w:ascii="Times New Roman" w:eastAsia="Times New Roman" w:hAnsi="Times New Roman" w:cs="Times New Roman"/>
                <w:sz w:val="18"/>
                <w:szCs w:val="18"/>
                <w:lang w:eastAsia="hr-HR"/>
              </w:rPr>
            </w:pPr>
          </w:p>
        </w:tc>
      </w:tr>
      <w:tr w:rsidR="00061543" w:rsidRPr="00061543" w14:paraId="211246AE" w14:textId="77777777" w:rsidTr="00061543">
        <w:trPr>
          <w:gridAfter w:val="2"/>
          <w:wAfter w:w="101" w:type="dxa"/>
          <w:trHeight w:val="420"/>
        </w:trPr>
        <w:tc>
          <w:tcPr>
            <w:tcW w:w="1576" w:type="dxa"/>
            <w:tcBorders>
              <w:top w:val="single" w:sz="4" w:space="0" w:color="auto"/>
              <w:left w:val="single" w:sz="8" w:space="0" w:color="auto"/>
              <w:bottom w:val="single" w:sz="4" w:space="0" w:color="auto"/>
              <w:right w:val="single" w:sz="4" w:space="0" w:color="auto"/>
            </w:tcBorders>
            <w:shd w:val="clear" w:color="000000" w:fill="CCFFCC"/>
            <w:vAlign w:val="center"/>
            <w:hideMark/>
          </w:tcPr>
          <w:p w14:paraId="62252BE0" w14:textId="77777777" w:rsidR="00061543" w:rsidRPr="00061543" w:rsidRDefault="00061543" w:rsidP="00061543">
            <w:pPr>
              <w:spacing w:after="0" w:line="240" w:lineRule="auto"/>
              <w:rPr>
                <w:rFonts w:ascii="Tahoma" w:eastAsia="Times New Roman" w:hAnsi="Tahoma" w:cs="Tahoma"/>
                <w:sz w:val="18"/>
                <w:szCs w:val="18"/>
                <w:lang w:eastAsia="hr-HR"/>
              </w:rPr>
            </w:pPr>
            <w:r w:rsidRPr="00061543">
              <w:rPr>
                <w:rFonts w:ascii="Tahoma" w:eastAsia="Times New Roman" w:hAnsi="Tahoma" w:cs="Tahoma"/>
                <w:sz w:val="18"/>
                <w:szCs w:val="18"/>
                <w:lang w:eastAsia="hr-HR"/>
              </w:rPr>
              <w:t>Socijalno podrijetlo</w:t>
            </w:r>
          </w:p>
        </w:tc>
        <w:tc>
          <w:tcPr>
            <w:tcW w:w="560" w:type="dxa"/>
            <w:tcBorders>
              <w:top w:val="nil"/>
              <w:left w:val="nil"/>
              <w:bottom w:val="single" w:sz="4" w:space="0" w:color="auto"/>
              <w:right w:val="single" w:sz="4" w:space="0" w:color="auto"/>
            </w:tcBorders>
            <w:shd w:val="clear" w:color="000000" w:fill="FFCC99"/>
            <w:noWrap/>
            <w:vAlign w:val="center"/>
            <w:hideMark/>
          </w:tcPr>
          <w:p w14:paraId="4711183A" w14:textId="77777777" w:rsidR="00061543" w:rsidRPr="00061543" w:rsidRDefault="00061543" w:rsidP="00061543">
            <w:pPr>
              <w:spacing w:after="0" w:line="240" w:lineRule="auto"/>
              <w:jc w:val="center"/>
              <w:rPr>
                <w:rFonts w:ascii="Tahoma" w:eastAsia="Times New Roman" w:hAnsi="Tahoma" w:cs="Tahoma"/>
                <w:sz w:val="18"/>
                <w:szCs w:val="18"/>
                <w:lang w:eastAsia="hr-HR"/>
              </w:rPr>
            </w:pPr>
            <w:r w:rsidRPr="00061543">
              <w:rPr>
                <w:rFonts w:ascii="Tahoma" w:eastAsia="Times New Roman" w:hAnsi="Tahoma" w:cs="Tahoma"/>
                <w:sz w:val="18"/>
                <w:szCs w:val="18"/>
                <w:lang w:eastAsia="hr-HR"/>
              </w:rPr>
              <w:t>3</w:t>
            </w:r>
          </w:p>
        </w:tc>
        <w:tc>
          <w:tcPr>
            <w:tcW w:w="446" w:type="dxa"/>
            <w:tcBorders>
              <w:top w:val="nil"/>
              <w:left w:val="nil"/>
              <w:bottom w:val="single" w:sz="4" w:space="0" w:color="auto"/>
              <w:right w:val="single" w:sz="4" w:space="0" w:color="auto"/>
            </w:tcBorders>
            <w:shd w:val="clear" w:color="000000" w:fill="FFFF00"/>
            <w:noWrap/>
            <w:vAlign w:val="center"/>
            <w:hideMark/>
          </w:tcPr>
          <w:p w14:paraId="75DB3977" w14:textId="77777777" w:rsidR="00061543" w:rsidRPr="00061543" w:rsidRDefault="00061543" w:rsidP="00061543">
            <w:pPr>
              <w:spacing w:after="0" w:line="240" w:lineRule="auto"/>
              <w:jc w:val="center"/>
              <w:rPr>
                <w:rFonts w:ascii="Tahoma" w:eastAsia="Times New Roman" w:hAnsi="Tahoma" w:cs="Tahoma"/>
                <w:sz w:val="18"/>
                <w:szCs w:val="18"/>
                <w:lang w:eastAsia="hr-HR"/>
              </w:rPr>
            </w:pPr>
            <w:r w:rsidRPr="00061543">
              <w:rPr>
                <w:rFonts w:ascii="Tahoma" w:eastAsia="Times New Roman" w:hAnsi="Tahoma" w:cs="Tahoma"/>
                <w:sz w:val="18"/>
                <w:szCs w:val="18"/>
                <w:lang w:eastAsia="hr-HR"/>
              </w:rPr>
              <w:t>0</w:t>
            </w:r>
          </w:p>
        </w:tc>
        <w:tc>
          <w:tcPr>
            <w:tcW w:w="787" w:type="dxa"/>
            <w:tcBorders>
              <w:top w:val="nil"/>
              <w:left w:val="nil"/>
              <w:bottom w:val="single" w:sz="4" w:space="0" w:color="auto"/>
              <w:right w:val="single" w:sz="4" w:space="0" w:color="auto"/>
            </w:tcBorders>
            <w:shd w:val="clear" w:color="000000" w:fill="CCFFFF"/>
            <w:noWrap/>
            <w:vAlign w:val="center"/>
            <w:hideMark/>
          </w:tcPr>
          <w:p w14:paraId="7638869C" w14:textId="77777777" w:rsidR="00061543" w:rsidRPr="00061543" w:rsidRDefault="00061543" w:rsidP="00061543">
            <w:pPr>
              <w:spacing w:after="0" w:line="240" w:lineRule="auto"/>
              <w:jc w:val="right"/>
              <w:rPr>
                <w:rFonts w:ascii="Tahoma" w:eastAsia="Times New Roman" w:hAnsi="Tahoma" w:cs="Tahoma"/>
                <w:sz w:val="18"/>
                <w:szCs w:val="18"/>
                <w:lang w:eastAsia="hr-HR"/>
              </w:rPr>
            </w:pPr>
            <w:r w:rsidRPr="00061543">
              <w:rPr>
                <w:rFonts w:ascii="Tahoma" w:eastAsia="Times New Roman" w:hAnsi="Tahoma" w:cs="Tahoma"/>
                <w:sz w:val="18"/>
                <w:szCs w:val="18"/>
                <w:lang w:eastAsia="hr-HR"/>
              </w:rPr>
              <w:t>0</w:t>
            </w:r>
          </w:p>
        </w:tc>
        <w:tc>
          <w:tcPr>
            <w:tcW w:w="581" w:type="dxa"/>
            <w:tcBorders>
              <w:top w:val="nil"/>
              <w:left w:val="nil"/>
              <w:bottom w:val="single" w:sz="4" w:space="0" w:color="auto"/>
              <w:right w:val="single" w:sz="4" w:space="0" w:color="auto"/>
            </w:tcBorders>
            <w:shd w:val="clear" w:color="000000" w:fill="CCFFFF"/>
            <w:noWrap/>
            <w:vAlign w:val="center"/>
            <w:hideMark/>
          </w:tcPr>
          <w:p w14:paraId="7190FC97" w14:textId="77777777" w:rsidR="00061543" w:rsidRPr="00061543" w:rsidRDefault="00061543" w:rsidP="00061543">
            <w:pPr>
              <w:spacing w:after="0" w:line="240" w:lineRule="auto"/>
              <w:jc w:val="right"/>
              <w:rPr>
                <w:rFonts w:ascii="Tahoma" w:eastAsia="Times New Roman" w:hAnsi="Tahoma" w:cs="Tahoma"/>
                <w:sz w:val="18"/>
                <w:szCs w:val="18"/>
                <w:lang w:eastAsia="hr-HR"/>
              </w:rPr>
            </w:pPr>
            <w:r w:rsidRPr="00061543">
              <w:rPr>
                <w:rFonts w:ascii="Tahoma" w:eastAsia="Times New Roman" w:hAnsi="Tahoma" w:cs="Tahoma"/>
                <w:sz w:val="18"/>
                <w:szCs w:val="18"/>
                <w:lang w:eastAsia="hr-HR"/>
              </w:rPr>
              <w:t>0</w:t>
            </w:r>
          </w:p>
        </w:tc>
        <w:tc>
          <w:tcPr>
            <w:tcW w:w="446" w:type="dxa"/>
            <w:tcBorders>
              <w:top w:val="nil"/>
              <w:left w:val="nil"/>
              <w:bottom w:val="single" w:sz="4" w:space="0" w:color="auto"/>
              <w:right w:val="single" w:sz="4" w:space="0" w:color="auto"/>
            </w:tcBorders>
            <w:shd w:val="clear" w:color="000000" w:fill="FFFF99"/>
            <w:noWrap/>
            <w:vAlign w:val="center"/>
            <w:hideMark/>
          </w:tcPr>
          <w:p w14:paraId="623718AD" w14:textId="77777777" w:rsidR="00061543" w:rsidRPr="00061543" w:rsidRDefault="00061543" w:rsidP="00061543">
            <w:pPr>
              <w:spacing w:after="0" w:line="240" w:lineRule="auto"/>
              <w:jc w:val="center"/>
              <w:rPr>
                <w:rFonts w:ascii="Tahoma" w:eastAsia="Times New Roman" w:hAnsi="Tahoma" w:cs="Tahoma"/>
                <w:sz w:val="18"/>
                <w:szCs w:val="18"/>
                <w:lang w:eastAsia="hr-HR"/>
              </w:rPr>
            </w:pPr>
            <w:r w:rsidRPr="00061543">
              <w:rPr>
                <w:rFonts w:ascii="Tahoma" w:eastAsia="Times New Roman" w:hAnsi="Tahoma" w:cs="Tahoma"/>
                <w:sz w:val="18"/>
                <w:szCs w:val="18"/>
                <w:lang w:eastAsia="hr-HR"/>
              </w:rPr>
              <w:t>0</w:t>
            </w:r>
          </w:p>
        </w:tc>
        <w:tc>
          <w:tcPr>
            <w:tcW w:w="697" w:type="dxa"/>
            <w:tcBorders>
              <w:top w:val="nil"/>
              <w:left w:val="nil"/>
              <w:bottom w:val="single" w:sz="4" w:space="0" w:color="auto"/>
              <w:right w:val="single" w:sz="4" w:space="0" w:color="auto"/>
            </w:tcBorders>
            <w:shd w:val="clear" w:color="000000" w:fill="FFFF99"/>
            <w:noWrap/>
            <w:vAlign w:val="center"/>
            <w:hideMark/>
          </w:tcPr>
          <w:p w14:paraId="76BA8D5F" w14:textId="77777777" w:rsidR="00061543" w:rsidRPr="00061543" w:rsidRDefault="00061543" w:rsidP="00061543">
            <w:pPr>
              <w:spacing w:after="0" w:line="240" w:lineRule="auto"/>
              <w:jc w:val="center"/>
              <w:rPr>
                <w:rFonts w:ascii="Tahoma" w:eastAsia="Times New Roman" w:hAnsi="Tahoma" w:cs="Tahoma"/>
                <w:sz w:val="18"/>
                <w:szCs w:val="18"/>
                <w:lang w:eastAsia="hr-HR"/>
              </w:rPr>
            </w:pPr>
            <w:r w:rsidRPr="00061543">
              <w:rPr>
                <w:rFonts w:ascii="Tahoma" w:eastAsia="Times New Roman" w:hAnsi="Tahoma" w:cs="Tahoma"/>
                <w:sz w:val="18"/>
                <w:szCs w:val="18"/>
                <w:lang w:eastAsia="hr-HR"/>
              </w:rPr>
              <w:t>0</w:t>
            </w:r>
          </w:p>
        </w:tc>
        <w:tc>
          <w:tcPr>
            <w:tcW w:w="446" w:type="dxa"/>
            <w:tcBorders>
              <w:top w:val="nil"/>
              <w:left w:val="nil"/>
              <w:bottom w:val="single" w:sz="4" w:space="0" w:color="auto"/>
              <w:right w:val="single" w:sz="4" w:space="0" w:color="auto"/>
            </w:tcBorders>
            <w:shd w:val="clear" w:color="000000" w:fill="FFFF99"/>
            <w:noWrap/>
            <w:vAlign w:val="center"/>
            <w:hideMark/>
          </w:tcPr>
          <w:p w14:paraId="6DCE5E42" w14:textId="77777777" w:rsidR="00061543" w:rsidRPr="00061543" w:rsidRDefault="00061543" w:rsidP="00061543">
            <w:pPr>
              <w:spacing w:after="0" w:line="240" w:lineRule="auto"/>
              <w:jc w:val="center"/>
              <w:rPr>
                <w:rFonts w:ascii="Tahoma" w:eastAsia="Times New Roman" w:hAnsi="Tahoma" w:cs="Tahoma"/>
                <w:sz w:val="18"/>
                <w:szCs w:val="18"/>
                <w:lang w:eastAsia="hr-HR"/>
              </w:rPr>
            </w:pPr>
            <w:r w:rsidRPr="00061543">
              <w:rPr>
                <w:rFonts w:ascii="Tahoma" w:eastAsia="Times New Roman" w:hAnsi="Tahoma" w:cs="Tahoma"/>
                <w:sz w:val="18"/>
                <w:szCs w:val="18"/>
                <w:lang w:eastAsia="hr-HR"/>
              </w:rPr>
              <w:t>0</w:t>
            </w:r>
          </w:p>
        </w:tc>
        <w:tc>
          <w:tcPr>
            <w:tcW w:w="567" w:type="dxa"/>
            <w:tcBorders>
              <w:top w:val="nil"/>
              <w:left w:val="nil"/>
              <w:bottom w:val="single" w:sz="4" w:space="0" w:color="auto"/>
              <w:right w:val="single" w:sz="4" w:space="0" w:color="auto"/>
            </w:tcBorders>
            <w:shd w:val="clear" w:color="000000" w:fill="FFFF99"/>
            <w:noWrap/>
            <w:vAlign w:val="center"/>
            <w:hideMark/>
          </w:tcPr>
          <w:p w14:paraId="210307C9" w14:textId="77777777" w:rsidR="00061543" w:rsidRPr="00061543" w:rsidRDefault="00061543" w:rsidP="00061543">
            <w:pPr>
              <w:spacing w:after="0" w:line="240" w:lineRule="auto"/>
              <w:jc w:val="center"/>
              <w:rPr>
                <w:rFonts w:ascii="Tahoma" w:eastAsia="Times New Roman" w:hAnsi="Tahoma" w:cs="Tahoma"/>
                <w:sz w:val="18"/>
                <w:szCs w:val="18"/>
                <w:lang w:eastAsia="hr-HR"/>
              </w:rPr>
            </w:pPr>
            <w:r w:rsidRPr="00061543">
              <w:rPr>
                <w:rFonts w:ascii="Tahoma" w:eastAsia="Times New Roman" w:hAnsi="Tahoma" w:cs="Tahoma"/>
                <w:sz w:val="18"/>
                <w:szCs w:val="18"/>
                <w:lang w:eastAsia="hr-HR"/>
              </w:rPr>
              <w:t>0</w:t>
            </w:r>
          </w:p>
        </w:tc>
        <w:tc>
          <w:tcPr>
            <w:tcW w:w="468" w:type="dxa"/>
            <w:tcBorders>
              <w:top w:val="nil"/>
              <w:left w:val="nil"/>
              <w:bottom w:val="single" w:sz="4" w:space="0" w:color="auto"/>
              <w:right w:val="single" w:sz="4" w:space="0" w:color="auto"/>
            </w:tcBorders>
            <w:shd w:val="clear" w:color="000000" w:fill="FFFF99"/>
            <w:noWrap/>
            <w:vAlign w:val="center"/>
            <w:hideMark/>
          </w:tcPr>
          <w:p w14:paraId="0C4E5C9A" w14:textId="77777777" w:rsidR="00061543" w:rsidRPr="00061543" w:rsidRDefault="00061543" w:rsidP="00061543">
            <w:pPr>
              <w:spacing w:after="0" w:line="240" w:lineRule="auto"/>
              <w:jc w:val="center"/>
              <w:rPr>
                <w:rFonts w:ascii="Tahoma" w:eastAsia="Times New Roman" w:hAnsi="Tahoma" w:cs="Tahoma"/>
                <w:sz w:val="18"/>
                <w:szCs w:val="18"/>
                <w:lang w:eastAsia="hr-HR"/>
              </w:rPr>
            </w:pPr>
            <w:r w:rsidRPr="00061543">
              <w:rPr>
                <w:rFonts w:ascii="Tahoma" w:eastAsia="Times New Roman" w:hAnsi="Tahoma" w:cs="Tahoma"/>
                <w:sz w:val="18"/>
                <w:szCs w:val="18"/>
                <w:lang w:eastAsia="hr-HR"/>
              </w:rPr>
              <w:t>0</w:t>
            </w:r>
          </w:p>
        </w:tc>
        <w:tc>
          <w:tcPr>
            <w:tcW w:w="808" w:type="dxa"/>
            <w:tcBorders>
              <w:top w:val="nil"/>
              <w:left w:val="nil"/>
              <w:bottom w:val="single" w:sz="4" w:space="0" w:color="auto"/>
              <w:right w:val="single" w:sz="4" w:space="0" w:color="auto"/>
            </w:tcBorders>
            <w:shd w:val="clear" w:color="000000" w:fill="FFFF99"/>
            <w:noWrap/>
            <w:vAlign w:val="center"/>
            <w:hideMark/>
          </w:tcPr>
          <w:p w14:paraId="3543245D" w14:textId="77777777" w:rsidR="00061543" w:rsidRPr="00061543" w:rsidRDefault="00061543" w:rsidP="00061543">
            <w:pPr>
              <w:spacing w:after="0" w:line="240" w:lineRule="auto"/>
              <w:jc w:val="center"/>
              <w:rPr>
                <w:rFonts w:ascii="Tahoma" w:eastAsia="Times New Roman" w:hAnsi="Tahoma" w:cs="Tahoma"/>
                <w:sz w:val="18"/>
                <w:szCs w:val="18"/>
                <w:lang w:eastAsia="hr-HR"/>
              </w:rPr>
            </w:pPr>
            <w:r w:rsidRPr="00061543">
              <w:rPr>
                <w:rFonts w:ascii="Tahoma" w:eastAsia="Times New Roman" w:hAnsi="Tahoma" w:cs="Tahoma"/>
                <w:sz w:val="18"/>
                <w:szCs w:val="18"/>
                <w:lang w:eastAsia="hr-HR"/>
              </w:rPr>
              <w:t>0</w:t>
            </w:r>
          </w:p>
        </w:tc>
        <w:tc>
          <w:tcPr>
            <w:tcW w:w="468" w:type="dxa"/>
            <w:gridSpan w:val="2"/>
            <w:tcBorders>
              <w:top w:val="nil"/>
              <w:left w:val="nil"/>
              <w:bottom w:val="single" w:sz="4" w:space="0" w:color="auto"/>
              <w:right w:val="single" w:sz="4" w:space="0" w:color="auto"/>
            </w:tcBorders>
            <w:shd w:val="clear" w:color="000000" w:fill="FF9900"/>
            <w:noWrap/>
            <w:vAlign w:val="center"/>
            <w:hideMark/>
          </w:tcPr>
          <w:p w14:paraId="6BD6C1E6" w14:textId="77777777" w:rsidR="00061543" w:rsidRPr="00061543" w:rsidRDefault="00061543" w:rsidP="00061543">
            <w:pPr>
              <w:spacing w:after="0" w:line="240" w:lineRule="auto"/>
              <w:jc w:val="right"/>
              <w:rPr>
                <w:rFonts w:ascii="Tahoma" w:eastAsia="Times New Roman" w:hAnsi="Tahoma" w:cs="Tahoma"/>
                <w:sz w:val="18"/>
                <w:szCs w:val="18"/>
                <w:lang w:eastAsia="hr-HR"/>
              </w:rPr>
            </w:pPr>
            <w:r w:rsidRPr="00061543">
              <w:rPr>
                <w:rFonts w:ascii="Tahoma" w:eastAsia="Times New Roman" w:hAnsi="Tahoma" w:cs="Tahoma"/>
                <w:sz w:val="18"/>
                <w:szCs w:val="18"/>
                <w:lang w:eastAsia="hr-HR"/>
              </w:rPr>
              <w:t>1</w:t>
            </w:r>
          </w:p>
        </w:tc>
        <w:tc>
          <w:tcPr>
            <w:tcW w:w="524" w:type="dxa"/>
            <w:tcBorders>
              <w:top w:val="nil"/>
              <w:left w:val="nil"/>
              <w:bottom w:val="single" w:sz="4" w:space="0" w:color="auto"/>
              <w:right w:val="single" w:sz="4" w:space="0" w:color="auto"/>
            </w:tcBorders>
            <w:shd w:val="clear" w:color="000000" w:fill="FF9900"/>
            <w:noWrap/>
            <w:vAlign w:val="center"/>
            <w:hideMark/>
          </w:tcPr>
          <w:p w14:paraId="28D984A6" w14:textId="77777777" w:rsidR="00061543" w:rsidRPr="00061543" w:rsidRDefault="00061543" w:rsidP="00061543">
            <w:pPr>
              <w:spacing w:after="0" w:line="240" w:lineRule="auto"/>
              <w:jc w:val="right"/>
              <w:rPr>
                <w:rFonts w:ascii="Tahoma" w:eastAsia="Times New Roman" w:hAnsi="Tahoma" w:cs="Tahoma"/>
                <w:sz w:val="18"/>
                <w:szCs w:val="18"/>
                <w:lang w:eastAsia="hr-HR"/>
              </w:rPr>
            </w:pPr>
            <w:r w:rsidRPr="00061543">
              <w:rPr>
                <w:rFonts w:ascii="Tahoma" w:eastAsia="Times New Roman" w:hAnsi="Tahoma" w:cs="Tahoma"/>
                <w:sz w:val="18"/>
                <w:szCs w:val="18"/>
                <w:lang w:eastAsia="hr-HR"/>
              </w:rPr>
              <w:t>0</w:t>
            </w:r>
          </w:p>
        </w:tc>
        <w:tc>
          <w:tcPr>
            <w:tcW w:w="468" w:type="dxa"/>
            <w:tcBorders>
              <w:top w:val="nil"/>
              <w:left w:val="nil"/>
              <w:bottom w:val="single" w:sz="4" w:space="0" w:color="auto"/>
              <w:right w:val="single" w:sz="4" w:space="0" w:color="auto"/>
            </w:tcBorders>
            <w:shd w:val="clear" w:color="000000" w:fill="FF9900"/>
            <w:noWrap/>
            <w:vAlign w:val="center"/>
            <w:hideMark/>
          </w:tcPr>
          <w:p w14:paraId="3BC2A3F4" w14:textId="77777777" w:rsidR="00061543" w:rsidRPr="00061543" w:rsidRDefault="00061543" w:rsidP="00061543">
            <w:pPr>
              <w:spacing w:after="0" w:line="240" w:lineRule="auto"/>
              <w:jc w:val="right"/>
              <w:rPr>
                <w:rFonts w:ascii="Tahoma" w:eastAsia="Times New Roman" w:hAnsi="Tahoma" w:cs="Tahoma"/>
                <w:sz w:val="18"/>
                <w:szCs w:val="18"/>
                <w:lang w:eastAsia="hr-HR"/>
              </w:rPr>
            </w:pPr>
            <w:r w:rsidRPr="00061543">
              <w:rPr>
                <w:rFonts w:ascii="Tahoma" w:eastAsia="Times New Roman" w:hAnsi="Tahoma" w:cs="Tahoma"/>
                <w:sz w:val="18"/>
                <w:szCs w:val="18"/>
                <w:lang w:eastAsia="hr-HR"/>
              </w:rPr>
              <w:t>0</w:t>
            </w:r>
          </w:p>
        </w:tc>
        <w:tc>
          <w:tcPr>
            <w:tcW w:w="468" w:type="dxa"/>
            <w:tcBorders>
              <w:top w:val="nil"/>
              <w:left w:val="nil"/>
              <w:bottom w:val="single" w:sz="4" w:space="0" w:color="auto"/>
              <w:right w:val="single" w:sz="4" w:space="0" w:color="auto"/>
            </w:tcBorders>
            <w:shd w:val="clear" w:color="000000" w:fill="FFFF00"/>
            <w:vAlign w:val="center"/>
            <w:hideMark/>
          </w:tcPr>
          <w:p w14:paraId="3518A4B4" w14:textId="77777777" w:rsidR="00061543" w:rsidRPr="00061543" w:rsidRDefault="00061543" w:rsidP="00061543">
            <w:pPr>
              <w:spacing w:after="0" w:line="240" w:lineRule="auto"/>
              <w:jc w:val="center"/>
              <w:rPr>
                <w:rFonts w:ascii="Tahoma" w:eastAsia="Times New Roman" w:hAnsi="Tahoma" w:cs="Tahoma"/>
                <w:sz w:val="18"/>
                <w:szCs w:val="18"/>
                <w:lang w:eastAsia="hr-HR"/>
              </w:rPr>
            </w:pPr>
            <w:r w:rsidRPr="00061543">
              <w:rPr>
                <w:rFonts w:ascii="Tahoma" w:eastAsia="Times New Roman" w:hAnsi="Tahoma" w:cs="Tahoma"/>
                <w:sz w:val="18"/>
                <w:szCs w:val="18"/>
                <w:lang w:eastAsia="hr-HR"/>
              </w:rPr>
              <w:t>1</w:t>
            </w:r>
          </w:p>
        </w:tc>
        <w:tc>
          <w:tcPr>
            <w:tcW w:w="560" w:type="dxa"/>
            <w:gridSpan w:val="2"/>
            <w:tcBorders>
              <w:top w:val="nil"/>
              <w:left w:val="nil"/>
              <w:bottom w:val="single" w:sz="4" w:space="0" w:color="auto"/>
              <w:right w:val="single" w:sz="4" w:space="0" w:color="auto"/>
            </w:tcBorders>
            <w:shd w:val="clear" w:color="000000" w:fill="FF9900"/>
            <w:vAlign w:val="center"/>
            <w:hideMark/>
          </w:tcPr>
          <w:p w14:paraId="0D7357CC" w14:textId="77777777" w:rsidR="00061543" w:rsidRPr="00061543" w:rsidRDefault="00061543" w:rsidP="00061543">
            <w:pPr>
              <w:spacing w:after="0" w:line="240" w:lineRule="auto"/>
              <w:jc w:val="center"/>
              <w:rPr>
                <w:rFonts w:ascii="Tahoma" w:eastAsia="Times New Roman" w:hAnsi="Tahoma" w:cs="Tahoma"/>
                <w:sz w:val="18"/>
                <w:szCs w:val="18"/>
                <w:lang w:eastAsia="hr-HR"/>
              </w:rPr>
            </w:pPr>
            <w:r w:rsidRPr="00061543">
              <w:rPr>
                <w:rFonts w:ascii="Tahoma" w:eastAsia="Times New Roman" w:hAnsi="Tahoma" w:cs="Tahoma"/>
                <w:sz w:val="18"/>
                <w:szCs w:val="18"/>
                <w:lang w:eastAsia="hr-HR"/>
              </w:rPr>
              <w:t>2</w:t>
            </w:r>
          </w:p>
        </w:tc>
        <w:tc>
          <w:tcPr>
            <w:tcW w:w="905" w:type="dxa"/>
            <w:gridSpan w:val="2"/>
            <w:tcBorders>
              <w:top w:val="nil"/>
              <w:left w:val="nil"/>
              <w:bottom w:val="single" w:sz="4" w:space="0" w:color="auto"/>
              <w:right w:val="single" w:sz="4" w:space="0" w:color="auto"/>
            </w:tcBorders>
            <w:shd w:val="clear" w:color="000000" w:fill="FF9900"/>
            <w:noWrap/>
            <w:vAlign w:val="center"/>
            <w:hideMark/>
          </w:tcPr>
          <w:p w14:paraId="1CFBEEC0" w14:textId="77777777" w:rsidR="00061543" w:rsidRPr="00061543" w:rsidRDefault="00061543" w:rsidP="00061543">
            <w:pPr>
              <w:spacing w:after="0" w:line="240" w:lineRule="auto"/>
              <w:jc w:val="center"/>
              <w:rPr>
                <w:rFonts w:ascii="Tahoma" w:eastAsia="Times New Roman" w:hAnsi="Tahoma" w:cs="Tahoma"/>
                <w:sz w:val="18"/>
                <w:szCs w:val="18"/>
                <w:lang w:eastAsia="hr-HR"/>
              </w:rPr>
            </w:pPr>
            <w:r w:rsidRPr="00061543">
              <w:rPr>
                <w:rFonts w:ascii="Tahoma" w:eastAsia="Times New Roman" w:hAnsi="Tahoma" w:cs="Tahoma"/>
                <w:sz w:val="18"/>
                <w:szCs w:val="18"/>
                <w:lang w:eastAsia="hr-HR"/>
              </w:rPr>
              <w:t>0</w:t>
            </w:r>
          </w:p>
        </w:tc>
        <w:tc>
          <w:tcPr>
            <w:tcW w:w="498" w:type="dxa"/>
            <w:tcBorders>
              <w:top w:val="nil"/>
              <w:left w:val="nil"/>
              <w:bottom w:val="single" w:sz="4" w:space="0" w:color="auto"/>
              <w:right w:val="single" w:sz="4" w:space="0" w:color="auto"/>
            </w:tcBorders>
            <w:shd w:val="clear" w:color="000000" w:fill="FF9900"/>
            <w:noWrap/>
            <w:vAlign w:val="center"/>
            <w:hideMark/>
          </w:tcPr>
          <w:p w14:paraId="0802F3BA" w14:textId="77777777" w:rsidR="00061543" w:rsidRPr="00061543" w:rsidRDefault="00061543" w:rsidP="00061543">
            <w:pPr>
              <w:spacing w:after="0" w:line="240" w:lineRule="auto"/>
              <w:jc w:val="center"/>
              <w:rPr>
                <w:rFonts w:ascii="Tahoma" w:eastAsia="Times New Roman" w:hAnsi="Tahoma" w:cs="Tahoma"/>
                <w:sz w:val="18"/>
                <w:szCs w:val="18"/>
                <w:lang w:eastAsia="hr-HR"/>
              </w:rPr>
            </w:pPr>
            <w:r w:rsidRPr="00061543">
              <w:rPr>
                <w:rFonts w:ascii="Tahoma" w:eastAsia="Times New Roman" w:hAnsi="Tahoma" w:cs="Tahoma"/>
                <w:sz w:val="18"/>
                <w:szCs w:val="18"/>
                <w:lang w:eastAsia="hr-HR"/>
              </w:rPr>
              <w:t>0</w:t>
            </w:r>
          </w:p>
        </w:tc>
        <w:tc>
          <w:tcPr>
            <w:tcW w:w="1016" w:type="dxa"/>
            <w:gridSpan w:val="2"/>
            <w:tcBorders>
              <w:top w:val="nil"/>
              <w:left w:val="nil"/>
              <w:bottom w:val="single" w:sz="4" w:space="0" w:color="auto"/>
              <w:right w:val="single" w:sz="4" w:space="0" w:color="auto"/>
            </w:tcBorders>
            <w:shd w:val="clear" w:color="000000" w:fill="FF9900"/>
            <w:noWrap/>
            <w:vAlign w:val="center"/>
            <w:hideMark/>
          </w:tcPr>
          <w:p w14:paraId="744CCDFB" w14:textId="77777777" w:rsidR="00061543" w:rsidRPr="00061543" w:rsidRDefault="00061543" w:rsidP="00061543">
            <w:pPr>
              <w:spacing w:after="0" w:line="240" w:lineRule="auto"/>
              <w:jc w:val="center"/>
              <w:rPr>
                <w:rFonts w:ascii="Tahoma" w:eastAsia="Times New Roman" w:hAnsi="Tahoma" w:cs="Tahoma"/>
                <w:sz w:val="18"/>
                <w:szCs w:val="18"/>
                <w:lang w:eastAsia="hr-HR"/>
              </w:rPr>
            </w:pPr>
            <w:r w:rsidRPr="00061543">
              <w:rPr>
                <w:rFonts w:ascii="Tahoma" w:eastAsia="Times New Roman" w:hAnsi="Tahoma" w:cs="Tahoma"/>
                <w:sz w:val="18"/>
                <w:szCs w:val="18"/>
                <w:lang w:eastAsia="hr-HR"/>
              </w:rPr>
              <w:t>0</w:t>
            </w:r>
          </w:p>
        </w:tc>
        <w:tc>
          <w:tcPr>
            <w:tcW w:w="505" w:type="dxa"/>
            <w:gridSpan w:val="2"/>
            <w:tcBorders>
              <w:top w:val="nil"/>
              <w:left w:val="nil"/>
              <w:bottom w:val="single" w:sz="4" w:space="0" w:color="auto"/>
              <w:right w:val="single" w:sz="4" w:space="0" w:color="auto"/>
            </w:tcBorders>
            <w:shd w:val="clear" w:color="000000" w:fill="CCFFFF"/>
            <w:noWrap/>
            <w:vAlign w:val="center"/>
            <w:hideMark/>
          </w:tcPr>
          <w:p w14:paraId="418704DA" w14:textId="77777777" w:rsidR="00061543" w:rsidRPr="00061543" w:rsidRDefault="00061543" w:rsidP="00061543">
            <w:pPr>
              <w:spacing w:after="0" w:line="240" w:lineRule="auto"/>
              <w:jc w:val="right"/>
              <w:rPr>
                <w:rFonts w:ascii="Tahoma" w:eastAsia="Times New Roman" w:hAnsi="Tahoma" w:cs="Tahoma"/>
                <w:sz w:val="18"/>
                <w:szCs w:val="18"/>
                <w:lang w:eastAsia="hr-HR"/>
              </w:rPr>
            </w:pPr>
            <w:r w:rsidRPr="00061543">
              <w:rPr>
                <w:rFonts w:ascii="Tahoma" w:eastAsia="Times New Roman" w:hAnsi="Tahoma" w:cs="Tahoma"/>
                <w:sz w:val="18"/>
                <w:szCs w:val="18"/>
                <w:lang w:eastAsia="hr-HR"/>
              </w:rPr>
              <w:t>0</w:t>
            </w:r>
          </w:p>
        </w:tc>
        <w:tc>
          <w:tcPr>
            <w:tcW w:w="468" w:type="dxa"/>
            <w:tcBorders>
              <w:top w:val="nil"/>
              <w:left w:val="nil"/>
              <w:bottom w:val="single" w:sz="4" w:space="0" w:color="auto"/>
              <w:right w:val="single" w:sz="4" w:space="0" w:color="auto"/>
            </w:tcBorders>
            <w:shd w:val="clear" w:color="000000" w:fill="CCFFFF"/>
            <w:noWrap/>
            <w:vAlign w:val="center"/>
            <w:hideMark/>
          </w:tcPr>
          <w:p w14:paraId="73D203F9" w14:textId="77777777" w:rsidR="00061543" w:rsidRPr="00061543" w:rsidRDefault="00061543" w:rsidP="00061543">
            <w:pPr>
              <w:spacing w:after="0" w:line="240" w:lineRule="auto"/>
              <w:jc w:val="right"/>
              <w:rPr>
                <w:rFonts w:ascii="Tahoma" w:eastAsia="Times New Roman" w:hAnsi="Tahoma" w:cs="Tahoma"/>
                <w:sz w:val="18"/>
                <w:szCs w:val="18"/>
                <w:lang w:eastAsia="hr-HR"/>
              </w:rPr>
            </w:pPr>
            <w:r w:rsidRPr="00061543">
              <w:rPr>
                <w:rFonts w:ascii="Tahoma" w:eastAsia="Times New Roman" w:hAnsi="Tahoma" w:cs="Tahoma"/>
                <w:sz w:val="18"/>
                <w:szCs w:val="18"/>
                <w:lang w:eastAsia="hr-HR"/>
              </w:rPr>
              <w:t>1</w:t>
            </w:r>
          </w:p>
        </w:tc>
        <w:tc>
          <w:tcPr>
            <w:tcW w:w="336" w:type="dxa"/>
            <w:tcBorders>
              <w:top w:val="nil"/>
              <w:left w:val="nil"/>
              <w:bottom w:val="single" w:sz="4" w:space="0" w:color="auto"/>
              <w:right w:val="single" w:sz="4" w:space="0" w:color="auto"/>
            </w:tcBorders>
            <w:shd w:val="clear" w:color="000000" w:fill="CCFFFF"/>
            <w:noWrap/>
            <w:vAlign w:val="center"/>
            <w:hideMark/>
          </w:tcPr>
          <w:p w14:paraId="5AEF4D0F" w14:textId="77777777" w:rsidR="00061543" w:rsidRPr="00061543" w:rsidRDefault="00061543" w:rsidP="00061543">
            <w:pPr>
              <w:spacing w:after="0" w:line="240" w:lineRule="auto"/>
              <w:jc w:val="right"/>
              <w:rPr>
                <w:rFonts w:ascii="Tahoma" w:eastAsia="Times New Roman" w:hAnsi="Tahoma" w:cs="Tahoma"/>
                <w:sz w:val="18"/>
                <w:szCs w:val="18"/>
                <w:lang w:eastAsia="hr-HR"/>
              </w:rPr>
            </w:pPr>
            <w:r w:rsidRPr="00061543">
              <w:rPr>
                <w:rFonts w:ascii="Tahoma" w:eastAsia="Times New Roman" w:hAnsi="Tahoma" w:cs="Tahoma"/>
                <w:sz w:val="18"/>
                <w:szCs w:val="18"/>
                <w:lang w:eastAsia="hr-HR"/>
              </w:rPr>
              <w:t>0</w:t>
            </w:r>
          </w:p>
        </w:tc>
        <w:tc>
          <w:tcPr>
            <w:tcW w:w="426" w:type="dxa"/>
            <w:tcBorders>
              <w:top w:val="nil"/>
              <w:left w:val="nil"/>
              <w:bottom w:val="single" w:sz="4" w:space="0" w:color="auto"/>
              <w:right w:val="single" w:sz="4" w:space="0" w:color="auto"/>
            </w:tcBorders>
            <w:shd w:val="clear" w:color="000000" w:fill="33CCCC"/>
            <w:noWrap/>
            <w:vAlign w:val="center"/>
            <w:hideMark/>
          </w:tcPr>
          <w:p w14:paraId="296C1DFB" w14:textId="77777777" w:rsidR="00061543" w:rsidRPr="00061543" w:rsidRDefault="00061543" w:rsidP="00061543">
            <w:pPr>
              <w:spacing w:after="0" w:line="240" w:lineRule="auto"/>
              <w:jc w:val="right"/>
              <w:rPr>
                <w:rFonts w:ascii="Tahoma" w:eastAsia="Times New Roman" w:hAnsi="Tahoma" w:cs="Tahoma"/>
                <w:sz w:val="18"/>
                <w:szCs w:val="18"/>
                <w:lang w:eastAsia="hr-HR"/>
              </w:rPr>
            </w:pPr>
            <w:r w:rsidRPr="00061543">
              <w:rPr>
                <w:rFonts w:ascii="Tahoma" w:eastAsia="Times New Roman" w:hAnsi="Tahoma" w:cs="Tahoma"/>
                <w:sz w:val="18"/>
                <w:szCs w:val="18"/>
                <w:lang w:eastAsia="hr-HR"/>
              </w:rPr>
              <w:t>0</w:t>
            </w:r>
          </w:p>
        </w:tc>
        <w:tc>
          <w:tcPr>
            <w:tcW w:w="473" w:type="dxa"/>
            <w:tcBorders>
              <w:top w:val="nil"/>
              <w:left w:val="nil"/>
              <w:bottom w:val="single" w:sz="4" w:space="0" w:color="auto"/>
              <w:right w:val="single" w:sz="8" w:space="0" w:color="auto"/>
            </w:tcBorders>
            <w:shd w:val="clear" w:color="000000" w:fill="33CCCC"/>
            <w:noWrap/>
            <w:vAlign w:val="center"/>
            <w:hideMark/>
          </w:tcPr>
          <w:p w14:paraId="33C6DE62" w14:textId="77777777" w:rsidR="00061543" w:rsidRPr="00061543" w:rsidRDefault="00061543" w:rsidP="00061543">
            <w:pPr>
              <w:spacing w:after="0" w:line="240" w:lineRule="auto"/>
              <w:jc w:val="right"/>
              <w:rPr>
                <w:rFonts w:ascii="Tahoma" w:eastAsia="Times New Roman" w:hAnsi="Tahoma" w:cs="Tahoma"/>
                <w:sz w:val="18"/>
                <w:szCs w:val="18"/>
                <w:lang w:eastAsia="hr-HR"/>
              </w:rPr>
            </w:pPr>
            <w:r w:rsidRPr="00061543">
              <w:rPr>
                <w:rFonts w:ascii="Tahoma" w:eastAsia="Times New Roman" w:hAnsi="Tahoma" w:cs="Tahoma"/>
                <w:sz w:val="18"/>
                <w:szCs w:val="18"/>
                <w:lang w:eastAsia="hr-HR"/>
              </w:rPr>
              <w:t>1</w:t>
            </w:r>
          </w:p>
        </w:tc>
        <w:tc>
          <w:tcPr>
            <w:tcW w:w="236" w:type="dxa"/>
            <w:gridSpan w:val="3"/>
            <w:vAlign w:val="center"/>
            <w:hideMark/>
          </w:tcPr>
          <w:p w14:paraId="6F4E11EB" w14:textId="77777777" w:rsidR="00061543" w:rsidRPr="00061543" w:rsidRDefault="00061543" w:rsidP="00061543">
            <w:pPr>
              <w:spacing w:after="0" w:line="240" w:lineRule="auto"/>
              <w:rPr>
                <w:rFonts w:ascii="Times New Roman" w:eastAsia="Times New Roman" w:hAnsi="Times New Roman" w:cs="Times New Roman"/>
                <w:sz w:val="18"/>
                <w:szCs w:val="18"/>
                <w:lang w:eastAsia="hr-HR"/>
              </w:rPr>
            </w:pPr>
          </w:p>
        </w:tc>
      </w:tr>
      <w:tr w:rsidR="00061543" w:rsidRPr="00061543" w14:paraId="438A73C1" w14:textId="77777777" w:rsidTr="00061543">
        <w:trPr>
          <w:gridAfter w:val="2"/>
          <w:wAfter w:w="101" w:type="dxa"/>
          <w:trHeight w:val="420"/>
        </w:trPr>
        <w:tc>
          <w:tcPr>
            <w:tcW w:w="1576" w:type="dxa"/>
            <w:tcBorders>
              <w:top w:val="single" w:sz="4" w:space="0" w:color="auto"/>
              <w:left w:val="single" w:sz="8" w:space="0" w:color="auto"/>
              <w:bottom w:val="single" w:sz="4" w:space="0" w:color="auto"/>
              <w:right w:val="single" w:sz="4" w:space="0" w:color="auto"/>
            </w:tcBorders>
            <w:shd w:val="clear" w:color="000000" w:fill="CCFFCC"/>
            <w:vAlign w:val="center"/>
            <w:hideMark/>
          </w:tcPr>
          <w:p w14:paraId="552E40AD" w14:textId="77777777" w:rsidR="00061543" w:rsidRPr="00061543" w:rsidRDefault="00061543" w:rsidP="00061543">
            <w:pPr>
              <w:spacing w:after="0" w:line="240" w:lineRule="auto"/>
              <w:rPr>
                <w:rFonts w:ascii="Tahoma" w:eastAsia="Times New Roman" w:hAnsi="Tahoma" w:cs="Tahoma"/>
                <w:sz w:val="18"/>
                <w:szCs w:val="18"/>
                <w:lang w:eastAsia="hr-HR"/>
              </w:rPr>
            </w:pPr>
            <w:r w:rsidRPr="00061543">
              <w:rPr>
                <w:rFonts w:ascii="Tahoma" w:eastAsia="Times New Roman" w:hAnsi="Tahoma" w:cs="Tahoma"/>
                <w:sz w:val="18"/>
                <w:szCs w:val="18"/>
                <w:lang w:eastAsia="hr-HR"/>
              </w:rPr>
              <w:t>Imovno stanje</w:t>
            </w:r>
          </w:p>
        </w:tc>
        <w:tc>
          <w:tcPr>
            <w:tcW w:w="560" w:type="dxa"/>
            <w:tcBorders>
              <w:top w:val="nil"/>
              <w:left w:val="nil"/>
              <w:bottom w:val="single" w:sz="4" w:space="0" w:color="auto"/>
              <w:right w:val="single" w:sz="4" w:space="0" w:color="auto"/>
            </w:tcBorders>
            <w:shd w:val="clear" w:color="000000" w:fill="FFCC99"/>
            <w:noWrap/>
            <w:vAlign w:val="center"/>
            <w:hideMark/>
          </w:tcPr>
          <w:p w14:paraId="6A7400EA" w14:textId="77777777" w:rsidR="00061543" w:rsidRPr="00061543" w:rsidRDefault="00061543" w:rsidP="00061543">
            <w:pPr>
              <w:spacing w:after="0" w:line="240" w:lineRule="auto"/>
              <w:jc w:val="center"/>
              <w:rPr>
                <w:rFonts w:ascii="Tahoma" w:eastAsia="Times New Roman" w:hAnsi="Tahoma" w:cs="Tahoma"/>
                <w:sz w:val="18"/>
                <w:szCs w:val="18"/>
                <w:lang w:eastAsia="hr-HR"/>
              </w:rPr>
            </w:pPr>
            <w:r w:rsidRPr="00061543">
              <w:rPr>
                <w:rFonts w:ascii="Tahoma" w:eastAsia="Times New Roman" w:hAnsi="Tahoma" w:cs="Tahoma"/>
                <w:sz w:val="18"/>
                <w:szCs w:val="18"/>
                <w:lang w:eastAsia="hr-HR"/>
              </w:rPr>
              <w:t>2</w:t>
            </w:r>
          </w:p>
        </w:tc>
        <w:tc>
          <w:tcPr>
            <w:tcW w:w="446" w:type="dxa"/>
            <w:tcBorders>
              <w:top w:val="nil"/>
              <w:left w:val="nil"/>
              <w:bottom w:val="single" w:sz="4" w:space="0" w:color="auto"/>
              <w:right w:val="single" w:sz="4" w:space="0" w:color="auto"/>
            </w:tcBorders>
            <w:shd w:val="clear" w:color="000000" w:fill="FFFF00"/>
            <w:noWrap/>
            <w:vAlign w:val="center"/>
            <w:hideMark/>
          </w:tcPr>
          <w:p w14:paraId="7F540990" w14:textId="77777777" w:rsidR="00061543" w:rsidRPr="00061543" w:rsidRDefault="00061543" w:rsidP="00061543">
            <w:pPr>
              <w:spacing w:after="0" w:line="240" w:lineRule="auto"/>
              <w:jc w:val="center"/>
              <w:rPr>
                <w:rFonts w:ascii="Tahoma" w:eastAsia="Times New Roman" w:hAnsi="Tahoma" w:cs="Tahoma"/>
                <w:sz w:val="18"/>
                <w:szCs w:val="18"/>
                <w:lang w:eastAsia="hr-HR"/>
              </w:rPr>
            </w:pPr>
            <w:r w:rsidRPr="00061543">
              <w:rPr>
                <w:rFonts w:ascii="Tahoma" w:eastAsia="Times New Roman" w:hAnsi="Tahoma" w:cs="Tahoma"/>
                <w:sz w:val="18"/>
                <w:szCs w:val="18"/>
                <w:lang w:eastAsia="hr-HR"/>
              </w:rPr>
              <w:t>0</w:t>
            </w:r>
          </w:p>
        </w:tc>
        <w:tc>
          <w:tcPr>
            <w:tcW w:w="787" w:type="dxa"/>
            <w:tcBorders>
              <w:top w:val="nil"/>
              <w:left w:val="nil"/>
              <w:bottom w:val="single" w:sz="4" w:space="0" w:color="auto"/>
              <w:right w:val="single" w:sz="4" w:space="0" w:color="auto"/>
            </w:tcBorders>
            <w:shd w:val="clear" w:color="000000" w:fill="CCFFFF"/>
            <w:noWrap/>
            <w:vAlign w:val="center"/>
            <w:hideMark/>
          </w:tcPr>
          <w:p w14:paraId="55FFE37B" w14:textId="77777777" w:rsidR="00061543" w:rsidRPr="00061543" w:rsidRDefault="00061543" w:rsidP="00061543">
            <w:pPr>
              <w:spacing w:after="0" w:line="240" w:lineRule="auto"/>
              <w:jc w:val="right"/>
              <w:rPr>
                <w:rFonts w:ascii="Tahoma" w:eastAsia="Times New Roman" w:hAnsi="Tahoma" w:cs="Tahoma"/>
                <w:sz w:val="18"/>
                <w:szCs w:val="18"/>
                <w:lang w:eastAsia="hr-HR"/>
              </w:rPr>
            </w:pPr>
            <w:r w:rsidRPr="00061543">
              <w:rPr>
                <w:rFonts w:ascii="Tahoma" w:eastAsia="Times New Roman" w:hAnsi="Tahoma" w:cs="Tahoma"/>
                <w:sz w:val="18"/>
                <w:szCs w:val="18"/>
                <w:lang w:eastAsia="hr-HR"/>
              </w:rPr>
              <w:t>0</w:t>
            </w:r>
          </w:p>
        </w:tc>
        <w:tc>
          <w:tcPr>
            <w:tcW w:w="581" w:type="dxa"/>
            <w:tcBorders>
              <w:top w:val="nil"/>
              <w:left w:val="nil"/>
              <w:bottom w:val="single" w:sz="4" w:space="0" w:color="auto"/>
              <w:right w:val="single" w:sz="4" w:space="0" w:color="auto"/>
            </w:tcBorders>
            <w:shd w:val="clear" w:color="000000" w:fill="CCFFFF"/>
            <w:noWrap/>
            <w:vAlign w:val="center"/>
            <w:hideMark/>
          </w:tcPr>
          <w:p w14:paraId="54C6BD6C" w14:textId="77777777" w:rsidR="00061543" w:rsidRPr="00061543" w:rsidRDefault="00061543" w:rsidP="00061543">
            <w:pPr>
              <w:spacing w:after="0" w:line="240" w:lineRule="auto"/>
              <w:jc w:val="right"/>
              <w:rPr>
                <w:rFonts w:ascii="Tahoma" w:eastAsia="Times New Roman" w:hAnsi="Tahoma" w:cs="Tahoma"/>
                <w:sz w:val="18"/>
                <w:szCs w:val="18"/>
                <w:lang w:eastAsia="hr-HR"/>
              </w:rPr>
            </w:pPr>
            <w:r w:rsidRPr="00061543">
              <w:rPr>
                <w:rFonts w:ascii="Tahoma" w:eastAsia="Times New Roman" w:hAnsi="Tahoma" w:cs="Tahoma"/>
                <w:sz w:val="18"/>
                <w:szCs w:val="18"/>
                <w:lang w:eastAsia="hr-HR"/>
              </w:rPr>
              <w:t>0</w:t>
            </w:r>
          </w:p>
        </w:tc>
        <w:tc>
          <w:tcPr>
            <w:tcW w:w="446" w:type="dxa"/>
            <w:tcBorders>
              <w:top w:val="nil"/>
              <w:left w:val="nil"/>
              <w:bottom w:val="single" w:sz="4" w:space="0" w:color="auto"/>
              <w:right w:val="single" w:sz="4" w:space="0" w:color="auto"/>
            </w:tcBorders>
            <w:shd w:val="clear" w:color="000000" w:fill="FFFF99"/>
            <w:noWrap/>
            <w:vAlign w:val="center"/>
            <w:hideMark/>
          </w:tcPr>
          <w:p w14:paraId="675DCCF8" w14:textId="77777777" w:rsidR="00061543" w:rsidRPr="00061543" w:rsidRDefault="00061543" w:rsidP="00061543">
            <w:pPr>
              <w:spacing w:after="0" w:line="240" w:lineRule="auto"/>
              <w:jc w:val="center"/>
              <w:rPr>
                <w:rFonts w:ascii="Tahoma" w:eastAsia="Times New Roman" w:hAnsi="Tahoma" w:cs="Tahoma"/>
                <w:sz w:val="18"/>
                <w:szCs w:val="18"/>
                <w:lang w:eastAsia="hr-HR"/>
              </w:rPr>
            </w:pPr>
            <w:r w:rsidRPr="00061543">
              <w:rPr>
                <w:rFonts w:ascii="Tahoma" w:eastAsia="Times New Roman" w:hAnsi="Tahoma" w:cs="Tahoma"/>
                <w:sz w:val="18"/>
                <w:szCs w:val="18"/>
                <w:lang w:eastAsia="hr-HR"/>
              </w:rPr>
              <w:t>0</w:t>
            </w:r>
          </w:p>
        </w:tc>
        <w:tc>
          <w:tcPr>
            <w:tcW w:w="697" w:type="dxa"/>
            <w:tcBorders>
              <w:top w:val="nil"/>
              <w:left w:val="nil"/>
              <w:bottom w:val="single" w:sz="4" w:space="0" w:color="auto"/>
              <w:right w:val="single" w:sz="4" w:space="0" w:color="auto"/>
            </w:tcBorders>
            <w:shd w:val="clear" w:color="000000" w:fill="FFFF99"/>
            <w:noWrap/>
            <w:vAlign w:val="center"/>
            <w:hideMark/>
          </w:tcPr>
          <w:p w14:paraId="148D4626" w14:textId="77777777" w:rsidR="00061543" w:rsidRPr="00061543" w:rsidRDefault="00061543" w:rsidP="00061543">
            <w:pPr>
              <w:spacing w:after="0" w:line="240" w:lineRule="auto"/>
              <w:jc w:val="center"/>
              <w:rPr>
                <w:rFonts w:ascii="Tahoma" w:eastAsia="Times New Roman" w:hAnsi="Tahoma" w:cs="Tahoma"/>
                <w:sz w:val="18"/>
                <w:szCs w:val="18"/>
                <w:lang w:eastAsia="hr-HR"/>
              </w:rPr>
            </w:pPr>
            <w:r w:rsidRPr="00061543">
              <w:rPr>
                <w:rFonts w:ascii="Tahoma" w:eastAsia="Times New Roman" w:hAnsi="Tahoma" w:cs="Tahoma"/>
                <w:sz w:val="18"/>
                <w:szCs w:val="18"/>
                <w:lang w:eastAsia="hr-HR"/>
              </w:rPr>
              <w:t>0</w:t>
            </w:r>
          </w:p>
        </w:tc>
        <w:tc>
          <w:tcPr>
            <w:tcW w:w="446" w:type="dxa"/>
            <w:tcBorders>
              <w:top w:val="nil"/>
              <w:left w:val="nil"/>
              <w:bottom w:val="single" w:sz="4" w:space="0" w:color="auto"/>
              <w:right w:val="single" w:sz="4" w:space="0" w:color="auto"/>
            </w:tcBorders>
            <w:shd w:val="clear" w:color="000000" w:fill="FFFF99"/>
            <w:noWrap/>
            <w:vAlign w:val="center"/>
            <w:hideMark/>
          </w:tcPr>
          <w:p w14:paraId="0AC8E38B" w14:textId="77777777" w:rsidR="00061543" w:rsidRPr="00061543" w:rsidRDefault="00061543" w:rsidP="00061543">
            <w:pPr>
              <w:spacing w:after="0" w:line="240" w:lineRule="auto"/>
              <w:jc w:val="center"/>
              <w:rPr>
                <w:rFonts w:ascii="Tahoma" w:eastAsia="Times New Roman" w:hAnsi="Tahoma" w:cs="Tahoma"/>
                <w:sz w:val="18"/>
                <w:szCs w:val="18"/>
                <w:lang w:eastAsia="hr-HR"/>
              </w:rPr>
            </w:pPr>
            <w:r w:rsidRPr="00061543">
              <w:rPr>
                <w:rFonts w:ascii="Tahoma" w:eastAsia="Times New Roman" w:hAnsi="Tahoma" w:cs="Tahoma"/>
                <w:sz w:val="18"/>
                <w:szCs w:val="18"/>
                <w:lang w:eastAsia="hr-HR"/>
              </w:rPr>
              <w:t>0</w:t>
            </w:r>
          </w:p>
        </w:tc>
        <w:tc>
          <w:tcPr>
            <w:tcW w:w="567" w:type="dxa"/>
            <w:tcBorders>
              <w:top w:val="nil"/>
              <w:left w:val="nil"/>
              <w:bottom w:val="single" w:sz="4" w:space="0" w:color="auto"/>
              <w:right w:val="single" w:sz="4" w:space="0" w:color="auto"/>
            </w:tcBorders>
            <w:shd w:val="clear" w:color="000000" w:fill="FFFF99"/>
            <w:noWrap/>
            <w:vAlign w:val="center"/>
            <w:hideMark/>
          </w:tcPr>
          <w:p w14:paraId="57CE06C3" w14:textId="77777777" w:rsidR="00061543" w:rsidRPr="00061543" w:rsidRDefault="00061543" w:rsidP="00061543">
            <w:pPr>
              <w:spacing w:after="0" w:line="240" w:lineRule="auto"/>
              <w:jc w:val="center"/>
              <w:rPr>
                <w:rFonts w:ascii="Tahoma" w:eastAsia="Times New Roman" w:hAnsi="Tahoma" w:cs="Tahoma"/>
                <w:sz w:val="18"/>
                <w:szCs w:val="18"/>
                <w:lang w:eastAsia="hr-HR"/>
              </w:rPr>
            </w:pPr>
            <w:r w:rsidRPr="00061543">
              <w:rPr>
                <w:rFonts w:ascii="Tahoma" w:eastAsia="Times New Roman" w:hAnsi="Tahoma" w:cs="Tahoma"/>
                <w:sz w:val="18"/>
                <w:szCs w:val="18"/>
                <w:lang w:eastAsia="hr-HR"/>
              </w:rPr>
              <w:t>0</w:t>
            </w:r>
          </w:p>
        </w:tc>
        <w:tc>
          <w:tcPr>
            <w:tcW w:w="468" w:type="dxa"/>
            <w:tcBorders>
              <w:top w:val="nil"/>
              <w:left w:val="nil"/>
              <w:bottom w:val="single" w:sz="4" w:space="0" w:color="auto"/>
              <w:right w:val="single" w:sz="4" w:space="0" w:color="auto"/>
            </w:tcBorders>
            <w:shd w:val="clear" w:color="000000" w:fill="FFFF99"/>
            <w:noWrap/>
            <w:vAlign w:val="center"/>
            <w:hideMark/>
          </w:tcPr>
          <w:p w14:paraId="15E65AAF" w14:textId="77777777" w:rsidR="00061543" w:rsidRPr="00061543" w:rsidRDefault="00061543" w:rsidP="00061543">
            <w:pPr>
              <w:spacing w:after="0" w:line="240" w:lineRule="auto"/>
              <w:jc w:val="center"/>
              <w:rPr>
                <w:rFonts w:ascii="Tahoma" w:eastAsia="Times New Roman" w:hAnsi="Tahoma" w:cs="Tahoma"/>
                <w:sz w:val="18"/>
                <w:szCs w:val="18"/>
                <w:lang w:eastAsia="hr-HR"/>
              </w:rPr>
            </w:pPr>
            <w:r w:rsidRPr="00061543">
              <w:rPr>
                <w:rFonts w:ascii="Tahoma" w:eastAsia="Times New Roman" w:hAnsi="Tahoma" w:cs="Tahoma"/>
                <w:sz w:val="18"/>
                <w:szCs w:val="18"/>
                <w:lang w:eastAsia="hr-HR"/>
              </w:rPr>
              <w:t>0</w:t>
            </w:r>
          </w:p>
        </w:tc>
        <w:tc>
          <w:tcPr>
            <w:tcW w:w="808" w:type="dxa"/>
            <w:tcBorders>
              <w:top w:val="nil"/>
              <w:left w:val="nil"/>
              <w:bottom w:val="single" w:sz="4" w:space="0" w:color="auto"/>
              <w:right w:val="single" w:sz="4" w:space="0" w:color="auto"/>
            </w:tcBorders>
            <w:shd w:val="clear" w:color="000000" w:fill="FFFF99"/>
            <w:noWrap/>
            <w:vAlign w:val="center"/>
            <w:hideMark/>
          </w:tcPr>
          <w:p w14:paraId="41319802" w14:textId="77777777" w:rsidR="00061543" w:rsidRPr="00061543" w:rsidRDefault="00061543" w:rsidP="00061543">
            <w:pPr>
              <w:spacing w:after="0" w:line="240" w:lineRule="auto"/>
              <w:jc w:val="center"/>
              <w:rPr>
                <w:rFonts w:ascii="Tahoma" w:eastAsia="Times New Roman" w:hAnsi="Tahoma" w:cs="Tahoma"/>
                <w:sz w:val="18"/>
                <w:szCs w:val="18"/>
                <w:lang w:eastAsia="hr-HR"/>
              </w:rPr>
            </w:pPr>
            <w:r w:rsidRPr="00061543">
              <w:rPr>
                <w:rFonts w:ascii="Tahoma" w:eastAsia="Times New Roman" w:hAnsi="Tahoma" w:cs="Tahoma"/>
                <w:sz w:val="18"/>
                <w:szCs w:val="18"/>
                <w:lang w:eastAsia="hr-HR"/>
              </w:rPr>
              <w:t>0</w:t>
            </w:r>
          </w:p>
        </w:tc>
        <w:tc>
          <w:tcPr>
            <w:tcW w:w="468" w:type="dxa"/>
            <w:gridSpan w:val="2"/>
            <w:tcBorders>
              <w:top w:val="nil"/>
              <w:left w:val="nil"/>
              <w:bottom w:val="single" w:sz="4" w:space="0" w:color="auto"/>
              <w:right w:val="single" w:sz="4" w:space="0" w:color="auto"/>
            </w:tcBorders>
            <w:shd w:val="clear" w:color="000000" w:fill="FF9900"/>
            <w:noWrap/>
            <w:vAlign w:val="center"/>
            <w:hideMark/>
          </w:tcPr>
          <w:p w14:paraId="26A1538E" w14:textId="77777777" w:rsidR="00061543" w:rsidRPr="00061543" w:rsidRDefault="00061543" w:rsidP="00061543">
            <w:pPr>
              <w:spacing w:after="0" w:line="240" w:lineRule="auto"/>
              <w:jc w:val="right"/>
              <w:rPr>
                <w:rFonts w:ascii="Tahoma" w:eastAsia="Times New Roman" w:hAnsi="Tahoma" w:cs="Tahoma"/>
                <w:sz w:val="18"/>
                <w:szCs w:val="18"/>
                <w:lang w:eastAsia="hr-HR"/>
              </w:rPr>
            </w:pPr>
            <w:r w:rsidRPr="00061543">
              <w:rPr>
                <w:rFonts w:ascii="Tahoma" w:eastAsia="Times New Roman" w:hAnsi="Tahoma" w:cs="Tahoma"/>
                <w:sz w:val="18"/>
                <w:szCs w:val="18"/>
                <w:lang w:eastAsia="hr-HR"/>
              </w:rPr>
              <w:t>0</w:t>
            </w:r>
          </w:p>
        </w:tc>
        <w:tc>
          <w:tcPr>
            <w:tcW w:w="524" w:type="dxa"/>
            <w:tcBorders>
              <w:top w:val="nil"/>
              <w:left w:val="nil"/>
              <w:bottom w:val="single" w:sz="4" w:space="0" w:color="auto"/>
              <w:right w:val="single" w:sz="4" w:space="0" w:color="auto"/>
            </w:tcBorders>
            <w:shd w:val="clear" w:color="000000" w:fill="FF9900"/>
            <w:noWrap/>
            <w:vAlign w:val="center"/>
            <w:hideMark/>
          </w:tcPr>
          <w:p w14:paraId="160F255D" w14:textId="77777777" w:rsidR="00061543" w:rsidRPr="00061543" w:rsidRDefault="00061543" w:rsidP="00061543">
            <w:pPr>
              <w:spacing w:after="0" w:line="240" w:lineRule="auto"/>
              <w:jc w:val="right"/>
              <w:rPr>
                <w:rFonts w:ascii="Tahoma" w:eastAsia="Times New Roman" w:hAnsi="Tahoma" w:cs="Tahoma"/>
                <w:sz w:val="18"/>
                <w:szCs w:val="18"/>
                <w:lang w:eastAsia="hr-HR"/>
              </w:rPr>
            </w:pPr>
            <w:r w:rsidRPr="00061543">
              <w:rPr>
                <w:rFonts w:ascii="Tahoma" w:eastAsia="Times New Roman" w:hAnsi="Tahoma" w:cs="Tahoma"/>
                <w:sz w:val="18"/>
                <w:szCs w:val="18"/>
                <w:lang w:eastAsia="hr-HR"/>
              </w:rPr>
              <w:t>0</w:t>
            </w:r>
          </w:p>
        </w:tc>
        <w:tc>
          <w:tcPr>
            <w:tcW w:w="468" w:type="dxa"/>
            <w:tcBorders>
              <w:top w:val="nil"/>
              <w:left w:val="nil"/>
              <w:bottom w:val="single" w:sz="4" w:space="0" w:color="auto"/>
              <w:right w:val="single" w:sz="4" w:space="0" w:color="auto"/>
            </w:tcBorders>
            <w:shd w:val="clear" w:color="000000" w:fill="FF9900"/>
            <w:noWrap/>
            <w:vAlign w:val="center"/>
            <w:hideMark/>
          </w:tcPr>
          <w:p w14:paraId="5E190BCB" w14:textId="77777777" w:rsidR="00061543" w:rsidRPr="00061543" w:rsidRDefault="00061543" w:rsidP="00061543">
            <w:pPr>
              <w:spacing w:after="0" w:line="240" w:lineRule="auto"/>
              <w:jc w:val="right"/>
              <w:rPr>
                <w:rFonts w:ascii="Tahoma" w:eastAsia="Times New Roman" w:hAnsi="Tahoma" w:cs="Tahoma"/>
                <w:sz w:val="18"/>
                <w:szCs w:val="18"/>
                <w:lang w:eastAsia="hr-HR"/>
              </w:rPr>
            </w:pPr>
            <w:r w:rsidRPr="00061543">
              <w:rPr>
                <w:rFonts w:ascii="Tahoma" w:eastAsia="Times New Roman" w:hAnsi="Tahoma" w:cs="Tahoma"/>
                <w:sz w:val="18"/>
                <w:szCs w:val="18"/>
                <w:lang w:eastAsia="hr-HR"/>
              </w:rPr>
              <w:t>0</w:t>
            </w:r>
          </w:p>
        </w:tc>
        <w:tc>
          <w:tcPr>
            <w:tcW w:w="468" w:type="dxa"/>
            <w:tcBorders>
              <w:top w:val="nil"/>
              <w:left w:val="nil"/>
              <w:bottom w:val="single" w:sz="4" w:space="0" w:color="auto"/>
              <w:right w:val="single" w:sz="4" w:space="0" w:color="auto"/>
            </w:tcBorders>
            <w:shd w:val="clear" w:color="000000" w:fill="FFFF00"/>
            <w:vAlign w:val="center"/>
            <w:hideMark/>
          </w:tcPr>
          <w:p w14:paraId="01E64EA1" w14:textId="77777777" w:rsidR="00061543" w:rsidRPr="00061543" w:rsidRDefault="00061543" w:rsidP="00061543">
            <w:pPr>
              <w:spacing w:after="0" w:line="240" w:lineRule="auto"/>
              <w:jc w:val="center"/>
              <w:rPr>
                <w:rFonts w:ascii="Tahoma" w:eastAsia="Times New Roman" w:hAnsi="Tahoma" w:cs="Tahoma"/>
                <w:sz w:val="18"/>
                <w:szCs w:val="18"/>
                <w:lang w:eastAsia="hr-HR"/>
              </w:rPr>
            </w:pPr>
            <w:r w:rsidRPr="00061543">
              <w:rPr>
                <w:rFonts w:ascii="Tahoma" w:eastAsia="Times New Roman" w:hAnsi="Tahoma" w:cs="Tahoma"/>
                <w:sz w:val="18"/>
                <w:szCs w:val="18"/>
                <w:lang w:eastAsia="hr-HR"/>
              </w:rPr>
              <w:t>0</w:t>
            </w:r>
          </w:p>
        </w:tc>
        <w:tc>
          <w:tcPr>
            <w:tcW w:w="560" w:type="dxa"/>
            <w:gridSpan w:val="2"/>
            <w:tcBorders>
              <w:top w:val="nil"/>
              <w:left w:val="nil"/>
              <w:bottom w:val="single" w:sz="4" w:space="0" w:color="auto"/>
              <w:right w:val="single" w:sz="4" w:space="0" w:color="auto"/>
            </w:tcBorders>
            <w:shd w:val="clear" w:color="000000" w:fill="FF9900"/>
            <w:vAlign w:val="center"/>
            <w:hideMark/>
          </w:tcPr>
          <w:p w14:paraId="7B632ED5" w14:textId="77777777" w:rsidR="00061543" w:rsidRPr="00061543" w:rsidRDefault="00061543" w:rsidP="00061543">
            <w:pPr>
              <w:spacing w:after="0" w:line="240" w:lineRule="auto"/>
              <w:jc w:val="center"/>
              <w:rPr>
                <w:rFonts w:ascii="Tahoma" w:eastAsia="Times New Roman" w:hAnsi="Tahoma" w:cs="Tahoma"/>
                <w:sz w:val="18"/>
                <w:szCs w:val="18"/>
                <w:lang w:eastAsia="hr-HR"/>
              </w:rPr>
            </w:pPr>
            <w:r w:rsidRPr="00061543">
              <w:rPr>
                <w:rFonts w:ascii="Tahoma" w:eastAsia="Times New Roman" w:hAnsi="Tahoma" w:cs="Tahoma"/>
                <w:sz w:val="18"/>
                <w:szCs w:val="18"/>
                <w:lang w:eastAsia="hr-HR"/>
              </w:rPr>
              <w:t>2</w:t>
            </w:r>
          </w:p>
        </w:tc>
        <w:tc>
          <w:tcPr>
            <w:tcW w:w="905" w:type="dxa"/>
            <w:gridSpan w:val="2"/>
            <w:tcBorders>
              <w:top w:val="nil"/>
              <w:left w:val="nil"/>
              <w:bottom w:val="single" w:sz="4" w:space="0" w:color="auto"/>
              <w:right w:val="single" w:sz="4" w:space="0" w:color="auto"/>
            </w:tcBorders>
            <w:shd w:val="clear" w:color="000000" w:fill="FF9900"/>
            <w:noWrap/>
            <w:vAlign w:val="center"/>
            <w:hideMark/>
          </w:tcPr>
          <w:p w14:paraId="27089200" w14:textId="77777777" w:rsidR="00061543" w:rsidRPr="00061543" w:rsidRDefault="00061543" w:rsidP="00061543">
            <w:pPr>
              <w:spacing w:after="0" w:line="240" w:lineRule="auto"/>
              <w:jc w:val="center"/>
              <w:rPr>
                <w:rFonts w:ascii="Tahoma" w:eastAsia="Times New Roman" w:hAnsi="Tahoma" w:cs="Tahoma"/>
                <w:sz w:val="18"/>
                <w:szCs w:val="18"/>
                <w:lang w:eastAsia="hr-HR"/>
              </w:rPr>
            </w:pPr>
            <w:r w:rsidRPr="00061543">
              <w:rPr>
                <w:rFonts w:ascii="Tahoma" w:eastAsia="Times New Roman" w:hAnsi="Tahoma" w:cs="Tahoma"/>
                <w:sz w:val="18"/>
                <w:szCs w:val="18"/>
                <w:lang w:eastAsia="hr-HR"/>
              </w:rPr>
              <w:t>0</w:t>
            </w:r>
          </w:p>
        </w:tc>
        <w:tc>
          <w:tcPr>
            <w:tcW w:w="498" w:type="dxa"/>
            <w:tcBorders>
              <w:top w:val="nil"/>
              <w:left w:val="nil"/>
              <w:bottom w:val="single" w:sz="4" w:space="0" w:color="auto"/>
              <w:right w:val="single" w:sz="4" w:space="0" w:color="auto"/>
            </w:tcBorders>
            <w:shd w:val="clear" w:color="000000" w:fill="FF9900"/>
            <w:noWrap/>
            <w:vAlign w:val="center"/>
            <w:hideMark/>
          </w:tcPr>
          <w:p w14:paraId="0ED5D4B5" w14:textId="77777777" w:rsidR="00061543" w:rsidRPr="00061543" w:rsidRDefault="00061543" w:rsidP="00061543">
            <w:pPr>
              <w:spacing w:after="0" w:line="240" w:lineRule="auto"/>
              <w:jc w:val="center"/>
              <w:rPr>
                <w:rFonts w:ascii="Tahoma" w:eastAsia="Times New Roman" w:hAnsi="Tahoma" w:cs="Tahoma"/>
                <w:sz w:val="18"/>
                <w:szCs w:val="18"/>
                <w:lang w:eastAsia="hr-HR"/>
              </w:rPr>
            </w:pPr>
            <w:r w:rsidRPr="00061543">
              <w:rPr>
                <w:rFonts w:ascii="Tahoma" w:eastAsia="Times New Roman" w:hAnsi="Tahoma" w:cs="Tahoma"/>
                <w:sz w:val="18"/>
                <w:szCs w:val="18"/>
                <w:lang w:eastAsia="hr-HR"/>
              </w:rPr>
              <w:t>0</w:t>
            </w:r>
          </w:p>
        </w:tc>
        <w:tc>
          <w:tcPr>
            <w:tcW w:w="1016" w:type="dxa"/>
            <w:gridSpan w:val="2"/>
            <w:tcBorders>
              <w:top w:val="nil"/>
              <w:left w:val="nil"/>
              <w:bottom w:val="single" w:sz="4" w:space="0" w:color="auto"/>
              <w:right w:val="single" w:sz="4" w:space="0" w:color="auto"/>
            </w:tcBorders>
            <w:shd w:val="clear" w:color="000000" w:fill="FF9900"/>
            <w:noWrap/>
            <w:vAlign w:val="center"/>
            <w:hideMark/>
          </w:tcPr>
          <w:p w14:paraId="3C4DDAE7" w14:textId="77777777" w:rsidR="00061543" w:rsidRPr="00061543" w:rsidRDefault="00061543" w:rsidP="00061543">
            <w:pPr>
              <w:spacing w:after="0" w:line="240" w:lineRule="auto"/>
              <w:jc w:val="center"/>
              <w:rPr>
                <w:rFonts w:ascii="Tahoma" w:eastAsia="Times New Roman" w:hAnsi="Tahoma" w:cs="Tahoma"/>
                <w:sz w:val="18"/>
                <w:szCs w:val="18"/>
                <w:lang w:eastAsia="hr-HR"/>
              </w:rPr>
            </w:pPr>
            <w:r w:rsidRPr="00061543">
              <w:rPr>
                <w:rFonts w:ascii="Tahoma" w:eastAsia="Times New Roman" w:hAnsi="Tahoma" w:cs="Tahoma"/>
                <w:sz w:val="18"/>
                <w:szCs w:val="18"/>
                <w:lang w:eastAsia="hr-HR"/>
              </w:rPr>
              <w:t>0</w:t>
            </w:r>
          </w:p>
        </w:tc>
        <w:tc>
          <w:tcPr>
            <w:tcW w:w="505" w:type="dxa"/>
            <w:gridSpan w:val="2"/>
            <w:tcBorders>
              <w:top w:val="nil"/>
              <w:left w:val="nil"/>
              <w:bottom w:val="single" w:sz="4" w:space="0" w:color="auto"/>
              <w:right w:val="single" w:sz="4" w:space="0" w:color="auto"/>
            </w:tcBorders>
            <w:shd w:val="clear" w:color="000000" w:fill="CCFFFF"/>
            <w:noWrap/>
            <w:vAlign w:val="center"/>
            <w:hideMark/>
          </w:tcPr>
          <w:p w14:paraId="11D39DC6" w14:textId="77777777" w:rsidR="00061543" w:rsidRPr="00061543" w:rsidRDefault="00061543" w:rsidP="00061543">
            <w:pPr>
              <w:spacing w:after="0" w:line="240" w:lineRule="auto"/>
              <w:jc w:val="right"/>
              <w:rPr>
                <w:rFonts w:ascii="Tahoma" w:eastAsia="Times New Roman" w:hAnsi="Tahoma" w:cs="Tahoma"/>
                <w:sz w:val="18"/>
                <w:szCs w:val="18"/>
                <w:lang w:eastAsia="hr-HR"/>
              </w:rPr>
            </w:pPr>
            <w:r w:rsidRPr="00061543">
              <w:rPr>
                <w:rFonts w:ascii="Tahoma" w:eastAsia="Times New Roman" w:hAnsi="Tahoma" w:cs="Tahoma"/>
                <w:sz w:val="18"/>
                <w:szCs w:val="18"/>
                <w:lang w:eastAsia="hr-HR"/>
              </w:rPr>
              <w:t>0</w:t>
            </w:r>
          </w:p>
        </w:tc>
        <w:tc>
          <w:tcPr>
            <w:tcW w:w="468" w:type="dxa"/>
            <w:tcBorders>
              <w:top w:val="nil"/>
              <w:left w:val="nil"/>
              <w:bottom w:val="single" w:sz="4" w:space="0" w:color="auto"/>
              <w:right w:val="single" w:sz="4" w:space="0" w:color="auto"/>
            </w:tcBorders>
            <w:shd w:val="clear" w:color="000000" w:fill="CCFFFF"/>
            <w:noWrap/>
            <w:vAlign w:val="center"/>
            <w:hideMark/>
          </w:tcPr>
          <w:p w14:paraId="7E585DD6" w14:textId="77777777" w:rsidR="00061543" w:rsidRPr="00061543" w:rsidRDefault="00061543" w:rsidP="00061543">
            <w:pPr>
              <w:spacing w:after="0" w:line="240" w:lineRule="auto"/>
              <w:jc w:val="right"/>
              <w:rPr>
                <w:rFonts w:ascii="Tahoma" w:eastAsia="Times New Roman" w:hAnsi="Tahoma" w:cs="Tahoma"/>
                <w:sz w:val="18"/>
                <w:szCs w:val="18"/>
                <w:lang w:eastAsia="hr-HR"/>
              </w:rPr>
            </w:pPr>
            <w:r w:rsidRPr="00061543">
              <w:rPr>
                <w:rFonts w:ascii="Tahoma" w:eastAsia="Times New Roman" w:hAnsi="Tahoma" w:cs="Tahoma"/>
                <w:sz w:val="18"/>
                <w:szCs w:val="18"/>
                <w:lang w:eastAsia="hr-HR"/>
              </w:rPr>
              <w:t>0</w:t>
            </w:r>
          </w:p>
        </w:tc>
        <w:tc>
          <w:tcPr>
            <w:tcW w:w="336" w:type="dxa"/>
            <w:tcBorders>
              <w:top w:val="nil"/>
              <w:left w:val="nil"/>
              <w:bottom w:val="single" w:sz="4" w:space="0" w:color="auto"/>
              <w:right w:val="single" w:sz="4" w:space="0" w:color="auto"/>
            </w:tcBorders>
            <w:shd w:val="clear" w:color="000000" w:fill="CCFFFF"/>
            <w:noWrap/>
            <w:vAlign w:val="center"/>
            <w:hideMark/>
          </w:tcPr>
          <w:p w14:paraId="1F14E1B1" w14:textId="77777777" w:rsidR="00061543" w:rsidRPr="00061543" w:rsidRDefault="00061543" w:rsidP="00061543">
            <w:pPr>
              <w:spacing w:after="0" w:line="240" w:lineRule="auto"/>
              <w:jc w:val="right"/>
              <w:rPr>
                <w:rFonts w:ascii="Tahoma" w:eastAsia="Times New Roman" w:hAnsi="Tahoma" w:cs="Tahoma"/>
                <w:sz w:val="18"/>
                <w:szCs w:val="18"/>
                <w:lang w:eastAsia="hr-HR"/>
              </w:rPr>
            </w:pPr>
            <w:r w:rsidRPr="00061543">
              <w:rPr>
                <w:rFonts w:ascii="Tahoma" w:eastAsia="Times New Roman" w:hAnsi="Tahoma" w:cs="Tahoma"/>
                <w:sz w:val="18"/>
                <w:szCs w:val="18"/>
                <w:lang w:eastAsia="hr-HR"/>
              </w:rPr>
              <w:t>0</w:t>
            </w:r>
          </w:p>
        </w:tc>
        <w:tc>
          <w:tcPr>
            <w:tcW w:w="426" w:type="dxa"/>
            <w:tcBorders>
              <w:top w:val="nil"/>
              <w:left w:val="nil"/>
              <w:bottom w:val="single" w:sz="4" w:space="0" w:color="auto"/>
              <w:right w:val="single" w:sz="4" w:space="0" w:color="auto"/>
            </w:tcBorders>
            <w:shd w:val="clear" w:color="000000" w:fill="33CCCC"/>
            <w:noWrap/>
            <w:vAlign w:val="center"/>
            <w:hideMark/>
          </w:tcPr>
          <w:p w14:paraId="7F22FC05" w14:textId="77777777" w:rsidR="00061543" w:rsidRPr="00061543" w:rsidRDefault="00061543" w:rsidP="00061543">
            <w:pPr>
              <w:spacing w:after="0" w:line="240" w:lineRule="auto"/>
              <w:jc w:val="right"/>
              <w:rPr>
                <w:rFonts w:ascii="Tahoma" w:eastAsia="Times New Roman" w:hAnsi="Tahoma" w:cs="Tahoma"/>
                <w:sz w:val="18"/>
                <w:szCs w:val="18"/>
                <w:lang w:eastAsia="hr-HR"/>
              </w:rPr>
            </w:pPr>
            <w:r w:rsidRPr="00061543">
              <w:rPr>
                <w:rFonts w:ascii="Tahoma" w:eastAsia="Times New Roman" w:hAnsi="Tahoma" w:cs="Tahoma"/>
                <w:sz w:val="18"/>
                <w:szCs w:val="18"/>
                <w:lang w:eastAsia="hr-HR"/>
              </w:rPr>
              <w:t>0</w:t>
            </w:r>
          </w:p>
        </w:tc>
        <w:tc>
          <w:tcPr>
            <w:tcW w:w="473" w:type="dxa"/>
            <w:tcBorders>
              <w:top w:val="nil"/>
              <w:left w:val="nil"/>
              <w:bottom w:val="single" w:sz="4" w:space="0" w:color="auto"/>
              <w:right w:val="single" w:sz="8" w:space="0" w:color="auto"/>
            </w:tcBorders>
            <w:shd w:val="clear" w:color="000000" w:fill="33CCCC"/>
            <w:noWrap/>
            <w:vAlign w:val="center"/>
            <w:hideMark/>
          </w:tcPr>
          <w:p w14:paraId="7C2B38E9" w14:textId="77777777" w:rsidR="00061543" w:rsidRPr="00061543" w:rsidRDefault="00061543" w:rsidP="00061543">
            <w:pPr>
              <w:spacing w:after="0" w:line="240" w:lineRule="auto"/>
              <w:jc w:val="right"/>
              <w:rPr>
                <w:rFonts w:ascii="Tahoma" w:eastAsia="Times New Roman" w:hAnsi="Tahoma" w:cs="Tahoma"/>
                <w:sz w:val="18"/>
                <w:szCs w:val="18"/>
                <w:lang w:eastAsia="hr-HR"/>
              </w:rPr>
            </w:pPr>
            <w:r w:rsidRPr="00061543">
              <w:rPr>
                <w:rFonts w:ascii="Tahoma" w:eastAsia="Times New Roman" w:hAnsi="Tahoma" w:cs="Tahoma"/>
                <w:sz w:val="18"/>
                <w:szCs w:val="18"/>
                <w:lang w:eastAsia="hr-HR"/>
              </w:rPr>
              <w:t>0</w:t>
            </w:r>
          </w:p>
        </w:tc>
        <w:tc>
          <w:tcPr>
            <w:tcW w:w="236" w:type="dxa"/>
            <w:gridSpan w:val="3"/>
            <w:vAlign w:val="center"/>
            <w:hideMark/>
          </w:tcPr>
          <w:p w14:paraId="21332E78" w14:textId="77777777" w:rsidR="00061543" w:rsidRPr="00061543" w:rsidRDefault="00061543" w:rsidP="00061543">
            <w:pPr>
              <w:spacing w:after="0" w:line="240" w:lineRule="auto"/>
              <w:rPr>
                <w:rFonts w:ascii="Times New Roman" w:eastAsia="Times New Roman" w:hAnsi="Times New Roman" w:cs="Times New Roman"/>
                <w:sz w:val="18"/>
                <w:szCs w:val="18"/>
                <w:lang w:eastAsia="hr-HR"/>
              </w:rPr>
            </w:pPr>
          </w:p>
        </w:tc>
      </w:tr>
      <w:tr w:rsidR="00061543" w:rsidRPr="00061543" w14:paraId="331D7A6D" w14:textId="77777777" w:rsidTr="00061543">
        <w:trPr>
          <w:gridAfter w:val="2"/>
          <w:wAfter w:w="101" w:type="dxa"/>
          <w:trHeight w:val="420"/>
        </w:trPr>
        <w:tc>
          <w:tcPr>
            <w:tcW w:w="1576" w:type="dxa"/>
            <w:tcBorders>
              <w:top w:val="single" w:sz="4" w:space="0" w:color="auto"/>
              <w:left w:val="single" w:sz="8" w:space="0" w:color="auto"/>
              <w:bottom w:val="single" w:sz="4" w:space="0" w:color="auto"/>
              <w:right w:val="single" w:sz="4" w:space="0" w:color="auto"/>
            </w:tcBorders>
            <w:shd w:val="clear" w:color="000000" w:fill="CCFFCC"/>
            <w:vAlign w:val="center"/>
            <w:hideMark/>
          </w:tcPr>
          <w:p w14:paraId="31879BDD" w14:textId="77777777" w:rsidR="00061543" w:rsidRPr="00061543" w:rsidRDefault="00061543" w:rsidP="00061543">
            <w:pPr>
              <w:spacing w:after="0" w:line="240" w:lineRule="auto"/>
              <w:rPr>
                <w:rFonts w:ascii="Tahoma" w:eastAsia="Times New Roman" w:hAnsi="Tahoma" w:cs="Tahoma"/>
                <w:sz w:val="18"/>
                <w:szCs w:val="18"/>
                <w:lang w:eastAsia="hr-HR"/>
              </w:rPr>
            </w:pPr>
            <w:r w:rsidRPr="00061543">
              <w:rPr>
                <w:rFonts w:ascii="Tahoma" w:eastAsia="Times New Roman" w:hAnsi="Tahoma" w:cs="Tahoma"/>
                <w:sz w:val="18"/>
                <w:szCs w:val="18"/>
                <w:lang w:eastAsia="hr-HR"/>
              </w:rPr>
              <w:t>Članstvo u sindikatu</w:t>
            </w:r>
          </w:p>
        </w:tc>
        <w:tc>
          <w:tcPr>
            <w:tcW w:w="560" w:type="dxa"/>
            <w:tcBorders>
              <w:top w:val="nil"/>
              <w:left w:val="nil"/>
              <w:bottom w:val="single" w:sz="4" w:space="0" w:color="auto"/>
              <w:right w:val="single" w:sz="4" w:space="0" w:color="auto"/>
            </w:tcBorders>
            <w:shd w:val="clear" w:color="000000" w:fill="FFCC99"/>
            <w:noWrap/>
            <w:vAlign w:val="center"/>
            <w:hideMark/>
          </w:tcPr>
          <w:p w14:paraId="3A734494" w14:textId="77777777" w:rsidR="00061543" w:rsidRPr="00061543" w:rsidRDefault="00061543" w:rsidP="00061543">
            <w:pPr>
              <w:spacing w:after="0" w:line="240" w:lineRule="auto"/>
              <w:jc w:val="center"/>
              <w:rPr>
                <w:rFonts w:ascii="Tahoma" w:eastAsia="Times New Roman" w:hAnsi="Tahoma" w:cs="Tahoma"/>
                <w:sz w:val="18"/>
                <w:szCs w:val="18"/>
                <w:lang w:eastAsia="hr-HR"/>
              </w:rPr>
            </w:pPr>
            <w:r w:rsidRPr="00061543">
              <w:rPr>
                <w:rFonts w:ascii="Tahoma" w:eastAsia="Times New Roman" w:hAnsi="Tahoma" w:cs="Tahoma"/>
                <w:sz w:val="18"/>
                <w:szCs w:val="18"/>
                <w:lang w:eastAsia="hr-HR"/>
              </w:rPr>
              <w:t>20</w:t>
            </w:r>
          </w:p>
        </w:tc>
        <w:tc>
          <w:tcPr>
            <w:tcW w:w="446" w:type="dxa"/>
            <w:tcBorders>
              <w:top w:val="nil"/>
              <w:left w:val="nil"/>
              <w:bottom w:val="single" w:sz="4" w:space="0" w:color="auto"/>
              <w:right w:val="single" w:sz="4" w:space="0" w:color="auto"/>
            </w:tcBorders>
            <w:shd w:val="clear" w:color="000000" w:fill="FFFF00"/>
            <w:noWrap/>
            <w:vAlign w:val="center"/>
            <w:hideMark/>
          </w:tcPr>
          <w:p w14:paraId="731AACB1" w14:textId="77777777" w:rsidR="00061543" w:rsidRPr="00061543" w:rsidRDefault="00061543" w:rsidP="00061543">
            <w:pPr>
              <w:spacing w:after="0" w:line="240" w:lineRule="auto"/>
              <w:jc w:val="center"/>
              <w:rPr>
                <w:rFonts w:ascii="Tahoma" w:eastAsia="Times New Roman" w:hAnsi="Tahoma" w:cs="Tahoma"/>
                <w:sz w:val="18"/>
                <w:szCs w:val="18"/>
                <w:lang w:eastAsia="hr-HR"/>
              </w:rPr>
            </w:pPr>
            <w:r w:rsidRPr="00061543">
              <w:rPr>
                <w:rFonts w:ascii="Tahoma" w:eastAsia="Times New Roman" w:hAnsi="Tahoma" w:cs="Tahoma"/>
                <w:sz w:val="18"/>
                <w:szCs w:val="18"/>
                <w:lang w:eastAsia="hr-HR"/>
              </w:rPr>
              <w:t>7</w:t>
            </w:r>
          </w:p>
        </w:tc>
        <w:tc>
          <w:tcPr>
            <w:tcW w:w="787" w:type="dxa"/>
            <w:tcBorders>
              <w:top w:val="nil"/>
              <w:left w:val="nil"/>
              <w:bottom w:val="single" w:sz="4" w:space="0" w:color="auto"/>
              <w:right w:val="single" w:sz="4" w:space="0" w:color="auto"/>
            </w:tcBorders>
            <w:shd w:val="clear" w:color="000000" w:fill="CCFFFF"/>
            <w:noWrap/>
            <w:vAlign w:val="center"/>
            <w:hideMark/>
          </w:tcPr>
          <w:p w14:paraId="615FF4B7" w14:textId="77777777" w:rsidR="00061543" w:rsidRPr="00061543" w:rsidRDefault="00061543" w:rsidP="00061543">
            <w:pPr>
              <w:spacing w:after="0" w:line="240" w:lineRule="auto"/>
              <w:jc w:val="right"/>
              <w:rPr>
                <w:rFonts w:ascii="Tahoma" w:eastAsia="Times New Roman" w:hAnsi="Tahoma" w:cs="Tahoma"/>
                <w:sz w:val="18"/>
                <w:szCs w:val="18"/>
                <w:lang w:eastAsia="hr-HR"/>
              </w:rPr>
            </w:pPr>
            <w:r w:rsidRPr="00061543">
              <w:rPr>
                <w:rFonts w:ascii="Tahoma" w:eastAsia="Times New Roman" w:hAnsi="Tahoma" w:cs="Tahoma"/>
                <w:sz w:val="18"/>
                <w:szCs w:val="18"/>
                <w:lang w:eastAsia="hr-HR"/>
              </w:rPr>
              <w:t>0</w:t>
            </w:r>
          </w:p>
        </w:tc>
        <w:tc>
          <w:tcPr>
            <w:tcW w:w="581" w:type="dxa"/>
            <w:tcBorders>
              <w:top w:val="nil"/>
              <w:left w:val="nil"/>
              <w:bottom w:val="single" w:sz="4" w:space="0" w:color="auto"/>
              <w:right w:val="single" w:sz="4" w:space="0" w:color="auto"/>
            </w:tcBorders>
            <w:shd w:val="clear" w:color="000000" w:fill="CCFFFF"/>
            <w:noWrap/>
            <w:vAlign w:val="center"/>
            <w:hideMark/>
          </w:tcPr>
          <w:p w14:paraId="393BF868" w14:textId="77777777" w:rsidR="00061543" w:rsidRPr="00061543" w:rsidRDefault="00061543" w:rsidP="00061543">
            <w:pPr>
              <w:spacing w:after="0" w:line="240" w:lineRule="auto"/>
              <w:jc w:val="right"/>
              <w:rPr>
                <w:rFonts w:ascii="Tahoma" w:eastAsia="Times New Roman" w:hAnsi="Tahoma" w:cs="Tahoma"/>
                <w:sz w:val="18"/>
                <w:szCs w:val="18"/>
                <w:lang w:eastAsia="hr-HR"/>
              </w:rPr>
            </w:pPr>
            <w:r w:rsidRPr="00061543">
              <w:rPr>
                <w:rFonts w:ascii="Tahoma" w:eastAsia="Times New Roman" w:hAnsi="Tahoma" w:cs="Tahoma"/>
                <w:sz w:val="18"/>
                <w:szCs w:val="18"/>
                <w:lang w:eastAsia="hr-HR"/>
              </w:rPr>
              <w:t>6</w:t>
            </w:r>
          </w:p>
        </w:tc>
        <w:tc>
          <w:tcPr>
            <w:tcW w:w="446" w:type="dxa"/>
            <w:tcBorders>
              <w:top w:val="nil"/>
              <w:left w:val="nil"/>
              <w:bottom w:val="single" w:sz="4" w:space="0" w:color="auto"/>
              <w:right w:val="single" w:sz="4" w:space="0" w:color="auto"/>
            </w:tcBorders>
            <w:shd w:val="clear" w:color="000000" w:fill="FFFF99"/>
            <w:noWrap/>
            <w:vAlign w:val="center"/>
            <w:hideMark/>
          </w:tcPr>
          <w:p w14:paraId="4CB58526" w14:textId="77777777" w:rsidR="00061543" w:rsidRPr="00061543" w:rsidRDefault="00061543" w:rsidP="00061543">
            <w:pPr>
              <w:spacing w:after="0" w:line="240" w:lineRule="auto"/>
              <w:jc w:val="center"/>
              <w:rPr>
                <w:rFonts w:ascii="Tahoma" w:eastAsia="Times New Roman" w:hAnsi="Tahoma" w:cs="Tahoma"/>
                <w:sz w:val="18"/>
                <w:szCs w:val="18"/>
                <w:lang w:eastAsia="hr-HR"/>
              </w:rPr>
            </w:pPr>
            <w:r w:rsidRPr="00061543">
              <w:rPr>
                <w:rFonts w:ascii="Tahoma" w:eastAsia="Times New Roman" w:hAnsi="Tahoma" w:cs="Tahoma"/>
                <w:sz w:val="18"/>
                <w:szCs w:val="18"/>
                <w:lang w:eastAsia="hr-HR"/>
              </w:rPr>
              <w:t>6</w:t>
            </w:r>
          </w:p>
        </w:tc>
        <w:tc>
          <w:tcPr>
            <w:tcW w:w="697" w:type="dxa"/>
            <w:tcBorders>
              <w:top w:val="nil"/>
              <w:left w:val="nil"/>
              <w:bottom w:val="single" w:sz="4" w:space="0" w:color="auto"/>
              <w:right w:val="single" w:sz="4" w:space="0" w:color="auto"/>
            </w:tcBorders>
            <w:shd w:val="clear" w:color="000000" w:fill="FFFF99"/>
            <w:noWrap/>
            <w:vAlign w:val="center"/>
            <w:hideMark/>
          </w:tcPr>
          <w:p w14:paraId="6AC1D4B3" w14:textId="77777777" w:rsidR="00061543" w:rsidRPr="00061543" w:rsidRDefault="00061543" w:rsidP="00061543">
            <w:pPr>
              <w:spacing w:after="0" w:line="240" w:lineRule="auto"/>
              <w:jc w:val="center"/>
              <w:rPr>
                <w:rFonts w:ascii="Tahoma" w:eastAsia="Times New Roman" w:hAnsi="Tahoma" w:cs="Tahoma"/>
                <w:sz w:val="18"/>
                <w:szCs w:val="18"/>
                <w:lang w:eastAsia="hr-HR"/>
              </w:rPr>
            </w:pPr>
            <w:r w:rsidRPr="00061543">
              <w:rPr>
                <w:rFonts w:ascii="Tahoma" w:eastAsia="Times New Roman" w:hAnsi="Tahoma" w:cs="Tahoma"/>
                <w:sz w:val="18"/>
                <w:szCs w:val="18"/>
                <w:lang w:eastAsia="hr-HR"/>
              </w:rPr>
              <w:t>5</w:t>
            </w:r>
          </w:p>
        </w:tc>
        <w:tc>
          <w:tcPr>
            <w:tcW w:w="446" w:type="dxa"/>
            <w:tcBorders>
              <w:top w:val="nil"/>
              <w:left w:val="nil"/>
              <w:bottom w:val="single" w:sz="4" w:space="0" w:color="auto"/>
              <w:right w:val="single" w:sz="4" w:space="0" w:color="auto"/>
            </w:tcBorders>
            <w:shd w:val="clear" w:color="000000" w:fill="FFFF99"/>
            <w:noWrap/>
            <w:vAlign w:val="center"/>
            <w:hideMark/>
          </w:tcPr>
          <w:p w14:paraId="2909C553" w14:textId="77777777" w:rsidR="00061543" w:rsidRPr="00061543" w:rsidRDefault="00061543" w:rsidP="00061543">
            <w:pPr>
              <w:spacing w:after="0" w:line="240" w:lineRule="auto"/>
              <w:jc w:val="center"/>
              <w:rPr>
                <w:rFonts w:ascii="Tahoma" w:eastAsia="Times New Roman" w:hAnsi="Tahoma" w:cs="Tahoma"/>
                <w:sz w:val="18"/>
                <w:szCs w:val="18"/>
                <w:lang w:eastAsia="hr-HR"/>
              </w:rPr>
            </w:pPr>
            <w:r w:rsidRPr="00061543">
              <w:rPr>
                <w:rFonts w:ascii="Tahoma" w:eastAsia="Times New Roman" w:hAnsi="Tahoma" w:cs="Tahoma"/>
                <w:sz w:val="18"/>
                <w:szCs w:val="18"/>
                <w:lang w:eastAsia="hr-HR"/>
              </w:rPr>
              <w:t>2</w:t>
            </w:r>
          </w:p>
        </w:tc>
        <w:tc>
          <w:tcPr>
            <w:tcW w:w="567" w:type="dxa"/>
            <w:tcBorders>
              <w:top w:val="nil"/>
              <w:left w:val="nil"/>
              <w:bottom w:val="single" w:sz="4" w:space="0" w:color="auto"/>
              <w:right w:val="single" w:sz="4" w:space="0" w:color="auto"/>
            </w:tcBorders>
            <w:shd w:val="clear" w:color="000000" w:fill="FFFF99"/>
            <w:noWrap/>
            <w:vAlign w:val="center"/>
            <w:hideMark/>
          </w:tcPr>
          <w:p w14:paraId="76E3C303" w14:textId="77777777" w:rsidR="00061543" w:rsidRPr="00061543" w:rsidRDefault="00061543" w:rsidP="00061543">
            <w:pPr>
              <w:spacing w:after="0" w:line="240" w:lineRule="auto"/>
              <w:jc w:val="center"/>
              <w:rPr>
                <w:rFonts w:ascii="Tahoma" w:eastAsia="Times New Roman" w:hAnsi="Tahoma" w:cs="Tahoma"/>
                <w:sz w:val="18"/>
                <w:szCs w:val="18"/>
                <w:lang w:eastAsia="hr-HR"/>
              </w:rPr>
            </w:pPr>
            <w:r w:rsidRPr="00061543">
              <w:rPr>
                <w:rFonts w:ascii="Tahoma" w:eastAsia="Times New Roman" w:hAnsi="Tahoma" w:cs="Tahoma"/>
                <w:sz w:val="18"/>
                <w:szCs w:val="18"/>
                <w:lang w:eastAsia="hr-HR"/>
              </w:rPr>
              <w:t>0</w:t>
            </w:r>
          </w:p>
        </w:tc>
        <w:tc>
          <w:tcPr>
            <w:tcW w:w="468" w:type="dxa"/>
            <w:tcBorders>
              <w:top w:val="nil"/>
              <w:left w:val="nil"/>
              <w:bottom w:val="single" w:sz="4" w:space="0" w:color="auto"/>
              <w:right w:val="single" w:sz="4" w:space="0" w:color="auto"/>
            </w:tcBorders>
            <w:shd w:val="clear" w:color="000000" w:fill="FFFF99"/>
            <w:noWrap/>
            <w:vAlign w:val="center"/>
            <w:hideMark/>
          </w:tcPr>
          <w:p w14:paraId="1ABD3D55" w14:textId="77777777" w:rsidR="00061543" w:rsidRPr="00061543" w:rsidRDefault="00061543" w:rsidP="00061543">
            <w:pPr>
              <w:spacing w:after="0" w:line="240" w:lineRule="auto"/>
              <w:jc w:val="center"/>
              <w:rPr>
                <w:rFonts w:ascii="Tahoma" w:eastAsia="Times New Roman" w:hAnsi="Tahoma" w:cs="Tahoma"/>
                <w:sz w:val="18"/>
                <w:szCs w:val="18"/>
                <w:lang w:eastAsia="hr-HR"/>
              </w:rPr>
            </w:pPr>
            <w:r w:rsidRPr="00061543">
              <w:rPr>
                <w:rFonts w:ascii="Tahoma" w:eastAsia="Times New Roman" w:hAnsi="Tahoma" w:cs="Tahoma"/>
                <w:sz w:val="18"/>
                <w:szCs w:val="18"/>
                <w:lang w:eastAsia="hr-HR"/>
              </w:rPr>
              <w:t>0</w:t>
            </w:r>
          </w:p>
        </w:tc>
        <w:tc>
          <w:tcPr>
            <w:tcW w:w="808" w:type="dxa"/>
            <w:tcBorders>
              <w:top w:val="nil"/>
              <w:left w:val="nil"/>
              <w:bottom w:val="single" w:sz="4" w:space="0" w:color="auto"/>
              <w:right w:val="single" w:sz="4" w:space="0" w:color="auto"/>
            </w:tcBorders>
            <w:shd w:val="clear" w:color="000000" w:fill="FFFF99"/>
            <w:noWrap/>
            <w:vAlign w:val="center"/>
            <w:hideMark/>
          </w:tcPr>
          <w:p w14:paraId="68E6A770" w14:textId="77777777" w:rsidR="00061543" w:rsidRPr="00061543" w:rsidRDefault="00061543" w:rsidP="00061543">
            <w:pPr>
              <w:spacing w:after="0" w:line="240" w:lineRule="auto"/>
              <w:jc w:val="center"/>
              <w:rPr>
                <w:rFonts w:ascii="Tahoma" w:eastAsia="Times New Roman" w:hAnsi="Tahoma" w:cs="Tahoma"/>
                <w:sz w:val="18"/>
                <w:szCs w:val="18"/>
                <w:lang w:eastAsia="hr-HR"/>
              </w:rPr>
            </w:pPr>
            <w:r w:rsidRPr="00061543">
              <w:rPr>
                <w:rFonts w:ascii="Tahoma" w:eastAsia="Times New Roman" w:hAnsi="Tahoma" w:cs="Tahoma"/>
                <w:sz w:val="18"/>
                <w:szCs w:val="18"/>
                <w:lang w:eastAsia="hr-HR"/>
              </w:rPr>
              <w:t>0</w:t>
            </w:r>
          </w:p>
        </w:tc>
        <w:tc>
          <w:tcPr>
            <w:tcW w:w="468" w:type="dxa"/>
            <w:gridSpan w:val="2"/>
            <w:tcBorders>
              <w:top w:val="nil"/>
              <w:left w:val="nil"/>
              <w:bottom w:val="single" w:sz="4" w:space="0" w:color="auto"/>
              <w:right w:val="single" w:sz="4" w:space="0" w:color="auto"/>
            </w:tcBorders>
            <w:shd w:val="clear" w:color="000000" w:fill="FF9900"/>
            <w:noWrap/>
            <w:vAlign w:val="center"/>
            <w:hideMark/>
          </w:tcPr>
          <w:p w14:paraId="73B2716A" w14:textId="77777777" w:rsidR="00061543" w:rsidRPr="00061543" w:rsidRDefault="00061543" w:rsidP="00061543">
            <w:pPr>
              <w:spacing w:after="0" w:line="240" w:lineRule="auto"/>
              <w:jc w:val="right"/>
              <w:rPr>
                <w:rFonts w:ascii="Tahoma" w:eastAsia="Times New Roman" w:hAnsi="Tahoma" w:cs="Tahoma"/>
                <w:sz w:val="18"/>
                <w:szCs w:val="18"/>
                <w:lang w:eastAsia="hr-HR"/>
              </w:rPr>
            </w:pPr>
            <w:r w:rsidRPr="00061543">
              <w:rPr>
                <w:rFonts w:ascii="Tahoma" w:eastAsia="Times New Roman" w:hAnsi="Tahoma" w:cs="Tahoma"/>
                <w:sz w:val="18"/>
                <w:szCs w:val="18"/>
                <w:lang w:eastAsia="hr-HR"/>
              </w:rPr>
              <w:t>1</w:t>
            </w:r>
          </w:p>
        </w:tc>
        <w:tc>
          <w:tcPr>
            <w:tcW w:w="524" w:type="dxa"/>
            <w:tcBorders>
              <w:top w:val="nil"/>
              <w:left w:val="nil"/>
              <w:bottom w:val="single" w:sz="4" w:space="0" w:color="auto"/>
              <w:right w:val="single" w:sz="4" w:space="0" w:color="auto"/>
            </w:tcBorders>
            <w:shd w:val="clear" w:color="000000" w:fill="FF9900"/>
            <w:noWrap/>
            <w:vAlign w:val="center"/>
            <w:hideMark/>
          </w:tcPr>
          <w:p w14:paraId="1FB5E7C5" w14:textId="77777777" w:rsidR="00061543" w:rsidRPr="00061543" w:rsidRDefault="00061543" w:rsidP="00061543">
            <w:pPr>
              <w:spacing w:after="0" w:line="240" w:lineRule="auto"/>
              <w:jc w:val="right"/>
              <w:rPr>
                <w:rFonts w:ascii="Tahoma" w:eastAsia="Times New Roman" w:hAnsi="Tahoma" w:cs="Tahoma"/>
                <w:sz w:val="18"/>
                <w:szCs w:val="18"/>
                <w:lang w:eastAsia="hr-HR"/>
              </w:rPr>
            </w:pPr>
            <w:r w:rsidRPr="00061543">
              <w:rPr>
                <w:rFonts w:ascii="Tahoma" w:eastAsia="Times New Roman" w:hAnsi="Tahoma" w:cs="Tahoma"/>
                <w:sz w:val="18"/>
                <w:szCs w:val="18"/>
                <w:lang w:eastAsia="hr-HR"/>
              </w:rPr>
              <w:t>4</w:t>
            </w:r>
          </w:p>
        </w:tc>
        <w:tc>
          <w:tcPr>
            <w:tcW w:w="468" w:type="dxa"/>
            <w:tcBorders>
              <w:top w:val="nil"/>
              <w:left w:val="nil"/>
              <w:bottom w:val="single" w:sz="4" w:space="0" w:color="auto"/>
              <w:right w:val="single" w:sz="4" w:space="0" w:color="auto"/>
            </w:tcBorders>
            <w:shd w:val="clear" w:color="000000" w:fill="FF9900"/>
            <w:noWrap/>
            <w:vAlign w:val="center"/>
            <w:hideMark/>
          </w:tcPr>
          <w:p w14:paraId="20893893" w14:textId="77777777" w:rsidR="00061543" w:rsidRPr="00061543" w:rsidRDefault="00061543" w:rsidP="00061543">
            <w:pPr>
              <w:spacing w:after="0" w:line="240" w:lineRule="auto"/>
              <w:jc w:val="right"/>
              <w:rPr>
                <w:rFonts w:ascii="Tahoma" w:eastAsia="Times New Roman" w:hAnsi="Tahoma" w:cs="Tahoma"/>
                <w:sz w:val="18"/>
                <w:szCs w:val="18"/>
                <w:lang w:eastAsia="hr-HR"/>
              </w:rPr>
            </w:pPr>
            <w:r w:rsidRPr="00061543">
              <w:rPr>
                <w:rFonts w:ascii="Tahoma" w:eastAsia="Times New Roman" w:hAnsi="Tahoma" w:cs="Tahoma"/>
                <w:sz w:val="18"/>
                <w:szCs w:val="18"/>
                <w:lang w:eastAsia="hr-HR"/>
              </w:rPr>
              <w:t>3</w:t>
            </w:r>
          </w:p>
        </w:tc>
        <w:tc>
          <w:tcPr>
            <w:tcW w:w="468" w:type="dxa"/>
            <w:tcBorders>
              <w:top w:val="nil"/>
              <w:left w:val="nil"/>
              <w:bottom w:val="single" w:sz="4" w:space="0" w:color="auto"/>
              <w:right w:val="single" w:sz="4" w:space="0" w:color="auto"/>
            </w:tcBorders>
            <w:shd w:val="clear" w:color="000000" w:fill="FFFF00"/>
            <w:vAlign w:val="center"/>
            <w:hideMark/>
          </w:tcPr>
          <w:p w14:paraId="4B4C283B" w14:textId="77777777" w:rsidR="00061543" w:rsidRPr="00061543" w:rsidRDefault="00061543" w:rsidP="00061543">
            <w:pPr>
              <w:spacing w:after="0" w:line="240" w:lineRule="auto"/>
              <w:jc w:val="center"/>
              <w:rPr>
                <w:rFonts w:ascii="Tahoma" w:eastAsia="Times New Roman" w:hAnsi="Tahoma" w:cs="Tahoma"/>
                <w:sz w:val="18"/>
                <w:szCs w:val="18"/>
                <w:lang w:eastAsia="hr-HR"/>
              </w:rPr>
            </w:pPr>
            <w:r w:rsidRPr="00061543">
              <w:rPr>
                <w:rFonts w:ascii="Tahoma" w:eastAsia="Times New Roman" w:hAnsi="Tahoma" w:cs="Tahoma"/>
                <w:sz w:val="18"/>
                <w:szCs w:val="18"/>
                <w:lang w:eastAsia="hr-HR"/>
              </w:rPr>
              <w:t>8</w:t>
            </w:r>
          </w:p>
        </w:tc>
        <w:tc>
          <w:tcPr>
            <w:tcW w:w="560" w:type="dxa"/>
            <w:gridSpan w:val="2"/>
            <w:tcBorders>
              <w:top w:val="nil"/>
              <w:left w:val="nil"/>
              <w:bottom w:val="single" w:sz="4" w:space="0" w:color="auto"/>
              <w:right w:val="single" w:sz="4" w:space="0" w:color="auto"/>
            </w:tcBorders>
            <w:shd w:val="clear" w:color="000000" w:fill="FF9900"/>
            <w:vAlign w:val="center"/>
            <w:hideMark/>
          </w:tcPr>
          <w:p w14:paraId="43B04E8D" w14:textId="77777777" w:rsidR="00061543" w:rsidRPr="00061543" w:rsidRDefault="00061543" w:rsidP="00061543">
            <w:pPr>
              <w:spacing w:after="0" w:line="240" w:lineRule="auto"/>
              <w:jc w:val="center"/>
              <w:rPr>
                <w:rFonts w:ascii="Tahoma" w:eastAsia="Times New Roman" w:hAnsi="Tahoma" w:cs="Tahoma"/>
                <w:sz w:val="18"/>
                <w:szCs w:val="18"/>
                <w:lang w:eastAsia="hr-HR"/>
              </w:rPr>
            </w:pPr>
            <w:r w:rsidRPr="00061543">
              <w:rPr>
                <w:rFonts w:ascii="Tahoma" w:eastAsia="Times New Roman" w:hAnsi="Tahoma" w:cs="Tahoma"/>
                <w:sz w:val="18"/>
                <w:szCs w:val="18"/>
                <w:lang w:eastAsia="hr-HR"/>
              </w:rPr>
              <w:t>19</w:t>
            </w:r>
          </w:p>
        </w:tc>
        <w:tc>
          <w:tcPr>
            <w:tcW w:w="905" w:type="dxa"/>
            <w:gridSpan w:val="2"/>
            <w:tcBorders>
              <w:top w:val="nil"/>
              <w:left w:val="nil"/>
              <w:bottom w:val="single" w:sz="4" w:space="0" w:color="auto"/>
              <w:right w:val="single" w:sz="4" w:space="0" w:color="auto"/>
            </w:tcBorders>
            <w:shd w:val="clear" w:color="000000" w:fill="FF9900"/>
            <w:noWrap/>
            <w:vAlign w:val="center"/>
            <w:hideMark/>
          </w:tcPr>
          <w:p w14:paraId="5DC25F5F" w14:textId="77777777" w:rsidR="00061543" w:rsidRPr="00061543" w:rsidRDefault="00061543" w:rsidP="00061543">
            <w:pPr>
              <w:spacing w:after="0" w:line="240" w:lineRule="auto"/>
              <w:jc w:val="center"/>
              <w:rPr>
                <w:rFonts w:ascii="Tahoma" w:eastAsia="Times New Roman" w:hAnsi="Tahoma" w:cs="Tahoma"/>
                <w:sz w:val="18"/>
                <w:szCs w:val="18"/>
                <w:lang w:eastAsia="hr-HR"/>
              </w:rPr>
            </w:pPr>
            <w:r w:rsidRPr="00061543">
              <w:rPr>
                <w:rFonts w:ascii="Tahoma" w:eastAsia="Times New Roman" w:hAnsi="Tahoma" w:cs="Tahoma"/>
                <w:sz w:val="18"/>
                <w:szCs w:val="18"/>
                <w:lang w:eastAsia="hr-HR"/>
              </w:rPr>
              <w:t>3</w:t>
            </w:r>
          </w:p>
        </w:tc>
        <w:tc>
          <w:tcPr>
            <w:tcW w:w="498" w:type="dxa"/>
            <w:tcBorders>
              <w:top w:val="nil"/>
              <w:left w:val="nil"/>
              <w:bottom w:val="single" w:sz="4" w:space="0" w:color="auto"/>
              <w:right w:val="single" w:sz="4" w:space="0" w:color="auto"/>
            </w:tcBorders>
            <w:shd w:val="clear" w:color="000000" w:fill="FF9900"/>
            <w:noWrap/>
            <w:vAlign w:val="center"/>
            <w:hideMark/>
          </w:tcPr>
          <w:p w14:paraId="04D1ABC9" w14:textId="77777777" w:rsidR="00061543" w:rsidRPr="00061543" w:rsidRDefault="00061543" w:rsidP="00061543">
            <w:pPr>
              <w:spacing w:after="0" w:line="240" w:lineRule="auto"/>
              <w:jc w:val="center"/>
              <w:rPr>
                <w:rFonts w:ascii="Tahoma" w:eastAsia="Times New Roman" w:hAnsi="Tahoma" w:cs="Tahoma"/>
                <w:sz w:val="18"/>
                <w:szCs w:val="18"/>
                <w:lang w:eastAsia="hr-HR"/>
              </w:rPr>
            </w:pPr>
            <w:r w:rsidRPr="00061543">
              <w:rPr>
                <w:rFonts w:ascii="Tahoma" w:eastAsia="Times New Roman" w:hAnsi="Tahoma" w:cs="Tahoma"/>
                <w:sz w:val="18"/>
                <w:szCs w:val="18"/>
                <w:lang w:eastAsia="hr-HR"/>
              </w:rPr>
              <w:t>1</w:t>
            </w:r>
          </w:p>
        </w:tc>
        <w:tc>
          <w:tcPr>
            <w:tcW w:w="1016" w:type="dxa"/>
            <w:gridSpan w:val="2"/>
            <w:tcBorders>
              <w:top w:val="nil"/>
              <w:left w:val="nil"/>
              <w:bottom w:val="single" w:sz="4" w:space="0" w:color="auto"/>
              <w:right w:val="single" w:sz="4" w:space="0" w:color="auto"/>
            </w:tcBorders>
            <w:shd w:val="clear" w:color="000000" w:fill="FF9900"/>
            <w:noWrap/>
            <w:vAlign w:val="center"/>
            <w:hideMark/>
          </w:tcPr>
          <w:p w14:paraId="7AB8038D" w14:textId="77777777" w:rsidR="00061543" w:rsidRPr="00061543" w:rsidRDefault="00061543" w:rsidP="00061543">
            <w:pPr>
              <w:spacing w:after="0" w:line="240" w:lineRule="auto"/>
              <w:jc w:val="center"/>
              <w:rPr>
                <w:rFonts w:ascii="Tahoma" w:eastAsia="Times New Roman" w:hAnsi="Tahoma" w:cs="Tahoma"/>
                <w:sz w:val="18"/>
                <w:szCs w:val="18"/>
                <w:lang w:eastAsia="hr-HR"/>
              </w:rPr>
            </w:pPr>
            <w:r w:rsidRPr="00061543">
              <w:rPr>
                <w:rFonts w:ascii="Tahoma" w:eastAsia="Times New Roman" w:hAnsi="Tahoma" w:cs="Tahoma"/>
                <w:sz w:val="18"/>
                <w:szCs w:val="18"/>
                <w:lang w:eastAsia="hr-HR"/>
              </w:rPr>
              <w:t>4</w:t>
            </w:r>
          </w:p>
        </w:tc>
        <w:tc>
          <w:tcPr>
            <w:tcW w:w="505" w:type="dxa"/>
            <w:gridSpan w:val="2"/>
            <w:tcBorders>
              <w:top w:val="nil"/>
              <w:left w:val="nil"/>
              <w:bottom w:val="single" w:sz="4" w:space="0" w:color="auto"/>
              <w:right w:val="single" w:sz="4" w:space="0" w:color="auto"/>
            </w:tcBorders>
            <w:shd w:val="clear" w:color="000000" w:fill="CCFFFF"/>
            <w:noWrap/>
            <w:vAlign w:val="center"/>
            <w:hideMark/>
          </w:tcPr>
          <w:p w14:paraId="006D27A5" w14:textId="77777777" w:rsidR="00061543" w:rsidRPr="00061543" w:rsidRDefault="00061543" w:rsidP="00061543">
            <w:pPr>
              <w:spacing w:after="0" w:line="240" w:lineRule="auto"/>
              <w:jc w:val="right"/>
              <w:rPr>
                <w:rFonts w:ascii="Tahoma" w:eastAsia="Times New Roman" w:hAnsi="Tahoma" w:cs="Tahoma"/>
                <w:sz w:val="18"/>
                <w:szCs w:val="18"/>
                <w:lang w:eastAsia="hr-HR"/>
              </w:rPr>
            </w:pPr>
            <w:r w:rsidRPr="00061543">
              <w:rPr>
                <w:rFonts w:ascii="Tahoma" w:eastAsia="Times New Roman" w:hAnsi="Tahoma" w:cs="Tahoma"/>
                <w:sz w:val="18"/>
                <w:szCs w:val="18"/>
                <w:lang w:eastAsia="hr-HR"/>
              </w:rPr>
              <w:t>1</w:t>
            </w:r>
          </w:p>
        </w:tc>
        <w:tc>
          <w:tcPr>
            <w:tcW w:w="468" w:type="dxa"/>
            <w:tcBorders>
              <w:top w:val="nil"/>
              <w:left w:val="nil"/>
              <w:bottom w:val="single" w:sz="4" w:space="0" w:color="auto"/>
              <w:right w:val="single" w:sz="4" w:space="0" w:color="auto"/>
            </w:tcBorders>
            <w:shd w:val="clear" w:color="000000" w:fill="CCFFFF"/>
            <w:noWrap/>
            <w:vAlign w:val="center"/>
            <w:hideMark/>
          </w:tcPr>
          <w:p w14:paraId="76969C4F" w14:textId="77777777" w:rsidR="00061543" w:rsidRPr="00061543" w:rsidRDefault="00061543" w:rsidP="00061543">
            <w:pPr>
              <w:spacing w:after="0" w:line="240" w:lineRule="auto"/>
              <w:jc w:val="right"/>
              <w:rPr>
                <w:rFonts w:ascii="Tahoma" w:eastAsia="Times New Roman" w:hAnsi="Tahoma" w:cs="Tahoma"/>
                <w:sz w:val="18"/>
                <w:szCs w:val="18"/>
                <w:lang w:eastAsia="hr-HR"/>
              </w:rPr>
            </w:pPr>
            <w:r w:rsidRPr="00061543">
              <w:rPr>
                <w:rFonts w:ascii="Tahoma" w:eastAsia="Times New Roman" w:hAnsi="Tahoma" w:cs="Tahoma"/>
                <w:sz w:val="18"/>
                <w:szCs w:val="18"/>
                <w:lang w:eastAsia="hr-HR"/>
              </w:rPr>
              <w:t>1</w:t>
            </w:r>
          </w:p>
        </w:tc>
        <w:tc>
          <w:tcPr>
            <w:tcW w:w="336" w:type="dxa"/>
            <w:tcBorders>
              <w:top w:val="nil"/>
              <w:left w:val="nil"/>
              <w:bottom w:val="single" w:sz="4" w:space="0" w:color="auto"/>
              <w:right w:val="single" w:sz="4" w:space="0" w:color="auto"/>
            </w:tcBorders>
            <w:shd w:val="clear" w:color="000000" w:fill="CCFFFF"/>
            <w:noWrap/>
            <w:vAlign w:val="center"/>
            <w:hideMark/>
          </w:tcPr>
          <w:p w14:paraId="0AF78BD3" w14:textId="77777777" w:rsidR="00061543" w:rsidRPr="00061543" w:rsidRDefault="00061543" w:rsidP="00061543">
            <w:pPr>
              <w:spacing w:after="0" w:line="240" w:lineRule="auto"/>
              <w:jc w:val="right"/>
              <w:rPr>
                <w:rFonts w:ascii="Tahoma" w:eastAsia="Times New Roman" w:hAnsi="Tahoma" w:cs="Tahoma"/>
                <w:sz w:val="18"/>
                <w:szCs w:val="18"/>
                <w:lang w:eastAsia="hr-HR"/>
              </w:rPr>
            </w:pPr>
            <w:r w:rsidRPr="00061543">
              <w:rPr>
                <w:rFonts w:ascii="Tahoma" w:eastAsia="Times New Roman" w:hAnsi="Tahoma" w:cs="Tahoma"/>
                <w:sz w:val="18"/>
                <w:szCs w:val="18"/>
                <w:lang w:eastAsia="hr-HR"/>
              </w:rPr>
              <w:t>0</w:t>
            </w:r>
          </w:p>
        </w:tc>
        <w:tc>
          <w:tcPr>
            <w:tcW w:w="426" w:type="dxa"/>
            <w:tcBorders>
              <w:top w:val="nil"/>
              <w:left w:val="nil"/>
              <w:bottom w:val="single" w:sz="4" w:space="0" w:color="auto"/>
              <w:right w:val="single" w:sz="4" w:space="0" w:color="auto"/>
            </w:tcBorders>
            <w:shd w:val="clear" w:color="000000" w:fill="33CCCC"/>
            <w:noWrap/>
            <w:vAlign w:val="center"/>
            <w:hideMark/>
          </w:tcPr>
          <w:p w14:paraId="55BBC5BD" w14:textId="77777777" w:rsidR="00061543" w:rsidRPr="00061543" w:rsidRDefault="00061543" w:rsidP="00061543">
            <w:pPr>
              <w:spacing w:after="0" w:line="240" w:lineRule="auto"/>
              <w:jc w:val="right"/>
              <w:rPr>
                <w:rFonts w:ascii="Tahoma" w:eastAsia="Times New Roman" w:hAnsi="Tahoma" w:cs="Tahoma"/>
                <w:sz w:val="18"/>
                <w:szCs w:val="18"/>
                <w:lang w:eastAsia="hr-HR"/>
              </w:rPr>
            </w:pPr>
            <w:r w:rsidRPr="00061543">
              <w:rPr>
                <w:rFonts w:ascii="Tahoma" w:eastAsia="Times New Roman" w:hAnsi="Tahoma" w:cs="Tahoma"/>
                <w:sz w:val="18"/>
                <w:szCs w:val="18"/>
                <w:lang w:eastAsia="hr-HR"/>
              </w:rPr>
              <w:t>1</w:t>
            </w:r>
          </w:p>
        </w:tc>
        <w:tc>
          <w:tcPr>
            <w:tcW w:w="473" w:type="dxa"/>
            <w:tcBorders>
              <w:top w:val="nil"/>
              <w:left w:val="nil"/>
              <w:bottom w:val="single" w:sz="4" w:space="0" w:color="auto"/>
              <w:right w:val="single" w:sz="8" w:space="0" w:color="auto"/>
            </w:tcBorders>
            <w:shd w:val="clear" w:color="000000" w:fill="33CCCC"/>
            <w:noWrap/>
            <w:vAlign w:val="center"/>
            <w:hideMark/>
          </w:tcPr>
          <w:p w14:paraId="1F9DC452" w14:textId="77777777" w:rsidR="00061543" w:rsidRPr="00061543" w:rsidRDefault="00061543" w:rsidP="00061543">
            <w:pPr>
              <w:spacing w:after="0" w:line="240" w:lineRule="auto"/>
              <w:jc w:val="right"/>
              <w:rPr>
                <w:rFonts w:ascii="Tahoma" w:eastAsia="Times New Roman" w:hAnsi="Tahoma" w:cs="Tahoma"/>
                <w:sz w:val="18"/>
                <w:szCs w:val="18"/>
                <w:lang w:eastAsia="hr-HR"/>
              </w:rPr>
            </w:pPr>
            <w:r w:rsidRPr="00061543">
              <w:rPr>
                <w:rFonts w:ascii="Tahoma" w:eastAsia="Times New Roman" w:hAnsi="Tahoma" w:cs="Tahoma"/>
                <w:sz w:val="18"/>
                <w:szCs w:val="18"/>
                <w:lang w:eastAsia="hr-HR"/>
              </w:rPr>
              <w:t>7</w:t>
            </w:r>
          </w:p>
        </w:tc>
        <w:tc>
          <w:tcPr>
            <w:tcW w:w="236" w:type="dxa"/>
            <w:gridSpan w:val="3"/>
            <w:vAlign w:val="center"/>
            <w:hideMark/>
          </w:tcPr>
          <w:p w14:paraId="02813D68" w14:textId="77777777" w:rsidR="00061543" w:rsidRPr="00061543" w:rsidRDefault="00061543" w:rsidP="00061543">
            <w:pPr>
              <w:spacing w:after="0" w:line="240" w:lineRule="auto"/>
              <w:rPr>
                <w:rFonts w:ascii="Times New Roman" w:eastAsia="Times New Roman" w:hAnsi="Times New Roman" w:cs="Times New Roman"/>
                <w:sz w:val="18"/>
                <w:szCs w:val="18"/>
                <w:lang w:eastAsia="hr-HR"/>
              </w:rPr>
            </w:pPr>
          </w:p>
        </w:tc>
      </w:tr>
      <w:tr w:rsidR="00061543" w:rsidRPr="00061543" w14:paraId="1E250D54" w14:textId="77777777" w:rsidTr="00061543">
        <w:trPr>
          <w:gridAfter w:val="2"/>
          <w:wAfter w:w="101" w:type="dxa"/>
          <w:trHeight w:val="420"/>
        </w:trPr>
        <w:tc>
          <w:tcPr>
            <w:tcW w:w="1576" w:type="dxa"/>
            <w:tcBorders>
              <w:top w:val="single" w:sz="4" w:space="0" w:color="auto"/>
              <w:left w:val="single" w:sz="8" w:space="0" w:color="auto"/>
              <w:bottom w:val="single" w:sz="4" w:space="0" w:color="auto"/>
              <w:right w:val="single" w:sz="4" w:space="0" w:color="auto"/>
            </w:tcBorders>
            <w:shd w:val="clear" w:color="000000" w:fill="CCFFCC"/>
            <w:vAlign w:val="center"/>
            <w:hideMark/>
          </w:tcPr>
          <w:p w14:paraId="0CEE718F" w14:textId="77777777" w:rsidR="00061543" w:rsidRPr="00061543" w:rsidRDefault="00061543" w:rsidP="00061543">
            <w:pPr>
              <w:spacing w:after="0" w:line="240" w:lineRule="auto"/>
              <w:rPr>
                <w:rFonts w:ascii="Tahoma" w:eastAsia="Times New Roman" w:hAnsi="Tahoma" w:cs="Tahoma"/>
                <w:sz w:val="18"/>
                <w:szCs w:val="18"/>
                <w:lang w:eastAsia="hr-HR"/>
              </w:rPr>
            </w:pPr>
            <w:r w:rsidRPr="00061543">
              <w:rPr>
                <w:rFonts w:ascii="Tahoma" w:eastAsia="Times New Roman" w:hAnsi="Tahoma" w:cs="Tahoma"/>
                <w:sz w:val="18"/>
                <w:szCs w:val="18"/>
                <w:lang w:eastAsia="hr-HR"/>
              </w:rPr>
              <w:t>Društveni položaj</w:t>
            </w:r>
          </w:p>
        </w:tc>
        <w:tc>
          <w:tcPr>
            <w:tcW w:w="560" w:type="dxa"/>
            <w:tcBorders>
              <w:top w:val="nil"/>
              <w:left w:val="nil"/>
              <w:bottom w:val="single" w:sz="4" w:space="0" w:color="auto"/>
              <w:right w:val="single" w:sz="4" w:space="0" w:color="auto"/>
            </w:tcBorders>
            <w:shd w:val="clear" w:color="000000" w:fill="FFCC99"/>
            <w:noWrap/>
            <w:vAlign w:val="center"/>
            <w:hideMark/>
          </w:tcPr>
          <w:p w14:paraId="328729C8" w14:textId="77777777" w:rsidR="00061543" w:rsidRPr="00061543" w:rsidRDefault="00061543" w:rsidP="00061543">
            <w:pPr>
              <w:spacing w:after="0" w:line="240" w:lineRule="auto"/>
              <w:jc w:val="center"/>
              <w:rPr>
                <w:rFonts w:ascii="Tahoma" w:eastAsia="Times New Roman" w:hAnsi="Tahoma" w:cs="Tahoma"/>
                <w:sz w:val="18"/>
                <w:szCs w:val="18"/>
                <w:lang w:eastAsia="hr-HR"/>
              </w:rPr>
            </w:pPr>
            <w:r w:rsidRPr="00061543">
              <w:rPr>
                <w:rFonts w:ascii="Tahoma" w:eastAsia="Times New Roman" w:hAnsi="Tahoma" w:cs="Tahoma"/>
                <w:sz w:val="18"/>
                <w:szCs w:val="18"/>
                <w:lang w:eastAsia="hr-HR"/>
              </w:rPr>
              <w:t>26</w:t>
            </w:r>
          </w:p>
        </w:tc>
        <w:tc>
          <w:tcPr>
            <w:tcW w:w="446" w:type="dxa"/>
            <w:tcBorders>
              <w:top w:val="nil"/>
              <w:left w:val="nil"/>
              <w:bottom w:val="single" w:sz="4" w:space="0" w:color="auto"/>
              <w:right w:val="single" w:sz="4" w:space="0" w:color="auto"/>
            </w:tcBorders>
            <w:shd w:val="clear" w:color="000000" w:fill="FFFF00"/>
            <w:noWrap/>
            <w:vAlign w:val="center"/>
            <w:hideMark/>
          </w:tcPr>
          <w:p w14:paraId="065AA54B" w14:textId="77777777" w:rsidR="00061543" w:rsidRPr="00061543" w:rsidRDefault="00061543" w:rsidP="00061543">
            <w:pPr>
              <w:spacing w:after="0" w:line="240" w:lineRule="auto"/>
              <w:jc w:val="center"/>
              <w:rPr>
                <w:rFonts w:ascii="Tahoma" w:eastAsia="Times New Roman" w:hAnsi="Tahoma" w:cs="Tahoma"/>
                <w:sz w:val="18"/>
                <w:szCs w:val="18"/>
                <w:lang w:eastAsia="hr-HR"/>
              </w:rPr>
            </w:pPr>
            <w:r w:rsidRPr="00061543">
              <w:rPr>
                <w:rFonts w:ascii="Tahoma" w:eastAsia="Times New Roman" w:hAnsi="Tahoma" w:cs="Tahoma"/>
                <w:sz w:val="18"/>
                <w:szCs w:val="18"/>
                <w:lang w:eastAsia="hr-HR"/>
              </w:rPr>
              <w:t>11</w:t>
            </w:r>
          </w:p>
        </w:tc>
        <w:tc>
          <w:tcPr>
            <w:tcW w:w="787" w:type="dxa"/>
            <w:tcBorders>
              <w:top w:val="nil"/>
              <w:left w:val="nil"/>
              <w:bottom w:val="single" w:sz="4" w:space="0" w:color="auto"/>
              <w:right w:val="single" w:sz="4" w:space="0" w:color="auto"/>
            </w:tcBorders>
            <w:shd w:val="clear" w:color="000000" w:fill="CCFFFF"/>
            <w:noWrap/>
            <w:vAlign w:val="center"/>
            <w:hideMark/>
          </w:tcPr>
          <w:p w14:paraId="5E83D43C" w14:textId="77777777" w:rsidR="00061543" w:rsidRPr="00061543" w:rsidRDefault="00061543" w:rsidP="00061543">
            <w:pPr>
              <w:spacing w:after="0" w:line="240" w:lineRule="auto"/>
              <w:jc w:val="right"/>
              <w:rPr>
                <w:rFonts w:ascii="Tahoma" w:eastAsia="Times New Roman" w:hAnsi="Tahoma" w:cs="Tahoma"/>
                <w:sz w:val="18"/>
                <w:szCs w:val="18"/>
                <w:lang w:eastAsia="hr-HR"/>
              </w:rPr>
            </w:pPr>
            <w:r w:rsidRPr="00061543">
              <w:rPr>
                <w:rFonts w:ascii="Tahoma" w:eastAsia="Times New Roman" w:hAnsi="Tahoma" w:cs="Tahoma"/>
                <w:sz w:val="18"/>
                <w:szCs w:val="18"/>
                <w:lang w:eastAsia="hr-HR"/>
              </w:rPr>
              <w:t>4</w:t>
            </w:r>
          </w:p>
        </w:tc>
        <w:tc>
          <w:tcPr>
            <w:tcW w:w="581" w:type="dxa"/>
            <w:tcBorders>
              <w:top w:val="nil"/>
              <w:left w:val="nil"/>
              <w:bottom w:val="single" w:sz="4" w:space="0" w:color="auto"/>
              <w:right w:val="single" w:sz="4" w:space="0" w:color="auto"/>
            </w:tcBorders>
            <w:shd w:val="clear" w:color="000000" w:fill="CCFFFF"/>
            <w:noWrap/>
            <w:vAlign w:val="center"/>
            <w:hideMark/>
          </w:tcPr>
          <w:p w14:paraId="0271DF29" w14:textId="77777777" w:rsidR="00061543" w:rsidRPr="00061543" w:rsidRDefault="00061543" w:rsidP="00061543">
            <w:pPr>
              <w:spacing w:after="0" w:line="240" w:lineRule="auto"/>
              <w:jc w:val="right"/>
              <w:rPr>
                <w:rFonts w:ascii="Tahoma" w:eastAsia="Times New Roman" w:hAnsi="Tahoma" w:cs="Tahoma"/>
                <w:sz w:val="18"/>
                <w:szCs w:val="18"/>
                <w:lang w:eastAsia="hr-HR"/>
              </w:rPr>
            </w:pPr>
            <w:r w:rsidRPr="00061543">
              <w:rPr>
                <w:rFonts w:ascii="Tahoma" w:eastAsia="Times New Roman" w:hAnsi="Tahoma" w:cs="Tahoma"/>
                <w:sz w:val="18"/>
                <w:szCs w:val="18"/>
                <w:lang w:eastAsia="hr-HR"/>
              </w:rPr>
              <w:t>7</w:t>
            </w:r>
          </w:p>
        </w:tc>
        <w:tc>
          <w:tcPr>
            <w:tcW w:w="446" w:type="dxa"/>
            <w:tcBorders>
              <w:top w:val="nil"/>
              <w:left w:val="nil"/>
              <w:bottom w:val="single" w:sz="4" w:space="0" w:color="auto"/>
              <w:right w:val="single" w:sz="4" w:space="0" w:color="auto"/>
            </w:tcBorders>
            <w:shd w:val="clear" w:color="000000" w:fill="FFFF99"/>
            <w:noWrap/>
            <w:vAlign w:val="center"/>
            <w:hideMark/>
          </w:tcPr>
          <w:p w14:paraId="658AE7CE" w14:textId="77777777" w:rsidR="00061543" w:rsidRPr="00061543" w:rsidRDefault="00061543" w:rsidP="00061543">
            <w:pPr>
              <w:spacing w:after="0" w:line="240" w:lineRule="auto"/>
              <w:jc w:val="center"/>
              <w:rPr>
                <w:rFonts w:ascii="Tahoma" w:eastAsia="Times New Roman" w:hAnsi="Tahoma" w:cs="Tahoma"/>
                <w:sz w:val="18"/>
                <w:szCs w:val="18"/>
                <w:lang w:eastAsia="hr-HR"/>
              </w:rPr>
            </w:pPr>
            <w:r w:rsidRPr="00061543">
              <w:rPr>
                <w:rFonts w:ascii="Tahoma" w:eastAsia="Times New Roman" w:hAnsi="Tahoma" w:cs="Tahoma"/>
                <w:sz w:val="18"/>
                <w:szCs w:val="18"/>
                <w:lang w:eastAsia="hr-HR"/>
              </w:rPr>
              <w:t>7</w:t>
            </w:r>
          </w:p>
        </w:tc>
        <w:tc>
          <w:tcPr>
            <w:tcW w:w="697" w:type="dxa"/>
            <w:tcBorders>
              <w:top w:val="nil"/>
              <w:left w:val="nil"/>
              <w:bottom w:val="single" w:sz="4" w:space="0" w:color="auto"/>
              <w:right w:val="single" w:sz="4" w:space="0" w:color="auto"/>
            </w:tcBorders>
            <w:shd w:val="clear" w:color="000000" w:fill="FFFF99"/>
            <w:noWrap/>
            <w:vAlign w:val="center"/>
            <w:hideMark/>
          </w:tcPr>
          <w:p w14:paraId="1CEBC7B8" w14:textId="77777777" w:rsidR="00061543" w:rsidRPr="00061543" w:rsidRDefault="00061543" w:rsidP="00061543">
            <w:pPr>
              <w:spacing w:after="0" w:line="240" w:lineRule="auto"/>
              <w:jc w:val="center"/>
              <w:rPr>
                <w:rFonts w:ascii="Tahoma" w:eastAsia="Times New Roman" w:hAnsi="Tahoma" w:cs="Tahoma"/>
                <w:sz w:val="18"/>
                <w:szCs w:val="18"/>
                <w:lang w:eastAsia="hr-HR"/>
              </w:rPr>
            </w:pPr>
            <w:r w:rsidRPr="00061543">
              <w:rPr>
                <w:rFonts w:ascii="Tahoma" w:eastAsia="Times New Roman" w:hAnsi="Tahoma" w:cs="Tahoma"/>
                <w:sz w:val="18"/>
                <w:szCs w:val="18"/>
                <w:lang w:eastAsia="hr-HR"/>
              </w:rPr>
              <w:t>1</w:t>
            </w:r>
          </w:p>
        </w:tc>
        <w:tc>
          <w:tcPr>
            <w:tcW w:w="446" w:type="dxa"/>
            <w:tcBorders>
              <w:top w:val="nil"/>
              <w:left w:val="nil"/>
              <w:bottom w:val="single" w:sz="4" w:space="0" w:color="auto"/>
              <w:right w:val="single" w:sz="4" w:space="0" w:color="auto"/>
            </w:tcBorders>
            <w:shd w:val="clear" w:color="000000" w:fill="FFFF99"/>
            <w:noWrap/>
            <w:vAlign w:val="center"/>
            <w:hideMark/>
          </w:tcPr>
          <w:p w14:paraId="1C59AE52" w14:textId="77777777" w:rsidR="00061543" w:rsidRPr="00061543" w:rsidRDefault="00061543" w:rsidP="00061543">
            <w:pPr>
              <w:spacing w:after="0" w:line="240" w:lineRule="auto"/>
              <w:jc w:val="center"/>
              <w:rPr>
                <w:rFonts w:ascii="Tahoma" w:eastAsia="Times New Roman" w:hAnsi="Tahoma" w:cs="Tahoma"/>
                <w:sz w:val="18"/>
                <w:szCs w:val="18"/>
                <w:lang w:eastAsia="hr-HR"/>
              </w:rPr>
            </w:pPr>
            <w:r w:rsidRPr="00061543">
              <w:rPr>
                <w:rFonts w:ascii="Tahoma" w:eastAsia="Times New Roman" w:hAnsi="Tahoma" w:cs="Tahoma"/>
                <w:sz w:val="18"/>
                <w:szCs w:val="18"/>
                <w:lang w:eastAsia="hr-HR"/>
              </w:rPr>
              <w:t>3</w:t>
            </w:r>
          </w:p>
        </w:tc>
        <w:tc>
          <w:tcPr>
            <w:tcW w:w="567" w:type="dxa"/>
            <w:tcBorders>
              <w:top w:val="nil"/>
              <w:left w:val="nil"/>
              <w:bottom w:val="single" w:sz="4" w:space="0" w:color="auto"/>
              <w:right w:val="single" w:sz="4" w:space="0" w:color="auto"/>
            </w:tcBorders>
            <w:shd w:val="clear" w:color="000000" w:fill="FFFF99"/>
            <w:noWrap/>
            <w:vAlign w:val="center"/>
            <w:hideMark/>
          </w:tcPr>
          <w:p w14:paraId="3781366A" w14:textId="77777777" w:rsidR="00061543" w:rsidRPr="00061543" w:rsidRDefault="00061543" w:rsidP="00061543">
            <w:pPr>
              <w:spacing w:after="0" w:line="240" w:lineRule="auto"/>
              <w:jc w:val="center"/>
              <w:rPr>
                <w:rFonts w:ascii="Tahoma" w:eastAsia="Times New Roman" w:hAnsi="Tahoma" w:cs="Tahoma"/>
                <w:sz w:val="18"/>
                <w:szCs w:val="18"/>
                <w:lang w:eastAsia="hr-HR"/>
              </w:rPr>
            </w:pPr>
            <w:r w:rsidRPr="00061543">
              <w:rPr>
                <w:rFonts w:ascii="Tahoma" w:eastAsia="Times New Roman" w:hAnsi="Tahoma" w:cs="Tahoma"/>
                <w:sz w:val="18"/>
                <w:szCs w:val="18"/>
                <w:lang w:eastAsia="hr-HR"/>
              </w:rPr>
              <w:t>0</w:t>
            </w:r>
          </w:p>
        </w:tc>
        <w:tc>
          <w:tcPr>
            <w:tcW w:w="468" w:type="dxa"/>
            <w:tcBorders>
              <w:top w:val="nil"/>
              <w:left w:val="nil"/>
              <w:bottom w:val="single" w:sz="4" w:space="0" w:color="auto"/>
              <w:right w:val="single" w:sz="4" w:space="0" w:color="auto"/>
            </w:tcBorders>
            <w:shd w:val="clear" w:color="000000" w:fill="FFFF99"/>
            <w:noWrap/>
            <w:vAlign w:val="center"/>
            <w:hideMark/>
          </w:tcPr>
          <w:p w14:paraId="731143F1" w14:textId="77777777" w:rsidR="00061543" w:rsidRPr="00061543" w:rsidRDefault="00061543" w:rsidP="00061543">
            <w:pPr>
              <w:spacing w:after="0" w:line="240" w:lineRule="auto"/>
              <w:jc w:val="center"/>
              <w:rPr>
                <w:rFonts w:ascii="Tahoma" w:eastAsia="Times New Roman" w:hAnsi="Tahoma" w:cs="Tahoma"/>
                <w:sz w:val="18"/>
                <w:szCs w:val="18"/>
                <w:lang w:eastAsia="hr-HR"/>
              </w:rPr>
            </w:pPr>
            <w:r w:rsidRPr="00061543">
              <w:rPr>
                <w:rFonts w:ascii="Tahoma" w:eastAsia="Times New Roman" w:hAnsi="Tahoma" w:cs="Tahoma"/>
                <w:sz w:val="18"/>
                <w:szCs w:val="18"/>
                <w:lang w:eastAsia="hr-HR"/>
              </w:rPr>
              <w:t>0</w:t>
            </w:r>
          </w:p>
        </w:tc>
        <w:tc>
          <w:tcPr>
            <w:tcW w:w="808" w:type="dxa"/>
            <w:tcBorders>
              <w:top w:val="nil"/>
              <w:left w:val="nil"/>
              <w:bottom w:val="single" w:sz="4" w:space="0" w:color="auto"/>
              <w:right w:val="single" w:sz="4" w:space="0" w:color="auto"/>
            </w:tcBorders>
            <w:shd w:val="clear" w:color="000000" w:fill="FFFF99"/>
            <w:noWrap/>
            <w:vAlign w:val="center"/>
            <w:hideMark/>
          </w:tcPr>
          <w:p w14:paraId="786860AB" w14:textId="77777777" w:rsidR="00061543" w:rsidRPr="00061543" w:rsidRDefault="00061543" w:rsidP="00061543">
            <w:pPr>
              <w:spacing w:after="0" w:line="240" w:lineRule="auto"/>
              <w:jc w:val="center"/>
              <w:rPr>
                <w:rFonts w:ascii="Tahoma" w:eastAsia="Times New Roman" w:hAnsi="Tahoma" w:cs="Tahoma"/>
                <w:sz w:val="18"/>
                <w:szCs w:val="18"/>
                <w:lang w:eastAsia="hr-HR"/>
              </w:rPr>
            </w:pPr>
            <w:r w:rsidRPr="00061543">
              <w:rPr>
                <w:rFonts w:ascii="Tahoma" w:eastAsia="Times New Roman" w:hAnsi="Tahoma" w:cs="Tahoma"/>
                <w:sz w:val="18"/>
                <w:szCs w:val="18"/>
                <w:lang w:eastAsia="hr-HR"/>
              </w:rPr>
              <w:t>3</w:t>
            </w:r>
          </w:p>
        </w:tc>
        <w:tc>
          <w:tcPr>
            <w:tcW w:w="468" w:type="dxa"/>
            <w:gridSpan w:val="2"/>
            <w:tcBorders>
              <w:top w:val="nil"/>
              <w:left w:val="nil"/>
              <w:bottom w:val="single" w:sz="4" w:space="0" w:color="auto"/>
              <w:right w:val="single" w:sz="4" w:space="0" w:color="auto"/>
            </w:tcBorders>
            <w:shd w:val="clear" w:color="000000" w:fill="FF9900"/>
            <w:noWrap/>
            <w:vAlign w:val="center"/>
            <w:hideMark/>
          </w:tcPr>
          <w:p w14:paraId="57518485" w14:textId="77777777" w:rsidR="00061543" w:rsidRPr="00061543" w:rsidRDefault="00061543" w:rsidP="00061543">
            <w:pPr>
              <w:spacing w:after="0" w:line="240" w:lineRule="auto"/>
              <w:jc w:val="right"/>
              <w:rPr>
                <w:rFonts w:ascii="Tahoma" w:eastAsia="Times New Roman" w:hAnsi="Tahoma" w:cs="Tahoma"/>
                <w:sz w:val="18"/>
                <w:szCs w:val="18"/>
                <w:lang w:eastAsia="hr-HR"/>
              </w:rPr>
            </w:pPr>
            <w:r w:rsidRPr="00061543">
              <w:rPr>
                <w:rFonts w:ascii="Tahoma" w:eastAsia="Times New Roman" w:hAnsi="Tahoma" w:cs="Tahoma"/>
                <w:sz w:val="18"/>
                <w:szCs w:val="18"/>
                <w:lang w:eastAsia="hr-HR"/>
              </w:rPr>
              <w:t>0</w:t>
            </w:r>
          </w:p>
        </w:tc>
        <w:tc>
          <w:tcPr>
            <w:tcW w:w="524" w:type="dxa"/>
            <w:tcBorders>
              <w:top w:val="nil"/>
              <w:left w:val="nil"/>
              <w:bottom w:val="single" w:sz="4" w:space="0" w:color="auto"/>
              <w:right w:val="single" w:sz="4" w:space="0" w:color="auto"/>
            </w:tcBorders>
            <w:shd w:val="clear" w:color="000000" w:fill="FF9900"/>
            <w:noWrap/>
            <w:vAlign w:val="center"/>
            <w:hideMark/>
          </w:tcPr>
          <w:p w14:paraId="6D55BAA8" w14:textId="77777777" w:rsidR="00061543" w:rsidRPr="00061543" w:rsidRDefault="00061543" w:rsidP="00061543">
            <w:pPr>
              <w:spacing w:after="0" w:line="240" w:lineRule="auto"/>
              <w:jc w:val="right"/>
              <w:rPr>
                <w:rFonts w:ascii="Tahoma" w:eastAsia="Times New Roman" w:hAnsi="Tahoma" w:cs="Tahoma"/>
                <w:sz w:val="18"/>
                <w:szCs w:val="18"/>
                <w:lang w:eastAsia="hr-HR"/>
              </w:rPr>
            </w:pPr>
            <w:r w:rsidRPr="00061543">
              <w:rPr>
                <w:rFonts w:ascii="Tahoma" w:eastAsia="Times New Roman" w:hAnsi="Tahoma" w:cs="Tahoma"/>
                <w:sz w:val="18"/>
                <w:szCs w:val="18"/>
                <w:lang w:eastAsia="hr-HR"/>
              </w:rPr>
              <w:t>3</w:t>
            </w:r>
          </w:p>
        </w:tc>
        <w:tc>
          <w:tcPr>
            <w:tcW w:w="468" w:type="dxa"/>
            <w:tcBorders>
              <w:top w:val="nil"/>
              <w:left w:val="nil"/>
              <w:bottom w:val="single" w:sz="4" w:space="0" w:color="auto"/>
              <w:right w:val="single" w:sz="4" w:space="0" w:color="auto"/>
            </w:tcBorders>
            <w:shd w:val="clear" w:color="000000" w:fill="FF9900"/>
            <w:noWrap/>
            <w:vAlign w:val="center"/>
            <w:hideMark/>
          </w:tcPr>
          <w:p w14:paraId="0CE69ECB" w14:textId="77777777" w:rsidR="00061543" w:rsidRPr="00061543" w:rsidRDefault="00061543" w:rsidP="00061543">
            <w:pPr>
              <w:spacing w:after="0" w:line="240" w:lineRule="auto"/>
              <w:jc w:val="right"/>
              <w:rPr>
                <w:rFonts w:ascii="Tahoma" w:eastAsia="Times New Roman" w:hAnsi="Tahoma" w:cs="Tahoma"/>
                <w:sz w:val="18"/>
                <w:szCs w:val="18"/>
                <w:lang w:eastAsia="hr-HR"/>
              </w:rPr>
            </w:pPr>
            <w:r w:rsidRPr="00061543">
              <w:rPr>
                <w:rFonts w:ascii="Tahoma" w:eastAsia="Times New Roman" w:hAnsi="Tahoma" w:cs="Tahoma"/>
                <w:sz w:val="18"/>
                <w:szCs w:val="18"/>
                <w:lang w:eastAsia="hr-HR"/>
              </w:rPr>
              <w:t>1</w:t>
            </w:r>
          </w:p>
        </w:tc>
        <w:tc>
          <w:tcPr>
            <w:tcW w:w="468" w:type="dxa"/>
            <w:tcBorders>
              <w:top w:val="nil"/>
              <w:left w:val="nil"/>
              <w:bottom w:val="single" w:sz="4" w:space="0" w:color="auto"/>
              <w:right w:val="single" w:sz="4" w:space="0" w:color="auto"/>
            </w:tcBorders>
            <w:shd w:val="clear" w:color="000000" w:fill="FFFF00"/>
            <w:vAlign w:val="center"/>
            <w:hideMark/>
          </w:tcPr>
          <w:p w14:paraId="06668A9F" w14:textId="77777777" w:rsidR="00061543" w:rsidRPr="00061543" w:rsidRDefault="00061543" w:rsidP="00061543">
            <w:pPr>
              <w:spacing w:after="0" w:line="240" w:lineRule="auto"/>
              <w:jc w:val="center"/>
              <w:rPr>
                <w:rFonts w:ascii="Tahoma" w:eastAsia="Times New Roman" w:hAnsi="Tahoma" w:cs="Tahoma"/>
                <w:sz w:val="18"/>
                <w:szCs w:val="18"/>
                <w:lang w:eastAsia="hr-HR"/>
              </w:rPr>
            </w:pPr>
            <w:r w:rsidRPr="00061543">
              <w:rPr>
                <w:rFonts w:ascii="Tahoma" w:eastAsia="Times New Roman" w:hAnsi="Tahoma" w:cs="Tahoma"/>
                <w:sz w:val="18"/>
                <w:szCs w:val="18"/>
                <w:lang w:eastAsia="hr-HR"/>
              </w:rPr>
              <w:t>4</w:t>
            </w:r>
          </w:p>
        </w:tc>
        <w:tc>
          <w:tcPr>
            <w:tcW w:w="560" w:type="dxa"/>
            <w:gridSpan w:val="2"/>
            <w:tcBorders>
              <w:top w:val="nil"/>
              <w:left w:val="nil"/>
              <w:bottom w:val="single" w:sz="4" w:space="0" w:color="auto"/>
              <w:right w:val="single" w:sz="4" w:space="0" w:color="auto"/>
            </w:tcBorders>
            <w:shd w:val="clear" w:color="000000" w:fill="FF9900"/>
            <w:vAlign w:val="center"/>
            <w:hideMark/>
          </w:tcPr>
          <w:p w14:paraId="26E0A412" w14:textId="77777777" w:rsidR="00061543" w:rsidRPr="00061543" w:rsidRDefault="00061543" w:rsidP="00061543">
            <w:pPr>
              <w:spacing w:after="0" w:line="240" w:lineRule="auto"/>
              <w:jc w:val="center"/>
              <w:rPr>
                <w:rFonts w:ascii="Tahoma" w:eastAsia="Times New Roman" w:hAnsi="Tahoma" w:cs="Tahoma"/>
                <w:sz w:val="18"/>
                <w:szCs w:val="18"/>
                <w:lang w:eastAsia="hr-HR"/>
              </w:rPr>
            </w:pPr>
            <w:r w:rsidRPr="00061543">
              <w:rPr>
                <w:rFonts w:ascii="Tahoma" w:eastAsia="Times New Roman" w:hAnsi="Tahoma" w:cs="Tahoma"/>
                <w:sz w:val="18"/>
                <w:szCs w:val="18"/>
                <w:lang w:eastAsia="hr-HR"/>
              </w:rPr>
              <w:t>33</w:t>
            </w:r>
          </w:p>
        </w:tc>
        <w:tc>
          <w:tcPr>
            <w:tcW w:w="905" w:type="dxa"/>
            <w:gridSpan w:val="2"/>
            <w:tcBorders>
              <w:top w:val="nil"/>
              <w:left w:val="nil"/>
              <w:bottom w:val="single" w:sz="4" w:space="0" w:color="auto"/>
              <w:right w:val="single" w:sz="4" w:space="0" w:color="auto"/>
            </w:tcBorders>
            <w:shd w:val="clear" w:color="000000" w:fill="FF9900"/>
            <w:noWrap/>
            <w:vAlign w:val="center"/>
            <w:hideMark/>
          </w:tcPr>
          <w:p w14:paraId="130303C2" w14:textId="77777777" w:rsidR="00061543" w:rsidRPr="00061543" w:rsidRDefault="00061543" w:rsidP="00061543">
            <w:pPr>
              <w:spacing w:after="0" w:line="240" w:lineRule="auto"/>
              <w:jc w:val="center"/>
              <w:rPr>
                <w:rFonts w:ascii="Tahoma" w:eastAsia="Times New Roman" w:hAnsi="Tahoma" w:cs="Tahoma"/>
                <w:sz w:val="18"/>
                <w:szCs w:val="18"/>
                <w:lang w:eastAsia="hr-HR"/>
              </w:rPr>
            </w:pPr>
            <w:r w:rsidRPr="00061543">
              <w:rPr>
                <w:rFonts w:ascii="Tahoma" w:eastAsia="Times New Roman" w:hAnsi="Tahoma" w:cs="Tahoma"/>
                <w:sz w:val="18"/>
                <w:szCs w:val="18"/>
                <w:lang w:eastAsia="hr-HR"/>
              </w:rPr>
              <w:t>4</w:t>
            </w:r>
          </w:p>
        </w:tc>
        <w:tc>
          <w:tcPr>
            <w:tcW w:w="498" w:type="dxa"/>
            <w:tcBorders>
              <w:top w:val="nil"/>
              <w:left w:val="nil"/>
              <w:bottom w:val="single" w:sz="4" w:space="0" w:color="auto"/>
              <w:right w:val="single" w:sz="4" w:space="0" w:color="auto"/>
            </w:tcBorders>
            <w:shd w:val="clear" w:color="000000" w:fill="FF9900"/>
            <w:noWrap/>
            <w:vAlign w:val="center"/>
            <w:hideMark/>
          </w:tcPr>
          <w:p w14:paraId="75B3EC4F" w14:textId="77777777" w:rsidR="00061543" w:rsidRPr="00061543" w:rsidRDefault="00061543" w:rsidP="00061543">
            <w:pPr>
              <w:spacing w:after="0" w:line="240" w:lineRule="auto"/>
              <w:jc w:val="center"/>
              <w:rPr>
                <w:rFonts w:ascii="Tahoma" w:eastAsia="Times New Roman" w:hAnsi="Tahoma" w:cs="Tahoma"/>
                <w:sz w:val="18"/>
                <w:szCs w:val="18"/>
                <w:lang w:eastAsia="hr-HR"/>
              </w:rPr>
            </w:pPr>
            <w:r w:rsidRPr="00061543">
              <w:rPr>
                <w:rFonts w:ascii="Tahoma" w:eastAsia="Times New Roman" w:hAnsi="Tahoma" w:cs="Tahoma"/>
                <w:sz w:val="18"/>
                <w:szCs w:val="18"/>
                <w:lang w:eastAsia="hr-HR"/>
              </w:rPr>
              <w:t>0</w:t>
            </w:r>
          </w:p>
        </w:tc>
        <w:tc>
          <w:tcPr>
            <w:tcW w:w="1016" w:type="dxa"/>
            <w:gridSpan w:val="2"/>
            <w:tcBorders>
              <w:top w:val="nil"/>
              <w:left w:val="nil"/>
              <w:bottom w:val="single" w:sz="4" w:space="0" w:color="auto"/>
              <w:right w:val="single" w:sz="4" w:space="0" w:color="auto"/>
            </w:tcBorders>
            <w:shd w:val="clear" w:color="000000" w:fill="FF9900"/>
            <w:noWrap/>
            <w:vAlign w:val="center"/>
            <w:hideMark/>
          </w:tcPr>
          <w:p w14:paraId="127D93CE" w14:textId="77777777" w:rsidR="00061543" w:rsidRPr="00061543" w:rsidRDefault="00061543" w:rsidP="00061543">
            <w:pPr>
              <w:spacing w:after="0" w:line="240" w:lineRule="auto"/>
              <w:jc w:val="center"/>
              <w:rPr>
                <w:rFonts w:ascii="Tahoma" w:eastAsia="Times New Roman" w:hAnsi="Tahoma" w:cs="Tahoma"/>
                <w:sz w:val="18"/>
                <w:szCs w:val="18"/>
                <w:lang w:eastAsia="hr-HR"/>
              </w:rPr>
            </w:pPr>
            <w:r w:rsidRPr="00061543">
              <w:rPr>
                <w:rFonts w:ascii="Tahoma" w:eastAsia="Times New Roman" w:hAnsi="Tahoma" w:cs="Tahoma"/>
                <w:sz w:val="18"/>
                <w:szCs w:val="18"/>
                <w:lang w:eastAsia="hr-HR"/>
              </w:rPr>
              <w:t>4</w:t>
            </w:r>
          </w:p>
        </w:tc>
        <w:tc>
          <w:tcPr>
            <w:tcW w:w="505" w:type="dxa"/>
            <w:gridSpan w:val="2"/>
            <w:tcBorders>
              <w:top w:val="nil"/>
              <w:left w:val="nil"/>
              <w:bottom w:val="single" w:sz="4" w:space="0" w:color="auto"/>
              <w:right w:val="single" w:sz="4" w:space="0" w:color="auto"/>
            </w:tcBorders>
            <w:shd w:val="clear" w:color="000000" w:fill="CCFFFF"/>
            <w:noWrap/>
            <w:vAlign w:val="center"/>
            <w:hideMark/>
          </w:tcPr>
          <w:p w14:paraId="769BF81C" w14:textId="77777777" w:rsidR="00061543" w:rsidRPr="00061543" w:rsidRDefault="00061543" w:rsidP="00061543">
            <w:pPr>
              <w:spacing w:after="0" w:line="240" w:lineRule="auto"/>
              <w:jc w:val="right"/>
              <w:rPr>
                <w:rFonts w:ascii="Tahoma" w:eastAsia="Times New Roman" w:hAnsi="Tahoma" w:cs="Tahoma"/>
                <w:sz w:val="18"/>
                <w:szCs w:val="18"/>
                <w:lang w:eastAsia="hr-HR"/>
              </w:rPr>
            </w:pPr>
            <w:r w:rsidRPr="00061543">
              <w:rPr>
                <w:rFonts w:ascii="Tahoma" w:eastAsia="Times New Roman" w:hAnsi="Tahoma" w:cs="Tahoma"/>
                <w:sz w:val="18"/>
                <w:szCs w:val="18"/>
                <w:lang w:eastAsia="hr-HR"/>
              </w:rPr>
              <w:t>0</w:t>
            </w:r>
          </w:p>
        </w:tc>
        <w:tc>
          <w:tcPr>
            <w:tcW w:w="468" w:type="dxa"/>
            <w:tcBorders>
              <w:top w:val="nil"/>
              <w:left w:val="nil"/>
              <w:bottom w:val="single" w:sz="4" w:space="0" w:color="auto"/>
              <w:right w:val="single" w:sz="4" w:space="0" w:color="auto"/>
            </w:tcBorders>
            <w:shd w:val="clear" w:color="000000" w:fill="CCFFFF"/>
            <w:noWrap/>
            <w:vAlign w:val="center"/>
            <w:hideMark/>
          </w:tcPr>
          <w:p w14:paraId="588A45CD" w14:textId="77777777" w:rsidR="00061543" w:rsidRPr="00061543" w:rsidRDefault="00061543" w:rsidP="00061543">
            <w:pPr>
              <w:spacing w:after="0" w:line="240" w:lineRule="auto"/>
              <w:jc w:val="right"/>
              <w:rPr>
                <w:rFonts w:ascii="Tahoma" w:eastAsia="Times New Roman" w:hAnsi="Tahoma" w:cs="Tahoma"/>
                <w:sz w:val="18"/>
                <w:szCs w:val="18"/>
                <w:lang w:eastAsia="hr-HR"/>
              </w:rPr>
            </w:pPr>
            <w:r w:rsidRPr="00061543">
              <w:rPr>
                <w:rFonts w:ascii="Tahoma" w:eastAsia="Times New Roman" w:hAnsi="Tahoma" w:cs="Tahoma"/>
                <w:sz w:val="18"/>
                <w:szCs w:val="18"/>
                <w:lang w:eastAsia="hr-HR"/>
              </w:rPr>
              <w:t>0</w:t>
            </w:r>
          </w:p>
        </w:tc>
        <w:tc>
          <w:tcPr>
            <w:tcW w:w="336" w:type="dxa"/>
            <w:tcBorders>
              <w:top w:val="nil"/>
              <w:left w:val="nil"/>
              <w:bottom w:val="single" w:sz="4" w:space="0" w:color="auto"/>
              <w:right w:val="single" w:sz="4" w:space="0" w:color="auto"/>
            </w:tcBorders>
            <w:shd w:val="clear" w:color="000000" w:fill="CCFFFF"/>
            <w:noWrap/>
            <w:vAlign w:val="center"/>
            <w:hideMark/>
          </w:tcPr>
          <w:p w14:paraId="4BA4BE96" w14:textId="77777777" w:rsidR="00061543" w:rsidRPr="00061543" w:rsidRDefault="00061543" w:rsidP="00061543">
            <w:pPr>
              <w:spacing w:after="0" w:line="240" w:lineRule="auto"/>
              <w:jc w:val="right"/>
              <w:rPr>
                <w:rFonts w:ascii="Tahoma" w:eastAsia="Times New Roman" w:hAnsi="Tahoma" w:cs="Tahoma"/>
                <w:sz w:val="18"/>
                <w:szCs w:val="18"/>
                <w:lang w:eastAsia="hr-HR"/>
              </w:rPr>
            </w:pPr>
            <w:r w:rsidRPr="00061543">
              <w:rPr>
                <w:rFonts w:ascii="Tahoma" w:eastAsia="Times New Roman" w:hAnsi="Tahoma" w:cs="Tahoma"/>
                <w:sz w:val="18"/>
                <w:szCs w:val="18"/>
                <w:lang w:eastAsia="hr-HR"/>
              </w:rPr>
              <w:t>0</w:t>
            </w:r>
          </w:p>
        </w:tc>
        <w:tc>
          <w:tcPr>
            <w:tcW w:w="426" w:type="dxa"/>
            <w:tcBorders>
              <w:top w:val="nil"/>
              <w:left w:val="nil"/>
              <w:bottom w:val="single" w:sz="4" w:space="0" w:color="auto"/>
              <w:right w:val="single" w:sz="4" w:space="0" w:color="auto"/>
            </w:tcBorders>
            <w:shd w:val="clear" w:color="000000" w:fill="33CCCC"/>
            <w:noWrap/>
            <w:vAlign w:val="center"/>
            <w:hideMark/>
          </w:tcPr>
          <w:p w14:paraId="0A3056AA" w14:textId="77777777" w:rsidR="00061543" w:rsidRPr="00061543" w:rsidRDefault="00061543" w:rsidP="00061543">
            <w:pPr>
              <w:spacing w:after="0" w:line="240" w:lineRule="auto"/>
              <w:jc w:val="right"/>
              <w:rPr>
                <w:rFonts w:ascii="Tahoma" w:eastAsia="Times New Roman" w:hAnsi="Tahoma" w:cs="Tahoma"/>
                <w:sz w:val="18"/>
                <w:szCs w:val="18"/>
                <w:lang w:eastAsia="hr-HR"/>
              </w:rPr>
            </w:pPr>
            <w:r w:rsidRPr="00061543">
              <w:rPr>
                <w:rFonts w:ascii="Tahoma" w:eastAsia="Times New Roman" w:hAnsi="Tahoma" w:cs="Tahoma"/>
                <w:sz w:val="18"/>
                <w:szCs w:val="18"/>
                <w:lang w:eastAsia="hr-HR"/>
              </w:rPr>
              <w:t>0</w:t>
            </w:r>
          </w:p>
        </w:tc>
        <w:tc>
          <w:tcPr>
            <w:tcW w:w="473" w:type="dxa"/>
            <w:tcBorders>
              <w:top w:val="nil"/>
              <w:left w:val="nil"/>
              <w:bottom w:val="single" w:sz="4" w:space="0" w:color="auto"/>
              <w:right w:val="single" w:sz="8" w:space="0" w:color="auto"/>
            </w:tcBorders>
            <w:shd w:val="clear" w:color="000000" w:fill="33CCCC"/>
            <w:noWrap/>
            <w:vAlign w:val="center"/>
            <w:hideMark/>
          </w:tcPr>
          <w:p w14:paraId="7B7966E2" w14:textId="77777777" w:rsidR="00061543" w:rsidRPr="00061543" w:rsidRDefault="00061543" w:rsidP="00061543">
            <w:pPr>
              <w:spacing w:after="0" w:line="240" w:lineRule="auto"/>
              <w:jc w:val="right"/>
              <w:rPr>
                <w:rFonts w:ascii="Tahoma" w:eastAsia="Times New Roman" w:hAnsi="Tahoma" w:cs="Tahoma"/>
                <w:sz w:val="18"/>
                <w:szCs w:val="18"/>
                <w:lang w:eastAsia="hr-HR"/>
              </w:rPr>
            </w:pPr>
            <w:r w:rsidRPr="00061543">
              <w:rPr>
                <w:rFonts w:ascii="Tahoma" w:eastAsia="Times New Roman" w:hAnsi="Tahoma" w:cs="Tahoma"/>
                <w:sz w:val="18"/>
                <w:szCs w:val="18"/>
                <w:lang w:eastAsia="hr-HR"/>
              </w:rPr>
              <w:t>4</w:t>
            </w:r>
          </w:p>
        </w:tc>
        <w:tc>
          <w:tcPr>
            <w:tcW w:w="236" w:type="dxa"/>
            <w:gridSpan w:val="3"/>
            <w:vAlign w:val="center"/>
            <w:hideMark/>
          </w:tcPr>
          <w:p w14:paraId="7B6CF5F7" w14:textId="77777777" w:rsidR="00061543" w:rsidRPr="00061543" w:rsidRDefault="00061543" w:rsidP="00061543">
            <w:pPr>
              <w:spacing w:after="0" w:line="240" w:lineRule="auto"/>
              <w:rPr>
                <w:rFonts w:ascii="Times New Roman" w:eastAsia="Times New Roman" w:hAnsi="Times New Roman" w:cs="Times New Roman"/>
                <w:sz w:val="18"/>
                <w:szCs w:val="18"/>
                <w:lang w:eastAsia="hr-HR"/>
              </w:rPr>
            </w:pPr>
          </w:p>
        </w:tc>
      </w:tr>
      <w:tr w:rsidR="00061543" w:rsidRPr="00061543" w14:paraId="55725EE7" w14:textId="77777777" w:rsidTr="00061543">
        <w:trPr>
          <w:gridAfter w:val="2"/>
          <w:wAfter w:w="101" w:type="dxa"/>
          <w:trHeight w:val="420"/>
        </w:trPr>
        <w:tc>
          <w:tcPr>
            <w:tcW w:w="1576" w:type="dxa"/>
            <w:tcBorders>
              <w:top w:val="single" w:sz="4" w:space="0" w:color="auto"/>
              <w:left w:val="single" w:sz="8" w:space="0" w:color="auto"/>
              <w:bottom w:val="single" w:sz="4" w:space="0" w:color="auto"/>
              <w:right w:val="single" w:sz="4" w:space="0" w:color="auto"/>
            </w:tcBorders>
            <w:shd w:val="clear" w:color="000000" w:fill="CCFFCC"/>
            <w:vAlign w:val="center"/>
            <w:hideMark/>
          </w:tcPr>
          <w:p w14:paraId="0E7D0817" w14:textId="77777777" w:rsidR="00061543" w:rsidRPr="00061543" w:rsidRDefault="00061543" w:rsidP="00061543">
            <w:pPr>
              <w:spacing w:after="0" w:line="240" w:lineRule="auto"/>
              <w:rPr>
                <w:rFonts w:ascii="Tahoma" w:eastAsia="Times New Roman" w:hAnsi="Tahoma" w:cs="Tahoma"/>
                <w:sz w:val="18"/>
                <w:szCs w:val="18"/>
                <w:lang w:eastAsia="hr-HR"/>
              </w:rPr>
            </w:pPr>
            <w:r w:rsidRPr="00061543">
              <w:rPr>
                <w:rFonts w:ascii="Tahoma" w:eastAsia="Times New Roman" w:hAnsi="Tahoma" w:cs="Tahoma"/>
                <w:sz w:val="18"/>
                <w:szCs w:val="18"/>
                <w:lang w:eastAsia="hr-HR"/>
              </w:rPr>
              <w:t>Bračni ili obiteljski status</w:t>
            </w:r>
          </w:p>
        </w:tc>
        <w:tc>
          <w:tcPr>
            <w:tcW w:w="560" w:type="dxa"/>
            <w:tcBorders>
              <w:top w:val="nil"/>
              <w:left w:val="nil"/>
              <w:bottom w:val="single" w:sz="4" w:space="0" w:color="auto"/>
              <w:right w:val="single" w:sz="4" w:space="0" w:color="auto"/>
            </w:tcBorders>
            <w:shd w:val="clear" w:color="000000" w:fill="FFCC99"/>
            <w:noWrap/>
            <w:vAlign w:val="center"/>
            <w:hideMark/>
          </w:tcPr>
          <w:p w14:paraId="6DAC1326" w14:textId="77777777" w:rsidR="00061543" w:rsidRPr="00061543" w:rsidRDefault="00061543" w:rsidP="00061543">
            <w:pPr>
              <w:spacing w:after="0" w:line="240" w:lineRule="auto"/>
              <w:jc w:val="center"/>
              <w:rPr>
                <w:rFonts w:ascii="Tahoma" w:eastAsia="Times New Roman" w:hAnsi="Tahoma" w:cs="Tahoma"/>
                <w:sz w:val="18"/>
                <w:szCs w:val="18"/>
                <w:lang w:eastAsia="hr-HR"/>
              </w:rPr>
            </w:pPr>
            <w:r w:rsidRPr="00061543">
              <w:rPr>
                <w:rFonts w:ascii="Tahoma" w:eastAsia="Times New Roman" w:hAnsi="Tahoma" w:cs="Tahoma"/>
                <w:sz w:val="18"/>
                <w:szCs w:val="18"/>
                <w:lang w:eastAsia="hr-HR"/>
              </w:rPr>
              <w:t>8</w:t>
            </w:r>
          </w:p>
        </w:tc>
        <w:tc>
          <w:tcPr>
            <w:tcW w:w="446" w:type="dxa"/>
            <w:tcBorders>
              <w:top w:val="nil"/>
              <w:left w:val="nil"/>
              <w:bottom w:val="single" w:sz="4" w:space="0" w:color="auto"/>
              <w:right w:val="single" w:sz="4" w:space="0" w:color="auto"/>
            </w:tcBorders>
            <w:shd w:val="clear" w:color="000000" w:fill="FFFF00"/>
            <w:noWrap/>
            <w:vAlign w:val="center"/>
            <w:hideMark/>
          </w:tcPr>
          <w:p w14:paraId="7D678CDD" w14:textId="77777777" w:rsidR="00061543" w:rsidRPr="00061543" w:rsidRDefault="00061543" w:rsidP="00061543">
            <w:pPr>
              <w:spacing w:after="0" w:line="240" w:lineRule="auto"/>
              <w:jc w:val="center"/>
              <w:rPr>
                <w:rFonts w:ascii="Tahoma" w:eastAsia="Times New Roman" w:hAnsi="Tahoma" w:cs="Tahoma"/>
                <w:sz w:val="18"/>
                <w:szCs w:val="18"/>
                <w:lang w:eastAsia="hr-HR"/>
              </w:rPr>
            </w:pPr>
            <w:r w:rsidRPr="00061543">
              <w:rPr>
                <w:rFonts w:ascii="Tahoma" w:eastAsia="Times New Roman" w:hAnsi="Tahoma" w:cs="Tahoma"/>
                <w:sz w:val="18"/>
                <w:szCs w:val="18"/>
                <w:lang w:eastAsia="hr-HR"/>
              </w:rPr>
              <w:t>3</w:t>
            </w:r>
          </w:p>
        </w:tc>
        <w:tc>
          <w:tcPr>
            <w:tcW w:w="787" w:type="dxa"/>
            <w:tcBorders>
              <w:top w:val="nil"/>
              <w:left w:val="nil"/>
              <w:bottom w:val="single" w:sz="4" w:space="0" w:color="auto"/>
              <w:right w:val="single" w:sz="4" w:space="0" w:color="auto"/>
            </w:tcBorders>
            <w:shd w:val="clear" w:color="000000" w:fill="CCFFFF"/>
            <w:noWrap/>
            <w:vAlign w:val="center"/>
            <w:hideMark/>
          </w:tcPr>
          <w:p w14:paraId="0894086E" w14:textId="77777777" w:rsidR="00061543" w:rsidRPr="00061543" w:rsidRDefault="00061543" w:rsidP="00061543">
            <w:pPr>
              <w:spacing w:after="0" w:line="240" w:lineRule="auto"/>
              <w:jc w:val="right"/>
              <w:rPr>
                <w:rFonts w:ascii="Tahoma" w:eastAsia="Times New Roman" w:hAnsi="Tahoma" w:cs="Tahoma"/>
                <w:sz w:val="18"/>
                <w:szCs w:val="18"/>
                <w:lang w:eastAsia="hr-HR"/>
              </w:rPr>
            </w:pPr>
            <w:r w:rsidRPr="00061543">
              <w:rPr>
                <w:rFonts w:ascii="Tahoma" w:eastAsia="Times New Roman" w:hAnsi="Tahoma" w:cs="Tahoma"/>
                <w:sz w:val="18"/>
                <w:szCs w:val="18"/>
                <w:lang w:eastAsia="hr-HR"/>
              </w:rPr>
              <w:t>2</w:t>
            </w:r>
          </w:p>
        </w:tc>
        <w:tc>
          <w:tcPr>
            <w:tcW w:w="581" w:type="dxa"/>
            <w:tcBorders>
              <w:top w:val="nil"/>
              <w:left w:val="nil"/>
              <w:bottom w:val="single" w:sz="4" w:space="0" w:color="auto"/>
              <w:right w:val="single" w:sz="4" w:space="0" w:color="auto"/>
            </w:tcBorders>
            <w:shd w:val="clear" w:color="000000" w:fill="CCFFFF"/>
            <w:noWrap/>
            <w:vAlign w:val="center"/>
            <w:hideMark/>
          </w:tcPr>
          <w:p w14:paraId="3214071A" w14:textId="77777777" w:rsidR="00061543" w:rsidRPr="00061543" w:rsidRDefault="00061543" w:rsidP="00061543">
            <w:pPr>
              <w:spacing w:after="0" w:line="240" w:lineRule="auto"/>
              <w:jc w:val="right"/>
              <w:rPr>
                <w:rFonts w:ascii="Tahoma" w:eastAsia="Times New Roman" w:hAnsi="Tahoma" w:cs="Tahoma"/>
                <w:sz w:val="18"/>
                <w:szCs w:val="18"/>
                <w:lang w:eastAsia="hr-HR"/>
              </w:rPr>
            </w:pPr>
            <w:r w:rsidRPr="00061543">
              <w:rPr>
                <w:rFonts w:ascii="Tahoma" w:eastAsia="Times New Roman" w:hAnsi="Tahoma" w:cs="Tahoma"/>
                <w:sz w:val="18"/>
                <w:szCs w:val="18"/>
                <w:lang w:eastAsia="hr-HR"/>
              </w:rPr>
              <w:t>1</w:t>
            </w:r>
          </w:p>
        </w:tc>
        <w:tc>
          <w:tcPr>
            <w:tcW w:w="446" w:type="dxa"/>
            <w:tcBorders>
              <w:top w:val="nil"/>
              <w:left w:val="nil"/>
              <w:bottom w:val="single" w:sz="4" w:space="0" w:color="auto"/>
              <w:right w:val="single" w:sz="4" w:space="0" w:color="auto"/>
            </w:tcBorders>
            <w:shd w:val="clear" w:color="000000" w:fill="FFFF99"/>
            <w:noWrap/>
            <w:vAlign w:val="center"/>
            <w:hideMark/>
          </w:tcPr>
          <w:p w14:paraId="4561518D" w14:textId="77777777" w:rsidR="00061543" w:rsidRPr="00061543" w:rsidRDefault="00061543" w:rsidP="00061543">
            <w:pPr>
              <w:spacing w:after="0" w:line="240" w:lineRule="auto"/>
              <w:jc w:val="center"/>
              <w:rPr>
                <w:rFonts w:ascii="Tahoma" w:eastAsia="Times New Roman" w:hAnsi="Tahoma" w:cs="Tahoma"/>
                <w:sz w:val="18"/>
                <w:szCs w:val="18"/>
                <w:lang w:eastAsia="hr-HR"/>
              </w:rPr>
            </w:pPr>
            <w:r w:rsidRPr="00061543">
              <w:rPr>
                <w:rFonts w:ascii="Tahoma" w:eastAsia="Times New Roman" w:hAnsi="Tahoma" w:cs="Tahoma"/>
                <w:sz w:val="18"/>
                <w:szCs w:val="18"/>
                <w:lang w:eastAsia="hr-HR"/>
              </w:rPr>
              <w:t>1</w:t>
            </w:r>
          </w:p>
        </w:tc>
        <w:tc>
          <w:tcPr>
            <w:tcW w:w="697" w:type="dxa"/>
            <w:tcBorders>
              <w:top w:val="nil"/>
              <w:left w:val="nil"/>
              <w:bottom w:val="single" w:sz="4" w:space="0" w:color="auto"/>
              <w:right w:val="single" w:sz="4" w:space="0" w:color="auto"/>
            </w:tcBorders>
            <w:shd w:val="clear" w:color="000000" w:fill="FFFF99"/>
            <w:noWrap/>
            <w:vAlign w:val="center"/>
            <w:hideMark/>
          </w:tcPr>
          <w:p w14:paraId="418277A6" w14:textId="77777777" w:rsidR="00061543" w:rsidRPr="00061543" w:rsidRDefault="00061543" w:rsidP="00061543">
            <w:pPr>
              <w:spacing w:after="0" w:line="240" w:lineRule="auto"/>
              <w:jc w:val="center"/>
              <w:rPr>
                <w:rFonts w:ascii="Tahoma" w:eastAsia="Times New Roman" w:hAnsi="Tahoma" w:cs="Tahoma"/>
                <w:sz w:val="18"/>
                <w:szCs w:val="18"/>
                <w:lang w:eastAsia="hr-HR"/>
              </w:rPr>
            </w:pPr>
            <w:r w:rsidRPr="00061543">
              <w:rPr>
                <w:rFonts w:ascii="Tahoma" w:eastAsia="Times New Roman" w:hAnsi="Tahoma" w:cs="Tahoma"/>
                <w:sz w:val="18"/>
                <w:szCs w:val="18"/>
                <w:lang w:eastAsia="hr-HR"/>
              </w:rPr>
              <w:t>3</w:t>
            </w:r>
          </w:p>
        </w:tc>
        <w:tc>
          <w:tcPr>
            <w:tcW w:w="446" w:type="dxa"/>
            <w:tcBorders>
              <w:top w:val="nil"/>
              <w:left w:val="nil"/>
              <w:bottom w:val="single" w:sz="4" w:space="0" w:color="auto"/>
              <w:right w:val="single" w:sz="4" w:space="0" w:color="auto"/>
            </w:tcBorders>
            <w:shd w:val="clear" w:color="000000" w:fill="FFFF99"/>
            <w:noWrap/>
            <w:vAlign w:val="center"/>
            <w:hideMark/>
          </w:tcPr>
          <w:p w14:paraId="4534E496" w14:textId="77777777" w:rsidR="00061543" w:rsidRPr="00061543" w:rsidRDefault="00061543" w:rsidP="00061543">
            <w:pPr>
              <w:spacing w:after="0" w:line="240" w:lineRule="auto"/>
              <w:jc w:val="center"/>
              <w:rPr>
                <w:rFonts w:ascii="Tahoma" w:eastAsia="Times New Roman" w:hAnsi="Tahoma" w:cs="Tahoma"/>
                <w:sz w:val="18"/>
                <w:szCs w:val="18"/>
                <w:lang w:eastAsia="hr-HR"/>
              </w:rPr>
            </w:pPr>
            <w:r w:rsidRPr="00061543">
              <w:rPr>
                <w:rFonts w:ascii="Tahoma" w:eastAsia="Times New Roman" w:hAnsi="Tahoma" w:cs="Tahoma"/>
                <w:sz w:val="18"/>
                <w:szCs w:val="18"/>
                <w:lang w:eastAsia="hr-HR"/>
              </w:rPr>
              <w:t>2</w:t>
            </w:r>
          </w:p>
        </w:tc>
        <w:tc>
          <w:tcPr>
            <w:tcW w:w="567" w:type="dxa"/>
            <w:tcBorders>
              <w:top w:val="nil"/>
              <w:left w:val="nil"/>
              <w:bottom w:val="single" w:sz="4" w:space="0" w:color="auto"/>
              <w:right w:val="single" w:sz="4" w:space="0" w:color="auto"/>
            </w:tcBorders>
            <w:shd w:val="clear" w:color="000000" w:fill="FFFF99"/>
            <w:noWrap/>
            <w:vAlign w:val="center"/>
            <w:hideMark/>
          </w:tcPr>
          <w:p w14:paraId="19321AB2" w14:textId="77777777" w:rsidR="00061543" w:rsidRPr="00061543" w:rsidRDefault="00061543" w:rsidP="00061543">
            <w:pPr>
              <w:spacing w:after="0" w:line="240" w:lineRule="auto"/>
              <w:jc w:val="center"/>
              <w:rPr>
                <w:rFonts w:ascii="Tahoma" w:eastAsia="Times New Roman" w:hAnsi="Tahoma" w:cs="Tahoma"/>
                <w:sz w:val="18"/>
                <w:szCs w:val="18"/>
                <w:lang w:eastAsia="hr-HR"/>
              </w:rPr>
            </w:pPr>
            <w:r w:rsidRPr="00061543">
              <w:rPr>
                <w:rFonts w:ascii="Tahoma" w:eastAsia="Times New Roman" w:hAnsi="Tahoma" w:cs="Tahoma"/>
                <w:sz w:val="18"/>
                <w:szCs w:val="18"/>
                <w:lang w:eastAsia="hr-HR"/>
              </w:rPr>
              <w:t>0</w:t>
            </w:r>
          </w:p>
        </w:tc>
        <w:tc>
          <w:tcPr>
            <w:tcW w:w="468" w:type="dxa"/>
            <w:tcBorders>
              <w:top w:val="nil"/>
              <w:left w:val="nil"/>
              <w:bottom w:val="single" w:sz="4" w:space="0" w:color="auto"/>
              <w:right w:val="single" w:sz="4" w:space="0" w:color="auto"/>
            </w:tcBorders>
            <w:shd w:val="clear" w:color="000000" w:fill="FFFF99"/>
            <w:noWrap/>
            <w:vAlign w:val="center"/>
            <w:hideMark/>
          </w:tcPr>
          <w:p w14:paraId="3236EE17" w14:textId="77777777" w:rsidR="00061543" w:rsidRPr="00061543" w:rsidRDefault="00061543" w:rsidP="00061543">
            <w:pPr>
              <w:spacing w:after="0" w:line="240" w:lineRule="auto"/>
              <w:jc w:val="center"/>
              <w:rPr>
                <w:rFonts w:ascii="Tahoma" w:eastAsia="Times New Roman" w:hAnsi="Tahoma" w:cs="Tahoma"/>
                <w:sz w:val="18"/>
                <w:szCs w:val="18"/>
                <w:lang w:eastAsia="hr-HR"/>
              </w:rPr>
            </w:pPr>
            <w:r w:rsidRPr="00061543">
              <w:rPr>
                <w:rFonts w:ascii="Tahoma" w:eastAsia="Times New Roman" w:hAnsi="Tahoma" w:cs="Tahoma"/>
                <w:sz w:val="18"/>
                <w:szCs w:val="18"/>
                <w:lang w:eastAsia="hr-HR"/>
              </w:rPr>
              <w:t>0</w:t>
            </w:r>
          </w:p>
        </w:tc>
        <w:tc>
          <w:tcPr>
            <w:tcW w:w="808" w:type="dxa"/>
            <w:tcBorders>
              <w:top w:val="nil"/>
              <w:left w:val="nil"/>
              <w:bottom w:val="single" w:sz="4" w:space="0" w:color="auto"/>
              <w:right w:val="single" w:sz="4" w:space="0" w:color="auto"/>
            </w:tcBorders>
            <w:shd w:val="clear" w:color="000000" w:fill="FFFF99"/>
            <w:noWrap/>
            <w:vAlign w:val="center"/>
            <w:hideMark/>
          </w:tcPr>
          <w:p w14:paraId="0058B084" w14:textId="77777777" w:rsidR="00061543" w:rsidRPr="00061543" w:rsidRDefault="00061543" w:rsidP="00061543">
            <w:pPr>
              <w:spacing w:after="0" w:line="240" w:lineRule="auto"/>
              <w:jc w:val="center"/>
              <w:rPr>
                <w:rFonts w:ascii="Tahoma" w:eastAsia="Times New Roman" w:hAnsi="Tahoma" w:cs="Tahoma"/>
                <w:sz w:val="18"/>
                <w:szCs w:val="18"/>
                <w:lang w:eastAsia="hr-HR"/>
              </w:rPr>
            </w:pPr>
            <w:r w:rsidRPr="00061543">
              <w:rPr>
                <w:rFonts w:ascii="Tahoma" w:eastAsia="Times New Roman" w:hAnsi="Tahoma" w:cs="Tahoma"/>
                <w:sz w:val="18"/>
                <w:szCs w:val="18"/>
                <w:lang w:eastAsia="hr-HR"/>
              </w:rPr>
              <w:t>0</w:t>
            </w:r>
          </w:p>
        </w:tc>
        <w:tc>
          <w:tcPr>
            <w:tcW w:w="468" w:type="dxa"/>
            <w:gridSpan w:val="2"/>
            <w:tcBorders>
              <w:top w:val="nil"/>
              <w:left w:val="nil"/>
              <w:bottom w:val="single" w:sz="4" w:space="0" w:color="auto"/>
              <w:right w:val="single" w:sz="4" w:space="0" w:color="auto"/>
            </w:tcBorders>
            <w:shd w:val="clear" w:color="000000" w:fill="FF9900"/>
            <w:noWrap/>
            <w:vAlign w:val="center"/>
            <w:hideMark/>
          </w:tcPr>
          <w:p w14:paraId="6578685B" w14:textId="77777777" w:rsidR="00061543" w:rsidRPr="00061543" w:rsidRDefault="00061543" w:rsidP="00061543">
            <w:pPr>
              <w:spacing w:after="0" w:line="240" w:lineRule="auto"/>
              <w:jc w:val="right"/>
              <w:rPr>
                <w:rFonts w:ascii="Tahoma" w:eastAsia="Times New Roman" w:hAnsi="Tahoma" w:cs="Tahoma"/>
                <w:sz w:val="18"/>
                <w:szCs w:val="18"/>
                <w:lang w:eastAsia="hr-HR"/>
              </w:rPr>
            </w:pPr>
            <w:r w:rsidRPr="00061543">
              <w:rPr>
                <w:rFonts w:ascii="Tahoma" w:eastAsia="Times New Roman" w:hAnsi="Tahoma" w:cs="Tahoma"/>
                <w:sz w:val="18"/>
                <w:szCs w:val="18"/>
                <w:lang w:eastAsia="hr-HR"/>
              </w:rPr>
              <w:t>1</w:t>
            </w:r>
          </w:p>
        </w:tc>
        <w:tc>
          <w:tcPr>
            <w:tcW w:w="524" w:type="dxa"/>
            <w:tcBorders>
              <w:top w:val="nil"/>
              <w:left w:val="nil"/>
              <w:bottom w:val="single" w:sz="4" w:space="0" w:color="auto"/>
              <w:right w:val="single" w:sz="4" w:space="0" w:color="auto"/>
            </w:tcBorders>
            <w:shd w:val="clear" w:color="000000" w:fill="FF9900"/>
            <w:noWrap/>
            <w:vAlign w:val="center"/>
            <w:hideMark/>
          </w:tcPr>
          <w:p w14:paraId="574851EF" w14:textId="77777777" w:rsidR="00061543" w:rsidRPr="00061543" w:rsidRDefault="00061543" w:rsidP="00061543">
            <w:pPr>
              <w:spacing w:after="0" w:line="240" w:lineRule="auto"/>
              <w:jc w:val="right"/>
              <w:rPr>
                <w:rFonts w:ascii="Tahoma" w:eastAsia="Times New Roman" w:hAnsi="Tahoma" w:cs="Tahoma"/>
                <w:sz w:val="18"/>
                <w:szCs w:val="18"/>
                <w:lang w:eastAsia="hr-HR"/>
              </w:rPr>
            </w:pPr>
            <w:r w:rsidRPr="00061543">
              <w:rPr>
                <w:rFonts w:ascii="Tahoma" w:eastAsia="Times New Roman" w:hAnsi="Tahoma" w:cs="Tahoma"/>
                <w:sz w:val="18"/>
                <w:szCs w:val="18"/>
                <w:lang w:eastAsia="hr-HR"/>
              </w:rPr>
              <w:t>1</w:t>
            </w:r>
          </w:p>
        </w:tc>
        <w:tc>
          <w:tcPr>
            <w:tcW w:w="468" w:type="dxa"/>
            <w:tcBorders>
              <w:top w:val="nil"/>
              <w:left w:val="nil"/>
              <w:bottom w:val="single" w:sz="4" w:space="0" w:color="auto"/>
              <w:right w:val="single" w:sz="4" w:space="0" w:color="auto"/>
            </w:tcBorders>
            <w:shd w:val="clear" w:color="000000" w:fill="FF9900"/>
            <w:noWrap/>
            <w:vAlign w:val="center"/>
            <w:hideMark/>
          </w:tcPr>
          <w:p w14:paraId="0C7C351D" w14:textId="77777777" w:rsidR="00061543" w:rsidRPr="00061543" w:rsidRDefault="00061543" w:rsidP="00061543">
            <w:pPr>
              <w:spacing w:after="0" w:line="240" w:lineRule="auto"/>
              <w:jc w:val="right"/>
              <w:rPr>
                <w:rFonts w:ascii="Tahoma" w:eastAsia="Times New Roman" w:hAnsi="Tahoma" w:cs="Tahoma"/>
                <w:sz w:val="18"/>
                <w:szCs w:val="18"/>
                <w:lang w:eastAsia="hr-HR"/>
              </w:rPr>
            </w:pPr>
            <w:r w:rsidRPr="00061543">
              <w:rPr>
                <w:rFonts w:ascii="Tahoma" w:eastAsia="Times New Roman" w:hAnsi="Tahoma" w:cs="Tahoma"/>
                <w:sz w:val="18"/>
                <w:szCs w:val="18"/>
                <w:lang w:eastAsia="hr-HR"/>
              </w:rPr>
              <w:t>0</w:t>
            </w:r>
          </w:p>
        </w:tc>
        <w:tc>
          <w:tcPr>
            <w:tcW w:w="468" w:type="dxa"/>
            <w:tcBorders>
              <w:top w:val="nil"/>
              <w:left w:val="nil"/>
              <w:bottom w:val="single" w:sz="4" w:space="0" w:color="auto"/>
              <w:right w:val="single" w:sz="4" w:space="0" w:color="auto"/>
            </w:tcBorders>
            <w:shd w:val="clear" w:color="000000" w:fill="FFFF00"/>
            <w:vAlign w:val="center"/>
            <w:hideMark/>
          </w:tcPr>
          <w:p w14:paraId="140E539C" w14:textId="77777777" w:rsidR="00061543" w:rsidRPr="00061543" w:rsidRDefault="00061543" w:rsidP="00061543">
            <w:pPr>
              <w:spacing w:after="0" w:line="240" w:lineRule="auto"/>
              <w:jc w:val="center"/>
              <w:rPr>
                <w:rFonts w:ascii="Tahoma" w:eastAsia="Times New Roman" w:hAnsi="Tahoma" w:cs="Tahoma"/>
                <w:sz w:val="18"/>
                <w:szCs w:val="18"/>
                <w:lang w:eastAsia="hr-HR"/>
              </w:rPr>
            </w:pPr>
            <w:r w:rsidRPr="00061543">
              <w:rPr>
                <w:rFonts w:ascii="Tahoma" w:eastAsia="Times New Roman" w:hAnsi="Tahoma" w:cs="Tahoma"/>
                <w:sz w:val="18"/>
                <w:szCs w:val="18"/>
                <w:lang w:eastAsia="hr-HR"/>
              </w:rPr>
              <w:t>2</w:t>
            </w:r>
          </w:p>
        </w:tc>
        <w:tc>
          <w:tcPr>
            <w:tcW w:w="560" w:type="dxa"/>
            <w:gridSpan w:val="2"/>
            <w:tcBorders>
              <w:top w:val="nil"/>
              <w:left w:val="nil"/>
              <w:bottom w:val="single" w:sz="4" w:space="0" w:color="auto"/>
              <w:right w:val="single" w:sz="4" w:space="0" w:color="auto"/>
            </w:tcBorders>
            <w:shd w:val="clear" w:color="000000" w:fill="FF9900"/>
            <w:vAlign w:val="center"/>
            <w:hideMark/>
          </w:tcPr>
          <w:p w14:paraId="04AA3263" w14:textId="77777777" w:rsidR="00061543" w:rsidRPr="00061543" w:rsidRDefault="00061543" w:rsidP="00061543">
            <w:pPr>
              <w:spacing w:after="0" w:line="240" w:lineRule="auto"/>
              <w:jc w:val="center"/>
              <w:rPr>
                <w:rFonts w:ascii="Tahoma" w:eastAsia="Times New Roman" w:hAnsi="Tahoma" w:cs="Tahoma"/>
                <w:sz w:val="18"/>
                <w:szCs w:val="18"/>
                <w:lang w:eastAsia="hr-HR"/>
              </w:rPr>
            </w:pPr>
            <w:r w:rsidRPr="00061543">
              <w:rPr>
                <w:rFonts w:ascii="Tahoma" w:eastAsia="Times New Roman" w:hAnsi="Tahoma" w:cs="Tahoma"/>
                <w:sz w:val="18"/>
                <w:szCs w:val="18"/>
                <w:lang w:eastAsia="hr-HR"/>
              </w:rPr>
              <w:t>9</w:t>
            </w:r>
          </w:p>
        </w:tc>
        <w:tc>
          <w:tcPr>
            <w:tcW w:w="905" w:type="dxa"/>
            <w:gridSpan w:val="2"/>
            <w:tcBorders>
              <w:top w:val="nil"/>
              <w:left w:val="nil"/>
              <w:bottom w:val="single" w:sz="4" w:space="0" w:color="auto"/>
              <w:right w:val="single" w:sz="4" w:space="0" w:color="auto"/>
            </w:tcBorders>
            <w:shd w:val="clear" w:color="000000" w:fill="FF9900"/>
            <w:noWrap/>
            <w:vAlign w:val="center"/>
            <w:hideMark/>
          </w:tcPr>
          <w:p w14:paraId="105BA19C" w14:textId="77777777" w:rsidR="00061543" w:rsidRPr="00061543" w:rsidRDefault="00061543" w:rsidP="00061543">
            <w:pPr>
              <w:spacing w:after="0" w:line="240" w:lineRule="auto"/>
              <w:jc w:val="center"/>
              <w:rPr>
                <w:rFonts w:ascii="Tahoma" w:eastAsia="Times New Roman" w:hAnsi="Tahoma" w:cs="Tahoma"/>
                <w:sz w:val="18"/>
                <w:szCs w:val="18"/>
                <w:lang w:eastAsia="hr-HR"/>
              </w:rPr>
            </w:pPr>
            <w:r w:rsidRPr="00061543">
              <w:rPr>
                <w:rFonts w:ascii="Tahoma" w:eastAsia="Times New Roman" w:hAnsi="Tahoma" w:cs="Tahoma"/>
                <w:sz w:val="18"/>
                <w:szCs w:val="18"/>
                <w:lang w:eastAsia="hr-HR"/>
              </w:rPr>
              <w:t>1</w:t>
            </w:r>
          </w:p>
        </w:tc>
        <w:tc>
          <w:tcPr>
            <w:tcW w:w="498" w:type="dxa"/>
            <w:tcBorders>
              <w:top w:val="nil"/>
              <w:left w:val="nil"/>
              <w:bottom w:val="single" w:sz="4" w:space="0" w:color="auto"/>
              <w:right w:val="single" w:sz="4" w:space="0" w:color="auto"/>
            </w:tcBorders>
            <w:shd w:val="clear" w:color="000000" w:fill="FF9900"/>
            <w:noWrap/>
            <w:vAlign w:val="center"/>
            <w:hideMark/>
          </w:tcPr>
          <w:p w14:paraId="2653A681" w14:textId="77777777" w:rsidR="00061543" w:rsidRPr="00061543" w:rsidRDefault="00061543" w:rsidP="00061543">
            <w:pPr>
              <w:spacing w:after="0" w:line="240" w:lineRule="auto"/>
              <w:jc w:val="center"/>
              <w:rPr>
                <w:rFonts w:ascii="Tahoma" w:eastAsia="Times New Roman" w:hAnsi="Tahoma" w:cs="Tahoma"/>
                <w:sz w:val="18"/>
                <w:szCs w:val="18"/>
                <w:lang w:eastAsia="hr-HR"/>
              </w:rPr>
            </w:pPr>
            <w:r w:rsidRPr="00061543">
              <w:rPr>
                <w:rFonts w:ascii="Tahoma" w:eastAsia="Times New Roman" w:hAnsi="Tahoma" w:cs="Tahoma"/>
                <w:sz w:val="18"/>
                <w:szCs w:val="18"/>
                <w:lang w:eastAsia="hr-HR"/>
              </w:rPr>
              <w:t>1</w:t>
            </w:r>
          </w:p>
        </w:tc>
        <w:tc>
          <w:tcPr>
            <w:tcW w:w="1016" w:type="dxa"/>
            <w:gridSpan w:val="2"/>
            <w:tcBorders>
              <w:top w:val="nil"/>
              <w:left w:val="nil"/>
              <w:bottom w:val="single" w:sz="4" w:space="0" w:color="auto"/>
              <w:right w:val="single" w:sz="4" w:space="0" w:color="auto"/>
            </w:tcBorders>
            <w:shd w:val="clear" w:color="000000" w:fill="FF9900"/>
            <w:noWrap/>
            <w:vAlign w:val="center"/>
            <w:hideMark/>
          </w:tcPr>
          <w:p w14:paraId="72276B9E" w14:textId="77777777" w:rsidR="00061543" w:rsidRPr="00061543" w:rsidRDefault="00061543" w:rsidP="00061543">
            <w:pPr>
              <w:spacing w:after="0" w:line="240" w:lineRule="auto"/>
              <w:jc w:val="center"/>
              <w:rPr>
                <w:rFonts w:ascii="Tahoma" w:eastAsia="Times New Roman" w:hAnsi="Tahoma" w:cs="Tahoma"/>
                <w:sz w:val="18"/>
                <w:szCs w:val="18"/>
                <w:lang w:eastAsia="hr-HR"/>
              </w:rPr>
            </w:pPr>
            <w:r w:rsidRPr="00061543">
              <w:rPr>
                <w:rFonts w:ascii="Tahoma" w:eastAsia="Times New Roman" w:hAnsi="Tahoma" w:cs="Tahoma"/>
                <w:sz w:val="18"/>
                <w:szCs w:val="18"/>
                <w:lang w:eastAsia="hr-HR"/>
              </w:rPr>
              <w:t>2</w:t>
            </w:r>
          </w:p>
        </w:tc>
        <w:tc>
          <w:tcPr>
            <w:tcW w:w="505" w:type="dxa"/>
            <w:gridSpan w:val="2"/>
            <w:tcBorders>
              <w:top w:val="nil"/>
              <w:left w:val="nil"/>
              <w:bottom w:val="single" w:sz="4" w:space="0" w:color="auto"/>
              <w:right w:val="single" w:sz="4" w:space="0" w:color="auto"/>
            </w:tcBorders>
            <w:shd w:val="clear" w:color="000000" w:fill="CCFFFF"/>
            <w:noWrap/>
            <w:vAlign w:val="center"/>
            <w:hideMark/>
          </w:tcPr>
          <w:p w14:paraId="6D58748C" w14:textId="77777777" w:rsidR="00061543" w:rsidRPr="00061543" w:rsidRDefault="00061543" w:rsidP="00061543">
            <w:pPr>
              <w:spacing w:after="0" w:line="240" w:lineRule="auto"/>
              <w:jc w:val="right"/>
              <w:rPr>
                <w:rFonts w:ascii="Tahoma" w:eastAsia="Times New Roman" w:hAnsi="Tahoma" w:cs="Tahoma"/>
                <w:sz w:val="18"/>
                <w:szCs w:val="18"/>
                <w:lang w:eastAsia="hr-HR"/>
              </w:rPr>
            </w:pPr>
            <w:r w:rsidRPr="00061543">
              <w:rPr>
                <w:rFonts w:ascii="Tahoma" w:eastAsia="Times New Roman" w:hAnsi="Tahoma" w:cs="Tahoma"/>
                <w:sz w:val="18"/>
                <w:szCs w:val="18"/>
                <w:lang w:eastAsia="hr-HR"/>
              </w:rPr>
              <w:t>0</w:t>
            </w:r>
          </w:p>
        </w:tc>
        <w:tc>
          <w:tcPr>
            <w:tcW w:w="468" w:type="dxa"/>
            <w:tcBorders>
              <w:top w:val="nil"/>
              <w:left w:val="nil"/>
              <w:bottom w:val="single" w:sz="4" w:space="0" w:color="auto"/>
              <w:right w:val="single" w:sz="4" w:space="0" w:color="auto"/>
            </w:tcBorders>
            <w:shd w:val="clear" w:color="000000" w:fill="CCFFFF"/>
            <w:noWrap/>
            <w:vAlign w:val="center"/>
            <w:hideMark/>
          </w:tcPr>
          <w:p w14:paraId="757C0B47" w14:textId="77777777" w:rsidR="00061543" w:rsidRPr="00061543" w:rsidRDefault="00061543" w:rsidP="00061543">
            <w:pPr>
              <w:spacing w:after="0" w:line="240" w:lineRule="auto"/>
              <w:jc w:val="right"/>
              <w:rPr>
                <w:rFonts w:ascii="Tahoma" w:eastAsia="Times New Roman" w:hAnsi="Tahoma" w:cs="Tahoma"/>
                <w:sz w:val="18"/>
                <w:szCs w:val="18"/>
                <w:lang w:eastAsia="hr-HR"/>
              </w:rPr>
            </w:pPr>
            <w:r w:rsidRPr="00061543">
              <w:rPr>
                <w:rFonts w:ascii="Tahoma" w:eastAsia="Times New Roman" w:hAnsi="Tahoma" w:cs="Tahoma"/>
                <w:sz w:val="18"/>
                <w:szCs w:val="18"/>
                <w:lang w:eastAsia="hr-HR"/>
              </w:rPr>
              <w:t>1</w:t>
            </w:r>
          </w:p>
        </w:tc>
        <w:tc>
          <w:tcPr>
            <w:tcW w:w="336" w:type="dxa"/>
            <w:tcBorders>
              <w:top w:val="nil"/>
              <w:left w:val="nil"/>
              <w:bottom w:val="single" w:sz="4" w:space="0" w:color="auto"/>
              <w:right w:val="single" w:sz="4" w:space="0" w:color="auto"/>
            </w:tcBorders>
            <w:shd w:val="clear" w:color="000000" w:fill="CCFFFF"/>
            <w:noWrap/>
            <w:vAlign w:val="center"/>
            <w:hideMark/>
          </w:tcPr>
          <w:p w14:paraId="32C99CB4" w14:textId="77777777" w:rsidR="00061543" w:rsidRPr="00061543" w:rsidRDefault="00061543" w:rsidP="00061543">
            <w:pPr>
              <w:spacing w:after="0" w:line="240" w:lineRule="auto"/>
              <w:jc w:val="right"/>
              <w:rPr>
                <w:rFonts w:ascii="Tahoma" w:eastAsia="Times New Roman" w:hAnsi="Tahoma" w:cs="Tahoma"/>
                <w:sz w:val="18"/>
                <w:szCs w:val="18"/>
                <w:lang w:eastAsia="hr-HR"/>
              </w:rPr>
            </w:pPr>
            <w:r w:rsidRPr="00061543">
              <w:rPr>
                <w:rFonts w:ascii="Tahoma" w:eastAsia="Times New Roman" w:hAnsi="Tahoma" w:cs="Tahoma"/>
                <w:sz w:val="18"/>
                <w:szCs w:val="18"/>
                <w:lang w:eastAsia="hr-HR"/>
              </w:rPr>
              <w:t>0</w:t>
            </w:r>
          </w:p>
        </w:tc>
        <w:tc>
          <w:tcPr>
            <w:tcW w:w="426" w:type="dxa"/>
            <w:tcBorders>
              <w:top w:val="nil"/>
              <w:left w:val="nil"/>
              <w:bottom w:val="single" w:sz="4" w:space="0" w:color="auto"/>
              <w:right w:val="single" w:sz="4" w:space="0" w:color="auto"/>
            </w:tcBorders>
            <w:shd w:val="clear" w:color="000000" w:fill="33CCCC"/>
            <w:noWrap/>
            <w:vAlign w:val="center"/>
            <w:hideMark/>
          </w:tcPr>
          <w:p w14:paraId="7B8D6D3E" w14:textId="77777777" w:rsidR="00061543" w:rsidRPr="00061543" w:rsidRDefault="00061543" w:rsidP="00061543">
            <w:pPr>
              <w:spacing w:after="0" w:line="240" w:lineRule="auto"/>
              <w:jc w:val="right"/>
              <w:rPr>
                <w:rFonts w:ascii="Tahoma" w:eastAsia="Times New Roman" w:hAnsi="Tahoma" w:cs="Tahoma"/>
                <w:sz w:val="18"/>
                <w:szCs w:val="18"/>
                <w:lang w:eastAsia="hr-HR"/>
              </w:rPr>
            </w:pPr>
            <w:r w:rsidRPr="00061543">
              <w:rPr>
                <w:rFonts w:ascii="Tahoma" w:eastAsia="Times New Roman" w:hAnsi="Tahoma" w:cs="Tahoma"/>
                <w:sz w:val="18"/>
                <w:szCs w:val="18"/>
                <w:lang w:eastAsia="hr-HR"/>
              </w:rPr>
              <w:t>0</w:t>
            </w:r>
          </w:p>
        </w:tc>
        <w:tc>
          <w:tcPr>
            <w:tcW w:w="473" w:type="dxa"/>
            <w:tcBorders>
              <w:top w:val="nil"/>
              <w:left w:val="nil"/>
              <w:bottom w:val="single" w:sz="4" w:space="0" w:color="auto"/>
              <w:right w:val="single" w:sz="8" w:space="0" w:color="auto"/>
            </w:tcBorders>
            <w:shd w:val="clear" w:color="000000" w:fill="33CCCC"/>
            <w:noWrap/>
            <w:vAlign w:val="center"/>
            <w:hideMark/>
          </w:tcPr>
          <w:p w14:paraId="7BA4EB24" w14:textId="77777777" w:rsidR="00061543" w:rsidRPr="00061543" w:rsidRDefault="00061543" w:rsidP="00061543">
            <w:pPr>
              <w:spacing w:after="0" w:line="240" w:lineRule="auto"/>
              <w:jc w:val="right"/>
              <w:rPr>
                <w:rFonts w:ascii="Tahoma" w:eastAsia="Times New Roman" w:hAnsi="Tahoma" w:cs="Tahoma"/>
                <w:sz w:val="18"/>
                <w:szCs w:val="18"/>
                <w:lang w:eastAsia="hr-HR"/>
              </w:rPr>
            </w:pPr>
            <w:r w:rsidRPr="00061543">
              <w:rPr>
                <w:rFonts w:ascii="Tahoma" w:eastAsia="Times New Roman" w:hAnsi="Tahoma" w:cs="Tahoma"/>
                <w:sz w:val="18"/>
                <w:szCs w:val="18"/>
                <w:lang w:eastAsia="hr-HR"/>
              </w:rPr>
              <w:t>2</w:t>
            </w:r>
          </w:p>
        </w:tc>
        <w:tc>
          <w:tcPr>
            <w:tcW w:w="236" w:type="dxa"/>
            <w:gridSpan w:val="3"/>
            <w:vAlign w:val="center"/>
            <w:hideMark/>
          </w:tcPr>
          <w:p w14:paraId="00DDBB98" w14:textId="77777777" w:rsidR="00061543" w:rsidRPr="00061543" w:rsidRDefault="00061543" w:rsidP="00061543">
            <w:pPr>
              <w:spacing w:after="0" w:line="240" w:lineRule="auto"/>
              <w:rPr>
                <w:rFonts w:ascii="Times New Roman" w:eastAsia="Times New Roman" w:hAnsi="Times New Roman" w:cs="Times New Roman"/>
                <w:sz w:val="18"/>
                <w:szCs w:val="18"/>
                <w:lang w:eastAsia="hr-HR"/>
              </w:rPr>
            </w:pPr>
          </w:p>
        </w:tc>
      </w:tr>
      <w:tr w:rsidR="00061543" w:rsidRPr="00061543" w14:paraId="10BC7D17" w14:textId="77777777" w:rsidTr="00061543">
        <w:trPr>
          <w:gridAfter w:val="2"/>
          <w:wAfter w:w="101" w:type="dxa"/>
          <w:trHeight w:val="420"/>
        </w:trPr>
        <w:tc>
          <w:tcPr>
            <w:tcW w:w="1576" w:type="dxa"/>
            <w:tcBorders>
              <w:top w:val="single" w:sz="4" w:space="0" w:color="auto"/>
              <w:left w:val="single" w:sz="8" w:space="0" w:color="auto"/>
              <w:bottom w:val="single" w:sz="4" w:space="0" w:color="auto"/>
              <w:right w:val="single" w:sz="4" w:space="0" w:color="auto"/>
            </w:tcBorders>
            <w:shd w:val="clear" w:color="000000" w:fill="CCFFCC"/>
            <w:vAlign w:val="center"/>
            <w:hideMark/>
          </w:tcPr>
          <w:p w14:paraId="1FAFB5F6" w14:textId="77777777" w:rsidR="00061543" w:rsidRPr="00061543" w:rsidRDefault="00061543" w:rsidP="00061543">
            <w:pPr>
              <w:spacing w:after="0" w:line="240" w:lineRule="auto"/>
              <w:rPr>
                <w:rFonts w:ascii="Tahoma" w:eastAsia="Times New Roman" w:hAnsi="Tahoma" w:cs="Tahoma"/>
                <w:sz w:val="18"/>
                <w:szCs w:val="18"/>
                <w:lang w:eastAsia="hr-HR"/>
              </w:rPr>
            </w:pPr>
            <w:r w:rsidRPr="00061543">
              <w:rPr>
                <w:rFonts w:ascii="Tahoma" w:eastAsia="Times New Roman" w:hAnsi="Tahoma" w:cs="Tahoma"/>
                <w:sz w:val="18"/>
                <w:szCs w:val="18"/>
                <w:lang w:eastAsia="hr-HR"/>
              </w:rPr>
              <w:t>Dob</w:t>
            </w:r>
          </w:p>
        </w:tc>
        <w:tc>
          <w:tcPr>
            <w:tcW w:w="560" w:type="dxa"/>
            <w:tcBorders>
              <w:top w:val="nil"/>
              <w:left w:val="nil"/>
              <w:bottom w:val="single" w:sz="4" w:space="0" w:color="auto"/>
              <w:right w:val="single" w:sz="4" w:space="0" w:color="auto"/>
            </w:tcBorders>
            <w:shd w:val="clear" w:color="000000" w:fill="FFCC99"/>
            <w:noWrap/>
            <w:vAlign w:val="center"/>
            <w:hideMark/>
          </w:tcPr>
          <w:p w14:paraId="32E46ED7" w14:textId="77777777" w:rsidR="00061543" w:rsidRPr="00061543" w:rsidRDefault="00061543" w:rsidP="00061543">
            <w:pPr>
              <w:spacing w:after="0" w:line="240" w:lineRule="auto"/>
              <w:jc w:val="center"/>
              <w:rPr>
                <w:rFonts w:ascii="Tahoma" w:eastAsia="Times New Roman" w:hAnsi="Tahoma" w:cs="Tahoma"/>
                <w:sz w:val="18"/>
                <w:szCs w:val="18"/>
                <w:lang w:eastAsia="hr-HR"/>
              </w:rPr>
            </w:pPr>
            <w:r w:rsidRPr="00061543">
              <w:rPr>
                <w:rFonts w:ascii="Tahoma" w:eastAsia="Times New Roman" w:hAnsi="Tahoma" w:cs="Tahoma"/>
                <w:sz w:val="18"/>
                <w:szCs w:val="18"/>
                <w:lang w:eastAsia="hr-HR"/>
              </w:rPr>
              <w:t>11</w:t>
            </w:r>
          </w:p>
        </w:tc>
        <w:tc>
          <w:tcPr>
            <w:tcW w:w="446" w:type="dxa"/>
            <w:tcBorders>
              <w:top w:val="nil"/>
              <w:left w:val="nil"/>
              <w:bottom w:val="single" w:sz="4" w:space="0" w:color="auto"/>
              <w:right w:val="single" w:sz="4" w:space="0" w:color="auto"/>
            </w:tcBorders>
            <w:shd w:val="clear" w:color="000000" w:fill="FFFF00"/>
            <w:noWrap/>
            <w:vAlign w:val="center"/>
            <w:hideMark/>
          </w:tcPr>
          <w:p w14:paraId="007D0B18" w14:textId="77777777" w:rsidR="00061543" w:rsidRPr="00061543" w:rsidRDefault="00061543" w:rsidP="00061543">
            <w:pPr>
              <w:spacing w:after="0" w:line="240" w:lineRule="auto"/>
              <w:jc w:val="center"/>
              <w:rPr>
                <w:rFonts w:ascii="Tahoma" w:eastAsia="Times New Roman" w:hAnsi="Tahoma" w:cs="Tahoma"/>
                <w:sz w:val="18"/>
                <w:szCs w:val="18"/>
                <w:lang w:eastAsia="hr-HR"/>
              </w:rPr>
            </w:pPr>
            <w:r w:rsidRPr="00061543">
              <w:rPr>
                <w:rFonts w:ascii="Tahoma" w:eastAsia="Times New Roman" w:hAnsi="Tahoma" w:cs="Tahoma"/>
                <w:sz w:val="18"/>
                <w:szCs w:val="18"/>
                <w:lang w:eastAsia="hr-HR"/>
              </w:rPr>
              <w:t>2</w:t>
            </w:r>
          </w:p>
        </w:tc>
        <w:tc>
          <w:tcPr>
            <w:tcW w:w="787" w:type="dxa"/>
            <w:tcBorders>
              <w:top w:val="nil"/>
              <w:left w:val="nil"/>
              <w:bottom w:val="single" w:sz="4" w:space="0" w:color="auto"/>
              <w:right w:val="single" w:sz="4" w:space="0" w:color="auto"/>
            </w:tcBorders>
            <w:shd w:val="clear" w:color="000000" w:fill="CCFFFF"/>
            <w:noWrap/>
            <w:vAlign w:val="center"/>
            <w:hideMark/>
          </w:tcPr>
          <w:p w14:paraId="581F5B27" w14:textId="77777777" w:rsidR="00061543" w:rsidRPr="00061543" w:rsidRDefault="00061543" w:rsidP="00061543">
            <w:pPr>
              <w:spacing w:after="0" w:line="240" w:lineRule="auto"/>
              <w:jc w:val="right"/>
              <w:rPr>
                <w:rFonts w:ascii="Tahoma" w:eastAsia="Times New Roman" w:hAnsi="Tahoma" w:cs="Tahoma"/>
                <w:sz w:val="18"/>
                <w:szCs w:val="18"/>
                <w:lang w:eastAsia="hr-HR"/>
              </w:rPr>
            </w:pPr>
            <w:r w:rsidRPr="00061543">
              <w:rPr>
                <w:rFonts w:ascii="Tahoma" w:eastAsia="Times New Roman" w:hAnsi="Tahoma" w:cs="Tahoma"/>
                <w:sz w:val="18"/>
                <w:szCs w:val="18"/>
                <w:lang w:eastAsia="hr-HR"/>
              </w:rPr>
              <w:t>0</w:t>
            </w:r>
          </w:p>
        </w:tc>
        <w:tc>
          <w:tcPr>
            <w:tcW w:w="581" w:type="dxa"/>
            <w:tcBorders>
              <w:top w:val="nil"/>
              <w:left w:val="nil"/>
              <w:bottom w:val="single" w:sz="4" w:space="0" w:color="auto"/>
              <w:right w:val="single" w:sz="4" w:space="0" w:color="auto"/>
            </w:tcBorders>
            <w:shd w:val="clear" w:color="000000" w:fill="CCFFFF"/>
            <w:noWrap/>
            <w:vAlign w:val="center"/>
            <w:hideMark/>
          </w:tcPr>
          <w:p w14:paraId="45F8D34A" w14:textId="77777777" w:rsidR="00061543" w:rsidRPr="00061543" w:rsidRDefault="00061543" w:rsidP="00061543">
            <w:pPr>
              <w:spacing w:after="0" w:line="240" w:lineRule="auto"/>
              <w:jc w:val="right"/>
              <w:rPr>
                <w:rFonts w:ascii="Tahoma" w:eastAsia="Times New Roman" w:hAnsi="Tahoma" w:cs="Tahoma"/>
                <w:sz w:val="18"/>
                <w:szCs w:val="18"/>
                <w:lang w:eastAsia="hr-HR"/>
              </w:rPr>
            </w:pPr>
            <w:r w:rsidRPr="00061543">
              <w:rPr>
                <w:rFonts w:ascii="Tahoma" w:eastAsia="Times New Roman" w:hAnsi="Tahoma" w:cs="Tahoma"/>
                <w:sz w:val="18"/>
                <w:szCs w:val="18"/>
                <w:lang w:eastAsia="hr-HR"/>
              </w:rPr>
              <w:t>2</w:t>
            </w:r>
          </w:p>
        </w:tc>
        <w:tc>
          <w:tcPr>
            <w:tcW w:w="446" w:type="dxa"/>
            <w:tcBorders>
              <w:top w:val="nil"/>
              <w:left w:val="nil"/>
              <w:bottom w:val="single" w:sz="4" w:space="0" w:color="auto"/>
              <w:right w:val="single" w:sz="4" w:space="0" w:color="auto"/>
            </w:tcBorders>
            <w:shd w:val="clear" w:color="000000" w:fill="FFFF99"/>
            <w:noWrap/>
            <w:vAlign w:val="center"/>
            <w:hideMark/>
          </w:tcPr>
          <w:p w14:paraId="75CEA74E" w14:textId="77777777" w:rsidR="00061543" w:rsidRPr="00061543" w:rsidRDefault="00061543" w:rsidP="00061543">
            <w:pPr>
              <w:spacing w:after="0" w:line="240" w:lineRule="auto"/>
              <w:jc w:val="center"/>
              <w:rPr>
                <w:rFonts w:ascii="Tahoma" w:eastAsia="Times New Roman" w:hAnsi="Tahoma" w:cs="Tahoma"/>
                <w:sz w:val="18"/>
                <w:szCs w:val="18"/>
                <w:lang w:eastAsia="hr-HR"/>
              </w:rPr>
            </w:pPr>
            <w:r w:rsidRPr="00061543">
              <w:rPr>
                <w:rFonts w:ascii="Tahoma" w:eastAsia="Times New Roman" w:hAnsi="Tahoma" w:cs="Tahoma"/>
                <w:sz w:val="18"/>
                <w:szCs w:val="18"/>
                <w:lang w:eastAsia="hr-HR"/>
              </w:rPr>
              <w:t>2</w:t>
            </w:r>
          </w:p>
        </w:tc>
        <w:tc>
          <w:tcPr>
            <w:tcW w:w="697" w:type="dxa"/>
            <w:tcBorders>
              <w:top w:val="nil"/>
              <w:left w:val="nil"/>
              <w:bottom w:val="single" w:sz="4" w:space="0" w:color="auto"/>
              <w:right w:val="single" w:sz="4" w:space="0" w:color="auto"/>
            </w:tcBorders>
            <w:shd w:val="clear" w:color="000000" w:fill="FFFF99"/>
            <w:noWrap/>
            <w:vAlign w:val="center"/>
            <w:hideMark/>
          </w:tcPr>
          <w:p w14:paraId="13F54AFB" w14:textId="77777777" w:rsidR="00061543" w:rsidRPr="00061543" w:rsidRDefault="00061543" w:rsidP="00061543">
            <w:pPr>
              <w:spacing w:after="0" w:line="240" w:lineRule="auto"/>
              <w:jc w:val="center"/>
              <w:rPr>
                <w:rFonts w:ascii="Tahoma" w:eastAsia="Times New Roman" w:hAnsi="Tahoma" w:cs="Tahoma"/>
                <w:sz w:val="18"/>
                <w:szCs w:val="18"/>
                <w:lang w:eastAsia="hr-HR"/>
              </w:rPr>
            </w:pPr>
            <w:r w:rsidRPr="00061543">
              <w:rPr>
                <w:rFonts w:ascii="Tahoma" w:eastAsia="Times New Roman" w:hAnsi="Tahoma" w:cs="Tahoma"/>
                <w:sz w:val="18"/>
                <w:szCs w:val="18"/>
                <w:lang w:eastAsia="hr-HR"/>
              </w:rPr>
              <w:t>1</w:t>
            </w:r>
          </w:p>
        </w:tc>
        <w:tc>
          <w:tcPr>
            <w:tcW w:w="446" w:type="dxa"/>
            <w:tcBorders>
              <w:top w:val="nil"/>
              <w:left w:val="nil"/>
              <w:bottom w:val="single" w:sz="4" w:space="0" w:color="auto"/>
              <w:right w:val="single" w:sz="4" w:space="0" w:color="auto"/>
            </w:tcBorders>
            <w:shd w:val="clear" w:color="000000" w:fill="FFFF99"/>
            <w:noWrap/>
            <w:vAlign w:val="center"/>
            <w:hideMark/>
          </w:tcPr>
          <w:p w14:paraId="444A4B89" w14:textId="77777777" w:rsidR="00061543" w:rsidRPr="00061543" w:rsidRDefault="00061543" w:rsidP="00061543">
            <w:pPr>
              <w:spacing w:after="0" w:line="240" w:lineRule="auto"/>
              <w:jc w:val="center"/>
              <w:rPr>
                <w:rFonts w:ascii="Tahoma" w:eastAsia="Times New Roman" w:hAnsi="Tahoma" w:cs="Tahoma"/>
                <w:sz w:val="18"/>
                <w:szCs w:val="18"/>
                <w:lang w:eastAsia="hr-HR"/>
              </w:rPr>
            </w:pPr>
            <w:r w:rsidRPr="00061543">
              <w:rPr>
                <w:rFonts w:ascii="Tahoma" w:eastAsia="Times New Roman" w:hAnsi="Tahoma" w:cs="Tahoma"/>
                <w:sz w:val="18"/>
                <w:szCs w:val="18"/>
                <w:lang w:eastAsia="hr-HR"/>
              </w:rPr>
              <w:t>1</w:t>
            </w:r>
          </w:p>
        </w:tc>
        <w:tc>
          <w:tcPr>
            <w:tcW w:w="567" w:type="dxa"/>
            <w:tcBorders>
              <w:top w:val="nil"/>
              <w:left w:val="nil"/>
              <w:bottom w:val="single" w:sz="4" w:space="0" w:color="auto"/>
              <w:right w:val="single" w:sz="4" w:space="0" w:color="auto"/>
            </w:tcBorders>
            <w:shd w:val="clear" w:color="000000" w:fill="FFFF99"/>
            <w:noWrap/>
            <w:vAlign w:val="center"/>
            <w:hideMark/>
          </w:tcPr>
          <w:p w14:paraId="7140A421" w14:textId="77777777" w:rsidR="00061543" w:rsidRPr="00061543" w:rsidRDefault="00061543" w:rsidP="00061543">
            <w:pPr>
              <w:spacing w:after="0" w:line="240" w:lineRule="auto"/>
              <w:jc w:val="center"/>
              <w:rPr>
                <w:rFonts w:ascii="Tahoma" w:eastAsia="Times New Roman" w:hAnsi="Tahoma" w:cs="Tahoma"/>
                <w:sz w:val="18"/>
                <w:szCs w:val="18"/>
                <w:lang w:eastAsia="hr-HR"/>
              </w:rPr>
            </w:pPr>
            <w:r w:rsidRPr="00061543">
              <w:rPr>
                <w:rFonts w:ascii="Tahoma" w:eastAsia="Times New Roman" w:hAnsi="Tahoma" w:cs="Tahoma"/>
                <w:sz w:val="18"/>
                <w:szCs w:val="18"/>
                <w:lang w:eastAsia="hr-HR"/>
              </w:rPr>
              <w:t>0</w:t>
            </w:r>
          </w:p>
        </w:tc>
        <w:tc>
          <w:tcPr>
            <w:tcW w:w="468" w:type="dxa"/>
            <w:tcBorders>
              <w:top w:val="nil"/>
              <w:left w:val="nil"/>
              <w:bottom w:val="single" w:sz="4" w:space="0" w:color="auto"/>
              <w:right w:val="single" w:sz="4" w:space="0" w:color="auto"/>
            </w:tcBorders>
            <w:shd w:val="clear" w:color="000000" w:fill="FFFF99"/>
            <w:noWrap/>
            <w:vAlign w:val="center"/>
            <w:hideMark/>
          </w:tcPr>
          <w:p w14:paraId="57E56C44" w14:textId="77777777" w:rsidR="00061543" w:rsidRPr="00061543" w:rsidRDefault="00061543" w:rsidP="00061543">
            <w:pPr>
              <w:spacing w:after="0" w:line="240" w:lineRule="auto"/>
              <w:jc w:val="center"/>
              <w:rPr>
                <w:rFonts w:ascii="Tahoma" w:eastAsia="Times New Roman" w:hAnsi="Tahoma" w:cs="Tahoma"/>
                <w:sz w:val="18"/>
                <w:szCs w:val="18"/>
                <w:lang w:eastAsia="hr-HR"/>
              </w:rPr>
            </w:pPr>
            <w:r w:rsidRPr="00061543">
              <w:rPr>
                <w:rFonts w:ascii="Tahoma" w:eastAsia="Times New Roman" w:hAnsi="Tahoma" w:cs="Tahoma"/>
                <w:sz w:val="18"/>
                <w:szCs w:val="18"/>
                <w:lang w:eastAsia="hr-HR"/>
              </w:rPr>
              <w:t>0</w:t>
            </w:r>
          </w:p>
        </w:tc>
        <w:tc>
          <w:tcPr>
            <w:tcW w:w="808" w:type="dxa"/>
            <w:tcBorders>
              <w:top w:val="nil"/>
              <w:left w:val="nil"/>
              <w:bottom w:val="single" w:sz="4" w:space="0" w:color="auto"/>
              <w:right w:val="single" w:sz="4" w:space="0" w:color="auto"/>
            </w:tcBorders>
            <w:shd w:val="clear" w:color="000000" w:fill="FFFF99"/>
            <w:noWrap/>
            <w:vAlign w:val="center"/>
            <w:hideMark/>
          </w:tcPr>
          <w:p w14:paraId="1777444C" w14:textId="77777777" w:rsidR="00061543" w:rsidRPr="00061543" w:rsidRDefault="00061543" w:rsidP="00061543">
            <w:pPr>
              <w:spacing w:after="0" w:line="240" w:lineRule="auto"/>
              <w:jc w:val="center"/>
              <w:rPr>
                <w:rFonts w:ascii="Tahoma" w:eastAsia="Times New Roman" w:hAnsi="Tahoma" w:cs="Tahoma"/>
                <w:sz w:val="18"/>
                <w:szCs w:val="18"/>
                <w:lang w:eastAsia="hr-HR"/>
              </w:rPr>
            </w:pPr>
            <w:r w:rsidRPr="00061543">
              <w:rPr>
                <w:rFonts w:ascii="Tahoma" w:eastAsia="Times New Roman" w:hAnsi="Tahoma" w:cs="Tahoma"/>
                <w:sz w:val="18"/>
                <w:szCs w:val="18"/>
                <w:lang w:eastAsia="hr-HR"/>
              </w:rPr>
              <w:t>0</w:t>
            </w:r>
          </w:p>
        </w:tc>
        <w:tc>
          <w:tcPr>
            <w:tcW w:w="468" w:type="dxa"/>
            <w:gridSpan w:val="2"/>
            <w:tcBorders>
              <w:top w:val="nil"/>
              <w:left w:val="nil"/>
              <w:bottom w:val="single" w:sz="4" w:space="0" w:color="auto"/>
              <w:right w:val="single" w:sz="4" w:space="0" w:color="auto"/>
            </w:tcBorders>
            <w:shd w:val="clear" w:color="000000" w:fill="FF9900"/>
            <w:noWrap/>
            <w:vAlign w:val="center"/>
            <w:hideMark/>
          </w:tcPr>
          <w:p w14:paraId="5583D80C" w14:textId="77777777" w:rsidR="00061543" w:rsidRPr="00061543" w:rsidRDefault="00061543" w:rsidP="00061543">
            <w:pPr>
              <w:spacing w:after="0" w:line="240" w:lineRule="auto"/>
              <w:jc w:val="right"/>
              <w:rPr>
                <w:rFonts w:ascii="Tahoma" w:eastAsia="Times New Roman" w:hAnsi="Tahoma" w:cs="Tahoma"/>
                <w:sz w:val="18"/>
                <w:szCs w:val="18"/>
                <w:lang w:eastAsia="hr-HR"/>
              </w:rPr>
            </w:pPr>
            <w:r w:rsidRPr="00061543">
              <w:rPr>
                <w:rFonts w:ascii="Tahoma" w:eastAsia="Times New Roman" w:hAnsi="Tahoma" w:cs="Tahoma"/>
                <w:sz w:val="18"/>
                <w:szCs w:val="18"/>
                <w:lang w:eastAsia="hr-HR"/>
              </w:rPr>
              <w:t>0</w:t>
            </w:r>
          </w:p>
        </w:tc>
        <w:tc>
          <w:tcPr>
            <w:tcW w:w="524" w:type="dxa"/>
            <w:tcBorders>
              <w:top w:val="nil"/>
              <w:left w:val="nil"/>
              <w:bottom w:val="single" w:sz="4" w:space="0" w:color="auto"/>
              <w:right w:val="single" w:sz="4" w:space="0" w:color="auto"/>
            </w:tcBorders>
            <w:shd w:val="clear" w:color="000000" w:fill="FF9900"/>
            <w:noWrap/>
            <w:vAlign w:val="center"/>
            <w:hideMark/>
          </w:tcPr>
          <w:p w14:paraId="3E04264B" w14:textId="77777777" w:rsidR="00061543" w:rsidRPr="00061543" w:rsidRDefault="00061543" w:rsidP="00061543">
            <w:pPr>
              <w:spacing w:after="0" w:line="240" w:lineRule="auto"/>
              <w:jc w:val="right"/>
              <w:rPr>
                <w:rFonts w:ascii="Tahoma" w:eastAsia="Times New Roman" w:hAnsi="Tahoma" w:cs="Tahoma"/>
                <w:sz w:val="18"/>
                <w:szCs w:val="18"/>
                <w:lang w:eastAsia="hr-HR"/>
              </w:rPr>
            </w:pPr>
            <w:r w:rsidRPr="00061543">
              <w:rPr>
                <w:rFonts w:ascii="Tahoma" w:eastAsia="Times New Roman" w:hAnsi="Tahoma" w:cs="Tahoma"/>
                <w:sz w:val="18"/>
                <w:szCs w:val="18"/>
                <w:lang w:eastAsia="hr-HR"/>
              </w:rPr>
              <w:t>3</w:t>
            </w:r>
          </w:p>
        </w:tc>
        <w:tc>
          <w:tcPr>
            <w:tcW w:w="468" w:type="dxa"/>
            <w:tcBorders>
              <w:top w:val="nil"/>
              <w:left w:val="nil"/>
              <w:bottom w:val="single" w:sz="4" w:space="0" w:color="auto"/>
              <w:right w:val="single" w:sz="4" w:space="0" w:color="auto"/>
            </w:tcBorders>
            <w:shd w:val="clear" w:color="000000" w:fill="FF9900"/>
            <w:noWrap/>
            <w:vAlign w:val="center"/>
            <w:hideMark/>
          </w:tcPr>
          <w:p w14:paraId="403DCE3B" w14:textId="77777777" w:rsidR="00061543" w:rsidRPr="00061543" w:rsidRDefault="00061543" w:rsidP="00061543">
            <w:pPr>
              <w:spacing w:after="0" w:line="240" w:lineRule="auto"/>
              <w:jc w:val="right"/>
              <w:rPr>
                <w:rFonts w:ascii="Tahoma" w:eastAsia="Times New Roman" w:hAnsi="Tahoma" w:cs="Tahoma"/>
                <w:sz w:val="18"/>
                <w:szCs w:val="18"/>
                <w:lang w:eastAsia="hr-HR"/>
              </w:rPr>
            </w:pPr>
            <w:r w:rsidRPr="00061543">
              <w:rPr>
                <w:rFonts w:ascii="Tahoma" w:eastAsia="Times New Roman" w:hAnsi="Tahoma" w:cs="Tahoma"/>
                <w:sz w:val="18"/>
                <w:szCs w:val="18"/>
                <w:lang w:eastAsia="hr-HR"/>
              </w:rPr>
              <w:t>0</w:t>
            </w:r>
          </w:p>
        </w:tc>
        <w:tc>
          <w:tcPr>
            <w:tcW w:w="468" w:type="dxa"/>
            <w:tcBorders>
              <w:top w:val="nil"/>
              <w:left w:val="nil"/>
              <w:bottom w:val="single" w:sz="4" w:space="0" w:color="auto"/>
              <w:right w:val="single" w:sz="4" w:space="0" w:color="auto"/>
            </w:tcBorders>
            <w:shd w:val="clear" w:color="000000" w:fill="FFFF00"/>
            <w:vAlign w:val="center"/>
            <w:hideMark/>
          </w:tcPr>
          <w:p w14:paraId="1E1D961C" w14:textId="77777777" w:rsidR="00061543" w:rsidRPr="00061543" w:rsidRDefault="00061543" w:rsidP="00061543">
            <w:pPr>
              <w:spacing w:after="0" w:line="240" w:lineRule="auto"/>
              <w:jc w:val="center"/>
              <w:rPr>
                <w:rFonts w:ascii="Tahoma" w:eastAsia="Times New Roman" w:hAnsi="Tahoma" w:cs="Tahoma"/>
                <w:sz w:val="18"/>
                <w:szCs w:val="18"/>
                <w:lang w:eastAsia="hr-HR"/>
              </w:rPr>
            </w:pPr>
            <w:r w:rsidRPr="00061543">
              <w:rPr>
                <w:rFonts w:ascii="Tahoma" w:eastAsia="Times New Roman" w:hAnsi="Tahoma" w:cs="Tahoma"/>
                <w:sz w:val="18"/>
                <w:szCs w:val="18"/>
                <w:lang w:eastAsia="hr-HR"/>
              </w:rPr>
              <w:t>3</w:t>
            </w:r>
          </w:p>
        </w:tc>
        <w:tc>
          <w:tcPr>
            <w:tcW w:w="560" w:type="dxa"/>
            <w:gridSpan w:val="2"/>
            <w:tcBorders>
              <w:top w:val="nil"/>
              <w:left w:val="nil"/>
              <w:bottom w:val="single" w:sz="4" w:space="0" w:color="auto"/>
              <w:right w:val="single" w:sz="4" w:space="0" w:color="auto"/>
            </w:tcBorders>
            <w:shd w:val="clear" w:color="000000" w:fill="FF9900"/>
            <w:vAlign w:val="center"/>
            <w:hideMark/>
          </w:tcPr>
          <w:p w14:paraId="7014807E" w14:textId="77777777" w:rsidR="00061543" w:rsidRPr="00061543" w:rsidRDefault="00061543" w:rsidP="00061543">
            <w:pPr>
              <w:spacing w:after="0" w:line="240" w:lineRule="auto"/>
              <w:jc w:val="center"/>
              <w:rPr>
                <w:rFonts w:ascii="Tahoma" w:eastAsia="Times New Roman" w:hAnsi="Tahoma" w:cs="Tahoma"/>
                <w:sz w:val="18"/>
                <w:szCs w:val="18"/>
                <w:lang w:eastAsia="hr-HR"/>
              </w:rPr>
            </w:pPr>
            <w:r w:rsidRPr="00061543">
              <w:rPr>
                <w:rFonts w:ascii="Tahoma" w:eastAsia="Times New Roman" w:hAnsi="Tahoma" w:cs="Tahoma"/>
                <w:sz w:val="18"/>
                <w:szCs w:val="18"/>
                <w:lang w:eastAsia="hr-HR"/>
              </w:rPr>
              <w:t>10</w:t>
            </w:r>
          </w:p>
        </w:tc>
        <w:tc>
          <w:tcPr>
            <w:tcW w:w="905" w:type="dxa"/>
            <w:gridSpan w:val="2"/>
            <w:tcBorders>
              <w:top w:val="nil"/>
              <w:left w:val="nil"/>
              <w:bottom w:val="single" w:sz="4" w:space="0" w:color="auto"/>
              <w:right w:val="single" w:sz="4" w:space="0" w:color="auto"/>
            </w:tcBorders>
            <w:shd w:val="clear" w:color="000000" w:fill="FF9900"/>
            <w:noWrap/>
            <w:vAlign w:val="center"/>
            <w:hideMark/>
          </w:tcPr>
          <w:p w14:paraId="5D92572F" w14:textId="77777777" w:rsidR="00061543" w:rsidRPr="00061543" w:rsidRDefault="00061543" w:rsidP="00061543">
            <w:pPr>
              <w:spacing w:after="0" w:line="240" w:lineRule="auto"/>
              <w:jc w:val="center"/>
              <w:rPr>
                <w:rFonts w:ascii="Tahoma" w:eastAsia="Times New Roman" w:hAnsi="Tahoma" w:cs="Tahoma"/>
                <w:sz w:val="18"/>
                <w:szCs w:val="18"/>
                <w:lang w:eastAsia="hr-HR"/>
              </w:rPr>
            </w:pPr>
            <w:r w:rsidRPr="00061543">
              <w:rPr>
                <w:rFonts w:ascii="Tahoma" w:eastAsia="Times New Roman" w:hAnsi="Tahoma" w:cs="Tahoma"/>
                <w:sz w:val="18"/>
                <w:szCs w:val="18"/>
                <w:lang w:eastAsia="hr-HR"/>
              </w:rPr>
              <w:t>1</w:t>
            </w:r>
          </w:p>
        </w:tc>
        <w:tc>
          <w:tcPr>
            <w:tcW w:w="498" w:type="dxa"/>
            <w:tcBorders>
              <w:top w:val="nil"/>
              <w:left w:val="nil"/>
              <w:bottom w:val="single" w:sz="4" w:space="0" w:color="auto"/>
              <w:right w:val="single" w:sz="4" w:space="0" w:color="auto"/>
            </w:tcBorders>
            <w:shd w:val="clear" w:color="000000" w:fill="FF9900"/>
            <w:noWrap/>
            <w:vAlign w:val="center"/>
            <w:hideMark/>
          </w:tcPr>
          <w:p w14:paraId="52279830" w14:textId="77777777" w:rsidR="00061543" w:rsidRPr="00061543" w:rsidRDefault="00061543" w:rsidP="00061543">
            <w:pPr>
              <w:spacing w:after="0" w:line="240" w:lineRule="auto"/>
              <w:jc w:val="center"/>
              <w:rPr>
                <w:rFonts w:ascii="Tahoma" w:eastAsia="Times New Roman" w:hAnsi="Tahoma" w:cs="Tahoma"/>
                <w:sz w:val="18"/>
                <w:szCs w:val="18"/>
                <w:lang w:eastAsia="hr-HR"/>
              </w:rPr>
            </w:pPr>
            <w:r w:rsidRPr="00061543">
              <w:rPr>
                <w:rFonts w:ascii="Tahoma" w:eastAsia="Times New Roman" w:hAnsi="Tahoma" w:cs="Tahoma"/>
                <w:sz w:val="18"/>
                <w:szCs w:val="18"/>
                <w:lang w:eastAsia="hr-HR"/>
              </w:rPr>
              <w:t>0</w:t>
            </w:r>
          </w:p>
        </w:tc>
        <w:tc>
          <w:tcPr>
            <w:tcW w:w="1016" w:type="dxa"/>
            <w:gridSpan w:val="2"/>
            <w:tcBorders>
              <w:top w:val="nil"/>
              <w:left w:val="nil"/>
              <w:bottom w:val="single" w:sz="4" w:space="0" w:color="auto"/>
              <w:right w:val="single" w:sz="4" w:space="0" w:color="auto"/>
            </w:tcBorders>
            <w:shd w:val="clear" w:color="000000" w:fill="FF9900"/>
            <w:noWrap/>
            <w:vAlign w:val="center"/>
            <w:hideMark/>
          </w:tcPr>
          <w:p w14:paraId="54065BC7" w14:textId="77777777" w:rsidR="00061543" w:rsidRPr="00061543" w:rsidRDefault="00061543" w:rsidP="00061543">
            <w:pPr>
              <w:spacing w:after="0" w:line="240" w:lineRule="auto"/>
              <w:jc w:val="center"/>
              <w:rPr>
                <w:rFonts w:ascii="Tahoma" w:eastAsia="Times New Roman" w:hAnsi="Tahoma" w:cs="Tahoma"/>
                <w:sz w:val="18"/>
                <w:szCs w:val="18"/>
                <w:lang w:eastAsia="hr-HR"/>
              </w:rPr>
            </w:pPr>
            <w:r w:rsidRPr="00061543">
              <w:rPr>
                <w:rFonts w:ascii="Tahoma" w:eastAsia="Times New Roman" w:hAnsi="Tahoma" w:cs="Tahoma"/>
                <w:sz w:val="18"/>
                <w:szCs w:val="18"/>
                <w:lang w:eastAsia="hr-HR"/>
              </w:rPr>
              <w:t>1</w:t>
            </w:r>
          </w:p>
        </w:tc>
        <w:tc>
          <w:tcPr>
            <w:tcW w:w="505" w:type="dxa"/>
            <w:gridSpan w:val="2"/>
            <w:tcBorders>
              <w:top w:val="nil"/>
              <w:left w:val="nil"/>
              <w:bottom w:val="single" w:sz="4" w:space="0" w:color="auto"/>
              <w:right w:val="single" w:sz="4" w:space="0" w:color="auto"/>
            </w:tcBorders>
            <w:shd w:val="clear" w:color="000000" w:fill="CCFFFF"/>
            <w:noWrap/>
            <w:vAlign w:val="center"/>
            <w:hideMark/>
          </w:tcPr>
          <w:p w14:paraId="12FBC22E" w14:textId="77777777" w:rsidR="00061543" w:rsidRPr="00061543" w:rsidRDefault="00061543" w:rsidP="00061543">
            <w:pPr>
              <w:spacing w:after="0" w:line="240" w:lineRule="auto"/>
              <w:jc w:val="right"/>
              <w:rPr>
                <w:rFonts w:ascii="Tahoma" w:eastAsia="Times New Roman" w:hAnsi="Tahoma" w:cs="Tahoma"/>
                <w:sz w:val="18"/>
                <w:szCs w:val="18"/>
                <w:lang w:eastAsia="hr-HR"/>
              </w:rPr>
            </w:pPr>
            <w:r w:rsidRPr="00061543">
              <w:rPr>
                <w:rFonts w:ascii="Tahoma" w:eastAsia="Times New Roman" w:hAnsi="Tahoma" w:cs="Tahoma"/>
                <w:sz w:val="18"/>
                <w:szCs w:val="18"/>
                <w:lang w:eastAsia="hr-HR"/>
              </w:rPr>
              <w:t>0</w:t>
            </w:r>
          </w:p>
        </w:tc>
        <w:tc>
          <w:tcPr>
            <w:tcW w:w="468" w:type="dxa"/>
            <w:tcBorders>
              <w:top w:val="nil"/>
              <w:left w:val="nil"/>
              <w:bottom w:val="single" w:sz="4" w:space="0" w:color="auto"/>
              <w:right w:val="single" w:sz="4" w:space="0" w:color="auto"/>
            </w:tcBorders>
            <w:shd w:val="clear" w:color="000000" w:fill="CCFFFF"/>
            <w:noWrap/>
            <w:vAlign w:val="center"/>
            <w:hideMark/>
          </w:tcPr>
          <w:p w14:paraId="5F550CDD" w14:textId="77777777" w:rsidR="00061543" w:rsidRPr="00061543" w:rsidRDefault="00061543" w:rsidP="00061543">
            <w:pPr>
              <w:spacing w:after="0" w:line="240" w:lineRule="auto"/>
              <w:jc w:val="right"/>
              <w:rPr>
                <w:rFonts w:ascii="Tahoma" w:eastAsia="Times New Roman" w:hAnsi="Tahoma" w:cs="Tahoma"/>
                <w:sz w:val="18"/>
                <w:szCs w:val="18"/>
                <w:lang w:eastAsia="hr-HR"/>
              </w:rPr>
            </w:pPr>
            <w:r w:rsidRPr="00061543">
              <w:rPr>
                <w:rFonts w:ascii="Tahoma" w:eastAsia="Times New Roman" w:hAnsi="Tahoma" w:cs="Tahoma"/>
                <w:sz w:val="18"/>
                <w:szCs w:val="18"/>
                <w:lang w:eastAsia="hr-HR"/>
              </w:rPr>
              <w:t>0</w:t>
            </w:r>
          </w:p>
        </w:tc>
        <w:tc>
          <w:tcPr>
            <w:tcW w:w="336" w:type="dxa"/>
            <w:tcBorders>
              <w:top w:val="nil"/>
              <w:left w:val="nil"/>
              <w:bottom w:val="single" w:sz="4" w:space="0" w:color="auto"/>
              <w:right w:val="single" w:sz="4" w:space="0" w:color="auto"/>
            </w:tcBorders>
            <w:shd w:val="clear" w:color="000000" w:fill="CCFFFF"/>
            <w:noWrap/>
            <w:vAlign w:val="center"/>
            <w:hideMark/>
          </w:tcPr>
          <w:p w14:paraId="5CDB764A" w14:textId="77777777" w:rsidR="00061543" w:rsidRPr="00061543" w:rsidRDefault="00061543" w:rsidP="00061543">
            <w:pPr>
              <w:spacing w:after="0" w:line="240" w:lineRule="auto"/>
              <w:jc w:val="right"/>
              <w:rPr>
                <w:rFonts w:ascii="Tahoma" w:eastAsia="Times New Roman" w:hAnsi="Tahoma" w:cs="Tahoma"/>
                <w:sz w:val="18"/>
                <w:szCs w:val="18"/>
                <w:lang w:eastAsia="hr-HR"/>
              </w:rPr>
            </w:pPr>
            <w:r w:rsidRPr="00061543">
              <w:rPr>
                <w:rFonts w:ascii="Tahoma" w:eastAsia="Times New Roman" w:hAnsi="Tahoma" w:cs="Tahoma"/>
                <w:sz w:val="18"/>
                <w:szCs w:val="18"/>
                <w:lang w:eastAsia="hr-HR"/>
              </w:rPr>
              <w:t>0</w:t>
            </w:r>
          </w:p>
        </w:tc>
        <w:tc>
          <w:tcPr>
            <w:tcW w:w="426" w:type="dxa"/>
            <w:tcBorders>
              <w:top w:val="nil"/>
              <w:left w:val="nil"/>
              <w:bottom w:val="single" w:sz="4" w:space="0" w:color="auto"/>
              <w:right w:val="single" w:sz="4" w:space="0" w:color="auto"/>
            </w:tcBorders>
            <w:shd w:val="clear" w:color="000000" w:fill="33CCCC"/>
            <w:noWrap/>
            <w:vAlign w:val="center"/>
            <w:hideMark/>
          </w:tcPr>
          <w:p w14:paraId="6A55E652" w14:textId="77777777" w:rsidR="00061543" w:rsidRPr="00061543" w:rsidRDefault="00061543" w:rsidP="00061543">
            <w:pPr>
              <w:spacing w:after="0" w:line="240" w:lineRule="auto"/>
              <w:jc w:val="right"/>
              <w:rPr>
                <w:rFonts w:ascii="Tahoma" w:eastAsia="Times New Roman" w:hAnsi="Tahoma" w:cs="Tahoma"/>
                <w:sz w:val="18"/>
                <w:szCs w:val="18"/>
                <w:lang w:eastAsia="hr-HR"/>
              </w:rPr>
            </w:pPr>
            <w:r w:rsidRPr="00061543">
              <w:rPr>
                <w:rFonts w:ascii="Tahoma" w:eastAsia="Times New Roman" w:hAnsi="Tahoma" w:cs="Tahoma"/>
                <w:sz w:val="18"/>
                <w:szCs w:val="18"/>
                <w:lang w:eastAsia="hr-HR"/>
              </w:rPr>
              <w:t>0</w:t>
            </w:r>
          </w:p>
        </w:tc>
        <w:tc>
          <w:tcPr>
            <w:tcW w:w="473" w:type="dxa"/>
            <w:tcBorders>
              <w:top w:val="nil"/>
              <w:left w:val="nil"/>
              <w:bottom w:val="single" w:sz="4" w:space="0" w:color="auto"/>
              <w:right w:val="single" w:sz="8" w:space="0" w:color="auto"/>
            </w:tcBorders>
            <w:shd w:val="clear" w:color="000000" w:fill="33CCCC"/>
            <w:noWrap/>
            <w:vAlign w:val="center"/>
            <w:hideMark/>
          </w:tcPr>
          <w:p w14:paraId="7C71D823" w14:textId="77777777" w:rsidR="00061543" w:rsidRPr="00061543" w:rsidRDefault="00061543" w:rsidP="00061543">
            <w:pPr>
              <w:spacing w:after="0" w:line="240" w:lineRule="auto"/>
              <w:jc w:val="right"/>
              <w:rPr>
                <w:rFonts w:ascii="Tahoma" w:eastAsia="Times New Roman" w:hAnsi="Tahoma" w:cs="Tahoma"/>
                <w:sz w:val="18"/>
                <w:szCs w:val="18"/>
                <w:lang w:eastAsia="hr-HR"/>
              </w:rPr>
            </w:pPr>
            <w:r w:rsidRPr="00061543">
              <w:rPr>
                <w:rFonts w:ascii="Tahoma" w:eastAsia="Times New Roman" w:hAnsi="Tahoma" w:cs="Tahoma"/>
                <w:sz w:val="18"/>
                <w:szCs w:val="18"/>
                <w:lang w:eastAsia="hr-HR"/>
              </w:rPr>
              <w:t>3</w:t>
            </w:r>
          </w:p>
        </w:tc>
        <w:tc>
          <w:tcPr>
            <w:tcW w:w="236" w:type="dxa"/>
            <w:gridSpan w:val="3"/>
            <w:vAlign w:val="center"/>
            <w:hideMark/>
          </w:tcPr>
          <w:p w14:paraId="367DBCB0" w14:textId="77777777" w:rsidR="00061543" w:rsidRPr="00061543" w:rsidRDefault="00061543" w:rsidP="00061543">
            <w:pPr>
              <w:spacing w:after="0" w:line="240" w:lineRule="auto"/>
              <w:rPr>
                <w:rFonts w:ascii="Times New Roman" w:eastAsia="Times New Roman" w:hAnsi="Times New Roman" w:cs="Times New Roman"/>
                <w:sz w:val="18"/>
                <w:szCs w:val="18"/>
                <w:lang w:eastAsia="hr-HR"/>
              </w:rPr>
            </w:pPr>
          </w:p>
        </w:tc>
      </w:tr>
      <w:tr w:rsidR="00061543" w:rsidRPr="00061543" w14:paraId="0AC40E7C" w14:textId="77777777" w:rsidTr="00061543">
        <w:trPr>
          <w:gridAfter w:val="2"/>
          <w:wAfter w:w="101" w:type="dxa"/>
          <w:trHeight w:val="420"/>
        </w:trPr>
        <w:tc>
          <w:tcPr>
            <w:tcW w:w="1576" w:type="dxa"/>
            <w:tcBorders>
              <w:top w:val="single" w:sz="4" w:space="0" w:color="auto"/>
              <w:left w:val="single" w:sz="8" w:space="0" w:color="auto"/>
              <w:bottom w:val="single" w:sz="4" w:space="0" w:color="auto"/>
              <w:right w:val="single" w:sz="4" w:space="0" w:color="auto"/>
            </w:tcBorders>
            <w:shd w:val="clear" w:color="000000" w:fill="CCFFCC"/>
            <w:vAlign w:val="center"/>
            <w:hideMark/>
          </w:tcPr>
          <w:p w14:paraId="2A1783F8" w14:textId="77777777" w:rsidR="00061543" w:rsidRPr="00061543" w:rsidRDefault="00061543" w:rsidP="00061543">
            <w:pPr>
              <w:spacing w:after="0" w:line="240" w:lineRule="auto"/>
              <w:rPr>
                <w:rFonts w:ascii="Tahoma" w:eastAsia="Times New Roman" w:hAnsi="Tahoma" w:cs="Tahoma"/>
                <w:sz w:val="18"/>
                <w:szCs w:val="18"/>
                <w:lang w:eastAsia="hr-HR"/>
              </w:rPr>
            </w:pPr>
            <w:r w:rsidRPr="00061543">
              <w:rPr>
                <w:rFonts w:ascii="Tahoma" w:eastAsia="Times New Roman" w:hAnsi="Tahoma" w:cs="Tahoma"/>
                <w:sz w:val="18"/>
                <w:szCs w:val="18"/>
                <w:lang w:eastAsia="hr-HR"/>
              </w:rPr>
              <w:t>Obrazovanje</w:t>
            </w:r>
          </w:p>
        </w:tc>
        <w:tc>
          <w:tcPr>
            <w:tcW w:w="560" w:type="dxa"/>
            <w:tcBorders>
              <w:top w:val="nil"/>
              <w:left w:val="nil"/>
              <w:bottom w:val="single" w:sz="4" w:space="0" w:color="auto"/>
              <w:right w:val="single" w:sz="4" w:space="0" w:color="auto"/>
            </w:tcBorders>
            <w:shd w:val="clear" w:color="000000" w:fill="FFCC99"/>
            <w:noWrap/>
            <w:vAlign w:val="center"/>
            <w:hideMark/>
          </w:tcPr>
          <w:p w14:paraId="632E85CD" w14:textId="77777777" w:rsidR="00061543" w:rsidRPr="00061543" w:rsidRDefault="00061543" w:rsidP="00061543">
            <w:pPr>
              <w:spacing w:after="0" w:line="240" w:lineRule="auto"/>
              <w:jc w:val="center"/>
              <w:rPr>
                <w:rFonts w:ascii="Tahoma" w:eastAsia="Times New Roman" w:hAnsi="Tahoma" w:cs="Tahoma"/>
                <w:sz w:val="18"/>
                <w:szCs w:val="18"/>
                <w:lang w:eastAsia="hr-HR"/>
              </w:rPr>
            </w:pPr>
            <w:r w:rsidRPr="00061543">
              <w:rPr>
                <w:rFonts w:ascii="Tahoma" w:eastAsia="Times New Roman" w:hAnsi="Tahoma" w:cs="Tahoma"/>
                <w:sz w:val="18"/>
                <w:szCs w:val="18"/>
                <w:lang w:eastAsia="hr-HR"/>
              </w:rPr>
              <w:t>7</w:t>
            </w:r>
          </w:p>
        </w:tc>
        <w:tc>
          <w:tcPr>
            <w:tcW w:w="446" w:type="dxa"/>
            <w:tcBorders>
              <w:top w:val="nil"/>
              <w:left w:val="nil"/>
              <w:bottom w:val="single" w:sz="4" w:space="0" w:color="auto"/>
              <w:right w:val="single" w:sz="4" w:space="0" w:color="auto"/>
            </w:tcBorders>
            <w:shd w:val="clear" w:color="000000" w:fill="FFFF00"/>
            <w:noWrap/>
            <w:vAlign w:val="center"/>
            <w:hideMark/>
          </w:tcPr>
          <w:p w14:paraId="0ACFF8F8" w14:textId="77777777" w:rsidR="00061543" w:rsidRPr="00061543" w:rsidRDefault="00061543" w:rsidP="00061543">
            <w:pPr>
              <w:spacing w:after="0" w:line="240" w:lineRule="auto"/>
              <w:jc w:val="center"/>
              <w:rPr>
                <w:rFonts w:ascii="Tahoma" w:eastAsia="Times New Roman" w:hAnsi="Tahoma" w:cs="Tahoma"/>
                <w:sz w:val="18"/>
                <w:szCs w:val="18"/>
                <w:lang w:eastAsia="hr-HR"/>
              </w:rPr>
            </w:pPr>
            <w:r w:rsidRPr="00061543">
              <w:rPr>
                <w:rFonts w:ascii="Tahoma" w:eastAsia="Times New Roman" w:hAnsi="Tahoma" w:cs="Tahoma"/>
                <w:sz w:val="18"/>
                <w:szCs w:val="18"/>
                <w:lang w:eastAsia="hr-HR"/>
              </w:rPr>
              <w:t>1</w:t>
            </w:r>
          </w:p>
        </w:tc>
        <w:tc>
          <w:tcPr>
            <w:tcW w:w="787" w:type="dxa"/>
            <w:tcBorders>
              <w:top w:val="nil"/>
              <w:left w:val="nil"/>
              <w:bottom w:val="single" w:sz="4" w:space="0" w:color="auto"/>
              <w:right w:val="single" w:sz="4" w:space="0" w:color="auto"/>
            </w:tcBorders>
            <w:shd w:val="clear" w:color="000000" w:fill="CCFFFF"/>
            <w:noWrap/>
            <w:vAlign w:val="center"/>
            <w:hideMark/>
          </w:tcPr>
          <w:p w14:paraId="678F005B" w14:textId="77777777" w:rsidR="00061543" w:rsidRPr="00061543" w:rsidRDefault="00061543" w:rsidP="00061543">
            <w:pPr>
              <w:spacing w:after="0" w:line="240" w:lineRule="auto"/>
              <w:jc w:val="right"/>
              <w:rPr>
                <w:rFonts w:ascii="Tahoma" w:eastAsia="Times New Roman" w:hAnsi="Tahoma" w:cs="Tahoma"/>
                <w:sz w:val="18"/>
                <w:szCs w:val="18"/>
                <w:lang w:eastAsia="hr-HR"/>
              </w:rPr>
            </w:pPr>
            <w:r w:rsidRPr="00061543">
              <w:rPr>
                <w:rFonts w:ascii="Tahoma" w:eastAsia="Times New Roman" w:hAnsi="Tahoma" w:cs="Tahoma"/>
                <w:sz w:val="18"/>
                <w:szCs w:val="18"/>
                <w:lang w:eastAsia="hr-HR"/>
              </w:rPr>
              <w:t>1</w:t>
            </w:r>
          </w:p>
        </w:tc>
        <w:tc>
          <w:tcPr>
            <w:tcW w:w="581" w:type="dxa"/>
            <w:tcBorders>
              <w:top w:val="nil"/>
              <w:left w:val="nil"/>
              <w:bottom w:val="single" w:sz="4" w:space="0" w:color="auto"/>
              <w:right w:val="single" w:sz="4" w:space="0" w:color="auto"/>
            </w:tcBorders>
            <w:shd w:val="clear" w:color="000000" w:fill="CCFFFF"/>
            <w:noWrap/>
            <w:vAlign w:val="center"/>
            <w:hideMark/>
          </w:tcPr>
          <w:p w14:paraId="740DA116" w14:textId="77777777" w:rsidR="00061543" w:rsidRPr="00061543" w:rsidRDefault="00061543" w:rsidP="00061543">
            <w:pPr>
              <w:spacing w:after="0" w:line="240" w:lineRule="auto"/>
              <w:jc w:val="right"/>
              <w:rPr>
                <w:rFonts w:ascii="Tahoma" w:eastAsia="Times New Roman" w:hAnsi="Tahoma" w:cs="Tahoma"/>
                <w:sz w:val="18"/>
                <w:szCs w:val="18"/>
                <w:lang w:eastAsia="hr-HR"/>
              </w:rPr>
            </w:pPr>
            <w:r w:rsidRPr="00061543">
              <w:rPr>
                <w:rFonts w:ascii="Tahoma" w:eastAsia="Times New Roman" w:hAnsi="Tahoma" w:cs="Tahoma"/>
                <w:sz w:val="18"/>
                <w:szCs w:val="18"/>
                <w:lang w:eastAsia="hr-HR"/>
              </w:rPr>
              <w:t>0</w:t>
            </w:r>
          </w:p>
        </w:tc>
        <w:tc>
          <w:tcPr>
            <w:tcW w:w="446" w:type="dxa"/>
            <w:tcBorders>
              <w:top w:val="nil"/>
              <w:left w:val="nil"/>
              <w:bottom w:val="single" w:sz="4" w:space="0" w:color="auto"/>
              <w:right w:val="single" w:sz="4" w:space="0" w:color="auto"/>
            </w:tcBorders>
            <w:shd w:val="clear" w:color="000000" w:fill="FFFF99"/>
            <w:noWrap/>
            <w:vAlign w:val="center"/>
            <w:hideMark/>
          </w:tcPr>
          <w:p w14:paraId="49E9B6C3" w14:textId="77777777" w:rsidR="00061543" w:rsidRPr="00061543" w:rsidRDefault="00061543" w:rsidP="00061543">
            <w:pPr>
              <w:spacing w:after="0" w:line="240" w:lineRule="auto"/>
              <w:jc w:val="center"/>
              <w:rPr>
                <w:rFonts w:ascii="Tahoma" w:eastAsia="Times New Roman" w:hAnsi="Tahoma" w:cs="Tahoma"/>
                <w:sz w:val="18"/>
                <w:szCs w:val="18"/>
                <w:lang w:eastAsia="hr-HR"/>
              </w:rPr>
            </w:pPr>
            <w:r w:rsidRPr="00061543">
              <w:rPr>
                <w:rFonts w:ascii="Tahoma" w:eastAsia="Times New Roman" w:hAnsi="Tahoma" w:cs="Tahoma"/>
                <w:sz w:val="18"/>
                <w:szCs w:val="18"/>
                <w:lang w:eastAsia="hr-HR"/>
              </w:rPr>
              <w:t>0</w:t>
            </w:r>
          </w:p>
        </w:tc>
        <w:tc>
          <w:tcPr>
            <w:tcW w:w="697" w:type="dxa"/>
            <w:tcBorders>
              <w:top w:val="nil"/>
              <w:left w:val="nil"/>
              <w:bottom w:val="single" w:sz="4" w:space="0" w:color="auto"/>
              <w:right w:val="single" w:sz="4" w:space="0" w:color="auto"/>
            </w:tcBorders>
            <w:shd w:val="clear" w:color="000000" w:fill="FFFF99"/>
            <w:noWrap/>
            <w:vAlign w:val="center"/>
            <w:hideMark/>
          </w:tcPr>
          <w:p w14:paraId="261534BA" w14:textId="77777777" w:rsidR="00061543" w:rsidRPr="00061543" w:rsidRDefault="00061543" w:rsidP="00061543">
            <w:pPr>
              <w:spacing w:after="0" w:line="240" w:lineRule="auto"/>
              <w:jc w:val="center"/>
              <w:rPr>
                <w:rFonts w:ascii="Tahoma" w:eastAsia="Times New Roman" w:hAnsi="Tahoma" w:cs="Tahoma"/>
                <w:sz w:val="18"/>
                <w:szCs w:val="18"/>
                <w:lang w:eastAsia="hr-HR"/>
              </w:rPr>
            </w:pPr>
            <w:r w:rsidRPr="00061543">
              <w:rPr>
                <w:rFonts w:ascii="Tahoma" w:eastAsia="Times New Roman" w:hAnsi="Tahoma" w:cs="Tahoma"/>
                <w:sz w:val="18"/>
                <w:szCs w:val="18"/>
                <w:lang w:eastAsia="hr-HR"/>
              </w:rPr>
              <w:t>0</w:t>
            </w:r>
          </w:p>
        </w:tc>
        <w:tc>
          <w:tcPr>
            <w:tcW w:w="446" w:type="dxa"/>
            <w:tcBorders>
              <w:top w:val="nil"/>
              <w:left w:val="nil"/>
              <w:bottom w:val="single" w:sz="4" w:space="0" w:color="auto"/>
              <w:right w:val="single" w:sz="4" w:space="0" w:color="auto"/>
            </w:tcBorders>
            <w:shd w:val="clear" w:color="000000" w:fill="FFFF99"/>
            <w:noWrap/>
            <w:vAlign w:val="center"/>
            <w:hideMark/>
          </w:tcPr>
          <w:p w14:paraId="16948DE7" w14:textId="77777777" w:rsidR="00061543" w:rsidRPr="00061543" w:rsidRDefault="00061543" w:rsidP="00061543">
            <w:pPr>
              <w:spacing w:after="0" w:line="240" w:lineRule="auto"/>
              <w:jc w:val="center"/>
              <w:rPr>
                <w:rFonts w:ascii="Tahoma" w:eastAsia="Times New Roman" w:hAnsi="Tahoma" w:cs="Tahoma"/>
                <w:sz w:val="18"/>
                <w:szCs w:val="18"/>
                <w:lang w:eastAsia="hr-HR"/>
              </w:rPr>
            </w:pPr>
            <w:r w:rsidRPr="00061543">
              <w:rPr>
                <w:rFonts w:ascii="Tahoma" w:eastAsia="Times New Roman" w:hAnsi="Tahoma" w:cs="Tahoma"/>
                <w:sz w:val="18"/>
                <w:szCs w:val="18"/>
                <w:lang w:eastAsia="hr-HR"/>
              </w:rPr>
              <w:t>1</w:t>
            </w:r>
          </w:p>
        </w:tc>
        <w:tc>
          <w:tcPr>
            <w:tcW w:w="567" w:type="dxa"/>
            <w:tcBorders>
              <w:top w:val="nil"/>
              <w:left w:val="nil"/>
              <w:bottom w:val="single" w:sz="4" w:space="0" w:color="auto"/>
              <w:right w:val="single" w:sz="4" w:space="0" w:color="auto"/>
            </w:tcBorders>
            <w:shd w:val="clear" w:color="000000" w:fill="FFFF99"/>
            <w:noWrap/>
            <w:vAlign w:val="center"/>
            <w:hideMark/>
          </w:tcPr>
          <w:p w14:paraId="5C149196" w14:textId="77777777" w:rsidR="00061543" w:rsidRPr="00061543" w:rsidRDefault="00061543" w:rsidP="00061543">
            <w:pPr>
              <w:spacing w:after="0" w:line="240" w:lineRule="auto"/>
              <w:jc w:val="center"/>
              <w:rPr>
                <w:rFonts w:ascii="Tahoma" w:eastAsia="Times New Roman" w:hAnsi="Tahoma" w:cs="Tahoma"/>
                <w:sz w:val="18"/>
                <w:szCs w:val="18"/>
                <w:lang w:eastAsia="hr-HR"/>
              </w:rPr>
            </w:pPr>
            <w:r w:rsidRPr="00061543">
              <w:rPr>
                <w:rFonts w:ascii="Tahoma" w:eastAsia="Times New Roman" w:hAnsi="Tahoma" w:cs="Tahoma"/>
                <w:sz w:val="18"/>
                <w:szCs w:val="18"/>
                <w:lang w:eastAsia="hr-HR"/>
              </w:rPr>
              <w:t>0</w:t>
            </w:r>
          </w:p>
        </w:tc>
        <w:tc>
          <w:tcPr>
            <w:tcW w:w="468" w:type="dxa"/>
            <w:tcBorders>
              <w:top w:val="nil"/>
              <w:left w:val="nil"/>
              <w:bottom w:val="single" w:sz="4" w:space="0" w:color="auto"/>
              <w:right w:val="single" w:sz="4" w:space="0" w:color="auto"/>
            </w:tcBorders>
            <w:shd w:val="clear" w:color="000000" w:fill="FFFF99"/>
            <w:noWrap/>
            <w:vAlign w:val="center"/>
            <w:hideMark/>
          </w:tcPr>
          <w:p w14:paraId="1C2209F3" w14:textId="77777777" w:rsidR="00061543" w:rsidRPr="00061543" w:rsidRDefault="00061543" w:rsidP="00061543">
            <w:pPr>
              <w:spacing w:after="0" w:line="240" w:lineRule="auto"/>
              <w:jc w:val="center"/>
              <w:rPr>
                <w:rFonts w:ascii="Tahoma" w:eastAsia="Times New Roman" w:hAnsi="Tahoma" w:cs="Tahoma"/>
                <w:sz w:val="18"/>
                <w:szCs w:val="18"/>
                <w:lang w:eastAsia="hr-HR"/>
              </w:rPr>
            </w:pPr>
            <w:r w:rsidRPr="00061543">
              <w:rPr>
                <w:rFonts w:ascii="Tahoma" w:eastAsia="Times New Roman" w:hAnsi="Tahoma" w:cs="Tahoma"/>
                <w:sz w:val="18"/>
                <w:szCs w:val="18"/>
                <w:lang w:eastAsia="hr-HR"/>
              </w:rPr>
              <w:t>0</w:t>
            </w:r>
          </w:p>
        </w:tc>
        <w:tc>
          <w:tcPr>
            <w:tcW w:w="808" w:type="dxa"/>
            <w:tcBorders>
              <w:top w:val="nil"/>
              <w:left w:val="nil"/>
              <w:bottom w:val="single" w:sz="4" w:space="0" w:color="auto"/>
              <w:right w:val="single" w:sz="4" w:space="0" w:color="auto"/>
            </w:tcBorders>
            <w:shd w:val="clear" w:color="000000" w:fill="FFFF99"/>
            <w:noWrap/>
            <w:vAlign w:val="center"/>
            <w:hideMark/>
          </w:tcPr>
          <w:p w14:paraId="60E47CAD" w14:textId="77777777" w:rsidR="00061543" w:rsidRPr="00061543" w:rsidRDefault="00061543" w:rsidP="00061543">
            <w:pPr>
              <w:spacing w:after="0" w:line="240" w:lineRule="auto"/>
              <w:jc w:val="center"/>
              <w:rPr>
                <w:rFonts w:ascii="Tahoma" w:eastAsia="Times New Roman" w:hAnsi="Tahoma" w:cs="Tahoma"/>
                <w:sz w:val="18"/>
                <w:szCs w:val="18"/>
                <w:lang w:eastAsia="hr-HR"/>
              </w:rPr>
            </w:pPr>
            <w:r w:rsidRPr="00061543">
              <w:rPr>
                <w:rFonts w:ascii="Tahoma" w:eastAsia="Times New Roman" w:hAnsi="Tahoma" w:cs="Tahoma"/>
                <w:sz w:val="18"/>
                <w:szCs w:val="18"/>
                <w:lang w:eastAsia="hr-HR"/>
              </w:rPr>
              <w:t>0</w:t>
            </w:r>
          </w:p>
        </w:tc>
        <w:tc>
          <w:tcPr>
            <w:tcW w:w="468" w:type="dxa"/>
            <w:gridSpan w:val="2"/>
            <w:tcBorders>
              <w:top w:val="nil"/>
              <w:left w:val="nil"/>
              <w:bottom w:val="single" w:sz="4" w:space="0" w:color="auto"/>
              <w:right w:val="single" w:sz="4" w:space="0" w:color="auto"/>
            </w:tcBorders>
            <w:shd w:val="clear" w:color="000000" w:fill="FF9900"/>
            <w:noWrap/>
            <w:vAlign w:val="center"/>
            <w:hideMark/>
          </w:tcPr>
          <w:p w14:paraId="388FEB0A" w14:textId="77777777" w:rsidR="00061543" w:rsidRPr="00061543" w:rsidRDefault="00061543" w:rsidP="00061543">
            <w:pPr>
              <w:spacing w:after="0" w:line="240" w:lineRule="auto"/>
              <w:jc w:val="right"/>
              <w:rPr>
                <w:rFonts w:ascii="Tahoma" w:eastAsia="Times New Roman" w:hAnsi="Tahoma" w:cs="Tahoma"/>
                <w:sz w:val="18"/>
                <w:szCs w:val="18"/>
                <w:lang w:eastAsia="hr-HR"/>
              </w:rPr>
            </w:pPr>
            <w:r w:rsidRPr="00061543">
              <w:rPr>
                <w:rFonts w:ascii="Tahoma" w:eastAsia="Times New Roman" w:hAnsi="Tahoma" w:cs="Tahoma"/>
                <w:sz w:val="18"/>
                <w:szCs w:val="18"/>
                <w:lang w:eastAsia="hr-HR"/>
              </w:rPr>
              <w:t>0</w:t>
            </w:r>
          </w:p>
        </w:tc>
        <w:tc>
          <w:tcPr>
            <w:tcW w:w="524" w:type="dxa"/>
            <w:tcBorders>
              <w:top w:val="nil"/>
              <w:left w:val="nil"/>
              <w:bottom w:val="single" w:sz="4" w:space="0" w:color="auto"/>
              <w:right w:val="single" w:sz="4" w:space="0" w:color="auto"/>
            </w:tcBorders>
            <w:shd w:val="clear" w:color="000000" w:fill="FF9900"/>
            <w:noWrap/>
            <w:vAlign w:val="center"/>
            <w:hideMark/>
          </w:tcPr>
          <w:p w14:paraId="0438B195" w14:textId="77777777" w:rsidR="00061543" w:rsidRPr="00061543" w:rsidRDefault="00061543" w:rsidP="00061543">
            <w:pPr>
              <w:spacing w:after="0" w:line="240" w:lineRule="auto"/>
              <w:jc w:val="right"/>
              <w:rPr>
                <w:rFonts w:ascii="Tahoma" w:eastAsia="Times New Roman" w:hAnsi="Tahoma" w:cs="Tahoma"/>
                <w:sz w:val="18"/>
                <w:szCs w:val="18"/>
                <w:lang w:eastAsia="hr-HR"/>
              </w:rPr>
            </w:pPr>
            <w:r w:rsidRPr="00061543">
              <w:rPr>
                <w:rFonts w:ascii="Tahoma" w:eastAsia="Times New Roman" w:hAnsi="Tahoma" w:cs="Tahoma"/>
                <w:sz w:val="18"/>
                <w:szCs w:val="18"/>
                <w:lang w:eastAsia="hr-HR"/>
              </w:rPr>
              <w:t>2</w:t>
            </w:r>
          </w:p>
        </w:tc>
        <w:tc>
          <w:tcPr>
            <w:tcW w:w="468" w:type="dxa"/>
            <w:tcBorders>
              <w:top w:val="nil"/>
              <w:left w:val="nil"/>
              <w:bottom w:val="single" w:sz="4" w:space="0" w:color="auto"/>
              <w:right w:val="single" w:sz="4" w:space="0" w:color="auto"/>
            </w:tcBorders>
            <w:shd w:val="clear" w:color="000000" w:fill="FF9900"/>
            <w:noWrap/>
            <w:vAlign w:val="center"/>
            <w:hideMark/>
          </w:tcPr>
          <w:p w14:paraId="0E015788" w14:textId="77777777" w:rsidR="00061543" w:rsidRPr="00061543" w:rsidRDefault="00061543" w:rsidP="00061543">
            <w:pPr>
              <w:spacing w:after="0" w:line="240" w:lineRule="auto"/>
              <w:jc w:val="right"/>
              <w:rPr>
                <w:rFonts w:ascii="Tahoma" w:eastAsia="Times New Roman" w:hAnsi="Tahoma" w:cs="Tahoma"/>
                <w:sz w:val="18"/>
                <w:szCs w:val="18"/>
                <w:lang w:eastAsia="hr-HR"/>
              </w:rPr>
            </w:pPr>
            <w:r w:rsidRPr="00061543">
              <w:rPr>
                <w:rFonts w:ascii="Tahoma" w:eastAsia="Times New Roman" w:hAnsi="Tahoma" w:cs="Tahoma"/>
                <w:sz w:val="18"/>
                <w:szCs w:val="18"/>
                <w:lang w:eastAsia="hr-HR"/>
              </w:rPr>
              <w:t>1</w:t>
            </w:r>
          </w:p>
        </w:tc>
        <w:tc>
          <w:tcPr>
            <w:tcW w:w="468" w:type="dxa"/>
            <w:tcBorders>
              <w:top w:val="nil"/>
              <w:left w:val="nil"/>
              <w:bottom w:val="single" w:sz="4" w:space="0" w:color="auto"/>
              <w:right w:val="single" w:sz="4" w:space="0" w:color="auto"/>
            </w:tcBorders>
            <w:shd w:val="clear" w:color="000000" w:fill="FFFF00"/>
            <w:vAlign w:val="center"/>
            <w:hideMark/>
          </w:tcPr>
          <w:p w14:paraId="6487AAEF" w14:textId="77777777" w:rsidR="00061543" w:rsidRPr="00061543" w:rsidRDefault="00061543" w:rsidP="00061543">
            <w:pPr>
              <w:spacing w:after="0" w:line="240" w:lineRule="auto"/>
              <w:jc w:val="center"/>
              <w:rPr>
                <w:rFonts w:ascii="Tahoma" w:eastAsia="Times New Roman" w:hAnsi="Tahoma" w:cs="Tahoma"/>
                <w:sz w:val="18"/>
                <w:szCs w:val="18"/>
                <w:lang w:eastAsia="hr-HR"/>
              </w:rPr>
            </w:pPr>
            <w:r w:rsidRPr="00061543">
              <w:rPr>
                <w:rFonts w:ascii="Tahoma" w:eastAsia="Times New Roman" w:hAnsi="Tahoma" w:cs="Tahoma"/>
                <w:sz w:val="18"/>
                <w:szCs w:val="18"/>
                <w:lang w:eastAsia="hr-HR"/>
              </w:rPr>
              <w:t>3</w:t>
            </w:r>
          </w:p>
        </w:tc>
        <w:tc>
          <w:tcPr>
            <w:tcW w:w="560" w:type="dxa"/>
            <w:gridSpan w:val="2"/>
            <w:tcBorders>
              <w:top w:val="nil"/>
              <w:left w:val="nil"/>
              <w:bottom w:val="single" w:sz="4" w:space="0" w:color="auto"/>
              <w:right w:val="single" w:sz="4" w:space="0" w:color="auto"/>
            </w:tcBorders>
            <w:shd w:val="clear" w:color="000000" w:fill="FF9900"/>
            <w:vAlign w:val="center"/>
            <w:hideMark/>
          </w:tcPr>
          <w:p w14:paraId="43B58B4F" w14:textId="77777777" w:rsidR="00061543" w:rsidRPr="00061543" w:rsidRDefault="00061543" w:rsidP="00061543">
            <w:pPr>
              <w:spacing w:after="0" w:line="240" w:lineRule="auto"/>
              <w:jc w:val="center"/>
              <w:rPr>
                <w:rFonts w:ascii="Tahoma" w:eastAsia="Times New Roman" w:hAnsi="Tahoma" w:cs="Tahoma"/>
                <w:sz w:val="18"/>
                <w:szCs w:val="18"/>
                <w:lang w:eastAsia="hr-HR"/>
              </w:rPr>
            </w:pPr>
            <w:r w:rsidRPr="00061543">
              <w:rPr>
                <w:rFonts w:ascii="Tahoma" w:eastAsia="Times New Roman" w:hAnsi="Tahoma" w:cs="Tahoma"/>
                <w:sz w:val="18"/>
                <w:szCs w:val="18"/>
                <w:lang w:eastAsia="hr-HR"/>
              </w:rPr>
              <w:t>5</w:t>
            </w:r>
          </w:p>
        </w:tc>
        <w:tc>
          <w:tcPr>
            <w:tcW w:w="905" w:type="dxa"/>
            <w:gridSpan w:val="2"/>
            <w:tcBorders>
              <w:top w:val="nil"/>
              <w:left w:val="nil"/>
              <w:bottom w:val="single" w:sz="4" w:space="0" w:color="auto"/>
              <w:right w:val="single" w:sz="4" w:space="0" w:color="auto"/>
            </w:tcBorders>
            <w:shd w:val="clear" w:color="000000" w:fill="FF9900"/>
            <w:noWrap/>
            <w:vAlign w:val="center"/>
            <w:hideMark/>
          </w:tcPr>
          <w:p w14:paraId="26AE328A" w14:textId="77777777" w:rsidR="00061543" w:rsidRPr="00061543" w:rsidRDefault="00061543" w:rsidP="00061543">
            <w:pPr>
              <w:spacing w:after="0" w:line="240" w:lineRule="auto"/>
              <w:jc w:val="center"/>
              <w:rPr>
                <w:rFonts w:ascii="Tahoma" w:eastAsia="Times New Roman" w:hAnsi="Tahoma" w:cs="Tahoma"/>
                <w:sz w:val="18"/>
                <w:szCs w:val="18"/>
                <w:lang w:eastAsia="hr-HR"/>
              </w:rPr>
            </w:pPr>
            <w:r w:rsidRPr="00061543">
              <w:rPr>
                <w:rFonts w:ascii="Tahoma" w:eastAsia="Times New Roman" w:hAnsi="Tahoma" w:cs="Tahoma"/>
                <w:sz w:val="18"/>
                <w:szCs w:val="18"/>
                <w:lang w:eastAsia="hr-HR"/>
              </w:rPr>
              <w:t>1</w:t>
            </w:r>
          </w:p>
        </w:tc>
        <w:tc>
          <w:tcPr>
            <w:tcW w:w="498" w:type="dxa"/>
            <w:tcBorders>
              <w:top w:val="nil"/>
              <w:left w:val="nil"/>
              <w:bottom w:val="single" w:sz="4" w:space="0" w:color="auto"/>
              <w:right w:val="single" w:sz="4" w:space="0" w:color="auto"/>
            </w:tcBorders>
            <w:shd w:val="clear" w:color="000000" w:fill="FF9900"/>
            <w:noWrap/>
            <w:vAlign w:val="center"/>
            <w:hideMark/>
          </w:tcPr>
          <w:p w14:paraId="03D58DA3" w14:textId="77777777" w:rsidR="00061543" w:rsidRPr="00061543" w:rsidRDefault="00061543" w:rsidP="00061543">
            <w:pPr>
              <w:spacing w:after="0" w:line="240" w:lineRule="auto"/>
              <w:jc w:val="center"/>
              <w:rPr>
                <w:rFonts w:ascii="Tahoma" w:eastAsia="Times New Roman" w:hAnsi="Tahoma" w:cs="Tahoma"/>
                <w:sz w:val="18"/>
                <w:szCs w:val="18"/>
                <w:lang w:eastAsia="hr-HR"/>
              </w:rPr>
            </w:pPr>
            <w:r w:rsidRPr="00061543">
              <w:rPr>
                <w:rFonts w:ascii="Tahoma" w:eastAsia="Times New Roman" w:hAnsi="Tahoma" w:cs="Tahoma"/>
                <w:sz w:val="18"/>
                <w:szCs w:val="18"/>
                <w:lang w:eastAsia="hr-HR"/>
              </w:rPr>
              <w:t>0</w:t>
            </w:r>
          </w:p>
        </w:tc>
        <w:tc>
          <w:tcPr>
            <w:tcW w:w="1016" w:type="dxa"/>
            <w:gridSpan w:val="2"/>
            <w:tcBorders>
              <w:top w:val="nil"/>
              <w:left w:val="nil"/>
              <w:bottom w:val="single" w:sz="4" w:space="0" w:color="auto"/>
              <w:right w:val="single" w:sz="4" w:space="0" w:color="auto"/>
            </w:tcBorders>
            <w:shd w:val="clear" w:color="000000" w:fill="FF9900"/>
            <w:noWrap/>
            <w:vAlign w:val="center"/>
            <w:hideMark/>
          </w:tcPr>
          <w:p w14:paraId="32A74DDA" w14:textId="77777777" w:rsidR="00061543" w:rsidRPr="00061543" w:rsidRDefault="00061543" w:rsidP="00061543">
            <w:pPr>
              <w:spacing w:after="0" w:line="240" w:lineRule="auto"/>
              <w:jc w:val="center"/>
              <w:rPr>
                <w:rFonts w:ascii="Tahoma" w:eastAsia="Times New Roman" w:hAnsi="Tahoma" w:cs="Tahoma"/>
                <w:sz w:val="18"/>
                <w:szCs w:val="18"/>
                <w:lang w:eastAsia="hr-HR"/>
              </w:rPr>
            </w:pPr>
            <w:r w:rsidRPr="00061543">
              <w:rPr>
                <w:rFonts w:ascii="Tahoma" w:eastAsia="Times New Roman" w:hAnsi="Tahoma" w:cs="Tahoma"/>
                <w:sz w:val="18"/>
                <w:szCs w:val="18"/>
                <w:lang w:eastAsia="hr-HR"/>
              </w:rPr>
              <w:t>2</w:t>
            </w:r>
          </w:p>
        </w:tc>
        <w:tc>
          <w:tcPr>
            <w:tcW w:w="505" w:type="dxa"/>
            <w:gridSpan w:val="2"/>
            <w:tcBorders>
              <w:top w:val="nil"/>
              <w:left w:val="nil"/>
              <w:bottom w:val="single" w:sz="4" w:space="0" w:color="auto"/>
              <w:right w:val="single" w:sz="4" w:space="0" w:color="auto"/>
            </w:tcBorders>
            <w:shd w:val="clear" w:color="000000" w:fill="CCFFFF"/>
            <w:noWrap/>
            <w:vAlign w:val="center"/>
            <w:hideMark/>
          </w:tcPr>
          <w:p w14:paraId="57628168" w14:textId="77777777" w:rsidR="00061543" w:rsidRPr="00061543" w:rsidRDefault="00061543" w:rsidP="00061543">
            <w:pPr>
              <w:spacing w:after="0" w:line="240" w:lineRule="auto"/>
              <w:jc w:val="right"/>
              <w:rPr>
                <w:rFonts w:ascii="Tahoma" w:eastAsia="Times New Roman" w:hAnsi="Tahoma" w:cs="Tahoma"/>
                <w:sz w:val="18"/>
                <w:szCs w:val="18"/>
                <w:lang w:eastAsia="hr-HR"/>
              </w:rPr>
            </w:pPr>
            <w:r w:rsidRPr="00061543">
              <w:rPr>
                <w:rFonts w:ascii="Tahoma" w:eastAsia="Times New Roman" w:hAnsi="Tahoma" w:cs="Tahoma"/>
                <w:sz w:val="18"/>
                <w:szCs w:val="18"/>
                <w:lang w:eastAsia="hr-HR"/>
              </w:rPr>
              <w:t>0</w:t>
            </w:r>
          </w:p>
        </w:tc>
        <w:tc>
          <w:tcPr>
            <w:tcW w:w="468" w:type="dxa"/>
            <w:tcBorders>
              <w:top w:val="nil"/>
              <w:left w:val="nil"/>
              <w:bottom w:val="single" w:sz="4" w:space="0" w:color="auto"/>
              <w:right w:val="single" w:sz="4" w:space="0" w:color="auto"/>
            </w:tcBorders>
            <w:shd w:val="clear" w:color="000000" w:fill="CCFFFF"/>
            <w:noWrap/>
            <w:vAlign w:val="center"/>
            <w:hideMark/>
          </w:tcPr>
          <w:p w14:paraId="790B4B1E" w14:textId="77777777" w:rsidR="00061543" w:rsidRPr="00061543" w:rsidRDefault="00061543" w:rsidP="00061543">
            <w:pPr>
              <w:spacing w:after="0" w:line="240" w:lineRule="auto"/>
              <w:jc w:val="right"/>
              <w:rPr>
                <w:rFonts w:ascii="Tahoma" w:eastAsia="Times New Roman" w:hAnsi="Tahoma" w:cs="Tahoma"/>
                <w:sz w:val="18"/>
                <w:szCs w:val="18"/>
                <w:lang w:eastAsia="hr-HR"/>
              </w:rPr>
            </w:pPr>
            <w:r w:rsidRPr="00061543">
              <w:rPr>
                <w:rFonts w:ascii="Tahoma" w:eastAsia="Times New Roman" w:hAnsi="Tahoma" w:cs="Tahoma"/>
                <w:sz w:val="18"/>
                <w:szCs w:val="18"/>
                <w:lang w:eastAsia="hr-HR"/>
              </w:rPr>
              <w:t>1</w:t>
            </w:r>
          </w:p>
        </w:tc>
        <w:tc>
          <w:tcPr>
            <w:tcW w:w="336" w:type="dxa"/>
            <w:tcBorders>
              <w:top w:val="nil"/>
              <w:left w:val="nil"/>
              <w:bottom w:val="single" w:sz="4" w:space="0" w:color="auto"/>
              <w:right w:val="single" w:sz="4" w:space="0" w:color="auto"/>
            </w:tcBorders>
            <w:shd w:val="clear" w:color="000000" w:fill="CCFFFF"/>
            <w:noWrap/>
            <w:vAlign w:val="center"/>
            <w:hideMark/>
          </w:tcPr>
          <w:p w14:paraId="414DC405" w14:textId="77777777" w:rsidR="00061543" w:rsidRPr="00061543" w:rsidRDefault="00061543" w:rsidP="00061543">
            <w:pPr>
              <w:spacing w:after="0" w:line="240" w:lineRule="auto"/>
              <w:jc w:val="right"/>
              <w:rPr>
                <w:rFonts w:ascii="Tahoma" w:eastAsia="Times New Roman" w:hAnsi="Tahoma" w:cs="Tahoma"/>
                <w:sz w:val="18"/>
                <w:szCs w:val="18"/>
                <w:lang w:eastAsia="hr-HR"/>
              </w:rPr>
            </w:pPr>
            <w:r w:rsidRPr="00061543">
              <w:rPr>
                <w:rFonts w:ascii="Tahoma" w:eastAsia="Times New Roman" w:hAnsi="Tahoma" w:cs="Tahoma"/>
                <w:sz w:val="18"/>
                <w:szCs w:val="18"/>
                <w:lang w:eastAsia="hr-HR"/>
              </w:rPr>
              <w:t>0</w:t>
            </w:r>
          </w:p>
        </w:tc>
        <w:tc>
          <w:tcPr>
            <w:tcW w:w="426" w:type="dxa"/>
            <w:tcBorders>
              <w:top w:val="nil"/>
              <w:left w:val="nil"/>
              <w:bottom w:val="single" w:sz="4" w:space="0" w:color="auto"/>
              <w:right w:val="single" w:sz="4" w:space="0" w:color="auto"/>
            </w:tcBorders>
            <w:shd w:val="clear" w:color="000000" w:fill="33CCCC"/>
            <w:noWrap/>
            <w:vAlign w:val="center"/>
            <w:hideMark/>
          </w:tcPr>
          <w:p w14:paraId="5F65D30C" w14:textId="77777777" w:rsidR="00061543" w:rsidRPr="00061543" w:rsidRDefault="00061543" w:rsidP="00061543">
            <w:pPr>
              <w:spacing w:after="0" w:line="240" w:lineRule="auto"/>
              <w:jc w:val="right"/>
              <w:rPr>
                <w:rFonts w:ascii="Tahoma" w:eastAsia="Times New Roman" w:hAnsi="Tahoma" w:cs="Tahoma"/>
                <w:sz w:val="18"/>
                <w:szCs w:val="18"/>
                <w:lang w:eastAsia="hr-HR"/>
              </w:rPr>
            </w:pPr>
            <w:r w:rsidRPr="00061543">
              <w:rPr>
                <w:rFonts w:ascii="Tahoma" w:eastAsia="Times New Roman" w:hAnsi="Tahoma" w:cs="Tahoma"/>
                <w:sz w:val="18"/>
                <w:szCs w:val="18"/>
                <w:lang w:eastAsia="hr-HR"/>
              </w:rPr>
              <w:t>1</w:t>
            </w:r>
          </w:p>
        </w:tc>
        <w:tc>
          <w:tcPr>
            <w:tcW w:w="473" w:type="dxa"/>
            <w:tcBorders>
              <w:top w:val="nil"/>
              <w:left w:val="nil"/>
              <w:bottom w:val="single" w:sz="4" w:space="0" w:color="auto"/>
              <w:right w:val="single" w:sz="8" w:space="0" w:color="auto"/>
            </w:tcBorders>
            <w:shd w:val="clear" w:color="000000" w:fill="33CCCC"/>
            <w:noWrap/>
            <w:vAlign w:val="center"/>
            <w:hideMark/>
          </w:tcPr>
          <w:p w14:paraId="605E6E64" w14:textId="77777777" w:rsidR="00061543" w:rsidRPr="00061543" w:rsidRDefault="00061543" w:rsidP="00061543">
            <w:pPr>
              <w:spacing w:after="0" w:line="240" w:lineRule="auto"/>
              <w:jc w:val="right"/>
              <w:rPr>
                <w:rFonts w:ascii="Tahoma" w:eastAsia="Times New Roman" w:hAnsi="Tahoma" w:cs="Tahoma"/>
                <w:sz w:val="18"/>
                <w:szCs w:val="18"/>
                <w:lang w:eastAsia="hr-HR"/>
              </w:rPr>
            </w:pPr>
            <w:r w:rsidRPr="00061543">
              <w:rPr>
                <w:rFonts w:ascii="Tahoma" w:eastAsia="Times New Roman" w:hAnsi="Tahoma" w:cs="Tahoma"/>
                <w:sz w:val="18"/>
                <w:szCs w:val="18"/>
                <w:lang w:eastAsia="hr-HR"/>
              </w:rPr>
              <w:t>2</w:t>
            </w:r>
          </w:p>
        </w:tc>
        <w:tc>
          <w:tcPr>
            <w:tcW w:w="236" w:type="dxa"/>
            <w:gridSpan w:val="3"/>
            <w:vAlign w:val="center"/>
            <w:hideMark/>
          </w:tcPr>
          <w:p w14:paraId="21BDD5E9" w14:textId="77777777" w:rsidR="00061543" w:rsidRPr="00061543" w:rsidRDefault="00061543" w:rsidP="00061543">
            <w:pPr>
              <w:spacing w:after="0" w:line="240" w:lineRule="auto"/>
              <w:rPr>
                <w:rFonts w:ascii="Times New Roman" w:eastAsia="Times New Roman" w:hAnsi="Times New Roman" w:cs="Times New Roman"/>
                <w:sz w:val="18"/>
                <w:szCs w:val="18"/>
                <w:lang w:eastAsia="hr-HR"/>
              </w:rPr>
            </w:pPr>
          </w:p>
        </w:tc>
      </w:tr>
      <w:tr w:rsidR="00061543" w:rsidRPr="00061543" w14:paraId="78875BAE" w14:textId="77777777" w:rsidTr="00061543">
        <w:trPr>
          <w:gridAfter w:val="2"/>
          <w:wAfter w:w="101" w:type="dxa"/>
          <w:trHeight w:val="420"/>
        </w:trPr>
        <w:tc>
          <w:tcPr>
            <w:tcW w:w="1576" w:type="dxa"/>
            <w:tcBorders>
              <w:top w:val="single" w:sz="4" w:space="0" w:color="auto"/>
              <w:left w:val="single" w:sz="8" w:space="0" w:color="auto"/>
              <w:bottom w:val="single" w:sz="4" w:space="0" w:color="auto"/>
              <w:right w:val="single" w:sz="4" w:space="0" w:color="auto"/>
            </w:tcBorders>
            <w:shd w:val="clear" w:color="000000" w:fill="CCFFCC"/>
            <w:vAlign w:val="center"/>
            <w:hideMark/>
          </w:tcPr>
          <w:p w14:paraId="1E6C5F6D" w14:textId="77777777" w:rsidR="00061543" w:rsidRPr="00061543" w:rsidRDefault="00061543" w:rsidP="00061543">
            <w:pPr>
              <w:spacing w:after="0" w:line="240" w:lineRule="auto"/>
              <w:rPr>
                <w:rFonts w:ascii="Tahoma" w:eastAsia="Times New Roman" w:hAnsi="Tahoma" w:cs="Tahoma"/>
                <w:sz w:val="18"/>
                <w:szCs w:val="18"/>
                <w:lang w:eastAsia="hr-HR"/>
              </w:rPr>
            </w:pPr>
            <w:r w:rsidRPr="00061543">
              <w:rPr>
                <w:rFonts w:ascii="Tahoma" w:eastAsia="Times New Roman" w:hAnsi="Tahoma" w:cs="Tahoma"/>
                <w:sz w:val="18"/>
                <w:szCs w:val="18"/>
                <w:lang w:eastAsia="hr-HR"/>
              </w:rPr>
              <w:t>Zdravstveno stanje</w:t>
            </w:r>
          </w:p>
        </w:tc>
        <w:tc>
          <w:tcPr>
            <w:tcW w:w="560" w:type="dxa"/>
            <w:tcBorders>
              <w:top w:val="nil"/>
              <w:left w:val="nil"/>
              <w:bottom w:val="single" w:sz="4" w:space="0" w:color="auto"/>
              <w:right w:val="single" w:sz="4" w:space="0" w:color="auto"/>
            </w:tcBorders>
            <w:shd w:val="clear" w:color="000000" w:fill="FFCC99"/>
            <w:noWrap/>
            <w:vAlign w:val="center"/>
            <w:hideMark/>
          </w:tcPr>
          <w:p w14:paraId="3E958ACD" w14:textId="77777777" w:rsidR="00061543" w:rsidRPr="00061543" w:rsidRDefault="00061543" w:rsidP="00061543">
            <w:pPr>
              <w:spacing w:after="0" w:line="240" w:lineRule="auto"/>
              <w:jc w:val="center"/>
              <w:rPr>
                <w:rFonts w:ascii="Tahoma" w:eastAsia="Times New Roman" w:hAnsi="Tahoma" w:cs="Tahoma"/>
                <w:sz w:val="18"/>
                <w:szCs w:val="18"/>
                <w:lang w:eastAsia="hr-HR"/>
              </w:rPr>
            </w:pPr>
            <w:r w:rsidRPr="00061543">
              <w:rPr>
                <w:rFonts w:ascii="Tahoma" w:eastAsia="Times New Roman" w:hAnsi="Tahoma" w:cs="Tahoma"/>
                <w:sz w:val="18"/>
                <w:szCs w:val="18"/>
                <w:lang w:eastAsia="hr-HR"/>
              </w:rPr>
              <w:t>7</w:t>
            </w:r>
          </w:p>
        </w:tc>
        <w:tc>
          <w:tcPr>
            <w:tcW w:w="446" w:type="dxa"/>
            <w:tcBorders>
              <w:top w:val="nil"/>
              <w:left w:val="nil"/>
              <w:bottom w:val="single" w:sz="4" w:space="0" w:color="auto"/>
              <w:right w:val="single" w:sz="4" w:space="0" w:color="auto"/>
            </w:tcBorders>
            <w:shd w:val="clear" w:color="000000" w:fill="FFFF00"/>
            <w:noWrap/>
            <w:vAlign w:val="center"/>
            <w:hideMark/>
          </w:tcPr>
          <w:p w14:paraId="09FAA8C7" w14:textId="77777777" w:rsidR="00061543" w:rsidRPr="00061543" w:rsidRDefault="00061543" w:rsidP="00061543">
            <w:pPr>
              <w:spacing w:after="0" w:line="240" w:lineRule="auto"/>
              <w:jc w:val="center"/>
              <w:rPr>
                <w:rFonts w:ascii="Tahoma" w:eastAsia="Times New Roman" w:hAnsi="Tahoma" w:cs="Tahoma"/>
                <w:sz w:val="18"/>
                <w:szCs w:val="18"/>
                <w:lang w:eastAsia="hr-HR"/>
              </w:rPr>
            </w:pPr>
            <w:r w:rsidRPr="00061543">
              <w:rPr>
                <w:rFonts w:ascii="Tahoma" w:eastAsia="Times New Roman" w:hAnsi="Tahoma" w:cs="Tahoma"/>
                <w:sz w:val="18"/>
                <w:szCs w:val="18"/>
                <w:lang w:eastAsia="hr-HR"/>
              </w:rPr>
              <w:t>1</w:t>
            </w:r>
          </w:p>
        </w:tc>
        <w:tc>
          <w:tcPr>
            <w:tcW w:w="787" w:type="dxa"/>
            <w:tcBorders>
              <w:top w:val="nil"/>
              <w:left w:val="nil"/>
              <w:bottom w:val="single" w:sz="4" w:space="0" w:color="auto"/>
              <w:right w:val="single" w:sz="4" w:space="0" w:color="auto"/>
            </w:tcBorders>
            <w:shd w:val="clear" w:color="000000" w:fill="CCFFFF"/>
            <w:noWrap/>
            <w:vAlign w:val="center"/>
            <w:hideMark/>
          </w:tcPr>
          <w:p w14:paraId="702986A6" w14:textId="77777777" w:rsidR="00061543" w:rsidRPr="00061543" w:rsidRDefault="00061543" w:rsidP="00061543">
            <w:pPr>
              <w:spacing w:after="0" w:line="240" w:lineRule="auto"/>
              <w:jc w:val="right"/>
              <w:rPr>
                <w:rFonts w:ascii="Tahoma" w:eastAsia="Times New Roman" w:hAnsi="Tahoma" w:cs="Tahoma"/>
                <w:sz w:val="18"/>
                <w:szCs w:val="18"/>
                <w:lang w:eastAsia="hr-HR"/>
              </w:rPr>
            </w:pPr>
            <w:r w:rsidRPr="00061543">
              <w:rPr>
                <w:rFonts w:ascii="Tahoma" w:eastAsia="Times New Roman" w:hAnsi="Tahoma" w:cs="Tahoma"/>
                <w:sz w:val="18"/>
                <w:szCs w:val="18"/>
                <w:lang w:eastAsia="hr-HR"/>
              </w:rPr>
              <w:t>0</w:t>
            </w:r>
          </w:p>
        </w:tc>
        <w:tc>
          <w:tcPr>
            <w:tcW w:w="581" w:type="dxa"/>
            <w:tcBorders>
              <w:top w:val="nil"/>
              <w:left w:val="nil"/>
              <w:bottom w:val="single" w:sz="4" w:space="0" w:color="auto"/>
              <w:right w:val="single" w:sz="4" w:space="0" w:color="auto"/>
            </w:tcBorders>
            <w:shd w:val="clear" w:color="000000" w:fill="CCFFFF"/>
            <w:noWrap/>
            <w:vAlign w:val="center"/>
            <w:hideMark/>
          </w:tcPr>
          <w:p w14:paraId="041F7C87" w14:textId="77777777" w:rsidR="00061543" w:rsidRPr="00061543" w:rsidRDefault="00061543" w:rsidP="00061543">
            <w:pPr>
              <w:spacing w:after="0" w:line="240" w:lineRule="auto"/>
              <w:jc w:val="right"/>
              <w:rPr>
                <w:rFonts w:ascii="Tahoma" w:eastAsia="Times New Roman" w:hAnsi="Tahoma" w:cs="Tahoma"/>
                <w:sz w:val="18"/>
                <w:szCs w:val="18"/>
                <w:lang w:eastAsia="hr-HR"/>
              </w:rPr>
            </w:pPr>
            <w:r w:rsidRPr="00061543">
              <w:rPr>
                <w:rFonts w:ascii="Tahoma" w:eastAsia="Times New Roman" w:hAnsi="Tahoma" w:cs="Tahoma"/>
                <w:sz w:val="18"/>
                <w:szCs w:val="18"/>
                <w:lang w:eastAsia="hr-HR"/>
              </w:rPr>
              <w:t>1</w:t>
            </w:r>
          </w:p>
        </w:tc>
        <w:tc>
          <w:tcPr>
            <w:tcW w:w="446" w:type="dxa"/>
            <w:tcBorders>
              <w:top w:val="nil"/>
              <w:left w:val="nil"/>
              <w:bottom w:val="single" w:sz="4" w:space="0" w:color="auto"/>
              <w:right w:val="single" w:sz="4" w:space="0" w:color="auto"/>
            </w:tcBorders>
            <w:shd w:val="clear" w:color="000000" w:fill="FFFF99"/>
            <w:noWrap/>
            <w:vAlign w:val="center"/>
            <w:hideMark/>
          </w:tcPr>
          <w:p w14:paraId="46F90203" w14:textId="77777777" w:rsidR="00061543" w:rsidRPr="00061543" w:rsidRDefault="00061543" w:rsidP="00061543">
            <w:pPr>
              <w:spacing w:after="0" w:line="240" w:lineRule="auto"/>
              <w:jc w:val="center"/>
              <w:rPr>
                <w:rFonts w:ascii="Tahoma" w:eastAsia="Times New Roman" w:hAnsi="Tahoma" w:cs="Tahoma"/>
                <w:sz w:val="18"/>
                <w:szCs w:val="18"/>
                <w:lang w:eastAsia="hr-HR"/>
              </w:rPr>
            </w:pPr>
            <w:r w:rsidRPr="00061543">
              <w:rPr>
                <w:rFonts w:ascii="Tahoma" w:eastAsia="Times New Roman" w:hAnsi="Tahoma" w:cs="Tahoma"/>
                <w:sz w:val="18"/>
                <w:szCs w:val="18"/>
                <w:lang w:eastAsia="hr-HR"/>
              </w:rPr>
              <w:t>1</w:t>
            </w:r>
          </w:p>
        </w:tc>
        <w:tc>
          <w:tcPr>
            <w:tcW w:w="697" w:type="dxa"/>
            <w:tcBorders>
              <w:top w:val="nil"/>
              <w:left w:val="nil"/>
              <w:bottom w:val="single" w:sz="4" w:space="0" w:color="auto"/>
              <w:right w:val="single" w:sz="4" w:space="0" w:color="auto"/>
            </w:tcBorders>
            <w:shd w:val="clear" w:color="000000" w:fill="FFFF99"/>
            <w:noWrap/>
            <w:vAlign w:val="center"/>
            <w:hideMark/>
          </w:tcPr>
          <w:p w14:paraId="59CF050E" w14:textId="77777777" w:rsidR="00061543" w:rsidRPr="00061543" w:rsidRDefault="00061543" w:rsidP="00061543">
            <w:pPr>
              <w:spacing w:after="0" w:line="240" w:lineRule="auto"/>
              <w:jc w:val="center"/>
              <w:rPr>
                <w:rFonts w:ascii="Tahoma" w:eastAsia="Times New Roman" w:hAnsi="Tahoma" w:cs="Tahoma"/>
                <w:sz w:val="18"/>
                <w:szCs w:val="18"/>
                <w:lang w:eastAsia="hr-HR"/>
              </w:rPr>
            </w:pPr>
            <w:r w:rsidRPr="00061543">
              <w:rPr>
                <w:rFonts w:ascii="Tahoma" w:eastAsia="Times New Roman" w:hAnsi="Tahoma" w:cs="Tahoma"/>
                <w:sz w:val="18"/>
                <w:szCs w:val="18"/>
                <w:lang w:eastAsia="hr-HR"/>
              </w:rPr>
              <w:t>0</w:t>
            </w:r>
          </w:p>
        </w:tc>
        <w:tc>
          <w:tcPr>
            <w:tcW w:w="446" w:type="dxa"/>
            <w:tcBorders>
              <w:top w:val="nil"/>
              <w:left w:val="nil"/>
              <w:bottom w:val="single" w:sz="4" w:space="0" w:color="auto"/>
              <w:right w:val="single" w:sz="4" w:space="0" w:color="auto"/>
            </w:tcBorders>
            <w:shd w:val="clear" w:color="000000" w:fill="FFFF99"/>
            <w:noWrap/>
            <w:vAlign w:val="center"/>
            <w:hideMark/>
          </w:tcPr>
          <w:p w14:paraId="7601CD5D" w14:textId="77777777" w:rsidR="00061543" w:rsidRPr="00061543" w:rsidRDefault="00061543" w:rsidP="00061543">
            <w:pPr>
              <w:spacing w:after="0" w:line="240" w:lineRule="auto"/>
              <w:jc w:val="center"/>
              <w:rPr>
                <w:rFonts w:ascii="Tahoma" w:eastAsia="Times New Roman" w:hAnsi="Tahoma" w:cs="Tahoma"/>
                <w:sz w:val="18"/>
                <w:szCs w:val="18"/>
                <w:lang w:eastAsia="hr-HR"/>
              </w:rPr>
            </w:pPr>
            <w:r w:rsidRPr="00061543">
              <w:rPr>
                <w:rFonts w:ascii="Tahoma" w:eastAsia="Times New Roman" w:hAnsi="Tahoma" w:cs="Tahoma"/>
                <w:sz w:val="18"/>
                <w:szCs w:val="18"/>
                <w:lang w:eastAsia="hr-HR"/>
              </w:rPr>
              <w:t>1</w:t>
            </w:r>
          </w:p>
        </w:tc>
        <w:tc>
          <w:tcPr>
            <w:tcW w:w="567" w:type="dxa"/>
            <w:tcBorders>
              <w:top w:val="nil"/>
              <w:left w:val="nil"/>
              <w:bottom w:val="single" w:sz="4" w:space="0" w:color="auto"/>
              <w:right w:val="single" w:sz="4" w:space="0" w:color="auto"/>
            </w:tcBorders>
            <w:shd w:val="clear" w:color="000000" w:fill="FFFF99"/>
            <w:noWrap/>
            <w:vAlign w:val="center"/>
            <w:hideMark/>
          </w:tcPr>
          <w:p w14:paraId="3E305C7A" w14:textId="77777777" w:rsidR="00061543" w:rsidRPr="00061543" w:rsidRDefault="00061543" w:rsidP="00061543">
            <w:pPr>
              <w:spacing w:after="0" w:line="240" w:lineRule="auto"/>
              <w:jc w:val="center"/>
              <w:rPr>
                <w:rFonts w:ascii="Tahoma" w:eastAsia="Times New Roman" w:hAnsi="Tahoma" w:cs="Tahoma"/>
                <w:sz w:val="18"/>
                <w:szCs w:val="18"/>
                <w:lang w:eastAsia="hr-HR"/>
              </w:rPr>
            </w:pPr>
            <w:r w:rsidRPr="00061543">
              <w:rPr>
                <w:rFonts w:ascii="Tahoma" w:eastAsia="Times New Roman" w:hAnsi="Tahoma" w:cs="Tahoma"/>
                <w:sz w:val="18"/>
                <w:szCs w:val="18"/>
                <w:lang w:eastAsia="hr-HR"/>
              </w:rPr>
              <w:t>0</w:t>
            </w:r>
          </w:p>
        </w:tc>
        <w:tc>
          <w:tcPr>
            <w:tcW w:w="468" w:type="dxa"/>
            <w:tcBorders>
              <w:top w:val="nil"/>
              <w:left w:val="nil"/>
              <w:bottom w:val="single" w:sz="4" w:space="0" w:color="auto"/>
              <w:right w:val="single" w:sz="4" w:space="0" w:color="auto"/>
            </w:tcBorders>
            <w:shd w:val="clear" w:color="000000" w:fill="FFFF99"/>
            <w:noWrap/>
            <w:vAlign w:val="center"/>
            <w:hideMark/>
          </w:tcPr>
          <w:p w14:paraId="6058792E" w14:textId="77777777" w:rsidR="00061543" w:rsidRPr="00061543" w:rsidRDefault="00061543" w:rsidP="00061543">
            <w:pPr>
              <w:spacing w:after="0" w:line="240" w:lineRule="auto"/>
              <w:jc w:val="center"/>
              <w:rPr>
                <w:rFonts w:ascii="Tahoma" w:eastAsia="Times New Roman" w:hAnsi="Tahoma" w:cs="Tahoma"/>
                <w:sz w:val="18"/>
                <w:szCs w:val="18"/>
                <w:lang w:eastAsia="hr-HR"/>
              </w:rPr>
            </w:pPr>
            <w:r w:rsidRPr="00061543">
              <w:rPr>
                <w:rFonts w:ascii="Tahoma" w:eastAsia="Times New Roman" w:hAnsi="Tahoma" w:cs="Tahoma"/>
                <w:sz w:val="18"/>
                <w:szCs w:val="18"/>
                <w:lang w:eastAsia="hr-HR"/>
              </w:rPr>
              <w:t>0</w:t>
            </w:r>
          </w:p>
        </w:tc>
        <w:tc>
          <w:tcPr>
            <w:tcW w:w="808" w:type="dxa"/>
            <w:tcBorders>
              <w:top w:val="nil"/>
              <w:left w:val="nil"/>
              <w:bottom w:val="single" w:sz="4" w:space="0" w:color="auto"/>
              <w:right w:val="single" w:sz="4" w:space="0" w:color="auto"/>
            </w:tcBorders>
            <w:shd w:val="clear" w:color="000000" w:fill="FFFF99"/>
            <w:noWrap/>
            <w:vAlign w:val="center"/>
            <w:hideMark/>
          </w:tcPr>
          <w:p w14:paraId="3D2DB0C7" w14:textId="77777777" w:rsidR="00061543" w:rsidRPr="00061543" w:rsidRDefault="00061543" w:rsidP="00061543">
            <w:pPr>
              <w:spacing w:after="0" w:line="240" w:lineRule="auto"/>
              <w:jc w:val="center"/>
              <w:rPr>
                <w:rFonts w:ascii="Tahoma" w:eastAsia="Times New Roman" w:hAnsi="Tahoma" w:cs="Tahoma"/>
                <w:sz w:val="18"/>
                <w:szCs w:val="18"/>
                <w:lang w:eastAsia="hr-HR"/>
              </w:rPr>
            </w:pPr>
            <w:r w:rsidRPr="00061543">
              <w:rPr>
                <w:rFonts w:ascii="Tahoma" w:eastAsia="Times New Roman" w:hAnsi="Tahoma" w:cs="Tahoma"/>
                <w:sz w:val="18"/>
                <w:szCs w:val="18"/>
                <w:lang w:eastAsia="hr-HR"/>
              </w:rPr>
              <w:t>0</w:t>
            </w:r>
          </w:p>
        </w:tc>
        <w:tc>
          <w:tcPr>
            <w:tcW w:w="468" w:type="dxa"/>
            <w:gridSpan w:val="2"/>
            <w:tcBorders>
              <w:top w:val="nil"/>
              <w:left w:val="nil"/>
              <w:bottom w:val="single" w:sz="4" w:space="0" w:color="auto"/>
              <w:right w:val="single" w:sz="4" w:space="0" w:color="auto"/>
            </w:tcBorders>
            <w:shd w:val="clear" w:color="000000" w:fill="FF9900"/>
            <w:noWrap/>
            <w:vAlign w:val="center"/>
            <w:hideMark/>
          </w:tcPr>
          <w:p w14:paraId="1CE39EAF" w14:textId="77777777" w:rsidR="00061543" w:rsidRPr="00061543" w:rsidRDefault="00061543" w:rsidP="00061543">
            <w:pPr>
              <w:spacing w:after="0" w:line="240" w:lineRule="auto"/>
              <w:jc w:val="right"/>
              <w:rPr>
                <w:rFonts w:ascii="Tahoma" w:eastAsia="Times New Roman" w:hAnsi="Tahoma" w:cs="Tahoma"/>
                <w:sz w:val="18"/>
                <w:szCs w:val="18"/>
                <w:lang w:eastAsia="hr-HR"/>
              </w:rPr>
            </w:pPr>
            <w:r w:rsidRPr="00061543">
              <w:rPr>
                <w:rFonts w:ascii="Tahoma" w:eastAsia="Times New Roman" w:hAnsi="Tahoma" w:cs="Tahoma"/>
                <w:sz w:val="18"/>
                <w:szCs w:val="18"/>
                <w:lang w:eastAsia="hr-HR"/>
              </w:rPr>
              <w:t>1</w:t>
            </w:r>
          </w:p>
        </w:tc>
        <w:tc>
          <w:tcPr>
            <w:tcW w:w="524" w:type="dxa"/>
            <w:tcBorders>
              <w:top w:val="nil"/>
              <w:left w:val="nil"/>
              <w:bottom w:val="single" w:sz="4" w:space="0" w:color="auto"/>
              <w:right w:val="single" w:sz="4" w:space="0" w:color="auto"/>
            </w:tcBorders>
            <w:shd w:val="clear" w:color="000000" w:fill="FF9900"/>
            <w:noWrap/>
            <w:vAlign w:val="center"/>
            <w:hideMark/>
          </w:tcPr>
          <w:p w14:paraId="634B51A0" w14:textId="77777777" w:rsidR="00061543" w:rsidRPr="00061543" w:rsidRDefault="00061543" w:rsidP="00061543">
            <w:pPr>
              <w:spacing w:after="0" w:line="240" w:lineRule="auto"/>
              <w:jc w:val="right"/>
              <w:rPr>
                <w:rFonts w:ascii="Tahoma" w:eastAsia="Times New Roman" w:hAnsi="Tahoma" w:cs="Tahoma"/>
                <w:sz w:val="18"/>
                <w:szCs w:val="18"/>
                <w:lang w:eastAsia="hr-HR"/>
              </w:rPr>
            </w:pPr>
            <w:r w:rsidRPr="00061543">
              <w:rPr>
                <w:rFonts w:ascii="Tahoma" w:eastAsia="Times New Roman" w:hAnsi="Tahoma" w:cs="Tahoma"/>
                <w:sz w:val="18"/>
                <w:szCs w:val="18"/>
                <w:lang w:eastAsia="hr-HR"/>
              </w:rPr>
              <w:t>4</w:t>
            </w:r>
          </w:p>
        </w:tc>
        <w:tc>
          <w:tcPr>
            <w:tcW w:w="468" w:type="dxa"/>
            <w:tcBorders>
              <w:top w:val="nil"/>
              <w:left w:val="nil"/>
              <w:bottom w:val="single" w:sz="4" w:space="0" w:color="auto"/>
              <w:right w:val="single" w:sz="4" w:space="0" w:color="auto"/>
            </w:tcBorders>
            <w:shd w:val="clear" w:color="000000" w:fill="FF9900"/>
            <w:noWrap/>
            <w:vAlign w:val="center"/>
            <w:hideMark/>
          </w:tcPr>
          <w:p w14:paraId="5B874DDA" w14:textId="77777777" w:rsidR="00061543" w:rsidRPr="00061543" w:rsidRDefault="00061543" w:rsidP="00061543">
            <w:pPr>
              <w:spacing w:after="0" w:line="240" w:lineRule="auto"/>
              <w:jc w:val="right"/>
              <w:rPr>
                <w:rFonts w:ascii="Tahoma" w:eastAsia="Times New Roman" w:hAnsi="Tahoma" w:cs="Tahoma"/>
                <w:sz w:val="18"/>
                <w:szCs w:val="18"/>
                <w:lang w:eastAsia="hr-HR"/>
              </w:rPr>
            </w:pPr>
            <w:r w:rsidRPr="00061543">
              <w:rPr>
                <w:rFonts w:ascii="Tahoma" w:eastAsia="Times New Roman" w:hAnsi="Tahoma" w:cs="Tahoma"/>
                <w:sz w:val="18"/>
                <w:szCs w:val="18"/>
                <w:lang w:eastAsia="hr-HR"/>
              </w:rPr>
              <w:t>0</w:t>
            </w:r>
          </w:p>
        </w:tc>
        <w:tc>
          <w:tcPr>
            <w:tcW w:w="468" w:type="dxa"/>
            <w:tcBorders>
              <w:top w:val="nil"/>
              <w:left w:val="nil"/>
              <w:bottom w:val="single" w:sz="4" w:space="0" w:color="auto"/>
              <w:right w:val="single" w:sz="4" w:space="0" w:color="auto"/>
            </w:tcBorders>
            <w:shd w:val="clear" w:color="000000" w:fill="FFFF00"/>
            <w:vAlign w:val="center"/>
            <w:hideMark/>
          </w:tcPr>
          <w:p w14:paraId="70C27F28" w14:textId="77777777" w:rsidR="00061543" w:rsidRPr="00061543" w:rsidRDefault="00061543" w:rsidP="00061543">
            <w:pPr>
              <w:spacing w:after="0" w:line="240" w:lineRule="auto"/>
              <w:jc w:val="center"/>
              <w:rPr>
                <w:rFonts w:ascii="Tahoma" w:eastAsia="Times New Roman" w:hAnsi="Tahoma" w:cs="Tahoma"/>
                <w:sz w:val="18"/>
                <w:szCs w:val="18"/>
                <w:lang w:eastAsia="hr-HR"/>
              </w:rPr>
            </w:pPr>
            <w:r w:rsidRPr="00061543">
              <w:rPr>
                <w:rFonts w:ascii="Tahoma" w:eastAsia="Times New Roman" w:hAnsi="Tahoma" w:cs="Tahoma"/>
                <w:sz w:val="18"/>
                <w:szCs w:val="18"/>
                <w:lang w:eastAsia="hr-HR"/>
              </w:rPr>
              <w:t>5</w:t>
            </w:r>
          </w:p>
        </w:tc>
        <w:tc>
          <w:tcPr>
            <w:tcW w:w="560" w:type="dxa"/>
            <w:gridSpan w:val="2"/>
            <w:tcBorders>
              <w:top w:val="nil"/>
              <w:left w:val="nil"/>
              <w:bottom w:val="single" w:sz="4" w:space="0" w:color="auto"/>
              <w:right w:val="single" w:sz="4" w:space="0" w:color="auto"/>
            </w:tcBorders>
            <w:shd w:val="clear" w:color="000000" w:fill="FF9900"/>
            <w:vAlign w:val="center"/>
            <w:hideMark/>
          </w:tcPr>
          <w:p w14:paraId="70950F00" w14:textId="77777777" w:rsidR="00061543" w:rsidRPr="00061543" w:rsidRDefault="00061543" w:rsidP="00061543">
            <w:pPr>
              <w:spacing w:after="0" w:line="240" w:lineRule="auto"/>
              <w:jc w:val="center"/>
              <w:rPr>
                <w:rFonts w:ascii="Tahoma" w:eastAsia="Times New Roman" w:hAnsi="Tahoma" w:cs="Tahoma"/>
                <w:sz w:val="18"/>
                <w:szCs w:val="18"/>
                <w:lang w:eastAsia="hr-HR"/>
              </w:rPr>
            </w:pPr>
            <w:r w:rsidRPr="00061543">
              <w:rPr>
                <w:rFonts w:ascii="Tahoma" w:eastAsia="Times New Roman" w:hAnsi="Tahoma" w:cs="Tahoma"/>
                <w:sz w:val="18"/>
                <w:szCs w:val="18"/>
                <w:lang w:eastAsia="hr-HR"/>
              </w:rPr>
              <w:t>3</w:t>
            </w:r>
          </w:p>
        </w:tc>
        <w:tc>
          <w:tcPr>
            <w:tcW w:w="905" w:type="dxa"/>
            <w:gridSpan w:val="2"/>
            <w:tcBorders>
              <w:top w:val="nil"/>
              <w:left w:val="nil"/>
              <w:bottom w:val="single" w:sz="4" w:space="0" w:color="auto"/>
              <w:right w:val="single" w:sz="4" w:space="0" w:color="auto"/>
            </w:tcBorders>
            <w:shd w:val="clear" w:color="000000" w:fill="FF9900"/>
            <w:noWrap/>
            <w:vAlign w:val="center"/>
            <w:hideMark/>
          </w:tcPr>
          <w:p w14:paraId="216D5B61" w14:textId="77777777" w:rsidR="00061543" w:rsidRPr="00061543" w:rsidRDefault="00061543" w:rsidP="00061543">
            <w:pPr>
              <w:spacing w:after="0" w:line="240" w:lineRule="auto"/>
              <w:jc w:val="center"/>
              <w:rPr>
                <w:rFonts w:ascii="Tahoma" w:eastAsia="Times New Roman" w:hAnsi="Tahoma" w:cs="Tahoma"/>
                <w:sz w:val="18"/>
                <w:szCs w:val="18"/>
                <w:lang w:eastAsia="hr-HR"/>
              </w:rPr>
            </w:pPr>
            <w:r w:rsidRPr="00061543">
              <w:rPr>
                <w:rFonts w:ascii="Tahoma" w:eastAsia="Times New Roman" w:hAnsi="Tahoma" w:cs="Tahoma"/>
                <w:sz w:val="18"/>
                <w:szCs w:val="18"/>
                <w:lang w:eastAsia="hr-HR"/>
              </w:rPr>
              <w:t>4</w:t>
            </w:r>
          </w:p>
        </w:tc>
        <w:tc>
          <w:tcPr>
            <w:tcW w:w="498" w:type="dxa"/>
            <w:tcBorders>
              <w:top w:val="nil"/>
              <w:left w:val="nil"/>
              <w:bottom w:val="single" w:sz="4" w:space="0" w:color="auto"/>
              <w:right w:val="single" w:sz="4" w:space="0" w:color="auto"/>
            </w:tcBorders>
            <w:shd w:val="clear" w:color="000000" w:fill="FF9900"/>
            <w:noWrap/>
            <w:vAlign w:val="center"/>
            <w:hideMark/>
          </w:tcPr>
          <w:p w14:paraId="7B574CC2" w14:textId="77777777" w:rsidR="00061543" w:rsidRPr="00061543" w:rsidRDefault="00061543" w:rsidP="00061543">
            <w:pPr>
              <w:spacing w:after="0" w:line="240" w:lineRule="auto"/>
              <w:jc w:val="center"/>
              <w:rPr>
                <w:rFonts w:ascii="Tahoma" w:eastAsia="Times New Roman" w:hAnsi="Tahoma" w:cs="Tahoma"/>
                <w:sz w:val="18"/>
                <w:szCs w:val="18"/>
                <w:lang w:eastAsia="hr-HR"/>
              </w:rPr>
            </w:pPr>
            <w:r w:rsidRPr="00061543">
              <w:rPr>
                <w:rFonts w:ascii="Tahoma" w:eastAsia="Times New Roman" w:hAnsi="Tahoma" w:cs="Tahoma"/>
                <w:sz w:val="18"/>
                <w:szCs w:val="18"/>
                <w:lang w:eastAsia="hr-HR"/>
              </w:rPr>
              <w:t>0</w:t>
            </w:r>
          </w:p>
        </w:tc>
        <w:tc>
          <w:tcPr>
            <w:tcW w:w="1016" w:type="dxa"/>
            <w:gridSpan w:val="2"/>
            <w:tcBorders>
              <w:top w:val="nil"/>
              <w:left w:val="nil"/>
              <w:bottom w:val="single" w:sz="4" w:space="0" w:color="auto"/>
              <w:right w:val="single" w:sz="4" w:space="0" w:color="auto"/>
            </w:tcBorders>
            <w:shd w:val="clear" w:color="000000" w:fill="FF9900"/>
            <w:noWrap/>
            <w:vAlign w:val="center"/>
            <w:hideMark/>
          </w:tcPr>
          <w:p w14:paraId="5F28BB57" w14:textId="77777777" w:rsidR="00061543" w:rsidRPr="00061543" w:rsidRDefault="00061543" w:rsidP="00061543">
            <w:pPr>
              <w:spacing w:after="0" w:line="240" w:lineRule="auto"/>
              <w:jc w:val="center"/>
              <w:rPr>
                <w:rFonts w:ascii="Tahoma" w:eastAsia="Times New Roman" w:hAnsi="Tahoma" w:cs="Tahoma"/>
                <w:sz w:val="18"/>
                <w:szCs w:val="18"/>
                <w:lang w:eastAsia="hr-HR"/>
              </w:rPr>
            </w:pPr>
            <w:r w:rsidRPr="00061543">
              <w:rPr>
                <w:rFonts w:ascii="Tahoma" w:eastAsia="Times New Roman" w:hAnsi="Tahoma" w:cs="Tahoma"/>
                <w:sz w:val="18"/>
                <w:szCs w:val="18"/>
                <w:lang w:eastAsia="hr-HR"/>
              </w:rPr>
              <w:t>4</w:t>
            </w:r>
          </w:p>
        </w:tc>
        <w:tc>
          <w:tcPr>
            <w:tcW w:w="505" w:type="dxa"/>
            <w:gridSpan w:val="2"/>
            <w:tcBorders>
              <w:top w:val="nil"/>
              <w:left w:val="nil"/>
              <w:bottom w:val="single" w:sz="4" w:space="0" w:color="auto"/>
              <w:right w:val="single" w:sz="4" w:space="0" w:color="auto"/>
            </w:tcBorders>
            <w:shd w:val="clear" w:color="000000" w:fill="CCFFFF"/>
            <w:noWrap/>
            <w:vAlign w:val="center"/>
            <w:hideMark/>
          </w:tcPr>
          <w:p w14:paraId="38A7E507" w14:textId="77777777" w:rsidR="00061543" w:rsidRPr="00061543" w:rsidRDefault="00061543" w:rsidP="00061543">
            <w:pPr>
              <w:spacing w:after="0" w:line="240" w:lineRule="auto"/>
              <w:jc w:val="right"/>
              <w:rPr>
                <w:rFonts w:ascii="Tahoma" w:eastAsia="Times New Roman" w:hAnsi="Tahoma" w:cs="Tahoma"/>
                <w:sz w:val="18"/>
                <w:szCs w:val="18"/>
                <w:lang w:eastAsia="hr-HR"/>
              </w:rPr>
            </w:pPr>
            <w:r w:rsidRPr="00061543">
              <w:rPr>
                <w:rFonts w:ascii="Tahoma" w:eastAsia="Times New Roman" w:hAnsi="Tahoma" w:cs="Tahoma"/>
                <w:sz w:val="18"/>
                <w:szCs w:val="18"/>
                <w:lang w:eastAsia="hr-HR"/>
              </w:rPr>
              <w:t>1</w:t>
            </w:r>
          </w:p>
        </w:tc>
        <w:tc>
          <w:tcPr>
            <w:tcW w:w="468" w:type="dxa"/>
            <w:tcBorders>
              <w:top w:val="nil"/>
              <w:left w:val="nil"/>
              <w:bottom w:val="single" w:sz="4" w:space="0" w:color="auto"/>
              <w:right w:val="single" w:sz="4" w:space="0" w:color="auto"/>
            </w:tcBorders>
            <w:shd w:val="clear" w:color="000000" w:fill="CCFFFF"/>
            <w:noWrap/>
            <w:vAlign w:val="center"/>
            <w:hideMark/>
          </w:tcPr>
          <w:p w14:paraId="1C0A1104" w14:textId="77777777" w:rsidR="00061543" w:rsidRPr="00061543" w:rsidRDefault="00061543" w:rsidP="00061543">
            <w:pPr>
              <w:spacing w:after="0" w:line="240" w:lineRule="auto"/>
              <w:jc w:val="right"/>
              <w:rPr>
                <w:rFonts w:ascii="Tahoma" w:eastAsia="Times New Roman" w:hAnsi="Tahoma" w:cs="Tahoma"/>
                <w:sz w:val="18"/>
                <w:szCs w:val="18"/>
                <w:lang w:eastAsia="hr-HR"/>
              </w:rPr>
            </w:pPr>
            <w:r w:rsidRPr="00061543">
              <w:rPr>
                <w:rFonts w:ascii="Tahoma" w:eastAsia="Times New Roman" w:hAnsi="Tahoma" w:cs="Tahoma"/>
                <w:sz w:val="18"/>
                <w:szCs w:val="18"/>
                <w:lang w:eastAsia="hr-HR"/>
              </w:rPr>
              <w:t>0</w:t>
            </w:r>
          </w:p>
        </w:tc>
        <w:tc>
          <w:tcPr>
            <w:tcW w:w="336" w:type="dxa"/>
            <w:tcBorders>
              <w:top w:val="nil"/>
              <w:left w:val="nil"/>
              <w:bottom w:val="single" w:sz="4" w:space="0" w:color="auto"/>
              <w:right w:val="single" w:sz="4" w:space="0" w:color="auto"/>
            </w:tcBorders>
            <w:shd w:val="clear" w:color="000000" w:fill="CCFFFF"/>
            <w:noWrap/>
            <w:vAlign w:val="center"/>
            <w:hideMark/>
          </w:tcPr>
          <w:p w14:paraId="493B8744" w14:textId="77777777" w:rsidR="00061543" w:rsidRPr="00061543" w:rsidRDefault="00061543" w:rsidP="00061543">
            <w:pPr>
              <w:spacing w:after="0" w:line="240" w:lineRule="auto"/>
              <w:jc w:val="right"/>
              <w:rPr>
                <w:rFonts w:ascii="Tahoma" w:eastAsia="Times New Roman" w:hAnsi="Tahoma" w:cs="Tahoma"/>
                <w:sz w:val="18"/>
                <w:szCs w:val="18"/>
                <w:lang w:eastAsia="hr-HR"/>
              </w:rPr>
            </w:pPr>
            <w:r w:rsidRPr="00061543">
              <w:rPr>
                <w:rFonts w:ascii="Tahoma" w:eastAsia="Times New Roman" w:hAnsi="Tahoma" w:cs="Tahoma"/>
                <w:sz w:val="18"/>
                <w:szCs w:val="18"/>
                <w:lang w:eastAsia="hr-HR"/>
              </w:rPr>
              <w:t>0</w:t>
            </w:r>
          </w:p>
        </w:tc>
        <w:tc>
          <w:tcPr>
            <w:tcW w:w="426" w:type="dxa"/>
            <w:tcBorders>
              <w:top w:val="nil"/>
              <w:left w:val="nil"/>
              <w:bottom w:val="single" w:sz="4" w:space="0" w:color="auto"/>
              <w:right w:val="single" w:sz="4" w:space="0" w:color="auto"/>
            </w:tcBorders>
            <w:shd w:val="clear" w:color="000000" w:fill="33CCCC"/>
            <w:noWrap/>
            <w:vAlign w:val="center"/>
            <w:hideMark/>
          </w:tcPr>
          <w:p w14:paraId="0BC11A1E" w14:textId="77777777" w:rsidR="00061543" w:rsidRPr="00061543" w:rsidRDefault="00061543" w:rsidP="00061543">
            <w:pPr>
              <w:spacing w:after="0" w:line="240" w:lineRule="auto"/>
              <w:jc w:val="right"/>
              <w:rPr>
                <w:rFonts w:ascii="Tahoma" w:eastAsia="Times New Roman" w:hAnsi="Tahoma" w:cs="Tahoma"/>
                <w:sz w:val="18"/>
                <w:szCs w:val="18"/>
                <w:lang w:eastAsia="hr-HR"/>
              </w:rPr>
            </w:pPr>
            <w:r w:rsidRPr="00061543">
              <w:rPr>
                <w:rFonts w:ascii="Tahoma" w:eastAsia="Times New Roman" w:hAnsi="Tahoma" w:cs="Tahoma"/>
                <w:sz w:val="18"/>
                <w:szCs w:val="18"/>
                <w:lang w:eastAsia="hr-HR"/>
              </w:rPr>
              <w:t>0</w:t>
            </w:r>
          </w:p>
        </w:tc>
        <w:tc>
          <w:tcPr>
            <w:tcW w:w="473" w:type="dxa"/>
            <w:tcBorders>
              <w:top w:val="nil"/>
              <w:left w:val="nil"/>
              <w:bottom w:val="single" w:sz="4" w:space="0" w:color="auto"/>
              <w:right w:val="single" w:sz="8" w:space="0" w:color="auto"/>
            </w:tcBorders>
            <w:shd w:val="clear" w:color="000000" w:fill="33CCCC"/>
            <w:noWrap/>
            <w:vAlign w:val="center"/>
            <w:hideMark/>
          </w:tcPr>
          <w:p w14:paraId="0A139F48" w14:textId="77777777" w:rsidR="00061543" w:rsidRPr="00061543" w:rsidRDefault="00061543" w:rsidP="00061543">
            <w:pPr>
              <w:spacing w:after="0" w:line="240" w:lineRule="auto"/>
              <w:jc w:val="right"/>
              <w:rPr>
                <w:rFonts w:ascii="Tahoma" w:eastAsia="Times New Roman" w:hAnsi="Tahoma" w:cs="Tahoma"/>
                <w:sz w:val="18"/>
                <w:szCs w:val="18"/>
                <w:lang w:eastAsia="hr-HR"/>
              </w:rPr>
            </w:pPr>
            <w:r w:rsidRPr="00061543">
              <w:rPr>
                <w:rFonts w:ascii="Tahoma" w:eastAsia="Times New Roman" w:hAnsi="Tahoma" w:cs="Tahoma"/>
                <w:sz w:val="18"/>
                <w:szCs w:val="18"/>
                <w:lang w:eastAsia="hr-HR"/>
              </w:rPr>
              <w:t>5</w:t>
            </w:r>
          </w:p>
        </w:tc>
        <w:tc>
          <w:tcPr>
            <w:tcW w:w="236" w:type="dxa"/>
            <w:gridSpan w:val="3"/>
            <w:vAlign w:val="center"/>
            <w:hideMark/>
          </w:tcPr>
          <w:p w14:paraId="2DD25158" w14:textId="77777777" w:rsidR="00061543" w:rsidRPr="00061543" w:rsidRDefault="00061543" w:rsidP="00061543">
            <w:pPr>
              <w:spacing w:after="0" w:line="240" w:lineRule="auto"/>
              <w:rPr>
                <w:rFonts w:ascii="Times New Roman" w:eastAsia="Times New Roman" w:hAnsi="Times New Roman" w:cs="Times New Roman"/>
                <w:sz w:val="18"/>
                <w:szCs w:val="18"/>
                <w:lang w:eastAsia="hr-HR"/>
              </w:rPr>
            </w:pPr>
          </w:p>
        </w:tc>
      </w:tr>
      <w:tr w:rsidR="00061543" w:rsidRPr="00061543" w14:paraId="395FDB79" w14:textId="77777777" w:rsidTr="00061543">
        <w:trPr>
          <w:gridAfter w:val="2"/>
          <w:wAfter w:w="101" w:type="dxa"/>
          <w:trHeight w:val="420"/>
        </w:trPr>
        <w:tc>
          <w:tcPr>
            <w:tcW w:w="1576" w:type="dxa"/>
            <w:tcBorders>
              <w:top w:val="single" w:sz="4" w:space="0" w:color="auto"/>
              <w:left w:val="single" w:sz="8" w:space="0" w:color="auto"/>
              <w:bottom w:val="single" w:sz="4" w:space="0" w:color="auto"/>
              <w:right w:val="single" w:sz="4" w:space="0" w:color="auto"/>
            </w:tcBorders>
            <w:shd w:val="clear" w:color="000000" w:fill="CCFFCC"/>
            <w:vAlign w:val="center"/>
            <w:hideMark/>
          </w:tcPr>
          <w:p w14:paraId="7BD523AF" w14:textId="77777777" w:rsidR="00061543" w:rsidRPr="00061543" w:rsidRDefault="00061543" w:rsidP="00061543">
            <w:pPr>
              <w:spacing w:after="0" w:line="240" w:lineRule="auto"/>
              <w:rPr>
                <w:rFonts w:ascii="Tahoma" w:eastAsia="Times New Roman" w:hAnsi="Tahoma" w:cs="Tahoma"/>
                <w:sz w:val="18"/>
                <w:szCs w:val="18"/>
                <w:lang w:eastAsia="hr-HR"/>
              </w:rPr>
            </w:pPr>
            <w:r w:rsidRPr="00061543">
              <w:rPr>
                <w:rFonts w:ascii="Tahoma" w:eastAsia="Times New Roman" w:hAnsi="Tahoma" w:cs="Tahoma"/>
                <w:sz w:val="18"/>
                <w:szCs w:val="18"/>
                <w:lang w:eastAsia="hr-HR"/>
              </w:rPr>
              <w:t>Invaliditet</w:t>
            </w:r>
          </w:p>
        </w:tc>
        <w:tc>
          <w:tcPr>
            <w:tcW w:w="560" w:type="dxa"/>
            <w:tcBorders>
              <w:top w:val="nil"/>
              <w:left w:val="nil"/>
              <w:bottom w:val="single" w:sz="4" w:space="0" w:color="auto"/>
              <w:right w:val="single" w:sz="4" w:space="0" w:color="auto"/>
            </w:tcBorders>
            <w:shd w:val="clear" w:color="000000" w:fill="FFCC99"/>
            <w:noWrap/>
            <w:vAlign w:val="center"/>
            <w:hideMark/>
          </w:tcPr>
          <w:p w14:paraId="3AC6EBFB" w14:textId="77777777" w:rsidR="00061543" w:rsidRPr="00061543" w:rsidRDefault="00061543" w:rsidP="00061543">
            <w:pPr>
              <w:spacing w:after="0" w:line="240" w:lineRule="auto"/>
              <w:jc w:val="center"/>
              <w:rPr>
                <w:rFonts w:ascii="Tahoma" w:eastAsia="Times New Roman" w:hAnsi="Tahoma" w:cs="Tahoma"/>
                <w:sz w:val="18"/>
                <w:szCs w:val="18"/>
                <w:lang w:eastAsia="hr-HR"/>
              </w:rPr>
            </w:pPr>
            <w:r w:rsidRPr="00061543">
              <w:rPr>
                <w:rFonts w:ascii="Tahoma" w:eastAsia="Times New Roman" w:hAnsi="Tahoma" w:cs="Tahoma"/>
                <w:sz w:val="18"/>
                <w:szCs w:val="18"/>
                <w:lang w:eastAsia="hr-HR"/>
              </w:rPr>
              <w:t>11</w:t>
            </w:r>
          </w:p>
        </w:tc>
        <w:tc>
          <w:tcPr>
            <w:tcW w:w="446" w:type="dxa"/>
            <w:tcBorders>
              <w:top w:val="nil"/>
              <w:left w:val="nil"/>
              <w:bottom w:val="single" w:sz="4" w:space="0" w:color="auto"/>
              <w:right w:val="single" w:sz="4" w:space="0" w:color="auto"/>
            </w:tcBorders>
            <w:shd w:val="clear" w:color="000000" w:fill="FFFF00"/>
            <w:noWrap/>
            <w:vAlign w:val="center"/>
            <w:hideMark/>
          </w:tcPr>
          <w:p w14:paraId="7C57DC50" w14:textId="77777777" w:rsidR="00061543" w:rsidRPr="00061543" w:rsidRDefault="00061543" w:rsidP="00061543">
            <w:pPr>
              <w:spacing w:after="0" w:line="240" w:lineRule="auto"/>
              <w:jc w:val="center"/>
              <w:rPr>
                <w:rFonts w:ascii="Tahoma" w:eastAsia="Times New Roman" w:hAnsi="Tahoma" w:cs="Tahoma"/>
                <w:sz w:val="18"/>
                <w:szCs w:val="18"/>
                <w:lang w:eastAsia="hr-HR"/>
              </w:rPr>
            </w:pPr>
            <w:r w:rsidRPr="00061543">
              <w:rPr>
                <w:rFonts w:ascii="Tahoma" w:eastAsia="Times New Roman" w:hAnsi="Tahoma" w:cs="Tahoma"/>
                <w:sz w:val="18"/>
                <w:szCs w:val="18"/>
                <w:lang w:eastAsia="hr-HR"/>
              </w:rPr>
              <w:t>12</w:t>
            </w:r>
          </w:p>
        </w:tc>
        <w:tc>
          <w:tcPr>
            <w:tcW w:w="787" w:type="dxa"/>
            <w:tcBorders>
              <w:top w:val="nil"/>
              <w:left w:val="nil"/>
              <w:bottom w:val="single" w:sz="4" w:space="0" w:color="auto"/>
              <w:right w:val="single" w:sz="4" w:space="0" w:color="auto"/>
            </w:tcBorders>
            <w:shd w:val="clear" w:color="000000" w:fill="CCFFFF"/>
            <w:noWrap/>
            <w:vAlign w:val="center"/>
            <w:hideMark/>
          </w:tcPr>
          <w:p w14:paraId="51ABEAFD" w14:textId="77777777" w:rsidR="00061543" w:rsidRPr="00061543" w:rsidRDefault="00061543" w:rsidP="00061543">
            <w:pPr>
              <w:spacing w:after="0" w:line="240" w:lineRule="auto"/>
              <w:jc w:val="right"/>
              <w:rPr>
                <w:rFonts w:ascii="Tahoma" w:eastAsia="Times New Roman" w:hAnsi="Tahoma" w:cs="Tahoma"/>
                <w:sz w:val="18"/>
                <w:szCs w:val="18"/>
                <w:lang w:eastAsia="hr-HR"/>
              </w:rPr>
            </w:pPr>
            <w:r w:rsidRPr="00061543">
              <w:rPr>
                <w:rFonts w:ascii="Tahoma" w:eastAsia="Times New Roman" w:hAnsi="Tahoma" w:cs="Tahoma"/>
                <w:sz w:val="18"/>
                <w:szCs w:val="18"/>
                <w:lang w:eastAsia="hr-HR"/>
              </w:rPr>
              <w:t>1</w:t>
            </w:r>
          </w:p>
        </w:tc>
        <w:tc>
          <w:tcPr>
            <w:tcW w:w="581" w:type="dxa"/>
            <w:tcBorders>
              <w:top w:val="nil"/>
              <w:left w:val="nil"/>
              <w:bottom w:val="single" w:sz="4" w:space="0" w:color="auto"/>
              <w:right w:val="single" w:sz="4" w:space="0" w:color="auto"/>
            </w:tcBorders>
            <w:shd w:val="clear" w:color="000000" w:fill="CCFFFF"/>
            <w:noWrap/>
            <w:vAlign w:val="center"/>
            <w:hideMark/>
          </w:tcPr>
          <w:p w14:paraId="4B62C48D" w14:textId="77777777" w:rsidR="00061543" w:rsidRPr="00061543" w:rsidRDefault="00061543" w:rsidP="00061543">
            <w:pPr>
              <w:spacing w:after="0" w:line="240" w:lineRule="auto"/>
              <w:jc w:val="right"/>
              <w:rPr>
                <w:rFonts w:ascii="Tahoma" w:eastAsia="Times New Roman" w:hAnsi="Tahoma" w:cs="Tahoma"/>
                <w:sz w:val="18"/>
                <w:szCs w:val="18"/>
                <w:lang w:eastAsia="hr-HR"/>
              </w:rPr>
            </w:pPr>
            <w:r w:rsidRPr="00061543">
              <w:rPr>
                <w:rFonts w:ascii="Tahoma" w:eastAsia="Times New Roman" w:hAnsi="Tahoma" w:cs="Tahoma"/>
                <w:sz w:val="18"/>
                <w:szCs w:val="18"/>
                <w:lang w:eastAsia="hr-HR"/>
              </w:rPr>
              <w:t>10</w:t>
            </w:r>
          </w:p>
        </w:tc>
        <w:tc>
          <w:tcPr>
            <w:tcW w:w="446" w:type="dxa"/>
            <w:tcBorders>
              <w:top w:val="nil"/>
              <w:left w:val="nil"/>
              <w:bottom w:val="single" w:sz="4" w:space="0" w:color="auto"/>
              <w:right w:val="single" w:sz="4" w:space="0" w:color="auto"/>
            </w:tcBorders>
            <w:shd w:val="clear" w:color="000000" w:fill="FFFF99"/>
            <w:noWrap/>
            <w:vAlign w:val="center"/>
            <w:hideMark/>
          </w:tcPr>
          <w:p w14:paraId="271B2A7E" w14:textId="77777777" w:rsidR="00061543" w:rsidRPr="00061543" w:rsidRDefault="00061543" w:rsidP="00061543">
            <w:pPr>
              <w:spacing w:after="0" w:line="240" w:lineRule="auto"/>
              <w:jc w:val="center"/>
              <w:rPr>
                <w:rFonts w:ascii="Tahoma" w:eastAsia="Times New Roman" w:hAnsi="Tahoma" w:cs="Tahoma"/>
                <w:sz w:val="18"/>
                <w:szCs w:val="18"/>
                <w:lang w:eastAsia="hr-HR"/>
              </w:rPr>
            </w:pPr>
            <w:r w:rsidRPr="00061543">
              <w:rPr>
                <w:rFonts w:ascii="Tahoma" w:eastAsia="Times New Roman" w:hAnsi="Tahoma" w:cs="Tahoma"/>
                <w:sz w:val="18"/>
                <w:szCs w:val="18"/>
                <w:lang w:eastAsia="hr-HR"/>
              </w:rPr>
              <w:t>9</w:t>
            </w:r>
          </w:p>
        </w:tc>
        <w:tc>
          <w:tcPr>
            <w:tcW w:w="697" w:type="dxa"/>
            <w:tcBorders>
              <w:top w:val="nil"/>
              <w:left w:val="nil"/>
              <w:bottom w:val="single" w:sz="4" w:space="0" w:color="auto"/>
              <w:right w:val="single" w:sz="4" w:space="0" w:color="auto"/>
            </w:tcBorders>
            <w:shd w:val="clear" w:color="000000" w:fill="FFFF99"/>
            <w:noWrap/>
            <w:vAlign w:val="center"/>
            <w:hideMark/>
          </w:tcPr>
          <w:p w14:paraId="5839F25F" w14:textId="77777777" w:rsidR="00061543" w:rsidRPr="00061543" w:rsidRDefault="00061543" w:rsidP="00061543">
            <w:pPr>
              <w:spacing w:after="0" w:line="240" w:lineRule="auto"/>
              <w:jc w:val="center"/>
              <w:rPr>
                <w:rFonts w:ascii="Tahoma" w:eastAsia="Times New Roman" w:hAnsi="Tahoma" w:cs="Tahoma"/>
                <w:sz w:val="18"/>
                <w:szCs w:val="18"/>
                <w:lang w:eastAsia="hr-HR"/>
              </w:rPr>
            </w:pPr>
            <w:r w:rsidRPr="00061543">
              <w:rPr>
                <w:rFonts w:ascii="Tahoma" w:eastAsia="Times New Roman" w:hAnsi="Tahoma" w:cs="Tahoma"/>
                <w:sz w:val="18"/>
                <w:szCs w:val="18"/>
                <w:lang w:eastAsia="hr-HR"/>
              </w:rPr>
              <w:t>7</w:t>
            </w:r>
          </w:p>
        </w:tc>
        <w:tc>
          <w:tcPr>
            <w:tcW w:w="446" w:type="dxa"/>
            <w:tcBorders>
              <w:top w:val="nil"/>
              <w:left w:val="nil"/>
              <w:bottom w:val="single" w:sz="4" w:space="0" w:color="auto"/>
              <w:right w:val="single" w:sz="4" w:space="0" w:color="auto"/>
            </w:tcBorders>
            <w:shd w:val="clear" w:color="000000" w:fill="FFFF99"/>
            <w:noWrap/>
            <w:vAlign w:val="center"/>
            <w:hideMark/>
          </w:tcPr>
          <w:p w14:paraId="4214151B" w14:textId="77777777" w:rsidR="00061543" w:rsidRPr="00061543" w:rsidRDefault="00061543" w:rsidP="00061543">
            <w:pPr>
              <w:spacing w:after="0" w:line="240" w:lineRule="auto"/>
              <w:jc w:val="center"/>
              <w:rPr>
                <w:rFonts w:ascii="Tahoma" w:eastAsia="Times New Roman" w:hAnsi="Tahoma" w:cs="Tahoma"/>
                <w:sz w:val="18"/>
                <w:szCs w:val="18"/>
                <w:lang w:eastAsia="hr-HR"/>
              </w:rPr>
            </w:pPr>
            <w:r w:rsidRPr="00061543">
              <w:rPr>
                <w:rFonts w:ascii="Tahoma" w:eastAsia="Times New Roman" w:hAnsi="Tahoma" w:cs="Tahoma"/>
                <w:sz w:val="18"/>
                <w:szCs w:val="18"/>
                <w:lang w:eastAsia="hr-HR"/>
              </w:rPr>
              <w:t>4</w:t>
            </w:r>
          </w:p>
        </w:tc>
        <w:tc>
          <w:tcPr>
            <w:tcW w:w="567" w:type="dxa"/>
            <w:tcBorders>
              <w:top w:val="nil"/>
              <w:left w:val="nil"/>
              <w:bottom w:val="single" w:sz="4" w:space="0" w:color="auto"/>
              <w:right w:val="single" w:sz="4" w:space="0" w:color="auto"/>
            </w:tcBorders>
            <w:shd w:val="clear" w:color="000000" w:fill="FFFF99"/>
            <w:noWrap/>
            <w:vAlign w:val="center"/>
            <w:hideMark/>
          </w:tcPr>
          <w:p w14:paraId="177A8A8C" w14:textId="77777777" w:rsidR="00061543" w:rsidRPr="00061543" w:rsidRDefault="00061543" w:rsidP="00061543">
            <w:pPr>
              <w:spacing w:after="0" w:line="240" w:lineRule="auto"/>
              <w:jc w:val="center"/>
              <w:rPr>
                <w:rFonts w:ascii="Tahoma" w:eastAsia="Times New Roman" w:hAnsi="Tahoma" w:cs="Tahoma"/>
                <w:sz w:val="18"/>
                <w:szCs w:val="18"/>
                <w:lang w:eastAsia="hr-HR"/>
              </w:rPr>
            </w:pPr>
            <w:r w:rsidRPr="00061543">
              <w:rPr>
                <w:rFonts w:ascii="Tahoma" w:eastAsia="Times New Roman" w:hAnsi="Tahoma" w:cs="Tahoma"/>
                <w:sz w:val="18"/>
                <w:szCs w:val="18"/>
                <w:lang w:eastAsia="hr-HR"/>
              </w:rPr>
              <w:t>0</w:t>
            </w:r>
          </w:p>
        </w:tc>
        <w:tc>
          <w:tcPr>
            <w:tcW w:w="468" w:type="dxa"/>
            <w:tcBorders>
              <w:top w:val="nil"/>
              <w:left w:val="nil"/>
              <w:bottom w:val="single" w:sz="4" w:space="0" w:color="auto"/>
              <w:right w:val="single" w:sz="4" w:space="0" w:color="auto"/>
            </w:tcBorders>
            <w:shd w:val="clear" w:color="000000" w:fill="FFFF99"/>
            <w:noWrap/>
            <w:vAlign w:val="center"/>
            <w:hideMark/>
          </w:tcPr>
          <w:p w14:paraId="5321D940" w14:textId="77777777" w:rsidR="00061543" w:rsidRPr="00061543" w:rsidRDefault="00061543" w:rsidP="00061543">
            <w:pPr>
              <w:spacing w:after="0" w:line="240" w:lineRule="auto"/>
              <w:jc w:val="center"/>
              <w:rPr>
                <w:rFonts w:ascii="Tahoma" w:eastAsia="Times New Roman" w:hAnsi="Tahoma" w:cs="Tahoma"/>
                <w:sz w:val="18"/>
                <w:szCs w:val="18"/>
                <w:lang w:eastAsia="hr-HR"/>
              </w:rPr>
            </w:pPr>
            <w:r w:rsidRPr="00061543">
              <w:rPr>
                <w:rFonts w:ascii="Tahoma" w:eastAsia="Times New Roman" w:hAnsi="Tahoma" w:cs="Tahoma"/>
                <w:sz w:val="18"/>
                <w:szCs w:val="18"/>
                <w:lang w:eastAsia="hr-HR"/>
              </w:rPr>
              <w:t>0</w:t>
            </w:r>
          </w:p>
        </w:tc>
        <w:tc>
          <w:tcPr>
            <w:tcW w:w="808" w:type="dxa"/>
            <w:tcBorders>
              <w:top w:val="nil"/>
              <w:left w:val="nil"/>
              <w:bottom w:val="single" w:sz="4" w:space="0" w:color="auto"/>
              <w:right w:val="single" w:sz="4" w:space="0" w:color="auto"/>
            </w:tcBorders>
            <w:shd w:val="clear" w:color="000000" w:fill="FFFF99"/>
            <w:noWrap/>
            <w:vAlign w:val="center"/>
            <w:hideMark/>
          </w:tcPr>
          <w:p w14:paraId="54985586" w14:textId="77777777" w:rsidR="00061543" w:rsidRPr="00061543" w:rsidRDefault="00061543" w:rsidP="00061543">
            <w:pPr>
              <w:spacing w:after="0" w:line="240" w:lineRule="auto"/>
              <w:jc w:val="center"/>
              <w:rPr>
                <w:rFonts w:ascii="Tahoma" w:eastAsia="Times New Roman" w:hAnsi="Tahoma" w:cs="Tahoma"/>
                <w:sz w:val="18"/>
                <w:szCs w:val="18"/>
                <w:lang w:eastAsia="hr-HR"/>
              </w:rPr>
            </w:pPr>
            <w:r w:rsidRPr="00061543">
              <w:rPr>
                <w:rFonts w:ascii="Tahoma" w:eastAsia="Times New Roman" w:hAnsi="Tahoma" w:cs="Tahoma"/>
                <w:sz w:val="18"/>
                <w:szCs w:val="18"/>
                <w:lang w:eastAsia="hr-HR"/>
              </w:rPr>
              <w:t>0</w:t>
            </w:r>
          </w:p>
        </w:tc>
        <w:tc>
          <w:tcPr>
            <w:tcW w:w="468" w:type="dxa"/>
            <w:gridSpan w:val="2"/>
            <w:tcBorders>
              <w:top w:val="nil"/>
              <w:left w:val="nil"/>
              <w:bottom w:val="single" w:sz="4" w:space="0" w:color="auto"/>
              <w:right w:val="single" w:sz="4" w:space="0" w:color="auto"/>
            </w:tcBorders>
            <w:shd w:val="clear" w:color="000000" w:fill="FF9900"/>
            <w:noWrap/>
            <w:vAlign w:val="center"/>
            <w:hideMark/>
          </w:tcPr>
          <w:p w14:paraId="7315D762" w14:textId="77777777" w:rsidR="00061543" w:rsidRPr="00061543" w:rsidRDefault="00061543" w:rsidP="00061543">
            <w:pPr>
              <w:spacing w:after="0" w:line="240" w:lineRule="auto"/>
              <w:jc w:val="right"/>
              <w:rPr>
                <w:rFonts w:ascii="Tahoma" w:eastAsia="Times New Roman" w:hAnsi="Tahoma" w:cs="Tahoma"/>
                <w:sz w:val="18"/>
                <w:szCs w:val="18"/>
                <w:lang w:eastAsia="hr-HR"/>
              </w:rPr>
            </w:pPr>
            <w:r w:rsidRPr="00061543">
              <w:rPr>
                <w:rFonts w:ascii="Tahoma" w:eastAsia="Times New Roman" w:hAnsi="Tahoma" w:cs="Tahoma"/>
                <w:sz w:val="18"/>
                <w:szCs w:val="18"/>
                <w:lang w:eastAsia="hr-HR"/>
              </w:rPr>
              <w:t>0</w:t>
            </w:r>
          </w:p>
        </w:tc>
        <w:tc>
          <w:tcPr>
            <w:tcW w:w="524" w:type="dxa"/>
            <w:tcBorders>
              <w:top w:val="nil"/>
              <w:left w:val="nil"/>
              <w:bottom w:val="single" w:sz="4" w:space="0" w:color="auto"/>
              <w:right w:val="single" w:sz="4" w:space="0" w:color="auto"/>
            </w:tcBorders>
            <w:shd w:val="clear" w:color="000000" w:fill="FF9900"/>
            <w:noWrap/>
            <w:vAlign w:val="center"/>
            <w:hideMark/>
          </w:tcPr>
          <w:p w14:paraId="27F4C569" w14:textId="77777777" w:rsidR="00061543" w:rsidRPr="00061543" w:rsidRDefault="00061543" w:rsidP="00061543">
            <w:pPr>
              <w:spacing w:after="0" w:line="240" w:lineRule="auto"/>
              <w:jc w:val="right"/>
              <w:rPr>
                <w:rFonts w:ascii="Tahoma" w:eastAsia="Times New Roman" w:hAnsi="Tahoma" w:cs="Tahoma"/>
                <w:sz w:val="18"/>
                <w:szCs w:val="18"/>
                <w:lang w:eastAsia="hr-HR"/>
              </w:rPr>
            </w:pPr>
            <w:r w:rsidRPr="00061543">
              <w:rPr>
                <w:rFonts w:ascii="Tahoma" w:eastAsia="Times New Roman" w:hAnsi="Tahoma" w:cs="Tahoma"/>
                <w:sz w:val="18"/>
                <w:szCs w:val="18"/>
                <w:lang w:eastAsia="hr-HR"/>
              </w:rPr>
              <w:t>1</w:t>
            </w:r>
          </w:p>
        </w:tc>
        <w:tc>
          <w:tcPr>
            <w:tcW w:w="468" w:type="dxa"/>
            <w:tcBorders>
              <w:top w:val="nil"/>
              <w:left w:val="nil"/>
              <w:bottom w:val="single" w:sz="4" w:space="0" w:color="auto"/>
              <w:right w:val="single" w:sz="4" w:space="0" w:color="auto"/>
            </w:tcBorders>
            <w:shd w:val="clear" w:color="000000" w:fill="FF9900"/>
            <w:noWrap/>
            <w:vAlign w:val="center"/>
            <w:hideMark/>
          </w:tcPr>
          <w:p w14:paraId="74461BE4" w14:textId="77777777" w:rsidR="00061543" w:rsidRPr="00061543" w:rsidRDefault="00061543" w:rsidP="00061543">
            <w:pPr>
              <w:spacing w:after="0" w:line="240" w:lineRule="auto"/>
              <w:jc w:val="right"/>
              <w:rPr>
                <w:rFonts w:ascii="Tahoma" w:eastAsia="Times New Roman" w:hAnsi="Tahoma" w:cs="Tahoma"/>
                <w:sz w:val="18"/>
                <w:szCs w:val="18"/>
                <w:lang w:eastAsia="hr-HR"/>
              </w:rPr>
            </w:pPr>
            <w:r w:rsidRPr="00061543">
              <w:rPr>
                <w:rFonts w:ascii="Tahoma" w:eastAsia="Times New Roman" w:hAnsi="Tahoma" w:cs="Tahoma"/>
                <w:sz w:val="18"/>
                <w:szCs w:val="18"/>
                <w:lang w:eastAsia="hr-HR"/>
              </w:rPr>
              <w:t>5</w:t>
            </w:r>
          </w:p>
        </w:tc>
        <w:tc>
          <w:tcPr>
            <w:tcW w:w="468" w:type="dxa"/>
            <w:tcBorders>
              <w:top w:val="nil"/>
              <w:left w:val="nil"/>
              <w:bottom w:val="single" w:sz="4" w:space="0" w:color="auto"/>
              <w:right w:val="single" w:sz="4" w:space="0" w:color="auto"/>
            </w:tcBorders>
            <w:shd w:val="clear" w:color="000000" w:fill="FFFF00"/>
            <w:vAlign w:val="center"/>
            <w:hideMark/>
          </w:tcPr>
          <w:p w14:paraId="40A8F65C" w14:textId="77777777" w:rsidR="00061543" w:rsidRPr="00061543" w:rsidRDefault="00061543" w:rsidP="00061543">
            <w:pPr>
              <w:spacing w:after="0" w:line="240" w:lineRule="auto"/>
              <w:jc w:val="center"/>
              <w:rPr>
                <w:rFonts w:ascii="Tahoma" w:eastAsia="Times New Roman" w:hAnsi="Tahoma" w:cs="Tahoma"/>
                <w:sz w:val="18"/>
                <w:szCs w:val="18"/>
                <w:lang w:eastAsia="hr-HR"/>
              </w:rPr>
            </w:pPr>
            <w:r w:rsidRPr="00061543">
              <w:rPr>
                <w:rFonts w:ascii="Tahoma" w:eastAsia="Times New Roman" w:hAnsi="Tahoma" w:cs="Tahoma"/>
                <w:sz w:val="18"/>
                <w:szCs w:val="18"/>
                <w:lang w:eastAsia="hr-HR"/>
              </w:rPr>
              <w:t>6</w:t>
            </w:r>
          </w:p>
        </w:tc>
        <w:tc>
          <w:tcPr>
            <w:tcW w:w="560" w:type="dxa"/>
            <w:gridSpan w:val="2"/>
            <w:tcBorders>
              <w:top w:val="nil"/>
              <w:left w:val="nil"/>
              <w:bottom w:val="single" w:sz="4" w:space="0" w:color="auto"/>
              <w:right w:val="single" w:sz="4" w:space="0" w:color="auto"/>
            </w:tcBorders>
            <w:shd w:val="clear" w:color="000000" w:fill="FF9900"/>
            <w:vAlign w:val="center"/>
            <w:hideMark/>
          </w:tcPr>
          <w:p w14:paraId="2CFFFD11" w14:textId="77777777" w:rsidR="00061543" w:rsidRPr="00061543" w:rsidRDefault="00061543" w:rsidP="00061543">
            <w:pPr>
              <w:spacing w:after="0" w:line="240" w:lineRule="auto"/>
              <w:jc w:val="center"/>
              <w:rPr>
                <w:rFonts w:ascii="Tahoma" w:eastAsia="Times New Roman" w:hAnsi="Tahoma" w:cs="Tahoma"/>
                <w:sz w:val="18"/>
                <w:szCs w:val="18"/>
                <w:lang w:eastAsia="hr-HR"/>
              </w:rPr>
            </w:pPr>
            <w:r w:rsidRPr="00061543">
              <w:rPr>
                <w:rFonts w:ascii="Tahoma" w:eastAsia="Times New Roman" w:hAnsi="Tahoma" w:cs="Tahoma"/>
                <w:sz w:val="18"/>
                <w:szCs w:val="18"/>
                <w:lang w:eastAsia="hr-HR"/>
              </w:rPr>
              <w:t>17</w:t>
            </w:r>
          </w:p>
        </w:tc>
        <w:tc>
          <w:tcPr>
            <w:tcW w:w="905" w:type="dxa"/>
            <w:gridSpan w:val="2"/>
            <w:tcBorders>
              <w:top w:val="nil"/>
              <w:left w:val="nil"/>
              <w:bottom w:val="single" w:sz="4" w:space="0" w:color="auto"/>
              <w:right w:val="single" w:sz="4" w:space="0" w:color="auto"/>
            </w:tcBorders>
            <w:shd w:val="clear" w:color="000000" w:fill="FF9900"/>
            <w:noWrap/>
            <w:vAlign w:val="center"/>
            <w:hideMark/>
          </w:tcPr>
          <w:p w14:paraId="739C4040" w14:textId="77777777" w:rsidR="00061543" w:rsidRPr="00061543" w:rsidRDefault="00061543" w:rsidP="00061543">
            <w:pPr>
              <w:spacing w:after="0" w:line="240" w:lineRule="auto"/>
              <w:jc w:val="center"/>
              <w:rPr>
                <w:rFonts w:ascii="Tahoma" w:eastAsia="Times New Roman" w:hAnsi="Tahoma" w:cs="Tahoma"/>
                <w:sz w:val="18"/>
                <w:szCs w:val="18"/>
                <w:lang w:eastAsia="hr-HR"/>
              </w:rPr>
            </w:pPr>
            <w:r w:rsidRPr="00061543">
              <w:rPr>
                <w:rFonts w:ascii="Tahoma" w:eastAsia="Times New Roman" w:hAnsi="Tahoma" w:cs="Tahoma"/>
                <w:sz w:val="18"/>
                <w:szCs w:val="18"/>
                <w:lang w:eastAsia="hr-HR"/>
              </w:rPr>
              <w:t>3</w:t>
            </w:r>
          </w:p>
        </w:tc>
        <w:tc>
          <w:tcPr>
            <w:tcW w:w="498" w:type="dxa"/>
            <w:tcBorders>
              <w:top w:val="nil"/>
              <w:left w:val="nil"/>
              <w:bottom w:val="single" w:sz="4" w:space="0" w:color="auto"/>
              <w:right w:val="single" w:sz="4" w:space="0" w:color="auto"/>
            </w:tcBorders>
            <w:shd w:val="clear" w:color="000000" w:fill="FF9900"/>
            <w:noWrap/>
            <w:vAlign w:val="center"/>
            <w:hideMark/>
          </w:tcPr>
          <w:p w14:paraId="4C59D79A" w14:textId="77777777" w:rsidR="00061543" w:rsidRPr="00061543" w:rsidRDefault="00061543" w:rsidP="00061543">
            <w:pPr>
              <w:spacing w:after="0" w:line="240" w:lineRule="auto"/>
              <w:jc w:val="center"/>
              <w:rPr>
                <w:rFonts w:ascii="Tahoma" w:eastAsia="Times New Roman" w:hAnsi="Tahoma" w:cs="Tahoma"/>
                <w:sz w:val="18"/>
                <w:szCs w:val="18"/>
                <w:lang w:eastAsia="hr-HR"/>
              </w:rPr>
            </w:pPr>
            <w:r w:rsidRPr="00061543">
              <w:rPr>
                <w:rFonts w:ascii="Tahoma" w:eastAsia="Times New Roman" w:hAnsi="Tahoma" w:cs="Tahoma"/>
                <w:sz w:val="18"/>
                <w:szCs w:val="18"/>
                <w:lang w:eastAsia="hr-HR"/>
              </w:rPr>
              <w:t>1</w:t>
            </w:r>
          </w:p>
        </w:tc>
        <w:tc>
          <w:tcPr>
            <w:tcW w:w="1016" w:type="dxa"/>
            <w:gridSpan w:val="2"/>
            <w:tcBorders>
              <w:top w:val="nil"/>
              <w:left w:val="nil"/>
              <w:bottom w:val="single" w:sz="4" w:space="0" w:color="auto"/>
              <w:right w:val="single" w:sz="4" w:space="0" w:color="auto"/>
            </w:tcBorders>
            <w:shd w:val="clear" w:color="000000" w:fill="FF9900"/>
            <w:noWrap/>
            <w:vAlign w:val="center"/>
            <w:hideMark/>
          </w:tcPr>
          <w:p w14:paraId="2DB10EA1" w14:textId="77777777" w:rsidR="00061543" w:rsidRPr="00061543" w:rsidRDefault="00061543" w:rsidP="00061543">
            <w:pPr>
              <w:spacing w:after="0" w:line="240" w:lineRule="auto"/>
              <w:jc w:val="center"/>
              <w:rPr>
                <w:rFonts w:ascii="Tahoma" w:eastAsia="Times New Roman" w:hAnsi="Tahoma" w:cs="Tahoma"/>
                <w:sz w:val="18"/>
                <w:szCs w:val="18"/>
                <w:lang w:eastAsia="hr-HR"/>
              </w:rPr>
            </w:pPr>
            <w:r w:rsidRPr="00061543">
              <w:rPr>
                <w:rFonts w:ascii="Tahoma" w:eastAsia="Times New Roman" w:hAnsi="Tahoma" w:cs="Tahoma"/>
                <w:sz w:val="18"/>
                <w:szCs w:val="18"/>
                <w:lang w:eastAsia="hr-HR"/>
              </w:rPr>
              <w:t>2</w:t>
            </w:r>
          </w:p>
        </w:tc>
        <w:tc>
          <w:tcPr>
            <w:tcW w:w="505" w:type="dxa"/>
            <w:gridSpan w:val="2"/>
            <w:tcBorders>
              <w:top w:val="nil"/>
              <w:left w:val="nil"/>
              <w:bottom w:val="single" w:sz="4" w:space="0" w:color="auto"/>
              <w:right w:val="single" w:sz="4" w:space="0" w:color="auto"/>
            </w:tcBorders>
            <w:shd w:val="clear" w:color="000000" w:fill="CCFFFF"/>
            <w:noWrap/>
            <w:vAlign w:val="center"/>
            <w:hideMark/>
          </w:tcPr>
          <w:p w14:paraId="7C8B0E9A" w14:textId="77777777" w:rsidR="00061543" w:rsidRPr="00061543" w:rsidRDefault="00061543" w:rsidP="00061543">
            <w:pPr>
              <w:spacing w:after="0" w:line="240" w:lineRule="auto"/>
              <w:jc w:val="right"/>
              <w:rPr>
                <w:rFonts w:ascii="Tahoma" w:eastAsia="Times New Roman" w:hAnsi="Tahoma" w:cs="Tahoma"/>
                <w:sz w:val="18"/>
                <w:szCs w:val="18"/>
                <w:lang w:eastAsia="hr-HR"/>
              </w:rPr>
            </w:pPr>
            <w:r w:rsidRPr="00061543">
              <w:rPr>
                <w:rFonts w:ascii="Tahoma" w:eastAsia="Times New Roman" w:hAnsi="Tahoma" w:cs="Tahoma"/>
                <w:sz w:val="18"/>
                <w:szCs w:val="18"/>
                <w:lang w:eastAsia="hr-HR"/>
              </w:rPr>
              <w:t>0</w:t>
            </w:r>
          </w:p>
        </w:tc>
        <w:tc>
          <w:tcPr>
            <w:tcW w:w="468" w:type="dxa"/>
            <w:tcBorders>
              <w:top w:val="nil"/>
              <w:left w:val="nil"/>
              <w:bottom w:val="single" w:sz="4" w:space="0" w:color="auto"/>
              <w:right w:val="single" w:sz="4" w:space="0" w:color="auto"/>
            </w:tcBorders>
            <w:shd w:val="clear" w:color="000000" w:fill="CCFFFF"/>
            <w:noWrap/>
            <w:vAlign w:val="center"/>
            <w:hideMark/>
          </w:tcPr>
          <w:p w14:paraId="7DBC1B29" w14:textId="77777777" w:rsidR="00061543" w:rsidRPr="00061543" w:rsidRDefault="00061543" w:rsidP="00061543">
            <w:pPr>
              <w:spacing w:after="0" w:line="240" w:lineRule="auto"/>
              <w:jc w:val="right"/>
              <w:rPr>
                <w:rFonts w:ascii="Tahoma" w:eastAsia="Times New Roman" w:hAnsi="Tahoma" w:cs="Tahoma"/>
                <w:sz w:val="18"/>
                <w:szCs w:val="18"/>
                <w:lang w:eastAsia="hr-HR"/>
              </w:rPr>
            </w:pPr>
            <w:r w:rsidRPr="00061543">
              <w:rPr>
                <w:rFonts w:ascii="Tahoma" w:eastAsia="Times New Roman" w:hAnsi="Tahoma" w:cs="Tahoma"/>
                <w:sz w:val="18"/>
                <w:szCs w:val="18"/>
                <w:lang w:eastAsia="hr-HR"/>
              </w:rPr>
              <w:t>0</w:t>
            </w:r>
          </w:p>
        </w:tc>
        <w:tc>
          <w:tcPr>
            <w:tcW w:w="336" w:type="dxa"/>
            <w:tcBorders>
              <w:top w:val="nil"/>
              <w:left w:val="nil"/>
              <w:bottom w:val="single" w:sz="4" w:space="0" w:color="auto"/>
              <w:right w:val="single" w:sz="4" w:space="0" w:color="auto"/>
            </w:tcBorders>
            <w:shd w:val="clear" w:color="000000" w:fill="CCFFFF"/>
            <w:noWrap/>
            <w:vAlign w:val="center"/>
            <w:hideMark/>
          </w:tcPr>
          <w:p w14:paraId="346ADF6B" w14:textId="77777777" w:rsidR="00061543" w:rsidRPr="00061543" w:rsidRDefault="00061543" w:rsidP="00061543">
            <w:pPr>
              <w:spacing w:after="0" w:line="240" w:lineRule="auto"/>
              <w:jc w:val="right"/>
              <w:rPr>
                <w:rFonts w:ascii="Tahoma" w:eastAsia="Times New Roman" w:hAnsi="Tahoma" w:cs="Tahoma"/>
                <w:sz w:val="18"/>
                <w:szCs w:val="18"/>
                <w:lang w:eastAsia="hr-HR"/>
              </w:rPr>
            </w:pPr>
            <w:r w:rsidRPr="00061543">
              <w:rPr>
                <w:rFonts w:ascii="Tahoma" w:eastAsia="Times New Roman" w:hAnsi="Tahoma" w:cs="Tahoma"/>
                <w:sz w:val="18"/>
                <w:szCs w:val="18"/>
                <w:lang w:eastAsia="hr-HR"/>
              </w:rPr>
              <w:t>0</w:t>
            </w:r>
          </w:p>
        </w:tc>
        <w:tc>
          <w:tcPr>
            <w:tcW w:w="426" w:type="dxa"/>
            <w:tcBorders>
              <w:top w:val="nil"/>
              <w:left w:val="nil"/>
              <w:bottom w:val="single" w:sz="4" w:space="0" w:color="auto"/>
              <w:right w:val="single" w:sz="4" w:space="0" w:color="auto"/>
            </w:tcBorders>
            <w:shd w:val="clear" w:color="000000" w:fill="33CCCC"/>
            <w:noWrap/>
            <w:vAlign w:val="center"/>
            <w:hideMark/>
          </w:tcPr>
          <w:p w14:paraId="0309D887" w14:textId="77777777" w:rsidR="00061543" w:rsidRPr="00061543" w:rsidRDefault="00061543" w:rsidP="00061543">
            <w:pPr>
              <w:spacing w:after="0" w:line="240" w:lineRule="auto"/>
              <w:jc w:val="right"/>
              <w:rPr>
                <w:rFonts w:ascii="Tahoma" w:eastAsia="Times New Roman" w:hAnsi="Tahoma" w:cs="Tahoma"/>
                <w:sz w:val="18"/>
                <w:szCs w:val="18"/>
                <w:lang w:eastAsia="hr-HR"/>
              </w:rPr>
            </w:pPr>
            <w:r w:rsidRPr="00061543">
              <w:rPr>
                <w:rFonts w:ascii="Tahoma" w:eastAsia="Times New Roman" w:hAnsi="Tahoma" w:cs="Tahoma"/>
                <w:sz w:val="18"/>
                <w:szCs w:val="18"/>
                <w:lang w:eastAsia="hr-HR"/>
              </w:rPr>
              <w:t>3</w:t>
            </w:r>
          </w:p>
        </w:tc>
        <w:tc>
          <w:tcPr>
            <w:tcW w:w="473" w:type="dxa"/>
            <w:tcBorders>
              <w:top w:val="nil"/>
              <w:left w:val="nil"/>
              <w:bottom w:val="single" w:sz="4" w:space="0" w:color="auto"/>
              <w:right w:val="single" w:sz="8" w:space="0" w:color="auto"/>
            </w:tcBorders>
            <w:shd w:val="clear" w:color="000000" w:fill="33CCCC"/>
            <w:noWrap/>
            <w:vAlign w:val="center"/>
            <w:hideMark/>
          </w:tcPr>
          <w:p w14:paraId="2BC45F8D" w14:textId="77777777" w:rsidR="00061543" w:rsidRPr="00061543" w:rsidRDefault="00061543" w:rsidP="00061543">
            <w:pPr>
              <w:spacing w:after="0" w:line="240" w:lineRule="auto"/>
              <w:jc w:val="right"/>
              <w:rPr>
                <w:rFonts w:ascii="Tahoma" w:eastAsia="Times New Roman" w:hAnsi="Tahoma" w:cs="Tahoma"/>
                <w:sz w:val="18"/>
                <w:szCs w:val="18"/>
                <w:lang w:eastAsia="hr-HR"/>
              </w:rPr>
            </w:pPr>
            <w:r w:rsidRPr="00061543">
              <w:rPr>
                <w:rFonts w:ascii="Tahoma" w:eastAsia="Times New Roman" w:hAnsi="Tahoma" w:cs="Tahoma"/>
                <w:sz w:val="18"/>
                <w:szCs w:val="18"/>
                <w:lang w:eastAsia="hr-HR"/>
              </w:rPr>
              <w:t>3</w:t>
            </w:r>
          </w:p>
        </w:tc>
        <w:tc>
          <w:tcPr>
            <w:tcW w:w="236" w:type="dxa"/>
            <w:gridSpan w:val="3"/>
            <w:vAlign w:val="center"/>
            <w:hideMark/>
          </w:tcPr>
          <w:p w14:paraId="27927A05" w14:textId="77777777" w:rsidR="00061543" w:rsidRPr="00061543" w:rsidRDefault="00061543" w:rsidP="00061543">
            <w:pPr>
              <w:spacing w:after="0" w:line="240" w:lineRule="auto"/>
              <w:rPr>
                <w:rFonts w:ascii="Times New Roman" w:eastAsia="Times New Roman" w:hAnsi="Times New Roman" w:cs="Times New Roman"/>
                <w:sz w:val="18"/>
                <w:szCs w:val="18"/>
                <w:lang w:eastAsia="hr-HR"/>
              </w:rPr>
            </w:pPr>
          </w:p>
        </w:tc>
      </w:tr>
      <w:tr w:rsidR="00061543" w:rsidRPr="00061543" w14:paraId="11C792E6" w14:textId="77777777" w:rsidTr="00061543">
        <w:trPr>
          <w:gridAfter w:val="2"/>
          <w:wAfter w:w="101" w:type="dxa"/>
          <w:trHeight w:val="420"/>
        </w:trPr>
        <w:tc>
          <w:tcPr>
            <w:tcW w:w="1576" w:type="dxa"/>
            <w:tcBorders>
              <w:top w:val="single" w:sz="4" w:space="0" w:color="auto"/>
              <w:left w:val="single" w:sz="8" w:space="0" w:color="auto"/>
              <w:bottom w:val="single" w:sz="4" w:space="0" w:color="auto"/>
              <w:right w:val="single" w:sz="4" w:space="0" w:color="auto"/>
            </w:tcBorders>
            <w:shd w:val="clear" w:color="000000" w:fill="CCFFCC"/>
            <w:vAlign w:val="center"/>
            <w:hideMark/>
          </w:tcPr>
          <w:p w14:paraId="2D7379A4" w14:textId="77777777" w:rsidR="00061543" w:rsidRPr="00061543" w:rsidRDefault="00061543" w:rsidP="00061543">
            <w:pPr>
              <w:spacing w:after="0" w:line="240" w:lineRule="auto"/>
              <w:rPr>
                <w:rFonts w:ascii="Tahoma" w:eastAsia="Times New Roman" w:hAnsi="Tahoma" w:cs="Tahoma"/>
                <w:sz w:val="18"/>
                <w:szCs w:val="18"/>
                <w:lang w:eastAsia="hr-HR"/>
              </w:rPr>
            </w:pPr>
            <w:r w:rsidRPr="00061543">
              <w:rPr>
                <w:rFonts w:ascii="Tahoma" w:eastAsia="Times New Roman" w:hAnsi="Tahoma" w:cs="Tahoma"/>
                <w:sz w:val="18"/>
                <w:szCs w:val="18"/>
                <w:lang w:eastAsia="hr-HR"/>
              </w:rPr>
              <w:t>Genetsko nasljeđe</w:t>
            </w:r>
          </w:p>
        </w:tc>
        <w:tc>
          <w:tcPr>
            <w:tcW w:w="560" w:type="dxa"/>
            <w:tcBorders>
              <w:top w:val="nil"/>
              <w:left w:val="nil"/>
              <w:bottom w:val="single" w:sz="4" w:space="0" w:color="auto"/>
              <w:right w:val="single" w:sz="4" w:space="0" w:color="auto"/>
            </w:tcBorders>
            <w:shd w:val="clear" w:color="000000" w:fill="FFCC99"/>
            <w:noWrap/>
            <w:vAlign w:val="center"/>
            <w:hideMark/>
          </w:tcPr>
          <w:p w14:paraId="420E4366" w14:textId="77777777" w:rsidR="00061543" w:rsidRPr="00061543" w:rsidRDefault="00061543" w:rsidP="00061543">
            <w:pPr>
              <w:spacing w:after="0" w:line="240" w:lineRule="auto"/>
              <w:jc w:val="center"/>
              <w:rPr>
                <w:rFonts w:ascii="Tahoma" w:eastAsia="Times New Roman" w:hAnsi="Tahoma" w:cs="Tahoma"/>
                <w:sz w:val="18"/>
                <w:szCs w:val="18"/>
                <w:lang w:eastAsia="hr-HR"/>
              </w:rPr>
            </w:pPr>
            <w:r w:rsidRPr="00061543">
              <w:rPr>
                <w:rFonts w:ascii="Tahoma" w:eastAsia="Times New Roman" w:hAnsi="Tahoma" w:cs="Tahoma"/>
                <w:sz w:val="18"/>
                <w:szCs w:val="18"/>
                <w:lang w:eastAsia="hr-HR"/>
              </w:rPr>
              <w:t>1</w:t>
            </w:r>
          </w:p>
        </w:tc>
        <w:tc>
          <w:tcPr>
            <w:tcW w:w="446" w:type="dxa"/>
            <w:tcBorders>
              <w:top w:val="nil"/>
              <w:left w:val="nil"/>
              <w:bottom w:val="single" w:sz="4" w:space="0" w:color="auto"/>
              <w:right w:val="single" w:sz="4" w:space="0" w:color="auto"/>
            </w:tcBorders>
            <w:shd w:val="clear" w:color="000000" w:fill="FFFF00"/>
            <w:noWrap/>
            <w:vAlign w:val="center"/>
            <w:hideMark/>
          </w:tcPr>
          <w:p w14:paraId="383C6A16" w14:textId="77777777" w:rsidR="00061543" w:rsidRPr="00061543" w:rsidRDefault="00061543" w:rsidP="00061543">
            <w:pPr>
              <w:spacing w:after="0" w:line="240" w:lineRule="auto"/>
              <w:jc w:val="center"/>
              <w:rPr>
                <w:rFonts w:ascii="Tahoma" w:eastAsia="Times New Roman" w:hAnsi="Tahoma" w:cs="Tahoma"/>
                <w:sz w:val="18"/>
                <w:szCs w:val="18"/>
                <w:lang w:eastAsia="hr-HR"/>
              </w:rPr>
            </w:pPr>
            <w:r w:rsidRPr="00061543">
              <w:rPr>
                <w:rFonts w:ascii="Tahoma" w:eastAsia="Times New Roman" w:hAnsi="Tahoma" w:cs="Tahoma"/>
                <w:sz w:val="18"/>
                <w:szCs w:val="18"/>
                <w:lang w:eastAsia="hr-HR"/>
              </w:rPr>
              <w:t>0</w:t>
            </w:r>
          </w:p>
        </w:tc>
        <w:tc>
          <w:tcPr>
            <w:tcW w:w="787" w:type="dxa"/>
            <w:tcBorders>
              <w:top w:val="nil"/>
              <w:left w:val="nil"/>
              <w:bottom w:val="single" w:sz="4" w:space="0" w:color="auto"/>
              <w:right w:val="single" w:sz="4" w:space="0" w:color="auto"/>
            </w:tcBorders>
            <w:shd w:val="clear" w:color="000000" w:fill="CCFFFF"/>
            <w:noWrap/>
            <w:vAlign w:val="center"/>
            <w:hideMark/>
          </w:tcPr>
          <w:p w14:paraId="00BE9328" w14:textId="77777777" w:rsidR="00061543" w:rsidRPr="00061543" w:rsidRDefault="00061543" w:rsidP="00061543">
            <w:pPr>
              <w:spacing w:after="0" w:line="240" w:lineRule="auto"/>
              <w:jc w:val="right"/>
              <w:rPr>
                <w:rFonts w:ascii="Tahoma" w:eastAsia="Times New Roman" w:hAnsi="Tahoma" w:cs="Tahoma"/>
                <w:sz w:val="18"/>
                <w:szCs w:val="18"/>
                <w:lang w:eastAsia="hr-HR"/>
              </w:rPr>
            </w:pPr>
            <w:r w:rsidRPr="00061543">
              <w:rPr>
                <w:rFonts w:ascii="Tahoma" w:eastAsia="Times New Roman" w:hAnsi="Tahoma" w:cs="Tahoma"/>
                <w:sz w:val="18"/>
                <w:szCs w:val="18"/>
                <w:lang w:eastAsia="hr-HR"/>
              </w:rPr>
              <w:t>0</w:t>
            </w:r>
          </w:p>
        </w:tc>
        <w:tc>
          <w:tcPr>
            <w:tcW w:w="581" w:type="dxa"/>
            <w:tcBorders>
              <w:top w:val="nil"/>
              <w:left w:val="nil"/>
              <w:bottom w:val="single" w:sz="4" w:space="0" w:color="auto"/>
              <w:right w:val="single" w:sz="4" w:space="0" w:color="auto"/>
            </w:tcBorders>
            <w:shd w:val="clear" w:color="000000" w:fill="CCFFFF"/>
            <w:noWrap/>
            <w:vAlign w:val="center"/>
            <w:hideMark/>
          </w:tcPr>
          <w:p w14:paraId="2A200BBF" w14:textId="77777777" w:rsidR="00061543" w:rsidRPr="00061543" w:rsidRDefault="00061543" w:rsidP="00061543">
            <w:pPr>
              <w:spacing w:after="0" w:line="240" w:lineRule="auto"/>
              <w:jc w:val="right"/>
              <w:rPr>
                <w:rFonts w:ascii="Tahoma" w:eastAsia="Times New Roman" w:hAnsi="Tahoma" w:cs="Tahoma"/>
                <w:sz w:val="18"/>
                <w:szCs w:val="18"/>
                <w:lang w:eastAsia="hr-HR"/>
              </w:rPr>
            </w:pPr>
            <w:r w:rsidRPr="00061543">
              <w:rPr>
                <w:rFonts w:ascii="Tahoma" w:eastAsia="Times New Roman" w:hAnsi="Tahoma" w:cs="Tahoma"/>
                <w:sz w:val="18"/>
                <w:szCs w:val="18"/>
                <w:lang w:eastAsia="hr-HR"/>
              </w:rPr>
              <w:t>0</w:t>
            </w:r>
          </w:p>
        </w:tc>
        <w:tc>
          <w:tcPr>
            <w:tcW w:w="446" w:type="dxa"/>
            <w:tcBorders>
              <w:top w:val="nil"/>
              <w:left w:val="nil"/>
              <w:bottom w:val="single" w:sz="4" w:space="0" w:color="auto"/>
              <w:right w:val="single" w:sz="4" w:space="0" w:color="auto"/>
            </w:tcBorders>
            <w:shd w:val="clear" w:color="000000" w:fill="FFFF99"/>
            <w:noWrap/>
            <w:vAlign w:val="center"/>
            <w:hideMark/>
          </w:tcPr>
          <w:p w14:paraId="2A6F6A4B" w14:textId="77777777" w:rsidR="00061543" w:rsidRPr="00061543" w:rsidRDefault="00061543" w:rsidP="00061543">
            <w:pPr>
              <w:spacing w:after="0" w:line="240" w:lineRule="auto"/>
              <w:jc w:val="center"/>
              <w:rPr>
                <w:rFonts w:ascii="Tahoma" w:eastAsia="Times New Roman" w:hAnsi="Tahoma" w:cs="Tahoma"/>
                <w:sz w:val="18"/>
                <w:szCs w:val="18"/>
                <w:lang w:eastAsia="hr-HR"/>
              </w:rPr>
            </w:pPr>
            <w:r w:rsidRPr="00061543">
              <w:rPr>
                <w:rFonts w:ascii="Tahoma" w:eastAsia="Times New Roman" w:hAnsi="Tahoma" w:cs="Tahoma"/>
                <w:sz w:val="18"/>
                <w:szCs w:val="18"/>
                <w:lang w:eastAsia="hr-HR"/>
              </w:rPr>
              <w:t>0</w:t>
            </w:r>
          </w:p>
        </w:tc>
        <w:tc>
          <w:tcPr>
            <w:tcW w:w="697" w:type="dxa"/>
            <w:tcBorders>
              <w:top w:val="nil"/>
              <w:left w:val="nil"/>
              <w:bottom w:val="single" w:sz="4" w:space="0" w:color="auto"/>
              <w:right w:val="single" w:sz="4" w:space="0" w:color="auto"/>
            </w:tcBorders>
            <w:shd w:val="clear" w:color="000000" w:fill="FFFF99"/>
            <w:noWrap/>
            <w:vAlign w:val="center"/>
            <w:hideMark/>
          </w:tcPr>
          <w:p w14:paraId="0F4D7E4D" w14:textId="77777777" w:rsidR="00061543" w:rsidRPr="00061543" w:rsidRDefault="00061543" w:rsidP="00061543">
            <w:pPr>
              <w:spacing w:after="0" w:line="240" w:lineRule="auto"/>
              <w:jc w:val="center"/>
              <w:rPr>
                <w:rFonts w:ascii="Tahoma" w:eastAsia="Times New Roman" w:hAnsi="Tahoma" w:cs="Tahoma"/>
                <w:sz w:val="18"/>
                <w:szCs w:val="18"/>
                <w:lang w:eastAsia="hr-HR"/>
              </w:rPr>
            </w:pPr>
            <w:r w:rsidRPr="00061543">
              <w:rPr>
                <w:rFonts w:ascii="Tahoma" w:eastAsia="Times New Roman" w:hAnsi="Tahoma" w:cs="Tahoma"/>
                <w:sz w:val="18"/>
                <w:szCs w:val="18"/>
                <w:lang w:eastAsia="hr-HR"/>
              </w:rPr>
              <w:t>0</w:t>
            </w:r>
          </w:p>
        </w:tc>
        <w:tc>
          <w:tcPr>
            <w:tcW w:w="446" w:type="dxa"/>
            <w:tcBorders>
              <w:top w:val="nil"/>
              <w:left w:val="nil"/>
              <w:bottom w:val="single" w:sz="4" w:space="0" w:color="auto"/>
              <w:right w:val="single" w:sz="4" w:space="0" w:color="auto"/>
            </w:tcBorders>
            <w:shd w:val="clear" w:color="000000" w:fill="FFFF99"/>
            <w:noWrap/>
            <w:vAlign w:val="center"/>
            <w:hideMark/>
          </w:tcPr>
          <w:p w14:paraId="2AF310E6" w14:textId="77777777" w:rsidR="00061543" w:rsidRPr="00061543" w:rsidRDefault="00061543" w:rsidP="00061543">
            <w:pPr>
              <w:spacing w:after="0" w:line="240" w:lineRule="auto"/>
              <w:jc w:val="center"/>
              <w:rPr>
                <w:rFonts w:ascii="Tahoma" w:eastAsia="Times New Roman" w:hAnsi="Tahoma" w:cs="Tahoma"/>
                <w:sz w:val="18"/>
                <w:szCs w:val="18"/>
                <w:lang w:eastAsia="hr-HR"/>
              </w:rPr>
            </w:pPr>
            <w:r w:rsidRPr="00061543">
              <w:rPr>
                <w:rFonts w:ascii="Tahoma" w:eastAsia="Times New Roman" w:hAnsi="Tahoma" w:cs="Tahoma"/>
                <w:sz w:val="18"/>
                <w:szCs w:val="18"/>
                <w:lang w:eastAsia="hr-HR"/>
              </w:rPr>
              <w:t>0</w:t>
            </w:r>
          </w:p>
        </w:tc>
        <w:tc>
          <w:tcPr>
            <w:tcW w:w="567" w:type="dxa"/>
            <w:tcBorders>
              <w:top w:val="nil"/>
              <w:left w:val="nil"/>
              <w:bottom w:val="single" w:sz="4" w:space="0" w:color="auto"/>
              <w:right w:val="single" w:sz="4" w:space="0" w:color="auto"/>
            </w:tcBorders>
            <w:shd w:val="clear" w:color="000000" w:fill="FFFF99"/>
            <w:noWrap/>
            <w:vAlign w:val="center"/>
            <w:hideMark/>
          </w:tcPr>
          <w:p w14:paraId="49DC1D3C" w14:textId="77777777" w:rsidR="00061543" w:rsidRPr="00061543" w:rsidRDefault="00061543" w:rsidP="00061543">
            <w:pPr>
              <w:spacing w:after="0" w:line="240" w:lineRule="auto"/>
              <w:jc w:val="center"/>
              <w:rPr>
                <w:rFonts w:ascii="Tahoma" w:eastAsia="Times New Roman" w:hAnsi="Tahoma" w:cs="Tahoma"/>
                <w:sz w:val="18"/>
                <w:szCs w:val="18"/>
                <w:lang w:eastAsia="hr-HR"/>
              </w:rPr>
            </w:pPr>
            <w:r w:rsidRPr="00061543">
              <w:rPr>
                <w:rFonts w:ascii="Tahoma" w:eastAsia="Times New Roman" w:hAnsi="Tahoma" w:cs="Tahoma"/>
                <w:sz w:val="18"/>
                <w:szCs w:val="18"/>
                <w:lang w:eastAsia="hr-HR"/>
              </w:rPr>
              <w:t>0</w:t>
            </w:r>
          </w:p>
        </w:tc>
        <w:tc>
          <w:tcPr>
            <w:tcW w:w="468" w:type="dxa"/>
            <w:tcBorders>
              <w:top w:val="nil"/>
              <w:left w:val="nil"/>
              <w:bottom w:val="single" w:sz="4" w:space="0" w:color="auto"/>
              <w:right w:val="single" w:sz="4" w:space="0" w:color="auto"/>
            </w:tcBorders>
            <w:shd w:val="clear" w:color="000000" w:fill="FFFF99"/>
            <w:noWrap/>
            <w:vAlign w:val="center"/>
            <w:hideMark/>
          </w:tcPr>
          <w:p w14:paraId="1C5A688B" w14:textId="77777777" w:rsidR="00061543" w:rsidRPr="00061543" w:rsidRDefault="00061543" w:rsidP="00061543">
            <w:pPr>
              <w:spacing w:after="0" w:line="240" w:lineRule="auto"/>
              <w:jc w:val="center"/>
              <w:rPr>
                <w:rFonts w:ascii="Tahoma" w:eastAsia="Times New Roman" w:hAnsi="Tahoma" w:cs="Tahoma"/>
                <w:sz w:val="18"/>
                <w:szCs w:val="18"/>
                <w:lang w:eastAsia="hr-HR"/>
              </w:rPr>
            </w:pPr>
            <w:r w:rsidRPr="00061543">
              <w:rPr>
                <w:rFonts w:ascii="Tahoma" w:eastAsia="Times New Roman" w:hAnsi="Tahoma" w:cs="Tahoma"/>
                <w:sz w:val="18"/>
                <w:szCs w:val="18"/>
                <w:lang w:eastAsia="hr-HR"/>
              </w:rPr>
              <w:t>0</w:t>
            </w:r>
          </w:p>
        </w:tc>
        <w:tc>
          <w:tcPr>
            <w:tcW w:w="808" w:type="dxa"/>
            <w:tcBorders>
              <w:top w:val="nil"/>
              <w:left w:val="nil"/>
              <w:bottom w:val="single" w:sz="4" w:space="0" w:color="auto"/>
              <w:right w:val="single" w:sz="4" w:space="0" w:color="auto"/>
            </w:tcBorders>
            <w:shd w:val="clear" w:color="000000" w:fill="FFFF99"/>
            <w:noWrap/>
            <w:vAlign w:val="center"/>
            <w:hideMark/>
          </w:tcPr>
          <w:p w14:paraId="53696148" w14:textId="77777777" w:rsidR="00061543" w:rsidRPr="00061543" w:rsidRDefault="00061543" w:rsidP="00061543">
            <w:pPr>
              <w:spacing w:after="0" w:line="240" w:lineRule="auto"/>
              <w:jc w:val="center"/>
              <w:rPr>
                <w:rFonts w:ascii="Tahoma" w:eastAsia="Times New Roman" w:hAnsi="Tahoma" w:cs="Tahoma"/>
                <w:sz w:val="18"/>
                <w:szCs w:val="18"/>
                <w:lang w:eastAsia="hr-HR"/>
              </w:rPr>
            </w:pPr>
            <w:r w:rsidRPr="00061543">
              <w:rPr>
                <w:rFonts w:ascii="Tahoma" w:eastAsia="Times New Roman" w:hAnsi="Tahoma" w:cs="Tahoma"/>
                <w:sz w:val="18"/>
                <w:szCs w:val="18"/>
                <w:lang w:eastAsia="hr-HR"/>
              </w:rPr>
              <w:t>0</w:t>
            </w:r>
          </w:p>
        </w:tc>
        <w:tc>
          <w:tcPr>
            <w:tcW w:w="468" w:type="dxa"/>
            <w:gridSpan w:val="2"/>
            <w:tcBorders>
              <w:top w:val="nil"/>
              <w:left w:val="nil"/>
              <w:bottom w:val="single" w:sz="4" w:space="0" w:color="auto"/>
              <w:right w:val="single" w:sz="4" w:space="0" w:color="auto"/>
            </w:tcBorders>
            <w:shd w:val="clear" w:color="000000" w:fill="FF9900"/>
            <w:noWrap/>
            <w:vAlign w:val="center"/>
            <w:hideMark/>
          </w:tcPr>
          <w:p w14:paraId="0CC5D742" w14:textId="77777777" w:rsidR="00061543" w:rsidRPr="00061543" w:rsidRDefault="00061543" w:rsidP="00061543">
            <w:pPr>
              <w:spacing w:after="0" w:line="240" w:lineRule="auto"/>
              <w:jc w:val="right"/>
              <w:rPr>
                <w:rFonts w:ascii="Tahoma" w:eastAsia="Times New Roman" w:hAnsi="Tahoma" w:cs="Tahoma"/>
                <w:sz w:val="18"/>
                <w:szCs w:val="18"/>
                <w:lang w:eastAsia="hr-HR"/>
              </w:rPr>
            </w:pPr>
            <w:r w:rsidRPr="00061543">
              <w:rPr>
                <w:rFonts w:ascii="Tahoma" w:eastAsia="Times New Roman" w:hAnsi="Tahoma" w:cs="Tahoma"/>
                <w:sz w:val="18"/>
                <w:szCs w:val="18"/>
                <w:lang w:eastAsia="hr-HR"/>
              </w:rPr>
              <w:t>0</w:t>
            </w:r>
          </w:p>
        </w:tc>
        <w:tc>
          <w:tcPr>
            <w:tcW w:w="524" w:type="dxa"/>
            <w:tcBorders>
              <w:top w:val="nil"/>
              <w:left w:val="nil"/>
              <w:bottom w:val="single" w:sz="4" w:space="0" w:color="auto"/>
              <w:right w:val="single" w:sz="4" w:space="0" w:color="auto"/>
            </w:tcBorders>
            <w:shd w:val="clear" w:color="000000" w:fill="FF9900"/>
            <w:noWrap/>
            <w:vAlign w:val="center"/>
            <w:hideMark/>
          </w:tcPr>
          <w:p w14:paraId="1CDFB920" w14:textId="77777777" w:rsidR="00061543" w:rsidRPr="00061543" w:rsidRDefault="00061543" w:rsidP="00061543">
            <w:pPr>
              <w:spacing w:after="0" w:line="240" w:lineRule="auto"/>
              <w:jc w:val="right"/>
              <w:rPr>
                <w:rFonts w:ascii="Tahoma" w:eastAsia="Times New Roman" w:hAnsi="Tahoma" w:cs="Tahoma"/>
                <w:sz w:val="18"/>
                <w:szCs w:val="18"/>
                <w:lang w:eastAsia="hr-HR"/>
              </w:rPr>
            </w:pPr>
            <w:r w:rsidRPr="00061543">
              <w:rPr>
                <w:rFonts w:ascii="Tahoma" w:eastAsia="Times New Roman" w:hAnsi="Tahoma" w:cs="Tahoma"/>
                <w:sz w:val="18"/>
                <w:szCs w:val="18"/>
                <w:lang w:eastAsia="hr-HR"/>
              </w:rPr>
              <w:t>0</w:t>
            </w:r>
          </w:p>
        </w:tc>
        <w:tc>
          <w:tcPr>
            <w:tcW w:w="468" w:type="dxa"/>
            <w:tcBorders>
              <w:top w:val="nil"/>
              <w:left w:val="nil"/>
              <w:bottom w:val="single" w:sz="4" w:space="0" w:color="auto"/>
              <w:right w:val="single" w:sz="4" w:space="0" w:color="auto"/>
            </w:tcBorders>
            <w:shd w:val="clear" w:color="000000" w:fill="FF9900"/>
            <w:noWrap/>
            <w:vAlign w:val="center"/>
            <w:hideMark/>
          </w:tcPr>
          <w:p w14:paraId="4DCDB24D" w14:textId="77777777" w:rsidR="00061543" w:rsidRPr="00061543" w:rsidRDefault="00061543" w:rsidP="00061543">
            <w:pPr>
              <w:spacing w:after="0" w:line="240" w:lineRule="auto"/>
              <w:jc w:val="right"/>
              <w:rPr>
                <w:rFonts w:ascii="Tahoma" w:eastAsia="Times New Roman" w:hAnsi="Tahoma" w:cs="Tahoma"/>
                <w:sz w:val="18"/>
                <w:szCs w:val="18"/>
                <w:lang w:eastAsia="hr-HR"/>
              </w:rPr>
            </w:pPr>
            <w:r w:rsidRPr="00061543">
              <w:rPr>
                <w:rFonts w:ascii="Tahoma" w:eastAsia="Times New Roman" w:hAnsi="Tahoma" w:cs="Tahoma"/>
                <w:sz w:val="18"/>
                <w:szCs w:val="18"/>
                <w:lang w:eastAsia="hr-HR"/>
              </w:rPr>
              <w:t>0</w:t>
            </w:r>
          </w:p>
        </w:tc>
        <w:tc>
          <w:tcPr>
            <w:tcW w:w="468" w:type="dxa"/>
            <w:tcBorders>
              <w:top w:val="nil"/>
              <w:left w:val="nil"/>
              <w:bottom w:val="single" w:sz="4" w:space="0" w:color="auto"/>
              <w:right w:val="single" w:sz="4" w:space="0" w:color="auto"/>
            </w:tcBorders>
            <w:shd w:val="clear" w:color="000000" w:fill="FFFF00"/>
            <w:vAlign w:val="center"/>
            <w:hideMark/>
          </w:tcPr>
          <w:p w14:paraId="673E1E38" w14:textId="77777777" w:rsidR="00061543" w:rsidRPr="00061543" w:rsidRDefault="00061543" w:rsidP="00061543">
            <w:pPr>
              <w:spacing w:after="0" w:line="240" w:lineRule="auto"/>
              <w:jc w:val="center"/>
              <w:rPr>
                <w:rFonts w:ascii="Tahoma" w:eastAsia="Times New Roman" w:hAnsi="Tahoma" w:cs="Tahoma"/>
                <w:sz w:val="18"/>
                <w:szCs w:val="18"/>
                <w:lang w:eastAsia="hr-HR"/>
              </w:rPr>
            </w:pPr>
            <w:r w:rsidRPr="00061543">
              <w:rPr>
                <w:rFonts w:ascii="Tahoma" w:eastAsia="Times New Roman" w:hAnsi="Tahoma" w:cs="Tahoma"/>
                <w:sz w:val="18"/>
                <w:szCs w:val="18"/>
                <w:lang w:eastAsia="hr-HR"/>
              </w:rPr>
              <w:t>0</w:t>
            </w:r>
          </w:p>
        </w:tc>
        <w:tc>
          <w:tcPr>
            <w:tcW w:w="560" w:type="dxa"/>
            <w:gridSpan w:val="2"/>
            <w:tcBorders>
              <w:top w:val="nil"/>
              <w:left w:val="nil"/>
              <w:bottom w:val="single" w:sz="4" w:space="0" w:color="auto"/>
              <w:right w:val="single" w:sz="4" w:space="0" w:color="auto"/>
            </w:tcBorders>
            <w:shd w:val="clear" w:color="000000" w:fill="FF9900"/>
            <w:vAlign w:val="center"/>
            <w:hideMark/>
          </w:tcPr>
          <w:p w14:paraId="551A39E9" w14:textId="77777777" w:rsidR="00061543" w:rsidRPr="00061543" w:rsidRDefault="00061543" w:rsidP="00061543">
            <w:pPr>
              <w:spacing w:after="0" w:line="240" w:lineRule="auto"/>
              <w:jc w:val="center"/>
              <w:rPr>
                <w:rFonts w:ascii="Tahoma" w:eastAsia="Times New Roman" w:hAnsi="Tahoma" w:cs="Tahoma"/>
                <w:sz w:val="18"/>
                <w:szCs w:val="18"/>
                <w:lang w:eastAsia="hr-HR"/>
              </w:rPr>
            </w:pPr>
            <w:r w:rsidRPr="00061543">
              <w:rPr>
                <w:rFonts w:ascii="Tahoma" w:eastAsia="Times New Roman" w:hAnsi="Tahoma" w:cs="Tahoma"/>
                <w:sz w:val="18"/>
                <w:szCs w:val="18"/>
                <w:lang w:eastAsia="hr-HR"/>
              </w:rPr>
              <w:t>1</w:t>
            </w:r>
          </w:p>
        </w:tc>
        <w:tc>
          <w:tcPr>
            <w:tcW w:w="905" w:type="dxa"/>
            <w:gridSpan w:val="2"/>
            <w:tcBorders>
              <w:top w:val="nil"/>
              <w:left w:val="nil"/>
              <w:bottom w:val="single" w:sz="4" w:space="0" w:color="auto"/>
              <w:right w:val="single" w:sz="4" w:space="0" w:color="auto"/>
            </w:tcBorders>
            <w:shd w:val="clear" w:color="000000" w:fill="FF9900"/>
            <w:noWrap/>
            <w:vAlign w:val="center"/>
            <w:hideMark/>
          </w:tcPr>
          <w:p w14:paraId="6A2C8B3D" w14:textId="77777777" w:rsidR="00061543" w:rsidRPr="00061543" w:rsidRDefault="00061543" w:rsidP="00061543">
            <w:pPr>
              <w:spacing w:after="0" w:line="240" w:lineRule="auto"/>
              <w:jc w:val="center"/>
              <w:rPr>
                <w:rFonts w:ascii="Tahoma" w:eastAsia="Times New Roman" w:hAnsi="Tahoma" w:cs="Tahoma"/>
                <w:sz w:val="18"/>
                <w:szCs w:val="18"/>
                <w:lang w:eastAsia="hr-HR"/>
              </w:rPr>
            </w:pPr>
            <w:r w:rsidRPr="00061543">
              <w:rPr>
                <w:rFonts w:ascii="Tahoma" w:eastAsia="Times New Roman" w:hAnsi="Tahoma" w:cs="Tahoma"/>
                <w:sz w:val="18"/>
                <w:szCs w:val="18"/>
                <w:lang w:eastAsia="hr-HR"/>
              </w:rPr>
              <w:t>0</w:t>
            </w:r>
          </w:p>
        </w:tc>
        <w:tc>
          <w:tcPr>
            <w:tcW w:w="498" w:type="dxa"/>
            <w:tcBorders>
              <w:top w:val="nil"/>
              <w:left w:val="nil"/>
              <w:bottom w:val="single" w:sz="4" w:space="0" w:color="auto"/>
              <w:right w:val="single" w:sz="4" w:space="0" w:color="auto"/>
            </w:tcBorders>
            <w:shd w:val="clear" w:color="000000" w:fill="FF9900"/>
            <w:noWrap/>
            <w:vAlign w:val="center"/>
            <w:hideMark/>
          </w:tcPr>
          <w:p w14:paraId="49E69D11" w14:textId="77777777" w:rsidR="00061543" w:rsidRPr="00061543" w:rsidRDefault="00061543" w:rsidP="00061543">
            <w:pPr>
              <w:spacing w:after="0" w:line="240" w:lineRule="auto"/>
              <w:jc w:val="center"/>
              <w:rPr>
                <w:rFonts w:ascii="Tahoma" w:eastAsia="Times New Roman" w:hAnsi="Tahoma" w:cs="Tahoma"/>
                <w:sz w:val="18"/>
                <w:szCs w:val="18"/>
                <w:lang w:eastAsia="hr-HR"/>
              </w:rPr>
            </w:pPr>
            <w:r w:rsidRPr="00061543">
              <w:rPr>
                <w:rFonts w:ascii="Tahoma" w:eastAsia="Times New Roman" w:hAnsi="Tahoma" w:cs="Tahoma"/>
                <w:sz w:val="18"/>
                <w:szCs w:val="18"/>
                <w:lang w:eastAsia="hr-HR"/>
              </w:rPr>
              <w:t>0</w:t>
            </w:r>
          </w:p>
        </w:tc>
        <w:tc>
          <w:tcPr>
            <w:tcW w:w="1016" w:type="dxa"/>
            <w:gridSpan w:val="2"/>
            <w:tcBorders>
              <w:top w:val="nil"/>
              <w:left w:val="nil"/>
              <w:bottom w:val="single" w:sz="4" w:space="0" w:color="auto"/>
              <w:right w:val="single" w:sz="4" w:space="0" w:color="auto"/>
            </w:tcBorders>
            <w:shd w:val="clear" w:color="000000" w:fill="FF9900"/>
            <w:noWrap/>
            <w:vAlign w:val="center"/>
            <w:hideMark/>
          </w:tcPr>
          <w:p w14:paraId="2F248352" w14:textId="77777777" w:rsidR="00061543" w:rsidRPr="00061543" w:rsidRDefault="00061543" w:rsidP="00061543">
            <w:pPr>
              <w:spacing w:after="0" w:line="240" w:lineRule="auto"/>
              <w:jc w:val="center"/>
              <w:rPr>
                <w:rFonts w:ascii="Tahoma" w:eastAsia="Times New Roman" w:hAnsi="Tahoma" w:cs="Tahoma"/>
                <w:sz w:val="18"/>
                <w:szCs w:val="18"/>
                <w:lang w:eastAsia="hr-HR"/>
              </w:rPr>
            </w:pPr>
            <w:r w:rsidRPr="00061543">
              <w:rPr>
                <w:rFonts w:ascii="Tahoma" w:eastAsia="Times New Roman" w:hAnsi="Tahoma" w:cs="Tahoma"/>
                <w:sz w:val="18"/>
                <w:szCs w:val="18"/>
                <w:lang w:eastAsia="hr-HR"/>
              </w:rPr>
              <w:t>0</w:t>
            </w:r>
          </w:p>
        </w:tc>
        <w:tc>
          <w:tcPr>
            <w:tcW w:w="505" w:type="dxa"/>
            <w:gridSpan w:val="2"/>
            <w:tcBorders>
              <w:top w:val="nil"/>
              <w:left w:val="nil"/>
              <w:bottom w:val="single" w:sz="4" w:space="0" w:color="auto"/>
              <w:right w:val="single" w:sz="4" w:space="0" w:color="auto"/>
            </w:tcBorders>
            <w:shd w:val="clear" w:color="000000" w:fill="CCFFFF"/>
            <w:noWrap/>
            <w:vAlign w:val="center"/>
            <w:hideMark/>
          </w:tcPr>
          <w:p w14:paraId="26CEBB14" w14:textId="77777777" w:rsidR="00061543" w:rsidRPr="00061543" w:rsidRDefault="00061543" w:rsidP="00061543">
            <w:pPr>
              <w:spacing w:after="0" w:line="240" w:lineRule="auto"/>
              <w:jc w:val="right"/>
              <w:rPr>
                <w:rFonts w:ascii="Tahoma" w:eastAsia="Times New Roman" w:hAnsi="Tahoma" w:cs="Tahoma"/>
                <w:sz w:val="18"/>
                <w:szCs w:val="18"/>
                <w:lang w:eastAsia="hr-HR"/>
              </w:rPr>
            </w:pPr>
            <w:r w:rsidRPr="00061543">
              <w:rPr>
                <w:rFonts w:ascii="Tahoma" w:eastAsia="Times New Roman" w:hAnsi="Tahoma" w:cs="Tahoma"/>
                <w:sz w:val="18"/>
                <w:szCs w:val="18"/>
                <w:lang w:eastAsia="hr-HR"/>
              </w:rPr>
              <w:t>0</w:t>
            </w:r>
          </w:p>
        </w:tc>
        <w:tc>
          <w:tcPr>
            <w:tcW w:w="468" w:type="dxa"/>
            <w:tcBorders>
              <w:top w:val="nil"/>
              <w:left w:val="nil"/>
              <w:bottom w:val="single" w:sz="4" w:space="0" w:color="auto"/>
              <w:right w:val="single" w:sz="4" w:space="0" w:color="auto"/>
            </w:tcBorders>
            <w:shd w:val="clear" w:color="000000" w:fill="CCFFFF"/>
            <w:noWrap/>
            <w:vAlign w:val="center"/>
            <w:hideMark/>
          </w:tcPr>
          <w:p w14:paraId="63EBC362" w14:textId="77777777" w:rsidR="00061543" w:rsidRPr="00061543" w:rsidRDefault="00061543" w:rsidP="00061543">
            <w:pPr>
              <w:spacing w:after="0" w:line="240" w:lineRule="auto"/>
              <w:jc w:val="right"/>
              <w:rPr>
                <w:rFonts w:ascii="Tahoma" w:eastAsia="Times New Roman" w:hAnsi="Tahoma" w:cs="Tahoma"/>
                <w:sz w:val="18"/>
                <w:szCs w:val="18"/>
                <w:lang w:eastAsia="hr-HR"/>
              </w:rPr>
            </w:pPr>
            <w:r w:rsidRPr="00061543">
              <w:rPr>
                <w:rFonts w:ascii="Tahoma" w:eastAsia="Times New Roman" w:hAnsi="Tahoma" w:cs="Tahoma"/>
                <w:sz w:val="18"/>
                <w:szCs w:val="18"/>
                <w:lang w:eastAsia="hr-HR"/>
              </w:rPr>
              <w:t>0</w:t>
            </w:r>
          </w:p>
        </w:tc>
        <w:tc>
          <w:tcPr>
            <w:tcW w:w="336" w:type="dxa"/>
            <w:tcBorders>
              <w:top w:val="nil"/>
              <w:left w:val="nil"/>
              <w:bottom w:val="single" w:sz="4" w:space="0" w:color="auto"/>
              <w:right w:val="single" w:sz="4" w:space="0" w:color="auto"/>
            </w:tcBorders>
            <w:shd w:val="clear" w:color="000000" w:fill="CCFFFF"/>
            <w:noWrap/>
            <w:vAlign w:val="center"/>
            <w:hideMark/>
          </w:tcPr>
          <w:p w14:paraId="66B36DA0" w14:textId="77777777" w:rsidR="00061543" w:rsidRPr="00061543" w:rsidRDefault="00061543" w:rsidP="00061543">
            <w:pPr>
              <w:spacing w:after="0" w:line="240" w:lineRule="auto"/>
              <w:jc w:val="right"/>
              <w:rPr>
                <w:rFonts w:ascii="Tahoma" w:eastAsia="Times New Roman" w:hAnsi="Tahoma" w:cs="Tahoma"/>
                <w:sz w:val="18"/>
                <w:szCs w:val="18"/>
                <w:lang w:eastAsia="hr-HR"/>
              </w:rPr>
            </w:pPr>
            <w:r w:rsidRPr="00061543">
              <w:rPr>
                <w:rFonts w:ascii="Tahoma" w:eastAsia="Times New Roman" w:hAnsi="Tahoma" w:cs="Tahoma"/>
                <w:sz w:val="18"/>
                <w:szCs w:val="18"/>
                <w:lang w:eastAsia="hr-HR"/>
              </w:rPr>
              <w:t>0</w:t>
            </w:r>
          </w:p>
        </w:tc>
        <w:tc>
          <w:tcPr>
            <w:tcW w:w="426" w:type="dxa"/>
            <w:tcBorders>
              <w:top w:val="nil"/>
              <w:left w:val="nil"/>
              <w:bottom w:val="single" w:sz="4" w:space="0" w:color="auto"/>
              <w:right w:val="single" w:sz="4" w:space="0" w:color="auto"/>
            </w:tcBorders>
            <w:shd w:val="clear" w:color="000000" w:fill="33CCCC"/>
            <w:noWrap/>
            <w:vAlign w:val="center"/>
            <w:hideMark/>
          </w:tcPr>
          <w:p w14:paraId="0C8189F7" w14:textId="77777777" w:rsidR="00061543" w:rsidRPr="00061543" w:rsidRDefault="00061543" w:rsidP="00061543">
            <w:pPr>
              <w:spacing w:after="0" w:line="240" w:lineRule="auto"/>
              <w:jc w:val="right"/>
              <w:rPr>
                <w:rFonts w:ascii="Tahoma" w:eastAsia="Times New Roman" w:hAnsi="Tahoma" w:cs="Tahoma"/>
                <w:sz w:val="18"/>
                <w:szCs w:val="18"/>
                <w:lang w:eastAsia="hr-HR"/>
              </w:rPr>
            </w:pPr>
            <w:r w:rsidRPr="00061543">
              <w:rPr>
                <w:rFonts w:ascii="Tahoma" w:eastAsia="Times New Roman" w:hAnsi="Tahoma" w:cs="Tahoma"/>
                <w:sz w:val="18"/>
                <w:szCs w:val="18"/>
                <w:lang w:eastAsia="hr-HR"/>
              </w:rPr>
              <w:t>0</w:t>
            </w:r>
          </w:p>
        </w:tc>
        <w:tc>
          <w:tcPr>
            <w:tcW w:w="473" w:type="dxa"/>
            <w:tcBorders>
              <w:top w:val="nil"/>
              <w:left w:val="nil"/>
              <w:bottom w:val="single" w:sz="4" w:space="0" w:color="auto"/>
              <w:right w:val="single" w:sz="8" w:space="0" w:color="auto"/>
            </w:tcBorders>
            <w:shd w:val="clear" w:color="000000" w:fill="33CCCC"/>
            <w:noWrap/>
            <w:vAlign w:val="center"/>
            <w:hideMark/>
          </w:tcPr>
          <w:p w14:paraId="60967F5A" w14:textId="77777777" w:rsidR="00061543" w:rsidRPr="00061543" w:rsidRDefault="00061543" w:rsidP="00061543">
            <w:pPr>
              <w:spacing w:after="0" w:line="240" w:lineRule="auto"/>
              <w:jc w:val="right"/>
              <w:rPr>
                <w:rFonts w:ascii="Tahoma" w:eastAsia="Times New Roman" w:hAnsi="Tahoma" w:cs="Tahoma"/>
                <w:sz w:val="18"/>
                <w:szCs w:val="18"/>
                <w:lang w:eastAsia="hr-HR"/>
              </w:rPr>
            </w:pPr>
            <w:r w:rsidRPr="00061543">
              <w:rPr>
                <w:rFonts w:ascii="Tahoma" w:eastAsia="Times New Roman" w:hAnsi="Tahoma" w:cs="Tahoma"/>
                <w:sz w:val="18"/>
                <w:szCs w:val="18"/>
                <w:lang w:eastAsia="hr-HR"/>
              </w:rPr>
              <w:t>0</w:t>
            </w:r>
          </w:p>
        </w:tc>
        <w:tc>
          <w:tcPr>
            <w:tcW w:w="236" w:type="dxa"/>
            <w:gridSpan w:val="3"/>
            <w:vAlign w:val="center"/>
            <w:hideMark/>
          </w:tcPr>
          <w:p w14:paraId="08A0897F" w14:textId="77777777" w:rsidR="00061543" w:rsidRPr="00061543" w:rsidRDefault="00061543" w:rsidP="00061543">
            <w:pPr>
              <w:spacing w:after="0" w:line="240" w:lineRule="auto"/>
              <w:rPr>
                <w:rFonts w:ascii="Times New Roman" w:eastAsia="Times New Roman" w:hAnsi="Times New Roman" w:cs="Times New Roman"/>
                <w:sz w:val="18"/>
                <w:szCs w:val="18"/>
                <w:lang w:eastAsia="hr-HR"/>
              </w:rPr>
            </w:pPr>
          </w:p>
        </w:tc>
      </w:tr>
      <w:tr w:rsidR="00061543" w:rsidRPr="00061543" w14:paraId="1B4CF7CB" w14:textId="77777777" w:rsidTr="00061543">
        <w:trPr>
          <w:gridAfter w:val="2"/>
          <w:wAfter w:w="101" w:type="dxa"/>
          <w:trHeight w:val="510"/>
        </w:trPr>
        <w:tc>
          <w:tcPr>
            <w:tcW w:w="1576" w:type="dxa"/>
            <w:tcBorders>
              <w:top w:val="single" w:sz="4" w:space="0" w:color="auto"/>
              <w:left w:val="single" w:sz="8" w:space="0" w:color="auto"/>
              <w:bottom w:val="single" w:sz="4" w:space="0" w:color="auto"/>
              <w:right w:val="single" w:sz="4" w:space="0" w:color="auto"/>
            </w:tcBorders>
            <w:shd w:val="clear" w:color="000000" w:fill="CCFFCC"/>
            <w:vAlign w:val="center"/>
            <w:hideMark/>
          </w:tcPr>
          <w:p w14:paraId="305B3927" w14:textId="77777777" w:rsidR="00061543" w:rsidRPr="00061543" w:rsidRDefault="00061543" w:rsidP="00061543">
            <w:pPr>
              <w:spacing w:after="0" w:line="240" w:lineRule="auto"/>
              <w:rPr>
                <w:rFonts w:ascii="Tahoma" w:eastAsia="Times New Roman" w:hAnsi="Tahoma" w:cs="Tahoma"/>
                <w:sz w:val="18"/>
                <w:szCs w:val="18"/>
                <w:lang w:eastAsia="hr-HR"/>
              </w:rPr>
            </w:pPr>
            <w:r w:rsidRPr="00061543">
              <w:rPr>
                <w:rFonts w:ascii="Tahoma" w:eastAsia="Times New Roman" w:hAnsi="Tahoma" w:cs="Tahoma"/>
                <w:sz w:val="18"/>
                <w:szCs w:val="18"/>
                <w:lang w:eastAsia="hr-HR"/>
              </w:rPr>
              <w:t>Rodni identitet rodno izražavanje</w:t>
            </w:r>
          </w:p>
        </w:tc>
        <w:tc>
          <w:tcPr>
            <w:tcW w:w="560" w:type="dxa"/>
            <w:tcBorders>
              <w:top w:val="nil"/>
              <w:left w:val="nil"/>
              <w:bottom w:val="single" w:sz="4" w:space="0" w:color="auto"/>
              <w:right w:val="single" w:sz="4" w:space="0" w:color="auto"/>
            </w:tcBorders>
            <w:shd w:val="clear" w:color="000000" w:fill="FFCC99"/>
            <w:noWrap/>
            <w:vAlign w:val="center"/>
            <w:hideMark/>
          </w:tcPr>
          <w:p w14:paraId="36AC5E77" w14:textId="77777777" w:rsidR="00061543" w:rsidRPr="00061543" w:rsidRDefault="00061543" w:rsidP="00061543">
            <w:pPr>
              <w:spacing w:after="0" w:line="240" w:lineRule="auto"/>
              <w:jc w:val="center"/>
              <w:rPr>
                <w:rFonts w:ascii="Tahoma" w:eastAsia="Times New Roman" w:hAnsi="Tahoma" w:cs="Tahoma"/>
                <w:sz w:val="18"/>
                <w:szCs w:val="18"/>
                <w:lang w:eastAsia="hr-HR"/>
              </w:rPr>
            </w:pPr>
            <w:r w:rsidRPr="00061543">
              <w:rPr>
                <w:rFonts w:ascii="Tahoma" w:eastAsia="Times New Roman" w:hAnsi="Tahoma" w:cs="Tahoma"/>
                <w:sz w:val="18"/>
                <w:szCs w:val="18"/>
                <w:lang w:eastAsia="hr-HR"/>
              </w:rPr>
              <w:t>0</w:t>
            </w:r>
          </w:p>
        </w:tc>
        <w:tc>
          <w:tcPr>
            <w:tcW w:w="446" w:type="dxa"/>
            <w:tcBorders>
              <w:top w:val="nil"/>
              <w:left w:val="nil"/>
              <w:bottom w:val="single" w:sz="4" w:space="0" w:color="auto"/>
              <w:right w:val="single" w:sz="4" w:space="0" w:color="auto"/>
            </w:tcBorders>
            <w:shd w:val="clear" w:color="000000" w:fill="FFFF00"/>
            <w:noWrap/>
            <w:vAlign w:val="center"/>
            <w:hideMark/>
          </w:tcPr>
          <w:p w14:paraId="0DB0D825" w14:textId="77777777" w:rsidR="00061543" w:rsidRPr="00061543" w:rsidRDefault="00061543" w:rsidP="00061543">
            <w:pPr>
              <w:spacing w:after="0" w:line="240" w:lineRule="auto"/>
              <w:jc w:val="center"/>
              <w:rPr>
                <w:rFonts w:ascii="Tahoma" w:eastAsia="Times New Roman" w:hAnsi="Tahoma" w:cs="Tahoma"/>
                <w:sz w:val="18"/>
                <w:szCs w:val="18"/>
                <w:lang w:eastAsia="hr-HR"/>
              </w:rPr>
            </w:pPr>
            <w:r w:rsidRPr="00061543">
              <w:rPr>
                <w:rFonts w:ascii="Tahoma" w:eastAsia="Times New Roman" w:hAnsi="Tahoma" w:cs="Tahoma"/>
                <w:sz w:val="18"/>
                <w:szCs w:val="18"/>
                <w:lang w:eastAsia="hr-HR"/>
              </w:rPr>
              <w:t>0</w:t>
            </w:r>
          </w:p>
        </w:tc>
        <w:tc>
          <w:tcPr>
            <w:tcW w:w="787" w:type="dxa"/>
            <w:tcBorders>
              <w:top w:val="nil"/>
              <w:left w:val="nil"/>
              <w:bottom w:val="single" w:sz="4" w:space="0" w:color="auto"/>
              <w:right w:val="single" w:sz="4" w:space="0" w:color="auto"/>
            </w:tcBorders>
            <w:shd w:val="clear" w:color="000000" w:fill="CCFFFF"/>
            <w:noWrap/>
            <w:vAlign w:val="center"/>
            <w:hideMark/>
          </w:tcPr>
          <w:p w14:paraId="5460BFE8" w14:textId="77777777" w:rsidR="00061543" w:rsidRPr="00061543" w:rsidRDefault="00061543" w:rsidP="00061543">
            <w:pPr>
              <w:spacing w:after="0" w:line="240" w:lineRule="auto"/>
              <w:jc w:val="right"/>
              <w:rPr>
                <w:rFonts w:ascii="Tahoma" w:eastAsia="Times New Roman" w:hAnsi="Tahoma" w:cs="Tahoma"/>
                <w:sz w:val="18"/>
                <w:szCs w:val="18"/>
                <w:lang w:eastAsia="hr-HR"/>
              </w:rPr>
            </w:pPr>
            <w:r w:rsidRPr="00061543">
              <w:rPr>
                <w:rFonts w:ascii="Tahoma" w:eastAsia="Times New Roman" w:hAnsi="Tahoma" w:cs="Tahoma"/>
                <w:sz w:val="18"/>
                <w:szCs w:val="18"/>
                <w:lang w:eastAsia="hr-HR"/>
              </w:rPr>
              <w:t>0</w:t>
            </w:r>
          </w:p>
        </w:tc>
        <w:tc>
          <w:tcPr>
            <w:tcW w:w="581" w:type="dxa"/>
            <w:tcBorders>
              <w:top w:val="nil"/>
              <w:left w:val="nil"/>
              <w:bottom w:val="single" w:sz="4" w:space="0" w:color="auto"/>
              <w:right w:val="single" w:sz="4" w:space="0" w:color="auto"/>
            </w:tcBorders>
            <w:shd w:val="clear" w:color="000000" w:fill="CCFFFF"/>
            <w:noWrap/>
            <w:vAlign w:val="center"/>
            <w:hideMark/>
          </w:tcPr>
          <w:p w14:paraId="1EAF1787" w14:textId="77777777" w:rsidR="00061543" w:rsidRPr="00061543" w:rsidRDefault="00061543" w:rsidP="00061543">
            <w:pPr>
              <w:spacing w:after="0" w:line="240" w:lineRule="auto"/>
              <w:jc w:val="right"/>
              <w:rPr>
                <w:rFonts w:ascii="Tahoma" w:eastAsia="Times New Roman" w:hAnsi="Tahoma" w:cs="Tahoma"/>
                <w:sz w:val="18"/>
                <w:szCs w:val="18"/>
                <w:lang w:eastAsia="hr-HR"/>
              </w:rPr>
            </w:pPr>
            <w:r w:rsidRPr="00061543">
              <w:rPr>
                <w:rFonts w:ascii="Tahoma" w:eastAsia="Times New Roman" w:hAnsi="Tahoma" w:cs="Tahoma"/>
                <w:sz w:val="18"/>
                <w:szCs w:val="18"/>
                <w:lang w:eastAsia="hr-HR"/>
              </w:rPr>
              <w:t>0</w:t>
            </w:r>
          </w:p>
        </w:tc>
        <w:tc>
          <w:tcPr>
            <w:tcW w:w="446" w:type="dxa"/>
            <w:tcBorders>
              <w:top w:val="nil"/>
              <w:left w:val="nil"/>
              <w:bottom w:val="single" w:sz="4" w:space="0" w:color="auto"/>
              <w:right w:val="single" w:sz="4" w:space="0" w:color="auto"/>
            </w:tcBorders>
            <w:shd w:val="clear" w:color="000000" w:fill="FFFF99"/>
            <w:noWrap/>
            <w:vAlign w:val="center"/>
            <w:hideMark/>
          </w:tcPr>
          <w:p w14:paraId="3E264D44" w14:textId="77777777" w:rsidR="00061543" w:rsidRPr="00061543" w:rsidRDefault="00061543" w:rsidP="00061543">
            <w:pPr>
              <w:spacing w:after="0" w:line="240" w:lineRule="auto"/>
              <w:jc w:val="center"/>
              <w:rPr>
                <w:rFonts w:ascii="Tahoma" w:eastAsia="Times New Roman" w:hAnsi="Tahoma" w:cs="Tahoma"/>
                <w:sz w:val="18"/>
                <w:szCs w:val="18"/>
                <w:lang w:eastAsia="hr-HR"/>
              </w:rPr>
            </w:pPr>
            <w:r w:rsidRPr="00061543">
              <w:rPr>
                <w:rFonts w:ascii="Tahoma" w:eastAsia="Times New Roman" w:hAnsi="Tahoma" w:cs="Tahoma"/>
                <w:sz w:val="18"/>
                <w:szCs w:val="18"/>
                <w:lang w:eastAsia="hr-HR"/>
              </w:rPr>
              <w:t>0</w:t>
            </w:r>
          </w:p>
        </w:tc>
        <w:tc>
          <w:tcPr>
            <w:tcW w:w="697" w:type="dxa"/>
            <w:tcBorders>
              <w:top w:val="nil"/>
              <w:left w:val="nil"/>
              <w:bottom w:val="single" w:sz="4" w:space="0" w:color="auto"/>
              <w:right w:val="single" w:sz="4" w:space="0" w:color="auto"/>
            </w:tcBorders>
            <w:shd w:val="clear" w:color="000000" w:fill="FFFF99"/>
            <w:noWrap/>
            <w:vAlign w:val="center"/>
            <w:hideMark/>
          </w:tcPr>
          <w:p w14:paraId="5E6EFE85" w14:textId="77777777" w:rsidR="00061543" w:rsidRPr="00061543" w:rsidRDefault="00061543" w:rsidP="00061543">
            <w:pPr>
              <w:spacing w:after="0" w:line="240" w:lineRule="auto"/>
              <w:jc w:val="center"/>
              <w:rPr>
                <w:rFonts w:ascii="Tahoma" w:eastAsia="Times New Roman" w:hAnsi="Tahoma" w:cs="Tahoma"/>
                <w:sz w:val="18"/>
                <w:szCs w:val="18"/>
                <w:lang w:eastAsia="hr-HR"/>
              </w:rPr>
            </w:pPr>
            <w:r w:rsidRPr="00061543">
              <w:rPr>
                <w:rFonts w:ascii="Tahoma" w:eastAsia="Times New Roman" w:hAnsi="Tahoma" w:cs="Tahoma"/>
                <w:sz w:val="18"/>
                <w:szCs w:val="18"/>
                <w:lang w:eastAsia="hr-HR"/>
              </w:rPr>
              <w:t>0</w:t>
            </w:r>
          </w:p>
        </w:tc>
        <w:tc>
          <w:tcPr>
            <w:tcW w:w="446" w:type="dxa"/>
            <w:tcBorders>
              <w:top w:val="nil"/>
              <w:left w:val="nil"/>
              <w:bottom w:val="single" w:sz="4" w:space="0" w:color="auto"/>
              <w:right w:val="single" w:sz="4" w:space="0" w:color="auto"/>
            </w:tcBorders>
            <w:shd w:val="clear" w:color="000000" w:fill="FFFF99"/>
            <w:noWrap/>
            <w:vAlign w:val="center"/>
            <w:hideMark/>
          </w:tcPr>
          <w:p w14:paraId="632725D5" w14:textId="77777777" w:rsidR="00061543" w:rsidRPr="00061543" w:rsidRDefault="00061543" w:rsidP="00061543">
            <w:pPr>
              <w:spacing w:after="0" w:line="240" w:lineRule="auto"/>
              <w:jc w:val="center"/>
              <w:rPr>
                <w:rFonts w:ascii="Tahoma" w:eastAsia="Times New Roman" w:hAnsi="Tahoma" w:cs="Tahoma"/>
                <w:sz w:val="18"/>
                <w:szCs w:val="18"/>
                <w:lang w:eastAsia="hr-HR"/>
              </w:rPr>
            </w:pPr>
            <w:r w:rsidRPr="00061543">
              <w:rPr>
                <w:rFonts w:ascii="Tahoma" w:eastAsia="Times New Roman" w:hAnsi="Tahoma" w:cs="Tahoma"/>
                <w:sz w:val="18"/>
                <w:szCs w:val="18"/>
                <w:lang w:eastAsia="hr-HR"/>
              </w:rPr>
              <w:t>0</w:t>
            </w:r>
          </w:p>
        </w:tc>
        <w:tc>
          <w:tcPr>
            <w:tcW w:w="567" w:type="dxa"/>
            <w:tcBorders>
              <w:top w:val="nil"/>
              <w:left w:val="nil"/>
              <w:bottom w:val="single" w:sz="4" w:space="0" w:color="auto"/>
              <w:right w:val="single" w:sz="4" w:space="0" w:color="auto"/>
            </w:tcBorders>
            <w:shd w:val="clear" w:color="000000" w:fill="FFFF99"/>
            <w:noWrap/>
            <w:vAlign w:val="center"/>
            <w:hideMark/>
          </w:tcPr>
          <w:p w14:paraId="6FE33D55" w14:textId="77777777" w:rsidR="00061543" w:rsidRPr="00061543" w:rsidRDefault="00061543" w:rsidP="00061543">
            <w:pPr>
              <w:spacing w:after="0" w:line="240" w:lineRule="auto"/>
              <w:jc w:val="center"/>
              <w:rPr>
                <w:rFonts w:ascii="Tahoma" w:eastAsia="Times New Roman" w:hAnsi="Tahoma" w:cs="Tahoma"/>
                <w:sz w:val="18"/>
                <w:szCs w:val="18"/>
                <w:lang w:eastAsia="hr-HR"/>
              </w:rPr>
            </w:pPr>
            <w:r w:rsidRPr="00061543">
              <w:rPr>
                <w:rFonts w:ascii="Tahoma" w:eastAsia="Times New Roman" w:hAnsi="Tahoma" w:cs="Tahoma"/>
                <w:sz w:val="18"/>
                <w:szCs w:val="18"/>
                <w:lang w:eastAsia="hr-HR"/>
              </w:rPr>
              <w:t>0</w:t>
            </w:r>
          </w:p>
        </w:tc>
        <w:tc>
          <w:tcPr>
            <w:tcW w:w="468" w:type="dxa"/>
            <w:tcBorders>
              <w:top w:val="nil"/>
              <w:left w:val="nil"/>
              <w:bottom w:val="single" w:sz="4" w:space="0" w:color="auto"/>
              <w:right w:val="single" w:sz="4" w:space="0" w:color="auto"/>
            </w:tcBorders>
            <w:shd w:val="clear" w:color="000000" w:fill="FFFF99"/>
            <w:noWrap/>
            <w:vAlign w:val="center"/>
            <w:hideMark/>
          </w:tcPr>
          <w:p w14:paraId="7BB4E7BA" w14:textId="77777777" w:rsidR="00061543" w:rsidRPr="00061543" w:rsidRDefault="00061543" w:rsidP="00061543">
            <w:pPr>
              <w:spacing w:after="0" w:line="240" w:lineRule="auto"/>
              <w:jc w:val="center"/>
              <w:rPr>
                <w:rFonts w:ascii="Tahoma" w:eastAsia="Times New Roman" w:hAnsi="Tahoma" w:cs="Tahoma"/>
                <w:sz w:val="18"/>
                <w:szCs w:val="18"/>
                <w:lang w:eastAsia="hr-HR"/>
              </w:rPr>
            </w:pPr>
            <w:r w:rsidRPr="00061543">
              <w:rPr>
                <w:rFonts w:ascii="Tahoma" w:eastAsia="Times New Roman" w:hAnsi="Tahoma" w:cs="Tahoma"/>
                <w:sz w:val="18"/>
                <w:szCs w:val="18"/>
                <w:lang w:eastAsia="hr-HR"/>
              </w:rPr>
              <w:t>0</w:t>
            </w:r>
          </w:p>
        </w:tc>
        <w:tc>
          <w:tcPr>
            <w:tcW w:w="808" w:type="dxa"/>
            <w:tcBorders>
              <w:top w:val="nil"/>
              <w:left w:val="nil"/>
              <w:bottom w:val="single" w:sz="4" w:space="0" w:color="auto"/>
              <w:right w:val="single" w:sz="4" w:space="0" w:color="auto"/>
            </w:tcBorders>
            <w:shd w:val="clear" w:color="000000" w:fill="FFFF99"/>
            <w:noWrap/>
            <w:vAlign w:val="center"/>
            <w:hideMark/>
          </w:tcPr>
          <w:p w14:paraId="662AC287" w14:textId="77777777" w:rsidR="00061543" w:rsidRPr="00061543" w:rsidRDefault="00061543" w:rsidP="00061543">
            <w:pPr>
              <w:spacing w:after="0" w:line="240" w:lineRule="auto"/>
              <w:jc w:val="center"/>
              <w:rPr>
                <w:rFonts w:ascii="Tahoma" w:eastAsia="Times New Roman" w:hAnsi="Tahoma" w:cs="Tahoma"/>
                <w:sz w:val="18"/>
                <w:szCs w:val="18"/>
                <w:lang w:eastAsia="hr-HR"/>
              </w:rPr>
            </w:pPr>
            <w:r w:rsidRPr="00061543">
              <w:rPr>
                <w:rFonts w:ascii="Tahoma" w:eastAsia="Times New Roman" w:hAnsi="Tahoma" w:cs="Tahoma"/>
                <w:sz w:val="18"/>
                <w:szCs w:val="18"/>
                <w:lang w:eastAsia="hr-HR"/>
              </w:rPr>
              <w:t>0</w:t>
            </w:r>
          </w:p>
        </w:tc>
        <w:tc>
          <w:tcPr>
            <w:tcW w:w="468" w:type="dxa"/>
            <w:gridSpan w:val="2"/>
            <w:tcBorders>
              <w:top w:val="nil"/>
              <w:left w:val="nil"/>
              <w:bottom w:val="single" w:sz="4" w:space="0" w:color="auto"/>
              <w:right w:val="single" w:sz="4" w:space="0" w:color="auto"/>
            </w:tcBorders>
            <w:shd w:val="clear" w:color="000000" w:fill="FF9900"/>
            <w:noWrap/>
            <w:vAlign w:val="center"/>
            <w:hideMark/>
          </w:tcPr>
          <w:p w14:paraId="1175ADE8" w14:textId="77777777" w:rsidR="00061543" w:rsidRPr="00061543" w:rsidRDefault="00061543" w:rsidP="00061543">
            <w:pPr>
              <w:spacing w:after="0" w:line="240" w:lineRule="auto"/>
              <w:jc w:val="right"/>
              <w:rPr>
                <w:rFonts w:ascii="Tahoma" w:eastAsia="Times New Roman" w:hAnsi="Tahoma" w:cs="Tahoma"/>
                <w:sz w:val="18"/>
                <w:szCs w:val="18"/>
                <w:lang w:eastAsia="hr-HR"/>
              </w:rPr>
            </w:pPr>
            <w:r w:rsidRPr="00061543">
              <w:rPr>
                <w:rFonts w:ascii="Tahoma" w:eastAsia="Times New Roman" w:hAnsi="Tahoma" w:cs="Tahoma"/>
                <w:sz w:val="18"/>
                <w:szCs w:val="18"/>
                <w:lang w:eastAsia="hr-HR"/>
              </w:rPr>
              <w:t>0</w:t>
            </w:r>
          </w:p>
        </w:tc>
        <w:tc>
          <w:tcPr>
            <w:tcW w:w="524" w:type="dxa"/>
            <w:tcBorders>
              <w:top w:val="nil"/>
              <w:left w:val="nil"/>
              <w:bottom w:val="single" w:sz="4" w:space="0" w:color="auto"/>
              <w:right w:val="single" w:sz="4" w:space="0" w:color="auto"/>
            </w:tcBorders>
            <w:shd w:val="clear" w:color="000000" w:fill="FF9900"/>
            <w:noWrap/>
            <w:vAlign w:val="center"/>
            <w:hideMark/>
          </w:tcPr>
          <w:p w14:paraId="6A9D503B" w14:textId="77777777" w:rsidR="00061543" w:rsidRPr="00061543" w:rsidRDefault="00061543" w:rsidP="00061543">
            <w:pPr>
              <w:spacing w:after="0" w:line="240" w:lineRule="auto"/>
              <w:jc w:val="right"/>
              <w:rPr>
                <w:rFonts w:ascii="Tahoma" w:eastAsia="Times New Roman" w:hAnsi="Tahoma" w:cs="Tahoma"/>
                <w:sz w:val="18"/>
                <w:szCs w:val="18"/>
                <w:lang w:eastAsia="hr-HR"/>
              </w:rPr>
            </w:pPr>
            <w:r w:rsidRPr="00061543">
              <w:rPr>
                <w:rFonts w:ascii="Tahoma" w:eastAsia="Times New Roman" w:hAnsi="Tahoma" w:cs="Tahoma"/>
                <w:sz w:val="18"/>
                <w:szCs w:val="18"/>
                <w:lang w:eastAsia="hr-HR"/>
              </w:rPr>
              <w:t>0</w:t>
            </w:r>
          </w:p>
        </w:tc>
        <w:tc>
          <w:tcPr>
            <w:tcW w:w="468" w:type="dxa"/>
            <w:tcBorders>
              <w:top w:val="nil"/>
              <w:left w:val="nil"/>
              <w:bottom w:val="single" w:sz="4" w:space="0" w:color="auto"/>
              <w:right w:val="single" w:sz="4" w:space="0" w:color="auto"/>
            </w:tcBorders>
            <w:shd w:val="clear" w:color="000000" w:fill="FF9900"/>
            <w:noWrap/>
            <w:vAlign w:val="center"/>
            <w:hideMark/>
          </w:tcPr>
          <w:p w14:paraId="301BD50E" w14:textId="77777777" w:rsidR="00061543" w:rsidRPr="00061543" w:rsidRDefault="00061543" w:rsidP="00061543">
            <w:pPr>
              <w:spacing w:after="0" w:line="240" w:lineRule="auto"/>
              <w:jc w:val="right"/>
              <w:rPr>
                <w:rFonts w:ascii="Tahoma" w:eastAsia="Times New Roman" w:hAnsi="Tahoma" w:cs="Tahoma"/>
                <w:sz w:val="18"/>
                <w:szCs w:val="18"/>
                <w:lang w:eastAsia="hr-HR"/>
              </w:rPr>
            </w:pPr>
            <w:r w:rsidRPr="00061543">
              <w:rPr>
                <w:rFonts w:ascii="Tahoma" w:eastAsia="Times New Roman" w:hAnsi="Tahoma" w:cs="Tahoma"/>
                <w:sz w:val="18"/>
                <w:szCs w:val="18"/>
                <w:lang w:eastAsia="hr-HR"/>
              </w:rPr>
              <w:t>0</w:t>
            </w:r>
          </w:p>
        </w:tc>
        <w:tc>
          <w:tcPr>
            <w:tcW w:w="468" w:type="dxa"/>
            <w:tcBorders>
              <w:top w:val="nil"/>
              <w:left w:val="nil"/>
              <w:bottom w:val="single" w:sz="4" w:space="0" w:color="auto"/>
              <w:right w:val="single" w:sz="4" w:space="0" w:color="auto"/>
            </w:tcBorders>
            <w:shd w:val="clear" w:color="000000" w:fill="FFFF00"/>
            <w:vAlign w:val="center"/>
            <w:hideMark/>
          </w:tcPr>
          <w:p w14:paraId="36C949F6" w14:textId="77777777" w:rsidR="00061543" w:rsidRPr="00061543" w:rsidRDefault="00061543" w:rsidP="00061543">
            <w:pPr>
              <w:spacing w:after="0" w:line="240" w:lineRule="auto"/>
              <w:jc w:val="center"/>
              <w:rPr>
                <w:rFonts w:ascii="Tahoma" w:eastAsia="Times New Roman" w:hAnsi="Tahoma" w:cs="Tahoma"/>
                <w:sz w:val="18"/>
                <w:szCs w:val="18"/>
                <w:lang w:eastAsia="hr-HR"/>
              </w:rPr>
            </w:pPr>
            <w:r w:rsidRPr="00061543">
              <w:rPr>
                <w:rFonts w:ascii="Tahoma" w:eastAsia="Times New Roman" w:hAnsi="Tahoma" w:cs="Tahoma"/>
                <w:sz w:val="18"/>
                <w:szCs w:val="18"/>
                <w:lang w:eastAsia="hr-HR"/>
              </w:rPr>
              <w:t>0</w:t>
            </w:r>
          </w:p>
        </w:tc>
        <w:tc>
          <w:tcPr>
            <w:tcW w:w="560" w:type="dxa"/>
            <w:gridSpan w:val="2"/>
            <w:tcBorders>
              <w:top w:val="nil"/>
              <w:left w:val="nil"/>
              <w:bottom w:val="single" w:sz="4" w:space="0" w:color="auto"/>
              <w:right w:val="single" w:sz="4" w:space="0" w:color="auto"/>
            </w:tcBorders>
            <w:shd w:val="clear" w:color="000000" w:fill="FF9900"/>
            <w:vAlign w:val="center"/>
            <w:hideMark/>
          </w:tcPr>
          <w:p w14:paraId="63272DF8" w14:textId="77777777" w:rsidR="00061543" w:rsidRPr="00061543" w:rsidRDefault="00061543" w:rsidP="00061543">
            <w:pPr>
              <w:spacing w:after="0" w:line="240" w:lineRule="auto"/>
              <w:jc w:val="center"/>
              <w:rPr>
                <w:rFonts w:ascii="Tahoma" w:eastAsia="Times New Roman" w:hAnsi="Tahoma" w:cs="Tahoma"/>
                <w:sz w:val="18"/>
                <w:szCs w:val="18"/>
                <w:lang w:eastAsia="hr-HR"/>
              </w:rPr>
            </w:pPr>
            <w:r w:rsidRPr="00061543">
              <w:rPr>
                <w:rFonts w:ascii="Tahoma" w:eastAsia="Times New Roman" w:hAnsi="Tahoma" w:cs="Tahoma"/>
                <w:sz w:val="18"/>
                <w:szCs w:val="18"/>
                <w:lang w:eastAsia="hr-HR"/>
              </w:rPr>
              <w:t>0</w:t>
            </w:r>
          </w:p>
        </w:tc>
        <w:tc>
          <w:tcPr>
            <w:tcW w:w="905" w:type="dxa"/>
            <w:gridSpan w:val="2"/>
            <w:tcBorders>
              <w:top w:val="nil"/>
              <w:left w:val="nil"/>
              <w:bottom w:val="single" w:sz="4" w:space="0" w:color="auto"/>
              <w:right w:val="single" w:sz="4" w:space="0" w:color="auto"/>
            </w:tcBorders>
            <w:shd w:val="clear" w:color="000000" w:fill="FF9900"/>
            <w:noWrap/>
            <w:vAlign w:val="center"/>
            <w:hideMark/>
          </w:tcPr>
          <w:p w14:paraId="711B677F" w14:textId="77777777" w:rsidR="00061543" w:rsidRPr="00061543" w:rsidRDefault="00061543" w:rsidP="00061543">
            <w:pPr>
              <w:spacing w:after="0" w:line="240" w:lineRule="auto"/>
              <w:jc w:val="center"/>
              <w:rPr>
                <w:rFonts w:ascii="Tahoma" w:eastAsia="Times New Roman" w:hAnsi="Tahoma" w:cs="Tahoma"/>
                <w:sz w:val="18"/>
                <w:szCs w:val="18"/>
                <w:lang w:eastAsia="hr-HR"/>
              </w:rPr>
            </w:pPr>
            <w:r w:rsidRPr="00061543">
              <w:rPr>
                <w:rFonts w:ascii="Tahoma" w:eastAsia="Times New Roman" w:hAnsi="Tahoma" w:cs="Tahoma"/>
                <w:sz w:val="18"/>
                <w:szCs w:val="18"/>
                <w:lang w:eastAsia="hr-HR"/>
              </w:rPr>
              <w:t>0</w:t>
            </w:r>
          </w:p>
        </w:tc>
        <w:tc>
          <w:tcPr>
            <w:tcW w:w="498" w:type="dxa"/>
            <w:tcBorders>
              <w:top w:val="nil"/>
              <w:left w:val="nil"/>
              <w:bottom w:val="single" w:sz="4" w:space="0" w:color="auto"/>
              <w:right w:val="single" w:sz="4" w:space="0" w:color="auto"/>
            </w:tcBorders>
            <w:shd w:val="clear" w:color="000000" w:fill="FF9900"/>
            <w:noWrap/>
            <w:vAlign w:val="center"/>
            <w:hideMark/>
          </w:tcPr>
          <w:p w14:paraId="435E5C43" w14:textId="77777777" w:rsidR="00061543" w:rsidRPr="00061543" w:rsidRDefault="00061543" w:rsidP="00061543">
            <w:pPr>
              <w:spacing w:after="0" w:line="240" w:lineRule="auto"/>
              <w:jc w:val="center"/>
              <w:rPr>
                <w:rFonts w:ascii="Tahoma" w:eastAsia="Times New Roman" w:hAnsi="Tahoma" w:cs="Tahoma"/>
                <w:sz w:val="18"/>
                <w:szCs w:val="18"/>
                <w:lang w:eastAsia="hr-HR"/>
              </w:rPr>
            </w:pPr>
            <w:r w:rsidRPr="00061543">
              <w:rPr>
                <w:rFonts w:ascii="Tahoma" w:eastAsia="Times New Roman" w:hAnsi="Tahoma" w:cs="Tahoma"/>
                <w:sz w:val="18"/>
                <w:szCs w:val="18"/>
                <w:lang w:eastAsia="hr-HR"/>
              </w:rPr>
              <w:t>0</w:t>
            </w:r>
          </w:p>
        </w:tc>
        <w:tc>
          <w:tcPr>
            <w:tcW w:w="1016" w:type="dxa"/>
            <w:gridSpan w:val="2"/>
            <w:tcBorders>
              <w:top w:val="nil"/>
              <w:left w:val="nil"/>
              <w:bottom w:val="single" w:sz="4" w:space="0" w:color="auto"/>
              <w:right w:val="single" w:sz="4" w:space="0" w:color="auto"/>
            </w:tcBorders>
            <w:shd w:val="clear" w:color="000000" w:fill="FF9900"/>
            <w:noWrap/>
            <w:vAlign w:val="center"/>
            <w:hideMark/>
          </w:tcPr>
          <w:p w14:paraId="16064A30" w14:textId="77777777" w:rsidR="00061543" w:rsidRPr="00061543" w:rsidRDefault="00061543" w:rsidP="00061543">
            <w:pPr>
              <w:spacing w:after="0" w:line="240" w:lineRule="auto"/>
              <w:jc w:val="center"/>
              <w:rPr>
                <w:rFonts w:ascii="Tahoma" w:eastAsia="Times New Roman" w:hAnsi="Tahoma" w:cs="Tahoma"/>
                <w:sz w:val="18"/>
                <w:szCs w:val="18"/>
                <w:lang w:eastAsia="hr-HR"/>
              </w:rPr>
            </w:pPr>
            <w:r w:rsidRPr="00061543">
              <w:rPr>
                <w:rFonts w:ascii="Tahoma" w:eastAsia="Times New Roman" w:hAnsi="Tahoma" w:cs="Tahoma"/>
                <w:sz w:val="18"/>
                <w:szCs w:val="18"/>
                <w:lang w:eastAsia="hr-HR"/>
              </w:rPr>
              <w:t>0</w:t>
            </w:r>
          </w:p>
        </w:tc>
        <w:tc>
          <w:tcPr>
            <w:tcW w:w="505" w:type="dxa"/>
            <w:gridSpan w:val="2"/>
            <w:tcBorders>
              <w:top w:val="nil"/>
              <w:left w:val="nil"/>
              <w:bottom w:val="single" w:sz="4" w:space="0" w:color="auto"/>
              <w:right w:val="single" w:sz="4" w:space="0" w:color="auto"/>
            </w:tcBorders>
            <w:shd w:val="clear" w:color="000000" w:fill="CCFFFF"/>
            <w:noWrap/>
            <w:vAlign w:val="center"/>
            <w:hideMark/>
          </w:tcPr>
          <w:p w14:paraId="0A58D0BC" w14:textId="77777777" w:rsidR="00061543" w:rsidRPr="00061543" w:rsidRDefault="00061543" w:rsidP="00061543">
            <w:pPr>
              <w:spacing w:after="0" w:line="240" w:lineRule="auto"/>
              <w:jc w:val="right"/>
              <w:rPr>
                <w:rFonts w:ascii="Tahoma" w:eastAsia="Times New Roman" w:hAnsi="Tahoma" w:cs="Tahoma"/>
                <w:sz w:val="18"/>
                <w:szCs w:val="18"/>
                <w:lang w:eastAsia="hr-HR"/>
              </w:rPr>
            </w:pPr>
            <w:r w:rsidRPr="00061543">
              <w:rPr>
                <w:rFonts w:ascii="Tahoma" w:eastAsia="Times New Roman" w:hAnsi="Tahoma" w:cs="Tahoma"/>
                <w:sz w:val="18"/>
                <w:szCs w:val="18"/>
                <w:lang w:eastAsia="hr-HR"/>
              </w:rPr>
              <w:t>0</w:t>
            </w:r>
          </w:p>
        </w:tc>
        <w:tc>
          <w:tcPr>
            <w:tcW w:w="468" w:type="dxa"/>
            <w:tcBorders>
              <w:top w:val="nil"/>
              <w:left w:val="nil"/>
              <w:bottom w:val="single" w:sz="4" w:space="0" w:color="auto"/>
              <w:right w:val="single" w:sz="4" w:space="0" w:color="auto"/>
            </w:tcBorders>
            <w:shd w:val="clear" w:color="000000" w:fill="CCFFFF"/>
            <w:noWrap/>
            <w:vAlign w:val="center"/>
            <w:hideMark/>
          </w:tcPr>
          <w:p w14:paraId="0C4C5FBE" w14:textId="77777777" w:rsidR="00061543" w:rsidRPr="00061543" w:rsidRDefault="00061543" w:rsidP="00061543">
            <w:pPr>
              <w:spacing w:after="0" w:line="240" w:lineRule="auto"/>
              <w:jc w:val="right"/>
              <w:rPr>
                <w:rFonts w:ascii="Tahoma" w:eastAsia="Times New Roman" w:hAnsi="Tahoma" w:cs="Tahoma"/>
                <w:sz w:val="18"/>
                <w:szCs w:val="18"/>
                <w:lang w:eastAsia="hr-HR"/>
              </w:rPr>
            </w:pPr>
            <w:r w:rsidRPr="00061543">
              <w:rPr>
                <w:rFonts w:ascii="Tahoma" w:eastAsia="Times New Roman" w:hAnsi="Tahoma" w:cs="Tahoma"/>
                <w:sz w:val="18"/>
                <w:szCs w:val="18"/>
                <w:lang w:eastAsia="hr-HR"/>
              </w:rPr>
              <w:t>0</w:t>
            </w:r>
          </w:p>
        </w:tc>
        <w:tc>
          <w:tcPr>
            <w:tcW w:w="336" w:type="dxa"/>
            <w:tcBorders>
              <w:top w:val="nil"/>
              <w:left w:val="nil"/>
              <w:bottom w:val="single" w:sz="4" w:space="0" w:color="auto"/>
              <w:right w:val="single" w:sz="4" w:space="0" w:color="auto"/>
            </w:tcBorders>
            <w:shd w:val="clear" w:color="000000" w:fill="CCFFFF"/>
            <w:noWrap/>
            <w:vAlign w:val="center"/>
            <w:hideMark/>
          </w:tcPr>
          <w:p w14:paraId="6901AC46" w14:textId="77777777" w:rsidR="00061543" w:rsidRPr="00061543" w:rsidRDefault="00061543" w:rsidP="00061543">
            <w:pPr>
              <w:spacing w:after="0" w:line="240" w:lineRule="auto"/>
              <w:jc w:val="right"/>
              <w:rPr>
                <w:rFonts w:ascii="Tahoma" w:eastAsia="Times New Roman" w:hAnsi="Tahoma" w:cs="Tahoma"/>
                <w:sz w:val="18"/>
                <w:szCs w:val="18"/>
                <w:lang w:eastAsia="hr-HR"/>
              </w:rPr>
            </w:pPr>
            <w:r w:rsidRPr="00061543">
              <w:rPr>
                <w:rFonts w:ascii="Tahoma" w:eastAsia="Times New Roman" w:hAnsi="Tahoma" w:cs="Tahoma"/>
                <w:sz w:val="18"/>
                <w:szCs w:val="18"/>
                <w:lang w:eastAsia="hr-HR"/>
              </w:rPr>
              <w:t>0</w:t>
            </w:r>
          </w:p>
        </w:tc>
        <w:tc>
          <w:tcPr>
            <w:tcW w:w="426" w:type="dxa"/>
            <w:tcBorders>
              <w:top w:val="nil"/>
              <w:left w:val="nil"/>
              <w:bottom w:val="single" w:sz="4" w:space="0" w:color="auto"/>
              <w:right w:val="single" w:sz="4" w:space="0" w:color="auto"/>
            </w:tcBorders>
            <w:shd w:val="clear" w:color="000000" w:fill="33CCCC"/>
            <w:noWrap/>
            <w:vAlign w:val="center"/>
            <w:hideMark/>
          </w:tcPr>
          <w:p w14:paraId="003AF8BD" w14:textId="77777777" w:rsidR="00061543" w:rsidRPr="00061543" w:rsidRDefault="00061543" w:rsidP="00061543">
            <w:pPr>
              <w:spacing w:after="0" w:line="240" w:lineRule="auto"/>
              <w:jc w:val="right"/>
              <w:rPr>
                <w:rFonts w:ascii="Tahoma" w:eastAsia="Times New Roman" w:hAnsi="Tahoma" w:cs="Tahoma"/>
                <w:sz w:val="18"/>
                <w:szCs w:val="18"/>
                <w:lang w:eastAsia="hr-HR"/>
              </w:rPr>
            </w:pPr>
            <w:r w:rsidRPr="00061543">
              <w:rPr>
                <w:rFonts w:ascii="Tahoma" w:eastAsia="Times New Roman" w:hAnsi="Tahoma" w:cs="Tahoma"/>
                <w:sz w:val="18"/>
                <w:szCs w:val="18"/>
                <w:lang w:eastAsia="hr-HR"/>
              </w:rPr>
              <w:t>0</w:t>
            </w:r>
          </w:p>
        </w:tc>
        <w:tc>
          <w:tcPr>
            <w:tcW w:w="473" w:type="dxa"/>
            <w:tcBorders>
              <w:top w:val="nil"/>
              <w:left w:val="nil"/>
              <w:bottom w:val="single" w:sz="4" w:space="0" w:color="auto"/>
              <w:right w:val="single" w:sz="8" w:space="0" w:color="auto"/>
            </w:tcBorders>
            <w:shd w:val="clear" w:color="000000" w:fill="33CCCC"/>
            <w:noWrap/>
            <w:vAlign w:val="center"/>
            <w:hideMark/>
          </w:tcPr>
          <w:p w14:paraId="71650F13" w14:textId="77777777" w:rsidR="00061543" w:rsidRPr="00061543" w:rsidRDefault="00061543" w:rsidP="00061543">
            <w:pPr>
              <w:spacing w:after="0" w:line="240" w:lineRule="auto"/>
              <w:jc w:val="right"/>
              <w:rPr>
                <w:rFonts w:ascii="Tahoma" w:eastAsia="Times New Roman" w:hAnsi="Tahoma" w:cs="Tahoma"/>
                <w:sz w:val="18"/>
                <w:szCs w:val="18"/>
                <w:lang w:eastAsia="hr-HR"/>
              </w:rPr>
            </w:pPr>
            <w:r w:rsidRPr="00061543">
              <w:rPr>
                <w:rFonts w:ascii="Tahoma" w:eastAsia="Times New Roman" w:hAnsi="Tahoma" w:cs="Tahoma"/>
                <w:sz w:val="18"/>
                <w:szCs w:val="18"/>
                <w:lang w:eastAsia="hr-HR"/>
              </w:rPr>
              <w:t>0</w:t>
            </w:r>
          </w:p>
        </w:tc>
        <w:tc>
          <w:tcPr>
            <w:tcW w:w="236" w:type="dxa"/>
            <w:gridSpan w:val="3"/>
            <w:vAlign w:val="center"/>
            <w:hideMark/>
          </w:tcPr>
          <w:p w14:paraId="4D003062" w14:textId="77777777" w:rsidR="00061543" w:rsidRPr="00061543" w:rsidRDefault="00061543" w:rsidP="00061543">
            <w:pPr>
              <w:spacing w:after="0" w:line="240" w:lineRule="auto"/>
              <w:rPr>
                <w:rFonts w:ascii="Times New Roman" w:eastAsia="Times New Roman" w:hAnsi="Times New Roman" w:cs="Times New Roman"/>
                <w:sz w:val="18"/>
                <w:szCs w:val="18"/>
                <w:lang w:eastAsia="hr-HR"/>
              </w:rPr>
            </w:pPr>
          </w:p>
        </w:tc>
      </w:tr>
      <w:tr w:rsidR="00061543" w:rsidRPr="00061543" w14:paraId="3240F224" w14:textId="77777777" w:rsidTr="00061543">
        <w:trPr>
          <w:gridAfter w:val="2"/>
          <w:wAfter w:w="101" w:type="dxa"/>
          <w:trHeight w:val="420"/>
        </w:trPr>
        <w:tc>
          <w:tcPr>
            <w:tcW w:w="1576" w:type="dxa"/>
            <w:tcBorders>
              <w:top w:val="single" w:sz="4" w:space="0" w:color="auto"/>
              <w:left w:val="single" w:sz="8" w:space="0" w:color="auto"/>
              <w:bottom w:val="single" w:sz="4" w:space="0" w:color="auto"/>
              <w:right w:val="single" w:sz="4" w:space="0" w:color="000000"/>
            </w:tcBorders>
            <w:shd w:val="clear" w:color="000000" w:fill="CCFFCC"/>
            <w:vAlign w:val="center"/>
            <w:hideMark/>
          </w:tcPr>
          <w:p w14:paraId="72CAF891" w14:textId="77777777" w:rsidR="00061543" w:rsidRPr="00061543" w:rsidRDefault="00061543" w:rsidP="00061543">
            <w:pPr>
              <w:spacing w:after="0" w:line="240" w:lineRule="auto"/>
              <w:jc w:val="center"/>
              <w:rPr>
                <w:rFonts w:ascii="Tahoma" w:eastAsia="Times New Roman" w:hAnsi="Tahoma" w:cs="Tahoma"/>
                <w:b/>
                <w:bCs/>
                <w:sz w:val="18"/>
                <w:szCs w:val="18"/>
                <w:lang w:eastAsia="hr-HR"/>
              </w:rPr>
            </w:pPr>
            <w:r w:rsidRPr="00061543">
              <w:rPr>
                <w:rFonts w:ascii="Tahoma" w:eastAsia="Times New Roman" w:hAnsi="Tahoma" w:cs="Tahoma"/>
                <w:b/>
                <w:bCs/>
                <w:sz w:val="18"/>
                <w:szCs w:val="18"/>
                <w:lang w:eastAsia="hr-HR"/>
              </w:rPr>
              <w:t>Ukupno</w:t>
            </w:r>
          </w:p>
        </w:tc>
        <w:tc>
          <w:tcPr>
            <w:tcW w:w="560" w:type="dxa"/>
            <w:tcBorders>
              <w:top w:val="nil"/>
              <w:left w:val="nil"/>
              <w:bottom w:val="single" w:sz="4" w:space="0" w:color="auto"/>
              <w:right w:val="single" w:sz="4" w:space="0" w:color="auto"/>
            </w:tcBorders>
            <w:shd w:val="clear" w:color="000000" w:fill="FFCC99"/>
            <w:noWrap/>
            <w:vAlign w:val="center"/>
            <w:hideMark/>
          </w:tcPr>
          <w:p w14:paraId="6FAEBA00" w14:textId="77777777" w:rsidR="00061543" w:rsidRPr="00061543" w:rsidRDefault="00061543" w:rsidP="00061543">
            <w:pPr>
              <w:spacing w:after="0" w:line="240" w:lineRule="auto"/>
              <w:jc w:val="center"/>
              <w:rPr>
                <w:rFonts w:ascii="Tahoma" w:eastAsia="Times New Roman" w:hAnsi="Tahoma" w:cs="Tahoma"/>
                <w:b/>
                <w:bCs/>
                <w:sz w:val="18"/>
                <w:szCs w:val="18"/>
                <w:lang w:eastAsia="hr-HR"/>
              </w:rPr>
            </w:pPr>
            <w:r w:rsidRPr="00061543">
              <w:rPr>
                <w:rFonts w:ascii="Tahoma" w:eastAsia="Times New Roman" w:hAnsi="Tahoma" w:cs="Tahoma"/>
                <w:b/>
                <w:bCs/>
                <w:sz w:val="18"/>
                <w:szCs w:val="18"/>
                <w:lang w:eastAsia="hr-HR"/>
              </w:rPr>
              <w:t>137</w:t>
            </w:r>
          </w:p>
        </w:tc>
        <w:tc>
          <w:tcPr>
            <w:tcW w:w="446" w:type="dxa"/>
            <w:tcBorders>
              <w:top w:val="nil"/>
              <w:left w:val="nil"/>
              <w:bottom w:val="single" w:sz="4" w:space="0" w:color="auto"/>
              <w:right w:val="single" w:sz="4" w:space="0" w:color="auto"/>
            </w:tcBorders>
            <w:shd w:val="clear" w:color="000000" w:fill="FFFF00"/>
            <w:noWrap/>
            <w:vAlign w:val="center"/>
            <w:hideMark/>
          </w:tcPr>
          <w:p w14:paraId="1D227E6C" w14:textId="77777777" w:rsidR="00061543" w:rsidRPr="00061543" w:rsidRDefault="00061543" w:rsidP="00061543">
            <w:pPr>
              <w:spacing w:after="0" w:line="240" w:lineRule="auto"/>
              <w:jc w:val="center"/>
              <w:rPr>
                <w:rFonts w:ascii="Tahoma" w:eastAsia="Times New Roman" w:hAnsi="Tahoma" w:cs="Tahoma"/>
                <w:b/>
                <w:bCs/>
                <w:sz w:val="18"/>
                <w:szCs w:val="18"/>
                <w:lang w:eastAsia="hr-HR"/>
              </w:rPr>
            </w:pPr>
            <w:r w:rsidRPr="00061543">
              <w:rPr>
                <w:rFonts w:ascii="Tahoma" w:eastAsia="Times New Roman" w:hAnsi="Tahoma" w:cs="Tahoma"/>
                <w:b/>
                <w:bCs/>
                <w:sz w:val="18"/>
                <w:szCs w:val="18"/>
                <w:lang w:eastAsia="hr-HR"/>
              </w:rPr>
              <w:t>50</w:t>
            </w:r>
          </w:p>
        </w:tc>
        <w:tc>
          <w:tcPr>
            <w:tcW w:w="787" w:type="dxa"/>
            <w:tcBorders>
              <w:top w:val="nil"/>
              <w:left w:val="nil"/>
              <w:bottom w:val="single" w:sz="4" w:space="0" w:color="auto"/>
              <w:right w:val="single" w:sz="4" w:space="0" w:color="auto"/>
            </w:tcBorders>
            <w:shd w:val="clear" w:color="000000" w:fill="FFFF00"/>
            <w:noWrap/>
            <w:vAlign w:val="center"/>
            <w:hideMark/>
          </w:tcPr>
          <w:p w14:paraId="4F58C8C7" w14:textId="77777777" w:rsidR="00061543" w:rsidRPr="00061543" w:rsidRDefault="00061543" w:rsidP="00061543">
            <w:pPr>
              <w:spacing w:after="0" w:line="240" w:lineRule="auto"/>
              <w:jc w:val="center"/>
              <w:rPr>
                <w:rFonts w:ascii="Tahoma" w:eastAsia="Times New Roman" w:hAnsi="Tahoma" w:cs="Tahoma"/>
                <w:b/>
                <w:bCs/>
                <w:sz w:val="18"/>
                <w:szCs w:val="18"/>
                <w:lang w:eastAsia="hr-HR"/>
              </w:rPr>
            </w:pPr>
            <w:r w:rsidRPr="00061543">
              <w:rPr>
                <w:rFonts w:ascii="Tahoma" w:eastAsia="Times New Roman" w:hAnsi="Tahoma" w:cs="Tahoma"/>
                <w:b/>
                <w:bCs/>
                <w:sz w:val="18"/>
                <w:szCs w:val="18"/>
                <w:lang w:eastAsia="hr-HR"/>
              </w:rPr>
              <w:t>17</w:t>
            </w:r>
          </w:p>
        </w:tc>
        <w:tc>
          <w:tcPr>
            <w:tcW w:w="581" w:type="dxa"/>
            <w:tcBorders>
              <w:top w:val="nil"/>
              <w:left w:val="nil"/>
              <w:bottom w:val="single" w:sz="4" w:space="0" w:color="auto"/>
              <w:right w:val="single" w:sz="4" w:space="0" w:color="auto"/>
            </w:tcBorders>
            <w:shd w:val="clear" w:color="000000" w:fill="FFFF00"/>
            <w:noWrap/>
            <w:vAlign w:val="center"/>
            <w:hideMark/>
          </w:tcPr>
          <w:p w14:paraId="1C1B6871" w14:textId="77777777" w:rsidR="00061543" w:rsidRPr="00061543" w:rsidRDefault="00061543" w:rsidP="00061543">
            <w:pPr>
              <w:spacing w:after="0" w:line="240" w:lineRule="auto"/>
              <w:jc w:val="center"/>
              <w:rPr>
                <w:rFonts w:ascii="Tahoma" w:eastAsia="Times New Roman" w:hAnsi="Tahoma" w:cs="Tahoma"/>
                <w:b/>
                <w:bCs/>
                <w:sz w:val="18"/>
                <w:szCs w:val="18"/>
                <w:lang w:eastAsia="hr-HR"/>
              </w:rPr>
            </w:pPr>
            <w:r w:rsidRPr="00061543">
              <w:rPr>
                <w:rFonts w:ascii="Tahoma" w:eastAsia="Times New Roman" w:hAnsi="Tahoma" w:cs="Tahoma"/>
                <w:b/>
                <w:bCs/>
                <w:sz w:val="18"/>
                <w:szCs w:val="18"/>
                <w:lang w:eastAsia="hr-HR"/>
              </w:rPr>
              <w:t>32</w:t>
            </w:r>
          </w:p>
        </w:tc>
        <w:tc>
          <w:tcPr>
            <w:tcW w:w="446" w:type="dxa"/>
            <w:tcBorders>
              <w:top w:val="nil"/>
              <w:left w:val="nil"/>
              <w:bottom w:val="single" w:sz="4" w:space="0" w:color="auto"/>
              <w:right w:val="single" w:sz="4" w:space="0" w:color="auto"/>
            </w:tcBorders>
            <w:shd w:val="clear" w:color="000000" w:fill="FFFF00"/>
            <w:noWrap/>
            <w:vAlign w:val="center"/>
            <w:hideMark/>
          </w:tcPr>
          <w:p w14:paraId="62826AF9" w14:textId="77777777" w:rsidR="00061543" w:rsidRPr="00061543" w:rsidRDefault="00061543" w:rsidP="00061543">
            <w:pPr>
              <w:spacing w:after="0" w:line="240" w:lineRule="auto"/>
              <w:jc w:val="center"/>
              <w:rPr>
                <w:rFonts w:ascii="Tahoma" w:eastAsia="Times New Roman" w:hAnsi="Tahoma" w:cs="Tahoma"/>
                <w:b/>
                <w:bCs/>
                <w:sz w:val="18"/>
                <w:szCs w:val="18"/>
                <w:lang w:eastAsia="hr-HR"/>
              </w:rPr>
            </w:pPr>
            <w:r w:rsidRPr="00061543">
              <w:rPr>
                <w:rFonts w:ascii="Tahoma" w:eastAsia="Times New Roman" w:hAnsi="Tahoma" w:cs="Tahoma"/>
                <w:b/>
                <w:bCs/>
                <w:sz w:val="18"/>
                <w:szCs w:val="18"/>
                <w:lang w:eastAsia="hr-HR"/>
              </w:rPr>
              <w:t>37</w:t>
            </w:r>
          </w:p>
        </w:tc>
        <w:tc>
          <w:tcPr>
            <w:tcW w:w="697" w:type="dxa"/>
            <w:tcBorders>
              <w:top w:val="nil"/>
              <w:left w:val="nil"/>
              <w:bottom w:val="single" w:sz="4" w:space="0" w:color="auto"/>
              <w:right w:val="single" w:sz="4" w:space="0" w:color="auto"/>
            </w:tcBorders>
            <w:shd w:val="clear" w:color="000000" w:fill="FFFF00"/>
            <w:noWrap/>
            <w:vAlign w:val="center"/>
            <w:hideMark/>
          </w:tcPr>
          <w:p w14:paraId="404ECDF0" w14:textId="77777777" w:rsidR="00061543" w:rsidRPr="00061543" w:rsidRDefault="00061543" w:rsidP="00061543">
            <w:pPr>
              <w:spacing w:after="0" w:line="240" w:lineRule="auto"/>
              <w:jc w:val="center"/>
              <w:rPr>
                <w:rFonts w:ascii="Tahoma" w:eastAsia="Times New Roman" w:hAnsi="Tahoma" w:cs="Tahoma"/>
                <w:b/>
                <w:bCs/>
                <w:sz w:val="18"/>
                <w:szCs w:val="18"/>
                <w:lang w:eastAsia="hr-HR"/>
              </w:rPr>
            </w:pPr>
            <w:r w:rsidRPr="00061543">
              <w:rPr>
                <w:rFonts w:ascii="Tahoma" w:eastAsia="Times New Roman" w:hAnsi="Tahoma" w:cs="Tahoma"/>
                <w:b/>
                <w:bCs/>
                <w:sz w:val="18"/>
                <w:szCs w:val="18"/>
                <w:lang w:eastAsia="hr-HR"/>
              </w:rPr>
              <w:t>27</w:t>
            </w:r>
          </w:p>
        </w:tc>
        <w:tc>
          <w:tcPr>
            <w:tcW w:w="446" w:type="dxa"/>
            <w:tcBorders>
              <w:top w:val="nil"/>
              <w:left w:val="nil"/>
              <w:bottom w:val="single" w:sz="4" w:space="0" w:color="auto"/>
              <w:right w:val="single" w:sz="4" w:space="0" w:color="auto"/>
            </w:tcBorders>
            <w:shd w:val="clear" w:color="000000" w:fill="FFFF00"/>
            <w:noWrap/>
            <w:vAlign w:val="center"/>
            <w:hideMark/>
          </w:tcPr>
          <w:p w14:paraId="2A3F5737" w14:textId="77777777" w:rsidR="00061543" w:rsidRPr="00061543" w:rsidRDefault="00061543" w:rsidP="00061543">
            <w:pPr>
              <w:spacing w:after="0" w:line="240" w:lineRule="auto"/>
              <w:jc w:val="center"/>
              <w:rPr>
                <w:rFonts w:ascii="Tahoma" w:eastAsia="Times New Roman" w:hAnsi="Tahoma" w:cs="Tahoma"/>
                <w:b/>
                <w:bCs/>
                <w:sz w:val="18"/>
                <w:szCs w:val="18"/>
                <w:lang w:eastAsia="hr-HR"/>
              </w:rPr>
            </w:pPr>
            <w:r w:rsidRPr="00061543">
              <w:rPr>
                <w:rFonts w:ascii="Tahoma" w:eastAsia="Times New Roman" w:hAnsi="Tahoma" w:cs="Tahoma"/>
                <w:b/>
                <w:bCs/>
                <w:sz w:val="18"/>
                <w:szCs w:val="18"/>
                <w:lang w:eastAsia="hr-HR"/>
              </w:rPr>
              <w:t>22</w:t>
            </w:r>
          </w:p>
        </w:tc>
        <w:tc>
          <w:tcPr>
            <w:tcW w:w="567" w:type="dxa"/>
            <w:tcBorders>
              <w:top w:val="nil"/>
              <w:left w:val="nil"/>
              <w:bottom w:val="single" w:sz="4" w:space="0" w:color="auto"/>
              <w:right w:val="single" w:sz="4" w:space="0" w:color="auto"/>
            </w:tcBorders>
            <w:shd w:val="clear" w:color="000000" w:fill="FFFF00"/>
            <w:noWrap/>
            <w:vAlign w:val="center"/>
            <w:hideMark/>
          </w:tcPr>
          <w:p w14:paraId="5B01A974" w14:textId="77777777" w:rsidR="00061543" w:rsidRPr="00061543" w:rsidRDefault="00061543" w:rsidP="00061543">
            <w:pPr>
              <w:spacing w:after="0" w:line="240" w:lineRule="auto"/>
              <w:jc w:val="center"/>
              <w:rPr>
                <w:rFonts w:ascii="Tahoma" w:eastAsia="Times New Roman" w:hAnsi="Tahoma" w:cs="Tahoma"/>
                <w:b/>
                <w:bCs/>
                <w:sz w:val="18"/>
                <w:szCs w:val="18"/>
                <w:lang w:eastAsia="hr-HR"/>
              </w:rPr>
            </w:pPr>
            <w:r w:rsidRPr="00061543">
              <w:rPr>
                <w:rFonts w:ascii="Tahoma" w:eastAsia="Times New Roman" w:hAnsi="Tahoma" w:cs="Tahoma"/>
                <w:b/>
                <w:bCs/>
                <w:sz w:val="18"/>
                <w:szCs w:val="18"/>
                <w:lang w:eastAsia="hr-HR"/>
              </w:rPr>
              <w:t>0</w:t>
            </w:r>
          </w:p>
        </w:tc>
        <w:tc>
          <w:tcPr>
            <w:tcW w:w="468" w:type="dxa"/>
            <w:tcBorders>
              <w:top w:val="nil"/>
              <w:left w:val="nil"/>
              <w:bottom w:val="single" w:sz="4" w:space="0" w:color="auto"/>
              <w:right w:val="single" w:sz="4" w:space="0" w:color="auto"/>
            </w:tcBorders>
            <w:shd w:val="clear" w:color="000000" w:fill="FFFF00"/>
            <w:noWrap/>
            <w:vAlign w:val="center"/>
            <w:hideMark/>
          </w:tcPr>
          <w:p w14:paraId="69CEA420" w14:textId="77777777" w:rsidR="00061543" w:rsidRPr="00061543" w:rsidRDefault="00061543" w:rsidP="00061543">
            <w:pPr>
              <w:spacing w:after="0" w:line="240" w:lineRule="auto"/>
              <w:jc w:val="center"/>
              <w:rPr>
                <w:rFonts w:ascii="Tahoma" w:eastAsia="Times New Roman" w:hAnsi="Tahoma" w:cs="Tahoma"/>
                <w:b/>
                <w:bCs/>
                <w:sz w:val="18"/>
                <w:szCs w:val="18"/>
                <w:lang w:eastAsia="hr-HR"/>
              </w:rPr>
            </w:pPr>
            <w:r w:rsidRPr="00061543">
              <w:rPr>
                <w:rFonts w:ascii="Tahoma" w:eastAsia="Times New Roman" w:hAnsi="Tahoma" w:cs="Tahoma"/>
                <w:b/>
                <w:bCs/>
                <w:sz w:val="18"/>
                <w:szCs w:val="18"/>
                <w:lang w:eastAsia="hr-HR"/>
              </w:rPr>
              <w:t>0</w:t>
            </w:r>
          </w:p>
        </w:tc>
        <w:tc>
          <w:tcPr>
            <w:tcW w:w="808" w:type="dxa"/>
            <w:tcBorders>
              <w:top w:val="nil"/>
              <w:left w:val="nil"/>
              <w:bottom w:val="single" w:sz="4" w:space="0" w:color="auto"/>
              <w:right w:val="single" w:sz="4" w:space="0" w:color="auto"/>
            </w:tcBorders>
            <w:shd w:val="clear" w:color="000000" w:fill="FFFF00"/>
            <w:noWrap/>
            <w:vAlign w:val="center"/>
            <w:hideMark/>
          </w:tcPr>
          <w:p w14:paraId="377B496D" w14:textId="77777777" w:rsidR="00061543" w:rsidRPr="00061543" w:rsidRDefault="00061543" w:rsidP="00061543">
            <w:pPr>
              <w:spacing w:after="0" w:line="240" w:lineRule="auto"/>
              <w:jc w:val="center"/>
              <w:rPr>
                <w:rFonts w:ascii="Tahoma" w:eastAsia="Times New Roman" w:hAnsi="Tahoma" w:cs="Tahoma"/>
                <w:b/>
                <w:bCs/>
                <w:sz w:val="18"/>
                <w:szCs w:val="18"/>
                <w:lang w:eastAsia="hr-HR"/>
              </w:rPr>
            </w:pPr>
            <w:r w:rsidRPr="00061543">
              <w:rPr>
                <w:rFonts w:ascii="Tahoma" w:eastAsia="Times New Roman" w:hAnsi="Tahoma" w:cs="Tahoma"/>
                <w:b/>
                <w:bCs/>
                <w:sz w:val="18"/>
                <w:szCs w:val="18"/>
                <w:lang w:eastAsia="hr-HR"/>
              </w:rPr>
              <w:t>4</w:t>
            </w:r>
          </w:p>
        </w:tc>
        <w:tc>
          <w:tcPr>
            <w:tcW w:w="468" w:type="dxa"/>
            <w:gridSpan w:val="2"/>
            <w:tcBorders>
              <w:top w:val="nil"/>
              <w:left w:val="nil"/>
              <w:bottom w:val="single" w:sz="4" w:space="0" w:color="auto"/>
              <w:right w:val="single" w:sz="4" w:space="0" w:color="auto"/>
            </w:tcBorders>
            <w:shd w:val="clear" w:color="000000" w:fill="FFFF00"/>
            <w:noWrap/>
            <w:vAlign w:val="center"/>
            <w:hideMark/>
          </w:tcPr>
          <w:p w14:paraId="0FBCA05C" w14:textId="77777777" w:rsidR="00061543" w:rsidRPr="00061543" w:rsidRDefault="00061543" w:rsidP="00061543">
            <w:pPr>
              <w:spacing w:after="0" w:line="240" w:lineRule="auto"/>
              <w:jc w:val="center"/>
              <w:rPr>
                <w:rFonts w:ascii="Tahoma" w:eastAsia="Times New Roman" w:hAnsi="Tahoma" w:cs="Tahoma"/>
                <w:b/>
                <w:bCs/>
                <w:sz w:val="18"/>
                <w:szCs w:val="18"/>
                <w:lang w:eastAsia="hr-HR"/>
              </w:rPr>
            </w:pPr>
            <w:r w:rsidRPr="00061543">
              <w:rPr>
                <w:rFonts w:ascii="Tahoma" w:eastAsia="Times New Roman" w:hAnsi="Tahoma" w:cs="Tahoma"/>
                <w:b/>
                <w:bCs/>
                <w:sz w:val="18"/>
                <w:szCs w:val="18"/>
                <w:lang w:eastAsia="hr-HR"/>
              </w:rPr>
              <w:t>6</w:t>
            </w:r>
          </w:p>
        </w:tc>
        <w:tc>
          <w:tcPr>
            <w:tcW w:w="524" w:type="dxa"/>
            <w:tcBorders>
              <w:top w:val="nil"/>
              <w:left w:val="nil"/>
              <w:bottom w:val="single" w:sz="4" w:space="0" w:color="auto"/>
              <w:right w:val="single" w:sz="4" w:space="0" w:color="auto"/>
            </w:tcBorders>
            <w:shd w:val="clear" w:color="000000" w:fill="FFFF00"/>
            <w:noWrap/>
            <w:vAlign w:val="center"/>
            <w:hideMark/>
          </w:tcPr>
          <w:p w14:paraId="5260A105" w14:textId="77777777" w:rsidR="00061543" w:rsidRPr="00061543" w:rsidRDefault="00061543" w:rsidP="00061543">
            <w:pPr>
              <w:spacing w:after="0" w:line="240" w:lineRule="auto"/>
              <w:jc w:val="center"/>
              <w:rPr>
                <w:rFonts w:ascii="Tahoma" w:eastAsia="Times New Roman" w:hAnsi="Tahoma" w:cs="Tahoma"/>
                <w:b/>
                <w:bCs/>
                <w:sz w:val="18"/>
                <w:szCs w:val="18"/>
                <w:lang w:eastAsia="hr-HR"/>
              </w:rPr>
            </w:pPr>
            <w:r w:rsidRPr="00061543">
              <w:rPr>
                <w:rFonts w:ascii="Tahoma" w:eastAsia="Times New Roman" w:hAnsi="Tahoma" w:cs="Tahoma"/>
                <w:b/>
                <w:bCs/>
                <w:sz w:val="18"/>
                <w:szCs w:val="18"/>
                <w:lang w:eastAsia="hr-HR"/>
              </w:rPr>
              <w:t>26</w:t>
            </w:r>
          </w:p>
        </w:tc>
        <w:tc>
          <w:tcPr>
            <w:tcW w:w="468" w:type="dxa"/>
            <w:tcBorders>
              <w:top w:val="nil"/>
              <w:left w:val="nil"/>
              <w:bottom w:val="single" w:sz="4" w:space="0" w:color="auto"/>
              <w:right w:val="single" w:sz="4" w:space="0" w:color="auto"/>
            </w:tcBorders>
            <w:shd w:val="clear" w:color="000000" w:fill="FFFF00"/>
            <w:noWrap/>
            <w:vAlign w:val="center"/>
            <w:hideMark/>
          </w:tcPr>
          <w:p w14:paraId="600E0E1D" w14:textId="77777777" w:rsidR="00061543" w:rsidRPr="00061543" w:rsidRDefault="00061543" w:rsidP="00061543">
            <w:pPr>
              <w:spacing w:after="0" w:line="240" w:lineRule="auto"/>
              <w:jc w:val="center"/>
              <w:rPr>
                <w:rFonts w:ascii="Tahoma" w:eastAsia="Times New Roman" w:hAnsi="Tahoma" w:cs="Tahoma"/>
                <w:b/>
                <w:bCs/>
                <w:sz w:val="18"/>
                <w:szCs w:val="18"/>
                <w:lang w:eastAsia="hr-HR"/>
              </w:rPr>
            </w:pPr>
            <w:r w:rsidRPr="00061543">
              <w:rPr>
                <w:rFonts w:ascii="Tahoma" w:eastAsia="Times New Roman" w:hAnsi="Tahoma" w:cs="Tahoma"/>
                <w:b/>
                <w:bCs/>
                <w:sz w:val="18"/>
                <w:szCs w:val="18"/>
                <w:lang w:eastAsia="hr-HR"/>
              </w:rPr>
              <w:t>16</w:t>
            </w:r>
          </w:p>
        </w:tc>
        <w:tc>
          <w:tcPr>
            <w:tcW w:w="468" w:type="dxa"/>
            <w:tcBorders>
              <w:top w:val="nil"/>
              <w:left w:val="nil"/>
              <w:bottom w:val="single" w:sz="4" w:space="0" w:color="auto"/>
              <w:right w:val="single" w:sz="4" w:space="0" w:color="auto"/>
            </w:tcBorders>
            <w:shd w:val="clear" w:color="000000" w:fill="FFFF00"/>
            <w:noWrap/>
            <w:vAlign w:val="center"/>
            <w:hideMark/>
          </w:tcPr>
          <w:p w14:paraId="16404B73" w14:textId="77777777" w:rsidR="00061543" w:rsidRPr="00061543" w:rsidRDefault="00061543" w:rsidP="00061543">
            <w:pPr>
              <w:spacing w:after="0" w:line="240" w:lineRule="auto"/>
              <w:jc w:val="center"/>
              <w:rPr>
                <w:rFonts w:ascii="Tahoma" w:eastAsia="Times New Roman" w:hAnsi="Tahoma" w:cs="Tahoma"/>
                <w:b/>
                <w:bCs/>
                <w:sz w:val="18"/>
                <w:szCs w:val="18"/>
                <w:lang w:eastAsia="hr-HR"/>
              </w:rPr>
            </w:pPr>
            <w:r w:rsidRPr="00061543">
              <w:rPr>
                <w:rFonts w:ascii="Tahoma" w:eastAsia="Times New Roman" w:hAnsi="Tahoma" w:cs="Tahoma"/>
                <w:b/>
                <w:bCs/>
                <w:sz w:val="18"/>
                <w:szCs w:val="18"/>
                <w:lang w:eastAsia="hr-HR"/>
              </w:rPr>
              <w:t>48</w:t>
            </w:r>
          </w:p>
        </w:tc>
        <w:tc>
          <w:tcPr>
            <w:tcW w:w="560" w:type="dxa"/>
            <w:gridSpan w:val="2"/>
            <w:tcBorders>
              <w:top w:val="nil"/>
              <w:left w:val="nil"/>
              <w:bottom w:val="single" w:sz="4" w:space="0" w:color="auto"/>
              <w:right w:val="single" w:sz="4" w:space="0" w:color="auto"/>
            </w:tcBorders>
            <w:shd w:val="clear" w:color="000000" w:fill="FFFF00"/>
            <w:noWrap/>
            <w:vAlign w:val="center"/>
            <w:hideMark/>
          </w:tcPr>
          <w:p w14:paraId="3B9B373F" w14:textId="77777777" w:rsidR="00061543" w:rsidRPr="00061543" w:rsidRDefault="00061543" w:rsidP="00061543">
            <w:pPr>
              <w:spacing w:after="0" w:line="240" w:lineRule="auto"/>
              <w:jc w:val="center"/>
              <w:rPr>
                <w:rFonts w:ascii="Tahoma" w:eastAsia="Times New Roman" w:hAnsi="Tahoma" w:cs="Tahoma"/>
                <w:b/>
                <w:bCs/>
                <w:sz w:val="18"/>
                <w:szCs w:val="18"/>
                <w:lang w:eastAsia="hr-HR"/>
              </w:rPr>
            </w:pPr>
            <w:r w:rsidRPr="00061543">
              <w:rPr>
                <w:rFonts w:ascii="Tahoma" w:eastAsia="Times New Roman" w:hAnsi="Tahoma" w:cs="Tahoma"/>
                <w:b/>
                <w:bCs/>
                <w:sz w:val="18"/>
                <w:szCs w:val="18"/>
                <w:lang w:eastAsia="hr-HR"/>
              </w:rPr>
              <w:t>139</w:t>
            </w:r>
          </w:p>
        </w:tc>
        <w:tc>
          <w:tcPr>
            <w:tcW w:w="905" w:type="dxa"/>
            <w:gridSpan w:val="2"/>
            <w:tcBorders>
              <w:top w:val="nil"/>
              <w:left w:val="nil"/>
              <w:bottom w:val="single" w:sz="4" w:space="0" w:color="auto"/>
              <w:right w:val="single" w:sz="4" w:space="0" w:color="auto"/>
            </w:tcBorders>
            <w:shd w:val="clear" w:color="000000" w:fill="FFFF00"/>
            <w:noWrap/>
            <w:vAlign w:val="center"/>
            <w:hideMark/>
          </w:tcPr>
          <w:p w14:paraId="4CA335C4" w14:textId="77777777" w:rsidR="00061543" w:rsidRPr="00061543" w:rsidRDefault="00061543" w:rsidP="00061543">
            <w:pPr>
              <w:spacing w:after="0" w:line="240" w:lineRule="auto"/>
              <w:jc w:val="center"/>
              <w:rPr>
                <w:rFonts w:ascii="Tahoma" w:eastAsia="Times New Roman" w:hAnsi="Tahoma" w:cs="Tahoma"/>
                <w:b/>
                <w:bCs/>
                <w:sz w:val="18"/>
                <w:szCs w:val="18"/>
                <w:lang w:eastAsia="hr-HR"/>
              </w:rPr>
            </w:pPr>
            <w:r w:rsidRPr="00061543">
              <w:rPr>
                <w:rFonts w:ascii="Tahoma" w:eastAsia="Times New Roman" w:hAnsi="Tahoma" w:cs="Tahoma"/>
                <w:b/>
                <w:bCs/>
                <w:sz w:val="18"/>
                <w:szCs w:val="18"/>
                <w:lang w:eastAsia="hr-HR"/>
              </w:rPr>
              <w:t>25</w:t>
            </w:r>
          </w:p>
        </w:tc>
        <w:tc>
          <w:tcPr>
            <w:tcW w:w="498" w:type="dxa"/>
            <w:tcBorders>
              <w:top w:val="nil"/>
              <w:left w:val="nil"/>
              <w:bottom w:val="single" w:sz="4" w:space="0" w:color="auto"/>
              <w:right w:val="single" w:sz="4" w:space="0" w:color="auto"/>
            </w:tcBorders>
            <w:shd w:val="clear" w:color="000000" w:fill="FFFF00"/>
            <w:noWrap/>
            <w:vAlign w:val="center"/>
            <w:hideMark/>
          </w:tcPr>
          <w:p w14:paraId="2C527DCA" w14:textId="77777777" w:rsidR="00061543" w:rsidRPr="00061543" w:rsidRDefault="00061543" w:rsidP="00061543">
            <w:pPr>
              <w:spacing w:after="0" w:line="240" w:lineRule="auto"/>
              <w:jc w:val="center"/>
              <w:rPr>
                <w:rFonts w:ascii="Tahoma" w:eastAsia="Times New Roman" w:hAnsi="Tahoma" w:cs="Tahoma"/>
                <w:b/>
                <w:bCs/>
                <w:sz w:val="18"/>
                <w:szCs w:val="18"/>
                <w:lang w:eastAsia="hr-HR"/>
              </w:rPr>
            </w:pPr>
            <w:r w:rsidRPr="00061543">
              <w:rPr>
                <w:rFonts w:ascii="Tahoma" w:eastAsia="Times New Roman" w:hAnsi="Tahoma" w:cs="Tahoma"/>
                <w:b/>
                <w:bCs/>
                <w:sz w:val="18"/>
                <w:szCs w:val="18"/>
                <w:lang w:eastAsia="hr-HR"/>
              </w:rPr>
              <w:t>4</w:t>
            </w:r>
          </w:p>
        </w:tc>
        <w:tc>
          <w:tcPr>
            <w:tcW w:w="1016" w:type="dxa"/>
            <w:gridSpan w:val="2"/>
            <w:tcBorders>
              <w:top w:val="nil"/>
              <w:left w:val="nil"/>
              <w:bottom w:val="single" w:sz="4" w:space="0" w:color="auto"/>
              <w:right w:val="single" w:sz="4" w:space="0" w:color="auto"/>
            </w:tcBorders>
            <w:shd w:val="clear" w:color="000000" w:fill="FFFF00"/>
            <w:noWrap/>
            <w:vAlign w:val="center"/>
            <w:hideMark/>
          </w:tcPr>
          <w:p w14:paraId="73B08333" w14:textId="77777777" w:rsidR="00061543" w:rsidRPr="00061543" w:rsidRDefault="00061543" w:rsidP="00061543">
            <w:pPr>
              <w:spacing w:after="0" w:line="240" w:lineRule="auto"/>
              <w:jc w:val="center"/>
              <w:rPr>
                <w:rFonts w:ascii="Tahoma" w:eastAsia="Times New Roman" w:hAnsi="Tahoma" w:cs="Tahoma"/>
                <w:b/>
                <w:bCs/>
                <w:sz w:val="18"/>
                <w:szCs w:val="18"/>
                <w:lang w:eastAsia="hr-HR"/>
              </w:rPr>
            </w:pPr>
            <w:r w:rsidRPr="00061543">
              <w:rPr>
                <w:rFonts w:ascii="Tahoma" w:eastAsia="Times New Roman" w:hAnsi="Tahoma" w:cs="Tahoma"/>
                <w:b/>
                <w:bCs/>
                <w:sz w:val="18"/>
                <w:szCs w:val="18"/>
                <w:lang w:eastAsia="hr-HR"/>
              </w:rPr>
              <w:t>25</w:t>
            </w:r>
          </w:p>
        </w:tc>
        <w:tc>
          <w:tcPr>
            <w:tcW w:w="505" w:type="dxa"/>
            <w:gridSpan w:val="2"/>
            <w:tcBorders>
              <w:top w:val="nil"/>
              <w:left w:val="nil"/>
              <w:bottom w:val="single" w:sz="4" w:space="0" w:color="auto"/>
              <w:right w:val="single" w:sz="4" w:space="0" w:color="auto"/>
            </w:tcBorders>
            <w:shd w:val="clear" w:color="000000" w:fill="FFFF00"/>
            <w:noWrap/>
            <w:vAlign w:val="center"/>
            <w:hideMark/>
          </w:tcPr>
          <w:p w14:paraId="55A62D0B" w14:textId="77777777" w:rsidR="00061543" w:rsidRPr="00061543" w:rsidRDefault="00061543" w:rsidP="00061543">
            <w:pPr>
              <w:spacing w:after="0" w:line="240" w:lineRule="auto"/>
              <w:jc w:val="center"/>
              <w:rPr>
                <w:rFonts w:ascii="Tahoma" w:eastAsia="Times New Roman" w:hAnsi="Tahoma" w:cs="Tahoma"/>
                <w:b/>
                <w:bCs/>
                <w:sz w:val="18"/>
                <w:szCs w:val="18"/>
                <w:lang w:eastAsia="hr-HR"/>
              </w:rPr>
            </w:pPr>
            <w:r w:rsidRPr="00061543">
              <w:rPr>
                <w:rFonts w:ascii="Tahoma" w:eastAsia="Times New Roman" w:hAnsi="Tahoma" w:cs="Tahoma"/>
                <w:b/>
                <w:bCs/>
                <w:sz w:val="18"/>
                <w:szCs w:val="18"/>
                <w:lang w:eastAsia="hr-HR"/>
              </w:rPr>
              <w:t>8</w:t>
            </w:r>
          </w:p>
        </w:tc>
        <w:tc>
          <w:tcPr>
            <w:tcW w:w="468" w:type="dxa"/>
            <w:tcBorders>
              <w:top w:val="nil"/>
              <w:left w:val="nil"/>
              <w:bottom w:val="single" w:sz="4" w:space="0" w:color="auto"/>
              <w:right w:val="single" w:sz="4" w:space="0" w:color="auto"/>
            </w:tcBorders>
            <w:shd w:val="clear" w:color="000000" w:fill="FFFF00"/>
            <w:noWrap/>
            <w:vAlign w:val="center"/>
            <w:hideMark/>
          </w:tcPr>
          <w:p w14:paraId="631AE007" w14:textId="77777777" w:rsidR="00061543" w:rsidRPr="00061543" w:rsidRDefault="00061543" w:rsidP="00061543">
            <w:pPr>
              <w:spacing w:after="0" w:line="240" w:lineRule="auto"/>
              <w:jc w:val="center"/>
              <w:rPr>
                <w:rFonts w:ascii="Tahoma" w:eastAsia="Times New Roman" w:hAnsi="Tahoma" w:cs="Tahoma"/>
                <w:b/>
                <w:bCs/>
                <w:sz w:val="18"/>
                <w:szCs w:val="18"/>
                <w:lang w:eastAsia="hr-HR"/>
              </w:rPr>
            </w:pPr>
            <w:r w:rsidRPr="00061543">
              <w:rPr>
                <w:rFonts w:ascii="Tahoma" w:eastAsia="Times New Roman" w:hAnsi="Tahoma" w:cs="Tahoma"/>
                <w:b/>
                <w:bCs/>
                <w:sz w:val="18"/>
                <w:szCs w:val="18"/>
                <w:lang w:eastAsia="hr-HR"/>
              </w:rPr>
              <w:t>6</w:t>
            </w:r>
          </w:p>
        </w:tc>
        <w:tc>
          <w:tcPr>
            <w:tcW w:w="336" w:type="dxa"/>
            <w:tcBorders>
              <w:top w:val="nil"/>
              <w:left w:val="nil"/>
              <w:bottom w:val="single" w:sz="4" w:space="0" w:color="auto"/>
              <w:right w:val="single" w:sz="4" w:space="0" w:color="auto"/>
            </w:tcBorders>
            <w:shd w:val="clear" w:color="000000" w:fill="FFFF00"/>
            <w:noWrap/>
            <w:vAlign w:val="center"/>
            <w:hideMark/>
          </w:tcPr>
          <w:p w14:paraId="19114F00" w14:textId="77777777" w:rsidR="00061543" w:rsidRPr="00061543" w:rsidRDefault="00061543" w:rsidP="00061543">
            <w:pPr>
              <w:spacing w:after="0" w:line="240" w:lineRule="auto"/>
              <w:jc w:val="center"/>
              <w:rPr>
                <w:rFonts w:ascii="Tahoma" w:eastAsia="Times New Roman" w:hAnsi="Tahoma" w:cs="Tahoma"/>
                <w:b/>
                <w:bCs/>
                <w:sz w:val="18"/>
                <w:szCs w:val="18"/>
                <w:lang w:eastAsia="hr-HR"/>
              </w:rPr>
            </w:pPr>
            <w:r w:rsidRPr="00061543">
              <w:rPr>
                <w:rFonts w:ascii="Tahoma" w:eastAsia="Times New Roman" w:hAnsi="Tahoma" w:cs="Tahoma"/>
                <w:b/>
                <w:bCs/>
                <w:sz w:val="18"/>
                <w:szCs w:val="18"/>
                <w:lang w:eastAsia="hr-HR"/>
              </w:rPr>
              <w:t>0</w:t>
            </w:r>
          </w:p>
        </w:tc>
        <w:tc>
          <w:tcPr>
            <w:tcW w:w="426" w:type="dxa"/>
            <w:tcBorders>
              <w:top w:val="nil"/>
              <w:left w:val="nil"/>
              <w:bottom w:val="single" w:sz="4" w:space="0" w:color="auto"/>
              <w:right w:val="single" w:sz="4" w:space="0" w:color="auto"/>
            </w:tcBorders>
            <w:shd w:val="clear" w:color="000000" w:fill="FFFF00"/>
            <w:noWrap/>
            <w:vAlign w:val="center"/>
            <w:hideMark/>
          </w:tcPr>
          <w:p w14:paraId="48108067" w14:textId="77777777" w:rsidR="00061543" w:rsidRPr="00061543" w:rsidRDefault="00061543" w:rsidP="00061543">
            <w:pPr>
              <w:spacing w:after="0" w:line="240" w:lineRule="auto"/>
              <w:jc w:val="center"/>
              <w:rPr>
                <w:rFonts w:ascii="Tahoma" w:eastAsia="Times New Roman" w:hAnsi="Tahoma" w:cs="Tahoma"/>
                <w:b/>
                <w:bCs/>
                <w:sz w:val="18"/>
                <w:szCs w:val="18"/>
                <w:lang w:eastAsia="hr-HR"/>
              </w:rPr>
            </w:pPr>
            <w:r w:rsidRPr="00061543">
              <w:rPr>
                <w:rFonts w:ascii="Tahoma" w:eastAsia="Times New Roman" w:hAnsi="Tahoma" w:cs="Tahoma"/>
                <w:b/>
                <w:bCs/>
                <w:sz w:val="18"/>
                <w:szCs w:val="18"/>
                <w:lang w:eastAsia="hr-HR"/>
              </w:rPr>
              <w:t>9</w:t>
            </w:r>
          </w:p>
        </w:tc>
        <w:tc>
          <w:tcPr>
            <w:tcW w:w="473" w:type="dxa"/>
            <w:tcBorders>
              <w:top w:val="nil"/>
              <w:left w:val="nil"/>
              <w:bottom w:val="single" w:sz="4" w:space="0" w:color="auto"/>
              <w:right w:val="single" w:sz="4" w:space="0" w:color="auto"/>
            </w:tcBorders>
            <w:shd w:val="clear" w:color="000000" w:fill="FFFF00"/>
            <w:noWrap/>
            <w:vAlign w:val="center"/>
            <w:hideMark/>
          </w:tcPr>
          <w:p w14:paraId="3C1ABB3F" w14:textId="77777777" w:rsidR="00061543" w:rsidRPr="00061543" w:rsidRDefault="00061543" w:rsidP="00061543">
            <w:pPr>
              <w:spacing w:after="0" w:line="240" w:lineRule="auto"/>
              <w:jc w:val="center"/>
              <w:rPr>
                <w:rFonts w:ascii="Tahoma" w:eastAsia="Times New Roman" w:hAnsi="Tahoma" w:cs="Tahoma"/>
                <w:b/>
                <w:bCs/>
                <w:sz w:val="18"/>
                <w:szCs w:val="18"/>
                <w:lang w:eastAsia="hr-HR"/>
              </w:rPr>
            </w:pPr>
            <w:r w:rsidRPr="00061543">
              <w:rPr>
                <w:rFonts w:ascii="Tahoma" w:eastAsia="Times New Roman" w:hAnsi="Tahoma" w:cs="Tahoma"/>
                <w:b/>
                <w:bCs/>
                <w:sz w:val="18"/>
                <w:szCs w:val="18"/>
                <w:lang w:eastAsia="hr-HR"/>
              </w:rPr>
              <w:t>39</w:t>
            </w:r>
          </w:p>
        </w:tc>
        <w:tc>
          <w:tcPr>
            <w:tcW w:w="236" w:type="dxa"/>
            <w:gridSpan w:val="3"/>
            <w:vAlign w:val="center"/>
            <w:hideMark/>
          </w:tcPr>
          <w:p w14:paraId="688E32D5" w14:textId="77777777" w:rsidR="00061543" w:rsidRPr="00061543" w:rsidRDefault="00061543" w:rsidP="00061543">
            <w:pPr>
              <w:spacing w:after="0" w:line="240" w:lineRule="auto"/>
              <w:rPr>
                <w:rFonts w:ascii="Times New Roman" w:eastAsia="Times New Roman" w:hAnsi="Times New Roman" w:cs="Times New Roman"/>
                <w:sz w:val="18"/>
                <w:szCs w:val="18"/>
                <w:lang w:eastAsia="hr-HR"/>
              </w:rPr>
            </w:pPr>
          </w:p>
        </w:tc>
      </w:tr>
    </w:tbl>
    <w:p w14:paraId="6BF35A2D" w14:textId="26758A53" w:rsidR="001752B7" w:rsidRPr="005E671C" w:rsidRDefault="001752B7" w:rsidP="001752B7">
      <w:pPr>
        <w:rPr>
          <w:rFonts w:ascii="Times New Roman" w:hAnsi="Times New Roman" w:cs="Times New Roman"/>
          <w:sz w:val="24"/>
          <w:szCs w:val="24"/>
        </w:rPr>
      </w:pPr>
      <w:r w:rsidRPr="005E671C">
        <w:rPr>
          <w:rFonts w:ascii="Times New Roman" w:hAnsi="Times New Roman" w:cs="Times New Roman"/>
          <w:sz w:val="24"/>
          <w:szCs w:val="24"/>
        </w:rPr>
        <w:lastRenderedPageBreak/>
        <w:t>OPĆINSKI SUDOVI (KAZNENI PREDMETI) - UKUPNO 201</w:t>
      </w:r>
      <w:r>
        <w:rPr>
          <w:rFonts w:ascii="Times New Roman" w:hAnsi="Times New Roman" w:cs="Times New Roman"/>
          <w:sz w:val="24"/>
          <w:szCs w:val="24"/>
        </w:rPr>
        <w:t>9</w:t>
      </w:r>
      <w:r w:rsidRPr="005E671C">
        <w:rPr>
          <w:rFonts w:ascii="Times New Roman" w:hAnsi="Times New Roman" w:cs="Times New Roman"/>
          <w:sz w:val="24"/>
          <w:szCs w:val="24"/>
        </w:rPr>
        <w:t>. godina</w:t>
      </w:r>
    </w:p>
    <w:tbl>
      <w:tblPr>
        <w:tblW w:w="14990" w:type="dxa"/>
        <w:tblLayout w:type="fixed"/>
        <w:tblLook w:val="04A0" w:firstRow="1" w:lastRow="0" w:firstColumn="1" w:lastColumn="0" w:noHBand="0" w:noVBand="1"/>
      </w:tblPr>
      <w:tblGrid>
        <w:gridCol w:w="839"/>
        <w:gridCol w:w="540"/>
        <w:gridCol w:w="444"/>
        <w:gridCol w:w="433"/>
        <w:gridCol w:w="324"/>
        <w:gridCol w:w="6"/>
        <w:gridCol w:w="379"/>
        <w:gridCol w:w="334"/>
        <w:gridCol w:w="658"/>
        <w:gridCol w:w="447"/>
        <w:gridCol w:w="37"/>
        <w:gridCol w:w="607"/>
        <w:gridCol w:w="452"/>
        <w:gridCol w:w="538"/>
        <w:gridCol w:w="447"/>
        <w:gridCol w:w="447"/>
        <w:gridCol w:w="400"/>
        <w:gridCol w:w="37"/>
        <w:gridCol w:w="320"/>
        <w:gridCol w:w="447"/>
        <w:gridCol w:w="447"/>
        <w:gridCol w:w="446"/>
        <w:gridCol w:w="84"/>
        <w:gridCol w:w="363"/>
        <w:gridCol w:w="447"/>
        <w:gridCol w:w="447"/>
        <w:gridCol w:w="446"/>
        <w:gridCol w:w="83"/>
        <w:gridCol w:w="441"/>
        <w:gridCol w:w="149"/>
        <w:gridCol w:w="276"/>
        <w:gridCol w:w="91"/>
        <w:gridCol w:w="410"/>
        <w:gridCol w:w="425"/>
        <w:gridCol w:w="426"/>
        <w:gridCol w:w="114"/>
        <w:gridCol w:w="704"/>
        <w:gridCol w:w="796"/>
        <w:gridCol w:w="22"/>
        <w:gridCol w:w="214"/>
        <w:gridCol w:w="16"/>
        <w:gridCol w:w="7"/>
      </w:tblGrid>
      <w:tr w:rsidR="00B27DCD" w:rsidRPr="009F0A74" w14:paraId="556CF6D3" w14:textId="77777777" w:rsidTr="009F0A74">
        <w:trPr>
          <w:gridAfter w:val="4"/>
          <w:wAfter w:w="258" w:type="dxa"/>
          <w:trHeight w:val="450"/>
        </w:trPr>
        <w:tc>
          <w:tcPr>
            <w:tcW w:w="840" w:type="dxa"/>
            <w:vMerge w:val="restart"/>
            <w:tcBorders>
              <w:top w:val="single" w:sz="8" w:space="0" w:color="auto"/>
              <w:left w:val="single" w:sz="8" w:space="0" w:color="auto"/>
              <w:bottom w:val="single" w:sz="4" w:space="0" w:color="000000"/>
              <w:right w:val="single" w:sz="4" w:space="0" w:color="000000"/>
            </w:tcBorders>
            <w:shd w:val="clear" w:color="000000" w:fill="CCFFCC"/>
            <w:vAlign w:val="center"/>
            <w:hideMark/>
          </w:tcPr>
          <w:p w14:paraId="729D15AB" w14:textId="77777777" w:rsidR="00B27DCD" w:rsidRPr="009F0A74" w:rsidRDefault="00B27DCD" w:rsidP="00B27DCD">
            <w:pPr>
              <w:spacing w:after="0" w:line="240" w:lineRule="auto"/>
              <w:jc w:val="center"/>
              <w:rPr>
                <w:rFonts w:ascii="Calibri" w:eastAsia="Times New Roman" w:hAnsi="Calibri" w:cs="Calibri"/>
                <w:b/>
                <w:bCs/>
                <w:sz w:val="16"/>
                <w:szCs w:val="16"/>
                <w:lang w:eastAsia="hr-HR"/>
              </w:rPr>
            </w:pPr>
            <w:r w:rsidRPr="009F0A74">
              <w:rPr>
                <w:rFonts w:ascii="Calibri" w:eastAsia="Times New Roman" w:hAnsi="Calibri" w:cs="Calibri"/>
                <w:b/>
                <w:bCs/>
                <w:sz w:val="16"/>
                <w:szCs w:val="16"/>
                <w:lang w:eastAsia="hr-HR"/>
              </w:rPr>
              <w:t>OSNOVE DISKRIMINACIJE (po  KZ)</w:t>
            </w:r>
          </w:p>
        </w:tc>
        <w:tc>
          <w:tcPr>
            <w:tcW w:w="13892" w:type="dxa"/>
            <w:gridSpan w:val="37"/>
            <w:vMerge w:val="restart"/>
            <w:tcBorders>
              <w:top w:val="single" w:sz="8" w:space="0" w:color="auto"/>
              <w:left w:val="single" w:sz="4" w:space="0" w:color="auto"/>
              <w:bottom w:val="single" w:sz="4" w:space="0" w:color="000000"/>
              <w:right w:val="single" w:sz="8" w:space="0" w:color="000000"/>
            </w:tcBorders>
            <w:shd w:val="clear" w:color="000000" w:fill="CCFFCC"/>
            <w:noWrap/>
            <w:vAlign w:val="center"/>
            <w:hideMark/>
          </w:tcPr>
          <w:p w14:paraId="0F55460C" w14:textId="77777777" w:rsidR="00B27DCD" w:rsidRPr="009F0A74" w:rsidRDefault="00B27DCD" w:rsidP="00B27DCD">
            <w:pPr>
              <w:spacing w:after="0" w:line="240" w:lineRule="auto"/>
              <w:jc w:val="center"/>
              <w:rPr>
                <w:rFonts w:ascii="Calibri" w:eastAsia="Times New Roman" w:hAnsi="Calibri" w:cs="Calibri"/>
                <w:b/>
                <w:bCs/>
                <w:sz w:val="16"/>
                <w:szCs w:val="16"/>
                <w:lang w:eastAsia="hr-HR"/>
              </w:rPr>
            </w:pPr>
            <w:r w:rsidRPr="009F0A74">
              <w:rPr>
                <w:rFonts w:ascii="Calibri" w:eastAsia="Times New Roman" w:hAnsi="Calibri" w:cs="Calibri"/>
                <w:b/>
                <w:bCs/>
                <w:sz w:val="16"/>
                <w:szCs w:val="16"/>
                <w:lang w:eastAsia="hr-HR"/>
              </w:rPr>
              <w:t>KA Z N E N I    P R E D M E T I</w:t>
            </w:r>
          </w:p>
        </w:tc>
      </w:tr>
      <w:tr w:rsidR="00B27DCD" w:rsidRPr="009F0A74" w14:paraId="031888B1" w14:textId="77777777" w:rsidTr="009F0A74">
        <w:trPr>
          <w:gridAfter w:val="1"/>
          <w:wAfter w:w="6" w:type="dxa"/>
          <w:trHeight w:val="300"/>
        </w:trPr>
        <w:tc>
          <w:tcPr>
            <w:tcW w:w="840" w:type="dxa"/>
            <w:vMerge/>
            <w:tcBorders>
              <w:top w:val="single" w:sz="8" w:space="0" w:color="auto"/>
              <w:left w:val="single" w:sz="8" w:space="0" w:color="auto"/>
              <w:bottom w:val="single" w:sz="4" w:space="0" w:color="000000"/>
              <w:right w:val="single" w:sz="4" w:space="0" w:color="000000"/>
            </w:tcBorders>
            <w:vAlign w:val="center"/>
            <w:hideMark/>
          </w:tcPr>
          <w:p w14:paraId="5045ECE5" w14:textId="77777777" w:rsidR="00B27DCD" w:rsidRPr="009F0A74" w:rsidRDefault="00B27DCD" w:rsidP="00B27DCD">
            <w:pPr>
              <w:spacing w:after="0" w:line="240" w:lineRule="auto"/>
              <w:rPr>
                <w:rFonts w:ascii="Calibri" w:eastAsia="Times New Roman" w:hAnsi="Calibri" w:cs="Calibri"/>
                <w:b/>
                <w:bCs/>
                <w:sz w:val="16"/>
                <w:szCs w:val="16"/>
                <w:lang w:eastAsia="hr-HR"/>
              </w:rPr>
            </w:pPr>
          </w:p>
        </w:tc>
        <w:tc>
          <w:tcPr>
            <w:tcW w:w="13892" w:type="dxa"/>
            <w:gridSpan w:val="37"/>
            <w:vMerge/>
            <w:tcBorders>
              <w:top w:val="single" w:sz="8" w:space="0" w:color="auto"/>
              <w:left w:val="single" w:sz="4" w:space="0" w:color="auto"/>
              <w:bottom w:val="single" w:sz="4" w:space="0" w:color="000000"/>
              <w:right w:val="single" w:sz="8" w:space="0" w:color="000000"/>
            </w:tcBorders>
            <w:vAlign w:val="center"/>
            <w:hideMark/>
          </w:tcPr>
          <w:p w14:paraId="259DEAC7" w14:textId="77777777" w:rsidR="00B27DCD" w:rsidRPr="009F0A74" w:rsidRDefault="00B27DCD" w:rsidP="00B27DCD">
            <w:pPr>
              <w:spacing w:after="0" w:line="240" w:lineRule="auto"/>
              <w:rPr>
                <w:rFonts w:ascii="Calibri" w:eastAsia="Times New Roman" w:hAnsi="Calibri" w:cs="Calibri"/>
                <w:b/>
                <w:bCs/>
                <w:sz w:val="16"/>
                <w:szCs w:val="16"/>
                <w:lang w:eastAsia="hr-HR"/>
              </w:rPr>
            </w:pPr>
          </w:p>
        </w:tc>
        <w:tc>
          <w:tcPr>
            <w:tcW w:w="252" w:type="dxa"/>
            <w:gridSpan w:val="3"/>
            <w:tcBorders>
              <w:top w:val="nil"/>
              <w:left w:val="nil"/>
              <w:bottom w:val="nil"/>
              <w:right w:val="nil"/>
            </w:tcBorders>
            <w:shd w:val="clear" w:color="auto" w:fill="auto"/>
            <w:noWrap/>
            <w:vAlign w:val="bottom"/>
            <w:hideMark/>
          </w:tcPr>
          <w:p w14:paraId="3644A91D" w14:textId="77777777" w:rsidR="00B27DCD" w:rsidRPr="009F0A74" w:rsidRDefault="00B27DCD" w:rsidP="00B27DCD">
            <w:pPr>
              <w:spacing w:after="0" w:line="240" w:lineRule="auto"/>
              <w:jc w:val="center"/>
              <w:rPr>
                <w:rFonts w:ascii="Calibri" w:eastAsia="Times New Roman" w:hAnsi="Calibri" w:cs="Calibri"/>
                <w:b/>
                <w:bCs/>
                <w:sz w:val="16"/>
                <w:szCs w:val="16"/>
                <w:lang w:eastAsia="hr-HR"/>
              </w:rPr>
            </w:pPr>
          </w:p>
        </w:tc>
      </w:tr>
      <w:tr w:rsidR="009F0A74" w:rsidRPr="009F0A74" w14:paraId="5DB0DD4E" w14:textId="77777777" w:rsidTr="009F0A74">
        <w:trPr>
          <w:gridAfter w:val="2"/>
          <w:wAfter w:w="23" w:type="dxa"/>
          <w:trHeight w:val="1095"/>
        </w:trPr>
        <w:tc>
          <w:tcPr>
            <w:tcW w:w="840" w:type="dxa"/>
            <w:vMerge/>
            <w:tcBorders>
              <w:top w:val="single" w:sz="8" w:space="0" w:color="auto"/>
              <w:left w:val="single" w:sz="8" w:space="0" w:color="auto"/>
              <w:bottom w:val="single" w:sz="4" w:space="0" w:color="000000"/>
              <w:right w:val="single" w:sz="4" w:space="0" w:color="000000"/>
            </w:tcBorders>
            <w:vAlign w:val="center"/>
            <w:hideMark/>
          </w:tcPr>
          <w:p w14:paraId="5F40A8E5" w14:textId="77777777" w:rsidR="00B27DCD" w:rsidRPr="009F0A74" w:rsidRDefault="00B27DCD" w:rsidP="00B27DCD">
            <w:pPr>
              <w:spacing w:after="0" w:line="240" w:lineRule="auto"/>
              <w:rPr>
                <w:rFonts w:ascii="Calibri" w:eastAsia="Times New Roman" w:hAnsi="Calibri" w:cs="Calibri"/>
                <w:b/>
                <w:bCs/>
                <w:sz w:val="16"/>
                <w:szCs w:val="16"/>
                <w:lang w:eastAsia="hr-HR"/>
              </w:rPr>
            </w:pPr>
          </w:p>
        </w:tc>
        <w:tc>
          <w:tcPr>
            <w:tcW w:w="540" w:type="dxa"/>
            <w:vMerge w:val="restart"/>
            <w:tcBorders>
              <w:top w:val="nil"/>
              <w:left w:val="single" w:sz="4" w:space="0" w:color="auto"/>
              <w:bottom w:val="single" w:sz="4" w:space="0" w:color="000000"/>
              <w:right w:val="single" w:sz="4" w:space="0" w:color="auto"/>
            </w:tcBorders>
            <w:shd w:val="clear" w:color="000000" w:fill="CCFFCC"/>
            <w:textDirection w:val="btLr"/>
            <w:vAlign w:val="center"/>
            <w:hideMark/>
          </w:tcPr>
          <w:p w14:paraId="4E9C34AE" w14:textId="77777777" w:rsidR="00B27DCD" w:rsidRPr="009F0A74" w:rsidRDefault="00B27DCD" w:rsidP="00B27DCD">
            <w:pPr>
              <w:spacing w:after="0" w:line="240" w:lineRule="auto"/>
              <w:jc w:val="center"/>
              <w:rPr>
                <w:rFonts w:ascii="Tahoma" w:eastAsia="Times New Roman" w:hAnsi="Tahoma" w:cs="Tahoma"/>
                <w:b/>
                <w:bCs/>
                <w:sz w:val="16"/>
                <w:szCs w:val="16"/>
                <w:lang w:eastAsia="hr-HR"/>
              </w:rPr>
            </w:pPr>
            <w:r w:rsidRPr="009F0A74">
              <w:rPr>
                <w:rFonts w:ascii="Tahoma" w:eastAsia="Times New Roman" w:hAnsi="Tahoma" w:cs="Tahoma"/>
                <w:b/>
                <w:bCs/>
                <w:sz w:val="16"/>
                <w:szCs w:val="16"/>
                <w:lang w:eastAsia="hr-HR"/>
              </w:rPr>
              <w:t xml:space="preserve">Broj </w:t>
            </w:r>
            <w:proofErr w:type="spellStart"/>
            <w:r w:rsidRPr="009F0A74">
              <w:rPr>
                <w:rFonts w:ascii="Tahoma" w:eastAsia="Times New Roman" w:hAnsi="Tahoma" w:cs="Tahoma"/>
                <w:b/>
                <w:bCs/>
                <w:sz w:val="16"/>
                <w:szCs w:val="16"/>
                <w:lang w:eastAsia="hr-HR"/>
              </w:rPr>
              <w:t>nerješenih</w:t>
            </w:r>
            <w:proofErr w:type="spellEnd"/>
            <w:r w:rsidRPr="009F0A74">
              <w:rPr>
                <w:rFonts w:ascii="Tahoma" w:eastAsia="Times New Roman" w:hAnsi="Tahoma" w:cs="Tahoma"/>
                <w:b/>
                <w:bCs/>
                <w:sz w:val="16"/>
                <w:szCs w:val="16"/>
                <w:lang w:eastAsia="hr-HR"/>
              </w:rPr>
              <w:t xml:space="preserve"> predmeta na početku razdoblja</w:t>
            </w:r>
          </w:p>
        </w:tc>
        <w:tc>
          <w:tcPr>
            <w:tcW w:w="444" w:type="dxa"/>
            <w:vMerge w:val="restart"/>
            <w:tcBorders>
              <w:top w:val="nil"/>
              <w:left w:val="single" w:sz="4" w:space="0" w:color="auto"/>
              <w:bottom w:val="single" w:sz="4" w:space="0" w:color="000000"/>
              <w:right w:val="single" w:sz="4" w:space="0" w:color="auto"/>
            </w:tcBorders>
            <w:shd w:val="clear" w:color="000000" w:fill="CCFFCC"/>
            <w:textDirection w:val="btLr"/>
            <w:vAlign w:val="center"/>
            <w:hideMark/>
          </w:tcPr>
          <w:p w14:paraId="599DDFBC" w14:textId="77777777" w:rsidR="00B27DCD" w:rsidRPr="009F0A74" w:rsidRDefault="00B27DCD" w:rsidP="00B27DCD">
            <w:pPr>
              <w:spacing w:after="0" w:line="240" w:lineRule="auto"/>
              <w:jc w:val="center"/>
              <w:rPr>
                <w:rFonts w:ascii="Tahoma" w:eastAsia="Times New Roman" w:hAnsi="Tahoma" w:cs="Tahoma"/>
                <w:b/>
                <w:bCs/>
                <w:sz w:val="16"/>
                <w:szCs w:val="16"/>
                <w:lang w:eastAsia="hr-HR"/>
              </w:rPr>
            </w:pPr>
            <w:r w:rsidRPr="009F0A74">
              <w:rPr>
                <w:rFonts w:ascii="Tahoma" w:eastAsia="Times New Roman" w:hAnsi="Tahoma" w:cs="Tahoma"/>
                <w:b/>
                <w:bCs/>
                <w:sz w:val="16"/>
                <w:szCs w:val="16"/>
                <w:lang w:eastAsia="hr-HR"/>
              </w:rPr>
              <w:t xml:space="preserve">Broj primljenih predmeta </w:t>
            </w:r>
          </w:p>
        </w:tc>
        <w:tc>
          <w:tcPr>
            <w:tcW w:w="763" w:type="dxa"/>
            <w:gridSpan w:val="3"/>
            <w:tcBorders>
              <w:top w:val="single" w:sz="4" w:space="0" w:color="auto"/>
              <w:left w:val="nil"/>
              <w:bottom w:val="single" w:sz="4" w:space="0" w:color="auto"/>
              <w:right w:val="single" w:sz="4" w:space="0" w:color="000000"/>
            </w:tcBorders>
            <w:shd w:val="clear" w:color="000000" w:fill="CCFFCC"/>
            <w:vAlign w:val="center"/>
            <w:hideMark/>
          </w:tcPr>
          <w:p w14:paraId="189D180D" w14:textId="77777777" w:rsidR="00B27DCD" w:rsidRPr="009F0A74" w:rsidRDefault="00B27DCD" w:rsidP="00B27DCD">
            <w:pPr>
              <w:spacing w:after="0" w:line="240" w:lineRule="auto"/>
              <w:jc w:val="center"/>
              <w:rPr>
                <w:rFonts w:ascii="Tahoma" w:eastAsia="Times New Roman" w:hAnsi="Tahoma" w:cs="Tahoma"/>
                <w:sz w:val="16"/>
                <w:szCs w:val="16"/>
                <w:lang w:eastAsia="hr-HR"/>
              </w:rPr>
            </w:pPr>
            <w:r w:rsidRPr="009F0A74">
              <w:rPr>
                <w:rFonts w:ascii="Tahoma" w:eastAsia="Times New Roman" w:hAnsi="Tahoma" w:cs="Tahoma"/>
                <w:sz w:val="16"/>
                <w:szCs w:val="16"/>
                <w:lang w:eastAsia="hr-HR"/>
              </w:rPr>
              <w:t>Broj diskriminiranih osoba prema optužnom aktu</w:t>
            </w:r>
          </w:p>
        </w:tc>
        <w:tc>
          <w:tcPr>
            <w:tcW w:w="1855" w:type="dxa"/>
            <w:gridSpan w:val="5"/>
            <w:tcBorders>
              <w:top w:val="single" w:sz="4" w:space="0" w:color="auto"/>
              <w:left w:val="nil"/>
              <w:bottom w:val="single" w:sz="4" w:space="0" w:color="auto"/>
              <w:right w:val="single" w:sz="4" w:space="0" w:color="000000"/>
            </w:tcBorders>
            <w:shd w:val="clear" w:color="000000" w:fill="CCFFCC"/>
            <w:vAlign w:val="center"/>
            <w:hideMark/>
          </w:tcPr>
          <w:p w14:paraId="5DB05BA6" w14:textId="77777777" w:rsidR="00B27DCD" w:rsidRPr="009F0A74" w:rsidRDefault="00B27DCD" w:rsidP="00B27DCD">
            <w:pPr>
              <w:spacing w:after="0" w:line="240" w:lineRule="auto"/>
              <w:jc w:val="center"/>
              <w:rPr>
                <w:rFonts w:ascii="Calibri" w:eastAsia="Times New Roman" w:hAnsi="Calibri" w:cs="Calibri"/>
                <w:b/>
                <w:bCs/>
                <w:sz w:val="16"/>
                <w:szCs w:val="16"/>
                <w:lang w:eastAsia="hr-HR"/>
              </w:rPr>
            </w:pPr>
            <w:r w:rsidRPr="009F0A74">
              <w:rPr>
                <w:rFonts w:ascii="Calibri" w:eastAsia="Times New Roman" w:hAnsi="Calibri" w:cs="Calibri"/>
                <w:b/>
                <w:bCs/>
                <w:sz w:val="16"/>
                <w:szCs w:val="16"/>
                <w:lang w:eastAsia="hr-HR"/>
              </w:rPr>
              <w:t>KAZNENO DJELO (za ranije primljene predmete po starom KZ-u)</w:t>
            </w:r>
          </w:p>
        </w:tc>
        <w:tc>
          <w:tcPr>
            <w:tcW w:w="2928" w:type="dxa"/>
            <w:gridSpan w:val="7"/>
            <w:tcBorders>
              <w:top w:val="single" w:sz="4" w:space="0" w:color="auto"/>
              <w:left w:val="nil"/>
              <w:bottom w:val="single" w:sz="4" w:space="0" w:color="auto"/>
              <w:right w:val="single" w:sz="4" w:space="0" w:color="000000"/>
            </w:tcBorders>
            <w:shd w:val="clear" w:color="000000" w:fill="CCFFCC"/>
            <w:vAlign w:val="center"/>
            <w:hideMark/>
          </w:tcPr>
          <w:p w14:paraId="51B8E098" w14:textId="77777777" w:rsidR="00B27DCD" w:rsidRPr="009F0A74" w:rsidRDefault="00B27DCD" w:rsidP="00B27DCD">
            <w:pPr>
              <w:spacing w:after="0" w:line="240" w:lineRule="auto"/>
              <w:jc w:val="center"/>
              <w:rPr>
                <w:rFonts w:ascii="Calibri" w:eastAsia="Times New Roman" w:hAnsi="Calibri" w:cs="Calibri"/>
                <w:b/>
                <w:bCs/>
                <w:sz w:val="16"/>
                <w:szCs w:val="16"/>
                <w:lang w:eastAsia="hr-HR"/>
              </w:rPr>
            </w:pPr>
            <w:r w:rsidRPr="009F0A74">
              <w:rPr>
                <w:rFonts w:ascii="Calibri" w:eastAsia="Times New Roman" w:hAnsi="Calibri" w:cs="Calibri"/>
                <w:b/>
                <w:bCs/>
                <w:sz w:val="16"/>
                <w:szCs w:val="16"/>
                <w:lang w:eastAsia="hr-HR"/>
              </w:rPr>
              <w:t>KAZNENO DJELO</w:t>
            </w:r>
          </w:p>
        </w:tc>
        <w:tc>
          <w:tcPr>
            <w:tcW w:w="1744" w:type="dxa"/>
            <w:gridSpan w:val="5"/>
            <w:tcBorders>
              <w:top w:val="single" w:sz="4" w:space="0" w:color="auto"/>
              <w:left w:val="nil"/>
              <w:bottom w:val="single" w:sz="4" w:space="0" w:color="auto"/>
              <w:right w:val="single" w:sz="4" w:space="0" w:color="000000"/>
            </w:tcBorders>
            <w:shd w:val="clear" w:color="000000" w:fill="CCFFCC"/>
            <w:vAlign w:val="center"/>
            <w:hideMark/>
          </w:tcPr>
          <w:p w14:paraId="3C8D19A3" w14:textId="77777777" w:rsidR="00B27DCD" w:rsidRPr="009F0A74" w:rsidRDefault="00B27DCD" w:rsidP="00B27DCD">
            <w:pPr>
              <w:spacing w:after="0" w:line="240" w:lineRule="auto"/>
              <w:jc w:val="center"/>
              <w:rPr>
                <w:rFonts w:ascii="Calibri" w:eastAsia="Times New Roman" w:hAnsi="Calibri" w:cs="Calibri"/>
                <w:b/>
                <w:bCs/>
                <w:sz w:val="16"/>
                <w:szCs w:val="16"/>
                <w:lang w:eastAsia="hr-HR"/>
              </w:rPr>
            </w:pPr>
            <w:r w:rsidRPr="009F0A74">
              <w:rPr>
                <w:rFonts w:ascii="Calibri" w:eastAsia="Times New Roman" w:hAnsi="Calibri" w:cs="Calibri"/>
                <w:b/>
                <w:bCs/>
                <w:sz w:val="16"/>
                <w:szCs w:val="16"/>
                <w:lang w:eastAsia="hr-HR"/>
              </w:rPr>
              <w:t>PRAVOMOĆNO RIJEŠENO</w:t>
            </w:r>
          </w:p>
        </w:tc>
        <w:tc>
          <w:tcPr>
            <w:tcW w:w="1786" w:type="dxa"/>
            <w:gridSpan w:val="5"/>
            <w:tcBorders>
              <w:top w:val="single" w:sz="4" w:space="0" w:color="auto"/>
              <w:left w:val="nil"/>
              <w:bottom w:val="single" w:sz="4" w:space="0" w:color="auto"/>
              <w:right w:val="single" w:sz="4" w:space="0" w:color="000000"/>
            </w:tcBorders>
            <w:shd w:val="clear" w:color="000000" w:fill="CCFFCC"/>
            <w:vAlign w:val="center"/>
            <w:hideMark/>
          </w:tcPr>
          <w:p w14:paraId="0C1D43B5" w14:textId="77777777" w:rsidR="00B27DCD" w:rsidRPr="009F0A74" w:rsidRDefault="00B27DCD" w:rsidP="00B27DCD">
            <w:pPr>
              <w:spacing w:after="0" w:line="240" w:lineRule="auto"/>
              <w:jc w:val="center"/>
              <w:rPr>
                <w:rFonts w:ascii="Calibri" w:eastAsia="Times New Roman" w:hAnsi="Calibri" w:cs="Calibri"/>
                <w:b/>
                <w:bCs/>
                <w:sz w:val="16"/>
                <w:szCs w:val="16"/>
                <w:lang w:eastAsia="hr-HR"/>
              </w:rPr>
            </w:pPr>
            <w:r w:rsidRPr="009F0A74">
              <w:rPr>
                <w:rFonts w:ascii="Calibri" w:eastAsia="Times New Roman" w:hAnsi="Calibri" w:cs="Calibri"/>
                <w:b/>
                <w:bCs/>
                <w:sz w:val="16"/>
                <w:szCs w:val="16"/>
                <w:lang w:eastAsia="hr-HR"/>
              </w:rPr>
              <w:t>Broj i vrsta kazni</w:t>
            </w:r>
          </w:p>
        </w:tc>
        <w:tc>
          <w:tcPr>
            <w:tcW w:w="590" w:type="dxa"/>
            <w:gridSpan w:val="2"/>
            <w:tcBorders>
              <w:top w:val="nil"/>
              <w:left w:val="single" w:sz="4" w:space="0" w:color="auto"/>
              <w:bottom w:val="single" w:sz="4" w:space="0" w:color="000000"/>
              <w:right w:val="single" w:sz="4" w:space="0" w:color="auto"/>
            </w:tcBorders>
            <w:shd w:val="clear" w:color="000000" w:fill="CCFFCC"/>
            <w:textDirection w:val="btLr"/>
            <w:vAlign w:val="center"/>
            <w:hideMark/>
          </w:tcPr>
          <w:p w14:paraId="59BB20CA" w14:textId="77777777" w:rsidR="00B27DCD" w:rsidRPr="009F0A74" w:rsidRDefault="00B27DCD" w:rsidP="00B27DCD">
            <w:pPr>
              <w:spacing w:after="0" w:line="240" w:lineRule="auto"/>
              <w:jc w:val="center"/>
              <w:rPr>
                <w:rFonts w:ascii="Calibri" w:eastAsia="Times New Roman" w:hAnsi="Calibri" w:cs="Calibri"/>
                <w:b/>
                <w:bCs/>
                <w:sz w:val="16"/>
                <w:szCs w:val="16"/>
                <w:lang w:eastAsia="hr-HR"/>
              </w:rPr>
            </w:pPr>
            <w:r w:rsidRPr="009F0A74">
              <w:rPr>
                <w:rFonts w:ascii="Calibri" w:eastAsia="Times New Roman" w:hAnsi="Calibri" w:cs="Calibri"/>
                <w:b/>
                <w:bCs/>
                <w:sz w:val="16"/>
                <w:szCs w:val="16"/>
                <w:lang w:eastAsia="hr-HR"/>
              </w:rPr>
              <w:t xml:space="preserve">Broj </w:t>
            </w:r>
            <w:proofErr w:type="spellStart"/>
            <w:r w:rsidRPr="009F0A74">
              <w:rPr>
                <w:rFonts w:ascii="Calibri" w:eastAsia="Times New Roman" w:hAnsi="Calibri" w:cs="Calibri"/>
                <w:b/>
                <w:bCs/>
                <w:sz w:val="16"/>
                <w:szCs w:val="16"/>
                <w:lang w:eastAsia="hr-HR"/>
              </w:rPr>
              <w:t>nerješenih</w:t>
            </w:r>
            <w:proofErr w:type="spellEnd"/>
            <w:r w:rsidRPr="009F0A74">
              <w:rPr>
                <w:rFonts w:ascii="Calibri" w:eastAsia="Times New Roman" w:hAnsi="Calibri" w:cs="Calibri"/>
                <w:b/>
                <w:bCs/>
                <w:sz w:val="16"/>
                <w:szCs w:val="16"/>
                <w:lang w:eastAsia="hr-HR"/>
              </w:rPr>
              <w:t xml:space="preserve"> predmeta na kraju izvještajnog razdoblja</w:t>
            </w:r>
          </w:p>
        </w:tc>
        <w:tc>
          <w:tcPr>
            <w:tcW w:w="367" w:type="dxa"/>
            <w:gridSpan w:val="2"/>
            <w:tcBorders>
              <w:top w:val="nil"/>
              <w:left w:val="single" w:sz="4" w:space="0" w:color="auto"/>
              <w:bottom w:val="single" w:sz="4" w:space="0" w:color="000000"/>
              <w:right w:val="single" w:sz="4" w:space="0" w:color="auto"/>
            </w:tcBorders>
            <w:shd w:val="clear" w:color="000000" w:fill="CCFFCC"/>
            <w:textDirection w:val="btLr"/>
            <w:vAlign w:val="center"/>
            <w:hideMark/>
          </w:tcPr>
          <w:p w14:paraId="7AE5BB66" w14:textId="77777777" w:rsidR="00B27DCD" w:rsidRPr="009F0A74" w:rsidRDefault="00B27DCD" w:rsidP="00B27DCD">
            <w:pPr>
              <w:spacing w:after="0" w:line="240" w:lineRule="auto"/>
              <w:jc w:val="center"/>
              <w:rPr>
                <w:rFonts w:ascii="Calibri" w:eastAsia="Times New Roman" w:hAnsi="Calibri" w:cs="Calibri"/>
                <w:b/>
                <w:bCs/>
                <w:sz w:val="16"/>
                <w:szCs w:val="16"/>
                <w:lang w:eastAsia="hr-HR"/>
              </w:rPr>
            </w:pPr>
            <w:r w:rsidRPr="009F0A74">
              <w:rPr>
                <w:rFonts w:ascii="Calibri" w:eastAsia="Times New Roman" w:hAnsi="Calibri" w:cs="Calibri"/>
                <w:b/>
                <w:bCs/>
                <w:sz w:val="16"/>
                <w:szCs w:val="16"/>
                <w:lang w:eastAsia="hr-HR"/>
              </w:rPr>
              <w:t>BROJ OSUĐENIH OSOBA</w:t>
            </w:r>
          </w:p>
        </w:tc>
        <w:tc>
          <w:tcPr>
            <w:tcW w:w="1375" w:type="dxa"/>
            <w:gridSpan w:val="4"/>
            <w:tcBorders>
              <w:top w:val="single" w:sz="4" w:space="0" w:color="auto"/>
              <w:left w:val="nil"/>
              <w:bottom w:val="single" w:sz="4" w:space="0" w:color="auto"/>
              <w:right w:val="single" w:sz="4" w:space="0" w:color="000000"/>
            </w:tcBorders>
            <w:shd w:val="clear" w:color="000000" w:fill="CCFFCC"/>
            <w:vAlign w:val="center"/>
            <w:hideMark/>
          </w:tcPr>
          <w:p w14:paraId="5A5325F9" w14:textId="77777777" w:rsidR="00B27DCD" w:rsidRPr="009F0A74" w:rsidRDefault="00B27DCD" w:rsidP="00B27DCD">
            <w:pPr>
              <w:spacing w:after="0" w:line="240" w:lineRule="auto"/>
              <w:jc w:val="center"/>
              <w:rPr>
                <w:rFonts w:ascii="Tahoma" w:eastAsia="Times New Roman" w:hAnsi="Tahoma" w:cs="Tahoma"/>
                <w:sz w:val="16"/>
                <w:szCs w:val="16"/>
                <w:lang w:eastAsia="hr-HR"/>
              </w:rPr>
            </w:pPr>
            <w:r w:rsidRPr="009F0A74">
              <w:rPr>
                <w:rFonts w:ascii="Tahoma" w:eastAsia="Times New Roman" w:hAnsi="Tahoma" w:cs="Tahoma"/>
                <w:sz w:val="16"/>
                <w:szCs w:val="16"/>
                <w:lang w:eastAsia="hr-HR"/>
              </w:rPr>
              <w:t>Broj diskriminiranih osoba prema pravomoćnoj presudi</w:t>
            </w:r>
          </w:p>
        </w:tc>
        <w:tc>
          <w:tcPr>
            <w:tcW w:w="1499" w:type="dxa"/>
            <w:gridSpan w:val="2"/>
            <w:tcBorders>
              <w:top w:val="single" w:sz="4" w:space="0" w:color="auto"/>
              <w:left w:val="nil"/>
              <w:bottom w:val="single" w:sz="4" w:space="0" w:color="auto"/>
              <w:right w:val="single" w:sz="8" w:space="0" w:color="000000"/>
            </w:tcBorders>
            <w:shd w:val="clear" w:color="000000" w:fill="CCFFCC"/>
            <w:vAlign w:val="center"/>
            <w:hideMark/>
          </w:tcPr>
          <w:p w14:paraId="42E4AD47" w14:textId="77777777" w:rsidR="00B27DCD" w:rsidRPr="009F0A74" w:rsidRDefault="00B27DCD" w:rsidP="00B27DCD">
            <w:pPr>
              <w:spacing w:after="0" w:line="240" w:lineRule="auto"/>
              <w:jc w:val="center"/>
              <w:rPr>
                <w:rFonts w:ascii="Calibri" w:eastAsia="Times New Roman" w:hAnsi="Calibri" w:cs="Calibri"/>
                <w:b/>
                <w:bCs/>
                <w:sz w:val="16"/>
                <w:szCs w:val="16"/>
                <w:lang w:eastAsia="hr-HR"/>
              </w:rPr>
            </w:pPr>
            <w:r w:rsidRPr="009F0A74">
              <w:rPr>
                <w:rFonts w:ascii="Calibri" w:eastAsia="Times New Roman" w:hAnsi="Calibri" w:cs="Calibri"/>
                <w:b/>
                <w:bCs/>
                <w:sz w:val="16"/>
                <w:szCs w:val="16"/>
                <w:lang w:eastAsia="hr-HR"/>
              </w:rPr>
              <w:t>TRAJANJE POSTUPKA</w:t>
            </w:r>
          </w:p>
        </w:tc>
        <w:tc>
          <w:tcPr>
            <w:tcW w:w="236" w:type="dxa"/>
            <w:gridSpan w:val="2"/>
            <w:vAlign w:val="center"/>
            <w:hideMark/>
          </w:tcPr>
          <w:p w14:paraId="59D8653E" w14:textId="77777777" w:rsidR="00B27DCD" w:rsidRPr="009F0A74" w:rsidRDefault="00B27DCD" w:rsidP="00B27DCD">
            <w:pPr>
              <w:spacing w:after="0" w:line="240" w:lineRule="auto"/>
              <w:rPr>
                <w:rFonts w:ascii="Times New Roman" w:eastAsia="Times New Roman" w:hAnsi="Times New Roman" w:cs="Times New Roman"/>
                <w:sz w:val="16"/>
                <w:szCs w:val="16"/>
                <w:lang w:eastAsia="hr-HR"/>
              </w:rPr>
            </w:pPr>
          </w:p>
        </w:tc>
      </w:tr>
      <w:tr w:rsidR="009F0A74" w:rsidRPr="009F0A74" w14:paraId="4B57064B" w14:textId="77777777" w:rsidTr="009F0A74">
        <w:trPr>
          <w:trHeight w:val="3337"/>
        </w:trPr>
        <w:tc>
          <w:tcPr>
            <w:tcW w:w="840" w:type="dxa"/>
            <w:vMerge/>
            <w:tcBorders>
              <w:top w:val="single" w:sz="8" w:space="0" w:color="auto"/>
              <w:left w:val="single" w:sz="8" w:space="0" w:color="auto"/>
              <w:bottom w:val="single" w:sz="4" w:space="0" w:color="000000"/>
              <w:right w:val="single" w:sz="4" w:space="0" w:color="000000"/>
            </w:tcBorders>
            <w:vAlign w:val="center"/>
            <w:hideMark/>
          </w:tcPr>
          <w:p w14:paraId="6526D4BF" w14:textId="77777777" w:rsidR="00B27DCD" w:rsidRPr="009F0A74" w:rsidRDefault="00B27DCD" w:rsidP="00B27DCD">
            <w:pPr>
              <w:spacing w:after="0" w:line="240" w:lineRule="auto"/>
              <w:rPr>
                <w:rFonts w:ascii="Calibri" w:eastAsia="Times New Roman" w:hAnsi="Calibri" w:cs="Calibri"/>
                <w:b/>
                <w:bCs/>
                <w:sz w:val="16"/>
                <w:szCs w:val="16"/>
                <w:lang w:eastAsia="hr-HR"/>
              </w:rPr>
            </w:pPr>
          </w:p>
        </w:tc>
        <w:tc>
          <w:tcPr>
            <w:tcW w:w="540" w:type="dxa"/>
            <w:vMerge/>
            <w:tcBorders>
              <w:top w:val="nil"/>
              <w:left w:val="single" w:sz="4" w:space="0" w:color="auto"/>
              <w:bottom w:val="single" w:sz="4" w:space="0" w:color="000000"/>
              <w:right w:val="single" w:sz="4" w:space="0" w:color="auto"/>
            </w:tcBorders>
            <w:vAlign w:val="center"/>
            <w:hideMark/>
          </w:tcPr>
          <w:p w14:paraId="1DBC944E" w14:textId="77777777" w:rsidR="00B27DCD" w:rsidRPr="009F0A74" w:rsidRDefault="00B27DCD" w:rsidP="00B27DCD">
            <w:pPr>
              <w:spacing w:after="0" w:line="240" w:lineRule="auto"/>
              <w:rPr>
                <w:rFonts w:ascii="Tahoma" w:eastAsia="Times New Roman" w:hAnsi="Tahoma" w:cs="Tahoma"/>
                <w:b/>
                <w:bCs/>
                <w:sz w:val="16"/>
                <w:szCs w:val="16"/>
                <w:lang w:eastAsia="hr-HR"/>
              </w:rPr>
            </w:pPr>
          </w:p>
        </w:tc>
        <w:tc>
          <w:tcPr>
            <w:tcW w:w="444" w:type="dxa"/>
            <w:vMerge/>
            <w:tcBorders>
              <w:top w:val="nil"/>
              <w:left w:val="single" w:sz="4" w:space="0" w:color="auto"/>
              <w:bottom w:val="single" w:sz="4" w:space="0" w:color="000000"/>
              <w:right w:val="single" w:sz="4" w:space="0" w:color="auto"/>
            </w:tcBorders>
            <w:vAlign w:val="center"/>
            <w:hideMark/>
          </w:tcPr>
          <w:p w14:paraId="669243E8" w14:textId="77777777" w:rsidR="00B27DCD" w:rsidRPr="009F0A74" w:rsidRDefault="00B27DCD" w:rsidP="00B27DCD">
            <w:pPr>
              <w:spacing w:after="0" w:line="240" w:lineRule="auto"/>
              <w:rPr>
                <w:rFonts w:ascii="Tahoma" w:eastAsia="Times New Roman" w:hAnsi="Tahoma" w:cs="Tahoma"/>
                <w:b/>
                <w:bCs/>
                <w:sz w:val="16"/>
                <w:szCs w:val="16"/>
                <w:lang w:eastAsia="hr-HR"/>
              </w:rPr>
            </w:pPr>
          </w:p>
        </w:tc>
        <w:tc>
          <w:tcPr>
            <w:tcW w:w="433" w:type="dxa"/>
            <w:tcBorders>
              <w:top w:val="nil"/>
              <w:left w:val="nil"/>
              <w:bottom w:val="nil"/>
              <w:right w:val="single" w:sz="4" w:space="0" w:color="auto"/>
            </w:tcBorders>
            <w:shd w:val="clear" w:color="000000" w:fill="CCFFCC"/>
            <w:textDirection w:val="btLr"/>
            <w:vAlign w:val="center"/>
            <w:hideMark/>
          </w:tcPr>
          <w:p w14:paraId="144417BD" w14:textId="77777777" w:rsidR="00B27DCD" w:rsidRPr="009F0A74" w:rsidRDefault="00B27DCD" w:rsidP="00B27DCD">
            <w:pPr>
              <w:spacing w:after="0" w:line="240" w:lineRule="auto"/>
              <w:jc w:val="center"/>
              <w:rPr>
                <w:rFonts w:ascii="Tahoma" w:eastAsia="Times New Roman" w:hAnsi="Tahoma" w:cs="Tahoma"/>
                <w:sz w:val="16"/>
                <w:szCs w:val="16"/>
                <w:lang w:eastAsia="hr-HR"/>
              </w:rPr>
            </w:pPr>
            <w:r w:rsidRPr="009F0A74">
              <w:rPr>
                <w:rFonts w:ascii="Tahoma" w:eastAsia="Times New Roman" w:hAnsi="Tahoma" w:cs="Tahoma"/>
                <w:sz w:val="16"/>
                <w:szCs w:val="16"/>
                <w:lang w:eastAsia="hr-HR"/>
              </w:rPr>
              <w:t>Žene</w:t>
            </w:r>
          </w:p>
        </w:tc>
        <w:tc>
          <w:tcPr>
            <w:tcW w:w="324" w:type="dxa"/>
            <w:tcBorders>
              <w:top w:val="nil"/>
              <w:left w:val="nil"/>
              <w:bottom w:val="nil"/>
              <w:right w:val="single" w:sz="4" w:space="0" w:color="auto"/>
            </w:tcBorders>
            <w:shd w:val="clear" w:color="000000" w:fill="CCFFCC"/>
            <w:textDirection w:val="btLr"/>
            <w:vAlign w:val="center"/>
            <w:hideMark/>
          </w:tcPr>
          <w:p w14:paraId="134F7C30" w14:textId="77777777" w:rsidR="00B27DCD" w:rsidRPr="009F0A74" w:rsidRDefault="00B27DCD" w:rsidP="00B27DCD">
            <w:pPr>
              <w:spacing w:after="0" w:line="240" w:lineRule="auto"/>
              <w:jc w:val="center"/>
              <w:rPr>
                <w:rFonts w:ascii="Tahoma" w:eastAsia="Times New Roman" w:hAnsi="Tahoma" w:cs="Tahoma"/>
                <w:sz w:val="16"/>
                <w:szCs w:val="16"/>
                <w:lang w:eastAsia="hr-HR"/>
              </w:rPr>
            </w:pPr>
            <w:r w:rsidRPr="009F0A74">
              <w:rPr>
                <w:rFonts w:ascii="Tahoma" w:eastAsia="Times New Roman" w:hAnsi="Tahoma" w:cs="Tahoma"/>
                <w:sz w:val="16"/>
                <w:szCs w:val="16"/>
                <w:lang w:eastAsia="hr-HR"/>
              </w:rPr>
              <w:t>Muškarci</w:t>
            </w:r>
          </w:p>
        </w:tc>
        <w:tc>
          <w:tcPr>
            <w:tcW w:w="385" w:type="dxa"/>
            <w:gridSpan w:val="2"/>
            <w:tcBorders>
              <w:top w:val="nil"/>
              <w:left w:val="nil"/>
              <w:bottom w:val="single" w:sz="4" w:space="0" w:color="auto"/>
              <w:right w:val="single" w:sz="4" w:space="0" w:color="auto"/>
            </w:tcBorders>
            <w:shd w:val="clear" w:color="000000" w:fill="CCFFCC"/>
            <w:textDirection w:val="btLr"/>
            <w:vAlign w:val="center"/>
            <w:hideMark/>
          </w:tcPr>
          <w:p w14:paraId="6B5BFEB3" w14:textId="77777777" w:rsidR="00B27DCD" w:rsidRPr="009F0A74" w:rsidRDefault="00B27DCD" w:rsidP="00B27DCD">
            <w:pPr>
              <w:spacing w:after="0" w:line="240" w:lineRule="auto"/>
              <w:jc w:val="center"/>
              <w:rPr>
                <w:rFonts w:ascii="Calibri" w:eastAsia="Times New Roman" w:hAnsi="Calibri" w:cs="Calibri"/>
                <w:sz w:val="16"/>
                <w:szCs w:val="16"/>
                <w:lang w:eastAsia="hr-HR"/>
              </w:rPr>
            </w:pPr>
            <w:r w:rsidRPr="009F0A74">
              <w:rPr>
                <w:rFonts w:ascii="Calibri" w:eastAsia="Times New Roman" w:hAnsi="Calibri" w:cs="Calibri"/>
                <w:sz w:val="16"/>
                <w:szCs w:val="16"/>
                <w:lang w:eastAsia="hr-HR"/>
              </w:rPr>
              <w:t>POVREDA RAVNOPRANVOSTI GRAĐANA čl. 106.</w:t>
            </w:r>
          </w:p>
        </w:tc>
        <w:tc>
          <w:tcPr>
            <w:tcW w:w="334" w:type="dxa"/>
            <w:tcBorders>
              <w:top w:val="nil"/>
              <w:left w:val="nil"/>
              <w:bottom w:val="single" w:sz="4" w:space="0" w:color="auto"/>
              <w:right w:val="single" w:sz="4" w:space="0" w:color="auto"/>
            </w:tcBorders>
            <w:shd w:val="clear" w:color="000000" w:fill="CCFFCC"/>
            <w:textDirection w:val="btLr"/>
            <w:vAlign w:val="center"/>
            <w:hideMark/>
          </w:tcPr>
          <w:p w14:paraId="4346FAE2" w14:textId="77777777" w:rsidR="00B27DCD" w:rsidRPr="009F0A74" w:rsidRDefault="00B27DCD" w:rsidP="00B27DCD">
            <w:pPr>
              <w:spacing w:after="0" w:line="240" w:lineRule="auto"/>
              <w:jc w:val="center"/>
              <w:rPr>
                <w:rFonts w:ascii="Calibri" w:eastAsia="Times New Roman" w:hAnsi="Calibri" w:cs="Calibri"/>
                <w:sz w:val="16"/>
                <w:szCs w:val="16"/>
                <w:lang w:eastAsia="hr-HR"/>
              </w:rPr>
            </w:pPr>
            <w:r w:rsidRPr="009F0A74">
              <w:rPr>
                <w:rFonts w:ascii="Calibri" w:eastAsia="Times New Roman" w:hAnsi="Calibri" w:cs="Calibri"/>
                <w:sz w:val="16"/>
                <w:szCs w:val="16"/>
                <w:lang w:eastAsia="hr-HR"/>
              </w:rPr>
              <w:t xml:space="preserve">RASNA I DRUGA DISKIMINACIJA </w:t>
            </w:r>
            <w:proofErr w:type="spellStart"/>
            <w:r w:rsidRPr="009F0A74">
              <w:rPr>
                <w:rFonts w:ascii="Calibri" w:eastAsia="Times New Roman" w:hAnsi="Calibri" w:cs="Calibri"/>
                <w:sz w:val="16"/>
                <w:szCs w:val="16"/>
                <w:lang w:eastAsia="hr-HR"/>
              </w:rPr>
              <w:t>čl</w:t>
            </w:r>
            <w:proofErr w:type="spellEnd"/>
            <w:r w:rsidRPr="009F0A74">
              <w:rPr>
                <w:rFonts w:ascii="Calibri" w:eastAsia="Times New Roman" w:hAnsi="Calibri" w:cs="Calibri"/>
                <w:sz w:val="16"/>
                <w:szCs w:val="16"/>
                <w:lang w:eastAsia="hr-HR"/>
              </w:rPr>
              <w:t xml:space="preserve"> 174.</w:t>
            </w:r>
          </w:p>
        </w:tc>
        <w:tc>
          <w:tcPr>
            <w:tcW w:w="658" w:type="dxa"/>
            <w:tcBorders>
              <w:top w:val="nil"/>
              <w:left w:val="nil"/>
              <w:bottom w:val="single" w:sz="4" w:space="0" w:color="auto"/>
              <w:right w:val="single" w:sz="4" w:space="0" w:color="auto"/>
            </w:tcBorders>
            <w:shd w:val="clear" w:color="000000" w:fill="CCFFCC"/>
            <w:textDirection w:val="btLr"/>
            <w:vAlign w:val="center"/>
            <w:hideMark/>
          </w:tcPr>
          <w:p w14:paraId="151392A3" w14:textId="77777777" w:rsidR="00B27DCD" w:rsidRPr="009F0A74" w:rsidRDefault="00B27DCD" w:rsidP="00B27DCD">
            <w:pPr>
              <w:spacing w:after="0" w:line="240" w:lineRule="auto"/>
              <w:jc w:val="center"/>
              <w:rPr>
                <w:rFonts w:ascii="Calibri" w:eastAsia="Times New Roman" w:hAnsi="Calibri" w:cs="Calibri"/>
                <w:sz w:val="16"/>
                <w:szCs w:val="16"/>
                <w:lang w:eastAsia="hr-HR"/>
              </w:rPr>
            </w:pPr>
            <w:r w:rsidRPr="009F0A74">
              <w:rPr>
                <w:rFonts w:ascii="Calibri" w:eastAsia="Times New Roman" w:hAnsi="Calibri" w:cs="Calibri"/>
                <w:sz w:val="16"/>
                <w:szCs w:val="16"/>
                <w:lang w:eastAsia="hr-HR"/>
              </w:rPr>
              <w:t>MUČENJE I DRUGO OKRUTNO, NELJUDSKO ILI PONIŽAVAJUĆE POSTUPANJE čl.176.</w:t>
            </w:r>
          </w:p>
        </w:tc>
        <w:tc>
          <w:tcPr>
            <w:tcW w:w="447" w:type="dxa"/>
            <w:tcBorders>
              <w:top w:val="nil"/>
              <w:left w:val="nil"/>
              <w:bottom w:val="single" w:sz="4" w:space="0" w:color="auto"/>
              <w:right w:val="single" w:sz="4" w:space="0" w:color="auto"/>
            </w:tcBorders>
            <w:shd w:val="clear" w:color="000000" w:fill="CCFFCC"/>
            <w:textDirection w:val="btLr"/>
            <w:vAlign w:val="center"/>
            <w:hideMark/>
          </w:tcPr>
          <w:p w14:paraId="2AED2539" w14:textId="77777777" w:rsidR="00B27DCD" w:rsidRPr="009F0A74" w:rsidRDefault="00B27DCD" w:rsidP="00B27DCD">
            <w:pPr>
              <w:spacing w:after="0" w:line="240" w:lineRule="auto"/>
              <w:jc w:val="center"/>
              <w:rPr>
                <w:rFonts w:ascii="Calibri" w:eastAsia="Times New Roman" w:hAnsi="Calibri" w:cs="Calibri"/>
                <w:sz w:val="16"/>
                <w:szCs w:val="16"/>
                <w:lang w:eastAsia="hr-HR"/>
              </w:rPr>
            </w:pPr>
            <w:r w:rsidRPr="009F0A74">
              <w:rPr>
                <w:rFonts w:ascii="Calibri" w:eastAsia="Times New Roman" w:hAnsi="Calibri" w:cs="Calibri"/>
                <w:sz w:val="16"/>
                <w:szCs w:val="16"/>
                <w:lang w:eastAsia="hr-HR"/>
              </w:rPr>
              <w:t>OSTALO</w:t>
            </w:r>
          </w:p>
        </w:tc>
        <w:tc>
          <w:tcPr>
            <w:tcW w:w="644" w:type="dxa"/>
            <w:gridSpan w:val="2"/>
            <w:tcBorders>
              <w:top w:val="nil"/>
              <w:left w:val="nil"/>
              <w:bottom w:val="single" w:sz="4" w:space="0" w:color="auto"/>
              <w:right w:val="single" w:sz="4" w:space="0" w:color="auto"/>
            </w:tcBorders>
            <w:shd w:val="clear" w:color="000000" w:fill="CCFFCC"/>
            <w:textDirection w:val="btLr"/>
            <w:vAlign w:val="center"/>
            <w:hideMark/>
          </w:tcPr>
          <w:p w14:paraId="66B9C369" w14:textId="77777777" w:rsidR="00B27DCD" w:rsidRPr="009F0A74" w:rsidRDefault="00B27DCD" w:rsidP="00B27DCD">
            <w:pPr>
              <w:spacing w:after="0" w:line="240" w:lineRule="auto"/>
              <w:jc w:val="center"/>
              <w:rPr>
                <w:rFonts w:ascii="Calibri" w:eastAsia="Times New Roman" w:hAnsi="Calibri" w:cs="Calibri"/>
                <w:sz w:val="16"/>
                <w:szCs w:val="16"/>
                <w:lang w:eastAsia="hr-HR"/>
              </w:rPr>
            </w:pPr>
            <w:r w:rsidRPr="009F0A74">
              <w:rPr>
                <w:rFonts w:ascii="Calibri" w:eastAsia="Times New Roman" w:hAnsi="Calibri" w:cs="Calibri"/>
                <w:sz w:val="16"/>
                <w:szCs w:val="16"/>
                <w:lang w:eastAsia="hr-HR"/>
              </w:rPr>
              <w:t>Mučenje i drugo okrutno, neljudsko ili ponižavajuće postupanje ili kažnjavanje čl. 104</w:t>
            </w:r>
          </w:p>
        </w:tc>
        <w:tc>
          <w:tcPr>
            <w:tcW w:w="452" w:type="dxa"/>
            <w:tcBorders>
              <w:top w:val="nil"/>
              <w:left w:val="nil"/>
              <w:bottom w:val="single" w:sz="4" w:space="0" w:color="auto"/>
              <w:right w:val="single" w:sz="4" w:space="0" w:color="auto"/>
            </w:tcBorders>
            <w:shd w:val="clear" w:color="000000" w:fill="CCFFCC"/>
            <w:textDirection w:val="btLr"/>
            <w:vAlign w:val="center"/>
            <w:hideMark/>
          </w:tcPr>
          <w:p w14:paraId="7F8A8CD3" w14:textId="77777777" w:rsidR="00B27DCD" w:rsidRPr="009F0A74" w:rsidRDefault="00B27DCD" w:rsidP="00B27DCD">
            <w:pPr>
              <w:spacing w:after="0" w:line="240" w:lineRule="auto"/>
              <w:jc w:val="center"/>
              <w:rPr>
                <w:rFonts w:ascii="Calibri" w:eastAsia="Times New Roman" w:hAnsi="Calibri" w:cs="Calibri"/>
                <w:sz w:val="16"/>
                <w:szCs w:val="16"/>
                <w:lang w:eastAsia="hr-HR"/>
              </w:rPr>
            </w:pPr>
            <w:r w:rsidRPr="009F0A74">
              <w:rPr>
                <w:rFonts w:ascii="Calibri" w:eastAsia="Times New Roman" w:hAnsi="Calibri" w:cs="Calibri"/>
                <w:sz w:val="16"/>
                <w:szCs w:val="16"/>
                <w:lang w:eastAsia="hr-HR"/>
              </w:rPr>
              <w:t>Povreda ravnopravnost čl. 125</w:t>
            </w:r>
          </w:p>
        </w:tc>
        <w:tc>
          <w:tcPr>
            <w:tcW w:w="538" w:type="dxa"/>
            <w:tcBorders>
              <w:top w:val="nil"/>
              <w:left w:val="nil"/>
              <w:bottom w:val="single" w:sz="4" w:space="0" w:color="auto"/>
              <w:right w:val="single" w:sz="4" w:space="0" w:color="auto"/>
            </w:tcBorders>
            <w:shd w:val="clear" w:color="000000" w:fill="CCFFCC"/>
            <w:textDirection w:val="btLr"/>
            <w:vAlign w:val="center"/>
            <w:hideMark/>
          </w:tcPr>
          <w:p w14:paraId="01497A42" w14:textId="77777777" w:rsidR="00B27DCD" w:rsidRPr="009F0A74" w:rsidRDefault="00B27DCD" w:rsidP="00B27DCD">
            <w:pPr>
              <w:spacing w:after="0" w:line="240" w:lineRule="auto"/>
              <w:jc w:val="center"/>
              <w:rPr>
                <w:rFonts w:ascii="Calibri" w:eastAsia="Times New Roman" w:hAnsi="Calibri" w:cs="Calibri"/>
                <w:sz w:val="16"/>
                <w:szCs w:val="16"/>
                <w:lang w:eastAsia="hr-HR"/>
              </w:rPr>
            </w:pPr>
            <w:r w:rsidRPr="009F0A74">
              <w:rPr>
                <w:rFonts w:ascii="Calibri" w:eastAsia="Times New Roman" w:hAnsi="Calibri" w:cs="Calibri"/>
                <w:sz w:val="16"/>
                <w:szCs w:val="16"/>
                <w:lang w:eastAsia="hr-HR"/>
              </w:rPr>
              <w:t>Povreda slobode izražavanja nacionalne pripadnosti čl. 126.</w:t>
            </w:r>
          </w:p>
        </w:tc>
        <w:tc>
          <w:tcPr>
            <w:tcW w:w="447" w:type="dxa"/>
            <w:tcBorders>
              <w:top w:val="nil"/>
              <w:left w:val="nil"/>
              <w:bottom w:val="single" w:sz="4" w:space="0" w:color="auto"/>
              <w:right w:val="single" w:sz="4" w:space="0" w:color="auto"/>
            </w:tcBorders>
            <w:shd w:val="clear" w:color="000000" w:fill="CCFFCC"/>
            <w:textDirection w:val="btLr"/>
            <w:vAlign w:val="center"/>
            <w:hideMark/>
          </w:tcPr>
          <w:p w14:paraId="7AE3F656" w14:textId="77777777" w:rsidR="00B27DCD" w:rsidRPr="009F0A74" w:rsidRDefault="00B27DCD" w:rsidP="00B27DCD">
            <w:pPr>
              <w:spacing w:after="0" w:line="240" w:lineRule="auto"/>
              <w:jc w:val="center"/>
              <w:rPr>
                <w:rFonts w:ascii="Calibri" w:eastAsia="Times New Roman" w:hAnsi="Calibri" w:cs="Calibri"/>
                <w:sz w:val="16"/>
                <w:szCs w:val="16"/>
                <w:lang w:eastAsia="hr-HR"/>
              </w:rPr>
            </w:pPr>
            <w:r w:rsidRPr="009F0A74">
              <w:rPr>
                <w:rFonts w:ascii="Calibri" w:eastAsia="Times New Roman" w:hAnsi="Calibri" w:cs="Calibri"/>
                <w:sz w:val="16"/>
                <w:szCs w:val="16"/>
                <w:lang w:eastAsia="hr-HR"/>
              </w:rPr>
              <w:t>Spolno uznemiravanje čl. 156.</w:t>
            </w:r>
          </w:p>
        </w:tc>
        <w:tc>
          <w:tcPr>
            <w:tcW w:w="447" w:type="dxa"/>
            <w:tcBorders>
              <w:top w:val="nil"/>
              <w:left w:val="nil"/>
              <w:bottom w:val="single" w:sz="4" w:space="0" w:color="auto"/>
              <w:right w:val="single" w:sz="4" w:space="0" w:color="auto"/>
            </w:tcBorders>
            <w:shd w:val="clear" w:color="000000" w:fill="CCFFCC"/>
            <w:textDirection w:val="btLr"/>
            <w:vAlign w:val="center"/>
            <w:hideMark/>
          </w:tcPr>
          <w:p w14:paraId="166E4293" w14:textId="77777777" w:rsidR="00B27DCD" w:rsidRPr="009F0A74" w:rsidRDefault="00B27DCD" w:rsidP="00B27DCD">
            <w:pPr>
              <w:spacing w:after="0" w:line="240" w:lineRule="auto"/>
              <w:jc w:val="center"/>
              <w:rPr>
                <w:rFonts w:ascii="Calibri" w:eastAsia="Times New Roman" w:hAnsi="Calibri" w:cs="Calibri"/>
                <w:sz w:val="16"/>
                <w:szCs w:val="16"/>
                <w:lang w:eastAsia="hr-HR"/>
              </w:rPr>
            </w:pPr>
            <w:r w:rsidRPr="009F0A74">
              <w:rPr>
                <w:rFonts w:ascii="Calibri" w:eastAsia="Times New Roman" w:hAnsi="Calibri" w:cs="Calibri"/>
                <w:sz w:val="16"/>
                <w:szCs w:val="16"/>
                <w:lang w:eastAsia="hr-HR"/>
              </w:rPr>
              <w:t>Javno poticanje na nasilje i mržnju čl. 325.</w:t>
            </w:r>
          </w:p>
        </w:tc>
        <w:tc>
          <w:tcPr>
            <w:tcW w:w="400" w:type="dxa"/>
            <w:tcBorders>
              <w:top w:val="nil"/>
              <w:left w:val="nil"/>
              <w:bottom w:val="single" w:sz="4" w:space="0" w:color="auto"/>
              <w:right w:val="single" w:sz="4" w:space="0" w:color="auto"/>
            </w:tcBorders>
            <w:shd w:val="clear" w:color="000000" w:fill="CCFFCC"/>
            <w:textDirection w:val="btLr"/>
            <w:vAlign w:val="center"/>
            <w:hideMark/>
          </w:tcPr>
          <w:p w14:paraId="1EFCADB0" w14:textId="77777777" w:rsidR="00B27DCD" w:rsidRPr="009F0A74" w:rsidRDefault="00B27DCD" w:rsidP="00B27DCD">
            <w:pPr>
              <w:spacing w:after="0" w:line="240" w:lineRule="auto"/>
              <w:jc w:val="center"/>
              <w:rPr>
                <w:rFonts w:ascii="Calibri" w:eastAsia="Times New Roman" w:hAnsi="Calibri" w:cs="Calibri"/>
                <w:sz w:val="16"/>
                <w:szCs w:val="16"/>
                <w:lang w:eastAsia="hr-HR"/>
              </w:rPr>
            </w:pPr>
            <w:r w:rsidRPr="009F0A74">
              <w:rPr>
                <w:rFonts w:ascii="Calibri" w:eastAsia="Times New Roman" w:hAnsi="Calibri" w:cs="Calibri"/>
                <w:sz w:val="16"/>
                <w:szCs w:val="16"/>
                <w:lang w:eastAsia="hr-HR"/>
              </w:rPr>
              <w:t>Ostalo</w:t>
            </w:r>
          </w:p>
        </w:tc>
        <w:tc>
          <w:tcPr>
            <w:tcW w:w="357" w:type="dxa"/>
            <w:gridSpan w:val="2"/>
            <w:tcBorders>
              <w:top w:val="nil"/>
              <w:left w:val="nil"/>
              <w:bottom w:val="single" w:sz="4" w:space="0" w:color="auto"/>
              <w:right w:val="single" w:sz="4" w:space="0" w:color="auto"/>
            </w:tcBorders>
            <w:shd w:val="clear" w:color="000000" w:fill="CCFFCC"/>
            <w:textDirection w:val="btLr"/>
            <w:vAlign w:val="center"/>
            <w:hideMark/>
          </w:tcPr>
          <w:p w14:paraId="5E9FF9D3" w14:textId="77777777" w:rsidR="00B27DCD" w:rsidRPr="009F0A74" w:rsidRDefault="00B27DCD" w:rsidP="00B27DCD">
            <w:pPr>
              <w:spacing w:after="0" w:line="240" w:lineRule="auto"/>
              <w:jc w:val="center"/>
              <w:rPr>
                <w:rFonts w:ascii="Calibri" w:eastAsia="Times New Roman" w:hAnsi="Calibri" w:cs="Calibri"/>
                <w:sz w:val="16"/>
                <w:szCs w:val="16"/>
                <w:lang w:eastAsia="hr-HR"/>
              </w:rPr>
            </w:pPr>
            <w:r w:rsidRPr="009F0A74">
              <w:rPr>
                <w:rFonts w:ascii="Calibri" w:eastAsia="Times New Roman" w:hAnsi="Calibri" w:cs="Calibri"/>
                <w:sz w:val="16"/>
                <w:szCs w:val="16"/>
                <w:lang w:eastAsia="hr-HR"/>
              </w:rPr>
              <w:t>OSUĐUJUĆA PRESUDA</w:t>
            </w:r>
          </w:p>
        </w:tc>
        <w:tc>
          <w:tcPr>
            <w:tcW w:w="447" w:type="dxa"/>
            <w:tcBorders>
              <w:top w:val="nil"/>
              <w:left w:val="nil"/>
              <w:bottom w:val="single" w:sz="4" w:space="0" w:color="auto"/>
              <w:right w:val="single" w:sz="4" w:space="0" w:color="auto"/>
            </w:tcBorders>
            <w:shd w:val="clear" w:color="000000" w:fill="CCFFCC"/>
            <w:textDirection w:val="btLr"/>
            <w:vAlign w:val="center"/>
            <w:hideMark/>
          </w:tcPr>
          <w:p w14:paraId="3A3FF908" w14:textId="77777777" w:rsidR="00B27DCD" w:rsidRPr="009F0A74" w:rsidRDefault="00B27DCD" w:rsidP="00B27DCD">
            <w:pPr>
              <w:spacing w:after="0" w:line="240" w:lineRule="auto"/>
              <w:jc w:val="center"/>
              <w:rPr>
                <w:rFonts w:ascii="Calibri" w:eastAsia="Times New Roman" w:hAnsi="Calibri" w:cs="Calibri"/>
                <w:sz w:val="16"/>
                <w:szCs w:val="16"/>
                <w:lang w:eastAsia="hr-HR"/>
              </w:rPr>
            </w:pPr>
            <w:r w:rsidRPr="009F0A74">
              <w:rPr>
                <w:rFonts w:ascii="Calibri" w:eastAsia="Times New Roman" w:hAnsi="Calibri" w:cs="Calibri"/>
                <w:sz w:val="16"/>
                <w:szCs w:val="16"/>
                <w:lang w:eastAsia="hr-HR"/>
              </w:rPr>
              <w:t>OSLOBAĐAJUĆA PRESUDA</w:t>
            </w:r>
          </w:p>
        </w:tc>
        <w:tc>
          <w:tcPr>
            <w:tcW w:w="447" w:type="dxa"/>
            <w:tcBorders>
              <w:top w:val="nil"/>
              <w:left w:val="nil"/>
              <w:bottom w:val="single" w:sz="4" w:space="0" w:color="auto"/>
              <w:right w:val="single" w:sz="4" w:space="0" w:color="auto"/>
            </w:tcBorders>
            <w:shd w:val="clear" w:color="000000" w:fill="CCFFCC"/>
            <w:textDirection w:val="btLr"/>
            <w:vAlign w:val="center"/>
            <w:hideMark/>
          </w:tcPr>
          <w:p w14:paraId="43417887" w14:textId="77777777" w:rsidR="00B27DCD" w:rsidRPr="009F0A74" w:rsidRDefault="00B27DCD" w:rsidP="00B27DCD">
            <w:pPr>
              <w:spacing w:after="0" w:line="240" w:lineRule="auto"/>
              <w:jc w:val="center"/>
              <w:rPr>
                <w:rFonts w:ascii="Calibri" w:eastAsia="Times New Roman" w:hAnsi="Calibri" w:cs="Calibri"/>
                <w:sz w:val="16"/>
                <w:szCs w:val="16"/>
                <w:lang w:eastAsia="hr-HR"/>
              </w:rPr>
            </w:pPr>
            <w:r w:rsidRPr="009F0A74">
              <w:rPr>
                <w:rFonts w:ascii="Calibri" w:eastAsia="Times New Roman" w:hAnsi="Calibri" w:cs="Calibri"/>
                <w:sz w:val="16"/>
                <w:szCs w:val="16"/>
                <w:lang w:eastAsia="hr-HR"/>
              </w:rPr>
              <w:t>NA DRUGI NAČIN</w:t>
            </w:r>
          </w:p>
        </w:tc>
        <w:tc>
          <w:tcPr>
            <w:tcW w:w="446" w:type="dxa"/>
            <w:tcBorders>
              <w:top w:val="nil"/>
              <w:left w:val="nil"/>
              <w:bottom w:val="single" w:sz="4" w:space="0" w:color="auto"/>
              <w:right w:val="single" w:sz="4" w:space="0" w:color="auto"/>
            </w:tcBorders>
            <w:shd w:val="clear" w:color="000000" w:fill="CCFFCC"/>
            <w:textDirection w:val="btLr"/>
            <w:vAlign w:val="center"/>
            <w:hideMark/>
          </w:tcPr>
          <w:p w14:paraId="41B9BDF7" w14:textId="77777777" w:rsidR="00B27DCD" w:rsidRPr="009F0A74" w:rsidRDefault="00B27DCD" w:rsidP="00B27DCD">
            <w:pPr>
              <w:spacing w:after="0" w:line="240" w:lineRule="auto"/>
              <w:jc w:val="center"/>
              <w:rPr>
                <w:rFonts w:ascii="Tahoma" w:eastAsia="Times New Roman" w:hAnsi="Tahoma" w:cs="Tahoma"/>
                <w:b/>
                <w:bCs/>
                <w:sz w:val="16"/>
                <w:szCs w:val="16"/>
                <w:lang w:eastAsia="hr-HR"/>
              </w:rPr>
            </w:pPr>
            <w:r w:rsidRPr="009F0A74">
              <w:rPr>
                <w:rFonts w:ascii="Tahoma" w:eastAsia="Times New Roman" w:hAnsi="Tahoma" w:cs="Tahoma"/>
                <w:b/>
                <w:bCs/>
                <w:sz w:val="16"/>
                <w:szCs w:val="16"/>
                <w:lang w:eastAsia="hr-HR"/>
              </w:rPr>
              <w:t>Ukupno pravomoćno riješeno</w:t>
            </w:r>
          </w:p>
        </w:tc>
        <w:tc>
          <w:tcPr>
            <w:tcW w:w="447" w:type="dxa"/>
            <w:gridSpan w:val="2"/>
            <w:tcBorders>
              <w:top w:val="nil"/>
              <w:left w:val="nil"/>
              <w:bottom w:val="single" w:sz="4" w:space="0" w:color="auto"/>
              <w:right w:val="single" w:sz="4" w:space="0" w:color="auto"/>
            </w:tcBorders>
            <w:shd w:val="clear" w:color="000000" w:fill="CCFFCC"/>
            <w:textDirection w:val="btLr"/>
            <w:vAlign w:val="center"/>
            <w:hideMark/>
          </w:tcPr>
          <w:p w14:paraId="0DB98E4A" w14:textId="77777777" w:rsidR="00B27DCD" w:rsidRPr="009F0A74" w:rsidRDefault="00B27DCD" w:rsidP="00B27DCD">
            <w:pPr>
              <w:spacing w:after="0" w:line="240" w:lineRule="auto"/>
              <w:jc w:val="center"/>
              <w:rPr>
                <w:rFonts w:ascii="Calibri" w:eastAsia="Times New Roman" w:hAnsi="Calibri" w:cs="Calibri"/>
                <w:sz w:val="16"/>
                <w:szCs w:val="16"/>
                <w:lang w:eastAsia="hr-HR"/>
              </w:rPr>
            </w:pPr>
            <w:r w:rsidRPr="009F0A74">
              <w:rPr>
                <w:rFonts w:ascii="Calibri" w:eastAsia="Times New Roman" w:hAnsi="Calibri" w:cs="Calibri"/>
                <w:sz w:val="16"/>
                <w:szCs w:val="16"/>
                <w:lang w:eastAsia="hr-HR"/>
              </w:rPr>
              <w:t>Kazna zatvora</w:t>
            </w:r>
          </w:p>
        </w:tc>
        <w:tc>
          <w:tcPr>
            <w:tcW w:w="447" w:type="dxa"/>
            <w:tcBorders>
              <w:top w:val="nil"/>
              <w:left w:val="nil"/>
              <w:bottom w:val="single" w:sz="4" w:space="0" w:color="auto"/>
              <w:right w:val="single" w:sz="4" w:space="0" w:color="auto"/>
            </w:tcBorders>
            <w:shd w:val="clear" w:color="000000" w:fill="CCFFCC"/>
            <w:textDirection w:val="btLr"/>
            <w:vAlign w:val="center"/>
            <w:hideMark/>
          </w:tcPr>
          <w:p w14:paraId="22947364" w14:textId="77777777" w:rsidR="00B27DCD" w:rsidRPr="009F0A74" w:rsidRDefault="00B27DCD" w:rsidP="00B27DCD">
            <w:pPr>
              <w:spacing w:after="0" w:line="240" w:lineRule="auto"/>
              <w:jc w:val="center"/>
              <w:rPr>
                <w:rFonts w:ascii="Calibri" w:eastAsia="Times New Roman" w:hAnsi="Calibri" w:cs="Calibri"/>
                <w:sz w:val="16"/>
                <w:szCs w:val="16"/>
                <w:lang w:eastAsia="hr-HR"/>
              </w:rPr>
            </w:pPr>
            <w:r w:rsidRPr="009F0A74">
              <w:rPr>
                <w:rFonts w:ascii="Calibri" w:eastAsia="Times New Roman" w:hAnsi="Calibri" w:cs="Calibri"/>
                <w:sz w:val="16"/>
                <w:szCs w:val="16"/>
                <w:lang w:eastAsia="hr-HR"/>
              </w:rPr>
              <w:t xml:space="preserve">Uvjetna osuda </w:t>
            </w:r>
          </w:p>
        </w:tc>
        <w:tc>
          <w:tcPr>
            <w:tcW w:w="447" w:type="dxa"/>
            <w:tcBorders>
              <w:top w:val="nil"/>
              <w:left w:val="nil"/>
              <w:bottom w:val="single" w:sz="4" w:space="0" w:color="auto"/>
              <w:right w:val="single" w:sz="4" w:space="0" w:color="auto"/>
            </w:tcBorders>
            <w:shd w:val="clear" w:color="000000" w:fill="CCFFCC"/>
            <w:textDirection w:val="btLr"/>
            <w:vAlign w:val="center"/>
            <w:hideMark/>
          </w:tcPr>
          <w:p w14:paraId="341B9A3F" w14:textId="77777777" w:rsidR="00B27DCD" w:rsidRPr="009F0A74" w:rsidRDefault="00B27DCD" w:rsidP="00B27DCD">
            <w:pPr>
              <w:spacing w:after="0" w:line="240" w:lineRule="auto"/>
              <w:jc w:val="center"/>
              <w:rPr>
                <w:rFonts w:ascii="Calibri" w:eastAsia="Times New Roman" w:hAnsi="Calibri" w:cs="Calibri"/>
                <w:sz w:val="16"/>
                <w:szCs w:val="16"/>
                <w:lang w:eastAsia="hr-HR"/>
              </w:rPr>
            </w:pPr>
            <w:r w:rsidRPr="009F0A74">
              <w:rPr>
                <w:rFonts w:ascii="Calibri" w:eastAsia="Times New Roman" w:hAnsi="Calibri" w:cs="Calibri"/>
                <w:sz w:val="16"/>
                <w:szCs w:val="16"/>
                <w:lang w:eastAsia="hr-HR"/>
              </w:rPr>
              <w:t>Rad za opće dobro</w:t>
            </w:r>
          </w:p>
        </w:tc>
        <w:tc>
          <w:tcPr>
            <w:tcW w:w="446" w:type="dxa"/>
            <w:tcBorders>
              <w:top w:val="nil"/>
              <w:left w:val="nil"/>
              <w:bottom w:val="single" w:sz="4" w:space="0" w:color="auto"/>
              <w:right w:val="single" w:sz="4" w:space="0" w:color="auto"/>
            </w:tcBorders>
            <w:shd w:val="clear" w:color="000000" w:fill="CCFFCC"/>
            <w:textDirection w:val="btLr"/>
            <w:vAlign w:val="center"/>
            <w:hideMark/>
          </w:tcPr>
          <w:p w14:paraId="21F93157" w14:textId="77777777" w:rsidR="00B27DCD" w:rsidRPr="009F0A74" w:rsidRDefault="00B27DCD" w:rsidP="00B27DCD">
            <w:pPr>
              <w:spacing w:after="0" w:line="240" w:lineRule="auto"/>
              <w:jc w:val="center"/>
              <w:rPr>
                <w:rFonts w:ascii="Tahoma" w:eastAsia="Times New Roman" w:hAnsi="Tahoma" w:cs="Tahoma"/>
                <w:b/>
                <w:bCs/>
                <w:sz w:val="16"/>
                <w:szCs w:val="16"/>
                <w:lang w:eastAsia="hr-HR"/>
              </w:rPr>
            </w:pPr>
            <w:r w:rsidRPr="009F0A74">
              <w:rPr>
                <w:rFonts w:ascii="Tahoma" w:eastAsia="Times New Roman" w:hAnsi="Tahoma" w:cs="Tahoma"/>
                <w:b/>
                <w:bCs/>
                <w:sz w:val="16"/>
                <w:szCs w:val="16"/>
                <w:lang w:eastAsia="hr-HR"/>
              </w:rPr>
              <w:t>Ukupno</w:t>
            </w:r>
          </w:p>
        </w:tc>
        <w:tc>
          <w:tcPr>
            <w:tcW w:w="524" w:type="dxa"/>
            <w:gridSpan w:val="2"/>
            <w:tcBorders>
              <w:top w:val="nil"/>
              <w:left w:val="single" w:sz="4" w:space="0" w:color="auto"/>
              <w:bottom w:val="single" w:sz="4" w:space="0" w:color="000000"/>
              <w:right w:val="single" w:sz="4" w:space="0" w:color="auto"/>
            </w:tcBorders>
            <w:vAlign w:val="center"/>
            <w:hideMark/>
          </w:tcPr>
          <w:p w14:paraId="6FE690E6" w14:textId="77777777" w:rsidR="00B27DCD" w:rsidRPr="009F0A74" w:rsidRDefault="00B27DCD" w:rsidP="00B27DCD">
            <w:pPr>
              <w:spacing w:after="0" w:line="240" w:lineRule="auto"/>
              <w:rPr>
                <w:rFonts w:ascii="Calibri" w:eastAsia="Times New Roman" w:hAnsi="Calibri" w:cs="Calibri"/>
                <w:b/>
                <w:bCs/>
                <w:sz w:val="16"/>
                <w:szCs w:val="16"/>
                <w:lang w:eastAsia="hr-HR"/>
              </w:rPr>
            </w:pPr>
          </w:p>
        </w:tc>
        <w:tc>
          <w:tcPr>
            <w:tcW w:w="425" w:type="dxa"/>
            <w:gridSpan w:val="2"/>
            <w:tcBorders>
              <w:top w:val="nil"/>
              <w:left w:val="single" w:sz="4" w:space="0" w:color="auto"/>
              <w:bottom w:val="single" w:sz="4" w:space="0" w:color="000000"/>
              <w:right w:val="single" w:sz="4" w:space="0" w:color="auto"/>
            </w:tcBorders>
            <w:vAlign w:val="center"/>
            <w:hideMark/>
          </w:tcPr>
          <w:p w14:paraId="7B51AD87" w14:textId="77777777" w:rsidR="00B27DCD" w:rsidRPr="009F0A74" w:rsidRDefault="00B27DCD" w:rsidP="00B27DCD">
            <w:pPr>
              <w:spacing w:after="0" w:line="240" w:lineRule="auto"/>
              <w:rPr>
                <w:rFonts w:ascii="Calibri" w:eastAsia="Times New Roman" w:hAnsi="Calibri" w:cs="Calibri"/>
                <w:b/>
                <w:bCs/>
                <w:sz w:val="16"/>
                <w:szCs w:val="16"/>
                <w:lang w:eastAsia="hr-HR"/>
              </w:rPr>
            </w:pPr>
          </w:p>
        </w:tc>
        <w:tc>
          <w:tcPr>
            <w:tcW w:w="501" w:type="dxa"/>
            <w:gridSpan w:val="2"/>
            <w:tcBorders>
              <w:top w:val="nil"/>
              <w:left w:val="nil"/>
              <w:bottom w:val="single" w:sz="4" w:space="0" w:color="auto"/>
              <w:right w:val="single" w:sz="4" w:space="0" w:color="auto"/>
            </w:tcBorders>
            <w:shd w:val="clear" w:color="000000" w:fill="CCFFCC"/>
            <w:textDirection w:val="btLr"/>
            <w:vAlign w:val="center"/>
            <w:hideMark/>
          </w:tcPr>
          <w:p w14:paraId="077B1C7E" w14:textId="77777777" w:rsidR="00B27DCD" w:rsidRPr="009F0A74" w:rsidRDefault="00B27DCD" w:rsidP="00B27DCD">
            <w:pPr>
              <w:spacing w:after="0" w:line="240" w:lineRule="auto"/>
              <w:jc w:val="center"/>
              <w:rPr>
                <w:rFonts w:ascii="Tahoma" w:eastAsia="Times New Roman" w:hAnsi="Tahoma" w:cs="Tahoma"/>
                <w:sz w:val="16"/>
                <w:szCs w:val="16"/>
                <w:lang w:eastAsia="hr-HR"/>
              </w:rPr>
            </w:pPr>
            <w:r w:rsidRPr="009F0A74">
              <w:rPr>
                <w:rFonts w:ascii="Tahoma" w:eastAsia="Times New Roman" w:hAnsi="Tahoma" w:cs="Tahoma"/>
                <w:sz w:val="16"/>
                <w:szCs w:val="16"/>
                <w:lang w:eastAsia="hr-HR"/>
              </w:rPr>
              <w:t xml:space="preserve">Žene </w:t>
            </w:r>
          </w:p>
        </w:tc>
        <w:tc>
          <w:tcPr>
            <w:tcW w:w="425" w:type="dxa"/>
            <w:tcBorders>
              <w:top w:val="nil"/>
              <w:left w:val="nil"/>
              <w:bottom w:val="single" w:sz="4" w:space="0" w:color="auto"/>
              <w:right w:val="single" w:sz="4" w:space="0" w:color="auto"/>
            </w:tcBorders>
            <w:shd w:val="clear" w:color="000000" w:fill="CCFFCC"/>
            <w:textDirection w:val="btLr"/>
            <w:vAlign w:val="center"/>
            <w:hideMark/>
          </w:tcPr>
          <w:p w14:paraId="1900B869" w14:textId="77777777" w:rsidR="00B27DCD" w:rsidRPr="009F0A74" w:rsidRDefault="00B27DCD" w:rsidP="00B27DCD">
            <w:pPr>
              <w:spacing w:after="0" w:line="240" w:lineRule="auto"/>
              <w:jc w:val="center"/>
              <w:rPr>
                <w:rFonts w:ascii="Tahoma" w:eastAsia="Times New Roman" w:hAnsi="Tahoma" w:cs="Tahoma"/>
                <w:sz w:val="16"/>
                <w:szCs w:val="16"/>
                <w:lang w:eastAsia="hr-HR"/>
              </w:rPr>
            </w:pPr>
            <w:r w:rsidRPr="009F0A74">
              <w:rPr>
                <w:rFonts w:ascii="Tahoma" w:eastAsia="Times New Roman" w:hAnsi="Tahoma" w:cs="Tahoma"/>
                <w:sz w:val="16"/>
                <w:szCs w:val="16"/>
                <w:lang w:eastAsia="hr-HR"/>
              </w:rPr>
              <w:t>Muškarci</w:t>
            </w:r>
          </w:p>
        </w:tc>
        <w:tc>
          <w:tcPr>
            <w:tcW w:w="426" w:type="dxa"/>
            <w:tcBorders>
              <w:top w:val="nil"/>
              <w:left w:val="nil"/>
              <w:bottom w:val="single" w:sz="4" w:space="0" w:color="auto"/>
              <w:right w:val="single" w:sz="4" w:space="0" w:color="auto"/>
            </w:tcBorders>
            <w:shd w:val="clear" w:color="000000" w:fill="CCFFCC"/>
            <w:textDirection w:val="btLr"/>
            <w:vAlign w:val="center"/>
            <w:hideMark/>
          </w:tcPr>
          <w:p w14:paraId="4BAF552F" w14:textId="77777777" w:rsidR="00B27DCD" w:rsidRPr="009F0A74" w:rsidRDefault="00B27DCD" w:rsidP="00B27DCD">
            <w:pPr>
              <w:spacing w:after="0" w:line="240" w:lineRule="auto"/>
              <w:jc w:val="center"/>
              <w:rPr>
                <w:rFonts w:ascii="Tahoma" w:eastAsia="Times New Roman" w:hAnsi="Tahoma" w:cs="Tahoma"/>
                <w:sz w:val="16"/>
                <w:szCs w:val="16"/>
                <w:lang w:eastAsia="hr-HR"/>
              </w:rPr>
            </w:pPr>
            <w:r w:rsidRPr="009F0A74">
              <w:rPr>
                <w:rFonts w:ascii="Tahoma" w:eastAsia="Times New Roman" w:hAnsi="Tahoma" w:cs="Tahoma"/>
                <w:sz w:val="16"/>
                <w:szCs w:val="16"/>
                <w:lang w:eastAsia="hr-HR"/>
              </w:rPr>
              <w:t>Ostalo</w:t>
            </w:r>
          </w:p>
        </w:tc>
        <w:tc>
          <w:tcPr>
            <w:tcW w:w="818" w:type="dxa"/>
            <w:gridSpan w:val="2"/>
            <w:tcBorders>
              <w:top w:val="nil"/>
              <w:left w:val="nil"/>
              <w:bottom w:val="single" w:sz="4" w:space="0" w:color="auto"/>
              <w:right w:val="single" w:sz="4" w:space="0" w:color="auto"/>
            </w:tcBorders>
            <w:shd w:val="clear" w:color="000000" w:fill="CCFFCC"/>
            <w:textDirection w:val="btLr"/>
            <w:vAlign w:val="center"/>
            <w:hideMark/>
          </w:tcPr>
          <w:p w14:paraId="2063B907" w14:textId="77777777" w:rsidR="00B27DCD" w:rsidRPr="009F0A74" w:rsidRDefault="00B27DCD" w:rsidP="00B27DCD">
            <w:pPr>
              <w:spacing w:after="0" w:line="240" w:lineRule="auto"/>
              <w:jc w:val="center"/>
              <w:rPr>
                <w:rFonts w:ascii="Calibri" w:eastAsia="Times New Roman" w:hAnsi="Calibri" w:cs="Calibri"/>
                <w:b/>
                <w:bCs/>
                <w:sz w:val="16"/>
                <w:szCs w:val="16"/>
                <w:lang w:eastAsia="hr-HR"/>
              </w:rPr>
            </w:pPr>
            <w:r w:rsidRPr="009F0A74">
              <w:rPr>
                <w:rFonts w:ascii="Calibri" w:eastAsia="Times New Roman" w:hAnsi="Calibri" w:cs="Calibri"/>
                <w:b/>
                <w:bCs/>
                <w:sz w:val="16"/>
                <w:szCs w:val="16"/>
                <w:lang w:eastAsia="hr-HR"/>
              </w:rPr>
              <w:t xml:space="preserve"> DO 12 MJESECI</w:t>
            </w:r>
          </w:p>
        </w:tc>
        <w:tc>
          <w:tcPr>
            <w:tcW w:w="818" w:type="dxa"/>
            <w:gridSpan w:val="2"/>
            <w:tcBorders>
              <w:top w:val="nil"/>
              <w:left w:val="nil"/>
              <w:bottom w:val="single" w:sz="4" w:space="0" w:color="auto"/>
              <w:right w:val="single" w:sz="8" w:space="0" w:color="auto"/>
            </w:tcBorders>
            <w:shd w:val="clear" w:color="000000" w:fill="CCFFCC"/>
            <w:textDirection w:val="btLr"/>
            <w:vAlign w:val="center"/>
            <w:hideMark/>
          </w:tcPr>
          <w:p w14:paraId="2CBE09ED" w14:textId="77777777" w:rsidR="00B27DCD" w:rsidRPr="009F0A74" w:rsidRDefault="00B27DCD" w:rsidP="00B27DCD">
            <w:pPr>
              <w:spacing w:after="0" w:line="240" w:lineRule="auto"/>
              <w:jc w:val="center"/>
              <w:rPr>
                <w:rFonts w:ascii="Calibri" w:eastAsia="Times New Roman" w:hAnsi="Calibri" w:cs="Calibri"/>
                <w:b/>
                <w:bCs/>
                <w:sz w:val="16"/>
                <w:szCs w:val="16"/>
                <w:lang w:eastAsia="hr-HR"/>
              </w:rPr>
            </w:pPr>
            <w:r w:rsidRPr="009F0A74">
              <w:rPr>
                <w:rFonts w:ascii="Calibri" w:eastAsia="Times New Roman" w:hAnsi="Calibri" w:cs="Calibri"/>
                <w:b/>
                <w:bCs/>
                <w:sz w:val="16"/>
                <w:szCs w:val="16"/>
                <w:lang w:eastAsia="hr-HR"/>
              </w:rPr>
              <w:t>PREKO 12 MJESECI</w:t>
            </w:r>
          </w:p>
        </w:tc>
        <w:tc>
          <w:tcPr>
            <w:tcW w:w="236" w:type="dxa"/>
            <w:gridSpan w:val="3"/>
            <w:vAlign w:val="center"/>
            <w:hideMark/>
          </w:tcPr>
          <w:p w14:paraId="118F8E69" w14:textId="77777777" w:rsidR="00B27DCD" w:rsidRPr="009F0A74" w:rsidRDefault="00B27DCD" w:rsidP="00B27DCD">
            <w:pPr>
              <w:spacing w:after="0" w:line="240" w:lineRule="auto"/>
              <w:rPr>
                <w:rFonts w:ascii="Times New Roman" w:eastAsia="Times New Roman" w:hAnsi="Times New Roman" w:cs="Times New Roman"/>
                <w:sz w:val="16"/>
                <w:szCs w:val="16"/>
                <w:lang w:eastAsia="hr-HR"/>
              </w:rPr>
            </w:pPr>
          </w:p>
        </w:tc>
      </w:tr>
      <w:tr w:rsidR="009F0A74" w:rsidRPr="009F0A74" w14:paraId="1C549B02" w14:textId="77777777" w:rsidTr="009F0A74">
        <w:trPr>
          <w:trHeight w:val="300"/>
        </w:trPr>
        <w:tc>
          <w:tcPr>
            <w:tcW w:w="840" w:type="dxa"/>
            <w:tcBorders>
              <w:top w:val="single" w:sz="4" w:space="0" w:color="auto"/>
              <w:left w:val="single" w:sz="8" w:space="0" w:color="auto"/>
              <w:bottom w:val="single" w:sz="4" w:space="0" w:color="auto"/>
              <w:right w:val="single" w:sz="4" w:space="0" w:color="000000"/>
            </w:tcBorders>
            <w:shd w:val="clear" w:color="000000" w:fill="CCFFCC"/>
            <w:vAlign w:val="center"/>
            <w:hideMark/>
          </w:tcPr>
          <w:p w14:paraId="64995545" w14:textId="77777777" w:rsidR="00B27DCD" w:rsidRPr="009F0A74" w:rsidRDefault="00B27DCD" w:rsidP="00B27DCD">
            <w:pPr>
              <w:spacing w:after="0" w:line="240" w:lineRule="auto"/>
              <w:jc w:val="center"/>
              <w:rPr>
                <w:rFonts w:ascii="Calibri" w:eastAsia="Times New Roman" w:hAnsi="Calibri" w:cs="Calibri"/>
                <w:sz w:val="16"/>
                <w:szCs w:val="16"/>
                <w:lang w:eastAsia="hr-HR"/>
              </w:rPr>
            </w:pPr>
            <w:r w:rsidRPr="009F0A74">
              <w:rPr>
                <w:rFonts w:ascii="Calibri" w:eastAsia="Times New Roman" w:hAnsi="Calibri" w:cs="Calibri"/>
                <w:sz w:val="16"/>
                <w:szCs w:val="16"/>
                <w:lang w:eastAsia="hr-HR"/>
              </w:rPr>
              <w:t>1.</w:t>
            </w:r>
          </w:p>
        </w:tc>
        <w:tc>
          <w:tcPr>
            <w:tcW w:w="540" w:type="dxa"/>
            <w:tcBorders>
              <w:top w:val="nil"/>
              <w:left w:val="nil"/>
              <w:bottom w:val="single" w:sz="4" w:space="0" w:color="auto"/>
              <w:right w:val="single" w:sz="4" w:space="0" w:color="auto"/>
            </w:tcBorders>
            <w:shd w:val="clear" w:color="000000" w:fill="CCFFCC"/>
            <w:vAlign w:val="center"/>
            <w:hideMark/>
          </w:tcPr>
          <w:p w14:paraId="696912BA" w14:textId="77777777" w:rsidR="00B27DCD" w:rsidRPr="009F0A74" w:rsidRDefault="00B27DCD" w:rsidP="00B27DCD">
            <w:pPr>
              <w:spacing w:after="0" w:line="240" w:lineRule="auto"/>
              <w:jc w:val="center"/>
              <w:rPr>
                <w:rFonts w:ascii="Calibri" w:eastAsia="Times New Roman" w:hAnsi="Calibri" w:cs="Calibri"/>
                <w:b/>
                <w:bCs/>
                <w:sz w:val="16"/>
                <w:szCs w:val="16"/>
                <w:lang w:eastAsia="hr-HR"/>
              </w:rPr>
            </w:pPr>
            <w:r w:rsidRPr="009F0A74">
              <w:rPr>
                <w:rFonts w:ascii="Calibri" w:eastAsia="Times New Roman" w:hAnsi="Calibri" w:cs="Calibri"/>
                <w:b/>
                <w:bCs/>
                <w:sz w:val="16"/>
                <w:szCs w:val="16"/>
                <w:lang w:eastAsia="hr-HR"/>
              </w:rPr>
              <w:t>2.</w:t>
            </w:r>
          </w:p>
        </w:tc>
        <w:tc>
          <w:tcPr>
            <w:tcW w:w="444" w:type="dxa"/>
            <w:tcBorders>
              <w:top w:val="nil"/>
              <w:left w:val="nil"/>
              <w:bottom w:val="single" w:sz="4" w:space="0" w:color="auto"/>
              <w:right w:val="single" w:sz="4" w:space="0" w:color="auto"/>
            </w:tcBorders>
            <w:shd w:val="clear" w:color="000000" w:fill="CCFFCC"/>
            <w:vAlign w:val="center"/>
            <w:hideMark/>
          </w:tcPr>
          <w:p w14:paraId="7F006187" w14:textId="77777777" w:rsidR="00B27DCD" w:rsidRPr="009F0A74" w:rsidRDefault="00B27DCD" w:rsidP="00B27DCD">
            <w:pPr>
              <w:spacing w:after="0" w:line="240" w:lineRule="auto"/>
              <w:jc w:val="center"/>
              <w:rPr>
                <w:rFonts w:ascii="Calibri" w:eastAsia="Times New Roman" w:hAnsi="Calibri" w:cs="Calibri"/>
                <w:b/>
                <w:bCs/>
                <w:sz w:val="16"/>
                <w:szCs w:val="16"/>
                <w:lang w:eastAsia="hr-HR"/>
              </w:rPr>
            </w:pPr>
            <w:r w:rsidRPr="009F0A74">
              <w:rPr>
                <w:rFonts w:ascii="Calibri" w:eastAsia="Times New Roman" w:hAnsi="Calibri" w:cs="Calibri"/>
                <w:b/>
                <w:bCs/>
                <w:sz w:val="16"/>
                <w:szCs w:val="16"/>
                <w:lang w:eastAsia="hr-HR"/>
              </w:rPr>
              <w:t>3.</w:t>
            </w:r>
          </w:p>
        </w:tc>
        <w:tc>
          <w:tcPr>
            <w:tcW w:w="433" w:type="dxa"/>
            <w:tcBorders>
              <w:top w:val="single" w:sz="4" w:space="0" w:color="auto"/>
              <w:left w:val="nil"/>
              <w:bottom w:val="single" w:sz="4" w:space="0" w:color="auto"/>
              <w:right w:val="single" w:sz="4" w:space="0" w:color="auto"/>
            </w:tcBorders>
            <w:shd w:val="clear" w:color="000000" w:fill="CCFFCC"/>
            <w:vAlign w:val="center"/>
            <w:hideMark/>
          </w:tcPr>
          <w:p w14:paraId="4CAA70D4" w14:textId="77777777" w:rsidR="00B27DCD" w:rsidRPr="009F0A74" w:rsidRDefault="00B27DCD" w:rsidP="00B27DCD">
            <w:pPr>
              <w:spacing w:after="0" w:line="240" w:lineRule="auto"/>
              <w:jc w:val="center"/>
              <w:rPr>
                <w:rFonts w:ascii="Calibri" w:eastAsia="Times New Roman" w:hAnsi="Calibri" w:cs="Calibri"/>
                <w:b/>
                <w:bCs/>
                <w:sz w:val="16"/>
                <w:szCs w:val="16"/>
                <w:lang w:eastAsia="hr-HR"/>
              </w:rPr>
            </w:pPr>
            <w:r w:rsidRPr="009F0A74">
              <w:rPr>
                <w:rFonts w:ascii="Calibri" w:eastAsia="Times New Roman" w:hAnsi="Calibri" w:cs="Calibri"/>
                <w:b/>
                <w:bCs/>
                <w:sz w:val="16"/>
                <w:szCs w:val="16"/>
                <w:lang w:eastAsia="hr-HR"/>
              </w:rPr>
              <w:t>4.</w:t>
            </w:r>
          </w:p>
        </w:tc>
        <w:tc>
          <w:tcPr>
            <w:tcW w:w="324" w:type="dxa"/>
            <w:tcBorders>
              <w:top w:val="single" w:sz="4" w:space="0" w:color="auto"/>
              <w:left w:val="nil"/>
              <w:bottom w:val="single" w:sz="4" w:space="0" w:color="auto"/>
              <w:right w:val="single" w:sz="4" w:space="0" w:color="auto"/>
            </w:tcBorders>
            <w:shd w:val="clear" w:color="000000" w:fill="CCFFCC"/>
            <w:vAlign w:val="center"/>
            <w:hideMark/>
          </w:tcPr>
          <w:p w14:paraId="41B7475D" w14:textId="77777777" w:rsidR="00B27DCD" w:rsidRPr="009F0A74" w:rsidRDefault="00B27DCD" w:rsidP="00B27DCD">
            <w:pPr>
              <w:spacing w:after="0" w:line="240" w:lineRule="auto"/>
              <w:jc w:val="center"/>
              <w:rPr>
                <w:rFonts w:ascii="Calibri" w:eastAsia="Times New Roman" w:hAnsi="Calibri" w:cs="Calibri"/>
                <w:b/>
                <w:bCs/>
                <w:sz w:val="16"/>
                <w:szCs w:val="16"/>
                <w:lang w:eastAsia="hr-HR"/>
              </w:rPr>
            </w:pPr>
            <w:r w:rsidRPr="009F0A74">
              <w:rPr>
                <w:rFonts w:ascii="Calibri" w:eastAsia="Times New Roman" w:hAnsi="Calibri" w:cs="Calibri"/>
                <w:b/>
                <w:bCs/>
                <w:sz w:val="16"/>
                <w:szCs w:val="16"/>
                <w:lang w:eastAsia="hr-HR"/>
              </w:rPr>
              <w:t>5.</w:t>
            </w:r>
          </w:p>
        </w:tc>
        <w:tc>
          <w:tcPr>
            <w:tcW w:w="385" w:type="dxa"/>
            <w:gridSpan w:val="2"/>
            <w:tcBorders>
              <w:top w:val="nil"/>
              <w:left w:val="nil"/>
              <w:bottom w:val="single" w:sz="4" w:space="0" w:color="auto"/>
              <w:right w:val="single" w:sz="4" w:space="0" w:color="auto"/>
            </w:tcBorders>
            <w:shd w:val="clear" w:color="000000" w:fill="CCFFCC"/>
            <w:vAlign w:val="center"/>
            <w:hideMark/>
          </w:tcPr>
          <w:p w14:paraId="2F39862A" w14:textId="77777777" w:rsidR="00B27DCD" w:rsidRPr="009F0A74" w:rsidRDefault="00B27DCD" w:rsidP="00B27DCD">
            <w:pPr>
              <w:spacing w:after="0" w:line="240" w:lineRule="auto"/>
              <w:jc w:val="center"/>
              <w:rPr>
                <w:rFonts w:ascii="Calibri" w:eastAsia="Times New Roman" w:hAnsi="Calibri" w:cs="Calibri"/>
                <w:b/>
                <w:bCs/>
                <w:sz w:val="16"/>
                <w:szCs w:val="16"/>
                <w:lang w:eastAsia="hr-HR"/>
              </w:rPr>
            </w:pPr>
            <w:r w:rsidRPr="009F0A74">
              <w:rPr>
                <w:rFonts w:ascii="Calibri" w:eastAsia="Times New Roman" w:hAnsi="Calibri" w:cs="Calibri"/>
                <w:b/>
                <w:bCs/>
                <w:sz w:val="16"/>
                <w:szCs w:val="16"/>
                <w:lang w:eastAsia="hr-HR"/>
              </w:rPr>
              <w:t>6.</w:t>
            </w:r>
          </w:p>
        </w:tc>
        <w:tc>
          <w:tcPr>
            <w:tcW w:w="334" w:type="dxa"/>
            <w:tcBorders>
              <w:top w:val="nil"/>
              <w:left w:val="nil"/>
              <w:bottom w:val="single" w:sz="4" w:space="0" w:color="auto"/>
              <w:right w:val="single" w:sz="4" w:space="0" w:color="auto"/>
            </w:tcBorders>
            <w:shd w:val="clear" w:color="000000" w:fill="CCFFCC"/>
            <w:vAlign w:val="center"/>
            <w:hideMark/>
          </w:tcPr>
          <w:p w14:paraId="4CDCC8C2" w14:textId="77777777" w:rsidR="00B27DCD" w:rsidRPr="009F0A74" w:rsidRDefault="00B27DCD" w:rsidP="00B27DCD">
            <w:pPr>
              <w:spacing w:after="0" w:line="240" w:lineRule="auto"/>
              <w:jc w:val="center"/>
              <w:rPr>
                <w:rFonts w:ascii="Calibri" w:eastAsia="Times New Roman" w:hAnsi="Calibri" w:cs="Calibri"/>
                <w:b/>
                <w:bCs/>
                <w:sz w:val="16"/>
                <w:szCs w:val="16"/>
                <w:lang w:eastAsia="hr-HR"/>
              </w:rPr>
            </w:pPr>
            <w:r w:rsidRPr="009F0A74">
              <w:rPr>
                <w:rFonts w:ascii="Calibri" w:eastAsia="Times New Roman" w:hAnsi="Calibri" w:cs="Calibri"/>
                <w:b/>
                <w:bCs/>
                <w:sz w:val="16"/>
                <w:szCs w:val="16"/>
                <w:lang w:eastAsia="hr-HR"/>
              </w:rPr>
              <w:t>7.</w:t>
            </w:r>
          </w:p>
        </w:tc>
        <w:tc>
          <w:tcPr>
            <w:tcW w:w="658" w:type="dxa"/>
            <w:tcBorders>
              <w:top w:val="nil"/>
              <w:left w:val="nil"/>
              <w:bottom w:val="single" w:sz="4" w:space="0" w:color="auto"/>
              <w:right w:val="single" w:sz="4" w:space="0" w:color="auto"/>
            </w:tcBorders>
            <w:shd w:val="clear" w:color="000000" w:fill="CCFFCC"/>
            <w:vAlign w:val="center"/>
            <w:hideMark/>
          </w:tcPr>
          <w:p w14:paraId="4D0E899A" w14:textId="77777777" w:rsidR="00B27DCD" w:rsidRPr="009F0A74" w:rsidRDefault="00B27DCD" w:rsidP="00B27DCD">
            <w:pPr>
              <w:spacing w:after="0" w:line="240" w:lineRule="auto"/>
              <w:jc w:val="center"/>
              <w:rPr>
                <w:rFonts w:ascii="Calibri" w:eastAsia="Times New Roman" w:hAnsi="Calibri" w:cs="Calibri"/>
                <w:b/>
                <w:bCs/>
                <w:sz w:val="16"/>
                <w:szCs w:val="16"/>
                <w:lang w:eastAsia="hr-HR"/>
              </w:rPr>
            </w:pPr>
            <w:r w:rsidRPr="009F0A74">
              <w:rPr>
                <w:rFonts w:ascii="Calibri" w:eastAsia="Times New Roman" w:hAnsi="Calibri" w:cs="Calibri"/>
                <w:b/>
                <w:bCs/>
                <w:sz w:val="16"/>
                <w:szCs w:val="16"/>
                <w:lang w:eastAsia="hr-HR"/>
              </w:rPr>
              <w:t>8.</w:t>
            </w:r>
          </w:p>
        </w:tc>
        <w:tc>
          <w:tcPr>
            <w:tcW w:w="447" w:type="dxa"/>
            <w:tcBorders>
              <w:top w:val="nil"/>
              <w:left w:val="nil"/>
              <w:bottom w:val="single" w:sz="4" w:space="0" w:color="auto"/>
              <w:right w:val="single" w:sz="4" w:space="0" w:color="auto"/>
            </w:tcBorders>
            <w:shd w:val="clear" w:color="000000" w:fill="CCFFCC"/>
            <w:vAlign w:val="center"/>
            <w:hideMark/>
          </w:tcPr>
          <w:p w14:paraId="41C1AB97" w14:textId="77777777" w:rsidR="00B27DCD" w:rsidRPr="009F0A74" w:rsidRDefault="00B27DCD" w:rsidP="00B27DCD">
            <w:pPr>
              <w:spacing w:after="0" w:line="240" w:lineRule="auto"/>
              <w:jc w:val="center"/>
              <w:rPr>
                <w:rFonts w:ascii="Calibri" w:eastAsia="Times New Roman" w:hAnsi="Calibri" w:cs="Calibri"/>
                <w:b/>
                <w:bCs/>
                <w:sz w:val="16"/>
                <w:szCs w:val="16"/>
                <w:lang w:eastAsia="hr-HR"/>
              </w:rPr>
            </w:pPr>
            <w:r w:rsidRPr="009F0A74">
              <w:rPr>
                <w:rFonts w:ascii="Calibri" w:eastAsia="Times New Roman" w:hAnsi="Calibri" w:cs="Calibri"/>
                <w:b/>
                <w:bCs/>
                <w:sz w:val="16"/>
                <w:szCs w:val="16"/>
                <w:lang w:eastAsia="hr-HR"/>
              </w:rPr>
              <w:t>9.</w:t>
            </w:r>
          </w:p>
        </w:tc>
        <w:tc>
          <w:tcPr>
            <w:tcW w:w="644" w:type="dxa"/>
            <w:gridSpan w:val="2"/>
            <w:tcBorders>
              <w:top w:val="nil"/>
              <w:left w:val="nil"/>
              <w:bottom w:val="single" w:sz="4" w:space="0" w:color="auto"/>
              <w:right w:val="single" w:sz="4" w:space="0" w:color="auto"/>
            </w:tcBorders>
            <w:shd w:val="clear" w:color="000000" w:fill="CCFFCC"/>
            <w:vAlign w:val="center"/>
            <w:hideMark/>
          </w:tcPr>
          <w:p w14:paraId="3DE0A71B" w14:textId="77777777" w:rsidR="00B27DCD" w:rsidRPr="009F0A74" w:rsidRDefault="00B27DCD" w:rsidP="00B27DCD">
            <w:pPr>
              <w:spacing w:after="0" w:line="240" w:lineRule="auto"/>
              <w:jc w:val="center"/>
              <w:rPr>
                <w:rFonts w:ascii="Calibri" w:eastAsia="Times New Roman" w:hAnsi="Calibri" w:cs="Calibri"/>
                <w:b/>
                <w:bCs/>
                <w:sz w:val="16"/>
                <w:szCs w:val="16"/>
                <w:lang w:eastAsia="hr-HR"/>
              </w:rPr>
            </w:pPr>
            <w:r w:rsidRPr="009F0A74">
              <w:rPr>
                <w:rFonts w:ascii="Calibri" w:eastAsia="Times New Roman" w:hAnsi="Calibri" w:cs="Calibri"/>
                <w:b/>
                <w:bCs/>
                <w:sz w:val="16"/>
                <w:szCs w:val="16"/>
                <w:lang w:eastAsia="hr-HR"/>
              </w:rPr>
              <w:t>10.</w:t>
            </w:r>
          </w:p>
        </w:tc>
        <w:tc>
          <w:tcPr>
            <w:tcW w:w="452" w:type="dxa"/>
            <w:tcBorders>
              <w:top w:val="nil"/>
              <w:left w:val="nil"/>
              <w:bottom w:val="single" w:sz="4" w:space="0" w:color="auto"/>
              <w:right w:val="single" w:sz="4" w:space="0" w:color="auto"/>
            </w:tcBorders>
            <w:shd w:val="clear" w:color="000000" w:fill="CCFFCC"/>
            <w:vAlign w:val="center"/>
            <w:hideMark/>
          </w:tcPr>
          <w:p w14:paraId="6E779C2F" w14:textId="77777777" w:rsidR="00B27DCD" w:rsidRPr="009F0A74" w:rsidRDefault="00B27DCD" w:rsidP="00B27DCD">
            <w:pPr>
              <w:spacing w:after="0" w:line="240" w:lineRule="auto"/>
              <w:jc w:val="center"/>
              <w:rPr>
                <w:rFonts w:ascii="Calibri" w:eastAsia="Times New Roman" w:hAnsi="Calibri" w:cs="Calibri"/>
                <w:b/>
                <w:bCs/>
                <w:sz w:val="16"/>
                <w:szCs w:val="16"/>
                <w:lang w:eastAsia="hr-HR"/>
              </w:rPr>
            </w:pPr>
            <w:r w:rsidRPr="009F0A74">
              <w:rPr>
                <w:rFonts w:ascii="Calibri" w:eastAsia="Times New Roman" w:hAnsi="Calibri" w:cs="Calibri"/>
                <w:b/>
                <w:bCs/>
                <w:sz w:val="16"/>
                <w:szCs w:val="16"/>
                <w:lang w:eastAsia="hr-HR"/>
              </w:rPr>
              <w:t>11.</w:t>
            </w:r>
          </w:p>
        </w:tc>
        <w:tc>
          <w:tcPr>
            <w:tcW w:w="538" w:type="dxa"/>
            <w:tcBorders>
              <w:top w:val="nil"/>
              <w:left w:val="nil"/>
              <w:bottom w:val="single" w:sz="4" w:space="0" w:color="auto"/>
              <w:right w:val="single" w:sz="4" w:space="0" w:color="auto"/>
            </w:tcBorders>
            <w:shd w:val="clear" w:color="000000" w:fill="CCFFCC"/>
            <w:vAlign w:val="center"/>
            <w:hideMark/>
          </w:tcPr>
          <w:p w14:paraId="7DAFAE0F" w14:textId="77777777" w:rsidR="00B27DCD" w:rsidRPr="009F0A74" w:rsidRDefault="00B27DCD" w:rsidP="00B27DCD">
            <w:pPr>
              <w:spacing w:after="0" w:line="240" w:lineRule="auto"/>
              <w:jc w:val="center"/>
              <w:rPr>
                <w:rFonts w:ascii="Calibri" w:eastAsia="Times New Roman" w:hAnsi="Calibri" w:cs="Calibri"/>
                <w:b/>
                <w:bCs/>
                <w:sz w:val="16"/>
                <w:szCs w:val="16"/>
                <w:lang w:eastAsia="hr-HR"/>
              </w:rPr>
            </w:pPr>
            <w:r w:rsidRPr="009F0A74">
              <w:rPr>
                <w:rFonts w:ascii="Calibri" w:eastAsia="Times New Roman" w:hAnsi="Calibri" w:cs="Calibri"/>
                <w:b/>
                <w:bCs/>
                <w:sz w:val="16"/>
                <w:szCs w:val="16"/>
                <w:lang w:eastAsia="hr-HR"/>
              </w:rPr>
              <w:t>12.</w:t>
            </w:r>
          </w:p>
        </w:tc>
        <w:tc>
          <w:tcPr>
            <w:tcW w:w="447" w:type="dxa"/>
            <w:tcBorders>
              <w:top w:val="nil"/>
              <w:left w:val="nil"/>
              <w:bottom w:val="single" w:sz="4" w:space="0" w:color="auto"/>
              <w:right w:val="single" w:sz="4" w:space="0" w:color="auto"/>
            </w:tcBorders>
            <w:shd w:val="clear" w:color="000000" w:fill="CCFFCC"/>
            <w:vAlign w:val="center"/>
            <w:hideMark/>
          </w:tcPr>
          <w:p w14:paraId="57B5605F" w14:textId="77777777" w:rsidR="00B27DCD" w:rsidRPr="009F0A74" w:rsidRDefault="00B27DCD" w:rsidP="00B27DCD">
            <w:pPr>
              <w:spacing w:after="0" w:line="240" w:lineRule="auto"/>
              <w:jc w:val="center"/>
              <w:rPr>
                <w:rFonts w:ascii="Calibri" w:eastAsia="Times New Roman" w:hAnsi="Calibri" w:cs="Calibri"/>
                <w:b/>
                <w:bCs/>
                <w:sz w:val="16"/>
                <w:szCs w:val="16"/>
                <w:lang w:eastAsia="hr-HR"/>
              </w:rPr>
            </w:pPr>
            <w:r w:rsidRPr="009F0A74">
              <w:rPr>
                <w:rFonts w:ascii="Calibri" w:eastAsia="Times New Roman" w:hAnsi="Calibri" w:cs="Calibri"/>
                <w:b/>
                <w:bCs/>
                <w:sz w:val="16"/>
                <w:szCs w:val="16"/>
                <w:lang w:eastAsia="hr-HR"/>
              </w:rPr>
              <w:t>13.</w:t>
            </w:r>
          </w:p>
        </w:tc>
        <w:tc>
          <w:tcPr>
            <w:tcW w:w="447" w:type="dxa"/>
            <w:tcBorders>
              <w:top w:val="nil"/>
              <w:left w:val="nil"/>
              <w:bottom w:val="single" w:sz="4" w:space="0" w:color="auto"/>
              <w:right w:val="single" w:sz="4" w:space="0" w:color="auto"/>
            </w:tcBorders>
            <w:shd w:val="clear" w:color="000000" w:fill="CCFFCC"/>
            <w:vAlign w:val="center"/>
            <w:hideMark/>
          </w:tcPr>
          <w:p w14:paraId="643EFE24" w14:textId="77777777" w:rsidR="00B27DCD" w:rsidRPr="009F0A74" w:rsidRDefault="00B27DCD" w:rsidP="00B27DCD">
            <w:pPr>
              <w:spacing w:after="0" w:line="240" w:lineRule="auto"/>
              <w:jc w:val="center"/>
              <w:rPr>
                <w:rFonts w:ascii="Calibri" w:eastAsia="Times New Roman" w:hAnsi="Calibri" w:cs="Calibri"/>
                <w:b/>
                <w:bCs/>
                <w:sz w:val="16"/>
                <w:szCs w:val="16"/>
                <w:lang w:eastAsia="hr-HR"/>
              </w:rPr>
            </w:pPr>
            <w:r w:rsidRPr="009F0A74">
              <w:rPr>
                <w:rFonts w:ascii="Calibri" w:eastAsia="Times New Roman" w:hAnsi="Calibri" w:cs="Calibri"/>
                <w:b/>
                <w:bCs/>
                <w:sz w:val="16"/>
                <w:szCs w:val="16"/>
                <w:lang w:eastAsia="hr-HR"/>
              </w:rPr>
              <w:t>14.</w:t>
            </w:r>
          </w:p>
        </w:tc>
        <w:tc>
          <w:tcPr>
            <w:tcW w:w="400" w:type="dxa"/>
            <w:tcBorders>
              <w:top w:val="nil"/>
              <w:left w:val="nil"/>
              <w:bottom w:val="single" w:sz="4" w:space="0" w:color="auto"/>
              <w:right w:val="single" w:sz="4" w:space="0" w:color="auto"/>
            </w:tcBorders>
            <w:shd w:val="clear" w:color="000000" w:fill="CCFFCC"/>
            <w:vAlign w:val="center"/>
            <w:hideMark/>
          </w:tcPr>
          <w:p w14:paraId="5FA89EEA" w14:textId="77777777" w:rsidR="00B27DCD" w:rsidRPr="009F0A74" w:rsidRDefault="00B27DCD" w:rsidP="00B27DCD">
            <w:pPr>
              <w:spacing w:after="0" w:line="240" w:lineRule="auto"/>
              <w:jc w:val="center"/>
              <w:rPr>
                <w:rFonts w:ascii="Calibri" w:eastAsia="Times New Roman" w:hAnsi="Calibri" w:cs="Calibri"/>
                <w:b/>
                <w:bCs/>
                <w:sz w:val="16"/>
                <w:szCs w:val="16"/>
                <w:lang w:eastAsia="hr-HR"/>
              </w:rPr>
            </w:pPr>
            <w:r w:rsidRPr="009F0A74">
              <w:rPr>
                <w:rFonts w:ascii="Calibri" w:eastAsia="Times New Roman" w:hAnsi="Calibri" w:cs="Calibri"/>
                <w:b/>
                <w:bCs/>
                <w:sz w:val="16"/>
                <w:szCs w:val="16"/>
                <w:lang w:eastAsia="hr-HR"/>
              </w:rPr>
              <w:t>15.</w:t>
            </w:r>
          </w:p>
        </w:tc>
        <w:tc>
          <w:tcPr>
            <w:tcW w:w="357" w:type="dxa"/>
            <w:gridSpan w:val="2"/>
            <w:tcBorders>
              <w:top w:val="nil"/>
              <w:left w:val="nil"/>
              <w:bottom w:val="single" w:sz="4" w:space="0" w:color="auto"/>
              <w:right w:val="single" w:sz="4" w:space="0" w:color="auto"/>
            </w:tcBorders>
            <w:shd w:val="clear" w:color="000000" w:fill="CCFFCC"/>
            <w:vAlign w:val="center"/>
            <w:hideMark/>
          </w:tcPr>
          <w:p w14:paraId="62E5702A" w14:textId="77777777" w:rsidR="00B27DCD" w:rsidRPr="009F0A74" w:rsidRDefault="00B27DCD" w:rsidP="00B27DCD">
            <w:pPr>
              <w:spacing w:after="0" w:line="240" w:lineRule="auto"/>
              <w:jc w:val="center"/>
              <w:rPr>
                <w:rFonts w:ascii="Calibri" w:eastAsia="Times New Roman" w:hAnsi="Calibri" w:cs="Calibri"/>
                <w:b/>
                <w:bCs/>
                <w:sz w:val="16"/>
                <w:szCs w:val="16"/>
                <w:lang w:eastAsia="hr-HR"/>
              </w:rPr>
            </w:pPr>
            <w:r w:rsidRPr="009F0A74">
              <w:rPr>
                <w:rFonts w:ascii="Calibri" w:eastAsia="Times New Roman" w:hAnsi="Calibri" w:cs="Calibri"/>
                <w:b/>
                <w:bCs/>
                <w:sz w:val="16"/>
                <w:szCs w:val="16"/>
                <w:lang w:eastAsia="hr-HR"/>
              </w:rPr>
              <w:t>16.</w:t>
            </w:r>
          </w:p>
        </w:tc>
        <w:tc>
          <w:tcPr>
            <w:tcW w:w="447" w:type="dxa"/>
            <w:tcBorders>
              <w:top w:val="nil"/>
              <w:left w:val="nil"/>
              <w:bottom w:val="single" w:sz="4" w:space="0" w:color="auto"/>
              <w:right w:val="single" w:sz="4" w:space="0" w:color="auto"/>
            </w:tcBorders>
            <w:shd w:val="clear" w:color="000000" w:fill="CCFFCC"/>
            <w:vAlign w:val="center"/>
            <w:hideMark/>
          </w:tcPr>
          <w:p w14:paraId="170CF073" w14:textId="77777777" w:rsidR="00B27DCD" w:rsidRPr="009F0A74" w:rsidRDefault="00B27DCD" w:rsidP="00B27DCD">
            <w:pPr>
              <w:spacing w:after="0" w:line="240" w:lineRule="auto"/>
              <w:jc w:val="center"/>
              <w:rPr>
                <w:rFonts w:ascii="Calibri" w:eastAsia="Times New Roman" w:hAnsi="Calibri" w:cs="Calibri"/>
                <w:b/>
                <w:bCs/>
                <w:sz w:val="16"/>
                <w:szCs w:val="16"/>
                <w:lang w:eastAsia="hr-HR"/>
              </w:rPr>
            </w:pPr>
            <w:r w:rsidRPr="009F0A74">
              <w:rPr>
                <w:rFonts w:ascii="Calibri" w:eastAsia="Times New Roman" w:hAnsi="Calibri" w:cs="Calibri"/>
                <w:b/>
                <w:bCs/>
                <w:sz w:val="16"/>
                <w:szCs w:val="16"/>
                <w:lang w:eastAsia="hr-HR"/>
              </w:rPr>
              <w:t>17.</w:t>
            </w:r>
          </w:p>
        </w:tc>
        <w:tc>
          <w:tcPr>
            <w:tcW w:w="447" w:type="dxa"/>
            <w:tcBorders>
              <w:top w:val="nil"/>
              <w:left w:val="nil"/>
              <w:bottom w:val="single" w:sz="4" w:space="0" w:color="auto"/>
              <w:right w:val="single" w:sz="4" w:space="0" w:color="auto"/>
            </w:tcBorders>
            <w:shd w:val="clear" w:color="000000" w:fill="CCFFCC"/>
            <w:vAlign w:val="center"/>
            <w:hideMark/>
          </w:tcPr>
          <w:p w14:paraId="6671228C" w14:textId="77777777" w:rsidR="00B27DCD" w:rsidRPr="009F0A74" w:rsidRDefault="00B27DCD" w:rsidP="00B27DCD">
            <w:pPr>
              <w:spacing w:after="0" w:line="240" w:lineRule="auto"/>
              <w:jc w:val="center"/>
              <w:rPr>
                <w:rFonts w:ascii="Calibri" w:eastAsia="Times New Roman" w:hAnsi="Calibri" w:cs="Calibri"/>
                <w:b/>
                <w:bCs/>
                <w:sz w:val="16"/>
                <w:szCs w:val="16"/>
                <w:lang w:eastAsia="hr-HR"/>
              </w:rPr>
            </w:pPr>
            <w:r w:rsidRPr="009F0A74">
              <w:rPr>
                <w:rFonts w:ascii="Calibri" w:eastAsia="Times New Roman" w:hAnsi="Calibri" w:cs="Calibri"/>
                <w:b/>
                <w:bCs/>
                <w:sz w:val="16"/>
                <w:szCs w:val="16"/>
                <w:lang w:eastAsia="hr-HR"/>
              </w:rPr>
              <w:t>18.</w:t>
            </w:r>
          </w:p>
        </w:tc>
        <w:tc>
          <w:tcPr>
            <w:tcW w:w="446" w:type="dxa"/>
            <w:tcBorders>
              <w:top w:val="nil"/>
              <w:left w:val="nil"/>
              <w:bottom w:val="single" w:sz="4" w:space="0" w:color="auto"/>
              <w:right w:val="single" w:sz="4" w:space="0" w:color="auto"/>
            </w:tcBorders>
            <w:shd w:val="clear" w:color="000000" w:fill="CCFFCC"/>
            <w:vAlign w:val="center"/>
            <w:hideMark/>
          </w:tcPr>
          <w:p w14:paraId="1D474C99" w14:textId="77777777" w:rsidR="00B27DCD" w:rsidRPr="009F0A74" w:rsidRDefault="00B27DCD" w:rsidP="00B27DCD">
            <w:pPr>
              <w:spacing w:after="0" w:line="240" w:lineRule="auto"/>
              <w:jc w:val="center"/>
              <w:rPr>
                <w:rFonts w:ascii="Calibri" w:eastAsia="Times New Roman" w:hAnsi="Calibri" w:cs="Calibri"/>
                <w:b/>
                <w:bCs/>
                <w:sz w:val="16"/>
                <w:szCs w:val="16"/>
                <w:lang w:eastAsia="hr-HR"/>
              </w:rPr>
            </w:pPr>
            <w:r w:rsidRPr="009F0A74">
              <w:rPr>
                <w:rFonts w:ascii="Calibri" w:eastAsia="Times New Roman" w:hAnsi="Calibri" w:cs="Calibri"/>
                <w:b/>
                <w:bCs/>
                <w:sz w:val="16"/>
                <w:szCs w:val="16"/>
                <w:lang w:eastAsia="hr-HR"/>
              </w:rPr>
              <w:t>19.</w:t>
            </w:r>
          </w:p>
        </w:tc>
        <w:tc>
          <w:tcPr>
            <w:tcW w:w="447" w:type="dxa"/>
            <w:gridSpan w:val="2"/>
            <w:tcBorders>
              <w:top w:val="nil"/>
              <w:left w:val="nil"/>
              <w:bottom w:val="single" w:sz="4" w:space="0" w:color="auto"/>
              <w:right w:val="single" w:sz="4" w:space="0" w:color="auto"/>
            </w:tcBorders>
            <w:shd w:val="clear" w:color="000000" w:fill="CCFFCC"/>
            <w:vAlign w:val="center"/>
            <w:hideMark/>
          </w:tcPr>
          <w:p w14:paraId="53524719" w14:textId="77777777" w:rsidR="00B27DCD" w:rsidRPr="009F0A74" w:rsidRDefault="00B27DCD" w:rsidP="00B27DCD">
            <w:pPr>
              <w:spacing w:after="0" w:line="240" w:lineRule="auto"/>
              <w:jc w:val="center"/>
              <w:rPr>
                <w:rFonts w:ascii="Calibri" w:eastAsia="Times New Roman" w:hAnsi="Calibri" w:cs="Calibri"/>
                <w:b/>
                <w:bCs/>
                <w:sz w:val="16"/>
                <w:szCs w:val="16"/>
                <w:lang w:eastAsia="hr-HR"/>
              </w:rPr>
            </w:pPr>
            <w:r w:rsidRPr="009F0A74">
              <w:rPr>
                <w:rFonts w:ascii="Calibri" w:eastAsia="Times New Roman" w:hAnsi="Calibri" w:cs="Calibri"/>
                <w:b/>
                <w:bCs/>
                <w:sz w:val="16"/>
                <w:szCs w:val="16"/>
                <w:lang w:eastAsia="hr-HR"/>
              </w:rPr>
              <w:t>20.</w:t>
            </w:r>
          </w:p>
        </w:tc>
        <w:tc>
          <w:tcPr>
            <w:tcW w:w="447" w:type="dxa"/>
            <w:tcBorders>
              <w:top w:val="nil"/>
              <w:left w:val="nil"/>
              <w:bottom w:val="single" w:sz="4" w:space="0" w:color="auto"/>
              <w:right w:val="single" w:sz="4" w:space="0" w:color="auto"/>
            </w:tcBorders>
            <w:shd w:val="clear" w:color="000000" w:fill="CCFFCC"/>
            <w:vAlign w:val="center"/>
            <w:hideMark/>
          </w:tcPr>
          <w:p w14:paraId="167E68CB" w14:textId="77777777" w:rsidR="00B27DCD" w:rsidRPr="009F0A74" w:rsidRDefault="00B27DCD" w:rsidP="00B27DCD">
            <w:pPr>
              <w:spacing w:after="0" w:line="240" w:lineRule="auto"/>
              <w:jc w:val="center"/>
              <w:rPr>
                <w:rFonts w:ascii="Calibri" w:eastAsia="Times New Roman" w:hAnsi="Calibri" w:cs="Calibri"/>
                <w:b/>
                <w:bCs/>
                <w:sz w:val="16"/>
                <w:szCs w:val="16"/>
                <w:lang w:eastAsia="hr-HR"/>
              </w:rPr>
            </w:pPr>
            <w:r w:rsidRPr="009F0A74">
              <w:rPr>
                <w:rFonts w:ascii="Calibri" w:eastAsia="Times New Roman" w:hAnsi="Calibri" w:cs="Calibri"/>
                <w:b/>
                <w:bCs/>
                <w:sz w:val="16"/>
                <w:szCs w:val="16"/>
                <w:lang w:eastAsia="hr-HR"/>
              </w:rPr>
              <w:t>21.</w:t>
            </w:r>
          </w:p>
        </w:tc>
        <w:tc>
          <w:tcPr>
            <w:tcW w:w="447" w:type="dxa"/>
            <w:tcBorders>
              <w:top w:val="nil"/>
              <w:left w:val="nil"/>
              <w:bottom w:val="single" w:sz="4" w:space="0" w:color="auto"/>
              <w:right w:val="single" w:sz="4" w:space="0" w:color="auto"/>
            </w:tcBorders>
            <w:shd w:val="clear" w:color="000000" w:fill="CCFFCC"/>
            <w:vAlign w:val="center"/>
            <w:hideMark/>
          </w:tcPr>
          <w:p w14:paraId="0A86FE01" w14:textId="77777777" w:rsidR="00B27DCD" w:rsidRPr="009F0A74" w:rsidRDefault="00B27DCD" w:rsidP="00B27DCD">
            <w:pPr>
              <w:spacing w:after="0" w:line="240" w:lineRule="auto"/>
              <w:jc w:val="center"/>
              <w:rPr>
                <w:rFonts w:ascii="Calibri" w:eastAsia="Times New Roman" w:hAnsi="Calibri" w:cs="Calibri"/>
                <w:b/>
                <w:bCs/>
                <w:sz w:val="16"/>
                <w:szCs w:val="16"/>
                <w:lang w:eastAsia="hr-HR"/>
              </w:rPr>
            </w:pPr>
            <w:r w:rsidRPr="009F0A74">
              <w:rPr>
                <w:rFonts w:ascii="Calibri" w:eastAsia="Times New Roman" w:hAnsi="Calibri" w:cs="Calibri"/>
                <w:b/>
                <w:bCs/>
                <w:sz w:val="16"/>
                <w:szCs w:val="16"/>
                <w:lang w:eastAsia="hr-HR"/>
              </w:rPr>
              <w:t>22.</w:t>
            </w:r>
          </w:p>
        </w:tc>
        <w:tc>
          <w:tcPr>
            <w:tcW w:w="446" w:type="dxa"/>
            <w:tcBorders>
              <w:top w:val="nil"/>
              <w:left w:val="nil"/>
              <w:bottom w:val="single" w:sz="4" w:space="0" w:color="auto"/>
              <w:right w:val="single" w:sz="4" w:space="0" w:color="auto"/>
            </w:tcBorders>
            <w:shd w:val="clear" w:color="000000" w:fill="CCFFCC"/>
            <w:vAlign w:val="center"/>
            <w:hideMark/>
          </w:tcPr>
          <w:p w14:paraId="77CB2010" w14:textId="77777777" w:rsidR="00B27DCD" w:rsidRPr="009F0A74" w:rsidRDefault="00B27DCD" w:rsidP="00B27DCD">
            <w:pPr>
              <w:spacing w:after="0" w:line="240" w:lineRule="auto"/>
              <w:jc w:val="center"/>
              <w:rPr>
                <w:rFonts w:ascii="Calibri" w:eastAsia="Times New Roman" w:hAnsi="Calibri" w:cs="Calibri"/>
                <w:b/>
                <w:bCs/>
                <w:sz w:val="16"/>
                <w:szCs w:val="16"/>
                <w:lang w:eastAsia="hr-HR"/>
              </w:rPr>
            </w:pPr>
            <w:r w:rsidRPr="009F0A74">
              <w:rPr>
                <w:rFonts w:ascii="Calibri" w:eastAsia="Times New Roman" w:hAnsi="Calibri" w:cs="Calibri"/>
                <w:b/>
                <w:bCs/>
                <w:sz w:val="16"/>
                <w:szCs w:val="16"/>
                <w:lang w:eastAsia="hr-HR"/>
              </w:rPr>
              <w:t>23.</w:t>
            </w:r>
          </w:p>
        </w:tc>
        <w:tc>
          <w:tcPr>
            <w:tcW w:w="524" w:type="dxa"/>
            <w:gridSpan w:val="2"/>
            <w:tcBorders>
              <w:top w:val="nil"/>
              <w:left w:val="nil"/>
              <w:bottom w:val="single" w:sz="4" w:space="0" w:color="auto"/>
              <w:right w:val="single" w:sz="4" w:space="0" w:color="auto"/>
            </w:tcBorders>
            <w:shd w:val="clear" w:color="000000" w:fill="CCFFCC"/>
            <w:vAlign w:val="center"/>
            <w:hideMark/>
          </w:tcPr>
          <w:p w14:paraId="4699EC64" w14:textId="77777777" w:rsidR="00B27DCD" w:rsidRPr="009F0A74" w:rsidRDefault="00B27DCD" w:rsidP="00B27DCD">
            <w:pPr>
              <w:spacing w:after="0" w:line="240" w:lineRule="auto"/>
              <w:jc w:val="center"/>
              <w:rPr>
                <w:rFonts w:ascii="Calibri" w:eastAsia="Times New Roman" w:hAnsi="Calibri" w:cs="Calibri"/>
                <w:b/>
                <w:bCs/>
                <w:sz w:val="16"/>
                <w:szCs w:val="16"/>
                <w:lang w:eastAsia="hr-HR"/>
              </w:rPr>
            </w:pPr>
            <w:r w:rsidRPr="009F0A74">
              <w:rPr>
                <w:rFonts w:ascii="Calibri" w:eastAsia="Times New Roman" w:hAnsi="Calibri" w:cs="Calibri"/>
                <w:b/>
                <w:bCs/>
                <w:sz w:val="16"/>
                <w:szCs w:val="16"/>
                <w:lang w:eastAsia="hr-HR"/>
              </w:rPr>
              <w:t>24.</w:t>
            </w:r>
          </w:p>
        </w:tc>
        <w:tc>
          <w:tcPr>
            <w:tcW w:w="425" w:type="dxa"/>
            <w:gridSpan w:val="2"/>
            <w:tcBorders>
              <w:top w:val="nil"/>
              <w:left w:val="nil"/>
              <w:bottom w:val="single" w:sz="4" w:space="0" w:color="auto"/>
              <w:right w:val="single" w:sz="4" w:space="0" w:color="auto"/>
            </w:tcBorders>
            <w:shd w:val="clear" w:color="000000" w:fill="CCFFCC"/>
            <w:vAlign w:val="center"/>
            <w:hideMark/>
          </w:tcPr>
          <w:p w14:paraId="1A0E856F" w14:textId="77777777" w:rsidR="00B27DCD" w:rsidRPr="009F0A74" w:rsidRDefault="00B27DCD" w:rsidP="00B27DCD">
            <w:pPr>
              <w:spacing w:after="0" w:line="240" w:lineRule="auto"/>
              <w:jc w:val="center"/>
              <w:rPr>
                <w:rFonts w:ascii="Calibri" w:eastAsia="Times New Roman" w:hAnsi="Calibri" w:cs="Calibri"/>
                <w:b/>
                <w:bCs/>
                <w:sz w:val="16"/>
                <w:szCs w:val="16"/>
                <w:lang w:eastAsia="hr-HR"/>
              </w:rPr>
            </w:pPr>
            <w:r w:rsidRPr="009F0A74">
              <w:rPr>
                <w:rFonts w:ascii="Calibri" w:eastAsia="Times New Roman" w:hAnsi="Calibri" w:cs="Calibri"/>
                <w:b/>
                <w:bCs/>
                <w:sz w:val="16"/>
                <w:szCs w:val="16"/>
                <w:lang w:eastAsia="hr-HR"/>
              </w:rPr>
              <w:t>25.</w:t>
            </w:r>
          </w:p>
        </w:tc>
        <w:tc>
          <w:tcPr>
            <w:tcW w:w="501" w:type="dxa"/>
            <w:gridSpan w:val="2"/>
            <w:tcBorders>
              <w:top w:val="nil"/>
              <w:left w:val="nil"/>
              <w:bottom w:val="single" w:sz="4" w:space="0" w:color="auto"/>
              <w:right w:val="single" w:sz="4" w:space="0" w:color="auto"/>
            </w:tcBorders>
            <w:shd w:val="clear" w:color="000000" w:fill="CCFFCC"/>
            <w:vAlign w:val="center"/>
            <w:hideMark/>
          </w:tcPr>
          <w:p w14:paraId="3A21A347" w14:textId="77777777" w:rsidR="00B27DCD" w:rsidRPr="009F0A74" w:rsidRDefault="00B27DCD" w:rsidP="00B27DCD">
            <w:pPr>
              <w:spacing w:after="0" w:line="240" w:lineRule="auto"/>
              <w:jc w:val="center"/>
              <w:rPr>
                <w:rFonts w:ascii="Calibri" w:eastAsia="Times New Roman" w:hAnsi="Calibri" w:cs="Calibri"/>
                <w:b/>
                <w:bCs/>
                <w:sz w:val="16"/>
                <w:szCs w:val="16"/>
                <w:lang w:eastAsia="hr-HR"/>
              </w:rPr>
            </w:pPr>
            <w:r w:rsidRPr="009F0A74">
              <w:rPr>
                <w:rFonts w:ascii="Calibri" w:eastAsia="Times New Roman" w:hAnsi="Calibri" w:cs="Calibri"/>
                <w:b/>
                <w:bCs/>
                <w:sz w:val="16"/>
                <w:szCs w:val="16"/>
                <w:lang w:eastAsia="hr-HR"/>
              </w:rPr>
              <w:t>26.</w:t>
            </w:r>
          </w:p>
        </w:tc>
        <w:tc>
          <w:tcPr>
            <w:tcW w:w="425" w:type="dxa"/>
            <w:tcBorders>
              <w:top w:val="nil"/>
              <w:left w:val="nil"/>
              <w:bottom w:val="single" w:sz="4" w:space="0" w:color="auto"/>
              <w:right w:val="single" w:sz="4" w:space="0" w:color="auto"/>
            </w:tcBorders>
            <w:shd w:val="clear" w:color="000000" w:fill="CCFFCC"/>
            <w:vAlign w:val="center"/>
            <w:hideMark/>
          </w:tcPr>
          <w:p w14:paraId="3781BE39" w14:textId="77777777" w:rsidR="00B27DCD" w:rsidRPr="009F0A74" w:rsidRDefault="00B27DCD" w:rsidP="00B27DCD">
            <w:pPr>
              <w:spacing w:after="0" w:line="240" w:lineRule="auto"/>
              <w:jc w:val="center"/>
              <w:rPr>
                <w:rFonts w:ascii="Calibri" w:eastAsia="Times New Roman" w:hAnsi="Calibri" w:cs="Calibri"/>
                <w:b/>
                <w:bCs/>
                <w:sz w:val="16"/>
                <w:szCs w:val="16"/>
                <w:lang w:eastAsia="hr-HR"/>
              </w:rPr>
            </w:pPr>
            <w:r w:rsidRPr="009F0A74">
              <w:rPr>
                <w:rFonts w:ascii="Calibri" w:eastAsia="Times New Roman" w:hAnsi="Calibri" w:cs="Calibri"/>
                <w:b/>
                <w:bCs/>
                <w:sz w:val="16"/>
                <w:szCs w:val="16"/>
                <w:lang w:eastAsia="hr-HR"/>
              </w:rPr>
              <w:t>27.</w:t>
            </w:r>
          </w:p>
        </w:tc>
        <w:tc>
          <w:tcPr>
            <w:tcW w:w="426" w:type="dxa"/>
            <w:tcBorders>
              <w:top w:val="nil"/>
              <w:left w:val="nil"/>
              <w:bottom w:val="single" w:sz="4" w:space="0" w:color="auto"/>
              <w:right w:val="single" w:sz="4" w:space="0" w:color="auto"/>
            </w:tcBorders>
            <w:shd w:val="clear" w:color="000000" w:fill="CCFFCC"/>
            <w:vAlign w:val="center"/>
            <w:hideMark/>
          </w:tcPr>
          <w:p w14:paraId="076B6BF9" w14:textId="77777777" w:rsidR="00B27DCD" w:rsidRPr="009F0A74" w:rsidRDefault="00B27DCD" w:rsidP="00B27DCD">
            <w:pPr>
              <w:spacing w:after="0" w:line="240" w:lineRule="auto"/>
              <w:jc w:val="center"/>
              <w:rPr>
                <w:rFonts w:ascii="Calibri" w:eastAsia="Times New Roman" w:hAnsi="Calibri" w:cs="Calibri"/>
                <w:b/>
                <w:bCs/>
                <w:sz w:val="16"/>
                <w:szCs w:val="16"/>
                <w:lang w:eastAsia="hr-HR"/>
              </w:rPr>
            </w:pPr>
            <w:r w:rsidRPr="009F0A74">
              <w:rPr>
                <w:rFonts w:ascii="Calibri" w:eastAsia="Times New Roman" w:hAnsi="Calibri" w:cs="Calibri"/>
                <w:b/>
                <w:bCs/>
                <w:sz w:val="16"/>
                <w:szCs w:val="16"/>
                <w:lang w:eastAsia="hr-HR"/>
              </w:rPr>
              <w:t>28.</w:t>
            </w:r>
          </w:p>
        </w:tc>
        <w:tc>
          <w:tcPr>
            <w:tcW w:w="818" w:type="dxa"/>
            <w:gridSpan w:val="2"/>
            <w:tcBorders>
              <w:top w:val="nil"/>
              <w:left w:val="nil"/>
              <w:bottom w:val="single" w:sz="4" w:space="0" w:color="auto"/>
              <w:right w:val="single" w:sz="4" w:space="0" w:color="auto"/>
            </w:tcBorders>
            <w:shd w:val="clear" w:color="000000" w:fill="CCFFCC"/>
            <w:vAlign w:val="center"/>
            <w:hideMark/>
          </w:tcPr>
          <w:p w14:paraId="3F19EC13" w14:textId="77777777" w:rsidR="00B27DCD" w:rsidRPr="009F0A74" w:rsidRDefault="00B27DCD" w:rsidP="00B27DCD">
            <w:pPr>
              <w:spacing w:after="0" w:line="240" w:lineRule="auto"/>
              <w:jc w:val="center"/>
              <w:rPr>
                <w:rFonts w:ascii="Calibri" w:eastAsia="Times New Roman" w:hAnsi="Calibri" w:cs="Calibri"/>
                <w:b/>
                <w:bCs/>
                <w:sz w:val="16"/>
                <w:szCs w:val="16"/>
                <w:lang w:eastAsia="hr-HR"/>
              </w:rPr>
            </w:pPr>
            <w:r w:rsidRPr="009F0A74">
              <w:rPr>
                <w:rFonts w:ascii="Calibri" w:eastAsia="Times New Roman" w:hAnsi="Calibri" w:cs="Calibri"/>
                <w:b/>
                <w:bCs/>
                <w:sz w:val="16"/>
                <w:szCs w:val="16"/>
                <w:lang w:eastAsia="hr-HR"/>
              </w:rPr>
              <w:t>29.</w:t>
            </w:r>
          </w:p>
        </w:tc>
        <w:tc>
          <w:tcPr>
            <w:tcW w:w="818" w:type="dxa"/>
            <w:gridSpan w:val="2"/>
            <w:tcBorders>
              <w:top w:val="nil"/>
              <w:left w:val="nil"/>
              <w:bottom w:val="single" w:sz="4" w:space="0" w:color="auto"/>
              <w:right w:val="single" w:sz="4" w:space="0" w:color="auto"/>
            </w:tcBorders>
            <w:shd w:val="clear" w:color="000000" w:fill="CCFFCC"/>
            <w:vAlign w:val="center"/>
            <w:hideMark/>
          </w:tcPr>
          <w:p w14:paraId="60826CB7" w14:textId="77777777" w:rsidR="00B27DCD" w:rsidRPr="009F0A74" w:rsidRDefault="00B27DCD" w:rsidP="00B27DCD">
            <w:pPr>
              <w:spacing w:after="0" w:line="240" w:lineRule="auto"/>
              <w:jc w:val="center"/>
              <w:rPr>
                <w:rFonts w:ascii="Calibri" w:eastAsia="Times New Roman" w:hAnsi="Calibri" w:cs="Calibri"/>
                <w:b/>
                <w:bCs/>
                <w:sz w:val="16"/>
                <w:szCs w:val="16"/>
                <w:lang w:eastAsia="hr-HR"/>
              </w:rPr>
            </w:pPr>
            <w:r w:rsidRPr="009F0A74">
              <w:rPr>
                <w:rFonts w:ascii="Calibri" w:eastAsia="Times New Roman" w:hAnsi="Calibri" w:cs="Calibri"/>
                <w:b/>
                <w:bCs/>
                <w:sz w:val="16"/>
                <w:szCs w:val="16"/>
                <w:lang w:eastAsia="hr-HR"/>
              </w:rPr>
              <w:t>30.</w:t>
            </w:r>
          </w:p>
        </w:tc>
        <w:tc>
          <w:tcPr>
            <w:tcW w:w="236" w:type="dxa"/>
            <w:gridSpan w:val="3"/>
            <w:vAlign w:val="center"/>
            <w:hideMark/>
          </w:tcPr>
          <w:p w14:paraId="0691A431" w14:textId="77777777" w:rsidR="00B27DCD" w:rsidRPr="009F0A74" w:rsidRDefault="00B27DCD" w:rsidP="00B27DCD">
            <w:pPr>
              <w:spacing w:after="0" w:line="240" w:lineRule="auto"/>
              <w:rPr>
                <w:rFonts w:ascii="Times New Roman" w:eastAsia="Times New Roman" w:hAnsi="Times New Roman" w:cs="Times New Roman"/>
                <w:sz w:val="16"/>
                <w:szCs w:val="16"/>
                <w:lang w:eastAsia="hr-HR"/>
              </w:rPr>
            </w:pPr>
          </w:p>
        </w:tc>
      </w:tr>
      <w:tr w:rsidR="009F0A74" w:rsidRPr="009F0A74" w14:paraId="465B5563" w14:textId="77777777" w:rsidTr="009F0A74">
        <w:trPr>
          <w:trHeight w:val="315"/>
        </w:trPr>
        <w:tc>
          <w:tcPr>
            <w:tcW w:w="840" w:type="dxa"/>
            <w:tcBorders>
              <w:top w:val="single" w:sz="4" w:space="0" w:color="auto"/>
              <w:left w:val="single" w:sz="8" w:space="0" w:color="auto"/>
              <w:bottom w:val="single" w:sz="4" w:space="0" w:color="auto"/>
              <w:right w:val="single" w:sz="4" w:space="0" w:color="000000"/>
            </w:tcBorders>
            <w:shd w:val="clear" w:color="000000" w:fill="CCFFCC"/>
            <w:vAlign w:val="center"/>
            <w:hideMark/>
          </w:tcPr>
          <w:p w14:paraId="74CB5FD5" w14:textId="77777777" w:rsidR="00B27DCD" w:rsidRPr="009F0A74" w:rsidRDefault="00B27DCD" w:rsidP="00B27DCD">
            <w:pPr>
              <w:spacing w:after="0" w:line="240" w:lineRule="auto"/>
              <w:rPr>
                <w:rFonts w:ascii="Calibri" w:eastAsia="Times New Roman" w:hAnsi="Calibri" w:cs="Calibri"/>
                <w:sz w:val="16"/>
                <w:szCs w:val="16"/>
                <w:lang w:eastAsia="hr-HR"/>
              </w:rPr>
            </w:pPr>
            <w:proofErr w:type="spellStart"/>
            <w:r w:rsidRPr="009F0A74">
              <w:rPr>
                <w:rFonts w:ascii="Calibri" w:eastAsia="Times New Roman" w:hAnsi="Calibri" w:cs="Calibri"/>
                <w:sz w:val="16"/>
                <w:szCs w:val="16"/>
                <w:lang w:eastAsia="hr-HR"/>
              </w:rPr>
              <w:t>Rasa,etnička</w:t>
            </w:r>
            <w:proofErr w:type="spellEnd"/>
            <w:r w:rsidRPr="009F0A74">
              <w:rPr>
                <w:rFonts w:ascii="Calibri" w:eastAsia="Times New Roman" w:hAnsi="Calibri" w:cs="Calibri"/>
                <w:sz w:val="16"/>
                <w:szCs w:val="16"/>
                <w:lang w:eastAsia="hr-HR"/>
              </w:rPr>
              <w:t xml:space="preserve"> pripadnost ili boja kože</w:t>
            </w:r>
          </w:p>
        </w:tc>
        <w:tc>
          <w:tcPr>
            <w:tcW w:w="540" w:type="dxa"/>
            <w:tcBorders>
              <w:top w:val="nil"/>
              <w:left w:val="nil"/>
              <w:bottom w:val="single" w:sz="4" w:space="0" w:color="auto"/>
              <w:right w:val="single" w:sz="4" w:space="0" w:color="auto"/>
            </w:tcBorders>
            <w:shd w:val="clear" w:color="000000" w:fill="FFFF00"/>
            <w:vAlign w:val="bottom"/>
            <w:hideMark/>
          </w:tcPr>
          <w:p w14:paraId="392872DA" w14:textId="77777777" w:rsidR="00B27DCD" w:rsidRPr="009F0A74" w:rsidRDefault="00B27DCD" w:rsidP="00B27DCD">
            <w:pPr>
              <w:spacing w:after="0" w:line="240" w:lineRule="auto"/>
              <w:jc w:val="right"/>
              <w:rPr>
                <w:rFonts w:ascii="Calibri" w:eastAsia="Times New Roman" w:hAnsi="Calibri" w:cs="Calibri"/>
                <w:sz w:val="16"/>
                <w:szCs w:val="16"/>
                <w:lang w:eastAsia="hr-HR"/>
              </w:rPr>
            </w:pPr>
            <w:r w:rsidRPr="009F0A74">
              <w:rPr>
                <w:rFonts w:ascii="Calibri" w:eastAsia="Times New Roman" w:hAnsi="Calibri" w:cs="Calibri"/>
                <w:sz w:val="16"/>
                <w:szCs w:val="16"/>
                <w:lang w:eastAsia="hr-HR"/>
              </w:rPr>
              <w:t>1</w:t>
            </w:r>
          </w:p>
        </w:tc>
        <w:tc>
          <w:tcPr>
            <w:tcW w:w="444" w:type="dxa"/>
            <w:tcBorders>
              <w:top w:val="nil"/>
              <w:left w:val="nil"/>
              <w:bottom w:val="single" w:sz="4" w:space="0" w:color="auto"/>
              <w:right w:val="single" w:sz="4" w:space="0" w:color="auto"/>
            </w:tcBorders>
            <w:shd w:val="clear" w:color="000000" w:fill="FFCC99"/>
            <w:noWrap/>
            <w:vAlign w:val="bottom"/>
            <w:hideMark/>
          </w:tcPr>
          <w:p w14:paraId="5FCAF46D" w14:textId="77777777" w:rsidR="00B27DCD" w:rsidRPr="009F0A74" w:rsidRDefault="00B27DCD" w:rsidP="00B27DCD">
            <w:pPr>
              <w:spacing w:after="0" w:line="240" w:lineRule="auto"/>
              <w:jc w:val="right"/>
              <w:rPr>
                <w:rFonts w:ascii="Calibri" w:eastAsia="Times New Roman" w:hAnsi="Calibri" w:cs="Calibri"/>
                <w:sz w:val="16"/>
                <w:szCs w:val="16"/>
                <w:lang w:eastAsia="hr-HR"/>
              </w:rPr>
            </w:pPr>
            <w:r w:rsidRPr="009F0A74">
              <w:rPr>
                <w:rFonts w:ascii="Calibri" w:eastAsia="Times New Roman" w:hAnsi="Calibri" w:cs="Calibri"/>
                <w:sz w:val="16"/>
                <w:szCs w:val="16"/>
                <w:lang w:eastAsia="hr-HR"/>
              </w:rPr>
              <w:t>1</w:t>
            </w:r>
          </w:p>
        </w:tc>
        <w:tc>
          <w:tcPr>
            <w:tcW w:w="433" w:type="dxa"/>
            <w:tcBorders>
              <w:top w:val="nil"/>
              <w:left w:val="nil"/>
              <w:bottom w:val="single" w:sz="4" w:space="0" w:color="auto"/>
              <w:right w:val="single" w:sz="4" w:space="0" w:color="auto"/>
            </w:tcBorders>
            <w:shd w:val="clear" w:color="000000" w:fill="CCFFFF"/>
            <w:vAlign w:val="bottom"/>
            <w:hideMark/>
          </w:tcPr>
          <w:p w14:paraId="080FF4A2" w14:textId="77777777" w:rsidR="00B27DCD" w:rsidRPr="009F0A74" w:rsidRDefault="00B27DCD" w:rsidP="00B27DCD">
            <w:pPr>
              <w:spacing w:after="0" w:line="240" w:lineRule="auto"/>
              <w:jc w:val="right"/>
              <w:rPr>
                <w:rFonts w:ascii="Calibri" w:eastAsia="Times New Roman" w:hAnsi="Calibri" w:cs="Calibri"/>
                <w:sz w:val="16"/>
                <w:szCs w:val="16"/>
                <w:lang w:eastAsia="hr-HR"/>
              </w:rPr>
            </w:pPr>
            <w:r w:rsidRPr="009F0A74">
              <w:rPr>
                <w:rFonts w:ascii="Calibri" w:eastAsia="Times New Roman" w:hAnsi="Calibri" w:cs="Calibri"/>
                <w:sz w:val="16"/>
                <w:szCs w:val="16"/>
                <w:lang w:eastAsia="hr-HR"/>
              </w:rPr>
              <w:t>1</w:t>
            </w:r>
          </w:p>
        </w:tc>
        <w:tc>
          <w:tcPr>
            <w:tcW w:w="324" w:type="dxa"/>
            <w:tcBorders>
              <w:top w:val="nil"/>
              <w:left w:val="nil"/>
              <w:bottom w:val="single" w:sz="4" w:space="0" w:color="auto"/>
              <w:right w:val="single" w:sz="4" w:space="0" w:color="auto"/>
            </w:tcBorders>
            <w:shd w:val="clear" w:color="000000" w:fill="CCFFFF"/>
            <w:noWrap/>
            <w:vAlign w:val="bottom"/>
            <w:hideMark/>
          </w:tcPr>
          <w:p w14:paraId="6728A811" w14:textId="77777777" w:rsidR="00B27DCD" w:rsidRPr="009F0A74" w:rsidRDefault="00B27DCD" w:rsidP="00B27DCD">
            <w:pPr>
              <w:spacing w:after="0" w:line="240" w:lineRule="auto"/>
              <w:jc w:val="right"/>
              <w:rPr>
                <w:rFonts w:ascii="Calibri" w:eastAsia="Times New Roman" w:hAnsi="Calibri" w:cs="Calibri"/>
                <w:sz w:val="16"/>
                <w:szCs w:val="16"/>
                <w:lang w:eastAsia="hr-HR"/>
              </w:rPr>
            </w:pPr>
            <w:r w:rsidRPr="009F0A74">
              <w:rPr>
                <w:rFonts w:ascii="Calibri" w:eastAsia="Times New Roman" w:hAnsi="Calibri" w:cs="Calibri"/>
                <w:sz w:val="16"/>
                <w:szCs w:val="16"/>
                <w:lang w:eastAsia="hr-HR"/>
              </w:rPr>
              <w:t>2</w:t>
            </w:r>
          </w:p>
        </w:tc>
        <w:tc>
          <w:tcPr>
            <w:tcW w:w="385" w:type="dxa"/>
            <w:gridSpan w:val="2"/>
            <w:tcBorders>
              <w:top w:val="nil"/>
              <w:left w:val="nil"/>
              <w:bottom w:val="single" w:sz="4" w:space="0" w:color="auto"/>
              <w:right w:val="single" w:sz="4" w:space="0" w:color="auto"/>
            </w:tcBorders>
            <w:shd w:val="clear" w:color="000000" w:fill="FFFF99"/>
            <w:noWrap/>
            <w:vAlign w:val="bottom"/>
            <w:hideMark/>
          </w:tcPr>
          <w:p w14:paraId="1DC47D61" w14:textId="77777777" w:rsidR="00B27DCD" w:rsidRPr="009F0A74" w:rsidRDefault="00B27DCD" w:rsidP="00B27DCD">
            <w:pPr>
              <w:spacing w:after="0" w:line="240" w:lineRule="auto"/>
              <w:jc w:val="right"/>
              <w:rPr>
                <w:rFonts w:ascii="Calibri" w:eastAsia="Times New Roman" w:hAnsi="Calibri" w:cs="Calibri"/>
                <w:sz w:val="16"/>
                <w:szCs w:val="16"/>
                <w:lang w:eastAsia="hr-HR"/>
              </w:rPr>
            </w:pPr>
            <w:r w:rsidRPr="009F0A74">
              <w:rPr>
                <w:rFonts w:ascii="Calibri" w:eastAsia="Times New Roman" w:hAnsi="Calibri" w:cs="Calibri"/>
                <w:sz w:val="16"/>
                <w:szCs w:val="16"/>
                <w:lang w:eastAsia="hr-HR"/>
              </w:rPr>
              <w:t>0</w:t>
            </w:r>
          </w:p>
        </w:tc>
        <w:tc>
          <w:tcPr>
            <w:tcW w:w="334" w:type="dxa"/>
            <w:tcBorders>
              <w:top w:val="nil"/>
              <w:left w:val="nil"/>
              <w:bottom w:val="single" w:sz="4" w:space="0" w:color="auto"/>
              <w:right w:val="single" w:sz="4" w:space="0" w:color="auto"/>
            </w:tcBorders>
            <w:shd w:val="clear" w:color="000000" w:fill="FFFF99"/>
            <w:noWrap/>
            <w:vAlign w:val="bottom"/>
            <w:hideMark/>
          </w:tcPr>
          <w:p w14:paraId="160AA69E" w14:textId="77777777" w:rsidR="00B27DCD" w:rsidRPr="009F0A74" w:rsidRDefault="00B27DCD" w:rsidP="00B27DCD">
            <w:pPr>
              <w:spacing w:after="0" w:line="240" w:lineRule="auto"/>
              <w:jc w:val="right"/>
              <w:rPr>
                <w:rFonts w:ascii="Calibri" w:eastAsia="Times New Roman" w:hAnsi="Calibri" w:cs="Calibri"/>
                <w:sz w:val="16"/>
                <w:szCs w:val="16"/>
                <w:lang w:eastAsia="hr-HR"/>
              </w:rPr>
            </w:pPr>
            <w:r w:rsidRPr="009F0A74">
              <w:rPr>
                <w:rFonts w:ascii="Calibri" w:eastAsia="Times New Roman" w:hAnsi="Calibri" w:cs="Calibri"/>
                <w:sz w:val="16"/>
                <w:szCs w:val="16"/>
                <w:lang w:eastAsia="hr-HR"/>
              </w:rPr>
              <w:t>0</w:t>
            </w:r>
          </w:p>
        </w:tc>
        <w:tc>
          <w:tcPr>
            <w:tcW w:w="658" w:type="dxa"/>
            <w:tcBorders>
              <w:top w:val="nil"/>
              <w:left w:val="nil"/>
              <w:bottom w:val="single" w:sz="4" w:space="0" w:color="auto"/>
              <w:right w:val="single" w:sz="4" w:space="0" w:color="auto"/>
            </w:tcBorders>
            <w:shd w:val="clear" w:color="000000" w:fill="FFFF99"/>
            <w:noWrap/>
            <w:vAlign w:val="bottom"/>
            <w:hideMark/>
          </w:tcPr>
          <w:p w14:paraId="31A6AD9A" w14:textId="77777777" w:rsidR="00B27DCD" w:rsidRPr="009F0A74" w:rsidRDefault="00B27DCD" w:rsidP="00B27DCD">
            <w:pPr>
              <w:spacing w:after="0" w:line="240" w:lineRule="auto"/>
              <w:jc w:val="right"/>
              <w:rPr>
                <w:rFonts w:ascii="Calibri" w:eastAsia="Times New Roman" w:hAnsi="Calibri" w:cs="Calibri"/>
                <w:sz w:val="16"/>
                <w:szCs w:val="16"/>
                <w:lang w:eastAsia="hr-HR"/>
              </w:rPr>
            </w:pPr>
            <w:r w:rsidRPr="009F0A74">
              <w:rPr>
                <w:rFonts w:ascii="Calibri" w:eastAsia="Times New Roman" w:hAnsi="Calibri" w:cs="Calibri"/>
                <w:sz w:val="16"/>
                <w:szCs w:val="16"/>
                <w:lang w:eastAsia="hr-HR"/>
              </w:rPr>
              <w:t>0</w:t>
            </w:r>
          </w:p>
        </w:tc>
        <w:tc>
          <w:tcPr>
            <w:tcW w:w="447" w:type="dxa"/>
            <w:tcBorders>
              <w:top w:val="nil"/>
              <w:left w:val="nil"/>
              <w:bottom w:val="single" w:sz="4" w:space="0" w:color="auto"/>
              <w:right w:val="single" w:sz="4" w:space="0" w:color="auto"/>
            </w:tcBorders>
            <w:shd w:val="clear" w:color="000000" w:fill="FFFF99"/>
            <w:noWrap/>
            <w:vAlign w:val="bottom"/>
            <w:hideMark/>
          </w:tcPr>
          <w:p w14:paraId="625EBB3E" w14:textId="77777777" w:rsidR="00B27DCD" w:rsidRPr="009F0A74" w:rsidRDefault="00B27DCD" w:rsidP="00B27DCD">
            <w:pPr>
              <w:spacing w:after="0" w:line="240" w:lineRule="auto"/>
              <w:jc w:val="right"/>
              <w:rPr>
                <w:rFonts w:ascii="Calibri" w:eastAsia="Times New Roman" w:hAnsi="Calibri" w:cs="Calibri"/>
                <w:sz w:val="16"/>
                <w:szCs w:val="16"/>
                <w:lang w:eastAsia="hr-HR"/>
              </w:rPr>
            </w:pPr>
            <w:r w:rsidRPr="009F0A74">
              <w:rPr>
                <w:rFonts w:ascii="Calibri" w:eastAsia="Times New Roman" w:hAnsi="Calibri" w:cs="Calibri"/>
                <w:sz w:val="16"/>
                <w:szCs w:val="16"/>
                <w:lang w:eastAsia="hr-HR"/>
              </w:rPr>
              <w:t>0</w:t>
            </w:r>
          </w:p>
        </w:tc>
        <w:tc>
          <w:tcPr>
            <w:tcW w:w="644" w:type="dxa"/>
            <w:gridSpan w:val="2"/>
            <w:tcBorders>
              <w:top w:val="nil"/>
              <w:left w:val="nil"/>
              <w:bottom w:val="single" w:sz="4" w:space="0" w:color="auto"/>
              <w:right w:val="single" w:sz="4" w:space="0" w:color="auto"/>
            </w:tcBorders>
            <w:shd w:val="clear" w:color="000000" w:fill="FFFF99"/>
            <w:noWrap/>
            <w:vAlign w:val="bottom"/>
            <w:hideMark/>
          </w:tcPr>
          <w:p w14:paraId="6742329B" w14:textId="77777777" w:rsidR="00B27DCD" w:rsidRPr="009F0A74" w:rsidRDefault="00B27DCD" w:rsidP="00B27DCD">
            <w:pPr>
              <w:spacing w:after="0" w:line="240" w:lineRule="auto"/>
              <w:jc w:val="right"/>
              <w:rPr>
                <w:rFonts w:ascii="Calibri" w:eastAsia="Times New Roman" w:hAnsi="Calibri" w:cs="Calibri"/>
                <w:sz w:val="16"/>
                <w:szCs w:val="16"/>
                <w:lang w:eastAsia="hr-HR"/>
              </w:rPr>
            </w:pPr>
            <w:r w:rsidRPr="009F0A74">
              <w:rPr>
                <w:rFonts w:ascii="Calibri" w:eastAsia="Times New Roman" w:hAnsi="Calibri" w:cs="Calibri"/>
                <w:sz w:val="16"/>
                <w:szCs w:val="16"/>
                <w:lang w:eastAsia="hr-HR"/>
              </w:rPr>
              <w:t>0</w:t>
            </w:r>
          </w:p>
        </w:tc>
        <w:tc>
          <w:tcPr>
            <w:tcW w:w="452" w:type="dxa"/>
            <w:tcBorders>
              <w:top w:val="nil"/>
              <w:left w:val="nil"/>
              <w:bottom w:val="single" w:sz="4" w:space="0" w:color="auto"/>
              <w:right w:val="single" w:sz="4" w:space="0" w:color="auto"/>
            </w:tcBorders>
            <w:shd w:val="clear" w:color="000000" w:fill="FFFF99"/>
            <w:noWrap/>
            <w:vAlign w:val="bottom"/>
            <w:hideMark/>
          </w:tcPr>
          <w:p w14:paraId="719C5287" w14:textId="77777777" w:rsidR="00B27DCD" w:rsidRPr="009F0A74" w:rsidRDefault="00B27DCD" w:rsidP="00B27DCD">
            <w:pPr>
              <w:spacing w:after="0" w:line="240" w:lineRule="auto"/>
              <w:jc w:val="right"/>
              <w:rPr>
                <w:rFonts w:ascii="Calibri" w:eastAsia="Times New Roman" w:hAnsi="Calibri" w:cs="Calibri"/>
                <w:sz w:val="16"/>
                <w:szCs w:val="16"/>
                <w:lang w:eastAsia="hr-HR"/>
              </w:rPr>
            </w:pPr>
            <w:r w:rsidRPr="009F0A74">
              <w:rPr>
                <w:rFonts w:ascii="Calibri" w:eastAsia="Times New Roman" w:hAnsi="Calibri" w:cs="Calibri"/>
                <w:sz w:val="16"/>
                <w:szCs w:val="16"/>
                <w:lang w:eastAsia="hr-HR"/>
              </w:rPr>
              <w:t>0</w:t>
            </w:r>
          </w:p>
        </w:tc>
        <w:tc>
          <w:tcPr>
            <w:tcW w:w="538" w:type="dxa"/>
            <w:tcBorders>
              <w:top w:val="nil"/>
              <w:left w:val="nil"/>
              <w:bottom w:val="single" w:sz="4" w:space="0" w:color="auto"/>
              <w:right w:val="single" w:sz="4" w:space="0" w:color="auto"/>
            </w:tcBorders>
            <w:shd w:val="clear" w:color="000000" w:fill="FFFF99"/>
            <w:noWrap/>
            <w:vAlign w:val="bottom"/>
            <w:hideMark/>
          </w:tcPr>
          <w:p w14:paraId="1516E64E" w14:textId="77777777" w:rsidR="00B27DCD" w:rsidRPr="009F0A74" w:rsidRDefault="00B27DCD" w:rsidP="00B27DCD">
            <w:pPr>
              <w:spacing w:after="0" w:line="240" w:lineRule="auto"/>
              <w:jc w:val="right"/>
              <w:rPr>
                <w:rFonts w:ascii="Calibri" w:eastAsia="Times New Roman" w:hAnsi="Calibri" w:cs="Calibri"/>
                <w:sz w:val="16"/>
                <w:szCs w:val="16"/>
                <w:lang w:eastAsia="hr-HR"/>
              </w:rPr>
            </w:pPr>
            <w:r w:rsidRPr="009F0A74">
              <w:rPr>
                <w:rFonts w:ascii="Calibri" w:eastAsia="Times New Roman" w:hAnsi="Calibri" w:cs="Calibri"/>
                <w:sz w:val="16"/>
                <w:szCs w:val="16"/>
                <w:lang w:eastAsia="hr-HR"/>
              </w:rPr>
              <w:t>0</w:t>
            </w:r>
          </w:p>
        </w:tc>
        <w:tc>
          <w:tcPr>
            <w:tcW w:w="447" w:type="dxa"/>
            <w:tcBorders>
              <w:top w:val="nil"/>
              <w:left w:val="nil"/>
              <w:bottom w:val="single" w:sz="4" w:space="0" w:color="auto"/>
              <w:right w:val="single" w:sz="4" w:space="0" w:color="auto"/>
            </w:tcBorders>
            <w:shd w:val="clear" w:color="000000" w:fill="FFFF99"/>
            <w:noWrap/>
            <w:vAlign w:val="bottom"/>
            <w:hideMark/>
          </w:tcPr>
          <w:p w14:paraId="2A8DE91F" w14:textId="77777777" w:rsidR="00B27DCD" w:rsidRPr="009F0A74" w:rsidRDefault="00B27DCD" w:rsidP="00B27DCD">
            <w:pPr>
              <w:spacing w:after="0" w:line="240" w:lineRule="auto"/>
              <w:jc w:val="right"/>
              <w:rPr>
                <w:rFonts w:ascii="Calibri" w:eastAsia="Times New Roman" w:hAnsi="Calibri" w:cs="Calibri"/>
                <w:sz w:val="16"/>
                <w:szCs w:val="16"/>
                <w:lang w:eastAsia="hr-HR"/>
              </w:rPr>
            </w:pPr>
            <w:r w:rsidRPr="009F0A74">
              <w:rPr>
                <w:rFonts w:ascii="Calibri" w:eastAsia="Times New Roman" w:hAnsi="Calibri" w:cs="Calibri"/>
                <w:sz w:val="16"/>
                <w:szCs w:val="16"/>
                <w:lang w:eastAsia="hr-HR"/>
              </w:rPr>
              <w:t>0</w:t>
            </w:r>
          </w:p>
        </w:tc>
        <w:tc>
          <w:tcPr>
            <w:tcW w:w="447" w:type="dxa"/>
            <w:tcBorders>
              <w:top w:val="nil"/>
              <w:left w:val="nil"/>
              <w:bottom w:val="single" w:sz="4" w:space="0" w:color="auto"/>
              <w:right w:val="single" w:sz="4" w:space="0" w:color="auto"/>
            </w:tcBorders>
            <w:shd w:val="clear" w:color="000000" w:fill="FFFF99"/>
            <w:noWrap/>
            <w:vAlign w:val="bottom"/>
            <w:hideMark/>
          </w:tcPr>
          <w:p w14:paraId="2135193D" w14:textId="77777777" w:rsidR="00B27DCD" w:rsidRPr="009F0A74" w:rsidRDefault="00B27DCD" w:rsidP="00B27DCD">
            <w:pPr>
              <w:spacing w:after="0" w:line="240" w:lineRule="auto"/>
              <w:jc w:val="right"/>
              <w:rPr>
                <w:rFonts w:ascii="Calibri" w:eastAsia="Times New Roman" w:hAnsi="Calibri" w:cs="Calibri"/>
                <w:sz w:val="16"/>
                <w:szCs w:val="16"/>
                <w:lang w:eastAsia="hr-HR"/>
              </w:rPr>
            </w:pPr>
            <w:r w:rsidRPr="009F0A74">
              <w:rPr>
                <w:rFonts w:ascii="Calibri" w:eastAsia="Times New Roman" w:hAnsi="Calibri" w:cs="Calibri"/>
                <w:sz w:val="16"/>
                <w:szCs w:val="16"/>
                <w:lang w:eastAsia="hr-HR"/>
              </w:rPr>
              <w:t>1</w:t>
            </w:r>
          </w:p>
        </w:tc>
        <w:tc>
          <w:tcPr>
            <w:tcW w:w="400" w:type="dxa"/>
            <w:tcBorders>
              <w:top w:val="nil"/>
              <w:left w:val="nil"/>
              <w:bottom w:val="single" w:sz="4" w:space="0" w:color="auto"/>
              <w:right w:val="single" w:sz="4" w:space="0" w:color="auto"/>
            </w:tcBorders>
            <w:shd w:val="clear" w:color="000000" w:fill="FFFF99"/>
            <w:noWrap/>
            <w:vAlign w:val="bottom"/>
            <w:hideMark/>
          </w:tcPr>
          <w:p w14:paraId="0D15FDDF" w14:textId="77777777" w:rsidR="00B27DCD" w:rsidRPr="009F0A74" w:rsidRDefault="00B27DCD" w:rsidP="00B27DCD">
            <w:pPr>
              <w:spacing w:after="0" w:line="240" w:lineRule="auto"/>
              <w:jc w:val="right"/>
              <w:rPr>
                <w:rFonts w:ascii="Calibri" w:eastAsia="Times New Roman" w:hAnsi="Calibri" w:cs="Calibri"/>
                <w:sz w:val="16"/>
                <w:szCs w:val="16"/>
                <w:lang w:eastAsia="hr-HR"/>
              </w:rPr>
            </w:pPr>
            <w:r w:rsidRPr="009F0A74">
              <w:rPr>
                <w:rFonts w:ascii="Calibri" w:eastAsia="Times New Roman" w:hAnsi="Calibri" w:cs="Calibri"/>
                <w:sz w:val="16"/>
                <w:szCs w:val="16"/>
                <w:lang w:eastAsia="hr-HR"/>
              </w:rPr>
              <w:t>1</w:t>
            </w:r>
          </w:p>
        </w:tc>
        <w:tc>
          <w:tcPr>
            <w:tcW w:w="357" w:type="dxa"/>
            <w:gridSpan w:val="2"/>
            <w:tcBorders>
              <w:top w:val="nil"/>
              <w:left w:val="nil"/>
              <w:bottom w:val="single" w:sz="4" w:space="0" w:color="auto"/>
              <w:right w:val="single" w:sz="4" w:space="0" w:color="auto"/>
            </w:tcBorders>
            <w:shd w:val="clear" w:color="000000" w:fill="FF9900"/>
            <w:noWrap/>
            <w:vAlign w:val="bottom"/>
            <w:hideMark/>
          </w:tcPr>
          <w:p w14:paraId="1FB91D25" w14:textId="77777777" w:rsidR="00B27DCD" w:rsidRPr="009F0A74" w:rsidRDefault="00B27DCD" w:rsidP="00B27DCD">
            <w:pPr>
              <w:spacing w:after="0" w:line="240" w:lineRule="auto"/>
              <w:jc w:val="right"/>
              <w:rPr>
                <w:rFonts w:ascii="Calibri" w:eastAsia="Times New Roman" w:hAnsi="Calibri" w:cs="Calibri"/>
                <w:sz w:val="16"/>
                <w:szCs w:val="16"/>
                <w:lang w:eastAsia="hr-HR"/>
              </w:rPr>
            </w:pPr>
            <w:r w:rsidRPr="009F0A74">
              <w:rPr>
                <w:rFonts w:ascii="Calibri" w:eastAsia="Times New Roman" w:hAnsi="Calibri" w:cs="Calibri"/>
                <w:sz w:val="16"/>
                <w:szCs w:val="16"/>
                <w:lang w:eastAsia="hr-HR"/>
              </w:rPr>
              <w:t>0</w:t>
            </w:r>
          </w:p>
        </w:tc>
        <w:tc>
          <w:tcPr>
            <w:tcW w:w="447" w:type="dxa"/>
            <w:tcBorders>
              <w:top w:val="nil"/>
              <w:left w:val="nil"/>
              <w:bottom w:val="single" w:sz="4" w:space="0" w:color="auto"/>
              <w:right w:val="single" w:sz="4" w:space="0" w:color="auto"/>
            </w:tcBorders>
            <w:shd w:val="clear" w:color="000000" w:fill="FF9900"/>
            <w:noWrap/>
            <w:vAlign w:val="bottom"/>
            <w:hideMark/>
          </w:tcPr>
          <w:p w14:paraId="1B9FD2B6" w14:textId="77777777" w:rsidR="00B27DCD" w:rsidRPr="009F0A74" w:rsidRDefault="00B27DCD" w:rsidP="00B27DCD">
            <w:pPr>
              <w:spacing w:after="0" w:line="240" w:lineRule="auto"/>
              <w:jc w:val="right"/>
              <w:rPr>
                <w:rFonts w:ascii="Calibri" w:eastAsia="Times New Roman" w:hAnsi="Calibri" w:cs="Calibri"/>
                <w:sz w:val="16"/>
                <w:szCs w:val="16"/>
                <w:lang w:eastAsia="hr-HR"/>
              </w:rPr>
            </w:pPr>
            <w:r w:rsidRPr="009F0A74">
              <w:rPr>
                <w:rFonts w:ascii="Calibri" w:eastAsia="Times New Roman" w:hAnsi="Calibri" w:cs="Calibri"/>
                <w:sz w:val="16"/>
                <w:szCs w:val="16"/>
                <w:lang w:eastAsia="hr-HR"/>
              </w:rPr>
              <w:t>0</w:t>
            </w:r>
          </w:p>
        </w:tc>
        <w:tc>
          <w:tcPr>
            <w:tcW w:w="447" w:type="dxa"/>
            <w:tcBorders>
              <w:top w:val="nil"/>
              <w:left w:val="nil"/>
              <w:bottom w:val="single" w:sz="4" w:space="0" w:color="auto"/>
              <w:right w:val="single" w:sz="4" w:space="0" w:color="auto"/>
            </w:tcBorders>
            <w:shd w:val="clear" w:color="000000" w:fill="FF9900"/>
            <w:vAlign w:val="bottom"/>
            <w:hideMark/>
          </w:tcPr>
          <w:p w14:paraId="5D63416B" w14:textId="77777777" w:rsidR="00B27DCD" w:rsidRPr="009F0A74" w:rsidRDefault="00B27DCD" w:rsidP="00B27DCD">
            <w:pPr>
              <w:spacing w:after="0" w:line="240" w:lineRule="auto"/>
              <w:jc w:val="right"/>
              <w:rPr>
                <w:rFonts w:ascii="Calibri" w:eastAsia="Times New Roman" w:hAnsi="Calibri" w:cs="Calibri"/>
                <w:sz w:val="16"/>
                <w:szCs w:val="16"/>
                <w:lang w:eastAsia="hr-HR"/>
              </w:rPr>
            </w:pPr>
            <w:r w:rsidRPr="009F0A74">
              <w:rPr>
                <w:rFonts w:ascii="Calibri" w:eastAsia="Times New Roman" w:hAnsi="Calibri" w:cs="Calibri"/>
                <w:sz w:val="16"/>
                <w:szCs w:val="16"/>
                <w:lang w:eastAsia="hr-HR"/>
              </w:rPr>
              <w:t>0</w:t>
            </w:r>
          </w:p>
        </w:tc>
        <w:tc>
          <w:tcPr>
            <w:tcW w:w="446" w:type="dxa"/>
            <w:tcBorders>
              <w:top w:val="nil"/>
              <w:left w:val="nil"/>
              <w:bottom w:val="single" w:sz="4" w:space="0" w:color="auto"/>
              <w:right w:val="single" w:sz="4" w:space="0" w:color="auto"/>
            </w:tcBorders>
            <w:shd w:val="clear" w:color="auto" w:fill="auto"/>
            <w:vAlign w:val="bottom"/>
            <w:hideMark/>
          </w:tcPr>
          <w:p w14:paraId="43D193A4" w14:textId="77777777" w:rsidR="00B27DCD" w:rsidRPr="009F0A74" w:rsidRDefault="00B27DCD" w:rsidP="00B27DCD">
            <w:pPr>
              <w:spacing w:after="0" w:line="240" w:lineRule="auto"/>
              <w:jc w:val="right"/>
              <w:rPr>
                <w:rFonts w:ascii="Calibri" w:eastAsia="Times New Roman" w:hAnsi="Calibri" w:cs="Calibri"/>
                <w:b/>
                <w:bCs/>
                <w:sz w:val="16"/>
                <w:szCs w:val="16"/>
                <w:lang w:eastAsia="hr-HR"/>
              </w:rPr>
            </w:pPr>
            <w:r w:rsidRPr="009F0A74">
              <w:rPr>
                <w:rFonts w:ascii="Calibri" w:eastAsia="Times New Roman" w:hAnsi="Calibri" w:cs="Calibri"/>
                <w:b/>
                <w:bCs/>
                <w:sz w:val="16"/>
                <w:szCs w:val="16"/>
                <w:lang w:eastAsia="hr-HR"/>
              </w:rPr>
              <w:t>0</w:t>
            </w:r>
          </w:p>
        </w:tc>
        <w:tc>
          <w:tcPr>
            <w:tcW w:w="447" w:type="dxa"/>
            <w:gridSpan w:val="2"/>
            <w:tcBorders>
              <w:top w:val="nil"/>
              <w:left w:val="nil"/>
              <w:bottom w:val="single" w:sz="4" w:space="0" w:color="auto"/>
              <w:right w:val="single" w:sz="4" w:space="0" w:color="auto"/>
            </w:tcBorders>
            <w:shd w:val="clear" w:color="000000" w:fill="FFFF00"/>
            <w:noWrap/>
            <w:vAlign w:val="bottom"/>
            <w:hideMark/>
          </w:tcPr>
          <w:p w14:paraId="5A19D863" w14:textId="77777777" w:rsidR="00B27DCD" w:rsidRPr="009F0A74" w:rsidRDefault="00B27DCD" w:rsidP="00B27DCD">
            <w:pPr>
              <w:spacing w:after="0" w:line="240" w:lineRule="auto"/>
              <w:jc w:val="right"/>
              <w:rPr>
                <w:rFonts w:ascii="Calibri" w:eastAsia="Times New Roman" w:hAnsi="Calibri" w:cs="Calibri"/>
                <w:b/>
                <w:bCs/>
                <w:sz w:val="16"/>
                <w:szCs w:val="16"/>
                <w:lang w:eastAsia="hr-HR"/>
              </w:rPr>
            </w:pPr>
            <w:r w:rsidRPr="009F0A74">
              <w:rPr>
                <w:rFonts w:ascii="Calibri" w:eastAsia="Times New Roman" w:hAnsi="Calibri" w:cs="Calibri"/>
                <w:b/>
                <w:bCs/>
                <w:sz w:val="16"/>
                <w:szCs w:val="16"/>
                <w:lang w:eastAsia="hr-HR"/>
              </w:rPr>
              <w:t>0</w:t>
            </w:r>
          </w:p>
        </w:tc>
        <w:tc>
          <w:tcPr>
            <w:tcW w:w="447" w:type="dxa"/>
            <w:tcBorders>
              <w:top w:val="nil"/>
              <w:left w:val="nil"/>
              <w:bottom w:val="single" w:sz="4" w:space="0" w:color="auto"/>
              <w:right w:val="single" w:sz="4" w:space="0" w:color="auto"/>
            </w:tcBorders>
            <w:shd w:val="clear" w:color="000000" w:fill="FFFF00"/>
            <w:noWrap/>
            <w:vAlign w:val="bottom"/>
            <w:hideMark/>
          </w:tcPr>
          <w:p w14:paraId="2C8F37B1" w14:textId="77777777" w:rsidR="00B27DCD" w:rsidRPr="009F0A74" w:rsidRDefault="00B27DCD" w:rsidP="00B27DCD">
            <w:pPr>
              <w:spacing w:after="0" w:line="240" w:lineRule="auto"/>
              <w:jc w:val="right"/>
              <w:rPr>
                <w:rFonts w:ascii="Calibri" w:eastAsia="Times New Roman" w:hAnsi="Calibri" w:cs="Calibri"/>
                <w:b/>
                <w:bCs/>
                <w:sz w:val="16"/>
                <w:szCs w:val="16"/>
                <w:lang w:eastAsia="hr-HR"/>
              </w:rPr>
            </w:pPr>
            <w:r w:rsidRPr="009F0A74">
              <w:rPr>
                <w:rFonts w:ascii="Calibri" w:eastAsia="Times New Roman" w:hAnsi="Calibri" w:cs="Calibri"/>
                <w:b/>
                <w:bCs/>
                <w:sz w:val="16"/>
                <w:szCs w:val="16"/>
                <w:lang w:eastAsia="hr-HR"/>
              </w:rPr>
              <w:t>0</w:t>
            </w:r>
          </w:p>
        </w:tc>
        <w:tc>
          <w:tcPr>
            <w:tcW w:w="447" w:type="dxa"/>
            <w:tcBorders>
              <w:top w:val="nil"/>
              <w:left w:val="nil"/>
              <w:bottom w:val="single" w:sz="4" w:space="0" w:color="auto"/>
              <w:right w:val="single" w:sz="4" w:space="0" w:color="auto"/>
            </w:tcBorders>
            <w:shd w:val="clear" w:color="000000" w:fill="FFFF00"/>
            <w:vAlign w:val="bottom"/>
            <w:hideMark/>
          </w:tcPr>
          <w:p w14:paraId="0D584018" w14:textId="77777777" w:rsidR="00B27DCD" w:rsidRPr="009F0A74" w:rsidRDefault="00B27DCD" w:rsidP="00B27DCD">
            <w:pPr>
              <w:spacing w:after="0" w:line="240" w:lineRule="auto"/>
              <w:jc w:val="right"/>
              <w:rPr>
                <w:rFonts w:ascii="Calibri" w:eastAsia="Times New Roman" w:hAnsi="Calibri" w:cs="Calibri"/>
                <w:b/>
                <w:bCs/>
                <w:sz w:val="16"/>
                <w:szCs w:val="16"/>
                <w:lang w:eastAsia="hr-HR"/>
              </w:rPr>
            </w:pPr>
            <w:r w:rsidRPr="009F0A74">
              <w:rPr>
                <w:rFonts w:ascii="Calibri" w:eastAsia="Times New Roman" w:hAnsi="Calibri" w:cs="Calibri"/>
                <w:b/>
                <w:bCs/>
                <w:sz w:val="16"/>
                <w:szCs w:val="16"/>
                <w:lang w:eastAsia="hr-HR"/>
              </w:rPr>
              <w:t>0</w:t>
            </w:r>
          </w:p>
        </w:tc>
        <w:tc>
          <w:tcPr>
            <w:tcW w:w="446" w:type="dxa"/>
            <w:tcBorders>
              <w:top w:val="nil"/>
              <w:left w:val="nil"/>
              <w:bottom w:val="single" w:sz="4" w:space="0" w:color="auto"/>
              <w:right w:val="single" w:sz="4" w:space="0" w:color="auto"/>
            </w:tcBorders>
            <w:shd w:val="clear" w:color="auto" w:fill="auto"/>
            <w:vAlign w:val="bottom"/>
            <w:hideMark/>
          </w:tcPr>
          <w:p w14:paraId="0D9F9471" w14:textId="77777777" w:rsidR="00B27DCD" w:rsidRPr="009F0A74" w:rsidRDefault="00B27DCD" w:rsidP="00B27DCD">
            <w:pPr>
              <w:spacing w:after="0" w:line="240" w:lineRule="auto"/>
              <w:jc w:val="right"/>
              <w:rPr>
                <w:rFonts w:ascii="Calibri" w:eastAsia="Times New Roman" w:hAnsi="Calibri" w:cs="Calibri"/>
                <w:b/>
                <w:bCs/>
                <w:sz w:val="16"/>
                <w:szCs w:val="16"/>
                <w:lang w:eastAsia="hr-HR"/>
              </w:rPr>
            </w:pPr>
            <w:r w:rsidRPr="009F0A74">
              <w:rPr>
                <w:rFonts w:ascii="Calibri" w:eastAsia="Times New Roman" w:hAnsi="Calibri" w:cs="Calibri"/>
                <w:b/>
                <w:bCs/>
                <w:sz w:val="16"/>
                <w:szCs w:val="16"/>
                <w:lang w:eastAsia="hr-HR"/>
              </w:rPr>
              <w:t>0</w:t>
            </w:r>
          </w:p>
        </w:tc>
        <w:tc>
          <w:tcPr>
            <w:tcW w:w="524" w:type="dxa"/>
            <w:gridSpan w:val="2"/>
            <w:tcBorders>
              <w:top w:val="nil"/>
              <w:left w:val="nil"/>
              <w:bottom w:val="single" w:sz="4" w:space="0" w:color="auto"/>
              <w:right w:val="single" w:sz="4" w:space="0" w:color="auto"/>
            </w:tcBorders>
            <w:shd w:val="clear" w:color="000000" w:fill="FFFF00"/>
            <w:vAlign w:val="bottom"/>
            <w:hideMark/>
          </w:tcPr>
          <w:p w14:paraId="3E0E5D9C" w14:textId="77777777" w:rsidR="00B27DCD" w:rsidRPr="009F0A74" w:rsidRDefault="00B27DCD" w:rsidP="00B27DCD">
            <w:pPr>
              <w:spacing w:after="0" w:line="240" w:lineRule="auto"/>
              <w:jc w:val="right"/>
              <w:rPr>
                <w:rFonts w:ascii="Calibri" w:eastAsia="Times New Roman" w:hAnsi="Calibri" w:cs="Calibri"/>
                <w:sz w:val="16"/>
                <w:szCs w:val="16"/>
                <w:lang w:eastAsia="hr-HR"/>
              </w:rPr>
            </w:pPr>
            <w:r w:rsidRPr="009F0A74">
              <w:rPr>
                <w:rFonts w:ascii="Calibri" w:eastAsia="Times New Roman" w:hAnsi="Calibri" w:cs="Calibri"/>
                <w:sz w:val="16"/>
                <w:szCs w:val="16"/>
                <w:lang w:eastAsia="hr-HR"/>
              </w:rPr>
              <w:t>2</w:t>
            </w:r>
          </w:p>
        </w:tc>
        <w:tc>
          <w:tcPr>
            <w:tcW w:w="425" w:type="dxa"/>
            <w:gridSpan w:val="2"/>
            <w:tcBorders>
              <w:top w:val="nil"/>
              <w:left w:val="nil"/>
              <w:bottom w:val="single" w:sz="4" w:space="0" w:color="auto"/>
              <w:right w:val="single" w:sz="4" w:space="0" w:color="auto"/>
            </w:tcBorders>
            <w:shd w:val="clear" w:color="000000" w:fill="FF9900"/>
            <w:vAlign w:val="bottom"/>
            <w:hideMark/>
          </w:tcPr>
          <w:p w14:paraId="482A0A1B" w14:textId="77777777" w:rsidR="00B27DCD" w:rsidRPr="009F0A74" w:rsidRDefault="00B27DCD" w:rsidP="00B27DCD">
            <w:pPr>
              <w:spacing w:after="0" w:line="240" w:lineRule="auto"/>
              <w:jc w:val="right"/>
              <w:rPr>
                <w:rFonts w:ascii="Calibri" w:eastAsia="Times New Roman" w:hAnsi="Calibri" w:cs="Calibri"/>
                <w:b/>
                <w:bCs/>
                <w:sz w:val="16"/>
                <w:szCs w:val="16"/>
                <w:lang w:eastAsia="hr-HR"/>
              </w:rPr>
            </w:pPr>
            <w:r w:rsidRPr="009F0A74">
              <w:rPr>
                <w:rFonts w:ascii="Calibri" w:eastAsia="Times New Roman" w:hAnsi="Calibri" w:cs="Calibri"/>
                <w:b/>
                <w:bCs/>
                <w:sz w:val="16"/>
                <w:szCs w:val="16"/>
                <w:lang w:eastAsia="hr-HR"/>
              </w:rPr>
              <w:t>0</w:t>
            </w:r>
          </w:p>
        </w:tc>
        <w:tc>
          <w:tcPr>
            <w:tcW w:w="501" w:type="dxa"/>
            <w:gridSpan w:val="2"/>
            <w:tcBorders>
              <w:top w:val="nil"/>
              <w:left w:val="nil"/>
              <w:bottom w:val="single" w:sz="4" w:space="0" w:color="auto"/>
              <w:right w:val="single" w:sz="4" w:space="0" w:color="auto"/>
            </w:tcBorders>
            <w:shd w:val="clear" w:color="000000" w:fill="FF9900"/>
            <w:vAlign w:val="bottom"/>
            <w:hideMark/>
          </w:tcPr>
          <w:p w14:paraId="0FD27EE2" w14:textId="77777777" w:rsidR="00B27DCD" w:rsidRPr="009F0A74" w:rsidRDefault="00B27DCD" w:rsidP="00B27DCD">
            <w:pPr>
              <w:spacing w:after="0" w:line="240" w:lineRule="auto"/>
              <w:jc w:val="right"/>
              <w:rPr>
                <w:rFonts w:ascii="Calibri" w:eastAsia="Times New Roman" w:hAnsi="Calibri" w:cs="Calibri"/>
                <w:b/>
                <w:bCs/>
                <w:sz w:val="16"/>
                <w:szCs w:val="16"/>
                <w:lang w:eastAsia="hr-HR"/>
              </w:rPr>
            </w:pPr>
            <w:r w:rsidRPr="009F0A74">
              <w:rPr>
                <w:rFonts w:ascii="Calibri" w:eastAsia="Times New Roman" w:hAnsi="Calibri" w:cs="Calibri"/>
                <w:b/>
                <w:bCs/>
                <w:sz w:val="16"/>
                <w:szCs w:val="16"/>
                <w:lang w:eastAsia="hr-HR"/>
              </w:rPr>
              <w:t>0</w:t>
            </w:r>
          </w:p>
        </w:tc>
        <w:tc>
          <w:tcPr>
            <w:tcW w:w="425" w:type="dxa"/>
            <w:tcBorders>
              <w:top w:val="nil"/>
              <w:left w:val="nil"/>
              <w:bottom w:val="single" w:sz="4" w:space="0" w:color="auto"/>
              <w:right w:val="single" w:sz="4" w:space="0" w:color="auto"/>
            </w:tcBorders>
            <w:shd w:val="clear" w:color="000000" w:fill="CCFFFF"/>
            <w:vAlign w:val="bottom"/>
            <w:hideMark/>
          </w:tcPr>
          <w:p w14:paraId="195A6C1C" w14:textId="77777777" w:rsidR="00B27DCD" w:rsidRPr="009F0A74" w:rsidRDefault="00B27DCD" w:rsidP="00B27DCD">
            <w:pPr>
              <w:spacing w:after="0" w:line="240" w:lineRule="auto"/>
              <w:jc w:val="right"/>
              <w:rPr>
                <w:rFonts w:ascii="Calibri" w:eastAsia="Times New Roman" w:hAnsi="Calibri" w:cs="Calibri"/>
                <w:b/>
                <w:bCs/>
                <w:sz w:val="16"/>
                <w:szCs w:val="16"/>
                <w:lang w:eastAsia="hr-HR"/>
              </w:rPr>
            </w:pPr>
            <w:r w:rsidRPr="009F0A74">
              <w:rPr>
                <w:rFonts w:ascii="Calibri" w:eastAsia="Times New Roman" w:hAnsi="Calibri" w:cs="Calibri"/>
                <w:b/>
                <w:bCs/>
                <w:sz w:val="16"/>
                <w:szCs w:val="16"/>
                <w:lang w:eastAsia="hr-HR"/>
              </w:rPr>
              <w:t>0</w:t>
            </w:r>
          </w:p>
        </w:tc>
        <w:tc>
          <w:tcPr>
            <w:tcW w:w="426" w:type="dxa"/>
            <w:tcBorders>
              <w:top w:val="nil"/>
              <w:left w:val="nil"/>
              <w:bottom w:val="single" w:sz="4" w:space="0" w:color="auto"/>
              <w:right w:val="single" w:sz="4" w:space="0" w:color="auto"/>
            </w:tcBorders>
            <w:shd w:val="clear" w:color="000000" w:fill="CCFFFF"/>
            <w:noWrap/>
            <w:vAlign w:val="bottom"/>
            <w:hideMark/>
          </w:tcPr>
          <w:p w14:paraId="3CF23701" w14:textId="77777777" w:rsidR="00B27DCD" w:rsidRPr="009F0A74" w:rsidRDefault="00B27DCD" w:rsidP="00B27DCD">
            <w:pPr>
              <w:spacing w:after="0" w:line="240" w:lineRule="auto"/>
              <w:jc w:val="right"/>
              <w:rPr>
                <w:rFonts w:ascii="Calibri" w:eastAsia="Times New Roman" w:hAnsi="Calibri" w:cs="Calibri"/>
                <w:b/>
                <w:bCs/>
                <w:sz w:val="16"/>
                <w:szCs w:val="16"/>
                <w:lang w:eastAsia="hr-HR"/>
              </w:rPr>
            </w:pPr>
            <w:r w:rsidRPr="009F0A74">
              <w:rPr>
                <w:rFonts w:ascii="Calibri" w:eastAsia="Times New Roman" w:hAnsi="Calibri" w:cs="Calibri"/>
                <w:b/>
                <w:bCs/>
                <w:sz w:val="16"/>
                <w:szCs w:val="16"/>
                <w:lang w:eastAsia="hr-HR"/>
              </w:rPr>
              <w:t>0</w:t>
            </w:r>
          </w:p>
        </w:tc>
        <w:tc>
          <w:tcPr>
            <w:tcW w:w="818" w:type="dxa"/>
            <w:gridSpan w:val="2"/>
            <w:tcBorders>
              <w:top w:val="nil"/>
              <w:left w:val="nil"/>
              <w:bottom w:val="single" w:sz="4" w:space="0" w:color="auto"/>
              <w:right w:val="single" w:sz="4" w:space="0" w:color="auto"/>
            </w:tcBorders>
            <w:shd w:val="clear" w:color="000000" w:fill="33CCCC"/>
            <w:noWrap/>
            <w:vAlign w:val="bottom"/>
            <w:hideMark/>
          </w:tcPr>
          <w:p w14:paraId="3334EA1F" w14:textId="77777777" w:rsidR="00B27DCD" w:rsidRPr="009F0A74" w:rsidRDefault="00B27DCD" w:rsidP="00B27DCD">
            <w:pPr>
              <w:spacing w:after="0" w:line="240" w:lineRule="auto"/>
              <w:jc w:val="right"/>
              <w:rPr>
                <w:rFonts w:ascii="Calibri" w:eastAsia="Times New Roman" w:hAnsi="Calibri" w:cs="Calibri"/>
                <w:b/>
                <w:bCs/>
                <w:sz w:val="16"/>
                <w:szCs w:val="16"/>
                <w:lang w:eastAsia="hr-HR"/>
              </w:rPr>
            </w:pPr>
            <w:r w:rsidRPr="009F0A74">
              <w:rPr>
                <w:rFonts w:ascii="Calibri" w:eastAsia="Times New Roman" w:hAnsi="Calibri" w:cs="Calibri"/>
                <w:b/>
                <w:bCs/>
                <w:sz w:val="16"/>
                <w:szCs w:val="16"/>
                <w:lang w:eastAsia="hr-HR"/>
              </w:rPr>
              <w:t>0</w:t>
            </w:r>
          </w:p>
        </w:tc>
        <w:tc>
          <w:tcPr>
            <w:tcW w:w="818" w:type="dxa"/>
            <w:gridSpan w:val="2"/>
            <w:tcBorders>
              <w:top w:val="nil"/>
              <w:left w:val="nil"/>
              <w:bottom w:val="single" w:sz="4" w:space="0" w:color="auto"/>
              <w:right w:val="single" w:sz="8" w:space="0" w:color="auto"/>
            </w:tcBorders>
            <w:shd w:val="clear" w:color="000000" w:fill="33CCCC"/>
            <w:noWrap/>
            <w:vAlign w:val="bottom"/>
            <w:hideMark/>
          </w:tcPr>
          <w:p w14:paraId="1006690D" w14:textId="77777777" w:rsidR="00B27DCD" w:rsidRPr="009F0A74" w:rsidRDefault="00B27DCD" w:rsidP="00B27DCD">
            <w:pPr>
              <w:spacing w:after="0" w:line="240" w:lineRule="auto"/>
              <w:jc w:val="right"/>
              <w:rPr>
                <w:rFonts w:ascii="Calibri" w:eastAsia="Times New Roman" w:hAnsi="Calibri" w:cs="Calibri"/>
                <w:b/>
                <w:bCs/>
                <w:sz w:val="16"/>
                <w:szCs w:val="16"/>
                <w:lang w:eastAsia="hr-HR"/>
              </w:rPr>
            </w:pPr>
            <w:r w:rsidRPr="009F0A74">
              <w:rPr>
                <w:rFonts w:ascii="Calibri" w:eastAsia="Times New Roman" w:hAnsi="Calibri" w:cs="Calibri"/>
                <w:b/>
                <w:bCs/>
                <w:sz w:val="16"/>
                <w:szCs w:val="16"/>
                <w:lang w:eastAsia="hr-HR"/>
              </w:rPr>
              <w:t>0</w:t>
            </w:r>
          </w:p>
        </w:tc>
        <w:tc>
          <w:tcPr>
            <w:tcW w:w="236" w:type="dxa"/>
            <w:gridSpan w:val="3"/>
            <w:vAlign w:val="center"/>
            <w:hideMark/>
          </w:tcPr>
          <w:p w14:paraId="60F8DDA1" w14:textId="77777777" w:rsidR="00B27DCD" w:rsidRPr="009F0A74" w:rsidRDefault="00B27DCD" w:rsidP="00B27DCD">
            <w:pPr>
              <w:spacing w:after="0" w:line="240" w:lineRule="auto"/>
              <w:rPr>
                <w:rFonts w:ascii="Times New Roman" w:eastAsia="Times New Roman" w:hAnsi="Times New Roman" w:cs="Times New Roman"/>
                <w:sz w:val="16"/>
                <w:szCs w:val="16"/>
                <w:lang w:eastAsia="hr-HR"/>
              </w:rPr>
            </w:pPr>
          </w:p>
        </w:tc>
      </w:tr>
      <w:tr w:rsidR="009F0A74" w:rsidRPr="009F0A74" w14:paraId="11E438D1" w14:textId="77777777" w:rsidTr="009F0A74">
        <w:trPr>
          <w:trHeight w:val="315"/>
        </w:trPr>
        <w:tc>
          <w:tcPr>
            <w:tcW w:w="840" w:type="dxa"/>
            <w:tcBorders>
              <w:top w:val="single" w:sz="4" w:space="0" w:color="auto"/>
              <w:left w:val="single" w:sz="8" w:space="0" w:color="auto"/>
              <w:bottom w:val="single" w:sz="4" w:space="0" w:color="auto"/>
              <w:right w:val="single" w:sz="4" w:space="0" w:color="000000"/>
            </w:tcBorders>
            <w:shd w:val="clear" w:color="000000" w:fill="CCFFCC"/>
            <w:vAlign w:val="center"/>
            <w:hideMark/>
          </w:tcPr>
          <w:p w14:paraId="38E78005" w14:textId="77777777" w:rsidR="00B27DCD" w:rsidRPr="009F0A74" w:rsidRDefault="00B27DCD" w:rsidP="00B27DCD">
            <w:pPr>
              <w:spacing w:after="0" w:line="240" w:lineRule="auto"/>
              <w:rPr>
                <w:rFonts w:ascii="Calibri" w:eastAsia="Times New Roman" w:hAnsi="Calibri" w:cs="Calibri"/>
                <w:sz w:val="16"/>
                <w:szCs w:val="16"/>
                <w:lang w:eastAsia="hr-HR"/>
              </w:rPr>
            </w:pPr>
            <w:r w:rsidRPr="009F0A74">
              <w:rPr>
                <w:rFonts w:ascii="Calibri" w:eastAsia="Times New Roman" w:hAnsi="Calibri" w:cs="Calibri"/>
                <w:sz w:val="16"/>
                <w:szCs w:val="16"/>
                <w:lang w:eastAsia="hr-HR"/>
              </w:rPr>
              <w:t>Spol</w:t>
            </w:r>
          </w:p>
        </w:tc>
        <w:tc>
          <w:tcPr>
            <w:tcW w:w="540" w:type="dxa"/>
            <w:tcBorders>
              <w:top w:val="nil"/>
              <w:left w:val="nil"/>
              <w:bottom w:val="single" w:sz="4" w:space="0" w:color="auto"/>
              <w:right w:val="single" w:sz="4" w:space="0" w:color="auto"/>
            </w:tcBorders>
            <w:shd w:val="clear" w:color="000000" w:fill="FFFF00"/>
            <w:vAlign w:val="bottom"/>
            <w:hideMark/>
          </w:tcPr>
          <w:p w14:paraId="24271D7B" w14:textId="77777777" w:rsidR="00B27DCD" w:rsidRPr="009F0A74" w:rsidRDefault="00B27DCD" w:rsidP="00B27DCD">
            <w:pPr>
              <w:spacing w:after="0" w:line="240" w:lineRule="auto"/>
              <w:jc w:val="right"/>
              <w:rPr>
                <w:rFonts w:ascii="Calibri" w:eastAsia="Times New Roman" w:hAnsi="Calibri" w:cs="Calibri"/>
                <w:sz w:val="16"/>
                <w:szCs w:val="16"/>
                <w:lang w:eastAsia="hr-HR"/>
              </w:rPr>
            </w:pPr>
            <w:r w:rsidRPr="009F0A74">
              <w:rPr>
                <w:rFonts w:ascii="Calibri" w:eastAsia="Times New Roman" w:hAnsi="Calibri" w:cs="Calibri"/>
                <w:sz w:val="16"/>
                <w:szCs w:val="16"/>
                <w:lang w:eastAsia="hr-HR"/>
              </w:rPr>
              <w:t>1</w:t>
            </w:r>
          </w:p>
        </w:tc>
        <w:tc>
          <w:tcPr>
            <w:tcW w:w="444" w:type="dxa"/>
            <w:tcBorders>
              <w:top w:val="nil"/>
              <w:left w:val="nil"/>
              <w:bottom w:val="single" w:sz="4" w:space="0" w:color="auto"/>
              <w:right w:val="single" w:sz="4" w:space="0" w:color="auto"/>
            </w:tcBorders>
            <w:shd w:val="clear" w:color="000000" w:fill="FFCC99"/>
            <w:noWrap/>
            <w:vAlign w:val="bottom"/>
            <w:hideMark/>
          </w:tcPr>
          <w:p w14:paraId="0BA2AD1C" w14:textId="77777777" w:rsidR="00B27DCD" w:rsidRPr="009F0A74" w:rsidRDefault="00B27DCD" w:rsidP="00B27DCD">
            <w:pPr>
              <w:spacing w:after="0" w:line="240" w:lineRule="auto"/>
              <w:jc w:val="right"/>
              <w:rPr>
                <w:rFonts w:ascii="Calibri" w:eastAsia="Times New Roman" w:hAnsi="Calibri" w:cs="Calibri"/>
                <w:sz w:val="16"/>
                <w:szCs w:val="16"/>
                <w:lang w:eastAsia="hr-HR"/>
              </w:rPr>
            </w:pPr>
            <w:r w:rsidRPr="009F0A74">
              <w:rPr>
                <w:rFonts w:ascii="Calibri" w:eastAsia="Times New Roman" w:hAnsi="Calibri" w:cs="Calibri"/>
                <w:sz w:val="16"/>
                <w:szCs w:val="16"/>
                <w:lang w:eastAsia="hr-HR"/>
              </w:rPr>
              <w:t>2</w:t>
            </w:r>
          </w:p>
        </w:tc>
        <w:tc>
          <w:tcPr>
            <w:tcW w:w="433" w:type="dxa"/>
            <w:tcBorders>
              <w:top w:val="nil"/>
              <w:left w:val="nil"/>
              <w:bottom w:val="single" w:sz="4" w:space="0" w:color="auto"/>
              <w:right w:val="single" w:sz="4" w:space="0" w:color="auto"/>
            </w:tcBorders>
            <w:shd w:val="clear" w:color="000000" w:fill="CCFFFF"/>
            <w:vAlign w:val="bottom"/>
            <w:hideMark/>
          </w:tcPr>
          <w:p w14:paraId="7AD7D233" w14:textId="77777777" w:rsidR="00B27DCD" w:rsidRPr="009F0A74" w:rsidRDefault="00B27DCD" w:rsidP="00B27DCD">
            <w:pPr>
              <w:spacing w:after="0" w:line="240" w:lineRule="auto"/>
              <w:jc w:val="right"/>
              <w:rPr>
                <w:rFonts w:ascii="Calibri" w:eastAsia="Times New Roman" w:hAnsi="Calibri" w:cs="Calibri"/>
                <w:sz w:val="16"/>
                <w:szCs w:val="16"/>
                <w:lang w:eastAsia="hr-HR"/>
              </w:rPr>
            </w:pPr>
            <w:r w:rsidRPr="009F0A74">
              <w:rPr>
                <w:rFonts w:ascii="Calibri" w:eastAsia="Times New Roman" w:hAnsi="Calibri" w:cs="Calibri"/>
                <w:sz w:val="16"/>
                <w:szCs w:val="16"/>
                <w:lang w:eastAsia="hr-HR"/>
              </w:rPr>
              <w:t>2</w:t>
            </w:r>
          </w:p>
        </w:tc>
        <w:tc>
          <w:tcPr>
            <w:tcW w:w="324" w:type="dxa"/>
            <w:tcBorders>
              <w:top w:val="nil"/>
              <w:left w:val="nil"/>
              <w:bottom w:val="single" w:sz="4" w:space="0" w:color="auto"/>
              <w:right w:val="single" w:sz="4" w:space="0" w:color="auto"/>
            </w:tcBorders>
            <w:shd w:val="clear" w:color="000000" w:fill="CCFFFF"/>
            <w:noWrap/>
            <w:vAlign w:val="bottom"/>
            <w:hideMark/>
          </w:tcPr>
          <w:p w14:paraId="44A7F639" w14:textId="77777777" w:rsidR="00B27DCD" w:rsidRPr="009F0A74" w:rsidRDefault="00B27DCD" w:rsidP="00B27DCD">
            <w:pPr>
              <w:spacing w:after="0" w:line="240" w:lineRule="auto"/>
              <w:jc w:val="right"/>
              <w:rPr>
                <w:rFonts w:ascii="Calibri" w:eastAsia="Times New Roman" w:hAnsi="Calibri" w:cs="Calibri"/>
                <w:sz w:val="16"/>
                <w:szCs w:val="16"/>
                <w:lang w:eastAsia="hr-HR"/>
              </w:rPr>
            </w:pPr>
            <w:r w:rsidRPr="009F0A74">
              <w:rPr>
                <w:rFonts w:ascii="Calibri" w:eastAsia="Times New Roman" w:hAnsi="Calibri" w:cs="Calibri"/>
                <w:sz w:val="16"/>
                <w:szCs w:val="16"/>
                <w:lang w:eastAsia="hr-HR"/>
              </w:rPr>
              <w:t>0</w:t>
            </w:r>
          </w:p>
        </w:tc>
        <w:tc>
          <w:tcPr>
            <w:tcW w:w="385" w:type="dxa"/>
            <w:gridSpan w:val="2"/>
            <w:tcBorders>
              <w:top w:val="nil"/>
              <w:left w:val="nil"/>
              <w:bottom w:val="single" w:sz="4" w:space="0" w:color="auto"/>
              <w:right w:val="single" w:sz="4" w:space="0" w:color="auto"/>
            </w:tcBorders>
            <w:shd w:val="clear" w:color="000000" w:fill="FFFF99"/>
            <w:noWrap/>
            <w:vAlign w:val="bottom"/>
            <w:hideMark/>
          </w:tcPr>
          <w:p w14:paraId="7A9DC0BF" w14:textId="77777777" w:rsidR="00B27DCD" w:rsidRPr="009F0A74" w:rsidRDefault="00B27DCD" w:rsidP="00B27DCD">
            <w:pPr>
              <w:spacing w:after="0" w:line="240" w:lineRule="auto"/>
              <w:jc w:val="right"/>
              <w:rPr>
                <w:rFonts w:ascii="Calibri" w:eastAsia="Times New Roman" w:hAnsi="Calibri" w:cs="Calibri"/>
                <w:sz w:val="16"/>
                <w:szCs w:val="16"/>
                <w:lang w:eastAsia="hr-HR"/>
              </w:rPr>
            </w:pPr>
            <w:r w:rsidRPr="009F0A74">
              <w:rPr>
                <w:rFonts w:ascii="Calibri" w:eastAsia="Times New Roman" w:hAnsi="Calibri" w:cs="Calibri"/>
                <w:sz w:val="16"/>
                <w:szCs w:val="16"/>
                <w:lang w:eastAsia="hr-HR"/>
              </w:rPr>
              <w:t>0</w:t>
            </w:r>
          </w:p>
        </w:tc>
        <w:tc>
          <w:tcPr>
            <w:tcW w:w="334" w:type="dxa"/>
            <w:tcBorders>
              <w:top w:val="nil"/>
              <w:left w:val="nil"/>
              <w:bottom w:val="single" w:sz="4" w:space="0" w:color="auto"/>
              <w:right w:val="single" w:sz="4" w:space="0" w:color="auto"/>
            </w:tcBorders>
            <w:shd w:val="clear" w:color="000000" w:fill="FFFF99"/>
            <w:noWrap/>
            <w:vAlign w:val="bottom"/>
            <w:hideMark/>
          </w:tcPr>
          <w:p w14:paraId="10F849A3" w14:textId="77777777" w:rsidR="00B27DCD" w:rsidRPr="009F0A74" w:rsidRDefault="00B27DCD" w:rsidP="00B27DCD">
            <w:pPr>
              <w:spacing w:after="0" w:line="240" w:lineRule="auto"/>
              <w:jc w:val="right"/>
              <w:rPr>
                <w:rFonts w:ascii="Calibri" w:eastAsia="Times New Roman" w:hAnsi="Calibri" w:cs="Calibri"/>
                <w:sz w:val="16"/>
                <w:szCs w:val="16"/>
                <w:lang w:eastAsia="hr-HR"/>
              </w:rPr>
            </w:pPr>
            <w:r w:rsidRPr="009F0A74">
              <w:rPr>
                <w:rFonts w:ascii="Calibri" w:eastAsia="Times New Roman" w:hAnsi="Calibri" w:cs="Calibri"/>
                <w:sz w:val="16"/>
                <w:szCs w:val="16"/>
                <w:lang w:eastAsia="hr-HR"/>
              </w:rPr>
              <w:t>0</w:t>
            </w:r>
          </w:p>
        </w:tc>
        <w:tc>
          <w:tcPr>
            <w:tcW w:w="658" w:type="dxa"/>
            <w:tcBorders>
              <w:top w:val="nil"/>
              <w:left w:val="nil"/>
              <w:bottom w:val="single" w:sz="4" w:space="0" w:color="auto"/>
              <w:right w:val="single" w:sz="4" w:space="0" w:color="auto"/>
            </w:tcBorders>
            <w:shd w:val="clear" w:color="000000" w:fill="FFFF99"/>
            <w:noWrap/>
            <w:vAlign w:val="bottom"/>
            <w:hideMark/>
          </w:tcPr>
          <w:p w14:paraId="202DBB92" w14:textId="77777777" w:rsidR="00B27DCD" w:rsidRPr="009F0A74" w:rsidRDefault="00B27DCD" w:rsidP="00B27DCD">
            <w:pPr>
              <w:spacing w:after="0" w:line="240" w:lineRule="auto"/>
              <w:jc w:val="right"/>
              <w:rPr>
                <w:rFonts w:ascii="Calibri" w:eastAsia="Times New Roman" w:hAnsi="Calibri" w:cs="Calibri"/>
                <w:sz w:val="16"/>
                <w:szCs w:val="16"/>
                <w:lang w:eastAsia="hr-HR"/>
              </w:rPr>
            </w:pPr>
            <w:r w:rsidRPr="009F0A74">
              <w:rPr>
                <w:rFonts w:ascii="Calibri" w:eastAsia="Times New Roman" w:hAnsi="Calibri" w:cs="Calibri"/>
                <w:sz w:val="16"/>
                <w:szCs w:val="16"/>
                <w:lang w:eastAsia="hr-HR"/>
              </w:rPr>
              <w:t>0</w:t>
            </w:r>
          </w:p>
        </w:tc>
        <w:tc>
          <w:tcPr>
            <w:tcW w:w="447" w:type="dxa"/>
            <w:tcBorders>
              <w:top w:val="nil"/>
              <w:left w:val="nil"/>
              <w:bottom w:val="single" w:sz="4" w:space="0" w:color="auto"/>
              <w:right w:val="single" w:sz="4" w:space="0" w:color="auto"/>
            </w:tcBorders>
            <w:shd w:val="clear" w:color="000000" w:fill="FFFF99"/>
            <w:noWrap/>
            <w:vAlign w:val="bottom"/>
            <w:hideMark/>
          </w:tcPr>
          <w:p w14:paraId="1581A336" w14:textId="77777777" w:rsidR="00B27DCD" w:rsidRPr="009F0A74" w:rsidRDefault="00B27DCD" w:rsidP="00B27DCD">
            <w:pPr>
              <w:spacing w:after="0" w:line="240" w:lineRule="auto"/>
              <w:jc w:val="right"/>
              <w:rPr>
                <w:rFonts w:ascii="Calibri" w:eastAsia="Times New Roman" w:hAnsi="Calibri" w:cs="Calibri"/>
                <w:sz w:val="16"/>
                <w:szCs w:val="16"/>
                <w:lang w:eastAsia="hr-HR"/>
              </w:rPr>
            </w:pPr>
            <w:r w:rsidRPr="009F0A74">
              <w:rPr>
                <w:rFonts w:ascii="Calibri" w:eastAsia="Times New Roman" w:hAnsi="Calibri" w:cs="Calibri"/>
                <w:sz w:val="16"/>
                <w:szCs w:val="16"/>
                <w:lang w:eastAsia="hr-HR"/>
              </w:rPr>
              <w:t>0</w:t>
            </w:r>
          </w:p>
        </w:tc>
        <w:tc>
          <w:tcPr>
            <w:tcW w:w="644" w:type="dxa"/>
            <w:gridSpan w:val="2"/>
            <w:tcBorders>
              <w:top w:val="nil"/>
              <w:left w:val="nil"/>
              <w:bottom w:val="single" w:sz="4" w:space="0" w:color="auto"/>
              <w:right w:val="single" w:sz="4" w:space="0" w:color="auto"/>
            </w:tcBorders>
            <w:shd w:val="clear" w:color="000000" w:fill="FFFF99"/>
            <w:noWrap/>
            <w:vAlign w:val="bottom"/>
            <w:hideMark/>
          </w:tcPr>
          <w:p w14:paraId="295F19EC" w14:textId="77777777" w:rsidR="00B27DCD" w:rsidRPr="009F0A74" w:rsidRDefault="00B27DCD" w:rsidP="00B27DCD">
            <w:pPr>
              <w:spacing w:after="0" w:line="240" w:lineRule="auto"/>
              <w:jc w:val="right"/>
              <w:rPr>
                <w:rFonts w:ascii="Calibri" w:eastAsia="Times New Roman" w:hAnsi="Calibri" w:cs="Calibri"/>
                <w:sz w:val="16"/>
                <w:szCs w:val="16"/>
                <w:lang w:eastAsia="hr-HR"/>
              </w:rPr>
            </w:pPr>
            <w:r w:rsidRPr="009F0A74">
              <w:rPr>
                <w:rFonts w:ascii="Calibri" w:eastAsia="Times New Roman" w:hAnsi="Calibri" w:cs="Calibri"/>
                <w:sz w:val="16"/>
                <w:szCs w:val="16"/>
                <w:lang w:eastAsia="hr-HR"/>
              </w:rPr>
              <w:t>0</w:t>
            </w:r>
          </w:p>
        </w:tc>
        <w:tc>
          <w:tcPr>
            <w:tcW w:w="452" w:type="dxa"/>
            <w:tcBorders>
              <w:top w:val="nil"/>
              <w:left w:val="nil"/>
              <w:bottom w:val="single" w:sz="4" w:space="0" w:color="auto"/>
              <w:right w:val="single" w:sz="4" w:space="0" w:color="auto"/>
            </w:tcBorders>
            <w:shd w:val="clear" w:color="000000" w:fill="FFFF99"/>
            <w:noWrap/>
            <w:vAlign w:val="bottom"/>
            <w:hideMark/>
          </w:tcPr>
          <w:p w14:paraId="40723B44" w14:textId="77777777" w:rsidR="00B27DCD" w:rsidRPr="009F0A74" w:rsidRDefault="00B27DCD" w:rsidP="00B27DCD">
            <w:pPr>
              <w:spacing w:after="0" w:line="240" w:lineRule="auto"/>
              <w:jc w:val="right"/>
              <w:rPr>
                <w:rFonts w:ascii="Calibri" w:eastAsia="Times New Roman" w:hAnsi="Calibri" w:cs="Calibri"/>
                <w:sz w:val="16"/>
                <w:szCs w:val="16"/>
                <w:lang w:eastAsia="hr-HR"/>
              </w:rPr>
            </w:pPr>
            <w:r w:rsidRPr="009F0A74">
              <w:rPr>
                <w:rFonts w:ascii="Calibri" w:eastAsia="Times New Roman" w:hAnsi="Calibri" w:cs="Calibri"/>
                <w:sz w:val="16"/>
                <w:szCs w:val="16"/>
                <w:lang w:eastAsia="hr-HR"/>
              </w:rPr>
              <w:t>0</w:t>
            </w:r>
          </w:p>
        </w:tc>
        <w:tc>
          <w:tcPr>
            <w:tcW w:w="538" w:type="dxa"/>
            <w:tcBorders>
              <w:top w:val="nil"/>
              <w:left w:val="nil"/>
              <w:bottom w:val="single" w:sz="4" w:space="0" w:color="auto"/>
              <w:right w:val="single" w:sz="4" w:space="0" w:color="auto"/>
            </w:tcBorders>
            <w:shd w:val="clear" w:color="000000" w:fill="FFFF99"/>
            <w:noWrap/>
            <w:vAlign w:val="bottom"/>
            <w:hideMark/>
          </w:tcPr>
          <w:p w14:paraId="795872F2" w14:textId="77777777" w:rsidR="00B27DCD" w:rsidRPr="009F0A74" w:rsidRDefault="00B27DCD" w:rsidP="00B27DCD">
            <w:pPr>
              <w:spacing w:after="0" w:line="240" w:lineRule="auto"/>
              <w:jc w:val="right"/>
              <w:rPr>
                <w:rFonts w:ascii="Calibri" w:eastAsia="Times New Roman" w:hAnsi="Calibri" w:cs="Calibri"/>
                <w:sz w:val="16"/>
                <w:szCs w:val="16"/>
                <w:lang w:eastAsia="hr-HR"/>
              </w:rPr>
            </w:pPr>
            <w:r w:rsidRPr="009F0A74">
              <w:rPr>
                <w:rFonts w:ascii="Calibri" w:eastAsia="Times New Roman" w:hAnsi="Calibri" w:cs="Calibri"/>
                <w:sz w:val="16"/>
                <w:szCs w:val="16"/>
                <w:lang w:eastAsia="hr-HR"/>
              </w:rPr>
              <w:t>0</w:t>
            </w:r>
          </w:p>
        </w:tc>
        <w:tc>
          <w:tcPr>
            <w:tcW w:w="447" w:type="dxa"/>
            <w:tcBorders>
              <w:top w:val="nil"/>
              <w:left w:val="nil"/>
              <w:bottom w:val="single" w:sz="4" w:space="0" w:color="auto"/>
              <w:right w:val="single" w:sz="4" w:space="0" w:color="auto"/>
            </w:tcBorders>
            <w:shd w:val="clear" w:color="000000" w:fill="FFFF99"/>
            <w:noWrap/>
            <w:vAlign w:val="bottom"/>
            <w:hideMark/>
          </w:tcPr>
          <w:p w14:paraId="513EA68C" w14:textId="77777777" w:rsidR="00B27DCD" w:rsidRPr="009F0A74" w:rsidRDefault="00B27DCD" w:rsidP="00B27DCD">
            <w:pPr>
              <w:spacing w:after="0" w:line="240" w:lineRule="auto"/>
              <w:jc w:val="right"/>
              <w:rPr>
                <w:rFonts w:ascii="Calibri" w:eastAsia="Times New Roman" w:hAnsi="Calibri" w:cs="Calibri"/>
                <w:sz w:val="16"/>
                <w:szCs w:val="16"/>
                <w:lang w:eastAsia="hr-HR"/>
              </w:rPr>
            </w:pPr>
            <w:r w:rsidRPr="009F0A74">
              <w:rPr>
                <w:rFonts w:ascii="Calibri" w:eastAsia="Times New Roman" w:hAnsi="Calibri" w:cs="Calibri"/>
                <w:sz w:val="16"/>
                <w:szCs w:val="16"/>
                <w:lang w:eastAsia="hr-HR"/>
              </w:rPr>
              <w:t>2</w:t>
            </w:r>
          </w:p>
        </w:tc>
        <w:tc>
          <w:tcPr>
            <w:tcW w:w="447" w:type="dxa"/>
            <w:tcBorders>
              <w:top w:val="nil"/>
              <w:left w:val="nil"/>
              <w:bottom w:val="single" w:sz="4" w:space="0" w:color="auto"/>
              <w:right w:val="single" w:sz="4" w:space="0" w:color="auto"/>
            </w:tcBorders>
            <w:shd w:val="clear" w:color="000000" w:fill="FFFF99"/>
            <w:noWrap/>
            <w:vAlign w:val="bottom"/>
            <w:hideMark/>
          </w:tcPr>
          <w:p w14:paraId="6B8833C8" w14:textId="77777777" w:rsidR="00B27DCD" w:rsidRPr="009F0A74" w:rsidRDefault="00B27DCD" w:rsidP="00B27DCD">
            <w:pPr>
              <w:spacing w:after="0" w:line="240" w:lineRule="auto"/>
              <w:jc w:val="right"/>
              <w:rPr>
                <w:rFonts w:ascii="Calibri" w:eastAsia="Times New Roman" w:hAnsi="Calibri" w:cs="Calibri"/>
                <w:sz w:val="16"/>
                <w:szCs w:val="16"/>
                <w:lang w:eastAsia="hr-HR"/>
              </w:rPr>
            </w:pPr>
            <w:r w:rsidRPr="009F0A74">
              <w:rPr>
                <w:rFonts w:ascii="Calibri" w:eastAsia="Times New Roman" w:hAnsi="Calibri" w:cs="Calibri"/>
                <w:sz w:val="16"/>
                <w:szCs w:val="16"/>
                <w:lang w:eastAsia="hr-HR"/>
              </w:rPr>
              <w:t>0</w:t>
            </w:r>
          </w:p>
        </w:tc>
        <w:tc>
          <w:tcPr>
            <w:tcW w:w="400" w:type="dxa"/>
            <w:tcBorders>
              <w:top w:val="nil"/>
              <w:left w:val="nil"/>
              <w:bottom w:val="single" w:sz="4" w:space="0" w:color="auto"/>
              <w:right w:val="single" w:sz="4" w:space="0" w:color="auto"/>
            </w:tcBorders>
            <w:shd w:val="clear" w:color="000000" w:fill="FFFF99"/>
            <w:noWrap/>
            <w:vAlign w:val="bottom"/>
            <w:hideMark/>
          </w:tcPr>
          <w:p w14:paraId="63376136" w14:textId="77777777" w:rsidR="00B27DCD" w:rsidRPr="009F0A74" w:rsidRDefault="00B27DCD" w:rsidP="00B27DCD">
            <w:pPr>
              <w:spacing w:after="0" w:line="240" w:lineRule="auto"/>
              <w:jc w:val="right"/>
              <w:rPr>
                <w:rFonts w:ascii="Calibri" w:eastAsia="Times New Roman" w:hAnsi="Calibri" w:cs="Calibri"/>
                <w:sz w:val="16"/>
                <w:szCs w:val="16"/>
                <w:lang w:eastAsia="hr-HR"/>
              </w:rPr>
            </w:pPr>
            <w:r w:rsidRPr="009F0A74">
              <w:rPr>
                <w:rFonts w:ascii="Calibri" w:eastAsia="Times New Roman" w:hAnsi="Calibri" w:cs="Calibri"/>
                <w:sz w:val="16"/>
                <w:szCs w:val="16"/>
                <w:lang w:eastAsia="hr-HR"/>
              </w:rPr>
              <w:t>0</w:t>
            </w:r>
          </w:p>
        </w:tc>
        <w:tc>
          <w:tcPr>
            <w:tcW w:w="357" w:type="dxa"/>
            <w:gridSpan w:val="2"/>
            <w:tcBorders>
              <w:top w:val="nil"/>
              <w:left w:val="nil"/>
              <w:bottom w:val="single" w:sz="4" w:space="0" w:color="auto"/>
              <w:right w:val="single" w:sz="4" w:space="0" w:color="auto"/>
            </w:tcBorders>
            <w:shd w:val="clear" w:color="000000" w:fill="FF9900"/>
            <w:noWrap/>
            <w:vAlign w:val="bottom"/>
            <w:hideMark/>
          </w:tcPr>
          <w:p w14:paraId="5E9941A3" w14:textId="77777777" w:rsidR="00B27DCD" w:rsidRPr="009F0A74" w:rsidRDefault="00B27DCD" w:rsidP="00B27DCD">
            <w:pPr>
              <w:spacing w:after="0" w:line="240" w:lineRule="auto"/>
              <w:jc w:val="right"/>
              <w:rPr>
                <w:rFonts w:ascii="Calibri" w:eastAsia="Times New Roman" w:hAnsi="Calibri" w:cs="Calibri"/>
                <w:sz w:val="16"/>
                <w:szCs w:val="16"/>
                <w:lang w:eastAsia="hr-HR"/>
              </w:rPr>
            </w:pPr>
            <w:r w:rsidRPr="009F0A74">
              <w:rPr>
                <w:rFonts w:ascii="Calibri" w:eastAsia="Times New Roman" w:hAnsi="Calibri" w:cs="Calibri"/>
                <w:sz w:val="16"/>
                <w:szCs w:val="16"/>
                <w:lang w:eastAsia="hr-HR"/>
              </w:rPr>
              <w:t>1</w:t>
            </w:r>
          </w:p>
        </w:tc>
        <w:tc>
          <w:tcPr>
            <w:tcW w:w="447" w:type="dxa"/>
            <w:tcBorders>
              <w:top w:val="nil"/>
              <w:left w:val="nil"/>
              <w:bottom w:val="single" w:sz="4" w:space="0" w:color="auto"/>
              <w:right w:val="single" w:sz="4" w:space="0" w:color="auto"/>
            </w:tcBorders>
            <w:shd w:val="clear" w:color="000000" w:fill="FF9900"/>
            <w:noWrap/>
            <w:vAlign w:val="bottom"/>
            <w:hideMark/>
          </w:tcPr>
          <w:p w14:paraId="3877EF12" w14:textId="77777777" w:rsidR="00B27DCD" w:rsidRPr="009F0A74" w:rsidRDefault="00B27DCD" w:rsidP="00B27DCD">
            <w:pPr>
              <w:spacing w:after="0" w:line="240" w:lineRule="auto"/>
              <w:jc w:val="right"/>
              <w:rPr>
                <w:rFonts w:ascii="Calibri" w:eastAsia="Times New Roman" w:hAnsi="Calibri" w:cs="Calibri"/>
                <w:sz w:val="16"/>
                <w:szCs w:val="16"/>
                <w:lang w:eastAsia="hr-HR"/>
              </w:rPr>
            </w:pPr>
            <w:r w:rsidRPr="009F0A74">
              <w:rPr>
                <w:rFonts w:ascii="Calibri" w:eastAsia="Times New Roman" w:hAnsi="Calibri" w:cs="Calibri"/>
                <w:sz w:val="16"/>
                <w:szCs w:val="16"/>
                <w:lang w:eastAsia="hr-HR"/>
              </w:rPr>
              <w:t>0</w:t>
            </w:r>
          </w:p>
        </w:tc>
        <w:tc>
          <w:tcPr>
            <w:tcW w:w="447" w:type="dxa"/>
            <w:tcBorders>
              <w:top w:val="nil"/>
              <w:left w:val="nil"/>
              <w:bottom w:val="single" w:sz="4" w:space="0" w:color="auto"/>
              <w:right w:val="single" w:sz="4" w:space="0" w:color="auto"/>
            </w:tcBorders>
            <w:shd w:val="clear" w:color="000000" w:fill="FF9900"/>
            <w:vAlign w:val="bottom"/>
            <w:hideMark/>
          </w:tcPr>
          <w:p w14:paraId="6C1B4BBF" w14:textId="77777777" w:rsidR="00B27DCD" w:rsidRPr="009F0A74" w:rsidRDefault="00B27DCD" w:rsidP="00B27DCD">
            <w:pPr>
              <w:spacing w:after="0" w:line="240" w:lineRule="auto"/>
              <w:jc w:val="right"/>
              <w:rPr>
                <w:rFonts w:ascii="Calibri" w:eastAsia="Times New Roman" w:hAnsi="Calibri" w:cs="Calibri"/>
                <w:sz w:val="16"/>
                <w:szCs w:val="16"/>
                <w:lang w:eastAsia="hr-HR"/>
              </w:rPr>
            </w:pPr>
            <w:r w:rsidRPr="009F0A74">
              <w:rPr>
                <w:rFonts w:ascii="Calibri" w:eastAsia="Times New Roman" w:hAnsi="Calibri" w:cs="Calibri"/>
                <w:sz w:val="16"/>
                <w:szCs w:val="16"/>
                <w:lang w:eastAsia="hr-HR"/>
              </w:rPr>
              <w:t>0</w:t>
            </w:r>
          </w:p>
        </w:tc>
        <w:tc>
          <w:tcPr>
            <w:tcW w:w="446" w:type="dxa"/>
            <w:tcBorders>
              <w:top w:val="nil"/>
              <w:left w:val="nil"/>
              <w:bottom w:val="single" w:sz="4" w:space="0" w:color="auto"/>
              <w:right w:val="single" w:sz="4" w:space="0" w:color="auto"/>
            </w:tcBorders>
            <w:shd w:val="clear" w:color="auto" w:fill="auto"/>
            <w:vAlign w:val="bottom"/>
            <w:hideMark/>
          </w:tcPr>
          <w:p w14:paraId="6E35BFCA" w14:textId="77777777" w:rsidR="00B27DCD" w:rsidRPr="009F0A74" w:rsidRDefault="00B27DCD" w:rsidP="00B27DCD">
            <w:pPr>
              <w:spacing w:after="0" w:line="240" w:lineRule="auto"/>
              <w:jc w:val="right"/>
              <w:rPr>
                <w:rFonts w:ascii="Calibri" w:eastAsia="Times New Roman" w:hAnsi="Calibri" w:cs="Calibri"/>
                <w:b/>
                <w:bCs/>
                <w:sz w:val="16"/>
                <w:szCs w:val="16"/>
                <w:lang w:eastAsia="hr-HR"/>
              </w:rPr>
            </w:pPr>
            <w:r w:rsidRPr="009F0A74">
              <w:rPr>
                <w:rFonts w:ascii="Calibri" w:eastAsia="Times New Roman" w:hAnsi="Calibri" w:cs="Calibri"/>
                <w:b/>
                <w:bCs/>
                <w:sz w:val="16"/>
                <w:szCs w:val="16"/>
                <w:lang w:eastAsia="hr-HR"/>
              </w:rPr>
              <w:t>1</w:t>
            </w:r>
          </w:p>
        </w:tc>
        <w:tc>
          <w:tcPr>
            <w:tcW w:w="447" w:type="dxa"/>
            <w:gridSpan w:val="2"/>
            <w:tcBorders>
              <w:top w:val="nil"/>
              <w:left w:val="nil"/>
              <w:bottom w:val="single" w:sz="4" w:space="0" w:color="auto"/>
              <w:right w:val="single" w:sz="4" w:space="0" w:color="auto"/>
            </w:tcBorders>
            <w:shd w:val="clear" w:color="000000" w:fill="FFFF00"/>
            <w:noWrap/>
            <w:vAlign w:val="bottom"/>
            <w:hideMark/>
          </w:tcPr>
          <w:p w14:paraId="1F0BADAF" w14:textId="77777777" w:rsidR="00B27DCD" w:rsidRPr="009F0A74" w:rsidRDefault="00B27DCD" w:rsidP="00B27DCD">
            <w:pPr>
              <w:spacing w:after="0" w:line="240" w:lineRule="auto"/>
              <w:jc w:val="right"/>
              <w:rPr>
                <w:rFonts w:ascii="Calibri" w:eastAsia="Times New Roman" w:hAnsi="Calibri" w:cs="Calibri"/>
                <w:sz w:val="16"/>
                <w:szCs w:val="16"/>
                <w:lang w:eastAsia="hr-HR"/>
              </w:rPr>
            </w:pPr>
            <w:r w:rsidRPr="009F0A74">
              <w:rPr>
                <w:rFonts w:ascii="Calibri" w:eastAsia="Times New Roman" w:hAnsi="Calibri" w:cs="Calibri"/>
                <w:sz w:val="16"/>
                <w:szCs w:val="16"/>
                <w:lang w:eastAsia="hr-HR"/>
              </w:rPr>
              <w:t>0</w:t>
            </w:r>
          </w:p>
        </w:tc>
        <w:tc>
          <w:tcPr>
            <w:tcW w:w="447" w:type="dxa"/>
            <w:tcBorders>
              <w:top w:val="nil"/>
              <w:left w:val="nil"/>
              <w:bottom w:val="single" w:sz="4" w:space="0" w:color="auto"/>
              <w:right w:val="single" w:sz="4" w:space="0" w:color="auto"/>
            </w:tcBorders>
            <w:shd w:val="clear" w:color="000000" w:fill="FFFF00"/>
            <w:noWrap/>
            <w:vAlign w:val="bottom"/>
            <w:hideMark/>
          </w:tcPr>
          <w:p w14:paraId="1E12CB72" w14:textId="77777777" w:rsidR="00B27DCD" w:rsidRPr="009F0A74" w:rsidRDefault="00B27DCD" w:rsidP="00B27DCD">
            <w:pPr>
              <w:spacing w:after="0" w:line="240" w:lineRule="auto"/>
              <w:jc w:val="right"/>
              <w:rPr>
                <w:rFonts w:ascii="Calibri" w:eastAsia="Times New Roman" w:hAnsi="Calibri" w:cs="Calibri"/>
                <w:sz w:val="16"/>
                <w:szCs w:val="16"/>
                <w:lang w:eastAsia="hr-HR"/>
              </w:rPr>
            </w:pPr>
            <w:r w:rsidRPr="009F0A74">
              <w:rPr>
                <w:rFonts w:ascii="Calibri" w:eastAsia="Times New Roman" w:hAnsi="Calibri" w:cs="Calibri"/>
                <w:sz w:val="16"/>
                <w:szCs w:val="16"/>
                <w:lang w:eastAsia="hr-HR"/>
              </w:rPr>
              <w:t>0</w:t>
            </w:r>
          </w:p>
        </w:tc>
        <w:tc>
          <w:tcPr>
            <w:tcW w:w="447" w:type="dxa"/>
            <w:tcBorders>
              <w:top w:val="nil"/>
              <w:left w:val="nil"/>
              <w:bottom w:val="single" w:sz="4" w:space="0" w:color="auto"/>
              <w:right w:val="single" w:sz="4" w:space="0" w:color="auto"/>
            </w:tcBorders>
            <w:shd w:val="clear" w:color="000000" w:fill="FFFF00"/>
            <w:vAlign w:val="bottom"/>
            <w:hideMark/>
          </w:tcPr>
          <w:p w14:paraId="5213A915" w14:textId="77777777" w:rsidR="00B27DCD" w:rsidRPr="009F0A74" w:rsidRDefault="00B27DCD" w:rsidP="00B27DCD">
            <w:pPr>
              <w:spacing w:after="0" w:line="240" w:lineRule="auto"/>
              <w:jc w:val="right"/>
              <w:rPr>
                <w:rFonts w:ascii="Calibri" w:eastAsia="Times New Roman" w:hAnsi="Calibri" w:cs="Calibri"/>
                <w:sz w:val="16"/>
                <w:szCs w:val="16"/>
                <w:lang w:eastAsia="hr-HR"/>
              </w:rPr>
            </w:pPr>
            <w:r w:rsidRPr="009F0A74">
              <w:rPr>
                <w:rFonts w:ascii="Calibri" w:eastAsia="Times New Roman" w:hAnsi="Calibri" w:cs="Calibri"/>
                <w:sz w:val="16"/>
                <w:szCs w:val="16"/>
                <w:lang w:eastAsia="hr-HR"/>
              </w:rPr>
              <w:t>1</w:t>
            </w:r>
          </w:p>
        </w:tc>
        <w:tc>
          <w:tcPr>
            <w:tcW w:w="446" w:type="dxa"/>
            <w:tcBorders>
              <w:top w:val="nil"/>
              <w:left w:val="nil"/>
              <w:bottom w:val="single" w:sz="4" w:space="0" w:color="auto"/>
              <w:right w:val="single" w:sz="4" w:space="0" w:color="auto"/>
            </w:tcBorders>
            <w:shd w:val="clear" w:color="auto" w:fill="auto"/>
            <w:vAlign w:val="bottom"/>
            <w:hideMark/>
          </w:tcPr>
          <w:p w14:paraId="574A6E35" w14:textId="77777777" w:rsidR="00B27DCD" w:rsidRPr="009F0A74" w:rsidRDefault="00B27DCD" w:rsidP="00B27DCD">
            <w:pPr>
              <w:spacing w:after="0" w:line="240" w:lineRule="auto"/>
              <w:jc w:val="right"/>
              <w:rPr>
                <w:rFonts w:ascii="Calibri" w:eastAsia="Times New Roman" w:hAnsi="Calibri" w:cs="Calibri"/>
                <w:b/>
                <w:bCs/>
                <w:sz w:val="16"/>
                <w:szCs w:val="16"/>
                <w:lang w:eastAsia="hr-HR"/>
              </w:rPr>
            </w:pPr>
            <w:r w:rsidRPr="009F0A74">
              <w:rPr>
                <w:rFonts w:ascii="Calibri" w:eastAsia="Times New Roman" w:hAnsi="Calibri" w:cs="Calibri"/>
                <w:b/>
                <w:bCs/>
                <w:sz w:val="16"/>
                <w:szCs w:val="16"/>
                <w:lang w:eastAsia="hr-HR"/>
              </w:rPr>
              <w:t>1</w:t>
            </w:r>
          </w:p>
        </w:tc>
        <w:tc>
          <w:tcPr>
            <w:tcW w:w="524" w:type="dxa"/>
            <w:gridSpan w:val="2"/>
            <w:tcBorders>
              <w:top w:val="nil"/>
              <w:left w:val="nil"/>
              <w:bottom w:val="single" w:sz="4" w:space="0" w:color="auto"/>
              <w:right w:val="single" w:sz="4" w:space="0" w:color="auto"/>
            </w:tcBorders>
            <w:shd w:val="clear" w:color="000000" w:fill="FFFF00"/>
            <w:vAlign w:val="bottom"/>
            <w:hideMark/>
          </w:tcPr>
          <w:p w14:paraId="5D72D074" w14:textId="77777777" w:rsidR="00B27DCD" w:rsidRPr="009F0A74" w:rsidRDefault="00B27DCD" w:rsidP="00B27DCD">
            <w:pPr>
              <w:spacing w:after="0" w:line="240" w:lineRule="auto"/>
              <w:jc w:val="right"/>
              <w:rPr>
                <w:rFonts w:ascii="Calibri" w:eastAsia="Times New Roman" w:hAnsi="Calibri" w:cs="Calibri"/>
                <w:b/>
                <w:bCs/>
                <w:sz w:val="16"/>
                <w:szCs w:val="16"/>
                <w:lang w:eastAsia="hr-HR"/>
              </w:rPr>
            </w:pPr>
            <w:r w:rsidRPr="009F0A74">
              <w:rPr>
                <w:rFonts w:ascii="Calibri" w:eastAsia="Times New Roman" w:hAnsi="Calibri" w:cs="Calibri"/>
                <w:b/>
                <w:bCs/>
                <w:sz w:val="16"/>
                <w:szCs w:val="16"/>
                <w:lang w:eastAsia="hr-HR"/>
              </w:rPr>
              <w:t>2</w:t>
            </w:r>
          </w:p>
        </w:tc>
        <w:tc>
          <w:tcPr>
            <w:tcW w:w="425" w:type="dxa"/>
            <w:gridSpan w:val="2"/>
            <w:tcBorders>
              <w:top w:val="nil"/>
              <w:left w:val="nil"/>
              <w:bottom w:val="single" w:sz="4" w:space="0" w:color="auto"/>
              <w:right w:val="single" w:sz="4" w:space="0" w:color="auto"/>
            </w:tcBorders>
            <w:shd w:val="clear" w:color="000000" w:fill="FF9900"/>
            <w:vAlign w:val="bottom"/>
            <w:hideMark/>
          </w:tcPr>
          <w:p w14:paraId="18B3CCE2" w14:textId="77777777" w:rsidR="00B27DCD" w:rsidRPr="009F0A74" w:rsidRDefault="00B27DCD" w:rsidP="00B27DCD">
            <w:pPr>
              <w:spacing w:after="0" w:line="240" w:lineRule="auto"/>
              <w:jc w:val="right"/>
              <w:rPr>
                <w:rFonts w:ascii="Calibri" w:eastAsia="Times New Roman" w:hAnsi="Calibri" w:cs="Calibri"/>
                <w:sz w:val="16"/>
                <w:szCs w:val="16"/>
                <w:lang w:eastAsia="hr-HR"/>
              </w:rPr>
            </w:pPr>
            <w:r w:rsidRPr="009F0A74">
              <w:rPr>
                <w:rFonts w:ascii="Calibri" w:eastAsia="Times New Roman" w:hAnsi="Calibri" w:cs="Calibri"/>
                <w:sz w:val="16"/>
                <w:szCs w:val="16"/>
                <w:lang w:eastAsia="hr-HR"/>
              </w:rPr>
              <w:t>1</w:t>
            </w:r>
          </w:p>
        </w:tc>
        <w:tc>
          <w:tcPr>
            <w:tcW w:w="501" w:type="dxa"/>
            <w:gridSpan w:val="2"/>
            <w:tcBorders>
              <w:top w:val="nil"/>
              <w:left w:val="nil"/>
              <w:bottom w:val="single" w:sz="4" w:space="0" w:color="auto"/>
              <w:right w:val="single" w:sz="4" w:space="0" w:color="auto"/>
            </w:tcBorders>
            <w:shd w:val="clear" w:color="000000" w:fill="FF9900"/>
            <w:vAlign w:val="bottom"/>
            <w:hideMark/>
          </w:tcPr>
          <w:p w14:paraId="44C7AC4E" w14:textId="77777777" w:rsidR="00B27DCD" w:rsidRPr="009F0A74" w:rsidRDefault="00B27DCD" w:rsidP="00B27DCD">
            <w:pPr>
              <w:spacing w:after="0" w:line="240" w:lineRule="auto"/>
              <w:jc w:val="right"/>
              <w:rPr>
                <w:rFonts w:ascii="Calibri" w:eastAsia="Times New Roman" w:hAnsi="Calibri" w:cs="Calibri"/>
                <w:sz w:val="16"/>
                <w:szCs w:val="16"/>
                <w:lang w:eastAsia="hr-HR"/>
              </w:rPr>
            </w:pPr>
            <w:r w:rsidRPr="009F0A74">
              <w:rPr>
                <w:rFonts w:ascii="Calibri" w:eastAsia="Times New Roman" w:hAnsi="Calibri" w:cs="Calibri"/>
                <w:sz w:val="16"/>
                <w:szCs w:val="16"/>
                <w:lang w:eastAsia="hr-HR"/>
              </w:rPr>
              <w:t>1</w:t>
            </w:r>
          </w:p>
        </w:tc>
        <w:tc>
          <w:tcPr>
            <w:tcW w:w="425" w:type="dxa"/>
            <w:tcBorders>
              <w:top w:val="nil"/>
              <w:left w:val="nil"/>
              <w:bottom w:val="single" w:sz="4" w:space="0" w:color="auto"/>
              <w:right w:val="single" w:sz="4" w:space="0" w:color="auto"/>
            </w:tcBorders>
            <w:shd w:val="clear" w:color="000000" w:fill="CCFFFF"/>
            <w:vAlign w:val="bottom"/>
            <w:hideMark/>
          </w:tcPr>
          <w:p w14:paraId="3B29FAA3" w14:textId="77777777" w:rsidR="00B27DCD" w:rsidRPr="009F0A74" w:rsidRDefault="00B27DCD" w:rsidP="00B27DCD">
            <w:pPr>
              <w:spacing w:after="0" w:line="240" w:lineRule="auto"/>
              <w:jc w:val="right"/>
              <w:rPr>
                <w:rFonts w:ascii="Calibri" w:eastAsia="Times New Roman" w:hAnsi="Calibri" w:cs="Calibri"/>
                <w:sz w:val="16"/>
                <w:szCs w:val="16"/>
                <w:lang w:eastAsia="hr-HR"/>
              </w:rPr>
            </w:pPr>
            <w:r w:rsidRPr="009F0A74">
              <w:rPr>
                <w:rFonts w:ascii="Calibri" w:eastAsia="Times New Roman" w:hAnsi="Calibri" w:cs="Calibri"/>
                <w:sz w:val="16"/>
                <w:szCs w:val="16"/>
                <w:lang w:eastAsia="hr-HR"/>
              </w:rPr>
              <w:t>0</w:t>
            </w:r>
          </w:p>
        </w:tc>
        <w:tc>
          <w:tcPr>
            <w:tcW w:w="426" w:type="dxa"/>
            <w:tcBorders>
              <w:top w:val="nil"/>
              <w:left w:val="nil"/>
              <w:bottom w:val="single" w:sz="4" w:space="0" w:color="auto"/>
              <w:right w:val="single" w:sz="4" w:space="0" w:color="auto"/>
            </w:tcBorders>
            <w:shd w:val="clear" w:color="000000" w:fill="CCFFFF"/>
            <w:noWrap/>
            <w:vAlign w:val="bottom"/>
            <w:hideMark/>
          </w:tcPr>
          <w:p w14:paraId="548111EF" w14:textId="77777777" w:rsidR="00B27DCD" w:rsidRPr="009F0A74" w:rsidRDefault="00B27DCD" w:rsidP="00B27DCD">
            <w:pPr>
              <w:spacing w:after="0" w:line="240" w:lineRule="auto"/>
              <w:jc w:val="right"/>
              <w:rPr>
                <w:rFonts w:ascii="Calibri" w:eastAsia="Times New Roman" w:hAnsi="Calibri" w:cs="Calibri"/>
                <w:sz w:val="16"/>
                <w:szCs w:val="16"/>
                <w:lang w:eastAsia="hr-HR"/>
              </w:rPr>
            </w:pPr>
            <w:r w:rsidRPr="009F0A74">
              <w:rPr>
                <w:rFonts w:ascii="Calibri" w:eastAsia="Times New Roman" w:hAnsi="Calibri" w:cs="Calibri"/>
                <w:sz w:val="16"/>
                <w:szCs w:val="16"/>
                <w:lang w:eastAsia="hr-HR"/>
              </w:rPr>
              <w:t>0</w:t>
            </w:r>
          </w:p>
        </w:tc>
        <w:tc>
          <w:tcPr>
            <w:tcW w:w="818" w:type="dxa"/>
            <w:gridSpan w:val="2"/>
            <w:tcBorders>
              <w:top w:val="nil"/>
              <w:left w:val="nil"/>
              <w:bottom w:val="single" w:sz="4" w:space="0" w:color="auto"/>
              <w:right w:val="single" w:sz="4" w:space="0" w:color="auto"/>
            </w:tcBorders>
            <w:shd w:val="clear" w:color="000000" w:fill="33CCCC"/>
            <w:noWrap/>
            <w:vAlign w:val="bottom"/>
            <w:hideMark/>
          </w:tcPr>
          <w:p w14:paraId="7699EC0A" w14:textId="77777777" w:rsidR="00B27DCD" w:rsidRPr="009F0A74" w:rsidRDefault="00B27DCD" w:rsidP="00B27DCD">
            <w:pPr>
              <w:spacing w:after="0" w:line="240" w:lineRule="auto"/>
              <w:jc w:val="right"/>
              <w:rPr>
                <w:rFonts w:ascii="Calibri" w:eastAsia="Times New Roman" w:hAnsi="Calibri" w:cs="Calibri"/>
                <w:sz w:val="16"/>
                <w:szCs w:val="16"/>
                <w:lang w:eastAsia="hr-HR"/>
              </w:rPr>
            </w:pPr>
            <w:r w:rsidRPr="009F0A74">
              <w:rPr>
                <w:rFonts w:ascii="Calibri" w:eastAsia="Times New Roman" w:hAnsi="Calibri" w:cs="Calibri"/>
                <w:sz w:val="16"/>
                <w:szCs w:val="16"/>
                <w:lang w:eastAsia="hr-HR"/>
              </w:rPr>
              <w:t>1</w:t>
            </w:r>
          </w:p>
        </w:tc>
        <w:tc>
          <w:tcPr>
            <w:tcW w:w="818" w:type="dxa"/>
            <w:gridSpan w:val="2"/>
            <w:tcBorders>
              <w:top w:val="nil"/>
              <w:left w:val="nil"/>
              <w:bottom w:val="single" w:sz="4" w:space="0" w:color="auto"/>
              <w:right w:val="single" w:sz="8" w:space="0" w:color="auto"/>
            </w:tcBorders>
            <w:shd w:val="clear" w:color="000000" w:fill="33CCCC"/>
            <w:noWrap/>
            <w:vAlign w:val="bottom"/>
            <w:hideMark/>
          </w:tcPr>
          <w:p w14:paraId="0A014342" w14:textId="77777777" w:rsidR="00B27DCD" w:rsidRPr="009F0A74" w:rsidRDefault="00B27DCD" w:rsidP="00B27DCD">
            <w:pPr>
              <w:spacing w:after="0" w:line="240" w:lineRule="auto"/>
              <w:jc w:val="right"/>
              <w:rPr>
                <w:rFonts w:ascii="Calibri" w:eastAsia="Times New Roman" w:hAnsi="Calibri" w:cs="Calibri"/>
                <w:sz w:val="16"/>
                <w:szCs w:val="16"/>
                <w:lang w:eastAsia="hr-HR"/>
              </w:rPr>
            </w:pPr>
            <w:r w:rsidRPr="009F0A74">
              <w:rPr>
                <w:rFonts w:ascii="Calibri" w:eastAsia="Times New Roman" w:hAnsi="Calibri" w:cs="Calibri"/>
                <w:sz w:val="16"/>
                <w:szCs w:val="16"/>
                <w:lang w:eastAsia="hr-HR"/>
              </w:rPr>
              <w:t>0</w:t>
            </w:r>
          </w:p>
        </w:tc>
        <w:tc>
          <w:tcPr>
            <w:tcW w:w="236" w:type="dxa"/>
            <w:gridSpan w:val="3"/>
            <w:vAlign w:val="center"/>
            <w:hideMark/>
          </w:tcPr>
          <w:p w14:paraId="6D7DE5C2" w14:textId="77777777" w:rsidR="00B27DCD" w:rsidRPr="009F0A74" w:rsidRDefault="00B27DCD" w:rsidP="00B27DCD">
            <w:pPr>
              <w:spacing w:after="0" w:line="240" w:lineRule="auto"/>
              <w:rPr>
                <w:rFonts w:ascii="Times New Roman" w:eastAsia="Times New Roman" w:hAnsi="Times New Roman" w:cs="Times New Roman"/>
                <w:sz w:val="16"/>
                <w:szCs w:val="16"/>
                <w:lang w:eastAsia="hr-HR"/>
              </w:rPr>
            </w:pPr>
          </w:p>
        </w:tc>
      </w:tr>
      <w:tr w:rsidR="009F0A74" w:rsidRPr="009F0A74" w14:paraId="32AD378A" w14:textId="77777777" w:rsidTr="009F0A74">
        <w:trPr>
          <w:trHeight w:val="315"/>
        </w:trPr>
        <w:tc>
          <w:tcPr>
            <w:tcW w:w="840" w:type="dxa"/>
            <w:tcBorders>
              <w:top w:val="single" w:sz="4" w:space="0" w:color="auto"/>
              <w:left w:val="single" w:sz="8" w:space="0" w:color="auto"/>
              <w:bottom w:val="single" w:sz="4" w:space="0" w:color="auto"/>
              <w:right w:val="single" w:sz="4" w:space="0" w:color="000000"/>
            </w:tcBorders>
            <w:shd w:val="clear" w:color="000000" w:fill="CCFFCC"/>
            <w:vAlign w:val="center"/>
            <w:hideMark/>
          </w:tcPr>
          <w:p w14:paraId="7B646EC8" w14:textId="77777777" w:rsidR="00B27DCD" w:rsidRPr="009F0A74" w:rsidRDefault="00B27DCD" w:rsidP="00B27DCD">
            <w:pPr>
              <w:spacing w:after="0" w:line="240" w:lineRule="auto"/>
              <w:rPr>
                <w:rFonts w:ascii="Calibri" w:eastAsia="Times New Roman" w:hAnsi="Calibri" w:cs="Calibri"/>
                <w:sz w:val="16"/>
                <w:szCs w:val="16"/>
                <w:lang w:eastAsia="hr-HR"/>
              </w:rPr>
            </w:pPr>
            <w:r w:rsidRPr="009F0A74">
              <w:rPr>
                <w:rFonts w:ascii="Calibri" w:eastAsia="Times New Roman" w:hAnsi="Calibri" w:cs="Calibri"/>
                <w:sz w:val="16"/>
                <w:szCs w:val="16"/>
                <w:lang w:eastAsia="hr-HR"/>
              </w:rPr>
              <w:t>Spolna orijentacija</w:t>
            </w:r>
          </w:p>
        </w:tc>
        <w:tc>
          <w:tcPr>
            <w:tcW w:w="540" w:type="dxa"/>
            <w:tcBorders>
              <w:top w:val="nil"/>
              <w:left w:val="nil"/>
              <w:bottom w:val="single" w:sz="4" w:space="0" w:color="auto"/>
              <w:right w:val="single" w:sz="4" w:space="0" w:color="auto"/>
            </w:tcBorders>
            <w:shd w:val="clear" w:color="000000" w:fill="FFFF00"/>
            <w:vAlign w:val="bottom"/>
            <w:hideMark/>
          </w:tcPr>
          <w:p w14:paraId="56FAEC16" w14:textId="77777777" w:rsidR="00B27DCD" w:rsidRPr="009F0A74" w:rsidRDefault="00B27DCD" w:rsidP="00B27DCD">
            <w:pPr>
              <w:spacing w:after="0" w:line="240" w:lineRule="auto"/>
              <w:jc w:val="right"/>
              <w:rPr>
                <w:rFonts w:ascii="Calibri" w:eastAsia="Times New Roman" w:hAnsi="Calibri" w:cs="Calibri"/>
                <w:sz w:val="16"/>
                <w:szCs w:val="16"/>
                <w:lang w:eastAsia="hr-HR"/>
              </w:rPr>
            </w:pPr>
            <w:r w:rsidRPr="009F0A74">
              <w:rPr>
                <w:rFonts w:ascii="Calibri" w:eastAsia="Times New Roman" w:hAnsi="Calibri" w:cs="Calibri"/>
                <w:sz w:val="16"/>
                <w:szCs w:val="16"/>
                <w:lang w:eastAsia="hr-HR"/>
              </w:rPr>
              <w:t>2</w:t>
            </w:r>
          </w:p>
        </w:tc>
        <w:tc>
          <w:tcPr>
            <w:tcW w:w="444" w:type="dxa"/>
            <w:tcBorders>
              <w:top w:val="nil"/>
              <w:left w:val="nil"/>
              <w:bottom w:val="single" w:sz="4" w:space="0" w:color="auto"/>
              <w:right w:val="single" w:sz="4" w:space="0" w:color="auto"/>
            </w:tcBorders>
            <w:shd w:val="clear" w:color="000000" w:fill="FFCC99"/>
            <w:noWrap/>
            <w:vAlign w:val="bottom"/>
            <w:hideMark/>
          </w:tcPr>
          <w:p w14:paraId="733FE487" w14:textId="77777777" w:rsidR="00B27DCD" w:rsidRPr="009F0A74" w:rsidRDefault="00B27DCD" w:rsidP="00B27DCD">
            <w:pPr>
              <w:spacing w:after="0" w:line="240" w:lineRule="auto"/>
              <w:jc w:val="right"/>
              <w:rPr>
                <w:rFonts w:ascii="Calibri" w:eastAsia="Times New Roman" w:hAnsi="Calibri" w:cs="Calibri"/>
                <w:sz w:val="16"/>
                <w:szCs w:val="16"/>
                <w:lang w:eastAsia="hr-HR"/>
              </w:rPr>
            </w:pPr>
            <w:r w:rsidRPr="009F0A74">
              <w:rPr>
                <w:rFonts w:ascii="Calibri" w:eastAsia="Times New Roman" w:hAnsi="Calibri" w:cs="Calibri"/>
                <w:sz w:val="16"/>
                <w:szCs w:val="16"/>
                <w:lang w:eastAsia="hr-HR"/>
              </w:rPr>
              <w:t>2</w:t>
            </w:r>
          </w:p>
        </w:tc>
        <w:tc>
          <w:tcPr>
            <w:tcW w:w="433" w:type="dxa"/>
            <w:tcBorders>
              <w:top w:val="nil"/>
              <w:left w:val="nil"/>
              <w:bottom w:val="single" w:sz="4" w:space="0" w:color="auto"/>
              <w:right w:val="single" w:sz="4" w:space="0" w:color="auto"/>
            </w:tcBorders>
            <w:shd w:val="clear" w:color="000000" w:fill="CCFFFF"/>
            <w:noWrap/>
            <w:vAlign w:val="bottom"/>
            <w:hideMark/>
          </w:tcPr>
          <w:p w14:paraId="752EF564" w14:textId="77777777" w:rsidR="00B27DCD" w:rsidRPr="009F0A74" w:rsidRDefault="00B27DCD" w:rsidP="00B27DCD">
            <w:pPr>
              <w:spacing w:after="0" w:line="240" w:lineRule="auto"/>
              <w:jc w:val="right"/>
              <w:rPr>
                <w:rFonts w:ascii="Calibri" w:eastAsia="Times New Roman" w:hAnsi="Calibri" w:cs="Calibri"/>
                <w:sz w:val="16"/>
                <w:szCs w:val="16"/>
                <w:lang w:eastAsia="hr-HR"/>
              </w:rPr>
            </w:pPr>
            <w:r w:rsidRPr="009F0A74">
              <w:rPr>
                <w:rFonts w:ascii="Calibri" w:eastAsia="Times New Roman" w:hAnsi="Calibri" w:cs="Calibri"/>
                <w:sz w:val="16"/>
                <w:szCs w:val="16"/>
                <w:lang w:eastAsia="hr-HR"/>
              </w:rPr>
              <w:t>1</w:t>
            </w:r>
          </w:p>
        </w:tc>
        <w:tc>
          <w:tcPr>
            <w:tcW w:w="324" w:type="dxa"/>
            <w:tcBorders>
              <w:top w:val="nil"/>
              <w:left w:val="nil"/>
              <w:bottom w:val="single" w:sz="4" w:space="0" w:color="auto"/>
              <w:right w:val="single" w:sz="4" w:space="0" w:color="auto"/>
            </w:tcBorders>
            <w:shd w:val="clear" w:color="000000" w:fill="CCFFFF"/>
            <w:noWrap/>
            <w:vAlign w:val="bottom"/>
            <w:hideMark/>
          </w:tcPr>
          <w:p w14:paraId="25890254" w14:textId="77777777" w:rsidR="00B27DCD" w:rsidRPr="009F0A74" w:rsidRDefault="00B27DCD" w:rsidP="00B27DCD">
            <w:pPr>
              <w:spacing w:after="0" w:line="240" w:lineRule="auto"/>
              <w:jc w:val="right"/>
              <w:rPr>
                <w:rFonts w:ascii="Calibri" w:eastAsia="Times New Roman" w:hAnsi="Calibri" w:cs="Calibri"/>
                <w:sz w:val="16"/>
                <w:szCs w:val="16"/>
                <w:lang w:eastAsia="hr-HR"/>
              </w:rPr>
            </w:pPr>
            <w:r w:rsidRPr="009F0A74">
              <w:rPr>
                <w:rFonts w:ascii="Calibri" w:eastAsia="Times New Roman" w:hAnsi="Calibri" w:cs="Calibri"/>
                <w:sz w:val="16"/>
                <w:szCs w:val="16"/>
                <w:lang w:eastAsia="hr-HR"/>
              </w:rPr>
              <w:t>1</w:t>
            </w:r>
          </w:p>
        </w:tc>
        <w:tc>
          <w:tcPr>
            <w:tcW w:w="385" w:type="dxa"/>
            <w:gridSpan w:val="2"/>
            <w:tcBorders>
              <w:top w:val="nil"/>
              <w:left w:val="nil"/>
              <w:bottom w:val="single" w:sz="4" w:space="0" w:color="auto"/>
              <w:right w:val="single" w:sz="4" w:space="0" w:color="auto"/>
            </w:tcBorders>
            <w:shd w:val="clear" w:color="000000" w:fill="FFFF99"/>
            <w:noWrap/>
            <w:vAlign w:val="bottom"/>
            <w:hideMark/>
          </w:tcPr>
          <w:p w14:paraId="142B13E1" w14:textId="77777777" w:rsidR="00B27DCD" w:rsidRPr="009F0A74" w:rsidRDefault="00B27DCD" w:rsidP="00B27DCD">
            <w:pPr>
              <w:spacing w:after="0" w:line="240" w:lineRule="auto"/>
              <w:jc w:val="right"/>
              <w:rPr>
                <w:rFonts w:ascii="Calibri" w:eastAsia="Times New Roman" w:hAnsi="Calibri" w:cs="Calibri"/>
                <w:sz w:val="16"/>
                <w:szCs w:val="16"/>
                <w:lang w:eastAsia="hr-HR"/>
              </w:rPr>
            </w:pPr>
            <w:r w:rsidRPr="009F0A74">
              <w:rPr>
                <w:rFonts w:ascii="Calibri" w:eastAsia="Times New Roman" w:hAnsi="Calibri" w:cs="Calibri"/>
                <w:sz w:val="16"/>
                <w:szCs w:val="16"/>
                <w:lang w:eastAsia="hr-HR"/>
              </w:rPr>
              <w:t>0</w:t>
            </w:r>
          </w:p>
        </w:tc>
        <w:tc>
          <w:tcPr>
            <w:tcW w:w="334" w:type="dxa"/>
            <w:tcBorders>
              <w:top w:val="nil"/>
              <w:left w:val="nil"/>
              <w:bottom w:val="single" w:sz="4" w:space="0" w:color="auto"/>
              <w:right w:val="single" w:sz="4" w:space="0" w:color="auto"/>
            </w:tcBorders>
            <w:shd w:val="clear" w:color="000000" w:fill="FFFF99"/>
            <w:noWrap/>
            <w:vAlign w:val="bottom"/>
            <w:hideMark/>
          </w:tcPr>
          <w:p w14:paraId="53A65D87" w14:textId="77777777" w:rsidR="00B27DCD" w:rsidRPr="009F0A74" w:rsidRDefault="00B27DCD" w:rsidP="00B27DCD">
            <w:pPr>
              <w:spacing w:after="0" w:line="240" w:lineRule="auto"/>
              <w:jc w:val="right"/>
              <w:rPr>
                <w:rFonts w:ascii="Calibri" w:eastAsia="Times New Roman" w:hAnsi="Calibri" w:cs="Calibri"/>
                <w:sz w:val="16"/>
                <w:szCs w:val="16"/>
                <w:lang w:eastAsia="hr-HR"/>
              </w:rPr>
            </w:pPr>
            <w:r w:rsidRPr="009F0A74">
              <w:rPr>
                <w:rFonts w:ascii="Calibri" w:eastAsia="Times New Roman" w:hAnsi="Calibri" w:cs="Calibri"/>
                <w:sz w:val="16"/>
                <w:szCs w:val="16"/>
                <w:lang w:eastAsia="hr-HR"/>
              </w:rPr>
              <w:t>0</w:t>
            </w:r>
          </w:p>
        </w:tc>
        <w:tc>
          <w:tcPr>
            <w:tcW w:w="658" w:type="dxa"/>
            <w:tcBorders>
              <w:top w:val="nil"/>
              <w:left w:val="nil"/>
              <w:bottom w:val="single" w:sz="4" w:space="0" w:color="auto"/>
              <w:right w:val="single" w:sz="4" w:space="0" w:color="auto"/>
            </w:tcBorders>
            <w:shd w:val="clear" w:color="000000" w:fill="FFFF99"/>
            <w:noWrap/>
            <w:vAlign w:val="bottom"/>
            <w:hideMark/>
          </w:tcPr>
          <w:p w14:paraId="305EE620" w14:textId="77777777" w:rsidR="00B27DCD" w:rsidRPr="009F0A74" w:rsidRDefault="00B27DCD" w:rsidP="00B27DCD">
            <w:pPr>
              <w:spacing w:after="0" w:line="240" w:lineRule="auto"/>
              <w:jc w:val="right"/>
              <w:rPr>
                <w:rFonts w:ascii="Calibri" w:eastAsia="Times New Roman" w:hAnsi="Calibri" w:cs="Calibri"/>
                <w:sz w:val="16"/>
                <w:szCs w:val="16"/>
                <w:lang w:eastAsia="hr-HR"/>
              </w:rPr>
            </w:pPr>
            <w:r w:rsidRPr="009F0A74">
              <w:rPr>
                <w:rFonts w:ascii="Calibri" w:eastAsia="Times New Roman" w:hAnsi="Calibri" w:cs="Calibri"/>
                <w:sz w:val="16"/>
                <w:szCs w:val="16"/>
                <w:lang w:eastAsia="hr-HR"/>
              </w:rPr>
              <w:t>0</w:t>
            </w:r>
          </w:p>
        </w:tc>
        <w:tc>
          <w:tcPr>
            <w:tcW w:w="447" w:type="dxa"/>
            <w:tcBorders>
              <w:top w:val="nil"/>
              <w:left w:val="nil"/>
              <w:bottom w:val="single" w:sz="4" w:space="0" w:color="auto"/>
              <w:right w:val="single" w:sz="4" w:space="0" w:color="auto"/>
            </w:tcBorders>
            <w:shd w:val="clear" w:color="000000" w:fill="FFFF99"/>
            <w:noWrap/>
            <w:vAlign w:val="bottom"/>
            <w:hideMark/>
          </w:tcPr>
          <w:p w14:paraId="43AF2A8C" w14:textId="77777777" w:rsidR="00B27DCD" w:rsidRPr="009F0A74" w:rsidRDefault="00B27DCD" w:rsidP="00B27DCD">
            <w:pPr>
              <w:spacing w:after="0" w:line="240" w:lineRule="auto"/>
              <w:jc w:val="right"/>
              <w:rPr>
                <w:rFonts w:ascii="Calibri" w:eastAsia="Times New Roman" w:hAnsi="Calibri" w:cs="Calibri"/>
                <w:sz w:val="16"/>
                <w:szCs w:val="16"/>
                <w:lang w:eastAsia="hr-HR"/>
              </w:rPr>
            </w:pPr>
            <w:r w:rsidRPr="009F0A74">
              <w:rPr>
                <w:rFonts w:ascii="Calibri" w:eastAsia="Times New Roman" w:hAnsi="Calibri" w:cs="Calibri"/>
                <w:sz w:val="16"/>
                <w:szCs w:val="16"/>
                <w:lang w:eastAsia="hr-HR"/>
              </w:rPr>
              <w:t>0</w:t>
            </w:r>
          </w:p>
        </w:tc>
        <w:tc>
          <w:tcPr>
            <w:tcW w:w="644" w:type="dxa"/>
            <w:gridSpan w:val="2"/>
            <w:tcBorders>
              <w:top w:val="nil"/>
              <w:left w:val="nil"/>
              <w:bottom w:val="single" w:sz="4" w:space="0" w:color="auto"/>
              <w:right w:val="single" w:sz="4" w:space="0" w:color="auto"/>
            </w:tcBorders>
            <w:shd w:val="clear" w:color="000000" w:fill="FFFF99"/>
            <w:noWrap/>
            <w:vAlign w:val="bottom"/>
            <w:hideMark/>
          </w:tcPr>
          <w:p w14:paraId="32001D4B" w14:textId="77777777" w:rsidR="00B27DCD" w:rsidRPr="009F0A74" w:rsidRDefault="00B27DCD" w:rsidP="00B27DCD">
            <w:pPr>
              <w:spacing w:after="0" w:line="240" w:lineRule="auto"/>
              <w:jc w:val="right"/>
              <w:rPr>
                <w:rFonts w:ascii="Calibri" w:eastAsia="Times New Roman" w:hAnsi="Calibri" w:cs="Calibri"/>
                <w:sz w:val="16"/>
                <w:szCs w:val="16"/>
                <w:lang w:eastAsia="hr-HR"/>
              </w:rPr>
            </w:pPr>
            <w:r w:rsidRPr="009F0A74">
              <w:rPr>
                <w:rFonts w:ascii="Calibri" w:eastAsia="Times New Roman" w:hAnsi="Calibri" w:cs="Calibri"/>
                <w:sz w:val="16"/>
                <w:szCs w:val="16"/>
                <w:lang w:eastAsia="hr-HR"/>
              </w:rPr>
              <w:t>0</w:t>
            </w:r>
          </w:p>
        </w:tc>
        <w:tc>
          <w:tcPr>
            <w:tcW w:w="452" w:type="dxa"/>
            <w:tcBorders>
              <w:top w:val="nil"/>
              <w:left w:val="nil"/>
              <w:bottom w:val="single" w:sz="4" w:space="0" w:color="auto"/>
              <w:right w:val="single" w:sz="4" w:space="0" w:color="auto"/>
            </w:tcBorders>
            <w:shd w:val="clear" w:color="000000" w:fill="FFFF99"/>
            <w:noWrap/>
            <w:vAlign w:val="bottom"/>
            <w:hideMark/>
          </w:tcPr>
          <w:p w14:paraId="49709751" w14:textId="77777777" w:rsidR="00B27DCD" w:rsidRPr="009F0A74" w:rsidRDefault="00B27DCD" w:rsidP="00B27DCD">
            <w:pPr>
              <w:spacing w:after="0" w:line="240" w:lineRule="auto"/>
              <w:jc w:val="right"/>
              <w:rPr>
                <w:rFonts w:ascii="Calibri" w:eastAsia="Times New Roman" w:hAnsi="Calibri" w:cs="Calibri"/>
                <w:sz w:val="16"/>
                <w:szCs w:val="16"/>
                <w:lang w:eastAsia="hr-HR"/>
              </w:rPr>
            </w:pPr>
            <w:r w:rsidRPr="009F0A74">
              <w:rPr>
                <w:rFonts w:ascii="Calibri" w:eastAsia="Times New Roman" w:hAnsi="Calibri" w:cs="Calibri"/>
                <w:sz w:val="16"/>
                <w:szCs w:val="16"/>
                <w:lang w:eastAsia="hr-HR"/>
              </w:rPr>
              <w:t>1</w:t>
            </w:r>
          </w:p>
        </w:tc>
        <w:tc>
          <w:tcPr>
            <w:tcW w:w="538" w:type="dxa"/>
            <w:tcBorders>
              <w:top w:val="nil"/>
              <w:left w:val="nil"/>
              <w:bottom w:val="single" w:sz="4" w:space="0" w:color="auto"/>
              <w:right w:val="single" w:sz="4" w:space="0" w:color="auto"/>
            </w:tcBorders>
            <w:shd w:val="clear" w:color="000000" w:fill="FFFF99"/>
            <w:noWrap/>
            <w:vAlign w:val="bottom"/>
            <w:hideMark/>
          </w:tcPr>
          <w:p w14:paraId="7F69ECCB" w14:textId="77777777" w:rsidR="00B27DCD" w:rsidRPr="009F0A74" w:rsidRDefault="00B27DCD" w:rsidP="00B27DCD">
            <w:pPr>
              <w:spacing w:after="0" w:line="240" w:lineRule="auto"/>
              <w:jc w:val="right"/>
              <w:rPr>
                <w:rFonts w:ascii="Calibri" w:eastAsia="Times New Roman" w:hAnsi="Calibri" w:cs="Calibri"/>
                <w:sz w:val="16"/>
                <w:szCs w:val="16"/>
                <w:lang w:eastAsia="hr-HR"/>
              </w:rPr>
            </w:pPr>
            <w:r w:rsidRPr="009F0A74">
              <w:rPr>
                <w:rFonts w:ascii="Calibri" w:eastAsia="Times New Roman" w:hAnsi="Calibri" w:cs="Calibri"/>
                <w:sz w:val="16"/>
                <w:szCs w:val="16"/>
                <w:lang w:eastAsia="hr-HR"/>
              </w:rPr>
              <w:t>0</w:t>
            </w:r>
          </w:p>
        </w:tc>
        <w:tc>
          <w:tcPr>
            <w:tcW w:w="447" w:type="dxa"/>
            <w:tcBorders>
              <w:top w:val="nil"/>
              <w:left w:val="nil"/>
              <w:bottom w:val="single" w:sz="4" w:space="0" w:color="auto"/>
              <w:right w:val="single" w:sz="4" w:space="0" w:color="auto"/>
            </w:tcBorders>
            <w:shd w:val="clear" w:color="000000" w:fill="FFFF99"/>
            <w:noWrap/>
            <w:vAlign w:val="bottom"/>
            <w:hideMark/>
          </w:tcPr>
          <w:p w14:paraId="1DAE16F1" w14:textId="77777777" w:rsidR="00B27DCD" w:rsidRPr="009F0A74" w:rsidRDefault="00B27DCD" w:rsidP="00B27DCD">
            <w:pPr>
              <w:spacing w:after="0" w:line="240" w:lineRule="auto"/>
              <w:jc w:val="right"/>
              <w:rPr>
                <w:rFonts w:ascii="Calibri" w:eastAsia="Times New Roman" w:hAnsi="Calibri" w:cs="Calibri"/>
                <w:sz w:val="16"/>
                <w:szCs w:val="16"/>
                <w:lang w:eastAsia="hr-HR"/>
              </w:rPr>
            </w:pPr>
            <w:r w:rsidRPr="009F0A74">
              <w:rPr>
                <w:rFonts w:ascii="Calibri" w:eastAsia="Times New Roman" w:hAnsi="Calibri" w:cs="Calibri"/>
                <w:sz w:val="16"/>
                <w:szCs w:val="16"/>
                <w:lang w:eastAsia="hr-HR"/>
              </w:rPr>
              <w:t>0</w:t>
            </w:r>
          </w:p>
        </w:tc>
        <w:tc>
          <w:tcPr>
            <w:tcW w:w="447" w:type="dxa"/>
            <w:tcBorders>
              <w:top w:val="nil"/>
              <w:left w:val="nil"/>
              <w:bottom w:val="single" w:sz="4" w:space="0" w:color="auto"/>
              <w:right w:val="single" w:sz="4" w:space="0" w:color="auto"/>
            </w:tcBorders>
            <w:shd w:val="clear" w:color="000000" w:fill="FFFF99"/>
            <w:noWrap/>
            <w:vAlign w:val="bottom"/>
            <w:hideMark/>
          </w:tcPr>
          <w:p w14:paraId="3AB2E44F" w14:textId="77777777" w:rsidR="00B27DCD" w:rsidRPr="009F0A74" w:rsidRDefault="00B27DCD" w:rsidP="00B27DCD">
            <w:pPr>
              <w:spacing w:after="0" w:line="240" w:lineRule="auto"/>
              <w:jc w:val="right"/>
              <w:rPr>
                <w:rFonts w:ascii="Calibri" w:eastAsia="Times New Roman" w:hAnsi="Calibri" w:cs="Calibri"/>
                <w:sz w:val="16"/>
                <w:szCs w:val="16"/>
                <w:lang w:eastAsia="hr-HR"/>
              </w:rPr>
            </w:pPr>
            <w:r w:rsidRPr="009F0A74">
              <w:rPr>
                <w:rFonts w:ascii="Calibri" w:eastAsia="Times New Roman" w:hAnsi="Calibri" w:cs="Calibri"/>
                <w:sz w:val="16"/>
                <w:szCs w:val="16"/>
                <w:lang w:eastAsia="hr-HR"/>
              </w:rPr>
              <w:t>1</w:t>
            </w:r>
          </w:p>
        </w:tc>
        <w:tc>
          <w:tcPr>
            <w:tcW w:w="400" w:type="dxa"/>
            <w:tcBorders>
              <w:top w:val="nil"/>
              <w:left w:val="nil"/>
              <w:bottom w:val="single" w:sz="4" w:space="0" w:color="auto"/>
              <w:right w:val="single" w:sz="4" w:space="0" w:color="auto"/>
            </w:tcBorders>
            <w:shd w:val="clear" w:color="000000" w:fill="FFFF99"/>
            <w:noWrap/>
            <w:vAlign w:val="bottom"/>
            <w:hideMark/>
          </w:tcPr>
          <w:p w14:paraId="7BED6C7C" w14:textId="77777777" w:rsidR="00B27DCD" w:rsidRPr="009F0A74" w:rsidRDefault="00B27DCD" w:rsidP="00B27DCD">
            <w:pPr>
              <w:spacing w:after="0" w:line="240" w:lineRule="auto"/>
              <w:jc w:val="right"/>
              <w:rPr>
                <w:rFonts w:ascii="Calibri" w:eastAsia="Times New Roman" w:hAnsi="Calibri" w:cs="Calibri"/>
                <w:sz w:val="16"/>
                <w:szCs w:val="16"/>
                <w:lang w:eastAsia="hr-HR"/>
              </w:rPr>
            </w:pPr>
            <w:r w:rsidRPr="009F0A74">
              <w:rPr>
                <w:rFonts w:ascii="Calibri" w:eastAsia="Times New Roman" w:hAnsi="Calibri" w:cs="Calibri"/>
                <w:sz w:val="16"/>
                <w:szCs w:val="16"/>
                <w:lang w:eastAsia="hr-HR"/>
              </w:rPr>
              <w:t>0</w:t>
            </w:r>
          </w:p>
        </w:tc>
        <w:tc>
          <w:tcPr>
            <w:tcW w:w="357" w:type="dxa"/>
            <w:gridSpan w:val="2"/>
            <w:tcBorders>
              <w:top w:val="nil"/>
              <w:left w:val="nil"/>
              <w:bottom w:val="single" w:sz="4" w:space="0" w:color="auto"/>
              <w:right w:val="single" w:sz="4" w:space="0" w:color="auto"/>
            </w:tcBorders>
            <w:shd w:val="clear" w:color="000000" w:fill="FF9900"/>
            <w:noWrap/>
            <w:vAlign w:val="bottom"/>
            <w:hideMark/>
          </w:tcPr>
          <w:p w14:paraId="5E67BD51" w14:textId="77777777" w:rsidR="00B27DCD" w:rsidRPr="009F0A74" w:rsidRDefault="00B27DCD" w:rsidP="00B27DCD">
            <w:pPr>
              <w:spacing w:after="0" w:line="240" w:lineRule="auto"/>
              <w:jc w:val="right"/>
              <w:rPr>
                <w:rFonts w:ascii="Calibri" w:eastAsia="Times New Roman" w:hAnsi="Calibri" w:cs="Calibri"/>
                <w:sz w:val="16"/>
                <w:szCs w:val="16"/>
                <w:lang w:eastAsia="hr-HR"/>
              </w:rPr>
            </w:pPr>
            <w:r w:rsidRPr="009F0A74">
              <w:rPr>
                <w:rFonts w:ascii="Calibri" w:eastAsia="Times New Roman" w:hAnsi="Calibri" w:cs="Calibri"/>
                <w:sz w:val="16"/>
                <w:szCs w:val="16"/>
                <w:lang w:eastAsia="hr-HR"/>
              </w:rPr>
              <w:t>1</w:t>
            </w:r>
          </w:p>
        </w:tc>
        <w:tc>
          <w:tcPr>
            <w:tcW w:w="447" w:type="dxa"/>
            <w:tcBorders>
              <w:top w:val="nil"/>
              <w:left w:val="nil"/>
              <w:bottom w:val="single" w:sz="4" w:space="0" w:color="auto"/>
              <w:right w:val="single" w:sz="4" w:space="0" w:color="auto"/>
            </w:tcBorders>
            <w:shd w:val="clear" w:color="000000" w:fill="FF9900"/>
            <w:noWrap/>
            <w:vAlign w:val="bottom"/>
            <w:hideMark/>
          </w:tcPr>
          <w:p w14:paraId="4CD6B866" w14:textId="77777777" w:rsidR="00B27DCD" w:rsidRPr="009F0A74" w:rsidRDefault="00B27DCD" w:rsidP="00B27DCD">
            <w:pPr>
              <w:spacing w:after="0" w:line="240" w:lineRule="auto"/>
              <w:jc w:val="right"/>
              <w:rPr>
                <w:rFonts w:ascii="Calibri" w:eastAsia="Times New Roman" w:hAnsi="Calibri" w:cs="Calibri"/>
                <w:sz w:val="16"/>
                <w:szCs w:val="16"/>
                <w:lang w:eastAsia="hr-HR"/>
              </w:rPr>
            </w:pPr>
            <w:r w:rsidRPr="009F0A74">
              <w:rPr>
                <w:rFonts w:ascii="Calibri" w:eastAsia="Times New Roman" w:hAnsi="Calibri" w:cs="Calibri"/>
                <w:sz w:val="16"/>
                <w:szCs w:val="16"/>
                <w:lang w:eastAsia="hr-HR"/>
              </w:rPr>
              <w:t>0</w:t>
            </w:r>
          </w:p>
        </w:tc>
        <w:tc>
          <w:tcPr>
            <w:tcW w:w="447" w:type="dxa"/>
            <w:tcBorders>
              <w:top w:val="nil"/>
              <w:left w:val="nil"/>
              <w:bottom w:val="single" w:sz="4" w:space="0" w:color="auto"/>
              <w:right w:val="single" w:sz="4" w:space="0" w:color="auto"/>
            </w:tcBorders>
            <w:shd w:val="clear" w:color="000000" w:fill="FF9900"/>
            <w:noWrap/>
            <w:vAlign w:val="bottom"/>
            <w:hideMark/>
          </w:tcPr>
          <w:p w14:paraId="646CF114" w14:textId="77777777" w:rsidR="00B27DCD" w:rsidRPr="009F0A74" w:rsidRDefault="00B27DCD" w:rsidP="00B27DCD">
            <w:pPr>
              <w:spacing w:after="0" w:line="240" w:lineRule="auto"/>
              <w:jc w:val="right"/>
              <w:rPr>
                <w:rFonts w:ascii="Calibri" w:eastAsia="Times New Roman" w:hAnsi="Calibri" w:cs="Calibri"/>
                <w:sz w:val="16"/>
                <w:szCs w:val="16"/>
                <w:lang w:eastAsia="hr-HR"/>
              </w:rPr>
            </w:pPr>
            <w:r w:rsidRPr="009F0A74">
              <w:rPr>
                <w:rFonts w:ascii="Calibri" w:eastAsia="Times New Roman" w:hAnsi="Calibri" w:cs="Calibri"/>
                <w:sz w:val="16"/>
                <w:szCs w:val="16"/>
                <w:lang w:eastAsia="hr-HR"/>
              </w:rPr>
              <w:t>0</w:t>
            </w:r>
          </w:p>
        </w:tc>
        <w:tc>
          <w:tcPr>
            <w:tcW w:w="446" w:type="dxa"/>
            <w:tcBorders>
              <w:top w:val="nil"/>
              <w:left w:val="nil"/>
              <w:bottom w:val="single" w:sz="4" w:space="0" w:color="auto"/>
              <w:right w:val="single" w:sz="4" w:space="0" w:color="auto"/>
            </w:tcBorders>
            <w:shd w:val="clear" w:color="auto" w:fill="auto"/>
            <w:vAlign w:val="bottom"/>
            <w:hideMark/>
          </w:tcPr>
          <w:p w14:paraId="426965CE" w14:textId="77777777" w:rsidR="00B27DCD" w:rsidRPr="009F0A74" w:rsidRDefault="00B27DCD" w:rsidP="00B27DCD">
            <w:pPr>
              <w:spacing w:after="0" w:line="240" w:lineRule="auto"/>
              <w:jc w:val="right"/>
              <w:rPr>
                <w:rFonts w:ascii="Calibri" w:eastAsia="Times New Roman" w:hAnsi="Calibri" w:cs="Calibri"/>
                <w:b/>
                <w:bCs/>
                <w:sz w:val="16"/>
                <w:szCs w:val="16"/>
                <w:lang w:eastAsia="hr-HR"/>
              </w:rPr>
            </w:pPr>
            <w:r w:rsidRPr="009F0A74">
              <w:rPr>
                <w:rFonts w:ascii="Calibri" w:eastAsia="Times New Roman" w:hAnsi="Calibri" w:cs="Calibri"/>
                <w:b/>
                <w:bCs/>
                <w:sz w:val="16"/>
                <w:szCs w:val="16"/>
                <w:lang w:eastAsia="hr-HR"/>
              </w:rPr>
              <w:t>1</w:t>
            </w:r>
          </w:p>
        </w:tc>
        <w:tc>
          <w:tcPr>
            <w:tcW w:w="447" w:type="dxa"/>
            <w:gridSpan w:val="2"/>
            <w:tcBorders>
              <w:top w:val="nil"/>
              <w:left w:val="nil"/>
              <w:bottom w:val="single" w:sz="4" w:space="0" w:color="auto"/>
              <w:right w:val="single" w:sz="4" w:space="0" w:color="auto"/>
            </w:tcBorders>
            <w:shd w:val="clear" w:color="000000" w:fill="FFFF00"/>
            <w:noWrap/>
            <w:vAlign w:val="bottom"/>
            <w:hideMark/>
          </w:tcPr>
          <w:p w14:paraId="60736BFF" w14:textId="77777777" w:rsidR="00B27DCD" w:rsidRPr="009F0A74" w:rsidRDefault="00B27DCD" w:rsidP="00B27DCD">
            <w:pPr>
              <w:spacing w:after="0" w:line="240" w:lineRule="auto"/>
              <w:jc w:val="right"/>
              <w:rPr>
                <w:rFonts w:ascii="Calibri" w:eastAsia="Times New Roman" w:hAnsi="Calibri" w:cs="Calibri"/>
                <w:sz w:val="16"/>
                <w:szCs w:val="16"/>
                <w:lang w:eastAsia="hr-HR"/>
              </w:rPr>
            </w:pPr>
            <w:r w:rsidRPr="009F0A74">
              <w:rPr>
                <w:rFonts w:ascii="Calibri" w:eastAsia="Times New Roman" w:hAnsi="Calibri" w:cs="Calibri"/>
                <w:sz w:val="16"/>
                <w:szCs w:val="16"/>
                <w:lang w:eastAsia="hr-HR"/>
              </w:rPr>
              <w:t>0</w:t>
            </w:r>
          </w:p>
        </w:tc>
        <w:tc>
          <w:tcPr>
            <w:tcW w:w="447" w:type="dxa"/>
            <w:tcBorders>
              <w:top w:val="nil"/>
              <w:left w:val="nil"/>
              <w:bottom w:val="single" w:sz="4" w:space="0" w:color="auto"/>
              <w:right w:val="single" w:sz="4" w:space="0" w:color="auto"/>
            </w:tcBorders>
            <w:shd w:val="clear" w:color="000000" w:fill="FFFF00"/>
            <w:noWrap/>
            <w:vAlign w:val="bottom"/>
            <w:hideMark/>
          </w:tcPr>
          <w:p w14:paraId="4702FF83" w14:textId="77777777" w:rsidR="00B27DCD" w:rsidRPr="009F0A74" w:rsidRDefault="00B27DCD" w:rsidP="00B27DCD">
            <w:pPr>
              <w:spacing w:after="0" w:line="240" w:lineRule="auto"/>
              <w:jc w:val="right"/>
              <w:rPr>
                <w:rFonts w:ascii="Calibri" w:eastAsia="Times New Roman" w:hAnsi="Calibri" w:cs="Calibri"/>
                <w:sz w:val="16"/>
                <w:szCs w:val="16"/>
                <w:lang w:eastAsia="hr-HR"/>
              </w:rPr>
            </w:pPr>
            <w:r w:rsidRPr="009F0A74">
              <w:rPr>
                <w:rFonts w:ascii="Calibri" w:eastAsia="Times New Roman" w:hAnsi="Calibri" w:cs="Calibri"/>
                <w:sz w:val="16"/>
                <w:szCs w:val="16"/>
                <w:lang w:eastAsia="hr-HR"/>
              </w:rPr>
              <w:t>1</w:t>
            </w:r>
          </w:p>
        </w:tc>
        <w:tc>
          <w:tcPr>
            <w:tcW w:w="447" w:type="dxa"/>
            <w:tcBorders>
              <w:top w:val="nil"/>
              <w:left w:val="nil"/>
              <w:bottom w:val="single" w:sz="4" w:space="0" w:color="auto"/>
              <w:right w:val="single" w:sz="4" w:space="0" w:color="auto"/>
            </w:tcBorders>
            <w:shd w:val="clear" w:color="000000" w:fill="FFFF00"/>
            <w:noWrap/>
            <w:vAlign w:val="bottom"/>
            <w:hideMark/>
          </w:tcPr>
          <w:p w14:paraId="59111151" w14:textId="77777777" w:rsidR="00B27DCD" w:rsidRPr="009F0A74" w:rsidRDefault="00B27DCD" w:rsidP="00B27DCD">
            <w:pPr>
              <w:spacing w:after="0" w:line="240" w:lineRule="auto"/>
              <w:jc w:val="right"/>
              <w:rPr>
                <w:rFonts w:ascii="Calibri" w:eastAsia="Times New Roman" w:hAnsi="Calibri" w:cs="Calibri"/>
                <w:sz w:val="16"/>
                <w:szCs w:val="16"/>
                <w:lang w:eastAsia="hr-HR"/>
              </w:rPr>
            </w:pPr>
            <w:r w:rsidRPr="009F0A74">
              <w:rPr>
                <w:rFonts w:ascii="Calibri" w:eastAsia="Times New Roman" w:hAnsi="Calibri" w:cs="Calibri"/>
                <w:sz w:val="16"/>
                <w:szCs w:val="16"/>
                <w:lang w:eastAsia="hr-HR"/>
              </w:rPr>
              <w:t>0</w:t>
            </w:r>
          </w:p>
        </w:tc>
        <w:tc>
          <w:tcPr>
            <w:tcW w:w="446" w:type="dxa"/>
            <w:tcBorders>
              <w:top w:val="nil"/>
              <w:left w:val="nil"/>
              <w:bottom w:val="single" w:sz="4" w:space="0" w:color="auto"/>
              <w:right w:val="single" w:sz="4" w:space="0" w:color="auto"/>
            </w:tcBorders>
            <w:shd w:val="clear" w:color="auto" w:fill="auto"/>
            <w:vAlign w:val="bottom"/>
            <w:hideMark/>
          </w:tcPr>
          <w:p w14:paraId="7ED22A43" w14:textId="77777777" w:rsidR="00B27DCD" w:rsidRPr="009F0A74" w:rsidRDefault="00B27DCD" w:rsidP="00B27DCD">
            <w:pPr>
              <w:spacing w:after="0" w:line="240" w:lineRule="auto"/>
              <w:jc w:val="right"/>
              <w:rPr>
                <w:rFonts w:ascii="Calibri" w:eastAsia="Times New Roman" w:hAnsi="Calibri" w:cs="Calibri"/>
                <w:b/>
                <w:bCs/>
                <w:sz w:val="16"/>
                <w:szCs w:val="16"/>
                <w:lang w:eastAsia="hr-HR"/>
              </w:rPr>
            </w:pPr>
            <w:r w:rsidRPr="009F0A74">
              <w:rPr>
                <w:rFonts w:ascii="Calibri" w:eastAsia="Times New Roman" w:hAnsi="Calibri" w:cs="Calibri"/>
                <w:b/>
                <w:bCs/>
                <w:sz w:val="16"/>
                <w:szCs w:val="16"/>
                <w:lang w:eastAsia="hr-HR"/>
              </w:rPr>
              <w:t>1</w:t>
            </w:r>
          </w:p>
        </w:tc>
        <w:tc>
          <w:tcPr>
            <w:tcW w:w="524" w:type="dxa"/>
            <w:gridSpan w:val="2"/>
            <w:tcBorders>
              <w:top w:val="nil"/>
              <w:left w:val="nil"/>
              <w:bottom w:val="single" w:sz="4" w:space="0" w:color="auto"/>
              <w:right w:val="single" w:sz="4" w:space="0" w:color="auto"/>
            </w:tcBorders>
            <w:shd w:val="clear" w:color="000000" w:fill="FFFF00"/>
            <w:vAlign w:val="bottom"/>
            <w:hideMark/>
          </w:tcPr>
          <w:p w14:paraId="5FAC4460" w14:textId="77777777" w:rsidR="00B27DCD" w:rsidRPr="009F0A74" w:rsidRDefault="00B27DCD" w:rsidP="00B27DCD">
            <w:pPr>
              <w:spacing w:after="0" w:line="240" w:lineRule="auto"/>
              <w:jc w:val="right"/>
              <w:rPr>
                <w:rFonts w:ascii="Calibri" w:eastAsia="Times New Roman" w:hAnsi="Calibri" w:cs="Calibri"/>
                <w:b/>
                <w:bCs/>
                <w:sz w:val="16"/>
                <w:szCs w:val="16"/>
                <w:lang w:eastAsia="hr-HR"/>
              </w:rPr>
            </w:pPr>
            <w:r w:rsidRPr="009F0A74">
              <w:rPr>
                <w:rFonts w:ascii="Calibri" w:eastAsia="Times New Roman" w:hAnsi="Calibri" w:cs="Calibri"/>
                <w:b/>
                <w:bCs/>
                <w:sz w:val="16"/>
                <w:szCs w:val="16"/>
                <w:lang w:eastAsia="hr-HR"/>
              </w:rPr>
              <w:t>3</w:t>
            </w:r>
          </w:p>
        </w:tc>
        <w:tc>
          <w:tcPr>
            <w:tcW w:w="425" w:type="dxa"/>
            <w:gridSpan w:val="2"/>
            <w:tcBorders>
              <w:top w:val="nil"/>
              <w:left w:val="nil"/>
              <w:bottom w:val="single" w:sz="4" w:space="0" w:color="auto"/>
              <w:right w:val="single" w:sz="4" w:space="0" w:color="auto"/>
            </w:tcBorders>
            <w:shd w:val="clear" w:color="000000" w:fill="FF9900"/>
            <w:noWrap/>
            <w:vAlign w:val="bottom"/>
            <w:hideMark/>
          </w:tcPr>
          <w:p w14:paraId="6EC7F069" w14:textId="77777777" w:rsidR="00B27DCD" w:rsidRPr="009F0A74" w:rsidRDefault="00B27DCD" w:rsidP="00B27DCD">
            <w:pPr>
              <w:spacing w:after="0" w:line="240" w:lineRule="auto"/>
              <w:jc w:val="right"/>
              <w:rPr>
                <w:rFonts w:ascii="Calibri" w:eastAsia="Times New Roman" w:hAnsi="Calibri" w:cs="Calibri"/>
                <w:sz w:val="16"/>
                <w:szCs w:val="16"/>
                <w:lang w:eastAsia="hr-HR"/>
              </w:rPr>
            </w:pPr>
            <w:r w:rsidRPr="009F0A74">
              <w:rPr>
                <w:rFonts w:ascii="Calibri" w:eastAsia="Times New Roman" w:hAnsi="Calibri" w:cs="Calibri"/>
                <w:sz w:val="16"/>
                <w:szCs w:val="16"/>
                <w:lang w:eastAsia="hr-HR"/>
              </w:rPr>
              <w:t>1</w:t>
            </w:r>
          </w:p>
        </w:tc>
        <w:tc>
          <w:tcPr>
            <w:tcW w:w="501" w:type="dxa"/>
            <w:gridSpan w:val="2"/>
            <w:tcBorders>
              <w:top w:val="nil"/>
              <w:left w:val="nil"/>
              <w:bottom w:val="single" w:sz="4" w:space="0" w:color="auto"/>
              <w:right w:val="single" w:sz="4" w:space="0" w:color="auto"/>
            </w:tcBorders>
            <w:shd w:val="clear" w:color="000000" w:fill="FF9900"/>
            <w:noWrap/>
            <w:vAlign w:val="bottom"/>
            <w:hideMark/>
          </w:tcPr>
          <w:p w14:paraId="075EEEAC" w14:textId="77777777" w:rsidR="00B27DCD" w:rsidRPr="009F0A74" w:rsidRDefault="00B27DCD" w:rsidP="00B27DCD">
            <w:pPr>
              <w:spacing w:after="0" w:line="240" w:lineRule="auto"/>
              <w:jc w:val="right"/>
              <w:rPr>
                <w:rFonts w:ascii="Calibri" w:eastAsia="Times New Roman" w:hAnsi="Calibri" w:cs="Calibri"/>
                <w:sz w:val="16"/>
                <w:szCs w:val="16"/>
                <w:lang w:eastAsia="hr-HR"/>
              </w:rPr>
            </w:pPr>
            <w:r w:rsidRPr="009F0A74">
              <w:rPr>
                <w:rFonts w:ascii="Calibri" w:eastAsia="Times New Roman" w:hAnsi="Calibri" w:cs="Calibri"/>
                <w:sz w:val="16"/>
                <w:szCs w:val="16"/>
                <w:lang w:eastAsia="hr-HR"/>
              </w:rPr>
              <w:t>1</w:t>
            </w:r>
          </w:p>
        </w:tc>
        <w:tc>
          <w:tcPr>
            <w:tcW w:w="425" w:type="dxa"/>
            <w:tcBorders>
              <w:top w:val="nil"/>
              <w:left w:val="nil"/>
              <w:bottom w:val="single" w:sz="4" w:space="0" w:color="auto"/>
              <w:right w:val="single" w:sz="4" w:space="0" w:color="auto"/>
            </w:tcBorders>
            <w:shd w:val="clear" w:color="000000" w:fill="CCFFFF"/>
            <w:noWrap/>
            <w:vAlign w:val="bottom"/>
            <w:hideMark/>
          </w:tcPr>
          <w:p w14:paraId="5FF70025" w14:textId="77777777" w:rsidR="00B27DCD" w:rsidRPr="009F0A74" w:rsidRDefault="00B27DCD" w:rsidP="00B27DCD">
            <w:pPr>
              <w:spacing w:after="0" w:line="240" w:lineRule="auto"/>
              <w:jc w:val="right"/>
              <w:rPr>
                <w:rFonts w:ascii="Calibri" w:eastAsia="Times New Roman" w:hAnsi="Calibri" w:cs="Calibri"/>
                <w:sz w:val="16"/>
                <w:szCs w:val="16"/>
                <w:lang w:eastAsia="hr-HR"/>
              </w:rPr>
            </w:pPr>
            <w:r w:rsidRPr="009F0A74">
              <w:rPr>
                <w:rFonts w:ascii="Calibri" w:eastAsia="Times New Roman" w:hAnsi="Calibri" w:cs="Calibri"/>
                <w:sz w:val="16"/>
                <w:szCs w:val="16"/>
                <w:lang w:eastAsia="hr-HR"/>
              </w:rPr>
              <w:t>0</w:t>
            </w:r>
          </w:p>
        </w:tc>
        <w:tc>
          <w:tcPr>
            <w:tcW w:w="426" w:type="dxa"/>
            <w:tcBorders>
              <w:top w:val="nil"/>
              <w:left w:val="nil"/>
              <w:bottom w:val="single" w:sz="4" w:space="0" w:color="auto"/>
              <w:right w:val="single" w:sz="4" w:space="0" w:color="auto"/>
            </w:tcBorders>
            <w:shd w:val="clear" w:color="000000" w:fill="CCFFFF"/>
            <w:noWrap/>
            <w:vAlign w:val="bottom"/>
            <w:hideMark/>
          </w:tcPr>
          <w:p w14:paraId="21CD661B" w14:textId="77777777" w:rsidR="00B27DCD" w:rsidRPr="009F0A74" w:rsidRDefault="00B27DCD" w:rsidP="00B27DCD">
            <w:pPr>
              <w:spacing w:after="0" w:line="240" w:lineRule="auto"/>
              <w:jc w:val="right"/>
              <w:rPr>
                <w:rFonts w:ascii="Calibri" w:eastAsia="Times New Roman" w:hAnsi="Calibri" w:cs="Calibri"/>
                <w:sz w:val="16"/>
                <w:szCs w:val="16"/>
                <w:lang w:eastAsia="hr-HR"/>
              </w:rPr>
            </w:pPr>
            <w:r w:rsidRPr="009F0A74">
              <w:rPr>
                <w:rFonts w:ascii="Calibri" w:eastAsia="Times New Roman" w:hAnsi="Calibri" w:cs="Calibri"/>
                <w:sz w:val="16"/>
                <w:szCs w:val="16"/>
                <w:lang w:eastAsia="hr-HR"/>
              </w:rPr>
              <w:t>0</w:t>
            </w:r>
          </w:p>
        </w:tc>
        <w:tc>
          <w:tcPr>
            <w:tcW w:w="818" w:type="dxa"/>
            <w:gridSpan w:val="2"/>
            <w:tcBorders>
              <w:top w:val="nil"/>
              <w:left w:val="nil"/>
              <w:bottom w:val="single" w:sz="4" w:space="0" w:color="auto"/>
              <w:right w:val="single" w:sz="4" w:space="0" w:color="auto"/>
            </w:tcBorders>
            <w:shd w:val="clear" w:color="000000" w:fill="33CCCC"/>
            <w:noWrap/>
            <w:vAlign w:val="bottom"/>
            <w:hideMark/>
          </w:tcPr>
          <w:p w14:paraId="5FD2EB67" w14:textId="77777777" w:rsidR="00B27DCD" w:rsidRPr="009F0A74" w:rsidRDefault="00B27DCD" w:rsidP="00B27DCD">
            <w:pPr>
              <w:spacing w:after="0" w:line="240" w:lineRule="auto"/>
              <w:jc w:val="right"/>
              <w:rPr>
                <w:rFonts w:ascii="Calibri" w:eastAsia="Times New Roman" w:hAnsi="Calibri" w:cs="Calibri"/>
                <w:sz w:val="16"/>
                <w:szCs w:val="16"/>
                <w:lang w:eastAsia="hr-HR"/>
              </w:rPr>
            </w:pPr>
            <w:r w:rsidRPr="009F0A74">
              <w:rPr>
                <w:rFonts w:ascii="Calibri" w:eastAsia="Times New Roman" w:hAnsi="Calibri" w:cs="Calibri"/>
                <w:sz w:val="16"/>
                <w:szCs w:val="16"/>
                <w:lang w:eastAsia="hr-HR"/>
              </w:rPr>
              <w:t>1</w:t>
            </w:r>
          </w:p>
        </w:tc>
        <w:tc>
          <w:tcPr>
            <w:tcW w:w="818" w:type="dxa"/>
            <w:gridSpan w:val="2"/>
            <w:tcBorders>
              <w:top w:val="nil"/>
              <w:left w:val="nil"/>
              <w:bottom w:val="single" w:sz="4" w:space="0" w:color="auto"/>
              <w:right w:val="single" w:sz="8" w:space="0" w:color="auto"/>
            </w:tcBorders>
            <w:shd w:val="clear" w:color="000000" w:fill="33CCCC"/>
            <w:noWrap/>
            <w:vAlign w:val="bottom"/>
            <w:hideMark/>
          </w:tcPr>
          <w:p w14:paraId="399DC734" w14:textId="77777777" w:rsidR="00B27DCD" w:rsidRPr="009F0A74" w:rsidRDefault="00B27DCD" w:rsidP="00B27DCD">
            <w:pPr>
              <w:spacing w:after="0" w:line="240" w:lineRule="auto"/>
              <w:jc w:val="right"/>
              <w:rPr>
                <w:rFonts w:ascii="Calibri" w:eastAsia="Times New Roman" w:hAnsi="Calibri" w:cs="Calibri"/>
                <w:sz w:val="16"/>
                <w:szCs w:val="16"/>
                <w:lang w:eastAsia="hr-HR"/>
              </w:rPr>
            </w:pPr>
            <w:r w:rsidRPr="009F0A74">
              <w:rPr>
                <w:rFonts w:ascii="Calibri" w:eastAsia="Times New Roman" w:hAnsi="Calibri" w:cs="Calibri"/>
                <w:sz w:val="16"/>
                <w:szCs w:val="16"/>
                <w:lang w:eastAsia="hr-HR"/>
              </w:rPr>
              <w:t>0</w:t>
            </w:r>
          </w:p>
        </w:tc>
        <w:tc>
          <w:tcPr>
            <w:tcW w:w="236" w:type="dxa"/>
            <w:gridSpan w:val="3"/>
            <w:vAlign w:val="center"/>
            <w:hideMark/>
          </w:tcPr>
          <w:p w14:paraId="74EFE83C" w14:textId="77777777" w:rsidR="00B27DCD" w:rsidRPr="009F0A74" w:rsidRDefault="00B27DCD" w:rsidP="00B27DCD">
            <w:pPr>
              <w:spacing w:after="0" w:line="240" w:lineRule="auto"/>
              <w:rPr>
                <w:rFonts w:ascii="Times New Roman" w:eastAsia="Times New Roman" w:hAnsi="Times New Roman" w:cs="Times New Roman"/>
                <w:sz w:val="16"/>
                <w:szCs w:val="16"/>
                <w:lang w:eastAsia="hr-HR"/>
              </w:rPr>
            </w:pPr>
          </w:p>
        </w:tc>
      </w:tr>
      <w:tr w:rsidR="009F0A74" w:rsidRPr="009F0A74" w14:paraId="10CA5919" w14:textId="77777777" w:rsidTr="009F0A74">
        <w:trPr>
          <w:trHeight w:val="315"/>
        </w:trPr>
        <w:tc>
          <w:tcPr>
            <w:tcW w:w="840" w:type="dxa"/>
            <w:tcBorders>
              <w:top w:val="single" w:sz="4" w:space="0" w:color="auto"/>
              <w:left w:val="single" w:sz="8" w:space="0" w:color="auto"/>
              <w:bottom w:val="single" w:sz="4" w:space="0" w:color="auto"/>
              <w:right w:val="single" w:sz="4" w:space="0" w:color="000000"/>
            </w:tcBorders>
            <w:shd w:val="clear" w:color="000000" w:fill="CCFFCC"/>
            <w:vAlign w:val="center"/>
            <w:hideMark/>
          </w:tcPr>
          <w:p w14:paraId="3A3878C8" w14:textId="77777777" w:rsidR="00B27DCD" w:rsidRPr="009F0A74" w:rsidRDefault="00B27DCD" w:rsidP="00B27DCD">
            <w:pPr>
              <w:spacing w:after="0" w:line="240" w:lineRule="auto"/>
              <w:rPr>
                <w:rFonts w:ascii="Calibri" w:eastAsia="Times New Roman" w:hAnsi="Calibri" w:cs="Calibri"/>
                <w:sz w:val="16"/>
                <w:szCs w:val="16"/>
                <w:lang w:eastAsia="hr-HR"/>
              </w:rPr>
            </w:pPr>
            <w:r w:rsidRPr="009F0A74">
              <w:rPr>
                <w:rFonts w:ascii="Calibri" w:eastAsia="Times New Roman" w:hAnsi="Calibri" w:cs="Calibri"/>
                <w:sz w:val="16"/>
                <w:szCs w:val="16"/>
                <w:lang w:eastAsia="hr-HR"/>
              </w:rPr>
              <w:t>Jezik</w:t>
            </w:r>
          </w:p>
        </w:tc>
        <w:tc>
          <w:tcPr>
            <w:tcW w:w="540" w:type="dxa"/>
            <w:tcBorders>
              <w:top w:val="nil"/>
              <w:left w:val="nil"/>
              <w:bottom w:val="single" w:sz="4" w:space="0" w:color="auto"/>
              <w:right w:val="single" w:sz="4" w:space="0" w:color="auto"/>
            </w:tcBorders>
            <w:shd w:val="clear" w:color="000000" w:fill="FFFF00"/>
            <w:vAlign w:val="bottom"/>
            <w:hideMark/>
          </w:tcPr>
          <w:p w14:paraId="237E6DB8" w14:textId="77777777" w:rsidR="00B27DCD" w:rsidRPr="009F0A74" w:rsidRDefault="00B27DCD" w:rsidP="00B27DCD">
            <w:pPr>
              <w:spacing w:after="0" w:line="240" w:lineRule="auto"/>
              <w:jc w:val="right"/>
              <w:rPr>
                <w:rFonts w:ascii="Calibri" w:eastAsia="Times New Roman" w:hAnsi="Calibri" w:cs="Calibri"/>
                <w:sz w:val="16"/>
                <w:szCs w:val="16"/>
                <w:lang w:eastAsia="hr-HR"/>
              </w:rPr>
            </w:pPr>
            <w:r w:rsidRPr="009F0A74">
              <w:rPr>
                <w:rFonts w:ascii="Calibri" w:eastAsia="Times New Roman" w:hAnsi="Calibri" w:cs="Calibri"/>
                <w:sz w:val="16"/>
                <w:szCs w:val="16"/>
                <w:lang w:eastAsia="hr-HR"/>
              </w:rPr>
              <w:t>4</w:t>
            </w:r>
          </w:p>
        </w:tc>
        <w:tc>
          <w:tcPr>
            <w:tcW w:w="444" w:type="dxa"/>
            <w:tcBorders>
              <w:top w:val="nil"/>
              <w:left w:val="nil"/>
              <w:bottom w:val="single" w:sz="4" w:space="0" w:color="auto"/>
              <w:right w:val="single" w:sz="4" w:space="0" w:color="auto"/>
            </w:tcBorders>
            <w:shd w:val="clear" w:color="000000" w:fill="FFCC99"/>
            <w:noWrap/>
            <w:vAlign w:val="bottom"/>
            <w:hideMark/>
          </w:tcPr>
          <w:p w14:paraId="4443F63F" w14:textId="77777777" w:rsidR="00B27DCD" w:rsidRPr="009F0A74" w:rsidRDefault="00B27DCD" w:rsidP="00B27DCD">
            <w:pPr>
              <w:spacing w:after="0" w:line="240" w:lineRule="auto"/>
              <w:jc w:val="right"/>
              <w:rPr>
                <w:rFonts w:ascii="Calibri" w:eastAsia="Times New Roman" w:hAnsi="Calibri" w:cs="Calibri"/>
                <w:sz w:val="16"/>
                <w:szCs w:val="16"/>
                <w:lang w:eastAsia="hr-HR"/>
              </w:rPr>
            </w:pPr>
            <w:r w:rsidRPr="009F0A74">
              <w:rPr>
                <w:rFonts w:ascii="Calibri" w:eastAsia="Times New Roman" w:hAnsi="Calibri" w:cs="Calibri"/>
                <w:sz w:val="16"/>
                <w:szCs w:val="16"/>
                <w:lang w:eastAsia="hr-HR"/>
              </w:rPr>
              <w:t>0</w:t>
            </w:r>
          </w:p>
        </w:tc>
        <w:tc>
          <w:tcPr>
            <w:tcW w:w="433" w:type="dxa"/>
            <w:tcBorders>
              <w:top w:val="nil"/>
              <w:left w:val="nil"/>
              <w:bottom w:val="single" w:sz="4" w:space="0" w:color="auto"/>
              <w:right w:val="single" w:sz="4" w:space="0" w:color="auto"/>
            </w:tcBorders>
            <w:shd w:val="clear" w:color="000000" w:fill="CCFFFF"/>
            <w:vAlign w:val="bottom"/>
            <w:hideMark/>
          </w:tcPr>
          <w:p w14:paraId="7E4AB6E2" w14:textId="77777777" w:rsidR="00B27DCD" w:rsidRPr="009F0A74" w:rsidRDefault="00B27DCD" w:rsidP="00B27DCD">
            <w:pPr>
              <w:spacing w:after="0" w:line="240" w:lineRule="auto"/>
              <w:jc w:val="right"/>
              <w:rPr>
                <w:rFonts w:ascii="Calibri" w:eastAsia="Times New Roman" w:hAnsi="Calibri" w:cs="Calibri"/>
                <w:sz w:val="16"/>
                <w:szCs w:val="16"/>
                <w:lang w:eastAsia="hr-HR"/>
              </w:rPr>
            </w:pPr>
            <w:r w:rsidRPr="009F0A74">
              <w:rPr>
                <w:rFonts w:ascii="Calibri" w:eastAsia="Times New Roman" w:hAnsi="Calibri" w:cs="Calibri"/>
                <w:sz w:val="16"/>
                <w:szCs w:val="16"/>
                <w:lang w:eastAsia="hr-HR"/>
              </w:rPr>
              <w:t>0</w:t>
            </w:r>
          </w:p>
        </w:tc>
        <w:tc>
          <w:tcPr>
            <w:tcW w:w="324" w:type="dxa"/>
            <w:tcBorders>
              <w:top w:val="nil"/>
              <w:left w:val="nil"/>
              <w:bottom w:val="single" w:sz="4" w:space="0" w:color="auto"/>
              <w:right w:val="single" w:sz="4" w:space="0" w:color="auto"/>
            </w:tcBorders>
            <w:shd w:val="clear" w:color="000000" w:fill="CCFFFF"/>
            <w:noWrap/>
            <w:vAlign w:val="bottom"/>
            <w:hideMark/>
          </w:tcPr>
          <w:p w14:paraId="135700CD" w14:textId="77777777" w:rsidR="00B27DCD" w:rsidRPr="009F0A74" w:rsidRDefault="00B27DCD" w:rsidP="00B27DCD">
            <w:pPr>
              <w:spacing w:after="0" w:line="240" w:lineRule="auto"/>
              <w:jc w:val="right"/>
              <w:rPr>
                <w:rFonts w:ascii="Calibri" w:eastAsia="Times New Roman" w:hAnsi="Calibri" w:cs="Calibri"/>
                <w:sz w:val="16"/>
                <w:szCs w:val="16"/>
                <w:lang w:eastAsia="hr-HR"/>
              </w:rPr>
            </w:pPr>
            <w:r w:rsidRPr="009F0A74">
              <w:rPr>
                <w:rFonts w:ascii="Calibri" w:eastAsia="Times New Roman" w:hAnsi="Calibri" w:cs="Calibri"/>
                <w:sz w:val="16"/>
                <w:szCs w:val="16"/>
                <w:lang w:eastAsia="hr-HR"/>
              </w:rPr>
              <w:t>0</w:t>
            </w:r>
          </w:p>
        </w:tc>
        <w:tc>
          <w:tcPr>
            <w:tcW w:w="385" w:type="dxa"/>
            <w:gridSpan w:val="2"/>
            <w:tcBorders>
              <w:top w:val="nil"/>
              <w:left w:val="nil"/>
              <w:bottom w:val="single" w:sz="4" w:space="0" w:color="auto"/>
              <w:right w:val="single" w:sz="4" w:space="0" w:color="auto"/>
            </w:tcBorders>
            <w:shd w:val="clear" w:color="000000" w:fill="FFFF99"/>
            <w:noWrap/>
            <w:vAlign w:val="bottom"/>
            <w:hideMark/>
          </w:tcPr>
          <w:p w14:paraId="0BC68654" w14:textId="77777777" w:rsidR="00B27DCD" w:rsidRPr="009F0A74" w:rsidRDefault="00B27DCD" w:rsidP="00B27DCD">
            <w:pPr>
              <w:spacing w:after="0" w:line="240" w:lineRule="auto"/>
              <w:jc w:val="right"/>
              <w:rPr>
                <w:rFonts w:ascii="Calibri" w:eastAsia="Times New Roman" w:hAnsi="Calibri" w:cs="Calibri"/>
                <w:sz w:val="16"/>
                <w:szCs w:val="16"/>
                <w:lang w:eastAsia="hr-HR"/>
              </w:rPr>
            </w:pPr>
            <w:r w:rsidRPr="009F0A74">
              <w:rPr>
                <w:rFonts w:ascii="Calibri" w:eastAsia="Times New Roman" w:hAnsi="Calibri" w:cs="Calibri"/>
                <w:sz w:val="16"/>
                <w:szCs w:val="16"/>
                <w:lang w:eastAsia="hr-HR"/>
              </w:rPr>
              <w:t>0</w:t>
            </w:r>
          </w:p>
        </w:tc>
        <w:tc>
          <w:tcPr>
            <w:tcW w:w="334" w:type="dxa"/>
            <w:tcBorders>
              <w:top w:val="nil"/>
              <w:left w:val="nil"/>
              <w:bottom w:val="single" w:sz="4" w:space="0" w:color="auto"/>
              <w:right w:val="single" w:sz="4" w:space="0" w:color="auto"/>
            </w:tcBorders>
            <w:shd w:val="clear" w:color="000000" w:fill="FFFF99"/>
            <w:noWrap/>
            <w:vAlign w:val="bottom"/>
            <w:hideMark/>
          </w:tcPr>
          <w:p w14:paraId="5A1BED6D" w14:textId="77777777" w:rsidR="00B27DCD" w:rsidRPr="009F0A74" w:rsidRDefault="00B27DCD" w:rsidP="00B27DCD">
            <w:pPr>
              <w:spacing w:after="0" w:line="240" w:lineRule="auto"/>
              <w:jc w:val="right"/>
              <w:rPr>
                <w:rFonts w:ascii="Calibri" w:eastAsia="Times New Roman" w:hAnsi="Calibri" w:cs="Calibri"/>
                <w:sz w:val="16"/>
                <w:szCs w:val="16"/>
                <w:lang w:eastAsia="hr-HR"/>
              </w:rPr>
            </w:pPr>
            <w:r w:rsidRPr="009F0A74">
              <w:rPr>
                <w:rFonts w:ascii="Calibri" w:eastAsia="Times New Roman" w:hAnsi="Calibri" w:cs="Calibri"/>
                <w:sz w:val="16"/>
                <w:szCs w:val="16"/>
                <w:lang w:eastAsia="hr-HR"/>
              </w:rPr>
              <w:t>0</w:t>
            </w:r>
          </w:p>
        </w:tc>
        <w:tc>
          <w:tcPr>
            <w:tcW w:w="658" w:type="dxa"/>
            <w:tcBorders>
              <w:top w:val="nil"/>
              <w:left w:val="nil"/>
              <w:bottom w:val="single" w:sz="4" w:space="0" w:color="auto"/>
              <w:right w:val="single" w:sz="4" w:space="0" w:color="auto"/>
            </w:tcBorders>
            <w:shd w:val="clear" w:color="000000" w:fill="FFFF99"/>
            <w:noWrap/>
            <w:vAlign w:val="bottom"/>
            <w:hideMark/>
          </w:tcPr>
          <w:p w14:paraId="7C704F2D" w14:textId="77777777" w:rsidR="00B27DCD" w:rsidRPr="009F0A74" w:rsidRDefault="00B27DCD" w:rsidP="00B27DCD">
            <w:pPr>
              <w:spacing w:after="0" w:line="240" w:lineRule="auto"/>
              <w:jc w:val="right"/>
              <w:rPr>
                <w:rFonts w:ascii="Calibri" w:eastAsia="Times New Roman" w:hAnsi="Calibri" w:cs="Calibri"/>
                <w:sz w:val="16"/>
                <w:szCs w:val="16"/>
                <w:lang w:eastAsia="hr-HR"/>
              </w:rPr>
            </w:pPr>
            <w:r w:rsidRPr="009F0A74">
              <w:rPr>
                <w:rFonts w:ascii="Calibri" w:eastAsia="Times New Roman" w:hAnsi="Calibri" w:cs="Calibri"/>
                <w:sz w:val="16"/>
                <w:szCs w:val="16"/>
                <w:lang w:eastAsia="hr-HR"/>
              </w:rPr>
              <w:t>0</w:t>
            </w:r>
          </w:p>
        </w:tc>
        <w:tc>
          <w:tcPr>
            <w:tcW w:w="447" w:type="dxa"/>
            <w:tcBorders>
              <w:top w:val="nil"/>
              <w:left w:val="nil"/>
              <w:bottom w:val="single" w:sz="4" w:space="0" w:color="auto"/>
              <w:right w:val="single" w:sz="4" w:space="0" w:color="auto"/>
            </w:tcBorders>
            <w:shd w:val="clear" w:color="000000" w:fill="FFFF99"/>
            <w:noWrap/>
            <w:vAlign w:val="bottom"/>
            <w:hideMark/>
          </w:tcPr>
          <w:p w14:paraId="7B9A76B7" w14:textId="77777777" w:rsidR="00B27DCD" w:rsidRPr="009F0A74" w:rsidRDefault="00B27DCD" w:rsidP="00B27DCD">
            <w:pPr>
              <w:spacing w:after="0" w:line="240" w:lineRule="auto"/>
              <w:jc w:val="right"/>
              <w:rPr>
                <w:rFonts w:ascii="Calibri" w:eastAsia="Times New Roman" w:hAnsi="Calibri" w:cs="Calibri"/>
                <w:sz w:val="16"/>
                <w:szCs w:val="16"/>
                <w:lang w:eastAsia="hr-HR"/>
              </w:rPr>
            </w:pPr>
            <w:r w:rsidRPr="009F0A74">
              <w:rPr>
                <w:rFonts w:ascii="Calibri" w:eastAsia="Times New Roman" w:hAnsi="Calibri" w:cs="Calibri"/>
                <w:sz w:val="16"/>
                <w:szCs w:val="16"/>
                <w:lang w:eastAsia="hr-HR"/>
              </w:rPr>
              <w:t>0</w:t>
            </w:r>
          </w:p>
        </w:tc>
        <w:tc>
          <w:tcPr>
            <w:tcW w:w="644" w:type="dxa"/>
            <w:gridSpan w:val="2"/>
            <w:tcBorders>
              <w:top w:val="nil"/>
              <w:left w:val="nil"/>
              <w:bottom w:val="single" w:sz="4" w:space="0" w:color="auto"/>
              <w:right w:val="single" w:sz="4" w:space="0" w:color="auto"/>
            </w:tcBorders>
            <w:shd w:val="clear" w:color="000000" w:fill="FFFF99"/>
            <w:noWrap/>
            <w:vAlign w:val="bottom"/>
            <w:hideMark/>
          </w:tcPr>
          <w:p w14:paraId="6FC956F8" w14:textId="77777777" w:rsidR="00B27DCD" w:rsidRPr="009F0A74" w:rsidRDefault="00B27DCD" w:rsidP="00B27DCD">
            <w:pPr>
              <w:spacing w:after="0" w:line="240" w:lineRule="auto"/>
              <w:jc w:val="right"/>
              <w:rPr>
                <w:rFonts w:ascii="Calibri" w:eastAsia="Times New Roman" w:hAnsi="Calibri" w:cs="Calibri"/>
                <w:sz w:val="16"/>
                <w:szCs w:val="16"/>
                <w:lang w:eastAsia="hr-HR"/>
              </w:rPr>
            </w:pPr>
            <w:r w:rsidRPr="009F0A74">
              <w:rPr>
                <w:rFonts w:ascii="Calibri" w:eastAsia="Times New Roman" w:hAnsi="Calibri" w:cs="Calibri"/>
                <w:sz w:val="16"/>
                <w:szCs w:val="16"/>
                <w:lang w:eastAsia="hr-HR"/>
              </w:rPr>
              <w:t>0</w:t>
            </w:r>
          </w:p>
        </w:tc>
        <w:tc>
          <w:tcPr>
            <w:tcW w:w="452" w:type="dxa"/>
            <w:tcBorders>
              <w:top w:val="nil"/>
              <w:left w:val="nil"/>
              <w:bottom w:val="single" w:sz="4" w:space="0" w:color="auto"/>
              <w:right w:val="single" w:sz="4" w:space="0" w:color="auto"/>
            </w:tcBorders>
            <w:shd w:val="clear" w:color="000000" w:fill="FFFF99"/>
            <w:noWrap/>
            <w:vAlign w:val="bottom"/>
            <w:hideMark/>
          </w:tcPr>
          <w:p w14:paraId="1A1A581D" w14:textId="77777777" w:rsidR="00B27DCD" w:rsidRPr="009F0A74" w:rsidRDefault="00B27DCD" w:rsidP="00B27DCD">
            <w:pPr>
              <w:spacing w:after="0" w:line="240" w:lineRule="auto"/>
              <w:jc w:val="right"/>
              <w:rPr>
                <w:rFonts w:ascii="Calibri" w:eastAsia="Times New Roman" w:hAnsi="Calibri" w:cs="Calibri"/>
                <w:sz w:val="16"/>
                <w:szCs w:val="16"/>
                <w:lang w:eastAsia="hr-HR"/>
              </w:rPr>
            </w:pPr>
            <w:r w:rsidRPr="009F0A74">
              <w:rPr>
                <w:rFonts w:ascii="Calibri" w:eastAsia="Times New Roman" w:hAnsi="Calibri" w:cs="Calibri"/>
                <w:sz w:val="16"/>
                <w:szCs w:val="16"/>
                <w:lang w:eastAsia="hr-HR"/>
              </w:rPr>
              <w:t>0</w:t>
            </w:r>
          </w:p>
        </w:tc>
        <w:tc>
          <w:tcPr>
            <w:tcW w:w="538" w:type="dxa"/>
            <w:tcBorders>
              <w:top w:val="nil"/>
              <w:left w:val="nil"/>
              <w:bottom w:val="single" w:sz="4" w:space="0" w:color="auto"/>
              <w:right w:val="single" w:sz="4" w:space="0" w:color="auto"/>
            </w:tcBorders>
            <w:shd w:val="clear" w:color="000000" w:fill="FFFF99"/>
            <w:noWrap/>
            <w:vAlign w:val="bottom"/>
            <w:hideMark/>
          </w:tcPr>
          <w:p w14:paraId="7FB31949" w14:textId="77777777" w:rsidR="00B27DCD" w:rsidRPr="009F0A74" w:rsidRDefault="00B27DCD" w:rsidP="00B27DCD">
            <w:pPr>
              <w:spacing w:after="0" w:line="240" w:lineRule="auto"/>
              <w:jc w:val="right"/>
              <w:rPr>
                <w:rFonts w:ascii="Calibri" w:eastAsia="Times New Roman" w:hAnsi="Calibri" w:cs="Calibri"/>
                <w:sz w:val="16"/>
                <w:szCs w:val="16"/>
                <w:lang w:eastAsia="hr-HR"/>
              </w:rPr>
            </w:pPr>
            <w:r w:rsidRPr="009F0A74">
              <w:rPr>
                <w:rFonts w:ascii="Calibri" w:eastAsia="Times New Roman" w:hAnsi="Calibri" w:cs="Calibri"/>
                <w:sz w:val="16"/>
                <w:szCs w:val="16"/>
                <w:lang w:eastAsia="hr-HR"/>
              </w:rPr>
              <w:t>0</w:t>
            </w:r>
          </w:p>
        </w:tc>
        <w:tc>
          <w:tcPr>
            <w:tcW w:w="447" w:type="dxa"/>
            <w:tcBorders>
              <w:top w:val="nil"/>
              <w:left w:val="nil"/>
              <w:bottom w:val="single" w:sz="4" w:space="0" w:color="auto"/>
              <w:right w:val="single" w:sz="4" w:space="0" w:color="auto"/>
            </w:tcBorders>
            <w:shd w:val="clear" w:color="000000" w:fill="FFFF99"/>
            <w:noWrap/>
            <w:vAlign w:val="bottom"/>
            <w:hideMark/>
          </w:tcPr>
          <w:p w14:paraId="14DE1409" w14:textId="77777777" w:rsidR="00B27DCD" w:rsidRPr="009F0A74" w:rsidRDefault="00B27DCD" w:rsidP="00B27DCD">
            <w:pPr>
              <w:spacing w:after="0" w:line="240" w:lineRule="auto"/>
              <w:jc w:val="right"/>
              <w:rPr>
                <w:rFonts w:ascii="Calibri" w:eastAsia="Times New Roman" w:hAnsi="Calibri" w:cs="Calibri"/>
                <w:sz w:val="16"/>
                <w:szCs w:val="16"/>
                <w:lang w:eastAsia="hr-HR"/>
              </w:rPr>
            </w:pPr>
            <w:r w:rsidRPr="009F0A74">
              <w:rPr>
                <w:rFonts w:ascii="Calibri" w:eastAsia="Times New Roman" w:hAnsi="Calibri" w:cs="Calibri"/>
                <w:sz w:val="16"/>
                <w:szCs w:val="16"/>
                <w:lang w:eastAsia="hr-HR"/>
              </w:rPr>
              <w:t>0</w:t>
            </w:r>
          </w:p>
        </w:tc>
        <w:tc>
          <w:tcPr>
            <w:tcW w:w="447" w:type="dxa"/>
            <w:tcBorders>
              <w:top w:val="nil"/>
              <w:left w:val="nil"/>
              <w:bottom w:val="single" w:sz="4" w:space="0" w:color="auto"/>
              <w:right w:val="single" w:sz="4" w:space="0" w:color="auto"/>
            </w:tcBorders>
            <w:shd w:val="clear" w:color="000000" w:fill="FFFF99"/>
            <w:noWrap/>
            <w:vAlign w:val="bottom"/>
            <w:hideMark/>
          </w:tcPr>
          <w:p w14:paraId="26B36354" w14:textId="77777777" w:rsidR="00B27DCD" w:rsidRPr="009F0A74" w:rsidRDefault="00B27DCD" w:rsidP="00B27DCD">
            <w:pPr>
              <w:spacing w:after="0" w:line="240" w:lineRule="auto"/>
              <w:jc w:val="right"/>
              <w:rPr>
                <w:rFonts w:ascii="Calibri" w:eastAsia="Times New Roman" w:hAnsi="Calibri" w:cs="Calibri"/>
                <w:sz w:val="16"/>
                <w:szCs w:val="16"/>
                <w:lang w:eastAsia="hr-HR"/>
              </w:rPr>
            </w:pPr>
            <w:r w:rsidRPr="009F0A74">
              <w:rPr>
                <w:rFonts w:ascii="Calibri" w:eastAsia="Times New Roman" w:hAnsi="Calibri" w:cs="Calibri"/>
                <w:sz w:val="16"/>
                <w:szCs w:val="16"/>
                <w:lang w:eastAsia="hr-HR"/>
              </w:rPr>
              <w:t>0</w:t>
            </w:r>
          </w:p>
        </w:tc>
        <w:tc>
          <w:tcPr>
            <w:tcW w:w="400" w:type="dxa"/>
            <w:tcBorders>
              <w:top w:val="nil"/>
              <w:left w:val="nil"/>
              <w:bottom w:val="single" w:sz="4" w:space="0" w:color="auto"/>
              <w:right w:val="single" w:sz="4" w:space="0" w:color="auto"/>
            </w:tcBorders>
            <w:shd w:val="clear" w:color="000000" w:fill="FFFF99"/>
            <w:noWrap/>
            <w:vAlign w:val="bottom"/>
            <w:hideMark/>
          </w:tcPr>
          <w:p w14:paraId="4AF660FC" w14:textId="77777777" w:rsidR="00B27DCD" w:rsidRPr="009F0A74" w:rsidRDefault="00B27DCD" w:rsidP="00B27DCD">
            <w:pPr>
              <w:spacing w:after="0" w:line="240" w:lineRule="auto"/>
              <w:jc w:val="right"/>
              <w:rPr>
                <w:rFonts w:ascii="Calibri" w:eastAsia="Times New Roman" w:hAnsi="Calibri" w:cs="Calibri"/>
                <w:sz w:val="16"/>
                <w:szCs w:val="16"/>
                <w:lang w:eastAsia="hr-HR"/>
              </w:rPr>
            </w:pPr>
            <w:r w:rsidRPr="009F0A74">
              <w:rPr>
                <w:rFonts w:ascii="Calibri" w:eastAsia="Times New Roman" w:hAnsi="Calibri" w:cs="Calibri"/>
                <w:sz w:val="16"/>
                <w:szCs w:val="16"/>
                <w:lang w:eastAsia="hr-HR"/>
              </w:rPr>
              <w:t>0</w:t>
            </w:r>
          </w:p>
        </w:tc>
        <w:tc>
          <w:tcPr>
            <w:tcW w:w="357" w:type="dxa"/>
            <w:gridSpan w:val="2"/>
            <w:tcBorders>
              <w:top w:val="nil"/>
              <w:left w:val="nil"/>
              <w:bottom w:val="single" w:sz="4" w:space="0" w:color="auto"/>
              <w:right w:val="single" w:sz="4" w:space="0" w:color="auto"/>
            </w:tcBorders>
            <w:shd w:val="clear" w:color="000000" w:fill="FF9900"/>
            <w:noWrap/>
            <w:vAlign w:val="bottom"/>
            <w:hideMark/>
          </w:tcPr>
          <w:p w14:paraId="68F38AB9" w14:textId="77777777" w:rsidR="00B27DCD" w:rsidRPr="009F0A74" w:rsidRDefault="00B27DCD" w:rsidP="00B27DCD">
            <w:pPr>
              <w:spacing w:after="0" w:line="240" w:lineRule="auto"/>
              <w:jc w:val="right"/>
              <w:rPr>
                <w:rFonts w:ascii="Calibri" w:eastAsia="Times New Roman" w:hAnsi="Calibri" w:cs="Calibri"/>
                <w:sz w:val="16"/>
                <w:szCs w:val="16"/>
                <w:lang w:eastAsia="hr-HR"/>
              </w:rPr>
            </w:pPr>
            <w:r w:rsidRPr="009F0A74">
              <w:rPr>
                <w:rFonts w:ascii="Calibri" w:eastAsia="Times New Roman" w:hAnsi="Calibri" w:cs="Calibri"/>
                <w:sz w:val="16"/>
                <w:szCs w:val="16"/>
                <w:lang w:eastAsia="hr-HR"/>
              </w:rPr>
              <w:t>1</w:t>
            </w:r>
          </w:p>
        </w:tc>
        <w:tc>
          <w:tcPr>
            <w:tcW w:w="447" w:type="dxa"/>
            <w:tcBorders>
              <w:top w:val="nil"/>
              <w:left w:val="nil"/>
              <w:bottom w:val="single" w:sz="4" w:space="0" w:color="auto"/>
              <w:right w:val="single" w:sz="4" w:space="0" w:color="auto"/>
            </w:tcBorders>
            <w:shd w:val="clear" w:color="000000" w:fill="FF9900"/>
            <w:noWrap/>
            <w:vAlign w:val="bottom"/>
            <w:hideMark/>
          </w:tcPr>
          <w:p w14:paraId="621DB99D" w14:textId="77777777" w:rsidR="00B27DCD" w:rsidRPr="009F0A74" w:rsidRDefault="00B27DCD" w:rsidP="00B27DCD">
            <w:pPr>
              <w:spacing w:after="0" w:line="240" w:lineRule="auto"/>
              <w:jc w:val="right"/>
              <w:rPr>
                <w:rFonts w:ascii="Calibri" w:eastAsia="Times New Roman" w:hAnsi="Calibri" w:cs="Calibri"/>
                <w:sz w:val="16"/>
                <w:szCs w:val="16"/>
                <w:lang w:eastAsia="hr-HR"/>
              </w:rPr>
            </w:pPr>
            <w:r w:rsidRPr="009F0A74">
              <w:rPr>
                <w:rFonts w:ascii="Calibri" w:eastAsia="Times New Roman" w:hAnsi="Calibri" w:cs="Calibri"/>
                <w:sz w:val="16"/>
                <w:szCs w:val="16"/>
                <w:lang w:eastAsia="hr-HR"/>
              </w:rPr>
              <w:t>0</w:t>
            </w:r>
          </w:p>
        </w:tc>
        <w:tc>
          <w:tcPr>
            <w:tcW w:w="447" w:type="dxa"/>
            <w:tcBorders>
              <w:top w:val="nil"/>
              <w:left w:val="nil"/>
              <w:bottom w:val="single" w:sz="4" w:space="0" w:color="auto"/>
              <w:right w:val="single" w:sz="4" w:space="0" w:color="auto"/>
            </w:tcBorders>
            <w:shd w:val="clear" w:color="000000" w:fill="FF9900"/>
            <w:vAlign w:val="bottom"/>
            <w:hideMark/>
          </w:tcPr>
          <w:p w14:paraId="2966B725" w14:textId="77777777" w:rsidR="00B27DCD" w:rsidRPr="009F0A74" w:rsidRDefault="00B27DCD" w:rsidP="00B27DCD">
            <w:pPr>
              <w:spacing w:after="0" w:line="240" w:lineRule="auto"/>
              <w:jc w:val="right"/>
              <w:rPr>
                <w:rFonts w:ascii="Calibri" w:eastAsia="Times New Roman" w:hAnsi="Calibri" w:cs="Calibri"/>
                <w:sz w:val="16"/>
                <w:szCs w:val="16"/>
                <w:lang w:eastAsia="hr-HR"/>
              </w:rPr>
            </w:pPr>
            <w:r w:rsidRPr="009F0A74">
              <w:rPr>
                <w:rFonts w:ascii="Calibri" w:eastAsia="Times New Roman" w:hAnsi="Calibri" w:cs="Calibri"/>
                <w:sz w:val="16"/>
                <w:szCs w:val="16"/>
                <w:lang w:eastAsia="hr-HR"/>
              </w:rPr>
              <w:t>1</w:t>
            </w:r>
          </w:p>
        </w:tc>
        <w:tc>
          <w:tcPr>
            <w:tcW w:w="446" w:type="dxa"/>
            <w:tcBorders>
              <w:top w:val="nil"/>
              <w:left w:val="nil"/>
              <w:bottom w:val="single" w:sz="4" w:space="0" w:color="auto"/>
              <w:right w:val="single" w:sz="4" w:space="0" w:color="auto"/>
            </w:tcBorders>
            <w:shd w:val="clear" w:color="auto" w:fill="auto"/>
            <w:vAlign w:val="bottom"/>
            <w:hideMark/>
          </w:tcPr>
          <w:p w14:paraId="648CCAA0" w14:textId="77777777" w:rsidR="00B27DCD" w:rsidRPr="009F0A74" w:rsidRDefault="00B27DCD" w:rsidP="00B27DCD">
            <w:pPr>
              <w:spacing w:after="0" w:line="240" w:lineRule="auto"/>
              <w:jc w:val="right"/>
              <w:rPr>
                <w:rFonts w:ascii="Calibri" w:eastAsia="Times New Roman" w:hAnsi="Calibri" w:cs="Calibri"/>
                <w:b/>
                <w:bCs/>
                <w:sz w:val="16"/>
                <w:szCs w:val="16"/>
                <w:lang w:eastAsia="hr-HR"/>
              </w:rPr>
            </w:pPr>
            <w:r w:rsidRPr="009F0A74">
              <w:rPr>
                <w:rFonts w:ascii="Calibri" w:eastAsia="Times New Roman" w:hAnsi="Calibri" w:cs="Calibri"/>
                <w:b/>
                <w:bCs/>
                <w:sz w:val="16"/>
                <w:szCs w:val="16"/>
                <w:lang w:eastAsia="hr-HR"/>
              </w:rPr>
              <w:t>2</w:t>
            </w:r>
          </w:p>
        </w:tc>
        <w:tc>
          <w:tcPr>
            <w:tcW w:w="447" w:type="dxa"/>
            <w:gridSpan w:val="2"/>
            <w:tcBorders>
              <w:top w:val="nil"/>
              <w:left w:val="nil"/>
              <w:bottom w:val="single" w:sz="4" w:space="0" w:color="auto"/>
              <w:right w:val="single" w:sz="4" w:space="0" w:color="auto"/>
            </w:tcBorders>
            <w:shd w:val="clear" w:color="000000" w:fill="FFFF00"/>
            <w:noWrap/>
            <w:vAlign w:val="bottom"/>
            <w:hideMark/>
          </w:tcPr>
          <w:p w14:paraId="08464135" w14:textId="77777777" w:rsidR="00B27DCD" w:rsidRPr="009F0A74" w:rsidRDefault="00B27DCD" w:rsidP="00B27DCD">
            <w:pPr>
              <w:spacing w:after="0" w:line="240" w:lineRule="auto"/>
              <w:jc w:val="right"/>
              <w:rPr>
                <w:rFonts w:ascii="Calibri" w:eastAsia="Times New Roman" w:hAnsi="Calibri" w:cs="Calibri"/>
                <w:sz w:val="16"/>
                <w:szCs w:val="16"/>
                <w:lang w:eastAsia="hr-HR"/>
              </w:rPr>
            </w:pPr>
            <w:r w:rsidRPr="009F0A74">
              <w:rPr>
                <w:rFonts w:ascii="Calibri" w:eastAsia="Times New Roman" w:hAnsi="Calibri" w:cs="Calibri"/>
                <w:sz w:val="16"/>
                <w:szCs w:val="16"/>
                <w:lang w:eastAsia="hr-HR"/>
              </w:rPr>
              <w:t>0</w:t>
            </w:r>
          </w:p>
        </w:tc>
        <w:tc>
          <w:tcPr>
            <w:tcW w:w="447" w:type="dxa"/>
            <w:tcBorders>
              <w:top w:val="nil"/>
              <w:left w:val="nil"/>
              <w:bottom w:val="single" w:sz="4" w:space="0" w:color="auto"/>
              <w:right w:val="single" w:sz="4" w:space="0" w:color="auto"/>
            </w:tcBorders>
            <w:shd w:val="clear" w:color="000000" w:fill="FFFF00"/>
            <w:noWrap/>
            <w:vAlign w:val="bottom"/>
            <w:hideMark/>
          </w:tcPr>
          <w:p w14:paraId="0A404302" w14:textId="77777777" w:rsidR="00B27DCD" w:rsidRPr="009F0A74" w:rsidRDefault="00B27DCD" w:rsidP="00B27DCD">
            <w:pPr>
              <w:spacing w:after="0" w:line="240" w:lineRule="auto"/>
              <w:jc w:val="right"/>
              <w:rPr>
                <w:rFonts w:ascii="Calibri" w:eastAsia="Times New Roman" w:hAnsi="Calibri" w:cs="Calibri"/>
                <w:sz w:val="16"/>
                <w:szCs w:val="16"/>
                <w:lang w:eastAsia="hr-HR"/>
              </w:rPr>
            </w:pPr>
            <w:r w:rsidRPr="009F0A74">
              <w:rPr>
                <w:rFonts w:ascii="Calibri" w:eastAsia="Times New Roman" w:hAnsi="Calibri" w:cs="Calibri"/>
                <w:sz w:val="16"/>
                <w:szCs w:val="16"/>
                <w:lang w:eastAsia="hr-HR"/>
              </w:rPr>
              <w:t>1</w:t>
            </w:r>
          </w:p>
        </w:tc>
        <w:tc>
          <w:tcPr>
            <w:tcW w:w="447" w:type="dxa"/>
            <w:tcBorders>
              <w:top w:val="nil"/>
              <w:left w:val="nil"/>
              <w:bottom w:val="single" w:sz="4" w:space="0" w:color="auto"/>
              <w:right w:val="single" w:sz="4" w:space="0" w:color="auto"/>
            </w:tcBorders>
            <w:shd w:val="clear" w:color="000000" w:fill="FFFF00"/>
            <w:vAlign w:val="bottom"/>
            <w:hideMark/>
          </w:tcPr>
          <w:p w14:paraId="5E575268" w14:textId="77777777" w:rsidR="00B27DCD" w:rsidRPr="009F0A74" w:rsidRDefault="00B27DCD" w:rsidP="00B27DCD">
            <w:pPr>
              <w:spacing w:after="0" w:line="240" w:lineRule="auto"/>
              <w:jc w:val="right"/>
              <w:rPr>
                <w:rFonts w:ascii="Calibri" w:eastAsia="Times New Roman" w:hAnsi="Calibri" w:cs="Calibri"/>
                <w:sz w:val="16"/>
                <w:szCs w:val="16"/>
                <w:lang w:eastAsia="hr-HR"/>
              </w:rPr>
            </w:pPr>
            <w:r w:rsidRPr="009F0A74">
              <w:rPr>
                <w:rFonts w:ascii="Calibri" w:eastAsia="Times New Roman" w:hAnsi="Calibri" w:cs="Calibri"/>
                <w:sz w:val="16"/>
                <w:szCs w:val="16"/>
                <w:lang w:eastAsia="hr-HR"/>
              </w:rPr>
              <w:t>0</w:t>
            </w:r>
          </w:p>
        </w:tc>
        <w:tc>
          <w:tcPr>
            <w:tcW w:w="446" w:type="dxa"/>
            <w:tcBorders>
              <w:top w:val="nil"/>
              <w:left w:val="nil"/>
              <w:bottom w:val="single" w:sz="4" w:space="0" w:color="auto"/>
              <w:right w:val="single" w:sz="4" w:space="0" w:color="auto"/>
            </w:tcBorders>
            <w:shd w:val="clear" w:color="auto" w:fill="auto"/>
            <w:vAlign w:val="bottom"/>
            <w:hideMark/>
          </w:tcPr>
          <w:p w14:paraId="57013FD7" w14:textId="77777777" w:rsidR="00B27DCD" w:rsidRPr="009F0A74" w:rsidRDefault="00B27DCD" w:rsidP="00B27DCD">
            <w:pPr>
              <w:spacing w:after="0" w:line="240" w:lineRule="auto"/>
              <w:jc w:val="right"/>
              <w:rPr>
                <w:rFonts w:ascii="Calibri" w:eastAsia="Times New Roman" w:hAnsi="Calibri" w:cs="Calibri"/>
                <w:b/>
                <w:bCs/>
                <w:sz w:val="16"/>
                <w:szCs w:val="16"/>
                <w:lang w:eastAsia="hr-HR"/>
              </w:rPr>
            </w:pPr>
            <w:r w:rsidRPr="009F0A74">
              <w:rPr>
                <w:rFonts w:ascii="Calibri" w:eastAsia="Times New Roman" w:hAnsi="Calibri" w:cs="Calibri"/>
                <w:b/>
                <w:bCs/>
                <w:sz w:val="16"/>
                <w:szCs w:val="16"/>
                <w:lang w:eastAsia="hr-HR"/>
              </w:rPr>
              <w:t>1</w:t>
            </w:r>
          </w:p>
        </w:tc>
        <w:tc>
          <w:tcPr>
            <w:tcW w:w="524" w:type="dxa"/>
            <w:gridSpan w:val="2"/>
            <w:tcBorders>
              <w:top w:val="nil"/>
              <w:left w:val="nil"/>
              <w:bottom w:val="single" w:sz="4" w:space="0" w:color="auto"/>
              <w:right w:val="single" w:sz="4" w:space="0" w:color="auto"/>
            </w:tcBorders>
            <w:shd w:val="clear" w:color="000000" w:fill="FFFF00"/>
            <w:vAlign w:val="bottom"/>
            <w:hideMark/>
          </w:tcPr>
          <w:p w14:paraId="65FAEFB3" w14:textId="77777777" w:rsidR="00B27DCD" w:rsidRPr="009F0A74" w:rsidRDefault="00B27DCD" w:rsidP="00B27DCD">
            <w:pPr>
              <w:spacing w:after="0" w:line="240" w:lineRule="auto"/>
              <w:jc w:val="right"/>
              <w:rPr>
                <w:rFonts w:ascii="Calibri" w:eastAsia="Times New Roman" w:hAnsi="Calibri" w:cs="Calibri"/>
                <w:b/>
                <w:bCs/>
                <w:sz w:val="16"/>
                <w:szCs w:val="16"/>
                <w:lang w:eastAsia="hr-HR"/>
              </w:rPr>
            </w:pPr>
            <w:r w:rsidRPr="009F0A74">
              <w:rPr>
                <w:rFonts w:ascii="Calibri" w:eastAsia="Times New Roman" w:hAnsi="Calibri" w:cs="Calibri"/>
                <w:b/>
                <w:bCs/>
                <w:sz w:val="16"/>
                <w:szCs w:val="16"/>
                <w:lang w:eastAsia="hr-HR"/>
              </w:rPr>
              <w:t>2</w:t>
            </w:r>
          </w:p>
        </w:tc>
        <w:tc>
          <w:tcPr>
            <w:tcW w:w="425" w:type="dxa"/>
            <w:gridSpan w:val="2"/>
            <w:tcBorders>
              <w:top w:val="nil"/>
              <w:left w:val="nil"/>
              <w:bottom w:val="single" w:sz="4" w:space="0" w:color="auto"/>
              <w:right w:val="single" w:sz="4" w:space="0" w:color="auto"/>
            </w:tcBorders>
            <w:shd w:val="clear" w:color="000000" w:fill="FF9900"/>
            <w:vAlign w:val="bottom"/>
            <w:hideMark/>
          </w:tcPr>
          <w:p w14:paraId="66CA82A3" w14:textId="77777777" w:rsidR="00B27DCD" w:rsidRPr="009F0A74" w:rsidRDefault="00B27DCD" w:rsidP="00B27DCD">
            <w:pPr>
              <w:spacing w:after="0" w:line="240" w:lineRule="auto"/>
              <w:jc w:val="right"/>
              <w:rPr>
                <w:rFonts w:ascii="Calibri" w:eastAsia="Times New Roman" w:hAnsi="Calibri" w:cs="Calibri"/>
                <w:sz w:val="16"/>
                <w:szCs w:val="16"/>
                <w:lang w:eastAsia="hr-HR"/>
              </w:rPr>
            </w:pPr>
            <w:r w:rsidRPr="009F0A74">
              <w:rPr>
                <w:rFonts w:ascii="Calibri" w:eastAsia="Times New Roman" w:hAnsi="Calibri" w:cs="Calibri"/>
                <w:sz w:val="16"/>
                <w:szCs w:val="16"/>
                <w:lang w:eastAsia="hr-HR"/>
              </w:rPr>
              <w:t>4</w:t>
            </w:r>
          </w:p>
        </w:tc>
        <w:tc>
          <w:tcPr>
            <w:tcW w:w="501" w:type="dxa"/>
            <w:gridSpan w:val="2"/>
            <w:tcBorders>
              <w:top w:val="nil"/>
              <w:left w:val="nil"/>
              <w:bottom w:val="single" w:sz="4" w:space="0" w:color="auto"/>
              <w:right w:val="single" w:sz="4" w:space="0" w:color="auto"/>
            </w:tcBorders>
            <w:shd w:val="clear" w:color="000000" w:fill="FF9900"/>
            <w:vAlign w:val="bottom"/>
            <w:hideMark/>
          </w:tcPr>
          <w:p w14:paraId="0202948A" w14:textId="77777777" w:rsidR="00B27DCD" w:rsidRPr="009F0A74" w:rsidRDefault="00B27DCD" w:rsidP="00B27DCD">
            <w:pPr>
              <w:spacing w:after="0" w:line="240" w:lineRule="auto"/>
              <w:jc w:val="right"/>
              <w:rPr>
                <w:rFonts w:ascii="Calibri" w:eastAsia="Times New Roman" w:hAnsi="Calibri" w:cs="Calibri"/>
                <w:sz w:val="16"/>
                <w:szCs w:val="16"/>
                <w:lang w:eastAsia="hr-HR"/>
              </w:rPr>
            </w:pPr>
            <w:r w:rsidRPr="009F0A74">
              <w:rPr>
                <w:rFonts w:ascii="Calibri" w:eastAsia="Times New Roman" w:hAnsi="Calibri" w:cs="Calibri"/>
                <w:sz w:val="16"/>
                <w:szCs w:val="16"/>
                <w:lang w:eastAsia="hr-HR"/>
              </w:rPr>
              <w:t>0</w:t>
            </w:r>
          </w:p>
        </w:tc>
        <w:tc>
          <w:tcPr>
            <w:tcW w:w="425" w:type="dxa"/>
            <w:tcBorders>
              <w:top w:val="nil"/>
              <w:left w:val="nil"/>
              <w:bottom w:val="single" w:sz="4" w:space="0" w:color="auto"/>
              <w:right w:val="single" w:sz="4" w:space="0" w:color="auto"/>
            </w:tcBorders>
            <w:shd w:val="clear" w:color="000000" w:fill="CCFFFF"/>
            <w:vAlign w:val="bottom"/>
            <w:hideMark/>
          </w:tcPr>
          <w:p w14:paraId="38092622" w14:textId="77777777" w:rsidR="00B27DCD" w:rsidRPr="009F0A74" w:rsidRDefault="00B27DCD" w:rsidP="00B27DCD">
            <w:pPr>
              <w:spacing w:after="0" w:line="240" w:lineRule="auto"/>
              <w:jc w:val="right"/>
              <w:rPr>
                <w:rFonts w:ascii="Calibri" w:eastAsia="Times New Roman" w:hAnsi="Calibri" w:cs="Calibri"/>
                <w:sz w:val="16"/>
                <w:szCs w:val="16"/>
                <w:lang w:eastAsia="hr-HR"/>
              </w:rPr>
            </w:pPr>
            <w:r w:rsidRPr="009F0A74">
              <w:rPr>
                <w:rFonts w:ascii="Calibri" w:eastAsia="Times New Roman" w:hAnsi="Calibri" w:cs="Calibri"/>
                <w:sz w:val="16"/>
                <w:szCs w:val="16"/>
                <w:lang w:eastAsia="hr-HR"/>
              </w:rPr>
              <w:t>0</w:t>
            </w:r>
          </w:p>
        </w:tc>
        <w:tc>
          <w:tcPr>
            <w:tcW w:w="426" w:type="dxa"/>
            <w:tcBorders>
              <w:top w:val="nil"/>
              <w:left w:val="nil"/>
              <w:bottom w:val="single" w:sz="4" w:space="0" w:color="auto"/>
              <w:right w:val="single" w:sz="4" w:space="0" w:color="auto"/>
            </w:tcBorders>
            <w:shd w:val="clear" w:color="000000" w:fill="CCFFFF"/>
            <w:noWrap/>
            <w:vAlign w:val="bottom"/>
            <w:hideMark/>
          </w:tcPr>
          <w:p w14:paraId="5208C271" w14:textId="77777777" w:rsidR="00B27DCD" w:rsidRPr="009F0A74" w:rsidRDefault="00B27DCD" w:rsidP="00B27DCD">
            <w:pPr>
              <w:spacing w:after="0" w:line="240" w:lineRule="auto"/>
              <w:jc w:val="right"/>
              <w:rPr>
                <w:rFonts w:ascii="Calibri" w:eastAsia="Times New Roman" w:hAnsi="Calibri" w:cs="Calibri"/>
                <w:sz w:val="16"/>
                <w:szCs w:val="16"/>
                <w:lang w:eastAsia="hr-HR"/>
              </w:rPr>
            </w:pPr>
            <w:r w:rsidRPr="009F0A74">
              <w:rPr>
                <w:rFonts w:ascii="Calibri" w:eastAsia="Times New Roman" w:hAnsi="Calibri" w:cs="Calibri"/>
                <w:sz w:val="16"/>
                <w:szCs w:val="16"/>
                <w:lang w:eastAsia="hr-HR"/>
              </w:rPr>
              <w:t>1</w:t>
            </w:r>
          </w:p>
        </w:tc>
        <w:tc>
          <w:tcPr>
            <w:tcW w:w="818" w:type="dxa"/>
            <w:gridSpan w:val="2"/>
            <w:tcBorders>
              <w:top w:val="nil"/>
              <w:left w:val="nil"/>
              <w:bottom w:val="single" w:sz="4" w:space="0" w:color="auto"/>
              <w:right w:val="single" w:sz="4" w:space="0" w:color="auto"/>
            </w:tcBorders>
            <w:shd w:val="clear" w:color="000000" w:fill="33CCCC"/>
            <w:noWrap/>
            <w:vAlign w:val="bottom"/>
            <w:hideMark/>
          </w:tcPr>
          <w:p w14:paraId="35183C99" w14:textId="77777777" w:rsidR="00B27DCD" w:rsidRPr="009F0A74" w:rsidRDefault="00B27DCD" w:rsidP="00B27DCD">
            <w:pPr>
              <w:spacing w:after="0" w:line="240" w:lineRule="auto"/>
              <w:jc w:val="right"/>
              <w:rPr>
                <w:rFonts w:ascii="Calibri" w:eastAsia="Times New Roman" w:hAnsi="Calibri" w:cs="Calibri"/>
                <w:sz w:val="16"/>
                <w:szCs w:val="16"/>
                <w:lang w:eastAsia="hr-HR"/>
              </w:rPr>
            </w:pPr>
            <w:r w:rsidRPr="009F0A74">
              <w:rPr>
                <w:rFonts w:ascii="Calibri" w:eastAsia="Times New Roman" w:hAnsi="Calibri" w:cs="Calibri"/>
                <w:sz w:val="16"/>
                <w:szCs w:val="16"/>
                <w:lang w:eastAsia="hr-HR"/>
              </w:rPr>
              <w:t>0</w:t>
            </w:r>
          </w:p>
        </w:tc>
        <w:tc>
          <w:tcPr>
            <w:tcW w:w="818" w:type="dxa"/>
            <w:gridSpan w:val="2"/>
            <w:tcBorders>
              <w:top w:val="nil"/>
              <w:left w:val="nil"/>
              <w:bottom w:val="single" w:sz="4" w:space="0" w:color="auto"/>
              <w:right w:val="single" w:sz="8" w:space="0" w:color="auto"/>
            </w:tcBorders>
            <w:shd w:val="clear" w:color="000000" w:fill="33CCCC"/>
            <w:noWrap/>
            <w:vAlign w:val="bottom"/>
            <w:hideMark/>
          </w:tcPr>
          <w:p w14:paraId="7DD9815C" w14:textId="77777777" w:rsidR="00B27DCD" w:rsidRPr="009F0A74" w:rsidRDefault="00B27DCD" w:rsidP="00B27DCD">
            <w:pPr>
              <w:spacing w:after="0" w:line="240" w:lineRule="auto"/>
              <w:jc w:val="right"/>
              <w:rPr>
                <w:rFonts w:ascii="Calibri" w:eastAsia="Times New Roman" w:hAnsi="Calibri" w:cs="Calibri"/>
                <w:sz w:val="16"/>
                <w:szCs w:val="16"/>
                <w:lang w:eastAsia="hr-HR"/>
              </w:rPr>
            </w:pPr>
            <w:r w:rsidRPr="009F0A74">
              <w:rPr>
                <w:rFonts w:ascii="Calibri" w:eastAsia="Times New Roman" w:hAnsi="Calibri" w:cs="Calibri"/>
                <w:sz w:val="16"/>
                <w:szCs w:val="16"/>
                <w:lang w:eastAsia="hr-HR"/>
              </w:rPr>
              <w:t>2</w:t>
            </w:r>
          </w:p>
        </w:tc>
        <w:tc>
          <w:tcPr>
            <w:tcW w:w="236" w:type="dxa"/>
            <w:gridSpan w:val="3"/>
            <w:vAlign w:val="center"/>
            <w:hideMark/>
          </w:tcPr>
          <w:p w14:paraId="1C44A714" w14:textId="77777777" w:rsidR="00B27DCD" w:rsidRPr="009F0A74" w:rsidRDefault="00B27DCD" w:rsidP="00B27DCD">
            <w:pPr>
              <w:spacing w:after="0" w:line="240" w:lineRule="auto"/>
              <w:rPr>
                <w:rFonts w:ascii="Times New Roman" w:eastAsia="Times New Roman" w:hAnsi="Times New Roman" w:cs="Times New Roman"/>
                <w:sz w:val="16"/>
                <w:szCs w:val="16"/>
                <w:lang w:eastAsia="hr-HR"/>
              </w:rPr>
            </w:pPr>
          </w:p>
        </w:tc>
      </w:tr>
      <w:tr w:rsidR="009F0A74" w:rsidRPr="009F0A74" w14:paraId="0308A8F2" w14:textId="77777777" w:rsidTr="009F0A74">
        <w:trPr>
          <w:trHeight w:val="315"/>
        </w:trPr>
        <w:tc>
          <w:tcPr>
            <w:tcW w:w="840" w:type="dxa"/>
            <w:tcBorders>
              <w:top w:val="single" w:sz="4" w:space="0" w:color="auto"/>
              <w:left w:val="single" w:sz="8" w:space="0" w:color="auto"/>
              <w:bottom w:val="single" w:sz="4" w:space="0" w:color="auto"/>
              <w:right w:val="single" w:sz="4" w:space="0" w:color="000000"/>
            </w:tcBorders>
            <w:shd w:val="clear" w:color="000000" w:fill="CCFFCC"/>
            <w:vAlign w:val="center"/>
            <w:hideMark/>
          </w:tcPr>
          <w:p w14:paraId="3DC8DBB7" w14:textId="77777777" w:rsidR="00B27DCD" w:rsidRPr="009F0A74" w:rsidRDefault="00B27DCD" w:rsidP="00B27DCD">
            <w:pPr>
              <w:spacing w:after="0" w:line="240" w:lineRule="auto"/>
              <w:rPr>
                <w:rFonts w:ascii="Calibri" w:eastAsia="Times New Roman" w:hAnsi="Calibri" w:cs="Calibri"/>
                <w:sz w:val="16"/>
                <w:szCs w:val="16"/>
                <w:lang w:eastAsia="hr-HR"/>
              </w:rPr>
            </w:pPr>
            <w:r w:rsidRPr="009F0A74">
              <w:rPr>
                <w:rFonts w:ascii="Calibri" w:eastAsia="Times New Roman" w:hAnsi="Calibri" w:cs="Calibri"/>
                <w:sz w:val="16"/>
                <w:szCs w:val="16"/>
                <w:lang w:eastAsia="hr-HR"/>
              </w:rPr>
              <w:lastRenderedPageBreak/>
              <w:t>Vjera</w:t>
            </w:r>
          </w:p>
        </w:tc>
        <w:tc>
          <w:tcPr>
            <w:tcW w:w="540" w:type="dxa"/>
            <w:tcBorders>
              <w:top w:val="nil"/>
              <w:left w:val="nil"/>
              <w:bottom w:val="single" w:sz="4" w:space="0" w:color="auto"/>
              <w:right w:val="single" w:sz="4" w:space="0" w:color="auto"/>
            </w:tcBorders>
            <w:shd w:val="clear" w:color="000000" w:fill="FFFF00"/>
            <w:vAlign w:val="bottom"/>
            <w:hideMark/>
          </w:tcPr>
          <w:p w14:paraId="5DA1C7D5" w14:textId="77777777" w:rsidR="00B27DCD" w:rsidRPr="009F0A74" w:rsidRDefault="00B27DCD" w:rsidP="00B27DCD">
            <w:pPr>
              <w:spacing w:after="0" w:line="240" w:lineRule="auto"/>
              <w:jc w:val="right"/>
              <w:rPr>
                <w:rFonts w:ascii="Calibri" w:eastAsia="Times New Roman" w:hAnsi="Calibri" w:cs="Calibri"/>
                <w:sz w:val="16"/>
                <w:szCs w:val="16"/>
                <w:lang w:eastAsia="hr-HR"/>
              </w:rPr>
            </w:pPr>
            <w:r w:rsidRPr="009F0A74">
              <w:rPr>
                <w:rFonts w:ascii="Calibri" w:eastAsia="Times New Roman" w:hAnsi="Calibri" w:cs="Calibri"/>
                <w:sz w:val="16"/>
                <w:szCs w:val="16"/>
                <w:lang w:eastAsia="hr-HR"/>
              </w:rPr>
              <w:t>1</w:t>
            </w:r>
          </w:p>
        </w:tc>
        <w:tc>
          <w:tcPr>
            <w:tcW w:w="444" w:type="dxa"/>
            <w:tcBorders>
              <w:top w:val="nil"/>
              <w:left w:val="nil"/>
              <w:bottom w:val="single" w:sz="4" w:space="0" w:color="auto"/>
              <w:right w:val="single" w:sz="4" w:space="0" w:color="auto"/>
            </w:tcBorders>
            <w:shd w:val="clear" w:color="000000" w:fill="FFCC99"/>
            <w:noWrap/>
            <w:vAlign w:val="bottom"/>
            <w:hideMark/>
          </w:tcPr>
          <w:p w14:paraId="227C13BE" w14:textId="77777777" w:rsidR="00B27DCD" w:rsidRPr="009F0A74" w:rsidRDefault="00B27DCD" w:rsidP="00B27DCD">
            <w:pPr>
              <w:spacing w:after="0" w:line="240" w:lineRule="auto"/>
              <w:jc w:val="right"/>
              <w:rPr>
                <w:rFonts w:ascii="Calibri" w:eastAsia="Times New Roman" w:hAnsi="Calibri" w:cs="Calibri"/>
                <w:sz w:val="16"/>
                <w:szCs w:val="16"/>
                <w:lang w:eastAsia="hr-HR"/>
              </w:rPr>
            </w:pPr>
            <w:r w:rsidRPr="009F0A74">
              <w:rPr>
                <w:rFonts w:ascii="Calibri" w:eastAsia="Times New Roman" w:hAnsi="Calibri" w:cs="Calibri"/>
                <w:sz w:val="16"/>
                <w:szCs w:val="16"/>
                <w:lang w:eastAsia="hr-HR"/>
              </w:rPr>
              <w:t>0</w:t>
            </w:r>
          </w:p>
        </w:tc>
        <w:tc>
          <w:tcPr>
            <w:tcW w:w="433" w:type="dxa"/>
            <w:tcBorders>
              <w:top w:val="nil"/>
              <w:left w:val="nil"/>
              <w:bottom w:val="single" w:sz="4" w:space="0" w:color="auto"/>
              <w:right w:val="single" w:sz="4" w:space="0" w:color="auto"/>
            </w:tcBorders>
            <w:shd w:val="clear" w:color="000000" w:fill="CCFFFF"/>
            <w:noWrap/>
            <w:vAlign w:val="bottom"/>
            <w:hideMark/>
          </w:tcPr>
          <w:p w14:paraId="0D0E1FF1" w14:textId="77777777" w:rsidR="00B27DCD" w:rsidRPr="009F0A74" w:rsidRDefault="00B27DCD" w:rsidP="00B27DCD">
            <w:pPr>
              <w:spacing w:after="0" w:line="240" w:lineRule="auto"/>
              <w:jc w:val="right"/>
              <w:rPr>
                <w:rFonts w:ascii="Calibri" w:eastAsia="Times New Roman" w:hAnsi="Calibri" w:cs="Calibri"/>
                <w:sz w:val="16"/>
                <w:szCs w:val="16"/>
                <w:lang w:eastAsia="hr-HR"/>
              </w:rPr>
            </w:pPr>
            <w:r w:rsidRPr="009F0A74">
              <w:rPr>
                <w:rFonts w:ascii="Calibri" w:eastAsia="Times New Roman" w:hAnsi="Calibri" w:cs="Calibri"/>
                <w:sz w:val="16"/>
                <w:szCs w:val="16"/>
                <w:lang w:eastAsia="hr-HR"/>
              </w:rPr>
              <w:t>0</w:t>
            </w:r>
          </w:p>
        </w:tc>
        <w:tc>
          <w:tcPr>
            <w:tcW w:w="324" w:type="dxa"/>
            <w:tcBorders>
              <w:top w:val="nil"/>
              <w:left w:val="nil"/>
              <w:bottom w:val="single" w:sz="4" w:space="0" w:color="auto"/>
              <w:right w:val="single" w:sz="4" w:space="0" w:color="auto"/>
            </w:tcBorders>
            <w:shd w:val="clear" w:color="000000" w:fill="CCFFFF"/>
            <w:noWrap/>
            <w:vAlign w:val="bottom"/>
            <w:hideMark/>
          </w:tcPr>
          <w:p w14:paraId="71EC11B3" w14:textId="77777777" w:rsidR="00B27DCD" w:rsidRPr="009F0A74" w:rsidRDefault="00B27DCD" w:rsidP="00B27DCD">
            <w:pPr>
              <w:spacing w:after="0" w:line="240" w:lineRule="auto"/>
              <w:jc w:val="right"/>
              <w:rPr>
                <w:rFonts w:ascii="Calibri" w:eastAsia="Times New Roman" w:hAnsi="Calibri" w:cs="Calibri"/>
                <w:sz w:val="16"/>
                <w:szCs w:val="16"/>
                <w:lang w:eastAsia="hr-HR"/>
              </w:rPr>
            </w:pPr>
            <w:r w:rsidRPr="009F0A74">
              <w:rPr>
                <w:rFonts w:ascii="Calibri" w:eastAsia="Times New Roman" w:hAnsi="Calibri" w:cs="Calibri"/>
                <w:sz w:val="16"/>
                <w:szCs w:val="16"/>
                <w:lang w:eastAsia="hr-HR"/>
              </w:rPr>
              <w:t>0</w:t>
            </w:r>
          </w:p>
        </w:tc>
        <w:tc>
          <w:tcPr>
            <w:tcW w:w="385" w:type="dxa"/>
            <w:gridSpan w:val="2"/>
            <w:tcBorders>
              <w:top w:val="nil"/>
              <w:left w:val="nil"/>
              <w:bottom w:val="single" w:sz="4" w:space="0" w:color="auto"/>
              <w:right w:val="single" w:sz="4" w:space="0" w:color="auto"/>
            </w:tcBorders>
            <w:shd w:val="clear" w:color="000000" w:fill="FFFF99"/>
            <w:noWrap/>
            <w:vAlign w:val="bottom"/>
            <w:hideMark/>
          </w:tcPr>
          <w:p w14:paraId="0870063A" w14:textId="77777777" w:rsidR="00B27DCD" w:rsidRPr="009F0A74" w:rsidRDefault="00B27DCD" w:rsidP="00B27DCD">
            <w:pPr>
              <w:spacing w:after="0" w:line="240" w:lineRule="auto"/>
              <w:jc w:val="right"/>
              <w:rPr>
                <w:rFonts w:ascii="Calibri" w:eastAsia="Times New Roman" w:hAnsi="Calibri" w:cs="Calibri"/>
                <w:sz w:val="16"/>
                <w:szCs w:val="16"/>
                <w:lang w:eastAsia="hr-HR"/>
              </w:rPr>
            </w:pPr>
            <w:r w:rsidRPr="009F0A74">
              <w:rPr>
                <w:rFonts w:ascii="Calibri" w:eastAsia="Times New Roman" w:hAnsi="Calibri" w:cs="Calibri"/>
                <w:sz w:val="16"/>
                <w:szCs w:val="16"/>
                <w:lang w:eastAsia="hr-HR"/>
              </w:rPr>
              <w:t>0</w:t>
            </w:r>
          </w:p>
        </w:tc>
        <w:tc>
          <w:tcPr>
            <w:tcW w:w="334" w:type="dxa"/>
            <w:tcBorders>
              <w:top w:val="nil"/>
              <w:left w:val="nil"/>
              <w:bottom w:val="single" w:sz="4" w:space="0" w:color="auto"/>
              <w:right w:val="single" w:sz="4" w:space="0" w:color="auto"/>
            </w:tcBorders>
            <w:shd w:val="clear" w:color="000000" w:fill="FFFF99"/>
            <w:noWrap/>
            <w:vAlign w:val="bottom"/>
            <w:hideMark/>
          </w:tcPr>
          <w:p w14:paraId="4CAB9ED5" w14:textId="77777777" w:rsidR="00B27DCD" w:rsidRPr="009F0A74" w:rsidRDefault="00B27DCD" w:rsidP="00B27DCD">
            <w:pPr>
              <w:spacing w:after="0" w:line="240" w:lineRule="auto"/>
              <w:jc w:val="right"/>
              <w:rPr>
                <w:rFonts w:ascii="Calibri" w:eastAsia="Times New Roman" w:hAnsi="Calibri" w:cs="Calibri"/>
                <w:sz w:val="16"/>
                <w:szCs w:val="16"/>
                <w:lang w:eastAsia="hr-HR"/>
              </w:rPr>
            </w:pPr>
            <w:r w:rsidRPr="009F0A74">
              <w:rPr>
                <w:rFonts w:ascii="Calibri" w:eastAsia="Times New Roman" w:hAnsi="Calibri" w:cs="Calibri"/>
                <w:sz w:val="16"/>
                <w:szCs w:val="16"/>
                <w:lang w:eastAsia="hr-HR"/>
              </w:rPr>
              <w:t>0</w:t>
            </w:r>
          </w:p>
        </w:tc>
        <w:tc>
          <w:tcPr>
            <w:tcW w:w="658" w:type="dxa"/>
            <w:tcBorders>
              <w:top w:val="nil"/>
              <w:left w:val="nil"/>
              <w:bottom w:val="single" w:sz="4" w:space="0" w:color="auto"/>
              <w:right w:val="single" w:sz="4" w:space="0" w:color="auto"/>
            </w:tcBorders>
            <w:shd w:val="clear" w:color="000000" w:fill="FFFF99"/>
            <w:noWrap/>
            <w:vAlign w:val="bottom"/>
            <w:hideMark/>
          </w:tcPr>
          <w:p w14:paraId="6EF94152" w14:textId="77777777" w:rsidR="00B27DCD" w:rsidRPr="009F0A74" w:rsidRDefault="00B27DCD" w:rsidP="00B27DCD">
            <w:pPr>
              <w:spacing w:after="0" w:line="240" w:lineRule="auto"/>
              <w:jc w:val="right"/>
              <w:rPr>
                <w:rFonts w:ascii="Calibri" w:eastAsia="Times New Roman" w:hAnsi="Calibri" w:cs="Calibri"/>
                <w:sz w:val="16"/>
                <w:szCs w:val="16"/>
                <w:lang w:eastAsia="hr-HR"/>
              </w:rPr>
            </w:pPr>
            <w:r w:rsidRPr="009F0A74">
              <w:rPr>
                <w:rFonts w:ascii="Calibri" w:eastAsia="Times New Roman" w:hAnsi="Calibri" w:cs="Calibri"/>
                <w:sz w:val="16"/>
                <w:szCs w:val="16"/>
                <w:lang w:eastAsia="hr-HR"/>
              </w:rPr>
              <w:t>0</w:t>
            </w:r>
          </w:p>
        </w:tc>
        <w:tc>
          <w:tcPr>
            <w:tcW w:w="447" w:type="dxa"/>
            <w:tcBorders>
              <w:top w:val="nil"/>
              <w:left w:val="nil"/>
              <w:bottom w:val="single" w:sz="4" w:space="0" w:color="auto"/>
              <w:right w:val="single" w:sz="4" w:space="0" w:color="auto"/>
            </w:tcBorders>
            <w:shd w:val="clear" w:color="000000" w:fill="FFFF99"/>
            <w:noWrap/>
            <w:vAlign w:val="bottom"/>
            <w:hideMark/>
          </w:tcPr>
          <w:p w14:paraId="6B4BCEDD" w14:textId="77777777" w:rsidR="00B27DCD" w:rsidRPr="009F0A74" w:rsidRDefault="00B27DCD" w:rsidP="00B27DCD">
            <w:pPr>
              <w:spacing w:after="0" w:line="240" w:lineRule="auto"/>
              <w:jc w:val="right"/>
              <w:rPr>
                <w:rFonts w:ascii="Calibri" w:eastAsia="Times New Roman" w:hAnsi="Calibri" w:cs="Calibri"/>
                <w:sz w:val="16"/>
                <w:szCs w:val="16"/>
                <w:lang w:eastAsia="hr-HR"/>
              </w:rPr>
            </w:pPr>
            <w:r w:rsidRPr="009F0A74">
              <w:rPr>
                <w:rFonts w:ascii="Calibri" w:eastAsia="Times New Roman" w:hAnsi="Calibri" w:cs="Calibri"/>
                <w:sz w:val="16"/>
                <w:szCs w:val="16"/>
                <w:lang w:eastAsia="hr-HR"/>
              </w:rPr>
              <w:t>0</w:t>
            </w:r>
          </w:p>
        </w:tc>
        <w:tc>
          <w:tcPr>
            <w:tcW w:w="644" w:type="dxa"/>
            <w:gridSpan w:val="2"/>
            <w:tcBorders>
              <w:top w:val="nil"/>
              <w:left w:val="nil"/>
              <w:bottom w:val="single" w:sz="4" w:space="0" w:color="auto"/>
              <w:right w:val="single" w:sz="4" w:space="0" w:color="auto"/>
            </w:tcBorders>
            <w:shd w:val="clear" w:color="000000" w:fill="FFFF99"/>
            <w:noWrap/>
            <w:vAlign w:val="bottom"/>
            <w:hideMark/>
          </w:tcPr>
          <w:p w14:paraId="564BD9A9" w14:textId="77777777" w:rsidR="00B27DCD" w:rsidRPr="009F0A74" w:rsidRDefault="00B27DCD" w:rsidP="00B27DCD">
            <w:pPr>
              <w:spacing w:after="0" w:line="240" w:lineRule="auto"/>
              <w:jc w:val="right"/>
              <w:rPr>
                <w:rFonts w:ascii="Calibri" w:eastAsia="Times New Roman" w:hAnsi="Calibri" w:cs="Calibri"/>
                <w:sz w:val="16"/>
                <w:szCs w:val="16"/>
                <w:lang w:eastAsia="hr-HR"/>
              </w:rPr>
            </w:pPr>
            <w:r w:rsidRPr="009F0A74">
              <w:rPr>
                <w:rFonts w:ascii="Calibri" w:eastAsia="Times New Roman" w:hAnsi="Calibri" w:cs="Calibri"/>
                <w:sz w:val="16"/>
                <w:szCs w:val="16"/>
                <w:lang w:eastAsia="hr-HR"/>
              </w:rPr>
              <w:t>0</w:t>
            </w:r>
          </w:p>
        </w:tc>
        <w:tc>
          <w:tcPr>
            <w:tcW w:w="452" w:type="dxa"/>
            <w:tcBorders>
              <w:top w:val="nil"/>
              <w:left w:val="nil"/>
              <w:bottom w:val="single" w:sz="4" w:space="0" w:color="auto"/>
              <w:right w:val="single" w:sz="4" w:space="0" w:color="auto"/>
            </w:tcBorders>
            <w:shd w:val="clear" w:color="000000" w:fill="FFFF99"/>
            <w:noWrap/>
            <w:vAlign w:val="bottom"/>
            <w:hideMark/>
          </w:tcPr>
          <w:p w14:paraId="36EA1F75" w14:textId="77777777" w:rsidR="00B27DCD" w:rsidRPr="009F0A74" w:rsidRDefault="00B27DCD" w:rsidP="00B27DCD">
            <w:pPr>
              <w:spacing w:after="0" w:line="240" w:lineRule="auto"/>
              <w:jc w:val="right"/>
              <w:rPr>
                <w:rFonts w:ascii="Calibri" w:eastAsia="Times New Roman" w:hAnsi="Calibri" w:cs="Calibri"/>
                <w:sz w:val="16"/>
                <w:szCs w:val="16"/>
                <w:lang w:eastAsia="hr-HR"/>
              </w:rPr>
            </w:pPr>
            <w:r w:rsidRPr="009F0A74">
              <w:rPr>
                <w:rFonts w:ascii="Calibri" w:eastAsia="Times New Roman" w:hAnsi="Calibri" w:cs="Calibri"/>
                <w:sz w:val="16"/>
                <w:szCs w:val="16"/>
                <w:lang w:eastAsia="hr-HR"/>
              </w:rPr>
              <w:t>0</w:t>
            </w:r>
          </w:p>
        </w:tc>
        <w:tc>
          <w:tcPr>
            <w:tcW w:w="538" w:type="dxa"/>
            <w:tcBorders>
              <w:top w:val="nil"/>
              <w:left w:val="nil"/>
              <w:bottom w:val="single" w:sz="4" w:space="0" w:color="auto"/>
              <w:right w:val="single" w:sz="4" w:space="0" w:color="auto"/>
            </w:tcBorders>
            <w:shd w:val="clear" w:color="000000" w:fill="FFFF99"/>
            <w:noWrap/>
            <w:vAlign w:val="bottom"/>
            <w:hideMark/>
          </w:tcPr>
          <w:p w14:paraId="4EC59708" w14:textId="77777777" w:rsidR="00B27DCD" w:rsidRPr="009F0A74" w:rsidRDefault="00B27DCD" w:rsidP="00B27DCD">
            <w:pPr>
              <w:spacing w:after="0" w:line="240" w:lineRule="auto"/>
              <w:jc w:val="right"/>
              <w:rPr>
                <w:rFonts w:ascii="Calibri" w:eastAsia="Times New Roman" w:hAnsi="Calibri" w:cs="Calibri"/>
                <w:sz w:val="16"/>
                <w:szCs w:val="16"/>
                <w:lang w:eastAsia="hr-HR"/>
              </w:rPr>
            </w:pPr>
            <w:r w:rsidRPr="009F0A74">
              <w:rPr>
                <w:rFonts w:ascii="Calibri" w:eastAsia="Times New Roman" w:hAnsi="Calibri" w:cs="Calibri"/>
                <w:sz w:val="16"/>
                <w:szCs w:val="16"/>
                <w:lang w:eastAsia="hr-HR"/>
              </w:rPr>
              <w:t>0</w:t>
            </w:r>
          </w:p>
        </w:tc>
        <w:tc>
          <w:tcPr>
            <w:tcW w:w="447" w:type="dxa"/>
            <w:tcBorders>
              <w:top w:val="nil"/>
              <w:left w:val="nil"/>
              <w:bottom w:val="single" w:sz="4" w:space="0" w:color="auto"/>
              <w:right w:val="single" w:sz="4" w:space="0" w:color="auto"/>
            </w:tcBorders>
            <w:shd w:val="clear" w:color="000000" w:fill="FFFF99"/>
            <w:noWrap/>
            <w:vAlign w:val="bottom"/>
            <w:hideMark/>
          </w:tcPr>
          <w:p w14:paraId="0D3FEB58" w14:textId="77777777" w:rsidR="00B27DCD" w:rsidRPr="009F0A74" w:rsidRDefault="00B27DCD" w:rsidP="00B27DCD">
            <w:pPr>
              <w:spacing w:after="0" w:line="240" w:lineRule="auto"/>
              <w:jc w:val="right"/>
              <w:rPr>
                <w:rFonts w:ascii="Calibri" w:eastAsia="Times New Roman" w:hAnsi="Calibri" w:cs="Calibri"/>
                <w:sz w:val="16"/>
                <w:szCs w:val="16"/>
                <w:lang w:eastAsia="hr-HR"/>
              </w:rPr>
            </w:pPr>
            <w:r w:rsidRPr="009F0A74">
              <w:rPr>
                <w:rFonts w:ascii="Calibri" w:eastAsia="Times New Roman" w:hAnsi="Calibri" w:cs="Calibri"/>
                <w:sz w:val="16"/>
                <w:szCs w:val="16"/>
                <w:lang w:eastAsia="hr-HR"/>
              </w:rPr>
              <w:t>0</w:t>
            </w:r>
          </w:p>
        </w:tc>
        <w:tc>
          <w:tcPr>
            <w:tcW w:w="447" w:type="dxa"/>
            <w:tcBorders>
              <w:top w:val="nil"/>
              <w:left w:val="nil"/>
              <w:bottom w:val="single" w:sz="4" w:space="0" w:color="auto"/>
              <w:right w:val="single" w:sz="4" w:space="0" w:color="auto"/>
            </w:tcBorders>
            <w:shd w:val="clear" w:color="000000" w:fill="FFFF99"/>
            <w:noWrap/>
            <w:vAlign w:val="bottom"/>
            <w:hideMark/>
          </w:tcPr>
          <w:p w14:paraId="683455D9" w14:textId="77777777" w:rsidR="00B27DCD" w:rsidRPr="009F0A74" w:rsidRDefault="00B27DCD" w:rsidP="00B27DCD">
            <w:pPr>
              <w:spacing w:after="0" w:line="240" w:lineRule="auto"/>
              <w:jc w:val="right"/>
              <w:rPr>
                <w:rFonts w:ascii="Calibri" w:eastAsia="Times New Roman" w:hAnsi="Calibri" w:cs="Calibri"/>
                <w:sz w:val="16"/>
                <w:szCs w:val="16"/>
                <w:lang w:eastAsia="hr-HR"/>
              </w:rPr>
            </w:pPr>
            <w:r w:rsidRPr="009F0A74">
              <w:rPr>
                <w:rFonts w:ascii="Calibri" w:eastAsia="Times New Roman" w:hAnsi="Calibri" w:cs="Calibri"/>
                <w:sz w:val="16"/>
                <w:szCs w:val="16"/>
                <w:lang w:eastAsia="hr-HR"/>
              </w:rPr>
              <w:t>0</w:t>
            </w:r>
          </w:p>
        </w:tc>
        <w:tc>
          <w:tcPr>
            <w:tcW w:w="400" w:type="dxa"/>
            <w:tcBorders>
              <w:top w:val="nil"/>
              <w:left w:val="nil"/>
              <w:bottom w:val="single" w:sz="4" w:space="0" w:color="auto"/>
              <w:right w:val="single" w:sz="4" w:space="0" w:color="auto"/>
            </w:tcBorders>
            <w:shd w:val="clear" w:color="000000" w:fill="FFFF99"/>
            <w:noWrap/>
            <w:vAlign w:val="bottom"/>
            <w:hideMark/>
          </w:tcPr>
          <w:p w14:paraId="3ACE5F97" w14:textId="77777777" w:rsidR="00B27DCD" w:rsidRPr="009F0A74" w:rsidRDefault="00B27DCD" w:rsidP="00B27DCD">
            <w:pPr>
              <w:spacing w:after="0" w:line="240" w:lineRule="auto"/>
              <w:jc w:val="right"/>
              <w:rPr>
                <w:rFonts w:ascii="Calibri" w:eastAsia="Times New Roman" w:hAnsi="Calibri" w:cs="Calibri"/>
                <w:sz w:val="16"/>
                <w:szCs w:val="16"/>
                <w:lang w:eastAsia="hr-HR"/>
              </w:rPr>
            </w:pPr>
            <w:r w:rsidRPr="009F0A74">
              <w:rPr>
                <w:rFonts w:ascii="Calibri" w:eastAsia="Times New Roman" w:hAnsi="Calibri" w:cs="Calibri"/>
                <w:sz w:val="16"/>
                <w:szCs w:val="16"/>
                <w:lang w:eastAsia="hr-HR"/>
              </w:rPr>
              <w:t>0</w:t>
            </w:r>
          </w:p>
        </w:tc>
        <w:tc>
          <w:tcPr>
            <w:tcW w:w="357" w:type="dxa"/>
            <w:gridSpan w:val="2"/>
            <w:tcBorders>
              <w:top w:val="nil"/>
              <w:left w:val="nil"/>
              <w:bottom w:val="single" w:sz="4" w:space="0" w:color="auto"/>
              <w:right w:val="single" w:sz="4" w:space="0" w:color="auto"/>
            </w:tcBorders>
            <w:shd w:val="clear" w:color="000000" w:fill="FF9900"/>
            <w:noWrap/>
            <w:vAlign w:val="bottom"/>
            <w:hideMark/>
          </w:tcPr>
          <w:p w14:paraId="1A360411" w14:textId="77777777" w:rsidR="00B27DCD" w:rsidRPr="009F0A74" w:rsidRDefault="00B27DCD" w:rsidP="00B27DCD">
            <w:pPr>
              <w:spacing w:after="0" w:line="240" w:lineRule="auto"/>
              <w:jc w:val="right"/>
              <w:rPr>
                <w:rFonts w:ascii="Calibri" w:eastAsia="Times New Roman" w:hAnsi="Calibri" w:cs="Calibri"/>
                <w:sz w:val="16"/>
                <w:szCs w:val="16"/>
                <w:lang w:eastAsia="hr-HR"/>
              </w:rPr>
            </w:pPr>
            <w:r w:rsidRPr="009F0A74">
              <w:rPr>
                <w:rFonts w:ascii="Calibri" w:eastAsia="Times New Roman" w:hAnsi="Calibri" w:cs="Calibri"/>
                <w:sz w:val="16"/>
                <w:szCs w:val="16"/>
                <w:lang w:eastAsia="hr-HR"/>
              </w:rPr>
              <w:t>0</w:t>
            </w:r>
          </w:p>
        </w:tc>
        <w:tc>
          <w:tcPr>
            <w:tcW w:w="447" w:type="dxa"/>
            <w:tcBorders>
              <w:top w:val="nil"/>
              <w:left w:val="nil"/>
              <w:bottom w:val="single" w:sz="4" w:space="0" w:color="auto"/>
              <w:right w:val="single" w:sz="4" w:space="0" w:color="auto"/>
            </w:tcBorders>
            <w:shd w:val="clear" w:color="000000" w:fill="FF9900"/>
            <w:noWrap/>
            <w:vAlign w:val="bottom"/>
            <w:hideMark/>
          </w:tcPr>
          <w:p w14:paraId="2546BC58" w14:textId="77777777" w:rsidR="00B27DCD" w:rsidRPr="009F0A74" w:rsidRDefault="00B27DCD" w:rsidP="00B27DCD">
            <w:pPr>
              <w:spacing w:after="0" w:line="240" w:lineRule="auto"/>
              <w:jc w:val="right"/>
              <w:rPr>
                <w:rFonts w:ascii="Calibri" w:eastAsia="Times New Roman" w:hAnsi="Calibri" w:cs="Calibri"/>
                <w:sz w:val="16"/>
                <w:szCs w:val="16"/>
                <w:lang w:eastAsia="hr-HR"/>
              </w:rPr>
            </w:pPr>
            <w:r w:rsidRPr="009F0A74">
              <w:rPr>
                <w:rFonts w:ascii="Calibri" w:eastAsia="Times New Roman" w:hAnsi="Calibri" w:cs="Calibri"/>
                <w:sz w:val="16"/>
                <w:szCs w:val="16"/>
                <w:lang w:eastAsia="hr-HR"/>
              </w:rPr>
              <w:t>0</w:t>
            </w:r>
          </w:p>
        </w:tc>
        <w:tc>
          <w:tcPr>
            <w:tcW w:w="447" w:type="dxa"/>
            <w:tcBorders>
              <w:top w:val="nil"/>
              <w:left w:val="nil"/>
              <w:bottom w:val="single" w:sz="4" w:space="0" w:color="auto"/>
              <w:right w:val="single" w:sz="4" w:space="0" w:color="auto"/>
            </w:tcBorders>
            <w:shd w:val="clear" w:color="000000" w:fill="FF9900"/>
            <w:noWrap/>
            <w:vAlign w:val="bottom"/>
            <w:hideMark/>
          </w:tcPr>
          <w:p w14:paraId="25B45057" w14:textId="77777777" w:rsidR="00B27DCD" w:rsidRPr="009F0A74" w:rsidRDefault="00B27DCD" w:rsidP="00B27DCD">
            <w:pPr>
              <w:spacing w:after="0" w:line="240" w:lineRule="auto"/>
              <w:jc w:val="right"/>
              <w:rPr>
                <w:rFonts w:ascii="Calibri" w:eastAsia="Times New Roman" w:hAnsi="Calibri" w:cs="Calibri"/>
                <w:sz w:val="16"/>
                <w:szCs w:val="16"/>
                <w:lang w:eastAsia="hr-HR"/>
              </w:rPr>
            </w:pPr>
            <w:r w:rsidRPr="009F0A74">
              <w:rPr>
                <w:rFonts w:ascii="Calibri" w:eastAsia="Times New Roman" w:hAnsi="Calibri" w:cs="Calibri"/>
                <w:sz w:val="16"/>
                <w:szCs w:val="16"/>
                <w:lang w:eastAsia="hr-HR"/>
              </w:rPr>
              <w:t>0</w:t>
            </w:r>
          </w:p>
        </w:tc>
        <w:tc>
          <w:tcPr>
            <w:tcW w:w="446" w:type="dxa"/>
            <w:tcBorders>
              <w:top w:val="nil"/>
              <w:left w:val="nil"/>
              <w:bottom w:val="single" w:sz="4" w:space="0" w:color="auto"/>
              <w:right w:val="single" w:sz="4" w:space="0" w:color="auto"/>
            </w:tcBorders>
            <w:shd w:val="clear" w:color="auto" w:fill="auto"/>
            <w:vAlign w:val="bottom"/>
            <w:hideMark/>
          </w:tcPr>
          <w:p w14:paraId="117AE151" w14:textId="77777777" w:rsidR="00B27DCD" w:rsidRPr="009F0A74" w:rsidRDefault="00B27DCD" w:rsidP="00B27DCD">
            <w:pPr>
              <w:spacing w:after="0" w:line="240" w:lineRule="auto"/>
              <w:jc w:val="right"/>
              <w:rPr>
                <w:rFonts w:ascii="Calibri" w:eastAsia="Times New Roman" w:hAnsi="Calibri" w:cs="Calibri"/>
                <w:b/>
                <w:bCs/>
                <w:sz w:val="16"/>
                <w:szCs w:val="16"/>
                <w:lang w:eastAsia="hr-HR"/>
              </w:rPr>
            </w:pPr>
            <w:r w:rsidRPr="009F0A74">
              <w:rPr>
                <w:rFonts w:ascii="Calibri" w:eastAsia="Times New Roman" w:hAnsi="Calibri" w:cs="Calibri"/>
                <w:b/>
                <w:bCs/>
                <w:sz w:val="16"/>
                <w:szCs w:val="16"/>
                <w:lang w:eastAsia="hr-HR"/>
              </w:rPr>
              <w:t>0</w:t>
            </w:r>
          </w:p>
        </w:tc>
        <w:tc>
          <w:tcPr>
            <w:tcW w:w="447" w:type="dxa"/>
            <w:gridSpan w:val="2"/>
            <w:tcBorders>
              <w:top w:val="nil"/>
              <w:left w:val="nil"/>
              <w:bottom w:val="single" w:sz="4" w:space="0" w:color="auto"/>
              <w:right w:val="single" w:sz="4" w:space="0" w:color="auto"/>
            </w:tcBorders>
            <w:shd w:val="clear" w:color="000000" w:fill="FFFF00"/>
            <w:noWrap/>
            <w:vAlign w:val="bottom"/>
            <w:hideMark/>
          </w:tcPr>
          <w:p w14:paraId="32228D62" w14:textId="77777777" w:rsidR="00B27DCD" w:rsidRPr="009F0A74" w:rsidRDefault="00B27DCD" w:rsidP="00B27DCD">
            <w:pPr>
              <w:spacing w:after="0" w:line="240" w:lineRule="auto"/>
              <w:jc w:val="right"/>
              <w:rPr>
                <w:rFonts w:ascii="Calibri" w:eastAsia="Times New Roman" w:hAnsi="Calibri" w:cs="Calibri"/>
                <w:sz w:val="16"/>
                <w:szCs w:val="16"/>
                <w:lang w:eastAsia="hr-HR"/>
              </w:rPr>
            </w:pPr>
            <w:r w:rsidRPr="009F0A74">
              <w:rPr>
                <w:rFonts w:ascii="Calibri" w:eastAsia="Times New Roman" w:hAnsi="Calibri" w:cs="Calibri"/>
                <w:sz w:val="16"/>
                <w:szCs w:val="16"/>
                <w:lang w:eastAsia="hr-HR"/>
              </w:rPr>
              <w:t>0</w:t>
            </w:r>
          </w:p>
        </w:tc>
        <w:tc>
          <w:tcPr>
            <w:tcW w:w="447" w:type="dxa"/>
            <w:tcBorders>
              <w:top w:val="nil"/>
              <w:left w:val="nil"/>
              <w:bottom w:val="single" w:sz="4" w:space="0" w:color="auto"/>
              <w:right w:val="single" w:sz="4" w:space="0" w:color="auto"/>
            </w:tcBorders>
            <w:shd w:val="clear" w:color="000000" w:fill="FFFF00"/>
            <w:noWrap/>
            <w:vAlign w:val="bottom"/>
            <w:hideMark/>
          </w:tcPr>
          <w:p w14:paraId="7296C1D7" w14:textId="77777777" w:rsidR="00B27DCD" w:rsidRPr="009F0A74" w:rsidRDefault="00B27DCD" w:rsidP="00B27DCD">
            <w:pPr>
              <w:spacing w:after="0" w:line="240" w:lineRule="auto"/>
              <w:jc w:val="right"/>
              <w:rPr>
                <w:rFonts w:ascii="Calibri" w:eastAsia="Times New Roman" w:hAnsi="Calibri" w:cs="Calibri"/>
                <w:sz w:val="16"/>
                <w:szCs w:val="16"/>
                <w:lang w:eastAsia="hr-HR"/>
              </w:rPr>
            </w:pPr>
            <w:r w:rsidRPr="009F0A74">
              <w:rPr>
                <w:rFonts w:ascii="Calibri" w:eastAsia="Times New Roman" w:hAnsi="Calibri" w:cs="Calibri"/>
                <w:sz w:val="16"/>
                <w:szCs w:val="16"/>
                <w:lang w:eastAsia="hr-HR"/>
              </w:rPr>
              <w:t>0</w:t>
            </w:r>
          </w:p>
        </w:tc>
        <w:tc>
          <w:tcPr>
            <w:tcW w:w="447" w:type="dxa"/>
            <w:tcBorders>
              <w:top w:val="nil"/>
              <w:left w:val="nil"/>
              <w:bottom w:val="single" w:sz="4" w:space="0" w:color="auto"/>
              <w:right w:val="single" w:sz="4" w:space="0" w:color="auto"/>
            </w:tcBorders>
            <w:shd w:val="clear" w:color="000000" w:fill="FFFF00"/>
            <w:noWrap/>
            <w:vAlign w:val="bottom"/>
            <w:hideMark/>
          </w:tcPr>
          <w:p w14:paraId="1C973BC2" w14:textId="77777777" w:rsidR="00B27DCD" w:rsidRPr="009F0A74" w:rsidRDefault="00B27DCD" w:rsidP="00B27DCD">
            <w:pPr>
              <w:spacing w:after="0" w:line="240" w:lineRule="auto"/>
              <w:jc w:val="right"/>
              <w:rPr>
                <w:rFonts w:ascii="Calibri" w:eastAsia="Times New Roman" w:hAnsi="Calibri" w:cs="Calibri"/>
                <w:sz w:val="16"/>
                <w:szCs w:val="16"/>
                <w:lang w:eastAsia="hr-HR"/>
              </w:rPr>
            </w:pPr>
            <w:r w:rsidRPr="009F0A74">
              <w:rPr>
                <w:rFonts w:ascii="Calibri" w:eastAsia="Times New Roman" w:hAnsi="Calibri" w:cs="Calibri"/>
                <w:sz w:val="16"/>
                <w:szCs w:val="16"/>
                <w:lang w:eastAsia="hr-HR"/>
              </w:rPr>
              <w:t>0</w:t>
            </w:r>
          </w:p>
        </w:tc>
        <w:tc>
          <w:tcPr>
            <w:tcW w:w="446" w:type="dxa"/>
            <w:tcBorders>
              <w:top w:val="nil"/>
              <w:left w:val="nil"/>
              <w:bottom w:val="single" w:sz="4" w:space="0" w:color="auto"/>
              <w:right w:val="single" w:sz="4" w:space="0" w:color="auto"/>
            </w:tcBorders>
            <w:shd w:val="clear" w:color="auto" w:fill="auto"/>
            <w:vAlign w:val="bottom"/>
            <w:hideMark/>
          </w:tcPr>
          <w:p w14:paraId="70DC559E" w14:textId="77777777" w:rsidR="00B27DCD" w:rsidRPr="009F0A74" w:rsidRDefault="00B27DCD" w:rsidP="00B27DCD">
            <w:pPr>
              <w:spacing w:after="0" w:line="240" w:lineRule="auto"/>
              <w:jc w:val="right"/>
              <w:rPr>
                <w:rFonts w:ascii="Calibri" w:eastAsia="Times New Roman" w:hAnsi="Calibri" w:cs="Calibri"/>
                <w:b/>
                <w:bCs/>
                <w:sz w:val="16"/>
                <w:szCs w:val="16"/>
                <w:lang w:eastAsia="hr-HR"/>
              </w:rPr>
            </w:pPr>
            <w:r w:rsidRPr="009F0A74">
              <w:rPr>
                <w:rFonts w:ascii="Calibri" w:eastAsia="Times New Roman" w:hAnsi="Calibri" w:cs="Calibri"/>
                <w:b/>
                <w:bCs/>
                <w:sz w:val="16"/>
                <w:szCs w:val="16"/>
                <w:lang w:eastAsia="hr-HR"/>
              </w:rPr>
              <w:t>0</w:t>
            </w:r>
          </w:p>
        </w:tc>
        <w:tc>
          <w:tcPr>
            <w:tcW w:w="524" w:type="dxa"/>
            <w:gridSpan w:val="2"/>
            <w:tcBorders>
              <w:top w:val="nil"/>
              <w:left w:val="nil"/>
              <w:bottom w:val="single" w:sz="4" w:space="0" w:color="auto"/>
              <w:right w:val="single" w:sz="4" w:space="0" w:color="auto"/>
            </w:tcBorders>
            <w:shd w:val="clear" w:color="000000" w:fill="FFFF00"/>
            <w:vAlign w:val="bottom"/>
            <w:hideMark/>
          </w:tcPr>
          <w:p w14:paraId="4FCD8DED" w14:textId="77777777" w:rsidR="00B27DCD" w:rsidRPr="009F0A74" w:rsidRDefault="00B27DCD" w:rsidP="00B27DCD">
            <w:pPr>
              <w:spacing w:after="0" w:line="240" w:lineRule="auto"/>
              <w:jc w:val="right"/>
              <w:rPr>
                <w:rFonts w:ascii="Calibri" w:eastAsia="Times New Roman" w:hAnsi="Calibri" w:cs="Calibri"/>
                <w:b/>
                <w:bCs/>
                <w:sz w:val="16"/>
                <w:szCs w:val="16"/>
                <w:lang w:eastAsia="hr-HR"/>
              </w:rPr>
            </w:pPr>
            <w:r w:rsidRPr="009F0A74">
              <w:rPr>
                <w:rFonts w:ascii="Calibri" w:eastAsia="Times New Roman" w:hAnsi="Calibri" w:cs="Calibri"/>
                <w:b/>
                <w:bCs/>
                <w:sz w:val="16"/>
                <w:szCs w:val="16"/>
                <w:lang w:eastAsia="hr-HR"/>
              </w:rPr>
              <w:t>1</w:t>
            </w:r>
          </w:p>
        </w:tc>
        <w:tc>
          <w:tcPr>
            <w:tcW w:w="425" w:type="dxa"/>
            <w:gridSpan w:val="2"/>
            <w:tcBorders>
              <w:top w:val="nil"/>
              <w:left w:val="nil"/>
              <w:bottom w:val="single" w:sz="4" w:space="0" w:color="auto"/>
              <w:right w:val="single" w:sz="4" w:space="0" w:color="auto"/>
            </w:tcBorders>
            <w:shd w:val="clear" w:color="000000" w:fill="FF9900"/>
            <w:noWrap/>
            <w:vAlign w:val="bottom"/>
            <w:hideMark/>
          </w:tcPr>
          <w:p w14:paraId="1BCA9CEF" w14:textId="77777777" w:rsidR="00B27DCD" w:rsidRPr="009F0A74" w:rsidRDefault="00B27DCD" w:rsidP="00B27DCD">
            <w:pPr>
              <w:spacing w:after="0" w:line="240" w:lineRule="auto"/>
              <w:jc w:val="right"/>
              <w:rPr>
                <w:rFonts w:ascii="Calibri" w:eastAsia="Times New Roman" w:hAnsi="Calibri" w:cs="Calibri"/>
                <w:sz w:val="16"/>
                <w:szCs w:val="16"/>
                <w:lang w:eastAsia="hr-HR"/>
              </w:rPr>
            </w:pPr>
            <w:r w:rsidRPr="009F0A74">
              <w:rPr>
                <w:rFonts w:ascii="Calibri" w:eastAsia="Times New Roman" w:hAnsi="Calibri" w:cs="Calibri"/>
                <w:sz w:val="16"/>
                <w:szCs w:val="16"/>
                <w:lang w:eastAsia="hr-HR"/>
              </w:rPr>
              <w:t>0</w:t>
            </w:r>
          </w:p>
        </w:tc>
        <w:tc>
          <w:tcPr>
            <w:tcW w:w="501" w:type="dxa"/>
            <w:gridSpan w:val="2"/>
            <w:tcBorders>
              <w:top w:val="nil"/>
              <w:left w:val="nil"/>
              <w:bottom w:val="single" w:sz="4" w:space="0" w:color="auto"/>
              <w:right w:val="single" w:sz="4" w:space="0" w:color="auto"/>
            </w:tcBorders>
            <w:shd w:val="clear" w:color="000000" w:fill="FF9900"/>
            <w:noWrap/>
            <w:vAlign w:val="bottom"/>
            <w:hideMark/>
          </w:tcPr>
          <w:p w14:paraId="46F33C83" w14:textId="77777777" w:rsidR="00B27DCD" w:rsidRPr="009F0A74" w:rsidRDefault="00B27DCD" w:rsidP="00B27DCD">
            <w:pPr>
              <w:spacing w:after="0" w:line="240" w:lineRule="auto"/>
              <w:jc w:val="right"/>
              <w:rPr>
                <w:rFonts w:ascii="Calibri" w:eastAsia="Times New Roman" w:hAnsi="Calibri" w:cs="Calibri"/>
                <w:sz w:val="16"/>
                <w:szCs w:val="16"/>
                <w:lang w:eastAsia="hr-HR"/>
              </w:rPr>
            </w:pPr>
            <w:r w:rsidRPr="009F0A74">
              <w:rPr>
                <w:rFonts w:ascii="Calibri" w:eastAsia="Times New Roman" w:hAnsi="Calibri" w:cs="Calibri"/>
                <w:sz w:val="16"/>
                <w:szCs w:val="16"/>
                <w:lang w:eastAsia="hr-HR"/>
              </w:rPr>
              <w:t>0</w:t>
            </w:r>
          </w:p>
        </w:tc>
        <w:tc>
          <w:tcPr>
            <w:tcW w:w="425" w:type="dxa"/>
            <w:tcBorders>
              <w:top w:val="nil"/>
              <w:left w:val="nil"/>
              <w:bottom w:val="single" w:sz="4" w:space="0" w:color="auto"/>
              <w:right w:val="single" w:sz="4" w:space="0" w:color="auto"/>
            </w:tcBorders>
            <w:shd w:val="clear" w:color="000000" w:fill="CCFFFF"/>
            <w:noWrap/>
            <w:vAlign w:val="bottom"/>
            <w:hideMark/>
          </w:tcPr>
          <w:p w14:paraId="7C655690" w14:textId="77777777" w:rsidR="00B27DCD" w:rsidRPr="009F0A74" w:rsidRDefault="00B27DCD" w:rsidP="00B27DCD">
            <w:pPr>
              <w:spacing w:after="0" w:line="240" w:lineRule="auto"/>
              <w:jc w:val="right"/>
              <w:rPr>
                <w:rFonts w:ascii="Calibri" w:eastAsia="Times New Roman" w:hAnsi="Calibri" w:cs="Calibri"/>
                <w:sz w:val="16"/>
                <w:szCs w:val="16"/>
                <w:lang w:eastAsia="hr-HR"/>
              </w:rPr>
            </w:pPr>
            <w:r w:rsidRPr="009F0A74">
              <w:rPr>
                <w:rFonts w:ascii="Calibri" w:eastAsia="Times New Roman" w:hAnsi="Calibri" w:cs="Calibri"/>
                <w:sz w:val="16"/>
                <w:szCs w:val="16"/>
                <w:lang w:eastAsia="hr-HR"/>
              </w:rPr>
              <w:t>0</w:t>
            </w:r>
          </w:p>
        </w:tc>
        <w:tc>
          <w:tcPr>
            <w:tcW w:w="426" w:type="dxa"/>
            <w:tcBorders>
              <w:top w:val="nil"/>
              <w:left w:val="nil"/>
              <w:bottom w:val="single" w:sz="4" w:space="0" w:color="auto"/>
              <w:right w:val="single" w:sz="4" w:space="0" w:color="auto"/>
            </w:tcBorders>
            <w:shd w:val="clear" w:color="000000" w:fill="CCFFFF"/>
            <w:noWrap/>
            <w:vAlign w:val="bottom"/>
            <w:hideMark/>
          </w:tcPr>
          <w:p w14:paraId="56B6BE82" w14:textId="77777777" w:rsidR="00B27DCD" w:rsidRPr="009F0A74" w:rsidRDefault="00B27DCD" w:rsidP="00B27DCD">
            <w:pPr>
              <w:spacing w:after="0" w:line="240" w:lineRule="auto"/>
              <w:jc w:val="right"/>
              <w:rPr>
                <w:rFonts w:ascii="Calibri" w:eastAsia="Times New Roman" w:hAnsi="Calibri" w:cs="Calibri"/>
                <w:sz w:val="16"/>
                <w:szCs w:val="16"/>
                <w:lang w:eastAsia="hr-HR"/>
              </w:rPr>
            </w:pPr>
            <w:r w:rsidRPr="009F0A74">
              <w:rPr>
                <w:rFonts w:ascii="Calibri" w:eastAsia="Times New Roman" w:hAnsi="Calibri" w:cs="Calibri"/>
                <w:sz w:val="16"/>
                <w:szCs w:val="16"/>
                <w:lang w:eastAsia="hr-HR"/>
              </w:rPr>
              <w:t>0</w:t>
            </w:r>
          </w:p>
        </w:tc>
        <w:tc>
          <w:tcPr>
            <w:tcW w:w="818" w:type="dxa"/>
            <w:gridSpan w:val="2"/>
            <w:tcBorders>
              <w:top w:val="nil"/>
              <w:left w:val="nil"/>
              <w:bottom w:val="single" w:sz="4" w:space="0" w:color="auto"/>
              <w:right w:val="single" w:sz="4" w:space="0" w:color="auto"/>
            </w:tcBorders>
            <w:shd w:val="clear" w:color="000000" w:fill="33CCCC"/>
            <w:noWrap/>
            <w:vAlign w:val="bottom"/>
            <w:hideMark/>
          </w:tcPr>
          <w:p w14:paraId="3BB76628" w14:textId="77777777" w:rsidR="00B27DCD" w:rsidRPr="009F0A74" w:rsidRDefault="00B27DCD" w:rsidP="00B27DCD">
            <w:pPr>
              <w:spacing w:after="0" w:line="240" w:lineRule="auto"/>
              <w:jc w:val="right"/>
              <w:rPr>
                <w:rFonts w:ascii="Calibri" w:eastAsia="Times New Roman" w:hAnsi="Calibri" w:cs="Calibri"/>
                <w:sz w:val="16"/>
                <w:szCs w:val="16"/>
                <w:lang w:eastAsia="hr-HR"/>
              </w:rPr>
            </w:pPr>
            <w:r w:rsidRPr="009F0A74">
              <w:rPr>
                <w:rFonts w:ascii="Calibri" w:eastAsia="Times New Roman" w:hAnsi="Calibri" w:cs="Calibri"/>
                <w:sz w:val="16"/>
                <w:szCs w:val="16"/>
                <w:lang w:eastAsia="hr-HR"/>
              </w:rPr>
              <w:t>0</w:t>
            </w:r>
          </w:p>
        </w:tc>
        <w:tc>
          <w:tcPr>
            <w:tcW w:w="818" w:type="dxa"/>
            <w:gridSpan w:val="2"/>
            <w:tcBorders>
              <w:top w:val="nil"/>
              <w:left w:val="nil"/>
              <w:bottom w:val="single" w:sz="4" w:space="0" w:color="auto"/>
              <w:right w:val="single" w:sz="8" w:space="0" w:color="auto"/>
            </w:tcBorders>
            <w:shd w:val="clear" w:color="000000" w:fill="33CCCC"/>
            <w:noWrap/>
            <w:vAlign w:val="bottom"/>
            <w:hideMark/>
          </w:tcPr>
          <w:p w14:paraId="05D6D9B6" w14:textId="77777777" w:rsidR="00B27DCD" w:rsidRPr="009F0A74" w:rsidRDefault="00B27DCD" w:rsidP="00B27DCD">
            <w:pPr>
              <w:spacing w:after="0" w:line="240" w:lineRule="auto"/>
              <w:jc w:val="right"/>
              <w:rPr>
                <w:rFonts w:ascii="Calibri" w:eastAsia="Times New Roman" w:hAnsi="Calibri" w:cs="Calibri"/>
                <w:sz w:val="16"/>
                <w:szCs w:val="16"/>
                <w:lang w:eastAsia="hr-HR"/>
              </w:rPr>
            </w:pPr>
            <w:r w:rsidRPr="009F0A74">
              <w:rPr>
                <w:rFonts w:ascii="Calibri" w:eastAsia="Times New Roman" w:hAnsi="Calibri" w:cs="Calibri"/>
                <w:sz w:val="16"/>
                <w:szCs w:val="16"/>
                <w:lang w:eastAsia="hr-HR"/>
              </w:rPr>
              <w:t>0</w:t>
            </w:r>
          </w:p>
        </w:tc>
        <w:tc>
          <w:tcPr>
            <w:tcW w:w="236" w:type="dxa"/>
            <w:gridSpan w:val="3"/>
            <w:vAlign w:val="center"/>
            <w:hideMark/>
          </w:tcPr>
          <w:p w14:paraId="1E6AD20B" w14:textId="77777777" w:rsidR="00B27DCD" w:rsidRPr="009F0A74" w:rsidRDefault="00B27DCD" w:rsidP="00B27DCD">
            <w:pPr>
              <w:spacing w:after="0" w:line="240" w:lineRule="auto"/>
              <w:rPr>
                <w:rFonts w:ascii="Times New Roman" w:eastAsia="Times New Roman" w:hAnsi="Times New Roman" w:cs="Times New Roman"/>
                <w:sz w:val="16"/>
                <w:szCs w:val="16"/>
                <w:lang w:eastAsia="hr-HR"/>
              </w:rPr>
            </w:pPr>
          </w:p>
        </w:tc>
      </w:tr>
      <w:tr w:rsidR="009F0A74" w:rsidRPr="009F0A74" w14:paraId="202CA3D4" w14:textId="77777777" w:rsidTr="009F0A74">
        <w:trPr>
          <w:trHeight w:val="315"/>
        </w:trPr>
        <w:tc>
          <w:tcPr>
            <w:tcW w:w="840" w:type="dxa"/>
            <w:tcBorders>
              <w:top w:val="single" w:sz="4" w:space="0" w:color="auto"/>
              <w:left w:val="single" w:sz="8" w:space="0" w:color="auto"/>
              <w:bottom w:val="single" w:sz="4" w:space="0" w:color="auto"/>
              <w:right w:val="single" w:sz="4" w:space="0" w:color="000000"/>
            </w:tcBorders>
            <w:shd w:val="clear" w:color="000000" w:fill="CCFFCC"/>
            <w:vAlign w:val="center"/>
            <w:hideMark/>
          </w:tcPr>
          <w:p w14:paraId="7E46012F" w14:textId="77777777" w:rsidR="00B27DCD" w:rsidRPr="009F0A74" w:rsidRDefault="00B27DCD" w:rsidP="00B27DCD">
            <w:pPr>
              <w:spacing w:after="0" w:line="240" w:lineRule="auto"/>
              <w:rPr>
                <w:rFonts w:ascii="Calibri" w:eastAsia="Times New Roman" w:hAnsi="Calibri" w:cs="Calibri"/>
                <w:sz w:val="16"/>
                <w:szCs w:val="16"/>
                <w:lang w:eastAsia="hr-HR"/>
              </w:rPr>
            </w:pPr>
            <w:r w:rsidRPr="009F0A74">
              <w:rPr>
                <w:rFonts w:ascii="Calibri" w:eastAsia="Times New Roman" w:hAnsi="Calibri" w:cs="Calibri"/>
                <w:sz w:val="16"/>
                <w:szCs w:val="16"/>
                <w:lang w:eastAsia="hr-HR"/>
              </w:rPr>
              <w:t>Političko ili drugo uvjerenje</w:t>
            </w:r>
          </w:p>
        </w:tc>
        <w:tc>
          <w:tcPr>
            <w:tcW w:w="540" w:type="dxa"/>
            <w:tcBorders>
              <w:top w:val="nil"/>
              <w:left w:val="nil"/>
              <w:bottom w:val="single" w:sz="4" w:space="0" w:color="auto"/>
              <w:right w:val="single" w:sz="4" w:space="0" w:color="auto"/>
            </w:tcBorders>
            <w:shd w:val="clear" w:color="000000" w:fill="FFFF00"/>
            <w:vAlign w:val="bottom"/>
            <w:hideMark/>
          </w:tcPr>
          <w:p w14:paraId="5EA86DE6" w14:textId="77777777" w:rsidR="00B27DCD" w:rsidRPr="009F0A74" w:rsidRDefault="00B27DCD" w:rsidP="00B27DCD">
            <w:pPr>
              <w:spacing w:after="0" w:line="240" w:lineRule="auto"/>
              <w:jc w:val="right"/>
              <w:rPr>
                <w:rFonts w:ascii="Calibri" w:eastAsia="Times New Roman" w:hAnsi="Calibri" w:cs="Calibri"/>
                <w:sz w:val="16"/>
                <w:szCs w:val="16"/>
                <w:lang w:eastAsia="hr-HR"/>
              </w:rPr>
            </w:pPr>
            <w:r w:rsidRPr="009F0A74">
              <w:rPr>
                <w:rFonts w:ascii="Calibri" w:eastAsia="Times New Roman" w:hAnsi="Calibri" w:cs="Calibri"/>
                <w:sz w:val="16"/>
                <w:szCs w:val="16"/>
                <w:lang w:eastAsia="hr-HR"/>
              </w:rPr>
              <w:t>0</w:t>
            </w:r>
          </w:p>
        </w:tc>
        <w:tc>
          <w:tcPr>
            <w:tcW w:w="444" w:type="dxa"/>
            <w:tcBorders>
              <w:top w:val="nil"/>
              <w:left w:val="nil"/>
              <w:bottom w:val="single" w:sz="4" w:space="0" w:color="auto"/>
              <w:right w:val="single" w:sz="4" w:space="0" w:color="auto"/>
            </w:tcBorders>
            <w:shd w:val="clear" w:color="000000" w:fill="FFCC99"/>
            <w:noWrap/>
            <w:vAlign w:val="bottom"/>
            <w:hideMark/>
          </w:tcPr>
          <w:p w14:paraId="7E8CEAD7" w14:textId="77777777" w:rsidR="00B27DCD" w:rsidRPr="009F0A74" w:rsidRDefault="00B27DCD" w:rsidP="00B27DCD">
            <w:pPr>
              <w:spacing w:after="0" w:line="240" w:lineRule="auto"/>
              <w:jc w:val="right"/>
              <w:rPr>
                <w:rFonts w:ascii="Calibri" w:eastAsia="Times New Roman" w:hAnsi="Calibri" w:cs="Calibri"/>
                <w:sz w:val="16"/>
                <w:szCs w:val="16"/>
                <w:lang w:eastAsia="hr-HR"/>
              </w:rPr>
            </w:pPr>
            <w:r w:rsidRPr="009F0A74">
              <w:rPr>
                <w:rFonts w:ascii="Calibri" w:eastAsia="Times New Roman" w:hAnsi="Calibri" w:cs="Calibri"/>
                <w:sz w:val="16"/>
                <w:szCs w:val="16"/>
                <w:lang w:eastAsia="hr-HR"/>
              </w:rPr>
              <w:t>0</w:t>
            </w:r>
          </w:p>
        </w:tc>
        <w:tc>
          <w:tcPr>
            <w:tcW w:w="433" w:type="dxa"/>
            <w:tcBorders>
              <w:top w:val="nil"/>
              <w:left w:val="nil"/>
              <w:bottom w:val="single" w:sz="4" w:space="0" w:color="auto"/>
              <w:right w:val="single" w:sz="4" w:space="0" w:color="auto"/>
            </w:tcBorders>
            <w:shd w:val="clear" w:color="000000" w:fill="CCFFFF"/>
            <w:noWrap/>
            <w:vAlign w:val="bottom"/>
            <w:hideMark/>
          </w:tcPr>
          <w:p w14:paraId="7F1A3595" w14:textId="77777777" w:rsidR="00B27DCD" w:rsidRPr="009F0A74" w:rsidRDefault="00B27DCD" w:rsidP="00B27DCD">
            <w:pPr>
              <w:spacing w:after="0" w:line="240" w:lineRule="auto"/>
              <w:jc w:val="right"/>
              <w:rPr>
                <w:rFonts w:ascii="Calibri" w:eastAsia="Times New Roman" w:hAnsi="Calibri" w:cs="Calibri"/>
                <w:sz w:val="16"/>
                <w:szCs w:val="16"/>
                <w:lang w:eastAsia="hr-HR"/>
              </w:rPr>
            </w:pPr>
            <w:r w:rsidRPr="009F0A74">
              <w:rPr>
                <w:rFonts w:ascii="Calibri" w:eastAsia="Times New Roman" w:hAnsi="Calibri" w:cs="Calibri"/>
                <w:sz w:val="16"/>
                <w:szCs w:val="16"/>
                <w:lang w:eastAsia="hr-HR"/>
              </w:rPr>
              <w:t>0</w:t>
            </w:r>
          </w:p>
        </w:tc>
        <w:tc>
          <w:tcPr>
            <w:tcW w:w="324" w:type="dxa"/>
            <w:tcBorders>
              <w:top w:val="nil"/>
              <w:left w:val="nil"/>
              <w:bottom w:val="single" w:sz="4" w:space="0" w:color="auto"/>
              <w:right w:val="single" w:sz="4" w:space="0" w:color="auto"/>
            </w:tcBorders>
            <w:shd w:val="clear" w:color="000000" w:fill="CCFFFF"/>
            <w:noWrap/>
            <w:vAlign w:val="bottom"/>
            <w:hideMark/>
          </w:tcPr>
          <w:p w14:paraId="2B86A285" w14:textId="77777777" w:rsidR="00B27DCD" w:rsidRPr="009F0A74" w:rsidRDefault="00B27DCD" w:rsidP="00B27DCD">
            <w:pPr>
              <w:spacing w:after="0" w:line="240" w:lineRule="auto"/>
              <w:jc w:val="right"/>
              <w:rPr>
                <w:rFonts w:ascii="Calibri" w:eastAsia="Times New Roman" w:hAnsi="Calibri" w:cs="Calibri"/>
                <w:sz w:val="16"/>
                <w:szCs w:val="16"/>
                <w:lang w:eastAsia="hr-HR"/>
              </w:rPr>
            </w:pPr>
            <w:r w:rsidRPr="009F0A74">
              <w:rPr>
                <w:rFonts w:ascii="Calibri" w:eastAsia="Times New Roman" w:hAnsi="Calibri" w:cs="Calibri"/>
                <w:sz w:val="16"/>
                <w:szCs w:val="16"/>
                <w:lang w:eastAsia="hr-HR"/>
              </w:rPr>
              <w:t>0</w:t>
            </w:r>
          </w:p>
        </w:tc>
        <w:tc>
          <w:tcPr>
            <w:tcW w:w="385" w:type="dxa"/>
            <w:gridSpan w:val="2"/>
            <w:tcBorders>
              <w:top w:val="nil"/>
              <w:left w:val="nil"/>
              <w:bottom w:val="single" w:sz="4" w:space="0" w:color="auto"/>
              <w:right w:val="single" w:sz="4" w:space="0" w:color="auto"/>
            </w:tcBorders>
            <w:shd w:val="clear" w:color="000000" w:fill="FFFF99"/>
            <w:noWrap/>
            <w:vAlign w:val="bottom"/>
            <w:hideMark/>
          </w:tcPr>
          <w:p w14:paraId="671598DD" w14:textId="77777777" w:rsidR="00B27DCD" w:rsidRPr="009F0A74" w:rsidRDefault="00B27DCD" w:rsidP="00B27DCD">
            <w:pPr>
              <w:spacing w:after="0" w:line="240" w:lineRule="auto"/>
              <w:jc w:val="right"/>
              <w:rPr>
                <w:rFonts w:ascii="Calibri" w:eastAsia="Times New Roman" w:hAnsi="Calibri" w:cs="Calibri"/>
                <w:sz w:val="16"/>
                <w:szCs w:val="16"/>
                <w:lang w:eastAsia="hr-HR"/>
              </w:rPr>
            </w:pPr>
            <w:r w:rsidRPr="009F0A74">
              <w:rPr>
                <w:rFonts w:ascii="Calibri" w:eastAsia="Times New Roman" w:hAnsi="Calibri" w:cs="Calibri"/>
                <w:sz w:val="16"/>
                <w:szCs w:val="16"/>
                <w:lang w:eastAsia="hr-HR"/>
              </w:rPr>
              <w:t>0</w:t>
            </w:r>
          </w:p>
        </w:tc>
        <w:tc>
          <w:tcPr>
            <w:tcW w:w="334" w:type="dxa"/>
            <w:tcBorders>
              <w:top w:val="nil"/>
              <w:left w:val="nil"/>
              <w:bottom w:val="single" w:sz="4" w:space="0" w:color="auto"/>
              <w:right w:val="single" w:sz="4" w:space="0" w:color="auto"/>
            </w:tcBorders>
            <w:shd w:val="clear" w:color="000000" w:fill="FFFF99"/>
            <w:noWrap/>
            <w:vAlign w:val="bottom"/>
            <w:hideMark/>
          </w:tcPr>
          <w:p w14:paraId="42963A3D" w14:textId="77777777" w:rsidR="00B27DCD" w:rsidRPr="009F0A74" w:rsidRDefault="00B27DCD" w:rsidP="00B27DCD">
            <w:pPr>
              <w:spacing w:after="0" w:line="240" w:lineRule="auto"/>
              <w:jc w:val="right"/>
              <w:rPr>
                <w:rFonts w:ascii="Calibri" w:eastAsia="Times New Roman" w:hAnsi="Calibri" w:cs="Calibri"/>
                <w:sz w:val="16"/>
                <w:szCs w:val="16"/>
                <w:lang w:eastAsia="hr-HR"/>
              </w:rPr>
            </w:pPr>
            <w:r w:rsidRPr="009F0A74">
              <w:rPr>
                <w:rFonts w:ascii="Calibri" w:eastAsia="Times New Roman" w:hAnsi="Calibri" w:cs="Calibri"/>
                <w:sz w:val="16"/>
                <w:szCs w:val="16"/>
                <w:lang w:eastAsia="hr-HR"/>
              </w:rPr>
              <w:t>0</w:t>
            </w:r>
          </w:p>
        </w:tc>
        <w:tc>
          <w:tcPr>
            <w:tcW w:w="658" w:type="dxa"/>
            <w:tcBorders>
              <w:top w:val="nil"/>
              <w:left w:val="nil"/>
              <w:bottom w:val="single" w:sz="4" w:space="0" w:color="auto"/>
              <w:right w:val="single" w:sz="4" w:space="0" w:color="auto"/>
            </w:tcBorders>
            <w:shd w:val="clear" w:color="000000" w:fill="FFFF99"/>
            <w:noWrap/>
            <w:vAlign w:val="bottom"/>
            <w:hideMark/>
          </w:tcPr>
          <w:p w14:paraId="18451BD7" w14:textId="77777777" w:rsidR="00B27DCD" w:rsidRPr="009F0A74" w:rsidRDefault="00B27DCD" w:rsidP="00B27DCD">
            <w:pPr>
              <w:spacing w:after="0" w:line="240" w:lineRule="auto"/>
              <w:jc w:val="right"/>
              <w:rPr>
                <w:rFonts w:ascii="Calibri" w:eastAsia="Times New Roman" w:hAnsi="Calibri" w:cs="Calibri"/>
                <w:sz w:val="16"/>
                <w:szCs w:val="16"/>
                <w:lang w:eastAsia="hr-HR"/>
              </w:rPr>
            </w:pPr>
            <w:r w:rsidRPr="009F0A74">
              <w:rPr>
                <w:rFonts w:ascii="Calibri" w:eastAsia="Times New Roman" w:hAnsi="Calibri" w:cs="Calibri"/>
                <w:sz w:val="16"/>
                <w:szCs w:val="16"/>
                <w:lang w:eastAsia="hr-HR"/>
              </w:rPr>
              <w:t>0</w:t>
            </w:r>
          </w:p>
        </w:tc>
        <w:tc>
          <w:tcPr>
            <w:tcW w:w="447" w:type="dxa"/>
            <w:tcBorders>
              <w:top w:val="nil"/>
              <w:left w:val="nil"/>
              <w:bottom w:val="single" w:sz="4" w:space="0" w:color="auto"/>
              <w:right w:val="single" w:sz="4" w:space="0" w:color="auto"/>
            </w:tcBorders>
            <w:shd w:val="clear" w:color="000000" w:fill="FFFF99"/>
            <w:noWrap/>
            <w:vAlign w:val="bottom"/>
            <w:hideMark/>
          </w:tcPr>
          <w:p w14:paraId="2E49CD3D" w14:textId="77777777" w:rsidR="00B27DCD" w:rsidRPr="009F0A74" w:rsidRDefault="00B27DCD" w:rsidP="00B27DCD">
            <w:pPr>
              <w:spacing w:after="0" w:line="240" w:lineRule="auto"/>
              <w:jc w:val="right"/>
              <w:rPr>
                <w:rFonts w:ascii="Calibri" w:eastAsia="Times New Roman" w:hAnsi="Calibri" w:cs="Calibri"/>
                <w:sz w:val="16"/>
                <w:szCs w:val="16"/>
                <w:lang w:eastAsia="hr-HR"/>
              </w:rPr>
            </w:pPr>
            <w:r w:rsidRPr="009F0A74">
              <w:rPr>
                <w:rFonts w:ascii="Calibri" w:eastAsia="Times New Roman" w:hAnsi="Calibri" w:cs="Calibri"/>
                <w:sz w:val="16"/>
                <w:szCs w:val="16"/>
                <w:lang w:eastAsia="hr-HR"/>
              </w:rPr>
              <w:t>0</w:t>
            </w:r>
          </w:p>
        </w:tc>
        <w:tc>
          <w:tcPr>
            <w:tcW w:w="644" w:type="dxa"/>
            <w:gridSpan w:val="2"/>
            <w:tcBorders>
              <w:top w:val="nil"/>
              <w:left w:val="nil"/>
              <w:bottom w:val="single" w:sz="4" w:space="0" w:color="auto"/>
              <w:right w:val="single" w:sz="4" w:space="0" w:color="auto"/>
            </w:tcBorders>
            <w:shd w:val="clear" w:color="000000" w:fill="FFFF99"/>
            <w:noWrap/>
            <w:vAlign w:val="bottom"/>
            <w:hideMark/>
          </w:tcPr>
          <w:p w14:paraId="60537799" w14:textId="77777777" w:rsidR="00B27DCD" w:rsidRPr="009F0A74" w:rsidRDefault="00B27DCD" w:rsidP="00B27DCD">
            <w:pPr>
              <w:spacing w:after="0" w:line="240" w:lineRule="auto"/>
              <w:jc w:val="right"/>
              <w:rPr>
                <w:rFonts w:ascii="Calibri" w:eastAsia="Times New Roman" w:hAnsi="Calibri" w:cs="Calibri"/>
                <w:sz w:val="16"/>
                <w:szCs w:val="16"/>
                <w:lang w:eastAsia="hr-HR"/>
              </w:rPr>
            </w:pPr>
            <w:r w:rsidRPr="009F0A74">
              <w:rPr>
                <w:rFonts w:ascii="Calibri" w:eastAsia="Times New Roman" w:hAnsi="Calibri" w:cs="Calibri"/>
                <w:sz w:val="16"/>
                <w:szCs w:val="16"/>
                <w:lang w:eastAsia="hr-HR"/>
              </w:rPr>
              <w:t>0</w:t>
            </w:r>
          </w:p>
        </w:tc>
        <w:tc>
          <w:tcPr>
            <w:tcW w:w="452" w:type="dxa"/>
            <w:tcBorders>
              <w:top w:val="nil"/>
              <w:left w:val="nil"/>
              <w:bottom w:val="single" w:sz="4" w:space="0" w:color="auto"/>
              <w:right w:val="single" w:sz="4" w:space="0" w:color="auto"/>
            </w:tcBorders>
            <w:shd w:val="clear" w:color="000000" w:fill="FFFF99"/>
            <w:noWrap/>
            <w:vAlign w:val="bottom"/>
            <w:hideMark/>
          </w:tcPr>
          <w:p w14:paraId="7D200BA2" w14:textId="77777777" w:rsidR="00B27DCD" w:rsidRPr="009F0A74" w:rsidRDefault="00B27DCD" w:rsidP="00B27DCD">
            <w:pPr>
              <w:spacing w:after="0" w:line="240" w:lineRule="auto"/>
              <w:jc w:val="right"/>
              <w:rPr>
                <w:rFonts w:ascii="Calibri" w:eastAsia="Times New Roman" w:hAnsi="Calibri" w:cs="Calibri"/>
                <w:sz w:val="16"/>
                <w:szCs w:val="16"/>
                <w:lang w:eastAsia="hr-HR"/>
              </w:rPr>
            </w:pPr>
            <w:r w:rsidRPr="009F0A74">
              <w:rPr>
                <w:rFonts w:ascii="Calibri" w:eastAsia="Times New Roman" w:hAnsi="Calibri" w:cs="Calibri"/>
                <w:sz w:val="16"/>
                <w:szCs w:val="16"/>
                <w:lang w:eastAsia="hr-HR"/>
              </w:rPr>
              <w:t>0</w:t>
            </w:r>
          </w:p>
        </w:tc>
        <w:tc>
          <w:tcPr>
            <w:tcW w:w="538" w:type="dxa"/>
            <w:tcBorders>
              <w:top w:val="nil"/>
              <w:left w:val="nil"/>
              <w:bottom w:val="single" w:sz="4" w:space="0" w:color="auto"/>
              <w:right w:val="single" w:sz="4" w:space="0" w:color="auto"/>
            </w:tcBorders>
            <w:shd w:val="clear" w:color="000000" w:fill="FFFF99"/>
            <w:noWrap/>
            <w:vAlign w:val="bottom"/>
            <w:hideMark/>
          </w:tcPr>
          <w:p w14:paraId="516B4B00" w14:textId="77777777" w:rsidR="00B27DCD" w:rsidRPr="009F0A74" w:rsidRDefault="00B27DCD" w:rsidP="00B27DCD">
            <w:pPr>
              <w:spacing w:after="0" w:line="240" w:lineRule="auto"/>
              <w:jc w:val="right"/>
              <w:rPr>
                <w:rFonts w:ascii="Calibri" w:eastAsia="Times New Roman" w:hAnsi="Calibri" w:cs="Calibri"/>
                <w:sz w:val="16"/>
                <w:szCs w:val="16"/>
                <w:lang w:eastAsia="hr-HR"/>
              </w:rPr>
            </w:pPr>
            <w:r w:rsidRPr="009F0A74">
              <w:rPr>
                <w:rFonts w:ascii="Calibri" w:eastAsia="Times New Roman" w:hAnsi="Calibri" w:cs="Calibri"/>
                <w:sz w:val="16"/>
                <w:szCs w:val="16"/>
                <w:lang w:eastAsia="hr-HR"/>
              </w:rPr>
              <w:t>0</w:t>
            </w:r>
          </w:p>
        </w:tc>
        <w:tc>
          <w:tcPr>
            <w:tcW w:w="447" w:type="dxa"/>
            <w:tcBorders>
              <w:top w:val="nil"/>
              <w:left w:val="nil"/>
              <w:bottom w:val="single" w:sz="4" w:space="0" w:color="auto"/>
              <w:right w:val="single" w:sz="4" w:space="0" w:color="auto"/>
            </w:tcBorders>
            <w:shd w:val="clear" w:color="000000" w:fill="FFFF99"/>
            <w:noWrap/>
            <w:vAlign w:val="bottom"/>
            <w:hideMark/>
          </w:tcPr>
          <w:p w14:paraId="1C29104D" w14:textId="77777777" w:rsidR="00B27DCD" w:rsidRPr="009F0A74" w:rsidRDefault="00B27DCD" w:rsidP="00B27DCD">
            <w:pPr>
              <w:spacing w:after="0" w:line="240" w:lineRule="auto"/>
              <w:jc w:val="right"/>
              <w:rPr>
                <w:rFonts w:ascii="Calibri" w:eastAsia="Times New Roman" w:hAnsi="Calibri" w:cs="Calibri"/>
                <w:sz w:val="16"/>
                <w:szCs w:val="16"/>
                <w:lang w:eastAsia="hr-HR"/>
              </w:rPr>
            </w:pPr>
            <w:r w:rsidRPr="009F0A74">
              <w:rPr>
                <w:rFonts w:ascii="Calibri" w:eastAsia="Times New Roman" w:hAnsi="Calibri" w:cs="Calibri"/>
                <w:sz w:val="16"/>
                <w:szCs w:val="16"/>
                <w:lang w:eastAsia="hr-HR"/>
              </w:rPr>
              <w:t>0</w:t>
            </w:r>
          </w:p>
        </w:tc>
        <w:tc>
          <w:tcPr>
            <w:tcW w:w="447" w:type="dxa"/>
            <w:tcBorders>
              <w:top w:val="nil"/>
              <w:left w:val="nil"/>
              <w:bottom w:val="single" w:sz="4" w:space="0" w:color="auto"/>
              <w:right w:val="single" w:sz="4" w:space="0" w:color="auto"/>
            </w:tcBorders>
            <w:shd w:val="clear" w:color="000000" w:fill="FFFF99"/>
            <w:noWrap/>
            <w:vAlign w:val="bottom"/>
            <w:hideMark/>
          </w:tcPr>
          <w:p w14:paraId="6E631085" w14:textId="77777777" w:rsidR="00B27DCD" w:rsidRPr="009F0A74" w:rsidRDefault="00B27DCD" w:rsidP="00B27DCD">
            <w:pPr>
              <w:spacing w:after="0" w:line="240" w:lineRule="auto"/>
              <w:jc w:val="right"/>
              <w:rPr>
                <w:rFonts w:ascii="Calibri" w:eastAsia="Times New Roman" w:hAnsi="Calibri" w:cs="Calibri"/>
                <w:sz w:val="16"/>
                <w:szCs w:val="16"/>
                <w:lang w:eastAsia="hr-HR"/>
              </w:rPr>
            </w:pPr>
            <w:r w:rsidRPr="009F0A74">
              <w:rPr>
                <w:rFonts w:ascii="Calibri" w:eastAsia="Times New Roman" w:hAnsi="Calibri" w:cs="Calibri"/>
                <w:sz w:val="16"/>
                <w:szCs w:val="16"/>
                <w:lang w:eastAsia="hr-HR"/>
              </w:rPr>
              <w:t>0</w:t>
            </w:r>
          </w:p>
        </w:tc>
        <w:tc>
          <w:tcPr>
            <w:tcW w:w="400" w:type="dxa"/>
            <w:tcBorders>
              <w:top w:val="nil"/>
              <w:left w:val="nil"/>
              <w:bottom w:val="single" w:sz="4" w:space="0" w:color="auto"/>
              <w:right w:val="single" w:sz="4" w:space="0" w:color="auto"/>
            </w:tcBorders>
            <w:shd w:val="clear" w:color="000000" w:fill="FFFF99"/>
            <w:noWrap/>
            <w:vAlign w:val="bottom"/>
            <w:hideMark/>
          </w:tcPr>
          <w:p w14:paraId="697DA125" w14:textId="77777777" w:rsidR="00B27DCD" w:rsidRPr="009F0A74" w:rsidRDefault="00B27DCD" w:rsidP="00B27DCD">
            <w:pPr>
              <w:spacing w:after="0" w:line="240" w:lineRule="auto"/>
              <w:jc w:val="right"/>
              <w:rPr>
                <w:rFonts w:ascii="Calibri" w:eastAsia="Times New Roman" w:hAnsi="Calibri" w:cs="Calibri"/>
                <w:sz w:val="16"/>
                <w:szCs w:val="16"/>
                <w:lang w:eastAsia="hr-HR"/>
              </w:rPr>
            </w:pPr>
            <w:r w:rsidRPr="009F0A74">
              <w:rPr>
                <w:rFonts w:ascii="Calibri" w:eastAsia="Times New Roman" w:hAnsi="Calibri" w:cs="Calibri"/>
                <w:sz w:val="16"/>
                <w:szCs w:val="16"/>
                <w:lang w:eastAsia="hr-HR"/>
              </w:rPr>
              <w:t>0</w:t>
            </w:r>
          </w:p>
        </w:tc>
        <w:tc>
          <w:tcPr>
            <w:tcW w:w="357" w:type="dxa"/>
            <w:gridSpan w:val="2"/>
            <w:tcBorders>
              <w:top w:val="nil"/>
              <w:left w:val="nil"/>
              <w:bottom w:val="single" w:sz="4" w:space="0" w:color="auto"/>
              <w:right w:val="single" w:sz="4" w:space="0" w:color="auto"/>
            </w:tcBorders>
            <w:shd w:val="clear" w:color="000000" w:fill="FF9900"/>
            <w:noWrap/>
            <w:vAlign w:val="bottom"/>
            <w:hideMark/>
          </w:tcPr>
          <w:p w14:paraId="139BF8C3" w14:textId="77777777" w:rsidR="00B27DCD" w:rsidRPr="009F0A74" w:rsidRDefault="00B27DCD" w:rsidP="00B27DCD">
            <w:pPr>
              <w:spacing w:after="0" w:line="240" w:lineRule="auto"/>
              <w:jc w:val="right"/>
              <w:rPr>
                <w:rFonts w:ascii="Calibri" w:eastAsia="Times New Roman" w:hAnsi="Calibri" w:cs="Calibri"/>
                <w:sz w:val="16"/>
                <w:szCs w:val="16"/>
                <w:lang w:eastAsia="hr-HR"/>
              </w:rPr>
            </w:pPr>
            <w:r w:rsidRPr="009F0A74">
              <w:rPr>
                <w:rFonts w:ascii="Calibri" w:eastAsia="Times New Roman" w:hAnsi="Calibri" w:cs="Calibri"/>
                <w:sz w:val="16"/>
                <w:szCs w:val="16"/>
                <w:lang w:eastAsia="hr-HR"/>
              </w:rPr>
              <w:t>0</w:t>
            </w:r>
          </w:p>
        </w:tc>
        <w:tc>
          <w:tcPr>
            <w:tcW w:w="447" w:type="dxa"/>
            <w:tcBorders>
              <w:top w:val="nil"/>
              <w:left w:val="nil"/>
              <w:bottom w:val="single" w:sz="4" w:space="0" w:color="auto"/>
              <w:right w:val="single" w:sz="4" w:space="0" w:color="auto"/>
            </w:tcBorders>
            <w:shd w:val="clear" w:color="000000" w:fill="FF9900"/>
            <w:noWrap/>
            <w:vAlign w:val="bottom"/>
            <w:hideMark/>
          </w:tcPr>
          <w:p w14:paraId="61A30F07" w14:textId="77777777" w:rsidR="00B27DCD" w:rsidRPr="009F0A74" w:rsidRDefault="00B27DCD" w:rsidP="00B27DCD">
            <w:pPr>
              <w:spacing w:after="0" w:line="240" w:lineRule="auto"/>
              <w:jc w:val="right"/>
              <w:rPr>
                <w:rFonts w:ascii="Calibri" w:eastAsia="Times New Roman" w:hAnsi="Calibri" w:cs="Calibri"/>
                <w:sz w:val="16"/>
                <w:szCs w:val="16"/>
                <w:lang w:eastAsia="hr-HR"/>
              </w:rPr>
            </w:pPr>
            <w:r w:rsidRPr="009F0A74">
              <w:rPr>
                <w:rFonts w:ascii="Calibri" w:eastAsia="Times New Roman" w:hAnsi="Calibri" w:cs="Calibri"/>
                <w:sz w:val="16"/>
                <w:szCs w:val="16"/>
                <w:lang w:eastAsia="hr-HR"/>
              </w:rPr>
              <w:t>0</w:t>
            </w:r>
          </w:p>
        </w:tc>
        <w:tc>
          <w:tcPr>
            <w:tcW w:w="447" w:type="dxa"/>
            <w:tcBorders>
              <w:top w:val="nil"/>
              <w:left w:val="nil"/>
              <w:bottom w:val="single" w:sz="4" w:space="0" w:color="auto"/>
              <w:right w:val="single" w:sz="4" w:space="0" w:color="auto"/>
            </w:tcBorders>
            <w:shd w:val="clear" w:color="000000" w:fill="FF9900"/>
            <w:noWrap/>
            <w:vAlign w:val="bottom"/>
            <w:hideMark/>
          </w:tcPr>
          <w:p w14:paraId="4784769B" w14:textId="77777777" w:rsidR="00B27DCD" w:rsidRPr="009F0A74" w:rsidRDefault="00B27DCD" w:rsidP="00B27DCD">
            <w:pPr>
              <w:spacing w:after="0" w:line="240" w:lineRule="auto"/>
              <w:jc w:val="right"/>
              <w:rPr>
                <w:rFonts w:ascii="Calibri" w:eastAsia="Times New Roman" w:hAnsi="Calibri" w:cs="Calibri"/>
                <w:sz w:val="16"/>
                <w:szCs w:val="16"/>
                <w:lang w:eastAsia="hr-HR"/>
              </w:rPr>
            </w:pPr>
            <w:r w:rsidRPr="009F0A74">
              <w:rPr>
                <w:rFonts w:ascii="Calibri" w:eastAsia="Times New Roman" w:hAnsi="Calibri" w:cs="Calibri"/>
                <w:sz w:val="16"/>
                <w:szCs w:val="16"/>
                <w:lang w:eastAsia="hr-HR"/>
              </w:rPr>
              <w:t>0</w:t>
            </w:r>
          </w:p>
        </w:tc>
        <w:tc>
          <w:tcPr>
            <w:tcW w:w="446" w:type="dxa"/>
            <w:tcBorders>
              <w:top w:val="nil"/>
              <w:left w:val="nil"/>
              <w:bottom w:val="single" w:sz="4" w:space="0" w:color="auto"/>
              <w:right w:val="single" w:sz="4" w:space="0" w:color="auto"/>
            </w:tcBorders>
            <w:shd w:val="clear" w:color="auto" w:fill="auto"/>
            <w:vAlign w:val="bottom"/>
            <w:hideMark/>
          </w:tcPr>
          <w:p w14:paraId="3FC6E3D6" w14:textId="77777777" w:rsidR="00B27DCD" w:rsidRPr="009F0A74" w:rsidRDefault="00B27DCD" w:rsidP="00B27DCD">
            <w:pPr>
              <w:spacing w:after="0" w:line="240" w:lineRule="auto"/>
              <w:jc w:val="right"/>
              <w:rPr>
                <w:rFonts w:ascii="Calibri" w:eastAsia="Times New Roman" w:hAnsi="Calibri" w:cs="Calibri"/>
                <w:b/>
                <w:bCs/>
                <w:sz w:val="16"/>
                <w:szCs w:val="16"/>
                <w:lang w:eastAsia="hr-HR"/>
              </w:rPr>
            </w:pPr>
            <w:r w:rsidRPr="009F0A74">
              <w:rPr>
                <w:rFonts w:ascii="Calibri" w:eastAsia="Times New Roman" w:hAnsi="Calibri" w:cs="Calibri"/>
                <w:b/>
                <w:bCs/>
                <w:sz w:val="16"/>
                <w:szCs w:val="16"/>
                <w:lang w:eastAsia="hr-HR"/>
              </w:rPr>
              <w:t>0</w:t>
            </w:r>
          </w:p>
        </w:tc>
        <w:tc>
          <w:tcPr>
            <w:tcW w:w="447" w:type="dxa"/>
            <w:gridSpan w:val="2"/>
            <w:tcBorders>
              <w:top w:val="nil"/>
              <w:left w:val="nil"/>
              <w:bottom w:val="single" w:sz="4" w:space="0" w:color="auto"/>
              <w:right w:val="single" w:sz="4" w:space="0" w:color="auto"/>
            </w:tcBorders>
            <w:shd w:val="clear" w:color="000000" w:fill="FFFF00"/>
            <w:noWrap/>
            <w:vAlign w:val="bottom"/>
            <w:hideMark/>
          </w:tcPr>
          <w:p w14:paraId="4C1F662D" w14:textId="77777777" w:rsidR="00B27DCD" w:rsidRPr="009F0A74" w:rsidRDefault="00B27DCD" w:rsidP="00B27DCD">
            <w:pPr>
              <w:spacing w:after="0" w:line="240" w:lineRule="auto"/>
              <w:jc w:val="right"/>
              <w:rPr>
                <w:rFonts w:ascii="Calibri" w:eastAsia="Times New Roman" w:hAnsi="Calibri" w:cs="Calibri"/>
                <w:sz w:val="16"/>
                <w:szCs w:val="16"/>
                <w:lang w:eastAsia="hr-HR"/>
              </w:rPr>
            </w:pPr>
            <w:r w:rsidRPr="009F0A74">
              <w:rPr>
                <w:rFonts w:ascii="Calibri" w:eastAsia="Times New Roman" w:hAnsi="Calibri" w:cs="Calibri"/>
                <w:sz w:val="16"/>
                <w:szCs w:val="16"/>
                <w:lang w:eastAsia="hr-HR"/>
              </w:rPr>
              <w:t>0</w:t>
            </w:r>
          </w:p>
        </w:tc>
        <w:tc>
          <w:tcPr>
            <w:tcW w:w="447" w:type="dxa"/>
            <w:tcBorders>
              <w:top w:val="nil"/>
              <w:left w:val="nil"/>
              <w:bottom w:val="single" w:sz="4" w:space="0" w:color="auto"/>
              <w:right w:val="single" w:sz="4" w:space="0" w:color="auto"/>
            </w:tcBorders>
            <w:shd w:val="clear" w:color="000000" w:fill="FFFF00"/>
            <w:noWrap/>
            <w:vAlign w:val="bottom"/>
            <w:hideMark/>
          </w:tcPr>
          <w:p w14:paraId="6B9FB997" w14:textId="77777777" w:rsidR="00B27DCD" w:rsidRPr="009F0A74" w:rsidRDefault="00B27DCD" w:rsidP="00B27DCD">
            <w:pPr>
              <w:spacing w:after="0" w:line="240" w:lineRule="auto"/>
              <w:jc w:val="right"/>
              <w:rPr>
                <w:rFonts w:ascii="Calibri" w:eastAsia="Times New Roman" w:hAnsi="Calibri" w:cs="Calibri"/>
                <w:sz w:val="16"/>
                <w:szCs w:val="16"/>
                <w:lang w:eastAsia="hr-HR"/>
              </w:rPr>
            </w:pPr>
            <w:r w:rsidRPr="009F0A74">
              <w:rPr>
                <w:rFonts w:ascii="Calibri" w:eastAsia="Times New Roman" w:hAnsi="Calibri" w:cs="Calibri"/>
                <w:sz w:val="16"/>
                <w:szCs w:val="16"/>
                <w:lang w:eastAsia="hr-HR"/>
              </w:rPr>
              <w:t>0</w:t>
            </w:r>
          </w:p>
        </w:tc>
        <w:tc>
          <w:tcPr>
            <w:tcW w:w="447" w:type="dxa"/>
            <w:tcBorders>
              <w:top w:val="nil"/>
              <w:left w:val="nil"/>
              <w:bottom w:val="single" w:sz="4" w:space="0" w:color="auto"/>
              <w:right w:val="single" w:sz="4" w:space="0" w:color="auto"/>
            </w:tcBorders>
            <w:shd w:val="clear" w:color="000000" w:fill="FFFF00"/>
            <w:noWrap/>
            <w:vAlign w:val="bottom"/>
            <w:hideMark/>
          </w:tcPr>
          <w:p w14:paraId="699FCF9D" w14:textId="77777777" w:rsidR="00B27DCD" w:rsidRPr="009F0A74" w:rsidRDefault="00B27DCD" w:rsidP="00B27DCD">
            <w:pPr>
              <w:spacing w:after="0" w:line="240" w:lineRule="auto"/>
              <w:jc w:val="right"/>
              <w:rPr>
                <w:rFonts w:ascii="Calibri" w:eastAsia="Times New Roman" w:hAnsi="Calibri" w:cs="Calibri"/>
                <w:sz w:val="16"/>
                <w:szCs w:val="16"/>
                <w:lang w:eastAsia="hr-HR"/>
              </w:rPr>
            </w:pPr>
            <w:r w:rsidRPr="009F0A74">
              <w:rPr>
                <w:rFonts w:ascii="Calibri" w:eastAsia="Times New Roman" w:hAnsi="Calibri" w:cs="Calibri"/>
                <w:sz w:val="16"/>
                <w:szCs w:val="16"/>
                <w:lang w:eastAsia="hr-HR"/>
              </w:rPr>
              <w:t>0</w:t>
            </w:r>
          </w:p>
        </w:tc>
        <w:tc>
          <w:tcPr>
            <w:tcW w:w="446" w:type="dxa"/>
            <w:tcBorders>
              <w:top w:val="nil"/>
              <w:left w:val="nil"/>
              <w:bottom w:val="single" w:sz="4" w:space="0" w:color="auto"/>
              <w:right w:val="single" w:sz="4" w:space="0" w:color="auto"/>
            </w:tcBorders>
            <w:shd w:val="clear" w:color="auto" w:fill="auto"/>
            <w:vAlign w:val="bottom"/>
            <w:hideMark/>
          </w:tcPr>
          <w:p w14:paraId="32EC9A52" w14:textId="77777777" w:rsidR="00B27DCD" w:rsidRPr="009F0A74" w:rsidRDefault="00B27DCD" w:rsidP="00B27DCD">
            <w:pPr>
              <w:spacing w:after="0" w:line="240" w:lineRule="auto"/>
              <w:jc w:val="right"/>
              <w:rPr>
                <w:rFonts w:ascii="Calibri" w:eastAsia="Times New Roman" w:hAnsi="Calibri" w:cs="Calibri"/>
                <w:b/>
                <w:bCs/>
                <w:sz w:val="16"/>
                <w:szCs w:val="16"/>
                <w:lang w:eastAsia="hr-HR"/>
              </w:rPr>
            </w:pPr>
            <w:r w:rsidRPr="009F0A74">
              <w:rPr>
                <w:rFonts w:ascii="Calibri" w:eastAsia="Times New Roman" w:hAnsi="Calibri" w:cs="Calibri"/>
                <w:b/>
                <w:bCs/>
                <w:sz w:val="16"/>
                <w:szCs w:val="16"/>
                <w:lang w:eastAsia="hr-HR"/>
              </w:rPr>
              <w:t>0</w:t>
            </w:r>
          </w:p>
        </w:tc>
        <w:tc>
          <w:tcPr>
            <w:tcW w:w="524" w:type="dxa"/>
            <w:gridSpan w:val="2"/>
            <w:tcBorders>
              <w:top w:val="nil"/>
              <w:left w:val="nil"/>
              <w:bottom w:val="single" w:sz="4" w:space="0" w:color="auto"/>
              <w:right w:val="single" w:sz="4" w:space="0" w:color="auto"/>
            </w:tcBorders>
            <w:shd w:val="clear" w:color="000000" w:fill="FFFF00"/>
            <w:vAlign w:val="bottom"/>
            <w:hideMark/>
          </w:tcPr>
          <w:p w14:paraId="39E8FEED" w14:textId="77777777" w:rsidR="00B27DCD" w:rsidRPr="009F0A74" w:rsidRDefault="00B27DCD" w:rsidP="00B27DCD">
            <w:pPr>
              <w:spacing w:after="0" w:line="240" w:lineRule="auto"/>
              <w:jc w:val="right"/>
              <w:rPr>
                <w:rFonts w:ascii="Calibri" w:eastAsia="Times New Roman" w:hAnsi="Calibri" w:cs="Calibri"/>
                <w:b/>
                <w:bCs/>
                <w:sz w:val="16"/>
                <w:szCs w:val="16"/>
                <w:lang w:eastAsia="hr-HR"/>
              </w:rPr>
            </w:pPr>
            <w:r w:rsidRPr="009F0A74">
              <w:rPr>
                <w:rFonts w:ascii="Calibri" w:eastAsia="Times New Roman" w:hAnsi="Calibri" w:cs="Calibri"/>
                <w:b/>
                <w:bCs/>
                <w:sz w:val="16"/>
                <w:szCs w:val="16"/>
                <w:lang w:eastAsia="hr-HR"/>
              </w:rPr>
              <w:t>0</w:t>
            </w:r>
          </w:p>
        </w:tc>
        <w:tc>
          <w:tcPr>
            <w:tcW w:w="425" w:type="dxa"/>
            <w:gridSpan w:val="2"/>
            <w:tcBorders>
              <w:top w:val="nil"/>
              <w:left w:val="nil"/>
              <w:bottom w:val="single" w:sz="4" w:space="0" w:color="auto"/>
              <w:right w:val="single" w:sz="4" w:space="0" w:color="auto"/>
            </w:tcBorders>
            <w:shd w:val="clear" w:color="000000" w:fill="FF9900"/>
            <w:noWrap/>
            <w:vAlign w:val="bottom"/>
            <w:hideMark/>
          </w:tcPr>
          <w:p w14:paraId="3A889A59" w14:textId="77777777" w:rsidR="00B27DCD" w:rsidRPr="009F0A74" w:rsidRDefault="00B27DCD" w:rsidP="00B27DCD">
            <w:pPr>
              <w:spacing w:after="0" w:line="240" w:lineRule="auto"/>
              <w:jc w:val="right"/>
              <w:rPr>
                <w:rFonts w:ascii="Calibri" w:eastAsia="Times New Roman" w:hAnsi="Calibri" w:cs="Calibri"/>
                <w:sz w:val="16"/>
                <w:szCs w:val="16"/>
                <w:lang w:eastAsia="hr-HR"/>
              </w:rPr>
            </w:pPr>
            <w:r w:rsidRPr="009F0A74">
              <w:rPr>
                <w:rFonts w:ascii="Calibri" w:eastAsia="Times New Roman" w:hAnsi="Calibri" w:cs="Calibri"/>
                <w:sz w:val="16"/>
                <w:szCs w:val="16"/>
                <w:lang w:eastAsia="hr-HR"/>
              </w:rPr>
              <w:t>0</w:t>
            </w:r>
          </w:p>
        </w:tc>
        <w:tc>
          <w:tcPr>
            <w:tcW w:w="501" w:type="dxa"/>
            <w:gridSpan w:val="2"/>
            <w:tcBorders>
              <w:top w:val="nil"/>
              <w:left w:val="nil"/>
              <w:bottom w:val="single" w:sz="4" w:space="0" w:color="auto"/>
              <w:right w:val="single" w:sz="4" w:space="0" w:color="auto"/>
            </w:tcBorders>
            <w:shd w:val="clear" w:color="000000" w:fill="FF9900"/>
            <w:noWrap/>
            <w:vAlign w:val="bottom"/>
            <w:hideMark/>
          </w:tcPr>
          <w:p w14:paraId="2596106A" w14:textId="77777777" w:rsidR="00B27DCD" w:rsidRPr="009F0A74" w:rsidRDefault="00B27DCD" w:rsidP="00B27DCD">
            <w:pPr>
              <w:spacing w:after="0" w:line="240" w:lineRule="auto"/>
              <w:jc w:val="right"/>
              <w:rPr>
                <w:rFonts w:ascii="Calibri" w:eastAsia="Times New Roman" w:hAnsi="Calibri" w:cs="Calibri"/>
                <w:sz w:val="16"/>
                <w:szCs w:val="16"/>
                <w:lang w:eastAsia="hr-HR"/>
              </w:rPr>
            </w:pPr>
            <w:r w:rsidRPr="009F0A74">
              <w:rPr>
                <w:rFonts w:ascii="Calibri" w:eastAsia="Times New Roman" w:hAnsi="Calibri" w:cs="Calibri"/>
                <w:sz w:val="16"/>
                <w:szCs w:val="16"/>
                <w:lang w:eastAsia="hr-HR"/>
              </w:rPr>
              <w:t>0</w:t>
            </w:r>
          </w:p>
        </w:tc>
        <w:tc>
          <w:tcPr>
            <w:tcW w:w="425" w:type="dxa"/>
            <w:tcBorders>
              <w:top w:val="nil"/>
              <w:left w:val="nil"/>
              <w:bottom w:val="single" w:sz="4" w:space="0" w:color="auto"/>
              <w:right w:val="single" w:sz="4" w:space="0" w:color="auto"/>
            </w:tcBorders>
            <w:shd w:val="clear" w:color="000000" w:fill="CCFFFF"/>
            <w:noWrap/>
            <w:vAlign w:val="bottom"/>
            <w:hideMark/>
          </w:tcPr>
          <w:p w14:paraId="0900824F" w14:textId="77777777" w:rsidR="00B27DCD" w:rsidRPr="009F0A74" w:rsidRDefault="00B27DCD" w:rsidP="00B27DCD">
            <w:pPr>
              <w:spacing w:after="0" w:line="240" w:lineRule="auto"/>
              <w:jc w:val="right"/>
              <w:rPr>
                <w:rFonts w:ascii="Calibri" w:eastAsia="Times New Roman" w:hAnsi="Calibri" w:cs="Calibri"/>
                <w:sz w:val="16"/>
                <w:szCs w:val="16"/>
                <w:lang w:eastAsia="hr-HR"/>
              </w:rPr>
            </w:pPr>
            <w:r w:rsidRPr="009F0A74">
              <w:rPr>
                <w:rFonts w:ascii="Calibri" w:eastAsia="Times New Roman" w:hAnsi="Calibri" w:cs="Calibri"/>
                <w:sz w:val="16"/>
                <w:szCs w:val="16"/>
                <w:lang w:eastAsia="hr-HR"/>
              </w:rPr>
              <w:t>0</w:t>
            </w:r>
          </w:p>
        </w:tc>
        <w:tc>
          <w:tcPr>
            <w:tcW w:w="426" w:type="dxa"/>
            <w:tcBorders>
              <w:top w:val="nil"/>
              <w:left w:val="nil"/>
              <w:bottom w:val="single" w:sz="4" w:space="0" w:color="auto"/>
              <w:right w:val="single" w:sz="4" w:space="0" w:color="auto"/>
            </w:tcBorders>
            <w:shd w:val="clear" w:color="000000" w:fill="CCFFFF"/>
            <w:noWrap/>
            <w:vAlign w:val="bottom"/>
            <w:hideMark/>
          </w:tcPr>
          <w:p w14:paraId="7393D555" w14:textId="77777777" w:rsidR="00B27DCD" w:rsidRPr="009F0A74" w:rsidRDefault="00B27DCD" w:rsidP="00B27DCD">
            <w:pPr>
              <w:spacing w:after="0" w:line="240" w:lineRule="auto"/>
              <w:jc w:val="right"/>
              <w:rPr>
                <w:rFonts w:ascii="Calibri" w:eastAsia="Times New Roman" w:hAnsi="Calibri" w:cs="Calibri"/>
                <w:sz w:val="16"/>
                <w:szCs w:val="16"/>
                <w:lang w:eastAsia="hr-HR"/>
              </w:rPr>
            </w:pPr>
            <w:r w:rsidRPr="009F0A74">
              <w:rPr>
                <w:rFonts w:ascii="Calibri" w:eastAsia="Times New Roman" w:hAnsi="Calibri" w:cs="Calibri"/>
                <w:sz w:val="16"/>
                <w:szCs w:val="16"/>
                <w:lang w:eastAsia="hr-HR"/>
              </w:rPr>
              <w:t>0</w:t>
            </w:r>
          </w:p>
        </w:tc>
        <w:tc>
          <w:tcPr>
            <w:tcW w:w="818" w:type="dxa"/>
            <w:gridSpan w:val="2"/>
            <w:tcBorders>
              <w:top w:val="nil"/>
              <w:left w:val="nil"/>
              <w:bottom w:val="single" w:sz="4" w:space="0" w:color="auto"/>
              <w:right w:val="single" w:sz="4" w:space="0" w:color="auto"/>
            </w:tcBorders>
            <w:shd w:val="clear" w:color="000000" w:fill="33CCCC"/>
            <w:noWrap/>
            <w:vAlign w:val="bottom"/>
            <w:hideMark/>
          </w:tcPr>
          <w:p w14:paraId="096C0668" w14:textId="77777777" w:rsidR="00B27DCD" w:rsidRPr="009F0A74" w:rsidRDefault="00B27DCD" w:rsidP="00B27DCD">
            <w:pPr>
              <w:spacing w:after="0" w:line="240" w:lineRule="auto"/>
              <w:jc w:val="right"/>
              <w:rPr>
                <w:rFonts w:ascii="Calibri" w:eastAsia="Times New Roman" w:hAnsi="Calibri" w:cs="Calibri"/>
                <w:sz w:val="16"/>
                <w:szCs w:val="16"/>
                <w:lang w:eastAsia="hr-HR"/>
              </w:rPr>
            </w:pPr>
            <w:r w:rsidRPr="009F0A74">
              <w:rPr>
                <w:rFonts w:ascii="Calibri" w:eastAsia="Times New Roman" w:hAnsi="Calibri" w:cs="Calibri"/>
                <w:sz w:val="16"/>
                <w:szCs w:val="16"/>
                <w:lang w:eastAsia="hr-HR"/>
              </w:rPr>
              <w:t>0</w:t>
            </w:r>
          </w:p>
        </w:tc>
        <w:tc>
          <w:tcPr>
            <w:tcW w:w="818" w:type="dxa"/>
            <w:gridSpan w:val="2"/>
            <w:tcBorders>
              <w:top w:val="nil"/>
              <w:left w:val="nil"/>
              <w:bottom w:val="single" w:sz="4" w:space="0" w:color="auto"/>
              <w:right w:val="single" w:sz="8" w:space="0" w:color="auto"/>
            </w:tcBorders>
            <w:shd w:val="clear" w:color="000000" w:fill="33CCCC"/>
            <w:noWrap/>
            <w:vAlign w:val="bottom"/>
            <w:hideMark/>
          </w:tcPr>
          <w:p w14:paraId="103E863F" w14:textId="77777777" w:rsidR="00B27DCD" w:rsidRPr="009F0A74" w:rsidRDefault="00B27DCD" w:rsidP="00B27DCD">
            <w:pPr>
              <w:spacing w:after="0" w:line="240" w:lineRule="auto"/>
              <w:jc w:val="right"/>
              <w:rPr>
                <w:rFonts w:ascii="Calibri" w:eastAsia="Times New Roman" w:hAnsi="Calibri" w:cs="Calibri"/>
                <w:sz w:val="16"/>
                <w:szCs w:val="16"/>
                <w:lang w:eastAsia="hr-HR"/>
              </w:rPr>
            </w:pPr>
            <w:r w:rsidRPr="009F0A74">
              <w:rPr>
                <w:rFonts w:ascii="Calibri" w:eastAsia="Times New Roman" w:hAnsi="Calibri" w:cs="Calibri"/>
                <w:sz w:val="16"/>
                <w:szCs w:val="16"/>
                <w:lang w:eastAsia="hr-HR"/>
              </w:rPr>
              <w:t>0</w:t>
            </w:r>
          </w:p>
        </w:tc>
        <w:tc>
          <w:tcPr>
            <w:tcW w:w="236" w:type="dxa"/>
            <w:gridSpan w:val="3"/>
            <w:vAlign w:val="center"/>
            <w:hideMark/>
          </w:tcPr>
          <w:p w14:paraId="49B0D6C8" w14:textId="77777777" w:rsidR="00B27DCD" w:rsidRPr="009F0A74" w:rsidRDefault="00B27DCD" w:rsidP="00B27DCD">
            <w:pPr>
              <w:spacing w:after="0" w:line="240" w:lineRule="auto"/>
              <w:rPr>
                <w:rFonts w:ascii="Times New Roman" w:eastAsia="Times New Roman" w:hAnsi="Times New Roman" w:cs="Times New Roman"/>
                <w:sz w:val="16"/>
                <w:szCs w:val="16"/>
                <w:lang w:eastAsia="hr-HR"/>
              </w:rPr>
            </w:pPr>
          </w:p>
        </w:tc>
      </w:tr>
      <w:tr w:rsidR="009F0A74" w:rsidRPr="009F0A74" w14:paraId="7AD76FBD" w14:textId="77777777" w:rsidTr="009F0A74">
        <w:trPr>
          <w:trHeight w:val="315"/>
        </w:trPr>
        <w:tc>
          <w:tcPr>
            <w:tcW w:w="840" w:type="dxa"/>
            <w:tcBorders>
              <w:top w:val="single" w:sz="4" w:space="0" w:color="auto"/>
              <w:left w:val="single" w:sz="8" w:space="0" w:color="auto"/>
              <w:bottom w:val="single" w:sz="4" w:space="0" w:color="auto"/>
              <w:right w:val="single" w:sz="4" w:space="0" w:color="000000"/>
            </w:tcBorders>
            <w:shd w:val="clear" w:color="000000" w:fill="CCFFCC"/>
            <w:vAlign w:val="center"/>
            <w:hideMark/>
          </w:tcPr>
          <w:p w14:paraId="6B95C871" w14:textId="77777777" w:rsidR="00B27DCD" w:rsidRPr="009F0A74" w:rsidRDefault="00B27DCD" w:rsidP="00B27DCD">
            <w:pPr>
              <w:spacing w:after="0" w:line="240" w:lineRule="auto"/>
              <w:rPr>
                <w:rFonts w:ascii="Calibri" w:eastAsia="Times New Roman" w:hAnsi="Calibri" w:cs="Calibri"/>
                <w:sz w:val="16"/>
                <w:szCs w:val="16"/>
                <w:lang w:eastAsia="hr-HR"/>
              </w:rPr>
            </w:pPr>
            <w:r w:rsidRPr="009F0A74">
              <w:rPr>
                <w:rFonts w:ascii="Calibri" w:eastAsia="Times New Roman" w:hAnsi="Calibri" w:cs="Calibri"/>
                <w:sz w:val="16"/>
                <w:szCs w:val="16"/>
                <w:lang w:eastAsia="hr-HR"/>
              </w:rPr>
              <w:t>Nacionalno podrijetlo</w:t>
            </w:r>
          </w:p>
        </w:tc>
        <w:tc>
          <w:tcPr>
            <w:tcW w:w="540" w:type="dxa"/>
            <w:tcBorders>
              <w:top w:val="nil"/>
              <w:left w:val="nil"/>
              <w:bottom w:val="single" w:sz="4" w:space="0" w:color="auto"/>
              <w:right w:val="single" w:sz="4" w:space="0" w:color="auto"/>
            </w:tcBorders>
            <w:shd w:val="clear" w:color="000000" w:fill="FFFF00"/>
            <w:vAlign w:val="bottom"/>
            <w:hideMark/>
          </w:tcPr>
          <w:p w14:paraId="6C377B61" w14:textId="77777777" w:rsidR="00B27DCD" w:rsidRPr="009F0A74" w:rsidRDefault="00B27DCD" w:rsidP="00B27DCD">
            <w:pPr>
              <w:spacing w:after="0" w:line="240" w:lineRule="auto"/>
              <w:jc w:val="right"/>
              <w:rPr>
                <w:rFonts w:ascii="Calibri" w:eastAsia="Times New Roman" w:hAnsi="Calibri" w:cs="Calibri"/>
                <w:sz w:val="16"/>
                <w:szCs w:val="16"/>
                <w:lang w:eastAsia="hr-HR"/>
              </w:rPr>
            </w:pPr>
            <w:r w:rsidRPr="009F0A74">
              <w:rPr>
                <w:rFonts w:ascii="Calibri" w:eastAsia="Times New Roman" w:hAnsi="Calibri" w:cs="Calibri"/>
                <w:sz w:val="16"/>
                <w:szCs w:val="16"/>
                <w:lang w:eastAsia="hr-HR"/>
              </w:rPr>
              <w:t>1</w:t>
            </w:r>
          </w:p>
        </w:tc>
        <w:tc>
          <w:tcPr>
            <w:tcW w:w="444" w:type="dxa"/>
            <w:tcBorders>
              <w:top w:val="nil"/>
              <w:left w:val="nil"/>
              <w:bottom w:val="single" w:sz="4" w:space="0" w:color="auto"/>
              <w:right w:val="single" w:sz="4" w:space="0" w:color="auto"/>
            </w:tcBorders>
            <w:shd w:val="clear" w:color="000000" w:fill="FFCC99"/>
            <w:noWrap/>
            <w:vAlign w:val="bottom"/>
            <w:hideMark/>
          </w:tcPr>
          <w:p w14:paraId="27851A79" w14:textId="77777777" w:rsidR="00B27DCD" w:rsidRPr="009F0A74" w:rsidRDefault="00B27DCD" w:rsidP="00B27DCD">
            <w:pPr>
              <w:spacing w:after="0" w:line="240" w:lineRule="auto"/>
              <w:jc w:val="right"/>
              <w:rPr>
                <w:rFonts w:ascii="Calibri" w:eastAsia="Times New Roman" w:hAnsi="Calibri" w:cs="Calibri"/>
                <w:sz w:val="16"/>
                <w:szCs w:val="16"/>
                <w:lang w:eastAsia="hr-HR"/>
              </w:rPr>
            </w:pPr>
            <w:r w:rsidRPr="009F0A74">
              <w:rPr>
                <w:rFonts w:ascii="Calibri" w:eastAsia="Times New Roman" w:hAnsi="Calibri" w:cs="Calibri"/>
                <w:sz w:val="16"/>
                <w:szCs w:val="16"/>
                <w:lang w:eastAsia="hr-HR"/>
              </w:rPr>
              <w:t>2</w:t>
            </w:r>
          </w:p>
        </w:tc>
        <w:tc>
          <w:tcPr>
            <w:tcW w:w="433" w:type="dxa"/>
            <w:tcBorders>
              <w:top w:val="nil"/>
              <w:left w:val="nil"/>
              <w:bottom w:val="single" w:sz="4" w:space="0" w:color="auto"/>
              <w:right w:val="single" w:sz="4" w:space="0" w:color="auto"/>
            </w:tcBorders>
            <w:shd w:val="clear" w:color="000000" w:fill="CCFFFF"/>
            <w:noWrap/>
            <w:vAlign w:val="bottom"/>
            <w:hideMark/>
          </w:tcPr>
          <w:p w14:paraId="38554C87" w14:textId="77777777" w:rsidR="00B27DCD" w:rsidRPr="009F0A74" w:rsidRDefault="00B27DCD" w:rsidP="00B27DCD">
            <w:pPr>
              <w:spacing w:after="0" w:line="240" w:lineRule="auto"/>
              <w:jc w:val="right"/>
              <w:rPr>
                <w:rFonts w:ascii="Calibri" w:eastAsia="Times New Roman" w:hAnsi="Calibri" w:cs="Calibri"/>
                <w:sz w:val="16"/>
                <w:szCs w:val="16"/>
                <w:lang w:eastAsia="hr-HR"/>
              </w:rPr>
            </w:pPr>
            <w:r w:rsidRPr="009F0A74">
              <w:rPr>
                <w:rFonts w:ascii="Calibri" w:eastAsia="Times New Roman" w:hAnsi="Calibri" w:cs="Calibri"/>
                <w:sz w:val="16"/>
                <w:szCs w:val="16"/>
                <w:lang w:eastAsia="hr-HR"/>
              </w:rPr>
              <w:t>0</w:t>
            </w:r>
          </w:p>
        </w:tc>
        <w:tc>
          <w:tcPr>
            <w:tcW w:w="324" w:type="dxa"/>
            <w:tcBorders>
              <w:top w:val="nil"/>
              <w:left w:val="nil"/>
              <w:bottom w:val="single" w:sz="4" w:space="0" w:color="auto"/>
              <w:right w:val="single" w:sz="4" w:space="0" w:color="auto"/>
            </w:tcBorders>
            <w:shd w:val="clear" w:color="000000" w:fill="CCFFFF"/>
            <w:noWrap/>
            <w:vAlign w:val="bottom"/>
            <w:hideMark/>
          </w:tcPr>
          <w:p w14:paraId="3B65B634" w14:textId="77777777" w:rsidR="00B27DCD" w:rsidRPr="009F0A74" w:rsidRDefault="00B27DCD" w:rsidP="00B27DCD">
            <w:pPr>
              <w:spacing w:after="0" w:line="240" w:lineRule="auto"/>
              <w:jc w:val="right"/>
              <w:rPr>
                <w:rFonts w:ascii="Calibri" w:eastAsia="Times New Roman" w:hAnsi="Calibri" w:cs="Calibri"/>
                <w:sz w:val="16"/>
                <w:szCs w:val="16"/>
                <w:lang w:eastAsia="hr-HR"/>
              </w:rPr>
            </w:pPr>
            <w:r w:rsidRPr="009F0A74">
              <w:rPr>
                <w:rFonts w:ascii="Calibri" w:eastAsia="Times New Roman" w:hAnsi="Calibri" w:cs="Calibri"/>
                <w:sz w:val="16"/>
                <w:szCs w:val="16"/>
                <w:lang w:eastAsia="hr-HR"/>
              </w:rPr>
              <w:t>0</w:t>
            </w:r>
          </w:p>
        </w:tc>
        <w:tc>
          <w:tcPr>
            <w:tcW w:w="385" w:type="dxa"/>
            <w:gridSpan w:val="2"/>
            <w:tcBorders>
              <w:top w:val="nil"/>
              <w:left w:val="nil"/>
              <w:bottom w:val="single" w:sz="4" w:space="0" w:color="auto"/>
              <w:right w:val="single" w:sz="4" w:space="0" w:color="auto"/>
            </w:tcBorders>
            <w:shd w:val="clear" w:color="000000" w:fill="FFFF99"/>
            <w:noWrap/>
            <w:vAlign w:val="bottom"/>
            <w:hideMark/>
          </w:tcPr>
          <w:p w14:paraId="480BB697" w14:textId="77777777" w:rsidR="00B27DCD" w:rsidRPr="009F0A74" w:rsidRDefault="00B27DCD" w:rsidP="00B27DCD">
            <w:pPr>
              <w:spacing w:after="0" w:line="240" w:lineRule="auto"/>
              <w:jc w:val="right"/>
              <w:rPr>
                <w:rFonts w:ascii="Calibri" w:eastAsia="Times New Roman" w:hAnsi="Calibri" w:cs="Calibri"/>
                <w:sz w:val="16"/>
                <w:szCs w:val="16"/>
                <w:lang w:eastAsia="hr-HR"/>
              </w:rPr>
            </w:pPr>
            <w:r w:rsidRPr="009F0A74">
              <w:rPr>
                <w:rFonts w:ascii="Calibri" w:eastAsia="Times New Roman" w:hAnsi="Calibri" w:cs="Calibri"/>
                <w:sz w:val="16"/>
                <w:szCs w:val="16"/>
                <w:lang w:eastAsia="hr-HR"/>
              </w:rPr>
              <w:t>0</w:t>
            </w:r>
          </w:p>
        </w:tc>
        <w:tc>
          <w:tcPr>
            <w:tcW w:w="334" w:type="dxa"/>
            <w:tcBorders>
              <w:top w:val="nil"/>
              <w:left w:val="nil"/>
              <w:bottom w:val="single" w:sz="4" w:space="0" w:color="auto"/>
              <w:right w:val="single" w:sz="4" w:space="0" w:color="auto"/>
            </w:tcBorders>
            <w:shd w:val="clear" w:color="000000" w:fill="FFFF99"/>
            <w:noWrap/>
            <w:vAlign w:val="bottom"/>
            <w:hideMark/>
          </w:tcPr>
          <w:p w14:paraId="0468A68F" w14:textId="77777777" w:rsidR="00B27DCD" w:rsidRPr="009F0A74" w:rsidRDefault="00B27DCD" w:rsidP="00B27DCD">
            <w:pPr>
              <w:spacing w:after="0" w:line="240" w:lineRule="auto"/>
              <w:jc w:val="right"/>
              <w:rPr>
                <w:rFonts w:ascii="Calibri" w:eastAsia="Times New Roman" w:hAnsi="Calibri" w:cs="Calibri"/>
                <w:sz w:val="16"/>
                <w:szCs w:val="16"/>
                <w:lang w:eastAsia="hr-HR"/>
              </w:rPr>
            </w:pPr>
            <w:r w:rsidRPr="009F0A74">
              <w:rPr>
                <w:rFonts w:ascii="Calibri" w:eastAsia="Times New Roman" w:hAnsi="Calibri" w:cs="Calibri"/>
                <w:sz w:val="16"/>
                <w:szCs w:val="16"/>
                <w:lang w:eastAsia="hr-HR"/>
              </w:rPr>
              <w:t>0</w:t>
            </w:r>
          </w:p>
        </w:tc>
        <w:tc>
          <w:tcPr>
            <w:tcW w:w="658" w:type="dxa"/>
            <w:tcBorders>
              <w:top w:val="nil"/>
              <w:left w:val="nil"/>
              <w:bottom w:val="single" w:sz="4" w:space="0" w:color="auto"/>
              <w:right w:val="single" w:sz="4" w:space="0" w:color="auto"/>
            </w:tcBorders>
            <w:shd w:val="clear" w:color="000000" w:fill="FFFF99"/>
            <w:noWrap/>
            <w:vAlign w:val="bottom"/>
            <w:hideMark/>
          </w:tcPr>
          <w:p w14:paraId="3DCA7E69" w14:textId="77777777" w:rsidR="00B27DCD" w:rsidRPr="009F0A74" w:rsidRDefault="00B27DCD" w:rsidP="00B27DCD">
            <w:pPr>
              <w:spacing w:after="0" w:line="240" w:lineRule="auto"/>
              <w:jc w:val="right"/>
              <w:rPr>
                <w:rFonts w:ascii="Calibri" w:eastAsia="Times New Roman" w:hAnsi="Calibri" w:cs="Calibri"/>
                <w:sz w:val="16"/>
                <w:szCs w:val="16"/>
                <w:lang w:eastAsia="hr-HR"/>
              </w:rPr>
            </w:pPr>
            <w:r w:rsidRPr="009F0A74">
              <w:rPr>
                <w:rFonts w:ascii="Calibri" w:eastAsia="Times New Roman" w:hAnsi="Calibri" w:cs="Calibri"/>
                <w:sz w:val="16"/>
                <w:szCs w:val="16"/>
                <w:lang w:eastAsia="hr-HR"/>
              </w:rPr>
              <w:t>0</w:t>
            </w:r>
          </w:p>
        </w:tc>
        <w:tc>
          <w:tcPr>
            <w:tcW w:w="447" w:type="dxa"/>
            <w:tcBorders>
              <w:top w:val="nil"/>
              <w:left w:val="nil"/>
              <w:bottom w:val="single" w:sz="4" w:space="0" w:color="auto"/>
              <w:right w:val="single" w:sz="4" w:space="0" w:color="auto"/>
            </w:tcBorders>
            <w:shd w:val="clear" w:color="000000" w:fill="FFFF99"/>
            <w:noWrap/>
            <w:vAlign w:val="bottom"/>
            <w:hideMark/>
          </w:tcPr>
          <w:p w14:paraId="1C606068" w14:textId="77777777" w:rsidR="00B27DCD" w:rsidRPr="009F0A74" w:rsidRDefault="00B27DCD" w:rsidP="00B27DCD">
            <w:pPr>
              <w:spacing w:after="0" w:line="240" w:lineRule="auto"/>
              <w:jc w:val="right"/>
              <w:rPr>
                <w:rFonts w:ascii="Calibri" w:eastAsia="Times New Roman" w:hAnsi="Calibri" w:cs="Calibri"/>
                <w:sz w:val="16"/>
                <w:szCs w:val="16"/>
                <w:lang w:eastAsia="hr-HR"/>
              </w:rPr>
            </w:pPr>
            <w:r w:rsidRPr="009F0A74">
              <w:rPr>
                <w:rFonts w:ascii="Calibri" w:eastAsia="Times New Roman" w:hAnsi="Calibri" w:cs="Calibri"/>
                <w:sz w:val="16"/>
                <w:szCs w:val="16"/>
                <w:lang w:eastAsia="hr-HR"/>
              </w:rPr>
              <w:t>0</w:t>
            </w:r>
          </w:p>
        </w:tc>
        <w:tc>
          <w:tcPr>
            <w:tcW w:w="644" w:type="dxa"/>
            <w:gridSpan w:val="2"/>
            <w:tcBorders>
              <w:top w:val="nil"/>
              <w:left w:val="nil"/>
              <w:bottom w:val="single" w:sz="4" w:space="0" w:color="auto"/>
              <w:right w:val="single" w:sz="4" w:space="0" w:color="auto"/>
            </w:tcBorders>
            <w:shd w:val="clear" w:color="000000" w:fill="FFFF99"/>
            <w:noWrap/>
            <w:vAlign w:val="bottom"/>
            <w:hideMark/>
          </w:tcPr>
          <w:p w14:paraId="385F3C97" w14:textId="77777777" w:rsidR="00B27DCD" w:rsidRPr="009F0A74" w:rsidRDefault="00B27DCD" w:rsidP="00B27DCD">
            <w:pPr>
              <w:spacing w:after="0" w:line="240" w:lineRule="auto"/>
              <w:jc w:val="right"/>
              <w:rPr>
                <w:rFonts w:ascii="Calibri" w:eastAsia="Times New Roman" w:hAnsi="Calibri" w:cs="Calibri"/>
                <w:sz w:val="16"/>
                <w:szCs w:val="16"/>
                <w:lang w:eastAsia="hr-HR"/>
              </w:rPr>
            </w:pPr>
            <w:r w:rsidRPr="009F0A74">
              <w:rPr>
                <w:rFonts w:ascii="Calibri" w:eastAsia="Times New Roman" w:hAnsi="Calibri" w:cs="Calibri"/>
                <w:sz w:val="16"/>
                <w:szCs w:val="16"/>
                <w:lang w:eastAsia="hr-HR"/>
              </w:rPr>
              <w:t>0</w:t>
            </w:r>
          </w:p>
        </w:tc>
        <w:tc>
          <w:tcPr>
            <w:tcW w:w="452" w:type="dxa"/>
            <w:tcBorders>
              <w:top w:val="nil"/>
              <w:left w:val="nil"/>
              <w:bottom w:val="single" w:sz="4" w:space="0" w:color="auto"/>
              <w:right w:val="single" w:sz="4" w:space="0" w:color="auto"/>
            </w:tcBorders>
            <w:shd w:val="clear" w:color="000000" w:fill="FFFF99"/>
            <w:noWrap/>
            <w:vAlign w:val="bottom"/>
            <w:hideMark/>
          </w:tcPr>
          <w:p w14:paraId="38A43948" w14:textId="77777777" w:rsidR="00B27DCD" w:rsidRPr="009F0A74" w:rsidRDefault="00B27DCD" w:rsidP="00B27DCD">
            <w:pPr>
              <w:spacing w:after="0" w:line="240" w:lineRule="auto"/>
              <w:jc w:val="right"/>
              <w:rPr>
                <w:rFonts w:ascii="Calibri" w:eastAsia="Times New Roman" w:hAnsi="Calibri" w:cs="Calibri"/>
                <w:sz w:val="16"/>
                <w:szCs w:val="16"/>
                <w:lang w:eastAsia="hr-HR"/>
              </w:rPr>
            </w:pPr>
            <w:r w:rsidRPr="009F0A74">
              <w:rPr>
                <w:rFonts w:ascii="Calibri" w:eastAsia="Times New Roman" w:hAnsi="Calibri" w:cs="Calibri"/>
                <w:sz w:val="16"/>
                <w:szCs w:val="16"/>
                <w:lang w:eastAsia="hr-HR"/>
              </w:rPr>
              <w:t>0</w:t>
            </w:r>
          </w:p>
        </w:tc>
        <w:tc>
          <w:tcPr>
            <w:tcW w:w="538" w:type="dxa"/>
            <w:tcBorders>
              <w:top w:val="nil"/>
              <w:left w:val="nil"/>
              <w:bottom w:val="single" w:sz="4" w:space="0" w:color="auto"/>
              <w:right w:val="single" w:sz="4" w:space="0" w:color="auto"/>
            </w:tcBorders>
            <w:shd w:val="clear" w:color="000000" w:fill="FFFF99"/>
            <w:noWrap/>
            <w:vAlign w:val="bottom"/>
            <w:hideMark/>
          </w:tcPr>
          <w:p w14:paraId="0F36637D" w14:textId="77777777" w:rsidR="00B27DCD" w:rsidRPr="009F0A74" w:rsidRDefault="00B27DCD" w:rsidP="00B27DCD">
            <w:pPr>
              <w:spacing w:after="0" w:line="240" w:lineRule="auto"/>
              <w:jc w:val="right"/>
              <w:rPr>
                <w:rFonts w:ascii="Calibri" w:eastAsia="Times New Roman" w:hAnsi="Calibri" w:cs="Calibri"/>
                <w:sz w:val="16"/>
                <w:szCs w:val="16"/>
                <w:lang w:eastAsia="hr-HR"/>
              </w:rPr>
            </w:pPr>
            <w:r w:rsidRPr="009F0A74">
              <w:rPr>
                <w:rFonts w:ascii="Calibri" w:eastAsia="Times New Roman" w:hAnsi="Calibri" w:cs="Calibri"/>
                <w:sz w:val="16"/>
                <w:szCs w:val="16"/>
                <w:lang w:eastAsia="hr-HR"/>
              </w:rPr>
              <w:t>0</w:t>
            </w:r>
          </w:p>
        </w:tc>
        <w:tc>
          <w:tcPr>
            <w:tcW w:w="447" w:type="dxa"/>
            <w:tcBorders>
              <w:top w:val="nil"/>
              <w:left w:val="nil"/>
              <w:bottom w:val="single" w:sz="4" w:space="0" w:color="auto"/>
              <w:right w:val="single" w:sz="4" w:space="0" w:color="auto"/>
            </w:tcBorders>
            <w:shd w:val="clear" w:color="000000" w:fill="FFFF99"/>
            <w:noWrap/>
            <w:vAlign w:val="bottom"/>
            <w:hideMark/>
          </w:tcPr>
          <w:p w14:paraId="34936E34" w14:textId="77777777" w:rsidR="00B27DCD" w:rsidRPr="009F0A74" w:rsidRDefault="00B27DCD" w:rsidP="00B27DCD">
            <w:pPr>
              <w:spacing w:after="0" w:line="240" w:lineRule="auto"/>
              <w:jc w:val="right"/>
              <w:rPr>
                <w:rFonts w:ascii="Calibri" w:eastAsia="Times New Roman" w:hAnsi="Calibri" w:cs="Calibri"/>
                <w:sz w:val="16"/>
                <w:szCs w:val="16"/>
                <w:lang w:eastAsia="hr-HR"/>
              </w:rPr>
            </w:pPr>
            <w:r w:rsidRPr="009F0A74">
              <w:rPr>
                <w:rFonts w:ascii="Calibri" w:eastAsia="Times New Roman" w:hAnsi="Calibri" w:cs="Calibri"/>
                <w:sz w:val="16"/>
                <w:szCs w:val="16"/>
                <w:lang w:eastAsia="hr-HR"/>
              </w:rPr>
              <w:t>0</w:t>
            </w:r>
          </w:p>
        </w:tc>
        <w:tc>
          <w:tcPr>
            <w:tcW w:w="447" w:type="dxa"/>
            <w:tcBorders>
              <w:top w:val="nil"/>
              <w:left w:val="nil"/>
              <w:bottom w:val="single" w:sz="4" w:space="0" w:color="auto"/>
              <w:right w:val="single" w:sz="4" w:space="0" w:color="auto"/>
            </w:tcBorders>
            <w:shd w:val="clear" w:color="000000" w:fill="FFFF99"/>
            <w:noWrap/>
            <w:vAlign w:val="bottom"/>
            <w:hideMark/>
          </w:tcPr>
          <w:p w14:paraId="16F798C9" w14:textId="77777777" w:rsidR="00B27DCD" w:rsidRPr="009F0A74" w:rsidRDefault="00B27DCD" w:rsidP="00B27DCD">
            <w:pPr>
              <w:spacing w:after="0" w:line="240" w:lineRule="auto"/>
              <w:jc w:val="right"/>
              <w:rPr>
                <w:rFonts w:ascii="Calibri" w:eastAsia="Times New Roman" w:hAnsi="Calibri" w:cs="Calibri"/>
                <w:sz w:val="16"/>
                <w:szCs w:val="16"/>
                <w:lang w:eastAsia="hr-HR"/>
              </w:rPr>
            </w:pPr>
            <w:r w:rsidRPr="009F0A74">
              <w:rPr>
                <w:rFonts w:ascii="Calibri" w:eastAsia="Times New Roman" w:hAnsi="Calibri" w:cs="Calibri"/>
                <w:sz w:val="16"/>
                <w:szCs w:val="16"/>
                <w:lang w:eastAsia="hr-HR"/>
              </w:rPr>
              <w:t>2</w:t>
            </w:r>
          </w:p>
        </w:tc>
        <w:tc>
          <w:tcPr>
            <w:tcW w:w="400" w:type="dxa"/>
            <w:tcBorders>
              <w:top w:val="nil"/>
              <w:left w:val="nil"/>
              <w:bottom w:val="single" w:sz="4" w:space="0" w:color="auto"/>
              <w:right w:val="single" w:sz="4" w:space="0" w:color="auto"/>
            </w:tcBorders>
            <w:shd w:val="clear" w:color="000000" w:fill="FFFF99"/>
            <w:noWrap/>
            <w:vAlign w:val="bottom"/>
            <w:hideMark/>
          </w:tcPr>
          <w:p w14:paraId="33AD0CF8" w14:textId="77777777" w:rsidR="00B27DCD" w:rsidRPr="009F0A74" w:rsidRDefault="00B27DCD" w:rsidP="00B27DCD">
            <w:pPr>
              <w:spacing w:after="0" w:line="240" w:lineRule="auto"/>
              <w:jc w:val="right"/>
              <w:rPr>
                <w:rFonts w:ascii="Calibri" w:eastAsia="Times New Roman" w:hAnsi="Calibri" w:cs="Calibri"/>
                <w:sz w:val="16"/>
                <w:szCs w:val="16"/>
                <w:lang w:eastAsia="hr-HR"/>
              </w:rPr>
            </w:pPr>
            <w:r w:rsidRPr="009F0A74">
              <w:rPr>
                <w:rFonts w:ascii="Calibri" w:eastAsia="Times New Roman" w:hAnsi="Calibri" w:cs="Calibri"/>
                <w:sz w:val="16"/>
                <w:szCs w:val="16"/>
                <w:lang w:eastAsia="hr-HR"/>
              </w:rPr>
              <w:t>0</w:t>
            </w:r>
          </w:p>
        </w:tc>
        <w:tc>
          <w:tcPr>
            <w:tcW w:w="357" w:type="dxa"/>
            <w:gridSpan w:val="2"/>
            <w:tcBorders>
              <w:top w:val="nil"/>
              <w:left w:val="nil"/>
              <w:bottom w:val="single" w:sz="4" w:space="0" w:color="auto"/>
              <w:right w:val="single" w:sz="4" w:space="0" w:color="auto"/>
            </w:tcBorders>
            <w:shd w:val="clear" w:color="000000" w:fill="FF9900"/>
            <w:noWrap/>
            <w:vAlign w:val="bottom"/>
            <w:hideMark/>
          </w:tcPr>
          <w:p w14:paraId="10D7578B" w14:textId="77777777" w:rsidR="00B27DCD" w:rsidRPr="009F0A74" w:rsidRDefault="00B27DCD" w:rsidP="00B27DCD">
            <w:pPr>
              <w:spacing w:after="0" w:line="240" w:lineRule="auto"/>
              <w:jc w:val="right"/>
              <w:rPr>
                <w:rFonts w:ascii="Calibri" w:eastAsia="Times New Roman" w:hAnsi="Calibri" w:cs="Calibri"/>
                <w:sz w:val="16"/>
                <w:szCs w:val="16"/>
                <w:lang w:eastAsia="hr-HR"/>
              </w:rPr>
            </w:pPr>
            <w:r w:rsidRPr="009F0A74">
              <w:rPr>
                <w:rFonts w:ascii="Calibri" w:eastAsia="Times New Roman" w:hAnsi="Calibri" w:cs="Calibri"/>
                <w:sz w:val="16"/>
                <w:szCs w:val="16"/>
                <w:lang w:eastAsia="hr-HR"/>
              </w:rPr>
              <w:t>2</w:t>
            </w:r>
          </w:p>
        </w:tc>
        <w:tc>
          <w:tcPr>
            <w:tcW w:w="447" w:type="dxa"/>
            <w:tcBorders>
              <w:top w:val="nil"/>
              <w:left w:val="nil"/>
              <w:bottom w:val="single" w:sz="4" w:space="0" w:color="auto"/>
              <w:right w:val="single" w:sz="4" w:space="0" w:color="auto"/>
            </w:tcBorders>
            <w:shd w:val="clear" w:color="000000" w:fill="FF9900"/>
            <w:noWrap/>
            <w:vAlign w:val="bottom"/>
            <w:hideMark/>
          </w:tcPr>
          <w:p w14:paraId="304633FB" w14:textId="77777777" w:rsidR="00B27DCD" w:rsidRPr="009F0A74" w:rsidRDefault="00B27DCD" w:rsidP="00B27DCD">
            <w:pPr>
              <w:spacing w:after="0" w:line="240" w:lineRule="auto"/>
              <w:jc w:val="right"/>
              <w:rPr>
                <w:rFonts w:ascii="Calibri" w:eastAsia="Times New Roman" w:hAnsi="Calibri" w:cs="Calibri"/>
                <w:sz w:val="16"/>
                <w:szCs w:val="16"/>
                <w:lang w:eastAsia="hr-HR"/>
              </w:rPr>
            </w:pPr>
            <w:r w:rsidRPr="009F0A74">
              <w:rPr>
                <w:rFonts w:ascii="Calibri" w:eastAsia="Times New Roman" w:hAnsi="Calibri" w:cs="Calibri"/>
                <w:sz w:val="16"/>
                <w:szCs w:val="16"/>
                <w:lang w:eastAsia="hr-HR"/>
              </w:rPr>
              <w:t>0</w:t>
            </w:r>
          </w:p>
        </w:tc>
        <w:tc>
          <w:tcPr>
            <w:tcW w:w="447" w:type="dxa"/>
            <w:tcBorders>
              <w:top w:val="nil"/>
              <w:left w:val="nil"/>
              <w:bottom w:val="single" w:sz="4" w:space="0" w:color="auto"/>
              <w:right w:val="single" w:sz="4" w:space="0" w:color="auto"/>
            </w:tcBorders>
            <w:shd w:val="clear" w:color="000000" w:fill="FF9900"/>
            <w:noWrap/>
            <w:vAlign w:val="bottom"/>
            <w:hideMark/>
          </w:tcPr>
          <w:p w14:paraId="1044FEC6" w14:textId="77777777" w:rsidR="00B27DCD" w:rsidRPr="009F0A74" w:rsidRDefault="00B27DCD" w:rsidP="00B27DCD">
            <w:pPr>
              <w:spacing w:after="0" w:line="240" w:lineRule="auto"/>
              <w:jc w:val="right"/>
              <w:rPr>
                <w:rFonts w:ascii="Calibri" w:eastAsia="Times New Roman" w:hAnsi="Calibri" w:cs="Calibri"/>
                <w:sz w:val="16"/>
                <w:szCs w:val="16"/>
                <w:lang w:eastAsia="hr-HR"/>
              </w:rPr>
            </w:pPr>
            <w:r w:rsidRPr="009F0A74">
              <w:rPr>
                <w:rFonts w:ascii="Calibri" w:eastAsia="Times New Roman" w:hAnsi="Calibri" w:cs="Calibri"/>
                <w:sz w:val="16"/>
                <w:szCs w:val="16"/>
                <w:lang w:eastAsia="hr-HR"/>
              </w:rPr>
              <w:t>0</w:t>
            </w:r>
          </w:p>
        </w:tc>
        <w:tc>
          <w:tcPr>
            <w:tcW w:w="446" w:type="dxa"/>
            <w:tcBorders>
              <w:top w:val="nil"/>
              <w:left w:val="nil"/>
              <w:bottom w:val="single" w:sz="4" w:space="0" w:color="auto"/>
              <w:right w:val="single" w:sz="4" w:space="0" w:color="auto"/>
            </w:tcBorders>
            <w:shd w:val="clear" w:color="auto" w:fill="auto"/>
            <w:vAlign w:val="bottom"/>
            <w:hideMark/>
          </w:tcPr>
          <w:p w14:paraId="41EEBC8F" w14:textId="77777777" w:rsidR="00B27DCD" w:rsidRPr="009F0A74" w:rsidRDefault="00B27DCD" w:rsidP="00B27DCD">
            <w:pPr>
              <w:spacing w:after="0" w:line="240" w:lineRule="auto"/>
              <w:jc w:val="right"/>
              <w:rPr>
                <w:rFonts w:ascii="Calibri" w:eastAsia="Times New Roman" w:hAnsi="Calibri" w:cs="Calibri"/>
                <w:b/>
                <w:bCs/>
                <w:sz w:val="16"/>
                <w:szCs w:val="16"/>
                <w:lang w:eastAsia="hr-HR"/>
              </w:rPr>
            </w:pPr>
            <w:r w:rsidRPr="009F0A74">
              <w:rPr>
                <w:rFonts w:ascii="Calibri" w:eastAsia="Times New Roman" w:hAnsi="Calibri" w:cs="Calibri"/>
                <w:b/>
                <w:bCs/>
                <w:sz w:val="16"/>
                <w:szCs w:val="16"/>
                <w:lang w:eastAsia="hr-HR"/>
              </w:rPr>
              <w:t>2</w:t>
            </w:r>
          </w:p>
        </w:tc>
        <w:tc>
          <w:tcPr>
            <w:tcW w:w="447" w:type="dxa"/>
            <w:gridSpan w:val="2"/>
            <w:tcBorders>
              <w:top w:val="nil"/>
              <w:left w:val="nil"/>
              <w:bottom w:val="single" w:sz="4" w:space="0" w:color="auto"/>
              <w:right w:val="single" w:sz="4" w:space="0" w:color="auto"/>
            </w:tcBorders>
            <w:shd w:val="clear" w:color="000000" w:fill="FFFF00"/>
            <w:noWrap/>
            <w:vAlign w:val="bottom"/>
            <w:hideMark/>
          </w:tcPr>
          <w:p w14:paraId="7EC4907D" w14:textId="77777777" w:rsidR="00B27DCD" w:rsidRPr="009F0A74" w:rsidRDefault="00B27DCD" w:rsidP="00B27DCD">
            <w:pPr>
              <w:spacing w:after="0" w:line="240" w:lineRule="auto"/>
              <w:jc w:val="right"/>
              <w:rPr>
                <w:rFonts w:ascii="Calibri" w:eastAsia="Times New Roman" w:hAnsi="Calibri" w:cs="Calibri"/>
                <w:sz w:val="16"/>
                <w:szCs w:val="16"/>
                <w:lang w:eastAsia="hr-HR"/>
              </w:rPr>
            </w:pPr>
            <w:r w:rsidRPr="009F0A74">
              <w:rPr>
                <w:rFonts w:ascii="Calibri" w:eastAsia="Times New Roman" w:hAnsi="Calibri" w:cs="Calibri"/>
                <w:sz w:val="16"/>
                <w:szCs w:val="16"/>
                <w:lang w:eastAsia="hr-HR"/>
              </w:rPr>
              <w:t>0</w:t>
            </w:r>
          </w:p>
        </w:tc>
        <w:tc>
          <w:tcPr>
            <w:tcW w:w="447" w:type="dxa"/>
            <w:tcBorders>
              <w:top w:val="nil"/>
              <w:left w:val="nil"/>
              <w:bottom w:val="single" w:sz="4" w:space="0" w:color="auto"/>
              <w:right w:val="single" w:sz="4" w:space="0" w:color="auto"/>
            </w:tcBorders>
            <w:shd w:val="clear" w:color="000000" w:fill="FFFF00"/>
            <w:noWrap/>
            <w:vAlign w:val="bottom"/>
            <w:hideMark/>
          </w:tcPr>
          <w:p w14:paraId="55E803BE" w14:textId="77777777" w:rsidR="00B27DCD" w:rsidRPr="009F0A74" w:rsidRDefault="00B27DCD" w:rsidP="00B27DCD">
            <w:pPr>
              <w:spacing w:after="0" w:line="240" w:lineRule="auto"/>
              <w:jc w:val="right"/>
              <w:rPr>
                <w:rFonts w:ascii="Calibri" w:eastAsia="Times New Roman" w:hAnsi="Calibri" w:cs="Calibri"/>
                <w:sz w:val="16"/>
                <w:szCs w:val="16"/>
                <w:lang w:eastAsia="hr-HR"/>
              </w:rPr>
            </w:pPr>
            <w:r w:rsidRPr="009F0A74">
              <w:rPr>
                <w:rFonts w:ascii="Calibri" w:eastAsia="Times New Roman" w:hAnsi="Calibri" w:cs="Calibri"/>
                <w:sz w:val="16"/>
                <w:szCs w:val="16"/>
                <w:lang w:eastAsia="hr-HR"/>
              </w:rPr>
              <w:t>2</w:t>
            </w:r>
          </w:p>
        </w:tc>
        <w:tc>
          <w:tcPr>
            <w:tcW w:w="447" w:type="dxa"/>
            <w:tcBorders>
              <w:top w:val="nil"/>
              <w:left w:val="nil"/>
              <w:bottom w:val="single" w:sz="4" w:space="0" w:color="auto"/>
              <w:right w:val="single" w:sz="4" w:space="0" w:color="auto"/>
            </w:tcBorders>
            <w:shd w:val="clear" w:color="000000" w:fill="FFFF00"/>
            <w:noWrap/>
            <w:vAlign w:val="bottom"/>
            <w:hideMark/>
          </w:tcPr>
          <w:p w14:paraId="40E48570" w14:textId="77777777" w:rsidR="00B27DCD" w:rsidRPr="009F0A74" w:rsidRDefault="00B27DCD" w:rsidP="00B27DCD">
            <w:pPr>
              <w:spacing w:after="0" w:line="240" w:lineRule="auto"/>
              <w:jc w:val="right"/>
              <w:rPr>
                <w:rFonts w:ascii="Calibri" w:eastAsia="Times New Roman" w:hAnsi="Calibri" w:cs="Calibri"/>
                <w:sz w:val="16"/>
                <w:szCs w:val="16"/>
                <w:lang w:eastAsia="hr-HR"/>
              </w:rPr>
            </w:pPr>
            <w:r w:rsidRPr="009F0A74">
              <w:rPr>
                <w:rFonts w:ascii="Calibri" w:eastAsia="Times New Roman" w:hAnsi="Calibri" w:cs="Calibri"/>
                <w:sz w:val="16"/>
                <w:szCs w:val="16"/>
                <w:lang w:eastAsia="hr-HR"/>
              </w:rPr>
              <w:t>0</w:t>
            </w:r>
          </w:p>
        </w:tc>
        <w:tc>
          <w:tcPr>
            <w:tcW w:w="446" w:type="dxa"/>
            <w:tcBorders>
              <w:top w:val="nil"/>
              <w:left w:val="nil"/>
              <w:bottom w:val="single" w:sz="4" w:space="0" w:color="auto"/>
              <w:right w:val="single" w:sz="4" w:space="0" w:color="auto"/>
            </w:tcBorders>
            <w:shd w:val="clear" w:color="auto" w:fill="auto"/>
            <w:vAlign w:val="bottom"/>
            <w:hideMark/>
          </w:tcPr>
          <w:p w14:paraId="19DFE55E" w14:textId="77777777" w:rsidR="00B27DCD" w:rsidRPr="009F0A74" w:rsidRDefault="00B27DCD" w:rsidP="00B27DCD">
            <w:pPr>
              <w:spacing w:after="0" w:line="240" w:lineRule="auto"/>
              <w:jc w:val="right"/>
              <w:rPr>
                <w:rFonts w:ascii="Calibri" w:eastAsia="Times New Roman" w:hAnsi="Calibri" w:cs="Calibri"/>
                <w:b/>
                <w:bCs/>
                <w:sz w:val="16"/>
                <w:szCs w:val="16"/>
                <w:lang w:eastAsia="hr-HR"/>
              </w:rPr>
            </w:pPr>
            <w:r w:rsidRPr="009F0A74">
              <w:rPr>
                <w:rFonts w:ascii="Calibri" w:eastAsia="Times New Roman" w:hAnsi="Calibri" w:cs="Calibri"/>
                <w:b/>
                <w:bCs/>
                <w:sz w:val="16"/>
                <w:szCs w:val="16"/>
                <w:lang w:eastAsia="hr-HR"/>
              </w:rPr>
              <w:t>2</w:t>
            </w:r>
          </w:p>
        </w:tc>
        <w:tc>
          <w:tcPr>
            <w:tcW w:w="524" w:type="dxa"/>
            <w:gridSpan w:val="2"/>
            <w:tcBorders>
              <w:top w:val="nil"/>
              <w:left w:val="nil"/>
              <w:bottom w:val="single" w:sz="4" w:space="0" w:color="auto"/>
              <w:right w:val="single" w:sz="4" w:space="0" w:color="auto"/>
            </w:tcBorders>
            <w:shd w:val="clear" w:color="000000" w:fill="FFFF00"/>
            <w:vAlign w:val="bottom"/>
            <w:hideMark/>
          </w:tcPr>
          <w:p w14:paraId="3D6F0C28" w14:textId="77777777" w:rsidR="00B27DCD" w:rsidRPr="009F0A74" w:rsidRDefault="00B27DCD" w:rsidP="00B27DCD">
            <w:pPr>
              <w:spacing w:after="0" w:line="240" w:lineRule="auto"/>
              <w:jc w:val="right"/>
              <w:rPr>
                <w:rFonts w:ascii="Calibri" w:eastAsia="Times New Roman" w:hAnsi="Calibri" w:cs="Calibri"/>
                <w:b/>
                <w:bCs/>
                <w:sz w:val="16"/>
                <w:szCs w:val="16"/>
                <w:lang w:eastAsia="hr-HR"/>
              </w:rPr>
            </w:pPr>
            <w:r w:rsidRPr="009F0A74">
              <w:rPr>
                <w:rFonts w:ascii="Calibri" w:eastAsia="Times New Roman" w:hAnsi="Calibri" w:cs="Calibri"/>
                <w:b/>
                <w:bCs/>
                <w:sz w:val="16"/>
                <w:szCs w:val="16"/>
                <w:lang w:eastAsia="hr-HR"/>
              </w:rPr>
              <w:t>1</w:t>
            </w:r>
          </w:p>
        </w:tc>
        <w:tc>
          <w:tcPr>
            <w:tcW w:w="425" w:type="dxa"/>
            <w:gridSpan w:val="2"/>
            <w:tcBorders>
              <w:top w:val="nil"/>
              <w:left w:val="nil"/>
              <w:bottom w:val="single" w:sz="4" w:space="0" w:color="auto"/>
              <w:right w:val="single" w:sz="4" w:space="0" w:color="auto"/>
            </w:tcBorders>
            <w:shd w:val="clear" w:color="000000" w:fill="FF9900"/>
            <w:noWrap/>
            <w:vAlign w:val="bottom"/>
            <w:hideMark/>
          </w:tcPr>
          <w:p w14:paraId="68323F88" w14:textId="77777777" w:rsidR="00B27DCD" w:rsidRPr="009F0A74" w:rsidRDefault="00B27DCD" w:rsidP="00B27DCD">
            <w:pPr>
              <w:spacing w:after="0" w:line="240" w:lineRule="auto"/>
              <w:jc w:val="right"/>
              <w:rPr>
                <w:rFonts w:ascii="Calibri" w:eastAsia="Times New Roman" w:hAnsi="Calibri" w:cs="Calibri"/>
                <w:sz w:val="16"/>
                <w:szCs w:val="16"/>
                <w:lang w:eastAsia="hr-HR"/>
              </w:rPr>
            </w:pPr>
            <w:r w:rsidRPr="009F0A74">
              <w:rPr>
                <w:rFonts w:ascii="Calibri" w:eastAsia="Times New Roman" w:hAnsi="Calibri" w:cs="Calibri"/>
                <w:sz w:val="16"/>
                <w:szCs w:val="16"/>
                <w:lang w:eastAsia="hr-HR"/>
              </w:rPr>
              <w:t>2</w:t>
            </w:r>
          </w:p>
        </w:tc>
        <w:tc>
          <w:tcPr>
            <w:tcW w:w="501" w:type="dxa"/>
            <w:gridSpan w:val="2"/>
            <w:tcBorders>
              <w:top w:val="nil"/>
              <w:left w:val="nil"/>
              <w:bottom w:val="single" w:sz="4" w:space="0" w:color="auto"/>
              <w:right w:val="single" w:sz="4" w:space="0" w:color="auto"/>
            </w:tcBorders>
            <w:shd w:val="clear" w:color="000000" w:fill="FF9900"/>
            <w:noWrap/>
            <w:vAlign w:val="bottom"/>
            <w:hideMark/>
          </w:tcPr>
          <w:p w14:paraId="6ABC3EE9" w14:textId="77777777" w:rsidR="00B27DCD" w:rsidRPr="009F0A74" w:rsidRDefault="00B27DCD" w:rsidP="00B27DCD">
            <w:pPr>
              <w:spacing w:after="0" w:line="240" w:lineRule="auto"/>
              <w:jc w:val="right"/>
              <w:rPr>
                <w:rFonts w:ascii="Calibri" w:eastAsia="Times New Roman" w:hAnsi="Calibri" w:cs="Calibri"/>
                <w:sz w:val="16"/>
                <w:szCs w:val="16"/>
                <w:lang w:eastAsia="hr-HR"/>
              </w:rPr>
            </w:pPr>
            <w:r w:rsidRPr="009F0A74">
              <w:rPr>
                <w:rFonts w:ascii="Calibri" w:eastAsia="Times New Roman" w:hAnsi="Calibri" w:cs="Calibri"/>
                <w:sz w:val="16"/>
                <w:szCs w:val="16"/>
                <w:lang w:eastAsia="hr-HR"/>
              </w:rPr>
              <w:t>0</w:t>
            </w:r>
          </w:p>
        </w:tc>
        <w:tc>
          <w:tcPr>
            <w:tcW w:w="425" w:type="dxa"/>
            <w:tcBorders>
              <w:top w:val="nil"/>
              <w:left w:val="nil"/>
              <w:bottom w:val="single" w:sz="4" w:space="0" w:color="auto"/>
              <w:right w:val="single" w:sz="4" w:space="0" w:color="auto"/>
            </w:tcBorders>
            <w:shd w:val="clear" w:color="000000" w:fill="CCFFFF"/>
            <w:noWrap/>
            <w:vAlign w:val="bottom"/>
            <w:hideMark/>
          </w:tcPr>
          <w:p w14:paraId="52C6702C" w14:textId="77777777" w:rsidR="00B27DCD" w:rsidRPr="009F0A74" w:rsidRDefault="00B27DCD" w:rsidP="00B27DCD">
            <w:pPr>
              <w:spacing w:after="0" w:line="240" w:lineRule="auto"/>
              <w:jc w:val="right"/>
              <w:rPr>
                <w:rFonts w:ascii="Calibri" w:eastAsia="Times New Roman" w:hAnsi="Calibri" w:cs="Calibri"/>
                <w:sz w:val="16"/>
                <w:szCs w:val="16"/>
                <w:lang w:eastAsia="hr-HR"/>
              </w:rPr>
            </w:pPr>
            <w:r w:rsidRPr="009F0A74">
              <w:rPr>
                <w:rFonts w:ascii="Calibri" w:eastAsia="Times New Roman" w:hAnsi="Calibri" w:cs="Calibri"/>
                <w:sz w:val="16"/>
                <w:szCs w:val="16"/>
                <w:lang w:eastAsia="hr-HR"/>
              </w:rPr>
              <w:t>0</w:t>
            </w:r>
          </w:p>
        </w:tc>
        <w:tc>
          <w:tcPr>
            <w:tcW w:w="426" w:type="dxa"/>
            <w:tcBorders>
              <w:top w:val="nil"/>
              <w:left w:val="nil"/>
              <w:bottom w:val="single" w:sz="4" w:space="0" w:color="auto"/>
              <w:right w:val="single" w:sz="4" w:space="0" w:color="auto"/>
            </w:tcBorders>
            <w:shd w:val="clear" w:color="000000" w:fill="CCFFFF"/>
            <w:noWrap/>
            <w:vAlign w:val="bottom"/>
            <w:hideMark/>
          </w:tcPr>
          <w:p w14:paraId="21CA27AC" w14:textId="77777777" w:rsidR="00B27DCD" w:rsidRPr="009F0A74" w:rsidRDefault="00B27DCD" w:rsidP="00B27DCD">
            <w:pPr>
              <w:spacing w:after="0" w:line="240" w:lineRule="auto"/>
              <w:jc w:val="right"/>
              <w:rPr>
                <w:rFonts w:ascii="Calibri" w:eastAsia="Times New Roman" w:hAnsi="Calibri" w:cs="Calibri"/>
                <w:sz w:val="16"/>
                <w:szCs w:val="16"/>
                <w:lang w:eastAsia="hr-HR"/>
              </w:rPr>
            </w:pPr>
            <w:r w:rsidRPr="009F0A74">
              <w:rPr>
                <w:rFonts w:ascii="Calibri" w:eastAsia="Times New Roman" w:hAnsi="Calibri" w:cs="Calibri"/>
                <w:sz w:val="16"/>
                <w:szCs w:val="16"/>
                <w:lang w:eastAsia="hr-HR"/>
              </w:rPr>
              <w:t>2</w:t>
            </w:r>
          </w:p>
        </w:tc>
        <w:tc>
          <w:tcPr>
            <w:tcW w:w="818" w:type="dxa"/>
            <w:gridSpan w:val="2"/>
            <w:tcBorders>
              <w:top w:val="nil"/>
              <w:left w:val="nil"/>
              <w:bottom w:val="single" w:sz="4" w:space="0" w:color="auto"/>
              <w:right w:val="single" w:sz="4" w:space="0" w:color="auto"/>
            </w:tcBorders>
            <w:shd w:val="clear" w:color="000000" w:fill="33CCCC"/>
            <w:noWrap/>
            <w:vAlign w:val="bottom"/>
            <w:hideMark/>
          </w:tcPr>
          <w:p w14:paraId="6360A33C" w14:textId="77777777" w:rsidR="00B27DCD" w:rsidRPr="009F0A74" w:rsidRDefault="00B27DCD" w:rsidP="00B27DCD">
            <w:pPr>
              <w:spacing w:after="0" w:line="240" w:lineRule="auto"/>
              <w:jc w:val="right"/>
              <w:rPr>
                <w:rFonts w:ascii="Calibri" w:eastAsia="Times New Roman" w:hAnsi="Calibri" w:cs="Calibri"/>
                <w:sz w:val="16"/>
                <w:szCs w:val="16"/>
                <w:lang w:eastAsia="hr-HR"/>
              </w:rPr>
            </w:pPr>
            <w:r w:rsidRPr="009F0A74">
              <w:rPr>
                <w:rFonts w:ascii="Calibri" w:eastAsia="Times New Roman" w:hAnsi="Calibri" w:cs="Calibri"/>
                <w:sz w:val="16"/>
                <w:szCs w:val="16"/>
                <w:lang w:eastAsia="hr-HR"/>
              </w:rPr>
              <w:t>2</w:t>
            </w:r>
          </w:p>
        </w:tc>
        <w:tc>
          <w:tcPr>
            <w:tcW w:w="818" w:type="dxa"/>
            <w:gridSpan w:val="2"/>
            <w:tcBorders>
              <w:top w:val="nil"/>
              <w:left w:val="nil"/>
              <w:bottom w:val="single" w:sz="4" w:space="0" w:color="auto"/>
              <w:right w:val="single" w:sz="8" w:space="0" w:color="auto"/>
            </w:tcBorders>
            <w:shd w:val="clear" w:color="000000" w:fill="33CCCC"/>
            <w:noWrap/>
            <w:vAlign w:val="bottom"/>
            <w:hideMark/>
          </w:tcPr>
          <w:p w14:paraId="0D632604" w14:textId="77777777" w:rsidR="00B27DCD" w:rsidRPr="009F0A74" w:rsidRDefault="00B27DCD" w:rsidP="00B27DCD">
            <w:pPr>
              <w:spacing w:after="0" w:line="240" w:lineRule="auto"/>
              <w:jc w:val="right"/>
              <w:rPr>
                <w:rFonts w:ascii="Calibri" w:eastAsia="Times New Roman" w:hAnsi="Calibri" w:cs="Calibri"/>
                <w:sz w:val="16"/>
                <w:szCs w:val="16"/>
                <w:lang w:eastAsia="hr-HR"/>
              </w:rPr>
            </w:pPr>
            <w:r w:rsidRPr="009F0A74">
              <w:rPr>
                <w:rFonts w:ascii="Calibri" w:eastAsia="Times New Roman" w:hAnsi="Calibri" w:cs="Calibri"/>
                <w:sz w:val="16"/>
                <w:szCs w:val="16"/>
                <w:lang w:eastAsia="hr-HR"/>
              </w:rPr>
              <w:t>0</w:t>
            </w:r>
          </w:p>
        </w:tc>
        <w:tc>
          <w:tcPr>
            <w:tcW w:w="236" w:type="dxa"/>
            <w:gridSpan w:val="3"/>
            <w:vAlign w:val="center"/>
            <w:hideMark/>
          </w:tcPr>
          <w:p w14:paraId="2FB62C8A" w14:textId="77777777" w:rsidR="00B27DCD" w:rsidRPr="009F0A74" w:rsidRDefault="00B27DCD" w:rsidP="00B27DCD">
            <w:pPr>
              <w:spacing w:after="0" w:line="240" w:lineRule="auto"/>
              <w:rPr>
                <w:rFonts w:ascii="Times New Roman" w:eastAsia="Times New Roman" w:hAnsi="Times New Roman" w:cs="Times New Roman"/>
                <w:sz w:val="16"/>
                <w:szCs w:val="16"/>
                <w:lang w:eastAsia="hr-HR"/>
              </w:rPr>
            </w:pPr>
          </w:p>
        </w:tc>
      </w:tr>
      <w:tr w:rsidR="009F0A74" w:rsidRPr="009F0A74" w14:paraId="20A02163" w14:textId="77777777" w:rsidTr="009F0A74">
        <w:trPr>
          <w:trHeight w:val="315"/>
        </w:trPr>
        <w:tc>
          <w:tcPr>
            <w:tcW w:w="840" w:type="dxa"/>
            <w:tcBorders>
              <w:top w:val="single" w:sz="4" w:space="0" w:color="auto"/>
              <w:left w:val="single" w:sz="8" w:space="0" w:color="auto"/>
              <w:bottom w:val="single" w:sz="4" w:space="0" w:color="auto"/>
              <w:right w:val="single" w:sz="4" w:space="0" w:color="000000"/>
            </w:tcBorders>
            <w:shd w:val="clear" w:color="000000" w:fill="CCFFCC"/>
            <w:vAlign w:val="center"/>
            <w:hideMark/>
          </w:tcPr>
          <w:p w14:paraId="35E69C0C" w14:textId="77777777" w:rsidR="00B27DCD" w:rsidRPr="009F0A74" w:rsidRDefault="00B27DCD" w:rsidP="00B27DCD">
            <w:pPr>
              <w:spacing w:after="0" w:line="240" w:lineRule="auto"/>
              <w:rPr>
                <w:rFonts w:ascii="Calibri" w:eastAsia="Times New Roman" w:hAnsi="Calibri" w:cs="Calibri"/>
                <w:sz w:val="16"/>
                <w:szCs w:val="16"/>
                <w:lang w:eastAsia="hr-HR"/>
              </w:rPr>
            </w:pPr>
            <w:r w:rsidRPr="009F0A74">
              <w:rPr>
                <w:rFonts w:ascii="Calibri" w:eastAsia="Times New Roman" w:hAnsi="Calibri" w:cs="Calibri"/>
                <w:sz w:val="16"/>
                <w:szCs w:val="16"/>
                <w:lang w:eastAsia="hr-HR"/>
              </w:rPr>
              <w:t>Socijalno podrijetlo</w:t>
            </w:r>
          </w:p>
        </w:tc>
        <w:tc>
          <w:tcPr>
            <w:tcW w:w="540" w:type="dxa"/>
            <w:tcBorders>
              <w:top w:val="nil"/>
              <w:left w:val="nil"/>
              <w:bottom w:val="single" w:sz="4" w:space="0" w:color="auto"/>
              <w:right w:val="single" w:sz="4" w:space="0" w:color="auto"/>
            </w:tcBorders>
            <w:shd w:val="clear" w:color="000000" w:fill="FFFF00"/>
            <w:vAlign w:val="bottom"/>
            <w:hideMark/>
          </w:tcPr>
          <w:p w14:paraId="6AFD51E5" w14:textId="77777777" w:rsidR="00B27DCD" w:rsidRPr="009F0A74" w:rsidRDefault="00B27DCD" w:rsidP="00B27DCD">
            <w:pPr>
              <w:spacing w:after="0" w:line="240" w:lineRule="auto"/>
              <w:jc w:val="right"/>
              <w:rPr>
                <w:rFonts w:ascii="Calibri" w:eastAsia="Times New Roman" w:hAnsi="Calibri" w:cs="Calibri"/>
                <w:sz w:val="16"/>
                <w:szCs w:val="16"/>
                <w:lang w:eastAsia="hr-HR"/>
              </w:rPr>
            </w:pPr>
            <w:r w:rsidRPr="009F0A74">
              <w:rPr>
                <w:rFonts w:ascii="Calibri" w:eastAsia="Times New Roman" w:hAnsi="Calibri" w:cs="Calibri"/>
                <w:sz w:val="16"/>
                <w:szCs w:val="16"/>
                <w:lang w:eastAsia="hr-HR"/>
              </w:rPr>
              <w:t>0</w:t>
            </w:r>
          </w:p>
        </w:tc>
        <w:tc>
          <w:tcPr>
            <w:tcW w:w="444" w:type="dxa"/>
            <w:tcBorders>
              <w:top w:val="nil"/>
              <w:left w:val="nil"/>
              <w:bottom w:val="single" w:sz="4" w:space="0" w:color="auto"/>
              <w:right w:val="single" w:sz="4" w:space="0" w:color="auto"/>
            </w:tcBorders>
            <w:shd w:val="clear" w:color="000000" w:fill="FFCC99"/>
            <w:noWrap/>
            <w:vAlign w:val="bottom"/>
            <w:hideMark/>
          </w:tcPr>
          <w:p w14:paraId="133BC0B8" w14:textId="77777777" w:rsidR="00B27DCD" w:rsidRPr="009F0A74" w:rsidRDefault="00B27DCD" w:rsidP="00B27DCD">
            <w:pPr>
              <w:spacing w:after="0" w:line="240" w:lineRule="auto"/>
              <w:jc w:val="right"/>
              <w:rPr>
                <w:rFonts w:ascii="Calibri" w:eastAsia="Times New Roman" w:hAnsi="Calibri" w:cs="Calibri"/>
                <w:sz w:val="16"/>
                <w:szCs w:val="16"/>
                <w:lang w:eastAsia="hr-HR"/>
              </w:rPr>
            </w:pPr>
            <w:r w:rsidRPr="009F0A74">
              <w:rPr>
                <w:rFonts w:ascii="Calibri" w:eastAsia="Times New Roman" w:hAnsi="Calibri" w:cs="Calibri"/>
                <w:sz w:val="16"/>
                <w:szCs w:val="16"/>
                <w:lang w:eastAsia="hr-HR"/>
              </w:rPr>
              <w:t>0</w:t>
            </w:r>
          </w:p>
        </w:tc>
        <w:tc>
          <w:tcPr>
            <w:tcW w:w="433" w:type="dxa"/>
            <w:tcBorders>
              <w:top w:val="nil"/>
              <w:left w:val="nil"/>
              <w:bottom w:val="single" w:sz="4" w:space="0" w:color="auto"/>
              <w:right w:val="single" w:sz="4" w:space="0" w:color="auto"/>
            </w:tcBorders>
            <w:shd w:val="clear" w:color="000000" w:fill="CCFFFF"/>
            <w:noWrap/>
            <w:vAlign w:val="bottom"/>
            <w:hideMark/>
          </w:tcPr>
          <w:p w14:paraId="765D1680" w14:textId="77777777" w:rsidR="00B27DCD" w:rsidRPr="009F0A74" w:rsidRDefault="00B27DCD" w:rsidP="00B27DCD">
            <w:pPr>
              <w:spacing w:after="0" w:line="240" w:lineRule="auto"/>
              <w:jc w:val="right"/>
              <w:rPr>
                <w:rFonts w:ascii="Calibri" w:eastAsia="Times New Roman" w:hAnsi="Calibri" w:cs="Calibri"/>
                <w:sz w:val="16"/>
                <w:szCs w:val="16"/>
                <w:lang w:eastAsia="hr-HR"/>
              </w:rPr>
            </w:pPr>
            <w:r w:rsidRPr="009F0A74">
              <w:rPr>
                <w:rFonts w:ascii="Calibri" w:eastAsia="Times New Roman" w:hAnsi="Calibri" w:cs="Calibri"/>
                <w:sz w:val="16"/>
                <w:szCs w:val="16"/>
                <w:lang w:eastAsia="hr-HR"/>
              </w:rPr>
              <w:t>0</w:t>
            </w:r>
          </w:p>
        </w:tc>
        <w:tc>
          <w:tcPr>
            <w:tcW w:w="324" w:type="dxa"/>
            <w:tcBorders>
              <w:top w:val="nil"/>
              <w:left w:val="nil"/>
              <w:bottom w:val="single" w:sz="4" w:space="0" w:color="auto"/>
              <w:right w:val="single" w:sz="4" w:space="0" w:color="auto"/>
            </w:tcBorders>
            <w:shd w:val="clear" w:color="000000" w:fill="CCFFFF"/>
            <w:noWrap/>
            <w:vAlign w:val="bottom"/>
            <w:hideMark/>
          </w:tcPr>
          <w:p w14:paraId="6C352D86" w14:textId="77777777" w:rsidR="00B27DCD" w:rsidRPr="009F0A74" w:rsidRDefault="00B27DCD" w:rsidP="00B27DCD">
            <w:pPr>
              <w:spacing w:after="0" w:line="240" w:lineRule="auto"/>
              <w:jc w:val="right"/>
              <w:rPr>
                <w:rFonts w:ascii="Calibri" w:eastAsia="Times New Roman" w:hAnsi="Calibri" w:cs="Calibri"/>
                <w:sz w:val="16"/>
                <w:szCs w:val="16"/>
                <w:lang w:eastAsia="hr-HR"/>
              </w:rPr>
            </w:pPr>
            <w:r w:rsidRPr="009F0A74">
              <w:rPr>
                <w:rFonts w:ascii="Calibri" w:eastAsia="Times New Roman" w:hAnsi="Calibri" w:cs="Calibri"/>
                <w:sz w:val="16"/>
                <w:szCs w:val="16"/>
                <w:lang w:eastAsia="hr-HR"/>
              </w:rPr>
              <w:t>0</w:t>
            </w:r>
          </w:p>
        </w:tc>
        <w:tc>
          <w:tcPr>
            <w:tcW w:w="385" w:type="dxa"/>
            <w:gridSpan w:val="2"/>
            <w:tcBorders>
              <w:top w:val="nil"/>
              <w:left w:val="nil"/>
              <w:bottom w:val="single" w:sz="4" w:space="0" w:color="auto"/>
              <w:right w:val="single" w:sz="4" w:space="0" w:color="auto"/>
            </w:tcBorders>
            <w:shd w:val="clear" w:color="000000" w:fill="FFFF99"/>
            <w:noWrap/>
            <w:vAlign w:val="bottom"/>
            <w:hideMark/>
          </w:tcPr>
          <w:p w14:paraId="4F2065CA" w14:textId="77777777" w:rsidR="00B27DCD" w:rsidRPr="009F0A74" w:rsidRDefault="00B27DCD" w:rsidP="00B27DCD">
            <w:pPr>
              <w:spacing w:after="0" w:line="240" w:lineRule="auto"/>
              <w:jc w:val="right"/>
              <w:rPr>
                <w:rFonts w:ascii="Calibri" w:eastAsia="Times New Roman" w:hAnsi="Calibri" w:cs="Calibri"/>
                <w:sz w:val="16"/>
                <w:szCs w:val="16"/>
                <w:lang w:eastAsia="hr-HR"/>
              </w:rPr>
            </w:pPr>
            <w:r w:rsidRPr="009F0A74">
              <w:rPr>
                <w:rFonts w:ascii="Calibri" w:eastAsia="Times New Roman" w:hAnsi="Calibri" w:cs="Calibri"/>
                <w:sz w:val="16"/>
                <w:szCs w:val="16"/>
                <w:lang w:eastAsia="hr-HR"/>
              </w:rPr>
              <w:t>0</w:t>
            </w:r>
          </w:p>
        </w:tc>
        <w:tc>
          <w:tcPr>
            <w:tcW w:w="334" w:type="dxa"/>
            <w:tcBorders>
              <w:top w:val="nil"/>
              <w:left w:val="nil"/>
              <w:bottom w:val="single" w:sz="4" w:space="0" w:color="auto"/>
              <w:right w:val="single" w:sz="4" w:space="0" w:color="auto"/>
            </w:tcBorders>
            <w:shd w:val="clear" w:color="000000" w:fill="FFFF99"/>
            <w:noWrap/>
            <w:vAlign w:val="bottom"/>
            <w:hideMark/>
          </w:tcPr>
          <w:p w14:paraId="28EDD6D1" w14:textId="77777777" w:rsidR="00B27DCD" w:rsidRPr="009F0A74" w:rsidRDefault="00B27DCD" w:rsidP="00B27DCD">
            <w:pPr>
              <w:spacing w:after="0" w:line="240" w:lineRule="auto"/>
              <w:jc w:val="right"/>
              <w:rPr>
                <w:rFonts w:ascii="Calibri" w:eastAsia="Times New Roman" w:hAnsi="Calibri" w:cs="Calibri"/>
                <w:sz w:val="16"/>
                <w:szCs w:val="16"/>
                <w:lang w:eastAsia="hr-HR"/>
              </w:rPr>
            </w:pPr>
            <w:r w:rsidRPr="009F0A74">
              <w:rPr>
                <w:rFonts w:ascii="Calibri" w:eastAsia="Times New Roman" w:hAnsi="Calibri" w:cs="Calibri"/>
                <w:sz w:val="16"/>
                <w:szCs w:val="16"/>
                <w:lang w:eastAsia="hr-HR"/>
              </w:rPr>
              <w:t>0</w:t>
            </w:r>
          </w:p>
        </w:tc>
        <w:tc>
          <w:tcPr>
            <w:tcW w:w="658" w:type="dxa"/>
            <w:tcBorders>
              <w:top w:val="nil"/>
              <w:left w:val="nil"/>
              <w:bottom w:val="single" w:sz="4" w:space="0" w:color="auto"/>
              <w:right w:val="single" w:sz="4" w:space="0" w:color="auto"/>
            </w:tcBorders>
            <w:shd w:val="clear" w:color="000000" w:fill="FFFF99"/>
            <w:noWrap/>
            <w:vAlign w:val="bottom"/>
            <w:hideMark/>
          </w:tcPr>
          <w:p w14:paraId="4756E100" w14:textId="77777777" w:rsidR="00B27DCD" w:rsidRPr="009F0A74" w:rsidRDefault="00B27DCD" w:rsidP="00B27DCD">
            <w:pPr>
              <w:spacing w:after="0" w:line="240" w:lineRule="auto"/>
              <w:jc w:val="right"/>
              <w:rPr>
                <w:rFonts w:ascii="Calibri" w:eastAsia="Times New Roman" w:hAnsi="Calibri" w:cs="Calibri"/>
                <w:sz w:val="16"/>
                <w:szCs w:val="16"/>
                <w:lang w:eastAsia="hr-HR"/>
              </w:rPr>
            </w:pPr>
            <w:r w:rsidRPr="009F0A74">
              <w:rPr>
                <w:rFonts w:ascii="Calibri" w:eastAsia="Times New Roman" w:hAnsi="Calibri" w:cs="Calibri"/>
                <w:sz w:val="16"/>
                <w:szCs w:val="16"/>
                <w:lang w:eastAsia="hr-HR"/>
              </w:rPr>
              <w:t>0</w:t>
            </w:r>
          </w:p>
        </w:tc>
        <w:tc>
          <w:tcPr>
            <w:tcW w:w="447" w:type="dxa"/>
            <w:tcBorders>
              <w:top w:val="nil"/>
              <w:left w:val="nil"/>
              <w:bottom w:val="single" w:sz="4" w:space="0" w:color="auto"/>
              <w:right w:val="single" w:sz="4" w:space="0" w:color="auto"/>
            </w:tcBorders>
            <w:shd w:val="clear" w:color="000000" w:fill="FFFF99"/>
            <w:noWrap/>
            <w:vAlign w:val="bottom"/>
            <w:hideMark/>
          </w:tcPr>
          <w:p w14:paraId="6B028501" w14:textId="77777777" w:rsidR="00B27DCD" w:rsidRPr="009F0A74" w:rsidRDefault="00B27DCD" w:rsidP="00B27DCD">
            <w:pPr>
              <w:spacing w:after="0" w:line="240" w:lineRule="auto"/>
              <w:jc w:val="right"/>
              <w:rPr>
                <w:rFonts w:ascii="Calibri" w:eastAsia="Times New Roman" w:hAnsi="Calibri" w:cs="Calibri"/>
                <w:sz w:val="16"/>
                <w:szCs w:val="16"/>
                <w:lang w:eastAsia="hr-HR"/>
              </w:rPr>
            </w:pPr>
            <w:r w:rsidRPr="009F0A74">
              <w:rPr>
                <w:rFonts w:ascii="Calibri" w:eastAsia="Times New Roman" w:hAnsi="Calibri" w:cs="Calibri"/>
                <w:sz w:val="16"/>
                <w:szCs w:val="16"/>
                <w:lang w:eastAsia="hr-HR"/>
              </w:rPr>
              <w:t>0</w:t>
            </w:r>
          </w:p>
        </w:tc>
        <w:tc>
          <w:tcPr>
            <w:tcW w:w="644" w:type="dxa"/>
            <w:gridSpan w:val="2"/>
            <w:tcBorders>
              <w:top w:val="nil"/>
              <w:left w:val="nil"/>
              <w:bottom w:val="single" w:sz="4" w:space="0" w:color="auto"/>
              <w:right w:val="single" w:sz="4" w:space="0" w:color="auto"/>
            </w:tcBorders>
            <w:shd w:val="clear" w:color="000000" w:fill="FFFF99"/>
            <w:noWrap/>
            <w:vAlign w:val="bottom"/>
            <w:hideMark/>
          </w:tcPr>
          <w:p w14:paraId="5AB5668E" w14:textId="77777777" w:rsidR="00B27DCD" w:rsidRPr="009F0A74" w:rsidRDefault="00B27DCD" w:rsidP="00B27DCD">
            <w:pPr>
              <w:spacing w:after="0" w:line="240" w:lineRule="auto"/>
              <w:jc w:val="right"/>
              <w:rPr>
                <w:rFonts w:ascii="Calibri" w:eastAsia="Times New Roman" w:hAnsi="Calibri" w:cs="Calibri"/>
                <w:sz w:val="16"/>
                <w:szCs w:val="16"/>
                <w:lang w:eastAsia="hr-HR"/>
              </w:rPr>
            </w:pPr>
            <w:r w:rsidRPr="009F0A74">
              <w:rPr>
                <w:rFonts w:ascii="Calibri" w:eastAsia="Times New Roman" w:hAnsi="Calibri" w:cs="Calibri"/>
                <w:sz w:val="16"/>
                <w:szCs w:val="16"/>
                <w:lang w:eastAsia="hr-HR"/>
              </w:rPr>
              <w:t>0</w:t>
            </w:r>
          </w:p>
        </w:tc>
        <w:tc>
          <w:tcPr>
            <w:tcW w:w="452" w:type="dxa"/>
            <w:tcBorders>
              <w:top w:val="nil"/>
              <w:left w:val="nil"/>
              <w:bottom w:val="single" w:sz="4" w:space="0" w:color="auto"/>
              <w:right w:val="single" w:sz="4" w:space="0" w:color="auto"/>
            </w:tcBorders>
            <w:shd w:val="clear" w:color="000000" w:fill="FFFF99"/>
            <w:noWrap/>
            <w:vAlign w:val="bottom"/>
            <w:hideMark/>
          </w:tcPr>
          <w:p w14:paraId="7C2C44B4" w14:textId="77777777" w:rsidR="00B27DCD" w:rsidRPr="009F0A74" w:rsidRDefault="00B27DCD" w:rsidP="00B27DCD">
            <w:pPr>
              <w:spacing w:after="0" w:line="240" w:lineRule="auto"/>
              <w:jc w:val="right"/>
              <w:rPr>
                <w:rFonts w:ascii="Calibri" w:eastAsia="Times New Roman" w:hAnsi="Calibri" w:cs="Calibri"/>
                <w:sz w:val="16"/>
                <w:szCs w:val="16"/>
                <w:lang w:eastAsia="hr-HR"/>
              </w:rPr>
            </w:pPr>
            <w:r w:rsidRPr="009F0A74">
              <w:rPr>
                <w:rFonts w:ascii="Calibri" w:eastAsia="Times New Roman" w:hAnsi="Calibri" w:cs="Calibri"/>
                <w:sz w:val="16"/>
                <w:szCs w:val="16"/>
                <w:lang w:eastAsia="hr-HR"/>
              </w:rPr>
              <w:t>0</w:t>
            </w:r>
          </w:p>
        </w:tc>
        <w:tc>
          <w:tcPr>
            <w:tcW w:w="538" w:type="dxa"/>
            <w:tcBorders>
              <w:top w:val="nil"/>
              <w:left w:val="nil"/>
              <w:bottom w:val="single" w:sz="4" w:space="0" w:color="auto"/>
              <w:right w:val="single" w:sz="4" w:space="0" w:color="auto"/>
            </w:tcBorders>
            <w:shd w:val="clear" w:color="000000" w:fill="FFFF99"/>
            <w:noWrap/>
            <w:vAlign w:val="bottom"/>
            <w:hideMark/>
          </w:tcPr>
          <w:p w14:paraId="4954958A" w14:textId="77777777" w:rsidR="00B27DCD" w:rsidRPr="009F0A74" w:rsidRDefault="00B27DCD" w:rsidP="00B27DCD">
            <w:pPr>
              <w:spacing w:after="0" w:line="240" w:lineRule="auto"/>
              <w:jc w:val="right"/>
              <w:rPr>
                <w:rFonts w:ascii="Calibri" w:eastAsia="Times New Roman" w:hAnsi="Calibri" w:cs="Calibri"/>
                <w:sz w:val="16"/>
                <w:szCs w:val="16"/>
                <w:lang w:eastAsia="hr-HR"/>
              </w:rPr>
            </w:pPr>
            <w:r w:rsidRPr="009F0A74">
              <w:rPr>
                <w:rFonts w:ascii="Calibri" w:eastAsia="Times New Roman" w:hAnsi="Calibri" w:cs="Calibri"/>
                <w:sz w:val="16"/>
                <w:szCs w:val="16"/>
                <w:lang w:eastAsia="hr-HR"/>
              </w:rPr>
              <w:t>0</w:t>
            </w:r>
          </w:p>
        </w:tc>
        <w:tc>
          <w:tcPr>
            <w:tcW w:w="447" w:type="dxa"/>
            <w:tcBorders>
              <w:top w:val="nil"/>
              <w:left w:val="nil"/>
              <w:bottom w:val="single" w:sz="4" w:space="0" w:color="auto"/>
              <w:right w:val="single" w:sz="4" w:space="0" w:color="auto"/>
            </w:tcBorders>
            <w:shd w:val="clear" w:color="000000" w:fill="FFFF99"/>
            <w:noWrap/>
            <w:vAlign w:val="bottom"/>
            <w:hideMark/>
          </w:tcPr>
          <w:p w14:paraId="4CF9BB8E" w14:textId="77777777" w:rsidR="00B27DCD" w:rsidRPr="009F0A74" w:rsidRDefault="00B27DCD" w:rsidP="00B27DCD">
            <w:pPr>
              <w:spacing w:after="0" w:line="240" w:lineRule="auto"/>
              <w:jc w:val="right"/>
              <w:rPr>
                <w:rFonts w:ascii="Calibri" w:eastAsia="Times New Roman" w:hAnsi="Calibri" w:cs="Calibri"/>
                <w:sz w:val="16"/>
                <w:szCs w:val="16"/>
                <w:lang w:eastAsia="hr-HR"/>
              </w:rPr>
            </w:pPr>
            <w:r w:rsidRPr="009F0A74">
              <w:rPr>
                <w:rFonts w:ascii="Calibri" w:eastAsia="Times New Roman" w:hAnsi="Calibri" w:cs="Calibri"/>
                <w:sz w:val="16"/>
                <w:szCs w:val="16"/>
                <w:lang w:eastAsia="hr-HR"/>
              </w:rPr>
              <w:t>0</w:t>
            </w:r>
          </w:p>
        </w:tc>
        <w:tc>
          <w:tcPr>
            <w:tcW w:w="447" w:type="dxa"/>
            <w:tcBorders>
              <w:top w:val="nil"/>
              <w:left w:val="nil"/>
              <w:bottom w:val="single" w:sz="4" w:space="0" w:color="auto"/>
              <w:right w:val="single" w:sz="4" w:space="0" w:color="auto"/>
            </w:tcBorders>
            <w:shd w:val="clear" w:color="000000" w:fill="FFFF99"/>
            <w:noWrap/>
            <w:vAlign w:val="bottom"/>
            <w:hideMark/>
          </w:tcPr>
          <w:p w14:paraId="239D0A0F" w14:textId="77777777" w:rsidR="00B27DCD" w:rsidRPr="009F0A74" w:rsidRDefault="00B27DCD" w:rsidP="00B27DCD">
            <w:pPr>
              <w:spacing w:after="0" w:line="240" w:lineRule="auto"/>
              <w:jc w:val="right"/>
              <w:rPr>
                <w:rFonts w:ascii="Calibri" w:eastAsia="Times New Roman" w:hAnsi="Calibri" w:cs="Calibri"/>
                <w:sz w:val="16"/>
                <w:szCs w:val="16"/>
                <w:lang w:eastAsia="hr-HR"/>
              </w:rPr>
            </w:pPr>
            <w:r w:rsidRPr="009F0A74">
              <w:rPr>
                <w:rFonts w:ascii="Calibri" w:eastAsia="Times New Roman" w:hAnsi="Calibri" w:cs="Calibri"/>
                <w:sz w:val="16"/>
                <w:szCs w:val="16"/>
                <w:lang w:eastAsia="hr-HR"/>
              </w:rPr>
              <w:t>0</w:t>
            </w:r>
          </w:p>
        </w:tc>
        <w:tc>
          <w:tcPr>
            <w:tcW w:w="400" w:type="dxa"/>
            <w:tcBorders>
              <w:top w:val="nil"/>
              <w:left w:val="nil"/>
              <w:bottom w:val="single" w:sz="4" w:space="0" w:color="auto"/>
              <w:right w:val="single" w:sz="4" w:space="0" w:color="auto"/>
            </w:tcBorders>
            <w:shd w:val="clear" w:color="000000" w:fill="FFFF99"/>
            <w:noWrap/>
            <w:vAlign w:val="bottom"/>
            <w:hideMark/>
          </w:tcPr>
          <w:p w14:paraId="5A97A243" w14:textId="77777777" w:rsidR="00B27DCD" w:rsidRPr="009F0A74" w:rsidRDefault="00B27DCD" w:rsidP="00B27DCD">
            <w:pPr>
              <w:spacing w:after="0" w:line="240" w:lineRule="auto"/>
              <w:jc w:val="right"/>
              <w:rPr>
                <w:rFonts w:ascii="Calibri" w:eastAsia="Times New Roman" w:hAnsi="Calibri" w:cs="Calibri"/>
                <w:sz w:val="16"/>
                <w:szCs w:val="16"/>
                <w:lang w:eastAsia="hr-HR"/>
              </w:rPr>
            </w:pPr>
            <w:r w:rsidRPr="009F0A74">
              <w:rPr>
                <w:rFonts w:ascii="Calibri" w:eastAsia="Times New Roman" w:hAnsi="Calibri" w:cs="Calibri"/>
                <w:sz w:val="16"/>
                <w:szCs w:val="16"/>
                <w:lang w:eastAsia="hr-HR"/>
              </w:rPr>
              <w:t>0</w:t>
            </w:r>
          </w:p>
        </w:tc>
        <w:tc>
          <w:tcPr>
            <w:tcW w:w="357" w:type="dxa"/>
            <w:gridSpan w:val="2"/>
            <w:tcBorders>
              <w:top w:val="nil"/>
              <w:left w:val="nil"/>
              <w:bottom w:val="single" w:sz="4" w:space="0" w:color="auto"/>
              <w:right w:val="single" w:sz="4" w:space="0" w:color="auto"/>
            </w:tcBorders>
            <w:shd w:val="clear" w:color="000000" w:fill="FF9900"/>
            <w:noWrap/>
            <w:vAlign w:val="bottom"/>
            <w:hideMark/>
          </w:tcPr>
          <w:p w14:paraId="0638C2C1" w14:textId="77777777" w:rsidR="00B27DCD" w:rsidRPr="009F0A74" w:rsidRDefault="00B27DCD" w:rsidP="00B27DCD">
            <w:pPr>
              <w:spacing w:after="0" w:line="240" w:lineRule="auto"/>
              <w:jc w:val="right"/>
              <w:rPr>
                <w:rFonts w:ascii="Calibri" w:eastAsia="Times New Roman" w:hAnsi="Calibri" w:cs="Calibri"/>
                <w:sz w:val="16"/>
                <w:szCs w:val="16"/>
                <w:lang w:eastAsia="hr-HR"/>
              </w:rPr>
            </w:pPr>
            <w:r w:rsidRPr="009F0A74">
              <w:rPr>
                <w:rFonts w:ascii="Calibri" w:eastAsia="Times New Roman" w:hAnsi="Calibri" w:cs="Calibri"/>
                <w:sz w:val="16"/>
                <w:szCs w:val="16"/>
                <w:lang w:eastAsia="hr-HR"/>
              </w:rPr>
              <w:t>0</w:t>
            </w:r>
          </w:p>
        </w:tc>
        <w:tc>
          <w:tcPr>
            <w:tcW w:w="447" w:type="dxa"/>
            <w:tcBorders>
              <w:top w:val="nil"/>
              <w:left w:val="nil"/>
              <w:bottom w:val="single" w:sz="4" w:space="0" w:color="auto"/>
              <w:right w:val="single" w:sz="4" w:space="0" w:color="auto"/>
            </w:tcBorders>
            <w:shd w:val="clear" w:color="000000" w:fill="FF9900"/>
            <w:noWrap/>
            <w:vAlign w:val="bottom"/>
            <w:hideMark/>
          </w:tcPr>
          <w:p w14:paraId="4A94147E" w14:textId="77777777" w:rsidR="00B27DCD" w:rsidRPr="009F0A74" w:rsidRDefault="00B27DCD" w:rsidP="00B27DCD">
            <w:pPr>
              <w:spacing w:after="0" w:line="240" w:lineRule="auto"/>
              <w:jc w:val="right"/>
              <w:rPr>
                <w:rFonts w:ascii="Calibri" w:eastAsia="Times New Roman" w:hAnsi="Calibri" w:cs="Calibri"/>
                <w:sz w:val="16"/>
                <w:szCs w:val="16"/>
                <w:lang w:eastAsia="hr-HR"/>
              </w:rPr>
            </w:pPr>
            <w:r w:rsidRPr="009F0A74">
              <w:rPr>
                <w:rFonts w:ascii="Calibri" w:eastAsia="Times New Roman" w:hAnsi="Calibri" w:cs="Calibri"/>
                <w:sz w:val="16"/>
                <w:szCs w:val="16"/>
                <w:lang w:eastAsia="hr-HR"/>
              </w:rPr>
              <w:t>0</w:t>
            </w:r>
          </w:p>
        </w:tc>
        <w:tc>
          <w:tcPr>
            <w:tcW w:w="447" w:type="dxa"/>
            <w:tcBorders>
              <w:top w:val="nil"/>
              <w:left w:val="nil"/>
              <w:bottom w:val="single" w:sz="4" w:space="0" w:color="auto"/>
              <w:right w:val="single" w:sz="4" w:space="0" w:color="auto"/>
            </w:tcBorders>
            <w:shd w:val="clear" w:color="000000" w:fill="FF9900"/>
            <w:noWrap/>
            <w:vAlign w:val="bottom"/>
            <w:hideMark/>
          </w:tcPr>
          <w:p w14:paraId="2DE31053" w14:textId="77777777" w:rsidR="00B27DCD" w:rsidRPr="009F0A74" w:rsidRDefault="00B27DCD" w:rsidP="00B27DCD">
            <w:pPr>
              <w:spacing w:after="0" w:line="240" w:lineRule="auto"/>
              <w:jc w:val="right"/>
              <w:rPr>
                <w:rFonts w:ascii="Calibri" w:eastAsia="Times New Roman" w:hAnsi="Calibri" w:cs="Calibri"/>
                <w:sz w:val="16"/>
                <w:szCs w:val="16"/>
                <w:lang w:eastAsia="hr-HR"/>
              </w:rPr>
            </w:pPr>
            <w:r w:rsidRPr="009F0A74">
              <w:rPr>
                <w:rFonts w:ascii="Calibri" w:eastAsia="Times New Roman" w:hAnsi="Calibri" w:cs="Calibri"/>
                <w:sz w:val="16"/>
                <w:szCs w:val="16"/>
                <w:lang w:eastAsia="hr-HR"/>
              </w:rPr>
              <w:t>0</w:t>
            </w:r>
          </w:p>
        </w:tc>
        <w:tc>
          <w:tcPr>
            <w:tcW w:w="446" w:type="dxa"/>
            <w:tcBorders>
              <w:top w:val="nil"/>
              <w:left w:val="nil"/>
              <w:bottom w:val="single" w:sz="4" w:space="0" w:color="auto"/>
              <w:right w:val="single" w:sz="4" w:space="0" w:color="auto"/>
            </w:tcBorders>
            <w:shd w:val="clear" w:color="auto" w:fill="auto"/>
            <w:vAlign w:val="bottom"/>
            <w:hideMark/>
          </w:tcPr>
          <w:p w14:paraId="7AF5FEDD" w14:textId="77777777" w:rsidR="00B27DCD" w:rsidRPr="009F0A74" w:rsidRDefault="00B27DCD" w:rsidP="00B27DCD">
            <w:pPr>
              <w:spacing w:after="0" w:line="240" w:lineRule="auto"/>
              <w:jc w:val="right"/>
              <w:rPr>
                <w:rFonts w:ascii="Calibri" w:eastAsia="Times New Roman" w:hAnsi="Calibri" w:cs="Calibri"/>
                <w:b/>
                <w:bCs/>
                <w:sz w:val="16"/>
                <w:szCs w:val="16"/>
                <w:lang w:eastAsia="hr-HR"/>
              </w:rPr>
            </w:pPr>
            <w:r w:rsidRPr="009F0A74">
              <w:rPr>
                <w:rFonts w:ascii="Calibri" w:eastAsia="Times New Roman" w:hAnsi="Calibri" w:cs="Calibri"/>
                <w:b/>
                <w:bCs/>
                <w:sz w:val="16"/>
                <w:szCs w:val="16"/>
                <w:lang w:eastAsia="hr-HR"/>
              </w:rPr>
              <w:t>0</w:t>
            </w:r>
          </w:p>
        </w:tc>
        <w:tc>
          <w:tcPr>
            <w:tcW w:w="447" w:type="dxa"/>
            <w:gridSpan w:val="2"/>
            <w:tcBorders>
              <w:top w:val="nil"/>
              <w:left w:val="nil"/>
              <w:bottom w:val="single" w:sz="4" w:space="0" w:color="auto"/>
              <w:right w:val="single" w:sz="4" w:space="0" w:color="auto"/>
            </w:tcBorders>
            <w:shd w:val="clear" w:color="000000" w:fill="FFFF00"/>
            <w:noWrap/>
            <w:vAlign w:val="bottom"/>
            <w:hideMark/>
          </w:tcPr>
          <w:p w14:paraId="4A3F65C3" w14:textId="77777777" w:rsidR="00B27DCD" w:rsidRPr="009F0A74" w:rsidRDefault="00B27DCD" w:rsidP="00B27DCD">
            <w:pPr>
              <w:spacing w:after="0" w:line="240" w:lineRule="auto"/>
              <w:jc w:val="right"/>
              <w:rPr>
                <w:rFonts w:ascii="Calibri" w:eastAsia="Times New Roman" w:hAnsi="Calibri" w:cs="Calibri"/>
                <w:sz w:val="16"/>
                <w:szCs w:val="16"/>
                <w:lang w:eastAsia="hr-HR"/>
              </w:rPr>
            </w:pPr>
            <w:r w:rsidRPr="009F0A74">
              <w:rPr>
                <w:rFonts w:ascii="Calibri" w:eastAsia="Times New Roman" w:hAnsi="Calibri" w:cs="Calibri"/>
                <w:sz w:val="16"/>
                <w:szCs w:val="16"/>
                <w:lang w:eastAsia="hr-HR"/>
              </w:rPr>
              <w:t>0</w:t>
            </w:r>
          </w:p>
        </w:tc>
        <w:tc>
          <w:tcPr>
            <w:tcW w:w="447" w:type="dxa"/>
            <w:tcBorders>
              <w:top w:val="nil"/>
              <w:left w:val="nil"/>
              <w:bottom w:val="single" w:sz="4" w:space="0" w:color="auto"/>
              <w:right w:val="single" w:sz="4" w:space="0" w:color="auto"/>
            </w:tcBorders>
            <w:shd w:val="clear" w:color="000000" w:fill="FFFF00"/>
            <w:noWrap/>
            <w:vAlign w:val="bottom"/>
            <w:hideMark/>
          </w:tcPr>
          <w:p w14:paraId="7D2FBEE1" w14:textId="77777777" w:rsidR="00B27DCD" w:rsidRPr="009F0A74" w:rsidRDefault="00B27DCD" w:rsidP="00B27DCD">
            <w:pPr>
              <w:spacing w:after="0" w:line="240" w:lineRule="auto"/>
              <w:jc w:val="right"/>
              <w:rPr>
                <w:rFonts w:ascii="Calibri" w:eastAsia="Times New Roman" w:hAnsi="Calibri" w:cs="Calibri"/>
                <w:sz w:val="16"/>
                <w:szCs w:val="16"/>
                <w:lang w:eastAsia="hr-HR"/>
              </w:rPr>
            </w:pPr>
            <w:r w:rsidRPr="009F0A74">
              <w:rPr>
                <w:rFonts w:ascii="Calibri" w:eastAsia="Times New Roman" w:hAnsi="Calibri" w:cs="Calibri"/>
                <w:sz w:val="16"/>
                <w:szCs w:val="16"/>
                <w:lang w:eastAsia="hr-HR"/>
              </w:rPr>
              <w:t>0</w:t>
            </w:r>
          </w:p>
        </w:tc>
        <w:tc>
          <w:tcPr>
            <w:tcW w:w="447" w:type="dxa"/>
            <w:tcBorders>
              <w:top w:val="nil"/>
              <w:left w:val="nil"/>
              <w:bottom w:val="single" w:sz="4" w:space="0" w:color="auto"/>
              <w:right w:val="single" w:sz="4" w:space="0" w:color="auto"/>
            </w:tcBorders>
            <w:shd w:val="clear" w:color="000000" w:fill="FFFF00"/>
            <w:noWrap/>
            <w:vAlign w:val="bottom"/>
            <w:hideMark/>
          </w:tcPr>
          <w:p w14:paraId="2BBAC429" w14:textId="77777777" w:rsidR="00B27DCD" w:rsidRPr="009F0A74" w:rsidRDefault="00B27DCD" w:rsidP="00B27DCD">
            <w:pPr>
              <w:spacing w:after="0" w:line="240" w:lineRule="auto"/>
              <w:jc w:val="right"/>
              <w:rPr>
                <w:rFonts w:ascii="Calibri" w:eastAsia="Times New Roman" w:hAnsi="Calibri" w:cs="Calibri"/>
                <w:sz w:val="16"/>
                <w:szCs w:val="16"/>
                <w:lang w:eastAsia="hr-HR"/>
              </w:rPr>
            </w:pPr>
            <w:r w:rsidRPr="009F0A74">
              <w:rPr>
                <w:rFonts w:ascii="Calibri" w:eastAsia="Times New Roman" w:hAnsi="Calibri" w:cs="Calibri"/>
                <w:sz w:val="16"/>
                <w:szCs w:val="16"/>
                <w:lang w:eastAsia="hr-HR"/>
              </w:rPr>
              <w:t>0</w:t>
            </w:r>
          </w:p>
        </w:tc>
        <w:tc>
          <w:tcPr>
            <w:tcW w:w="446" w:type="dxa"/>
            <w:tcBorders>
              <w:top w:val="nil"/>
              <w:left w:val="nil"/>
              <w:bottom w:val="single" w:sz="4" w:space="0" w:color="auto"/>
              <w:right w:val="single" w:sz="4" w:space="0" w:color="auto"/>
            </w:tcBorders>
            <w:shd w:val="clear" w:color="auto" w:fill="auto"/>
            <w:vAlign w:val="bottom"/>
            <w:hideMark/>
          </w:tcPr>
          <w:p w14:paraId="37042DA4" w14:textId="77777777" w:rsidR="00B27DCD" w:rsidRPr="009F0A74" w:rsidRDefault="00B27DCD" w:rsidP="00B27DCD">
            <w:pPr>
              <w:spacing w:after="0" w:line="240" w:lineRule="auto"/>
              <w:jc w:val="right"/>
              <w:rPr>
                <w:rFonts w:ascii="Calibri" w:eastAsia="Times New Roman" w:hAnsi="Calibri" w:cs="Calibri"/>
                <w:b/>
                <w:bCs/>
                <w:sz w:val="16"/>
                <w:szCs w:val="16"/>
                <w:lang w:eastAsia="hr-HR"/>
              </w:rPr>
            </w:pPr>
            <w:r w:rsidRPr="009F0A74">
              <w:rPr>
                <w:rFonts w:ascii="Calibri" w:eastAsia="Times New Roman" w:hAnsi="Calibri" w:cs="Calibri"/>
                <w:b/>
                <w:bCs/>
                <w:sz w:val="16"/>
                <w:szCs w:val="16"/>
                <w:lang w:eastAsia="hr-HR"/>
              </w:rPr>
              <w:t>0</w:t>
            </w:r>
          </w:p>
        </w:tc>
        <w:tc>
          <w:tcPr>
            <w:tcW w:w="524" w:type="dxa"/>
            <w:gridSpan w:val="2"/>
            <w:tcBorders>
              <w:top w:val="nil"/>
              <w:left w:val="nil"/>
              <w:bottom w:val="single" w:sz="4" w:space="0" w:color="auto"/>
              <w:right w:val="single" w:sz="4" w:space="0" w:color="auto"/>
            </w:tcBorders>
            <w:shd w:val="clear" w:color="000000" w:fill="FFFF00"/>
            <w:vAlign w:val="bottom"/>
            <w:hideMark/>
          </w:tcPr>
          <w:p w14:paraId="3657B0C4" w14:textId="77777777" w:rsidR="00B27DCD" w:rsidRPr="009F0A74" w:rsidRDefault="00B27DCD" w:rsidP="00B27DCD">
            <w:pPr>
              <w:spacing w:after="0" w:line="240" w:lineRule="auto"/>
              <w:jc w:val="right"/>
              <w:rPr>
                <w:rFonts w:ascii="Calibri" w:eastAsia="Times New Roman" w:hAnsi="Calibri" w:cs="Calibri"/>
                <w:b/>
                <w:bCs/>
                <w:sz w:val="16"/>
                <w:szCs w:val="16"/>
                <w:lang w:eastAsia="hr-HR"/>
              </w:rPr>
            </w:pPr>
            <w:r w:rsidRPr="009F0A74">
              <w:rPr>
                <w:rFonts w:ascii="Calibri" w:eastAsia="Times New Roman" w:hAnsi="Calibri" w:cs="Calibri"/>
                <w:b/>
                <w:bCs/>
                <w:sz w:val="16"/>
                <w:szCs w:val="16"/>
                <w:lang w:eastAsia="hr-HR"/>
              </w:rPr>
              <w:t>0</w:t>
            </w:r>
          </w:p>
        </w:tc>
        <w:tc>
          <w:tcPr>
            <w:tcW w:w="425" w:type="dxa"/>
            <w:gridSpan w:val="2"/>
            <w:tcBorders>
              <w:top w:val="nil"/>
              <w:left w:val="nil"/>
              <w:bottom w:val="single" w:sz="4" w:space="0" w:color="auto"/>
              <w:right w:val="single" w:sz="4" w:space="0" w:color="auto"/>
            </w:tcBorders>
            <w:shd w:val="clear" w:color="000000" w:fill="FF9900"/>
            <w:noWrap/>
            <w:vAlign w:val="bottom"/>
            <w:hideMark/>
          </w:tcPr>
          <w:p w14:paraId="5D250DEB" w14:textId="77777777" w:rsidR="00B27DCD" w:rsidRPr="009F0A74" w:rsidRDefault="00B27DCD" w:rsidP="00B27DCD">
            <w:pPr>
              <w:spacing w:after="0" w:line="240" w:lineRule="auto"/>
              <w:jc w:val="right"/>
              <w:rPr>
                <w:rFonts w:ascii="Calibri" w:eastAsia="Times New Roman" w:hAnsi="Calibri" w:cs="Calibri"/>
                <w:sz w:val="16"/>
                <w:szCs w:val="16"/>
                <w:lang w:eastAsia="hr-HR"/>
              </w:rPr>
            </w:pPr>
            <w:r w:rsidRPr="009F0A74">
              <w:rPr>
                <w:rFonts w:ascii="Calibri" w:eastAsia="Times New Roman" w:hAnsi="Calibri" w:cs="Calibri"/>
                <w:sz w:val="16"/>
                <w:szCs w:val="16"/>
                <w:lang w:eastAsia="hr-HR"/>
              </w:rPr>
              <w:t>0</w:t>
            </w:r>
          </w:p>
        </w:tc>
        <w:tc>
          <w:tcPr>
            <w:tcW w:w="501" w:type="dxa"/>
            <w:gridSpan w:val="2"/>
            <w:tcBorders>
              <w:top w:val="nil"/>
              <w:left w:val="nil"/>
              <w:bottom w:val="single" w:sz="4" w:space="0" w:color="auto"/>
              <w:right w:val="single" w:sz="4" w:space="0" w:color="auto"/>
            </w:tcBorders>
            <w:shd w:val="clear" w:color="000000" w:fill="FF9900"/>
            <w:noWrap/>
            <w:vAlign w:val="bottom"/>
            <w:hideMark/>
          </w:tcPr>
          <w:p w14:paraId="7193CB7B" w14:textId="77777777" w:rsidR="00B27DCD" w:rsidRPr="009F0A74" w:rsidRDefault="00B27DCD" w:rsidP="00B27DCD">
            <w:pPr>
              <w:spacing w:after="0" w:line="240" w:lineRule="auto"/>
              <w:jc w:val="right"/>
              <w:rPr>
                <w:rFonts w:ascii="Calibri" w:eastAsia="Times New Roman" w:hAnsi="Calibri" w:cs="Calibri"/>
                <w:sz w:val="16"/>
                <w:szCs w:val="16"/>
                <w:lang w:eastAsia="hr-HR"/>
              </w:rPr>
            </w:pPr>
            <w:r w:rsidRPr="009F0A74">
              <w:rPr>
                <w:rFonts w:ascii="Calibri" w:eastAsia="Times New Roman" w:hAnsi="Calibri" w:cs="Calibri"/>
                <w:sz w:val="16"/>
                <w:szCs w:val="16"/>
                <w:lang w:eastAsia="hr-HR"/>
              </w:rPr>
              <w:t>0</w:t>
            </w:r>
          </w:p>
        </w:tc>
        <w:tc>
          <w:tcPr>
            <w:tcW w:w="425" w:type="dxa"/>
            <w:tcBorders>
              <w:top w:val="nil"/>
              <w:left w:val="nil"/>
              <w:bottom w:val="single" w:sz="4" w:space="0" w:color="auto"/>
              <w:right w:val="single" w:sz="4" w:space="0" w:color="auto"/>
            </w:tcBorders>
            <w:shd w:val="clear" w:color="000000" w:fill="CCFFFF"/>
            <w:noWrap/>
            <w:vAlign w:val="bottom"/>
            <w:hideMark/>
          </w:tcPr>
          <w:p w14:paraId="4DF22917" w14:textId="77777777" w:rsidR="00B27DCD" w:rsidRPr="009F0A74" w:rsidRDefault="00B27DCD" w:rsidP="00B27DCD">
            <w:pPr>
              <w:spacing w:after="0" w:line="240" w:lineRule="auto"/>
              <w:jc w:val="right"/>
              <w:rPr>
                <w:rFonts w:ascii="Calibri" w:eastAsia="Times New Roman" w:hAnsi="Calibri" w:cs="Calibri"/>
                <w:sz w:val="16"/>
                <w:szCs w:val="16"/>
                <w:lang w:eastAsia="hr-HR"/>
              </w:rPr>
            </w:pPr>
            <w:r w:rsidRPr="009F0A74">
              <w:rPr>
                <w:rFonts w:ascii="Calibri" w:eastAsia="Times New Roman" w:hAnsi="Calibri" w:cs="Calibri"/>
                <w:sz w:val="16"/>
                <w:szCs w:val="16"/>
                <w:lang w:eastAsia="hr-HR"/>
              </w:rPr>
              <w:t>0</w:t>
            </w:r>
          </w:p>
        </w:tc>
        <w:tc>
          <w:tcPr>
            <w:tcW w:w="426" w:type="dxa"/>
            <w:tcBorders>
              <w:top w:val="nil"/>
              <w:left w:val="nil"/>
              <w:bottom w:val="single" w:sz="4" w:space="0" w:color="auto"/>
              <w:right w:val="single" w:sz="4" w:space="0" w:color="auto"/>
            </w:tcBorders>
            <w:shd w:val="clear" w:color="000000" w:fill="CCFFFF"/>
            <w:noWrap/>
            <w:vAlign w:val="bottom"/>
            <w:hideMark/>
          </w:tcPr>
          <w:p w14:paraId="5E1F377D" w14:textId="77777777" w:rsidR="00B27DCD" w:rsidRPr="009F0A74" w:rsidRDefault="00B27DCD" w:rsidP="00B27DCD">
            <w:pPr>
              <w:spacing w:after="0" w:line="240" w:lineRule="auto"/>
              <w:jc w:val="right"/>
              <w:rPr>
                <w:rFonts w:ascii="Calibri" w:eastAsia="Times New Roman" w:hAnsi="Calibri" w:cs="Calibri"/>
                <w:sz w:val="16"/>
                <w:szCs w:val="16"/>
                <w:lang w:eastAsia="hr-HR"/>
              </w:rPr>
            </w:pPr>
            <w:r w:rsidRPr="009F0A74">
              <w:rPr>
                <w:rFonts w:ascii="Calibri" w:eastAsia="Times New Roman" w:hAnsi="Calibri" w:cs="Calibri"/>
                <w:sz w:val="16"/>
                <w:szCs w:val="16"/>
                <w:lang w:eastAsia="hr-HR"/>
              </w:rPr>
              <w:t>0</w:t>
            </w:r>
          </w:p>
        </w:tc>
        <w:tc>
          <w:tcPr>
            <w:tcW w:w="818" w:type="dxa"/>
            <w:gridSpan w:val="2"/>
            <w:tcBorders>
              <w:top w:val="nil"/>
              <w:left w:val="nil"/>
              <w:bottom w:val="single" w:sz="4" w:space="0" w:color="auto"/>
              <w:right w:val="single" w:sz="4" w:space="0" w:color="auto"/>
            </w:tcBorders>
            <w:shd w:val="clear" w:color="000000" w:fill="33CCCC"/>
            <w:noWrap/>
            <w:vAlign w:val="bottom"/>
            <w:hideMark/>
          </w:tcPr>
          <w:p w14:paraId="6EA091F8" w14:textId="77777777" w:rsidR="00B27DCD" w:rsidRPr="009F0A74" w:rsidRDefault="00B27DCD" w:rsidP="00B27DCD">
            <w:pPr>
              <w:spacing w:after="0" w:line="240" w:lineRule="auto"/>
              <w:jc w:val="right"/>
              <w:rPr>
                <w:rFonts w:ascii="Calibri" w:eastAsia="Times New Roman" w:hAnsi="Calibri" w:cs="Calibri"/>
                <w:sz w:val="16"/>
                <w:szCs w:val="16"/>
                <w:lang w:eastAsia="hr-HR"/>
              </w:rPr>
            </w:pPr>
            <w:r w:rsidRPr="009F0A74">
              <w:rPr>
                <w:rFonts w:ascii="Calibri" w:eastAsia="Times New Roman" w:hAnsi="Calibri" w:cs="Calibri"/>
                <w:sz w:val="16"/>
                <w:szCs w:val="16"/>
                <w:lang w:eastAsia="hr-HR"/>
              </w:rPr>
              <w:t>0</w:t>
            </w:r>
          </w:p>
        </w:tc>
        <w:tc>
          <w:tcPr>
            <w:tcW w:w="818" w:type="dxa"/>
            <w:gridSpan w:val="2"/>
            <w:tcBorders>
              <w:top w:val="nil"/>
              <w:left w:val="nil"/>
              <w:bottom w:val="single" w:sz="4" w:space="0" w:color="auto"/>
              <w:right w:val="single" w:sz="8" w:space="0" w:color="auto"/>
            </w:tcBorders>
            <w:shd w:val="clear" w:color="000000" w:fill="33CCCC"/>
            <w:noWrap/>
            <w:vAlign w:val="bottom"/>
            <w:hideMark/>
          </w:tcPr>
          <w:p w14:paraId="210CD5F3" w14:textId="77777777" w:rsidR="00B27DCD" w:rsidRPr="009F0A74" w:rsidRDefault="00B27DCD" w:rsidP="00B27DCD">
            <w:pPr>
              <w:spacing w:after="0" w:line="240" w:lineRule="auto"/>
              <w:jc w:val="right"/>
              <w:rPr>
                <w:rFonts w:ascii="Calibri" w:eastAsia="Times New Roman" w:hAnsi="Calibri" w:cs="Calibri"/>
                <w:sz w:val="16"/>
                <w:szCs w:val="16"/>
                <w:lang w:eastAsia="hr-HR"/>
              </w:rPr>
            </w:pPr>
            <w:r w:rsidRPr="009F0A74">
              <w:rPr>
                <w:rFonts w:ascii="Calibri" w:eastAsia="Times New Roman" w:hAnsi="Calibri" w:cs="Calibri"/>
                <w:sz w:val="16"/>
                <w:szCs w:val="16"/>
                <w:lang w:eastAsia="hr-HR"/>
              </w:rPr>
              <w:t>0</w:t>
            </w:r>
          </w:p>
        </w:tc>
        <w:tc>
          <w:tcPr>
            <w:tcW w:w="236" w:type="dxa"/>
            <w:gridSpan w:val="3"/>
            <w:vAlign w:val="center"/>
            <w:hideMark/>
          </w:tcPr>
          <w:p w14:paraId="047892B0" w14:textId="77777777" w:rsidR="00B27DCD" w:rsidRPr="009F0A74" w:rsidRDefault="00B27DCD" w:rsidP="00B27DCD">
            <w:pPr>
              <w:spacing w:after="0" w:line="240" w:lineRule="auto"/>
              <w:rPr>
                <w:rFonts w:ascii="Times New Roman" w:eastAsia="Times New Roman" w:hAnsi="Times New Roman" w:cs="Times New Roman"/>
                <w:sz w:val="16"/>
                <w:szCs w:val="16"/>
                <w:lang w:eastAsia="hr-HR"/>
              </w:rPr>
            </w:pPr>
          </w:p>
        </w:tc>
      </w:tr>
      <w:tr w:rsidR="009F0A74" w:rsidRPr="009F0A74" w14:paraId="54E9088C" w14:textId="77777777" w:rsidTr="009F0A74">
        <w:trPr>
          <w:trHeight w:val="315"/>
        </w:trPr>
        <w:tc>
          <w:tcPr>
            <w:tcW w:w="840" w:type="dxa"/>
            <w:tcBorders>
              <w:top w:val="single" w:sz="4" w:space="0" w:color="auto"/>
              <w:left w:val="single" w:sz="8" w:space="0" w:color="auto"/>
              <w:bottom w:val="single" w:sz="4" w:space="0" w:color="auto"/>
              <w:right w:val="single" w:sz="4" w:space="0" w:color="000000"/>
            </w:tcBorders>
            <w:shd w:val="clear" w:color="000000" w:fill="CCFFCC"/>
            <w:vAlign w:val="center"/>
            <w:hideMark/>
          </w:tcPr>
          <w:p w14:paraId="3A2D9653" w14:textId="77777777" w:rsidR="00B27DCD" w:rsidRPr="009F0A74" w:rsidRDefault="00B27DCD" w:rsidP="00B27DCD">
            <w:pPr>
              <w:spacing w:after="0" w:line="240" w:lineRule="auto"/>
              <w:rPr>
                <w:rFonts w:ascii="Calibri" w:eastAsia="Times New Roman" w:hAnsi="Calibri" w:cs="Calibri"/>
                <w:sz w:val="16"/>
                <w:szCs w:val="16"/>
                <w:lang w:eastAsia="hr-HR"/>
              </w:rPr>
            </w:pPr>
            <w:r w:rsidRPr="009F0A74">
              <w:rPr>
                <w:rFonts w:ascii="Calibri" w:eastAsia="Times New Roman" w:hAnsi="Calibri" w:cs="Calibri"/>
                <w:sz w:val="16"/>
                <w:szCs w:val="16"/>
                <w:lang w:eastAsia="hr-HR"/>
              </w:rPr>
              <w:t>Imovina</w:t>
            </w:r>
          </w:p>
        </w:tc>
        <w:tc>
          <w:tcPr>
            <w:tcW w:w="540" w:type="dxa"/>
            <w:tcBorders>
              <w:top w:val="nil"/>
              <w:left w:val="nil"/>
              <w:bottom w:val="single" w:sz="4" w:space="0" w:color="auto"/>
              <w:right w:val="single" w:sz="4" w:space="0" w:color="auto"/>
            </w:tcBorders>
            <w:shd w:val="clear" w:color="000000" w:fill="FFFF00"/>
            <w:vAlign w:val="bottom"/>
            <w:hideMark/>
          </w:tcPr>
          <w:p w14:paraId="01ECD34F" w14:textId="77777777" w:rsidR="00B27DCD" w:rsidRPr="009F0A74" w:rsidRDefault="00B27DCD" w:rsidP="00B27DCD">
            <w:pPr>
              <w:spacing w:after="0" w:line="240" w:lineRule="auto"/>
              <w:jc w:val="right"/>
              <w:rPr>
                <w:rFonts w:ascii="Calibri" w:eastAsia="Times New Roman" w:hAnsi="Calibri" w:cs="Calibri"/>
                <w:sz w:val="16"/>
                <w:szCs w:val="16"/>
                <w:lang w:eastAsia="hr-HR"/>
              </w:rPr>
            </w:pPr>
            <w:r w:rsidRPr="009F0A74">
              <w:rPr>
                <w:rFonts w:ascii="Calibri" w:eastAsia="Times New Roman" w:hAnsi="Calibri" w:cs="Calibri"/>
                <w:sz w:val="16"/>
                <w:szCs w:val="16"/>
                <w:lang w:eastAsia="hr-HR"/>
              </w:rPr>
              <w:t>0</w:t>
            </w:r>
          </w:p>
        </w:tc>
        <w:tc>
          <w:tcPr>
            <w:tcW w:w="444" w:type="dxa"/>
            <w:tcBorders>
              <w:top w:val="nil"/>
              <w:left w:val="nil"/>
              <w:bottom w:val="single" w:sz="4" w:space="0" w:color="auto"/>
              <w:right w:val="single" w:sz="4" w:space="0" w:color="auto"/>
            </w:tcBorders>
            <w:shd w:val="clear" w:color="000000" w:fill="FFCC99"/>
            <w:noWrap/>
            <w:vAlign w:val="bottom"/>
            <w:hideMark/>
          </w:tcPr>
          <w:p w14:paraId="7573396A" w14:textId="77777777" w:rsidR="00B27DCD" w:rsidRPr="009F0A74" w:rsidRDefault="00B27DCD" w:rsidP="00B27DCD">
            <w:pPr>
              <w:spacing w:after="0" w:line="240" w:lineRule="auto"/>
              <w:jc w:val="right"/>
              <w:rPr>
                <w:rFonts w:ascii="Calibri" w:eastAsia="Times New Roman" w:hAnsi="Calibri" w:cs="Calibri"/>
                <w:sz w:val="16"/>
                <w:szCs w:val="16"/>
                <w:lang w:eastAsia="hr-HR"/>
              </w:rPr>
            </w:pPr>
            <w:r w:rsidRPr="009F0A74">
              <w:rPr>
                <w:rFonts w:ascii="Calibri" w:eastAsia="Times New Roman" w:hAnsi="Calibri" w:cs="Calibri"/>
                <w:sz w:val="16"/>
                <w:szCs w:val="16"/>
                <w:lang w:eastAsia="hr-HR"/>
              </w:rPr>
              <w:t>0</w:t>
            </w:r>
          </w:p>
        </w:tc>
        <w:tc>
          <w:tcPr>
            <w:tcW w:w="433" w:type="dxa"/>
            <w:tcBorders>
              <w:top w:val="nil"/>
              <w:left w:val="nil"/>
              <w:bottom w:val="single" w:sz="4" w:space="0" w:color="auto"/>
              <w:right w:val="single" w:sz="4" w:space="0" w:color="auto"/>
            </w:tcBorders>
            <w:shd w:val="clear" w:color="000000" w:fill="CCFFFF"/>
            <w:noWrap/>
            <w:vAlign w:val="bottom"/>
            <w:hideMark/>
          </w:tcPr>
          <w:p w14:paraId="606E8ECB" w14:textId="77777777" w:rsidR="00B27DCD" w:rsidRPr="009F0A74" w:rsidRDefault="00B27DCD" w:rsidP="00B27DCD">
            <w:pPr>
              <w:spacing w:after="0" w:line="240" w:lineRule="auto"/>
              <w:jc w:val="right"/>
              <w:rPr>
                <w:rFonts w:ascii="Calibri" w:eastAsia="Times New Roman" w:hAnsi="Calibri" w:cs="Calibri"/>
                <w:sz w:val="16"/>
                <w:szCs w:val="16"/>
                <w:lang w:eastAsia="hr-HR"/>
              </w:rPr>
            </w:pPr>
            <w:r w:rsidRPr="009F0A74">
              <w:rPr>
                <w:rFonts w:ascii="Calibri" w:eastAsia="Times New Roman" w:hAnsi="Calibri" w:cs="Calibri"/>
                <w:sz w:val="16"/>
                <w:szCs w:val="16"/>
                <w:lang w:eastAsia="hr-HR"/>
              </w:rPr>
              <w:t>0</w:t>
            </w:r>
          </w:p>
        </w:tc>
        <w:tc>
          <w:tcPr>
            <w:tcW w:w="324" w:type="dxa"/>
            <w:tcBorders>
              <w:top w:val="nil"/>
              <w:left w:val="nil"/>
              <w:bottom w:val="single" w:sz="4" w:space="0" w:color="auto"/>
              <w:right w:val="single" w:sz="4" w:space="0" w:color="auto"/>
            </w:tcBorders>
            <w:shd w:val="clear" w:color="000000" w:fill="CCFFFF"/>
            <w:noWrap/>
            <w:vAlign w:val="bottom"/>
            <w:hideMark/>
          </w:tcPr>
          <w:p w14:paraId="0C68F943" w14:textId="77777777" w:rsidR="00B27DCD" w:rsidRPr="009F0A74" w:rsidRDefault="00B27DCD" w:rsidP="00B27DCD">
            <w:pPr>
              <w:spacing w:after="0" w:line="240" w:lineRule="auto"/>
              <w:jc w:val="right"/>
              <w:rPr>
                <w:rFonts w:ascii="Calibri" w:eastAsia="Times New Roman" w:hAnsi="Calibri" w:cs="Calibri"/>
                <w:sz w:val="16"/>
                <w:szCs w:val="16"/>
                <w:lang w:eastAsia="hr-HR"/>
              </w:rPr>
            </w:pPr>
            <w:r w:rsidRPr="009F0A74">
              <w:rPr>
                <w:rFonts w:ascii="Calibri" w:eastAsia="Times New Roman" w:hAnsi="Calibri" w:cs="Calibri"/>
                <w:sz w:val="16"/>
                <w:szCs w:val="16"/>
                <w:lang w:eastAsia="hr-HR"/>
              </w:rPr>
              <w:t>0</w:t>
            </w:r>
          </w:p>
        </w:tc>
        <w:tc>
          <w:tcPr>
            <w:tcW w:w="385" w:type="dxa"/>
            <w:gridSpan w:val="2"/>
            <w:tcBorders>
              <w:top w:val="nil"/>
              <w:left w:val="nil"/>
              <w:bottom w:val="single" w:sz="4" w:space="0" w:color="auto"/>
              <w:right w:val="single" w:sz="4" w:space="0" w:color="auto"/>
            </w:tcBorders>
            <w:shd w:val="clear" w:color="000000" w:fill="FFFF99"/>
            <w:noWrap/>
            <w:vAlign w:val="bottom"/>
            <w:hideMark/>
          </w:tcPr>
          <w:p w14:paraId="322F27F4" w14:textId="77777777" w:rsidR="00B27DCD" w:rsidRPr="009F0A74" w:rsidRDefault="00B27DCD" w:rsidP="00B27DCD">
            <w:pPr>
              <w:spacing w:after="0" w:line="240" w:lineRule="auto"/>
              <w:jc w:val="right"/>
              <w:rPr>
                <w:rFonts w:ascii="Calibri" w:eastAsia="Times New Roman" w:hAnsi="Calibri" w:cs="Calibri"/>
                <w:sz w:val="16"/>
                <w:szCs w:val="16"/>
                <w:lang w:eastAsia="hr-HR"/>
              </w:rPr>
            </w:pPr>
            <w:r w:rsidRPr="009F0A74">
              <w:rPr>
                <w:rFonts w:ascii="Calibri" w:eastAsia="Times New Roman" w:hAnsi="Calibri" w:cs="Calibri"/>
                <w:sz w:val="16"/>
                <w:szCs w:val="16"/>
                <w:lang w:eastAsia="hr-HR"/>
              </w:rPr>
              <w:t>0</w:t>
            </w:r>
          </w:p>
        </w:tc>
        <w:tc>
          <w:tcPr>
            <w:tcW w:w="334" w:type="dxa"/>
            <w:tcBorders>
              <w:top w:val="nil"/>
              <w:left w:val="nil"/>
              <w:bottom w:val="single" w:sz="4" w:space="0" w:color="auto"/>
              <w:right w:val="single" w:sz="4" w:space="0" w:color="auto"/>
            </w:tcBorders>
            <w:shd w:val="clear" w:color="000000" w:fill="FFFF99"/>
            <w:noWrap/>
            <w:vAlign w:val="bottom"/>
            <w:hideMark/>
          </w:tcPr>
          <w:p w14:paraId="561C8059" w14:textId="77777777" w:rsidR="00B27DCD" w:rsidRPr="009F0A74" w:rsidRDefault="00B27DCD" w:rsidP="00B27DCD">
            <w:pPr>
              <w:spacing w:after="0" w:line="240" w:lineRule="auto"/>
              <w:jc w:val="right"/>
              <w:rPr>
                <w:rFonts w:ascii="Calibri" w:eastAsia="Times New Roman" w:hAnsi="Calibri" w:cs="Calibri"/>
                <w:sz w:val="16"/>
                <w:szCs w:val="16"/>
                <w:lang w:eastAsia="hr-HR"/>
              </w:rPr>
            </w:pPr>
            <w:r w:rsidRPr="009F0A74">
              <w:rPr>
                <w:rFonts w:ascii="Calibri" w:eastAsia="Times New Roman" w:hAnsi="Calibri" w:cs="Calibri"/>
                <w:sz w:val="16"/>
                <w:szCs w:val="16"/>
                <w:lang w:eastAsia="hr-HR"/>
              </w:rPr>
              <w:t>0</w:t>
            </w:r>
          </w:p>
        </w:tc>
        <w:tc>
          <w:tcPr>
            <w:tcW w:w="658" w:type="dxa"/>
            <w:tcBorders>
              <w:top w:val="nil"/>
              <w:left w:val="nil"/>
              <w:bottom w:val="single" w:sz="4" w:space="0" w:color="auto"/>
              <w:right w:val="single" w:sz="4" w:space="0" w:color="auto"/>
            </w:tcBorders>
            <w:shd w:val="clear" w:color="000000" w:fill="FFFF99"/>
            <w:noWrap/>
            <w:vAlign w:val="bottom"/>
            <w:hideMark/>
          </w:tcPr>
          <w:p w14:paraId="1E74C5D4" w14:textId="77777777" w:rsidR="00B27DCD" w:rsidRPr="009F0A74" w:rsidRDefault="00B27DCD" w:rsidP="00B27DCD">
            <w:pPr>
              <w:spacing w:after="0" w:line="240" w:lineRule="auto"/>
              <w:jc w:val="right"/>
              <w:rPr>
                <w:rFonts w:ascii="Calibri" w:eastAsia="Times New Roman" w:hAnsi="Calibri" w:cs="Calibri"/>
                <w:sz w:val="16"/>
                <w:szCs w:val="16"/>
                <w:lang w:eastAsia="hr-HR"/>
              </w:rPr>
            </w:pPr>
            <w:r w:rsidRPr="009F0A74">
              <w:rPr>
                <w:rFonts w:ascii="Calibri" w:eastAsia="Times New Roman" w:hAnsi="Calibri" w:cs="Calibri"/>
                <w:sz w:val="16"/>
                <w:szCs w:val="16"/>
                <w:lang w:eastAsia="hr-HR"/>
              </w:rPr>
              <w:t>0</w:t>
            </w:r>
          </w:p>
        </w:tc>
        <w:tc>
          <w:tcPr>
            <w:tcW w:w="447" w:type="dxa"/>
            <w:tcBorders>
              <w:top w:val="nil"/>
              <w:left w:val="nil"/>
              <w:bottom w:val="single" w:sz="4" w:space="0" w:color="auto"/>
              <w:right w:val="single" w:sz="4" w:space="0" w:color="auto"/>
            </w:tcBorders>
            <w:shd w:val="clear" w:color="000000" w:fill="FFFF99"/>
            <w:noWrap/>
            <w:vAlign w:val="bottom"/>
            <w:hideMark/>
          </w:tcPr>
          <w:p w14:paraId="00D61449" w14:textId="77777777" w:rsidR="00B27DCD" w:rsidRPr="009F0A74" w:rsidRDefault="00B27DCD" w:rsidP="00B27DCD">
            <w:pPr>
              <w:spacing w:after="0" w:line="240" w:lineRule="auto"/>
              <w:jc w:val="right"/>
              <w:rPr>
                <w:rFonts w:ascii="Calibri" w:eastAsia="Times New Roman" w:hAnsi="Calibri" w:cs="Calibri"/>
                <w:sz w:val="16"/>
                <w:szCs w:val="16"/>
                <w:lang w:eastAsia="hr-HR"/>
              </w:rPr>
            </w:pPr>
            <w:r w:rsidRPr="009F0A74">
              <w:rPr>
                <w:rFonts w:ascii="Calibri" w:eastAsia="Times New Roman" w:hAnsi="Calibri" w:cs="Calibri"/>
                <w:sz w:val="16"/>
                <w:szCs w:val="16"/>
                <w:lang w:eastAsia="hr-HR"/>
              </w:rPr>
              <w:t>0</w:t>
            </w:r>
          </w:p>
        </w:tc>
        <w:tc>
          <w:tcPr>
            <w:tcW w:w="644" w:type="dxa"/>
            <w:gridSpan w:val="2"/>
            <w:tcBorders>
              <w:top w:val="nil"/>
              <w:left w:val="nil"/>
              <w:bottom w:val="single" w:sz="4" w:space="0" w:color="auto"/>
              <w:right w:val="single" w:sz="4" w:space="0" w:color="auto"/>
            </w:tcBorders>
            <w:shd w:val="clear" w:color="000000" w:fill="FFFF99"/>
            <w:noWrap/>
            <w:vAlign w:val="bottom"/>
            <w:hideMark/>
          </w:tcPr>
          <w:p w14:paraId="2FD4E5D3" w14:textId="77777777" w:rsidR="00B27DCD" w:rsidRPr="009F0A74" w:rsidRDefault="00B27DCD" w:rsidP="00B27DCD">
            <w:pPr>
              <w:spacing w:after="0" w:line="240" w:lineRule="auto"/>
              <w:jc w:val="right"/>
              <w:rPr>
                <w:rFonts w:ascii="Calibri" w:eastAsia="Times New Roman" w:hAnsi="Calibri" w:cs="Calibri"/>
                <w:sz w:val="16"/>
                <w:szCs w:val="16"/>
                <w:lang w:eastAsia="hr-HR"/>
              </w:rPr>
            </w:pPr>
            <w:r w:rsidRPr="009F0A74">
              <w:rPr>
                <w:rFonts w:ascii="Calibri" w:eastAsia="Times New Roman" w:hAnsi="Calibri" w:cs="Calibri"/>
                <w:sz w:val="16"/>
                <w:szCs w:val="16"/>
                <w:lang w:eastAsia="hr-HR"/>
              </w:rPr>
              <w:t>0</w:t>
            </w:r>
          </w:p>
        </w:tc>
        <w:tc>
          <w:tcPr>
            <w:tcW w:w="452" w:type="dxa"/>
            <w:tcBorders>
              <w:top w:val="nil"/>
              <w:left w:val="nil"/>
              <w:bottom w:val="single" w:sz="4" w:space="0" w:color="auto"/>
              <w:right w:val="single" w:sz="4" w:space="0" w:color="auto"/>
            </w:tcBorders>
            <w:shd w:val="clear" w:color="000000" w:fill="FFFF99"/>
            <w:noWrap/>
            <w:vAlign w:val="bottom"/>
            <w:hideMark/>
          </w:tcPr>
          <w:p w14:paraId="15819710" w14:textId="77777777" w:rsidR="00B27DCD" w:rsidRPr="009F0A74" w:rsidRDefault="00B27DCD" w:rsidP="00B27DCD">
            <w:pPr>
              <w:spacing w:after="0" w:line="240" w:lineRule="auto"/>
              <w:jc w:val="right"/>
              <w:rPr>
                <w:rFonts w:ascii="Calibri" w:eastAsia="Times New Roman" w:hAnsi="Calibri" w:cs="Calibri"/>
                <w:sz w:val="16"/>
                <w:szCs w:val="16"/>
                <w:lang w:eastAsia="hr-HR"/>
              </w:rPr>
            </w:pPr>
            <w:r w:rsidRPr="009F0A74">
              <w:rPr>
                <w:rFonts w:ascii="Calibri" w:eastAsia="Times New Roman" w:hAnsi="Calibri" w:cs="Calibri"/>
                <w:sz w:val="16"/>
                <w:szCs w:val="16"/>
                <w:lang w:eastAsia="hr-HR"/>
              </w:rPr>
              <w:t>0</w:t>
            </w:r>
          </w:p>
        </w:tc>
        <w:tc>
          <w:tcPr>
            <w:tcW w:w="538" w:type="dxa"/>
            <w:tcBorders>
              <w:top w:val="nil"/>
              <w:left w:val="nil"/>
              <w:bottom w:val="single" w:sz="4" w:space="0" w:color="auto"/>
              <w:right w:val="single" w:sz="4" w:space="0" w:color="auto"/>
            </w:tcBorders>
            <w:shd w:val="clear" w:color="000000" w:fill="FFFF99"/>
            <w:noWrap/>
            <w:vAlign w:val="bottom"/>
            <w:hideMark/>
          </w:tcPr>
          <w:p w14:paraId="278D03C3" w14:textId="77777777" w:rsidR="00B27DCD" w:rsidRPr="009F0A74" w:rsidRDefault="00B27DCD" w:rsidP="00B27DCD">
            <w:pPr>
              <w:spacing w:after="0" w:line="240" w:lineRule="auto"/>
              <w:jc w:val="right"/>
              <w:rPr>
                <w:rFonts w:ascii="Calibri" w:eastAsia="Times New Roman" w:hAnsi="Calibri" w:cs="Calibri"/>
                <w:sz w:val="16"/>
                <w:szCs w:val="16"/>
                <w:lang w:eastAsia="hr-HR"/>
              </w:rPr>
            </w:pPr>
            <w:r w:rsidRPr="009F0A74">
              <w:rPr>
                <w:rFonts w:ascii="Calibri" w:eastAsia="Times New Roman" w:hAnsi="Calibri" w:cs="Calibri"/>
                <w:sz w:val="16"/>
                <w:szCs w:val="16"/>
                <w:lang w:eastAsia="hr-HR"/>
              </w:rPr>
              <w:t>0</w:t>
            </w:r>
          </w:p>
        </w:tc>
        <w:tc>
          <w:tcPr>
            <w:tcW w:w="447" w:type="dxa"/>
            <w:tcBorders>
              <w:top w:val="nil"/>
              <w:left w:val="nil"/>
              <w:bottom w:val="single" w:sz="4" w:space="0" w:color="auto"/>
              <w:right w:val="single" w:sz="4" w:space="0" w:color="auto"/>
            </w:tcBorders>
            <w:shd w:val="clear" w:color="000000" w:fill="FFFF99"/>
            <w:noWrap/>
            <w:vAlign w:val="bottom"/>
            <w:hideMark/>
          </w:tcPr>
          <w:p w14:paraId="67D621D9" w14:textId="77777777" w:rsidR="00B27DCD" w:rsidRPr="009F0A74" w:rsidRDefault="00B27DCD" w:rsidP="00B27DCD">
            <w:pPr>
              <w:spacing w:after="0" w:line="240" w:lineRule="auto"/>
              <w:jc w:val="right"/>
              <w:rPr>
                <w:rFonts w:ascii="Calibri" w:eastAsia="Times New Roman" w:hAnsi="Calibri" w:cs="Calibri"/>
                <w:sz w:val="16"/>
                <w:szCs w:val="16"/>
                <w:lang w:eastAsia="hr-HR"/>
              </w:rPr>
            </w:pPr>
            <w:r w:rsidRPr="009F0A74">
              <w:rPr>
                <w:rFonts w:ascii="Calibri" w:eastAsia="Times New Roman" w:hAnsi="Calibri" w:cs="Calibri"/>
                <w:sz w:val="16"/>
                <w:szCs w:val="16"/>
                <w:lang w:eastAsia="hr-HR"/>
              </w:rPr>
              <w:t>0</w:t>
            </w:r>
          </w:p>
        </w:tc>
        <w:tc>
          <w:tcPr>
            <w:tcW w:w="447" w:type="dxa"/>
            <w:tcBorders>
              <w:top w:val="nil"/>
              <w:left w:val="nil"/>
              <w:bottom w:val="single" w:sz="4" w:space="0" w:color="auto"/>
              <w:right w:val="single" w:sz="4" w:space="0" w:color="auto"/>
            </w:tcBorders>
            <w:shd w:val="clear" w:color="000000" w:fill="FFFF99"/>
            <w:noWrap/>
            <w:vAlign w:val="bottom"/>
            <w:hideMark/>
          </w:tcPr>
          <w:p w14:paraId="1CDD6766" w14:textId="77777777" w:rsidR="00B27DCD" w:rsidRPr="009F0A74" w:rsidRDefault="00B27DCD" w:rsidP="00B27DCD">
            <w:pPr>
              <w:spacing w:after="0" w:line="240" w:lineRule="auto"/>
              <w:jc w:val="right"/>
              <w:rPr>
                <w:rFonts w:ascii="Calibri" w:eastAsia="Times New Roman" w:hAnsi="Calibri" w:cs="Calibri"/>
                <w:sz w:val="16"/>
                <w:szCs w:val="16"/>
                <w:lang w:eastAsia="hr-HR"/>
              </w:rPr>
            </w:pPr>
            <w:r w:rsidRPr="009F0A74">
              <w:rPr>
                <w:rFonts w:ascii="Calibri" w:eastAsia="Times New Roman" w:hAnsi="Calibri" w:cs="Calibri"/>
                <w:sz w:val="16"/>
                <w:szCs w:val="16"/>
                <w:lang w:eastAsia="hr-HR"/>
              </w:rPr>
              <w:t>0</w:t>
            </w:r>
          </w:p>
        </w:tc>
        <w:tc>
          <w:tcPr>
            <w:tcW w:w="400" w:type="dxa"/>
            <w:tcBorders>
              <w:top w:val="nil"/>
              <w:left w:val="nil"/>
              <w:bottom w:val="single" w:sz="4" w:space="0" w:color="auto"/>
              <w:right w:val="single" w:sz="4" w:space="0" w:color="auto"/>
            </w:tcBorders>
            <w:shd w:val="clear" w:color="000000" w:fill="FFFF99"/>
            <w:noWrap/>
            <w:vAlign w:val="bottom"/>
            <w:hideMark/>
          </w:tcPr>
          <w:p w14:paraId="74D482E0" w14:textId="77777777" w:rsidR="00B27DCD" w:rsidRPr="009F0A74" w:rsidRDefault="00B27DCD" w:rsidP="00B27DCD">
            <w:pPr>
              <w:spacing w:after="0" w:line="240" w:lineRule="auto"/>
              <w:jc w:val="right"/>
              <w:rPr>
                <w:rFonts w:ascii="Calibri" w:eastAsia="Times New Roman" w:hAnsi="Calibri" w:cs="Calibri"/>
                <w:sz w:val="16"/>
                <w:szCs w:val="16"/>
                <w:lang w:eastAsia="hr-HR"/>
              </w:rPr>
            </w:pPr>
            <w:r w:rsidRPr="009F0A74">
              <w:rPr>
                <w:rFonts w:ascii="Calibri" w:eastAsia="Times New Roman" w:hAnsi="Calibri" w:cs="Calibri"/>
                <w:sz w:val="16"/>
                <w:szCs w:val="16"/>
                <w:lang w:eastAsia="hr-HR"/>
              </w:rPr>
              <w:t>0</w:t>
            </w:r>
          </w:p>
        </w:tc>
        <w:tc>
          <w:tcPr>
            <w:tcW w:w="357" w:type="dxa"/>
            <w:gridSpan w:val="2"/>
            <w:tcBorders>
              <w:top w:val="nil"/>
              <w:left w:val="nil"/>
              <w:bottom w:val="single" w:sz="4" w:space="0" w:color="auto"/>
              <w:right w:val="single" w:sz="4" w:space="0" w:color="auto"/>
            </w:tcBorders>
            <w:shd w:val="clear" w:color="000000" w:fill="FF9900"/>
            <w:noWrap/>
            <w:vAlign w:val="bottom"/>
            <w:hideMark/>
          </w:tcPr>
          <w:p w14:paraId="17ADCEE0" w14:textId="77777777" w:rsidR="00B27DCD" w:rsidRPr="009F0A74" w:rsidRDefault="00B27DCD" w:rsidP="00B27DCD">
            <w:pPr>
              <w:spacing w:after="0" w:line="240" w:lineRule="auto"/>
              <w:jc w:val="right"/>
              <w:rPr>
                <w:rFonts w:ascii="Calibri" w:eastAsia="Times New Roman" w:hAnsi="Calibri" w:cs="Calibri"/>
                <w:sz w:val="16"/>
                <w:szCs w:val="16"/>
                <w:lang w:eastAsia="hr-HR"/>
              </w:rPr>
            </w:pPr>
            <w:r w:rsidRPr="009F0A74">
              <w:rPr>
                <w:rFonts w:ascii="Calibri" w:eastAsia="Times New Roman" w:hAnsi="Calibri" w:cs="Calibri"/>
                <w:sz w:val="16"/>
                <w:szCs w:val="16"/>
                <w:lang w:eastAsia="hr-HR"/>
              </w:rPr>
              <w:t>0</w:t>
            </w:r>
          </w:p>
        </w:tc>
        <w:tc>
          <w:tcPr>
            <w:tcW w:w="447" w:type="dxa"/>
            <w:tcBorders>
              <w:top w:val="nil"/>
              <w:left w:val="nil"/>
              <w:bottom w:val="single" w:sz="4" w:space="0" w:color="auto"/>
              <w:right w:val="single" w:sz="4" w:space="0" w:color="auto"/>
            </w:tcBorders>
            <w:shd w:val="clear" w:color="000000" w:fill="FF9900"/>
            <w:noWrap/>
            <w:vAlign w:val="bottom"/>
            <w:hideMark/>
          </w:tcPr>
          <w:p w14:paraId="01E638D3" w14:textId="77777777" w:rsidR="00B27DCD" w:rsidRPr="009F0A74" w:rsidRDefault="00B27DCD" w:rsidP="00B27DCD">
            <w:pPr>
              <w:spacing w:after="0" w:line="240" w:lineRule="auto"/>
              <w:jc w:val="right"/>
              <w:rPr>
                <w:rFonts w:ascii="Calibri" w:eastAsia="Times New Roman" w:hAnsi="Calibri" w:cs="Calibri"/>
                <w:sz w:val="16"/>
                <w:szCs w:val="16"/>
                <w:lang w:eastAsia="hr-HR"/>
              </w:rPr>
            </w:pPr>
            <w:r w:rsidRPr="009F0A74">
              <w:rPr>
                <w:rFonts w:ascii="Calibri" w:eastAsia="Times New Roman" w:hAnsi="Calibri" w:cs="Calibri"/>
                <w:sz w:val="16"/>
                <w:szCs w:val="16"/>
                <w:lang w:eastAsia="hr-HR"/>
              </w:rPr>
              <w:t>0</w:t>
            </w:r>
          </w:p>
        </w:tc>
        <w:tc>
          <w:tcPr>
            <w:tcW w:w="447" w:type="dxa"/>
            <w:tcBorders>
              <w:top w:val="nil"/>
              <w:left w:val="nil"/>
              <w:bottom w:val="single" w:sz="4" w:space="0" w:color="auto"/>
              <w:right w:val="single" w:sz="4" w:space="0" w:color="auto"/>
            </w:tcBorders>
            <w:shd w:val="clear" w:color="000000" w:fill="FF9900"/>
            <w:noWrap/>
            <w:vAlign w:val="bottom"/>
            <w:hideMark/>
          </w:tcPr>
          <w:p w14:paraId="781EBB22" w14:textId="77777777" w:rsidR="00B27DCD" w:rsidRPr="009F0A74" w:rsidRDefault="00B27DCD" w:rsidP="00B27DCD">
            <w:pPr>
              <w:spacing w:after="0" w:line="240" w:lineRule="auto"/>
              <w:jc w:val="right"/>
              <w:rPr>
                <w:rFonts w:ascii="Calibri" w:eastAsia="Times New Roman" w:hAnsi="Calibri" w:cs="Calibri"/>
                <w:sz w:val="16"/>
                <w:szCs w:val="16"/>
                <w:lang w:eastAsia="hr-HR"/>
              </w:rPr>
            </w:pPr>
            <w:r w:rsidRPr="009F0A74">
              <w:rPr>
                <w:rFonts w:ascii="Calibri" w:eastAsia="Times New Roman" w:hAnsi="Calibri" w:cs="Calibri"/>
                <w:sz w:val="16"/>
                <w:szCs w:val="16"/>
                <w:lang w:eastAsia="hr-HR"/>
              </w:rPr>
              <w:t>0</w:t>
            </w:r>
          </w:p>
        </w:tc>
        <w:tc>
          <w:tcPr>
            <w:tcW w:w="446" w:type="dxa"/>
            <w:tcBorders>
              <w:top w:val="nil"/>
              <w:left w:val="nil"/>
              <w:bottom w:val="single" w:sz="4" w:space="0" w:color="auto"/>
              <w:right w:val="single" w:sz="4" w:space="0" w:color="auto"/>
            </w:tcBorders>
            <w:shd w:val="clear" w:color="auto" w:fill="auto"/>
            <w:vAlign w:val="bottom"/>
            <w:hideMark/>
          </w:tcPr>
          <w:p w14:paraId="4DFE084E" w14:textId="77777777" w:rsidR="00B27DCD" w:rsidRPr="009F0A74" w:rsidRDefault="00B27DCD" w:rsidP="00B27DCD">
            <w:pPr>
              <w:spacing w:after="0" w:line="240" w:lineRule="auto"/>
              <w:jc w:val="right"/>
              <w:rPr>
                <w:rFonts w:ascii="Calibri" w:eastAsia="Times New Roman" w:hAnsi="Calibri" w:cs="Calibri"/>
                <w:b/>
                <w:bCs/>
                <w:sz w:val="16"/>
                <w:szCs w:val="16"/>
                <w:lang w:eastAsia="hr-HR"/>
              </w:rPr>
            </w:pPr>
            <w:r w:rsidRPr="009F0A74">
              <w:rPr>
                <w:rFonts w:ascii="Calibri" w:eastAsia="Times New Roman" w:hAnsi="Calibri" w:cs="Calibri"/>
                <w:b/>
                <w:bCs/>
                <w:sz w:val="16"/>
                <w:szCs w:val="16"/>
                <w:lang w:eastAsia="hr-HR"/>
              </w:rPr>
              <w:t>0</w:t>
            </w:r>
          </w:p>
        </w:tc>
        <w:tc>
          <w:tcPr>
            <w:tcW w:w="447" w:type="dxa"/>
            <w:gridSpan w:val="2"/>
            <w:tcBorders>
              <w:top w:val="nil"/>
              <w:left w:val="nil"/>
              <w:bottom w:val="single" w:sz="4" w:space="0" w:color="auto"/>
              <w:right w:val="single" w:sz="4" w:space="0" w:color="auto"/>
            </w:tcBorders>
            <w:shd w:val="clear" w:color="000000" w:fill="FFFF00"/>
            <w:noWrap/>
            <w:vAlign w:val="bottom"/>
            <w:hideMark/>
          </w:tcPr>
          <w:p w14:paraId="259179F8" w14:textId="77777777" w:rsidR="00B27DCD" w:rsidRPr="009F0A74" w:rsidRDefault="00B27DCD" w:rsidP="00B27DCD">
            <w:pPr>
              <w:spacing w:after="0" w:line="240" w:lineRule="auto"/>
              <w:jc w:val="right"/>
              <w:rPr>
                <w:rFonts w:ascii="Calibri" w:eastAsia="Times New Roman" w:hAnsi="Calibri" w:cs="Calibri"/>
                <w:sz w:val="16"/>
                <w:szCs w:val="16"/>
                <w:lang w:eastAsia="hr-HR"/>
              </w:rPr>
            </w:pPr>
            <w:r w:rsidRPr="009F0A74">
              <w:rPr>
                <w:rFonts w:ascii="Calibri" w:eastAsia="Times New Roman" w:hAnsi="Calibri" w:cs="Calibri"/>
                <w:sz w:val="16"/>
                <w:szCs w:val="16"/>
                <w:lang w:eastAsia="hr-HR"/>
              </w:rPr>
              <w:t>0</w:t>
            </w:r>
          </w:p>
        </w:tc>
        <w:tc>
          <w:tcPr>
            <w:tcW w:w="447" w:type="dxa"/>
            <w:tcBorders>
              <w:top w:val="nil"/>
              <w:left w:val="nil"/>
              <w:bottom w:val="single" w:sz="4" w:space="0" w:color="auto"/>
              <w:right w:val="single" w:sz="4" w:space="0" w:color="auto"/>
            </w:tcBorders>
            <w:shd w:val="clear" w:color="000000" w:fill="FFFF00"/>
            <w:noWrap/>
            <w:vAlign w:val="bottom"/>
            <w:hideMark/>
          </w:tcPr>
          <w:p w14:paraId="5900EC92" w14:textId="77777777" w:rsidR="00B27DCD" w:rsidRPr="009F0A74" w:rsidRDefault="00B27DCD" w:rsidP="00B27DCD">
            <w:pPr>
              <w:spacing w:after="0" w:line="240" w:lineRule="auto"/>
              <w:jc w:val="right"/>
              <w:rPr>
                <w:rFonts w:ascii="Calibri" w:eastAsia="Times New Roman" w:hAnsi="Calibri" w:cs="Calibri"/>
                <w:sz w:val="16"/>
                <w:szCs w:val="16"/>
                <w:lang w:eastAsia="hr-HR"/>
              </w:rPr>
            </w:pPr>
            <w:r w:rsidRPr="009F0A74">
              <w:rPr>
                <w:rFonts w:ascii="Calibri" w:eastAsia="Times New Roman" w:hAnsi="Calibri" w:cs="Calibri"/>
                <w:sz w:val="16"/>
                <w:szCs w:val="16"/>
                <w:lang w:eastAsia="hr-HR"/>
              </w:rPr>
              <w:t>0</w:t>
            </w:r>
          </w:p>
        </w:tc>
        <w:tc>
          <w:tcPr>
            <w:tcW w:w="447" w:type="dxa"/>
            <w:tcBorders>
              <w:top w:val="nil"/>
              <w:left w:val="nil"/>
              <w:bottom w:val="single" w:sz="4" w:space="0" w:color="auto"/>
              <w:right w:val="single" w:sz="4" w:space="0" w:color="auto"/>
            </w:tcBorders>
            <w:shd w:val="clear" w:color="000000" w:fill="FFFF00"/>
            <w:noWrap/>
            <w:vAlign w:val="bottom"/>
            <w:hideMark/>
          </w:tcPr>
          <w:p w14:paraId="13806FD6" w14:textId="77777777" w:rsidR="00B27DCD" w:rsidRPr="009F0A74" w:rsidRDefault="00B27DCD" w:rsidP="00B27DCD">
            <w:pPr>
              <w:spacing w:after="0" w:line="240" w:lineRule="auto"/>
              <w:jc w:val="right"/>
              <w:rPr>
                <w:rFonts w:ascii="Calibri" w:eastAsia="Times New Roman" w:hAnsi="Calibri" w:cs="Calibri"/>
                <w:sz w:val="16"/>
                <w:szCs w:val="16"/>
                <w:lang w:eastAsia="hr-HR"/>
              </w:rPr>
            </w:pPr>
            <w:r w:rsidRPr="009F0A74">
              <w:rPr>
                <w:rFonts w:ascii="Calibri" w:eastAsia="Times New Roman" w:hAnsi="Calibri" w:cs="Calibri"/>
                <w:sz w:val="16"/>
                <w:szCs w:val="16"/>
                <w:lang w:eastAsia="hr-HR"/>
              </w:rPr>
              <w:t>0</w:t>
            </w:r>
          </w:p>
        </w:tc>
        <w:tc>
          <w:tcPr>
            <w:tcW w:w="446" w:type="dxa"/>
            <w:tcBorders>
              <w:top w:val="nil"/>
              <w:left w:val="nil"/>
              <w:bottom w:val="single" w:sz="4" w:space="0" w:color="auto"/>
              <w:right w:val="single" w:sz="4" w:space="0" w:color="auto"/>
            </w:tcBorders>
            <w:shd w:val="clear" w:color="auto" w:fill="auto"/>
            <w:vAlign w:val="bottom"/>
            <w:hideMark/>
          </w:tcPr>
          <w:p w14:paraId="414F3391" w14:textId="77777777" w:rsidR="00B27DCD" w:rsidRPr="009F0A74" w:rsidRDefault="00B27DCD" w:rsidP="00B27DCD">
            <w:pPr>
              <w:spacing w:after="0" w:line="240" w:lineRule="auto"/>
              <w:jc w:val="right"/>
              <w:rPr>
                <w:rFonts w:ascii="Calibri" w:eastAsia="Times New Roman" w:hAnsi="Calibri" w:cs="Calibri"/>
                <w:b/>
                <w:bCs/>
                <w:sz w:val="16"/>
                <w:szCs w:val="16"/>
                <w:lang w:eastAsia="hr-HR"/>
              </w:rPr>
            </w:pPr>
            <w:r w:rsidRPr="009F0A74">
              <w:rPr>
                <w:rFonts w:ascii="Calibri" w:eastAsia="Times New Roman" w:hAnsi="Calibri" w:cs="Calibri"/>
                <w:b/>
                <w:bCs/>
                <w:sz w:val="16"/>
                <w:szCs w:val="16"/>
                <w:lang w:eastAsia="hr-HR"/>
              </w:rPr>
              <w:t>0</w:t>
            </w:r>
          </w:p>
        </w:tc>
        <w:tc>
          <w:tcPr>
            <w:tcW w:w="524" w:type="dxa"/>
            <w:gridSpan w:val="2"/>
            <w:tcBorders>
              <w:top w:val="nil"/>
              <w:left w:val="nil"/>
              <w:bottom w:val="single" w:sz="4" w:space="0" w:color="auto"/>
              <w:right w:val="single" w:sz="4" w:space="0" w:color="auto"/>
            </w:tcBorders>
            <w:shd w:val="clear" w:color="000000" w:fill="FFFF00"/>
            <w:vAlign w:val="bottom"/>
            <w:hideMark/>
          </w:tcPr>
          <w:p w14:paraId="167A1ED1" w14:textId="77777777" w:rsidR="00B27DCD" w:rsidRPr="009F0A74" w:rsidRDefault="00B27DCD" w:rsidP="00B27DCD">
            <w:pPr>
              <w:spacing w:after="0" w:line="240" w:lineRule="auto"/>
              <w:jc w:val="right"/>
              <w:rPr>
                <w:rFonts w:ascii="Calibri" w:eastAsia="Times New Roman" w:hAnsi="Calibri" w:cs="Calibri"/>
                <w:b/>
                <w:bCs/>
                <w:sz w:val="16"/>
                <w:szCs w:val="16"/>
                <w:lang w:eastAsia="hr-HR"/>
              </w:rPr>
            </w:pPr>
            <w:r w:rsidRPr="009F0A74">
              <w:rPr>
                <w:rFonts w:ascii="Calibri" w:eastAsia="Times New Roman" w:hAnsi="Calibri" w:cs="Calibri"/>
                <w:b/>
                <w:bCs/>
                <w:sz w:val="16"/>
                <w:szCs w:val="16"/>
                <w:lang w:eastAsia="hr-HR"/>
              </w:rPr>
              <w:t>0</w:t>
            </w:r>
          </w:p>
        </w:tc>
        <w:tc>
          <w:tcPr>
            <w:tcW w:w="425" w:type="dxa"/>
            <w:gridSpan w:val="2"/>
            <w:tcBorders>
              <w:top w:val="nil"/>
              <w:left w:val="nil"/>
              <w:bottom w:val="single" w:sz="4" w:space="0" w:color="auto"/>
              <w:right w:val="single" w:sz="4" w:space="0" w:color="auto"/>
            </w:tcBorders>
            <w:shd w:val="clear" w:color="000000" w:fill="FF9900"/>
            <w:noWrap/>
            <w:vAlign w:val="bottom"/>
            <w:hideMark/>
          </w:tcPr>
          <w:p w14:paraId="65FCE2EF" w14:textId="77777777" w:rsidR="00B27DCD" w:rsidRPr="009F0A74" w:rsidRDefault="00B27DCD" w:rsidP="00B27DCD">
            <w:pPr>
              <w:spacing w:after="0" w:line="240" w:lineRule="auto"/>
              <w:jc w:val="right"/>
              <w:rPr>
                <w:rFonts w:ascii="Calibri" w:eastAsia="Times New Roman" w:hAnsi="Calibri" w:cs="Calibri"/>
                <w:sz w:val="16"/>
                <w:szCs w:val="16"/>
                <w:lang w:eastAsia="hr-HR"/>
              </w:rPr>
            </w:pPr>
            <w:r w:rsidRPr="009F0A74">
              <w:rPr>
                <w:rFonts w:ascii="Calibri" w:eastAsia="Times New Roman" w:hAnsi="Calibri" w:cs="Calibri"/>
                <w:sz w:val="16"/>
                <w:szCs w:val="16"/>
                <w:lang w:eastAsia="hr-HR"/>
              </w:rPr>
              <w:t>0</w:t>
            </w:r>
          </w:p>
        </w:tc>
        <w:tc>
          <w:tcPr>
            <w:tcW w:w="501" w:type="dxa"/>
            <w:gridSpan w:val="2"/>
            <w:tcBorders>
              <w:top w:val="nil"/>
              <w:left w:val="nil"/>
              <w:bottom w:val="single" w:sz="4" w:space="0" w:color="auto"/>
              <w:right w:val="single" w:sz="4" w:space="0" w:color="auto"/>
            </w:tcBorders>
            <w:shd w:val="clear" w:color="000000" w:fill="FF9900"/>
            <w:noWrap/>
            <w:vAlign w:val="bottom"/>
            <w:hideMark/>
          </w:tcPr>
          <w:p w14:paraId="319ACEB4" w14:textId="77777777" w:rsidR="00B27DCD" w:rsidRPr="009F0A74" w:rsidRDefault="00B27DCD" w:rsidP="00B27DCD">
            <w:pPr>
              <w:spacing w:after="0" w:line="240" w:lineRule="auto"/>
              <w:jc w:val="right"/>
              <w:rPr>
                <w:rFonts w:ascii="Calibri" w:eastAsia="Times New Roman" w:hAnsi="Calibri" w:cs="Calibri"/>
                <w:sz w:val="16"/>
                <w:szCs w:val="16"/>
                <w:lang w:eastAsia="hr-HR"/>
              </w:rPr>
            </w:pPr>
            <w:r w:rsidRPr="009F0A74">
              <w:rPr>
                <w:rFonts w:ascii="Calibri" w:eastAsia="Times New Roman" w:hAnsi="Calibri" w:cs="Calibri"/>
                <w:sz w:val="16"/>
                <w:szCs w:val="16"/>
                <w:lang w:eastAsia="hr-HR"/>
              </w:rPr>
              <w:t>0</w:t>
            </w:r>
          </w:p>
        </w:tc>
        <w:tc>
          <w:tcPr>
            <w:tcW w:w="425" w:type="dxa"/>
            <w:tcBorders>
              <w:top w:val="nil"/>
              <w:left w:val="nil"/>
              <w:bottom w:val="single" w:sz="4" w:space="0" w:color="auto"/>
              <w:right w:val="single" w:sz="4" w:space="0" w:color="auto"/>
            </w:tcBorders>
            <w:shd w:val="clear" w:color="000000" w:fill="CCFFFF"/>
            <w:noWrap/>
            <w:vAlign w:val="bottom"/>
            <w:hideMark/>
          </w:tcPr>
          <w:p w14:paraId="1AF8AE1A" w14:textId="77777777" w:rsidR="00B27DCD" w:rsidRPr="009F0A74" w:rsidRDefault="00B27DCD" w:rsidP="00B27DCD">
            <w:pPr>
              <w:spacing w:after="0" w:line="240" w:lineRule="auto"/>
              <w:jc w:val="right"/>
              <w:rPr>
                <w:rFonts w:ascii="Calibri" w:eastAsia="Times New Roman" w:hAnsi="Calibri" w:cs="Calibri"/>
                <w:sz w:val="16"/>
                <w:szCs w:val="16"/>
                <w:lang w:eastAsia="hr-HR"/>
              </w:rPr>
            </w:pPr>
            <w:r w:rsidRPr="009F0A74">
              <w:rPr>
                <w:rFonts w:ascii="Calibri" w:eastAsia="Times New Roman" w:hAnsi="Calibri" w:cs="Calibri"/>
                <w:sz w:val="16"/>
                <w:szCs w:val="16"/>
                <w:lang w:eastAsia="hr-HR"/>
              </w:rPr>
              <w:t>0</w:t>
            </w:r>
          </w:p>
        </w:tc>
        <w:tc>
          <w:tcPr>
            <w:tcW w:w="426" w:type="dxa"/>
            <w:tcBorders>
              <w:top w:val="nil"/>
              <w:left w:val="nil"/>
              <w:bottom w:val="single" w:sz="4" w:space="0" w:color="auto"/>
              <w:right w:val="single" w:sz="4" w:space="0" w:color="auto"/>
            </w:tcBorders>
            <w:shd w:val="clear" w:color="000000" w:fill="CCFFFF"/>
            <w:noWrap/>
            <w:vAlign w:val="bottom"/>
            <w:hideMark/>
          </w:tcPr>
          <w:p w14:paraId="513BE5B3" w14:textId="77777777" w:rsidR="00B27DCD" w:rsidRPr="009F0A74" w:rsidRDefault="00B27DCD" w:rsidP="00B27DCD">
            <w:pPr>
              <w:spacing w:after="0" w:line="240" w:lineRule="auto"/>
              <w:jc w:val="right"/>
              <w:rPr>
                <w:rFonts w:ascii="Calibri" w:eastAsia="Times New Roman" w:hAnsi="Calibri" w:cs="Calibri"/>
                <w:sz w:val="16"/>
                <w:szCs w:val="16"/>
                <w:lang w:eastAsia="hr-HR"/>
              </w:rPr>
            </w:pPr>
            <w:r w:rsidRPr="009F0A74">
              <w:rPr>
                <w:rFonts w:ascii="Calibri" w:eastAsia="Times New Roman" w:hAnsi="Calibri" w:cs="Calibri"/>
                <w:sz w:val="16"/>
                <w:szCs w:val="16"/>
                <w:lang w:eastAsia="hr-HR"/>
              </w:rPr>
              <w:t>0</w:t>
            </w:r>
          </w:p>
        </w:tc>
        <w:tc>
          <w:tcPr>
            <w:tcW w:w="818" w:type="dxa"/>
            <w:gridSpan w:val="2"/>
            <w:tcBorders>
              <w:top w:val="nil"/>
              <w:left w:val="nil"/>
              <w:bottom w:val="single" w:sz="4" w:space="0" w:color="auto"/>
              <w:right w:val="single" w:sz="4" w:space="0" w:color="auto"/>
            </w:tcBorders>
            <w:shd w:val="clear" w:color="000000" w:fill="33CCCC"/>
            <w:noWrap/>
            <w:vAlign w:val="bottom"/>
            <w:hideMark/>
          </w:tcPr>
          <w:p w14:paraId="01E7DE18" w14:textId="77777777" w:rsidR="00B27DCD" w:rsidRPr="009F0A74" w:rsidRDefault="00B27DCD" w:rsidP="00B27DCD">
            <w:pPr>
              <w:spacing w:after="0" w:line="240" w:lineRule="auto"/>
              <w:jc w:val="right"/>
              <w:rPr>
                <w:rFonts w:ascii="Calibri" w:eastAsia="Times New Roman" w:hAnsi="Calibri" w:cs="Calibri"/>
                <w:sz w:val="16"/>
                <w:szCs w:val="16"/>
                <w:lang w:eastAsia="hr-HR"/>
              </w:rPr>
            </w:pPr>
            <w:r w:rsidRPr="009F0A74">
              <w:rPr>
                <w:rFonts w:ascii="Calibri" w:eastAsia="Times New Roman" w:hAnsi="Calibri" w:cs="Calibri"/>
                <w:sz w:val="16"/>
                <w:szCs w:val="16"/>
                <w:lang w:eastAsia="hr-HR"/>
              </w:rPr>
              <w:t>0</w:t>
            </w:r>
          </w:p>
        </w:tc>
        <w:tc>
          <w:tcPr>
            <w:tcW w:w="818" w:type="dxa"/>
            <w:gridSpan w:val="2"/>
            <w:tcBorders>
              <w:top w:val="nil"/>
              <w:left w:val="nil"/>
              <w:bottom w:val="single" w:sz="4" w:space="0" w:color="auto"/>
              <w:right w:val="single" w:sz="8" w:space="0" w:color="auto"/>
            </w:tcBorders>
            <w:shd w:val="clear" w:color="000000" w:fill="33CCCC"/>
            <w:noWrap/>
            <w:vAlign w:val="bottom"/>
            <w:hideMark/>
          </w:tcPr>
          <w:p w14:paraId="373FFEEF" w14:textId="77777777" w:rsidR="00B27DCD" w:rsidRPr="009F0A74" w:rsidRDefault="00B27DCD" w:rsidP="00B27DCD">
            <w:pPr>
              <w:spacing w:after="0" w:line="240" w:lineRule="auto"/>
              <w:jc w:val="right"/>
              <w:rPr>
                <w:rFonts w:ascii="Calibri" w:eastAsia="Times New Roman" w:hAnsi="Calibri" w:cs="Calibri"/>
                <w:sz w:val="16"/>
                <w:szCs w:val="16"/>
                <w:lang w:eastAsia="hr-HR"/>
              </w:rPr>
            </w:pPr>
            <w:r w:rsidRPr="009F0A74">
              <w:rPr>
                <w:rFonts w:ascii="Calibri" w:eastAsia="Times New Roman" w:hAnsi="Calibri" w:cs="Calibri"/>
                <w:sz w:val="16"/>
                <w:szCs w:val="16"/>
                <w:lang w:eastAsia="hr-HR"/>
              </w:rPr>
              <w:t>0</w:t>
            </w:r>
          </w:p>
        </w:tc>
        <w:tc>
          <w:tcPr>
            <w:tcW w:w="236" w:type="dxa"/>
            <w:gridSpan w:val="3"/>
            <w:vAlign w:val="center"/>
            <w:hideMark/>
          </w:tcPr>
          <w:p w14:paraId="2D23E3DB" w14:textId="77777777" w:rsidR="00B27DCD" w:rsidRPr="009F0A74" w:rsidRDefault="00B27DCD" w:rsidP="00B27DCD">
            <w:pPr>
              <w:spacing w:after="0" w:line="240" w:lineRule="auto"/>
              <w:rPr>
                <w:rFonts w:ascii="Times New Roman" w:eastAsia="Times New Roman" w:hAnsi="Times New Roman" w:cs="Times New Roman"/>
                <w:sz w:val="16"/>
                <w:szCs w:val="16"/>
                <w:lang w:eastAsia="hr-HR"/>
              </w:rPr>
            </w:pPr>
          </w:p>
        </w:tc>
      </w:tr>
      <w:tr w:rsidR="009F0A74" w:rsidRPr="009F0A74" w14:paraId="56ECBA41" w14:textId="77777777" w:rsidTr="009F0A74">
        <w:trPr>
          <w:trHeight w:val="315"/>
        </w:trPr>
        <w:tc>
          <w:tcPr>
            <w:tcW w:w="840" w:type="dxa"/>
            <w:tcBorders>
              <w:top w:val="single" w:sz="4" w:space="0" w:color="auto"/>
              <w:left w:val="single" w:sz="8" w:space="0" w:color="auto"/>
              <w:bottom w:val="single" w:sz="4" w:space="0" w:color="auto"/>
              <w:right w:val="single" w:sz="4" w:space="0" w:color="000000"/>
            </w:tcBorders>
            <w:shd w:val="clear" w:color="000000" w:fill="CCFFCC"/>
            <w:vAlign w:val="center"/>
            <w:hideMark/>
          </w:tcPr>
          <w:p w14:paraId="0AF9C159" w14:textId="77777777" w:rsidR="00B27DCD" w:rsidRPr="009F0A74" w:rsidRDefault="00B27DCD" w:rsidP="00B27DCD">
            <w:pPr>
              <w:spacing w:after="0" w:line="240" w:lineRule="auto"/>
              <w:rPr>
                <w:rFonts w:ascii="Calibri" w:eastAsia="Times New Roman" w:hAnsi="Calibri" w:cs="Calibri"/>
                <w:sz w:val="16"/>
                <w:szCs w:val="16"/>
                <w:lang w:eastAsia="hr-HR"/>
              </w:rPr>
            </w:pPr>
            <w:r w:rsidRPr="009F0A74">
              <w:rPr>
                <w:rFonts w:ascii="Calibri" w:eastAsia="Times New Roman" w:hAnsi="Calibri" w:cs="Calibri"/>
                <w:sz w:val="16"/>
                <w:szCs w:val="16"/>
                <w:lang w:eastAsia="hr-HR"/>
              </w:rPr>
              <w:t>Rođenje</w:t>
            </w:r>
          </w:p>
        </w:tc>
        <w:tc>
          <w:tcPr>
            <w:tcW w:w="540" w:type="dxa"/>
            <w:tcBorders>
              <w:top w:val="nil"/>
              <w:left w:val="nil"/>
              <w:bottom w:val="single" w:sz="4" w:space="0" w:color="auto"/>
              <w:right w:val="single" w:sz="4" w:space="0" w:color="auto"/>
            </w:tcBorders>
            <w:shd w:val="clear" w:color="000000" w:fill="FFFF00"/>
            <w:vAlign w:val="bottom"/>
            <w:hideMark/>
          </w:tcPr>
          <w:p w14:paraId="2A7B28AF" w14:textId="77777777" w:rsidR="00B27DCD" w:rsidRPr="009F0A74" w:rsidRDefault="00B27DCD" w:rsidP="00B27DCD">
            <w:pPr>
              <w:spacing w:after="0" w:line="240" w:lineRule="auto"/>
              <w:jc w:val="right"/>
              <w:rPr>
                <w:rFonts w:ascii="Calibri" w:eastAsia="Times New Roman" w:hAnsi="Calibri" w:cs="Calibri"/>
                <w:sz w:val="16"/>
                <w:szCs w:val="16"/>
                <w:lang w:eastAsia="hr-HR"/>
              </w:rPr>
            </w:pPr>
            <w:r w:rsidRPr="009F0A74">
              <w:rPr>
                <w:rFonts w:ascii="Calibri" w:eastAsia="Times New Roman" w:hAnsi="Calibri" w:cs="Calibri"/>
                <w:sz w:val="16"/>
                <w:szCs w:val="16"/>
                <w:lang w:eastAsia="hr-HR"/>
              </w:rPr>
              <w:t>0</w:t>
            </w:r>
          </w:p>
        </w:tc>
        <w:tc>
          <w:tcPr>
            <w:tcW w:w="444" w:type="dxa"/>
            <w:tcBorders>
              <w:top w:val="nil"/>
              <w:left w:val="nil"/>
              <w:bottom w:val="single" w:sz="4" w:space="0" w:color="auto"/>
              <w:right w:val="single" w:sz="4" w:space="0" w:color="auto"/>
            </w:tcBorders>
            <w:shd w:val="clear" w:color="000000" w:fill="FFCC99"/>
            <w:noWrap/>
            <w:vAlign w:val="bottom"/>
            <w:hideMark/>
          </w:tcPr>
          <w:p w14:paraId="51D481A3" w14:textId="77777777" w:rsidR="00B27DCD" w:rsidRPr="009F0A74" w:rsidRDefault="00B27DCD" w:rsidP="00B27DCD">
            <w:pPr>
              <w:spacing w:after="0" w:line="240" w:lineRule="auto"/>
              <w:jc w:val="right"/>
              <w:rPr>
                <w:rFonts w:ascii="Calibri" w:eastAsia="Times New Roman" w:hAnsi="Calibri" w:cs="Calibri"/>
                <w:sz w:val="16"/>
                <w:szCs w:val="16"/>
                <w:lang w:eastAsia="hr-HR"/>
              </w:rPr>
            </w:pPr>
            <w:r w:rsidRPr="009F0A74">
              <w:rPr>
                <w:rFonts w:ascii="Calibri" w:eastAsia="Times New Roman" w:hAnsi="Calibri" w:cs="Calibri"/>
                <w:sz w:val="16"/>
                <w:szCs w:val="16"/>
                <w:lang w:eastAsia="hr-HR"/>
              </w:rPr>
              <w:t>0</w:t>
            </w:r>
          </w:p>
        </w:tc>
        <w:tc>
          <w:tcPr>
            <w:tcW w:w="433" w:type="dxa"/>
            <w:tcBorders>
              <w:top w:val="nil"/>
              <w:left w:val="nil"/>
              <w:bottom w:val="single" w:sz="4" w:space="0" w:color="auto"/>
              <w:right w:val="single" w:sz="4" w:space="0" w:color="auto"/>
            </w:tcBorders>
            <w:shd w:val="clear" w:color="000000" w:fill="CCFFFF"/>
            <w:noWrap/>
            <w:vAlign w:val="bottom"/>
            <w:hideMark/>
          </w:tcPr>
          <w:p w14:paraId="607E2FAB" w14:textId="77777777" w:rsidR="00B27DCD" w:rsidRPr="009F0A74" w:rsidRDefault="00B27DCD" w:rsidP="00B27DCD">
            <w:pPr>
              <w:spacing w:after="0" w:line="240" w:lineRule="auto"/>
              <w:jc w:val="right"/>
              <w:rPr>
                <w:rFonts w:ascii="Calibri" w:eastAsia="Times New Roman" w:hAnsi="Calibri" w:cs="Calibri"/>
                <w:sz w:val="16"/>
                <w:szCs w:val="16"/>
                <w:lang w:eastAsia="hr-HR"/>
              </w:rPr>
            </w:pPr>
            <w:r w:rsidRPr="009F0A74">
              <w:rPr>
                <w:rFonts w:ascii="Calibri" w:eastAsia="Times New Roman" w:hAnsi="Calibri" w:cs="Calibri"/>
                <w:sz w:val="16"/>
                <w:szCs w:val="16"/>
                <w:lang w:eastAsia="hr-HR"/>
              </w:rPr>
              <w:t>0</w:t>
            </w:r>
          </w:p>
        </w:tc>
        <w:tc>
          <w:tcPr>
            <w:tcW w:w="324" w:type="dxa"/>
            <w:tcBorders>
              <w:top w:val="nil"/>
              <w:left w:val="nil"/>
              <w:bottom w:val="single" w:sz="4" w:space="0" w:color="auto"/>
              <w:right w:val="single" w:sz="4" w:space="0" w:color="auto"/>
            </w:tcBorders>
            <w:shd w:val="clear" w:color="000000" w:fill="CCFFFF"/>
            <w:noWrap/>
            <w:vAlign w:val="bottom"/>
            <w:hideMark/>
          </w:tcPr>
          <w:p w14:paraId="63F78AB6" w14:textId="77777777" w:rsidR="00B27DCD" w:rsidRPr="009F0A74" w:rsidRDefault="00B27DCD" w:rsidP="00B27DCD">
            <w:pPr>
              <w:spacing w:after="0" w:line="240" w:lineRule="auto"/>
              <w:jc w:val="right"/>
              <w:rPr>
                <w:rFonts w:ascii="Calibri" w:eastAsia="Times New Roman" w:hAnsi="Calibri" w:cs="Calibri"/>
                <w:sz w:val="16"/>
                <w:szCs w:val="16"/>
                <w:lang w:eastAsia="hr-HR"/>
              </w:rPr>
            </w:pPr>
            <w:r w:rsidRPr="009F0A74">
              <w:rPr>
                <w:rFonts w:ascii="Calibri" w:eastAsia="Times New Roman" w:hAnsi="Calibri" w:cs="Calibri"/>
                <w:sz w:val="16"/>
                <w:szCs w:val="16"/>
                <w:lang w:eastAsia="hr-HR"/>
              </w:rPr>
              <w:t>0</w:t>
            </w:r>
          </w:p>
        </w:tc>
        <w:tc>
          <w:tcPr>
            <w:tcW w:w="385" w:type="dxa"/>
            <w:gridSpan w:val="2"/>
            <w:tcBorders>
              <w:top w:val="nil"/>
              <w:left w:val="nil"/>
              <w:bottom w:val="single" w:sz="4" w:space="0" w:color="auto"/>
              <w:right w:val="single" w:sz="4" w:space="0" w:color="auto"/>
            </w:tcBorders>
            <w:shd w:val="clear" w:color="000000" w:fill="FFFF99"/>
            <w:noWrap/>
            <w:vAlign w:val="bottom"/>
            <w:hideMark/>
          </w:tcPr>
          <w:p w14:paraId="2A914EEC" w14:textId="77777777" w:rsidR="00B27DCD" w:rsidRPr="009F0A74" w:rsidRDefault="00B27DCD" w:rsidP="00B27DCD">
            <w:pPr>
              <w:spacing w:after="0" w:line="240" w:lineRule="auto"/>
              <w:jc w:val="right"/>
              <w:rPr>
                <w:rFonts w:ascii="Calibri" w:eastAsia="Times New Roman" w:hAnsi="Calibri" w:cs="Calibri"/>
                <w:sz w:val="16"/>
                <w:szCs w:val="16"/>
                <w:lang w:eastAsia="hr-HR"/>
              </w:rPr>
            </w:pPr>
            <w:r w:rsidRPr="009F0A74">
              <w:rPr>
                <w:rFonts w:ascii="Calibri" w:eastAsia="Times New Roman" w:hAnsi="Calibri" w:cs="Calibri"/>
                <w:sz w:val="16"/>
                <w:szCs w:val="16"/>
                <w:lang w:eastAsia="hr-HR"/>
              </w:rPr>
              <w:t>0</w:t>
            </w:r>
          </w:p>
        </w:tc>
        <w:tc>
          <w:tcPr>
            <w:tcW w:w="334" w:type="dxa"/>
            <w:tcBorders>
              <w:top w:val="nil"/>
              <w:left w:val="nil"/>
              <w:bottom w:val="single" w:sz="4" w:space="0" w:color="auto"/>
              <w:right w:val="single" w:sz="4" w:space="0" w:color="auto"/>
            </w:tcBorders>
            <w:shd w:val="clear" w:color="000000" w:fill="FFFF99"/>
            <w:noWrap/>
            <w:vAlign w:val="bottom"/>
            <w:hideMark/>
          </w:tcPr>
          <w:p w14:paraId="238D6F4E" w14:textId="77777777" w:rsidR="00B27DCD" w:rsidRPr="009F0A74" w:rsidRDefault="00B27DCD" w:rsidP="00B27DCD">
            <w:pPr>
              <w:spacing w:after="0" w:line="240" w:lineRule="auto"/>
              <w:jc w:val="right"/>
              <w:rPr>
                <w:rFonts w:ascii="Calibri" w:eastAsia="Times New Roman" w:hAnsi="Calibri" w:cs="Calibri"/>
                <w:sz w:val="16"/>
                <w:szCs w:val="16"/>
                <w:lang w:eastAsia="hr-HR"/>
              </w:rPr>
            </w:pPr>
            <w:r w:rsidRPr="009F0A74">
              <w:rPr>
                <w:rFonts w:ascii="Calibri" w:eastAsia="Times New Roman" w:hAnsi="Calibri" w:cs="Calibri"/>
                <w:sz w:val="16"/>
                <w:szCs w:val="16"/>
                <w:lang w:eastAsia="hr-HR"/>
              </w:rPr>
              <w:t>0</w:t>
            </w:r>
          </w:p>
        </w:tc>
        <w:tc>
          <w:tcPr>
            <w:tcW w:w="658" w:type="dxa"/>
            <w:tcBorders>
              <w:top w:val="nil"/>
              <w:left w:val="nil"/>
              <w:bottom w:val="single" w:sz="4" w:space="0" w:color="auto"/>
              <w:right w:val="single" w:sz="4" w:space="0" w:color="auto"/>
            </w:tcBorders>
            <w:shd w:val="clear" w:color="000000" w:fill="FFFF99"/>
            <w:noWrap/>
            <w:vAlign w:val="bottom"/>
            <w:hideMark/>
          </w:tcPr>
          <w:p w14:paraId="03F3C653" w14:textId="77777777" w:rsidR="00B27DCD" w:rsidRPr="009F0A74" w:rsidRDefault="00B27DCD" w:rsidP="00B27DCD">
            <w:pPr>
              <w:spacing w:after="0" w:line="240" w:lineRule="auto"/>
              <w:jc w:val="right"/>
              <w:rPr>
                <w:rFonts w:ascii="Calibri" w:eastAsia="Times New Roman" w:hAnsi="Calibri" w:cs="Calibri"/>
                <w:sz w:val="16"/>
                <w:szCs w:val="16"/>
                <w:lang w:eastAsia="hr-HR"/>
              </w:rPr>
            </w:pPr>
            <w:r w:rsidRPr="009F0A74">
              <w:rPr>
                <w:rFonts w:ascii="Calibri" w:eastAsia="Times New Roman" w:hAnsi="Calibri" w:cs="Calibri"/>
                <w:sz w:val="16"/>
                <w:szCs w:val="16"/>
                <w:lang w:eastAsia="hr-HR"/>
              </w:rPr>
              <w:t>0</w:t>
            </w:r>
          </w:p>
        </w:tc>
        <w:tc>
          <w:tcPr>
            <w:tcW w:w="447" w:type="dxa"/>
            <w:tcBorders>
              <w:top w:val="nil"/>
              <w:left w:val="nil"/>
              <w:bottom w:val="single" w:sz="4" w:space="0" w:color="auto"/>
              <w:right w:val="single" w:sz="4" w:space="0" w:color="auto"/>
            </w:tcBorders>
            <w:shd w:val="clear" w:color="000000" w:fill="FFFF99"/>
            <w:noWrap/>
            <w:vAlign w:val="bottom"/>
            <w:hideMark/>
          </w:tcPr>
          <w:p w14:paraId="3A0C2077" w14:textId="77777777" w:rsidR="00B27DCD" w:rsidRPr="009F0A74" w:rsidRDefault="00B27DCD" w:rsidP="00B27DCD">
            <w:pPr>
              <w:spacing w:after="0" w:line="240" w:lineRule="auto"/>
              <w:jc w:val="right"/>
              <w:rPr>
                <w:rFonts w:ascii="Calibri" w:eastAsia="Times New Roman" w:hAnsi="Calibri" w:cs="Calibri"/>
                <w:sz w:val="16"/>
                <w:szCs w:val="16"/>
                <w:lang w:eastAsia="hr-HR"/>
              </w:rPr>
            </w:pPr>
            <w:r w:rsidRPr="009F0A74">
              <w:rPr>
                <w:rFonts w:ascii="Calibri" w:eastAsia="Times New Roman" w:hAnsi="Calibri" w:cs="Calibri"/>
                <w:sz w:val="16"/>
                <w:szCs w:val="16"/>
                <w:lang w:eastAsia="hr-HR"/>
              </w:rPr>
              <w:t>0</w:t>
            </w:r>
          </w:p>
        </w:tc>
        <w:tc>
          <w:tcPr>
            <w:tcW w:w="644" w:type="dxa"/>
            <w:gridSpan w:val="2"/>
            <w:tcBorders>
              <w:top w:val="nil"/>
              <w:left w:val="nil"/>
              <w:bottom w:val="single" w:sz="4" w:space="0" w:color="auto"/>
              <w:right w:val="single" w:sz="4" w:space="0" w:color="auto"/>
            </w:tcBorders>
            <w:shd w:val="clear" w:color="000000" w:fill="FFFF99"/>
            <w:noWrap/>
            <w:vAlign w:val="bottom"/>
            <w:hideMark/>
          </w:tcPr>
          <w:p w14:paraId="7E46458D" w14:textId="77777777" w:rsidR="00B27DCD" w:rsidRPr="009F0A74" w:rsidRDefault="00B27DCD" w:rsidP="00B27DCD">
            <w:pPr>
              <w:spacing w:after="0" w:line="240" w:lineRule="auto"/>
              <w:jc w:val="right"/>
              <w:rPr>
                <w:rFonts w:ascii="Calibri" w:eastAsia="Times New Roman" w:hAnsi="Calibri" w:cs="Calibri"/>
                <w:sz w:val="16"/>
                <w:szCs w:val="16"/>
                <w:lang w:eastAsia="hr-HR"/>
              </w:rPr>
            </w:pPr>
            <w:r w:rsidRPr="009F0A74">
              <w:rPr>
                <w:rFonts w:ascii="Calibri" w:eastAsia="Times New Roman" w:hAnsi="Calibri" w:cs="Calibri"/>
                <w:sz w:val="16"/>
                <w:szCs w:val="16"/>
                <w:lang w:eastAsia="hr-HR"/>
              </w:rPr>
              <w:t>0</w:t>
            </w:r>
          </w:p>
        </w:tc>
        <w:tc>
          <w:tcPr>
            <w:tcW w:w="452" w:type="dxa"/>
            <w:tcBorders>
              <w:top w:val="nil"/>
              <w:left w:val="nil"/>
              <w:bottom w:val="single" w:sz="4" w:space="0" w:color="auto"/>
              <w:right w:val="single" w:sz="4" w:space="0" w:color="auto"/>
            </w:tcBorders>
            <w:shd w:val="clear" w:color="000000" w:fill="FFFF99"/>
            <w:noWrap/>
            <w:vAlign w:val="bottom"/>
            <w:hideMark/>
          </w:tcPr>
          <w:p w14:paraId="68E727A2" w14:textId="77777777" w:rsidR="00B27DCD" w:rsidRPr="009F0A74" w:rsidRDefault="00B27DCD" w:rsidP="00B27DCD">
            <w:pPr>
              <w:spacing w:after="0" w:line="240" w:lineRule="auto"/>
              <w:jc w:val="right"/>
              <w:rPr>
                <w:rFonts w:ascii="Calibri" w:eastAsia="Times New Roman" w:hAnsi="Calibri" w:cs="Calibri"/>
                <w:sz w:val="16"/>
                <w:szCs w:val="16"/>
                <w:lang w:eastAsia="hr-HR"/>
              </w:rPr>
            </w:pPr>
            <w:r w:rsidRPr="009F0A74">
              <w:rPr>
                <w:rFonts w:ascii="Calibri" w:eastAsia="Times New Roman" w:hAnsi="Calibri" w:cs="Calibri"/>
                <w:sz w:val="16"/>
                <w:szCs w:val="16"/>
                <w:lang w:eastAsia="hr-HR"/>
              </w:rPr>
              <w:t>0</w:t>
            </w:r>
          </w:p>
        </w:tc>
        <w:tc>
          <w:tcPr>
            <w:tcW w:w="538" w:type="dxa"/>
            <w:tcBorders>
              <w:top w:val="nil"/>
              <w:left w:val="nil"/>
              <w:bottom w:val="single" w:sz="4" w:space="0" w:color="auto"/>
              <w:right w:val="single" w:sz="4" w:space="0" w:color="auto"/>
            </w:tcBorders>
            <w:shd w:val="clear" w:color="000000" w:fill="FFFF99"/>
            <w:noWrap/>
            <w:vAlign w:val="bottom"/>
            <w:hideMark/>
          </w:tcPr>
          <w:p w14:paraId="06E863F9" w14:textId="77777777" w:rsidR="00B27DCD" w:rsidRPr="009F0A74" w:rsidRDefault="00B27DCD" w:rsidP="00B27DCD">
            <w:pPr>
              <w:spacing w:after="0" w:line="240" w:lineRule="auto"/>
              <w:jc w:val="right"/>
              <w:rPr>
                <w:rFonts w:ascii="Calibri" w:eastAsia="Times New Roman" w:hAnsi="Calibri" w:cs="Calibri"/>
                <w:sz w:val="16"/>
                <w:szCs w:val="16"/>
                <w:lang w:eastAsia="hr-HR"/>
              </w:rPr>
            </w:pPr>
            <w:r w:rsidRPr="009F0A74">
              <w:rPr>
                <w:rFonts w:ascii="Calibri" w:eastAsia="Times New Roman" w:hAnsi="Calibri" w:cs="Calibri"/>
                <w:sz w:val="16"/>
                <w:szCs w:val="16"/>
                <w:lang w:eastAsia="hr-HR"/>
              </w:rPr>
              <w:t>0</w:t>
            </w:r>
          </w:p>
        </w:tc>
        <w:tc>
          <w:tcPr>
            <w:tcW w:w="447" w:type="dxa"/>
            <w:tcBorders>
              <w:top w:val="nil"/>
              <w:left w:val="nil"/>
              <w:bottom w:val="single" w:sz="4" w:space="0" w:color="auto"/>
              <w:right w:val="single" w:sz="4" w:space="0" w:color="auto"/>
            </w:tcBorders>
            <w:shd w:val="clear" w:color="000000" w:fill="FFFF99"/>
            <w:noWrap/>
            <w:vAlign w:val="bottom"/>
            <w:hideMark/>
          </w:tcPr>
          <w:p w14:paraId="1C4FED13" w14:textId="77777777" w:rsidR="00B27DCD" w:rsidRPr="009F0A74" w:rsidRDefault="00B27DCD" w:rsidP="00B27DCD">
            <w:pPr>
              <w:spacing w:after="0" w:line="240" w:lineRule="auto"/>
              <w:jc w:val="right"/>
              <w:rPr>
                <w:rFonts w:ascii="Calibri" w:eastAsia="Times New Roman" w:hAnsi="Calibri" w:cs="Calibri"/>
                <w:sz w:val="16"/>
                <w:szCs w:val="16"/>
                <w:lang w:eastAsia="hr-HR"/>
              </w:rPr>
            </w:pPr>
            <w:r w:rsidRPr="009F0A74">
              <w:rPr>
                <w:rFonts w:ascii="Calibri" w:eastAsia="Times New Roman" w:hAnsi="Calibri" w:cs="Calibri"/>
                <w:sz w:val="16"/>
                <w:szCs w:val="16"/>
                <w:lang w:eastAsia="hr-HR"/>
              </w:rPr>
              <w:t>0</w:t>
            </w:r>
          </w:p>
        </w:tc>
        <w:tc>
          <w:tcPr>
            <w:tcW w:w="447" w:type="dxa"/>
            <w:tcBorders>
              <w:top w:val="nil"/>
              <w:left w:val="nil"/>
              <w:bottom w:val="single" w:sz="4" w:space="0" w:color="auto"/>
              <w:right w:val="single" w:sz="4" w:space="0" w:color="auto"/>
            </w:tcBorders>
            <w:shd w:val="clear" w:color="000000" w:fill="FFFF99"/>
            <w:noWrap/>
            <w:vAlign w:val="bottom"/>
            <w:hideMark/>
          </w:tcPr>
          <w:p w14:paraId="4146AC6C" w14:textId="77777777" w:rsidR="00B27DCD" w:rsidRPr="009F0A74" w:rsidRDefault="00B27DCD" w:rsidP="00B27DCD">
            <w:pPr>
              <w:spacing w:after="0" w:line="240" w:lineRule="auto"/>
              <w:jc w:val="right"/>
              <w:rPr>
                <w:rFonts w:ascii="Calibri" w:eastAsia="Times New Roman" w:hAnsi="Calibri" w:cs="Calibri"/>
                <w:sz w:val="16"/>
                <w:szCs w:val="16"/>
                <w:lang w:eastAsia="hr-HR"/>
              </w:rPr>
            </w:pPr>
            <w:r w:rsidRPr="009F0A74">
              <w:rPr>
                <w:rFonts w:ascii="Calibri" w:eastAsia="Times New Roman" w:hAnsi="Calibri" w:cs="Calibri"/>
                <w:sz w:val="16"/>
                <w:szCs w:val="16"/>
                <w:lang w:eastAsia="hr-HR"/>
              </w:rPr>
              <w:t>0</w:t>
            </w:r>
          </w:p>
        </w:tc>
        <w:tc>
          <w:tcPr>
            <w:tcW w:w="400" w:type="dxa"/>
            <w:tcBorders>
              <w:top w:val="nil"/>
              <w:left w:val="nil"/>
              <w:bottom w:val="single" w:sz="4" w:space="0" w:color="auto"/>
              <w:right w:val="single" w:sz="4" w:space="0" w:color="auto"/>
            </w:tcBorders>
            <w:shd w:val="clear" w:color="000000" w:fill="FFFF99"/>
            <w:noWrap/>
            <w:vAlign w:val="bottom"/>
            <w:hideMark/>
          </w:tcPr>
          <w:p w14:paraId="4F517FC1" w14:textId="77777777" w:rsidR="00B27DCD" w:rsidRPr="009F0A74" w:rsidRDefault="00B27DCD" w:rsidP="00B27DCD">
            <w:pPr>
              <w:spacing w:after="0" w:line="240" w:lineRule="auto"/>
              <w:jc w:val="right"/>
              <w:rPr>
                <w:rFonts w:ascii="Calibri" w:eastAsia="Times New Roman" w:hAnsi="Calibri" w:cs="Calibri"/>
                <w:sz w:val="16"/>
                <w:szCs w:val="16"/>
                <w:lang w:eastAsia="hr-HR"/>
              </w:rPr>
            </w:pPr>
            <w:r w:rsidRPr="009F0A74">
              <w:rPr>
                <w:rFonts w:ascii="Calibri" w:eastAsia="Times New Roman" w:hAnsi="Calibri" w:cs="Calibri"/>
                <w:sz w:val="16"/>
                <w:szCs w:val="16"/>
                <w:lang w:eastAsia="hr-HR"/>
              </w:rPr>
              <w:t>0</w:t>
            </w:r>
          </w:p>
        </w:tc>
        <w:tc>
          <w:tcPr>
            <w:tcW w:w="357" w:type="dxa"/>
            <w:gridSpan w:val="2"/>
            <w:tcBorders>
              <w:top w:val="nil"/>
              <w:left w:val="nil"/>
              <w:bottom w:val="single" w:sz="4" w:space="0" w:color="auto"/>
              <w:right w:val="single" w:sz="4" w:space="0" w:color="auto"/>
            </w:tcBorders>
            <w:shd w:val="clear" w:color="000000" w:fill="FF9900"/>
            <w:noWrap/>
            <w:vAlign w:val="bottom"/>
            <w:hideMark/>
          </w:tcPr>
          <w:p w14:paraId="049EE4C3" w14:textId="77777777" w:rsidR="00B27DCD" w:rsidRPr="009F0A74" w:rsidRDefault="00B27DCD" w:rsidP="00B27DCD">
            <w:pPr>
              <w:spacing w:after="0" w:line="240" w:lineRule="auto"/>
              <w:jc w:val="right"/>
              <w:rPr>
                <w:rFonts w:ascii="Calibri" w:eastAsia="Times New Roman" w:hAnsi="Calibri" w:cs="Calibri"/>
                <w:sz w:val="16"/>
                <w:szCs w:val="16"/>
                <w:lang w:eastAsia="hr-HR"/>
              </w:rPr>
            </w:pPr>
            <w:r w:rsidRPr="009F0A74">
              <w:rPr>
                <w:rFonts w:ascii="Calibri" w:eastAsia="Times New Roman" w:hAnsi="Calibri" w:cs="Calibri"/>
                <w:sz w:val="16"/>
                <w:szCs w:val="16"/>
                <w:lang w:eastAsia="hr-HR"/>
              </w:rPr>
              <w:t>0</w:t>
            </w:r>
          </w:p>
        </w:tc>
        <w:tc>
          <w:tcPr>
            <w:tcW w:w="447" w:type="dxa"/>
            <w:tcBorders>
              <w:top w:val="nil"/>
              <w:left w:val="nil"/>
              <w:bottom w:val="single" w:sz="4" w:space="0" w:color="auto"/>
              <w:right w:val="single" w:sz="4" w:space="0" w:color="auto"/>
            </w:tcBorders>
            <w:shd w:val="clear" w:color="000000" w:fill="FF9900"/>
            <w:noWrap/>
            <w:vAlign w:val="bottom"/>
            <w:hideMark/>
          </w:tcPr>
          <w:p w14:paraId="5EBAB18E" w14:textId="77777777" w:rsidR="00B27DCD" w:rsidRPr="009F0A74" w:rsidRDefault="00B27DCD" w:rsidP="00B27DCD">
            <w:pPr>
              <w:spacing w:after="0" w:line="240" w:lineRule="auto"/>
              <w:jc w:val="right"/>
              <w:rPr>
                <w:rFonts w:ascii="Calibri" w:eastAsia="Times New Roman" w:hAnsi="Calibri" w:cs="Calibri"/>
                <w:sz w:val="16"/>
                <w:szCs w:val="16"/>
                <w:lang w:eastAsia="hr-HR"/>
              </w:rPr>
            </w:pPr>
            <w:r w:rsidRPr="009F0A74">
              <w:rPr>
                <w:rFonts w:ascii="Calibri" w:eastAsia="Times New Roman" w:hAnsi="Calibri" w:cs="Calibri"/>
                <w:sz w:val="16"/>
                <w:szCs w:val="16"/>
                <w:lang w:eastAsia="hr-HR"/>
              </w:rPr>
              <w:t>0</w:t>
            </w:r>
          </w:p>
        </w:tc>
        <w:tc>
          <w:tcPr>
            <w:tcW w:w="447" w:type="dxa"/>
            <w:tcBorders>
              <w:top w:val="nil"/>
              <w:left w:val="nil"/>
              <w:bottom w:val="single" w:sz="4" w:space="0" w:color="auto"/>
              <w:right w:val="single" w:sz="4" w:space="0" w:color="auto"/>
            </w:tcBorders>
            <w:shd w:val="clear" w:color="000000" w:fill="FF9900"/>
            <w:noWrap/>
            <w:vAlign w:val="bottom"/>
            <w:hideMark/>
          </w:tcPr>
          <w:p w14:paraId="3B3A6E93" w14:textId="77777777" w:rsidR="00B27DCD" w:rsidRPr="009F0A74" w:rsidRDefault="00B27DCD" w:rsidP="00B27DCD">
            <w:pPr>
              <w:spacing w:after="0" w:line="240" w:lineRule="auto"/>
              <w:jc w:val="right"/>
              <w:rPr>
                <w:rFonts w:ascii="Calibri" w:eastAsia="Times New Roman" w:hAnsi="Calibri" w:cs="Calibri"/>
                <w:sz w:val="16"/>
                <w:szCs w:val="16"/>
                <w:lang w:eastAsia="hr-HR"/>
              </w:rPr>
            </w:pPr>
            <w:r w:rsidRPr="009F0A74">
              <w:rPr>
                <w:rFonts w:ascii="Calibri" w:eastAsia="Times New Roman" w:hAnsi="Calibri" w:cs="Calibri"/>
                <w:sz w:val="16"/>
                <w:szCs w:val="16"/>
                <w:lang w:eastAsia="hr-HR"/>
              </w:rPr>
              <w:t>0</w:t>
            </w:r>
          </w:p>
        </w:tc>
        <w:tc>
          <w:tcPr>
            <w:tcW w:w="446" w:type="dxa"/>
            <w:tcBorders>
              <w:top w:val="nil"/>
              <w:left w:val="nil"/>
              <w:bottom w:val="single" w:sz="4" w:space="0" w:color="auto"/>
              <w:right w:val="single" w:sz="4" w:space="0" w:color="auto"/>
            </w:tcBorders>
            <w:shd w:val="clear" w:color="auto" w:fill="auto"/>
            <w:vAlign w:val="bottom"/>
            <w:hideMark/>
          </w:tcPr>
          <w:p w14:paraId="4BB0DD03" w14:textId="77777777" w:rsidR="00B27DCD" w:rsidRPr="009F0A74" w:rsidRDefault="00B27DCD" w:rsidP="00B27DCD">
            <w:pPr>
              <w:spacing w:after="0" w:line="240" w:lineRule="auto"/>
              <w:jc w:val="right"/>
              <w:rPr>
                <w:rFonts w:ascii="Calibri" w:eastAsia="Times New Roman" w:hAnsi="Calibri" w:cs="Calibri"/>
                <w:b/>
                <w:bCs/>
                <w:sz w:val="16"/>
                <w:szCs w:val="16"/>
                <w:lang w:eastAsia="hr-HR"/>
              </w:rPr>
            </w:pPr>
            <w:r w:rsidRPr="009F0A74">
              <w:rPr>
                <w:rFonts w:ascii="Calibri" w:eastAsia="Times New Roman" w:hAnsi="Calibri" w:cs="Calibri"/>
                <w:b/>
                <w:bCs/>
                <w:sz w:val="16"/>
                <w:szCs w:val="16"/>
                <w:lang w:eastAsia="hr-HR"/>
              </w:rPr>
              <w:t>0</w:t>
            </w:r>
          </w:p>
        </w:tc>
        <w:tc>
          <w:tcPr>
            <w:tcW w:w="447" w:type="dxa"/>
            <w:gridSpan w:val="2"/>
            <w:tcBorders>
              <w:top w:val="nil"/>
              <w:left w:val="nil"/>
              <w:bottom w:val="single" w:sz="4" w:space="0" w:color="auto"/>
              <w:right w:val="single" w:sz="4" w:space="0" w:color="auto"/>
            </w:tcBorders>
            <w:shd w:val="clear" w:color="000000" w:fill="FFFF00"/>
            <w:noWrap/>
            <w:vAlign w:val="bottom"/>
            <w:hideMark/>
          </w:tcPr>
          <w:p w14:paraId="5B1B8D3C" w14:textId="77777777" w:rsidR="00B27DCD" w:rsidRPr="009F0A74" w:rsidRDefault="00B27DCD" w:rsidP="00B27DCD">
            <w:pPr>
              <w:spacing w:after="0" w:line="240" w:lineRule="auto"/>
              <w:jc w:val="right"/>
              <w:rPr>
                <w:rFonts w:ascii="Calibri" w:eastAsia="Times New Roman" w:hAnsi="Calibri" w:cs="Calibri"/>
                <w:sz w:val="16"/>
                <w:szCs w:val="16"/>
                <w:lang w:eastAsia="hr-HR"/>
              </w:rPr>
            </w:pPr>
            <w:r w:rsidRPr="009F0A74">
              <w:rPr>
                <w:rFonts w:ascii="Calibri" w:eastAsia="Times New Roman" w:hAnsi="Calibri" w:cs="Calibri"/>
                <w:sz w:val="16"/>
                <w:szCs w:val="16"/>
                <w:lang w:eastAsia="hr-HR"/>
              </w:rPr>
              <w:t>0</w:t>
            </w:r>
          </w:p>
        </w:tc>
        <w:tc>
          <w:tcPr>
            <w:tcW w:w="447" w:type="dxa"/>
            <w:tcBorders>
              <w:top w:val="nil"/>
              <w:left w:val="nil"/>
              <w:bottom w:val="single" w:sz="4" w:space="0" w:color="auto"/>
              <w:right w:val="single" w:sz="4" w:space="0" w:color="auto"/>
            </w:tcBorders>
            <w:shd w:val="clear" w:color="000000" w:fill="FFFF00"/>
            <w:noWrap/>
            <w:vAlign w:val="bottom"/>
            <w:hideMark/>
          </w:tcPr>
          <w:p w14:paraId="4B062C22" w14:textId="77777777" w:rsidR="00B27DCD" w:rsidRPr="009F0A74" w:rsidRDefault="00B27DCD" w:rsidP="00B27DCD">
            <w:pPr>
              <w:spacing w:after="0" w:line="240" w:lineRule="auto"/>
              <w:jc w:val="right"/>
              <w:rPr>
                <w:rFonts w:ascii="Calibri" w:eastAsia="Times New Roman" w:hAnsi="Calibri" w:cs="Calibri"/>
                <w:sz w:val="16"/>
                <w:szCs w:val="16"/>
                <w:lang w:eastAsia="hr-HR"/>
              </w:rPr>
            </w:pPr>
            <w:r w:rsidRPr="009F0A74">
              <w:rPr>
                <w:rFonts w:ascii="Calibri" w:eastAsia="Times New Roman" w:hAnsi="Calibri" w:cs="Calibri"/>
                <w:sz w:val="16"/>
                <w:szCs w:val="16"/>
                <w:lang w:eastAsia="hr-HR"/>
              </w:rPr>
              <w:t>0</w:t>
            </w:r>
          </w:p>
        </w:tc>
        <w:tc>
          <w:tcPr>
            <w:tcW w:w="447" w:type="dxa"/>
            <w:tcBorders>
              <w:top w:val="nil"/>
              <w:left w:val="nil"/>
              <w:bottom w:val="single" w:sz="4" w:space="0" w:color="auto"/>
              <w:right w:val="single" w:sz="4" w:space="0" w:color="auto"/>
            </w:tcBorders>
            <w:shd w:val="clear" w:color="000000" w:fill="FFFF00"/>
            <w:noWrap/>
            <w:vAlign w:val="bottom"/>
            <w:hideMark/>
          </w:tcPr>
          <w:p w14:paraId="46D7FF6D" w14:textId="77777777" w:rsidR="00B27DCD" w:rsidRPr="009F0A74" w:rsidRDefault="00B27DCD" w:rsidP="00B27DCD">
            <w:pPr>
              <w:spacing w:after="0" w:line="240" w:lineRule="auto"/>
              <w:jc w:val="right"/>
              <w:rPr>
                <w:rFonts w:ascii="Calibri" w:eastAsia="Times New Roman" w:hAnsi="Calibri" w:cs="Calibri"/>
                <w:sz w:val="16"/>
                <w:szCs w:val="16"/>
                <w:lang w:eastAsia="hr-HR"/>
              </w:rPr>
            </w:pPr>
            <w:r w:rsidRPr="009F0A74">
              <w:rPr>
                <w:rFonts w:ascii="Calibri" w:eastAsia="Times New Roman" w:hAnsi="Calibri" w:cs="Calibri"/>
                <w:sz w:val="16"/>
                <w:szCs w:val="16"/>
                <w:lang w:eastAsia="hr-HR"/>
              </w:rPr>
              <w:t>0</w:t>
            </w:r>
          </w:p>
        </w:tc>
        <w:tc>
          <w:tcPr>
            <w:tcW w:w="446" w:type="dxa"/>
            <w:tcBorders>
              <w:top w:val="nil"/>
              <w:left w:val="nil"/>
              <w:bottom w:val="single" w:sz="4" w:space="0" w:color="auto"/>
              <w:right w:val="single" w:sz="4" w:space="0" w:color="auto"/>
            </w:tcBorders>
            <w:shd w:val="clear" w:color="auto" w:fill="auto"/>
            <w:vAlign w:val="bottom"/>
            <w:hideMark/>
          </w:tcPr>
          <w:p w14:paraId="676EC1BA" w14:textId="77777777" w:rsidR="00B27DCD" w:rsidRPr="009F0A74" w:rsidRDefault="00B27DCD" w:rsidP="00B27DCD">
            <w:pPr>
              <w:spacing w:after="0" w:line="240" w:lineRule="auto"/>
              <w:jc w:val="right"/>
              <w:rPr>
                <w:rFonts w:ascii="Calibri" w:eastAsia="Times New Roman" w:hAnsi="Calibri" w:cs="Calibri"/>
                <w:b/>
                <w:bCs/>
                <w:sz w:val="16"/>
                <w:szCs w:val="16"/>
                <w:lang w:eastAsia="hr-HR"/>
              </w:rPr>
            </w:pPr>
            <w:r w:rsidRPr="009F0A74">
              <w:rPr>
                <w:rFonts w:ascii="Calibri" w:eastAsia="Times New Roman" w:hAnsi="Calibri" w:cs="Calibri"/>
                <w:b/>
                <w:bCs/>
                <w:sz w:val="16"/>
                <w:szCs w:val="16"/>
                <w:lang w:eastAsia="hr-HR"/>
              </w:rPr>
              <w:t>0</w:t>
            </w:r>
          </w:p>
        </w:tc>
        <w:tc>
          <w:tcPr>
            <w:tcW w:w="524" w:type="dxa"/>
            <w:gridSpan w:val="2"/>
            <w:tcBorders>
              <w:top w:val="nil"/>
              <w:left w:val="nil"/>
              <w:bottom w:val="single" w:sz="4" w:space="0" w:color="auto"/>
              <w:right w:val="single" w:sz="4" w:space="0" w:color="auto"/>
            </w:tcBorders>
            <w:shd w:val="clear" w:color="000000" w:fill="FFFF00"/>
            <w:vAlign w:val="bottom"/>
            <w:hideMark/>
          </w:tcPr>
          <w:p w14:paraId="1F0AE134" w14:textId="77777777" w:rsidR="00B27DCD" w:rsidRPr="009F0A74" w:rsidRDefault="00B27DCD" w:rsidP="00B27DCD">
            <w:pPr>
              <w:spacing w:after="0" w:line="240" w:lineRule="auto"/>
              <w:jc w:val="right"/>
              <w:rPr>
                <w:rFonts w:ascii="Calibri" w:eastAsia="Times New Roman" w:hAnsi="Calibri" w:cs="Calibri"/>
                <w:b/>
                <w:bCs/>
                <w:sz w:val="16"/>
                <w:szCs w:val="16"/>
                <w:lang w:eastAsia="hr-HR"/>
              </w:rPr>
            </w:pPr>
            <w:r w:rsidRPr="009F0A74">
              <w:rPr>
                <w:rFonts w:ascii="Calibri" w:eastAsia="Times New Roman" w:hAnsi="Calibri" w:cs="Calibri"/>
                <w:b/>
                <w:bCs/>
                <w:sz w:val="16"/>
                <w:szCs w:val="16"/>
                <w:lang w:eastAsia="hr-HR"/>
              </w:rPr>
              <w:t>0</w:t>
            </w:r>
          </w:p>
        </w:tc>
        <w:tc>
          <w:tcPr>
            <w:tcW w:w="425" w:type="dxa"/>
            <w:gridSpan w:val="2"/>
            <w:tcBorders>
              <w:top w:val="nil"/>
              <w:left w:val="nil"/>
              <w:bottom w:val="single" w:sz="4" w:space="0" w:color="auto"/>
              <w:right w:val="single" w:sz="4" w:space="0" w:color="auto"/>
            </w:tcBorders>
            <w:shd w:val="clear" w:color="000000" w:fill="FF9900"/>
            <w:noWrap/>
            <w:vAlign w:val="bottom"/>
            <w:hideMark/>
          </w:tcPr>
          <w:p w14:paraId="7F6E3931" w14:textId="77777777" w:rsidR="00B27DCD" w:rsidRPr="009F0A74" w:rsidRDefault="00B27DCD" w:rsidP="00B27DCD">
            <w:pPr>
              <w:spacing w:after="0" w:line="240" w:lineRule="auto"/>
              <w:jc w:val="right"/>
              <w:rPr>
                <w:rFonts w:ascii="Calibri" w:eastAsia="Times New Roman" w:hAnsi="Calibri" w:cs="Calibri"/>
                <w:sz w:val="16"/>
                <w:szCs w:val="16"/>
                <w:lang w:eastAsia="hr-HR"/>
              </w:rPr>
            </w:pPr>
            <w:r w:rsidRPr="009F0A74">
              <w:rPr>
                <w:rFonts w:ascii="Calibri" w:eastAsia="Times New Roman" w:hAnsi="Calibri" w:cs="Calibri"/>
                <w:sz w:val="16"/>
                <w:szCs w:val="16"/>
                <w:lang w:eastAsia="hr-HR"/>
              </w:rPr>
              <w:t>0</w:t>
            </w:r>
          </w:p>
        </w:tc>
        <w:tc>
          <w:tcPr>
            <w:tcW w:w="501" w:type="dxa"/>
            <w:gridSpan w:val="2"/>
            <w:tcBorders>
              <w:top w:val="nil"/>
              <w:left w:val="nil"/>
              <w:bottom w:val="single" w:sz="4" w:space="0" w:color="auto"/>
              <w:right w:val="single" w:sz="4" w:space="0" w:color="auto"/>
            </w:tcBorders>
            <w:shd w:val="clear" w:color="000000" w:fill="FF9900"/>
            <w:noWrap/>
            <w:vAlign w:val="bottom"/>
            <w:hideMark/>
          </w:tcPr>
          <w:p w14:paraId="4294FA92" w14:textId="77777777" w:rsidR="00B27DCD" w:rsidRPr="009F0A74" w:rsidRDefault="00B27DCD" w:rsidP="00B27DCD">
            <w:pPr>
              <w:spacing w:after="0" w:line="240" w:lineRule="auto"/>
              <w:jc w:val="right"/>
              <w:rPr>
                <w:rFonts w:ascii="Calibri" w:eastAsia="Times New Roman" w:hAnsi="Calibri" w:cs="Calibri"/>
                <w:sz w:val="16"/>
                <w:szCs w:val="16"/>
                <w:lang w:eastAsia="hr-HR"/>
              </w:rPr>
            </w:pPr>
            <w:r w:rsidRPr="009F0A74">
              <w:rPr>
                <w:rFonts w:ascii="Calibri" w:eastAsia="Times New Roman" w:hAnsi="Calibri" w:cs="Calibri"/>
                <w:sz w:val="16"/>
                <w:szCs w:val="16"/>
                <w:lang w:eastAsia="hr-HR"/>
              </w:rPr>
              <w:t>0</w:t>
            </w:r>
          </w:p>
        </w:tc>
        <w:tc>
          <w:tcPr>
            <w:tcW w:w="425" w:type="dxa"/>
            <w:tcBorders>
              <w:top w:val="nil"/>
              <w:left w:val="nil"/>
              <w:bottom w:val="single" w:sz="4" w:space="0" w:color="auto"/>
              <w:right w:val="single" w:sz="4" w:space="0" w:color="auto"/>
            </w:tcBorders>
            <w:shd w:val="clear" w:color="000000" w:fill="CCFFFF"/>
            <w:noWrap/>
            <w:vAlign w:val="bottom"/>
            <w:hideMark/>
          </w:tcPr>
          <w:p w14:paraId="685D90EC" w14:textId="77777777" w:rsidR="00B27DCD" w:rsidRPr="009F0A74" w:rsidRDefault="00B27DCD" w:rsidP="00B27DCD">
            <w:pPr>
              <w:spacing w:after="0" w:line="240" w:lineRule="auto"/>
              <w:jc w:val="right"/>
              <w:rPr>
                <w:rFonts w:ascii="Calibri" w:eastAsia="Times New Roman" w:hAnsi="Calibri" w:cs="Calibri"/>
                <w:sz w:val="16"/>
                <w:szCs w:val="16"/>
                <w:lang w:eastAsia="hr-HR"/>
              </w:rPr>
            </w:pPr>
            <w:r w:rsidRPr="009F0A74">
              <w:rPr>
                <w:rFonts w:ascii="Calibri" w:eastAsia="Times New Roman" w:hAnsi="Calibri" w:cs="Calibri"/>
                <w:sz w:val="16"/>
                <w:szCs w:val="16"/>
                <w:lang w:eastAsia="hr-HR"/>
              </w:rPr>
              <w:t>0</w:t>
            </w:r>
          </w:p>
        </w:tc>
        <w:tc>
          <w:tcPr>
            <w:tcW w:w="426" w:type="dxa"/>
            <w:tcBorders>
              <w:top w:val="nil"/>
              <w:left w:val="nil"/>
              <w:bottom w:val="single" w:sz="4" w:space="0" w:color="auto"/>
              <w:right w:val="single" w:sz="4" w:space="0" w:color="auto"/>
            </w:tcBorders>
            <w:shd w:val="clear" w:color="000000" w:fill="CCFFFF"/>
            <w:noWrap/>
            <w:vAlign w:val="bottom"/>
            <w:hideMark/>
          </w:tcPr>
          <w:p w14:paraId="688D9E6D" w14:textId="77777777" w:rsidR="00B27DCD" w:rsidRPr="009F0A74" w:rsidRDefault="00B27DCD" w:rsidP="00B27DCD">
            <w:pPr>
              <w:spacing w:after="0" w:line="240" w:lineRule="auto"/>
              <w:jc w:val="right"/>
              <w:rPr>
                <w:rFonts w:ascii="Calibri" w:eastAsia="Times New Roman" w:hAnsi="Calibri" w:cs="Calibri"/>
                <w:sz w:val="16"/>
                <w:szCs w:val="16"/>
                <w:lang w:eastAsia="hr-HR"/>
              </w:rPr>
            </w:pPr>
            <w:r w:rsidRPr="009F0A74">
              <w:rPr>
                <w:rFonts w:ascii="Calibri" w:eastAsia="Times New Roman" w:hAnsi="Calibri" w:cs="Calibri"/>
                <w:sz w:val="16"/>
                <w:szCs w:val="16"/>
                <w:lang w:eastAsia="hr-HR"/>
              </w:rPr>
              <w:t>0</w:t>
            </w:r>
          </w:p>
        </w:tc>
        <w:tc>
          <w:tcPr>
            <w:tcW w:w="818" w:type="dxa"/>
            <w:gridSpan w:val="2"/>
            <w:tcBorders>
              <w:top w:val="nil"/>
              <w:left w:val="nil"/>
              <w:bottom w:val="single" w:sz="4" w:space="0" w:color="auto"/>
              <w:right w:val="single" w:sz="4" w:space="0" w:color="auto"/>
            </w:tcBorders>
            <w:shd w:val="clear" w:color="000000" w:fill="33CCCC"/>
            <w:noWrap/>
            <w:vAlign w:val="bottom"/>
            <w:hideMark/>
          </w:tcPr>
          <w:p w14:paraId="1C039CA2" w14:textId="77777777" w:rsidR="00B27DCD" w:rsidRPr="009F0A74" w:rsidRDefault="00B27DCD" w:rsidP="00B27DCD">
            <w:pPr>
              <w:spacing w:after="0" w:line="240" w:lineRule="auto"/>
              <w:jc w:val="right"/>
              <w:rPr>
                <w:rFonts w:ascii="Calibri" w:eastAsia="Times New Roman" w:hAnsi="Calibri" w:cs="Calibri"/>
                <w:sz w:val="16"/>
                <w:szCs w:val="16"/>
                <w:lang w:eastAsia="hr-HR"/>
              </w:rPr>
            </w:pPr>
            <w:r w:rsidRPr="009F0A74">
              <w:rPr>
                <w:rFonts w:ascii="Calibri" w:eastAsia="Times New Roman" w:hAnsi="Calibri" w:cs="Calibri"/>
                <w:sz w:val="16"/>
                <w:szCs w:val="16"/>
                <w:lang w:eastAsia="hr-HR"/>
              </w:rPr>
              <w:t>0</w:t>
            </w:r>
          </w:p>
        </w:tc>
        <w:tc>
          <w:tcPr>
            <w:tcW w:w="818" w:type="dxa"/>
            <w:gridSpan w:val="2"/>
            <w:tcBorders>
              <w:top w:val="nil"/>
              <w:left w:val="nil"/>
              <w:bottom w:val="single" w:sz="4" w:space="0" w:color="auto"/>
              <w:right w:val="single" w:sz="8" w:space="0" w:color="auto"/>
            </w:tcBorders>
            <w:shd w:val="clear" w:color="000000" w:fill="33CCCC"/>
            <w:noWrap/>
            <w:vAlign w:val="bottom"/>
            <w:hideMark/>
          </w:tcPr>
          <w:p w14:paraId="519CAEF1" w14:textId="77777777" w:rsidR="00B27DCD" w:rsidRPr="009F0A74" w:rsidRDefault="00B27DCD" w:rsidP="00B27DCD">
            <w:pPr>
              <w:spacing w:after="0" w:line="240" w:lineRule="auto"/>
              <w:jc w:val="right"/>
              <w:rPr>
                <w:rFonts w:ascii="Calibri" w:eastAsia="Times New Roman" w:hAnsi="Calibri" w:cs="Calibri"/>
                <w:sz w:val="16"/>
                <w:szCs w:val="16"/>
                <w:lang w:eastAsia="hr-HR"/>
              </w:rPr>
            </w:pPr>
            <w:r w:rsidRPr="009F0A74">
              <w:rPr>
                <w:rFonts w:ascii="Calibri" w:eastAsia="Times New Roman" w:hAnsi="Calibri" w:cs="Calibri"/>
                <w:sz w:val="16"/>
                <w:szCs w:val="16"/>
                <w:lang w:eastAsia="hr-HR"/>
              </w:rPr>
              <w:t>0</w:t>
            </w:r>
          </w:p>
        </w:tc>
        <w:tc>
          <w:tcPr>
            <w:tcW w:w="236" w:type="dxa"/>
            <w:gridSpan w:val="3"/>
            <w:vAlign w:val="center"/>
            <w:hideMark/>
          </w:tcPr>
          <w:p w14:paraId="02F04752" w14:textId="77777777" w:rsidR="00B27DCD" w:rsidRPr="009F0A74" w:rsidRDefault="00B27DCD" w:rsidP="00B27DCD">
            <w:pPr>
              <w:spacing w:after="0" w:line="240" w:lineRule="auto"/>
              <w:rPr>
                <w:rFonts w:ascii="Times New Roman" w:eastAsia="Times New Roman" w:hAnsi="Times New Roman" w:cs="Times New Roman"/>
                <w:sz w:val="16"/>
                <w:szCs w:val="16"/>
                <w:lang w:eastAsia="hr-HR"/>
              </w:rPr>
            </w:pPr>
          </w:p>
        </w:tc>
      </w:tr>
      <w:tr w:rsidR="009F0A74" w:rsidRPr="009F0A74" w14:paraId="36666F58" w14:textId="77777777" w:rsidTr="009F0A74">
        <w:trPr>
          <w:trHeight w:val="315"/>
        </w:trPr>
        <w:tc>
          <w:tcPr>
            <w:tcW w:w="840" w:type="dxa"/>
            <w:tcBorders>
              <w:top w:val="single" w:sz="4" w:space="0" w:color="auto"/>
              <w:left w:val="single" w:sz="8" w:space="0" w:color="auto"/>
              <w:bottom w:val="single" w:sz="4" w:space="0" w:color="auto"/>
              <w:right w:val="single" w:sz="4" w:space="0" w:color="000000"/>
            </w:tcBorders>
            <w:shd w:val="clear" w:color="000000" w:fill="CCFFCC"/>
            <w:vAlign w:val="center"/>
            <w:hideMark/>
          </w:tcPr>
          <w:p w14:paraId="52B2228F" w14:textId="77777777" w:rsidR="00B27DCD" w:rsidRPr="009F0A74" w:rsidRDefault="00B27DCD" w:rsidP="00B27DCD">
            <w:pPr>
              <w:spacing w:after="0" w:line="240" w:lineRule="auto"/>
              <w:rPr>
                <w:rFonts w:ascii="Calibri" w:eastAsia="Times New Roman" w:hAnsi="Calibri" w:cs="Calibri"/>
                <w:sz w:val="16"/>
                <w:szCs w:val="16"/>
                <w:lang w:eastAsia="hr-HR"/>
              </w:rPr>
            </w:pPr>
            <w:r w:rsidRPr="009F0A74">
              <w:rPr>
                <w:rFonts w:ascii="Calibri" w:eastAsia="Times New Roman" w:hAnsi="Calibri" w:cs="Calibri"/>
                <w:sz w:val="16"/>
                <w:szCs w:val="16"/>
                <w:lang w:eastAsia="hr-HR"/>
              </w:rPr>
              <w:t>Naobrazba</w:t>
            </w:r>
          </w:p>
        </w:tc>
        <w:tc>
          <w:tcPr>
            <w:tcW w:w="540" w:type="dxa"/>
            <w:tcBorders>
              <w:top w:val="nil"/>
              <w:left w:val="nil"/>
              <w:bottom w:val="single" w:sz="4" w:space="0" w:color="auto"/>
              <w:right w:val="single" w:sz="4" w:space="0" w:color="auto"/>
            </w:tcBorders>
            <w:shd w:val="clear" w:color="000000" w:fill="FFFF00"/>
            <w:vAlign w:val="bottom"/>
            <w:hideMark/>
          </w:tcPr>
          <w:p w14:paraId="16E4BBB7" w14:textId="77777777" w:rsidR="00B27DCD" w:rsidRPr="009F0A74" w:rsidRDefault="00B27DCD" w:rsidP="00B27DCD">
            <w:pPr>
              <w:spacing w:after="0" w:line="240" w:lineRule="auto"/>
              <w:jc w:val="right"/>
              <w:rPr>
                <w:rFonts w:ascii="Calibri" w:eastAsia="Times New Roman" w:hAnsi="Calibri" w:cs="Calibri"/>
                <w:sz w:val="16"/>
                <w:szCs w:val="16"/>
                <w:lang w:eastAsia="hr-HR"/>
              </w:rPr>
            </w:pPr>
            <w:r w:rsidRPr="009F0A74">
              <w:rPr>
                <w:rFonts w:ascii="Calibri" w:eastAsia="Times New Roman" w:hAnsi="Calibri" w:cs="Calibri"/>
                <w:sz w:val="16"/>
                <w:szCs w:val="16"/>
                <w:lang w:eastAsia="hr-HR"/>
              </w:rPr>
              <w:t>0</w:t>
            </w:r>
          </w:p>
        </w:tc>
        <w:tc>
          <w:tcPr>
            <w:tcW w:w="444" w:type="dxa"/>
            <w:tcBorders>
              <w:top w:val="nil"/>
              <w:left w:val="nil"/>
              <w:bottom w:val="single" w:sz="4" w:space="0" w:color="auto"/>
              <w:right w:val="single" w:sz="4" w:space="0" w:color="auto"/>
            </w:tcBorders>
            <w:shd w:val="clear" w:color="000000" w:fill="FFCC99"/>
            <w:noWrap/>
            <w:vAlign w:val="bottom"/>
            <w:hideMark/>
          </w:tcPr>
          <w:p w14:paraId="6002274E" w14:textId="77777777" w:rsidR="00B27DCD" w:rsidRPr="009F0A74" w:rsidRDefault="00B27DCD" w:rsidP="00B27DCD">
            <w:pPr>
              <w:spacing w:after="0" w:line="240" w:lineRule="auto"/>
              <w:jc w:val="right"/>
              <w:rPr>
                <w:rFonts w:ascii="Calibri" w:eastAsia="Times New Roman" w:hAnsi="Calibri" w:cs="Calibri"/>
                <w:sz w:val="16"/>
                <w:szCs w:val="16"/>
                <w:lang w:eastAsia="hr-HR"/>
              </w:rPr>
            </w:pPr>
            <w:r w:rsidRPr="009F0A74">
              <w:rPr>
                <w:rFonts w:ascii="Calibri" w:eastAsia="Times New Roman" w:hAnsi="Calibri" w:cs="Calibri"/>
                <w:sz w:val="16"/>
                <w:szCs w:val="16"/>
                <w:lang w:eastAsia="hr-HR"/>
              </w:rPr>
              <w:t>0</w:t>
            </w:r>
          </w:p>
        </w:tc>
        <w:tc>
          <w:tcPr>
            <w:tcW w:w="433" w:type="dxa"/>
            <w:tcBorders>
              <w:top w:val="nil"/>
              <w:left w:val="nil"/>
              <w:bottom w:val="single" w:sz="4" w:space="0" w:color="auto"/>
              <w:right w:val="single" w:sz="4" w:space="0" w:color="auto"/>
            </w:tcBorders>
            <w:shd w:val="clear" w:color="000000" w:fill="CCFFFF"/>
            <w:noWrap/>
            <w:vAlign w:val="bottom"/>
            <w:hideMark/>
          </w:tcPr>
          <w:p w14:paraId="4DAAD4A5" w14:textId="77777777" w:rsidR="00B27DCD" w:rsidRPr="009F0A74" w:rsidRDefault="00B27DCD" w:rsidP="00B27DCD">
            <w:pPr>
              <w:spacing w:after="0" w:line="240" w:lineRule="auto"/>
              <w:jc w:val="right"/>
              <w:rPr>
                <w:rFonts w:ascii="Calibri" w:eastAsia="Times New Roman" w:hAnsi="Calibri" w:cs="Calibri"/>
                <w:sz w:val="16"/>
                <w:szCs w:val="16"/>
                <w:lang w:eastAsia="hr-HR"/>
              </w:rPr>
            </w:pPr>
            <w:r w:rsidRPr="009F0A74">
              <w:rPr>
                <w:rFonts w:ascii="Calibri" w:eastAsia="Times New Roman" w:hAnsi="Calibri" w:cs="Calibri"/>
                <w:sz w:val="16"/>
                <w:szCs w:val="16"/>
                <w:lang w:eastAsia="hr-HR"/>
              </w:rPr>
              <w:t>0</w:t>
            </w:r>
          </w:p>
        </w:tc>
        <w:tc>
          <w:tcPr>
            <w:tcW w:w="324" w:type="dxa"/>
            <w:tcBorders>
              <w:top w:val="nil"/>
              <w:left w:val="nil"/>
              <w:bottom w:val="single" w:sz="4" w:space="0" w:color="auto"/>
              <w:right w:val="single" w:sz="4" w:space="0" w:color="auto"/>
            </w:tcBorders>
            <w:shd w:val="clear" w:color="000000" w:fill="CCFFFF"/>
            <w:noWrap/>
            <w:vAlign w:val="bottom"/>
            <w:hideMark/>
          </w:tcPr>
          <w:p w14:paraId="2DAC9AB4" w14:textId="77777777" w:rsidR="00B27DCD" w:rsidRPr="009F0A74" w:rsidRDefault="00B27DCD" w:rsidP="00B27DCD">
            <w:pPr>
              <w:spacing w:after="0" w:line="240" w:lineRule="auto"/>
              <w:jc w:val="right"/>
              <w:rPr>
                <w:rFonts w:ascii="Calibri" w:eastAsia="Times New Roman" w:hAnsi="Calibri" w:cs="Calibri"/>
                <w:sz w:val="16"/>
                <w:szCs w:val="16"/>
                <w:lang w:eastAsia="hr-HR"/>
              </w:rPr>
            </w:pPr>
            <w:r w:rsidRPr="009F0A74">
              <w:rPr>
                <w:rFonts w:ascii="Calibri" w:eastAsia="Times New Roman" w:hAnsi="Calibri" w:cs="Calibri"/>
                <w:sz w:val="16"/>
                <w:szCs w:val="16"/>
                <w:lang w:eastAsia="hr-HR"/>
              </w:rPr>
              <w:t>0</w:t>
            </w:r>
          </w:p>
        </w:tc>
        <w:tc>
          <w:tcPr>
            <w:tcW w:w="385" w:type="dxa"/>
            <w:gridSpan w:val="2"/>
            <w:tcBorders>
              <w:top w:val="nil"/>
              <w:left w:val="nil"/>
              <w:bottom w:val="single" w:sz="4" w:space="0" w:color="auto"/>
              <w:right w:val="single" w:sz="4" w:space="0" w:color="auto"/>
            </w:tcBorders>
            <w:shd w:val="clear" w:color="000000" w:fill="FFFF99"/>
            <w:noWrap/>
            <w:vAlign w:val="bottom"/>
            <w:hideMark/>
          </w:tcPr>
          <w:p w14:paraId="51B7C049" w14:textId="77777777" w:rsidR="00B27DCD" w:rsidRPr="009F0A74" w:rsidRDefault="00B27DCD" w:rsidP="00B27DCD">
            <w:pPr>
              <w:spacing w:after="0" w:line="240" w:lineRule="auto"/>
              <w:jc w:val="right"/>
              <w:rPr>
                <w:rFonts w:ascii="Calibri" w:eastAsia="Times New Roman" w:hAnsi="Calibri" w:cs="Calibri"/>
                <w:sz w:val="16"/>
                <w:szCs w:val="16"/>
                <w:lang w:eastAsia="hr-HR"/>
              </w:rPr>
            </w:pPr>
            <w:r w:rsidRPr="009F0A74">
              <w:rPr>
                <w:rFonts w:ascii="Calibri" w:eastAsia="Times New Roman" w:hAnsi="Calibri" w:cs="Calibri"/>
                <w:sz w:val="16"/>
                <w:szCs w:val="16"/>
                <w:lang w:eastAsia="hr-HR"/>
              </w:rPr>
              <w:t>0</w:t>
            </w:r>
          </w:p>
        </w:tc>
        <w:tc>
          <w:tcPr>
            <w:tcW w:w="334" w:type="dxa"/>
            <w:tcBorders>
              <w:top w:val="nil"/>
              <w:left w:val="nil"/>
              <w:bottom w:val="single" w:sz="4" w:space="0" w:color="auto"/>
              <w:right w:val="single" w:sz="4" w:space="0" w:color="auto"/>
            </w:tcBorders>
            <w:shd w:val="clear" w:color="000000" w:fill="FFFF99"/>
            <w:noWrap/>
            <w:vAlign w:val="bottom"/>
            <w:hideMark/>
          </w:tcPr>
          <w:p w14:paraId="115882A5" w14:textId="77777777" w:rsidR="00B27DCD" w:rsidRPr="009F0A74" w:rsidRDefault="00B27DCD" w:rsidP="00B27DCD">
            <w:pPr>
              <w:spacing w:after="0" w:line="240" w:lineRule="auto"/>
              <w:jc w:val="right"/>
              <w:rPr>
                <w:rFonts w:ascii="Calibri" w:eastAsia="Times New Roman" w:hAnsi="Calibri" w:cs="Calibri"/>
                <w:sz w:val="16"/>
                <w:szCs w:val="16"/>
                <w:lang w:eastAsia="hr-HR"/>
              </w:rPr>
            </w:pPr>
            <w:r w:rsidRPr="009F0A74">
              <w:rPr>
                <w:rFonts w:ascii="Calibri" w:eastAsia="Times New Roman" w:hAnsi="Calibri" w:cs="Calibri"/>
                <w:sz w:val="16"/>
                <w:szCs w:val="16"/>
                <w:lang w:eastAsia="hr-HR"/>
              </w:rPr>
              <w:t>0</w:t>
            </w:r>
          </w:p>
        </w:tc>
        <w:tc>
          <w:tcPr>
            <w:tcW w:w="658" w:type="dxa"/>
            <w:tcBorders>
              <w:top w:val="nil"/>
              <w:left w:val="nil"/>
              <w:bottom w:val="single" w:sz="4" w:space="0" w:color="auto"/>
              <w:right w:val="single" w:sz="4" w:space="0" w:color="auto"/>
            </w:tcBorders>
            <w:shd w:val="clear" w:color="000000" w:fill="FFFF99"/>
            <w:noWrap/>
            <w:vAlign w:val="bottom"/>
            <w:hideMark/>
          </w:tcPr>
          <w:p w14:paraId="0B98AA6B" w14:textId="77777777" w:rsidR="00B27DCD" w:rsidRPr="009F0A74" w:rsidRDefault="00B27DCD" w:rsidP="00B27DCD">
            <w:pPr>
              <w:spacing w:after="0" w:line="240" w:lineRule="auto"/>
              <w:jc w:val="right"/>
              <w:rPr>
                <w:rFonts w:ascii="Calibri" w:eastAsia="Times New Roman" w:hAnsi="Calibri" w:cs="Calibri"/>
                <w:sz w:val="16"/>
                <w:szCs w:val="16"/>
                <w:lang w:eastAsia="hr-HR"/>
              </w:rPr>
            </w:pPr>
            <w:r w:rsidRPr="009F0A74">
              <w:rPr>
                <w:rFonts w:ascii="Calibri" w:eastAsia="Times New Roman" w:hAnsi="Calibri" w:cs="Calibri"/>
                <w:sz w:val="16"/>
                <w:szCs w:val="16"/>
                <w:lang w:eastAsia="hr-HR"/>
              </w:rPr>
              <w:t>0</w:t>
            </w:r>
          </w:p>
        </w:tc>
        <w:tc>
          <w:tcPr>
            <w:tcW w:w="447" w:type="dxa"/>
            <w:tcBorders>
              <w:top w:val="nil"/>
              <w:left w:val="nil"/>
              <w:bottom w:val="single" w:sz="4" w:space="0" w:color="auto"/>
              <w:right w:val="single" w:sz="4" w:space="0" w:color="auto"/>
            </w:tcBorders>
            <w:shd w:val="clear" w:color="000000" w:fill="FFFF99"/>
            <w:noWrap/>
            <w:vAlign w:val="bottom"/>
            <w:hideMark/>
          </w:tcPr>
          <w:p w14:paraId="7ACE805E" w14:textId="77777777" w:rsidR="00B27DCD" w:rsidRPr="009F0A74" w:rsidRDefault="00B27DCD" w:rsidP="00B27DCD">
            <w:pPr>
              <w:spacing w:after="0" w:line="240" w:lineRule="auto"/>
              <w:jc w:val="right"/>
              <w:rPr>
                <w:rFonts w:ascii="Calibri" w:eastAsia="Times New Roman" w:hAnsi="Calibri" w:cs="Calibri"/>
                <w:sz w:val="16"/>
                <w:szCs w:val="16"/>
                <w:lang w:eastAsia="hr-HR"/>
              </w:rPr>
            </w:pPr>
            <w:r w:rsidRPr="009F0A74">
              <w:rPr>
                <w:rFonts w:ascii="Calibri" w:eastAsia="Times New Roman" w:hAnsi="Calibri" w:cs="Calibri"/>
                <w:sz w:val="16"/>
                <w:szCs w:val="16"/>
                <w:lang w:eastAsia="hr-HR"/>
              </w:rPr>
              <w:t>0</w:t>
            </w:r>
          </w:p>
        </w:tc>
        <w:tc>
          <w:tcPr>
            <w:tcW w:w="644" w:type="dxa"/>
            <w:gridSpan w:val="2"/>
            <w:tcBorders>
              <w:top w:val="nil"/>
              <w:left w:val="nil"/>
              <w:bottom w:val="single" w:sz="4" w:space="0" w:color="auto"/>
              <w:right w:val="single" w:sz="4" w:space="0" w:color="auto"/>
            </w:tcBorders>
            <w:shd w:val="clear" w:color="000000" w:fill="FFFF99"/>
            <w:noWrap/>
            <w:vAlign w:val="bottom"/>
            <w:hideMark/>
          </w:tcPr>
          <w:p w14:paraId="5F1F8A83" w14:textId="77777777" w:rsidR="00B27DCD" w:rsidRPr="009F0A74" w:rsidRDefault="00B27DCD" w:rsidP="00B27DCD">
            <w:pPr>
              <w:spacing w:after="0" w:line="240" w:lineRule="auto"/>
              <w:jc w:val="right"/>
              <w:rPr>
                <w:rFonts w:ascii="Calibri" w:eastAsia="Times New Roman" w:hAnsi="Calibri" w:cs="Calibri"/>
                <w:sz w:val="16"/>
                <w:szCs w:val="16"/>
                <w:lang w:eastAsia="hr-HR"/>
              </w:rPr>
            </w:pPr>
            <w:r w:rsidRPr="009F0A74">
              <w:rPr>
                <w:rFonts w:ascii="Calibri" w:eastAsia="Times New Roman" w:hAnsi="Calibri" w:cs="Calibri"/>
                <w:sz w:val="16"/>
                <w:szCs w:val="16"/>
                <w:lang w:eastAsia="hr-HR"/>
              </w:rPr>
              <w:t>0</w:t>
            </w:r>
          </w:p>
        </w:tc>
        <w:tc>
          <w:tcPr>
            <w:tcW w:w="452" w:type="dxa"/>
            <w:tcBorders>
              <w:top w:val="nil"/>
              <w:left w:val="nil"/>
              <w:bottom w:val="single" w:sz="4" w:space="0" w:color="auto"/>
              <w:right w:val="single" w:sz="4" w:space="0" w:color="auto"/>
            </w:tcBorders>
            <w:shd w:val="clear" w:color="000000" w:fill="FFFF99"/>
            <w:noWrap/>
            <w:vAlign w:val="bottom"/>
            <w:hideMark/>
          </w:tcPr>
          <w:p w14:paraId="5811A0E0" w14:textId="77777777" w:rsidR="00B27DCD" w:rsidRPr="009F0A74" w:rsidRDefault="00B27DCD" w:rsidP="00B27DCD">
            <w:pPr>
              <w:spacing w:after="0" w:line="240" w:lineRule="auto"/>
              <w:jc w:val="right"/>
              <w:rPr>
                <w:rFonts w:ascii="Calibri" w:eastAsia="Times New Roman" w:hAnsi="Calibri" w:cs="Calibri"/>
                <w:sz w:val="16"/>
                <w:szCs w:val="16"/>
                <w:lang w:eastAsia="hr-HR"/>
              </w:rPr>
            </w:pPr>
            <w:r w:rsidRPr="009F0A74">
              <w:rPr>
                <w:rFonts w:ascii="Calibri" w:eastAsia="Times New Roman" w:hAnsi="Calibri" w:cs="Calibri"/>
                <w:sz w:val="16"/>
                <w:szCs w:val="16"/>
                <w:lang w:eastAsia="hr-HR"/>
              </w:rPr>
              <w:t>0</w:t>
            </w:r>
          </w:p>
        </w:tc>
        <w:tc>
          <w:tcPr>
            <w:tcW w:w="538" w:type="dxa"/>
            <w:tcBorders>
              <w:top w:val="nil"/>
              <w:left w:val="nil"/>
              <w:bottom w:val="single" w:sz="4" w:space="0" w:color="auto"/>
              <w:right w:val="single" w:sz="4" w:space="0" w:color="auto"/>
            </w:tcBorders>
            <w:shd w:val="clear" w:color="000000" w:fill="FFFF99"/>
            <w:noWrap/>
            <w:vAlign w:val="bottom"/>
            <w:hideMark/>
          </w:tcPr>
          <w:p w14:paraId="375590AF" w14:textId="77777777" w:rsidR="00B27DCD" w:rsidRPr="009F0A74" w:rsidRDefault="00B27DCD" w:rsidP="00B27DCD">
            <w:pPr>
              <w:spacing w:after="0" w:line="240" w:lineRule="auto"/>
              <w:jc w:val="right"/>
              <w:rPr>
                <w:rFonts w:ascii="Calibri" w:eastAsia="Times New Roman" w:hAnsi="Calibri" w:cs="Calibri"/>
                <w:sz w:val="16"/>
                <w:szCs w:val="16"/>
                <w:lang w:eastAsia="hr-HR"/>
              </w:rPr>
            </w:pPr>
            <w:r w:rsidRPr="009F0A74">
              <w:rPr>
                <w:rFonts w:ascii="Calibri" w:eastAsia="Times New Roman" w:hAnsi="Calibri" w:cs="Calibri"/>
                <w:sz w:val="16"/>
                <w:szCs w:val="16"/>
                <w:lang w:eastAsia="hr-HR"/>
              </w:rPr>
              <w:t>0</w:t>
            </w:r>
          </w:p>
        </w:tc>
        <w:tc>
          <w:tcPr>
            <w:tcW w:w="447" w:type="dxa"/>
            <w:tcBorders>
              <w:top w:val="nil"/>
              <w:left w:val="nil"/>
              <w:bottom w:val="single" w:sz="4" w:space="0" w:color="auto"/>
              <w:right w:val="single" w:sz="4" w:space="0" w:color="auto"/>
            </w:tcBorders>
            <w:shd w:val="clear" w:color="000000" w:fill="FFFF99"/>
            <w:noWrap/>
            <w:vAlign w:val="bottom"/>
            <w:hideMark/>
          </w:tcPr>
          <w:p w14:paraId="689C6536" w14:textId="77777777" w:rsidR="00B27DCD" w:rsidRPr="009F0A74" w:rsidRDefault="00B27DCD" w:rsidP="00B27DCD">
            <w:pPr>
              <w:spacing w:after="0" w:line="240" w:lineRule="auto"/>
              <w:jc w:val="right"/>
              <w:rPr>
                <w:rFonts w:ascii="Calibri" w:eastAsia="Times New Roman" w:hAnsi="Calibri" w:cs="Calibri"/>
                <w:sz w:val="16"/>
                <w:szCs w:val="16"/>
                <w:lang w:eastAsia="hr-HR"/>
              </w:rPr>
            </w:pPr>
            <w:r w:rsidRPr="009F0A74">
              <w:rPr>
                <w:rFonts w:ascii="Calibri" w:eastAsia="Times New Roman" w:hAnsi="Calibri" w:cs="Calibri"/>
                <w:sz w:val="16"/>
                <w:szCs w:val="16"/>
                <w:lang w:eastAsia="hr-HR"/>
              </w:rPr>
              <w:t>0</w:t>
            </w:r>
          </w:p>
        </w:tc>
        <w:tc>
          <w:tcPr>
            <w:tcW w:w="447" w:type="dxa"/>
            <w:tcBorders>
              <w:top w:val="nil"/>
              <w:left w:val="nil"/>
              <w:bottom w:val="single" w:sz="4" w:space="0" w:color="auto"/>
              <w:right w:val="single" w:sz="4" w:space="0" w:color="auto"/>
            </w:tcBorders>
            <w:shd w:val="clear" w:color="000000" w:fill="FFFF99"/>
            <w:noWrap/>
            <w:vAlign w:val="bottom"/>
            <w:hideMark/>
          </w:tcPr>
          <w:p w14:paraId="52E3A813" w14:textId="77777777" w:rsidR="00B27DCD" w:rsidRPr="009F0A74" w:rsidRDefault="00B27DCD" w:rsidP="00B27DCD">
            <w:pPr>
              <w:spacing w:after="0" w:line="240" w:lineRule="auto"/>
              <w:jc w:val="right"/>
              <w:rPr>
                <w:rFonts w:ascii="Calibri" w:eastAsia="Times New Roman" w:hAnsi="Calibri" w:cs="Calibri"/>
                <w:sz w:val="16"/>
                <w:szCs w:val="16"/>
                <w:lang w:eastAsia="hr-HR"/>
              </w:rPr>
            </w:pPr>
            <w:r w:rsidRPr="009F0A74">
              <w:rPr>
                <w:rFonts w:ascii="Calibri" w:eastAsia="Times New Roman" w:hAnsi="Calibri" w:cs="Calibri"/>
                <w:sz w:val="16"/>
                <w:szCs w:val="16"/>
                <w:lang w:eastAsia="hr-HR"/>
              </w:rPr>
              <w:t>0</w:t>
            </w:r>
          </w:p>
        </w:tc>
        <w:tc>
          <w:tcPr>
            <w:tcW w:w="400" w:type="dxa"/>
            <w:tcBorders>
              <w:top w:val="nil"/>
              <w:left w:val="nil"/>
              <w:bottom w:val="single" w:sz="4" w:space="0" w:color="auto"/>
              <w:right w:val="single" w:sz="4" w:space="0" w:color="auto"/>
            </w:tcBorders>
            <w:shd w:val="clear" w:color="000000" w:fill="FFFF99"/>
            <w:noWrap/>
            <w:vAlign w:val="bottom"/>
            <w:hideMark/>
          </w:tcPr>
          <w:p w14:paraId="02B3CA7B" w14:textId="77777777" w:rsidR="00B27DCD" w:rsidRPr="009F0A74" w:rsidRDefault="00B27DCD" w:rsidP="00B27DCD">
            <w:pPr>
              <w:spacing w:after="0" w:line="240" w:lineRule="auto"/>
              <w:jc w:val="right"/>
              <w:rPr>
                <w:rFonts w:ascii="Calibri" w:eastAsia="Times New Roman" w:hAnsi="Calibri" w:cs="Calibri"/>
                <w:sz w:val="16"/>
                <w:szCs w:val="16"/>
                <w:lang w:eastAsia="hr-HR"/>
              </w:rPr>
            </w:pPr>
            <w:r w:rsidRPr="009F0A74">
              <w:rPr>
                <w:rFonts w:ascii="Calibri" w:eastAsia="Times New Roman" w:hAnsi="Calibri" w:cs="Calibri"/>
                <w:sz w:val="16"/>
                <w:szCs w:val="16"/>
                <w:lang w:eastAsia="hr-HR"/>
              </w:rPr>
              <w:t>0</w:t>
            </w:r>
          </w:p>
        </w:tc>
        <w:tc>
          <w:tcPr>
            <w:tcW w:w="357" w:type="dxa"/>
            <w:gridSpan w:val="2"/>
            <w:tcBorders>
              <w:top w:val="nil"/>
              <w:left w:val="nil"/>
              <w:bottom w:val="single" w:sz="4" w:space="0" w:color="auto"/>
              <w:right w:val="single" w:sz="4" w:space="0" w:color="auto"/>
            </w:tcBorders>
            <w:shd w:val="clear" w:color="000000" w:fill="FF9900"/>
            <w:noWrap/>
            <w:vAlign w:val="bottom"/>
            <w:hideMark/>
          </w:tcPr>
          <w:p w14:paraId="466B8189" w14:textId="77777777" w:rsidR="00B27DCD" w:rsidRPr="009F0A74" w:rsidRDefault="00B27DCD" w:rsidP="00B27DCD">
            <w:pPr>
              <w:spacing w:after="0" w:line="240" w:lineRule="auto"/>
              <w:jc w:val="right"/>
              <w:rPr>
                <w:rFonts w:ascii="Calibri" w:eastAsia="Times New Roman" w:hAnsi="Calibri" w:cs="Calibri"/>
                <w:sz w:val="16"/>
                <w:szCs w:val="16"/>
                <w:lang w:eastAsia="hr-HR"/>
              </w:rPr>
            </w:pPr>
            <w:r w:rsidRPr="009F0A74">
              <w:rPr>
                <w:rFonts w:ascii="Calibri" w:eastAsia="Times New Roman" w:hAnsi="Calibri" w:cs="Calibri"/>
                <w:sz w:val="16"/>
                <w:szCs w:val="16"/>
                <w:lang w:eastAsia="hr-HR"/>
              </w:rPr>
              <w:t>0</w:t>
            </w:r>
          </w:p>
        </w:tc>
        <w:tc>
          <w:tcPr>
            <w:tcW w:w="447" w:type="dxa"/>
            <w:tcBorders>
              <w:top w:val="nil"/>
              <w:left w:val="nil"/>
              <w:bottom w:val="single" w:sz="4" w:space="0" w:color="auto"/>
              <w:right w:val="single" w:sz="4" w:space="0" w:color="auto"/>
            </w:tcBorders>
            <w:shd w:val="clear" w:color="000000" w:fill="FF9900"/>
            <w:noWrap/>
            <w:vAlign w:val="bottom"/>
            <w:hideMark/>
          </w:tcPr>
          <w:p w14:paraId="25554F19" w14:textId="77777777" w:rsidR="00B27DCD" w:rsidRPr="009F0A74" w:rsidRDefault="00B27DCD" w:rsidP="00B27DCD">
            <w:pPr>
              <w:spacing w:after="0" w:line="240" w:lineRule="auto"/>
              <w:jc w:val="right"/>
              <w:rPr>
                <w:rFonts w:ascii="Calibri" w:eastAsia="Times New Roman" w:hAnsi="Calibri" w:cs="Calibri"/>
                <w:sz w:val="16"/>
                <w:szCs w:val="16"/>
                <w:lang w:eastAsia="hr-HR"/>
              </w:rPr>
            </w:pPr>
            <w:r w:rsidRPr="009F0A74">
              <w:rPr>
                <w:rFonts w:ascii="Calibri" w:eastAsia="Times New Roman" w:hAnsi="Calibri" w:cs="Calibri"/>
                <w:sz w:val="16"/>
                <w:szCs w:val="16"/>
                <w:lang w:eastAsia="hr-HR"/>
              </w:rPr>
              <w:t>0</w:t>
            </w:r>
          </w:p>
        </w:tc>
        <w:tc>
          <w:tcPr>
            <w:tcW w:w="447" w:type="dxa"/>
            <w:tcBorders>
              <w:top w:val="nil"/>
              <w:left w:val="nil"/>
              <w:bottom w:val="single" w:sz="4" w:space="0" w:color="auto"/>
              <w:right w:val="single" w:sz="4" w:space="0" w:color="auto"/>
            </w:tcBorders>
            <w:shd w:val="clear" w:color="000000" w:fill="FF9900"/>
            <w:noWrap/>
            <w:vAlign w:val="bottom"/>
            <w:hideMark/>
          </w:tcPr>
          <w:p w14:paraId="54C832E5" w14:textId="77777777" w:rsidR="00B27DCD" w:rsidRPr="009F0A74" w:rsidRDefault="00B27DCD" w:rsidP="00B27DCD">
            <w:pPr>
              <w:spacing w:after="0" w:line="240" w:lineRule="auto"/>
              <w:jc w:val="right"/>
              <w:rPr>
                <w:rFonts w:ascii="Calibri" w:eastAsia="Times New Roman" w:hAnsi="Calibri" w:cs="Calibri"/>
                <w:sz w:val="16"/>
                <w:szCs w:val="16"/>
                <w:lang w:eastAsia="hr-HR"/>
              </w:rPr>
            </w:pPr>
            <w:r w:rsidRPr="009F0A74">
              <w:rPr>
                <w:rFonts w:ascii="Calibri" w:eastAsia="Times New Roman" w:hAnsi="Calibri" w:cs="Calibri"/>
                <w:sz w:val="16"/>
                <w:szCs w:val="16"/>
                <w:lang w:eastAsia="hr-HR"/>
              </w:rPr>
              <w:t>0</w:t>
            </w:r>
          </w:p>
        </w:tc>
        <w:tc>
          <w:tcPr>
            <w:tcW w:w="446" w:type="dxa"/>
            <w:tcBorders>
              <w:top w:val="nil"/>
              <w:left w:val="nil"/>
              <w:bottom w:val="single" w:sz="4" w:space="0" w:color="auto"/>
              <w:right w:val="single" w:sz="4" w:space="0" w:color="auto"/>
            </w:tcBorders>
            <w:shd w:val="clear" w:color="auto" w:fill="auto"/>
            <w:vAlign w:val="bottom"/>
            <w:hideMark/>
          </w:tcPr>
          <w:p w14:paraId="1F55599A" w14:textId="77777777" w:rsidR="00B27DCD" w:rsidRPr="009F0A74" w:rsidRDefault="00B27DCD" w:rsidP="00B27DCD">
            <w:pPr>
              <w:spacing w:after="0" w:line="240" w:lineRule="auto"/>
              <w:jc w:val="right"/>
              <w:rPr>
                <w:rFonts w:ascii="Calibri" w:eastAsia="Times New Roman" w:hAnsi="Calibri" w:cs="Calibri"/>
                <w:b/>
                <w:bCs/>
                <w:sz w:val="16"/>
                <w:szCs w:val="16"/>
                <w:lang w:eastAsia="hr-HR"/>
              </w:rPr>
            </w:pPr>
            <w:r w:rsidRPr="009F0A74">
              <w:rPr>
                <w:rFonts w:ascii="Calibri" w:eastAsia="Times New Roman" w:hAnsi="Calibri" w:cs="Calibri"/>
                <w:b/>
                <w:bCs/>
                <w:sz w:val="16"/>
                <w:szCs w:val="16"/>
                <w:lang w:eastAsia="hr-HR"/>
              </w:rPr>
              <w:t>0</w:t>
            </w:r>
          </w:p>
        </w:tc>
        <w:tc>
          <w:tcPr>
            <w:tcW w:w="447" w:type="dxa"/>
            <w:gridSpan w:val="2"/>
            <w:tcBorders>
              <w:top w:val="nil"/>
              <w:left w:val="nil"/>
              <w:bottom w:val="single" w:sz="4" w:space="0" w:color="auto"/>
              <w:right w:val="single" w:sz="4" w:space="0" w:color="auto"/>
            </w:tcBorders>
            <w:shd w:val="clear" w:color="000000" w:fill="FFFF00"/>
            <w:noWrap/>
            <w:vAlign w:val="bottom"/>
            <w:hideMark/>
          </w:tcPr>
          <w:p w14:paraId="285B3DB1" w14:textId="77777777" w:rsidR="00B27DCD" w:rsidRPr="009F0A74" w:rsidRDefault="00B27DCD" w:rsidP="00B27DCD">
            <w:pPr>
              <w:spacing w:after="0" w:line="240" w:lineRule="auto"/>
              <w:jc w:val="right"/>
              <w:rPr>
                <w:rFonts w:ascii="Calibri" w:eastAsia="Times New Roman" w:hAnsi="Calibri" w:cs="Calibri"/>
                <w:sz w:val="16"/>
                <w:szCs w:val="16"/>
                <w:lang w:eastAsia="hr-HR"/>
              </w:rPr>
            </w:pPr>
            <w:r w:rsidRPr="009F0A74">
              <w:rPr>
                <w:rFonts w:ascii="Calibri" w:eastAsia="Times New Roman" w:hAnsi="Calibri" w:cs="Calibri"/>
                <w:sz w:val="16"/>
                <w:szCs w:val="16"/>
                <w:lang w:eastAsia="hr-HR"/>
              </w:rPr>
              <w:t>0</w:t>
            </w:r>
          </w:p>
        </w:tc>
        <w:tc>
          <w:tcPr>
            <w:tcW w:w="447" w:type="dxa"/>
            <w:tcBorders>
              <w:top w:val="nil"/>
              <w:left w:val="nil"/>
              <w:bottom w:val="single" w:sz="4" w:space="0" w:color="auto"/>
              <w:right w:val="single" w:sz="4" w:space="0" w:color="auto"/>
            </w:tcBorders>
            <w:shd w:val="clear" w:color="000000" w:fill="FFFF00"/>
            <w:noWrap/>
            <w:vAlign w:val="bottom"/>
            <w:hideMark/>
          </w:tcPr>
          <w:p w14:paraId="4F5A737C" w14:textId="77777777" w:rsidR="00B27DCD" w:rsidRPr="009F0A74" w:rsidRDefault="00B27DCD" w:rsidP="00B27DCD">
            <w:pPr>
              <w:spacing w:after="0" w:line="240" w:lineRule="auto"/>
              <w:jc w:val="right"/>
              <w:rPr>
                <w:rFonts w:ascii="Calibri" w:eastAsia="Times New Roman" w:hAnsi="Calibri" w:cs="Calibri"/>
                <w:sz w:val="16"/>
                <w:szCs w:val="16"/>
                <w:lang w:eastAsia="hr-HR"/>
              </w:rPr>
            </w:pPr>
            <w:r w:rsidRPr="009F0A74">
              <w:rPr>
                <w:rFonts w:ascii="Calibri" w:eastAsia="Times New Roman" w:hAnsi="Calibri" w:cs="Calibri"/>
                <w:sz w:val="16"/>
                <w:szCs w:val="16"/>
                <w:lang w:eastAsia="hr-HR"/>
              </w:rPr>
              <w:t>0</w:t>
            </w:r>
          </w:p>
        </w:tc>
        <w:tc>
          <w:tcPr>
            <w:tcW w:w="447" w:type="dxa"/>
            <w:tcBorders>
              <w:top w:val="nil"/>
              <w:left w:val="nil"/>
              <w:bottom w:val="single" w:sz="4" w:space="0" w:color="auto"/>
              <w:right w:val="single" w:sz="4" w:space="0" w:color="auto"/>
            </w:tcBorders>
            <w:shd w:val="clear" w:color="000000" w:fill="FFFF00"/>
            <w:noWrap/>
            <w:vAlign w:val="bottom"/>
            <w:hideMark/>
          </w:tcPr>
          <w:p w14:paraId="5C0D4120" w14:textId="77777777" w:rsidR="00B27DCD" w:rsidRPr="009F0A74" w:rsidRDefault="00B27DCD" w:rsidP="00B27DCD">
            <w:pPr>
              <w:spacing w:after="0" w:line="240" w:lineRule="auto"/>
              <w:jc w:val="right"/>
              <w:rPr>
                <w:rFonts w:ascii="Calibri" w:eastAsia="Times New Roman" w:hAnsi="Calibri" w:cs="Calibri"/>
                <w:sz w:val="16"/>
                <w:szCs w:val="16"/>
                <w:lang w:eastAsia="hr-HR"/>
              </w:rPr>
            </w:pPr>
            <w:r w:rsidRPr="009F0A74">
              <w:rPr>
                <w:rFonts w:ascii="Calibri" w:eastAsia="Times New Roman" w:hAnsi="Calibri" w:cs="Calibri"/>
                <w:sz w:val="16"/>
                <w:szCs w:val="16"/>
                <w:lang w:eastAsia="hr-HR"/>
              </w:rPr>
              <w:t>0</w:t>
            </w:r>
          </w:p>
        </w:tc>
        <w:tc>
          <w:tcPr>
            <w:tcW w:w="446" w:type="dxa"/>
            <w:tcBorders>
              <w:top w:val="nil"/>
              <w:left w:val="nil"/>
              <w:bottom w:val="single" w:sz="4" w:space="0" w:color="auto"/>
              <w:right w:val="single" w:sz="4" w:space="0" w:color="auto"/>
            </w:tcBorders>
            <w:shd w:val="clear" w:color="auto" w:fill="auto"/>
            <w:vAlign w:val="bottom"/>
            <w:hideMark/>
          </w:tcPr>
          <w:p w14:paraId="038843BE" w14:textId="77777777" w:rsidR="00B27DCD" w:rsidRPr="009F0A74" w:rsidRDefault="00B27DCD" w:rsidP="00B27DCD">
            <w:pPr>
              <w:spacing w:after="0" w:line="240" w:lineRule="auto"/>
              <w:jc w:val="right"/>
              <w:rPr>
                <w:rFonts w:ascii="Calibri" w:eastAsia="Times New Roman" w:hAnsi="Calibri" w:cs="Calibri"/>
                <w:b/>
                <w:bCs/>
                <w:sz w:val="16"/>
                <w:szCs w:val="16"/>
                <w:lang w:eastAsia="hr-HR"/>
              </w:rPr>
            </w:pPr>
            <w:r w:rsidRPr="009F0A74">
              <w:rPr>
                <w:rFonts w:ascii="Calibri" w:eastAsia="Times New Roman" w:hAnsi="Calibri" w:cs="Calibri"/>
                <w:b/>
                <w:bCs/>
                <w:sz w:val="16"/>
                <w:szCs w:val="16"/>
                <w:lang w:eastAsia="hr-HR"/>
              </w:rPr>
              <w:t>0</w:t>
            </w:r>
          </w:p>
        </w:tc>
        <w:tc>
          <w:tcPr>
            <w:tcW w:w="524" w:type="dxa"/>
            <w:gridSpan w:val="2"/>
            <w:tcBorders>
              <w:top w:val="nil"/>
              <w:left w:val="nil"/>
              <w:bottom w:val="single" w:sz="4" w:space="0" w:color="auto"/>
              <w:right w:val="single" w:sz="4" w:space="0" w:color="auto"/>
            </w:tcBorders>
            <w:shd w:val="clear" w:color="000000" w:fill="FFFF00"/>
            <w:vAlign w:val="bottom"/>
            <w:hideMark/>
          </w:tcPr>
          <w:p w14:paraId="1D9B7EB5" w14:textId="77777777" w:rsidR="00B27DCD" w:rsidRPr="009F0A74" w:rsidRDefault="00B27DCD" w:rsidP="00B27DCD">
            <w:pPr>
              <w:spacing w:after="0" w:line="240" w:lineRule="auto"/>
              <w:jc w:val="right"/>
              <w:rPr>
                <w:rFonts w:ascii="Calibri" w:eastAsia="Times New Roman" w:hAnsi="Calibri" w:cs="Calibri"/>
                <w:b/>
                <w:bCs/>
                <w:sz w:val="16"/>
                <w:szCs w:val="16"/>
                <w:lang w:eastAsia="hr-HR"/>
              </w:rPr>
            </w:pPr>
            <w:r w:rsidRPr="009F0A74">
              <w:rPr>
                <w:rFonts w:ascii="Calibri" w:eastAsia="Times New Roman" w:hAnsi="Calibri" w:cs="Calibri"/>
                <w:b/>
                <w:bCs/>
                <w:sz w:val="16"/>
                <w:szCs w:val="16"/>
                <w:lang w:eastAsia="hr-HR"/>
              </w:rPr>
              <w:t>0</w:t>
            </w:r>
          </w:p>
        </w:tc>
        <w:tc>
          <w:tcPr>
            <w:tcW w:w="425" w:type="dxa"/>
            <w:gridSpan w:val="2"/>
            <w:tcBorders>
              <w:top w:val="nil"/>
              <w:left w:val="nil"/>
              <w:bottom w:val="single" w:sz="4" w:space="0" w:color="auto"/>
              <w:right w:val="single" w:sz="4" w:space="0" w:color="auto"/>
            </w:tcBorders>
            <w:shd w:val="clear" w:color="000000" w:fill="FF9900"/>
            <w:noWrap/>
            <w:vAlign w:val="bottom"/>
            <w:hideMark/>
          </w:tcPr>
          <w:p w14:paraId="71589F72" w14:textId="77777777" w:rsidR="00B27DCD" w:rsidRPr="009F0A74" w:rsidRDefault="00B27DCD" w:rsidP="00B27DCD">
            <w:pPr>
              <w:spacing w:after="0" w:line="240" w:lineRule="auto"/>
              <w:jc w:val="right"/>
              <w:rPr>
                <w:rFonts w:ascii="Calibri" w:eastAsia="Times New Roman" w:hAnsi="Calibri" w:cs="Calibri"/>
                <w:sz w:val="16"/>
                <w:szCs w:val="16"/>
                <w:lang w:eastAsia="hr-HR"/>
              </w:rPr>
            </w:pPr>
            <w:r w:rsidRPr="009F0A74">
              <w:rPr>
                <w:rFonts w:ascii="Calibri" w:eastAsia="Times New Roman" w:hAnsi="Calibri" w:cs="Calibri"/>
                <w:sz w:val="16"/>
                <w:szCs w:val="16"/>
                <w:lang w:eastAsia="hr-HR"/>
              </w:rPr>
              <w:t>0</w:t>
            </w:r>
          </w:p>
        </w:tc>
        <w:tc>
          <w:tcPr>
            <w:tcW w:w="501" w:type="dxa"/>
            <w:gridSpan w:val="2"/>
            <w:tcBorders>
              <w:top w:val="nil"/>
              <w:left w:val="nil"/>
              <w:bottom w:val="single" w:sz="4" w:space="0" w:color="auto"/>
              <w:right w:val="single" w:sz="4" w:space="0" w:color="auto"/>
            </w:tcBorders>
            <w:shd w:val="clear" w:color="000000" w:fill="FF9900"/>
            <w:noWrap/>
            <w:vAlign w:val="bottom"/>
            <w:hideMark/>
          </w:tcPr>
          <w:p w14:paraId="6FE9D35E" w14:textId="77777777" w:rsidR="00B27DCD" w:rsidRPr="009F0A74" w:rsidRDefault="00B27DCD" w:rsidP="00B27DCD">
            <w:pPr>
              <w:spacing w:after="0" w:line="240" w:lineRule="auto"/>
              <w:jc w:val="right"/>
              <w:rPr>
                <w:rFonts w:ascii="Calibri" w:eastAsia="Times New Roman" w:hAnsi="Calibri" w:cs="Calibri"/>
                <w:sz w:val="16"/>
                <w:szCs w:val="16"/>
                <w:lang w:eastAsia="hr-HR"/>
              </w:rPr>
            </w:pPr>
            <w:r w:rsidRPr="009F0A74">
              <w:rPr>
                <w:rFonts w:ascii="Calibri" w:eastAsia="Times New Roman" w:hAnsi="Calibri" w:cs="Calibri"/>
                <w:sz w:val="16"/>
                <w:szCs w:val="16"/>
                <w:lang w:eastAsia="hr-HR"/>
              </w:rPr>
              <w:t>0</w:t>
            </w:r>
          </w:p>
        </w:tc>
        <w:tc>
          <w:tcPr>
            <w:tcW w:w="425" w:type="dxa"/>
            <w:tcBorders>
              <w:top w:val="nil"/>
              <w:left w:val="nil"/>
              <w:bottom w:val="single" w:sz="4" w:space="0" w:color="auto"/>
              <w:right w:val="single" w:sz="4" w:space="0" w:color="auto"/>
            </w:tcBorders>
            <w:shd w:val="clear" w:color="000000" w:fill="CCFFFF"/>
            <w:noWrap/>
            <w:vAlign w:val="bottom"/>
            <w:hideMark/>
          </w:tcPr>
          <w:p w14:paraId="785EC032" w14:textId="77777777" w:rsidR="00B27DCD" w:rsidRPr="009F0A74" w:rsidRDefault="00B27DCD" w:rsidP="00B27DCD">
            <w:pPr>
              <w:spacing w:after="0" w:line="240" w:lineRule="auto"/>
              <w:jc w:val="right"/>
              <w:rPr>
                <w:rFonts w:ascii="Calibri" w:eastAsia="Times New Roman" w:hAnsi="Calibri" w:cs="Calibri"/>
                <w:sz w:val="16"/>
                <w:szCs w:val="16"/>
                <w:lang w:eastAsia="hr-HR"/>
              </w:rPr>
            </w:pPr>
            <w:r w:rsidRPr="009F0A74">
              <w:rPr>
                <w:rFonts w:ascii="Calibri" w:eastAsia="Times New Roman" w:hAnsi="Calibri" w:cs="Calibri"/>
                <w:sz w:val="16"/>
                <w:szCs w:val="16"/>
                <w:lang w:eastAsia="hr-HR"/>
              </w:rPr>
              <w:t>0</w:t>
            </w:r>
          </w:p>
        </w:tc>
        <w:tc>
          <w:tcPr>
            <w:tcW w:w="426" w:type="dxa"/>
            <w:tcBorders>
              <w:top w:val="nil"/>
              <w:left w:val="nil"/>
              <w:bottom w:val="single" w:sz="4" w:space="0" w:color="auto"/>
              <w:right w:val="single" w:sz="4" w:space="0" w:color="auto"/>
            </w:tcBorders>
            <w:shd w:val="clear" w:color="000000" w:fill="CCFFFF"/>
            <w:noWrap/>
            <w:vAlign w:val="bottom"/>
            <w:hideMark/>
          </w:tcPr>
          <w:p w14:paraId="66003287" w14:textId="77777777" w:rsidR="00B27DCD" w:rsidRPr="009F0A74" w:rsidRDefault="00B27DCD" w:rsidP="00B27DCD">
            <w:pPr>
              <w:spacing w:after="0" w:line="240" w:lineRule="auto"/>
              <w:jc w:val="right"/>
              <w:rPr>
                <w:rFonts w:ascii="Calibri" w:eastAsia="Times New Roman" w:hAnsi="Calibri" w:cs="Calibri"/>
                <w:sz w:val="16"/>
                <w:szCs w:val="16"/>
                <w:lang w:eastAsia="hr-HR"/>
              </w:rPr>
            </w:pPr>
            <w:r w:rsidRPr="009F0A74">
              <w:rPr>
                <w:rFonts w:ascii="Calibri" w:eastAsia="Times New Roman" w:hAnsi="Calibri" w:cs="Calibri"/>
                <w:sz w:val="16"/>
                <w:szCs w:val="16"/>
                <w:lang w:eastAsia="hr-HR"/>
              </w:rPr>
              <w:t>0</w:t>
            </w:r>
          </w:p>
        </w:tc>
        <w:tc>
          <w:tcPr>
            <w:tcW w:w="818" w:type="dxa"/>
            <w:gridSpan w:val="2"/>
            <w:tcBorders>
              <w:top w:val="nil"/>
              <w:left w:val="nil"/>
              <w:bottom w:val="single" w:sz="4" w:space="0" w:color="auto"/>
              <w:right w:val="single" w:sz="4" w:space="0" w:color="auto"/>
            </w:tcBorders>
            <w:shd w:val="clear" w:color="000000" w:fill="33CCCC"/>
            <w:noWrap/>
            <w:vAlign w:val="bottom"/>
            <w:hideMark/>
          </w:tcPr>
          <w:p w14:paraId="309F4254" w14:textId="77777777" w:rsidR="00B27DCD" w:rsidRPr="009F0A74" w:rsidRDefault="00B27DCD" w:rsidP="00B27DCD">
            <w:pPr>
              <w:spacing w:after="0" w:line="240" w:lineRule="auto"/>
              <w:jc w:val="right"/>
              <w:rPr>
                <w:rFonts w:ascii="Calibri" w:eastAsia="Times New Roman" w:hAnsi="Calibri" w:cs="Calibri"/>
                <w:sz w:val="16"/>
                <w:szCs w:val="16"/>
                <w:lang w:eastAsia="hr-HR"/>
              </w:rPr>
            </w:pPr>
            <w:r w:rsidRPr="009F0A74">
              <w:rPr>
                <w:rFonts w:ascii="Calibri" w:eastAsia="Times New Roman" w:hAnsi="Calibri" w:cs="Calibri"/>
                <w:sz w:val="16"/>
                <w:szCs w:val="16"/>
                <w:lang w:eastAsia="hr-HR"/>
              </w:rPr>
              <w:t>0</w:t>
            </w:r>
          </w:p>
        </w:tc>
        <w:tc>
          <w:tcPr>
            <w:tcW w:w="818" w:type="dxa"/>
            <w:gridSpan w:val="2"/>
            <w:tcBorders>
              <w:top w:val="nil"/>
              <w:left w:val="nil"/>
              <w:bottom w:val="single" w:sz="4" w:space="0" w:color="auto"/>
              <w:right w:val="single" w:sz="8" w:space="0" w:color="auto"/>
            </w:tcBorders>
            <w:shd w:val="clear" w:color="000000" w:fill="33CCCC"/>
            <w:noWrap/>
            <w:vAlign w:val="bottom"/>
            <w:hideMark/>
          </w:tcPr>
          <w:p w14:paraId="68C06FD2" w14:textId="77777777" w:rsidR="00B27DCD" w:rsidRPr="009F0A74" w:rsidRDefault="00B27DCD" w:rsidP="00B27DCD">
            <w:pPr>
              <w:spacing w:after="0" w:line="240" w:lineRule="auto"/>
              <w:jc w:val="right"/>
              <w:rPr>
                <w:rFonts w:ascii="Calibri" w:eastAsia="Times New Roman" w:hAnsi="Calibri" w:cs="Calibri"/>
                <w:sz w:val="16"/>
                <w:szCs w:val="16"/>
                <w:lang w:eastAsia="hr-HR"/>
              </w:rPr>
            </w:pPr>
            <w:r w:rsidRPr="009F0A74">
              <w:rPr>
                <w:rFonts w:ascii="Calibri" w:eastAsia="Times New Roman" w:hAnsi="Calibri" w:cs="Calibri"/>
                <w:sz w:val="16"/>
                <w:szCs w:val="16"/>
                <w:lang w:eastAsia="hr-HR"/>
              </w:rPr>
              <w:t>0</w:t>
            </w:r>
          </w:p>
        </w:tc>
        <w:tc>
          <w:tcPr>
            <w:tcW w:w="236" w:type="dxa"/>
            <w:gridSpan w:val="3"/>
            <w:vAlign w:val="center"/>
            <w:hideMark/>
          </w:tcPr>
          <w:p w14:paraId="398ECD4A" w14:textId="77777777" w:rsidR="00B27DCD" w:rsidRPr="009F0A74" w:rsidRDefault="00B27DCD" w:rsidP="00B27DCD">
            <w:pPr>
              <w:spacing w:after="0" w:line="240" w:lineRule="auto"/>
              <w:rPr>
                <w:rFonts w:ascii="Times New Roman" w:eastAsia="Times New Roman" w:hAnsi="Times New Roman" w:cs="Times New Roman"/>
                <w:sz w:val="16"/>
                <w:szCs w:val="16"/>
                <w:lang w:eastAsia="hr-HR"/>
              </w:rPr>
            </w:pPr>
          </w:p>
        </w:tc>
      </w:tr>
      <w:tr w:rsidR="009F0A74" w:rsidRPr="009F0A74" w14:paraId="51A358A2" w14:textId="77777777" w:rsidTr="009F0A74">
        <w:trPr>
          <w:trHeight w:val="315"/>
        </w:trPr>
        <w:tc>
          <w:tcPr>
            <w:tcW w:w="840" w:type="dxa"/>
            <w:tcBorders>
              <w:top w:val="single" w:sz="4" w:space="0" w:color="auto"/>
              <w:left w:val="single" w:sz="8" w:space="0" w:color="auto"/>
              <w:bottom w:val="single" w:sz="4" w:space="0" w:color="auto"/>
              <w:right w:val="single" w:sz="4" w:space="0" w:color="000000"/>
            </w:tcBorders>
            <w:shd w:val="clear" w:color="000000" w:fill="CCFFCC"/>
            <w:vAlign w:val="center"/>
            <w:hideMark/>
          </w:tcPr>
          <w:p w14:paraId="12CA462F" w14:textId="77777777" w:rsidR="00B27DCD" w:rsidRPr="009F0A74" w:rsidRDefault="00B27DCD" w:rsidP="00B27DCD">
            <w:pPr>
              <w:spacing w:after="0" w:line="240" w:lineRule="auto"/>
              <w:rPr>
                <w:rFonts w:ascii="Calibri" w:eastAsia="Times New Roman" w:hAnsi="Calibri" w:cs="Calibri"/>
                <w:sz w:val="16"/>
                <w:szCs w:val="16"/>
                <w:lang w:eastAsia="hr-HR"/>
              </w:rPr>
            </w:pPr>
            <w:r w:rsidRPr="009F0A74">
              <w:rPr>
                <w:rFonts w:ascii="Calibri" w:eastAsia="Times New Roman" w:hAnsi="Calibri" w:cs="Calibri"/>
                <w:sz w:val="16"/>
                <w:szCs w:val="16"/>
                <w:lang w:eastAsia="hr-HR"/>
              </w:rPr>
              <w:t>Društveni položaj</w:t>
            </w:r>
          </w:p>
        </w:tc>
        <w:tc>
          <w:tcPr>
            <w:tcW w:w="540" w:type="dxa"/>
            <w:tcBorders>
              <w:top w:val="nil"/>
              <w:left w:val="nil"/>
              <w:bottom w:val="single" w:sz="4" w:space="0" w:color="auto"/>
              <w:right w:val="single" w:sz="4" w:space="0" w:color="auto"/>
            </w:tcBorders>
            <w:shd w:val="clear" w:color="000000" w:fill="FFFF00"/>
            <w:vAlign w:val="bottom"/>
            <w:hideMark/>
          </w:tcPr>
          <w:p w14:paraId="74F329ED" w14:textId="77777777" w:rsidR="00B27DCD" w:rsidRPr="009F0A74" w:rsidRDefault="00B27DCD" w:rsidP="00B27DCD">
            <w:pPr>
              <w:spacing w:after="0" w:line="240" w:lineRule="auto"/>
              <w:jc w:val="right"/>
              <w:rPr>
                <w:rFonts w:ascii="Calibri" w:eastAsia="Times New Roman" w:hAnsi="Calibri" w:cs="Calibri"/>
                <w:sz w:val="16"/>
                <w:szCs w:val="16"/>
                <w:lang w:eastAsia="hr-HR"/>
              </w:rPr>
            </w:pPr>
            <w:r w:rsidRPr="009F0A74">
              <w:rPr>
                <w:rFonts w:ascii="Calibri" w:eastAsia="Times New Roman" w:hAnsi="Calibri" w:cs="Calibri"/>
                <w:sz w:val="16"/>
                <w:szCs w:val="16"/>
                <w:lang w:eastAsia="hr-HR"/>
              </w:rPr>
              <w:t>1</w:t>
            </w:r>
          </w:p>
        </w:tc>
        <w:tc>
          <w:tcPr>
            <w:tcW w:w="444" w:type="dxa"/>
            <w:tcBorders>
              <w:top w:val="nil"/>
              <w:left w:val="nil"/>
              <w:bottom w:val="single" w:sz="4" w:space="0" w:color="auto"/>
              <w:right w:val="single" w:sz="4" w:space="0" w:color="auto"/>
            </w:tcBorders>
            <w:shd w:val="clear" w:color="000000" w:fill="FFCC99"/>
            <w:noWrap/>
            <w:vAlign w:val="bottom"/>
            <w:hideMark/>
          </w:tcPr>
          <w:p w14:paraId="2F9C536C" w14:textId="77777777" w:rsidR="00B27DCD" w:rsidRPr="009F0A74" w:rsidRDefault="00B27DCD" w:rsidP="00B27DCD">
            <w:pPr>
              <w:spacing w:after="0" w:line="240" w:lineRule="auto"/>
              <w:jc w:val="right"/>
              <w:rPr>
                <w:rFonts w:ascii="Calibri" w:eastAsia="Times New Roman" w:hAnsi="Calibri" w:cs="Calibri"/>
                <w:sz w:val="16"/>
                <w:szCs w:val="16"/>
                <w:lang w:eastAsia="hr-HR"/>
              </w:rPr>
            </w:pPr>
            <w:r w:rsidRPr="009F0A74">
              <w:rPr>
                <w:rFonts w:ascii="Calibri" w:eastAsia="Times New Roman" w:hAnsi="Calibri" w:cs="Calibri"/>
                <w:sz w:val="16"/>
                <w:szCs w:val="16"/>
                <w:lang w:eastAsia="hr-HR"/>
              </w:rPr>
              <w:t>0</w:t>
            </w:r>
          </w:p>
        </w:tc>
        <w:tc>
          <w:tcPr>
            <w:tcW w:w="433" w:type="dxa"/>
            <w:tcBorders>
              <w:top w:val="nil"/>
              <w:left w:val="nil"/>
              <w:bottom w:val="single" w:sz="4" w:space="0" w:color="auto"/>
              <w:right w:val="single" w:sz="4" w:space="0" w:color="auto"/>
            </w:tcBorders>
            <w:shd w:val="clear" w:color="000000" w:fill="CCFFFF"/>
            <w:noWrap/>
            <w:vAlign w:val="bottom"/>
            <w:hideMark/>
          </w:tcPr>
          <w:p w14:paraId="1B39267C" w14:textId="77777777" w:rsidR="00B27DCD" w:rsidRPr="009F0A74" w:rsidRDefault="00B27DCD" w:rsidP="00B27DCD">
            <w:pPr>
              <w:spacing w:after="0" w:line="240" w:lineRule="auto"/>
              <w:jc w:val="right"/>
              <w:rPr>
                <w:rFonts w:ascii="Calibri" w:eastAsia="Times New Roman" w:hAnsi="Calibri" w:cs="Calibri"/>
                <w:sz w:val="16"/>
                <w:szCs w:val="16"/>
                <w:lang w:eastAsia="hr-HR"/>
              </w:rPr>
            </w:pPr>
            <w:r w:rsidRPr="009F0A74">
              <w:rPr>
                <w:rFonts w:ascii="Calibri" w:eastAsia="Times New Roman" w:hAnsi="Calibri" w:cs="Calibri"/>
                <w:sz w:val="16"/>
                <w:szCs w:val="16"/>
                <w:lang w:eastAsia="hr-HR"/>
              </w:rPr>
              <w:t>0</w:t>
            </w:r>
          </w:p>
        </w:tc>
        <w:tc>
          <w:tcPr>
            <w:tcW w:w="324" w:type="dxa"/>
            <w:tcBorders>
              <w:top w:val="nil"/>
              <w:left w:val="nil"/>
              <w:bottom w:val="single" w:sz="4" w:space="0" w:color="auto"/>
              <w:right w:val="single" w:sz="4" w:space="0" w:color="auto"/>
            </w:tcBorders>
            <w:shd w:val="clear" w:color="000000" w:fill="CCFFFF"/>
            <w:noWrap/>
            <w:vAlign w:val="bottom"/>
            <w:hideMark/>
          </w:tcPr>
          <w:p w14:paraId="7A862B20" w14:textId="77777777" w:rsidR="00B27DCD" w:rsidRPr="009F0A74" w:rsidRDefault="00B27DCD" w:rsidP="00B27DCD">
            <w:pPr>
              <w:spacing w:after="0" w:line="240" w:lineRule="auto"/>
              <w:jc w:val="right"/>
              <w:rPr>
                <w:rFonts w:ascii="Calibri" w:eastAsia="Times New Roman" w:hAnsi="Calibri" w:cs="Calibri"/>
                <w:sz w:val="16"/>
                <w:szCs w:val="16"/>
                <w:lang w:eastAsia="hr-HR"/>
              </w:rPr>
            </w:pPr>
            <w:r w:rsidRPr="009F0A74">
              <w:rPr>
                <w:rFonts w:ascii="Calibri" w:eastAsia="Times New Roman" w:hAnsi="Calibri" w:cs="Calibri"/>
                <w:sz w:val="16"/>
                <w:szCs w:val="16"/>
                <w:lang w:eastAsia="hr-HR"/>
              </w:rPr>
              <w:t>0</w:t>
            </w:r>
          </w:p>
        </w:tc>
        <w:tc>
          <w:tcPr>
            <w:tcW w:w="385" w:type="dxa"/>
            <w:gridSpan w:val="2"/>
            <w:tcBorders>
              <w:top w:val="nil"/>
              <w:left w:val="nil"/>
              <w:bottom w:val="single" w:sz="4" w:space="0" w:color="auto"/>
              <w:right w:val="single" w:sz="4" w:space="0" w:color="auto"/>
            </w:tcBorders>
            <w:shd w:val="clear" w:color="000000" w:fill="FFFF99"/>
            <w:noWrap/>
            <w:vAlign w:val="bottom"/>
            <w:hideMark/>
          </w:tcPr>
          <w:p w14:paraId="083160CA" w14:textId="77777777" w:rsidR="00B27DCD" w:rsidRPr="009F0A74" w:rsidRDefault="00B27DCD" w:rsidP="00B27DCD">
            <w:pPr>
              <w:spacing w:after="0" w:line="240" w:lineRule="auto"/>
              <w:jc w:val="right"/>
              <w:rPr>
                <w:rFonts w:ascii="Calibri" w:eastAsia="Times New Roman" w:hAnsi="Calibri" w:cs="Calibri"/>
                <w:sz w:val="16"/>
                <w:szCs w:val="16"/>
                <w:lang w:eastAsia="hr-HR"/>
              </w:rPr>
            </w:pPr>
            <w:r w:rsidRPr="009F0A74">
              <w:rPr>
                <w:rFonts w:ascii="Calibri" w:eastAsia="Times New Roman" w:hAnsi="Calibri" w:cs="Calibri"/>
                <w:sz w:val="16"/>
                <w:szCs w:val="16"/>
                <w:lang w:eastAsia="hr-HR"/>
              </w:rPr>
              <w:t>0</w:t>
            </w:r>
          </w:p>
        </w:tc>
        <w:tc>
          <w:tcPr>
            <w:tcW w:w="334" w:type="dxa"/>
            <w:tcBorders>
              <w:top w:val="nil"/>
              <w:left w:val="nil"/>
              <w:bottom w:val="single" w:sz="4" w:space="0" w:color="auto"/>
              <w:right w:val="single" w:sz="4" w:space="0" w:color="auto"/>
            </w:tcBorders>
            <w:shd w:val="clear" w:color="000000" w:fill="FFFF99"/>
            <w:noWrap/>
            <w:vAlign w:val="bottom"/>
            <w:hideMark/>
          </w:tcPr>
          <w:p w14:paraId="695AEA17" w14:textId="77777777" w:rsidR="00B27DCD" w:rsidRPr="009F0A74" w:rsidRDefault="00B27DCD" w:rsidP="00B27DCD">
            <w:pPr>
              <w:spacing w:after="0" w:line="240" w:lineRule="auto"/>
              <w:jc w:val="right"/>
              <w:rPr>
                <w:rFonts w:ascii="Calibri" w:eastAsia="Times New Roman" w:hAnsi="Calibri" w:cs="Calibri"/>
                <w:sz w:val="16"/>
                <w:szCs w:val="16"/>
                <w:lang w:eastAsia="hr-HR"/>
              </w:rPr>
            </w:pPr>
            <w:r w:rsidRPr="009F0A74">
              <w:rPr>
                <w:rFonts w:ascii="Calibri" w:eastAsia="Times New Roman" w:hAnsi="Calibri" w:cs="Calibri"/>
                <w:sz w:val="16"/>
                <w:szCs w:val="16"/>
                <w:lang w:eastAsia="hr-HR"/>
              </w:rPr>
              <w:t>0</w:t>
            </w:r>
          </w:p>
        </w:tc>
        <w:tc>
          <w:tcPr>
            <w:tcW w:w="658" w:type="dxa"/>
            <w:tcBorders>
              <w:top w:val="nil"/>
              <w:left w:val="nil"/>
              <w:bottom w:val="single" w:sz="4" w:space="0" w:color="auto"/>
              <w:right w:val="single" w:sz="4" w:space="0" w:color="auto"/>
            </w:tcBorders>
            <w:shd w:val="clear" w:color="000000" w:fill="FFFF99"/>
            <w:noWrap/>
            <w:vAlign w:val="bottom"/>
            <w:hideMark/>
          </w:tcPr>
          <w:p w14:paraId="5FD363D9" w14:textId="77777777" w:rsidR="00B27DCD" w:rsidRPr="009F0A74" w:rsidRDefault="00B27DCD" w:rsidP="00B27DCD">
            <w:pPr>
              <w:spacing w:after="0" w:line="240" w:lineRule="auto"/>
              <w:jc w:val="right"/>
              <w:rPr>
                <w:rFonts w:ascii="Calibri" w:eastAsia="Times New Roman" w:hAnsi="Calibri" w:cs="Calibri"/>
                <w:sz w:val="16"/>
                <w:szCs w:val="16"/>
                <w:lang w:eastAsia="hr-HR"/>
              </w:rPr>
            </w:pPr>
            <w:r w:rsidRPr="009F0A74">
              <w:rPr>
                <w:rFonts w:ascii="Calibri" w:eastAsia="Times New Roman" w:hAnsi="Calibri" w:cs="Calibri"/>
                <w:sz w:val="16"/>
                <w:szCs w:val="16"/>
                <w:lang w:eastAsia="hr-HR"/>
              </w:rPr>
              <w:t>0</w:t>
            </w:r>
          </w:p>
        </w:tc>
        <w:tc>
          <w:tcPr>
            <w:tcW w:w="447" w:type="dxa"/>
            <w:tcBorders>
              <w:top w:val="nil"/>
              <w:left w:val="nil"/>
              <w:bottom w:val="single" w:sz="4" w:space="0" w:color="auto"/>
              <w:right w:val="single" w:sz="4" w:space="0" w:color="auto"/>
            </w:tcBorders>
            <w:shd w:val="clear" w:color="000000" w:fill="FFFF99"/>
            <w:noWrap/>
            <w:vAlign w:val="bottom"/>
            <w:hideMark/>
          </w:tcPr>
          <w:p w14:paraId="4BAA6076" w14:textId="77777777" w:rsidR="00B27DCD" w:rsidRPr="009F0A74" w:rsidRDefault="00B27DCD" w:rsidP="00B27DCD">
            <w:pPr>
              <w:spacing w:after="0" w:line="240" w:lineRule="auto"/>
              <w:jc w:val="right"/>
              <w:rPr>
                <w:rFonts w:ascii="Calibri" w:eastAsia="Times New Roman" w:hAnsi="Calibri" w:cs="Calibri"/>
                <w:sz w:val="16"/>
                <w:szCs w:val="16"/>
                <w:lang w:eastAsia="hr-HR"/>
              </w:rPr>
            </w:pPr>
            <w:r w:rsidRPr="009F0A74">
              <w:rPr>
                <w:rFonts w:ascii="Calibri" w:eastAsia="Times New Roman" w:hAnsi="Calibri" w:cs="Calibri"/>
                <w:sz w:val="16"/>
                <w:szCs w:val="16"/>
                <w:lang w:eastAsia="hr-HR"/>
              </w:rPr>
              <w:t>0</w:t>
            </w:r>
          </w:p>
        </w:tc>
        <w:tc>
          <w:tcPr>
            <w:tcW w:w="644" w:type="dxa"/>
            <w:gridSpan w:val="2"/>
            <w:tcBorders>
              <w:top w:val="nil"/>
              <w:left w:val="nil"/>
              <w:bottom w:val="single" w:sz="4" w:space="0" w:color="auto"/>
              <w:right w:val="single" w:sz="4" w:space="0" w:color="auto"/>
            </w:tcBorders>
            <w:shd w:val="clear" w:color="000000" w:fill="FFFF99"/>
            <w:noWrap/>
            <w:vAlign w:val="bottom"/>
            <w:hideMark/>
          </w:tcPr>
          <w:p w14:paraId="62436688" w14:textId="77777777" w:rsidR="00B27DCD" w:rsidRPr="009F0A74" w:rsidRDefault="00B27DCD" w:rsidP="00B27DCD">
            <w:pPr>
              <w:spacing w:after="0" w:line="240" w:lineRule="auto"/>
              <w:jc w:val="right"/>
              <w:rPr>
                <w:rFonts w:ascii="Calibri" w:eastAsia="Times New Roman" w:hAnsi="Calibri" w:cs="Calibri"/>
                <w:sz w:val="16"/>
                <w:szCs w:val="16"/>
                <w:lang w:eastAsia="hr-HR"/>
              </w:rPr>
            </w:pPr>
            <w:r w:rsidRPr="009F0A74">
              <w:rPr>
                <w:rFonts w:ascii="Calibri" w:eastAsia="Times New Roman" w:hAnsi="Calibri" w:cs="Calibri"/>
                <w:sz w:val="16"/>
                <w:szCs w:val="16"/>
                <w:lang w:eastAsia="hr-HR"/>
              </w:rPr>
              <w:t>0</w:t>
            </w:r>
          </w:p>
        </w:tc>
        <w:tc>
          <w:tcPr>
            <w:tcW w:w="452" w:type="dxa"/>
            <w:tcBorders>
              <w:top w:val="nil"/>
              <w:left w:val="nil"/>
              <w:bottom w:val="single" w:sz="4" w:space="0" w:color="auto"/>
              <w:right w:val="single" w:sz="4" w:space="0" w:color="auto"/>
            </w:tcBorders>
            <w:shd w:val="clear" w:color="000000" w:fill="FFFF99"/>
            <w:noWrap/>
            <w:vAlign w:val="bottom"/>
            <w:hideMark/>
          </w:tcPr>
          <w:p w14:paraId="4EC15D2D" w14:textId="77777777" w:rsidR="00B27DCD" w:rsidRPr="009F0A74" w:rsidRDefault="00B27DCD" w:rsidP="00B27DCD">
            <w:pPr>
              <w:spacing w:after="0" w:line="240" w:lineRule="auto"/>
              <w:jc w:val="right"/>
              <w:rPr>
                <w:rFonts w:ascii="Calibri" w:eastAsia="Times New Roman" w:hAnsi="Calibri" w:cs="Calibri"/>
                <w:sz w:val="16"/>
                <w:szCs w:val="16"/>
                <w:lang w:eastAsia="hr-HR"/>
              </w:rPr>
            </w:pPr>
            <w:r w:rsidRPr="009F0A74">
              <w:rPr>
                <w:rFonts w:ascii="Calibri" w:eastAsia="Times New Roman" w:hAnsi="Calibri" w:cs="Calibri"/>
                <w:sz w:val="16"/>
                <w:szCs w:val="16"/>
                <w:lang w:eastAsia="hr-HR"/>
              </w:rPr>
              <w:t>0</w:t>
            </w:r>
          </w:p>
        </w:tc>
        <w:tc>
          <w:tcPr>
            <w:tcW w:w="538" w:type="dxa"/>
            <w:tcBorders>
              <w:top w:val="nil"/>
              <w:left w:val="nil"/>
              <w:bottom w:val="single" w:sz="4" w:space="0" w:color="auto"/>
              <w:right w:val="single" w:sz="4" w:space="0" w:color="auto"/>
            </w:tcBorders>
            <w:shd w:val="clear" w:color="000000" w:fill="FFFF99"/>
            <w:noWrap/>
            <w:vAlign w:val="bottom"/>
            <w:hideMark/>
          </w:tcPr>
          <w:p w14:paraId="6B206528" w14:textId="77777777" w:rsidR="00B27DCD" w:rsidRPr="009F0A74" w:rsidRDefault="00B27DCD" w:rsidP="00B27DCD">
            <w:pPr>
              <w:spacing w:after="0" w:line="240" w:lineRule="auto"/>
              <w:jc w:val="right"/>
              <w:rPr>
                <w:rFonts w:ascii="Calibri" w:eastAsia="Times New Roman" w:hAnsi="Calibri" w:cs="Calibri"/>
                <w:sz w:val="16"/>
                <w:szCs w:val="16"/>
                <w:lang w:eastAsia="hr-HR"/>
              </w:rPr>
            </w:pPr>
            <w:r w:rsidRPr="009F0A74">
              <w:rPr>
                <w:rFonts w:ascii="Calibri" w:eastAsia="Times New Roman" w:hAnsi="Calibri" w:cs="Calibri"/>
                <w:sz w:val="16"/>
                <w:szCs w:val="16"/>
                <w:lang w:eastAsia="hr-HR"/>
              </w:rPr>
              <w:t>0</w:t>
            </w:r>
          </w:p>
        </w:tc>
        <w:tc>
          <w:tcPr>
            <w:tcW w:w="447" w:type="dxa"/>
            <w:tcBorders>
              <w:top w:val="nil"/>
              <w:left w:val="nil"/>
              <w:bottom w:val="single" w:sz="4" w:space="0" w:color="auto"/>
              <w:right w:val="single" w:sz="4" w:space="0" w:color="auto"/>
            </w:tcBorders>
            <w:shd w:val="clear" w:color="000000" w:fill="FFFF99"/>
            <w:noWrap/>
            <w:vAlign w:val="bottom"/>
            <w:hideMark/>
          </w:tcPr>
          <w:p w14:paraId="54D59941" w14:textId="77777777" w:rsidR="00B27DCD" w:rsidRPr="009F0A74" w:rsidRDefault="00B27DCD" w:rsidP="00B27DCD">
            <w:pPr>
              <w:spacing w:after="0" w:line="240" w:lineRule="auto"/>
              <w:jc w:val="right"/>
              <w:rPr>
                <w:rFonts w:ascii="Calibri" w:eastAsia="Times New Roman" w:hAnsi="Calibri" w:cs="Calibri"/>
                <w:sz w:val="16"/>
                <w:szCs w:val="16"/>
                <w:lang w:eastAsia="hr-HR"/>
              </w:rPr>
            </w:pPr>
            <w:r w:rsidRPr="009F0A74">
              <w:rPr>
                <w:rFonts w:ascii="Calibri" w:eastAsia="Times New Roman" w:hAnsi="Calibri" w:cs="Calibri"/>
                <w:sz w:val="16"/>
                <w:szCs w:val="16"/>
                <w:lang w:eastAsia="hr-HR"/>
              </w:rPr>
              <w:t>0</w:t>
            </w:r>
          </w:p>
        </w:tc>
        <w:tc>
          <w:tcPr>
            <w:tcW w:w="447" w:type="dxa"/>
            <w:tcBorders>
              <w:top w:val="nil"/>
              <w:left w:val="nil"/>
              <w:bottom w:val="single" w:sz="4" w:space="0" w:color="auto"/>
              <w:right w:val="single" w:sz="4" w:space="0" w:color="auto"/>
            </w:tcBorders>
            <w:shd w:val="clear" w:color="000000" w:fill="FFFF99"/>
            <w:noWrap/>
            <w:vAlign w:val="bottom"/>
            <w:hideMark/>
          </w:tcPr>
          <w:p w14:paraId="216537D8" w14:textId="77777777" w:rsidR="00B27DCD" w:rsidRPr="009F0A74" w:rsidRDefault="00B27DCD" w:rsidP="00B27DCD">
            <w:pPr>
              <w:spacing w:after="0" w:line="240" w:lineRule="auto"/>
              <w:jc w:val="right"/>
              <w:rPr>
                <w:rFonts w:ascii="Calibri" w:eastAsia="Times New Roman" w:hAnsi="Calibri" w:cs="Calibri"/>
                <w:sz w:val="16"/>
                <w:szCs w:val="16"/>
                <w:lang w:eastAsia="hr-HR"/>
              </w:rPr>
            </w:pPr>
            <w:r w:rsidRPr="009F0A74">
              <w:rPr>
                <w:rFonts w:ascii="Calibri" w:eastAsia="Times New Roman" w:hAnsi="Calibri" w:cs="Calibri"/>
                <w:sz w:val="16"/>
                <w:szCs w:val="16"/>
                <w:lang w:eastAsia="hr-HR"/>
              </w:rPr>
              <w:t>0</w:t>
            </w:r>
          </w:p>
        </w:tc>
        <w:tc>
          <w:tcPr>
            <w:tcW w:w="400" w:type="dxa"/>
            <w:tcBorders>
              <w:top w:val="nil"/>
              <w:left w:val="nil"/>
              <w:bottom w:val="single" w:sz="4" w:space="0" w:color="auto"/>
              <w:right w:val="single" w:sz="4" w:space="0" w:color="auto"/>
            </w:tcBorders>
            <w:shd w:val="clear" w:color="000000" w:fill="FFFF99"/>
            <w:noWrap/>
            <w:vAlign w:val="bottom"/>
            <w:hideMark/>
          </w:tcPr>
          <w:p w14:paraId="431C1C28" w14:textId="77777777" w:rsidR="00B27DCD" w:rsidRPr="009F0A74" w:rsidRDefault="00B27DCD" w:rsidP="00B27DCD">
            <w:pPr>
              <w:spacing w:after="0" w:line="240" w:lineRule="auto"/>
              <w:jc w:val="right"/>
              <w:rPr>
                <w:rFonts w:ascii="Calibri" w:eastAsia="Times New Roman" w:hAnsi="Calibri" w:cs="Calibri"/>
                <w:sz w:val="16"/>
                <w:szCs w:val="16"/>
                <w:lang w:eastAsia="hr-HR"/>
              </w:rPr>
            </w:pPr>
            <w:r w:rsidRPr="009F0A74">
              <w:rPr>
                <w:rFonts w:ascii="Calibri" w:eastAsia="Times New Roman" w:hAnsi="Calibri" w:cs="Calibri"/>
                <w:sz w:val="16"/>
                <w:szCs w:val="16"/>
                <w:lang w:eastAsia="hr-HR"/>
              </w:rPr>
              <w:t>0</w:t>
            </w:r>
          </w:p>
        </w:tc>
        <w:tc>
          <w:tcPr>
            <w:tcW w:w="357" w:type="dxa"/>
            <w:gridSpan w:val="2"/>
            <w:tcBorders>
              <w:top w:val="nil"/>
              <w:left w:val="nil"/>
              <w:bottom w:val="single" w:sz="4" w:space="0" w:color="auto"/>
              <w:right w:val="single" w:sz="4" w:space="0" w:color="auto"/>
            </w:tcBorders>
            <w:shd w:val="clear" w:color="000000" w:fill="FF9900"/>
            <w:noWrap/>
            <w:vAlign w:val="bottom"/>
            <w:hideMark/>
          </w:tcPr>
          <w:p w14:paraId="2870F756" w14:textId="77777777" w:rsidR="00B27DCD" w:rsidRPr="009F0A74" w:rsidRDefault="00B27DCD" w:rsidP="00B27DCD">
            <w:pPr>
              <w:spacing w:after="0" w:line="240" w:lineRule="auto"/>
              <w:jc w:val="right"/>
              <w:rPr>
                <w:rFonts w:ascii="Calibri" w:eastAsia="Times New Roman" w:hAnsi="Calibri" w:cs="Calibri"/>
                <w:sz w:val="16"/>
                <w:szCs w:val="16"/>
                <w:lang w:eastAsia="hr-HR"/>
              </w:rPr>
            </w:pPr>
            <w:r w:rsidRPr="009F0A74">
              <w:rPr>
                <w:rFonts w:ascii="Calibri" w:eastAsia="Times New Roman" w:hAnsi="Calibri" w:cs="Calibri"/>
                <w:sz w:val="16"/>
                <w:szCs w:val="16"/>
                <w:lang w:eastAsia="hr-HR"/>
              </w:rPr>
              <w:t>0</w:t>
            </w:r>
          </w:p>
        </w:tc>
        <w:tc>
          <w:tcPr>
            <w:tcW w:w="447" w:type="dxa"/>
            <w:tcBorders>
              <w:top w:val="nil"/>
              <w:left w:val="nil"/>
              <w:bottom w:val="single" w:sz="4" w:space="0" w:color="auto"/>
              <w:right w:val="single" w:sz="4" w:space="0" w:color="auto"/>
            </w:tcBorders>
            <w:shd w:val="clear" w:color="000000" w:fill="FF9900"/>
            <w:noWrap/>
            <w:vAlign w:val="bottom"/>
            <w:hideMark/>
          </w:tcPr>
          <w:p w14:paraId="10CD58B1" w14:textId="77777777" w:rsidR="00B27DCD" w:rsidRPr="009F0A74" w:rsidRDefault="00B27DCD" w:rsidP="00B27DCD">
            <w:pPr>
              <w:spacing w:after="0" w:line="240" w:lineRule="auto"/>
              <w:jc w:val="right"/>
              <w:rPr>
                <w:rFonts w:ascii="Calibri" w:eastAsia="Times New Roman" w:hAnsi="Calibri" w:cs="Calibri"/>
                <w:sz w:val="16"/>
                <w:szCs w:val="16"/>
                <w:lang w:eastAsia="hr-HR"/>
              </w:rPr>
            </w:pPr>
            <w:r w:rsidRPr="009F0A74">
              <w:rPr>
                <w:rFonts w:ascii="Calibri" w:eastAsia="Times New Roman" w:hAnsi="Calibri" w:cs="Calibri"/>
                <w:sz w:val="16"/>
                <w:szCs w:val="16"/>
                <w:lang w:eastAsia="hr-HR"/>
              </w:rPr>
              <w:t>0</w:t>
            </w:r>
          </w:p>
        </w:tc>
        <w:tc>
          <w:tcPr>
            <w:tcW w:w="447" w:type="dxa"/>
            <w:tcBorders>
              <w:top w:val="nil"/>
              <w:left w:val="nil"/>
              <w:bottom w:val="single" w:sz="4" w:space="0" w:color="auto"/>
              <w:right w:val="single" w:sz="4" w:space="0" w:color="auto"/>
            </w:tcBorders>
            <w:shd w:val="clear" w:color="000000" w:fill="FF9900"/>
            <w:noWrap/>
            <w:vAlign w:val="bottom"/>
            <w:hideMark/>
          </w:tcPr>
          <w:p w14:paraId="30D0257D" w14:textId="77777777" w:rsidR="00B27DCD" w:rsidRPr="009F0A74" w:rsidRDefault="00B27DCD" w:rsidP="00B27DCD">
            <w:pPr>
              <w:spacing w:after="0" w:line="240" w:lineRule="auto"/>
              <w:jc w:val="right"/>
              <w:rPr>
                <w:rFonts w:ascii="Calibri" w:eastAsia="Times New Roman" w:hAnsi="Calibri" w:cs="Calibri"/>
                <w:sz w:val="16"/>
                <w:szCs w:val="16"/>
                <w:lang w:eastAsia="hr-HR"/>
              </w:rPr>
            </w:pPr>
            <w:r w:rsidRPr="009F0A74">
              <w:rPr>
                <w:rFonts w:ascii="Calibri" w:eastAsia="Times New Roman" w:hAnsi="Calibri" w:cs="Calibri"/>
                <w:sz w:val="16"/>
                <w:szCs w:val="16"/>
                <w:lang w:eastAsia="hr-HR"/>
              </w:rPr>
              <w:t>0</w:t>
            </w:r>
          </w:p>
        </w:tc>
        <w:tc>
          <w:tcPr>
            <w:tcW w:w="446" w:type="dxa"/>
            <w:tcBorders>
              <w:top w:val="nil"/>
              <w:left w:val="nil"/>
              <w:bottom w:val="single" w:sz="4" w:space="0" w:color="auto"/>
              <w:right w:val="single" w:sz="4" w:space="0" w:color="auto"/>
            </w:tcBorders>
            <w:shd w:val="clear" w:color="auto" w:fill="auto"/>
            <w:vAlign w:val="bottom"/>
            <w:hideMark/>
          </w:tcPr>
          <w:p w14:paraId="3C3B062D" w14:textId="77777777" w:rsidR="00B27DCD" w:rsidRPr="009F0A74" w:rsidRDefault="00B27DCD" w:rsidP="00B27DCD">
            <w:pPr>
              <w:spacing w:after="0" w:line="240" w:lineRule="auto"/>
              <w:jc w:val="right"/>
              <w:rPr>
                <w:rFonts w:ascii="Calibri" w:eastAsia="Times New Roman" w:hAnsi="Calibri" w:cs="Calibri"/>
                <w:b/>
                <w:bCs/>
                <w:sz w:val="16"/>
                <w:szCs w:val="16"/>
                <w:lang w:eastAsia="hr-HR"/>
              </w:rPr>
            </w:pPr>
            <w:r w:rsidRPr="009F0A74">
              <w:rPr>
                <w:rFonts w:ascii="Calibri" w:eastAsia="Times New Roman" w:hAnsi="Calibri" w:cs="Calibri"/>
                <w:b/>
                <w:bCs/>
                <w:sz w:val="16"/>
                <w:szCs w:val="16"/>
                <w:lang w:eastAsia="hr-HR"/>
              </w:rPr>
              <w:t>0</w:t>
            </w:r>
          </w:p>
        </w:tc>
        <w:tc>
          <w:tcPr>
            <w:tcW w:w="447" w:type="dxa"/>
            <w:gridSpan w:val="2"/>
            <w:tcBorders>
              <w:top w:val="nil"/>
              <w:left w:val="nil"/>
              <w:bottom w:val="single" w:sz="4" w:space="0" w:color="auto"/>
              <w:right w:val="single" w:sz="4" w:space="0" w:color="auto"/>
            </w:tcBorders>
            <w:shd w:val="clear" w:color="000000" w:fill="FFFF00"/>
            <w:noWrap/>
            <w:vAlign w:val="bottom"/>
            <w:hideMark/>
          </w:tcPr>
          <w:p w14:paraId="3F68B70D" w14:textId="77777777" w:rsidR="00B27DCD" w:rsidRPr="009F0A74" w:rsidRDefault="00B27DCD" w:rsidP="00B27DCD">
            <w:pPr>
              <w:spacing w:after="0" w:line="240" w:lineRule="auto"/>
              <w:jc w:val="right"/>
              <w:rPr>
                <w:rFonts w:ascii="Calibri" w:eastAsia="Times New Roman" w:hAnsi="Calibri" w:cs="Calibri"/>
                <w:sz w:val="16"/>
                <w:szCs w:val="16"/>
                <w:lang w:eastAsia="hr-HR"/>
              </w:rPr>
            </w:pPr>
            <w:r w:rsidRPr="009F0A74">
              <w:rPr>
                <w:rFonts w:ascii="Calibri" w:eastAsia="Times New Roman" w:hAnsi="Calibri" w:cs="Calibri"/>
                <w:sz w:val="16"/>
                <w:szCs w:val="16"/>
                <w:lang w:eastAsia="hr-HR"/>
              </w:rPr>
              <w:t>0</w:t>
            </w:r>
          </w:p>
        </w:tc>
        <w:tc>
          <w:tcPr>
            <w:tcW w:w="447" w:type="dxa"/>
            <w:tcBorders>
              <w:top w:val="nil"/>
              <w:left w:val="nil"/>
              <w:bottom w:val="single" w:sz="4" w:space="0" w:color="auto"/>
              <w:right w:val="single" w:sz="4" w:space="0" w:color="auto"/>
            </w:tcBorders>
            <w:shd w:val="clear" w:color="000000" w:fill="FFFF00"/>
            <w:noWrap/>
            <w:vAlign w:val="bottom"/>
            <w:hideMark/>
          </w:tcPr>
          <w:p w14:paraId="2F434B3C" w14:textId="77777777" w:rsidR="00B27DCD" w:rsidRPr="009F0A74" w:rsidRDefault="00B27DCD" w:rsidP="00B27DCD">
            <w:pPr>
              <w:spacing w:after="0" w:line="240" w:lineRule="auto"/>
              <w:jc w:val="right"/>
              <w:rPr>
                <w:rFonts w:ascii="Calibri" w:eastAsia="Times New Roman" w:hAnsi="Calibri" w:cs="Calibri"/>
                <w:sz w:val="16"/>
                <w:szCs w:val="16"/>
                <w:lang w:eastAsia="hr-HR"/>
              </w:rPr>
            </w:pPr>
            <w:r w:rsidRPr="009F0A74">
              <w:rPr>
                <w:rFonts w:ascii="Calibri" w:eastAsia="Times New Roman" w:hAnsi="Calibri" w:cs="Calibri"/>
                <w:sz w:val="16"/>
                <w:szCs w:val="16"/>
                <w:lang w:eastAsia="hr-HR"/>
              </w:rPr>
              <w:t>0</w:t>
            </w:r>
          </w:p>
        </w:tc>
        <w:tc>
          <w:tcPr>
            <w:tcW w:w="447" w:type="dxa"/>
            <w:tcBorders>
              <w:top w:val="nil"/>
              <w:left w:val="nil"/>
              <w:bottom w:val="single" w:sz="4" w:space="0" w:color="auto"/>
              <w:right w:val="single" w:sz="4" w:space="0" w:color="auto"/>
            </w:tcBorders>
            <w:shd w:val="clear" w:color="000000" w:fill="FFFF00"/>
            <w:noWrap/>
            <w:vAlign w:val="bottom"/>
            <w:hideMark/>
          </w:tcPr>
          <w:p w14:paraId="43AA0AA6" w14:textId="77777777" w:rsidR="00B27DCD" w:rsidRPr="009F0A74" w:rsidRDefault="00B27DCD" w:rsidP="00B27DCD">
            <w:pPr>
              <w:spacing w:after="0" w:line="240" w:lineRule="auto"/>
              <w:jc w:val="right"/>
              <w:rPr>
                <w:rFonts w:ascii="Calibri" w:eastAsia="Times New Roman" w:hAnsi="Calibri" w:cs="Calibri"/>
                <w:sz w:val="16"/>
                <w:szCs w:val="16"/>
                <w:lang w:eastAsia="hr-HR"/>
              </w:rPr>
            </w:pPr>
            <w:r w:rsidRPr="009F0A74">
              <w:rPr>
                <w:rFonts w:ascii="Calibri" w:eastAsia="Times New Roman" w:hAnsi="Calibri" w:cs="Calibri"/>
                <w:sz w:val="16"/>
                <w:szCs w:val="16"/>
                <w:lang w:eastAsia="hr-HR"/>
              </w:rPr>
              <w:t>0</w:t>
            </w:r>
          </w:p>
        </w:tc>
        <w:tc>
          <w:tcPr>
            <w:tcW w:w="446" w:type="dxa"/>
            <w:tcBorders>
              <w:top w:val="nil"/>
              <w:left w:val="nil"/>
              <w:bottom w:val="single" w:sz="4" w:space="0" w:color="auto"/>
              <w:right w:val="single" w:sz="4" w:space="0" w:color="auto"/>
            </w:tcBorders>
            <w:shd w:val="clear" w:color="auto" w:fill="auto"/>
            <w:vAlign w:val="bottom"/>
            <w:hideMark/>
          </w:tcPr>
          <w:p w14:paraId="6D675194" w14:textId="77777777" w:rsidR="00B27DCD" w:rsidRPr="009F0A74" w:rsidRDefault="00B27DCD" w:rsidP="00B27DCD">
            <w:pPr>
              <w:spacing w:after="0" w:line="240" w:lineRule="auto"/>
              <w:jc w:val="right"/>
              <w:rPr>
                <w:rFonts w:ascii="Calibri" w:eastAsia="Times New Roman" w:hAnsi="Calibri" w:cs="Calibri"/>
                <w:b/>
                <w:bCs/>
                <w:sz w:val="16"/>
                <w:szCs w:val="16"/>
                <w:lang w:eastAsia="hr-HR"/>
              </w:rPr>
            </w:pPr>
            <w:r w:rsidRPr="009F0A74">
              <w:rPr>
                <w:rFonts w:ascii="Calibri" w:eastAsia="Times New Roman" w:hAnsi="Calibri" w:cs="Calibri"/>
                <w:b/>
                <w:bCs/>
                <w:sz w:val="16"/>
                <w:szCs w:val="16"/>
                <w:lang w:eastAsia="hr-HR"/>
              </w:rPr>
              <w:t>0</w:t>
            </w:r>
          </w:p>
        </w:tc>
        <w:tc>
          <w:tcPr>
            <w:tcW w:w="524" w:type="dxa"/>
            <w:gridSpan w:val="2"/>
            <w:tcBorders>
              <w:top w:val="nil"/>
              <w:left w:val="nil"/>
              <w:bottom w:val="single" w:sz="4" w:space="0" w:color="auto"/>
              <w:right w:val="single" w:sz="4" w:space="0" w:color="auto"/>
            </w:tcBorders>
            <w:shd w:val="clear" w:color="000000" w:fill="FFFF00"/>
            <w:vAlign w:val="bottom"/>
            <w:hideMark/>
          </w:tcPr>
          <w:p w14:paraId="2FB17B59" w14:textId="77777777" w:rsidR="00B27DCD" w:rsidRPr="009F0A74" w:rsidRDefault="00B27DCD" w:rsidP="00B27DCD">
            <w:pPr>
              <w:spacing w:after="0" w:line="240" w:lineRule="auto"/>
              <w:jc w:val="right"/>
              <w:rPr>
                <w:rFonts w:ascii="Calibri" w:eastAsia="Times New Roman" w:hAnsi="Calibri" w:cs="Calibri"/>
                <w:b/>
                <w:bCs/>
                <w:sz w:val="16"/>
                <w:szCs w:val="16"/>
                <w:lang w:eastAsia="hr-HR"/>
              </w:rPr>
            </w:pPr>
            <w:r w:rsidRPr="009F0A74">
              <w:rPr>
                <w:rFonts w:ascii="Calibri" w:eastAsia="Times New Roman" w:hAnsi="Calibri" w:cs="Calibri"/>
                <w:b/>
                <w:bCs/>
                <w:sz w:val="16"/>
                <w:szCs w:val="16"/>
                <w:lang w:eastAsia="hr-HR"/>
              </w:rPr>
              <w:t>1</w:t>
            </w:r>
          </w:p>
        </w:tc>
        <w:tc>
          <w:tcPr>
            <w:tcW w:w="425" w:type="dxa"/>
            <w:gridSpan w:val="2"/>
            <w:tcBorders>
              <w:top w:val="nil"/>
              <w:left w:val="nil"/>
              <w:bottom w:val="single" w:sz="4" w:space="0" w:color="auto"/>
              <w:right w:val="single" w:sz="4" w:space="0" w:color="auto"/>
            </w:tcBorders>
            <w:shd w:val="clear" w:color="000000" w:fill="FF9900"/>
            <w:noWrap/>
            <w:vAlign w:val="bottom"/>
            <w:hideMark/>
          </w:tcPr>
          <w:p w14:paraId="46D5E46A" w14:textId="77777777" w:rsidR="00B27DCD" w:rsidRPr="009F0A74" w:rsidRDefault="00B27DCD" w:rsidP="00B27DCD">
            <w:pPr>
              <w:spacing w:after="0" w:line="240" w:lineRule="auto"/>
              <w:jc w:val="right"/>
              <w:rPr>
                <w:rFonts w:ascii="Calibri" w:eastAsia="Times New Roman" w:hAnsi="Calibri" w:cs="Calibri"/>
                <w:sz w:val="16"/>
                <w:szCs w:val="16"/>
                <w:lang w:eastAsia="hr-HR"/>
              </w:rPr>
            </w:pPr>
            <w:r w:rsidRPr="009F0A74">
              <w:rPr>
                <w:rFonts w:ascii="Calibri" w:eastAsia="Times New Roman" w:hAnsi="Calibri" w:cs="Calibri"/>
                <w:sz w:val="16"/>
                <w:szCs w:val="16"/>
                <w:lang w:eastAsia="hr-HR"/>
              </w:rPr>
              <w:t>0</w:t>
            </w:r>
          </w:p>
        </w:tc>
        <w:tc>
          <w:tcPr>
            <w:tcW w:w="501" w:type="dxa"/>
            <w:gridSpan w:val="2"/>
            <w:tcBorders>
              <w:top w:val="nil"/>
              <w:left w:val="nil"/>
              <w:bottom w:val="single" w:sz="4" w:space="0" w:color="auto"/>
              <w:right w:val="single" w:sz="4" w:space="0" w:color="auto"/>
            </w:tcBorders>
            <w:shd w:val="clear" w:color="000000" w:fill="FF9900"/>
            <w:noWrap/>
            <w:vAlign w:val="bottom"/>
            <w:hideMark/>
          </w:tcPr>
          <w:p w14:paraId="16A8A39B" w14:textId="77777777" w:rsidR="00B27DCD" w:rsidRPr="009F0A74" w:rsidRDefault="00B27DCD" w:rsidP="00B27DCD">
            <w:pPr>
              <w:spacing w:after="0" w:line="240" w:lineRule="auto"/>
              <w:jc w:val="right"/>
              <w:rPr>
                <w:rFonts w:ascii="Calibri" w:eastAsia="Times New Roman" w:hAnsi="Calibri" w:cs="Calibri"/>
                <w:sz w:val="16"/>
                <w:szCs w:val="16"/>
                <w:lang w:eastAsia="hr-HR"/>
              </w:rPr>
            </w:pPr>
            <w:r w:rsidRPr="009F0A74">
              <w:rPr>
                <w:rFonts w:ascii="Calibri" w:eastAsia="Times New Roman" w:hAnsi="Calibri" w:cs="Calibri"/>
                <w:sz w:val="16"/>
                <w:szCs w:val="16"/>
                <w:lang w:eastAsia="hr-HR"/>
              </w:rPr>
              <w:t>0</w:t>
            </w:r>
          </w:p>
        </w:tc>
        <w:tc>
          <w:tcPr>
            <w:tcW w:w="425" w:type="dxa"/>
            <w:tcBorders>
              <w:top w:val="nil"/>
              <w:left w:val="nil"/>
              <w:bottom w:val="single" w:sz="4" w:space="0" w:color="auto"/>
              <w:right w:val="single" w:sz="4" w:space="0" w:color="auto"/>
            </w:tcBorders>
            <w:shd w:val="clear" w:color="000000" w:fill="CCFFFF"/>
            <w:noWrap/>
            <w:vAlign w:val="bottom"/>
            <w:hideMark/>
          </w:tcPr>
          <w:p w14:paraId="5E9936C4" w14:textId="77777777" w:rsidR="00B27DCD" w:rsidRPr="009F0A74" w:rsidRDefault="00B27DCD" w:rsidP="00B27DCD">
            <w:pPr>
              <w:spacing w:after="0" w:line="240" w:lineRule="auto"/>
              <w:jc w:val="right"/>
              <w:rPr>
                <w:rFonts w:ascii="Calibri" w:eastAsia="Times New Roman" w:hAnsi="Calibri" w:cs="Calibri"/>
                <w:sz w:val="16"/>
                <w:szCs w:val="16"/>
                <w:lang w:eastAsia="hr-HR"/>
              </w:rPr>
            </w:pPr>
            <w:r w:rsidRPr="009F0A74">
              <w:rPr>
                <w:rFonts w:ascii="Calibri" w:eastAsia="Times New Roman" w:hAnsi="Calibri" w:cs="Calibri"/>
                <w:sz w:val="16"/>
                <w:szCs w:val="16"/>
                <w:lang w:eastAsia="hr-HR"/>
              </w:rPr>
              <w:t>0</w:t>
            </w:r>
          </w:p>
        </w:tc>
        <w:tc>
          <w:tcPr>
            <w:tcW w:w="426" w:type="dxa"/>
            <w:tcBorders>
              <w:top w:val="nil"/>
              <w:left w:val="nil"/>
              <w:bottom w:val="single" w:sz="4" w:space="0" w:color="auto"/>
              <w:right w:val="single" w:sz="4" w:space="0" w:color="auto"/>
            </w:tcBorders>
            <w:shd w:val="clear" w:color="000000" w:fill="CCFFFF"/>
            <w:noWrap/>
            <w:vAlign w:val="bottom"/>
            <w:hideMark/>
          </w:tcPr>
          <w:p w14:paraId="36D6E5A7" w14:textId="77777777" w:rsidR="00B27DCD" w:rsidRPr="009F0A74" w:rsidRDefault="00B27DCD" w:rsidP="00B27DCD">
            <w:pPr>
              <w:spacing w:after="0" w:line="240" w:lineRule="auto"/>
              <w:jc w:val="right"/>
              <w:rPr>
                <w:rFonts w:ascii="Calibri" w:eastAsia="Times New Roman" w:hAnsi="Calibri" w:cs="Calibri"/>
                <w:sz w:val="16"/>
                <w:szCs w:val="16"/>
                <w:lang w:eastAsia="hr-HR"/>
              </w:rPr>
            </w:pPr>
            <w:r w:rsidRPr="009F0A74">
              <w:rPr>
                <w:rFonts w:ascii="Calibri" w:eastAsia="Times New Roman" w:hAnsi="Calibri" w:cs="Calibri"/>
                <w:sz w:val="16"/>
                <w:szCs w:val="16"/>
                <w:lang w:eastAsia="hr-HR"/>
              </w:rPr>
              <w:t>0</w:t>
            </w:r>
          </w:p>
        </w:tc>
        <w:tc>
          <w:tcPr>
            <w:tcW w:w="818" w:type="dxa"/>
            <w:gridSpan w:val="2"/>
            <w:tcBorders>
              <w:top w:val="nil"/>
              <w:left w:val="nil"/>
              <w:bottom w:val="single" w:sz="4" w:space="0" w:color="auto"/>
              <w:right w:val="single" w:sz="4" w:space="0" w:color="auto"/>
            </w:tcBorders>
            <w:shd w:val="clear" w:color="000000" w:fill="33CCCC"/>
            <w:noWrap/>
            <w:vAlign w:val="bottom"/>
            <w:hideMark/>
          </w:tcPr>
          <w:p w14:paraId="6D351972" w14:textId="77777777" w:rsidR="00B27DCD" w:rsidRPr="009F0A74" w:rsidRDefault="00B27DCD" w:rsidP="00B27DCD">
            <w:pPr>
              <w:spacing w:after="0" w:line="240" w:lineRule="auto"/>
              <w:jc w:val="right"/>
              <w:rPr>
                <w:rFonts w:ascii="Calibri" w:eastAsia="Times New Roman" w:hAnsi="Calibri" w:cs="Calibri"/>
                <w:sz w:val="16"/>
                <w:szCs w:val="16"/>
                <w:lang w:eastAsia="hr-HR"/>
              </w:rPr>
            </w:pPr>
            <w:r w:rsidRPr="009F0A74">
              <w:rPr>
                <w:rFonts w:ascii="Calibri" w:eastAsia="Times New Roman" w:hAnsi="Calibri" w:cs="Calibri"/>
                <w:sz w:val="16"/>
                <w:szCs w:val="16"/>
                <w:lang w:eastAsia="hr-HR"/>
              </w:rPr>
              <w:t>0</w:t>
            </w:r>
          </w:p>
        </w:tc>
        <w:tc>
          <w:tcPr>
            <w:tcW w:w="818" w:type="dxa"/>
            <w:gridSpan w:val="2"/>
            <w:tcBorders>
              <w:top w:val="nil"/>
              <w:left w:val="nil"/>
              <w:bottom w:val="single" w:sz="4" w:space="0" w:color="auto"/>
              <w:right w:val="single" w:sz="8" w:space="0" w:color="auto"/>
            </w:tcBorders>
            <w:shd w:val="clear" w:color="000000" w:fill="33CCCC"/>
            <w:noWrap/>
            <w:vAlign w:val="bottom"/>
            <w:hideMark/>
          </w:tcPr>
          <w:p w14:paraId="291E2C31" w14:textId="77777777" w:rsidR="00B27DCD" w:rsidRPr="009F0A74" w:rsidRDefault="00B27DCD" w:rsidP="00B27DCD">
            <w:pPr>
              <w:spacing w:after="0" w:line="240" w:lineRule="auto"/>
              <w:jc w:val="right"/>
              <w:rPr>
                <w:rFonts w:ascii="Calibri" w:eastAsia="Times New Roman" w:hAnsi="Calibri" w:cs="Calibri"/>
                <w:sz w:val="16"/>
                <w:szCs w:val="16"/>
                <w:lang w:eastAsia="hr-HR"/>
              </w:rPr>
            </w:pPr>
            <w:r w:rsidRPr="009F0A74">
              <w:rPr>
                <w:rFonts w:ascii="Calibri" w:eastAsia="Times New Roman" w:hAnsi="Calibri" w:cs="Calibri"/>
                <w:sz w:val="16"/>
                <w:szCs w:val="16"/>
                <w:lang w:eastAsia="hr-HR"/>
              </w:rPr>
              <w:t>0</w:t>
            </w:r>
          </w:p>
        </w:tc>
        <w:tc>
          <w:tcPr>
            <w:tcW w:w="236" w:type="dxa"/>
            <w:gridSpan w:val="3"/>
            <w:vAlign w:val="center"/>
            <w:hideMark/>
          </w:tcPr>
          <w:p w14:paraId="05921E5C" w14:textId="77777777" w:rsidR="00B27DCD" w:rsidRPr="009F0A74" w:rsidRDefault="00B27DCD" w:rsidP="00B27DCD">
            <w:pPr>
              <w:spacing w:after="0" w:line="240" w:lineRule="auto"/>
              <w:rPr>
                <w:rFonts w:ascii="Times New Roman" w:eastAsia="Times New Roman" w:hAnsi="Times New Roman" w:cs="Times New Roman"/>
                <w:sz w:val="16"/>
                <w:szCs w:val="16"/>
                <w:lang w:eastAsia="hr-HR"/>
              </w:rPr>
            </w:pPr>
          </w:p>
        </w:tc>
      </w:tr>
      <w:tr w:rsidR="009F0A74" w:rsidRPr="009F0A74" w14:paraId="781E62DB" w14:textId="77777777" w:rsidTr="009F0A74">
        <w:trPr>
          <w:trHeight w:val="315"/>
        </w:trPr>
        <w:tc>
          <w:tcPr>
            <w:tcW w:w="840" w:type="dxa"/>
            <w:tcBorders>
              <w:top w:val="single" w:sz="4" w:space="0" w:color="auto"/>
              <w:left w:val="single" w:sz="8" w:space="0" w:color="auto"/>
              <w:bottom w:val="single" w:sz="4" w:space="0" w:color="auto"/>
              <w:right w:val="single" w:sz="4" w:space="0" w:color="000000"/>
            </w:tcBorders>
            <w:shd w:val="clear" w:color="000000" w:fill="CCFFCC"/>
            <w:hideMark/>
          </w:tcPr>
          <w:p w14:paraId="028C14F3" w14:textId="77777777" w:rsidR="00B27DCD" w:rsidRPr="009F0A74" w:rsidRDefault="00B27DCD" w:rsidP="00B27DCD">
            <w:pPr>
              <w:spacing w:after="0" w:line="240" w:lineRule="auto"/>
              <w:rPr>
                <w:rFonts w:ascii="Calibri" w:eastAsia="Times New Roman" w:hAnsi="Calibri" w:cs="Calibri"/>
                <w:sz w:val="16"/>
                <w:szCs w:val="16"/>
                <w:lang w:eastAsia="hr-HR"/>
              </w:rPr>
            </w:pPr>
            <w:r w:rsidRPr="009F0A74">
              <w:rPr>
                <w:rFonts w:ascii="Calibri" w:eastAsia="Times New Roman" w:hAnsi="Calibri" w:cs="Calibri"/>
                <w:sz w:val="16"/>
                <w:szCs w:val="16"/>
                <w:lang w:eastAsia="hr-HR"/>
              </w:rPr>
              <w:t>Druge osobine (navesti)*:</w:t>
            </w:r>
          </w:p>
        </w:tc>
        <w:tc>
          <w:tcPr>
            <w:tcW w:w="540" w:type="dxa"/>
            <w:tcBorders>
              <w:top w:val="nil"/>
              <w:left w:val="nil"/>
              <w:bottom w:val="single" w:sz="4" w:space="0" w:color="auto"/>
              <w:right w:val="single" w:sz="4" w:space="0" w:color="auto"/>
            </w:tcBorders>
            <w:shd w:val="clear" w:color="000000" w:fill="FFFF00"/>
            <w:vAlign w:val="bottom"/>
            <w:hideMark/>
          </w:tcPr>
          <w:p w14:paraId="530C5670" w14:textId="77777777" w:rsidR="00B27DCD" w:rsidRPr="009F0A74" w:rsidRDefault="00B27DCD" w:rsidP="00B27DCD">
            <w:pPr>
              <w:spacing w:after="0" w:line="240" w:lineRule="auto"/>
              <w:jc w:val="right"/>
              <w:rPr>
                <w:rFonts w:ascii="Calibri" w:eastAsia="Times New Roman" w:hAnsi="Calibri" w:cs="Calibri"/>
                <w:sz w:val="16"/>
                <w:szCs w:val="16"/>
                <w:lang w:eastAsia="hr-HR"/>
              </w:rPr>
            </w:pPr>
            <w:r w:rsidRPr="009F0A74">
              <w:rPr>
                <w:rFonts w:ascii="Calibri" w:eastAsia="Times New Roman" w:hAnsi="Calibri" w:cs="Calibri"/>
                <w:sz w:val="16"/>
                <w:szCs w:val="16"/>
                <w:lang w:eastAsia="hr-HR"/>
              </w:rPr>
              <w:t>3</w:t>
            </w:r>
          </w:p>
        </w:tc>
        <w:tc>
          <w:tcPr>
            <w:tcW w:w="444" w:type="dxa"/>
            <w:tcBorders>
              <w:top w:val="nil"/>
              <w:left w:val="nil"/>
              <w:bottom w:val="single" w:sz="4" w:space="0" w:color="auto"/>
              <w:right w:val="single" w:sz="4" w:space="0" w:color="auto"/>
            </w:tcBorders>
            <w:shd w:val="clear" w:color="000000" w:fill="FFCC99"/>
            <w:noWrap/>
            <w:vAlign w:val="bottom"/>
            <w:hideMark/>
          </w:tcPr>
          <w:p w14:paraId="1B5CEE51" w14:textId="77777777" w:rsidR="00B27DCD" w:rsidRPr="009F0A74" w:rsidRDefault="00B27DCD" w:rsidP="00B27DCD">
            <w:pPr>
              <w:spacing w:after="0" w:line="240" w:lineRule="auto"/>
              <w:jc w:val="right"/>
              <w:rPr>
                <w:rFonts w:ascii="Calibri" w:eastAsia="Times New Roman" w:hAnsi="Calibri" w:cs="Calibri"/>
                <w:sz w:val="16"/>
                <w:szCs w:val="16"/>
                <w:lang w:eastAsia="hr-HR"/>
              </w:rPr>
            </w:pPr>
            <w:r w:rsidRPr="009F0A74">
              <w:rPr>
                <w:rFonts w:ascii="Calibri" w:eastAsia="Times New Roman" w:hAnsi="Calibri" w:cs="Calibri"/>
                <w:sz w:val="16"/>
                <w:szCs w:val="16"/>
                <w:lang w:eastAsia="hr-HR"/>
              </w:rPr>
              <w:t>3</w:t>
            </w:r>
          </w:p>
        </w:tc>
        <w:tc>
          <w:tcPr>
            <w:tcW w:w="433" w:type="dxa"/>
            <w:tcBorders>
              <w:top w:val="nil"/>
              <w:left w:val="nil"/>
              <w:bottom w:val="single" w:sz="4" w:space="0" w:color="auto"/>
              <w:right w:val="single" w:sz="4" w:space="0" w:color="auto"/>
            </w:tcBorders>
            <w:shd w:val="clear" w:color="000000" w:fill="CCFFFF"/>
            <w:noWrap/>
            <w:vAlign w:val="bottom"/>
            <w:hideMark/>
          </w:tcPr>
          <w:p w14:paraId="572F6BEC" w14:textId="77777777" w:rsidR="00B27DCD" w:rsidRPr="009F0A74" w:rsidRDefault="00B27DCD" w:rsidP="00B27DCD">
            <w:pPr>
              <w:spacing w:after="0" w:line="240" w:lineRule="auto"/>
              <w:jc w:val="right"/>
              <w:rPr>
                <w:rFonts w:ascii="Calibri" w:eastAsia="Times New Roman" w:hAnsi="Calibri" w:cs="Calibri"/>
                <w:sz w:val="16"/>
                <w:szCs w:val="16"/>
                <w:lang w:eastAsia="hr-HR"/>
              </w:rPr>
            </w:pPr>
            <w:r w:rsidRPr="009F0A74">
              <w:rPr>
                <w:rFonts w:ascii="Calibri" w:eastAsia="Times New Roman" w:hAnsi="Calibri" w:cs="Calibri"/>
                <w:sz w:val="16"/>
                <w:szCs w:val="16"/>
                <w:lang w:eastAsia="hr-HR"/>
              </w:rPr>
              <w:t>6</w:t>
            </w:r>
          </w:p>
        </w:tc>
        <w:tc>
          <w:tcPr>
            <w:tcW w:w="324" w:type="dxa"/>
            <w:tcBorders>
              <w:top w:val="nil"/>
              <w:left w:val="nil"/>
              <w:bottom w:val="single" w:sz="4" w:space="0" w:color="auto"/>
              <w:right w:val="single" w:sz="4" w:space="0" w:color="auto"/>
            </w:tcBorders>
            <w:shd w:val="clear" w:color="000000" w:fill="CCFFFF"/>
            <w:noWrap/>
            <w:vAlign w:val="bottom"/>
            <w:hideMark/>
          </w:tcPr>
          <w:p w14:paraId="514C160C" w14:textId="77777777" w:rsidR="00B27DCD" w:rsidRPr="009F0A74" w:rsidRDefault="00B27DCD" w:rsidP="00B27DCD">
            <w:pPr>
              <w:spacing w:after="0" w:line="240" w:lineRule="auto"/>
              <w:jc w:val="right"/>
              <w:rPr>
                <w:rFonts w:ascii="Calibri" w:eastAsia="Times New Roman" w:hAnsi="Calibri" w:cs="Calibri"/>
                <w:sz w:val="16"/>
                <w:szCs w:val="16"/>
                <w:lang w:eastAsia="hr-HR"/>
              </w:rPr>
            </w:pPr>
            <w:r w:rsidRPr="009F0A74">
              <w:rPr>
                <w:rFonts w:ascii="Calibri" w:eastAsia="Times New Roman" w:hAnsi="Calibri" w:cs="Calibri"/>
                <w:sz w:val="16"/>
                <w:szCs w:val="16"/>
                <w:lang w:eastAsia="hr-HR"/>
              </w:rPr>
              <w:t>0</w:t>
            </w:r>
          </w:p>
        </w:tc>
        <w:tc>
          <w:tcPr>
            <w:tcW w:w="385" w:type="dxa"/>
            <w:gridSpan w:val="2"/>
            <w:tcBorders>
              <w:top w:val="nil"/>
              <w:left w:val="nil"/>
              <w:bottom w:val="single" w:sz="4" w:space="0" w:color="auto"/>
              <w:right w:val="single" w:sz="4" w:space="0" w:color="auto"/>
            </w:tcBorders>
            <w:shd w:val="clear" w:color="000000" w:fill="FFFF99"/>
            <w:noWrap/>
            <w:vAlign w:val="bottom"/>
            <w:hideMark/>
          </w:tcPr>
          <w:p w14:paraId="6EF6B7FA" w14:textId="77777777" w:rsidR="00B27DCD" w:rsidRPr="009F0A74" w:rsidRDefault="00B27DCD" w:rsidP="00B27DCD">
            <w:pPr>
              <w:spacing w:after="0" w:line="240" w:lineRule="auto"/>
              <w:jc w:val="right"/>
              <w:rPr>
                <w:rFonts w:ascii="Calibri" w:eastAsia="Times New Roman" w:hAnsi="Calibri" w:cs="Calibri"/>
                <w:sz w:val="16"/>
                <w:szCs w:val="16"/>
                <w:lang w:eastAsia="hr-HR"/>
              </w:rPr>
            </w:pPr>
            <w:r w:rsidRPr="009F0A74">
              <w:rPr>
                <w:rFonts w:ascii="Calibri" w:eastAsia="Times New Roman" w:hAnsi="Calibri" w:cs="Calibri"/>
                <w:sz w:val="16"/>
                <w:szCs w:val="16"/>
                <w:lang w:eastAsia="hr-HR"/>
              </w:rPr>
              <w:t>0</w:t>
            </w:r>
          </w:p>
        </w:tc>
        <w:tc>
          <w:tcPr>
            <w:tcW w:w="334" w:type="dxa"/>
            <w:tcBorders>
              <w:top w:val="nil"/>
              <w:left w:val="nil"/>
              <w:bottom w:val="single" w:sz="4" w:space="0" w:color="auto"/>
              <w:right w:val="single" w:sz="4" w:space="0" w:color="auto"/>
            </w:tcBorders>
            <w:shd w:val="clear" w:color="000000" w:fill="FFFF99"/>
            <w:noWrap/>
            <w:vAlign w:val="bottom"/>
            <w:hideMark/>
          </w:tcPr>
          <w:p w14:paraId="09FCE810" w14:textId="77777777" w:rsidR="00B27DCD" w:rsidRPr="009F0A74" w:rsidRDefault="00B27DCD" w:rsidP="00B27DCD">
            <w:pPr>
              <w:spacing w:after="0" w:line="240" w:lineRule="auto"/>
              <w:jc w:val="right"/>
              <w:rPr>
                <w:rFonts w:ascii="Calibri" w:eastAsia="Times New Roman" w:hAnsi="Calibri" w:cs="Calibri"/>
                <w:sz w:val="16"/>
                <w:szCs w:val="16"/>
                <w:lang w:eastAsia="hr-HR"/>
              </w:rPr>
            </w:pPr>
            <w:r w:rsidRPr="009F0A74">
              <w:rPr>
                <w:rFonts w:ascii="Calibri" w:eastAsia="Times New Roman" w:hAnsi="Calibri" w:cs="Calibri"/>
                <w:sz w:val="16"/>
                <w:szCs w:val="16"/>
                <w:lang w:eastAsia="hr-HR"/>
              </w:rPr>
              <w:t>0</w:t>
            </w:r>
          </w:p>
        </w:tc>
        <w:tc>
          <w:tcPr>
            <w:tcW w:w="658" w:type="dxa"/>
            <w:tcBorders>
              <w:top w:val="nil"/>
              <w:left w:val="nil"/>
              <w:bottom w:val="single" w:sz="4" w:space="0" w:color="auto"/>
              <w:right w:val="single" w:sz="4" w:space="0" w:color="auto"/>
            </w:tcBorders>
            <w:shd w:val="clear" w:color="000000" w:fill="FFFF99"/>
            <w:noWrap/>
            <w:vAlign w:val="bottom"/>
            <w:hideMark/>
          </w:tcPr>
          <w:p w14:paraId="465F5334" w14:textId="77777777" w:rsidR="00B27DCD" w:rsidRPr="009F0A74" w:rsidRDefault="00B27DCD" w:rsidP="00B27DCD">
            <w:pPr>
              <w:spacing w:after="0" w:line="240" w:lineRule="auto"/>
              <w:jc w:val="right"/>
              <w:rPr>
                <w:rFonts w:ascii="Calibri" w:eastAsia="Times New Roman" w:hAnsi="Calibri" w:cs="Calibri"/>
                <w:sz w:val="16"/>
                <w:szCs w:val="16"/>
                <w:lang w:eastAsia="hr-HR"/>
              </w:rPr>
            </w:pPr>
            <w:r w:rsidRPr="009F0A74">
              <w:rPr>
                <w:rFonts w:ascii="Calibri" w:eastAsia="Times New Roman" w:hAnsi="Calibri" w:cs="Calibri"/>
                <w:sz w:val="16"/>
                <w:szCs w:val="16"/>
                <w:lang w:eastAsia="hr-HR"/>
              </w:rPr>
              <w:t>0</w:t>
            </w:r>
          </w:p>
        </w:tc>
        <w:tc>
          <w:tcPr>
            <w:tcW w:w="447" w:type="dxa"/>
            <w:tcBorders>
              <w:top w:val="nil"/>
              <w:left w:val="nil"/>
              <w:bottom w:val="single" w:sz="4" w:space="0" w:color="auto"/>
              <w:right w:val="single" w:sz="4" w:space="0" w:color="auto"/>
            </w:tcBorders>
            <w:shd w:val="clear" w:color="000000" w:fill="FFFF99"/>
            <w:noWrap/>
            <w:vAlign w:val="bottom"/>
            <w:hideMark/>
          </w:tcPr>
          <w:p w14:paraId="5207BDDE" w14:textId="77777777" w:rsidR="00B27DCD" w:rsidRPr="009F0A74" w:rsidRDefault="00B27DCD" w:rsidP="00B27DCD">
            <w:pPr>
              <w:spacing w:after="0" w:line="240" w:lineRule="auto"/>
              <w:jc w:val="right"/>
              <w:rPr>
                <w:rFonts w:ascii="Calibri" w:eastAsia="Times New Roman" w:hAnsi="Calibri" w:cs="Calibri"/>
                <w:sz w:val="16"/>
                <w:szCs w:val="16"/>
                <w:lang w:eastAsia="hr-HR"/>
              </w:rPr>
            </w:pPr>
            <w:r w:rsidRPr="009F0A74">
              <w:rPr>
                <w:rFonts w:ascii="Calibri" w:eastAsia="Times New Roman" w:hAnsi="Calibri" w:cs="Calibri"/>
                <w:sz w:val="16"/>
                <w:szCs w:val="16"/>
                <w:lang w:eastAsia="hr-HR"/>
              </w:rPr>
              <w:t>0</w:t>
            </w:r>
          </w:p>
        </w:tc>
        <w:tc>
          <w:tcPr>
            <w:tcW w:w="644" w:type="dxa"/>
            <w:gridSpan w:val="2"/>
            <w:tcBorders>
              <w:top w:val="nil"/>
              <w:left w:val="nil"/>
              <w:bottom w:val="single" w:sz="4" w:space="0" w:color="auto"/>
              <w:right w:val="single" w:sz="4" w:space="0" w:color="auto"/>
            </w:tcBorders>
            <w:shd w:val="clear" w:color="000000" w:fill="FFFF99"/>
            <w:noWrap/>
            <w:vAlign w:val="bottom"/>
            <w:hideMark/>
          </w:tcPr>
          <w:p w14:paraId="0E0BCE89" w14:textId="77777777" w:rsidR="00B27DCD" w:rsidRPr="009F0A74" w:rsidRDefault="00B27DCD" w:rsidP="00B27DCD">
            <w:pPr>
              <w:spacing w:after="0" w:line="240" w:lineRule="auto"/>
              <w:jc w:val="right"/>
              <w:rPr>
                <w:rFonts w:ascii="Calibri" w:eastAsia="Times New Roman" w:hAnsi="Calibri" w:cs="Calibri"/>
                <w:sz w:val="16"/>
                <w:szCs w:val="16"/>
                <w:lang w:eastAsia="hr-HR"/>
              </w:rPr>
            </w:pPr>
            <w:r w:rsidRPr="009F0A74">
              <w:rPr>
                <w:rFonts w:ascii="Calibri" w:eastAsia="Times New Roman" w:hAnsi="Calibri" w:cs="Calibri"/>
                <w:sz w:val="16"/>
                <w:szCs w:val="16"/>
                <w:lang w:eastAsia="hr-HR"/>
              </w:rPr>
              <w:t>0</w:t>
            </w:r>
          </w:p>
        </w:tc>
        <w:tc>
          <w:tcPr>
            <w:tcW w:w="452" w:type="dxa"/>
            <w:tcBorders>
              <w:top w:val="nil"/>
              <w:left w:val="nil"/>
              <w:bottom w:val="single" w:sz="4" w:space="0" w:color="auto"/>
              <w:right w:val="single" w:sz="4" w:space="0" w:color="auto"/>
            </w:tcBorders>
            <w:shd w:val="clear" w:color="000000" w:fill="FFFF99"/>
            <w:noWrap/>
            <w:vAlign w:val="bottom"/>
            <w:hideMark/>
          </w:tcPr>
          <w:p w14:paraId="75FF0BEC" w14:textId="77777777" w:rsidR="00B27DCD" w:rsidRPr="009F0A74" w:rsidRDefault="00B27DCD" w:rsidP="00B27DCD">
            <w:pPr>
              <w:spacing w:after="0" w:line="240" w:lineRule="auto"/>
              <w:jc w:val="right"/>
              <w:rPr>
                <w:rFonts w:ascii="Calibri" w:eastAsia="Times New Roman" w:hAnsi="Calibri" w:cs="Calibri"/>
                <w:sz w:val="16"/>
                <w:szCs w:val="16"/>
                <w:lang w:eastAsia="hr-HR"/>
              </w:rPr>
            </w:pPr>
            <w:r w:rsidRPr="009F0A74">
              <w:rPr>
                <w:rFonts w:ascii="Calibri" w:eastAsia="Times New Roman" w:hAnsi="Calibri" w:cs="Calibri"/>
                <w:sz w:val="16"/>
                <w:szCs w:val="16"/>
                <w:lang w:eastAsia="hr-HR"/>
              </w:rPr>
              <w:t>0</w:t>
            </w:r>
          </w:p>
        </w:tc>
        <w:tc>
          <w:tcPr>
            <w:tcW w:w="538" w:type="dxa"/>
            <w:tcBorders>
              <w:top w:val="nil"/>
              <w:left w:val="nil"/>
              <w:bottom w:val="single" w:sz="4" w:space="0" w:color="auto"/>
              <w:right w:val="single" w:sz="4" w:space="0" w:color="auto"/>
            </w:tcBorders>
            <w:shd w:val="clear" w:color="000000" w:fill="FFFF99"/>
            <w:noWrap/>
            <w:vAlign w:val="bottom"/>
            <w:hideMark/>
          </w:tcPr>
          <w:p w14:paraId="547958BD" w14:textId="77777777" w:rsidR="00B27DCD" w:rsidRPr="009F0A74" w:rsidRDefault="00B27DCD" w:rsidP="00B27DCD">
            <w:pPr>
              <w:spacing w:after="0" w:line="240" w:lineRule="auto"/>
              <w:jc w:val="right"/>
              <w:rPr>
                <w:rFonts w:ascii="Calibri" w:eastAsia="Times New Roman" w:hAnsi="Calibri" w:cs="Calibri"/>
                <w:sz w:val="16"/>
                <w:szCs w:val="16"/>
                <w:lang w:eastAsia="hr-HR"/>
              </w:rPr>
            </w:pPr>
            <w:r w:rsidRPr="009F0A74">
              <w:rPr>
                <w:rFonts w:ascii="Calibri" w:eastAsia="Times New Roman" w:hAnsi="Calibri" w:cs="Calibri"/>
                <w:sz w:val="16"/>
                <w:szCs w:val="16"/>
                <w:lang w:eastAsia="hr-HR"/>
              </w:rPr>
              <w:t>0</w:t>
            </w:r>
          </w:p>
        </w:tc>
        <w:tc>
          <w:tcPr>
            <w:tcW w:w="447" w:type="dxa"/>
            <w:tcBorders>
              <w:top w:val="nil"/>
              <w:left w:val="nil"/>
              <w:bottom w:val="single" w:sz="4" w:space="0" w:color="auto"/>
              <w:right w:val="single" w:sz="4" w:space="0" w:color="auto"/>
            </w:tcBorders>
            <w:shd w:val="clear" w:color="000000" w:fill="FFFF99"/>
            <w:noWrap/>
            <w:vAlign w:val="bottom"/>
            <w:hideMark/>
          </w:tcPr>
          <w:p w14:paraId="4E4E3C2D" w14:textId="77777777" w:rsidR="00B27DCD" w:rsidRPr="009F0A74" w:rsidRDefault="00B27DCD" w:rsidP="00B27DCD">
            <w:pPr>
              <w:spacing w:after="0" w:line="240" w:lineRule="auto"/>
              <w:jc w:val="right"/>
              <w:rPr>
                <w:rFonts w:ascii="Calibri" w:eastAsia="Times New Roman" w:hAnsi="Calibri" w:cs="Calibri"/>
                <w:sz w:val="16"/>
                <w:szCs w:val="16"/>
                <w:lang w:eastAsia="hr-HR"/>
              </w:rPr>
            </w:pPr>
            <w:r w:rsidRPr="009F0A74">
              <w:rPr>
                <w:rFonts w:ascii="Calibri" w:eastAsia="Times New Roman" w:hAnsi="Calibri" w:cs="Calibri"/>
                <w:sz w:val="16"/>
                <w:szCs w:val="16"/>
                <w:lang w:eastAsia="hr-HR"/>
              </w:rPr>
              <w:t>6</w:t>
            </w:r>
          </w:p>
        </w:tc>
        <w:tc>
          <w:tcPr>
            <w:tcW w:w="447" w:type="dxa"/>
            <w:tcBorders>
              <w:top w:val="nil"/>
              <w:left w:val="nil"/>
              <w:bottom w:val="single" w:sz="4" w:space="0" w:color="auto"/>
              <w:right w:val="single" w:sz="4" w:space="0" w:color="auto"/>
            </w:tcBorders>
            <w:shd w:val="clear" w:color="000000" w:fill="FFFF99"/>
            <w:noWrap/>
            <w:vAlign w:val="bottom"/>
            <w:hideMark/>
          </w:tcPr>
          <w:p w14:paraId="2A676B4E" w14:textId="77777777" w:rsidR="00B27DCD" w:rsidRPr="009F0A74" w:rsidRDefault="00B27DCD" w:rsidP="00B27DCD">
            <w:pPr>
              <w:spacing w:after="0" w:line="240" w:lineRule="auto"/>
              <w:jc w:val="right"/>
              <w:rPr>
                <w:rFonts w:ascii="Calibri" w:eastAsia="Times New Roman" w:hAnsi="Calibri" w:cs="Calibri"/>
                <w:sz w:val="16"/>
                <w:szCs w:val="16"/>
                <w:lang w:eastAsia="hr-HR"/>
              </w:rPr>
            </w:pPr>
            <w:r w:rsidRPr="009F0A74">
              <w:rPr>
                <w:rFonts w:ascii="Calibri" w:eastAsia="Times New Roman" w:hAnsi="Calibri" w:cs="Calibri"/>
                <w:sz w:val="16"/>
                <w:szCs w:val="16"/>
                <w:lang w:eastAsia="hr-HR"/>
              </w:rPr>
              <w:t>0</w:t>
            </w:r>
          </w:p>
        </w:tc>
        <w:tc>
          <w:tcPr>
            <w:tcW w:w="400" w:type="dxa"/>
            <w:tcBorders>
              <w:top w:val="nil"/>
              <w:left w:val="nil"/>
              <w:bottom w:val="single" w:sz="4" w:space="0" w:color="auto"/>
              <w:right w:val="single" w:sz="4" w:space="0" w:color="auto"/>
            </w:tcBorders>
            <w:shd w:val="clear" w:color="000000" w:fill="FFFF99"/>
            <w:noWrap/>
            <w:vAlign w:val="bottom"/>
            <w:hideMark/>
          </w:tcPr>
          <w:p w14:paraId="5C8C6AD2" w14:textId="77777777" w:rsidR="00B27DCD" w:rsidRPr="009F0A74" w:rsidRDefault="00B27DCD" w:rsidP="00B27DCD">
            <w:pPr>
              <w:spacing w:after="0" w:line="240" w:lineRule="auto"/>
              <w:jc w:val="right"/>
              <w:rPr>
                <w:rFonts w:ascii="Calibri" w:eastAsia="Times New Roman" w:hAnsi="Calibri" w:cs="Calibri"/>
                <w:sz w:val="16"/>
                <w:szCs w:val="16"/>
                <w:lang w:eastAsia="hr-HR"/>
              </w:rPr>
            </w:pPr>
            <w:r w:rsidRPr="009F0A74">
              <w:rPr>
                <w:rFonts w:ascii="Calibri" w:eastAsia="Times New Roman" w:hAnsi="Calibri" w:cs="Calibri"/>
                <w:sz w:val="16"/>
                <w:szCs w:val="16"/>
                <w:lang w:eastAsia="hr-HR"/>
              </w:rPr>
              <w:t>0</w:t>
            </w:r>
          </w:p>
        </w:tc>
        <w:tc>
          <w:tcPr>
            <w:tcW w:w="357" w:type="dxa"/>
            <w:gridSpan w:val="2"/>
            <w:tcBorders>
              <w:top w:val="nil"/>
              <w:left w:val="nil"/>
              <w:bottom w:val="single" w:sz="4" w:space="0" w:color="auto"/>
              <w:right w:val="single" w:sz="4" w:space="0" w:color="auto"/>
            </w:tcBorders>
            <w:shd w:val="clear" w:color="000000" w:fill="FF9900"/>
            <w:noWrap/>
            <w:vAlign w:val="bottom"/>
            <w:hideMark/>
          </w:tcPr>
          <w:p w14:paraId="11EAF22D" w14:textId="77777777" w:rsidR="00B27DCD" w:rsidRPr="009F0A74" w:rsidRDefault="00B27DCD" w:rsidP="00B27DCD">
            <w:pPr>
              <w:spacing w:after="0" w:line="240" w:lineRule="auto"/>
              <w:jc w:val="right"/>
              <w:rPr>
                <w:rFonts w:ascii="Calibri" w:eastAsia="Times New Roman" w:hAnsi="Calibri" w:cs="Calibri"/>
                <w:sz w:val="16"/>
                <w:szCs w:val="16"/>
                <w:lang w:eastAsia="hr-HR"/>
              </w:rPr>
            </w:pPr>
            <w:r w:rsidRPr="009F0A74">
              <w:rPr>
                <w:rFonts w:ascii="Calibri" w:eastAsia="Times New Roman" w:hAnsi="Calibri" w:cs="Calibri"/>
                <w:sz w:val="16"/>
                <w:szCs w:val="16"/>
                <w:lang w:eastAsia="hr-HR"/>
              </w:rPr>
              <w:t>1</w:t>
            </w:r>
          </w:p>
        </w:tc>
        <w:tc>
          <w:tcPr>
            <w:tcW w:w="447" w:type="dxa"/>
            <w:tcBorders>
              <w:top w:val="nil"/>
              <w:left w:val="nil"/>
              <w:bottom w:val="single" w:sz="4" w:space="0" w:color="auto"/>
              <w:right w:val="single" w:sz="4" w:space="0" w:color="auto"/>
            </w:tcBorders>
            <w:shd w:val="clear" w:color="000000" w:fill="FF9900"/>
            <w:noWrap/>
            <w:vAlign w:val="bottom"/>
            <w:hideMark/>
          </w:tcPr>
          <w:p w14:paraId="7D5973CC" w14:textId="77777777" w:rsidR="00B27DCD" w:rsidRPr="009F0A74" w:rsidRDefault="00B27DCD" w:rsidP="00B27DCD">
            <w:pPr>
              <w:spacing w:after="0" w:line="240" w:lineRule="auto"/>
              <w:jc w:val="right"/>
              <w:rPr>
                <w:rFonts w:ascii="Calibri" w:eastAsia="Times New Roman" w:hAnsi="Calibri" w:cs="Calibri"/>
                <w:sz w:val="16"/>
                <w:szCs w:val="16"/>
                <w:lang w:eastAsia="hr-HR"/>
              </w:rPr>
            </w:pPr>
            <w:r w:rsidRPr="009F0A74">
              <w:rPr>
                <w:rFonts w:ascii="Calibri" w:eastAsia="Times New Roman" w:hAnsi="Calibri" w:cs="Calibri"/>
                <w:sz w:val="16"/>
                <w:szCs w:val="16"/>
                <w:lang w:eastAsia="hr-HR"/>
              </w:rPr>
              <w:t>1</w:t>
            </w:r>
          </w:p>
        </w:tc>
        <w:tc>
          <w:tcPr>
            <w:tcW w:w="447" w:type="dxa"/>
            <w:tcBorders>
              <w:top w:val="nil"/>
              <w:left w:val="nil"/>
              <w:bottom w:val="single" w:sz="4" w:space="0" w:color="auto"/>
              <w:right w:val="single" w:sz="4" w:space="0" w:color="auto"/>
            </w:tcBorders>
            <w:shd w:val="clear" w:color="000000" w:fill="FF9900"/>
            <w:noWrap/>
            <w:vAlign w:val="bottom"/>
            <w:hideMark/>
          </w:tcPr>
          <w:p w14:paraId="6BBC55F0" w14:textId="77777777" w:rsidR="00B27DCD" w:rsidRPr="009F0A74" w:rsidRDefault="00B27DCD" w:rsidP="00B27DCD">
            <w:pPr>
              <w:spacing w:after="0" w:line="240" w:lineRule="auto"/>
              <w:jc w:val="right"/>
              <w:rPr>
                <w:rFonts w:ascii="Calibri" w:eastAsia="Times New Roman" w:hAnsi="Calibri" w:cs="Calibri"/>
                <w:sz w:val="16"/>
                <w:szCs w:val="16"/>
                <w:lang w:eastAsia="hr-HR"/>
              </w:rPr>
            </w:pPr>
            <w:r w:rsidRPr="009F0A74">
              <w:rPr>
                <w:rFonts w:ascii="Calibri" w:eastAsia="Times New Roman" w:hAnsi="Calibri" w:cs="Calibri"/>
                <w:sz w:val="16"/>
                <w:szCs w:val="16"/>
                <w:lang w:eastAsia="hr-HR"/>
              </w:rPr>
              <w:t>0</w:t>
            </w:r>
          </w:p>
        </w:tc>
        <w:tc>
          <w:tcPr>
            <w:tcW w:w="446" w:type="dxa"/>
            <w:tcBorders>
              <w:top w:val="nil"/>
              <w:left w:val="nil"/>
              <w:bottom w:val="single" w:sz="4" w:space="0" w:color="auto"/>
              <w:right w:val="single" w:sz="4" w:space="0" w:color="auto"/>
            </w:tcBorders>
            <w:shd w:val="clear" w:color="auto" w:fill="auto"/>
            <w:vAlign w:val="bottom"/>
            <w:hideMark/>
          </w:tcPr>
          <w:p w14:paraId="3339C9B4" w14:textId="77777777" w:rsidR="00B27DCD" w:rsidRPr="009F0A74" w:rsidRDefault="00B27DCD" w:rsidP="00B27DCD">
            <w:pPr>
              <w:spacing w:after="0" w:line="240" w:lineRule="auto"/>
              <w:jc w:val="right"/>
              <w:rPr>
                <w:rFonts w:ascii="Calibri" w:eastAsia="Times New Roman" w:hAnsi="Calibri" w:cs="Calibri"/>
                <w:b/>
                <w:bCs/>
                <w:sz w:val="16"/>
                <w:szCs w:val="16"/>
                <w:lang w:eastAsia="hr-HR"/>
              </w:rPr>
            </w:pPr>
            <w:r w:rsidRPr="009F0A74">
              <w:rPr>
                <w:rFonts w:ascii="Calibri" w:eastAsia="Times New Roman" w:hAnsi="Calibri" w:cs="Calibri"/>
                <w:b/>
                <w:bCs/>
                <w:sz w:val="16"/>
                <w:szCs w:val="16"/>
                <w:lang w:eastAsia="hr-HR"/>
              </w:rPr>
              <w:t>2</w:t>
            </w:r>
          </w:p>
        </w:tc>
        <w:tc>
          <w:tcPr>
            <w:tcW w:w="447" w:type="dxa"/>
            <w:gridSpan w:val="2"/>
            <w:tcBorders>
              <w:top w:val="nil"/>
              <w:left w:val="nil"/>
              <w:bottom w:val="single" w:sz="4" w:space="0" w:color="auto"/>
              <w:right w:val="single" w:sz="4" w:space="0" w:color="auto"/>
            </w:tcBorders>
            <w:shd w:val="clear" w:color="000000" w:fill="FFFF00"/>
            <w:noWrap/>
            <w:vAlign w:val="bottom"/>
            <w:hideMark/>
          </w:tcPr>
          <w:p w14:paraId="4AFBDF6C" w14:textId="77777777" w:rsidR="00B27DCD" w:rsidRPr="009F0A74" w:rsidRDefault="00B27DCD" w:rsidP="00B27DCD">
            <w:pPr>
              <w:spacing w:after="0" w:line="240" w:lineRule="auto"/>
              <w:jc w:val="right"/>
              <w:rPr>
                <w:rFonts w:ascii="Calibri" w:eastAsia="Times New Roman" w:hAnsi="Calibri" w:cs="Calibri"/>
                <w:sz w:val="16"/>
                <w:szCs w:val="16"/>
                <w:lang w:eastAsia="hr-HR"/>
              </w:rPr>
            </w:pPr>
            <w:r w:rsidRPr="009F0A74">
              <w:rPr>
                <w:rFonts w:ascii="Calibri" w:eastAsia="Times New Roman" w:hAnsi="Calibri" w:cs="Calibri"/>
                <w:sz w:val="16"/>
                <w:szCs w:val="16"/>
                <w:lang w:eastAsia="hr-HR"/>
              </w:rPr>
              <w:t>0</w:t>
            </w:r>
          </w:p>
        </w:tc>
        <w:tc>
          <w:tcPr>
            <w:tcW w:w="447" w:type="dxa"/>
            <w:tcBorders>
              <w:top w:val="nil"/>
              <w:left w:val="nil"/>
              <w:bottom w:val="single" w:sz="4" w:space="0" w:color="auto"/>
              <w:right w:val="single" w:sz="4" w:space="0" w:color="auto"/>
            </w:tcBorders>
            <w:shd w:val="clear" w:color="000000" w:fill="FFFF00"/>
            <w:noWrap/>
            <w:vAlign w:val="bottom"/>
            <w:hideMark/>
          </w:tcPr>
          <w:p w14:paraId="3BB714B1" w14:textId="77777777" w:rsidR="00B27DCD" w:rsidRPr="009F0A74" w:rsidRDefault="00B27DCD" w:rsidP="00B27DCD">
            <w:pPr>
              <w:spacing w:after="0" w:line="240" w:lineRule="auto"/>
              <w:jc w:val="right"/>
              <w:rPr>
                <w:rFonts w:ascii="Calibri" w:eastAsia="Times New Roman" w:hAnsi="Calibri" w:cs="Calibri"/>
                <w:sz w:val="16"/>
                <w:szCs w:val="16"/>
                <w:lang w:eastAsia="hr-HR"/>
              </w:rPr>
            </w:pPr>
            <w:r w:rsidRPr="009F0A74">
              <w:rPr>
                <w:rFonts w:ascii="Calibri" w:eastAsia="Times New Roman" w:hAnsi="Calibri" w:cs="Calibri"/>
                <w:sz w:val="16"/>
                <w:szCs w:val="16"/>
                <w:lang w:eastAsia="hr-HR"/>
              </w:rPr>
              <w:t>1</w:t>
            </w:r>
          </w:p>
        </w:tc>
        <w:tc>
          <w:tcPr>
            <w:tcW w:w="447" w:type="dxa"/>
            <w:tcBorders>
              <w:top w:val="nil"/>
              <w:left w:val="nil"/>
              <w:bottom w:val="single" w:sz="4" w:space="0" w:color="auto"/>
              <w:right w:val="single" w:sz="4" w:space="0" w:color="auto"/>
            </w:tcBorders>
            <w:shd w:val="clear" w:color="000000" w:fill="FFFF00"/>
            <w:noWrap/>
            <w:vAlign w:val="bottom"/>
            <w:hideMark/>
          </w:tcPr>
          <w:p w14:paraId="79A197B3" w14:textId="77777777" w:rsidR="00B27DCD" w:rsidRPr="009F0A74" w:rsidRDefault="00B27DCD" w:rsidP="00B27DCD">
            <w:pPr>
              <w:spacing w:after="0" w:line="240" w:lineRule="auto"/>
              <w:jc w:val="right"/>
              <w:rPr>
                <w:rFonts w:ascii="Calibri" w:eastAsia="Times New Roman" w:hAnsi="Calibri" w:cs="Calibri"/>
                <w:sz w:val="16"/>
                <w:szCs w:val="16"/>
                <w:lang w:eastAsia="hr-HR"/>
              </w:rPr>
            </w:pPr>
            <w:r w:rsidRPr="009F0A74">
              <w:rPr>
                <w:rFonts w:ascii="Calibri" w:eastAsia="Times New Roman" w:hAnsi="Calibri" w:cs="Calibri"/>
                <w:sz w:val="16"/>
                <w:szCs w:val="16"/>
                <w:lang w:eastAsia="hr-HR"/>
              </w:rPr>
              <w:t>1</w:t>
            </w:r>
          </w:p>
        </w:tc>
        <w:tc>
          <w:tcPr>
            <w:tcW w:w="446" w:type="dxa"/>
            <w:tcBorders>
              <w:top w:val="nil"/>
              <w:left w:val="nil"/>
              <w:bottom w:val="single" w:sz="4" w:space="0" w:color="auto"/>
              <w:right w:val="single" w:sz="4" w:space="0" w:color="auto"/>
            </w:tcBorders>
            <w:shd w:val="clear" w:color="auto" w:fill="auto"/>
            <w:vAlign w:val="bottom"/>
            <w:hideMark/>
          </w:tcPr>
          <w:p w14:paraId="4745A038" w14:textId="77777777" w:rsidR="00B27DCD" w:rsidRPr="009F0A74" w:rsidRDefault="00B27DCD" w:rsidP="00B27DCD">
            <w:pPr>
              <w:spacing w:after="0" w:line="240" w:lineRule="auto"/>
              <w:jc w:val="right"/>
              <w:rPr>
                <w:rFonts w:ascii="Calibri" w:eastAsia="Times New Roman" w:hAnsi="Calibri" w:cs="Calibri"/>
                <w:b/>
                <w:bCs/>
                <w:sz w:val="16"/>
                <w:szCs w:val="16"/>
                <w:lang w:eastAsia="hr-HR"/>
              </w:rPr>
            </w:pPr>
            <w:r w:rsidRPr="009F0A74">
              <w:rPr>
                <w:rFonts w:ascii="Calibri" w:eastAsia="Times New Roman" w:hAnsi="Calibri" w:cs="Calibri"/>
                <w:b/>
                <w:bCs/>
                <w:sz w:val="16"/>
                <w:szCs w:val="16"/>
                <w:lang w:eastAsia="hr-HR"/>
              </w:rPr>
              <w:t>2</w:t>
            </w:r>
          </w:p>
        </w:tc>
        <w:tc>
          <w:tcPr>
            <w:tcW w:w="524" w:type="dxa"/>
            <w:gridSpan w:val="2"/>
            <w:tcBorders>
              <w:top w:val="nil"/>
              <w:left w:val="nil"/>
              <w:bottom w:val="single" w:sz="4" w:space="0" w:color="auto"/>
              <w:right w:val="single" w:sz="4" w:space="0" w:color="auto"/>
            </w:tcBorders>
            <w:shd w:val="clear" w:color="000000" w:fill="FFFF00"/>
            <w:vAlign w:val="bottom"/>
            <w:hideMark/>
          </w:tcPr>
          <w:p w14:paraId="5520574A" w14:textId="77777777" w:rsidR="00B27DCD" w:rsidRPr="009F0A74" w:rsidRDefault="00B27DCD" w:rsidP="00B27DCD">
            <w:pPr>
              <w:spacing w:after="0" w:line="240" w:lineRule="auto"/>
              <w:jc w:val="right"/>
              <w:rPr>
                <w:rFonts w:ascii="Calibri" w:eastAsia="Times New Roman" w:hAnsi="Calibri" w:cs="Calibri"/>
                <w:sz w:val="16"/>
                <w:szCs w:val="16"/>
                <w:lang w:eastAsia="hr-HR"/>
              </w:rPr>
            </w:pPr>
            <w:r w:rsidRPr="009F0A74">
              <w:rPr>
                <w:rFonts w:ascii="Calibri" w:eastAsia="Times New Roman" w:hAnsi="Calibri" w:cs="Calibri"/>
                <w:sz w:val="16"/>
                <w:szCs w:val="16"/>
                <w:lang w:eastAsia="hr-HR"/>
              </w:rPr>
              <w:t>4</w:t>
            </w:r>
          </w:p>
        </w:tc>
        <w:tc>
          <w:tcPr>
            <w:tcW w:w="425" w:type="dxa"/>
            <w:gridSpan w:val="2"/>
            <w:tcBorders>
              <w:top w:val="nil"/>
              <w:left w:val="nil"/>
              <w:bottom w:val="single" w:sz="4" w:space="0" w:color="auto"/>
              <w:right w:val="single" w:sz="4" w:space="0" w:color="auto"/>
            </w:tcBorders>
            <w:shd w:val="clear" w:color="000000" w:fill="FF9900"/>
            <w:noWrap/>
            <w:vAlign w:val="bottom"/>
            <w:hideMark/>
          </w:tcPr>
          <w:p w14:paraId="54C18EA5" w14:textId="77777777" w:rsidR="00B27DCD" w:rsidRPr="009F0A74" w:rsidRDefault="00B27DCD" w:rsidP="00B27DCD">
            <w:pPr>
              <w:spacing w:after="0" w:line="240" w:lineRule="auto"/>
              <w:jc w:val="right"/>
              <w:rPr>
                <w:rFonts w:ascii="Calibri" w:eastAsia="Times New Roman" w:hAnsi="Calibri" w:cs="Calibri"/>
                <w:sz w:val="16"/>
                <w:szCs w:val="16"/>
                <w:lang w:eastAsia="hr-HR"/>
              </w:rPr>
            </w:pPr>
            <w:r w:rsidRPr="009F0A74">
              <w:rPr>
                <w:rFonts w:ascii="Calibri" w:eastAsia="Times New Roman" w:hAnsi="Calibri" w:cs="Calibri"/>
                <w:sz w:val="16"/>
                <w:szCs w:val="16"/>
                <w:lang w:eastAsia="hr-HR"/>
              </w:rPr>
              <w:t>2</w:t>
            </w:r>
          </w:p>
        </w:tc>
        <w:tc>
          <w:tcPr>
            <w:tcW w:w="501" w:type="dxa"/>
            <w:gridSpan w:val="2"/>
            <w:tcBorders>
              <w:top w:val="nil"/>
              <w:left w:val="nil"/>
              <w:bottom w:val="single" w:sz="4" w:space="0" w:color="auto"/>
              <w:right w:val="single" w:sz="4" w:space="0" w:color="auto"/>
            </w:tcBorders>
            <w:shd w:val="clear" w:color="000000" w:fill="FF9900"/>
            <w:noWrap/>
            <w:vAlign w:val="bottom"/>
            <w:hideMark/>
          </w:tcPr>
          <w:p w14:paraId="208A24D6" w14:textId="77777777" w:rsidR="00B27DCD" w:rsidRPr="009F0A74" w:rsidRDefault="00B27DCD" w:rsidP="00B27DCD">
            <w:pPr>
              <w:spacing w:after="0" w:line="240" w:lineRule="auto"/>
              <w:jc w:val="right"/>
              <w:rPr>
                <w:rFonts w:ascii="Calibri" w:eastAsia="Times New Roman" w:hAnsi="Calibri" w:cs="Calibri"/>
                <w:sz w:val="16"/>
                <w:szCs w:val="16"/>
                <w:lang w:eastAsia="hr-HR"/>
              </w:rPr>
            </w:pPr>
            <w:r w:rsidRPr="009F0A74">
              <w:rPr>
                <w:rFonts w:ascii="Calibri" w:eastAsia="Times New Roman" w:hAnsi="Calibri" w:cs="Calibri"/>
                <w:sz w:val="16"/>
                <w:szCs w:val="16"/>
                <w:lang w:eastAsia="hr-HR"/>
              </w:rPr>
              <w:t>2</w:t>
            </w:r>
          </w:p>
        </w:tc>
        <w:tc>
          <w:tcPr>
            <w:tcW w:w="425" w:type="dxa"/>
            <w:tcBorders>
              <w:top w:val="nil"/>
              <w:left w:val="nil"/>
              <w:bottom w:val="single" w:sz="4" w:space="0" w:color="auto"/>
              <w:right w:val="single" w:sz="4" w:space="0" w:color="auto"/>
            </w:tcBorders>
            <w:shd w:val="clear" w:color="000000" w:fill="CCFFFF"/>
            <w:noWrap/>
            <w:vAlign w:val="bottom"/>
            <w:hideMark/>
          </w:tcPr>
          <w:p w14:paraId="6EB3F7DC" w14:textId="77777777" w:rsidR="00B27DCD" w:rsidRPr="009F0A74" w:rsidRDefault="00B27DCD" w:rsidP="00B27DCD">
            <w:pPr>
              <w:spacing w:after="0" w:line="240" w:lineRule="auto"/>
              <w:jc w:val="right"/>
              <w:rPr>
                <w:rFonts w:ascii="Calibri" w:eastAsia="Times New Roman" w:hAnsi="Calibri" w:cs="Calibri"/>
                <w:sz w:val="16"/>
                <w:szCs w:val="16"/>
                <w:lang w:eastAsia="hr-HR"/>
              </w:rPr>
            </w:pPr>
            <w:r w:rsidRPr="009F0A74">
              <w:rPr>
                <w:rFonts w:ascii="Calibri" w:eastAsia="Times New Roman" w:hAnsi="Calibri" w:cs="Calibri"/>
                <w:sz w:val="16"/>
                <w:szCs w:val="16"/>
                <w:lang w:eastAsia="hr-HR"/>
              </w:rPr>
              <w:t>0</w:t>
            </w:r>
          </w:p>
        </w:tc>
        <w:tc>
          <w:tcPr>
            <w:tcW w:w="426" w:type="dxa"/>
            <w:tcBorders>
              <w:top w:val="nil"/>
              <w:left w:val="nil"/>
              <w:bottom w:val="single" w:sz="4" w:space="0" w:color="auto"/>
              <w:right w:val="single" w:sz="4" w:space="0" w:color="auto"/>
            </w:tcBorders>
            <w:shd w:val="clear" w:color="000000" w:fill="CCFFFF"/>
            <w:noWrap/>
            <w:vAlign w:val="bottom"/>
            <w:hideMark/>
          </w:tcPr>
          <w:p w14:paraId="0938B620" w14:textId="77777777" w:rsidR="00B27DCD" w:rsidRPr="009F0A74" w:rsidRDefault="00B27DCD" w:rsidP="00B27DCD">
            <w:pPr>
              <w:spacing w:after="0" w:line="240" w:lineRule="auto"/>
              <w:jc w:val="right"/>
              <w:rPr>
                <w:rFonts w:ascii="Calibri" w:eastAsia="Times New Roman" w:hAnsi="Calibri" w:cs="Calibri"/>
                <w:sz w:val="16"/>
                <w:szCs w:val="16"/>
                <w:lang w:eastAsia="hr-HR"/>
              </w:rPr>
            </w:pPr>
            <w:r w:rsidRPr="009F0A74">
              <w:rPr>
                <w:rFonts w:ascii="Calibri" w:eastAsia="Times New Roman" w:hAnsi="Calibri" w:cs="Calibri"/>
                <w:sz w:val="16"/>
                <w:szCs w:val="16"/>
                <w:lang w:eastAsia="hr-HR"/>
              </w:rPr>
              <w:t>0</w:t>
            </w:r>
          </w:p>
        </w:tc>
        <w:tc>
          <w:tcPr>
            <w:tcW w:w="818" w:type="dxa"/>
            <w:gridSpan w:val="2"/>
            <w:tcBorders>
              <w:top w:val="nil"/>
              <w:left w:val="nil"/>
              <w:bottom w:val="single" w:sz="4" w:space="0" w:color="auto"/>
              <w:right w:val="single" w:sz="4" w:space="0" w:color="auto"/>
            </w:tcBorders>
            <w:shd w:val="clear" w:color="000000" w:fill="33CCCC"/>
            <w:noWrap/>
            <w:vAlign w:val="bottom"/>
            <w:hideMark/>
          </w:tcPr>
          <w:p w14:paraId="5FAF9F32" w14:textId="77777777" w:rsidR="00B27DCD" w:rsidRPr="009F0A74" w:rsidRDefault="00B27DCD" w:rsidP="00B27DCD">
            <w:pPr>
              <w:spacing w:after="0" w:line="240" w:lineRule="auto"/>
              <w:jc w:val="right"/>
              <w:rPr>
                <w:rFonts w:ascii="Calibri" w:eastAsia="Times New Roman" w:hAnsi="Calibri" w:cs="Calibri"/>
                <w:sz w:val="16"/>
                <w:szCs w:val="16"/>
                <w:lang w:eastAsia="hr-HR"/>
              </w:rPr>
            </w:pPr>
            <w:r w:rsidRPr="009F0A74">
              <w:rPr>
                <w:rFonts w:ascii="Calibri" w:eastAsia="Times New Roman" w:hAnsi="Calibri" w:cs="Calibri"/>
                <w:sz w:val="16"/>
                <w:szCs w:val="16"/>
                <w:lang w:eastAsia="hr-HR"/>
              </w:rPr>
              <w:t>2</w:t>
            </w:r>
          </w:p>
        </w:tc>
        <w:tc>
          <w:tcPr>
            <w:tcW w:w="818" w:type="dxa"/>
            <w:gridSpan w:val="2"/>
            <w:tcBorders>
              <w:top w:val="nil"/>
              <w:left w:val="nil"/>
              <w:bottom w:val="single" w:sz="4" w:space="0" w:color="auto"/>
              <w:right w:val="single" w:sz="8" w:space="0" w:color="auto"/>
            </w:tcBorders>
            <w:shd w:val="clear" w:color="000000" w:fill="33CCCC"/>
            <w:noWrap/>
            <w:vAlign w:val="bottom"/>
            <w:hideMark/>
          </w:tcPr>
          <w:p w14:paraId="6F7B3C7E" w14:textId="77777777" w:rsidR="00B27DCD" w:rsidRPr="009F0A74" w:rsidRDefault="00B27DCD" w:rsidP="00B27DCD">
            <w:pPr>
              <w:spacing w:after="0" w:line="240" w:lineRule="auto"/>
              <w:jc w:val="right"/>
              <w:rPr>
                <w:rFonts w:ascii="Calibri" w:eastAsia="Times New Roman" w:hAnsi="Calibri" w:cs="Calibri"/>
                <w:sz w:val="16"/>
                <w:szCs w:val="16"/>
                <w:lang w:eastAsia="hr-HR"/>
              </w:rPr>
            </w:pPr>
            <w:r w:rsidRPr="009F0A74">
              <w:rPr>
                <w:rFonts w:ascii="Calibri" w:eastAsia="Times New Roman" w:hAnsi="Calibri" w:cs="Calibri"/>
                <w:sz w:val="16"/>
                <w:szCs w:val="16"/>
                <w:lang w:eastAsia="hr-HR"/>
              </w:rPr>
              <w:t>0</w:t>
            </w:r>
          </w:p>
        </w:tc>
        <w:tc>
          <w:tcPr>
            <w:tcW w:w="236" w:type="dxa"/>
            <w:gridSpan w:val="3"/>
            <w:vAlign w:val="center"/>
            <w:hideMark/>
          </w:tcPr>
          <w:p w14:paraId="65CCAD39" w14:textId="77777777" w:rsidR="00B27DCD" w:rsidRPr="009F0A74" w:rsidRDefault="00B27DCD" w:rsidP="00B27DCD">
            <w:pPr>
              <w:spacing w:after="0" w:line="240" w:lineRule="auto"/>
              <w:rPr>
                <w:rFonts w:ascii="Times New Roman" w:eastAsia="Times New Roman" w:hAnsi="Times New Roman" w:cs="Times New Roman"/>
                <w:sz w:val="16"/>
                <w:szCs w:val="16"/>
                <w:lang w:eastAsia="hr-HR"/>
              </w:rPr>
            </w:pPr>
          </w:p>
        </w:tc>
      </w:tr>
      <w:tr w:rsidR="009F0A74" w:rsidRPr="009F0A74" w14:paraId="77AF55BE" w14:textId="77777777" w:rsidTr="009F0A74">
        <w:trPr>
          <w:trHeight w:val="300"/>
        </w:trPr>
        <w:tc>
          <w:tcPr>
            <w:tcW w:w="840" w:type="dxa"/>
            <w:tcBorders>
              <w:top w:val="single" w:sz="4" w:space="0" w:color="auto"/>
              <w:left w:val="single" w:sz="8" w:space="0" w:color="auto"/>
              <w:bottom w:val="single" w:sz="4" w:space="0" w:color="auto"/>
              <w:right w:val="single" w:sz="4" w:space="0" w:color="000000"/>
            </w:tcBorders>
            <w:shd w:val="clear" w:color="000000" w:fill="CCFFCC"/>
            <w:vAlign w:val="center"/>
            <w:hideMark/>
          </w:tcPr>
          <w:p w14:paraId="40C37521" w14:textId="77777777" w:rsidR="00B27DCD" w:rsidRPr="009F0A74" w:rsidRDefault="00B27DCD" w:rsidP="00B27DCD">
            <w:pPr>
              <w:spacing w:after="0" w:line="240" w:lineRule="auto"/>
              <w:jc w:val="center"/>
              <w:rPr>
                <w:rFonts w:ascii="Calibri" w:eastAsia="Times New Roman" w:hAnsi="Calibri" w:cs="Calibri"/>
                <w:b/>
                <w:bCs/>
                <w:sz w:val="16"/>
                <w:szCs w:val="16"/>
                <w:lang w:eastAsia="hr-HR"/>
              </w:rPr>
            </w:pPr>
            <w:r w:rsidRPr="009F0A74">
              <w:rPr>
                <w:rFonts w:ascii="Calibri" w:eastAsia="Times New Roman" w:hAnsi="Calibri" w:cs="Calibri"/>
                <w:b/>
                <w:bCs/>
                <w:sz w:val="16"/>
                <w:szCs w:val="16"/>
                <w:lang w:eastAsia="hr-HR"/>
              </w:rPr>
              <w:t>Ukupno</w:t>
            </w:r>
          </w:p>
        </w:tc>
        <w:tc>
          <w:tcPr>
            <w:tcW w:w="540" w:type="dxa"/>
            <w:tcBorders>
              <w:top w:val="nil"/>
              <w:left w:val="nil"/>
              <w:bottom w:val="single" w:sz="4" w:space="0" w:color="auto"/>
              <w:right w:val="single" w:sz="4" w:space="0" w:color="auto"/>
            </w:tcBorders>
            <w:shd w:val="clear" w:color="000000" w:fill="FFFF00"/>
            <w:vAlign w:val="bottom"/>
            <w:hideMark/>
          </w:tcPr>
          <w:p w14:paraId="25713959" w14:textId="77777777" w:rsidR="00B27DCD" w:rsidRPr="009F0A74" w:rsidRDefault="00B27DCD" w:rsidP="00B27DCD">
            <w:pPr>
              <w:spacing w:after="0" w:line="240" w:lineRule="auto"/>
              <w:jc w:val="right"/>
              <w:rPr>
                <w:rFonts w:ascii="Calibri" w:eastAsia="Times New Roman" w:hAnsi="Calibri" w:cs="Calibri"/>
                <w:b/>
                <w:bCs/>
                <w:sz w:val="16"/>
                <w:szCs w:val="16"/>
                <w:lang w:eastAsia="hr-HR"/>
              </w:rPr>
            </w:pPr>
            <w:r w:rsidRPr="009F0A74">
              <w:rPr>
                <w:rFonts w:ascii="Calibri" w:eastAsia="Times New Roman" w:hAnsi="Calibri" w:cs="Calibri"/>
                <w:b/>
                <w:bCs/>
                <w:sz w:val="16"/>
                <w:szCs w:val="16"/>
                <w:lang w:eastAsia="hr-HR"/>
              </w:rPr>
              <w:t>14</w:t>
            </w:r>
          </w:p>
        </w:tc>
        <w:tc>
          <w:tcPr>
            <w:tcW w:w="444" w:type="dxa"/>
            <w:tcBorders>
              <w:top w:val="nil"/>
              <w:left w:val="nil"/>
              <w:bottom w:val="single" w:sz="4" w:space="0" w:color="auto"/>
              <w:right w:val="single" w:sz="4" w:space="0" w:color="auto"/>
            </w:tcBorders>
            <w:shd w:val="clear" w:color="000000" w:fill="FFFF00"/>
            <w:vAlign w:val="bottom"/>
            <w:hideMark/>
          </w:tcPr>
          <w:p w14:paraId="03B1D451" w14:textId="77777777" w:rsidR="00B27DCD" w:rsidRPr="009F0A74" w:rsidRDefault="00B27DCD" w:rsidP="00B27DCD">
            <w:pPr>
              <w:spacing w:after="0" w:line="240" w:lineRule="auto"/>
              <w:jc w:val="right"/>
              <w:rPr>
                <w:rFonts w:ascii="Calibri" w:eastAsia="Times New Roman" w:hAnsi="Calibri" w:cs="Calibri"/>
                <w:b/>
                <w:bCs/>
                <w:sz w:val="16"/>
                <w:szCs w:val="16"/>
                <w:lang w:eastAsia="hr-HR"/>
              </w:rPr>
            </w:pPr>
            <w:r w:rsidRPr="009F0A74">
              <w:rPr>
                <w:rFonts w:ascii="Calibri" w:eastAsia="Times New Roman" w:hAnsi="Calibri" w:cs="Calibri"/>
                <w:b/>
                <w:bCs/>
                <w:sz w:val="16"/>
                <w:szCs w:val="16"/>
                <w:lang w:eastAsia="hr-HR"/>
              </w:rPr>
              <w:t>10</w:t>
            </w:r>
          </w:p>
        </w:tc>
        <w:tc>
          <w:tcPr>
            <w:tcW w:w="433" w:type="dxa"/>
            <w:tcBorders>
              <w:top w:val="nil"/>
              <w:left w:val="nil"/>
              <w:bottom w:val="single" w:sz="4" w:space="0" w:color="auto"/>
              <w:right w:val="single" w:sz="4" w:space="0" w:color="auto"/>
            </w:tcBorders>
            <w:shd w:val="clear" w:color="000000" w:fill="FFFF00"/>
            <w:vAlign w:val="bottom"/>
            <w:hideMark/>
          </w:tcPr>
          <w:p w14:paraId="582AD7C1" w14:textId="77777777" w:rsidR="00B27DCD" w:rsidRPr="009F0A74" w:rsidRDefault="00B27DCD" w:rsidP="00B27DCD">
            <w:pPr>
              <w:spacing w:after="0" w:line="240" w:lineRule="auto"/>
              <w:jc w:val="right"/>
              <w:rPr>
                <w:rFonts w:ascii="Calibri" w:eastAsia="Times New Roman" w:hAnsi="Calibri" w:cs="Calibri"/>
                <w:b/>
                <w:bCs/>
                <w:sz w:val="16"/>
                <w:szCs w:val="16"/>
                <w:lang w:eastAsia="hr-HR"/>
              </w:rPr>
            </w:pPr>
            <w:r w:rsidRPr="009F0A74">
              <w:rPr>
                <w:rFonts w:ascii="Calibri" w:eastAsia="Times New Roman" w:hAnsi="Calibri" w:cs="Calibri"/>
                <w:b/>
                <w:bCs/>
                <w:sz w:val="16"/>
                <w:szCs w:val="16"/>
                <w:lang w:eastAsia="hr-HR"/>
              </w:rPr>
              <w:t>10</w:t>
            </w:r>
          </w:p>
        </w:tc>
        <w:tc>
          <w:tcPr>
            <w:tcW w:w="324" w:type="dxa"/>
            <w:tcBorders>
              <w:top w:val="nil"/>
              <w:left w:val="nil"/>
              <w:bottom w:val="single" w:sz="4" w:space="0" w:color="auto"/>
              <w:right w:val="single" w:sz="4" w:space="0" w:color="auto"/>
            </w:tcBorders>
            <w:shd w:val="clear" w:color="000000" w:fill="FFFF00"/>
            <w:vAlign w:val="bottom"/>
            <w:hideMark/>
          </w:tcPr>
          <w:p w14:paraId="7EA3E705" w14:textId="77777777" w:rsidR="00B27DCD" w:rsidRPr="009F0A74" w:rsidRDefault="00B27DCD" w:rsidP="00B27DCD">
            <w:pPr>
              <w:spacing w:after="0" w:line="240" w:lineRule="auto"/>
              <w:jc w:val="right"/>
              <w:rPr>
                <w:rFonts w:ascii="Calibri" w:eastAsia="Times New Roman" w:hAnsi="Calibri" w:cs="Calibri"/>
                <w:b/>
                <w:bCs/>
                <w:sz w:val="16"/>
                <w:szCs w:val="16"/>
                <w:lang w:eastAsia="hr-HR"/>
              </w:rPr>
            </w:pPr>
            <w:r w:rsidRPr="009F0A74">
              <w:rPr>
                <w:rFonts w:ascii="Calibri" w:eastAsia="Times New Roman" w:hAnsi="Calibri" w:cs="Calibri"/>
                <w:b/>
                <w:bCs/>
                <w:sz w:val="16"/>
                <w:szCs w:val="16"/>
                <w:lang w:eastAsia="hr-HR"/>
              </w:rPr>
              <w:t>3</w:t>
            </w:r>
          </w:p>
        </w:tc>
        <w:tc>
          <w:tcPr>
            <w:tcW w:w="385" w:type="dxa"/>
            <w:gridSpan w:val="2"/>
            <w:tcBorders>
              <w:top w:val="nil"/>
              <w:left w:val="nil"/>
              <w:bottom w:val="single" w:sz="4" w:space="0" w:color="auto"/>
              <w:right w:val="single" w:sz="4" w:space="0" w:color="auto"/>
            </w:tcBorders>
            <w:shd w:val="clear" w:color="000000" w:fill="FFFF00"/>
            <w:vAlign w:val="bottom"/>
            <w:hideMark/>
          </w:tcPr>
          <w:p w14:paraId="70E297D6" w14:textId="77777777" w:rsidR="00B27DCD" w:rsidRPr="009F0A74" w:rsidRDefault="00B27DCD" w:rsidP="00B27DCD">
            <w:pPr>
              <w:spacing w:after="0" w:line="240" w:lineRule="auto"/>
              <w:jc w:val="right"/>
              <w:rPr>
                <w:rFonts w:ascii="Calibri" w:eastAsia="Times New Roman" w:hAnsi="Calibri" w:cs="Calibri"/>
                <w:b/>
                <w:bCs/>
                <w:sz w:val="16"/>
                <w:szCs w:val="16"/>
                <w:lang w:eastAsia="hr-HR"/>
              </w:rPr>
            </w:pPr>
            <w:r w:rsidRPr="009F0A74">
              <w:rPr>
                <w:rFonts w:ascii="Calibri" w:eastAsia="Times New Roman" w:hAnsi="Calibri" w:cs="Calibri"/>
                <w:b/>
                <w:bCs/>
                <w:sz w:val="16"/>
                <w:szCs w:val="16"/>
                <w:lang w:eastAsia="hr-HR"/>
              </w:rPr>
              <w:t>0</w:t>
            </w:r>
          </w:p>
        </w:tc>
        <w:tc>
          <w:tcPr>
            <w:tcW w:w="334" w:type="dxa"/>
            <w:tcBorders>
              <w:top w:val="nil"/>
              <w:left w:val="nil"/>
              <w:bottom w:val="single" w:sz="4" w:space="0" w:color="auto"/>
              <w:right w:val="single" w:sz="4" w:space="0" w:color="auto"/>
            </w:tcBorders>
            <w:shd w:val="clear" w:color="000000" w:fill="FFFF00"/>
            <w:vAlign w:val="bottom"/>
            <w:hideMark/>
          </w:tcPr>
          <w:p w14:paraId="3FE7D1AC" w14:textId="77777777" w:rsidR="00B27DCD" w:rsidRPr="009F0A74" w:rsidRDefault="00B27DCD" w:rsidP="00B27DCD">
            <w:pPr>
              <w:spacing w:after="0" w:line="240" w:lineRule="auto"/>
              <w:jc w:val="right"/>
              <w:rPr>
                <w:rFonts w:ascii="Calibri" w:eastAsia="Times New Roman" w:hAnsi="Calibri" w:cs="Calibri"/>
                <w:b/>
                <w:bCs/>
                <w:sz w:val="16"/>
                <w:szCs w:val="16"/>
                <w:lang w:eastAsia="hr-HR"/>
              </w:rPr>
            </w:pPr>
            <w:r w:rsidRPr="009F0A74">
              <w:rPr>
                <w:rFonts w:ascii="Calibri" w:eastAsia="Times New Roman" w:hAnsi="Calibri" w:cs="Calibri"/>
                <w:b/>
                <w:bCs/>
                <w:sz w:val="16"/>
                <w:szCs w:val="16"/>
                <w:lang w:eastAsia="hr-HR"/>
              </w:rPr>
              <w:t>0</w:t>
            </w:r>
          </w:p>
        </w:tc>
        <w:tc>
          <w:tcPr>
            <w:tcW w:w="658" w:type="dxa"/>
            <w:tcBorders>
              <w:top w:val="nil"/>
              <w:left w:val="nil"/>
              <w:bottom w:val="single" w:sz="4" w:space="0" w:color="auto"/>
              <w:right w:val="single" w:sz="4" w:space="0" w:color="auto"/>
            </w:tcBorders>
            <w:shd w:val="clear" w:color="000000" w:fill="FFFF00"/>
            <w:vAlign w:val="bottom"/>
            <w:hideMark/>
          </w:tcPr>
          <w:p w14:paraId="3B6380BC" w14:textId="77777777" w:rsidR="00B27DCD" w:rsidRPr="009F0A74" w:rsidRDefault="00B27DCD" w:rsidP="00B27DCD">
            <w:pPr>
              <w:spacing w:after="0" w:line="240" w:lineRule="auto"/>
              <w:jc w:val="right"/>
              <w:rPr>
                <w:rFonts w:ascii="Calibri" w:eastAsia="Times New Roman" w:hAnsi="Calibri" w:cs="Calibri"/>
                <w:b/>
                <w:bCs/>
                <w:sz w:val="16"/>
                <w:szCs w:val="16"/>
                <w:lang w:eastAsia="hr-HR"/>
              </w:rPr>
            </w:pPr>
            <w:r w:rsidRPr="009F0A74">
              <w:rPr>
                <w:rFonts w:ascii="Calibri" w:eastAsia="Times New Roman" w:hAnsi="Calibri" w:cs="Calibri"/>
                <w:b/>
                <w:bCs/>
                <w:sz w:val="16"/>
                <w:szCs w:val="16"/>
                <w:lang w:eastAsia="hr-HR"/>
              </w:rPr>
              <w:t>0</w:t>
            </w:r>
          </w:p>
        </w:tc>
        <w:tc>
          <w:tcPr>
            <w:tcW w:w="447" w:type="dxa"/>
            <w:tcBorders>
              <w:top w:val="nil"/>
              <w:left w:val="nil"/>
              <w:bottom w:val="single" w:sz="4" w:space="0" w:color="auto"/>
              <w:right w:val="single" w:sz="4" w:space="0" w:color="auto"/>
            </w:tcBorders>
            <w:shd w:val="clear" w:color="000000" w:fill="FFFF00"/>
            <w:vAlign w:val="bottom"/>
            <w:hideMark/>
          </w:tcPr>
          <w:p w14:paraId="734E908C" w14:textId="77777777" w:rsidR="00B27DCD" w:rsidRPr="009F0A74" w:rsidRDefault="00B27DCD" w:rsidP="00B27DCD">
            <w:pPr>
              <w:spacing w:after="0" w:line="240" w:lineRule="auto"/>
              <w:jc w:val="right"/>
              <w:rPr>
                <w:rFonts w:ascii="Calibri" w:eastAsia="Times New Roman" w:hAnsi="Calibri" w:cs="Calibri"/>
                <w:b/>
                <w:bCs/>
                <w:sz w:val="16"/>
                <w:szCs w:val="16"/>
                <w:lang w:eastAsia="hr-HR"/>
              </w:rPr>
            </w:pPr>
            <w:r w:rsidRPr="009F0A74">
              <w:rPr>
                <w:rFonts w:ascii="Calibri" w:eastAsia="Times New Roman" w:hAnsi="Calibri" w:cs="Calibri"/>
                <w:b/>
                <w:bCs/>
                <w:sz w:val="16"/>
                <w:szCs w:val="16"/>
                <w:lang w:eastAsia="hr-HR"/>
              </w:rPr>
              <w:t>0</w:t>
            </w:r>
          </w:p>
        </w:tc>
        <w:tc>
          <w:tcPr>
            <w:tcW w:w="644" w:type="dxa"/>
            <w:gridSpan w:val="2"/>
            <w:tcBorders>
              <w:top w:val="nil"/>
              <w:left w:val="nil"/>
              <w:bottom w:val="single" w:sz="4" w:space="0" w:color="auto"/>
              <w:right w:val="single" w:sz="4" w:space="0" w:color="auto"/>
            </w:tcBorders>
            <w:shd w:val="clear" w:color="000000" w:fill="FFFF00"/>
            <w:vAlign w:val="bottom"/>
            <w:hideMark/>
          </w:tcPr>
          <w:p w14:paraId="280C4C6A" w14:textId="77777777" w:rsidR="00B27DCD" w:rsidRPr="009F0A74" w:rsidRDefault="00B27DCD" w:rsidP="00B27DCD">
            <w:pPr>
              <w:spacing w:after="0" w:line="240" w:lineRule="auto"/>
              <w:jc w:val="right"/>
              <w:rPr>
                <w:rFonts w:ascii="Calibri" w:eastAsia="Times New Roman" w:hAnsi="Calibri" w:cs="Calibri"/>
                <w:b/>
                <w:bCs/>
                <w:sz w:val="16"/>
                <w:szCs w:val="16"/>
                <w:lang w:eastAsia="hr-HR"/>
              </w:rPr>
            </w:pPr>
            <w:r w:rsidRPr="009F0A74">
              <w:rPr>
                <w:rFonts w:ascii="Calibri" w:eastAsia="Times New Roman" w:hAnsi="Calibri" w:cs="Calibri"/>
                <w:b/>
                <w:bCs/>
                <w:sz w:val="16"/>
                <w:szCs w:val="16"/>
                <w:lang w:eastAsia="hr-HR"/>
              </w:rPr>
              <w:t>0</w:t>
            </w:r>
          </w:p>
        </w:tc>
        <w:tc>
          <w:tcPr>
            <w:tcW w:w="452" w:type="dxa"/>
            <w:tcBorders>
              <w:top w:val="nil"/>
              <w:left w:val="nil"/>
              <w:bottom w:val="single" w:sz="4" w:space="0" w:color="auto"/>
              <w:right w:val="single" w:sz="4" w:space="0" w:color="auto"/>
            </w:tcBorders>
            <w:shd w:val="clear" w:color="000000" w:fill="FFFF00"/>
            <w:vAlign w:val="bottom"/>
            <w:hideMark/>
          </w:tcPr>
          <w:p w14:paraId="7ADC343A" w14:textId="77777777" w:rsidR="00B27DCD" w:rsidRPr="009F0A74" w:rsidRDefault="00B27DCD" w:rsidP="00B27DCD">
            <w:pPr>
              <w:spacing w:after="0" w:line="240" w:lineRule="auto"/>
              <w:jc w:val="right"/>
              <w:rPr>
                <w:rFonts w:ascii="Calibri" w:eastAsia="Times New Roman" w:hAnsi="Calibri" w:cs="Calibri"/>
                <w:b/>
                <w:bCs/>
                <w:sz w:val="16"/>
                <w:szCs w:val="16"/>
                <w:lang w:eastAsia="hr-HR"/>
              </w:rPr>
            </w:pPr>
            <w:r w:rsidRPr="009F0A74">
              <w:rPr>
                <w:rFonts w:ascii="Calibri" w:eastAsia="Times New Roman" w:hAnsi="Calibri" w:cs="Calibri"/>
                <w:b/>
                <w:bCs/>
                <w:sz w:val="16"/>
                <w:szCs w:val="16"/>
                <w:lang w:eastAsia="hr-HR"/>
              </w:rPr>
              <w:t>1</w:t>
            </w:r>
          </w:p>
        </w:tc>
        <w:tc>
          <w:tcPr>
            <w:tcW w:w="538" w:type="dxa"/>
            <w:tcBorders>
              <w:top w:val="nil"/>
              <w:left w:val="nil"/>
              <w:bottom w:val="single" w:sz="4" w:space="0" w:color="auto"/>
              <w:right w:val="single" w:sz="4" w:space="0" w:color="auto"/>
            </w:tcBorders>
            <w:shd w:val="clear" w:color="000000" w:fill="FFFF00"/>
            <w:vAlign w:val="bottom"/>
            <w:hideMark/>
          </w:tcPr>
          <w:p w14:paraId="6CCC9E56" w14:textId="77777777" w:rsidR="00B27DCD" w:rsidRPr="009F0A74" w:rsidRDefault="00B27DCD" w:rsidP="00B27DCD">
            <w:pPr>
              <w:spacing w:after="0" w:line="240" w:lineRule="auto"/>
              <w:jc w:val="right"/>
              <w:rPr>
                <w:rFonts w:ascii="Calibri" w:eastAsia="Times New Roman" w:hAnsi="Calibri" w:cs="Calibri"/>
                <w:b/>
                <w:bCs/>
                <w:sz w:val="16"/>
                <w:szCs w:val="16"/>
                <w:lang w:eastAsia="hr-HR"/>
              </w:rPr>
            </w:pPr>
            <w:r w:rsidRPr="009F0A74">
              <w:rPr>
                <w:rFonts w:ascii="Calibri" w:eastAsia="Times New Roman" w:hAnsi="Calibri" w:cs="Calibri"/>
                <w:b/>
                <w:bCs/>
                <w:sz w:val="16"/>
                <w:szCs w:val="16"/>
                <w:lang w:eastAsia="hr-HR"/>
              </w:rPr>
              <w:t>0</w:t>
            </w:r>
          </w:p>
        </w:tc>
        <w:tc>
          <w:tcPr>
            <w:tcW w:w="447" w:type="dxa"/>
            <w:tcBorders>
              <w:top w:val="nil"/>
              <w:left w:val="nil"/>
              <w:bottom w:val="single" w:sz="4" w:space="0" w:color="auto"/>
              <w:right w:val="single" w:sz="4" w:space="0" w:color="auto"/>
            </w:tcBorders>
            <w:shd w:val="clear" w:color="000000" w:fill="FFFF00"/>
            <w:vAlign w:val="bottom"/>
            <w:hideMark/>
          </w:tcPr>
          <w:p w14:paraId="00E34075" w14:textId="77777777" w:rsidR="00B27DCD" w:rsidRPr="009F0A74" w:rsidRDefault="00B27DCD" w:rsidP="00B27DCD">
            <w:pPr>
              <w:spacing w:after="0" w:line="240" w:lineRule="auto"/>
              <w:jc w:val="right"/>
              <w:rPr>
                <w:rFonts w:ascii="Calibri" w:eastAsia="Times New Roman" w:hAnsi="Calibri" w:cs="Calibri"/>
                <w:b/>
                <w:bCs/>
                <w:sz w:val="16"/>
                <w:szCs w:val="16"/>
                <w:lang w:eastAsia="hr-HR"/>
              </w:rPr>
            </w:pPr>
            <w:r w:rsidRPr="009F0A74">
              <w:rPr>
                <w:rFonts w:ascii="Calibri" w:eastAsia="Times New Roman" w:hAnsi="Calibri" w:cs="Calibri"/>
                <w:b/>
                <w:bCs/>
                <w:sz w:val="16"/>
                <w:szCs w:val="16"/>
                <w:lang w:eastAsia="hr-HR"/>
              </w:rPr>
              <w:t>8</w:t>
            </w:r>
          </w:p>
        </w:tc>
        <w:tc>
          <w:tcPr>
            <w:tcW w:w="447" w:type="dxa"/>
            <w:tcBorders>
              <w:top w:val="nil"/>
              <w:left w:val="nil"/>
              <w:bottom w:val="single" w:sz="4" w:space="0" w:color="auto"/>
              <w:right w:val="single" w:sz="4" w:space="0" w:color="auto"/>
            </w:tcBorders>
            <w:shd w:val="clear" w:color="000000" w:fill="FFFF00"/>
            <w:vAlign w:val="bottom"/>
            <w:hideMark/>
          </w:tcPr>
          <w:p w14:paraId="292C7BAF" w14:textId="77777777" w:rsidR="00B27DCD" w:rsidRPr="009F0A74" w:rsidRDefault="00B27DCD" w:rsidP="00B27DCD">
            <w:pPr>
              <w:spacing w:after="0" w:line="240" w:lineRule="auto"/>
              <w:jc w:val="right"/>
              <w:rPr>
                <w:rFonts w:ascii="Calibri" w:eastAsia="Times New Roman" w:hAnsi="Calibri" w:cs="Calibri"/>
                <w:b/>
                <w:bCs/>
                <w:sz w:val="16"/>
                <w:szCs w:val="16"/>
                <w:lang w:eastAsia="hr-HR"/>
              </w:rPr>
            </w:pPr>
            <w:r w:rsidRPr="009F0A74">
              <w:rPr>
                <w:rFonts w:ascii="Calibri" w:eastAsia="Times New Roman" w:hAnsi="Calibri" w:cs="Calibri"/>
                <w:b/>
                <w:bCs/>
                <w:sz w:val="16"/>
                <w:szCs w:val="16"/>
                <w:lang w:eastAsia="hr-HR"/>
              </w:rPr>
              <w:t>4</w:t>
            </w:r>
          </w:p>
        </w:tc>
        <w:tc>
          <w:tcPr>
            <w:tcW w:w="400" w:type="dxa"/>
            <w:tcBorders>
              <w:top w:val="nil"/>
              <w:left w:val="nil"/>
              <w:bottom w:val="single" w:sz="4" w:space="0" w:color="auto"/>
              <w:right w:val="single" w:sz="4" w:space="0" w:color="auto"/>
            </w:tcBorders>
            <w:shd w:val="clear" w:color="000000" w:fill="FFFF00"/>
            <w:vAlign w:val="bottom"/>
            <w:hideMark/>
          </w:tcPr>
          <w:p w14:paraId="2A919E60" w14:textId="77777777" w:rsidR="00B27DCD" w:rsidRPr="009F0A74" w:rsidRDefault="00B27DCD" w:rsidP="00B27DCD">
            <w:pPr>
              <w:spacing w:after="0" w:line="240" w:lineRule="auto"/>
              <w:jc w:val="right"/>
              <w:rPr>
                <w:rFonts w:ascii="Calibri" w:eastAsia="Times New Roman" w:hAnsi="Calibri" w:cs="Calibri"/>
                <w:b/>
                <w:bCs/>
                <w:sz w:val="16"/>
                <w:szCs w:val="16"/>
                <w:lang w:eastAsia="hr-HR"/>
              </w:rPr>
            </w:pPr>
            <w:r w:rsidRPr="009F0A74">
              <w:rPr>
                <w:rFonts w:ascii="Calibri" w:eastAsia="Times New Roman" w:hAnsi="Calibri" w:cs="Calibri"/>
                <w:b/>
                <w:bCs/>
                <w:sz w:val="16"/>
                <w:szCs w:val="16"/>
                <w:lang w:eastAsia="hr-HR"/>
              </w:rPr>
              <w:t>1</w:t>
            </w:r>
          </w:p>
        </w:tc>
        <w:tc>
          <w:tcPr>
            <w:tcW w:w="357" w:type="dxa"/>
            <w:gridSpan w:val="2"/>
            <w:tcBorders>
              <w:top w:val="nil"/>
              <w:left w:val="nil"/>
              <w:bottom w:val="single" w:sz="4" w:space="0" w:color="auto"/>
              <w:right w:val="single" w:sz="4" w:space="0" w:color="auto"/>
            </w:tcBorders>
            <w:shd w:val="clear" w:color="000000" w:fill="FFFF00"/>
            <w:vAlign w:val="bottom"/>
            <w:hideMark/>
          </w:tcPr>
          <w:p w14:paraId="2F7597E3" w14:textId="77777777" w:rsidR="00B27DCD" w:rsidRPr="009F0A74" w:rsidRDefault="00B27DCD" w:rsidP="00B27DCD">
            <w:pPr>
              <w:spacing w:after="0" w:line="240" w:lineRule="auto"/>
              <w:jc w:val="right"/>
              <w:rPr>
                <w:rFonts w:ascii="Calibri" w:eastAsia="Times New Roman" w:hAnsi="Calibri" w:cs="Calibri"/>
                <w:b/>
                <w:bCs/>
                <w:sz w:val="16"/>
                <w:szCs w:val="16"/>
                <w:lang w:eastAsia="hr-HR"/>
              </w:rPr>
            </w:pPr>
            <w:r w:rsidRPr="009F0A74">
              <w:rPr>
                <w:rFonts w:ascii="Calibri" w:eastAsia="Times New Roman" w:hAnsi="Calibri" w:cs="Calibri"/>
                <w:b/>
                <w:bCs/>
                <w:sz w:val="16"/>
                <w:szCs w:val="16"/>
                <w:lang w:eastAsia="hr-HR"/>
              </w:rPr>
              <w:t>6</w:t>
            </w:r>
          </w:p>
        </w:tc>
        <w:tc>
          <w:tcPr>
            <w:tcW w:w="447" w:type="dxa"/>
            <w:tcBorders>
              <w:top w:val="nil"/>
              <w:left w:val="nil"/>
              <w:bottom w:val="single" w:sz="4" w:space="0" w:color="auto"/>
              <w:right w:val="single" w:sz="4" w:space="0" w:color="auto"/>
            </w:tcBorders>
            <w:shd w:val="clear" w:color="000000" w:fill="FFFF00"/>
            <w:vAlign w:val="bottom"/>
            <w:hideMark/>
          </w:tcPr>
          <w:p w14:paraId="4D50BAD7" w14:textId="77777777" w:rsidR="00B27DCD" w:rsidRPr="009F0A74" w:rsidRDefault="00B27DCD" w:rsidP="00B27DCD">
            <w:pPr>
              <w:spacing w:after="0" w:line="240" w:lineRule="auto"/>
              <w:jc w:val="right"/>
              <w:rPr>
                <w:rFonts w:ascii="Calibri" w:eastAsia="Times New Roman" w:hAnsi="Calibri" w:cs="Calibri"/>
                <w:b/>
                <w:bCs/>
                <w:sz w:val="16"/>
                <w:szCs w:val="16"/>
                <w:lang w:eastAsia="hr-HR"/>
              </w:rPr>
            </w:pPr>
            <w:r w:rsidRPr="009F0A74">
              <w:rPr>
                <w:rFonts w:ascii="Calibri" w:eastAsia="Times New Roman" w:hAnsi="Calibri" w:cs="Calibri"/>
                <w:b/>
                <w:bCs/>
                <w:sz w:val="16"/>
                <w:szCs w:val="16"/>
                <w:lang w:eastAsia="hr-HR"/>
              </w:rPr>
              <w:t>1</w:t>
            </w:r>
          </w:p>
        </w:tc>
        <w:tc>
          <w:tcPr>
            <w:tcW w:w="447" w:type="dxa"/>
            <w:tcBorders>
              <w:top w:val="nil"/>
              <w:left w:val="nil"/>
              <w:bottom w:val="single" w:sz="4" w:space="0" w:color="auto"/>
              <w:right w:val="single" w:sz="4" w:space="0" w:color="auto"/>
            </w:tcBorders>
            <w:shd w:val="clear" w:color="000000" w:fill="FFFF00"/>
            <w:vAlign w:val="bottom"/>
            <w:hideMark/>
          </w:tcPr>
          <w:p w14:paraId="2D1CA45C" w14:textId="77777777" w:rsidR="00B27DCD" w:rsidRPr="009F0A74" w:rsidRDefault="00B27DCD" w:rsidP="00B27DCD">
            <w:pPr>
              <w:spacing w:after="0" w:line="240" w:lineRule="auto"/>
              <w:jc w:val="right"/>
              <w:rPr>
                <w:rFonts w:ascii="Calibri" w:eastAsia="Times New Roman" w:hAnsi="Calibri" w:cs="Calibri"/>
                <w:b/>
                <w:bCs/>
                <w:sz w:val="16"/>
                <w:szCs w:val="16"/>
                <w:lang w:eastAsia="hr-HR"/>
              </w:rPr>
            </w:pPr>
            <w:r w:rsidRPr="009F0A74">
              <w:rPr>
                <w:rFonts w:ascii="Calibri" w:eastAsia="Times New Roman" w:hAnsi="Calibri" w:cs="Calibri"/>
                <w:b/>
                <w:bCs/>
                <w:sz w:val="16"/>
                <w:szCs w:val="16"/>
                <w:lang w:eastAsia="hr-HR"/>
              </w:rPr>
              <w:t>1</w:t>
            </w:r>
          </w:p>
        </w:tc>
        <w:tc>
          <w:tcPr>
            <w:tcW w:w="446" w:type="dxa"/>
            <w:tcBorders>
              <w:top w:val="nil"/>
              <w:left w:val="nil"/>
              <w:bottom w:val="single" w:sz="4" w:space="0" w:color="auto"/>
              <w:right w:val="single" w:sz="4" w:space="0" w:color="auto"/>
            </w:tcBorders>
            <w:shd w:val="clear" w:color="000000" w:fill="FFFF00"/>
            <w:vAlign w:val="bottom"/>
            <w:hideMark/>
          </w:tcPr>
          <w:p w14:paraId="3EDA1BEA" w14:textId="77777777" w:rsidR="00B27DCD" w:rsidRPr="009F0A74" w:rsidRDefault="00B27DCD" w:rsidP="00B27DCD">
            <w:pPr>
              <w:spacing w:after="0" w:line="240" w:lineRule="auto"/>
              <w:jc w:val="right"/>
              <w:rPr>
                <w:rFonts w:ascii="Calibri" w:eastAsia="Times New Roman" w:hAnsi="Calibri" w:cs="Calibri"/>
                <w:b/>
                <w:bCs/>
                <w:sz w:val="16"/>
                <w:szCs w:val="16"/>
                <w:lang w:eastAsia="hr-HR"/>
              </w:rPr>
            </w:pPr>
            <w:r w:rsidRPr="009F0A74">
              <w:rPr>
                <w:rFonts w:ascii="Calibri" w:eastAsia="Times New Roman" w:hAnsi="Calibri" w:cs="Calibri"/>
                <w:b/>
                <w:bCs/>
                <w:sz w:val="16"/>
                <w:szCs w:val="16"/>
                <w:lang w:eastAsia="hr-HR"/>
              </w:rPr>
              <w:t>8</w:t>
            </w:r>
          </w:p>
        </w:tc>
        <w:tc>
          <w:tcPr>
            <w:tcW w:w="447" w:type="dxa"/>
            <w:gridSpan w:val="2"/>
            <w:tcBorders>
              <w:top w:val="nil"/>
              <w:left w:val="nil"/>
              <w:bottom w:val="single" w:sz="4" w:space="0" w:color="auto"/>
              <w:right w:val="single" w:sz="4" w:space="0" w:color="auto"/>
            </w:tcBorders>
            <w:shd w:val="clear" w:color="000000" w:fill="FFFF00"/>
            <w:vAlign w:val="bottom"/>
            <w:hideMark/>
          </w:tcPr>
          <w:p w14:paraId="506DA637" w14:textId="77777777" w:rsidR="00B27DCD" w:rsidRPr="009F0A74" w:rsidRDefault="00B27DCD" w:rsidP="00B27DCD">
            <w:pPr>
              <w:spacing w:after="0" w:line="240" w:lineRule="auto"/>
              <w:jc w:val="right"/>
              <w:rPr>
                <w:rFonts w:ascii="Calibri" w:eastAsia="Times New Roman" w:hAnsi="Calibri" w:cs="Calibri"/>
                <w:b/>
                <w:bCs/>
                <w:sz w:val="16"/>
                <w:szCs w:val="16"/>
                <w:lang w:eastAsia="hr-HR"/>
              </w:rPr>
            </w:pPr>
            <w:r w:rsidRPr="009F0A74">
              <w:rPr>
                <w:rFonts w:ascii="Calibri" w:eastAsia="Times New Roman" w:hAnsi="Calibri" w:cs="Calibri"/>
                <w:b/>
                <w:bCs/>
                <w:sz w:val="16"/>
                <w:szCs w:val="16"/>
                <w:lang w:eastAsia="hr-HR"/>
              </w:rPr>
              <w:t>0</w:t>
            </w:r>
          </w:p>
        </w:tc>
        <w:tc>
          <w:tcPr>
            <w:tcW w:w="447" w:type="dxa"/>
            <w:tcBorders>
              <w:top w:val="nil"/>
              <w:left w:val="nil"/>
              <w:bottom w:val="single" w:sz="4" w:space="0" w:color="auto"/>
              <w:right w:val="single" w:sz="4" w:space="0" w:color="auto"/>
            </w:tcBorders>
            <w:shd w:val="clear" w:color="000000" w:fill="FFFF00"/>
            <w:vAlign w:val="bottom"/>
            <w:hideMark/>
          </w:tcPr>
          <w:p w14:paraId="198E6D64" w14:textId="77777777" w:rsidR="00B27DCD" w:rsidRPr="009F0A74" w:rsidRDefault="00B27DCD" w:rsidP="00B27DCD">
            <w:pPr>
              <w:spacing w:after="0" w:line="240" w:lineRule="auto"/>
              <w:jc w:val="right"/>
              <w:rPr>
                <w:rFonts w:ascii="Calibri" w:eastAsia="Times New Roman" w:hAnsi="Calibri" w:cs="Calibri"/>
                <w:b/>
                <w:bCs/>
                <w:sz w:val="16"/>
                <w:szCs w:val="16"/>
                <w:lang w:eastAsia="hr-HR"/>
              </w:rPr>
            </w:pPr>
            <w:r w:rsidRPr="009F0A74">
              <w:rPr>
                <w:rFonts w:ascii="Calibri" w:eastAsia="Times New Roman" w:hAnsi="Calibri" w:cs="Calibri"/>
                <w:b/>
                <w:bCs/>
                <w:sz w:val="16"/>
                <w:szCs w:val="16"/>
                <w:lang w:eastAsia="hr-HR"/>
              </w:rPr>
              <w:t>5</w:t>
            </w:r>
          </w:p>
        </w:tc>
        <w:tc>
          <w:tcPr>
            <w:tcW w:w="447" w:type="dxa"/>
            <w:tcBorders>
              <w:top w:val="nil"/>
              <w:left w:val="nil"/>
              <w:bottom w:val="single" w:sz="4" w:space="0" w:color="auto"/>
              <w:right w:val="single" w:sz="4" w:space="0" w:color="auto"/>
            </w:tcBorders>
            <w:shd w:val="clear" w:color="000000" w:fill="FFFF00"/>
            <w:vAlign w:val="bottom"/>
            <w:hideMark/>
          </w:tcPr>
          <w:p w14:paraId="08074DE7" w14:textId="77777777" w:rsidR="00B27DCD" w:rsidRPr="009F0A74" w:rsidRDefault="00B27DCD" w:rsidP="00B27DCD">
            <w:pPr>
              <w:spacing w:after="0" w:line="240" w:lineRule="auto"/>
              <w:jc w:val="right"/>
              <w:rPr>
                <w:rFonts w:ascii="Calibri" w:eastAsia="Times New Roman" w:hAnsi="Calibri" w:cs="Calibri"/>
                <w:b/>
                <w:bCs/>
                <w:sz w:val="16"/>
                <w:szCs w:val="16"/>
                <w:lang w:eastAsia="hr-HR"/>
              </w:rPr>
            </w:pPr>
            <w:r w:rsidRPr="009F0A74">
              <w:rPr>
                <w:rFonts w:ascii="Calibri" w:eastAsia="Times New Roman" w:hAnsi="Calibri" w:cs="Calibri"/>
                <w:b/>
                <w:bCs/>
                <w:sz w:val="16"/>
                <w:szCs w:val="16"/>
                <w:lang w:eastAsia="hr-HR"/>
              </w:rPr>
              <w:t>2</w:t>
            </w:r>
          </w:p>
        </w:tc>
        <w:tc>
          <w:tcPr>
            <w:tcW w:w="446" w:type="dxa"/>
            <w:tcBorders>
              <w:top w:val="nil"/>
              <w:left w:val="nil"/>
              <w:bottom w:val="single" w:sz="4" w:space="0" w:color="auto"/>
              <w:right w:val="single" w:sz="4" w:space="0" w:color="auto"/>
            </w:tcBorders>
            <w:shd w:val="clear" w:color="000000" w:fill="FFFF00"/>
            <w:vAlign w:val="bottom"/>
            <w:hideMark/>
          </w:tcPr>
          <w:p w14:paraId="1B444FB7" w14:textId="77777777" w:rsidR="00B27DCD" w:rsidRPr="009F0A74" w:rsidRDefault="00B27DCD" w:rsidP="00B27DCD">
            <w:pPr>
              <w:spacing w:after="0" w:line="240" w:lineRule="auto"/>
              <w:jc w:val="right"/>
              <w:rPr>
                <w:rFonts w:ascii="Calibri" w:eastAsia="Times New Roman" w:hAnsi="Calibri" w:cs="Calibri"/>
                <w:b/>
                <w:bCs/>
                <w:sz w:val="16"/>
                <w:szCs w:val="16"/>
                <w:lang w:eastAsia="hr-HR"/>
              </w:rPr>
            </w:pPr>
            <w:r w:rsidRPr="009F0A74">
              <w:rPr>
                <w:rFonts w:ascii="Calibri" w:eastAsia="Times New Roman" w:hAnsi="Calibri" w:cs="Calibri"/>
                <w:b/>
                <w:bCs/>
                <w:sz w:val="16"/>
                <w:szCs w:val="16"/>
                <w:lang w:eastAsia="hr-HR"/>
              </w:rPr>
              <w:t>7</w:t>
            </w:r>
          </w:p>
        </w:tc>
        <w:tc>
          <w:tcPr>
            <w:tcW w:w="524" w:type="dxa"/>
            <w:gridSpan w:val="2"/>
            <w:tcBorders>
              <w:top w:val="nil"/>
              <w:left w:val="nil"/>
              <w:bottom w:val="single" w:sz="4" w:space="0" w:color="auto"/>
              <w:right w:val="single" w:sz="4" w:space="0" w:color="auto"/>
            </w:tcBorders>
            <w:shd w:val="clear" w:color="000000" w:fill="FFFF00"/>
            <w:vAlign w:val="bottom"/>
            <w:hideMark/>
          </w:tcPr>
          <w:p w14:paraId="26B2ED2F" w14:textId="77777777" w:rsidR="00B27DCD" w:rsidRPr="009F0A74" w:rsidRDefault="00B27DCD" w:rsidP="00B27DCD">
            <w:pPr>
              <w:spacing w:after="0" w:line="240" w:lineRule="auto"/>
              <w:jc w:val="right"/>
              <w:rPr>
                <w:rFonts w:ascii="Calibri" w:eastAsia="Times New Roman" w:hAnsi="Calibri" w:cs="Calibri"/>
                <w:b/>
                <w:bCs/>
                <w:sz w:val="16"/>
                <w:szCs w:val="16"/>
                <w:lang w:eastAsia="hr-HR"/>
              </w:rPr>
            </w:pPr>
            <w:r w:rsidRPr="009F0A74">
              <w:rPr>
                <w:rFonts w:ascii="Calibri" w:eastAsia="Times New Roman" w:hAnsi="Calibri" w:cs="Calibri"/>
                <w:b/>
                <w:bCs/>
                <w:sz w:val="16"/>
                <w:szCs w:val="16"/>
                <w:lang w:eastAsia="hr-HR"/>
              </w:rPr>
              <w:t>16</w:t>
            </w:r>
          </w:p>
        </w:tc>
        <w:tc>
          <w:tcPr>
            <w:tcW w:w="425" w:type="dxa"/>
            <w:gridSpan w:val="2"/>
            <w:tcBorders>
              <w:top w:val="nil"/>
              <w:left w:val="nil"/>
              <w:bottom w:val="single" w:sz="4" w:space="0" w:color="auto"/>
              <w:right w:val="single" w:sz="4" w:space="0" w:color="auto"/>
            </w:tcBorders>
            <w:shd w:val="clear" w:color="000000" w:fill="FFFF00"/>
            <w:vAlign w:val="bottom"/>
            <w:hideMark/>
          </w:tcPr>
          <w:p w14:paraId="3941E56A" w14:textId="77777777" w:rsidR="00B27DCD" w:rsidRPr="009F0A74" w:rsidRDefault="00B27DCD" w:rsidP="00B27DCD">
            <w:pPr>
              <w:spacing w:after="0" w:line="240" w:lineRule="auto"/>
              <w:jc w:val="right"/>
              <w:rPr>
                <w:rFonts w:ascii="Calibri" w:eastAsia="Times New Roman" w:hAnsi="Calibri" w:cs="Calibri"/>
                <w:b/>
                <w:bCs/>
                <w:sz w:val="16"/>
                <w:szCs w:val="16"/>
                <w:lang w:eastAsia="hr-HR"/>
              </w:rPr>
            </w:pPr>
            <w:r w:rsidRPr="009F0A74">
              <w:rPr>
                <w:rFonts w:ascii="Calibri" w:eastAsia="Times New Roman" w:hAnsi="Calibri" w:cs="Calibri"/>
                <w:b/>
                <w:bCs/>
                <w:sz w:val="16"/>
                <w:szCs w:val="16"/>
                <w:lang w:eastAsia="hr-HR"/>
              </w:rPr>
              <w:t>10</w:t>
            </w:r>
          </w:p>
        </w:tc>
        <w:tc>
          <w:tcPr>
            <w:tcW w:w="501" w:type="dxa"/>
            <w:gridSpan w:val="2"/>
            <w:tcBorders>
              <w:top w:val="nil"/>
              <w:left w:val="nil"/>
              <w:bottom w:val="single" w:sz="4" w:space="0" w:color="auto"/>
              <w:right w:val="single" w:sz="4" w:space="0" w:color="auto"/>
            </w:tcBorders>
            <w:shd w:val="clear" w:color="000000" w:fill="FFFF00"/>
            <w:vAlign w:val="bottom"/>
            <w:hideMark/>
          </w:tcPr>
          <w:p w14:paraId="300AD5F8" w14:textId="77777777" w:rsidR="00B27DCD" w:rsidRPr="009F0A74" w:rsidRDefault="00B27DCD" w:rsidP="00B27DCD">
            <w:pPr>
              <w:spacing w:after="0" w:line="240" w:lineRule="auto"/>
              <w:jc w:val="right"/>
              <w:rPr>
                <w:rFonts w:ascii="Calibri" w:eastAsia="Times New Roman" w:hAnsi="Calibri" w:cs="Calibri"/>
                <w:b/>
                <w:bCs/>
                <w:sz w:val="16"/>
                <w:szCs w:val="16"/>
                <w:lang w:eastAsia="hr-HR"/>
              </w:rPr>
            </w:pPr>
            <w:r w:rsidRPr="009F0A74">
              <w:rPr>
                <w:rFonts w:ascii="Calibri" w:eastAsia="Times New Roman" w:hAnsi="Calibri" w:cs="Calibri"/>
                <w:b/>
                <w:bCs/>
                <w:sz w:val="16"/>
                <w:szCs w:val="16"/>
                <w:lang w:eastAsia="hr-HR"/>
              </w:rPr>
              <w:t>4</w:t>
            </w:r>
          </w:p>
        </w:tc>
        <w:tc>
          <w:tcPr>
            <w:tcW w:w="425" w:type="dxa"/>
            <w:tcBorders>
              <w:top w:val="nil"/>
              <w:left w:val="nil"/>
              <w:bottom w:val="single" w:sz="4" w:space="0" w:color="auto"/>
              <w:right w:val="single" w:sz="4" w:space="0" w:color="auto"/>
            </w:tcBorders>
            <w:shd w:val="clear" w:color="000000" w:fill="FFFF00"/>
            <w:vAlign w:val="bottom"/>
            <w:hideMark/>
          </w:tcPr>
          <w:p w14:paraId="2ABF695B" w14:textId="77777777" w:rsidR="00B27DCD" w:rsidRPr="009F0A74" w:rsidRDefault="00B27DCD" w:rsidP="00B27DCD">
            <w:pPr>
              <w:spacing w:after="0" w:line="240" w:lineRule="auto"/>
              <w:jc w:val="right"/>
              <w:rPr>
                <w:rFonts w:ascii="Calibri" w:eastAsia="Times New Roman" w:hAnsi="Calibri" w:cs="Calibri"/>
                <w:b/>
                <w:bCs/>
                <w:sz w:val="16"/>
                <w:szCs w:val="16"/>
                <w:lang w:eastAsia="hr-HR"/>
              </w:rPr>
            </w:pPr>
            <w:r w:rsidRPr="009F0A74">
              <w:rPr>
                <w:rFonts w:ascii="Calibri" w:eastAsia="Times New Roman" w:hAnsi="Calibri" w:cs="Calibri"/>
                <w:b/>
                <w:bCs/>
                <w:sz w:val="16"/>
                <w:szCs w:val="16"/>
                <w:lang w:eastAsia="hr-HR"/>
              </w:rPr>
              <w:t>0</w:t>
            </w:r>
          </w:p>
        </w:tc>
        <w:tc>
          <w:tcPr>
            <w:tcW w:w="426" w:type="dxa"/>
            <w:tcBorders>
              <w:top w:val="nil"/>
              <w:left w:val="nil"/>
              <w:bottom w:val="single" w:sz="4" w:space="0" w:color="auto"/>
              <w:right w:val="single" w:sz="4" w:space="0" w:color="auto"/>
            </w:tcBorders>
            <w:shd w:val="clear" w:color="000000" w:fill="FFFF00"/>
            <w:vAlign w:val="bottom"/>
            <w:hideMark/>
          </w:tcPr>
          <w:p w14:paraId="0C398EDF" w14:textId="77777777" w:rsidR="00B27DCD" w:rsidRPr="009F0A74" w:rsidRDefault="00B27DCD" w:rsidP="00B27DCD">
            <w:pPr>
              <w:spacing w:after="0" w:line="240" w:lineRule="auto"/>
              <w:jc w:val="right"/>
              <w:rPr>
                <w:rFonts w:ascii="Calibri" w:eastAsia="Times New Roman" w:hAnsi="Calibri" w:cs="Calibri"/>
                <w:b/>
                <w:bCs/>
                <w:sz w:val="16"/>
                <w:szCs w:val="16"/>
                <w:lang w:eastAsia="hr-HR"/>
              </w:rPr>
            </w:pPr>
            <w:r w:rsidRPr="009F0A74">
              <w:rPr>
                <w:rFonts w:ascii="Calibri" w:eastAsia="Times New Roman" w:hAnsi="Calibri" w:cs="Calibri"/>
                <w:b/>
                <w:bCs/>
                <w:sz w:val="16"/>
                <w:szCs w:val="16"/>
                <w:lang w:eastAsia="hr-HR"/>
              </w:rPr>
              <w:t>3</w:t>
            </w:r>
          </w:p>
        </w:tc>
        <w:tc>
          <w:tcPr>
            <w:tcW w:w="818" w:type="dxa"/>
            <w:gridSpan w:val="2"/>
            <w:tcBorders>
              <w:top w:val="nil"/>
              <w:left w:val="nil"/>
              <w:bottom w:val="single" w:sz="4" w:space="0" w:color="auto"/>
              <w:right w:val="single" w:sz="4" w:space="0" w:color="auto"/>
            </w:tcBorders>
            <w:shd w:val="clear" w:color="000000" w:fill="FFFF00"/>
            <w:vAlign w:val="bottom"/>
            <w:hideMark/>
          </w:tcPr>
          <w:p w14:paraId="172AA714" w14:textId="77777777" w:rsidR="00B27DCD" w:rsidRPr="009F0A74" w:rsidRDefault="00B27DCD" w:rsidP="00B27DCD">
            <w:pPr>
              <w:spacing w:after="0" w:line="240" w:lineRule="auto"/>
              <w:jc w:val="right"/>
              <w:rPr>
                <w:rFonts w:ascii="Calibri" w:eastAsia="Times New Roman" w:hAnsi="Calibri" w:cs="Calibri"/>
                <w:b/>
                <w:bCs/>
                <w:sz w:val="16"/>
                <w:szCs w:val="16"/>
                <w:lang w:eastAsia="hr-HR"/>
              </w:rPr>
            </w:pPr>
            <w:r w:rsidRPr="009F0A74">
              <w:rPr>
                <w:rFonts w:ascii="Calibri" w:eastAsia="Times New Roman" w:hAnsi="Calibri" w:cs="Calibri"/>
                <w:b/>
                <w:bCs/>
                <w:sz w:val="16"/>
                <w:szCs w:val="16"/>
                <w:lang w:eastAsia="hr-HR"/>
              </w:rPr>
              <w:t>6</w:t>
            </w:r>
          </w:p>
        </w:tc>
        <w:tc>
          <w:tcPr>
            <w:tcW w:w="818" w:type="dxa"/>
            <w:gridSpan w:val="2"/>
            <w:tcBorders>
              <w:top w:val="nil"/>
              <w:left w:val="nil"/>
              <w:bottom w:val="single" w:sz="4" w:space="0" w:color="auto"/>
              <w:right w:val="single" w:sz="4" w:space="0" w:color="auto"/>
            </w:tcBorders>
            <w:shd w:val="clear" w:color="000000" w:fill="FFFF00"/>
            <w:vAlign w:val="bottom"/>
            <w:hideMark/>
          </w:tcPr>
          <w:p w14:paraId="5A58683B" w14:textId="77777777" w:rsidR="00B27DCD" w:rsidRPr="009F0A74" w:rsidRDefault="00B27DCD" w:rsidP="00B27DCD">
            <w:pPr>
              <w:spacing w:after="0" w:line="240" w:lineRule="auto"/>
              <w:jc w:val="right"/>
              <w:rPr>
                <w:rFonts w:ascii="Calibri" w:eastAsia="Times New Roman" w:hAnsi="Calibri" w:cs="Calibri"/>
                <w:b/>
                <w:bCs/>
                <w:sz w:val="16"/>
                <w:szCs w:val="16"/>
                <w:lang w:eastAsia="hr-HR"/>
              </w:rPr>
            </w:pPr>
            <w:r w:rsidRPr="009F0A74">
              <w:rPr>
                <w:rFonts w:ascii="Calibri" w:eastAsia="Times New Roman" w:hAnsi="Calibri" w:cs="Calibri"/>
                <w:b/>
                <w:bCs/>
                <w:sz w:val="16"/>
                <w:szCs w:val="16"/>
                <w:lang w:eastAsia="hr-HR"/>
              </w:rPr>
              <w:t>2</w:t>
            </w:r>
          </w:p>
        </w:tc>
        <w:tc>
          <w:tcPr>
            <w:tcW w:w="236" w:type="dxa"/>
            <w:gridSpan w:val="3"/>
            <w:vAlign w:val="center"/>
            <w:hideMark/>
          </w:tcPr>
          <w:p w14:paraId="0CA38198" w14:textId="77777777" w:rsidR="00B27DCD" w:rsidRPr="009F0A74" w:rsidRDefault="00B27DCD" w:rsidP="00B27DCD">
            <w:pPr>
              <w:spacing w:after="0" w:line="240" w:lineRule="auto"/>
              <w:rPr>
                <w:rFonts w:ascii="Times New Roman" w:eastAsia="Times New Roman" w:hAnsi="Times New Roman" w:cs="Times New Roman"/>
                <w:sz w:val="16"/>
                <w:szCs w:val="16"/>
                <w:lang w:eastAsia="hr-HR"/>
              </w:rPr>
            </w:pPr>
          </w:p>
        </w:tc>
      </w:tr>
    </w:tbl>
    <w:p w14:paraId="79FB5DB9" w14:textId="700B7B62" w:rsidR="001752B7" w:rsidRDefault="001752B7" w:rsidP="005E671C">
      <w:pPr>
        <w:rPr>
          <w:rFonts w:ascii="Times New Roman" w:eastAsiaTheme="majorEastAsia" w:hAnsi="Times New Roman" w:cs="Times New Roman"/>
          <w:sz w:val="24"/>
          <w:szCs w:val="24"/>
          <w:u w:val="single"/>
        </w:rPr>
      </w:pPr>
    </w:p>
    <w:p w14:paraId="0389610E" w14:textId="77777777" w:rsidR="00B27DCD" w:rsidRPr="001752B7" w:rsidRDefault="00B27DCD" w:rsidP="005E671C">
      <w:pPr>
        <w:rPr>
          <w:rFonts w:ascii="Times New Roman" w:eastAsiaTheme="majorEastAsia" w:hAnsi="Times New Roman" w:cs="Times New Roman"/>
          <w:sz w:val="24"/>
          <w:szCs w:val="24"/>
          <w:u w:val="single"/>
        </w:rPr>
      </w:pPr>
    </w:p>
    <w:p w14:paraId="1106D1C5" w14:textId="77777777" w:rsidR="005F3233" w:rsidRDefault="005F3233" w:rsidP="005F3233">
      <w:pPr>
        <w:rPr>
          <w:rFonts w:ascii="Times New Roman" w:eastAsiaTheme="majorEastAsia" w:hAnsi="Times New Roman" w:cs="Times New Roman"/>
          <w:sz w:val="24"/>
          <w:szCs w:val="24"/>
        </w:rPr>
      </w:pPr>
    </w:p>
    <w:p w14:paraId="1D61C25E" w14:textId="4CAC8212" w:rsidR="005F3233" w:rsidRPr="005F3233" w:rsidRDefault="005F3233" w:rsidP="005F3233">
      <w:pPr>
        <w:sectPr w:rsidR="005F3233" w:rsidRPr="005F3233" w:rsidSect="00F71415">
          <w:footerReference w:type="first" r:id="rId18"/>
          <w:pgSz w:w="16838" w:h="11906" w:orient="landscape"/>
          <w:pgMar w:top="1418" w:right="1418" w:bottom="1418" w:left="1418" w:header="709" w:footer="709" w:gutter="0"/>
          <w:pgNumType w:start="71" w:chapStyle="1"/>
          <w:cols w:space="708"/>
          <w:titlePg/>
          <w:docGrid w:linePitch="360"/>
        </w:sectPr>
      </w:pPr>
    </w:p>
    <w:p w14:paraId="3EF072BC" w14:textId="77777777" w:rsidR="00B05EA3" w:rsidRPr="00B05EA3" w:rsidRDefault="00B05EA3" w:rsidP="00B05EA3">
      <w:pPr>
        <w:spacing w:after="0" w:line="240" w:lineRule="auto"/>
        <w:jc w:val="both"/>
        <w:rPr>
          <w:rFonts w:ascii="Times New Roman" w:eastAsia="MS Mincho" w:hAnsi="Times New Roman" w:cs="Times New Roman"/>
          <w:b/>
          <w:sz w:val="24"/>
          <w:szCs w:val="24"/>
          <w:u w:val="single"/>
          <w:lang w:val="en-US" w:eastAsia="ja-JP"/>
        </w:rPr>
      </w:pPr>
      <w:proofErr w:type="spellStart"/>
      <w:r w:rsidRPr="00B05EA3">
        <w:rPr>
          <w:rFonts w:ascii="Times New Roman" w:eastAsia="MS Mincho" w:hAnsi="Times New Roman" w:cs="Times New Roman"/>
          <w:b/>
          <w:sz w:val="24"/>
          <w:szCs w:val="24"/>
          <w:u w:val="single"/>
          <w:lang w:val="en-US" w:eastAsia="ja-JP"/>
        </w:rPr>
        <w:lastRenderedPageBreak/>
        <w:t>Prilog</w:t>
      </w:r>
      <w:proofErr w:type="spellEnd"/>
      <w:r w:rsidRPr="00B05EA3">
        <w:rPr>
          <w:rFonts w:ascii="Times New Roman" w:eastAsia="MS Mincho" w:hAnsi="Times New Roman" w:cs="Times New Roman"/>
          <w:b/>
          <w:sz w:val="24"/>
          <w:szCs w:val="24"/>
          <w:u w:val="single"/>
          <w:lang w:val="en-US" w:eastAsia="ja-JP"/>
        </w:rPr>
        <w:t xml:space="preserve"> 9</w:t>
      </w:r>
    </w:p>
    <w:p w14:paraId="296E7682" w14:textId="77777777" w:rsidR="00B05EA3" w:rsidRPr="00B05EA3" w:rsidRDefault="00B05EA3" w:rsidP="00B05EA3">
      <w:pPr>
        <w:spacing w:after="0" w:line="240" w:lineRule="auto"/>
        <w:jc w:val="both"/>
        <w:rPr>
          <w:rFonts w:ascii="Times New Roman" w:hAnsi="Times New Roman" w:cs="Times New Roman"/>
          <w:sz w:val="24"/>
          <w:szCs w:val="24"/>
        </w:rPr>
      </w:pPr>
    </w:p>
    <w:p w14:paraId="0DC51566" w14:textId="77777777" w:rsidR="00B05EA3" w:rsidRPr="00B05EA3" w:rsidRDefault="00B05EA3" w:rsidP="00B05EA3">
      <w:pPr>
        <w:spacing w:after="0" w:line="240" w:lineRule="auto"/>
        <w:jc w:val="both"/>
        <w:rPr>
          <w:rFonts w:ascii="Times New Roman" w:hAnsi="Times New Roman" w:cs="Times New Roman"/>
          <w:sz w:val="24"/>
          <w:szCs w:val="24"/>
        </w:rPr>
      </w:pPr>
    </w:p>
    <w:p w14:paraId="5CD2980F" w14:textId="77777777" w:rsidR="00B05EA3" w:rsidRPr="00B05EA3" w:rsidRDefault="00B05EA3" w:rsidP="00B05EA3">
      <w:pPr>
        <w:spacing w:after="0" w:line="240" w:lineRule="auto"/>
        <w:jc w:val="center"/>
        <w:rPr>
          <w:rFonts w:ascii="Times New Roman" w:hAnsi="Times New Roman" w:cs="Times New Roman"/>
          <w:b/>
          <w:bCs/>
          <w:sz w:val="24"/>
          <w:szCs w:val="24"/>
        </w:rPr>
      </w:pPr>
      <w:r w:rsidRPr="00B05EA3">
        <w:rPr>
          <w:rFonts w:ascii="Times New Roman" w:hAnsi="Times New Roman" w:cs="Times New Roman"/>
          <w:b/>
          <w:bCs/>
          <w:sz w:val="24"/>
          <w:szCs w:val="24"/>
        </w:rPr>
        <w:t>NACIONALNA POLITIKA ZA RAVNOPRAVNOST SPOLOVA ZA RAZDOBLJE OD 2011. DO 2015.</w:t>
      </w:r>
    </w:p>
    <w:p w14:paraId="16206586" w14:textId="77777777" w:rsidR="00B05EA3" w:rsidRPr="00B05EA3" w:rsidRDefault="00B05EA3" w:rsidP="00B05EA3">
      <w:pPr>
        <w:spacing w:after="0" w:line="240" w:lineRule="auto"/>
        <w:jc w:val="both"/>
        <w:rPr>
          <w:rFonts w:ascii="Times New Roman" w:hAnsi="Times New Roman" w:cs="Times New Roman"/>
          <w:sz w:val="24"/>
          <w:szCs w:val="24"/>
        </w:rPr>
      </w:pPr>
    </w:p>
    <w:p w14:paraId="73E372A2" w14:textId="77777777" w:rsidR="00B05EA3" w:rsidRPr="00B05EA3" w:rsidRDefault="00B05EA3" w:rsidP="00B05EA3">
      <w:pPr>
        <w:spacing w:after="0" w:line="240" w:lineRule="auto"/>
        <w:jc w:val="both"/>
        <w:rPr>
          <w:rFonts w:ascii="Times New Roman" w:hAnsi="Times New Roman" w:cs="Times New Roman"/>
          <w:sz w:val="24"/>
          <w:szCs w:val="24"/>
        </w:rPr>
      </w:pPr>
      <w:r w:rsidRPr="00B05EA3">
        <w:rPr>
          <w:rFonts w:ascii="Times New Roman" w:hAnsi="Times New Roman" w:cs="Times New Roman"/>
          <w:sz w:val="24"/>
          <w:szCs w:val="24"/>
        </w:rPr>
        <w:t xml:space="preserve">S ciljem unaprjeđenja položaja žena s invaliditetom, Nacionalna politika za ravnopravnost spolova za razdoblje od 2011. do 2015. (koja je prevedena na </w:t>
      </w:r>
      <w:proofErr w:type="spellStart"/>
      <w:r w:rsidRPr="00B05EA3">
        <w:rPr>
          <w:rFonts w:ascii="Times New Roman" w:hAnsi="Times New Roman" w:cs="Times New Roman"/>
          <w:sz w:val="24"/>
          <w:szCs w:val="24"/>
        </w:rPr>
        <w:t>Breilleovo</w:t>
      </w:r>
      <w:proofErr w:type="spellEnd"/>
      <w:r w:rsidRPr="00B05EA3">
        <w:rPr>
          <w:rFonts w:ascii="Times New Roman" w:hAnsi="Times New Roman" w:cs="Times New Roman"/>
          <w:sz w:val="24"/>
          <w:szCs w:val="24"/>
        </w:rPr>
        <w:t xml:space="preserve"> pismo), definirala je sljedeće mjere:</w:t>
      </w:r>
    </w:p>
    <w:p w14:paraId="77B1B074" w14:textId="77777777" w:rsidR="00B05EA3" w:rsidRPr="00B05EA3" w:rsidRDefault="00B05EA3" w:rsidP="00B05EA3">
      <w:pPr>
        <w:spacing w:after="0" w:line="240" w:lineRule="auto"/>
        <w:jc w:val="both"/>
        <w:rPr>
          <w:rFonts w:ascii="Times New Roman" w:hAnsi="Times New Roman" w:cs="Times New Roman"/>
          <w:sz w:val="24"/>
          <w:szCs w:val="24"/>
        </w:rPr>
      </w:pPr>
    </w:p>
    <w:p w14:paraId="76CB38DD" w14:textId="77777777" w:rsidR="00B05EA3" w:rsidRPr="00B05EA3" w:rsidRDefault="00B05EA3" w:rsidP="00B05EA3">
      <w:pPr>
        <w:spacing w:after="0" w:line="240" w:lineRule="auto"/>
        <w:jc w:val="both"/>
        <w:rPr>
          <w:rFonts w:ascii="Times New Roman" w:hAnsi="Times New Roman" w:cs="Times New Roman"/>
          <w:sz w:val="24"/>
          <w:szCs w:val="24"/>
        </w:rPr>
      </w:pPr>
      <w:r w:rsidRPr="00B05EA3">
        <w:rPr>
          <w:rFonts w:ascii="Times New Roman" w:hAnsi="Times New Roman" w:cs="Times New Roman"/>
          <w:sz w:val="24"/>
          <w:szCs w:val="24"/>
        </w:rPr>
        <w:t xml:space="preserve">1.3. Unaprijedit će se društveni položaj žena s invaliditetom </w:t>
      </w:r>
    </w:p>
    <w:p w14:paraId="6D5177AF" w14:textId="77777777" w:rsidR="00B05EA3" w:rsidRPr="00B05EA3" w:rsidRDefault="00B05EA3" w:rsidP="00B05EA3">
      <w:pPr>
        <w:spacing w:after="0" w:line="240" w:lineRule="auto"/>
        <w:jc w:val="both"/>
        <w:rPr>
          <w:rFonts w:ascii="Times New Roman" w:hAnsi="Times New Roman" w:cs="Times New Roman"/>
          <w:sz w:val="24"/>
          <w:szCs w:val="24"/>
        </w:rPr>
      </w:pPr>
    </w:p>
    <w:p w14:paraId="69696916" w14:textId="77777777" w:rsidR="00B05EA3" w:rsidRPr="00B05EA3" w:rsidRDefault="00B05EA3" w:rsidP="00B05EA3">
      <w:pPr>
        <w:spacing w:after="0" w:line="240" w:lineRule="auto"/>
        <w:jc w:val="both"/>
        <w:rPr>
          <w:rFonts w:ascii="Times New Roman" w:hAnsi="Times New Roman" w:cs="Times New Roman"/>
          <w:sz w:val="24"/>
          <w:szCs w:val="24"/>
        </w:rPr>
      </w:pPr>
      <w:r w:rsidRPr="00B05EA3">
        <w:rPr>
          <w:rFonts w:ascii="Times New Roman" w:hAnsi="Times New Roman" w:cs="Times New Roman"/>
          <w:sz w:val="24"/>
          <w:szCs w:val="24"/>
        </w:rPr>
        <w:t>1.3.1. Održavat će se javne tribine, okrugli stolovi, konferencije i druge aktivnosti o ljudskim pravima žena s invaliditetom. Nositelji: Nadležna tijela državne uprave sukladno zakonom utvrđenom djelokrugu rada, Ured za ravnopravnost spolova, jedinice lokalne i područne (regionalne) samouprave, županijska/lokalna povjerenstva za ravnopravnost spolova, u suradnji s organizacijama civilnog društva. Rok provedbe: 2011. – 2015.</w:t>
      </w:r>
    </w:p>
    <w:p w14:paraId="0BF15C38" w14:textId="77777777" w:rsidR="00B05EA3" w:rsidRPr="00B05EA3" w:rsidRDefault="00B05EA3" w:rsidP="00B05EA3">
      <w:pPr>
        <w:spacing w:after="0" w:line="240" w:lineRule="auto"/>
        <w:jc w:val="both"/>
        <w:rPr>
          <w:rFonts w:ascii="Times New Roman" w:hAnsi="Times New Roman" w:cs="Times New Roman"/>
          <w:sz w:val="24"/>
          <w:szCs w:val="24"/>
        </w:rPr>
      </w:pPr>
      <w:r w:rsidRPr="00B05EA3">
        <w:rPr>
          <w:rFonts w:ascii="Times New Roman" w:hAnsi="Times New Roman" w:cs="Times New Roman"/>
          <w:sz w:val="24"/>
          <w:szCs w:val="24"/>
        </w:rPr>
        <w:t xml:space="preserve"> </w:t>
      </w:r>
    </w:p>
    <w:p w14:paraId="456B810C" w14:textId="77777777" w:rsidR="00B05EA3" w:rsidRPr="00B05EA3" w:rsidRDefault="00B05EA3" w:rsidP="00B05EA3">
      <w:pPr>
        <w:spacing w:after="0" w:line="240" w:lineRule="auto"/>
        <w:jc w:val="both"/>
        <w:rPr>
          <w:rFonts w:ascii="Times New Roman" w:hAnsi="Times New Roman" w:cs="Times New Roman"/>
          <w:sz w:val="24"/>
          <w:szCs w:val="24"/>
        </w:rPr>
      </w:pPr>
      <w:r w:rsidRPr="00B05EA3">
        <w:rPr>
          <w:rFonts w:ascii="Times New Roman" w:hAnsi="Times New Roman" w:cs="Times New Roman"/>
          <w:sz w:val="24"/>
          <w:szCs w:val="24"/>
        </w:rPr>
        <w:t xml:space="preserve">1.3.2. U programe rada županijskih povjerenstava za ravnopravnost spolova uvrstit će se mjere za unapređenje položaja žena s invaliditetom na lokalnoj razini. Nositelji: Županijska/lokalna povjerenstva za ravnopravnost poslova. Rok provedbe: 2011. – 2015. </w:t>
      </w:r>
    </w:p>
    <w:p w14:paraId="484285BF" w14:textId="77777777" w:rsidR="00B05EA3" w:rsidRPr="00B05EA3" w:rsidRDefault="00B05EA3" w:rsidP="00B05EA3">
      <w:pPr>
        <w:spacing w:after="0" w:line="240" w:lineRule="auto"/>
        <w:jc w:val="both"/>
        <w:rPr>
          <w:rFonts w:ascii="Times New Roman" w:hAnsi="Times New Roman" w:cs="Times New Roman"/>
          <w:sz w:val="24"/>
          <w:szCs w:val="24"/>
        </w:rPr>
      </w:pPr>
    </w:p>
    <w:p w14:paraId="3B11C8CD" w14:textId="77777777" w:rsidR="00B05EA3" w:rsidRPr="00B05EA3" w:rsidRDefault="00B05EA3" w:rsidP="00B05EA3">
      <w:pPr>
        <w:spacing w:after="0" w:line="240" w:lineRule="auto"/>
        <w:jc w:val="both"/>
        <w:rPr>
          <w:rFonts w:ascii="Times New Roman" w:hAnsi="Times New Roman" w:cs="Times New Roman"/>
          <w:sz w:val="24"/>
          <w:szCs w:val="24"/>
        </w:rPr>
      </w:pPr>
      <w:r w:rsidRPr="00B05EA3">
        <w:rPr>
          <w:rFonts w:ascii="Times New Roman" w:hAnsi="Times New Roman" w:cs="Times New Roman"/>
          <w:sz w:val="24"/>
          <w:szCs w:val="24"/>
        </w:rPr>
        <w:t>U okviru natječaja Programa Zajednice za zapošljavanje i socijalnu solidarnost - PROGRESS „Potpora informacijskim i komunikacijskim aktivnostima usmjerenim na uklanjanje nasilja nad ženama“, Ured za ravnopravnost spolova Vlade Republike Hrvatske je u suradnji s partnerskim udrugama Ženska soba i CESI, provodio dvogodišnji projekt/kampanju (od prosinca 2013. do kraja studenog 2015. godine) „Moj glas protiv nasilja“ sufinanciran sredstvima EK. Glavni cilj projekta bilo je podizanje svijesti javnosti o neprihvatljivosti svih oblika nasilja nad ženama i djevojčicama/djevojkama uključujući obiteljsko nasilje i odašiljanje poruke o nužnosti nulte tolerancije na sve oblike rodno uvjetovanog nasilja. Ciljane skupine uključile su uz stručne djelatnike/</w:t>
      </w:r>
      <w:proofErr w:type="spellStart"/>
      <w:r w:rsidRPr="00B05EA3">
        <w:rPr>
          <w:rFonts w:ascii="Times New Roman" w:hAnsi="Times New Roman" w:cs="Times New Roman"/>
          <w:sz w:val="24"/>
          <w:szCs w:val="24"/>
        </w:rPr>
        <w:t>ce</w:t>
      </w:r>
      <w:proofErr w:type="spellEnd"/>
      <w:r w:rsidRPr="00B05EA3">
        <w:rPr>
          <w:rFonts w:ascii="Times New Roman" w:hAnsi="Times New Roman" w:cs="Times New Roman"/>
          <w:sz w:val="24"/>
          <w:szCs w:val="24"/>
        </w:rPr>
        <w:t xml:space="preserve"> i službenike/</w:t>
      </w:r>
      <w:proofErr w:type="spellStart"/>
      <w:r w:rsidRPr="00B05EA3">
        <w:rPr>
          <w:rFonts w:ascii="Times New Roman" w:hAnsi="Times New Roman" w:cs="Times New Roman"/>
          <w:sz w:val="24"/>
          <w:szCs w:val="24"/>
        </w:rPr>
        <w:t>ce</w:t>
      </w:r>
      <w:proofErr w:type="spellEnd"/>
      <w:r w:rsidRPr="00B05EA3">
        <w:rPr>
          <w:rFonts w:ascii="Times New Roman" w:hAnsi="Times New Roman" w:cs="Times New Roman"/>
          <w:sz w:val="24"/>
          <w:szCs w:val="24"/>
        </w:rPr>
        <w:t xml:space="preserve"> u državnim tijelima, institucijama i udrugama, saborske zastupnike/</w:t>
      </w:r>
      <w:proofErr w:type="spellStart"/>
      <w:r w:rsidRPr="00B05EA3">
        <w:rPr>
          <w:rFonts w:ascii="Times New Roman" w:hAnsi="Times New Roman" w:cs="Times New Roman"/>
          <w:sz w:val="24"/>
          <w:szCs w:val="24"/>
        </w:rPr>
        <w:t>ce</w:t>
      </w:r>
      <w:proofErr w:type="spellEnd"/>
      <w:r w:rsidRPr="00B05EA3">
        <w:rPr>
          <w:rFonts w:ascii="Times New Roman" w:hAnsi="Times New Roman" w:cs="Times New Roman"/>
          <w:sz w:val="24"/>
          <w:szCs w:val="24"/>
        </w:rPr>
        <w:t>, članove/</w:t>
      </w:r>
      <w:proofErr w:type="spellStart"/>
      <w:r w:rsidRPr="00B05EA3">
        <w:rPr>
          <w:rFonts w:ascii="Times New Roman" w:hAnsi="Times New Roman" w:cs="Times New Roman"/>
          <w:sz w:val="24"/>
          <w:szCs w:val="24"/>
        </w:rPr>
        <w:t>ice</w:t>
      </w:r>
      <w:proofErr w:type="spellEnd"/>
      <w:r w:rsidRPr="00B05EA3">
        <w:rPr>
          <w:rFonts w:ascii="Times New Roman" w:hAnsi="Times New Roman" w:cs="Times New Roman"/>
          <w:sz w:val="24"/>
          <w:szCs w:val="24"/>
        </w:rPr>
        <w:t xml:space="preserve"> županijskih povjerenstava za ravnopravnost spolova, radio i TV postaje i ranjive skupine žena i djevojčica/djevojaka među kojima su posebno istaknute žene s invaliditetom. U okviru projekta provedena je opsežna javna kampanja putem emitiranja radijskog i TV spota u medijima diljem RH. </w:t>
      </w:r>
    </w:p>
    <w:p w14:paraId="34514733" w14:textId="79F3DD5C" w:rsidR="00307154" w:rsidRDefault="00307154">
      <w:pPr>
        <w:rPr>
          <w:rFonts w:ascii="Times New Roman" w:hAnsi="Times New Roman" w:cs="Times New Roman"/>
          <w:sz w:val="24"/>
          <w:szCs w:val="24"/>
        </w:rPr>
      </w:pPr>
      <w:r>
        <w:rPr>
          <w:rFonts w:ascii="Times New Roman" w:hAnsi="Times New Roman" w:cs="Times New Roman"/>
          <w:sz w:val="24"/>
          <w:szCs w:val="24"/>
        </w:rPr>
        <w:br w:type="page"/>
      </w:r>
    </w:p>
    <w:p w14:paraId="19380E64" w14:textId="77777777" w:rsidR="00307154" w:rsidRPr="00307154" w:rsidRDefault="00307154" w:rsidP="00307154">
      <w:pPr>
        <w:spacing w:line="240" w:lineRule="auto"/>
        <w:jc w:val="both"/>
        <w:rPr>
          <w:rFonts w:ascii="Times New Roman" w:eastAsia="MS Mincho" w:hAnsi="Times New Roman" w:cs="Times New Roman"/>
          <w:b/>
          <w:sz w:val="24"/>
          <w:szCs w:val="24"/>
          <w:u w:val="single"/>
          <w:lang w:val="en-US" w:eastAsia="ja-JP"/>
        </w:rPr>
      </w:pPr>
      <w:proofErr w:type="spellStart"/>
      <w:r w:rsidRPr="00307154">
        <w:rPr>
          <w:rFonts w:ascii="Times New Roman" w:eastAsia="MS Mincho" w:hAnsi="Times New Roman" w:cs="Times New Roman"/>
          <w:b/>
          <w:sz w:val="24"/>
          <w:szCs w:val="24"/>
          <w:u w:val="single"/>
          <w:lang w:val="en-US" w:eastAsia="ja-JP"/>
        </w:rPr>
        <w:lastRenderedPageBreak/>
        <w:t>Prilog</w:t>
      </w:r>
      <w:proofErr w:type="spellEnd"/>
      <w:r w:rsidRPr="00307154">
        <w:rPr>
          <w:rFonts w:ascii="Times New Roman" w:eastAsia="MS Mincho" w:hAnsi="Times New Roman" w:cs="Times New Roman"/>
          <w:b/>
          <w:sz w:val="24"/>
          <w:szCs w:val="24"/>
          <w:u w:val="single"/>
          <w:lang w:val="en-US" w:eastAsia="ja-JP"/>
        </w:rPr>
        <w:t xml:space="preserve"> 10</w:t>
      </w:r>
    </w:p>
    <w:p w14:paraId="168CDEE8" w14:textId="77777777" w:rsidR="00307154" w:rsidRPr="00307154" w:rsidRDefault="00307154" w:rsidP="00307154">
      <w:pPr>
        <w:spacing w:line="240" w:lineRule="auto"/>
        <w:jc w:val="both"/>
        <w:rPr>
          <w:rFonts w:ascii="Times New Roman" w:hAnsi="Times New Roman" w:cs="Times New Roman"/>
          <w:sz w:val="24"/>
          <w:szCs w:val="24"/>
        </w:rPr>
      </w:pPr>
    </w:p>
    <w:p w14:paraId="613B82FD" w14:textId="77777777" w:rsidR="00307154" w:rsidRPr="00307154" w:rsidRDefault="00307154" w:rsidP="00307154">
      <w:pPr>
        <w:spacing w:line="240" w:lineRule="auto"/>
        <w:jc w:val="center"/>
        <w:rPr>
          <w:rFonts w:ascii="Times New Roman" w:hAnsi="Times New Roman" w:cs="Times New Roman"/>
          <w:b/>
          <w:bCs/>
          <w:sz w:val="24"/>
          <w:szCs w:val="24"/>
        </w:rPr>
      </w:pPr>
      <w:r w:rsidRPr="00307154">
        <w:rPr>
          <w:rFonts w:ascii="Times New Roman" w:hAnsi="Times New Roman" w:cs="Times New Roman"/>
          <w:b/>
          <w:bCs/>
          <w:sz w:val="24"/>
          <w:szCs w:val="24"/>
        </w:rPr>
        <w:t>PUBLIKACIJE U IZDANJU UREDA ZA RAVNOPRAVNOST SPOLOVA</w:t>
      </w:r>
    </w:p>
    <w:p w14:paraId="4A11827E" w14:textId="77777777" w:rsidR="00307154" w:rsidRPr="00307154" w:rsidRDefault="00307154" w:rsidP="00307154">
      <w:pPr>
        <w:spacing w:line="240" w:lineRule="auto"/>
        <w:jc w:val="center"/>
        <w:rPr>
          <w:rFonts w:ascii="Times New Roman" w:hAnsi="Times New Roman" w:cs="Times New Roman"/>
          <w:b/>
          <w:bCs/>
          <w:sz w:val="24"/>
          <w:szCs w:val="24"/>
        </w:rPr>
      </w:pPr>
    </w:p>
    <w:p w14:paraId="1CC7EA60" w14:textId="77777777" w:rsidR="00307154" w:rsidRPr="00307154" w:rsidRDefault="00307154" w:rsidP="00307154">
      <w:pPr>
        <w:spacing w:line="240" w:lineRule="auto"/>
        <w:jc w:val="both"/>
        <w:rPr>
          <w:rFonts w:ascii="Times New Roman" w:hAnsi="Times New Roman" w:cs="Times New Roman"/>
          <w:sz w:val="24"/>
          <w:szCs w:val="24"/>
        </w:rPr>
      </w:pPr>
      <w:r w:rsidRPr="00307154">
        <w:rPr>
          <w:rFonts w:ascii="Times New Roman" w:hAnsi="Times New Roman" w:cs="Times New Roman"/>
          <w:sz w:val="24"/>
          <w:szCs w:val="24"/>
        </w:rPr>
        <w:t>Među 600 publikacija koje je Ured za ravnopravnost spolova dostavio Savezu osoba s invaliditetom Hrvatske nalaze se između ostalih:</w:t>
      </w:r>
    </w:p>
    <w:p w14:paraId="3C772D1B" w14:textId="77777777" w:rsidR="00307154" w:rsidRPr="00307154" w:rsidRDefault="00307154" w:rsidP="00FB05F1">
      <w:pPr>
        <w:pStyle w:val="Odlomakpopisa"/>
        <w:numPr>
          <w:ilvl w:val="0"/>
          <w:numId w:val="13"/>
        </w:numPr>
        <w:spacing w:after="0" w:line="240" w:lineRule="auto"/>
        <w:jc w:val="both"/>
        <w:rPr>
          <w:rFonts w:ascii="Times New Roman" w:hAnsi="Times New Roman" w:cs="Times New Roman"/>
          <w:sz w:val="24"/>
          <w:szCs w:val="24"/>
        </w:rPr>
      </w:pPr>
      <w:r w:rsidRPr="00307154">
        <w:rPr>
          <w:rFonts w:ascii="Times New Roman" w:hAnsi="Times New Roman" w:cs="Times New Roman"/>
          <w:sz w:val="24"/>
          <w:szCs w:val="24"/>
        </w:rPr>
        <w:t>Konvencija Vijeća Europe o sprečavanju i borbi protiv nasilja nad ženama i nasilja u obitelji</w:t>
      </w:r>
    </w:p>
    <w:p w14:paraId="430A428B" w14:textId="77777777" w:rsidR="00307154" w:rsidRPr="00307154" w:rsidRDefault="00307154" w:rsidP="00FB05F1">
      <w:pPr>
        <w:pStyle w:val="Odlomakpopisa"/>
        <w:numPr>
          <w:ilvl w:val="0"/>
          <w:numId w:val="13"/>
        </w:numPr>
        <w:spacing w:after="0" w:line="240" w:lineRule="auto"/>
        <w:jc w:val="both"/>
        <w:rPr>
          <w:rFonts w:ascii="Times New Roman" w:hAnsi="Times New Roman" w:cs="Times New Roman"/>
          <w:sz w:val="24"/>
          <w:szCs w:val="24"/>
        </w:rPr>
      </w:pPr>
      <w:r w:rsidRPr="00307154">
        <w:rPr>
          <w:rFonts w:ascii="Times New Roman" w:hAnsi="Times New Roman" w:cs="Times New Roman"/>
          <w:sz w:val="24"/>
          <w:szCs w:val="24"/>
        </w:rPr>
        <w:t>Protokol o postupanju u slučaju seksualnog nasilja na hrvatskom i engleskom jeziku</w:t>
      </w:r>
    </w:p>
    <w:p w14:paraId="7BA7B140" w14:textId="77777777" w:rsidR="00307154" w:rsidRPr="00307154" w:rsidRDefault="00307154" w:rsidP="00FB05F1">
      <w:pPr>
        <w:pStyle w:val="Odlomakpopisa"/>
        <w:numPr>
          <w:ilvl w:val="0"/>
          <w:numId w:val="13"/>
        </w:numPr>
        <w:spacing w:after="0" w:line="240" w:lineRule="auto"/>
        <w:jc w:val="both"/>
        <w:rPr>
          <w:rFonts w:ascii="Times New Roman" w:hAnsi="Times New Roman" w:cs="Times New Roman"/>
          <w:sz w:val="24"/>
          <w:szCs w:val="24"/>
        </w:rPr>
      </w:pPr>
      <w:r w:rsidRPr="00307154">
        <w:rPr>
          <w:rFonts w:ascii="Times New Roman" w:hAnsi="Times New Roman" w:cs="Times New Roman"/>
          <w:sz w:val="24"/>
          <w:szCs w:val="24"/>
        </w:rPr>
        <w:t>Smjernice za medijsko izvještavanje o nasilju u obitelji</w:t>
      </w:r>
    </w:p>
    <w:p w14:paraId="6B47CD86" w14:textId="77777777" w:rsidR="00307154" w:rsidRPr="00307154" w:rsidRDefault="00307154" w:rsidP="00FB05F1">
      <w:pPr>
        <w:pStyle w:val="Odlomakpopisa"/>
        <w:numPr>
          <w:ilvl w:val="0"/>
          <w:numId w:val="13"/>
        </w:numPr>
        <w:spacing w:after="0" w:line="240" w:lineRule="auto"/>
        <w:jc w:val="both"/>
        <w:rPr>
          <w:rFonts w:ascii="Times New Roman" w:hAnsi="Times New Roman" w:cs="Times New Roman"/>
          <w:sz w:val="24"/>
          <w:szCs w:val="24"/>
        </w:rPr>
      </w:pPr>
      <w:r w:rsidRPr="00307154">
        <w:rPr>
          <w:rFonts w:ascii="Times New Roman" w:hAnsi="Times New Roman" w:cs="Times New Roman"/>
          <w:sz w:val="24"/>
          <w:szCs w:val="24"/>
        </w:rPr>
        <w:t>„Pregled provedbe Pekinške platforme za djelovanje u državama članicama EU-a: Nasilje nad ženama - podrška žrtvama: Glavni nalazi“</w:t>
      </w:r>
    </w:p>
    <w:p w14:paraId="3CA46F76" w14:textId="77777777" w:rsidR="00307154" w:rsidRPr="00307154" w:rsidRDefault="00307154" w:rsidP="00FB05F1">
      <w:pPr>
        <w:pStyle w:val="Odlomakpopisa"/>
        <w:numPr>
          <w:ilvl w:val="0"/>
          <w:numId w:val="13"/>
        </w:numPr>
        <w:spacing w:after="0" w:line="240" w:lineRule="auto"/>
        <w:jc w:val="both"/>
        <w:rPr>
          <w:rFonts w:ascii="Times New Roman" w:hAnsi="Times New Roman" w:cs="Times New Roman"/>
          <w:sz w:val="24"/>
          <w:szCs w:val="24"/>
        </w:rPr>
      </w:pPr>
      <w:r w:rsidRPr="00307154">
        <w:rPr>
          <w:rFonts w:ascii="Times New Roman" w:hAnsi="Times New Roman" w:cs="Times New Roman"/>
          <w:sz w:val="24"/>
          <w:szCs w:val="24"/>
        </w:rPr>
        <w:t>Priručnik o rodno osviještenoj politici i promicanju ravnopravnosti spolova za političare/</w:t>
      </w:r>
      <w:proofErr w:type="spellStart"/>
      <w:r w:rsidRPr="00307154">
        <w:rPr>
          <w:rFonts w:ascii="Times New Roman" w:hAnsi="Times New Roman" w:cs="Times New Roman"/>
          <w:sz w:val="24"/>
          <w:szCs w:val="24"/>
        </w:rPr>
        <w:t>ke</w:t>
      </w:r>
      <w:proofErr w:type="spellEnd"/>
    </w:p>
    <w:p w14:paraId="0B54DD5C" w14:textId="77777777" w:rsidR="00307154" w:rsidRPr="00307154" w:rsidRDefault="00307154" w:rsidP="00FB05F1">
      <w:pPr>
        <w:pStyle w:val="Odlomakpopisa"/>
        <w:numPr>
          <w:ilvl w:val="0"/>
          <w:numId w:val="13"/>
        </w:numPr>
        <w:spacing w:after="0" w:line="240" w:lineRule="auto"/>
        <w:jc w:val="both"/>
        <w:rPr>
          <w:rFonts w:ascii="Times New Roman" w:hAnsi="Times New Roman" w:cs="Times New Roman"/>
          <w:sz w:val="24"/>
          <w:szCs w:val="24"/>
        </w:rPr>
      </w:pPr>
      <w:r w:rsidRPr="00307154">
        <w:rPr>
          <w:rFonts w:ascii="Times New Roman" w:hAnsi="Times New Roman" w:cs="Times New Roman"/>
          <w:sz w:val="24"/>
          <w:szCs w:val="24"/>
        </w:rPr>
        <w:t>Priručnik o rodno osviještenoj politici i promicanju ravnopravnosti spolova za suce/sutkinje, sudske savjetnike/</w:t>
      </w:r>
      <w:proofErr w:type="spellStart"/>
      <w:r w:rsidRPr="00307154">
        <w:rPr>
          <w:rFonts w:ascii="Times New Roman" w:hAnsi="Times New Roman" w:cs="Times New Roman"/>
          <w:sz w:val="24"/>
          <w:szCs w:val="24"/>
        </w:rPr>
        <w:t>ce</w:t>
      </w:r>
      <w:proofErr w:type="spellEnd"/>
      <w:r w:rsidRPr="00307154">
        <w:rPr>
          <w:rFonts w:ascii="Times New Roman" w:hAnsi="Times New Roman" w:cs="Times New Roman"/>
          <w:sz w:val="24"/>
          <w:szCs w:val="24"/>
        </w:rPr>
        <w:t xml:space="preserve"> i odvjetnike/</w:t>
      </w:r>
      <w:proofErr w:type="spellStart"/>
      <w:r w:rsidRPr="00307154">
        <w:rPr>
          <w:rFonts w:ascii="Times New Roman" w:hAnsi="Times New Roman" w:cs="Times New Roman"/>
          <w:sz w:val="24"/>
          <w:szCs w:val="24"/>
        </w:rPr>
        <w:t>ce</w:t>
      </w:r>
      <w:proofErr w:type="spellEnd"/>
    </w:p>
    <w:p w14:paraId="51BCBD94" w14:textId="77777777" w:rsidR="00307154" w:rsidRPr="00307154" w:rsidRDefault="00307154" w:rsidP="00FB05F1">
      <w:pPr>
        <w:pStyle w:val="Odlomakpopisa"/>
        <w:numPr>
          <w:ilvl w:val="0"/>
          <w:numId w:val="13"/>
        </w:numPr>
        <w:spacing w:after="0" w:line="240" w:lineRule="auto"/>
        <w:jc w:val="both"/>
        <w:rPr>
          <w:rFonts w:ascii="Times New Roman" w:hAnsi="Times New Roman" w:cs="Times New Roman"/>
          <w:sz w:val="24"/>
          <w:szCs w:val="24"/>
        </w:rPr>
      </w:pPr>
      <w:r w:rsidRPr="00307154">
        <w:rPr>
          <w:rFonts w:ascii="Times New Roman" w:hAnsi="Times New Roman" w:cs="Times New Roman"/>
          <w:sz w:val="24"/>
          <w:szCs w:val="24"/>
        </w:rPr>
        <w:t>Priručnik o rodno osviještenoj politici i promicanju ravnopravnosti spolova za županijska, općinska i gradska povjerenstva za ravnopravnost spolova</w:t>
      </w:r>
    </w:p>
    <w:p w14:paraId="50C1C895" w14:textId="77777777" w:rsidR="00307154" w:rsidRPr="00307154" w:rsidRDefault="00307154" w:rsidP="00FB05F1">
      <w:pPr>
        <w:pStyle w:val="Odlomakpopisa"/>
        <w:numPr>
          <w:ilvl w:val="0"/>
          <w:numId w:val="13"/>
        </w:numPr>
        <w:spacing w:after="0" w:line="240" w:lineRule="auto"/>
        <w:jc w:val="both"/>
        <w:rPr>
          <w:rFonts w:ascii="Times New Roman" w:hAnsi="Times New Roman" w:cs="Times New Roman"/>
          <w:sz w:val="24"/>
          <w:szCs w:val="24"/>
        </w:rPr>
      </w:pPr>
      <w:r w:rsidRPr="00307154">
        <w:rPr>
          <w:rFonts w:ascii="Times New Roman" w:hAnsi="Times New Roman" w:cs="Times New Roman"/>
          <w:sz w:val="24"/>
          <w:szCs w:val="24"/>
        </w:rPr>
        <w:t>Priručnik o rodno osviještenoj politici i promicanju ravnopravnosti spolova za koordinatore/</w:t>
      </w:r>
      <w:proofErr w:type="spellStart"/>
      <w:r w:rsidRPr="00307154">
        <w:rPr>
          <w:rFonts w:ascii="Times New Roman" w:hAnsi="Times New Roman" w:cs="Times New Roman"/>
          <w:sz w:val="24"/>
          <w:szCs w:val="24"/>
        </w:rPr>
        <w:t>ice</w:t>
      </w:r>
      <w:proofErr w:type="spellEnd"/>
      <w:r w:rsidRPr="00307154">
        <w:rPr>
          <w:rFonts w:ascii="Times New Roman" w:hAnsi="Times New Roman" w:cs="Times New Roman"/>
          <w:sz w:val="24"/>
          <w:szCs w:val="24"/>
        </w:rPr>
        <w:t xml:space="preserve"> u tijelima državne uprave</w:t>
      </w:r>
    </w:p>
    <w:p w14:paraId="3538D299" w14:textId="77777777" w:rsidR="00307154" w:rsidRPr="00307154" w:rsidRDefault="00307154" w:rsidP="00FB05F1">
      <w:pPr>
        <w:pStyle w:val="Odlomakpopisa"/>
        <w:numPr>
          <w:ilvl w:val="0"/>
          <w:numId w:val="13"/>
        </w:numPr>
        <w:spacing w:after="0" w:line="240" w:lineRule="auto"/>
        <w:jc w:val="both"/>
        <w:rPr>
          <w:rFonts w:ascii="Times New Roman" w:hAnsi="Times New Roman" w:cs="Times New Roman"/>
          <w:sz w:val="24"/>
          <w:szCs w:val="24"/>
        </w:rPr>
      </w:pPr>
      <w:r w:rsidRPr="00307154">
        <w:rPr>
          <w:rFonts w:ascii="Times New Roman" w:hAnsi="Times New Roman" w:cs="Times New Roman"/>
          <w:sz w:val="24"/>
          <w:szCs w:val="24"/>
        </w:rPr>
        <w:t>Strategija za ravnopravnost spolova Vijeća Europe od 2018. do 2023. godine</w:t>
      </w:r>
    </w:p>
    <w:p w14:paraId="5FF40295" w14:textId="77777777" w:rsidR="00307154" w:rsidRPr="00307154" w:rsidRDefault="00307154" w:rsidP="00FB05F1">
      <w:pPr>
        <w:pStyle w:val="Odlomakpopisa"/>
        <w:numPr>
          <w:ilvl w:val="0"/>
          <w:numId w:val="13"/>
        </w:numPr>
        <w:spacing w:after="0" w:line="240" w:lineRule="auto"/>
        <w:jc w:val="both"/>
        <w:rPr>
          <w:rFonts w:ascii="Times New Roman" w:hAnsi="Times New Roman" w:cs="Times New Roman"/>
          <w:sz w:val="24"/>
          <w:szCs w:val="24"/>
        </w:rPr>
      </w:pPr>
      <w:r w:rsidRPr="00307154">
        <w:rPr>
          <w:rFonts w:ascii="Times New Roman" w:hAnsi="Times New Roman" w:cs="Times New Roman"/>
          <w:sz w:val="24"/>
          <w:szCs w:val="24"/>
        </w:rPr>
        <w:t>Zakon o ravnopravnosti spolova.</w:t>
      </w:r>
    </w:p>
    <w:p w14:paraId="1B800477" w14:textId="5000F357" w:rsidR="00307154" w:rsidRDefault="00307154">
      <w:pPr>
        <w:rPr>
          <w:rFonts w:ascii="Times New Roman" w:hAnsi="Times New Roman" w:cs="Times New Roman"/>
          <w:b/>
          <w:bCs/>
          <w:sz w:val="24"/>
          <w:szCs w:val="24"/>
        </w:rPr>
      </w:pPr>
      <w:r>
        <w:rPr>
          <w:rFonts w:ascii="Times New Roman" w:hAnsi="Times New Roman" w:cs="Times New Roman"/>
          <w:b/>
          <w:bCs/>
          <w:sz w:val="24"/>
          <w:szCs w:val="24"/>
        </w:rPr>
        <w:br w:type="page"/>
      </w:r>
    </w:p>
    <w:p w14:paraId="1328B329" w14:textId="77777777" w:rsidR="00307154" w:rsidRPr="00397278" w:rsidRDefault="00307154" w:rsidP="00307154">
      <w:pPr>
        <w:spacing w:after="120" w:line="240" w:lineRule="auto"/>
        <w:rPr>
          <w:rFonts w:ascii="Times New Roman" w:hAnsi="Times New Roman" w:cs="Times New Roman"/>
          <w:b/>
          <w:bCs/>
          <w:sz w:val="24"/>
          <w:szCs w:val="24"/>
          <w:u w:val="single"/>
        </w:rPr>
      </w:pPr>
      <w:r w:rsidRPr="00397278">
        <w:rPr>
          <w:rFonts w:ascii="Times New Roman" w:hAnsi="Times New Roman" w:cs="Times New Roman"/>
          <w:b/>
          <w:bCs/>
          <w:sz w:val="24"/>
          <w:szCs w:val="24"/>
          <w:u w:val="single"/>
        </w:rPr>
        <w:lastRenderedPageBreak/>
        <w:t xml:space="preserve">Prilog </w:t>
      </w:r>
      <w:r>
        <w:rPr>
          <w:rFonts w:ascii="Times New Roman" w:hAnsi="Times New Roman" w:cs="Times New Roman"/>
          <w:b/>
          <w:bCs/>
          <w:sz w:val="24"/>
          <w:szCs w:val="24"/>
          <w:u w:val="single"/>
        </w:rPr>
        <w:t>11</w:t>
      </w:r>
    </w:p>
    <w:p w14:paraId="1B6DE478" w14:textId="77777777" w:rsidR="00307154" w:rsidRPr="00397278" w:rsidRDefault="00307154" w:rsidP="00307154">
      <w:pPr>
        <w:spacing w:after="120" w:line="240" w:lineRule="auto"/>
        <w:rPr>
          <w:rFonts w:ascii="Times New Roman" w:hAnsi="Times New Roman" w:cs="Times New Roman"/>
          <w:b/>
          <w:bCs/>
          <w:sz w:val="24"/>
          <w:szCs w:val="24"/>
        </w:rPr>
      </w:pPr>
    </w:p>
    <w:p w14:paraId="61E28863" w14:textId="46D43118" w:rsidR="00307154" w:rsidRPr="00397278" w:rsidRDefault="00BB3A51" w:rsidP="00307154">
      <w:pPr>
        <w:spacing w:after="120" w:line="240" w:lineRule="auto"/>
        <w:jc w:val="center"/>
        <w:rPr>
          <w:rFonts w:ascii="Times New Roman" w:hAnsi="Times New Roman" w:cs="Times New Roman"/>
          <w:b/>
          <w:bCs/>
          <w:sz w:val="24"/>
          <w:szCs w:val="24"/>
        </w:rPr>
      </w:pPr>
      <w:r w:rsidRPr="00397278">
        <w:rPr>
          <w:rFonts w:ascii="Times New Roman" w:hAnsi="Times New Roman" w:cs="Times New Roman"/>
          <w:b/>
          <w:bCs/>
          <w:sz w:val="24"/>
          <w:szCs w:val="24"/>
        </w:rPr>
        <w:t>STATISTIČKI PODACI O BROJU DJECE S TEŠKOĆAMA U RAZVOJU KORISNIKA PRAVA U SUSTAVU SOCIJALNE SKRBI (IZVOR: M</w:t>
      </w:r>
      <w:r>
        <w:rPr>
          <w:rFonts w:ascii="Times New Roman" w:hAnsi="Times New Roman" w:cs="Times New Roman"/>
          <w:b/>
          <w:bCs/>
          <w:sz w:val="24"/>
          <w:szCs w:val="24"/>
        </w:rPr>
        <w:t>INISTARSTVO RADA, MIROVINSKOGA SUSTAVA I OBITELJI</w:t>
      </w:r>
      <w:r w:rsidRPr="00397278">
        <w:rPr>
          <w:rFonts w:ascii="Times New Roman" w:hAnsi="Times New Roman" w:cs="Times New Roman"/>
          <w:b/>
          <w:bCs/>
          <w:sz w:val="24"/>
          <w:szCs w:val="24"/>
        </w:rPr>
        <w:t xml:space="preserve"> – STATISTIČKA IZVJEŠĆA 2015. I 2019. GODINE)</w:t>
      </w:r>
    </w:p>
    <w:p w14:paraId="4A973207" w14:textId="77777777" w:rsidR="00307154" w:rsidRDefault="00307154" w:rsidP="00307154">
      <w:pPr>
        <w:spacing w:after="120" w:line="240" w:lineRule="auto"/>
        <w:rPr>
          <w:rFonts w:ascii="Times New Roman" w:hAnsi="Times New Roman" w:cs="Times New Roman"/>
          <w:i/>
          <w:iCs/>
          <w:sz w:val="24"/>
          <w:szCs w:val="24"/>
        </w:rPr>
      </w:pPr>
    </w:p>
    <w:tbl>
      <w:tblPr>
        <w:tblStyle w:val="Reetkatablice"/>
        <w:tblW w:w="9072" w:type="dxa"/>
        <w:tblInd w:w="-5" w:type="dxa"/>
        <w:tblLayout w:type="fixed"/>
        <w:tblLook w:val="04A0" w:firstRow="1" w:lastRow="0" w:firstColumn="1" w:lastColumn="0" w:noHBand="0" w:noVBand="1"/>
      </w:tblPr>
      <w:tblGrid>
        <w:gridCol w:w="3544"/>
        <w:gridCol w:w="3260"/>
        <w:gridCol w:w="2268"/>
      </w:tblGrid>
      <w:tr w:rsidR="00307154" w:rsidRPr="00FF45E5" w14:paraId="066159A1" w14:textId="77777777" w:rsidTr="00816216">
        <w:trPr>
          <w:trHeight w:val="425"/>
        </w:trPr>
        <w:tc>
          <w:tcPr>
            <w:tcW w:w="3544" w:type="dxa"/>
            <w:shd w:val="clear" w:color="auto" w:fill="F2F2F2" w:themeFill="background1" w:themeFillShade="F2"/>
            <w:vAlign w:val="center"/>
          </w:tcPr>
          <w:p w14:paraId="25671E3F" w14:textId="77777777" w:rsidR="00307154" w:rsidRPr="00FF45E5" w:rsidRDefault="00307154" w:rsidP="00816216">
            <w:pPr>
              <w:jc w:val="center"/>
              <w:rPr>
                <w:rFonts w:ascii="Times New Roman" w:hAnsi="Times New Roman" w:cs="Times New Roman"/>
                <w:sz w:val="24"/>
                <w:szCs w:val="24"/>
              </w:rPr>
            </w:pPr>
          </w:p>
        </w:tc>
        <w:tc>
          <w:tcPr>
            <w:tcW w:w="3260" w:type="dxa"/>
            <w:shd w:val="clear" w:color="auto" w:fill="F2F2F2" w:themeFill="background1" w:themeFillShade="F2"/>
            <w:vAlign w:val="center"/>
          </w:tcPr>
          <w:p w14:paraId="0000195A" w14:textId="77777777" w:rsidR="00307154" w:rsidRDefault="00307154" w:rsidP="00816216">
            <w:pPr>
              <w:jc w:val="center"/>
              <w:rPr>
                <w:rFonts w:ascii="Times New Roman" w:hAnsi="Times New Roman" w:cs="Times New Roman"/>
                <w:sz w:val="24"/>
                <w:szCs w:val="24"/>
              </w:rPr>
            </w:pPr>
            <w:r>
              <w:rPr>
                <w:rFonts w:ascii="Times New Roman" w:hAnsi="Times New Roman" w:cs="Times New Roman"/>
                <w:sz w:val="24"/>
                <w:szCs w:val="24"/>
              </w:rPr>
              <w:t xml:space="preserve">Broj korisnika u </w:t>
            </w:r>
          </w:p>
          <w:p w14:paraId="1ED94998" w14:textId="77777777" w:rsidR="00307154" w:rsidRPr="00FF45E5" w:rsidRDefault="00307154" w:rsidP="00816216">
            <w:pPr>
              <w:jc w:val="center"/>
              <w:rPr>
                <w:rFonts w:ascii="Times New Roman" w:hAnsi="Times New Roman" w:cs="Times New Roman"/>
                <w:sz w:val="24"/>
                <w:szCs w:val="24"/>
              </w:rPr>
            </w:pPr>
            <w:r w:rsidRPr="00FF45E5">
              <w:rPr>
                <w:rFonts w:ascii="Times New Roman" w:hAnsi="Times New Roman" w:cs="Times New Roman"/>
                <w:sz w:val="24"/>
                <w:szCs w:val="24"/>
              </w:rPr>
              <w:t>2015. godina</w:t>
            </w:r>
          </w:p>
        </w:tc>
        <w:tc>
          <w:tcPr>
            <w:tcW w:w="2268" w:type="dxa"/>
            <w:shd w:val="clear" w:color="auto" w:fill="F2F2F2" w:themeFill="background1" w:themeFillShade="F2"/>
            <w:vAlign w:val="center"/>
          </w:tcPr>
          <w:p w14:paraId="10E91308" w14:textId="77777777" w:rsidR="00307154" w:rsidRDefault="00307154" w:rsidP="00816216">
            <w:pPr>
              <w:jc w:val="center"/>
              <w:rPr>
                <w:rFonts w:ascii="Times New Roman" w:hAnsi="Times New Roman" w:cs="Times New Roman"/>
                <w:sz w:val="24"/>
                <w:szCs w:val="24"/>
              </w:rPr>
            </w:pPr>
            <w:r>
              <w:rPr>
                <w:rFonts w:ascii="Times New Roman" w:hAnsi="Times New Roman" w:cs="Times New Roman"/>
                <w:sz w:val="24"/>
                <w:szCs w:val="24"/>
              </w:rPr>
              <w:t xml:space="preserve">Broj korisnika u </w:t>
            </w:r>
          </w:p>
          <w:p w14:paraId="588BCDC1" w14:textId="77777777" w:rsidR="00307154" w:rsidRPr="00FF45E5" w:rsidRDefault="00307154" w:rsidP="00816216">
            <w:pPr>
              <w:jc w:val="center"/>
              <w:rPr>
                <w:rFonts w:ascii="Times New Roman" w:hAnsi="Times New Roman" w:cs="Times New Roman"/>
                <w:sz w:val="24"/>
                <w:szCs w:val="24"/>
              </w:rPr>
            </w:pPr>
            <w:r w:rsidRPr="00FF45E5">
              <w:rPr>
                <w:rFonts w:ascii="Times New Roman" w:hAnsi="Times New Roman" w:cs="Times New Roman"/>
                <w:sz w:val="24"/>
                <w:szCs w:val="24"/>
              </w:rPr>
              <w:t>2019. godina</w:t>
            </w:r>
          </w:p>
        </w:tc>
      </w:tr>
      <w:tr w:rsidR="00307154" w:rsidRPr="00FF45E5" w14:paraId="66385F43" w14:textId="77777777" w:rsidTr="00816216">
        <w:tc>
          <w:tcPr>
            <w:tcW w:w="3544" w:type="dxa"/>
            <w:shd w:val="clear" w:color="auto" w:fill="F2F2F2" w:themeFill="background1" w:themeFillShade="F2"/>
            <w:vAlign w:val="center"/>
          </w:tcPr>
          <w:p w14:paraId="5FB83A45" w14:textId="77777777" w:rsidR="00307154" w:rsidRPr="00FF45E5" w:rsidRDefault="00307154" w:rsidP="00816216">
            <w:pPr>
              <w:jc w:val="center"/>
              <w:rPr>
                <w:rFonts w:ascii="Times New Roman" w:hAnsi="Times New Roman" w:cs="Times New Roman"/>
                <w:b/>
                <w:bCs/>
                <w:sz w:val="24"/>
                <w:szCs w:val="24"/>
              </w:rPr>
            </w:pPr>
            <w:r w:rsidRPr="00FF45E5">
              <w:rPr>
                <w:rFonts w:ascii="Times New Roman" w:hAnsi="Times New Roman" w:cs="Times New Roman"/>
                <w:b/>
                <w:bCs/>
                <w:sz w:val="24"/>
                <w:szCs w:val="24"/>
              </w:rPr>
              <w:t xml:space="preserve">Ukupan broj djece s teškoćama u razvoju  u tretmanu centra za socijalnu skrb </w:t>
            </w:r>
          </w:p>
        </w:tc>
        <w:tc>
          <w:tcPr>
            <w:tcW w:w="3260" w:type="dxa"/>
            <w:vAlign w:val="center"/>
          </w:tcPr>
          <w:p w14:paraId="39A05F87" w14:textId="77777777" w:rsidR="00307154" w:rsidRPr="00FF45E5" w:rsidRDefault="00307154" w:rsidP="00816216">
            <w:pPr>
              <w:jc w:val="center"/>
              <w:rPr>
                <w:rFonts w:ascii="Times New Roman" w:hAnsi="Times New Roman" w:cs="Times New Roman"/>
                <w:b/>
                <w:bCs/>
                <w:sz w:val="24"/>
                <w:szCs w:val="24"/>
              </w:rPr>
            </w:pPr>
            <w:r w:rsidRPr="00FF45E5">
              <w:rPr>
                <w:rFonts w:ascii="Times New Roman" w:hAnsi="Times New Roman" w:cs="Times New Roman"/>
                <w:b/>
                <w:bCs/>
                <w:sz w:val="24"/>
                <w:szCs w:val="24"/>
              </w:rPr>
              <w:t>14.309</w:t>
            </w:r>
          </w:p>
        </w:tc>
        <w:tc>
          <w:tcPr>
            <w:tcW w:w="2268" w:type="dxa"/>
            <w:vAlign w:val="center"/>
          </w:tcPr>
          <w:p w14:paraId="587D9E8D" w14:textId="77777777" w:rsidR="00307154" w:rsidRPr="00FF45E5" w:rsidRDefault="00307154" w:rsidP="00816216">
            <w:pPr>
              <w:jc w:val="center"/>
              <w:rPr>
                <w:rFonts w:ascii="Times New Roman" w:hAnsi="Times New Roman" w:cs="Times New Roman"/>
                <w:b/>
                <w:bCs/>
                <w:sz w:val="24"/>
                <w:szCs w:val="24"/>
              </w:rPr>
            </w:pPr>
            <w:r w:rsidRPr="00FF45E5">
              <w:rPr>
                <w:rFonts w:ascii="Times New Roman" w:hAnsi="Times New Roman" w:cs="Times New Roman"/>
                <w:b/>
                <w:bCs/>
                <w:sz w:val="24"/>
                <w:szCs w:val="24"/>
              </w:rPr>
              <w:t>17.058</w:t>
            </w:r>
          </w:p>
        </w:tc>
      </w:tr>
      <w:tr w:rsidR="00307154" w:rsidRPr="00FF45E5" w14:paraId="4E54CBE7" w14:textId="77777777" w:rsidTr="00816216">
        <w:trPr>
          <w:trHeight w:val="400"/>
        </w:trPr>
        <w:tc>
          <w:tcPr>
            <w:tcW w:w="3544" w:type="dxa"/>
            <w:shd w:val="clear" w:color="auto" w:fill="F2F2F2" w:themeFill="background1" w:themeFillShade="F2"/>
            <w:vAlign w:val="center"/>
            <w:hideMark/>
          </w:tcPr>
          <w:p w14:paraId="1BAB7797" w14:textId="77777777" w:rsidR="00307154" w:rsidRPr="00FF45E5" w:rsidRDefault="00307154" w:rsidP="00816216">
            <w:pPr>
              <w:jc w:val="center"/>
              <w:rPr>
                <w:rFonts w:ascii="Times New Roman" w:eastAsia="Times New Roman" w:hAnsi="Times New Roman" w:cs="Times New Roman"/>
                <w:color w:val="000000"/>
                <w:sz w:val="24"/>
                <w:szCs w:val="24"/>
                <w:lang w:eastAsia="hr-HR"/>
              </w:rPr>
            </w:pPr>
            <w:r w:rsidRPr="00FF45E5">
              <w:rPr>
                <w:rFonts w:ascii="Times New Roman" w:eastAsia="Times New Roman" w:hAnsi="Times New Roman" w:cs="Times New Roman"/>
                <w:color w:val="000000"/>
                <w:sz w:val="24"/>
                <w:szCs w:val="24"/>
                <w:lang w:eastAsia="hr-HR"/>
              </w:rPr>
              <w:t>Status roditelja njegovatelja/ status njegovatelja</w:t>
            </w:r>
          </w:p>
        </w:tc>
        <w:tc>
          <w:tcPr>
            <w:tcW w:w="3260" w:type="dxa"/>
            <w:vAlign w:val="center"/>
          </w:tcPr>
          <w:p w14:paraId="1C17A510" w14:textId="77777777" w:rsidR="00307154" w:rsidRPr="00FF45E5" w:rsidRDefault="00307154" w:rsidP="00816216">
            <w:pPr>
              <w:jc w:val="center"/>
              <w:rPr>
                <w:rFonts w:ascii="Times New Roman" w:eastAsia="Times New Roman" w:hAnsi="Times New Roman" w:cs="Times New Roman"/>
                <w:color w:val="000000"/>
                <w:sz w:val="24"/>
                <w:szCs w:val="24"/>
                <w:lang w:eastAsia="hr-HR"/>
              </w:rPr>
            </w:pPr>
            <w:r w:rsidRPr="00FF45E5">
              <w:rPr>
                <w:rFonts w:ascii="Times New Roman" w:eastAsia="Times New Roman" w:hAnsi="Times New Roman" w:cs="Times New Roman"/>
                <w:color w:val="000000"/>
                <w:sz w:val="24"/>
                <w:szCs w:val="24"/>
                <w:lang w:eastAsia="hr-HR"/>
              </w:rPr>
              <w:t>3541</w:t>
            </w:r>
          </w:p>
        </w:tc>
        <w:tc>
          <w:tcPr>
            <w:tcW w:w="2268" w:type="dxa"/>
            <w:vAlign w:val="center"/>
            <w:hideMark/>
          </w:tcPr>
          <w:p w14:paraId="52241C0C" w14:textId="77777777" w:rsidR="00307154" w:rsidRPr="00FF45E5" w:rsidRDefault="00307154" w:rsidP="00816216">
            <w:pPr>
              <w:jc w:val="center"/>
              <w:rPr>
                <w:rFonts w:ascii="Times New Roman" w:eastAsia="Times New Roman" w:hAnsi="Times New Roman" w:cs="Times New Roman"/>
                <w:color w:val="000000"/>
                <w:sz w:val="24"/>
                <w:szCs w:val="24"/>
                <w:lang w:eastAsia="hr-HR"/>
              </w:rPr>
            </w:pPr>
            <w:r w:rsidRPr="00FF45E5">
              <w:rPr>
                <w:rFonts w:ascii="Times New Roman" w:eastAsia="Times New Roman" w:hAnsi="Times New Roman" w:cs="Times New Roman"/>
                <w:color w:val="000000"/>
                <w:sz w:val="24"/>
                <w:szCs w:val="24"/>
                <w:lang w:eastAsia="hr-HR"/>
              </w:rPr>
              <w:t>4643</w:t>
            </w:r>
          </w:p>
        </w:tc>
      </w:tr>
      <w:tr w:rsidR="00307154" w:rsidRPr="00FF45E5" w14:paraId="3294F241" w14:textId="77777777" w:rsidTr="00816216">
        <w:trPr>
          <w:trHeight w:val="400"/>
        </w:trPr>
        <w:tc>
          <w:tcPr>
            <w:tcW w:w="3544" w:type="dxa"/>
            <w:shd w:val="clear" w:color="auto" w:fill="F2F2F2" w:themeFill="background1" w:themeFillShade="F2"/>
            <w:vAlign w:val="center"/>
          </w:tcPr>
          <w:p w14:paraId="261F4B11" w14:textId="77777777" w:rsidR="00307154" w:rsidRDefault="00307154" w:rsidP="00816216">
            <w:pPr>
              <w:jc w:val="center"/>
              <w:rPr>
                <w:rFonts w:ascii="Times New Roman" w:eastAsia="Times New Roman" w:hAnsi="Times New Roman" w:cs="Times New Roman"/>
                <w:color w:val="000000"/>
                <w:sz w:val="24"/>
                <w:szCs w:val="24"/>
                <w:lang w:eastAsia="hr-HR"/>
              </w:rPr>
            </w:pPr>
            <w:r w:rsidRPr="00FF45E5">
              <w:rPr>
                <w:rFonts w:ascii="Times New Roman" w:eastAsia="Times New Roman" w:hAnsi="Times New Roman" w:cs="Times New Roman"/>
                <w:color w:val="000000"/>
                <w:sz w:val="24"/>
                <w:szCs w:val="24"/>
                <w:lang w:eastAsia="hr-HR"/>
              </w:rPr>
              <w:t xml:space="preserve">Smještaj </w:t>
            </w:r>
          </w:p>
          <w:p w14:paraId="198F7F1B" w14:textId="77777777" w:rsidR="00307154" w:rsidRDefault="00307154" w:rsidP="00816216">
            <w:pPr>
              <w:jc w:val="center"/>
              <w:rPr>
                <w:rFonts w:ascii="Times New Roman" w:eastAsia="Times New Roman" w:hAnsi="Times New Roman" w:cs="Times New Roman"/>
                <w:color w:val="000000"/>
                <w:sz w:val="24"/>
                <w:szCs w:val="24"/>
                <w:lang w:eastAsia="hr-HR"/>
              </w:rPr>
            </w:pPr>
            <w:r w:rsidRPr="00FF45E5">
              <w:rPr>
                <w:rFonts w:ascii="Times New Roman" w:eastAsia="Times New Roman" w:hAnsi="Times New Roman" w:cs="Times New Roman"/>
                <w:color w:val="000000"/>
                <w:sz w:val="24"/>
                <w:szCs w:val="24"/>
                <w:lang w:eastAsia="hr-HR"/>
              </w:rPr>
              <w:t xml:space="preserve">djece s teškoćama u razvoju </w:t>
            </w:r>
          </w:p>
          <w:p w14:paraId="310BDD91" w14:textId="77777777" w:rsidR="00307154" w:rsidRPr="00FF45E5" w:rsidRDefault="00307154" w:rsidP="00816216">
            <w:pPr>
              <w:jc w:val="center"/>
              <w:rPr>
                <w:rFonts w:ascii="Times New Roman" w:eastAsia="Times New Roman" w:hAnsi="Times New Roman" w:cs="Times New Roman"/>
                <w:color w:val="000000"/>
                <w:sz w:val="24"/>
                <w:szCs w:val="24"/>
                <w:lang w:eastAsia="hr-HR"/>
              </w:rPr>
            </w:pPr>
            <w:r w:rsidRPr="00FF45E5">
              <w:rPr>
                <w:rFonts w:ascii="Times New Roman" w:eastAsia="Times New Roman" w:hAnsi="Times New Roman" w:cs="Times New Roman"/>
                <w:color w:val="000000"/>
                <w:sz w:val="24"/>
                <w:szCs w:val="24"/>
                <w:lang w:eastAsia="hr-HR"/>
              </w:rPr>
              <w:t>do 18 godine života</w:t>
            </w:r>
          </w:p>
        </w:tc>
        <w:tc>
          <w:tcPr>
            <w:tcW w:w="3260" w:type="dxa"/>
            <w:vAlign w:val="center"/>
          </w:tcPr>
          <w:p w14:paraId="2F3FC457" w14:textId="77777777" w:rsidR="00307154" w:rsidRPr="00FF45E5" w:rsidRDefault="00307154" w:rsidP="00816216">
            <w:pPr>
              <w:jc w:val="center"/>
              <w:rPr>
                <w:rFonts w:ascii="Times New Roman" w:eastAsia="Times New Roman" w:hAnsi="Times New Roman" w:cs="Times New Roman"/>
                <w:color w:val="000000"/>
                <w:sz w:val="24"/>
                <w:szCs w:val="24"/>
                <w:lang w:eastAsia="hr-HR"/>
              </w:rPr>
            </w:pPr>
            <w:r w:rsidRPr="00FF45E5">
              <w:rPr>
                <w:rFonts w:ascii="Times New Roman" w:eastAsia="Times New Roman" w:hAnsi="Times New Roman" w:cs="Times New Roman"/>
                <w:color w:val="000000"/>
                <w:sz w:val="24"/>
                <w:szCs w:val="24"/>
                <w:lang w:eastAsia="hr-HR"/>
              </w:rPr>
              <w:t>152</w:t>
            </w:r>
          </w:p>
        </w:tc>
        <w:tc>
          <w:tcPr>
            <w:tcW w:w="2268" w:type="dxa"/>
            <w:vAlign w:val="center"/>
          </w:tcPr>
          <w:p w14:paraId="3C5C0E14" w14:textId="77777777" w:rsidR="00307154" w:rsidRPr="00FF45E5" w:rsidRDefault="00307154" w:rsidP="00816216">
            <w:pPr>
              <w:jc w:val="center"/>
              <w:rPr>
                <w:rFonts w:ascii="Times New Roman" w:eastAsia="Times New Roman" w:hAnsi="Times New Roman" w:cs="Times New Roman"/>
                <w:color w:val="000000"/>
                <w:sz w:val="24"/>
                <w:szCs w:val="24"/>
                <w:lang w:eastAsia="hr-HR"/>
              </w:rPr>
            </w:pPr>
            <w:r w:rsidRPr="00FF45E5">
              <w:rPr>
                <w:rFonts w:ascii="Times New Roman" w:eastAsia="Times New Roman" w:hAnsi="Times New Roman" w:cs="Times New Roman"/>
                <w:color w:val="000000"/>
                <w:sz w:val="24"/>
                <w:szCs w:val="24"/>
                <w:lang w:eastAsia="hr-HR"/>
              </w:rPr>
              <w:t>81</w:t>
            </w:r>
          </w:p>
        </w:tc>
      </w:tr>
      <w:tr w:rsidR="00307154" w:rsidRPr="00FF45E5" w14:paraId="0D12D85F" w14:textId="77777777" w:rsidTr="00816216">
        <w:trPr>
          <w:trHeight w:val="400"/>
        </w:trPr>
        <w:tc>
          <w:tcPr>
            <w:tcW w:w="3544" w:type="dxa"/>
            <w:shd w:val="clear" w:color="auto" w:fill="F2F2F2" w:themeFill="background1" w:themeFillShade="F2"/>
            <w:vAlign w:val="center"/>
          </w:tcPr>
          <w:p w14:paraId="171E6B0D" w14:textId="77777777" w:rsidR="00307154" w:rsidRDefault="00307154" w:rsidP="00816216">
            <w:pPr>
              <w:jc w:val="center"/>
              <w:rPr>
                <w:rFonts w:ascii="Times New Roman" w:hAnsi="Times New Roman" w:cs="Times New Roman"/>
                <w:sz w:val="24"/>
                <w:szCs w:val="24"/>
              </w:rPr>
            </w:pPr>
            <w:r w:rsidRPr="00FF45E5">
              <w:rPr>
                <w:rFonts w:ascii="Times New Roman" w:eastAsia="Times New Roman" w:hAnsi="Times New Roman" w:cs="Times New Roman"/>
                <w:color w:val="000000"/>
                <w:sz w:val="24"/>
                <w:szCs w:val="24"/>
                <w:lang w:eastAsia="hr-HR"/>
              </w:rPr>
              <w:t>Privremeni smještaj</w:t>
            </w:r>
            <w:r w:rsidRPr="00FF45E5">
              <w:rPr>
                <w:rFonts w:ascii="Times New Roman" w:hAnsi="Times New Roman" w:cs="Times New Roman"/>
                <w:sz w:val="24"/>
                <w:szCs w:val="24"/>
              </w:rPr>
              <w:t xml:space="preserve"> </w:t>
            </w:r>
          </w:p>
          <w:p w14:paraId="04FD977C" w14:textId="77777777" w:rsidR="00307154" w:rsidRDefault="00307154" w:rsidP="00816216">
            <w:pPr>
              <w:jc w:val="center"/>
              <w:rPr>
                <w:rFonts w:ascii="Times New Roman" w:eastAsia="Times New Roman" w:hAnsi="Times New Roman" w:cs="Times New Roman"/>
                <w:color w:val="000000"/>
                <w:sz w:val="24"/>
                <w:szCs w:val="24"/>
                <w:lang w:eastAsia="hr-HR"/>
              </w:rPr>
            </w:pPr>
            <w:r w:rsidRPr="00FF45E5">
              <w:rPr>
                <w:rFonts w:ascii="Times New Roman" w:eastAsia="Times New Roman" w:hAnsi="Times New Roman" w:cs="Times New Roman"/>
                <w:color w:val="000000"/>
                <w:sz w:val="24"/>
                <w:szCs w:val="24"/>
                <w:lang w:eastAsia="hr-HR"/>
              </w:rPr>
              <w:t xml:space="preserve">djece s teškoćama u razvoju </w:t>
            </w:r>
          </w:p>
          <w:p w14:paraId="0FA927A6" w14:textId="77777777" w:rsidR="00307154" w:rsidRPr="00FF45E5" w:rsidRDefault="00307154" w:rsidP="00816216">
            <w:pPr>
              <w:jc w:val="center"/>
              <w:rPr>
                <w:rFonts w:ascii="Times New Roman" w:eastAsia="Times New Roman" w:hAnsi="Times New Roman" w:cs="Times New Roman"/>
                <w:color w:val="000000"/>
                <w:sz w:val="24"/>
                <w:szCs w:val="24"/>
                <w:lang w:eastAsia="hr-HR"/>
              </w:rPr>
            </w:pPr>
            <w:r w:rsidRPr="00FF45E5">
              <w:rPr>
                <w:rFonts w:ascii="Times New Roman" w:eastAsia="Times New Roman" w:hAnsi="Times New Roman" w:cs="Times New Roman"/>
                <w:color w:val="000000"/>
                <w:sz w:val="24"/>
                <w:szCs w:val="24"/>
                <w:lang w:eastAsia="hr-HR"/>
              </w:rPr>
              <w:t>do 18 godine života</w:t>
            </w:r>
          </w:p>
        </w:tc>
        <w:tc>
          <w:tcPr>
            <w:tcW w:w="3260" w:type="dxa"/>
            <w:vAlign w:val="center"/>
          </w:tcPr>
          <w:p w14:paraId="6762B63D" w14:textId="77777777" w:rsidR="00307154" w:rsidRPr="00FF45E5" w:rsidRDefault="00307154" w:rsidP="00816216">
            <w:pPr>
              <w:jc w:val="center"/>
              <w:rPr>
                <w:rFonts w:ascii="Times New Roman" w:eastAsia="Times New Roman" w:hAnsi="Times New Roman" w:cs="Times New Roman"/>
                <w:color w:val="000000"/>
                <w:sz w:val="24"/>
                <w:szCs w:val="24"/>
                <w:lang w:eastAsia="hr-HR"/>
              </w:rPr>
            </w:pPr>
            <w:r w:rsidRPr="00FF45E5">
              <w:rPr>
                <w:rFonts w:ascii="Times New Roman" w:eastAsia="Times New Roman" w:hAnsi="Times New Roman" w:cs="Times New Roman"/>
                <w:color w:val="000000"/>
                <w:sz w:val="24"/>
                <w:szCs w:val="24"/>
                <w:lang w:eastAsia="hr-HR"/>
              </w:rPr>
              <w:t>290</w:t>
            </w:r>
          </w:p>
        </w:tc>
        <w:tc>
          <w:tcPr>
            <w:tcW w:w="2268" w:type="dxa"/>
            <w:vAlign w:val="center"/>
          </w:tcPr>
          <w:p w14:paraId="50F61F12" w14:textId="77777777" w:rsidR="00307154" w:rsidRPr="00FF45E5" w:rsidRDefault="00307154" w:rsidP="00816216">
            <w:pPr>
              <w:jc w:val="center"/>
              <w:rPr>
                <w:rFonts w:ascii="Times New Roman" w:eastAsia="Times New Roman" w:hAnsi="Times New Roman" w:cs="Times New Roman"/>
                <w:color w:val="000000"/>
                <w:sz w:val="24"/>
                <w:szCs w:val="24"/>
                <w:lang w:eastAsia="hr-HR"/>
              </w:rPr>
            </w:pPr>
            <w:r w:rsidRPr="00FF45E5">
              <w:rPr>
                <w:rFonts w:ascii="Times New Roman" w:eastAsia="Times New Roman" w:hAnsi="Times New Roman" w:cs="Times New Roman"/>
                <w:color w:val="000000"/>
                <w:sz w:val="24"/>
                <w:szCs w:val="24"/>
                <w:lang w:eastAsia="hr-HR"/>
              </w:rPr>
              <w:t>228</w:t>
            </w:r>
          </w:p>
        </w:tc>
      </w:tr>
      <w:tr w:rsidR="00307154" w:rsidRPr="00FF45E5" w14:paraId="76472B40" w14:textId="77777777" w:rsidTr="00816216">
        <w:tc>
          <w:tcPr>
            <w:tcW w:w="3544" w:type="dxa"/>
            <w:shd w:val="clear" w:color="auto" w:fill="F2F2F2" w:themeFill="background1" w:themeFillShade="F2"/>
            <w:vAlign w:val="center"/>
          </w:tcPr>
          <w:p w14:paraId="27037E65" w14:textId="77777777" w:rsidR="00307154" w:rsidRDefault="00307154" w:rsidP="00816216">
            <w:pPr>
              <w:jc w:val="center"/>
              <w:rPr>
                <w:rFonts w:ascii="Times New Roman" w:hAnsi="Times New Roman" w:cs="Times New Roman"/>
                <w:sz w:val="24"/>
                <w:szCs w:val="24"/>
              </w:rPr>
            </w:pPr>
            <w:r w:rsidRPr="00FF45E5">
              <w:rPr>
                <w:rFonts w:ascii="Times New Roman" w:hAnsi="Times New Roman" w:cs="Times New Roman"/>
                <w:sz w:val="24"/>
                <w:szCs w:val="24"/>
              </w:rPr>
              <w:t xml:space="preserve">Smještaj u udomiteljskoj obitelji </w:t>
            </w:r>
          </w:p>
          <w:p w14:paraId="4C149FEA" w14:textId="77777777" w:rsidR="00307154" w:rsidRDefault="00307154" w:rsidP="00816216">
            <w:pPr>
              <w:jc w:val="center"/>
              <w:rPr>
                <w:rFonts w:ascii="Times New Roman" w:hAnsi="Times New Roman" w:cs="Times New Roman"/>
                <w:sz w:val="24"/>
                <w:szCs w:val="24"/>
              </w:rPr>
            </w:pPr>
            <w:r w:rsidRPr="00FF45E5">
              <w:rPr>
                <w:rFonts w:ascii="Times New Roman" w:hAnsi="Times New Roman" w:cs="Times New Roman"/>
                <w:sz w:val="24"/>
                <w:szCs w:val="24"/>
              </w:rPr>
              <w:t xml:space="preserve">djece s teškoćama u razvoju </w:t>
            </w:r>
          </w:p>
          <w:p w14:paraId="4E47A8D3" w14:textId="77777777" w:rsidR="00307154" w:rsidRPr="00FF45E5" w:rsidRDefault="00307154" w:rsidP="00816216">
            <w:pPr>
              <w:jc w:val="center"/>
              <w:rPr>
                <w:rFonts w:ascii="Times New Roman" w:hAnsi="Times New Roman" w:cs="Times New Roman"/>
                <w:sz w:val="24"/>
                <w:szCs w:val="24"/>
              </w:rPr>
            </w:pPr>
            <w:r w:rsidRPr="00FF45E5">
              <w:rPr>
                <w:rFonts w:ascii="Times New Roman" w:hAnsi="Times New Roman" w:cs="Times New Roman"/>
                <w:sz w:val="24"/>
                <w:szCs w:val="24"/>
              </w:rPr>
              <w:t>do 18 godine života</w:t>
            </w:r>
          </w:p>
        </w:tc>
        <w:tc>
          <w:tcPr>
            <w:tcW w:w="3260" w:type="dxa"/>
            <w:vAlign w:val="center"/>
          </w:tcPr>
          <w:p w14:paraId="2E24982C" w14:textId="77777777" w:rsidR="00307154" w:rsidRPr="00FF45E5" w:rsidRDefault="00307154" w:rsidP="00816216">
            <w:pPr>
              <w:jc w:val="center"/>
              <w:rPr>
                <w:rFonts w:ascii="Times New Roman" w:hAnsi="Times New Roman" w:cs="Times New Roman"/>
                <w:sz w:val="24"/>
                <w:szCs w:val="24"/>
              </w:rPr>
            </w:pPr>
            <w:r w:rsidRPr="00FF45E5">
              <w:rPr>
                <w:rFonts w:ascii="Times New Roman" w:hAnsi="Times New Roman" w:cs="Times New Roman"/>
                <w:sz w:val="24"/>
                <w:szCs w:val="24"/>
              </w:rPr>
              <w:t>282</w:t>
            </w:r>
          </w:p>
        </w:tc>
        <w:tc>
          <w:tcPr>
            <w:tcW w:w="2268" w:type="dxa"/>
            <w:vAlign w:val="center"/>
          </w:tcPr>
          <w:p w14:paraId="4CEE8A94" w14:textId="77777777" w:rsidR="00307154" w:rsidRPr="00FF45E5" w:rsidRDefault="00307154" w:rsidP="00816216">
            <w:pPr>
              <w:jc w:val="center"/>
              <w:rPr>
                <w:rFonts w:ascii="Times New Roman" w:hAnsi="Times New Roman" w:cs="Times New Roman"/>
                <w:sz w:val="24"/>
                <w:szCs w:val="24"/>
              </w:rPr>
            </w:pPr>
            <w:r w:rsidRPr="00FF45E5">
              <w:rPr>
                <w:rFonts w:ascii="Times New Roman" w:hAnsi="Times New Roman" w:cs="Times New Roman"/>
                <w:sz w:val="24"/>
                <w:szCs w:val="24"/>
              </w:rPr>
              <w:t>284</w:t>
            </w:r>
          </w:p>
        </w:tc>
      </w:tr>
      <w:tr w:rsidR="00307154" w:rsidRPr="00FF45E5" w14:paraId="3FE38BC8" w14:textId="77777777" w:rsidTr="00816216">
        <w:trPr>
          <w:trHeight w:val="400"/>
        </w:trPr>
        <w:tc>
          <w:tcPr>
            <w:tcW w:w="3544" w:type="dxa"/>
            <w:shd w:val="clear" w:color="auto" w:fill="F2F2F2" w:themeFill="background1" w:themeFillShade="F2"/>
            <w:vAlign w:val="center"/>
          </w:tcPr>
          <w:p w14:paraId="23532E23" w14:textId="77777777" w:rsidR="00307154" w:rsidRDefault="00307154" w:rsidP="00816216">
            <w:pPr>
              <w:jc w:val="center"/>
              <w:rPr>
                <w:rFonts w:ascii="Times New Roman" w:hAnsi="Times New Roman" w:cs="Times New Roman"/>
                <w:sz w:val="24"/>
                <w:szCs w:val="24"/>
              </w:rPr>
            </w:pPr>
            <w:r>
              <w:rPr>
                <w:rFonts w:ascii="Times New Roman" w:hAnsi="Times New Roman" w:cs="Times New Roman"/>
                <w:sz w:val="24"/>
                <w:szCs w:val="24"/>
              </w:rPr>
              <w:t>Usluga c</w:t>
            </w:r>
            <w:r w:rsidRPr="00FF45E5">
              <w:rPr>
                <w:rFonts w:ascii="Times New Roman" w:hAnsi="Times New Roman" w:cs="Times New Roman"/>
                <w:sz w:val="24"/>
                <w:szCs w:val="24"/>
              </w:rPr>
              <w:t>jelodnevn</w:t>
            </w:r>
            <w:r>
              <w:rPr>
                <w:rFonts w:ascii="Times New Roman" w:hAnsi="Times New Roman" w:cs="Times New Roman"/>
                <w:sz w:val="24"/>
                <w:szCs w:val="24"/>
              </w:rPr>
              <w:t>og</w:t>
            </w:r>
            <w:r w:rsidRPr="00FF45E5">
              <w:rPr>
                <w:rFonts w:ascii="Times New Roman" w:hAnsi="Times New Roman" w:cs="Times New Roman"/>
                <w:sz w:val="24"/>
                <w:szCs w:val="24"/>
              </w:rPr>
              <w:t xml:space="preserve"> boravk</w:t>
            </w:r>
            <w:r>
              <w:rPr>
                <w:rFonts w:ascii="Times New Roman" w:hAnsi="Times New Roman" w:cs="Times New Roman"/>
                <w:sz w:val="24"/>
                <w:szCs w:val="24"/>
              </w:rPr>
              <w:t>a</w:t>
            </w:r>
            <w:r w:rsidRPr="00FF45E5">
              <w:rPr>
                <w:rFonts w:ascii="Times New Roman" w:hAnsi="Times New Roman" w:cs="Times New Roman"/>
                <w:sz w:val="24"/>
                <w:szCs w:val="24"/>
              </w:rPr>
              <w:t xml:space="preserve"> </w:t>
            </w:r>
          </w:p>
          <w:p w14:paraId="491DC02B" w14:textId="77777777" w:rsidR="00307154" w:rsidRDefault="00307154" w:rsidP="00816216">
            <w:pPr>
              <w:jc w:val="center"/>
              <w:rPr>
                <w:rFonts w:ascii="Times New Roman" w:hAnsi="Times New Roman" w:cs="Times New Roman"/>
                <w:sz w:val="24"/>
                <w:szCs w:val="24"/>
              </w:rPr>
            </w:pPr>
            <w:r w:rsidRPr="00FF45E5">
              <w:rPr>
                <w:rFonts w:ascii="Times New Roman" w:hAnsi="Times New Roman" w:cs="Times New Roman"/>
                <w:sz w:val="24"/>
                <w:szCs w:val="24"/>
              </w:rPr>
              <w:t xml:space="preserve">djece s teškoćama u razvoju </w:t>
            </w:r>
          </w:p>
          <w:p w14:paraId="15620817" w14:textId="77777777" w:rsidR="00307154" w:rsidRPr="00FF45E5" w:rsidRDefault="00307154" w:rsidP="00816216">
            <w:pPr>
              <w:jc w:val="center"/>
              <w:rPr>
                <w:rFonts w:ascii="Times New Roman" w:eastAsia="Times New Roman" w:hAnsi="Times New Roman" w:cs="Times New Roman"/>
                <w:color w:val="000000"/>
                <w:sz w:val="24"/>
                <w:szCs w:val="24"/>
                <w:lang w:eastAsia="hr-HR"/>
              </w:rPr>
            </w:pPr>
            <w:r w:rsidRPr="00FF45E5">
              <w:rPr>
                <w:rFonts w:ascii="Times New Roman" w:hAnsi="Times New Roman" w:cs="Times New Roman"/>
                <w:sz w:val="24"/>
                <w:szCs w:val="24"/>
              </w:rPr>
              <w:t>do 18 godine života</w:t>
            </w:r>
          </w:p>
        </w:tc>
        <w:tc>
          <w:tcPr>
            <w:tcW w:w="3260" w:type="dxa"/>
            <w:vAlign w:val="center"/>
          </w:tcPr>
          <w:p w14:paraId="6CDD255B" w14:textId="77777777" w:rsidR="00307154" w:rsidRPr="00FF45E5" w:rsidRDefault="00307154" w:rsidP="00816216">
            <w:pPr>
              <w:jc w:val="center"/>
              <w:rPr>
                <w:rFonts w:ascii="Times New Roman" w:eastAsia="Times New Roman" w:hAnsi="Times New Roman" w:cs="Times New Roman"/>
                <w:sz w:val="24"/>
                <w:szCs w:val="24"/>
                <w:lang w:eastAsia="hr-HR"/>
              </w:rPr>
            </w:pPr>
            <w:r w:rsidRPr="00FF45E5">
              <w:rPr>
                <w:rFonts w:ascii="Times New Roman" w:eastAsia="Times New Roman" w:hAnsi="Times New Roman" w:cs="Times New Roman"/>
                <w:sz w:val="24"/>
                <w:szCs w:val="24"/>
                <w:lang w:eastAsia="hr-HR"/>
              </w:rPr>
              <w:t>100</w:t>
            </w:r>
          </w:p>
        </w:tc>
        <w:tc>
          <w:tcPr>
            <w:tcW w:w="2268" w:type="dxa"/>
            <w:vAlign w:val="center"/>
          </w:tcPr>
          <w:p w14:paraId="7AEF0D70" w14:textId="77777777" w:rsidR="00307154" w:rsidRPr="00FF45E5" w:rsidRDefault="00307154" w:rsidP="00816216">
            <w:pPr>
              <w:jc w:val="center"/>
              <w:rPr>
                <w:rFonts w:ascii="Times New Roman" w:eastAsia="Times New Roman" w:hAnsi="Times New Roman" w:cs="Times New Roman"/>
                <w:sz w:val="24"/>
                <w:szCs w:val="24"/>
                <w:lang w:eastAsia="hr-HR"/>
              </w:rPr>
            </w:pPr>
            <w:r w:rsidRPr="00FF45E5">
              <w:rPr>
                <w:rFonts w:ascii="Times New Roman" w:eastAsia="Times New Roman" w:hAnsi="Times New Roman" w:cs="Times New Roman"/>
                <w:sz w:val="24"/>
                <w:szCs w:val="24"/>
                <w:lang w:eastAsia="hr-HR"/>
              </w:rPr>
              <w:t>40</w:t>
            </w:r>
          </w:p>
        </w:tc>
      </w:tr>
      <w:tr w:rsidR="00307154" w:rsidRPr="00FF45E5" w14:paraId="2D214ECF" w14:textId="77777777" w:rsidTr="00816216">
        <w:trPr>
          <w:trHeight w:val="400"/>
        </w:trPr>
        <w:tc>
          <w:tcPr>
            <w:tcW w:w="3544" w:type="dxa"/>
            <w:shd w:val="clear" w:color="auto" w:fill="F2F2F2" w:themeFill="background1" w:themeFillShade="F2"/>
            <w:vAlign w:val="center"/>
          </w:tcPr>
          <w:p w14:paraId="17764882" w14:textId="77777777" w:rsidR="00307154" w:rsidRDefault="00307154" w:rsidP="00816216">
            <w:pPr>
              <w:jc w:val="center"/>
              <w:rPr>
                <w:rFonts w:ascii="Times New Roman" w:hAnsi="Times New Roman" w:cs="Times New Roman"/>
                <w:sz w:val="24"/>
                <w:szCs w:val="24"/>
              </w:rPr>
            </w:pPr>
            <w:r>
              <w:rPr>
                <w:rFonts w:ascii="Times New Roman" w:hAnsi="Times New Roman" w:cs="Times New Roman"/>
                <w:sz w:val="24"/>
                <w:szCs w:val="24"/>
              </w:rPr>
              <w:t xml:space="preserve">Usluga </w:t>
            </w:r>
            <w:r w:rsidRPr="00FF45E5">
              <w:rPr>
                <w:rFonts w:ascii="Times New Roman" w:hAnsi="Times New Roman" w:cs="Times New Roman"/>
                <w:sz w:val="24"/>
                <w:szCs w:val="24"/>
              </w:rPr>
              <w:t>poludnevn</w:t>
            </w:r>
            <w:r>
              <w:rPr>
                <w:rFonts w:ascii="Times New Roman" w:hAnsi="Times New Roman" w:cs="Times New Roman"/>
                <w:sz w:val="24"/>
                <w:szCs w:val="24"/>
              </w:rPr>
              <w:t>og</w:t>
            </w:r>
            <w:r w:rsidRPr="00FF45E5">
              <w:rPr>
                <w:rFonts w:ascii="Times New Roman" w:hAnsi="Times New Roman" w:cs="Times New Roman"/>
                <w:sz w:val="24"/>
                <w:szCs w:val="24"/>
              </w:rPr>
              <w:t xml:space="preserve"> boravk</w:t>
            </w:r>
            <w:r>
              <w:rPr>
                <w:rFonts w:ascii="Times New Roman" w:hAnsi="Times New Roman" w:cs="Times New Roman"/>
                <w:sz w:val="24"/>
                <w:szCs w:val="24"/>
              </w:rPr>
              <w:t>a</w:t>
            </w:r>
            <w:r w:rsidRPr="00FF45E5">
              <w:rPr>
                <w:rFonts w:ascii="Times New Roman" w:hAnsi="Times New Roman" w:cs="Times New Roman"/>
                <w:sz w:val="24"/>
                <w:szCs w:val="24"/>
              </w:rPr>
              <w:t xml:space="preserve"> </w:t>
            </w:r>
          </w:p>
          <w:p w14:paraId="2FC85654" w14:textId="77777777" w:rsidR="00307154" w:rsidRDefault="00307154" w:rsidP="00816216">
            <w:pPr>
              <w:jc w:val="center"/>
              <w:rPr>
                <w:rFonts w:ascii="Times New Roman" w:hAnsi="Times New Roman" w:cs="Times New Roman"/>
                <w:sz w:val="24"/>
                <w:szCs w:val="24"/>
              </w:rPr>
            </w:pPr>
            <w:r w:rsidRPr="00FF45E5">
              <w:rPr>
                <w:rFonts w:ascii="Times New Roman" w:hAnsi="Times New Roman" w:cs="Times New Roman"/>
                <w:sz w:val="24"/>
                <w:szCs w:val="24"/>
              </w:rPr>
              <w:t>djece s teškoćama u razvoju</w:t>
            </w:r>
          </w:p>
          <w:p w14:paraId="33A4A9B6" w14:textId="77777777" w:rsidR="00307154" w:rsidRPr="00FF45E5" w:rsidRDefault="00307154" w:rsidP="00816216">
            <w:pPr>
              <w:jc w:val="center"/>
              <w:rPr>
                <w:rFonts w:ascii="Times New Roman" w:eastAsia="Times New Roman" w:hAnsi="Times New Roman" w:cs="Times New Roman"/>
                <w:color w:val="000000"/>
                <w:sz w:val="24"/>
                <w:szCs w:val="24"/>
                <w:lang w:eastAsia="hr-HR"/>
              </w:rPr>
            </w:pPr>
            <w:r w:rsidRPr="00FF45E5">
              <w:rPr>
                <w:rFonts w:ascii="Times New Roman" w:hAnsi="Times New Roman" w:cs="Times New Roman"/>
                <w:sz w:val="24"/>
                <w:szCs w:val="24"/>
              </w:rPr>
              <w:t xml:space="preserve"> do 18 godine života</w:t>
            </w:r>
          </w:p>
        </w:tc>
        <w:tc>
          <w:tcPr>
            <w:tcW w:w="3260" w:type="dxa"/>
            <w:vAlign w:val="center"/>
          </w:tcPr>
          <w:p w14:paraId="4F0F72BF" w14:textId="77777777" w:rsidR="00307154" w:rsidRPr="00FF45E5" w:rsidRDefault="00307154" w:rsidP="00816216">
            <w:pPr>
              <w:jc w:val="center"/>
              <w:rPr>
                <w:rFonts w:ascii="Times New Roman" w:eastAsia="Times New Roman" w:hAnsi="Times New Roman" w:cs="Times New Roman"/>
                <w:sz w:val="24"/>
                <w:szCs w:val="24"/>
                <w:lang w:eastAsia="hr-HR"/>
              </w:rPr>
            </w:pPr>
            <w:r w:rsidRPr="00FF45E5">
              <w:rPr>
                <w:rFonts w:ascii="Times New Roman" w:eastAsia="Times New Roman" w:hAnsi="Times New Roman" w:cs="Times New Roman"/>
                <w:sz w:val="24"/>
                <w:szCs w:val="24"/>
                <w:lang w:eastAsia="hr-HR"/>
              </w:rPr>
              <w:t>666</w:t>
            </w:r>
          </w:p>
        </w:tc>
        <w:tc>
          <w:tcPr>
            <w:tcW w:w="2268" w:type="dxa"/>
            <w:vAlign w:val="center"/>
          </w:tcPr>
          <w:p w14:paraId="1EB1FC1B" w14:textId="77777777" w:rsidR="00307154" w:rsidRPr="00FF45E5" w:rsidRDefault="00307154" w:rsidP="00816216">
            <w:pPr>
              <w:jc w:val="center"/>
              <w:rPr>
                <w:rFonts w:ascii="Times New Roman" w:eastAsia="Times New Roman" w:hAnsi="Times New Roman" w:cs="Times New Roman"/>
                <w:sz w:val="24"/>
                <w:szCs w:val="24"/>
                <w:lang w:eastAsia="hr-HR"/>
              </w:rPr>
            </w:pPr>
            <w:r w:rsidRPr="00FF45E5">
              <w:rPr>
                <w:rFonts w:ascii="Times New Roman" w:eastAsia="Times New Roman" w:hAnsi="Times New Roman" w:cs="Times New Roman"/>
                <w:sz w:val="24"/>
                <w:szCs w:val="24"/>
                <w:lang w:eastAsia="hr-HR"/>
              </w:rPr>
              <w:t>475</w:t>
            </w:r>
          </w:p>
        </w:tc>
      </w:tr>
      <w:tr w:rsidR="00307154" w:rsidRPr="00FF45E5" w14:paraId="7AF4AEA3" w14:textId="77777777" w:rsidTr="00816216">
        <w:trPr>
          <w:trHeight w:val="400"/>
        </w:trPr>
        <w:tc>
          <w:tcPr>
            <w:tcW w:w="3544" w:type="dxa"/>
            <w:shd w:val="clear" w:color="auto" w:fill="F2F2F2" w:themeFill="background1" w:themeFillShade="F2"/>
            <w:vAlign w:val="center"/>
          </w:tcPr>
          <w:p w14:paraId="71D91B1C" w14:textId="77777777" w:rsidR="00307154" w:rsidRPr="00FF45E5" w:rsidRDefault="00307154" w:rsidP="00816216">
            <w:pPr>
              <w:jc w:val="center"/>
              <w:rPr>
                <w:rFonts w:ascii="Times New Roman" w:eastAsia="Times New Roman" w:hAnsi="Times New Roman" w:cs="Times New Roman"/>
                <w:color w:val="000000"/>
                <w:sz w:val="24"/>
                <w:szCs w:val="24"/>
                <w:lang w:eastAsia="hr-HR"/>
              </w:rPr>
            </w:pPr>
            <w:r>
              <w:rPr>
                <w:rFonts w:ascii="Times New Roman" w:hAnsi="Times New Roman" w:cs="Times New Roman"/>
                <w:sz w:val="24"/>
                <w:szCs w:val="24"/>
              </w:rPr>
              <w:t xml:space="preserve">Usluga </w:t>
            </w:r>
            <w:r w:rsidRPr="00FF45E5">
              <w:rPr>
                <w:rFonts w:ascii="Times New Roman" w:hAnsi="Times New Roman" w:cs="Times New Roman"/>
                <w:sz w:val="24"/>
                <w:szCs w:val="24"/>
              </w:rPr>
              <w:t>psihosocijaln</w:t>
            </w:r>
            <w:r>
              <w:rPr>
                <w:rFonts w:ascii="Times New Roman" w:hAnsi="Times New Roman" w:cs="Times New Roman"/>
                <w:sz w:val="24"/>
                <w:szCs w:val="24"/>
              </w:rPr>
              <w:t>e</w:t>
            </w:r>
            <w:r w:rsidRPr="00FF45E5">
              <w:rPr>
                <w:rFonts w:ascii="Times New Roman" w:hAnsi="Times New Roman" w:cs="Times New Roman"/>
                <w:sz w:val="24"/>
                <w:szCs w:val="24"/>
              </w:rPr>
              <w:t xml:space="preserve"> podršk</w:t>
            </w:r>
            <w:r>
              <w:rPr>
                <w:rFonts w:ascii="Times New Roman" w:hAnsi="Times New Roman" w:cs="Times New Roman"/>
                <w:sz w:val="24"/>
                <w:szCs w:val="24"/>
              </w:rPr>
              <w:t>e</w:t>
            </w:r>
            <w:r w:rsidRPr="00FF45E5">
              <w:rPr>
                <w:rFonts w:ascii="Times New Roman" w:hAnsi="Times New Roman" w:cs="Times New Roman"/>
                <w:sz w:val="24"/>
                <w:szCs w:val="24"/>
              </w:rPr>
              <w:t xml:space="preserve"> djec</w:t>
            </w:r>
            <w:r>
              <w:rPr>
                <w:rFonts w:ascii="Times New Roman" w:hAnsi="Times New Roman" w:cs="Times New Roman"/>
                <w:sz w:val="24"/>
                <w:szCs w:val="24"/>
              </w:rPr>
              <w:t>i</w:t>
            </w:r>
            <w:r w:rsidRPr="00FF45E5">
              <w:rPr>
                <w:rFonts w:ascii="Times New Roman" w:hAnsi="Times New Roman" w:cs="Times New Roman"/>
                <w:sz w:val="24"/>
                <w:szCs w:val="24"/>
              </w:rPr>
              <w:t xml:space="preserve"> s teškoćama u razvoju </w:t>
            </w:r>
          </w:p>
        </w:tc>
        <w:tc>
          <w:tcPr>
            <w:tcW w:w="3260" w:type="dxa"/>
            <w:vAlign w:val="center"/>
          </w:tcPr>
          <w:p w14:paraId="30F1FF0D" w14:textId="77777777" w:rsidR="00307154" w:rsidRPr="00FF45E5" w:rsidRDefault="00307154" w:rsidP="00816216">
            <w:pPr>
              <w:jc w:val="center"/>
              <w:rPr>
                <w:rFonts w:ascii="Times New Roman" w:eastAsia="Times New Roman" w:hAnsi="Times New Roman" w:cs="Times New Roman"/>
                <w:sz w:val="24"/>
                <w:szCs w:val="24"/>
                <w:lang w:eastAsia="hr-HR"/>
              </w:rPr>
            </w:pPr>
            <w:r w:rsidRPr="00FF45E5">
              <w:rPr>
                <w:rFonts w:ascii="Times New Roman" w:eastAsia="Times New Roman" w:hAnsi="Times New Roman" w:cs="Times New Roman"/>
                <w:sz w:val="24"/>
                <w:szCs w:val="24"/>
                <w:lang w:eastAsia="hr-HR"/>
              </w:rPr>
              <w:t>2171</w:t>
            </w:r>
          </w:p>
        </w:tc>
        <w:tc>
          <w:tcPr>
            <w:tcW w:w="2268" w:type="dxa"/>
            <w:vAlign w:val="center"/>
          </w:tcPr>
          <w:p w14:paraId="4ED2758E" w14:textId="77777777" w:rsidR="00307154" w:rsidRPr="00FF45E5" w:rsidRDefault="00307154" w:rsidP="00816216">
            <w:pPr>
              <w:jc w:val="center"/>
              <w:rPr>
                <w:rFonts w:ascii="Times New Roman" w:eastAsia="Times New Roman" w:hAnsi="Times New Roman" w:cs="Times New Roman"/>
                <w:sz w:val="24"/>
                <w:szCs w:val="24"/>
                <w:lang w:eastAsia="hr-HR"/>
              </w:rPr>
            </w:pPr>
            <w:r w:rsidRPr="00FF45E5">
              <w:rPr>
                <w:rFonts w:ascii="Times New Roman" w:eastAsia="Times New Roman" w:hAnsi="Times New Roman" w:cs="Times New Roman"/>
                <w:sz w:val="24"/>
                <w:szCs w:val="24"/>
                <w:lang w:eastAsia="hr-HR"/>
              </w:rPr>
              <w:t>2284</w:t>
            </w:r>
          </w:p>
        </w:tc>
      </w:tr>
      <w:tr w:rsidR="00307154" w:rsidRPr="00FF45E5" w14:paraId="52364FBA" w14:textId="77777777" w:rsidTr="00816216">
        <w:trPr>
          <w:trHeight w:val="400"/>
        </w:trPr>
        <w:tc>
          <w:tcPr>
            <w:tcW w:w="3544" w:type="dxa"/>
            <w:shd w:val="clear" w:color="auto" w:fill="F2F2F2" w:themeFill="background1" w:themeFillShade="F2"/>
            <w:vAlign w:val="center"/>
          </w:tcPr>
          <w:p w14:paraId="17DC8C31" w14:textId="77777777" w:rsidR="00307154" w:rsidRPr="00FF45E5" w:rsidRDefault="00307154" w:rsidP="00816216">
            <w:pPr>
              <w:jc w:val="center"/>
              <w:rPr>
                <w:rFonts w:ascii="Times New Roman" w:eastAsia="Times New Roman" w:hAnsi="Times New Roman" w:cs="Times New Roman"/>
                <w:color w:val="000000"/>
                <w:sz w:val="24"/>
                <w:szCs w:val="24"/>
                <w:lang w:eastAsia="hr-HR"/>
              </w:rPr>
            </w:pPr>
            <w:r>
              <w:rPr>
                <w:rFonts w:ascii="Times New Roman" w:hAnsi="Times New Roman" w:cs="Times New Roman"/>
                <w:sz w:val="24"/>
                <w:szCs w:val="24"/>
              </w:rPr>
              <w:t xml:space="preserve">Usluga </w:t>
            </w:r>
            <w:r w:rsidRPr="00FF45E5">
              <w:rPr>
                <w:rFonts w:ascii="Times New Roman" w:hAnsi="Times New Roman" w:cs="Times New Roman"/>
                <w:sz w:val="24"/>
                <w:szCs w:val="24"/>
              </w:rPr>
              <w:t>ran</w:t>
            </w:r>
            <w:r>
              <w:rPr>
                <w:rFonts w:ascii="Times New Roman" w:hAnsi="Times New Roman" w:cs="Times New Roman"/>
                <w:sz w:val="24"/>
                <w:szCs w:val="24"/>
              </w:rPr>
              <w:t>e</w:t>
            </w:r>
            <w:r w:rsidRPr="00FF45E5">
              <w:rPr>
                <w:rFonts w:ascii="Times New Roman" w:hAnsi="Times New Roman" w:cs="Times New Roman"/>
                <w:sz w:val="24"/>
                <w:szCs w:val="24"/>
              </w:rPr>
              <w:t xml:space="preserve"> intervencij</w:t>
            </w:r>
            <w:r>
              <w:rPr>
                <w:rFonts w:ascii="Times New Roman" w:hAnsi="Times New Roman" w:cs="Times New Roman"/>
                <w:sz w:val="24"/>
                <w:szCs w:val="24"/>
              </w:rPr>
              <w:t>e</w:t>
            </w:r>
          </w:p>
        </w:tc>
        <w:tc>
          <w:tcPr>
            <w:tcW w:w="3260" w:type="dxa"/>
            <w:vAlign w:val="center"/>
          </w:tcPr>
          <w:p w14:paraId="02FAF9B7" w14:textId="77777777" w:rsidR="00307154" w:rsidRPr="00FF45E5" w:rsidRDefault="00307154" w:rsidP="00816216">
            <w:pPr>
              <w:jc w:val="center"/>
              <w:rPr>
                <w:rFonts w:ascii="Times New Roman" w:eastAsia="Times New Roman" w:hAnsi="Times New Roman" w:cs="Times New Roman"/>
                <w:sz w:val="24"/>
                <w:szCs w:val="24"/>
                <w:lang w:eastAsia="hr-HR"/>
              </w:rPr>
            </w:pPr>
            <w:r w:rsidRPr="00FF45E5">
              <w:rPr>
                <w:rFonts w:ascii="Times New Roman" w:eastAsia="Times New Roman" w:hAnsi="Times New Roman" w:cs="Times New Roman"/>
                <w:sz w:val="24"/>
                <w:szCs w:val="24"/>
                <w:lang w:eastAsia="hr-HR"/>
              </w:rPr>
              <w:t>284</w:t>
            </w:r>
          </w:p>
        </w:tc>
        <w:tc>
          <w:tcPr>
            <w:tcW w:w="2268" w:type="dxa"/>
            <w:vAlign w:val="center"/>
          </w:tcPr>
          <w:p w14:paraId="714A80A6" w14:textId="77777777" w:rsidR="00307154" w:rsidRPr="00FF45E5" w:rsidRDefault="00307154" w:rsidP="00816216">
            <w:pPr>
              <w:jc w:val="center"/>
              <w:rPr>
                <w:rFonts w:ascii="Times New Roman" w:eastAsia="Times New Roman" w:hAnsi="Times New Roman" w:cs="Times New Roman"/>
                <w:sz w:val="24"/>
                <w:szCs w:val="24"/>
                <w:lang w:eastAsia="hr-HR"/>
              </w:rPr>
            </w:pPr>
            <w:r w:rsidRPr="00FF45E5">
              <w:rPr>
                <w:rFonts w:ascii="Times New Roman" w:eastAsia="Times New Roman" w:hAnsi="Times New Roman" w:cs="Times New Roman"/>
                <w:sz w:val="24"/>
                <w:szCs w:val="24"/>
                <w:lang w:eastAsia="hr-HR"/>
              </w:rPr>
              <w:t>654</w:t>
            </w:r>
          </w:p>
        </w:tc>
      </w:tr>
      <w:tr w:rsidR="00307154" w:rsidRPr="00FF45E5" w14:paraId="4895226D" w14:textId="77777777" w:rsidTr="00816216">
        <w:trPr>
          <w:trHeight w:val="400"/>
        </w:trPr>
        <w:tc>
          <w:tcPr>
            <w:tcW w:w="3544" w:type="dxa"/>
            <w:shd w:val="clear" w:color="auto" w:fill="F2F2F2" w:themeFill="background1" w:themeFillShade="F2"/>
            <w:vAlign w:val="center"/>
          </w:tcPr>
          <w:p w14:paraId="089D60E0" w14:textId="77777777" w:rsidR="00307154" w:rsidRPr="00FF45E5" w:rsidRDefault="00307154" w:rsidP="00816216">
            <w:pPr>
              <w:jc w:val="center"/>
              <w:rPr>
                <w:rFonts w:ascii="Times New Roman" w:eastAsia="Times New Roman" w:hAnsi="Times New Roman" w:cs="Times New Roman"/>
                <w:color w:val="000000"/>
                <w:sz w:val="24"/>
                <w:szCs w:val="24"/>
                <w:lang w:eastAsia="hr-HR"/>
              </w:rPr>
            </w:pPr>
            <w:r>
              <w:rPr>
                <w:rFonts w:ascii="Times New Roman" w:hAnsi="Times New Roman" w:cs="Times New Roman"/>
                <w:sz w:val="24"/>
                <w:szCs w:val="24"/>
              </w:rPr>
              <w:t>Usluga i</w:t>
            </w:r>
            <w:r w:rsidRPr="00FF45E5">
              <w:rPr>
                <w:rFonts w:ascii="Times New Roman" w:hAnsi="Times New Roman" w:cs="Times New Roman"/>
                <w:sz w:val="24"/>
                <w:szCs w:val="24"/>
              </w:rPr>
              <w:t>ntegracij</w:t>
            </w:r>
            <w:r>
              <w:rPr>
                <w:rFonts w:ascii="Times New Roman" w:hAnsi="Times New Roman" w:cs="Times New Roman"/>
                <w:sz w:val="24"/>
                <w:szCs w:val="24"/>
              </w:rPr>
              <w:t>e</w:t>
            </w:r>
          </w:p>
        </w:tc>
        <w:tc>
          <w:tcPr>
            <w:tcW w:w="3260" w:type="dxa"/>
            <w:vAlign w:val="center"/>
          </w:tcPr>
          <w:p w14:paraId="189A1DBC" w14:textId="77777777" w:rsidR="00307154" w:rsidRPr="00FF45E5" w:rsidRDefault="00307154" w:rsidP="00816216">
            <w:pPr>
              <w:jc w:val="center"/>
              <w:rPr>
                <w:rFonts w:ascii="Times New Roman" w:eastAsia="Times New Roman" w:hAnsi="Times New Roman" w:cs="Times New Roman"/>
                <w:sz w:val="24"/>
                <w:szCs w:val="24"/>
                <w:lang w:eastAsia="hr-HR"/>
              </w:rPr>
            </w:pPr>
            <w:r w:rsidRPr="00FF45E5">
              <w:rPr>
                <w:rFonts w:ascii="Times New Roman" w:eastAsia="Times New Roman" w:hAnsi="Times New Roman" w:cs="Times New Roman"/>
                <w:sz w:val="24"/>
                <w:szCs w:val="24"/>
                <w:lang w:eastAsia="hr-HR"/>
              </w:rPr>
              <w:t>385</w:t>
            </w:r>
          </w:p>
        </w:tc>
        <w:tc>
          <w:tcPr>
            <w:tcW w:w="2268" w:type="dxa"/>
            <w:vAlign w:val="center"/>
          </w:tcPr>
          <w:p w14:paraId="6B737D27" w14:textId="77777777" w:rsidR="00307154" w:rsidRPr="00FF45E5" w:rsidRDefault="00307154" w:rsidP="00816216">
            <w:pPr>
              <w:jc w:val="center"/>
              <w:rPr>
                <w:rFonts w:ascii="Times New Roman" w:eastAsia="Times New Roman" w:hAnsi="Times New Roman" w:cs="Times New Roman"/>
                <w:sz w:val="24"/>
                <w:szCs w:val="24"/>
                <w:lang w:eastAsia="hr-HR"/>
              </w:rPr>
            </w:pPr>
            <w:r w:rsidRPr="00FF45E5">
              <w:rPr>
                <w:rFonts w:ascii="Times New Roman" w:eastAsia="Times New Roman" w:hAnsi="Times New Roman" w:cs="Times New Roman"/>
                <w:sz w:val="24"/>
                <w:szCs w:val="24"/>
                <w:lang w:eastAsia="hr-HR"/>
              </w:rPr>
              <w:t>410</w:t>
            </w:r>
          </w:p>
        </w:tc>
      </w:tr>
      <w:tr w:rsidR="00307154" w:rsidRPr="00FF45E5" w14:paraId="21BA626B" w14:textId="77777777" w:rsidTr="00816216">
        <w:trPr>
          <w:trHeight w:val="1129"/>
        </w:trPr>
        <w:tc>
          <w:tcPr>
            <w:tcW w:w="3544" w:type="dxa"/>
            <w:shd w:val="clear" w:color="auto" w:fill="F2F2F2" w:themeFill="background1" w:themeFillShade="F2"/>
            <w:vAlign w:val="center"/>
          </w:tcPr>
          <w:p w14:paraId="1C5680BF" w14:textId="77777777" w:rsidR="00307154" w:rsidRDefault="00307154" w:rsidP="00816216">
            <w:pPr>
              <w:jc w:val="center"/>
              <w:rPr>
                <w:rFonts w:ascii="Times New Roman" w:hAnsi="Times New Roman" w:cs="Times New Roman"/>
                <w:sz w:val="24"/>
                <w:szCs w:val="24"/>
              </w:rPr>
            </w:pPr>
            <w:r w:rsidRPr="00FF45E5">
              <w:rPr>
                <w:rFonts w:ascii="Times New Roman" w:hAnsi="Times New Roman" w:cs="Times New Roman"/>
                <w:sz w:val="24"/>
                <w:szCs w:val="24"/>
              </w:rPr>
              <w:t xml:space="preserve">Djeca i mladi s teškoćama u razvoju od 1 do 20 godina korisnici </w:t>
            </w:r>
          </w:p>
          <w:p w14:paraId="3D95EE5D" w14:textId="77777777" w:rsidR="00307154" w:rsidRPr="00FF45E5" w:rsidRDefault="00307154" w:rsidP="00816216">
            <w:pPr>
              <w:jc w:val="center"/>
              <w:rPr>
                <w:rFonts w:ascii="Times New Roman" w:hAnsi="Times New Roman" w:cs="Times New Roman"/>
                <w:sz w:val="24"/>
                <w:szCs w:val="24"/>
              </w:rPr>
            </w:pPr>
            <w:r w:rsidRPr="00FF45E5">
              <w:rPr>
                <w:rFonts w:ascii="Times New Roman" w:hAnsi="Times New Roman" w:cs="Times New Roman"/>
                <w:sz w:val="24"/>
                <w:szCs w:val="24"/>
                <w:u w:val="single"/>
              </w:rPr>
              <w:t>Doplatka za pomoć i njegu</w:t>
            </w:r>
            <w:r w:rsidRPr="00FF45E5">
              <w:rPr>
                <w:rFonts w:ascii="Times New Roman" w:hAnsi="Times New Roman" w:cs="Times New Roman"/>
                <w:sz w:val="24"/>
                <w:szCs w:val="24"/>
              </w:rPr>
              <w:t xml:space="preserve"> </w:t>
            </w:r>
          </w:p>
        </w:tc>
        <w:tc>
          <w:tcPr>
            <w:tcW w:w="3260" w:type="dxa"/>
            <w:vAlign w:val="center"/>
          </w:tcPr>
          <w:p w14:paraId="3BE62A7F" w14:textId="77777777" w:rsidR="00307154" w:rsidRPr="00FF45E5" w:rsidRDefault="00307154" w:rsidP="00816216">
            <w:pPr>
              <w:jc w:val="center"/>
              <w:rPr>
                <w:rFonts w:ascii="Times New Roman" w:eastAsia="Times New Roman" w:hAnsi="Times New Roman" w:cs="Times New Roman"/>
                <w:sz w:val="24"/>
                <w:szCs w:val="24"/>
                <w:lang w:eastAsia="hr-HR"/>
              </w:rPr>
            </w:pPr>
            <w:r w:rsidRPr="00FF45E5">
              <w:rPr>
                <w:rFonts w:ascii="Times New Roman" w:eastAsia="Times New Roman" w:hAnsi="Times New Roman" w:cs="Times New Roman"/>
                <w:sz w:val="24"/>
                <w:szCs w:val="24"/>
                <w:lang w:eastAsia="hr-HR"/>
              </w:rPr>
              <w:t xml:space="preserve">3952 (od kojih 1745 žena) - </w:t>
            </w:r>
          </w:p>
          <w:p w14:paraId="07F91345" w14:textId="77777777" w:rsidR="00307154" w:rsidRPr="00FF45E5" w:rsidRDefault="00307154" w:rsidP="00816216">
            <w:pPr>
              <w:jc w:val="center"/>
              <w:rPr>
                <w:rFonts w:ascii="Times New Roman" w:eastAsia="Times New Roman" w:hAnsi="Times New Roman" w:cs="Times New Roman"/>
                <w:sz w:val="24"/>
                <w:szCs w:val="24"/>
                <w:lang w:eastAsia="hr-HR"/>
              </w:rPr>
            </w:pPr>
            <w:r w:rsidRPr="00FF45E5">
              <w:rPr>
                <w:rFonts w:ascii="Times New Roman" w:eastAsia="Times New Roman" w:hAnsi="Times New Roman" w:cs="Times New Roman"/>
                <w:sz w:val="24"/>
                <w:szCs w:val="24"/>
                <w:lang w:eastAsia="hr-HR"/>
              </w:rPr>
              <w:t>5.86 % od ukupnog broja korisnika doplatka</w:t>
            </w:r>
          </w:p>
        </w:tc>
        <w:tc>
          <w:tcPr>
            <w:tcW w:w="2268" w:type="dxa"/>
            <w:vAlign w:val="center"/>
          </w:tcPr>
          <w:p w14:paraId="7964FC54" w14:textId="77777777" w:rsidR="00307154" w:rsidRPr="00FF45E5" w:rsidRDefault="00307154" w:rsidP="00816216">
            <w:pPr>
              <w:jc w:val="center"/>
              <w:rPr>
                <w:rFonts w:ascii="Times New Roman" w:eastAsia="Times New Roman" w:hAnsi="Times New Roman" w:cs="Times New Roman"/>
                <w:sz w:val="24"/>
                <w:szCs w:val="24"/>
                <w:lang w:eastAsia="hr-HR"/>
              </w:rPr>
            </w:pPr>
            <w:r w:rsidRPr="00FF45E5">
              <w:rPr>
                <w:rFonts w:ascii="Times New Roman" w:eastAsia="Times New Roman" w:hAnsi="Times New Roman" w:cs="Times New Roman"/>
                <w:sz w:val="24"/>
                <w:szCs w:val="24"/>
                <w:lang w:eastAsia="hr-HR"/>
              </w:rPr>
              <w:t>7679 (od kojih 3503 žena) –</w:t>
            </w:r>
          </w:p>
          <w:p w14:paraId="3231208C" w14:textId="77777777" w:rsidR="00307154" w:rsidRPr="00FF45E5" w:rsidRDefault="00307154" w:rsidP="00816216">
            <w:pPr>
              <w:jc w:val="center"/>
              <w:rPr>
                <w:rFonts w:ascii="Times New Roman" w:eastAsia="Times New Roman" w:hAnsi="Times New Roman" w:cs="Times New Roman"/>
                <w:sz w:val="24"/>
                <w:szCs w:val="24"/>
                <w:lang w:eastAsia="hr-HR"/>
              </w:rPr>
            </w:pPr>
            <w:r w:rsidRPr="00FF45E5">
              <w:rPr>
                <w:rFonts w:ascii="Times New Roman" w:eastAsia="Times New Roman" w:hAnsi="Times New Roman" w:cs="Times New Roman"/>
                <w:sz w:val="24"/>
                <w:szCs w:val="24"/>
                <w:lang w:eastAsia="hr-HR"/>
              </w:rPr>
              <w:t xml:space="preserve"> 9,80 % od ukupnog broja korisnika doplatka</w:t>
            </w:r>
          </w:p>
        </w:tc>
      </w:tr>
      <w:tr w:rsidR="00307154" w:rsidRPr="00FF45E5" w14:paraId="21CE2BDB" w14:textId="77777777" w:rsidTr="00816216">
        <w:trPr>
          <w:trHeight w:val="1260"/>
        </w:trPr>
        <w:tc>
          <w:tcPr>
            <w:tcW w:w="3544" w:type="dxa"/>
            <w:shd w:val="clear" w:color="auto" w:fill="F2F2F2" w:themeFill="background1" w:themeFillShade="F2"/>
            <w:vAlign w:val="center"/>
          </w:tcPr>
          <w:p w14:paraId="065E6842" w14:textId="77777777" w:rsidR="00307154" w:rsidRDefault="00307154" w:rsidP="00816216">
            <w:pPr>
              <w:jc w:val="center"/>
              <w:rPr>
                <w:rFonts w:ascii="Times New Roman" w:hAnsi="Times New Roman" w:cs="Times New Roman"/>
                <w:sz w:val="24"/>
                <w:szCs w:val="24"/>
              </w:rPr>
            </w:pPr>
            <w:r w:rsidRPr="00FF45E5">
              <w:rPr>
                <w:rFonts w:ascii="Times New Roman" w:hAnsi="Times New Roman" w:cs="Times New Roman"/>
                <w:sz w:val="24"/>
                <w:szCs w:val="24"/>
              </w:rPr>
              <w:t xml:space="preserve">Djeca i mladi s teškoćama u razvoju od 1 do 20 godina korisnici </w:t>
            </w:r>
          </w:p>
          <w:p w14:paraId="6ED26718" w14:textId="77777777" w:rsidR="00307154" w:rsidRPr="00FF45E5" w:rsidRDefault="00307154" w:rsidP="00816216">
            <w:pPr>
              <w:jc w:val="center"/>
              <w:rPr>
                <w:rFonts w:ascii="Times New Roman" w:hAnsi="Times New Roman" w:cs="Times New Roman"/>
                <w:sz w:val="24"/>
                <w:szCs w:val="24"/>
                <w:u w:val="single"/>
              </w:rPr>
            </w:pPr>
            <w:r w:rsidRPr="00FF45E5">
              <w:rPr>
                <w:rFonts w:ascii="Times New Roman" w:hAnsi="Times New Roman" w:cs="Times New Roman"/>
                <w:sz w:val="24"/>
                <w:szCs w:val="24"/>
                <w:u w:val="single"/>
              </w:rPr>
              <w:t>Osobne invalidnine</w:t>
            </w:r>
          </w:p>
        </w:tc>
        <w:tc>
          <w:tcPr>
            <w:tcW w:w="3260" w:type="dxa"/>
            <w:vAlign w:val="center"/>
          </w:tcPr>
          <w:p w14:paraId="18C9E9A0" w14:textId="77777777" w:rsidR="00307154" w:rsidRPr="00FF45E5" w:rsidRDefault="00307154" w:rsidP="00816216">
            <w:pPr>
              <w:jc w:val="center"/>
              <w:rPr>
                <w:rFonts w:ascii="Times New Roman" w:eastAsia="Times New Roman" w:hAnsi="Times New Roman" w:cs="Times New Roman"/>
                <w:sz w:val="24"/>
                <w:szCs w:val="24"/>
                <w:lang w:eastAsia="hr-HR"/>
              </w:rPr>
            </w:pPr>
            <w:r w:rsidRPr="00FF45E5">
              <w:rPr>
                <w:rFonts w:ascii="Times New Roman" w:eastAsia="Times New Roman" w:hAnsi="Times New Roman" w:cs="Times New Roman"/>
                <w:sz w:val="24"/>
                <w:szCs w:val="24"/>
                <w:lang w:eastAsia="hr-HR"/>
              </w:rPr>
              <w:t xml:space="preserve">6983 (od kojih 3083 žene) – </w:t>
            </w:r>
          </w:p>
          <w:p w14:paraId="151453CD" w14:textId="77777777" w:rsidR="00307154" w:rsidRPr="00FF45E5" w:rsidRDefault="00307154" w:rsidP="00816216">
            <w:pPr>
              <w:jc w:val="center"/>
              <w:rPr>
                <w:rFonts w:ascii="Times New Roman" w:eastAsia="Times New Roman" w:hAnsi="Times New Roman" w:cs="Times New Roman"/>
                <w:sz w:val="24"/>
                <w:szCs w:val="24"/>
                <w:lang w:eastAsia="hr-HR"/>
              </w:rPr>
            </w:pPr>
            <w:r w:rsidRPr="00FF45E5">
              <w:rPr>
                <w:rFonts w:ascii="Times New Roman" w:eastAsia="Times New Roman" w:hAnsi="Times New Roman" w:cs="Times New Roman"/>
                <w:sz w:val="24"/>
                <w:szCs w:val="24"/>
                <w:lang w:eastAsia="hr-HR"/>
              </w:rPr>
              <w:t>24,41% ukupnog broja korisnika osobne invalidnine</w:t>
            </w:r>
          </w:p>
        </w:tc>
        <w:tc>
          <w:tcPr>
            <w:tcW w:w="2268" w:type="dxa"/>
            <w:vAlign w:val="center"/>
          </w:tcPr>
          <w:p w14:paraId="47DFAD8C" w14:textId="77777777" w:rsidR="00307154" w:rsidRPr="00FF45E5" w:rsidRDefault="00307154" w:rsidP="00816216">
            <w:pPr>
              <w:jc w:val="center"/>
              <w:rPr>
                <w:rFonts w:ascii="Times New Roman" w:eastAsia="Times New Roman" w:hAnsi="Times New Roman" w:cs="Times New Roman"/>
                <w:sz w:val="24"/>
                <w:szCs w:val="24"/>
                <w:lang w:eastAsia="hr-HR"/>
              </w:rPr>
            </w:pPr>
            <w:r w:rsidRPr="00FF45E5">
              <w:rPr>
                <w:rFonts w:ascii="Times New Roman" w:eastAsia="Times New Roman" w:hAnsi="Times New Roman" w:cs="Times New Roman"/>
                <w:sz w:val="24"/>
                <w:szCs w:val="24"/>
                <w:lang w:eastAsia="hr-HR"/>
              </w:rPr>
              <w:t xml:space="preserve">7891 (od kojih 3481 žene) – </w:t>
            </w:r>
          </w:p>
          <w:p w14:paraId="6B11B809" w14:textId="77777777" w:rsidR="00307154" w:rsidRPr="00FF45E5" w:rsidRDefault="00307154" w:rsidP="00816216">
            <w:pPr>
              <w:jc w:val="center"/>
              <w:rPr>
                <w:rFonts w:ascii="Times New Roman" w:eastAsia="Times New Roman" w:hAnsi="Times New Roman" w:cs="Times New Roman"/>
                <w:sz w:val="24"/>
                <w:szCs w:val="24"/>
                <w:lang w:eastAsia="hr-HR"/>
              </w:rPr>
            </w:pPr>
            <w:r w:rsidRPr="00FF45E5">
              <w:rPr>
                <w:rFonts w:ascii="Times New Roman" w:eastAsia="Times New Roman" w:hAnsi="Times New Roman" w:cs="Times New Roman"/>
                <w:sz w:val="24"/>
                <w:szCs w:val="24"/>
                <w:lang w:eastAsia="hr-HR"/>
              </w:rPr>
              <w:t>22,45% ukupnog broja korisnika osobne invalidnine</w:t>
            </w:r>
          </w:p>
        </w:tc>
      </w:tr>
    </w:tbl>
    <w:p w14:paraId="7D752A53" w14:textId="77777777" w:rsidR="00307154" w:rsidRDefault="00307154" w:rsidP="00307154">
      <w:pPr>
        <w:jc w:val="both"/>
        <w:rPr>
          <w:rFonts w:ascii="Times New Roman" w:hAnsi="Times New Roman" w:cs="Times New Roman"/>
          <w:sz w:val="24"/>
          <w:szCs w:val="24"/>
        </w:rPr>
      </w:pPr>
    </w:p>
    <w:p w14:paraId="12E5B415" w14:textId="77777777" w:rsidR="00307154" w:rsidRPr="005B0E7F" w:rsidRDefault="00307154" w:rsidP="00307154">
      <w:pPr>
        <w:jc w:val="both"/>
        <w:rPr>
          <w:rFonts w:ascii="Times New Roman" w:hAnsi="Times New Roman" w:cs="Times New Roman"/>
          <w:sz w:val="24"/>
          <w:szCs w:val="24"/>
        </w:rPr>
      </w:pPr>
      <w:r>
        <w:rPr>
          <w:rFonts w:ascii="Times New Roman" w:hAnsi="Times New Roman" w:cs="Times New Roman"/>
          <w:sz w:val="24"/>
          <w:szCs w:val="24"/>
        </w:rPr>
        <w:lastRenderedPageBreak/>
        <w:t>U 2019. godini</w:t>
      </w:r>
      <w:r w:rsidRPr="005B0E7F">
        <w:t xml:space="preserve"> </w:t>
      </w:r>
      <w:r w:rsidRPr="005B0E7F">
        <w:rPr>
          <w:rFonts w:ascii="Times New Roman" w:hAnsi="Times New Roman" w:cs="Times New Roman"/>
          <w:sz w:val="24"/>
          <w:szCs w:val="24"/>
        </w:rPr>
        <w:t>u odnosu na 2015. godinu</w:t>
      </w:r>
      <w:r>
        <w:rPr>
          <w:rFonts w:ascii="Times New Roman" w:hAnsi="Times New Roman" w:cs="Times New Roman"/>
          <w:sz w:val="24"/>
          <w:szCs w:val="24"/>
        </w:rPr>
        <w:t xml:space="preserve"> vidljivo je da je smještaj djece do 18 godina smanjen </w:t>
      </w:r>
      <w:r w:rsidRPr="005B0E7F">
        <w:rPr>
          <w:rFonts w:ascii="Times New Roman" w:hAnsi="Times New Roman" w:cs="Times New Roman"/>
          <w:sz w:val="24"/>
          <w:szCs w:val="24"/>
        </w:rPr>
        <w:t>za 46,71%, kao i  privremeni smještaj koji je smanjen za 21,38% , dok je broj djece s teškoćama u razvoju u tretmanu centra za socijalnu skrb porastao za 16,11 posto.</w:t>
      </w:r>
    </w:p>
    <w:p w14:paraId="113A3BE9" w14:textId="77777777" w:rsidR="00307154" w:rsidRPr="005B0E7F" w:rsidRDefault="00307154" w:rsidP="00307154">
      <w:pPr>
        <w:jc w:val="both"/>
        <w:rPr>
          <w:rFonts w:ascii="Times New Roman" w:hAnsi="Times New Roman" w:cs="Times New Roman"/>
          <w:sz w:val="24"/>
          <w:szCs w:val="24"/>
        </w:rPr>
      </w:pPr>
      <w:r w:rsidRPr="005B0E7F">
        <w:rPr>
          <w:rFonts w:ascii="Times New Roman" w:hAnsi="Times New Roman" w:cs="Times New Roman"/>
          <w:sz w:val="24"/>
          <w:szCs w:val="24"/>
        </w:rPr>
        <w:t>Prevenciji institucionalizacije</w:t>
      </w:r>
      <w:r>
        <w:rPr>
          <w:rFonts w:ascii="Times New Roman" w:hAnsi="Times New Roman" w:cs="Times New Roman"/>
          <w:sz w:val="24"/>
          <w:szCs w:val="24"/>
        </w:rPr>
        <w:t>,</w:t>
      </w:r>
      <w:r w:rsidRPr="005B0E7F">
        <w:rPr>
          <w:rFonts w:ascii="Times New Roman" w:hAnsi="Times New Roman" w:cs="Times New Roman"/>
          <w:sz w:val="24"/>
          <w:szCs w:val="24"/>
        </w:rPr>
        <w:t xml:space="preserve"> </w:t>
      </w:r>
      <w:r>
        <w:rPr>
          <w:rFonts w:ascii="Times New Roman" w:hAnsi="Times New Roman" w:cs="Times New Roman"/>
          <w:sz w:val="24"/>
          <w:szCs w:val="24"/>
        </w:rPr>
        <w:t xml:space="preserve">u djelokrugu sustava socijalne skrbi, </w:t>
      </w:r>
      <w:r w:rsidRPr="005B0E7F">
        <w:rPr>
          <w:rFonts w:ascii="Times New Roman" w:hAnsi="Times New Roman" w:cs="Times New Roman"/>
          <w:sz w:val="24"/>
          <w:szCs w:val="24"/>
        </w:rPr>
        <w:t xml:space="preserve">djece s teškoćama u razvoju pridonosi i porast priznatih prava na status roditelja njegovatelja/status njegovatelja te unapređenje prava, kao i povećanje iznosa drugih materijalnih prava koje mogu ostvariti djeca s teškoćama u razvoju i osobe s invaliditetom kao što je doplatak za pomoć i njegu i osobna invalidnina.  </w:t>
      </w:r>
    </w:p>
    <w:p w14:paraId="0219088E" w14:textId="77777777" w:rsidR="00307154" w:rsidRPr="005B0E7F" w:rsidRDefault="00307154" w:rsidP="00307154">
      <w:pPr>
        <w:jc w:val="both"/>
        <w:rPr>
          <w:rFonts w:ascii="Times New Roman" w:hAnsi="Times New Roman" w:cs="Times New Roman"/>
          <w:sz w:val="24"/>
          <w:szCs w:val="24"/>
        </w:rPr>
      </w:pPr>
      <w:r w:rsidRPr="005B0E7F">
        <w:rPr>
          <w:rFonts w:ascii="Times New Roman" w:hAnsi="Times New Roman" w:cs="Times New Roman"/>
          <w:sz w:val="24"/>
          <w:szCs w:val="24"/>
        </w:rPr>
        <w:t>U 2019</w:t>
      </w:r>
      <w:r>
        <w:rPr>
          <w:rFonts w:ascii="Times New Roman" w:hAnsi="Times New Roman" w:cs="Times New Roman"/>
          <w:sz w:val="24"/>
          <w:szCs w:val="24"/>
        </w:rPr>
        <w:t>.</w:t>
      </w:r>
      <w:r w:rsidRPr="005B0E7F">
        <w:rPr>
          <w:rFonts w:ascii="Times New Roman" w:hAnsi="Times New Roman" w:cs="Times New Roman"/>
          <w:sz w:val="24"/>
          <w:szCs w:val="24"/>
        </w:rPr>
        <w:t xml:space="preserve"> godini vidljivo je povećanje broja korisnika doplatka za pomoć i njegu u dobi od 1 do 20 godina života za 48,54 % u odnosu na 2015</w:t>
      </w:r>
      <w:r>
        <w:rPr>
          <w:rFonts w:ascii="Times New Roman" w:hAnsi="Times New Roman" w:cs="Times New Roman"/>
          <w:sz w:val="24"/>
          <w:szCs w:val="24"/>
        </w:rPr>
        <w:t>.</w:t>
      </w:r>
      <w:r w:rsidRPr="005B0E7F">
        <w:rPr>
          <w:rFonts w:ascii="Times New Roman" w:hAnsi="Times New Roman" w:cs="Times New Roman"/>
          <w:sz w:val="24"/>
          <w:szCs w:val="24"/>
        </w:rPr>
        <w:t xml:space="preserve"> godinu. </w:t>
      </w:r>
    </w:p>
    <w:p w14:paraId="1569D7D3" w14:textId="77777777" w:rsidR="00307154" w:rsidRPr="005B0E7F" w:rsidRDefault="00307154" w:rsidP="00307154">
      <w:pPr>
        <w:jc w:val="both"/>
        <w:rPr>
          <w:rFonts w:ascii="Times New Roman" w:hAnsi="Times New Roman" w:cs="Times New Roman"/>
          <w:sz w:val="24"/>
          <w:szCs w:val="24"/>
        </w:rPr>
      </w:pPr>
      <w:r w:rsidRPr="005B0E7F">
        <w:rPr>
          <w:rFonts w:ascii="Times New Roman" w:hAnsi="Times New Roman" w:cs="Times New Roman"/>
          <w:sz w:val="24"/>
          <w:szCs w:val="24"/>
        </w:rPr>
        <w:t>U 2019</w:t>
      </w:r>
      <w:r>
        <w:rPr>
          <w:rFonts w:ascii="Times New Roman" w:hAnsi="Times New Roman" w:cs="Times New Roman"/>
          <w:sz w:val="24"/>
          <w:szCs w:val="24"/>
        </w:rPr>
        <w:t>.</w:t>
      </w:r>
      <w:r w:rsidRPr="005B0E7F">
        <w:rPr>
          <w:rFonts w:ascii="Times New Roman" w:hAnsi="Times New Roman" w:cs="Times New Roman"/>
          <w:sz w:val="24"/>
          <w:szCs w:val="24"/>
        </w:rPr>
        <w:t xml:space="preserve"> godini vidljivo je povećanje broja korisnika osobne invalidnine u dobi od 1 do 20 godina života za 11,51 % u odnosu na 2015. godinu.</w:t>
      </w:r>
    </w:p>
    <w:p w14:paraId="188981E3" w14:textId="77777777" w:rsidR="00307154" w:rsidRDefault="00307154" w:rsidP="00307154">
      <w:pPr>
        <w:jc w:val="both"/>
        <w:rPr>
          <w:rFonts w:ascii="Times New Roman" w:hAnsi="Times New Roman" w:cs="Times New Roman"/>
          <w:sz w:val="24"/>
          <w:szCs w:val="24"/>
        </w:rPr>
      </w:pPr>
      <w:r w:rsidRPr="005B0E7F">
        <w:rPr>
          <w:rFonts w:ascii="Times New Roman" w:hAnsi="Times New Roman" w:cs="Times New Roman"/>
          <w:sz w:val="24"/>
          <w:szCs w:val="24"/>
        </w:rPr>
        <w:t>U 2019</w:t>
      </w:r>
      <w:r>
        <w:rPr>
          <w:rFonts w:ascii="Times New Roman" w:hAnsi="Times New Roman" w:cs="Times New Roman"/>
          <w:sz w:val="24"/>
          <w:szCs w:val="24"/>
        </w:rPr>
        <w:t>.</w:t>
      </w:r>
      <w:r w:rsidRPr="005B0E7F">
        <w:rPr>
          <w:rFonts w:ascii="Times New Roman" w:hAnsi="Times New Roman" w:cs="Times New Roman"/>
          <w:sz w:val="24"/>
          <w:szCs w:val="24"/>
        </w:rPr>
        <w:t xml:space="preserve"> godini vidljivo je povećanje broja osoba koje su ostvarile pravo na status roditelja njegovatelja /status njegovatelja za 23,74%  u odnosu na 2015. godinu.</w:t>
      </w:r>
    </w:p>
    <w:p w14:paraId="6E48AFD6" w14:textId="77777777" w:rsidR="00307154" w:rsidRPr="005B0E7F" w:rsidRDefault="00307154" w:rsidP="00307154">
      <w:pPr>
        <w:jc w:val="both"/>
        <w:rPr>
          <w:rFonts w:ascii="Times New Roman" w:hAnsi="Times New Roman" w:cs="Times New Roman"/>
          <w:sz w:val="24"/>
          <w:szCs w:val="24"/>
        </w:rPr>
      </w:pPr>
      <w:r>
        <w:rPr>
          <w:rFonts w:ascii="Times New Roman" w:hAnsi="Times New Roman" w:cs="Times New Roman"/>
          <w:sz w:val="24"/>
          <w:szCs w:val="24"/>
        </w:rPr>
        <w:t xml:space="preserve">Također, </w:t>
      </w:r>
      <w:bookmarkStart w:id="188" w:name="_Hlk78804512"/>
      <w:r>
        <w:rPr>
          <w:rFonts w:ascii="Times New Roman" w:hAnsi="Times New Roman" w:cs="Times New Roman"/>
          <w:sz w:val="24"/>
          <w:szCs w:val="24"/>
        </w:rPr>
        <w:t xml:space="preserve">prevenciji institucionalizacije doprinosi širenje usluga u zajednici kao što je usluga rane intervencije, psihosocijalne podrške, usluge boravka, organiziranog stanovanja te razvoj inovativnih usluga kao što je usluga odmor od skrbi, a </w:t>
      </w:r>
      <w:bookmarkEnd w:id="188"/>
      <w:r>
        <w:rPr>
          <w:rFonts w:ascii="Times New Roman" w:hAnsi="Times New Roman" w:cs="Times New Roman"/>
          <w:sz w:val="24"/>
          <w:szCs w:val="24"/>
        </w:rPr>
        <w:t>koje se osiguravaju kroz projekte i programe udruga osoba s invaliditetom i udruga koje djeluju u korist osoba s invaliditetom, al</w:t>
      </w:r>
      <w:r w:rsidRPr="00616138">
        <w:rPr>
          <w:rFonts w:ascii="Times New Roman" w:hAnsi="Times New Roman" w:cs="Times New Roman"/>
          <w:sz w:val="24"/>
          <w:szCs w:val="24"/>
        </w:rPr>
        <w:t>i</w:t>
      </w:r>
      <w:r>
        <w:rPr>
          <w:rFonts w:ascii="Times New Roman" w:hAnsi="Times New Roman" w:cs="Times New Roman"/>
          <w:sz w:val="24"/>
          <w:szCs w:val="24"/>
        </w:rPr>
        <w:t xml:space="preserve"> i</w:t>
      </w:r>
      <w:r w:rsidRPr="00616138">
        <w:rPr>
          <w:rFonts w:ascii="Times New Roman" w:hAnsi="Times New Roman" w:cs="Times New Roman"/>
          <w:sz w:val="24"/>
          <w:szCs w:val="24"/>
        </w:rPr>
        <w:t xml:space="preserve"> kroz ugovaranje usluga s privatnim pružateljima usluge</w:t>
      </w:r>
      <w:r>
        <w:rPr>
          <w:rFonts w:ascii="Times New Roman" w:hAnsi="Times New Roman" w:cs="Times New Roman"/>
          <w:sz w:val="24"/>
          <w:szCs w:val="24"/>
        </w:rPr>
        <w:t>.</w:t>
      </w:r>
    </w:p>
    <w:p w14:paraId="6D488BD1" w14:textId="1582B6E2" w:rsidR="00307154" w:rsidRDefault="00307154">
      <w:pPr>
        <w:rPr>
          <w:rFonts w:ascii="Times New Roman" w:hAnsi="Times New Roman" w:cs="Times New Roman"/>
          <w:b/>
          <w:bCs/>
          <w:sz w:val="24"/>
          <w:szCs w:val="24"/>
        </w:rPr>
      </w:pPr>
      <w:r>
        <w:rPr>
          <w:rFonts w:ascii="Times New Roman" w:hAnsi="Times New Roman" w:cs="Times New Roman"/>
          <w:b/>
          <w:bCs/>
          <w:sz w:val="24"/>
          <w:szCs w:val="24"/>
        </w:rPr>
        <w:br w:type="page"/>
      </w:r>
    </w:p>
    <w:p w14:paraId="49761731" w14:textId="77777777" w:rsidR="00307154" w:rsidRPr="00A86CBA" w:rsidRDefault="00307154" w:rsidP="00307154">
      <w:pPr>
        <w:spacing w:after="0" w:line="240" w:lineRule="auto"/>
        <w:rPr>
          <w:rFonts w:ascii="Times New Roman" w:hAnsi="Times New Roman" w:cs="Times New Roman"/>
          <w:b/>
          <w:bCs/>
          <w:sz w:val="24"/>
          <w:szCs w:val="24"/>
          <w:u w:val="single"/>
        </w:rPr>
      </w:pPr>
      <w:r w:rsidRPr="00A86CBA">
        <w:rPr>
          <w:rFonts w:ascii="Times New Roman" w:hAnsi="Times New Roman" w:cs="Times New Roman"/>
          <w:b/>
          <w:bCs/>
          <w:sz w:val="24"/>
          <w:szCs w:val="24"/>
          <w:u w:val="single"/>
        </w:rPr>
        <w:lastRenderedPageBreak/>
        <w:t xml:space="preserve">Prilog </w:t>
      </w:r>
      <w:r>
        <w:rPr>
          <w:rFonts w:ascii="Times New Roman" w:hAnsi="Times New Roman" w:cs="Times New Roman"/>
          <w:b/>
          <w:bCs/>
          <w:sz w:val="24"/>
          <w:szCs w:val="24"/>
          <w:u w:val="single"/>
        </w:rPr>
        <w:t>12</w:t>
      </w:r>
    </w:p>
    <w:p w14:paraId="52649F72" w14:textId="77777777" w:rsidR="00307154" w:rsidRDefault="00307154" w:rsidP="00307154">
      <w:pPr>
        <w:spacing w:after="0" w:line="240" w:lineRule="auto"/>
        <w:jc w:val="center"/>
        <w:rPr>
          <w:rFonts w:ascii="Times New Roman" w:hAnsi="Times New Roman" w:cs="Times New Roman"/>
          <w:sz w:val="24"/>
          <w:szCs w:val="24"/>
        </w:rPr>
      </w:pPr>
    </w:p>
    <w:p w14:paraId="7945C0C9" w14:textId="77777777" w:rsidR="00307154" w:rsidRPr="00A86CBA" w:rsidRDefault="00307154" w:rsidP="00307154">
      <w:pPr>
        <w:spacing w:after="0" w:line="240" w:lineRule="auto"/>
        <w:jc w:val="center"/>
        <w:rPr>
          <w:rFonts w:ascii="Times New Roman" w:hAnsi="Times New Roman" w:cs="Times New Roman"/>
          <w:b/>
          <w:bCs/>
          <w:sz w:val="24"/>
          <w:szCs w:val="24"/>
        </w:rPr>
      </w:pPr>
      <w:r w:rsidRPr="00A86CBA">
        <w:rPr>
          <w:rFonts w:ascii="Times New Roman" w:hAnsi="Times New Roman" w:cs="Times New Roman"/>
          <w:b/>
          <w:bCs/>
          <w:sz w:val="24"/>
          <w:szCs w:val="24"/>
        </w:rPr>
        <w:t>ZAKON O UDOMITELJSTVU</w:t>
      </w:r>
    </w:p>
    <w:p w14:paraId="0401E033" w14:textId="77777777" w:rsidR="00307154" w:rsidRDefault="00307154" w:rsidP="00307154">
      <w:pPr>
        <w:spacing w:after="0" w:line="240" w:lineRule="auto"/>
        <w:jc w:val="both"/>
        <w:rPr>
          <w:rFonts w:ascii="Times New Roman" w:hAnsi="Times New Roman" w:cs="Times New Roman"/>
          <w:sz w:val="24"/>
          <w:szCs w:val="24"/>
        </w:rPr>
      </w:pPr>
    </w:p>
    <w:p w14:paraId="5702BDB2" w14:textId="77777777" w:rsidR="00307154" w:rsidRPr="003B5A98" w:rsidRDefault="00307154" w:rsidP="00307154">
      <w:pPr>
        <w:spacing w:after="0" w:line="240" w:lineRule="auto"/>
        <w:jc w:val="both"/>
        <w:rPr>
          <w:rFonts w:ascii="Times New Roman" w:eastAsia="Times New Roman" w:hAnsi="Times New Roman" w:cs="Times New Roman"/>
          <w:bCs/>
          <w:sz w:val="24"/>
          <w:szCs w:val="24"/>
          <w:lang w:eastAsia="hr-HR"/>
        </w:rPr>
      </w:pPr>
      <w:r>
        <w:rPr>
          <w:rFonts w:ascii="Times New Roman" w:hAnsi="Times New Roman" w:cs="Times New Roman"/>
          <w:sz w:val="24"/>
          <w:szCs w:val="24"/>
        </w:rPr>
        <w:t xml:space="preserve">Donošenjem </w:t>
      </w:r>
      <w:r w:rsidRPr="007843FE">
        <w:rPr>
          <w:rFonts w:ascii="Times New Roman" w:hAnsi="Times New Roman" w:cs="Times New Roman"/>
          <w:sz w:val="24"/>
          <w:szCs w:val="24"/>
        </w:rPr>
        <w:t>Zakon</w:t>
      </w:r>
      <w:r>
        <w:rPr>
          <w:rFonts w:ascii="Times New Roman" w:hAnsi="Times New Roman" w:cs="Times New Roman"/>
          <w:sz w:val="24"/>
          <w:szCs w:val="24"/>
        </w:rPr>
        <w:t>a</w:t>
      </w:r>
      <w:r w:rsidRPr="007843FE">
        <w:rPr>
          <w:rFonts w:ascii="Times New Roman" w:hAnsi="Times New Roman" w:cs="Times New Roman"/>
          <w:sz w:val="24"/>
          <w:szCs w:val="24"/>
        </w:rPr>
        <w:t xml:space="preserve"> o </w:t>
      </w:r>
      <w:proofErr w:type="spellStart"/>
      <w:r w:rsidRPr="007843FE">
        <w:rPr>
          <w:rFonts w:ascii="Times New Roman" w:hAnsi="Times New Roman" w:cs="Times New Roman"/>
          <w:sz w:val="24"/>
          <w:szCs w:val="24"/>
        </w:rPr>
        <w:t>udomiteljstvu</w:t>
      </w:r>
      <w:proofErr w:type="spellEnd"/>
      <w:r w:rsidRPr="007843FE">
        <w:rPr>
          <w:rFonts w:ascii="Times New Roman" w:hAnsi="Times New Roman" w:cs="Times New Roman"/>
          <w:sz w:val="24"/>
          <w:szCs w:val="24"/>
        </w:rPr>
        <w:t xml:space="preserve"> (2019.) </w:t>
      </w:r>
      <w:r w:rsidRPr="003B5A98">
        <w:rPr>
          <w:rFonts w:ascii="Times New Roman" w:eastAsia="Times New Roman" w:hAnsi="Times New Roman" w:cs="Times New Roman"/>
          <w:bCs/>
          <w:sz w:val="24"/>
          <w:szCs w:val="24"/>
          <w:lang w:eastAsia="hr-HR"/>
        </w:rPr>
        <w:t xml:space="preserve">osigurana je mogućnost obavljanja </w:t>
      </w:r>
      <w:proofErr w:type="spellStart"/>
      <w:r w:rsidRPr="003B5A98">
        <w:rPr>
          <w:rFonts w:ascii="Times New Roman" w:eastAsia="Times New Roman" w:hAnsi="Times New Roman" w:cs="Times New Roman"/>
          <w:bCs/>
          <w:sz w:val="24"/>
          <w:szCs w:val="24"/>
          <w:lang w:eastAsia="hr-HR"/>
        </w:rPr>
        <w:t>udomiteljstva</w:t>
      </w:r>
      <w:proofErr w:type="spellEnd"/>
      <w:r w:rsidRPr="003B5A98">
        <w:rPr>
          <w:rFonts w:ascii="Times New Roman" w:eastAsia="Times New Roman" w:hAnsi="Times New Roman" w:cs="Times New Roman"/>
          <w:bCs/>
          <w:sz w:val="24"/>
          <w:szCs w:val="24"/>
          <w:lang w:eastAsia="hr-HR"/>
        </w:rPr>
        <w:t xml:space="preserve"> kao zanimanja, što uključuje obavljanje standardnog </w:t>
      </w:r>
      <w:proofErr w:type="spellStart"/>
      <w:r w:rsidRPr="003B5A98">
        <w:rPr>
          <w:rFonts w:ascii="Times New Roman" w:eastAsia="Times New Roman" w:hAnsi="Times New Roman" w:cs="Times New Roman"/>
          <w:bCs/>
          <w:sz w:val="24"/>
          <w:szCs w:val="24"/>
          <w:lang w:eastAsia="hr-HR"/>
        </w:rPr>
        <w:t>udomiteljstva</w:t>
      </w:r>
      <w:proofErr w:type="spellEnd"/>
      <w:r w:rsidRPr="003B5A98">
        <w:rPr>
          <w:rFonts w:ascii="Times New Roman" w:eastAsia="Times New Roman" w:hAnsi="Times New Roman" w:cs="Times New Roman"/>
          <w:bCs/>
          <w:sz w:val="24"/>
          <w:szCs w:val="24"/>
          <w:lang w:eastAsia="hr-HR"/>
        </w:rPr>
        <w:t xml:space="preserve"> kao zanimanja i specijaliziranog </w:t>
      </w:r>
      <w:proofErr w:type="spellStart"/>
      <w:r w:rsidRPr="003B5A98">
        <w:rPr>
          <w:rFonts w:ascii="Times New Roman" w:eastAsia="Times New Roman" w:hAnsi="Times New Roman" w:cs="Times New Roman"/>
          <w:bCs/>
          <w:sz w:val="24"/>
          <w:szCs w:val="24"/>
          <w:lang w:eastAsia="hr-HR"/>
        </w:rPr>
        <w:t>udomiteljstva</w:t>
      </w:r>
      <w:proofErr w:type="spellEnd"/>
      <w:r w:rsidRPr="003B5A98">
        <w:rPr>
          <w:rFonts w:ascii="Times New Roman" w:eastAsia="Times New Roman" w:hAnsi="Times New Roman" w:cs="Times New Roman"/>
          <w:bCs/>
          <w:sz w:val="24"/>
          <w:szCs w:val="24"/>
          <w:lang w:eastAsia="hr-HR"/>
        </w:rPr>
        <w:t xml:space="preserve"> za najtežu kategoriju djece uz odgovarajuću naknadu za rad udomitelja. Obavljanjem standardnog </w:t>
      </w:r>
      <w:proofErr w:type="spellStart"/>
      <w:r w:rsidRPr="003B5A98">
        <w:rPr>
          <w:rFonts w:ascii="Times New Roman" w:eastAsia="Times New Roman" w:hAnsi="Times New Roman" w:cs="Times New Roman"/>
          <w:bCs/>
          <w:sz w:val="24"/>
          <w:szCs w:val="24"/>
          <w:lang w:eastAsia="hr-HR"/>
        </w:rPr>
        <w:t>udomiteljstva</w:t>
      </w:r>
      <w:proofErr w:type="spellEnd"/>
      <w:r w:rsidRPr="003B5A98">
        <w:rPr>
          <w:rFonts w:ascii="Times New Roman" w:eastAsia="Times New Roman" w:hAnsi="Times New Roman" w:cs="Times New Roman"/>
          <w:bCs/>
          <w:sz w:val="24"/>
          <w:szCs w:val="24"/>
          <w:lang w:eastAsia="hr-HR"/>
        </w:rPr>
        <w:t xml:space="preserve"> kao zanimanja omogućeno je dosadašnjim nezaposlenim tradicionalnim udomiteljima, uz dosadašnju naknadu za rad osiguravanje doprinosa za obvezna osiguranja (mirovinsko i zdravstveno). Za djecu koja zahtijevaju najviši stupanj podrške, odnosno djecu s problemima u ponašanju, s većim teškoćama u razvoju ili teško bolesnu djecu po prvi puta je propisana mogućnost obavljanja specijaliziranog </w:t>
      </w:r>
      <w:proofErr w:type="spellStart"/>
      <w:r w:rsidRPr="003B5A98">
        <w:rPr>
          <w:rFonts w:ascii="Times New Roman" w:eastAsia="Times New Roman" w:hAnsi="Times New Roman" w:cs="Times New Roman"/>
          <w:bCs/>
          <w:sz w:val="24"/>
          <w:szCs w:val="24"/>
          <w:lang w:eastAsia="hr-HR"/>
        </w:rPr>
        <w:t>udomiteljstva</w:t>
      </w:r>
      <w:proofErr w:type="spellEnd"/>
      <w:r w:rsidRPr="003B5A98">
        <w:rPr>
          <w:rFonts w:ascii="Times New Roman" w:eastAsia="Times New Roman" w:hAnsi="Times New Roman" w:cs="Times New Roman"/>
          <w:bCs/>
          <w:sz w:val="24"/>
          <w:szCs w:val="24"/>
          <w:lang w:eastAsia="hr-HR"/>
        </w:rPr>
        <w:t xml:space="preserve"> kao zanimanja, koje mogu obavljati stručnjaci s iskustvom u radu (socijalni radnici, psiholozi, edukacijski-</w:t>
      </w:r>
      <w:proofErr w:type="spellStart"/>
      <w:r w:rsidRPr="003B5A98">
        <w:rPr>
          <w:rFonts w:ascii="Times New Roman" w:eastAsia="Times New Roman" w:hAnsi="Times New Roman" w:cs="Times New Roman"/>
          <w:bCs/>
          <w:sz w:val="24"/>
          <w:szCs w:val="24"/>
          <w:lang w:eastAsia="hr-HR"/>
        </w:rPr>
        <w:t>rehabilitatori</w:t>
      </w:r>
      <w:proofErr w:type="spellEnd"/>
      <w:r w:rsidRPr="003B5A98">
        <w:rPr>
          <w:rFonts w:ascii="Times New Roman" w:eastAsia="Times New Roman" w:hAnsi="Times New Roman" w:cs="Times New Roman"/>
          <w:bCs/>
          <w:sz w:val="24"/>
          <w:szCs w:val="24"/>
          <w:lang w:eastAsia="hr-HR"/>
        </w:rPr>
        <w:t xml:space="preserve">, socijalni pedagozi, logopedi, radni terapeuti, fizioterapeuti i osobe s završenim studijem sestrinstva). </w:t>
      </w:r>
    </w:p>
    <w:p w14:paraId="1F344635" w14:textId="77777777" w:rsidR="00307154" w:rsidRDefault="00307154" w:rsidP="00307154">
      <w:pPr>
        <w:spacing w:after="0" w:line="240" w:lineRule="auto"/>
        <w:jc w:val="both"/>
        <w:rPr>
          <w:rFonts w:ascii="Times New Roman" w:eastAsia="Times New Roman" w:hAnsi="Times New Roman" w:cs="Times New Roman"/>
          <w:bCs/>
          <w:sz w:val="24"/>
          <w:szCs w:val="24"/>
          <w:lang w:eastAsia="hr-HR"/>
        </w:rPr>
      </w:pPr>
      <w:r w:rsidRPr="003B5A98">
        <w:rPr>
          <w:rFonts w:ascii="Times New Roman" w:eastAsia="Times New Roman" w:hAnsi="Times New Roman" w:cs="Times New Roman"/>
          <w:bCs/>
          <w:sz w:val="24"/>
          <w:szCs w:val="24"/>
          <w:lang w:eastAsia="hr-HR"/>
        </w:rPr>
        <w:t xml:space="preserve">Kako bi se osigurala kontinuirana podrška udomiteljima u svakodnevnoj skrbi za djecu, Zakonom su domovima socijalne skrbi te centrima za pružanje usluga u zajednici propisane posebne obveze stručne podrške udomiteljskim obiteljima uz centre za socijalnu skrb (pružanje stručne pomoći i potpore, provođenje edukacija, informiranje javnosti, organizacija i provođenje grupa podrške, provođenje savjetovanja, organizacija mobilnih timova i sudjelovanje u pripremi djeteta za povratak u obitelj) koje mogu pružati u suradnji s organizacijama civilnog društva, vjerskim zajednicama i  drugim fizičkim i pravnim osobama. </w:t>
      </w:r>
    </w:p>
    <w:p w14:paraId="3376325A" w14:textId="77777777" w:rsidR="00307154" w:rsidRDefault="00307154" w:rsidP="00307154">
      <w:pPr>
        <w:spacing w:after="0" w:line="240" w:lineRule="auto"/>
        <w:jc w:val="both"/>
        <w:rPr>
          <w:rFonts w:ascii="Times New Roman" w:eastAsia="Times New Roman" w:hAnsi="Times New Roman" w:cs="Times New Roman"/>
          <w:bCs/>
          <w:sz w:val="24"/>
          <w:szCs w:val="24"/>
          <w:lang w:eastAsia="hr-HR"/>
        </w:rPr>
      </w:pPr>
    </w:p>
    <w:p w14:paraId="58766B07" w14:textId="77777777" w:rsidR="00307154" w:rsidRPr="007843FE" w:rsidRDefault="00307154" w:rsidP="00307154">
      <w:pPr>
        <w:pStyle w:val="Tekstkomentara"/>
        <w:rPr>
          <w:bCs/>
          <w:sz w:val="24"/>
          <w:szCs w:val="24"/>
        </w:rPr>
      </w:pPr>
      <w:r w:rsidRPr="007843FE">
        <w:rPr>
          <w:bCs/>
          <w:sz w:val="24"/>
          <w:szCs w:val="24"/>
        </w:rPr>
        <w:t xml:space="preserve">Za provedbu novog Zakona, u prvoj polovici 2019. godine, doneseno je 6 novih pravilnika čije je donošenje imalo za cilj: </w:t>
      </w:r>
    </w:p>
    <w:p w14:paraId="51F4DE8F" w14:textId="77777777" w:rsidR="00307154" w:rsidRDefault="00307154" w:rsidP="00FB05F1">
      <w:pPr>
        <w:pStyle w:val="Tekstkomentara"/>
        <w:numPr>
          <w:ilvl w:val="0"/>
          <w:numId w:val="6"/>
        </w:numPr>
        <w:ind w:left="426"/>
        <w:jc w:val="both"/>
        <w:rPr>
          <w:bCs/>
          <w:sz w:val="24"/>
          <w:szCs w:val="24"/>
        </w:rPr>
      </w:pPr>
      <w:r w:rsidRPr="007843FE">
        <w:rPr>
          <w:bCs/>
          <w:sz w:val="24"/>
          <w:szCs w:val="24"/>
        </w:rPr>
        <w:t xml:space="preserve">omogućiti obavljanje </w:t>
      </w:r>
      <w:proofErr w:type="spellStart"/>
      <w:r w:rsidRPr="007843FE">
        <w:rPr>
          <w:bCs/>
          <w:sz w:val="24"/>
          <w:szCs w:val="24"/>
        </w:rPr>
        <w:t>udomiteljstva</w:t>
      </w:r>
      <w:proofErr w:type="spellEnd"/>
      <w:r w:rsidRPr="007843FE">
        <w:rPr>
          <w:bCs/>
          <w:sz w:val="24"/>
          <w:szCs w:val="24"/>
        </w:rPr>
        <w:t xml:space="preserve"> kao zanimanja te je u tu svrhu osnovano 21 Povjerenstvo za izbor udomitelja za svaku županiju odnosno Grad Zagreb</w:t>
      </w:r>
    </w:p>
    <w:p w14:paraId="3A0AE6D2" w14:textId="77777777" w:rsidR="00307154" w:rsidRDefault="00307154" w:rsidP="00FB05F1">
      <w:pPr>
        <w:pStyle w:val="Tekstkomentara"/>
        <w:numPr>
          <w:ilvl w:val="0"/>
          <w:numId w:val="6"/>
        </w:numPr>
        <w:ind w:left="426"/>
        <w:jc w:val="both"/>
        <w:rPr>
          <w:bCs/>
          <w:sz w:val="24"/>
          <w:szCs w:val="24"/>
        </w:rPr>
      </w:pPr>
      <w:proofErr w:type="spellStart"/>
      <w:r w:rsidRPr="007843FE">
        <w:rPr>
          <w:bCs/>
          <w:sz w:val="24"/>
          <w:szCs w:val="24"/>
        </w:rPr>
        <w:t>fleksibilizirati</w:t>
      </w:r>
      <w:proofErr w:type="spellEnd"/>
      <w:r w:rsidRPr="007843FE">
        <w:rPr>
          <w:bCs/>
          <w:sz w:val="24"/>
          <w:szCs w:val="24"/>
        </w:rPr>
        <w:t xml:space="preserve"> stambene uvjete za obavljanje </w:t>
      </w:r>
      <w:proofErr w:type="spellStart"/>
      <w:r w:rsidRPr="007843FE">
        <w:rPr>
          <w:bCs/>
          <w:sz w:val="24"/>
          <w:szCs w:val="24"/>
        </w:rPr>
        <w:t>udomiteljstva</w:t>
      </w:r>
      <w:proofErr w:type="spellEnd"/>
    </w:p>
    <w:p w14:paraId="4F45DC15" w14:textId="77777777" w:rsidR="00307154" w:rsidRDefault="00307154" w:rsidP="00FB05F1">
      <w:pPr>
        <w:pStyle w:val="Tekstkomentara"/>
        <w:numPr>
          <w:ilvl w:val="0"/>
          <w:numId w:val="6"/>
        </w:numPr>
        <w:ind w:left="426"/>
        <w:jc w:val="both"/>
        <w:rPr>
          <w:bCs/>
          <w:sz w:val="24"/>
          <w:szCs w:val="24"/>
        </w:rPr>
      </w:pPr>
      <w:r w:rsidRPr="007843FE">
        <w:rPr>
          <w:bCs/>
          <w:sz w:val="24"/>
          <w:szCs w:val="24"/>
        </w:rPr>
        <w:t xml:space="preserve">jasnije urediti postupak obiteljske procjene u postupku izdavanja dozvole za obavljanje </w:t>
      </w:r>
      <w:proofErr w:type="spellStart"/>
      <w:r w:rsidRPr="007843FE">
        <w:rPr>
          <w:bCs/>
          <w:sz w:val="24"/>
          <w:szCs w:val="24"/>
        </w:rPr>
        <w:t>udomiteljstva</w:t>
      </w:r>
      <w:proofErr w:type="spellEnd"/>
      <w:r w:rsidRPr="007843FE">
        <w:rPr>
          <w:bCs/>
          <w:sz w:val="24"/>
          <w:szCs w:val="24"/>
        </w:rPr>
        <w:t>, a u svrhu standardizacije procesa procjene i osiguravanja što kvalitetnijih udomiteljskih obitelji te je u suradnji s Uredom UNICEF-a za Hrvatsku provedena edukacija stručnih radnika centara za socijalnu skrb</w:t>
      </w:r>
    </w:p>
    <w:p w14:paraId="4618EAA5" w14:textId="77777777" w:rsidR="00307154" w:rsidRDefault="00307154" w:rsidP="00FB05F1">
      <w:pPr>
        <w:pStyle w:val="Tekstkomentara"/>
        <w:numPr>
          <w:ilvl w:val="0"/>
          <w:numId w:val="6"/>
        </w:numPr>
        <w:ind w:left="426"/>
        <w:jc w:val="both"/>
        <w:rPr>
          <w:bCs/>
          <w:sz w:val="24"/>
          <w:szCs w:val="24"/>
        </w:rPr>
      </w:pPr>
      <w:r w:rsidRPr="007843FE">
        <w:rPr>
          <w:bCs/>
          <w:sz w:val="24"/>
          <w:szCs w:val="24"/>
        </w:rPr>
        <w:t>urediti postupak i način dodjele nagrade udomiteljima koja se po prvi puta u 2019. godini dodijelila i u novcu;</w:t>
      </w:r>
    </w:p>
    <w:p w14:paraId="44EE8DB0" w14:textId="77777777" w:rsidR="00307154" w:rsidRPr="007843FE" w:rsidRDefault="00307154" w:rsidP="00FB05F1">
      <w:pPr>
        <w:pStyle w:val="Tekstkomentara"/>
        <w:numPr>
          <w:ilvl w:val="0"/>
          <w:numId w:val="6"/>
        </w:numPr>
        <w:ind w:left="426"/>
        <w:jc w:val="both"/>
        <w:rPr>
          <w:bCs/>
          <w:sz w:val="24"/>
          <w:szCs w:val="24"/>
        </w:rPr>
      </w:pPr>
      <w:r w:rsidRPr="007843FE">
        <w:rPr>
          <w:bCs/>
          <w:sz w:val="24"/>
          <w:szCs w:val="24"/>
        </w:rPr>
        <w:t>jasnije urediti trajanje osnovnog osposobljavanja, dodatnog osposobljavanja i godišnjih edukacija udomitelja te su u suradnji s Uredom UNICEF-a za Hrvatsku izrađeni edukacijski moduli za udomitelje za djecu i održan trening trenera kako bi se osigurala kontinuirana edukacija stručnih radnika centara za socijalnu skrb.</w:t>
      </w:r>
    </w:p>
    <w:p w14:paraId="0EBE794C" w14:textId="77777777" w:rsidR="00307154" w:rsidRDefault="00307154" w:rsidP="00307154">
      <w:pPr>
        <w:pStyle w:val="Tekstkomentara"/>
        <w:jc w:val="both"/>
        <w:rPr>
          <w:bCs/>
          <w:sz w:val="24"/>
          <w:szCs w:val="24"/>
        </w:rPr>
      </w:pPr>
    </w:p>
    <w:p w14:paraId="3C4022B7" w14:textId="77777777" w:rsidR="00307154" w:rsidRPr="007843FE" w:rsidRDefault="00307154" w:rsidP="00307154">
      <w:pPr>
        <w:pStyle w:val="Tekstkomentara"/>
        <w:jc w:val="both"/>
        <w:rPr>
          <w:bCs/>
          <w:sz w:val="24"/>
          <w:szCs w:val="24"/>
        </w:rPr>
      </w:pPr>
      <w:r w:rsidRPr="007843FE">
        <w:rPr>
          <w:bCs/>
          <w:sz w:val="24"/>
          <w:szCs w:val="24"/>
        </w:rPr>
        <w:t xml:space="preserve">U svrhu povećanja kvalitete pružene usluge po prvi puta su propisane posebne obveze domova i centara za pružanje usluga u zajednici (pružanje stručne pomoći i potpore, provođenje edukacija, informiranje javnosti, organizacija i provođenje grupa podrške, provođenje savjetovanja, organizacija mobilnih timova i sudjelovanje u pripremi djeteta za povratak u obitelj). </w:t>
      </w:r>
    </w:p>
    <w:p w14:paraId="0380929D" w14:textId="77777777" w:rsidR="00307154" w:rsidRDefault="00307154" w:rsidP="00307154">
      <w:pPr>
        <w:spacing w:after="0" w:line="240" w:lineRule="auto"/>
      </w:pPr>
    </w:p>
    <w:p w14:paraId="76853320" w14:textId="77777777" w:rsidR="00307154" w:rsidRPr="000C5FC2" w:rsidRDefault="00307154" w:rsidP="00307154">
      <w:pPr>
        <w:spacing w:after="0" w:line="240" w:lineRule="auto"/>
        <w:jc w:val="both"/>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 xml:space="preserve">Tijekom 2021. godine započela je izrada </w:t>
      </w:r>
      <w:r w:rsidRPr="000C5FC2">
        <w:rPr>
          <w:rFonts w:ascii="Times New Roman" w:eastAsia="Times New Roman" w:hAnsi="Times New Roman" w:cs="Times New Roman"/>
          <w:bCs/>
          <w:sz w:val="24"/>
          <w:szCs w:val="24"/>
          <w:lang w:eastAsia="hr-HR"/>
        </w:rPr>
        <w:t>Nacrta prijedloga Zakona</w:t>
      </w:r>
      <w:r w:rsidRPr="000C5FC2">
        <w:t xml:space="preserve"> </w:t>
      </w:r>
      <w:r>
        <w:t xml:space="preserve">o izmjenama i dopunama Zakona o </w:t>
      </w:r>
      <w:proofErr w:type="spellStart"/>
      <w:r>
        <w:t>udomiteljstvu</w:t>
      </w:r>
      <w:proofErr w:type="spellEnd"/>
      <w:r w:rsidRPr="000C5FC2">
        <w:rPr>
          <w:rFonts w:ascii="Times New Roman" w:eastAsia="Times New Roman" w:hAnsi="Times New Roman" w:cs="Times New Roman"/>
          <w:bCs/>
          <w:sz w:val="24"/>
          <w:szCs w:val="24"/>
          <w:lang w:eastAsia="hr-HR"/>
        </w:rPr>
        <w:t xml:space="preserve"> </w:t>
      </w:r>
      <w:r>
        <w:rPr>
          <w:rFonts w:ascii="Times New Roman" w:eastAsia="Times New Roman" w:hAnsi="Times New Roman" w:cs="Times New Roman"/>
          <w:bCs/>
          <w:sz w:val="24"/>
          <w:szCs w:val="24"/>
          <w:lang w:eastAsia="hr-HR"/>
        </w:rPr>
        <w:t xml:space="preserve">sa svrhom </w:t>
      </w:r>
      <w:r w:rsidRPr="000C5FC2">
        <w:rPr>
          <w:rFonts w:ascii="Times New Roman" w:eastAsia="Times New Roman" w:hAnsi="Times New Roman" w:cs="Times New Roman"/>
          <w:bCs/>
          <w:sz w:val="24"/>
          <w:szCs w:val="24"/>
          <w:lang w:eastAsia="hr-HR"/>
        </w:rPr>
        <w:t xml:space="preserve">razvoja specijaliziranog </w:t>
      </w:r>
      <w:proofErr w:type="spellStart"/>
      <w:r w:rsidRPr="000C5FC2">
        <w:rPr>
          <w:rFonts w:ascii="Times New Roman" w:eastAsia="Times New Roman" w:hAnsi="Times New Roman" w:cs="Times New Roman"/>
          <w:bCs/>
          <w:sz w:val="24"/>
          <w:szCs w:val="24"/>
          <w:lang w:eastAsia="hr-HR"/>
        </w:rPr>
        <w:t>udomiteljstva</w:t>
      </w:r>
      <w:proofErr w:type="spellEnd"/>
      <w:r w:rsidRPr="000C5FC2">
        <w:rPr>
          <w:rFonts w:ascii="Times New Roman" w:eastAsia="Times New Roman" w:hAnsi="Times New Roman" w:cs="Times New Roman"/>
          <w:bCs/>
          <w:sz w:val="24"/>
          <w:szCs w:val="24"/>
          <w:lang w:eastAsia="hr-HR"/>
        </w:rPr>
        <w:t xml:space="preserve"> za djecu, odnosno, veće dostupnosti usluge smještaja u </w:t>
      </w:r>
      <w:proofErr w:type="spellStart"/>
      <w:r w:rsidRPr="000C5FC2">
        <w:rPr>
          <w:rFonts w:ascii="Times New Roman" w:eastAsia="Times New Roman" w:hAnsi="Times New Roman" w:cs="Times New Roman"/>
          <w:bCs/>
          <w:sz w:val="24"/>
          <w:szCs w:val="24"/>
          <w:lang w:eastAsia="hr-HR"/>
        </w:rPr>
        <w:t>udomiteljstvu</w:t>
      </w:r>
      <w:proofErr w:type="spellEnd"/>
      <w:r w:rsidRPr="000C5FC2">
        <w:rPr>
          <w:rFonts w:ascii="Times New Roman" w:eastAsia="Times New Roman" w:hAnsi="Times New Roman" w:cs="Times New Roman"/>
          <w:bCs/>
          <w:sz w:val="24"/>
          <w:szCs w:val="24"/>
          <w:lang w:eastAsia="hr-HR"/>
        </w:rPr>
        <w:t xml:space="preserve"> za djecu s većim teškoćama u razvoju ili problemima u ponašanju osiguranjem zadovoljavajućeg broja specijaliziranih udomitelja, ravnomjernijeg razvoja </w:t>
      </w:r>
      <w:proofErr w:type="spellStart"/>
      <w:r w:rsidRPr="000C5FC2">
        <w:rPr>
          <w:rFonts w:ascii="Times New Roman" w:eastAsia="Times New Roman" w:hAnsi="Times New Roman" w:cs="Times New Roman"/>
          <w:bCs/>
          <w:sz w:val="24"/>
          <w:szCs w:val="24"/>
          <w:lang w:eastAsia="hr-HR"/>
        </w:rPr>
        <w:t>udomiteljstva</w:t>
      </w:r>
      <w:proofErr w:type="spellEnd"/>
      <w:r w:rsidRPr="000C5FC2">
        <w:rPr>
          <w:rFonts w:ascii="Times New Roman" w:eastAsia="Times New Roman" w:hAnsi="Times New Roman" w:cs="Times New Roman"/>
          <w:bCs/>
          <w:sz w:val="24"/>
          <w:szCs w:val="24"/>
          <w:lang w:eastAsia="hr-HR"/>
        </w:rPr>
        <w:t xml:space="preserve"> u RH u skladu s potrebama lokalne zajednice, povećanja </w:t>
      </w:r>
      <w:r w:rsidRPr="000C5FC2">
        <w:rPr>
          <w:rFonts w:ascii="Times New Roman" w:eastAsia="Times New Roman" w:hAnsi="Times New Roman" w:cs="Times New Roman"/>
          <w:bCs/>
          <w:sz w:val="24"/>
          <w:szCs w:val="24"/>
          <w:lang w:eastAsia="hr-HR"/>
        </w:rPr>
        <w:lastRenderedPageBreak/>
        <w:t xml:space="preserve">broja udomitelja i razvijanja </w:t>
      </w:r>
      <w:proofErr w:type="spellStart"/>
      <w:r w:rsidRPr="000C5FC2">
        <w:rPr>
          <w:rFonts w:ascii="Times New Roman" w:eastAsia="Times New Roman" w:hAnsi="Times New Roman" w:cs="Times New Roman"/>
          <w:bCs/>
          <w:sz w:val="24"/>
          <w:szCs w:val="24"/>
          <w:lang w:eastAsia="hr-HR"/>
        </w:rPr>
        <w:t>izvaninstitucijskih</w:t>
      </w:r>
      <w:proofErr w:type="spellEnd"/>
      <w:r w:rsidRPr="000C5FC2">
        <w:rPr>
          <w:rFonts w:ascii="Times New Roman" w:eastAsia="Times New Roman" w:hAnsi="Times New Roman" w:cs="Times New Roman"/>
          <w:bCs/>
          <w:sz w:val="24"/>
          <w:szCs w:val="24"/>
          <w:lang w:eastAsia="hr-HR"/>
        </w:rPr>
        <w:t xml:space="preserve"> usluga, povećanje broja </w:t>
      </w:r>
      <w:proofErr w:type="spellStart"/>
      <w:r w:rsidRPr="000C5FC2">
        <w:rPr>
          <w:rFonts w:ascii="Times New Roman" w:eastAsia="Times New Roman" w:hAnsi="Times New Roman" w:cs="Times New Roman"/>
          <w:bCs/>
          <w:sz w:val="24"/>
          <w:szCs w:val="24"/>
          <w:lang w:eastAsia="hr-HR"/>
        </w:rPr>
        <w:t>izvaninstitucijskih</w:t>
      </w:r>
      <w:proofErr w:type="spellEnd"/>
      <w:r w:rsidRPr="000C5FC2">
        <w:rPr>
          <w:rFonts w:ascii="Times New Roman" w:eastAsia="Times New Roman" w:hAnsi="Times New Roman" w:cs="Times New Roman"/>
          <w:bCs/>
          <w:sz w:val="24"/>
          <w:szCs w:val="24"/>
          <w:lang w:eastAsia="hr-HR"/>
        </w:rPr>
        <w:t xml:space="preserve"> usluga, omogućavanja boravka što većeg broja djece u pozitivnom obiteljskom okruženju, osiguranja kvalitetnijeg pružanja usluge korisniku i zadovoljavanja svih potreba korisnika kao i povećanja zadovoljstva korisnika uslugom koju pruža udomitelj.</w:t>
      </w:r>
    </w:p>
    <w:p w14:paraId="6F074543" w14:textId="77777777" w:rsidR="00307154" w:rsidRDefault="00307154" w:rsidP="00307154">
      <w:pPr>
        <w:spacing w:after="0" w:line="240" w:lineRule="auto"/>
        <w:rPr>
          <w:rFonts w:ascii="Times New Roman" w:eastAsia="Times New Roman" w:hAnsi="Times New Roman" w:cs="Times New Roman"/>
          <w:bCs/>
          <w:sz w:val="24"/>
          <w:szCs w:val="24"/>
          <w:lang w:eastAsia="hr-HR"/>
        </w:rPr>
      </w:pPr>
    </w:p>
    <w:p w14:paraId="04F91840" w14:textId="77777777" w:rsidR="00307154" w:rsidRPr="000C5FC2" w:rsidRDefault="00307154" w:rsidP="00307154">
      <w:pPr>
        <w:spacing w:after="0" w:line="240" w:lineRule="auto"/>
        <w:rPr>
          <w:rFonts w:ascii="Times New Roman" w:eastAsia="Times New Roman" w:hAnsi="Times New Roman" w:cs="Times New Roman"/>
          <w:bCs/>
          <w:sz w:val="24"/>
          <w:szCs w:val="24"/>
          <w:lang w:eastAsia="hr-HR"/>
        </w:rPr>
      </w:pPr>
      <w:r w:rsidRPr="000C5FC2">
        <w:rPr>
          <w:rFonts w:ascii="Times New Roman" w:eastAsia="Times New Roman" w:hAnsi="Times New Roman" w:cs="Times New Roman"/>
          <w:bCs/>
          <w:sz w:val="24"/>
          <w:szCs w:val="24"/>
          <w:lang w:eastAsia="hr-HR"/>
        </w:rPr>
        <w:t xml:space="preserve">Cilj donošenja Zakona je kvalitetnija zaštita prava korisnika, posebno djece te unapređenje i širenje </w:t>
      </w:r>
      <w:proofErr w:type="spellStart"/>
      <w:r w:rsidRPr="000C5FC2">
        <w:rPr>
          <w:rFonts w:ascii="Times New Roman" w:eastAsia="Times New Roman" w:hAnsi="Times New Roman" w:cs="Times New Roman"/>
          <w:bCs/>
          <w:sz w:val="24"/>
          <w:szCs w:val="24"/>
          <w:lang w:eastAsia="hr-HR"/>
        </w:rPr>
        <w:t>izvaninstitucijskih</w:t>
      </w:r>
      <w:proofErr w:type="spellEnd"/>
      <w:r w:rsidRPr="000C5FC2">
        <w:rPr>
          <w:rFonts w:ascii="Times New Roman" w:eastAsia="Times New Roman" w:hAnsi="Times New Roman" w:cs="Times New Roman"/>
          <w:bCs/>
          <w:sz w:val="24"/>
          <w:szCs w:val="24"/>
          <w:lang w:eastAsia="hr-HR"/>
        </w:rPr>
        <w:t xml:space="preserve"> usluga.</w:t>
      </w:r>
    </w:p>
    <w:p w14:paraId="6323FAEE" w14:textId="77777777" w:rsidR="00307154" w:rsidRDefault="00307154" w:rsidP="00307154">
      <w:pPr>
        <w:spacing w:after="0" w:line="240" w:lineRule="auto"/>
        <w:rPr>
          <w:rFonts w:ascii="Times New Roman" w:eastAsia="Times New Roman" w:hAnsi="Times New Roman" w:cs="Times New Roman"/>
          <w:bCs/>
          <w:sz w:val="24"/>
          <w:szCs w:val="24"/>
          <w:lang w:eastAsia="hr-HR"/>
        </w:rPr>
      </w:pPr>
    </w:p>
    <w:p w14:paraId="765E78B0" w14:textId="77777777" w:rsidR="00307154" w:rsidRPr="000C5FC2" w:rsidRDefault="00307154" w:rsidP="00307154">
      <w:pPr>
        <w:spacing w:after="0" w:line="240" w:lineRule="auto"/>
        <w:rPr>
          <w:rFonts w:ascii="Times New Roman" w:eastAsia="Times New Roman" w:hAnsi="Times New Roman" w:cs="Times New Roman"/>
          <w:bCs/>
          <w:sz w:val="24"/>
          <w:szCs w:val="24"/>
          <w:lang w:eastAsia="hr-HR"/>
        </w:rPr>
      </w:pPr>
      <w:r w:rsidRPr="000C5FC2">
        <w:rPr>
          <w:rFonts w:ascii="Times New Roman" w:eastAsia="Times New Roman" w:hAnsi="Times New Roman" w:cs="Times New Roman"/>
          <w:bCs/>
          <w:sz w:val="24"/>
          <w:szCs w:val="24"/>
          <w:lang w:eastAsia="hr-HR"/>
        </w:rPr>
        <w:t>Posebni ciljevi:</w:t>
      </w:r>
    </w:p>
    <w:p w14:paraId="2148FE49" w14:textId="77777777" w:rsidR="00307154" w:rsidRPr="000C5FC2" w:rsidRDefault="00307154" w:rsidP="00307154">
      <w:pPr>
        <w:spacing w:after="0" w:line="240" w:lineRule="auto"/>
        <w:rPr>
          <w:rFonts w:ascii="Times New Roman" w:eastAsia="Times New Roman" w:hAnsi="Times New Roman" w:cs="Times New Roman"/>
          <w:bCs/>
          <w:sz w:val="24"/>
          <w:szCs w:val="24"/>
          <w:lang w:eastAsia="hr-HR"/>
        </w:rPr>
      </w:pPr>
      <w:r w:rsidRPr="000C5FC2">
        <w:rPr>
          <w:rFonts w:ascii="Times New Roman" w:eastAsia="Times New Roman" w:hAnsi="Times New Roman" w:cs="Times New Roman"/>
          <w:bCs/>
          <w:sz w:val="24"/>
          <w:szCs w:val="24"/>
          <w:lang w:eastAsia="hr-HR"/>
        </w:rPr>
        <w:t>• Osiguran određeni broj specijaliziranih udomitelja za djecu</w:t>
      </w:r>
    </w:p>
    <w:p w14:paraId="08500439" w14:textId="77777777" w:rsidR="00307154" w:rsidRPr="000C5FC2" w:rsidRDefault="00307154" w:rsidP="00307154">
      <w:pPr>
        <w:spacing w:after="0" w:line="240" w:lineRule="auto"/>
        <w:rPr>
          <w:rFonts w:ascii="Times New Roman" w:eastAsia="Times New Roman" w:hAnsi="Times New Roman" w:cs="Times New Roman"/>
          <w:bCs/>
          <w:sz w:val="24"/>
          <w:szCs w:val="24"/>
          <w:lang w:eastAsia="hr-HR"/>
        </w:rPr>
      </w:pPr>
      <w:r w:rsidRPr="000C5FC2">
        <w:rPr>
          <w:rFonts w:ascii="Times New Roman" w:eastAsia="Times New Roman" w:hAnsi="Times New Roman" w:cs="Times New Roman"/>
          <w:bCs/>
          <w:sz w:val="24"/>
          <w:szCs w:val="24"/>
          <w:lang w:eastAsia="hr-HR"/>
        </w:rPr>
        <w:t>• Povećanje broja udomitelja</w:t>
      </w:r>
    </w:p>
    <w:p w14:paraId="00BEC00C" w14:textId="77777777" w:rsidR="00307154" w:rsidRPr="000C5FC2" w:rsidRDefault="00307154" w:rsidP="00307154">
      <w:pPr>
        <w:spacing w:after="0" w:line="240" w:lineRule="auto"/>
        <w:rPr>
          <w:rFonts w:ascii="Times New Roman" w:eastAsia="Times New Roman" w:hAnsi="Times New Roman" w:cs="Times New Roman"/>
          <w:bCs/>
          <w:sz w:val="24"/>
          <w:szCs w:val="24"/>
          <w:lang w:eastAsia="hr-HR"/>
        </w:rPr>
      </w:pPr>
      <w:r w:rsidRPr="000C5FC2">
        <w:rPr>
          <w:rFonts w:ascii="Times New Roman" w:eastAsia="Times New Roman" w:hAnsi="Times New Roman" w:cs="Times New Roman"/>
          <w:bCs/>
          <w:sz w:val="24"/>
          <w:szCs w:val="24"/>
          <w:lang w:eastAsia="hr-HR"/>
        </w:rPr>
        <w:t xml:space="preserve">• Regionalna ravnomjernost </w:t>
      </w:r>
      <w:proofErr w:type="spellStart"/>
      <w:r w:rsidRPr="000C5FC2">
        <w:rPr>
          <w:rFonts w:ascii="Times New Roman" w:eastAsia="Times New Roman" w:hAnsi="Times New Roman" w:cs="Times New Roman"/>
          <w:bCs/>
          <w:sz w:val="24"/>
          <w:szCs w:val="24"/>
          <w:lang w:eastAsia="hr-HR"/>
        </w:rPr>
        <w:t>udomiteljstva</w:t>
      </w:r>
      <w:proofErr w:type="spellEnd"/>
    </w:p>
    <w:p w14:paraId="30DA4ED2" w14:textId="77777777" w:rsidR="00307154" w:rsidRPr="000C5FC2" w:rsidRDefault="00307154" w:rsidP="00307154">
      <w:pPr>
        <w:spacing w:after="0" w:line="240" w:lineRule="auto"/>
        <w:rPr>
          <w:rFonts w:ascii="Times New Roman" w:eastAsia="Times New Roman" w:hAnsi="Times New Roman" w:cs="Times New Roman"/>
          <w:bCs/>
          <w:sz w:val="24"/>
          <w:szCs w:val="24"/>
          <w:lang w:eastAsia="hr-HR"/>
        </w:rPr>
      </w:pPr>
      <w:r w:rsidRPr="000C5FC2">
        <w:rPr>
          <w:rFonts w:ascii="Times New Roman" w:eastAsia="Times New Roman" w:hAnsi="Times New Roman" w:cs="Times New Roman"/>
          <w:bCs/>
          <w:sz w:val="24"/>
          <w:szCs w:val="24"/>
          <w:lang w:eastAsia="hr-HR"/>
        </w:rPr>
        <w:t>•</w:t>
      </w:r>
      <w:r>
        <w:rPr>
          <w:rFonts w:ascii="Times New Roman" w:eastAsia="Times New Roman" w:hAnsi="Times New Roman" w:cs="Times New Roman"/>
          <w:bCs/>
          <w:sz w:val="24"/>
          <w:szCs w:val="24"/>
          <w:lang w:eastAsia="hr-HR"/>
        </w:rPr>
        <w:t xml:space="preserve"> </w:t>
      </w:r>
      <w:r w:rsidRPr="000C5FC2">
        <w:rPr>
          <w:rFonts w:ascii="Times New Roman" w:eastAsia="Times New Roman" w:hAnsi="Times New Roman" w:cs="Times New Roman"/>
          <w:bCs/>
          <w:sz w:val="24"/>
          <w:szCs w:val="24"/>
          <w:lang w:eastAsia="hr-HR"/>
        </w:rPr>
        <w:t>Poboljšanje kvalitete skrbi u udomiteljskim obiteljima</w:t>
      </w:r>
    </w:p>
    <w:p w14:paraId="420EAC8D" w14:textId="77777777" w:rsidR="00307154" w:rsidRPr="000C5FC2" w:rsidRDefault="00307154" w:rsidP="00307154">
      <w:pPr>
        <w:spacing w:after="0" w:line="240" w:lineRule="auto"/>
        <w:rPr>
          <w:rFonts w:ascii="Times New Roman" w:eastAsia="Times New Roman" w:hAnsi="Times New Roman" w:cs="Times New Roman"/>
          <w:bCs/>
          <w:sz w:val="24"/>
          <w:szCs w:val="24"/>
          <w:lang w:eastAsia="hr-HR"/>
        </w:rPr>
      </w:pPr>
      <w:r w:rsidRPr="000C5FC2">
        <w:rPr>
          <w:rFonts w:ascii="Times New Roman" w:eastAsia="Times New Roman" w:hAnsi="Times New Roman" w:cs="Times New Roman"/>
          <w:bCs/>
          <w:sz w:val="24"/>
          <w:szCs w:val="24"/>
          <w:lang w:eastAsia="hr-HR"/>
        </w:rPr>
        <w:t>•</w:t>
      </w:r>
      <w:r>
        <w:rPr>
          <w:rFonts w:ascii="Times New Roman" w:eastAsia="Times New Roman" w:hAnsi="Times New Roman" w:cs="Times New Roman"/>
          <w:bCs/>
          <w:sz w:val="24"/>
          <w:szCs w:val="24"/>
          <w:lang w:eastAsia="hr-HR"/>
        </w:rPr>
        <w:t xml:space="preserve"> </w:t>
      </w:r>
      <w:r w:rsidRPr="000C5FC2">
        <w:rPr>
          <w:rFonts w:ascii="Times New Roman" w:eastAsia="Times New Roman" w:hAnsi="Times New Roman" w:cs="Times New Roman"/>
          <w:bCs/>
          <w:sz w:val="24"/>
          <w:szCs w:val="24"/>
          <w:lang w:eastAsia="hr-HR"/>
        </w:rPr>
        <w:t>Povećanje broja djece u udomiteljskim obiteljima.</w:t>
      </w:r>
    </w:p>
    <w:p w14:paraId="47FE6F88" w14:textId="77777777" w:rsidR="00307154" w:rsidRDefault="00307154" w:rsidP="00307154">
      <w:pPr>
        <w:spacing w:after="0" w:line="240" w:lineRule="auto"/>
        <w:jc w:val="both"/>
        <w:rPr>
          <w:rFonts w:ascii="Times New Roman" w:eastAsia="Times New Roman" w:hAnsi="Times New Roman" w:cs="Times New Roman"/>
          <w:bCs/>
          <w:sz w:val="24"/>
          <w:szCs w:val="24"/>
          <w:lang w:eastAsia="hr-HR"/>
        </w:rPr>
      </w:pPr>
    </w:p>
    <w:p w14:paraId="07098F86" w14:textId="77777777" w:rsidR="00307154" w:rsidRPr="000C5FC2" w:rsidRDefault="00307154" w:rsidP="00307154">
      <w:pPr>
        <w:spacing w:after="0" w:line="240" w:lineRule="auto"/>
        <w:jc w:val="both"/>
        <w:rPr>
          <w:rFonts w:ascii="Times New Roman" w:eastAsia="Times New Roman" w:hAnsi="Times New Roman" w:cs="Times New Roman"/>
          <w:bCs/>
          <w:sz w:val="24"/>
          <w:szCs w:val="24"/>
          <w:lang w:eastAsia="hr-HR"/>
        </w:rPr>
      </w:pPr>
      <w:r w:rsidRPr="000C5FC2">
        <w:rPr>
          <w:rFonts w:ascii="Times New Roman" w:eastAsia="Times New Roman" w:hAnsi="Times New Roman" w:cs="Times New Roman"/>
          <w:bCs/>
          <w:sz w:val="24"/>
          <w:szCs w:val="24"/>
          <w:lang w:eastAsia="hr-HR"/>
        </w:rPr>
        <w:t xml:space="preserve">Navedeno se planira postići proširenjem (ublažavanjem) uvjeta za specijalizirano </w:t>
      </w:r>
      <w:proofErr w:type="spellStart"/>
      <w:r w:rsidRPr="000C5FC2">
        <w:rPr>
          <w:rFonts w:ascii="Times New Roman" w:eastAsia="Times New Roman" w:hAnsi="Times New Roman" w:cs="Times New Roman"/>
          <w:bCs/>
          <w:sz w:val="24"/>
          <w:szCs w:val="24"/>
          <w:lang w:eastAsia="hr-HR"/>
        </w:rPr>
        <w:t>udomiteljstvo</w:t>
      </w:r>
      <w:proofErr w:type="spellEnd"/>
      <w:r w:rsidRPr="000C5FC2">
        <w:rPr>
          <w:rFonts w:ascii="Times New Roman" w:eastAsia="Times New Roman" w:hAnsi="Times New Roman" w:cs="Times New Roman"/>
          <w:bCs/>
          <w:sz w:val="24"/>
          <w:szCs w:val="24"/>
          <w:lang w:eastAsia="hr-HR"/>
        </w:rPr>
        <w:t xml:space="preserve"> za djecu, povećanjem visine </w:t>
      </w:r>
      <w:proofErr w:type="spellStart"/>
      <w:r w:rsidRPr="000C5FC2">
        <w:rPr>
          <w:rFonts w:ascii="Times New Roman" w:eastAsia="Times New Roman" w:hAnsi="Times New Roman" w:cs="Times New Roman"/>
          <w:bCs/>
          <w:sz w:val="24"/>
          <w:szCs w:val="24"/>
          <w:lang w:eastAsia="hr-HR"/>
        </w:rPr>
        <w:t>opskrbnine</w:t>
      </w:r>
      <w:proofErr w:type="spellEnd"/>
      <w:r w:rsidRPr="000C5FC2">
        <w:rPr>
          <w:rFonts w:ascii="Times New Roman" w:eastAsia="Times New Roman" w:hAnsi="Times New Roman" w:cs="Times New Roman"/>
          <w:bCs/>
          <w:sz w:val="24"/>
          <w:szCs w:val="24"/>
          <w:lang w:eastAsia="hr-HR"/>
        </w:rPr>
        <w:t xml:space="preserve">, drugačijim definiranjem kategorija korisnika koji su obuhvaćeni </w:t>
      </w:r>
      <w:proofErr w:type="spellStart"/>
      <w:r w:rsidRPr="000C5FC2">
        <w:rPr>
          <w:rFonts w:ascii="Times New Roman" w:eastAsia="Times New Roman" w:hAnsi="Times New Roman" w:cs="Times New Roman"/>
          <w:bCs/>
          <w:sz w:val="24"/>
          <w:szCs w:val="24"/>
          <w:lang w:eastAsia="hr-HR"/>
        </w:rPr>
        <w:t>opskrbninom</w:t>
      </w:r>
      <w:proofErr w:type="spellEnd"/>
      <w:r w:rsidRPr="000C5FC2">
        <w:rPr>
          <w:rFonts w:ascii="Times New Roman" w:eastAsia="Times New Roman" w:hAnsi="Times New Roman" w:cs="Times New Roman"/>
          <w:bCs/>
          <w:sz w:val="24"/>
          <w:szCs w:val="24"/>
          <w:lang w:eastAsia="hr-HR"/>
        </w:rPr>
        <w:t xml:space="preserve"> i povećanjem visine naknade za rad udomitelja.</w:t>
      </w:r>
    </w:p>
    <w:p w14:paraId="14D3B65D" w14:textId="77777777" w:rsidR="00307154" w:rsidRPr="000C5FC2" w:rsidRDefault="00307154" w:rsidP="00307154">
      <w:pPr>
        <w:spacing w:after="0" w:line="240" w:lineRule="auto"/>
        <w:rPr>
          <w:rFonts w:ascii="Times New Roman" w:eastAsia="Times New Roman" w:hAnsi="Times New Roman" w:cs="Times New Roman"/>
          <w:bCs/>
          <w:sz w:val="24"/>
          <w:szCs w:val="24"/>
          <w:lang w:eastAsia="hr-HR"/>
        </w:rPr>
      </w:pPr>
    </w:p>
    <w:p w14:paraId="52AEB725" w14:textId="77777777" w:rsidR="00B05EA3" w:rsidRPr="00307154" w:rsidRDefault="00B05EA3" w:rsidP="00B05EA3">
      <w:pPr>
        <w:spacing w:after="0" w:line="240" w:lineRule="auto"/>
        <w:rPr>
          <w:rFonts w:ascii="Times New Roman" w:hAnsi="Times New Roman" w:cs="Times New Roman"/>
          <w:b/>
          <w:bCs/>
          <w:sz w:val="24"/>
          <w:szCs w:val="24"/>
        </w:rPr>
      </w:pPr>
    </w:p>
    <w:p w14:paraId="07BB8745" w14:textId="32CA7E73" w:rsidR="005F3233" w:rsidRDefault="005F3233" w:rsidP="00830F31">
      <w:pPr>
        <w:pStyle w:val="Naslov1"/>
        <w:rPr>
          <w:rFonts w:ascii="Times New Roman" w:hAnsi="Times New Roman" w:cs="Times New Roman"/>
          <w:color w:val="auto"/>
          <w:sz w:val="24"/>
          <w:szCs w:val="24"/>
        </w:rPr>
      </w:pPr>
    </w:p>
    <w:p w14:paraId="1AE7528D" w14:textId="77777777" w:rsidR="005F3233" w:rsidRDefault="005F3233" w:rsidP="00830F31">
      <w:pPr>
        <w:pStyle w:val="Naslov1"/>
        <w:rPr>
          <w:rFonts w:ascii="Times New Roman" w:hAnsi="Times New Roman" w:cs="Times New Roman"/>
          <w:color w:val="auto"/>
          <w:sz w:val="24"/>
          <w:szCs w:val="24"/>
        </w:rPr>
      </w:pPr>
    </w:p>
    <w:p w14:paraId="139CAD79" w14:textId="47D6757C" w:rsidR="00BE0947" w:rsidRDefault="00BE0947">
      <w:pPr>
        <w:rPr>
          <w:rFonts w:ascii="Times New Roman" w:eastAsiaTheme="majorEastAsia" w:hAnsi="Times New Roman" w:cs="Times New Roman"/>
          <w:sz w:val="24"/>
          <w:szCs w:val="24"/>
        </w:rPr>
      </w:pPr>
      <w:r>
        <w:rPr>
          <w:rFonts w:ascii="Times New Roman" w:hAnsi="Times New Roman" w:cs="Times New Roman"/>
          <w:sz w:val="24"/>
          <w:szCs w:val="24"/>
        </w:rPr>
        <w:br w:type="page"/>
      </w:r>
    </w:p>
    <w:p w14:paraId="2873F4D6" w14:textId="77777777" w:rsidR="00BE0947" w:rsidRPr="00B32326" w:rsidRDefault="00BE0947" w:rsidP="00BE0947">
      <w:pPr>
        <w:shd w:val="clear" w:color="auto" w:fill="FFFFFF" w:themeFill="background1"/>
        <w:spacing w:after="0" w:line="240" w:lineRule="auto"/>
        <w:jc w:val="both"/>
        <w:rPr>
          <w:rFonts w:ascii="Times New Roman" w:hAnsi="Times New Roman" w:cs="Times New Roman"/>
          <w:b/>
          <w:bCs/>
          <w:sz w:val="24"/>
          <w:szCs w:val="24"/>
          <w:u w:val="single"/>
        </w:rPr>
      </w:pPr>
      <w:r w:rsidRPr="00B32326">
        <w:rPr>
          <w:rFonts w:ascii="Times New Roman" w:hAnsi="Times New Roman" w:cs="Times New Roman"/>
          <w:b/>
          <w:bCs/>
          <w:sz w:val="24"/>
          <w:szCs w:val="24"/>
          <w:u w:val="single"/>
        </w:rPr>
        <w:lastRenderedPageBreak/>
        <w:t xml:space="preserve">Prilog </w:t>
      </w:r>
      <w:r>
        <w:rPr>
          <w:rFonts w:ascii="Times New Roman" w:hAnsi="Times New Roman" w:cs="Times New Roman"/>
          <w:b/>
          <w:bCs/>
          <w:sz w:val="24"/>
          <w:szCs w:val="24"/>
          <w:u w:val="single"/>
        </w:rPr>
        <w:t>13</w:t>
      </w:r>
    </w:p>
    <w:p w14:paraId="03846DF1" w14:textId="77777777" w:rsidR="00BE0947" w:rsidRDefault="00BE0947" w:rsidP="00BE0947">
      <w:pPr>
        <w:shd w:val="clear" w:color="auto" w:fill="FFFFFF" w:themeFill="background1"/>
        <w:spacing w:after="0" w:line="240" w:lineRule="auto"/>
        <w:jc w:val="both"/>
        <w:rPr>
          <w:rFonts w:ascii="Times New Roman" w:hAnsi="Times New Roman" w:cs="Times New Roman"/>
          <w:sz w:val="24"/>
          <w:szCs w:val="24"/>
        </w:rPr>
      </w:pPr>
    </w:p>
    <w:p w14:paraId="0A7A72DF" w14:textId="77777777" w:rsidR="00BE0947" w:rsidRPr="00B32326" w:rsidRDefault="00BE0947" w:rsidP="00BE0947">
      <w:pPr>
        <w:shd w:val="clear" w:color="auto" w:fill="FFFFFF" w:themeFill="background1"/>
        <w:spacing w:after="0" w:line="240" w:lineRule="auto"/>
        <w:jc w:val="center"/>
        <w:rPr>
          <w:rFonts w:ascii="Times New Roman" w:hAnsi="Times New Roman" w:cs="Times New Roman"/>
          <w:b/>
          <w:bCs/>
          <w:sz w:val="24"/>
          <w:szCs w:val="24"/>
        </w:rPr>
      </w:pPr>
      <w:r w:rsidRPr="00B32326">
        <w:rPr>
          <w:rFonts w:ascii="Times New Roman" w:hAnsi="Times New Roman" w:cs="Times New Roman"/>
          <w:b/>
          <w:bCs/>
          <w:sz w:val="24"/>
          <w:szCs w:val="24"/>
        </w:rPr>
        <w:t>USLUGA RANE INTERVENCIJE</w:t>
      </w:r>
    </w:p>
    <w:p w14:paraId="169590F5" w14:textId="77777777" w:rsidR="00BE0947" w:rsidRDefault="00BE0947" w:rsidP="00BE0947">
      <w:pPr>
        <w:shd w:val="clear" w:color="auto" w:fill="FFFFFF" w:themeFill="background1"/>
        <w:spacing w:after="0" w:line="240" w:lineRule="auto"/>
        <w:jc w:val="both"/>
        <w:rPr>
          <w:rFonts w:ascii="Times New Roman" w:hAnsi="Times New Roman" w:cs="Times New Roman"/>
          <w:sz w:val="24"/>
          <w:szCs w:val="24"/>
        </w:rPr>
      </w:pPr>
    </w:p>
    <w:p w14:paraId="02E6C679" w14:textId="77777777" w:rsidR="00BE0947" w:rsidRDefault="00BE0947" w:rsidP="00BE0947">
      <w:pPr>
        <w:shd w:val="clear" w:color="auto" w:fill="FFFFFF" w:themeFill="background1"/>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Usluga rane intervencije se osigurava s ciljem razvoja punog potencijala djeteta s teškoćama u razvoju, a </w:t>
      </w:r>
      <w:r w:rsidRPr="007F47D7">
        <w:rPr>
          <w:rFonts w:ascii="Times New Roman" w:eastAsia="Times New Roman" w:hAnsi="Times New Roman" w:cs="Times New Roman"/>
          <w:bCs/>
          <w:sz w:val="24"/>
          <w:szCs w:val="24"/>
          <w:lang w:eastAsia="hr-HR"/>
        </w:rPr>
        <w:t>obuhvaća stručnu poticajnu pomoć djeci i stručnu i savjetodavnu pomoć njihovim roditeljima, uključujući i druge članove obitelji te udomitelja za djecu, kod nekog utvrđenog razvojnog rizika ili razvojne teškoće djeteta</w:t>
      </w:r>
      <w:r>
        <w:rPr>
          <w:rFonts w:ascii="Times New Roman" w:eastAsia="Times New Roman" w:hAnsi="Times New Roman" w:cs="Times New Roman"/>
          <w:bCs/>
          <w:sz w:val="24"/>
          <w:szCs w:val="24"/>
          <w:lang w:eastAsia="hr-HR"/>
        </w:rPr>
        <w:t>.</w:t>
      </w:r>
    </w:p>
    <w:p w14:paraId="6A58BDA9" w14:textId="77777777" w:rsidR="00BE0947" w:rsidRDefault="00BE0947" w:rsidP="00BE0947">
      <w:pPr>
        <w:shd w:val="clear" w:color="auto" w:fill="FFFFFF" w:themeFill="background1"/>
        <w:spacing w:after="0" w:line="240" w:lineRule="auto"/>
        <w:jc w:val="both"/>
        <w:rPr>
          <w:rFonts w:ascii="Times New Roman" w:hAnsi="Times New Roman" w:cs="Times New Roman"/>
          <w:sz w:val="24"/>
          <w:szCs w:val="24"/>
        </w:rPr>
      </w:pPr>
    </w:p>
    <w:p w14:paraId="6970F4F4" w14:textId="77777777" w:rsidR="00BE0947" w:rsidRPr="005507A5" w:rsidRDefault="00BE0947" w:rsidP="00BE0947">
      <w:pPr>
        <w:shd w:val="clear" w:color="auto" w:fill="FFFFFF" w:themeFill="background1"/>
        <w:spacing w:after="0" w:line="240" w:lineRule="auto"/>
        <w:jc w:val="both"/>
        <w:rPr>
          <w:rFonts w:ascii="Times New Roman" w:hAnsi="Times New Roman" w:cs="Times New Roman"/>
          <w:sz w:val="24"/>
          <w:szCs w:val="24"/>
        </w:rPr>
      </w:pPr>
      <w:r>
        <w:rPr>
          <w:rFonts w:ascii="Times New Roman" w:hAnsi="Times New Roman" w:cs="Times New Roman"/>
          <w:sz w:val="24"/>
          <w:szCs w:val="24"/>
        </w:rPr>
        <w:t>U</w:t>
      </w:r>
      <w:r w:rsidRPr="005507A5">
        <w:rPr>
          <w:rFonts w:ascii="Times New Roman" w:hAnsi="Times New Roman" w:cs="Times New Roman"/>
          <w:sz w:val="24"/>
          <w:szCs w:val="24"/>
        </w:rPr>
        <w:t xml:space="preserve"> 2018. godini je s ciljem unaprjeđenja sustava probira, rane dijagnostike i rane intervencije za djecu s teškoćama u razvoju</w:t>
      </w:r>
      <w:r>
        <w:rPr>
          <w:rFonts w:ascii="Times New Roman" w:hAnsi="Times New Roman" w:cs="Times New Roman"/>
          <w:sz w:val="24"/>
          <w:szCs w:val="24"/>
        </w:rPr>
        <w:t xml:space="preserve"> izgrađen je i opremljen Centar za autizam Osijek, a u njegovom opremanju je </w:t>
      </w:r>
      <w:r w:rsidRPr="005507A5">
        <w:rPr>
          <w:rFonts w:ascii="Times New Roman" w:hAnsi="Times New Roman" w:cs="Times New Roman"/>
          <w:sz w:val="24"/>
          <w:szCs w:val="24"/>
        </w:rPr>
        <w:t xml:space="preserve">ministarstvo nadležno za poslove socijalne skrbi </w:t>
      </w:r>
      <w:r>
        <w:rPr>
          <w:rFonts w:ascii="Times New Roman" w:hAnsi="Times New Roman" w:cs="Times New Roman"/>
          <w:sz w:val="24"/>
          <w:szCs w:val="24"/>
        </w:rPr>
        <w:t>s</w:t>
      </w:r>
      <w:r w:rsidRPr="005507A5">
        <w:rPr>
          <w:rFonts w:ascii="Times New Roman" w:hAnsi="Times New Roman" w:cs="Times New Roman"/>
          <w:sz w:val="24"/>
          <w:szCs w:val="24"/>
        </w:rPr>
        <w:t>udjelovalo iznosom od 1.638.225,20 kuna</w:t>
      </w:r>
      <w:r>
        <w:rPr>
          <w:rFonts w:ascii="Times New Roman" w:hAnsi="Times New Roman" w:cs="Times New Roman"/>
          <w:sz w:val="24"/>
          <w:szCs w:val="24"/>
        </w:rPr>
        <w:t>.</w:t>
      </w:r>
    </w:p>
    <w:p w14:paraId="2D722F73" w14:textId="77777777" w:rsidR="00BE0947" w:rsidRPr="005507A5" w:rsidRDefault="00BE0947" w:rsidP="00BE0947">
      <w:pPr>
        <w:shd w:val="clear" w:color="auto" w:fill="FFFFFF" w:themeFill="background1"/>
        <w:spacing w:after="0" w:line="240" w:lineRule="auto"/>
        <w:jc w:val="both"/>
        <w:rPr>
          <w:rFonts w:ascii="Times New Roman" w:hAnsi="Times New Roman" w:cs="Times New Roman"/>
          <w:sz w:val="24"/>
          <w:szCs w:val="24"/>
        </w:rPr>
      </w:pPr>
    </w:p>
    <w:p w14:paraId="10931D75" w14:textId="77777777" w:rsidR="00BE0947" w:rsidRDefault="00BE0947" w:rsidP="00BE0947">
      <w:pPr>
        <w:shd w:val="clear" w:color="auto" w:fill="FFFFFF" w:themeFill="background1"/>
        <w:spacing w:after="0" w:line="240" w:lineRule="auto"/>
        <w:jc w:val="both"/>
        <w:rPr>
          <w:rFonts w:ascii="Times New Roman" w:hAnsi="Times New Roman" w:cs="Times New Roman"/>
          <w:sz w:val="24"/>
          <w:szCs w:val="24"/>
        </w:rPr>
      </w:pPr>
    </w:p>
    <w:p w14:paraId="76DDBA56" w14:textId="77777777" w:rsidR="00BE0947" w:rsidRPr="005507A5" w:rsidRDefault="00BE0947" w:rsidP="00BE0947">
      <w:pPr>
        <w:shd w:val="clear" w:color="auto" w:fill="FFFFFF" w:themeFill="background1"/>
        <w:spacing w:after="0" w:line="240" w:lineRule="auto"/>
        <w:jc w:val="both"/>
        <w:rPr>
          <w:rFonts w:ascii="Times New Roman" w:hAnsi="Times New Roman" w:cs="Times New Roman"/>
          <w:sz w:val="24"/>
          <w:szCs w:val="24"/>
        </w:rPr>
      </w:pPr>
      <w:r>
        <w:rPr>
          <w:rFonts w:ascii="Times New Roman" w:hAnsi="Times New Roman" w:cs="Times New Roman"/>
          <w:sz w:val="24"/>
          <w:szCs w:val="24"/>
        </w:rPr>
        <w:t>S</w:t>
      </w:r>
      <w:r w:rsidRPr="005507A5">
        <w:rPr>
          <w:rFonts w:ascii="Times New Roman" w:hAnsi="Times New Roman" w:cs="Times New Roman"/>
          <w:sz w:val="24"/>
          <w:szCs w:val="24"/>
        </w:rPr>
        <w:t xml:space="preserve"> ciljem širenja socijalne usluge rane intervencije Ministarstvo nadležno za poslove socijalne skrbi ima ugovorenu uslugu s četiri pružatelja navedene usluge, te je u 2019. godini za izvršene usluge rane intervencije kod navedenih pružatelja utrošeno ukupno 1.073.855,70 kuna. </w:t>
      </w:r>
    </w:p>
    <w:p w14:paraId="33427539" w14:textId="77777777" w:rsidR="00BE0947" w:rsidRPr="008801FE" w:rsidRDefault="00BE0947" w:rsidP="00BE0947">
      <w:pPr>
        <w:pStyle w:val="Odlomakpopisa"/>
        <w:shd w:val="clear" w:color="auto" w:fill="FFFFFF" w:themeFill="background1"/>
        <w:spacing w:after="0" w:line="240" w:lineRule="auto"/>
        <w:ind w:left="319"/>
        <w:jc w:val="both"/>
        <w:rPr>
          <w:rFonts w:ascii="Times New Roman" w:hAnsi="Times New Roman" w:cs="Times New Roman"/>
          <w:sz w:val="24"/>
          <w:szCs w:val="24"/>
        </w:rPr>
      </w:pPr>
    </w:p>
    <w:tbl>
      <w:tblPr>
        <w:tblStyle w:val="Reetkatablice"/>
        <w:tblW w:w="9099" w:type="dxa"/>
        <w:tblLayout w:type="fixed"/>
        <w:tblLook w:val="04A0" w:firstRow="1" w:lastRow="0" w:firstColumn="1" w:lastColumn="0" w:noHBand="0" w:noVBand="1"/>
      </w:tblPr>
      <w:tblGrid>
        <w:gridCol w:w="1303"/>
        <w:gridCol w:w="2410"/>
        <w:gridCol w:w="1984"/>
        <w:gridCol w:w="1701"/>
        <w:gridCol w:w="1701"/>
      </w:tblGrid>
      <w:tr w:rsidR="00BE0947" w:rsidRPr="00812C6B" w14:paraId="17B8DFEB" w14:textId="77777777" w:rsidTr="00A418AE">
        <w:tc>
          <w:tcPr>
            <w:tcW w:w="1303" w:type="dxa"/>
            <w:shd w:val="clear" w:color="auto" w:fill="FFF2CC" w:themeFill="accent4" w:themeFillTint="33"/>
            <w:vAlign w:val="center"/>
          </w:tcPr>
          <w:p w14:paraId="1797C87A" w14:textId="77777777" w:rsidR="00BE0947" w:rsidRPr="008801FE" w:rsidRDefault="00BE0947" w:rsidP="00816216">
            <w:pPr>
              <w:jc w:val="center"/>
              <w:rPr>
                <w:rFonts w:ascii="Times New Roman" w:hAnsi="Times New Roman" w:cs="Times New Roman"/>
                <w:sz w:val="20"/>
                <w:szCs w:val="20"/>
              </w:rPr>
            </w:pPr>
            <w:r w:rsidRPr="008801FE">
              <w:rPr>
                <w:rFonts w:ascii="Times New Roman" w:hAnsi="Times New Roman" w:cs="Times New Roman"/>
                <w:sz w:val="20"/>
                <w:szCs w:val="20"/>
              </w:rPr>
              <w:t>Županija</w:t>
            </w:r>
          </w:p>
        </w:tc>
        <w:tc>
          <w:tcPr>
            <w:tcW w:w="2410" w:type="dxa"/>
            <w:shd w:val="clear" w:color="auto" w:fill="FFF2CC" w:themeFill="accent4" w:themeFillTint="33"/>
            <w:vAlign w:val="center"/>
          </w:tcPr>
          <w:p w14:paraId="34F2AFB6" w14:textId="77777777" w:rsidR="00BE0947" w:rsidRPr="008801FE" w:rsidRDefault="00BE0947" w:rsidP="00816216">
            <w:pPr>
              <w:jc w:val="center"/>
              <w:rPr>
                <w:rFonts w:ascii="Times New Roman" w:hAnsi="Times New Roman" w:cs="Times New Roman"/>
                <w:sz w:val="20"/>
                <w:szCs w:val="20"/>
              </w:rPr>
            </w:pPr>
            <w:r w:rsidRPr="008801FE">
              <w:rPr>
                <w:rFonts w:ascii="Times New Roman" w:hAnsi="Times New Roman" w:cs="Times New Roman"/>
                <w:sz w:val="20"/>
                <w:szCs w:val="20"/>
              </w:rPr>
              <w:t>Ugovoreni pružatelj usluge rane intervencije</w:t>
            </w:r>
          </w:p>
        </w:tc>
        <w:tc>
          <w:tcPr>
            <w:tcW w:w="1984" w:type="dxa"/>
            <w:shd w:val="clear" w:color="auto" w:fill="FFF2CC" w:themeFill="accent4" w:themeFillTint="33"/>
            <w:vAlign w:val="center"/>
          </w:tcPr>
          <w:p w14:paraId="5D4BA638" w14:textId="77777777" w:rsidR="00BE0947" w:rsidRPr="008801FE" w:rsidRDefault="00BE0947" w:rsidP="00816216">
            <w:pPr>
              <w:jc w:val="center"/>
              <w:rPr>
                <w:rFonts w:ascii="Times New Roman" w:hAnsi="Times New Roman" w:cs="Times New Roman"/>
                <w:sz w:val="20"/>
                <w:szCs w:val="20"/>
              </w:rPr>
            </w:pPr>
            <w:r w:rsidRPr="008801FE">
              <w:rPr>
                <w:rFonts w:ascii="Times New Roman" w:hAnsi="Times New Roman" w:cs="Times New Roman"/>
                <w:sz w:val="20"/>
                <w:szCs w:val="20"/>
              </w:rPr>
              <w:t>Broj ugovorenih usluga rane intervencije</w:t>
            </w:r>
          </w:p>
        </w:tc>
        <w:tc>
          <w:tcPr>
            <w:tcW w:w="1701" w:type="dxa"/>
            <w:shd w:val="clear" w:color="auto" w:fill="FFF2CC" w:themeFill="accent4" w:themeFillTint="33"/>
            <w:vAlign w:val="center"/>
          </w:tcPr>
          <w:p w14:paraId="3A3488A9" w14:textId="77777777" w:rsidR="00BE0947" w:rsidRPr="008801FE" w:rsidRDefault="00BE0947" w:rsidP="00816216">
            <w:pPr>
              <w:jc w:val="center"/>
              <w:rPr>
                <w:rFonts w:ascii="Times New Roman" w:hAnsi="Times New Roman" w:cs="Times New Roman"/>
                <w:sz w:val="20"/>
                <w:szCs w:val="20"/>
              </w:rPr>
            </w:pPr>
            <w:r w:rsidRPr="008801FE">
              <w:rPr>
                <w:rFonts w:ascii="Times New Roman" w:hAnsi="Times New Roman" w:cs="Times New Roman"/>
                <w:sz w:val="20"/>
                <w:szCs w:val="20"/>
              </w:rPr>
              <w:t>Utrošena sredstva u 2019. godini</w:t>
            </w:r>
          </w:p>
        </w:tc>
        <w:tc>
          <w:tcPr>
            <w:tcW w:w="1701" w:type="dxa"/>
            <w:shd w:val="clear" w:color="auto" w:fill="FFF2CC" w:themeFill="accent4" w:themeFillTint="33"/>
          </w:tcPr>
          <w:p w14:paraId="0C6B9ED4" w14:textId="77777777" w:rsidR="00BE0947" w:rsidRPr="008801FE" w:rsidRDefault="00BE0947" w:rsidP="00816216">
            <w:pPr>
              <w:jc w:val="center"/>
              <w:rPr>
                <w:rFonts w:ascii="Times New Roman" w:hAnsi="Times New Roman" w:cs="Times New Roman"/>
                <w:sz w:val="20"/>
                <w:szCs w:val="20"/>
              </w:rPr>
            </w:pPr>
            <w:r>
              <w:rPr>
                <w:rFonts w:ascii="Times New Roman" w:hAnsi="Times New Roman" w:cs="Times New Roman"/>
                <w:sz w:val="20"/>
                <w:szCs w:val="20"/>
              </w:rPr>
              <w:t>Razdoblje pružanja usluge (2019. godina)</w:t>
            </w:r>
          </w:p>
        </w:tc>
      </w:tr>
      <w:tr w:rsidR="00BE0947" w:rsidRPr="00812C6B" w14:paraId="53A7657C" w14:textId="77777777" w:rsidTr="00816216">
        <w:trPr>
          <w:trHeight w:val="689"/>
        </w:trPr>
        <w:tc>
          <w:tcPr>
            <w:tcW w:w="1303" w:type="dxa"/>
            <w:vAlign w:val="center"/>
          </w:tcPr>
          <w:p w14:paraId="2A72F6FD" w14:textId="77777777" w:rsidR="00BE0947" w:rsidRPr="008801FE" w:rsidRDefault="00BE0947" w:rsidP="00816216">
            <w:pPr>
              <w:shd w:val="clear" w:color="auto" w:fill="FFFFFF" w:themeFill="background1"/>
              <w:jc w:val="both"/>
              <w:rPr>
                <w:rFonts w:ascii="Times New Roman" w:hAnsi="Times New Roman" w:cs="Times New Roman"/>
                <w:sz w:val="20"/>
                <w:szCs w:val="20"/>
              </w:rPr>
            </w:pPr>
            <w:r w:rsidRPr="008801FE">
              <w:rPr>
                <w:rFonts w:ascii="Times New Roman" w:hAnsi="Times New Roman" w:cs="Times New Roman"/>
                <w:sz w:val="20"/>
                <w:szCs w:val="20"/>
              </w:rPr>
              <w:t>Međimurska županija</w:t>
            </w:r>
          </w:p>
        </w:tc>
        <w:tc>
          <w:tcPr>
            <w:tcW w:w="2410" w:type="dxa"/>
            <w:vAlign w:val="center"/>
          </w:tcPr>
          <w:p w14:paraId="177A1FBB" w14:textId="77777777" w:rsidR="00BE0947" w:rsidRPr="008801FE" w:rsidRDefault="00BE0947" w:rsidP="00816216">
            <w:pPr>
              <w:shd w:val="clear" w:color="auto" w:fill="FFFFFF" w:themeFill="background1"/>
              <w:rPr>
                <w:rFonts w:ascii="Times New Roman" w:hAnsi="Times New Roman" w:cs="Times New Roman"/>
                <w:sz w:val="20"/>
                <w:szCs w:val="20"/>
              </w:rPr>
            </w:pPr>
            <w:r w:rsidRPr="008801FE">
              <w:rPr>
                <w:rFonts w:ascii="Times New Roman" w:hAnsi="Times New Roman" w:cs="Times New Roman"/>
                <w:sz w:val="20"/>
                <w:szCs w:val="20"/>
              </w:rPr>
              <w:t>Međimurska udruga za ranu intervenciju, Čakovec</w:t>
            </w:r>
          </w:p>
        </w:tc>
        <w:tc>
          <w:tcPr>
            <w:tcW w:w="1984" w:type="dxa"/>
            <w:vAlign w:val="center"/>
          </w:tcPr>
          <w:p w14:paraId="431FF7EA" w14:textId="77777777" w:rsidR="00BE0947" w:rsidRPr="008801FE" w:rsidRDefault="00BE0947" w:rsidP="00816216">
            <w:pPr>
              <w:shd w:val="clear" w:color="auto" w:fill="FFFFFF" w:themeFill="background1"/>
              <w:rPr>
                <w:rFonts w:ascii="Times New Roman" w:hAnsi="Times New Roman" w:cs="Times New Roman"/>
                <w:sz w:val="20"/>
                <w:szCs w:val="20"/>
              </w:rPr>
            </w:pPr>
            <w:r w:rsidRPr="008801FE">
              <w:rPr>
                <w:rFonts w:ascii="Times New Roman" w:hAnsi="Times New Roman" w:cs="Times New Roman"/>
                <w:sz w:val="20"/>
                <w:szCs w:val="20"/>
              </w:rPr>
              <w:t>116 usluga rane intervencije mjesečno</w:t>
            </w:r>
          </w:p>
        </w:tc>
        <w:tc>
          <w:tcPr>
            <w:tcW w:w="1701" w:type="dxa"/>
            <w:vAlign w:val="center"/>
          </w:tcPr>
          <w:p w14:paraId="3C76A194" w14:textId="77777777" w:rsidR="00BE0947" w:rsidRPr="008801FE" w:rsidRDefault="00BE0947" w:rsidP="00816216">
            <w:pPr>
              <w:shd w:val="clear" w:color="auto" w:fill="FFFFFF" w:themeFill="background1"/>
              <w:jc w:val="both"/>
              <w:rPr>
                <w:rFonts w:ascii="Times New Roman" w:hAnsi="Times New Roman" w:cs="Times New Roman"/>
                <w:sz w:val="20"/>
                <w:szCs w:val="20"/>
              </w:rPr>
            </w:pPr>
            <w:r w:rsidRPr="008801FE">
              <w:rPr>
                <w:rFonts w:ascii="Times New Roman" w:hAnsi="Times New Roman" w:cs="Times New Roman"/>
                <w:sz w:val="20"/>
                <w:szCs w:val="20"/>
              </w:rPr>
              <w:t>248.472,00 kn</w:t>
            </w:r>
          </w:p>
        </w:tc>
        <w:tc>
          <w:tcPr>
            <w:tcW w:w="1701" w:type="dxa"/>
            <w:vAlign w:val="center"/>
          </w:tcPr>
          <w:p w14:paraId="2E216EE0" w14:textId="77777777" w:rsidR="00BE0947" w:rsidRPr="008801FE" w:rsidRDefault="00BE0947" w:rsidP="00816216">
            <w:pPr>
              <w:shd w:val="clear" w:color="auto" w:fill="FFFFFF" w:themeFill="background1"/>
              <w:rPr>
                <w:rFonts w:ascii="Times New Roman" w:hAnsi="Times New Roman" w:cs="Times New Roman"/>
                <w:sz w:val="20"/>
                <w:szCs w:val="20"/>
              </w:rPr>
            </w:pPr>
            <w:r>
              <w:rPr>
                <w:rFonts w:ascii="Times New Roman" w:hAnsi="Times New Roman" w:cs="Times New Roman"/>
                <w:sz w:val="20"/>
                <w:szCs w:val="20"/>
              </w:rPr>
              <w:t>t</w:t>
            </w:r>
            <w:r w:rsidRPr="008801FE">
              <w:rPr>
                <w:rFonts w:ascii="Times New Roman" w:hAnsi="Times New Roman" w:cs="Times New Roman"/>
                <w:sz w:val="20"/>
                <w:szCs w:val="20"/>
              </w:rPr>
              <w:t>ijekom cijele godine</w:t>
            </w:r>
          </w:p>
        </w:tc>
      </w:tr>
      <w:tr w:rsidR="00BE0947" w:rsidRPr="00812C6B" w14:paraId="1359FF6C" w14:textId="77777777" w:rsidTr="00816216">
        <w:tc>
          <w:tcPr>
            <w:tcW w:w="1303" w:type="dxa"/>
            <w:vAlign w:val="center"/>
          </w:tcPr>
          <w:p w14:paraId="57ED2548" w14:textId="77777777" w:rsidR="00BE0947" w:rsidRPr="008801FE" w:rsidRDefault="00BE0947" w:rsidP="00816216">
            <w:pPr>
              <w:shd w:val="clear" w:color="auto" w:fill="FFFFFF" w:themeFill="background1"/>
              <w:jc w:val="both"/>
              <w:rPr>
                <w:rFonts w:ascii="Times New Roman" w:hAnsi="Times New Roman" w:cs="Times New Roman"/>
                <w:sz w:val="20"/>
                <w:szCs w:val="20"/>
              </w:rPr>
            </w:pPr>
            <w:r w:rsidRPr="008801FE">
              <w:rPr>
                <w:rFonts w:ascii="Times New Roman" w:hAnsi="Times New Roman" w:cs="Times New Roman"/>
                <w:sz w:val="20"/>
                <w:szCs w:val="20"/>
              </w:rPr>
              <w:t>Karlovačka županija</w:t>
            </w:r>
          </w:p>
        </w:tc>
        <w:tc>
          <w:tcPr>
            <w:tcW w:w="2410" w:type="dxa"/>
            <w:vAlign w:val="center"/>
          </w:tcPr>
          <w:p w14:paraId="3FBC0FD3" w14:textId="77777777" w:rsidR="00BE0947" w:rsidRPr="008801FE" w:rsidRDefault="00BE0947" w:rsidP="00816216">
            <w:pPr>
              <w:shd w:val="clear" w:color="auto" w:fill="FFFFFF" w:themeFill="background1"/>
              <w:rPr>
                <w:rFonts w:ascii="Times New Roman" w:hAnsi="Times New Roman" w:cs="Times New Roman"/>
                <w:sz w:val="20"/>
                <w:szCs w:val="20"/>
              </w:rPr>
            </w:pPr>
            <w:r w:rsidRPr="008801FE">
              <w:rPr>
                <w:rFonts w:ascii="Times New Roman" w:hAnsi="Times New Roman" w:cs="Times New Roman"/>
                <w:sz w:val="20"/>
                <w:szCs w:val="20"/>
              </w:rPr>
              <w:t>Udruga Zvončići za djecu s teškoćama u razvoju, Karlovac</w:t>
            </w:r>
          </w:p>
        </w:tc>
        <w:tc>
          <w:tcPr>
            <w:tcW w:w="1984" w:type="dxa"/>
            <w:vAlign w:val="center"/>
          </w:tcPr>
          <w:p w14:paraId="2CB7F53C" w14:textId="77777777" w:rsidR="00BE0947" w:rsidRPr="008801FE" w:rsidRDefault="00BE0947" w:rsidP="00816216">
            <w:pPr>
              <w:shd w:val="clear" w:color="auto" w:fill="FFFFFF" w:themeFill="background1"/>
              <w:rPr>
                <w:rFonts w:ascii="Times New Roman" w:hAnsi="Times New Roman" w:cs="Times New Roman"/>
                <w:sz w:val="20"/>
                <w:szCs w:val="20"/>
              </w:rPr>
            </w:pPr>
            <w:r w:rsidRPr="008801FE">
              <w:rPr>
                <w:rFonts w:ascii="Times New Roman" w:hAnsi="Times New Roman" w:cs="Times New Roman"/>
                <w:sz w:val="20"/>
                <w:szCs w:val="20"/>
              </w:rPr>
              <w:t>275 usluga rane intervencije mjesečno</w:t>
            </w:r>
          </w:p>
        </w:tc>
        <w:tc>
          <w:tcPr>
            <w:tcW w:w="1701" w:type="dxa"/>
            <w:vAlign w:val="center"/>
          </w:tcPr>
          <w:p w14:paraId="2847C1A2" w14:textId="77777777" w:rsidR="00BE0947" w:rsidRPr="008801FE" w:rsidRDefault="00BE0947" w:rsidP="00816216">
            <w:pPr>
              <w:shd w:val="clear" w:color="auto" w:fill="FFFFFF" w:themeFill="background1"/>
              <w:jc w:val="both"/>
              <w:rPr>
                <w:rFonts w:ascii="Times New Roman" w:hAnsi="Times New Roman" w:cs="Times New Roman"/>
                <w:sz w:val="20"/>
                <w:szCs w:val="20"/>
              </w:rPr>
            </w:pPr>
            <w:r w:rsidRPr="008801FE">
              <w:rPr>
                <w:rFonts w:ascii="Times New Roman" w:hAnsi="Times New Roman" w:cs="Times New Roman"/>
                <w:sz w:val="20"/>
                <w:szCs w:val="20"/>
              </w:rPr>
              <w:t>328.625,00 kn</w:t>
            </w:r>
          </w:p>
        </w:tc>
        <w:tc>
          <w:tcPr>
            <w:tcW w:w="1701" w:type="dxa"/>
            <w:vAlign w:val="center"/>
          </w:tcPr>
          <w:p w14:paraId="63DC3E96" w14:textId="77777777" w:rsidR="00BE0947" w:rsidRPr="008801FE" w:rsidRDefault="00BE0947" w:rsidP="00816216">
            <w:pPr>
              <w:shd w:val="clear" w:color="auto" w:fill="FFFFFF" w:themeFill="background1"/>
              <w:rPr>
                <w:rFonts w:ascii="Times New Roman" w:hAnsi="Times New Roman" w:cs="Times New Roman"/>
                <w:sz w:val="20"/>
                <w:szCs w:val="20"/>
              </w:rPr>
            </w:pPr>
            <w:r>
              <w:rPr>
                <w:rFonts w:ascii="Times New Roman" w:hAnsi="Times New Roman" w:cs="Times New Roman"/>
                <w:sz w:val="20"/>
                <w:szCs w:val="20"/>
              </w:rPr>
              <w:t>t</w:t>
            </w:r>
            <w:r w:rsidRPr="008801FE">
              <w:rPr>
                <w:rFonts w:ascii="Times New Roman" w:hAnsi="Times New Roman" w:cs="Times New Roman"/>
                <w:sz w:val="20"/>
                <w:szCs w:val="20"/>
              </w:rPr>
              <w:t>ijekom cijele godine</w:t>
            </w:r>
          </w:p>
        </w:tc>
      </w:tr>
      <w:tr w:rsidR="00BE0947" w:rsidRPr="00812C6B" w14:paraId="3846F701" w14:textId="77777777" w:rsidTr="00816216">
        <w:tc>
          <w:tcPr>
            <w:tcW w:w="1303" w:type="dxa"/>
            <w:vAlign w:val="center"/>
          </w:tcPr>
          <w:p w14:paraId="7EA8A088" w14:textId="77777777" w:rsidR="00BE0947" w:rsidRPr="008801FE" w:rsidRDefault="00BE0947" w:rsidP="00816216">
            <w:pPr>
              <w:shd w:val="clear" w:color="auto" w:fill="FFFFFF" w:themeFill="background1"/>
              <w:jc w:val="both"/>
              <w:rPr>
                <w:rFonts w:ascii="Times New Roman" w:hAnsi="Times New Roman" w:cs="Times New Roman"/>
                <w:sz w:val="20"/>
                <w:szCs w:val="20"/>
              </w:rPr>
            </w:pPr>
            <w:r w:rsidRPr="008801FE">
              <w:rPr>
                <w:rFonts w:ascii="Times New Roman" w:hAnsi="Times New Roman" w:cs="Times New Roman"/>
                <w:sz w:val="20"/>
                <w:szCs w:val="20"/>
              </w:rPr>
              <w:t>Grad Zagreb</w:t>
            </w:r>
          </w:p>
        </w:tc>
        <w:tc>
          <w:tcPr>
            <w:tcW w:w="2410" w:type="dxa"/>
            <w:vAlign w:val="center"/>
          </w:tcPr>
          <w:p w14:paraId="26237A7E" w14:textId="77777777" w:rsidR="00BE0947" w:rsidRPr="008801FE" w:rsidRDefault="00BE0947" w:rsidP="00816216">
            <w:pPr>
              <w:shd w:val="clear" w:color="auto" w:fill="FFFFFF" w:themeFill="background1"/>
              <w:rPr>
                <w:rFonts w:ascii="Times New Roman" w:hAnsi="Times New Roman" w:cs="Times New Roman"/>
                <w:sz w:val="20"/>
                <w:szCs w:val="20"/>
              </w:rPr>
            </w:pPr>
            <w:r w:rsidRPr="008801FE">
              <w:rPr>
                <w:rFonts w:ascii="Times New Roman" w:hAnsi="Times New Roman" w:cs="Times New Roman"/>
                <w:sz w:val="20"/>
                <w:szCs w:val="20"/>
              </w:rPr>
              <w:t>Dnevni centar za rehabilitaciju djece i mladeži Mali dom, Zagreb</w:t>
            </w:r>
          </w:p>
        </w:tc>
        <w:tc>
          <w:tcPr>
            <w:tcW w:w="1984" w:type="dxa"/>
            <w:vAlign w:val="center"/>
          </w:tcPr>
          <w:p w14:paraId="3A1EFBA1" w14:textId="77777777" w:rsidR="00BE0947" w:rsidRPr="008801FE" w:rsidRDefault="00BE0947" w:rsidP="00816216">
            <w:pPr>
              <w:shd w:val="clear" w:color="auto" w:fill="FFFFFF" w:themeFill="background1"/>
              <w:rPr>
                <w:rFonts w:ascii="Times New Roman" w:hAnsi="Times New Roman" w:cs="Times New Roman"/>
                <w:sz w:val="20"/>
                <w:szCs w:val="20"/>
              </w:rPr>
            </w:pPr>
            <w:r w:rsidRPr="008801FE">
              <w:rPr>
                <w:rFonts w:ascii="Times New Roman" w:hAnsi="Times New Roman" w:cs="Times New Roman"/>
                <w:sz w:val="20"/>
                <w:szCs w:val="20"/>
              </w:rPr>
              <w:t>660 usluga rane intervencije mjesečno</w:t>
            </w:r>
          </w:p>
        </w:tc>
        <w:tc>
          <w:tcPr>
            <w:tcW w:w="1701" w:type="dxa"/>
            <w:vAlign w:val="center"/>
          </w:tcPr>
          <w:p w14:paraId="51A830BF" w14:textId="77777777" w:rsidR="00BE0947" w:rsidRPr="008801FE" w:rsidRDefault="00BE0947" w:rsidP="00816216">
            <w:pPr>
              <w:shd w:val="clear" w:color="auto" w:fill="FFFFFF" w:themeFill="background1"/>
              <w:jc w:val="both"/>
              <w:rPr>
                <w:rFonts w:ascii="Times New Roman" w:hAnsi="Times New Roman" w:cs="Times New Roman"/>
                <w:sz w:val="20"/>
                <w:szCs w:val="20"/>
              </w:rPr>
            </w:pPr>
            <w:r w:rsidRPr="008801FE">
              <w:rPr>
                <w:rFonts w:ascii="Times New Roman" w:hAnsi="Times New Roman" w:cs="Times New Roman"/>
                <w:sz w:val="20"/>
                <w:szCs w:val="20"/>
              </w:rPr>
              <w:t>461.141,00 kn</w:t>
            </w:r>
          </w:p>
        </w:tc>
        <w:tc>
          <w:tcPr>
            <w:tcW w:w="1701" w:type="dxa"/>
            <w:vAlign w:val="center"/>
          </w:tcPr>
          <w:p w14:paraId="3C62E062" w14:textId="77777777" w:rsidR="00BE0947" w:rsidRPr="008801FE" w:rsidRDefault="00BE0947" w:rsidP="00816216">
            <w:pPr>
              <w:shd w:val="clear" w:color="auto" w:fill="FFFFFF" w:themeFill="background1"/>
              <w:rPr>
                <w:rFonts w:ascii="Times New Roman" w:hAnsi="Times New Roman" w:cs="Times New Roman"/>
                <w:sz w:val="20"/>
                <w:szCs w:val="20"/>
              </w:rPr>
            </w:pPr>
            <w:r>
              <w:rPr>
                <w:rFonts w:ascii="Times New Roman" w:hAnsi="Times New Roman" w:cs="Times New Roman"/>
                <w:sz w:val="20"/>
                <w:szCs w:val="20"/>
              </w:rPr>
              <w:t>t</w:t>
            </w:r>
            <w:r w:rsidRPr="008801FE">
              <w:rPr>
                <w:rFonts w:ascii="Times New Roman" w:hAnsi="Times New Roman" w:cs="Times New Roman"/>
                <w:sz w:val="20"/>
                <w:szCs w:val="20"/>
              </w:rPr>
              <w:t>ijekom cijele godine</w:t>
            </w:r>
          </w:p>
        </w:tc>
      </w:tr>
      <w:tr w:rsidR="00BE0947" w:rsidRPr="00812C6B" w14:paraId="21CC803D" w14:textId="77777777" w:rsidTr="00816216">
        <w:trPr>
          <w:trHeight w:val="564"/>
        </w:trPr>
        <w:tc>
          <w:tcPr>
            <w:tcW w:w="1303" w:type="dxa"/>
            <w:vAlign w:val="center"/>
          </w:tcPr>
          <w:p w14:paraId="157EAE51" w14:textId="77777777" w:rsidR="00BE0947" w:rsidRPr="008801FE" w:rsidRDefault="00BE0947" w:rsidP="00816216">
            <w:pPr>
              <w:shd w:val="clear" w:color="auto" w:fill="FFFFFF" w:themeFill="background1"/>
              <w:jc w:val="both"/>
              <w:rPr>
                <w:rFonts w:ascii="Times New Roman" w:hAnsi="Times New Roman" w:cs="Times New Roman"/>
                <w:sz w:val="20"/>
                <w:szCs w:val="20"/>
              </w:rPr>
            </w:pPr>
            <w:r w:rsidRPr="008801FE">
              <w:rPr>
                <w:rFonts w:ascii="Times New Roman" w:hAnsi="Times New Roman" w:cs="Times New Roman"/>
                <w:sz w:val="20"/>
                <w:szCs w:val="20"/>
              </w:rPr>
              <w:t>Istarska županija</w:t>
            </w:r>
          </w:p>
        </w:tc>
        <w:tc>
          <w:tcPr>
            <w:tcW w:w="2410" w:type="dxa"/>
            <w:vAlign w:val="center"/>
          </w:tcPr>
          <w:p w14:paraId="37F221CF" w14:textId="77777777" w:rsidR="00BE0947" w:rsidRPr="008801FE" w:rsidRDefault="00BE0947" w:rsidP="00816216">
            <w:pPr>
              <w:shd w:val="clear" w:color="auto" w:fill="FFFFFF" w:themeFill="background1"/>
              <w:rPr>
                <w:rFonts w:ascii="Times New Roman" w:hAnsi="Times New Roman" w:cs="Times New Roman"/>
                <w:sz w:val="20"/>
                <w:szCs w:val="20"/>
              </w:rPr>
            </w:pPr>
            <w:r w:rsidRPr="008801FE">
              <w:rPr>
                <w:rFonts w:ascii="Times New Roman" w:hAnsi="Times New Roman" w:cs="Times New Roman"/>
                <w:sz w:val="20"/>
                <w:szCs w:val="20"/>
              </w:rPr>
              <w:t>Dnevni centar za rehabilitaciju Veruda - Pula</w:t>
            </w:r>
          </w:p>
        </w:tc>
        <w:tc>
          <w:tcPr>
            <w:tcW w:w="1984" w:type="dxa"/>
            <w:vAlign w:val="center"/>
          </w:tcPr>
          <w:p w14:paraId="5F07C782" w14:textId="77777777" w:rsidR="00BE0947" w:rsidRPr="008801FE" w:rsidRDefault="00BE0947" w:rsidP="00816216">
            <w:pPr>
              <w:shd w:val="clear" w:color="auto" w:fill="FFFFFF" w:themeFill="background1"/>
              <w:rPr>
                <w:rFonts w:ascii="Times New Roman" w:hAnsi="Times New Roman" w:cs="Times New Roman"/>
                <w:sz w:val="20"/>
                <w:szCs w:val="20"/>
              </w:rPr>
            </w:pPr>
            <w:r w:rsidRPr="008801FE">
              <w:rPr>
                <w:rFonts w:ascii="Times New Roman" w:hAnsi="Times New Roman" w:cs="Times New Roman"/>
                <w:sz w:val="20"/>
                <w:szCs w:val="20"/>
              </w:rPr>
              <w:t>160 usluga mjesečno</w:t>
            </w:r>
          </w:p>
        </w:tc>
        <w:tc>
          <w:tcPr>
            <w:tcW w:w="1701" w:type="dxa"/>
            <w:vAlign w:val="center"/>
          </w:tcPr>
          <w:p w14:paraId="487DA0BD" w14:textId="77777777" w:rsidR="00BE0947" w:rsidRPr="008801FE" w:rsidRDefault="00BE0947" w:rsidP="00816216">
            <w:pPr>
              <w:shd w:val="clear" w:color="auto" w:fill="FFFFFF" w:themeFill="background1"/>
              <w:jc w:val="both"/>
              <w:rPr>
                <w:rFonts w:ascii="Times New Roman" w:hAnsi="Times New Roman" w:cs="Times New Roman"/>
                <w:sz w:val="20"/>
                <w:szCs w:val="20"/>
              </w:rPr>
            </w:pPr>
            <w:r w:rsidRPr="008801FE">
              <w:rPr>
                <w:rFonts w:ascii="Times New Roman" w:hAnsi="Times New Roman" w:cs="Times New Roman"/>
                <w:sz w:val="20"/>
                <w:szCs w:val="20"/>
              </w:rPr>
              <w:t>35.617,70 kn</w:t>
            </w:r>
          </w:p>
        </w:tc>
        <w:tc>
          <w:tcPr>
            <w:tcW w:w="1701" w:type="dxa"/>
            <w:vAlign w:val="center"/>
          </w:tcPr>
          <w:p w14:paraId="168C5CB0" w14:textId="77777777" w:rsidR="00BE0947" w:rsidRPr="008801FE" w:rsidRDefault="00BE0947" w:rsidP="00816216">
            <w:pPr>
              <w:shd w:val="clear" w:color="auto" w:fill="FFFFFF" w:themeFill="background1"/>
              <w:rPr>
                <w:rFonts w:ascii="Times New Roman" w:hAnsi="Times New Roman" w:cs="Times New Roman"/>
                <w:sz w:val="20"/>
                <w:szCs w:val="20"/>
              </w:rPr>
            </w:pPr>
            <w:r>
              <w:rPr>
                <w:rFonts w:ascii="Times New Roman" w:hAnsi="Times New Roman" w:cs="Times New Roman"/>
                <w:sz w:val="20"/>
                <w:szCs w:val="20"/>
              </w:rPr>
              <w:t>o</w:t>
            </w:r>
            <w:r w:rsidRPr="008801FE">
              <w:rPr>
                <w:rFonts w:ascii="Times New Roman" w:hAnsi="Times New Roman" w:cs="Times New Roman"/>
                <w:sz w:val="20"/>
                <w:szCs w:val="20"/>
              </w:rPr>
              <w:t>d listopada 2019</w:t>
            </w:r>
          </w:p>
        </w:tc>
      </w:tr>
    </w:tbl>
    <w:p w14:paraId="3D6075C2" w14:textId="77777777" w:rsidR="00BE0947" w:rsidRDefault="00BE0947" w:rsidP="00BE0947">
      <w:pPr>
        <w:shd w:val="clear" w:color="auto" w:fill="FFFFFF" w:themeFill="background1"/>
        <w:jc w:val="both"/>
        <w:rPr>
          <w:rFonts w:ascii="Times New Roman" w:hAnsi="Times New Roman" w:cs="Times New Roman"/>
          <w:sz w:val="24"/>
          <w:szCs w:val="24"/>
        </w:rPr>
      </w:pPr>
    </w:p>
    <w:p w14:paraId="389265E6" w14:textId="77777777" w:rsidR="00BE0947" w:rsidRPr="005507A5" w:rsidRDefault="00BE0947" w:rsidP="00BE0947">
      <w:pPr>
        <w:shd w:val="clear" w:color="auto" w:fill="FFFFFF" w:themeFill="background1"/>
        <w:spacing w:line="240" w:lineRule="auto"/>
        <w:jc w:val="both"/>
        <w:rPr>
          <w:rFonts w:ascii="Times New Roman" w:hAnsi="Times New Roman" w:cs="Times New Roman"/>
          <w:sz w:val="24"/>
          <w:szCs w:val="24"/>
        </w:rPr>
      </w:pPr>
      <w:r w:rsidRPr="005507A5">
        <w:rPr>
          <w:rFonts w:ascii="Times New Roman" w:hAnsi="Times New Roman" w:cs="Times New Roman"/>
          <w:sz w:val="24"/>
          <w:szCs w:val="24"/>
        </w:rPr>
        <w:t xml:space="preserve">Ministarstvo nadležno za poslove socijalne skrbi je </w:t>
      </w:r>
      <w:bookmarkStart w:id="189" w:name="_Hlk72930815"/>
      <w:r w:rsidRPr="005507A5">
        <w:rPr>
          <w:rFonts w:ascii="Times New Roman" w:hAnsi="Times New Roman" w:cs="Times New Roman"/>
          <w:sz w:val="24"/>
          <w:szCs w:val="24"/>
        </w:rPr>
        <w:t xml:space="preserve">kroz trogodišnje programe „Razvoj i širenje mreže socijalnih usluga koje pružaju udruge“ za razdoblje od 2017. do 2020. godine </w:t>
      </w:r>
      <w:bookmarkEnd w:id="189"/>
      <w:r w:rsidRPr="005507A5">
        <w:rPr>
          <w:rFonts w:ascii="Times New Roman" w:hAnsi="Times New Roman" w:cs="Times New Roman"/>
          <w:sz w:val="24"/>
          <w:szCs w:val="24"/>
        </w:rPr>
        <w:t>za koje se sredstva osiguravaju iz raspoloživih sredstava iz dijela prihoda od igara na sreću, osiguralo udrugama osoba s invaliditetom i udrugama koje djeluju u korist osoba s invaliditetom na godišnjoj razini financijsku podršku u iznosu od 24.300.000,00 kuna za provedbu 112 programa kroz koje se pružala i usluga rane intervencije.</w:t>
      </w:r>
    </w:p>
    <w:tbl>
      <w:tblPr>
        <w:tblStyle w:val="Reetkatablice"/>
        <w:tblW w:w="9073" w:type="dxa"/>
        <w:tblInd w:w="137" w:type="dxa"/>
        <w:tblLayout w:type="fixed"/>
        <w:tblLook w:val="04A0" w:firstRow="1" w:lastRow="0" w:firstColumn="1" w:lastColumn="0" w:noHBand="0" w:noVBand="1"/>
      </w:tblPr>
      <w:tblGrid>
        <w:gridCol w:w="1701"/>
        <w:gridCol w:w="1698"/>
        <w:gridCol w:w="1421"/>
        <w:gridCol w:w="1418"/>
        <w:gridCol w:w="1417"/>
        <w:gridCol w:w="1418"/>
      </w:tblGrid>
      <w:tr w:rsidR="00BE0947" w14:paraId="481F44AA" w14:textId="77777777" w:rsidTr="00A418AE">
        <w:tc>
          <w:tcPr>
            <w:tcW w:w="1701" w:type="dxa"/>
            <w:shd w:val="clear" w:color="auto" w:fill="FFF2CC" w:themeFill="accent4" w:themeFillTint="33"/>
            <w:vAlign w:val="center"/>
          </w:tcPr>
          <w:p w14:paraId="635BFAE6" w14:textId="77777777" w:rsidR="00BE0947" w:rsidRPr="006D12D1" w:rsidRDefault="00BE0947" w:rsidP="00816216">
            <w:pPr>
              <w:jc w:val="both"/>
              <w:rPr>
                <w:rFonts w:ascii="Times New Roman" w:hAnsi="Times New Roman" w:cs="Times New Roman"/>
                <w:sz w:val="19"/>
                <w:szCs w:val="19"/>
              </w:rPr>
            </w:pPr>
            <w:r w:rsidRPr="006D12D1">
              <w:rPr>
                <w:rFonts w:ascii="Times New Roman" w:hAnsi="Times New Roman" w:cs="Times New Roman"/>
                <w:sz w:val="19"/>
                <w:szCs w:val="19"/>
              </w:rPr>
              <w:t>NAZIV PRIJAVITELJA</w:t>
            </w:r>
          </w:p>
        </w:tc>
        <w:tc>
          <w:tcPr>
            <w:tcW w:w="1698" w:type="dxa"/>
            <w:shd w:val="clear" w:color="auto" w:fill="FFF2CC" w:themeFill="accent4" w:themeFillTint="33"/>
            <w:vAlign w:val="center"/>
          </w:tcPr>
          <w:p w14:paraId="5AB53B4B" w14:textId="77777777" w:rsidR="00BE0947" w:rsidRPr="006D12D1" w:rsidRDefault="00BE0947" w:rsidP="00816216">
            <w:pPr>
              <w:jc w:val="both"/>
              <w:rPr>
                <w:rFonts w:ascii="Times New Roman" w:hAnsi="Times New Roman" w:cs="Times New Roman"/>
                <w:sz w:val="19"/>
                <w:szCs w:val="19"/>
              </w:rPr>
            </w:pPr>
            <w:r w:rsidRPr="006D12D1">
              <w:rPr>
                <w:rFonts w:ascii="Times New Roman" w:hAnsi="Times New Roman" w:cs="Times New Roman"/>
                <w:sz w:val="19"/>
                <w:szCs w:val="19"/>
              </w:rPr>
              <w:t>NAZIV PROGRAMA</w:t>
            </w:r>
          </w:p>
        </w:tc>
        <w:tc>
          <w:tcPr>
            <w:tcW w:w="1421" w:type="dxa"/>
            <w:shd w:val="clear" w:color="auto" w:fill="FFF2CC" w:themeFill="accent4" w:themeFillTint="33"/>
            <w:vAlign w:val="center"/>
          </w:tcPr>
          <w:p w14:paraId="75B0A21B" w14:textId="77777777" w:rsidR="00BE0947" w:rsidRPr="006D12D1" w:rsidRDefault="00BE0947" w:rsidP="00816216">
            <w:pPr>
              <w:jc w:val="both"/>
              <w:rPr>
                <w:rFonts w:ascii="Times New Roman" w:hAnsi="Times New Roman" w:cs="Times New Roman"/>
                <w:sz w:val="19"/>
                <w:szCs w:val="19"/>
              </w:rPr>
            </w:pPr>
            <w:r w:rsidRPr="006D12D1">
              <w:rPr>
                <w:rFonts w:ascii="Times New Roman" w:hAnsi="Times New Roman" w:cs="Times New Roman"/>
                <w:sz w:val="19"/>
                <w:szCs w:val="19"/>
              </w:rPr>
              <w:t>BROJ KORISNIKA</w:t>
            </w:r>
          </w:p>
        </w:tc>
        <w:tc>
          <w:tcPr>
            <w:tcW w:w="1418" w:type="dxa"/>
            <w:shd w:val="clear" w:color="auto" w:fill="FFF2CC" w:themeFill="accent4" w:themeFillTint="33"/>
            <w:vAlign w:val="center"/>
          </w:tcPr>
          <w:p w14:paraId="1447DB4D" w14:textId="77777777" w:rsidR="00BE0947" w:rsidRPr="006D12D1" w:rsidRDefault="00BE0947" w:rsidP="00816216">
            <w:pPr>
              <w:rPr>
                <w:rFonts w:ascii="Times New Roman" w:hAnsi="Times New Roman" w:cs="Times New Roman"/>
                <w:sz w:val="19"/>
                <w:szCs w:val="19"/>
              </w:rPr>
            </w:pPr>
            <w:r w:rsidRPr="006D12D1">
              <w:rPr>
                <w:rFonts w:ascii="Times New Roman" w:hAnsi="Times New Roman" w:cs="Times New Roman"/>
                <w:sz w:val="19"/>
                <w:szCs w:val="19"/>
              </w:rPr>
              <w:t>I GODINA (2017./2018.)</w:t>
            </w:r>
          </w:p>
        </w:tc>
        <w:tc>
          <w:tcPr>
            <w:tcW w:w="1417" w:type="dxa"/>
            <w:shd w:val="clear" w:color="auto" w:fill="FFF2CC" w:themeFill="accent4" w:themeFillTint="33"/>
            <w:vAlign w:val="center"/>
          </w:tcPr>
          <w:p w14:paraId="23B4C542" w14:textId="77777777" w:rsidR="00BE0947" w:rsidRPr="006D12D1" w:rsidRDefault="00BE0947" w:rsidP="00816216">
            <w:pPr>
              <w:rPr>
                <w:rFonts w:ascii="Times New Roman" w:hAnsi="Times New Roman" w:cs="Times New Roman"/>
                <w:sz w:val="19"/>
                <w:szCs w:val="19"/>
              </w:rPr>
            </w:pPr>
            <w:r w:rsidRPr="006D12D1">
              <w:rPr>
                <w:rFonts w:ascii="Times New Roman" w:hAnsi="Times New Roman" w:cs="Times New Roman"/>
                <w:sz w:val="19"/>
                <w:szCs w:val="19"/>
              </w:rPr>
              <w:t>II GODINA (2018./2019.)</w:t>
            </w:r>
          </w:p>
        </w:tc>
        <w:tc>
          <w:tcPr>
            <w:tcW w:w="1418" w:type="dxa"/>
            <w:shd w:val="clear" w:color="auto" w:fill="FFF2CC" w:themeFill="accent4" w:themeFillTint="33"/>
            <w:vAlign w:val="center"/>
          </w:tcPr>
          <w:p w14:paraId="690035DD" w14:textId="77777777" w:rsidR="00BE0947" w:rsidRPr="006D12D1" w:rsidRDefault="00BE0947" w:rsidP="00816216">
            <w:pPr>
              <w:rPr>
                <w:rFonts w:ascii="Times New Roman" w:hAnsi="Times New Roman" w:cs="Times New Roman"/>
                <w:sz w:val="19"/>
                <w:szCs w:val="19"/>
              </w:rPr>
            </w:pPr>
            <w:r w:rsidRPr="006D12D1">
              <w:rPr>
                <w:rFonts w:ascii="Times New Roman" w:hAnsi="Times New Roman" w:cs="Times New Roman"/>
                <w:sz w:val="19"/>
                <w:szCs w:val="19"/>
              </w:rPr>
              <w:t xml:space="preserve">III GODINA (2019./2020.) </w:t>
            </w:r>
          </w:p>
        </w:tc>
      </w:tr>
      <w:tr w:rsidR="00BE0947" w14:paraId="452F9A8F" w14:textId="77777777" w:rsidTr="00816216">
        <w:tc>
          <w:tcPr>
            <w:tcW w:w="1701" w:type="dxa"/>
            <w:vAlign w:val="center"/>
          </w:tcPr>
          <w:p w14:paraId="7299FE61" w14:textId="77777777" w:rsidR="00BE0947" w:rsidRPr="00F92A3F" w:rsidRDefault="00BE0947" w:rsidP="00816216">
            <w:pPr>
              <w:ind w:right="173"/>
              <w:jc w:val="both"/>
              <w:rPr>
                <w:rFonts w:ascii="Times New Roman" w:hAnsi="Times New Roman" w:cs="Times New Roman"/>
                <w:sz w:val="20"/>
                <w:szCs w:val="20"/>
              </w:rPr>
            </w:pPr>
            <w:r w:rsidRPr="00F92A3F">
              <w:rPr>
                <w:rFonts w:ascii="Times New Roman" w:hAnsi="Times New Roman" w:cs="Times New Roman"/>
                <w:sz w:val="20"/>
                <w:szCs w:val="20"/>
              </w:rPr>
              <w:t>Udruga za skrb autističnih osoba Rijeka</w:t>
            </w:r>
          </w:p>
        </w:tc>
        <w:tc>
          <w:tcPr>
            <w:tcW w:w="1698" w:type="dxa"/>
            <w:vAlign w:val="center"/>
          </w:tcPr>
          <w:p w14:paraId="18C0BA2A" w14:textId="77777777" w:rsidR="00BE0947" w:rsidRPr="00F92A3F" w:rsidRDefault="00BE0947" w:rsidP="00816216">
            <w:pPr>
              <w:rPr>
                <w:rFonts w:ascii="Times New Roman" w:hAnsi="Times New Roman" w:cs="Times New Roman"/>
                <w:sz w:val="20"/>
                <w:szCs w:val="20"/>
              </w:rPr>
            </w:pPr>
            <w:r w:rsidRPr="00F92A3F">
              <w:rPr>
                <w:rFonts w:ascii="Times New Roman" w:hAnsi="Times New Roman" w:cs="Times New Roman"/>
                <w:sz w:val="20"/>
                <w:szCs w:val="20"/>
              </w:rPr>
              <w:t>Rana intervencija u djece s poremećajem iz autističnog spektra putem sustava mobilne službe u lokalnoj zajednici</w:t>
            </w:r>
          </w:p>
        </w:tc>
        <w:tc>
          <w:tcPr>
            <w:tcW w:w="1421" w:type="dxa"/>
            <w:vAlign w:val="center"/>
          </w:tcPr>
          <w:p w14:paraId="34B29887" w14:textId="77777777" w:rsidR="00BE0947" w:rsidRPr="00F92A3F" w:rsidRDefault="00BE0947" w:rsidP="00816216">
            <w:pPr>
              <w:jc w:val="both"/>
              <w:rPr>
                <w:rFonts w:ascii="Times New Roman" w:hAnsi="Times New Roman" w:cs="Times New Roman"/>
                <w:sz w:val="20"/>
                <w:szCs w:val="20"/>
              </w:rPr>
            </w:pPr>
            <w:r w:rsidRPr="00F92A3F">
              <w:rPr>
                <w:rFonts w:ascii="Times New Roman" w:hAnsi="Times New Roman" w:cs="Times New Roman"/>
                <w:sz w:val="20"/>
                <w:szCs w:val="20"/>
              </w:rPr>
              <w:t>18 korisnika</w:t>
            </w:r>
          </w:p>
        </w:tc>
        <w:tc>
          <w:tcPr>
            <w:tcW w:w="1418" w:type="dxa"/>
            <w:vAlign w:val="center"/>
          </w:tcPr>
          <w:p w14:paraId="42924085" w14:textId="77777777" w:rsidR="00BE0947" w:rsidRPr="00F92A3F" w:rsidRDefault="00BE0947" w:rsidP="00816216">
            <w:pPr>
              <w:jc w:val="both"/>
              <w:rPr>
                <w:rFonts w:ascii="Times New Roman" w:hAnsi="Times New Roman" w:cs="Times New Roman"/>
                <w:sz w:val="20"/>
                <w:szCs w:val="20"/>
              </w:rPr>
            </w:pPr>
            <w:r w:rsidRPr="00F92A3F">
              <w:rPr>
                <w:rFonts w:ascii="Times New Roman" w:hAnsi="Times New Roman" w:cs="Times New Roman"/>
                <w:sz w:val="20"/>
                <w:szCs w:val="20"/>
              </w:rPr>
              <w:t>290.000,00</w:t>
            </w:r>
            <w:r>
              <w:rPr>
                <w:rFonts w:ascii="Times New Roman" w:hAnsi="Times New Roman" w:cs="Times New Roman"/>
                <w:sz w:val="20"/>
                <w:szCs w:val="20"/>
              </w:rPr>
              <w:t xml:space="preserve"> kn</w:t>
            </w:r>
          </w:p>
        </w:tc>
        <w:tc>
          <w:tcPr>
            <w:tcW w:w="1417" w:type="dxa"/>
            <w:vAlign w:val="center"/>
          </w:tcPr>
          <w:p w14:paraId="7FC2011C" w14:textId="77777777" w:rsidR="00BE0947" w:rsidRPr="00F92A3F" w:rsidRDefault="00BE0947" w:rsidP="00816216">
            <w:pPr>
              <w:jc w:val="both"/>
              <w:rPr>
                <w:rFonts w:ascii="Times New Roman" w:hAnsi="Times New Roman" w:cs="Times New Roman"/>
                <w:sz w:val="20"/>
                <w:szCs w:val="20"/>
              </w:rPr>
            </w:pPr>
            <w:r w:rsidRPr="00F92A3F">
              <w:rPr>
                <w:rFonts w:ascii="Times New Roman" w:hAnsi="Times New Roman" w:cs="Times New Roman"/>
                <w:sz w:val="20"/>
                <w:szCs w:val="20"/>
              </w:rPr>
              <w:t>290.000,00</w:t>
            </w:r>
            <w:r>
              <w:rPr>
                <w:rFonts w:ascii="Times New Roman" w:hAnsi="Times New Roman" w:cs="Times New Roman"/>
                <w:sz w:val="20"/>
                <w:szCs w:val="20"/>
              </w:rPr>
              <w:t xml:space="preserve"> kn</w:t>
            </w:r>
          </w:p>
        </w:tc>
        <w:tc>
          <w:tcPr>
            <w:tcW w:w="1418" w:type="dxa"/>
            <w:vAlign w:val="center"/>
          </w:tcPr>
          <w:p w14:paraId="50B1845C" w14:textId="77777777" w:rsidR="00BE0947" w:rsidRPr="00F92A3F" w:rsidRDefault="00BE0947" w:rsidP="00816216">
            <w:pPr>
              <w:jc w:val="both"/>
              <w:rPr>
                <w:rFonts w:ascii="Times New Roman" w:hAnsi="Times New Roman" w:cs="Times New Roman"/>
                <w:sz w:val="20"/>
                <w:szCs w:val="20"/>
              </w:rPr>
            </w:pPr>
            <w:r w:rsidRPr="00F92A3F">
              <w:rPr>
                <w:rFonts w:ascii="Times New Roman" w:hAnsi="Times New Roman" w:cs="Times New Roman"/>
                <w:sz w:val="20"/>
                <w:szCs w:val="20"/>
              </w:rPr>
              <w:t>290.000,00</w:t>
            </w:r>
            <w:r>
              <w:rPr>
                <w:rFonts w:ascii="Times New Roman" w:hAnsi="Times New Roman" w:cs="Times New Roman"/>
                <w:sz w:val="20"/>
                <w:szCs w:val="20"/>
              </w:rPr>
              <w:t xml:space="preserve"> kn</w:t>
            </w:r>
          </w:p>
        </w:tc>
      </w:tr>
      <w:tr w:rsidR="00BE0947" w14:paraId="7BDBECAA" w14:textId="77777777" w:rsidTr="00816216">
        <w:tc>
          <w:tcPr>
            <w:tcW w:w="1701" w:type="dxa"/>
            <w:vAlign w:val="center"/>
          </w:tcPr>
          <w:p w14:paraId="4E493152" w14:textId="77777777" w:rsidR="00BE0947" w:rsidRPr="00F92A3F" w:rsidRDefault="00BE0947" w:rsidP="00816216">
            <w:pPr>
              <w:rPr>
                <w:rFonts w:ascii="Times New Roman" w:hAnsi="Times New Roman" w:cs="Times New Roman"/>
                <w:sz w:val="20"/>
                <w:szCs w:val="20"/>
              </w:rPr>
            </w:pPr>
            <w:r w:rsidRPr="00F92A3F">
              <w:rPr>
                <w:rFonts w:ascii="Times New Roman" w:hAnsi="Times New Roman" w:cs="Times New Roman"/>
                <w:sz w:val="20"/>
                <w:szCs w:val="20"/>
              </w:rPr>
              <w:lastRenderedPageBreak/>
              <w:t>Udruga za pomoć osobama s teškoćama u razvoju „Neven“ Đakovo</w:t>
            </w:r>
          </w:p>
        </w:tc>
        <w:tc>
          <w:tcPr>
            <w:tcW w:w="1698" w:type="dxa"/>
            <w:vAlign w:val="center"/>
          </w:tcPr>
          <w:p w14:paraId="68F5FAAB" w14:textId="77777777" w:rsidR="00BE0947" w:rsidRPr="00F92A3F" w:rsidRDefault="00BE0947" w:rsidP="00816216">
            <w:pPr>
              <w:rPr>
                <w:rFonts w:ascii="Times New Roman" w:hAnsi="Times New Roman" w:cs="Times New Roman"/>
                <w:sz w:val="20"/>
                <w:szCs w:val="20"/>
              </w:rPr>
            </w:pPr>
            <w:r w:rsidRPr="00F92A3F">
              <w:rPr>
                <w:rFonts w:ascii="Times New Roman" w:hAnsi="Times New Roman" w:cs="Times New Roman"/>
                <w:sz w:val="20"/>
                <w:szCs w:val="20"/>
              </w:rPr>
              <w:t>Ranom intervencijom do urednog razvojnog profila</w:t>
            </w:r>
          </w:p>
        </w:tc>
        <w:tc>
          <w:tcPr>
            <w:tcW w:w="1421" w:type="dxa"/>
            <w:vAlign w:val="center"/>
          </w:tcPr>
          <w:p w14:paraId="3F9E50D5" w14:textId="77777777" w:rsidR="00BE0947" w:rsidRDefault="00BE0947" w:rsidP="00816216">
            <w:pPr>
              <w:rPr>
                <w:rFonts w:ascii="Times New Roman" w:hAnsi="Times New Roman" w:cs="Times New Roman"/>
                <w:sz w:val="20"/>
                <w:szCs w:val="20"/>
              </w:rPr>
            </w:pPr>
            <w:r>
              <w:rPr>
                <w:rFonts w:ascii="Times New Roman" w:hAnsi="Times New Roman" w:cs="Times New Roman"/>
                <w:sz w:val="20"/>
                <w:szCs w:val="20"/>
              </w:rPr>
              <w:t xml:space="preserve">25 korisnika od 0 do 3 godine </w:t>
            </w:r>
          </w:p>
          <w:p w14:paraId="378FC5A2" w14:textId="77777777" w:rsidR="00BE0947" w:rsidRPr="00F92A3F" w:rsidRDefault="00BE0947" w:rsidP="00816216">
            <w:pPr>
              <w:rPr>
                <w:rFonts w:ascii="Times New Roman" w:hAnsi="Times New Roman" w:cs="Times New Roman"/>
                <w:sz w:val="20"/>
                <w:szCs w:val="20"/>
              </w:rPr>
            </w:pPr>
            <w:r>
              <w:rPr>
                <w:rFonts w:ascii="Times New Roman" w:hAnsi="Times New Roman" w:cs="Times New Roman"/>
                <w:sz w:val="20"/>
                <w:szCs w:val="20"/>
              </w:rPr>
              <w:t xml:space="preserve">25 korisnika od 3 do 7 godina </w:t>
            </w:r>
          </w:p>
        </w:tc>
        <w:tc>
          <w:tcPr>
            <w:tcW w:w="1418" w:type="dxa"/>
            <w:vAlign w:val="center"/>
          </w:tcPr>
          <w:p w14:paraId="219DB1EB" w14:textId="77777777" w:rsidR="00BE0947" w:rsidRPr="00F92A3F" w:rsidRDefault="00BE0947" w:rsidP="00816216">
            <w:pPr>
              <w:jc w:val="both"/>
              <w:rPr>
                <w:rFonts w:ascii="Times New Roman" w:hAnsi="Times New Roman" w:cs="Times New Roman"/>
                <w:sz w:val="20"/>
                <w:szCs w:val="20"/>
              </w:rPr>
            </w:pPr>
            <w:r w:rsidRPr="00F92A3F">
              <w:rPr>
                <w:rFonts w:ascii="Times New Roman" w:hAnsi="Times New Roman" w:cs="Times New Roman"/>
                <w:sz w:val="20"/>
                <w:szCs w:val="20"/>
              </w:rPr>
              <w:t>280.000,00</w:t>
            </w:r>
            <w:r>
              <w:rPr>
                <w:rFonts w:ascii="Times New Roman" w:hAnsi="Times New Roman" w:cs="Times New Roman"/>
                <w:sz w:val="20"/>
                <w:szCs w:val="20"/>
              </w:rPr>
              <w:t xml:space="preserve"> kn</w:t>
            </w:r>
          </w:p>
        </w:tc>
        <w:tc>
          <w:tcPr>
            <w:tcW w:w="1417" w:type="dxa"/>
            <w:vAlign w:val="center"/>
          </w:tcPr>
          <w:p w14:paraId="39BF4496" w14:textId="77777777" w:rsidR="00BE0947" w:rsidRPr="00F92A3F" w:rsidRDefault="00BE0947" w:rsidP="00816216">
            <w:pPr>
              <w:jc w:val="both"/>
              <w:rPr>
                <w:rFonts w:ascii="Times New Roman" w:hAnsi="Times New Roman" w:cs="Times New Roman"/>
                <w:sz w:val="20"/>
                <w:szCs w:val="20"/>
              </w:rPr>
            </w:pPr>
            <w:r w:rsidRPr="00F92A3F">
              <w:rPr>
                <w:rFonts w:ascii="Times New Roman" w:hAnsi="Times New Roman" w:cs="Times New Roman"/>
                <w:sz w:val="20"/>
                <w:szCs w:val="20"/>
              </w:rPr>
              <w:t>280.000,00</w:t>
            </w:r>
            <w:r>
              <w:rPr>
                <w:rFonts w:ascii="Times New Roman" w:hAnsi="Times New Roman" w:cs="Times New Roman"/>
                <w:sz w:val="20"/>
                <w:szCs w:val="20"/>
              </w:rPr>
              <w:t xml:space="preserve"> kn</w:t>
            </w:r>
          </w:p>
        </w:tc>
        <w:tc>
          <w:tcPr>
            <w:tcW w:w="1418" w:type="dxa"/>
            <w:vAlign w:val="center"/>
          </w:tcPr>
          <w:p w14:paraId="79B6FB84" w14:textId="77777777" w:rsidR="00BE0947" w:rsidRPr="00F92A3F" w:rsidRDefault="00BE0947" w:rsidP="00816216">
            <w:pPr>
              <w:jc w:val="both"/>
              <w:rPr>
                <w:rFonts w:ascii="Times New Roman" w:hAnsi="Times New Roman" w:cs="Times New Roman"/>
                <w:sz w:val="20"/>
                <w:szCs w:val="20"/>
              </w:rPr>
            </w:pPr>
            <w:r w:rsidRPr="00F92A3F">
              <w:rPr>
                <w:rFonts w:ascii="Times New Roman" w:hAnsi="Times New Roman" w:cs="Times New Roman"/>
                <w:sz w:val="20"/>
                <w:szCs w:val="20"/>
              </w:rPr>
              <w:t>280.000,00</w:t>
            </w:r>
            <w:r>
              <w:rPr>
                <w:rFonts w:ascii="Times New Roman" w:hAnsi="Times New Roman" w:cs="Times New Roman"/>
                <w:sz w:val="20"/>
                <w:szCs w:val="20"/>
              </w:rPr>
              <w:t xml:space="preserve"> kn</w:t>
            </w:r>
          </w:p>
        </w:tc>
      </w:tr>
      <w:tr w:rsidR="00BE0947" w14:paraId="6F36835E" w14:textId="77777777" w:rsidTr="00816216">
        <w:tc>
          <w:tcPr>
            <w:tcW w:w="1701" w:type="dxa"/>
            <w:vAlign w:val="center"/>
          </w:tcPr>
          <w:p w14:paraId="3F131D62" w14:textId="77777777" w:rsidR="00BE0947" w:rsidRPr="00F92A3F" w:rsidRDefault="00BE0947" w:rsidP="00816216">
            <w:pPr>
              <w:rPr>
                <w:rFonts w:ascii="Times New Roman" w:hAnsi="Times New Roman" w:cs="Times New Roman"/>
                <w:sz w:val="20"/>
                <w:szCs w:val="20"/>
              </w:rPr>
            </w:pPr>
            <w:r w:rsidRPr="00F92A3F">
              <w:rPr>
                <w:rFonts w:ascii="Times New Roman" w:hAnsi="Times New Roman" w:cs="Times New Roman"/>
                <w:sz w:val="20"/>
                <w:szCs w:val="20"/>
              </w:rPr>
              <w:t xml:space="preserve">Hrvatska udruga za ranu intervenciju u djetinjstvu </w:t>
            </w:r>
          </w:p>
        </w:tc>
        <w:tc>
          <w:tcPr>
            <w:tcW w:w="1698" w:type="dxa"/>
            <w:vAlign w:val="center"/>
          </w:tcPr>
          <w:p w14:paraId="5B5B1A88" w14:textId="77777777" w:rsidR="00BE0947" w:rsidRPr="00F92A3F" w:rsidRDefault="00BE0947" w:rsidP="00816216">
            <w:pPr>
              <w:jc w:val="both"/>
              <w:rPr>
                <w:rFonts w:ascii="Times New Roman" w:hAnsi="Times New Roman" w:cs="Times New Roman"/>
                <w:sz w:val="20"/>
                <w:szCs w:val="20"/>
              </w:rPr>
            </w:pPr>
            <w:r w:rsidRPr="00F92A3F">
              <w:rPr>
                <w:rFonts w:ascii="Times New Roman" w:hAnsi="Times New Roman" w:cs="Times New Roman"/>
                <w:sz w:val="20"/>
                <w:szCs w:val="20"/>
              </w:rPr>
              <w:t>Obitelji usmjerena rana intervencija u djetinjstvu</w:t>
            </w:r>
          </w:p>
        </w:tc>
        <w:tc>
          <w:tcPr>
            <w:tcW w:w="1421" w:type="dxa"/>
            <w:vAlign w:val="center"/>
          </w:tcPr>
          <w:p w14:paraId="5115BCC1" w14:textId="77777777" w:rsidR="00BE0947" w:rsidRDefault="00BE0947" w:rsidP="00816216">
            <w:pPr>
              <w:rPr>
                <w:rFonts w:ascii="Times New Roman" w:hAnsi="Times New Roman" w:cs="Times New Roman"/>
                <w:sz w:val="20"/>
                <w:szCs w:val="20"/>
              </w:rPr>
            </w:pPr>
            <w:r>
              <w:rPr>
                <w:rFonts w:ascii="Times New Roman" w:hAnsi="Times New Roman" w:cs="Times New Roman"/>
                <w:sz w:val="20"/>
                <w:szCs w:val="20"/>
              </w:rPr>
              <w:t>10 korisnika od 2 mj. do 7. godina</w:t>
            </w:r>
          </w:p>
          <w:p w14:paraId="49F720CA" w14:textId="77777777" w:rsidR="00BE0947" w:rsidRDefault="00BE0947" w:rsidP="00816216">
            <w:pPr>
              <w:rPr>
                <w:rFonts w:ascii="Times New Roman" w:hAnsi="Times New Roman" w:cs="Times New Roman"/>
                <w:sz w:val="20"/>
                <w:szCs w:val="20"/>
              </w:rPr>
            </w:pPr>
            <w:r>
              <w:rPr>
                <w:rFonts w:ascii="Times New Roman" w:hAnsi="Times New Roman" w:cs="Times New Roman"/>
                <w:sz w:val="20"/>
                <w:szCs w:val="20"/>
              </w:rPr>
              <w:t>9 korisnika od 0 do 5 godina</w:t>
            </w:r>
          </w:p>
          <w:p w14:paraId="28B1B5B5" w14:textId="77777777" w:rsidR="00BE0947" w:rsidRPr="00F92A3F" w:rsidRDefault="00BE0947" w:rsidP="00816216">
            <w:pPr>
              <w:rPr>
                <w:rFonts w:ascii="Times New Roman" w:hAnsi="Times New Roman" w:cs="Times New Roman"/>
                <w:sz w:val="20"/>
                <w:szCs w:val="20"/>
              </w:rPr>
            </w:pPr>
            <w:r>
              <w:rPr>
                <w:rFonts w:ascii="Times New Roman" w:hAnsi="Times New Roman" w:cs="Times New Roman"/>
                <w:sz w:val="20"/>
                <w:szCs w:val="20"/>
              </w:rPr>
              <w:t>7 korisnika od 1 do 7 godina</w:t>
            </w:r>
          </w:p>
        </w:tc>
        <w:tc>
          <w:tcPr>
            <w:tcW w:w="1418" w:type="dxa"/>
            <w:vAlign w:val="center"/>
          </w:tcPr>
          <w:p w14:paraId="4494AFCE" w14:textId="77777777" w:rsidR="00BE0947" w:rsidRPr="00F92A3F" w:rsidRDefault="00BE0947" w:rsidP="00816216">
            <w:pPr>
              <w:jc w:val="both"/>
              <w:rPr>
                <w:rFonts w:ascii="Times New Roman" w:hAnsi="Times New Roman" w:cs="Times New Roman"/>
                <w:sz w:val="20"/>
                <w:szCs w:val="20"/>
              </w:rPr>
            </w:pPr>
            <w:r w:rsidRPr="00F92A3F">
              <w:rPr>
                <w:rFonts w:ascii="Times New Roman" w:hAnsi="Times New Roman" w:cs="Times New Roman"/>
                <w:sz w:val="20"/>
                <w:szCs w:val="20"/>
              </w:rPr>
              <w:t>240.000,00</w:t>
            </w:r>
            <w:r>
              <w:rPr>
                <w:rFonts w:ascii="Times New Roman" w:hAnsi="Times New Roman" w:cs="Times New Roman"/>
                <w:sz w:val="20"/>
                <w:szCs w:val="20"/>
              </w:rPr>
              <w:t xml:space="preserve"> kn</w:t>
            </w:r>
          </w:p>
        </w:tc>
        <w:tc>
          <w:tcPr>
            <w:tcW w:w="1417" w:type="dxa"/>
            <w:vAlign w:val="center"/>
          </w:tcPr>
          <w:p w14:paraId="17293D84" w14:textId="77777777" w:rsidR="00BE0947" w:rsidRPr="00F92A3F" w:rsidRDefault="00BE0947" w:rsidP="00816216">
            <w:pPr>
              <w:jc w:val="both"/>
              <w:rPr>
                <w:rFonts w:ascii="Times New Roman" w:hAnsi="Times New Roman" w:cs="Times New Roman"/>
                <w:sz w:val="20"/>
                <w:szCs w:val="20"/>
              </w:rPr>
            </w:pPr>
            <w:r w:rsidRPr="00F92A3F">
              <w:rPr>
                <w:rFonts w:ascii="Times New Roman" w:hAnsi="Times New Roman" w:cs="Times New Roman"/>
                <w:sz w:val="20"/>
                <w:szCs w:val="20"/>
              </w:rPr>
              <w:t>240.000,00</w:t>
            </w:r>
            <w:r>
              <w:rPr>
                <w:rFonts w:ascii="Times New Roman" w:hAnsi="Times New Roman" w:cs="Times New Roman"/>
                <w:sz w:val="20"/>
                <w:szCs w:val="20"/>
              </w:rPr>
              <w:t xml:space="preserve"> kn</w:t>
            </w:r>
          </w:p>
        </w:tc>
        <w:tc>
          <w:tcPr>
            <w:tcW w:w="1418" w:type="dxa"/>
            <w:vAlign w:val="center"/>
          </w:tcPr>
          <w:p w14:paraId="2429B5F7" w14:textId="77777777" w:rsidR="00BE0947" w:rsidRPr="00F92A3F" w:rsidRDefault="00BE0947" w:rsidP="00816216">
            <w:pPr>
              <w:jc w:val="both"/>
              <w:rPr>
                <w:rFonts w:ascii="Times New Roman" w:hAnsi="Times New Roman" w:cs="Times New Roman"/>
                <w:sz w:val="20"/>
                <w:szCs w:val="20"/>
              </w:rPr>
            </w:pPr>
            <w:r w:rsidRPr="00F92A3F">
              <w:rPr>
                <w:rFonts w:ascii="Times New Roman" w:hAnsi="Times New Roman" w:cs="Times New Roman"/>
                <w:sz w:val="20"/>
                <w:szCs w:val="20"/>
              </w:rPr>
              <w:t>240.000,00</w:t>
            </w:r>
            <w:r>
              <w:rPr>
                <w:rFonts w:ascii="Times New Roman" w:hAnsi="Times New Roman" w:cs="Times New Roman"/>
                <w:sz w:val="20"/>
                <w:szCs w:val="20"/>
              </w:rPr>
              <w:t xml:space="preserve"> kn</w:t>
            </w:r>
          </w:p>
        </w:tc>
      </w:tr>
      <w:tr w:rsidR="00BE0947" w14:paraId="22E76B56" w14:textId="77777777" w:rsidTr="00816216">
        <w:trPr>
          <w:trHeight w:val="340"/>
        </w:trPr>
        <w:tc>
          <w:tcPr>
            <w:tcW w:w="4820" w:type="dxa"/>
            <w:gridSpan w:val="3"/>
            <w:vAlign w:val="center"/>
          </w:tcPr>
          <w:p w14:paraId="195AA7A9" w14:textId="77777777" w:rsidR="00BE0947" w:rsidRDefault="00BE0947" w:rsidP="00816216">
            <w:pPr>
              <w:jc w:val="both"/>
              <w:rPr>
                <w:rFonts w:ascii="Times New Roman" w:hAnsi="Times New Roman" w:cs="Times New Roman"/>
                <w:sz w:val="20"/>
                <w:szCs w:val="20"/>
              </w:rPr>
            </w:pPr>
            <w:r>
              <w:rPr>
                <w:rFonts w:ascii="Times New Roman" w:hAnsi="Times New Roman" w:cs="Times New Roman"/>
                <w:sz w:val="20"/>
                <w:szCs w:val="20"/>
              </w:rPr>
              <w:t>UKUPNO</w:t>
            </w:r>
          </w:p>
        </w:tc>
        <w:tc>
          <w:tcPr>
            <w:tcW w:w="1418" w:type="dxa"/>
            <w:vAlign w:val="center"/>
          </w:tcPr>
          <w:p w14:paraId="45DEB145" w14:textId="77777777" w:rsidR="00BE0947" w:rsidRPr="00F92A3F" w:rsidRDefault="00BE0947" w:rsidP="00816216">
            <w:pPr>
              <w:jc w:val="both"/>
              <w:rPr>
                <w:rFonts w:ascii="Times New Roman" w:hAnsi="Times New Roman" w:cs="Times New Roman"/>
                <w:sz w:val="20"/>
                <w:szCs w:val="20"/>
              </w:rPr>
            </w:pPr>
            <w:r>
              <w:rPr>
                <w:rFonts w:ascii="Times New Roman" w:hAnsi="Times New Roman" w:cs="Times New Roman"/>
                <w:sz w:val="20"/>
                <w:szCs w:val="20"/>
              </w:rPr>
              <w:t>810.000,00 kn</w:t>
            </w:r>
          </w:p>
        </w:tc>
        <w:tc>
          <w:tcPr>
            <w:tcW w:w="1417" w:type="dxa"/>
            <w:vAlign w:val="center"/>
          </w:tcPr>
          <w:p w14:paraId="0B438AB9" w14:textId="77777777" w:rsidR="00BE0947" w:rsidRPr="00F92A3F" w:rsidRDefault="00BE0947" w:rsidP="00816216">
            <w:pPr>
              <w:jc w:val="both"/>
              <w:rPr>
                <w:rFonts w:ascii="Times New Roman" w:hAnsi="Times New Roman" w:cs="Times New Roman"/>
                <w:sz w:val="20"/>
                <w:szCs w:val="20"/>
              </w:rPr>
            </w:pPr>
            <w:r>
              <w:rPr>
                <w:rFonts w:ascii="Times New Roman" w:hAnsi="Times New Roman" w:cs="Times New Roman"/>
                <w:sz w:val="20"/>
                <w:szCs w:val="20"/>
              </w:rPr>
              <w:t>810.000,00 kn</w:t>
            </w:r>
          </w:p>
        </w:tc>
        <w:tc>
          <w:tcPr>
            <w:tcW w:w="1418" w:type="dxa"/>
            <w:vAlign w:val="center"/>
          </w:tcPr>
          <w:p w14:paraId="392D88D7" w14:textId="77777777" w:rsidR="00BE0947" w:rsidRPr="00F92A3F" w:rsidRDefault="00BE0947" w:rsidP="00816216">
            <w:pPr>
              <w:jc w:val="both"/>
              <w:rPr>
                <w:rFonts w:ascii="Times New Roman" w:hAnsi="Times New Roman" w:cs="Times New Roman"/>
                <w:sz w:val="20"/>
                <w:szCs w:val="20"/>
              </w:rPr>
            </w:pPr>
            <w:r>
              <w:rPr>
                <w:rFonts w:ascii="Times New Roman" w:hAnsi="Times New Roman" w:cs="Times New Roman"/>
                <w:sz w:val="20"/>
                <w:szCs w:val="20"/>
              </w:rPr>
              <w:t>810.000,00 kn</w:t>
            </w:r>
          </w:p>
        </w:tc>
      </w:tr>
    </w:tbl>
    <w:p w14:paraId="230D83CE" w14:textId="77777777" w:rsidR="00BE0947" w:rsidRDefault="00BE0947" w:rsidP="00BE0947">
      <w:pPr>
        <w:shd w:val="clear" w:color="auto" w:fill="FFFFFF" w:themeFill="background1"/>
        <w:spacing w:line="240" w:lineRule="auto"/>
        <w:jc w:val="both"/>
        <w:rPr>
          <w:rFonts w:ascii="Times New Roman" w:hAnsi="Times New Roman" w:cs="Times New Roman"/>
          <w:sz w:val="24"/>
          <w:szCs w:val="24"/>
        </w:rPr>
      </w:pPr>
    </w:p>
    <w:p w14:paraId="58864D33" w14:textId="77777777" w:rsidR="00BE0947" w:rsidRDefault="00BE0947" w:rsidP="00BE0947">
      <w:pPr>
        <w:jc w:val="both"/>
        <w:rPr>
          <w:rFonts w:ascii="Times New Roman" w:hAnsi="Times New Roman" w:cs="Times New Roman"/>
          <w:sz w:val="24"/>
          <w:szCs w:val="24"/>
        </w:rPr>
      </w:pPr>
      <w:r w:rsidRPr="008C6437">
        <w:rPr>
          <w:rFonts w:ascii="Times New Roman" w:hAnsi="Times New Roman" w:cs="Times New Roman"/>
          <w:sz w:val="24"/>
          <w:szCs w:val="24"/>
        </w:rPr>
        <w:t xml:space="preserve">Ministarstvo nadležno za poslove socijalne skrbi je u 2020.godini i kroz trogodišnje programe „Razvoj i širenje mreže socijalnih usluga koje pružaju udruge“ za razdoblje od 2020. - 2023. godine sufinanciralo četiri udruge koje pružaju uslugu rane intervencije u djetinjstvu u iznosu od 930.000,00 kuna. </w:t>
      </w:r>
    </w:p>
    <w:p w14:paraId="334C95CA" w14:textId="77777777" w:rsidR="00BE0947" w:rsidRPr="008C6437" w:rsidRDefault="00BE0947" w:rsidP="00BE0947">
      <w:pPr>
        <w:spacing w:after="0" w:line="240" w:lineRule="auto"/>
        <w:jc w:val="both"/>
        <w:rPr>
          <w:rFonts w:ascii="Times New Roman" w:hAnsi="Times New Roman" w:cs="Times New Roman"/>
          <w:sz w:val="24"/>
          <w:szCs w:val="24"/>
        </w:rPr>
      </w:pPr>
    </w:p>
    <w:tbl>
      <w:tblPr>
        <w:tblStyle w:val="Reetkatablice"/>
        <w:tblW w:w="9214" w:type="dxa"/>
        <w:tblInd w:w="-5" w:type="dxa"/>
        <w:tblLook w:val="04A0" w:firstRow="1" w:lastRow="0" w:firstColumn="1" w:lastColumn="0" w:noHBand="0" w:noVBand="1"/>
      </w:tblPr>
      <w:tblGrid>
        <w:gridCol w:w="3119"/>
        <w:gridCol w:w="2410"/>
        <w:gridCol w:w="1842"/>
        <w:gridCol w:w="1843"/>
      </w:tblGrid>
      <w:tr w:rsidR="00BE0947" w:rsidRPr="008C6437" w14:paraId="54E19B0B" w14:textId="77777777" w:rsidTr="00A418AE">
        <w:tc>
          <w:tcPr>
            <w:tcW w:w="3119" w:type="dxa"/>
            <w:shd w:val="clear" w:color="auto" w:fill="FFF2CC" w:themeFill="accent4" w:themeFillTint="33"/>
            <w:vAlign w:val="center"/>
          </w:tcPr>
          <w:p w14:paraId="1C1B2E51" w14:textId="77777777" w:rsidR="00BE0947" w:rsidRPr="008C6437" w:rsidRDefault="00BE0947" w:rsidP="00816216">
            <w:pPr>
              <w:jc w:val="both"/>
              <w:rPr>
                <w:rFonts w:ascii="Times New Roman" w:hAnsi="Times New Roman" w:cs="Times New Roman"/>
                <w:sz w:val="20"/>
                <w:szCs w:val="20"/>
              </w:rPr>
            </w:pPr>
            <w:r w:rsidRPr="008C6437">
              <w:rPr>
                <w:rFonts w:ascii="Times New Roman" w:hAnsi="Times New Roman" w:cs="Times New Roman"/>
                <w:sz w:val="20"/>
                <w:szCs w:val="20"/>
              </w:rPr>
              <w:t>Naziv prijavitelja</w:t>
            </w:r>
          </w:p>
        </w:tc>
        <w:tc>
          <w:tcPr>
            <w:tcW w:w="2410" w:type="dxa"/>
            <w:shd w:val="clear" w:color="auto" w:fill="FFF2CC" w:themeFill="accent4" w:themeFillTint="33"/>
            <w:vAlign w:val="center"/>
          </w:tcPr>
          <w:p w14:paraId="59CC9B49" w14:textId="77777777" w:rsidR="00BE0947" w:rsidRPr="008C6437" w:rsidRDefault="00BE0947" w:rsidP="00816216">
            <w:pPr>
              <w:jc w:val="both"/>
              <w:rPr>
                <w:rFonts w:ascii="Times New Roman" w:hAnsi="Times New Roman" w:cs="Times New Roman"/>
                <w:sz w:val="20"/>
                <w:szCs w:val="20"/>
              </w:rPr>
            </w:pPr>
            <w:r w:rsidRPr="008C6437">
              <w:rPr>
                <w:rFonts w:ascii="Times New Roman" w:hAnsi="Times New Roman" w:cs="Times New Roman"/>
                <w:sz w:val="20"/>
                <w:szCs w:val="20"/>
              </w:rPr>
              <w:t xml:space="preserve">Broj korisnika </w:t>
            </w:r>
          </w:p>
        </w:tc>
        <w:tc>
          <w:tcPr>
            <w:tcW w:w="1842" w:type="dxa"/>
            <w:shd w:val="clear" w:color="auto" w:fill="FFF2CC" w:themeFill="accent4" w:themeFillTint="33"/>
            <w:vAlign w:val="center"/>
          </w:tcPr>
          <w:p w14:paraId="196E32C3" w14:textId="77777777" w:rsidR="00BE0947" w:rsidRPr="008C6437" w:rsidRDefault="00BE0947" w:rsidP="00816216">
            <w:pPr>
              <w:jc w:val="both"/>
              <w:rPr>
                <w:rFonts w:ascii="Times New Roman" w:hAnsi="Times New Roman" w:cs="Times New Roman"/>
                <w:sz w:val="20"/>
                <w:szCs w:val="20"/>
              </w:rPr>
            </w:pPr>
            <w:r w:rsidRPr="008C6437">
              <w:rPr>
                <w:rFonts w:ascii="Times New Roman" w:hAnsi="Times New Roman" w:cs="Times New Roman"/>
                <w:sz w:val="20"/>
                <w:szCs w:val="20"/>
              </w:rPr>
              <w:t xml:space="preserve">Odobrena sredstva u 2020. godini </w:t>
            </w:r>
          </w:p>
        </w:tc>
        <w:tc>
          <w:tcPr>
            <w:tcW w:w="1843" w:type="dxa"/>
            <w:shd w:val="clear" w:color="auto" w:fill="FFF2CC" w:themeFill="accent4" w:themeFillTint="33"/>
            <w:vAlign w:val="center"/>
          </w:tcPr>
          <w:p w14:paraId="339E2441" w14:textId="77777777" w:rsidR="00BE0947" w:rsidRPr="008C6437" w:rsidRDefault="00BE0947" w:rsidP="00816216">
            <w:pPr>
              <w:jc w:val="both"/>
              <w:rPr>
                <w:rFonts w:ascii="Times New Roman" w:hAnsi="Times New Roman" w:cs="Times New Roman"/>
                <w:sz w:val="20"/>
                <w:szCs w:val="20"/>
              </w:rPr>
            </w:pPr>
            <w:r w:rsidRPr="008C6437">
              <w:rPr>
                <w:rFonts w:ascii="Times New Roman" w:hAnsi="Times New Roman" w:cs="Times New Roman"/>
                <w:sz w:val="20"/>
                <w:szCs w:val="20"/>
              </w:rPr>
              <w:t xml:space="preserve">Period pružanja usluge </w:t>
            </w:r>
          </w:p>
        </w:tc>
      </w:tr>
      <w:tr w:rsidR="00BE0947" w:rsidRPr="008C6437" w14:paraId="161D568A" w14:textId="77777777" w:rsidTr="00816216">
        <w:tc>
          <w:tcPr>
            <w:tcW w:w="3119" w:type="dxa"/>
            <w:shd w:val="clear" w:color="auto" w:fill="auto"/>
          </w:tcPr>
          <w:p w14:paraId="6E05CF22" w14:textId="77777777" w:rsidR="00BE0947" w:rsidRPr="008C6437" w:rsidRDefault="00BE0947" w:rsidP="00816216">
            <w:pPr>
              <w:rPr>
                <w:rFonts w:ascii="Times New Roman" w:hAnsi="Times New Roman" w:cs="Times New Roman"/>
                <w:sz w:val="20"/>
                <w:szCs w:val="20"/>
              </w:rPr>
            </w:pPr>
            <w:r w:rsidRPr="008C6437">
              <w:rPr>
                <w:rFonts w:ascii="Times New Roman" w:hAnsi="Times New Roman" w:cs="Times New Roman"/>
                <w:sz w:val="20"/>
                <w:szCs w:val="20"/>
              </w:rPr>
              <w:t>Hrvatska udruga za ranu intervenciju u djetinjstvu</w:t>
            </w:r>
          </w:p>
        </w:tc>
        <w:tc>
          <w:tcPr>
            <w:tcW w:w="2410" w:type="dxa"/>
            <w:shd w:val="clear" w:color="auto" w:fill="auto"/>
          </w:tcPr>
          <w:p w14:paraId="6FE838E5" w14:textId="77777777" w:rsidR="00BE0947" w:rsidRPr="008C6437" w:rsidRDefault="00BE0947" w:rsidP="00816216">
            <w:pPr>
              <w:rPr>
                <w:rFonts w:ascii="Times New Roman" w:hAnsi="Times New Roman" w:cs="Times New Roman"/>
                <w:sz w:val="20"/>
                <w:szCs w:val="20"/>
              </w:rPr>
            </w:pPr>
            <w:r w:rsidRPr="008C6437">
              <w:rPr>
                <w:rFonts w:ascii="Times New Roman" w:hAnsi="Times New Roman" w:cs="Times New Roman"/>
                <w:sz w:val="20"/>
                <w:szCs w:val="20"/>
              </w:rPr>
              <w:t>209 korisnika -180 Ž i 29 M</w:t>
            </w:r>
          </w:p>
        </w:tc>
        <w:tc>
          <w:tcPr>
            <w:tcW w:w="1842" w:type="dxa"/>
            <w:shd w:val="clear" w:color="auto" w:fill="auto"/>
          </w:tcPr>
          <w:p w14:paraId="3ADB989C" w14:textId="77777777" w:rsidR="00BE0947" w:rsidRPr="008C6437" w:rsidRDefault="00BE0947" w:rsidP="00816216">
            <w:pPr>
              <w:rPr>
                <w:rFonts w:ascii="Times New Roman" w:hAnsi="Times New Roman" w:cs="Times New Roman"/>
                <w:sz w:val="20"/>
                <w:szCs w:val="20"/>
              </w:rPr>
            </w:pPr>
            <w:r>
              <w:rPr>
                <w:rFonts w:ascii="Times New Roman" w:hAnsi="Times New Roman" w:cs="Times New Roman"/>
                <w:sz w:val="20"/>
                <w:szCs w:val="20"/>
              </w:rPr>
              <w:t>230</w:t>
            </w:r>
            <w:r w:rsidRPr="008C6437">
              <w:rPr>
                <w:rFonts w:ascii="Times New Roman" w:hAnsi="Times New Roman" w:cs="Times New Roman"/>
                <w:sz w:val="20"/>
                <w:szCs w:val="20"/>
              </w:rPr>
              <w:t>.000,00 kn</w:t>
            </w:r>
          </w:p>
        </w:tc>
        <w:tc>
          <w:tcPr>
            <w:tcW w:w="1843" w:type="dxa"/>
          </w:tcPr>
          <w:p w14:paraId="157A7669" w14:textId="77777777" w:rsidR="00BE0947" w:rsidRPr="008C6437" w:rsidRDefault="00BE0947" w:rsidP="00816216">
            <w:pPr>
              <w:rPr>
                <w:rFonts w:ascii="Times New Roman" w:hAnsi="Times New Roman" w:cs="Times New Roman"/>
                <w:sz w:val="20"/>
                <w:szCs w:val="20"/>
              </w:rPr>
            </w:pPr>
            <w:r w:rsidRPr="008C6437">
              <w:rPr>
                <w:rFonts w:ascii="Times New Roman" w:hAnsi="Times New Roman" w:cs="Times New Roman"/>
                <w:sz w:val="20"/>
                <w:szCs w:val="20"/>
              </w:rPr>
              <w:t>Tijekom cijele godine</w:t>
            </w:r>
          </w:p>
        </w:tc>
      </w:tr>
      <w:tr w:rsidR="00BE0947" w:rsidRPr="008C6437" w14:paraId="2418AF13" w14:textId="77777777" w:rsidTr="00816216">
        <w:trPr>
          <w:trHeight w:val="912"/>
        </w:trPr>
        <w:tc>
          <w:tcPr>
            <w:tcW w:w="3119" w:type="dxa"/>
            <w:shd w:val="clear" w:color="auto" w:fill="auto"/>
          </w:tcPr>
          <w:p w14:paraId="7E8DAF0A" w14:textId="77777777" w:rsidR="00BE0947" w:rsidRPr="008C6437" w:rsidRDefault="00BE0947" w:rsidP="00816216">
            <w:pPr>
              <w:rPr>
                <w:rFonts w:ascii="Times New Roman" w:hAnsi="Times New Roman" w:cs="Times New Roman"/>
                <w:sz w:val="20"/>
                <w:szCs w:val="20"/>
              </w:rPr>
            </w:pPr>
            <w:r w:rsidRPr="008C6437">
              <w:rPr>
                <w:rFonts w:ascii="Times New Roman" w:hAnsi="Times New Roman" w:cs="Times New Roman"/>
                <w:sz w:val="20"/>
                <w:szCs w:val="20"/>
              </w:rPr>
              <w:t>Udruga za pomoć osobama s teškoćama u razvoju Neven Đakovo</w:t>
            </w:r>
          </w:p>
        </w:tc>
        <w:tc>
          <w:tcPr>
            <w:tcW w:w="2410" w:type="dxa"/>
            <w:shd w:val="clear" w:color="auto" w:fill="auto"/>
          </w:tcPr>
          <w:p w14:paraId="1C811AB4" w14:textId="77777777" w:rsidR="00BE0947" w:rsidRPr="008C6437" w:rsidRDefault="00BE0947" w:rsidP="00816216">
            <w:pPr>
              <w:rPr>
                <w:rFonts w:ascii="Times New Roman" w:hAnsi="Times New Roman" w:cs="Times New Roman"/>
                <w:sz w:val="20"/>
                <w:szCs w:val="20"/>
              </w:rPr>
            </w:pPr>
            <w:r w:rsidRPr="008C6437">
              <w:rPr>
                <w:rFonts w:ascii="Times New Roman" w:hAnsi="Times New Roman" w:cs="Times New Roman"/>
                <w:sz w:val="20"/>
                <w:szCs w:val="20"/>
              </w:rPr>
              <w:t>44 korisnika -17 Ž i 27 M</w:t>
            </w:r>
          </w:p>
        </w:tc>
        <w:tc>
          <w:tcPr>
            <w:tcW w:w="1842" w:type="dxa"/>
            <w:shd w:val="clear" w:color="auto" w:fill="auto"/>
          </w:tcPr>
          <w:p w14:paraId="1FEA3FD6" w14:textId="77777777" w:rsidR="00BE0947" w:rsidRPr="008C6437" w:rsidRDefault="00BE0947" w:rsidP="00816216">
            <w:pPr>
              <w:rPr>
                <w:rFonts w:ascii="Times New Roman" w:hAnsi="Times New Roman" w:cs="Times New Roman"/>
                <w:sz w:val="20"/>
                <w:szCs w:val="20"/>
              </w:rPr>
            </w:pPr>
            <w:r>
              <w:rPr>
                <w:rFonts w:ascii="Times New Roman" w:hAnsi="Times New Roman" w:cs="Times New Roman"/>
                <w:sz w:val="20"/>
                <w:szCs w:val="20"/>
              </w:rPr>
              <w:t>270</w:t>
            </w:r>
            <w:r w:rsidRPr="008C6437">
              <w:rPr>
                <w:rFonts w:ascii="Times New Roman" w:hAnsi="Times New Roman" w:cs="Times New Roman"/>
                <w:sz w:val="20"/>
                <w:szCs w:val="20"/>
              </w:rPr>
              <w:t>.000,00 kn</w:t>
            </w:r>
          </w:p>
        </w:tc>
        <w:tc>
          <w:tcPr>
            <w:tcW w:w="1843" w:type="dxa"/>
          </w:tcPr>
          <w:p w14:paraId="789FC36A" w14:textId="77777777" w:rsidR="00BE0947" w:rsidRPr="008C6437" w:rsidRDefault="00BE0947" w:rsidP="00816216">
            <w:pPr>
              <w:rPr>
                <w:rFonts w:ascii="Times New Roman" w:hAnsi="Times New Roman" w:cs="Times New Roman"/>
                <w:sz w:val="20"/>
                <w:szCs w:val="20"/>
              </w:rPr>
            </w:pPr>
            <w:r w:rsidRPr="008C6437">
              <w:rPr>
                <w:rFonts w:ascii="Times New Roman" w:hAnsi="Times New Roman" w:cs="Times New Roman"/>
                <w:sz w:val="20"/>
                <w:szCs w:val="20"/>
              </w:rPr>
              <w:t>Tijekom cijele godine</w:t>
            </w:r>
          </w:p>
        </w:tc>
      </w:tr>
      <w:tr w:rsidR="00BE0947" w:rsidRPr="008C6437" w14:paraId="3E3D4527" w14:textId="77777777" w:rsidTr="00816216">
        <w:tc>
          <w:tcPr>
            <w:tcW w:w="3119" w:type="dxa"/>
            <w:shd w:val="clear" w:color="auto" w:fill="auto"/>
          </w:tcPr>
          <w:p w14:paraId="62011F3A" w14:textId="77777777" w:rsidR="00BE0947" w:rsidRPr="008C6437" w:rsidRDefault="00BE0947" w:rsidP="00816216">
            <w:pPr>
              <w:rPr>
                <w:rFonts w:ascii="Times New Roman" w:hAnsi="Times New Roman" w:cs="Times New Roman"/>
                <w:sz w:val="20"/>
                <w:szCs w:val="20"/>
              </w:rPr>
            </w:pPr>
            <w:r w:rsidRPr="008C6437">
              <w:rPr>
                <w:rFonts w:ascii="Times New Roman" w:hAnsi="Times New Roman" w:cs="Times New Roman"/>
                <w:sz w:val="20"/>
                <w:szCs w:val="20"/>
              </w:rPr>
              <w:t>Udruga za skrb autističnih osoba Rijeka</w:t>
            </w:r>
          </w:p>
        </w:tc>
        <w:tc>
          <w:tcPr>
            <w:tcW w:w="2410" w:type="dxa"/>
            <w:shd w:val="clear" w:color="auto" w:fill="auto"/>
          </w:tcPr>
          <w:p w14:paraId="6017DE2B" w14:textId="77777777" w:rsidR="00BE0947" w:rsidRPr="008C6437" w:rsidRDefault="00BE0947" w:rsidP="00816216">
            <w:pPr>
              <w:rPr>
                <w:rFonts w:ascii="Times New Roman" w:hAnsi="Times New Roman" w:cs="Times New Roman"/>
                <w:sz w:val="20"/>
                <w:szCs w:val="20"/>
              </w:rPr>
            </w:pPr>
            <w:r w:rsidRPr="008C6437">
              <w:rPr>
                <w:rFonts w:ascii="Times New Roman" w:hAnsi="Times New Roman" w:cs="Times New Roman"/>
                <w:sz w:val="20"/>
                <w:szCs w:val="20"/>
              </w:rPr>
              <w:t>32 korisnika -7 Ž i 25 M</w:t>
            </w:r>
          </w:p>
        </w:tc>
        <w:tc>
          <w:tcPr>
            <w:tcW w:w="1842" w:type="dxa"/>
            <w:shd w:val="clear" w:color="auto" w:fill="auto"/>
          </w:tcPr>
          <w:p w14:paraId="0EB2F942" w14:textId="77777777" w:rsidR="00BE0947" w:rsidRPr="008C6437" w:rsidRDefault="00BE0947" w:rsidP="00816216">
            <w:pPr>
              <w:rPr>
                <w:rFonts w:ascii="Times New Roman" w:hAnsi="Times New Roman" w:cs="Times New Roman"/>
                <w:sz w:val="20"/>
                <w:szCs w:val="20"/>
              </w:rPr>
            </w:pPr>
            <w:r>
              <w:rPr>
                <w:rFonts w:ascii="Times New Roman" w:hAnsi="Times New Roman" w:cs="Times New Roman"/>
                <w:sz w:val="20"/>
                <w:szCs w:val="20"/>
              </w:rPr>
              <w:t>280</w:t>
            </w:r>
            <w:r w:rsidRPr="008C6437">
              <w:rPr>
                <w:rFonts w:ascii="Times New Roman" w:hAnsi="Times New Roman" w:cs="Times New Roman"/>
                <w:sz w:val="20"/>
                <w:szCs w:val="20"/>
              </w:rPr>
              <w:t>.000,00 kn</w:t>
            </w:r>
          </w:p>
        </w:tc>
        <w:tc>
          <w:tcPr>
            <w:tcW w:w="1843" w:type="dxa"/>
          </w:tcPr>
          <w:p w14:paraId="03110018" w14:textId="77777777" w:rsidR="00BE0947" w:rsidRPr="008C6437" w:rsidRDefault="00BE0947" w:rsidP="00816216">
            <w:pPr>
              <w:rPr>
                <w:rFonts w:ascii="Times New Roman" w:hAnsi="Times New Roman" w:cs="Times New Roman"/>
                <w:sz w:val="20"/>
                <w:szCs w:val="20"/>
              </w:rPr>
            </w:pPr>
            <w:r w:rsidRPr="008C6437">
              <w:rPr>
                <w:rFonts w:ascii="Times New Roman" w:hAnsi="Times New Roman" w:cs="Times New Roman"/>
                <w:sz w:val="20"/>
                <w:szCs w:val="20"/>
              </w:rPr>
              <w:t>Tijekom cijele godine</w:t>
            </w:r>
          </w:p>
        </w:tc>
      </w:tr>
      <w:tr w:rsidR="00BE0947" w:rsidRPr="008C6437" w14:paraId="5B03D456" w14:textId="77777777" w:rsidTr="00816216">
        <w:tc>
          <w:tcPr>
            <w:tcW w:w="3119" w:type="dxa"/>
            <w:shd w:val="clear" w:color="auto" w:fill="auto"/>
          </w:tcPr>
          <w:p w14:paraId="4F92B7FF" w14:textId="77777777" w:rsidR="00BE0947" w:rsidRPr="008C6437" w:rsidRDefault="00BE0947" w:rsidP="00816216">
            <w:pPr>
              <w:rPr>
                <w:rFonts w:ascii="Times New Roman" w:hAnsi="Times New Roman" w:cs="Times New Roman"/>
                <w:sz w:val="20"/>
                <w:szCs w:val="20"/>
              </w:rPr>
            </w:pPr>
            <w:r w:rsidRPr="008C6437">
              <w:rPr>
                <w:rFonts w:ascii="Times New Roman" w:hAnsi="Times New Roman" w:cs="Times New Roman"/>
                <w:sz w:val="20"/>
                <w:szCs w:val="20"/>
              </w:rPr>
              <w:t>Međimurska udruga za ranu intervenciju</w:t>
            </w:r>
          </w:p>
        </w:tc>
        <w:tc>
          <w:tcPr>
            <w:tcW w:w="2410" w:type="dxa"/>
            <w:shd w:val="clear" w:color="auto" w:fill="auto"/>
          </w:tcPr>
          <w:p w14:paraId="4AA97F69" w14:textId="77777777" w:rsidR="00BE0947" w:rsidRPr="008C6437" w:rsidRDefault="00BE0947" w:rsidP="00816216">
            <w:pPr>
              <w:rPr>
                <w:rFonts w:ascii="Times New Roman" w:hAnsi="Times New Roman" w:cs="Times New Roman"/>
                <w:sz w:val="20"/>
                <w:szCs w:val="20"/>
              </w:rPr>
            </w:pPr>
            <w:r w:rsidRPr="008C6437">
              <w:rPr>
                <w:rFonts w:ascii="Times New Roman" w:hAnsi="Times New Roman" w:cs="Times New Roman"/>
                <w:sz w:val="20"/>
                <w:szCs w:val="20"/>
              </w:rPr>
              <w:t>123 korisnika -28 Ž i 95 M</w:t>
            </w:r>
          </w:p>
        </w:tc>
        <w:tc>
          <w:tcPr>
            <w:tcW w:w="1842" w:type="dxa"/>
            <w:shd w:val="clear" w:color="auto" w:fill="auto"/>
          </w:tcPr>
          <w:p w14:paraId="6389CDD0" w14:textId="77777777" w:rsidR="00BE0947" w:rsidRPr="008C6437" w:rsidRDefault="00BE0947" w:rsidP="00816216">
            <w:pPr>
              <w:rPr>
                <w:rFonts w:ascii="Times New Roman" w:hAnsi="Times New Roman" w:cs="Times New Roman"/>
                <w:sz w:val="20"/>
                <w:szCs w:val="20"/>
              </w:rPr>
            </w:pPr>
            <w:r w:rsidRPr="008C6437">
              <w:rPr>
                <w:rFonts w:ascii="Times New Roman" w:hAnsi="Times New Roman" w:cs="Times New Roman"/>
                <w:sz w:val="20"/>
                <w:szCs w:val="20"/>
              </w:rPr>
              <w:t>150.000,00 kn</w:t>
            </w:r>
          </w:p>
        </w:tc>
        <w:tc>
          <w:tcPr>
            <w:tcW w:w="1843" w:type="dxa"/>
          </w:tcPr>
          <w:p w14:paraId="38A98944" w14:textId="77777777" w:rsidR="00BE0947" w:rsidRPr="008C6437" w:rsidRDefault="00BE0947" w:rsidP="00816216">
            <w:pPr>
              <w:rPr>
                <w:rFonts w:ascii="Times New Roman" w:hAnsi="Times New Roman" w:cs="Times New Roman"/>
                <w:sz w:val="20"/>
                <w:szCs w:val="20"/>
              </w:rPr>
            </w:pPr>
            <w:r w:rsidRPr="008C6437">
              <w:rPr>
                <w:rFonts w:ascii="Times New Roman" w:hAnsi="Times New Roman" w:cs="Times New Roman"/>
                <w:sz w:val="20"/>
                <w:szCs w:val="20"/>
              </w:rPr>
              <w:t>Od lipnja 2020</w:t>
            </w:r>
          </w:p>
        </w:tc>
      </w:tr>
      <w:tr w:rsidR="00BE0947" w:rsidRPr="008C6437" w14:paraId="7E09EE4A" w14:textId="77777777" w:rsidTr="00816216">
        <w:tc>
          <w:tcPr>
            <w:tcW w:w="5529" w:type="dxa"/>
            <w:gridSpan w:val="2"/>
            <w:shd w:val="clear" w:color="auto" w:fill="auto"/>
          </w:tcPr>
          <w:p w14:paraId="3CF5D0E4" w14:textId="77777777" w:rsidR="00BE0947" w:rsidRPr="008C6437" w:rsidRDefault="00BE0947" w:rsidP="00816216">
            <w:pPr>
              <w:rPr>
                <w:rFonts w:ascii="Times New Roman" w:hAnsi="Times New Roman" w:cs="Times New Roman"/>
                <w:sz w:val="20"/>
                <w:szCs w:val="20"/>
              </w:rPr>
            </w:pPr>
            <w:r w:rsidRPr="008C6437">
              <w:rPr>
                <w:rFonts w:ascii="Times New Roman" w:hAnsi="Times New Roman" w:cs="Times New Roman"/>
                <w:sz w:val="20"/>
                <w:szCs w:val="20"/>
              </w:rPr>
              <w:t>UKUPNO:</w:t>
            </w:r>
          </w:p>
        </w:tc>
        <w:tc>
          <w:tcPr>
            <w:tcW w:w="3685" w:type="dxa"/>
            <w:gridSpan w:val="2"/>
            <w:shd w:val="clear" w:color="auto" w:fill="auto"/>
          </w:tcPr>
          <w:p w14:paraId="3D5B9903" w14:textId="77777777" w:rsidR="00BE0947" w:rsidRPr="008C6437" w:rsidRDefault="00BE0947" w:rsidP="00816216">
            <w:pPr>
              <w:rPr>
                <w:rFonts w:ascii="Times New Roman" w:hAnsi="Times New Roman" w:cs="Times New Roman"/>
                <w:sz w:val="20"/>
                <w:szCs w:val="20"/>
              </w:rPr>
            </w:pPr>
            <w:r>
              <w:rPr>
                <w:rFonts w:ascii="Times New Roman" w:hAnsi="Times New Roman" w:cs="Times New Roman"/>
                <w:sz w:val="20"/>
                <w:szCs w:val="20"/>
              </w:rPr>
              <w:t>930</w:t>
            </w:r>
            <w:r w:rsidRPr="008C6437">
              <w:rPr>
                <w:rFonts w:ascii="Times New Roman" w:hAnsi="Times New Roman" w:cs="Times New Roman"/>
                <w:sz w:val="20"/>
                <w:szCs w:val="20"/>
              </w:rPr>
              <w:t>.000,00</w:t>
            </w:r>
            <w:r>
              <w:rPr>
                <w:rFonts w:ascii="Times New Roman" w:hAnsi="Times New Roman" w:cs="Times New Roman"/>
                <w:sz w:val="20"/>
                <w:szCs w:val="20"/>
              </w:rPr>
              <w:t xml:space="preserve"> kn</w:t>
            </w:r>
          </w:p>
        </w:tc>
      </w:tr>
    </w:tbl>
    <w:p w14:paraId="5E0783CB" w14:textId="77777777" w:rsidR="00BE0947" w:rsidRDefault="00BE0947" w:rsidP="00BE0947">
      <w:pPr>
        <w:spacing w:after="0" w:line="240" w:lineRule="auto"/>
        <w:jc w:val="both"/>
        <w:rPr>
          <w:rFonts w:ascii="Times New Roman" w:hAnsi="Times New Roman" w:cs="Times New Roman"/>
          <w:bCs/>
          <w:sz w:val="24"/>
          <w:szCs w:val="24"/>
        </w:rPr>
      </w:pPr>
    </w:p>
    <w:p w14:paraId="6157E6C6" w14:textId="77777777" w:rsidR="00BE0947" w:rsidRPr="008C6437" w:rsidRDefault="00BE0947" w:rsidP="00BE0947">
      <w:pPr>
        <w:spacing w:after="0" w:line="240" w:lineRule="auto"/>
        <w:jc w:val="both"/>
        <w:rPr>
          <w:rFonts w:ascii="Times New Roman" w:hAnsi="Times New Roman" w:cs="Times New Roman"/>
          <w:bCs/>
          <w:sz w:val="24"/>
          <w:szCs w:val="24"/>
        </w:rPr>
      </w:pPr>
      <w:r w:rsidRPr="008C6437">
        <w:rPr>
          <w:rFonts w:ascii="Times New Roman" w:hAnsi="Times New Roman" w:cs="Times New Roman"/>
          <w:bCs/>
          <w:sz w:val="24"/>
          <w:szCs w:val="24"/>
        </w:rPr>
        <w:t>Dakle usluga rane intervencije u 2020. godini osigurana kroz trogodišnje programe „Razvoj i širenje mreže socijalnih usluga koje pružaju udruge“ za razdoblje od 2017 -2020</w:t>
      </w:r>
      <w:r>
        <w:rPr>
          <w:rFonts w:ascii="Times New Roman" w:hAnsi="Times New Roman" w:cs="Times New Roman"/>
          <w:bCs/>
          <w:sz w:val="24"/>
          <w:szCs w:val="24"/>
        </w:rPr>
        <w:t>.</w:t>
      </w:r>
      <w:r w:rsidRPr="008C6437">
        <w:rPr>
          <w:rFonts w:ascii="Times New Roman" w:hAnsi="Times New Roman" w:cs="Times New Roman"/>
          <w:bCs/>
          <w:sz w:val="24"/>
          <w:szCs w:val="24"/>
        </w:rPr>
        <w:t xml:space="preserve"> i za razdoblje 2020. - 2023. godine u ukupnom iznosu od 1.740.000,00 kn.</w:t>
      </w:r>
    </w:p>
    <w:p w14:paraId="043D2694" w14:textId="77777777" w:rsidR="00BE0947" w:rsidRPr="008C6437" w:rsidRDefault="00BE0947" w:rsidP="00BE0947">
      <w:pPr>
        <w:spacing w:after="0" w:line="240" w:lineRule="auto"/>
        <w:jc w:val="both"/>
        <w:rPr>
          <w:rFonts w:ascii="Times New Roman" w:hAnsi="Times New Roman" w:cs="Times New Roman"/>
          <w:bCs/>
          <w:sz w:val="24"/>
          <w:szCs w:val="24"/>
        </w:rPr>
      </w:pPr>
    </w:p>
    <w:p w14:paraId="38FDBDC7" w14:textId="77777777" w:rsidR="00BE0947" w:rsidRDefault="00BE0947" w:rsidP="00BE0947">
      <w:pPr>
        <w:spacing w:after="0" w:line="240" w:lineRule="auto"/>
        <w:jc w:val="both"/>
        <w:rPr>
          <w:rFonts w:ascii="Times New Roman" w:hAnsi="Times New Roman" w:cs="Times New Roman"/>
          <w:bCs/>
          <w:sz w:val="24"/>
          <w:szCs w:val="24"/>
        </w:rPr>
      </w:pPr>
      <w:r w:rsidRPr="008C6437">
        <w:rPr>
          <w:rFonts w:ascii="Times New Roman" w:hAnsi="Times New Roman" w:cs="Times New Roman"/>
          <w:bCs/>
          <w:sz w:val="24"/>
          <w:szCs w:val="24"/>
        </w:rPr>
        <w:t>U 2020. godini je kroz trogodišnje programe udruga uslugom rane intervencije bilo obuhvaćeno ukupno 408 djece s teškoćama u razvoju (232 djevojčice, 176 dječaka).</w:t>
      </w:r>
    </w:p>
    <w:p w14:paraId="0965FBA7" w14:textId="2B1C9E11" w:rsidR="00BE0947" w:rsidRDefault="00BE0947">
      <w:pPr>
        <w:rPr>
          <w:rFonts w:ascii="Times New Roman" w:eastAsiaTheme="majorEastAsia" w:hAnsi="Times New Roman" w:cs="Times New Roman"/>
          <w:sz w:val="24"/>
          <w:szCs w:val="24"/>
        </w:rPr>
      </w:pPr>
      <w:r>
        <w:rPr>
          <w:rFonts w:ascii="Times New Roman" w:hAnsi="Times New Roman" w:cs="Times New Roman"/>
          <w:sz w:val="24"/>
          <w:szCs w:val="24"/>
        </w:rPr>
        <w:br w:type="page"/>
      </w:r>
    </w:p>
    <w:p w14:paraId="244D0729" w14:textId="77777777" w:rsidR="00BE0947" w:rsidRPr="00A2427F" w:rsidRDefault="00BE0947" w:rsidP="00BE0947">
      <w:pPr>
        <w:pStyle w:val="paragraph"/>
        <w:spacing w:before="0" w:beforeAutospacing="0" w:after="0" w:afterAutospacing="0"/>
        <w:textAlignment w:val="baseline"/>
        <w:rPr>
          <w:rStyle w:val="normaltextrun"/>
          <w:b/>
          <w:bCs/>
          <w:color w:val="000000"/>
          <w:u w:val="single"/>
          <w:shd w:val="clear" w:color="auto" w:fill="FFFFFF"/>
          <w:lang w:val="hr-HR"/>
        </w:rPr>
      </w:pPr>
      <w:r w:rsidRPr="00A2427F">
        <w:rPr>
          <w:rStyle w:val="normaltextrun"/>
          <w:b/>
          <w:bCs/>
          <w:color w:val="000000"/>
          <w:u w:val="single"/>
          <w:shd w:val="clear" w:color="auto" w:fill="FFFFFF"/>
          <w:lang w:val="hr-HR"/>
        </w:rPr>
        <w:lastRenderedPageBreak/>
        <w:t>Prilog 1</w:t>
      </w:r>
      <w:r>
        <w:rPr>
          <w:rStyle w:val="normaltextrun"/>
          <w:b/>
          <w:bCs/>
          <w:color w:val="000000"/>
          <w:u w:val="single"/>
          <w:shd w:val="clear" w:color="auto" w:fill="FFFFFF"/>
          <w:lang w:val="hr-HR"/>
        </w:rPr>
        <w:t>4</w:t>
      </w:r>
    </w:p>
    <w:p w14:paraId="3A1883F7" w14:textId="77777777" w:rsidR="00BE0947" w:rsidRDefault="00BE0947" w:rsidP="00BE0947">
      <w:pPr>
        <w:pStyle w:val="paragraph"/>
        <w:spacing w:before="0" w:beforeAutospacing="0" w:after="0" w:afterAutospacing="0"/>
        <w:jc w:val="center"/>
        <w:textAlignment w:val="baseline"/>
        <w:rPr>
          <w:rStyle w:val="normaltextrun"/>
          <w:b/>
          <w:bCs/>
          <w:color w:val="000000"/>
          <w:shd w:val="clear" w:color="auto" w:fill="FFFFFF"/>
          <w:lang w:val="hr-HR"/>
        </w:rPr>
      </w:pPr>
    </w:p>
    <w:p w14:paraId="598B6CED" w14:textId="32E0B8DE" w:rsidR="00BE0947" w:rsidRPr="00B7417D" w:rsidRDefault="00BB3A51" w:rsidP="00BE0947">
      <w:pPr>
        <w:pStyle w:val="paragraph"/>
        <w:spacing w:before="0" w:beforeAutospacing="0" w:after="0" w:afterAutospacing="0"/>
        <w:jc w:val="center"/>
        <w:textAlignment w:val="baseline"/>
        <w:rPr>
          <w:rStyle w:val="normaltextrun"/>
          <w:b/>
          <w:bCs/>
          <w:color w:val="000000"/>
          <w:shd w:val="clear" w:color="auto" w:fill="FFFFFF"/>
          <w:lang w:val="hr-HR"/>
        </w:rPr>
      </w:pPr>
      <w:r w:rsidRPr="00B7417D">
        <w:rPr>
          <w:rStyle w:val="normaltextrun"/>
          <w:b/>
          <w:bCs/>
          <w:color w:val="000000"/>
          <w:shd w:val="clear" w:color="auto" w:fill="FFFFFF"/>
          <w:lang w:val="hr-HR"/>
        </w:rPr>
        <w:t>PROGRAM JAMSTVO ZA SVAKO DIJETE</w:t>
      </w:r>
    </w:p>
    <w:p w14:paraId="54DEA3E7" w14:textId="77777777" w:rsidR="00BE0947" w:rsidRPr="00B7417D" w:rsidRDefault="00BE0947" w:rsidP="00BE0947">
      <w:pPr>
        <w:pStyle w:val="paragraph"/>
        <w:spacing w:before="0" w:beforeAutospacing="0" w:after="0" w:afterAutospacing="0"/>
        <w:jc w:val="center"/>
        <w:textAlignment w:val="baseline"/>
        <w:rPr>
          <w:rStyle w:val="normaltextrun"/>
          <w:b/>
          <w:bCs/>
          <w:color w:val="000000"/>
          <w:shd w:val="clear" w:color="auto" w:fill="FFFFFF"/>
          <w:lang w:val="hr-HR"/>
        </w:rPr>
      </w:pPr>
    </w:p>
    <w:p w14:paraId="7C42ACA8" w14:textId="72894E84" w:rsidR="00BE0947" w:rsidRPr="00B7417D" w:rsidRDefault="00BB3A51" w:rsidP="00BE0947">
      <w:pPr>
        <w:pStyle w:val="paragraph"/>
        <w:spacing w:before="0" w:beforeAutospacing="0" w:after="0" w:afterAutospacing="0"/>
        <w:jc w:val="center"/>
        <w:textAlignment w:val="baseline"/>
        <w:rPr>
          <w:rStyle w:val="normaltextrun"/>
          <w:b/>
          <w:bCs/>
          <w:lang w:val="hr-HR"/>
        </w:rPr>
      </w:pPr>
      <w:r w:rsidRPr="00B7417D">
        <w:rPr>
          <w:rStyle w:val="normaltextrun"/>
          <w:b/>
          <w:bCs/>
          <w:color w:val="000000"/>
          <w:shd w:val="clear" w:color="auto" w:fill="FFFFFF"/>
          <w:lang w:val="hr-HR"/>
        </w:rPr>
        <w:t>POPIS KLJUČNIH PROGRAMSKIH AKTIVNOSTI U PARTNERSTVU S MEĐIMURSKOM ŽUPANIJOM I ODABRANIM OPĆINAMA</w:t>
      </w:r>
    </w:p>
    <w:p w14:paraId="24E69DC6" w14:textId="77777777" w:rsidR="00BE0947" w:rsidRDefault="00BE0947" w:rsidP="00BE0947">
      <w:pPr>
        <w:pStyle w:val="paragraph"/>
        <w:spacing w:before="0" w:beforeAutospacing="0" w:after="0" w:afterAutospacing="0"/>
        <w:jc w:val="both"/>
        <w:textAlignment w:val="baseline"/>
        <w:rPr>
          <w:rStyle w:val="normaltextrun"/>
          <w:b/>
          <w:bCs/>
          <w:lang w:val="hr-HR"/>
        </w:rPr>
      </w:pPr>
    </w:p>
    <w:p w14:paraId="3E3F6868" w14:textId="77777777" w:rsidR="00BE0947" w:rsidRDefault="00BE0947" w:rsidP="00BE0947">
      <w:pPr>
        <w:pStyle w:val="paragraph"/>
        <w:spacing w:before="0" w:beforeAutospacing="0" w:after="0" w:afterAutospacing="0"/>
        <w:jc w:val="both"/>
        <w:textAlignment w:val="baseline"/>
        <w:rPr>
          <w:rStyle w:val="normaltextrun"/>
          <w:b/>
          <w:bCs/>
          <w:lang w:val="hr-HR"/>
        </w:rPr>
      </w:pPr>
    </w:p>
    <w:p w14:paraId="21952F75" w14:textId="77777777" w:rsidR="00BE0947" w:rsidRDefault="00BE0947" w:rsidP="00BE0947">
      <w:pPr>
        <w:pStyle w:val="StandardWeb"/>
        <w:spacing w:before="0" w:beforeAutospacing="0" w:after="0" w:afterAutospacing="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Ministarstvo rada, mirovinskoga sustava, obitelji i socijalne politike </w:t>
      </w:r>
      <w:r w:rsidRPr="00E82BC3">
        <w:rPr>
          <w:rFonts w:ascii="Times New Roman" w:eastAsia="Times New Roman" w:hAnsi="Times New Roman" w:cs="Times New Roman"/>
          <w:bCs/>
          <w:sz w:val="24"/>
          <w:szCs w:val="24"/>
        </w:rPr>
        <w:t>i Ured UNICEF-a za Hrvatsku su 2020.</w:t>
      </w:r>
      <w:r>
        <w:rPr>
          <w:rFonts w:ascii="Times New Roman" w:eastAsia="Times New Roman" w:hAnsi="Times New Roman" w:cs="Times New Roman"/>
          <w:bCs/>
          <w:sz w:val="24"/>
          <w:szCs w:val="24"/>
        </w:rPr>
        <w:t xml:space="preserve"> godine potpisali </w:t>
      </w:r>
      <w:r w:rsidRPr="00E82BC3">
        <w:rPr>
          <w:rFonts w:ascii="Times New Roman" w:eastAsia="Times New Roman" w:hAnsi="Times New Roman" w:cs="Times New Roman"/>
          <w:bCs/>
          <w:sz w:val="24"/>
          <w:szCs w:val="24"/>
        </w:rPr>
        <w:t xml:space="preserve">Memorandum o razumijevanju na </w:t>
      </w:r>
      <w:proofErr w:type="spellStart"/>
      <w:r w:rsidRPr="00E82BC3">
        <w:rPr>
          <w:rFonts w:ascii="Times New Roman" w:eastAsia="Times New Roman" w:hAnsi="Times New Roman" w:cs="Times New Roman"/>
          <w:bCs/>
          <w:sz w:val="24"/>
          <w:szCs w:val="24"/>
        </w:rPr>
        <w:t>pilotiranju</w:t>
      </w:r>
      <w:proofErr w:type="spellEnd"/>
      <w:r w:rsidRPr="00E82BC3">
        <w:rPr>
          <w:rFonts w:ascii="Times New Roman" w:eastAsia="Times New Roman" w:hAnsi="Times New Roman" w:cs="Times New Roman"/>
          <w:bCs/>
          <w:sz w:val="24"/>
          <w:szCs w:val="24"/>
        </w:rPr>
        <w:t xml:space="preserve"> Programa „Ostvarenje jamstva za svako dijete“</w:t>
      </w:r>
      <w:r>
        <w:rPr>
          <w:rFonts w:ascii="Times New Roman" w:eastAsia="Times New Roman" w:hAnsi="Times New Roman" w:cs="Times New Roman"/>
          <w:bCs/>
          <w:sz w:val="24"/>
          <w:szCs w:val="24"/>
        </w:rPr>
        <w:t xml:space="preserve"> s ciljem</w:t>
      </w:r>
      <w:r>
        <w:rPr>
          <w:rFonts w:ascii="Times New Roman" w:hAnsi="Times New Roman" w:cs="Times New Roman"/>
          <w:color w:val="0C64C0"/>
          <w:sz w:val="27"/>
          <w:szCs w:val="27"/>
        </w:rPr>
        <w:t xml:space="preserve"> </w:t>
      </w:r>
      <w:r w:rsidRPr="002B2FDF">
        <w:rPr>
          <w:rFonts w:ascii="Times New Roman" w:eastAsia="Times New Roman" w:hAnsi="Times New Roman" w:cs="Times New Roman"/>
          <w:bCs/>
          <w:sz w:val="24"/>
          <w:szCs w:val="24"/>
        </w:rPr>
        <w:t xml:space="preserve">da </w:t>
      </w:r>
      <w:r>
        <w:rPr>
          <w:rFonts w:ascii="Times New Roman" w:eastAsia="Times New Roman" w:hAnsi="Times New Roman" w:cs="Times New Roman"/>
          <w:bCs/>
          <w:sz w:val="24"/>
          <w:szCs w:val="24"/>
        </w:rPr>
        <w:t xml:space="preserve">se </w:t>
      </w:r>
      <w:r w:rsidRPr="002B2FDF">
        <w:rPr>
          <w:rFonts w:ascii="Times New Roman" w:eastAsia="Times New Roman" w:hAnsi="Times New Roman" w:cs="Times New Roman"/>
          <w:bCs/>
          <w:sz w:val="24"/>
          <w:szCs w:val="24"/>
        </w:rPr>
        <w:t>djec</w:t>
      </w:r>
      <w:r>
        <w:rPr>
          <w:rFonts w:ascii="Times New Roman" w:eastAsia="Times New Roman" w:hAnsi="Times New Roman" w:cs="Times New Roman"/>
          <w:bCs/>
          <w:sz w:val="24"/>
          <w:szCs w:val="24"/>
        </w:rPr>
        <w:t>i</w:t>
      </w:r>
      <w:r w:rsidRPr="002B2FDF">
        <w:rPr>
          <w:rFonts w:ascii="Times New Roman" w:eastAsia="Times New Roman" w:hAnsi="Times New Roman" w:cs="Times New Roman"/>
          <w:bCs/>
          <w:sz w:val="24"/>
          <w:szCs w:val="24"/>
        </w:rPr>
        <w:t xml:space="preserve"> iz Međimurske županije </w:t>
      </w:r>
      <w:r>
        <w:rPr>
          <w:rFonts w:ascii="Times New Roman" w:eastAsia="Times New Roman" w:hAnsi="Times New Roman" w:cs="Times New Roman"/>
          <w:bCs/>
          <w:sz w:val="24"/>
          <w:szCs w:val="24"/>
        </w:rPr>
        <w:t>osiguranja</w:t>
      </w:r>
      <w:r w:rsidRPr="002B2FDF">
        <w:rPr>
          <w:rFonts w:ascii="Times New Roman" w:eastAsia="Times New Roman" w:hAnsi="Times New Roman" w:cs="Times New Roman"/>
          <w:bCs/>
          <w:sz w:val="24"/>
          <w:szCs w:val="24"/>
        </w:rPr>
        <w:t xml:space="preserve"> pristup</w:t>
      </w:r>
      <w:r>
        <w:rPr>
          <w:rFonts w:ascii="Times New Roman" w:eastAsia="Times New Roman" w:hAnsi="Times New Roman" w:cs="Times New Roman"/>
          <w:bCs/>
          <w:sz w:val="24"/>
          <w:szCs w:val="24"/>
        </w:rPr>
        <w:t>a</w:t>
      </w:r>
      <w:r w:rsidRPr="002B2FDF">
        <w:rPr>
          <w:rFonts w:ascii="Times New Roman" w:eastAsia="Times New Roman" w:hAnsi="Times New Roman" w:cs="Times New Roman"/>
          <w:bCs/>
          <w:sz w:val="24"/>
          <w:szCs w:val="24"/>
        </w:rPr>
        <w:t xml:space="preserve"> integriranim multidisciplinarnim, adekvatno financiranim uslugama podrške koje se pružaju u zajednici i u obitelji, predškolskom odgoju i ranoj intervenciji u djetinjstvu</w:t>
      </w:r>
      <w:r>
        <w:rPr>
          <w:rFonts w:ascii="Times New Roman" w:eastAsia="Times New Roman" w:hAnsi="Times New Roman" w:cs="Times New Roman"/>
          <w:bCs/>
          <w:sz w:val="24"/>
          <w:szCs w:val="24"/>
        </w:rPr>
        <w:t xml:space="preserve">. </w:t>
      </w:r>
    </w:p>
    <w:p w14:paraId="734A4E87" w14:textId="77777777" w:rsidR="00BE0947" w:rsidRPr="00B7417D" w:rsidRDefault="00BE0947" w:rsidP="00BE0947">
      <w:pPr>
        <w:pStyle w:val="paragraph"/>
        <w:spacing w:before="0" w:beforeAutospacing="0" w:after="0" w:afterAutospacing="0"/>
        <w:jc w:val="both"/>
        <w:textAlignment w:val="baseline"/>
        <w:rPr>
          <w:rStyle w:val="normaltextrun"/>
          <w:b/>
          <w:bCs/>
          <w:lang w:val="hr-HR"/>
        </w:rPr>
      </w:pPr>
    </w:p>
    <w:p w14:paraId="04B385A3" w14:textId="77777777" w:rsidR="00BE0947" w:rsidRPr="00B7417D" w:rsidRDefault="00BE0947" w:rsidP="00BE0947">
      <w:pPr>
        <w:pStyle w:val="paragraph"/>
        <w:spacing w:before="0" w:beforeAutospacing="0" w:after="0" w:afterAutospacing="0"/>
        <w:jc w:val="both"/>
        <w:textAlignment w:val="baseline"/>
        <w:rPr>
          <w:rStyle w:val="normaltextrun"/>
          <w:lang w:val="hr-HR"/>
        </w:rPr>
      </w:pPr>
      <w:r w:rsidRPr="00B7417D">
        <w:rPr>
          <w:rStyle w:val="normaltextrun"/>
          <w:b/>
          <w:bCs/>
          <w:lang w:val="hr-HR"/>
        </w:rPr>
        <w:t>Specifični cilj 1.</w:t>
      </w:r>
      <w:r w:rsidRPr="00B7417D">
        <w:rPr>
          <w:rStyle w:val="normaltextrun"/>
          <w:lang w:val="hr-HR"/>
        </w:rPr>
        <w:t xml:space="preserve"> Osigurati da najranjivija djeca i njihovi roditelji i skrbnici / osobe koje se o njima brinu (uključujući Rome) imaju pristup integriranim uslugama zaštite djece i podrške obitelji koje omogućavaju prevenciju, ranu identifikaciju, upućivanje i pružanje usluga u skladu s najboljim interesom djeteta, i tako prevenirati smještaj u institucionalnu skrb.</w:t>
      </w:r>
    </w:p>
    <w:p w14:paraId="761A639A" w14:textId="77777777" w:rsidR="00BE0947" w:rsidRPr="00B7417D" w:rsidRDefault="00BE0947" w:rsidP="00BE0947">
      <w:pPr>
        <w:pStyle w:val="paragraph"/>
        <w:spacing w:before="0" w:beforeAutospacing="0" w:after="0" w:afterAutospacing="0"/>
        <w:jc w:val="both"/>
        <w:textAlignment w:val="baseline"/>
        <w:rPr>
          <w:rStyle w:val="normaltextrun"/>
          <w:b/>
          <w:bCs/>
          <w:lang w:val="hr-HR"/>
        </w:rPr>
      </w:pPr>
    </w:p>
    <w:p w14:paraId="6D6BFD49" w14:textId="77777777" w:rsidR="00BE0947" w:rsidRPr="00B7417D" w:rsidRDefault="00BE0947" w:rsidP="00FB05F1">
      <w:pPr>
        <w:pStyle w:val="paragraph"/>
        <w:numPr>
          <w:ilvl w:val="0"/>
          <w:numId w:val="14"/>
        </w:numPr>
        <w:spacing w:before="0" w:beforeAutospacing="0" w:after="0" w:afterAutospacing="0"/>
        <w:jc w:val="both"/>
        <w:textAlignment w:val="baseline"/>
        <w:rPr>
          <w:rStyle w:val="normaltextrun"/>
          <w:lang w:val="hr-HR"/>
        </w:rPr>
      </w:pPr>
      <w:r w:rsidRPr="00B7417D">
        <w:rPr>
          <w:rStyle w:val="normaltextrun"/>
          <w:b/>
          <w:bCs/>
          <w:lang w:val="hr-HR"/>
        </w:rPr>
        <w:t>uspostavljanje društvenih centara za usluge djeci i obiteljima u zajednici</w:t>
      </w:r>
      <w:r w:rsidRPr="00B7417D">
        <w:rPr>
          <w:rStyle w:val="normaltextrun"/>
          <w:lang w:val="hr-HR"/>
        </w:rPr>
        <w:t>, odnosno osiguravanje prostora za provođenje aktivnosti Programa</w:t>
      </w:r>
      <w:r w:rsidRPr="00B7417D">
        <w:rPr>
          <w:rStyle w:val="normaltextrun"/>
          <w:b/>
          <w:bCs/>
          <w:lang w:val="hr-HR"/>
        </w:rPr>
        <w:t xml:space="preserve"> – </w:t>
      </w:r>
      <w:r w:rsidRPr="00B7417D">
        <w:rPr>
          <w:rStyle w:val="normaltextrun"/>
          <w:lang w:val="hr-HR"/>
        </w:rPr>
        <w:t>namijenjen za programe zaštite djece i podrške obiteljima, razvoja životnih vještina, grupe potpore za žene, resursni centar za djecu i žene, uključujući usluge rane intervencije u djetinjstvu i ranog razvoja.</w:t>
      </w:r>
    </w:p>
    <w:p w14:paraId="62E0BA8D" w14:textId="77777777" w:rsidR="00BE0947" w:rsidRPr="00B7417D" w:rsidRDefault="00BE0947" w:rsidP="00BE0947">
      <w:pPr>
        <w:pStyle w:val="paragraph"/>
        <w:spacing w:before="0" w:beforeAutospacing="0" w:after="0" w:afterAutospacing="0"/>
        <w:jc w:val="both"/>
        <w:textAlignment w:val="baseline"/>
        <w:rPr>
          <w:rStyle w:val="normaltextrun"/>
          <w:lang w:val="hr-HR"/>
        </w:rPr>
      </w:pPr>
    </w:p>
    <w:p w14:paraId="626195C0" w14:textId="77777777" w:rsidR="00BE0947" w:rsidRPr="00B7417D" w:rsidRDefault="00BE0947" w:rsidP="00FB05F1">
      <w:pPr>
        <w:pStyle w:val="paragraph"/>
        <w:numPr>
          <w:ilvl w:val="0"/>
          <w:numId w:val="14"/>
        </w:numPr>
        <w:spacing w:before="0" w:beforeAutospacing="0" w:after="0" w:afterAutospacing="0"/>
        <w:jc w:val="both"/>
        <w:textAlignment w:val="baseline"/>
        <w:rPr>
          <w:rStyle w:val="normaltextrun"/>
          <w:b/>
          <w:bCs/>
          <w:lang w:val="hr-HR"/>
        </w:rPr>
      </w:pPr>
      <w:r w:rsidRPr="00B7417D">
        <w:rPr>
          <w:rStyle w:val="normaltextrun"/>
          <w:b/>
          <w:bCs/>
          <w:lang w:val="hr-HR"/>
        </w:rPr>
        <w:t>razvoj socijalnih usluga:</w:t>
      </w:r>
    </w:p>
    <w:p w14:paraId="54BAE17B" w14:textId="77777777" w:rsidR="00BE0947" w:rsidRPr="00B7417D" w:rsidRDefault="00BE0947" w:rsidP="00FB05F1">
      <w:pPr>
        <w:pStyle w:val="paragraph"/>
        <w:numPr>
          <w:ilvl w:val="0"/>
          <w:numId w:val="15"/>
        </w:numPr>
        <w:spacing w:before="0" w:beforeAutospacing="0" w:after="0" w:afterAutospacing="0"/>
        <w:jc w:val="both"/>
        <w:textAlignment w:val="baseline"/>
        <w:rPr>
          <w:rStyle w:val="normaltextrun"/>
          <w:b/>
          <w:bCs/>
          <w:lang w:val="hr-HR"/>
        </w:rPr>
      </w:pPr>
      <w:r w:rsidRPr="00B7417D">
        <w:rPr>
          <w:rStyle w:val="normaltextrun"/>
          <w:lang w:val="hr-HR"/>
        </w:rPr>
        <w:t>tehnička podrška u</w:t>
      </w:r>
      <w:r w:rsidRPr="00B7417D">
        <w:rPr>
          <w:rStyle w:val="normaltextrun"/>
          <w:b/>
          <w:bCs/>
          <w:lang w:val="hr-HR"/>
        </w:rPr>
        <w:t xml:space="preserve"> razvoju mreže socijalnih usluga </w:t>
      </w:r>
      <w:r w:rsidRPr="00B7417D">
        <w:rPr>
          <w:rStyle w:val="normaltextrun"/>
          <w:lang w:val="hr-HR"/>
        </w:rPr>
        <w:t>u Međimurskoj županiji.</w:t>
      </w:r>
    </w:p>
    <w:p w14:paraId="206919C1" w14:textId="77777777" w:rsidR="00BE0947" w:rsidRPr="00B7417D" w:rsidRDefault="00BE0947" w:rsidP="00BE0947">
      <w:pPr>
        <w:pStyle w:val="paragraph"/>
        <w:spacing w:before="0" w:beforeAutospacing="0" w:after="0" w:afterAutospacing="0"/>
        <w:jc w:val="both"/>
        <w:textAlignment w:val="baseline"/>
        <w:rPr>
          <w:rStyle w:val="normaltextrun"/>
          <w:b/>
          <w:bCs/>
          <w:lang w:val="hr-HR"/>
        </w:rPr>
      </w:pPr>
    </w:p>
    <w:p w14:paraId="7B0DD46E" w14:textId="77777777" w:rsidR="00BE0947" w:rsidRPr="00B7417D" w:rsidRDefault="00BE0947" w:rsidP="00FB05F1">
      <w:pPr>
        <w:pStyle w:val="paragraph"/>
        <w:numPr>
          <w:ilvl w:val="0"/>
          <w:numId w:val="14"/>
        </w:numPr>
        <w:spacing w:before="0" w:beforeAutospacing="0" w:after="0" w:afterAutospacing="0"/>
        <w:jc w:val="both"/>
        <w:textAlignment w:val="baseline"/>
        <w:rPr>
          <w:b/>
          <w:bCs/>
          <w:lang w:val="hr-HR"/>
        </w:rPr>
      </w:pPr>
      <w:r w:rsidRPr="00B7417D">
        <w:rPr>
          <w:rStyle w:val="normaltextrun"/>
          <w:b/>
          <w:bCs/>
          <w:lang w:val="hr-HR"/>
        </w:rPr>
        <w:t>podrška roditeljstvu:</w:t>
      </w:r>
    </w:p>
    <w:p w14:paraId="5C9B7F90" w14:textId="77777777" w:rsidR="00BE0947" w:rsidRPr="00B7417D" w:rsidRDefault="00BE0947" w:rsidP="00FB05F1">
      <w:pPr>
        <w:pStyle w:val="paragraph"/>
        <w:numPr>
          <w:ilvl w:val="0"/>
          <w:numId w:val="16"/>
        </w:numPr>
        <w:spacing w:before="0" w:beforeAutospacing="0" w:after="0" w:afterAutospacing="0"/>
        <w:jc w:val="both"/>
        <w:textAlignment w:val="baseline"/>
        <w:rPr>
          <w:lang w:val="hr-HR"/>
        </w:rPr>
      </w:pPr>
      <w:r w:rsidRPr="00B7417D">
        <w:rPr>
          <w:rStyle w:val="normaltextrun"/>
          <w:b/>
          <w:bCs/>
          <w:lang w:val="hr-HR"/>
        </w:rPr>
        <w:t xml:space="preserve">prilagodba programa podrške roditeljstvu </w:t>
      </w:r>
      <w:r w:rsidRPr="00B7417D">
        <w:rPr>
          <w:rStyle w:val="normaltextrun"/>
          <w:lang w:val="hr-HR"/>
        </w:rPr>
        <w:t>„Rastimo zajedno“ za implementaciju s Romskim obiteljima;</w:t>
      </w:r>
    </w:p>
    <w:p w14:paraId="54799E0A" w14:textId="77777777" w:rsidR="00BE0947" w:rsidRPr="00B7417D" w:rsidRDefault="00BE0947" w:rsidP="00FB05F1">
      <w:pPr>
        <w:pStyle w:val="paragraph"/>
        <w:numPr>
          <w:ilvl w:val="0"/>
          <w:numId w:val="16"/>
        </w:numPr>
        <w:spacing w:before="0" w:beforeAutospacing="0" w:after="0" w:afterAutospacing="0"/>
        <w:jc w:val="both"/>
        <w:textAlignment w:val="baseline"/>
        <w:rPr>
          <w:lang w:val="hr-HR"/>
        </w:rPr>
      </w:pPr>
      <w:r w:rsidRPr="00B7417D">
        <w:rPr>
          <w:rStyle w:val="normaltextrun"/>
          <w:b/>
          <w:bCs/>
          <w:lang w:val="hr-HR"/>
        </w:rPr>
        <w:t xml:space="preserve">trening stručnjaka </w:t>
      </w:r>
      <w:r w:rsidRPr="00B7417D">
        <w:rPr>
          <w:rStyle w:val="normaltextrun"/>
          <w:lang w:val="hr-HR"/>
        </w:rPr>
        <w:t>koji rade s djecom predškolske dobi, socijalnih radnika i predstavnika organizacija civilnog društva;</w:t>
      </w:r>
    </w:p>
    <w:p w14:paraId="58B0C098" w14:textId="77777777" w:rsidR="00BE0947" w:rsidRPr="00B7417D" w:rsidRDefault="00BE0947" w:rsidP="00FB05F1">
      <w:pPr>
        <w:pStyle w:val="paragraph"/>
        <w:numPr>
          <w:ilvl w:val="0"/>
          <w:numId w:val="16"/>
        </w:numPr>
        <w:spacing w:before="0" w:beforeAutospacing="0" w:after="0" w:afterAutospacing="0"/>
        <w:jc w:val="both"/>
        <w:textAlignment w:val="baseline"/>
        <w:rPr>
          <w:lang w:val="hr-HR"/>
        </w:rPr>
      </w:pPr>
      <w:r w:rsidRPr="00B7417D">
        <w:rPr>
          <w:rStyle w:val="normaltextrun"/>
          <w:b/>
          <w:bCs/>
          <w:lang w:val="hr-HR"/>
        </w:rPr>
        <w:t xml:space="preserve">provedba radionica </w:t>
      </w:r>
      <w:r w:rsidRPr="00B7417D">
        <w:rPr>
          <w:rStyle w:val="normaltextrun"/>
          <w:lang w:val="hr-HR"/>
        </w:rPr>
        <w:t>s obiteljima (roditelji i mala djeca iz 7-10 vrtića, 2 organizacije civilnog društva, Centar za socijalnu skrb Čakovec – Podružnica Obiteljski centar, novoosnovani Centar za pružanje usluga u zajednici Međimurske županije i 7 romskih naselja);</w:t>
      </w:r>
    </w:p>
    <w:p w14:paraId="0FD974B1" w14:textId="77777777" w:rsidR="00BE0947" w:rsidRPr="00B7417D" w:rsidRDefault="00BE0947" w:rsidP="00FB05F1">
      <w:pPr>
        <w:pStyle w:val="paragraph"/>
        <w:numPr>
          <w:ilvl w:val="0"/>
          <w:numId w:val="16"/>
        </w:numPr>
        <w:spacing w:before="0" w:beforeAutospacing="0" w:after="0" w:afterAutospacing="0"/>
        <w:jc w:val="both"/>
        <w:textAlignment w:val="baseline"/>
        <w:rPr>
          <w:lang w:val="hr-HR"/>
        </w:rPr>
      </w:pPr>
      <w:r w:rsidRPr="00B7417D">
        <w:rPr>
          <w:rStyle w:val="normaltextrun"/>
          <w:b/>
          <w:bCs/>
          <w:lang w:val="hr-HR"/>
        </w:rPr>
        <w:t>podrška i praćenje radionica</w:t>
      </w:r>
      <w:r w:rsidRPr="00B7417D">
        <w:rPr>
          <w:rStyle w:val="normaltextrun"/>
          <w:lang w:val="hr-HR"/>
        </w:rPr>
        <w:t>;</w:t>
      </w:r>
    </w:p>
    <w:p w14:paraId="245E6C3D" w14:textId="77777777" w:rsidR="00BE0947" w:rsidRPr="00B7417D" w:rsidRDefault="00BE0947" w:rsidP="00FB05F1">
      <w:pPr>
        <w:pStyle w:val="paragraph"/>
        <w:numPr>
          <w:ilvl w:val="0"/>
          <w:numId w:val="16"/>
        </w:numPr>
        <w:spacing w:before="0" w:beforeAutospacing="0" w:after="0" w:afterAutospacing="0"/>
        <w:jc w:val="both"/>
        <w:textAlignment w:val="baseline"/>
        <w:rPr>
          <w:lang w:val="hr-HR"/>
        </w:rPr>
      </w:pPr>
      <w:r w:rsidRPr="00B7417D">
        <w:rPr>
          <w:rStyle w:val="normaltextrun"/>
          <w:b/>
          <w:bCs/>
          <w:lang w:val="hr-HR"/>
        </w:rPr>
        <w:t>provedba procesne evaluacije i analize implementacije</w:t>
      </w:r>
      <w:r w:rsidRPr="00B7417D">
        <w:rPr>
          <w:rStyle w:val="normaltextrun"/>
          <w:lang w:val="hr-HR"/>
        </w:rPr>
        <w:t>.</w:t>
      </w:r>
      <w:r w:rsidRPr="00B7417D">
        <w:rPr>
          <w:rStyle w:val="eop"/>
          <w:lang w:val="hr-HR"/>
        </w:rPr>
        <w:t> </w:t>
      </w:r>
    </w:p>
    <w:p w14:paraId="556B3401" w14:textId="77777777" w:rsidR="00BE0947" w:rsidRPr="00B7417D" w:rsidRDefault="00BE0947" w:rsidP="00BE0947">
      <w:pPr>
        <w:pStyle w:val="paragraph"/>
        <w:spacing w:before="0" w:beforeAutospacing="0" w:after="0" w:afterAutospacing="0"/>
        <w:jc w:val="both"/>
        <w:textAlignment w:val="baseline"/>
        <w:rPr>
          <w:rStyle w:val="normaltextrun"/>
          <w:b/>
          <w:bCs/>
          <w:lang w:val="hr-HR"/>
        </w:rPr>
      </w:pPr>
    </w:p>
    <w:p w14:paraId="0CB6EE05" w14:textId="77777777" w:rsidR="00BE0947" w:rsidRPr="00B7417D" w:rsidRDefault="00BE0947" w:rsidP="00BE0947">
      <w:pPr>
        <w:pStyle w:val="paragraph"/>
        <w:spacing w:before="0" w:beforeAutospacing="0" w:after="0" w:afterAutospacing="0"/>
        <w:jc w:val="both"/>
        <w:textAlignment w:val="baseline"/>
        <w:rPr>
          <w:lang w:val="hr-HR"/>
        </w:rPr>
      </w:pPr>
      <w:r w:rsidRPr="00B7417D">
        <w:rPr>
          <w:rStyle w:val="normaltextrun"/>
          <w:b/>
          <w:bCs/>
          <w:lang w:val="hr-HR"/>
        </w:rPr>
        <w:t xml:space="preserve">Specifični cilj 2. </w:t>
      </w:r>
      <w:r w:rsidRPr="00B7417D">
        <w:rPr>
          <w:rStyle w:val="normaltextrun"/>
          <w:lang w:val="hr-HR"/>
        </w:rPr>
        <w:t>Omogućiti pristup kvalitetnom predškolskom odgoju i obrazovanju za svu ranjivu djecu (uključujući Rome, djecu s teškoćama u razvoju i djecu koja žive u rizičnim obiteljskim situacijama) kako bi se spriječilo socijalno isključivanje i rano odustajanje od školovanja.  </w:t>
      </w:r>
    </w:p>
    <w:p w14:paraId="60D5FF9E" w14:textId="77777777" w:rsidR="00BE0947" w:rsidRPr="00B7417D" w:rsidRDefault="00BE0947" w:rsidP="00BE0947">
      <w:pPr>
        <w:pStyle w:val="paragraph"/>
        <w:spacing w:before="0" w:beforeAutospacing="0" w:after="0" w:afterAutospacing="0"/>
        <w:jc w:val="both"/>
        <w:textAlignment w:val="baseline"/>
        <w:rPr>
          <w:rStyle w:val="normaltextrun"/>
          <w:b/>
          <w:bCs/>
          <w:lang w:val="hr-HR"/>
        </w:rPr>
      </w:pPr>
    </w:p>
    <w:p w14:paraId="0CBC4D62" w14:textId="77777777" w:rsidR="00BE0947" w:rsidRPr="00B7417D" w:rsidRDefault="00BE0947" w:rsidP="00BE0947">
      <w:pPr>
        <w:pStyle w:val="paragraph"/>
        <w:spacing w:before="0" w:beforeAutospacing="0" w:after="0" w:afterAutospacing="0"/>
        <w:jc w:val="both"/>
        <w:textAlignment w:val="baseline"/>
        <w:rPr>
          <w:lang w:val="hr-HR"/>
        </w:rPr>
      </w:pPr>
      <w:r w:rsidRPr="00B7417D">
        <w:rPr>
          <w:rStyle w:val="normaltextrun"/>
          <w:b/>
          <w:bCs/>
          <w:lang w:val="hr-HR"/>
        </w:rPr>
        <w:t>Aktivnosti usmjerene ranom i predškolskom odgoju i obrazovanju</w:t>
      </w:r>
      <w:r w:rsidRPr="00B7417D">
        <w:rPr>
          <w:rStyle w:val="normaltextrun"/>
          <w:lang w:val="hr-HR"/>
        </w:rPr>
        <w:t>:</w:t>
      </w:r>
    </w:p>
    <w:p w14:paraId="2EF15B2E" w14:textId="77777777" w:rsidR="00BE0947" w:rsidRPr="00B7417D" w:rsidRDefault="00BE0947" w:rsidP="00FB05F1">
      <w:pPr>
        <w:pStyle w:val="paragraph"/>
        <w:numPr>
          <w:ilvl w:val="0"/>
          <w:numId w:val="17"/>
        </w:numPr>
        <w:spacing w:before="0" w:beforeAutospacing="0" w:after="0" w:afterAutospacing="0"/>
        <w:jc w:val="both"/>
        <w:textAlignment w:val="baseline"/>
        <w:rPr>
          <w:lang w:val="hr-HR"/>
        </w:rPr>
      </w:pPr>
      <w:r w:rsidRPr="00B7417D">
        <w:rPr>
          <w:rStyle w:val="normaltextrun"/>
          <w:b/>
          <w:bCs/>
          <w:lang w:val="hr-HR"/>
        </w:rPr>
        <w:t>profesionalni razvoj</w:t>
      </w:r>
      <w:r w:rsidRPr="00B7417D">
        <w:rPr>
          <w:rStyle w:val="normaltextrun"/>
          <w:lang w:val="hr-HR"/>
        </w:rPr>
        <w:t xml:space="preserve"> učitelja, drugih stručnjaka u vrtićima i osobnih asistenata;</w:t>
      </w:r>
    </w:p>
    <w:p w14:paraId="7C43BE7C" w14:textId="77777777" w:rsidR="00BE0947" w:rsidRPr="00B7417D" w:rsidRDefault="00BE0947" w:rsidP="00FB05F1">
      <w:pPr>
        <w:pStyle w:val="paragraph"/>
        <w:numPr>
          <w:ilvl w:val="0"/>
          <w:numId w:val="17"/>
        </w:numPr>
        <w:spacing w:before="0" w:beforeAutospacing="0" w:after="0" w:afterAutospacing="0"/>
        <w:jc w:val="both"/>
        <w:textAlignment w:val="baseline"/>
        <w:rPr>
          <w:lang w:val="hr-HR"/>
        </w:rPr>
      </w:pPr>
      <w:r w:rsidRPr="00B7417D">
        <w:rPr>
          <w:rStyle w:val="normaltextrun"/>
          <w:lang w:val="hr-HR"/>
        </w:rPr>
        <w:t>uspostava</w:t>
      </w:r>
      <w:r>
        <w:rPr>
          <w:rStyle w:val="normaltextrun"/>
          <w:lang w:val="hr-HR"/>
        </w:rPr>
        <w:t xml:space="preserve"> </w:t>
      </w:r>
      <w:r w:rsidRPr="00B7417D">
        <w:rPr>
          <w:rStyle w:val="normaltextrun"/>
          <w:lang w:val="hr-HR"/>
        </w:rPr>
        <w:t xml:space="preserve">mjesta za </w:t>
      </w:r>
      <w:r w:rsidRPr="00B7417D">
        <w:rPr>
          <w:rStyle w:val="normaltextrun"/>
          <w:b/>
          <w:bCs/>
          <w:lang w:val="hr-HR"/>
        </w:rPr>
        <w:t xml:space="preserve">neformalne obrazovne prilike - „Centre za igru“, </w:t>
      </w:r>
      <w:r w:rsidRPr="00B7417D">
        <w:rPr>
          <w:rStyle w:val="normaltextrun"/>
          <w:lang w:val="hr-HR"/>
        </w:rPr>
        <w:t>u školama blizu romskih naselja;</w:t>
      </w:r>
    </w:p>
    <w:p w14:paraId="4DEFA5E3" w14:textId="77777777" w:rsidR="00BE0947" w:rsidRPr="00B7417D" w:rsidRDefault="00BE0947" w:rsidP="00FB05F1">
      <w:pPr>
        <w:pStyle w:val="paragraph"/>
        <w:numPr>
          <w:ilvl w:val="0"/>
          <w:numId w:val="17"/>
        </w:numPr>
        <w:spacing w:before="0" w:beforeAutospacing="0" w:after="0" w:afterAutospacing="0"/>
        <w:jc w:val="both"/>
        <w:textAlignment w:val="baseline"/>
        <w:rPr>
          <w:lang w:val="hr-HR"/>
        </w:rPr>
      </w:pPr>
      <w:r w:rsidRPr="00B7417D">
        <w:rPr>
          <w:rStyle w:val="normaltextrun"/>
          <w:b/>
          <w:bCs/>
          <w:lang w:val="hr-HR"/>
        </w:rPr>
        <w:t xml:space="preserve">opremanje kabineta na Učiteljskom fakultetu </w:t>
      </w:r>
      <w:r w:rsidRPr="00B7417D">
        <w:rPr>
          <w:rStyle w:val="normaltextrun"/>
          <w:lang w:val="hr-HR"/>
        </w:rPr>
        <w:t>za praksu inkluzivne pedagogije;</w:t>
      </w:r>
    </w:p>
    <w:p w14:paraId="7DBBE5A1" w14:textId="77777777" w:rsidR="00BE0947" w:rsidRPr="00B7417D" w:rsidRDefault="00BE0947" w:rsidP="00FB05F1">
      <w:pPr>
        <w:pStyle w:val="paragraph"/>
        <w:numPr>
          <w:ilvl w:val="0"/>
          <w:numId w:val="17"/>
        </w:numPr>
        <w:spacing w:before="0" w:beforeAutospacing="0" w:after="0" w:afterAutospacing="0"/>
        <w:jc w:val="both"/>
        <w:textAlignment w:val="baseline"/>
        <w:rPr>
          <w:lang w:val="hr-HR"/>
        </w:rPr>
      </w:pPr>
      <w:r w:rsidRPr="00B7417D">
        <w:rPr>
          <w:rStyle w:val="normaltextrun"/>
          <w:lang w:val="hr-HR"/>
        </w:rPr>
        <w:lastRenderedPageBreak/>
        <w:t xml:space="preserve">osiguravanje </w:t>
      </w:r>
      <w:r w:rsidRPr="00B7417D">
        <w:rPr>
          <w:rStyle w:val="normaltextrun"/>
          <w:b/>
          <w:bCs/>
          <w:lang w:val="hr-HR"/>
        </w:rPr>
        <w:t>dnevnog prijevoza za djecu</w:t>
      </w:r>
      <w:r w:rsidRPr="00B7417D">
        <w:rPr>
          <w:rStyle w:val="normaltextrun"/>
          <w:lang w:val="hr-HR"/>
        </w:rPr>
        <w:t> koja žive daleko od ustanova za rani i predškolski odgoj i obrazovanje;</w:t>
      </w:r>
    </w:p>
    <w:p w14:paraId="2C654E78" w14:textId="77777777" w:rsidR="00BE0947" w:rsidRPr="00B7417D" w:rsidRDefault="00BE0947" w:rsidP="00FB05F1">
      <w:pPr>
        <w:pStyle w:val="paragraph"/>
        <w:numPr>
          <w:ilvl w:val="0"/>
          <w:numId w:val="17"/>
        </w:numPr>
        <w:spacing w:before="0" w:beforeAutospacing="0" w:after="0" w:afterAutospacing="0"/>
        <w:jc w:val="both"/>
        <w:textAlignment w:val="baseline"/>
        <w:rPr>
          <w:lang w:val="hr-HR"/>
        </w:rPr>
      </w:pPr>
      <w:r w:rsidRPr="00B7417D">
        <w:rPr>
          <w:rStyle w:val="normaltextrun"/>
          <w:lang w:val="hr-HR"/>
        </w:rPr>
        <w:t>educiranje, praćenje i</w:t>
      </w:r>
      <w:r>
        <w:rPr>
          <w:rStyle w:val="normaltextrun"/>
          <w:lang w:val="hr-HR"/>
        </w:rPr>
        <w:t xml:space="preserve"> </w:t>
      </w:r>
      <w:r w:rsidRPr="00B7417D">
        <w:rPr>
          <w:rStyle w:val="normaltextrun"/>
          <w:lang w:val="hr-HR"/>
        </w:rPr>
        <w:t>angažiranje</w:t>
      </w:r>
      <w:r>
        <w:rPr>
          <w:rStyle w:val="normaltextrun"/>
          <w:lang w:val="hr-HR"/>
        </w:rPr>
        <w:t xml:space="preserve"> </w:t>
      </w:r>
      <w:r w:rsidRPr="00B7417D">
        <w:rPr>
          <w:rStyle w:val="normaltextrun"/>
          <w:b/>
          <w:bCs/>
          <w:lang w:val="hr-HR"/>
        </w:rPr>
        <w:t>facilitatora u romskim zajednicama</w:t>
      </w:r>
      <w:r w:rsidRPr="00B7417D">
        <w:rPr>
          <w:rStyle w:val="normaltextrun"/>
          <w:lang w:val="hr-HR"/>
        </w:rPr>
        <w:t>;</w:t>
      </w:r>
      <w:r w:rsidRPr="00B7417D">
        <w:rPr>
          <w:rStyle w:val="eop"/>
          <w:lang w:val="hr-HR"/>
        </w:rPr>
        <w:t> </w:t>
      </w:r>
    </w:p>
    <w:p w14:paraId="45802A89" w14:textId="77777777" w:rsidR="00BE0947" w:rsidRPr="00B7417D" w:rsidRDefault="00BE0947" w:rsidP="00FB05F1">
      <w:pPr>
        <w:pStyle w:val="paragraph"/>
        <w:numPr>
          <w:ilvl w:val="0"/>
          <w:numId w:val="17"/>
        </w:numPr>
        <w:spacing w:before="0" w:beforeAutospacing="0" w:after="0" w:afterAutospacing="0"/>
        <w:jc w:val="both"/>
        <w:textAlignment w:val="baseline"/>
        <w:rPr>
          <w:lang w:val="hr-HR"/>
        </w:rPr>
      </w:pPr>
      <w:r w:rsidRPr="00B7417D">
        <w:rPr>
          <w:rStyle w:val="normaltextrun"/>
          <w:b/>
          <w:bCs/>
          <w:lang w:val="hr-HR"/>
        </w:rPr>
        <w:t>podrška roditeljima</w:t>
      </w:r>
      <w:r>
        <w:rPr>
          <w:rStyle w:val="normaltextrun"/>
          <w:b/>
          <w:bCs/>
          <w:lang w:val="hr-HR"/>
        </w:rPr>
        <w:t xml:space="preserve"> </w:t>
      </w:r>
      <w:r w:rsidRPr="00B7417D">
        <w:rPr>
          <w:rStyle w:val="normaltextrun"/>
          <w:lang w:val="hr-HR"/>
        </w:rPr>
        <w:t>za kreiranje</w:t>
      </w:r>
      <w:r>
        <w:rPr>
          <w:rStyle w:val="normaltextrun"/>
          <w:lang w:val="hr-HR"/>
        </w:rPr>
        <w:t xml:space="preserve"> </w:t>
      </w:r>
      <w:r w:rsidRPr="00B7417D">
        <w:rPr>
          <w:rStyle w:val="normaltextrun"/>
          <w:lang w:val="hr-HR"/>
        </w:rPr>
        <w:t>podražavajućeg obiteljskog okruženja kroz promotivne aktivnosti, radionice i pakete za rani razvoj;</w:t>
      </w:r>
      <w:r w:rsidRPr="00B7417D">
        <w:rPr>
          <w:rStyle w:val="eop"/>
          <w:lang w:val="hr-HR"/>
        </w:rPr>
        <w:t> </w:t>
      </w:r>
    </w:p>
    <w:p w14:paraId="60EC948C" w14:textId="77777777" w:rsidR="00BE0947" w:rsidRPr="00B7417D" w:rsidRDefault="00BE0947" w:rsidP="00FB05F1">
      <w:pPr>
        <w:pStyle w:val="paragraph"/>
        <w:numPr>
          <w:ilvl w:val="0"/>
          <w:numId w:val="17"/>
        </w:numPr>
        <w:spacing w:before="0" w:beforeAutospacing="0" w:after="0" w:afterAutospacing="0"/>
        <w:jc w:val="both"/>
        <w:textAlignment w:val="baseline"/>
        <w:rPr>
          <w:lang w:val="hr-HR"/>
        </w:rPr>
      </w:pPr>
      <w:r w:rsidRPr="00B7417D">
        <w:rPr>
          <w:rStyle w:val="normaltextrun"/>
          <w:lang w:val="hr-HR"/>
        </w:rPr>
        <w:t xml:space="preserve">razvoj </w:t>
      </w:r>
      <w:r w:rsidRPr="00B7417D">
        <w:rPr>
          <w:rStyle w:val="normaltextrun"/>
          <w:b/>
          <w:bCs/>
          <w:lang w:val="hr-HR"/>
        </w:rPr>
        <w:t xml:space="preserve">plana </w:t>
      </w:r>
      <w:r w:rsidRPr="00B7417D">
        <w:rPr>
          <w:rStyle w:val="normaltextrun"/>
          <w:lang w:val="hr-HR"/>
        </w:rPr>
        <w:t>za obvezno</w:t>
      </w:r>
      <w:r>
        <w:rPr>
          <w:rStyle w:val="normaltextrun"/>
          <w:lang w:val="hr-HR"/>
        </w:rPr>
        <w:t xml:space="preserve"> </w:t>
      </w:r>
      <w:r w:rsidRPr="00B7417D">
        <w:rPr>
          <w:rStyle w:val="normaltextrun"/>
          <w:b/>
          <w:bCs/>
          <w:lang w:val="hr-HR"/>
        </w:rPr>
        <w:t>dvogodišnje predškolsko obrazovanje</w:t>
      </w:r>
      <w:r>
        <w:rPr>
          <w:rStyle w:val="normaltextrun"/>
          <w:b/>
          <w:bCs/>
          <w:lang w:val="hr-HR"/>
        </w:rPr>
        <w:t xml:space="preserve"> </w:t>
      </w:r>
      <w:r w:rsidRPr="00B7417D">
        <w:rPr>
          <w:rStyle w:val="normaltextrun"/>
          <w:b/>
          <w:bCs/>
          <w:lang w:val="hr-HR"/>
        </w:rPr>
        <w:t>za romsku djecu</w:t>
      </w:r>
      <w:r>
        <w:rPr>
          <w:rStyle w:val="normaltextrun"/>
          <w:b/>
          <w:bCs/>
          <w:lang w:val="hr-HR"/>
        </w:rPr>
        <w:t xml:space="preserve"> </w:t>
      </w:r>
      <w:r w:rsidRPr="00B7417D">
        <w:rPr>
          <w:rStyle w:val="normaltextrun"/>
          <w:lang w:val="hr-HR"/>
        </w:rPr>
        <w:t>koja ne idu u vrtić u suradnji s općinama na području Međimurske županije;</w:t>
      </w:r>
    </w:p>
    <w:p w14:paraId="6F0BA356" w14:textId="77777777" w:rsidR="00BE0947" w:rsidRPr="00B7417D" w:rsidRDefault="00BE0947" w:rsidP="00FB05F1">
      <w:pPr>
        <w:pStyle w:val="paragraph"/>
        <w:numPr>
          <w:ilvl w:val="0"/>
          <w:numId w:val="17"/>
        </w:numPr>
        <w:spacing w:before="0" w:beforeAutospacing="0" w:after="0" w:afterAutospacing="0"/>
        <w:jc w:val="both"/>
        <w:textAlignment w:val="baseline"/>
        <w:rPr>
          <w:lang w:val="hr-HR"/>
        </w:rPr>
      </w:pPr>
      <w:r w:rsidRPr="00B7417D">
        <w:rPr>
          <w:rStyle w:val="normaltextrun"/>
          <w:lang w:val="hr-HR"/>
        </w:rPr>
        <w:t>razvoj plana za</w:t>
      </w:r>
      <w:r>
        <w:rPr>
          <w:rStyle w:val="normaltextrun"/>
          <w:lang w:val="hr-HR"/>
        </w:rPr>
        <w:t xml:space="preserve"> </w:t>
      </w:r>
      <w:r w:rsidRPr="00B7417D">
        <w:rPr>
          <w:rStyle w:val="normaltextrun"/>
          <w:b/>
          <w:bCs/>
          <w:lang w:val="hr-HR"/>
        </w:rPr>
        <w:t>standardizaciju metodologije izračuna troškova za sve javne vrtiće u Međimurskoj županiji</w:t>
      </w:r>
      <w:r>
        <w:rPr>
          <w:rStyle w:val="normaltextrun"/>
          <w:b/>
          <w:bCs/>
          <w:lang w:val="hr-HR"/>
        </w:rPr>
        <w:t xml:space="preserve"> </w:t>
      </w:r>
      <w:r w:rsidRPr="00B7417D">
        <w:rPr>
          <w:rStyle w:val="normaltextrun"/>
          <w:lang w:val="hr-HR"/>
        </w:rPr>
        <w:t>i skaliranje troškova roditeljske participacije na bazi prihoda roditelja;</w:t>
      </w:r>
    </w:p>
    <w:p w14:paraId="2C860A56" w14:textId="77777777" w:rsidR="00BE0947" w:rsidRPr="00B7417D" w:rsidRDefault="00BE0947" w:rsidP="00FB05F1">
      <w:pPr>
        <w:pStyle w:val="paragraph"/>
        <w:numPr>
          <w:ilvl w:val="0"/>
          <w:numId w:val="17"/>
        </w:numPr>
        <w:spacing w:before="0" w:beforeAutospacing="0" w:after="0" w:afterAutospacing="0"/>
        <w:jc w:val="both"/>
        <w:textAlignment w:val="baseline"/>
        <w:rPr>
          <w:lang w:val="hr-HR"/>
        </w:rPr>
      </w:pPr>
      <w:r w:rsidRPr="00B7417D">
        <w:rPr>
          <w:rStyle w:val="normaltextrun"/>
          <w:lang w:val="hr-HR"/>
        </w:rPr>
        <w:t>izrada opisa</w:t>
      </w:r>
      <w:r>
        <w:rPr>
          <w:rStyle w:val="normaltextrun"/>
          <w:lang w:val="hr-HR"/>
        </w:rPr>
        <w:t xml:space="preserve"> </w:t>
      </w:r>
      <w:r w:rsidRPr="00B7417D">
        <w:rPr>
          <w:rStyle w:val="normaltextrun"/>
          <w:b/>
          <w:bCs/>
          <w:lang w:val="hr-HR"/>
        </w:rPr>
        <w:t>rada radnog mjesta za posao osobnog asistenta za djecu rane i predškolske dobi</w:t>
      </w:r>
      <w:r>
        <w:rPr>
          <w:rStyle w:val="normaltextrun"/>
          <w:b/>
          <w:bCs/>
          <w:lang w:val="hr-HR"/>
        </w:rPr>
        <w:t xml:space="preserve"> </w:t>
      </w:r>
      <w:r w:rsidRPr="00B7417D">
        <w:rPr>
          <w:rStyle w:val="normaltextrun"/>
          <w:lang w:val="hr-HR"/>
        </w:rPr>
        <w:t>na nacionalnoj razini te mogućnosti financiranja osobnih asistenata u Međimurskoj županiji.</w:t>
      </w:r>
    </w:p>
    <w:p w14:paraId="2D4754E4" w14:textId="77777777" w:rsidR="00BE0947" w:rsidRPr="00B7417D" w:rsidRDefault="00BE0947" w:rsidP="00BE0947">
      <w:pPr>
        <w:pStyle w:val="paragraph"/>
        <w:spacing w:before="0" w:beforeAutospacing="0" w:after="0" w:afterAutospacing="0"/>
        <w:ind w:left="720"/>
        <w:jc w:val="both"/>
        <w:textAlignment w:val="baseline"/>
        <w:rPr>
          <w:rStyle w:val="eop"/>
          <w:b/>
          <w:bCs/>
          <w:lang w:val="hr-HR"/>
        </w:rPr>
      </w:pPr>
    </w:p>
    <w:p w14:paraId="24908BE4" w14:textId="77777777" w:rsidR="00BE0947" w:rsidRPr="00B7417D" w:rsidRDefault="00BE0947" w:rsidP="00BE0947">
      <w:pPr>
        <w:pStyle w:val="paragraph"/>
        <w:spacing w:before="0" w:beforeAutospacing="0" w:after="0" w:afterAutospacing="0"/>
        <w:jc w:val="both"/>
        <w:textAlignment w:val="baseline"/>
        <w:rPr>
          <w:rStyle w:val="eop"/>
          <w:lang w:val="hr-HR"/>
        </w:rPr>
      </w:pPr>
      <w:r w:rsidRPr="00B7417D">
        <w:rPr>
          <w:rStyle w:val="eop"/>
          <w:b/>
          <w:bCs/>
          <w:lang w:val="hr-HR"/>
        </w:rPr>
        <w:t>Specifični cilj 3.</w:t>
      </w:r>
      <w:r w:rsidRPr="00B7417D">
        <w:rPr>
          <w:rStyle w:val="eop"/>
          <w:lang w:val="hr-HR"/>
        </w:rPr>
        <w:t xml:space="preserve"> Poboljšati pristup djeci rane i predškolske dobi s teškoćama u razvoju ili u riziku od razvojnog odstupanja te njihovim  obitelji uslugama integrirane i koordinirane rane intervencije u djetinjstvu (RID), koje pravovremeno i adekvatno odgovaraju na njihove razvojne potrebe.   </w:t>
      </w:r>
    </w:p>
    <w:p w14:paraId="5853743B" w14:textId="77777777" w:rsidR="00BE0947" w:rsidRPr="00B7417D" w:rsidRDefault="00BE0947" w:rsidP="00BE0947">
      <w:pPr>
        <w:pStyle w:val="paragraph"/>
        <w:spacing w:before="0" w:beforeAutospacing="0" w:after="0" w:afterAutospacing="0"/>
        <w:jc w:val="both"/>
        <w:textAlignment w:val="baseline"/>
        <w:rPr>
          <w:rStyle w:val="eop"/>
          <w:lang w:val="hr-HR"/>
        </w:rPr>
      </w:pPr>
    </w:p>
    <w:p w14:paraId="149EE370" w14:textId="77777777" w:rsidR="00BE0947" w:rsidRPr="00B7417D" w:rsidRDefault="00BE0947" w:rsidP="00BE0947">
      <w:pPr>
        <w:pStyle w:val="paragraph"/>
        <w:spacing w:before="0" w:beforeAutospacing="0" w:after="0" w:afterAutospacing="0"/>
        <w:jc w:val="both"/>
        <w:textAlignment w:val="baseline"/>
        <w:rPr>
          <w:rStyle w:val="normaltextrun"/>
          <w:lang w:val="hr-HR"/>
        </w:rPr>
      </w:pPr>
      <w:r w:rsidRPr="00B7417D">
        <w:rPr>
          <w:rStyle w:val="normaltextrun"/>
          <w:b/>
          <w:bCs/>
          <w:lang w:val="hr-HR"/>
        </w:rPr>
        <w:t xml:space="preserve">Aktivnosti usmjerene usluzi rane intervencije:  </w:t>
      </w:r>
    </w:p>
    <w:p w14:paraId="2E87F7A9" w14:textId="77777777" w:rsidR="00BE0947" w:rsidRPr="00B7417D" w:rsidRDefault="00BE0947" w:rsidP="00FB05F1">
      <w:pPr>
        <w:pStyle w:val="paragraph"/>
        <w:numPr>
          <w:ilvl w:val="0"/>
          <w:numId w:val="18"/>
        </w:numPr>
        <w:spacing w:after="0"/>
        <w:jc w:val="both"/>
        <w:textAlignment w:val="baseline"/>
        <w:rPr>
          <w:rStyle w:val="normaltextrun"/>
          <w:lang w:val="hr-HR"/>
        </w:rPr>
      </w:pPr>
      <w:r w:rsidRPr="00B7417D">
        <w:rPr>
          <w:rStyle w:val="normaltextrun"/>
          <w:lang w:val="hr-HR"/>
        </w:rPr>
        <w:t>provesti mapiranje potreba, usluga rane intervencije u djetinjstvu te ostalih usluga podrške za djecu rane i predškolske dobi u sustavu zdravstva, obrazovanja, socijalne skrbi u Međimurskoj županiji, te analizu javnih politika</w:t>
      </w:r>
      <w:r w:rsidRPr="00B7417D">
        <w:rPr>
          <w:rStyle w:val="normaltextrun"/>
        </w:rPr>
        <w:t>;</w:t>
      </w:r>
    </w:p>
    <w:p w14:paraId="3134DC2C" w14:textId="77777777" w:rsidR="00BE0947" w:rsidRPr="00B7417D" w:rsidRDefault="00BE0947" w:rsidP="00FB05F1">
      <w:pPr>
        <w:pStyle w:val="paragraph"/>
        <w:numPr>
          <w:ilvl w:val="0"/>
          <w:numId w:val="18"/>
        </w:numPr>
        <w:spacing w:after="0"/>
        <w:jc w:val="both"/>
        <w:textAlignment w:val="baseline"/>
        <w:rPr>
          <w:rStyle w:val="normaltextrun"/>
          <w:lang w:val="hr-HR"/>
        </w:rPr>
      </w:pPr>
      <w:r w:rsidRPr="00B7417D">
        <w:rPr>
          <w:rStyle w:val="normaltextrun"/>
          <w:lang w:val="hr-HR"/>
        </w:rPr>
        <w:t>izraditi i provesti trening za međusektorsku suradnju kako bi se unaprijedila vertikalna i horizontalna suradnja između sektora i pružatelja usluga (zdravstvo, obrazovanje i socijalna skrbi, regionalne i lokalne vlasti, nevladine organizacije, itd.);</w:t>
      </w:r>
    </w:p>
    <w:p w14:paraId="53EF4C4A" w14:textId="77777777" w:rsidR="00BE0947" w:rsidRPr="00B7417D" w:rsidRDefault="00BE0947" w:rsidP="00FB05F1">
      <w:pPr>
        <w:pStyle w:val="paragraph"/>
        <w:numPr>
          <w:ilvl w:val="0"/>
          <w:numId w:val="18"/>
        </w:numPr>
        <w:spacing w:after="0"/>
        <w:jc w:val="both"/>
        <w:textAlignment w:val="baseline"/>
        <w:rPr>
          <w:rStyle w:val="normaltextrun"/>
          <w:lang w:val="hr-HR"/>
        </w:rPr>
      </w:pPr>
      <w:r w:rsidRPr="00B7417D">
        <w:rPr>
          <w:rStyle w:val="normaltextrun"/>
          <w:lang w:val="hr-HR"/>
        </w:rPr>
        <w:t>razviti akcijski plan za pružanje integriranih i koordiniranih usluga RID (u sektoru zdravstva, obrazovanja i socijalne zaštite) za Međimursku županiju  s jasno definiranim postupcima, linijama suradnje, ulogama i odgovornostima, uključujući financijske resurse;</w:t>
      </w:r>
    </w:p>
    <w:p w14:paraId="1E4E9797" w14:textId="77777777" w:rsidR="00BE0947" w:rsidRPr="00B7417D" w:rsidRDefault="00BE0947" w:rsidP="00FB05F1">
      <w:pPr>
        <w:pStyle w:val="paragraph"/>
        <w:numPr>
          <w:ilvl w:val="0"/>
          <w:numId w:val="18"/>
        </w:numPr>
        <w:spacing w:after="0"/>
        <w:jc w:val="both"/>
        <w:textAlignment w:val="baseline"/>
        <w:rPr>
          <w:rStyle w:val="normaltextrun"/>
          <w:lang w:val="hr-HR"/>
        </w:rPr>
      </w:pPr>
      <w:r w:rsidRPr="00B7417D">
        <w:rPr>
          <w:rStyle w:val="normaltextrun"/>
          <w:lang w:val="hr-HR"/>
        </w:rPr>
        <w:t>razviti i pilotirati sveobuhvatan, pristupačan i primjeren model usluga rane intervencije u djetinjstvu s ciljem informiranja procesa regionalnog planiranja te repliciranja na razini cijele zemlje;</w:t>
      </w:r>
    </w:p>
    <w:p w14:paraId="481A3420" w14:textId="77777777" w:rsidR="00BE0947" w:rsidRPr="00B7417D" w:rsidRDefault="00BE0947" w:rsidP="00FB05F1">
      <w:pPr>
        <w:pStyle w:val="paragraph"/>
        <w:numPr>
          <w:ilvl w:val="0"/>
          <w:numId w:val="18"/>
        </w:numPr>
        <w:spacing w:after="0"/>
        <w:jc w:val="both"/>
        <w:textAlignment w:val="baseline"/>
        <w:rPr>
          <w:rStyle w:val="normaltextrun"/>
          <w:lang w:val="hr-HR"/>
        </w:rPr>
      </w:pPr>
      <w:r w:rsidRPr="00B7417D">
        <w:rPr>
          <w:rStyle w:val="normaltextrun"/>
          <w:lang w:val="hr-HR"/>
        </w:rPr>
        <w:t>razviti i provesti trening za zdravstvene djelatnike za rad s djecom s teškoćama u razvoju ili u riziku od razvojnog odstupanja, na temelju pristupa usmjerenog na obitelj i inkluzivne prakse (rana identifikacija, prevencija,  rane intervencija, prehrana, pozitivno roditeljstva, zaštite djece, itd.);</w:t>
      </w:r>
    </w:p>
    <w:p w14:paraId="304E9946" w14:textId="77777777" w:rsidR="00BE0947" w:rsidRPr="00B7417D" w:rsidRDefault="00BE0947" w:rsidP="00FB05F1">
      <w:pPr>
        <w:pStyle w:val="paragraph"/>
        <w:numPr>
          <w:ilvl w:val="0"/>
          <w:numId w:val="18"/>
        </w:numPr>
        <w:spacing w:after="0"/>
        <w:jc w:val="both"/>
        <w:textAlignment w:val="baseline"/>
        <w:rPr>
          <w:rStyle w:val="normaltextrun"/>
          <w:lang w:val="hr-HR"/>
        </w:rPr>
      </w:pPr>
      <w:r w:rsidRPr="00B7417D">
        <w:rPr>
          <w:rStyle w:val="normaltextrun"/>
          <w:lang w:val="hr-HR"/>
        </w:rPr>
        <w:t xml:space="preserve">razviti i provesti trening za stručnjake u području rane intervencije u djetinjstvu te stručnjake koji pružaju usluga za djecu rane i predškolske dobi i njihovim obiteljima o provedbi praksa utemeljenih na dnevnim rutinama, u prirodnom okruženju, uz </w:t>
      </w:r>
      <w:proofErr w:type="spellStart"/>
      <w:r w:rsidRPr="00B7417D">
        <w:rPr>
          <w:rStyle w:val="normaltextrun"/>
          <w:lang w:val="hr-HR"/>
        </w:rPr>
        <w:t>transdisciplinarni</w:t>
      </w:r>
      <w:proofErr w:type="spellEnd"/>
      <w:r w:rsidRPr="00B7417D">
        <w:rPr>
          <w:rStyle w:val="normaltextrun"/>
          <w:lang w:val="hr-HR"/>
        </w:rPr>
        <w:t xml:space="preserve"> rad te u koordinaciji usluga i resursa;</w:t>
      </w:r>
    </w:p>
    <w:p w14:paraId="525AF09D" w14:textId="77777777" w:rsidR="00BE0947" w:rsidRPr="00B7417D" w:rsidRDefault="00BE0947" w:rsidP="00FB05F1">
      <w:pPr>
        <w:pStyle w:val="paragraph"/>
        <w:numPr>
          <w:ilvl w:val="0"/>
          <w:numId w:val="18"/>
        </w:numPr>
        <w:spacing w:after="0"/>
        <w:jc w:val="both"/>
        <w:textAlignment w:val="baseline"/>
        <w:rPr>
          <w:rStyle w:val="normaltextrun"/>
          <w:lang w:val="hr-HR"/>
        </w:rPr>
      </w:pPr>
      <w:r w:rsidRPr="00B7417D">
        <w:rPr>
          <w:rStyle w:val="normaltextrun"/>
          <w:lang w:val="hr-HR"/>
        </w:rPr>
        <w:t>razviti okvir za rad Romskih pomagača u pružanju usluga rane intervencije u zajednici u okviru centra za pružanje usluga djeci i obiteljima;</w:t>
      </w:r>
    </w:p>
    <w:p w14:paraId="05CD9D3E" w14:textId="77777777" w:rsidR="00BE0947" w:rsidRPr="00B7417D" w:rsidRDefault="00BE0947" w:rsidP="00FB05F1">
      <w:pPr>
        <w:pStyle w:val="paragraph"/>
        <w:numPr>
          <w:ilvl w:val="0"/>
          <w:numId w:val="18"/>
        </w:numPr>
        <w:spacing w:after="0"/>
        <w:jc w:val="both"/>
        <w:textAlignment w:val="baseline"/>
        <w:rPr>
          <w:rStyle w:val="normaltextrun"/>
          <w:lang w:val="hr-HR"/>
        </w:rPr>
      </w:pPr>
      <w:r w:rsidRPr="00B7417D">
        <w:rPr>
          <w:rStyle w:val="normaltextrun"/>
          <w:lang w:val="hr-HR"/>
        </w:rPr>
        <w:t>razviti trening, sustav supervizije, podrške i praćenja rada Romskih pomagača u pružanju usluga rane intervencije u zajednici;</w:t>
      </w:r>
    </w:p>
    <w:p w14:paraId="3C15FDB5" w14:textId="77777777" w:rsidR="00BE0947" w:rsidRPr="00B7417D" w:rsidRDefault="00BE0947" w:rsidP="00FB05F1">
      <w:pPr>
        <w:pStyle w:val="paragraph"/>
        <w:numPr>
          <w:ilvl w:val="0"/>
          <w:numId w:val="18"/>
        </w:numPr>
        <w:spacing w:after="0"/>
        <w:jc w:val="both"/>
        <w:textAlignment w:val="baseline"/>
        <w:rPr>
          <w:rStyle w:val="normaltextrun"/>
          <w:lang w:val="hr-HR"/>
        </w:rPr>
      </w:pPr>
      <w:r w:rsidRPr="00B7417D">
        <w:rPr>
          <w:rStyle w:val="normaltextrun"/>
          <w:lang w:val="hr-HR"/>
        </w:rPr>
        <w:t>osigurati podršku roditeljima od strane stručnjaka za ranu intervenciju u djetinjstvu i Romskih pomagača u pružanju usluga rane intervencije u zajednici u okviru centra za usluge djeci i obiteljima te kućnih posjeta na temu ranog razvoja djeteta, rane intervencije u djetinjstvu, pozitivnog roditeljstva i dr.;</w:t>
      </w:r>
    </w:p>
    <w:p w14:paraId="32B2ECB6" w14:textId="77777777" w:rsidR="00BE0947" w:rsidRPr="00B7417D" w:rsidRDefault="00BE0947" w:rsidP="00FB05F1">
      <w:pPr>
        <w:pStyle w:val="paragraph"/>
        <w:numPr>
          <w:ilvl w:val="0"/>
          <w:numId w:val="18"/>
        </w:numPr>
        <w:spacing w:after="0"/>
        <w:jc w:val="both"/>
        <w:textAlignment w:val="baseline"/>
        <w:rPr>
          <w:rStyle w:val="normaltextrun"/>
          <w:lang w:val="hr-HR"/>
        </w:rPr>
      </w:pPr>
      <w:r w:rsidRPr="00B7417D">
        <w:rPr>
          <w:rStyle w:val="normaltextrun"/>
          <w:lang w:val="hr-HR"/>
        </w:rPr>
        <w:lastRenderedPageBreak/>
        <w:t xml:space="preserve">unaprijediti prikupljanje podataka u različitim sektorima s ciljem planiranja i provedbi kvalitetnih usluga rane intervencije u djetinjstvu i podrške djeci s razvojnim teškoćama ili u riziku od razvojnih odstupanja , te njihovim obiteljima;  </w:t>
      </w:r>
    </w:p>
    <w:p w14:paraId="152FC16F" w14:textId="77777777" w:rsidR="00BE0947" w:rsidRPr="00B7417D" w:rsidRDefault="00BE0947" w:rsidP="00FB05F1">
      <w:pPr>
        <w:pStyle w:val="paragraph"/>
        <w:numPr>
          <w:ilvl w:val="0"/>
          <w:numId w:val="18"/>
        </w:numPr>
        <w:spacing w:before="0" w:beforeAutospacing="0" w:after="0" w:afterAutospacing="0"/>
        <w:jc w:val="both"/>
        <w:textAlignment w:val="baseline"/>
        <w:rPr>
          <w:rStyle w:val="normaltextrun"/>
          <w:lang w:val="hr-HR"/>
        </w:rPr>
      </w:pPr>
      <w:r w:rsidRPr="00B7417D">
        <w:rPr>
          <w:rStyle w:val="normaltextrun"/>
          <w:lang w:val="hr-HR"/>
        </w:rPr>
        <w:t>razviti metodologiju za individualizirani plan podrške za dijete i obitelj te aplikaciju koja će se koristiti u provedbi integriranih i koordiniranih usluga rane intervencije u djetinjstvu u Međimurskoj županiji.</w:t>
      </w:r>
    </w:p>
    <w:p w14:paraId="641C8575" w14:textId="77777777" w:rsidR="00BE0947" w:rsidRPr="00B7417D" w:rsidRDefault="00BE0947" w:rsidP="00BE0947">
      <w:pPr>
        <w:rPr>
          <w:rFonts w:ascii="Times New Roman" w:hAnsi="Times New Roman" w:cs="Times New Roman"/>
          <w:sz w:val="24"/>
          <w:szCs w:val="24"/>
        </w:rPr>
      </w:pPr>
    </w:p>
    <w:p w14:paraId="3538B3F1" w14:textId="77777777" w:rsidR="00BE0947" w:rsidRPr="00B7417D" w:rsidRDefault="00BE0947" w:rsidP="00BE0947">
      <w:pPr>
        <w:rPr>
          <w:rFonts w:ascii="Times New Roman" w:hAnsi="Times New Roman" w:cs="Times New Roman"/>
          <w:sz w:val="24"/>
          <w:szCs w:val="24"/>
        </w:rPr>
      </w:pPr>
      <w:r w:rsidRPr="00B7417D">
        <w:rPr>
          <w:rFonts w:ascii="Times New Roman" w:hAnsi="Times New Roman" w:cs="Times New Roman"/>
          <w:b/>
          <w:bCs/>
          <w:sz w:val="24"/>
          <w:szCs w:val="24"/>
        </w:rPr>
        <w:t>Specifični cilj 4.</w:t>
      </w:r>
      <w:r w:rsidRPr="00B7417D">
        <w:rPr>
          <w:rFonts w:ascii="Times New Roman" w:hAnsi="Times New Roman" w:cs="Times New Roman"/>
          <w:sz w:val="24"/>
          <w:szCs w:val="24"/>
        </w:rPr>
        <w:t xml:space="preserve"> Podržati razvoj nacionalnog strateškog dokumenta / nacionalnog plana za borbu protiv  siromaštva i socijalne isključenosti koji uključuje posebne ciljeve za najugroženije skupine djece i obitelji s jasno definiranim mjerama i aktivnostima, nositeljima, željenim pokazateljima rezultata i ishoda  te financijskim sredstvima. </w:t>
      </w:r>
    </w:p>
    <w:p w14:paraId="5B5C079B" w14:textId="77777777" w:rsidR="00BE0947" w:rsidRPr="00B7417D" w:rsidRDefault="00BE0947" w:rsidP="00BE0947">
      <w:pPr>
        <w:rPr>
          <w:rFonts w:ascii="Times New Roman" w:hAnsi="Times New Roman" w:cs="Times New Roman"/>
          <w:sz w:val="24"/>
          <w:szCs w:val="24"/>
        </w:rPr>
      </w:pPr>
      <w:r w:rsidRPr="00B7417D">
        <w:rPr>
          <w:rFonts w:ascii="Times New Roman" w:hAnsi="Times New Roman" w:cs="Times New Roman"/>
          <w:sz w:val="24"/>
          <w:szCs w:val="24"/>
        </w:rPr>
        <w:t>U ostvarenju ovog cilja predviđene su sljedeće aktivnosti:</w:t>
      </w:r>
    </w:p>
    <w:p w14:paraId="749CA417" w14:textId="77777777" w:rsidR="00BE0947" w:rsidRPr="00B7417D" w:rsidRDefault="00BE0947" w:rsidP="00FB05F1">
      <w:pPr>
        <w:pStyle w:val="Odlomakpopisa"/>
        <w:numPr>
          <w:ilvl w:val="0"/>
          <w:numId w:val="19"/>
        </w:numPr>
        <w:rPr>
          <w:rFonts w:ascii="Times New Roman" w:hAnsi="Times New Roman" w:cs="Times New Roman"/>
          <w:sz w:val="24"/>
          <w:szCs w:val="24"/>
        </w:rPr>
      </w:pPr>
      <w:r w:rsidRPr="00B7417D">
        <w:rPr>
          <w:rFonts w:ascii="Times New Roman" w:hAnsi="Times New Roman" w:cs="Times New Roman"/>
          <w:sz w:val="24"/>
          <w:szCs w:val="24"/>
        </w:rPr>
        <w:t>provedba sveobuhvatne studije ('</w:t>
      </w:r>
      <w:proofErr w:type="spellStart"/>
      <w:r w:rsidRPr="00B7417D">
        <w:rPr>
          <w:rFonts w:ascii="Times New Roman" w:hAnsi="Times New Roman" w:cs="Times New Roman"/>
          <w:i/>
          <w:iCs/>
          <w:sz w:val="24"/>
          <w:szCs w:val="24"/>
        </w:rPr>
        <w:t>Deep</w:t>
      </w:r>
      <w:proofErr w:type="spellEnd"/>
      <w:r w:rsidRPr="00B7417D">
        <w:rPr>
          <w:rFonts w:ascii="Times New Roman" w:hAnsi="Times New Roman" w:cs="Times New Roman"/>
          <w:i/>
          <w:iCs/>
          <w:sz w:val="24"/>
          <w:szCs w:val="24"/>
        </w:rPr>
        <w:t xml:space="preserve"> Dive </w:t>
      </w:r>
      <w:proofErr w:type="spellStart"/>
      <w:r w:rsidRPr="00B7417D">
        <w:rPr>
          <w:rFonts w:ascii="Times New Roman" w:hAnsi="Times New Roman" w:cs="Times New Roman"/>
          <w:i/>
          <w:iCs/>
          <w:sz w:val="24"/>
          <w:szCs w:val="24"/>
        </w:rPr>
        <w:t>Analysis</w:t>
      </w:r>
      <w:proofErr w:type="spellEnd"/>
      <w:r w:rsidRPr="00B7417D">
        <w:rPr>
          <w:rFonts w:ascii="Times New Roman" w:hAnsi="Times New Roman" w:cs="Times New Roman"/>
          <w:i/>
          <w:iCs/>
          <w:sz w:val="24"/>
          <w:szCs w:val="24"/>
        </w:rPr>
        <w:t>')</w:t>
      </w:r>
      <w:r w:rsidRPr="00B7417D">
        <w:rPr>
          <w:rFonts w:ascii="Times New Roman" w:hAnsi="Times New Roman" w:cs="Times New Roman"/>
          <w:sz w:val="24"/>
          <w:szCs w:val="24"/>
        </w:rPr>
        <w:t xml:space="preserve"> o problemu siromaštva i socijalne isključenosti djece što uključuje: </w:t>
      </w:r>
    </w:p>
    <w:p w14:paraId="384FFDF1" w14:textId="77777777" w:rsidR="00BE0947" w:rsidRPr="00B7417D" w:rsidRDefault="00BE0947" w:rsidP="00FB05F1">
      <w:pPr>
        <w:pStyle w:val="Odlomakpopisa"/>
        <w:numPr>
          <w:ilvl w:val="1"/>
          <w:numId w:val="19"/>
        </w:numPr>
        <w:rPr>
          <w:rFonts w:ascii="Times New Roman" w:hAnsi="Times New Roman" w:cs="Times New Roman"/>
          <w:sz w:val="24"/>
          <w:szCs w:val="24"/>
        </w:rPr>
      </w:pPr>
      <w:r w:rsidRPr="00B7417D">
        <w:rPr>
          <w:rFonts w:ascii="Times New Roman" w:hAnsi="Times New Roman" w:cs="Times New Roman"/>
          <w:sz w:val="24"/>
          <w:szCs w:val="24"/>
        </w:rPr>
        <w:t xml:space="preserve">pregled i analizu dostupnih podataka i uvida o siromaštvu i socijalnoj isključenosti djece; </w:t>
      </w:r>
    </w:p>
    <w:p w14:paraId="6FCDDC7E" w14:textId="77777777" w:rsidR="00BE0947" w:rsidRPr="00B7417D" w:rsidRDefault="00BE0947" w:rsidP="00FB05F1">
      <w:pPr>
        <w:pStyle w:val="Odlomakpopisa"/>
        <w:numPr>
          <w:ilvl w:val="1"/>
          <w:numId w:val="19"/>
        </w:numPr>
        <w:rPr>
          <w:rFonts w:ascii="Times New Roman" w:hAnsi="Times New Roman" w:cs="Times New Roman"/>
          <w:sz w:val="24"/>
          <w:szCs w:val="24"/>
        </w:rPr>
      </w:pPr>
      <w:r w:rsidRPr="00B7417D">
        <w:rPr>
          <w:rFonts w:ascii="Times New Roman" w:hAnsi="Times New Roman" w:cs="Times New Roman"/>
          <w:sz w:val="24"/>
          <w:szCs w:val="24"/>
        </w:rPr>
        <w:t xml:space="preserve">analizu postojećih javnih politika/mjera na nacionalnom, regionalnom i lokalnom nivou kao i mehanizama praćenja njihove provedbe i učinka; </w:t>
      </w:r>
    </w:p>
    <w:p w14:paraId="4790B4BA" w14:textId="77777777" w:rsidR="00BE0947" w:rsidRPr="00B7417D" w:rsidRDefault="00BE0947" w:rsidP="00FB05F1">
      <w:pPr>
        <w:pStyle w:val="Odlomakpopisa"/>
        <w:numPr>
          <w:ilvl w:val="0"/>
          <w:numId w:val="19"/>
        </w:numPr>
        <w:rPr>
          <w:rFonts w:ascii="Times New Roman" w:hAnsi="Times New Roman" w:cs="Times New Roman"/>
          <w:sz w:val="24"/>
          <w:szCs w:val="24"/>
        </w:rPr>
      </w:pPr>
      <w:r w:rsidRPr="00B7417D">
        <w:rPr>
          <w:rFonts w:ascii="Times New Roman" w:hAnsi="Times New Roman" w:cs="Times New Roman"/>
          <w:sz w:val="24"/>
          <w:szCs w:val="24"/>
        </w:rPr>
        <w:t xml:space="preserve">identificiranje postojećih barijera kao i </w:t>
      </w:r>
      <w:proofErr w:type="spellStart"/>
      <w:r w:rsidRPr="00B7417D">
        <w:rPr>
          <w:rFonts w:ascii="Times New Roman" w:hAnsi="Times New Roman" w:cs="Times New Roman"/>
          <w:sz w:val="24"/>
          <w:szCs w:val="24"/>
        </w:rPr>
        <w:t>pogodujućih</w:t>
      </w:r>
      <w:proofErr w:type="spellEnd"/>
      <w:r w:rsidRPr="00B7417D">
        <w:rPr>
          <w:rFonts w:ascii="Times New Roman" w:hAnsi="Times New Roman" w:cs="Times New Roman"/>
          <w:sz w:val="24"/>
          <w:szCs w:val="24"/>
        </w:rPr>
        <w:t xml:space="preserve"> faktora u borbi protiv siromaštva i socijalne isključenosti djece te </w:t>
      </w:r>
    </w:p>
    <w:p w14:paraId="15720D3A" w14:textId="77777777" w:rsidR="00BE0947" w:rsidRPr="00B7417D" w:rsidRDefault="00BE0947" w:rsidP="00FB05F1">
      <w:pPr>
        <w:pStyle w:val="Odlomakpopisa"/>
        <w:numPr>
          <w:ilvl w:val="0"/>
          <w:numId w:val="19"/>
        </w:numPr>
        <w:rPr>
          <w:rFonts w:ascii="Times New Roman" w:hAnsi="Times New Roman" w:cs="Times New Roman"/>
          <w:sz w:val="24"/>
          <w:szCs w:val="24"/>
        </w:rPr>
      </w:pPr>
      <w:r w:rsidRPr="00B7417D">
        <w:rPr>
          <w:rFonts w:ascii="Times New Roman" w:hAnsi="Times New Roman" w:cs="Times New Roman"/>
          <w:sz w:val="24"/>
          <w:szCs w:val="24"/>
        </w:rPr>
        <w:t>definiranje jasnih preporuka za suzbijanje navedenog problema;</w:t>
      </w:r>
    </w:p>
    <w:p w14:paraId="537232C0" w14:textId="77777777" w:rsidR="00BE0947" w:rsidRPr="00B7417D" w:rsidRDefault="00BE0947" w:rsidP="00FB05F1">
      <w:pPr>
        <w:pStyle w:val="Odlomakpopisa"/>
        <w:numPr>
          <w:ilvl w:val="0"/>
          <w:numId w:val="19"/>
        </w:numPr>
        <w:rPr>
          <w:rFonts w:ascii="Times New Roman" w:hAnsi="Times New Roman" w:cs="Times New Roman"/>
          <w:sz w:val="24"/>
          <w:szCs w:val="24"/>
        </w:rPr>
      </w:pPr>
      <w:r w:rsidRPr="00B7417D">
        <w:rPr>
          <w:rFonts w:ascii="Times New Roman" w:hAnsi="Times New Roman" w:cs="Times New Roman"/>
          <w:sz w:val="24"/>
          <w:szCs w:val="24"/>
        </w:rPr>
        <w:t xml:space="preserve">stručna i tehnička podrška Vladi RH u kreiranju novih/unapređenju postojećih mjera i aktivnosti za suzbijanje siromaštva i socijalne isključenosti djece. </w:t>
      </w:r>
    </w:p>
    <w:p w14:paraId="5F11D0EE" w14:textId="77777777" w:rsidR="00BE0947" w:rsidRPr="00B7417D" w:rsidRDefault="00BE0947" w:rsidP="00FB05F1">
      <w:pPr>
        <w:pStyle w:val="Odlomakpopisa"/>
        <w:numPr>
          <w:ilvl w:val="0"/>
          <w:numId w:val="19"/>
        </w:numPr>
        <w:spacing w:after="0" w:line="240" w:lineRule="auto"/>
        <w:rPr>
          <w:rFonts w:ascii="Times New Roman" w:hAnsi="Times New Roman" w:cs="Times New Roman"/>
          <w:sz w:val="24"/>
          <w:szCs w:val="24"/>
        </w:rPr>
      </w:pPr>
      <w:r w:rsidRPr="00B7417D">
        <w:rPr>
          <w:rFonts w:ascii="Times New Roman" w:hAnsi="Times New Roman" w:cs="Times New Roman"/>
          <w:sz w:val="24"/>
          <w:szCs w:val="24"/>
        </w:rPr>
        <w:t xml:space="preserve">Postojanje nacionalne strategije za smanjenje siromaštva i isključenosti, koja uključuje i relevantne inicijative i budžet za djecu, je jedan od glavnih preduvjeta za pristup budućem fondu Jamstva za svako dijete. </w:t>
      </w:r>
    </w:p>
    <w:p w14:paraId="49892ADA" w14:textId="77777777" w:rsidR="00BE0947" w:rsidRPr="00B7417D" w:rsidRDefault="00BE0947" w:rsidP="00BE0947">
      <w:pPr>
        <w:spacing w:after="0" w:line="240" w:lineRule="auto"/>
        <w:rPr>
          <w:rFonts w:ascii="Times New Roman" w:hAnsi="Times New Roman" w:cs="Times New Roman"/>
          <w:sz w:val="24"/>
          <w:szCs w:val="24"/>
        </w:rPr>
      </w:pPr>
    </w:p>
    <w:p w14:paraId="2E3DD8B8" w14:textId="77777777" w:rsidR="00BE0947" w:rsidRPr="00B7417D" w:rsidRDefault="00BE0947" w:rsidP="00BE0947">
      <w:pPr>
        <w:jc w:val="both"/>
        <w:rPr>
          <w:rFonts w:ascii="Times New Roman" w:hAnsi="Times New Roman" w:cs="Times New Roman"/>
          <w:sz w:val="24"/>
          <w:szCs w:val="24"/>
        </w:rPr>
      </w:pPr>
      <w:r>
        <w:rPr>
          <w:rFonts w:ascii="Times New Roman" w:hAnsi="Times New Roman" w:cs="Times New Roman"/>
          <w:sz w:val="24"/>
          <w:szCs w:val="24"/>
        </w:rPr>
        <w:t>S ciljem osiguranja podrške programu u novom programskom razdoblju 2021. -2027. Operativnog programa Učinkoviti ljudski potencijali bit će istaknuto područje jamstva za svako dijete kako bi se osigurala održivost programa i isti proširio na sve jedinice područne (regionalne) samouprave u RH sukladno potrebama pojedine jedinice.</w:t>
      </w:r>
    </w:p>
    <w:p w14:paraId="03E8B1F2" w14:textId="6FC0A922" w:rsidR="00BE0947" w:rsidRDefault="00BE0947">
      <w:pPr>
        <w:rPr>
          <w:rFonts w:ascii="Times New Roman" w:eastAsiaTheme="majorEastAsia" w:hAnsi="Times New Roman" w:cs="Times New Roman"/>
          <w:sz w:val="24"/>
          <w:szCs w:val="24"/>
        </w:rPr>
      </w:pPr>
      <w:r>
        <w:rPr>
          <w:rFonts w:ascii="Times New Roman" w:hAnsi="Times New Roman" w:cs="Times New Roman"/>
          <w:sz w:val="24"/>
          <w:szCs w:val="24"/>
        </w:rPr>
        <w:br w:type="page"/>
      </w:r>
    </w:p>
    <w:p w14:paraId="1EF0DD38" w14:textId="77777777" w:rsidR="00BE0947" w:rsidRPr="00806C29" w:rsidRDefault="00BE0947" w:rsidP="00BE0947">
      <w:pPr>
        <w:rPr>
          <w:rFonts w:ascii="Times New Roman" w:hAnsi="Times New Roman" w:cs="Times New Roman"/>
          <w:b/>
          <w:bCs/>
          <w:sz w:val="24"/>
          <w:szCs w:val="24"/>
          <w:u w:val="single"/>
        </w:rPr>
      </w:pPr>
      <w:r w:rsidRPr="00806C29">
        <w:rPr>
          <w:rFonts w:ascii="Times New Roman" w:hAnsi="Times New Roman" w:cs="Times New Roman"/>
          <w:b/>
          <w:bCs/>
          <w:sz w:val="24"/>
          <w:szCs w:val="24"/>
          <w:u w:val="single"/>
        </w:rPr>
        <w:lastRenderedPageBreak/>
        <w:t>Prilog 1</w:t>
      </w:r>
      <w:r>
        <w:rPr>
          <w:rFonts w:ascii="Times New Roman" w:hAnsi="Times New Roman" w:cs="Times New Roman"/>
          <w:b/>
          <w:bCs/>
          <w:sz w:val="24"/>
          <w:szCs w:val="24"/>
          <w:u w:val="single"/>
        </w:rPr>
        <w:t>5</w:t>
      </w:r>
    </w:p>
    <w:p w14:paraId="19635FFF" w14:textId="77777777" w:rsidR="00BE0947" w:rsidRPr="00806C29" w:rsidRDefault="00BE0947" w:rsidP="00BE0947">
      <w:pPr>
        <w:jc w:val="center"/>
        <w:rPr>
          <w:rFonts w:ascii="Times New Roman" w:hAnsi="Times New Roman" w:cs="Times New Roman"/>
          <w:sz w:val="24"/>
          <w:szCs w:val="24"/>
        </w:rPr>
      </w:pPr>
    </w:p>
    <w:p w14:paraId="14668B63" w14:textId="77777777" w:rsidR="00BE0947" w:rsidRPr="00806C29" w:rsidRDefault="00BE0947" w:rsidP="00BE0947">
      <w:pPr>
        <w:jc w:val="center"/>
        <w:rPr>
          <w:rFonts w:ascii="Times New Roman" w:hAnsi="Times New Roman" w:cs="Times New Roman"/>
          <w:b/>
          <w:bCs/>
          <w:sz w:val="24"/>
          <w:szCs w:val="24"/>
        </w:rPr>
      </w:pPr>
      <w:r w:rsidRPr="00806C29">
        <w:rPr>
          <w:rFonts w:ascii="Times New Roman" w:hAnsi="Times New Roman" w:cs="Times New Roman"/>
          <w:b/>
          <w:bCs/>
          <w:sz w:val="24"/>
          <w:szCs w:val="24"/>
        </w:rPr>
        <w:t>EDUKACIJE STRUČNIH RADNIKA U SUSTAVU SOCIJALNE SKRBI</w:t>
      </w:r>
    </w:p>
    <w:p w14:paraId="3CFE0EF6" w14:textId="77777777" w:rsidR="00BE0947" w:rsidRPr="00806C29" w:rsidRDefault="00BE0947" w:rsidP="00BE0947">
      <w:pPr>
        <w:rPr>
          <w:rFonts w:ascii="Times New Roman" w:hAnsi="Times New Roman" w:cs="Times New Roman"/>
          <w:sz w:val="24"/>
          <w:szCs w:val="24"/>
        </w:rPr>
      </w:pPr>
    </w:p>
    <w:tbl>
      <w:tblPr>
        <w:tblStyle w:val="Reetkatablice"/>
        <w:tblW w:w="9038" w:type="dxa"/>
        <w:tblLayout w:type="fixed"/>
        <w:tblLook w:val="04A0" w:firstRow="1" w:lastRow="0" w:firstColumn="1" w:lastColumn="0" w:noHBand="0" w:noVBand="1"/>
      </w:tblPr>
      <w:tblGrid>
        <w:gridCol w:w="1413"/>
        <w:gridCol w:w="7625"/>
      </w:tblGrid>
      <w:tr w:rsidR="00BE0947" w:rsidRPr="00806C29" w14:paraId="5DCDEF72" w14:textId="77777777" w:rsidTr="00A418AE">
        <w:tc>
          <w:tcPr>
            <w:tcW w:w="1413" w:type="dxa"/>
            <w:shd w:val="clear" w:color="auto" w:fill="FFF2CC" w:themeFill="accent4" w:themeFillTint="33"/>
            <w:vAlign w:val="center"/>
          </w:tcPr>
          <w:p w14:paraId="7990BD78" w14:textId="77777777" w:rsidR="00BE0947" w:rsidRPr="00806C29" w:rsidRDefault="00BE0947" w:rsidP="00816216">
            <w:pPr>
              <w:jc w:val="both"/>
              <w:rPr>
                <w:rFonts w:ascii="Times New Roman" w:hAnsi="Times New Roman" w:cs="Times New Roman"/>
                <w:sz w:val="24"/>
                <w:szCs w:val="24"/>
              </w:rPr>
            </w:pPr>
            <w:r w:rsidRPr="00806C29">
              <w:rPr>
                <w:rFonts w:ascii="Times New Roman" w:hAnsi="Times New Roman" w:cs="Times New Roman"/>
                <w:sz w:val="24"/>
                <w:szCs w:val="24"/>
              </w:rPr>
              <w:t xml:space="preserve">Izvještajna godina </w:t>
            </w:r>
          </w:p>
        </w:tc>
        <w:tc>
          <w:tcPr>
            <w:tcW w:w="7625" w:type="dxa"/>
            <w:shd w:val="clear" w:color="auto" w:fill="FFF2CC" w:themeFill="accent4" w:themeFillTint="33"/>
            <w:vAlign w:val="center"/>
          </w:tcPr>
          <w:p w14:paraId="40C19716" w14:textId="77777777" w:rsidR="00BE0947" w:rsidRPr="00806C29" w:rsidRDefault="00BE0947" w:rsidP="00816216">
            <w:pPr>
              <w:jc w:val="both"/>
              <w:rPr>
                <w:rFonts w:ascii="Times New Roman" w:hAnsi="Times New Roman" w:cs="Times New Roman"/>
                <w:sz w:val="24"/>
                <w:szCs w:val="24"/>
              </w:rPr>
            </w:pPr>
            <w:r w:rsidRPr="00806C29">
              <w:rPr>
                <w:rFonts w:ascii="Times New Roman" w:hAnsi="Times New Roman" w:cs="Times New Roman"/>
                <w:sz w:val="24"/>
                <w:szCs w:val="24"/>
              </w:rPr>
              <w:t>Edukacije/broj sudionika</w:t>
            </w:r>
          </w:p>
        </w:tc>
      </w:tr>
      <w:tr w:rsidR="00BE0947" w:rsidRPr="00806C29" w14:paraId="133581FD" w14:textId="77777777" w:rsidTr="00816216">
        <w:tc>
          <w:tcPr>
            <w:tcW w:w="1413" w:type="dxa"/>
          </w:tcPr>
          <w:p w14:paraId="4067DB0E" w14:textId="77777777" w:rsidR="00BE0947" w:rsidRPr="00806C29" w:rsidRDefault="00BE0947" w:rsidP="00816216">
            <w:pPr>
              <w:jc w:val="center"/>
              <w:rPr>
                <w:rFonts w:ascii="Times New Roman" w:hAnsi="Times New Roman" w:cs="Times New Roman"/>
                <w:sz w:val="24"/>
                <w:szCs w:val="24"/>
              </w:rPr>
            </w:pPr>
            <w:r w:rsidRPr="00806C29">
              <w:rPr>
                <w:rFonts w:ascii="Times New Roman" w:hAnsi="Times New Roman" w:cs="Times New Roman"/>
                <w:sz w:val="24"/>
                <w:szCs w:val="24"/>
              </w:rPr>
              <w:t>2017.</w:t>
            </w:r>
          </w:p>
        </w:tc>
        <w:tc>
          <w:tcPr>
            <w:tcW w:w="7625" w:type="dxa"/>
          </w:tcPr>
          <w:p w14:paraId="6B4B7E7A" w14:textId="77777777" w:rsidR="00BE0947" w:rsidRPr="00806C29" w:rsidRDefault="00BE0947" w:rsidP="00816216">
            <w:pPr>
              <w:jc w:val="both"/>
              <w:rPr>
                <w:rFonts w:ascii="Times New Roman" w:hAnsi="Times New Roman" w:cs="Times New Roman"/>
                <w:sz w:val="24"/>
                <w:szCs w:val="24"/>
              </w:rPr>
            </w:pPr>
            <w:r w:rsidRPr="00806C29">
              <w:rPr>
                <w:rFonts w:ascii="Times New Roman" w:hAnsi="Times New Roman" w:cs="Times New Roman"/>
                <w:sz w:val="24"/>
                <w:szCs w:val="24"/>
              </w:rPr>
              <w:t>Održan ciklus edukacija na temu „Individualno planiranje“ - kroz 3 edukacije educirano 75 stručnih radnika centara za socijalnu skrb</w:t>
            </w:r>
          </w:p>
          <w:p w14:paraId="4A3FF8B8" w14:textId="77777777" w:rsidR="00BE0947" w:rsidRPr="00806C29" w:rsidRDefault="00BE0947" w:rsidP="00816216">
            <w:pPr>
              <w:jc w:val="both"/>
              <w:rPr>
                <w:rFonts w:ascii="Times New Roman" w:hAnsi="Times New Roman" w:cs="Times New Roman"/>
                <w:sz w:val="24"/>
                <w:szCs w:val="24"/>
              </w:rPr>
            </w:pPr>
            <w:r w:rsidRPr="00806C29">
              <w:rPr>
                <w:rFonts w:ascii="Times New Roman" w:hAnsi="Times New Roman" w:cs="Times New Roman"/>
                <w:sz w:val="24"/>
                <w:szCs w:val="24"/>
              </w:rPr>
              <w:t>Izrađen je Priručnik „Individualno planiranje“ te je isti distribuirani svim centrima za socijalnu skrb.</w:t>
            </w:r>
          </w:p>
        </w:tc>
      </w:tr>
      <w:tr w:rsidR="00BE0947" w:rsidRPr="00806C29" w14:paraId="1F6343B9" w14:textId="77777777" w:rsidTr="00816216">
        <w:tc>
          <w:tcPr>
            <w:tcW w:w="1413" w:type="dxa"/>
            <w:vMerge w:val="restart"/>
          </w:tcPr>
          <w:p w14:paraId="06C883E8" w14:textId="77777777" w:rsidR="00BE0947" w:rsidRPr="00806C29" w:rsidRDefault="00BE0947" w:rsidP="00816216">
            <w:pPr>
              <w:jc w:val="center"/>
              <w:rPr>
                <w:rFonts w:ascii="Times New Roman" w:hAnsi="Times New Roman" w:cs="Times New Roman"/>
                <w:sz w:val="24"/>
                <w:szCs w:val="24"/>
              </w:rPr>
            </w:pPr>
            <w:r w:rsidRPr="00806C29">
              <w:rPr>
                <w:rFonts w:ascii="Times New Roman" w:hAnsi="Times New Roman" w:cs="Times New Roman"/>
                <w:sz w:val="24"/>
                <w:szCs w:val="24"/>
              </w:rPr>
              <w:t>2018.</w:t>
            </w:r>
          </w:p>
        </w:tc>
        <w:tc>
          <w:tcPr>
            <w:tcW w:w="7625" w:type="dxa"/>
          </w:tcPr>
          <w:p w14:paraId="55790936" w14:textId="77777777" w:rsidR="00BE0947" w:rsidRPr="00806C29" w:rsidRDefault="00BE0947" w:rsidP="00816216">
            <w:pPr>
              <w:jc w:val="both"/>
              <w:rPr>
                <w:rFonts w:ascii="Times New Roman" w:hAnsi="Times New Roman" w:cs="Times New Roman"/>
                <w:sz w:val="24"/>
                <w:szCs w:val="24"/>
              </w:rPr>
            </w:pPr>
            <w:r w:rsidRPr="00806C29">
              <w:rPr>
                <w:rFonts w:ascii="Times New Roman" w:hAnsi="Times New Roman" w:cs="Times New Roman"/>
                <w:sz w:val="24"/>
                <w:szCs w:val="24"/>
              </w:rPr>
              <w:t>trodnevna edukacija o izradi individualnih planova naziva „Upravljanje slučajem u procjeni dobrobiti odraslih osoba uz izradu resursa i izazova individualnog planiranja, zastupanja i osnaživanja korisnika u socijalnom radu“ u Rijeci, a na istoj su sudjelovala 24 stručna radnika</w:t>
            </w:r>
          </w:p>
        </w:tc>
      </w:tr>
      <w:tr w:rsidR="00BE0947" w:rsidRPr="00806C29" w14:paraId="1BDB27C7" w14:textId="77777777" w:rsidTr="00816216">
        <w:tc>
          <w:tcPr>
            <w:tcW w:w="1413" w:type="dxa"/>
            <w:vMerge/>
          </w:tcPr>
          <w:p w14:paraId="3E29C149" w14:textId="77777777" w:rsidR="00BE0947" w:rsidRPr="00806C29" w:rsidRDefault="00BE0947" w:rsidP="00816216">
            <w:pPr>
              <w:jc w:val="center"/>
              <w:rPr>
                <w:rFonts w:ascii="Times New Roman" w:hAnsi="Times New Roman" w:cs="Times New Roman"/>
                <w:sz w:val="24"/>
                <w:szCs w:val="24"/>
              </w:rPr>
            </w:pPr>
          </w:p>
        </w:tc>
        <w:tc>
          <w:tcPr>
            <w:tcW w:w="7625" w:type="dxa"/>
          </w:tcPr>
          <w:p w14:paraId="62E8E662" w14:textId="77777777" w:rsidR="00BE0947" w:rsidRPr="00806C29" w:rsidRDefault="00BE0947" w:rsidP="00816216">
            <w:pPr>
              <w:jc w:val="both"/>
              <w:rPr>
                <w:rFonts w:ascii="Times New Roman" w:hAnsi="Times New Roman" w:cs="Times New Roman"/>
                <w:sz w:val="24"/>
                <w:szCs w:val="24"/>
              </w:rPr>
            </w:pPr>
            <w:r w:rsidRPr="00806C29">
              <w:rPr>
                <w:rFonts w:ascii="Times New Roman" w:hAnsi="Times New Roman" w:cs="Times New Roman"/>
                <w:sz w:val="24"/>
                <w:szCs w:val="24"/>
              </w:rPr>
              <w:t>edukacija za posebne skrbnike Centra za posebno skrbništvo na temu Konvencije o pravima osoba s invaliditetom s posebnim osvrtom na članak 12. Konvencije, te je tijekom 2018. godine održana edukacija stručnih radnika Odjela za odrasle centara za socijalnu skrb na području Osječko-baranjske županije na temu skrbništva i Konvencije o pravima osoba s invaliditetom.</w:t>
            </w:r>
          </w:p>
        </w:tc>
      </w:tr>
      <w:tr w:rsidR="00BE0947" w:rsidRPr="00806C29" w14:paraId="78E44502" w14:textId="77777777" w:rsidTr="00816216">
        <w:tc>
          <w:tcPr>
            <w:tcW w:w="1413" w:type="dxa"/>
            <w:vMerge/>
          </w:tcPr>
          <w:p w14:paraId="4191BF88" w14:textId="77777777" w:rsidR="00BE0947" w:rsidRPr="00806C29" w:rsidRDefault="00BE0947" w:rsidP="00816216">
            <w:pPr>
              <w:jc w:val="center"/>
              <w:rPr>
                <w:rFonts w:ascii="Times New Roman" w:hAnsi="Times New Roman" w:cs="Times New Roman"/>
                <w:sz w:val="24"/>
                <w:szCs w:val="24"/>
              </w:rPr>
            </w:pPr>
          </w:p>
        </w:tc>
        <w:tc>
          <w:tcPr>
            <w:tcW w:w="7625" w:type="dxa"/>
          </w:tcPr>
          <w:p w14:paraId="0F6D8DC4" w14:textId="77777777" w:rsidR="00BE0947" w:rsidRPr="00806C29" w:rsidRDefault="00BE0947" w:rsidP="00816216">
            <w:pPr>
              <w:jc w:val="both"/>
              <w:rPr>
                <w:rFonts w:ascii="Times New Roman" w:hAnsi="Times New Roman" w:cs="Times New Roman"/>
                <w:sz w:val="24"/>
                <w:szCs w:val="24"/>
              </w:rPr>
            </w:pPr>
            <w:r w:rsidRPr="00806C29">
              <w:rPr>
                <w:rFonts w:ascii="Times New Roman" w:hAnsi="Times New Roman" w:cs="Times New Roman"/>
                <w:sz w:val="24"/>
                <w:szCs w:val="24"/>
              </w:rPr>
              <w:t>dvije jednodnevne edukacije „Spolnost osoba s intelektualnim teškoćama“ u Zagrebu i Splitu kojima je educirano 57 stručnih radnika. Predmetna edukacija sadržajno je usmjerena na stjecanje znanja o značajkama odrastanja, spolnog razvoja i potrebe za podrškom osoba s intelektualnim teškoćama, na važnost osiguravanja prava povezanih sa spolnošću te na ishodišta, ciljeve i sadržaj programa seksualne edukacije osoba s intelektualnim teškoćama. Svim sudionicima edukacije uručen je autorski priručnik voditeljice edukacije: Bratković, D. (2011): Podrška osobama s intelektualnim i drugim razvojnim teškoćama u ostvarivanju partnerskih odnosa, roditeljstva i drugih prava na području spolnosti.</w:t>
            </w:r>
          </w:p>
        </w:tc>
      </w:tr>
      <w:tr w:rsidR="00BE0947" w:rsidRPr="00806C29" w14:paraId="70A7A3D2" w14:textId="77777777" w:rsidTr="00816216">
        <w:tc>
          <w:tcPr>
            <w:tcW w:w="1413" w:type="dxa"/>
          </w:tcPr>
          <w:p w14:paraId="68384F64" w14:textId="77777777" w:rsidR="00BE0947" w:rsidRPr="00806C29" w:rsidRDefault="00BE0947" w:rsidP="00816216">
            <w:pPr>
              <w:jc w:val="center"/>
              <w:rPr>
                <w:rFonts w:ascii="Times New Roman" w:hAnsi="Times New Roman" w:cs="Times New Roman"/>
                <w:sz w:val="24"/>
                <w:szCs w:val="24"/>
              </w:rPr>
            </w:pPr>
            <w:r w:rsidRPr="00806C29">
              <w:rPr>
                <w:rFonts w:ascii="Times New Roman" w:hAnsi="Times New Roman" w:cs="Times New Roman"/>
                <w:sz w:val="24"/>
                <w:szCs w:val="24"/>
              </w:rPr>
              <w:t>2018./2019.</w:t>
            </w:r>
          </w:p>
        </w:tc>
        <w:tc>
          <w:tcPr>
            <w:tcW w:w="7625" w:type="dxa"/>
          </w:tcPr>
          <w:p w14:paraId="534A9E4C" w14:textId="77777777" w:rsidR="00BE0947" w:rsidRPr="00806C29" w:rsidRDefault="00BE0947" w:rsidP="00816216">
            <w:pPr>
              <w:jc w:val="both"/>
              <w:rPr>
                <w:rFonts w:ascii="Times New Roman" w:hAnsi="Times New Roman" w:cs="Times New Roman"/>
                <w:sz w:val="24"/>
                <w:szCs w:val="24"/>
              </w:rPr>
            </w:pPr>
            <w:r w:rsidRPr="00806C29">
              <w:rPr>
                <w:rFonts w:ascii="Times New Roman" w:hAnsi="Times New Roman" w:cs="Times New Roman"/>
                <w:sz w:val="24"/>
                <w:szCs w:val="24"/>
              </w:rPr>
              <w:t xml:space="preserve">četiri jednodnevne edukacije za stručne radnike centara za socijalnu skrb „Edukacija o pravima i mogućnostima osoba s invaliditetom i starijih osoba s naglaskom na jednake mogućnosti i socijalno uključivanje“, na kojima je sudjelovao preko 120 stručnih radnika. Cilj edukacije bio je upoznavanje sa suvremenim načelima u radu s osobama s invaliditetom, načinima promocije i poštivanja ljudskih prava, konceptima vezanim uz izjednačavanje mogućnosti i socijalno uključivanje osoba s invaliditetom vezano uz Konvenciju o pravima osoba s invaliditetom, s naglaskom na praksu socijalnog rada. </w:t>
            </w:r>
          </w:p>
        </w:tc>
      </w:tr>
      <w:tr w:rsidR="00BE0947" w:rsidRPr="00806C29" w14:paraId="0B3EA353" w14:textId="77777777" w:rsidTr="00816216">
        <w:tc>
          <w:tcPr>
            <w:tcW w:w="1413" w:type="dxa"/>
            <w:vMerge w:val="restart"/>
          </w:tcPr>
          <w:p w14:paraId="6A44A3CD" w14:textId="77777777" w:rsidR="00BE0947" w:rsidRPr="00806C29" w:rsidRDefault="00BE0947" w:rsidP="00816216">
            <w:pPr>
              <w:jc w:val="center"/>
              <w:rPr>
                <w:rFonts w:ascii="Times New Roman" w:hAnsi="Times New Roman" w:cs="Times New Roman"/>
                <w:sz w:val="24"/>
                <w:szCs w:val="24"/>
              </w:rPr>
            </w:pPr>
            <w:r w:rsidRPr="00806C29">
              <w:rPr>
                <w:rFonts w:ascii="Times New Roman" w:hAnsi="Times New Roman" w:cs="Times New Roman"/>
                <w:sz w:val="24"/>
                <w:szCs w:val="24"/>
              </w:rPr>
              <w:t>2019.</w:t>
            </w:r>
          </w:p>
          <w:p w14:paraId="664CDAB1" w14:textId="77777777" w:rsidR="00BE0947" w:rsidRPr="00806C29" w:rsidRDefault="00BE0947" w:rsidP="00816216">
            <w:pPr>
              <w:jc w:val="both"/>
              <w:rPr>
                <w:rFonts w:ascii="Times New Roman" w:hAnsi="Times New Roman" w:cs="Times New Roman"/>
                <w:sz w:val="24"/>
                <w:szCs w:val="24"/>
              </w:rPr>
            </w:pPr>
          </w:p>
        </w:tc>
        <w:tc>
          <w:tcPr>
            <w:tcW w:w="7625" w:type="dxa"/>
          </w:tcPr>
          <w:p w14:paraId="2D6EB5BB" w14:textId="77777777" w:rsidR="00BE0947" w:rsidRPr="00806C29" w:rsidRDefault="00BE0947" w:rsidP="00816216">
            <w:pPr>
              <w:jc w:val="both"/>
              <w:rPr>
                <w:rFonts w:ascii="Times New Roman" w:hAnsi="Times New Roman" w:cs="Times New Roman"/>
                <w:sz w:val="24"/>
                <w:szCs w:val="24"/>
              </w:rPr>
            </w:pPr>
            <w:r w:rsidRPr="00806C29">
              <w:rPr>
                <w:rFonts w:ascii="Times New Roman" w:hAnsi="Times New Roman" w:cs="Times New Roman"/>
                <w:sz w:val="24"/>
                <w:szCs w:val="24"/>
              </w:rPr>
              <w:t>Dva modula u okviru ciklusa edukacija „Proaktivni modeli profesionalnog osnaživanja“ s ciljem osnaživanja stručnih radnika i rukovoditelja za uspješno nošenje s profesionalnim stresom i traumom: prvi modul „Kvalitetno rukovođenje i nošenje s novim profesionalnim izazovima“ za ravnatelje i voditelje podružnica svih centara za socijalnu skrb, domova i centara za pružanje usluga u zajednici i drugi modul „Osnaživanje stručnjaka za nove profesionalne izazove“ za po jednog stručnog radnika iz svih centara za socijalnu skrb, domova i centara za pružanje usluga u zajednici.</w:t>
            </w:r>
          </w:p>
        </w:tc>
      </w:tr>
      <w:tr w:rsidR="00BE0947" w:rsidRPr="00806C29" w14:paraId="3755B670" w14:textId="77777777" w:rsidTr="00816216">
        <w:tc>
          <w:tcPr>
            <w:tcW w:w="1413" w:type="dxa"/>
            <w:vMerge/>
          </w:tcPr>
          <w:p w14:paraId="7D0C5933" w14:textId="77777777" w:rsidR="00BE0947" w:rsidRPr="00806C29" w:rsidRDefault="00BE0947" w:rsidP="00816216">
            <w:pPr>
              <w:jc w:val="both"/>
              <w:rPr>
                <w:rFonts w:ascii="Times New Roman" w:hAnsi="Times New Roman" w:cs="Times New Roman"/>
                <w:sz w:val="24"/>
                <w:szCs w:val="24"/>
              </w:rPr>
            </w:pPr>
          </w:p>
        </w:tc>
        <w:tc>
          <w:tcPr>
            <w:tcW w:w="7625" w:type="dxa"/>
          </w:tcPr>
          <w:p w14:paraId="5DC7069E" w14:textId="77777777" w:rsidR="00BE0947" w:rsidRPr="00806C29" w:rsidRDefault="00BE0947" w:rsidP="00816216">
            <w:pPr>
              <w:jc w:val="both"/>
              <w:rPr>
                <w:rFonts w:ascii="Times New Roman" w:hAnsi="Times New Roman" w:cs="Times New Roman"/>
                <w:sz w:val="24"/>
                <w:szCs w:val="24"/>
              </w:rPr>
            </w:pPr>
            <w:r w:rsidRPr="00806C29">
              <w:rPr>
                <w:rFonts w:ascii="Times New Roman" w:hAnsi="Times New Roman" w:cs="Times New Roman"/>
                <w:sz w:val="24"/>
                <w:szCs w:val="24"/>
              </w:rPr>
              <w:t>Trodnevna edukacija „Individualno planiranje i vođenje slučaja u procjeni dobrobiti odraslih osoba“ u 3 grada (Pakrac, Zagreb, Split) s predviđenih 30 sudionika po edukaciji</w:t>
            </w:r>
          </w:p>
        </w:tc>
      </w:tr>
      <w:tr w:rsidR="00BE0947" w:rsidRPr="00806C29" w14:paraId="527D711C" w14:textId="77777777" w:rsidTr="00816216">
        <w:tc>
          <w:tcPr>
            <w:tcW w:w="1413" w:type="dxa"/>
            <w:vMerge/>
          </w:tcPr>
          <w:p w14:paraId="6E44B4C3" w14:textId="77777777" w:rsidR="00BE0947" w:rsidRPr="00806C29" w:rsidRDefault="00BE0947" w:rsidP="00816216">
            <w:pPr>
              <w:jc w:val="both"/>
              <w:rPr>
                <w:rFonts w:ascii="Times New Roman" w:hAnsi="Times New Roman" w:cs="Times New Roman"/>
                <w:sz w:val="24"/>
                <w:szCs w:val="24"/>
              </w:rPr>
            </w:pPr>
          </w:p>
        </w:tc>
        <w:tc>
          <w:tcPr>
            <w:tcW w:w="7625" w:type="dxa"/>
          </w:tcPr>
          <w:p w14:paraId="5CD78104" w14:textId="77777777" w:rsidR="00BE0947" w:rsidRPr="00806C29" w:rsidRDefault="00BE0947" w:rsidP="00816216">
            <w:pPr>
              <w:jc w:val="both"/>
              <w:rPr>
                <w:rFonts w:ascii="Times New Roman" w:hAnsi="Times New Roman" w:cs="Times New Roman"/>
                <w:sz w:val="24"/>
                <w:szCs w:val="24"/>
              </w:rPr>
            </w:pPr>
            <w:r w:rsidRPr="00806C29">
              <w:rPr>
                <w:rFonts w:ascii="Times New Roman" w:hAnsi="Times New Roman" w:cs="Times New Roman"/>
                <w:sz w:val="24"/>
                <w:szCs w:val="24"/>
              </w:rPr>
              <w:t>Dvodnevna edukacija na temu „Specifičnosti rada s korisnicima s oštećenjima iz autističnog spektra“, sudjelovalo je 37 stručnih radnika</w:t>
            </w:r>
          </w:p>
        </w:tc>
      </w:tr>
      <w:tr w:rsidR="00BE0947" w:rsidRPr="00806C29" w14:paraId="2FBC9DE1" w14:textId="77777777" w:rsidTr="00816216">
        <w:tc>
          <w:tcPr>
            <w:tcW w:w="1413" w:type="dxa"/>
            <w:vMerge/>
          </w:tcPr>
          <w:p w14:paraId="31692646" w14:textId="77777777" w:rsidR="00BE0947" w:rsidRPr="00806C29" w:rsidRDefault="00BE0947" w:rsidP="00816216">
            <w:pPr>
              <w:jc w:val="both"/>
              <w:rPr>
                <w:rFonts w:ascii="Times New Roman" w:hAnsi="Times New Roman" w:cs="Times New Roman"/>
                <w:sz w:val="24"/>
                <w:szCs w:val="24"/>
              </w:rPr>
            </w:pPr>
          </w:p>
        </w:tc>
        <w:tc>
          <w:tcPr>
            <w:tcW w:w="7625" w:type="dxa"/>
          </w:tcPr>
          <w:p w14:paraId="29EE22DF" w14:textId="77777777" w:rsidR="00BE0947" w:rsidRPr="00806C29" w:rsidRDefault="00BE0947" w:rsidP="00816216">
            <w:pPr>
              <w:jc w:val="both"/>
              <w:rPr>
                <w:rFonts w:ascii="Times New Roman" w:hAnsi="Times New Roman" w:cs="Times New Roman"/>
                <w:sz w:val="24"/>
                <w:szCs w:val="24"/>
              </w:rPr>
            </w:pPr>
            <w:r w:rsidRPr="00806C29">
              <w:rPr>
                <w:rFonts w:ascii="Times New Roman" w:hAnsi="Times New Roman" w:cs="Times New Roman"/>
                <w:sz w:val="24"/>
                <w:szCs w:val="24"/>
              </w:rPr>
              <w:t>Za stručne radnike koji rade u domovima socijalne skrbi održane su 3 jednodnevne edukacije „Primjena restriktivnih mjera i zaštita od ponižavajućeg postupanja prema korisnicima socijalnih usluga u djelatnosti socijalne skrbi“. Ministarstvo je za provedbu ove edukacije s Edukacijsko-rehabilitacijskim fakultetom Sveučilišta u Zagrebu sklopilo ugovor o nabavi usluge edukacije. Cilj edukacije bio je pružiti stručnim radnicima domova socijalne skrbi koji skrbe o osobama s tjelesnim, intelektualnim i osjetilnim oštećenjem te domova za osobe s mentalnim oštećenjem temeljna znanja o najmanje restriktivnim mjerama i zaštiti od ponižavajućeg postupanja sukladno suvremenim standardima ljudskih prava i Konvenciji o pravima osoba s invaliditetom. Edukacija sadržajno obrađuje: probleme mentalnog zdravlja osoba s invaliditetom, postupke prevencije i rješavanja problema mentalnog zdravlja osoba s invaliditetom koji proizlaze iz utjecaja okoline, međunarodni i nacionalni okvir zaštite osoba s psihičkim poremećajima, etiku u psihijatrijskoj praksi, smjernice Europskog odbora za sprečavanje mučenja i neljudskog ponižavajućeg postupanja ili kažnjavanja, primjenu najmanje restriktivnih mjera ograničavanja i sputavanja u skladu s navedenim smjernicama i dr. na edukaciji u Splitu 6. rujna 2019. godine sudjelovalo je 31 stručnih radnika, a na edukacijama koje su održane u Zagrebu 13. rujna i 3. listopada po 30 stručnih radnika.</w:t>
            </w:r>
          </w:p>
        </w:tc>
      </w:tr>
    </w:tbl>
    <w:p w14:paraId="7201848C" w14:textId="77777777" w:rsidR="00BE0947" w:rsidRPr="00806C29" w:rsidRDefault="00BE0947" w:rsidP="00BE0947">
      <w:pPr>
        <w:rPr>
          <w:rFonts w:ascii="Times New Roman" w:hAnsi="Times New Roman" w:cs="Times New Roman"/>
          <w:sz w:val="24"/>
          <w:szCs w:val="24"/>
        </w:rPr>
      </w:pPr>
    </w:p>
    <w:p w14:paraId="4D256C52" w14:textId="2CC4B7AA" w:rsidR="00BE0947" w:rsidRDefault="00BE0947">
      <w:pPr>
        <w:rPr>
          <w:rFonts w:ascii="Times New Roman" w:eastAsiaTheme="majorEastAsia" w:hAnsi="Times New Roman" w:cs="Times New Roman"/>
          <w:sz w:val="24"/>
          <w:szCs w:val="24"/>
        </w:rPr>
      </w:pPr>
      <w:r>
        <w:rPr>
          <w:rFonts w:ascii="Times New Roman" w:hAnsi="Times New Roman" w:cs="Times New Roman"/>
          <w:sz w:val="24"/>
          <w:szCs w:val="24"/>
        </w:rPr>
        <w:br w:type="page"/>
      </w:r>
    </w:p>
    <w:p w14:paraId="5E086FC3" w14:textId="77777777" w:rsidR="00BE0947" w:rsidRPr="000F2DD6" w:rsidRDefault="00BE0947" w:rsidP="00BE0947">
      <w:pPr>
        <w:spacing w:after="0" w:line="240" w:lineRule="auto"/>
        <w:jc w:val="both"/>
        <w:rPr>
          <w:rFonts w:ascii="Times New Roman" w:eastAsia="Times New Roman" w:hAnsi="Times New Roman" w:cs="Times New Roman"/>
          <w:b/>
          <w:bCs/>
          <w:sz w:val="24"/>
          <w:szCs w:val="24"/>
          <w:u w:val="single"/>
          <w:lang w:eastAsia="hr-HR"/>
        </w:rPr>
      </w:pPr>
      <w:r w:rsidRPr="000F2DD6">
        <w:rPr>
          <w:rFonts w:ascii="Times New Roman" w:eastAsia="Times New Roman" w:hAnsi="Times New Roman" w:cs="Times New Roman"/>
          <w:b/>
          <w:bCs/>
          <w:sz w:val="24"/>
          <w:szCs w:val="24"/>
          <w:u w:val="single"/>
          <w:lang w:eastAsia="hr-HR"/>
        </w:rPr>
        <w:lastRenderedPageBreak/>
        <w:t>Prilog 1</w:t>
      </w:r>
      <w:r>
        <w:rPr>
          <w:rFonts w:ascii="Times New Roman" w:eastAsia="Times New Roman" w:hAnsi="Times New Roman" w:cs="Times New Roman"/>
          <w:b/>
          <w:bCs/>
          <w:sz w:val="24"/>
          <w:szCs w:val="24"/>
          <w:u w:val="single"/>
          <w:lang w:eastAsia="hr-HR"/>
        </w:rPr>
        <w:t>6</w:t>
      </w:r>
    </w:p>
    <w:p w14:paraId="04B46828" w14:textId="77777777" w:rsidR="00BE0947" w:rsidRDefault="00BE0947" w:rsidP="00BE0947">
      <w:pPr>
        <w:spacing w:after="0" w:line="240" w:lineRule="auto"/>
        <w:jc w:val="both"/>
        <w:rPr>
          <w:rFonts w:ascii="Times New Roman" w:eastAsia="Times New Roman" w:hAnsi="Times New Roman" w:cs="Times New Roman"/>
          <w:sz w:val="24"/>
          <w:szCs w:val="24"/>
          <w:lang w:eastAsia="hr-HR"/>
        </w:rPr>
      </w:pPr>
    </w:p>
    <w:p w14:paraId="180C719E" w14:textId="77777777" w:rsidR="00BE0947" w:rsidRDefault="00BE0947" w:rsidP="00BE0947">
      <w:pPr>
        <w:spacing w:after="0" w:line="240" w:lineRule="auto"/>
        <w:jc w:val="both"/>
        <w:rPr>
          <w:rFonts w:ascii="Times New Roman" w:eastAsia="Times New Roman" w:hAnsi="Times New Roman" w:cs="Times New Roman"/>
          <w:sz w:val="24"/>
          <w:szCs w:val="24"/>
          <w:lang w:eastAsia="hr-HR"/>
        </w:rPr>
      </w:pPr>
    </w:p>
    <w:p w14:paraId="306F7EE2" w14:textId="77777777" w:rsidR="00BE0947" w:rsidRPr="000F2DD6" w:rsidRDefault="00BE0947" w:rsidP="00BE0947">
      <w:pPr>
        <w:spacing w:after="0" w:line="240" w:lineRule="auto"/>
        <w:jc w:val="center"/>
        <w:rPr>
          <w:rFonts w:ascii="Times New Roman" w:eastAsia="Times New Roman" w:hAnsi="Times New Roman" w:cs="Times New Roman"/>
          <w:b/>
          <w:bCs/>
          <w:sz w:val="24"/>
          <w:szCs w:val="24"/>
          <w:lang w:eastAsia="hr-HR"/>
        </w:rPr>
      </w:pPr>
      <w:proofErr w:type="spellStart"/>
      <w:r>
        <w:rPr>
          <w:rFonts w:ascii="Times New Roman" w:eastAsia="Times New Roman" w:hAnsi="Times New Roman" w:cs="Times New Roman"/>
          <w:b/>
          <w:bCs/>
          <w:sz w:val="24"/>
          <w:szCs w:val="24"/>
          <w:lang w:eastAsia="hr-HR"/>
        </w:rPr>
        <w:t>e</w:t>
      </w:r>
      <w:r w:rsidRPr="000F2DD6">
        <w:rPr>
          <w:rFonts w:ascii="Times New Roman" w:eastAsia="Times New Roman" w:hAnsi="Times New Roman" w:cs="Times New Roman"/>
          <w:b/>
          <w:bCs/>
          <w:sz w:val="24"/>
          <w:szCs w:val="24"/>
          <w:lang w:eastAsia="hr-HR"/>
        </w:rPr>
        <w:t>DOZVOLA</w:t>
      </w:r>
      <w:proofErr w:type="spellEnd"/>
    </w:p>
    <w:p w14:paraId="40637EB1" w14:textId="77777777" w:rsidR="00BE0947" w:rsidRDefault="00BE0947" w:rsidP="00BE0947">
      <w:pPr>
        <w:spacing w:after="0" w:line="240" w:lineRule="auto"/>
        <w:jc w:val="both"/>
        <w:rPr>
          <w:rFonts w:ascii="Times New Roman" w:eastAsia="Times New Roman" w:hAnsi="Times New Roman" w:cs="Times New Roman"/>
          <w:sz w:val="24"/>
          <w:szCs w:val="24"/>
          <w:lang w:eastAsia="hr-HR"/>
        </w:rPr>
      </w:pPr>
    </w:p>
    <w:p w14:paraId="440016EE" w14:textId="77777777" w:rsidR="00BE0947" w:rsidRDefault="00BE0947" w:rsidP="00BE0947">
      <w:pPr>
        <w:spacing w:after="0" w:line="240" w:lineRule="auto"/>
        <w:jc w:val="both"/>
        <w:rPr>
          <w:rFonts w:ascii="Times New Roman" w:eastAsia="Times New Roman" w:hAnsi="Times New Roman" w:cs="Times New Roman"/>
          <w:sz w:val="24"/>
          <w:szCs w:val="24"/>
          <w:lang w:eastAsia="hr-HR"/>
        </w:rPr>
      </w:pPr>
    </w:p>
    <w:p w14:paraId="527C7F01" w14:textId="77777777" w:rsidR="00BE0947" w:rsidRDefault="00BE0947" w:rsidP="00BE0947">
      <w:pPr>
        <w:spacing w:after="0" w:line="240" w:lineRule="auto"/>
        <w:jc w:val="both"/>
        <w:rPr>
          <w:rFonts w:ascii="Times New Roman" w:eastAsia="Times New Roman" w:hAnsi="Times New Roman" w:cs="Times New Roman"/>
          <w:sz w:val="24"/>
          <w:szCs w:val="24"/>
          <w:lang w:eastAsia="hr-HR"/>
        </w:rPr>
      </w:pPr>
      <w:r w:rsidRPr="00165D3A">
        <w:rPr>
          <w:rFonts w:ascii="Times New Roman" w:eastAsia="Times New Roman" w:hAnsi="Times New Roman" w:cs="Times New Roman"/>
          <w:sz w:val="24"/>
          <w:szCs w:val="24"/>
          <w:lang w:eastAsia="hr-HR"/>
        </w:rPr>
        <w:t>Od 2019. godine sustav „</w:t>
      </w:r>
      <w:proofErr w:type="spellStart"/>
      <w:r w:rsidRPr="00165D3A">
        <w:rPr>
          <w:rFonts w:ascii="Times New Roman" w:eastAsia="Times New Roman" w:hAnsi="Times New Roman" w:cs="Times New Roman"/>
          <w:sz w:val="24"/>
          <w:szCs w:val="24"/>
          <w:lang w:eastAsia="hr-HR"/>
        </w:rPr>
        <w:t>eDozvola</w:t>
      </w:r>
      <w:proofErr w:type="spellEnd"/>
      <w:r w:rsidRPr="00165D3A">
        <w:rPr>
          <w:rFonts w:ascii="Times New Roman" w:eastAsia="Times New Roman" w:hAnsi="Times New Roman" w:cs="Times New Roman"/>
          <w:sz w:val="24"/>
          <w:szCs w:val="24"/>
          <w:lang w:eastAsia="hr-HR"/>
        </w:rPr>
        <w:t xml:space="preserve">“ </w:t>
      </w:r>
      <w:r>
        <w:rPr>
          <w:rFonts w:ascii="Times New Roman" w:eastAsia="Times New Roman" w:hAnsi="Times New Roman" w:cs="Times New Roman"/>
          <w:sz w:val="24"/>
          <w:szCs w:val="24"/>
          <w:lang w:eastAsia="hr-HR"/>
        </w:rPr>
        <w:t xml:space="preserve">je </w:t>
      </w:r>
      <w:r w:rsidRPr="00165D3A">
        <w:rPr>
          <w:rFonts w:ascii="Times New Roman" w:eastAsia="Times New Roman" w:hAnsi="Times New Roman" w:cs="Times New Roman"/>
          <w:sz w:val="24"/>
          <w:szCs w:val="24"/>
          <w:lang w:eastAsia="hr-HR"/>
        </w:rPr>
        <w:t xml:space="preserve">uključen u sustav „e-Građani“, uvedeno je elektroničko poslovanje i digitalno potpisivanje akata i elektronička konferencija, čime je taj sustav postao jednako dostupan i osobama s invaliditetom. </w:t>
      </w:r>
    </w:p>
    <w:p w14:paraId="0D211B57" w14:textId="77777777" w:rsidR="00BE0947" w:rsidRDefault="00BE0947" w:rsidP="00BE0947">
      <w:pPr>
        <w:spacing w:after="0" w:line="240" w:lineRule="auto"/>
        <w:jc w:val="both"/>
        <w:rPr>
          <w:rFonts w:ascii="Times New Roman" w:eastAsia="Times New Roman" w:hAnsi="Times New Roman" w:cs="Times New Roman"/>
          <w:sz w:val="24"/>
          <w:szCs w:val="24"/>
          <w:lang w:eastAsia="hr-HR"/>
        </w:rPr>
      </w:pPr>
    </w:p>
    <w:p w14:paraId="4A228124" w14:textId="77777777" w:rsidR="00BE0947" w:rsidRDefault="00BE0947" w:rsidP="00BE0947">
      <w:pPr>
        <w:spacing w:after="0" w:line="240" w:lineRule="auto"/>
        <w:jc w:val="both"/>
        <w:rPr>
          <w:rFonts w:ascii="Times New Roman" w:eastAsia="Times New Roman" w:hAnsi="Times New Roman" w:cs="Times New Roman"/>
          <w:sz w:val="24"/>
          <w:szCs w:val="24"/>
          <w:lang w:eastAsia="hr-HR"/>
        </w:rPr>
      </w:pPr>
      <w:r w:rsidRPr="00165D3A">
        <w:rPr>
          <w:rFonts w:ascii="Times New Roman" w:eastAsia="Times New Roman" w:hAnsi="Times New Roman" w:cs="Times New Roman"/>
          <w:sz w:val="24"/>
          <w:szCs w:val="24"/>
          <w:lang w:eastAsia="hr-HR"/>
        </w:rPr>
        <w:t>Putem sustava „</w:t>
      </w:r>
      <w:proofErr w:type="spellStart"/>
      <w:r w:rsidRPr="00165D3A">
        <w:rPr>
          <w:rFonts w:ascii="Times New Roman" w:eastAsia="Times New Roman" w:hAnsi="Times New Roman" w:cs="Times New Roman"/>
          <w:sz w:val="24"/>
          <w:szCs w:val="24"/>
          <w:lang w:eastAsia="hr-HR"/>
        </w:rPr>
        <w:t>eDozvola</w:t>
      </w:r>
      <w:proofErr w:type="spellEnd"/>
      <w:r w:rsidRPr="00165D3A">
        <w:rPr>
          <w:rFonts w:ascii="Times New Roman" w:eastAsia="Times New Roman" w:hAnsi="Times New Roman" w:cs="Times New Roman"/>
          <w:sz w:val="24"/>
          <w:szCs w:val="24"/>
          <w:lang w:eastAsia="hr-HR"/>
        </w:rPr>
        <w:t>“ omogućen je ujednačen postupak dobivanja dokumenata na cijelom području Hrvatske, brža obrada predmeta, učinkovitiji administracijski procesi i digitalna arhiva svih priloga vezanih za zahtjev.</w:t>
      </w:r>
      <w:r>
        <w:rPr>
          <w:rFonts w:ascii="Times New Roman" w:eastAsia="Times New Roman" w:hAnsi="Times New Roman" w:cs="Times New Roman"/>
          <w:sz w:val="24"/>
          <w:szCs w:val="24"/>
          <w:lang w:eastAsia="hr-HR"/>
        </w:rPr>
        <w:t xml:space="preserve"> </w:t>
      </w:r>
    </w:p>
    <w:p w14:paraId="28C1262F" w14:textId="77777777" w:rsidR="00BE0947" w:rsidRDefault="00BE0947" w:rsidP="00BE0947">
      <w:pPr>
        <w:spacing w:after="0" w:line="240" w:lineRule="auto"/>
        <w:jc w:val="both"/>
        <w:rPr>
          <w:rFonts w:ascii="Times New Roman" w:eastAsia="Times New Roman" w:hAnsi="Times New Roman" w:cs="Times New Roman"/>
          <w:sz w:val="24"/>
          <w:szCs w:val="24"/>
          <w:lang w:eastAsia="hr-HR"/>
        </w:rPr>
      </w:pPr>
    </w:p>
    <w:p w14:paraId="14E2A654" w14:textId="77777777" w:rsidR="00BE0947" w:rsidRDefault="00BE0947" w:rsidP="00BE0947">
      <w:pPr>
        <w:spacing w:after="0" w:line="240" w:lineRule="auto"/>
        <w:jc w:val="both"/>
        <w:rPr>
          <w:rFonts w:ascii="Times New Roman" w:eastAsia="Times New Roman" w:hAnsi="Times New Roman" w:cs="Times New Roman"/>
          <w:sz w:val="24"/>
          <w:szCs w:val="24"/>
          <w:lang w:eastAsia="hr-HR"/>
        </w:rPr>
      </w:pPr>
      <w:r w:rsidRPr="00165D3A">
        <w:rPr>
          <w:rFonts w:ascii="Times New Roman" w:eastAsia="Times New Roman" w:hAnsi="Times New Roman" w:cs="Times New Roman"/>
          <w:sz w:val="24"/>
          <w:szCs w:val="24"/>
          <w:lang w:eastAsia="hr-HR"/>
        </w:rPr>
        <w:t>Ministarstvo</w:t>
      </w:r>
      <w:r>
        <w:rPr>
          <w:rFonts w:ascii="Times New Roman" w:eastAsia="Times New Roman" w:hAnsi="Times New Roman" w:cs="Times New Roman"/>
          <w:sz w:val="24"/>
          <w:szCs w:val="24"/>
          <w:lang w:eastAsia="hr-HR"/>
        </w:rPr>
        <w:t>,</w:t>
      </w:r>
      <w:r w:rsidRPr="00165D3A">
        <w:rPr>
          <w:rFonts w:ascii="Times New Roman" w:eastAsia="Times New Roman" w:hAnsi="Times New Roman" w:cs="Times New Roman"/>
          <w:sz w:val="24"/>
          <w:szCs w:val="24"/>
          <w:lang w:eastAsia="hr-HR"/>
        </w:rPr>
        <w:t xml:space="preserve"> kao upravno tijelo koje izdaje dozvole, objavljuje sve informacije o izdanim dozvolama putem elektroničke oglasne ploče koja je sastavni dio sustava za izdavanje dozvola „</w:t>
      </w:r>
      <w:proofErr w:type="spellStart"/>
      <w:r w:rsidRPr="00165D3A">
        <w:rPr>
          <w:rFonts w:ascii="Times New Roman" w:eastAsia="Times New Roman" w:hAnsi="Times New Roman" w:cs="Times New Roman"/>
          <w:sz w:val="24"/>
          <w:szCs w:val="24"/>
          <w:lang w:eastAsia="hr-HR"/>
        </w:rPr>
        <w:t>eDozvola</w:t>
      </w:r>
      <w:proofErr w:type="spellEnd"/>
      <w:r w:rsidRPr="00165D3A">
        <w:rPr>
          <w:rFonts w:ascii="Times New Roman" w:eastAsia="Times New Roman" w:hAnsi="Times New Roman" w:cs="Times New Roman"/>
          <w:sz w:val="24"/>
          <w:szCs w:val="24"/>
          <w:lang w:eastAsia="hr-HR"/>
        </w:rPr>
        <w:t xml:space="preserve">“. </w:t>
      </w:r>
    </w:p>
    <w:p w14:paraId="5613A268" w14:textId="77777777" w:rsidR="00BE0947" w:rsidRDefault="00BE0947" w:rsidP="00BE0947">
      <w:pPr>
        <w:spacing w:after="0" w:line="240" w:lineRule="auto"/>
        <w:jc w:val="both"/>
        <w:rPr>
          <w:rFonts w:ascii="Times New Roman" w:eastAsia="Times New Roman" w:hAnsi="Times New Roman" w:cs="Times New Roman"/>
          <w:sz w:val="24"/>
          <w:szCs w:val="24"/>
          <w:lang w:eastAsia="hr-HR"/>
        </w:rPr>
      </w:pPr>
    </w:p>
    <w:p w14:paraId="4A4A4AF8" w14:textId="77777777" w:rsidR="00BE0947" w:rsidRDefault="00BE0947" w:rsidP="00BE0947">
      <w:pPr>
        <w:spacing w:after="0" w:line="240" w:lineRule="auto"/>
        <w:jc w:val="both"/>
        <w:rPr>
          <w:rFonts w:ascii="Times New Roman" w:eastAsia="Times New Roman" w:hAnsi="Times New Roman" w:cs="Times New Roman"/>
          <w:sz w:val="24"/>
          <w:szCs w:val="24"/>
          <w:lang w:eastAsia="hr-HR"/>
        </w:rPr>
      </w:pPr>
      <w:r w:rsidRPr="00165D3A">
        <w:rPr>
          <w:rFonts w:ascii="Times New Roman" w:eastAsia="Times New Roman" w:hAnsi="Times New Roman" w:cs="Times New Roman"/>
          <w:sz w:val="24"/>
          <w:szCs w:val="24"/>
          <w:lang w:eastAsia="hr-HR"/>
        </w:rPr>
        <w:t xml:space="preserve">Na oglasnoj ploči objavljuju se i podaci o lokacijskim dozvolama za zahvate u prostoru koji su bili predmet postupka procjene utjecaja na okoliš, postupka ocjene o potrebi procjene utjecaja na okoliš ili postupka ocjene o prihvatljivosti zahvata za ekološku mrežu prema posebnim propisima, radi upoznavanja javnosti i zainteresirane javnosti o istima. </w:t>
      </w:r>
    </w:p>
    <w:p w14:paraId="1F2AE81C" w14:textId="77777777" w:rsidR="00BE0947" w:rsidRDefault="00BE0947" w:rsidP="00BE0947">
      <w:pPr>
        <w:spacing w:after="0" w:line="240" w:lineRule="auto"/>
        <w:jc w:val="both"/>
        <w:rPr>
          <w:rFonts w:ascii="Times New Roman" w:eastAsia="Times New Roman" w:hAnsi="Times New Roman" w:cs="Times New Roman"/>
          <w:sz w:val="24"/>
          <w:szCs w:val="24"/>
          <w:lang w:eastAsia="hr-HR"/>
        </w:rPr>
      </w:pPr>
    </w:p>
    <w:p w14:paraId="4C172FBF" w14:textId="77777777" w:rsidR="00BE0947" w:rsidRDefault="00BE0947" w:rsidP="00BE0947">
      <w:pPr>
        <w:spacing w:after="0" w:line="240" w:lineRule="auto"/>
        <w:jc w:val="both"/>
        <w:rPr>
          <w:rFonts w:ascii="Times New Roman" w:eastAsia="Times New Roman" w:hAnsi="Times New Roman" w:cs="Times New Roman"/>
          <w:sz w:val="24"/>
          <w:szCs w:val="24"/>
          <w:lang w:eastAsia="hr-HR"/>
        </w:rPr>
      </w:pPr>
      <w:r w:rsidRPr="00165D3A">
        <w:rPr>
          <w:rFonts w:ascii="Times New Roman" w:eastAsia="Times New Roman" w:hAnsi="Times New Roman" w:cs="Times New Roman"/>
          <w:sz w:val="24"/>
          <w:szCs w:val="24"/>
          <w:lang w:eastAsia="hr-HR"/>
        </w:rPr>
        <w:t>Na istoj internetskoj stranici objavljuju se i dozvole čiji se postupak izdavanja vodi po starom zakonskom okviru.</w:t>
      </w:r>
      <w:r>
        <w:rPr>
          <w:rFonts w:ascii="Times New Roman" w:eastAsia="Times New Roman" w:hAnsi="Times New Roman" w:cs="Times New Roman"/>
          <w:sz w:val="24"/>
          <w:szCs w:val="24"/>
          <w:lang w:eastAsia="hr-HR"/>
        </w:rPr>
        <w:t xml:space="preserve"> </w:t>
      </w:r>
    </w:p>
    <w:p w14:paraId="308F875B" w14:textId="77777777" w:rsidR="00BE0947" w:rsidRDefault="00BE0947" w:rsidP="00BE0947">
      <w:pPr>
        <w:spacing w:after="0" w:line="240" w:lineRule="auto"/>
        <w:jc w:val="both"/>
        <w:rPr>
          <w:rFonts w:ascii="Times New Roman" w:eastAsia="Times New Roman" w:hAnsi="Times New Roman" w:cs="Times New Roman"/>
          <w:sz w:val="24"/>
          <w:szCs w:val="24"/>
          <w:lang w:eastAsia="hr-HR"/>
        </w:rPr>
      </w:pPr>
    </w:p>
    <w:p w14:paraId="0D488727" w14:textId="77777777" w:rsidR="00BE0947" w:rsidRDefault="00BE0947" w:rsidP="00BE0947">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w:t>
      </w:r>
      <w:proofErr w:type="spellStart"/>
      <w:r>
        <w:rPr>
          <w:rFonts w:ascii="Times New Roman" w:eastAsia="Times New Roman" w:hAnsi="Times New Roman" w:cs="Times New Roman"/>
          <w:sz w:val="24"/>
          <w:szCs w:val="24"/>
          <w:lang w:eastAsia="hr-HR"/>
        </w:rPr>
        <w:t>eDozvolaZG</w:t>
      </w:r>
      <w:proofErr w:type="spellEnd"/>
      <w:r>
        <w:rPr>
          <w:rFonts w:ascii="Times New Roman" w:eastAsia="Times New Roman" w:hAnsi="Times New Roman" w:cs="Times New Roman"/>
          <w:sz w:val="24"/>
          <w:szCs w:val="24"/>
          <w:lang w:eastAsia="hr-HR"/>
        </w:rPr>
        <w:t>“ po potrebi se usklađuje s „e-Dozvolom“ i to u dijelu obveznih polja kako bi se mogla dobiti odgovarajuća jedinstvena izvješća.</w:t>
      </w:r>
    </w:p>
    <w:p w14:paraId="32759585" w14:textId="77777777" w:rsidR="00BE0947" w:rsidRDefault="00BE0947" w:rsidP="00BE0947"/>
    <w:p w14:paraId="11C6C203" w14:textId="64B061C8" w:rsidR="00BE0947" w:rsidRDefault="00BE0947">
      <w:pPr>
        <w:rPr>
          <w:rFonts w:ascii="Times New Roman" w:eastAsiaTheme="majorEastAsia" w:hAnsi="Times New Roman" w:cs="Times New Roman"/>
          <w:sz w:val="24"/>
          <w:szCs w:val="24"/>
        </w:rPr>
      </w:pPr>
      <w:r>
        <w:rPr>
          <w:rFonts w:ascii="Times New Roman" w:hAnsi="Times New Roman" w:cs="Times New Roman"/>
          <w:sz w:val="24"/>
          <w:szCs w:val="24"/>
        </w:rPr>
        <w:br w:type="page"/>
      </w:r>
    </w:p>
    <w:p w14:paraId="2B7DA517" w14:textId="77777777" w:rsidR="00BE0947" w:rsidRDefault="00BE0947" w:rsidP="00BE0947">
      <w:pPr>
        <w:spacing w:after="0" w:line="240" w:lineRule="auto"/>
        <w:jc w:val="both"/>
        <w:rPr>
          <w:rFonts w:ascii="Times New Roman" w:eastAsia="Times New Roman" w:hAnsi="Times New Roman" w:cs="Times New Roman"/>
          <w:b/>
          <w:sz w:val="24"/>
          <w:szCs w:val="24"/>
          <w:u w:val="single"/>
          <w:lang w:eastAsia="hr-HR"/>
        </w:rPr>
      </w:pPr>
      <w:r w:rsidRPr="00211F1B">
        <w:rPr>
          <w:rFonts w:ascii="Times New Roman" w:eastAsia="Times New Roman" w:hAnsi="Times New Roman" w:cs="Times New Roman"/>
          <w:b/>
          <w:sz w:val="24"/>
          <w:szCs w:val="24"/>
          <w:u w:val="single"/>
          <w:lang w:eastAsia="hr-HR"/>
        </w:rPr>
        <w:lastRenderedPageBreak/>
        <w:t>Prilog 1</w:t>
      </w:r>
      <w:r>
        <w:rPr>
          <w:rFonts w:ascii="Times New Roman" w:eastAsia="Times New Roman" w:hAnsi="Times New Roman" w:cs="Times New Roman"/>
          <w:b/>
          <w:sz w:val="24"/>
          <w:szCs w:val="24"/>
          <w:u w:val="single"/>
          <w:lang w:eastAsia="hr-HR"/>
        </w:rPr>
        <w:t>7</w:t>
      </w:r>
    </w:p>
    <w:p w14:paraId="0E3321A0" w14:textId="77777777" w:rsidR="00BE0947" w:rsidRDefault="00BE0947" w:rsidP="00BE0947">
      <w:pPr>
        <w:spacing w:after="0" w:line="240" w:lineRule="auto"/>
        <w:jc w:val="both"/>
        <w:rPr>
          <w:rFonts w:ascii="Times New Roman" w:eastAsia="Times New Roman" w:hAnsi="Times New Roman" w:cs="Times New Roman"/>
          <w:b/>
          <w:sz w:val="24"/>
          <w:szCs w:val="24"/>
          <w:u w:val="single"/>
          <w:lang w:eastAsia="hr-HR"/>
        </w:rPr>
      </w:pPr>
    </w:p>
    <w:p w14:paraId="5A9DA86D" w14:textId="3FA42D85" w:rsidR="00BE0947" w:rsidRPr="00A418AE" w:rsidRDefault="00BE0947" w:rsidP="00BE0947">
      <w:pPr>
        <w:spacing w:after="0" w:line="240" w:lineRule="auto"/>
        <w:jc w:val="center"/>
        <w:rPr>
          <w:rFonts w:ascii="Times New Roman" w:eastAsia="Times New Roman" w:hAnsi="Times New Roman" w:cs="Times New Roman"/>
          <w:b/>
          <w:bCs/>
          <w:sz w:val="24"/>
          <w:szCs w:val="24"/>
          <w:u w:val="single"/>
          <w:lang w:eastAsia="hr-HR"/>
        </w:rPr>
      </w:pPr>
      <w:r w:rsidRPr="00A418AE">
        <w:rPr>
          <w:rFonts w:ascii="Times New Roman" w:eastAsia="Times New Roman" w:hAnsi="Times New Roman" w:cs="Times New Roman"/>
          <w:b/>
          <w:bCs/>
          <w:sz w:val="24"/>
          <w:szCs w:val="24"/>
          <w:lang w:eastAsia="hr-HR"/>
        </w:rPr>
        <w:t>PODUZETE AKTIVNOSTI USMJERENE POBOLJŠANJU PRISTUPAČNOSTI GRAĐEVINAMA IZ PODRUČJA NADLEŽNOSTI MINISTARSTVA TURIZMA I SPORTA, MINISTARSTVA HRVATSKIH BRANITELJA</w:t>
      </w:r>
      <w:r w:rsidR="00BB3A51" w:rsidRPr="00A418AE">
        <w:rPr>
          <w:rFonts w:ascii="Times New Roman" w:eastAsia="Times New Roman" w:hAnsi="Times New Roman" w:cs="Times New Roman"/>
          <w:b/>
          <w:bCs/>
          <w:sz w:val="24"/>
          <w:szCs w:val="24"/>
          <w:lang w:eastAsia="hr-HR"/>
        </w:rPr>
        <w:t xml:space="preserve">, MINISTARSTVAUNUTARNJIH POSLOVA </w:t>
      </w:r>
      <w:r w:rsidRPr="00A418AE">
        <w:rPr>
          <w:rFonts w:ascii="Times New Roman" w:eastAsia="Times New Roman" w:hAnsi="Times New Roman" w:cs="Times New Roman"/>
          <w:b/>
          <w:bCs/>
          <w:sz w:val="24"/>
          <w:szCs w:val="24"/>
          <w:lang w:eastAsia="hr-HR"/>
        </w:rPr>
        <w:t>I MINISTARSTVA RADA, MIROVINSKOGA SUSTAVA, OBITELJI I SOCIJALNE POLITIKE</w:t>
      </w:r>
    </w:p>
    <w:p w14:paraId="6D534B5D" w14:textId="77777777" w:rsidR="00BE0947" w:rsidRPr="00211F1B" w:rsidRDefault="00BE0947" w:rsidP="00BE0947">
      <w:pPr>
        <w:spacing w:after="0" w:line="240" w:lineRule="auto"/>
        <w:jc w:val="both"/>
        <w:rPr>
          <w:rFonts w:ascii="Times New Roman" w:eastAsia="Times New Roman" w:hAnsi="Times New Roman" w:cs="Times New Roman"/>
          <w:b/>
          <w:sz w:val="24"/>
          <w:szCs w:val="24"/>
          <w:u w:val="single"/>
          <w:lang w:eastAsia="hr-HR"/>
        </w:rPr>
      </w:pPr>
    </w:p>
    <w:p w14:paraId="2F7F32F6" w14:textId="77777777" w:rsidR="00BE0947" w:rsidRDefault="00BE0947" w:rsidP="00BE0947">
      <w:pPr>
        <w:spacing w:after="0" w:line="240" w:lineRule="auto"/>
        <w:jc w:val="both"/>
        <w:rPr>
          <w:rFonts w:ascii="Times New Roman" w:eastAsia="Times New Roman" w:hAnsi="Times New Roman" w:cs="Times New Roman"/>
          <w:sz w:val="24"/>
          <w:szCs w:val="24"/>
          <w:lang w:eastAsia="hr-HR"/>
        </w:rPr>
      </w:pPr>
      <w:r w:rsidRPr="008C18B4">
        <w:rPr>
          <w:rFonts w:ascii="Times New Roman" w:eastAsia="Times New Roman" w:hAnsi="Times New Roman" w:cs="Times New Roman"/>
          <w:sz w:val="24"/>
          <w:szCs w:val="24"/>
          <w:lang w:eastAsia="hr-HR"/>
        </w:rPr>
        <w:t xml:space="preserve">Ministarstvo </w:t>
      </w:r>
      <w:r>
        <w:rPr>
          <w:rFonts w:ascii="Times New Roman" w:eastAsia="Times New Roman" w:hAnsi="Times New Roman" w:cs="Times New Roman"/>
          <w:sz w:val="24"/>
          <w:szCs w:val="24"/>
          <w:lang w:eastAsia="hr-HR"/>
        </w:rPr>
        <w:t xml:space="preserve">nadležno za turizam </w:t>
      </w:r>
      <w:r w:rsidRPr="008C18B4">
        <w:rPr>
          <w:rFonts w:ascii="Times New Roman" w:eastAsia="Times New Roman" w:hAnsi="Times New Roman" w:cs="Times New Roman"/>
          <w:sz w:val="24"/>
          <w:szCs w:val="24"/>
          <w:lang w:eastAsia="hr-HR"/>
        </w:rPr>
        <w:t xml:space="preserve">je u Pravilniku o razvrstavanju i kategorizaciji ugostiteljskih objekata iz skupine Kampovi </w:t>
      </w:r>
      <w:r>
        <w:rPr>
          <w:rFonts w:ascii="Times New Roman" w:eastAsia="Times New Roman" w:hAnsi="Times New Roman" w:cs="Times New Roman"/>
          <w:sz w:val="24"/>
          <w:szCs w:val="24"/>
          <w:lang w:eastAsia="hr-HR"/>
        </w:rPr>
        <w:t>p</w:t>
      </w:r>
      <w:r w:rsidRPr="008C18B4">
        <w:rPr>
          <w:rFonts w:ascii="Times New Roman" w:eastAsia="Times New Roman" w:hAnsi="Times New Roman" w:cs="Times New Roman"/>
          <w:sz w:val="24"/>
          <w:szCs w:val="24"/>
          <w:lang w:eastAsia="hr-HR"/>
        </w:rPr>
        <w:t xml:space="preserve">ropisalo uvjete </w:t>
      </w:r>
      <w:r>
        <w:rPr>
          <w:rFonts w:ascii="Times New Roman" w:eastAsia="Times New Roman" w:hAnsi="Times New Roman" w:cs="Times New Roman"/>
          <w:sz w:val="24"/>
          <w:szCs w:val="24"/>
          <w:lang w:eastAsia="hr-HR"/>
        </w:rPr>
        <w:t>pristupačnosti koje kampovi moraju osigurati. Isto Ministarstvo je o</w:t>
      </w:r>
      <w:r w:rsidRPr="008C18B4">
        <w:rPr>
          <w:rFonts w:ascii="Times New Roman" w:eastAsia="Times New Roman" w:hAnsi="Times New Roman" w:cs="Times New Roman"/>
          <w:sz w:val="24"/>
          <w:szCs w:val="24"/>
          <w:lang w:eastAsia="hr-HR"/>
        </w:rPr>
        <w:t xml:space="preserve">d 2015. do 2019. godine objavilo </w:t>
      </w:r>
      <w:r>
        <w:rPr>
          <w:rFonts w:ascii="Times New Roman" w:eastAsia="Times New Roman" w:hAnsi="Times New Roman" w:cs="Times New Roman"/>
          <w:sz w:val="24"/>
          <w:szCs w:val="24"/>
          <w:lang w:eastAsia="hr-HR"/>
        </w:rPr>
        <w:t>5</w:t>
      </w:r>
      <w:r w:rsidRPr="008C18B4">
        <w:rPr>
          <w:rFonts w:ascii="Times New Roman" w:eastAsia="Times New Roman" w:hAnsi="Times New Roman" w:cs="Times New Roman"/>
          <w:sz w:val="24"/>
          <w:szCs w:val="24"/>
          <w:lang w:eastAsia="hr-HR"/>
        </w:rPr>
        <w:t xml:space="preserve"> javnih poziva za uređenje javne turističke infrastrukture i sufinancirano uređenje plaža, nastavak izgradnje, dogradnje, rekonstrukcije ili adaptacije i multimedijalno opremanje centara za posjetitelje i </w:t>
      </w:r>
      <w:r w:rsidRPr="00F67FA6">
        <w:rPr>
          <w:rFonts w:ascii="Times New Roman" w:eastAsia="Times New Roman" w:hAnsi="Times New Roman" w:cs="Times New Roman"/>
          <w:sz w:val="24"/>
          <w:szCs w:val="24"/>
          <w:lang w:eastAsia="hr-HR"/>
        </w:rPr>
        <w:t>interpretacijskih centara, uređenje (lakši građevinski zahvati) i označavanje postojećih i novih ciklo-turističkih, pješačkih i jahačkih ruta, izrade studije održivosti razvoja turizma i prihvatnog kapaciteta s akcijskim planom, studije upravljanja kvalitetom u turizmu, uređenje i opremanje javnih zahoda na područjima</w:t>
      </w:r>
      <w:r w:rsidRPr="008C18B4">
        <w:rPr>
          <w:rFonts w:ascii="Times New Roman" w:eastAsia="Times New Roman" w:hAnsi="Times New Roman" w:cs="Times New Roman"/>
          <w:sz w:val="24"/>
          <w:szCs w:val="24"/>
          <w:lang w:eastAsia="hr-HR"/>
        </w:rPr>
        <w:t xml:space="preserve"> velike koncentracije turističkog prometa (kapitalna ulaganja), projektnu dokumentaciju za izgradnju sadržaja javne turističke infrastrukture. Jedan od kriterija za ocjenjivanje projekata jest pristupačnost projekta osobama s invaliditetom. U navedenom periodu kriterije pristupačnosti je ispunilo 49 plaža od kojih je </w:t>
      </w:r>
      <w:r>
        <w:rPr>
          <w:rFonts w:ascii="Times New Roman" w:eastAsia="Times New Roman" w:hAnsi="Times New Roman" w:cs="Times New Roman"/>
          <w:sz w:val="24"/>
          <w:szCs w:val="24"/>
          <w:lang w:eastAsia="hr-HR"/>
        </w:rPr>
        <w:t>1</w:t>
      </w:r>
      <w:r w:rsidRPr="008C18B4">
        <w:rPr>
          <w:rFonts w:ascii="Times New Roman" w:eastAsia="Times New Roman" w:hAnsi="Times New Roman" w:cs="Times New Roman"/>
          <w:sz w:val="24"/>
          <w:szCs w:val="24"/>
          <w:lang w:eastAsia="hr-HR"/>
        </w:rPr>
        <w:t xml:space="preserve">3 u fazi izgradnje, 34 centara za posjetitelje/interpretacijskih centara i 4 javna zahoda. Kriterije </w:t>
      </w:r>
      <w:r>
        <w:rPr>
          <w:rFonts w:ascii="Times New Roman" w:eastAsia="Times New Roman" w:hAnsi="Times New Roman" w:cs="Times New Roman"/>
          <w:sz w:val="24"/>
          <w:szCs w:val="24"/>
          <w:lang w:eastAsia="hr-HR"/>
        </w:rPr>
        <w:t>je</w:t>
      </w:r>
      <w:r w:rsidRPr="008C18B4">
        <w:rPr>
          <w:rFonts w:ascii="Times New Roman" w:eastAsia="Times New Roman" w:hAnsi="Times New Roman" w:cs="Times New Roman"/>
          <w:sz w:val="24"/>
          <w:szCs w:val="24"/>
          <w:lang w:eastAsia="hr-HR"/>
        </w:rPr>
        <w:t xml:space="preserve"> djelomično ispunil</w:t>
      </w:r>
      <w:r>
        <w:rPr>
          <w:rFonts w:ascii="Times New Roman" w:eastAsia="Times New Roman" w:hAnsi="Times New Roman" w:cs="Times New Roman"/>
          <w:sz w:val="24"/>
          <w:szCs w:val="24"/>
          <w:lang w:eastAsia="hr-HR"/>
        </w:rPr>
        <w:t>o</w:t>
      </w:r>
      <w:r w:rsidRPr="008C18B4">
        <w:rPr>
          <w:rFonts w:ascii="Times New Roman" w:eastAsia="Times New Roman" w:hAnsi="Times New Roman" w:cs="Times New Roman"/>
          <w:sz w:val="24"/>
          <w:szCs w:val="24"/>
          <w:lang w:eastAsia="hr-HR"/>
        </w:rPr>
        <w:t xml:space="preserve"> 15 centara za posjetitelje/interpretacijskih centara. </w:t>
      </w:r>
    </w:p>
    <w:p w14:paraId="3DD2CABA" w14:textId="77777777" w:rsidR="00BE0947" w:rsidRDefault="00BE0947" w:rsidP="00BE0947">
      <w:pPr>
        <w:spacing w:after="0" w:line="240" w:lineRule="auto"/>
        <w:jc w:val="both"/>
        <w:rPr>
          <w:rFonts w:ascii="Times New Roman" w:eastAsia="Times New Roman" w:hAnsi="Times New Roman" w:cs="Times New Roman"/>
          <w:sz w:val="24"/>
          <w:szCs w:val="24"/>
          <w:lang w:eastAsia="hr-HR"/>
        </w:rPr>
      </w:pPr>
    </w:p>
    <w:p w14:paraId="5AB826B9" w14:textId="77777777" w:rsidR="00BE0947" w:rsidRPr="008C18B4" w:rsidRDefault="00BE0947" w:rsidP="00BE0947">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Kroz</w:t>
      </w:r>
      <w:r w:rsidRPr="008C18B4">
        <w:rPr>
          <w:rFonts w:ascii="Times New Roman" w:eastAsia="Times New Roman" w:hAnsi="Times New Roman" w:cs="Times New Roman"/>
          <w:sz w:val="24"/>
          <w:szCs w:val="24"/>
          <w:lang w:eastAsia="hr-HR"/>
        </w:rPr>
        <w:t xml:space="preserve"> O</w:t>
      </w:r>
      <w:r>
        <w:rPr>
          <w:rFonts w:ascii="Times New Roman" w:eastAsia="Times New Roman" w:hAnsi="Times New Roman" w:cs="Times New Roman"/>
          <w:sz w:val="24"/>
          <w:szCs w:val="24"/>
          <w:lang w:eastAsia="hr-HR"/>
        </w:rPr>
        <w:t>PULJP</w:t>
      </w:r>
      <w:r w:rsidRPr="008C18B4">
        <w:rPr>
          <w:rFonts w:ascii="Times New Roman" w:eastAsia="Times New Roman" w:hAnsi="Times New Roman" w:cs="Times New Roman"/>
          <w:sz w:val="24"/>
          <w:szCs w:val="24"/>
          <w:lang w:eastAsia="hr-HR"/>
        </w:rPr>
        <w:t xml:space="preserve"> 2014. – 2020.</w:t>
      </w:r>
      <w:r>
        <w:rPr>
          <w:rFonts w:ascii="Times New Roman" w:eastAsia="Times New Roman" w:hAnsi="Times New Roman" w:cs="Times New Roman"/>
          <w:sz w:val="24"/>
          <w:szCs w:val="24"/>
          <w:lang w:eastAsia="hr-HR"/>
        </w:rPr>
        <w:t>,</w:t>
      </w:r>
      <w:r w:rsidRPr="008C18B4">
        <w:rPr>
          <w:rFonts w:ascii="Times New Roman" w:eastAsia="Times New Roman" w:hAnsi="Times New Roman" w:cs="Times New Roman"/>
          <w:sz w:val="24"/>
          <w:szCs w:val="24"/>
          <w:lang w:eastAsia="hr-HR"/>
        </w:rPr>
        <w:t xml:space="preserve"> </w:t>
      </w:r>
      <w:r>
        <w:rPr>
          <w:rFonts w:ascii="Times New Roman" w:eastAsia="Times New Roman" w:hAnsi="Times New Roman" w:cs="Times New Roman"/>
          <w:sz w:val="24"/>
          <w:szCs w:val="24"/>
          <w:lang w:eastAsia="hr-HR"/>
        </w:rPr>
        <w:t xml:space="preserve">u 2018. godini </w:t>
      </w:r>
      <w:r w:rsidRPr="008C18B4">
        <w:rPr>
          <w:rFonts w:ascii="Times New Roman" w:eastAsia="Times New Roman" w:hAnsi="Times New Roman" w:cs="Times New Roman"/>
          <w:sz w:val="24"/>
          <w:szCs w:val="24"/>
          <w:lang w:eastAsia="hr-HR"/>
        </w:rPr>
        <w:t>priprem</w:t>
      </w:r>
      <w:r>
        <w:rPr>
          <w:rFonts w:ascii="Times New Roman" w:eastAsia="Times New Roman" w:hAnsi="Times New Roman" w:cs="Times New Roman"/>
          <w:sz w:val="24"/>
          <w:szCs w:val="24"/>
          <w:lang w:eastAsia="hr-HR"/>
        </w:rPr>
        <w:t>ljen</w:t>
      </w:r>
      <w:r w:rsidRPr="008C18B4">
        <w:rPr>
          <w:rFonts w:ascii="Times New Roman" w:eastAsia="Times New Roman" w:hAnsi="Times New Roman" w:cs="Times New Roman"/>
          <w:sz w:val="24"/>
          <w:szCs w:val="24"/>
          <w:lang w:eastAsia="hr-HR"/>
        </w:rPr>
        <w:t xml:space="preserve"> </w:t>
      </w:r>
      <w:r>
        <w:rPr>
          <w:rFonts w:ascii="Times New Roman" w:eastAsia="Times New Roman" w:hAnsi="Times New Roman" w:cs="Times New Roman"/>
          <w:sz w:val="24"/>
          <w:szCs w:val="24"/>
          <w:lang w:eastAsia="hr-HR"/>
        </w:rPr>
        <w:t xml:space="preserve">je </w:t>
      </w:r>
      <w:r w:rsidRPr="008C18B4">
        <w:rPr>
          <w:rFonts w:ascii="Times New Roman" w:eastAsia="Times New Roman" w:hAnsi="Times New Roman" w:cs="Times New Roman"/>
          <w:sz w:val="24"/>
          <w:szCs w:val="24"/>
          <w:lang w:eastAsia="hr-HR"/>
        </w:rPr>
        <w:t xml:space="preserve">poziv </w:t>
      </w:r>
      <w:r>
        <w:rPr>
          <w:rFonts w:ascii="Times New Roman" w:eastAsia="Times New Roman" w:hAnsi="Times New Roman" w:cs="Times New Roman"/>
          <w:sz w:val="24"/>
          <w:szCs w:val="24"/>
          <w:lang w:eastAsia="hr-HR"/>
        </w:rPr>
        <w:t xml:space="preserve">ESF-a </w:t>
      </w:r>
      <w:r w:rsidRPr="008C18B4">
        <w:rPr>
          <w:rFonts w:ascii="Times New Roman" w:eastAsia="Times New Roman" w:hAnsi="Times New Roman" w:cs="Times New Roman"/>
          <w:sz w:val="24"/>
          <w:szCs w:val="24"/>
          <w:lang w:eastAsia="hr-HR"/>
        </w:rPr>
        <w:t>„Uključivanje djece i mladih u riziku od socijalne isključenosti te osoba s invaliditetom i djece s teškoćama u razvoju u zajednicu kroz šport“</w:t>
      </w:r>
      <w:r>
        <w:rPr>
          <w:rFonts w:ascii="Times New Roman" w:eastAsia="Times New Roman" w:hAnsi="Times New Roman" w:cs="Times New Roman"/>
          <w:sz w:val="24"/>
          <w:szCs w:val="24"/>
          <w:lang w:eastAsia="hr-HR"/>
        </w:rPr>
        <w:t>, u okviru kojeg su p</w:t>
      </w:r>
      <w:r w:rsidRPr="008C18B4">
        <w:rPr>
          <w:rFonts w:ascii="Times New Roman" w:eastAsia="Times New Roman" w:hAnsi="Times New Roman" w:cs="Times New Roman"/>
          <w:sz w:val="24"/>
          <w:szCs w:val="24"/>
          <w:lang w:eastAsia="hr-HR"/>
        </w:rPr>
        <w:t xml:space="preserve">rijavitelji za sportski dio programa </w:t>
      </w:r>
      <w:r>
        <w:rPr>
          <w:rFonts w:ascii="Times New Roman" w:eastAsia="Times New Roman" w:hAnsi="Times New Roman" w:cs="Times New Roman"/>
          <w:sz w:val="24"/>
          <w:szCs w:val="24"/>
          <w:lang w:eastAsia="hr-HR"/>
        </w:rPr>
        <w:t xml:space="preserve">bili obvezni </w:t>
      </w:r>
      <w:r w:rsidRPr="008C18B4">
        <w:rPr>
          <w:rFonts w:ascii="Times New Roman" w:eastAsia="Times New Roman" w:hAnsi="Times New Roman" w:cs="Times New Roman"/>
          <w:sz w:val="24"/>
          <w:szCs w:val="24"/>
          <w:lang w:eastAsia="hr-HR"/>
        </w:rPr>
        <w:t>prove</w:t>
      </w:r>
      <w:r>
        <w:rPr>
          <w:rFonts w:ascii="Times New Roman" w:eastAsia="Times New Roman" w:hAnsi="Times New Roman" w:cs="Times New Roman"/>
          <w:sz w:val="24"/>
          <w:szCs w:val="24"/>
          <w:lang w:eastAsia="hr-HR"/>
        </w:rPr>
        <w:t>sti</w:t>
      </w:r>
      <w:r w:rsidRPr="008C18B4">
        <w:rPr>
          <w:rFonts w:ascii="Times New Roman" w:eastAsia="Times New Roman" w:hAnsi="Times New Roman" w:cs="Times New Roman"/>
          <w:sz w:val="24"/>
          <w:szCs w:val="24"/>
          <w:lang w:eastAsia="hr-HR"/>
        </w:rPr>
        <w:t xml:space="preserve"> infrastrukturne zahvate za osiguranje pristupačnosti sportski</w:t>
      </w:r>
      <w:r>
        <w:rPr>
          <w:rFonts w:ascii="Times New Roman" w:eastAsia="Times New Roman" w:hAnsi="Times New Roman" w:cs="Times New Roman"/>
          <w:sz w:val="24"/>
          <w:szCs w:val="24"/>
          <w:lang w:eastAsia="hr-HR"/>
        </w:rPr>
        <w:t>h</w:t>
      </w:r>
      <w:r w:rsidRPr="008C18B4">
        <w:rPr>
          <w:rFonts w:ascii="Times New Roman" w:eastAsia="Times New Roman" w:hAnsi="Times New Roman" w:cs="Times New Roman"/>
          <w:sz w:val="24"/>
          <w:szCs w:val="24"/>
          <w:lang w:eastAsia="hr-HR"/>
        </w:rPr>
        <w:t xml:space="preserve"> građevina</w:t>
      </w:r>
      <w:r>
        <w:rPr>
          <w:rFonts w:ascii="Times New Roman" w:eastAsia="Times New Roman" w:hAnsi="Times New Roman" w:cs="Times New Roman"/>
          <w:sz w:val="24"/>
          <w:szCs w:val="24"/>
          <w:lang w:eastAsia="hr-HR"/>
        </w:rPr>
        <w:t>. I</w:t>
      </w:r>
      <w:r w:rsidRPr="008C18B4">
        <w:rPr>
          <w:rFonts w:ascii="Times New Roman" w:eastAsia="Times New Roman" w:hAnsi="Times New Roman" w:cs="Times New Roman"/>
          <w:sz w:val="24"/>
          <w:szCs w:val="24"/>
          <w:lang w:eastAsia="hr-HR"/>
        </w:rPr>
        <w:t>ntenzitet potpore po pojedinom projektu iznosio je do 100% prihvatljivih troškova</w:t>
      </w:r>
      <w:r>
        <w:rPr>
          <w:rFonts w:ascii="Times New Roman" w:eastAsia="Times New Roman" w:hAnsi="Times New Roman" w:cs="Times New Roman"/>
          <w:sz w:val="24"/>
          <w:szCs w:val="24"/>
          <w:lang w:eastAsia="hr-HR"/>
        </w:rPr>
        <w:t xml:space="preserve">. </w:t>
      </w:r>
      <w:r w:rsidRPr="008C18B4">
        <w:rPr>
          <w:rFonts w:ascii="Times New Roman" w:eastAsia="Times New Roman" w:hAnsi="Times New Roman" w:cs="Times New Roman"/>
          <w:sz w:val="24"/>
          <w:szCs w:val="24"/>
          <w:lang w:eastAsia="hr-HR"/>
        </w:rPr>
        <w:t xml:space="preserve">Također, </w:t>
      </w:r>
      <w:r>
        <w:rPr>
          <w:rFonts w:ascii="Times New Roman" w:eastAsia="Times New Roman" w:hAnsi="Times New Roman" w:cs="Times New Roman"/>
          <w:sz w:val="24"/>
          <w:szCs w:val="24"/>
          <w:lang w:eastAsia="hr-HR"/>
        </w:rPr>
        <w:t xml:space="preserve">ministarstvo nadležno za sport je u 2019. godini </w:t>
      </w:r>
      <w:r w:rsidRPr="008C18B4">
        <w:rPr>
          <w:rFonts w:ascii="Times New Roman" w:eastAsia="Times New Roman" w:hAnsi="Times New Roman" w:cs="Times New Roman"/>
          <w:sz w:val="24"/>
          <w:szCs w:val="24"/>
          <w:lang w:eastAsia="hr-HR"/>
        </w:rPr>
        <w:t>prove</w:t>
      </w:r>
      <w:r>
        <w:rPr>
          <w:rFonts w:ascii="Times New Roman" w:eastAsia="Times New Roman" w:hAnsi="Times New Roman" w:cs="Times New Roman"/>
          <w:sz w:val="24"/>
          <w:szCs w:val="24"/>
          <w:lang w:eastAsia="hr-HR"/>
        </w:rPr>
        <w:t>l</w:t>
      </w:r>
      <w:r w:rsidRPr="008C18B4">
        <w:rPr>
          <w:rFonts w:ascii="Times New Roman" w:eastAsia="Times New Roman" w:hAnsi="Times New Roman" w:cs="Times New Roman"/>
          <w:sz w:val="24"/>
          <w:szCs w:val="24"/>
          <w:lang w:eastAsia="hr-HR"/>
        </w:rPr>
        <w:t xml:space="preserve">o Javni poziv za sufinanciranje izgradnje, građevinskog zahvata i opremanja sportskih građevina temeljem kojeg je sufinancirana izgradnja i rekonstrukcija sedam sportskih objekata u </w:t>
      </w:r>
      <w:r w:rsidRPr="00021374">
        <w:rPr>
          <w:rFonts w:ascii="Times New Roman" w:hAnsi="Times New Roman" w:cs="Times New Roman"/>
          <w:sz w:val="24"/>
          <w:szCs w:val="24"/>
        </w:rPr>
        <w:t>J</w:t>
      </w:r>
      <w:r>
        <w:rPr>
          <w:rFonts w:ascii="Times New Roman" w:hAnsi="Times New Roman" w:cs="Times New Roman"/>
          <w:sz w:val="24"/>
          <w:szCs w:val="24"/>
        </w:rPr>
        <w:t>LP(R)S</w:t>
      </w:r>
      <w:r w:rsidRPr="008C18B4">
        <w:rPr>
          <w:rFonts w:ascii="Times New Roman" w:eastAsia="Times New Roman" w:hAnsi="Times New Roman" w:cs="Times New Roman"/>
          <w:sz w:val="24"/>
          <w:szCs w:val="24"/>
          <w:lang w:eastAsia="hr-HR"/>
        </w:rPr>
        <w:t xml:space="preserve"> u iznosu od 3.640.000,00 kuna, a koje podržavaju sport osoba s invaliditetom odnosno prihvatljive su za provođenje sportskih aktivnosti osoba s invaliditetom. </w:t>
      </w:r>
      <w:r w:rsidRPr="008C18B4" w:rsidDel="00D85C91">
        <w:rPr>
          <w:rFonts w:ascii="Times New Roman" w:eastAsia="Times New Roman" w:hAnsi="Times New Roman" w:cs="Times New Roman"/>
          <w:sz w:val="24"/>
          <w:szCs w:val="24"/>
          <w:lang w:eastAsia="hr-HR"/>
        </w:rPr>
        <w:t>Sukladno kriterijima bodovanja projektnih prijedloga, prijavitelji koji su dostavili projektnu prijavu za izgradnju, građevinski zahvat i opremanje sportske građevine te naveli broj sportova koje mogu koristiti osobe s invaliditetom ostvarili su veći broj bodova</w:t>
      </w:r>
      <w:r w:rsidDel="00D85C91">
        <w:rPr>
          <w:rFonts w:ascii="Times New Roman" w:eastAsia="Times New Roman" w:hAnsi="Times New Roman" w:cs="Times New Roman"/>
          <w:sz w:val="24"/>
          <w:szCs w:val="24"/>
          <w:lang w:eastAsia="hr-HR"/>
        </w:rPr>
        <w:t>.</w:t>
      </w:r>
      <w:r w:rsidRPr="008C18B4" w:rsidDel="00D85C91">
        <w:rPr>
          <w:rFonts w:ascii="Times New Roman" w:eastAsia="Times New Roman" w:hAnsi="Times New Roman" w:cs="Times New Roman"/>
          <w:sz w:val="24"/>
          <w:szCs w:val="24"/>
          <w:lang w:eastAsia="hr-HR"/>
        </w:rPr>
        <w:t xml:space="preserve"> </w:t>
      </w:r>
      <w:r>
        <w:rPr>
          <w:rFonts w:ascii="Times New Roman" w:eastAsia="Times New Roman" w:hAnsi="Times New Roman" w:cs="Times New Roman"/>
          <w:sz w:val="24"/>
          <w:szCs w:val="24"/>
          <w:lang w:eastAsia="hr-HR"/>
        </w:rPr>
        <w:t>U</w:t>
      </w:r>
      <w:r w:rsidRPr="008C18B4">
        <w:rPr>
          <w:rFonts w:ascii="Times New Roman" w:eastAsia="Times New Roman" w:hAnsi="Times New Roman" w:cs="Times New Roman"/>
          <w:sz w:val="24"/>
          <w:szCs w:val="24"/>
          <w:lang w:eastAsia="hr-HR"/>
        </w:rPr>
        <w:t xml:space="preserve"> Državnom proračunu za 2019. godinu navedena </w:t>
      </w:r>
      <w:r>
        <w:rPr>
          <w:rFonts w:ascii="Times New Roman" w:eastAsia="Times New Roman" w:hAnsi="Times New Roman" w:cs="Times New Roman"/>
          <w:sz w:val="24"/>
          <w:szCs w:val="24"/>
          <w:lang w:eastAsia="hr-HR"/>
        </w:rPr>
        <w:t xml:space="preserve">je </w:t>
      </w:r>
      <w:r w:rsidRPr="008C18B4">
        <w:rPr>
          <w:rFonts w:ascii="Times New Roman" w:eastAsia="Times New Roman" w:hAnsi="Times New Roman" w:cs="Times New Roman"/>
          <w:sz w:val="24"/>
          <w:szCs w:val="24"/>
          <w:lang w:eastAsia="hr-HR"/>
        </w:rPr>
        <w:t>posebna aktivnost „Izgradnj</w:t>
      </w:r>
      <w:r>
        <w:rPr>
          <w:rFonts w:ascii="Times New Roman" w:eastAsia="Times New Roman" w:hAnsi="Times New Roman" w:cs="Times New Roman"/>
          <w:sz w:val="24"/>
          <w:szCs w:val="24"/>
          <w:lang w:eastAsia="hr-HR"/>
        </w:rPr>
        <w:t>a</w:t>
      </w:r>
      <w:r w:rsidRPr="008C18B4">
        <w:rPr>
          <w:rFonts w:ascii="Times New Roman" w:eastAsia="Times New Roman" w:hAnsi="Times New Roman" w:cs="Times New Roman"/>
          <w:sz w:val="24"/>
          <w:szCs w:val="24"/>
          <w:lang w:eastAsia="hr-HR"/>
        </w:rPr>
        <w:t xml:space="preserve"> atletske staze u Karlovcu“ za koju su osigurana financijska sredstva u iznosu od 3.542.942,98 kuna </w:t>
      </w:r>
      <w:r>
        <w:rPr>
          <w:rFonts w:ascii="Times New Roman" w:eastAsia="Times New Roman" w:hAnsi="Times New Roman" w:cs="Times New Roman"/>
          <w:sz w:val="24"/>
          <w:szCs w:val="24"/>
          <w:lang w:eastAsia="hr-HR"/>
        </w:rPr>
        <w:t>a s</w:t>
      </w:r>
      <w:r w:rsidRPr="008C18B4">
        <w:rPr>
          <w:rFonts w:ascii="Times New Roman" w:eastAsia="Times New Roman" w:hAnsi="Times New Roman" w:cs="Times New Roman"/>
          <w:sz w:val="24"/>
          <w:szCs w:val="24"/>
          <w:lang w:eastAsia="hr-HR"/>
        </w:rPr>
        <w:t>taz</w:t>
      </w:r>
      <w:r>
        <w:rPr>
          <w:rFonts w:ascii="Times New Roman" w:eastAsia="Times New Roman" w:hAnsi="Times New Roman" w:cs="Times New Roman"/>
          <w:sz w:val="24"/>
          <w:szCs w:val="24"/>
          <w:lang w:eastAsia="hr-HR"/>
        </w:rPr>
        <w:t xml:space="preserve">a je pristupačna </w:t>
      </w:r>
      <w:r w:rsidRPr="008C18B4">
        <w:rPr>
          <w:rFonts w:ascii="Times New Roman" w:eastAsia="Times New Roman" w:hAnsi="Times New Roman" w:cs="Times New Roman"/>
          <w:sz w:val="24"/>
          <w:szCs w:val="24"/>
          <w:lang w:eastAsia="hr-HR"/>
        </w:rPr>
        <w:t>za provođenje sportskih aktivnosti osoba s invaliditetom.</w:t>
      </w:r>
    </w:p>
    <w:p w14:paraId="65B26949" w14:textId="77777777" w:rsidR="00BE0947" w:rsidRDefault="00BE0947" w:rsidP="00BE0947">
      <w:pPr>
        <w:spacing w:after="0" w:line="240" w:lineRule="auto"/>
        <w:jc w:val="both"/>
        <w:rPr>
          <w:rFonts w:ascii="Times New Roman" w:eastAsia="Times New Roman" w:hAnsi="Times New Roman" w:cs="Times New Roman"/>
          <w:bCs/>
          <w:sz w:val="24"/>
          <w:szCs w:val="24"/>
          <w:lang w:eastAsia="hr-HR"/>
        </w:rPr>
      </w:pPr>
    </w:p>
    <w:p w14:paraId="087E0CCF" w14:textId="77777777" w:rsidR="00BE0947" w:rsidRPr="003D6D2D" w:rsidRDefault="00BE0947" w:rsidP="00BE0947">
      <w:pPr>
        <w:spacing w:after="0" w:line="240" w:lineRule="auto"/>
        <w:jc w:val="both"/>
        <w:rPr>
          <w:rFonts w:ascii="Times New Roman" w:eastAsia="Times New Roman" w:hAnsi="Times New Roman" w:cs="Times New Roman"/>
          <w:bCs/>
          <w:sz w:val="24"/>
          <w:szCs w:val="24"/>
          <w:lang w:eastAsia="hr-HR"/>
        </w:rPr>
      </w:pPr>
      <w:r w:rsidRPr="00165D3A">
        <w:rPr>
          <w:rFonts w:ascii="Times New Roman" w:eastAsia="Times New Roman" w:hAnsi="Times New Roman" w:cs="Times New Roman"/>
          <w:bCs/>
          <w:sz w:val="24"/>
          <w:szCs w:val="24"/>
          <w:lang w:eastAsia="hr-HR"/>
        </w:rPr>
        <w:t xml:space="preserve">Projektom rješavanja pristupačnosti objektima osoba s invaliditetom </w:t>
      </w:r>
      <w:r>
        <w:rPr>
          <w:rFonts w:ascii="Times New Roman" w:eastAsia="Times New Roman" w:hAnsi="Times New Roman" w:cs="Times New Roman"/>
          <w:bCs/>
          <w:sz w:val="24"/>
          <w:szCs w:val="24"/>
          <w:lang w:eastAsia="hr-HR"/>
        </w:rPr>
        <w:t xml:space="preserve">Ministarstvo hrvatskih branitelja </w:t>
      </w:r>
      <w:r w:rsidRPr="00165D3A">
        <w:rPr>
          <w:rFonts w:ascii="Times New Roman" w:eastAsia="Times New Roman" w:hAnsi="Times New Roman" w:cs="Times New Roman"/>
          <w:bCs/>
          <w:sz w:val="24"/>
          <w:szCs w:val="24"/>
          <w:lang w:eastAsia="hr-HR"/>
        </w:rPr>
        <w:t>sufinancira prilagodb</w:t>
      </w:r>
      <w:r>
        <w:rPr>
          <w:rFonts w:ascii="Times New Roman" w:eastAsia="Times New Roman" w:hAnsi="Times New Roman" w:cs="Times New Roman"/>
          <w:bCs/>
          <w:sz w:val="24"/>
          <w:szCs w:val="24"/>
          <w:lang w:eastAsia="hr-HR"/>
        </w:rPr>
        <w:t>u</w:t>
      </w:r>
      <w:r w:rsidRPr="00165D3A">
        <w:rPr>
          <w:rFonts w:ascii="Times New Roman" w:eastAsia="Times New Roman" w:hAnsi="Times New Roman" w:cs="Times New Roman"/>
          <w:bCs/>
          <w:sz w:val="24"/>
          <w:szCs w:val="24"/>
          <w:lang w:eastAsia="hr-HR"/>
        </w:rPr>
        <w:t xml:space="preserve"> objekata javne namjene osobama s invaliditetom kojeg provode </w:t>
      </w:r>
      <w:r w:rsidRPr="00021374">
        <w:rPr>
          <w:rFonts w:ascii="Times New Roman" w:hAnsi="Times New Roman" w:cs="Times New Roman"/>
          <w:sz w:val="24"/>
          <w:szCs w:val="24"/>
        </w:rPr>
        <w:t>J</w:t>
      </w:r>
      <w:r>
        <w:rPr>
          <w:rFonts w:ascii="Times New Roman" w:hAnsi="Times New Roman" w:cs="Times New Roman"/>
          <w:sz w:val="24"/>
          <w:szCs w:val="24"/>
        </w:rPr>
        <w:t>LP(R)S</w:t>
      </w:r>
      <w:r w:rsidRPr="00165D3A">
        <w:rPr>
          <w:rFonts w:ascii="Times New Roman" w:eastAsia="Times New Roman" w:hAnsi="Times New Roman" w:cs="Times New Roman"/>
          <w:bCs/>
          <w:sz w:val="24"/>
          <w:szCs w:val="24"/>
          <w:lang w:eastAsia="hr-HR"/>
        </w:rPr>
        <w:t xml:space="preserve">. U razdoblju od 2015. do 2020. godine sufinancirano je 128 projekata prilagodbe u vrijednosti od 11,1 milijuna kuna. Od navedenog 47 projekata odnosi se na ruralne sredine. </w:t>
      </w:r>
      <w:r w:rsidRPr="00BA74C2">
        <w:rPr>
          <w:rFonts w:ascii="Times New Roman" w:eastAsia="Times New Roman" w:hAnsi="Times New Roman" w:cs="Times New Roman"/>
          <w:bCs/>
          <w:sz w:val="24"/>
          <w:szCs w:val="24"/>
          <w:lang w:eastAsia="hr-HR"/>
        </w:rPr>
        <w:t>Projektom rješavanja pristupačnosti objektima osoba s invaliditetom u razdoblju od 2015. do 2020. godine sufinancirana je prilagodba 10 javnih objekata iz područja kulture i 4 iz područja sporta u ukupnom iznosu od 925.062,65 kuna (veza: pitanje 30b).</w:t>
      </w:r>
      <w:r>
        <w:rPr>
          <w:rFonts w:ascii="Times New Roman" w:eastAsia="Times New Roman" w:hAnsi="Times New Roman" w:cs="Times New Roman"/>
          <w:bCs/>
          <w:sz w:val="24"/>
          <w:szCs w:val="24"/>
          <w:lang w:eastAsia="hr-HR"/>
        </w:rPr>
        <w:t xml:space="preserve"> P</w:t>
      </w:r>
      <w:r w:rsidRPr="00165D3A">
        <w:rPr>
          <w:rFonts w:ascii="Times New Roman" w:eastAsia="Times New Roman" w:hAnsi="Times New Roman" w:cs="Times New Roman"/>
          <w:bCs/>
          <w:sz w:val="24"/>
          <w:szCs w:val="24"/>
          <w:lang w:eastAsia="hr-HR"/>
        </w:rPr>
        <w:t xml:space="preserve">rilagođeno je 26 prilaza do zgrade, prilaza do stana odnosno prilagodbi stana za kretanje u kolicima za 26 </w:t>
      </w:r>
      <w:r>
        <w:rPr>
          <w:rFonts w:ascii="Times New Roman" w:eastAsia="Times New Roman" w:hAnsi="Times New Roman" w:cs="Times New Roman"/>
          <w:bCs/>
          <w:sz w:val="24"/>
          <w:szCs w:val="24"/>
          <w:lang w:eastAsia="hr-HR"/>
        </w:rPr>
        <w:t>HRVI</w:t>
      </w:r>
      <w:r w:rsidRPr="00165D3A">
        <w:rPr>
          <w:rFonts w:ascii="Times New Roman" w:eastAsia="Times New Roman" w:hAnsi="Times New Roman" w:cs="Times New Roman"/>
          <w:bCs/>
          <w:sz w:val="24"/>
          <w:szCs w:val="24"/>
          <w:lang w:eastAsia="hr-HR"/>
        </w:rPr>
        <w:t xml:space="preserve"> iz Domovinskog rata, sukladno podnesenim zahtjevima u ukupnom iznosu od 2 milijuna kuna.</w:t>
      </w:r>
      <w:r>
        <w:rPr>
          <w:rFonts w:ascii="Times New Roman" w:eastAsia="Times New Roman" w:hAnsi="Times New Roman" w:cs="Times New Roman"/>
          <w:bCs/>
          <w:sz w:val="24"/>
          <w:szCs w:val="24"/>
          <w:lang w:eastAsia="hr-HR"/>
        </w:rPr>
        <w:t xml:space="preserve"> </w:t>
      </w:r>
    </w:p>
    <w:p w14:paraId="66BE1B44" w14:textId="77777777" w:rsidR="00BE0947" w:rsidRDefault="00BE0947" w:rsidP="00BE0947">
      <w:pPr>
        <w:spacing w:after="0" w:line="240" w:lineRule="auto"/>
        <w:jc w:val="both"/>
        <w:rPr>
          <w:rFonts w:ascii="Times New Roman" w:eastAsia="Times New Roman" w:hAnsi="Times New Roman" w:cs="Times New Roman"/>
          <w:bCs/>
          <w:sz w:val="24"/>
          <w:szCs w:val="24"/>
          <w:lang w:eastAsia="hr-HR"/>
        </w:rPr>
      </w:pPr>
      <w:r w:rsidRPr="006B51CB">
        <w:rPr>
          <w:rFonts w:ascii="Times New Roman" w:eastAsia="Times New Roman" w:hAnsi="Times New Roman" w:cs="Times New Roman"/>
          <w:bCs/>
          <w:sz w:val="24"/>
          <w:szCs w:val="24"/>
          <w:lang w:eastAsia="hr-HR"/>
        </w:rPr>
        <w:lastRenderedPageBreak/>
        <w:t>Ministarstvo unutarnjih poslova je od 2015. do 2021. godine izgradilo pristupne rampe za zgrade policijskih postaja u 5 gradova, dok su u 6 gradova postavljene podizne platforme u zgradama policijskih postaja.</w:t>
      </w:r>
    </w:p>
    <w:p w14:paraId="2628F724" w14:textId="77777777" w:rsidR="00BE0947" w:rsidRDefault="00BE0947" w:rsidP="00BE0947">
      <w:pPr>
        <w:spacing w:after="0" w:line="240" w:lineRule="auto"/>
        <w:jc w:val="both"/>
        <w:rPr>
          <w:rFonts w:ascii="Times New Roman" w:eastAsia="Times New Roman" w:hAnsi="Times New Roman" w:cs="Times New Roman"/>
          <w:bCs/>
          <w:sz w:val="24"/>
          <w:szCs w:val="24"/>
          <w:lang w:eastAsia="hr-HR"/>
        </w:rPr>
      </w:pPr>
    </w:p>
    <w:p w14:paraId="0C9DE816" w14:textId="77777777" w:rsidR="00BE0947" w:rsidRDefault="00BE0947" w:rsidP="00BE0947">
      <w:pPr>
        <w:spacing w:after="0" w:line="240" w:lineRule="auto"/>
        <w:jc w:val="both"/>
        <w:rPr>
          <w:rFonts w:ascii="Times New Roman" w:hAnsi="Times New Roman" w:cs="Times New Roman"/>
          <w:sz w:val="24"/>
          <w:szCs w:val="24"/>
          <w:lang w:eastAsia="hr-HR"/>
        </w:rPr>
      </w:pPr>
      <w:r>
        <w:rPr>
          <w:rFonts w:ascii="Times New Roman" w:eastAsia="Times New Roman" w:hAnsi="Times New Roman" w:cs="Times New Roman"/>
          <w:bCs/>
          <w:sz w:val="24"/>
          <w:szCs w:val="24"/>
          <w:lang w:eastAsia="hr-HR"/>
        </w:rPr>
        <w:t xml:space="preserve">Ministarstvo nadležno za socijalnu skrb kontinuirano poboljšava pristupačnost centara za socijalnu skrbi. </w:t>
      </w:r>
      <w:r w:rsidRPr="0038184F">
        <w:rPr>
          <w:rFonts w:ascii="Times New Roman" w:hAnsi="Times New Roman" w:cs="Times New Roman"/>
          <w:sz w:val="24"/>
          <w:szCs w:val="24"/>
          <w:lang w:eastAsia="hr-HR"/>
        </w:rPr>
        <w:t xml:space="preserve">U Republici Hrvatskoj djeluju ukupno 82 centra za socijalnu skrb s 53 podružnice, a koji na dan 12. veljače 2021. godine djeluju na ukupno 142 lokacije. Što se tiče njihove pristupačnosti osobama s invaliditetom, 74 lokacije imaju pristupačan ulaz, na 31 lokaciji ulaz je djelomično pristupačan, a na 37 lokacija ulaz nije pristupačan osobama s invaliditetom. Vezano uz pristup centrima napominjemo i da 76 lokacija ima u blizini parkirno mjesto za osobe s invaliditetom. Pristupačan sanitarni čvor je na 58 lokacija, dok je na njih 84 nepristupačan. Na 79 lokacija prostorije centara se nalaze i na katu te od toga njih 53 nema dizalo do kata, a na 15 lokacija unutar prostorija postoje taktilne staze namijenjene samostalnom kretanju slijepih osoba. </w:t>
      </w:r>
    </w:p>
    <w:p w14:paraId="20DD5CD3" w14:textId="77777777" w:rsidR="00BE0947" w:rsidRDefault="00BE0947" w:rsidP="00BE0947">
      <w:pPr>
        <w:spacing w:after="0" w:line="240" w:lineRule="auto"/>
        <w:jc w:val="both"/>
        <w:rPr>
          <w:rFonts w:ascii="Times New Roman" w:hAnsi="Times New Roman" w:cs="Times New Roman"/>
          <w:sz w:val="24"/>
          <w:szCs w:val="24"/>
          <w:lang w:eastAsia="hr-HR"/>
        </w:rPr>
      </w:pPr>
    </w:p>
    <w:p w14:paraId="673ED368" w14:textId="77777777" w:rsidR="00BE0947" w:rsidRPr="0038184F" w:rsidRDefault="00BE0947" w:rsidP="00BE0947">
      <w:pPr>
        <w:spacing w:after="0" w:line="240" w:lineRule="auto"/>
        <w:jc w:val="both"/>
        <w:rPr>
          <w:rFonts w:ascii="Times New Roman" w:hAnsi="Times New Roman" w:cs="Times New Roman"/>
          <w:sz w:val="24"/>
          <w:szCs w:val="24"/>
          <w:lang w:eastAsia="hr-HR"/>
        </w:rPr>
      </w:pPr>
      <w:r w:rsidRPr="0038184F">
        <w:rPr>
          <w:rFonts w:ascii="Times New Roman" w:hAnsi="Times New Roman" w:cs="Times New Roman"/>
          <w:sz w:val="24"/>
          <w:szCs w:val="24"/>
          <w:lang w:eastAsia="hr-HR"/>
        </w:rPr>
        <w:t>Sredstva za osiguravanje pristupačnosti osigurava nadležno ministarstvo iz Državnog proračuna a centri za socijalnu skrb su se prijavljivali i na Pozive za prijavu projekata koji su sufinancirani iz Europskog fonda za regionalni razvoj:</w:t>
      </w:r>
    </w:p>
    <w:p w14:paraId="704124EE" w14:textId="77777777" w:rsidR="00BE0947" w:rsidRDefault="00BE0947" w:rsidP="00FB05F1">
      <w:pPr>
        <w:pStyle w:val="Odlomakpopisa"/>
        <w:numPr>
          <w:ilvl w:val="0"/>
          <w:numId w:val="20"/>
        </w:numPr>
        <w:spacing w:after="0" w:line="240" w:lineRule="auto"/>
        <w:ind w:left="426"/>
        <w:jc w:val="both"/>
        <w:rPr>
          <w:rFonts w:ascii="Times New Roman" w:hAnsi="Times New Roman" w:cs="Times New Roman"/>
          <w:sz w:val="24"/>
          <w:szCs w:val="24"/>
          <w:lang w:eastAsia="hr-HR"/>
        </w:rPr>
      </w:pPr>
      <w:r w:rsidRPr="0038184F">
        <w:rPr>
          <w:rFonts w:ascii="Times New Roman" w:hAnsi="Times New Roman" w:cs="Times New Roman"/>
          <w:sz w:val="24"/>
          <w:szCs w:val="24"/>
          <w:lang w:eastAsia="hr-HR"/>
        </w:rPr>
        <w:t>Na poziv Unaprjeđivanje infrastrukture centara za socijalnu skrb kao podrška procesu deinstitucionalizacije – faza 1 prijavilo se 10 centara za socijalnu skrb, a u okviru aktivnosti osiguravanja pristupačnosti za osobe s invaliditetom osigurana su financijska sredstva za prilagodbu sanitarnog čvora, taktilne crte vođenja, ugradnje rampi, platformi ili dizala, postavljanje natpisa ispred ureda s univerzalnim dizajnom ili sl. S provedbom projektnih aktivnosti završilo je 9 centara za socijalnu skrb (Zabok, Opatija, Nova Gradiška, Donja Stubica, Županja, Osijek, Krapina, Jastrebarsko i Slunj), a projekt Centra za socijalnu skrb Vrbovec je u provedbi do rujna 2021.godine.</w:t>
      </w:r>
    </w:p>
    <w:p w14:paraId="0E32AABC" w14:textId="77777777" w:rsidR="00BE0947" w:rsidRPr="0038184F" w:rsidRDefault="00BE0947" w:rsidP="00FB05F1">
      <w:pPr>
        <w:pStyle w:val="Odlomakpopisa"/>
        <w:numPr>
          <w:ilvl w:val="0"/>
          <w:numId w:val="20"/>
        </w:numPr>
        <w:spacing w:after="0" w:line="240" w:lineRule="auto"/>
        <w:ind w:left="426"/>
        <w:jc w:val="both"/>
        <w:rPr>
          <w:rFonts w:ascii="Times New Roman" w:hAnsi="Times New Roman" w:cs="Times New Roman"/>
          <w:sz w:val="24"/>
          <w:szCs w:val="24"/>
          <w:lang w:eastAsia="hr-HR"/>
        </w:rPr>
      </w:pPr>
      <w:r>
        <w:rPr>
          <w:rFonts w:ascii="Times New Roman" w:hAnsi="Times New Roman" w:cs="Times New Roman"/>
          <w:sz w:val="24"/>
          <w:szCs w:val="24"/>
          <w:lang w:eastAsia="hr-HR"/>
        </w:rPr>
        <w:t xml:space="preserve">U okviru </w:t>
      </w:r>
      <w:r w:rsidRPr="0038184F">
        <w:rPr>
          <w:rFonts w:ascii="Times New Roman" w:hAnsi="Times New Roman" w:cs="Times New Roman"/>
          <w:sz w:val="24"/>
          <w:szCs w:val="24"/>
          <w:lang w:eastAsia="hr-HR"/>
        </w:rPr>
        <w:t>Poziv</w:t>
      </w:r>
      <w:r>
        <w:rPr>
          <w:rFonts w:ascii="Times New Roman" w:hAnsi="Times New Roman" w:cs="Times New Roman"/>
          <w:sz w:val="24"/>
          <w:szCs w:val="24"/>
          <w:lang w:eastAsia="hr-HR"/>
        </w:rPr>
        <w:t>a</w:t>
      </w:r>
      <w:r w:rsidRPr="0038184F">
        <w:rPr>
          <w:rFonts w:ascii="Times New Roman" w:hAnsi="Times New Roman" w:cs="Times New Roman"/>
          <w:sz w:val="24"/>
          <w:szCs w:val="24"/>
          <w:lang w:eastAsia="hr-HR"/>
        </w:rPr>
        <w:t xml:space="preserve"> Unaprjeđivanje infrastrukture centara za socijalnu skrb kao podrška procesu deinstitucionalizacije – faza 2 </w:t>
      </w:r>
      <w:r>
        <w:rPr>
          <w:rFonts w:ascii="Times New Roman" w:hAnsi="Times New Roman" w:cs="Times New Roman"/>
          <w:sz w:val="24"/>
          <w:szCs w:val="24"/>
          <w:lang w:eastAsia="hr-HR"/>
        </w:rPr>
        <w:t>t</w:t>
      </w:r>
      <w:r w:rsidRPr="0038184F">
        <w:rPr>
          <w:rFonts w:ascii="Times New Roman" w:hAnsi="Times New Roman" w:cs="Times New Roman"/>
          <w:sz w:val="24"/>
          <w:szCs w:val="24"/>
          <w:lang w:eastAsia="hr-HR"/>
        </w:rPr>
        <w:t xml:space="preserve">ijekom 2020. godine ugovoreno je 8 projekata centara za socijalnu skrb (Trogir, Đurđevac, Zadar, Đakovo, Virovitica, Požega, Rijeka i Koprivnica) u vrijednosti od 75,7 milijuna kuna. Provedbom projekata unaprijedit će se infrastruktura, izgradnjom, rekonstrukcijom i opremanjem prostorija centara, sa svrhom podrške procesu deinstitucionalizacije i prevencije institucionalizacije te razvoja mreže </w:t>
      </w:r>
      <w:proofErr w:type="spellStart"/>
      <w:r w:rsidRPr="0038184F">
        <w:rPr>
          <w:rFonts w:ascii="Times New Roman" w:hAnsi="Times New Roman" w:cs="Times New Roman"/>
          <w:sz w:val="24"/>
          <w:szCs w:val="24"/>
          <w:lang w:eastAsia="hr-HR"/>
        </w:rPr>
        <w:t>izvaninstitucijskih</w:t>
      </w:r>
      <w:proofErr w:type="spellEnd"/>
      <w:r w:rsidRPr="0038184F">
        <w:rPr>
          <w:rFonts w:ascii="Times New Roman" w:hAnsi="Times New Roman" w:cs="Times New Roman"/>
          <w:sz w:val="24"/>
          <w:szCs w:val="24"/>
          <w:lang w:eastAsia="hr-HR"/>
        </w:rPr>
        <w:t xml:space="preserve"> usluga i službi podrške u zajednici, kako bi se smanjio broj institucionaliziranih ranjivih skupina te omogućio njihov proces inkluzije i spriječila daljnja institucionalizacija novih korisnika.</w:t>
      </w:r>
    </w:p>
    <w:p w14:paraId="48CCB3E8" w14:textId="77777777" w:rsidR="00BE0947" w:rsidRDefault="00BE0947" w:rsidP="00BE0947">
      <w:pPr>
        <w:spacing w:after="0" w:line="240" w:lineRule="auto"/>
        <w:jc w:val="both"/>
        <w:rPr>
          <w:rFonts w:ascii="Times New Roman" w:hAnsi="Times New Roman" w:cs="Times New Roman"/>
          <w:sz w:val="24"/>
          <w:szCs w:val="24"/>
          <w:lang w:eastAsia="hr-HR"/>
        </w:rPr>
      </w:pPr>
    </w:p>
    <w:p w14:paraId="701E9B4D" w14:textId="77777777" w:rsidR="00BE0947" w:rsidRDefault="00BE0947" w:rsidP="00BE0947">
      <w:pPr>
        <w:spacing w:after="0" w:line="240" w:lineRule="auto"/>
        <w:jc w:val="both"/>
        <w:rPr>
          <w:rFonts w:ascii="Times New Roman" w:hAnsi="Times New Roman" w:cs="Times New Roman"/>
          <w:sz w:val="24"/>
          <w:szCs w:val="24"/>
          <w:lang w:eastAsia="hr-HR"/>
        </w:rPr>
      </w:pPr>
      <w:r w:rsidRPr="0038184F">
        <w:rPr>
          <w:rFonts w:ascii="Times New Roman" w:hAnsi="Times New Roman" w:cs="Times New Roman"/>
          <w:sz w:val="24"/>
          <w:szCs w:val="24"/>
          <w:lang w:eastAsia="hr-HR"/>
        </w:rPr>
        <w:t>U 2019. godini sredstvima Državnog proračuna izgrađeni su Centar za socijalnu skrb Benkovac i Centar za socijalnu skrb Novi Marof, dovršena je rekonstrukcija Centra za socijalnu skrb Labin te su započeli radovi na rekonstrukciji Centra za socijalnu skrb Samobor. U 2020. godini izgrađen je Centar za socijalnu skrb Biograd na Moru. Kroz navedene radove vodilo se računa o osiguravanju pristupačnosti sukladno nacionalnim propisima.</w:t>
      </w:r>
    </w:p>
    <w:p w14:paraId="6138D8E0" w14:textId="31AA0C9A" w:rsidR="00541503" w:rsidRDefault="00541503">
      <w:r>
        <w:br w:type="page"/>
      </w:r>
    </w:p>
    <w:p w14:paraId="2E0E23B7" w14:textId="77777777" w:rsidR="00541503" w:rsidRPr="00F2464A" w:rsidRDefault="00541503" w:rsidP="00541503">
      <w:pPr>
        <w:spacing w:after="0" w:line="240" w:lineRule="auto"/>
        <w:rPr>
          <w:rFonts w:ascii="Times New Roman" w:eastAsia="Times New Roman" w:hAnsi="Times New Roman" w:cs="Times New Roman"/>
          <w:b/>
          <w:sz w:val="24"/>
          <w:szCs w:val="24"/>
          <w:u w:val="single"/>
          <w:lang w:eastAsia="hr-HR"/>
        </w:rPr>
      </w:pPr>
      <w:r w:rsidRPr="00F2464A">
        <w:rPr>
          <w:rFonts w:ascii="Times New Roman" w:eastAsia="Times New Roman" w:hAnsi="Times New Roman" w:cs="Times New Roman"/>
          <w:b/>
          <w:sz w:val="24"/>
          <w:szCs w:val="24"/>
          <w:u w:val="single"/>
          <w:lang w:eastAsia="hr-HR"/>
        </w:rPr>
        <w:lastRenderedPageBreak/>
        <w:t>Prilog 1</w:t>
      </w:r>
      <w:r>
        <w:rPr>
          <w:rFonts w:ascii="Times New Roman" w:eastAsia="Times New Roman" w:hAnsi="Times New Roman" w:cs="Times New Roman"/>
          <w:b/>
          <w:sz w:val="24"/>
          <w:szCs w:val="24"/>
          <w:u w:val="single"/>
          <w:lang w:eastAsia="hr-HR"/>
        </w:rPr>
        <w:t>8</w:t>
      </w:r>
    </w:p>
    <w:p w14:paraId="6F7CFB85" w14:textId="77777777" w:rsidR="00541503" w:rsidRDefault="00541503" w:rsidP="00541503">
      <w:pPr>
        <w:spacing w:after="0" w:line="240" w:lineRule="auto"/>
        <w:jc w:val="center"/>
        <w:rPr>
          <w:rFonts w:ascii="Times New Roman" w:eastAsia="Times New Roman" w:hAnsi="Times New Roman" w:cs="Times New Roman"/>
          <w:bCs/>
          <w:sz w:val="24"/>
          <w:szCs w:val="24"/>
          <w:lang w:eastAsia="hr-HR"/>
        </w:rPr>
      </w:pPr>
    </w:p>
    <w:p w14:paraId="28CA0791" w14:textId="77777777" w:rsidR="00541503" w:rsidRDefault="00541503" w:rsidP="00541503">
      <w:pPr>
        <w:spacing w:after="0" w:line="240" w:lineRule="auto"/>
        <w:jc w:val="center"/>
        <w:rPr>
          <w:rFonts w:ascii="Times New Roman" w:eastAsia="Times New Roman" w:hAnsi="Times New Roman" w:cs="Times New Roman"/>
          <w:bCs/>
          <w:sz w:val="24"/>
          <w:szCs w:val="24"/>
          <w:lang w:eastAsia="hr-HR"/>
        </w:rPr>
      </w:pPr>
    </w:p>
    <w:p w14:paraId="69910F07" w14:textId="5C1E7D16" w:rsidR="00541503" w:rsidRPr="00F2464A" w:rsidRDefault="00A418AE" w:rsidP="00541503">
      <w:pPr>
        <w:spacing w:after="0" w:line="240" w:lineRule="auto"/>
        <w:jc w:val="center"/>
        <w:rPr>
          <w:rFonts w:ascii="Times New Roman" w:eastAsia="Times New Roman" w:hAnsi="Times New Roman" w:cs="Times New Roman"/>
          <w:b/>
          <w:sz w:val="24"/>
          <w:szCs w:val="24"/>
          <w:lang w:eastAsia="hr-HR"/>
        </w:rPr>
      </w:pPr>
      <w:r w:rsidRPr="00F2464A">
        <w:rPr>
          <w:rFonts w:ascii="Times New Roman" w:eastAsia="Times New Roman" w:hAnsi="Times New Roman" w:cs="Times New Roman"/>
          <w:b/>
          <w:sz w:val="24"/>
          <w:szCs w:val="24"/>
          <w:lang w:eastAsia="hr-HR"/>
        </w:rPr>
        <w:t>PODUZETE AKTIVNOSTI MINISTARSTVA NADLEŽNOG ZA SOCIJALNU SKRB NAKON POTRESA KOJI JE POGODIO HRVATSKU 29. PROSINCA 2020. GODINE</w:t>
      </w:r>
    </w:p>
    <w:p w14:paraId="7CFA7913" w14:textId="77777777" w:rsidR="00541503" w:rsidRDefault="00541503" w:rsidP="00541503">
      <w:pPr>
        <w:spacing w:after="0" w:line="240" w:lineRule="auto"/>
        <w:jc w:val="center"/>
        <w:rPr>
          <w:rFonts w:ascii="Times New Roman" w:eastAsia="Times New Roman" w:hAnsi="Times New Roman" w:cs="Times New Roman"/>
          <w:b/>
          <w:sz w:val="24"/>
          <w:szCs w:val="24"/>
          <w:lang w:eastAsia="hr-HR"/>
        </w:rPr>
      </w:pPr>
    </w:p>
    <w:p w14:paraId="3003BF92" w14:textId="77777777" w:rsidR="00541503" w:rsidRPr="00F2464A" w:rsidRDefault="00541503" w:rsidP="00541503">
      <w:pPr>
        <w:spacing w:after="0" w:line="240" w:lineRule="auto"/>
        <w:jc w:val="center"/>
        <w:rPr>
          <w:rFonts w:ascii="Times New Roman" w:eastAsia="Times New Roman" w:hAnsi="Times New Roman" w:cs="Times New Roman"/>
          <w:b/>
          <w:sz w:val="24"/>
          <w:szCs w:val="24"/>
          <w:lang w:eastAsia="hr-HR"/>
        </w:rPr>
      </w:pPr>
    </w:p>
    <w:p w14:paraId="1AD90CA6" w14:textId="77777777" w:rsidR="00541503" w:rsidRPr="00D33912" w:rsidRDefault="00541503" w:rsidP="00FB05F1">
      <w:pPr>
        <w:pStyle w:val="Odlomakpopisa"/>
        <w:numPr>
          <w:ilvl w:val="0"/>
          <w:numId w:val="21"/>
        </w:numPr>
        <w:spacing w:after="120" w:line="240" w:lineRule="auto"/>
        <w:ind w:left="714" w:hanging="357"/>
        <w:jc w:val="both"/>
      </w:pPr>
      <w:r>
        <w:rPr>
          <w:rFonts w:ascii="Times New Roman" w:hAnsi="Times New Roman" w:cs="Times New Roman"/>
          <w:sz w:val="24"/>
          <w:szCs w:val="24"/>
          <w:lang w:eastAsia="hr-HR"/>
        </w:rPr>
        <w:t>u</w:t>
      </w:r>
      <w:r w:rsidRPr="00D33912">
        <w:rPr>
          <w:rFonts w:ascii="Times New Roman" w:hAnsi="Times New Roman" w:cs="Times New Roman"/>
          <w:sz w:val="24"/>
          <w:szCs w:val="24"/>
          <w:lang w:eastAsia="hr-HR"/>
        </w:rPr>
        <w:t xml:space="preserve"> suradnji s ustanovama socijalne skrbi osigurane su telefonske linije za građane pogođene potresom na koje </w:t>
      </w:r>
      <w:r>
        <w:rPr>
          <w:rFonts w:ascii="Times New Roman" w:hAnsi="Times New Roman" w:cs="Times New Roman"/>
          <w:sz w:val="24"/>
          <w:szCs w:val="24"/>
          <w:lang w:eastAsia="hr-HR"/>
        </w:rPr>
        <w:t xml:space="preserve">su </w:t>
      </w:r>
      <w:r w:rsidRPr="00D33912">
        <w:rPr>
          <w:rFonts w:ascii="Times New Roman" w:hAnsi="Times New Roman" w:cs="Times New Roman"/>
          <w:sz w:val="24"/>
          <w:szCs w:val="24"/>
          <w:lang w:eastAsia="hr-HR"/>
        </w:rPr>
        <w:t>se mog</w:t>
      </w:r>
      <w:r>
        <w:rPr>
          <w:rFonts w:ascii="Times New Roman" w:hAnsi="Times New Roman" w:cs="Times New Roman"/>
          <w:sz w:val="24"/>
          <w:szCs w:val="24"/>
          <w:lang w:eastAsia="hr-HR"/>
        </w:rPr>
        <w:t xml:space="preserve">li </w:t>
      </w:r>
      <w:r w:rsidRPr="00D33912">
        <w:rPr>
          <w:rFonts w:ascii="Times New Roman" w:hAnsi="Times New Roman" w:cs="Times New Roman"/>
          <w:sz w:val="24"/>
          <w:szCs w:val="24"/>
          <w:lang w:eastAsia="hr-HR"/>
        </w:rPr>
        <w:t xml:space="preserve">obratiti psihoterapeutima koji pružaju psihosocijalnu pomoć u kriznim situacijama, </w:t>
      </w:r>
    </w:p>
    <w:p w14:paraId="13C6F028" w14:textId="77777777" w:rsidR="00541503" w:rsidRPr="00D33912" w:rsidRDefault="00541503" w:rsidP="00FB05F1">
      <w:pPr>
        <w:pStyle w:val="Odlomakpopisa"/>
        <w:numPr>
          <w:ilvl w:val="0"/>
          <w:numId w:val="21"/>
        </w:numPr>
        <w:spacing w:after="120" w:line="240" w:lineRule="auto"/>
        <w:ind w:left="714" w:hanging="357"/>
        <w:jc w:val="both"/>
      </w:pPr>
      <w:r w:rsidRPr="00D33912">
        <w:rPr>
          <w:rFonts w:ascii="Times New Roman" w:hAnsi="Times New Roman" w:cs="Times New Roman"/>
          <w:sz w:val="24"/>
          <w:szCs w:val="24"/>
          <w:lang w:eastAsia="hr-HR"/>
        </w:rPr>
        <w:t xml:space="preserve">organizirani su mobilni timovi za krizne intervencije (koje su činili službenici Ministarstva, stručni radnici centara za socijalnu skrb i drugih ustanova socijalne skrbi, socijalni radnici i psiholozi) radi procjene potreba smještenih osoba i podnošenja zahtjeva za priznavanje prava na jednokratnu naknadu (ubrzan proces ostvarivanja prava i isplate naknade). </w:t>
      </w:r>
    </w:p>
    <w:p w14:paraId="51F7FCAE" w14:textId="77777777" w:rsidR="00541503" w:rsidRPr="00EF601F" w:rsidRDefault="00541503" w:rsidP="00FB05F1">
      <w:pPr>
        <w:pStyle w:val="Odlomakpopisa"/>
        <w:numPr>
          <w:ilvl w:val="0"/>
          <w:numId w:val="21"/>
        </w:numPr>
        <w:spacing w:after="120" w:line="240" w:lineRule="auto"/>
        <w:ind w:left="714" w:hanging="357"/>
        <w:jc w:val="both"/>
      </w:pPr>
      <w:r>
        <w:rPr>
          <w:rFonts w:ascii="Times New Roman" w:hAnsi="Times New Roman" w:cs="Times New Roman"/>
          <w:sz w:val="24"/>
          <w:szCs w:val="24"/>
          <w:lang w:eastAsia="hr-HR"/>
        </w:rPr>
        <w:t>m</w:t>
      </w:r>
      <w:r w:rsidRPr="00D33912">
        <w:rPr>
          <w:rFonts w:ascii="Times New Roman" w:hAnsi="Times New Roman" w:cs="Times New Roman"/>
          <w:sz w:val="24"/>
          <w:szCs w:val="24"/>
          <w:lang w:eastAsia="hr-HR"/>
        </w:rPr>
        <w:t>obilni timovi su obilazili područj</w:t>
      </w:r>
      <w:r>
        <w:rPr>
          <w:rFonts w:ascii="Times New Roman" w:hAnsi="Times New Roman" w:cs="Times New Roman"/>
          <w:sz w:val="24"/>
          <w:szCs w:val="24"/>
          <w:lang w:eastAsia="hr-HR"/>
        </w:rPr>
        <w:t xml:space="preserve">e pogođeno potresom </w:t>
      </w:r>
      <w:r w:rsidRPr="00D33912">
        <w:rPr>
          <w:rFonts w:ascii="Times New Roman" w:hAnsi="Times New Roman" w:cs="Times New Roman"/>
          <w:sz w:val="24"/>
          <w:szCs w:val="24"/>
          <w:lang w:eastAsia="hr-HR"/>
        </w:rPr>
        <w:t>radi procjene potreba obitelji koje ne žele napustiti svoje uništene domove i borave bez osiguranog smještaja na svojim nekretninama te prema potrebi pružali psihosocijalnu pomoć obiteljima u kriznim situacijama</w:t>
      </w:r>
    </w:p>
    <w:p w14:paraId="31A58A5C" w14:textId="77777777" w:rsidR="00541503" w:rsidRDefault="00541503" w:rsidP="00541503"/>
    <w:p w14:paraId="5DA40FF1" w14:textId="456FE79C" w:rsidR="00541503" w:rsidRDefault="00541503">
      <w:pPr>
        <w:rPr>
          <w:rFonts w:ascii="Times New Roman" w:eastAsiaTheme="majorEastAsia" w:hAnsi="Times New Roman" w:cs="Times New Roman"/>
          <w:sz w:val="24"/>
          <w:szCs w:val="24"/>
        </w:rPr>
      </w:pPr>
      <w:r>
        <w:rPr>
          <w:rFonts w:ascii="Times New Roman" w:hAnsi="Times New Roman" w:cs="Times New Roman"/>
          <w:sz w:val="24"/>
          <w:szCs w:val="24"/>
        </w:rPr>
        <w:br w:type="page"/>
      </w:r>
    </w:p>
    <w:p w14:paraId="543FCA86" w14:textId="77777777" w:rsidR="00541503" w:rsidRPr="000B027E" w:rsidRDefault="00541503" w:rsidP="00541503">
      <w:pPr>
        <w:spacing w:after="0" w:line="240" w:lineRule="auto"/>
        <w:rPr>
          <w:rFonts w:ascii="Times New Roman" w:eastAsia="Times New Roman" w:hAnsi="Times New Roman" w:cs="Times New Roman"/>
          <w:b/>
          <w:sz w:val="24"/>
          <w:szCs w:val="24"/>
          <w:u w:val="single"/>
          <w:lang w:eastAsia="hr-HR"/>
        </w:rPr>
      </w:pPr>
      <w:r w:rsidRPr="000B027E">
        <w:rPr>
          <w:rFonts w:ascii="Times New Roman" w:eastAsia="Times New Roman" w:hAnsi="Times New Roman" w:cs="Times New Roman"/>
          <w:b/>
          <w:sz w:val="24"/>
          <w:szCs w:val="24"/>
          <w:u w:val="single"/>
          <w:lang w:eastAsia="hr-HR"/>
        </w:rPr>
        <w:lastRenderedPageBreak/>
        <w:t>Prilog 1</w:t>
      </w:r>
      <w:r>
        <w:rPr>
          <w:rFonts w:ascii="Times New Roman" w:eastAsia="Times New Roman" w:hAnsi="Times New Roman" w:cs="Times New Roman"/>
          <w:b/>
          <w:sz w:val="24"/>
          <w:szCs w:val="24"/>
          <w:u w:val="single"/>
          <w:lang w:eastAsia="hr-HR"/>
        </w:rPr>
        <w:t>9</w:t>
      </w:r>
    </w:p>
    <w:p w14:paraId="2E496C05" w14:textId="77777777" w:rsidR="00541503" w:rsidRDefault="00541503" w:rsidP="00541503">
      <w:pPr>
        <w:spacing w:after="0" w:line="240" w:lineRule="auto"/>
        <w:jc w:val="center"/>
        <w:rPr>
          <w:rFonts w:ascii="Times New Roman" w:eastAsia="Times New Roman" w:hAnsi="Times New Roman" w:cs="Times New Roman"/>
          <w:bCs/>
          <w:sz w:val="24"/>
          <w:szCs w:val="24"/>
          <w:lang w:eastAsia="hr-HR"/>
        </w:rPr>
      </w:pPr>
    </w:p>
    <w:p w14:paraId="51C1C086" w14:textId="77777777" w:rsidR="00541503" w:rsidRDefault="00541503" w:rsidP="00541503">
      <w:pPr>
        <w:spacing w:after="0" w:line="240" w:lineRule="auto"/>
        <w:jc w:val="center"/>
        <w:rPr>
          <w:rFonts w:ascii="Times New Roman" w:eastAsia="Times New Roman" w:hAnsi="Times New Roman" w:cs="Times New Roman"/>
          <w:bCs/>
          <w:sz w:val="24"/>
          <w:szCs w:val="24"/>
          <w:lang w:eastAsia="hr-HR"/>
        </w:rPr>
      </w:pPr>
    </w:p>
    <w:p w14:paraId="1103C42D" w14:textId="77777777" w:rsidR="00541503" w:rsidRPr="000B027E" w:rsidRDefault="00541503" w:rsidP="00541503">
      <w:pPr>
        <w:spacing w:after="0" w:line="240" w:lineRule="auto"/>
        <w:jc w:val="center"/>
        <w:rPr>
          <w:rFonts w:ascii="Times New Roman" w:eastAsia="Times New Roman" w:hAnsi="Times New Roman" w:cs="Times New Roman"/>
          <w:b/>
          <w:sz w:val="24"/>
          <w:szCs w:val="24"/>
          <w:lang w:eastAsia="hr-HR"/>
        </w:rPr>
      </w:pPr>
      <w:r w:rsidRPr="000B027E">
        <w:rPr>
          <w:rFonts w:ascii="Times New Roman" w:eastAsia="Times New Roman" w:hAnsi="Times New Roman" w:cs="Times New Roman"/>
          <w:b/>
          <w:sz w:val="24"/>
          <w:szCs w:val="24"/>
          <w:lang w:eastAsia="hr-HR"/>
        </w:rPr>
        <w:t>PODUZETE AKTIVNOSTI MINISTARSTVA NADLEŽNOG ZA SOCIJALNU SKRB</w:t>
      </w:r>
      <w:r>
        <w:rPr>
          <w:rFonts w:ascii="Times New Roman" w:eastAsia="Times New Roman" w:hAnsi="Times New Roman" w:cs="Times New Roman"/>
          <w:b/>
          <w:sz w:val="24"/>
          <w:szCs w:val="24"/>
          <w:lang w:eastAsia="hr-HR"/>
        </w:rPr>
        <w:t>I I MINISTARTVA ZDRAVSTVA</w:t>
      </w:r>
      <w:r w:rsidRPr="000B027E">
        <w:rPr>
          <w:rFonts w:ascii="Times New Roman" w:eastAsia="Times New Roman" w:hAnsi="Times New Roman" w:cs="Times New Roman"/>
          <w:b/>
          <w:sz w:val="24"/>
          <w:szCs w:val="24"/>
          <w:lang w:eastAsia="hr-HR"/>
        </w:rPr>
        <w:t xml:space="preserve"> TIJEKOM PANDEMIJE COVID-19</w:t>
      </w:r>
    </w:p>
    <w:p w14:paraId="5889B09D" w14:textId="77777777" w:rsidR="00541503" w:rsidRDefault="00541503" w:rsidP="00541503">
      <w:pPr>
        <w:spacing w:after="0" w:line="240" w:lineRule="auto"/>
        <w:jc w:val="both"/>
        <w:rPr>
          <w:rFonts w:ascii="Times New Roman" w:hAnsi="Times New Roman"/>
          <w:color w:val="000000"/>
          <w:sz w:val="24"/>
          <w:szCs w:val="24"/>
          <w:lang w:val="fr-FR"/>
        </w:rPr>
      </w:pPr>
    </w:p>
    <w:p w14:paraId="35494EB4" w14:textId="77777777" w:rsidR="00541503" w:rsidRDefault="00541503" w:rsidP="00541503">
      <w:pPr>
        <w:spacing w:after="0" w:line="240" w:lineRule="auto"/>
        <w:jc w:val="both"/>
        <w:rPr>
          <w:rFonts w:ascii="Times New Roman" w:hAnsi="Times New Roman"/>
          <w:color w:val="000000"/>
          <w:sz w:val="24"/>
          <w:szCs w:val="24"/>
          <w:lang w:val="fr-FR"/>
        </w:rPr>
      </w:pPr>
    </w:p>
    <w:p w14:paraId="585D16CC" w14:textId="77777777" w:rsidR="00541503" w:rsidRDefault="00541503" w:rsidP="00541503">
      <w:pPr>
        <w:spacing w:after="0" w:line="240" w:lineRule="auto"/>
        <w:jc w:val="both"/>
        <w:rPr>
          <w:rFonts w:ascii="Times New Roman" w:hAnsi="Times New Roman"/>
          <w:color w:val="000000"/>
          <w:sz w:val="24"/>
          <w:szCs w:val="24"/>
          <w:lang w:val="fr-FR"/>
        </w:rPr>
      </w:pPr>
      <w:r>
        <w:rPr>
          <w:rFonts w:ascii="Times New Roman" w:hAnsi="Times New Roman"/>
          <w:color w:val="000000"/>
          <w:sz w:val="24"/>
          <w:szCs w:val="24"/>
          <w:lang w:val="fr-FR"/>
        </w:rPr>
        <w:t xml:space="preserve">Od početka pandemije, a u cilju zaštite korisnika socijalnih usluga i zaposlenika u sustavu socijalne skrbi, Ministarstvo nadležno za socijalnu skrb u suradnji s Hrvatskim zavodom za javno zdravstvo i Nastavnim zavodom za javno zdravstvo «Dr. Andrija Štampar», te predstavnicima ustanova kontinuirano, sukladno epidemiološkoj situaciji priprema </w:t>
      </w:r>
      <w:r>
        <w:rPr>
          <w:rFonts w:ascii="Times New Roman" w:hAnsi="Times New Roman"/>
          <w:b/>
          <w:bCs/>
          <w:color w:val="000000"/>
          <w:sz w:val="24"/>
          <w:szCs w:val="24"/>
          <w:lang w:val="fr-FR"/>
        </w:rPr>
        <w:t>upute vezane za sprečavanje i suzbijanje epidemije COVID-19 za pružatelje socijalnih usluga u sustavu socijalne skrbi</w:t>
      </w:r>
      <w:r>
        <w:rPr>
          <w:rFonts w:ascii="Times New Roman" w:hAnsi="Times New Roman"/>
          <w:color w:val="000000"/>
          <w:sz w:val="24"/>
          <w:szCs w:val="24"/>
          <w:lang w:val="fr-FR"/>
        </w:rPr>
        <w:t xml:space="preserve">. </w:t>
      </w:r>
    </w:p>
    <w:p w14:paraId="06406DEC" w14:textId="77777777" w:rsidR="00541503" w:rsidRDefault="00541503" w:rsidP="00541503">
      <w:pPr>
        <w:spacing w:after="0" w:line="240" w:lineRule="auto"/>
        <w:jc w:val="both"/>
        <w:rPr>
          <w:rFonts w:ascii="Times New Roman" w:hAnsi="Times New Roman" w:cs="Times New Roman"/>
          <w:sz w:val="24"/>
          <w:szCs w:val="24"/>
          <w:highlight w:val="yellow"/>
          <w:lang w:eastAsia="hr-HR"/>
        </w:rPr>
      </w:pPr>
    </w:p>
    <w:p w14:paraId="70C5BA18" w14:textId="77777777" w:rsidR="00541503" w:rsidRDefault="00541503" w:rsidP="00541503">
      <w:pPr>
        <w:pStyle w:val="x10-9-fett-bold"/>
        <w:spacing w:before="0" w:beforeAutospacing="0" w:after="0"/>
        <w:jc w:val="both"/>
        <w:rPr>
          <w:color w:val="000000"/>
          <w:lang w:val="fr-FR"/>
        </w:rPr>
      </w:pPr>
      <w:r>
        <w:rPr>
          <w:color w:val="000000"/>
          <w:lang w:val="fr-FR"/>
        </w:rPr>
        <w:t xml:space="preserve">U cilju pravovremenog reagiranja kontinuirano se prati aktualno stanje na terenu, odnosno </w:t>
      </w:r>
      <w:r>
        <w:rPr>
          <w:b/>
          <w:bCs/>
          <w:color w:val="000000"/>
          <w:lang w:val="fr-FR"/>
        </w:rPr>
        <w:t xml:space="preserve">prisutnost bolesti COVID-19 kod pružatelja socijalnih usluga, koji putem upitnika dostupnog na poveznici </w:t>
      </w:r>
      <w:r>
        <w:rPr>
          <w:color w:val="000000"/>
          <w:lang w:val="fr-FR"/>
        </w:rPr>
        <w:t>izvještavaju Ministarstvo u slučaju sumnje na COVID-19 kod korisnika ili radnika. Pored navedenog kreirano je nekoliko on-line upitnika kojima su prikupljaju podaci od značaja za planiranje daljnjih mjera (npr. upitnik o mogućnostima unaprjeđenja procesa testiranja, upitnik o mogućnostima korištenja moderne tehnologije za kontakt korisnika s obiteljima i prijateljima, zainteresiranosti korisnika i zaposlenika za cijepljenje protiv COVID-19 i sl.). Podaci se svakodnvno obrađuju u cilju pravovremenog poduzimanja potrebnih mjera.</w:t>
      </w:r>
    </w:p>
    <w:p w14:paraId="6C810FDF" w14:textId="77777777" w:rsidR="00541503" w:rsidRDefault="00541503" w:rsidP="00541503">
      <w:pPr>
        <w:spacing w:after="0" w:line="240" w:lineRule="auto"/>
        <w:jc w:val="both"/>
        <w:rPr>
          <w:rFonts w:ascii="Times New Roman" w:hAnsi="Times New Roman" w:cs="Times New Roman"/>
          <w:sz w:val="24"/>
          <w:szCs w:val="24"/>
          <w:highlight w:val="yellow"/>
          <w:lang w:eastAsia="hr-HR"/>
        </w:rPr>
      </w:pPr>
    </w:p>
    <w:p w14:paraId="2E4AC03E" w14:textId="77777777" w:rsidR="00541503" w:rsidRDefault="00541503" w:rsidP="00541503">
      <w:pPr>
        <w:spacing w:after="0" w:line="240" w:lineRule="auto"/>
        <w:jc w:val="both"/>
        <w:rPr>
          <w:rFonts w:ascii="Times New Roman" w:hAnsi="Times New Roman" w:cs="Times New Roman"/>
          <w:sz w:val="24"/>
          <w:szCs w:val="24"/>
          <w:lang w:eastAsia="hr-HR"/>
        </w:rPr>
      </w:pPr>
      <w:r w:rsidRPr="00F61DBD">
        <w:rPr>
          <w:rFonts w:ascii="Times New Roman" w:hAnsi="Times New Roman" w:cs="Times New Roman"/>
          <w:sz w:val="24"/>
          <w:szCs w:val="24"/>
          <w:lang w:eastAsia="hr-HR"/>
        </w:rPr>
        <w:t xml:space="preserve">Pojavom zarazne bolesti COVID-19 provođenje djelatnosti socijalne skrbi u ustanovama socijalne skrbi i kod pružatelja socijalnih usluga s kojima Ministarstvo </w:t>
      </w:r>
      <w:r>
        <w:rPr>
          <w:rFonts w:ascii="Times New Roman" w:hAnsi="Times New Roman" w:cs="Times New Roman"/>
          <w:sz w:val="24"/>
          <w:szCs w:val="24"/>
          <w:lang w:eastAsia="hr-HR"/>
        </w:rPr>
        <w:t>nadležno za socijalnu skrb</w:t>
      </w:r>
      <w:r w:rsidRPr="00F61DBD">
        <w:rPr>
          <w:rFonts w:ascii="Times New Roman" w:hAnsi="Times New Roman" w:cs="Times New Roman"/>
          <w:sz w:val="24"/>
          <w:szCs w:val="24"/>
          <w:lang w:eastAsia="hr-HR"/>
        </w:rPr>
        <w:t xml:space="preserve"> ima sklopljen ugovor za pružanje usluga bilo je otežano zbog bolesti ili izolacije, što je dovelo do nedostatka dovoljnog broja radnika za obavljanje redovitih poslova. </w:t>
      </w:r>
    </w:p>
    <w:p w14:paraId="04BDE976" w14:textId="77777777" w:rsidR="00541503" w:rsidRPr="004A7B56" w:rsidRDefault="00541503" w:rsidP="00541503">
      <w:pPr>
        <w:spacing w:after="0" w:line="240" w:lineRule="auto"/>
        <w:jc w:val="both"/>
        <w:rPr>
          <w:rFonts w:ascii="Times New Roman" w:hAnsi="Times New Roman" w:cs="Times New Roman"/>
          <w:sz w:val="24"/>
          <w:szCs w:val="24"/>
          <w:lang w:eastAsia="hr-HR"/>
        </w:rPr>
      </w:pPr>
      <w:r w:rsidRPr="004A7B56">
        <w:rPr>
          <w:rFonts w:ascii="Times New Roman" w:hAnsi="Times New Roman" w:cs="Times New Roman"/>
          <w:sz w:val="24"/>
          <w:szCs w:val="24"/>
          <w:lang w:eastAsia="hr-HR"/>
        </w:rPr>
        <w:t xml:space="preserve">Zbog navedenog </w:t>
      </w:r>
      <w:r>
        <w:rPr>
          <w:rFonts w:ascii="Times New Roman" w:hAnsi="Times New Roman" w:cs="Times New Roman"/>
          <w:sz w:val="24"/>
          <w:szCs w:val="24"/>
          <w:lang w:eastAsia="hr-HR"/>
        </w:rPr>
        <w:t>izmijenjen je Z</w:t>
      </w:r>
      <w:r w:rsidRPr="004A7B56">
        <w:rPr>
          <w:rFonts w:ascii="Times New Roman" w:hAnsi="Times New Roman" w:cs="Times New Roman"/>
          <w:sz w:val="24"/>
          <w:szCs w:val="24"/>
          <w:lang w:eastAsia="hr-HR"/>
        </w:rPr>
        <w:t xml:space="preserve">akon o socijalnoj skrbi, </w:t>
      </w:r>
      <w:r>
        <w:rPr>
          <w:rFonts w:ascii="Times New Roman" w:hAnsi="Times New Roman" w:cs="Times New Roman"/>
          <w:sz w:val="24"/>
          <w:szCs w:val="24"/>
          <w:lang w:eastAsia="hr-HR"/>
        </w:rPr>
        <w:t xml:space="preserve">na način da </w:t>
      </w:r>
      <w:r w:rsidRPr="004A7B56">
        <w:rPr>
          <w:rFonts w:ascii="Times New Roman" w:hAnsi="Times New Roman" w:cs="Times New Roman"/>
          <w:sz w:val="24"/>
          <w:szCs w:val="24"/>
          <w:lang w:eastAsia="hr-HR"/>
        </w:rPr>
        <w:t>u slučaju nastupa posebnih okolnosti, kao što je pojava zarazne bolesti COVID-19, ministar prema potrebi može donijeti pojedinačne odluke radi:</w:t>
      </w:r>
    </w:p>
    <w:p w14:paraId="04B20CAB" w14:textId="77777777" w:rsidR="00541503" w:rsidRPr="004A7B56" w:rsidRDefault="00541503" w:rsidP="00FB05F1">
      <w:pPr>
        <w:pStyle w:val="Odlomakpopisa"/>
        <w:numPr>
          <w:ilvl w:val="0"/>
          <w:numId w:val="23"/>
        </w:numPr>
        <w:spacing w:after="0" w:line="240" w:lineRule="auto"/>
        <w:ind w:left="426"/>
        <w:jc w:val="both"/>
        <w:rPr>
          <w:rFonts w:ascii="Times New Roman" w:hAnsi="Times New Roman" w:cs="Times New Roman"/>
          <w:sz w:val="24"/>
          <w:szCs w:val="24"/>
          <w:lang w:eastAsia="hr-HR"/>
        </w:rPr>
      </w:pPr>
      <w:r w:rsidRPr="004A7B56">
        <w:rPr>
          <w:rFonts w:ascii="Times New Roman" w:hAnsi="Times New Roman" w:cs="Times New Roman"/>
          <w:sz w:val="24"/>
          <w:szCs w:val="24"/>
          <w:lang w:eastAsia="hr-HR"/>
        </w:rPr>
        <w:t>mobilizacije radnika</w:t>
      </w:r>
    </w:p>
    <w:p w14:paraId="3D9CA375" w14:textId="77777777" w:rsidR="00541503" w:rsidRPr="004A7B56" w:rsidRDefault="00541503" w:rsidP="00FB05F1">
      <w:pPr>
        <w:pStyle w:val="Odlomakpopisa"/>
        <w:numPr>
          <w:ilvl w:val="0"/>
          <w:numId w:val="23"/>
        </w:numPr>
        <w:spacing w:after="0" w:line="240" w:lineRule="auto"/>
        <w:ind w:left="426"/>
        <w:jc w:val="both"/>
        <w:rPr>
          <w:rFonts w:ascii="Times New Roman" w:hAnsi="Times New Roman" w:cs="Times New Roman"/>
          <w:sz w:val="24"/>
          <w:szCs w:val="24"/>
          <w:lang w:eastAsia="hr-HR"/>
        </w:rPr>
      </w:pPr>
      <w:r w:rsidRPr="004A7B56">
        <w:rPr>
          <w:rFonts w:ascii="Times New Roman" w:hAnsi="Times New Roman" w:cs="Times New Roman"/>
          <w:sz w:val="24"/>
          <w:szCs w:val="24"/>
          <w:lang w:eastAsia="hr-HR"/>
        </w:rPr>
        <w:t>rekvizicije opreme i prijevoznih sredstava</w:t>
      </w:r>
    </w:p>
    <w:p w14:paraId="3D37A735" w14:textId="77777777" w:rsidR="00541503" w:rsidRPr="004A7B56" w:rsidRDefault="00541503" w:rsidP="00FB05F1">
      <w:pPr>
        <w:pStyle w:val="Odlomakpopisa"/>
        <w:numPr>
          <w:ilvl w:val="0"/>
          <w:numId w:val="23"/>
        </w:numPr>
        <w:spacing w:after="0" w:line="240" w:lineRule="auto"/>
        <w:ind w:left="426"/>
        <w:jc w:val="both"/>
        <w:rPr>
          <w:rFonts w:ascii="Times New Roman" w:hAnsi="Times New Roman" w:cs="Times New Roman"/>
          <w:sz w:val="24"/>
          <w:szCs w:val="24"/>
          <w:lang w:eastAsia="hr-HR"/>
        </w:rPr>
      </w:pPr>
      <w:r w:rsidRPr="004A7B56">
        <w:rPr>
          <w:rFonts w:ascii="Times New Roman" w:hAnsi="Times New Roman" w:cs="Times New Roman"/>
          <w:sz w:val="24"/>
          <w:szCs w:val="24"/>
          <w:lang w:eastAsia="hr-HR"/>
        </w:rPr>
        <w:t xml:space="preserve">privremene uporabe poslovnih i drugih prostorija za pružanje socijalnih usluga </w:t>
      </w:r>
    </w:p>
    <w:p w14:paraId="1B165EB8" w14:textId="77777777" w:rsidR="00541503" w:rsidRPr="004A7B56" w:rsidRDefault="00541503" w:rsidP="00541503">
      <w:pPr>
        <w:spacing w:after="0" w:line="240" w:lineRule="auto"/>
        <w:ind w:left="66"/>
        <w:jc w:val="both"/>
        <w:rPr>
          <w:rFonts w:ascii="Times New Roman" w:hAnsi="Times New Roman" w:cs="Times New Roman"/>
          <w:sz w:val="24"/>
          <w:szCs w:val="24"/>
          <w:lang w:eastAsia="hr-HR"/>
        </w:rPr>
      </w:pPr>
      <w:r w:rsidRPr="00583EA5">
        <w:rPr>
          <w:rFonts w:ascii="Times New Roman" w:hAnsi="Times New Roman" w:cs="Times New Roman"/>
          <w:sz w:val="24"/>
          <w:szCs w:val="24"/>
          <w:lang w:eastAsia="hr-HR"/>
        </w:rPr>
        <w:t>ustanova socijalne skrbi čiji je osnivač</w:t>
      </w:r>
      <w:r>
        <w:rPr>
          <w:rFonts w:ascii="Times New Roman" w:hAnsi="Times New Roman" w:cs="Times New Roman"/>
          <w:sz w:val="24"/>
          <w:szCs w:val="24"/>
          <w:lang w:eastAsia="hr-HR"/>
        </w:rPr>
        <w:t xml:space="preserve"> </w:t>
      </w:r>
      <w:r w:rsidRPr="004A7B56">
        <w:rPr>
          <w:rFonts w:ascii="Times New Roman" w:hAnsi="Times New Roman" w:cs="Times New Roman"/>
          <w:sz w:val="24"/>
          <w:szCs w:val="24"/>
          <w:lang w:eastAsia="hr-HR"/>
        </w:rPr>
        <w:t>Republika Hrvatska</w:t>
      </w:r>
      <w:r>
        <w:rPr>
          <w:rFonts w:ascii="Times New Roman" w:hAnsi="Times New Roman" w:cs="Times New Roman"/>
          <w:sz w:val="24"/>
          <w:szCs w:val="24"/>
          <w:lang w:eastAsia="hr-HR"/>
        </w:rPr>
        <w:t xml:space="preserve">, </w:t>
      </w:r>
      <w:r w:rsidRPr="004A7B56">
        <w:rPr>
          <w:rFonts w:ascii="Times New Roman" w:hAnsi="Times New Roman" w:cs="Times New Roman"/>
          <w:sz w:val="24"/>
          <w:szCs w:val="24"/>
          <w:lang w:eastAsia="hr-HR"/>
        </w:rPr>
        <w:t xml:space="preserve">jedinica lokalne </w:t>
      </w:r>
      <w:r>
        <w:rPr>
          <w:rFonts w:ascii="Times New Roman" w:hAnsi="Times New Roman" w:cs="Times New Roman"/>
          <w:sz w:val="24"/>
          <w:szCs w:val="24"/>
          <w:lang w:eastAsia="hr-HR"/>
        </w:rPr>
        <w:t>i</w:t>
      </w:r>
      <w:r w:rsidRPr="004A7B56">
        <w:rPr>
          <w:rFonts w:ascii="Times New Roman" w:hAnsi="Times New Roman" w:cs="Times New Roman"/>
          <w:sz w:val="24"/>
          <w:szCs w:val="24"/>
          <w:lang w:eastAsia="hr-HR"/>
        </w:rPr>
        <w:t xml:space="preserve"> područne (regionalne) samouprave ili pružatelja usluga s kojima Ministarstvo ima sklopljen ugovor o pružanju usluge socijalne skrbi.</w:t>
      </w:r>
    </w:p>
    <w:p w14:paraId="443C70BE" w14:textId="77777777" w:rsidR="00541503" w:rsidRDefault="00541503" w:rsidP="00541503">
      <w:pPr>
        <w:spacing w:after="0" w:line="240" w:lineRule="auto"/>
        <w:jc w:val="both"/>
        <w:rPr>
          <w:rFonts w:ascii="Times New Roman" w:hAnsi="Times New Roman" w:cs="Times New Roman"/>
          <w:sz w:val="24"/>
          <w:szCs w:val="24"/>
          <w:highlight w:val="yellow"/>
          <w:lang w:eastAsia="hr-HR"/>
        </w:rPr>
      </w:pPr>
    </w:p>
    <w:p w14:paraId="5DBDEFD4" w14:textId="77777777" w:rsidR="00541503" w:rsidRDefault="00541503" w:rsidP="00541503">
      <w:pPr>
        <w:spacing w:after="0" w:line="240" w:lineRule="auto"/>
        <w:jc w:val="both"/>
        <w:rPr>
          <w:rFonts w:ascii="Times New Roman" w:hAnsi="Times New Roman" w:cs="Times New Roman"/>
          <w:sz w:val="24"/>
          <w:szCs w:val="24"/>
          <w:lang w:eastAsia="hr-HR"/>
        </w:rPr>
      </w:pPr>
      <w:r w:rsidRPr="00F61DBD">
        <w:rPr>
          <w:rFonts w:ascii="Times New Roman" w:hAnsi="Times New Roman" w:cs="Times New Roman"/>
          <w:sz w:val="24"/>
          <w:szCs w:val="24"/>
          <w:lang w:eastAsia="hr-HR"/>
        </w:rPr>
        <w:t xml:space="preserve">U cilju zaštite korisnika socijalne usluge smještaja i organiziranog stanovanja kod pružatelja socijalnih usluga, prije svega starijih osoba kao i osoba </w:t>
      </w:r>
      <w:r>
        <w:rPr>
          <w:rFonts w:ascii="Times New Roman" w:hAnsi="Times New Roman" w:cs="Times New Roman"/>
          <w:sz w:val="24"/>
          <w:szCs w:val="24"/>
          <w:lang w:eastAsia="hr-HR"/>
        </w:rPr>
        <w:t>s invaliditetom</w:t>
      </w:r>
      <w:r w:rsidRPr="00F61DBD">
        <w:rPr>
          <w:rFonts w:ascii="Times New Roman" w:hAnsi="Times New Roman" w:cs="Times New Roman"/>
          <w:sz w:val="24"/>
          <w:szCs w:val="24"/>
          <w:lang w:eastAsia="hr-HR"/>
        </w:rPr>
        <w:t xml:space="preserve"> koje imaju veći rizik od razvoja težeg oblika COVID-19, u Ministarstvu nadležnom za poslove socijalne skrbi je u ožujku 2020. godine uspostavljen tim podrške, te je otvorena posebna adresa elektroničke pošte putem koje se svakodnevno komunicira kroz pitanja i odgovore vezane uz pandemiju iz nadležnosti socijalne skrbi, s pružateljima usluga</w:t>
      </w:r>
      <w:r>
        <w:rPr>
          <w:rFonts w:ascii="Times New Roman" w:hAnsi="Times New Roman" w:cs="Times New Roman"/>
          <w:sz w:val="24"/>
          <w:szCs w:val="24"/>
          <w:lang w:eastAsia="hr-HR"/>
        </w:rPr>
        <w:t xml:space="preserve"> i</w:t>
      </w:r>
      <w:r w:rsidRPr="00F61DBD">
        <w:rPr>
          <w:rFonts w:ascii="Times New Roman" w:hAnsi="Times New Roman" w:cs="Times New Roman"/>
          <w:sz w:val="24"/>
          <w:szCs w:val="24"/>
          <w:lang w:eastAsia="hr-HR"/>
        </w:rPr>
        <w:t xml:space="preserve"> građanima. </w:t>
      </w:r>
    </w:p>
    <w:p w14:paraId="5AA68ACE" w14:textId="77777777" w:rsidR="00541503" w:rsidRDefault="00541503" w:rsidP="00541503">
      <w:pPr>
        <w:spacing w:after="0" w:line="240" w:lineRule="auto"/>
        <w:jc w:val="both"/>
        <w:rPr>
          <w:rFonts w:ascii="Times New Roman" w:hAnsi="Times New Roman" w:cs="Times New Roman"/>
          <w:sz w:val="24"/>
          <w:szCs w:val="24"/>
          <w:lang w:eastAsia="hr-HR"/>
        </w:rPr>
      </w:pPr>
    </w:p>
    <w:p w14:paraId="4227E52A" w14:textId="77777777" w:rsidR="00541503" w:rsidRDefault="00541503" w:rsidP="00541503">
      <w:pPr>
        <w:spacing w:after="0" w:line="240" w:lineRule="auto"/>
        <w:jc w:val="both"/>
        <w:rPr>
          <w:rFonts w:ascii="Times New Roman" w:hAnsi="Times New Roman" w:cs="Times New Roman"/>
          <w:sz w:val="24"/>
          <w:szCs w:val="24"/>
          <w:lang w:eastAsia="hr-HR"/>
        </w:rPr>
      </w:pPr>
      <w:r w:rsidRPr="00F61DBD">
        <w:rPr>
          <w:rFonts w:ascii="Times New Roman" w:hAnsi="Times New Roman" w:cs="Times New Roman"/>
          <w:sz w:val="24"/>
          <w:szCs w:val="24"/>
          <w:lang w:eastAsia="hr-HR"/>
        </w:rPr>
        <w:t>Pored navedenog u listopadu 2020. godine je osigurana i dežurna telefonska linija</w:t>
      </w:r>
      <w:r>
        <w:rPr>
          <w:rFonts w:ascii="Times New Roman" w:hAnsi="Times New Roman" w:cs="Times New Roman"/>
          <w:sz w:val="24"/>
          <w:szCs w:val="24"/>
          <w:lang w:eastAsia="hr-HR"/>
        </w:rPr>
        <w:t>,</w:t>
      </w:r>
      <w:r w:rsidRPr="00F61DBD">
        <w:rPr>
          <w:rFonts w:ascii="Times New Roman" w:hAnsi="Times New Roman" w:cs="Times New Roman"/>
          <w:sz w:val="24"/>
          <w:szCs w:val="24"/>
          <w:lang w:eastAsia="hr-HR"/>
        </w:rPr>
        <w:t xml:space="preserve"> odnosno besplatni telefonski broj na kojemu se pružaju informacije vezane uz sprječavanje i suzbijanje epidemije COVID-19 u sustavu socijalne skrbi. </w:t>
      </w:r>
    </w:p>
    <w:p w14:paraId="0F8F5E6B" w14:textId="77777777" w:rsidR="00541503" w:rsidRDefault="00541503" w:rsidP="00541503">
      <w:pPr>
        <w:spacing w:after="0" w:line="240" w:lineRule="auto"/>
        <w:jc w:val="both"/>
        <w:rPr>
          <w:rFonts w:ascii="Times New Roman" w:hAnsi="Times New Roman" w:cs="Times New Roman"/>
          <w:sz w:val="24"/>
          <w:szCs w:val="24"/>
          <w:lang w:eastAsia="hr-HR"/>
        </w:rPr>
      </w:pPr>
    </w:p>
    <w:p w14:paraId="0A25E067" w14:textId="77777777" w:rsidR="00541503" w:rsidRDefault="00541503" w:rsidP="00541503">
      <w:pPr>
        <w:spacing w:after="0" w:line="240" w:lineRule="auto"/>
        <w:jc w:val="both"/>
        <w:rPr>
          <w:rFonts w:ascii="Times New Roman" w:hAnsi="Times New Roman" w:cs="Times New Roman"/>
          <w:sz w:val="24"/>
          <w:szCs w:val="24"/>
          <w:lang w:eastAsia="hr-HR"/>
        </w:rPr>
      </w:pPr>
      <w:r w:rsidRPr="00F61DBD">
        <w:rPr>
          <w:rFonts w:ascii="Times New Roman" w:hAnsi="Times New Roman" w:cs="Times New Roman"/>
          <w:sz w:val="24"/>
          <w:szCs w:val="24"/>
          <w:lang w:eastAsia="hr-HR"/>
        </w:rPr>
        <w:lastRenderedPageBreak/>
        <w:t xml:space="preserve">Odlukom ministra </w:t>
      </w:r>
      <w:r>
        <w:rPr>
          <w:rFonts w:ascii="Times New Roman" w:hAnsi="Times New Roman" w:cs="Times New Roman"/>
          <w:sz w:val="24"/>
          <w:szCs w:val="24"/>
          <w:lang w:eastAsia="hr-HR"/>
        </w:rPr>
        <w:t>nadležnog za socijalnu skrb</w:t>
      </w:r>
      <w:r w:rsidRPr="00F61DBD">
        <w:rPr>
          <w:rFonts w:ascii="Times New Roman" w:hAnsi="Times New Roman" w:cs="Times New Roman"/>
          <w:sz w:val="24"/>
          <w:szCs w:val="24"/>
          <w:lang w:eastAsia="hr-HR"/>
        </w:rPr>
        <w:t xml:space="preserve"> </w:t>
      </w:r>
      <w:r>
        <w:rPr>
          <w:rFonts w:ascii="Times New Roman" w:hAnsi="Times New Roman" w:cs="Times New Roman"/>
          <w:sz w:val="24"/>
          <w:szCs w:val="24"/>
          <w:lang w:eastAsia="hr-HR"/>
        </w:rPr>
        <w:t>u</w:t>
      </w:r>
      <w:r w:rsidRPr="00F61DBD">
        <w:rPr>
          <w:rFonts w:ascii="Times New Roman" w:hAnsi="Times New Roman" w:cs="Times New Roman"/>
          <w:sz w:val="24"/>
          <w:szCs w:val="24"/>
          <w:lang w:eastAsia="hr-HR"/>
        </w:rPr>
        <w:t xml:space="preserve"> kolovoz</w:t>
      </w:r>
      <w:r>
        <w:rPr>
          <w:rFonts w:ascii="Times New Roman" w:hAnsi="Times New Roman" w:cs="Times New Roman"/>
          <w:sz w:val="24"/>
          <w:szCs w:val="24"/>
          <w:lang w:eastAsia="hr-HR"/>
        </w:rPr>
        <w:t>u</w:t>
      </w:r>
      <w:r w:rsidRPr="00F61DBD">
        <w:rPr>
          <w:rFonts w:ascii="Times New Roman" w:hAnsi="Times New Roman" w:cs="Times New Roman"/>
          <w:sz w:val="24"/>
          <w:szCs w:val="24"/>
          <w:lang w:eastAsia="hr-HR"/>
        </w:rPr>
        <w:t xml:space="preserve"> 2020. godine osnovano je Povjerenstvo za sprječavanje i suzbijanje epidemije COVID-19 nad starijim osobama i osobama iz drugih ranjivih skupina kao savjetodavno i stručno tijelo Ministarstva čija je zadaća izrada prijedloga, mišljenja i stručnih obrazloženja s ciljem prevencije širenja zaraze. </w:t>
      </w:r>
    </w:p>
    <w:p w14:paraId="6A1E855D" w14:textId="77777777" w:rsidR="00541503" w:rsidRPr="004A7B56" w:rsidRDefault="00541503" w:rsidP="00541503">
      <w:pPr>
        <w:spacing w:after="0" w:line="240" w:lineRule="auto"/>
        <w:jc w:val="both"/>
        <w:rPr>
          <w:rFonts w:ascii="Times New Roman" w:hAnsi="Times New Roman" w:cs="Times New Roman"/>
          <w:sz w:val="24"/>
          <w:szCs w:val="24"/>
          <w:lang w:eastAsia="hr-HR"/>
        </w:rPr>
      </w:pPr>
      <w:r w:rsidRPr="004A7B56">
        <w:rPr>
          <w:rFonts w:ascii="Times New Roman" w:hAnsi="Times New Roman" w:cs="Times New Roman"/>
          <w:sz w:val="24"/>
          <w:szCs w:val="24"/>
          <w:lang w:eastAsia="hr-HR"/>
        </w:rPr>
        <w:t xml:space="preserve">Rad Povjerenstva rezultirao je:  </w:t>
      </w:r>
    </w:p>
    <w:p w14:paraId="2FEF3899" w14:textId="77777777" w:rsidR="00541503" w:rsidRDefault="00541503" w:rsidP="00FB05F1">
      <w:pPr>
        <w:pStyle w:val="Odlomakpopisa"/>
        <w:numPr>
          <w:ilvl w:val="0"/>
          <w:numId w:val="22"/>
        </w:numPr>
        <w:spacing w:after="0" w:line="240" w:lineRule="auto"/>
        <w:ind w:left="426"/>
        <w:jc w:val="both"/>
        <w:rPr>
          <w:rFonts w:ascii="Times New Roman" w:hAnsi="Times New Roman" w:cs="Times New Roman"/>
          <w:sz w:val="24"/>
          <w:szCs w:val="24"/>
          <w:lang w:eastAsia="hr-HR"/>
        </w:rPr>
      </w:pPr>
      <w:r w:rsidRPr="004A7B56">
        <w:rPr>
          <w:rFonts w:ascii="Times New Roman" w:hAnsi="Times New Roman" w:cs="Times New Roman"/>
          <w:sz w:val="24"/>
          <w:szCs w:val="24"/>
          <w:lang w:eastAsia="hr-HR"/>
        </w:rPr>
        <w:t>ponovnim osnivanje mobilnih timova koji kroz inspekcijski nadzor kontroliraju pridržavanje uputa za sprječavanje i zaštitu od zaraze korona virusom</w:t>
      </w:r>
    </w:p>
    <w:p w14:paraId="075B0A12" w14:textId="77777777" w:rsidR="00541503" w:rsidRDefault="00541503" w:rsidP="00FB05F1">
      <w:pPr>
        <w:pStyle w:val="Odlomakpopisa"/>
        <w:numPr>
          <w:ilvl w:val="0"/>
          <w:numId w:val="22"/>
        </w:numPr>
        <w:spacing w:after="0" w:line="240" w:lineRule="auto"/>
        <w:ind w:left="426"/>
        <w:jc w:val="both"/>
        <w:rPr>
          <w:rFonts w:ascii="Times New Roman" w:hAnsi="Times New Roman" w:cs="Times New Roman"/>
          <w:sz w:val="24"/>
          <w:szCs w:val="24"/>
          <w:lang w:eastAsia="hr-HR"/>
        </w:rPr>
      </w:pPr>
      <w:r w:rsidRPr="004A7B56">
        <w:rPr>
          <w:rFonts w:ascii="Times New Roman" w:hAnsi="Times New Roman" w:cs="Times New Roman"/>
          <w:sz w:val="24"/>
          <w:szCs w:val="24"/>
          <w:lang w:eastAsia="hr-HR"/>
        </w:rPr>
        <w:t>Izmjenama i dopunama Zakona o socijalnoj skrbi u svrhu unapređenja organizacije rada u kriznim situacijama</w:t>
      </w:r>
    </w:p>
    <w:p w14:paraId="4A9E08C4" w14:textId="77777777" w:rsidR="00541503" w:rsidRDefault="00541503" w:rsidP="00FB05F1">
      <w:pPr>
        <w:pStyle w:val="Odlomakpopisa"/>
        <w:numPr>
          <w:ilvl w:val="0"/>
          <w:numId w:val="22"/>
        </w:numPr>
        <w:spacing w:after="0" w:line="240" w:lineRule="auto"/>
        <w:ind w:left="426"/>
        <w:jc w:val="both"/>
        <w:rPr>
          <w:rFonts w:ascii="Times New Roman" w:hAnsi="Times New Roman" w:cs="Times New Roman"/>
          <w:sz w:val="24"/>
          <w:szCs w:val="24"/>
          <w:lang w:eastAsia="hr-HR"/>
        </w:rPr>
      </w:pPr>
      <w:r w:rsidRPr="004A7B56">
        <w:rPr>
          <w:rFonts w:ascii="Times New Roman" w:hAnsi="Times New Roman" w:cs="Times New Roman"/>
          <w:sz w:val="24"/>
          <w:szCs w:val="24"/>
          <w:lang w:eastAsia="hr-HR"/>
        </w:rPr>
        <w:t xml:space="preserve">pripremom letaka </w:t>
      </w:r>
      <w:r>
        <w:rPr>
          <w:rFonts w:ascii="Times New Roman" w:hAnsi="Times New Roman" w:cs="Times New Roman"/>
          <w:sz w:val="24"/>
          <w:szCs w:val="24"/>
          <w:lang w:eastAsia="hr-HR"/>
        </w:rPr>
        <w:t xml:space="preserve">za </w:t>
      </w:r>
      <w:r w:rsidRPr="004A7B56">
        <w:rPr>
          <w:rFonts w:ascii="Times New Roman" w:hAnsi="Times New Roman" w:cs="Times New Roman"/>
          <w:sz w:val="24"/>
          <w:szCs w:val="24"/>
          <w:lang w:eastAsia="hr-HR"/>
        </w:rPr>
        <w:t>informiranj</w:t>
      </w:r>
      <w:r>
        <w:rPr>
          <w:rFonts w:ascii="Times New Roman" w:hAnsi="Times New Roman" w:cs="Times New Roman"/>
          <w:sz w:val="24"/>
          <w:szCs w:val="24"/>
          <w:lang w:eastAsia="hr-HR"/>
        </w:rPr>
        <w:t>e</w:t>
      </w:r>
      <w:r w:rsidRPr="004A7B56">
        <w:rPr>
          <w:rFonts w:ascii="Times New Roman" w:hAnsi="Times New Roman" w:cs="Times New Roman"/>
          <w:sz w:val="24"/>
          <w:szCs w:val="24"/>
          <w:lang w:eastAsia="hr-HR"/>
        </w:rPr>
        <w:t xml:space="preserve"> starijih osoba i osoba s invaliditetom o načinu zaštite od </w:t>
      </w:r>
      <w:r>
        <w:rPr>
          <w:rFonts w:ascii="Times New Roman" w:hAnsi="Times New Roman" w:cs="Times New Roman"/>
          <w:sz w:val="24"/>
          <w:szCs w:val="24"/>
          <w:lang w:eastAsia="hr-HR"/>
        </w:rPr>
        <w:t>bolesti te</w:t>
      </w:r>
      <w:r w:rsidRPr="004A7B56">
        <w:rPr>
          <w:rFonts w:ascii="Times New Roman" w:hAnsi="Times New Roman" w:cs="Times New Roman"/>
          <w:sz w:val="24"/>
          <w:szCs w:val="24"/>
          <w:lang w:eastAsia="hr-HR"/>
        </w:rPr>
        <w:t xml:space="preserve"> načinu osiguravanja podrške u situaciji zaraze ili samoizolacije</w:t>
      </w:r>
    </w:p>
    <w:p w14:paraId="2BC311D5" w14:textId="77777777" w:rsidR="00541503" w:rsidRDefault="00541503" w:rsidP="00FB05F1">
      <w:pPr>
        <w:pStyle w:val="Odlomakpopisa"/>
        <w:numPr>
          <w:ilvl w:val="0"/>
          <w:numId w:val="22"/>
        </w:numPr>
        <w:spacing w:after="0" w:line="240" w:lineRule="auto"/>
        <w:ind w:left="426"/>
        <w:jc w:val="both"/>
        <w:rPr>
          <w:rFonts w:ascii="Times New Roman" w:hAnsi="Times New Roman" w:cs="Times New Roman"/>
          <w:sz w:val="24"/>
          <w:szCs w:val="24"/>
          <w:lang w:eastAsia="hr-HR"/>
        </w:rPr>
      </w:pPr>
      <w:r w:rsidRPr="004A7B56">
        <w:rPr>
          <w:rFonts w:ascii="Times New Roman" w:hAnsi="Times New Roman" w:cs="Times New Roman"/>
          <w:sz w:val="24"/>
          <w:szCs w:val="24"/>
          <w:lang w:eastAsia="hr-HR"/>
        </w:rPr>
        <w:t>pripremom informativne kampanje za zaštitu starijih osoba i osoba s invaliditetom (TV, radijski i spotovi za online platforme, gostovanja u radijskim i TV emisijama)</w:t>
      </w:r>
    </w:p>
    <w:p w14:paraId="758FEEEB" w14:textId="77777777" w:rsidR="00541503" w:rsidRDefault="00541503" w:rsidP="00FB05F1">
      <w:pPr>
        <w:pStyle w:val="Odlomakpopisa"/>
        <w:numPr>
          <w:ilvl w:val="0"/>
          <w:numId w:val="22"/>
        </w:numPr>
        <w:spacing w:after="0" w:line="240" w:lineRule="auto"/>
        <w:ind w:left="426"/>
        <w:jc w:val="both"/>
        <w:rPr>
          <w:rFonts w:ascii="Times New Roman" w:hAnsi="Times New Roman" w:cs="Times New Roman"/>
          <w:sz w:val="24"/>
          <w:szCs w:val="24"/>
          <w:lang w:eastAsia="hr-HR"/>
        </w:rPr>
      </w:pPr>
      <w:r w:rsidRPr="004A7B56">
        <w:rPr>
          <w:rFonts w:ascii="Times New Roman" w:hAnsi="Times New Roman" w:cs="Times New Roman"/>
          <w:sz w:val="24"/>
          <w:szCs w:val="24"/>
          <w:lang w:eastAsia="hr-HR"/>
        </w:rPr>
        <w:t xml:space="preserve">osnivanjem </w:t>
      </w:r>
      <w:proofErr w:type="spellStart"/>
      <w:r w:rsidRPr="004A7B56">
        <w:rPr>
          <w:rFonts w:ascii="Times New Roman" w:hAnsi="Times New Roman" w:cs="Times New Roman"/>
          <w:sz w:val="24"/>
          <w:szCs w:val="24"/>
          <w:lang w:eastAsia="hr-HR"/>
        </w:rPr>
        <w:t>call</w:t>
      </w:r>
      <w:proofErr w:type="spellEnd"/>
      <w:r w:rsidRPr="004A7B56">
        <w:rPr>
          <w:rFonts w:ascii="Times New Roman" w:hAnsi="Times New Roman" w:cs="Times New Roman"/>
          <w:sz w:val="24"/>
          <w:szCs w:val="24"/>
          <w:lang w:eastAsia="hr-HR"/>
        </w:rPr>
        <w:t xml:space="preserve"> centra (SOS telefona) za </w:t>
      </w:r>
      <w:r>
        <w:rPr>
          <w:rFonts w:ascii="Times New Roman" w:hAnsi="Times New Roman" w:cs="Times New Roman"/>
          <w:sz w:val="24"/>
          <w:szCs w:val="24"/>
          <w:lang w:eastAsia="hr-HR"/>
        </w:rPr>
        <w:t xml:space="preserve">starije </w:t>
      </w:r>
      <w:r w:rsidRPr="004A7B56">
        <w:rPr>
          <w:rFonts w:ascii="Times New Roman" w:hAnsi="Times New Roman" w:cs="Times New Roman"/>
          <w:sz w:val="24"/>
          <w:szCs w:val="24"/>
          <w:lang w:eastAsia="hr-HR"/>
        </w:rPr>
        <w:t>osobe u svrhu davanja relevantnih informacija</w:t>
      </w:r>
    </w:p>
    <w:p w14:paraId="2DCDA5B5" w14:textId="77777777" w:rsidR="00541503" w:rsidRDefault="00541503" w:rsidP="00FB05F1">
      <w:pPr>
        <w:pStyle w:val="Odlomakpopisa"/>
        <w:numPr>
          <w:ilvl w:val="0"/>
          <w:numId w:val="22"/>
        </w:numPr>
        <w:spacing w:after="0" w:line="240" w:lineRule="auto"/>
        <w:ind w:left="426"/>
        <w:jc w:val="both"/>
        <w:rPr>
          <w:rFonts w:ascii="Times New Roman" w:hAnsi="Times New Roman" w:cs="Times New Roman"/>
          <w:sz w:val="24"/>
          <w:szCs w:val="24"/>
          <w:lang w:eastAsia="hr-HR"/>
        </w:rPr>
      </w:pPr>
      <w:r w:rsidRPr="004A7B56">
        <w:rPr>
          <w:rFonts w:ascii="Times New Roman" w:hAnsi="Times New Roman" w:cs="Times New Roman"/>
          <w:sz w:val="24"/>
          <w:szCs w:val="24"/>
          <w:lang w:eastAsia="hr-HR"/>
        </w:rPr>
        <w:t>uspostavljanjem suradnje s Centrom za mentalno zdravlje Nastavnog zavoda za javno zdravstvo dr. Andrija Štampar u svrhu pripremljenosti za davanje stručne psihosocijalne podrške korisnicima i zaposlenicima u sustavu socijalne skrbi</w:t>
      </w:r>
    </w:p>
    <w:p w14:paraId="455ADFCE" w14:textId="77777777" w:rsidR="00541503" w:rsidRDefault="00541503" w:rsidP="00FB05F1">
      <w:pPr>
        <w:pStyle w:val="Odlomakpopisa"/>
        <w:numPr>
          <w:ilvl w:val="0"/>
          <w:numId w:val="22"/>
        </w:numPr>
        <w:spacing w:after="0" w:line="240" w:lineRule="auto"/>
        <w:ind w:left="426"/>
        <w:jc w:val="both"/>
        <w:rPr>
          <w:rFonts w:ascii="Times New Roman" w:hAnsi="Times New Roman" w:cs="Times New Roman"/>
          <w:sz w:val="24"/>
          <w:szCs w:val="24"/>
          <w:lang w:eastAsia="hr-HR"/>
        </w:rPr>
      </w:pPr>
      <w:r w:rsidRPr="004A7B56">
        <w:rPr>
          <w:rFonts w:ascii="Times New Roman" w:hAnsi="Times New Roman" w:cs="Times New Roman"/>
          <w:sz w:val="24"/>
          <w:szCs w:val="24"/>
          <w:lang w:eastAsia="hr-HR"/>
        </w:rPr>
        <w:t>izradom novih Uputa o sprječavanju i suzbijanju epidemije</w:t>
      </w:r>
    </w:p>
    <w:p w14:paraId="4A48AD83" w14:textId="77777777" w:rsidR="00541503" w:rsidRDefault="00541503" w:rsidP="00FB05F1">
      <w:pPr>
        <w:pStyle w:val="Odlomakpopisa"/>
        <w:numPr>
          <w:ilvl w:val="0"/>
          <w:numId w:val="22"/>
        </w:numPr>
        <w:spacing w:after="0" w:line="240" w:lineRule="auto"/>
        <w:ind w:left="426"/>
        <w:jc w:val="both"/>
        <w:rPr>
          <w:rFonts w:ascii="Times New Roman" w:hAnsi="Times New Roman" w:cs="Times New Roman"/>
          <w:sz w:val="24"/>
          <w:szCs w:val="24"/>
          <w:lang w:eastAsia="hr-HR"/>
        </w:rPr>
      </w:pPr>
      <w:r w:rsidRPr="004A7B56">
        <w:rPr>
          <w:rFonts w:ascii="Times New Roman" w:hAnsi="Times New Roman" w:cs="Times New Roman"/>
          <w:sz w:val="24"/>
          <w:szCs w:val="24"/>
          <w:lang w:eastAsia="hr-HR"/>
        </w:rPr>
        <w:t xml:space="preserve">pripremom izolacija odnosno karantena u suradnji sa županijskim stožerima za izolaciju </w:t>
      </w:r>
      <w:proofErr w:type="spellStart"/>
      <w:r w:rsidRPr="004A7B56">
        <w:rPr>
          <w:rFonts w:ascii="Times New Roman" w:hAnsi="Times New Roman" w:cs="Times New Roman"/>
          <w:sz w:val="24"/>
          <w:szCs w:val="24"/>
          <w:lang w:eastAsia="hr-HR"/>
        </w:rPr>
        <w:t>asimptomatskih</w:t>
      </w:r>
      <w:proofErr w:type="spellEnd"/>
      <w:r w:rsidRPr="004A7B56">
        <w:rPr>
          <w:rFonts w:ascii="Times New Roman" w:hAnsi="Times New Roman" w:cs="Times New Roman"/>
          <w:sz w:val="24"/>
          <w:szCs w:val="24"/>
          <w:lang w:eastAsia="hr-HR"/>
        </w:rPr>
        <w:t xml:space="preserve"> i pacijenata sa slabijim simptomima bolesti COVID</w:t>
      </w:r>
      <w:r>
        <w:rPr>
          <w:rFonts w:ascii="Times New Roman" w:hAnsi="Times New Roman" w:cs="Times New Roman"/>
          <w:sz w:val="24"/>
          <w:szCs w:val="24"/>
          <w:lang w:eastAsia="hr-HR"/>
        </w:rPr>
        <w:t>-</w:t>
      </w:r>
      <w:r w:rsidRPr="004A7B56">
        <w:rPr>
          <w:rFonts w:ascii="Times New Roman" w:hAnsi="Times New Roman" w:cs="Times New Roman"/>
          <w:sz w:val="24"/>
          <w:szCs w:val="24"/>
          <w:lang w:eastAsia="hr-HR"/>
        </w:rPr>
        <w:t>19</w:t>
      </w:r>
    </w:p>
    <w:p w14:paraId="613565F6" w14:textId="77777777" w:rsidR="00541503" w:rsidRDefault="00541503" w:rsidP="00FB05F1">
      <w:pPr>
        <w:pStyle w:val="Odlomakpopisa"/>
        <w:numPr>
          <w:ilvl w:val="0"/>
          <w:numId w:val="22"/>
        </w:numPr>
        <w:spacing w:after="0" w:line="240" w:lineRule="auto"/>
        <w:ind w:left="426"/>
        <w:jc w:val="both"/>
        <w:rPr>
          <w:rFonts w:ascii="Times New Roman" w:hAnsi="Times New Roman" w:cs="Times New Roman"/>
          <w:sz w:val="24"/>
          <w:szCs w:val="24"/>
          <w:lang w:eastAsia="hr-HR"/>
        </w:rPr>
      </w:pPr>
      <w:r w:rsidRPr="004A7B56">
        <w:rPr>
          <w:rFonts w:ascii="Times New Roman" w:hAnsi="Times New Roman" w:cs="Times New Roman"/>
          <w:sz w:val="24"/>
          <w:szCs w:val="24"/>
          <w:lang w:eastAsia="hr-HR"/>
        </w:rPr>
        <w:t>kontinuiranim osiguravanjem zaštitne opreme svim pružateljima usluga</w:t>
      </w:r>
    </w:p>
    <w:p w14:paraId="5895735F" w14:textId="77777777" w:rsidR="00541503" w:rsidRDefault="00541503" w:rsidP="00FB05F1">
      <w:pPr>
        <w:pStyle w:val="Odlomakpopisa"/>
        <w:numPr>
          <w:ilvl w:val="0"/>
          <w:numId w:val="22"/>
        </w:numPr>
        <w:spacing w:after="0" w:line="240" w:lineRule="auto"/>
        <w:ind w:left="426"/>
        <w:jc w:val="both"/>
        <w:rPr>
          <w:rFonts w:ascii="Times New Roman" w:hAnsi="Times New Roman" w:cs="Times New Roman"/>
          <w:sz w:val="24"/>
          <w:szCs w:val="24"/>
          <w:lang w:eastAsia="hr-HR"/>
        </w:rPr>
      </w:pPr>
      <w:r w:rsidRPr="004A7B56">
        <w:rPr>
          <w:rFonts w:ascii="Times New Roman" w:hAnsi="Times New Roman" w:cs="Times New Roman"/>
          <w:sz w:val="24"/>
          <w:szCs w:val="24"/>
          <w:lang w:eastAsia="hr-HR"/>
        </w:rPr>
        <w:t>izradom analize vezano uz iskaz interesa za cijepljenje protiv COVID-19</w:t>
      </w:r>
      <w:r>
        <w:rPr>
          <w:rFonts w:ascii="Times New Roman" w:hAnsi="Times New Roman" w:cs="Times New Roman"/>
          <w:sz w:val="24"/>
          <w:szCs w:val="24"/>
          <w:lang w:eastAsia="hr-HR"/>
        </w:rPr>
        <w:t xml:space="preserve"> i</w:t>
      </w:r>
    </w:p>
    <w:p w14:paraId="7877D7A7" w14:textId="77777777" w:rsidR="00541503" w:rsidRPr="004A7B56" w:rsidRDefault="00541503" w:rsidP="00FB05F1">
      <w:pPr>
        <w:pStyle w:val="Odlomakpopisa"/>
        <w:numPr>
          <w:ilvl w:val="0"/>
          <w:numId w:val="22"/>
        </w:numPr>
        <w:spacing w:after="0" w:line="240" w:lineRule="auto"/>
        <w:ind w:left="426"/>
        <w:jc w:val="both"/>
        <w:rPr>
          <w:rFonts w:ascii="Times New Roman" w:hAnsi="Times New Roman" w:cs="Times New Roman"/>
          <w:sz w:val="24"/>
          <w:szCs w:val="24"/>
          <w:lang w:eastAsia="hr-HR"/>
        </w:rPr>
      </w:pPr>
      <w:r w:rsidRPr="004A7B56">
        <w:rPr>
          <w:rFonts w:ascii="Times New Roman" w:hAnsi="Times New Roman" w:cs="Times New Roman"/>
          <w:sz w:val="24"/>
          <w:szCs w:val="24"/>
          <w:lang w:eastAsia="hr-HR"/>
        </w:rPr>
        <w:t>praćenjem stanja procijepljenosti u sustavu socijalne skrbi.</w:t>
      </w:r>
    </w:p>
    <w:p w14:paraId="28992133" w14:textId="77777777" w:rsidR="00541503" w:rsidRPr="004A7B56" w:rsidRDefault="00541503" w:rsidP="00541503">
      <w:pPr>
        <w:spacing w:after="0" w:line="240" w:lineRule="auto"/>
        <w:jc w:val="both"/>
        <w:rPr>
          <w:rFonts w:ascii="Times New Roman" w:hAnsi="Times New Roman" w:cs="Times New Roman"/>
          <w:sz w:val="24"/>
          <w:szCs w:val="24"/>
          <w:lang w:eastAsia="hr-HR"/>
        </w:rPr>
      </w:pPr>
    </w:p>
    <w:p w14:paraId="159B5B00" w14:textId="77777777" w:rsidR="00541503" w:rsidRPr="004A7B56" w:rsidRDefault="00541503" w:rsidP="00541503">
      <w:pPr>
        <w:spacing w:after="0" w:line="240" w:lineRule="auto"/>
        <w:jc w:val="both"/>
        <w:rPr>
          <w:rFonts w:ascii="Times New Roman" w:hAnsi="Times New Roman" w:cs="Times New Roman"/>
          <w:sz w:val="24"/>
          <w:szCs w:val="24"/>
          <w:lang w:eastAsia="hr-HR"/>
        </w:rPr>
      </w:pPr>
      <w:r>
        <w:rPr>
          <w:rFonts w:ascii="Times New Roman" w:hAnsi="Times New Roman" w:cs="Times New Roman"/>
          <w:sz w:val="24"/>
          <w:szCs w:val="24"/>
          <w:lang w:eastAsia="hr-HR"/>
        </w:rPr>
        <w:t>Zbog</w:t>
      </w:r>
      <w:r w:rsidRPr="004A7B56">
        <w:rPr>
          <w:rFonts w:ascii="Times New Roman" w:hAnsi="Times New Roman" w:cs="Times New Roman"/>
          <w:sz w:val="24"/>
          <w:szCs w:val="24"/>
          <w:lang w:eastAsia="hr-HR"/>
        </w:rPr>
        <w:t xml:space="preserve"> vrlo teških uvjeta u kojima rade radnici u sustavu socijalne skrbi sa korisnicima koji su zaraženi COVID-19 na inicijativu MROSP-a, V</w:t>
      </w:r>
      <w:r>
        <w:rPr>
          <w:rFonts w:ascii="Times New Roman" w:hAnsi="Times New Roman" w:cs="Times New Roman"/>
          <w:sz w:val="24"/>
          <w:szCs w:val="24"/>
          <w:lang w:eastAsia="hr-HR"/>
        </w:rPr>
        <w:t xml:space="preserve">lada </w:t>
      </w:r>
      <w:r w:rsidRPr="004A7B56">
        <w:rPr>
          <w:rFonts w:ascii="Times New Roman" w:hAnsi="Times New Roman" w:cs="Times New Roman"/>
          <w:sz w:val="24"/>
          <w:szCs w:val="24"/>
          <w:lang w:eastAsia="hr-HR"/>
        </w:rPr>
        <w:t>RH donijela je Odluku o posebnoj nagradi radnicima u sustavu socijalne skrbi koji obavljaju poslove vezane za brigu i njegu korisnika usluge smještaja ili organiziranog stanovanja oboljelima od bolesti COVID-19.</w:t>
      </w:r>
      <w:r>
        <w:rPr>
          <w:rFonts w:ascii="Times New Roman" w:hAnsi="Times New Roman" w:cs="Times New Roman"/>
          <w:sz w:val="24"/>
          <w:szCs w:val="24"/>
          <w:lang w:eastAsia="hr-HR"/>
        </w:rPr>
        <w:t xml:space="preserve"> </w:t>
      </w:r>
      <w:r w:rsidRPr="004A7B56">
        <w:rPr>
          <w:rFonts w:ascii="Times New Roman" w:hAnsi="Times New Roman" w:cs="Times New Roman"/>
          <w:sz w:val="24"/>
          <w:szCs w:val="24"/>
          <w:lang w:eastAsia="hr-HR"/>
        </w:rPr>
        <w:t>Predmetna Odluka primjenjuje se na  radnike u ustanovama socijalne skrbi kojima je osnivač Republika Hrvatska, a koji su tijekom obavljanja posla u izravnom kontaktu s  korisnicima smještaja ili organiziranog stanovanja oboljelima od bolesti COVID-19.</w:t>
      </w:r>
      <w:r>
        <w:rPr>
          <w:rFonts w:ascii="Times New Roman" w:hAnsi="Times New Roman" w:cs="Times New Roman"/>
          <w:sz w:val="24"/>
          <w:szCs w:val="24"/>
          <w:lang w:eastAsia="hr-HR"/>
        </w:rPr>
        <w:t xml:space="preserve"> </w:t>
      </w:r>
      <w:r w:rsidRPr="004A7B56">
        <w:rPr>
          <w:rFonts w:ascii="Times New Roman" w:hAnsi="Times New Roman" w:cs="Times New Roman"/>
          <w:sz w:val="24"/>
          <w:szCs w:val="24"/>
          <w:lang w:eastAsia="hr-HR"/>
        </w:rPr>
        <w:t>Za sate provedene u izravnom doticaju s oboljelim korisnicima prilikom obavljanja posla radnici imaju pravo na posebnu nagradu u iznosu od 10% od njihove osnovne plaće.</w:t>
      </w:r>
    </w:p>
    <w:p w14:paraId="03FECEB1" w14:textId="77777777" w:rsidR="00541503" w:rsidRDefault="00541503" w:rsidP="00541503">
      <w:pPr>
        <w:spacing w:after="0" w:line="240" w:lineRule="auto"/>
        <w:jc w:val="both"/>
        <w:rPr>
          <w:rFonts w:ascii="Times New Roman" w:hAnsi="Times New Roman" w:cs="Times New Roman"/>
          <w:sz w:val="24"/>
          <w:szCs w:val="24"/>
          <w:lang w:eastAsia="hr-HR"/>
        </w:rPr>
      </w:pPr>
    </w:p>
    <w:p w14:paraId="614C1EE9" w14:textId="77777777" w:rsidR="00541503" w:rsidRDefault="00541503" w:rsidP="00541503">
      <w:pPr>
        <w:spacing w:after="0" w:line="240" w:lineRule="auto"/>
        <w:jc w:val="both"/>
        <w:rPr>
          <w:rFonts w:ascii="Times New Roman" w:hAnsi="Times New Roman" w:cs="Times New Roman"/>
          <w:sz w:val="24"/>
          <w:szCs w:val="24"/>
          <w:lang w:eastAsia="hr-HR"/>
        </w:rPr>
      </w:pPr>
      <w:r>
        <w:rPr>
          <w:rFonts w:ascii="Times New Roman" w:hAnsi="Times New Roman" w:cs="Times New Roman"/>
          <w:sz w:val="24"/>
          <w:szCs w:val="24"/>
          <w:lang w:eastAsia="hr-HR"/>
        </w:rPr>
        <w:t>U</w:t>
      </w:r>
      <w:r w:rsidRPr="00F61DBD">
        <w:rPr>
          <w:rFonts w:ascii="Times New Roman" w:hAnsi="Times New Roman" w:cs="Times New Roman"/>
          <w:sz w:val="24"/>
          <w:szCs w:val="24"/>
          <w:lang w:eastAsia="hr-HR"/>
        </w:rPr>
        <w:t xml:space="preserve"> prosinc</w:t>
      </w:r>
      <w:r>
        <w:rPr>
          <w:rFonts w:ascii="Times New Roman" w:hAnsi="Times New Roman" w:cs="Times New Roman"/>
          <w:sz w:val="24"/>
          <w:szCs w:val="24"/>
          <w:lang w:eastAsia="hr-HR"/>
        </w:rPr>
        <w:t>u</w:t>
      </w:r>
      <w:r w:rsidRPr="00F61DBD">
        <w:rPr>
          <w:rFonts w:ascii="Times New Roman" w:hAnsi="Times New Roman" w:cs="Times New Roman"/>
          <w:sz w:val="24"/>
          <w:szCs w:val="24"/>
          <w:lang w:eastAsia="hr-HR"/>
        </w:rPr>
        <w:t xml:space="preserve"> 2020. godine potpisan je tripartitni Sporazum o privremenim izolacijskim jedinicama za korisnike smještaja u ustanovama socijalne skrbi kojega su potpisali ministar rada, mirovinskoga sustava, obitelji i socijalne politike, ministar unutarnjih poslova i ministar zdravstva, s ciljem osiguranja odgovarajuće skrbi za asimptomatske korisnike te korisnike kojima nije potrebno bolničko liječenje. Navedenim Sporazumom su jasno definirani način osnivanja izolacijskih jedinica, osiguravanje radnika i financiranje izolacijskih jedinica. </w:t>
      </w:r>
    </w:p>
    <w:p w14:paraId="404ABCD7" w14:textId="77777777" w:rsidR="00541503" w:rsidRDefault="00541503" w:rsidP="00541503">
      <w:pPr>
        <w:spacing w:after="0" w:line="240" w:lineRule="auto"/>
        <w:jc w:val="both"/>
        <w:rPr>
          <w:rFonts w:ascii="Times New Roman" w:hAnsi="Times New Roman" w:cs="Times New Roman"/>
          <w:sz w:val="24"/>
          <w:szCs w:val="24"/>
          <w:lang w:eastAsia="hr-HR"/>
        </w:rPr>
      </w:pPr>
    </w:p>
    <w:p w14:paraId="0E3B690A" w14:textId="77777777" w:rsidR="00541503" w:rsidRDefault="00541503" w:rsidP="00541503">
      <w:pPr>
        <w:spacing w:after="0" w:line="240" w:lineRule="auto"/>
        <w:jc w:val="both"/>
        <w:rPr>
          <w:rFonts w:ascii="Times New Roman" w:hAnsi="Times New Roman" w:cs="Times New Roman"/>
          <w:sz w:val="24"/>
          <w:szCs w:val="24"/>
          <w:lang w:eastAsia="hr-HR"/>
        </w:rPr>
      </w:pPr>
      <w:r w:rsidRPr="00F61DBD">
        <w:rPr>
          <w:rFonts w:ascii="Times New Roman" w:hAnsi="Times New Roman" w:cs="Times New Roman"/>
          <w:sz w:val="24"/>
          <w:szCs w:val="24"/>
          <w:lang w:eastAsia="hr-HR"/>
        </w:rPr>
        <w:t xml:space="preserve">Od početka epidemije do 14. travnja 2020. Ministarstvo </w:t>
      </w:r>
      <w:r>
        <w:rPr>
          <w:rFonts w:ascii="Times New Roman" w:hAnsi="Times New Roman" w:cs="Times New Roman"/>
          <w:sz w:val="24"/>
          <w:szCs w:val="24"/>
          <w:lang w:eastAsia="hr-HR"/>
        </w:rPr>
        <w:t xml:space="preserve">nadležno za socijalnu skrb </w:t>
      </w:r>
      <w:r w:rsidRPr="00F61DBD">
        <w:rPr>
          <w:rFonts w:ascii="Times New Roman" w:hAnsi="Times New Roman" w:cs="Times New Roman"/>
          <w:sz w:val="24"/>
          <w:szCs w:val="24"/>
          <w:lang w:eastAsia="hr-HR"/>
        </w:rPr>
        <w:t xml:space="preserve">je nabavljao zaštitnu opremu i opskrbljivalo pružatelje usluga koliko je god to bilo moguće; distribuirano je više od 200 tisuća maski i 200 tisuća rukavica, 2800 zaštitnih ogrtača, 2500 litara alkohola, 2500 litara dezinfekcijskih sredstava za ruke za što je iz proračuna je utrošeno ukupno 1.734.358,25 kuna. </w:t>
      </w:r>
      <w:r>
        <w:rPr>
          <w:rFonts w:ascii="Times New Roman" w:hAnsi="Times New Roman" w:cs="Times New Roman"/>
          <w:sz w:val="24"/>
          <w:szCs w:val="24"/>
          <w:lang w:eastAsia="hr-HR"/>
        </w:rPr>
        <w:t xml:space="preserve">Nakon navedenog razdoblja </w:t>
      </w:r>
      <w:r w:rsidRPr="00F61DBD">
        <w:rPr>
          <w:rFonts w:ascii="Times New Roman" w:hAnsi="Times New Roman" w:cs="Times New Roman"/>
          <w:sz w:val="24"/>
          <w:szCs w:val="24"/>
          <w:lang w:eastAsia="hr-HR"/>
        </w:rPr>
        <w:t>oprema se u suradnji sa Stožerom civilne zaštite RH i županijskim stožerima osigurava svim pružateljima usluga koji imaju potrebu za dodatnom zaštitnom opremom sukladno njihovim zahtjevima</w:t>
      </w:r>
      <w:r>
        <w:rPr>
          <w:rFonts w:ascii="Times New Roman" w:hAnsi="Times New Roman" w:cs="Times New Roman"/>
          <w:sz w:val="24"/>
          <w:szCs w:val="24"/>
          <w:lang w:eastAsia="hr-HR"/>
        </w:rPr>
        <w:t>.</w:t>
      </w:r>
    </w:p>
    <w:p w14:paraId="18394B73" w14:textId="77777777" w:rsidR="00541503" w:rsidRDefault="00541503" w:rsidP="00541503">
      <w:pPr>
        <w:spacing w:after="0" w:line="240" w:lineRule="auto"/>
        <w:jc w:val="both"/>
        <w:rPr>
          <w:rFonts w:ascii="Times New Roman" w:hAnsi="Times New Roman" w:cs="Times New Roman"/>
          <w:sz w:val="24"/>
          <w:szCs w:val="24"/>
          <w:lang w:eastAsia="hr-HR"/>
        </w:rPr>
      </w:pPr>
    </w:p>
    <w:p w14:paraId="691031B3" w14:textId="77777777" w:rsidR="00541503" w:rsidRPr="009F7F1F" w:rsidRDefault="00541503" w:rsidP="00541503">
      <w:pPr>
        <w:spacing w:after="0" w:line="240" w:lineRule="auto"/>
        <w:jc w:val="both"/>
        <w:rPr>
          <w:rFonts w:ascii="Times New Roman" w:hAnsi="Times New Roman" w:cs="Times New Roman"/>
          <w:sz w:val="24"/>
          <w:szCs w:val="24"/>
          <w:lang w:eastAsia="hr-HR"/>
        </w:rPr>
      </w:pPr>
      <w:r>
        <w:rPr>
          <w:rFonts w:ascii="Times New Roman" w:hAnsi="Times New Roman" w:cs="Times New Roman"/>
          <w:sz w:val="24"/>
          <w:szCs w:val="24"/>
          <w:lang w:eastAsia="hr-HR"/>
        </w:rPr>
        <w:lastRenderedPageBreak/>
        <w:t>U području z</w:t>
      </w:r>
      <w:r w:rsidRPr="009F7F1F">
        <w:rPr>
          <w:rFonts w:ascii="Times New Roman" w:hAnsi="Times New Roman" w:cs="Times New Roman"/>
          <w:sz w:val="24"/>
          <w:szCs w:val="24"/>
          <w:lang w:eastAsia="hr-HR"/>
        </w:rPr>
        <w:t>dravstva</w:t>
      </w:r>
      <w:r>
        <w:rPr>
          <w:rFonts w:ascii="Times New Roman" w:hAnsi="Times New Roman" w:cs="Times New Roman"/>
          <w:sz w:val="24"/>
          <w:szCs w:val="24"/>
          <w:lang w:eastAsia="hr-HR"/>
        </w:rPr>
        <w:t xml:space="preserve"> ističe se da u </w:t>
      </w:r>
      <w:r w:rsidRPr="009F7F1F">
        <w:rPr>
          <w:rFonts w:ascii="Times New Roman" w:hAnsi="Times New Roman" w:cs="Times New Roman"/>
          <w:sz w:val="24"/>
          <w:szCs w:val="24"/>
          <w:lang w:eastAsia="hr-HR"/>
        </w:rPr>
        <w:t>redovnoj i u aktualnoj situaciji epidemije bolesti COVID-19, svaka osoba ima pravo na zdravstvenu zaštitu i na mogućnost ostvarenja najviše moguće razine zdravlja, u skladu s odredbama Zakona o zdravstvenoj zaštiti</w:t>
      </w:r>
      <w:r>
        <w:rPr>
          <w:rFonts w:ascii="Times New Roman" w:hAnsi="Times New Roman" w:cs="Times New Roman"/>
          <w:sz w:val="24"/>
          <w:szCs w:val="24"/>
          <w:lang w:eastAsia="hr-HR"/>
        </w:rPr>
        <w:t xml:space="preserve">, </w:t>
      </w:r>
      <w:r w:rsidRPr="009F7F1F">
        <w:rPr>
          <w:rFonts w:ascii="Times New Roman" w:hAnsi="Times New Roman" w:cs="Times New Roman"/>
          <w:sz w:val="24"/>
          <w:szCs w:val="24"/>
          <w:lang w:eastAsia="hr-HR"/>
        </w:rPr>
        <w:t>Zakona o obveznom zdravstvenom osiguranju, Zakona o zaštiti prava pacijenata</w:t>
      </w:r>
      <w:r>
        <w:rPr>
          <w:rFonts w:ascii="Times New Roman" w:hAnsi="Times New Roman" w:cs="Times New Roman"/>
          <w:sz w:val="24"/>
          <w:szCs w:val="24"/>
          <w:lang w:eastAsia="hr-HR"/>
        </w:rPr>
        <w:t>,</w:t>
      </w:r>
      <w:r w:rsidRPr="009F7F1F">
        <w:rPr>
          <w:rFonts w:ascii="Times New Roman" w:hAnsi="Times New Roman" w:cs="Times New Roman"/>
          <w:sz w:val="24"/>
          <w:szCs w:val="24"/>
          <w:lang w:eastAsia="hr-HR"/>
        </w:rPr>
        <w:t xml:space="preserve"> te brojnim drugim zakonima i podzakonskim aktima.</w:t>
      </w:r>
    </w:p>
    <w:p w14:paraId="2D4F7F56" w14:textId="77777777" w:rsidR="00541503" w:rsidRPr="009F7F1F" w:rsidRDefault="00541503" w:rsidP="00541503">
      <w:pPr>
        <w:spacing w:after="0" w:line="240" w:lineRule="auto"/>
        <w:jc w:val="both"/>
        <w:rPr>
          <w:rFonts w:ascii="Times New Roman" w:hAnsi="Times New Roman" w:cs="Times New Roman"/>
          <w:sz w:val="24"/>
          <w:szCs w:val="24"/>
          <w:lang w:eastAsia="hr-HR"/>
        </w:rPr>
      </w:pPr>
      <w:r w:rsidRPr="009F7F1F">
        <w:rPr>
          <w:rFonts w:ascii="Times New Roman" w:hAnsi="Times New Roman" w:cs="Times New Roman"/>
          <w:sz w:val="24"/>
          <w:szCs w:val="24"/>
          <w:lang w:eastAsia="hr-HR"/>
        </w:rPr>
        <w:t>Sveobuhvatnost zdravstvene zaštite</w:t>
      </w:r>
      <w:r>
        <w:rPr>
          <w:rFonts w:ascii="Times New Roman" w:hAnsi="Times New Roman" w:cs="Times New Roman"/>
          <w:sz w:val="24"/>
          <w:szCs w:val="24"/>
          <w:lang w:eastAsia="hr-HR"/>
        </w:rPr>
        <w:t xml:space="preserve"> </w:t>
      </w:r>
      <w:r w:rsidRPr="009F7F1F">
        <w:rPr>
          <w:rFonts w:ascii="Times New Roman" w:hAnsi="Times New Roman" w:cs="Times New Roman"/>
          <w:sz w:val="24"/>
          <w:szCs w:val="24"/>
          <w:lang w:eastAsia="hr-HR"/>
        </w:rPr>
        <w:t>uključuje cjelokupno stanovništvo Republike Hrvatske, što podrazumijeva i osobe s invaliditetom, u provedbi odgovarajućih mjera zdravstvene zaštite.</w:t>
      </w:r>
    </w:p>
    <w:p w14:paraId="5DD4E1E1" w14:textId="77777777" w:rsidR="00541503" w:rsidRPr="009F7F1F" w:rsidRDefault="00541503" w:rsidP="00541503">
      <w:pPr>
        <w:spacing w:after="0" w:line="240" w:lineRule="auto"/>
        <w:jc w:val="both"/>
        <w:rPr>
          <w:rFonts w:ascii="Times New Roman" w:hAnsi="Times New Roman" w:cs="Times New Roman"/>
          <w:sz w:val="24"/>
          <w:szCs w:val="24"/>
          <w:lang w:eastAsia="hr-HR"/>
        </w:rPr>
      </w:pPr>
      <w:r w:rsidRPr="009F7F1F">
        <w:rPr>
          <w:rFonts w:ascii="Times New Roman" w:hAnsi="Times New Roman" w:cs="Times New Roman"/>
          <w:sz w:val="24"/>
          <w:szCs w:val="24"/>
          <w:lang w:eastAsia="hr-HR"/>
        </w:rPr>
        <w:t>Svi dijagnostički i terapijski postupci odvijaju se u skladu sa stručnim smjernicama i prioritetima.</w:t>
      </w:r>
      <w:r>
        <w:rPr>
          <w:rFonts w:ascii="Times New Roman" w:hAnsi="Times New Roman" w:cs="Times New Roman"/>
          <w:sz w:val="24"/>
          <w:szCs w:val="24"/>
          <w:lang w:eastAsia="hr-HR"/>
        </w:rPr>
        <w:t xml:space="preserve"> </w:t>
      </w:r>
      <w:r w:rsidRPr="009F7F1F">
        <w:rPr>
          <w:rFonts w:ascii="Times New Roman" w:hAnsi="Times New Roman" w:cs="Times New Roman"/>
          <w:sz w:val="24"/>
          <w:szCs w:val="24"/>
          <w:lang w:eastAsia="hr-HR"/>
        </w:rPr>
        <w:t>U vezi zaštite od infekcije virusom SARS-CoV-2 objavljen je čitav niz preporuka o postupanju u različitim situacijama.</w:t>
      </w:r>
    </w:p>
    <w:p w14:paraId="4AEA5432" w14:textId="77777777" w:rsidR="00541503" w:rsidRPr="009F7F1F" w:rsidRDefault="00541503" w:rsidP="00541503">
      <w:pPr>
        <w:spacing w:after="0" w:line="240" w:lineRule="auto"/>
        <w:jc w:val="both"/>
        <w:rPr>
          <w:rFonts w:ascii="Times New Roman" w:hAnsi="Times New Roman" w:cs="Times New Roman"/>
          <w:sz w:val="24"/>
          <w:szCs w:val="24"/>
          <w:lang w:eastAsia="hr-HR"/>
        </w:rPr>
      </w:pPr>
      <w:r w:rsidRPr="009F7F1F">
        <w:rPr>
          <w:rFonts w:ascii="Times New Roman" w:hAnsi="Times New Roman" w:cs="Times New Roman"/>
          <w:sz w:val="24"/>
          <w:szCs w:val="24"/>
          <w:lang w:eastAsia="hr-HR"/>
        </w:rPr>
        <w:t>Preporuke i upute iz raznih područja uključujući područja zdravstvene zaštite, socijalne skrbi itd.,</w:t>
      </w:r>
      <w:r>
        <w:rPr>
          <w:rFonts w:ascii="Times New Roman" w:hAnsi="Times New Roman" w:cs="Times New Roman"/>
          <w:sz w:val="24"/>
          <w:szCs w:val="24"/>
          <w:lang w:eastAsia="hr-HR"/>
        </w:rPr>
        <w:t xml:space="preserve"> </w:t>
      </w:r>
      <w:r w:rsidRPr="009F7F1F">
        <w:rPr>
          <w:rFonts w:ascii="Times New Roman" w:hAnsi="Times New Roman" w:cs="Times New Roman"/>
          <w:sz w:val="24"/>
          <w:szCs w:val="24"/>
          <w:lang w:eastAsia="hr-HR"/>
        </w:rPr>
        <w:t>dostupne su na mrežnim stranicama Hrvatskog zavoda za javno zdravstvo: https://www.hziz.hr/sluzba-epidemiologi</w:t>
      </w:r>
      <w:r>
        <w:rPr>
          <w:rFonts w:ascii="Times New Roman" w:hAnsi="Times New Roman" w:cs="Times New Roman"/>
          <w:sz w:val="24"/>
          <w:szCs w:val="24"/>
          <w:lang w:eastAsia="hr-HR"/>
        </w:rPr>
        <w:t>j</w:t>
      </w:r>
      <w:r w:rsidRPr="009F7F1F">
        <w:rPr>
          <w:rFonts w:ascii="Times New Roman" w:hAnsi="Times New Roman" w:cs="Times New Roman"/>
          <w:sz w:val="24"/>
          <w:szCs w:val="24"/>
          <w:lang w:eastAsia="hr-HR"/>
        </w:rPr>
        <w:t>a-zarazne-bolesti/koronavirus-nainovi</w:t>
      </w:r>
      <w:r>
        <w:rPr>
          <w:rFonts w:ascii="Times New Roman" w:hAnsi="Times New Roman" w:cs="Times New Roman"/>
          <w:sz w:val="24"/>
          <w:szCs w:val="24"/>
          <w:lang w:eastAsia="hr-HR"/>
        </w:rPr>
        <w:t>j</w:t>
      </w:r>
      <w:r w:rsidRPr="009F7F1F">
        <w:rPr>
          <w:rFonts w:ascii="Times New Roman" w:hAnsi="Times New Roman" w:cs="Times New Roman"/>
          <w:sz w:val="24"/>
          <w:szCs w:val="24"/>
          <w:lang w:eastAsia="hr-HR"/>
        </w:rPr>
        <w:t>epreporuke/</w:t>
      </w:r>
    </w:p>
    <w:p w14:paraId="1AACEBBE" w14:textId="77777777" w:rsidR="00541503" w:rsidRPr="009F7F1F" w:rsidRDefault="00541503" w:rsidP="00541503">
      <w:pPr>
        <w:spacing w:after="0" w:line="240" w:lineRule="auto"/>
        <w:jc w:val="both"/>
        <w:rPr>
          <w:rFonts w:ascii="Times New Roman" w:hAnsi="Times New Roman" w:cs="Times New Roman"/>
          <w:sz w:val="24"/>
          <w:szCs w:val="24"/>
          <w:lang w:eastAsia="hr-HR"/>
        </w:rPr>
      </w:pPr>
      <w:r w:rsidRPr="009F7F1F">
        <w:rPr>
          <w:rFonts w:ascii="Times New Roman" w:hAnsi="Times New Roman" w:cs="Times New Roman"/>
          <w:sz w:val="24"/>
          <w:szCs w:val="24"/>
          <w:lang w:eastAsia="hr-HR"/>
        </w:rPr>
        <w:t xml:space="preserve">Hrvatski zavod za javno zdravstvo izdao je posebne mjere zaštite za osobe s  invaliditetom tijekom pandemije COVID-19 </w:t>
      </w:r>
      <w:hyperlink r:id="rId19" w:history="1">
        <w:r w:rsidRPr="00EB5658">
          <w:rPr>
            <w:rStyle w:val="Hiperveza"/>
            <w:sz w:val="24"/>
            <w:szCs w:val="24"/>
          </w:rPr>
          <w:t>https://www.hziz.hr/wpcontent/uploads/2_020/03/Osobe_s_ invalidietomi_Mjere_zastite_28_06.pdf</w:t>
        </w:r>
      </w:hyperlink>
      <w:r>
        <w:rPr>
          <w:rFonts w:ascii="Times New Roman" w:hAnsi="Times New Roman" w:cs="Times New Roman"/>
          <w:sz w:val="24"/>
          <w:szCs w:val="24"/>
          <w:lang w:eastAsia="hr-HR"/>
        </w:rPr>
        <w:t xml:space="preserve">. </w:t>
      </w:r>
      <w:r w:rsidRPr="009F7F1F">
        <w:rPr>
          <w:rFonts w:ascii="Times New Roman" w:hAnsi="Times New Roman" w:cs="Times New Roman"/>
          <w:sz w:val="24"/>
          <w:szCs w:val="24"/>
          <w:lang w:eastAsia="hr-HR"/>
        </w:rPr>
        <w:t>Na mrežnim stranicama Ministarstva zdravstva i službenim stranicama Vlade Republike  Hrvatske objavljene su info</w:t>
      </w:r>
      <w:r>
        <w:rPr>
          <w:rFonts w:ascii="Times New Roman" w:hAnsi="Times New Roman" w:cs="Times New Roman"/>
          <w:sz w:val="24"/>
          <w:szCs w:val="24"/>
          <w:lang w:eastAsia="hr-HR"/>
        </w:rPr>
        <w:t>rm</w:t>
      </w:r>
      <w:r w:rsidRPr="009F7F1F">
        <w:rPr>
          <w:rFonts w:ascii="Times New Roman" w:hAnsi="Times New Roman" w:cs="Times New Roman"/>
          <w:sz w:val="24"/>
          <w:szCs w:val="24"/>
          <w:lang w:eastAsia="hr-HR"/>
        </w:rPr>
        <w:t xml:space="preserve">acije o </w:t>
      </w:r>
      <w:proofErr w:type="spellStart"/>
      <w:r w:rsidRPr="009F7F1F">
        <w:rPr>
          <w:rFonts w:ascii="Times New Roman" w:hAnsi="Times New Roman" w:cs="Times New Roman"/>
          <w:sz w:val="24"/>
          <w:szCs w:val="24"/>
          <w:lang w:eastAsia="hr-HR"/>
        </w:rPr>
        <w:t>koronavirusu</w:t>
      </w:r>
      <w:proofErr w:type="spellEnd"/>
      <w:r w:rsidRPr="009F7F1F">
        <w:rPr>
          <w:rFonts w:ascii="Times New Roman" w:hAnsi="Times New Roman" w:cs="Times New Roman"/>
          <w:sz w:val="24"/>
          <w:szCs w:val="24"/>
          <w:lang w:eastAsia="hr-HR"/>
        </w:rPr>
        <w:t>:</w:t>
      </w:r>
    </w:p>
    <w:p w14:paraId="76DC88E0" w14:textId="77777777" w:rsidR="00541503" w:rsidRDefault="00F90F6F" w:rsidP="00541503">
      <w:pPr>
        <w:spacing w:after="0" w:line="240" w:lineRule="auto"/>
        <w:jc w:val="both"/>
        <w:rPr>
          <w:rFonts w:ascii="Times New Roman" w:hAnsi="Times New Roman" w:cs="Times New Roman"/>
          <w:sz w:val="24"/>
          <w:szCs w:val="24"/>
          <w:lang w:eastAsia="hr-HR"/>
        </w:rPr>
      </w:pPr>
      <w:hyperlink r:id="rId20" w:history="1">
        <w:r w:rsidR="00541503" w:rsidRPr="00EB5658">
          <w:rPr>
            <w:rStyle w:val="Hiperveza"/>
            <w:sz w:val="24"/>
            <w:szCs w:val="24"/>
          </w:rPr>
          <w:t>https://zdravlje.gov.hr/koronavirus-i-mjere-prevencije/4952/</w:t>
        </w:r>
      </w:hyperlink>
      <w:r w:rsidR="00541503">
        <w:rPr>
          <w:rFonts w:ascii="Times New Roman" w:hAnsi="Times New Roman" w:cs="Times New Roman"/>
          <w:sz w:val="24"/>
          <w:szCs w:val="24"/>
          <w:lang w:eastAsia="hr-HR"/>
        </w:rPr>
        <w:t xml:space="preserve"> i</w:t>
      </w:r>
      <w:r w:rsidR="00541503" w:rsidRPr="009F7F1F">
        <w:rPr>
          <w:rFonts w:ascii="Times New Roman" w:hAnsi="Times New Roman" w:cs="Times New Roman"/>
          <w:sz w:val="24"/>
          <w:szCs w:val="24"/>
          <w:lang w:eastAsia="hr-HR"/>
        </w:rPr>
        <w:t xml:space="preserve"> </w:t>
      </w:r>
      <w:hyperlink r:id="rId21" w:history="1">
        <w:r w:rsidR="00541503" w:rsidRPr="00EB5658">
          <w:rPr>
            <w:rStyle w:val="Hiperveza"/>
            <w:sz w:val="24"/>
            <w:szCs w:val="24"/>
          </w:rPr>
          <w:t>https://www.koronavirus.hr/</w:t>
        </w:r>
      </w:hyperlink>
      <w:r w:rsidR="00541503">
        <w:rPr>
          <w:rFonts w:ascii="Times New Roman" w:hAnsi="Times New Roman" w:cs="Times New Roman"/>
          <w:sz w:val="24"/>
          <w:szCs w:val="24"/>
          <w:lang w:eastAsia="hr-HR"/>
        </w:rPr>
        <w:t>.</w:t>
      </w:r>
    </w:p>
    <w:p w14:paraId="057BE3B4" w14:textId="77777777" w:rsidR="00541503" w:rsidRPr="009F7F1F" w:rsidRDefault="00541503" w:rsidP="00541503">
      <w:pPr>
        <w:spacing w:after="0" w:line="240" w:lineRule="auto"/>
        <w:jc w:val="both"/>
        <w:rPr>
          <w:rFonts w:ascii="Times New Roman" w:hAnsi="Times New Roman" w:cs="Times New Roman"/>
          <w:sz w:val="24"/>
          <w:szCs w:val="24"/>
          <w:lang w:eastAsia="hr-HR"/>
        </w:rPr>
      </w:pPr>
    </w:p>
    <w:p w14:paraId="7CDB1A46" w14:textId="77777777" w:rsidR="00541503" w:rsidRDefault="00541503" w:rsidP="00541503">
      <w:pPr>
        <w:spacing w:after="0" w:line="240" w:lineRule="auto"/>
        <w:jc w:val="both"/>
        <w:rPr>
          <w:rFonts w:ascii="Times New Roman" w:hAnsi="Times New Roman" w:cs="Times New Roman"/>
          <w:sz w:val="24"/>
          <w:szCs w:val="24"/>
          <w:lang w:eastAsia="hr-HR"/>
        </w:rPr>
      </w:pPr>
      <w:r w:rsidRPr="009F7F1F">
        <w:rPr>
          <w:rFonts w:ascii="Times New Roman" w:hAnsi="Times New Roman" w:cs="Times New Roman"/>
          <w:sz w:val="24"/>
          <w:szCs w:val="24"/>
          <w:lang w:eastAsia="hr-HR"/>
        </w:rPr>
        <w:t>Sukladno epidemiološkoj situaciji te preporukama i uputama stručnjaka, u suradnji sa svim nadležnim institucijama kontinuirano se unaprjeđuju i prilagođavaju mjere i aktivnosti u cilju osiguravanja najviše moguće razine zdravlja svih građana, a uvažavajući kada je to moguće specifične potrebe osoba s invaliditetom.</w:t>
      </w:r>
    </w:p>
    <w:p w14:paraId="7C8BDDDF" w14:textId="77777777" w:rsidR="00541503" w:rsidRDefault="00541503" w:rsidP="00541503">
      <w:pPr>
        <w:spacing w:after="0" w:line="240" w:lineRule="auto"/>
        <w:jc w:val="both"/>
        <w:rPr>
          <w:rFonts w:ascii="Times New Roman" w:hAnsi="Times New Roman" w:cs="Times New Roman"/>
          <w:sz w:val="24"/>
          <w:szCs w:val="24"/>
          <w:lang w:eastAsia="hr-HR"/>
        </w:rPr>
      </w:pPr>
    </w:p>
    <w:p w14:paraId="1CCBAA53" w14:textId="77777777" w:rsidR="00541503" w:rsidRPr="004A7B56" w:rsidRDefault="00541503" w:rsidP="00541503">
      <w:pPr>
        <w:spacing w:after="0" w:line="240" w:lineRule="auto"/>
        <w:jc w:val="both"/>
        <w:rPr>
          <w:rFonts w:ascii="Times New Roman" w:hAnsi="Times New Roman" w:cs="Times New Roman"/>
          <w:sz w:val="24"/>
          <w:szCs w:val="24"/>
          <w:lang w:eastAsia="hr-HR"/>
        </w:rPr>
      </w:pPr>
      <w:r w:rsidRPr="004A7B56">
        <w:rPr>
          <w:rFonts w:ascii="Times New Roman" w:hAnsi="Times New Roman" w:cs="Times New Roman"/>
          <w:sz w:val="24"/>
          <w:szCs w:val="24"/>
          <w:lang w:eastAsia="hr-HR"/>
        </w:rPr>
        <w:t>Vlada Republike Hrvatske je donijela Odluku o isplati jednokratnog novčanog primanja korisnicima mirovine radi ublažavanja posljedica uzrokovanih epidemijom bolesti COVID-19, kojom je korisnicima mirovine ostvarene u Republici Hrvatskoj, među kojima su i osobe s invaliditetom, osigurala  tzv. C</w:t>
      </w:r>
      <w:r>
        <w:rPr>
          <w:rFonts w:ascii="Times New Roman" w:hAnsi="Times New Roman" w:cs="Times New Roman"/>
          <w:sz w:val="24"/>
          <w:szCs w:val="24"/>
          <w:lang w:eastAsia="hr-HR"/>
        </w:rPr>
        <w:t>OVID</w:t>
      </w:r>
      <w:r w:rsidRPr="004A7B56">
        <w:rPr>
          <w:rFonts w:ascii="Times New Roman" w:hAnsi="Times New Roman" w:cs="Times New Roman"/>
          <w:sz w:val="24"/>
          <w:szCs w:val="24"/>
          <w:lang w:eastAsia="hr-HR"/>
        </w:rPr>
        <w:t xml:space="preserve"> dodatak, kojim se obuhvaća 850.000 korisnika te nije oporeziv ni predmet ovrhe, a isplata je započela u travnju 2021.</w:t>
      </w:r>
    </w:p>
    <w:p w14:paraId="4C5204CC" w14:textId="77777777" w:rsidR="00541503" w:rsidRPr="004A7B56" w:rsidRDefault="00541503" w:rsidP="00541503">
      <w:pPr>
        <w:spacing w:after="0" w:line="240" w:lineRule="auto"/>
        <w:jc w:val="both"/>
        <w:rPr>
          <w:rFonts w:ascii="Times New Roman" w:hAnsi="Times New Roman" w:cs="Times New Roman"/>
          <w:sz w:val="24"/>
          <w:szCs w:val="24"/>
          <w:lang w:eastAsia="hr-HR"/>
        </w:rPr>
      </w:pPr>
    </w:p>
    <w:p w14:paraId="018EED5D" w14:textId="77777777" w:rsidR="00541503" w:rsidRPr="004A7B56" w:rsidRDefault="00541503" w:rsidP="00541503">
      <w:pPr>
        <w:spacing w:after="0" w:line="240" w:lineRule="auto"/>
        <w:jc w:val="both"/>
        <w:rPr>
          <w:rFonts w:ascii="Times New Roman" w:hAnsi="Times New Roman" w:cs="Times New Roman"/>
          <w:sz w:val="24"/>
          <w:szCs w:val="24"/>
          <w:lang w:eastAsia="hr-HR"/>
        </w:rPr>
      </w:pPr>
      <w:r w:rsidRPr="004A7B56">
        <w:rPr>
          <w:rFonts w:ascii="Times New Roman" w:hAnsi="Times New Roman" w:cs="Times New Roman"/>
          <w:sz w:val="24"/>
          <w:szCs w:val="24"/>
          <w:lang w:eastAsia="hr-HR"/>
        </w:rPr>
        <w:t>Najviši dodatak od 1.200,00 kuna namijenjen je za umirovljenike s najnižim mirovinama (koji imaju ukupna mirovinska primanja do 1500 kuna). Onima kojima je iznos mirovine između 1500 i 2000 kuna dodatak iznosi 900,00 kuna, za umirovljenike koji imaju primanja u rasponu od 2.000,00 do 3.000,00  kuna dodatak iznosi 600,00 kuna, a oni s mirovinom od 3.000,00 do 4.000,00 kuna dodatak iznosi 400,00 kuna.</w:t>
      </w:r>
    </w:p>
    <w:p w14:paraId="6334C7CC" w14:textId="77777777" w:rsidR="00541503" w:rsidRDefault="00541503" w:rsidP="00541503">
      <w:pPr>
        <w:spacing w:after="0" w:line="240" w:lineRule="auto"/>
        <w:jc w:val="both"/>
        <w:rPr>
          <w:rFonts w:ascii="Times New Roman" w:hAnsi="Times New Roman" w:cs="Times New Roman"/>
          <w:sz w:val="24"/>
          <w:szCs w:val="24"/>
          <w:lang w:eastAsia="hr-HR"/>
        </w:rPr>
      </w:pPr>
    </w:p>
    <w:p w14:paraId="7AE1D418" w14:textId="77777777" w:rsidR="00541503" w:rsidRDefault="00541503" w:rsidP="00541503">
      <w:pPr>
        <w:spacing w:after="0" w:line="240" w:lineRule="auto"/>
        <w:jc w:val="both"/>
        <w:rPr>
          <w:rFonts w:ascii="Times New Roman" w:hAnsi="Times New Roman" w:cs="Times New Roman"/>
          <w:sz w:val="24"/>
          <w:szCs w:val="24"/>
          <w:lang w:eastAsia="hr-HR"/>
        </w:rPr>
      </w:pPr>
      <w:r>
        <w:rPr>
          <w:rFonts w:ascii="Times New Roman" w:hAnsi="Times New Roman" w:cs="Times New Roman"/>
          <w:sz w:val="24"/>
          <w:szCs w:val="24"/>
          <w:lang w:eastAsia="hr-HR"/>
        </w:rPr>
        <w:t>U cilju motiviranja većeg broja građana starije dobi za cijepljenje protiv navedene zaraze Ministarstvo nadležno za socijalnu skrb osiguralo je sljedeće:</w:t>
      </w:r>
    </w:p>
    <w:p w14:paraId="4492931B" w14:textId="77777777" w:rsidR="00541503" w:rsidRDefault="00541503" w:rsidP="00FB05F1">
      <w:pPr>
        <w:pStyle w:val="Odlomakpopisa"/>
        <w:numPr>
          <w:ilvl w:val="0"/>
          <w:numId w:val="24"/>
        </w:numPr>
        <w:spacing w:after="0" w:line="240" w:lineRule="auto"/>
        <w:ind w:left="426" w:hanging="284"/>
        <w:jc w:val="both"/>
        <w:rPr>
          <w:rFonts w:ascii="Times New Roman" w:hAnsi="Times New Roman" w:cs="Times New Roman"/>
          <w:sz w:val="24"/>
          <w:szCs w:val="24"/>
          <w:lang w:eastAsia="hr-HR"/>
        </w:rPr>
      </w:pPr>
      <w:r>
        <w:rPr>
          <w:rFonts w:ascii="Times New Roman" w:hAnsi="Times New Roman" w:cs="Times New Roman"/>
          <w:sz w:val="24"/>
          <w:szCs w:val="24"/>
          <w:lang w:eastAsia="hr-HR"/>
        </w:rPr>
        <w:t xml:space="preserve">Komuniciranje ključne poruke na web </w:t>
      </w:r>
      <w:proofErr w:type="spellStart"/>
      <w:r>
        <w:rPr>
          <w:rFonts w:ascii="Times New Roman" w:hAnsi="Times New Roman" w:cs="Times New Roman"/>
          <w:sz w:val="24"/>
          <w:szCs w:val="24"/>
          <w:lang w:eastAsia="hr-HR"/>
        </w:rPr>
        <w:t>banneru</w:t>
      </w:r>
      <w:proofErr w:type="spellEnd"/>
      <w:r>
        <w:rPr>
          <w:rFonts w:ascii="Times New Roman" w:hAnsi="Times New Roman" w:cs="Times New Roman"/>
          <w:sz w:val="24"/>
          <w:szCs w:val="24"/>
          <w:lang w:eastAsia="hr-HR"/>
        </w:rPr>
        <w:t xml:space="preserve"> koji vodi na relevantne informacije za cijepljenje (dostupan na portalima Hrvatskog zavoda za mirovinsko osiguranje,</w:t>
      </w:r>
      <w:r w:rsidRPr="00583EA5">
        <w:t xml:space="preserve"> </w:t>
      </w:r>
      <w:r w:rsidRPr="00583EA5">
        <w:rPr>
          <w:rFonts w:ascii="Times New Roman" w:hAnsi="Times New Roman" w:cs="Times New Roman"/>
          <w:sz w:val="24"/>
          <w:szCs w:val="24"/>
          <w:lang w:eastAsia="hr-HR"/>
        </w:rPr>
        <w:t>Središnj</w:t>
      </w:r>
      <w:r>
        <w:rPr>
          <w:rFonts w:ascii="Times New Roman" w:hAnsi="Times New Roman" w:cs="Times New Roman"/>
          <w:sz w:val="24"/>
          <w:szCs w:val="24"/>
          <w:lang w:eastAsia="hr-HR"/>
        </w:rPr>
        <w:t>eg</w:t>
      </w:r>
      <w:r w:rsidRPr="00583EA5">
        <w:rPr>
          <w:rFonts w:ascii="Times New Roman" w:hAnsi="Times New Roman" w:cs="Times New Roman"/>
          <w:sz w:val="24"/>
          <w:szCs w:val="24"/>
          <w:lang w:eastAsia="hr-HR"/>
        </w:rPr>
        <w:t xml:space="preserve"> regis</w:t>
      </w:r>
      <w:r>
        <w:rPr>
          <w:rFonts w:ascii="Times New Roman" w:hAnsi="Times New Roman" w:cs="Times New Roman"/>
          <w:sz w:val="24"/>
          <w:szCs w:val="24"/>
          <w:lang w:eastAsia="hr-HR"/>
        </w:rPr>
        <w:t>tra</w:t>
      </w:r>
      <w:r w:rsidRPr="00583EA5">
        <w:rPr>
          <w:rFonts w:ascii="Times New Roman" w:hAnsi="Times New Roman" w:cs="Times New Roman"/>
          <w:sz w:val="24"/>
          <w:szCs w:val="24"/>
          <w:lang w:eastAsia="hr-HR"/>
        </w:rPr>
        <w:t xml:space="preserve"> osiguranika</w:t>
      </w:r>
      <w:r>
        <w:rPr>
          <w:rFonts w:ascii="Times New Roman" w:hAnsi="Times New Roman" w:cs="Times New Roman"/>
          <w:sz w:val="24"/>
          <w:szCs w:val="24"/>
          <w:lang w:eastAsia="hr-HR"/>
        </w:rPr>
        <w:t xml:space="preserve"> i </w:t>
      </w:r>
      <w:r w:rsidRPr="00CD045B">
        <w:rPr>
          <w:rFonts w:ascii="Times New Roman" w:hAnsi="Times New Roman" w:cs="Times New Roman"/>
          <w:sz w:val="24"/>
          <w:szCs w:val="24"/>
        </w:rPr>
        <w:t>Zavod</w:t>
      </w:r>
      <w:r>
        <w:rPr>
          <w:rFonts w:ascii="Times New Roman" w:hAnsi="Times New Roman" w:cs="Times New Roman"/>
          <w:sz w:val="24"/>
          <w:szCs w:val="24"/>
        </w:rPr>
        <w:t>a</w:t>
      </w:r>
      <w:r w:rsidRPr="00CD045B">
        <w:rPr>
          <w:rFonts w:ascii="Times New Roman" w:hAnsi="Times New Roman" w:cs="Times New Roman"/>
          <w:sz w:val="24"/>
          <w:szCs w:val="24"/>
        </w:rPr>
        <w:t xml:space="preserve"> za vještačenje, profesionalnu rehabilitaciju i zapošljavanje osoba s invaliditetom</w:t>
      </w:r>
      <w:r>
        <w:rPr>
          <w:rFonts w:ascii="Times New Roman" w:hAnsi="Times New Roman" w:cs="Times New Roman"/>
          <w:sz w:val="24"/>
          <w:szCs w:val="24"/>
        </w:rPr>
        <w:t>)</w:t>
      </w:r>
    </w:p>
    <w:p w14:paraId="46224C59" w14:textId="77777777" w:rsidR="00541503" w:rsidRDefault="00541503" w:rsidP="00FB05F1">
      <w:pPr>
        <w:pStyle w:val="Odlomakpopisa"/>
        <w:numPr>
          <w:ilvl w:val="0"/>
          <w:numId w:val="24"/>
        </w:numPr>
        <w:spacing w:after="0" w:line="240" w:lineRule="auto"/>
        <w:ind w:left="426" w:hanging="284"/>
        <w:jc w:val="both"/>
        <w:rPr>
          <w:rFonts w:ascii="Times New Roman" w:hAnsi="Times New Roman" w:cs="Times New Roman"/>
          <w:sz w:val="24"/>
          <w:szCs w:val="24"/>
          <w:lang w:eastAsia="hr-HR"/>
        </w:rPr>
      </w:pPr>
      <w:r>
        <w:rPr>
          <w:rFonts w:ascii="Times New Roman" w:hAnsi="Times New Roman" w:cs="Times New Roman"/>
          <w:sz w:val="24"/>
          <w:szCs w:val="24"/>
          <w:lang w:eastAsia="hr-HR"/>
        </w:rPr>
        <w:t>Komuniciranje ključne poruke na izresku od mirovina</w:t>
      </w:r>
    </w:p>
    <w:p w14:paraId="2CD7CE7F" w14:textId="77777777" w:rsidR="00541503" w:rsidRDefault="00541503" w:rsidP="00FB05F1">
      <w:pPr>
        <w:pStyle w:val="Odlomakpopisa"/>
        <w:numPr>
          <w:ilvl w:val="0"/>
          <w:numId w:val="24"/>
        </w:numPr>
        <w:spacing w:after="0" w:line="240" w:lineRule="auto"/>
        <w:ind w:left="426" w:hanging="284"/>
        <w:jc w:val="both"/>
        <w:rPr>
          <w:rFonts w:ascii="Times New Roman" w:hAnsi="Times New Roman" w:cs="Times New Roman"/>
          <w:sz w:val="24"/>
          <w:szCs w:val="24"/>
          <w:lang w:eastAsia="hr-HR"/>
        </w:rPr>
      </w:pPr>
      <w:r>
        <w:rPr>
          <w:rFonts w:ascii="Times New Roman" w:hAnsi="Times New Roman" w:cs="Times New Roman"/>
          <w:sz w:val="24"/>
          <w:szCs w:val="24"/>
          <w:lang w:eastAsia="hr-HR"/>
        </w:rPr>
        <w:t xml:space="preserve">Poziv na cijepljenje kao umetak u glasilima Matice umirovljenika Hrvatske, Hrvatskog zavoda za mirovinsko osiguranje i kao zaseban umetak uz mirovine </w:t>
      </w:r>
    </w:p>
    <w:p w14:paraId="6E19A1A5" w14:textId="77777777" w:rsidR="00541503" w:rsidRPr="006F5AE7" w:rsidRDefault="00541503" w:rsidP="00541503">
      <w:pPr>
        <w:jc w:val="both"/>
        <w:rPr>
          <w:rFonts w:ascii="Times New Roman" w:hAnsi="Times New Roman" w:cs="Times New Roman"/>
          <w:sz w:val="24"/>
          <w:szCs w:val="24"/>
          <w:lang w:eastAsia="hr-HR"/>
        </w:rPr>
      </w:pPr>
    </w:p>
    <w:p w14:paraId="685B2A07" w14:textId="793015C9" w:rsidR="00541503" w:rsidRDefault="00541503">
      <w:pPr>
        <w:rPr>
          <w:rFonts w:ascii="Times New Roman" w:hAnsi="Times New Roman" w:cs="Times New Roman"/>
          <w:sz w:val="24"/>
          <w:szCs w:val="24"/>
          <w:lang w:eastAsia="hr-HR"/>
        </w:rPr>
      </w:pPr>
      <w:r>
        <w:rPr>
          <w:rFonts w:ascii="Times New Roman" w:hAnsi="Times New Roman" w:cs="Times New Roman"/>
          <w:sz w:val="24"/>
          <w:szCs w:val="24"/>
          <w:lang w:eastAsia="hr-HR"/>
        </w:rPr>
        <w:br w:type="page"/>
      </w:r>
    </w:p>
    <w:p w14:paraId="5145C1E0" w14:textId="77777777" w:rsidR="00F13184" w:rsidRDefault="00F13184" w:rsidP="00F13184">
      <w:pPr>
        <w:spacing w:after="0" w:line="240" w:lineRule="auto"/>
        <w:rPr>
          <w:rFonts w:ascii="Times New Roman" w:eastAsia="Calibri" w:hAnsi="Times New Roman" w:cs="Times New Roman"/>
          <w:b/>
          <w:bCs/>
          <w:sz w:val="24"/>
          <w:szCs w:val="24"/>
          <w:u w:val="single"/>
        </w:rPr>
      </w:pPr>
      <w:r w:rsidRPr="00D747B6">
        <w:rPr>
          <w:rFonts w:ascii="Times New Roman" w:eastAsia="Calibri" w:hAnsi="Times New Roman" w:cs="Times New Roman"/>
          <w:b/>
          <w:bCs/>
          <w:sz w:val="24"/>
          <w:szCs w:val="24"/>
          <w:u w:val="single"/>
        </w:rPr>
        <w:lastRenderedPageBreak/>
        <w:t>Prilog 20</w:t>
      </w:r>
    </w:p>
    <w:p w14:paraId="7C2B8643" w14:textId="77777777" w:rsidR="00F13184" w:rsidRDefault="00F13184" w:rsidP="00F13184">
      <w:pPr>
        <w:spacing w:after="0" w:line="240" w:lineRule="auto"/>
        <w:rPr>
          <w:rFonts w:ascii="Times New Roman" w:eastAsia="Calibri" w:hAnsi="Times New Roman" w:cs="Times New Roman"/>
          <w:b/>
          <w:bCs/>
          <w:sz w:val="24"/>
          <w:szCs w:val="24"/>
          <w:u w:val="single"/>
        </w:rPr>
      </w:pPr>
    </w:p>
    <w:p w14:paraId="787559E6" w14:textId="77777777" w:rsidR="00F13184" w:rsidRPr="00D747B6" w:rsidRDefault="00F13184" w:rsidP="00F13184">
      <w:pPr>
        <w:spacing w:after="0" w:line="240" w:lineRule="auto"/>
        <w:rPr>
          <w:rFonts w:ascii="Times New Roman" w:eastAsia="Calibri" w:hAnsi="Times New Roman" w:cs="Times New Roman"/>
          <w:b/>
          <w:bCs/>
          <w:sz w:val="24"/>
          <w:szCs w:val="24"/>
          <w:u w:val="single"/>
        </w:rPr>
      </w:pPr>
    </w:p>
    <w:p w14:paraId="4906B767" w14:textId="77777777" w:rsidR="00F13184" w:rsidRPr="00D747B6" w:rsidRDefault="00F13184" w:rsidP="00F13184">
      <w:pPr>
        <w:spacing w:after="0" w:line="240" w:lineRule="auto"/>
        <w:jc w:val="center"/>
        <w:rPr>
          <w:rFonts w:ascii="Times New Roman" w:eastAsia="Calibri" w:hAnsi="Times New Roman" w:cs="Times New Roman"/>
          <w:b/>
          <w:bCs/>
          <w:sz w:val="24"/>
          <w:szCs w:val="24"/>
        </w:rPr>
      </w:pPr>
      <w:r w:rsidRPr="00D747B6">
        <w:rPr>
          <w:rFonts w:ascii="Times New Roman" w:eastAsia="Calibri" w:hAnsi="Times New Roman" w:cs="Times New Roman"/>
          <w:b/>
          <w:bCs/>
          <w:sz w:val="24"/>
          <w:szCs w:val="24"/>
        </w:rPr>
        <w:t>PRIMJENA MEDICINSKIH POSTUPAKA, ELEKTROKONVULZIVNOG LIJEČENJA I BIOMEDICINSKOG ISTRAŽIVANJA</w:t>
      </w:r>
    </w:p>
    <w:p w14:paraId="21B6C529" w14:textId="77777777" w:rsidR="00F13184" w:rsidRDefault="00F13184" w:rsidP="00F13184">
      <w:pPr>
        <w:spacing w:after="0" w:line="240" w:lineRule="auto"/>
        <w:jc w:val="both"/>
        <w:rPr>
          <w:rFonts w:ascii="Times New Roman" w:eastAsia="Calibri" w:hAnsi="Times New Roman" w:cs="Times New Roman"/>
          <w:sz w:val="24"/>
          <w:szCs w:val="24"/>
        </w:rPr>
      </w:pPr>
    </w:p>
    <w:p w14:paraId="7BB66818" w14:textId="77777777" w:rsidR="00F13184" w:rsidRPr="004221F8" w:rsidRDefault="00F13184" w:rsidP="00FB05F1">
      <w:pPr>
        <w:pStyle w:val="Odlomakpopisa"/>
        <w:numPr>
          <w:ilvl w:val="0"/>
          <w:numId w:val="53"/>
        </w:numPr>
        <w:spacing w:after="0" w:line="240" w:lineRule="auto"/>
        <w:ind w:left="284"/>
        <w:jc w:val="both"/>
        <w:rPr>
          <w:rFonts w:ascii="Times New Roman" w:eastAsia="Calibri" w:hAnsi="Times New Roman" w:cs="Times New Roman"/>
          <w:sz w:val="24"/>
          <w:szCs w:val="24"/>
        </w:rPr>
      </w:pPr>
      <w:r w:rsidRPr="004221F8">
        <w:rPr>
          <w:rFonts w:ascii="Times New Roman" w:eastAsia="Calibri" w:hAnsi="Times New Roman" w:cs="Times New Roman"/>
          <w:sz w:val="24"/>
          <w:szCs w:val="24"/>
        </w:rPr>
        <w:t>Medicinski postupak  mora se primjenjivati u najboljem interesu osobe s duševnim smetnjama i na način koji u najmanjoj mjeri ograničava njezina prava, a dobrovoljnom prihvaćanju suradnje u medicinskom postupku kao i uvažavanju želja i potreba osobe s duševnim smetnjama mora se dati prednost pred prisilnim mjerama. Osobu s duševnim smetnjama može se podvrgnuti medicinskom postupku samo uz njezin pisani pristanak koji može opozvati u bilo kojem trenutku, a prije davanja pristanka potrebno je utvrditi sposobnost osobe za davanje pristanka. Lišenje poslovne sposobnosti ne znači nesposobnost za davanje pristanka te se sposobnost za davanje pristanka utvrđuje i kod takvih osoba. Utvrđivanje sposobnosti za davanje pristanka i traženje pristanka nije obvezno u osobito hitnim slučajevima ozbiljne i izravne ugroženosti života ili zdravlja osobe s duševnim smetnjama, a medicinski postupak bez pristanka može se primjenjivati samo dok traje ta ugroženost. Iznimno, osobu se može bez njezina pristanka podvrgnuti medicinskom postupku samo pod uvjetima i po postupku propisanom ZZODS-om. Svako prisilno zadržavanje u psihijatrijskoj ustanovi podliježe sudskom nadzoru prema postupku propisanom tim zakonom, a postupci po odredbama navedenog zakona su hitni. ZZODS-om propisano je da osoba s duševnim smetnjama ima pravo biti upoznata u vrijeme prijema, a kasnije na svoj zahtjev, sa svojim pravima te poučena o tome kako ih može ostvariti, biti upoznata s razlozima i ciljevima smještaja u psihijatrijsku ustanovu te sa svrhom, prirodom, posljedicama, koristima i rizicima provedbe predloženoga medicinskog postupka, biti upoznata s podacima o svom zdravstvenom stanju i dobiti na uvid svoju medicinsku dokumentaciju, sudjelovati u planiranju i provođenju svojeg liječenja, rehabilitacije i resocijalizacije, podnositi pritužbe izravno čelniku ustanove ili odjela i na njih dobiti usmene odgovore odmah, a pisane na njezin pisani zahtjev najkasnije u roku od osam dana, podnositi prijave, prijedloge, pritužbe, prigovore, žalbe i druge pravne lijekove nadležnim pravosudnim i drugim državnim tijelima, po svom izboru i o svom trošku nasamo se savjetovati s liječnikom ili odvjetnikom. Sva navedena prava može ostvarivati i zakonski zastupnik osobe s duševnim smetnjama. Navedena prava, osim prava na podnošenje prijava, prijedloga, pritužbi, prigovora, žalbi i drugih pravnih lijekova nadležnim pravosudnim i drugim državnim tijelima može ostvarivati i osoba od povjerenja.</w:t>
      </w:r>
    </w:p>
    <w:p w14:paraId="1FC45562" w14:textId="77777777" w:rsidR="00F13184" w:rsidRDefault="00F13184" w:rsidP="00F13184">
      <w:pPr>
        <w:pStyle w:val="Odlomakpopisa"/>
        <w:spacing w:after="0" w:line="240" w:lineRule="auto"/>
        <w:ind w:left="284"/>
        <w:jc w:val="both"/>
        <w:rPr>
          <w:rFonts w:ascii="Times New Roman" w:eastAsia="Calibri" w:hAnsi="Times New Roman" w:cs="Times New Roman"/>
          <w:sz w:val="24"/>
          <w:szCs w:val="24"/>
        </w:rPr>
      </w:pPr>
    </w:p>
    <w:p w14:paraId="4A0C6366" w14:textId="77777777" w:rsidR="00F13184" w:rsidRDefault="00F13184" w:rsidP="00FB05F1">
      <w:pPr>
        <w:pStyle w:val="Odlomakpopisa"/>
        <w:numPr>
          <w:ilvl w:val="0"/>
          <w:numId w:val="53"/>
        </w:numPr>
        <w:spacing w:after="0" w:line="240" w:lineRule="auto"/>
        <w:ind w:left="284"/>
        <w:jc w:val="both"/>
        <w:rPr>
          <w:rFonts w:ascii="Times New Roman" w:eastAsia="Calibri" w:hAnsi="Times New Roman" w:cs="Times New Roman"/>
          <w:sz w:val="24"/>
          <w:szCs w:val="24"/>
        </w:rPr>
      </w:pPr>
      <w:proofErr w:type="spellStart"/>
      <w:r w:rsidRPr="004221F8">
        <w:rPr>
          <w:rFonts w:ascii="Times New Roman" w:eastAsia="Calibri" w:hAnsi="Times New Roman" w:cs="Times New Roman"/>
          <w:sz w:val="24"/>
          <w:szCs w:val="24"/>
        </w:rPr>
        <w:t>Elektrokonvulzivno</w:t>
      </w:r>
      <w:proofErr w:type="spellEnd"/>
      <w:r w:rsidRPr="004221F8">
        <w:rPr>
          <w:rFonts w:ascii="Times New Roman" w:eastAsia="Calibri" w:hAnsi="Times New Roman" w:cs="Times New Roman"/>
          <w:sz w:val="24"/>
          <w:szCs w:val="24"/>
        </w:rPr>
        <w:t xml:space="preserve"> liječenje može se primijeniti prema osobi s duševnim smetnjama ako je, uz ostale uvjete koje je potrebno ispuniti, osoba dala pisani pristanak. </w:t>
      </w:r>
    </w:p>
    <w:p w14:paraId="584E0EE1" w14:textId="77777777" w:rsidR="00F13184" w:rsidRPr="004221F8" w:rsidRDefault="00F13184" w:rsidP="00F13184">
      <w:pPr>
        <w:pStyle w:val="Odlomakpopisa"/>
        <w:rPr>
          <w:rFonts w:ascii="Times New Roman" w:eastAsia="Calibri" w:hAnsi="Times New Roman" w:cs="Times New Roman"/>
          <w:sz w:val="24"/>
          <w:szCs w:val="24"/>
        </w:rPr>
      </w:pPr>
    </w:p>
    <w:p w14:paraId="459DAAE0" w14:textId="77777777" w:rsidR="00F13184" w:rsidRDefault="00F13184" w:rsidP="00FB05F1">
      <w:pPr>
        <w:pStyle w:val="Odlomakpopisa"/>
        <w:numPr>
          <w:ilvl w:val="0"/>
          <w:numId w:val="53"/>
        </w:numPr>
        <w:spacing w:after="0" w:line="240" w:lineRule="auto"/>
        <w:ind w:left="284"/>
        <w:jc w:val="both"/>
      </w:pPr>
      <w:r w:rsidRPr="004221F8">
        <w:rPr>
          <w:rFonts w:ascii="Times New Roman" w:eastAsia="Calibri" w:hAnsi="Times New Roman" w:cs="Times New Roman"/>
          <w:sz w:val="24"/>
          <w:szCs w:val="24"/>
        </w:rPr>
        <w:t xml:space="preserve">Biomedicinsko istraživanje može se primijeniti prema osobi s duševnim smetnjama ako je, uz ostale uvjete koje je potrebno ispuniti, osoba na precizan i razumljiv način, usmeno i pisano upoznata o važnosti istraživanja, te njegovoj svrsi, prirodi, posljedicama, koristima i rizicima te ako je dala pisani pristanak koji može opozvati u svakom trenutku i ako je sposobnost za davanje pristanka na biomedicinska istraživanja utvrdio još jedan psihijatar izvan zaposlenika psihijatrijske ustanove koja ih provodi, a kojeg je odredilo Povjerenstvo za zaštitu osoba s duševnim smetnjama. Pristanak na posebni medicinski postupak i biomedicinsko istraživanje umjesto osobe s duševnim smetnjama ne mogu dati zakonski zastupnik niti osoba od povjerenja. </w:t>
      </w:r>
    </w:p>
    <w:p w14:paraId="64690B04" w14:textId="1F8DC670" w:rsidR="00F13184" w:rsidRDefault="00F13184">
      <w:pPr>
        <w:rPr>
          <w:rFonts w:ascii="Times New Roman" w:eastAsia="Calibri" w:hAnsi="Times New Roman" w:cs="Times New Roman"/>
          <w:b/>
          <w:bCs/>
          <w:sz w:val="24"/>
          <w:szCs w:val="24"/>
          <w:u w:val="single"/>
        </w:rPr>
      </w:pPr>
      <w:r>
        <w:rPr>
          <w:rFonts w:ascii="Times New Roman" w:eastAsia="Calibri" w:hAnsi="Times New Roman" w:cs="Times New Roman"/>
          <w:b/>
          <w:bCs/>
          <w:sz w:val="24"/>
          <w:szCs w:val="24"/>
          <w:u w:val="single"/>
        </w:rPr>
        <w:br w:type="page"/>
      </w:r>
    </w:p>
    <w:p w14:paraId="5764F35F" w14:textId="69725004" w:rsidR="00541503" w:rsidRPr="00454C5A" w:rsidRDefault="00541503" w:rsidP="00541503">
      <w:pPr>
        <w:spacing w:after="0" w:line="240" w:lineRule="auto"/>
        <w:rPr>
          <w:rFonts w:ascii="Times New Roman" w:eastAsia="Calibri" w:hAnsi="Times New Roman" w:cs="Times New Roman"/>
          <w:b/>
          <w:bCs/>
          <w:sz w:val="24"/>
          <w:szCs w:val="24"/>
          <w:u w:val="single"/>
        </w:rPr>
      </w:pPr>
      <w:r w:rsidRPr="00454C5A">
        <w:rPr>
          <w:rFonts w:ascii="Times New Roman" w:eastAsia="Calibri" w:hAnsi="Times New Roman" w:cs="Times New Roman"/>
          <w:b/>
          <w:bCs/>
          <w:sz w:val="24"/>
          <w:szCs w:val="24"/>
          <w:u w:val="single"/>
        </w:rPr>
        <w:lastRenderedPageBreak/>
        <w:t xml:space="preserve">Prilog </w:t>
      </w:r>
      <w:r>
        <w:rPr>
          <w:rFonts w:ascii="Times New Roman" w:eastAsia="Calibri" w:hAnsi="Times New Roman" w:cs="Times New Roman"/>
          <w:b/>
          <w:bCs/>
          <w:sz w:val="24"/>
          <w:szCs w:val="24"/>
          <w:u w:val="single"/>
        </w:rPr>
        <w:t>2</w:t>
      </w:r>
      <w:r w:rsidRPr="00454C5A">
        <w:rPr>
          <w:rFonts w:ascii="Times New Roman" w:eastAsia="Calibri" w:hAnsi="Times New Roman" w:cs="Times New Roman"/>
          <w:b/>
          <w:bCs/>
          <w:sz w:val="24"/>
          <w:szCs w:val="24"/>
          <w:u w:val="single"/>
        </w:rPr>
        <w:t>1</w:t>
      </w:r>
    </w:p>
    <w:p w14:paraId="56D9794C" w14:textId="77777777" w:rsidR="00541503" w:rsidRDefault="00541503" w:rsidP="00541503">
      <w:pPr>
        <w:spacing w:after="0" w:line="240" w:lineRule="auto"/>
        <w:jc w:val="both"/>
        <w:rPr>
          <w:rFonts w:ascii="Times New Roman" w:eastAsia="Calibri" w:hAnsi="Times New Roman" w:cs="Times New Roman"/>
          <w:b/>
          <w:bCs/>
          <w:sz w:val="24"/>
          <w:szCs w:val="24"/>
        </w:rPr>
      </w:pPr>
    </w:p>
    <w:p w14:paraId="700F4720" w14:textId="77777777" w:rsidR="00541503" w:rsidRDefault="00541503" w:rsidP="00541503">
      <w:pPr>
        <w:spacing w:after="0" w:line="240" w:lineRule="auto"/>
        <w:jc w:val="both"/>
        <w:rPr>
          <w:rFonts w:ascii="Times New Roman" w:eastAsia="Calibri" w:hAnsi="Times New Roman" w:cs="Times New Roman"/>
          <w:b/>
          <w:bCs/>
          <w:sz w:val="24"/>
          <w:szCs w:val="24"/>
        </w:rPr>
      </w:pPr>
    </w:p>
    <w:p w14:paraId="152893C2" w14:textId="396E1439" w:rsidR="00541503" w:rsidRDefault="00541503" w:rsidP="00541503">
      <w:pPr>
        <w:spacing w:after="0" w:line="240" w:lineRule="auto"/>
        <w:jc w:val="center"/>
        <w:rPr>
          <w:rFonts w:ascii="Times New Roman" w:eastAsia="Calibri" w:hAnsi="Times New Roman" w:cs="Times New Roman"/>
          <w:b/>
          <w:bCs/>
          <w:sz w:val="24"/>
          <w:szCs w:val="24"/>
        </w:rPr>
      </w:pPr>
      <w:r w:rsidRPr="00976137">
        <w:rPr>
          <w:rFonts w:ascii="Times New Roman" w:eastAsia="Calibri" w:hAnsi="Times New Roman" w:cs="Times New Roman"/>
          <w:b/>
          <w:bCs/>
          <w:sz w:val="24"/>
          <w:szCs w:val="24"/>
        </w:rPr>
        <w:t>PRAVA ŽRTVE KAZNENOG DJELA I ISPITIVANJE SVJEDOKA</w:t>
      </w:r>
    </w:p>
    <w:p w14:paraId="50B93A24" w14:textId="77777777" w:rsidR="00541503" w:rsidRDefault="00541503" w:rsidP="00541503">
      <w:pPr>
        <w:spacing w:after="0" w:line="240" w:lineRule="auto"/>
        <w:jc w:val="both"/>
        <w:rPr>
          <w:rFonts w:ascii="Times New Roman" w:eastAsia="Calibri" w:hAnsi="Times New Roman" w:cs="Times New Roman"/>
          <w:b/>
          <w:bCs/>
          <w:sz w:val="24"/>
          <w:szCs w:val="24"/>
        </w:rPr>
      </w:pPr>
    </w:p>
    <w:p w14:paraId="6CF8478C" w14:textId="77777777" w:rsidR="00541503" w:rsidRDefault="00541503" w:rsidP="00541503">
      <w:pPr>
        <w:spacing w:after="0" w:line="240" w:lineRule="auto"/>
        <w:jc w:val="both"/>
        <w:rPr>
          <w:rFonts w:ascii="Times New Roman" w:eastAsia="Calibri" w:hAnsi="Times New Roman" w:cs="Times New Roman"/>
          <w:b/>
          <w:bCs/>
          <w:sz w:val="24"/>
          <w:szCs w:val="24"/>
        </w:rPr>
      </w:pPr>
    </w:p>
    <w:p w14:paraId="0BDDC936" w14:textId="77777777" w:rsidR="00541503" w:rsidRPr="00C22FC3" w:rsidRDefault="00541503" w:rsidP="00541503">
      <w:pPr>
        <w:spacing w:after="0" w:line="240" w:lineRule="auto"/>
        <w:jc w:val="both"/>
        <w:rPr>
          <w:rFonts w:ascii="Times New Roman" w:eastAsia="Calibri" w:hAnsi="Times New Roman" w:cs="Times New Roman"/>
          <w:sz w:val="24"/>
          <w:szCs w:val="24"/>
        </w:rPr>
      </w:pPr>
      <w:r w:rsidRPr="00EE6D29">
        <w:rPr>
          <w:rFonts w:ascii="Times New Roman" w:eastAsia="Calibri" w:hAnsi="Times New Roman" w:cs="Times New Roman"/>
          <w:b/>
          <w:bCs/>
          <w:sz w:val="24"/>
          <w:szCs w:val="24"/>
        </w:rPr>
        <w:t>Žrtva kaznenog djela</w:t>
      </w:r>
      <w:r w:rsidRPr="00C22FC3">
        <w:rPr>
          <w:rFonts w:ascii="Times New Roman" w:eastAsia="Calibri" w:hAnsi="Times New Roman" w:cs="Times New Roman"/>
          <w:sz w:val="24"/>
          <w:szCs w:val="24"/>
        </w:rPr>
        <w:t xml:space="preserve"> za koje je propisana kazna zatvora teža od pet godina, ako trpi teže posljedice kaznenog djela, ima pravo na stručnu pomoć savjetnika na teret proračunskih sredstava pri podnošenju imovinskopravnog zahtjeva. Žrtva kaznenog djela nasilja počinjenog s namjerom ima pravo na novčanu naknadu iz sredstava državnog proračuna u skladu s posebnim zakonom. Sud, državno odvjetništvo, istražitelj i policija dužni su već pri poduzimanju prve radnje u kojoj sudjeluje obavijestiti žrtvu na njoj razumljiv način</w:t>
      </w:r>
      <w:r>
        <w:rPr>
          <w:rFonts w:ascii="Times New Roman" w:eastAsia="Calibri" w:hAnsi="Times New Roman" w:cs="Times New Roman"/>
          <w:sz w:val="24"/>
          <w:szCs w:val="24"/>
        </w:rPr>
        <w:t xml:space="preserve"> o tim pravima</w:t>
      </w:r>
      <w:r w:rsidRPr="00C22FC3">
        <w:rPr>
          <w:rFonts w:ascii="Times New Roman" w:eastAsia="Calibri" w:hAnsi="Times New Roman" w:cs="Times New Roman"/>
          <w:sz w:val="24"/>
          <w:szCs w:val="24"/>
        </w:rPr>
        <w:t>, dužna su prema žrtvi postupati obzirno i uvjeriti se da je žrtva danu obavijest o pravima razumjela.</w:t>
      </w:r>
    </w:p>
    <w:p w14:paraId="567CE020" w14:textId="77777777" w:rsidR="00541503" w:rsidRPr="00C22FC3" w:rsidRDefault="00541503" w:rsidP="00541503">
      <w:pPr>
        <w:spacing w:after="0" w:line="240" w:lineRule="auto"/>
        <w:jc w:val="both"/>
        <w:rPr>
          <w:rFonts w:ascii="Times New Roman" w:eastAsia="Calibri" w:hAnsi="Times New Roman" w:cs="Times New Roman"/>
          <w:sz w:val="24"/>
          <w:szCs w:val="24"/>
        </w:rPr>
      </w:pPr>
      <w:r w:rsidRPr="00C22FC3">
        <w:rPr>
          <w:rFonts w:ascii="Times New Roman" w:eastAsia="Calibri" w:hAnsi="Times New Roman" w:cs="Times New Roman"/>
          <w:sz w:val="24"/>
          <w:szCs w:val="24"/>
        </w:rPr>
        <w:t xml:space="preserve">Prije ispitivanja žrtve, tijelo koje provodi ispitivanje suradnji s tijelima, organizacijama ili ustanovama za pomoć i podršku žrtvama kaznenih djela provodi pojedinačnu procjenu žrtve. Pojedinačna procjena žrtve uključuje utvrđivanje postoji li potreba za primjenom posebnih mjera zaštite u odnosu na žrtvu te ako postoji, koje posebne mjere zaštite bi se trebale primijeniti (poseban način ispitivanja žrtve, uporaba komunikacijskih tehnologija radi izbjegavanja vizualnog kontakta s počiniteljem i druge mjere propisane zakonom). Kada je žrtva kaznenog djela dijete, pretpostavit će se da postoji potreba za primjenom posebnih mjera zaštite te utvrditi koje posebne mjere zaštite treba primijeniti. Pri poduzimanju pojedinačne procjene žrtve osobito se uzimaju u obzir osobne značajke žrtve, vrsta ili narav kaznenog djela i okolnosti počinjenja kaznenog djela. Pri tome se posebna pažnja posvećuje žrtvama koje su pretrpjele značajnu štetu zbog težine kaznenog djela, žrtvama kaznenog djela počinjenog zbog nekog osobnog svojstva žrtve, te žrtvama koje njihov odnos s počiniteljem čini osobito ranjivima. Pojedinačna procjena žrtve na odgovarajući način uključuje osobito žrtve terorizma, organiziranog kriminala, trgovanja ljudima, rodno uvjetovanog nasilja, nasilja u bliskim odnosima, spolnog nasilja i spolnog iskorištavanja ili zločina iz mržnje te žrtve s invalidnošću, a pojedinačna procjena žrtve provodi se uz sudjelovanje žrtve i uzimajući u obzir njezine želje, uključujući i želju da se ne koriste posebne mjere zaštite propisane zakonom. </w:t>
      </w:r>
      <w:r>
        <w:rPr>
          <w:rFonts w:ascii="Times New Roman" w:eastAsia="Calibri" w:hAnsi="Times New Roman" w:cs="Times New Roman"/>
          <w:sz w:val="24"/>
          <w:szCs w:val="24"/>
        </w:rPr>
        <w:t>Ž</w:t>
      </w:r>
      <w:r w:rsidRPr="00C22FC3">
        <w:rPr>
          <w:rFonts w:ascii="Times New Roman" w:eastAsia="Calibri" w:hAnsi="Times New Roman" w:cs="Times New Roman"/>
          <w:sz w:val="24"/>
          <w:szCs w:val="24"/>
        </w:rPr>
        <w:t xml:space="preserve">rtva u odnosu na koju su utvrđene posebne potrebe zaštite, </w:t>
      </w:r>
      <w:r>
        <w:rPr>
          <w:rFonts w:ascii="Times New Roman" w:eastAsia="Calibri" w:hAnsi="Times New Roman" w:cs="Times New Roman"/>
          <w:sz w:val="24"/>
          <w:szCs w:val="24"/>
        </w:rPr>
        <w:t>ima p</w:t>
      </w:r>
      <w:r w:rsidRPr="00C22FC3">
        <w:rPr>
          <w:rFonts w:ascii="Times New Roman" w:eastAsia="Calibri" w:hAnsi="Times New Roman" w:cs="Times New Roman"/>
          <w:sz w:val="24"/>
          <w:szCs w:val="24"/>
        </w:rPr>
        <w:t>ravo prije ispitivanja razgovarati sa savjetnikom, na teret proračunskih sredstava, da ju u policiji i državnom odvjetništvu ispituje osoba istog spola te da ju, ako je to moguće, u slučaju ponovnog ispitivanja ispituje ta ista osoba, uskratiti odgovor na pitanja koja nisu u vezi s kaznenim djelom, a odnose se na strogo osobni život žrtve, zahtijevati da bude ispitana putem audio-video uređaja, na tajnost osobnih podataka te zahtijevati isključenje javnosti s rasprave.</w:t>
      </w:r>
    </w:p>
    <w:p w14:paraId="0FAF1EB8" w14:textId="77777777" w:rsidR="00541503" w:rsidRDefault="00541503" w:rsidP="00541503">
      <w:pPr>
        <w:spacing w:after="0" w:line="240" w:lineRule="auto"/>
        <w:jc w:val="both"/>
        <w:rPr>
          <w:rFonts w:ascii="Times New Roman" w:eastAsia="Calibri" w:hAnsi="Times New Roman" w:cs="Times New Roman"/>
          <w:sz w:val="24"/>
          <w:szCs w:val="24"/>
        </w:rPr>
      </w:pPr>
    </w:p>
    <w:p w14:paraId="4C3A2C52" w14:textId="77777777" w:rsidR="00541503" w:rsidRPr="00C22FC3" w:rsidRDefault="00541503" w:rsidP="00541503">
      <w:pPr>
        <w:spacing w:after="0" w:line="240" w:lineRule="auto"/>
        <w:jc w:val="both"/>
        <w:rPr>
          <w:rFonts w:ascii="Times New Roman" w:eastAsia="Calibri" w:hAnsi="Times New Roman" w:cs="Times New Roman"/>
          <w:sz w:val="24"/>
          <w:szCs w:val="24"/>
        </w:rPr>
      </w:pPr>
      <w:r w:rsidRPr="00EE6D29">
        <w:rPr>
          <w:rFonts w:ascii="Times New Roman" w:eastAsia="Calibri" w:hAnsi="Times New Roman" w:cs="Times New Roman"/>
          <w:b/>
          <w:bCs/>
          <w:sz w:val="24"/>
          <w:szCs w:val="24"/>
        </w:rPr>
        <w:t xml:space="preserve">Svjedoci </w:t>
      </w:r>
      <w:r w:rsidRPr="00C22FC3">
        <w:rPr>
          <w:rFonts w:ascii="Times New Roman" w:eastAsia="Calibri" w:hAnsi="Times New Roman" w:cs="Times New Roman"/>
          <w:sz w:val="24"/>
          <w:szCs w:val="24"/>
        </w:rPr>
        <w:t xml:space="preserve">koji se zbog starosti, zdravstvenog stanja ili invaliditeta, ne mogu odazvati pozivu, mogu se ispitati u svojem stanu ili drugom prostoru u kojemu borave. Te svjedoke se može ispitati putem audio-video uređaja. Ako to zahtijeva stanje svjedoka, ispitivanje će se provesti tako da mu stranke mogu postavljati pitanja bez prisutnosti u prostoriji gdje se svjedok nalazi. Ispitivanje će se prema potrebi snimiti uređajem za audio-video snimanje, a snimka će se zapečatiti i priključiti zapisniku. </w:t>
      </w:r>
    </w:p>
    <w:p w14:paraId="6EC31775" w14:textId="77777777" w:rsidR="00541503" w:rsidRDefault="00541503" w:rsidP="00541503"/>
    <w:p w14:paraId="0BDA791D" w14:textId="26EA5B84" w:rsidR="00541503" w:rsidRDefault="00541503">
      <w:pPr>
        <w:rPr>
          <w:rFonts w:ascii="Times New Roman" w:hAnsi="Times New Roman" w:cs="Times New Roman"/>
          <w:sz w:val="24"/>
          <w:szCs w:val="24"/>
          <w:lang w:eastAsia="hr-HR"/>
        </w:rPr>
      </w:pPr>
      <w:r>
        <w:rPr>
          <w:rFonts w:ascii="Times New Roman" w:hAnsi="Times New Roman" w:cs="Times New Roman"/>
          <w:sz w:val="24"/>
          <w:szCs w:val="24"/>
          <w:lang w:eastAsia="hr-HR"/>
        </w:rPr>
        <w:br w:type="page"/>
      </w:r>
    </w:p>
    <w:p w14:paraId="59FF0717" w14:textId="77777777" w:rsidR="00541503" w:rsidRPr="006B71CC" w:rsidRDefault="00541503" w:rsidP="00541503">
      <w:pPr>
        <w:spacing w:after="200" w:line="276" w:lineRule="auto"/>
        <w:jc w:val="both"/>
        <w:rPr>
          <w:rFonts w:ascii="Times New Roman" w:eastAsia="Calibri" w:hAnsi="Times New Roman" w:cs="Times New Roman"/>
          <w:b/>
          <w:bCs/>
          <w:sz w:val="24"/>
          <w:szCs w:val="24"/>
          <w:u w:val="single"/>
        </w:rPr>
      </w:pPr>
      <w:r w:rsidRPr="006B71CC">
        <w:rPr>
          <w:rFonts w:ascii="Times New Roman" w:eastAsia="Calibri" w:hAnsi="Times New Roman" w:cs="Times New Roman"/>
          <w:b/>
          <w:bCs/>
          <w:sz w:val="24"/>
          <w:szCs w:val="24"/>
          <w:u w:val="single"/>
        </w:rPr>
        <w:lastRenderedPageBreak/>
        <w:t xml:space="preserve">Prilog </w:t>
      </w:r>
      <w:r>
        <w:rPr>
          <w:rFonts w:ascii="Times New Roman" w:eastAsia="Calibri" w:hAnsi="Times New Roman" w:cs="Times New Roman"/>
          <w:b/>
          <w:bCs/>
          <w:sz w:val="24"/>
          <w:szCs w:val="24"/>
          <w:u w:val="single"/>
        </w:rPr>
        <w:t>22</w:t>
      </w:r>
    </w:p>
    <w:p w14:paraId="05A6CB3A" w14:textId="05A79DF9" w:rsidR="00541503" w:rsidRPr="006B71CC" w:rsidRDefault="00541503" w:rsidP="00541503">
      <w:pPr>
        <w:spacing w:after="200" w:line="276" w:lineRule="auto"/>
        <w:jc w:val="center"/>
        <w:rPr>
          <w:rFonts w:ascii="Times New Roman" w:eastAsia="Calibri" w:hAnsi="Times New Roman" w:cs="Times New Roman"/>
          <w:b/>
          <w:bCs/>
          <w:sz w:val="24"/>
          <w:szCs w:val="24"/>
        </w:rPr>
      </w:pPr>
      <w:r w:rsidRPr="006B71CC">
        <w:rPr>
          <w:rFonts w:ascii="Times New Roman" w:eastAsia="Calibri" w:hAnsi="Times New Roman" w:cs="Times New Roman"/>
          <w:b/>
          <w:bCs/>
          <w:sz w:val="24"/>
          <w:szCs w:val="24"/>
        </w:rPr>
        <w:t>OSIGURANJE PRISTUPAČNOSTI KAZNENIH TIJELA</w:t>
      </w:r>
    </w:p>
    <w:p w14:paraId="6ACF2F75" w14:textId="77777777" w:rsidR="00541503" w:rsidRPr="006B71CC" w:rsidRDefault="00541503" w:rsidP="00FB05F1">
      <w:pPr>
        <w:numPr>
          <w:ilvl w:val="0"/>
          <w:numId w:val="1"/>
        </w:numPr>
        <w:spacing w:after="200" w:line="276" w:lineRule="auto"/>
        <w:contextualSpacing/>
        <w:jc w:val="both"/>
        <w:rPr>
          <w:rFonts w:ascii="Times New Roman" w:hAnsi="Times New Roman" w:cs="Times New Roman"/>
          <w:sz w:val="24"/>
          <w:szCs w:val="24"/>
          <w:lang w:eastAsia="hr-HR"/>
        </w:rPr>
      </w:pPr>
      <w:r w:rsidRPr="006B71CC">
        <w:rPr>
          <w:rFonts w:ascii="Times New Roman" w:hAnsi="Times New Roman" w:cs="Times New Roman"/>
          <w:sz w:val="24"/>
          <w:szCs w:val="24"/>
          <w:lang w:eastAsia="hr-HR"/>
        </w:rPr>
        <w:t>U Zatvorskoj bolnici kontinuirano su obavljane aktivnosti usmjerene osiguravanju pristupačnosti osobama s invaliditetom (ugrađen je lift, uređene su sobe na način da je olakšan pristup osobama koje koriste invalidska kolica, prilagođen je sanitarni čvor).</w:t>
      </w:r>
    </w:p>
    <w:p w14:paraId="295C8EF8" w14:textId="77777777" w:rsidR="00541503" w:rsidRPr="006B71CC" w:rsidRDefault="00541503" w:rsidP="00FB05F1">
      <w:pPr>
        <w:numPr>
          <w:ilvl w:val="0"/>
          <w:numId w:val="1"/>
        </w:numPr>
        <w:spacing w:before="100" w:beforeAutospacing="1" w:after="200" w:line="276" w:lineRule="auto"/>
        <w:contextualSpacing/>
        <w:jc w:val="both"/>
        <w:rPr>
          <w:rFonts w:ascii="Times New Roman" w:eastAsia="Calibri" w:hAnsi="Times New Roman" w:cs="Times New Roman"/>
          <w:sz w:val="24"/>
          <w:szCs w:val="24"/>
        </w:rPr>
      </w:pPr>
      <w:r w:rsidRPr="006B71CC">
        <w:rPr>
          <w:rFonts w:ascii="Times New Roman" w:hAnsi="Times New Roman" w:cs="Times New Roman"/>
          <w:sz w:val="24"/>
          <w:szCs w:val="24"/>
          <w:lang w:eastAsia="hr-HR"/>
        </w:rPr>
        <w:t>U Zatvoru u Osijeku ugrađene su pristupne rampe sa zaštitnom ogradom na ulazu te unutar kruga zatvora. Zatvorenička soba u prizemlju prenamijenjena je za potrebe osoba s invaliditetom te je unutar iste toj namjeni prilagođen i sanitarni čvor. Također su na isti način uređeni jedna zatvorenička soba u</w:t>
      </w:r>
      <w:r w:rsidRPr="006B71CC">
        <w:rPr>
          <w:rFonts w:ascii="Times New Roman" w:eastAsia="Calibri" w:hAnsi="Times New Roman" w:cs="Times New Roman"/>
          <w:sz w:val="24"/>
          <w:szCs w:val="24"/>
        </w:rPr>
        <w:t xml:space="preserve"> Centru za dijagnostiku u Zagrebu i tri zatvoreničke sobe u Zatvoru u Splitu.</w:t>
      </w:r>
    </w:p>
    <w:p w14:paraId="5EE5967C" w14:textId="77777777" w:rsidR="00541503" w:rsidRPr="006B71CC" w:rsidRDefault="00541503" w:rsidP="00FB05F1">
      <w:pPr>
        <w:numPr>
          <w:ilvl w:val="0"/>
          <w:numId w:val="1"/>
        </w:numPr>
        <w:spacing w:before="100" w:beforeAutospacing="1" w:after="200" w:line="276" w:lineRule="auto"/>
        <w:contextualSpacing/>
        <w:jc w:val="both"/>
        <w:rPr>
          <w:rFonts w:ascii="Times New Roman" w:hAnsi="Times New Roman" w:cs="Times New Roman"/>
          <w:sz w:val="24"/>
          <w:szCs w:val="24"/>
          <w:lang w:eastAsia="hr-HR"/>
        </w:rPr>
      </w:pPr>
      <w:r w:rsidRPr="006B71CC">
        <w:rPr>
          <w:rFonts w:ascii="Times New Roman" w:hAnsi="Times New Roman" w:cs="Times New Roman"/>
          <w:sz w:val="24"/>
          <w:szCs w:val="24"/>
          <w:lang w:eastAsia="hr-HR"/>
        </w:rPr>
        <w:t xml:space="preserve">Kaznionica u Glini u potpunosti osigurava pristupačnost te ima adekvatne smještajne uvjete za osobe s invaliditetom. </w:t>
      </w:r>
    </w:p>
    <w:p w14:paraId="28CAFD72" w14:textId="77777777" w:rsidR="00541503" w:rsidRPr="006B71CC" w:rsidRDefault="00541503" w:rsidP="00FB05F1">
      <w:pPr>
        <w:numPr>
          <w:ilvl w:val="0"/>
          <w:numId w:val="1"/>
        </w:numPr>
        <w:spacing w:before="100" w:beforeAutospacing="1" w:after="200" w:line="276" w:lineRule="auto"/>
        <w:contextualSpacing/>
        <w:jc w:val="both"/>
        <w:rPr>
          <w:rFonts w:ascii="Times New Roman" w:hAnsi="Times New Roman" w:cs="Times New Roman"/>
          <w:sz w:val="24"/>
          <w:szCs w:val="24"/>
          <w:lang w:eastAsia="hr-HR"/>
        </w:rPr>
      </w:pPr>
      <w:r w:rsidRPr="006B71CC">
        <w:rPr>
          <w:rFonts w:ascii="Times New Roman" w:hAnsi="Times New Roman" w:cs="Times New Roman"/>
          <w:sz w:val="24"/>
          <w:szCs w:val="24"/>
          <w:lang w:eastAsia="hr-HR"/>
        </w:rPr>
        <w:t xml:space="preserve">U Zatvoru u Zagrebu određeni broj soba je uređen na način koji olakšava dostupnost i korištenje sanitarnog čvora osobama s invaliditetom odnosno smanjene pokretljivosti. Pristup u prostoriju za posjete omogućen je alternativnim načinom ulaska u zgradu zatvora, a obavljanje posjeta osobi s invaliditetom realizira se u prostoru koji omogućava nesmetano kretanje osobe s invaliditetom te potpun vizualni i slušni kontakt posjetitelja i zatvorenika. </w:t>
      </w:r>
    </w:p>
    <w:p w14:paraId="0E69D58F" w14:textId="77777777" w:rsidR="00541503" w:rsidRPr="006B71CC" w:rsidRDefault="00541503" w:rsidP="00FB05F1">
      <w:pPr>
        <w:numPr>
          <w:ilvl w:val="0"/>
          <w:numId w:val="1"/>
        </w:numPr>
        <w:spacing w:after="200" w:line="276" w:lineRule="auto"/>
        <w:contextualSpacing/>
        <w:jc w:val="both"/>
        <w:rPr>
          <w:rFonts w:ascii="Times New Roman" w:hAnsi="Times New Roman" w:cs="Times New Roman"/>
          <w:sz w:val="24"/>
          <w:szCs w:val="24"/>
          <w:lang w:eastAsia="hr-HR"/>
        </w:rPr>
      </w:pPr>
      <w:r w:rsidRPr="006B71CC">
        <w:rPr>
          <w:rFonts w:ascii="Times New Roman" w:hAnsi="Times New Roman" w:cs="Times New Roman"/>
          <w:sz w:val="24"/>
          <w:szCs w:val="24"/>
          <w:lang w:eastAsia="hr-HR"/>
        </w:rPr>
        <w:t>U Zatvoru u Dubrovniku ulaz je prilagođen osobama s invaliditetom. Zatvorska ambulanta izmještena je u skladu s potrebom udovoljavanja minimalnim standardima. Prilagođen je sanitarni čvor sobe.</w:t>
      </w:r>
    </w:p>
    <w:p w14:paraId="0D328BF2" w14:textId="77777777" w:rsidR="00541503" w:rsidRPr="006B71CC" w:rsidRDefault="00541503" w:rsidP="00FB05F1">
      <w:pPr>
        <w:numPr>
          <w:ilvl w:val="0"/>
          <w:numId w:val="1"/>
        </w:numPr>
        <w:spacing w:after="200" w:line="276" w:lineRule="auto"/>
        <w:contextualSpacing/>
        <w:jc w:val="both"/>
        <w:rPr>
          <w:rFonts w:ascii="Times New Roman" w:hAnsi="Times New Roman" w:cs="Times New Roman"/>
          <w:sz w:val="24"/>
          <w:szCs w:val="24"/>
          <w:lang w:eastAsia="hr-HR"/>
        </w:rPr>
      </w:pPr>
      <w:r w:rsidRPr="006B71CC">
        <w:rPr>
          <w:rFonts w:ascii="Times New Roman" w:hAnsi="Times New Roman" w:cs="Times New Roman"/>
          <w:sz w:val="24"/>
          <w:szCs w:val="24"/>
          <w:lang w:eastAsia="hr-HR"/>
        </w:rPr>
        <w:t xml:space="preserve">Kaznionica u </w:t>
      </w:r>
      <w:proofErr w:type="spellStart"/>
      <w:r w:rsidRPr="006B71CC">
        <w:rPr>
          <w:rFonts w:ascii="Times New Roman" w:hAnsi="Times New Roman" w:cs="Times New Roman"/>
          <w:sz w:val="24"/>
          <w:szCs w:val="24"/>
          <w:lang w:eastAsia="hr-HR"/>
        </w:rPr>
        <w:t>Lipovici</w:t>
      </w:r>
      <w:proofErr w:type="spellEnd"/>
      <w:r w:rsidRPr="006B71CC">
        <w:rPr>
          <w:rFonts w:ascii="Times New Roman" w:hAnsi="Times New Roman" w:cs="Times New Roman"/>
          <w:sz w:val="24"/>
          <w:szCs w:val="24"/>
          <w:lang w:eastAsia="hr-HR"/>
        </w:rPr>
        <w:t> - Popovači ima uređenu sobu sa sanitarnim čvorom, a osiguran je pristup kao i kretanje kaznionicom za osobe s invaliditetom, dok je Kaznionica u Turopolju uredila spavaonice i sanitarni čvor.</w:t>
      </w:r>
    </w:p>
    <w:p w14:paraId="672F70D8" w14:textId="77777777" w:rsidR="00541503" w:rsidRPr="006B71CC" w:rsidRDefault="00541503" w:rsidP="00FB05F1">
      <w:pPr>
        <w:numPr>
          <w:ilvl w:val="0"/>
          <w:numId w:val="1"/>
        </w:numPr>
        <w:spacing w:after="200" w:line="276" w:lineRule="auto"/>
        <w:contextualSpacing/>
        <w:jc w:val="both"/>
        <w:rPr>
          <w:rFonts w:ascii="Times New Roman" w:hAnsi="Times New Roman" w:cs="Times New Roman"/>
          <w:sz w:val="24"/>
          <w:szCs w:val="24"/>
          <w:lang w:eastAsia="hr-HR"/>
        </w:rPr>
      </w:pPr>
      <w:r w:rsidRPr="006B71CC">
        <w:rPr>
          <w:rFonts w:ascii="Times New Roman" w:hAnsi="Times New Roman" w:cs="Times New Roman"/>
          <w:sz w:val="24"/>
          <w:szCs w:val="24"/>
          <w:lang w:eastAsia="hr-HR"/>
        </w:rPr>
        <w:t>Zatvor u Puli ima prilagođen pristup, sobu i sanitarni čvor</w:t>
      </w:r>
      <w:r w:rsidRPr="006B71CC">
        <w:rPr>
          <w:rFonts w:ascii="Times New Roman" w:eastAsia="Calibri" w:hAnsi="Times New Roman" w:cs="Times New Roman"/>
          <w:sz w:val="24"/>
          <w:szCs w:val="24"/>
        </w:rPr>
        <w:t xml:space="preserve"> </w:t>
      </w:r>
      <w:r w:rsidRPr="006B71CC">
        <w:rPr>
          <w:rFonts w:ascii="Times New Roman" w:hAnsi="Times New Roman" w:cs="Times New Roman"/>
          <w:sz w:val="24"/>
          <w:szCs w:val="24"/>
          <w:lang w:eastAsia="hr-HR"/>
        </w:rPr>
        <w:t>zatvorenicima s invaliditetom, a u Zatvoru u Gospiću prilagođen je sanitarni čvor.</w:t>
      </w:r>
    </w:p>
    <w:p w14:paraId="2208F592" w14:textId="77777777" w:rsidR="00541503" w:rsidRPr="006B71CC" w:rsidRDefault="00541503" w:rsidP="00541503">
      <w:pPr>
        <w:ind w:left="720"/>
        <w:contextualSpacing/>
        <w:jc w:val="both"/>
        <w:rPr>
          <w:rFonts w:ascii="Times New Roman" w:hAnsi="Times New Roman" w:cs="Times New Roman"/>
          <w:sz w:val="24"/>
          <w:szCs w:val="24"/>
          <w:lang w:eastAsia="hr-HR"/>
        </w:rPr>
      </w:pPr>
    </w:p>
    <w:p w14:paraId="4CC1B97B" w14:textId="77777777" w:rsidR="00541503" w:rsidRPr="006B71CC" w:rsidRDefault="00541503" w:rsidP="00541503">
      <w:pPr>
        <w:spacing w:after="200" w:line="276" w:lineRule="auto"/>
        <w:jc w:val="both"/>
        <w:rPr>
          <w:rFonts w:ascii="Times New Roman" w:eastAsia="Calibri" w:hAnsi="Times New Roman" w:cs="Times New Roman"/>
          <w:sz w:val="24"/>
          <w:szCs w:val="24"/>
        </w:rPr>
      </w:pPr>
      <w:r w:rsidRPr="006B71CC">
        <w:rPr>
          <w:rFonts w:ascii="Times New Roman" w:eastAsia="Calibri" w:hAnsi="Times New Roman" w:cs="Times New Roman"/>
          <w:sz w:val="24"/>
          <w:szCs w:val="24"/>
        </w:rPr>
        <w:t xml:space="preserve">Prilagođene sobe ima 9 kaznenih tijela, sanitarni čvor 11, a prilagođen pristup ima 7 kaznenih tijela. </w:t>
      </w:r>
    </w:p>
    <w:p w14:paraId="3EF57C8D" w14:textId="77777777" w:rsidR="00541503" w:rsidRPr="006B71CC" w:rsidRDefault="00541503" w:rsidP="00541503">
      <w:pPr>
        <w:rPr>
          <w:rFonts w:ascii="Times New Roman" w:hAnsi="Times New Roman" w:cs="Times New Roman"/>
          <w:sz w:val="24"/>
          <w:szCs w:val="24"/>
        </w:rPr>
      </w:pPr>
    </w:p>
    <w:p w14:paraId="07C59ED0" w14:textId="08BA37F2" w:rsidR="00541503" w:rsidRDefault="00541503">
      <w:pPr>
        <w:rPr>
          <w:rFonts w:ascii="Times New Roman" w:hAnsi="Times New Roman" w:cs="Times New Roman"/>
          <w:sz w:val="24"/>
          <w:szCs w:val="24"/>
          <w:lang w:eastAsia="hr-HR"/>
        </w:rPr>
      </w:pPr>
      <w:r>
        <w:rPr>
          <w:rFonts w:ascii="Times New Roman" w:hAnsi="Times New Roman" w:cs="Times New Roman"/>
          <w:sz w:val="24"/>
          <w:szCs w:val="24"/>
          <w:lang w:eastAsia="hr-HR"/>
        </w:rPr>
        <w:br w:type="page"/>
      </w:r>
    </w:p>
    <w:p w14:paraId="314D92A0" w14:textId="77777777" w:rsidR="00541503" w:rsidRPr="00395D52" w:rsidRDefault="00541503" w:rsidP="00541503">
      <w:pPr>
        <w:spacing w:before="100" w:beforeAutospacing="1" w:after="100" w:afterAutospacing="1"/>
        <w:rPr>
          <w:rFonts w:ascii="Times New Roman" w:hAnsi="Times New Roman" w:cs="Times New Roman"/>
          <w:b/>
          <w:bCs/>
          <w:color w:val="201F1E"/>
          <w:sz w:val="24"/>
          <w:szCs w:val="24"/>
          <w:u w:val="single"/>
          <w:lang w:eastAsia="en-GB"/>
        </w:rPr>
      </w:pPr>
      <w:r w:rsidRPr="00395D52">
        <w:rPr>
          <w:rFonts w:ascii="Times New Roman" w:hAnsi="Times New Roman" w:cs="Times New Roman"/>
          <w:b/>
          <w:bCs/>
          <w:color w:val="201F1E"/>
          <w:sz w:val="24"/>
          <w:szCs w:val="24"/>
          <w:u w:val="single"/>
          <w:lang w:eastAsia="en-GB"/>
        </w:rPr>
        <w:lastRenderedPageBreak/>
        <w:t xml:space="preserve">Prilog </w:t>
      </w:r>
      <w:r>
        <w:rPr>
          <w:rFonts w:ascii="Times New Roman" w:hAnsi="Times New Roman" w:cs="Times New Roman"/>
          <w:b/>
          <w:bCs/>
          <w:color w:val="201F1E"/>
          <w:sz w:val="24"/>
          <w:szCs w:val="24"/>
          <w:u w:val="single"/>
          <w:lang w:eastAsia="en-GB"/>
        </w:rPr>
        <w:t>23</w:t>
      </w:r>
    </w:p>
    <w:p w14:paraId="71A131F1" w14:textId="77777777" w:rsidR="00A418AE" w:rsidRDefault="00A418AE" w:rsidP="00A418AE">
      <w:pPr>
        <w:spacing w:after="0" w:line="240" w:lineRule="auto"/>
        <w:jc w:val="center"/>
        <w:rPr>
          <w:rFonts w:ascii="Times New Roman" w:hAnsi="Times New Roman" w:cs="Times New Roman"/>
          <w:b/>
          <w:bCs/>
          <w:color w:val="201F1E"/>
          <w:sz w:val="24"/>
          <w:szCs w:val="24"/>
          <w:lang w:eastAsia="en-GB"/>
        </w:rPr>
      </w:pPr>
    </w:p>
    <w:p w14:paraId="55DE5230" w14:textId="18B1A204" w:rsidR="00541503" w:rsidRPr="00395D52" w:rsidRDefault="00541503" w:rsidP="00A418AE">
      <w:pPr>
        <w:spacing w:after="100" w:afterAutospacing="1" w:line="240" w:lineRule="auto"/>
        <w:jc w:val="center"/>
        <w:rPr>
          <w:rFonts w:ascii="Times New Roman" w:hAnsi="Times New Roman" w:cs="Times New Roman"/>
          <w:b/>
          <w:bCs/>
          <w:color w:val="201F1E"/>
          <w:sz w:val="24"/>
          <w:szCs w:val="24"/>
          <w:lang w:eastAsia="en-GB"/>
        </w:rPr>
      </w:pPr>
      <w:r w:rsidRPr="00395D52">
        <w:rPr>
          <w:rFonts w:ascii="Times New Roman" w:hAnsi="Times New Roman" w:cs="Times New Roman"/>
          <w:b/>
          <w:bCs/>
          <w:color w:val="201F1E"/>
          <w:sz w:val="24"/>
          <w:szCs w:val="24"/>
          <w:lang w:eastAsia="en-GB"/>
        </w:rPr>
        <w:t>RJEŠAVANJE PRISTUPAČNOSTI NA ZGRADAMA PRAVOSUDNIH TIJELA U RAZDOBLJU 2015.-2020.</w:t>
      </w:r>
    </w:p>
    <w:p w14:paraId="4D03E589" w14:textId="77777777" w:rsidR="00541503" w:rsidRPr="00395D52" w:rsidRDefault="00541503" w:rsidP="00FB05F1">
      <w:pPr>
        <w:numPr>
          <w:ilvl w:val="0"/>
          <w:numId w:val="2"/>
        </w:numPr>
        <w:spacing w:before="100" w:beforeAutospacing="1" w:after="100" w:afterAutospacing="1" w:line="276" w:lineRule="auto"/>
        <w:jc w:val="both"/>
        <w:rPr>
          <w:rFonts w:ascii="Times New Roman" w:hAnsi="Times New Roman" w:cs="Times New Roman"/>
          <w:color w:val="201F1E"/>
          <w:sz w:val="24"/>
          <w:szCs w:val="24"/>
          <w:lang w:eastAsia="en-GB"/>
        </w:rPr>
      </w:pPr>
      <w:r w:rsidRPr="00395D52">
        <w:rPr>
          <w:rFonts w:ascii="Times New Roman" w:hAnsi="Times New Roman" w:cs="Times New Roman"/>
          <w:b/>
          <w:bCs/>
          <w:color w:val="201F1E"/>
          <w:sz w:val="24"/>
          <w:szCs w:val="24"/>
          <w:lang w:eastAsia="en-GB"/>
        </w:rPr>
        <w:t>Općinski sud u Metkoviću</w:t>
      </w:r>
      <w:r w:rsidRPr="00395D52">
        <w:rPr>
          <w:rFonts w:ascii="Times New Roman" w:hAnsi="Times New Roman" w:cs="Times New Roman"/>
          <w:color w:val="201F1E"/>
          <w:sz w:val="24"/>
          <w:szCs w:val="24"/>
          <w:lang w:eastAsia="en-GB"/>
        </w:rPr>
        <w:t xml:space="preserve"> –izvedena rampa i lift</w:t>
      </w:r>
    </w:p>
    <w:p w14:paraId="29899A67" w14:textId="77777777" w:rsidR="00541503" w:rsidRPr="00395D52" w:rsidRDefault="00541503" w:rsidP="00FB05F1">
      <w:pPr>
        <w:numPr>
          <w:ilvl w:val="0"/>
          <w:numId w:val="2"/>
        </w:numPr>
        <w:spacing w:before="100" w:beforeAutospacing="1" w:after="100" w:afterAutospacing="1" w:line="276" w:lineRule="auto"/>
        <w:jc w:val="both"/>
        <w:rPr>
          <w:rFonts w:ascii="Times New Roman" w:hAnsi="Times New Roman" w:cs="Times New Roman"/>
          <w:color w:val="201F1E"/>
          <w:sz w:val="24"/>
          <w:szCs w:val="24"/>
          <w:lang w:eastAsia="en-GB"/>
        </w:rPr>
      </w:pPr>
      <w:r w:rsidRPr="00395D52">
        <w:rPr>
          <w:rFonts w:ascii="Times New Roman" w:hAnsi="Times New Roman" w:cs="Times New Roman"/>
          <w:b/>
          <w:bCs/>
          <w:color w:val="201F1E"/>
          <w:sz w:val="24"/>
          <w:szCs w:val="24"/>
          <w:lang w:eastAsia="en-GB"/>
        </w:rPr>
        <w:t>Općinski sud u Benkovcu</w:t>
      </w:r>
      <w:r w:rsidRPr="00395D52">
        <w:rPr>
          <w:rFonts w:ascii="Times New Roman" w:hAnsi="Times New Roman" w:cs="Times New Roman"/>
          <w:color w:val="201F1E"/>
          <w:sz w:val="24"/>
          <w:szCs w:val="24"/>
          <w:lang w:eastAsia="en-GB"/>
        </w:rPr>
        <w:t xml:space="preserve"> – izveden lift </w:t>
      </w:r>
    </w:p>
    <w:p w14:paraId="1EF52EE5" w14:textId="77777777" w:rsidR="00541503" w:rsidRPr="00395D52" w:rsidRDefault="00541503" w:rsidP="00FB05F1">
      <w:pPr>
        <w:numPr>
          <w:ilvl w:val="0"/>
          <w:numId w:val="2"/>
        </w:numPr>
        <w:spacing w:before="100" w:beforeAutospacing="1" w:after="100" w:afterAutospacing="1" w:line="276" w:lineRule="auto"/>
        <w:jc w:val="both"/>
        <w:rPr>
          <w:rFonts w:ascii="Times New Roman" w:hAnsi="Times New Roman" w:cs="Times New Roman"/>
          <w:color w:val="201F1E"/>
          <w:sz w:val="24"/>
          <w:szCs w:val="24"/>
          <w:lang w:eastAsia="en-GB"/>
        </w:rPr>
      </w:pPr>
      <w:r w:rsidRPr="00395D52">
        <w:rPr>
          <w:rFonts w:ascii="Times New Roman" w:hAnsi="Times New Roman" w:cs="Times New Roman"/>
          <w:b/>
          <w:bCs/>
          <w:color w:val="201F1E"/>
          <w:sz w:val="24"/>
          <w:szCs w:val="24"/>
          <w:lang w:eastAsia="en-GB"/>
        </w:rPr>
        <w:t>Općinski sud Valpovu</w:t>
      </w:r>
      <w:r w:rsidRPr="00395D52">
        <w:rPr>
          <w:rFonts w:ascii="Times New Roman" w:hAnsi="Times New Roman" w:cs="Times New Roman"/>
          <w:color w:val="201F1E"/>
          <w:sz w:val="24"/>
          <w:szCs w:val="24"/>
          <w:lang w:eastAsia="en-GB"/>
        </w:rPr>
        <w:t xml:space="preserve"> – izvedena rampa, podizna platforma, taktilne trake </w:t>
      </w:r>
    </w:p>
    <w:p w14:paraId="3F14D9FD" w14:textId="77777777" w:rsidR="00541503" w:rsidRPr="00395D52" w:rsidRDefault="00541503" w:rsidP="00FB05F1">
      <w:pPr>
        <w:numPr>
          <w:ilvl w:val="0"/>
          <w:numId w:val="2"/>
        </w:numPr>
        <w:spacing w:before="100" w:beforeAutospacing="1" w:after="100" w:afterAutospacing="1" w:line="276" w:lineRule="auto"/>
        <w:jc w:val="both"/>
        <w:rPr>
          <w:rFonts w:ascii="Times New Roman" w:hAnsi="Times New Roman" w:cs="Times New Roman"/>
          <w:color w:val="201F1E"/>
          <w:sz w:val="24"/>
          <w:szCs w:val="24"/>
          <w:lang w:eastAsia="en-GB"/>
        </w:rPr>
      </w:pPr>
      <w:r w:rsidRPr="00395D52">
        <w:rPr>
          <w:rFonts w:ascii="Times New Roman" w:hAnsi="Times New Roman" w:cs="Times New Roman"/>
          <w:b/>
          <w:bCs/>
          <w:color w:val="201F1E"/>
          <w:sz w:val="24"/>
          <w:szCs w:val="24"/>
          <w:lang w:eastAsia="en-GB"/>
        </w:rPr>
        <w:t xml:space="preserve">Županijski sud u Sisku - </w:t>
      </w:r>
      <w:r w:rsidRPr="00395D52">
        <w:rPr>
          <w:rFonts w:ascii="Times New Roman" w:hAnsi="Times New Roman" w:cs="Times New Roman"/>
          <w:bCs/>
          <w:color w:val="201F1E"/>
          <w:sz w:val="24"/>
          <w:szCs w:val="24"/>
          <w:lang w:eastAsia="en-GB"/>
        </w:rPr>
        <w:t>ugrađen</w:t>
      </w:r>
      <w:r w:rsidRPr="00395D52">
        <w:rPr>
          <w:rFonts w:ascii="Times New Roman" w:hAnsi="Times New Roman" w:cs="Times New Roman"/>
          <w:color w:val="201F1E"/>
          <w:sz w:val="24"/>
          <w:szCs w:val="24"/>
          <w:lang w:eastAsia="en-GB"/>
        </w:rPr>
        <w:t xml:space="preserve"> je lift, vanjska podizna platforma, taktilne trake </w:t>
      </w:r>
    </w:p>
    <w:p w14:paraId="1DFB8DBD" w14:textId="77777777" w:rsidR="00541503" w:rsidRPr="00395D52" w:rsidRDefault="00541503" w:rsidP="00FB05F1">
      <w:pPr>
        <w:numPr>
          <w:ilvl w:val="0"/>
          <w:numId w:val="2"/>
        </w:numPr>
        <w:spacing w:before="100" w:beforeAutospacing="1" w:after="100" w:afterAutospacing="1" w:line="276" w:lineRule="auto"/>
        <w:jc w:val="both"/>
        <w:rPr>
          <w:rFonts w:ascii="Times New Roman" w:hAnsi="Times New Roman" w:cs="Times New Roman"/>
          <w:color w:val="201F1E"/>
          <w:sz w:val="24"/>
          <w:szCs w:val="24"/>
          <w:lang w:eastAsia="en-GB"/>
        </w:rPr>
      </w:pPr>
      <w:r w:rsidRPr="00395D52">
        <w:rPr>
          <w:rFonts w:ascii="Times New Roman" w:hAnsi="Times New Roman" w:cs="Times New Roman"/>
          <w:b/>
          <w:bCs/>
          <w:color w:val="201F1E"/>
          <w:sz w:val="24"/>
          <w:szCs w:val="24"/>
          <w:lang w:eastAsia="en-GB"/>
        </w:rPr>
        <w:t>Županijski sud u Osijeku</w:t>
      </w:r>
      <w:r w:rsidRPr="00395D52">
        <w:rPr>
          <w:rFonts w:ascii="Times New Roman" w:hAnsi="Times New Roman" w:cs="Times New Roman"/>
          <w:color w:val="201F1E"/>
          <w:sz w:val="24"/>
          <w:szCs w:val="24"/>
          <w:lang w:eastAsia="en-GB"/>
        </w:rPr>
        <w:t xml:space="preserve"> – izveden lift, kosa podizna platforma </w:t>
      </w:r>
    </w:p>
    <w:p w14:paraId="5679426F" w14:textId="77777777" w:rsidR="00541503" w:rsidRPr="00395D52" w:rsidRDefault="00541503" w:rsidP="00FB05F1">
      <w:pPr>
        <w:numPr>
          <w:ilvl w:val="0"/>
          <w:numId w:val="2"/>
        </w:numPr>
        <w:spacing w:before="100" w:beforeAutospacing="1" w:after="100" w:afterAutospacing="1" w:line="276" w:lineRule="auto"/>
        <w:jc w:val="both"/>
        <w:rPr>
          <w:rFonts w:ascii="Times New Roman" w:hAnsi="Times New Roman" w:cs="Times New Roman"/>
          <w:color w:val="201F1E"/>
          <w:sz w:val="24"/>
          <w:szCs w:val="24"/>
          <w:lang w:eastAsia="en-GB"/>
        </w:rPr>
      </w:pPr>
      <w:r w:rsidRPr="00395D52">
        <w:rPr>
          <w:rFonts w:ascii="Times New Roman" w:hAnsi="Times New Roman" w:cs="Times New Roman"/>
          <w:b/>
          <w:bCs/>
          <w:color w:val="201F1E"/>
          <w:sz w:val="24"/>
          <w:szCs w:val="24"/>
          <w:lang w:eastAsia="en-GB"/>
        </w:rPr>
        <w:t>DORH</w:t>
      </w:r>
      <w:r w:rsidRPr="00395D52">
        <w:rPr>
          <w:rFonts w:ascii="Times New Roman" w:hAnsi="Times New Roman" w:cs="Times New Roman"/>
          <w:color w:val="201F1E"/>
          <w:sz w:val="24"/>
          <w:szCs w:val="24"/>
          <w:lang w:eastAsia="en-GB"/>
        </w:rPr>
        <w:t>- izveden lift i podizna platforma</w:t>
      </w:r>
    </w:p>
    <w:p w14:paraId="04F66DB3" w14:textId="77777777" w:rsidR="00541503" w:rsidRPr="00395D52" w:rsidRDefault="00541503" w:rsidP="00FB05F1">
      <w:pPr>
        <w:numPr>
          <w:ilvl w:val="0"/>
          <w:numId w:val="2"/>
        </w:numPr>
        <w:spacing w:before="100" w:beforeAutospacing="1" w:after="100" w:afterAutospacing="1" w:line="276" w:lineRule="auto"/>
        <w:jc w:val="both"/>
        <w:rPr>
          <w:rFonts w:ascii="Times New Roman" w:hAnsi="Times New Roman" w:cs="Times New Roman"/>
          <w:color w:val="201F1E"/>
          <w:sz w:val="24"/>
          <w:szCs w:val="24"/>
          <w:lang w:eastAsia="en-GB"/>
        </w:rPr>
      </w:pPr>
      <w:r w:rsidRPr="00395D52">
        <w:rPr>
          <w:rFonts w:ascii="Times New Roman" w:hAnsi="Times New Roman" w:cs="Times New Roman"/>
          <w:b/>
          <w:bCs/>
          <w:color w:val="201F1E"/>
          <w:sz w:val="24"/>
          <w:szCs w:val="24"/>
          <w:lang w:eastAsia="en-GB"/>
        </w:rPr>
        <w:t>Županijsko i Općinsko državno odvjetništvo u Puli i Zemljišni odjel općinskog suda</w:t>
      </w:r>
      <w:r w:rsidRPr="00395D52">
        <w:rPr>
          <w:rFonts w:ascii="Times New Roman" w:hAnsi="Times New Roman" w:cs="Times New Roman"/>
          <w:color w:val="201F1E"/>
          <w:sz w:val="24"/>
          <w:szCs w:val="24"/>
          <w:lang w:eastAsia="en-GB"/>
        </w:rPr>
        <w:t xml:space="preserve"> –izveden lift</w:t>
      </w:r>
    </w:p>
    <w:p w14:paraId="7CDB298A" w14:textId="77777777" w:rsidR="00541503" w:rsidRPr="00395D52" w:rsidRDefault="00541503" w:rsidP="00FB05F1">
      <w:pPr>
        <w:numPr>
          <w:ilvl w:val="0"/>
          <w:numId w:val="2"/>
        </w:numPr>
        <w:spacing w:before="100" w:beforeAutospacing="1" w:after="100" w:afterAutospacing="1" w:line="276" w:lineRule="auto"/>
        <w:jc w:val="both"/>
        <w:rPr>
          <w:rFonts w:ascii="Times New Roman" w:hAnsi="Times New Roman" w:cs="Times New Roman"/>
          <w:color w:val="201F1E"/>
          <w:sz w:val="24"/>
          <w:szCs w:val="24"/>
          <w:lang w:eastAsia="en-GB"/>
        </w:rPr>
      </w:pPr>
      <w:r w:rsidRPr="00395D52">
        <w:rPr>
          <w:rFonts w:ascii="Times New Roman" w:hAnsi="Times New Roman" w:cs="Times New Roman"/>
          <w:b/>
          <w:bCs/>
          <w:color w:val="201F1E"/>
          <w:sz w:val="24"/>
          <w:szCs w:val="24"/>
          <w:lang w:eastAsia="en-GB"/>
        </w:rPr>
        <w:t>Općinsko državno odvjetništvo u Zagrebu -Kazneni odjel</w:t>
      </w:r>
      <w:r w:rsidRPr="00395D52">
        <w:rPr>
          <w:rFonts w:ascii="Times New Roman" w:hAnsi="Times New Roman" w:cs="Times New Roman"/>
          <w:color w:val="201F1E"/>
          <w:sz w:val="24"/>
          <w:szCs w:val="24"/>
          <w:lang w:eastAsia="en-GB"/>
        </w:rPr>
        <w:t xml:space="preserve"> -izveden lift</w:t>
      </w:r>
    </w:p>
    <w:p w14:paraId="7ED59834" w14:textId="77777777" w:rsidR="00541503" w:rsidRPr="00395D52" w:rsidRDefault="00541503" w:rsidP="00FB05F1">
      <w:pPr>
        <w:numPr>
          <w:ilvl w:val="0"/>
          <w:numId w:val="2"/>
        </w:numPr>
        <w:spacing w:before="100" w:beforeAutospacing="1" w:after="100" w:afterAutospacing="1" w:line="276" w:lineRule="auto"/>
        <w:jc w:val="both"/>
        <w:rPr>
          <w:rFonts w:ascii="Times New Roman" w:hAnsi="Times New Roman" w:cs="Times New Roman"/>
          <w:color w:val="201F1E"/>
          <w:sz w:val="24"/>
          <w:szCs w:val="24"/>
          <w:lang w:eastAsia="en-GB"/>
        </w:rPr>
      </w:pPr>
      <w:r w:rsidRPr="00395D52">
        <w:rPr>
          <w:rFonts w:ascii="Times New Roman" w:hAnsi="Times New Roman" w:cs="Times New Roman"/>
          <w:b/>
          <w:bCs/>
          <w:color w:val="201F1E"/>
          <w:sz w:val="24"/>
          <w:szCs w:val="24"/>
          <w:lang w:eastAsia="en-GB"/>
        </w:rPr>
        <w:t>Županijski sud u Karlovcu</w:t>
      </w:r>
      <w:r w:rsidRPr="00395D52">
        <w:rPr>
          <w:rFonts w:ascii="Times New Roman" w:hAnsi="Times New Roman" w:cs="Times New Roman"/>
          <w:color w:val="201F1E"/>
          <w:sz w:val="24"/>
          <w:szCs w:val="24"/>
          <w:lang w:eastAsia="en-GB"/>
        </w:rPr>
        <w:t xml:space="preserve"> - ugrađen je lift, kosa podizna platforma, taktilne trake </w:t>
      </w:r>
    </w:p>
    <w:p w14:paraId="633CF382" w14:textId="77777777" w:rsidR="00541503" w:rsidRPr="00395D52" w:rsidRDefault="00541503" w:rsidP="00FB05F1">
      <w:pPr>
        <w:numPr>
          <w:ilvl w:val="0"/>
          <w:numId w:val="2"/>
        </w:numPr>
        <w:spacing w:before="100" w:beforeAutospacing="1" w:after="100" w:afterAutospacing="1" w:line="276" w:lineRule="auto"/>
        <w:jc w:val="both"/>
        <w:rPr>
          <w:rFonts w:ascii="Times New Roman" w:hAnsi="Times New Roman" w:cs="Times New Roman"/>
          <w:color w:val="201F1E"/>
          <w:sz w:val="24"/>
          <w:szCs w:val="24"/>
          <w:lang w:eastAsia="en-GB"/>
        </w:rPr>
      </w:pPr>
      <w:r w:rsidRPr="00395D52">
        <w:rPr>
          <w:rFonts w:ascii="Times New Roman" w:hAnsi="Times New Roman" w:cs="Times New Roman"/>
          <w:b/>
          <w:bCs/>
          <w:color w:val="201F1E"/>
          <w:sz w:val="24"/>
          <w:szCs w:val="24"/>
          <w:lang w:eastAsia="en-GB"/>
        </w:rPr>
        <w:t>Trgovački sud Zagreb</w:t>
      </w:r>
      <w:r w:rsidRPr="00395D52">
        <w:rPr>
          <w:rFonts w:ascii="Times New Roman" w:hAnsi="Times New Roman" w:cs="Times New Roman"/>
          <w:color w:val="201F1E"/>
          <w:sz w:val="24"/>
          <w:szCs w:val="24"/>
          <w:lang w:eastAsia="en-GB"/>
        </w:rPr>
        <w:t>- ugrađen novi lift</w:t>
      </w:r>
    </w:p>
    <w:p w14:paraId="34569C5E" w14:textId="77777777" w:rsidR="00541503" w:rsidRPr="00395D52" w:rsidRDefault="00541503" w:rsidP="00FB05F1">
      <w:pPr>
        <w:numPr>
          <w:ilvl w:val="0"/>
          <w:numId w:val="2"/>
        </w:numPr>
        <w:spacing w:before="100" w:beforeAutospacing="1" w:after="100" w:afterAutospacing="1" w:line="276" w:lineRule="auto"/>
        <w:jc w:val="both"/>
        <w:rPr>
          <w:rFonts w:ascii="Times New Roman" w:hAnsi="Times New Roman" w:cs="Times New Roman"/>
          <w:color w:val="201F1E"/>
          <w:sz w:val="24"/>
          <w:szCs w:val="24"/>
          <w:lang w:eastAsia="en-GB"/>
        </w:rPr>
      </w:pPr>
      <w:r w:rsidRPr="00395D52">
        <w:rPr>
          <w:rFonts w:ascii="Times New Roman" w:hAnsi="Times New Roman" w:cs="Times New Roman"/>
          <w:b/>
          <w:bCs/>
          <w:color w:val="201F1E"/>
          <w:sz w:val="24"/>
          <w:szCs w:val="24"/>
          <w:lang w:eastAsia="en-GB"/>
        </w:rPr>
        <w:t>Županijski sud Zagreb</w:t>
      </w:r>
      <w:r w:rsidRPr="00395D52">
        <w:rPr>
          <w:rFonts w:ascii="Times New Roman" w:hAnsi="Times New Roman" w:cs="Times New Roman"/>
          <w:color w:val="201F1E"/>
          <w:sz w:val="24"/>
          <w:szCs w:val="24"/>
          <w:lang w:eastAsia="en-GB"/>
        </w:rPr>
        <w:t xml:space="preserve"> izveden lift</w:t>
      </w:r>
    </w:p>
    <w:p w14:paraId="79B98954" w14:textId="77777777" w:rsidR="00541503" w:rsidRPr="00395D52" w:rsidRDefault="00541503" w:rsidP="00FB05F1">
      <w:pPr>
        <w:numPr>
          <w:ilvl w:val="0"/>
          <w:numId w:val="2"/>
        </w:numPr>
        <w:spacing w:before="100" w:beforeAutospacing="1" w:after="100" w:afterAutospacing="1" w:line="276" w:lineRule="auto"/>
        <w:jc w:val="both"/>
        <w:rPr>
          <w:rFonts w:ascii="Times New Roman" w:hAnsi="Times New Roman" w:cs="Times New Roman"/>
          <w:color w:val="201F1E"/>
          <w:sz w:val="24"/>
          <w:szCs w:val="24"/>
          <w:lang w:eastAsia="en-GB"/>
        </w:rPr>
      </w:pPr>
      <w:r w:rsidRPr="00395D52">
        <w:rPr>
          <w:rFonts w:ascii="Times New Roman" w:hAnsi="Times New Roman" w:cs="Times New Roman"/>
          <w:b/>
          <w:bCs/>
          <w:color w:val="201F1E"/>
          <w:sz w:val="24"/>
          <w:szCs w:val="24"/>
          <w:lang w:eastAsia="en-GB"/>
        </w:rPr>
        <w:t>Općinski sud u Slavonskom Brodu</w:t>
      </w:r>
      <w:r w:rsidRPr="00395D52">
        <w:rPr>
          <w:rFonts w:ascii="Times New Roman" w:hAnsi="Times New Roman" w:cs="Times New Roman"/>
          <w:color w:val="201F1E"/>
          <w:sz w:val="24"/>
          <w:szCs w:val="24"/>
          <w:lang w:eastAsia="en-GB"/>
        </w:rPr>
        <w:t>- radovi na izgradnji lifta završeni</w:t>
      </w:r>
      <w:r w:rsidRPr="00395D52">
        <w:rPr>
          <w:rFonts w:ascii="Times New Roman" w:hAnsi="Times New Roman" w:cs="Times New Roman"/>
          <w:color w:val="1F497D"/>
          <w:sz w:val="24"/>
          <w:szCs w:val="24"/>
          <w:lang w:eastAsia="en-GB"/>
        </w:rPr>
        <w:t xml:space="preserve">, </w:t>
      </w:r>
      <w:r w:rsidRPr="00395D52">
        <w:rPr>
          <w:rFonts w:ascii="Times New Roman" w:hAnsi="Times New Roman" w:cs="Times New Roman"/>
          <w:color w:val="201F1E"/>
          <w:sz w:val="24"/>
          <w:szCs w:val="24"/>
          <w:lang w:eastAsia="en-GB"/>
        </w:rPr>
        <w:t xml:space="preserve">u ulaznom </w:t>
      </w:r>
      <w:proofErr w:type="spellStart"/>
      <w:r w:rsidRPr="00395D52">
        <w:rPr>
          <w:rFonts w:ascii="Times New Roman" w:hAnsi="Times New Roman" w:cs="Times New Roman"/>
          <w:color w:val="201F1E"/>
          <w:sz w:val="24"/>
          <w:szCs w:val="24"/>
          <w:lang w:eastAsia="en-GB"/>
        </w:rPr>
        <w:t>hallu</w:t>
      </w:r>
      <w:proofErr w:type="spellEnd"/>
      <w:r w:rsidRPr="00395D52">
        <w:rPr>
          <w:rFonts w:ascii="Times New Roman" w:hAnsi="Times New Roman" w:cs="Times New Roman"/>
          <w:color w:val="201F1E"/>
          <w:sz w:val="24"/>
          <w:szCs w:val="24"/>
          <w:lang w:eastAsia="en-GB"/>
        </w:rPr>
        <w:t xml:space="preserve"> je predviđena izvedba rampe</w:t>
      </w:r>
    </w:p>
    <w:p w14:paraId="5DD64AC8" w14:textId="77777777" w:rsidR="00541503" w:rsidRPr="00395D52" w:rsidRDefault="00541503" w:rsidP="00FB05F1">
      <w:pPr>
        <w:numPr>
          <w:ilvl w:val="0"/>
          <w:numId w:val="2"/>
        </w:numPr>
        <w:spacing w:before="100" w:beforeAutospacing="1" w:after="100" w:afterAutospacing="1" w:line="276" w:lineRule="auto"/>
        <w:jc w:val="both"/>
        <w:rPr>
          <w:rFonts w:ascii="Times New Roman" w:hAnsi="Times New Roman" w:cs="Times New Roman"/>
          <w:color w:val="201F1E"/>
          <w:sz w:val="24"/>
          <w:szCs w:val="24"/>
          <w:lang w:eastAsia="en-GB"/>
        </w:rPr>
      </w:pPr>
      <w:r w:rsidRPr="00395D52">
        <w:rPr>
          <w:rFonts w:ascii="Times New Roman" w:hAnsi="Times New Roman" w:cs="Times New Roman"/>
          <w:b/>
          <w:bCs/>
          <w:color w:val="201F1E"/>
          <w:sz w:val="24"/>
          <w:szCs w:val="24"/>
          <w:lang w:eastAsia="en-GB"/>
        </w:rPr>
        <w:t>Županijski sud u Šibeniku</w:t>
      </w:r>
      <w:r w:rsidRPr="00395D52">
        <w:rPr>
          <w:rFonts w:ascii="Times New Roman" w:hAnsi="Times New Roman" w:cs="Times New Roman"/>
          <w:color w:val="201F1E"/>
          <w:sz w:val="24"/>
          <w:szCs w:val="24"/>
          <w:lang w:eastAsia="en-GB"/>
        </w:rPr>
        <w:t xml:space="preserve"> – u tijeku radovi unutar kojih je predviđena i izgradnja lifta</w:t>
      </w:r>
    </w:p>
    <w:p w14:paraId="00FFD0D3" w14:textId="77777777" w:rsidR="00541503" w:rsidRPr="00395D52" w:rsidRDefault="00541503" w:rsidP="00FB05F1">
      <w:pPr>
        <w:numPr>
          <w:ilvl w:val="0"/>
          <w:numId w:val="2"/>
        </w:numPr>
        <w:spacing w:before="100" w:beforeAutospacing="1" w:after="100" w:afterAutospacing="1" w:line="276" w:lineRule="auto"/>
        <w:jc w:val="both"/>
        <w:rPr>
          <w:rFonts w:ascii="Times New Roman" w:hAnsi="Times New Roman" w:cs="Times New Roman"/>
          <w:color w:val="201F1E"/>
          <w:sz w:val="24"/>
          <w:szCs w:val="24"/>
          <w:lang w:eastAsia="en-GB"/>
        </w:rPr>
      </w:pPr>
      <w:r w:rsidRPr="00395D52">
        <w:rPr>
          <w:rFonts w:ascii="Times New Roman" w:hAnsi="Times New Roman" w:cs="Times New Roman"/>
          <w:b/>
          <w:bCs/>
          <w:color w:val="201F1E"/>
          <w:sz w:val="24"/>
          <w:szCs w:val="24"/>
          <w:lang w:eastAsia="en-GB"/>
        </w:rPr>
        <w:t>Općinski sud u Splitu</w:t>
      </w:r>
      <w:r w:rsidRPr="00395D52">
        <w:rPr>
          <w:rFonts w:ascii="Times New Roman" w:hAnsi="Times New Roman" w:cs="Times New Roman"/>
          <w:color w:val="201F1E"/>
          <w:sz w:val="24"/>
          <w:szCs w:val="24"/>
          <w:lang w:eastAsia="en-GB"/>
        </w:rPr>
        <w:t xml:space="preserve"> - rekonstrukcija zgrade „Prima </w:t>
      </w:r>
      <w:proofErr w:type="spellStart"/>
      <w:r w:rsidRPr="00395D52">
        <w:rPr>
          <w:rFonts w:ascii="Times New Roman" w:hAnsi="Times New Roman" w:cs="Times New Roman"/>
          <w:color w:val="201F1E"/>
          <w:sz w:val="24"/>
          <w:szCs w:val="24"/>
          <w:lang w:eastAsia="en-GB"/>
        </w:rPr>
        <w:t>Stande</w:t>
      </w:r>
      <w:proofErr w:type="spellEnd"/>
      <w:r w:rsidRPr="00395D52">
        <w:rPr>
          <w:rFonts w:ascii="Times New Roman" w:hAnsi="Times New Roman" w:cs="Times New Roman"/>
          <w:color w:val="201F1E"/>
          <w:sz w:val="24"/>
          <w:szCs w:val="24"/>
          <w:lang w:eastAsia="en-GB"/>
        </w:rPr>
        <w:t>“ za potrebe Općinskog suda- u tijeku su radovi unutar kojih je predviđena izgradnja lifta</w:t>
      </w:r>
    </w:p>
    <w:p w14:paraId="70FACCEC" w14:textId="77777777" w:rsidR="00541503" w:rsidRPr="00395D52" w:rsidRDefault="00541503" w:rsidP="00FB05F1">
      <w:pPr>
        <w:numPr>
          <w:ilvl w:val="0"/>
          <w:numId w:val="2"/>
        </w:numPr>
        <w:spacing w:before="100" w:beforeAutospacing="1" w:after="100" w:afterAutospacing="1" w:line="276" w:lineRule="auto"/>
        <w:jc w:val="both"/>
        <w:rPr>
          <w:rFonts w:ascii="Times New Roman" w:hAnsi="Times New Roman" w:cs="Times New Roman"/>
          <w:color w:val="201F1E"/>
          <w:sz w:val="24"/>
          <w:szCs w:val="24"/>
          <w:lang w:eastAsia="en-GB"/>
        </w:rPr>
      </w:pPr>
      <w:r w:rsidRPr="00395D52">
        <w:rPr>
          <w:rFonts w:ascii="Times New Roman" w:hAnsi="Times New Roman" w:cs="Times New Roman"/>
          <w:b/>
          <w:bCs/>
          <w:color w:val="201F1E"/>
          <w:sz w:val="24"/>
          <w:szCs w:val="24"/>
          <w:lang w:eastAsia="en-GB"/>
        </w:rPr>
        <w:t>Vrhovni sud</w:t>
      </w:r>
      <w:r w:rsidRPr="00395D52">
        <w:rPr>
          <w:rFonts w:ascii="Times New Roman" w:hAnsi="Times New Roman" w:cs="Times New Roman"/>
          <w:color w:val="201F1E"/>
          <w:sz w:val="24"/>
          <w:szCs w:val="24"/>
          <w:lang w:eastAsia="en-GB"/>
        </w:rPr>
        <w:t xml:space="preserve"> -pripremljena projektna dokumentacija za izgradnju lifta</w:t>
      </w:r>
    </w:p>
    <w:p w14:paraId="60946242" w14:textId="77777777" w:rsidR="00541503" w:rsidRPr="00395D52" w:rsidRDefault="00541503" w:rsidP="00FB05F1">
      <w:pPr>
        <w:numPr>
          <w:ilvl w:val="0"/>
          <w:numId w:val="2"/>
        </w:numPr>
        <w:spacing w:before="100" w:beforeAutospacing="1" w:after="100" w:afterAutospacing="1" w:line="276" w:lineRule="auto"/>
        <w:jc w:val="both"/>
        <w:rPr>
          <w:rFonts w:ascii="Times New Roman" w:hAnsi="Times New Roman" w:cs="Times New Roman"/>
          <w:color w:val="201F1E"/>
          <w:sz w:val="24"/>
          <w:szCs w:val="24"/>
          <w:lang w:eastAsia="en-GB"/>
        </w:rPr>
      </w:pPr>
      <w:r w:rsidRPr="00395D52">
        <w:rPr>
          <w:rFonts w:ascii="Times New Roman" w:hAnsi="Times New Roman" w:cs="Times New Roman"/>
          <w:b/>
          <w:bCs/>
          <w:color w:val="201F1E"/>
          <w:sz w:val="24"/>
          <w:szCs w:val="24"/>
          <w:lang w:eastAsia="en-GB"/>
        </w:rPr>
        <w:t>Bjelovar</w:t>
      </w:r>
      <w:r w:rsidRPr="00395D52">
        <w:rPr>
          <w:rFonts w:ascii="Times New Roman" w:hAnsi="Times New Roman" w:cs="Times New Roman"/>
          <w:color w:val="201F1E"/>
          <w:sz w:val="24"/>
          <w:szCs w:val="24"/>
          <w:lang w:eastAsia="en-GB"/>
        </w:rPr>
        <w:t xml:space="preserve"> –pripremljena  projektna dokumentacija za izgradnju nove zgrade za smještaj Trgovačkog suda i odvjetništva u Bjelovaru kojoj je predviđena i izgradnja lifta </w:t>
      </w:r>
    </w:p>
    <w:p w14:paraId="378A7257" w14:textId="77777777" w:rsidR="00541503" w:rsidRPr="00395D52" w:rsidRDefault="00541503" w:rsidP="00FB05F1">
      <w:pPr>
        <w:numPr>
          <w:ilvl w:val="0"/>
          <w:numId w:val="2"/>
        </w:numPr>
        <w:spacing w:before="100" w:beforeAutospacing="1" w:after="100" w:afterAutospacing="1" w:line="276" w:lineRule="auto"/>
        <w:jc w:val="both"/>
        <w:rPr>
          <w:rFonts w:ascii="Times New Roman" w:hAnsi="Times New Roman" w:cs="Times New Roman"/>
          <w:color w:val="201F1E"/>
          <w:sz w:val="24"/>
          <w:szCs w:val="24"/>
          <w:lang w:eastAsia="en-GB"/>
        </w:rPr>
      </w:pPr>
      <w:r w:rsidRPr="00395D52">
        <w:rPr>
          <w:rFonts w:ascii="Times New Roman" w:hAnsi="Times New Roman" w:cs="Times New Roman"/>
          <w:b/>
          <w:bCs/>
          <w:color w:val="201F1E"/>
          <w:sz w:val="24"/>
          <w:szCs w:val="24"/>
          <w:lang w:eastAsia="en-GB"/>
        </w:rPr>
        <w:t>Županijski sud u Dubrovniku</w:t>
      </w:r>
      <w:r w:rsidRPr="00395D52">
        <w:rPr>
          <w:rFonts w:ascii="Times New Roman" w:hAnsi="Times New Roman" w:cs="Times New Roman"/>
          <w:color w:val="201F1E"/>
          <w:sz w:val="24"/>
          <w:szCs w:val="24"/>
          <w:lang w:eastAsia="en-GB"/>
        </w:rPr>
        <w:t xml:space="preserve"> - u tijeku je dobivanje građevinske dozvole za  nadogradnju zgrade Županijskog suda u Dubrovniku. Planiranim projektnim rješenjem uključena je ugradnja lifta </w:t>
      </w:r>
    </w:p>
    <w:p w14:paraId="555150D1" w14:textId="77777777" w:rsidR="00541503" w:rsidRPr="00395D52" w:rsidRDefault="00541503" w:rsidP="00FB05F1">
      <w:pPr>
        <w:numPr>
          <w:ilvl w:val="0"/>
          <w:numId w:val="2"/>
        </w:numPr>
        <w:spacing w:before="100" w:beforeAutospacing="1" w:after="100" w:afterAutospacing="1" w:line="276" w:lineRule="auto"/>
        <w:jc w:val="both"/>
        <w:rPr>
          <w:rFonts w:ascii="Times New Roman" w:hAnsi="Times New Roman" w:cs="Times New Roman"/>
          <w:color w:val="201F1E"/>
          <w:sz w:val="24"/>
          <w:szCs w:val="24"/>
          <w:lang w:eastAsia="en-GB"/>
        </w:rPr>
      </w:pPr>
      <w:r w:rsidRPr="00395D52">
        <w:rPr>
          <w:rFonts w:ascii="Times New Roman" w:hAnsi="Times New Roman" w:cs="Times New Roman"/>
          <w:b/>
          <w:bCs/>
          <w:color w:val="201F1E"/>
          <w:sz w:val="24"/>
          <w:szCs w:val="24"/>
          <w:lang w:eastAsia="en-GB"/>
        </w:rPr>
        <w:t xml:space="preserve">Općinski sud u Požegi </w:t>
      </w:r>
      <w:r w:rsidRPr="00395D52">
        <w:rPr>
          <w:rFonts w:ascii="Times New Roman" w:hAnsi="Times New Roman" w:cs="Times New Roman"/>
          <w:color w:val="201F1E"/>
          <w:sz w:val="24"/>
          <w:szCs w:val="24"/>
          <w:lang w:eastAsia="en-GB"/>
        </w:rPr>
        <w:t>- pripremljena projektna dokumentacija za uređenje zgrade</w:t>
      </w:r>
      <w:r w:rsidRPr="00395D52">
        <w:rPr>
          <w:rFonts w:ascii="Times New Roman" w:hAnsi="Times New Roman" w:cs="Times New Roman"/>
          <w:color w:val="1F497D"/>
          <w:sz w:val="24"/>
          <w:szCs w:val="24"/>
          <w:lang w:eastAsia="en-GB"/>
        </w:rPr>
        <w:t xml:space="preserve">. </w:t>
      </w:r>
      <w:r w:rsidRPr="00395D52">
        <w:rPr>
          <w:rFonts w:ascii="Times New Roman" w:hAnsi="Times New Roman" w:cs="Times New Roman"/>
          <w:color w:val="201F1E"/>
          <w:sz w:val="24"/>
          <w:szCs w:val="24"/>
          <w:lang w:eastAsia="en-GB"/>
        </w:rPr>
        <w:t>Predviđena vanjska i unutarnja rampa za pristup prostorijama prizemlja zgrade</w:t>
      </w:r>
    </w:p>
    <w:p w14:paraId="2B963A45" w14:textId="77777777" w:rsidR="00541503" w:rsidRPr="00395D52" w:rsidRDefault="00541503" w:rsidP="00FB05F1">
      <w:pPr>
        <w:numPr>
          <w:ilvl w:val="0"/>
          <w:numId w:val="2"/>
        </w:numPr>
        <w:spacing w:before="100" w:beforeAutospacing="1" w:after="100" w:afterAutospacing="1" w:line="276" w:lineRule="auto"/>
        <w:jc w:val="both"/>
        <w:rPr>
          <w:rFonts w:ascii="Times New Roman" w:hAnsi="Times New Roman" w:cs="Times New Roman"/>
          <w:color w:val="201F1E"/>
          <w:sz w:val="24"/>
          <w:szCs w:val="24"/>
          <w:lang w:eastAsia="en-GB"/>
        </w:rPr>
      </w:pPr>
      <w:r w:rsidRPr="00395D52">
        <w:rPr>
          <w:rFonts w:ascii="Times New Roman" w:hAnsi="Times New Roman" w:cs="Times New Roman"/>
          <w:b/>
          <w:bCs/>
          <w:color w:val="201F1E"/>
          <w:sz w:val="24"/>
          <w:szCs w:val="24"/>
          <w:lang w:eastAsia="en-GB"/>
        </w:rPr>
        <w:t xml:space="preserve">Županijski i Općinski sud u Rijeci - </w:t>
      </w:r>
      <w:r w:rsidRPr="00395D52">
        <w:rPr>
          <w:rFonts w:ascii="Times New Roman" w:hAnsi="Times New Roman" w:cs="Times New Roman"/>
          <w:color w:val="201F1E"/>
          <w:sz w:val="24"/>
          <w:szCs w:val="24"/>
          <w:lang w:eastAsia="en-GB"/>
        </w:rPr>
        <w:t>pripremljena projektna dokumentacija za ugradnju lifta u zgradu Suda</w:t>
      </w:r>
    </w:p>
    <w:p w14:paraId="3D462276" w14:textId="77777777" w:rsidR="00541503" w:rsidRPr="00395D52" w:rsidRDefault="00541503" w:rsidP="00FB05F1">
      <w:pPr>
        <w:numPr>
          <w:ilvl w:val="0"/>
          <w:numId w:val="2"/>
        </w:numPr>
        <w:spacing w:before="100" w:beforeAutospacing="1" w:after="100" w:afterAutospacing="1" w:line="276" w:lineRule="auto"/>
        <w:rPr>
          <w:rFonts w:ascii="Times New Roman" w:hAnsi="Times New Roman" w:cs="Times New Roman"/>
          <w:color w:val="1F497D"/>
          <w:sz w:val="24"/>
          <w:szCs w:val="24"/>
          <w:lang w:eastAsia="en-GB"/>
        </w:rPr>
      </w:pPr>
      <w:r w:rsidRPr="00395D52">
        <w:rPr>
          <w:rFonts w:ascii="Times New Roman" w:hAnsi="Times New Roman" w:cs="Times New Roman"/>
          <w:b/>
          <w:bCs/>
          <w:sz w:val="24"/>
          <w:szCs w:val="24"/>
          <w:lang w:eastAsia="en-GB"/>
        </w:rPr>
        <w:t>Županijski sud i Trgovački sud u Zagrebu</w:t>
      </w:r>
      <w:r w:rsidRPr="00395D52">
        <w:rPr>
          <w:rFonts w:ascii="Times New Roman" w:hAnsi="Times New Roman" w:cs="Times New Roman"/>
          <w:sz w:val="24"/>
          <w:szCs w:val="24"/>
          <w:lang w:eastAsia="en-GB"/>
        </w:rPr>
        <w:t xml:space="preserve">- smješteni nakon potresa u zgradu na </w:t>
      </w:r>
      <w:proofErr w:type="spellStart"/>
      <w:r w:rsidRPr="00395D52">
        <w:rPr>
          <w:rFonts w:ascii="Times New Roman" w:hAnsi="Times New Roman" w:cs="Times New Roman"/>
          <w:sz w:val="24"/>
          <w:szCs w:val="24"/>
          <w:lang w:eastAsia="en-GB"/>
        </w:rPr>
        <w:t>Kennedyevom</w:t>
      </w:r>
      <w:proofErr w:type="spellEnd"/>
      <w:r w:rsidRPr="00395D52">
        <w:rPr>
          <w:rFonts w:ascii="Times New Roman" w:hAnsi="Times New Roman" w:cs="Times New Roman"/>
          <w:sz w:val="24"/>
          <w:szCs w:val="24"/>
          <w:lang w:eastAsia="en-GB"/>
        </w:rPr>
        <w:t xml:space="preserve"> trgu-ugrađen novi lift</w:t>
      </w:r>
    </w:p>
    <w:p w14:paraId="46A4E7F3" w14:textId="77777777" w:rsidR="00541503" w:rsidRPr="00395D52" w:rsidRDefault="00541503" w:rsidP="00FB05F1">
      <w:pPr>
        <w:numPr>
          <w:ilvl w:val="0"/>
          <w:numId w:val="2"/>
        </w:numPr>
        <w:spacing w:before="100" w:beforeAutospacing="1" w:after="100" w:afterAutospacing="1" w:line="276" w:lineRule="auto"/>
        <w:rPr>
          <w:rFonts w:ascii="Times New Roman" w:hAnsi="Times New Roman" w:cs="Times New Roman"/>
          <w:color w:val="201F1E"/>
          <w:sz w:val="24"/>
          <w:szCs w:val="24"/>
          <w:lang w:eastAsia="en-GB"/>
        </w:rPr>
      </w:pPr>
      <w:r w:rsidRPr="00395D52">
        <w:rPr>
          <w:rFonts w:ascii="Times New Roman" w:hAnsi="Times New Roman" w:cs="Times New Roman"/>
          <w:b/>
          <w:bCs/>
          <w:color w:val="201F1E"/>
          <w:sz w:val="24"/>
          <w:szCs w:val="24"/>
          <w:lang w:eastAsia="en-GB"/>
        </w:rPr>
        <w:t xml:space="preserve">Općinski sud u Vukovaru Stalna služba u Vinkovcima </w:t>
      </w:r>
      <w:r w:rsidRPr="00395D52">
        <w:rPr>
          <w:rFonts w:ascii="Times New Roman" w:hAnsi="Times New Roman" w:cs="Times New Roman"/>
          <w:color w:val="201F1E"/>
          <w:sz w:val="24"/>
          <w:szCs w:val="24"/>
          <w:lang w:eastAsia="en-GB"/>
        </w:rPr>
        <w:t xml:space="preserve">– u završnoj fazi je izrada projektne dokumentacije za adaptaciju zgrade Suda, predviđena ugradnja lifta </w:t>
      </w:r>
    </w:p>
    <w:p w14:paraId="3F634260" w14:textId="77777777" w:rsidR="00541503" w:rsidRPr="00395D52" w:rsidRDefault="00541503" w:rsidP="00541503">
      <w:pPr>
        <w:rPr>
          <w:rFonts w:ascii="Times New Roman" w:hAnsi="Times New Roman" w:cs="Times New Roman"/>
          <w:sz w:val="24"/>
          <w:szCs w:val="24"/>
        </w:rPr>
      </w:pPr>
      <w:r w:rsidRPr="00395D52">
        <w:rPr>
          <w:rFonts w:ascii="Times New Roman" w:hAnsi="Times New Roman" w:cs="Times New Roman"/>
          <w:b/>
          <w:bCs/>
          <w:color w:val="201F1E"/>
          <w:sz w:val="24"/>
          <w:szCs w:val="24"/>
          <w:lang w:eastAsia="en-GB"/>
        </w:rPr>
        <w:t>Visoki trgovački sud Republike Hrvatske u Zagrebu</w:t>
      </w:r>
      <w:r w:rsidRPr="00395D52">
        <w:rPr>
          <w:rFonts w:ascii="Times New Roman" w:hAnsi="Times New Roman" w:cs="Times New Roman"/>
          <w:color w:val="201F1E"/>
          <w:sz w:val="24"/>
          <w:szCs w:val="24"/>
          <w:lang w:eastAsia="en-GB"/>
        </w:rPr>
        <w:t xml:space="preserve"> -  u tijeku je izrada projektne dokumentacije za rješavanje pristupačnosti, predviđena ugradnja kose</w:t>
      </w:r>
      <w:r>
        <w:rPr>
          <w:rFonts w:ascii="Times New Roman" w:hAnsi="Times New Roman" w:cs="Times New Roman"/>
          <w:color w:val="201F1E"/>
          <w:sz w:val="24"/>
          <w:szCs w:val="24"/>
          <w:lang w:eastAsia="en-GB"/>
        </w:rPr>
        <w:t xml:space="preserve"> podizne platforme.</w:t>
      </w:r>
    </w:p>
    <w:p w14:paraId="6B00EA98" w14:textId="4BAADB3F" w:rsidR="00541503" w:rsidRDefault="00541503">
      <w:pPr>
        <w:rPr>
          <w:rFonts w:ascii="Times New Roman" w:hAnsi="Times New Roman" w:cs="Times New Roman"/>
          <w:sz w:val="24"/>
          <w:szCs w:val="24"/>
          <w:lang w:eastAsia="hr-HR"/>
        </w:rPr>
      </w:pPr>
      <w:r>
        <w:rPr>
          <w:rFonts w:ascii="Times New Roman" w:hAnsi="Times New Roman" w:cs="Times New Roman"/>
          <w:sz w:val="24"/>
          <w:szCs w:val="24"/>
          <w:lang w:eastAsia="hr-HR"/>
        </w:rPr>
        <w:br w:type="page"/>
      </w:r>
    </w:p>
    <w:p w14:paraId="3849C301" w14:textId="77777777" w:rsidR="00541503" w:rsidRPr="00541503" w:rsidRDefault="00541503" w:rsidP="00541503">
      <w:pPr>
        <w:rPr>
          <w:rFonts w:ascii="Times New Roman" w:eastAsia="Calibri" w:hAnsi="Times New Roman" w:cs="Times New Roman"/>
          <w:b/>
          <w:bCs/>
          <w:sz w:val="24"/>
          <w:szCs w:val="24"/>
          <w:u w:val="single"/>
        </w:rPr>
      </w:pPr>
      <w:r w:rsidRPr="00541503">
        <w:rPr>
          <w:rFonts w:ascii="Times New Roman" w:eastAsia="Calibri" w:hAnsi="Times New Roman" w:cs="Times New Roman"/>
          <w:b/>
          <w:bCs/>
          <w:sz w:val="24"/>
          <w:szCs w:val="24"/>
          <w:u w:val="single"/>
        </w:rPr>
        <w:lastRenderedPageBreak/>
        <w:t>Prilog 24</w:t>
      </w:r>
    </w:p>
    <w:p w14:paraId="00417C7B" w14:textId="77777777" w:rsidR="00541503" w:rsidRPr="00541503" w:rsidRDefault="00541503" w:rsidP="00541503">
      <w:pPr>
        <w:jc w:val="center"/>
        <w:rPr>
          <w:rFonts w:ascii="Times New Roman" w:eastAsia="Calibri" w:hAnsi="Times New Roman" w:cs="Times New Roman"/>
          <w:sz w:val="24"/>
          <w:szCs w:val="24"/>
        </w:rPr>
      </w:pPr>
    </w:p>
    <w:p w14:paraId="6B5130DB" w14:textId="77777777" w:rsidR="00541503" w:rsidRPr="00A418AE" w:rsidRDefault="00541503" w:rsidP="00541503">
      <w:pPr>
        <w:jc w:val="center"/>
        <w:rPr>
          <w:rFonts w:ascii="Times New Roman" w:eastAsia="Calibri" w:hAnsi="Times New Roman" w:cs="Times New Roman"/>
          <w:b/>
          <w:bCs/>
          <w:sz w:val="24"/>
          <w:szCs w:val="24"/>
        </w:rPr>
      </w:pPr>
      <w:r w:rsidRPr="00A418AE">
        <w:rPr>
          <w:rFonts w:ascii="Times New Roman" w:eastAsia="Calibri" w:hAnsi="Times New Roman" w:cs="Times New Roman"/>
          <w:b/>
          <w:bCs/>
          <w:sz w:val="24"/>
          <w:szCs w:val="24"/>
        </w:rPr>
        <w:t>IZMJENE I DOPUNE KAZNENOG ZAKONA</w:t>
      </w:r>
    </w:p>
    <w:p w14:paraId="48DD1C3C" w14:textId="77777777" w:rsidR="00541503" w:rsidRPr="00541503" w:rsidRDefault="00541503" w:rsidP="00541503">
      <w:pPr>
        <w:jc w:val="both"/>
        <w:rPr>
          <w:rFonts w:ascii="Times New Roman" w:eastAsia="Calibri" w:hAnsi="Times New Roman" w:cs="Times New Roman"/>
          <w:sz w:val="24"/>
          <w:szCs w:val="24"/>
        </w:rPr>
      </w:pPr>
    </w:p>
    <w:p w14:paraId="65910283" w14:textId="77777777" w:rsidR="00541503" w:rsidRPr="00541503" w:rsidRDefault="00541503" w:rsidP="00FB05F1">
      <w:pPr>
        <w:pStyle w:val="Odlomakpopisa"/>
        <w:numPr>
          <w:ilvl w:val="0"/>
          <w:numId w:val="25"/>
        </w:numPr>
        <w:spacing w:after="0" w:line="240" w:lineRule="auto"/>
        <w:jc w:val="both"/>
        <w:rPr>
          <w:rFonts w:ascii="Times New Roman" w:eastAsia="Calibri" w:hAnsi="Times New Roman" w:cs="Times New Roman"/>
          <w:sz w:val="24"/>
          <w:szCs w:val="24"/>
        </w:rPr>
      </w:pPr>
      <w:r w:rsidRPr="00541503">
        <w:rPr>
          <w:rFonts w:ascii="Times New Roman" w:eastAsia="Calibri" w:hAnsi="Times New Roman" w:cs="Times New Roman"/>
          <w:sz w:val="24"/>
          <w:szCs w:val="24"/>
        </w:rPr>
        <w:t xml:space="preserve">Zakonom o izmjenama i dopunama Kaznenog zakona (2015.) je odredba članka 136., kojim je propisano kazneno djelo protupravnog oduzimanja slobode, dopunjena na način da je u stavku 3. tog članka propisano da se kvalificirani oblik kaznenog djela čini i ako je kazneno djelo iz stavka 1. i 2. tog članka počinjeno prema osobi s težim invaliditetom. </w:t>
      </w:r>
    </w:p>
    <w:p w14:paraId="071A37D5" w14:textId="77777777" w:rsidR="00541503" w:rsidRPr="00541503" w:rsidRDefault="00541503" w:rsidP="00FB05F1">
      <w:pPr>
        <w:pStyle w:val="Odlomakpopisa"/>
        <w:numPr>
          <w:ilvl w:val="0"/>
          <w:numId w:val="25"/>
        </w:numPr>
        <w:spacing w:after="0" w:line="240" w:lineRule="auto"/>
        <w:jc w:val="both"/>
        <w:rPr>
          <w:rFonts w:ascii="Times New Roman" w:eastAsia="Calibri" w:hAnsi="Times New Roman" w:cs="Times New Roman"/>
          <w:sz w:val="24"/>
          <w:szCs w:val="24"/>
        </w:rPr>
      </w:pPr>
      <w:r w:rsidRPr="00541503">
        <w:rPr>
          <w:rFonts w:ascii="Times New Roman" w:eastAsia="Calibri" w:hAnsi="Times New Roman" w:cs="Times New Roman"/>
          <w:sz w:val="24"/>
          <w:szCs w:val="24"/>
        </w:rPr>
        <w:t>Također dodana je odredba članka 179.a, kojim je propisano kazneno djelo nasilja u obitelji. Ovo je kazneno djelo blanketne naravi, jer se radnja počinjenja sastoji u teškom kršenju propisa o zaštiti od nasilja u obitelji, koje nasilje prema članku 10. Zakona o zaštiti od nasilja u obitelji obuhvaća, između ostalog i: zanemarivanje potreba osobe s invaliditetom ili osobe starije životne dobi koje dovodi do njezine uznemirenosti ili vrijeđa njezino dostojanstvo i time joj nanosi tjelesne ili duševne patnje. Također je dodana i odredba kojim je propisano kazneno djelo nasilničkog ponašanja. Navedeno kazneno djelo čini tko nasiljem, zlostavljanjem, iživljavanjem ili drugim osobito drskim ponašanjem na javnom mjestu drugoga dovede u ponižavajući položaj, a time nije počinjeno teže kazneno djelo (klauzula supsidijarnosti).</w:t>
      </w:r>
    </w:p>
    <w:p w14:paraId="13DC8A7F" w14:textId="77777777" w:rsidR="00541503" w:rsidRPr="00541503" w:rsidRDefault="00541503" w:rsidP="00FB05F1">
      <w:pPr>
        <w:pStyle w:val="Odlomakpopisa"/>
        <w:numPr>
          <w:ilvl w:val="0"/>
          <w:numId w:val="25"/>
        </w:numPr>
        <w:spacing w:after="0" w:line="240" w:lineRule="auto"/>
        <w:jc w:val="both"/>
        <w:rPr>
          <w:rFonts w:ascii="Times New Roman" w:eastAsia="Calibri" w:hAnsi="Times New Roman" w:cs="Times New Roman"/>
          <w:sz w:val="24"/>
          <w:szCs w:val="24"/>
        </w:rPr>
      </w:pPr>
      <w:r w:rsidRPr="00541503">
        <w:rPr>
          <w:rFonts w:ascii="Times New Roman" w:eastAsia="Calibri" w:hAnsi="Times New Roman" w:cs="Times New Roman"/>
          <w:sz w:val="24"/>
          <w:szCs w:val="24"/>
        </w:rPr>
        <w:t>Zakonom o izmjenama i dopunama Kaznenog zakona iz 2018. postrožene su zapriječene zatvorske kazne za kaznena djela spolnog zlostavljanja i iskorištavanja djeteta.</w:t>
      </w:r>
    </w:p>
    <w:p w14:paraId="0EB9F2BF" w14:textId="77777777" w:rsidR="00541503" w:rsidRPr="00541503" w:rsidRDefault="00541503" w:rsidP="00FB05F1">
      <w:pPr>
        <w:pStyle w:val="Odlomakpopisa"/>
        <w:numPr>
          <w:ilvl w:val="0"/>
          <w:numId w:val="25"/>
        </w:numPr>
        <w:spacing w:after="0" w:line="240" w:lineRule="auto"/>
        <w:jc w:val="both"/>
        <w:rPr>
          <w:rFonts w:ascii="Times New Roman" w:hAnsi="Times New Roman" w:cs="Times New Roman"/>
          <w:sz w:val="24"/>
          <w:szCs w:val="24"/>
        </w:rPr>
      </w:pPr>
      <w:r w:rsidRPr="00541503">
        <w:rPr>
          <w:rFonts w:ascii="Times New Roman" w:eastAsia="Calibri" w:hAnsi="Times New Roman" w:cs="Times New Roman"/>
          <w:sz w:val="24"/>
          <w:szCs w:val="24"/>
        </w:rPr>
        <w:t>Zakonom o izmjenama i dopunama Kaznenog zakona iz 2019. godine da počinjenje kaznenog djela prijetnje prema osobi posebno ranjivoj zbog njezine teže tjelesne ili duševne smetnje predstavlja kvalificirani oblik kaznenog djela kažnjiv strožom kaznom. Također, postrožena je zapriječena kazna za kazneno djelo sakaćenja ženskih spolnih organa, kao i kazne za kvalificirane oblike kaznenih djela tjelesne ozljede, teške tjelesne ozljede i osobito teške tjelesne ozljede (navedeni kvalificirani oblici uključuju počinjenje kaznenog djela prema osobi posebno ranjivoj zbog njezine teže tjelesne ili duševne smetnje). Postrožena je zapriječena kazna za teška kaznena djela protiv spolne slobode koje uključuje počinjenje  kaznenog djela silovanja prema žrtvi posebno ranjivoj zbog njezinog invaliditeta. Također je postrožena zapriječena kazna za kazneno djelo nasilja u obitelji</w:t>
      </w:r>
    </w:p>
    <w:p w14:paraId="74A9D2D4" w14:textId="77777777" w:rsidR="00541503" w:rsidRPr="00541503" w:rsidRDefault="00541503" w:rsidP="00541503">
      <w:pPr>
        <w:rPr>
          <w:rFonts w:ascii="Times New Roman" w:hAnsi="Times New Roman" w:cs="Times New Roman"/>
          <w:sz w:val="24"/>
          <w:szCs w:val="24"/>
          <w:lang w:eastAsia="hr-HR"/>
        </w:rPr>
      </w:pPr>
    </w:p>
    <w:p w14:paraId="711536E4" w14:textId="4F0AA9E5" w:rsidR="00541503" w:rsidRDefault="00541503">
      <w:pPr>
        <w:rPr>
          <w:rFonts w:ascii="Times New Roman" w:eastAsiaTheme="majorEastAsia" w:hAnsi="Times New Roman" w:cs="Times New Roman"/>
          <w:sz w:val="24"/>
          <w:szCs w:val="24"/>
        </w:rPr>
      </w:pPr>
      <w:r>
        <w:rPr>
          <w:rFonts w:ascii="Times New Roman" w:hAnsi="Times New Roman" w:cs="Times New Roman"/>
          <w:sz w:val="24"/>
          <w:szCs w:val="24"/>
        </w:rPr>
        <w:br w:type="page"/>
      </w:r>
    </w:p>
    <w:p w14:paraId="6C824477" w14:textId="77777777" w:rsidR="00541503" w:rsidRPr="001B2516" w:rsidRDefault="00541503" w:rsidP="00541503">
      <w:pPr>
        <w:spacing w:after="0" w:line="240" w:lineRule="auto"/>
        <w:rPr>
          <w:rFonts w:ascii="Times New Roman" w:eastAsia="Times New Roman" w:hAnsi="Times New Roman" w:cs="Times New Roman"/>
          <w:b/>
          <w:sz w:val="24"/>
          <w:szCs w:val="24"/>
          <w:u w:val="single"/>
          <w:lang w:eastAsia="hr-HR"/>
        </w:rPr>
      </w:pPr>
      <w:bookmarkStart w:id="190" w:name="_Hlk79417540"/>
      <w:r w:rsidRPr="001B2516">
        <w:rPr>
          <w:rFonts w:ascii="Times New Roman" w:eastAsia="Times New Roman" w:hAnsi="Times New Roman" w:cs="Times New Roman"/>
          <w:b/>
          <w:sz w:val="24"/>
          <w:szCs w:val="24"/>
          <w:u w:val="single"/>
          <w:lang w:eastAsia="hr-HR"/>
        </w:rPr>
        <w:lastRenderedPageBreak/>
        <w:t xml:space="preserve">Prilog </w:t>
      </w:r>
      <w:r>
        <w:rPr>
          <w:rFonts w:ascii="Times New Roman" w:eastAsia="Times New Roman" w:hAnsi="Times New Roman" w:cs="Times New Roman"/>
          <w:b/>
          <w:sz w:val="24"/>
          <w:szCs w:val="24"/>
          <w:u w:val="single"/>
          <w:lang w:eastAsia="hr-HR"/>
        </w:rPr>
        <w:t>25</w:t>
      </w:r>
    </w:p>
    <w:p w14:paraId="21A4246F" w14:textId="133569C6" w:rsidR="00541503" w:rsidRDefault="00541503" w:rsidP="00541503">
      <w:pPr>
        <w:spacing w:after="0" w:line="240" w:lineRule="auto"/>
        <w:jc w:val="center"/>
        <w:rPr>
          <w:rFonts w:ascii="Times New Roman" w:eastAsia="Times New Roman" w:hAnsi="Times New Roman" w:cs="Times New Roman"/>
          <w:bCs/>
          <w:sz w:val="24"/>
          <w:szCs w:val="24"/>
          <w:lang w:eastAsia="hr-HR"/>
        </w:rPr>
      </w:pPr>
    </w:p>
    <w:p w14:paraId="03278156" w14:textId="77777777" w:rsidR="00F13184" w:rsidRDefault="00F13184" w:rsidP="00541503">
      <w:pPr>
        <w:spacing w:after="0" w:line="240" w:lineRule="auto"/>
        <w:jc w:val="center"/>
        <w:rPr>
          <w:rFonts w:ascii="Times New Roman" w:eastAsia="Times New Roman" w:hAnsi="Times New Roman" w:cs="Times New Roman"/>
          <w:bCs/>
          <w:sz w:val="24"/>
          <w:szCs w:val="24"/>
          <w:lang w:eastAsia="hr-HR"/>
        </w:rPr>
      </w:pPr>
    </w:p>
    <w:p w14:paraId="31168599" w14:textId="58BF1827" w:rsidR="00541503" w:rsidRPr="001B2516" w:rsidRDefault="00541503" w:rsidP="00541503">
      <w:pPr>
        <w:spacing w:after="0" w:line="240" w:lineRule="auto"/>
        <w:jc w:val="center"/>
        <w:rPr>
          <w:rFonts w:ascii="Times New Roman" w:eastAsia="Times New Roman" w:hAnsi="Times New Roman" w:cs="Times New Roman"/>
          <w:b/>
          <w:sz w:val="24"/>
          <w:szCs w:val="24"/>
          <w:lang w:eastAsia="hr-HR"/>
        </w:rPr>
      </w:pPr>
      <w:r w:rsidRPr="001B2516">
        <w:rPr>
          <w:rFonts w:ascii="Times New Roman" w:eastAsia="Times New Roman" w:hAnsi="Times New Roman" w:cs="Times New Roman"/>
          <w:b/>
          <w:sz w:val="24"/>
          <w:szCs w:val="24"/>
          <w:lang w:eastAsia="hr-HR"/>
        </w:rPr>
        <w:t>SKLONIŠTA ZA ŽRTVE NASILJA U OBITELJI</w:t>
      </w:r>
    </w:p>
    <w:bookmarkEnd w:id="190"/>
    <w:p w14:paraId="48101F2A" w14:textId="77777777" w:rsidR="00541503" w:rsidRDefault="00541503" w:rsidP="00541503">
      <w:pPr>
        <w:spacing w:after="0" w:line="240" w:lineRule="auto"/>
        <w:jc w:val="both"/>
        <w:rPr>
          <w:rFonts w:ascii="Times New Roman" w:eastAsia="Times New Roman" w:hAnsi="Times New Roman" w:cs="Times New Roman"/>
          <w:bCs/>
          <w:sz w:val="24"/>
          <w:szCs w:val="24"/>
          <w:lang w:eastAsia="hr-HR"/>
        </w:rPr>
      </w:pPr>
    </w:p>
    <w:p w14:paraId="2D886D45" w14:textId="77777777" w:rsidR="00541503" w:rsidRPr="00A912E1" w:rsidRDefault="00541503" w:rsidP="00541503">
      <w:pPr>
        <w:spacing w:after="0" w:line="240" w:lineRule="auto"/>
        <w:jc w:val="both"/>
        <w:rPr>
          <w:rFonts w:ascii="Times New Roman" w:eastAsia="Times New Roman" w:hAnsi="Times New Roman" w:cs="Times New Roman"/>
          <w:bCs/>
          <w:sz w:val="24"/>
          <w:szCs w:val="24"/>
          <w:lang w:eastAsia="hr-HR"/>
        </w:rPr>
      </w:pPr>
    </w:p>
    <w:p w14:paraId="65D4AFD4" w14:textId="77777777" w:rsidR="00541503" w:rsidRPr="003F7EB4" w:rsidRDefault="00541503" w:rsidP="00541503">
      <w:pPr>
        <w:spacing w:after="0" w:line="240" w:lineRule="auto"/>
        <w:jc w:val="both"/>
        <w:rPr>
          <w:rFonts w:ascii="Times New Roman" w:eastAsia="Times New Roman" w:hAnsi="Times New Roman" w:cs="Times New Roman"/>
          <w:bCs/>
          <w:sz w:val="24"/>
          <w:szCs w:val="24"/>
          <w:lang w:eastAsia="hr-HR"/>
        </w:rPr>
      </w:pPr>
      <w:bookmarkStart w:id="191" w:name="_Hlk79417523"/>
      <w:r w:rsidRPr="003F7EB4">
        <w:rPr>
          <w:rFonts w:ascii="Times New Roman" w:eastAsia="Times New Roman" w:hAnsi="Times New Roman" w:cs="Times New Roman"/>
          <w:bCs/>
          <w:sz w:val="24"/>
          <w:szCs w:val="24"/>
          <w:lang w:eastAsia="hr-HR"/>
        </w:rPr>
        <w:t>Do kraja 2020. godine uspostavljeno je novih 6 skloništa na području Krapinsko-zagorske, Koprivničko-križevačke, Ličko-senjske Virovitičko-podravske, Požeško-slavonske i Dubrovačko-neretvanske županije. Osnivači su županije u suradnji partnerima – udrugama, Crvenim križem ili Caritasom. Sva skloništa prije početka rada moraju dobiti rješenja o utvrđivanju minimalnih uvjeta za pružanje socijalnih usluga</w:t>
      </w:r>
    </w:p>
    <w:p w14:paraId="2B6A47F6" w14:textId="77777777" w:rsidR="00541503" w:rsidRDefault="00541503" w:rsidP="00541503">
      <w:pPr>
        <w:spacing w:after="0" w:line="240" w:lineRule="auto"/>
        <w:jc w:val="both"/>
        <w:rPr>
          <w:rFonts w:ascii="Times New Roman" w:eastAsia="Times New Roman" w:hAnsi="Times New Roman" w:cs="Times New Roman"/>
          <w:bCs/>
          <w:sz w:val="24"/>
          <w:szCs w:val="24"/>
          <w:lang w:eastAsia="hr-HR"/>
        </w:rPr>
      </w:pPr>
    </w:p>
    <w:p w14:paraId="27576A15" w14:textId="77777777" w:rsidR="00541503" w:rsidRDefault="00541503" w:rsidP="00541503">
      <w:pPr>
        <w:spacing w:after="0" w:line="240" w:lineRule="auto"/>
        <w:jc w:val="both"/>
        <w:rPr>
          <w:rFonts w:ascii="Times New Roman" w:eastAsia="Times New Roman" w:hAnsi="Times New Roman" w:cs="Times New Roman"/>
          <w:bCs/>
          <w:sz w:val="24"/>
          <w:szCs w:val="24"/>
          <w:lang w:eastAsia="hr-HR"/>
        </w:rPr>
      </w:pPr>
      <w:r w:rsidRPr="003F7EB4">
        <w:rPr>
          <w:rFonts w:ascii="Times New Roman" w:eastAsia="Times New Roman" w:hAnsi="Times New Roman" w:cs="Times New Roman"/>
          <w:bCs/>
          <w:sz w:val="24"/>
          <w:szCs w:val="24"/>
          <w:lang w:eastAsia="hr-HR"/>
        </w:rPr>
        <w:t>Osnivanjem novih skloništa, u Republici Hrvatskoj postoji ukupno 25 skloništa čime je pokriveno cijelo područje RH</w:t>
      </w:r>
      <w:r>
        <w:rPr>
          <w:rFonts w:ascii="Times New Roman" w:eastAsia="Times New Roman" w:hAnsi="Times New Roman" w:cs="Times New Roman"/>
          <w:bCs/>
          <w:sz w:val="24"/>
          <w:szCs w:val="24"/>
          <w:lang w:eastAsia="hr-HR"/>
        </w:rPr>
        <w:t>.</w:t>
      </w:r>
    </w:p>
    <w:p w14:paraId="5F8D6691" w14:textId="77777777" w:rsidR="00541503" w:rsidRDefault="00541503" w:rsidP="00541503">
      <w:pPr>
        <w:spacing w:after="0" w:line="240" w:lineRule="auto"/>
        <w:jc w:val="both"/>
        <w:rPr>
          <w:rFonts w:ascii="Times New Roman" w:eastAsia="Times New Roman" w:hAnsi="Times New Roman" w:cs="Times New Roman"/>
          <w:bCs/>
          <w:sz w:val="24"/>
          <w:szCs w:val="24"/>
          <w:lang w:eastAsia="hr-HR"/>
        </w:rPr>
      </w:pPr>
    </w:p>
    <w:p w14:paraId="4EA4B8B1" w14:textId="77777777" w:rsidR="00541503" w:rsidRPr="003F7EB4" w:rsidRDefault="00541503" w:rsidP="00541503">
      <w:pPr>
        <w:spacing w:after="0" w:line="240" w:lineRule="auto"/>
        <w:jc w:val="both"/>
        <w:rPr>
          <w:rFonts w:ascii="Times New Roman" w:eastAsia="Times New Roman" w:hAnsi="Times New Roman" w:cs="Times New Roman"/>
          <w:bCs/>
          <w:sz w:val="24"/>
          <w:szCs w:val="24"/>
          <w:lang w:eastAsia="hr-HR"/>
        </w:rPr>
      </w:pPr>
      <w:r w:rsidRPr="003F7EB4">
        <w:rPr>
          <w:rFonts w:ascii="Times New Roman" w:eastAsia="Times New Roman" w:hAnsi="Times New Roman" w:cs="Times New Roman"/>
          <w:bCs/>
          <w:sz w:val="24"/>
          <w:szCs w:val="24"/>
          <w:lang w:eastAsia="hr-HR"/>
        </w:rPr>
        <w:t xml:space="preserve">Ministarstvo </w:t>
      </w:r>
      <w:r>
        <w:rPr>
          <w:rFonts w:ascii="Times New Roman" w:eastAsia="Times New Roman" w:hAnsi="Times New Roman" w:cs="Times New Roman"/>
          <w:bCs/>
          <w:sz w:val="24"/>
          <w:szCs w:val="24"/>
          <w:lang w:eastAsia="hr-HR"/>
        </w:rPr>
        <w:t xml:space="preserve">rada, mirovinskoga sustava, obitelji i socijalne politike </w:t>
      </w:r>
      <w:r w:rsidRPr="003F7EB4">
        <w:rPr>
          <w:rFonts w:ascii="Times New Roman" w:eastAsia="Times New Roman" w:hAnsi="Times New Roman" w:cs="Times New Roman"/>
          <w:bCs/>
          <w:sz w:val="24"/>
          <w:szCs w:val="24"/>
          <w:lang w:eastAsia="hr-HR"/>
        </w:rPr>
        <w:t xml:space="preserve">osigurava financijska sredstva za ukupno njih 23, obzirom na to da dva skloništa imaju osigurane druge izvore financiranja, odnosno jedno </w:t>
      </w:r>
      <w:r>
        <w:rPr>
          <w:rFonts w:ascii="Times New Roman" w:eastAsia="Times New Roman" w:hAnsi="Times New Roman" w:cs="Times New Roman"/>
          <w:bCs/>
          <w:sz w:val="24"/>
          <w:szCs w:val="24"/>
          <w:lang w:eastAsia="hr-HR"/>
        </w:rPr>
        <w:t xml:space="preserve">se financira </w:t>
      </w:r>
      <w:r w:rsidRPr="003F7EB4">
        <w:rPr>
          <w:rFonts w:ascii="Times New Roman" w:eastAsia="Times New Roman" w:hAnsi="Times New Roman" w:cs="Times New Roman"/>
          <w:bCs/>
          <w:sz w:val="24"/>
          <w:szCs w:val="24"/>
          <w:lang w:eastAsia="hr-HR"/>
        </w:rPr>
        <w:t>iz proračuna Grada Zagreba te drugo izravno iz državnog proračuna Republike Hrvatske. U razdoblju od 2016. do 2020. godine Ministarstvo je za rad skloništa izdvojilo ukupno</w:t>
      </w:r>
      <w:r>
        <w:rPr>
          <w:rFonts w:ascii="Times New Roman" w:eastAsia="Times New Roman" w:hAnsi="Times New Roman" w:cs="Times New Roman"/>
          <w:bCs/>
          <w:sz w:val="24"/>
          <w:szCs w:val="24"/>
          <w:lang w:eastAsia="hr-HR"/>
        </w:rPr>
        <w:t xml:space="preserve"> </w:t>
      </w:r>
      <w:r w:rsidRPr="003F7EB4">
        <w:rPr>
          <w:rFonts w:ascii="Times New Roman" w:eastAsia="Times New Roman" w:hAnsi="Times New Roman" w:cs="Times New Roman"/>
          <w:bCs/>
          <w:sz w:val="24"/>
          <w:szCs w:val="24"/>
          <w:lang w:eastAsia="hr-HR"/>
        </w:rPr>
        <w:t xml:space="preserve">32.740.421,45 kn. </w:t>
      </w:r>
    </w:p>
    <w:p w14:paraId="204E4D59" w14:textId="77777777" w:rsidR="00541503" w:rsidRDefault="00541503" w:rsidP="00541503">
      <w:pPr>
        <w:spacing w:after="0" w:line="240" w:lineRule="auto"/>
        <w:jc w:val="both"/>
        <w:rPr>
          <w:rFonts w:ascii="Times New Roman" w:eastAsia="Times New Roman" w:hAnsi="Times New Roman" w:cs="Times New Roman"/>
          <w:bCs/>
          <w:sz w:val="24"/>
          <w:szCs w:val="24"/>
          <w:lang w:eastAsia="hr-HR"/>
        </w:rPr>
      </w:pPr>
    </w:p>
    <w:p w14:paraId="76FA0A26" w14:textId="77777777" w:rsidR="00541503" w:rsidRPr="003F7EB4" w:rsidRDefault="00541503" w:rsidP="00541503">
      <w:pPr>
        <w:spacing w:after="0" w:line="240" w:lineRule="auto"/>
        <w:jc w:val="both"/>
        <w:rPr>
          <w:rFonts w:ascii="Times New Roman" w:eastAsia="Times New Roman" w:hAnsi="Times New Roman" w:cs="Times New Roman"/>
          <w:bCs/>
          <w:sz w:val="24"/>
          <w:szCs w:val="24"/>
          <w:lang w:eastAsia="hr-HR"/>
        </w:rPr>
      </w:pPr>
      <w:r w:rsidRPr="003F7EB4">
        <w:rPr>
          <w:rFonts w:ascii="Times New Roman" w:eastAsia="Times New Roman" w:hAnsi="Times New Roman" w:cs="Times New Roman"/>
          <w:bCs/>
          <w:sz w:val="24"/>
          <w:szCs w:val="24"/>
          <w:lang w:eastAsia="hr-HR"/>
        </w:rPr>
        <w:t xml:space="preserve">Od 2019. godine Ministarstvo financijski podupire i rad savjetovališta za žrtve nasilja u iznosu od 3.000.000,00 kuna na godišnjoj razini. </w:t>
      </w:r>
    </w:p>
    <w:p w14:paraId="71644432" w14:textId="77777777" w:rsidR="00541503" w:rsidRDefault="00541503" w:rsidP="00541503">
      <w:pPr>
        <w:spacing w:after="0" w:line="240" w:lineRule="auto"/>
        <w:jc w:val="both"/>
        <w:rPr>
          <w:rFonts w:ascii="Times New Roman" w:eastAsia="Times New Roman" w:hAnsi="Times New Roman" w:cs="Times New Roman"/>
          <w:bCs/>
          <w:sz w:val="24"/>
          <w:szCs w:val="24"/>
          <w:lang w:eastAsia="hr-HR"/>
        </w:rPr>
      </w:pPr>
    </w:p>
    <w:p w14:paraId="2E991DB0" w14:textId="77777777" w:rsidR="00541503" w:rsidRPr="003F7EB4" w:rsidRDefault="00541503" w:rsidP="00541503">
      <w:pPr>
        <w:spacing w:after="0" w:line="240" w:lineRule="auto"/>
        <w:jc w:val="both"/>
        <w:rPr>
          <w:rFonts w:ascii="Times New Roman" w:eastAsia="Times New Roman" w:hAnsi="Times New Roman" w:cs="Times New Roman"/>
          <w:bCs/>
          <w:sz w:val="24"/>
          <w:szCs w:val="24"/>
          <w:lang w:eastAsia="hr-HR"/>
        </w:rPr>
      </w:pPr>
      <w:r w:rsidRPr="003F7EB4">
        <w:rPr>
          <w:rFonts w:ascii="Times New Roman" w:eastAsia="Times New Roman" w:hAnsi="Times New Roman" w:cs="Times New Roman"/>
          <w:bCs/>
          <w:sz w:val="24"/>
          <w:szCs w:val="24"/>
          <w:lang w:eastAsia="hr-HR"/>
        </w:rPr>
        <w:t>Budući da je potrebno osigurati dugoročno rješenje za lokacije skloništa u svim županijama s ciljem dostupnosti  dovoljnog broja usluga smještaja u kriznim situacijama na području cijele Republike Hrvatske novih 6 skloništa u tu svrhu koristit će sredstva ESF-a za što su i potpisani ugovori.</w:t>
      </w:r>
    </w:p>
    <w:p w14:paraId="4314B597" w14:textId="77777777" w:rsidR="00541503" w:rsidRDefault="00541503" w:rsidP="00541503">
      <w:pPr>
        <w:spacing w:after="0" w:line="240" w:lineRule="auto"/>
        <w:jc w:val="both"/>
        <w:rPr>
          <w:rFonts w:ascii="Times New Roman" w:eastAsia="Times New Roman" w:hAnsi="Times New Roman" w:cs="Times New Roman"/>
          <w:bCs/>
          <w:sz w:val="24"/>
          <w:szCs w:val="24"/>
          <w:lang w:eastAsia="hr-HR"/>
        </w:rPr>
      </w:pPr>
    </w:p>
    <w:p w14:paraId="0C8734BB" w14:textId="77777777" w:rsidR="00541503" w:rsidRDefault="00541503" w:rsidP="00541503">
      <w:pPr>
        <w:spacing w:after="0" w:line="240" w:lineRule="auto"/>
        <w:jc w:val="both"/>
        <w:rPr>
          <w:rFonts w:ascii="Times New Roman" w:eastAsia="Times New Roman" w:hAnsi="Times New Roman" w:cs="Times New Roman"/>
          <w:bCs/>
          <w:sz w:val="24"/>
          <w:szCs w:val="24"/>
          <w:lang w:eastAsia="hr-HR"/>
        </w:rPr>
      </w:pPr>
    </w:p>
    <w:bookmarkEnd w:id="191"/>
    <w:p w14:paraId="39FE995D" w14:textId="77777777" w:rsidR="00541503" w:rsidRDefault="00541503" w:rsidP="00541503"/>
    <w:p w14:paraId="774E5DCC" w14:textId="77777777" w:rsidR="00541503" w:rsidRPr="00A912E1" w:rsidRDefault="00541503" w:rsidP="00541503">
      <w:pPr>
        <w:ind w:left="284" w:hanging="284"/>
      </w:pPr>
    </w:p>
    <w:p w14:paraId="67249234" w14:textId="77777777" w:rsidR="005F3233" w:rsidRDefault="005F3233" w:rsidP="00830F31">
      <w:pPr>
        <w:pStyle w:val="Naslov1"/>
        <w:rPr>
          <w:rFonts w:ascii="Times New Roman" w:hAnsi="Times New Roman" w:cs="Times New Roman"/>
          <w:color w:val="auto"/>
          <w:sz w:val="24"/>
          <w:szCs w:val="24"/>
        </w:rPr>
      </w:pPr>
    </w:p>
    <w:p w14:paraId="31C1FAEC" w14:textId="77777777" w:rsidR="005F3233" w:rsidRDefault="005F3233" w:rsidP="00830F31">
      <w:pPr>
        <w:pStyle w:val="Naslov1"/>
        <w:rPr>
          <w:rFonts w:ascii="Times New Roman" w:hAnsi="Times New Roman" w:cs="Times New Roman"/>
          <w:color w:val="auto"/>
          <w:sz w:val="24"/>
          <w:szCs w:val="24"/>
        </w:rPr>
      </w:pPr>
    </w:p>
    <w:p w14:paraId="700F2550" w14:textId="77777777" w:rsidR="005F3233" w:rsidRDefault="005F3233" w:rsidP="00830F31">
      <w:pPr>
        <w:pStyle w:val="Naslov1"/>
        <w:rPr>
          <w:rFonts w:ascii="Times New Roman" w:hAnsi="Times New Roman" w:cs="Times New Roman"/>
          <w:color w:val="auto"/>
          <w:sz w:val="24"/>
          <w:szCs w:val="24"/>
        </w:rPr>
      </w:pPr>
    </w:p>
    <w:p w14:paraId="6DF977EE" w14:textId="77777777" w:rsidR="005F3233" w:rsidRDefault="005F3233" w:rsidP="00830F31">
      <w:pPr>
        <w:pStyle w:val="Naslov1"/>
        <w:rPr>
          <w:rFonts w:ascii="Times New Roman" w:hAnsi="Times New Roman" w:cs="Times New Roman"/>
          <w:color w:val="auto"/>
          <w:sz w:val="24"/>
          <w:szCs w:val="24"/>
        </w:rPr>
      </w:pPr>
    </w:p>
    <w:p w14:paraId="024B2DC9" w14:textId="77777777" w:rsidR="005F3233" w:rsidRDefault="005F3233" w:rsidP="00830F31">
      <w:pPr>
        <w:pStyle w:val="Naslov1"/>
        <w:rPr>
          <w:rFonts w:ascii="Times New Roman" w:hAnsi="Times New Roman" w:cs="Times New Roman"/>
          <w:color w:val="auto"/>
          <w:sz w:val="24"/>
          <w:szCs w:val="24"/>
        </w:rPr>
      </w:pPr>
    </w:p>
    <w:p w14:paraId="5439B7DD" w14:textId="17C06765" w:rsidR="00731C28" w:rsidRDefault="00731C28" w:rsidP="006B5133">
      <w:pPr>
        <w:pStyle w:val="t-98-2"/>
        <w:shd w:val="clear" w:color="auto" w:fill="FFFFFF"/>
        <w:spacing w:before="0" w:beforeAutospacing="0" w:after="0" w:afterAutospacing="0"/>
        <w:jc w:val="both"/>
        <w:textAlignment w:val="baseline"/>
      </w:pPr>
    </w:p>
    <w:p w14:paraId="645F93C6" w14:textId="77777777" w:rsidR="00731C28" w:rsidRDefault="00731C28">
      <w:pPr>
        <w:rPr>
          <w:rFonts w:ascii="Times New Roman" w:eastAsia="Times New Roman" w:hAnsi="Times New Roman" w:cs="Times New Roman"/>
          <w:sz w:val="24"/>
          <w:szCs w:val="24"/>
          <w:lang w:eastAsia="hr-HR"/>
        </w:rPr>
      </w:pPr>
      <w:r>
        <w:br w:type="page"/>
      </w:r>
    </w:p>
    <w:p w14:paraId="6E4B0F20" w14:textId="77777777" w:rsidR="00731C28" w:rsidRPr="00D46C6C" w:rsidRDefault="00731C28" w:rsidP="00731C28">
      <w:pPr>
        <w:rPr>
          <w:rFonts w:ascii="Times New Roman" w:hAnsi="Times New Roman" w:cs="Times New Roman"/>
          <w:b/>
          <w:bCs/>
          <w:sz w:val="24"/>
          <w:szCs w:val="24"/>
          <w:u w:val="single"/>
        </w:rPr>
      </w:pPr>
      <w:r w:rsidRPr="00D46C6C">
        <w:rPr>
          <w:rFonts w:ascii="Times New Roman" w:hAnsi="Times New Roman" w:cs="Times New Roman"/>
          <w:b/>
          <w:bCs/>
          <w:sz w:val="24"/>
          <w:szCs w:val="24"/>
          <w:u w:val="single"/>
        </w:rPr>
        <w:lastRenderedPageBreak/>
        <w:t>Prilog 2</w:t>
      </w:r>
      <w:r>
        <w:rPr>
          <w:rFonts w:ascii="Times New Roman" w:hAnsi="Times New Roman" w:cs="Times New Roman"/>
          <w:b/>
          <w:bCs/>
          <w:sz w:val="24"/>
          <w:szCs w:val="24"/>
          <w:u w:val="single"/>
        </w:rPr>
        <w:t>6</w:t>
      </w:r>
    </w:p>
    <w:p w14:paraId="509040DA" w14:textId="77777777" w:rsidR="00731C28" w:rsidRDefault="00731C28" w:rsidP="00731C28">
      <w:pPr>
        <w:jc w:val="both"/>
        <w:rPr>
          <w:rFonts w:ascii="Times New Roman" w:hAnsi="Times New Roman" w:cs="Times New Roman"/>
          <w:sz w:val="24"/>
          <w:szCs w:val="24"/>
        </w:rPr>
      </w:pPr>
    </w:p>
    <w:p w14:paraId="4914B958" w14:textId="02089215" w:rsidR="00731C28" w:rsidRPr="00D46C6C" w:rsidRDefault="00731C28" w:rsidP="00731C28">
      <w:pPr>
        <w:jc w:val="center"/>
        <w:rPr>
          <w:rFonts w:ascii="Times New Roman" w:hAnsi="Times New Roman" w:cs="Times New Roman"/>
          <w:b/>
          <w:bCs/>
          <w:sz w:val="24"/>
          <w:szCs w:val="24"/>
        </w:rPr>
      </w:pPr>
      <w:r w:rsidRPr="00D46C6C">
        <w:rPr>
          <w:rFonts w:ascii="Times New Roman" w:hAnsi="Times New Roman" w:cs="Times New Roman"/>
          <w:b/>
          <w:bCs/>
          <w:sz w:val="24"/>
          <w:szCs w:val="24"/>
        </w:rPr>
        <w:t>PRIKAZ BROJA KORISNIKA USLUGE OSOBNE ASISTENCIJE I IZNOSA OSIGURANIH SREDSTAVA</w:t>
      </w:r>
    </w:p>
    <w:tbl>
      <w:tblPr>
        <w:tblStyle w:val="Reetkatablice"/>
        <w:tblW w:w="9072" w:type="dxa"/>
        <w:tblInd w:w="24" w:type="dxa"/>
        <w:tblLayout w:type="fixed"/>
        <w:tblLook w:val="04A0" w:firstRow="1" w:lastRow="0" w:firstColumn="1" w:lastColumn="0" w:noHBand="0" w:noVBand="1"/>
      </w:tblPr>
      <w:tblGrid>
        <w:gridCol w:w="2410"/>
        <w:gridCol w:w="1984"/>
        <w:gridCol w:w="1985"/>
        <w:gridCol w:w="2693"/>
      </w:tblGrid>
      <w:tr w:rsidR="00731C28" w14:paraId="4D6E3D25" w14:textId="77777777" w:rsidTr="00816216">
        <w:trPr>
          <w:trHeight w:val="885"/>
        </w:trPr>
        <w:tc>
          <w:tcPr>
            <w:tcW w:w="9072" w:type="dxa"/>
            <w:gridSpan w:val="4"/>
            <w:shd w:val="clear" w:color="auto" w:fill="F2F2F2" w:themeFill="background1" w:themeFillShade="F2"/>
            <w:vAlign w:val="center"/>
          </w:tcPr>
          <w:p w14:paraId="3B17501E" w14:textId="77777777" w:rsidR="00731C28" w:rsidRPr="00514374" w:rsidRDefault="00731C28" w:rsidP="00816216">
            <w:pPr>
              <w:jc w:val="center"/>
              <w:rPr>
                <w:rFonts w:ascii="Times New Roman" w:hAnsi="Times New Roman" w:cs="Times New Roman"/>
                <w:b/>
                <w:bCs/>
                <w:sz w:val="20"/>
                <w:szCs w:val="20"/>
              </w:rPr>
            </w:pPr>
            <w:r w:rsidRPr="00514374">
              <w:rPr>
                <w:rFonts w:ascii="Times New Roman" w:hAnsi="Times New Roman" w:cs="Times New Roman"/>
                <w:b/>
                <w:bCs/>
                <w:sz w:val="20"/>
                <w:szCs w:val="20"/>
              </w:rPr>
              <w:t>Poziv za prijavu trogodišnjih programa udruga koje pružaju usluge asistencije osobama s invaliditetom u Republici Hrvatskoj (2016. - 2018. godine)</w:t>
            </w:r>
          </w:p>
          <w:p w14:paraId="08695F00" w14:textId="77777777" w:rsidR="00731C28" w:rsidRPr="00514374" w:rsidRDefault="00731C28" w:rsidP="00816216">
            <w:pPr>
              <w:jc w:val="center"/>
              <w:rPr>
                <w:rFonts w:ascii="Times New Roman" w:hAnsi="Times New Roman" w:cs="Times New Roman"/>
                <w:b/>
                <w:bCs/>
                <w:sz w:val="20"/>
                <w:szCs w:val="20"/>
              </w:rPr>
            </w:pPr>
            <w:r w:rsidRPr="00514374">
              <w:rPr>
                <w:rFonts w:ascii="Times New Roman" w:hAnsi="Times New Roman" w:cs="Times New Roman"/>
                <w:b/>
                <w:bCs/>
                <w:sz w:val="20"/>
                <w:szCs w:val="20"/>
              </w:rPr>
              <w:t>2. godina provedbe</w:t>
            </w:r>
          </w:p>
        </w:tc>
      </w:tr>
      <w:tr w:rsidR="00731C28" w14:paraId="28DF3EA0" w14:textId="77777777" w:rsidTr="00816216">
        <w:tc>
          <w:tcPr>
            <w:tcW w:w="2410" w:type="dxa"/>
            <w:shd w:val="clear" w:color="auto" w:fill="F2F2F2" w:themeFill="background1" w:themeFillShade="F2"/>
            <w:vAlign w:val="center"/>
          </w:tcPr>
          <w:p w14:paraId="192C8C7C" w14:textId="77777777" w:rsidR="00731C28" w:rsidRPr="0061746E" w:rsidRDefault="00731C28" w:rsidP="00816216">
            <w:pPr>
              <w:jc w:val="center"/>
              <w:rPr>
                <w:rFonts w:ascii="Times New Roman" w:hAnsi="Times New Roman" w:cs="Times New Roman"/>
                <w:sz w:val="20"/>
                <w:szCs w:val="20"/>
              </w:rPr>
            </w:pPr>
            <w:r>
              <w:rPr>
                <w:rFonts w:ascii="Times New Roman" w:hAnsi="Times New Roman" w:cs="Times New Roman"/>
                <w:sz w:val="20"/>
                <w:szCs w:val="20"/>
              </w:rPr>
              <w:t>usluga</w:t>
            </w:r>
          </w:p>
        </w:tc>
        <w:tc>
          <w:tcPr>
            <w:tcW w:w="1984" w:type="dxa"/>
            <w:shd w:val="clear" w:color="auto" w:fill="F2F2F2" w:themeFill="background1" w:themeFillShade="F2"/>
            <w:vAlign w:val="center"/>
          </w:tcPr>
          <w:p w14:paraId="5D1634EE" w14:textId="77777777" w:rsidR="00731C28" w:rsidRPr="0061746E" w:rsidRDefault="00731C28" w:rsidP="00816216">
            <w:pPr>
              <w:jc w:val="center"/>
              <w:rPr>
                <w:rFonts w:ascii="Times New Roman" w:hAnsi="Times New Roman" w:cs="Times New Roman"/>
                <w:sz w:val="20"/>
                <w:szCs w:val="20"/>
              </w:rPr>
            </w:pPr>
            <w:r>
              <w:rPr>
                <w:rFonts w:ascii="Times New Roman" w:hAnsi="Times New Roman" w:cs="Times New Roman"/>
                <w:sz w:val="20"/>
                <w:szCs w:val="20"/>
              </w:rPr>
              <w:t>b</w:t>
            </w:r>
            <w:r w:rsidRPr="0061746E">
              <w:rPr>
                <w:rFonts w:ascii="Times New Roman" w:hAnsi="Times New Roman" w:cs="Times New Roman"/>
                <w:sz w:val="20"/>
                <w:szCs w:val="20"/>
              </w:rPr>
              <w:t>roj organizacija civilnog društva /udruga</w:t>
            </w:r>
          </w:p>
        </w:tc>
        <w:tc>
          <w:tcPr>
            <w:tcW w:w="1985" w:type="dxa"/>
            <w:shd w:val="clear" w:color="auto" w:fill="F2F2F2" w:themeFill="background1" w:themeFillShade="F2"/>
            <w:vAlign w:val="center"/>
          </w:tcPr>
          <w:p w14:paraId="37F97E08" w14:textId="77777777" w:rsidR="00731C28" w:rsidRPr="0061746E" w:rsidRDefault="00731C28" w:rsidP="00816216">
            <w:pPr>
              <w:rPr>
                <w:rFonts w:ascii="Times New Roman" w:hAnsi="Times New Roman" w:cs="Times New Roman"/>
                <w:sz w:val="20"/>
                <w:szCs w:val="20"/>
              </w:rPr>
            </w:pPr>
            <w:r>
              <w:rPr>
                <w:rFonts w:ascii="Times New Roman" w:hAnsi="Times New Roman" w:cs="Times New Roman"/>
                <w:sz w:val="20"/>
                <w:szCs w:val="20"/>
              </w:rPr>
              <w:t>i</w:t>
            </w:r>
            <w:r w:rsidRPr="0061746E">
              <w:rPr>
                <w:rFonts w:ascii="Times New Roman" w:hAnsi="Times New Roman" w:cs="Times New Roman"/>
                <w:sz w:val="20"/>
                <w:szCs w:val="20"/>
              </w:rPr>
              <w:t>znos sredstava</w:t>
            </w:r>
          </w:p>
        </w:tc>
        <w:tc>
          <w:tcPr>
            <w:tcW w:w="2693" w:type="dxa"/>
            <w:shd w:val="clear" w:color="auto" w:fill="F2F2F2" w:themeFill="background1" w:themeFillShade="F2"/>
            <w:vAlign w:val="center"/>
          </w:tcPr>
          <w:p w14:paraId="7964BE23" w14:textId="77777777" w:rsidR="00731C28" w:rsidRPr="0061746E" w:rsidRDefault="00731C28" w:rsidP="00816216">
            <w:pPr>
              <w:jc w:val="center"/>
              <w:rPr>
                <w:rFonts w:ascii="Times New Roman" w:hAnsi="Times New Roman" w:cs="Times New Roman"/>
                <w:sz w:val="20"/>
                <w:szCs w:val="20"/>
              </w:rPr>
            </w:pPr>
            <w:r>
              <w:rPr>
                <w:rFonts w:ascii="Times New Roman" w:hAnsi="Times New Roman" w:cs="Times New Roman"/>
                <w:sz w:val="20"/>
                <w:szCs w:val="20"/>
              </w:rPr>
              <w:t>u</w:t>
            </w:r>
            <w:r w:rsidRPr="0061746E">
              <w:rPr>
                <w:rFonts w:ascii="Times New Roman" w:hAnsi="Times New Roman" w:cs="Times New Roman"/>
                <w:sz w:val="20"/>
                <w:szCs w:val="20"/>
              </w:rPr>
              <w:t xml:space="preserve"> 2017. godini</w:t>
            </w:r>
          </w:p>
        </w:tc>
      </w:tr>
      <w:tr w:rsidR="00731C28" w14:paraId="727839CA" w14:textId="77777777" w:rsidTr="00816216">
        <w:tc>
          <w:tcPr>
            <w:tcW w:w="2410" w:type="dxa"/>
            <w:shd w:val="clear" w:color="auto" w:fill="F2F2F2" w:themeFill="background1" w:themeFillShade="F2"/>
            <w:vAlign w:val="center"/>
          </w:tcPr>
          <w:p w14:paraId="177247FC" w14:textId="77777777" w:rsidR="00731C28" w:rsidRPr="0061746E" w:rsidRDefault="00731C28" w:rsidP="00816216">
            <w:pPr>
              <w:rPr>
                <w:rFonts w:ascii="Times New Roman" w:hAnsi="Times New Roman" w:cs="Times New Roman"/>
                <w:sz w:val="20"/>
                <w:szCs w:val="20"/>
              </w:rPr>
            </w:pPr>
            <w:r w:rsidRPr="0061746E">
              <w:rPr>
                <w:rFonts w:ascii="Times New Roman" w:hAnsi="Times New Roman" w:cs="Times New Roman"/>
                <w:sz w:val="20"/>
                <w:szCs w:val="20"/>
              </w:rPr>
              <w:t>uslug</w:t>
            </w:r>
            <w:r>
              <w:rPr>
                <w:rFonts w:ascii="Times New Roman" w:hAnsi="Times New Roman" w:cs="Times New Roman"/>
                <w:sz w:val="20"/>
                <w:szCs w:val="20"/>
              </w:rPr>
              <w:t>a</w:t>
            </w:r>
            <w:r w:rsidRPr="0061746E">
              <w:rPr>
                <w:rFonts w:ascii="Times New Roman" w:hAnsi="Times New Roman" w:cs="Times New Roman"/>
                <w:sz w:val="20"/>
                <w:szCs w:val="20"/>
              </w:rPr>
              <w:t xml:space="preserve"> osobne asistencije</w:t>
            </w:r>
          </w:p>
        </w:tc>
        <w:tc>
          <w:tcPr>
            <w:tcW w:w="1984" w:type="dxa"/>
            <w:vAlign w:val="center"/>
          </w:tcPr>
          <w:p w14:paraId="16404972" w14:textId="77777777" w:rsidR="00731C28" w:rsidRPr="0061746E" w:rsidRDefault="00731C28" w:rsidP="00816216">
            <w:pPr>
              <w:jc w:val="center"/>
              <w:rPr>
                <w:rFonts w:ascii="Times New Roman" w:hAnsi="Times New Roman" w:cs="Times New Roman"/>
                <w:sz w:val="20"/>
                <w:szCs w:val="20"/>
              </w:rPr>
            </w:pPr>
            <w:r w:rsidRPr="0061746E">
              <w:rPr>
                <w:rFonts w:ascii="Times New Roman" w:hAnsi="Times New Roman" w:cs="Times New Roman"/>
                <w:sz w:val="20"/>
                <w:szCs w:val="20"/>
              </w:rPr>
              <w:t>81</w:t>
            </w:r>
          </w:p>
        </w:tc>
        <w:tc>
          <w:tcPr>
            <w:tcW w:w="1985" w:type="dxa"/>
            <w:vAlign w:val="center"/>
          </w:tcPr>
          <w:p w14:paraId="3B4E450D" w14:textId="77777777" w:rsidR="00731C28" w:rsidRPr="0061746E" w:rsidRDefault="00731C28" w:rsidP="00816216">
            <w:pPr>
              <w:jc w:val="right"/>
              <w:rPr>
                <w:rFonts w:ascii="Times New Roman" w:hAnsi="Times New Roman" w:cs="Times New Roman"/>
                <w:sz w:val="20"/>
                <w:szCs w:val="20"/>
              </w:rPr>
            </w:pPr>
            <w:r w:rsidRPr="0061746E">
              <w:rPr>
                <w:rFonts w:ascii="Times New Roman" w:hAnsi="Times New Roman" w:cs="Times New Roman"/>
                <w:sz w:val="20"/>
                <w:szCs w:val="20"/>
              </w:rPr>
              <w:t>32.423.753,00</w:t>
            </w:r>
            <w:r>
              <w:rPr>
                <w:rFonts w:ascii="Times New Roman" w:hAnsi="Times New Roman" w:cs="Times New Roman"/>
                <w:sz w:val="20"/>
                <w:szCs w:val="20"/>
              </w:rPr>
              <w:t xml:space="preserve"> kn</w:t>
            </w:r>
          </w:p>
        </w:tc>
        <w:tc>
          <w:tcPr>
            <w:tcW w:w="2693" w:type="dxa"/>
            <w:vAlign w:val="center"/>
          </w:tcPr>
          <w:p w14:paraId="44BBC4C3" w14:textId="77777777" w:rsidR="00731C28" w:rsidRPr="0061746E" w:rsidRDefault="00731C28" w:rsidP="00816216">
            <w:pPr>
              <w:rPr>
                <w:rFonts w:ascii="Times New Roman" w:hAnsi="Times New Roman" w:cs="Times New Roman"/>
                <w:sz w:val="20"/>
                <w:szCs w:val="20"/>
              </w:rPr>
            </w:pPr>
            <w:r w:rsidRPr="0061746E">
              <w:rPr>
                <w:rFonts w:ascii="Times New Roman" w:hAnsi="Times New Roman" w:cs="Times New Roman"/>
                <w:sz w:val="20"/>
                <w:szCs w:val="20"/>
              </w:rPr>
              <w:t>pružena je usluga osobn</w:t>
            </w:r>
            <w:r>
              <w:rPr>
                <w:rFonts w:ascii="Times New Roman" w:hAnsi="Times New Roman" w:cs="Times New Roman"/>
                <w:sz w:val="20"/>
                <w:szCs w:val="20"/>
              </w:rPr>
              <w:t>e</w:t>
            </w:r>
            <w:r w:rsidRPr="0061746E">
              <w:rPr>
                <w:rFonts w:ascii="Times New Roman" w:hAnsi="Times New Roman" w:cs="Times New Roman"/>
                <w:sz w:val="20"/>
                <w:szCs w:val="20"/>
              </w:rPr>
              <w:t xml:space="preserve"> asisten</w:t>
            </w:r>
            <w:r>
              <w:rPr>
                <w:rFonts w:ascii="Times New Roman" w:hAnsi="Times New Roman" w:cs="Times New Roman"/>
                <w:sz w:val="20"/>
                <w:szCs w:val="20"/>
              </w:rPr>
              <w:t>cije</w:t>
            </w:r>
            <w:r w:rsidRPr="0061746E">
              <w:rPr>
                <w:rFonts w:ascii="Times New Roman" w:hAnsi="Times New Roman" w:cs="Times New Roman"/>
                <w:sz w:val="20"/>
                <w:szCs w:val="20"/>
              </w:rPr>
              <w:t xml:space="preserve"> za 653 korisnika</w:t>
            </w:r>
          </w:p>
        </w:tc>
      </w:tr>
      <w:tr w:rsidR="00731C28" w14:paraId="44C4D897" w14:textId="77777777" w:rsidTr="00816216">
        <w:tc>
          <w:tcPr>
            <w:tcW w:w="2410" w:type="dxa"/>
            <w:shd w:val="clear" w:color="auto" w:fill="F2F2F2" w:themeFill="background1" w:themeFillShade="F2"/>
            <w:vAlign w:val="center"/>
          </w:tcPr>
          <w:p w14:paraId="094DE921" w14:textId="77777777" w:rsidR="00731C28" w:rsidRPr="0061746E" w:rsidRDefault="00731C28" w:rsidP="00816216">
            <w:pPr>
              <w:rPr>
                <w:rFonts w:ascii="Times New Roman" w:hAnsi="Times New Roman" w:cs="Times New Roman"/>
                <w:sz w:val="20"/>
                <w:szCs w:val="20"/>
              </w:rPr>
            </w:pPr>
            <w:r w:rsidRPr="0061746E">
              <w:rPr>
                <w:rFonts w:ascii="Times New Roman" w:hAnsi="Times New Roman" w:cs="Times New Roman"/>
                <w:sz w:val="20"/>
                <w:szCs w:val="20"/>
              </w:rPr>
              <w:t>uslug</w:t>
            </w:r>
            <w:r>
              <w:rPr>
                <w:rFonts w:ascii="Times New Roman" w:hAnsi="Times New Roman" w:cs="Times New Roman"/>
                <w:sz w:val="20"/>
                <w:szCs w:val="20"/>
              </w:rPr>
              <w:t>a</w:t>
            </w:r>
            <w:r w:rsidRPr="0061746E">
              <w:rPr>
                <w:rFonts w:ascii="Times New Roman" w:hAnsi="Times New Roman" w:cs="Times New Roman"/>
                <w:sz w:val="20"/>
                <w:szCs w:val="20"/>
              </w:rPr>
              <w:t xml:space="preserve"> tumača znakovnog jezika</w:t>
            </w:r>
          </w:p>
        </w:tc>
        <w:tc>
          <w:tcPr>
            <w:tcW w:w="1984" w:type="dxa"/>
            <w:vAlign w:val="center"/>
          </w:tcPr>
          <w:p w14:paraId="0CF55C73" w14:textId="77777777" w:rsidR="00731C28" w:rsidRPr="0061746E" w:rsidRDefault="00731C28" w:rsidP="00816216">
            <w:pPr>
              <w:jc w:val="center"/>
              <w:rPr>
                <w:rFonts w:ascii="Times New Roman" w:hAnsi="Times New Roman" w:cs="Times New Roman"/>
                <w:sz w:val="20"/>
                <w:szCs w:val="20"/>
              </w:rPr>
            </w:pPr>
            <w:r w:rsidRPr="0061746E">
              <w:rPr>
                <w:rFonts w:ascii="Times New Roman" w:hAnsi="Times New Roman" w:cs="Times New Roman"/>
                <w:sz w:val="20"/>
                <w:szCs w:val="20"/>
              </w:rPr>
              <w:t>30</w:t>
            </w:r>
          </w:p>
        </w:tc>
        <w:tc>
          <w:tcPr>
            <w:tcW w:w="1985" w:type="dxa"/>
            <w:vAlign w:val="center"/>
          </w:tcPr>
          <w:p w14:paraId="3BE869DD" w14:textId="77777777" w:rsidR="00731C28" w:rsidRPr="0061746E" w:rsidRDefault="00731C28" w:rsidP="00816216">
            <w:pPr>
              <w:jc w:val="right"/>
              <w:rPr>
                <w:rFonts w:ascii="Times New Roman" w:hAnsi="Times New Roman" w:cs="Times New Roman"/>
                <w:sz w:val="20"/>
                <w:szCs w:val="20"/>
              </w:rPr>
            </w:pPr>
            <w:r w:rsidRPr="0061746E">
              <w:rPr>
                <w:rFonts w:ascii="Times New Roman" w:hAnsi="Times New Roman" w:cs="Times New Roman"/>
                <w:sz w:val="20"/>
                <w:szCs w:val="20"/>
              </w:rPr>
              <w:t>4.942.673,00</w:t>
            </w:r>
            <w:r>
              <w:rPr>
                <w:rFonts w:ascii="Times New Roman" w:hAnsi="Times New Roman" w:cs="Times New Roman"/>
                <w:sz w:val="20"/>
                <w:szCs w:val="20"/>
              </w:rPr>
              <w:t xml:space="preserve"> kn</w:t>
            </w:r>
          </w:p>
        </w:tc>
        <w:tc>
          <w:tcPr>
            <w:tcW w:w="2693" w:type="dxa"/>
            <w:vAlign w:val="center"/>
          </w:tcPr>
          <w:p w14:paraId="5E322511" w14:textId="77777777" w:rsidR="00731C28" w:rsidRPr="0061746E" w:rsidRDefault="00731C28" w:rsidP="00816216">
            <w:pPr>
              <w:rPr>
                <w:rFonts w:ascii="Times New Roman" w:hAnsi="Times New Roman" w:cs="Times New Roman"/>
                <w:sz w:val="20"/>
                <w:szCs w:val="20"/>
              </w:rPr>
            </w:pPr>
            <w:r>
              <w:rPr>
                <w:rFonts w:ascii="Times New Roman" w:hAnsi="Times New Roman" w:cs="Times New Roman"/>
                <w:sz w:val="20"/>
                <w:szCs w:val="20"/>
              </w:rPr>
              <w:t>z</w:t>
            </w:r>
            <w:r w:rsidRPr="0061746E">
              <w:rPr>
                <w:rFonts w:ascii="Times New Roman" w:hAnsi="Times New Roman" w:cs="Times New Roman"/>
                <w:sz w:val="20"/>
                <w:szCs w:val="20"/>
              </w:rPr>
              <w:t>aposlen</w:t>
            </w:r>
            <w:r>
              <w:rPr>
                <w:rFonts w:ascii="Times New Roman" w:hAnsi="Times New Roman" w:cs="Times New Roman"/>
                <w:sz w:val="20"/>
                <w:szCs w:val="20"/>
              </w:rPr>
              <w:t>a su</w:t>
            </w:r>
            <w:r w:rsidRPr="0061746E">
              <w:rPr>
                <w:rFonts w:ascii="Times New Roman" w:hAnsi="Times New Roman" w:cs="Times New Roman"/>
                <w:sz w:val="20"/>
                <w:szCs w:val="20"/>
              </w:rPr>
              <w:t xml:space="preserve"> 64 tumač</w:t>
            </w:r>
            <w:r>
              <w:rPr>
                <w:rFonts w:ascii="Times New Roman" w:hAnsi="Times New Roman" w:cs="Times New Roman"/>
                <w:sz w:val="20"/>
                <w:szCs w:val="20"/>
              </w:rPr>
              <w:t>a/</w:t>
            </w:r>
            <w:r w:rsidRPr="0061746E">
              <w:rPr>
                <w:rFonts w:ascii="Times New Roman" w:hAnsi="Times New Roman" w:cs="Times New Roman"/>
                <w:sz w:val="20"/>
                <w:szCs w:val="20"/>
              </w:rPr>
              <w:t>prevoditelj</w:t>
            </w:r>
            <w:r>
              <w:rPr>
                <w:rFonts w:ascii="Times New Roman" w:hAnsi="Times New Roman" w:cs="Times New Roman"/>
                <w:sz w:val="20"/>
                <w:szCs w:val="20"/>
              </w:rPr>
              <w:t>a</w:t>
            </w:r>
          </w:p>
        </w:tc>
      </w:tr>
      <w:tr w:rsidR="00731C28" w14:paraId="2E9970BF" w14:textId="77777777" w:rsidTr="00816216">
        <w:tc>
          <w:tcPr>
            <w:tcW w:w="2410" w:type="dxa"/>
            <w:shd w:val="clear" w:color="auto" w:fill="F2F2F2" w:themeFill="background1" w:themeFillShade="F2"/>
            <w:vAlign w:val="center"/>
          </w:tcPr>
          <w:p w14:paraId="4EB5E369" w14:textId="77777777" w:rsidR="00731C28" w:rsidRPr="0061746E" w:rsidRDefault="00731C28" w:rsidP="00816216">
            <w:pPr>
              <w:rPr>
                <w:rFonts w:ascii="Times New Roman" w:hAnsi="Times New Roman" w:cs="Times New Roman"/>
                <w:sz w:val="20"/>
                <w:szCs w:val="20"/>
              </w:rPr>
            </w:pPr>
            <w:r>
              <w:rPr>
                <w:rFonts w:ascii="Times New Roman" w:hAnsi="Times New Roman" w:cs="Times New Roman"/>
                <w:sz w:val="20"/>
                <w:szCs w:val="20"/>
              </w:rPr>
              <w:t>u</w:t>
            </w:r>
            <w:r w:rsidRPr="0061746E">
              <w:rPr>
                <w:rFonts w:ascii="Times New Roman" w:hAnsi="Times New Roman" w:cs="Times New Roman"/>
                <w:sz w:val="20"/>
                <w:szCs w:val="20"/>
              </w:rPr>
              <w:t>slug</w:t>
            </w:r>
            <w:r>
              <w:rPr>
                <w:rFonts w:ascii="Times New Roman" w:hAnsi="Times New Roman" w:cs="Times New Roman"/>
                <w:sz w:val="20"/>
                <w:szCs w:val="20"/>
              </w:rPr>
              <w:t>a</w:t>
            </w:r>
            <w:r w:rsidRPr="0061746E">
              <w:rPr>
                <w:rFonts w:ascii="Times New Roman" w:hAnsi="Times New Roman" w:cs="Times New Roman"/>
                <w:sz w:val="20"/>
                <w:szCs w:val="20"/>
              </w:rPr>
              <w:t xml:space="preserve"> </w:t>
            </w:r>
            <w:proofErr w:type="spellStart"/>
            <w:r w:rsidRPr="0061746E">
              <w:rPr>
                <w:rFonts w:ascii="Times New Roman" w:hAnsi="Times New Roman" w:cs="Times New Roman"/>
                <w:sz w:val="20"/>
                <w:szCs w:val="20"/>
              </w:rPr>
              <w:t>videćeg</w:t>
            </w:r>
            <w:proofErr w:type="spellEnd"/>
            <w:r w:rsidRPr="0061746E">
              <w:rPr>
                <w:rFonts w:ascii="Times New Roman" w:hAnsi="Times New Roman" w:cs="Times New Roman"/>
                <w:sz w:val="20"/>
                <w:szCs w:val="20"/>
              </w:rPr>
              <w:t xml:space="preserve"> pratitelja</w:t>
            </w:r>
          </w:p>
        </w:tc>
        <w:tc>
          <w:tcPr>
            <w:tcW w:w="1984" w:type="dxa"/>
            <w:vAlign w:val="center"/>
          </w:tcPr>
          <w:p w14:paraId="32E202B8" w14:textId="77777777" w:rsidR="00731C28" w:rsidRPr="0061746E" w:rsidRDefault="00731C28" w:rsidP="00816216">
            <w:pPr>
              <w:jc w:val="center"/>
              <w:rPr>
                <w:rFonts w:ascii="Times New Roman" w:hAnsi="Times New Roman" w:cs="Times New Roman"/>
                <w:sz w:val="20"/>
                <w:szCs w:val="20"/>
              </w:rPr>
            </w:pPr>
            <w:r w:rsidRPr="0061746E">
              <w:rPr>
                <w:rFonts w:ascii="Times New Roman" w:hAnsi="Times New Roman" w:cs="Times New Roman"/>
                <w:sz w:val="20"/>
                <w:szCs w:val="20"/>
              </w:rPr>
              <w:t>23</w:t>
            </w:r>
          </w:p>
        </w:tc>
        <w:tc>
          <w:tcPr>
            <w:tcW w:w="1985" w:type="dxa"/>
            <w:vAlign w:val="center"/>
          </w:tcPr>
          <w:p w14:paraId="238F22F0" w14:textId="77777777" w:rsidR="00731C28" w:rsidRPr="0061746E" w:rsidRDefault="00731C28" w:rsidP="00816216">
            <w:pPr>
              <w:jc w:val="right"/>
              <w:rPr>
                <w:rFonts w:ascii="Times New Roman" w:hAnsi="Times New Roman" w:cs="Times New Roman"/>
                <w:sz w:val="20"/>
                <w:szCs w:val="20"/>
              </w:rPr>
            </w:pPr>
            <w:r w:rsidRPr="0061746E">
              <w:rPr>
                <w:rFonts w:ascii="Times New Roman" w:hAnsi="Times New Roman" w:cs="Times New Roman"/>
                <w:sz w:val="20"/>
                <w:szCs w:val="20"/>
              </w:rPr>
              <w:t>2.354.088,00</w:t>
            </w:r>
            <w:r>
              <w:rPr>
                <w:rFonts w:ascii="Times New Roman" w:hAnsi="Times New Roman" w:cs="Times New Roman"/>
                <w:sz w:val="20"/>
                <w:szCs w:val="20"/>
              </w:rPr>
              <w:t xml:space="preserve"> kn</w:t>
            </w:r>
          </w:p>
        </w:tc>
        <w:tc>
          <w:tcPr>
            <w:tcW w:w="2693" w:type="dxa"/>
            <w:vAlign w:val="center"/>
          </w:tcPr>
          <w:p w14:paraId="453C1FB6" w14:textId="77777777" w:rsidR="00731C28" w:rsidRPr="0061746E" w:rsidRDefault="00731C28" w:rsidP="00816216">
            <w:pPr>
              <w:rPr>
                <w:rFonts w:ascii="Times New Roman" w:hAnsi="Times New Roman" w:cs="Times New Roman"/>
                <w:sz w:val="20"/>
                <w:szCs w:val="20"/>
              </w:rPr>
            </w:pPr>
            <w:r w:rsidRPr="0061746E">
              <w:rPr>
                <w:rFonts w:ascii="Times New Roman" w:hAnsi="Times New Roman" w:cs="Times New Roman"/>
                <w:sz w:val="20"/>
                <w:szCs w:val="20"/>
              </w:rPr>
              <w:t xml:space="preserve">zaposlena </w:t>
            </w:r>
            <w:r>
              <w:rPr>
                <w:rFonts w:ascii="Times New Roman" w:hAnsi="Times New Roman" w:cs="Times New Roman"/>
                <w:sz w:val="20"/>
                <w:szCs w:val="20"/>
              </w:rPr>
              <w:t xml:space="preserve">su </w:t>
            </w:r>
            <w:r w:rsidRPr="0061746E">
              <w:rPr>
                <w:rFonts w:ascii="Times New Roman" w:hAnsi="Times New Roman" w:cs="Times New Roman"/>
                <w:sz w:val="20"/>
                <w:szCs w:val="20"/>
              </w:rPr>
              <w:t xml:space="preserve">23,5 </w:t>
            </w:r>
            <w:proofErr w:type="spellStart"/>
            <w:r w:rsidRPr="0061746E">
              <w:rPr>
                <w:rFonts w:ascii="Times New Roman" w:hAnsi="Times New Roman" w:cs="Times New Roman"/>
                <w:sz w:val="20"/>
                <w:szCs w:val="20"/>
              </w:rPr>
              <w:t>videća</w:t>
            </w:r>
            <w:proofErr w:type="spellEnd"/>
            <w:r w:rsidRPr="0061746E">
              <w:rPr>
                <w:rFonts w:ascii="Times New Roman" w:hAnsi="Times New Roman" w:cs="Times New Roman"/>
                <w:sz w:val="20"/>
                <w:szCs w:val="20"/>
              </w:rPr>
              <w:t xml:space="preserve"> pratitelja</w:t>
            </w:r>
          </w:p>
        </w:tc>
      </w:tr>
      <w:tr w:rsidR="00731C28" w14:paraId="270E94AF" w14:textId="77777777" w:rsidTr="00816216">
        <w:trPr>
          <w:trHeight w:val="330"/>
        </w:trPr>
        <w:tc>
          <w:tcPr>
            <w:tcW w:w="2410" w:type="dxa"/>
            <w:shd w:val="clear" w:color="auto" w:fill="F2F2F2" w:themeFill="background1" w:themeFillShade="F2"/>
            <w:vAlign w:val="center"/>
          </w:tcPr>
          <w:p w14:paraId="4F870AE1" w14:textId="77777777" w:rsidR="00731C28" w:rsidRPr="0061746E" w:rsidRDefault="00731C28" w:rsidP="00816216">
            <w:pPr>
              <w:rPr>
                <w:rFonts w:ascii="Times New Roman" w:hAnsi="Times New Roman" w:cs="Times New Roman"/>
                <w:sz w:val="20"/>
                <w:szCs w:val="20"/>
              </w:rPr>
            </w:pPr>
            <w:r w:rsidRPr="0061746E">
              <w:rPr>
                <w:rFonts w:ascii="Times New Roman" w:hAnsi="Times New Roman" w:cs="Times New Roman"/>
                <w:sz w:val="20"/>
                <w:szCs w:val="20"/>
              </w:rPr>
              <w:t>UKUPNO</w:t>
            </w:r>
          </w:p>
        </w:tc>
        <w:tc>
          <w:tcPr>
            <w:tcW w:w="1984" w:type="dxa"/>
            <w:vAlign w:val="center"/>
          </w:tcPr>
          <w:p w14:paraId="0AB93C1F" w14:textId="77777777" w:rsidR="00731C28" w:rsidRPr="0061746E" w:rsidRDefault="00731C28" w:rsidP="00816216">
            <w:pPr>
              <w:jc w:val="center"/>
              <w:rPr>
                <w:rFonts w:ascii="Times New Roman" w:hAnsi="Times New Roman" w:cs="Times New Roman"/>
                <w:sz w:val="20"/>
                <w:szCs w:val="20"/>
              </w:rPr>
            </w:pPr>
            <w:r w:rsidRPr="0061746E">
              <w:rPr>
                <w:rFonts w:ascii="Times New Roman" w:hAnsi="Times New Roman" w:cs="Times New Roman"/>
                <w:sz w:val="20"/>
                <w:szCs w:val="20"/>
              </w:rPr>
              <w:t>134</w:t>
            </w:r>
          </w:p>
        </w:tc>
        <w:tc>
          <w:tcPr>
            <w:tcW w:w="1985" w:type="dxa"/>
            <w:vAlign w:val="center"/>
          </w:tcPr>
          <w:p w14:paraId="7F4437B1" w14:textId="77777777" w:rsidR="00731C28" w:rsidRPr="003312E7" w:rsidRDefault="00731C28" w:rsidP="00816216">
            <w:pPr>
              <w:jc w:val="right"/>
              <w:rPr>
                <w:rFonts w:ascii="Times New Roman" w:hAnsi="Times New Roman" w:cs="Times New Roman"/>
                <w:sz w:val="20"/>
                <w:szCs w:val="20"/>
              </w:rPr>
            </w:pPr>
            <w:r w:rsidRPr="003312E7">
              <w:rPr>
                <w:rFonts w:ascii="Times New Roman" w:hAnsi="Times New Roman" w:cs="Times New Roman"/>
                <w:sz w:val="20"/>
                <w:szCs w:val="20"/>
              </w:rPr>
              <w:t>40.070.515,00 kn</w:t>
            </w:r>
          </w:p>
        </w:tc>
        <w:tc>
          <w:tcPr>
            <w:tcW w:w="2693" w:type="dxa"/>
            <w:shd w:val="clear" w:color="auto" w:fill="auto"/>
            <w:vAlign w:val="center"/>
          </w:tcPr>
          <w:p w14:paraId="7719779C" w14:textId="77777777" w:rsidR="00731C28" w:rsidRPr="003312E7" w:rsidRDefault="00731C28" w:rsidP="00816216">
            <w:pPr>
              <w:rPr>
                <w:rFonts w:ascii="Times New Roman" w:hAnsi="Times New Roman" w:cs="Times New Roman"/>
                <w:sz w:val="20"/>
                <w:szCs w:val="20"/>
              </w:rPr>
            </w:pPr>
          </w:p>
        </w:tc>
      </w:tr>
      <w:tr w:rsidR="00731C28" w14:paraId="2E859D8D" w14:textId="77777777" w:rsidTr="00816216">
        <w:trPr>
          <w:trHeight w:val="791"/>
        </w:trPr>
        <w:tc>
          <w:tcPr>
            <w:tcW w:w="9072" w:type="dxa"/>
            <w:gridSpan w:val="4"/>
            <w:shd w:val="clear" w:color="auto" w:fill="F2F2F2" w:themeFill="background1" w:themeFillShade="F2"/>
            <w:vAlign w:val="center"/>
          </w:tcPr>
          <w:p w14:paraId="756ABE89" w14:textId="77777777" w:rsidR="00731C28" w:rsidRPr="00514374" w:rsidRDefault="00731C28" w:rsidP="00816216">
            <w:pPr>
              <w:jc w:val="center"/>
              <w:rPr>
                <w:rFonts w:ascii="Times New Roman" w:hAnsi="Times New Roman" w:cs="Times New Roman"/>
                <w:b/>
                <w:bCs/>
                <w:sz w:val="20"/>
                <w:szCs w:val="20"/>
              </w:rPr>
            </w:pPr>
            <w:r w:rsidRPr="00514374">
              <w:rPr>
                <w:rFonts w:ascii="Times New Roman" w:hAnsi="Times New Roman" w:cs="Times New Roman"/>
                <w:b/>
                <w:bCs/>
                <w:sz w:val="20"/>
                <w:szCs w:val="20"/>
              </w:rPr>
              <w:t>Poziv za prijavu trogodišnjih programa udruga koje pružaju usluge asistencije osobama s invaliditetom u Republici Hrvatskoj (2016. - 2018. godine)</w:t>
            </w:r>
          </w:p>
          <w:p w14:paraId="1B1C7A1E" w14:textId="77777777" w:rsidR="00731C28" w:rsidRPr="0061746E" w:rsidRDefault="00731C28" w:rsidP="00816216">
            <w:pPr>
              <w:jc w:val="center"/>
              <w:rPr>
                <w:rFonts w:ascii="Times New Roman" w:hAnsi="Times New Roman" w:cs="Times New Roman"/>
                <w:sz w:val="20"/>
                <w:szCs w:val="20"/>
              </w:rPr>
            </w:pPr>
            <w:r w:rsidRPr="00514374">
              <w:rPr>
                <w:rFonts w:ascii="Times New Roman" w:hAnsi="Times New Roman" w:cs="Times New Roman"/>
                <w:b/>
                <w:bCs/>
                <w:sz w:val="20"/>
                <w:szCs w:val="20"/>
              </w:rPr>
              <w:t>3. godina provedbe</w:t>
            </w:r>
          </w:p>
        </w:tc>
      </w:tr>
      <w:tr w:rsidR="00731C28" w14:paraId="5BA5D284" w14:textId="77777777" w:rsidTr="00816216">
        <w:tc>
          <w:tcPr>
            <w:tcW w:w="2410" w:type="dxa"/>
            <w:shd w:val="clear" w:color="auto" w:fill="F2F2F2" w:themeFill="background1" w:themeFillShade="F2"/>
            <w:vAlign w:val="center"/>
          </w:tcPr>
          <w:p w14:paraId="56F9FD18" w14:textId="77777777" w:rsidR="00731C28" w:rsidRPr="0061746E" w:rsidRDefault="00731C28" w:rsidP="00816216">
            <w:pPr>
              <w:jc w:val="center"/>
              <w:rPr>
                <w:rFonts w:ascii="Times New Roman" w:hAnsi="Times New Roman" w:cs="Times New Roman"/>
                <w:sz w:val="20"/>
                <w:szCs w:val="20"/>
              </w:rPr>
            </w:pPr>
            <w:r>
              <w:rPr>
                <w:rFonts w:ascii="Times New Roman" w:hAnsi="Times New Roman" w:cs="Times New Roman"/>
                <w:sz w:val="20"/>
                <w:szCs w:val="20"/>
              </w:rPr>
              <w:t>usluga</w:t>
            </w:r>
          </w:p>
        </w:tc>
        <w:tc>
          <w:tcPr>
            <w:tcW w:w="1984" w:type="dxa"/>
            <w:shd w:val="clear" w:color="auto" w:fill="F2F2F2" w:themeFill="background1" w:themeFillShade="F2"/>
            <w:vAlign w:val="center"/>
          </w:tcPr>
          <w:p w14:paraId="4F6F5783" w14:textId="77777777" w:rsidR="00731C28" w:rsidRPr="0061746E" w:rsidRDefault="00731C28" w:rsidP="00816216">
            <w:pPr>
              <w:jc w:val="center"/>
              <w:rPr>
                <w:rFonts w:ascii="Times New Roman" w:hAnsi="Times New Roman" w:cs="Times New Roman"/>
                <w:sz w:val="20"/>
                <w:szCs w:val="20"/>
              </w:rPr>
            </w:pPr>
            <w:r>
              <w:rPr>
                <w:rFonts w:ascii="Times New Roman" w:hAnsi="Times New Roman" w:cs="Times New Roman"/>
                <w:sz w:val="20"/>
                <w:szCs w:val="20"/>
              </w:rPr>
              <w:t>b</w:t>
            </w:r>
            <w:r w:rsidRPr="0061746E">
              <w:rPr>
                <w:rFonts w:ascii="Times New Roman" w:hAnsi="Times New Roman" w:cs="Times New Roman"/>
                <w:sz w:val="20"/>
                <w:szCs w:val="20"/>
              </w:rPr>
              <w:t>roj organizacija civilnog društva /udruga</w:t>
            </w:r>
          </w:p>
        </w:tc>
        <w:tc>
          <w:tcPr>
            <w:tcW w:w="1985" w:type="dxa"/>
            <w:shd w:val="clear" w:color="auto" w:fill="F2F2F2" w:themeFill="background1" w:themeFillShade="F2"/>
            <w:vAlign w:val="center"/>
          </w:tcPr>
          <w:p w14:paraId="7D7D159A" w14:textId="77777777" w:rsidR="00731C28" w:rsidRPr="0061746E" w:rsidRDefault="00731C28" w:rsidP="00816216">
            <w:pPr>
              <w:jc w:val="center"/>
              <w:rPr>
                <w:rFonts w:ascii="Times New Roman" w:hAnsi="Times New Roman" w:cs="Times New Roman"/>
                <w:sz w:val="20"/>
                <w:szCs w:val="20"/>
              </w:rPr>
            </w:pPr>
            <w:r>
              <w:rPr>
                <w:rFonts w:ascii="Times New Roman" w:hAnsi="Times New Roman" w:cs="Times New Roman"/>
                <w:sz w:val="20"/>
                <w:szCs w:val="20"/>
              </w:rPr>
              <w:t>i</w:t>
            </w:r>
            <w:r w:rsidRPr="0061746E">
              <w:rPr>
                <w:rFonts w:ascii="Times New Roman" w:hAnsi="Times New Roman" w:cs="Times New Roman"/>
                <w:sz w:val="20"/>
                <w:szCs w:val="20"/>
              </w:rPr>
              <w:t>znos sredstava</w:t>
            </w:r>
          </w:p>
        </w:tc>
        <w:tc>
          <w:tcPr>
            <w:tcW w:w="2693" w:type="dxa"/>
            <w:shd w:val="clear" w:color="auto" w:fill="F2F2F2" w:themeFill="background1" w:themeFillShade="F2"/>
            <w:vAlign w:val="center"/>
          </w:tcPr>
          <w:p w14:paraId="42B2AD0E" w14:textId="77777777" w:rsidR="00731C28" w:rsidRPr="0061746E" w:rsidRDefault="00731C28" w:rsidP="00816216">
            <w:pPr>
              <w:jc w:val="center"/>
              <w:rPr>
                <w:rFonts w:ascii="Times New Roman" w:hAnsi="Times New Roman" w:cs="Times New Roman"/>
                <w:sz w:val="20"/>
                <w:szCs w:val="20"/>
              </w:rPr>
            </w:pPr>
            <w:r>
              <w:rPr>
                <w:rFonts w:ascii="Times New Roman" w:hAnsi="Times New Roman" w:cs="Times New Roman"/>
                <w:sz w:val="20"/>
                <w:szCs w:val="20"/>
              </w:rPr>
              <w:t>u</w:t>
            </w:r>
            <w:r w:rsidRPr="0061746E">
              <w:rPr>
                <w:rFonts w:ascii="Times New Roman" w:hAnsi="Times New Roman" w:cs="Times New Roman"/>
                <w:sz w:val="20"/>
                <w:szCs w:val="20"/>
              </w:rPr>
              <w:t xml:space="preserve"> 2018. godini</w:t>
            </w:r>
          </w:p>
        </w:tc>
      </w:tr>
      <w:tr w:rsidR="00731C28" w14:paraId="22D8CB42" w14:textId="77777777" w:rsidTr="00816216">
        <w:tc>
          <w:tcPr>
            <w:tcW w:w="2410" w:type="dxa"/>
            <w:shd w:val="clear" w:color="auto" w:fill="F2F2F2" w:themeFill="background1" w:themeFillShade="F2"/>
            <w:vAlign w:val="center"/>
          </w:tcPr>
          <w:p w14:paraId="038A0965" w14:textId="77777777" w:rsidR="00731C28" w:rsidRPr="0061746E" w:rsidRDefault="00731C28" w:rsidP="00816216">
            <w:pPr>
              <w:rPr>
                <w:rFonts w:ascii="Times New Roman" w:hAnsi="Times New Roman" w:cs="Times New Roman"/>
                <w:sz w:val="20"/>
                <w:szCs w:val="20"/>
              </w:rPr>
            </w:pPr>
            <w:r w:rsidRPr="0061746E">
              <w:rPr>
                <w:rFonts w:ascii="Times New Roman" w:hAnsi="Times New Roman" w:cs="Times New Roman"/>
                <w:sz w:val="20"/>
                <w:szCs w:val="20"/>
              </w:rPr>
              <w:t>uslug</w:t>
            </w:r>
            <w:r>
              <w:rPr>
                <w:rFonts w:ascii="Times New Roman" w:hAnsi="Times New Roman" w:cs="Times New Roman"/>
                <w:sz w:val="20"/>
                <w:szCs w:val="20"/>
              </w:rPr>
              <w:t>a</w:t>
            </w:r>
            <w:r w:rsidRPr="0061746E">
              <w:rPr>
                <w:rFonts w:ascii="Times New Roman" w:hAnsi="Times New Roman" w:cs="Times New Roman"/>
                <w:sz w:val="20"/>
                <w:szCs w:val="20"/>
              </w:rPr>
              <w:t xml:space="preserve"> osobne asistencije</w:t>
            </w:r>
          </w:p>
        </w:tc>
        <w:tc>
          <w:tcPr>
            <w:tcW w:w="1984" w:type="dxa"/>
            <w:vAlign w:val="center"/>
          </w:tcPr>
          <w:p w14:paraId="61970955" w14:textId="77777777" w:rsidR="00731C28" w:rsidRPr="0061746E" w:rsidRDefault="00731C28" w:rsidP="00816216">
            <w:pPr>
              <w:jc w:val="center"/>
              <w:rPr>
                <w:rFonts w:ascii="Times New Roman" w:hAnsi="Times New Roman" w:cs="Times New Roman"/>
                <w:sz w:val="20"/>
                <w:szCs w:val="20"/>
              </w:rPr>
            </w:pPr>
            <w:r w:rsidRPr="0061746E">
              <w:rPr>
                <w:rFonts w:ascii="Times New Roman" w:hAnsi="Times New Roman" w:cs="Times New Roman"/>
                <w:sz w:val="20"/>
                <w:szCs w:val="20"/>
              </w:rPr>
              <w:t>81</w:t>
            </w:r>
          </w:p>
        </w:tc>
        <w:tc>
          <w:tcPr>
            <w:tcW w:w="1985" w:type="dxa"/>
            <w:vAlign w:val="center"/>
          </w:tcPr>
          <w:p w14:paraId="7A4DF112" w14:textId="77777777" w:rsidR="00731C28" w:rsidRPr="0061746E" w:rsidRDefault="00731C28" w:rsidP="00816216">
            <w:pPr>
              <w:jc w:val="right"/>
              <w:rPr>
                <w:rFonts w:ascii="Times New Roman" w:hAnsi="Times New Roman" w:cs="Times New Roman"/>
                <w:sz w:val="20"/>
                <w:szCs w:val="20"/>
              </w:rPr>
            </w:pPr>
            <w:r w:rsidRPr="0061746E">
              <w:rPr>
                <w:rFonts w:ascii="Times New Roman" w:hAnsi="Times New Roman" w:cs="Times New Roman"/>
                <w:sz w:val="20"/>
                <w:szCs w:val="20"/>
              </w:rPr>
              <w:t>32.462.992,00</w:t>
            </w:r>
            <w:r>
              <w:rPr>
                <w:rFonts w:ascii="Times New Roman" w:hAnsi="Times New Roman" w:cs="Times New Roman"/>
                <w:sz w:val="20"/>
                <w:szCs w:val="20"/>
              </w:rPr>
              <w:t xml:space="preserve"> kn</w:t>
            </w:r>
          </w:p>
        </w:tc>
        <w:tc>
          <w:tcPr>
            <w:tcW w:w="2693" w:type="dxa"/>
            <w:vAlign w:val="center"/>
          </w:tcPr>
          <w:p w14:paraId="1B262EA9" w14:textId="77777777" w:rsidR="00731C28" w:rsidRPr="0061746E" w:rsidRDefault="00731C28" w:rsidP="00816216">
            <w:pPr>
              <w:rPr>
                <w:rFonts w:ascii="Times New Roman" w:hAnsi="Times New Roman" w:cs="Times New Roman"/>
                <w:sz w:val="20"/>
                <w:szCs w:val="20"/>
              </w:rPr>
            </w:pPr>
            <w:r w:rsidRPr="0061746E">
              <w:rPr>
                <w:rFonts w:ascii="Times New Roman" w:hAnsi="Times New Roman" w:cs="Times New Roman"/>
                <w:sz w:val="20"/>
                <w:szCs w:val="20"/>
              </w:rPr>
              <w:t>pružena je usluga osobnog asistenta za 653 korisnika</w:t>
            </w:r>
          </w:p>
        </w:tc>
      </w:tr>
      <w:tr w:rsidR="00731C28" w14:paraId="04412B63" w14:textId="77777777" w:rsidTr="00816216">
        <w:tc>
          <w:tcPr>
            <w:tcW w:w="2410" w:type="dxa"/>
            <w:shd w:val="clear" w:color="auto" w:fill="F2F2F2" w:themeFill="background1" w:themeFillShade="F2"/>
            <w:vAlign w:val="center"/>
          </w:tcPr>
          <w:p w14:paraId="71FA6FDA" w14:textId="77777777" w:rsidR="00731C28" w:rsidRPr="0061746E" w:rsidRDefault="00731C28" w:rsidP="00816216">
            <w:pPr>
              <w:rPr>
                <w:rFonts w:ascii="Times New Roman" w:hAnsi="Times New Roman" w:cs="Times New Roman"/>
                <w:sz w:val="20"/>
                <w:szCs w:val="20"/>
              </w:rPr>
            </w:pPr>
            <w:r>
              <w:rPr>
                <w:rFonts w:ascii="Times New Roman" w:hAnsi="Times New Roman" w:cs="Times New Roman"/>
                <w:sz w:val="20"/>
                <w:szCs w:val="20"/>
              </w:rPr>
              <w:t>u</w:t>
            </w:r>
            <w:r w:rsidRPr="0061746E">
              <w:rPr>
                <w:rFonts w:ascii="Times New Roman" w:hAnsi="Times New Roman" w:cs="Times New Roman"/>
                <w:sz w:val="20"/>
                <w:szCs w:val="20"/>
              </w:rPr>
              <w:t>slug</w:t>
            </w:r>
            <w:r>
              <w:rPr>
                <w:rFonts w:ascii="Times New Roman" w:hAnsi="Times New Roman" w:cs="Times New Roman"/>
                <w:sz w:val="20"/>
                <w:szCs w:val="20"/>
              </w:rPr>
              <w:t>a</w:t>
            </w:r>
            <w:r w:rsidRPr="0061746E">
              <w:rPr>
                <w:rFonts w:ascii="Times New Roman" w:hAnsi="Times New Roman" w:cs="Times New Roman"/>
                <w:sz w:val="20"/>
                <w:szCs w:val="20"/>
              </w:rPr>
              <w:t xml:space="preserve"> tumača znakovnog jezika</w:t>
            </w:r>
          </w:p>
        </w:tc>
        <w:tc>
          <w:tcPr>
            <w:tcW w:w="1984" w:type="dxa"/>
            <w:vAlign w:val="center"/>
          </w:tcPr>
          <w:p w14:paraId="2FA1E5F9" w14:textId="77777777" w:rsidR="00731C28" w:rsidRPr="0061746E" w:rsidRDefault="00731C28" w:rsidP="00816216">
            <w:pPr>
              <w:jc w:val="center"/>
              <w:rPr>
                <w:rFonts w:ascii="Times New Roman" w:hAnsi="Times New Roman" w:cs="Times New Roman"/>
                <w:sz w:val="20"/>
                <w:szCs w:val="20"/>
              </w:rPr>
            </w:pPr>
            <w:r w:rsidRPr="0061746E">
              <w:rPr>
                <w:rFonts w:ascii="Times New Roman" w:hAnsi="Times New Roman" w:cs="Times New Roman"/>
                <w:sz w:val="20"/>
                <w:szCs w:val="20"/>
              </w:rPr>
              <w:t>30</w:t>
            </w:r>
          </w:p>
        </w:tc>
        <w:tc>
          <w:tcPr>
            <w:tcW w:w="1985" w:type="dxa"/>
            <w:vAlign w:val="center"/>
          </w:tcPr>
          <w:p w14:paraId="71004AF6" w14:textId="77777777" w:rsidR="00731C28" w:rsidRPr="0061746E" w:rsidRDefault="00731C28" w:rsidP="00816216">
            <w:pPr>
              <w:jc w:val="right"/>
              <w:rPr>
                <w:rFonts w:ascii="Times New Roman" w:hAnsi="Times New Roman" w:cs="Times New Roman"/>
                <w:sz w:val="20"/>
                <w:szCs w:val="20"/>
              </w:rPr>
            </w:pPr>
            <w:r w:rsidRPr="0061746E">
              <w:rPr>
                <w:rFonts w:ascii="Times New Roman" w:hAnsi="Times New Roman" w:cs="Times New Roman"/>
                <w:sz w:val="20"/>
                <w:szCs w:val="20"/>
              </w:rPr>
              <w:t>4.942.673,00</w:t>
            </w:r>
            <w:r>
              <w:rPr>
                <w:rFonts w:ascii="Times New Roman" w:hAnsi="Times New Roman" w:cs="Times New Roman"/>
                <w:sz w:val="20"/>
                <w:szCs w:val="20"/>
              </w:rPr>
              <w:t xml:space="preserve"> kn</w:t>
            </w:r>
          </w:p>
        </w:tc>
        <w:tc>
          <w:tcPr>
            <w:tcW w:w="2693" w:type="dxa"/>
            <w:vAlign w:val="center"/>
          </w:tcPr>
          <w:p w14:paraId="3348A07A" w14:textId="77777777" w:rsidR="00731C28" w:rsidRPr="0061746E" w:rsidRDefault="00731C28" w:rsidP="00816216">
            <w:pPr>
              <w:rPr>
                <w:rFonts w:ascii="Times New Roman" w:hAnsi="Times New Roman" w:cs="Times New Roman"/>
                <w:sz w:val="20"/>
                <w:szCs w:val="20"/>
              </w:rPr>
            </w:pPr>
            <w:r w:rsidRPr="0061746E">
              <w:rPr>
                <w:rFonts w:ascii="Times New Roman" w:hAnsi="Times New Roman" w:cs="Times New Roman"/>
                <w:sz w:val="20"/>
                <w:szCs w:val="20"/>
              </w:rPr>
              <w:t>zaposlen</w:t>
            </w:r>
            <w:r>
              <w:rPr>
                <w:rFonts w:ascii="Times New Roman" w:hAnsi="Times New Roman" w:cs="Times New Roman"/>
                <w:sz w:val="20"/>
                <w:szCs w:val="20"/>
              </w:rPr>
              <w:t>o</w:t>
            </w:r>
            <w:r w:rsidRPr="0061746E">
              <w:rPr>
                <w:rFonts w:ascii="Times New Roman" w:hAnsi="Times New Roman" w:cs="Times New Roman"/>
                <w:sz w:val="20"/>
                <w:szCs w:val="20"/>
              </w:rPr>
              <w:t xml:space="preserve"> je 64 tumač</w:t>
            </w:r>
            <w:r>
              <w:rPr>
                <w:rFonts w:ascii="Times New Roman" w:hAnsi="Times New Roman" w:cs="Times New Roman"/>
                <w:sz w:val="20"/>
                <w:szCs w:val="20"/>
              </w:rPr>
              <w:t>a/prevoditelja</w:t>
            </w:r>
          </w:p>
        </w:tc>
      </w:tr>
      <w:tr w:rsidR="00731C28" w:rsidRPr="003312E7" w14:paraId="21CADD7B" w14:textId="77777777" w:rsidTr="00816216">
        <w:tc>
          <w:tcPr>
            <w:tcW w:w="2410" w:type="dxa"/>
            <w:shd w:val="clear" w:color="auto" w:fill="F2F2F2" w:themeFill="background1" w:themeFillShade="F2"/>
            <w:vAlign w:val="center"/>
          </w:tcPr>
          <w:p w14:paraId="532A17E1" w14:textId="77777777" w:rsidR="00731C28" w:rsidRPr="003312E7" w:rsidRDefault="00731C28" w:rsidP="00816216">
            <w:pPr>
              <w:rPr>
                <w:rFonts w:ascii="Times New Roman" w:hAnsi="Times New Roman" w:cs="Times New Roman"/>
                <w:sz w:val="20"/>
                <w:szCs w:val="20"/>
              </w:rPr>
            </w:pPr>
            <w:r w:rsidRPr="003312E7">
              <w:rPr>
                <w:rFonts w:ascii="Times New Roman" w:hAnsi="Times New Roman" w:cs="Times New Roman"/>
                <w:sz w:val="20"/>
                <w:szCs w:val="20"/>
              </w:rPr>
              <w:t xml:space="preserve">usluga </w:t>
            </w:r>
            <w:proofErr w:type="spellStart"/>
            <w:r w:rsidRPr="003312E7">
              <w:rPr>
                <w:rFonts w:ascii="Times New Roman" w:hAnsi="Times New Roman" w:cs="Times New Roman"/>
                <w:sz w:val="20"/>
                <w:szCs w:val="20"/>
              </w:rPr>
              <w:t>videćeg</w:t>
            </w:r>
            <w:proofErr w:type="spellEnd"/>
            <w:r w:rsidRPr="003312E7">
              <w:rPr>
                <w:rFonts w:ascii="Times New Roman" w:hAnsi="Times New Roman" w:cs="Times New Roman"/>
                <w:sz w:val="20"/>
                <w:szCs w:val="20"/>
              </w:rPr>
              <w:t xml:space="preserve"> pratitelja</w:t>
            </w:r>
          </w:p>
        </w:tc>
        <w:tc>
          <w:tcPr>
            <w:tcW w:w="1984" w:type="dxa"/>
            <w:vAlign w:val="center"/>
          </w:tcPr>
          <w:p w14:paraId="10E3054F" w14:textId="77777777" w:rsidR="00731C28" w:rsidRPr="003312E7" w:rsidRDefault="00731C28" w:rsidP="00816216">
            <w:pPr>
              <w:jc w:val="center"/>
              <w:rPr>
                <w:rFonts w:ascii="Times New Roman" w:hAnsi="Times New Roman" w:cs="Times New Roman"/>
                <w:sz w:val="20"/>
                <w:szCs w:val="20"/>
              </w:rPr>
            </w:pPr>
            <w:r w:rsidRPr="003312E7">
              <w:rPr>
                <w:rFonts w:ascii="Times New Roman" w:hAnsi="Times New Roman" w:cs="Times New Roman"/>
                <w:sz w:val="20"/>
                <w:szCs w:val="20"/>
              </w:rPr>
              <w:t>23</w:t>
            </w:r>
          </w:p>
        </w:tc>
        <w:tc>
          <w:tcPr>
            <w:tcW w:w="1985" w:type="dxa"/>
            <w:vAlign w:val="center"/>
          </w:tcPr>
          <w:p w14:paraId="704F50C2" w14:textId="77777777" w:rsidR="00731C28" w:rsidRPr="003312E7" w:rsidRDefault="00731C28" w:rsidP="00816216">
            <w:pPr>
              <w:jc w:val="right"/>
              <w:rPr>
                <w:rFonts w:ascii="Times New Roman" w:hAnsi="Times New Roman" w:cs="Times New Roman"/>
                <w:sz w:val="20"/>
                <w:szCs w:val="20"/>
              </w:rPr>
            </w:pPr>
            <w:r w:rsidRPr="003312E7">
              <w:rPr>
                <w:rFonts w:ascii="Times New Roman" w:hAnsi="Times New Roman" w:cs="Times New Roman"/>
                <w:sz w:val="20"/>
                <w:szCs w:val="20"/>
              </w:rPr>
              <w:t>2.354.088,00</w:t>
            </w:r>
            <w:r>
              <w:rPr>
                <w:rFonts w:ascii="Times New Roman" w:hAnsi="Times New Roman" w:cs="Times New Roman"/>
                <w:sz w:val="20"/>
                <w:szCs w:val="20"/>
              </w:rPr>
              <w:t xml:space="preserve"> kn</w:t>
            </w:r>
          </w:p>
        </w:tc>
        <w:tc>
          <w:tcPr>
            <w:tcW w:w="2693" w:type="dxa"/>
            <w:vAlign w:val="center"/>
          </w:tcPr>
          <w:p w14:paraId="2DDA10FF" w14:textId="77777777" w:rsidR="00731C28" w:rsidRPr="003312E7" w:rsidRDefault="00731C28" w:rsidP="00816216">
            <w:pPr>
              <w:rPr>
                <w:rFonts w:ascii="Times New Roman" w:hAnsi="Times New Roman" w:cs="Times New Roman"/>
                <w:sz w:val="20"/>
                <w:szCs w:val="20"/>
              </w:rPr>
            </w:pPr>
            <w:r w:rsidRPr="003312E7">
              <w:rPr>
                <w:rFonts w:ascii="Times New Roman" w:hAnsi="Times New Roman" w:cs="Times New Roman"/>
                <w:sz w:val="20"/>
                <w:szCs w:val="20"/>
              </w:rPr>
              <w:t xml:space="preserve">zaposlena su 23 </w:t>
            </w:r>
            <w:proofErr w:type="spellStart"/>
            <w:r w:rsidRPr="003312E7">
              <w:rPr>
                <w:rFonts w:ascii="Times New Roman" w:hAnsi="Times New Roman" w:cs="Times New Roman"/>
                <w:sz w:val="20"/>
                <w:szCs w:val="20"/>
              </w:rPr>
              <w:t>videća</w:t>
            </w:r>
            <w:proofErr w:type="spellEnd"/>
            <w:r w:rsidRPr="003312E7">
              <w:rPr>
                <w:rFonts w:ascii="Times New Roman" w:hAnsi="Times New Roman" w:cs="Times New Roman"/>
                <w:sz w:val="20"/>
                <w:szCs w:val="20"/>
              </w:rPr>
              <w:t xml:space="preserve"> pratitelja</w:t>
            </w:r>
          </w:p>
        </w:tc>
      </w:tr>
      <w:tr w:rsidR="00731C28" w:rsidRPr="003312E7" w14:paraId="4E3F5395" w14:textId="77777777" w:rsidTr="00816216">
        <w:trPr>
          <w:trHeight w:val="394"/>
        </w:trPr>
        <w:tc>
          <w:tcPr>
            <w:tcW w:w="2410" w:type="dxa"/>
            <w:shd w:val="clear" w:color="auto" w:fill="F2F2F2" w:themeFill="background1" w:themeFillShade="F2"/>
            <w:vAlign w:val="center"/>
          </w:tcPr>
          <w:p w14:paraId="7E9F7F29" w14:textId="77777777" w:rsidR="00731C28" w:rsidRPr="003312E7" w:rsidRDefault="00731C28" w:rsidP="00816216">
            <w:pPr>
              <w:rPr>
                <w:rFonts w:ascii="Times New Roman" w:hAnsi="Times New Roman" w:cs="Times New Roman"/>
                <w:sz w:val="20"/>
                <w:szCs w:val="20"/>
              </w:rPr>
            </w:pPr>
            <w:r w:rsidRPr="003312E7">
              <w:rPr>
                <w:rFonts w:ascii="Times New Roman" w:hAnsi="Times New Roman" w:cs="Times New Roman"/>
                <w:sz w:val="20"/>
                <w:szCs w:val="20"/>
              </w:rPr>
              <w:t>UKUPNO</w:t>
            </w:r>
          </w:p>
        </w:tc>
        <w:tc>
          <w:tcPr>
            <w:tcW w:w="1984" w:type="dxa"/>
            <w:vAlign w:val="center"/>
          </w:tcPr>
          <w:p w14:paraId="47DE5309" w14:textId="77777777" w:rsidR="00731C28" w:rsidRPr="003312E7" w:rsidRDefault="00731C28" w:rsidP="00816216">
            <w:pPr>
              <w:jc w:val="center"/>
              <w:rPr>
                <w:rFonts w:ascii="Times New Roman" w:hAnsi="Times New Roman" w:cs="Times New Roman"/>
                <w:sz w:val="20"/>
                <w:szCs w:val="20"/>
              </w:rPr>
            </w:pPr>
            <w:r w:rsidRPr="003312E7">
              <w:rPr>
                <w:rFonts w:ascii="Times New Roman" w:hAnsi="Times New Roman" w:cs="Times New Roman"/>
                <w:sz w:val="20"/>
                <w:szCs w:val="20"/>
              </w:rPr>
              <w:t>134</w:t>
            </w:r>
          </w:p>
        </w:tc>
        <w:tc>
          <w:tcPr>
            <w:tcW w:w="1985" w:type="dxa"/>
            <w:vAlign w:val="center"/>
          </w:tcPr>
          <w:p w14:paraId="372465F3" w14:textId="77777777" w:rsidR="00731C28" w:rsidRPr="003312E7" w:rsidRDefault="00731C28" w:rsidP="00816216">
            <w:pPr>
              <w:jc w:val="right"/>
              <w:rPr>
                <w:rFonts w:ascii="Times New Roman" w:hAnsi="Times New Roman" w:cs="Times New Roman"/>
                <w:sz w:val="20"/>
                <w:szCs w:val="20"/>
              </w:rPr>
            </w:pPr>
            <w:r w:rsidRPr="003312E7">
              <w:rPr>
                <w:rFonts w:ascii="Times New Roman" w:hAnsi="Times New Roman" w:cs="Times New Roman"/>
                <w:sz w:val="20"/>
                <w:szCs w:val="20"/>
              </w:rPr>
              <w:t>40.109.753,00</w:t>
            </w:r>
            <w:r>
              <w:rPr>
                <w:rFonts w:ascii="Times New Roman" w:hAnsi="Times New Roman" w:cs="Times New Roman"/>
                <w:sz w:val="20"/>
                <w:szCs w:val="20"/>
              </w:rPr>
              <w:t xml:space="preserve"> kn</w:t>
            </w:r>
          </w:p>
        </w:tc>
        <w:tc>
          <w:tcPr>
            <w:tcW w:w="2693" w:type="dxa"/>
            <w:shd w:val="clear" w:color="auto" w:fill="auto"/>
            <w:vAlign w:val="center"/>
          </w:tcPr>
          <w:p w14:paraId="0A67E16A" w14:textId="77777777" w:rsidR="00731C28" w:rsidRPr="003312E7" w:rsidRDefault="00731C28" w:rsidP="00816216">
            <w:pPr>
              <w:rPr>
                <w:rFonts w:ascii="Times New Roman" w:hAnsi="Times New Roman" w:cs="Times New Roman"/>
                <w:sz w:val="20"/>
                <w:szCs w:val="20"/>
              </w:rPr>
            </w:pPr>
          </w:p>
        </w:tc>
      </w:tr>
    </w:tbl>
    <w:p w14:paraId="6E765E2E" w14:textId="77777777" w:rsidR="00731C28" w:rsidRPr="003312E7" w:rsidRDefault="00731C28" w:rsidP="00731C28">
      <w:pPr>
        <w:jc w:val="both"/>
        <w:rPr>
          <w:rFonts w:ascii="Times New Roman" w:hAnsi="Times New Roman" w:cs="Times New Roman"/>
          <w:sz w:val="24"/>
          <w:szCs w:val="24"/>
        </w:rPr>
      </w:pPr>
    </w:p>
    <w:tbl>
      <w:tblPr>
        <w:tblStyle w:val="Reetkatablice"/>
        <w:tblW w:w="9072" w:type="dxa"/>
        <w:tblInd w:w="24" w:type="dxa"/>
        <w:tblLayout w:type="fixed"/>
        <w:tblLook w:val="04A0" w:firstRow="1" w:lastRow="0" w:firstColumn="1" w:lastColumn="0" w:noHBand="0" w:noVBand="1"/>
      </w:tblPr>
      <w:tblGrid>
        <w:gridCol w:w="2410"/>
        <w:gridCol w:w="1984"/>
        <w:gridCol w:w="1985"/>
        <w:gridCol w:w="2693"/>
      </w:tblGrid>
      <w:tr w:rsidR="00731C28" w:rsidRPr="003312E7" w14:paraId="2EF40D42" w14:textId="77777777" w:rsidTr="00816216">
        <w:trPr>
          <w:trHeight w:val="771"/>
        </w:trPr>
        <w:tc>
          <w:tcPr>
            <w:tcW w:w="9072" w:type="dxa"/>
            <w:gridSpan w:val="4"/>
            <w:shd w:val="clear" w:color="auto" w:fill="F2F2F2" w:themeFill="background1" w:themeFillShade="F2"/>
            <w:vAlign w:val="center"/>
          </w:tcPr>
          <w:p w14:paraId="4E080FDC" w14:textId="77777777" w:rsidR="00731C28" w:rsidRPr="00514374" w:rsidRDefault="00731C28" w:rsidP="00816216">
            <w:pPr>
              <w:jc w:val="center"/>
              <w:rPr>
                <w:rFonts w:ascii="Times New Roman" w:hAnsi="Times New Roman" w:cs="Times New Roman"/>
                <w:b/>
                <w:bCs/>
                <w:sz w:val="20"/>
                <w:szCs w:val="20"/>
              </w:rPr>
            </w:pPr>
            <w:bookmarkStart w:id="192" w:name="_Hlk63952001"/>
            <w:bookmarkStart w:id="193" w:name="_Hlk63954824"/>
            <w:r w:rsidRPr="00514374">
              <w:rPr>
                <w:rFonts w:ascii="Times New Roman" w:hAnsi="Times New Roman" w:cs="Times New Roman"/>
                <w:b/>
                <w:bCs/>
                <w:sz w:val="20"/>
                <w:szCs w:val="20"/>
              </w:rPr>
              <w:t>Ograničeni poziv za prijavu trogodišnjih programa udruga koje pružaju usluge asistencije osobama s invaliditetom u Republici Hrvatskoj (2019. - 2021. godine)</w:t>
            </w:r>
          </w:p>
          <w:p w14:paraId="26553C39" w14:textId="77777777" w:rsidR="00731C28" w:rsidRPr="003312E7" w:rsidRDefault="00731C28" w:rsidP="00816216">
            <w:pPr>
              <w:jc w:val="center"/>
              <w:rPr>
                <w:rFonts w:ascii="Times New Roman" w:hAnsi="Times New Roman" w:cs="Times New Roman"/>
                <w:sz w:val="20"/>
                <w:szCs w:val="20"/>
              </w:rPr>
            </w:pPr>
            <w:r w:rsidRPr="00514374">
              <w:rPr>
                <w:rFonts w:ascii="Times New Roman" w:hAnsi="Times New Roman" w:cs="Times New Roman"/>
                <w:b/>
                <w:bCs/>
                <w:sz w:val="20"/>
                <w:szCs w:val="20"/>
              </w:rPr>
              <w:t>1. godina provedbe</w:t>
            </w:r>
          </w:p>
        </w:tc>
      </w:tr>
      <w:tr w:rsidR="00731C28" w:rsidRPr="003312E7" w14:paraId="00169DAF" w14:textId="77777777" w:rsidTr="00816216">
        <w:tc>
          <w:tcPr>
            <w:tcW w:w="2410" w:type="dxa"/>
            <w:shd w:val="clear" w:color="auto" w:fill="F2F2F2" w:themeFill="background1" w:themeFillShade="F2"/>
            <w:vAlign w:val="center"/>
          </w:tcPr>
          <w:p w14:paraId="63AD5971" w14:textId="77777777" w:rsidR="00731C28" w:rsidRPr="003312E7" w:rsidRDefault="00731C28" w:rsidP="00816216">
            <w:pPr>
              <w:jc w:val="center"/>
              <w:rPr>
                <w:rFonts w:ascii="Times New Roman" w:hAnsi="Times New Roman" w:cs="Times New Roman"/>
                <w:sz w:val="20"/>
                <w:szCs w:val="20"/>
              </w:rPr>
            </w:pPr>
            <w:r w:rsidRPr="003312E7">
              <w:rPr>
                <w:rFonts w:ascii="Times New Roman" w:hAnsi="Times New Roman" w:cs="Times New Roman"/>
                <w:sz w:val="20"/>
                <w:szCs w:val="20"/>
              </w:rPr>
              <w:t>usluga</w:t>
            </w:r>
          </w:p>
        </w:tc>
        <w:tc>
          <w:tcPr>
            <w:tcW w:w="1984" w:type="dxa"/>
            <w:shd w:val="clear" w:color="auto" w:fill="F2F2F2" w:themeFill="background1" w:themeFillShade="F2"/>
            <w:vAlign w:val="center"/>
          </w:tcPr>
          <w:p w14:paraId="0C4D344C" w14:textId="77777777" w:rsidR="00731C28" w:rsidRPr="003312E7" w:rsidRDefault="00731C28" w:rsidP="00816216">
            <w:pPr>
              <w:jc w:val="center"/>
              <w:rPr>
                <w:rFonts w:ascii="Times New Roman" w:hAnsi="Times New Roman" w:cs="Times New Roman"/>
                <w:sz w:val="20"/>
                <w:szCs w:val="20"/>
              </w:rPr>
            </w:pPr>
            <w:r w:rsidRPr="003312E7">
              <w:rPr>
                <w:rFonts w:ascii="Times New Roman" w:hAnsi="Times New Roman" w:cs="Times New Roman"/>
                <w:sz w:val="20"/>
                <w:szCs w:val="20"/>
              </w:rPr>
              <w:t>broj organizacija civilnog društva /udruga</w:t>
            </w:r>
          </w:p>
        </w:tc>
        <w:tc>
          <w:tcPr>
            <w:tcW w:w="1985" w:type="dxa"/>
            <w:shd w:val="clear" w:color="auto" w:fill="F2F2F2" w:themeFill="background1" w:themeFillShade="F2"/>
            <w:vAlign w:val="center"/>
          </w:tcPr>
          <w:p w14:paraId="08DBFED6" w14:textId="77777777" w:rsidR="00731C28" w:rsidRPr="003312E7" w:rsidRDefault="00731C28" w:rsidP="00816216">
            <w:pPr>
              <w:jc w:val="center"/>
              <w:rPr>
                <w:rFonts w:ascii="Times New Roman" w:hAnsi="Times New Roman" w:cs="Times New Roman"/>
                <w:sz w:val="20"/>
                <w:szCs w:val="20"/>
              </w:rPr>
            </w:pPr>
            <w:r w:rsidRPr="003312E7">
              <w:rPr>
                <w:rFonts w:ascii="Times New Roman" w:hAnsi="Times New Roman" w:cs="Times New Roman"/>
                <w:sz w:val="20"/>
                <w:szCs w:val="20"/>
              </w:rPr>
              <w:t>iznos sredstava</w:t>
            </w:r>
          </w:p>
        </w:tc>
        <w:tc>
          <w:tcPr>
            <w:tcW w:w="2693" w:type="dxa"/>
            <w:shd w:val="clear" w:color="auto" w:fill="F2F2F2" w:themeFill="background1" w:themeFillShade="F2"/>
            <w:vAlign w:val="center"/>
          </w:tcPr>
          <w:p w14:paraId="7ACC0632" w14:textId="77777777" w:rsidR="00731C28" w:rsidRPr="003312E7" w:rsidRDefault="00731C28" w:rsidP="00816216">
            <w:pPr>
              <w:jc w:val="center"/>
              <w:rPr>
                <w:rFonts w:ascii="Times New Roman" w:hAnsi="Times New Roman" w:cs="Times New Roman"/>
                <w:sz w:val="20"/>
                <w:szCs w:val="20"/>
              </w:rPr>
            </w:pPr>
            <w:r w:rsidRPr="003312E7">
              <w:rPr>
                <w:rFonts w:ascii="Times New Roman" w:hAnsi="Times New Roman" w:cs="Times New Roman"/>
                <w:sz w:val="20"/>
                <w:szCs w:val="20"/>
              </w:rPr>
              <w:t>u 2019. godini</w:t>
            </w:r>
          </w:p>
        </w:tc>
      </w:tr>
      <w:tr w:rsidR="00731C28" w:rsidRPr="003312E7" w14:paraId="79C4499D" w14:textId="77777777" w:rsidTr="00816216">
        <w:tc>
          <w:tcPr>
            <w:tcW w:w="2410" w:type="dxa"/>
            <w:shd w:val="clear" w:color="auto" w:fill="F2F2F2" w:themeFill="background1" w:themeFillShade="F2"/>
            <w:vAlign w:val="center"/>
          </w:tcPr>
          <w:p w14:paraId="7EABFD3D" w14:textId="77777777" w:rsidR="00731C28" w:rsidRPr="003312E7" w:rsidRDefault="00731C28" w:rsidP="00816216">
            <w:pPr>
              <w:rPr>
                <w:rFonts w:ascii="Times New Roman" w:hAnsi="Times New Roman" w:cs="Times New Roman"/>
                <w:sz w:val="20"/>
                <w:szCs w:val="20"/>
              </w:rPr>
            </w:pPr>
            <w:r w:rsidRPr="003312E7">
              <w:rPr>
                <w:rFonts w:ascii="Times New Roman" w:hAnsi="Times New Roman" w:cs="Times New Roman"/>
                <w:sz w:val="20"/>
                <w:szCs w:val="20"/>
              </w:rPr>
              <w:t>usluga osobne asistencije</w:t>
            </w:r>
          </w:p>
        </w:tc>
        <w:tc>
          <w:tcPr>
            <w:tcW w:w="1984" w:type="dxa"/>
            <w:vAlign w:val="center"/>
          </w:tcPr>
          <w:p w14:paraId="271F15FC" w14:textId="77777777" w:rsidR="00731C28" w:rsidRPr="003312E7" w:rsidRDefault="00731C28" w:rsidP="00816216">
            <w:pPr>
              <w:jc w:val="center"/>
              <w:rPr>
                <w:rFonts w:ascii="Times New Roman" w:hAnsi="Times New Roman" w:cs="Times New Roman"/>
                <w:sz w:val="20"/>
                <w:szCs w:val="20"/>
              </w:rPr>
            </w:pPr>
            <w:r w:rsidRPr="003312E7">
              <w:rPr>
                <w:rFonts w:ascii="Times New Roman" w:hAnsi="Times New Roman" w:cs="Times New Roman"/>
                <w:sz w:val="20"/>
                <w:szCs w:val="20"/>
              </w:rPr>
              <w:t>80</w:t>
            </w:r>
          </w:p>
        </w:tc>
        <w:tc>
          <w:tcPr>
            <w:tcW w:w="1985" w:type="dxa"/>
            <w:vAlign w:val="center"/>
          </w:tcPr>
          <w:p w14:paraId="6E9B195E" w14:textId="77777777" w:rsidR="00731C28" w:rsidRPr="003312E7" w:rsidRDefault="00731C28" w:rsidP="00816216">
            <w:pPr>
              <w:jc w:val="right"/>
              <w:rPr>
                <w:rFonts w:ascii="Times New Roman" w:hAnsi="Times New Roman" w:cs="Times New Roman"/>
                <w:sz w:val="20"/>
                <w:szCs w:val="20"/>
              </w:rPr>
            </w:pPr>
            <w:r w:rsidRPr="003312E7">
              <w:rPr>
                <w:rFonts w:ascii="Times New Roman" w:hAnsi="Times New Roman" w:cs="Times New Roman"/>
                <w:sz w:val="20"/>
                <w:szCs w:val="20"/>
              </w:rPr>
              <w:t>41.070.070,00 kn</w:t>
            </w:r>
          </w:p>
        </w:tc>
        <w:tc>
          <w:tcPr>
            <w:tcW w:w="2693" w:type="dxa"/>
            <w:vAlign w:val="center"/>
          </w:tcPr>
          <w:p w14:paraId="4F292D86" w14:textId="77777777" w:rsidR="00731C28" w:rsidRPr="003312E7" w:rsidRDefault="00731C28" w:rsidP="00816216">
            <w:pPr>
              <w:jc w:val="center"/>
              <w:rPr>
                <w:rFonts w:ascii="Times New Roman" w:hAnsi="Times New Roman" w:cs="Times New Roman"/>
                <w:sz w:val="20"/>
                <w:szCs w:val="20"/>
              </w:rPr>
            </w:pPr>
            <w:r w:rsidRPr="003312E7">
              <w:rPr>
                <w:rFonts w:ascii="Times New Roman" w:hAnsi="Times New Roman" w:cs="Times New Roman"/>
                <w:sz w:val="20"/>
                <w:szCs w:val="20"/>
              </w:rPr>
              <w:t>pružena je usluga osobne asistencije za 683 korisnika</w:t>
            </w:r>
          </w:p>
        </w:tc>
      </w:tr>
      <w:tr w:rsidR="00731C28" w:rsidRPr="003312E7" w14:paraId="7E0C32CE" w14:textId="77777777" w:rsidTr="00816216">
        <w:tc>
          <w:tcPr>
            <w:tcW w:w="2410" w:type="dxa"/>
            <w:shd w:val="clear" w:color="auto" w:fill="F2F2F2" w:themeFill="background1" w:themeFillShade="F2"/>
            <w:vAlign w:val="center"/>
          </w:tcPr>
          <w:p w14:paraId="7A49075D" w14:textId="77777777" w:rsidR="00731C28" w:rsidRPr="003312E7" w:rsidRDefault="00731C28" w:rsidP="00816216">
            <w:pPr>
              <w:rPr>
                <w:rFonts w:ascii="Times New Roman" w:hAnsi="Times New Roman" w:cs="Times New Roman"/>
                <w:sz w:val="20"/>
                <w:szCs w:val="20"/>
              </w:rPr>
            </w:pPr>
            <w:r w:rsidRPr="003312E7">
              <w:rPr>
                <w:rFonts w:ascii="Times New Roman" w:hAnsi="Times New Roman" w:cs="Times New Roman"/>
                <w:sz w:val="20"/>
                <w:szCs w:val="20"/>
              </w:rPr>
              <w:t>usluga tumača znakovnog jezika</w:t>
            </w:r>
          </w:p>
        </w:tc>
        <w:tc>
          <w:tcPr>
            <w:tcW w:w="1984" w:type="dxa"/>
            <w:vAlign w:val="center"/>
          </w:tcPr>
          <w:p w14:paraId="5EAC7A63" w14:textId="77777777" w:rsidR="00731C28" w:rsidRPr="003312E7" w:rsidRDefault="00731C28" w:rsidP="00816216">
            <w:pPr>
              <w:jc w:val="center"/>
              <w:rPr>
                <w:rFonts w:ascii="Times New Roman" w:hAnsi="Times New Roman" w:cs="Times New Roman"/>
                <w:sz w:val="20"/>
                <w:szCs w:val="20"/>
              </w:rPr>
            </w:pPr>
            <w:r w:rsidRPr="003312E7">
              <w:rPr>
                <w:rFonts w:ascii="Times New Roman" w:hAnsi="Times New Roman" w:cs="Times New Roman"/>
                <w:sz w:val="20"/>
                <w:szCs w:val="20"/>
              </w:rPr>
              <w:t>30</w:t>
            </w:r>
          </w:p>
        </w:tc>
        <w:tc>
          <w:tcPr>
            <w:tcW w:w="1985" w:type="dxa"/>
            <w:vAlign w:val="center"/>
          </w:tcPr>
          <w:p w14:paraId="19E00EB2" w14:textId="77777777" w:rsidR="00731C28" w:rsidRPr="003312E7" w:rsidRDefault="00731C28" w:rsidP="00816216">
            <w:pPr>
              <w:jc w:val="right"/>
              <w:rPr>
                <w:rFonts w:ascii="Times New Roman" w:hAnsi="Times New Roman" w:cs="Times New Roman"/>
                <w:sz w:val="20"/>
                <w:szCs w:val="20"/>
              </w:rPr>
            </w:pPr>
            <w:r w:rsidRPr="003312E7">
              <w:rPr>
                <w:rFonts w:ascii="Times New Roman" w:hAnsi="Times New Roman" w:cs="Times New Roman"/>
                <w:sz w:val="20"/>
                <w:szCs w:val="20"/>
              </w:rPr>
              <w:t>5.280.255,00 kn</w:t>
            </w:r>
          </w:p>
        </w:tc>
        <w:tc>
          <w:tcPr>
            <w:tcW w:w="2693" w:type="dxa"/>
            <w:vAlign w:val="center"/>
          </w:tcPr>
          <w:p w14:paraId="43A07744" w14:textId="77777777" w:rsidR="00731C28" w:rsidRPr="003312E7" w:rsidRDefault="00731C28" w:rsidP="00816216">
            <w:pPr>
              <w:jc w:val="center"/>
              <w:rPr>
                <w:rFonts w:ascii="Times New Roman" w:hAnsi="Times New Roman" w:cs="Times New Roman"/>
                <w:sz w:val="20"/>
                <w:szCs w:val="20"/>
              </w:rPr>
            </w:pPr>
            <w:r w:rsidRPr="003312E7">
              <w:rPr>
                <w:rFonts w:ascii="Times New Roman" w:hAnsi="Times New Roman" w:cs="Times New Roman"/>
                <w:sz w:val="20"/>
                <w:szCs w:val="20"/>
              </w:rPr>
              <w:t>zaposlen je 71 tumač</w:t>
            </w:r>
            <w:r>
              <w:rPr>
                <w:rFonts w:ascii="Times New Roman" w:hAnsi="Times New Roman" w:cs="Times New Roman"/>
                <w:sz w:val="20"/>
                <w:szCs w:val="20"/>
              </w:rPr>
              <w:t>/prevoditelj</w:t>
            </w:r>
          </w:p>
        </w:tc>
      </w:tr>
      <w:tr w:rsidR="00731C28" w:rsidRPr="003312E7" w14:paraId="6D671427" w14:textId="77777777" w:rsidTr="00816216">
        <w:tc>
          <w:tcPr>
            <w:tcW w:w="2410" w:type="dxa"/>
            <w:shd w:val="clear" w:color="auto" w:fill="F2F2F2" w:themeFill="background1" w:themeFillShade="F2"/>
            <w:vAlign w:val="center"/>
          </w:tcPr>
          <w:p w14:paraId="35061780" w14:textId="77777777" w:rsidR="00731C28" w:rsidRPr="003312E7" w:rsidRDefault="00731C28" w:rsidP="00816216">
            <w:pPr>
              <w:rPr>
                <w:rFonts w:ascii="Times New Roman" w:hAnsi="Times New Roman" w:cs="Times New Roman"/>
                <w:sz w:val="20"/>
                <w:szCs w:val="20"/>
              </w:rPr>
            </w:pPr>
            <w:r w:rsidRPr="003312E7">
              <w:rPr>
                <w:rFonts w:ascii="Times New Roman" w:hAnsi="Times New Roman" w:cs="Times New Roman"/>
                <w:sz w:val="20"/>
                <w:szCs w:val="20"/>
              </w:rPr>
              <w:t xml:space="preserve">usluga </w:t>
            </w:r>
            <w:proofErr w:type="spellStart"/>
            <w:r w:rsidRPr="003312E7">
              <w:rPr>
                <w:rFonts w:ascii="Times New Roman" w:hAnsi="Times New Roman" w:cs="Times New Roman"/>
                <w:sz w:val="20"/>
                <w:szCs w:val="20"/>
              </w:rPr>
              <w:t>videćeg</w:t>
            </w:r>
            <w:proofErr w:type="spellEnd"/>
            <w:r w:rsidRPr="003312E7">
              <w:rPr>
                <w:rFonts w:ascii="Times New Roman" w:hAnsi="Times New Roman" w:cs="Times New Roman"/>
                <w:sz w:val="20"/>
                <w:szCs w:val="20"/>
              </w:rPr>
              <w:t xml:space="preserve"> pratitelja</w:t>
            </w:r>
          </w:p>
        </w:tc>
        <w:tc>
          <w:tcPr>
            <w:tcW w:w="1984" w:type="dxa"/>
            <w:vAlign w:val="center"/>
          </w:tcPr>
          <w:p w14:paraId="45C05D58" w14:textId="77777777" w:rsidR="00731C28" w:rsidRPr="003312E7" w:rsidRDefault="00731C28" w:rsidP="00816216">
            <w:pPr>
              <w:jc w:val="center"/>
              <w:rPr>
                <w:rFonts w:ascii="Times New Roman" w:hAnsi="Times New Roman" w:cs="Times New Roman"/>
                <w:sz w:val="20"/>
                <w:szCs w:val="20"/>
              </w:rPr>
            </w:pPr>
            <w:r w:rsidRPr="003312E7">
              <w:rPr>
                <w:rFonts w:ascii="Times New Roman" w:hAnsi="Times New Roman" w:cs="Times New Roman"/>
                <w:sz w:val="20"/>
                <w:szCs w:val="20"/>
              </w:rPr>
              <w:t>23</w:t>
            </w:r>
          </w:p>
        </w:tc>
        <w:tc>
          <w:tcPr>
            <w:tcW w:w="1985" w:type="dxa"/>
            <w:vAlign w:val="center"/>
          </w:tcPr>
          <w:p w14:paraId="7FC9DC9F" w14:textId="77777777" w:rsidR="00731C28" w:rsidRPr="003312E7" w:rsidRDefault="00731C28" w:rsidP="00816216">
            <w:pPr>
              <w:jc w:val="right"/>
              <w:rPr>
                <w:rFonts w:ascii="Times New Roman" w:hAnsi="Times New Roman" w:cs="Times New Roman"/>
                <w:sz w:val="20"/>
                <w:szCs w:val="20"/>
              </w:rPr>
            </w:pPr>
            <w:r w:rsidRPr="003312E7">
              <w:rPr>
                <w:rFonts w:ascii="Times New Roman" w:hAnsi="Times New Roman" w:cs="Times New Roman"/>
                <w:sz w:val="20"/>
                <w:szCs w:val="20"/>
              </w:rPr>
              <w:t>2.596.436,00 kn</w:t>
            </w:r>
          </w:p>
        </w:tc>
        <w:tc>
          <w:tcPr>
            <w:tcW w:w="2693" w:type="dxa"/>
            <w:vAlign w:val="center"/>
          </w:tcPr>
          <w:p w14:paraId="7E21AFED" w14:textId="77777777" w:rsidR="00731C28" w:rsidRPr="003312E7" w:rsidRDefault="00731C28" w:rsidP="00816216">
            <w:pPr>
              <w:jc w:val="center"/>
              <w:rPr>
                <w:rFonts w:ascii="Times New Roman" w:hAnsi="Times New Roman" w:cs="Times New Roman"/>
                <w:sz w:val="20"/>
                <w:szCs w:val="20"/>
              </w:rPr>
            </w:pPr>
            <w:r w:rsidRPr="003312E7">
              <w:rPr>
                <w:rFonts w:ascii="Times New Roman" w:hAnsi="Times New Roman" w:cs="Times New Roman"/>
                <w:sz w:val="20"/>
                <w:szCs w:val="20"/>
              </w:rPr>
              <w:t xml:space="preserve">zaposlena su 24 </w:t>
            </w:r>
            <w:proofErr w:type="spellStart"/>
            <w:r w:rsidRPr="003312E7">
              <w:rPr>
                <w:rFonts w:ascii="Times New Roman" w:hAnsi="Times New Roman" w:cs="Times New Roman"/>
                <w:sz w:val="20"/>
                <w:szCs w:val="20"/>
              </w:rPr>
              <w:t>videća</w:t>
            </w:r>
            <w:proofErr w:type="spellEnd"/>
            <w:r w:rsidRPr="003312E7">
              <w:rPr>
                <w:rFonts w:ascii="Times New Roman" w:hAnsi="Times New Roman" w:cs="Times New Roman"/>
                <w:sz w:val="20"/>
                <w:szCs w:val="20"/>
              </w:rPr>
              <w:t xml:space="preserve"> pratitelja</w:t>
            </w:r>
          </w:p>
        </w:tc>
      </w:tr>
      <w:tr w:rsidR="00731C28" w:rsidRPr="003312E7" w14:paraId="676540CA" w14:textId="77777777" w:rsidTr="00816216">
        <w:trPr>
          <w:trHeight w:val="362"/>
        </w:trPr>
        <w:tc>
          <w:tcPr>
            <w:tcW w:w="2410" w:type="dxa"/>
            <w:shd w:val="clear" w:color="auto" w:fill="F2F2F2" w:themeFill="background1" w:themeFillShade="F2"/>
            <w:vAlign w:val="center"/>
          </w:tcPr>
          <w:p w14:paraId="267CFC27" w14:textId="77777777" w:rsidR="00731C28" w:rsidRPr="003312E7" w:rsidRDefault="00731C28" w:rsidP="00816216">
            <w:pPr>
              <w:rPr>
                <w:rFonts w:ascii="Times New Roman" w:hAnsi="Times New Roman" w:cs="Times New Roman"/>
                <w:sz w:val="20"/>
                <w:szCs w:val="20"/>
              </w:rPr>
            </w:pPr>
            <w:r w:rsidRPr="003312E7">
              <w:rPr>
                <w:rFonts w:ascii="Times New Roman" w:hAnsi="Times New Roman" w:cs="Times New Roman"/>
                <w:sz w:val="20"/>
                <w:szCs w:val="20"/>
              </w:rPr>
              <w:t>UKUPNO</w:t>
            </w:r>
          </w:p>
        </w:tc>
        <w:tc>
          <w:tcPr>
            <w:tcW w:w="1984" w:type="dxa"/>
            <w:vAlign w:val="center"/>
          </w:tcPr>
          <w:p w14:paraId="23E231DF" w14:textId="77777777" w:rsidR="00731C28" w:rsidRPr="003312E7" w:rsidRDefault="00731C28" w:rsidP="00816216">
            <w:pPr>
              <w:jc w:val="center"/>
              <w:rPr>
                <w:rFonts w:ascii="Times New Roman" w:hAnsi="Times New Roman" w:cs="Times New Roman"/>
                <w:sz w:val="20"/>
                <w:szCs w:val="20"/>
              </w:rPr>
            </w:pPr>
            <w:r w:rsidRPr="003312E7">
              <w:rPr>
                <w:rFonts w:ascii="Times New Roman" w:hAnsi="Times New Roman" w:cs="Times New Roman"/>
                <w:sz w:val="20"/>
                <w:szCs w:val="20"/>
              </w:rPr>
              <w:t>133</w:t>
            </w:r>
          </w:p>
        </w:tc>
        <w:tc>
          <w:tcPr>
            <w:tcW w:w="1985" w:type="dxa"/>
            <w:vAlign w:val="center"/>
          </w:tcPr>
          <w:p w14:paraId="379FF95A" w14:textId="77777777" w:rsidR="00731C28" w:rsidRPr="003312E7" w:rsidRDefault="00731C28" w:rsidP="00816216">
            <w:pPr>
              <w:jc w:val="right"/>
              <w:rPr>
                <w:rFonts w:ascii="Times New Roman" w:hAnsi="Times New Roman" w:cs="Times New Roman"/>
                <w:sz w:val="20"/>
                <w:szCs w:val="20"/>
              </w:rPr>
            </w:pPr>
            <w:r w:rsidRPr="003312E7">
              <w:rPr>
                <w:rFonts w:ascii="Times New Roman" w:hAnsi="Times New Roman" w:cs="Times New Roman"/>
                <w:sz w:val="20"/>
                <w:szCs w:val="20"/>
              </w:rPr>
              <w:t>48.946.761,00 kn</w:t>
            </w:r>
          </w:p>
        </w:tc>
        <w:tc>
          <w:tcPr>
            <w:tcW w:w="2693" w:type="dxa"/>
            <w:shd w:val="clear" w:color="auto" w:fill="auto"/>
          </w:tcPr>
          <w:p w14:paraId="0F2DB429" w14:textId="77777777" w:rsidR="00731C28" w:rsidRPr="003312E7" w:rsidRDefault="00731C28" w:rsidP="00816216">
            <w:pPr>
              <w:jc w:val="center"/>
              <w:rPr>
                <w:rFonts w:ascii="Times New Roman" w:hAnsi="Times New Roman" w:cs="Times New Roman"/>
                <w:sz w:val="20"/>
                <w:szCs w:val="20"/>
              </w:rPr>
            </w:pPr>
          </w:p>
        </w:tc>
      </w:tr>
      <w:bookmarkEnd w:id="192"/>
      <w:tr w:rsidR="00731C28" w:rsidRPr="0061746E" w14:paraId="6B351D6B" w14:textId="77777777" w:rsidTr="00816216">
        <w:trPr>
          <w:trHeight w:val="829"/>
        </w:trPr>
        <w:tc>
          <w:tcPr>
            <w:tcW w:w="9072" w:type="dxa"/>
            <w:gridSpan w:val="4"/>
            <w:shd w:val="clear" w:color="auto" w:fill="F2F2F2" w:themeFill="background1" w:themeFillShade="F2"/>
            <w:vAlign w:val="center"/>
          </w:tcPr>
          <w:p w14:paraId="3273728E" w14:textId="77777777" w:rsidR="00731C28" w:rsidRPr="00514374" w:rsidRDefault="00731C28" w:rsidP="00816216">
            <w:pPr>
              <w:jc w:val="center"/>
              <w:rPr>
                <w:rFonts w:ascii="Times New Roman" w:hAnsi="Times New Roman" w:cs="Times New Roman"/>
                <w:b/>
                <w:bCs/>
                <w:sz w:val="20"/>
                <w:szCs w:val="20"/>
              </w:rPr>
            </w:pPr>
            <w:r w:rsidRPr="00514374">
              <w:rPr>
                <w:rFonts w:ascii="Times New Roman" w:hAnsi="Times New Roman" w:cs="Times New Roman"/>
                <w:b/>
                <w:bCs/>
                <w:sz w:val="20"/>
                <w:szCs w:val="20"/>
              </w:rPr>
              <w:t>Ograničeni poziv za prijavu trogodišnjih programa udruga koje pružaju usluge asistencije osobama s invaliditetom u Republici Hrvatskoj (2019. - 2021. godine)</w:t>
            </w:r>
          </w:p>
          <w:p w14:paraId="11FE7E04" w14:textId="77777777" w:rsidR="00731C28" w:rsidRPr="0061746E" w:rsidRDefault="00731C28" w:rsidP="00816216">
            <w:pPr>
              <w:jc w:val="center"/>
              <w:rPr>
                <w:rFonts w:ascii="Times New Roman" w:hAnsi="Times New Roman" w:cs="Times New Roman"/>
                <w:sz w:val="20"/>
                <w:szCs w:val="20"/>
              </w:rPr>
            </w:pPr>
            <w:r w:rsidRPr="00514374">
              <w:rPr>
                <w:rFonts w:ascii="Times New Roman" w:hAnsi="Times New Roman" w:cs="Times New Roman"/>
                <w:b/>
                <w:bCs/>
                <w:sz w:val="20"/>
                <w:szCs w:val="20"/>
              </w:rPr>
              <w:t>2. godina provedbe</w:t>
            </w:r>
          </w:p>
        </w:tc>
      </w:tr>
      <w:tr w:rsidR="00731C28" w:rsidRPr="0061746E" w14:paraId="6FF4E4B0" w14:textId="77777777" w:rsidTr="00816216">
        <w:tc>
          <w:tcPr>
            <w:tcW w:w="2410" w:type="dxa"/>
            <w:shd w:val="clear" w:color="auto" w:fill="F2F2F2" w:themeFill="background1" w:themeFillShade="F2"/>
            <w:vAlign w:val="center"/>
          </w:tcPr>
          <w:p w14:paraId="6FB67406" w14:textId="77777777" w:rsidR="00731C28" w:rsidRPr="0061746E" w:rsidRDefault="00731C28" w:rsidP="00816216">
            <w:pPr>
              <w:jc w:val="center"/>
              <w:rPr>
                <w:rFonts w:ascii="Times New Roman" w:hAnsi="Times New Roman" w:cs="Times New Roman"/>
                <w:sz w:val="20"/>
                <w:szCs w:val="20"/>
              </w:rPr>
            </w:pPr>
            <w:r>
              <w:rPr>
                <w:rFonts w:ascii="Times New Roman" w:hAnsi="Times New Roman" w:cs="Times New Roman"/>
                <w:sz w:val="20"/>
                <w:szCs w:val="20"/>
              </w:rPr>
              <w:t>usluga</w:t>
            </w:r>
          </w:p>
        </w:tc>
        <w:tc>
          <w:tcPr>
            <w:tcW w:w="1984" w:type="dxa"/>
            <w:shd w:val="clear" w:color="auto" w:fill="F2F2F2" w:themeFill="background1" w:themeFillShade="F2"/>
            <w:vAlign w:val="center"/>
          </w:tcPr>
          <w:p w14:paraId="458E0895" w14:textId="77777777" w:rsidR="00731C28" w:rsidRPr="0061746E" w:rsidRDefault="00731C28" w:rsidP="00816216">
            <w:pPr>
              <w:jc w:val="center"/>
              <w:rPr>
                <w:rFonts w:ascii="Times New Roman" w:hAnsi="Times New Roman" w:cs="Times New Roman"/>
                <w:sz w:val="20"/>
                <w:szCs w:val="20"/>
              </w:rPr>
            </w:pPr>
            <w:r>
              <w:rPr>
                <w:rFonts w:ascii="Times New Roman" w:hAnsi="Times New Roman" w:cs="Times New Roman"/>
                <w:sz w:val="20"/>
                <w:szCs w:val="20"/>
              </w:rPr>
              <w:t>b</w:t>
            </w:r>
            <w:r w:rsidRPr="0061746E">
              <w:rPr>
                <w:rFonts w:ascii="Times New Roman" w:hAnsi="Times New Roman" w:cs="Times New Roman"/>
                <w:sz w:val="20"/>
                <w:szCs w:val="20"/>
              </w:rPr>
              <w:t>roj organizacija civilnog društva /udruga</w:t>
            </w:r>
          </w:p>
        </w:tc>
        <w:tc>
          <w:tcPr>
            <w:tcW w:w="1985" w:type="dxa"/>
            <w:shd w:val="clear" w:color="auto" w:fill="F2F2F2" w:themeFill="background1" w:themeFillShade="F2"/>
            <w:vAlign w:val="center"/>
          </w:tcPr>
          <w:p w14:paraId="74EC2673" w14:textId="77777777" w:rsidR="00731C28" w:rsidRPr="0061746E" w:rsidRDefault="00731C28" w:rsidP="00816216">
            <w:pPr>
              <w:jc w:val="center"/>
              <w:rPr>
                <w:rFonts w:ascii="Times New Roman" w:hAnsi="Times New Roman" w:cs="Times New Roman"/>
                <w:sz w:val="20"/>
                <w:szCs w:val="20"/>
              </w:rPr>
            </w:pPr>
            <w:r>
              <w:rPr>
                <w:rFonts w:ascii="Times New Roman" w:hAnsi="Times New Roman" w:cs="Times New Roman"/>
                <w:sz w:val="20"/>
                <w:szCs w:val="20"/>
              </w:rPr>
              <w:t>i</w:t>
            </w:r>
            <w:r w:rsidRPr="0061746E">
              <w:rPr>
                <w:rFonts w:ascii="Times New Roman" w:hAnsi="Times New Roman" w:cs="Times New Roman"/>
                <w:sz w:val="20"/>
                <w:szCs w:val="20"/>
              </w:rPr>
              <w:t>znos sredstava</w:t>
            </w:r>
          </w:p>
        </w:tc>
        <w:tc>
          <w:tcPr>
            <w:tcW w:w="2693" w:type="dxa"/>
            <w:shd w:val="clear" w:color="auto" w:fill="F2F2F2" w:themeFill="background1" w:themeFillShade="F2"/>
            <w:vAlign w:val="center"/>
          </w:tcPr>
          <w:p w14:paraId="228C0051" w14:textId="77777777" w:rsidR="00731C28" w:rsidRPr="0061746E" w:rsidRDefault="00731C28" w:rsidP="00816216">
            <w:pPr>
              <w:jc w:val="center"/>
              <w:rPr>
                <w:rFonts w:ascii="Times New Roman" w:hAnsi="Times New Roman" w:cs="Times New Roman"/>
                <w:sz w:val="20"/>
                <w:szCs w:val="20"/>
              </w:rPr>
            </w:pPr>
            <w:r>
              <w:rPr>
                <w:rFonts w:ascii="Times New Roman" w:hAnsi="Times New Roman" w:cs="Times New Roman"/>
                <w:sz w:val="20"/>
                <w:szCs w:val="20"/>
              </w:rPr>
              <w:t>u</w:t>
            </w:r>
            <w:r w:rsidRPr="0061746E">
              <w:rPr>
                <w:rFonts w:ascii="Times New Roman" w:hAnsi="Times New Roman" w:cs="Times New Roman"/>
                <w:sz w:val="20"/>
                <w:szCs w:val="20"/>
              </w:rPr>
              <w:t xml:space="preserve"> 2020. godini</w:t>
            </w:r>
          </w:p>
        </w:tc>
      </w:tr>
      <w:tr w:rsidR="00731C28" w:rsidRPr="0061746E" w14:paraId="18F3440E" w14:textId="77777777" w:rsidTr="00816216">
        <w:tc>
          <w:tcPr>
            <w:tcW w:w="2410" w:type="dxa"/>
            <w:shd w:val="clear" w:color="auto" w:fill="F2F2F2" w:themeFill="background1" w:themeFillShade="F2"/>
            <w:vAlign w:val="center"/>
          </w:tcPr>
          <w:p w14:paraId="20F615CC" w14:textId="77777777" w:rsidR="00731C28" w:rsidRPr="0061746E" w:rsidRDefault="00731C28" w:rsidP="00816216">
            <w:pPr>
              <w:rPr>
                <w:rFonts w:ascii="Times New Roman" w:hAnsi="Times New Roman" w:cs="Times New Roman"/>
                <w:sz w:val="20"/>
                <w:szCs w:val="20"/>
              </w:rPr>
            </w:pPr>
            <w:r w:rsidRPr="0061746E">
              <w:rPr>
                <w:rFonts w:ascii="Times New Roman" w:hAnsi="Times New Roman" w:cs="Times New Roman"/>
                <w:sz w:val="20"/>
                <w:szCs w:val="20"/>
              </w:rPr>
              <w:lastRenderedPageBreak/>
              <w:t>uslug</w:t>
            </w:r>
            <w:r>
              <w:rPr>
                <w:rFonts w:ascii="Times New Roman" w:hAnsi="Times New Roman" w:cs="Times New Roman"/>
                <w:sz w:val="20"/>
                <w:szCs w:val="20"/>
              </w:rPr>
              <w:t>a</w:t>
            </w:r>
            <w:r w:rsidRPr="0061746E">
              <w:rPr>
                <w:rFonts w:ascii="Times New Roman" w:hAnsi="Times New Roman" w:cs="Times New Roman"/>
                <w:sz w:val="20"/>
                <w:szCs w:val="20"/>
              </w:rPr>
              <w:t xml:space="preserve"> osobne asistencije</w:t>
            </w:r>
          </w:p>
        </w:tc>
        <w:tc>
          <w:tcPr>
            <w:tcW w:w="1984" w:type="dxa"/>
            <w:vAlign w:val="center"/>
          </w:tcPr>
          <w:p w14:paraId="1BAEEF48" w14:textId="77777777" w:rsidR="00731C28" w:rsidRPr="0061746E" w:rsidRDefault="00731C28" w:rsidP="00816216">
            <w:pPr>
              <w:jc w:val="center"/>
              <w:rPr>
                <w:rFonts w:ascii="Times New Roman" w:hAnsi="Times New Roman" w:cs="Times New Roman"/>
                <w:sz w:val="20"/>
                <w:szCs w:val="20"/>
              </w:rPr>
            </w:pPr>
            <w:r w:rsidRPr="0061746E">
              <w:rPr>
                <w:rFonts w:ascii="Times New Roman" w:hAnsi="Times New Roman" w:cs="Times New Roman"/>
                <w:sz w:val="20"/>
                <w:szCs w:val="20"/>
              </w:rPr>
              <w:t>79</w:t>
            </w:r>
          </w:p>
        </w:tc>
        <w:tc>
          <w:tcPr>
            <w:tcW w:w="1985" w:type="dxa"/>
            <w:vAlign w:val="center"/>
          </w:tcPr>
          <w:p w14:paraId="211E4B2A" w14:textId="77777777" w:rsidR="00731C28" w:rsidRPr="0061746E" w:rsidRDefault="00731C28" w:rsidP="00816216">
            <w:pPr>
              <w:jc w:val="right"/>
              <w:rPr>
                <w:rFonts w:ascii="Times New Roman" w:hAnsi="Times New Roman" w:cs="Times New Roman"/>
                <w:sz w:val="20"/>
                <w:szCs w:val="20"/>
              </w:rPr>
            </w:pPr>
            <w:r w:rsidRPr="0061746E">
              <w:rPr>
                <w:rFonts w:ascii="Times New Roman" w:hAnsi="Times New Roman" w:cs="Times New Roman"/>
                <w:sz w:val="20"/>
                <w:szCs w:val="20"/>
              </w:rPr>
              <w:t>46.747.685,00 kn</w:t>
            </w:r>
          </w:p>
        </w:tc>
        <w:tc>
          <w:tcPr>
            <w:tcW w:w="2693" w:type="dxa"/>
            <w:vAlign w:val="center"/>
          </w:tcPr>
          <w:p w14:paraId="223651F7" w14:textId="77777777" w:rsidR="00731C28" w:rsidRPr="0061746E" w:rsidRDefault="00731C28" w:rsidP="00816216">
            <w:pPr>
              <w:jc w:val="center"/>
              <w:rPr>
                <w:rFonts w:ascii="Times New Roman" w:hAnsi="Times New Roman" w:cs="Times New Roman"/>
                <w:sz w:val="20"/>
                <w:szCs w:val="20"/>
              </w:rPr>
            </w:pPr>
            <w:r w:rsidRPr="0061746E">
              <w:rPr>
                <w:rFonts w:ascii="Times New Roman" w:hAnsi="Times New Roman" w:cs="Times New Roman"/>
                <w:sz w:val="20"/>
                <w:szCs w:val="20"/>
              </w:rPr>
              <w:t>pružena je usluga osobn</w:t>
            </w:r>
            <w:r>
              <w:rPr>
                <w:rFonts w:ascii="Times New Roman" w:hAnsi="Times New Roman" w:cs="Times New Roman"/>
                <w:sz w:val="20"/>
                <w:szCs w:val="20"/>
              </w:rPr>
              <w:t>e</w:t>
            </w:r>
            <w:r w:rsidRPr="0061746E">
              <w:rPr>
                <w:rFonts w:ascii="Times New Roman" w:hAnsi="Times New Roman" w:cs="Times New Roman"/>
                <w:sz w:val="20"/>
                <w:szCs w:val="20"/>
              </w:rPr>
              <w:t xml:space="preserve"> asisten</w:t>
            </w:r>
            <w:r>
              <w:rPr>
                <w:rFonts w:ascii="Times New Roman" w:hAnsi="Times New Roman" w:cs="Times New Roman"/>
                <w:sz w:val="20"/>
                <w:szCs w:val="20"/>
              </w:rPr>
              <w:t>cije</w:t>
            </w:r>
            <w:r w:rsidRPr="0061746E">
              <w:rPr>
                <w:rFonts w:ascii="Times New Roman" w:hAnsi="Times New Roman" w:cs="Times New Roman"/>
                <w:sz w:val="20"/>
                <w:szCs w:val="20"/>
              </w:rPr>
              <w:t xml:space="preserve"> za 773 korisnika</w:t>
            </w:r>
          </w:p>
        </w:tc>
      </w:tr>
      <w:tr w:rsidR="00731C28" w:rsidRPr="0061746E" w14:paraId="47D6794F" w14:textId="77777777" w:rsidTr="00816216">
        <w:tc>
          <w:tcPr>
            <w:tcW w:w="2410" w:type="dxa"/>
            <w:shd w:val="clear" w:color="auto" w:fill="F2F2F2" w:themeFill="background1" w:themeFillShade="F2"/>
            <w:vAlign w:val="center"/>
          </w:tcPr>
          <w:p w14:paraId="47867FF6" w14:textId="77777777" w:rsidR="00731C28" w:rsidRPr="0061746E" w:rsidRDefault="00731C28" w:rsidP="00816216">
            <w:pPr>
              <w:rPr>
                <w:rFonts w:ascii="Times New Roman" w:hAnsi="Times New Roman" w:cs="Times New Roman"/>
                <w:sz w:val="20"/>
                <w:szCs w:val="20"/>
              </w:rPr>
            </w:pPr>
            <w:r w:rsidRPr="0061746E">
              <w:rPr>
                <w:rFonts w:ascii="Times New Roman" w:hAnsi="Times New Roman" w:cs="Times New Roman"/>
                <w:sz w:val="20"/>
                <w:szCs w:val="20"/>
              </w:rPr>
              <w:t>uslug</w:t>
            </w:r>
            <w:r>
              <w:rPr>
                <w:rFonts w:ascii="Times New Roman" w:hAnsi="Times New Roman" w:cs="Times New Roman"/>
                <w:sz w:val="20"/>
                <w:szCs w:val="20"/>
              </w:rPr>
              <w:t>a</w:t>
            </w:r>
            <w:r w:rsidRPr="0061746E">
              <w:rPr>
                <w:rFonts w:ascii="Times New Roman" w:hAnsi="Times New Roman" w:cs="Times New Roman"/>
                <w:sz w:val="20"/>
                <w:szCs w:val="20"/>
              </w:rPr>
              <w:t xml:space="preserve"> tumača znakovnog jezika</w:t>
            </w:r>
          </w:p>
        </w:tc>
        <w:tc>
          <w:tcPr>
            <w:tcW w:w="1984" w:type="dxa"/>
            <w:vAlign w:val="center"/>
          </w:tcPr>
          <w:p w14:paraId="0DE7E706" w14:textId="77777777" w:rsidR="00731C28" w:rsidRPr="0061746E" w:rsidRDefault="00731C28" w:rsidP="00816216">
            <w:pPr>
              <w:jc w:val="center"/>
              <w:rPr>
                <w:rFonts w:ascii="Times New Roman" w:hAnsi="Times New Roman" w:cs="Times New Roman"/>
                <w:sz w:val="20"/>
                <w:szCs w:val="20"/>
              </w:rPr>
            </w:pPr>
            <w:r w:rsidRPr="0061746E">
              <w:rPr>
                <w:rFonts w:ascii="Times New Roman" w:hAnsi="Times New Roman" w:cs="Times New Roman"/>
                <w:sz w:val="20"/>
                <w:szCs w:val="20"/>
              </w:rPr>
              <w:t>29</w:t>
            </w:r>
          </w:p>
        </w:tc>
        <w:tc>
          <w:tcPr>
            <w:tcW w:w="1985" w:type="dxa"/>
            <w:vAlign w:val="center"/>
          </w:tcPr>
          <w:p w14:paraId="14967ED0" w14:textId="77777777" w:rsidR="00731C28" w:rsidRPr="0061746E" w:rsidRDefault="00731C28" w:rsidP="00816216">
            <w:pPr>
              <w:jc w:val="right"/>
              <w:rPr>
                <w:rFonts w:ascii="Times New Roman" w:hAnsi="Times New Roman" w:cs="Times New Roman"/>
                <w:sz w:val="20"/>
                <w:szCs w:val="20"/>
              </w:rPr>
            </w:pPr>
            <w:r w:rsidRPr="0061746E">
              <w:rPr>
                <w:rFonts w:ascii="Times New Roman" w:hAnsi="Times New Roman" w:cs="Times New Roman"/>
                <w:sz w:val="20"/>
                <w:szCs w:val="20"/>
              </w:rPr>
              <w:t>5.797.437,00 kn</w:t>
            </w:r>
          </w:p>
        </w:tc>
        <w:tc>
          <w:tcPr>
            <w:tcW w:w="2693" w:type="dxa"/>
            <w:vAlign w:val="center"/>
          </w:tcPr>
          <w:p w14:paraId="6C8BBCCA" w14:textId="77777777" w:rsidR="00731C28" w:rsidRPr="0061746E" w:rsidRDefault="00731C28" w:rsidP="00816216">
            <w:pPr>
              <w:jc w:val="center"/>
              <w:rPr>
                <w:rFonts w:ascii="Times New Roman" w:hAnsi="Times New Roman" w:cs="Times New Roman"/>
                <w:sz w:val="20"/>
                <w:szCs w:val="20"/>
              </w:rPr>
            </w:pPr>
            <w:r w:rsidRPr="0061746E">
              <w:rPr>
                <w:rFonts w:ascii="Times New Roman" w:hAnsi="Times New Roman" w:cs="Times New Roman"/>
                <w:sz w:val="20"/>
                <w:szCs w:val="20"/>
              </w:rPr>
              <w:t>zaposlen</w:t>
            </w:r>
            <w:r>
              <w:rPr>
                <w:rFonts w:ascii="Times New Roman" w:hAnsi="Times New Roman" w:cs="Times New Roman"/>
                <w:sz w:val="20"/>
                <w:szCs w:val="20"/>
              </w:rPr>
              <w:t>o</w:t>
            </w:r>
            <w:r w:rsidRPr="0061746E">
              <w:rPr>
                <w:rFonts w:ascii="Times New Roman" w:hAnsi="Times New Roman" w:cs="Times New Roman"/>
                <w:sz w:val="20"/>
                <w:szCs w:val="20"/>
              </w:rPr>
              <w:t xml:space="preserve"> je 70 tumač</w:t>
            </w:r>
            <w:r>
              <w:rPr>
                <w:rFonts w:ascii="Times New Roman" w:hAnsi="Times New Roman" w:cs="Times New Roman"/>
                <w:sz w:val="20"/>
                <w:szCs w:val="20"/>
              </w:rPr>
              <w:t>a/</w:t>
            </w:r>
            <w:r w:rsidRPr="0061746E">
              <w:rPr>
                <w:rFonts w:ascii="Times New Roman" w:hAnsi="Times New Roman" w:cs="Times New Roman"/>
                <w:sz w:val="20"/>
                <w:szCs w:val="20"/>
              </w:rPr>
              <w:t>prevoditelj</w:t>
            </w:r>
            <w:r>
              <w:rPr>
                <w:rFonts w:ascii="Times New Roman" w:hAnsi="Times New Roman" w:cs="Times New Roman"/>
                <w:sz w:val="20"/>
                <w:szCs w:val="20"/>
              </w:rPr>
              <w:t>a</w:t>
            </w:r>
          </w:p>
        </w:tc>
      </w:tr>
      <w:tr w:rsidR="00731C28" w:rsidRPr="0061746E" w14:paraId="61130E8D" w14:textId="77777777" w:rsidTr="00816216">
        <w:tc>
          <w:tcPr>
            <w:tcW w:w="2410" w:type="dxa"/>
            <w:shd w:val="clear" w:color="auto" w:fill="F2F2F2" w:themeFill="background1" w:themeFillShade="F2"/>
            <w:vAlign w:val="center"/>
          </w:tcPr>
          <w:p w14:paraId="09F8A325" w14:textId="77777777" w:rsidR="00731C28" w:rsidRPr="0061746E" w:rsidRDefault="00731C28" w:rsidP="00816216">
            <w:pPr>
              <w:rPr>
                <w:rFonts w:ascii="Times New Roman" w:hAnsi="Times New Roman" w:cs="Times New Roman"/>
                <w:sz w:val="20"/>
                <w:szCs w:val="20"/>
              </w:rPr>
            </w:pPr>
            <w:r w:rsidRPr="0061746E">
              <w:rPr>
                <w:rFonts w:ascii="Times New Roman" w:hAnsi="Times New Roman" w:cs="Times New Roman"/>
                <w:sz w:val="20"/>
                <w:szCs w:val="20"/>
              </w:rPr>
              <w:t>uslug</w:t>
            </w:r>
            <w:r>
              <w:rPr>
                <w:rFonts w:ascii="Times New Roman" w:hAnsi="Times New Roman" w:cs="Times New Roman"/>
                <w:sz w:val="20"/>
                <w:szCs w:val="20"/>
              </w:rPr>
              <w:t>a</w:t>
            </w:r>
            <w:r w:rsidRPr="0061746E">
              <w:rPr>
                <w:rFonts w:ascii="Times New Roman" w:hAnsi="Times New Roman" w:cs="Times New Roman"/>
                <w:sz w:val="20"/>
                <w:szCs w:val="20"/>
              </w:rPr>
              <w:t xml:space="preserve"> </w:t>
            </w:r>
            <w:proofErr w:type="spellStart"/>
            <w:r w:rsidRPr="0061746E">
              <w:rPr>
                <w:rFonts w:ascii="Times New Roman" w:hAnsi="Times New Roman" w:cs="Times New Roman"/>
                <w:sz w:val="20"/>
                <w:szCs w:val="20"/>
              </w:rPr>
              <w:t>videćeg</w:t>
            </w:r>
            <w:proofErr w:type="spellEnd"/>
            <w:r w:rsidRPr="0061746E">
              <w:rPr>
                <w:rFonts w:ascii="Times New Roman" w:hAnsi="Times New Roman" w:cs="Times New Roman"/>
                <w:sz w:val="20"/>
                <w:szCs w:val="20"/>
              </w:rPr>
              <w:t xml:space="preserve"> pratitelja</w:t>
            </w:r>
          </w:p>
        </w:tc>
        <w:tc>
          <w:tcPr>
            <w:tcW w:w="1984" w:type="dxa"/>
            <w:vAlign w:val="center"/>
          </w:tcPr>
          <w:p w14:paraId="229774F2" w14:textId="77777777" w:rsidR="00731C28" w:rsidRPr="0061746E" w:rsidRDefault="00731C28" w:rsidP="00816216">
            <w:pPr>
              <w:jc w:val="center"/>
              <w:rPr>
                <w:rFonts w:ascii="Times New Roman" w:hAnsi="Times New Roman" w:cs="Times New Roman"/>
                <w:sz w:val="20"/>
                <w:szCs w:val="20"/>
              </w:rPr>
            </w:pPr>
            <w:r w:rsidRPr="0061746E">
              <w:rPr>
                <w:rFonts w:ascii="Times New Roman" w:hAnsi="Times New Roman" w:cs="Times New Roman"/>
                <w:sz w:val="20"/>
                <w:szCs w:val="20"/>
              </w:rPr>
              <w:t>23</w:t>
            </w:r>
          </w:p>
        </w:tc>
        <w:tc>
          <w:tcPr>
            <w:tcW w:w="1985" w:type="dxa"/>
            <w:vAlign w:val="center"/>
          </w:tcPr>
          <w:p w14:paraId="276E2BBA" w14:textId="77777777" w:rsidR="00731C28" w:rsidRPr="0061746E" w:rsidRDefault="00731C28" w:rsidP="00816216">
            <w:pPr>
              <w:jc w:val="right"/>
              <w:rPr>
                <w:rFonts w:ascii="Times New Roman" w:hAnsi="Times New Roman" w:cs="Times New Roman"/>
                <w:sz w:val="20"/>
                <w:szCs w:val="20"/>
              </w:rPr>
            </w:pPr>
            <w:r w:rsidRPr="0061746E">
              <w:rPr>
                <w:rFonts w:ascii="Times New Roman" w:hAnsi="Times New Roman" w:cs="Times New Roman"/>
                <w:sz w:val="20"/>
                <w:szCs w:val="20"/>
              </w:rPr>
              <w:t>2.593.193,00 kn</w:t>
            </w:r>
          </w:p>
        </w:tc>
        <w:tc>
          <w:tcPr>
            <w:tcW w:w="2693" w:type="dxa"/>
            <w:vAlign w:val="center"/>
          </w:tcPr>
          <w:p w14:paraId="489040CF" w14:textId="77777777" w:rsidR="00731C28" w:rsidRPr="0061746E" w:rsidRDefault="00731C28" w:rsidP="00816216">
            <w:pPr>
              <w:jc w:val="center"/>
              <w:rPr>
                <w:rFonts w:ascii="Times New Roman" w:hAnsi="Times New Roman" w:cs="Times New Roman"/>
                <w:sz w:val="20"/>
                <w:szCs w:val="20"/>
              </w:rPr>
            </w:pPr>
            <w:r>
              <w:rPr>
                <w:rFonts w:ascii="Times New Roman" w:hAnsi="Times New Roman" w:cs="Times New Roman"/>
                <w:sz w:val="20"/>
                <w:szCs w:val="20"/>
              </w:rPr>
              <w:t>z</w:t>
            </w:r>
            <w:r w:rsidRPr="0061746E">
              <w:rPr>
                <w:rFonts w:ascii="Times New Roman" w:hAnsi="Times New Roman" w:cs="Times New Roman"/>
                <w:sz w:val="20"/>
                <w:szCs w:val="20"/>
              </w:rPr>
              <w:t>aposlena</w:t>
            </w:r>
            <w:r>
              <w:rPr>
                <w:rFonts w:ascii="Times New Roman" w:hAnsi="Times New Roman" w:cs="Times New Roman"/>
                <w:sz w:val="20"/>
                <w:szCs w:val="20"/>
              </w:rPr>
              <w:t xml:space="preserve"> su</w:t>
            </w:r>
            <w:r w:rsidRPr="0061746E">
              <w:rPr>
                <w:rFonts w:ascii="Times New Roman" w:hAnsi="Times New Roman" w:cs="Times New Roman"/>
                <w:sz w:val="20"/>
                <w:szCs w:val="20"/>
              </w:rPr>
              <w:t xml:space="preserve"> 23 </w:t>
            </w:r>
            <w:proofErr w:type="spellStart"/>
            <w:r w:rsidRPr="0061746E">
              <w:rPr>
                <w:rFonts w:ascii="Times New Roman" w:hAnsi="Times New Roman" w:cs="Times New Roman"/>
                <w:sz w:val="20"/>
                <w:szCs w:val="20"/>
              </w:rPr>
              <w:t>videća</w:t>
            </w:r>
            <w:proofErr w:type="spellEnd"/>
            <w:r w:rsidRPr="0061746E">
              <w:rPr>
                <w:rFonts w:ascii="Times New Roman" w:hAnsi="Times New Roman" w:cs="Times New Roman"/>
                <w:sz w:val="20"/>
                <w:szCs w:val="20"/>
              </w:rPr>
              <w:t xml:space="preserve"> pratitelja</w:t>
            </w:r>
          </w:p>
        </w:tc>
      </w:tr>
      <w:tr w:rsidR="00731C28" w:rsidRPr="0061746E" w14:paraId="31C589D9" w14:textId="77777777" w:rsidTr="00816216">
        <w:trPr>
          <w:trHeight w:val="300"/>
        </w:trPr>
        <w:tc>
          <w:tcPr>
            <w:tcW w:w="2410" w:type="dxa"/>
            <w:shd w:val="clear" w:color="auto" w:fill="F2F2F2" w:themeFill="background1" w:themeFillShade="F2"/>
          </w:tcPr>
          <w:p w14:paraId="332230C2" w14:textId="77777777" w:rsidR="00731C28" w:rsidRPr="0061746E" w:rsidRDefault="00731C28" w:rsidP="00816216">
            <w:pPr>
              <w:rPr>
                <w:rFonts w:ascii="Times New Roman" w:hAnsi="Times New Roman" w:cs="Times New Roman"/>
                <w:sz w:val="20"/>
                <w:szCs w:val="20"/>
              </w:rPr>
            </w:pPr>
            <w:r w:rsidRPr="0061746E">
              <w:rPr>
                <w:rFonts w:ascii="Times New Roman" w:hAnsi="Times New Roman" w:cs="Times New Roman"/>
                <w:sz w:val="20"/>
                <w:szCs w:val="20"/>
              </w:rPr>
              <w:t>UKUPNO</w:t>
            </w:r>
          </w:p>
        </w:tc>
        <w:tc>
          <w:tcPr>
            <w:tcW w:w="1984" w:type="dxa"/>
          </w:tcPr>
          <w:p w14:paraId="41B54DC8" w14:textId="77777777" w:rsidR="00731C28" w:rsidRPr="0061746E" w:rsidRDefault="00731C28" w:rsidP="00816216">
            <w:pPr>
              <w:jc w:val="center"/>
              <w:rPr>
                <w:rFonts w:ascii="Times New Roman" w:hAnsi="Times New Roman" w:cs="Times New Roman"/>
                <w:sz w:val="20"/>
                <w:szCs w:val="20"/>
              </w:rPr>
            </w:pPr>
            <w:r w:rsidRPr="0061746E">
              <w:rPr>
                <w:rFonts w:ascii="Times New Roman" w:hAnsi="Times New Roman" w:cs="Times New Roman"/>
                <w:sz w:val="20"/>
                <w:szCs w:val="20"/>
              </w:rPr>
              <w:t>131</w:t>
            </w:r>
          </w:p>
        </w:tc>
        <w:tc>
          <w:tcPr>
            <w:tcW w:w="1985" w:type="dxa"/>
          </w:tcPr>
          <w:p w14:paraId="6375BA2F" w14:textId="77777777" w:rsidR="00731C28" w:rsidRPr="003312E7" w:rsidRDefault="00731C28" w:rsidP="00816216">
            <w:pPr>
              <w:jc w:val="right"/>
              <w:rPr>
                <w:rFonts w:ascii="Times New Roman" w:hAnsi="Times New Roman" w:cs="Times New Roman"/>
                <w:sz w:val="20"/>
                <w:szCs w:val="20"/>
              </w:rPr>
            </w:pPr>
            <w:r w:rsidRPr="003312E7">
              <w:rPr>
                <w:rFonts w:ascii="Times New Roman" w:hAnsi="Times New Roman" w:cs="Times New Roman"/>
                <w:sz w:val="20"/>
                <w:szCs w:val="20"/>
              </w:rPr>
              <w:t>55.138.315,00 kn</w:t>
            </w:r>
          </w:p>
        </w:tc>
        <w:tc>
          <w:tcPr>
            <w:tcW w:w="2693" w:type="dxa"/>
            <w:shd w:val="clear" w:color="auto" w:fill="auto"/>
          </w:tcPr>
          <w:p w14:paraId="367496AF" w14:textId="77777777" w:rsidR="00731C28" w:rsidRPr="0061746E" w:rsidRDefault="00731C28" w:rsidP="00816216">
            <w:pPr>
              <w:jc w:val="center"/>
              <w:rPr>
                <w:rFonts w:ascii="Times New Roman" w:hAnsi="Times New Roman" w:cs="Times New Roman"/>
                <w:sz w:val="20"/>
                <w:szCs w:val="20"/>
              </w:rPr>
            </w:pPr>
          </w:p>
        </w:tc>
      </w:tr>
      <w:bookmarkEnd w:id="193"/>
    </w:tbl>
    <w:p w14:paraId="549D3424" w14:textId="77777777" w:rsidR="00731C28" w:rsidRPr="007434C8" w:rsidRDefault="00731C28" w:rsidP="00731C28">
      <w:pPr>
        <w:spacing w:line="240" w:lineRule="auto"/>
        <w:jc w:val="both"/>
        <w:rPr>
          <w:rFonts w:ascii="Times New Roman" w:hAnsi="Times New Roman" w:cs="Times New Roman"/>
          <w:sz w:val="24"/>
          <w:szCs w:val="24"/>
        </w:rPr>
      </w:pPr>
    </w:p>
    <w:tbl>
      <w:tblPr>
        <w:tblStyle w:val="Reetkatablice"/>
        <w:tblW w:w="9072" w:type="dxa"/>
        <w:tblInd w:w="24" w:type="dxa"/>
        <w:tblLayout w:type="fixed"/>
        <w:tblLook w:val="04A0" w:firstRow="1" w:lastRow="0" w:firstColumn="1" w:lastColumn="0" w:noHBand="0" w:noVBand="1"/>
      </w:tblPr>
      <w:tblGrid>
        <w:gridCol w:w="2410"/>
        <w:gridCol w:w="1984"/>
        <w:gridCol w:w="1985"/>
        <w:gridCol w:w="2693"/>
      </w:tblGrid>
      <w:tr w:rsidR="00731C28" w:rsidRPr="0061746E" w14:paraId="3B337EE2" w14:textId="77777777" w:rsidTr="00816216">
        <w:trPr>
          <w:trHeight w:val="771"/>
        </w:trPr>
        <w:tc>
          <w:tcPr>
            <w:tcW w:w="9072" w:type="dxa"/>
            <w:gridSpan w:val="4"/>
            <w:shd w:val="clear" w:color="auto" w:fill="F2F2F2" w:themeFill="background1" w:themeFillShade="F2"/>
            <w:vAlign w:val="center"/>
          </w:tcPr>
          <w:p w14:paraId="2DE63E32" w14:textId="77777777" w:rsidR="00731C28" w:rsidRPr="003312E7" w:rsidRDefault="00731C28" w:rsidP="00816216">
            <w:pPr>
              <w:jc w:val="center"/>
              <w:rPr>
                <w:rFonts w:ascii="Times New Roman" w:hAnsi="Times New Roman" w:cs="Times New Roman"/>
                <w:b/>
                <w:bCs/>
                <w:sz w:val="20"/>
                <w:szCs w:val="20"/>
              </w:rPr>
            </w:pPr>
            <w:r w:rsidRPr="003312E7">
              <w:rPr>
                <w:rFonts w:ascii="Times New Roman" w:hAnsi="Times New Roman" w:cs="Times New Roman"/>
                <w:b/>
                <w:bCs/>
                <w:sz w:val="20"/>
                <w:szCs w:val="20"/>
              </w:rPr>
              <w:t>ESF, Operativni program „Učinkoviti ljudski potencijali 2014.-2020.“</w:t>
            </w:r>
          </w:p>
          <w:p w14:paraId="74ECCAF8" w14:textId="77777777" w:rsidR="00731C28" w:rsidRPr="0061746E" w:rsidRDefault="00731C28" w:rsidP="00816216">
            <w:pPr>
              <w:jc w:val="center"/>
              <w:rPr>
                <w:rFonts w:ascii="Times New Roman" w:hAnsi="Times New Roman" w:cs="Times New Roman"/>
                <w:sz w:val="20"/>
                <w:szCs w:val="20"/>
              </w:rPr>
            </w:pPr>
            <w:r w:rsidRPr="003312E7">
              <w:rPr>
                <w:rFonts w:ascii="Times New Roman" w:hAnsi="Times New Roman" w:cs="Times New Roman"/>
                <w:b/>
                <w:bCs/>
                <w:sz w:val="20"/>
                <w:szCs w:val="20"/>
              </w:rPr>
              <w:t>Razvoj usluge osobne asistencije za osobe s invaliditetom - Faza I</w:t>
            </w:r>
          </w:p>
        </w:tc>
      </w:tr>
      <w:tr w:rsidR="00731C28" w:rsidRPr="0061746E" w14:paraId="0F46BEFC" w14:textId="77777777" w:rsidTr="00816216">
        <w:tc>
          <w:tcPr>
            <w:tcW w:w="2410" w:type="dxa"/>
            <w:shd w:val="clear" w:color="auto" w:fill="F2F2F2" w:themeFill="background1" w:themeFillShade="F2"/>
            <w:vAlign w:val="center"/>
          </w:tcPr>
          <w:p w14:paraId="4197886E" w14:textId="77777777" w:rsidR="00731C28" w:rsidRPr="0061746E" w:rsidRDefault="00731C28" w:rsidP="00816216">
            <w:pPr>
              <w:jc w:val="center"/>
              <w:rPr>
                <w:rFonts w:ascii="Times New Roman" w:hAnsi="Times New Roman" w:cs="Times New Roman"/>
                <w:sz w:val="20"/>
                <w:szCs w:val="20"/>
              </w:rPr>
            </w:pPr>
            <w:r>
              <w:rPr>
                <w:rFonts w:ascii="Times New Roman" w:hAnsi="Times New Roman" w:cs="Times New Roman"/>
                <w:sz w:val="20"/>
                <w:szCs w:val="20"/>
              </w:rPr>
              <w:t>usluga</w:t>
            </w:r>
          </w:p>
        </w:tc>
        <w:tc>
          <w:tcPr>
            <w:tcW w:w="1984" w:type="dxa"/>
            <w:shd w:val="clear" w:color="auto" w:fill="F2F2F2" w:themeFill="background1" w:themeFillShade="F2"/>
            <w:vAlign w:val="center"/>
          </w:tcPr>
          <w:p w14:paraId="6D59C61D" w14:textId="77777777" w:rsidR="00731C28" w:rsidRPr="0061746E" w:rsidRDefault="00731C28" w:rsidP="00816216">
            <w:pPr>
              <w:jc w:val="center"/>
              <w:rPr>
                <w:rFonts w:ascii="Times New Roman" w:hAnsi="Times New Roman" w:cs="Times New Roman"/>
                <w:sz w:val="20"/>
                <w:szCs w:val="20"/>
              </w:rPr>
            </w:pPr>
            <w:r>
              <w:rPr>
                <w:rFonts w:ascii="Times New Roman" w:hAnsi="Times New Roman" w:cs="Times New Roman"/>
                <w:sz w:val="20"/>
                <w:szCs w:val="20"/>
              </w:rPr>
              <w:t>b</w:t>
            </w:r>
            <w:r w:rsidRPr="0061746E">
              <w:rPr>
                <w:rFonts w:ascii="Times New Roman" w:hAnsi="Times New Roman" w:cs="Times New Roman"/>
                <w:sz w:val="20"/>
                <w:szCs w:val="20"/>
              </w:rPr>
              <w:t>roj organizacija civilnog društva /udruga</w:t>
            </w:r>
          </w:p>
        </w:tc>
        <w:tc>
          <w:tcPr>
            <w:tcW w:w="1985" w:type="dxa"/>
            <w:shd w:val="clear" w:color="auto" w:fill="F2F2F2" w:themeFill="background1" w:themeFillShade="F2"/>
            <w:vAlign w:val="center"/>
          </w:tcPr>
          <w:p w14:paraId="281244CB" w14:textId="77777777" w:rsidR="00731C28" w:rsidRPr="0061746E" w:rsidRDefault="00731C28" w:rsidP="00816216">
            <w:pPr>
              <w:jc w:val="center"/>
              <w:rPr>
                <w:rFonts w:ascii="Times New Roman" w:hAnsi="Times New Roman" w:cs="Times New Roman"/>
                <w:sz w:val="20"/>
                <w:szCs w:val="20"/>
              </w:rPr>
            </w:pPr>
            <w:r>
              <w:rPr>
                <w:rFonts w:ascii="Times New Roman" w:hAnsi="Times New Roman" w:cs="Times New Roman"/>
                <w:sz w:val="20"/>
                <w:szCs w:val="20"/>
              </w:rPr>
              <w:t>iz</w:t>
            </w:r>
            <w:r w:rsidRPr="0061746E">
              <w:rPr>
                <w:rFonts w:ascii="Times New Roman" w:hAnsi="Times New Roman" w:cs="Times New Roman"/>
                <w:sz w:val="20"/>
                <w:szCs w:val="20"/>
              </w:rPr>
              <w:t>nos sredstava</w:t>
            </w:r>
          </w:p>
        </w:tc>
        <w:tc>
          <w:tcPr>
            <w:tcW w:w="2693" w:type="dxa"/>
            <w:shd w:val="clear" w:color="auto" w:fill="F2F2F2" w:themeFill="background1" w:themeFillShade="F2"/>
            <w:vAlign w:val="center"/>
          </w:tcPr>
          <w:p w14:paraId="5FE5D5C5" w14:textId="77777777" w:rsidR="00731C28" w:rsidRPr="0061746E" w:rsidRDefault="00731C28" w:rsidP="00816216">
            <w:pPr>
              <w:jc w:val="center"/>
              <w:rPr>
                <w:rFonts w:ascii="Times New Roman" w:hAnsi="Times New Roman" w:cs="Times New Roman"/>
                <w:sz w:val="20"/>
                <w:szCs w:val="20"/>
              </w:rPr>
            </w:pPr>
            <w:r>
              <w:rPr>
                <w:rFonts w:ascii="Times New Roman" w:hAnsi="Times New Roman" w:cs="Times New Roman"/>
                <w:sz w:val="20"/>
                <w:szCs w:val="20"/>
              </w:rPr>
              <w:t>broj korisnika</w:t>
            </w:r>
          </w:p>
        </w:tc>
      </w:tr>
      <w:tr w:rsidR="00731C28" w:rsidRPr="0061746E" w14:paraId="46445DEF" w14:textId="77777777" w:rsidTr="00816216">
        <w:trPr>
          <w:trHeight w:val="360"/>
        </w:trPr>
        <w:tc>
          <w:tcPr>
            <w:tcW w:w="2410" w:type="dxa"/>
            <w:shd w:val="clear" w:color="auto" w:fill="F2F2F2" w:themeFill="background1" w:themeFillShade="F2"/>
            <w:vAlign w:val="center"/>
          </w:tcPr>
          <w:p w14:paraId="281989E9" w14:textId="77777777" w:rsidR="00731C28" w:rsidRPr="0061746E" w:rsidRDefault="00731C28" w:rsidP="00816216">
            <w:pPr>
              <w:rPr>
                <w:rFonts w:ascii="Times New Roman" w:hAnsi="Times New Roman" w:cs="Times New Roman"/>
                <w:sz w:val="20"/>
                <w:szCs w:val="20"/>
              </w:rPr>
            </w:pPr>
            <w:r w:rsidRPr="0061746E">
              <w:rPr>
                <w:rFonts w:ascii="Times New Roman" w:hAnsi="Times New Roman" w:cs="Times New Roman"/>
                <w:sz w:val="20"/>
                <w:szCs w:val="20"/>
              </w:rPr>
              <w:t>uslug</w:t>
            </w:r>
            <w:r>
              <w:rPr>
                <w:rFonts w:ascii="Times New Roman" w:hAnsi="Times New Roman" w:cs="Times New Roman"/>
                <w:sz w:val="20"/>
                <w:szCs w:val="20"/>
              </w:rPr>
              <w:t>a</w:t>
            </w:r>
            <w:r w:rsidRPr="0061746E">
              <w:rPr>
                <w:rFonts w:ascii="Times New Roman" w:hAnsi="Times New Roman" w:cs="Times New Roman"/>
                <w:sz w:val="20"/>
                <w:szCs w:val="20"/>
              </w:rPr>
              <w:t xml:space="preserve"> osobne asistencije</w:t>
            </w:r>
          </w:p>
        </w:tc>
        <w:tc>
          <w:tcPr>
            <w:tcW w:w="1984" w:type="dxa"/>
            <w:vAlign w:val="center"/>
          </w:tcPr>
          <w:p w14:paraId="76CC8A9B" w14:textId="77777777" w:rsidR="00731C28" w:rsidRPr="0061746E" w:rsidRDefault="00731C28" w:rsidP="00816216">
            <w:pPr>
              <w:jc w:val="center"/>
              <w:rPr>
                <w:rFonts w:ascii="Times New Roman" w:hAnsi="Times New Roman" w:cs="Times New Roman"/>
                <w:sz w:val="20"/>
                <w:szCs w:val="20"/>
              </w:rPr>
            </w:pPr>
            <w:r>
              <w:rPr>
                <w:rFonts w:ascii="Times New Roman" w:hAnsi="Times New Roman" w:cs="Times New Roman"/>
                <w:sz w:val="20"/>
                <w:szCs w:val="20"/>
              </w:rPr>
              <w:t>72</w:t>
            </w:r>
          </w:p>
        </w:tc>
        <w:tc>
          <w:tcPr>
            <w:tcW w:w="1985" w:type="dxa"/>
            <w:vAlign w:val="center"/>
          </w:tcPr>
          <w:p w14:paraId="1FEE49C8" w14:textId="77777777" w:rsidR="00731C28" w:rsidRPr="0061746E" w:rsidRDefault="00731C28" w:rsidP="00816216">
            <w:pPr>
              <w:jc w:val="right"/>
              <w:rPr>
                <w:rFonts w:ascii="Times New Roman" w:hAnsi="Times New Roman" w:cs="Times New Roman"/>
                <w:sz w:val="20"/>
                <w:szCs w:val="20"/>
              </w:rPr>
            </w:pPr>
            <w:r>
              <w:rPr>
                <w:rFonts w:ascii="Times New Roman" w:hAnsi="Times New Roman" w:cs="Times New Roman"/>
                <w:sz w:val="20"/>
                <w:szCs w:val="20"/>
              </w:rPr>
              <w:t>105.914.173,06 kn</w:t>
            </w:r>
          </w:p>
        </w:tc>
        <w:tc>
          <w:tcPr>
            <w:tcW w:w="2693" w:type="dxa"/>
            <w:vAlign w:val="center"/>
          </w:tcPr>
          <w:p w14:paraId="13913FAC" w14:textId="77777777" w:rsidR="00731C28" w:rsidRPr="0061746E" w:rsidRDefault="00731C28" w:rsidP="00816216">
            <w:pPr>
              <w:jc w:val="center"/>
              <w:rPr>
                <w:rFonts w:ascii="Times New Roman" w:hAnsi="Times New Roman" w:cs="Times New Roman"/>
                <w:sz w:val="20"/>
                <w:szCs w:val="20"/>
              </w:rPr>
            </w:pPr>
            <w:r>
              <w:rPr>
                <w:rFonts w:ascii="Times New Roman" w:hAnsi="Times New Roman" w:cs="Times New Roman"/>
                <w:sz w:val="20"/>
                <w:szCs w:val="20"/>
              </w:rPr>
              <w:t>897</w:t>
            </w:r>
          </w:p>
        </w:tc>
      </w:tr>
      <w:tr w:rsidR="00731C28" w:rsidRPr="0061746E" w14:paraId="71501287" w14:textId="77777777" w:rsidTr="00816216">
        <w:tc>
          <w:tcPr>
            <w:tcW w:w="2410" w:type="dxa"/>
            <w:shd w:val="clear" w:color="auto" w:fill="F2F2F2" w:themeFill="background1" w:themeFillShade="F2"/>
            <w:vAlign w:val="center"/>
          </w:tcPr>
          <w:p w14:paraId="47D4795C" w14:textId="77777777" w:rsidR="00731C28" w:rsidRPr="0061746E" w:rsidRDefault="00731C28" w:rsidP="00816216">
            <w:pPr>
              <w:rPr>
                <w:rFonts w:ascii="Times New Roman" w:hAnsi="Times New Roman" w:cs="Times New Roman"/>
                <w:sz w:val="20"/>
                <w:szCs w:val="20"/>
              </w:rPr>
            </w:pPr>
            <w:r w:rsidRPr="0061746E">
              <w:rPr>
                <w:rFonts w:ascii="Times New Roman" w:hAnsi="Times New Roman" w:cs="Times New Roman"/>
                <w:sz w:val="20"/>
                <w:szCs w:val="20"/>
              </w:rPr>
              <w:t>uslug</w:t>
            </w:r>
            <w:r>
              <w:rPr>
                <w:rFonts w:ascii="Times New Roman" w:hAnsi="Times New Roman" w:cs="Times New Roman"/>
                <w:sz w:val="20"/>
                <w:szCs w:val="20"/>
              </w:rPr>
              <w:t>a</w:t>
            </w:r>
            <w:r w:rsidRPr="0061746E">
              <w:rPr>
                <w:rFonts w:ascii="Times New Roman" w:hAnsi="Times New Roman" w:cs="Times New Roman"/>
                <w:sz w:val="20"/>
                <w:szCs w:val="20"/>
              </w:rPr>
              <w:t xml:space="preserve"> tumača znakovnog jezika</w:t>
            </w:r>
          </w:p>
        </w:tc>
        <w:tc>
          <w:tcPr>
            <w:tcW w:w="1984" w:type="dxa"/>
            <w:vAlign w:val="center"/>
          </w:tcPr>
          <w:p w14:paraId="3D40889A" w14:textId="77777777" w:rsidR="00731C28" w:rsidRPr="0061746E" w:rsidRDefault="00731C28" w:rsidP="00816216">
            <w:pPr>
              <w:jc w:val="center"/>
              <w:rPr>
                <w:rFonts w:ascii="Times New Roman" w:hAnsi="Times New Roman" w:cs="Times New Roman"/>
                <w:sz w:val="20"/>
                <w:szCs w:val="20"/>
              </w:rPr>
            </w:pPr>
            <w:r>
              <w:rPr>
                <w:rFonts w:ascii="Times New Roman" w:hAnsi="Times New Roman" w:cs="Times New Roman"/>
                <w:sz w:val="20"/>
                <w:szCs w:val="20"/>
              </w:rPr>
              <w:t>7</w:t>
            </w:r>
          </w:p>
        </w:tc>
        <w:tc>
          <w:tcPr>
            <w:tcW w:w="1985" w:type="dxa"/>
            <w:vAlign w:val="center"/>
          </w:tcPr>
          <w:p w14:paraId="6FC54F0A" w14:textId="77777777" w:rsidR="00731C28" w:rsidRPr="0061746E" w:rsidRDefault="00731C28" w:rsidP="00816216">
            <w:pPr>
              <w:jc w:val="right"/>
              <w:rPr>
                <w:rFonts w:ascii="Times New Roman" w:hAnsi="Times New Roman" w:cs="Times New Roman"/>
                <w:sz w:val="20"/>
                <w:szCs w:val="20"/>
              </w:rPr>
            </w:pPr>
            <w:r>
              <w:rPr>
                <w:rFonts w:ascii="Times New Roman" w:hAnsi="Times New Roman" w:cs="Times New Roman"/>
                <w:sz w:val="20"/>
                <w:szCs w:val="20"/>
              </w:rPr>
              <w:t>4.919.891,74 kn</w:t>
            </w:r>
          </w:p>
        </w:tc>
        <w:tc>
          <w:tcPr>
            <w:tcW w:w="2693" w:type="dxa"/>
            <w:vAlign w:val="center"/>
          </w:tcPr>
          <w:p w14:paraId="7F761D54" w14:textId="77777777" w:rsidR="00731C28" w:rsidRPr="0061746E" w:rsidRDefault="00731C28" w:rsidP="00816216">
            <w:pPr>
              <w:jc w:val="center"/>
              <w:rPr>
                <w:rFonts w:ascii="Times New Roman" w:hAnsi="Times New Roman" w:cs="Times New Roman"/>
                <w:sz w:val="20"/>
                <w:szCs w:val="20"/>
              </w:rPr>
            </w:pPr>
            <w:r>
              <w:rPr>
                <w:rFonts w:ascii="Times New Roman" w:hAnsi="Times New Roman" w:cs="Times New Roman"/>
                <w:sz w:val="20"/>
                <w:szCs w:val="20"/>
              </w:rPr>
              <w:t>206</w:t>
            </w:r>
          </w:p>
        </w:tc>
      </w:tr>
      <w:tr w:rsidR="00731C28" w:rsidRPr="0061746E" w14:paraId="26839A63" w14:textId="77777777" w:rsidTr="00816216">
        <w:trPr>
          <w:trHeight w:val="372"/>
        </w:trPr>
        <w:tc>
          <w:tcPr>
            <w:tcW w:w="2410" w:type="dxa"/>
            <w:shd w:val="clear" w:color="auto" w:fill="F2F2F2" w:themeFill="background1" w:themeFillShade="F2"/>
            <w:vAlign w:val="center"/>
          </w:tcPr>
          <w:p w14:paraId="27E3BE5B" w14:textId="77777777" w:rsidR="00731C28" w:rsidRPr="0061746E" w:rsidRDefault="00731C28" w:rsidP="00816216">
            <w:pPr>
              <w:rPr>
                <w:rFonts w:ascii="Times New Roman" w:hAnsi="Times New Roman" w:cs="Times New Roman"/>
                <w:sz w:val="20"/>
                <w:szCs w:val="20"/>
              </w:rPr>
            </w:pPr>
            <w:r w:rsidRPr="0061746E">
              <w:rPr>
                <w:rFonts w:ascii="Times New Roman" w:hAnsi="Times New Roman" w:cs="Times New Roman"/>
                <w:sz w:val="20"/>
                <w:szCs w:val="20"/>
              </w:rPr>
              <w:t>uslug</w:t>
            </w:r>
            <w:r>
              <w:rPr>
                <w:rFonts w:ascii="Times New Roman" w:hAnsi="Times New Roman" w:cs="Times New Roman"/>
                <w:sz w:val="20"/>
                <w:szCs w:val="20"/>
              </w:rPr>
              <w:t>a</w:t>
            </w:r>
            <w:r w:rsidRPr="0061746E">
              <w:rPr>
                <w:rFonts w:ascii="Times New Roman" w:hAnsi="Times New Roman" w:cs="Times New Roman"/>
                <w:sz w:val="20"/>
                <w:szCs w:val="20"/>
              </w:rPr>
              <w:t xml:space="preserve"> </w:t>
            </w:r>
            <w:proofErr w:type="spellStart"/>
            <w:r w:rsidRPr="0061746E">
              <w:rPr>
                <w:rFonts w:ascii="Times New Roman" w:hAnsi="Times New Roman" w:cs="Times New Roman"/>
                <w:sz w:val="20"/>
                <w:szCs w:val="20"/>
              </w:rPr>
              <w:t>videćeg</w:t>
            </w:r>
            <w:proofErr w:type="spellEnd"/>
            <w:r w:rsidRPr="0061746E">
              <w:rPr>
                <w:rFonts w:ascii="Times New Roman" w:hAnsi="Times New Roman" w:cs="Times New Roman"/>
                <w:sz w:val="20"/>
                <w:szCs w:val="20"/>
              </w:rPr>
              <w:t xml:space="preserve"> pratitelja</w:t>
            </w:r>
          </w:p>
        </w:tc>
        <w:tc>
          <w:tcPr>
            <w:tcW w:w="1984" w:type="dxa"/>
            <w:vAlign w:val="center"/>
          </w:tcPr>
          <w:p w14:paraId="670A5F88" w14:textId="77777777" w:rsidR="00731C28" w:rsidRPr="0061746E" w:rsidRDefault="00731C28" w:rsidP="00816216">
            <w:pPr>
              <w:jc w:val="center"/>
              <w:rPr>
                <w:rFonts w:ascii="Times New Roman" w:hAnsi="Times New Roman" w:cs="Times New Roman"/>
                <w:sz w:val="20"/>
                <w:szCs w:val="20"/>
              </w:rPr>
            </w:pPr>
            <w:r>
              <w:rPr>
                <w:rFonts w:ascii="Times New Roman" w:hAnsi="Times New Roman" w:cs="Times New Roman"/>
                <w:sz w:val="20"/>
                <w:szCs w:val="20"/>
              </w:rPr>
              <w:t>14</w:t>
            </w:r>
          </w:p>
        </w:tc>
        <w:tc>
          <w:tcPr>
            <w:tcW w:w="1985" w:type="dxa"/>
            <w:vAlign w:val="center"/>
          </w:tcPr>
          <w:p w14:paraId="13FFC045" w14:textId="77777777" w:rsidR="00731C28" w:rsidRPr="0061746E" w:rsidRDefault="00731C28" w:rsidP="00816216">
            <w:pPr>
              <w:jc w:val="right"/>
              <w:rPr>
                <w:rFonts w:ascii="Times New Roman" w:hAnsi="Times New Roman" w:cs="Times New Roman"/>
                <w:sz w:val="20"/>
                <w:szCs w:val="20"/>
              </w:rPr>
            </w:pPr>
            <w:r>
              <w:rPr>
                <w:rFonts w:ascii="Times New Roman" w:hAnsi="Times New Roman" w:cs="Times New Roman"/>
                <w:sz w:val="20"/>
                <w:szCs w:val="20"/>
              </w:rPr>
              <w:t>5.865.240,26 kn</w:t>
            </w:r>
          </w:p>
        </w:tc>
        <w:tc>
          <w:tcPr>
            <w:tcW w:w="2693" w:type="dxa"/>
            <w:vAlign w:val="center"/>
          </w:tcPr>
          <w:p w14:paraId="557FE511" w14:textId="77777777" w:rsidR="00731C28" w:rsidRPr="0061746E" w:rsidRDefault="00731C28" w:rsidP="00816216">
            <w:pPr>
              <w:jc w:val="center"/>
              <w:rPr>
                <w:rFonts w:ascii="Times New Roman" w:hAnsi="Times New Roman" w:cs="Times New Roman"/>
                <w:sz w:val="20"/>
                <w:szCs w:val="20"/>
              </w:rPr>
            </w:pPr>
            <w:r>
              <w:rPr>
                <w:rFonts w:ascii="Times New Roman" w:hAnsi="Times New Roman" w:cs="Times New Roman"/>
                <w:sz w:val="20"/>
                <w:szCs w:val="20"/>
              </w:rPr>
              <w:t>318</w:t>
            </w:r>
          </w:p>
        </w:tc>
      </w:tr>
      <w:tr w:rsidR="00731C28" w:rsidRPr="0061746E" w14:paraId="0AC77680" w14:textId="77777777" w:rsidTr="00816216">
        <w:trPr>
          <w:trHeight w:val="262"/>
        </w:trPr>
        <w:tc>
          <w:tcPr>
            <w:tcW w:w="2410" w:type="dxa"/>
            <w:shd w:val="clear" w:color="auto" w:fill="F2F2F2" w:themeFill="background1" w:themeFillShade="F2"/>
          </w:tcPr>
          <w:p w14:paraId="21C6A04F" w14:textId="77777777" w:rsidR="00731C28" w:rsidRPr="0061746E" w:rsidRDefault="00731C28" w:rsidP="00816216">
            <w:pPr>
              <w:rPr>
                <w:rFonts w:ascii="Times New Roman" w:hAnsi="Times New Roman" w:cs="Times New Roman"/>
                <w:sz w:val="20"/>
                <w:szCs w:val="20"/>
              </w:rPr>
            </w:pPr>
            <w:r w:rsidRPr="0061746E">
              <w:rPr>
                <w:rFonts w:ascii="Times New Roman" w:hAnsi="Times New Roman" w:cs="Times New Roman"/>
                <w:sz w:val="20"/>
                <w:szCs w:val="20"/>
              </w:rPr>
              <w:t>UKUPNO</w:t>
            </w:r>
          </w:p>
        </w:tc>
        <w:tc>
          <w:tcPr>
            <w:tcW w:w="1984" w:type="dxa"/>
            <w:shd w:val="clear" w:color="auto" w:fill="auto"/>
          </w:tcPr>
          <w:p w14:paraId="5C00B018" w14:textId="77777777" w:rsidR="00731C28" w:rsidRPr="0061746E" w:rsidRDefault="00731C28" w:rsidP="00816216">
            <w:pPr>
              <w:jc w:val="center"/>
              <w:rPr>
                <w:rFonts w:ascii="Times New Roman" w:hAnsi="Times New Roman" w:cs="Times New Roman"/>
                <w:sz w:val="20"/>
                <w:szCs w:val="20"/>
              </w:rPr>
            </w:pPr>
            <w:r>
              <w:rPr>
                <w:rFonts w:ascii="Times New Roman" w:hAnsi="Times New Roman" w:cs="Times New Roman"/>
                <w:sz w:val="20"/>
                <w:szCs w:val="20"/>
              </w:rPr>
              <w:t>93</w:t>
            </w:r>
          </w:p>
        </w:tc>
        <w:tc>
          <w:tcPr>
            <w:tcW w:w="1985" w:type="dxa"/>
            <w:shd w:val="clear" w:color="auto" w:fill="auto"/>
          </w:tcPr>
          <w:p w14:paraId="217067CE" w14:textId="77777777" w:rsidR="00731C28" w:rsidRPr="003312E7" w:rsidRDefault="00731C28" w:rsidP="00816216">
            <w:pPr>
              <w:jc w:val="right"/>
              <w:rPr>
                <w:rFonts w:ascii="Times New Roman" w:hAnsi="Times New Roman" w:cs="Times New Roman"/>
                <w:sz w:val="20"/>
                <w:szCs w:val="20"/>
              </w:rPr>
            </w:pPr>
            <w:r w:rsidRPr="003312E7">
              <w:rPr>
                <w:rFonts w:ascii="Times New Roman" w:hAnsi="Times New Roman" w:cs="Times New Roman"/>
                <w:sz w:val="20"/>
                <w:szCs w:val="20"/>
              </w:rPr>
              <w:t>116.699.304,77</w:t>
            </w:r>
            <w:r>
              <w:rPr>
                <w:rFonts w:ascii="Times New Roman" w:hAnsi="Times New Roman" w:cs="Times New Roman"/>
                <w:sz w:val="20"/>
                <w:szCs w:val="20"/>
              </w:rPr>
              <w:t xml:space="preserve"> kn</w:t>
            </w:r>
          </w:p>
        </w:tc>
        <w:tc>
          <w:tcPr>
            <w:tcW w:w="2693" w:type="dxa"/>
            <w:shd w:val="clear" w:color="auto" w:fill="auto"/>
          </w:tcPr>
          <w:p w14:paraId="704B1091" w14:textId="77777777" w:rsidR="00731C28" w:rsidRPr="0061746E" w:rsidRDefault="00731C28" w:rsidP="00816216">
            <w:pPr>
              <w:jc w:val="center"/>
              <w:rPr>
                <w:rFonts w:ascii="Times New Roman" w:hAnsi="Times New Roman" w:cs="Times New Roman"/>
                <w:sz w:val="20"/>
                <w:szCs w:val="20"/>
              </w:rPr>
            </w:pPr>
            <w:r>
              <w:rPr>
                <w:rFonts w:ascii="Times New Roman" w:hAnsi="Times New Roman" w:cs="Times New Roman"/>
                <w:sz w:val="20"/>
                <w:szCs w:val="20"/>
              </w:rPr>
              <w:t>1421</w:t>
            </w:r>
          </w:p>
        </w:tc>
      </w:tr>
      <w:tr w:rsidR="00731C28" w:rsidRPr="0061746E" w14:paraId="6136ECBB" w14:textId="77777777" w:rsidTr="00816216">
        <w:trPr>
          <w:trHeight w:val="829"/>
        </w:trPr>
        <w:tc>
          <w:tcPr>
            <w:tcW w:w="9072" w:type="dxa"/>
            <w:gridSpan w:val="4"/>
            <w:shd w:val="clear" w:color="auto" w:fill="F2F2F2" w:themeFill="background1" w:themeFillShade="F2"/>
            <w:vAlign w:val="center"/>
          </w:tcPr>
          <w:p w14:paraId="2119CEAA" w14:textId="77777777" w:rsidR="00731C28" w:rsidRPr="003312E7" w:rsidRDefault="00731C28" w:rsidP="00816216">
            <w:pPr>
              <w:jc w:val="center"/>
              <w:rPr>
                <w:rFonts w:ascii="Times New Roman" w:hAnsi="Times New Roman" w:cs="Times New Roman"/>
                <w:b/>
                <w:bCs/>
                <w:sz w:val="20"/>
                <w:szCs w:val="20"/>
              </w:rPr>
            </w:pPr>
            <w:r w:rsidRPr="003312E7">
              <w:rPr>
                <w:rFonts w:ascii="Times New Roman" w:hAnsi="Times New Roman" w:cs="Times New Roman"/>
                <w:b/>
                <w:bCs/>
                <w:sz w:val="20"/>
                <w:szCs w:val="20"/>
              </w:rPr>
              <w:t>ESF, Operativni program „Učinkoviti ljudski potencijali 2014.-2020.“</w:t>
            </w:r>
          </w:p>
          <w:p w14:paraId="761A1224" w14:textId="77777777" w:rsidR="00731C28" w:rsidRPr="0061746E" w:rsidRDefault="00731C28" w:rsidP="00816216">
            <w:pPr>
              <w:jc w:val="center"/>
              <w:rPr>
                <w:rFonts w:ascii="Times New Roman" w:hAnsi="Times New Roman" w:cs="Times New Roman"/>
                <w:sz w:val="20"/>
                <w:szCs w:val="20"/>
              </w:rPr>
            </w:pPr>
            <w:r w:rsidRPr="003312E7">
              <w:rPr>
                <w:rFonts w:ascii="Times New Roman" w:hAnsi="Times New Roman" w:cs="Times New Roman"/>
                <w:b/>
                <w:bCs/>
                <w:sz w:val="20"/>
                <w:szCs w:val="20"/>
              </w:rPr>
              <w:t>Razvoj usluge osobne asistencije za osobe s invaliditetom - Faza II</w:t>
            </w:r>
          </w:p>
        </w:tc>
      </w:tr>
      <w:tr w:rsidR="00731C28" w:rsidRPr="0061746E" w14:paraId="08EC6638" w14:textId="77777777" w:rsidTr="00816216">
        <w:tc>
          <w:tcPr>
            <w:tcW w:w="2410" w:type="dxa"/>
            <w:shd w:val="clear" w:color="auto" w:fill="F2F2F2" w:themeFill="background1" w:themeFillShade="F2"/>
            <w:vAlign w:val="center"/>
          </w:tcPr>
          <w:p w14:paraId="1324B34E" w14:textId="77777777" w:rsidR="00731C28" w:rsidRPr="0061746E" w:rsidRDefault="00731C28" w:rsidP="00816216">
            <w:pPr>
              <w:jc w:val="center"/>
              <w:rPr>
                <w:rFonts w:ascii="Times New Roman" w:hAnsi="Times New Roman" w:cs="Times New Roman"/>
                <w:sz w:val="20"/>
                <w:szCs w:val="20"/>
              </w:rPr>
            </w:pPr>
            <w:r>
              <w:rPr>
                <w:rFonts w:ascii="Times New Roman" w:hAnsi="Times New Roman" w:cs="Times New Roman"/>
                <w:sz w:val="20"/>
                <w:szCs w:val="20"/>
              </w:rPr>
              <w:t>usluga</w:t>
            </w:r>
          </w:p>
        </w:tc>
        <w:tc>
          <w:tcPr>
            <w:tcW w:w="1984" w:type="dxa"/>
            <w:shd w:val="clear" w:color="auto" w:fill="F2F2F2" w:themeFill="background1" w:themeFillShade="F2"/>
            <w:vAlign w:val="center"/>
          </w:tcPr>
          <w:p w14:paraId="01FF63FF" w14:textId="77777777" w:rsidR="00731C28" w:rsidRPr="0061746E" w:rsidRDefault="00731C28" w:rsidP="00816216">
            <w:pPr>
              <w:jc w:val="center"/>
              <w:rPr>
                <w:rFonts w:ascii="Times New Roman" w:hAnsi="Times New Roman" w:cs="Times New Roman"/>
                <w:sz w:val="20"/>
                <w:szCs w:val="20"/>
              </w:rPr>
            </w:pPr>
            <w:r>
              <w:rPr>
                <w:rFonts w:ascii="Times New Roman" w:hAnsi="Times New Roman" w:cs="Times New Roman"/>
                <w:sz w:val="20"/>
                <w:szCs w:val="20"/>
              </w:rPr>
              <w:t>b</w:t>
            </w:r>
            <w:r w:rsidRPr="0061746E">
              <w:rPr>
                <w:rFonts w:ascii="Times New Roman" w:hAnsi="Times New Roman" w:cs="Times New Roman"/>
                <w:sz w:val="20"/>
                <w:szCs w:val="20"/>
              </w:rPr>
              <w:t>roj organizacija civilnog društva /udruga</w:t>
            </w:r>
          </w:p>
        </w:tc>
        <w:tc>
          <w:tcPr>
            <w:tcW w:w="1985" w:type="dxa"/>
            <w:shd w:val="clear" w:color="auto" w:fill="F2F2F2" w:themeFill="background1" w:themeFillShade="F2"/>
            <w:vAlign w:val="center"/>
          </w:tcPr>
          <w:p w14:paraId="3DABEB01" w14:textId="77777777" w:rsidR="00731C28" w:rsidRPr="0061746E" w:rsidRDefault="00731C28" w:rsidP="00816216">
            <w:pPr>
              <w:jc w:val="right"/>
              <w:rPr>
                <w:rFonts w:ascii="Times New Roman" w:hAnsi="Times New Roman" w:cs="Times New Roman"/>
                <w:sz w:val="20"/>
                <w:szCs w:val="20"/>
              </w:rPr>
            </w:pPr>
            <w:r>
              <w:rPr>
                <w:rFonts w:ascii="Times New Roman" w:hAnsi="Times New Roman" w:cs="Times New Roman"/>
                <w:sz w:val="20"/>
                <w:szCs w:val="20"/>
              </w:rPr>
              <w:t>i</w:t>
            </w:r>
            <w:r w:rsidRPr="0061746E">
              <w:rPr>
                <w:rFonts w:ascii="Times New Roman" w:hAnsi="Times New Roman" w:cs="Times New Roman"/>
                <w:sz w:val="20"/>
                <w:szCs w:val="20"/>
              </w:rPr>
              <w:t>znos sredstava</w:t>
            </w:r>
          </w:p>
        </w:tc>
        <w:tc>
          <w:tcPr>
            <w:tcW w:w="2693" w:type="dxa"/>
            <w:shd w:val="clear" w:color="auto" w:fill="F2F2F2" w:themeFill="background1" w:themeFillShade="F2"/>
            <w:vAlign w:val="center"/>
          </w:tcPr>
          <w:p w14:paraId="07635624" w14:textId="77777777" w:rsidR="00731C28" w:rsidRPr="0061746E" w:rsidRDefault="00731C28" w:rsidP="00816216">
            <w:pPr>
              <w:jc w:val="center"/>
              <w:rPr>
                <w:rFonts w:ascii="Times New Roman" w:hAnsi="Times New Roman" w:cs="Times New Roman"/>
                <w:sz w:val="20"/>
                <w:szCs w:val="20"/>
              </w:rPr>
            </w:pPr>
            <w:r>
              <w:rPr>
                <w:rFonts w:ascii="Times New Roman" w:hAnsi="Times New Roman" w:cs="Times New Roman"/>
                <w:sz w:val="20"/>
                <w:szCs w:val="20"/>
              </w:rPr>
              <w:t>broj korisnika</w:t>
            </w:r>
          </w:p>
        </w:tc>
      </w:tr>
      <w:tr w:rsidR="00731C28" w:rsidRPr="0061746E" w14:paraId="0A45D1B2" w14:textId="77777777" w:rsidTr="00816216">
        <w:tc>
          <w:tcPr>
            <w:tcW w:w="2410" w:type="dxa"/>
            <w:shd w:val="clear" w:color="auto" w:fill="F2F2F2" w:themeFill="background1" w:themeFillShade="F2"/>
            <w:vAlign w:val="center"/>
          </w:tcPr>
          <w:p w14:paraId="701A1C3A" w14:textId="77777777" w:rsidR="00731C28" w:rsidRPr="0061746E" w:rsidRDefault="00731C28" w:rsidP="00816216">
            <w:pPr>
              <w:rPr>
                <w:rFonts w:ascii="Times New Roman" w:hAnsi="Times New Roman" w:cs="Times New Roman"/>
                <w:sz w:val="20"/>
                <w:szCs w:val="20"/>
              </w:rPr>
            </w:pPr>
            <w:r w:rsidRPr="0061746E">
              <w:rPr>
                <w:rFonts w:ascii="Times New Roman" w:hAnsi="Times New Roman" w:cs="Times New Roman"/>
                <w:sz w:val="20"/>
                <w:szCs w:val="20"/>
              </w:rPr>
              <w:t>uslug</w:t>
            </w:r>
            <w:r>
              <w:rPr>
                <w:rFonts w:ascii="Times New Roman" w:hAnsi="Times New Roman" w:cs="Times New Roman"/>
                <w:sz w:val="20"/>
                <w:szCs w:val="20"/>
              </w:rPr>
              <w:t>a</w:t>
            </w:r>
            <w:r w:rsidRPr="0061746E">
              <w:rPr>
                <w:rFonts w:ascii="Times New Roman" w:hAnsi="Times New Roman" w:cs="Times New Roman"/>
                <w:sz w:val="20"/>
                <w:szCs w:val="20"/>
              </w:rPr>
              <w:t xml:space="preserve"> osobne asistencije</w:t>
            </w:r>
          </w:p>
        </w:tc>
        <w:tc>
          <w:tcPr>
            <w:tcW w:w="1984" w:type="dxa"/>
            <w:vAlign w:val="center"/>
          </w:tcPr>
          <w:p w14:paraId="34B9CB84" w14:textId="77777777" w:rsidR="00731C28" w:rsidRPr="0061746E" w:rsidRDefault="00731C28" w:rsidP="00816216">
            <w:pPr>
              <w:jc w:val="center"/>
              <w:rPr>
                <w:rFonts w:ascii="Times New Roman" w:hAnsi="Times New Roman" w:cs="Times New Roman"/>
                <w:sz w:val="20"/>
                <w:szCs w:val="20"/>
              </w:rPr>
            </w:pPr>
            <w:r>
              <w:rPr>
                <w:rFonts w:ascii="Times New Roman" w:hAnsi="Times New Roman" w:cs="Times New Roman"/>
                <w:sz w:val="20"/>
                <w:szCs w:val="20"/>
              </w:rPr>
              <w:t>84</w:t>
            </w:r>
          </w:p>
        </w:tc>
        <w:tc>
          <w:tcPr>
            <w:tcW w:w="1985" w:type="dxa"/>
            <w:vAlign w:val="center"/>
          </w:tcPr>
          <w:p w14:paraId="56C156E7" w14:textId="77777777" w:rsidR="00731C28" w:rsidRPr="0061746E" w:rsidRDefault="00731C28" w:rsidP="00816216">
            <w:pPr>
              <w:jc w:val="right"/>
              <w:rPr>
                <w:rFonts w:ascii="Times New Roman" w:hAnsi="Times New Roman" w:cs="Times New Roman"/>
                <w:sz w:val="20"/>
                <w:szCs w:val="20"/>
              </w:rPr>
            </w:pPr>
            <w:r>
              <w:rPr>
                <w:rFonts w:ascii="Times New Roman" w:hAnsi="Times New Roman" w:cs="Times New Roman"/>
                <w:sz w:val="20"/>
                <w:szCs w:val="20"/>
              </w:rPr>
              <w:t>162.263.339,85 kn</w:t>
            </w:r>
          </w:p>
        </w:tc>
        <w:tc>
          <w:tcPr>
            <w:tcW w:w="2693" w:type="dxa"/>
            <w:vAlign w:val="center"/>
          </w:tcPr>
          <w:p w14:paraId="522FAE7D" w14:textId="77777777" w:rsidR="00731C28" w:rsidRPr="0061746E" w:rsidRDefault="00731C28" w:rsidP="00816216">
            <w:pPr>
              <w:jc w:val="center"/>
              <w:rPr>
                <w:rFonts w:ascii="Times New Roman" w:hAnsi="Times New Roman" w:cs="Times New Roman"/>
                <w:sz w:val="20"/>
                <w:szCs w:val="20"/>
              </w:rPr>
            </w:pPr>
            <w:r>
              <w:rPr>
                <w:rFonts w:ascii="Times New Roman" w:hAnsi="Times New Roman" w:cs="Times New Roman"/>
                <w:sz w:val="20"/>
                <w:szCs w:val="20"/>
              </w:rPr>
              <w:t>1242</w:t>
            </w:r>
          </w:p>
        </w:tc>
      </w:tr>
      <w:tr w:rsidR="00731C28" w:rsidRPr="0061746E" w14:paraId="59169935" w14:textId="77777777" w:rsidTr="00816216">
        <w:tc>
          <w:tcPr>
            <w:tcW w:w="2410" w:type="dxa"/>
            <w:shd w:val="clear" w:color="auto" w:fill="F2F2F2" w:themeFill="background1" w:themeFillShade="F2"/>
            <w:vAlign w:val="center"/>
          </w:tcPr>
          <w:p w14:paraId="338A5CCD" w14:textId="77777777" w:rsidR="00731C28" w:rsidRPr="0061746E" w:rsidRDefault="00731C28" w:rsidP="00816216">
            <w:pPr>
              <w:rPr>
                <w:rFonts w:ascii="Times New Roman" w:hAnsi="Times New Roman" w:cs="Times New Roman"/>
                <w:sz w:val="20"/>
                <w:szCs w:val="20"/>
              </w:rPr>
            </w:pPr>
            <w:r w:rsidRPr="0061746E">
              <w:rPr>
                <w:rFonts w:ascii="Times New Roman" w:hAnsi="Times New Roman" w:cs="Times New Roman"/>
                <w:sz w:val="20"/>
                <w:szCs w:val="20"/>
              </w:rPr>
              <w:t>uslug</w:t>
            </w:r>
            <w:r>
              <w:rPr>
                <w:rFonts w:ascii="Times New Roman" w:hAnsi="Times New Roman" w:cs="Times New Roman"/>
                <w:sz w:val="20"/>
                <w:szCs w:val="20"/>
              </w:rPr>
              <w:t>a</w:t>
            </w:r>
            <w:r w:rsidRPr="0061746E">
              <w:rPr>
                <w:rFonts w:ascii="Times New Roman" w:hAnsi="Times New Roman" w:cs="Times New Roman"/>
                <w:sz w:val="20"/>
                <w:szCs w:val="20"/>
              </w:rPr>
              <w:t xml:space="preserve"> tumača znakovnog jezika</w:t>
            </w:r>
          </w:p>
        </w:tc>
        <w:tc>
          <w:tcPr>
            <w:tcW w:w="1984" w:type="dxa"/>
            <w:vAlign w:val="center"/>
          </w:tcPr>
          <w:p w14:paraId="5E16F4B8" w14:textId="77777777" w:rsidR="00731C28" w:rsidRPr="0061746E" w:rsidRDefault="00731C28" w:rsidP="00816216">
            <w:pPr>
              <w:jc w:val="center"/>
              <w:rPr>
                <w:rFonts w:ascii="Times New Roman" w:hAnsi="Times New Roman" w:cs="Times New Roman"/>
                <w:sz w:val="20"/>
                <w:szCs w:val="20"/>
              </w:rPr>
            </w:pPr>
            <w:r>
              <w:rPr>
                <w:rFonts w:ascii="Times New Roman" w:hAnsi="Times New Roman" w:cs="Times New Roman"/>
                <w:sz w:val="20"/>
                <w:szCs w:val="20"/>
              </w:rPr>
              <w:t>13</w:t>
            </w:r>
          </w:p>
        </w:tc>
        <w:tc>
          <w:tcPr>
            <w:tcW w:w="1985" w:type="dxa"/>
            <w:vAlign w:val="center"/>
          </w:tcPr>
          <w:p w14:paraId="31B7254A" w14:textId="77777777" w:rsidR="00731C28" w:rsidRPr="0061746E" w:rsidRDefault="00731C28" w:rsidP="00816216">
            <w:pPr>
              <w:jc w:val="right"/>
              <w:rPr>
                <w:rFonts w:ascii="Times New Roman" w:hAnsi="Times New Roman" w:cs="Times New Roman"/>
                <w:sz w:val="20"/>
                <w:szCs w:val="20"/>
              </w:rPr>
            </w:pPr>
            <w:r>
              <w:rPr>
                <w:rFonts w:ascii="Times New Roman" w:hAnsi="Times New Roman" w:cs="Times New Roman"/>
                <w:sz w:val="20"/>
                <w:szCs w:val="20"/>
              </w:rPr>
              <w:t>11.004.063,90 kn</w:t>
            </w:r>
          </w:p>
        </w:tc>
        <w:tc>
          <w:tcPr>
            <w:tcW w:w="2693" w:type="dxa"/>
            <w:vAlign w:val="center"/>
          </w:tcPr>
          <w:p w14:paraId="5A1E57AE" w14:textId="77777777" w:rsidR="00731C28" w:rsidRPr="0061746E" w:rsidRDefault="00731C28" w:rsidP="00816216">
            <w:pPr>
              <w:jc w:val="center"/>
              <w:rPr>
                <w:rFonts w:ascii="Times New Roman" w:hAnsi="Times New Roman" w:cs="Times New Roman"/>
                <w:sz w:val="20"/>
                <w:szCs w:val="20"/>
              </w:rPr>
            </w:pPr>
            <w:r>
              <w:rPr>
                <w:rFonts w:ascii="Times New Roman" w:hAnsi="Times New Roman" w:cs="Times New Roman"/>
                <w:sz w:val="20"/>
                <w:szCs w:val="20"/>
              </w:rPr>
              <w:t>345</w:t>
            </w:r>
          </w:p>
        </w:tc>
      </w:tr>
      <w:tr w:rsidR="00731C28" w:rsidRPr="0061746E" w14:paraId="6C714E9D" w14:textId="77777777" w:rsidTr="00816216">
        <w:tc>
          <w:tcPr>
            <w:tcW w:w="2410" w:type="dxa"/>
            <w:shd w:val="clear" w:color="auto" w:fill="F2F2F2" w:themeFill="background1" w:themeFillShade="F2"/>
            <w:vAlign w:val="center"/>
          </w:tcPr>
          <w:p w14:paraId="53006EC7" w14:textId="77777777" w:rsidR="00731C28" w:rsidRPr="0061746E" w:rsidRDefault="00731C28" w:rsidP="00816216">
            <w:pPr>
              <w:rPr>
                <w:rFonts w:ascii="Times New Roman" w:hAnsi="Times New Roman" w:cs="Times New Roman"/>
                <w:sz w:val="20"/>
                <w:szCs w:val="20"/>
              </w:rPr>
            </w:pPr>
            <w:r w:rsidRPr="0061746E">
              <w:rPr>
                <w:rFonts w:ascii="Times New Roman" w:hAnsi="Times New Roman" w:cs="Times New Roman"/>
                <w:sz w:val="20"/>
                <w:szCs w:val="20"/>
              </w:rPr>
              <w:t xml:space="preserve"> uslug</w:t>
            </w:r>
            <w:r>
              <w:rPr>
                <w:rFonts w:ascii="Times New Roman" w:hAnsi="Times New Roman" w:cs="Times New Roman"/>
                <w:sz w:val="20"/>
                <w:szCs w:val="20"/>
              </w:rPr>
              <w:t>a</w:t>
            </w:r>
            <w:r w:rsidRPr="0061746E">
              <w:rPr>
                <w:rFonts w:ascii="Times New Roman" w:hAnsi="Times New Roman" w:cs="Times New Roman"/>
                <w:sz w:val="20"/>
                <w:szCs w:val="20"/>
              </w:rPr>
              <w:t xml:space="preserve"> </w:t>
            </w:r>
            <w:proofErr w:type="spellStart"/>
            <w:r w:rsidRPr="0061746E">
              <w:rPr>
                <w:rFonts w:ascii="Times New Roman" w:hAnsi="Times New Roman" w:cs="Times New Roman"/>
                <w:sz w:val="20"/>
                <w:szCs w:val="20"/>
              </w:rPr>
              <w:t>videćeg</w:t>
            </w:r>
            <w:proofErr w:type="spellEnd"/>
            <w:r w:rsidRPr="0061746E">
              <w:rPr>
                <w:rFonts w:ascii="Times New Roman" w:hAnsi="Times New Roman" w:cs="Times New Roman"/>
                <w:sz w:val="20"/>
                <w:szCs w:val="20"/>
              </w:rPr>
              <w:t xml:space="preserve"> pratitelja</w:t>
            </w:r>
          </w:p>
        </w:tc>
        <w:tc>
          <w:tcPr>
            <w:tcW w:w="1984" w:type="dxa"/>
            <w:vAlign w:val="center"/>
          </w:tcPr>
          <w:p w14:paraId="52A6B10B" w14:textId="77777777" w:rsidR="00731C28" w:rsidRPr="0061746E" w:rsidRDefault="00731C28" w:rsidP="00816216">
            <w:pPr>
              <w:jc w:val="center"/>
              <w:rPr>
                <w:rFonts w:ascii="Times New Roman" w:hAnsi="Times New Roman" w:cs="Times New Roman"/>
                <w:sz w:val="20"/>
                <w:szCs w:val="20"/>
              </w:rPr>
            </w:pPr>
            <w:r>
              <w:rPr>
                <w:rFonts w:ascii="Times New Roman" w:hAnsi="Times New Roman" w:cs="Times New Roman"/>
                <w:sz w:val="20"/>
                <w:szCs w:val="20"/>
              </w:rPr>
              <w:t>27</w:t>
            </w:r>
          </w:p>
        </w:tc>
        <w:tc>
          <w:tcPr>
            <w:tcW w:w="1985" w:type="dxa"/>
            <w:vAlign w:val="center"/>
          </w:tcPr>
          <w:p w14:paraId="5FE2CA49" w14:textId="77777777" w:rsidR="00731C28" w:rsidRPr="0061746E" w:rsidRDefault="00731C28" w:rsidP="00816216">
            <w:pPr>
              <w:jc w:val="right"/>
              <w:rPr>
                <w:rFonts w:ascii="Times New Roman" w:hAnsi="Times New Roman" w:cs="Times New Roman"/>
                <w:sz w:val="20"/>
                <w:szCs w:val="20"/>
              </w:rPr>
            </w:pPr>
            <w:r>
              <w:rPr>
                <w:rFonts w:ascii="Times New Roman" w:hAnsi="Times New Roman" w:cs="Times New Roman"/>
                <w:sz w:val="20"/>
                <w:szCs w:val="20"/>
              </w:rPr>
              <w:t>13.107.044,96 kn</w:t>
            </w:r>
          </w:p>
        </w:tc>
        <w:tc>
          <w:tcPr>
            <w:tcW w:w="2693" w:type="dxa"/>
            <w:vAlign w:val="center"/>
          </w:tcPr>
          <w:p w14:paraId="1A7743D0" w14:textId="77777777" w:rsidR="00731C28" w:rsidRPr="0061746E" w:rsidRDefault="00731C28" w:rsidP="00816216">
            <w:pPr>
              <w:jc w:val="center"/>
              <w:rPr>
                <w:rFonts w:ascii="Times New Roman" w:hAnsi="Times New Roman" w:cs="Times New Roman"/>
                <w:sz w:val="20"/>
                <w:szCs w:val="20"/>
              </w:rPr>
            </w:pPr>
            <w:r>
              <w:rPr>
                <w:rFonts w:ascii="Times New Roman" w:hAnsi="Times New Roman" w:cs="Times New Roman"/>
                <w:sz w:val="20"/>
                <w:szCs w:val="20"/>
              </w:rPr>
              <w:t>514</w:t>
            </w:r>
          </w:p>
        </w:tc>
      </w:tr>
      <w:tr w:rsidR="00731C28" w:rsidRPr="0061746E" w14:paraId="7444ADFA" w14:textId="77777777" w:rsidTr="00816216">
        <w:trPr>
          <w:trHeight w:val="300"/>
        </w:trPr>
        <w:tc>
          <w:tcPr>
            <w:tcW w:w="2410" w:type="dxa"/>
            <w:shd w:val="clear" w:color="auto" w:fill="F2F2F2" w:themeFill="background1" w:themeFillShade="F2"/>
          </w:tcPr>
          <w:p w14:paraId="51E1C4E3" w14:textId="77777777" w:rsidR="00731C28" w:rsidRPr="0061746E" w:rsidRDefault="00731C28" w:rsidP="00816216">
            <w:pPr>
              <w:rPr>
                <w:rFonts w:ascii="Times New Roman" w:hAnsi="Times New Roman" w:cs="Times New Roman"/>
                <w:sz w:val="20"/>
                <w:szCs w:val="20"/>
              </w:rPr>
            </w:pPr>
            <w:r w:rsidRPr="0061746E">
              <w:rPr>
                <w:rFonts w:ascii="Times New Roman" w:hAnsi="Times New Roman" w:cs="Times New Roman"/>
                <w:sz w:val="20"/>
                <w:szCs w:val="20"/>
              </w:rPr>
              <w:t>UKUPNO</w:t>
            </w:r>
          </w:p>
        </w:tc>
        <w:tc>
          <w:tcPr>
            <w:tcW w:w="1984" w:type="dxa"/>
            <w:shd w:val="clear" w:color="auto" w:fill="auto"/>
          </w:tcPr>
          <w:p w14:paraId="5D4B0903" w14:textId="77777777" w:rsidR="00731C28" w:rsidRPr="0061746E" w:rsidRDefault="00731C28" w:rsidP="00816216">
            <w:pPr>
              <w:jc w:val="center"/>
              <w:rPr>
                <w:rFonts w:ascii="Times New Roman" w:hAnsi="Times New Roman" w:cs="Times New Roman"/>
                <w:sz w:val="20"/>
                <w:szCs w:val="20"/>
              </w:rPr>
            </w:pPr>
            <w:r>
              <w:rPr>
                <w:rFonts w:ascii="Times New Roman" w:hAnsi="Times New Roman" w:cs="Times New Roman"/>
                <w:sz w:val="20"/>
                <w:szCs w:val="20"/>
              </w:rPr>
              <w:t>124</w:t>
            </w:r>
          </w:p>
        </w:tc>
        <w:tc>
          <w:tcPr>
            <w:tcW w:w="1985" w:type="dxa"/>
            <w:shd w:val="clear" w:color="auto" w:fill="auto"/>
          </w:tcPr>
          <w:p w14:paraId="22A59C0C" w14:textId="77777777" w:rsidR="00731C28" w:rsidRPr="003312E7" w:rsidRDefault="00731C28" w:rsidP="00816216">
            <w:pPr>
              <w:jc w:val="right"/>
              <w:rPr>
                <w:rFonts w:ascii="Times New Roman" w:hAnsi="Times New Roman" w:cs="Times New Roman"/>
                <w:sz w:val="20"/>
                <w:szCs w:val="20"/>
              </w:rPr>
            </w:pPr>
            <w:r w:rsidRPr="003312E7">
              <w:rPr>
                <w:rFonts w:ascii="Times New Roman" w:hAnsi="Times New Roman" w:cs="Times New Roman"/>
                <w:sz w:val="20"/>
                <w:szCs w:val="20"/>
              </w:rPr>
              <w:t>186.374.448,71</w:t>
            </w:r>
            <w:r>
              <w:rPr>
                <w:rFonts w:ascii="Times New Roman" w:hAnsi="Times New Roman" w:cs="Times New Roman"/>
                <w:sz w:val="20"/>
                <w:szCs w:val="20"/>
              </w:rPr>
              <w:t xml:space="preserve"> kn</w:t>
            </w:r>
          </w:p>
        </w:tc>
        <w:tc>
          <w:tcPr>
            <w:tcW w:w="2693" w:type="dxa"/>
            <w:shd w:val="clear" w:color="auto" w:fill="auto"/>
          </w:tcPr>
          <w:p w14:paraId="466037AC" w14:textId="77777777" w:rsidR="00731C28" w:rsidRPr="0061746E" w:rsidRDefault="00731C28" w:rsidP="00816216">
            <w:pPr>
              <w:jc w:val="center"/>
              <w:rPr>
                <w:rFonts w:ascii="Times New Roman" w:hAnsi="Times New Roman" w:cs="Times New Roman"/>
                <w:sz w:val="20"/>
                <w:szCs w:val="20"/>
              </w:rPr>
            </w:pPr>
            <w:r>
              <w:rPr>
                <w:rFonts w:ascii="Times New Roman" w:hAnsi="Times New Roman" w:cs="Times New Roman"/>
                <w:sz w:val="20"/>
                <w:szCs w:val="20"/>
              </w:rPr>
              <w:t>2101</w:t>
            </w:r>
          </w:p>
        </w:tc>
      </w:tr>
      <w:tr w:rsidR="00731C28" w:rsidRPr="0061746E" w14:paraId="5382FE94" w14:textId="77777777" w:rsidTr="00816216">
        <w:trPr>
          <w:trHeight w:val="771"/>
        </w:trPr>
        <w:tc>
          <w:tcPr>
            <w:tcW w:w="9072" w:type="dxa"/>
            <w:gridSpan w:val="4"/>
            <w:shd w:val="clear" w:color="auto" w:fill="F2F2F2" w:themeFill="background1" w:themeFillShade="F2"/>
            <w:vAlign w:val="center"/>
          </w:tcPr>
          <w:p w14:paraId="09D350A0" w14:textId="77777777" w:rsidR="00731C28" w:rsidRPr="003312E7" w:rsidRDefault="00731C28" w:rsidP="00816216">
            <w:pPr>
              <w:jc w:val="center"/>
              <w:rPr>
                <w:rFonts w:ascii="Times New Roman" w:hAnsi="Times New Roman" w:cs="Times New Roman"/>
                <w:b/>
                <w:bCs/>
                <w:sz w:val="20"/>
                <w:szCs w:val="20"/>
              </w:rPr>
            </w:pPr>
            <w:r w:rsidRPr="003312E7">
              <w:rPr>
                <w:rFonts w:ascii="Times New Roman" w:hAnsi="Times New Roman" w:cs="Times New Roman"/>
                <w:b/>
                <w:bCs/>
                <w:sz w:val="20"/>
                <w:szCs w:val="20"/>
              </w:rPr>
              <w:t>ESF, Operativni program „Učinkoviti ljudski potencijali 2014.-2020.“</w:t>
            </w:r>
          </w:p>
          <w:p w14:paraId="0AC8C6E5" w14:textId="77777777" w:rsidR="00731C28" w:rsidRPr="0061746E" w:rsidRDefault="00731C28" w:rsidP="00816216">
            <w:pPr>
              <w:jc w:val="center"/>
              <w:rPr>
                <w:rFonts w:ascii="Times New Roman" w:hAnsi="Times New Roman" w:cs="Times New Roman"/>
                <w:sz w:val="20"/>
                <w:szCs w:val="20"/>
              </w:rPr>
            </w:pPr>
            <w:r w:rsidRPr="003312E7">
              <w:rPr>
                <w:rFonts w:ascii="Times New Roman" w:hAnsi="Times New Roman" w:cs="Times New Roman"/>
                <w:b/>
                <w:bCs/>
                <w:sz w:val="20"/>
                <w:szCs w:val="20"/>
              </w:rPr>
              <w:t>Razvoj usluge osobne asistencije za osobe s invaliditetom - Faza III - ugovoreni do dana 3. ožujka 2021.</w:t>
            </w:r>
          </w:p>
        </w:tc>
      </w:tr>
      <w:tr w:rsidR="00731C28" w:rsidRPr="0061746E" w14:paraId="2A8C9F4F" w14:textId="77777777" w:rsidTr="00816216">
        <w:tc>
          <w:tcPr>
            <w:tcW w:w="2410" w:type="dxa"/>
            <w:shd w:val="clear" w:color="auto" w:fill="F2F2F2" w:themeFill="background1" w:themeFillShade="F2"/>
            <w:vAlign w:val="center"/>
          </w:tcPr>
          <w:p w14:paraId="636D673A" w14:textId="77777777" w:rsidR="00731C28" w:rsidRPr="0061746E" w:rsidRDefault="00731C28" w:rsidP="00816216">
            <w:pPr>
              <w:jc w:val="center"/>
              <w:rPr>
                <w:rFonts w:ascii="Times New Roman" w:hAnsi="Times New Roman" w:cs="Times New Roman"/>
                <w:sz w:val="20"/>
                <w:szCs w:val="20"/>
              </w:rPr>
            </w:pPr>
            <w:r>
              <w:rPr>
                <w:rFonts w:ascii="Times New Roman" w:hAnsi="Times New Roman" w:cs="Times New Roman"/>
                <w:sz w:val="20"/>
                <w:szCs w:val="20"/>
              </w:rPr>
              <w:t>usluga</w:t>
            </w:r>
          </w:p>
        </w:tc>
        <w:tc>
          <w:tcPr>
            <w:tcW w:w="1984" w:type="dxa"/>
            <w:shd w:val="clear" w:color="auto" w:fill="F2F2F2" w:themeFill="background1" w:themeFillShade="F2"/>
            <w:vAlign w:val="center"/>
          </w:tcPr>
          <w:p w14:paraId="771E18BF" w14:textId="77777777" w:rsidR="00731C28" w:rsidRPr="0061746E" w:rsidRDefault="00731C28" w:rsidP="00816216">
            <w:pPr>
              <w:jc w:val="center"/>
              <w:rPr>
                <w:rFonts w:ascii="Times New Roman" w:hAnsi="Times New Roman" w:cs="Times New Roman"/>
                <w:sz w:val="20"/>
                <w:szCs w:val="20"/>
              </w:rPr>
            </w:pPr>
            <w:r>
              <w:rPr>
                <w:rFonts w:ascii="Times New Roman" w:hAnsi="Times New Roman" w:cs="Times New Roman"/>
                <w:sz w:val="20"/>
                <w:szCs w:val="20"/>
              </w:rPr>
              <w:t>b</w:t>
            </w:r>
            <w:r w:rsidRPr="0061746E">
              <w:rPr>
                <w:rFonts w:ascii="Times New Roman" w:hAnsi="Times New Roman" w:cs="Times New Roman"/>
                <w:sz w:val="20"/>
                <w:szCs w:val="20"/>
              </w:rPr>
              <w:t>roj organizacija civilnog društva /udruga</w:t>
            </w:r>
          </w:p>
        </w:tc>
        <w:tc>
          <w:tcPr>
            <w:tcW w:w="1985" w:type="dxa"/>
            <w:shd w:val="clear" w:color="auto" w:fill="F2F2F2" w:themeFill="background1" w:themeFillShade="F2"/>
            <w:vAlign w:val="center"/>
          </w:tcPr>
          <w:p w14:paraId="58A8612E" w14:textId="77777777" w:rsidR="00731C28" w:rsidRPr="0061746E" w:rsidRDefault="00731C28" w:rsidP="00816216">
            <w:pPr>
              <w:jc w:val="center"/>
              <w:rPr>
                <w:rFonts w:ascii="Times New Roman" w:hAnsi="Times New Roman" w:cs="Times New Roman"/>
                <w:sz w:val="20"/>
                <w:szCs w:val="20"/>
              </w:rPr>
            </w:pPr>
            <w:r>
              <w:rPr>
                <w:rFonts w:ascii="Times New Roman" w:hAnsi="Times New Roman" w:cs="Times New Roman"/>
                <w:sz w:val="20"/>
                <w:szCs w:val="20"/>
              </w:rPr>
              <w:t>iz</w:t>
            </w:r>
            <w:r w:rsidRPr="0061746E">
              <w:rPr>
                <w:rFonts w:ascii="Times New Roman" w:hAnsi="Times New Roman" w:cs="Times New Roman"/>
                <w:sz w:val="20"/>
                <w:szCs w:val="20"/>
              </w:rPr>
              <w:t>nos sredstava</w:t>
            </w:r>
          </w:p>
        </w:tc>
        <w:tc>
          <w:tcPr>
            <w:tcW w:w="2693" w:type="dxa"/>
            <w:shd w:val="clear" w:color="auto" w:fill="F2F2F2" w:themeFill="background1" w:themeFillShade="F2"/>
            <w:vAlign w:val="center"/>
          </w:tcPr>
          <w:p w14:paraId="4EA4FD0C" w14:textId="77777777" w:rsidR="00731C28" w:rsidRPr="0061746E" w:rsidRDefault="00731C28" w:rsidP="00816216">
            <w:pPr>
              <w:jc w:val="center"/>
              <w:rPr>
                <w:rFonts w:ascii="Times New Roman" w:hAnsi="Times New Roman" w:cs="Times New Roman"/>
                <w:sz w:val="20"/>
                <w:szCs w:val="20"/>
              </w:rPr>
            </w:pPr>
            <w:r>
              <w:rPr>
                <w:rFonts w:ascii="Times New Roman" w:hAnsi="Times New Roman" w:cs="Times New Roman"/>
                <w:sz w:val="20"/>
                <w:szCs w:val="20"/>
              </w:rPr>
              <w:t>broj korisnika</w:t>
            </w:r>
          </w:p>
        </w:tc>
      </w:tr>
      <w:tr w:rsidR="00731C28" w:rsidRPr="0061746E" w14:paraId="10350BFA" w14:textId="77777777" w:rsidTr="00816216">
        <w:tc>
          <w:tcPr>
            <w:tcW w:w="2410" w:type="dxa"/>
            <w:shd w:val="clear" w:color="auto" w:fill="F2F2F2" w:themeFill="background1" w:themeFillShade="F2"/>
            <w:vAlign w:val="center"/>
          </w:tcPr>
          <w:p w14:paraId="6FC86D64" w14:textId="77777777" w:rsidR="00731C28" w:rsidRPr="0061746E" w:rsidRDefault="00731C28" w:rsidP="00816216">
            <w:pPr>
              <w:rPr>
                <w:rFonts w:ascii="Times New Roman" w:hAnsi="Times New Roman" w:cs="Times New Roman"/>
                <w:sz w:val="20"/>
                <w:szCs w:val="20"/>
              </w:rPr>
            </w:pPr>
            <w:r w:rsidRPr="0061746E">
              <w:rPr>
                <w:rFonts w:ascii="Times New Roman" w:hAnsi="Times New Roman" w:cs="Times New Roman"/>
                <w:sz w:val="20"/>
                <w:szCs w:val="20"/>
              </w:rPr>
              <w:t>uslug</w:t>
            </w:r>
            <w:r>
              <w:rPr>
                <w:rFonts w:ascii="Times New Roman" w:hAnsi="Times New Roman" w:cs="Times New Roman"/>
                <w:sz w:val="20"/>
                <w:szCs w:val="20"/>
              </w:rPr>
              <w:t>a</w:t>
            </w:r>
            <w:r w:rsidRPr="0061746E">
              <w:rPr>
                <w:rFonts w:ascii="Times New Roman" w:hAnsi="Times New Roman" w:cs="Times New Roman"/>
                <w:sz w:val="20"/>
                <w:szCs w:val="20"/>
              </w:rPr>
              <w:t xml:space="preserve"> osobne asistencije</w:t>
            </w:r>
          </w:p>
        </w:tc>
        <w:tc>
          <w:tcPr>
            <w:tcW w:w="1984" w:type="dxa"/>
            <w:vAlign w:val="center"/>
          </w:tcPr>
          <w:p w14:paraId="77199168" w14:textId="77777777" w:rsidR="00731C28" w:rsidRPr="0061746E" w:rsidRDefault="00731C28" w:rsidP="00816216">
            <w:pPr>
              <w:jc w:val="center"/>
              <w:rPr>
                <w:rFonts w:ascii="Times New Roman" w:hAnsi="Times New Roman" w:cs="Times New Roman"/>
                <w:sz w:val="20"/>
                <w:szCs w:val="20"/>
              </w:rPr>
            </w:pPr>
            <w:r>
              <w:rPr>
                <w:rFonts w:ascii="Times New Roman" w:hAnsi="Times New Roman" w:cs="Times New Roman"/>
                <w:sz w:val="20"/>
                <w:szCs w:val="20"/>
              </w:rPr>
              <w:t>45</w:t>
            </w:r>
          </w:p>
        </w:tc>
        <w:tc>
          <w:tcPr>
            <w:tcW w:w="1985" w:type="dxa"/>
            <w:vAlign w:val="center"/>
          </w:tcPr>
          <w:p w14:paraId="2AEC3B31" w14:textId="77777777" w:rsidR="00731C28" w:rsidRPr="0061746E" w:rsidRDefault="00731C28" w:rsidP="00816216">
            <w:pPr>
              <w:jc w:val="right"/>
              <w:rPr>
                <w:rFonts w:ascii="Times New Roman" w:hAnsi="Times New Roman" w:cs="Times New Roman"/>
                <w:sz w:val="20"/>
                <w:szCs w:val="20"/>
              </w:rPr>
            </w:pPr>
            <w:r>
              <w:rPr>
                <w:rFonts w:ascii="Times New Roman" w:hAnsi="Times New Roman" w:cs="Times New Roman"/>
                <w:sz w:val="20"/>
                <w:szCs w:val="20"/>
              </w:rPr>
              <w:t>75.888.245,47 kn</w:t>
            </w:r>
          </w:p>
        </w:tc>
        <w:tc>
          <w:tcPr>
            <w:tcW w:w="2693" w:type="dxa"/>
            <w:vAlign w:val="center"/>
          </w:tcPr>
          <w:p w14:paraId="43A79CBE" w14:textId="77777777" w:rsidR="00731C28" w:rsidRPr="0061746E" w:rsidRDefault="00731C28" w:rsidP="00816216">
            <w:pPr>
              <w:jc w:val="center"/>
              <w:rPr>
                <w:rFonts w:ascii="Times New Roman" w:hAnsi="Times New Roman" w:cs="Times New Roman"/>
                <w:sz w:val="20"/>
                <w:szCs w:val="20"/>
              </w:rPr>
            </w:pPr>
            <w:r>
              <w:rPr>
                <w:rFonts w:ascii="Times New Roman" w:hAnsi="Times New Roman" w:cs="Times New Roman"/>
                <w:sz w:val="20"/>
                <w:szCs w:val="20"/>
              </w:rPr>
              <w:t>750</w:t>
            </w:r>
          </w:p>
        </w:tc>
      </w:tr>
      <w:tr w:rsidR="00731C28" w:rsidRPr="0061746E" w14:paraId="1EB3F03B" w14:textId="77777777" w:rsidTr="00816216">
        <w:tc>
          <w:tcPr>
            <w:tcW w:w="2410" w:type="dxa"/>
            <w:shd w:val="clear" w:color="auto" w:fill="F2F2F2" w:themeFill="background1" w:themeFillShade="F2"/>
            <w:vAlign w:val="center"/>
          </w:tcPr>
          <w:p w14:paraId="5E193F53" w14:textId="77777777" w:rsidR="00731C28" w:rsidRPr="0061746E" w:rsidRDefault="00731C28" w:rsidP="00816216">
            <w:pPr>
              <w:rPr>
                <w:rFonts w:ascii="Times New Roman" w:hAnsi="Times New Roman" w:cs="Times New Roman"/>
                <w:sz w:val="20"/>
                <w:szCs w:val="20"/>
              </w:rPr>
            </w:pPr>
            <w:r w:rsidRPr="0061746E">
              <w:rPr>
                <w:rFonts w:ascii="Times New Roman" w:hAnsi="Times New Roman" w:cs="Times New Roman"/>
                <w:sz w:val="20"/>
                <w:szCs w:val="20"/>
              </w:rPr>
              <w:t>uslug</w:t>
            </w:r>
            <w:r>
              <w:rPr>
                <w:rFonts w:ascii="Times New Roman" w:hAnsi="Times New Roman" w:cs="Times New Roman"/>
                <w:sz w:val="20"/>
                <w:szCs w:val="20"/>
              </w:rPr>
              <w:t>a</w:t>
            </w:r>
            <w:r w:rsidRPr="0061746E">
              <w:rPr>
                <w:rFonts w:ascii="Times New Roman" w:hAnsi="Times New Roman" w:cs="Times New Roman"/>
                <w:sz w:val="20"/>
                <w:szCs w:val="20"/>
              </w:rPr>
              <w:t xml:space="preserve"> tumača znakovnog jezika</w:t>
            </w:r>
          </w:p>
        </w:tc>
        <w:tc>
          <w:tcPr>
            <w:tcW w:w="1984" w:type="dxa"/>
            <w:vAlign w:val="center"/>
          </w:tcPr>
          <w:p w14:paraId="099F3443" w14:textId="77777777" w:rsidR="00731C28" w:rsidRPr="0061746E" w:rsidRDefault="00731C28" w:rsidP="00816216">
            <w:pPr>
              <w:jc w:val="center"/>
              <w:rPr>
                <w:rFonts w:ascii="Times New Roman" w:hAnsi="Times New Roman" w:cs="Times New Roman"/>
                <w:sz w:val="20"/>
                <w:szCs w:val="20"/>
              </w:rPr>
            </w:pPr>
            <w:r>
              <w:rPr>
                <w:rFonts w:ascii="Times New Roman" w:hAnsi="Times New Roman" w:cs="Times New Roman"/>
                <w:sz w:val="20"/>
                <w:szCs w:val="20"/>
              </w:rPr>
              <w:t>-</w:t>
            </w:r>
          </w:p>
        </w:tc>
        <w:tc>
          <w:tcPr>
            <w:tcW w:w="1985" w:type="dxa"/>
            <w:vAlign w:val="center"/>
          </w:tcPr>
          <w:p w14:paraId="3BA4B167" w14:textId="77777777" w:rsidR="00731C28" w:rsidRPr="0061746E" w:rsidRDefault="00731C28" w:rsidP="00816216">
            <w:pPr>
              <w:jc w:val="right"/>
              <w:rPr>
                <w:rFonts w:ascii="Times New Roman" w:hAnsi="Times New Roman" w:cs="Times New Roman"/>
                <w:sz w:val="20"/>
                <w:szCs w:val="20"/>
              </w:rPr>
            </w:pPr>
            <w:r>
              <w:rPr>
                <w:rFonts w:ascii="Times New Roman" w:hAnsi="Times New Roman" w:cs="Times New Roman"/>
                <w:sz w:val="20"/>
                <w:szCs w:val="20"/>
              </w:rPr>
              <w:t>-</w:t>
            </w:r>
          </w:p>
        </w:tc>
        <w:tc>
          <w:tcPr>
            <w:tcW w:w="2693" w:type="dxa"/>
            <w:vAlign w:val="center"/>
          </w:tcPr>
          <w:p w14:paraId="383685B3" w14:textId="77777777" w:rsidR="00731C28" w:rsidRPr="0061746E" w:rsidRDefault="00731C28" w:rsidP="00816216">
            <w:pPr>
              <w:jc w:val="center"/>
              <w:rPr>
                <w:rFonts w:ascii="Times New Roman" w:hAnsi="Times New Roman" w:cs="Times New Roman"/>
                <w:sz w:val="20"/>
                <w:szCs w:val="20"/>
              </w:rPr>
            </w:pPr>
            <w:r>
              <w:rPr>
                <w:rFonts w:ascii="Times New Roman" w:hAnsi="Times New Roman" w:cs="Times New Roman"/>
                <w:sz w:val="20"/>
                <w:szCs w:val="20"/>
              </w:rPr>
              <w:t>-</w:t>
            </w:r>
          </w:p>
        </w:tc>
      </w:tr>
      <w:tr w:rsidR="00731C28" w:rsidRPr="0061746E" w14:paraId="58E3DC72" w14:textId="77777777" w:rsidTr="00816216">
        <w:tc>
          <w:tcPr>
            <w:tcW w:w="2410" w:type="dxa"/>
            <w:shd w:val="clear" w:color="auto" w:fill="F2F2F2" w:themeFill="background1" w:themeFillShade="F2"/>
            <w:vAlign w:val="center"/>
          </w:tcPr>
          <w:p w14:paraId="7813D6DB" w14:textId="77777777" w:rsidR="00731C28" w:rsidRPr="0061746E" w:rsidRDefault="00731C28" w:rsidP="00816216">
            <w:pPr>
              <w:rPr>
                <w:rFonts w:ascii="Times New Roman" w:hAnsi="Times New Roman" w:cs="Times New Roman"/>
                <w:sz w:val="20"/>
                <w:szCs w:val="20"/>
              </w:rPr>
            </w:pPr>
            <w:r w:rsidRPr="0061746E">
              <w:rPr>
                <w:rFonts w:ascii="Times New Roman" w:hAnsi="Times New Roman" w:cs="Times New Roman"/>
                <w:sz w:val="20"/>
                <w:szCs w:val="20"/>
              </w:rPr>
              <w:t>uslug</w:t>
            </w:r>
            <w:r>
              <w:rPr>
                <w:rFonts w:ascii="Times New Roman" w:hAnsi="Times New Roman" w:cs="Times New Roman"/>
                <w:sz w:val="20"/>
                <w:szCs w:val="20"/>
              </w:rPr>
              <w:t>a</w:t>
            </w:r>
            <w:r w:rsidRPr="0061746E">
              <w:rPr>
                <w:rFonts w:ascii="Times New Roman" w:hAnsi="Times New Roman" w:cs="Times New Roman"/>
                <w:sz w:val="20"/>
                <w:szCs w:val="20"/>
              </w:rPr>
              <w:t xml:space="preserve"> </w:t>
            </w:r>
            <w:proofErr w:type="spellStart"/>
            <w:r w:rsidRPr="0061746E">
              <w:rPr>
                <w:rFonts w:ascii="Times New Roman" w:hAnsi="Times New Roman" w:cs="Times New Roman"/>
                <w:sz w:val="20"/>
                <w:szCs w:val="20"/>
              </w:rPr>
              <w:t>videćeg</w:t>
            </w:r>
            <w:proofErr w:type="spellEnd"/>
            <w:r w:rsidRPr="0061746E">
              <w:rPr>
                <w:rFonts w:ascii="Times New Roman" w:hAnsi="Times New Roman" w:cs="Times New Roman"/>
                <w:sz w:val="20"/>
                <w:szCs w:val="20"/>
              </w:rPr>
              <w:t xml:space="preserve"> pratitelja</w:t>
            </w:r>
          </w:p>
        </w:tc>
        <w:tc>
          <w:tcPr>
            <w:tcW w:w="1984" w:type="dxa"/>
            <w:shd w:val="clear" w:color="auto" w:fill="auto"/>
            <w:vAlign w:val="center"/>
          </w:tcPr>
          <w:p w14:paraId="2C267E14" w14:textId="77777777" w:rsidR="00731C28" w:rsidRPr="0061746E" w:rsidRDefault="00731C28" w:rsidP="00816216">
            <w:pPr>
              <w:jc w:val="center"/>
              <w:rPr>
                <w:rFonts w:ascii="Times New Roman" w:hAnsi="Times New Roman" w:cs="Times New Roman"/>
                <w:sz w:val="20"/>
                <w:szCs w:val="20"/>
              </w:rPr>
            </w:pPr>
            <w:r>
              <w:rPr>
                <w:rFonts w:ascii="Times New Roman" w:hAnsi="Times New Roman" w:cs="Times New Roman"/>
                <w:sz w:val="20"/>
                <w:szCs w:val="20"/>
              </w:rPr>
              <w:t>-</w:t>
            </w:r>
          </w:p>
        </w:tc>
        <w:tc>
          <w:tcPr>
            <w:tcW w:w="1985" w:type="dxa"/>
            <w:shd w:val="clear" w:color="auto" w:fill="auto"/>
            <w:vAlign w:val="center"/>
          </w:tcPr>
          <w:p w14:paraId="5BBF9C1B" w14:textId="77777777" w:rsidR="00731C28" w:rsidRPr="0061746E" w:rsidRDefault="00731C28" w:rsidP="00816216">
            <w:pPr>
              <w:jc w:val="right"/>
              <w:rPr>
                <w:rFonts w:ascii="Times New Roman" w:hAnsi="Times New Roman" w:cs="Times New Roman"/>
                <w:sz w:val="20"/>
                <w:szCs w:val="20"/>
              </w:rPr>
            </w:pPr>
            <w:r>
              <w:rPr>
                <w:rFonts w:ascii="Times New Roman" w:hAnsi="Times New Roman" w:cs="Times New Roman"/>
                <w:sz w:val="20"/>
                <w:szCs w:val="20"/>
              </w:rPr>
              <w:t>-</w:t>
            </w:r>
          </w:p>
        </w:tc>
        <w:tc>
          <w:tcPr>
            <w:tcW w:w="2693" w:type="dxa"/>
            <w:shd w:val="clear" w:color="auto" w:fill="auto"/>
            <w:vAlign w:val="center"/>
          </w:tcPr>
          <w:p w14:paraId="60D4A5A7" w14:textId="77777777" w:rsidR="00731C28" w:rsidRPr="0061746E" w:rsidRDefault="00731C28" w:rsidP="00816216">
            <w:pPr>
              <w:jc w:val="center"/>
              <w:rPr>
                <w:rFonts w:ascii="Times New Roman" w:hAnsi="Times New Roman" w:cs="Times New Roman"/>
                <w:sz w:val="20"/>
                <w:szCs w:val="20"/>
              </w:rPr>
            </w:pPr>
            <w:r>
              <w:rPr>
                <w:rFonts w:ascii="Times New Roman" w:hAnsi="Times New Roman" w:cs="Times New Roman"/>
                <w:sz w:val="20"/>
                <w:szCs w:val="20"/>
              </w:rPr>
              <w:t>-</w:t>
            </w:r>
          </w:p>
        </w:tc>
      </w:tr>
      <w:tr w:rsidR="00731C28" w:rsidRPr="0061746E" w14:paraId="28CE8AB3" w14:textId="77777777" w:rsidTr="00816216">
        <w:trPr>
          <w:trHeight w:val="262"/>
        </w:trPr>
        <w:tc>
          <w:tcPr>
            <w:tcW w:w="2410" w:type="dxa"/>
            <w:shd w:val="clear" w:color="auto" w:fill="F2F2F2" w:themeFill="background1" w:themeFillShade="F2"/>
          </w:tcPr>
          <w:p w14:paraId="388CE705" w14:textId="77777777" w:rsidR="00731C28" w:rsidRPr="0061746E" w:rsidRDefault="00731C28" w:rsidP="00816216">
            <w:pPr>
              <w:rPr>
                <w:rFonts w:ascii="Times New Roman" w:hAnsi="Times New Roman" w:cs="Times New Roman"/>
                <w:sz w:val="20"/>
                <w:szCs w:val="20"/>
              </w:rPr>
            </w:pPr>
            <w:r w:rsidRPr="0061746E">
              <w:rPr>
                <w:rFonts w:ascii="Times New Roman" w:hAnsi="Times New Roman" w:cs="Times New Roman"/>
                <w:sz w:val="20"/>
                <w:szCs w:val="20"/>
              </w:rPr>
              <w:t>UKUPNO</w:t>
            </w:r>
          </w:p>
        </w:tc>
        <w:tc>
          <w:tcPr>
            <w:tcW w:w="1984" w:type="dxa"/>
            <w:shd w:val="clear" w:color="auto" w:fill="auto"/>
            <w:vAlign w:val="center"/>
          </w:tcPr>
          <w:p w14:paraId="108769FC" w14:textId="77777777" w:rsidR="00731C28" w:rsidRPr="0061746E" w:rsidRDefault="00731C28" w:rsidP="00816216">
            <w:pPr>
              <w:jc w:val="center"/>
              <w:rPr>
                <w:rFonts w:ascii="Times New Roman" w:hAnsi="Times New Roman" w:cs="Times New Roman"/>
                <w:sz w:val="20"/>
                <w:szCs w:val="20"/>
              </w:rPr>
            </w:pPr>
            <w:r>
              <w:rPr>
                <w:rFonts w:ascii="Times New Roman" w:hAnsi="Times New Roman" w:cs="Times New Roman"/>
                <w:sz w:val="20"/>
                <w:szCs w:val="20"/>
              </w:rPr>
              <w:t>45</w:t>
            </w:r>
          </w:p>
        </w:tc>
        <w:tc>
          <w:tcPr>
            <w:tcW w:w="1985" w:type="dxa"/>
            <w:shd w:val="clear" w:color="auto" w:fill="auto"/>
            <w:vAlign w:val="center"/>
          </w:tcPr>
          <w:p w14:paraId="35F9A0BE" w14:textId="77777777" w:rsidR="00731C28" w:rsidRPr="00FE3B53" w:rsidRDefault="00731C28" w:rsidP="00816216">
            <w:pPr>
              <w:jc w:val="right"/>
              <w:rPr>
                <w:rFonts w:ascii="Times New Roman" w:hAnsi="Times New Roman" w:cs="Times New Roman"/>
                <w:b/>
                <w:bCs/>
                <w:sz w:val="20"/>
                <w:szCs w:val="20"/>
              </w:rPr>
            </w:pPr>
            <w:r>
              <w:rPr>
                <w:rFonts w:ascii="Times New Roman" w:hAnsi="Times New Roman" w:cs="Times New Roman"/>
                <w:sz w:val="20"/>
                <w:szCs w:val="20"/>
              </w:rPr>
              <w:t>75.888.245,47 kn</w:t>
            </w:r>
          </w:p>
        </w:tc>
        <w:tc>
          <w:tcPr>
            <w:tcW w:w="2693" w:type="dxa"/>
            <w:shd w:val="clear" w:color="auto" w:fill="auto"/>
            <w:vAlign w:val="center"/>
          </w:tcPr>
          <w:p w14:paraId="44987BB4" w14:textId="77777777" w:rsidR="00731C28" w:rsidRPr="0061746E" w:rsidRDefault="00731C28" w:rsidP="00816216">
            <w:pPr>
              <w:jc w:val="center"/>
              <w:rPr>
                <w:rFonts w:ascii="Times New Roman" w:hAnsi="Times New Roman" w:cs="Times New Roman"/>
                <w:sz w:val="20"/>
                <w:szCs w:val="20"/>
              </w:rPr>
            </w:pPr>
            <w:r>
              <w:rPr>
                <w:rFonts w:ascii="Times New Roman" w:hAnsi="Times New Roman" w:cs="Times New Roman"/>
                <w:sz w:val="20"/>
                <w:szCs w:val="20"/>
              </w:rPr>
              <w:t>750</w:t>
            </w:r>
          </w:p>
        </w:tc>
      </w:tr>
    </w:tbl>
    <w:p w14:paraId="16ABB47F" w14:textId="77777777" w:rsidR="00731C28" w:rsidRDefault="00731C28" w:rsidP="00731C28">
      <w:pPr>
        <w:spacing w:after="0" w:line="240" w:lineRule="auto"/>
        <w:jc w:val="both"/>
        <w:rPr>
          <w:rFonts w:ascii="Times New Roman" w:hAnsi="Times New Roman" w:cs="Times New Roman"/>
          <w:sz w:val="24"/>
          <w:szCs w:val="24"/>
        </w:rPr>
      </w:pPr>
    </w:p>
    <w:p w14:paraId="543819D8" w14:textId="77777777" w:rsidR="00731C28" w:rsidRDefault="00731C28" w:rsidP="00731C28"/>
    <w:p w14:paraId="046FFF3A" w14:textId="77777777" w:rsidR="00731C28" w:rsidRDefault="00731C28">
      <w:pPr>
        <w:rPr>
          <w:rFonts w:ascii="Times New Roman" w:hAnsi="Times New Roman" w:cs="Times New Roman"/>
          <w:b/>
          <w:bCs/>
          <w:sz w:val="24"/>
          <w:szCs w:val="24"/>
          <w:u w:val="single"/>
        </w:rPr>
      </w:pPr>
    </w:p>
    <w:p w14:paraId="10C1A263" w14:textId="6F7F5F18" w:rsidR="00731C28" w:rsidRDefault="00731C28">
      <w:pPr>
        <w:rPr>
          <w:rFonts w:ascii="Times New Roman" w:hAnsi="Times New Roman" w:cs="Times New Roman"/>
          <w:b/>
          <w:bCs/>
          <w:sz w:val="24"/>
          <w:szCs w:val="24"/>
          <w:u w:val="single"/>
        </w:rPr>
      </w:pPr>
      <w:r>
        <w:rPr>
          <w:rFonts w:ascii="Times New Roman" w:hAnsi="Times New Roman" w:cs="Times New Roman"/>
          <w:b/>
          <w:bCs/>
          <w:sz w:val="24"/>
          <w:szCs w:val="24"/>
          <w:u w:val="single"/>
        </w:rPr>
        <w:br w:type="page"/>
      </w:r>
    </w:p>
    <w:p w14:paraId="47B90ABC" w14:textId="0BA9EBA4" w:rsidR="00731C28" w:rsidRPr="00163499" w:rsidRDefault="00731C28" w:rsidP="00731C28">
      <w:pPr>
        <w:spacing w:after="120" w:line="240" w:lineRule="auto"/>
        <w:rPr>
          <w:rFonts w:ascii="Times New Roman" w:hAnsi="Times New Roman" w:cs="Times New Roman"/>
          <w:b/>
          <w:bCs/>
          <w:sz w:val="24"/>
          <w:szCs w:val="24"/>
          <w:u w:val="single"/>
        </w:rPr>
      </w:pPr>
      <w:r w:rsidRPr="00163499">
        <w:rPr>
          <w:rFonts w:ascii="Times New Roman" w:hAnsi="Times New Roman" w:cs="Times New Roman"/>
          <w:b/>
          <w:bCs/>
          <w:sz w:val="24"/>
          <w:szCs w:val="24"/>
          <w:u w:val="single"/>
        </w:rPr>
        <w:lastRenderedPageBreak/>
        <w:t>Prilog 2</w:t>
      </w:r>
      <w:r>
        <w:rPr>
          <w:rFonts w:ascii="Times New Roman" w:hAnsi="Times New Roman" w:cs="Times New Roman"/>
          <w:b/>
          <w:bCs/>
          <w:sz w:val="24"/>
          <w:szCs w:val="24"/>
          <w:u w:val="single"/>
        </w:rPr>
        <w:t>7</w:t>
      </w:r>
    </w:p>
    <w:p w14:paraId="20DDBC25" w14:textId="77777777" w:rsidR="00731C28" w:rsidRDefault="00731C28" w:rsidP="00A418AE">
      <w:pPr>
        <w:spacing w:after="0" w:line="240" w:lineRule="auto"/>
        <w:rPr>
          <w:rFonts w:ascii="Times New Roman" w:hAnsi="Times New Roman" w:cs="Times New Roman"/>
          <w:i/>
          <w:iCs/>
          <w:sz w:val="24"/>
          <w:szCs w:val="24"/>
        </w:rPr>
      </w:pPr>
    </w:p>
    <w:p w14:paraId="758795DB" w14:textId="01D5B235" w:rsidR="00731C28" w:rsidRPr="00163499" w:rsidRDefault="00731C28" w:rsidP="00A418AE">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B</w:t>
      </w:r>
      <w:r w:rsidRPr="00163499">
        <w:rPr>
          <w:rFonts w:ascii="Times New Roman" w:hAnsi="Times New Roman" w:cs="Times New Roman"/>
          <w:b/>
          <w:bCs/>
          <w:sz w:val="24"/>
          <w:szCs w:val="24"/>
        </w:rPr>
        <w:t xml:space="preserve">ROJ KORISNIKA SOCIJALNE USLUGE SMJEŠTAJA, ORGANIZIRANOG STANOVANJA I </w:t>
      </w:r>
      <w:r>
        <w:rPr>
          <w:rFonts w:ascii="Times New Roman" w:hAnsi="Times New Roman" w:cs="Times New Roman"/>
          <w:b/>
          <w:bCs/>
          <w:sz w:val="24"/>
          <w:szCs w:val="24"/>
        </w:rPr>
        <w:br/>
      </w:r>
      <w:r w:rsidRPr="00163499">
        <w:rPr>
          <w:rFonts w:ascii="Times New Roman" w:hAnsi="Times New Roman" w:cs="Times New Roman"/>
          <w:b/>
          <w:bCs/>
          <w:sz w:val="24"/>
          <w:szCs w:val="24"/>
        </w:rPr>
        <w:t>IZVANINSTITUCIJSKIH USLUGA</w:t>
      </w:r>
    </w:p>
    <w:p w14:paraId="6D8CD829" w14:textId="77777777" w:rsidR="00731C28" w:rsidRDefault="00731C28" w:rsidP="00A418AE">
      <w:pPr>
        <w:spacing w:after="0" w:line="240" w:lineRule="auto"/>
        <w:rPr>
          <w:rFonts w:ascii="Times New Roman" w:hAnsi="Times New Roman" w:cs="Times New Roman"/>
          <w:i/>
          <w:iCs/>
          <w:sz w:val="24"/>
          <w:szCs w:val="24"/>
        </w:rPr>
      </w:pPr>
    </w:p>
    <w:p w14:paraId="4F4D826C" w14:textId="77777777" w:rsidR="00731C28" w:rsidRDefault="00731C28" w:rsidP="00A418AE">
      <w:pPr>
        <w:spacing w:after="0" w:line="240" w:lineRule="auto"/>
        <w:rPr>
          <w:rFonts w:ascii="Times New Roman" w:hAnsi="Times New Roman" w:cs="Times New Roman"/>
          <w:i/>
          <w:iCs/>
          <w:sz w:val="24"/>
          <w:szCs w:val="24"/>
        </w:rPr>
      </w:pPr>
      <w:r w:rsidRPr="00AF7DB1">
        <w:rPr>
          <w:rFonts w:ascii="Times New Roman" w:hAnsi="Times New Roman" w:cs="Times New Roman"/>
          <w:i/>
          <w:iCs/>
          <w:sz w:val="24"/>
          <w:szCs w:val="24"/>
        </w:rPr>
        <w:t xml:space="preserve">Podaci o broju korisnika </w:t>
      </w:r>
      <w:r>
        <w:rPr>
          <w:rFonts w:ascii="Times New Roman" w:hAnsi="Times New Roman" w:cs="Times New Roman"/>
          <w:i/>
          <w:iCs/>
          <w:sz w:val="24"/>
          <w:szCs w:val="24"/>
        </w:rPr>
        <w:t xml:space="preserve">socijalne </w:t>
      </w:r>
      <w:r w:rsidRPr="00AF7DB1">
        <w:rPr>
          <w:rFonts w:ascii="Times New Roman" w:hAnsi="Times New Roman" w:cs="Times New Roman"/>
          <w:i/>
          <w:iCs/>
          <w:sz w:val="24"/>
          <w:szCs w:val="24"/>
        </w:rPr>
        <w:t xml:space="preserve">usluge smještaja i organiziranog stanovanja </w:t>
      </w:r>
    </w:p>
    <w:tbl>
      <w:tblPr>
        <w:tblStyle w:val="Reetkatablice"/>
        <w:tblW w:w="8915" w:type="dxa"/>
        <w:tblLayout w:type="fixed"/>
        <w:tblLook w:val="04A0" w:firstRow="1" w:lastRow="0" w:firstColumn="1" w:lastColumn="0" w:noHBand="0" w:noVBand="1"/>
      </w:tblPr>
      <w:tblGrid>
        <w:gridCol w:w="1510"/>
        <w:gridCol w:w="1777"/>
        <w:gridCol w:w="1701"/>
        <w:gridCol w:w="1560"/>
        <w:gridCol w:w="2367"/>
      </w:tblGrid>
      <w:tr w:rsidR="00731C28" w14:paraId="02D59D99" w14:textId="77777777" w:rsidTr="00816216">
        <w:trPr>
          <w:trHeight w:val="425"/>
        </w:trPr>
        <w:tc>
          <w:tcPr>
            <w:tcW w:w="1510" w:type="dxa"/>
            <w:shd w:val="clear" w:color="auto" w:fill="D9D9D9" w:themeFill="background1" w:themeFillShade="D9"/>
            <w:vAlign w:val="center"/>
          </w:tcPr>
          <w:p w14:paraId="6B9147DE" w14:textId="77777777" w:rsidR="00731C28" w:rsidRPr="00AF7DB1" w:rsidRDefault="00731C28" w:rsidP="00A418AE">
            <w:pPr>
              <w:jc w:val="center"/>
              <w:rPr>
                <w:rFonts w:ascii="Times New Roman" w:hAnsi="Times New Roman" w:cs="Times New Roman"/>
              </w:rPr>
            </w:pPr>
            <w:r>
              <w:rPr>
                <w:rFonts w:ascii="Times New Roman" w:hAnsi="Times New Roman" w:cs="Times New Roman"/>
              </w:rPr>
              <w:t>usluga</w:t>
            </w:r>
          </w:p>
        </w:tc>
        <w:tc>
          <w:tcPr>
            <w:tcW w:w="1777" w:type="dxa"/>
            <w:shd w:val="clear" w:color="auto" w:fill="D9D9D9" w:themeFill="background1" w:themeFillShade="D9"/>
            <w:vAlign w:val="center"/>
          </w:tcPr>
          <w:p w14:paraId="3F7EF94C" w14:textId="77777777" w:rsidR="00731C28" w:rsidRPr="00AF7DB1" w:rsidRDefault="00731C28" w:rsidP="00A418AE">
            <w:pPr>
              <w:jc w:val="center"/>
              <w:rPr>
                <w:rFonts w:ascii="Times New Roman" w:hAnsi="Times New Roman" w:cs="Times New Roman"/>
              </w:rPr>
            </w:pPr>
            <w:r w:rsidRPr="00AF7DB1">
              <w:rPr>
                <w:rFonts w:ascii="Times New Roman" w:hAnsi="Times New Roman" w:cs="Times New Roman"/>
              </w:rPr>
              <w:t>2017.</w:t>
            </w:r>
            <w:r>
              <w:rPr>
                <w:rFonts w:ascii="Times New Roman" w:hAnsi="Times New Roman" w:cs="Times New Roman"/>
              </w:rPr>
              <w:t xml:space="preserve"> godina</w:t>
            </w:r>
          </w:p>
        </w:tc>
        <w:tc>
          <w:tcPr>
            <w:tcW w:w="1701" w:type="dxa"/>
            <w:shd w:val="clear" w:color="auto" w:fill="D9D9D9" w:themeFill="background1" w:themeFillShade="D9"/>
            <w:vAlign w:val="center"/>
          </w:tcPr>
          <w:p w14:paraId="052EB6F3" w14:textId="77777777" w:rsidR="00731C28" w:rsidRPr="00AF7DB1" w:rsidRDefault="00731C28" w:rsidP="00A418AE">
            <w:pPr>
              <w:jc w:val="center"/>
              <w:rPr>
                <w:rFonts w:ascii="Times New Roman" w:hAnsi="Times New Roman" w:cs="Times New Roman"/>
              </w:rPr>
            </w:pPr>
            <w:r w:rsidRPr="00AF7DB1">
              <w:rPr>
                <w:rFonts w:ascii="Times New Roman" w:hAnsi="Times New Roman" w:cs="Times New Roman"/>
              </w:rPr>
              <w:t>2018.</w:t>
            </w:r>
            <w:r>
              <w:rPr>
                <w:rFonts w:ascii="Times New Roman" w:hAnsi="Times New Roman" w:cs="Times New Roman"/>
              </w:rPr>
              <w:t xml:space="preserve"> godina</w:t>
            </w:r>
          </w:p>
        </w:tc>
        <w:tc>
          <w:tcPr>
            <w:tcW w:w="1560" w:type="dxa"/>
            <w:shd w:val="clear" w:color="auto" w:fill="D9D9D9" w:themeFill="background1" w:themeFillShade="D9"/>
            <w:vAlign w:val="center"/>
          </w:tcPr>
          <w:p w14:paraId="6C2D2FB0" w14:textId="77777777" w:rsidR="00731C28" w:rsidRPr="00AF7DB1" w:rsidRDefault="00731C28" w:rsidP="00A418AE">
            <w:pPr>
              <w:jc w:val="center"/>
              <w:rPr>
                <w:rFonts w:ascii="Times New Roman" w:hAnsi="Times New Roman" w:cs="Times New Roman"/>
              </w:rPr>
            </w:pPr>
            <w:r w:rsidRPr="00AF7DB1">
              <w:rPr>
                <w:rFonts w:ascii="Times New Roman" w:hAnsi="Times New Roman" w:cs="Times New Roman"/>
              </w:rPr>
              <w:t>2019.</w:t>
            </w:r>
            <w:r>
              <w:rPr>
                <w:rFonts w:ascii="Times New Roman" w:hAnsi="Times New Roman" w:cs="Times New Roman"/>
              </w:rPr>
              <w:t xml:space="preserve"> godina</w:t>
            </w:r>
          </w:p>
        </w:tc>
        <w:tc>
          <w:tcPr>
            <w:tcW w:w="2367" w:type="dxa"/>
            <w:shd w:val="clear" w:color="auto" w:fill="D9D9D9" w:themeFill="background1" w:themeFillShade="D9"/>
            <w:vAlign w:val="center"/>
          </w:tcPr>
          <w:p w14:paraId="1C8B619C" w14:textId="77777777" w:rsidR="00731C28" w:rsidRDefault="00731C28" w:rsidP="00A418AE">
            <w:pPr>
              <w:jc w:val="center"/>
              <w:rPr>
                <w:rFonts w:ascii="Times New Roman" w:hAnsi="Times New Roman" w:cs="Times New Roman"/>
              </w:rPr>
            </w:pPr>
            <w:r w:rsidRPr="00AF7DB1">
              <w:rPr>
                <w:rFonts w:ascii="Times New Roman" w:hAnsi="Times New Roman" w:cs="Times New Roman"/>
              </w:rPr>
              <w:t xml:space="preserve">2020. </w:t>
            </w:r>
            <w:r>
              <w:rPr>
                <w:rFonts w:ascii="Times New Roman" w:hAnsi="Times New Roman" w:cs="Times New Roman"/>
              </w:rPr>
              <w:t>godina</w:t>
            </w:r>
          </w:p>
          <w:p w14:paraId="2A2C5C17" w14:textId="77777777" w:rsidR="00731C28" w:rsidRPr="00AF7DB1" w:rsidRDefault="00731C28" w:rsidP="00A418AE">
            <w:pPr>
              <w:jc w:val="center"/>
              <w:rPr>
                <w:rFonts w:ascii="Times New Roman" w:hAnsi="Times New Roman" w:cs="Times New Roman"/>
              </w:rPr>
            </w:pPr>
            <w:r>
              <w:rPr>
                <w:rFonts w:ascii="Times New Roman" w:hAnsi="Times New Roman" w:cs="Times New Roman"/>
              </w:rPr>
              <w:t>(</w:t>
            </w:r>
            <w:r w:rsidRPr="00AF7DB1">
              <w:rPr>
                <w:rFonts w:ascii="Times New Roman" w:hAnsi="Times New Roman" w:cs="Times New Roman"/>
              </w:rPr>
              <w:t xml:space="preserve">do 4. </w:t>
            </w:r>
            <w:r>
              <w:rPr>
                <w:rFonts w:ascii="Times New Roman" w:hAnsi="Times New Roman" w:cs="Times New Roman"/>
              </w:rPr>
              <w:t>11.</w:t>
            </w:r>
            <w:r w:rsidRPr="00AF7DB1">
              <w:rPr>
                <w:rFonts w:ascii="Times New Roman" w:hAnsi="Times New Roman" w:cs="Times New Roman"/>
              </w:rPr>
              <w:t xml:space="preserve"> 2020.</w:t>
            </w:r>
            <w:r>
              <w:rPr>
                <w:rFonts w:ascii="Times New Roman" w:hAnsi="Times New Roman" w:cs="Times New Roman"/>
              </w:rPr>
              <w:t>)</w:t>
            </w:r>
          </w:p>
        </w:tc>
      </w:tr>
      <w:tr w:rsidR="00731C28" w14:paraId="69153C6A" w14:textId="77777777" w:rsidTr="00816216">
        <w:tc>
          <w:tcPr>
            <w:tcW w:w="1510" w:type="dxa"/>
            <w:shd w:val="clear" w:color="auto" w:fill="D9D9D9" w:themeFill="background1" w:themeFillShade="D9"/>
            <w:vAlign w:val="center"/>
          </w:tcPr>
          <w:p w14:paraId="580BB5BF" w14:textId="77777777" w:rsidR="00731C28" w:rsidRPr="00AF7DB1" w:rsidRDefault="00731C28" w:rsidP="00A418AE">
            <w:pPr>
              <w:jc w:val="center"/>
              <w:rPr>
                <w:rFonts w:ascii="Times New Roman" w:hAnsi="Times New Roman" w:cs="Times New Roman"/>
              </w:rPr>
            </w:pPr>
            <w:r w:rsidRPr="00AF7DB1">
              <w:rPr>
                <w:rFonts w:ascii="Times New Roman" w:hAnsi="Times New Roman" w:cs="Times New Roman"/>
              </w:rPr>
              <w:t>dugotrajni smještaj</w:t>
            </w:r>
          </w:p>
        </w:tc>
        <w:tc>
          <w:tcPr>
            <w:tcW w:w="1777" w:type="dxa"/>
            <w:vAlign w:val="center"/>
          </w:tcPr>
          <w:p w14:paraId="54483EF3" w14:textId="77777777" w:rsidR="00731C28" w:rsidRPr="00AF7DB1" w:rsidRDefault="00731C28" w:rsidP="00A418AE">
            <w:pPr>
              <w:jc w:val="center"/>
              <w:rPr>
                <w:rFonts w:ascii="Times New Roman" w:hAnsi="Times New Roman" w:cs="Times New Roman"/>
              </w:rPr>
            </w:pPr>
            <w:r>
              <w:rPr>
                <w:rFonts w:ascii="Times New Roman" w:hAnsi="Times New Roman" w:cs="Times New Roman"/>
              </w:rPr>
              <w:t>5267</w:t>
            </w:r>
          </w:p>
        </w:tc>
        <w:tc>
          <w:tcPr>
            <w:tcW w:w="1701" w:type="dxa"/>
            <w:vAlign w:val="center"/>
          </w:tcPr>
          <w:p w14:paraId="72A3C398" w14:textId="77777777" w:rsidR="00731C28" w:rsidRPr="00AF7DB1" w:rsidRDefault="00731C28" w:rsidP="00A418AE">
            <w:pPr>
              <w:jc w:val="center"/>
              <w:rPr>
                <w:rFonts w:ascii="Times New Roman" w:hAnsi="Times New Roman" w:cs="Times New Roman"/>
              </w:rPr>
            </w:pPr>
            <w:r>
              <w:rPr>
                <w:rFonts w:ascii="Times New Roman" w:hAnsi="Times New Roman" w:cs="Times New Roman"/>
              </w:rPr>
              <w:t>5416</w:t>
            </w:r>
          </w:p>
        </w:tc>
        <w:tc>
          <w:tcPr>
            <w:tcW w:w="1560" w:type="dxa"/>
            <w:vAlign w:val="center"/>
          </w:tcPr>
          <w:p w14:paraId="0F939DD3" w14:textId="77777777" w:rsidR="00731C28" w:rsidRPr="00AF7DB1" w:rsidRDefault="00731C28" w:rsidP="00A418AE">
            <w:pPr>
              <w:jc w:val="center"/>
              <w:rPr>
                <w:rFonts w:ascii="Times New Roman" w:hAnsi="Times New Roman" w:cs="Times New Roman"/>
              </w:rPr>
            </w:pPr>
            <w:r>
              <w:rPr>
                <w:rFonts w:ascii="Times New Roman" w:hAnsi="Times New Roman" w:cs="Times New Roman"/>
              </w:rPr>
              <w:t>5429</w:t>
            </w:r>
          </w:p>
        </w:tc>
        <w:tc>
          <w:tcPr>
            <w:tcW w:w="2367" w:type="dxa"/>
            <w:vAlign w:val="center"/>
          </w:tcPr>
          <w:p w14:paraId="2D1A6804" w14:textId="77777777" w:rsidR="00731C28" w:rsidRPr="00AF7DB1" w:rsidRDefault="00731C28" w:rsidP="00A418AE">
            <w:pPr>
              <w:jc w:val="center"/>
              <w:rPr>
                <w:rFonts w:ascii="Times New Roman" w:hAnsi="Times New Roman" w:cs="Times New Roman"/>
              </w:rPr>
            </w:pPr>
            <w:r w:rsidRPr="00AF7DB1">
              <w:rPr>
                <w:rFonts w:ascii="Times New Roman" w:hAnsi="Times New Roman" w:cs="Times New Roman"/>
              </w:rPr>
              <w:t>-</w:t>
            </w:r>
          </w:p>
        </w:tc>
      </w:tr>
      <w:tr w:rsidR="00731C28" w14:paraId="774104F5" w14:textId="77777777" w:rsidTr="00816216">
        <w:tc>
          <w:tcPr>
            <w:tcW w:w="1510" w:type="dxa"/>
            <w:shd w:val="clear" w:color="auto" w:fill="D9D9D9" w:themeFill="background1" w:themeFillShade="D9"/>
            <w:vAlign w:val="center"/>
          </w:tcPr>
          <w:p w14:paraId="6EBB9BFA" w14:textId="77777777" w:rsidR="00731C28" w:rsidRPr="00AF7DB1" w:rsidRDefault="00731C28" w:rsidP="00A418AE">
            <w:pPr>
              <w:jc w:val="center"/>
              <w:rPr>
                <w:rFonts w:ascii="Times New Roman" w:hAnsi="Times New Roman" w:cs="Times New Roman"/>
              </w:rPr>
            </w:pPr>
            <w:r w:rsidRPr="00AF7DB1">
              <w:rPr>
                <w:rFonts w:ascii="Times New Roman" w:hAnsi="Times New Roman" w:cs="Times New Roman"/>
              </w:rPr>
              <w:t>privremeni smještaj</w:t>
            </w:r>
          </w:p>
        </w:tc>
        <w:tc>
          <w:tcPr>
            <w:tcW w:w="1777" w:type="dxa"/>
            <w:vAlign w:val="center"/>
          </w:tcPr>
          <w:p w14:paraId="2E5BAE1F" w14:textId="77777777" w:rsidR="00731C28" w:rsidRPr="00AF7DB1" w:rsidRDefault="00731C28" w:rsidP="00A418AE">
            <w:pPr>
              <w:jc w:val="center"/>
              <w:rPr>
                <w:rFonts w:ascii="Times New Roman" w:hAnsi="Times New Roman" w:cs="Times New Roman"/>
              </w:rPr>
            </w:pPr>
            <w:r>
              <w:rPr>
                <w:rFonts w:ascii="Times New Roman" w:hAnsi="Times New Roman" w:cs="Times New Roman"/>
              </w:rPr>
              <w:t>402</w:t>
            </w:r>
          </w:p>
        </w:tc>
        <w:tc>
          <w:tcPr>
            <w:tcW w:w="1701" w:type="dxa"/>
            <w:vAlign w:val="center"/>
          </w:tcPr>
          <w:p w14:paraId="0E33AF1C" w14:textId="77777777" w:rsidR="00731C28" w:rsidRPr="00AF7DB1" w:rsidRDefault="00731C28" w:rsidP="00A418AE">
            <w:pPr>
              <w:jc w:val="center"/>
              <w:rPr>
                <w:rFonts w:ascii="Times New Roman" w:hAnsi="Times New Roman" w:cs="Times New Roman"/>
              </w:rPr>
            </w:pPr>
            <w:r w:rsidRPr="00AF7DB1">
              <w:rPr>
                <w:rFonts w:ascii="Times New Roman" w:hAnsi="Times New Roman" w:cs="Times New Roman"/>
              </w:rPr>
              <w:t>3</w:t>
            </w:r>
            <w:r>
              <w:rPr>
                <w:rFonts w:ascii="Times New Roman" w:hAnsi="Times New Roman" w:cs="Times New Roman"/>
              </w:rPr>
              <w:t>59</w:t>
            </w:r>
          </w:p>
        </w:tc>
        <w:tc>
          <w:tcPr>
            <w:tcW w:w="1560" w:type="dxa"/>
            <w:vAlign w:val="center"/>
          </w:tcPr>
          <w:p w14:paraId="6FD18276" w14:textId="77777777" w:rsidR="00731C28" w:rsidRPr="00AF7DB1" w:rsidRDefault="00731C28" w:rsidP="00A418AE">
            <w:pPr>
              <w:jc w:val="center"/>
              <w:rPr>
                <w:rFonts w:ascii="Times New Roman" w:hAnsi="Times New Roman" w:cs="Times New Roman"/>
              </w:rPr>
            </w:pPr>
            <w:r w:rsidRPr="00AF7DB1">
              <w:rPr>
                <w:rFonts w:ascii="Times New Roman" w:hAnsi="Times New Roman" w:cs="Times New Roman"/>
              </w:rPr>
              <w:t>3</w:t>
            </w:r>
            <w:r>
              <w:rPr>
                <w:rFonts w:ascii="Times New Roman" w:hAnsi="Times New Roman" w:cs="Times New Roman"/>
              </w:rPr>
              <w:t>44</w:t>
            </w:r>
          </w:p>
        </w:tc>
        <w:tc>
          <w:tcPr>
            <w:tcW w:w="2367" w:type="dxa"/>
            <w:vAlign w:val="center"/>
          </w:tcPr>
          <w:p w14:paraId="5386D909" w14:textId="77777777" w:rsidR="00731C28" w:rsidRPr="00AF7DB1" w:rsidRDefault="00731C28" w:rsidP="00A418AE">
            <w:pPr>
              <w:jc w:val="center"/>
              <w:rPr>
                <w:rFonts w:ascii="Times New Roman" w:hAnsi="Times New Roman" w:cs="Times New Roman"/>
              </w:rPr>
            </w:pPr>
            <w:r w:rsidRPr="00AF7DB1">
              <w:rPr>
                <w:rFonts w:ascii="Times New Roman" w:hAnsi="Times New Roman" w:cs="Times New Roman"/>
              </w:rPr>
              <w:t>-</w:t>
            </w:r>
          </w:p>
        </w:tc>
      </w:tr>
      <w:tr w:rsidR="00731C28" w14:paraId="5977C025" w14:textId="77777777" w:rsidTr="00816216">
        <w:tc>
          <w:tcPr>
            <w:tcW w:w="1510" w:type="dxa"/>
            <w:shd w:val="clear" w:color="auto" w:fill="D9D9D9" w:themeFill="background1" w:themeFillShade="D9"/>
            <w:vAlign w:val="center"/>
          </w:tcPr>
          <w:p w14:paraId="14683147" w14:textId="77777777" w:rsidR="00731C28" w:rsidRPr="00AF7DB1" w:rsidRDefault="00731C28" w:rsidP="00A418AE">
            <w:pPr>
              <w:jc w:val="center"/>
              <w:rPr>
                <w:rFonts w:ascii="Times New Roman" w:hAnsi="Times New Roman" w:cs="Times New Roman"/>
              </w:rPr>
            </w:pPr>
            <w:r w:rsidRPr="00AF7DB1">
              <w:rPr>
                <w:rFonts w:ascii="Times New Roman" w:hAnsi="Times New Roman" w:cs="Times New Roman"/>
              </w:rPr>
              <w:t>organizirano stanovanje</w:t>
            </w:r>
          </w:p>
        </w:tc>
        <w:tc>
          <w:tcPr>
            <w:tcW w:w="1777" w:type="dxa"/>
            <w:vAlign w:val="center"/>
          </w:tcPr>
          <w:p w14:paraId="7C373772" w14:textId="77777777" w:rsidR="00731C28" w:rsidRPr="00AF7DB1" w:rsidRDefault="00731C28" w:rsidP="00A418AE">
            <w:pPr>
              <w:jc w:val="center"/>
              <w:rPr>
                <w:rFonts w:ascii="Times New Roman" w:hAnsi="Times New Roman" w:cs="Times New Roman"/>
              </w:rPr>
            </w:pPr>
            <w:r w:rsidRPr="00AF7DB1">
              <w:rPr>
                <w:rFonts w:ascii="Times New Roman" w:hAnsi="Times New Roman" w:cs="Times New Roman"/>
              </w:rPr>
              <w:t>795</w:t>
            </w:r>
          </w:p>
        </w:tc>
        <w:tc>
          <w:tcPr>
            <w:tcW w:w="1701" w:type="dxa"/>
            <w:vAlign w:val="center"/>
          </w:tcPr>
          <w:p w14:paraId="6D571BA1" w14:textId="77777777" w:rsidR="00731C28" w:rsidRPr="00AF7DB1" w:rsidRDefault="00731C28" w:rsidP="00A418AE">
            <w:pPr>
              <w:jc w:val="center"/>
              <w:rPr>
                <w:rFonts w:ascii="Times New Roman" w:hAnsi="Times New Roman" w:cs="Times New Roman"/>
              </w:rPr>
            </w:pPr>
            <w:r w:rsidRPr="00AF7DB1">
              <w:rPr>
                <w:rFonts w:ascii="Times New Roman" w:hAnsi="Times New Roman" w:cs="Times New Roman"/>
              </w:rPr>
              <w:t>903</w:t>
            </w:r>
          </w:p>
        </w:tc>
        <w:tc>
          <w:tcPr>
            <w:tcW w:w="1560" w:type="dxa"/>
            <w:vAlign w:val="center"/>
          </w:tcPr>
          <w:p w14:paraId="41CBDC36" w14:textId="77777777" w:rsidR="00731C28" w:rsidRPr="00AF7DB1" w:rsidRDefault="00731C28" w:rsidP="00A418AE">
            <w:pPr>
              <w:jc w:val="center"/>
              <w:rPr>
                <w:rFonts w:ascii="Times New Roman" w:hAnsi="Times New Roman" w:cs="Times New Roman"/>
              </w:rPr>
            </w:pPr>
            <w:r w:rsidRPr="00AF7DB1">
              <w:rPr>
                <w:rFonts w:ascii="Times New Roman" w:hAnsi="Times New Roman" w:cs="Times New Roman"/>
              </w:rPr>
              <w:t>971</w:t>
            </w:r>
          </w:p>
        </w:tc>
        <w:tc>
          <w:tcPr>
            <w:tcW w:w="2367" w:type="dxa"/>
            <w:vAlign w:val="center"/>
          </w:tcPr>
          <w:p w14:paraId="44CBCCAC" w14:textId="77777777" w:rsidR="00731C28" w:rsidRPr="00AF7DB1" w:rsidRDefault="00731C28" w:rsidP="00A418AE">
            <w:pPr>
              <w:jc w:val="center"/>
              <w:rPr>
                <w:rFonts w:ascii="Times New Roman" w:hAnsi="Times New Roman" w:cs="Times New Roman"/>
              </w:rPr>
            </w:pPr>
            <w:r w:rsidRPr="00AF7DB1">
              <w:rPr>
                <w:rFonts w:ascii="Times New Roman" w:hAnsi="Times New Roman" w:cs="Times New Roman"/>
              </w:rPr>
              <w:t>1087</w:t>
            </w:r>
          </w:p>
        </w:tc>
      </w:tr>
    </w:tbl>
    <w:p w14:paraId="1E11D960" w14:textId="77777777" w:rsidR="00A418AE" w:rsidRDefault="00A418AE" w:rsidP="00A418AE">
      <w:pPr>
        <w:spacing w:after="0" w:line="240" w:lineRule="auto"/>
        <w:rPr>
          <w:rFonts w:ascii="Times New Roman" w:hAnsi="Times New Roman" w:cs="Times New Roman"/>
          <w:i/>
          <w:iCs/>
          <w:sz w:val="24"/>
          <w:szCs w:val="24"/>
        </w:rPr>
      </w:pPr>
    </w:p>
    <w:p w14:paraId="13D4C978" w14:textId="6C7D4D78" w:rsidR="00731C28" w:rsidRDefault="00731C28" w:rsidP="00A418AE">
      <w:pPr>
        <w:spacing w:after="0" w:line="240" w:lineRule="auto"/>
        <w:rPr>
          <w:rFonts w:ascii="Times New Roman" w:hAnsi="Times New Roman" w:cs="Times New Roman"/>
          <w:i/>
          <w:iCs/>
          <w:sz w:val="24"/>
          <w:szCs w:val="24"/>
        </w:rPr>
      </w:pPr>
      <w:r w:rsidRPr="00AF7DB1">
        <w:rPr>
          <w:rFonts w:ascii="Times New Roman" w:hAnsi="Times New Roman" w:cs="Times New Roman"/>
          <w:i/>
          <w:iCs/>
          <w:sz w:val="24"/>
          <w:szCs w:val="24"/>
        </w:rPr>
        <w:t xml:space="preserve">Podaci o broju </w:t>
      </w:r>
      <w:r>
        <w:rPr>
          <w:rFonts w:ascii="Times New Roman" w:hAnsi="Times New Roman" w:cs="Times New Roman"/>
          <w:i/>
          <w:iCs/>
          <w:sz w:val="24"/>
          <w:szCs w:val="24"/>
        </w:rPr>
        <w:t xml:space="preserve">osoba s invaliditetom, </w:t>
      </w:r>
      <w:r w:rsidRPr="00AF7DB1">
        <w:rPr>
          <w:rFonts w:ascii="Times New Roman" w:hAnsi="Times New Roman" w:cs="Times New Roman"/>
          <w:i/>
          <w:iCs/>
          <w:sz w:val="24"/>
          <w:szCs w:val="24"/>
        </w:rPr>
        <w:t xml:space="preserve">korisnika </w:t>
      </w:r>
      <w:r>
        <w:rPr>
          <w:rFonts w:ascii="Times New Roman" w:hAnsi="Times New Roman" w:cs="Times New Roman"/>
          <w:i/>
          <w:iCs/>
          <w:sz w:val="24"/>
          <w:szCs w:val="24"/>
        </w:rPr>
        <w:t xml:space="preserve">socijalne </w:t>
      </w:r>
      <w:r w:rsidRPr="00AF7DB1">
        <w:rPr>
          <w:rFonts w:ascii="Times New Roman" w:hAnsi="Times New Roman" w:cs="Times New Roman"/>
          <w:i/>
          <w:iCs/>
          <w:sz w:val="24"/>
          <w:szCs w:val="24"/>
        </w:rPr>
        <w:t xml:space="preserve">usluge smještaja </w:t>
      </w:r>
    </w:p>
    <w:tbl>
      <w:tblPr>
        <w:tblW w:w="8896" w:type="dxa"/>
        <w:tblLayout w:type="fixed"/>
        <w:tblLook w:val="04A0" w:firstRow="1" w:lastRow="0" w:firstColumn="1" w:lastColumn="0" w:noHBand="0" w:noVBand="1"/>
      </w:tblPr>
      <w:tblGrid>
        <w:gridCol w:w="1696"/>
        <w:gridCol w:w="1134"/>
        <w:gridCol w:w="1276"/>
        <w:gridCol w:w="1220"/>
        <w:gridCol w:w="1190"/>
        <w:gridCol w:w="1180"/>
        <w:gridCol w:w="1200"/>
      </w:tblGrid>
      <w:tr w:rsidR="00731C28" w:rsidRPr="006A669C" w14:paraId="0C7FB04C" w14:textId="77777777" w:rsidTr="00816216">
        <w:trPr>
          <w:trHeight w:val="300"/>
        </w:trPr>
        <w:tc>
          <w:tcPr>
            <w:tcW w:w="1696" w:type="dxa"/>
            <w:tcBorders>
              <w:top w:val="single" w:sz="4" w:space="0" w:color="auto"/>
              <w:left w:val="single" w:sz="4" w:space="0" w:color="auto"/>
              <w:bottom w:val="single" w:sz="4" w:space="0" w:color="auto"/>
              <w:right w:val="nil"/>
            </w:tcBorders>
            <w:shd w:val="clear" w:color="auto" w:fill="auto"/>
            <w:noWrap/>
            <w:vAlign w:val="center"/>
            <w:hideMark/>
          </w:tcPr>
          <w:p w14:paraId="6541BB8F" w14:textId="77777777" w:rsidR="00731C28" w:rsidRPr="006A669C" w:rsidRDefault="00731C28" w:rsidP="00A418AE">
            <w:pPr>
              <w:spacing w:after="0" w:line="240" w:lineRule="auto"/>
              <w:rPr>
                <w:rFonts w:ascii="Times New Roman" w:eastAsia="Times New Roman" w:hAnsi="Times New Roman" w:cs="Times New Roman"/>
                <w:sz w:val="24"/>
                <w:szCs w:val="24"/>
                <w:lang w:eastAsia="hr-HR"/>
              </w:rPr>
            </w:pPr>
          </w:p>
        </w:tc>
        <w:tc>
          <w:tcPr>
            <w:tcW w:w="241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25C55B48" w14:textId="77777777" w:rsidR="00731C28" w:rsidRPr="006A669C" w:rsidRDefault="00731C28" w:rsidP="00A418AE">
            <w:pPr>
              <w:spacing w:after="0" w:line="240" w:lineRule="auto"/>
              <w:jc w:val="center"/>
              <w:rPr>
                <w:rFonts w:ascii="Times New Roman" w:eastAsia="Times New Roman" w:hAnsi="Times New Roman" w:cs="Times New Roman"/>
                <w:color w:val="000000"/>
                <w:lang w:eastAsia="hr-HR"/>
              </w:rPr>
            </w:pPr>
            <w:r w:rsidRPr="006A669C">
              <w:rPr>
                <w:rFonts w:ascii="Times New Roman" w:eastAsia="Times New Roman" w:hAnsi="Times New Roman" w:cs="Times New Roman"/>
                <w:color w:val="000000"/>
                <w:lang w:eastAsia="hr-HR"/>
              </w:rPr>
              <w:t>2017.</w:t>
            </w:r>
          </w:p>
        </w:tc>
        <w:tc>
          <w:tcPr>
            <w:tcW w:w="2410" w:type="dxa"/>
            <w:gridSpan w:val="2"/>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1F4B9613" w14:textId="77777777" w:rsidR="00731C28" w:rsidRPr="006A669C" w:rsidRDefault="00731C28" w:rsidP="00A418AE">
            <w:pPr>
              <w:spacing w:after="0" w:line="240" w:lineRule="auto"/>
              <w:jc w:val="center"/>
              <w:rPr>
                <w:rFonts w:ascii="Times New Roman" w:eastAsia="Times New Roman" w:hAnsi="Times New Roman" w:cs="Times New Roman"/>
                <w:color w:val="000000"/>
                <w:lang w:eastAsia="hr-HR"/>
              </w:rPr>
            </w:pPr>
            <w:r w:rsidRPr="006A669C">
              <w:rPr>
                <w:rFonts w:ascii="Times New Roman" w:eastAsia="Times New Roman" w:hAnsi="Times New Roman" w:cs="Times New Roman"/>
                <w:color w:val="000000"/>
                <w:lang w:eastAsia="hr-HR"/>
              </w:rPr>
              <w:t>2018.</w:t>
            </w:r>
          </w:p>
        </w:tc>
        <w:tc>
          <w:tcPr>
            <w:tcW w:w="2380" w:type="dxa"/>
            <w:gridSpan w:val="2"/>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31C9243B" w14:textId="77777777" w:rsidR="00731C28" w:rsidRPr="006A669C" w:rsidRDefault="00731C28" w:rsidP="00A418AE">
            <w:pPr>
              <w:spacing w:after="0" w:line="240" w:lineRule="auto"/>
              <w:jc w:val="center"/>
              <w:rPr>
                <w:rFonts w:ascii="Times New Roman" w:eastAsia="Times New Roman" w:hAnsi="Times New Roman" w:cs="Times New Roman"/>
                <w:color w:val="000000"/>
                <w:lang w:eastAsia="hr-HR"/>
              </w:rPr>
            </w:pPr>
            <w:r w:rsidRPr="006A669C">
              <w:rPr>
                <w:rFonts w:ascii="Times New Roman" w:eastAsia="Times New Roman" w:hAnsi="Times New Roman" w:cs="Times New Roman"/>
                <w:color w:val="000000"/>
                <w:lang w:eastAsia="hr-HR"/>
              </w:rPr>
              <w:t>2019.</w:t>
            </w:r>
          </w:p>
        </w:tc>
      </w:tr>
      <w:tr w:rsidR="00731C28" w:rsidRPr="006A669C" w14:paraId="02966DEE" w14:textId="77777777" w:rsidTr="00816216">
        <w:trPr>
          <w:trHeight w:val="600"/>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9B0451" w14:textId="77777777" w:rsidR="00731C28" w:rsidRPr="00A43BA4" w:rsidRDefault="00731C28" w:rsidP="00816216">
            <w:pPr>
              <w:spacing w:after="0" w:line="240" w:lineRule="auto"/>
              <w:rPr>
                <w:rFonts w:ascii="Times New Roman" w:eastAsia="Times New Roman" w:hAnsi="Times New Roman" w:cs="Times New Roman"/>
                <w:color w:val="000000"/>
                <w:lang w:eastAsia="hr-HR"/>
              </w:rPr>
            </w:pPr>
            <w:r w:rsidRPr="00A43BA4">
              <w:rPr>
                <w:rFonts w:ascii="Times New Roman" w:eastAsia="Times New Roman" w:hAnsi="Times New Roman" w:cs="Times New Roman"/>
                <w:color w:val="000000"/>
                <w:lang w:eastAsia="hr-HR"/>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B014D72" w14:textId="77777777" w:rsidR="00731C28" w:rsidRPr="00A43BA4" w:rsidRDefault="00731C28" w:rsidP="00816216">
            <w:pPr>
              <w:spacing w:after="0" w:line="240" w:lineRule="auto"/>
              <w:jc w:val="center"/>
              <w:rPr>
                <w:rFonts w:ascii="Times New Roman" w:eastAsia="Times New Roman" w:hAnsi="Times New Roman" w:cs="Times New Roman"/>
                <w:color w:val="000000"/>
                <w:lang w:eastAsia="hr-HR"/>
              </w:rPr>
            </w:pPr>
            <w:r w:rsidRPr="00A43BA4">
              <w:rPr>
                <w:rFonts w:ascii="Times New Roman" w:eastAsia="Times New Roman" w:hAnsi="Times New Roman" w:cs="Times New Roman"/>
                <w:color w:val="000000"/>
                <w:lang w:eastAsia="hr-HR"/>
              </w:rPr>
              <w:t>dugotrajni smještaj</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C050D32" w14:textId="77777777" w:rsidR="00731C28" w:rsidRPr="00A43BA4" w:rsidRDefault="00731C28" w:rsidP="00816216">
            <w:pPr>
              <w:spacing w:after="0" w:line="240" w:lineRule="auto"/>
              <w:jc w:val="center"/>
              <w:rPr>
                <w:rFonts w:ascii="Times New Roman" w:eastAsia="Times New Roman" w:hAnsi="Times New Roman" w:cs="Times New Roman"/>
                <w:color w:val="000000"/>
                <w:lang w:eastAsia="hr-HR"/>
              </w:rPr>
            </w:pPr>
            <w:r w:rsidRPr="00A43BA4">
              <w:rPr>
                <w:rFonts w:ascii="Times New Roman" w:eastAsia="Times New Roman" w:hAnsi="Times New Roman" w:cs="Times New Roman"/>
                <w:color w:val="000000"/>
                <w:lang w:eastAsia="hr-HR"/>
              </w:rPr>
              <w:t>privremeni smještaj</w:t>
            </w:r>
          </w:p>
        </w:tc>
        <w:tc>
          <w:tcPr>
            <w:tcW w:w="1220" w:type="dxa"/>
            <w:tcBorders>
              <w:top w:val="nil"/>
              <w:left w:val="nil"/>
              <w:bottom w:val="single" w:sz="4" w:space="0" w:color="auto"/>
              <w:right w:val="single" w:sz="4" w:space="0" w:color="auto"/>
            </w:tcBorders>
            <w:shd w:val="clear" w:color="auto" w:fill="auto"/>
            <w:vAlign w:val="center"/>
            <w:hideMark/>
          </w:tcPr>
          <w:p w14:paraId="58D7F787" w14:textId="77777777" w:rsidR="00731C28" w:rsidRPr="00A43BA4" w:rsidRDefault="00731C28" w:rsidP="00816216">
            <w:pPr>
              <w:spacing w:after="0" w:line="240" w:lineRule="auto"/>
              <w:jc w:val="center"/>
              <w:rPr>
                <w:rFonts w:ascii="Times New Roman" w:eastAsia="Times New Roman" w:hAnsi="Times New Roman" w:cs="Times New Roman"/>
                <w:color w:val="000000"/>
                <w:lang w:eastAsia="hr-HR"/>
              </w:rPr>
            </w:pPr>
            <w:r w:rsidRPr="00A43BA4">
              <w:rPr>
                <w:rFonts w:ascii="Times New Roman" w:eastAsia="Times New Roman" w:hAnsi="Times New Roman" w:cs="Times New Roman"/>
                <w:color w:val="000000"/>
                <w:lang w:eastAsia="hr-HR"/>
              </w:rPr>
              <w:t>dugotrajni smještaj</w:t>
            </w:r>
          </w:p>
        </w:tc>
        <w:tc>
          <w:tcPr>
            <w:tcW w:w="1190" w:type="dxa"/>
            <w:tcBorders>
              <w:top w:val="nil"/>
              <w:left w:val="nil"/>
              <w:bottom w:val="single" w:sz="4" w:space="0" w:color="auto"/>
              <w:right w:val="single" w:sz="4" w:space="0" w:color="auto"/>
            </w:tcBorders>
            <w:shd w:val="clear" w:color="auto" w:fill="auto"/>
            <w:vAlign w:val="center"/>
            <w:hideMark/>
          </w:tcPr>
          <w:p w14:paraId="703FD101" w14:textId="77777777" w:rsidR="00731C28" w:rsidRPr="00A43BA4" w:rsidRDefault="00731C28" w:rsidP="00816216">
            <w:pPr>
              <w:spacing w:after="0" w:line="240" w:lineRule="auto"/>
              <w:jc w:val="center"/>
              <w:rPr>
                <w:rFonts w:ascii="Times New Roman" w:eastAsia="Times New Roman" w:hAnsi="Times New Roman" w:cs="Times New Roman"/>
                <w:color w:val="000000"/>
                <w:lang w:eastAsia="hr-HR"/>
              </w:rPr>
            </w:pPr>
            <w:r w:rsidRPr="00A43BA4">
              <w:rPr>
                <w:rFonts w:ascii="Times New Roman" w:eastAsia="Times New Roman" w:hAnsi="Times New Roman" w:cs="Times New Roman"/>
                <w:color w:val="000000"/>
                <w:lang w:eastAsia="hr-HR"/>
              </w:rPr>
              <w:t>privremeni smještaj</w:t>
            </w:r>
          </w:p>
        </w:tc>
        <w:tc>
          <w:tcPr>
            <w:tcW w:w="1180" w:type="dxa"/>
            <w:tcBorders>
              <w:top w:val="nil"/>
              <w:left w:val="nil"/>
              <w:bottom w:val="single" w:sz="4" w:space="0" w:color="auto"/>
              <w:right w:val="single" w:sz="4" w:space="0" w:color="auto"/>
            </w:tcBorders>
            <w:shd w:val="clear" w:color="auto" w:fill="auto"/>
            <w:vAlign w:val="center"/>
            <w:hideMark/>
          </w:tcPr>
          <w:p w14:paraId="5B4200D5" w14:textId="77777777" w:rsidR="00731C28" w:rsidRPr="006A669C" w:rsidRDefault="00731C28" w:rsidP="00816216">
            <w:pPr>
              <w:spacing w:after="0" w:line="240" w:lineRule="auto"/>
              <w:jc w:val="center"/>
              <w:rPr>
                <w:rFonts w:ascii="Times New Roman" w:eastAsia="Times New Roman" w:hAnsi="Times New Roman" w:cs="Times New Roman"/>
                <w:color w:val="000000"/>
                <w:lang w:eastAsia="hr-HR"/>
              </w:rPr>
            </w:pPr>
            <w:r w:rsidRPr="006A669C">
              <w:rPr>
                <w:rFonts w:ascii="Times New Roman" w:eastAsia="Times New Roman" w:hAnsi="Times New Roman" w:cs="Times New Roman"/>
                <w:color w:val="000000"/>
                <w:lang w:eastAsia="hr-HR"/>
              </w:rPr>
              <w:t>dugotrajni smještaj</w:t>
            </w:r>
          </w:p>
        </w:tc>
        <w:tc>
          <w:tcPr>
            <w:tcW w:w="1200" w:type="dxa"/>
            <w:tcBorders>
              <w:top w:val="nil"/>
              <w:left w:val="nil"/>
              <w:bottom w:val="single" w:sz="4" w:space="0" w:color="auto"/>
              <w:right w:val="single" w:sz="4" w:space="0" w:color="auto"/>
            </w:tcBorders>
            <w:shd w:val="clear" w:color="auto" w:fill="auto"/>
            <w:vAlign w:val="center"/>
            <w:hideMark/>
          </w:tcPr>
          <w:p w14:paraId="0E26D3C2" w14:textId="77777777" w:rsidR="00731C28" w:rsidRPr="006A669C" w:rsidRDefault="00731C28" w:rsidP="00816216">
            <w:pPr>
              <w:spacing w:after="0" w:line="240" w:lineRule="auto"/>
              <w:jc w:val="center"/>
              <w:rPr>
                <w:rFonts w:ascii="Times New Roman" w:eastAsia="Times New Roman" w:hAnsi="Times New Roman" w:cs="Times New Roman"/>
                <w:color w:val="000000"/>
                <w:lang w:eastAsia="hr-HR"/>
              </w:rPr>
            </w:pPr>
            <w:r w:rsidRPr="006A669C">
              <w:rPr>
                <w:rFonts w:ascii="Times New Roman" w:eastAsia="Times New Roman" w:hAnsi="Times New Roman" w:cs="Times New Roman"/>
                <w:color w:val="000000"/>
                <w:lang w:eastAsia="hr-HR"/>
              </w:rPr>
              <w:t>privremeni smještaj</w:t>
            </w:r>
          </w:p>
        </w:tc>
      </w:tr>
      <w:tr w:rsidR="00731C28" w:rsidRPr="006A669C" w14:paraId="76C11186" w14:textId="77777777" w:rsidTr="00816216">
        <w:trPr>
          <w:trHeight w:val="465"/>
        </w:trPr>
        <w:tc>
          <w:tcPr>
            <w:tcW w:w="169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6003FCA1" w14:textId="77777777" w:rsidR="00731C28" w:rsidRPr="00A43BA4" w:rsidRDefault="00731C28" w:rsidP="00816216">
            <w:pPr>
              <w:spacing w:after="0" w:line="240" w:lineRule="auto"/>
              <w:jc w:val="center"/>
              <w:rPr>
                <w:rFonts w:ascii="Times New Roman" w:eastAsia="Times New Roman" w:hAnsi="Times New Roman" w:cs="Times New Roman"/>
                <w:color w:val="000000"/>
                <w:lang w:eastAsia="hr-HR"/>
              </w:rPr>
            </w:pPr>
            <w:r w:rsidRPr="00A43BA4">
              <w:rPr>
                <w:rFonts w:ascii="Times New Roman" w:eastAsia="Times New Roman" w:hAnsi="Times New Roman" w:cs="Times New Roman"/>
                <w:color w:val="000000"/>
                <w:lang w:eastAsia="hr-HR"/>
              </w:rPr>
              <w:t>državni domovi</w:t>
            </w:r>
          </w:p>
        </w:tc>
        <w:tc>
          <w:tcPr>
            <w:tcW w:w="1134" w:type="dxa"/>
            <w:tcBorders>
              <w:top w:val="nil"/>
              <w:left w:val="nil"/>
              <w:bottom w:val="single" w:sz="4" w:space="0" w:color="auto"/>
              <w:right w:val="single" w:sz="4" w:space="0" w:color="auto"/>
            </w:tcBorders>
            <w:shd w:val="clear" w:color="auto" w:fill="auto"/>
            <w:vAlign w:val="center"/>
            <w:hideMark/>
          </w:tcPr>
          <w:p w14:paraId="13FF9D09" w14:textId="77777777" w:rsidR="00731C28" w:rsidRPr="00A43BA4" w:rsidRDefault="00731C28" w:rsidP="00816216">
            <w:pPr>
              <w:spacing w:after="0" w:line="240" w:lineRule="auto"/>
              <w:jc w:val="center"/>
              <w:rPr>
                <w:rFonts w:ascii="Times New Roman" w:eastAsia="Times New Roman" w:hAnsi="Times New Roman" w:cs="Times New Roman"/>
                <w:color w:val="000000"/>
                <w:lang w:eastAsia="hr-HR"/>
              </w:rPr>
            </w:pPr>
            <w:r w:rsidRPr="00A43BA4">
              <w:rPr>
                <w:rFonts w:ascii="Times New Roman" w:eastAsia="Times New Roman" w:hAnsi="Times New Roman" w:cs="Times New Roman"/>
                <w:color w:val="000000"/>
                <w:lang w:eastAsia="hr-HR"/>
              </w:rPr>
              <w:t>3477</w:t>
            </w:r>
          </w:p>
        </w:tc>
        <w:tc>
          <w:tcPr>
            <w:tcW w:w="1276" w:type="dxa"/>
            <w:tcBorders>
              <w:top w:val="nil"/>
              <w:left w:val="nil"/>
              <w:bottom w:val="single" w:sz="4" w:space="0" w:color="auto"/>
              <w:right w:val="single" w:sz="4" w:space="0" w:color="auto"/>
            </w:tcBorders>
            <w:shd w:val="clear" w:color="auto" w:fill="auto"/>
            <w:vAlign w:val="center"/>
            <w:hideMark/>
          </w:tcPr>
          <w:p w14:paraId="50382601" w14:textId="77777777" w:rsidR="00731C28" w:rsidRPr="00A43BA4" w:rsidRDefault="00731C28" w:rsidP="00816216">
            <w:pPr>
              <w:spacing w:after="0" w:line="240" w:lineRule="auto"/>
              <w:jc w:val="center"/>
              <w:rPr>
                <w:rFonts w:ascii="Times New Roman" w:eastAsia="Times New Roman" w:hAnsi="Times New Roman" w:cs="Times New Roman"/>
                <w:color w:val="000000"/>
                <w:lang w:eastAsia="hr-HR"/>
              </w:rPr>
            </w:pPr>
            <w:r w:rsidRPr="00A43BA4">
              <w:rPr>
                <w:rFonts w:ascii="Times New Roman" w:eastAsia="Times New Roman" w:hAnsi="Times New Roman" w:cs="Times New Roman"/>
                <w:color w:val="000000"/>
                <w:lang w:eastAsia="hr-HR"/>
              </w:rPr>
              <w:t>367</w:t>
            </w:r>
          </w:p>
        </w:tc>
        <w:tc>
          <w:tcPr>
            <w:tcW w:w="1220" w:type="dxa"/>
            <w:tcBorders>
              <w:top w:val="nil"/>
              <w:left w:val="nil"/>
              <w:bottom w:val="single" w:sz="4" w:space="0" w:color="auto"/>
              <w:right w:val="single" w:sz="4" w:space="0" w:color="auto"/>
            </w:tcBorders>
            <w:shd w:val="clear" w:color="auto" w:fill="auto"/>
            <w:vAlign w:val="center"/>
            <w:hideMark/>
          </w:tcPr>
          <w:p w14:paraId="1516D5FF" w14:textId="77777777" w:rsidR="00731C28" w:rsidRPr="00A43BA4" w:rsidRDefault="00731C28" w:rsidP="00816216">
            <w:pPr>
              <w:spacing w:after="0" w:line="240" w:lineRule="auto"/>
              <w:jc w:val="center"/>
              <w:rPr>
                <w:rFonts w:ascii="Times New Roman" w:eastAsia="Times New Roman" w:hAnsi="Times New Roman" w:cs="Times New Roman"/>
                <w:color w:val="000000"/>
                <w:lang w:eastAsia="hr-HR"/>
              </w:rPr>
            </w:pPr>
            <w:r w:rsidRPr="00A43BA4">
              <w:rPr>
                <w:rFonts w:ascii="Times New Roman" w:eastAsia="Times New Roman" w:hAnsi="Times New Roman" w:cs="Times New Roman"/>
                <w:color w:val="000000"/>
                <w:lang w:eastAsia="hr-HR"/>
              </w:rPr>
              <w:t>3390</w:t>
            </w:r>
          </w:p>
        </w:tc>
        <w:tc>
          <w:tcPr>
            <w:tcW w:w="1190" w:type="dxa"/>
            <w:tcBorders>
              <w:top w:val="nil"/>
              <w:left w:val="nil"/>
              <w:bottom w:val="single" w:sz="4" w:space="0" w:color="auto"/>
              <w:right w:val="single" w:sz="4" w:space="0" w:color="auto"/>
            </w:tcBorders>
            <w:shd w:val="clear" w:color="auto" w:fill="auto"/>
            <w:vAlign w:val="center"/>
            <w:hideMark/>
          </w:tcPr>
          <w:p w14:paraId="281C651D" w14:textId="77777777" w:rsidR="00731C28" w:rsidRPr="00A43BA4" w:rsidRDefault="00731C28" w:rsidP="00816216">
            <w:pPr>
              <w:spacing w:after="0" w:line="240" w:lineRule="auto"/>
              <w:jc w:val="center"/>
              <w:rPr>
                <w:rFonts w:ascii="Times New Roman" w:eastAsia="Times New Roman" w:hAnsi="Times New Roman" w:cs="Times New Roman"/>
                <w:color w:val="000000"/>
                <w:lang w:eastAsia="hr-HR"/>
              </w:rPr>
            </w:pPr>
            <w:r w:rsidRPr="00A43BA4">
              <w:rPr>
                <w:rFonts w:ascii="Times New Roman" w:eastAsia="Times New Roman" w:hAnsi="Times New Roman" w:cs="Times New Roman"/>
                <w:color w:val="000000"/>
                <w:lang w:eastAsia="hr-HR"/>
              </w:rPr>
              <w:t>319</w:t>
            </w:r>
          </w:p>
        </w:tc>
        <w:tc>
          <w:tcPr>
            <w:tcW w:w="1180" w:type="dxa"/>
            <w:tcBorders>
              <w:top w:val="nil"/>
              <w:left w:val="nil"/>
              <w:bottom w:val="single" w:sz="4" w:space="0" w:color="auto"/>
              <w:right w:val="single" w:sz="4" w:space="0" w:color="auto"/>
            </w:tcBorders>
            <w:shd w:val="clear" w:color="auto" w:fill="auto"/>
            <w:vAlign w:val="center"/>
            <w:hideMark/>
          </w:tcPr>
          <w:p w14:paraId="645FDC54" w14:textId="77777777" w:rsidR="00731C28" w:rsidRPr="006A669C" w:rsidRDefault="00731C28" w:rsidP="00816216">
            <w:pPr>
              <w:spacing w:after="0" w:line="240" w:lineRule="auto"/>
              <w:jc w:val="center"/>
              <w:rPr>
                <w:rFonts w:ascii="Times New Roman" w:eastAsia="Times New Roman" w:hAnsi="Times New Roman" w:cs="Times New Roman"/>
                <w:color w:val="000000"/>
                <w:lang w:eastAsia="hr-HR"/>
              </w:rPr>
            </w:pPr>
            <w:r w:rsidRPr="006A669C">
              <w:rPr>
                <w:rFonts w:ascii="Times New Roman" w:eastAsia="Times New Roman" w:hAnsi="Times New Roman" w:cs="Times New Roman"/>
                <w:color w:val="000000"/>
                <w:lang w:eastAsia="hr-HR"/>
              </w:rPr>
              <w:t>3362</w:t>
            </w:r>
          </w:p>
        </w:tc>
        <w:tc>
          <w:tcPr>
            <w:tcW w:w="1200" w:type="dxa"/>
            <w:tcBorders>
              <w:top w:val="nil"/>
              <w:left w:val="nil"/>
              <w:bottom w:val="single" w:sz="4" w:space="0" w:color="auto"/>
              <w:right w:val="single" w:sz="4" w:space="0" w:color="auto"/>
            </w:tcBorders>
            <w:shd w:val="clear" w:color="auto" w:fill="auto"/>
            <w:vAlign w:val="center"/>
            <w:hideMark/>
          </w:tcPr>
          <w:p w14:paraId="4C9477B4" w14:textId="77777777" w:rsidR="00731C28" w:rsidRPr="006A669C" w:rsidRDefault="00731C28" w:rsidP="00816216">
            <w:pPr>
              <w:spacing w:after="0" w:line="240" w:lineRule="auto"/>
              <w:jc w:val="center"/>
              <w:rPr>
                <w:rFonts w:ascii="Times New Roman" w:eastAsia="Times New Roman" w:hAnsi="Times New Roman" w:cs="Times New Roman"/>
                <w:color w:val="000000"/>
                <w:lang w:eastAsia="hr-HR"/>
              </w:rPr>
            </w:pPr>
            <w:r w:rsidRPr="006A669C">
              <w:rPr>
                <w:rFonts w:ascii="Times New Roman" w:eastAsia="Times New Roman" w:hAnsi="Times New Roman" w:cs="Times New Roman"/>
                <w:color w:val="000000"/>
                <w:lang w:eastAsia="hr-HR"/>
              </w:rPr>
              <w:t>310</w:t>
            </w:r>
          </w:p>
        </w:tc>
      </w:tr>
      <w:tr w:rsidR="00731C28" w:rsidRPr="006A669C" w14:paraId="3F1A7EF2" w14:textId="77777777" w:rsidTr="00816216">
        <w:trPr>
          <w:trHeight w:val="510"/>
        </w:trPr>
        <w:tc>
          <w:tcPr>
            <w:tcW w:w="169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67CA396A" w14:textId="77777777" w:rsidR="00731C28" w:rsidRPr="00A43BA4" w:rsidRDefault="00731C28" w:rsidP="00816216">
            <w:pPr>
              <w:spacing w:after="0" w:line="240" w:lineRule="auto"/>
              <w:jc w:val="center"/>
              <w:rPr>
                <w:rFonts w:ascii="Times New Roman" w:eastAsia="Times New Roman" w:hAnsi="Times New Roman" w:cs="Times New Roman"/>
                <w:color w:val="000000"/>
                <w:lang w:eastAsia="hr-HR"/>
              </w:rPr>
            </w:pPr>
            <w:r w:rsidRPr="00A43BA4">
              <w:rPr>
                <w:rFonts w:ascii="Times New Roman" w:eastAsia="Times New Roman" w:hAnsi="Times New Roman" w:cs="Times New Roman"/>
                <w:color w:val="000000"/>
                <w:lang w:eastAsia="hr-HR"/>
              </w:rPr>
              <w:t>nedržavni domovi</w:t>
            </w:r>
          </w:p>
        </w:tc>
        <w:tc>
          <w:tcPr>
            <w:tcW w:w="1134" w:type="dxa"/>
            <w:tcBorders>
              <w:top w:val="nil"/>
              <w:left w:val="nil"/>
              <w:bottom w:val="single" w:sz="4" w:space="0" w:color="auto"/>
              <w:right w:val="single" w:sz="4" w:space="0" w:color="auto"/>
            </w:tcBorders>
            <w:shd w:val="clear" w:color="auto" w:fill="auto"/>
            <w:vAlign w:val="center"/>
            <w:hideMark/>
          </w:tcPr>
          <w:p w14:paraId="54097B89" w14:textId="77777777" w:rsidR="00731C28" w:rsidRPr="00A43BA4" w:rsidRDefault="00731C28" w:rsidP="00816216">
            <w:pPr>
              <w:spacing w:after="0" w:line="240" w:lineRule="auto"/>
              <w:jc w:val="center"/>
              <w:rPr>
                <w:rFonts w:ascii="Times New Roman" w:eastAsia="Times New Roman" w:hAnsi="Times New Roman" w:cs="Times New Roman"/>
                <w:color w:val="000000"/>
                <w:lang w:eastAsia="hr-HR"/>
              </w:rPr>
            </w:pPr>
            <w:r w:rsidRPr="00A43BA4">
              <w:rPr>
                <w:rFonts w:ascii="Times New Roman" w:eastAsia="Times New Roman" w:hAnsi="Times New Roman" w:cs="Times New Roman"/>
                <w:color w:val="000000"/>
                <w:lang w:eastAsia="hr-HR"/>
              </w:rPr>
              <w:t>1587</w:t>
            </w:r>
          </w:p>
        </w:tc>
        <w:tc>
          <w:tcPr>
            <w:tcW w:w="1276" w:type="dxa"/>
            <w:tcBorders>
              <w:top w:val="nil"/>
              <w:left w:val="nil"/>
              <w:bottom w:val="single" w:sz="4" w:space="0" w:color="auto"/>
              <w:right w:val="single" w:sz="4" w:space="0" w:color="auto"/>
            </w:tcBorders>
            <w:shd w:val="clear" w:color="auto" w:fill="auto"/>
            <w:vAlign w:val="center"/>
            <w:hideMark/>
          </w:tcPr>
          <w:p w14:paraId="0AD5236B" w14:textId="77777777" w:rsidR="00731C28" w:rsidRPr="00A43BA4" w:rsidRDefault="00731C28" w:rsidP="00816216">
            <w:pPr>
              <w:spacing w:after="0" w:line="240" w:lineRule="auto"/>
              <w:jc w:val="center"/>
              <w:rPr>
                <w:rFonts w:ascii="Times New Roman" w:eastAsia="Times New Roman" w:hAnsi="Times New Roman" w:cs="Times New Roman"/>
                <w:color w:val="000000"/>
                <w:lang w:eastAsia="hr-HR"/>
              </w:rPr>
            </w:pPr>
            <w:r w:rsidRPr="00A43BA4">
              <w:rPr>
                <w:rFonts w:ascii="Times New Roman" w:eastAsia="Times New Roman" w:hAnsi="Times New Roman" w:cs="Times New Roman"/>
                <w:color w:val="000000"/>
                <w:lang w:eastAsia="hr-HR"/>
              </w:rPr>
              <w:t>22</w:t>
            </w:r>
          </w:p>
        </w:tc>
        <w:tc>
          <w:tcPr>
            <w:tcW w:w="1220" w:type="dxa"/>
            <w:tcBorders>
              <w:top w:val="nil"/>
              <w:left w:val="nil"/>
              <w:bottom w:val="single" w:sz="4" w:space="0" w:color="auto"/>
              <w:right w:val="single" w:sz="4" w:space="0" w:color="auto"/>
            </w:tcBorders>
            <w:shd w:val="clear" w:color="auto" w:fill="auto"/>
            <w:vAlign w:val="center"/>
            <w:hideMark/>
          </w:tcPr>
          <w:p w14:paraId="2DBC81E2" w14:textId="77777777" w:rsidR="00731C28" w:rsidRPr="00A43BA4" w:rsidRDefault="00731C28" w:rsidP="00816216">
            <w:pPr>
              <w:spacing w:after="0" w:line="240" w:lineRule="auto"/>
              <w:jc w:val="center"/>
              <w:rPr>
                <w:rFonts w:ascii="Times New Roman" w:eastAsia="Times New Roman" w:hAnsi="Times New Roman" w:cs="Times New Roman"/>
                <w:color w:val="000000"/>
                <w:lang w:eastAsia="hr-HR"/>
              </w:rPr>
            </w:pPr>
            <w:r w:rsidRPr="00A43BA4">
              <w:rPr>
                <w:rFonts w:ascii="Times New Roman" w:eastAsia="Times New Roman" w:hAnsi="Times New Roman" w:cs="Times New Roman"/>
                <w:color w:val="000000"/>
                <w:lang w:eastAsia="hr-HR"/>
              </w:rPr>
              <w:t>1818</w:t>
            </w:r>
          </w:p>
        </w:tc>
        <w:tc>
          <w:tcPr>
            <w:tcW w:w="1190" w:type="dxa"/>
            <w:tcBorders>
              <w:top w:val="nil"/>
              <w:left w:val="nil"/>
              <w:bottom w:val="single" w:sz="4" w:space="0" w:color="auto"/>
              <w:right w:val="single" w:sz="4" w:space="0" w:color="auto"/>
            </w:tcBorders>
            <w:shd w:val="clear" w:color="auto" w:fill="auto"/>
            <w:vAlign w:val="center"/>
            <w:hideMark/>
          </w:tcPr>
          <w:p w14:paraId="33CF95EA" w14:textId="77777777" w:rsidR="00731C28" w:rsidRPr="00A43BA4" w:rsidRDefault="00731C28" w:rsidP="00816216">
            <w:pPr>
              <w:spacing w:after="0" w:line="240" w:lineRule="auto"/>
              <w:jc w:val="center"/>
              <w:rPr>
                <w:rFonts w:ascii="Times New Roman" w:eastAsia="Times New Roman" w:hAnsi="Times New Roman" w:cs="Times New Roman"/>
                <w:color w:val="000000"/>
                <w:lang w:eastAsia="hr-HR"/>
              </w:rPr>
            </w:pPr>
            <w:r w:rsidRPr="00A43BA4">
              <w:rPr>
                <w:rFonts w:ascii="Times New Roman" w:eastAsia="Times New Roman" w:hAnsi="Times New Roman" w:cs="Times New Roman"/>
                <w:color w:val="000000"/>
                <w:lang w:eastAsia="hr-HR"/>
              </w:rPr>
              <w:t>25</w:t>
            </w:r>
          </w:p>
        </w:tc>
        <w:tc>
          <w:tcPr>
            <w:tcW w:w="1180" w:type="dxa"/>
            <w:tcBorders>
              <w:top w:val="nil"/>
              <w:left w:val="nil"/>
              <w:bottom w:val="single" w:sz="4" w:space="0" w:color="auto"/>
              <w:right w:val="single" w:sz="4" w:space="0" w:color="auto"/>
            </w:tcBorders>
            <w:shd w:val="clear" w:color="auto" w:fill="auto"/>
            <w:vAlign w:val="center"/>
            <w:hideMark/>
          </w:tcPr>
          <w:p w14:paraId="3DB7118B" w14:textId="77777777" w:rsidR="00731C28" w:rsidRPr="006A669C" w:rsidRDefault="00731C28" w:rsidP="00816216">
            <w:pPr>
              <w:spacing w:after="0" w:line="240" w:lineRule="auto"/>
              <w:jc w:val="center"/>
              <w:rPr>
                <w:rFonts w:ascii="Times New Roman" w:eastAsia="Times New Roman" w:hAnsi="Times New Roman" w:cs="Times New Roman"/>
                <w:color w:val="000000"/>
                <w:lang w:eastAsia="hr-HR"/>
              </w:rPr>
            </w:pPr>
            <w:r w:rsidRPr="006A669C">
              <w:rPr>
                <w:rFonts w:ascii="Times New Roman" w:eastAsia="Times New Roman" w:hAnsi="Times New Roman" w:cs="Times New Roman"/>
                <w:color w:val="000000"/>
                <w:lang w:eastAsia="hr-HR"/>
              </w:rPr>
              <w:t>1857</w:t>
            </w:r>
          </w:p>
        </w:tc>
        <w:tc>
          <w:tcPr>
            <w:tcW w:w="1200" w:type="dxa"/>
            <w:tcBorders>
              <w:top w:val="nil"/>
              <w:left w:val="nil"/>
              <w:bottom w:val="single" w:sz="4" w:space="0" w:color="auto"/>
              <w:right w:val="single" w:sz="4" w:space="0" w:color="auto"/>
            </w:tcBorders>
            <w:shd w:val="clear" w:color="auto" w:fill="auto"/>
            <w:vAlign w:val="center"/>
            <w:hideMark/>
          </w:tcPr>
          <w:p w14:paraId="3328CBAD" w14:textId="77777777" w:rsidR="00731C28" w:rsidRPr="006A669C" w:rsidRDefault="00731C28" w:rsidP="00816216">
            <w:pPr>
              <w:spacing w:after="0" w:line="240" w:lineRule="auto"/>
              <w:jc w:val="center"/>
              <w:rPr>
                <w:rFonts w:ascii="Times New Roman" w:eastAsia="Times New Roman" w:hAnsi="Times New Roman" w:cs="Times New Roman"/>
                <w:color w:val="000000"/>
                <w:lang w:eastAsia="hr-HR"/>
              </w:rPr>
            </w:pPr>
            <w:r w:rsidRPr="006A669C">
              <w:rPr>
                <w:rFonts w:ascii="Times New Roman" w:eastAsia="Times New Roman" w:hAnsi="Times New Roman" w:cs="Times New Roman"/>
                <w:color w:val="000000"/>
                <w:lang w:eastAsia="hr-HR"/>
              </w:rPr>
              <w:t>21</w:t>
            </w:r>
          </w:p>
        </w:tc>
      </w:tr>
      <w:tr w:rsidR="00731C28" w:rsidRPr="006A669C" w14:paraId="0072D138" w14:textId="77777777" w:rsidTr="00816216">
        <w:trPr>
          <w:trHeight w:val="600"/>
        </w:trPr>
        <w:tc>
          <w:tcPr>
            <w:tcW w:w="169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7684CE3F" w14:textId="77777777" w:rsidR="00731C28" w:rsidRPr="00A43BA4" w:rsidRDefault="00731C28" w:rsidP="00816216">
            <w:pPr>
              <w:spacing w:after="0" w:line="240" w:lineRule="auto"/>
              <w:jc w:val="center"/>
              <w:rPr>
                <w:rFonts w:ascii="Times New Roman" w:eastAsia="Times New Roman" w:hAnsi="Times New Roman" w:cs="Times New Roman"/>
                <w:color w:val="000000"/>
                <w:lang w:eastAsia="hr-HR"/>
              </w:rPr>
            </w:pPr>
            <w:r w:rsidRPr="00A43BA4">
              <w:rPr>
                <w:rFonts w:ascii="Times New Roman" w:eastAsia="Times New Roman" w:hAnsi="Times New Roman" w:cs="Times New Roman"/>
                <w:color w:val="000000"/>
                <w:lang w:eastAsia="hr-HR"/>
              </w:rPr>
              <w:t>ostale pravne osobe</w:t>
            </w:r>
          </w:p>
        </w:tc>
        <w:tc>
          <w:tcPr>
            <w:tcW w:w="1134" w:type="dxa"/>
            <w:tcBorders>
              <w:top w:val="nil"/>
              <w:left w:val="nil"/>
              <w:bottom w:val="single" w:sz="4" w:space="0" w:color="auto"/>
              <w:right w:val="single" w:sz="4" w:space="0" w:color="auto"/>
            </w:tcBorders>
            <w:shd w:val="clear" w:color="auto" w:fill="auto"/>
            <w:vAlign w:val="center"/>
            <w:hideMark/>
          </w:tcPr>
          <w:p w14:paraId="5FE939E6" w14:textId="77777777" w:rsidR="00731C28" w:rsidRPr="00A43BA4" w:rsidRDefault="00731C28" w:rsidP="00816216">
            <w:pPr>
              <w:spacing w:after="0" w:line="240" w:lineRule="auto"/>
              <w:jc w:val="center"/>
              <w:rPr>
                <w:rFonts w:ascii="Times New Roman" w:eastAsia="Times New Roman" w:hAnsi="Times New Roman" w:cs="Times New Roman"/>
                <w:color w:val="000000"/>
                <w:lang w:eastAsia="hr-HR"/>
              </w:rPr>
            </w:pPr>
            <w:r w:rsidRPr="00A43BA4">
              <w:rPr>
                <w:rFonts w:ascii="Times New Roman" w:eastAsia="Times New Roman" w:hAnsi="Times New Roman" w:cs="Times New Roman"/>
                <w:color w:val="000000"/>
                <w:lang w:eastAsia="hr-HR"/>
              </w:rPr>
              <w:t>203</w:t>
            </w:r>
          </w:p>
        </w:tc>
        <w:tc>
          <w:tcPr>
            <w:tcW w:w="1276" w:type="dxa"/>
            <w:tcBorders>
              <w:top w:val="nil"/>
              <w:left w:val="nil"/>
              <w:bottom w:val="single" w:sz="4" w:space="0" w:color="auto"/>
              <w:right w:val="single" w:sz="4" w:space="0" w:color="auto"/>
            </w:tcBorders>
            <w:shd w:val="clear" w:color="auto" w:fill="auto"/>
            <w:vAlign w:val="center"/>
            <w:hideMark/>
          </w:tcPr>
          <w:p w14:paraId="115F25DE" w14:textId="77777777" w:rsidR="00731C28" w:rsidRPr="00A43BA4" w:rsidRDefault="00731C28" w:rsidP="00816216">
            <w:pPr>
              <w:spacing w:after="0" w:line="240" w:lineRule="auto"/>
              <w:jc w:val="center"/>
              <w:rPr>
                <w:rFonts w:ascii="Times New Roman" w:eastAsia="Times New Roman" w:hAnsi="Times New Roman" w:cs="Times New Roman"/>
                <w:color w:val="000000"/>
                <w:lang w:eastAsia="hr-HR"/>
              </w:rPr>
            </w:pPr>
            <w:r w:rsidRPr="00A43BA4">
              <w:rPr>
                <w:rFonts w:ascii="Times New Roman" w:eastAsia="Times New Roman" w:hAnsi="Times New Roman" w:cs="Times New Roman"/>
                <w:color w:val="000000"/>
                <w:lang w:eastAsia="hr-HR"/>
              </w:rPr>
              <w:t>13</w:t>
            </w:r>
          </w:p>
        </w:tc>
        <w:tc>
          <w:tcPr>
            <w:tcW w:w="1220" w:type="dxa"/>
            <w:tcBorders>
              <w:top w:val="nil"/>
              <w:left w:val="nil"/>
              <w:bottom w:val="single" w:sz="4" w:space="0" w:color="auto"/>
              <w:right w:val="single" w:sz="4" w:space="0" w:color="auto"/>
            </w:tcBorders>
            <w:shd w:val="clear" w:color="auto" w:fill="auto"/>
            <w:vAlign w:val="center"/>
            <w:hideMark/>
          </w:tcPr>
          <w:p w14:paraId="0A3C6C0D" w14:textId="77777777" w:rsidR="00731C28" w:rsidRPr="00A43BA4" w:rsidRDefault="00731C28" w:rsidP="00816216">
            <w:pPr>
              <w:spacing w:after="0" w:line="240" w:lineRule="auto"/>
              <w:jc w:val="center"/>
              <w:rPr>
                <w:rFonts w:ascii="Times New Roman" w:eastAsia="Times New Roman" w:hAnsi="Times New Roman" w:cs="Times New Roman"/>
                <w:color w:val="000000"/>
                <w:lang w:eastAsia="hr-HR"/>
              </w:rPr>
            </w:pPr>
            <w:r w:rsidRPr="00A43BA4">
              <w:rPr>
                <w:rFonts w:ascii="Times New Roman" w:eastAsia="Times New Roman" w:hAnsi="Times New Roman" w:cs="Times New Roman"/>
                <w:color w:val="000000"/>
                <w:lang w:eastAsia="hr-HR"/>
              </w:rPr>
              <w:t>208</w:t>
            </w:r>
          </w:p>
        </w:tc>
        <w:tc>
          <w:tcPr>
            <w:tcW w:w="1190" w:type="dxa"/>
            <w:tcBorders>
              <w:top w:val="nil"/>
              <w:left w:val="nil"/>
              <w:bottom w:val="single" w:sz="4" w:space="0" w:color="auto"/>
              <w:right w:val="single" w:sz="4" w:space="0" w:color="auto"/>
            </w:tcBorders>
            <w:shd w:val="clear" w:color="auto" w:fill="auto"/>
            <w:vAlign w:val="center"/>
            <w:hideMark/>
          </w:tcPr>
          <w:p w14:paraId="4B09DD41" w14:textId="77777777" w:rsidR="00731C28" w:rsidRPr="00A43BA4" w:rsidRDefault="00731C28" w:rsidP="00816216">
            <w:pPr>
              <w:spacing w:after="0" w:line="240" w:lineRule="auto"/>
              <w:jc w:val="center"/>
              <w:rPr>
                <w:rFonts w:ascii="Times New Roman" w:eastAsia="Times New Roman" w:hAnsi="Times New Roman" w:cs="Times New Roman"/>
                <w:color w:val="000000"/>
                <w:lang w:eastAsia="hr-HR"/>
              </w:rPr>
            </w:pPr>
            <w:r w:rsidRPr="00A43BA4">
              <w:rPr>
                <w:rFonts w:ascii="Times New Roman" w:eastAsia="Times New Roman" w:hAnsi="Times New Roman" w:cs="Times New Roman"/>
                <w:color w:val="000000"/>
                <w:lang w:eastAsia="hr-HR"/>
              </w:rPr>
              <w:t>15</w:t>
            </w:r>
          </w:p>
        </w:tc>
        <w:tc>
          <w:tcPr>
            <w:tcW w:w="1180" w:type="dxa"/>
            <w:tcBorders>
              <w:top w:val="nil"/>
              <w:left w:val="nil"/>
              <w:bottom w:val="single" w:sz="4" w:space="0" w:color="auto"/>
              <w:right w:val="single" w:sz="4" w:space="0" w:color="auto"/>
            </w:tcBorders>
            <w:shd w:val="clear" w:color="auto" w:fill="auto"/>
            <w:vAlign w:val="center"/>
            <w:hideMark/>
          </w:tcPr>
          <w:p w14:paraId="5479D8BC" w14:textId="77777777" w:rsidR="00731C28" w:rsidRPr="006A669C" w:rsidRDefault="00731C28" w:rsidP="00816216">
            <w:pPr>
              <w:spacing w:after="0" w:line="240" w:lineRule="auto"/>
              <w:jc w:val="center"/>
              <w:rPr>
                <w:rFonts w:ascii="Times New Roman" w:eastAsia="Times New Roman" w:hAnsi="Times New Roman" w:cs="Times New Roman"/>
                <w:color w:val="000000"/>
                <w:lang w:eastAsia="hr-HR"/>
              </w:rPr>
            </w:pPr>
            <w:r w:rsidRPr="006A669C">
              <w:rPr>
                <w:rFonts w:ascii="Times New Roman" w:eastAsia="Times New Roman" w:hAnsi="Times New Roman" w:cs="Times New Roman"/>
                <w:color w:val="000000"/>
                <w:lang w:eastAsia="hr-HR"/>
              </w:rPr>
              <w:t>210</w:t>
            </w:r>
          </w:p>
        </w:tc>
        <w:tc>
          <w:tcPr>
            <w:tcW w:w="1200" w:type="dxa"/>
            <w:tcBorders>
              <w:top w:val="nil"/>
              <w:left w:val="nil"/>
              <w:bottom w:val="single" w:sz="4" w:space="0" w:color="auto"/>
              <w:right w:val="single" w:sz="4" w:space="0" w:color="auto"/>
            </w:tcBorders>
            <w:shd w:val="clear" w:color="auto" w:fill="auto"/>
            <w:vAlign w:val="center"/>
            <w:hideMark/>
          </w:tcPr>
          <w:p w14:paraId="617C8122" w14:textId="77777777" w:rsidR="00731C28" w:rsidRPr="006A669C" w:rsidRDefault="00731C28" w:rsidP="00816216">
            <w:pPr>
              <w:spacing w:after="0" w:line="240" w:lineRule="auto"/>
              <w:jc w:val="center"/>
              <w:rPr>
                <w:rFonts w:ascii="Times New Roman" w:eastAsia="Times New Roman" w:hAnsi="Times New Roman" w:cs="Times New Roman"/>
                <w:color w:val="000000"/>
                <w:lang w:eastAsia="hr-HR"/>
              </w:rPr>
            </w:pPr>
            <w:r w:rsidRPr="006A669C">
              <w:rPr>
                <w:rFonts w:ascii="Times New Roman" w:eastAsia="Times New Roman" w:hAnsi="Times New Roman" w:cs="Times New Roman"/>
                <w:color w:val="000000"/>
                <w:lang w:eastAsia="hr-HR"/>
              </w:rPr>
              <w:t>13</w:t>
            </w:r>
          </w:p>
        </w:tc>
      </w:tr>
      <w:tr w:rsidR="00731C28" w:rsidRPr="006A669C" w14:paraId="54965D8F" w14:textId="77777777" w:rsidTr="00816216">
        <w:trPr>
          <w:trHeight w:val="300"/>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4FD0F8FB" w14:textId="77777777" w:rsidR="00731C28" w:rsidRPr="00A43BA4" w:rsidRDefault="00731C28" w:rsidP="00816216">
            <w:pPr>
              <w:spacing w:after="0" w:line="240" w:lineRule="auto"/>
              <w:jc w:val="center"/>
              <w:rPr>
                <w:rFonts w:ascii="Times New Roman" w:eastAsia="Times New Roman" w:hAnsi="Times New Roman" w:cs="Times New Roman"/>
                <w:color w:val="000000"/>
                <w:lang w:eastAsia="hr-HR"/>
              </w:rPr>
            </w:pPr>
            <w:r w:rsidRPr="00A43BA4">
              <w:rPr>
                <w:rFonts w:ascii="Times New Roman" w:eastAsia="Times New Roman" w:hAnsi="Times New Roman" w:cs="Times New Roman"/>
                <w:color w:val="000000"/>
                <w:lang w:eastAsia="hr-HR"/>
              </w:rPr>
              <w:t>UKUPNO</w:t>
            </w:r>
          </w:p>
        </w:tc>
        <w:tc>
          <w:tcPr>
            <w:tcW w:w="1134" w:type="dxa"/>
            <w:tcBorders>
              <w:top w:val="nil"/>
              <w:left w:val="nil"/>
              <w:bottom w:val="single" w:sz="4" w:space="0" w:color="auto"/>
              <w:right w:val="single" w:sz="4" w:space="0" w:color="auto"/>
            </w:tcBorders>
            <w:shd w:val="clear" w:color="auto" w:fill="auto"/>
            <w:vAlign w:val="center"/>
            <w:hideMark/>
          </w:tcPr>
          <w:p w14:paraId="1EEC9266" w14:textId="77777777" w:rsidR="00731C28" w:rsidRPr="00A43BA4" w:rsidRDefault="00731C28" w:rsidP="00816216">
            <w:pPr>
              <w:spacing w:after="0" w:line="240" w:lineRule="auto"/>
              <w:jc w:val="center"/>
              <w:rPr>
                <w:rFonts w:ascii="Times New Roman" w:eastAsia="Times New Roman" w:hAnsi="Times New Roman" w:cs="Times New Roman"/>
                <w:color w:val="000000"/>
                <w:lang w:eastAsia="hr-HR"/>
              </w:rPr>
            </w:pPr>
            <w:r w:rsidRPr="00A43BA4">
              <w:rPr>
                <w:rFonts w:ascii="Times New Roman" w:eastAsia="Times New Roman" w:hAnsi="Times New Roman" w:cs="Times New Roman"/>
                <w:color w:val="000000"/>
                <w:lang w:eastAsia="hr-HR"/>
              </w:rPr>
              <w:t>5267</w:t>
            </w:r>
          </w:p>
        </w:tc>
        <w:tc>
          <w:tcPr>
            <w:tcW w:w="1276" w:type="dxa"/>
            <w:tcBorders>
              <w:top w:val="nil"/>
              <w:left w:val="nil"/>
              <w:bottom w:val="single" w:sz="4" w:space="0" w:color="auto"/>
              <w:right w:val="single" w:sz="4" w:space="0" w:color="auto"/>
            </w:tcBorders>
            <w:shd w:val="clear" w:color="auto" w:fill="auto"/>
            <w:vAlign w:val="center"/>
            <w:hideMark/>
          </w:tcPr>
          <w:p w14:paraId="74B9107E" w14:textId="77777777" w:rsidR="00731C28" w:rsidRPr="00A43BA4" w:rsidRDefault="00731C28" w:rsidP="00816216">
            <w:pPr>
              <w:spacing w:after="0" w:line="240" w:lineRule="auto"/>
              <w:jc w:val="center"/>
              <w:rPr>
                <w:rFonts w:ascii="Times New Roman" w:eastAsia="Times New Roman" w:hAnsi="Times New Roman" w:cs="Times New Roman"/>
                <w:color w:val="000000"/>
                <w:lang w:eastAsia="hr-HR"/>
              </w:rPr>
            </w:pPr>
            <w:r w:rsidRPr="00A43BA4">
              <w:rPr>
                <w:rFonts w:ascii="Times New Roman" w:eastAsia="Times New Roman" w:hAnsi="Times New Roman" w:cs="Times New Roman"/>
                <w:color w:val="000000"/>
                <w:lang w:eastAsia="hr-HR"/>
              </w:rPr>
              <w:t>402</w:t>
            </w:r>
          </w:p>
        </w:tc>
        <w:tc>
          <w:tcPr>
            <w:tcW w:w="1220" w:type="dxa"/>
            <w:tcBorders>
              <w:top w:val="nil"/>
              <w:left w:val="nil"/>
              <w:bottom w:val="single" w:sz="4" w:space="0" w:color="auto"/>
              <w:right w:val="single" w:sz="4" w:space="0" w:color="auto"/>
            </w:tcBorders>
            <w:shd w:val="clear" w:color="auto" w:fill="auto"/>
            <w:vAlign w:val="center"/>
            <w:hideMark/>
          </w:tcPr>
          <w:p w14:paraId="7ABAAFE0" w14:textId="77777777" w:rsidR="00731C28" w:rsidRPr="00A43BA4" w:rsidRDefault="00731C28" w:rsidP="00816216">
            <w:pPr>
              <w:spacing w:after="0" w:line="240" w:lineRule="auto"/>
              <w:jc w:val="center"/>
              <w:rPr>
                <w:rFonts w:ascii="Times New Roman" w:eastAsia="Times New Roman" w:hAnsi="Times New Roman" w:cs="Times New Roman"/>
                <w:color w:val="000000"/>
                <w:lang w:eastAsia="hr-HR"/>
              </w:rPr>
            </w:pPr>
            <w:r w:rsidRPr="00A43BA4">
              <w:rPr>
                <w:rFonts w:ascii="Times New Roman" w:eastAsia="Times New Roman" w:hAnsi="Times New Roman" w:cs="Times New Roman"/>
                <w:color w:val="000000"/>
                <w:lang w:eastAsia="hr-HR"/>
              </w:rPr>
              <w:t>5416</w:t>
            </w:r>
          </w:p>
        </w:tc>
        <w:tc>
          <w:tcPr>
            <w:tcW w:w="1190" w:type="dxa"/>
            <w:tcBorders>
              <w:top w:val="nil"/>
              <w:left w:val="nil"/>
              <w:bottom w:val="single" w:sz="4" w:space="0" w:color="auto"/>
              <w:right w:val="single" w:sz="4" w:space="0" w:color="auto"/>
            </w:tcBorders>
            <w:shd w:val="clear" w:color="auto" w:fill="auto"/>
            <w:vAlign w:val="center"/>
            <w:hideMark/>
          </w:tcPr>
          <w:p w14:paraId="66FA1930" w14:textId="77777777" w:rsidR="00731C28" w:rsidRPr="00A43BA4" w:rsidRDefault="00731C28" w:rsidP="00816216">
            <w:pPr>
              <w:spacing w:after="0" w:line="240" w:lineRule="auto"/>
              <w:jc w:val="center"/>
              <w:rPr>
                <w:rFonts w:ascii="Times New Roman" w:eastAsia="Times New Roman" w:hAnsi="Times New Roman" w:cs="Times New Roman"/>
                <w:color w:val="000000"/>
                <w:lang w:eastAsia="hr-HR"/>
              </w:rPr>
            </w:pPr>
            <w:r w:rsidRPr="00A43BA4">
              <w:rPr>
                <w:rFonts w:ascii="Times New Roman" w:eastAsia="Times New Roman" w:hAnsi="Times New Roman" w:cs="Times New Roman"/>
                <w:color w:val="000000"/>
                <w:lang w:eastAsia="hr-HR"/>
              </w:rPr>
              <w:t>359</w:t>
            </w:r>
          </w:p>
        </w:tc>
        <w:tc>
          <w:tcPr>
            <w:tcW w:w="1180" w:type="dxa"/>
            <w:tcBorders>
              <w:top w:val="nil"/>
              <w:left w:val="nil"/>
              <w:bottom w:val="single" w:sz="4" w:space="0" w:color="auto"/>
              <w:right w:val="single" w:sz="4" w:space="0" w:color="auto"/>
            </w:tcBorders>
            <w:shd w:val="clear" w:color="auto" w:fill="auto"/>
            <w:vAlign w:val="center"/>
            <w:hideMark/>
          </w:tcPr>
          <w:p w14:paraId="23A5272C" w14:textId="77777777" w:rsidR="00731C28" w:rsidRPr="006A669C" w:rsidRDefault="00731C28" w:rsidP="00816216">
            <w:pPr>
              <w:spacing w:after="0" w:line="240" w:lineRule="auto"/>
              <w:jc w:val="center"/>
              <w:rPr>
                <w:rFonts w:ascii="Times New Roman" w:eastAsia="Times New Roman" w:hAnsi="Times New Roman" w:cs="Times New Roman"/>
                <w:color w:val="000000"/>
                <w:lang w:eastAsia="hr-HR"/>
              </w:rPr>
            </w:pPr>
            <w:r w:rsidRPr="006A669C">
              <w:rPr>
                <w:rFonts w:ascii="Times New Roman" w:eastAsia="Times New Roman" w:hAnsi="Times New Roman" w:cs="Times New Roman"/>
                <w:color w:val="000000"/>
                <w:lang w:eastAsia="hr-HR"/>
              </w:rPr>
              <w:t>5429</w:t>
            </w:r>
          </w:p>
        </w:tc>
        <w:tc>
          <w:tcPr>
            <w:tcW w:w="1200" w:type="dxa"/>
            <w:tcBorders>
              <w:top w:val="nil"/>
              <w:left w:val="nil"/>
              <w:bottom w:val="single" w:sz="4" w:space="0" w:color="auto"/>
              <w:right w:val="single" w:sz="4" w:space="0" w:color="auto"/>
            </w:tcBorders>
            <w:shd w:val="clear" w:color="auto" w:fill="auto"/>
            <w:vAlign w:val="center"/>
            <w:hideMark/>
          </w:tcPr>
          <w:p w14:paraId="11DC8992" w14:textId="77777777" w:rsidR="00731C28" w:rsidRPr="006A669C" w:rsidRDefault="00731C28" w:rsidP="00816216">
            <w:pPr>
              <w:spacing w:after="0" w:line="240" w:lineRule="auto"/>
              <w:jc w:val="center"/>
              <w:rPr>
                <w:rFonts w:ascii="Times New Roman" w:eastAsia="Times New Roman" w:hAnsi="Times New Roman" w:cs="Times New Roman"/>
                <w:color w:val="000000"/>
                <w:lang w:eastAsia="hr-HR"/>
              </w:rPr>
            </w:pPr>
            <w:r w:rsidRPr="006A669C">
              <w:rPr>
                <w:rFonts w:ascii="Times New Roman" w:eastAsia="Times New Roman" w:hAnsi="Times New Roman" w:cs="Times New Roman"/>
                <w:color w:val="000000"/>
                <w:lang w:eastAsia="hr-HR"/>
              </w:rPr>
              <w:t>344</w:t>
            </w:r>
          </w:p>
        </w:tc>
      </w:tr>
      <w:tr w:rsidR="00731C28" w:rsidRPr="006A669C" w14:paraId="3793E128" w14:textId="77777777" w:rsidTr="00816216">
        <w:trPr>
          <w:trHeight w:val="735"/>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279027A5" w14:textId="77777777" w:rsidR="00731C28" w:rsidRPr="00A43BA4" w:rsidRDefault="00731C28" w:rsidP="00A418AE">
            <w:pPr>
              <w:spacing w:after="0" w:line="240" w:lineRule="auto"/>
              <w:jc w:val="center"/>
              <w:rPr>
                <w:rFonts w:ascii="Times New Roman" w:eastAsia="Times New Roman" w:hAnsi="Times New Roman" w:cs="Times New Roman"/>
                <w:color w:val="000000"/>
                <w:lang w:eastAsia="hr-HR"/>
              </w:rPr>
            </w:pPr>
            <w:r w:rsidRPr="00A43BA4">
              <w:rPr>
                <w:rFonts w:ascii="Times New Roman" w:eastAsia="Times New Roman" w:hAnsi="Times New Roman" w:cs="Times New Roman"/>
                <w:color w:val="000000"/>
                <w:lang w:eastAsia="hr-HR"/>
              </w:rPr>
              <w:t>SVEUKUPNO PO GODINAMA</w:t>
            </w:r>
          </w:p>
        </w:tc>
        <w:tc>
          <w:tcPr>
            <w:tcW w:w="2410" w:type="dxa"/>
            <w:gridSpan w:val="2"/>
            <w:tcBorders>
              <w:top w:val="single" w:sz="4" w:space="0" w:color="auto"/>
              <w:left w:val="nil"/>
              <w:bottom w:val="single" w:sz="4" w:space="0" w:color="auto"/>
              <w:right w:val="single" w:sz="4" w:space="0" w:color="auto"/>
            </w:tcBorders>
            <w:shd w:val="clear" w:color="auto" w:fill="auto"/>
            <w:noWrap/>
            <w:vAlign w:val="center"/>
            <w:hideMark/>
          </w:tcPr>
          <w:p w14:paraId="604D9F9C" w14:textId="77777777" w:rsidR="00731C28" w:rsidRPr="00A43BA4" w:rsidRDefault="00731C28" w:rsidP="00A418AE">
            <w:pPr>
              <w:spacing w:after="0" w:line="240" w:lineRule="auto"/>
              <w:jc w:val="center"/>
              <w:rPr>
                <w:rFonts w:ascii="Times New Roman" w:eastAsia="Times New Roman" w:hAnsi="Times New Roman" w:cs="Times New Roman"/>
                <w:color w:val="000000"/>
                <w:lang w:eastAsia="hr-HR"/>
              </w:rPr>
            </w:pPr>
            <w:r w:rsidRPr="00A43BA4">
              <w:rPr>
                <w:rFonts w:ascii="Times New Roman" w:eastAsia="Times New Roman" w:hAnsi="Times New Roman" w:cs="Times New Roman"/>
                <w:color w:val="000000"/>
                <w:lang w:eastAsia="hr-HR"/>
              </w:rPr>
              <w:t>5699</w:t>
            </w:r>
          </w:p>
        </w:tc>
        <w:tc>
          <w:tcPr>
            <w:tcW w:w="2410" w:type="dxa"/>
            <w:gridSpan w:val="2"/>
            <w:tcBorders>
              <w:top w:val="single" w:sz="4" w:space="0" w:color="auto"/>
              <w:left w:val="nil"/>
              <w:bottom w:val="single" w:sz="4" w:space="0" w:color="auto"/>
              <w:right w:val="single" w:sz="4" w:space="0" w:color="auto"/>
            </w:tcBorders>
            <w:shd w:val="clear" w:color="auto" w:fill="auto"/>
            <w:noWrap/>
            <w:vAlign w:val="center"/>
            <w:hideMark/>
          </w:tcPr>
          <w:p w14:paraId="1CF10621" w14:textId="77777777" w:rsidR="00731C28" w:rsidRPr="00A43BA4" w:rsidRDefault="00731C28" w:rsidP="00A418AE">
            <w:pPr>
              <w:spacing w:after="0" w:line="240" w:lineRule="auto"/>
              <w:jc w:val="center"/>
              <w:rPr>
                <w:rFonts w:ascii="Times New Roman" w:eastAsia="Times New Roman" w:hAnsi="Times New Roman" w:cs="Times New Roman"/>
                <w:color w:val="000000"/>
                <w:lang w:eastAsia="hr-HR"/>
              </w:rPr>
            </w:pPr>
            <w:r w:rsidRPr="00A43BA4">
              <w:rPr>
                <w:rFonts w:ascii="Times New Roman" w:eastAsia="Times New Roman" w:hAnsi="Times New Roman" w:cs="Times New Roman"/>
                <w:color w:val="000000"/>
                <w:lang w:eastAsia="hr-HR"/>
              </w:rPr>
              <w:t>5777</w:t>
            </w:r>
          </w:p>
        </w:tc>
        <w:tc>
          <w:tcPr>
            <w:tcW w:w="2380" w:type="dxa"/>
            <w:gridSpan w:val="2"/>
            <w:tcBorders>
              <w:top w:val="single" w:sz="4" w:space="0" w:color="auto"/>
              <w:left w:val="nil"/>
              <w:bottom w:val="single" w:sz="4" w:space="0" w:color="auto"/>
              <w:right w:val="single" w:sz="4" w:space="0" w:color="auto"/>
            </w:tcBorders>
            <w:shd w:val="clear" w:color="auto" w:fill="auto"/>
            <w:noWrap/>
            <w:vAlign w:val="center"/>
            <w:hideMark/>
          </w:tcPr>
          <w:p w14:paraId="6584ED63" w14:textId="77777777" w:rsidR="00731C28" w:rsidRPr="006A669C" w:rsidRDefault="00731C28" w:rsidP="00A418AE">
            <w:pPr>
              <w:spacing w:after="0" w:line="240" w:lineRule="auto"/>
              <w:jc w:val="center"/>
              <w:rPr>
                <w:rFonts w:ascii="Times New Roman" w:eastAsia="Times New Roman" w:hAnsi="Times New Roman" w:cs="Times New Roman"/>
                <w:color w:val="000000"/>
                <w:lang w:eastAsia="hr-HR"/>
              </w:rPr>
            </w:pPr>
            <w:r w:rsidRPr="006A669C">
              <w:rPr>
                <w:rFonts w:ascii="Times New Roman" w:eastAsia="Times New Roman" w:hAnsi="Times New Roman" w:cs="Times New Roman"/>
                <w:color w:val="000000"/>
                <w:lang w:eastAsia="hr-HR"/>
              </w:rPr>
              <w:t>5773</w:t>
            </w:r>
          </w:p>
        </w:tc>
      </w:tr>
    </w:tbl>
    <w:p w14:paraId="3F318E7A" w14:textId="77777777" w:rsidR="00731C28" w:rsidRDefault="00731C28" w:rsidP="00A418AE">
      <w:pPr>
        <w:spacing w:after="0" w:line="240" w:lineRule="auto"/>
        <w:rPr>
          <w:rFonts w:ascii="Times New Roman" w:hAnsi="Times New Roman" w:cs="Times New Roman"/>
          <w:sz w:val="24"/>
          <w:szCs w:val="24"/>
        </w:rPr>
      </w:pPr>
    </w:p>
    <w:p w14:paraId="6B33BB14" w14:textId="77777777" w:rsidR="00731C28" w:rsidRDefault="00731C28" w:rsidP="00A418AE">
      <w:pPr>
        <w:spacing w:after="0" w:line="240" w:lineRule="auto"/>
        <w:rPr>
          <w:rFonts w:ascii="Times New Roman" w:hAnsi="Times New Roman" w:cs="Times New Roman"/>
          <w:sz w:val="24"/>
          <w:szCs w:val="24"/>
        </w:rPr>
      </w:pPr>
      <w:r w:rsidRPr="00AF7DB1">
        <w:rPr>
          <w:rFonts w:ascii="Times New Roman" w:hAnsi="Times New Roman" w:cs="Times New Roman"/>
          <w:i/>
          <w:iCs/>
          <w:sz w:val="24"/>
          <w:szCs w:val="24"/>
        </w:rPr>
        <w:t xml:space="preserve">Podaci o broju </w:t>
      </w:r>
      <w:r>
        <w:rPr>
          <w:rFonts w:ascii="Times New Roman" w:hAnsi="Times New Roman" w:cs="Times New Roman"/>
          <w:i/>
          <w:iCs/>
          <w:sz w:val="24"/>
          <w:szCs w:val="24"/>
        </w:rPr>
        <w:t xml:space="preserve">osoba s invaliditetom, </w:t>
      </w:r>
      <w:r w:rsidRPr="00AF7DB1">
        <w:rPr>
          <w:rFonts w:ascii="Times New Roman" w:hAnsi="Times New Roman" w:cs="Times New Roman"/>
          <w:i/>
          <w:iCs/>
          <w:sz w:val="24"/>
          <w:szCs w:val="24"/>
        </w:rPr>
        <w:t xml:space="preserve">korisnika </w:t>
      </w:r>
      <w:proofErr w:type="spellStart"/>
      <w:r>
        <w:rPr>
          <w:rFonts w:ascii="Times New Roman" w:hAnsi="Times New Roman" w:cs="Times New Roman"/>
          <w:i/>
          <w:iCs/>
          <w:sz w:val="24"/>
          <w:szCs w:val="24"/>
        </w:rPr>
        <w:t>izvaninstitucijskih</w:t>
      </w:r>
      <w:proofErr w:type="spellEnd"/>
      <w:r>
        <w:rPr>
          <w:rFonts w:ascii="Times New Roman" w:hAnsi="Times New Roman" w:cs="Times New Roman"/>
          <w:i/>
          <w:iCs/>
          <w:sz w:val="24"/>
          <w:szCs w:val="24"/>
        </w:rPr>
        <w:t xml:space="preserve"> socijalnih </w:t>
      </w:r>
      <w:r w:rsidRPr="00AF7DB1">
        <w:rPr>
          <w:rFonts w:ascii="Times New Roman" w:hAnsi="Times New Roman" w:cs="Times New Roman"/>
          <w:i/>
          <w:iCs/>
          <w:sz w:val="24"/>
          <w:szCs w:val="24"/>
        </w:rPr>
        <w:t>uslug</w:t>
      </w:r>
      <w:r>
        <w:rPr>
          <w:rFonts w:ascii="Times New Roman" w:hAnsi="Times New Roman" w:cs="Times New Roman"/>
          <w:i/>
          <w:iCs/>
          <w:sz w:val="24"/>
          <w:szCs w:val="24"/>
        </w:rPr>
        <w:t>a</w:t>
      </w:r>
    </w:p>
    <w:tbl>
      <w:tblPr>
        <w:tblW w:w="8796" w:type="dxa"/>
        <w:tblInd w:w="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5"/>
        <w:gridCol w:w="1850"/>
        <w:gridCol w:w="1560"/>
        <w:gridCol w:w="1701"/>
      </w:tblGrid>
      <w:tr w:rsidR="00731C28" w:rsidRPr="001C28C4" w14:paraId="373A1084" w14:textId="77777777" w:rsidTr="00816216">
        <w:trPr>
          <w:trHeight w:val="445"/>
        </w:trPr>
        <w:tc>
          <w:tcPr>
            <w:tcW w:w="3685" w:type="dxa"/>
            <w:shd w:val="clear" w:color="auto" w:fill="auto"/>
            <w:noWrap/>
            <w:vAlign w:val="bottom"/>
            <w:hideMark/>
          </w:tcPr>
          <w:p w14:paraId="3A9CE986" w14:textId="77777777" w:rsidR="00731C28" w:rsidRPr="001C28C4" w:rsidRDefault="00731C28" w:rsidP="00A418AE">
            <w:pPr>
              <w:spacing w:after="0" w:line="240" w:lineRule="auto"/>
              <w:rPr>
                <w:rFonts w:ascii="Times New Roman" w:eastAsia="Times New Roman" w:hAnsi="Times New Roman" w:cs="Times New Roman"/>
                <w:color w:val="000000"/>
                <w:lang w:eastAsia="hr-HR"/>
              </w:rPr>
            </w:pPr>
          </w:p>
        </w:tc>
        <w:tc>
          <w:tcPr>
            <w:tcW w:w="1850" w:type="dxa"/>
            <w:shd w:val="clear" w:color="000000" w:fill="F2F2F2"/>
            <w:vAlign w:val="center"/>
            <w:hideMark/>
          </w:tcPr>
          <w:p w14:paraId="30B78BE1" w14:textId="77777777" w:rsidR="00731C28" w:rsidRPr="001C28C4" w:rsidRDefault="00731C28" w:rsidP="00A418AE">
            <w:pPr>
              <w:spacing w:after="0" w:line="240" w:lineRule="auto"/>
              <w:jc w:val="center"/>
              <w:rPr>
                <w:rFonts w:ascii="Times New Roman" w:eastAsia="Times New Roman" w:hAnsi="Times New Roman" w:cs="Times New Roman"/>
                <w:color w:val="000000"/>
                <w:lang w:eastAsia="hr-HR"/>
              </w:rPr>
            </w:pPr>
            <w:r w:rsidRPr="001C28C4">
              <w:rPr>
                <w:rFonts w:ascii="Times New Roman" w:eastAsia="Times New Roman" w:hAnsi="Times New Roman" w:cs="Times New Roman"/>
                <w:color w:val="000000"/>
                <w:lang w:eastAsia="hr-HR"/>
              </w:rPr>
              <w:t>2017</w:t>
            </w:r>
            <w:r w:rsidRPr="00011713">
              <w:rPr>
                <w:rFonts w:ascii="Times New Roman" w:eastAsia="Times New Roman" w:hAnsi="Times New Roman" w:cs="Times New Roman"/>
                <w:color w:val="000000"/>
                <w:lang w:eastAsia="hr-HR"/>
              </w:rPr>
              <w:t>. godina</w:t>
            </w:r>
          </w:p>
        </w:tc>
        <w:tc>
          <w:tcPr>
            <w:tcW w:w="1560" w:type="dxa"/>
            <w:shd w:val="clear" w:color="000000" w:fill="F2F2F2"/>
            <w:vAlign w:val="center"/>
            <w:hideMark/>
          </w:tcPr>
          <w:p w14:paraId="0C7DF42F" w14:textId="77777777" w:rsidR="00731C28" w:rsidRPr="001C28C4" w:rsidRDefault="00731C28" w:rsidP="00A418AE">
            <w:pPr>
              <w:spacing w:after="0" w:line="240" w:lineRule="auto"/>
              <w:jc w:val="center"/>
              <w:rPr>
                <w:rFonts w:ascii="Times New Roman" w:eastAsia="Times New Roman" w:hAnsi="Times New Roman" w:cs="Times New Roman"/>
                <w:color w:val="000000"/>
                <w:lang w:eastAsia="hr-HR"/>
              </w:rPr>
            </w:pPr>
            <w:r w:rsidRPr="001C28C4">
              <w:rPr>
                <w:rFonts w:ascii="Times New Roman" w:eastAsia="Times New Roman" w:hAnsi="Times New Roman" w:cs="Times New Roman"/>
                <w:color w:val="000000"/>
                <w:lang w:eastAsia="hr-HR"/>
              </w:rPr>
              <w:t>2018.</w:t>
            </w:r>
            <w:r w:rsidRPr="00011713">
              <w:rPr>
                <w:rFonts w:ascii="Times New Roman" w:eastAsia="Times New Roman" w:hAnsi="Times New Roman" w:cs="Times New Roman"/>
                <w:color w:val="000000"/>
                <w:lang w:eastAsia="hr-HR"/>
              </w:rPr>
              <w:t xml:space="preserve"> godina</w:t>
            </w:r>
          </w:p>
        </w:tc>
        <w:tc>
          <w:tcPr>
            <w:tcW w:w="1701" w:type="dxa"/>
            <w:shd w:val="clear" w:color="000000" w:fill="F2F2F2"/>
            <w:vAlign w:val="center"/>
            <w:hideMark/>
          </w:tcPr>
          <w:p w14:paraId="570D6073" w14:textId="77777777" w:rsidR="00731C28" w:rsidRPr="001C28C4" w:rsidRDefault="00731C28" w:rsidP="00A418AE">
            <w:pPr>
              <w:spacing w:after="0" w:line="240" w:lineRule="auto"/>
              <w:jc w:val="center"/>
              <w:rPr>
                <w:rFonts w:ascii="Times New Roman" w:eastAsia="Times New Roman" w:hAnsi="Times New Roman" w:cs="Times New Roman"/>
                <w:color w:val="000000"/>
                <w:lang w:eastAsia="hr-HR"/>
              </w:rPr>
            </w:pPr>
            <w:r w:rsidRPr="001C28C4">
              <w:rPr>
                <w:rFonts w:ascii="Times New Roman" w:eastAsia="Times New Roman" w:hAnsi="Times New Roman" w:cs="Times New Roman"/>
                <w:color w:val="000000"/>
                <w:lang w:eastAsia="hr-HR"/>
              </w:rPr>
              <w:t>2019.</w:t>
            </w:r>
            <w:r w:rsidRPr="00011713">
              <w:rPr>
                <w:rFonts w:ascii="Times New Roman" w:eastAsia="Times New Roman" w:hAnsi="Times New Roman" w:cs="Times New Roman"/>
                <w:color w:val="000000"/>
                <w:lang w:eastAsia="hr-HR"/>
              </w:rPr>
              <w:t xml:space="preserve"> godina</w:t>
            </w:r>
          </w:p>
        </w:tc>
      </w:tr>
      <w:tr w:rsidR="00731C28" w:rsidRPr="001C28C4" w14:paraId="25331390" w14:textId="77777777" w:rsidTr="00816216">
        <w:trPr>
          <w:trHeight w:val="551"/>
        </w:trPr>
        <w:tc>
          <w:tcPr>
            <w:tcW w:w="3685" w:type="dxa"/>
            <w:shd w:val="clear" w:color="000000" w:fill="F2F2F2"/>
            <w:vAlign w:val="center"/>
            <w:hideMark/>
          </w:tcPr>
          <w:p w14:paraId="499871A4" w14:textId="77777777" w:rsidR="00731C28" w:rsidRPr="001C28C4" w:rsidRDefault="00731C28" w:rsidP="00816216">
            <w:pPr>
              <w:spacing w:after="0" w:line="240" w:lineRule="auto"/>
              <w:jc w:val="center"/>
              <w:rPr>
                <w:rFonts w:ascii="Times New Roman" w:eastAsia="Times New Roman" w:hAnsi="Times New Roman" w:cs="Times New Roman"/>
                <w:color w:val="000000"/>
                <w:lang w:eastAsia="hr-HR"/>
              </w:rPr>
            </w:pPr>
            <w:r w:rsidRPr="001C28C4">
              <w:rPr>
                <w:rFonts w:ascii="Times New Roman" w:eastAsia="Times New Roman" w:hAnsi="Times New Roman" w:cs="Times New Roman"/>
                <w:color w:val="000000"/>
                <w:lang w:eastAsia="hr-HR"/>
              </w:rPr>
              <w:t>cjelodnevni boravak</w:t>
            </w:r>
          </w:p>
        </w:tc>
        <w:tc>
          <w:tcPr>
            <w:tcW w:w="1850" w:type="dxa"/>
            <w:shd w:val="clear" w:color="auto" w:fill="auto"/>
            <w:vAlign w:val="center"/>
            <w:hideMark/>
          </w:tcPr>
          <w:p w14:paraId="784C8AAC" w14:textId="77777777" w:rsidR="00731C28" w:rsidRPr="001C28C4" w:rsidRDefault="00731C28" w:rsidP="00816216">
            <w:pPr>
              <w:spacing w:after="0" w:line="240" w:lineRule="auto"/>
              <w:jc w:val="center"/>
              <w:rPr>
                <w:rFonts w:ascii="Times New Roman" w:eastAsia="Times New Roman" w:hAnsi="Times New Roman" w:cs="Times New Roman"/>
                <w:color w:val="000000"/>
                <w:lang w:eastAsia="hr-HR"/>
              </w:rPr>
            </w:pPr>
            <w:r w:rsidRPr="001C28C4">
              <w:rPr>
                <w:rFonts w:ascii="Times New Roman" w:eastAsia="Times New Roman" w:hAnsi="Times New Roman" w:cs="Times New Roman"/>
                <w:color w:val="000000"/>
                <w:lang w:eastAsia="hr-HR"/>
              </w:rPr>
              <w:t>473</w:t>
            </w:r>
          </w:p>
        </w:tc>
        <w:tc>
          <w:tcPr>
            <w:tcW w:w="1560" w:type="dxa"/>
            <w:shd w:val="clear" w:color="auto" w:fill="auto"/>
            <w:vAlign w:val="center"/>
            <w:hideMark/>
          </w:tcPr>
          <w:p w14:paraId="2B70F07B" w14:textId="77777777" w:rsidR="00731C28" w:rsidRPr="001C28C4" w:rsidRDefault="00731C28" w:rsidP="00816216">
            <w:pPr>
              <w:spacing w:after="0" w:line="240" w:lineRule="auto"/>
              <w:jc w:val="center"/>
              <w:rPr>
                <w:rFonts w:ascii="Times New Roman" w:eastAsia="Times New Roman" w:hAnsi="Times New Roman" w:cs="Times New Roman"/>
                <w:color w:val="000000"/>
                <w:lang w:eastAsia="hr-HR"/>
              </w:rPr>
            </w:pPr>
            <w:r w:rsidRPr="001C28C4">
              <w:rPr>
                <w:rFonts w:ascii="Times New Roman" w:eastAsia="Times New Roman" w:hAnsi="Times New Roman" w:cs="Times New Roman"/>
                <w:color w:val="000000"/>
                <w:lang w:eastAsia="hr-HR"/>
              </w:rPr>
              <w:t>415</w:t>
            </w:r>
          </w:p>
        </w:tc>
        <w:tc>
          <w:tcPr>
            <w:tcW w:w="1701" w:type="dxa"/>
            <w:shd w:val="clear" w:color="auto" w:fill="auto"/>
            <w:vAlign w:val="center"/>
            <w:hideMark/>
          </w:tcPr>
          <w:p w14:paraId="26C66C3C" w14:textId="77777777" w:rsidR="00731C28" w:rsidRPr="001C28C4" w:rsidRDefault="00731C28" w:rsidP="00816216">
            <w:pPr>
              <w:spacing w:after="0" w:line="240" w:lineRule="auto"/>
              <w:jc w:val="center"/>
              <w:rPr>
                <w:rFonts w:ascii="Times New Roman" w:eastAsia="Times New Roman" w:hAnsi="Times New Roman" w:cs="Times New Roman"/>
                <w:color w:val="000000"/>
                <w:lang w:eastAsia="hr-HR"/>
              </w:rPr>
            </w:pPr>
            <w:r w:rsidRPr="001C28C4">
              <w:rPr>
                <w:rFonts w:ascii="Times New Roman" w:eastAsia="Times New Roman" w:hAnsi="Times New Roman" w:cs="Times New Roman"/>
                <w:color w:val="000000"/>
                <w:lang w:eastAsia="hr-HR"/>
              </w:rPr>
              <w:t>410</w:t>
            </w:r>
          </w:p>
        </w:tc>
      </w:tr>
      <w:tr w:rsidR="00731C28" w:rsidRPr="001C28C4" w14:paraId="43749400" w14:textId="77777777" w:rsidTr="00816216">
        <w:trPr>
          <w:trHeight w:val="419"/>
        </w:trPr>
        <w:tc>
          <w:tcPr>
            <w:tcW w:w="3685" w:type="dxa"/>
            <w:shd w:val="clear" w:color="000000" w:fill="F2F2F2"/>
            <w:vAlign w:val="center"/>
            <w:hideMark/>
          </w:tcPr>
          <w:p w14:paraId="33824604" w14:textId="77777777" w:rsidR="00731C28" w:rsidRPr="001C28C4" w:rsidRDefault="00731C28" w:rsidP="00816216">
            <w:pPr>
              <w:spacing w:after="0" w:line="240" w:lineRule="auto"/>
              <w:ind w:hanging="83"/>
              <w:jc w:val="center"/>
              <w:rPr>
                <w:rFonts w:ascii="Times New Roman" w:eastAsia="Times New Roman" w:hAnsi="Times New Roman" w:cs="Times New Roman"/>
                <w:color w:val="000000"/>
                <w:lang w:eastAsia="hr-HR"/>
              </w:rPr>
            </w:pPr>
            <w:r w:rsidRPr="001C28C4">
              <w:rPr>
                <w:rFonts w:ascii="Times New Roman" w:eastAsia="Times New Roman" w:hAnsi="Times New Roman" w:cs="Times New Roman"/>
                <w:color w:val="000000"/>
                <w:lang w:eastAsia="hr-HR"/>
              </w:rPr>
              <w:t>poludnevni boravak</w:t>
            </w:r>
          </w:p>
        </w:tc>
        <w:tc>
          <w:tcPr>
            <w:tcW w:w="1850" w:type="dxa"/>
            <w:shd w:val="clear" w:color="auto" w:fill="auto"/>
            <w:vAlign w:val="center"/>
            <w:hideMark/>
          </w:tcPr>
          <w:p w14:paraId="27C4E4F7" w14:textId="77777777" w:rsidR="00731C28" w:rsidRPr="001C28C4" w:rsidRDefault="00731C28" w:rsidP="00816216">
            <w:pPr>
              <w:spacing w:after="0" w:line="240" w:lineRule="auto"/>
              <w:jc w:val="center"/>
              <w:rPr>
                <w:rFonts w:ascii="Times New Roman" w:eastAsia="Times New Roman" w:hAnsi="Times New Roman" w:cs="Times New Roman"/>
                <w:color w:val="000000"/>
                <w:lang w:eastAsia="hr-HR"/>
              </w:rPr>
            </w:pPr>
            <w:r w:rsidRPr="001C28C4">
              <w:rPr>
                <w:rFonts w:ascii="Times New Roman" w:eastAsia="Times New Roman" w:hAnsi="Times New Roman" w:cs="Times New Roman"/>
                <w:color w:val="000000"/>
                <w:lang w:eastAsia="hr-HR"/>
              </w:rPr>
              <w:t>1636</w:t>
            </w:r>
          </w:p>
        </w:tc>
        <w:tc>
          <w:tcPr>
            <w:tcW w:w="1560" w:type="dxa"/>
            <w:shd w:val="clear" w:color="auto" w:fill="auto"/>
            <w:vAlign w:val="center"/>
            <w:hideMark/>
          </w:tcPr>
          <w:p w14:paraId="4790A595" w14:textId="77777777" w:rsidR="00731C28" w:rsidRPr="001C28C4" w:rsidRDefault="00731C28" w:rsidP="00816216">
            <w:pPr>
              <w:spacing w:after="0" w:line="240" w:lineRule="auto"/>
              <w:jc w:val="center"/>
              <w:rPr>
                <w:rFonts w:ascii="Times New Roman" w:eastAsia="Times New Roman" w:hAnsi="Times New Roman" w:cs="Times New Roman"/>
                <w:color w:val="000000"/>
                <w:lang w:eastAsia="hr-HR"/>
              </w:rPr>
            </w:pPr>
            <w:r w:rsidRPr="001C28C4">
              <w:rPr>
                <w:rFonts w:ascii="Times New Roman" w:eastAsia="Times New Roman" w:hAnsi="Times New Roman" w:cs="Times New Roman"/>
                <w:color w:val="000000"/>
                <w:lang w:eastAsia="hr-HR"/>
              </w:rPr>
              <w:t>1630</w:t>
            </w:r>
          </w:p>
        </w:tc>
        <w:tc>
          <w:tcPr>
            <w:tcW w:w="1701" w:type="dxa"/>
            <w:shd w:val="clear" w:color="auto" w:fill="auto"/>
            <w:vAlign w:val="center"/>
            <w:hideMark/>
          </w:tcPr>
          <w:p w14:paraId="132D1468" w14:textId="77777777" w:rsidR="00731C28" w:rsidRPr="001C28C4" w:rsidRDefault="00731C28" w:rsidP="00816216">
            <w:pPr>
              <w:spacing w:after="0" w:line="240" w:lineRule="auto"/>
              <w:jc w:val="center"/>
              <w:rPr>
                <w:rFonts w:ascii="Times New Roman" w:eastAsia="Times New Roman" w:hAnsi="Times New Roman" w:cs="Times New Roman"/>
                <w:color w:val="000000"/>
                <w:lang w:eastAsia="hr-HR"/>
              </w:rPr>
            </w:pPr>
            <w:r w:rsidRPr="001C28C4">
              <w:rPr>
                <w:rFonts w:ascii="Times New Roman" w:eastAsia="Times New Roman" w:hAnsi="Times New Roman" w:cs="Times New Roman"/>
                <w:color w:val="000000"/>
                <w:lang w:eastAsia="hr-HR"/>
              </w:rPr>
              <w:t>1663</w:t>
            </w:r>
          </w:p>
        </w:tc>
      </w:tr>
      <w:tr w:rsidR="00731C28" w:rsidRPr="001C28C4" w14:paraId="20CEB8B0" w14:textId="77777777" w:rsidTr="00816216">
        <w:trPr>
          <w:trHeight w:val="414"/>
        </w:trPr>
        <w:tc>
          <w:tcPr>
            <w:tcW w:w="3685" w:type="dxa"/>
            <w:shd w:val="clear" w:color="000000" w:fill="F2F2F2"/>
            <w:vAlign w:val="center"/>
            <w:hideMark/>
          </w:tcPr>
          <w:p w14:paraId="6A5EA302" w14:textId="77777777" w:rsidR="00731C28" w:rsidRPr="001C28C4" w:rsidRDefault="00731C28" w:rsidP="00816216">
            <w:pPr>
              <w:spacing w:after="0" w:line="240" w:lineRule="auto"/>
              <w:jc w:val="center"/>
              <w:rPr>
                <w:rFonts w:ascii="Times New Roman" w:eastAsia="Times New Roman" w:hAnsi="Times New Roman" w:cs="Times New Roman"/>
                <w:color w:val="000000"/>
                <w:lang w:eastAsia="hr-HR"/>
              </w:rPr>
            </w:pPr>
            <w:r w:rsidRPr="001C28C4">
              <w:rPr>
                <w:rFonts w:ascii="Times New Roman" w:eastAsia="Times New Roman" w:hAnsi="Times New Roman" w:cs="Times New Roman"/>
                <w:color w:val="000000"/>
                <w:lang w:eastAsia="hr-HR"/>
              </w:rPr>
              <w:t>psihosocijalna podrška</w:t>
            </w:r>
          </w:p>
        </w:tc>
        <w:tc>
          <w:tcPr>
            <w:tcW w:w="1850" w:type="dxa"/>
            <w:shd w:val="clear" w:color="auto" w:fill="auto"/>
            <w:vAlign w:val="center"/>
            <w:hideMark/>
          </w:tcPr>
          <w:p w14:paraId="4BA069DA" w14:textId="77777777" w:rsidR="00731C28" w:rsidRPr="001C28C4" w:rsidRDefault="00731C28" w:rsidP="00816216">
            <w:pPr>
              <w:spacing w:after="0" w:line="240" w:lineRule="auto"/>
              <w:jc w:val="center"/>
              <w:rPr>
                <w:rFonts w:ascii="Times New Roman" w:eastAsia="Times New Roman" w:hAnsi="Times New Roman" w:cs="Times New Roman"/>
                <w:color w:val="000000"/>
                <w:lang w:eastAsia="hr-HR"/>
              </w:rPr>
            </w:pPr>
            <w:r w:rsidRPr="001C28C4">
              <w:rPr>
                <w:rFonts w:ascii="Times New Roman" w:eastAsia="Times New Roman" w:hAnsi="Times New Roman" w:cs="Times New Roman"/>
                <w:color w:val="000000"/>
                <w:lang w:eastAsia="hr-HR"/>
              </w:rPr>
              <w:t>3427</w:t>
            </w:r>
          </w:p>
        </w:tc>
        <w:tc>
          <w:tcPr>
            <w:tcW w:w="1560" w:type="dxa"/>
            <w:shd w:val="clear" w:color="auto" w:fill="auto"/>
            <w:vAlign w:val="center"/>
            <w:hideMark/>
          </w:tcPr>
          <w:p w14:paraId="6409C023" w14:textId="77777777" w:rsidR="00731C28" w:rsidRPr="001C28C4" w:rsidRDefault="00731C28" w:rsidP="00816216">
            <w:pPr>
              <w:spacing w:after="0" w:line="240" w:lineRule="auto"/>
              <w:jc w:val="center"/>
              <w:rPr>
                <w:rFonts w:ascii="Times New Roman" w:eastAsia="Times New Roman" w:hAnsi="Times New Roman" w:cs="Times New Roman"/>
                <w:color w:val="000000"/>
                <w:lang w:eastAsia="hr-HR"/>
              </w:rPr>
            </w:pPr>
            <w:r w:rsidRPr="001C28C4">
              <w:rPr>
                <w:rFonts w:ascii="Times New Roman" w:eastAsia="Times New Roman" w:hAnsi="Times New Roman" w:cs="Times New Roman"/>
                <w:color w:val="000000"/>
                <w:lang w:eastAsia="hr-HR"/>
              </w:rPr>
              <w:t>2615</w:t>
            </w:r>
          </w:p>
        </w:tc>
        <w:tc>
          <w:tcPr>
            <w:tcW w:w="1701" w:type="dxa"/>
            <w:shd w:val="clear" w:color="auto" w:fill="auto"/>
            <w:vAlign w:val="center"/>
            <w:hideMark/>
          </w:tcPr>
          <w:p w14:paraId="651CE6CA" w14:textId="77777777" w:rsidR="00731C28" w:rsidRPr="001C28C4" w:rsidRDefault="00731C28" w:rsidP="00816216">
            <w:pPr>
              <w:spacing w:after="0" w:line="240" w:lineRule="auto"/>
              <w:jc w:val="center"/>
              <w:rPr>
                <w:rFonts w:ascii="Times New Roman" w:eastAsia="Times New Roman" w:hAnsi="Times New Roman" w:cs="Times New Roman"/>
                <w:color w:val="000000"/>
                <w:lang w:eastAsia="hr-HR"/>
              </w:rPr>
            </w:pPr>
            <w:r w:rsidRPr="001C28C4">
              <w:rPr>
                <w:rFonts w:ascii="Times New Roman" w:eastAsia="Times New Roman" w:hAnsi="Times New Roman" w:cs="Times New Roman"/>
                <w:color w:val="000000"/>
                <w:lang w:eastAsia="hr-HR"/>
              </w:rPr>
              <w:t>2799</w:t>
            </w:r>
          </w:p>
        </w:tc>
      </w:tr>
      <w:tr w:rsidR="00731C28" w:rsidRPr="001C28C4" w14:paraId="7EC70B54" w14:textId="77777777" w:rsidTr="00816216">
        <w:trPr>
          <w:trHeight w:val="416"/>
        </w:trPr>
        <w:tc>
          <w:tcPr>
            <w:tcW w:w="3685" w:type="dxa"/>
            <w:shd w:val="clear" w:color="000000" w:fill="F2F2F2"/>
            <w:vAlign w:val="center"/>
            <w:hideMark/>
          </w:tcPr>
          <w:p w14:paraId="35900198" w14:textId="77777777" w:rsidR="00731C28" w:rsidRPr="001C28C4" w:rsidRDefault="00731C28" w:rsidP="00816216">
            <w:pPr>
              <w:spacing w:after="0" w:line="240" w:lineRule="auto"/>
              <w:jc w:val="center"/>
              <w:rPr>
                <w:rFonts w:ascii="Times New Roman" w:eastAsia="Times New Roman" w:hAnsi="Times New Roman" w:cs="Times New Roman"/>
                <w:color w:val="000000"/>
                <w:lang w:eastAsia="hr-HR"/>
              </w:rPr>
            </w:pPr>
            <w:r w:rsidRPr="001C28C4">
              <w:rPr>
                <w:rFonts w:ascii="Times New Roman" w:eastAsia="Times New Roman" w:hAnsi="Times New Roman" w:cs="Times New Roman"/>
                <w:color w:val="000000"/>
                <w:lang w:eastAsia="hr-HR"/>
              </w:rPr>
              <w:t>rana intervencija</w:t>
            </w:r>
          </w:p>
        </w:tc>
        <w:tc>
          <w:tcPr>
            <w:tcW w:w="1850" w:type="dxa"/>
            <w:shd w:val="clear" w:color="auto" w:fill="auto"/>
            <w:vAlign w:val="center"/>
            <w:hideMark/>
          </w:tcPr>
          <w:p w14:paraId="7099ECE6" w14:textId="77777777" w:rsidR="00731C28" w:rsidRPr="001C28C4" w:rsidRDefault="00731C28" w:rsidP="00816216">
            <w:pPr>
              <w:spacing w:after="0" w:line="240" w:lineRule="auto"/>
              <w:jc w:val="center"/>
              <w:rPr>
                <w:rFonts w:ascii="Times New Roman" w:eastAsia="Times New Roman" w:hAnsi="Times New Roman" w:cs="Times New Roman"/>
                <w:color w:val="000000"/>
                <w:lang w:eastAsia="hr-HR"/>
              </w:rPr>
            </w:pPr>
            <w:r w:rsidRPr="001C28C4">
              <w:rPr>
                <w:rFonts w:ascii="Times New Roman" w:eastAsia="Times New Roman" w:hAnsi="Times New Roman" w:cs="Times New Roman"/>
                <w:color w:val="000000"/>
                <w:lang w:eastAsia="hr-HR"/>
              </w:rPr>
              <w:t>488</w:t>
            </w:r>
          </w:p>
        </w:tc>
        <w:tc>
          <w:tcPr>
            <w:tcW w:w="1560" w:type="dxa"/>
            <w:shd w:val="clear" w:color="auto" w:fill="auto"/>
            <w:vAlign w:val="center"/>
            <w:hideMark/>
          </w:tcPr>
          <w:p w14:paraId="5C2214BC" w14:textId="77777777" w:rsidR="00731C28" w:rsidRPr="001C28C4" w:rsidRDefault="00731C28" w:rsidP="00816216">
            <w:pPr>
              <w:spacing w:after="0" w:line="240" w:lineRule="auto"/>
              <w:jc w:val="center"/>
              <w:rPr>
                <w:rFonts w:ascii="Times New Roman" w:eastAsia="Times New Roman" w:hAnsi="Times New Roman" w:cs="Times New Roman"/>
                <w:color w:val="000000"/>
                <w:lang w:eastAsia="hr-HR"/>
              </w:rPr>
            </w:pPr>
            <w:r w:rsidRPr="001C28C4">
              <w:rPr>
                <w:rFonts w:ascii="Times New Roman" w:eastAsia="Times New Roman" w:hAnsi="Times New Roman" w:cs="Times New Roman"/>
                <w:color w:val="000000"/>
                <w:lang w:eastAsia="hr-HR"/>
              </w:rPr>
              <w:t>549</w:t>
            </w:r>
          </w:p>
        </w:tc>
        <w:tc>
          <w:tcPr>
            <w:tcW w:w="1701" w:type="dxa"/>
            <w:shd w:val="clear" w:color="auto" w:fill="auto"/>
            <w:vAlign w:val="center"/>
            <w:hideMark/>
          </w:tcPr>
          <w:p w14:paraId="228260C4" w14:textId="77777777" w:rsidR="00731C28" w:rsidRPr="001C28C4" w:rsidRDefault="00731C28" w:rsidP="00816216">
            <w:pPr>
              <w:spacing w:after="0" w:line="240" w:lineRule="auto"/>
              <w:jc w:val="center"/>
              <w:rPr>
                <w:rFonts w:ascii="Times New Roman" w:eastAsia="Times New Roman" w:hAnsi="Times New Roman" w:cs="Times New Roman"/>
                <w:color w:val="000000"/>
                <w:lang w:eastAsia="hr-HR"/>
              </w:rPr>
            </w:pPr>
            <w:r w:rsidRPr="001C28C4">
              <w:rPr>
                <w:rFonts w:ascii="Times New Roman" w:eastAsia="Times New Roman" w:hAnsi="Times New Roman" w:cs="Times New Roman"/>
                <w:color w:val="000000"/>
                <w:lang w:eastAsia="hr-HR"/>
              </w:rPr>
              <w:t>654</w:t>
            </w:r>
          </w:p>
        </w:tc>
      </w:tr>
      <w:tr w:rsidR="00731C28" w:rsidRPr="001C28C4" w14:paraId="04C47442" w14:textId="77777777" w:rsidTr="00816216">
        <w:trPr>
          <w:trHeight w:val="422"/>
        </w:trPr>
        <w:tc>
          <w:tcPr>
            <w:tcW w:w="3685" w:type="dxa"/>
            <w:shd w:val="clear" w:color="000000" w:fill="F2F2F2"/>
            <w:vAlign w:val="center"/>
            <w:hideMark/>
          </w:tcPr>
          <w:p w14:paraId="350A8456" w14:textId="77777777" w:rsidR="00731C28" w:rsidRPr="001C28C4" w:rsidRDefault="00731C28" w:rsidP="00816216">
            <w:pPr>
              <w:spacing w:after="0" w:line="240" w:lineRule="auto"/>
              <w:jc w:val="center"/>
              <w:rPr>
                <w:rFonts w:ascii="Times New Roman" w:eastAsia="Times New Roman" w:hAnsi="Times New Roman" w:cs="Times New Roman"/>
                <w:color w:val="000000"/>
                <w:lang w:eastAsia="hr-HR"/>
              </w:rPr>
            </w:pPr>
            <w:r w:rsidRPr="001C28C4">
              <w:rPr>
                <w:rFonts w:ascii="Times New Roman" w:eastAsia="Times New Roman" w:hAnsi="Times New Roman" w:cs="Times New Roman"/>
                <w:color w:val="000000"/>
                <w:lang w:eastAsia="hr-HR"/>
              </w:rPr>
              <w:t>integracija</w:t>
            </w:r>
          </w:p>
        </w:tc>
        <w:tc>
          <w:tcPr>
            <w:tcW w:w="1850" w:type="dxa"/>
            <w:shd w:val="clear" w:color="auto" w:fill="auto"/>
            <w:vAlign w:val="center"/>
            <w:hideMark/>
          </w:tcPr>
          <w:p w14:paraId="6F83A397" w14:textId="77777777" w:rsidR="00731C28" w:rsidRPr="001C28C4" w:rsidRDefault="00731C28" w:rsidP="00816216">
            <w:pPr>
              <w:spacing w:after="0" w:line="240" w:lineRule="auto"/>
              <w:jc w:val="center"/>
              <w:rPr>
                <w:rFonts w:ascii="Times New Roman" w:eastAsia="Times New Roman" w:hAnsi="Times New Roman" w:cs="Times New Roman"/>
                <w:color w:val="000000"/>
                <w:lang w:eastAsia="hr-HR"/>
              </w:rPr>
            </w:pPr>
            <w:r w:rsidRPr="001C28C4">
              <w:rPr>
                <w:rFonts w:ascii="Times New Roman" w:eastAsia="Times New Roman" w:hAnsi="Times New Roman" w:cs="Times New Roman"/>
                <w:color w:val="000000"/>
                <w:lang w:eastAsia="hr-HR"/>
              </w:rPr>
              <w:t>461</w:t>
            </w:r>
          </w:p>
        </w:tc>
        <w:tc>
          <w:tcPr>
            <w:tcW w:w="1560" w:type="dxa"/>
            <w:shd w:val="clear" w:color="auto" w:fill="auto"/>
            <w:vAlign w:val="center"/>
            <w:hideMark/>
          </w:tcPr>
          <w:p w14:paraId="2827DB95" w14:textId="77777777" w:rsidR="00731C28" w:rsidRPr="001C28C4" w:rsidRDefault="00731C28" w:rsidP="00816216">
            <w:pPr>
              <w:spacing w:after="0" w:line="240" w:lineRule="auto"/>
              <w:jc w:val="center"/>
              <w:rPr>
                <w:rFonts w:ascii="Times New Roman" w:eastAsia="Times New Roman" w:hAnsi="Times New Roman" w:cs="Times New Roman"/>
                <w:color w:val="000000"/>
                <w:lang w:eastAsia="hr-HR"/>
              </w:rPr>
            </w:pPr>
            <w:r w:rsidRPr="001C28C4">
              <w:rPr>
                <w:rFonts w:ascii="Times New Roman" w:eastAsia="Times New Roman" w:hAnsi="Times New Roman" w:cs="Times New Roman"/>
                <w:color w:val="000000"/>
                <w:lang w:eastAsia="hr-HR"/>
              </w:rPr>
              <w:t>437</w:t>
            </w:r>
          </w:p>
        </w:tc>
        <w:tc>
          <w:tcPr>
            <w:tcW w:w="1701" w:type="dxa"/>
            <w:shd w:val="clear" w:color="auto" w:fill="auto"/>
            <w:vAlign w:val="center"/>
            <w:hideMark/>
          </w:tcPr>
          <w:p w14:paraId="1C1FA332" w14:textId="77777777" w:rsidR="00731C28" w:rsidRPr="001C28C4" w:rsidRDefault="00731C28" w:rsidP="00816216">
            <w:pPr>
              <w:spacing w:after="0" w:line="240" w:lineRule="auto"/>
              <w:jc w:val="center"/>
              <w:rPr>
                <w:rFonts w:ascii="Times New Roman" w:eastAsia="Times New Roman" w:hAnsi="Times New Roman" w:cs="Times New Roman"/>
                <w:color w:val="000000"/>
                <w:lang w:eastAsia="hr-HR"/>
              </w:rPr>
            </w:pPr>
            <w:r w:rsidRPr="001C28C4">
              <w:rPr>
                <w:rFonts w:ascii="Times New Roman" w:eastAsia="Times New Roman" w:hAnsi="Times New Roman" w:cs="Times New Roman"/>
                <w:color w:val="000000"/>
                <w:lang w:eastAsia="hr-HR"/>
              </w:rPr>
              <w:t>431</w:t>
            </w:r>
          </w:p>
        </w:tc>
      </w:tr>
      <w:tr w:rsidR="00731C28" w:rsidRPr="001C28C4" w14:paraId="1D6BC755" w14:textId="77777777" w:rsidTr="00816216">
        <w:trPr>
          <w:trHeight w:val="400"/>
        </w:trPr>
        <w:tc>
          <w:tcPr>
            <w:tcW w:w="3685" w:type="dxa"/>
            <w:shd w:val="clear" w:color="000000" w:fill="F2F2F2"/>
            <w:vAlign w:val="center"/>
            <w:hideMark/>
          </w:tcPr>
          <w:p w14:paraId="7FACB933" w14:textId="77777777" w:rsidR="00731C28" w:rsidRPr="001C28C4" w:rsidRDefault="00731C28" w:rsidP="00816216">
            <w:pPr>
              <w:spacing w:after="0" w:line="240" w:lineRule="auto"/>
              <w:jc w:val="center"/>
              <w:rPr>
                <w:rFonts w:ascii="Times New Roman" w:eastAsia="Times New Roman" w:hAnsi="Times New Roman" w:cs="Times New Roman"/>
                <w:color w:val="000000"/>
                <w:lang w:eastAsia="hr-HR"/>
              </w:rPr>
            </w:pPr>
            <w:r w:rsidRPr="001C28C4">
              <w:rPr>
                <w:rFonts w:ascii="Times New Roman" w:eastAsia="Times New Roman" w:hAnsi="Times New Roman" w:cs="Times New Roman"/>
                <w:color w:val="000000"/>
                <w:lang w:eastAsia="hr-HR"/>
              </w:rPr>
              <w:t xml:space="preserve">pomoć u kući </w:t>
            </w:r>
          </w:p>
        </w:tc>
        <w:tc>
          <w:tcPr>
            <w:tcW w:w="1850" w:type="dxa"/>
            <w:shd w:val="clear" w:color="auto" w:fill="auto"/>
            <w:vAlign w:val="center"/>
            <w:hideMark/>
          </w:tcPr>
          <w:p w14:paraId="2049E6B2" w14:textId="77777777" w:rsidR="00731C28" w:rsidRPr="001C28C4" w:rsidRDefault="00731C28" w:rsidP="00816216">
            <w:pPr>
              <w:spacing w:after="0" w:line="240" w:lineRule="auto"/>
              <w:jc w:val="center"/>
              <w:rPr>
                <w:rFonts w:ascii="Times New Roman" w:eastAsia="Times New Roman" w:hAnsi="Times New Roman" w:cs="Times New Roman"/>
                <w:color w:val="000000"/>
                <w:lang w:eastAsia="hr-HR"/>
              </w:rPr>
            </w:pPr>
            <w:r w:rsidRPr="001C28C4">
              <w:rPr>
                <w:rFonts w:ascii="Times New Roman" w:eastAsia="Times New Roman" w:hAnsi="Times New Roman" w:cs="Times New Roman"/>
                <w:color w:val="000000"/>
                <w:lang w:eastAsia="hr-HR"/>
              </w:rPr>
              <w:t>334</w:t>
            </w:r>
          </w:p>
        </w:tc>
        <w:tc>
          <w:tcPr>
            <w:tcW w:w="1560" w:type="dxa"/>
            <w:shd w:val="clear" w:color="auto" w:fill="auto"/>
            <w:vAlign w:val="center"/>
            <w:hideMark/>
          </w:tcPr>
          <w:p w14:paraId="4E23F63B" w14:textId="77777777" w:rsidR="00731C28" w:rsidRPr="001C28C4" w:rsidRDefault="00731C28" w:rsidP="00816216">
            <w:pPr>
              <w:spacing w:after="0" w:line="240" w:lineRule="auto"/>
              <w:jc w:val="center"/>
              <w:rPr>
                <w:rFonts w:ascii="Times New Roman" w:eastAsia="Times New Roman" w:hAnsi="Times New Roman" w:cs="Times New Roman"/>
                <w:color w:val="000000"/>
                <w:lang w:eastAsia="hr-HR"/>
              </w:rPr>
            </w:pPr>
            <w:r w:rsidRPr="001C28C4">
              <w:rPr>
                <w:rFonts w:ascii="Times New Roman" w:eastAsia="Times New Roman" w:hAnsi="Times New Roman" w:cs="Times New Roman"/>
                <w:color w:val="000000"/>
                <w:lang w:eastAsia="hr-HR"/>
              </w:rPr>
              <w:t>422</w:t>
            </w:r>
          </w:p>
        </w:tc>
        <w:tc>
          <w:tcPr>
            <w:tcW w:w="1701" w:type="dxa"/>
            <w:shd w:val="clear" w:color="auto" w:fill="auto"/>
            <w:vAlign w:val="center"/>
            <w:hideMark/>
          </w:tcPr>
          <w:p w14:paraId="54AA1EC8" w14:textId="77777777" w:rsidR="00731C28" w:rsidRPr="001C28C4" w:rsidRDefault="00731C28" w:rsidP="00816216">
            <w:pPr>
              <w:spacing w:after="0" w:line="240" w:lineRule="auto"/>
              <w:jc w:val="center"/>
              <w:rPr>
                <w:rFonts w:ascii="Times New Roman" w:eastAsia="Times New Roman" w:hAnsi="Times New Roman" w:cs="Times New Roman"/>
                <w:color w:val="000000"/>
                <w:lang w:eastAsia="hr-HR"/>
              </w:rPr>
            </w:pPr>
            <w:r w:rsidRPr="001C28C4">
              <w:rPr>
                <w:rFonts w:ascii="Times New Roman" w:eastAsia="Times New Roman" w:hAnsi="Times New Roman" w:cs="Times New Roman"/>
                <w:color w:val="000000"/>
                <w:lang w:eastAsia="hr-HR"/>
              </w:rPr>
              <w:t>436</w:t>
            </w:r>
          </w:p>
        </w:tc>
      </w:tr>
      <w:tr w:rsidR="00731C28" w:rsidRPr="001C28C4" w14:paraId="59FCC60E" w14:textId="77777777" w:rsidTr="00816216">
        <w:trPr>
          <w:trHeight w:val="495"/>
        </w:trPr>
        <w:tc>
          <w:tcPr>
            <w:tcW w:w="3685" w:type="dxa"/>
            <w:shd w:val="clear" w:color="000000" w:fill="F2F2F2"/>
            <w:vAlign w:val="center"/>
          </w:tcPr>
          <w:p w14:paraId="4ACAD834" w14:textId="77777777" w:rsidR="00731C28" w:rsidRPr="00011713" w:rsidRDefault="00731C28" w:rsidP="00816216">
            <w:pPr>
              <w:spacing w:after="0" w:line="240" w:lineRule="auto"/>
              <w:jc w:val="center"/>
              <w:rPr>
                <w:rFonts w:ascii="Times New Roman" w:eastAsia="Times New Roman" w:hAnsi="Times New Roman" w:cs="Times New Roman"/>
                <w:color w:val="000000"/>
                <w:lang w:eastAsia="hr-HR"/>
              </w:rPr>
            </w:pPr>
            <w:r w:rsidRPr="00011713">
              <w:rPr>
                <w:rFonts w:ascii="Times New Roman" w:eastAsia="Times New Roman" w:hAnsi="Times New Roman" w:cs="Times New Roman"/>
                <w:color w:val="000000"/>
                <w:lang w:eastAsia="hr-HR"/>
              </w:rPr>
              <w:t>UKUPNO</w:t>
            </w:r>
          </w:p>
        </w:tc>
        <w:tc>
          <w:tcPr>
            <w:tcW w:w="1850" w:type="dxa"/>
            <w:shd w:val="clear" w:color="auto" w:fill="auto"/>
            <w:vAlign w:val="center"/>
          </w:tcPr>
          <w:p w14:paraId="62D511F0" w14:textId="77777777" w:rsidR="00731C28" w:rsidRPr="00011713" w:rsidRDefault="00731C28" w:rsidP="00816216">
            <w:pPr>
              <w:spacing w:after="0" w:line="240" w:lineRule="auto"/>
              <w:jc w:val="center"/>
              <w:rPr>
                <w:rFonts w:ascii="Times New Roman" w:eastAsia="Times New Roman" w:hAnsi="Times New Roman" w:cs="Times New Roman"/>
                <w:color w:val="000000"/>
                <w:lang w:eastAsia="hr-HR"/>
              </w:rPr>
            </w:pPr>
            <w:r w:rsidRPr="00011713">
              <w:rPr>
                <w:rFonts w:ascii="Times New Roman" w:eastAsia="Times New Roman" w:hAnsi="Times New Roman" w:cs="Times New Roman"/>
                <w:color w:val="000000"/>
                <w:lang w:eastAsia="hr-HR"/>
              </w:rPr>
              <w:t>6819</w:t>
            </w:r>
          </w:p>
        </w:tc>
        <w:tc>
          <w:tcPr>
            <w:tcW w:w="1560" w:type="dxa"/>
            <w:shd w:val="clear" w:color="auto" w:fill="auto"/>
            <w:vAlign w:val="center"/>
          </w:tcPr>
          <w:p w14:paraId="231E163B" w14:textId="77777777" w:rsidR="00731C28" w:rsidRPr="00011713" w:rsidRDefault="00731C28" w:rsidP="00816216">
            <w:pPr>
              <w:spacing w:after="0" w:line="240" w:lineRule="auto"/>
              <w:jc w:val="center"/>
              <w:rPr>
                <w:rFonts w:ascii="Times New Roman" w:eastAsia="Times New Roman" w:hAnsi="Times New Roman" w:cs="Times New Roman"/>
                <w:color w:val="000000"/>
                <w:lang w:eastAsia="hr-HR"/>
              </w:rPr>
            </w:pPr>
            <w:r w:rsidRPr="00011713">
              <w:rPr>
                <w:rFonts w:ascii="Times New Roman" w:eastAsia="Times New Roman" w:hAnsi="Times New Roman" w:cs="Times New Roman"/>
                <w:color w:val="000000"/>
                <w:lang w:eastAsia="hr-HR"/>
              </w:rPr>
              <w:t>6068</w:t>
            </w:r>
          </w:p>
        </w:tc>
        <w:tc>
          <w:tcPr>
            <w:tcW w:w="1701" w:type="dxa"/>
            <w:shd w:val="clear" w:color="auto" w:fill="auto"/>
            <w:vAlign w:val="center"/>
          </w:tcPr>
          <w:p w14:paraId="54479A71" w14:textId="77777777" w:rsidR="00731C28" w:rsidRPr="00011713" w:rsidRDefault="00731C28" w:rsidP="00816216">
            <w:pPr>
              <w:spacing w:after="0" w:line="240" w:lineRule="auto"/>
              <w:jc w:val="center"/>
              <w:rPr>
                <w:rFonts w:ascii="Times New Roman" w:eastAsia="Times New Roman" w:hAnsi="Times New Roman" w:cs="Times New Roman"/>
                <w:color w:val="000000"/>
                <w:lang w:eastAsia="hr-HR"/>
              </w:rPr>
            </w:pPr>
            <w:r w:rsidRPr="00011713">
              <w:rPr>
                <w:rFonts w:ascii="Times New Roman" w:eastAsia="Times New Roman" w:hAnsi="Times New Roman" w:cs="Times New Roman"/>
                <w:color w:val="000000"/>
                <w:lang w:eastAsia="hr-HR"/>
              </w:rPr>
              <w:t>6393</w:t>
            </w:r>
          </w:p>
        </w:tc>
      </w:tr>
    </w:tbl>
    <w:p w14:paraId="5146DB3B" w14:textId="77777777" w:rsidR="00731C28" w:rsidRDefault="00731C28" w:rsidP="00731C28">
      <w:pPr>
        <w:rPr>
          <w:rFonts w:ascii="Times New Roman" w:hAnsi="Times New Roman" w:cs="Times New Roman"/>
          <w:sz w:val="24"/>
          <w:szCs w:val="24"/>
        </w:rPr>
      </w:pPr>
    </w:p>
    <w:p w14:paraId="26553F9A" w14:textId="77777777" w:rsidR="00731C28" w:rsidRDefault="00731C28" w:rsidP="00731C28">
      <w:pPr>
        <w:rPr>
          <w:rFonts w:ascii="Times New Roman" w:hAnsi="Times New Roman" w:cs="Times New Roman"/>
          <w:sz w:val="24"/>
          <w:szCs w:val="24"/>
        </w:rPr>
      </w:pPr>
    </w:p>
    <w:tbl>
      <w:tblPr>
        <w:tblW w:w="8789" w:type="dxa"/>
        <w:tblInd w:w="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68"/>
        <w:gridCol w:w="4221"/>
      </w:tblGrid>
      <w:tr w:rsidR="00731C28" w:rsidRPr="003C759D" w14:paraId="54115B24" w14:textId="77777777" w:rsidTr="00816216">
        <w:trPr>
          <w:trHeight w:val="633"/>
        </w:trPr>
        <w:tc>
          <w:tcPr>
            <w:tcW w:w="4568" w:type="dxa"/>
            <w:shd w:val="clear" w:color="auto" w:fill="D9D9D9" w:themeFill="background1" w:themeFillShade="D9"/>
            <w:vAlign w:val="center"/>
            <w:hideMark/>
          </w:tcPr>
          <w:p w14:paraId="2F75B044" w14:textId="77777777" w:rsidR="00731C28" w:rsidRPr="003C759D" w:rsidRDefault="00731C28" w:rsidP="00816216">
            <w:pPr>
              <w:spacing w:after="0" w:line="240" w:lineRule="auto"/>
              <w:jc w:val="center"/>
              <w:rPr>
                <w:rFonts w:ascii="Times New Roman" w:eastAsia="Times New Roman" w:hAnsi="Times New Roman" w:cs="Times New Roman"/>
                <w:color w:val="000000"/>
                <w:lang w:eastAsia="hr-HR"/>
              </w:rPr>
            </w:pPr>
            <w:r w:rsidRPr="003C759D">
              <w:rPr>
                <w:rFonts w:ascii="Times New Roman" w:eastAsia="Times New Roman" w:hAnsi="Times New Roman" w:cs="Times New Roman"/>
                <w:color w:val="000000"/>
                <w:lang w:eastAsia="hr-HR"/>
              </w:rPr>
              <w:lastRenderedPageBreak/>
              <w:t>vrsta usluge</w:t>
            </w:r>
          </w:p>
        </w:tc>
        <w:tc>
          <w:tcPr>
            <w:tcW w:w="4221" w:type="dxa"/>
            <w:shd w:val="clear" w:color="auto" w:fill="D9D9D9" w:themeFill="background1" w:themeFillShade="D9"/>
            <w:vAlign w:val="center"/>
            <w:hideMark/>
          </w:tcPr>
          <w:p w14:paraId="50F7F8D1" w14:textId="77777777" w:rsidR="00731C28" w:rsidRPr="003C759D" w:rsidRDefault="00731C28" w:rsidP="00816216">
            <w:pPr>
              <w:spacing w:after="0" w:line="240" w:lineRule="auto"/>
              <w:jc w:val="center"/>
              <w:rPr>
                <w:rFonts w:ascii="Times New Roman" w:eastAsia="Times New Roman" w:hAnsi="Times New Roman" w:cs="Times New Roman"/>
                <w:color w:val="000000"/>
                <w:lang w:eastAsia="hr-HR"/>
              </w:rPr>
            </w:pPr>
            <w:r w:rsidRPr="003C759D">
              <w:rPr>
                <w:rFonts w:ascii="Times New Roman" w:eastAsia="Times New Roman" w:hAnsi="Times New Roman" w:cs="Times New Roman"/>
                <w:color w:val="000000"/>
                <w:lang w:eastAsia="hr-HR"/>
              </w:rPr>
              <w:t>broj korisnika 2019. godina</w:t>
            </w:r>
          </w:p>
        </w:tc>
      </w:tr>
      <w:tr w:rsidR="00731C28" w:rsidRPr="003C759D" w14:paraId="07026DB2" w14:textId="77777777" w:rsidTr="00816216">
        <w:trPr>
          <w:trHeight w:val="421"/>
        </w:trPr>
        <w:tc>
          <w:tcPr>
            <w:tcW w:w="4568" w:type="dxa"/>
            <w:shd w:val="clear" w:color="auto" w:fill="auto"/>
            <w:vAlign w:val="center"/>
            <w:hideMark/>
          </w:tcPr>
          <w:p w14:paraId="38E25F87" w14:textId="77777777" w:rsidR="00731C28" w:rsidRPr="003C759D" w:rsidRDefault="00731C28" w:rsidP="00816216">
            <w:pPr>
              <w:spacing w:after="0" w:line="240" w:lineRule="auto"/>
              <w:jc w:val="center"/>
              <w:rPr>
                <w:rFonts w:ascii="Times New Roman" w:eastAsia="Times New Roman" w:hAnsi="Times New Roman" w:cs="Times New Roman"/>
                <w:color w:val="000000"/>
                <w:lang w:eastAsia="hr-HR"/>
              </w:rPr>
            </w:pPr>
            <w:proofErr w:type="spellStart"/>
            <w:r w:rsidRPr="003C759D">
              <w:rPr>
                <w:rFonts w:ascii="Times New Roman" w:eastAsia="Times New Roman" w:hAnsi="Times New Roman" w:cs="Times New Roman"/>
                <w:color w:val="000000"/>
                <w:lang w:eastAsia="hr-HR"/>
              </w:rPr>
              <w:t>izvainstituc</w:t>
            </w:r>
            <w:r>
              <w:rPr>
                <w:rFonts w:ascii="Times New Roman" w:eastAsia="Times New Roman" w:hAnsi="Times New Roman" w:cs="Times New Roman"/>
                <w:color w:val="000000"/>
                <w:lang w:eastAsia="hr-HR"/>
              </w:rPr>
              <w:t>i</w:t>
            </w:r>
            <w:r w:rsidRPr="003C759D">
              <w:rPr>
                <w:rFonts w:ascii="Times New Roman" w:eastAsia="Times New Roman" w:hAnsi="Times New Roman" w:cs="Times New Roman"/>
                <w:color w:val="000000"/>
                <w:lang w:eastAsia="hr-HR"/>
              </w:rPr>
              <w:t>jske</w:t>
            </w:r>
            <w:proofErr w:type="spellEnd"/>
            <w:r w:rsidRPr="003C759D">
              <w:rPr>
                <w:rFonts w:ascii="Times New Roman" w:eastAsia="Times New Roman" w:hAnsi="Times New Roman" w:cs="Times New Roman"/>
                <w:color w:val="000000"/>
                <w:lang w:eastAsia="hr-HR"/>
              </w:rPr>
              <w:t xml:space="preserve"> socijalne usluge </w:t>
            </w:r>
          </w:p>
        </w:tc>
        <w:tc>
          <w:tcPr>
            <w:tcW w:w="4221" w:type="dxa"/>
            <w:shd w:val="clear" w:color="auto" w:fill="auto"/>
            <w:vAlign w:val="center"/>
            <w:hideMark/>
          </w:tcPr>
          <w:p w14:paraId="5F7783A6" w14:textId="77777777" w:rsidR="00731C28" w:rsidRPr="003C759D" w:rsidRDefault="00731C28" w:rsidP="00816216">
            <w:pPr>
              <w:spacing w:after="0" w:line="240" w:lineRule="auto"/>
              <w:jc w:val="center"/>
              <w:rPr>
                <w:rFonts w:ascii="Times New Roman" w:eastAsia="Times New Roman" w:hAnsi="Times New Roman" w:cs="Times New Roman"/>
                <w:color w:val="000000"/>
                <w:lang w:eastAsia="hr-HR"/>
              </w:rPr>
            </w:pPr>
            <w:r w:rsidRPr="003C759D">
              <w:rPr>
                <w:rFonts w:ascii="Times New Roman" w:eastAsia="Times New Roman" w:hAnsi="Times New Roman" w:cs="Times New Roman"/>
                <w:color w:val="000000"/>
                <w:lang w:eastAsia="hr-HR"/>
              </w:rPr>
              <w:t>6393</w:t>
            </w:r>
          </w:p>
        </w:tc>
      </w:tr>
      <w:tr w:rsidR="00731C28" w:rsidRPr="003C759D" w14:paraId="4EB01694" w14:textId="77777777" w:rsidTr="00816216">
        <w:trPr>
          <w:trHeight w:val="414"/>
        </w:trPr>
        <w:tc>
          <w:tcPr>
            <w:tcW w:w="4568" w:type="dxa"/>
            <w:shd w:val="clear" w:color="auto" w:fill="auto"/>
            <w:vAlign w:val="center"/>
            <w:hideMark/>
          </w:tcPr>
          <w:p w14:paraId="0336F8D8" w14:textId="77777777" w:rsidR="00731C28" w:rsidRPr="003C759D" w:rsidRDefault="00731C28" w:rsidP="00816216">
            <w:pPr>
              <w:spacing w:after="0" w:line="240" w:lineRule="auto"/>
              <w:jc w:val="center"/>
              <w:rPr>
                <w:rFonts w:ascii="Times New Roman" w:eastAsia="Times New Roman" w:hAnsi="Times New Roman" w:cs="Times New Roman"/>
                <w:color w:val="000000"/>
                <w:lang w:eastAsia="hr-HR"/>
              </w:rPr>
            </w:pPr>
            <w:r w:rsidRPr="003C759D">
              <w:rPr>
                <w:rFonts w:ascii="Times New Roman" w:eastAsia="Times New Roman" w:hAnsi="Times New Roman" w:cs="Times New Roman"/>
                <w:color w:val="000000"/>
                <w:lang w:eastAsia="hr-HR"/>
              </w:rPr>
              <w:t>us</w:t>
            </w:r>
            <w:r>
              <w:rPr>
                <w:rFonts w:ascii="Times New Roman" w:eastAsia="Times New Roman" w:hAnsi="Times New Roman" w:cs="Times New Roman"/>
                <w:color w:val="000000"/>
                <w:lang w:eastAsia="hr-HR"/>
              </w:rPr>
              <w:t>l</w:t>
            </w:r>
            <w:r w:rsidRPr="003C759D">
              <w:rPr>
                <w:rFonts w:ascii="Times New Roman" w:eastAsia="Times New Roman" w:hAnsi="Times New Roman" w:cs="Times New Roman"/>
                <w:color w:val="000000"/>
                <w:lang w:eastAsia="hr-HR"/>
              </w:rPr>
              <w:t>uga osobne asi</w:t>
            </w:r>
            <w:r>
              <w:rPr>
                <w:rFonts w:ascii="Times New Roman" w:eastAsia="Times New Roman" w:hAnsi="Times New Roman" w:cs="Times New Roman"/>
                <w:color w:val="000000"/>
                <w:lang w:eastAsia="hr-HR"/>
              </w:rPr>
              <w:t>s</w:t>
            </w:r>
            <w:r w:rsidRPr="003C759D">
              <w:rPr>
                <w:rFonts w:ascii="Times New Roman" w:eastAsia="Times New Roman" w:hAnsi="Times New Roman" w:cs="Times New Roman"/>
                <w:color w:val="000000"/>
                <w:lang w:eastAsia="hr-HR"/>
              </w:rPr>
              <w:t>tencije</w:t>
            </w:r>
          </w:p>
        </w:tc>
        <w:tc>
          <w:tcPr>
            <w:tcW w:w="4221" w:type="dxa"/>
            <w:shd w:val="clear" w:color="auto" w:fill="auto"/>
            <w:vAlign w:val="center"/>
            <w:hideMark/>
          </w:tcPr>
          <w:p w14:paraId="6EF52C44" w14:textId="77777777" w:rsidR="00731C28" w:rsidRPr="003C759D" w:rsidRDefault="00731C28" w:rsidP="00816216">
            <w:pPr>
              <w:spacing w:after="0" w:line="240" w:lineRule="auto"/>
              <w:jc w:val="center"/>
              <w:rPr>
                <w:rFonts w:ascii="Times New Roman" w:eastAsia="Times New Roman" w:hAnsi="Times New Roman" w:cs="Times New Roman"/>
                <w:color w:val="000000"/>
                <w:lang w:eastAsia="hr-HR"/>
              </w:rPr>
            </w:pPr>
            <w:r w:rsidRPr="003C759D">
              <w:rPr>
                <w:rFonts w:ascii="Times New Roman" w:eastAsia="Times New Roman" w:hAnsi="Times New Roman" w:cs="Times New Roman"/>
                <w:color w:val="000000"/>
                <w:lang w:eastAsia="hr-HR"/>
              </w:rPr>
              <w:t>1925</w:t>
            </w:r>
          </w:p>
        </w:tc>
      </w:tr>
      <w:tr w:rsidR="00731C28" w:rsidRPr="003C759D" w14:paraId="4D86FC24" w14:textId="77777777" w:rsidTr="00816216">
        <w:trPr>
          <w:trHeight w:val="420"/>
        </w:trPr>
        <w:tc>
          <w:tcPr>
            <w:tcW w:w="4568" w:type="dxa"/>
            <w:shd w:val="clear" w:color="auto" w:fill="auto"/>
            <w:vAlign w:val="center"/>
            <w:hideMark/>
          </w:tcPr>
          <w:p w14:paraId="545F0F7F" w14:textId="77777777" w:rsidR="00731C28" w:rsidRPr="003C759D" w:rsidRDefault="00731C28" w:rsidP="00816216">
            <w:pPr>
              <w:spacing w:after="0" w:line="240" w:lineRule="auto"/>
              <w:jc w:val="center"/>
              <w:rPr>
                <w:rFonts w:ascii="Times New Roman" w:eastAsia="Times New Roman" w:hAnsi="Times New Roman" w:cs="Times New Roman"/>
                <w:color w:val="000000"/>
                <w:lang w:eastAsia="hr-HR"/>
              </w:rPr>
            </w:pPr>
            <w:r w:rsidRPr="003C759D">
              <w:rPr>
                <w:rFonts w:ascii="Times New Roman" w:eastAsia="Times New Roman" w:hAnsi="Times New Roman" w:cs="Times New Roman"/>
                <w:color w:val="000000"/>
                <w:lang w:eastAsia="hr-HR"/>
              </w:rPr>
              <w:t>usluga predah o</w:t>
            </w:r>
            <w:r>
              <w:rPr>
                <w:rFonts w:ascii="Times New Roman" w:eastAsia="Times New Roman" w:hAnsi="Times New Roman" w:cs="Times New Roman"/>
                <w:color w:val="000000"/>
                <w:lang w:eastAsia="hr-HR"/>
              </w:rPr>
              <w:t>d</w:t>
            </w:r>
            <w:r w:rsidRPr="003C759D">
              <w:rPr>
                <w:rFonts w:ascii="Times New Roman" w:eastAsia="Times New Roman" w:hAnsi="Times New Roman" w:cs="Times New Roman"/>
                <w:color w:val="000000"/>
                <w:lang w:eastAsia="hr-HR"/>
              </w:rPr>
              <w:t xml:space="preserve"> skrbi</w:t>
            </w:r>
          </w:p>
        </w:tc>
        <w:tc>
          <w:tcPr>
            <w:tcW w:w="4221" w:type="dxa"/>
            <w:shd w:val="clear" w:color="auto" w:fill="auto"/>
            <w:vAlign w:val="center"/>
            <w:hideMark/>
          </w:tcPr>
          <w:p w14:paraId="5DE24BE8" w14:textId="77777777" w:rsidR="00731C28" w:rsidRPr="003C759D" w:rsidRDefault="00731C28" w:rsidP="00816216">
            <w:pPr>
              <w:spacing w:after="0" w:line="240" w:lineRule="auto"/>
              <w:jc w:val="center"/>
              <w:rPr>
                <w:rFonts w:ascii="Times New Roman" w:eastAsia="Times New Roman" w:hAnsi="Times New Roman" w:cs="Times New Roman"/>
                <w:color w:val="000000"/>
                <w:lang w:eastAsia="hr-HR"/>
              </w:rPr>
            </w:pPr>
            <w:r w:rsidRPr="003C759D">
              <w:rPr>
                <w:rFonts w:ascii="Times New Roman" w:eastAsia="Times New Roman" w:hAnsi="Times New Roman" w:cs="Times New Roman"/>
                <w:color w:val="000000"/>
                <w:lang w:eastAsia="hr-HR"/>
              </w:rPr>
              <w:t>15</w:t>
            </w:r>
          </w:p>
        </w:tc>
      </w:tr>
      <w:tr w:rsidR="00731C28" w:rsidRPr="003C759D" w14:paraId="40867927" w14:textId="77777777" w:rsidTr="00816216">
        <w:trPr>
          <w:trHeight w:val="394"/>
        </w:trPr>
        <w:tc>
          <w:tcPr>
            <w:tcW w:w="4568" w:type="dxa"/>
            <w:shd w:val="clear" w:color="auto" w:fill="auto"/>
            <w:vAlign w:val="center"/>
            <w:hideMark/>
          </w:tcPr>
          <w:p w14:paraId="4E83CA64" w14:textId="77777777" w:rsidR="00731C28" w:rsidRPr="003C759D" w:rsidRDefault="00731C28" w:rsidP="00816216">
            <w:pPr>
              <w:spacing w:after="0" w:line="240" w:lineRule="auto"/>
              <w:jc w:val="center"/>
              <w:rPr>
                <w:rFonts w:ascii="Times New Roman" w:eastAsia="Times New Roman" w:hAnsi="Times New Roman" w:cs="Times New Roman"/>
                <w:color w:val="000000"/>
                <w:lang w:eastAsia="hr-HR"/>
              </w:rPr>
            </w:pPr>
            <w:r w:rsidRPr="003C759D">
              <w:rPr>
                <w:rFonts w:ascii="Times New Roman" w:eastAsia="Times New Roman" w:hAnsi="Times New Roman" w:cs="Times New Roman"/>
                <w:color w:val="000000"/>
                <w:lang w:eastAsia="hr-HR"/>
              </w:rPr>
              <w:t>UKUPNO</w:t>
            </w:r>
          </w:p>
        </w:tc>
        <w:tc>
          <w:tcPr>
            <w:tcW w:w="4221" w:type="dxa"/>
            <w:shd w:val="clear" w:color="auto" w:fill="auto"/>
            <w:vAlign w:val="center"/>
            <w:hideMark/>
          </w:tcPr>
          <w:p w14:paraId="30F84BF3" w14:textId="77777777" w:rsidR="00731C28" w:rsidRPr="003C759D" w:rsidRDefault="00731C28" w:rsidP="00816216">
            <w:pPr>
              <w:spacing w:after="0" w:line="240" w:lineRule="auto"/>
              <w:jc w:val="center"/>
              <w:rPr>
                <w:rFonts w:ascii="Times New Roman" w:eastAsia="Times New Roman" w:hAnsi="Times New Roman" w:cs="Times New Roman"/>
                <w:color w:val="000000"/>
                <w:lang w:eastAsia="hr-HR"/>
              </w:rPr>
            </w:pPr>
            <w:r w:rsidRPr="003C759D">
              <w:rPr>
                <w:rFonts w:ascii="Times New Roman" w:eastAsia="Times New Roman" w:hAnsi="Times New Roman" w:cs="Times New Roman"/>
                <w:color w:val="000000"/>
                <w:lang w:eastAsia="hr-HR"/>
              </w:rPr>
              <w:t>8333</w:t>
            </w:r>
          </w:p>
        </w:tc>
      </w:tr>
    </w:tbl>
    <w:p w14:paraId="01E298C6" w14:textId="77777777" w:rsidR="00731C28" w:rsidRDefault="00731C28" w:rsidP="00A418AE">
      <w:pPr>
        <w:spacing w:after="0" w:line="240" w:lineRule="auto"/>
        <w:ind w:firstLine="709"/>
        <w:rPr>
          <w:rFonts w:ascii="Times New Roman" w:hAnsi="Times New Roman" w:cs="Times New Roman"/>
          <w:sz w:val="24"/>
          <w:szCs w:val="24"/>
        </w:rPr>
      </w:pPr>
    </w:p>
    <w:p w14:paraId="72519038" w14:textId="77777777" w:rsidR="00731C28" w:rsidRDefault="00731C28" w:rsidP="00731C28">
      <w:pPr>
        <w:spacing w:after="0" w:line="240" w:lineRule="auto"/>
        <w:jc w:val="both"/>
        <w:rPr>
          <w:rFonts w:ascii="Times New Roman" w:eastAsia="Times New Roman" w:hAnsi="Times New Roman" w:cs="Times New Roman"/>
          <w:sz w:val="24"/>
          <w:szCs w:val="24"/>
          <w:lang w:eastAsia="hr-HR"/>
        </w:rPr>
      </w:pPr>
      <w:r w:rsidRPr="00D95790">
        <w:rPr>
          <w:rFonts w:ascii="Times New Roman" w:eastAsia="Times New Roman" w:hAnsi="Times New Roman" w:cs="Times New Roman"/>
          <w:sz w:val="24"/>
          <w:szCs w:val="24"/>
          <w:lang w:eastAsia="hr-HR"/>
        </w:rPr>
        <w:t>Trenutačno u Hrvatskoj djeluje ukupno 1346 pružatelja socijalnih usluga</w:t>
      </w:r>
      <w:r>
        <w:rPr>
          <w:rStyle w:val="Referencafusnote"/>
          <w:sz w:val="24"/>
          <w:szCs w:val="24"/>
        </w:rPr>
        <w:footnoteReference w:id="1"/>
      </w:r>
      <w:r>
        <w:rPr>
          <w:rFonts w:ascii="Times New Roman" w:eastAsia="Times New Roman" w:hAnsi="Times New Roman" w:cs="Times New Roman"/>
          <w:sz w:val="24"/>
          <w:szCs w:val="24"/>
          <w:lang w:eastAsia="hr-HR"/>
        </w:rPr>
        <w:t xml:space="preserve"> </w:t>
      </w:r>
      <w:r w:rsidRPr="00D95790">
        <w:rPr>
          <w:rFonts w:ascii="Times New Roman" w:eastAsia="Times New Roman" w:hAnsi="Times New Roman" w:cs="Times New Roman"/>
          <w:sz w:val="24"/>
          <w:szCs w:val="24"/>
          <w:lang w:eastAsia="hr-HR"/>
        </w:rPr>
        <w:t>(82 centra za socijalnu skrb, 68 državnih pružatelja socijalnih usluga, 1 196 nedržavnih pružatelja socijalnih usluga</w:t>
      </w:r>
      <w:r>
        <w:rPr>
          <w:rFonts w:ascii="Times New Roman" w:eastAsia="Times New Roman" w:hAnsi="Times New Roman" w:cs="Times New Roman"/>
          <w:sz w:val="24"/>
          <w:szCs w:val="24"/>
          <w:lang w:eastAsia="hr-HR"/>
        </w:rPr>
        <w:t>)</w:t>
      </w:r>
      <w:r w:rsidRPr="00D95790">
        <w:rPr>
          <w:rFonts w:ascii="Times New Roman" w:eastAsia="Times New Roman" w:hAnsi="Times New Roman" w:cs="Times New Roman"/>
          <w:sz w:val="24"/>
          <w:szCs w:val="24"/>
          <w:lang w:eastAsia="hr-HR"/>
        </w:rPr>
        <w:t xml:space="preserve"> te 26</w:t>
      </w:r>
      <w:r>
        <w:rPr>
          <w:rFonts w:ascii="Times New Roman" w:eastAsia="Times New Roman" w:hAnsi="Times New Roman" w:cs="Times New Roman"/>
          <w:sz w:val="24"/>
          <w:szCs w:val="24"/>
          <w:lang w:eastAsia="hr-HR"/>
        </w:rPr>
        <w:t>18</w:t>
      </w:r>
      <w:r w:rsidRPr="00D95790">
        <w:rPr>
          <w:rFonts w:ascii="Times New Roman" w:eastAsia="Times New Roman" w:hAnsi="Times New Roman" w:cs="Times New Roman"/>
          <w:sz w:val="24"/>
          <w:szCs w:val="24"/>
          <w:lang w:eastAsia="hr-HR"/>
        </w:rPr>
        <w:t xml:space="preserve"> udomiteljskih obitelji</w:t>
      </w:r>
      <w:r>
        <w:rPr>
          <w:rStyle w:val="Referencafusnote"/>
          <w:sz w:val="24"/>
          <w:szCs w:val="24"/>
        </w:rPr>
        <w:footnoteReference w:id="2"/>
      </w:r>
      <w:r w:rsidRPr="00D95790">
        <w:rPr>
          <w:rFonts w:ascii="Times New Roman" w:eastAsia="Times New Roman" w:hAnsi="Times New Roman" w:cs="Times New Roman"/>
          <w:sz w:val="24"/>
          <w:szCs w:val="24"/>
          <w:lang w:eastAsia="hr-HR"/>
        </w:rPr>
        <w:t>, od toga 1</w:t>
      </w:r>
      <w:r>
        <w:rPr>
          <w:rFonts w:ascii="Times New Roman" w:eastAsia="Times New Roman" w:hAnsi="Times New Roman" w:cs="Times New Roman"/>
          <w:sz w:val="24"/>
          <w:szCs w:val="24"/>
          <w:lang w:eastAsia="hr-HR"/>
        </w:rPr>
        <w:t>300</w:t>
      </w:r>
      <w:r w:rsidRPr="00D95790">
        <w:rPr>
          <w:rFonts w:ascii="Times New Roman" w:eastAsia="Times New Roman" w:hAnsi="Times New Roman" w:cs="Times New Roman"/>
          <w:sz w:val="24"/>
          <w:szCs w:val="24"/>
          <w:lang w:eastAsia="hr-HR"/>
        </w:rPr>
        <w:t xml:space="preserve"> za odrasle i 13</w:t>
      </w:r>
      <w:r>
        <w:rPr>
          <w:rFonts w:ascii="Times New Roman" w:eastAsia="Times New Roman" w:hAnsi="Times New Roman" w:cs="Times New Roman"/>
          <w:sz w:val="24"/>
          <w:szCs w:val="24"/>
          <w:lang w:eastAsia="hr-HR"/>
        </w:rPr>
        <w:t>1</w:t>
      </w:r>
      <w:r w:rsidRPr="00D95790">
        <w:rPr>
          <w:rFonts w:ascii="Times New Roman" w:eastAsia="Times New Roman" w:hAnsi="Times New Roman" w:cs="Times New Roman"/>
          <w:sz w:val="24"/>
          <w:szCs w:val="24"/>
          <w:lang w:eastAsia="hr-HR"/>
        </w:rPr>
        <w:t>8 za djecu.</w:t>
      </w:r>
    </w:p>
    <w:p w14:paraId="3E169F1E" w14:textId="77777777" w:rsidR="00731C28" w:rsidRPr="00D95790" w:rsidRDefault="00731C28" w:rsidP="00731C28">
      <w:pPr>
        <w:shd w:val="clear" w:color="auto" w:fill="FFFFFF"/>
        <w:spacing w:after="0" w:line="240" w:lineRule="auto"/>
        <w:jc w:val="both"/>
        <w:rPr>
          <w:rFonts w:ascii="Times New Roman" w:eastAsia="Times New Roman" w:hAnsi="Times New Roman" w:cs="Times New Roman"/>
          <w:sz w:val="24"/>
          <w:szCs w:val="24"/>
          <w:lang w:eastAsia="hr-HR"/>
        </w:rPr>
      </w:pPr>
      <w:r w:rsidRPr="00D95790">
        <w:rPr>
          <w:rFonts w:ascii="Times New Roman" w:eastAsia="Times New Roman" w:hAnsi="Times New Roman" w:cs="Times New Roman"/>
          <w:sz w:val="24"/>
          <w:szCs w:val="24"/>
          <w:shd w:val="clear" w:color="auto" w:fill="FFFFFF"/>
          <w:lang w:eastAsia="hr-HR"/>
        </w:rPr>
        <w:t>Socijalne se usluge mogu ostvarivati unutar mreže</w:t>
      </w:r>
      <w:r>
        <w:rPr>
          <w:rFonts w:ascii="Times New Roman" w:eastAsia="Times New Roman" w:hAnsi="Times New Roman" w:cs="Times New Roman"/>
          <w:sz w:val="24"/>
          <w:szCs w:val="24"/>
          <w:shd w:val="clear" w:color="auto" w:fill="FFFFFF"/>
          <w:lang w:eastAsia="hr-HR"/>
        </w:rPr>
        <w:t xml:space="preserve"> socijalnih usluga</w:t>
      </w:r>
      <w:r w:rsidRPr="00D95790">
        <w:rPr>
          <w:rFonts w:ascii="Times New Roman" w:eastAsia="Times New Roman" w:hAnsi="Times New Roman" w:cs="Times New Roman"/>
          <w:sz w:val="24"/>
          <w:szCs w:val="24"/>
          <w:shd w:val="clear" w:color="auto" w:fill="FFFFFF"/>
          <w:lang w:eastAsia="hr-HR"/>
        </w:rPr>
        <w:t xml:space="preserve"> ili izvan nje.</w:t>
      </w:r>
      <w:r>
        <w:rPr>
          <w:rFonts w:ascii="Times New Roman" w:eastAsia="Times New Roman" w:hAnsi="Times New Roman" w:cs="Times New Roman"/>
          <w:sz w:val="24"/>
          <w:szCs w:val="24"/>
          <w:shd w:val="clear" w:color="auto" w:fill="FFFFFF"/>
          <w:lang w:eastAsia="hr-HR"/>
        </w:rPr>
        <w:t xml:space="preserve"> </w:t>
      </w:r>
      <w:r w:rsidRPr="00D95790">
        <w:rPr>
          <w:rFonts w:ascii="Times New Roman" w:eastAsia="Times New Roman" w:hAnsi="Times New Roman" w:cs="Times New Roman"/>
          <w:sz w:val="24"/>
          <w:szCs w:val="24"/>
          <w:lang w:eastAsia="hr-HR"/>
        </w:rPr>
        <w:t>U mreži se ostvaruju usluge</w:t>
      </w:r>
      <w:r>
        <w:rPr>
          <w:rFonts w:ascii="Times New Roman" w:eastAsia="Times New Roman" w:hAnsi="Times New Roman" w:cs="Times New Roman"/>
          <w:sz w:val="24"/>
          <w:szCs w:val="24"/>
          <w:lang w:eastAsia="hr-HR"/>
        </w:rPr>
        <w:t xml:space="preserve"> </w:t>
      </w:r>
      <w:r w:rsidRPr="00D95790">
        <w:rPr>
          <w:rFonts w:ascii="Times New Roman" w:eastAsia="Times New Roman" w:hAnsi="Times New Roman" w:cs="Times New Roman"/>
          <w:sz w:val="24"/>
          <w:szCs w:val="24"/>
          <w:lang w:eastAsia="hr-HR"/>
        </w:rPr>
        <w:t>temeljem rješenja centara za socijalnu skrb, a</w:t>
      </w:r>
      <w:r>
        <w:rPr>
          <w:rFonts w:ascii="Times New Roman" w:eastAsia="Times New Roman" w:hAnsi="Times New Roman" w:cs="Times New Roman"/>
          <w:sz w:val="24"/>
          <w:szCs w:val="24"/>
          <w:lang w:eastAsia="hr-HR"/>
        </w:rPr>
        <w:t xml:space="preserve"> </w:t>
      </w:r>
      <w:r w:rsidRPr="00D95790">
        <w:rPr>
          <w:rFonts w:ascii="Times New Roman" w:eastAsia="Times New Roman" w:hAnsi="Times New Roman" w:cs="Times New Roman"/>
          <w:sz w:val="24"/>
          <w:szCs w:val="24"/>
          <w:lang w:eastAsia="hr-HR"/>
        </w:rPr>
        <w:t>pružaju ih ustanove čiji je osnivač Republika Hrvatska, te drugi osnivači s kojima</w:t>
      </w:r>
      <w:r>
        <w:rPr>
          <w:rFonts w:ascii="Times New Roman" w:eastAsia="Times New Roman" w:hAnsi="Times New Roman" w:cs="Times New Roman"/>
          <w:sz w:val="24"/>
          <w:szCs w:val="24"/>
          <w:lang w:eastAsia="hr-HR"/>
        </w:rPr>
        <w:t xml:space="preserve"> ministarstvo nadležno za socijalnu skrb ima</w:t>
      </w:r>
      <w:r w:rsidRPr="00D95790">
        <w:rPr>
          <w:rFonts w:ascii="Times New Roman" w:eastAsia="Times New Roman" w:hAnsi="Times New Roman" w:cs="Times New Roman"/>
          <w:sz w:val="24"/>
          <w:szCs w:val="24"/>
          <w:lang w:eastAsia="hr-HR"/>
        </w:rPr>
        <w:t xml:space="preserve"> sklopljen ugovor o pružanju socijalnih usluga.</w:t>
      </w:r>
      <w:r>
        <w:rPr>
          <w:rFonts w:ascii="Times New Roman" w:eastAsia="Times New Roman" w:hAnsi="Times New Roman" w:cs="Times New Roman"/>
          <w:sz w:val="24"/>
          <w:szCs w:val="24"/>
          <w:lang w:eastAsia="hr-HR"/>
        </w:rPr>
        <w:t xml:space="preserve"> </w:t>
      </w:r>
      <w:r w:rsidRPr="00D95790">
        <w:rPr>
          <w:rFonts w:ascii="Times New Roman" w:eastAsia="Times New Roman" w:hAnsi="Times New Roman" w:cs="Times New Roman"/>
          <w:sz w:val="24"/>
          <w:szCs w:val="24"/>
          <w:lang w:eastAsia="hr-HR"/>
        </w:rPr>
        <w:t>Mreža socijalnih usluga trenutačno obuhvaća 68 državnih pružatelja socijalnih usluga i 408 pružatelja socijalnih usluga drugih osnivača s kojima je sklopljeno ukupno 462 ugovora o pružanju tih usluga.</w:t>
      </w:r>
    </w:p>
    <w:p w14:paraId="04E31599" w14:textId="77777777" w:rsidR="00731C28" w:rsidRDefault="00731C28" w:rsidP="00731C28">
      <w:pPr>
        <w:spacing w:after="0" w:line="240" w:lineRule="auto"/>
        <w:jc w:val="both"/>
        <w:rPr>
          <w:rFonts w:ascii="Times New Roman" w:hAnsi="Times New Roman" w:cs="Times New Roman"/>
          <w:sz w:val="24"/>
          <w:szCs w:val="24"/>
        </w:rPr>
      </w:pPr>
      <w:r w:rsidRPr="00335255">
        <w:rPr>
          <w:rFonts w:ascii="Times New Roman" w:eastAsia="Times New Roman" w:hAnsi="Times New Roman" w:cs="Times New Roman"/>
          <w:sz w:val="24"/>
          <w:szCs w:val="24"/>
          <w:lang w:eastAsia="hr-HR"/>
        </w:rPr>
        <w:t xml:space="preserve">Omjer korisnika </w:t>
      </w:r>
      <w:proofErr w:type="spellStart"/>
      <w:r w:rsidRPr="00335255">
        <w:rPr>
          <w:rFonts w:ascii="Times New Roman" w:eastAsia="Times New Roman" w:hAnsi="Times New Roman" w:cs="Times New Roman"/>
          <w:sz w:val="24"/>
          <w:szCs w:val="24"/>
          <w:lang w:eastAsia="hr-HR"/>
        </w:rPr>
        <w:t>izvaninstitucijske</w:t>
      </w:r>
      <w:proofErr w:type="spellEnd"/>
      <w:r w:rsidRPr="00335255">
        <w:rPr>
          <w:rFonts w:ascii="Times New Roman" w:eastAsia="Times New Roman" w:hAnsi="Times New Roman" w:cs="Times New Roman"/>
          <w:sz w:val="24"/>
          <w:szCs w:val="24"/>
          <w:lang w:eastAsia="hr-HR"/>
        </w:rPr>
        <w:t xml:space="preserve"> skrbi i institucijske skrbi po godinama za djecu s teškoćama u razvoju i osobe s invaliditetom </w:t>
      </w:r>
      <w:r>
        <w:rPr>
          <w:rFonts w:ascii="Times New Roman" w:eastAsia="Times New Roman" w:hAnsi="Times New Roman" w:cs="Times New Roman"/>
          <w:sz w:val="24"/>
          <w:szCs w:val="24"/>
          <w:lang w:eastAsia="hr-HR"/>
        </w:rPr>
        <w:t>p</w:t>
      </w:r>
      <w:r w:rsidRPr="00335255">
        <w:rPr>
          <w:rFonts w:ascii="Times New Roman" w:eastAsia="Times New Roman" w:hAnsi="Times New Roman" w:cs="Times New Roman"/>
          <w:sz w:val="24"/>
          <w:szCs w:val="24"/>
          <w:lang w:eastAsia="hr-HR"/>
        </w:rPr>
        <w:t>okazuje da je značajno veći</w:t>
      </w:r>
      <w:r>
        <w:rPr>
          <w:rFonts w:ascii="Times New Roman" w:hAnsi="Times New Roman" w:cs="Times New Roman"/>
          <w:sz w:val="24"/>
          <w:szCs w:val="24"/>
        </w:rPr>
        <w:t xml:space="preserve"> udio korisnika kojima se pružaju</w:t>
      </w:r>
      <w:r w:rsidRPr="00C42EF4">
        <w:rPr>
          <w:rFonts w:ascii="Times New Roman" w:hAnsi="Times New Roman" w:cs="Times New Roman"/>
          <w:sz w:val="24"/>
          <w:szCs w:val="24"/>
        </w:rPr>
        <w:t xml:space="preserve"> </w:t>
      </w:r>
      <w:proofErr w:type="spellStart"/>
      <w:r>
        <w:rPr>
          <w:rFonts w:ascii="Times New Roman" w:hAnsi="Times New Roman" w:cs="Times New Roman"/>
          <w:sz w:val="24"/>
          <w:szCs w:val="24"/>
        </w:rPr>
        <w:t>izvaninstitucijske</w:t>
      </w:r>
      <w:proofErr w:type="spellEnd"/>
      <w:r>
        <w:rPr>
          <w:rFonts w:ascii="Times New Roman" w:hAnsi="Times New Roman" w:cs="Times New Roman"/>
          <w:sz w:val="24"/>
          <w:szCs w:val="24"/>
        </w:rPr>
        <w:t xml:space="preserve"> usluge </w:t>
      </w:r>
      <w:r w:rsidRPr="00C42EF4">
        <w:rPr>
          <w:rFonts w:ascii="Times New Roman" w:hAnsi="Times New Roman" w:cs="Times New Roman"/>
          <w:sz w:val="24"/>
          <w:szCs w:val="24"/>
        </w:rPr>
        <w:t xml:space="preserve">u odnosu na </w:t>
      </w:r>
      <w:r>
        <w:rPr>
          <w:rFonts w:ascii="Times New Roman" w:hAnsi="Times New Roman" w:cs="Times New Roman"/>
          <w:sz w:val="24"/>
          <w:szCs w:val="24"/>
        </w:rPr>
        <w:t>udio</w:t>
      </w:r>
      <w:r w:rsidRPr="00C42EF4">
        <w:rPr>
          <w:rFonts w:ascii="Times New Roman" w:hAnsi="Times New Roman" w:cs="Times New Roman"/>
          <w:sz w:val="24"/>
          <w:szCs w:val="24"/>
        </w:rPr>
        <w:t xml:space="preserve"> korisnika kojima </w:t>
      </w:r>
      <w:r>
        <w:rPr>
          <w:rFonts w:ascii="Times New Roman" w:hAnsi="Times New Roman" w:cs="Times New Roman"/>
          <w:sz w:val="24"/>
          <w:szCs w:val="24"/>
        </w:rPr>
        <w:t xml:space="preserve">su </w:t>
      </w:r>
      <w:r w:rsidRPr="00C42EF4">
        <w:rPr>
          <w:rFonts w:ascii="Times New Roman" w:hAnsi="Times New Roman" w:cs="Times New Roman"/>
          <w:sz w:val="24"/>
          <w:szCs w:val="24"/>
        </w:rPr>
        <w:t>osigura</w:t>
      </w:r>
      <w:r>
        <w:rPr>
          <w:rFonts w:ascii="Times New Roman" w:hAnsi="Times New Roman" w:cs="Times New Roman"/>
          <w:sz w:val="24"/>
          <w:szCs w:val="24"/>
        </w:rPr>
        <w:t>ne usluge u</w:t>
      </w:r>
      <w:r w:rsidRPr="00C42EF4">
        <w:rPr>
          <w:rFonts w:ascii="Times New Roman" w:hAnsi="Times New Roman" w:cs="Times New Roman"/>
          <w:sz w:val="24"/>
          <w:szCs w:val="24"/>
        </w:rPr>
        <w:t xml:space="preserve"> institucij</w:t>
      </w:r>
      <w:r>
        <w:rPr>
          <w:rFonts w:ascii="Times New Roman" w:hAnsi="Times New Roman" w:cs="Times New Roman"/>
          <w:sz w:val="24"/>
          <w:szCs w:val="24"/>
        </w:rPr>
        <w:t>i:</w:t>
      </w:r>
      <w:r w:rsidRPr="00C42EF4">
        <w:rPr>
          <w:rFonts w:ascii="Times New Roman" w:hAnsi="Times New Roman" w:cs="Times New Roman"/>
          <w:sz w:val="24"/>
          <w:szCs w:val="24"/>
        </w:rPr>
        <w:t xml:space="preserve"> </w:t>
      </w:r>
    </w:p>
    <w:p w14:paraId="16C03DF1" w14:textId="77777777" w:rsidR="00731C28" w:rsidRPr="000F5FD2" w:rsidRDefault="00731C28" w:rsidP="00731C28">
      <w:pPr>
        <w:spacing w:line="276" w:lineRule="auto"/>
        <w:jc w:val="both"/>
        <w:rPr>
          <w:rFonts w:ascii="Times New Roman" w:hAnsi="Times New Roman" w:cs="Times New Roman"/>
          <w:b/>
          <w:bCs/>
          <w:i/>
          <w:iCs/>
          <w:sz w:val="24"/>
          <w:szCs w:val="24"/>
        </w:rPr>
      </w:pPr>
    </w:p>
    <w:p w14:paraId="6814F23B" w14:textId="77777777" w:rsidR="00731C28" w:rsidRPr="00420DD6" w:rsidRDefault="00731C28" w:rsidP="00731C28">
      <w:pPr>
        <w:spacing w:line="276" w:lineRule="auto"/>
        <w:jc w:val="both"/>
        <w:rPr>
          <w:rFonts w:ascii="Times New Roman" w:hAnsi="Times New Roman" w:cs="Times New Roman"/>
          <w:b/>
          <w:bCs/>
          <w:sz w:val="24"/>
          <w:szCs w:val="24"/>
        </w:rPr>
      </w:pPr>
      <w:r>
        <w:rPr>
          <w:rFonts w:ascii="Times New Roman" w:hAnsi="Times New Roman" w:cs="Times New Roman"/>
          <w:noProof/>
          <w:sz w:val="24"/>
          <w:szCs w:val="24"/>
          <w:lang w:eastAsia="hr-HR"/>
        </w:rPr>
        <w:drawing>
          <wp:inline distT="0" distB="0" distL="0" distR="0" wp14:anchorId="74DFC79D" wp14:editId="47F9CDF7">
            <wp:extent cx="5353082" cy="3067050"/>
            <wp:effectExtent l="0" t="0" r="0" b="0"/>
            <wp:docPr id="6"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358410" cy="3070103"/>
                    </a:xfrm>
                    <a:prstGeom prst="rect">
                      <a:avLst/>
                    </a:prstGeom>
                    <a:noFill/>
                  </pic:spPr>
                </pic:pic>
              </a:graphicData>
            </a:graphic>
          </wp:inline>
        </w:drawing>
      </w:r>
    </w:p>
    <w:p w14:paraId="069DBDAB" w14:textId="77777777" w:rsidR="00731C28" w:rsidRPr="008962D1" w:rsidRDefault="00731C28" w:rsidP="00731C28">
      <w:pPr>
        <w:spacing w:after="0" w:line="240" w:lineRule="auto"/>
        <w:jc w:val="both"/>
        <w:rPr>
          <w:rFonts w:ascii="Times New Roman" w:eastAsia="Times New Roman" w:hAnsi="Times New Roman" w:cs="Times New Roman"/>
          <w:sz w:val="24"/>
          <w:szCs w:val="24"/>
          <w:lang w:eastAsia="hr-HR"/>
        </w:rPr>
      </w:pPr>
      <w:bookmarkStart w:id="196" w:name="_Hlk69986565"/>
      <w:r w:rsidRPr="008962D1">
        <w:rPr>
          <w:rFonts w:ascii="Times New Roman" w:eastAsia="Times New Roman" w:hAnsi="Times New Roman" w:cs="Times New Roman"/>
          <w:sz w:val="24"/>
          <w:szCs w:val="24"/>
          <w:lang w:eastAsia="hr-HR"/>
        </w:rPr>
        <w:t xml:space="preserve">Omjer korisnika </w:t>
      </w:r>
      <w:proofErr w:type="spellStart"/>
      <w:r w:rsidRPr="008962D1">
        <w:rPr>
          <w:rFonts w:ascii="Times New Roman" w:eastAsia="Times New Roman" w:hAnsi="Times New Roman" w:cs="Times New Roman"/>
          <w:sz w:val="24"/>
          <w:szCs w:val="24"/>
          <w:lang w:eastAsia="hr-HR"/>
        </w:rPr>
        <w:t>izvaninstitucijske</w:t>
      </w:r>
      <w:proofErr w:type="spellEnd"/>
      <w:r w:rsidRPr="008962D1">
        <w:rPr>
          <w:rFonts w:ascii="Times New Roman" w:eastAsia="Times New Roman" w:hAnsi="Times New Roman" w:cs="Times New Roman"/>
          <w:sz w:val="24"/>
          <w:szCs w:val="24"/>
          <w:lang w:eastAsia="hr-HR"/>
        </w:rPr>
        <w:t xml:space="preserve"> skrbi i institucijske skrbi po godinama za osobe s mentalnim </w:t>
      </w:r>
      <w:r>
        <w:rPr>
          <w:rFonts w:ascii="Times New Roman" w:eastAsia="Times New Roman" w:hAnsi="Times New Roman" w:cs="Times New Roman"/>
          <w:sz w:val="24"/>
          <w:szCs w:val="24"/>
          <w:lang w:eastAsia="hr-HR"/>
        </w:rPr>
        <w:t>oštećenjima</w:t>
      </w:r>
      <w:r w:rsidRPr="008962D1">
        <w:rPr>
          <w:rFonts w:ascii="Times New Roman" w:eastAsia="Times New Roman" w:hAnsi="Times New Roman" w:cs="Times New Roman"/>
          <w:sz w:val="24"/>
          <w:szCs w:val="24"/>
          <w:lang w:eastAsia="hr-HR"/>
        </w:rPr>
        <w:t xml:space="preserve"> pokazuje da je institucijskim oblikom skrbi obuhvaćen veći udio korisnika u odnosu na one kojima se pružaju </w:t>
      </w:r>
      <w:proofErr w:type="spellStart"/>
      <w:r w:rsidRPr="008962D1">
        <w:rPr>
          <w:rFonts w:ascii="Times New Roman" w:eastAsia="Times New Roman" w:hAnsi="Times New Roman" w:cs="Times New Roman"/>
          <w:sz w:val="24"/>
          <w:szCs w:val="24"/>
          <w:lang w:eastAsia="hr-HR"/>
        </w:rPr>
        <w:t>izvaninstitucijske</w:t>
      </w:r>
      <w:proofErr w:type="spellEnd"/>
      <w:r w:rsidRPr="008962D1">
        <w:rPr>
          <w:rFonts w:ascii="Times New Roman" w:eastAsia="Times New Roman" w:hAnsi="Times New Roman" w:cs="Times New Roman"/>
          <w:sz w:val="24"/>
          <w:szCs w:val="24"/>
          <w:lang w:eastAsia="hr-HR"/>
        </w:rPr>
        <w:t xml:space="preserve"> usluge u zajednici:</w:t>
      </w:r>
      <w:bookmarkEnd w:id="196"/>
    </w:p>
    <w:p w14:paraId="6C8202BD" w14:textId="77777777" w:rsidR="00731C28" w:rsidRDefault="00731C28" w:rsidP="00731C28">
      <w:pPr>
        <w:spacing w:line="276" w:lineRule="auto"/>
        <w:jc w:val="both"/>
        <w:rPr>
          <w:rFonts w:ascii="Times New Roman" w:hAnsi="Times New Roman" w:cs="Times New Roman"/>
          <w:sz w:val="24"/>
          <w:szCs w:val="24"/>
        </w:rPr>
      </w:pPr>
    </w:p>
    <w:p w14:paraId="52B000A6" w14:textId="77777777" w:rsidR="00731C28" w:rsidRDefault="00731C28" w:rsidP="00731C28">
      <w:pPr>
        <w:spacing w:line="276" w:lineRule="auto"/>
        <w:jc w:val="center"/>
        <w:rPr>
          <w:rFonts w:ascii="Times New Roman" w:hAnsi="Times New Roman" w:cs="Times New Roman"/>
          <w:sz w:val="24"/>
          <w:szCs w:val="24"/>
        </w:rPr>
      </w:pPr>
      <w:r>
        <w:rPr>
          <w:rFonts w:ascii="Times New Roman" w:hAnsi="Times New Roman" w:cs="Times New Roman"/>
          <w:noProof/>
          <w:sz w:val="24"/>
          <w:szCs w:val="24"/>
          <w:lang w:eastAsia="hr-HR"/>
        </w:rPr>
        <w:drawing>
          <wp:inline distT="0" distB="0" distL="0" distR="0" wp14:anchorId="555F675A" wp14:editId="480CD3BE">
            <wp:extent cx="5229225" cy="3050480"/>
            <wp:effectExtent l="0" t="0" r="0" b="0"/>
            <wp:docPr id="7" name="Slik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233981" cy="3053255"/>
                    </a:xfrm>
                    <a:prstGeom prst="rect">
                      <a:avLst/>
                    </a:prstGeom>
                    <a:noFill/>
                  </pic:spPr>
                </pic:pic>
              </a:graphicData>
            </a:graphic>
          </wp:inline>
        </w:drawing>
      </w:r>
    </w:p>
    <w:p w14:paraId="6E9B6336" w14:textId="77777777" w:rsidR="00731C28" w:rsidRPr="008962D1" w:rsidRDefault="00731C28" w:rsidP="00731C28">
      <w:pPr>
        <w:spacing w:after="0" w:line="240" w:lineRule="auto"/>
        <w:jc w:val="both"/>
        <w:rPr>
          <w:rFonts w:ascii="Times New Roman" w:eastAsia="Times New Roman" w:hAnsi="Times New Roman" w:cs="Times New Roman"/>
          <w:bCs/>
          <w:sz w:val="24"/>
          <w:szCs w:val="24"/>
          <w:lang w:eastAsia="hr-HR"/>
        </w:rPr>
      </w:pPr>
      <w:r w:rsidRPr="00561EC0">
        <w:rPr>
          <w:rFonts w:ascii="Times New Roman" w:eastAsia="Times New Roman" w:hAnsi="Times New Roman" w:cs="Times New Roman"/>
          <w:bCs/>
          <w:sz w:val="24"/>
          <w:szCs w:val="24"/>
          <w:lang w:eastAsia="hr-HR"/>
        </w:rPr>
        <w:t>Iako je broj</w:t>
      </w:r>
      <w:r w:rsidRPr="008962D1">
        <w:rPr>
          <w:rFonts w:ascii="Times New Roman" w:eastAsia="Times New Roman" w:hAnsi="Times New Roman" w:cs="Times New Roman"/>
          <w:bCs/>
          <w:sz w:val="24"/>
          <w:szCs w:val="24"/>
          <w:lang w:eastAsia="hr-HR"/>
        </w:rPr>
        <w:t xml:space="preserve"> korisnika </w:t>
      </w:r>
      <w:proofErr w:type="spellStart"/>
      <w:r w:rsidRPr="008962D1">
        <w:rPr>
          <w:rFonts w:ascii="Times New Roman" w:eastAsia="Times New Roman" w:hAnsi="Times New Roman" w:cs="Times New Roman"/>
          <w:bCs/>
          <w:sz w:val="24"/>
          <w:szCs w:val="24"/>
          <w:lang w:eastAsia="hr-HR"/>
        </w:rPr>
        <w:t>izvaninstitucijskih</w:t>
      </w:r>
      <w:proofErr w:type="spellEnd"/>
      <w:r w:rsidRPr="008962D1">
        <w:rPr>
          <w:rFonts w:ascii="Times New Roman" w:eastAsia="Times New Roman" w:hAnsi="Times New Roman" w:cs="Times New Roman"/>
          <w:bCs/>
          <w:sz w:val="24"/>
          <w:szCs w:val="24"/>
          <w:lang w:eastAsia="hr-HR"/>
        </w:rPr>
        <w:t xml:space="preserve"> socijalnih usluga </w:t>
      </w:r>
      <w:r>
        <w:rPr>
          <w:rFonts w:ascii="Times New Roman" w:eastAsia="Times New Roman" w:hAnsi="Times New Roman" w:cs="Times New Roman"/>
          <w:bCs/>
          <w:sz w:val="24"/>
          <w:szCs w:val="24"/>
          <w:lang w:eastAsia="hr-HR"/>
        </w:rPr>
        <w:t xml:space="preserve">za osobe s mentalnim oštećenjem </w:t>
      </w:r>
      <w:r w:rsidRPr="008962D1">
        <w:rPr>
          <w:rFonts w:ascii="Times New Roman" w:eastAsia="Times New Roman" w:hAnsi="Times New Roman" w:cs="Times New Roman"/>
          <w:bCs/>
          <w:sz w:val="24"/>
          <w:szCs w:val="24"/>
          <w:lang w:eastAsia="hr-HR"/>
        </w:rPr>
        <w:t>porastao, što je povezano s razvojem usluga u zajednici, nije u dovoljnoj mjeri postignuto smanjenje broja ulazaka korisnika u instituciju</w:t>
      </w:r>
      <w:r>
        <w:rPr>
          <w:rFonts w:ascii="Times New Roman" w:eastAsia="Times New Roman" w:hAnsi="Times New Roman" w:cs="Times New Roman"/>
          <w:bCs/>
          <w:sz w:val="24"/>
          <w:szCs w:val="24"/>
          <w:lang w:eastAsia="hr-HR"/>
        </w:rPr>
        <w:t xml:space="preserve"> te će se u narednom razdoblju posebna pozornost posvetiti razvoju </w:t>
      </w:r>
      <w:proofErr w:type="spellStart"/>
      <w:r w:rsidRPr="008962D1">
        <w:rPr>
          <w:rFonts w:ascii="Times New Roman" w:eastAsia="Times New Roman" w:hAnsi="Times New Roman" w:cs="Times New Roman"/>
          <w:bCs/>
          <w:sz w:val="24"/>
          <w:szCs w:val="24"/>
          <w:lang w:eastAsia="hr-HR"/>
        </w:rPr>
        <w:t>izvaninstitucijskih</w:t>
      </w:r>
      <w:proofErr w:type="spellEnd"/>
      <w:r w:rsidRPr="008962D1">
        <w:rPr>
          <w:rFonts w:ascii="Times New Roman" w:eastAsia="Times New Roman" w:hAnsi="Times New Roman" w:cs="Times New Roman"/>
          <w:bCs/>
          <w:sz w:val="24"/>
          <w:szCs w:val="24"/>
          <w:lang w:eastAsia="hr-HR"/>
        </w:rPr>
        <w:t xml:space="preserve"> socijalnih usluga </w:t>
      </w:r>
      <w:r>
        <w:rPr>
          <w:rFonts w:ascii="Times New Roman" w:eastAsia="Times New Roman" w:hAnsi="Times New Roman" w:cs="Times New Roman"/>
          <w:bCs/>
          <w:sz w:val="24"/>
          <w:szCs w:val="24"/>
          <w:lang w:eastAsia="hr-HR"/>
        </w:rPr>
        <w:t xml:space="preserve">za osobe s mentalnim oštećenjem </w:t>
      </w:r>
      <w:r w:rsidRPr="008962D1">
        <w:rPr>
          <w:rFonts w:ascii="Times New Roman" w:eastAsia="Times New Roman" w:hAnsi="Times New Roman" w:cs="Times New Roman"/>
          <w:bCs/>
          <w:sz w:val="24"/>
          <w:szCs w:val="24"/>
          <w:lang w:eastAsia="hr-HR"/>
        </w:rPr>
        <w:t>i jača</w:t>
      </w:r>
      <w:r>
        <w:rPr>
          <w:rFonts w:ascii="Times New Roman" w:eastAsia="Times New Roman" w:hAnsi="Times New Roman" w:cs="Times New Roman"/>
          <w:bCs/>
          <w:sz w:val="24"/>
          <w:szCs w:val="24"/>
          <w:lang w:eastAsia="hr-HR"/>
        </w:rPr>
        <w:t>nju</w:t>
      </w:r>
      <w:r w:rsidRPr="008962D1">
        <w:rPr>
          <w:rFonts w:ascii="Times New Roman" w:eastAsia="Times New Roman" w:hAnsi="Times New Roman" w:cs="Times New Roman"/>
          <w:bCs/>
          <w:sz w:val="24"/>
          <w:szCs w:val="24"/>
          <w:lang w:eastAsia="hr-HR"/>
        </w:rPr>
        <w:t xml:space="preserve"> resurs</w:t>
      </w:r>
      <w:r>
        <w:rPr>
          <w:rFonts w:ascii="Times New Roman" w:eastAsia="Times New Roman" w:hAnsi="Times New Roman" w:cs="Times New Roman"/>
          <w:bCs/>
          <w:sz w:val="24"/>
          <w:szCs w:val="24"/>
          <w:lang w:eastAsia="hr-HR"/>
        </w:rPr>
        <w:t>a</w:t>
      </w:r>
      <w:r w:rsidRPr="008962D1">
        <w:rPr>
          <w:rFonts w:ascii="Times New Roman" w:eastAsia="Times New Roman" w:hAnsi="Times New Roman" w:cs="Times New Roman"/>
          <w:bCs/>
          <w:sz w:val="24"/>
          <w:szCs w:val="24"/>
          <w:lang w:eastAsia="hr-HR"/>
        </w:rPr>
        <w:t xml:space="preserve"> kojima raspolažu pružatelji socijalnih usluga.</w:t>
      </w:r>
    </w:p>
    <w:p w14:paraId="5A3A12DD" w14:textId="77777777" w:rsidR="00731C28" w:rsidRPr="00A418AE" w:rsidRDefault="00731C28" w:rsidP="00731C28">
      <w:pPr>
        <w:snapToGrid w:val="0"/>
        <w:spacing w:after="0" w:line="240" w:lineRule="auto"/>
        <w:jc w:val="both"/>
        <w:rPr>
          <w:rFonts w:ascii="Times New Roman" w:eastAsia="Times New Roman" w:hAnsi="Times New Roman" w:cs="Times New Roman"/>
          <w:bCs/>
          <w:sz w:val="10"/>
          <w:szCs w:val="10"/>
          <w:lang w:eastAsia="hr-HR"/>
        </w:rPr>
      </w:pPr>
    </w:p>
    <w:p w14:paraId="00F2990E" w14:textId="77777777" w:rsidR="00731C28" w:rsidRDefault="00731C28" w:rsidP="00731C28">
      <w:pPr>
        <w:snapToGrid w:val="0"/>
        <w:spacing w:after="0" w:line="240" w:lineRule="auto"/>
        <w:jc w:val="both"/>
        <w:rPr>
          <w:rFonts w:ascii="Times New Roman" w:eastAsia="Times New Roman" w:hAnsi="Times New Roman" w:cs="Times New Roman"/>
          <w:bCs/>
          <w:sz w:val="24"/>
          <w:szCs w:val="24"/>
          <w:lang w:eastAsia="hr-HR"/>
        </w:rPr>
      </w:pPr>
      <w:r w:rsidRPr="008962D1">
        <w:rPr>
          <w:rFonts w:ascii="Times New Roman" w:eastAsia="Times New Roman" w:hAnsi="Times New Roman" w:cs="Times New Roman"/>
          <w:bCs/>
          <w:sz w:val="24"/>
          <w:szCs w:val="24"/>
          <w:lang w:eastAsia="hr-HR"/>
        </w:rPr>
        <w:t xml:space="preserve">Ministarstvo u razvoju </w:t>
      </w:r>
      <w:proofErr w:type="spellStart"/>
      <w:r w:rsidRPr="008962D1">
        <w:rPr>
          <w:rFonts w:ascii="Times New Roman" w:eastAsia="Times New Roman" w:hAnsi="Times New Roman" w:cs="Times New Roman"/>
          <w:bCs/>
          <w:sz w:val="24"/>
          <w:szCs w:val="24"/>
          <w:lang w:eastAsia="hr-HR"/>
        </w:rPr>
        <w:t>izvaninstitucijskih</w:t>
      </w:r>
      <w:proofErr w:type="spellEnd"/>
      <w:r w:rsidRPr="008962D1">
        <w:rPr>
          <w:rFonts w:ascii="Times New Roman" w:eastAsia="Times New Roman" w:hAnsi="Times New Roman" w:cs="Times New Roman"/>
          <w:bCs/>
          <w:sz w:val="24"/>
          <w:szCs w:val="24"/>
          <w:lang w:eastAsia="hr-HR"/>
        </w:rPr>
        <w:t xml:space="preserve"> usluga u zajednici surađuje s organizacijama civilnog društva koje djeluju u području socijalne skrbi i to putem financiranja programa i projekata.</w:t>
      </w:r>
    </w:p>
    <w:p w14:paraId="75E66FB8" w14:textId="77777777" w:rsidR="00731C28" w:rsidRPr="00A418AE" w:rsidRDefault="00731C28" w:rsidP="00731C28">
      <w:pPr>
        <w:snapToGrid w:val="0"/>
        <w:spacing w:after="0" w:line="240" w:lineRule="auto"/>
        <w:jc w:val="both"/>
        <w:rPr>
          <w:rFonts w:ascii="Times New Roman" w:eastAsia="Times New Roman" w:hAnsi="Times New Roman" w:cs="Times New Roman"/>
          <w:bCs/>
          <w:sz w:val="10"/>
          <w:szCs w:val="10"/>
          <w:lang w:eastAsia="hr-HR"/>
        </w:rPr>
      </w:pPr>
    </w:p>
    <w:p w14:paraId="2458EA8C" w14:textId="77777777" w:rsidR="00731C28" w:rsidRDefault="00731C28" w:rsidP="00731C28">
      <w:pPr>
        <w:spacing w:after="0" w:line="240" w:lineRule="auto"/>
        <w:jc w:val="both"/>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 xml:space="preserve">U </w:t>
      </w:r>
      <w:r w:rsidRPr="00BC2AF4">
        <w:rPr>
          <w:rFonts w:ascii="Times New Roman" w:eastAsia="Times New Roman" w:hAnsi="Times New Roman" w:cs="Times New Roman"/>
          <w:bCs/>
          <w:sz w:val="24"/>
          <w:szCs w:val="24"/>
          <w:lang w:eastAsia="hr-HR"/>
        </w:rPr>
        <w:t xml:space="preserve">okviru poziva </w:t>
      </w:r>
      <w:r>
        <w:rPr>
          <w:rFonts w:ascii="Times New Roman" w:eastAsia="Times New Roman" w:hAnsi="Times New Roman" w:cs="Times New Roman"/>
          <w:bCs/>
          <w:sz w:val="24"/>
          <w:szCs w:val="24"/>
          <w:lang w:eastAsia="hr-HR"/>
        </w:rPr>
        <w:t xml:space="preserve">ministarstva nadležnog za socijalnu skrb </w:t>
      </w:r>
      <w:r w:rsidRPr="00BC2AF4">
        <w:rPr>
          <w:rFonts w:ascii="Times New Roman" w:eastAsia="Times New Roman" w:hAnsi="Times New Roman" w:cs="Times New Roman"/>
          <w:bCs/>
          <w:sz w:val="24"/>
          <w:szCs w:val="24"/>
          <w:lang w:eastAsia="hr-HR"/>
        </w:rPr>
        <w:t xml:space="preserve">za prijavu prijedloga trogodišnjih programa udruga koje djeluju u području socijalne skrbi pod nazivom „Razvoj i širenje mreže socijalnih usluga koje pružaju udruge“ za razdoblje </w:t>
      </w:r>
      <w:r>
        <w:rPr>
          <w:rFonts w:ascii="Times New Roman" w:eastAsia="Times New Roman" w:hAnsi="Times New Roman" w:cs="Times New Roman"/>
          <w:bCs/>
          <w:sz w:val="24"/>
          <w:szCs w:val="24"/>
          <w:lang w:eastAsia="hr-HR"/>
        </w:rPr>
        <w:t xml:space="preserve">od </w:t>
      </w:r>
      <w:r w:rsidRPr="00BC2AF4">
        <w:rPr>
          <w:rFonts w:ascii="Times New Roman" w:eastAsia="Times New Roman" w:hAnsi="Times New Roman" w:cs="Times New Roman"/>
          <w:bCs/>
          <w:sz w:val="24"/>
          <w:szCs w:val="24"/>
          <w:lang w:eastAsia="hr-HR"/>
        </w:rPr>
        <w:t>2017. do 2020. godine</w:t>
      </w:r>
      <w:r w:rsidRPr="00427215">
        <w:rPr>
          <w:rFonts w:ascii="Times New Roman" w:eastAsia="Times New Roman" w:hAnsi="Times New Roman" w:cs="Times New Roman"/>
          <w:bCs/>
          <w:sz w:val="24"/>
          <w:szCs w:val="24"/>
          <w:lang w:eastAsia="hr-HR"/>
        </w:rPr>
        <w:t xml:space="preserve"> osigurana je financijska potpora u ukupnom iznosu od 24.300.000,00 kuna na godišnjoj razini za ukupno 112 projekata</w:t>
      </w:r>
      <w:r>
        <w:rPr>
          <w:rFonts w:ascii="Times New Roman" w:eastAsia="Times New Roman" w:hAnsi="Times New Roman" w:cs="Times New Roman"/>
          <w:bCs/>
          <w:sz w:val="24"/>
          <w:szCs w:val="24"/>
          <w:lang w:eastAsia="hr-HR"/>
        </w:rPr>
        <w:t xml:space="preserve"> </w:t>
      </w:r>
      <w:r w:rsidRPr="00427215">
        <w:rPr>
          <w:rFonts w:ascii="Times New Roman" w:eastAsia="Times New Roman" w:hAnsi="Times New Roman" w:cs="Times New Roman"/>
          <w:bCs/>
          <w:sz w:val="24"/>
          <w:szCs w:val="24"/>
          <w:lang w:eastAsia="hr-HR"/>
        </w:rPr>
        <w:t>udrug</w:t>
      </w:r>
      <w:r>
        <w:rPr>
          <w:rFonts w:ascii="Times New Roman" w:eastAsia="Times New Roman" w:hAnsi="Times New Roman" w:cs="Times New Roman"/>
          <w:bCs/>
          <w:sz w:val="24"/>
          <w:szCs w:val="24"/>
          <w:lang w:eastAsia="hr-HR"/>
        </w:rPr>
        <w:t>a</w:t>
      </w:r>
      <w:r w:rsidRPr="00427215">
        <w:rPr>
          <w:rFonts w:ascii="Times New Roman" w:eastAsia="Times New Roman" w:hAnsi="Times New Roman" w:cs="Times New Roman"/>
          <w:bCs/>
          <w:sz w:val="24"/>
          <w:szCs w:val="24"/>
          <w:lang w:eastAsia="hr-HR"/>
        </w:rPr>
        <w:t xml:space="preserve"> osoba s invaliditetom i udrug</w:t>
      </w:r>
      <w:r>
        <w:rPr>
          <w:rFonts w:ascii="Times New Roman" w:eastAsia="Times New Roman" w:hAnsi="Times New Roman" w:cs="Times New Roman"/>
          <w:bCs/>
          <w:sz w:val="24"/>
          <w:szCs w:val="24"/>
          <w:lang w:eastAsia="hr-HR"/>
        </w:rPr>
        <w:t>a</w:t>
      </w:r>
      <w:r w:rsidRPr="00427215">
        <w:rPr>
          <w:rFonts w:ascii="Times New Roman" w:eastAsia="Times New Roman" w:hAnsi="Times New Roman" w:cs="Times New Roman"/>
          <w:bCs/>
          <w:sz w:val="24"/>
          <w:szCs w:val="24"/>
          <w:lang w:eastAsia="hr-HR"/>
        </w:rPr>
        <w:t xml:space="preserve"> koje djeluju u korist osoba s invaliditetom.</w:t>
      </w:r>
    </w:p>
    <w:p w14:paraId="022AAFE4" w14:textId="77777777" w:rsidR="00731C28" w:rsidRPr="00A418AE" w:rsidRDefault="00731C28" w:rsidP="00731C28">
      <w:pPr>
        <w:spacing w:after="0" w:line="240" w:lineRule="auto"/>
        <w:jc w:val="both"/>
        <w:rPr>
          <w:rFonts w:ascii="Times New Roman" w:hAnsi="Times New Roman" w:cs="Times New Roman"/>
          <w:sz w:val="10"/>
          <w:szCs w:val="10"/>
        </w:rPr>
      </w:pPr>
    </w:p>
    <w:p w14:paraId="3AAA65B1" w14:textId="77777777" w:rsidR="00731C28" w:rsidRPr="00335255" w:rsidRDefault="00731C28" w:rsidP="00731C28">
      <w:pPr>
        <w:pStyle w:val="Tekstkomentara"/>
        <w:jc w:val="both"/>
        <w:rPr>
          <w:bCs/>
          <w:sz w:val="24"/>
          <w:szCs w:val="24"/>
        </w:rPr>
      </w:pPr>
      <w:r w:rsidRPr="003859A3">
        <w:rPr>
          <w:bCs/>
          <w:sz w:val="24"/>
          <w:szCs w:val="24"/>
        </w:rPr>
        <w:t xml:space="preserve">Isto ministarstvo </w:t>
      </w:r>
      <w:r>
        <w:rPr>
          <w:bCs/>
          <w:sz w:val="24"/>
          <w:szCs w:val="24"/>
        </w:rPr>
        <w:t>k</w:t>
      </w:r>
      <w:r w:rsidRPr="003859A3">
        <w:rPr>
          <w:bCs/>
          <w:sz w:val="24"/>
          <w:szCs w:val="24"/>
        </w:rPr>
        <w:t>roz trogodišnje programe „Razvoj i širenje mreže socijalnih usluga koje pružaju udruge“ za razdoblje 2020. do 2023. godine,</w:t>
      </w:r>
      <w:r>
        <w:rPr>
          <w:bCs/>
          <w:sz w:val="24"/>
          <w:szCs w:val="24"/>
        </w:rPr>
        <w:t xml:space="preserve"> osigurava financijsku potporu </w:t>
      </w:r>
      <w:r w:rsidRPr="00335255">
        <w:rPr>
          <w:bCs/>
          <w:sz w:val="24"/>
          <w:szCs w:val="24"/>
        </w:rPr>
        <w:t>iznosu 30.270.000,00 kn za provedbu 162 programa.</w:t>
      </w:r>
    </w:p>
    <w:p w14:paraId="360C030E" w14:textId="77777777" w:rsidR="00731C28" w:rsidRPr="00A418AE" w:rsidRDefault="00731C28" w:rsidP="00731C28">
      <w:pPr>
        <w:spacing w:after="0" w:line="240" w:lineRule="auto"/>
        <w:jc w:val="both"/>
        <w:rPr>
          <w:rFonts w:ascii="Times New Roman" w:eastAsia="Times New Roman" w:hAnsi="Times New Roman" w:cs="Times New Roman"/>
          <w:bCs/>
          <w:sz w:val="10"/>
          <w:szCs w:val="10"/>
          <w:lang w:eastAsia="hr-HR"/>
        </w:rPr>
      </w:pPr>
    </w:p>
    <w:p w14:paraId="05DE1312" w14:textId="77777777" w:rsidR="00731C28" w:rsidRPr="00E04945" w:rsidRDefault="00731C28" w:rsidP="00731C28">
      <w:pPr>
        <w:spacing w:after="0" w:line="240" w:lineRule="auto"/>
        <w:jc w:val="both"/>
        <w:rPr>
          <w:rFonts w:ascii="Times New Roman" w:hAnsi="Times New Roman" w:cs="Times New Roman"/>
          <w:sz w:val="24"/>
          <w:szCs w:val="24"/>
        </w:rPr>
      </w:pPr>
      <w:r w:rsidRPr="00E04945">
        <w:rPr>
          <w:rFonts w:ascii="Times New Roman" w:hAnsi="Times New Roman" w:cs="Times New Roman"/>
          <w:sz w:val="24"/>
          <w:szCs w:val="24"/>
        </w:rPr>
        <w:t xml:space="preserve">Sredstva osigurana iz Europskog socijalnog fonda u okviru Operativnog programa Učinkoviti ljudski potencijali 2014.-2020., prate prioritete sustava socijalne skrbi u području pružanja socijalnih usluga (širenje mreže socijalnih usluga u zajednici, razvoj i unapređenje kvalitete </w:t>
      </w:r>
      <w:proofErr w:type="spellStart"/>
      <w:r w:rsidRPr="00E04945">
        <w:rPr>
          <w:rFonts w:ascii="Times New Roman" w:hAnsi="Times New Roman" w:cs="Times New Roman"/>
          <w:sz w:val="24"/>
          <w:szCs w:val="24"/>
        </w:rPr>
        <w:t>izvaninstitucijskih</w:t>
      </w:r>
      <w:proofErr w:type="spellEnd"/>
      <w:r w:rsidRPr="00E04945">
        <w:rPr>
          <w:rFonts w:ascii="Times New Roman" w:hAnsi="Times New Roman" w:cs="Times New Roman"/>
          <w:sz w:val="24"/>
          <w:szCs w:val="24"/>
        </w:rPr>
        <w:t xml:space="preserve"> socijalnih usluga kao podrška procesu deinstitucionalizacije, razvoj usluge osobne asistencije za osobe s invaliditetom, unapređenje sustava prevencije nasilja nad ženama i nasilja u obitelji, osiguravanje sustava podrške za žene žrtve nasilja i žrtve nasilja u obitelji (skloništa), podrška socijalnom uključivanju i zapošljavanju marginaliziranih skupina). U tu su svrhu osigurana sredstva u ukupnom iznosu od oko 1,85 milijardi kuna. Kroz Poziv Širenje mreže socijalnih usluga u zajednici – faza 1, (ESF) čija je ukupna vrijednost bila 110.150.000,00 kuna, pružanju socijalnih usluga u zajednici za skupine u nepovoljnom položaju bilo je namijenjeno 20.150.000,00 milijuna kuna.</w:t>
      </w:r>
    </w:p>
    <w:p w14:paraId="338E4AFE" w14:textId="77777777" w:rsidR="00731C28" w:rsidRPr="00E04945" w:rsidRDefault="00731C28" w:rsidP="00731C28">
      <w:pPr>
        <w:spacing w:after="0" w:line="240" w:lineRule="auto"/>
        <w:jc w:val="both"/>
        <w:rPr>
          <w:rFonts w:ascii="Times New Roman" w:eastAsia="Times New Roman" w:hAnsi="Times New Roman" w:cs="Times New Roman"/>
          <w:bCs/>
          <w:sz w:val="24"/>
          <w:szCs w:val="24"/>
          <w:lang w:eastAsia="hr-HR"/>
        </w:rPr>
      </w:pPr>
    </w:p>
    <w:p w14:paraId="11039252" w14:textId="0DA76F43" w:rsidR="00731C28" w:rsidRDefault="00731C28">
      <w:pPr>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br w:type="page"/>
      </w:r>
    </w:p>
    <w:p w14:paraId="553E911E" w14:textId="77777777" w:rsidR="00731C28" w:rsidRPr="00A73A03" w:rsidRDefault="00731C28" w:rsidP="00731C28">
      <w:pPr>
        <w:spacing w:after="0" w:line="240" w:lineRule="auto"/>
        <w:jc w:val="both"/>
        <w:rPr>
          <w:rFonts w:ascii="Times New Roman" w:hAnsi="Times New Roman" w:cs="Times New Roman"/>
          <w:b/>
          <w:bCs/>
          <w:sz w:val="24"/>
          <w:szCs w:val="24"/>
          <w:u w:val="single"/>
        </w:rPr>
      </w:pPr>
      <w:r w:rsidRPr="00A73A03">
        <w:rPr>
          <w:rFonts w:ascii="Times New Roman" w:hAnsi="Times New Roman" w:cs="Times New Roman"/>
          <w:b/>
          <w:bCs/>
          <w:sz w:val="24"/>
          <w:szCs w:val="24"/>
          <w:u w:val="single"/>
        </w:rPr>
        <w:lastRenderedPageBreak/>
        <w:t>Prilog 28</w:t>
      </w:r>
    </w:p>
    <w:p w14:paraId="5C520EF4" w14:textId="77777777" w:rsidR="00731C28" w:rsidRDefault="00731C28" w:rsidP="00731C28">
      <w:pPr>
        <w:spacing w:after="0" w:line="240" w:lineRule="auto"/>
        <w:jc w:val="both"/>
        <w:rPr>
          <w:rFonts w:ascii="Times New Roman" w:hAnsi="Times New Roman" w:cs="Times New Roman"/>
          <w:sz w:val="24"/>
          <w:szCs w:val="24"/>
        </w:rPr>
      </w:pPr>
    </w:p>
    <w:p w14:paraId="554F77D2" w14:textId="77777777" w:rsidR="00731C28" w:rsidRDefault="00731C28" w:rsidP="00731C28">
      <w:pPr>
        <w:spacing w:after="0" w:line="240" w:lineRule="auto"/>
        <w:jc w:val="both"/>
        <w:rPr>
          <w:rFonts w:ascii="Times New Roman" w:hAnsi="Times New Roman" w:cs="Times New Roman"/>
          <w:sz w:val="24"/>
          <w:szCs w:val="24"/>
        </w:rPr>
      </w:pPr>
    </w:p>
    <w:p w14:paraId="64B4893B" w14:textId="77777777" w:rsidR="00731C28" w:rsidRPr="00A73A03" w:rsidRDefault="00731C28" w:rsidP="00731C28">
      <w:pPr>
        <w:spacing w:after="0" w:line="240" w:lineRule="auto"/>
        <w:jc w:val="center"/>
        <w:rPr>
          <w:rFonts w:ascii="Times New Roman" w:hAnsi="Times New Roman" w:cs="Times New Roman"/>
          <w:b/>
          <w:bCs/>
          <w:sz w:val="24"/>
          <w:szCs w:val="24"/>
        </w:rPr>
      </w:pPr>
      <w:r w:rsidRPr="00A73A03">
        <w:rPr>
          <w:rFonts w:ascii="Times New Roman" w:hAnsi="Times New Roman" w:cs="Times New Roman"/>
          <w:b/>
          <w:bCs/>
          <w:sz w:val="24"/>
          <w:szCs w:val="24"/>
        </w:rPr>
        <w:t>DODJELA SREDSTAVA FONDA ZA POTICANJE PLURALIZMA I RAZNOVRSNOSTI ELEKTRONIČKIH MEDIJA</w:t>
      </w:r>
    </w:p>
    <w:p w14:paraId="7D018362" w14:textId="77777777" w:rsidR="00731C28" w:rsidRDefault="00731C28" w:rsidP="00731C28">
      <w:pPr>
        <w:spacing w:after="0" w:line="240" w:lineRule="auto"/>
        <w:jc w:val="both"/>
        <w:rPr>
          <w:rFonts w:ascii="Times New Roman" w:hAnsi="Times New Roman" w:cs="Times New Roman"/>
          <w:sz w:val="24"/>
          <w:szCs w:val="24"/>
        </w:rPr>
      </w:pPr>
    </w:p>
    <w:p w14:paraId="3E1A3678" w14:textId="77777777" w:rsidR="00731C28" w:rsidRDefault="00731C28" w:rsidP="00731C28">
      <w:pPr>
        <w:spacing w:after="0" w:line="240" w:lineRule="auto"/>
        <w:jc w:val="both"/>
        <w:rPr>
          <w:rFonts w:ascii="Times New Roman" w:hAnsi="Times New Roman" w:cs="Times New Roman"/>
          <w:sz w:val="24"/>
          <w:szCs w:val="24"/>
        </w:rPr>
      </w:pPr>
    </w:p>
    <w:p w14:paraId="0EA87AC7" w14:textId="77777777" w:rsidR="00731C28" w:rsidRDefault="00731C28" w:rsidP="00731C28">
      <w:pPr>
        <w:spacing w:after="0" w:line="240" w:lineRule="auto"/>
        <w:jc w:val="both"/>
        <w:rPr>
          <w:rFonts w:ascii="Times New Roman" w:hAnsi="Times New Roman" w:cs="Times New Roman"/>
          <w:sz w:val="24"/>
          <w:szCs w:val="24"/>
        </w:rPr>
      </w:pPr>
      <w:r w:rsidRPr="00165D3A">
        <w:rPr>
          <w:rFonts w:ascii="Times New Roman" w:hAnsi="Times New Roman" w:cs="Times New Roman"/>
          <w:sz w:val="24"/>
          <w:szCs w:val="24"/>
        </w:rPr>
        <w:t xml:space="preserve">Agencija za elektroničke medije </w:t>
      </w:r>
      <w:r>
        <w:rPr>
          <w:rFonts w:ascii="Times New Roman" w:hAnsi="Times New Roman" w:cs="Times New Roman"/>
          <w:sz w:val="24"/>
          <w:szCs w:val="24"/>
        </w:rPr>
        <w:t>s</w:t>
      </w:r>
      <w:r w:rsidRPr="00165D3A">
        <w:rPr>
          <w:rFonts w:ascii="Times New Roman" w:hAnsi="Times New Roman" w:cs="Times New Roman"/>
          <w:sz w:val="24"/>
          <w:szCs w:val="24"/>
        </w:rPr>
        <w:t>ukladno Zakon</w:t>
      </w:r>
      <w:r>
        <w:rPr>
          <w:rFonts w:ascii="Times New Roman" w:hAnsi="Times New Roman" w:cs="Times New Roman"/>
          <w:sz w:val="24"/>
          <w:szCs w:val="24"/>
        </w:rPr>
        <w:t>u</w:t>
      </w:r>
      <w:r w:rsidRPr="00165D3A">
        <w:rPr>
          <w:rFonts w:ascii="Times New Roman" w:hAnsi="Times New Roman" w:cs="Times New Roman"/>
          <w:sz w:val="24"/>
          <w:szCs w:val="24"/>
        </w:rPr>
        <w:t xml:space="preserve"> o elektroničkim medijima te Pravilniku o Fondu za poticanje pluralizma i raznovrsnosti elektroničkih medija, provodi postupak dodjele sredstava Fonda nakladni</w:t>
      </w:r>
      <w:r>
        <w:rPr>
          <w:rFonts w:ascii="Times New Roman" w:hAnsi="Times New Roman" w:cs="Times New Roman"/>
          <w:sz w:val="24"/>
          <w:szCs w:val="24"/>
        </w:rPr>
        <w:t>cima</w:t>
      </w:r>
      <w:r w:rsidRPr="00165D3A">
        <w:rPr>
          <w:rFonts w:ascii="Times New Roman" w:hAnsi="Times New Roman" w:cs="Times New Roman"/>
          <w:sz w:val="24"/>
          <w:szCs w:val="24"/>
        </w:rPr>
        <w:t xml:space="preserve"> televizije i/ili radija na lokalnoj i regionalnoj razini, neprofitni</w:t>
      </w:r>
      <w:r>
        <w:rPr>
          <w:rFonts w:ascii="Times New Roman" w:hAnsi="Times New Roman" w:cs="Times New Roman"/>
          <w:sz w:val="24"/>
          <w:szCs w:val="24"/>
        </w:rPr>
        <w:t>m</w:t>
      </w:r>
      <w:r w:rsidRPr="00165D3A">
        <w:rPr>
          <w:rFonts w:ascii="Times New Roman" w:hAnsi="Times New Roman" w:cs="Times New Roman"/>
          <w:sz w:val="24"/>
          <w:szCs w:val="24"/>
        </w:rPr>
        <w:t xml:space="preserve"> nakladni</w:t>
      </w:r>
      <w:r>
        <w:rPr>
          <w:rFonts w:ascii="Times New Roman" w:hAnsi="Times New Roman" w:cs="Times New Roman"/>
          <w:sz w:val="24"/>
          <w:szCs w:val="24"/>
        </w:rPr>
        <w:t>cima</w:t>
      </w:r>
      <w:r w:rsidRPr="00165D3A">
        <w:rPr>
          <w:rFonts w:ascii="Times New Roman" w:hAnsi="Times New Roman" w:cs="Times New Roman"/>
          <w:sz w:val="24"/>
          <w:szCs w:val="24"/>
        </w:rPr>
        <w:t xml:space="preserve"> televizije i/ili radija, neprofitni</w:t>
      </w:r>
      <w:r>
        <w:rPr>
          <w:rFonts w:ascii="Times New Roman" w:hAnsi="Times New Roman" w:cs="Times New Roman"/>
          <w:sz w:val="24"/>
          <w:szCs w:val="24"/>
        </w:rPr>
        <w:t>m</w:t>
      </w:r>
      <w:r w:rsidRPr="00165D3A">
        <w:rPr>
          <w:rFonts w:ascii="Times New Roman" w:hAnsi="Times New Roman" w:cs="Times New Roman"/>
          <w:sz w:val="24"/>
          <w:szCs w:val="24"/>
        </w:rPr>
        <w:t xml:space="preserve"> pružatelj</w:t>
      </w:r>
      <w:r>
        <w:rPr>
          <w:rFonts w:ascii="Times New Roman" w:hAnsi="Times New Roman" w:cs="Times New Roman"/>
          <w:sz w:val="24"/>
          <w:szCs w:val="24"/>
        </w:rPr>
        <w:t>im</w:t>
      </w:r>
      <w:r w:rsidRPr="00165D3A">
        <w:rPr>
          <w:rFonts w:ascii="Times New Roman" w:hAnsi="Times New Roman" w:cs="Times New Roman"/>
          <w:sz w:val="24"/>
          <w:szCs w:val="24"/>
        </w:rPr>
        <w:t>a medijskih usluga, neprofitni</w:t>
      </w:r>
      <w:r>
        <w:rPr>
          <w:rFonts w:ascii="Times New Roman" w:hAnsi="Times New Roman" w:cs="Times New Roman"/>
          <w:sz w:val="24"/>
          <w:szCs w:val="24"/>
        </w:rPr>
        <w:t>m</w:t>
      </w:r>
      <w:r w:rsidRPr="00165D3A">
        <w:rPr>
          <w:rFonts w:ascii="Times New Roman" w:hAnsi="Times New Roman" w:cs="Times New Roman"/>
          <w:sz w:val="24"/>
          <w:szCs w:val="24"/>
        </w:rPr>
        <w:t xml:space="preserve"> pružatelj</w:t>
      </w:r>
      <w:r>
        <w:rPr>
          <w:rFonts w:ascii="Times New Roman" w:hAnsi="Times New Roman" w:cs="Times New Roman"/>
          <w:sz w:val="24"/>
          <w:szCs w:val="24"/>
        </w:rPr>
        <w:t>im</w:t>
      </w:r>
      <w:r w:rsidRPr="00165D3A">
        <w:rPr>
          <w:rFonts w:ascii="Times New Roman" w:hAnsi="Times New Roman" w:cs="Times New Roman"/>
          <w:sz w:val="24"/>
          <w:szCs w:val="24"/>
        </w:rPr>
        <w:t>a elektroničkih publikacija te neprofitni</w:t>
      </w:r>
      <w:r>
        <w:rPr>
          <w:rFonts w:ascii="Times New Roman" w:hAnsi="Times New Roman" w:cs="Times New Roman"/>
          <w:sz w:val="24"/>
          <w:szCs w:val="24"/>
        </w:rPr>
        <w:t>m</w:t>
      </w:r>
      <w:r w:rsidRPr="00165D3A">
        <w:rPr>
          <w:rFonts w:ascii="Times New Roman" w:hAnsi="Times New Roman" w:cs="Times New Roman"/>
          <w:sz w:val="24"/>
          <w:szCs w:val="24"/>
        </w:rPr>
        <w:t xml:space="preserve"> proizvođača audiovizualnih i/ili radijskih programa. </w:t>
      </w:r>
    </w:p>
    <w:p w14:paraId="707AEE52" w14:textId="77777777" w:rsidR="00731C28" w:rsidRDefault="00731C28" w:rsidP="00731C28">
      <w:pPr>
        <w:spacing w:after="0" w:line="240" w:lineRule="auto"/>
        <w:jc w:val="both"/>
        <w:rPr>
          <w:rFonts w:ascii="Times New Roman" w:hAnsi="Times New Roman" w:cs="Times New Roman"/>
          <w:sz w:val="24"/>
          <w:szCs w:val="24"/>
        </w:rPr>
      </w:pPr>
      <w:r w:rsidRPr="00165D3A">
        <w:rPr>
          <w:rFonts w:ascii="Times New Roman" w:hAnsi="Times New Roman" w:cs="Times New Roman"/>
          <w:sz w:val="24"/>
          <w:szCs w:val="24"/>
        </w:rPr>
        <w:t>Sredstva se dodjeljuju</w:t>
      </w:r>
      <w:r>
        <w:rPr>
          <w:rFonts w:ascii="Times New Roman" w:hAnsi="Times New Roman" w:cs="Times New Roman"/>
          <w:b/>
          <w:bCs/>
          <w:sz w:val="24"/>
          <w:szCs w:val="24"/>
        </w:rPr>
        <w:t xml:space="preserve"> </w:t>
      </w:r>
      <w:r w:rsidRPr="00165D3A">
        <w:rPr>
          <w:rFonts w:ascii="Times New Roman" w:hAnsi="Times New Roman" w:cs="Times New Roman"/>
          <w:sz w:val="24"/>
          <w:szCs w:val="24"/>
        </w:rPr>
        <w:t xml:space="preserve">za proizvodnju i objavljivanje programa od javnog interesa, između ostalog i </w:t>
      </w:r>
      <w:r w:rsidRPr="00165D3A">
        <w:rPr>
          <w:rFonts w:ascii="Times New Roman" w:hAnsi="Times New Roman" w:cs="Times New Roman"/>
          <w:sz w:val="24"/>
          <w:szCs w:val="24"/>
          <w:lang w:eastAsia="hr-HR"/>
        </w:rPr>
        <w:t xml:space="preserve">za kategoriju programa </w:t>
      </w:r>
      <w:r w:rsidRPr="00165D3A">
        <w:rPr>
          <w:rFonts w:ascii="Times New Roman" w:hAnsi="Times New Roman" w:cs="Times New Roman"/>
          <w:i/>
          <w:sz w:val="24"/>
          <w:szCs w:val="24"/>
        </w:rPr>
        <w:t>Podizanje svijesti javnosti o sposobnostima i doprinosu osoba s invaliditetom, kao i promicanje i poštovanje njihovih prava i dostojanstva, uključujući borbu protiv stereotipa, predrasuda i štetnih postupaka prema osobama s invaliditetom</w:t>
      </w:r>
      <w:r w:rsidRPr="00165D3A">
        <w:rPr>
          <w:rFonts w:ascii="Times New Roman" w:hAnsi="Times New Roman" w:cs="Times New Roman"/>
          <w:sz w:val="24"/>
          <w:szCs w:val="24"/>
        </w:rPr>
        <w:t>.</w:t>
      </w:r>
      <w:r>
        <w:rPr>
          <w:rFonts w:ascii="Times New Roman" w:hAnsi="Times New Roman" w:cs="Times New Roman"/>
          <w:sz w:val="24"/>
          <w:szCs w:val="24"/>
        </w:rPr>
        <w:t xml:space="preserve"> </w:t>
      </w:r>
    </w:p>
    <w:p w14:paraId="3715AB50" w14:textId="77777777" w:rsidR="00731C28" w:rsidRPr="00165D3A" w:rsidRDefault="00731C28" w:rsidP="00731C28">
      <w:pPr>
        <w:spacing w:after="0" w:line="240" w:lineRule="auto"/>
        <w:jc w:val="both"/>
        <w:rPr>
          <w:rFonts w:ascii="Times New Roman" w:hAnsi="Times New Roman"/>
          <w:sz w:val="24"/>
          <w:szCs w:val="24"/>
        </w:rPr>
      </w:pPr>
      <w:r>
        <w:rPr>
          <w:rFonts w:ascii="Times New Roman" w:hAnsi="Times New Roman"/>
          <w:sz w:val="24"/>
          <w:szCs w:val="24"/>
        </w:rPr>
        <w:t>Dodijeljena s</w:t>
      </w:r>
      <w:r w:rsidRPr="00165D3A">
        <w:rPr>
          <w:rFonts w:ascii="Times New Roman" w:hAnsi="Times New Roman"/>
          <w:sz w:val="24"/>
          <w:szCs w:val="24"/>
        </w:rPr>
        <w:t>redstva ovise o brojnosti ponuđenih sadržaja i njihovoj kvaliteti te tome u kojoj mjeri sadržaji udovoljavaju propisanim kriterijima:</w:t>
      </w:r>
    </w:p>
    <w:p w14:paraId="5559E8B7" w14:textId="77777777" w:rsidR="00731C28" w:rsidRPr="008D3C6A" w:rsidRDefault="00731C28" w:rsidP="00FB05F1">
      <w:pPr>
        <w:pStyle w:val="Odlomakpopisa"/>
        <w:numPr>
          <w:ilvl w:val="0"/>
          <w:numId w:val="26"/>
        </w:numPr>
        <w:spacing w:after="0" w:line="240" w:lineRule="auto"/>
        <w:jc w:val="both"/>
        <w:rPr>
          <w:rFonts w:ascii="Times New Roman" w:hAnsi="Times New Roman"/>
          <w:sz w:val="24"/>
          <w:szCs w:val="24"/>
        </w:rPr>
      </w:pPr>
      <w:r w:rsidRPr="008D3C6A">
        <w:rPr>
          <w:rFonts w:ascii="Times New Roman" w:hAnsi="Times New Roman"/>
          <w:sz w:val="24"/>
          <w:szCs w:val="24"/>
        </w:rPr>
        <w:t>značenje audiovizualnog i/ili radijskog programa, odnosno sadržaja elektroničke publikacije za ostvarivanje ciljeva iz Pravilnika</w:t>
      </w:r>
    </w:p>
    <w:p w14:paraId="75418759" w14:textId="77777777" w:rsidR="00731C28" w:rsidRPr="008D3C6A" w:rsidRDefault="00731C28" w:rsidP="00FB05F1">
      <w:pPr>
        <w:pStyle w:val="Odlomakpopisa"/>
        <w:numPr>
          <w:ilvl w:val="0"/>
          <w:numId w:val="26"/>
        </w:numPr>
        <w:spacing w:after="0" w:line="240" w:lineRule="auto"/>
        <w:jc w:val="both"/>
        <w:rPr>
          <w:rFonts w:ascii="Times New Roman" w:hAnsi="Times New Roman"/>
          <w:sz w:val="24"/>
          <w:szCs w:val="24"/>
        </w:rPr>
      </w:pPr>
      <w:r w:rsidRPr="008D3C6A">
        <w:rPr>
          <w:rFonts w:ascii="Times New Roman" w:hAnsi="Times New Roman"/>
          <w:sz w:val="24"/>
          <w:szCs w:val="24"/>
        </w:rPr>
        <w:t>kvaliteta i sadržajna inovativnost ponuđenoga audiovizualnog i/ili radijskog programa, odnosno sadržaja elektroničke publikacije</w:t>
      </w:r>
    </w:p>
    <w:p w14:paraId="6DF25D7C" w14:textId="77777777" w:rsidR="00731C28" w:rsidRPr="008D3C6A" w:rsidRDefault="00731C28" w:rsidP="00FB05F1">
      <w:pPr>
        <w:pStyle w:val="Odlomakpopisa"/>
        <w:numPr>
          <w:ilvl w:val="0"/>
          <w:numId w:val="26"/>
        </w:numPr>
        <w:spacing w:after="0" w:line="240" w:lineRule="auto"/>
        <w:jc w:val="both"/>
        <w:rPr>
          <w:rFonts w:ascii="Times New Roman" w:hAnsi="Times New Roman"/>
          <w:sz w:val="24"/>
          <w:szCs w:val="24"/>
        </w:rPr>
      </w:pPr>
      <w:r w:rsidRPr="008D3C6A">
        <w:rPr>
          <w:rFonts w:ascii="Times New Roman" w:hAnsi="Times New Roman"/>
          <w:sz w:val="24"/>
          <w:szCs w:val="24"/>
        </w:rPr>
        <w:t>interes za opći, odnosno lokalni ili regionalni kulturni razvitak</w:t>
      </w:r>
    </w:p>
    <w:p w14:paraId="05F95D81" w14:textId="77777777" w:rsidR="00731C28" w:rsidRPr="008D3C6A" w:rsidRDefault="00731C28" w:rsidP="00FB05F1">
      <w:pPr>
        <w:pStyle w:val="Odlomakpopisa"/>
        <w:numPr>
          <w:ilvl w:val="0"/>
          <w:numId w:val="26"/>
        </w:numPr>
        <w:spacing w:after="0" w:line="240" w:lineRule="auto"/>
        <w:jc w:val="both"/>
        <w:rPr>
          <w:rFonts w:ascii="Times New Roman" w:hAnsi="Times New Roman"/>
          <w:sz w:val="24"/>
          <w:szCs w:val="24"/>
        </w:rPr>
      </w:pPr>
      <w:r w:rsidRPr="008D3C6A">
        <w:rPr>
          <w:rFonts w:ascii="Times New Roman" w:hAnsi="Times New Roman"/>
          <w:bCs/>
          <w:sz w:val="24"/>
          <w:szCs w:val="24"/>
        </w:rPr>
        <w:t>dostupnost programa i sadržaja osobama s invaliditetom</w:t>
      </w:r>
      <w:r w:rsidRPr="008D3C6A">
        <w:rPr>
          <w:rFonts w:ascii="Times New Roman" w:hAnsi="Times New Roman"/>
          <w:sz w:val="24"/>
          <w:szCs w:val="24"/>
        </w:rPr>
        <w:t>.</w:t>
      </w:r>
    </w:p>
    <w:p w14:paraId="4A84D04A" w14:textId="77777777" w:rsidR="00731C28" w:rsidRDefault="00731C28" w:rsidP="00731C28">
      <w:pPr>
        <w:spacing w:after="0" w:line="240" w:lineRule="auto"/>
        <w:jc w:val="both"/>
        <w:rPr>
          <w:rFonts w:ascii="Times New Roman" w:hAnsi="Times New Roman" w:cs="Times New Roman"/>
          <w:sz w:val="24"/>
          <w:szCs w:val="24"/>
        </w:rPr>
      </w:pPr>
    </w:p>
    <w:p w14:paraId="64378A16" w14:textId="77777777" w:rsidR="00731C28" w:rsidRDefault="00731C28" w:rsidP="00731C28">
      <w:pPr>
        <w:spacing w:after="0" w:line="240" w:lineRule="auto"/>
        <w:jc w:val="both"/>
        <w:rPr>
          <w:rFonts w:ascii="Times New Roman" w:hAnsi="Times New Roman" w:cs="Times New Roman"/>
          <w:sz w:val="24"/>
          <w:szCs w:val="24"/>
        </w:rPr>
      </w:pPr>
      <w:r w:rsidRPr="00165D3A">
        <w:rPr>
          <w:rFonts w:ascii="Times New Roman" w:hAnsi="Times New Roman" w:cs="Times New Roman"/>
          <w:sz w:val="24"/>
          <w:szCs w:val="24"/>
        </w:rPr>
        <w:t xml:space="preserve">Za kategoriju programa </w:t>
      </w:r>
      <w:r w:rsidRPr="00165D3A">
        <w:rPr>
          <w:rFonts w:ascii="Times New Roman" w:hAnsi="Times New Roman" w:cs="Times New Roman"/>
          <w:i/>
          <w:sz w:val="24"/>
          <w:szCs w:val="24"/>
        </w:rPr>
        <w:t>Podizanje svijesti javnosti o sposobnostima i doprinosu osoba s invaliditetom, kao i promicanje i poštovanje njihovih prava i dostojanstva, uključujući borbu protiv stereotipa, predrasuda i štetnih postupaka prema osobama s invaliditetom,</w:t>
      </w:r>
      <w:r w:rsidRPr="00165D3A">
        <w:rPr>
          <w:rFonts w:ascii="Times New Roman" w:hAnsi="Times New Roman" w:cs="Times New Roman"/>
          <w:sz w:val="24"/>
          <w:szCs w:val="24"/>
        </w:rPr>
        <w:t xml:space="preserve"> iz sredstava Fonda</w:t>
      </w:r>
      <w:r>
        <w:rPr>
          <w:rFonts w:ascii="Times New Roman" w:hAnsi="Times New Roman" w:cs="Times New Roman"/>
          <w:sz w:val="24"/>
          <w:szCs w:val="24"/>
        </w:rPr>
        <w:t xml:space="preserve">, putem natječaja </w:t>
      </w:r>
      <w:r w:rsidRPr="00165D3A">
        <w:rPr>
          <w:rFonts w:ascii="Times New Roman" w:hAnsi="Times New Roman" w:cs="Times New Roman"/>
          <w:sz w:val="24"/>
          <w:szCs w:val="24"/>
        </w:rPr>
        <w:t>dodijeljeno je ukupno</w:t>
      </w:r>
      <w:r>
        <w:rPr>
          <w:rFonts w:ascii="Times New Roman" w:hAnsi="Times New Roman" w:cs="Times New Roman"/>
          <w:sz w:val="24"/>
          <w:szCs w:val="24"/>
        </w:rPr>
        <w:t>:</w:t>
      </w:r>
    </w:p>
    <w:p w14:paraId="41B95AB7" w14:textId="77777777" w:rsidR="00731C28" w:rsidRDefault="00731C28" w:rsidP="00FB05F1">
      <w:pPr>
        <w:pStyle w:val="Odlomakpopisa"/>
        <w:numPr>
          <w:ilvl w:val="0"/>
          <w:numId w:val="26"/>
        </w:numPr>
        <w:spacing w:after="0" w:line="240" w:lineRule="auto"/>
        <w:jc w:val="both"/>
        <w:rPr>
          <w:rFonts w:ascii="Times New Roman" w:hAnsi="Times New Roman" w:cs="Times New Roman"/>
          <w:sz w:val="24"/>
          <w:szCs w:val="24"/>
        </w:rPr>
      </w:pPr>
      <w:r w:rsidRPr="008D3C6A">
        <w:rPr>
          <w:rFonts w:ascii="Times New Roman" w:hAnsi="Times New Roman" w:cs="Times New Roman"/>
          <w:sz w:val="24"/>
          <w:szCs w:val="24"/>
        </w:rPr>
        <w:t xml:space="preserve">726.203,40 kuna za 2015. godinu </w:t>
      </w:r>
    </w:p>
    <w:p w14:paraId="7ED9E775" w14:textId="77777777" w:rsidR="00731C28" w:rsidRDefault="00731C28" w:rsidP="00FB05F1">
      <w:pPr>
        <w:pStyle w:val="Odlomakpopisa"/>
        <w:numPr>
          <w:ilvl w:val="0"/>
          <w:numId w:val="26"/>
        </w:numPr>
        <w:spacing w:after="0" w:line="240" w:lineRule="auto"/>
        <w:jc w:val="both"/>
        <w:rPr>
          <w:rFonts w:ascii="Times New Roman" w:hAnsi="Times New Roman" w:cs="Times New Roman"/>
          <w:sz w:val="24"/>
          <w:szCs w:val="24"/>
        </w:rPr>
      </w:pPr>
      <w:r w:rsidRPr="008D3C6A">
        <w:rPr>
          <w:rFonts w:ascii="Times New Roman" w:hAnsi="Times New Roman" w:cs="Times New Roman"/>
          <w:sz w:val="24"/>
          <w:szCs w:val="24"/>
        </w:rPr>
        <w:t>1.473.213,90 kuna za 2016. godinu</w:t>
      </w:r>
    </w:p>
    <w:p w14:paraId="08917090" w14:textId="77777777" w:rsidR="00731C28" w:rsidRDefault="00731C28" w:rsidP="00FB05F1">
      <w:pPr>
        <w:pStyle w:val="Odlomakpopisa"/>
        <w:numPr>
          <w:ilvl w:val="0"/>
          <w:numId w:val="26"/>
        </w:numPr>
        <w:spacing w:after="0" w:line="240" w:lineRule="auto"/>
        <w:jc w:val="both"/>
        <w:rPr>
          <w:rFonts w:ascii="Times New Roman" w:hAnsi="Times New Roman" w:cs="Times New Roman"/>
          <w:sz w:val="24"/>
          <w:szCs w:val="24"/>
        </w:rPr>
      </w:pPr>
      <w:r w:rsidRPr="008D3C6A">
        <w:rPr>
          <w:rFonts w:ascii="Times New Roman" w:hAnsi="Times New Roman" w:cs="Times New Roman"/>
          <w:sz w:val="24"/>
          <w:szCs w:val="24"/>
        </w:rPr>
        <w:t>1.274.164,88 kuna za 2017. godinu</w:t>
      </w:r>
    </w:p>
    <w:p w14:paraId="4E97FDEF" w14:textId="77777777" w:rsidR="00731C28" w:rsidRDefault="00731C28" w:rsidP="00FB05F1">
      <w:pPr>
        <w:pStyle w:val="Odlomakpopisa"/>
        <w:numPr>
          <w:ilvl w:val="0"/>
          <w:numId w:val="26"/>
        </w:numPr>
        <w:spacing w:after="0" w:line="240" w:lineRule="auto"/>
        <w:jc w:val="both"/>
        <w:rPr>
          <w:rFonts w:ascii="Times New Roman" w:hAnsi="Times New Roman" w:cs="Times New Roman"/>
          <w:sz w:val="24"/>
          <w:szCs w:val="24"/>
        </w:rPr>
      </w:pPr>
      <w:r w:rsidRPr="008D3C6A">
        <w:rPr>
          <w:rFonts w:ascii="Times New Roman" w:hAnsi="Times New Roman" w:cs="Times New Roman"/>
          <w:sz w:val="24"/>
          <w:szCs w:val="24"/>
        </w:rPr>
        <w:t>1.253.364,74 kuna za 2018. godinu</w:t>
      </w:r>
    </w:p>
    <w:p w14:paraId="37F58773" w14:textId="77777777" w:rsidR="00731C28" w:rsidRDefault="00731C28" w:rsidP="00FB05F1">
      <w:pPr>
        <w:pStyle w:val="Odlomakpopisa"/>
        <w:numPr>
          <w:ilvl w:val="0"/>
          <w:numId w:val="26"/>
        </w:numPr>
        <w:spacing w:after="0" w:line="240" w:lineRule="auto"/>
        <w:jc w:val="both"/>
        <w:rPr>
          <w:rFonts w:ascii="Times New Roman" w:hAnsi="Times New Roman" w:cs="Times New Roman"/>
          <w:sz w:val="24"/>
          <w:szCs w:val="24"/>
        </w:rPr>
      </w:pPr>
      <w:r w:rsidRPr="008D3C6A">
        <w:rPr>
          <w:rFonts w:ascii="Times New Roman" w:hAnsi="Times New Roman" w:cs="Times New Roman"/>
          <w:sz w:val="24"/>
          <w:szCs w:val="24"/>
        </w:rPr>
        <w:t xml:space="preserve">1.226.364,54 kuna za 2019. godinu te </w:t>
      </w:r>
    </w:p>
    <w:p w14:paraId="615A2782" w14:textId="77777777" w:rsidR="00731C28" w:rsidRPr="008D3C6A" w:rsidRDefault="00731C28" w:rsidP="00FB05F1">
      <w:pPr>
        <w:pStyle w:val="Odlomakpopisa"/>
        <w:numPr>
          <w:ilvl w:val="0"/>
          <w:numId w:val="26"/>
        </w:numPr>
        <w:spacing w:after="0" w:line="240" w:lineRule="auto"/>
        <w:jc w:val="both"/>
        <w:rPr>
          <w:rFonts w:ascii="Times New Roman" w:hAnsi="Times New Roman" w:cs="Times New Roman"/>
          <w:sz w:val="24"/>
          <w:szCs w:val="24"/>
        </w:rPr>
      </w:pPr>
      <w:r w:rsidRPr="008D3C6A">
        <w:rPr>
          <w:rFonts w:ascii="Times New Roman" w:hAnsi="Times New Roman" w:cs="Times New Roman"/>
          <w:sz w:val="24"/>
          <w:szCs w:val="24"/>
        </w:rPr>
        <w:t>1.200.913,93 kuna za 2020. godinu.</w:t>
      </w:r>
    </w:p>
    <w:p w14:paraId="5AAA932C" w14:textId="77777777" w:rsidR="00731C28" w:rsidRDefault="00731C28" w:rsidP="00731C28"/>
    <w:p w14:paraId="6B641708" w14:textId="3B68CB41" w:rsidR="00731C28" w:rsidRDefault="00731C28">
      <w:pPr>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br w:type="page"/>
      </w:r>
    </w:p>
    <w:p w14:paraId="2FAE53B2" w14:textId="77777777" w:rsidR="00731C28" w:rsidRPr="000A12EC" w:rsidRDefault="00731C28" w:rsidP="00731C28">
      <w:pPr>
        <w:spacing w:after="0" w:line="240" w:lineRule="auto"/>
        <w:rPr>
          <w:rFonts w:ascii="Times New Roman" w:hAnsi="Times New Roman" w:cs="Times New Roman"/>
          <w:b/>
          <w:bCs/>
          <w:sz w:val="24"/>
          <w:szCs w:val="24"/>
          <w:u w:val="single"/>
        </w:rPr>
      </w:pPr>
      <w:r w:rsidRPr="000A12EC">
        <w:rPr>
          <w:rFonts w:ascii="Times New Roman" w:hAnsi="Times New Roman" w:cs="Times New Roman"/>
          <w:b/>
          <w:bCs/>
          <w:sz w:val="24"/>
          <w:szCs w:val="24"/>
          <w:u w:val="single"/>
        </w:rPr>
        <w:lastRenderedPageBreak/>
        <w:t>Prilog 2</w:t>
      </w:r>
      <w:r>
        <w:rPr>
          <w:rFonts w:ascii="Times New Roman" w:hAnsi="Times New Roman" w:cs="Times New Roman"/>
          <w:b/>
          <w:bCs/>
          <w:sz w:val="24"/>
          <w:szCs w:val="24"/>
          <w:u w:val="single"/>
        </w:rPr>
        <w:t>9</w:t>
      </w:r>
    </w:p>
    <w:p w14:paraId="4DCD900E" w14:textId="77777777" w:rsidR="00731C28" w:rsidRDefault="00731C28" w:rsidP="00731C28">
      <w:pPr>
        <w:spacing w:after="0" w:line="240" w:lineRule="auto"/>
        <w:rPr>
          <w:rFonts w:ascii="Times New Roman" w:hAnsi="Times New Roman" w:cs="Times New Roman"/>
          <w:sz w:val="24"/>
          <w:szCs w:val="24"/>
        </w:rPr>
      </w:pPr>
    </w:p>
    <w:p w14:paraId="621C525C" w14:textId="77777777" w:rsidR="00731C28" w:rsidRDefault="00731C28" w:rsidP="00731C28">
      <w:pPr>
        <w:spacing w:after="0" w:line="240" w:lineRule="auto"/>
        <w:rPr>
          <w:rFonts w:ascii="Times New Roman" w:hAnsi="Times New Roman" w:cs="Times New Roman"/>
          <w:sz w:val="24"/>
          <w:szCs w:val="24"/>
        </w:rPr>
      </w:pPr>
    </w:p>
    <w:p w14:paraId="73907520" w14:textId="77777777" w:rsidR="00731C28" w:rsidRPr="000A12EC" w:rsidRDefault="00731C28" w:rsidP="00731C28">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P</w:t>
      </w:r>
      <w:r w:rsidRPr="000A12EC">
        <w:rPr>
          <w:rFonts w:ascii="Times New Roman" w:hAnsi="Times New Roman" w:cs="Times New Roman"/>
          <w:b/>
          <w:bCs/>
          <w:sz w:val="24"/>
          <w:szCs w:val="24"/>
        </w:rPr>
        <w:t>RILAGODB</w:t>
      </w:r>
      <w:r>
        <w:rPr>
          <w:rFonts w:ascii="Times New Roman" w:hAnsi="Times New Roman" w:cs="Times New Roman"/>
          <w:b/>
          <w:bCs/>
          <w:sz w:val="24"/>
          <w:szCs w:val="24"/>
        </w:rPr>
        <w:t>A</w:t>
      </w:r>
      <w:r w:rsidRPr="000A12EC">
        <w:rPr>
          <w:rFonts w:ascii="Times New Roman" w:hAnsi="Times New Roman" w:cs="Times New Roman"/>
          <w:b/>
          <w:bCs/>
          <w:sz w:val="24"/>
          <w:szCs w:val="24"/>
        </w:rPr>
        <w:t xml:space="preserve"> PROGRAMA ZA</w:t>
      </w:r>
      <w:r>
        <w:rPr>
          <w:rFonts w:ascii="Times New Roman" w:hAnsi="Times New Roman" w:cs="Times New Roman"/>
          <w:b/>
          <w:bCs/>
          <w:sz w:val="24"/>
          <w:szCs w:val="24"/>
        </w:rPr>
        <w:t xml:space="preserve"> OSOBE S INVALIDITETOM NA HRVATSKOJ RADIOTELEVIZIJI</w:t>
      </w:r>
    </w:p>
    <w:p w14:paraId="07EA4770" w14:textId="77777777" w:rsidR="00731C28" w:rsidRDefault="00731C28" w:rsidP="00731C28">
      <w:pPr>
        <w:spacing w:after="0" w:line="240" w:lineRule="auto"/>
        <w:rPr>
          <w:rFonts w:ascii="Times New Roman" w:hAnsi="Times New Roman" w:cs="Times New Roman"/>
          <w:sz w:val="24"/>
          <w:szCs w:val="24"/>
        </w:rPr>
      </w:pPr>
    </w:p>
    <w:p w14:paraId="41C33C13" w14:textId="77777777" w:rsidR="00731C28" w:rsidRDefault="00731C28" w:rsidP="00FB05F1">
      <w:pPr>
        <w:pStyle w:val="Odlomakpopisa"/>
        <w:numPr>
          <w:ilvl w:val="0"/>
          <w:numId w:val="27"/>
        </w:numPr>
        <w:spacing w:after="0" w:line="240" w:lineRule="auto"/>
        <w:ind w:left="426" w:hanging="426"/>
        <w:jc w:val="both"/>
        <w:rPr>
          <w:rFonts w:ascii="Times New Roman" w:hAnsi="Times New Roman" w:cs="Times New Roman"/>
          <w:sz w:val="24"/>
          <w:szCs w:val="24"/>
        </w:rPr>
      </w:pPr>
      <w:r w:rsidRPr="0018558D">
        <w:rPr>
          <w:rFonts w:ascii="Times New Roman" w:hAnsi="Times New Roman" w:cs="Times New Roman"/>
          <w:sz w:val="24"/>
          <w:szCs w:val="24"/>
        </w:rPr>
        <w:t xml:space="preserve">Hrvatska radiotelevizija je u 2019. godini je emitirala 966 programskih sadržaja u trajanju od 207,61 sat što je za 19,869 sati više u odnosu na 2018. godinu kada su emitirana približno 833 programska sadržaja. </w:t>
      </w:r>
      <w:r w:rsidRPr="0018558D" w:rsidDel="00B5473E">
        <w:rPr>
          <w:rFonts w:ascii="Times New Roman" w:hAnsi="Times New Roman" w:cs="Times New Roman"/>
          <w:sz w:val="24"/>
          <w:szCs w:val="24"/>
        </w:rPr>
        <w:t>Ističemo emisije „Normalan život“ koja se emitira već 21 godinu, s ciljem afirmacije osoba s invaliditetom u svim kontekstima življenja.</w:t>
      </w:r>
    </w:p>
    <w:p w14:paraId="79E47B11" w14:textId="77777777" w:rsidR="00731C28" w:rsidRDefault="00731C28" w:rsidP="00731C28">
      <w:pPr>
        <w:pStyle w:val="Odlomakpopisa"/>
        <w:spacing w:after="0" w:line="240" w:lineRule="auto"/>
        <w:ind w:left="426" w:hanging="426"/>
        <w:jc w:val="both"/>
        <w:rPr>
          <w:rFonts w:ascii="Times New Roman" w:hAnsi="Times New Roman" w:cs="Times New Roman"/>
          <w:sz w:val="24"/>
          <w:szCs w:val="24"/>
        </w:rPr>
      </w:pPr>
    </w:p>
    <w:p w14:paraId="4D523708" w14:textId="77777777" w:rsidR="00731C28" w:rsidRDefault="00731C28" w:rsidP="00FB05F1">
      <w:pPr>
        <w:pStyle w:val="Odlomakpopisa"/>
        <w:numPr>
          <w:ilvl w:val="0"/>
          <w:numId w:val="27"/>
        </w:numPr>
        <w:spacing w:after="0" w:line="240" w:lineRule="auto"/>
        <w:ind w:left="426" w:hanging="426"/>
        <w:jc w:val="both"/>
        <w:rPr>
          <w:rFonts w:ascii="Times New Roman" w:hAnsi="Times New Roman" w:cs="Times New Roman"/>
          <w:sz w:val="24"/>
          <w:szCs w:val="24"/>
        </w:rPr>
      </w:pPr>
      <w:r w:rsidRPr="0018558D">
        <w:rPr>
          <w:rFonts w:ascii="Times New Roman" w:hAnsi="Times New Roman" w:cs="Times New Roman"/>
          <w:sz w:val="24"/>
          <w:szCs w:val="24"/>
        </w:rPr>
        <w:t xml:space="preserve">U sklopu odjela Prilagodba programa osobama s osjetilnim teškoćama, HRT svake godine značajno proširuje količine i vrste programskih sadržaja koji se prilagođavaju za gluhe i nagluhe osobe. </w:t>
      </w:r>
      <w:r w:rsidRPr="0018558D" w:rsidDel="00B5473E">
        <w:rPr>
          <w:rFonts w:ascii="Times New Roman" w:hAnsi="Times New Roman" w:cs="Times New Roman"/>
          <w:sz w:val="24"/>
          <w:szCs w:val="24"/>
        </w:rPr>
        <w:t>Titlovani su informativni sadržaji, dokumentarni sadržaji (domaći i strani), domaći igrani sadržaji (igrani filmovi i serije) i uvršteni su programski sadržaji različitih tematika, od zdravlja, zabave, sporta, poljoprivrede, prava potrošača, teme vezanu uz manjine, kućne ljubimce i dr.</w:t>
      </w:r>
      <w:r w:rsidRPr="0018558D">
        <w:rPr>
          <w:rFonts w:ascii="Times New Roman" w:hAnsi="Times New Roman" w:cs="Times New Roman"/>
          <w:sz w:val="24"/>
          <w:szCs w:val="24"/>
        </w:rPr>
        <w:t xml:space="preserve"> Poseban naglasak je stavljen na prilagodbu emisija za djecu i mlade (titlovima za gluhe prilagođeno je nešto više od 40% emisija za djecu i mlade, u taj postotak ne ulaze emisije za djecu i mlade koje već imaju integrirane titlove</w:t>
      </w:r>
    </w:p>
    <w:p w14:paraId="6616117C" w14:textId="77777777" w:rsidR="00731C28" w:rsidRPr="0018558D" w:rsidRDefault="00731C28" w:rsidP="00731C28">
      <w:pPr>
        <w:pStyle w:val="Odlomakpopisa"/>
        <w:ind w:left="426" w:hanging="426"/>
        <w:rPr>
          <w:rFonts w:ascii="Times New Roman" w:hAnsi="Times New Roman" w:cs="Times New Roman"/>
          <w:sz w:val="24"/>
          <w:szCs w:val="24"/>
        </w:rPr>
      </w:pPr>
    </w:p>
    <w:p w14:paraId="77A9AB3E" w14:textId="77777777" w:rsidR="00731C28" w:rsidRDefault="00731C28" w:rsidP="00FB05F1">
      <w:pPr>
        <w:pStyle w:val="Odlomakpopisa"/>
        <w:numPr>
          <w:ilvl w:val="0"/>
          <w:numId w:val="27"/>
        </w:numPr>
        <w:spacing w:after="0" w:line="240" w:lineRule="auto"/>
        <w:ind w:left="426" w:hanging="426"/>
        <w:jc w:val="both"/>
        <w:rPr>
          <w:rFonts w:ascii="Times New Roman" w:hAnsi="Times New Roman" w:cs="Times New Roman"/>
          <w:sz w:val="24"/>
          <w:szCs w:val="24"/>
        </w:rPr>
      </w:pPr>
      <w:r w:rsidRPr="0018558D">
        <w:rPr>
          <w:rFonts w:ascii="Times New Roman" w:hAnsi="Times New Roman" w:cs="Times New Roman"/>
          <w:sz w:val="24"/>
          <w:szCs w:val="24"/>
        </w:rPr>
        <w:t>Unaprijeđena je kvaliteta titlovanog programa boljom adaptacijom titlova, kao i sustavnom kontrolom i praćenjem vremenskih trajanja titlova. Automatsko emitiranje titlova značajno je unaprijedilo kvalitetno i pravovremeno puštanje titlova, kao i mogućnost emitiranja titlova neovisno o vremenu emitiranja programskih sadržaja. Povećana je dostupnost titlova i na drugim platformama (</w:t>
      </w:r>
      <w:proofErr w:type="spellStart"/>
      <w:r w:rsidRPr="0018558D">
        <w:rPr>
          <w:rFonts w:ascii="Times New Roman" w:hAnsi="Times New Roman" w:cs="Times New Roman"/>
          <w:sz w:val="24"/>
          <w:szCs w:val="24"/>
        </w:rPr>
        <w:t>HRTi</w:t>
      </w:r>
      <w:proofErr w:type="spellEnd"/>
      <w:r w:rsidRPr="0018558D">
        <w:rPr>
          <w:rFonts w:ascii="Times New Roman" w:hAnsi="Times New Roman" w:cs="Times New Roman"/>
          <w:sz w:val="24"/>
          <w:szCs w:val="24"/>
        </w:rPr>
        <w:t>), za emisije dostupne na zahtjev.</w:t>
      </w:r>
    </w:p>
    <w:p w14:paraId="431B6AA0" w14:textId="77777777" w:rsidR="00731C28" w:rsidRPr="0018558D" w:rsidRDefault="00731C28" w:rsidP="00731C28">
      <w:pPr>
        <w:pStyle w:val="Odlomakpopisa"/>
        <w:ind w:left="426" w:hanging="426"/>
        <w:rPr>
          <w:rFonts w:ascii="Times New Roman" w:hAnsi="Times New Roman" w:cs="Times New Roman"/>
          <w:sz w:val="24"/>
          <w:szCs w:val="24"/>
        </w:rPr>
      </w:pPr>
    </w:p>
    <w:p w14:paraId="0DD654C5" w14:textId="77777777" w:rsidR="00731C28" w:rsidRPr="0018558D" w:rsidRDefault="00731C28" w:rsidP="00FB05F1">
      <w:pPr>
        <w:pStyle w:val="Odlomakpopisa"/>
        <w:numPr>
          <w:ilvl w:val="0"/>
          <w:numId w:val="27"/>
        </w:numPr>
        <w:spacing w:after="0" w:line="240" w:lineRule="auto"/>
        <w:ind w:left="426" w:hanging="426"/>
        <w:jc w:val="both"/>
        <w:rPr>
          <w:rFonts w:ascii="Times New Roman" w:hAnsi="Times New Roman" w:cs="Times New Roman"/>
          <w:sz w:val="24"/>
          <w:szCs w:val="24"/>
        </w:rPr>
      </w:pPr>
      <w:r w:rsidRPr="0018558D">
        <w:rPr>
          <w:rFonts w:ascii="Times New Roman" w:hAnsi="Times New Roman" w:cs="Times New Roman"/>
          <w:sz w:val="24"/>
          <w:szCs w:val="24"/>
        </w:rPr>
        <w:t>Nastavljena je suradnja sa savezima i udrugama vezana uz prilagodbu programa gluhim i nagluhim te slijepim i slabovidnim osobama.</w:t>
      </w:r>
    </w:p>
    <w:p w14:paraId="727EB878" w14:textId="77777777" w:rsidR="00731C28" w:rsidRDefault="00731C28" w:rsidP="00731C28">
      <w:pPr>
        <w:spacing w:after="0" w:line="240" w:lineRule="auto"/>
        <w:ind w:left="426" w:hanging="426"/>
        <w:rPr>
          <w:rFonts w:ascii="Times New Roman" w:hAnsi="Times New Roman" w:cs="Times New Roman"/>
          <w:sz w:val="24"/>
          <w:szCs w:val="24"/>
        </w:rPr>
      </w:pPr>
    </w:p>
    <w:tbl>
      <w:tblPr>
        <w:tblStyle w:val="Reetkatablice"/>
        <w:tblW w:w="0" w:type="auto"/>
        <w:tblLook w:val="04A0" w:firstRow="1" w:lastRow="0" w:firstColumn="1" w:lastColumn="0" w:noHBand="0" w:noVBand="1"/>
      </w:tblPr>
      <w:tblGrid>
        <w:gridCol w:w="3020"/>
        <w:gridCol w:w="3021"/>
        <w:gridCol w:w="3021"/>
      </w:tblGrid>
      <w:tr w:rsidR="00731C28" w:rsidRPr="00165D3A" w14:paraId="20AF4111" w14:textId="77777777" w:rsidTr="00816216">
        <w:tc>
          <w:tcPr>
            <w:tcW w:w="3020" w:type="dxa"/>
          </w:tcPr>
          <w:p w14:paraId="0277C890" w14:textId="77777777" w:rsidR="00731C28" w:rsidRPr="00165D3A" w:rsidRDefault="00731C28" w:rsidP="00816216">
            <w:pPr>
              <w:jc w:val="center"/>
              <w:rPr>
                <w:rFonts w:ascii="Times New Roman" w:hAnsi="Times New Roman" w:cs="Times New Roman"/>
                <w:b/>
                <w:bCs/>
                <w:i/>
                <w:iCs/>
                <w:sz w:val="24"/>
                <w:szCs w:val="24"/>
              </w:rPr>
            </w:pPr>
            <w:r w:rsidRPr="00165D3A">
              <w:rPr>
                <w:rFonts w:ascii="Times New Roman" w:hAnsi="Times New Roman" w:cs="Times New Roman"/>
                <w:b/>
                <w:bCs/>
                <w:i/>
                <w:iCs/>
                <w:sz w:val="24"/>
                <w:szCs w:val="24"/>
              </w:rPr>
              <w:t>Programski kanal</w:t>
            </w:r>
          </w:p>
        </w:tc>
        <w:tc>
          <w:tcPr>
            <w:tcW w:w="3021" w:type="dxa"/>
          </w:tcPr>
          <w:p w14:paraId="4855DE41" w14:textId="77777777" w:rsidR="00731C28" w:rsidRPr="00165D3A" w:rsidRDefault="00731C28" w:rsidP="00816216">
            <w:pPr>
              <w:jc w:val="center"/>
              <w:rPr>
                <w:rFonts w:ascii="Times New Roman" w:hAnsi="Times New Roman" w:cs="Times New Roman"/>
                <w:b/>
                <w:bCs/>
                <w:i/>
                <w:iCs/>
                <w:sz w:val="24"/>
                <w:szCs w:val="24"/>
              </w:rPr>
            </w:pPr>
            <w:r w:rsidRPr="00165D3A">
              <w:rPr>
                <w:rFonts w:ascii="Times New Roman" w:hAnsi="Times New Roman" w:cs="Times New Roman"/>
                <w:b/>
                <w:bCs/>
                <w:i/>
                <w:iCs/>
                <w:sz w:val="24"/>
                <w:szCs w:val="24"/>
              </w:rPr>
              <w:t>Broj emisija</w:t>
            </w:r>
          </w:p>
        </w:tc>
        <w:tc>
          <w:tcPr>
            <w:tcW w:w="3021" w:type="dxa"/>
          </w:tcPr>
          <w:p w14:paraId="213C4852" w14:textId="77777777" w:rsidR="00731C28" w:rsidRPr="00165D3A" w:rsidRDefault="00731C28" w:rsidP="00816216">
            <w:pPr>
              <w:jc w:val="center"/>
              <w:rPr>
                <w:rFonts w:ascii="Times New Roman" w:hAnsi="Times New Roman" w:cs="Times New Roman"/>
                <w:b/>
                <w:bCs/>
                <w:i/>
                <w:iCs/>
                <w:sz w:val="24"/>
                <w:szCs w:val="24"/>
              </w:rPr>
            </w:pPr>
            <w:r w:rsidRPr="00165D3A">
              <w:rPr>
                <w:rFonts w:ascii="Times New Roman" w:hAnsi="Times New Roman" w:cs="Times New Roman"/>
                <w:b/>
                <w:bCs/>
                <w:i/>
                <w:iCs/>
                <w:sz w:val="24"/>
                <w:szCs w:val="24"/>
              </w:rPr>
              <w:t>Trajanje (min)</w:t>
            </w:r>
          </w:p>
        </w:tc>
      </w:tr>
      <w:tr w:rsidR="00731C28" w:rsidRPr="00165D3A" w14:paraId="3FA378B3" w14:textId="77777777" w:rsidTr="00816216">
        <w:tc>
          <w:tcPr>
            <w:tcW w:w="9062" w:type="dxa"/>
            <w:gridSpan w:val="3"/>
          </w:tcPr>
          <w:p w14:paraId="7E5FE364" w14:textId="77777777" w:rsidR="00731C28" w:rsidRPr="00165D3A" w:rsidRDefault="00731C28" w:rsidP="00816216">
            <w:pPr>
              <w:jc w:val="center"/>
              <w:rPr>
                <w:rFonts w:ascii="Times New Roman" w:hAnsi="Times New Roman" w:cs="Times New Roman"/>
                <w:sz w:val="24"/>
                <w:szCs w:val="24"/>
              </w:rPr>
            </w:pPr>
            <w:r w:rsidRPr="00165D3A">
              <w:rPr>
                <w:rFonts w:ascii="Times New Roman" w:hAnsi="Times New Roman" w:cs="Times New Roman"/>
                <w:sz w:val="24"/>
                <w:szCs w:val="24"/>
              </w:rPr>
              <w:t>Prilagodba programa za gluhe i nagluhe osobe u 2019. godini</w:t>
            </w:r>
          </w:p>
        </w:tc>
      </w:tr>
      <w:tr w:rsidR="00731C28" w:rsidRPr="00165D3A" w14:paraId="16A124EF" w14:textId="77777777" w:rsidTr="00816216">
        <w:tc>
          <w:tcPr>
            <w:tcW w:w="3020" w:type="dxa"/>
          </w:tcPr>
          <w:p w14:paraId="7D5A5127" w14:textId="77777777" w:rsidR="00731C28" w:rsidRPr="00165D3A" w:rsidRDefault="00731C28" w:rsidP="00816216">
            <w:pPr>
              <w:rPr>
                <w:rFonts w:ascii="Times New Roman" w:hAnsi="Times New Roman" w:cs="Times New Roman"/>
                <w:sz w:val="24"/>
                <w:szCs w:val="24"/>
              </w:rPr>
            </w:pPr>
            <w:r w:rsidRPr="00165D3A">
              <w:rPr>
                <w:rFonts w:ascii="Times New Roman" w:hAnsi="Times New Roman" w:cs="Times New Roman"/>
                <w:sz w:val="24"/>
                <w:szCs w:val="24"/>
              </w:rPr>
              <w:t>Hrvatski znakovni jezik</w:t>
            </w:r>
          </w:p>
        </w:tc>
        <w:tc>
          <w:tcPr>
            <w:tcW w:w="3021" w:type="dxa"/>
          </w:tcPr>
          <w:p w14:paraId="0CE8351D" w14:textId="77777777" w:rsidR="00731C28" w:rsidRPr="00165D3A" w:rsidRDefault="00731C28" w:rsidP="00816216">
            <w:pPr>
              <w:rPr>
                <w:rFonts w:ascii="Times New Roman" w:hAnsi="Times New Roman" w:cs="Times New Roman"/>
                <w:sz w:val="24"/>
                <w:szCs w:val="24"/>
              </w:rPr>
            </w:pPr>
            <w:r w:rsidRPr="00165D3A">
              <w:rPr>
                <w:rFonts w:ascii="Times New Roman" w:hAnsi="Times New Roman" w:cs="Times New Roman"/>
                <w:sz w:val="24"/>
                <w:szCs w:val="24"/>
              </w:rPr>
              <w:t>1.685</w:t>
            </w:r>
          </w:p>
        </w:tc>
        <w:tc>
          <w:tcPr>
            <w:tcW w:w="3021" w:type="dxa"/>
          </w:tcPr>
          <w:p w14:paraId="434A5B66" w14:textId="77777777" w:rsidR="00731C28" w:rsidRPr="00165D3A" w:rsidRDefault="00731C28" w:rsidP="00816216">
            <w:pPr>
              <w:rPr>
                <w:rFonts w:ascii="Times New Roman" w:hAnsi="Times New Roman" w:cs="Times New Roman"/>
                <w:sz w:val="24"/>
                <w:szCs w:val="24"/>
              </w:rPr>
            </w:pPr>
            <w:r w:rsidRPr="00165D3A">
              <w:rPr>
                <w:rFonts w:ascii="Times New Roman" w:hAnsi="Times New Roman" w:cs="Times New Roman"/>
                <w:sz w:val="24"/>
                <w:szCs w:val="24"/>
              </w:rPr>
              <w:t>68.525</w:t>
            </w:r>
          </w:p>
        </w:tc>
      </w:tr>
      <w:tr w:rsidR="00731C28" w:rsidRPr="00165D3A" w14:paraId="216FA2D2" w14:textId="77777777" w:rsidTr="00816216">
        <w:tc>
          <w:tcPr>
            <w:tcW w:w="3020" w:type="dxa"/>
          </w:tcPr>
          <w:p w14:paraId="3F12A63D" w14:textId="77777777" w:rsidR="00731C28" w:rsidRPr="00165D3A" w:rsidRDefault="00731C28" w:rsidP="00816216">
            <w:pPr>
              <w:rPr>
                <w:rFonts w:ascii="Times New Roman" w:hAnsi="Times New Roman" w:cs="Times New Roman"/>
                <w:sz w:val="24"/>
                <w:szCs w:val="24"/>
              </w:rPr>
            </w:pPr>
            <w:r w:rsidRPr="00165D3A">
              <w:rPr>
                <w:rFonts w:ascii="Times New Roman" w:hAnsi="Times New Roman" w:cs="Times New Roman"/>
                <w:sz w:val="24"/>
                <w:szCs w:val="24"/>
              </w:rPr>
              <w:t>Titlovi</w:t>
            </w:r>
          </w:p>
        </w:tc>
        <w:tc>
          <w:tcPr>
            <w:tcW w:w="3021" w:type="dxa"/>
          </w:tcPr>
          <w:p w14:paraId="49803B97" w14:textId="77777777" w:rsidR="00731C28" w:rsidRPr="00165D3A" w:rsidRDefault="00731C28" w:rsidP="00816216">
            <w:pPr>
              <w:rPr>
                <w:rFonts w:ascii="Times New Roman" w:hAnsi="Times New Roman" w:cs="Times New Roman"/>
                <w:sz w:val="24"/>
                <w:szCs w:val="24"/>
              </w:rPr>
            </w:pPr>
            <w:r w:rsidRPr="00165D3A">
              <w:rPr>
                <w:rFonts w:ascii="Times New Roman" w:hAnsi="Times New Roman" w:cs="Times New Roman"/>
                <w:sz w:val="24"/>
                <w:szCs w:val="24"/>
              </w:rPr>
              <w:t>7.665</w:t>
            </w:r>
          </w:p>
        </w:tc>
        <w:tc>
          <w:tcPr>
            <w:tcW w:w="3021" w:type="dxa"/>
          </w:tcPr>
          <w:p w14:paraId="577AE9FE" w14:textId="77777777" w:rsidR="00731C28" w:rsidRPr="00165D3A" w:rsidRDefault="00731C28" w:rsidP="00816216">
            <w:pPr>
              <w:rPr>
                <w:rFonts w:ascii="Times New Roman" w:hAnsi="Times New Roman" w:cs="Times New Roman"/>
                <w:sz w:val="24"/>
                <w:szCs w:val="24"/>
              </w:rPr>
            </w:pPr>
            <w:r w:rsidRPr="00165D3A">
              <w:rPr>
                <w:rFonts w:ascii="Times New Roman" w:hAnsi="Times New Roman" w:cs="Times New Roman"/>
                <w:sz w:val="24"/>
                <w:szCs w:val="24"/>
              </w:rPr>
              <w:t>186.360</w:t>
            </w:r>
          </w:p>
        </w:tc>
      </w:tr>
      <w:tr w:rsidR="00731C28" w:rsidRPr="00165D3A" w14:paraId="150E1CE4" w14:textId="77777777" w:rsidTr="00816216">
        <w:tc>
          <w:tcPr>
            <w:tcW w:w="9062" w:type="dxa"/>
            <w:gridSpan w:val="3"/>
          </w:tcPr>
          <w:p w14:paraId="52C61B32" w14:textId="77777777" w:rsidR="00731C28" w:rsidRPr="00165D3A" w:rsidRDefault="00731C28" w:rsidP="00816216">
            <w:pPr>
              <w:jc w:val="center"/>
              <w:rPr>
                <w:rFonts w:ascii="Times New Roman" w:hAnsi="Times New Roman" w:cs="Times New Roman"/>
                <w:sz w:val="24"/>
                <w:szCs w:val="24"/>
              </w:rPr>
            </w:pPr>
            <w:r w:rsidRPr="00165D3A">
              <w:rPr>
                <w:rFonts w:ascii="Times New Roman" w:hAnsi="Times New Roman" w:cs="Times New Roman"/>
                <w:sz w:val="24"/>
                <w:szCs w:val="24"/>
              </w:rPr>
              <w:t>Prilagodba programa za slijepe i slabovidne osobe s 20219. godini</w:t>
            </w:r>
          </w:p>
        </w:tc>
      </w:tr>
      <w:tr w:rsidR="00731C28" w:rsidRPr="00165D3A" w14:paraId="7C61FAB2" w14:textId="77777777" w:rsidTr="00816216">
        <w:tc>
          <w:tcPr>
            <w:tcW w:w="3020" w:type="dxa"/>
          </w:tcPr>
          <w:p w14:paraId="5977147E" w14:textId="77777777" w:rsidR="00731C28" w:rsidRPr="00165D3A" w:rsidRDefault="00731C28" w:rsidP="00816216">
            <w:pPr>
              <w:rPr>
                <w:rFonts w:ascii="Times New Roman" w:hAnsi="Times New Roman" w:cs="Times New Roman"/>
                <w:sz w:val="24"/>
                <w:szCs w:val="24"/>
              </w:rPr>
            </w:pPr>
            <w:proofErr w:type="spellStart"/>
            <w:r w:rsidRPr="00165D3A">
              <w:rPr>
                <w:rFonts w:ascii="Times New Roman" w:hAnsi="Times New Roman" w:cs="Times New Roman"/>
                <w:sz w:val="24"/>
                <w:szCs w:val="24"/>
              </w:rPr>
              <w:t>Audiodeskripcija</w:t>
            </w:r>
            <w:proofErr w:type="spellEnd"/>
          </w:p>
        </w:tc>
        <w:tc>
          <w:tcPr>
            <w:tcW w:w="3021" w:type="dxa"/>
          </w:tcPr>
          <w:p w14:paraId="485A126B" w14:textId="77777777" w:rsidR="00731C28" w:rsidRPr="00165D3A" w:rsidRDefault="00731C28" w:rsidP="00816216">
            <w:pPr>
              <w:rPr>
                <w:rFonts w:ascii="Times New Roman" w:hAnsi="Times New Roman" w:cs="Times New Roman"/>
                <w:sz w:val="24"/>
                <w:szCs w:val="24"/>
              </w:rPr>
            </w:pPr>
            <w:r w:rsidRPr="00165D3A">
              <w:rPr>
                <w:rFonts w:ascii="Times New Roman" w:hAnsi="Times New Roman" w:cs="Times New Roman"/>
                <w:sz w:val="24"/>
                <w:szCs w:val="24"/>
              </w:rPr>
              <w:t>38</w:t>
            </w:r>
          </w:p>
        </w:tc>
        <w:tc>
          <w:tcPr>
            <w:tcW w:w="3021" w:type="dxa"/>
          </w:tcPr>
          <w:p w14:paraId="42817B3F" w14:textId="77777777" w:rsidR="00731C28" w:rsidRPr="00165D3A" w:rsidRDefault="00731C28" w:rsidP="00816216">
            <w:pPr>
              <w:rPr>
                <w:rFonts w:ascii="Times New Roman" w:hAnsi="Times New Roman" w:cs="Times New Roman"/>
                <w:sz w:val="24"/>
                <w:szCs w:val="24"/>
              </w:rPr>
            </w:pPr>
            <w:r w:rsidRPr="00165D3A">
              <w:rPr>
                <w:rFonts w:ascii="Times New Roman" w:hAnsi="Times New Roman" w:cs="Times New Roman"/>
                <w:sz w:val="24"/>
                <w:szCs w:val="24"/>
              </w:rPr>
              <w:t>2860</w:t>
            </w:r>
          </w:p>
        </w:tc>
      </w:tr>
    </w:tbl>
    <w:p w14:paraId="55DB848F" w14:textId="77777777" w:rsidR="00731C28" w:rsidRPr="00165D3A" w:rsidRDefault="00731C28" w:rsidP="00731C28">
      <w:pPr>
        <w:spacing w:after="0" w:line="240" w:lineRule="auto"/>
        <w:rPr>
          <w:rFonts w:ascii="Times New Roman" w:hAnsi="Times New Roman" w:cs="Times New Roman"/>
          <w:sz w:val="24"/>
          <w:szCs w:val="24"/>
        </w:rPr>
      </w:pPr>
    </w:p>
    <w:p w14:paraId="61795291" w14:textId="77777777" w:rsidR="00731C28" w:rsidRPr="00165D3A" w:rsidRDefault="00731C28" w:rsidP="00731C28">
      <w:pPr>
        <w:spacing w:after="0" w:line="240" w:lineRule="auto"/>
        <w:rPr>
          <w:rFonts w:ascii="Times New Roman" w:hAnsi="Times New Roman" w:cs="Times New Roman"/>
          <w:sz w:val="24"/>
          <w:szCs w:val="24"/>
        </w:rPr>
      </w:pPr>
      <w:r w:rsidRPr="00165D3A">
        <w:rPr>
          <w:rFonts w:ascii="Times New Roman" w:hAnsi="Times New Roman" w:cs="Times New Roman"/>
          <w:sz w:val="24"/>
          <w:szCs w:val="24"/>
        </w:rPr>
        <w:t>Prilagodba programa titlovanjem</w:t>
      </w:r>
    </w:p>
    <w:tbl>
      <w:tblPr>
        <w:tblStyle w:val="Reetkatablice"/>
        <w:tblW w:w="0" w:type="auto"/>
        <w:tblLook w:val="04A0" w:firstRow="1" w:lastRow="0" w:firstColumn="1" w:lastColumn="0" w:noHBand="0" w:noVBand="1"/>
      </w:tblPr>
      <w:tblGrid>
        <w:gridCol w:w="3020"/>
        <w:gridCol w:w="3021"/>
        <w:gridCol w:w="3021"/>
      </w:tblGrid>
      <w:tr w:rsidR="00731C28" w:rsidRPr="00165D3A" w14:paraId="289C24CA" w14:textId="77777777" w:rsidTr="00816216">
        <w:tc>
          <w:tcPr>
            <w:tcW w:w="3020" w:type="dxa"/>
          </w:tcPr>
          <w:p w14:paraId="06615EBE" w14:textId="77777777" w:rsidR="00731C28" w:rsidRPr="00165D3A" w:rsidRDefault="00731C28" w:rsidP="00816216">
            <w:pPr>
              <w:jc w:val="center"/>
              <w:rPr>
                <w:rFonts w:ascii="Times New Roman" w:hAnsi="Times New Roman" w:cs="Times New Roman"/>
                <w:b/>
                <w:bCs/>
                <w:i/>
                <w:iCs/>
                <w:sz w:val="24"/>
                <w:szCs w:val="24"/>
              </w:rPr>
            </w:pPr>
            <w:r w:rsidRPr="00165D3A">
              <w:rPr>
                <w:rFonts w:ascii="Times New Roman" w:hAnsi="Times New Roman" w:cs="Times New Roman"/>
                <w:b/>
                <w:bCs/>
                <w:i/>
                <w:iCs/>
                <w:sz w:val="24"/>
                <w:szCs w:val="24"/>
              </w:rPr>
              <w:t>Programski kanal</w:t>
            </w:r>
          </w:p>
        </w:tc>
        <w:tc>
          <w:tcPr>
            <w:tcW w:w="3021" w:type="dxa"/>
          </w:tcPr>
          <w:p w14:paraId="607C5F3C" w14:textId="77777777" w:rsidR="00731C28" w:rsidRPr="00165D3A" w:rsidRDefault="00731C28" w:rsidP="00816216">
            <w:pPr>
              <w:jc w:val="center"/>
              <w:rPr>
                <w:rFonts w:ascii="Times New Roman" w:hAnsi="Times New Roman" w:cs="Times New Roman"/>
                <w:b/>
                <w:bCs/>
                <w:i/>
                <w:iCs/>
                <w:sz w:val="24"/>
                <w:szCs w:val="24"/>
              </w:rPr>
            </w:pPr>
            <w:r w:rsidRPr="00165D3A">
              <w:rPr>
                <w:rFonts w:ascii="Times New Roman" w:hAnsi="Times New Roman" w:cs="Times New Roman"/>
                <w:b/>
                <w:bCs/>
                <w:i/>
                <w:iCs/>
                <w:sz w:val="24"/>
                <w:szCs w:val="24"/>
              </w:rPr>
              <w:t>Broj emisija</w:t>
            </w:r>
          </w:p>
        </w:tc>
        <w:tc>
          <w:tcPr>
            <w:tcW w:w="3021" w:type="dxa"/>
          </w:tcPr>
          <w:p w14:paraId="1E5E7430" w14:textId="77777777" w:rsidR="00731C28" w:rsidRPr="00165D3A" w:rsidRDefault="00731C28" w:rsidP="00816216">
            <w:pPr>
              <w:jc w:val="center"/>
              <w:rPr>
                <w:rFonts w:ascii="Times New Roman" w:hAnsi="Times New Roman" w:cs="Times New Roman"/>
                <w:b/>
                <w:bCs/>
                <w:i/>
                <w:iCs/>
                <w:sz w:val="24"/>
                <w:szCs w:val="24"/>
              </w:rPr>
            </w:pPr>
            <w:r w:rsidRPr="00165D3A">
              <w:rPr>
                <w:rFonts w:ascii="Times New Roman" w:hAnsi="Times New Roman" w:cs="Times New Roman"/>
                <w:b/>
                <w:bCs/>
                <w:i/>
                <w:iCs/>
                <w:sz w:val="24"/>
                <w:szCs w:val="24"/>
              </w:rPr>
              <w:t>Trajanje (min)</w:t>
            </w:r>
          </w:p>
        </w:tc>
      </w:tr>
      <w:tr w:rsidR="00731C28" w:rsidRPr="00165D3A" w14:paraId="61D42DED" w14:textId="77777777" w:rsidTr="00816216">
        <w:tc>
          <w:tcPr>
            <w:tcW w:w="9062" w:type="dxa"/>
            <w:gridSpan w:val="3"/>
          </w:tcPr>
          <w:p w14:paraId="093C1A93" w14:textId="77777777" w:rsidR="00731C28" w:rsidRPr="00165D3A" w:rsidRDefault="00731C28" w:rsidP="00816216">
            <w:pPr>
              <w:jc w:val="center"/>
              <w:rPr>
                <w:rFonts w:ascii="Times New Roman" w:hAnsi="Times New Roman" w:cs="Times New Roman"/>
                <w:sz w:val="24"/>
                <w:szCs w:val="24"/>
              </w:rPr>
            </w:pPr>
            <w:r w:rsidRPr="00165D3A">
              <w:rPr>
                <w:rFonts w:ascii="Times New Roman" w:hAnsi="Times New Roman" w:cs="Times New Roman"/>
                <w:sz w:val="24"/>
                <w:szCs w:val="24"/>
              </w:rPr>
              <w:t>Prilagodba titlovanjem</w:t>
            </w:r>
          </w:p>
        </w:tc>
      </w:tr>
      <w:tr w:rsidR="00731C28" w:rsidRPr="00165D3A" w14:paraId="5E07408E" w14:textId="77777777" w:rsidTr="00816216">
        <w:tc>
          <w:tcPr>
            <w:tcW w:w="3020" w:type="dxa"/>
          </w:tcPr>
          <w:p w14:paraId="23F2C39A" w14:textId="77777777" w:rsidR="00731C28" w:rsidRPr="00165D3A" w:rsidRDefault="00731C28" w:rsidP="00816216">
            <w:pPr>
              <w:rPr>
                <w:rFonts w:ascii="Times New Roman" w:hAnsi="Times New Roman" w:cs="Times New Roman"/>
                <w:sz w:val="24"/>
                <w:szCs w:val="24"/>
              </w:rPr>
            </w:pPr>
            <w:r w:rsidRPr="00165D3A">
              <w:rPr>
                <w:rFonts w:ascii="Times New Roman" w:hAnsi="Times New Roman" w:cs="Times New Roman"/>
                <w:sz w:val="24"/>
                <w:szCs w:val="24"/>
              </w:rPr>
              <w:t>Sadržaji na HTV 1</w:t>
            </w:r>
          </w:p>
        </w:tc>
        <w:tc>
          <w:tcPr>
            <w:tcW w:w="3021" w:type="dxa"/>
          </w:tcPr>
          <w:p w14:paraId="3346B101" w14:textId="77777777" w:rsidR="00731C28" w:rsidRPr="00165D3A" w:rsidRDefault="00731C28" w:rsidP="00816216">
            <w:pPr>
              <w:rPr>
                <w:rFonts w:ascii="Times New Roman" w:hAnsi="Times New Roman" w:cs="Times New Roman"/>
                <w:sz w:val="24"/>
                <w:szCs w:val="24"/>
              </w:rPr>
            </w:pPr>
            <w:r w:rsidRPr="00165D3A">
              <w:rPr>
                <w:rFonts w:ascii="Times New Roman" w:hAnsi="Times New Roman" w:cs="Times New Roman"/>
                <w:sz w:val="24"/>
                <w:szCs w:val="24"/>
              </w:rPr>
              <w:t>3.912</w:t>
            </w:r>
          </w:p>
        </w:tc>
        <w:tc>
          <w:tcPr>
            <w:tcW w:w="3021" w:type="dxa"/>
          </w:tcPr>
          <w:p w14:paraId="3A0146D6" w14:textId="77777777" w:rsidR="00731C28" w:rsidRPr="00165D3A" w:rsidRDefault="00731C28" w:rsidP="00816216">
            <w:pPr>
              <w:rPr>
                <w:rFonts w:ascii="Times New Roman" w:hAnsi="Times New Roman" w:cs="Times New Roman"/>
                <w:sz w:val="24"/>
                <w:szCs w:val="24"/>
              </w:rPr>
            </w:pPr>
            <w:r w:rsidRPr="00165D3A">
              <w:rPr>
                <w:rFonts w:ascii="Times New Roman" w:hAnsi="Times New Roman" w:cs="Times New Roman"/>
                <w:sz w:val="24"/>
                <w:szCs w:val="24"/>
              </w:rPr>
              <w:t>105.374</w:t>
            </w:r>
          </w:p>
        </w:tc>
      </w:tr>
      <w:tr w:rsidR="00731C28" w:rsidRPr="00165D3A" w14:paraId="28A66740" w14:textId="77777777" w:rsidTr="00816216">
        <w:tc>
          <w:tcPr>
            <w:tcW w:w="3020" w:type="dxa"/>
          </w:tcPr>
          <w:p w14:paraId="574465FF" w14:textId="77777777" w:rsidR="00731C28" w:rsidRPr="00165D3A" w:rsidRDefault="00731C28" w:rsidP="00816216">
            <w:pPr>
              <w:rPr>
                <w:rFonts w:ascii="Times New Roman" w:hAnsi="Times New Roman" w:cs="Times New Roman"/>
                <w:sz w:val="24"/>
                <w:szCs w:val="24"/>
              </w:rPr>
            </w:pPr>
            <w:r w:rsidRPr="00165D3A">
              <w:rPr>
                <w:rFonts w:ascii="Times New Roman" w:hAnsi="Times New Roman" w:cs="Times New Roman"/>
                <w:sz w:val="24"/>
                <w:szCs w:val="24"/>
              </w:rPr>
              <w:t>Sadržaji na HTV 2</w:t>
            </w:r>
          </w:p>
        </w:tc>
        <w:tc>
          <w:tcPr>
            <w:tcW w:w="3021" w:type="dxa"/>
          </w:tcPr>
          <w:p w14:paraId="7609BC61" w14:textId="77777777" w:rsidR="00731C28" w:rsidRPr="00165D3A" w:rsidRDefault="00731C28" w:rsidP="00816216">
            <w:pPr>
              <w:rPr>
                <w:rFonts w:ascii="Times New Roman" w:hAnsi="Times New Roman" w:cs="Times New Roman"/>
                <w:sz w:val="24"/>
                <w:szCs w:val="24"/>
              </w:rPr>
            </w:pPr>
            <w:r w:rsidRPr="00165D3A">
              <w:rPr>
                <w:rFonts w:ascii="Times New Roman" w:hAnsi="Times New Roman" w:cs="Times New Roman"/>
                <w:sz w:val="24"/>
                <w:szCs w:val="24"/>
              </w:rPr>
              <w:t>3.761</w:t>
            </w:r>
          </w:p>
        </w:tc>
        <w:tc>
          <w:tcPr>
            <w:tcW w:w="3021" w:type="dxa"/>
          </w:tcPr>
          <w:p w14:paraId="6E8CBFC9" w14:textId="77777777" w:rsidR="00731C28" w:rsidRPr="00165D3A" w:rsidRDefault="00731C28" w:rsidP="00816216">
            <w:pPr>
              <w:rPr>
                <w:rFonts w:ascii="Times New Roman" w:hAnsi="Times New Roman" w:cs="Times New Roman"/>
                <w:sz w:val="24"/>
                <w:szCs w:val="24"/>
              </w:rPr>
            </w:pPr>
            <w:r w:rsidRPr="00165D3A">
              <w:rPr>
                <w:rFonts w:ascii="Times New Roman" w:hAnsi="Times New Roman" w:cs="Times New Roman"/>
                <w:sz w:val="24"/>
                <w:szCs w:val="24"/>
              </w:rPr>
              <w:t>81.605</w:t>
            </w:r>
          </w:p>
        </w:tc>
      </w:tr>
      <w:tr w:rsidR="00731C28" w:rsidRPr="00165D3A" w14:paraId="3B670199" w14:textId="77777777" w:rsidTr="00816216">
        <w:tc>
          <w:tcPr>
            <w:tcW w:w="3020" w:type="dxa"/>
          </w:tcPr>
          <w:p w14:paraId="12D3C504" w14:textId="77777777" w:rsidR="00731C28" w:rsidRPr="00165D3A" w:rsidRDefault="00731C28" w:rsidP="00816216">
            <w:pPr>
              <w:jc w:val="right"/>
              <w:rPr>
                <w:rFonts w:ascii="Times New Roman" w:hAnsi="Times New Roman" w:cs="Times New Roman"/>
                <w:sz w:val="24"/>
                <w:szCs w:val="24"/>
              </w:rPr>
            </w:pPr>
            <w:r w:rsidRPr="00165D3A">
              <w:rPr>
                <w:rFonts w:ascii="Times New Roman" w:hAnsi="Times New Roman" w:cs="Times New Roman"/>
                <w:sz w:val="24"/>
                <w:szCs w:val="24"/>
              </w:rPr>
              <w:t>Ukupno prilagođeno</w:t>
            </w:r>
          </w:p>
        </w:tc>
        <w:tc>
          <w:tcPr>
            <w:tcW w:w="3021" w:type="dxa"/>
          </w:tcPr>
          <w:p w14:paraId="6139D7DC" w14:textId="77777777" w:rsidR="00731C28" w:rsidRPr="00165D3A" w:rsidRDefault="00731C28" w:rsidP="00816216">
            <w:pPr>
              <w:rPr>
                <w:rFonts w:ascii="Times New Roman" w:hAnsi="Times New Roman" w:cs="Times New Roman"/>
                <w:sz w:val="24"/>
                <w:szCs w:val="24"/>
              </w:rPr>
            </w:pPr>
            <w:r w:rsidRPr="00165D3A">
              <w:rPr>
                <w:rFonts w:ascii="Times New Roman" w:hAnsi="Times New Roman" w:cs="Times New Roman"/>
                <w:sz w:val="24"/>
                <w:szCs w:val="24"/>
              </w:rPr>
              <w:t>7.673</w:t>
            </w:r>
          </w:p>
        </w:tc>
        <w:tc>
          <w:tcPr>
            <w:tcW w:w="3021" w:type="dxa"/>
          </w:tcPr>
          <w:p w14:paraId="031AEF9D" w14:textId="77777777" w:rsidR="00731C28" w:rsidRPr="00165D3A" w:rsidRDefault="00731C28" w:rsidP="00816216">
            <w:pPr>
              <w:rPr>
                <w:rFonts w:ascii="Times New Roman" w:hAnsi="Times New Roman" w:cs="Times New Roman"/>
                <w:sz w:val="24"/>
                <w:szCs w:val="24"/>
              </w:rPr>
            </w:pPr>
            <w:r w:rsidRPr="00165D3A">
              <w:rPr>
                <w:rFonts w:ascii="Times New Roman" w:hAnsi="Times New Roman" w:cs="Times New Roman"/>
                <w:sz w:val="24"/>
                <w:szCs w:val="24"/>
              </w:rPr>
              <w:t>186.979</w:t>
            </w:r>
          </w:p>
        </w:tc>
      </w:tr>
      <w:tr w:rsidR="00731C28" w:rsidRPr="00165D3A" w14:paraId="70542447" w14:textId="77777777" w:rsidTr="00816216">
        <w:tc>
          <w:tcPr>
            <w:tcW w:w="3020" w:type="dxa"/>
          </w:tcPr>
          <w:p w14:paraId="79B520D3" w14:textId="77777777" w:rsidR="00731C28" w:rsidRPr="00165D3A" w:rsidRDefault="00731C28" w:rsidP="00816216">
            <w:pPr>
              <w:jc w:val="right"/>
              <w:rPr>
                <w:rFonts w:ascii="Times New Roman" w:hAnsi="Times New Roman" w:cs="Times New Roman"/>
                <w:sz w:val="24"/>
                <w:szCs w:val="24"/>
              </w:rPr>
            </w:pPr>
            <w:r w:rsidRPr="00165D3A">
              <w:rPr>
                <w:rFonts w:ascii="Times New Roman" w:hAnsi="Times New Roman" w:cs="Times New Roman"/>
                <w:sz w:val="24"/>
                <w:szCs w:val="24"/>
              </w:rPr>
              <w:t>Dnevni prosjek</w:t>
            </w:r>
          </w:p>
        </w:tc>
        <w:tc>
          <w:tcPr>
            <w:tcW w:w="3021" w:type="dxa"/>
          </w:tcPr>
          <w:p w14:paraId="34B9321E" w14:textId="77777777" w:rsidR="00731C28" w:rsidRPr="00165D3A" w:rsidRDefault="00731C28" w:rsidP="00816216">
            <w:pPr>
              <w:rPr>
                <w:rFonts w:ascii="Times New Roman" w:hAnsi="Times New Roman" w:cs="Times New Roman"/>
                <w:sz w:val="24"/>
                <w:szCs w:val="24"/>
              </w:rPr>
            </w:pPr>
            <w:r w:rsidRPr="00165D3A">
              <w:rPr>
                <w:rFonts w:ascii="Times New Roman" w:hAnsi="Times New Roman" w:cs="Times New Roman"/>
                <w:sz w:val="24"/>
                <w:szCs w:val="24"/>
              </w:rPr>
              <w:t>21</w:t>
            </w:r>
          </w:p>
        </w:tc>
        <w:tc>
          <w:tcPr>
            <w:tcW w:w="3021" w:type="dxa"/>
          </w:tcPr>
          <w:p w14:paraId="3FC47F4B" w14:textId="77777777" w:rsidR="00731C28" w:rsidRPr="00165D3A" w:rsidRDefault="00731C28" w:rsidP="00816216">
            <w:pPr>
              <w:rPr>
                <w:rFonts w:ascii="Times New Roman" w:hAnsi="Times New Roman" w:cs="Times New Roman"/>
                <w:sz w:val="24"/>
                <w:szCs w:val="24"/>
              </w:rPr>
            </w:pPr>
            <w:r w:rsidRPr="00165D3A">
              <w:rPr>
                <w:rFonts w:ascii="Times New Roman" w:hAnsi="Times New Roman" w:cs="Times New Roman"/>
                <w:sz w:val="24"/>
                <w:szCs w:val="24"/>
              </w:rPr>
              <w:t>512</w:t>
            </w:r>
          </w:p>
        </w:tc>
      </w:tr>
    </w:tbl>
    <w:p w14:paraId="6700B54C" w14:textId="77777777" w:rsidR="00731C28" w:rsidRPr="00165D3A" w:rsidRDefault="00731C28" w:rsidP="00731C28">
      <w:pPr>
        <w:spacing w:after="0" w:line="240" w:lineRule="auto"/>
        <w:jc w:val="both"/>
        <w:rPr>
          <w:rFonts w:ascii="Times New Roman" w:eastAsia="Times New Roman" w:hAnsi="Times New Roman" w:cs="Times New Roman"/>
          <w:bCs/>
          <w:i/>
          <w:iCs/>
          <w:sz w:val="24"/>
          <w:szCs w:val="24"/>
          <w:lang w:eastAsia="hr-HR"/>
        </w:rPr>
      </w:pPr>
    </w:p>
    <w:p w14:paraId="2138080B" w14:textId="77777777" w:rsidR="00731C28" w:rsidRDefault="00731C28" w:rsidP="00731C28">
      <w:pPr>
        <w:spacing w:after="0" w:line="240" w:lineRule="auto"/>
        <w:rPr>
          <w:rFonts w:ascii="Times New Roman" w:hAnsi="Times New Roman" w:cs="Times New Roman"/>
          <w:sz w:val="24"/>
          <w:szCs w:val="24"/>
        </w:rPr>
      </w:pPr>
    </w:p>
    <w:p w14:paraId="7D9942E4" w14:textId="77777777" w:rsidR="00731C28" w:rsidRPr="00165D3A" w:rsidRDefault="00731C28" w:rsidP="00731C28">
      <w:pPr>
        <w:spacing w:after="0" w:line="240" w:lineRule="auto"/>
        <w:rPr>
          <w:rFonts w:ascii="Times New Roman" w:hAnsi="Times New Roman" w:cs="Times New Roman"/>
          <w:sz w:val="24"/>
          <w:szCs w:val="24"/>
        </w:rPr>
      </w:pPr>
    </w:p>
    <w:p w14:paraId="7BA82E2B" w14:textId="77777777" w:rsidR="00731C28" w:rsidRDefault="00731C28" w:rsidP="00FB05F1">
      <w:pPr>
        <w:pStyle w:val="Odlomakpopisa"/>
        <w:numPr>
          <w:ilvl w:val="0"/>
          <w:numId w:val="27"/>
        </w:numPr>
        <w:spacing w:after="0" w:line="240" w:lineRule="auto"/>
        <w:ind w:left="426" w:hanging="426"/>
        <w:jc w:val="both"/>
        <w:rPr>
          <w:rFonts w:ascii="Times New Roman" w:eastAsia="Times New Roman" w:hAnsi="Times New Roman" w:cs="Times New Roman"/>
          <w:bCs/>
          <w:sz w:val="24"/>
          <w:szCs w:val="24"/>
          <w:lang w:eastAsia="hr-HR"/>
        </w:rPr>
      </w:pPr>
      <w:r w:rsidRPr="0018558D">
        <w:rPr>
          <w:rFonts w:ascii="Times New Roman" w:eastAsia="Times New Roman" w:hAnsi="Times New Roman" w:cs="Times New Roman"/>
          <w:bCs/>
          <w:sz w:val="24"/>
          <w:szCs w:val="24"/>
          <w:lang w:eastAsia="hr-HR"/>
        </w:rPr>
        <w:t xml:space="preserve">Prilagodba programa slijepim i slabovidnim osobama: </w:t>
      </w:r>
    </w:p>
    <w:p w14:paraId="7E0025DF" w14:textId="77777777" w:rsidR="00731C28" w:rsidRPr="0018558D" w:rsidRDefault="00731C28" w:rsidP="00731C28">
      <w:pPr>
        <w:spacing w:after="0" w:line="240" w:lineRule="auto"/>
        <w:ind w:left="426"/>
        <w:jc w:val="both"/>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U</w:t>
      </w:r>
      <w:r w:rsidRPr="0018558D">
        <w:rPr>
          <w:rFonts w:ascii="Times New Roman" w:eastAsia="Times New Roman" w:hAnsi="Times New Roman" w:cs="Times New Roman"/>
          <w:bCs/>
          <w:sz w:val="24"/>
          <w:szCs w:val="24"/>
          <w:lang w:eastAsia="hr-HR"/>
        </w:rPr>
        <w:t xml:space="preserve"> 2019. godini napravljena je </w:t>
      </w:r>
      <w:proofErr w:type="spellStart"/>
      <w:r w:rsidRPr="0018558D">
        <w:rPr>
          <w:rFonts w:ascii="Times New Roman" w:eastAsia="Times New Roman" w:hAnsi="Times New Roman" w:cs="Times New Roman"/>
          <w:bCs/>
          <w:sz w:val="24"/>
          <w:szCs w:val="24"/>
          <w:lang w:eastAsia="hr-HR"/>
        </w:rPr>
        <w:t>audiodeskripcija</w:t>
      </w:r>
      <w:proofErr w:type="spellEnd"/>
      <w:r w:rsidRPr="0018558D">
        <w:rPr>
          <w:rFonts w:ascii="Times New Roman" w:eastAsia="Times New Roman" w:hAnsi="Times New Roman" w:cs="Times New Roman"/>
          <w:bCs/>
          <w:sz w:val="24"/>
          <w:szCs w:val="24"/>
          <w:lang w:eastAsia="hr-HR"/>
        </w:rPr>
        <w:t xml:space="preserve"> za 13 domaćih igranih filmova i dvije serije. </w:t>
      </w:r>
    </w:p>
    <w:p w14:paraId="66B9DEC2" w14:textId="77777777" w:rsidR="00731C28" w:rsidRPr="00165D3A" w:rsidRDefault="00731C28" w:rsidP="00731C28">
      <w:pPr>
        <w:spacing w:after="0" w:line="240" w:lineRule="auto"/>
        <w:ind w:firstLine="426"/>
        <w:jc w:val="both"/>
        <w:rPr>
          <w:rFonts w:ascii="Times New Roman" w:eastAsia="Times New Roman" w:hAnsi="Times New Roman" w:cs="Times New Roman"/>
          <w:bCs/>
          <w:sz w:val="24"/>
          <w:szCs w:val="24"/>
          <w:lang w:eastAsia="hr-HR"/>
        </w:rPr>
      </w:pPr>
      <w:r w:rsidRPr="00165D3A">
        <w:rPr>
          <w:rFonts w:ascii="Times New Roman" w:eastAsia="Times New Roman" w:hAnsi="Times New Roman" w:cs="Times New Roman"/>
          <w:bCs/>
          <w:sz w:val="24"/>
          <w:szCs w:val="24"/>
          <w:lang w:eastAsia="hr-HR"/>
        </w:rPr>
        <w:t>Ukupno je emitirano 38 programskih sadržaja u trajanju od 2.860 minuta.</w:t>
      </w:r>
    </w:p>
    <w:p w14:paraId="03A3B756" w14:textId="77777777" w:rsidR="00731C28" w:rsidRDefault="00731C28" w:rsidP="00FB05F1">
      <w:pPr>
        <w:pStyle w:val="Odlomakpopisa"/>
        <w:numPr>
          <w:ilvl w:val="0"/>
          <w:numId w:val="27"/>
        </w:numPr>
        <w:spacing w:after="0" w:line="240" w:lineRule="auto"/>
        <w:ind w:left="426" w:hanging="426"/>
        <w:jc w:val="both"/>
        <w:rPr>
          <w:rFonts w:ascii="Times New Roman" w:eastAsia="Times New Roman" w:hAnsi="Times New Roman" w:cs="Times New Roman"/>
          <w:bCs/>
          <w:sz w:val="24"/>
          <w:szCs w:val="24"/>
          <w:lang w:eastAsia="hr-HR"/>
        </w:rPr>
      </w:pPr>
      <w:r w:rsidRPr="0018558D">
        <w:rPr>
          <w:rFonts w:ascii="Times New Roman" w:eastAsia="Times New Roman" w:hAnsi="Times New Roman" w:cs="Times New Roman"/>
          <w:bCs/>
          <w:sz w:val="24"/>
          <w:szCs w:val="24"/>
          <w:lang w:eastAsia="hr-HR"/>
        </w:rPr>
        <w:lastRenderedPageBreak/>
        <w:t xml:space="preserve">Hrvatska radiotelevizija je kroz svoj Odjel weba i multimedije na platformama: web, teletekst, </w:t>
      </w:r>
      <w:proofErr w:type="spellStart"/>
      <w:r w:rsidRPr="0018558D">
        <w:rPr>
          <w:rFonts w:ascii="Times New Roman" w:eastAsia="Times New Roman" w:hAnsi="Times New Roman" w:cs="Times New Roman"/>
          <w:bCs/>
          <w:sz w:val="24"/>
          <w:szCs w:val="24"/>
          <w:lang w:eastAsia="hr-HR"/>
        </w:rPr>
        <w:t>HRTi</w:t>
      </w:r>
      <w:proofErr w:type="spellEnd"/>
      <w:r w:rsidRPr="0018558D">
        <w:rPr>
          <w:rFonts w:ascii="Times New Roman" w:eastAsia="Times New Roman" w:hAnsi="Times New Roman" w:cs="Times New Roman"/>
          <w:bCs/>
          <w:sz w:val="24"/>
          <w:szCs w:val="24"/>
          <w:lang w:eastAsia="hr-HR"/>
        </w:rPr>
        <w:t xml:space="preserve"> (OTT platforma) i društvene mreže u 2019. godini prenosila sadržaje emitirane u programima HRT-a koji su vezani za aktualne probleme osoba s invaliditetom.</w:t>
      </w:r>
    </w:p>
    <w:p w14:paraId="3ABCFF36" w14:textId="77777777" w:rsidR="00731C28" w:rsidRDefault="00731C28" w:rsidP="00FB05F1">
      <w:pPr>
        <w:pStyle w:val="Odlomakpopisa"/>
        <w:numPr>
          <w:ilvl w:val="0"/>
          <w:numId w:val="27"/>
        </w:numPr>
        <w:spacing w:after="0" w:line="240" w:lineRule="auto"/>
        <w:ind w:left="426" w:hanging="426"/>
        <w:jc w:val="both"/>
        <w:rPr>
          <w:rFonts w:ascii="Times New Roman" w:eastAsia="Times New Roman" w:hAnsi="Times New Roman" w:cs="Times New Roman"/>
          <w:bCs/>
          <w:sz w:val="24"/>
          <w:szCs w:val="24"/>
          <w:lang w:eastAsia="hr-HR"/>
        </w:rPr>
      </w:pPr>
      <w:r w:rsidRPr="0018558D">
        <w:rPr>
          <w:rFonts w:ascii="Times New Roman" w:eastAsia="Times New Roman" w:hAnsi="Times New Roman" w:cs="Times New Roman"/>
          <w:bCs/>
          <w:sz w:val="24"/>
          <w:szCs w:val="24"/>
          <w:lang w:eastAsia="hr-HR"/>
        </w:rPr>
        <w:t xml:space="preserve">Na mrežnoj stranici platforme </w:t>
      </w:r>
      <w:proofErr w:type="spellStart"/>
      <w:r w:rsidRPr="0018558D">
        <w:rPr>
          <w:rFonts w:ascii="Times New Roman" w:eastAsia="Times New Roman" w:hAnsi="Times New Roman" w:cs="Times New Roman"/>
          <w:bCs/>
          <w:sz w:val="24"/>
          <w:szCs w:val="24"/>
          <w:lang w:eastAsia="hr-HR"/>
        </w:rPr>
        <w:t>HRTi</w:t>
      </w:r>
      <w:proofErr w:type="spellEnd"/>
      <w:r w:rsidRPr="0018558D">
        <w:rPr>
          <w:rFonts w:ascii="Times New Roman" w:eastAsia="Times New Roman" w:hAnsi="Times New Roman" w:cs="Times New Roman"/>
          <w:bCs/>
          <w:sz w:val="24"/>
          <w:szCs w:val="24"/>
          <w:lang w:eastAsia="hr-HR"/>
        </w:rPr>
        <w:t xml:space="preserve"> autor kolumne „Isti kao svi“, novinar Hrvoje Belamarić (osoba s invaliditetom) pratio je probleme i pozitivne priče osoba s invaliditetom, kao i njihovo uključivanje u društvene tokove.</w:t>
      </w:r>
    </w:p>
    <w:p w14:paraId="7F979175" w14:textId="77777777" w:rsidR="00731C28" w:rsidRDefault="00731C28" w:rsidP="00FB05F1">
      <w:pPr>
        <w:pStyle w:val="Odlomakpopisa"/>
        <w:numPr>
          <w:ilvl w:val="0"/>
          <w:numId w:val="27"/>
        </w:numPr>
        <w:spacing w:after="0" w:line="240" w:lineRule="auto"/>
        <w:ind w:left="426" w:hanging="426"/>
        <w:jc w:val="both"/>
        <w:rPr>
          <w:rFonts w:ascii="Times New Roman" w:eastAsia="Times New Roman" w:hAnsi="Times New Roman" w:cs="Times New Roman"/>
          <w:bCs/>
          <w:sz w:val="24"/>
          <w:szCs w:val="24"/>
          <w:lang w:eastAsia="hr-HR"/>
        </w:rPr>
      </w:pPr>
      <w:r w:rsidRPr="0018558D">
        <w:rPr>
          <w:rFonts w:ascii="Times New Roman" w:eastAsia="Times New Roman" w:hAnsi="Times New Roman" w:cs="Times New Roman"/>
          <w:bCs/>
          <w:sz w:val="24"/>
          <w:szCs w:val="24"/>
          <w:lang w:eastAsia="hr-HR"/>
        </w:rPr>
        <w:t xml:space="preserve">Putem digitalne platforme </w:t>
      </w:r>
      <w:proofErr w:type="spellStart"/>
      <w:r w:rsidRPr="0018558D">
        <w:rPr>
          <w:rFonts w:ascii="Times New Roman" w:eastAsia="Times New Roman" w:hAnsi="Times New Roman" w:cs="Times New Roman"/>
          <w:bCs/>
          <w:sz w:val="24"/>
          <w:szCs w:val="24"/>
          <w:lang w:eastAsia="hr-HR"/>
        </w:rPr>
        <w:t>HRTi</w:t>
      </w:r>
      <w:proofErr w:type="spellEnd"/>
      <w:r w:rsidRPr="0018558D">
        <w:rPr>
          <w:rFonts w:ascii="Times New Roman" w:eastAsia="Times New Roman" w:hAnsi="Times New Roman" w:cs="Times New Roman"/>
          <w:bCs/>
          <w:sz w:val="24"/>
          <w:szCs w:val="24"/>
          <w:lang w:eastAsia="hr-HR"/>
        </w:rPr>
        <w:t xml:space="preserve">, mnogi sadržaji su preneseni i posebno izdvojeni iz linearnog emitiranja. Ovisno o pravima, pojedini sadržaji su pohranjeni u „Videoteci“ </w:t>
      </w:r>
      <w:proofErr w:type="spellStart"/>
      <w:r w:rsidRPr="0018558D">
        <w:rPr>
          <w:rFonts w:ascii="Times New Roman" w:eastAsia="Times New Roman" w:hAnsi="Times New Roman" w:cs="Times New Roman"/>
          <w:bCs/>
          <w:sz w:val="24"/>
          <w:szCs w:val="24"/>
          <w:lang w:eastAsia="hr-HR"/>
        </w:rPr>
        <w:t>HRTi</w:t>
      </w:r>
      <w:proofErr w:type="spellEnd"/>
      <w:r w:rsidRPr="0018558D">
        <w:rPr>
          <w:rFonts w:ascii="Times New Roman" w:eastAsia="Times New Roman" w:hAnsi="Times New Roman" w:cs="Times New Roman"/>
          <w:bCs/>
          <w:sz w:val="24"/>
          <w:szCs w:val="24"/>
          <w:lang w:eastAsia="hr-HR"/>
        </w:rPr>
        <w:t>-a, s ciljem informiranja, obrazovanja, senzibiliziranja javnosti  za osobe s invaliditetom.</w:t>
      </w:r>
    </w:p>
    <w:p w14:paraId="74B42359" w14:textId="77777777" w:rsidR="00731C28" w:rsidRDefault="00731C28" w:rsidP="00FB05F1">
      <w:pPr>
        <w:pStyle w:val="Odlomakpopisa"/>
        <w:numPr>
          <w:ilvl w:val="0"/>
          <w:numId w:val="27"/>
        </w:numPr>
        <w:spacing w:after="0" w:line="240" w:lineRule="auto"/>
        <w:ind w:left="426" w:hanging="426"/>
        <w:jc w:val="both"/>
        <w:rPr>
          <w:rFonts w:ascii="Times New Roman" w:eastAsia="Times New Roman" w:hAnsi="Times New Roman" w:cs="Times New Roman"/>
          <w:bCs/>
          <w:sz w:val="24"/>
          <w:szCs w:val="24"/>
          <w:lang w:eastAsia="hr-HR"/>
        </w:rPr>
      </w:pPr>
      <w:r w:rsidRPr="0018558D">
        <w:rPr>
          <w:rFonts w:ascii="Times New Roman" w:eastAsia="Times New Roman" w:hAnsi="Times New Roman" w:cs="Times New Roman"/>
          <w:bCs/>
          <w:sz w:val="24"/>
          <w:szCs w:val="24"/>
          <w:lang w:eastAsia="hr-HR"/>
        </w:rPr>
        <w:t xml:space="preserve">Putem besplatne multimedijske usluge </w:t>
      </w:r>
      <w:proofErr w:type="spellStart"/>
      <w:r w:rsidRPr="0018558D">
        <w:rPr>
          <w:rFonts w:ascii="Times New Roman" w:eastAsia="Times New Roman" w:hAnsi="Times New Roman" w:cs="Times New Roman"/>
          <w:bCs/>
          <w:sz w:val="24"/>
          <w:szCs w:val="24"/>
          <w:lang w:eastAsia="hr-HR"/>
        </w:rPr>
        <w:t>HRTi</w:t>
      </w:r>
      <w:proofErr w:type="spellEnd"/>
      <w:r w:rsidRPr="0018558D">
        <w:rPr>
          <w:rFonts w:ascii="Times New Roman" w:eastAsia="Times New Roman" w:hAnsi="Times New Roman" w:cs="Times New Roman"/>
          <w:bCs/>
          <w:sz w:val="24"/>
          <w:szCs w:val="24"/>
          <w:lang w:eastAsia="hr-HR"/>
        </w:rPr>
        <w:t xml:space="preserve">, emitiranjem dokumentarnih filmova posebno su obilježeni – 21. ožujka – Međunarodni dan </w:t>
      </w:r>
      <w:proofErr w:type="spellStart"/>
      <w:r w:rsidRPr="0018558D">
        <w:rPr>
          <w:rFonts w:ascii="Times New Roman" w:eastAsia="Times New Roman" w:hAnsi="Times New Roman" w:cs="Times New Roman"/>
          <w:bCs/>
          <w:sz w:val="24"/>
          <w:szCs w:val="24"/>
          <w:lang w:eastAsia="hr-HR"/>
        </w:rPr>
        <w:t>Dopwnovog</w:t>
      </w:r>
      <w:proofErr w:type="spellEnd"/>
      <w:r w:rsidRPr="0018558D">
        <w:rPr>
          <w:rFonts w:ascii="Times New Roman" w:eastAsia="Times New Roman" w:hAnsi="Times New Roman" w:cs="Times New Roman"/>
          <w:bCs/>
          <w:sz w:val="24"/>
          <w:szCs w:val="24"/>
          <w:lang w:eastAsia="hr-HR"/>
        </w:rPr>
        <w:t xml:space="preserve"> sindroma – Mama, imam prijatelja, dokumentarni film (38,18 minuta) - 2. travnja – Svjetski dan svjesnosti o autizmu – Susreti s autizmom, dokumentarna serija (5x50 min)</w:t>
      </w:r>
    </w:p>
    <w:p w14:paraId="3DBCF243" w14:textId="77777777" w:rsidR="00731C28" w:rsidRDefault="00731C28" w:rsidP="00FB05F1">
      <w:pPr>
        <w:pStyle w:val="Odlomakpopisa"/>
        <w:numPr>
          <w:ilvl w:val="0"/>
          <w:numId w:val="27"/>
        </w:numPr>
        <w:spacing w:after="0" w:line="240" w:lineRule="auto"/>
        <w:ind w:left="426" w:hanging="426"/>
        <w:jc w:val="both"/>
        <w:rPr>
          <w:rFonts w:ascii="Times New Roman" w:eastAsia="Times New Roman" w:hAnsi="Times New Roman" w:cs="Times New Roman"/>
          <w:bCs/>
          <w:sz w:val="24"/>
          <w:szCs w:val="24"/>
          <w:lang w:eastAsia="hr-HR"/>
        </w:rPr>
      </w:pPr>
      <w:r w:rsidRPr="0018558D">
        <w:rPr>
          <w:rFonts w:ascii="Times New Roman" w:eastAsia="Times New Roman" w:hAnsi="Times New Roman" w:cs="Times New Roman"/>
          <w:bCs/>
          <w:sz w:val="24"/>
          <w:szCs w:val="24"/>
          <w:lang w:eastAsia="hr-HR"/>
        </w:rPr>
        <w:t xml:space="preserve">U videoteci </w:t>
      </w:r>
      <w:proofErr w:type="spellStart"/>
      <w:r w:rsidRPr="0018558D">
        <w:rPr>
          <w:rFonts w:ascii="Times New Roman" w:eastAsia="Times New Roman" w:hAnsi="Times New Roman" w:cs="Times New Roman"/>
          <w:bCs/>
          <w:sz w:val="24"/>
          <w:szCs w:val="24"/>
          <w:lang w:eastAsia="hr-HR"/>
        </w:rPr>
        <w:t>HRTi</w:t>
      </w:r>
      <w:proofErr w:type="spellEnd"/>
      <w:r w:rsidRPr="0018558D">
        <w:rPr>
          <w:rFonts w:ascii="Times New Roman" w:eastAsia="Times New Roman" w:hAnsi="Times New Roman" w:cs="Times New Roman"/>
          <w:bCs/>
          <w:sz w:val="24"/>
          <w:szCs w:val="24"/>
          <w:lang w:eastAsia="hr-HR"/>
        </w:rPr>
        <w:t xml:space="preserve"> nalaze se i ostali sadržaji HTT-ovog programa koji obrađuju tematiku osoba s invaliditetom</w:t>
      </w:r>
    </w:p>
    <w:p w14:paraId="14A6C198" w14:textId="77777777" w:rsidR="00731C28" w:rsidRDefault="00731C28" w:rsidP="00FB05F1">
      <w:pPr>
        <w:pStyle w:val="Odlomakpopisa"/>
        <w:numPr>
          <w:ilvl w:val="0"/>
          <w:numId w:val="27"/>
        </w:numPr>
        <w:spacing w:after="0" w:line="240" w:lineRule="auto"/>
        <w:ind w:left="426" w:hanging="426"/>
        <w:jc w:val="both"/>
        <w:rPr>
          <w:rFonts w:ascii="Times New Roman" w:eastAsia="Times New Roman" w:hAnsi="Times New Roman" w:cs="Times New Roman"/>
          <w:bCs/>
          <w:sz w:val="24"/>
          <w:szCs w:val="24"/>
          <w:lang w:eastAsia="hr-HR"/>
        </w:rPr>
      </w:pPr>
      <w:r w:rsidRPr="0018558D">
        <w:rPr>
          <w:rFonts w:ascii="Times New Roman" w:eastAsia="Times New Roman" w:hAnsi="Times New Roman" w:cs="Times New Roman"/>
          <w:bCs/>
          <w:sz w:val="24"/>
          <w:szCs w:val="24"/>
          <w:lang w:eastAsia="hr-HR"/>
        </w:rPr>
        <w:t>U 2019. godini, usporedno na dvjema platforama: unutar emisije Školski sat na Drugom programu Hrvatske televizije (HRT- HTV 2) i na obrazovnoj mrežnoj stranici skolski.hr, nastavljen je projekt Drugi, koji tematizira vjerske, nacionalne i socijalno ugrožene manjine. Posvećen je međukulturnom obrazovanju koje osnažuje razumijevanje, uzajamno poštovanje i dijalog među pripadnicima različitih kultura. U projekt su uključeni svi sudionici obrazovnog sustava, učenici svih uzrasta, nastavnici, stručnjaci i nevladine udruge uključene u građanski odgoj.</w:t>
      </w:r>
    </w:p>
    <w:p w14:paraId="5C5DA21C" w14:textId="77777777" w:rsidR="00731C28" w:rsidRPr="0018558D" w:rsidRDefault="00731C28" w:rsidP="00FB05F1">
      <w:pPr>
        <w:pStyle w:val="Odlomakpopisa"/>
        <w:numPr>
          <w:ilvl w:val="0"/>
          <w:numId w:val="27"/>
        </w:numPr>
        <w:spacing w:after="0" w:line="240" w:lineRule="auto"/>
        <w:ind w:left="426" w:hanging="426"/>
        <w:jc w:val="both"/>
        <w:rPr>
          <w:rFonts w:ascii="Times New Roman" w:eastAsia="Times New Roman" w:hAnsi="Times New Roman" w:cs="Times New Roman"/>
          <w:bCs/>
          <w:sz w:val="24"/>
          <w:szCs w:val="24"/>
          <w:lang w:eastAsia="hr-HR"/>
        </w:rPr>
      </w:pPr>
      <w:r w:rsidRPr="0018558D">
        <w:rPr>
          <w:rFonts w:ascii="Times New Roman" w:eastAsia="Times New Roman" w:hAnsi="Times New Roman" w:cs="Times New Roman"/>
          <w:bCs/>
          <w:sz w:val="24"/>
          <w:szCs w:val="24"/>
          <w:lang w:eastAsia="hr-HR"/>
        </w:rPr>
        <w:t>Na objema platformama prikazivani su kratki dokumentarni filmovi o osobama koje pripadaju različitim društvenim skupinama ili njeguju različite stilove života, te animirani filmovi o tome kako stvarati tolerantno i interkulturno društvo (u proizvodnji HRT-a), kao i najbolji učenički filmovi i radovi iz više od 150 srednjih i osnovnih škola, u kojima oni predstavljaju „druge“ u svojoj okolini, te prikazuju baštinu vlastitog kraja i drugih krajeva Hrvatske. Između ostalih bile su zastupljene i sljedeće tematske cjeline:</w:t>
      </w:r>
    </w:p>
    <w:p w14:paraId="0F20E75D" w14:textId="77777777" w:rsidR="00731C28" w:rsidRPr="00165D3A" w:rsidRDefault="00731C28" w:rsidP="00731C28">
      <w:pPr>
        <w:spacing w:after="0" w:line="240" w:lineRule="auto"/>
        <w:ind w:left="993" w:hanging="426"/>
        <w:jc w:val="both"/>
        <w:rPr>
          <w:rFonts w:ascii="Times New Roman" w:eastAsia="Times New Roman" w:hAnsi="Times New Roman" w:cs="Times New Roman"/>
          <w:bCs/>
          <w:sz w:val="24"/>
          <w:szCs w:val="24"/>
          <w:lang w:eastAsia="hr-HR"/>
        </w:rPr>
      </w:pPr>
      <w:r w:rsidRPr="00165D3A">
        <w:rPr>
          <w:rFonts w:ascii="Times New Roman" w:eastAsia="Times New Roman" w:hAnsi="Times New Roman" w:cs="Times New Roman"/>
          <w:bCs/>
          <w:sz w:val="24"/>
          <w:szCs w:val="24"/>
          <w:lang w:eastAsia="hr-HR"/>
        </w:rPr>
        <w:t>- osobe s invaliditetom</w:t>
      </w:r>
    </w:p>
    <w:p w14:paraId="7C58906E" w14:textId="77777777" w:rsidR="00731C28" w:rsidRPr="00165D3A" w:rsidRDefault="00731C28" w:rsidP="00731C28">
      <w:pPr>
        <w:spacing w:after="0" w:line="240" w:lineRule="auto"/>
        <w:ind w:left="993" w:hanging="426"/>
        <w:jc w:val="both"/>
        <w:rPr>
          <w:rFonts w:ascii="Times New Roman" w:eastAsia="Times New Roman" w:hAnsi="Times New Roman" w:cs="Times New Roman"/>
          <w:bCs/>
          <w:sz w:val="24"/>
          <w:szCs w:val="24"/>
          <w:lang w:eastAsia="hr-HR"/>
        </w:rPr>
      </w:pPr>
      <w:r w:rsidRPr="00165D3A">
        <w:rPr>
          <w:rFonts w:ascii="Times New Roman" w:eastAsia="Times New Roman" w:hAnsi="Times New Roman" w:cs="Times New Roman"/>
          <w:bCs/>
          <w:sz w:val="24"/>
          <w:szCs w:val="24"/>
          <w:lang w:eastAsia="hr-HR"/>
        </w:rPr>
        <w:t>- osobe narušenog zdravlja</w:t>
      </w:r>
    </w:p>
    <w:p w14:paraId="6CA9CE42" w14:textId="77777777" w:rsidR="00731C28" w:rsidRDefault="00731C28" w:rsidP="00FB05F1">
      <w:pPr>
        <w:pStyle w:val="Odlomakpopisa"/>
        <w:numPr>
          <w:ilvl w:val="0"/>
          <w:numId w:val="27"/>
        </w:numPr>
        <w:spacing w:after="0" w:line="240" w:lineRule="auto"/>
        <w:ind w:left="426" w:hanging="426"/>
        <w:jc w:val="both"/>
        <w:rPr>
          <w:rFonts w:ascii="Times New Roman" w:eastAsia="Times New Roman" w:hAnsi="Times New Roman" w:cs="Times New Roman"/>
          <w:bCs/>
          <w:sz w:val="24"/>
          <w:szCs w:val="24"/>
          <w:lang w:eastAsia="hr-HR"/>
        </w:rPr>
      </w:pPr>
      <w:r w:rsidRPr="0018558D">
        <w:rPr>
          <w:rFonts w:ascii="Times New Roman" w:eastAsia="Times New Roman" w:hAnsi="Times New Roman" w:cs="Times New Roman"/>
          <w:bCs/>
          <w:sz w:val="24"/>
          <w:szCs w:val="24"/>
          <w:lang w:eastAsia="hr-HR"/>
        </w:rPr>
        <w:t>Na portalu skolski.hr pored tih materijala, postavljeni su i kvizovi te pojmovnik s najvažnijim činjenicama i objašnjenjima o ranjivim društvenim skupinama, argumentacije za debate o različitim temama iz tog područja koje su pripremili debitanti Hrvatskog debatnog društva, i pripreme nastavnih jedinica, namijenjene nastavnicima, koje su izradili stručnjaci iz Foruma za slobodu odgoja.</w:t>
      </w:r>
    </w:p>
    <w:p w14:paraId="495AB562" w14:textId="77777777" w:rsidR="00731C28" w:rsidRPr="0018558D" w:rsidRDefault="00731C28" w:rsidP="00FB05F1">
      <w:pPr>
        <w:pStyle w:val="Odlomakpopisa"/>
        <w:numPr>
          <w:ilvl w:val="0"/>
          <w:numId w:val="27"/>
        </w:numPr>
        <w:spacing w:after="0" w:line="240" w:lineRule="auto"/>
        <w:ind w:left="426" w:hanging="426"/>
        <w:jc w:val="both"/>
        <w:rPr>
          <w:rFonts w:ascii="Times New Roman" w:eastAsia="Times New Roman" w:hAnsi="Times New Roman" w:cs="Times New Roman"/>
          <w:bCs/>
          <w:sz w:val="24"/>
          <w:szCs w:val="24"/>
          <w:lang w:eastAsia="hr-HR"/>
        </w:rPr>
      </w:pPr>
      <w:r w:rsidRPr="0018558D">
        <w:rPr>
          <w:rFonts w:ascii="Times New Roman" w:eastAsia="Times New Roman" w:hAnsi="Times New Roman" w:cs="Times New Roman"/>
          <w:bCs/>
          <w:sz w:val="24"/>
          <w:szCs w:val="24"/>
          <w:lang w:eastAsia="hr-HR"/>
        </w:rPr>
        <w:t>Povećana je dostupnost titlova i na drugim platformama (</w:t>
      </w:r>
      <w:proofErr w:type="spellStart"/>
      <w:r w:rsidRPr="0018558D">
        <w:rPr>
          <w:rFonts w:ascii="Times New Roman" w:eastAsia="Times New Roman" w:hAnsi="Times New Roman" w:cs="Times New Roman"/>
          <w:bCs/>
          <w:sz w:val="24"/>
          <w:szCs w:val="24"/>
          <w:lang w:eastAsia="hr-HR"/>
        </w:rPr>
        <w:t>HRTi</w:t>
      </w:r>
      <w:proofErr w:type="spellEnd"/>
      <w:r w:rsidRPr="0018558D">
        <w:rPr>
          <w:rFonts w:ascii="Times New Roman" w:eastAsia="Times New Roman" w:hAnsi="Times New Roman" w:cs="Times New Roman"/>
          <w:bCs/>
          <w:sz w:val="24"/>
          <w:szCs w:val="24"/>
          <w:lang w:eastAsia="hr-HR"/>
        </w:rPr>
        <w:t>), za emisije dostupne na zahtjev.</w:t>
      </w:r>
    </w:p>
    <w:p w14:paraId="3E4A4B5D" w14:textId="77777777" w:rsidR="00731C28" w:rsidRDefault="00731C28" w:rsidP="00731C28">
      <w:pPr>
        <w:spacing w:after="0" w:line="240" w:lineRule="auto"/>
        <w:jc w:val="both"/>
        <w:rPr>
          <w:rFonts w:ascii="Times New Roman" w:eastAsia="Times New Roman" w:hAnsi="Times New Roman" w:cs="Times New Roman"/>
          <w:bCs/>
          <w:sz w:val="24"/>
          <w:szCs w:val="24"/>
          <w:lang w:eastAsia="hr-HR"/>
        </w:rPr>
      </w:pPr>
    </w:p>
    <w:p w14:paraId="11971EB2" w14:textId="77777777" w:rsidR="00731C28" w:rsidRDefault="00731C28" w:rsidP="00731C28"/>
    <w:p w14:paraId="6D814038" w14:textId="77777777" w:rsidR="00731C28" w:rsidRPr="00A912E1" w:rsidRDefault="00731C28" w:rsidP="00731C28">
      <w:pPr>
        <w:ind w:left="284" w:hanging="284"/>
      </w:pPr>
    </w:p>
    <w:p w14:paraId="08EDBB01" w14:textId="4B4B5EFD" w:rsidR="00F6157A" w:rsidRDefault="00F6157A" w:rsidP="006B5133">
      <w:pPr>
        <w:pStyle w:val="t-98-2"/>
        <w:shd w:val="clear" w:color="auto" w:fill="FFFFFF"/>
        <w:spacing w:before="0" w:beforeAutospacing="0" w:after="0" w:afterAutospacing="0"/>
        <w:jc w:val="both"/>
        <w:textAlignment w:val="baseline"/>
      </w:pPr>
    </w:p>
    <w:p w14:paraId="2587ECD3" w14:textId="6A95171E" w:rsidR="00731C28" w:rsidRDefault="00731C28" w:rsidP="006B5133">
      <w:pPr>
        <w:pStyle w:val="t-98-2"/>
        <w:shd w:val="clear" w:color="auto" w:fill="FFFFFF"/>
        <w:spacing w:before="0" w:beforeAutospacing="0" w:after="0" w:afterAutospacing="0"/>
        <w:jc w:val="both"/>
        <w:textAlignment w:val="baseline"/>
      </w:pPr>
    </w:p>
    <w:p w14:paraId="74A4CA23" w14:textId="4488F1DE" w:rsidR="0046169C" w:rsidRDefault="0046169C">
      <w:pPr>
        <w:rPr>
          <w:rFonts w:ascii="Times New Roman" w:eastAsia="Times New Roman" w:hAnsi="Times New Roman" w:cs="Times New Roman"/>
          <w:sz w:val="24"/>
          <w:szCs w:val="24"/>
          <w:lang w:eastAsia="hr-HR"/>
        </w:rPr>
      </w:pPr>
      <w:r>
        <w:br w:type="page"/>
      </w:r>
    </w:p>
    <w:p w14:paraId="0D283C2E" w14:textId="77777777" w:rsidR="0046169C" w:rsidRPr="00872D1C" w:rsidRDefault="0046169C" w:rsidP="0046169C">
      <w:pPr>
        <w:pStyle w:val="NormalNormalHZZO1"/>
        <w:spacing w:after="85"/>
        <w:jc w:val="both"/>
        <w:rPr>
          <w:rFonts w:cs="Calibri"/>
          <w:b/>
          <w:bCs/>
          <w:sz w:val="24"/>
          <w:szCs w:val="24"/>
          <w:u w:val="single"/>
        </w:rPr>
      </w:pPr>
      <w:r w:rsidRPr="00872D1C">
        <w:rPr>
          <w:rFonts w:cs="Calibri"/>
          <w:b/>
          <w:bCs/>
          <w:sz w:val="24"/>
          <w:szCs w:val="24"/>
          <w:u w:val="single"/>
        </w:rPr>
        <w:lastRenderedPageBreak/>
        <w:t>Prilog 3</w:t>
      </w:r>
      <w:r>
        <w:rPr>
          <w:rFonts w:cs="Calibri"/>
          <w:b/>
          <w:bCs/>
          <w:sz w:val="24"/>
          <w:szCs w:val="24"/>
          <w:u w:val="single"/>
        </w:rPr>
        <w:t>0</w:t>
      </w:r>
    </w:p>
    <w:p w14:paraId="255AC5FC" w14:textId="77777777" w:rsidR="0046169C" w:rsidRDefault="0046169C" w:rsidP="0046169C">
      <w:pPr>
        <w:pStyle w:val="NormalNormalHZZO1"/>
        <w:spacing w:after="85"/>
        <w:jc w:val="both"/>
        <w:rPr>
          <w:rFonts w:cs="Calibri"/>
          <w:sz w:val="24"/>
          <w:szCs w:val="24"/>
        </w:rPr>
      </w:pPr>
    </w:p>
    <w:p w14:paraId="266A1523" w14:textId="77777777" w:rsidR="0046169C" w:rsidRPr="00872D1C" w:rsidRDefault="0046169C" w:rsidP="0046169C">
      <w:pPr>
        <w:pStyle w:val="NormalNormalHZZO1"/>
        <w:spacing w:after="85"/>
        <w:jc w:val="center"/>
        <w:rPr>
          <w:b/>
          <w:bCs/>
        </w:rPr>
      </w:pPr>
      <w:r w:rsidRPr="00872D1C">
        <w:rPr>
          <w:rFonts w:cs="Calibri"/>
          <w:b/>
          <w:bCs/>
          <w:sz w:val="24"/>
          <w:szCs w:val="24"/>
        </w:rPr>
        <w:t>PRAVO NA CJELODNEVNI SMJEŠTAJ RODITELJA ILI OSIGURANE OSOBE KOJA SKRBI O DJETETU UZ DIJETE NA BOLNIČKOM LIJEČENJU</w:t>
      </w:r>
    </w:p>
    <w:p w14:paraId="4EB9A938" w14:textId="77777777" w:rsidR="0046169C" w:rsidRDefault="0046169C" w:rsidP="0046169C">
      <w:pPr>
        <w:pStyle w:val="NormalNormalHZZO1"/>
        <w:spacing w:after="85"/>
        <w:jc w:val="both"/>
      </w:pPr>
    </w:p>
    <w:p w14:paraId="439DAA73" w14:textId="77777777" w:rsidR="0046169C" w:rsidRDefault="0046169C" w:rsidP="0046169C">
      <w:pPr>
        <w:pStyle w:val="NormalNormalHZZO1"/>
        <w:spacing w:after="85"/>
        <w:jc w:val="both"/>
      </w:pPr>
    </w:p>
    <w:p w14:paraId="12A0E734" w14:textId="77777777" w:rsidR="0046169C" w:rsidRDefault="0046169C" w:rsidP="0046169C">
      <w:pPr>
        <w:pStyle w:val="NormalNormalHZZO1"/>
        <w:jc w:val="both"/>
      </w:pPr>
      <w:r>
        <w:rPr>
          <w:rFonts w:cs="Calibri"/>
          <w:sz w:val="24"/>
          <w:szCs w:val="24"/>
        </w:rPr>
        <w:t xml:space="preserve">Prema članku 36. Pravilnika </w:t>
      </w:r>
      <w:r>
        <w:rPr>
          <w:sz w:val="24"/>
          <w:szCs w:val="24"/>
          <w:lang w:eastAsia="en-US"/>
        </w:rPr>
        <w:t>o uvjetima i načinu ostvarivanja prava iz obveznog zdravstvenog osiguranja</w:t>
      </w:r>
      <w:r>
        <w:rPr>
          <w:rFonts w:cs="Calibri"/>
          <w:sz w:val="24"/>
          <w:szCs w:val="24"/>
        </w:rPr>
        <w:t xml:space="preserve"> kojim je regulirano pravo na </w:t>
      </w:r>
      <w:r>
        <w:rPr>
          <w:rFonts w:cs="Calibri"/>
          <w:b/>
          <w:sz w:val="24"/>
          <w:szCs w:val="24"/>
          <w:u w:val="single"/>
        </w:rPr>
        <w:t>cjelodnevni smještaj</w:t>
      </w:r>
      <w:r>
        <w:rPr>
          <w:rFonts w:cs="Calibri"/>
          <w:sz w:val="24"/>
          <w:szCs w:val="24"/>
        </w:rPr>
        <w:t xml:space="preserve"> roditelja ili osigurane osobe koja skrbi o djetetu (u daljnjem tekstu: skrbnik) uz dijete na bolničkom liječenju, određuje se sljedeće.</w:t>
      </w:r>
    </w:p>
    <w:p w14:paraId="41D27F2C" w14:textId="77777777" w:rsidR="0046169C" w:rsidRDefault="0046169C" w:rsidP="0046169C">
      <w:pPr>
        <w:pStyle w:val="NormalNormalHZZO1"/>
        <w:jc w:val="both"/>
        <w:rPr>
          <w:rFonts w:cs="Calibri"/>
          <w:sz w:val="24"/>
          <w:szCs w:val="24"/>
        </w:rPr>
      </w:pPr>
      <w:r>
        <w:rPr>
          <w:rFonts w:cs="Calibri"/>
          <w:sz w:val="24"/>
          <w:szCs w:val="24"/>
        </w:rPr>
        <w:t>Cjelodnevni smještaj, na prijedlog izabranog doktora djeteta odnosno odjelnog doktora ugovorne bolničke zdravstvene ustanove u kojoj se dijete liječi, može koristiti osigurana osoba:</w:t>
      </w:r>
    </w:p>
    <w:p w14:paraId="43658730" w14:textId="77777777" w:rsidR="0046169C" w:rsidRDefault="0046169C" w:rsidP="0046169C">
      <w:pPr>
        <w:pStyle w:val="NormalNormalHZZO1"/>
        <w:ind w:firstLine="720"/>
        <w:jc w:val="both"/>
      </w:pPr>
      <w:r>
        <w:rPr>
          <w:rFonts w:cs="Calibri"/>
          <w:sz w:val="24"/>
          <w:szCs w:val="24"/>
        </w:rPr>
        <w:t xml:space="preserve">1. </w:t>
      </w:r>
      <w:r>
        <w:rPr>
          <w:rFonts w:cs="Calibri"/>
          <w:b/>
          <w:sz w:val="24"/>
          <w:szCs w:val="24"/>
          <w:u w:val="single"/>
        </w:rPr>
        <w:t>jedan od roditelja ili skrbnik djeteta mlađeg od tri godine</w:t>
      </w:r>
    </w:p>
    <w:p w14:paraId="29000BDD" w14:textId="77777777" w:rsidR="0046169C" w:rsidRDefault="0046169C" w:rsidP="0046169C">
      <w:pPr>
        <w:pStyle w:val="NormalNormalHZZO1"/>
        <w:ind w:firstLine="720"/>
        <w:jc w:val="both"/>
      </w:pPr>
      <w:r>
        <w:rPr>
          <w:rFonts w:cs="Calibri"/>
          <w:sz w:val="24"/>
          <w:szCs w:val="24"/>
        </w:rPr>
        <w:t xml:space="preserve">2. </w:t>
      </w:r>
      <w:r>
        <w:rPr>
          <w:rFonts w:cs="Calibri"/>
          <w:b/>
          <w:sz w:val="24"/>
          <w:szCs w:val="24"/>
          <w:u w:val="single"/>
        </w:rPr>
        <w:t>jedan od roditelja ili skrbnik djeteta s težim smetnjama u razvoju</w:t>
      </w:r>
      <w:r>
        <w:rPr>
          <w:rFonts w:cs="Calibri"/>
          <w:sz w:val="24"/>
          <w:szCs w:val="24"/>
        </w:rPr>
        <w:t xml:space="preserve"> (bez obzira na dob djeteta) pod uvjetom da roditelj ili skrbnik djeteta odnosno dijete o utvrđenim težim smetnjama u razvoju posjeduje odgovarajuće rješenje nadležnog tijela odnosno nalaz i mišljenje nadležnog tijela vještačenja u skladu sa posebnim propisima</w:t>
      </w:r>
    </w:p>
    <w:p w14:paraId="01D3E572" w14:textId="77777777" w:rsidR="0046169C" w:rsidRDefault="0046169C" w:rsidP="0046169C">
      <w:pPr>
        <w:pStyle w:val="NormalNormalHZZO1"/>
        <w:ind w:firstLine="720"/>
        <w:jc w:val="both"/>
      </w:pPr>
      <w:r>
        <w:rPr>
          <w:rFonts w:cs="Calibri"/>
          <w:sz w:val="24"/>
          <w:szCs w:val="24"/>
        </w:rPr>
        <w:t xml:space="preserve">3. </w:t>
      </w:r>
      <w:r>
        <w:rPr>
          <w:rFonts w:cs="Calibri"/>
          <w:b/>
          <w:sz w:val="24"/>
          <w:szCs w:val="24"/>
          <w:u w:val="single"/>
        </w:rPr>
        <w:t>jedan od roditelja ili skrbnik djeteta mlađeg od 18 godina, oboljelog od maligne ili druge bolesti koja neposredno ugrožava život</w:t>
      </w:r>
      <w:r>
        <w:rPr>
          <w:rFonts w:cs="Calibri"/>
          <w:sz w:val="24"/>
          <w:szCs w:val="24"/>
        </w:rPr>
        <w:t>, koje se nalazi na bolničkom liječenju u ugovornoj bolničkoj zdravstvenoj ustanovi za liječenje djece oboljele od malignih ili drugih bolesti koje neposredno ugrožavaju život (klinički bolnički centar, klinička bolnica, klinika).</w:t>
      </w:r>
    </w:p>
    <w:p w14:paraId="3915F6D2" w14:textId="77777777" w:rsidR="0046169C" w:rsidRDefault="0046169C" w:rsidP="0046169C">
      <w:pPr>
        <w:pStyle w:val="NormalNormalHZZO1"/>
        <w:jc w:val="both"/>
      </w:pPr>
      <w:r>
        <w:rPr>
          <w:rFonts w:cs="Calibri"/>
          <w:sz w:val="24"/>
          <w:szCs w:val="24"/>
        </w:rPr>
        <w:t xml:space="preserve">Pritom, u slučaju da ugovorna bolnička zdravstvena ustanova nema smještajnih kapaciteta za osiguranje cjelodnevnog smještaja uz dijete, roditelj ili skrbnik djeteta oboljelog od maligne ili druge bolesti koja neposredno ugrožava život, po danu bolničkog liječenja ostvaruje </w:t>
      </w:r>
      <w:r>
        <w:rPr>
          <w:rFonts w:cs="Calibri"/>
          <w:sz w:val="24"/>
          <w:szCs w:val="24"/>
          <w:u w:val="single"/>
        </w:rPr>
        <w:t>pravo na naknadu za troškove smještaja</w:t>
      </w:r>
      <w:r>
        <w:rPr>
          <w:rFonts w:cs="Calibri"/>
          <w:sz w:val="24"/>
          <w:szCs w:val="24"/>
        </w:rPr>
        <w:t xml:space="preserve"> u iznosu od 6% proračunske osnovice, utvrđene Zakonom o izvršavanju Državnog proračuna Republike Hrvatske za tekuću godinu pod uvjetom da je mjesto prebivališta odnosno boravišta roditelja ili skrbnika djeteta udaljeno 30 i više kilometara od mjesta sjedišta ugovorne bolničke zdravstvene ustanove u kojoj se dijete liječi.</w:t>
      </w:r>
    </w:p>
    <w:p w14:paraId="1AAA96CF" w14:textId="77777777" w:rsidR="0046169C" w:rsidRDefault="0046169C" w:rsidP="0046169C">
      <w:pPr>
        <w:pStyle w:val="NormalNormalHZZO1"/>
        <w:ind w:firstLine="720"/>
        <w:jc w:val="both"/>
      </w:pPr>
      <w:r>
        <w:rPr>
          <w:rFonts w:cs="Calibri"/>
          <w:sz w:val="24"/>
          <w:szCs w:val="24"/>
        </w:rPr>
        <w:t xml:space="preserve">4. </w:t>
      </w:r>
      <w:r>
        <w:rPr>
          <w:rFonts w:cs="Calibri"/>
          <w:b/>
          <w:sz w:val="24"/>
          <w:szCs w:val="24"/>
          <w:u w:val="single"/>
        </w:rPr>
        <w:t>jedan od roditelja ili skrbnik djeteta za vrijeme bolničke medicinske rehabilitacije djeteta u specijalnoj bolnici za medicinsku rehabilitaciju</w:t>
      </w:r>
    </w:p>
    <w:p w14:paraId="1D683661" w14:textId="71CAF9F6" w:rsidR="0046169C" w:rsidRDefault="0046169C" w:rsidP="0046169C">
      <w:pPr>
        <w:pStyle w:val="NormalNormalHZZO1"/>
        <w:jc w:val="both"/>
        <w:rPr>
          <w:rFonts w:cs="Calibri"/>
          <w:sz w:val="24"/>
          <w:szCs w:val="24"/>
        </w:rPr>
      </w:pPr>
      <w:r>
        <w:rPr>
          <w:rFonts w:cs="Calibri"/>
          <w:sz w:val="24"/>
          <w:szCs w:val="24"/>
        </w:rPr>
        <w:t>Prema članku 15. Pravilnika o uvjetima i načinu ostvarivanja prava iz obveznog zdravstvenog osiguranja za bolničko liječenje medicinskom rehabilitacijom i fizikalnom terapijom u kući (Narodne novine, br</w:t>
      </w:r>
      <w:r w:rsidR="00177CFE">
        <w:rPr>
          <w:rFonts w:cs="Calibri"/>
          <w:sz w:val="24"/>
          <w:szCs w:val="24"/>
        </w:rPr>
        <w:t>.</w:t>
      </w:r>
      <w:r>
        <w:rPr>
          <w:rFonts w:cs="Calibri"/>
          <w:sz w:val="24"/>
          <w:szCs w:val="24"/>
        </w:rPr>
        <w:t xml:space="preserve"> 46/07. – pročišćeni tekst, 64/08., 91/09., 118/09. i 9/21.) na prijedlog izabranog doktora primarne zdravstvene zaštite, a na osnovi mišljenja doktora specijalista određene specijalnosti, liječničko povjerenstvo Zavoda može odobriti boravak uz osiguranu osobu mlađu od 18 godina života u specijalnoj bolnici za medicinsku rehabilitaciju osiguranoj osobi – jednom od roditelja ili skrbniku, u sljedećim slučajevima:</w:t>
      </w:r>
    </w:p>
    <w:p w14:paraId="41FADD09" w14:textId="77777777" w:rsidR="0046169C" w:rsidRDefault="0046169C" w:rsidP="0046169C">
      <w:pPr>
        <w:pStyle w:val="NormalNormalHZZO1"/>
        <w:ind w:firstLine="720"/>
        <w:jc w:val="both"/>
        <w:rPr>
          <w:rFonts w:cs="Calibri"/>
          <w:sz w:val="24"/>
          <w:szCs w:val="24"/>
        </w:rPr>
      </w:pPr>
      <w:r>
        <w:rPr>
          <w:rFonts w:cs="Calibri"/>
          <w:sz w:val="24"/>
          <w:szCs w:val="24"/>
        </w:rPr>
        <w:t>1. kada se provodi točno određen i utvrđen program izobrazbe roditelja ili skrbnika  osigurane osobe – djeteta, za dijete do navršene sedme godine života</w:t>
      </w:r>
    </w:p>
    <w:p w14:paraId="4FFE8C24" w14:textId="6830795F" w:rsidR="0046169C" w:rsidRDefault="0046169C" w:rsidP="0046169C">
      <w:pPr>
        <w:pStyle w:val="NormalNormalHZZO1"/>
        <w:ind w:firstLine="720"/>
        <w:jc w:val="both"/>
        <w:rPr>
          <w:rFonts w:cs="Calibri"/>
          <w:sz w:val="24"/>
          <w:szCs w:val="24"/>
        </w:rPr>
      </w:pPr>
      <w:r>
        <w:rPr>
          <w:rFonts w:cs="Calibri"/>
          <w:sz w:val="24"/>
          <w:szCs w:val="24"/>
        </w:rPr>
        <w:t>2. kada je u provođenju rehabilitacije potrebna prisutnost roditelja odnosno skrbnika  osigurane osobe zbog nužnosti pružanja pomoći koja nije obuhvaćena programom provođenja ehabilitacije (aspiracija dišnog sustava, hranjenje, samostalno obavljanje fizioloških potreba, okretanje tijekom noći i dr.).</w:t>
      </w:r>
    </w:p>
    <w:p w14:paraId="7353342A" w14:textId="77777777" w:rsidR="0046169C" w:rsidRDefault="0046169C" w:rsidP="0046169C">
      <w:pPr>
        <w:pStyle w:val="NormalNormalHZZO1"/>
        <w:jc w:val="both"/>
        <w:rPr>
          <w:rFonts w:cs="Calibri"/>
          <w:sz w:val="24"/>
          <w:szCs w:val="24"/>
        </w:rPr>
      </w:pPr>
      <w:r>
        <w:rPr>
          <w:rFonts w:cs="Calibri"/>
          <w:sz w:val="24"/>
          <w:szCs w:val="24"/>
        </w:rPr>
        <w:t xml:space="preserve">Kada je u provođenju rehabilitacije osigurane osobe starije od 18 godina života zbog nužnosti pružanja pomoći koja nije obuhvaćena programom provođenja rehabilitacije (aspiracija dišnog sustava, hranjenje, samostalno obavljanje fizioloških potreba) potrebna prisutnost druge osobe, liječničko povjerenstvo Zavoda iznimno može odobriti boravak uz osiguranu osobu u </w:t>
      </w:r>
      <w:r>
        <w:rPr>
          <w:rFonts w:cs="Calibri"/>
          <w:sz w:val="24"/>
          <w:szCs w:val="24"/>
        </w:rPr>
        <w:lastRenderedPageBreak/>
        <w:t>specijalnoj bolnici za medicinsku rehabilitaciju osiguranoj osobi – jednom od roditelja, skrbniku ili drugoj osobi koja može pružiti pomoć koja nije obuhvaćena programom rehabilitacije.</w:t>
      </w:r>
    </w:p>
    <w:p w14:paraId="5A052F75" w14:textId="77777777" w:rsidR="0046169C" w:rsidRDefault="0046169C" w:rsidP="0046169C">
      <w:pPr>
        <w:pStyle w:val="NormalNormalHZZO1"/>
        <w:jc w:val="both"/>
        <w:rPr>
          <w:rFonts w:cs="Calibri"/>
          <w:sz w:val="24"/>
          <w:szCs w:val="24"/>
        </w:rPr>
      </w:pPr>
      <w:r>
        <w:rPr>
          <w:rFonts w:cs="Calibri"/>
          <w:sz w:val="24"/>
          <w:szCs w:val="24"/>
        </w:rPr>
        <w:t>Ostvarivanje ovih prava uvjetovano je odgovarajućim smještajnim kapacitetima specijalne bolnice za medicinsku rehabilitaciju.</w:t>
      </w:r>
    </w:p>
    <w:p w14:paraId="13FA939E" w14:textId="77777777" w:rsidR="0046169C" w:rsidRDefault="0046169C" w:rsidP="0046169C">
      <w:pPr>
        <w:pStyle w:val="NormalNormalHZZO1"/>
        <w:jc w:val="both"/>
      </w:pPr>
      <w:r>
        <w:rPr>
          <w:rFonts w:cs="Calibri"/>
          <w:sz w:val="24"/>
          <w:szCs w:val="24"/>
        </w:rPr>
        <w:t>Prema članku 15.a</w:t>
      </w:r>
      <w:r>
        <w:rPr>
          <w:sz w:val="24"/>
          <w:szCs w:val="24"/>
        </w:rPr>
        <w:t xml:space="preserve"> </w:t>
      </w:r>
      <w:r>
        <w:rPr>
          <w:rFonts w:cs="Calibri"/>
          <w:sz w:val="24"/>
          <w:szCs w:val="24"/>
        </w:rPr>
        <w:t>Pravilnika o uvjetima i načinu ostvarivanja prava iz obveznog zdravstvenog osiguranja za bolničko liječenje medicinskom rehabilitacijom i fizikalnom terapijom u kući, bez potrebe prethodnog odobrenja liječničkog povjerenstva Zavoda, pravo na boravak uz osiguranu osobu za vrijeme rehabilitacije, ovisno o odgovarajućim smještajnim kapacitetima specijalne bolnice za medicinsku rehabilitaciju, ima:</w:t>
      </w:r>
    </w:p>
    <w:p w14:paraId="0EFDCE65" w14:textId="77777777" w:rsidR="0046169C" w:rsidRDefault="0046169C" w:rsidP="0046169C">
      <w:pPr>
        <w:pStyle w:val="NormalNormalHZZO1"/>
        <w:ind w:firstLine="720"/>
        <w:jc w:val="both"/>
        <w:rPr>
          <w:rFonts w:cs="Calibri"/>
          <w:sz w:val="24"/>
          <w:szCs w:val="24"/>
        </w:rPr>
      </w:pPr>
      <w:r>
        <w:rPr>
          <w:rFonts w:cs="Calibri"/>
          <w:sz w:val="24"/>
          <w:szCs w:val="24"/>
        </w:rPr>
        <w:t>1. osigurana osoba – jedan od roditelja odnosno skrbnik za dijete do navršene treće godine života</w:t>
      </w:r>
    </w:p>
    <w:p w14:paraId="39E3C2CC" w14:textId="77777777" w:rsidR="0046169C" w:rsidRDefault="0046169C" w:rsidP="0046169C">
      <w:pPr>
        <w:pStyle w:val="NormalNormalHZZO1"/>
        <w:ind w:firstLine="720"/>
        <w:jc w:val="both"/>
        <w:rPr>
          <w:rFonts w:cs="Calibri"/>
          <w:sz w:val="24"/>
          <w:szCs w:val="24"/>
        </w:rPr>
      </w:pPr>
      <w:r>
        <w:rPr>
          <w:rFonts w:cs="Calibri"/>
          <w:sz w:val="24"/>
          <w:szCs w:val="24"/>
        </w:rPr>
        <w:t>2. osigurana osoba – jedan od roditelja odnosno skrbnik osigurane osobe s težim smetnjama u razvoju koje o tome u skladu s posebnim propisima posjeduju odgovarajuće rješenje nadležnog tijela odnosno nalaz i mišljenje nadležnog tijela vještačenja u skladu s posebnim propisima, bez obzira na dob osigurane osobe.</w:t>
      </w:r>
    </w:p>
    <w:p w14:paraId="71B4D83C" w14:textId="77777777" w:rsidR="0046169C" w:rsidRDefault="0046169C" w:rsidP="0046169C">
      <w:pPr>
        <w:pStyle w:val="NormalNormalHZZO1"/>
        <w:jc w:val="both"/>
      </w:pPr>
      <w:r>
        <w:rPr>
          <w:rFonts w:cs="Calibri"/>
          <w:sz w:val="24"/>
          <w:szCs w:val="24"/>
        </w:rPr>
        <w:t>Prema članku 36.a</w:t>
      </w:r>
      <w:r>
        <w:rPr>
          <w:sz w:val="24"/>
          <w:szCs w:val="24"/>
        </w:rPr>
        <w:t xml:space="preserve"> </w:t>
      </w:r>
      <w:r>
        <w:rPr>
          <w:rFonts w:cs="Calibri"/>
          <w:sz w:val="24"/>
          <w:szCs w:val="24"/>
        </w:rPr>
        <w:t xml:space="preserve">Pravilnika o uvjetima i načinu ostvarivanja prava iz obveznog zdravstvenog osiguranja </w:t>
      </w:r>
      <w:r>
        <w:rPr>
          <w:rFonts w:cs="Calibri"/>
          <w:b/>
          <w:sz w:val="24"/>
          <w:szCs w:val="24"/>
          <w:u w:val="single"/>
        </w:rPr>
        <w:t>dnevni smještaj</w:t>
      </w:r>
      <w:r>
        <w:rPr>
          <w:rFonts w:cs="Calibri"/>
          <w:sz w:val="24"/>
          <w:szCs w:val="24"/>
        </w:rPr>
        <w:t xml:space="preserve"> može koristiti osigurana osoba – jedan od roditelja ili skrbnik djeteta mlađeg od sedam godina života te jedan od roditelja ili skrbnik djeteta s težim smetnjama u razvoju (bez obzira na dob djeteta), koje se nalazi na bolničkom liječenju u ugovornoj zdravstvenoj ustanovi za liječenje djece oboljele od akutnih bolesti, a na prijedlog izabranog doktora djeteta odnosno odjelnog doktora ugovorne bolničke zdravstvene ustanove u kojoj se dijete liječi.</w:t>
      </w:r>
    </w:p>
    <w:p w14:paraId="41D8649E" w14:textId="226D0B2B" w:rsidR="0046169C" w:rsidRDefault="0046169C" w:rsidP="0046169C">
      <w:pPr>
        <w:pStyle w:val="NormalNormalHZZO1"/>
        <w:jc w:val="both"/>
        <w:rPr>
          <w:rFonts w:cs="Calibri"/>
          <w:sz w:val="24"/>
          <w:szCs w:val="24"/>
        </w:rPr>
      </w:pPr>
      <w:r>
        <w:rPr>
          <w:rFonts w:cs="Calibri"/>
          <w:sz w:val="24"/>
          <w:szCs w:val="24"/>
        </w:rPr>
        <w:t>Prema članku 36.b stavku 2. Pravilnika o uvjetima i načinu ostvarivanja prava iz obveznog zdravstvenog osiguranja, osigurana osoba koja koristi smještaj uz dijete nije obvezna sudjelovati u troškovima zdravstvene zaštite, a osiguranik koji u skladu s odredbama Zakona o obveznom zdravstvenom osiguranju (Narodne novine, br</w:t>
      </w:r>
      <w:r w:rsidR="00177CFE">
        <w:rPr>
          <w:rFonts w:cs="Calibri"/>
          <w:sz w:val="24"/>
          <w:szCs w:val="24"/>
        </w:rPr>
        <w:t>.</w:t>
      </w:r>
      <w:r>
        <w:rPr>
          <w:rFonts w:cs="Calibri"/>
          <w:sz w:val="24"/>
          <w:szCs w:val="24"/>
        </w:rPr>
        <w:t xml:space="preserve"> 80/13, 137/13 i 98/19) može ostvariti pravo na naknadu plaće ima pravo za vrijeme korištenja smještaja uz dijete na naknadu plaće na ime privremene spriječenosti za rad zbog njege osigurane osobe - djeteta.</w:t>
      </w:r>
    </w:p>
    <w:p w14:paraId="2598CDC1" w14:textId="77777777" w:rsidR="0046169C" w:rsidRDefault="0046169C" w:rsidP="0046169C">
      <w:pPr>
        <w:pStyle w:val="NormalNormalHZZO1"/>
        <w:jc w:val="both"/>
        <w:rPr>
          <w:rFonts w:cs="Calibri"/>
          <w:sz w:val="24"/>
          <w:szCs w:val="24"/>
        </w:rPr>
      </w:pPr>
    </w:p>
    <w:p w14:paraId="721A1C1C" w14:textId="77777777" w:rsidR="0046169C" w:rsidRDefault="0046169C" w:rsidP="0046169C">
      <w:pPr>
        <w:rPr>
          <w:lang w:eastAsia="hr-HR"/>
        </w:rPr>
      </w:pPr>
    </w:p>
    <w:p w14:paraId="6EB54472" w14:textId="14C18F85" w:rsidR="0046169C" w:rsidRDefault="0046169C">
      <w:r>
        <w:br w:type="page"/>
      </w:r>
    </w:p>
    <w:p w14:paraId="30167154" w14:textId="77777777" w:rsidR="0046169C" w:rsidRPr="00F13184" w:rsidRDefault="0046169C" w:rsidP="0046169C">
      <w:pPr>
        <w:pStyle w:val="StandardWeb"/>
        <w:shd w:val="clear" w:color="auto" w:fill="FFFFFF"/>
        <w:spacing w:before="0" w:beforeAutospacing="0" w:after="0" w:afterAutospacing="0"/>
        <w:textAlignment w:val="baseline"/>
        <w:rPr>
          <w:rStyle w:val="Naglaeno"/>
          <w:rFonts w:ascii="Times New Roman" w:hAnsi="Times New Roman" w:cs="Times New Roman"/>
          <w:sz w:val="24"/>
          <w:szCs w:val="24"/>
          <w:u w:val="single"/>
          <w:bdr w:val="none" w:sz="0" w:space="0" w:color="auto" w:frame="1"/>
        </w:rPr>
      </w:pPr>
      <w:r w:rsidRPr="00F13184">
        <w:rPr>
          <w:rStyle w:val="Naglaeno"/>
          <w:rFonts w:ascii="Times New Roman" w:hAnsi="Times New Roman" w:cs="Times New Roman"/>
          <w:sz w:val="24"/>
          <w:szCs w:val="24"/>
          <w:u w:val="single"/>
          <w:bdr w:val="none" w:sz="0" w:space="0" w:color="auto" w:frame="1"/>
        </w:rPr>
        <w:lastRenderedPageBreak/>
        <w:t>Prilog 31</w:t>
      </w:r>
    </w:p>
    <w:p w14:paraId="68065EB5" w14:textId="77777777" w:rsidR="0046169C" w:rsidRPr="00F13184" w:rsidRDefault="0046169C" w:rsidP="0046169C">
      <w:pPr>
        <w:pStyle w:val="StandardWeb"/>
        <w:shd w:val="clear" w:color="auto" w:fill="FFFFFF"/>
        <w:spacing w:before="0" w:beforeAutospacing="0" w:after="0" w:afterAutospacing="0"/>
        <w:textAlignment w:val="baseline"/>
        <w:rPr>
          <w:rStyle w:val="Naglaeno"/>
          <w:rFonts w:ascii="Times New Roman" w:hAnsi="Times New Roman" w:cs="Times New Roman"/>
          <w:sz w:val="24"/>
          <w:szCs w:val="24"/>
          <w:bdr w:val="none" w:sz="0" w:space="0" w:color="auto" w:frame="1"/>
        </w:rPr>
      </w:pPr>
    </w:p>
    <w:p w14:paraId="576C32A0" w14:textId="77777777" w:rsidR="0046169C" w:rsidRPr="00F13184" w:rsidRDefault="0046169C" w:rsidP="0046169C">
      <w:pPr>
        <w:pStyle w:val="StandardWeb"/>
        <w:shd w:val="clear" w:color="auto" w:fill="FFFFFF"/>
        <w:spacing w:before="0" w:beforeAutospacing="0" w:after="0" w:afterAutospacing="0"/>
        <w:jc w:val="center"/>
        <w:textAlignment w:val="baseline"/>
        <w:rPr>
          <w:rFonts w:ascii="Times New Roman" w:hAnsi="Times New Roman" w:cs="Times New Roman"/>
          <w:sz w:val="24"/>
          <w:szCs w:val="24"/>
        </w:rPr>
      </w:pPr>
      <w:r w:rsidRPr="00F13184">
        <w:rPr>
          <w:rStyle w:val="Naglaeno"/>
          <w:rFonts w:ascii="Times New Roman" w:hAnsi="Times New Roman" w:cs="Times New Roman"/>
          <w:sz w:val="24"/>
          <w:szCs w:val="24"/>
          <w:bdr w:val="none" w:sz="0" w:space="0" w:color="auto" w:frame="1"/>
        </w:rPr>
        <w:t>STATUS RODITELJA NJEGOVATELJA ILI STATUS NJEGOVATELJA</w:t>
      </w:r>
    </w:p>
    <w:p w14:paraId="6CDEFB0A" w14:textId="77777777" w:rsidR="0046169C" w:rsidRPr="00F13184" w:rsidRDefault="0046169C" w:rsidP="0046169C">
      <w:pPr>
        <w:pStyle w:val="StandardWeb"/>
        <w:shd w:val="clear" w:color="auto" w:fill="FFFFFF"/>
        <w:spacing w:before="0" w:beforeAutospacing="0" w:after="0" w:afterAutospacing="0"/>
        <w:textAlignment w:val="baseline"/>
        <w:rPr>
          <w:rStyle w:val="Naglaeno"/>
          <w:rFonts w:ascii="Times New Roman" w:hAnsi="Times New Roman" w:cs="Times New Roman"/>
          <w:sz w:val="24"/>
          <w:szCs w:val="24"/>
          <w:bdr w:val="none" w:sz="0" w:space="0" w:color="auto" w:frame="1"/>
        </w:rPr>
      </w:pPr>
    </w:p>
    <w:p w14:paraId="4151A372" w14:textId="77777777" w:rsidR="0046169C" w:rsidRPr="00F13184" w:rsidRDefault="0046169C" w:rsidP="0046169C">
      <w:pPr>
        <w:pStyle w:val="StandardWeb"/>
        <w:shd w:val="clear" w:color="auto" w:fill="FFFFFF"/>
        <w:spacing w:before="0" w:beforeAutospacing="0" w:after="0" w:afterAutospacing="0"/>
        <w:jc w:val="both"/>
        <w:textAlignment w:val="baseline"/>
        <w:rPr>
          <w:rFonts w:ascii="Times New Roman" w:hAnsi="Times New Roman" w:cs="Times New Roman"/>
          <w:sz w:val="24"/>
          <w:szCs w:val="24"/>
        </w:rPr>
      </w:pPr>
      <w:r w:rsidRPr="00F13184">
        <w:rPr>
          <w:rStyle w:val="Naglaeno"/>
          <w:rFonts w:ascii="Times New Roman" w:hAnsi="Times New Roman" w:cs="Times New Roman"/>
          <w:sz w:val="24"/>
          <w:szCs w:val="24"/>
          <w:bdr w:val="none" w:sz="0" w:space="0" w:color="auto" w:frame="1"/>
        </w:rPr>
        <w:t>Uvjeti za priznavanje prava na status roditelja njegovatelja</w:t>
      </w:r>
      <w:r w:rsidRPr="00F13184">
        <w:rPr>
          <w:rFonts w:ascii="Times New Roman" w:hAnsi="Times New Roman" w:cs="Times New Roman"/>
          <w:sz w:val="24"/>
          <w:szCs w:val="24"/>
        </w:rPr>
        <w:t xml:space="preserve"> (članak 63. Zakona o socijalnoj skrbi)</w:t>
      </w:r>
    </w:p>
    <w:p w14:paraId="31A872B5" w14:textId="77777777" w:rsidR="00F13184" w:rsidRDefault="0046169C" w:rsidP="0046169C">
      <w:pPr>
        <w:pStyle w:val="StandardWeb"/>
        <w:shd w:val="clear" w:color="auto" w:fill="FFFFFF"/>
        <w:spacing w:before="0" w:beforeAutospacing="0" w:after="0" w:afterAutospacing="0"/>
        <w:jc w:val="both"/>
        <w:textAlignment w:val="baseline"/>
        <w:rPr>
          <w:rFonts w:ascii="Times New Roman" w:hAnsi="Times New Roman" w:cs="Times New Roman"/>
          <w:sz w:val="24"/>
          <w:szCs w:val="24"/>
        </w:rPr>
      </w:pPr>
      <w:r w:rsidRPr="00F13184">
        <w:rPr>
          <w:rFonts w:ascii="Times New Roman" w:hAnsi="Times New Roman" w:cs="Times New Roman"/>
          <w:sz w:val="24"/>
          <w:szCs w:val="24"/>
        </w:rPr>
        <w:t>Pravo na status roditelja njegovatelja priznaje se za njegu djeteta s teškoćama u razvoju ili osobe s invaliditetom koje ispunjava jedan od sljedećih uvjeta:</w:t>
      </w:r>
    </w:p>
    <w:p w14:paraId="69CD6F28" w14:textId="77777777" w:rsidR="00F13184" w:rsidRDefault="0046169C" w:rsidP="0046169C">
      <w:pPr>
        <w:pStyle w:val="StandardWeb"/>
        <w:shd w:val="clear" w:color="auto" w:fill="FFFFFF"/>
        <w:spacing w:before="0" w:beforeAutospacing="0" w:after="0" w:afterAutospacing="0"/>
        <w:jc w:val="both"/>
        <w:textAlignment w:val="baseline"/>
        <w:rPr>
          <w:rFonts w:ascii="Times New Roman" w:hAnsi="Times New Roman" w:cs="Times New Roman"/>
          <w:sz w:val="24"/>
          <w:szCs w:val="24"/>
        </w:rPr>
      </w:pPr>
      <w:r w:rsidRPr="00F13184">
        <w:rPr>
          <w:rFonts w:ascii="Times New Roman" w:hAnsi="Times New Roman" w:cs="Times New Roman"/>
          <w:sz w:val="24"/>
          <w:szCs w:val="24"/>
        </w:rPr>
        <w:t>– potpuno je ovisno o pomoći i njezi druge osobe jer mu je zbog održavanja života potrebno pružanje specifične njege izvođenjem medicinsko-tehničkih zahvata za koju je prema preporuci liječnika roditelj osposobljen</w:t>
      </w:r>
    </w:p>
    <w:p w14:paraId="67701830" w14:textId="77777777" w:rsidR="00F13184" w:rsidRDefault="0046169C" w:rsidP="0046169C">
      <w:pPr>
        <w:pStyle w:val="StandardWeb"/>
        <w:shd w:val="clear" w:color="auto" w:fill="FFFFFF"/>
        <w:spacing w:before="0" w:beforeAutospacing="0" w:after="0" w:afterAutospacing="0"/>
        <w:jc w:val="both"/>
        <w:textAlignment w:val="baseline"/>
        <w:rPr>
          <w:rFonts w:ascii="Times New Roman" w:hAnsi="Times New Roman" w:cs="Times New Roman"/>
          <w:sz w:val="24"/>
          <w:szCs w:val="24"/>
        </w:rPr>
      </w:pPr>
      <w:r w:rsidRPr="00F13184">
        <w:rPr>
          <w:rFonts w:ascii="Times New Roman" w:hAnsi="Times New Roman" w:cs="Times New Roman"/>
          <w:sz w:val="24"/>
          <w:szCs w:val="24"/>
        </w:rPr>
        <w:t>– u potpunosti je nepokretno i uz pomoć ortopedskih pomagala</w:t>
      </w:r>
    </w:p>
    <w:p w14:paraId="0DA32B2D" w14:textId="77777777" w:rsidR="00F13184" w:rsidRDefault="0046169C" w:rsidP="0046169C">
      <w:pPr>
        <w:pStyle w:val="StandardWeb"/>
        <w:shd w:val="clear" w:color="auto" w:fill="FFFFFF"/>
        <w:spacing w:before="0" w:beforeAutospacing="0" w:after="0" w:afterAutospacing="0"/>
        <w:jc w:val="both"/>
        <w:textAlignment w:val="baseline"/>
        <w:rPr>
          <w:rFonts w:ascii="Times New Roman" w:hAnsi="Times New Roman" w:cs="Times New Roman"/>
          <w:sz w:val="24"/>
          <w:szCs w:val="24"/>
        </w:rPr>
      </w:pPr>
      <w:r w:rsidRPr="00F13184">
        <w:rPr>
          <w:rFonts w:ascii="Times New Roman" w:hAnsi="Times New Roman" w:cs="Times New Roman"/>
          <w:sz w:val="24"/>
          <w:szCs w:val="24"/>
        </w:rPr>
        <w:t>– ima više vrsta teških oštećenja (tjelesnih, mentalnih, intelektualnih ili osjetilnih), zbog kojih je potpuno ovisno o pomoći i njezi druge osobe pri zadovoljavanju osnovnih životnih potreba.</w:t>
      </w:r>
    </w:p>
    <w:p w14:paraId="73F82D25" w14:textId="4D1DDC8F" w:rsidR="0046169C" w:rsidRPr="00F13184" w:rsidRDefault="0046169C" w:rsidP="0046169C">
      <w:pPr>
        <w:pStyle w:val="StandardWeb"/>
        <w:shd w:val="clear" w:color="auto" w:fill="FFFFFF"/>
        <w:spacing w:before="0" w:beforeAutospacing="0" w:after="0" w:afterAutospacing="0"/>
        <w:jc w:val="both"/>
        <w:textAlignment w:val="baseline"/>
        <w:rPr>
          <w:rFonts w:ascii="Times New Roman" w:hAnsi="Times New Roman" w:cs="Times New Roman"/>
          <w:sz w:val="24"/>
          <w:szCs w:val="24"/>
        </w:rPr>
      </w:pPr>
      <w:r w:rsidRPr="00F13184">
        <w:rPr>
          <w:rFonts w:ascii="Times New Roman" w:hAnsi="Times New Roman" w:cs="Times New Roman"/>
          <w:sz w:val="24"/>
          <w:szCs w:val="24"/>
        </w:rPr>
        <w:t>Vrstu specifične njege uz izvođenje medicinsko-tehničkih zahvata i težinu oštećenja (tjelesnih, mentalnih, intelektualnih ili osjetilnih) pravilnikom propisuje ministar nadležan za poslove socijalne skrbi.</w:t>
      </w:r>
    </w:p>
    <w:p w14:paraId="12E8D164" w14:textId="77777777" w:rsidR="0046169C" w:rsidRPr="00F13184" w:rsidRDefault="0046169C" w:rsidP="0046169C">
      <w:pPr>
        <w:pStyle w:val="StandardWeb"/>
        <w:shd w:val="clear" w:color="auto" w:fill="FFFFFF"/>
        <w:spacing w:before="0" w:beforeAutospacing="0" w:after="0" w:afterAutospacing="0"/>
        <w:jc w:val="both"/>
        <w:textAlignment w:val="baseline"/>
        <w:rPr>
          <w:rStyle w:val="Naglaeno"/>
          <w:rFonts w:ascii="Times New Roman" w:hAnsi="Times New Roman" w:cs="Times New Roman"/>
          <w:sz w:val="24"/>
          <w:szCs w:val="24"/>
          <w:bdr w:val="none" w:sz="0" w:space="0" w:color="auto" w:frame="1"/>
        </w:rPr>
      </w:pPr>
    </w:p>
    <w:p w14:paraId="08B5A101" w14:textId="77777777" w:rsidR="0046169C" w:rsidRPr="00F13184" w:rsidRDefault="0046169C" w:rsidP="0046169C">
      <w:pPr>
        <w:pStyle w:val="StandardWeb"/>
        <w:shd w:val="clear" w:color="auto" w:fill="FFFFFF"/>
        <w:spacing w:before="0" w:beforeAutospacing="0" w:after="0" w:afterAutospacing="0"/>
        <w:jc w:val="both"/>
        <w:textAlignment w:val="baseline"/>
        <w:rPr>
          <w:rFonts w:ascii="Times New Roman" w:hAnsi="Times New Roman" w:cs="Times New Roman"/>
          <w:sz w:val="24"/>
          <w:szCs w:val="24"/>
        </w:rPr>
      </w:pPr>
      <w:r w:rsidRPr="00F13184">
        <w:rPr>
          <w:rStyle w:val="Naglaeno"/>
          <w:rFonts w:ascii="Times New Roman" w:hAnsi="Times New Roman" w:cs="Times New Roman"/>
          <w:sz w:val="24"/>
          <w:szCs w:val="24"/>
          <w:bdr w:val="none" w:sz="0" w:space="0" w:color="auto" w:frame="1"/>
        </w:rPr>
        <w:t>Tko može ostvariti pravo na status roditelja njegovatelja?</w:t>
      </w:r>
    </w:p>
    <w:p w14:paraId="3AEE5544" w14:textId="77777777" w:rsidR="0046169C" w:rsidRPr="00F13184" w:rsidRDefault="0046169C" w:rsidP="0046169C">
      <w:pPr>
        <w:pStyle w:val="StandardWeb"/>
        <w:shd w:val="clear" w:color="auto" w:fill="FFFFFF"/>
        <w:spacing w:before="0" w:beforeAutospacing="0" w:after="0" w:afterAutospacing="0"/>
        <w:jc w:val="both"/>
        <w:textAlignment w:val="baseline"/>
        <w:rPr>
          <w:rFonts w:ascii="Times New Roman" w:hAnsi="Times New Roman" w:cs="Times New Roman"/>
          <w:sz w:val="24"/>
          <w:szCs w:val="24"/>
        </w:rPr>
      </w:pPr>
      <w:r w:rsidRPr="00F13184">
        <w:rPr>
          <w:rFonts w:ascii="Times New Roman" w:hAnsi="Times New Roman" w:cs="Times New Roman"/>
          <w:sz w:val="24"/>
          <w:szCs w:val="24"/>
        </w:rPr>
        <w:t>Pravo na status roditelja njegovatelja priznaje se jednom od roditelja djeteta s teškoćama u razvoju ili osobe s invaliditetom za koje su ispunjeni uvjeti iz članka 63. Zakona o socijalnoj skrbi</w:t>
      </w:r>
      <w:r w:rsidRPr="00F13184">
        <w:rPr>
          <w:rFonts w:ascii="Times New Roman" w:hAnsi="Times New Roman" w:cs="Times New Roman"/>
          <w:sz w:val="24"/>
          <w:szCs w:val="24"/>
        </w:rPr>
        <w:br/>
        <w:t>Ako u obitelji ima dvoje ili više djece s teškoćama u razvoju, odnosno osoba s invaliditetom, status roditelja njegovatelja mogu steći oba roditelja.</w:t>
      </w:r>
    </w:p>
    <w:p w14:paraId="6449EA7E" w14:textId="77777777" w:rsidR="0046169C" w:rsidRPr="00F13184" w:rsidRDefault="0046169C" w:rsidP="0046169C">
      <w:pPr>
        <w:pStyle w:val="StandardWeb"/>
        <w:shd w:val="clear" w:color="auto" w:fill="FFFFFF"/>
        <w:spacing w:before="0" w:beforeAutospacing="0" w:after="0" w:afterAutospacing="0"/>
        <w:jc w:val="both"/>
        <w:textAlignment w:val="baseline"/>
        <w:rPr>
          <w:rFonts w:ascii="Times New Roman" w:hAnsi="Times New Roman" w:cs="Times New Roman"/>
          <w:sz w:val="24"/>
          <w:szCs w:val="24"/>
        </w:rPr>
      </w:pPr>
      <w:r w:rsidRPr="00F13184">
        <w:rPr>
          <w:rFonts w:ascii="Times New Roman" w:hAnsi="Times New Roman" w:cs="Times New Roman"/>
          <w:sz w:val="24"/>
          <w:szCs w:val="24"/>
        </w:rPr>
        <w:t>Pravo na status roditelja njegovatelja, umjesto roditelju, može se priznati i bračnom ili izvanbračnom drugu roditelja djeteta s teškoćama u razvoju ili roditelja osobe s invaliditetom s kojim živi u obiteljskoj zajednici.</w:t>
      </w:r>
    </w:p>
    <w:p w14:paraId="02B5C6FC" w14:textId="77777777" w:rsidR="0046169C" w:rsidRPr="00F13184" w:rsidRDefault="0046169C" w:rsidP="0046169C">
      <w:pPr>
        <w:pStyle w:val="StandardWeb"/>
        <w:shd w:val="clear" w:color="auto" w:fill="FFFFFF"/>
        <w:spacing w:before="0" w:beforeAutospacing="0" w:after="0" w:afterAutospacing="0"/>
        <w:jc w:val="both"/>
        <w:textAlignment w:val="baseline"/>
        <w:rPr>
          <w:rFonts w:ascii="Times New Roman" w:hAnsi="Times New Roman" w:cs="Times New Roman"/>
          <w:sz w:val="24"/>
          <w:szCs w:val="24"/>
        </w:rPr>
      </w:pPr>
      <w:r w:rsidRPr="00F13184">
        <w:rPr>
          <w:rFonts w:ascii="Times New Roman" w:hAnsi="Times New Roman" w:cs="Times New Roman"/>
          <w:sz w:val="24"/>
          <w:szCs w:val="24"/>
        </w:rPr>
        <w:t xml:space="preserve">Ako u </w:t>
      </w:r>
      <w:proofErr w:type="spellStart"/>
      <w:r w:rsidRPr="00F13184">
        <w:rPr>
          <w:rFonts w:ascii="Times New Roman" w:hAnsi="Times New Roman" w:cs="Times New Roman"/>
          <w:sz w:val="24"/>
          <w:szCs w:val="24"/>
        </w:rPr>
        <w:t>jednoroditeljskoj</w:t>
      </w:r>
      <w:proofErr w:type="spellEnd"/>
      <w:r w:rsidRPr="00F13184">
        <w:rPr>
          <w:rFonts w:ascii="Times New Roman" w:hAnsi="Times New Roman" w:cs="Times New Roman"/>
          <w:sz w:val="24"/>
          <w:szCs w:val="24"/>
        </w:rPr>
        <w:t xml:space="preserve"> obitelji ima dvoje ili više djece s teškoćama u razvoju, odnosno osoba s invaliditetom, status roditelja njegovatelja može se priznati, osim roditelja, i jednom od članova obitelji s kojim živi u obiteljskoj zajednici.</w:t>
      </w:r>
    </w:p>
    <w:p w14:paraId="129F518B" w14:textId="77777777" w:rsidR="0046169C" w:rsidRPr="00F13184" w:rsidRDefault="0046169C" w:rsidP="0046169C">
      <w:pPr>
        <w:pStyle w:val="StandardWeb"/>
        <w:shd w:val="clear" w:color="auto" w:fill="FFFFFF"/>
        <w:spacing w:before="0" w:beforeAutospacing="0" w:after="0" w:afterAutospacing="0"/>
        <w:jc w:val="both"/>
        <w:textAlignment w:val="baseline"/>
        <w:rPr>
          <w:rFonts w:ascii="Times New Roman" w:hAnsi="Times New Roman" w:cs="Times New Roman"/>
          <w:sz w:val="24"/>
          <w:szCs w:val="24"/>
        </w:rPr>
      </w:pPr>
      <w:r w:rsidRPr="00F13184">
        <w:rPr>
          <w:rFonts w:ascii="Times New Roman" w:hAnsi="Times New Roman" w:cs="Times New Roman"/>
          <w:sz w:val="24"/>
          <w:szCs w:val="24"/>
        </w:rPr>
        <w:t>Roditelju ili drugoj osobi priznaje se pravo na status roditelja njegovatelja kada dijete s teškoćama u razvoju, odnosno osoba s invaliditetom boravi manje od četiri sata dnevno u predškolskoj, obrazovnoj ili zdravstvenoj ustanovi, domu socijalne skrbi ili kod drugog pružatelja usluga boravka.</w:t>
      </w:r>
    </w:p>
    <w:p w14:paraId="05080A7C" w14:textId="77777777" w:rsidR="0046169C" w:rsidRPr="00F13184" w:rsidRDefault="0046169C" w:rsidP="0046169C">
      <w:pPr>
        <w:pStyle w:val="StandardWeb"/>
        <w:shd w:val="clear" w:color="auto" w:fill="FFFFFF"/>
        <w:spacing w:before="0" w:beforeAutospacing="0" w:after="0" w:afterAutospacing="0"/>
        <w:jc w:val="both"/>
        <w:textAlignment w:val="baseline"/>
        <w:rPr>
          <w:rFonts w:ascii="Times New Roman" w:hAnsi="Times New Roman" w:cs="Times New Roman"/>
          <w:sz w:val="24"/>
          <w:szCs w:val="24"/>
        </w:rPr>
      </w:pPr>
      <w:r w:rsidRPr="00F13184">
        <w:rPr>
          <w:rFonts w:ascii="Times New Roman" w:hAnsi="Times New Roman" w:cs="Times New Roman"/>
          <w:sz w:val="24"/>
          <w:szCs w:val="24"/>
        </w:rPr>
        <w:t>Iznimno, roditelju ili drugoj osobi priznaje se pravo na status roditelja njegovatelja ili njegovatelja kada dijete s teškoćama u razvoju, odnosno osoba s invaliditetom u predškolskoj, obrazovnoj ili zdravstvenoj ustanovi, domu socijalne skrbi, centru za pružanje usluga u zajednici ili kod drugog pružatelja usluge boravka boravi četiri i više sati dnevno ako mu roditelj ili njegovatelj tijekom boravka pruža usluge pomoći i njege.</w:t>
      </w:r>
    </w:p>
    <w:p w14:paraId="2086D804" w14:textId="77777777" w:rsidR="0046169C" w:rsidRPr="00F13184" w:rsidRDefault="0046169C" w:rsidP="0046169C">
      <w:pPr>
        <w:pStyle w:val="StandardWeb"/>
        <w:shd w:val="clear" w:color="auto" w:fill="FFFFFF"/>
        <w:spacing w:before="0" w:beforeAutospacing="0" w:after="0" w:afterAutospacing="0"/>
        <w:jc w:val="both"/>
        <w:textAlignment w:val="baseline"/>
        <w:rPr>
          <w:rFonts w:ascii="Times New Roman" w:hAnsi="Times New Roman" w:cs="Times New Roman"/>
          <w:sz w:val="24"/>
          <w:szCs w:val="24"/>
        </w:rPr>
      </w:pPr>
      <w:r w:rsidRPr="00F13184">
        <w:rPr>
          <w:rFonts w:ascii="Times New Roman" w:hAnsi="Times New Roman" w:cs="Times New Roman"/>
          <w:sz w:val="24"/>
          <w:szCs w:val="24"/>
        </w:rPr>
        <w:t>Pravo na status roditelja njegovatelja može se priznati do navršene 65 godine života roditelja, a dulje ako se pružanje pomoći i njege ne može osigurati putem drugih osoba koje bi mogle ostvariti pravo na status njegovatelja.</w:t>
      </w:r>
    </w:p>
    <w:p w14:paraId="7019E84B" w14:textId="77777777" w:rsidR="0046169C" w:rsidRPr="00F13184" w:rsidRDefault="0046169C" w:rsidP="0046169C">
      <w:pPr>
        <w:pStyle w:val="StandardWeb"/>
        <w:shd w:val="clear" w:color="auto" w:fill="FFFFFF"/>
        <w:spacing w:before="0" w:beforeAutospacing="0" w:after="0" w:afterAutospacing="0"/>
        <w:jc w:val="both"/>
        <w:textAlignment w:val="baseline"/>
        <w:rPr>
          <w:rStyle w:val="Naglaeno"/>
          <w:rFonts w:ascii="Times New Roman" w:hAnsi="Times New Roman" w:cs="Times New Roman"/>
          <w:sz w:val="24"/>
          <w:szCs w:val="24"/>
          <w:bdr w:val="none" w:sz="0" w:space="0" w:color="auto" w:frame="1"/>
        </w:rPr>
      </w:pPr>
    </w:p>
    <w:p w14:paraId="2CF17318" w14:textId="77777777" w:rsidR="0046169C" w:rsidRPr="00F13184" w:rsidRDefault="0046169C" w:rsidP="0046169C">
      <w:pPr>
        <w:pStyle w:val="StandardWeb"/>
        <w:shd w:val="clear" w:color="auto" w:fill="FFFFFF"/>
        <w:spacing w:before="0" w:beforeAutospacing="0" w:after="0" w:afterAutospacing="0"/>
        <w:jc w:val="both"/>
        <w:textAlignment w:val="baseline"/>
        <w:rPr>
          <w:rFonts w:ascii="Times New Roman" w:hAnsi="Times New Roman" w:cs="Times New Roman"/>
          <w:sz w:val="24"/>
          <w:szCs w:val="24"/>
        </w:rPr>
      </w:pPr>
      <w:r w:rsidRPr="00F13184">
        <w:rPr>
          <w:rStyle w:val="Naglaeno"/>
          <w:rFonts w:ascii="Times New Roman" w:hAnsi="Times New Roman" w:cs="Times New Roman"/>
          <w:sz w:val="24"/>
          <w:szCs w:val="24"/>
          <w:bdr w:val="none" w:sz="0" w:space="0" w:color="auto" w:frame="1"/>
        </w:rPr>
        <w:t>Uvjeti za priznavanje prava na status njegovatelja</w:t>
      </w:r>
    </w:p>
    <w:p w14:paraId="45D91E49" w14:textId="77777777" w:rsidR="0046169C" w:rsidRPr="00F13184" w:rsidRDefault="0046169C" w:rsidP="0046169C">
      <w:pPr>
        <w:pStyle w:val="StandardWeb"/>
        <w:shd w:val="clear" w:color="auto" w:fill="FFFFFF"/>
        <w:spacing w:before="0" w:beforeAutospacing="0" w:after="0" w:afterAutospacing="0"/>
        <w:jc w:val="both"/>
        <w:textAlignment w:val="baseline"/>
        <w:rPr>
          <w:rFonts w:ascii="Times New Roman" w:hAnsi="Times New Roman" w:cs="Times New Roman"/>
          <w:sz w:val="24"/>
          <w:szCs w:val="24"/>
        </w:rPr>
      </w:pPr>
      <w:r w:rsidRPr="00F13184">
        <w:rPr>
          <w:rFonts w:ascii="Times New Roman" w:hAnsi="Times New Roman" w:cs="Times New Roman"/>
          <w:sz w:val="24"/>
          <w:szCs w:val="24"/>
        </w:rPr>
        <w:t>Status njegovatelja može se priznati jednom od članova obitelji s kojim živi u obiteljskoj zajednici kada su roditelji djeteta s teškoćama u razvoju umrli ili nijedan od roditelja ne živi s djetetom i o njemu se ne brine, ili živi s djetetom ali nije u mogućnosti pružiti mu potrebnu njegu zbog svog psihofizičkog stanja.</w:t>
      </w:r>
    </w:p>
    <w:p w14:paraId="356BA3B2" w14:textId="77777777" w:rsidR="0046169C" w:rsidRPr="00F13184" w:rsidRDefault="0046169C" w:rsidP="0046169C">
      <w:pPr>
        <w:pStyle w:val="StandardWeb"/>
        <w:shd w:val="clear" w:color="auto" w:fill="FFFFFF"/>
        <w:spacing w:before="0" w:beforeAutospacing="0" w:after="0" w:afterAutospacing="0"/>
        <w:jc w:val="both"/>
        <w:textAlignment w:val="baseline"/>
        <w:rPr>
          <w:rStyle w:val="Naglaeno"/>
          <w:rFonts w:ascii="Times New Roman" w:hAnsi="Times New Roman" w:cs="Times New Roman"/>
          <w:sz w:val="24"/>
          <w:szCs w:val="24"/>
          <w:bdr w:val="none" w:sz="0" w:space="0" w:color="auto" w:frame="1"/>
        </w:rPr>
      </w:pPr>
    </w:p>
    <w:p w14:paraId="7D73C0F2" w14:textId="77777777" w:rsidR="0046169C" w:rsidRPr="00F13184" w:rsidRDefault="0046169C" w:rsidP="0046169C">
      <w:pPr>
        <w:pStyle w:val="StandardWeb"/>
        <w:shd w:val="clear" w:color="auto" w:fill="FFFFFF"/>
        <w:spacing w:before="0" w:beforeAutospacing="0" w:after="0" w:afterAutospacing="0"/>
        <w:jc w:val="both"/>
        <w:textAlignment w:val="baseline"/>
        <w:rPr>
          <w:rStyle w:val="Naglaeno"/>
          <w:rFonts w:ascii="Times New Roman" w:hAnsi="Times New Roman" w:cs="Times New Roman"/>
          <w:sz w:val="24"/>
          <w:szCs w:val="24"/>
          <w:bdr w:val="none" w:sz="0" w:space="0" w:color="auto" w:frame="1"/>
        </w:rPr>
      </w:pPr>
    </w:p>
    <w:p w14:paraId="5CBE0996" w14:textId="77777777" w:rsidR="0046169C" w:rsidRPr="00F13184" w:rsidRDefault="0046169C" w:rsidP="0046169C">
      <w:pPr>
        <w:pStyle w:val="StandardWeb"/>
        <w:shd w:val="clear" w:color="auto" w:fill="FFFFFF"/>
        <w:spacing w:before="0" w:beforeAutospacing="0" w:after="0" w:afterAutospacing="0"/>
        <w:jc w:val="both"/>
        <w:textAlignment w:val="baseline"/>
        <w:rPr>
          <w:rFonts w:ascii="Times New Roman" w:hAnsi="Times New Roman" w:cs="Times New Roman"/>
          <w:sz w:val="24"/>
          <w:szCs w:val="24"/>
        </w:rPr>
      </w:pPr>
      <w:r w:rsidRPr="00F13184">
        <w:rPr>
          <w:rStyle w:val="Naglaeno"/>
          <w:rFonts w:ascii="Times New Roman" w:hAnsi="Times New Roman" w:cs="Times New Roman"/>
          <w:sz w:val="24"/>
          <w:szCs w:val="24"/>
          <w:bdr w:val="none" w:sz="0" w:space="0" w:color="auto" w:frame="1"/>
        </w:rPr>
        <w:lastRenderedPageBreak/>
        <w:t>Tko ne može ostvariti pravo na status roditelja njegovatelja ili status njegovatelja</w:t>
      </w:r>
    </w:p>
    <w:p w14:paraId="01829B22" w14:textId="77777777" w:rsidR="0046169C" w:rsidRPr="00F13184" w:rsidRDefault="0046169C" w:rsidP="0046169C">
      <w:pPr>
        <w:pStyle w:val="StandardWeb"/>
        <w:shd w:val="clear" w:color="auto" w:fill="FFFFFF"/>
        <w:spacing w:before="0" w:beforeAutospacing="0" w:after="0" w:afterAutospacing="0"/>
        <w:jc w:val="both"/>
        <w:textAlignment w:val="baseline"/>
        <w:rPr>
          <w:rFonts w:ascii="Times New Roman" w:hAnsi="Times New Roman" w:cs="Times New Roman"/>
          <w:sz w:val="24"/>
          <w:szCs w:val="24"/>
        </w:rPr>
      </w:pPr>
      <w:r w:rsidRPr="00F13184">
        <w:rPr>
          <w:rFonts w:ascii="Times New Roman" w:hAnsi="Times New Roman" w:cs="Times New Roman"/>
          <w:sz w:val="24"/>
          <w:szCs w:val="24"/>
        </w:rPr>
        <w:t>Status roditelja njegovatelja ili njegovatelja ne može se priznati roditelju ili drugoj osobi ako je djetetu s teškoćama u razvoju ili osobi s invaliditetom osigurana usluga smještaja, organiziranog stanovanja, poludnevnog ili cjelodnevnog boravka u skladu sa Zakonom o socijalnoj skrbi</w:t>
      </w:r>
    </w:p>
    <w:p w14:paraId="0A862073" w14:textId="77777777" w:rsidR="0046169C" w:rsidRPr="00F13184" w:rsidRDefault="0046169C" w:rsidP="0046169C">
      <w:pPr>
        <w:pStyle w:val="StandardWeb"/>
        <w:shd w:val="clear" w:color="auto" w:fill="FFFFFF"/>
        <w:spacing w:before="0" w:beforeAutospacing="0" w:after="0" w:afterAutospacing="0"/>
        <w:jc w:val="both"/>
        <w:textAlignment w:val="baseline"/>
        <w:rPr>
          <w:rFonts w:ascii="Times New Roman" w:hAnsi="Times New Roman" w:cs="Times New Roman"/>
          <w:sz w:val="24"/>
          <w:szCs w:val="24"/>
        </w:rPr>
      </w:pPr>
      <w:r w:rsidRPr="00F13184">
        <w:rPr>
          <w:rFonts w:ascii="Times New Roman" w:hAnsi="Times New Roman" w:cs="Times New Roman"/>
          <w:sz w:val="24"/>
          <w:szCs w:val="24"/>
        </w:rPr>
        <w:t xml:space="preserve">Za vrijeme dok jedan roditelj koristi </w:t>
      </w:r>
      <w:proofErr w:type="spellStart"/>
      <w:r w:rsidRPr="00F13184">
        <w:rPr>
          <w:rFonts w:ascii="Times New Roman" w:hAnsi="Times New Roman" w:cs="Times New Roman"/>
          <w:sz w:val="24"/>
          <w:szCs w:val="24"/>
        </w:rPr>
        <w:t>rodiljni</w:t>
      </w:r>
      <w:proofErr w:type="spellEnd"/>
      <w:r w:rsidRPr="00F13184">
        <w:rPr>
          <w:rFonts w:ascii="Times New Roman" w:hAnsi="Times New Roman" w:cs="Times New Roman"/>
          <w:sz w:val="24"/>
          <w:szCs w:val="24"/>
        </w:rPr>
        <w:t xml:space="preserve">, roditeljski ili </w:t>
      </w:r>
      <w:proofErr w:type="spellStart"/>
      <w:r w:rsidRPr="00F13184">
        <w:rPr>
          <w:rFonts w:ascii="Times New Roman" w:hAnsi="Times New Roman" w:cs="Times New Roman"/>
          <w:sz w:val="24"/>
          <w:szCs w:val="24"/>
        </w:rPr>
        <w:t>posvojiteljski</w:t>
      </w:r>
      <w:proofErr w:type="spellEnd"/>
      <w:r w:rsidRPr="00F13184">
        <w:rPr>
          <w:rFonts w:ascii="Times New Roman" w:hAnsi="Times New Roman" w:cs="Times New Roman"/>
          <w:sz w:val="24"/>
          <w:szCs w:val="24"/>
        </w:rPr>
        <w:t xml:space="preserve"> dopust za dijete, drugom roditelju ne može se priznati status roditelja njegovatelja za isto dijete.</w:t>
      </w:r>
    </w:p>
    <w:p w14:paraId="56979EFD" w14:textId="77777777" w:rsidR="0046169C" w:rsidRPr="00F13184" w:rsidRDefault="0046169C" w:rsidP="0046169C">
      <w:pPr>
        <w:pStyle w:val="StandardWeb"/>
        <w:shd w:val="clear" w:color="auto" w:fill="FFFFFF"/>
        <w:spacing w:before="0" w:beforeAutospacing="0" w:after="0" w:afterAutospacing="0"/>
        <w:jc w:val="both"/>
        <w:textAlignment w:val="baseline"/>
        <w:rPr>
          <w:rStyle w:val="Naglaeno"/>
          <w:rFonts w:ascii="Times New Roman" w:hAnsi="Times New Roman" w:cs="Times New Roman"/>
          <w:sz w:val="24"/>
          <w:szCs w:val="24"/>
          <w:bdr w:val="none" w:sz="0" w:space="0" w:color="auto" w:frame="1"/>
        </w:rPr>
      </w:pPr>
    </w:p>
    <w:p w14:paraId="11BB32A2" w14:textId="77777777" w:rsidR="0046169C" w:rsidRPr="00F13184" w:rsidRDefault="0046169C" w:rsidP="0046169C">
      <w:pPr>
        <w:pStyle w:val="StandardWeb"/>
        <w:shd w:val="clear" w:color="auto" w:fill="FFFFFF"/>
        <w:spacing w:before="0" w:beforeAutospacing="0" w:after="0" w:afterAutospacing="0"/>
        <w:jc w:val="both"/>
        <w:textAlignment w:val="baseline"/>
        <w:rPr>
          <w:rFonts w:ascii="Times New Roman" w:hAnsi="Times New Roman" w:cs="Times New Roman"/>
          <w:sz w:val="24"/>
          <w:szCs w:val="24"/>
        </w:rPr>
      </w:pPr>
      <w:r w:rsidRPr="00F13184">
        <w:rPr>
          <w:rStyle w:val="Naglaeno"/>
          <w:rFonts w:ascii="Times New Roman" w:hAnsi="Times New Roman" w:cs="Times New Roman"/>
          <w:sz w:val="24"/>
          <w:szCs w:val="24"/>
          <w:bdr w:val="none" w:sz="0" w:space="0" w:color="auto" w:frame="1"/>
        </w:rPr>
        <w:t>Naknada koju ostvaruje roditelj njegovatelj odnosno njegovatelj</w:t>
      </w:r>
    </w:p>
    <w:p w14:paraId="55921D0F" w14:textId="77777777" w:rsidR="0046169C" w:rsidRPr="00F13184" w:rsidRDefault="0046169C" w:rsidP="0046169C">
      <w:pPr>
        <w:pStyle w:val="StandardWeb"/>
        <w:shd w:val="clear" w:color="auto" w:fill="FFFFFF"/>
        <w:spacing w:before="0" w:beforeAutospacing="0" w:after="0" w:afterAutospacing="0"/>
        <w:jc w:val="both"/>
        <w:textAlignment w:val="baseline"/>
        <w:rPr>
          <w:rFonts w:ascii="Times New Roman" w:hAnsi="Times New Roman" w:cs="Times New Roman"/>
          <w:sz w:val="24"/>
          <w:szCs w:val="24"/>
        </w:rPr>
      </w:pPr>
      <w:r w:rsidRPr="00F13184">
        <w:rPr>
          <w:rFonts w:ascii="Times New Roman" w:hAnsi="Times New Roman" w:cs="Times New Roman"/>
          <w:sz w:val="24"/>
          <w:szCs w:val="24"/>
        </w:rPr>
        <w:t>Roditelj njegovatelj odnosno njegovatelj ima pravo na naknadu u iznosu pet osnovica iz članka 27. stavka 2. Zakona o socijalnoj skrbi (koja iznosi 500,00 kuna), prava iz mirovinskoga osiguranja, zdravstvenog osiguranja i prava za vrijeme nezaposlenosti, kao zaposlena osoba prema posebnim propisima.</w:t>
      </w:r>
    </w:p>
    <w:p w14:paraId="6171A8BB" w14:textId="77777777" w:rsidR="0046169C" w:rsidRPr="00F13184" w:rsidRDefault="0046169C" w:rsidP="0046169C">
      <w:pPr>
        <w:pStyle w:val="StandardWeb"/>
        <w:shd w:val="clear" w:color="auto" w:fill="FFFFFF"/>
        <w:spacing w:before="0" w:beforeAutospacing="0" w:after="0" w:afterAutospacing="0"/>
        <w:jc w:val="both"/>
        <w:textAlignment w:val="baseline"/>
        <w:rPr>
          <w:rFonts w:ascii="Times New Roman" w:hAnsi="Times New Roman" w:cs="Times New Roman"/>
          <w:sz w:val="24"/>
          <w:szCs w:val="24"/>
        </w:rPr>
      </w:pPr>
      <w:r w:rsidRPr="00F13184">
        <w:rPr>
          <w:rFonts w:ascii="Times New Roman" w:hAnsi="Times New Roman" w:cs="Times New Roman"/>
          <w:sz w:val="24"/>
          <w:szCs w:val="24"/>
        </w:rPr>
        <w:t>Ministarstvo putem centra za socijalnu skrb vrši obračun i isplatu naknade i uplaćuje sve doprinose za obvezna osiguranja, a sredstva za te namjene se osiguravaju u državnom proračunu.</w:t>
      </w:r>
      <w:r w:rsidRPr="00F13184">
        <w:rPr>
          <w:rFonts w:ascii="Times New Roman" w:hAnsi="Times New Roman" w:cs="Times New Roman"/>
          <w:sz w:val="24"/>
          <w:szCs w:val="24"/>
        </w:rPr>
        <w:br/>
        <w:t>Osnovica za uplatu doprinosa je najniža mjesečna osnovica za obračun doprinosa za obvezna osiguranja za tekuću godinu.</w:t>
      </w:r>
    </w:p>
    <w:p w14:paraId="6062F76E" w14:textId="77777777" w:rsidR="0046169C" w:rsidRPr="00F13184" w:rsidRDefault="0046169C" w:rsidP="0046169C">
      <w:pPr>
        <w:pStyle w:val="StandardWeb"/>
        <w:shd w:val="clear" w:color="auto" w:fill="FFFFFF"/>
        <w:spacing w:before="0" w:beforeAutospacing="0" w:after="0" w:afterAutospacing="0"/>
        <w:jc w:val="both"/>
        <w:textAlignment w:val="baseline"/>
        <w:rPr>
          <w:rFonts w:ascii="Times New Roman" w:hAnsi="Times New Roman" w:cs="Times New Roman"/>
          <w:sz w:val="24"/>
          <w:szCs w:val="24"/>
        </w:rPr>
      </w:pPr>
      <w:r w:rsidRPr="00F13184">
        <w:rPr>
          <w:rFonts w:ascii="Times New Roman" w:hAnsi="Times New Roman" w:cs="Times New Roman"/>
          <w:sz w:val="24"/>
          <w:szCs w:val="24"/>
        </w:rPr>
        <w:t>Roditelj njegovatelj, odnosno njegovatelj ima pravo na naknadu i za vrijeme privremene nesposobnosti za pružanje njege zbog bolesti, kao i tijekom odmora, kada ne obavlja poslove njegovatelja, a djetetu je osiguran privremeni smještaj tijekom godišnjeg odmora roditelja njegovatelja po odredbama ovoga Zakona, te ako je dijete na bolničkom liječenju najduže dva mjeseca.</w:t>
      </w:r>
    </w:p>
    <w:p w14:paraId="4FBB2D92" w14:textId="77777777" w:rsidR="0046169C" w:rsidRPr="00F13184" w:rsidRDefault="0046169C" w:rsidP="0046169C">
      <w:pPr>
        <w:pStyle w:val="StandardWeb"/>
        <w:shd w:val="clear" w:color="auto" w:fill="FFFFFF"/>
        <w:spacing w:before="0" w:beforeAutospacing="0" w:after="0" w:afterAutospacing="0"/>
        <w:jc w:val="both"/>
        <w:textAlignment w:val="baseline"/>
        <w:rPr>
          <w:rStyle w:val="Naglaeno"/>
          <w:rFonts w:ascii="Times New Roman" w:hAnsi="Times New Roman" w:cs="Times New Roman"/>
          <w:sz w:val="24"/>
          <w:szCs w:val="24"/>
          <w:bdr w:val="none" w:sz="0" w:space="0" w:color="auto" w:frame="1"/>
        </w:rPr>
      </w:pPr>
    </w:p>
    <w:p w14:paraId="5AD0287B" w14:textId="77777777" w:rsidR="0046169C" w:rsidRPr="00F13184" w:rsidRDefault="0046169C" w:rsidP="0046169C">
      <w:pPr>
        <w:pStyle w:val="StandardWeb"/>
        <w:shd w:val="clear" w:color="auto" w:fill="FFFFFF"/>
        <w:spacing w:before="0" w:beforeAutospacing="0" w:after="0" w:afterAutospacing="0"/>
        <w:jc w:val="both"/>
        <w:textAlignment w:val="baseline"/>
        <w:rPr>
          <w:rFonts w:ascii="Times New Roman" w:hAnsi="Times New Roman" w:cs="Times New Roman"/>
          <w:sz w:val="24"/>
          <w:szCs w:val="24"/>
        </w:rPr>
      </w:pPr>
      <w:r w:rsidRPr="00F13184">
        <w:rPr>
          <w:rStyle w:val="Naglaeno"/>
          <w:rFonts w:ascii="Times New Roman" w:hAnsi="Times New Roman" w:cs="Times New Roman"/>
          <w:sz w:val="24"/>
          <w:szCs w:val="24"/>
          <w:bdr w:val="none" w:sz="0" w:space="0" w:color="auto" w:frame="1"/>
        </w:rPr>
        <w:t>Korištenje odmora</w:t>
      </w:r>
    </w:p>
    <w:p w14:paraId="7EADECD8" w14:textId="77777777" w:rsidR="0046169C" w:rsidRPr="00F13184" w:rsidRDefault="0046169C" w:rsidP="0046169C">
      <w:pPr>
        <w:pStyle w:val="StandardWeb"/>
        <w:shd w:val="clear" w:color="auto" w:fill="FFFFFF"/>
        <w:spacing w:before="0" w:beforeAutospacing="0" w:after="0" w:afterAutospacing="0"/>
        <w:jc w:val="both"/>
        <w:textAlignment w:val="baseline"/>
        <w:rPr>
          <w:rFonts w:ascii="Times New Roman" w:hAnsi="Times New Roman" w:cs="Times New Roman"/>
          <w:sz w:val="24"/>
          <w:szCs w:val="24"/>
        </w:rPr>
      </w:pPr>
      <w:r w:rsidRPr="00F13184">
        <w:rPr>
          <w:rFonts w:ascii="Times New Roman" w:hAnsi="Times New Roman" w:cs="Times New Roman"/>
          <w:sz w:val="24"/>
          <w:szCs w:val="24"/>
        </w:rPr>
        <w:t>Roditelj njegovatelj, odnosno njegovatelj može koristiti odmor u trajanju do četiri tjedna tijekom godine</w:t>
      </w:r>
    </w:p>
    <w:p w14:paraId="71640577" w14:textId="77777777" w:rsidR="0046169C" w:rsidRPr="00F13184" w:rsidRDefault="0046169C" w:rsidP="0046169C">
      <w:pPr>
        <w:pStyle w:val="StandardWeb"/>
        <w:shd w:val="clear" w:color="auto" w:fill="FFFFFF"/>
        <w:spacing w:before="0" w:beforeAutospacing="0" w:after="0" w:afterAutospacing="0"/>
        <w:jc w:val="both"/>
        <w:textAlignment w:val="baseline"/>
        <w:rPr>
          <w:rFonts w:ascii="Times New Roman" w:hAnsi="Times New Roman" w:cs="Times New Roman"/>
          <w:sz w:val="24"/>
          <w:szCs w:val="24"/>
        </w:rPr>
      </w:pPr>
      <w:r w:rsidRPr="00F13184">
        <w:rPr>
          <w:rFonts w:ascii="Times New Roman" w:hAnsi="Times New Roman" w:cs="Times New Roman"/>
          <w:sz w:val="24"/>
          <w:szCs w:val="24"/>
        </w:rPr>
        <w:br/>
        <w:t>Rješenje o priznavanju prava na status roditelja njegovatelja ili njegovatelja donosi centar za socijalnu skrb uz suglasnost Ministarstva.</w:t>
      </w:r>
    </w:p>
    <w:p w14:paraId="25328EC2" w14:textId="77777777" w:rsidR="0046169C" w:rsidRPr="00F13184" w:rsidRDefault="0046169C" w:rsidP="0046169C">
      <w:pPr>
        <w:pStyle w:val="StandardWeb"/>
        <w:shd w:val="clear" w:color="auto" w:fill="FFFFFF"/>
        <w:spacing w:before="0" w:beforeAutospacing="0" w:after="0" w:afterAutospacing="0"/>
        <w:jc w:val="both"/>
        <w:textAlignment w:val="baseline"/>
        <w:rPr>
          <w:rStyle w:val="Naglaeno"/>
          <w:rFonts w:ascii="Times New Roman" w:hAnsi="Times New Roman" w:cs="Times New Roman"/>
          <w:sz w:val="24"/>
          <w:szCs w:val="24"/>
          <w:bdr w:val="none" w:sz="0" w:space="0" w:color="auto" w:frame="1"/>
        </w:rPr>
      </w:pPr>
    </w:p>
    <w:p w14:paraId="1F9B6AF1" w14:textId="77777777" w:rsidR="0046169C" w:rsidRPr="00F13184" w:rsidRDefault="0046169C" w:rsidP="0046169C">
      <w:pPr>
        <w:pStyle w:val="StandardWeb"/>
        <w:shd w:val="clear" w:color="auto" w:fill="FFFFFF"/>
        <w:spacing w:before="0" w:beforeAutospacing="0" w:after="0" w:afterAutospacing="0"/>
        <w:jc w:val="both"/>
        <w:textAlignment w:val="baseline"/>
        <w:rPr>
          <w:rFonts w:ascii="Times New Roman" w:hAnsi="Times New Roman" w:cs="Times New Roman"/>
          <w:sz w:val="24"/>
          <w:szCs w:val="24"/>
        </w:rPr>
      </w:pPr>
      <w:r w:rsidRPr="00F13184">
        <w:rPr>
          <w:rStyle w:val="Naglaeno"/>
          <w:rFonts w:ascii="Times New Roman" w:hAnsi="Times New Roman" w:cs="Times New Roman"/>
          <w:sz w:val="24"/>
          <w:szCs w:val="24"/>
          <w:bdr w:val="none" w:sz="0" w:space="0" w:color="auto" w:frame="1"/>
        </w:rPr>
        <w:t>Razlozi za prestanak prava na status roditelja njegovatelja ili njegovatelja</w:t>
      </w:r>
    </w:p>
    <w:p w14:paraId="28625773" w14:textId="77777777" w:rsidR="0046169C" w:rsidRPr="00F13184" w:rsidRDefault="0046169C" w:rsidP="0046169C">
      <w:pPr>
        <w:pStyle w:val="StandardWeb"/>
        <w:shd w:val="clear" w:color="auto" w:fill="FFFFFF"/>
        <w:spacing w:before="0" w:beforeAutospacing="0" w:after="0" w:afterAutospacing="0"/>
        <w:jc w:val="both"/>
        <w:textAlignment w:val="baseline"/>
        <w:rPr>
          <w:rFonts w:ascii="Times New Roman" w:hAnsi="Times New Roman" w:cs="Times New Roman"/>
          <w:sz w:val="24"/>
          <w:szCs w:val="24"/>
        </w:rPr>
      </w:pPr>
      <w:r w:rsidRPr="00F13184">
        <w:rPr>
          <w:rFonts w:ascii="Times New Roman" w:hAnsi="Times New Roman" w:cs="Times New Roman"/>
          <w:sz w:val="24"/>
          <w:szCs w:val="24"/>
        </w:rPr>
        <w:t>Pravo na status roditelja njegovatelja ili njegovatelja prestaje:</w:t>
      </w:r>
    </w:p>
    <w:p w14:paraId="5FC19D95" w14:textId="77777777" w:rsidR="0046169C" w:rsidRPr="00F13184" w:rsidRDefault="0046169C" w:rsidP="00FB05F1">
      <w:pPr>
        <w:pStyle w:val="StandardWeb"/>
        <w:numPr>
          <w:ilvl w:val="0"/>
          <w:numId w:val="28"/>
        </w:numPr>
        <w:shd w:val="clear" w:color="auto" w:fill="FFFFFF"/>
        <w:spacing w:before="0" w:beforeAutospacing="0" w:after="0" w:afterAutospacing="0"/>
        <w:ind w:left="426"/>
        <w:jc w:val="both"/>
        <w:textAlignment w:val="baseline"/>
        <w:rPr>
          <w:rFonts w:ascii="Times New Roman" w:hAnsi="Times New Roman" w:cs="Times New Roman"/>
          <w:sz w:val="24"/>
          <w:szCs w:val="24"/>
        </w:rPr>
      </w:pPr>
      <w:r w:rsidRPr="00F13184">
        <w:rPr>
          <w:rFonts w:ascii="Times New Roman" w:hAnsi="Times New Roman" w:cs="Times New Roman"/>
          <w:sz w:val="24"/>
          <w:szCs w:val="24"/>
        </w:rPr>
        <w:t>na zahtjev roditelja njegovatelja ili njegovatelja</w:t>
      </w:r>
    </w:p>
    <w:p w14:paraId="21C74FEC" w14:textId="77777777" w:rsidR="0046169C" w:rsidRPr="00F13184" w:rsidRDefault="0046169C" w:rsidP="00FB05F1">
      <w:pPr>
        <w:pStyle w:val="StandardWeb"/>
        <w:numPr>
          <w:ilvl w:val="0"/>
          <w:numId w:val="28"/>
        </w:numPr>
        <w:shd w:val="clear" w:color="auto" w:fill="FFFFFF"/>
        <w:spacing w:before="0" w:beforeAutospacing="0" w:after="0" w:afterAutospacing="0"/>
        <w:ind w:left="426"/>
        <w:jc w:val="both"/>
        <w:textAlignment w:val="baseline"/>
        <w:rPr>
          <w:rFonts w:ascii="Times New Roman" w:hAnsi="Times New Roman" w:cs="Times New Roman"/>
          <w:sz w:val="24"/>
          <w:szCs w:val="24"/>
        </w:rPr>
      </w:pPr>
      <w:r w:rsidRPr="00F13184">
        <w:rPr>
          <w:rFonts w:ascii="Times New Roman" w:hAnsi="Times New Roman" w:cs="Times New Roman"/>
          <w:sz w:val="24"/>
          <w:szCs w:val="24"/>
        </w:rPr>
        <w:t>ako roditelj njegovatelj ili njegovatelj nije u mogućnosti pružati potrebnu njegu zbog svojeg psihofizičkoga stanja</w:t>
      </w:r>
    </w:p>
    <w:p w14:paraId="7651CEB2" w14:textId="77777777" w:rsidR="0046169C" w:rsidRPr="00F13184" w:rsidRDefault="0046169C" w:rsidP="00FB05F1">
      <w:pPr>
        <w:pStyle w:val="StandardWeb"/>
        <w:numPr>
          <w:ilvl w:val="0"/>
          <w:numId w:val="28"/>
        </w:numPr>
        <w:shd w:val="clear" w:color="auto" w:fill="FFFFFF"/>
        <w:spacing w:before="0" w:beforeAutospacing="0" w:after="0" w:afterAutospacing="0"/>
        <w:ind w:left="426"/>
        <w:jc w:val="both"/>
        <w:textAlignment w:val="baseline"/>
        <w:rPr>
          <w:rFonts w:ascii="Times New Roman" w:hAnsi="Times New Roman" w:cs="Times New Roman"/>
          <w:sz w:val="24"/>
          <w:szCs w:val="24"/>
        </w:rPr>
      </w:pPr>
      <w:r w:rsidRPr="00F13184">
        <w:rPr>
          <w:rFonts w:ascii="Times New Roman" w:hAnsi="Times New Roman" w:cs="Times New Roman"/>
          <w:sz w:val="24"/>
          <w:szCs w:val="24"/>
        </w:rPr>
        <w:t>ako roditelj njegovatelj ili njegovatelj zbog neopravdanih razloga ne obavlja poslove njegovatelja</w:t>
      </w:r>
    </w:p>
    <w:p w14:paraId="3B738B2F" w14:textId="77777777" w:rsidR="0046169C" w:rsidRPr="00F13184" w:rsidRDefault="0046169C" w:rsidP="00FB05F1">
      <w:pPr>
        <w:pStyle w:val="StandardWeb"/>
        <w:numPr>
          <w:ilvl w:val="0"/>
          <w:numId w:val="28"/>
        </w:numPr>
        <w:shd w:val="clear" w:color="auto" w:fill="FFFFFF"/>
        <w:spacing w:before="0" w:beforeAutospacing="0" w:after="0" w:afterAutospacing="0"/>
        <w:ind w:left="426"/>
        <w:jc w:val="both"/>
        <w:textAlignment w:val="baseline"/>
        <w:rPr>
          <w:rFonts w:ascii="Times New Roman" w:hAnsi="Times New Roman" w:cs="Times New Roman"/>
          <w:sz w:val="24"/>
          <w:szCs w:val="24"/>
        </w:rPr>
      </w:pPr>
      <w:r w:rsidRPr="00F13184">
        <w:rPr>
          <w:rFonts w:ascii="Times New Roman" w:hAnsi="Times New Roman" w:cs="Times New Roman"/>
          <w:sz w:val="24"/>
          <w:szCs w:val="24"/>
        </w:rPr>
        <w:t>ako se roditelj njegovatelj ili njegovatelj nalazi u pritvoru, odnosno istražnom zatvoru ili na izdržavanju kazne zatvora u trajanju duljem od dva mjeseca</w:t>
      </w:r>
    </w:p>
    <w:p w14:paraId="5AAF621D" w14:textId="77777777" w:rsidR="0046169C" w:rsidRPr="00F13184" w:rsidRDefault="0046169C" w:rsidP="00FB05F1">
      <w:pPr>
        <w:pStyle w:val="StandardWeb"/>
        <w:numPr>
          <w:ilvl w:val="0"/>
          <w:numId w:val="28"/>
        </w:numPr>
        <w:shd w:val="clear" w:color="auto" w:fill="FFFFFF"/>
        <w:spacing w:before="0" w:beforeAutospacing="0" w:after="0" w:afterAutospacing="0"/>
        <w:ind w:left="426"/>
        <w:jc w:val="both"/>
        <w:textAlignment w:val="baseline"/>
        <w:rPr>
          <w:rFonts w:ascii="Times New Roman" w:hAnsi="Times New Roman" w:cs="Times New Roman"/>
          <w:sz w:val="24"/>
          <w:szCs w:val="24"/>
        </w:rPr>
      </w:pPr>
      <w:r w:rsidRPr="00F13184">
        <w:rPr>
          <w:rFonts w:ascii="Times New Roman" w:hAnsi="Times New Roman" w:cs="Times New Roman"/>
          <w:sz w:val="24"/>
          <w:szCs w:val="24"/>
        </w:rPr>
        <w:t>kada roditelj njegovatelj ili njegovatelj navrši 65 godina života, osim u slučaju kad se pružanje pomoći i njege ne može osigurati putem drugih osoba koje bi mogle ostvariti pravo na status njegovatelja</w:t>
      </w:r>
    </w:p>
    <w:p w14:paraId="1553DCC9" w14:textId="77777777" w:rsidR="0046169C" w:rsidRPr="00F13184" w:rsidRDefault="0046169C" w:rsidP="00FB05F1">
      <w:pPr>
        <w:pStyle w:val="StandardWeb"/>
        <w:numPr>
          <w:ilvl w:val="0"/>
          <w:numId w:val="28"/>
        </w:numPr>
        <w:shd w:val="clear" w:color="auto" w:fill="FFFFFF"/>
        <w:spacing w:before="0" w:beforeAutospacing="0" w:after="0" w:afterAutospacing="0"/>
        <w:ind w:left="426"/>
        <w:jc w:val="both"/>
        <w:textAlignment w:val="baseline"/>
        <w:rPr>
          <w:rFonts w:ascii="Times New Roman" w:hAnsi="Times New Roman" w:cs="Times New Roman"/>
          <w:sz w:val="24"/>
          <w:szCs w:val="24"/>
        </w:rPr>
      </w:pPr>
      <w:r w:rsidRPr="00F13184">
        <w:rPr>
          <w:rFonts w:ascii="Times New Roman" w:hAnsi="Times New Roman" w:cs="Times New Roman"/>
          <w:sz w:val="24"/>
          <w:szCs w:val="24"/>
        </w:rPr>
        <w:t>smrću djeteta s teškoćama u razvoju ili osobe s invaliditetom, roditelja njegovatelja ili njegovatelja</w:t>
      </w:r>
    </w:p>
    <w:p w14:paraId="4D49D439" w14:textId="77777777" w:rsidR="0046169C" w:rsidRPr="00F13184" w:rsidRDefault="0046169C" w:rsidP="0046169C">
      <w:pPr>
        <w:spacing w:after="0" w:line="240" w:lineRule="auto"/>
        <w:jc w:val="both"/>
        <w:rPr>
          <w:rFonts w:ascii="Times New Roman" w:hAnsi="Times New Roman" w:cs="Times New Roman"/>
          <w:sz w:val="24"/>
          <w:szCs w:val="24"/>
        </w:rPr>
      </w:pPr>
    </w:p>
    <w:p w14:paraId="245F7A4E" w14:textId="77777777" w:rsidR="0046169C" w:rsidRPr="00F13184" w:rsidRDefault="0046169C" w:rsidP="0046169C">
      <w:pPr>
        <w:spacing w:after="120" w:line="240" w:lineRule="auto"/>
        <w:jc w:val="both"/>
        <w:rPr>
          <w:rFonts w:ascii="Times New Roman" w:hAnsi="Times New Roman" w:cs="Times New Roman"/>
          <w:sz w:val="24"/>
          <w:szCs w:val="24"/>
        </w:rPr>
      </w:pPr>
      <w:r w:rsidRPr="00F13184">
        <w:rPr>
          <w:rFonts w:ascii="Times New Roman" w:hAnsi="Times New Roman" w:cs="Times New Roman"/>
          <w:sz w:val="24"/>
          <w:szCs w:val="24"/>
        </w:rPr>
        <w:t>Izmjenama i dopunama Zakona o socijalnoj skrbi 2017. godine omogućeno je ostvarivanje prava na status njegovatelja bračnom ili izvanbračnom drugu kao i formalnom i neformalnom životnom partneru osobe s invaliditetom.</w:t>
      </w:r>
    </w:p>
    <w:p w14:paraId="7DE3D5E1" w14:textId="77777777" w:rsidR="0046169C" w:rsidRPr="00F13184" w:rsidRDefault="0046169C" w:rsidP="0046169C">
      <w:pPr>
        <w:spacing w:after="0" w:line="240" w:lineRule="auto"/>
        <w:jc w:val="both"/>
        <w:rPr>
          <w:rFonts w:ascii="Times New Roman" w:hAnsi="Times New Roman" w:cs="Times New Roman"/>
          <w:sz w:val="24"/>
          <w:szCs w:val="24"/>
        </w:rPr>
      </w:pPr>
    </w:p>
    <w:p w14:paraId="289106E2" w14:textId="77777777" w:rsidR="0046169C" w:rsidRPr="00F13184" w:rsidRDefault="0046169C" w:rsidP="0046169C">
      <w:pPr>
        <w:spacing w:after="0" w:line="240" w:lineRule="auto"/>
        <w:jc w:val="both"/>
        <w:rPr>
          <w:rFonts w:ascii="Times New Roman" w:hAnsi="Times New Roman" w:cs="Times New Roman"/>
          <w:sz w:val="24"/>
          <w:szCs w:val="24"/>
        </w:rPr>
      </w:pPr>
      <w:r w:rsidRPr="00F13184">
        <w:rPr>
          <w:rFonts w:ascii="Times New Roman" w:hAnsi="Times New Roman" w:cs="Times New Roman"/>
          <w:sz w:val="24"/>
          <w:szCs w:val="24"/>
        </w:rPr>
        <w:lastRenderedPageBreak/>
        <w:t>Uredbom o izmjeni Zakona o socijalnoj skrbi Vlade Republike Hrvatske 2020. godine povećana je visina naknade osobama kojima je priznat status roditelja njegovatelja/ njegovatelja s pet na osam osnovica za ostvarivanje prava po osnovi socijalne skrbi, te sada iznosi 4.000,00 kuna, odnosno radi se o povećanju iznosa naknade za 1.500,00 kuna.</w:t>
      </w:r>
    </w:p>
    <w:p w14:paraId="5EC1E68A" w14:textId="77777777" w:rsidR="0046169C" w:rsidRPr="00F13184" w:rsidRDefault="0046169C" w:rsidP="0046169C">
      <w:pPr>
        <w:spacing w:after="0" w:line="240" w:lineRule="auto"/>
        <w:jc w:val="both"/>
        <w:rPr>
          <w:rFonts w:ascii="Times New Roman" w:hAnsi="Times New Roman" w:cs="Times New Roman"/>
          <w:sz w:val="24"/>
          <w:szCs w:val="24"/>
        </w:rPr>
      </w:pPr>
    </w:p>
    <w:p w14:paraId="4FB61F30" w14:textId="77777777" w:rsidR="0046169C" w:rsidRPr="00F13184" w:rsidRDefault="0046169C" w:rsidP="0046169C">
      <w:pPr>
        <w:spacing w:after="0" w:line="240" w:lineRule="auto"/>
        <w:jc w:val="both"/>
        <w:rPr>
          <w:rFonts w:ascii="Times New Roman" w:hAnsi="Times New Roman" w:cs="Times New Roman"/>
          <w:sz w:val="24"/>
          <w:szCs w:val="24"/>
        </w:rPr>
      </w:pPr>
      <w:r w:rsidRPr="00F13184">
        <w:rPr>
          <w:rFonts w:ascii="Times New Roman" w:hAnsi="Times New Roman" w:cs="Times New Roman"/>
          <w:sz w:val="24"/>
          <w:szCs w:val="24"/>
        </w:rPr>
        <w:t>Analiza materijalnih prava temeljem Zakona o socijalnoj skrbi iz siječnja 2021. godine pokazuje povećanje utrošenih sredstava na godišnjim razinama. Sredstva za status roditelja njegovatelja/njegovatelja povećana su za 58%: sa 165 milijuna kuna u 2016. povećana su na 261 milijuna kuna u 2020., a u 2021. godini iznose 311 milijuna kuna.</w:t>
      </w:r>
    </w:p>
    <w:p w14:paraId="18D75339" w14:textId="77777777" w:rsidR="0046169C" w:rsidRPr="00F13184" w:rsidRDefault="0046169C" w:rsidP="0046169C">
      <w:pPr>
        <w:spacing w:after="0" w:line="240" w:lineRule="auto"/>
        <w:jc w:val="both"/>
        <w:rPr>
          <w:rFonts w:ascii="Times New Roman" w:hAnsi="Times New Roman" w:cs="Times New Roman"/>
          <w:sz w:val="24"/>
          <w:szCs w:val="24"/>
        </w:rPr>
      </w:pPr>
    </w:p>
    <w:p w14:paraId="17A082EF" w14:textId="77777777" w:rsidR="0046169C" w:rsidRPr="00872E13" w:rsidRDefault="0046169C" w:rsidP="0046169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Broj korisnika od 2017. do 220. godine:</w:t>
      </w:r>
    </w:p>
    <w:p w14:paraId="03CBBA68" w14:textId="77777777" w:rsidR="0046169C" w:rsidRPr="00872E13" w:rsidRDefault="0046169C" w:rsidP="0046169C">
      <w:pPr>
        <w:spacing w:after="0" w:line="240" w:lineRule="auto"/>
        <w:jc w:val="both"/>
        <w:rPr>
          <w:rFonts w:ascii="Times New Roman" w:hAnsi="Times New Roman" w:cs="Times New Roman"/>
          <w:sz w:val="24"/>
          <w:szCs w:val="24"/>
        </w:rPr>
      </w:pPr>
    </w:p>
    <w:tbl>
      <w:tblPr>
        <w:tblStyle w:val="Reetkatablice"/>
        <w:tblW w:w="9063" w:type="dxa"/>
        <w:tblLayout w:type="fixed"/>
        <w:tblLook w:val="04A0" w:firstRow="1" w:lastRow="0" w:firstColumn="1" w:lastColumn="0" w:noHBand="0" w:noVBand="1"/>
      </w:tblPr>
      <w:tblGrid>
        <w:gridCol w:w="2189"/>
        <w:gridCol w:w="1723"/>
        <w:gridCol w:w="1717"/>
        <w:gridCol w:w="1717"/>
        <w:gridCol w:w="1717"/>
      </w:tblGrid>
      <w:tr w:rsidR="0046169C" w:rsidRPr="00872E13" w14:paraId="4F2125BC" w14:textId="77777777" w:rsidTr="00816216">
        <w:trPr>
          <w:trHeight w:val="415"/>
        </w:trPr>
        <w:tc>
          <w:tcPr>
            <w:tcW w:w="2189" w:type="dxa"/>
            <w:shd w:val="clear" w:color="auto" w:fill="E7E6E6" w:themeFill="background2"/>
            <w:vAlign w:val="center"/>
          </w:tcPr>
          <w:p w14:paraId="39BAE85F" w14:textId="77777777" w:rsidR="0046169C" w:rsidRPr="00872E13" w:rsidRDefault="0046169C" w:rsidP="00816216">
            <w:pPr>
              <w:jc w:val="center"/>
              <w:rPr>
                <w:rFonts w:ascii="Times New Roman" w:hAnsi="Times New Roman" w:cs="Times New Roman"/>
                <w:sz w:val="24"/>
                <w:szCs w:val="24"/>
              </w:rPr>
            </w:pPr>
          </w:p>
        </w:tc>
        <w:tc>
          <w:tcPr>
            <w:tcW w:w="1723" w:type="dxa"/>
            <w:shd w:val="clear" w:color="auto" w:fill="E7E6E6" w:themeFill="background2"/>
            <w:vAlign w:val="center"/>
          </w:tcPr>
          <w:p w14:paraId="52714E04" w14:textId="77777777" w:rsidR="0046169C" w:rsidRPr="00872E13" w:rsidRDefault="0046169C" w:rsidP="00816216">
            <w:pPr>
              <w:jc w:val="center"/>
              <w:rPr>
                <w:rFonts w:ascii="Times New Roman" w:hAnsi="Times New Roman" w:cs="Times New Roman"/>
                <w:sz w:val="24"/>
                <w:szCs w:val="24"/>
              </w:rPr>
            </w:pPr>
            <w:r w:rsidRPr="00872E13">
              <w:rPr>
                <w:rFonts w:ascii="Times New Roman" w:hAnsi="Times New Roman" w:cs="Times New Roman"/>
                <w:sz w:val="24"/>
                <w:szCs w:val="24"/>
              </w:rPr>
              <w:t>2017.</w:t>
            </w:r>
          </w:p>
        </w:tc>
        <w:tc>
          <w:tcPr>
            <w:tcW w:w="1717" w:type="dxa"/>
            <w:shd w:val="clear" w:color="auto" w:fill="E7E6E6" w:themeFill="background2"/>
            <w:vAlign w:val="center"/>
          </w:tcPr>
          <w:p w14:paraId="5FCAD08F" w14:textId="77777777" w:rsidR="0046169C" w:rsidRPr="00872E13" w:rsidRDefault="0046169C" w:rsidP="00816216">
            <w:pPr>
              <w:jc w:val="center"/>
              <w:rPr>
                <w:rFonts w:ascii="Times New Roman" w:hAnsi="Times New Roman" w:cs="Times New Roman"/>
                <w:sz w:val="24"/>
                <w:szCs w:val="24"/>
              </w:rPr>
            </w:pPr>
            <w:r w:rsidRPr="00872E13">
              <w:rPr>
                <w:rFonts w:ascii="Times New Roman" w:hAnsi="Times New Roman" w:cs="Times New Roman"/>
                <w:sz w:val="24"/>
                <w:szCs w:val="24"/>
              </w:rPr>
              <w:t>2018.</w:t>
            </w:r>
          </w:p>
        </w:tc>
        <w:tc>
          <w:tcPr>
            <w:tcW w:w="1717" w:type="dxa"/>
            <w:shd w:val="clear" w:color="auto" w:fill="E7E6E6" w:themeFill="background2"/>
            <w:vAlign w:val="center"/>
          </w:tcPr>
          <w:p w14:paraId="02AFE761" w14:textId="77777777" w:rsidR="0046169C" w:rsidRPr="00872E13" w:rsidRDefault="0046169C" w:rsidP="00816216">
            <w:pPr>
              <w:jc w:val="center"/>
              <w:rPr>
                <w:rFonts w:ascii="Times New Roman" w:hAnsi="Times New Roman" w:cs="Times New Roman"/>
                <w:sz w:val="24"/>
                <w:szCs w:val="24"/>
              </w:rPr>
            </w:pPr>
            <w:r w:rsidRPr="00872E13">
              <w:rPr>
                <w:rFonts w:ascii="Times New Roman" w:hAnsi="Times New Roman" w:cs="Times New Roman"/>
                <w:sz w:val="24"/>
                <w:szCs w:val="24"/>
              </w:rPr>
              <w:t>2019.</w:t>
            </w:r>
          </w:p>
        </w:tc>
        <w:tc>
          <w:tcPr>
            <w:tcW w:w="1717" w:type="dxa"/>
            <w:shd w:val="clear" w:color="auto" w:fill="E7E6E6" w:themeFill="background2"/>
            <w:vAlign w:val="center"/>
          </w:tcPr>
          <w:p w14:paraId="314C1728" w14:textId="77777777" w:rsidR="0046169C" w:rsidRPr="00872E13" w:rsidRDefault="0046169C" w:rsidP="00816216">
            <w:pPr>
              <w:jc w:val="center"/>
              <w:rPr>
                <w:rFonts w:ascii="Times New Roman" w:hAnsi="Times New Roman" w:cs="Times New Roman"/>
                <w:sz w:val="24"/>
                <w:szCs w:val="24"/>
              </w:rPr>
            </w:pPr>
            <w:r w:rsidRPr="00872E13">
              <w:rPr>
                <w:rFonts w:ascii="Times New Roman" w:hAnsi="Times New Roman" w:cs="Times New Roman"/>
                <w:sz w:val="24"/>
                <w:szCs w:val="24"/>
              </w:rPr>
              <w:t>2020</w:t>
            </w:r>
          </w:p>
        </w:tc>
      </w:tr>
      <w:tr w:rsidR="0046169C" w:rsidRPr="00872E13" w14:paraId="160ADCB1" w14:textId="77777777" w:rsidTr="00816216">
        <w:trPr>
          <w:trHeight w:val="407"/>
        </w:trPr>
        <w:tc>
          <w:tcPr>
            <w:tcW w:w="2189" w:type="dxa"/>
            <w:shd w:val="clear" w:color="auto" w:fill="E7E6E6" w:themeFill="background2"/>
            <w:vAlign w:val="center"/>
          </w:tcPr>
          <w:p w14:paraId="45B183B9" w14:textId="77777777" w:rsidR="0046169C" w:rsidRPr="00872E13" w:rsidRDefault="0046169C" w:rsidP="00816216">
            <w:pPr>
              <w:jc w:val="center"/>
              <w:rPr>
                <w:rFonts w:ascii="Times New Roman" w:hAnsi="Times New Roman" w:cs="Times New Roman"/>
                <w:sz w:val="24"/>
                <w:szCs w:val="24"/>
              </w:rPr>
            </w:pPr>
            <w:r w:rsidRPr="00872E13">
              <w:rPr>
                <w:rFonts w:ascii="Times New Roman" w:hAnsi="Times New Roman" w:cs="Times New Roman"/>
                <w:sz w:val="24"/>
                <w:szCs w:val="24"/>
              </w:rPr>
              <w:t>prava na osobnu invalidninu</w:t>
            </w:r>
          </w:p>
        </w:tc>
        <w:tc>
          <w:tcPr>
            <w:tcW w:w="1723" w:type="dxa"/>
            <w:shd w:val="clear" w:color="auto" w:fill="auto"/>
            <w:vAlign w:val="center"/>
          </w:tcPr>
          <w:p w14:paraId="461735A9" w14:textId="77777777" w:rsidR="0046169C" w:rsidRPr="00872E13" w:rsidRDefault="0046169C" w:rsidP="00816216">
            <w:pPr>
              <w:jc w:val="center"/>
              <w:rPr>
                <w:rFonts w:ascii="Times New Roman" w:hAnsi="Times New Roman" w:cs="Times New Roman"/>
                <w:sz w:val="24"/>
                <w:szCs w:val="24"/>
              </w:rPr>
            </w:pPr>
            <w:r w:rsidRPr="00872E13">
              <w:rPr>
                <w:rFonts w:ascii="Times New Roman" w:hAnsi="Times New Roman" w:cs="Times New Roman"/>
                <w:sz w:val="24"/>
                <w:szCs w:val="24"/>
              </w:rPr>
              <w:t>27.141</w:t>
            </w:r>
          </w:p>
        </w:tc>
        <w:tc>
          <w:tcPr>
            <w:tcW w:w="1717" w:type="dxa"/>
            <w:shd w:val="clear" w:color="auto" w:fill="auto"/>
            <w:vAlign w:val="center"/>
          </w:tcPr>
          <w:p w14:paraId="03726BFD" w14:textId="77777777" w:rsidR="0046169C" w:rsidRPr="00872E13" w:rsidRDefault="0046169C" w:rsidP="00816216">
            <w:pPr>
              <w:jc w:val="center"/>
              <w:rPr>
                <w:rFonts w:ascii="Times New Roman" w:hAnsi="Times New Roman" w:cs="Times New Roman"/>
                <w:sz w:val="24"/>
                <w:szCs w:val="24"/>
              </w:rPr>
            </w:pPr>
            <w:r w:rsidRPr="00872E13">
              <w:rPr>
                <w:rFonts w:ascii="Times New Roman" w:hAnsi="Times New Roman" w:cs="Times New Roman"/>
                <w:sz w:val="24"/>
                <w:szCs w:val="24"/>
              </w:rPr>
              <w:t>30.503</w:t>
            </w:r>
          </w:p>
        </w:tc>
        <w:tc>
          <w:tcPr>
            <w:tcW w:w="1717" w:type="dxa"/>
            <w:shd w:val="clear" w:color="auto" w:fill="auto"/>
            <w:vAlign w:val="center"/>
          </w:tcPr>
          <w:p w14:paraId="57A58959" w14:textId="77777777" w:rsidR="0046169C" w:rsidRPr="00872E13" w:rsidRDefault="0046169C" w:rsidP="00816216">
            <w:pPr>
              <w:jc w:val="center"/>
              <w:rPr>
                <w:rFonts w:ascii="Times New Roman" w:hAnsi="Times New Roman" w:cs="Times New Roman"/>
                <w:sz w:val="24"/>
                <w:szCs w:val="24"/>
              </w:rPr>
            </w:pPr>
            <w:r w:rsidRPr="00872E13">
              <w:rPr>
                <w:rFonts w:ascii="Times New Roman" w:hAnsi="Times New Roman" w:cs="Times New Roman"/>
                <w:sz w:val="24"/>
                <w:szCs w:val="24"/>
              </w:rPr>
              <w:t>35.145</w:t>
            </w:r>
          </w:p>
        </w:tc>
        <w:tc>
          <w:tcPr>
            <w:tcW w:w="1717" w:type="dxa"/>
            <w:vAlign w:val="center"/>
          </w:tcPr>
          <w:p w14:paraId="0492FD44" w14:textId="77777777" w:rsidR="0046169C" w:rsidRPr="00872E13" w:rsidRDefault="0046169C" w:rsidP="00816216">
            <w:pPr>
              <w:jc w:val="center"/>
              <w:rPr>
                <w:rFonts w:ascii="Times New Roman" w:hAnsi="Times New Roman" w:cs="Times New Roman"/>
                <w:sz w:val="24"/>
                <w:szCs w:val="24"/>
              </w:rPr>
            </w:pPr>
            <w:r w:rsidRPr="00872E13">
              <w:rPr>
                <w:rFonts w:ascii="Times New Roman" w:hAnsi="Times New Roman" w:cs="Times New Roman"/>
                <w:sz w:val="24"/>
                <w:szCs w:val="24"/>
              </w:rPr>
              <w:t>37 850</w:t>
            </w:r>
          </w:p>
        </w:tc>
      </w:tr>
      <w:tr w:rsidR="0046169C" w:rsidRPr="00872E13" w14:paraId="6043D1B5" w14:textId="77777777" w:rsidTr="00816216">
        <w:trPr>
          <w:trHeight w:val="366"/>
        </w:trPr>
        <w:tc>
          <w:tcPr>
            <w:tcW w:w="2189" w:type="dxa"/>
            <w:shd w:val="clear" w:color="auto" w:fill="E7E6E6" w:themeFill="background2"/>
            <w:vAlign w:val="center"/>
          </w:tcPr>
          <w:p w14:paraId="39C1349D" w14:textId="77777777" w:rsidR="0046169C" w:rsidRPr="00872E13" w:rsidRDefault="0046169C" w:rsidP="00816216">
            <w:pPr>
              <w:jc w:val="center"/>
              <w:rPr>
                <w:rFonts w:ascii="Times New Roman" w:hAnsi="Times New Roman" w:cs="Times New Roman"/>
                <w:sz w:val="24"/>
                <w:szCs w:val="24"/>
              </w:rPr>
            </w:pPr>
            <w:r w:rsidRPr="00872E13">
              <w:rPr>
                <w:rFonts w:ascii="Times New Roman" w:hAnsi="Times New Roman" w:cs="Times New Roman"/>
                <w:sz w:val="24"/>
                <w:szCs w:val="24"/>
              </w:rPr>
              <w:t>prava na doplatak za pomoć i njegu</w:t>
            </w:r>
          </w:p>
        </w:tc>
        <w:tc>
          <w:tcPr>
            <w:tcW w:w="1723" w:type="dxa"/>
            <w:shd w:val="clear" w:color="auto" w:fill="auto"/>
            <w:vAlign w:val="center"/>
          </w:tcPr>
          <w:p w14:paraId="440C3B5C" w14:textId="77777777" w:rsidR="0046169C" w:rsidRPr="00872E13" w:rsidRDefault="0046169C" w:rsidP="00816216">
            <w:pPr>
              <w:jc w:val="center"/>
              <w:rPr>
                <w:rFonts w:ascii="Times New Roman" w:hAnsi="Times New Roman" w:cs="Times New Roman"/>
                <w:sz w:val="24"/>
                <w:szCs w:val="24"/>
              </w:rPr>
            </w:pPr>
            <w:r w:rsidRPr="00872E13">
              <w:rPr>
                <w:rFonts w:ascii="Times New Roman" w:hAnsi="Times New Roman" w:cs="Times New Roman"/>
                <w:sz w:val="24"/>
                <w:szCs w:val="24"/>
              </w:rPr>
              <w:t>67.579</w:t>
            </w:r>
          </w:p>
        </w:tc>
        <w:tc>
          <w:tcPr>
            <w:tcW w:w="1717" w:type="dxa"/>
            <w:shd w:val="clear" w:color="auto" w:fill="auto"/>
            <w:vAlign w:val="center"/>
          </w:tcPr>
          <w:p w14:paraId="244E0779" w14:textId="77777777" w:rsidR="0046169C" w:rsidRPr="00872E13" w:rsidRDefault="0046169C" w:rsidP="00816216">
            <w:pPr>
              <w:jc w:val="center"/>
              <w:rPr>
                <w:rFonts w:ascii="Times New Roman" w:hAnsi="Times New Roman" w:cs="Times New Roman"/>
                <w:sz w:val="24"/>
                <w:szCs w:val="24"/>
              </w:rPr>
            </w:pPr>
            <w:r w:rsidRPr="00872E13">
              <w:rPr>
                <w:rFonts w:ascii="Times New Roman" w:hAnsi="Times New Roman" w:cs="Times New Roman"/>
                <w:sz w:val="24"/>
                <w:szCs w:val="24"/>
              </w:rPr>
              <w:t>70.092</w:t>
            </w:r>
          </w:p>
        </w:tc>
        <w:tc>
          <w:tcPr>
            <w:tcW w:w="1717" w:type="dxa"/>
            <w:shd w:val="clear" w:color="auto" w:fill="auto"/>
            <w:vAlign w:val="center"/>
          </w:tcPr>
          <w:p w14:paraId="608178A2" w14:textId="77777777" w:rsidR="0046169C" w:rsidRPr="00872E13" w:rsidRDefault="0046169C" w:rsidP="00816216">
            <w:pPr>
              <w:shd w:val="clear" w:color="auto" w:fill="FFFFFF" w:themeFill="background1"/>
              <w:jc w:val="center"/>
              <w:rPr>
                <w:rFonts w:ascii="Times New Roman" w:hAnsi="Times New Roman" w:cs="Times New Roman"/>
                <w:sz w:val="24"/>
                <w:szCs w:val="24"/>
              </w:rPr>
            </w:pPr>
            <w:r w:rsidRPr="00872E13">
              <w:rPr>
                <w:rFonts w:ascii="Times New Roman" w:hAnsi="Times New Roman" w:cs="Times New Roman"/>
                <w:sz w:val="24"/>
                <w:szCs w:val="24"/>
              </w:rPr>
              <w:t>78.326</w:t>
            </w:r>
          </w:p>
        </w:tc>
        <w:tc>
          <w:tcPr>
            <w:tcW w:w="1717" w:type="dxa"/>
            <w:vAlign w:val="center"/>
          </w:tcPr>
          <w:p w14:paraId="61FDCA39" w14:textId="77777777" w:rsidR="0046169C" w:rsidRPr="00872E13" w:rsidRDefault="0046169C" w:rsidP="00816216">
            <w:pPr>
              <w:shd w:val="clear" w:color="auto" w:fill="FFFFFF" w:themeFill="background1"/>
              <w:jc w:val="center"/>
              <w:rPr>
                <w:rFonts w:ascii="Times New Roman" w:hAnsi="Times New Roman" w:cs="Times New Roman"/>
                <w:sz w:val="24"/>
                <w:szCs w:val="24"/>
              </w:rPr>
            </w:pPr>
            <w:r w:rsidRPr="00872E13">
              <w:rPr>
                <w:rFonts w:ascii="Times New Roman" w:hAnsi="Times New Roman" w:cs="Times New Roman"/>
                <w:sz w:val="24"/>
                <w:szCs w:val="24"/>
              </w:rPr>
              <w:t>84 788</w:t>
            </w:r>
          </w:p>
        </w:tc>
      </w:tr>
      <w:tr w:rsidR="0046169C" w:rsidRPr="00872E13" w14:paraId="01057B3C" w14:textId="77777777" w:rsidTr="00816216">
        <w:trPr>
          <w:trHeight w:val="501"/>
        </w:trPr>
        <w:tc>
          <w:tcPr>
            <w:tcW w:w="2189" w:type="dxa"/>
            <w:shd w:val="clear" w:color="auto" w:fill="E7E6E6" w:themeFill="background2"/>
            <w:vAlign w:val="center"/>
          </w:tcPr>
          <w:p w14:paraId="24D10743" w14:textId="77777777" w:rsidR="0046169C" w:rsidRPr="00872E13" w:rsidRDefault="0046169C" w:rsidP="00816216">
            <w:pPr>
              <w:jc w:val="center"/>
              <w:rPr>
                <w:rFonts w:ascii="Times New Roman" w:hAnsi="Times New Roman" w:cs="Times New Roman"/>
                <w:sz w:val="24"/>
                <w:szCs w:val="24"/>
              </w:rPr>
            </w:pPr>
            <w:r w:rsidRPr="00872E13">
              <w:rPr>
                <w:rFonts w:ascii="Times New Roman" w:hAnsi="Times New Roman" w:cs="Times New Roman"/>
                <w:sz w:val="24"/>
                <w:szCs w:val="24"/>
              </w:rPr>
              <w:t>prava na status roditelja njegovatelja /njegovatelja</w:t>
            </w:r>
          </w:p>
        </w:tc>
        <w:tc>
          <w:tcPr>
            <w:tcW w:w="1723" w:type="dxa"/>
            <w:shd w:val="clear" w:color="auto" w:fill="auto"/>
            <w:vAlign w:val="center"/>
          </w:tcPr>
          <w:p w14:paraId="02106E82" w14:textId="77777777" w:rsidR="0046169C" w:rsidRPr="00872E13" w:rsidRDefault="0046169C" w:rsidP="00816216">
            <w:pPr>
              <w:jc w:val="center"/>
              <w:rPr>
                <w:rFonts w:ascii="Times New Roman" w:hAnsi="Times New Roman" w:cs="Times New Roman"/>
                <w:sz w:val="24"/>
                <w:szCs w:val="24"/>
              </w:rPr>
            </w:pPr>
            <w:r w:rsidRPr="00872E13">
              <w:rPr>
                <w:rFonts w:ascii="Times New Roman" w:hAnsi="Times New Roman" w:cs="Times New Roman"/>
                <w:sz w:val="24"/>
                <w:szCs w:val="24"/>
              </w:rPr>
              <w:t>4.241</w:t>
            </w:r>
          </w:p>
        </w:tc>
        <w:tc>
          <w:tcPr>
            <w:tcW w:w="1717" w:type="dxa"/>
            <w:shd w:val="clear" w:color="auto" w:fill="auto"/>
            <w:vAlign w:val="center"/>
          </w:tcPr>
          <w:p w14:paraId="4B6C2A8C" w14:textId="77777777" w:rsidR="0046169C" w:rsidRPr="00872E13" w:rsidRDefault="0046169C" w:rsidP="00816216">
            <w:pPr>
              <w:jc w:val="center"/>
              <w:rPr>
                <w:rFonts w:ascii="Times New Roman" w:hAnsi="Times New Roman" w:cs="Times New Roman"/>
                <w:sz w:val="24"/>
                <w:szCs w:val="24"/>
              </w:rPr>
            </w:pPr>
            <w:r w:rsidRPr="00872E13">
              <w:rPr>
                <w:rFonts w:ascii="Times New Roman" w:hAnsi="Times New Roman" w:cs="Times New Roman"/>
                <w:sz w:val="24"/>
                <w:szCs w:val="24"/>
              </w:rPr>
              <w:t>4.509</w:t>
            </w:r>
          </w:p>
        </w:tc>
        <w:tc>
          <w:tcPr>
            <w:tcW w:w="1717" w:type="dxa"/>
            <w:shd w:val="clear" w:color="auto" w:fill="auto"/>
            <w:vAlign w:val="center"/>
          </w:tcPr>
          <w:p w14:paraId="0FA914FB" w14:textId="77777777" w:rsidR="0046169C" w:rsidRPr="00872E13" w:rsidRDefault="0046169C" w:rsidP="00816216">
            <w:pPr>
              <w:shd w:val="clear" w:color="auto" w:fill="FFFFFF" w:themeFill="background1"/>
              <w:jc w:val="center"/>
              <w:rPr>
                <w:rFonts w:ascii="Times New Roman" w:hAnsi="Times New Roman" w:cs="Times New Roman"/>
                <w:sz w:val="24"/>
                <w:szCs w:val="24"/>
              </w:rPr>
            </w:pPr>
            <w:r w:rsidRPr="00872E13">
              <w:rPr>
                <w:rFonts w:ascii="Times New Roman" w:hAnsi="Times New Roman" w:cs="Times New Roman"/>
                <w:sz w:val="24"/>
                <w:szCs w:val="24"/>
              </w:rPr>
              <w:t>4.733</w:t>
            </w:r>
          </w:p>
        </w:tc>
        <w:tc>
          <w:tcPr>
            <w:tcW w:w="1717" w:type="dxa"/>
            <w:vAlign w:val="center"/>
          </w:tcPr>
          <w:p w14:paraId="64969CAD" w14:textId="77777777" w:rsidR="0046169C" w:rsidRPr="00872E13" w:rsidRDefault="0046169C" w:rsidP="00816216">
            <w:pPr>
              <w:shd w:val="clear" w:color="auto" w:fill="FFFFFF" w:themeFill="background1"/>
              <w:jc w:val="center"/>
              <w:rPr>
                <w:rFonts w:ascii="Times New Roman" w:hAnsi="Times New Roman" w:cs="Times New Roman"/>
                <w:sz w:val="24"/>
                <w:szCs w:val="24"/>
              </w:rPr>
            </w:pPr>
            <w:r>
              <w:rPr>
                <w:rFonts w:ascii="Times New Roman" w:hAnsi="Times New Roman" w:cs="Times New Roman"/>
                <w:sz w:val="24"/>
                <w:szCs w:val="24"/>
              </w:rPr>
              <w:t>5.177</w:t>
            </w:r>
          </w:p>
        </w:tc>
      </w:tr>
    </w:tbl>
    <w:p w14:paraId="4A554CDE" w14:textId="77777777" w:rsidR="0046169C" w:rsidRPr="00872E13" w:rsidRDefault="0046169C" w:rsidP="0046169C">
      <w:pPr>
        <w:spacing w:after="0" w:line="240" w:lineRule="auto"/>
        <w:rPr>
          <w:rFonts w:ascii="Times New Roman" w:hAnsi="Times New Roman" w:cs="Times New Roman"/>
          <w:sz w:val="24"/>
          <w:szCs w:val="24"/>
        </w:rPr>
      </w:pPr>
    </w:p>
    <w:p w14:paraId="60AB8B93" w14:textId="2C8EE6C1" w:rsidR="004B03CB" w:rsidRDefault="004B03CB">
      <w:r>
        <w:br w:type="page"/>
      </w:r>
    </w:p>
    <w:p w14:paraId="0DA367A0" w14:textId="77777777" w:rsidR="004B03CB" w:rsidRPr="000A01FA" w:rsidRDefault="004B03CB" w:rsidP="004B03CB">
      <w:pPr>
        <w:spacing w:after="0" w:line="240" w:lineRule="auto"/>
        <w:rPr>
          <w:rFonts w:ascii="Times New Roman" w:eastAsia="Times New Roman" w:hAnsi="Times New Roman" w:cs="Times New Roman"/>
          <w:b/>
          <w:bCs/>
          <w:sz w:val="24"/>
          <w:szCs w:val="24"/>
          <w:u w:val="single"/>
          <w:lang w:eastAsia="hr-HR"/>
        </w:rPr>
      </w:pPr>
      <w:r w:rsidRPr="000A01FA">
        <w:rPr>
          <w:rFonts w:ascii="Times New Roman" w:eastAsia="Times New Roman" w:hAnsi="Times New Roman" w:cs="Times New Roman"/>
          <w:b/>
          <w:bCs/>
          <w:sz w:val="24"/>
          <w:szCs w:val="24"/>
          <w:u w:val="single"/>
          <w:lang w:eastAsia="hr-HR"/>
        </w:rPr>
        <w:lastRenderedPageBreak/>
        <w:t xml:space="preserve">Prilog </w:t>
      </w:r>
      <w:r>
        <w:rPr>
          <w:rFonts w:ascii="Times New Roman" w:eastAsia="Times New Roman" w:hAnsi="Times New Roman" w:cs="Times New Roman"/>
          <w:b/>
          <w:bCs/>
          <w:sz w:val="24"/>
          <w:szCs w:val="24"/>
          <w:u w:val="single"/>
          <w:lang w:eastAsia="hr-HR"/>
        </w:rPr>
        <w:t>32</w:t>
      </w:r>
    </w:p>
    <w:p w14:paraId="50CB1D19" w14:textId="77777777" w:rsidR="004B03CB" w:rsidRDefault="004B03CB" w:rsidP="004B03CB">
      <w:pPr>
        <w:spacing w:after="0" w:line="240" w:lineRule="auto"/>
        <w:jc w:val="both"/>
        <w:rPr>
          <w:rFonts w:ascii="Times New Roman" w:eastAsia="Times New Roman" w:hAnsi="Times New Roman" w:cs="Times New Roman"/>
          <w:sz w:val="24"/>
          <w:szCs w:val="24"/>
          <w:lang w:eastAsia="hr-HR"/>
        </w:rPr>
      </w:pPr>
    </w:p>
    <w:p w14:paraId="6BDB613A" w14:textId="77777777" w:rsidR="004B03CB" w:rsidRPr="00A418AE" w:rsidRDefault="004B03CB" w:rsidP="004B03CB">
      <w:pPr>
        <w:spacing w:after="0" w:line="240" w:lineRule="auto"/>
        <w:jc w:val="center"/>
        <w:rPr>
          <w:rFonts w:ascii="Times New Roman" w:eastAsia="Times New Roman" w:hAnsi="Times New Roman" w:cs="Times New Roman"/>
          <w:b/>
          <w:bCs/>
          <w:sz w:val="24"/>
          <w:szCs w:val="24"/>
          <w:lang w:eastAsia="hr-HR"/>
        </w:rPr>
      </w:pPr>
      <w:r w:rsidRPr="00A418AE">
        <w:rPr>
          <w:rFonts w:ascii="Times New Roman" w:eastAsia="Times New Roman" w:hAnsi="Times New Roman" w:cs="Times New Roman"/>
          <w:b/>
          <w:bCs/>
          <w:sz w:val="24"/>
          <w:szCs w:val="24"/>
          <w:lang w:eastAsia="hr-HR"/>
        </w:rPr>
        <w:t>PODACI O BROJU UČENIKA S TEŠKOĆAMA U RAZVOJU UPISANIH U OSNOVNOŠKOLSKE I SREDNJOŠKOLSKE PROGRAME, PODACI O BROJU UČENIKA UKLJUČENIH U REDOVITI SUSTAV OBRAZOVANJA KAO I PODACI O UČENICIMA KOJI SU UKLJUČENI U POSEBNI SUSTAV OBRAZOVANJA, PREMA GODINAMA</w:t>
      </w:r>
    </w:p>
    <w:p w14:paraId="5A2DD2C6" w14:textId="77777777" w:rsidR="004B03CB" w:rsidRPr="00F13184" w:rsidRDefault="004B03CB" w:rsidP="004B03CB">
      <w:pPr>
        <w:spacing w:after="0" w:line="240" w:lineRule="auto"/>
        <w:jc w:val="center"/>
        <w:rPr>
          <w:rFonts w:ascii="Times New Roman" w:eastAsia="Times New Roman" w:hAnsi="Times New Roman" w:cs="Times New Roman"/>
          <w:sz w:val="18"/>
          <w:szCs w:val="18"/>
          <w:lang w:eastAsia="hr-HR"/>
        </w:rPr>
      </w:pPr>
    </w:p>
    <w:p w14:paraId="2AFBD491" w14:textId="77777777" w:rsidR="004B03CB" w:rsidRPr="00165D3A" w:rsidRDefault="004B03CB" w:rsidP="004B03CB">
      <w:pPr>
        <w:spacing w:after="0" w:line="240" w:lineRule="auto"/>
        <w:ind w:left="1066"/>
        <w:jc w:val="both"/>
        <w:rPr>
          <w:rFonts w:ascii="Times New Roman" w:eastAsia="Times New Roman" w:hAnsi="Times New Roman" w:cs="Times New Roman"/>
          <w:sz w:val="24"/>
          <w:szCs w:val="24"/>
          <w:lang w:eastAsia="hr-HR"/>
        </w:rPr>
      </w:pPr>
    </w:p>
    <w:tbl>
      <w:tblPr>
        <w:tblpPr w:leftFromText="180" w:rightFromText="180" w:vertAnchor="text" w:horzAnchor="margin" w:tblpXSpec="right" w:tblpY="-80"/>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3969"/>
        <w:gridCol w:w="1417"/>
        <w:gridCol w:w="2410"/>
      </w:tblGrid>
      <w:tr w:rsidR="004B03CB" w:rsidRPr="00F13184" w14:paraId="29C36C5F" w14:textId="77777777" w:rsidTr="00F13184">
        <w:trPr>
          <w:trHeight w:val="704"/>
        </w:trPr>
        <w:tc>
          <w:tcPr>
            <w:tcW w:w="1413" w:type="dxa"/>
            <w:vMerge w:val="restart"/>
            <w:shd w:val="clear" w:color="auto" w:fill="auto"/>
            <w:vAlign w:val="center"/>
          </w:tcPr>
          <w:p w14:paraId="1A1681F7" w14:textId="77777777" w:rsidR="004B03CB" w:rsidRPr="00F13184" w:rsidRDefault="004B03CB" w:rsidP="00816216">
            <w:pPr>
              <w:spacing w:after="0" w:line="240" w:lineRule="auto"/>
              <w:jc w:val="center"/>
              <w:rPr>
                <w:rFonts w:ascii="Times New Roman" w:eastAsia="Times New Roman" w:hAnsi="Times New Roman" w:cs="Times New Roman"/>
                <w:b/>
                <w:sz w:val="23"/>
                <w:szCs w:val="23"/>
                <w:lang w:eastAsia="hr-HR"/>
              </w:rPr>
            </w:pPr>
            <w:r w:rsidRPr="00F13184">
              <w:rPr>
                <w:rFonts w:ascii="Times New Roman" w:eastAsia="Times New Roman" w:hAnsi="Times New Roman" w:cs="Times New Roman"/>
                <w:b/>
                <w:sz w:val="23"/>
                <w:szCs w:val="23"/>
                <w:lang w:eastAsia="hr-HR"/>
              </w:rPr>
              <w:t>2015.</w:t>
            </w:r>
          </w:p>
        </w:tc>
        <w:tc>
          <w:tcPr>
            <w:tcW w:w="3969" w:type="dxa"/>
            <w:vMerge w:val="restart"/>
            <w:shd w:val="clear" w:color="auto" w:fill="auto"/>
            <w:vAlign w:val="center"/>
          </w:tcPr>
          <w:p w14:paraId="6C84988D" w14:textId="77777777" w:rsidR="004B03CB" w:rsidRPr="00F13184" w:rsidRDefault="004B03CB" w:rsidP="00816216">
            <w:pPr>
              <w:spacing w:after="0" w:line="240" w:lineRule="auto"/>
              <w:jc w:val="center"/>
              <w:rPr>
                <w:rFonts w:ascii="Times New Roman" w:eastAsia="Times New Roman" w:hAnsi="Times New Roman" w:cs="Times New Roman"/>
                <w:b/>
                <w:sz w:val="23"/>
                <w:szCs w:val="23"/>
                <w:lang w:eastAsia="hr-HR"/>
              </w:rPr>
            </w:pPr>
            <w:r w:rsidRPr="00F13184">
              <w:rPr>
                <w:rFonts w:ascii="Times New Roman" w:eastAsia="Times New Roman" w:hAnsi="Times New Roman" w:cs="Times New Roman"/>
                <w:b/>
                <w:sz w:val="23"/>
                <w:szCs w:val="23"/>
                <w:lang w:eastAsia="hr-HR"/>
              </w:rPr>
              <w:t>Osnovnoškolski program</w:t>
            </w:r>
          </w:p>
          <w:p w14:paraId="35DD3F6D" w14:textId="77777777" w:rsidR="004B03CB" w:rsidRPr="00F13184" w:rsidRDefault="004B03CB" w:rsidP="00816216">
            <w:pPr>
              <w:spacing w:after="0" w:line="240" w:lineRule="auto"/>
              <w:jc w:val="center"/>
              <w:rPr>
                <w:rFonts w:ascii="Times New Roman" w:eastAsia="Times New Roman" w:hAnsi="Times New Roman" w:cs="Times New Roman"/>
                <w:b/>
                <w:sz w:val="23"/>
                <w:szCs w:val="23"/>
                <w:lang w:eastAsia="hr-HR"/>
              </w:rPr>
            </w:pPr>
            <w:r w:rsidRPr="00F13184">
              <w:rPr>
                <w:rFonts w:ascii="Times New Roman" w:eastAsia="Times New Roman" w:hAnsi="Times New Roman" w:cs="Times New Roman"/>
                <w:b/>
                <w:sz w:val="23"/>
                <w:szCs w:val="23"/>
                <w:lang w:eastAsia="hr-HR"/>
              </w:rPr>
              <w:t>20597 učenika s TUR</w:t>
            </w:r>
          </w:p>
        </w:tc>
        <w:tc>
          <w:tcPr>
            <w:tcW w:w="1417" w:type="dxa"/>
            <w:shd w:val="clear" w:color="auto" w:fill="auto"/>
            <w:vAlign w:val="center"/>
          </w:tcPr>
          <w:p w14:paraId="03D70926" w14:textId="77777777" w:rsidR="004B03CB" w:rsidRPr="00F13184" w:rsidRDefault="004B03CB" w:rsidP="00816216">
            <w:pPr>
              <w:spacing w:after="0" w:line="240" w:lineRule="auto"/>
              <w:jc w:val="center"/>
              <w:rPr>
                <w:rFonts w:ascii="Times New Roman" w:eastAsia="Times New Roman" w:hAnsi="Times New Roman" w:cs="Times New Roman"/>
                <w:bCs/>
                <w:sz w:val="23"/>
                <w:szCs w:val="23"/>
                <w:lang w:eastAsia="hr-HR"/>
              </w:rPr>
            </w:pPr>
            <w:r w:rsidRPr="00F13184">
              <w:rPr>
                <w:rFonts w:ascii="Times New Roman" w:eastAsia="Times New Roman" w:hAnsi="Times New Roman" w:cs="Times New Roman"/>
                <w:bCs/>
                <w:sz w:val="23"/>
                <w:szCs w:val="23"/>
                <w:lang w:eastAsia="hr-HR"/>
              </w:rPr>
              <w:t>18451</w:t>
            </w:r>
          </w:p>
        </w:tc>
        <w:tc>
          <w:tcPr>
            <w:tcW w:w="2410" w:type="dxa"/>
            <w:shd w:val="clear" w:color="auto" w:fill="auto"/>
            <w:vAlign w:val="center"/>
          </w:tcPr>
          <w:p w14:paraId="6B86B465" w14:textId="77777777" w:rsidR="004B03CB" w:rsidRPr="00F13184" w:rsidRDefault="004B03CB" w:rsidP="00816216">
            <w:pPr>
              <w:spacing w:after="0" w:line="240" w:lineRule="auto"/>
              <w:jc w:val="center"/>
              <w:rPr>
                <w:rFonts w:ascii="Times New Roman" w:eastAsia="Times New Roman" w:hAnsi="Times New Roman" w:cs="Times New Roman"/>
                <w:bCs/>
                <w:sz w:val="23"/>
                <w:szCs w:val="23"/>
                <w:lang w:eastAsia="hr-HR"/>
              </w:rPr>
            </w:pPr>
            <w:r w:rsidRPr="00F13184">
              <w:rPr>
                <w:rFonts w:ascii="Times New Roman" w:eastAsia="Times New Roman" w:hAnsi="Times New Roman" w:cs="Times New Roman"/>
                <w:bCs/>
                <w:sz w:val="23"/>
                <w:szCs w:val="23"/>
                <w:lang w:eastAsia="hr-HR"/>
              </w:rPr>
              <w:t>Redovite OŠ ustanove</w:t>
            </w:r>
          </w:p>
        </w:tc>
      </w:tr>
      <w:tr w:rsidR="004B03CB" w:rsidRPr="00F13184" w14:paraId="5C4E557F" w14:textId="77777777" w:rsidTr="00F13184">
        <w:tc>
          <w:tcPr>
            <w:tcW w:w="1413" w:type="dxa"/>
            <w:vMerge/>
            <w:shd w:val="clear" w:color="auto" w:fill="auto"/>
            <w:vAlign w:val="center"/>
          </w:tcPr>
          <w:p w14:paraId="49213EB8" w14:textId="77777777" w:rsidR="004B03CB" w:rsidRPr="00F13184" w:rsidRDefault="004B03CB" w:rsidP="00816216">
            <w:pPr>
              <w:spacing w:after="0" w:line="240" w:lineRule="auto"/>
              <w:jc w:val="center"/>
              <w:rPr>
                <w:rFonts w:ascii="Times New Roman" w:eastAsia="Times New Roman" w:hAnsi="Times New Roman" w:cs="Times New Roman"/>
                <w:b/>
                <w:sz w:val="23"/>
                <w:szCs w:val="23"/>
                <w:lang w:eastAsia="hr-HR"/>
              </w:rPr>
            </w:pPr>
          </w:p>
        </w:tc>
        <w:tc>
          <w:tcPr>
            <w:tcW w:w="3969" w:type="dxa"/>
            <w:vMerge/>
            <w:shd w:val="clear" w:color="auto" w:fill="auto"/>
            <w:vAlign w:val="center"/>
          </w:tcPr>
          <w:p w14:paraId="1B6FFA41" w14:textId="77777777" w:rsidR="004B03CB" w:rsidRPr="00F13184" w:rsidRDefault="004B03CB" w:rsidP="00816216">
            <w:pPr>
              <w:spacing w:after="0" w:line="240" w:lineRule="auto"/>
              <w:jc w:val="center"/>
              <w:rPr>
                <w:rFonts w:ascii="Times New Roman" w:eastAsia="Times New Roman" w:hAnsi="Times New Roman" w:cs="Times New Roman"/>
                <w:b/>
                <w:sz w:val="23"/>
                <w:szCs w:val="23"/>
                <w:lang w:eastAsia="hr-HR"/>
              </w:rPr>
            </w:pPr>
          </w:p>
        </w:tc>
        <w:tc>
          <w:tcPr>
            <w:tcW w:w="1417" w:type="dxa"/>
            <w:shd w:val="clear" w:color="auto" w:fill="auto"/>
            <w:vAlign w:val="center"/>
          </w:tcPr>
          <w:p w14:paraId="31E0482F" w14:textId="77777777" w:rsidR="004B03CB" w:rsidRPr="00F13184" w:rsidRDefault="004B03CB" w:rsidP="00816216">
            <w:pPr>
              <w:spacing w:after="0" w:line="240" w:lineRule="auto"/>
              <w:jc w:val="center"/>
              <w:rPr>
                <w:rFonts w:ascii="Times New Roman" w:eastAsia="Times New Roman" w:hAnsi="Times New Roman" w:cs="Times New Roman"/>
                <w:bCs/>
                <w:sz w:val="23"/>
                <w:szCs w:val="23"/>
                <w:lang w:eastAsia="hr-HR"/>
              </w:rPr>
            </w:pPr>
            <w:r w:rsidRPr="00F13184">
              <w:rPr>
                <w:rFonts w:ascii="Times New Roman" w:eastAsia="Times New Roman" w:hAnsi="Times New Roman" w:cs="Times New Roman"/>
                <w:bCs/>
                <w:sz w:val="23"/>
                <w:szCs w:val="23"/>
                <w:lang w:eastAsia="hr-HR"/>
              </w:rPr>
              <w:t>2146</w:t>
            </w:r>
          </w:p>
        </w:tc>
        <w:tc>
          <w:tcPr>
            <w:tcW w:w="2410" w:type="dxa"/>
            <w:shd w:val="clear" w:color="auto" w:fill="auto"/>
            <w:vAlign w:val="center"/>
          </w:tcPr>
          <w:p w14:paraId="043E123D" w14:textId="77777777" w:rsidR="004B03CB" w:rsidRPr="00F13184" w:rsidRDefault="004B03CB" w:rsidP="00816216">
            <w:pPr>
              <w:spacing w:after="0" w:line="240" w:lineRule="auto"/>
              <w:jc w:val="center"/>
              <w:rPr>
                <w:rFonts w:ascii="Times New Roman" w:eastAsia="Times New Roman" w:hAnsi="Times New Roman" w:cs="Times New Roman"/>
                <w:bCs/>
                <w:sz w:val="23"/>
                <w:szCs w:val="23"/>
                <w:lang w:eastAsia="hr-HR"/>
              </w:rPr>
            </w:pPr>
            <w:r w:rsidRPr="00F13184">
              <w:rPr>
                <w:rFonts w:ascii="Times New Roman" w:eastAsia="Times New Roman" w:hAnsi="Times New Roman" w:cs="Times New Roman"/>
                <w:bCs/>
                <w:sz w:val="23"/>
                <w:szCs w:val="23"/>
                <w:lang w:eastAsia="hr-HR"/>
              </w:rPr>
              <w:t>Centri za odgoj i obrazovanje</w:t>
            </w:r>
          </w:p>
        </w:tc>
      </w:tr>
      <w:tr w:rsidR="004B03CB" w:rsidRPr="00F13184" w14:paraId="75E93BEB" w14:textId="77777777" w:rsidTr="00F13184">
        <w:trPr>
          <w:trHeight w:val="632"/>
        </w:trPr>
        <w:tc>
          <w:tcPr>
            <w:tcW w:w="1413" w:type="dxa"/>
            <w:vMerge w:val="restart"/>
            <w:shd w:val="clear" w:color="auto" w:fill="auto"/>
            <w:vAlign w:val="center"/>
          </w:tcPr>
          <w:p w14:paraId="4432D0D6" w14:textId="77777777" w:rsidR="004B03CB" w:rsidRPr="00F13184" w:rsidRDefault="004B03CB" w:rsidP="00816216">
            <w:pPr>
              <w:spacing w:after="0" w:line="240" w:lineRule="auto"/>
              <w:jc w:val="center"/>
              <w:rPr>
                <w:rFonts w:ascii="Times New Roman" w:eastAsia="Times New Roman" w:hAnsi="Times New Roman" w:cs="Times New Roman"/>
                <w:b/>
                <w:sz w:val="23"/>
                <w:szCs w:val="23"/>
                <w:lang w:eastAsia="hr-HR"/>
              </w:rPr>
            </w:pPr>
            <w:r w:rsidRPr="00F13184">
              <w:rPr>
                <w:rFonts w:ascii="Times New Roman" w:eastAsia="Times New Roman" w:hAnsi="Times New Roman" w:cs="Times New Roman"/>
                <w:b/>
                <w:sz w:val="23"/>
                <w:szCs w:val="23"/>
                <w:lang w:eastAsia="hr-HR"/>
              </w:rPr>
              <w:t xml:space="preserve">2016. </w:t>
            </w:r>
          </w:p>
        </w:tc>
        <w:tc>
          <w:tcPr>
            <w:tcW w:w="3969" w:type="dxa"/>
            <w:vMerge w:val="restart"/>
            <w:shd w:val="clear" w:color="auto" w:fill="auto"/>
            <w:vAlign w:val="center"/>
          </w:tcPr>
          <w:p w14:paraId="6C828A91" w14:textId="77777777" w:rsidR="004B03CB" w:rsidRPr="00F13184" w:rsidRDefault="004B03CB" w:rsidP="00816216">
            <w:pPr>
              <w:spacing w:after="0" w:line="240" w:lineRule="auto"/>
              <w:jc w:val="center"/>
              <w:rPr>
                <w:rFonts w:ascii="Times New Roman" w:eastAsia="Times New Roman" w:hAnsi="Times New Roman" w:cs="Times New Roman"/>
                <w:b/>
                <w:sz w:val="23"/>
                <w:szCs w:val="23"/>
                <w:lang w:eastAsia="hr-HR"/>
              </w:rPr>
            </w:pPr>
            <w:r w:rsidRPr="00F13184">
              <w:rPr>
                <w:rFonts w:ascii="Times New Roman" w:eastAsia="Times New Roman" w:hAnsi="Times New Roman" w:cs="Times New Roman"/>
                <w:b/>
                <w:sz w:val="23"/>
                <w:szCs w:val="23"/>
                <w:lang w:eastAsia="hr-HR"/>
              </w:rPr>
              <w:t>Osnovnoškolski program</w:t>
            </w:r>
          </w:p>
          <w:p w14:paraId="670ABAEF" w14:textId="77777777" w:rsidR="004B03CB" w:rsidRPr="00F13184" w:rsidRDefault="004B03CB" w:rsidP="00816216">
            <w:pPr>
              <w:spacing w:after="0" w:line="240" w:lineRule="auto"/>
              <w:jc w:val="center"/>
              <w:rPr>
                <w:rFonts w:ascii="Times New Roman" w:eastAsia="Times New Roman" w:hAnsi="Times New Roman" w:cs="Times New Roman"/>
                <w:b/>
                <w:sz w:val="23"/>
                <w:szCs w:val="23"/>
                <w:lang w:eastAsia="hr-HR"/>
              </w:rPr>
            </w:pPr>
            <w:r w:rsidRPr="00F13184">
              <w:rPr>
                <w:rFonts w:ascii="Times New Roman" w:eastAsia="Times New Roman" w:hAnsi="Times New Roman" w:cs="Times New Roman"/>
                <w:b/>
                <w:sz w:val="23"/>
                <w:szCs w:val="23"/>
                <w:lang w:eastAsia="hr-HR"/>
              </w:rPr>
              <w:t>19242 učenika s TUR</w:t>
            </w:r>
          </w:p>
        </w:tc>
        <w:tc>
          <w:tcPr>
            <w:tcW w:w="1417" w:type="dxa"/>
            <w:shd w:val="clear" w:color="auto" w:fill="auto"/>
            <w:vAlign w:val="center"/>
          </w:tcPr>
          <w:p w14:paraId="21B25026" w14:textId="77777777" w:rsidR="004B03CB" w:rsidRPr="00F13184" w:rsidRDefault="004B03CB" w:rsidP="00816216">
            <w:pPr>
              <w:spacing w:after="0" w:line="240" w:lineRule="auto"/>
              <w:jc w:val="center"/>
              <w:rPr>
                <w:rFonts w:ascii="Times New Roman" w:eastAsia="Times New Roman" w:hAnsi="Times New Roman" w:cs="Times New Roman"/>
                <w:bCs/>
                <w:sz w:val="23"/>
                <w:szCs w:val="23"/>
                <w:lang w:eastAsia="hr-HR"/>
              </w:rPr>
            </w:pPr>
            <w:r w:rsidRPr="00F13184">
              <w:rPr>
                <w:rFonts w:ascii="Times New Roman" w:eastAsia="Times New Roman" w:hAnsi="Times New Roman" w:cs="Times New Roman"/>
                <w:bCs/>
                <w:sz w:val="23"/>
                <w:szCs w:val="23"/>
                <w:lang w:eastAsia="hr-HR"/>
              </w:rPr>
              <w:t>17242</w:t>
            </w:r>
          </w:p>
        </w:tc>
        <w:tc>
          <w:tcPr>
            <w:tcW w:w="2410" w:type="dxa"/>
            <w:shd w:val="clear" w:color="auto" w:fill="auto"/>
            <w:vAlign w:val="center"/>
          </w:tcPr>
          <w:p w14:paraId="50B975CE" w14:textId="77777777" w:rsidR="004B03CB" w:rsidRPr="00F13184" w:rsidRDefault="004B03CB" w:rsidP="00816216">
            <w:pPr>
              <w:spacing w:after="0" w:line="240" w:lineRule="auto"/>
              <w:jc w:val="center"/>
              <w:rPr>
                <w:rFonts w:ascii="Times New Roman" w:eastAsia="Times New Roman" w:hAnsi="Times New Roman" w:cs="Times New Roman"/>
                <w:bCs/>
                <w:sz w:val="23"/>
                <w:szCs w:val="23"/>
                <w:lang w:eastAsia="hr-HR"/>
              </w:rPr>
            </w:pPr>
            <w:r w:rsidRPr="00F13184">
              <w:rPr>
                <w:rFonts w:ascii="Times New Roman" w:eastAsia="Times New Roman" w:hAnsi="Times New Roman" w:cs="Times New Roman"/>
                <w:bCs/>
                <w:sz w:val="23"/>
                <w:szCs w:val="23"/>
                <w:lang w:eastAsia="hr-HR"/>
              </w:rPr>
              <w:t>Redovite OŠ ustanove</w:t>
            </w:r>
          </w:p>
        </w:tc>
      </w:tr>
      <w:tr w:rsidR="004B03CB" w:rsidRPr="00F13184" w14:paraId="6938FD19" w14:textId="77777777" w:rsidTr="00F13184">
        <w:tc>
          <w:tcPr>
            <w:tcW w:w="1413" w:type="dxa"/>
            <w:vMerge/>
            <w:shd w:val="clear" w:color="auto" w:fill="auto"/>
            <w:vAlign w:val="center"/>
          </w:tcPr>
          <w:p w14:paraId="0FACAFA5" w14:textId="77777777" w:rsidR="004B03CB" w:rsidRPr="00F13184" w:rsidRDefault="004B03CB" w:rsidP="00816216">
            <w:pPr>
              <w:spacing w:after="0" w:line="240" w:lineRule="auto"/>
              <w:jc w:val="center"/>
              <w:rPr>
                <w:rFonts w:ascii="Times New Roman" w:eastAsia="Times New Roman" w:hAnsi="Times New Roman" w:cs="Times New Roman"/>
                <w:b/>
                <w:sz w:val="23"/>
                <w:szCs w:val="23"/>
                <w:lang w:eastAsia="hr-HR"/>
              </w:rPr>
            </w:pPr>
          </w:p>
        </w:tc>
        <w:tc>
          <w:tcPr>
            <w:tcW w:w="3969" w:type="dxa"/>
            <w:vMerge/>
            <w:shd w:val="clear" w:color="auto" w:fill="auto"/>
            <w:vAlign w:val="center"/>
          </w:tcPr>
          <w:p w14:paraId="6EDAF76C" w14:textId="77777777" w:rsidR="004B03CB" w:rsidRPr="00F13184" w:rsidRDefault="004B03CB" w:rsidP="00816216">
            <w:pPr>
              <w:spacing w:after="0" w:line="240" w:lineRule="auto"/>
              <w:jc w:val="center"/>
              <w:rPr>
                <w:rFonts w:ascii="Times New Roman" w:eastAsia="Times New Roman" w:hAnsi="Times New Roman" w:cs="Times New Roman"/>
                <w:b/>
                <w:sz w:val="23"/>
                <w:szCs w:val="23"/>
                <w:lang w:eastAsia="hr-HR"/>
              </w:rPr>
            </w:pPr>
          </w:p>
        </w:tc>
        <w:tc>
          <w:tcPr>
            <w:tcW w:w="1417" w:type="dxa"/>
            <w:shd w:val="clear" w:color="auto" w:fill="auto"/>
            <w:vAlign w:val="center"/>
          </w:tcPr>
          <w:p w14:paraId="6152EA0F" w14:textId="77777777" w:rsidR="004B03CB" w:rsidRPr="00F13184" w:rsidRDefault="004B03CB" w:rsidP="00816216">
            <w:pPr>
              <w:spacing w:after="0" w:line="240" w:lineRule="auto"/>
              <w:jc w:val="center"/>
              <w:rPr>
                <w:rFonts w:ascii="Times New Roman" w:eastAsia="Times New Roman" w:hAnsi="Times New Roman" w:cs="Times New Roman"/>
                <w:bCs/>
                <w:sz w:val="23"/>
                <w:szCs w:val="23"/>
                <w:lang w:eastAsia="hr-HR"/>
              </w:rPr>
            </w:pPr>
            <w:r w:rsidRPr="00F13184">
              <w:rPr>
                <w:rFonts w:ascii="Times New Roman" w:eastAsia="Times New Roman" w:hAnsi="Times New Roman" w:cs="Times New Roman"/>
                <w:bCs/>
                <w:sz w:val="23"/>
                <w:szCs w:val="23"/>
                <w:lang w:eastAsia="hr-HR"/>
              </w:rPr>
              <w:t>2234</w:t>
            </w:r>
          </w:p>
        </w:tc>
        <w:tc>
          <w:tcPr>
            <w:tcW w:w="2410" w:type="dxa"/>
            <w:shd w:val="clear" w:color="auto" w:fill="auto"/>
            <w:vAlign w:val="center"/>
          </w:tcPr>
          <w:p w14:paraId="44EA3D28" w14:textId="77777777" w:rsidR="004B03CB" w:rsidRPr="00F13184" w:rsidRDefault="004B03CB" w:rsidP="00816216">
            <w:pPr>
              <w:spacing w:after="0" w:line="240" w:lineRule="auto"/>
              <w:jc w:val="center"/>
              <w:rPr>
                <w:rFonts w:ascii="Times New Roman" w:eastAsia="Times New Roman" w:hAnsi="Times New Roman" w:cs="Times New Roman"/>
                <w:bCs/>
                <w:sz w:val="23"/>
                <w:szCs w:val="23"/>
                <w:lang w:eastAsia="hr-HR"/>
              </w:rPr>
            </w:pPr>
            <w:r w:rsidRPr="00F13184">
              <w:rPr>
                <w:rFonts w:ascii="Times New Roman" w:eastAsia="Times New Roman" w:hAnsi="Times New Roman" w:cs="Times New Roman"/>
                <w:bCs/>
                <w:sz w:val="23"/>
                <w:szCs w:val="23"/>
                <w:lang w:eastAsia="hr-HR"/>
              </w:rPr>
              <w:t>Centri za odgoj i obrazovanje</w:t>
            </w: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1"/>
        <w:gridCol w:w="2384"/>
        <w:gridCol w:w="3248"/>
        <w:gridCol w:w="1292"/>
        <w:gridCol w:w="1227"/>
      </w:tblGrid>
      <w:tr w:rsidR="004B03CB" w:rsidRPr="00F13184" w14:paraId="1B2962E5" w14:textId="77777777" w:rsidTr="00F13184">
        <w:trPr>
          <w:trHeight w:val="590"/>
        </w:trPr>
        <w:tc>
          <w:tcPr>
            <w:tcW w:w="911" w:type="dxa"/>
            <w:vMerge w:val="restart"/>
            <w:shd w:val="clear" w:color="auto" w:fill="auto"/>
            <w:vAlign w:val="center"/>
          </w:tcPr>
          <w:p w14:paraId="46AB9EE6" w14:textId="77777777" w:rsidR="004B03CB" w:rsidRPr="00F13184" w:rsidRDefault="004B03CB" w:rsidP="00816216">
            <w:pPr>
              <w:spacing w:after="0" w:line="240" w:lineRule="auto"/>
              <w:jc w:val="center"/>
              <w:rPr>
                <w:rFonts w:ascii="Times New Roman" w:eastAsia="Times New Roman" w:hAnsi="Times New Roman" w:cs="Times New Roman"/>
                <w:b/>
                <w:bCs/>
                <w:sz w:val="23"/>
                <w:szCs w:val="23"/>
                <w:lang w:eastAsia="hr-HR"/>
              </w:rPr>
            </w:pPr>
            <w:r w:rsidRPr="00F13184">
              <w:rPr>
                <w:rFonts w:ascii="Times New Roman" w:eastAsia="Times New Roman" w:hAnsi="Times New Roman" w:cs="Times New Roman"/>
                <w:b/>
                <w:bCs/>
                <w:sz w:val="23"/>
                <w:szCs w:val="23"/>
                <w:lang w:eastAsia="hr-HR"/>
              </w:rPr>
              <w:t>2017.</w:t>
            </w:r>
          </w:p>
        </w:tc>
        <w:tc>
          <w:tcPr>
            <w:tcW w:w="2384" w:type="dxa"/>
            <w:vMerge w:val="restart"/>
            <w:shd w:val="clear" w:color="auto" w:fill="auto"/>
            <w:vAlign w:val="center"/>
          </w:tcPr>
          <w:p w14:paraId="40FBB239" w14:textId="77777777" w:rsidR="004B03CB" w:rsidRPr="00F13184" w:rsidRDefault="004B03CB" w:rsidP="00816216">
            <w:pPr>
              <w:spacing w:after="0" w:line="240" w:lineRule="auto"/>
              <w:jc w:val="center"/>
              <w:rPr>
                <w:rFonts w:ascii="Times New Roman" w:eastAsia="Times New Roman" w:hAnsi="Times New Roman" w:cs="Times New Roman"/>
                <w:b/>
                <w:bCs/>
                <w:sz w:val="23"/>
                <w:szCs w:val="23"/>
                <w:lang w:eastAsia="hr-HR"/>
              </w:rPr>
            </w:pPr>
            <w:r w:rsidRPr="00F13184">
              <w:rPr>
                <w:rFonts w:ascii="Times New Roman" w:eastAsia="Times New Roman" w:hAnsi="Times New Roman" w:cs="Times New Roman"/>
                <w:b/>
                <w:bCs/>
                <w:sz w:val="23"/>
                <w:szCs w:val="23"/>
                <w:lang w:eastAsia="hr-HR"/>
              </w:rPr>
              <w:t>Osnovnoškolski program</w:t>
            </w:r>
          </w:p>
          <w:p w14:paraId="12F1184A" w14:textId="77777777" w:rsidR="004B03CB" w:rsidRPr="00F13184" w:rsidRDefault="004B03CB" w:rsidP="00816216">
            <w:pPr>
              <w:spacing w:after="0" w:line="240" w:lineRule="auto"/>
              <w:jc w:val="center"/>
              <w:rPr>
                <w:rFonts w:ascii="Times New Roman" w:eastAsia="Times New Roman" w:hAnsi="Times New Roman" w:cs="Times New Roman"/>
                <w:sz w:val="23"/>
                <w:szCs w:val="23"/>
                <w:lang w:eastAsia="hr-HR"/>
              </w:rPr>
            </w:pPr>
            <w:r w:rsidRPr="00F13184">
              <w:rPr>
                <w:rFonts w:ascii="Times New Roman" w:eastAsia="Times New Roman" w:hAnsi="Times New Roman" w:cs="Times New Roman"/>
                <w:sz w:val="23"/>
                <w:szCs w:val="23"/>
                <w:lang w:eastAsia="hr-HR"/>
              </w:rPr>
              <w:t>19948 učenika s TUR</w:t>
            </w:r>
          </w:p>
        </w:tc>
        <w:tc>
          <w:tcPr>
            <w:tcW w:w="3248" w:type="dxa"/>
            <w:shd w:val="clear" w:color="auto" w:fill="auto"/>
            <w:vAlign w:val="center"/>
          </w:tcPr>
          <w:p w14:paraId="463D91B8" w14:textId="77777777" w:rsidR="004B03CB" w:rsidRPr="00F13184" w:rsidRDefault="004B03CB" w:rsidP="00816216">
            <w:pPr>
              <w:spacing w:after="0" w:line="240" w:lineRule="auto"/>
              <w:rPr>
                <w:rFonts w:ascii="Times New Roman" w:eastAsia="Times New Roman" w:hAnsi="Times New Roman" w:cs="Times New Roman"/>
                <w:sz w:val="23"/>
                <w:szCs w:val="23"/>
                <w:lang w:eastAsia="hr-HR"/>
              </w:rPr>
            </w:pPr>
            <w:r w:rsidRPr="00F13184">
              <w:rPr>
                <w:rFonts w:ascii="Times New Roman" w:eastAsia="Times New Roman" w:hAnsi="Times New Roman" w:cs="Times New Roman"/>
                <w:sz w:val="23"/>
                <w:szCs w:val="23"/>
                <w:lang w:eastAsia="hr-HR"/>
              </w:rPr>
              <w:t>Redovite OŠ ustanove</w:t>
            </w:r>
          </w:p>
        </w:tc>
        <w:tc>
          <w:tcPr>
            <w:tcW w:w="1292" w:type="dxa"/>
            <w:shd w:val="clear" w:color="auto" w:fill="auto"/>
            <w:vAlign w:val="center"/>
          </w:tcPr>
          <w:p w14:paraId="430C1A95" w14:textId="77777777" w:rsidR="004B03CB" w:rsidRPr="00F13184" w:rsidRDefault="004B03CB" w:rsidP="00816216">
            <w:pPr>
              <w:spacing w:after="0" w:line="240" w:lineRule="auto"/>
              <w:jc w:val="center"/>
              <w:rPr>
                <w:rFonts w:ascii="Times New Roman" w:eastAsia="Times New Roman" w:hAnsi="Times New Roman" w:cs="Times New Roman"/>
                <w:sz w:val="23"/>
                <w:szCs w:val="23"/>
                <w:lang w:eastAsia="hr-HR"/>
              </w:rPr>
            </w:pPr>
            <w:r w:rsidRPr="00F13184">
              <w:rPr>
                <w:rFonts w:ascii="Times New Roman" w:eastAsia="Times New Roman" w:hAnsi="Times New Roman" w:cs="Times New Roman"/>
                <w:sz w:val="23"/>
                <w:szCs w:val="23"/>
                <w:lang w:eastAsia="hr-HR"/>
              </w:rPr>
              <w:t>17555</w:t>
            </w:r>
          </w:p>
        </w:tc>
        <w:tc>
          <w:tcPr>
            <w:tcW w:w="1227" w:type="dxa"/>
            <w:vMerge w:val="restart"/>
            <w:shd w:val="clear" w:color="auto" w:fill="auto"/>
            <w:vAlign w:val="center"/>
          </w:tcPr>
          <w:p w14:paraId="42649EB2" w14:textId="77777777" w:rsidR="004B03CB" w:rsidRPr="00F13184" w:rsidRDefault="004B03CB" w:rsidP="00816216">
            <w:pPr>
              <w:spacing w:after="0" w:line="240" w:lineRule="auto"/>
              <w:jc w:val="center"/>
              <w:rPr>
                <w:rFonts w:ascii="Times New Roman" w:eastAsia="Times New Roman" w:hAnsi="Times New Roman" w:cs="Times New Roman"/>
                <w:sz w:val="23"/>
                <w:szCs w:val="23"/>
                <w:lang w:eastAsia="hr-HR"/>
              </w:rPr>
            </w:pPr>
            <w:r w:rsidRPr="00F13184">
              <w:rPr>
                <w:rFonts w:ascii="Times New Roman" w:eastAsia="Times New Roman" w:hAnsi="Times New Roman" w:cs="Times New Roman"/>
                <w:sz w:val="23"/>
                <w:szCs w:val="23"/>
                <w:lang w:eastAsia="hr-HR"/>
              </w:rPr>
              <w:t>ukupno</w:t>
            </w:r>
          </w:p>
          <w:p w14:paraId="2928E0F7" w14:textId="77777777" w:rsidR="004B03CB" w:rsidRPr="00F13184" w:rsidRDefault="004B03CB" w:rsidP="00816216">
            <w:pPr>
              <w:spacing w:after="0" w:line="240" w:lineRule="auto"/>
              <w:jc w:val="center"/>
              <w:rPr>
                <w:rFonts w:ascii="Times New Roman" w:eastAsia="Times New Roman" w:hAnsi="Times New Roman" w:cs="Times New Roman"/>
                <w:b/>
                <w:bCs/>
                <w:sz w:val="23"/>
                <w:szCs w:val="23"/>
                <w:lang w:eastAsia="hr-HR"/>
              </w:rPr>
            </w:pPr>
            <w:r w:rsidRPr="00F13184">
              <w:rPr>
                <w:rFonts w:ascii="Times New Roman" w:eastAsia="Times New Roman" w:hAnsi="Times New Roman" w:cs="Times New Roman"/>
                <w:b/>
                <w:bCs/>
                <w:sz w:val="23"/>
                <w:szCs w:val="23"/>
                <w:lang w:eastAsia="hr-HR"/>
              </w:rPr>
              <w:t>22727</w:t>
            </w:r>
          </w:p>
          <w:p w14:paraId="204B3674" w14:textId="77777777" w:rsidR="004B03CB" w:rsidRPr="00F13184" w:rsidRDefault="004B03CB" w:rsidP="00816216">
            <w:pPr>
              <w:spacing w:after="0" w:line="240" w:lineRule="auto"/>
              <w:jc w:val="center"/>
              <w:rPr>
                <w:rFonts w:ascii="Times New Roman" w:eastAsia="Times New Roman" w:hAnsi="Times New Roman" w:cs="Times New Roman"/>
                <w:sz w:val="23"/>
                <w:szCs w:val="23"/>
                <w:lang w:eastAsia="hr-HR"/>
              </w:rPr>
            </w:pPr>
            <w:r w:rsidRPr="00F13184">
              <w:rPr>
                <w:rFonts w:ascii="Times New Roman" w:eastAsia="Times New Roman" w:hAnsi="Times New Roman" w:cs="Times New Roman"/>
                <w:sz w:val="23"/>
                <w:szCs w:val="23"/>
                <w:lang w:eastAsia="hr-HR"/>
              </w:rPr>
              <w:t>učenika s</w:t>
            </w:r>
          </w:p>
          <w:p w14:paraId="0074C800" w14:textId="77777777" w:rsidR="004B03CB" w:rsidRPr="00F13184" w:rsidRDefault="004B03CB" w:rsidP="00816216">
            <w:pPr>
              <w:spacing w:after="0" w:line="240" w:lineRule="auto"/>
              <w:jc w:val="center"/>
              <w:rPr>
                <w:rFonts w:ascii="Times New Roman" w:eastAsia="Times New Roman" w:hAnsi="Times New Roman" w:cs="Times New Roman"/>
                <w:sz w:val="23"/>
                <w:szCs w:val="23"/>
                <w:lang w:eastAsia="hr-HR"/>
              </w:rPr>
            </w:pPr>
            <w:r w:rsidRPr="00F13184">
              <w:rPr>
                <w:rFonts w:ascii="Times New Roman" w:eastAsia="Times New Roman" w:hAnsi="Times New Roman" w:cs="Times New Roman"/>
                <w:sz w:val="23"/>
                <w:szCs w:val="23"/>
                <w:lang w:eastAsia="hr-HR"/>
              </w:rPr>
              <w:t>TUR</w:t>
            </w:r>
          </w:p>
        </w:tc>
      </w:tr>
      <w:tr w:rsidR="004B03CB" w:rsidRPr="00F13184" w14:paraId="6373286D" w14:textId="77777777" w:rsidTr="00F13184">
        <w:trPr>
          <w:trHeight w:val="554"/>
        </w:trPr>
        <w:tc>
          <w:tcPr>
            <w:tcW w:w="911" w:type="dxa"/>
            <w:vMerge/>
            <w:shd w:val="clear" w:color="auto" w:fill="auto"/>
          </w:tcPr>
          <w:p w14:paraId="1DC3BC31" w14:textId="77777777" w:rsidR="004B03CB" w:rsidRPr="00F13184" w:rsidRDefault="004B03CB" w:rsidP="00816216">
            <w:pPr>
              <w:spacing w:after="0" w:line="240" w:lineRule="auto"/>
              <w:jc w:val="both"/>
              <w:rPr>
                <w:rFonts w:ascii="Times New Roman" w:eastAsia="Times New Roman" w:hAnsi="Times New Roman" w:cs="Times New Roman"/>
                <w:sz w:val="23"/>
                <w:szCs w:val="23"/>
                <w:lang w:eastAsia="hr-HR"/>
              </w:rPr>
            </w:pPr>
          </w:p>
        </w:tc>
        <w:tc>
          <w:tcPr>
            <w:tcW w:w="2384" w:type="dxa"/>
            <w:vMerge/>
            <w:shd w:val="clear" w:color="auto" w:fill="auto"/>
            <w:vAlign w:val="center"/>
          </w:tcPr>
          <w:p w14:paraId="79177056" w14:textId="77777777" w:rsidR="004B03CB" w:rsidRPr="00F13184" w:rsidRDefault="004B03CB" w:rsidP="00816216">
            <w:pPr>
              <w:spacing w:after="0" w:line="240" w:lineRule="auto"/>
              <w:jc w:val="center"/>
              <w:rPr>
                <w:rFonts w:ascii="Times New Roman" w:eastAsia="Times New Roman" w:hAnsi="Times New Roman" w:cs="Times New Roman"/>
                <w:sz w:val="23"/>
                <w:szCs w:val="23"/>
                <w:lang w:eastAsia="hr-HR"/>
              </w:rPr>
            </w:pPr>
          </w:p>
        </w:tc>
        <w:tc>
          <w:tcPr>
            <w:tcW w:w="3248" w:type="dxa"/>
            <w:shd w:val="clear" w:color="auto" w:fill="auto"/>
            <w:vAlign w:val="center"/>
          </w:tcPr>
          <w:p w14:paraId="133D9535" w14:textId="77777777" w:rsidR="004B03CB" w:rsidRPr="00F13184" w:rsidRDefault="004B03CB" w:rsidP="00816216">
            <w:pPr>
              <w:spacing w:after="0" w:line="240" w:lineRule="auto"/>
              <w:rPr>
                <w:rFonts w:ascii="Times New Roman" w:eastAsia="Times New Roman" w:hAnsi="Times New Roman" w:cs="Times New Roman"/>
                <w:sz w:val="23"/>
                <w:szCs w:val="23"/>
                <w:lang w:eastAsia="hr-HR"/>
              </w:rPr>
            </w:pPr>
            <w:r w:rsidRPr="00F13184">
              <w:rPr>
                <w:rFonts w:ascii="Times New Roman" w:eastAsia="Times New Roman" w:hAnsi="Times New Roman" w:cs="Times New Roman"/>
                <w:sz w:val="23"/>
                <w:szCs w:val="23"/>
                <w:lang w:eastAsia="hr-HR"/>
              </w:rPr>
              <w:t>Centri za odgoj i obrazovanje</w:t>
            </w:r>
          </w:p>
        </w:tc>
        <w:tc>
          <w:tcPr>
            <w:tcW w:w="1292" w:type="dxa"/>
            <w:shd w:val="clear" w:color="auto" w:fill="auto"/>
            <w:vAlign w:val="center"/>
          </w:tcPr>
          <w:p w14:paraId="3C91DB29" w14:textId="77777777" w:rsidR="004B03CB" w:rsidRPr="00F13184" w:rsidRDefault="004B03CB" w:rsidP="00816216">
            <w:pPr>
              <w:spacing w:after="0" w:line="240" w:lineRule="auto"/>
              <w:jc w:val="center"/>
              <w:rPr>
                <w:rFonts w:ascii="Times New Roman" w:eastAsia="Times New Roman" w:hAnsi="Times New Roman" w:cs="Times New Roman"/>
                <w:sz w:val="23"/>
                <w:szCs w:val="23"/>
                <w:lang w:eastAsia="hr-HR"/>
              </w:rPr>
            </w:pPr>
            <w:r w:rsidRPr="00F13184">
              <w:rPr>
                <w:rFonts w:ascii="Times New Roman" w:eastAsia="Times New Roman" w:hAnsi="Times New Roman" w:cs="Times New Roman"/>
                <w:sz w:val="23"/>
                <w:szCs w:val="23"/>
                <w:lang w:eastAsia="hr-HR"/>
              </w:rPr>
              <w:t>2393</w:t>
            </w:r>
          </w:p>
        </w:tc>
        <w:tc>
          <w:tcPr>
            <w:tcW w:w="1227" w:type="dxa"/>
            <w:vMerge/>
            <w:shd w:val="clear" w:color="auto" w:fill="auto"/>
          </w:tcPr>
          <w:p w14:paraId="4291839E" w14:textId="77777777" w:rsidR="004B03CB" w:rsidRPr="00F13184" w:rsidRDefault="004B03CB" w:rsidP="00816216">
            <w:pPr>
              <w:spacing w:after="0" w:line="240" w:lineRule="auto"/>
              <w:jc w:val="both"/>
              <w:rPr>
                <w:rFonts w:ascii="Times New Roman" w:eastAsia="Times New Roman" w:hAnsi="Times New Roman" w:cs="Times New Roman"/>
                <w:sz w:val="23"/>
                <w:szCs w:val="23"/>
                <w:lang w:eastAsia="hr-HR"/>
              </w:rPr>
            </w:pPr>
          </w:p>
        </w:tc>
      </w:tr>
      <w:tr w:rsidR="004B03CB" w:rsidRPr="00F13184" w14:paraId="4C8A5907" w14:textId="77777777" w:rsidTr="00F13184">
        <w:trPr>
          <w:trHeight w:val="533"/>
        </w:trPr>
        <w:tc>
          <w:tcPr>
            <w:tcW w:w="911" w:type="dxa"/>
            <w:vMerge/>
            <w:shd w:val="clear" w:color="auto" w:fill="auto"/>
          </w:tcPr>
          <w:p w14:paraId="53E2CA3E" w14:textId="77777777" w:rsidR="004B03CB" w:rsidRPr="00F13184" w:rsidRDefault="004B03CB" w:rsidP="00816216">
            <w:pPr>
              <w:spacing w:after="0" w:line="240" w:lineRule="auto"/>
              <w:jc w:val="both"/>
              <w:rPr>
                <w:rFonts w:ascii="Times New Roman" w:eastAsia="Times New Roman" w:hAnsi="Times New Roman" w:cs="Times New Roman"/>
                <w:sz w:val="23"/>
                <w:szCs w:val="23"/>
                <w:lang w:eastAsia="hr-HR"/>
              </w:rPr>
            </w:pPr>
          </w:p>
        </w:tc>
        <w:tc>
          <w:tcPr>
            <w:tcW w:w="2384" w:type="dxa"/>
            <w:vMerge w:val="restart"/>
            <w:shd w:val="clear" w:color="auto" w:fill="auto"/>
            <w:vAlign w:val="center"/>
          </w:tcPr>
          <w:p w14:paraId="3E7594E6" w14:textId="77777777" w:rsidR="004B03CB" w:rsidRPr="00F13184" w:rsidRDefault="004B03CB" w:rsidP="00816216">
            <w:pPr>
              <w:spacing w:after="0" w:line="240" w:lineRule="auto"/>
              <w:jc w:val="center"/>
              <w:rPr>
                <w:rFonts w:ascii="Times New Roman" w:eastAsia="Times New Roman" w:hAnsi="Times New Roman" w:cs="Times New Roman"/>
                <w:b/>
                <w:bCs/>
                <w:sz w:val="23"/>
                <w:szCs w:val="23"/>
                <w:lang w:eastAsia="hr-HR"/>
              </w:rPr>
            </w:pPr>
            <w:r w:rsidRPr="00F13184">
              <w:rPr>
                <w:rFonts w:ascii="Times New Roman" w:eastAsia="Times New Roman" w:hAnsi="Times New Roman" w:cs="Times New Roman"/>
                <w:b/>
                <w:bCs/>
                <w:sz w:val="23"/>
                <w:szCs w:val="23"/>
                <w:lang w:eastAsia="hr-HR"/>
              </w:rPr>
              <w:t>Srednjoškolski program</w:t>
            </w:r>
          </w:p>
          <w:p w14:paraId="3FDE165E" w14:textId="77777777" w:rsidR="004B03CB" w:rsidRPr="00F13184" w:rsidRDefault="004B03CB" w:rsidP="00816216">
            <w:pPr>
              <w:spacing w:after="0" w:line="240" w:lineRule="auto"/>
              <w:jc w:val="center"/>
              <w:rPr>
                <w:rFonts w:ascii="Times New Roman" w:eastAsia="Times New Roman" w:hAnsi="Times New Roman" w:cs="Times New Roman"/>
                <w:sz w:val="23"/>
                <w:szCs w:val="23"/>
                <w:lang w:eastAsia="hr-HR"/>
              </w:rPr>
            </w:pPr>
            <w:r w:rsidRPr="00F13184">
              <w:rPr>
                <w:rFonts w:ascii="Times New Roman" w:eastAsia="Times New Roman" w:hAnsi="Times New Roman" w:cs="Times New Roman"/>
                <w:sz w:val="23"/>
                <w:szCs w:val="23"/>
                <w:lang w:eastAsia="hr-HR"/>
              </w:rPr>
              <w:t>2779 učenika s TUR</w:t>
            </w:r>
          </w:p>
        </w:tc>
        <w:tc>
          <w:tcPr>
            <w:tcW w:w="3248" w:type="dxa"/>
            <w:shd w:val="clear" w:color="auto" w:fill="auto"/>
            <w:vAlign w:val="center"/>
          </w:tcPr>
          <w:p w14:paraId="460CF3AF" w14:textId="77777777" w:rsidR="004B03CB" w:rsidRPr="00F13184" w:rsidRDefault="004B03CB" w:rsidP="00816216">
            <w:pPr>
              <w:spacing w:after="0" w:line="240" w:lineRule="auto"/>
              <w:rPr>
                <w:rFonts w:ascii="Times New Roman" w:eastAsia="Times New Roman" w:hAnsi="Times New Roman" w:cs="Times New Roman"/>
                <w:sz w:val="23"/>
                <w:szCs w:val="23"/>
                <w:lang w:eastAsia="hr-HR"/>
              </w:rPr>
            </w:pPr>
            <w:r w:rsidRPr="00F13184">
              <w:rPr>
                <w:rFonts w:ascii="Times New Roman" w:eastAsia="Times New Roman" w:hAnsi="Times New Roman" w:cs="Times New Roman"/>
                <w:sz w:val="23"/>
                <w:szCs w:val="23"/>
                <w:lang w:eastAsia="hr-HR"/>
              </w:rPr>
              <w:t>Redovite srednjoškolske ustanove</w:t>
            </w:r>
          </w:p>
        </w:tc>
        <w:tc>
          <w:tcPr>
            <w:tcW w:w="1292" w:type="dxa"/>
            <w:shd w:val="clear" w:color="auto" w:fill="auto"/>
            <w:vAlign w:val="center"/>
          </w:tcPr>
          <w:p w14:paraId="79ED4AC0" w14:textId="77777777" w:rsidR="004B03CB" w:rsidRPr="00F13184" w:rsidRDefault="004B03CB" w:rsidP="00816216">
            <w:pPr>
              <w:spacing w:after="0" w:line="240" w:lineRule="auto"/>
              <w:jc w:val="center"/>
              <w:rPr>
                <w:rFonts w:ascii="Times New Roman" w:eastAsia="Times New Roman" w:hAnsi="Times New Roman" w:cs="Times New Roman"/>
                <w:sz w:val="23"/>
                <w:szCs w:val="23"/>
                <w:lang w:eastAsia="hr-HR"/>
              </w:rPr>
            </w:pPr>
            <w:r w:rsidRPr="00F13184">
              <w:rPr>
                <w:rFonts w:ascii="Times New Roman" w:eastAsia="Times New Roman" w:hAnsi="Times New Roman" w:cs="Times New Roman"/>
                <w:sz w:val="23"/>
                <w:szCs w:val="23"/>
                <w:lang w:eastAsia="hr-HR"/>
              </w:rPr>
              <w:t>2242</w:t>
            </w:r>
          </w:p>
        </w:tc>
        <w:tc>
          <w:tcPr>
            <w:tcW w:w="1227" w:type="dxa"/>
            <w:vMerge/>
            <w:shd w:val="clear" w:color="auto" w:fill="auto"/>
          </w:tcPr>
          <w:p w14:paraId="1F59A136" w14:textId="77777777" w:rsidR="004B03CB" w:rsidRPr="00F13184" w:rsidRDefault="004B03CB" w:rsidP="00816216">
            <w:pPr>
              <w:spacing w:after="0" w:line="240" w:lineRule="auto"/>
              <w:jc w:val="both"/>
              <w:rPr>
                <w:rFonts w:ascii="Times New Roman" w:eastAsia="Times New Roman" w:hAnsi="Times New Roman" w:cs="Times New Roman"/>
                <w:sz w:val="23"/>
                <w:szCs w:val="23"/>
                <w:lang w:eastAsia="hr-HR"/>
              </w:rPr>
            </w:pPr>
          </w:p>
        </w:tc>
      </w:tr>
      <w:tr w:rsidR="004B03CB" w:rsidRPr="00F13184" w14:paraId="3FFD85B3" w14:textId="77777777" w:rsidTr="00F13184">
        <w:trPr>
          <w:trHeight w:val="255"/>
        </w:trPr>
        <w:tc>
          <w:tcPr>
            <w:tcW w:w="911" w:type="dxa"/>
            <w:vMerge/>
            <w:shd w:val="clear" w:color="auto" w:fill="auto"/>
          </w:tcPr>
          <w:p w14:paraId="72863529" w14:textId="77777777" w:rsidR="004B03CB" w:rsidRPr="00F13184" w:rsidRDefault="004B03CB" w:rsidP="00816216">
            <w:pPr>
              <w:spacing w:after="0" w:line="240" w:lineRule="auto"/>
              <w:jc w:val="both"/>
              <w:rPr>
                <w:rFonts w:ascii="Times New Roman" w:eastAsia="Times New Roman" w:hAnsi="Times New Roman" w:cs="Times New Roman"/>
                <w:sz w:val="23"/>
                <w:szCs w:val="23"/>
                <w:lang w:eastAsia="hr-HR"/>
              </w:rPr>
            </w:pPr>
          </w:p>
        </w:tc>
        <w:tc>
          <w:tcPr>
            <w:tcW w:w="2384" w:type="dxa"/>
            <w:vMerge/>
            <w:shd w:val="clear" w:color="auto" w:fill="auto"/>
            <w:vAlign w:val="center"/>
          </w:tcPr>
          <w:p w14:paraId="21B25B02" w14:textId="77777777" w:rsidR="004B03CB" w:rsidRPr="00F13184" w:rsidRDefault="004B03CB" w:rsidP="00816216">
            <w:pPr>
              <w:spacing w:after="0" w:line="240" w:lineRule="auto"/>
              <w:jc w:val="both"/>
              <w:rPr>
                <w:rFonts w:ascii="Times New Roman" w:eastAsia="Times New Roman" w:hAnsi="Times New Roman" w:cs="Times New Roman"/>
                <w:sz w:val="23"/>
                <w:szCs w:val="23"/>
                <w:lang w:eastAsia="hr-HR"/>
              </w:rPr>
            </w:pPr>
          </w:p>
        </w:tc>
        <w:tc>
          <w:tcPr>
            <w:tcW w:w="3248" w:type="dxa"/>
            <w:shd w:val="clear" w:color="auto" w:fill="auto"/>
            <w:vAlign w:val="center"/>
          </w:tcPr>
          <w:p w14:paraId="525A31F8" w14:textId="77777777" w:rsidR="004B03CB" w:rsidRPr="00F13184" w:rsidRDefault="004B03CB" w:rsidP="00816216">
            <w:pPr>
              <w:spacing w:after="0" w:line="240" w:lineRule="auto"/>
              <w:rPr>
                <w:rFonts w:ascii="Times New Roman" w:eastAsia="Times New Roman" w:hAnsi="Times New Roman" w:cs="Times New Roman"/>
                <w:sz w:val="23"/>
                <w:szCs w:val="23"/>
                <w:lang w:eastAsia="hr-HR"/>
              </w:rPr>
            </w:pPr>
            <w:r w:rsidRPr="00F13184">
              <w:rPr>
                <w:rFonts w:ascii="Times New Roman" w:eastAsia="Times New Roman" w:hAnsi="Times New Roman" w:cs="Times New Roman"/>
                <w:sz w:val="23"/>
                <w:szCs w:val="23"/>
                <w:lang w:eastAsia="hr-HR"/>
              </w:rPr>
              <w:t>Centri za odgoj i obrazovanje (pomoćna zanimanja)</w:t>
            </w:r>
          </w:p>
        </w:tc>
        <w:tc>
          <w:tcPr>
            <w:tcW w:w="1292" w:type="dxa"/>
            <w:shd w:val="clear" w:color="auto" w:fill="auto"/>
            <w:vAlign w:val="center"/>
          </w:tcPr>
          <w:p w14:paraId="693BD38E" w14:textId="77777777" w:rsidR="004B03CB" w:rsidRPr="00F13184" w:rsidRDefault="004B03CB" w:rsidP="00816216">
            <w:pPr>
              <w:spacing w:after="0" w:line="240" w:lineRule="auto"/>
              <w:jc w:val="center"/>
              <w:rPr>
                <w:rFonts w:ascii="Times New Roman" w:eastAsia="Times New Roman" w:hAnsi="Times New Roman" w:cs="Times New Roman"/>
                <w:sz w:val="23"/>
                <w:szCs w:val="23"/>
                <w:lang w:eastAsia="hr-HR"/>
              </w:rPr>
            </w:pPr>
            <w:r w:rsidRPr="00F13184">
              <w:rPr>
                <w:rFonts w:ascii="Times New Roman" w:eastAsia="Times New Roman" w:hAnsi="Times New Roman" w:cs="Times New Roman"/>
                <w:sz w:val="23"/>
                <w:szCs w:val="23"/>
                <w:lang w:eastAsia="hr-HR"/>
              </w:rPr>
              <w:t>537</w:t>
            </w:r>
          </w:p>
        </w:tc>
        <w:tc>
          <w:tcPr>
            <w:tcW w:w="1227" w:type="dxa"/>
            <w:vMerge/>
            <w:shd w:val="clear" w:color="auto" w:fill="auto"/>
          </w:tcPr>
          <w:p w14:paraId="372FCDF8" w14:textId="77777777" w:rsidR="004B03CB" w:rsidRPr="00F13184" w:rsidRDefault="004B03CB" w:rsidP="00816216">
            <w:pPr>
              <w:spacing w:after="0" w:line="240" w:lineRule="auto"/>
              <w:jc w:val="both"/>
              <w:rPr>
                <w:rFonts w:ascii="Times New Roman" w:eastAsia="Times New Roman" w:hAnsi="Times New Roman" w:cs="Times New Roman"/>
                <w:sz w:val="23"/>
                <w:szCs w:val="23"/>
                <w:lang w:eastAsia="hr-HR"/>
              </w:rPr>
            </w:pPr>
          </w:p>
        </w:tc>
      </w:tr>
      <w:tr w:rsidR="004B03CB" w:rsidRPr="00F13184" w14:paraId="05CF6A1E" w14:textId="77777777" w:rsidTr="00F13184">
        <w:trPr>
          <w:trHeight w:val="494"/>
        </w:trPr>
        <w:tc>
          <w:tcPr>
            <w:tcW w:w="911" w:type="dxa"/>
            <w:vMerge w:val="restart"/>
            <w:shd w:val="clear" w:color="auto" w:fill="auto"/>
            <w:vAlign w:val="center"/>
          </w:tcPr>
          <w:p w14:paraId="7BFEFF5D" w14:textId="77777777" w:rsidR="004B03CB" w:rsidRPr="00F13184" w:rsidRDefault="004B03CB" w:rsidP="00816216">
            <w:pPr>
              <w:spacing w:after="0" w:line="240" w:lineRule="auto"/>
              <w:jc w:val="center"/>
              <w:rPr>
                <w:rFonts w:ascii="Times New Roman" w:eastAsia="Times New Roman" w:hAnsi="Times New Roman" w:cs="Times New Roman"/>
                <w:b/>
                <w:bCs/>
                <w:sz w:val="23"/>
                <w:szCs w:val="23"/>
                <w:lang w:eastAsia="hr-HR"/>
              </w:rPr>
            </w:pPr>
            <w:r w:rsidRPr="00F13184">
              <w:rPr>
                <w:rFonts w:ascii="Times New Roman" w:eastAsia="Times New Roman" w:hAnsi="Times New Roman" w:cs="Times New Roman"/>
                <w:b/>
                <w:bCs/>
                <w:sz w:val="23"/>
                <w:szCs w:val="23"/>
                <w:lang w:eastAsia="hr-HR"/>
              </w:rPr>
              <w:t>2018.</w:t>
            </w:r>
          </w:p>
        </w:tc>
        <w:tc>
          <w:tcPr>
            <w:tcW w:w="2384" w:type="dxa"/>
            <w:vMerge w:val="restart"/>
            <w:shd w:val="clear" w:color="auto" w:fill="auto"/>
            <w:vAlign w:val="center"/>
          </w:tcPr>
          <w:p w14:paraId="00977CBD" w14:textId="77777777" w:rsidR="004B03CB" w:rsidRPr="00F13184" w:rsidRDefault="004B03CB" w:rsidP="00816216">
            <w:pPr>
              <w:spacing w:after="0" w:line="240" w:lineRule="auto"/>
              <w:jc w:val="center"/>
              <w:rPr>
                <w:rFonts w:ascii="Times New Roman" w:eastAsia="Times New Roman" w:hAnsi="Times New Roman" w:cs="Times New Roman"/>
                <w:b/>
                <w:bCs/>
                <w:sz w:val="23"/>
                <w:szCs w:val="23"/>
                <w:lang w:eastAsia="hr-HR"/>
              </w:rPr>
            </w:pPr>
            <w:r w:rsidRPr="00F13184">
              <w:rPr>
                <w:rFonts w:ascii="Times New Roman" w:eastAsia="Times New Roman" w:hAnsi="Times New Roman" w:cs="Times New Roman"/>
                <w:b/>
                <w:bCs/>
                <w:sz w:val="23"/>
                <w:szCs w:val="23"/>
                <w:lang w:eastAsia="hr-HR"/>
              </w:rPr>
              <w:t>Osnovnoškolski program</w:t>
            </w:r>
          </w:p>
          <w:p w14:paraId="4E990C24" w14:textId="77777777" w:rsidR="004B03CB" w:rsidRPr="00F13184" w:rsidRDefault="004B03CB" w:rsidP="00816216">
            <w:pPr>
              <w:spacing w:after="0" w:line="240" w:lineRule="auto"/>
              <w:jc w:val="both"/>
              <w:rPr>
                <w:rFonts w:ascii="Times New Roman" w:eastAsia="Times New Roman" w:hAnsi="Times New Roman" w:cs="Times New Roman"/>
                <w:sz w:val="23"/>
                <w:szCs w:val="23"/>
                <w:lang w:eastAsia="hr-HR"/>
              </w:rPr>
            </w:pPr>
            <w:r w:rsidRPr="00F13184">
              <w:rPr>
                <w:rFonts w:ascii="Times New Roman" w:eastAsia="Times New Roman" w:hAnsi="Times New Roman" w:cs="Times New Roman"/>
                <w:sz w:val="23"/>
                <w:szCs w:val="23"/>
                <w:lang w:eastAsia="hr-HR"/>
              </w:rPr>
              <w:t>21031 učenika s TUR</w:t>
            </w:r>
          </w:p>
        </w:tc>
        <w:tc>
          <w:tcPr>
            <w:tcW w:w="3248" w:type="dxa"/>
            <w:shd w:val="clear" w:color="auto" w:fill="auto"/>
            <w:vAlign w:val="center"/>
          </w:tcPr>
          <w:p w14:paraId="6073A4BB" w14:textId="77777777" w:rsidR="004B03CB" w:rsidRPr="00F13184" w:rsidRDefault="004B03CB" w:rsidP="00816216">
            <w:pPr>
              <w:spacing w:after="0" w:line="240" w:lineRule="auto"/>
              <w:rPr>
                <w:rFonts w:ascii="Times New Roman" w:eastAsia="Times New Roman" w:hAnsi="Times New Roman" w:cs="Times New Roman"/>
                <w:sz w:val="23"/>
                <w:szCs w:val="23"/>
                <w:lang w:eastAsia="hr-HR"/>
              </w:rPr>
            </w:pPr>
            <w:r w:rsidRPr="00F13184">
              <w:rPr>
                <w:rFonts w:ascii="Times New Roman" w:eastAsia="Times New Roman" w:hAnsi="Times New Roman" w:cs="Times New Roman"/>
                <w:sz w:val="23"/>
                <w:szCs w:val="23"/>
                <w:lang w:eastAsia="hr-HR"/>
              </w:rPr>
              <w:t>Redovite OŠ ustanove</w:t>
            </w:r>
          </w:p>
        </w:tc>
        <w:tc>
          <w:tcPr>
            <w:tcW w:w="1292" w:type="dxa"/>
            <w:shd w:val="clear" w:color="auto" w:fill="auto"/>
            <w:vAlign w:val="center"/>
          </w:tcPr>
          <w:p w14:paraId="4F839591" w14:textId="77777777" w:rsidR="004B03CB" w:rsidRPr="00F13184" w:rsidRDefault="004B03CB" w:rsidP="00816216">
            <w:pPr>
              <w:spacing w:after="0" w:line="240" w:lineRule="auto"/>
              <w:jc w:val="center"/>
              <w:rPr>
                <w:rFonts w:ascii="Times New Roman" w:eastAsia="Times New Roman" w:hAnsi="Times New Roman" w:cs="Times New Roman"/>
                <w:sz w:val="23"/>
                <w:szCs w:val="23"/>
                <w:lang w:eastAsia="hr-HR"/>
              </w:rPr>
            </w:pPr>
            <w:r w:rsidRPr="00F13184">
              <w:rPr>
                <w:rFonts w:ascii="Times New Roman" w:eastAsia="Times New Roman" w:hAnsi="Times New Roman" w:cs="Times New Roman"/>
                <w:sz w:val="23"/>
                <w:szCs w:val="23"/>
                <w:lang w:eastAsia="hr-HR"/>
              </w:rPr>
              <w:t>18461</w:t>
            </w:r>
          </w:p>
        </w:tc>
        <w:tc>
          <w:tcPr>
            <w:tcW w:w="1227" w:type="dxa"/>
            <w:vMerge w:val="restart"/>
            <w:shd w:val="clear" w:color="auto" w:fill="auto"/>
            <w:vAlign w:val="center"/>
          </w:tcPr>
          <w:p w14:paraId="060DAA48" w14:textId="77777777" w:rsidR="004B03CB" w:rsidRPr="00F13184" w:rsidRDefault="004B03CB" w:rsidP="00816216">
            <w:pPr>
              <w:spacing w:after="0" w:line="240" w:lineRule="auto"/>
              <w:jc w:val="center"/>
              <w:rPr>
                <w:rFonts w:ascii="Times New Roman" w:eastAsia="Times New Roman" w:hAnsi="Times New Roman" w:cs="Times New Roman"/>
                <w:sz w:val="23"/>
                <w:szCs w:val="23"/>
                <w:lang w:eastAsia="hr-HR"/>
              </w:rPr>
            </w:pPr>
            <w:r w:rsidRPr="00F13184">
              <w:rPr>
                <w:rFonts w:ascii="Times New Roman" w:eastAsia="Times New Roman" w:hAnsi="Times New Roman" w:cs="Times New Roman"/>
                <w:sz w:val="23"/>
                <w:szCs w:val="23"/>
                <w:lang w:eastAsia="hr-HR"/>
              </w:rPr>
              <w:t>ukupno</w:t>
            </w:r>
          </w:p>
          <w:p w14:paraId="554A2E06" w14:textId="77777777" w:rsidR="004B03CB" w:rsidRPr="00F13184" w:rsidRDefault="004B03CB" w:rsidP="00816216">
            <w:pPr>
              <w:spacing w:after="0" w:line="240" w:lineRule="auto"/>
              <w:jc w:val="center"/>
              <w:rPr>
                <w:rFonts w:ascii="Times New Roman" w:eastAsia="Times New Roman" w:hAnsi="Times New Roman" w:cs="Times New Roman"/>
                <w:b/>
                <w:bCs/>
                <w:sz w:val="23"/>
                <w:szCs w:val="23"/>
                <w:lang w:eastAsia="hr-HR"/>
              </w:rPr>
            </w:pPr>
            <w:r w:rsidRPr="00F13184">
              <w:rPr>
                <w:rFonts w:ascii="Times New Roman" w:eastAsia="Times New Roman" w:hAnsi="Times New Roman" w:cs="Times New Roman"/>
                <w:b/>
                <w:bCs/>
                <w:sz w:val="23"/>
                <w:szCs w:val="23"/>
                <w:lang w:eastAsia="hr-HR"/>
              </w:rPr>
              <w:t>26889</w:t>
            </w:r>
          </w:p>
          <w:p w14:paraId="19D479EB" w14:textId="77777777" w:rsidR="004B03CB" w:rsidRPr="00F13184" w:rsidRDefault="004B03CB" w:rsidP="00816216">
            <w:pPr>
              <w:spacing w:after="0" w:line="240" w:lineRule="auto"/>
              <w:jc w:val="center"/>
              <w:rPr>
                <w:rFonts w:ascii="Times New Roman" w:eastAsia="Times New Roman" w:hAnsi="Times New Roman" w:cs="Times New Roman"/>
                <w:sz w:val="23"/>
                <w:szCs w:val="23"/>
                <w:lang w:eastAsia="hr-HR"/>
              </w:rPr>
            </w:pPr>
            <w:r w:rsidRPr="00F13184">
              <w:rPr>
                <w:rFonts w:ascii="Times New Roman" w:eastAsia="Times New Roman" w:hAnsi="Times New Roman" w:cs="Times New Roman"/>
                <w:sz w:val="23"/>
                <w:szCs w:val="23"/>
                <w:lang w:eastAsia="hr-HR"/>
              </w:rPr>
              <w:t>učenika s</w:t>
            </w:r>
          </w:p>
          <w:p w14:paraId="0755E8C4" w14:textId="77777777" w:rsidR="004B03CB" w:rsidRPr="00F13184" w:rsidRDefault="004B03CB" w:rsidP="00816216">
            <w:pPr>
              <w:spacing w:after="0" w:line="240" w:lineRule="auto"/>
              <w:jc w:val="center"/>
              <w:rPr>
                <w:rFonts w:ascii="Times New Roman" w:eastAsia="Times New Roman" w:hAnsi="Times New Roman" w:cs="Times New Roman"/>
                <w:sz w:val="23"/>
                <w:szCs w:val="23"/>
                <w:lang w:eastAsia="hr-HR"/>
              </w:rPr>
            </w:pPr>
            <w:r w:rsidRPr="00F13184">
              <w:rPr>
                <w:rFonts w:ascii="Times New Roman" w:eastAsia="Times New Roman" w:hAnsi="Times New Roman" w:cs="Times New Roman"/>
                <w:sz w:val="23"/>
                <w:szCs w:val="23"/>
                <w:lang w:eastAsia="hr-HR"/>
              </w:rPr>
              <w:t>TUR</w:t>
            </w:r>
          </w:p>
        </w:tc>
      </w:tr>
      <w:tr w:rsidR="004B03CB" w:rsidRPr="00F13184" w14:paraId="6DF3EC11" w14:textId="77777777" w:rsidTr="00F13184">
        <w:trPr>
          <w:trHeight w:val="558"/>
        </w:trPr>
        <w:tc>
          <w:tcPr>
            <w:tcW w:w="911" w:type="dxa"/>
            <w:vMerge/>
            <w:shd w:val="clear" w:color="auto" w:fill="auto"/>
          </w:tcPr>
          <w:p w14:paraId="0126BC3F" w14:textId="77777777" w:rsidR="004B03CB" w:rsidRPr="00F13184" w:rsidRDefault="004B03CB" w:rsidP="00816216">
            <w:pPr>
              <w:spacing w:after="0" w:line="240" w:lineRule="auto"/>
              <w:jc w:val="both"/>
              <w:rPr>
                <w:rFonts w:ascii="Times New Roman" w:eastAsia="Times New Roman" w:hAnsi="Times New Roman" w:cs="Times New Roman"/>
                <w:sz w:val="23"/>
                <w:szCs w:val="23"/>
                <w:lang w:eastAsia="hr-HR"/>
              </w:rPr>
            </w:pPr>
          </w:p>
        </w:tc>
        <w:tc>
          <w:tcPr>
            <w:tcW w:w="2384" w:type="dxa"/>
            <w:vMerge/>
            <w:shd w:val="clear" w:color="auto" w:fill="auto"/>
            <w:vAlign w:val="center"/>
          </w:tcPr>
          <w:p w14:paraId="46106AF8" w14:textId="77777777" w:rsidR="004B03CB" w:rsidRPr="00F13184" w:rsidRDefault="004B03CB" w:rsidP="00816216">
            <w:pPr>
              <w:spacing w:after="0" w:line="240" w:lineRule="auto"/>
              <w:jc w:val="both"/>
              <w:rPr>
                <w:rFonts w:ascii="Times New Roman" w:eastAsia="Times New Roman" w:hAnsi="Times New Roman" w:cs="Times New Roman"/>
                <w:sz w:val="23"/>
                <w:szCs w:val="23"/>
                <w:lang w:eastAsia="hr-HR"/>
              </w:rPr>
            </w:pPr>
          </w:p>
        </w:tc>
        <w:tc>
          <w:tcPr>
            <w:tcW w:w="3248" w:type="dxa"/>
            <w:shd w:val="clear" w:color="auto" w:fill="auto"/>
            <w:vAlign w:val="center"/>
          </w:tcPr>
          <w:p w14:paraId="7EE47AC4" w14:textId="77777777" w:rsidR="004B03CB" w:rsidRPr="00F13184" w:rsidRDefault="004B03CB" w:rsidP="00816216">
            <w:pPr>
              <w:spacing w:after="0" w:line="240" w:lineRule="auto"/>
              <w:rPr>
                <w:rFonts w:ascii="Times New Roman" w:eastAsia="Times New Roman" w:hAnsi="Times New Roman" w:cs="Times New Roman"/>
                <w:sz w:val="23"/>
                <w:szCs w:val="23"/>
                <w:lang w:eastAsia="hr-HR"/>
              </w:rPr>
            </w:pPr>
            <w:r w:rsidRPr="00F13184">
              <w:rPr>
                <w:rFonts w:ascii="Times New Roman" w:eastAsia="Times New Roman" w:hAnsi="Times New Roman" w:cs="Times New Roman"/>
                <w:sz w:val="23"/>
                <w:szCs w:val="23"/>
                <w:lang w:eastAsia="hr-HR"/>
              </w:rPr>
              <w:t>Centri za odgoj i obrazovanje</w:t>
            </w:r>
          </w:p>
        </w:tc>
        <w:tc>
          <w:tcPr>
            <w:tcW w:w="1292" w:type="dxa"/>
            <w:shd w:val="clear" w:color="auto" w:fill="auto"/>
            <w:vAlign w:val="center"/>
          </w:tcPr>
          <w:p w14:paraId="1E46B23B" w14:textId="77777777" w:rsidR="004B03CB" w:rsidRPr="00F13184" w:rsidRDefault="004B03CB" w:rsidP="00816216">
            <w:pPr>
              <w:spacing w:after="0" w:line="240" w:lineRule="auto"/>
              <w:jc w:val="center"/>
              <w:rPr>
                <w:rFonts w:ascii="Times New Roman" w:eastAsia="Times New Roman" w:hAnsi="Times New Roman" w:cs="Times New Roman"/>
                <w:sz w:val="23"/>
                <w:szCs w:val="23"/>
                <w:lang w:eastAsia="hr-HR"/>
              </w:rPr>
            </w:pPr>
            <w:r w:rsidRPr="00F13184">
              <w:rPr>
                <w:rFonts w:ascii="Times New Roman" w:eastAsia="Times New Roman" w:hAnsi="Times New Roman" w:cs="Times New Roman"/>
                <w:sz w:val="23"/>
                <w:szCs w:val="23"/>
                <w:lang w:eastAsia="hr-HR"/>
              </w:rPr>
              <w:t>2570</w:t>
            </w:r>
          </w:p>
        </w:tc>
        <w:tc>
          <w:tcPr>
            <w:tcW w:w="1227" w:type="dxa"/>
            <w:vMerge/>
            <w:shd w:val="clear" w:color="auto" w:fill="auto"/>
          </w:tcPr>
          <w:p w14:paraId="1930532F" w14:textId="77777777" w:rsidR="004B03CB" w:rsidRPr="00F13184" w:rsidRDefault="004B03CB" w:rsidP="00816216">
            <w:pPr>
              <w:spacing w:after="0" w:line="240" w:lineRule="auto"/>
              <w:jc w:val="both"/>
              <w:rPr>
                <w:rFonts w:ascii="Times New Roman" w:eastAsia="Times New Roman" w:hAnsi="Times New Roman" w:cs="Times New Roman"/>
                <w:sz w:val="23"/>
                <w:szCs w:val="23"/>
                <w:lang w:eastAsia="hr-HR"/>
              </w:rPr>
            </w:pPr>
          </w:p>
        </w:tc>
      </w:tr>
      <w:tr w:rsidR="004B03CB" w:rsidRPr="00F13184" w14:paraId="3748F615" w14:textId="77777777" w:rsidTr="00F13184">
        <w:trPr>
          <w:trHeight w:val="552"/>
        </w:trPr>
        <w:tc>
          <w:tcPr>
            <w:tcW w:w="911" w:type="dxa"/>
            <w:vMerge/>
            <w:shd w:val="clear" w:color="auto" w:fill="auto"/>
          </w:tcPr>
          <w:p w14:paraId="41B438A5" w14:textId="77777777" w:rsidR="004B03CB" w:rsidRPr="00F13184" w:rsidRDefault="004B03CB" w:rsidP="00816216">
            <w:pPr>
              <w:spacing w:after="0" w:line="240" w:lineRule="auto"/>
              <w:jc w:val="both"/>
              <w:rPr>
                <w:rFonts w:ascii="Times New Roman" w:eastAsia="Times New Roman" w:hAnsi="Times New Roman" w:cs="Times New Roman"/>
                <w:sz w:val="23"/>
                <w:szCs w:val="23"/>
                <w:lang w:eastAsia="hr-HR"/>
              </w:rPr>
            </w:pPr>
          </w:p>
        </w:tc>
        <w:tc>
          <w:tcPr>
            <w:tcW w:w="2384" w:type="dxa"/>
            <w:vMerge w:val="restart"/>
            <w:shd w:val="clear" w:color="auto" w:fill="auto"/>
            <w:vAlign w:val="center"/>
          </w:tcPr>
          <w:p w14:paraId="39EDDE25" w14:textId="77777777" w:rsidR="004B03CB" w:rsidRPr="00F13184" w:rsidRDefault="004B03CB" w:rsidP="00816216">
            <w:pPr>
              <w:spacing w:after="0" w:line="240" w:lineRule="auto"/>
              <w:jc w:val="center"/>
              <w:rPr>
                <w:rFonts w:ascii="Times New Roman" w:eastAsia="Times New Roman" w:hAnsi="Times New Roman" w:cs="Times New Roman"/>
                <w:b/>
                <w:bCs/>
                <w:sz w:val="23"/>
                <w:szCs w:val="23"/>
                <w:lang w:eastAsia="hr-HR"/>
              </w:rPr>
            </w:pPr>
            <w:r w:rsidRPr="00F13184">
              <w:rPr>
                <w:rFonts w:ascii="Times New Roman" w:eastAsia="Times New Roman" w:hAnsi="Times New Roman" w:cs="Times New Roman"/>
                <w:b/>
                <w:bCs/>
                <w:sz w:val="23"/>
                <w:szCs w:val="23"/>
                <w:lang w:eastAsia="hr-HR"/>
              </w:rPr>
              <w:t>Srednjoškolski program</w:t>
            </w:r>
          </w:p>
          <w:p w14:paraId="757000DD" w14:textId="77777777" w:rsidR="004B03CB" w:rsidRPr="00F13184" w:rsidRDefault="004B03CB" w:rsidP="00816216">
            <w:pPr>
              <w:spacing w:after="0" w:line="240" w:lineRule="auto"/>
              <w:jc w:val="both"/>
              <w:rPr>
                <w:rFonts w:ascii="Times New Roman" w:eastAsia="Times New Roman" w:hAnsi="Times New Roman" w:cs="Times New Roman"/>
                <w:sz w:val="23"/>
                <w:szCs w:val="23"/>
                <w:lang w:eastAsia="hr-HR"/>
              </w:rPr>
            </w:pPr>
            <w:r w:rsidRPr="00F13184">
              <w:rPr>
                <w:rFonts w:ascii="Times New Roman" w:eastAsia="Times New Roman" w:hAnsi="Times New Roman" w:cs="Times New Roman"/>
                <w:sz w:val="23"/>
                <w:szCs w:val="23"/>
                <w:lang w:eastAsia="hr-HR"/>
              </w:rPr>
              <w:t>5858 učenika s TUR</w:t>
            </w:r>
          </w:p>
        </w:tc>
        <w:tc>
          <w:tcPr>
            <w:tcW w:w="3248" w:type="dxa"/>
            <w:shd w:val="clear" w:color="auto" w:fill="auto"/>
            <w:vAlign w:val="center"/>
          </w:tcPr>
          <w:p w14:paraId="64DE0CCD" w14:textId="77777777" w:rsidR="004B03CB" w:rsidRPr="00F13184" w:rsidRDefault="004B03CB" w:rsidP="00816216">
            <w:pPr>
              <w:spacing w:after="0" w:line="240" w:lineRule="auto"/>
              <w:rPr>
                <w:rFonts w:ascii="Times New Roman" w:eastAsia="Times New Roman" w:hAnsi="Times New Roman" w:cs="Times New Roman"/>
                <w:sz w:val="23"/>
                <w:szCs w:val="23"/>
                <w:lang w:eastAsia="hr-HR"/>
              </w:rPr>
            </w:pPr>
            <w:r w:rsidRPr="00F13184">
              <w:rPr>
                <w:rFonts w:ascii="Times New Roman" w:eastAsia="Times New Roman" w:hAnsi="Times New Roman" w:cs="Times New Roman"/>
                <w:sz w:val="23"/>
                <w:szCs w:val="23"/>
                <w:lang w:eastAsia="hr-HR"/>
              </w:rPr>
              <w:t>Redovite srednjoškolske ustanove</w:t>
            </w:r>
          </w:p>
        </w:tc>
        <w:tc>
          <w:tcPr>
            <w:tcW w:w="1292" w:type="dxa"/>
            <w:shd w:val="clear" w:color="auto" w:fill="auto"/>
            <w:vAlign w:val="center"/>
          </w:tcPr>
          <w:p w14:paraId="359E11AE" w14:textId="77777777" w:rsidR="004B03CB" w:rsidRPr="00F13184" w:rsidRDefault="004B03CB" w:rsidP="00816216">
            <w:pPr>
              <w:spacing w:after="0" w:line="240" w:lineRule="auto"/>
              <w:jc w:val="center"/>
              <w:rPr>
                <w:rFonts w:ascii="Times New Roman" w:eastAsia="Times New Roman" w:hAnsi="Times New Roman" w:cs="Times New Roman"/>
                <w:sz w:val="23"/>
                <w:szCs w:val="23"/>
                <w:lang w:eastAsia="hr-HR"/>
              </w:rPr>
            </w:pPr>
            <w:r w:rsidRPr="00F13184">
              <w:rPr>
                <w:rFonts w:ascii="Times New Roman" w:eastAsia="Times New Roman" w:hAnsi="Times New Roman" w:cs="Times New Roman"/>
                <w:sz w:val="23"/>
                <w:szCs w:val="23"/>
                <w:lang w:eastAsia="hr-HR"/>
              </w:rPr>
              <w:t>5377</w:t>
            </w:r>
          </w:p>
        </w:tc>
        <w:tc>
          <w:tcPr>
            <w:tcW w:w="1227" w:type="dxa"/>
            <w:vMerge/>
            <w:shd w:val="clear" w:color="auto" w:fill="auto"/>
          </w:tcPr>
          <w:p w14:paraId="0C1907B2" w14:textId="77777777" w:rsidR="004B03CB" w:rsidRPr="00F13184" w:rsidRDefault="004B03CB" w:rsidP="00816216">
            <w:pPr>
              <w:spacing w:after="0" w:line="240" w:lineRule="auto"/>
              <w:jc w:val="both"/>
              <w:rPr>
                <w:rFonts w:ascii="Times New Roman" w:eastAsia="Times New Roman" w:hAnsi="Times New Roman" w:cs="Times New Roman"/>
                <w:sz w:val="23"/>
                <w:szCs w:val="23"/>
                <w:lang w:eastAsia="hr-HR"/>
              </w:rPr>
            </w:pPr>
          </w:p>
        </w:tc>
      </w:tr>
      <w:tr w:rsidR="004B03CB" w:rsidRPr="00F13184" w14:paraId="5C88D54F" w14:textId="77777777" w:rsidTr="00F13184">
        <w:tc>
          <w:tcPr>
            <w:tcW w:w="911" w:type="dxa"/>
            <w:vMerge/>
            <w:shd w:val="clear" w:color="auto" w:fill="auto"/>
          </w:tcPr>
          <w:p w14:paraId="051542DF" w14:textId="77777777" w:rsidR="004B03CB" w:rsidRPr="00F13184" w:rsidRDefault="004B03CB" w:rsidP="00816216">
            <w:pPr>
              <w:spacing w:after="0" w:line="240" w:lineRule="auto"/>
              <w:jc w:val="both"/>
              <w:rPr>
                <w:rFonts w:ascii="Times New Roman" w:eastAsia="Times New Roman" w:hAnsi="Times New Roman" w:cs="Times New Roman"/>
                <w:sz w:val="23"/>
                <w:szCs w:val="23"/>
                <w:lang w:eastAsia="hr-HR"/>
              </w:rPr>
            </w:pPr>
          </w:p>
        </w:tc>
        <w:tc>
          <w:tcPr>
            <w:tcW w:w="2384" w:type="dxa"/>
            <w:vMerge/>
            <w:shd w:val="clear" w:color="auto" w:fill="auto"/>
            <w:vAlign w:val="center"/>
          </w:tcPr>
          <w:p w14:paraId="1BB3242E" w14:textId="77777777" w:rsidR="004B03CB" w:rsidRPr="00F13184" w:rsidRDefault="004B03CB" w:rsidP="00816216">
            <w:pPr>
              <w:spacing w:after="0" w:line="240" w:lineRule="auto"/>
              <w:jc w:val="both"/>
              <w:rPr>
                <w:rFonts w:ascii="Times New Roman" w:eastAsia="Times New Roman" w:hAnsi="Times New Roman" w:cs="Times New Roman"/>
                <w:sz w:val="23"/>
                <w:szCs w:val="23"/>
                <w:lang w:eastAsia="hr-HR"/>
              </w:rPr>
            </w:pPr>
          </w:p>
        </w:tc>
        <w:tc>
          <w:tcPr>
            <w:tcW w:w="3248" w:type="dxa"/>
            <w:shd w:val="clear" w:color="auto" w:fill="auto"/>
            <w:vAlign w:val="center"/>
          </w:tcPr>
          <w:p w14:paraId="427FB0E8" w14:textId="77777777" w:rsidR="004B03CB" w:rsidRPr="00F13184" w:rsidRDefault="004B03CB" w:rsidP="00816216">
            <w:pPr>
              <w:spacing w:after="0" w:line="240" w:lineRule="auto"/>
              <w:rPr>
                <w:rFonts w:ascii="Times New Roman" w:eastAsia="Times New Roman" w:hAnsi="Times New Roman" w:cs="Times New Roman"/>
                <w:sz w:val="23"/>
                <w:szCs w:val="23"/>
                <w:lang w:eastAsia="hr-HR"/>
              </w:rPr>
            </w:pPr>
            <w:r w:rsidRPr="00F13184">
              <w:rPr>
                <w:rFonts w:ascii="Times New Roman" w:eastAsia="Times New Roman" w:hAnsi="Times New Roman" w:cs="Times New Roman"/>
                <w:sz w:val="23"/>
                <w:szCs w:val="23"/>
                <w:lang w:eastAsia="hr-HR"/>
              </w:rPr>
              <w:t>Centri za odgoj i obrazovanje (pomoćna zanimanja)</w:t>
            </w:r>
          </w:p>
        </w:tc>
        <w:tc>
          <w:tcPr>
            <w:tcW w:w="1292" w:type="dxa"/>
            <w:shd w:val="clear" w:color="auto" w:fill="auto"/>
            <w:vAlign w:val="center"/>
          </w:tcPr>
          <w:p w14:paraId="37B296F6" w14:textId="77777777" w:rsidR="004B03CB" w:rsidRPr="00F13184" w:rsidRDefault="004B03CB" w:rsidP="00816216">
            <w:pPr>
              <w:spacing w:after="0" w:line="240" w:lineRule="auto"/>
              <w:jc w:val="center"/>
              <w:rPr>
                <w:rFonts w:ascii="Times New Roman" w:eastAsia="Times New Roman" w:hAnsi="Times New Roman" w:cs="Times New Roman"/>
                <w:sz w:val="23"/>
                <w:szCs w:val="23"/>
                <w:lang w:eastAsia="hr-HR"/>
              </w:rPr>
            </w:pPr>
            <w:r w:rsidRPr="00F13184">
              <w:rPr>
                <w:rFonts w:ascii="Times New Roman" w:eastAsia="Times New Roman" w:hAnsi="Times New Roman" w:cs="Times New Roman"/>
                <w:sz w:val="23"/>
                <w:szCs w:val="23"/>
                <w:lang w:eastAsia="hr-HR"/>
              </w:rPr>
              <w:t>481</w:t>
            </w:r>
          </w:p>
        </w:tc>
        <w:tc>
          <w:tcPr>
            <w:tcW w:w="1227" w:type="dxa"/>
            <w:vMerge/>
            <w:shd w:val="clear" w:color="auto" w:fill="auto"/>
          </w:tcPr>
          <w:p w14:paraId="59563DAC" w14:textId="77777777" w:rsidR="004B03CB" w:rsidRPr="00F13184" w:rsidRDefault="004B03CB" w:rsidP="00816216">
            <w:pPr>
              <w:spacing w:after="0" w:line="240" w:lineRule="auto"/>
              <w:jc w:val="both"/>
              <w:rPr>
                <w:rFonts w:ascii="Times New Roman" w:eastAsia="Times New Roman" w:hAnsi="Times New Roman" w:cs="Times New Roman"/>
                <w:sz w:val="23"/>
                <w:szCs w:val="23"/>
                <w:lang w:eastAsia="hr-HR"/>
              </w:rPr>
            </w:pPr>
          </w:p>
        </w:tc>
      </w:tr>
      <w:tr w:rsidR="004B03CB" w:rsidRPr="00F13184" w14:paraId="16EB12ED" w14:textId="77777777" w:rsidTr="00F13184">
        <w:trPr>
          <w:trHeight w:val="468"/>
        </w:trPr>
        <w:tc>
          <w:tcPr>
            <w:tcW w:w="911" w:type="dxa"/>
            <w:vMerge w:val="restart"/>
            <w:shd w:val="clear" w:color="auto" w:fill="auto"/>
            <w:vAlign w:val="center"/>
          </w:tcPr>
          <w:p w14:paraId="086C3223" w14:textId="77777777" w:rsidR="004B03CB" w:rsidRPr="00F13184" w:rsidRDefault="004B03CB" w:rsidP="00816216">
            <w:pPr>
              <w:spacing w:after="0" w:line="240" w:lineRule="auto"/>
              <w:jc w:val="center"/>
              <w:rPr>
                <w:rFonts w:ascii="Times New Roman" w:eastAsia="Times New Roman" w:hAnsi="Times New Roman" w:cs="Times New Roman"/>
                <w:sz w:val="23"/>
                <w:szCs w:val="23"/>
                <w:lang w:eastAsia="hr-HR"/>
              </w:rPr>
            </w:pPr>
            <w:r w:rsidRPr="00F13184">
              <w:rPr>
                <w:rFonts w:ascii="Times New Roman" w:eastAsia="Times New Roman" w:hAnsi="Times New Roman" w:cs="Times New Roman"/>
                <w:b/>
                <w:bCs/>
                <w:sz w:val="23"/>
                <w:szCs w:val="23"/>
                <w:lang w:eastAsia="hr-HR"/>
              </w:rPr>
              <w:t>2019</w:t>
            </w:r>
            <w:r w:rsidRPr="00F13184">
              <w:rPr>
                <w:rFonts w:ascii="Times New Roman" w:eastAsia="Times New Roman" w:hAnsi="Times New Roman" w:cs="Times New Roman"/>
                <w:sz w:val="23"/>
                <w:szCs w:val="23"/>
                <w:lang w:eastAsia="hr-HR"/>
              </w:rPr>
              <w:t>.</w:t>
            </w:r>
          </w:p>
        </w:tc>
        <w:tc>
          <w:tcPr>
            <w:tcW w:w="2384" w:type="dxa"/>
            <w:vMerge w:val="restart"/>
            <w:shd w:val="clear" w:color="auto" w:fill="auto"/>
            <w:vAlign w:val="center"/>
          </w:tcPr>
          <w:p w14:paraId="39CC148C" w14:textId="77777777" w:rsidR="004B03CB" w:rsidRPr="00F13184" w:rsidRDefault="004B03CB" w:rsidP="00816216">
            <w:pPr>
              <w:spacing w:after="0" w:line="240" w:lineRule="auto"/>
              <w:jc w:val="center"/>
              <w:rPr>
                <w:rFonts w:ascii="Times New Roman" w:eastAsia="Times New Roman" w:hAnsi="Times New Roman" w:cs="Times New Roman"/>
                <w:b/>
                <w:bCs/>
                <w:sz w:val="23"/>
                <w:szCs w:val="23"/>
                <w:lang w:eastAsia="hr-HR"/>
              </w:rPr>
            </w:pPr>
            <w:r w:rsidRPr="00F13184">
              <w:rPr>
                <w:rFonts w:ascii="Times New Roman" w:eastAsia="Times New Roman" w:hAnsi="Times New Roman" w:cs="Times New Roman"/>
                <w:b/>
                <w:bCs/>
                <w:sz w:val="23"/>
                <w:szCs w:val="23"/>
                <w:lang w:eastAsia="hr-HR"/>
              </w:rPr>
              <w:t>Osnovnoškolski program</w:t>
            </w:r>
          </w:p>
          <w:p w14:paraId="653D22A9" w14:textId="77777777" w:rsidR="004B03CB" w:rsidRPr="00F13184" w:rsidRDefault="004B03CB" w:rsidP="00816216">
            <w:pPr>
              <w:spacing w:after="0" w:line="240" w:lineRule="auto"/>
              <w:jc w:val="both"/>
              <w:rPr>
                <w:rFonts w:ascii="Times New Roman" w:eastAsia="Times New Roman" w:hAnsi="Times New Roman" w:cs="Times New Roman"/>
                <w:sz w:val="23"/>
                <w:szCs w:val="23"/>
                <w:lang w:eastAsia="hr-HR"/>
              </w:rPr>
            </w:pPr>
            <w:r w:rsidRPr="00F13184">
              <w:rPr>
                <w:rFonts w:ascii="Times New Roman" w:eastAsia="Times New Roman" w:hAnsi="Times New Roman" w:cs="Times New Roman"/>
                <w:sz w:val="23"/>
                <w:szCs w:val="23"/>
                <w:lang w:eastAsia="hr-HR"/>
              </w:rPr>
              <w:t>24341 učenika s TUR</w:t>
            </w:r>
          </w:p>
        </w:tc>
        <w:tc>
          <w:tcPr>
            <w:tcW w:w="3248" w:type="dxa"/>
            <w:shd w:val="clear" w:color="auto" w:fill="auto"/>
            <w:vAlign w:val="center"/>
          </w:tcPr>
          <w:p w14:paraId="7567AB7F" w14:textId="77777777" w:rsidR="004B03CB" w:rsidRPr="00F13184" w:rsidRDefault="004B03CB" w:rsidP="00816216">
            <w:pPr>
              <w:spacing w:after="0" w:line="240" w:lineRule="auto"/>
              <w:rPr>
                <w:rFonts w:ascii="Times New Roman" w:eastAsia="Times New Roman" w:hAnsi="Times New Roman" w:cs="Times New Roman"/>
                <w:sz w:val="23"/>
                <w:szCs w:val="23"/>
                <w:lang w:eastAsia="hr-HR"/>
              </w:rPr>
            </w:pPr>
            <w:r w:rsidRPr="00F13184">
              <w:rPr>
                <w:rFonts w:ascii="Times New Roman" w:eastAsia="Times New Roman" w:hAnsi="Times New Roman" w:cs="Times New Roman"/>
                <w:sz w:val="23"/>
                <w:szCs w:val="23"/>
                <w:lang w:eastAsia="hr-HR"/>
              </w:rPr>
              <w:t>Redovite OŠ ustanove</w:t>
            </w:r>
          </w:p>
        </w:tc>
        <w:tc>
          <w:tcPr>
            <w:tcW w:w="1292" w:type="dxa"/>
            <w:shd w:val="clear" w:color="auto" w:fill="auto"/>
            <w:vAlign w:val="center"/>
          </w:tcPr>
          <w:p w14:paraId="252B1BE1" w14:textId="77777777" w:rsidR="004B03CB" w:rsidRPr="00F13184" w:rsidRDefault="004B03CB" w:rsidP="00816216">
            <w:pPr>
              <w:spacing w:after="0" w:line="240" w:lineRule="auto"/>
              <w:jc w:val="center"/>
              <w:rPr>
                <w:rFonts w:ascii="Times New Roman" w:eastAsia="Times New Roman" w:hAnsi="Times New Roman" w:cs="Times New Roman"/>
                <w:sz w:val="23"/>
                <w:szCs w:val="23"/>
                <w:lang w:eastAsia="hr-HR"/>
              </w:rPr>
            </w:pPr>
            <w:r w:rsidRPr="00F13184">
              <w:rPr>
                <w:rFonts w:ascii="Times New Roman" w:eastAsia="Times New Roman" w:hAnsi="Times New Roman" w:cs="Times New Roman"/>
                <w:sz w:val="23"/>
                <w:szCs w:val="23"/>
                <w:lang w:eastAsia="hr-HR"/>
              </w:rPr>
              <w:t>21726</w:t>
            </w:r>
          </w:p>
        </w:tc>
        <w:tc>
          <w:tcPr>
            <w:tcW w:w="1227" w:type="dxa"/>
            <w:vMerge w:val="restart"/>
            <w:shd w:val="clear" w:color="auto" w:fill="auto"/>
            <w:vAlign w:val="center"/>
          </w:tcPr>
          <w:p w14:paraId="01D93A38" w14:textId="77777777" w:rsidR="004B03CB" w:rsidRPr="00F13184" w:rsidRDefault="004B03CB" w:rsidP="00816216">
            <w:pPr>
              <w:spacing w:after="0" w:line="240" w:lineRule="auto"/>
              <w:jc w:val="center"/>
              <w:rPr>
                <w:rFonts w:ascii="Times New Roman" w:eastAsia="Times New Roman" w:hAnsi="Times New Roman" w:cs="Times New Roman"/>
                <w:sz w:val="23"/>
                <w:szCs w:val="23"/>
                <w:lang w:eastAsia="hr-HR"/>
              </w:rPr>
            </w:pPr>
            <w:r w:rsidRPr="00F13184">
              <w:rPr>
                <w:rFonts w:ascii="Times New Roman" w:eastAsia="Times New Roman" w:hAnsi="Times New Roman" w:cs="Times New Roman"/>
                <w:sz w:val="23"/>
                <w:szCs w:val="23"/>
                <w:lang w:eastAsia="hr-HR"/>
              </w:rPr>
              <w:t>ukupno</w:t>
            </w:r>
          </w:p>
          <w:p w14:paraId="059B21A8" w14:textId="77777777" w:rsidR="004B03CB" w:rsidRPr="00F13184" w:rsidRDefault="004B03CB" w:rsidP="00816216">
            <w:pPr>
              <w:spacing w:after="0" w:line="240" w:lineRule="auto"/>
              <w:jc w:val="center"/>
              <w:rPr>
                <w:rFonts w:ascii="Times New Roman" w:eastAsia="Times New Roman" w:hAnsi="Times New Roman" w:cs="Times New Roman"/>
                <w:b/>
                <w:bCs/>
                <w:sz w:val="23"/>
                <w:szCs w:val="23"/>
                <w:lang w:eastAsia="hr-HR"/>
              </w:rPr>
            </w:pPr>
            <w:r w:rsidRPr="00F13184">
              <w:rPr>
                <w:rFonts w:ascii="Times New Roman" w:eastAsia="Times New Roman" w:hAnsi="Times New Roman" w:cs="Times New Roman"/>
                <w:b/>
                <w:bCs/>
                <w:sz w:val="23"/>
                <w:szCs w:val="23"/>
                <w:lang w:eastAsia="hr-HR"/>
              </w:rPr>
              <w:t>29977</w:t>
            </w:r>
          </w:p>
          <w:p w14:paraId="2B66DD10" w14:textId="77777777" w:rsidR="004B03CB" w:rsidRPr="00F13184" w:rsidRDefault="004B03CB" w:rsidP="00816216">
            <w:pPr>
              <w:spacing w:after="0" w:line="240" w:lineRule="auto"/>
              <w:jc w:val="center"/>
              <w:rPr>
                <w:rFonts w:ascii="Times New Roman" w:eastAsia="Times New Roman" w:hAnsi="Times New Roman" w:cs="Times New Roman"/>
                <w:sz w:val="23"/>
                <w:szCs w:val="23"/>
                <w:lang w:eastAsia="hr-HR"/>
              </w:rPr>
            </w:pPr>
            <w:r w:rsidRPr="00F13184">
              <w:rPr>
                <w:rFonts w:ascii="Times New Roman" w:eastAsia="Times New Roman" w:hAnsi="Times New Roman" w:cs="Times New Roman"/>
                <w:sz w:val="23"/>
                <w:szCs w:val="23"/>
                <w:lang w:eastAsia="hr-HR"/>
              </w:rPr>
              <w:t>učenika s</w:t>
            </w:r>
          </w:p>
          <w:p w14:paraId="243B6DAC" w14:textId="77777777" w:rsidR="004B03CB" w:rsidRPr="00F13184" w:rsidRDefault="004B03CB" w:rsidP="00816216">
            <w:pPr>
              <w:spacing w:after="0" w:line="240" w:lineRule="auto"/>
              <w:jc w:val="center"/>
              <w:rPr>
                <w:rFonts w:ascii="Times New Roman" w:eastAsia="Times New Roman" w:hAnsi="Times New Roman" w:cs="Times New Roman"/>
                <w:sz w:val="23"/>
                <w:szCs w:val="23"/>
                <w:lang w:eastAsia="hr-HR"/>
              </w:rPr>
            </w:pPr>
            <w:r w:rsidRPr="00F13184">
              <w:rPr>
                <w:rFonts w:ascii="Times New Roman" w:eastAsia="Times New Roman" w:hAnsi="Times New Roman" w:cs="Times New Roman"/>
                <w:sz w:val="23"/>
                <w:szCs w:val="23"/>
                <w:lang w:eastAsia="hr-HR"/>
              </w:rPr>
              <w:t>TUR</w:t>
            </w:r>
          </w:p>
        </w:tc>
      </w:tr>
      <w:tr w:rsidR="004B03CB" w:rsidRPr="00F13184" w14:paraId="4E198A4B" w14:textId="77777777" w:rsidTr="00F13184">
        <w:trPr>
          <w:trHeight w:val="561"/>
        </w:trPr>
        <w:tc>
          <w:tcPr>
            <w:tcW w:w="911" w:type="dxa"/>
            <w:vMerge/>
            <w:shd w:val="clear" w:color="auto" w:fill="auto"/>
          </w:tcPr>
          <w:p w14:paraId="5341C91A" w14:textId="77777777" w:rsidR="004B03CB" w:rsidRPr="00F13184" w:rsidRDefault="004B03CB" w:rsidP="00816216">
            <w:pPr>
              <w:spacing w:after="0" w:line="240" w:lineRule="auto"/>
              <w:jc w:val="both"/>
              <w:rPr>
                <w:rFonts w:ascii="Times New Roman" w:eastAsia="Times New Roman" w:hAnsi="Times New Roman" w:cs="Times New Roman"/>
                <w:sz w:val="23"/>
                <w:szCs w:val="23"/>
                <w:lang w:eastAsia="hr-HR"/>
              </w:rPr>
            </w:pPr>
          </w:p>
        </w:tc>
        <w:tc>
          <w:tcPr>
            <w:tcW w:w="2384" w:type="dxa"/>
            <w:vMerge/>
            <w:shd w:val="clear" w:color="auto" w:fill="auto"/>
            <w:vAlign w:val="center"/>
          </w:tcPr>
          <w:p w14:paraId="1DCCD914" w14:textId="77777777" w:rsidR="004B03CB" w:rsidRPr="00F13184" w:rsidRDefault="004B03CB" w:rsidP="00816216">
            <w:pPr>
              <w:spacing w:after="0" w:line="240" w:lineRule="auto"/>
              <w:jc w:val="both"/>
              <w:rPr>
                <w:rFonts w:ascii="Times New Roman" w:eastAsia="Times New Roman" w:hAnsi="Times New Roman" w:cs="Times New Roman"/>
                <w:sz w:val="23"/>
                <w:szCs w:val="23"/>
                <w:lang w:eastAsia="hr-HR"/>
              </w:rPr>
            </w:pPr>
          </w:p>
        </w:tc>
        <w:tc>
          <w:tcPr>
            <w:tcW w:w="3248" w:type="dxa"/>
            <w:shd w:val="clear" w:color="auto" w:fill="auto"/>
            <w:vAlign w:val="center"/>
          </w:tcPr>
          <w:p w14:paraId="56B0A257" w14:textId="77777777" w:rsidR="004B03CB" w:rsidRPr="00F13184" w:rsidRDefault="004B03CB" w:rsidP="00816216">
            <w:pPr>
              <w:spacing w:after="0" w:line="240" w:lineRule="auto"/>
              <w:rPr>
                <w:rFonts w:ascii="Times New Roman" w:eastAsia="Times New Roman" w:hAnsi="Times New Roman" w:cs="Times New Roman"/>
                <w:sz w:val="23"/>
                <w:szCs w:val="23"/>
                <w:lang w:eastAsia="hr-HR"/>
              </w:rPr>
            </w:pPr>
            <w:r w:rsidRPr="00F13184">
              <w:rPr>
                <w:rFonts w:ascii="Times New Roman" w:eastAsia="Times New Roman" w:hAnsi="Times New Roman" w:cs="Times New Roman"/>
                <w:sz w:val="23"/>
                <w:szCs w:val="23"/>
                <w:lang w:eastAsia="hr-HR"/>
              </w:rPr>
              <w:t>Centri za odgoj i obrazovanje</w:t>
            </w:r>
          </w:p>
        </w:tc>
        <w:tc>
          <w:tcPr>
            <w:tcW w:w="1292" w:type="dxa"/>
            <w:shd w:val="clear" w:color="auto" w:fill="auto"/>
            <w:vAlign w:val="center"/>
          </w:tcPr>
          <w:p w14:paraId="5150C7C9" w14:textId="77777777" w:rsidR="004B03CB" w:rsidRPr="00F13184" w:rsidRDefault="004B03CB" w:rsidP="00816216">
            <w:pPr>
              <w:spacing w:after="0" w:line="240" w:lineRule="auto"/>
              <w:jc w:val="center"/>
              <w:rPr>
                <w:rFonts w:ascii="Times New Roman" w:eastAsia="Times New Roman" w:hAnsi="Times New Roman" w:cs="Times New Roman"/>
                <w:sz w:val="23"/>
                <w:szCs w:val="23"/>
                <w:lang w:eastAsia="hr-HR"/>
              </w:rPr>
            </w:pPr>
            <w:r w:rsidRPr="00F13184">
              <w:rPr>
                <w:rFonts w:ascii="Times New Roman" w:eastAsia="Times New Roman" w:hAnsi="Times New Roman" w:cs="Times New Roman"/>
                <w:sz w:val="23"/>
                <w:szCs w:val="23"/>
                <w:lang w:eastAsia="hr-HR"/>
              </w:rPr>
              <w:t>2615</w:t>
            </w:r>
          </w:p>
        </w:tc>
        <w:tc>
          <w:tcPr>
            <w:tcW w:w="1227" w:type="dxa"/>
            <w:vMerge/>
            <w:shd w:val="clear" w:color="auto" w:fill="auto"/>
          </w:tcPr>
          <w:p w14:paraId="230D3E3E" w14:textId="77777777" w:rsidR="004B03CB" w:rsidRPr="00F13184" w:rsidRDefault="004B03CB" w:rsidP="00816216">
            <w:pPr>
              <w:spacing w:after="0" w:line="240" w:lineRule="auto"/>
              <w:jc w:val="both"/>
              <w:rPr>
                <w:rFonts w:ascii="Times New Roman" w:eastAsia="Times New Roman" w:hAnsi="Times New Roman" w:cs="Times New Roman"/>
                <w:sz w:val="23"/>
                <w:szCs w:val="23"/>
                <w:lang w:eastAsia="hr-HR"/>
              </w:rPr>
            </w:pPr>
          </w:p>
        </w:tc>
      </w:tr>
      <w:tr w:rsidR="004B03CB" w:rsidRPr="00F13184" w14:paraId="42E8BEF2" w14:textId="77777777" w:rsidTr="00F13184">
        <w:trPr>
          <w:trHeight w:val="569"/>
        </w:trPr>
        <w:tc>
          <w:tcPr>
            <w:tcW w:w="911" w:type="dxa"/>
            <w:vMerge/>
            <w:shd w:val="clear" w:color="auto" w:fill="auto"/>
          </w:tcPr>
          <w:p w14:paraId="44DB3ACF" w14:textId="77777777" w:rsidR="004B03CB" w:rsidRPr="00F13184" w:rsidRDefault="004B03CB" w:rsidP="00816216">
            <w:pPr>
              <w:spacing w:after="0" w:line="240" w:lineRule="auto"/>
              <w:jc w:val="both"/>
              <w:rPr>
                <w:rFonts w:ascii="Times New Roman" w:eastAsia="Times New Roman" w:hAnsi="Times New Roman" w:cs="Times New Roman"/>
                <w:sz w:val="23"/>
                <w:szCs w:val="23"/>
                <w:lang w:eastAsia="hr-HR"/>
              </w:rPr>
            </w:pPr>
          </w:p>
        </w:tc>
        <w:tc>
          <w:tcPr>
            <w:tcW w:w="2384" w:type="dxa"/>
            <w:vMerge w:val="restart"/>
            <w:shd w:val="clear" w:color="auto" w:fill="auto"/>
            <w:vAlign w:val="center"/>
          </w:tcPr>
          <w:p w14:paraId="296BEFB1" w14:textId="77777777" w:rsidR="004B03CB" w:rsidRPr="00F13184" w:rsidRDefault="004B03CB" w:rsidP="00816216">
            <w:pPr>
              <w:spacing w:after="0" w:line="240" w:lineRule="auto"/>
              <w:jc w:val="center"/>
              <w:rPr>
                <w:rFonts w:ascii="Times New Roman" w:eastAsia="Times New Roman" w:hAnsi="Times New Roman" w:cs="Times New Roman"/>
                <w:b/>
                <w:bCs/>
                <w:sz w:val="23"/>
                <w:szCs w:val="23"/>
                <w:lang w:eastAsia="hr-HR"/>
              </w:rPr>
            </w:pPr>
            <w:r w:rsidRPr="00F13184">
              <w:rPr>
                <w:rFonts w:ascii="Times New Roman" w:eastAsia="Times New Roman" w:hAnsi="Times New Roman" w:cs="Times New Roman"/>
                <w:b/>
                <w:bCs/>
                <w:sz w:val="23"/>
                <w:szCs w:val="23"/>
                <w:lang w:eastAsia="hr-HR"/>
              </w:rPr>
              <w:t>Srednjoškolski program</w:t>
            </w:r>
          </w:p>
          <w:p w14:paraId="2CD720A2" w14:textId="77777777" w:rsidR="004B03CB" w:rsidRPr="00F13184" w:rsidRDefault="004B03CB" w:rsidP="00816216">
            <w:pPr>
              <w:spacing w:after="0" w:line="240" w:lineRule="auto"/>
              <w:jc w:val="both"/>
              <w:rPr>
                <w:rFonts w:ascii="Times New Roman" w:eastAsia="Times New Roman" w:hAnsi="Times New Roman" w:cs="Times New Roman"/>
                <w:sz w:val="23"/>
                <w:szCs w:val="23"/>
                <w:lang w:eastAsia="hr-HR"/>
              </w:rPr>
            </w:pPr>
            <w:r w:rsidRPr="00F13184">
              <w:rPr>
                <w:rFonts w:ascii="Times New Roman" w:eastAsia="Times New Roman" w:hAnsi="Times New Roman" w:cs="Times New Roman"/>
                <w:sz w:val="23"/>
                <w:szCs w:val="23"/>
                <w:lang w:eastAsia="hr-HR"/>
              </w:rPr>
              <w:t>5636 učenika s TUR</w:t>
            </w:r>
          </w:p>
        </w:tc>
        <w:tc>
          <w:tcPr>
            <w:tcW w:w="3248" w:type="dxa"/>
            <w:shd w:val="clear" w:color="auto" w:fill="auto"/>
            <w:vAlign w:val="center"/>
          </w:tcPr>
          <w:p w14:paraId="540BBDB1" w14:textId="77777777" w:rsidR="004B03CB" w:rsidRPr="00F13184" w:rsidRDefault="004B03CB" w:rsidP="00816216">
            <w:pPr>
              <w:spacing w:after="0" w:line="240" w:lineRule="auto"/>
              <w:rPr>
                <w:rFonts w:ascii="Times New Roman" w:eastAsia="Times New Roman" w:hAnsi="Times New Roman" w:cs="Times New Roman"/>
                <w:sz w:val="23"/>
                <w:szCs w:val="23"/>
                <w:lang w:eastAsia="hr-HR"/>
              </w:rPr>
            </w:pPr>
            <w:r w:rsidRPr="00F13184">
              <w:rPr>
                <w:rFonts w:ascii="Times New Roman" w:eastAsia="Times New Roman" w:hAnsi="Times New Roman" w:cs="Times New Roman"/>
                <w:sz w:val="23"/>
                <w:szCs w:val="23"/>
                <w:lang w:eastAsia="hr-HR"/>
              </w:rPr>
              <w:t>Redovite srednjoškolske ustanove</w:t>
            </w:r>
          </w:p>
        </w:tc>
        <w:tc>
          <w:tcPr>
            <w:tcW w:w="1292" w:type="dxa"/>
            <w:shd w:val="clear" w:color="auto" w:fill="auto"/>
            <w:vAlign w:val="center"/>
          </w:tcPr>
          <w:p w14:paraId="61791D25" w14:textId="77777777" w:rsidR="004B03CB" w:rsidRPr="00F13184" w:rsidRDefault="004B03CB" w:rsidP="00816216">
            <w:pPr>
              <w:spacing w:after="0" w:line="240" w:lineRule="auto"/>
              <w:jc w:val="center"/>
              <w:rPr>
                <w:rFonts w:ascii="Times New Roman" w:eastAsia="Times New Roman" w:hAnsi="Times New Roman" w:cs="Times New Roman"/>
                <w:sz w:val="23"/>
                <w:szCs w:val="23"/>
                <w:lang w:eastAsia="hr-HR"/>
              </w:rPr>
            </w:pPr>
            <w:r w:rsidRPr="00F13184">
              <w:rPr>
                <w:rFonts w:ascii="Times New Roman" w:eastAsia="Times New Roman" w:hAnsi="Times New Roman" w:cs="Times New Roman"/>
                <w:sz w:val="23"/>
                <w:szCs w:val="23"/>
                <w:lang w:eastAsia="hr-HR"/>
              </w:rPr>
              <w:t>5267</w:t>
            </w:r>
          </w:p>
        </w:tc>
        <w:tc>
          <w:tcPr>
            <w:tcW w:w="1227" w:type="dxa"/>
            <w:vMerge/>
            <w:shd w:val="clear" w:color="auto" w:fill="auto"/>
          </w:tcPr>
          <w:p w14:paraId="7E5FF937" w14:textId="77777777" w:rsidR="004B03CB" w:rsidRPr="00F13184" w:rsidRDefault="004B03CB" w:rsidP="00816216">
            <w:pPr>
              <w:spacing w:after="0" w:line="240" w:lineRule="auto"/>
              <w:jc w:val="both"/>
              <w:rPr>
                <w:rFonts w:ascii="Times New Roman" w:eastAsia="Times New Roman" w:hAnsi="Times New Roman" w:cs="Times New Roman"/>
                <w:sz w:val="23"/>
                <w:szCs w:val="23"/>
                <w:lang w:eastAsia="hr-HR"/>
              </w:rPr>
            </w:pPr>
          </w:p>
        </w:tc>
      </w:tr>
      <w:tr w:rsidR="004B03CB" w:rsidRPr="00F13184" w14:paraId="53E0307D" w14:textId="77777777" w:rsidTr="00F13184">
        <w:trPr>
          <w:trHeight w:val="548"/>
        </w:trPr>
        <w:tc>
          <w:tcPr>
            <w:tcW w:w="911" w:type="dxa"/>
            <w:vMerge/>
            <w:shd w:val="clear" w:color="auto" w:fill="auto"/>
          </w:tcPr>
          <w:p w14:paraId="75F22F70" w14:textId="77777777" w:rsidR="004B03CB" w:rsidRPr="00F13184" w:rsidRDefault="004B03CB" w:rsidP="00816216">
            <w:pPr>
              <w:spacing w:after="0" w:line="240" w:lineRule="auto"/>
              <w:jc w:val="both"/>
              <w:rPr>
                <w:rFonts w:ascii="Times New Roman" w:eastAsia="Times New Roman" w:hAnsi="Times New Roman" w:cs="Times New Roman"/>
                <w:sz w:val="23"/>
                <w:szCs w:val="23"/>
                <w:lang w:eastAsia="hr-HR"/>
              </w:rPr>
            </w:pPr>
          </w:p>
        </w:tc>
        <w:tc>
          <w:tcPr>
            <w:tcW w:w="2384" w:type="dxa"/>
            <w:vMerge/>
            <w:shd w:val="clear" w:color="auto" w:fill="auto"/>
            <w:vAlign w:val="center"/>
          </w:tcPr>
          <w:p w14:paraId="6712E09C" w14:textId="77777777" w:rsidR="004B03CB" w:rsidRPr="00F13184" w:rsidRDefault="004B03CB" w:rsidP="00816216">
            <w:pPr>
              <w:spacing w:after="0" w:line="240" w:lineRule="auto"/>
              <w:jc w:val="both"/>
              <w:rPr>
                <w:rFonts w:ascii="Times New Roman" w:eastAsia="Times New Roman" w:hAnsi="Times New Roman" w:cs="Times New Roman"/>
                <w:sz w:val="23"/>
                <w:szCs w:val="23"/>
                <w:lang w:eastAsia="hr-HR"/>
              </w:rPr>
            </w:pPr>
          </w:p>
        </w:tc>
        <w:tc>
          <w:tcPr>
            <w:tcW w:w="3248" w:type="dxa"/>
            <w:shd w:val="clear" w:color="auto" w:fill="auto"/>
            <w:vAlign w:val="center"/>
          </w:tcPr>
          <w:p w14:paraId="5A3FA380" w14:textId="77777777" w:rsidR="004B03CB" w:rsidRPr="00F13184" w:rsidRDefault="004B03CB" w:rsidP="00816216">
            <w:pPr>
              <w:spacing w:after="0" w:line="240" w:lineRule="auto"/>
              <w:rPr>
                <w:rFonts w:ascii="Times New Roman" w:eastAsia="Times New Roman" w:hAnsi="Times New Roman" w:cs="Times New Roman"/>
                <w:sz w:val="23"/>
                <w:szCs w:val="23"/>
                <w:lang w:eastAsia="hr-HR"/>
              </w:rPr>
            </w:pPr>
            <w:r w:rsidRPr="00F13184">
              <w:rPr>
                <w:rFonts w:ascii="Times New Roman" w:eastAsia="Times New Roman" w:hAnsi="Times New Roman" w:cs="Times New Roman"/>
                <w:sz w:val="23"/>
                <w:szCs w:val="23"/>
                <w:lang w:eastAsia="hr-HR"/>
              </w:rPr>
              <w:t>Centri za odgoj i obrazovanje (pomoćna zanimanja)</w:t>
            </w:r>
          </w:p>
        </w:tc>
        <w:tc>
          <w:tcPr>
            <w:tcW w:w="1292" w:type="dxa"/>
            <w:shd w:val="clear" w:color="auto" w:fill="auto"/>
            <w:vAlign w:val="center"/>
          </w:tcPr>
          <w:p w14:paraId="567055BE" w14:textId="77777777" w:rsidR="004B03CB" w:rsidRPr="00F13184" w:rsidRDefault="004B03CB" w:rsidP="00816216">
            <w:pPr>
              <w:spacing w:after="0" w:line="240" w:lineRule="auto"/>
              <w:jc w:val="center"/>
              <w:rPr>
                <w:rFonts w:ascii="Times New Roman" w:eastAsia="Times New Roman" w:hAnsi="Times New Roman" w:cs="Times New Roman"/>
                <w:sz w:val="23"/>
                <w:szCs w:val="23"/>
                <w:lang w:eastAsia="hr-HR"/>
              </w:rPr>
            </w:pPr>
            <w:r w:rsidRPr="00F13184">
              <w:rPr>
                <w:rFonts w:ascii="Times New Roman" w:eastAsia="Times New Roman" w:hAnsi="Times New Roman" w:cs="Times New Roman"/>
                <w:sz w:val="23"/>
                <w:szCs w:val="23"/>
                <w:lang w:eastAsia="hr-HR"/>
              </w:rPr>
              <w:t>369</w:t>
            </w:r>
          </w:p>
        </w:tc>
        <w:tc>
          <w:tcPr>
            <w:tcW w:w="1227" w:type="dxa"/>
            <w:vMerge/>
            <w:shd w:val="clear" w:color="auto" w:fill="auto"/>
          </w:tcPr>
          <w:p w14:paraId="2E96379C" w14:textId="77777777" w:rsidR="004B03CB" w:rsidRPr="00F13184" w:rsidRDefault="004B03CB" w:rsidP="00816216">
            <w:pPr>
              <w:spacing w:after="0" w:line="240" w:lineRule="auto"/>
              <w:jc w:val="both"/>
              <w:rPr>
                <w:rFonts w:ascii="Times New Roman" w:eastAsia="Times New Roman" w:hAnsi="Times New Roman" w:cs="Times New Roman"/>
                <w:sz w:val="23"/>
                <w:szCs w:val="23"/>
                <w:lang w:eastAsia="hr-HR"/>
              </w:rPr>
            </w:pPr>
          </w:p>
        </w:tc>
      </w:tr>
      <w:tr w:rsidR="004B03CB" w:rsidRPr="00F13184" w14:paraId="422E9599" w14:textId="77777777" w:rsidTr="00F13184">
        <w:trPr>
          <w:trHeight w:val="570"/>
        </w:trPr>
        <w:tc>
          <w:tcPr>
            <w:tcW w:w="911" w:type="dxa"/>
            <w:vMerge w:val="restart"/>
            <w:shd w:val="clear" w:color="auto" w:fill="auto"/>
            <w:vAlign w:val="center"/>
          </w:tcPr>
          <w:p w14:paraId="5AB11CED" w14:textId="77777777" w:rsidR="004B03CB" w:rsidRPr="00F13184" w:rsidRDefault="004B03CB" w:rsidP="00816216">
            <w:pPr>
              <w:spacing w:after="0" w:line="240" w:lineRule="auto"/>
              <w:jc w:val="center"/>
              <w:rPr>
                <w:rFonts w:ascii="Times New Roman" w:eastAsia="Times New Roman" w:hAnsi="Times New Roman" w:cs="Times New Roman"/>
                <w:b/>
                <w:bCs/>
                <w:sz w:val="23"/>
                <w:szCs w:val="23"/>
                <w:lang w:eastAsia="hr-HR"/>
              </w:rPr>
            </w:pPr>
            <w:r w:rsidRPr="00F13184">
              <w:rPr>
                <w:rFonts w:ascii="Times New Roman" w:eastAsia="Times New Roman" w:hAnsi="Times New Roman" w:cs="Times New Roman"/>
                <w:b/>
                <w:bCs/>
                <w:sz w:val="23"/>
                <w:szCs w:val="23"/>
                <w:lang w:eastAsia="hr-HR"/>
              </w:rPr>
              <w:t>2020.</w:t>
            </w:r>
          </w:p>
        </w:tc>
        <w:tc>
          <w:tcPr>
            <w:tcW w:w="2384" w:type="dxa"/>
            <w:vMerge w:val="restart"/>
            <w:shd w:val="clear" w:color="auto" w:fill="auto"/>
            <w:vAlign w:val="center"/>
          </w:tcPr>
          <w:p w14:paraId="57AF910E" w14:textId="77777777" w:rsidR="004B03CB" w:rsidRPr="00F13184" w:rsidRDefault="004B03CB" w:rsidP="00816216">
            <w:pPr>
              <w:spacing w:after="0" w:line="240" w:lineRule="auto"/>
              <w:jc w:val="center"/>
              <w:rPr>
                <w:rFonts w:ascii="Times New Roman" w:eastAsia="Times New Roman" w:hAnsi="Times New Roman" w:cs="Times New Roman"/>
                <w:b/>
                <w:bCs/>
                <w:sz w:val="23"/>
                <w:szCs w:val="23"/>
                <w:lang w:eastAsia="hr-HR"/>
              </w:rPr>
            </w:pPr>
            <w:r w:rsidRPr="00F13184">
              <w:rPr>
                <w:rFonts w:ascii="Times New Roman" w:eastAsia="Times New Roman" w:hAnsi="Times New Roman" w:cs="Times New Roman"/>
                <w:b/>
                <w:bCs/>
                <w:sz w:val="23"/>
                <w:szCs w:val="23"/>
                <w:lang w:eastAsia="hr-HR"/>
              </w:rPr>
              <w:t>Osnovnoškolski program</w:t>
            </w:r>
          </w:p>
          <w:p w14:paraId="055CA194" w14:textId="77777777" w:rsidR="004B03CB" w:rsidRPr="00F13184" w:rsidRDefault="004B03CB" w:rsidP="00816216">
            <w:pPr>
              <w:spacing w:after="0" w:line="240" w:lineRule="auto"/>
              <w:jc w:val="both"/>
              <w:rPr>
                <w:rFonts w:ascii="Times New Roman" w:eastAsia="Times New Roman" w:hAnsi="Times New Roman" w:cs="Times New Roman"/>
                <w:sz w:val="23"/>
                <w:szCs w:val="23"/>
                <w:lang w:eastAsia="hr-HR"/>
              </w:rPr>
            </w:pPr>
            <w:r w:rsidRPr="00F13184">
              <w:rPr>
                <w:rFonts w:ascii="Times New Roman" w:eastAsia="Times New Roman" w:hAnsi="Times New Roman" w:cs="Times New Roman"/>
                <w:sz w:val="23"/>
                <w:szCs w:val="23"/>
                <w:lang w:eastAsia="hr-HR"/>
              </w:rPr>
              <w:t>22035 učenika s TUR</w:t>
            </w:r>
          </w:p>
        </w:tc>
        <w:tc>
          <w:tcPr>
            <w:tcW w:w="3248" w:type="dxa"/>
            <w:shd w:val="clear" w:color="auto" w:fill="auto"/>
            <w:vAlign w:val="center"/>
          </w:tcPr>
          <w:p w14:paraId="4DAF55EC" w14:textId="77777777" w:rsidR="004B03CB" w:rsidRPr="00F13184" w:rsidRDefault="004B03CB" w:rsidP="00816216">
            <w:pPr>
              <w:spacing w:after="0" w:line="240" w:lineRule="auto"/>
              <w:rPr>
                <w:rFonts w:ascii="Times New Roman" w:eastAsia="Times New Roman" w:hAnsi="Times New Roman" w:cs="Times New Roman"/>
                <w:sz w:val="23"/>
                <w:szCs w:val="23"/>
                <w:lang w:eastAsia="hr-HR"/>
              </w:rPr>
            </w:pPr>
            <w:r w:rsidRPr="00F13184">
              <w:rPr>
                <w:rFonts w:ascii="Times New Roman" w:eastAsia="Times New Roman" w:hAnsi="Times New Roman" w:cs="Times New Roman"/>
                <w:sz w:val="23"/>
                <w:szCs w:val="23"/>
                <w:lang w:eastAsia="hr-HR"/>
              </w:rPr>
              <w:t>Redovite OŠ ustanove</w:t>
            </w:r>
          </w:p>
        </w:tc>
        <w:tc>
          <w:tcPr>
            <w:tcW w:w="1292" w:type="dxa"/>
            <w:shd w:val="clear" w:color="auto" w:fill="auto"/>
            <w:vAlign w:val="center"/>
          </w:tcPr>
          <w:p w14:paraId="5A80308D" w14:textId="77777777" w:rsidR="004B03CB" w:rsidRPr="00F13184" w:rsidRDefault="004B03CB" w:rsidP="00816216">
            <w:pPr>
              <w:spacing w:after="0" w:line="240" w:lineRule="auto"/>
              <w:jc w:val="center"/>
              <w:rPr>
                <w:rFonts w:ascii="Times New Roman" w:eastAsia="Times New Roman" w:hAnsi="Times New Roman" w:cs="Times New Roman"/>
                <w:sz w:val="23"/>
                <w:szCs w:val="23"/>
                <w:lang w:eastAsia="hr-HR"/>
              </w:rPr>
            </w:pPr>
            <w:r w:rsidRPr="00F13184">
              <w:rPr>
                <w:rFonts w:ascii="Times New Roman" w:eastAsia="Times New Roman" w:hAnsi="Times New Roman" w:cs="Times New Roman"/>
                <w:sz w:val="23"/>
                <w:szCs w:val="23"/>
                <w:lang w:eastAsia="hr-HR"/>
              </w:rPr>
              <w:t>19411</w:t>
            </w:r>
          </w:p>
        </w:tc>
        <w:tc>
          <w:tcPr>
            <w:tcW w:w="1227" w:type="dxa"/>
            <w:vMerge w:val="restart"/>
            <w:shd w:val="clear" w:color="auto" w:fill="auto"/>
            <w:vAlign w:val="center"/>
          </w:tcPr>
          <w:p w14:paraId="02D367B2" w14:textId="77777777" w:rsidR="004B03CB" w:rsidRPr="00F13184" w:rsidRDefault="004B03CB" w:rsidP="00816216">
            <w:pPr>
              <w:spacing w:after="0" w:line="240" w:lineRule="auto"/>
              <w:jc w:val="center"/>
              <w:rPr>
                <w:rFonts w:ascii="Times New Roman" w:eastAsia="Times New Roman" w:hAnsi="Times New Roman" w:cs="Times New Roman"/>
                <w:sz w:val="23"/>
                <w:szCs w:val="23"/>
                <w:lang w:eastAsia="hr-HR"/>
              </w:rPr>
            </w:pPr>
            <w:r w:rsidRPr="00F13184">
              <w:rPr>
                <w:rFonts w:ascii="Times New Roman" w:eastAsia="Times New Roman" w:hAnsi="Times New Roman" w:cs="Times New Roman"/>
                <w:sz w:val="23"/>
                <w:szCs w:val="23"/>
                <w:lang w:eastAsia="hr-HR"/>
              </w:rPr>
              <w:t>ukupno</w:t>
            </w:r>
          </w:p>
          <w:p w14:paraId="033DBC4F" w14:textId="77777777" w:rsidR="004B03CB" w:rsidRPr="00F13184" w:rsidRDefault="004B03CB" w:rsidP="00816216">
            <w:pPr>
              <w:spacing w:after="0" w:line="240" w:lineRule="auto"/>
              <w:jc w:val="center"/>
              <w:rPr>
                <w:rFonts w:ascii="Times New Roman" w:eastAsia="Times New Roman" w:hAnsi="Times New Roman" w:cs="Times New Roman"/>
                <w:b/>
                <w:bCs/>
                <w:sz w:val="23"/>
                <w:szCs w:val="23"/>
                <w:lang w:eastAsia="hr-HR"/>
              </w:rPr>
            </w:pPr>
            <w:r w:rsidRPr="00F13184">
              <w:rPr>
                <w:rFonts w:ascii="Times New Roman" w:eastAsia="Times New Roman" w:hAnsi="Times New Roman" w:cs="Times New Roman"/>
                <w:b/>
                <w:bCs/>
                <w:sz w:val="23"/>
                <w:szCs w:val="23"/>
                <w:lang w:eastAsia="hr-HR"/>
              </w:rPr>
              <w:t>27382</w:t>
            </w:r>
          </w:p>
          <w:p w14:paraId="726DCF5B" w14:textId="77777777" w:rsidR="004B03CB" w:rsidRPr="00F13184" w:rsidRDefault="004B03CB" w:rsidP="00816216">
            <w:pPr>
              <w:spacing w:after="0" w:line="240" w:lineRule="auto"/>
              <w:jc w:val="center"/>
              <w:rPr>
                <w:rFonts w:ascii="Times New Roman" w:eastAsia="Times New Roman" w:hAnsi="Times New Roman" w:cs="Times New Roman"/>
                <w:sz w:val="23"/>
                <w:szCs w:val="23"/>
                <w:lang w:eastAsia="hr-HR"/>
              </w:rPr>
            </w:pPr>
            <w:r w:rsidRPr="00F13184">
              <w:rPr>
                <w:rFonts w:ascii="Times New Roman" w:eastAsia="Times New Roman" w:hAnsi="Times New Roman" w:cs="Times New Roman"/>
                <w:sz w:val="23"/>
                <w:szCs w:val="23"/>
                <w:lang w:eastAsia="hr-HR"/>
              </w:rPr>
              <w:t>učenika s</w:t>
            </w:r>
          </w:p>
          <w:p w14:paraId="79B8D0C9" w14:textId="77777777" w:rsidR="004B03CB" w:rsidRPr="00F13184" w:rsidRDefault="004B03CB" w:rsidP="00816216">
            <w:pPr>
              <w:spacing w:after="0" w:line="240" w:lineRule="auto"/>
              <w:jc w:val="center"/>
              <w:rPr>
                <w:rFonts w:ascii="Times New Roman" w:eastAsia="Times New Roman" w:hAnsi="Times New Roman" w:cs="Times New Roman"/>
                <w:sz w:val="23"/>
                <w:szCs w:val="23"/>
                <w:lang w:eastAsia="hr-HR"/>
              </w:rPr>
            </w:pPr>
            <w:r w:rsidRPr="00F13184">
              <w:rPr>
                <w:rFonts w:ascii="Times New Roman" w:eastAsia="Times New Roman" w:hAnsi="Times New Roman" w:cs="Times New Roman"/>
                <w:sz w:val="23"/>
                <w:szCs w:val="23"/>
                <w:lang w:eastAsia="hr-HR"/>
              </w:rPr>
              <w:t>TUR</w:t>
            </w:r>
          </w:p>
        </w:tc>
      </w:tr>
      <w:tr w:rsidR="004B03CB" w:rsidRPr="00F13184" w14:paraId="600B02F8" w14:textId="77777777" w:rsidTr="00F13184">
        <w:trPr>
          <w:trHeight w:val="588"/>
        </w:trPr>
        <w:tc>
          <w:tcPr>
            <w:tcW w:w="911" w:type="dxa"/>
            <w:vMerge/>
            <w:shd w:val="clear" w:color="auto" w:fill="auto"/>
          </w:tcPr>
          <w:p w14:paraId="102DDBB0" w14:textId="77777777" w:rsidR="004B03CB" w:rsidRPr="00F13184" w:rsidRDefault="004B03CB" w:rsidP="00816216">
            <w:pPr>
              <w:spacing w:after="0" w:line="240" w:lineRule="auto"/>
              <w:jc w:val="both"/>
              <w:rPr>
                <w:rFonts w:ascii="Times New Roman" w:eastAsia="Times New Roman" w:hAnsi="Times New Roman" w:cs="Times New Roman"/>
                <w:sz w:val="23"/>
                <w:szCs w:val="23"/>
                <w:lang w:eastAsia="hr-HR"/>
              </w:rPr>
            </w:pPr>
          </w:p>
        </w:tc>
        <w:tc>
          <w:tcPr>
            <w:tcW w:w="2384" w:type="dxa"/>
            <w:vMerge/>
            <w:shd w:val="clear" w:color="auto" w:fill="auto"/>
            <w:vAlign w:val="center"/>
          </w:tcPr>
          <w:p w14:paraId="4A519EE4" w14:textId="77777777" w:rsidR="004B03CB" w:rsidRPr="00F13184" w:rsidRDefault="004B03CB" w:rsidP="00816216">
            <w:pPr>
              <w:spacing w:after="0" w:line="240" w:lineRule="auto"/>
              <w:jc w:val="both"/>
              <w:rPr>
                <w:rFonts w:ascii="Times New Roman" w:eastAsia="Times New Roman" w:hAnsi="Times New Roman" w:cs="Times New Roman"/>
                <w:sz w:val="23"/>
                <w:szCs w:val="23"/>
                <w:lang w:eastAsia="hr-HR"/>
              </w:rPr>
            </w:pPr>
          </w:p>
        </w:tc>
        <w:tc>
          <w:tcPr>
            <w:tcW w:w="3248" w:type="dxa"/>
            <w:shd w:val="clear" w:color="auto" w:fill="auto"/>
          </w:tcPr>
          <w:p w14:paraId="38497442" w14:textId="77777777" w:rsidR="004B03CB" w:rsidRPr="00F13184" w:rsidRDefault="004B03CB" w:rsidP="00816216">
            <w:pPr>
              <w:spacing w:after="0" w:line="240" w:lineRule="auto"/>
              <w:rPr>
                <w:rFonts w:ascii="Times New Roman" w:eastAsia="Times New Roman" w:hAnsi="Times New Roman" w:cs="Times New Roman"/>
                <w:sz w:val="23"/>
                <w:szCs w:val="23"/>
                <w:lang w:eastAsia="hr-HR"/>
              </w:rPr>
            </w:pPr>
            <w:r w:rsidRPr="00F13184">
              <w:rPr>
                <w:rFonts w:ascii="Times New Roman" w:eastAsia="Times New Roman" w:hAnsi="Times New Roman" w:cs="Times New Roman"/>
                <w:sz w:val="23"/>
                <w:szCs w:val="23"/>
                <w:lang w:eastAsia="hr-HR"/>
              </w:rPr>
              <w:t>Centri za odgoj i obrazovanje</w:t>
            </w:r>
          </w:p>
        </w:tc>
        <w:tc>
          <w:tcPr>
            <w:tcW w:w="1292" w:type="dxa"/>
            <w:shd w:val="clear" w:color="auto" w:fill="auto"/>
            <w:vAlign w:val="center"/>
          </w:tcPr>
          <w:p w14:paraId="74FDE33C" w14:textId="77777777" w:rsidR="004B03CB" w:rsidRPr="00F13184" w:rsidRDefault="004B03CB" w:rsidP="00816216">
            <w:pPr>
              <w:spacing w:after="0" w:line="240" w:lineRule="auto"/>
              <w:jc w:val="center"/>
              <w:rPr>
                <w:rFonts w:ascii="Times New Roman" w:eastAsia="Times New Roman" w:hAnsi="Times New Roman" w:cs="Times New Roman"/>
                <w:sz w:val="23"/>
                <w:szCs w:val="23"/>
                <w:lang w:eastAsia="hr-HR"/>
              </w:rPr>
            </w:pPr>
            <w:r w:rsidRPr="00F13184">
              <w:rPr>
                <w:rFonts w:ascii="Times New Roman" w:eastAsia="Times New Roman" w:hAnsi="Times New Roman" w:cs="Times New Roman"/>
                <w:sz w:val="23"/>
                <w:szCs w:val="23"/>
                <w:lang w:eastAsia="hr-HR"/>
              </w:rPr>
              <w:t>2624</w:t>
            </w:r>
          </w:p>
        </w:tc>
        <w:tc>
          <w:tcPr>
            <w:tcW w:w="1227" w:type="dxa"/>
            <w:vMerge/>
            <w:shd w:val="clear" w:color="auto" w:fill="auto"/>
          </w:tcPr>
          <w:p w14:paraId="4B037E24" w14:textId="77777777" w:rsidR="004B03CB" w:rsidRPr="00F13184" w:rsidRDefault="004B03CB" w:rsidP="00816216">
            <w:pPr>
              <w:spacing w:after="0" w:line="240" w:lineRule="auto"/>
              <w:jc w:val="both"/>
              <w:rPr>
                <w:rFonts w:ascii="Times New Roman" w:eastAsia="Times New Roman" w:hAnsi="Times New Roman" w:cs="Times New Roman"/>
                <w:sz w:val="23"/>
                <w:szCs w:val="23"/>
                <w:lang w:eastAsia="hr-HR"/>
              </w:rPr>
            </w:pPr>
          </w:p>
        </w:tc>
      </w:tr>
      <w:tr w:rsidR="004B03CB" w:rsidRPr="00F13184" w14:paraId="20DD2A17" w14:textId="77777777" w:rsidTr="00F13184">
        <w:trPr>
          <w:trHeight w:val="516"/>
        </w:trPr>
        <w:tc>
          <w:tcPr>
            <w:tcW w:w="911" w:type="dxa"/>
            <w:vMerge/>
            <w:shd w:val="clear" w:color="auto" w:fill="auto"/>
          </w:tcPr>
          <w:p w14:paraId="217DC068" w14:textId="77777777" w:rsidR="004B03CB" w:rsidRPr="00F13184" w:rsidRDefault="004B03CB" w:rsidP="00816216">
            <w:pPr>
              <w:spacing w:after="0" w:line="240" w:lineRule="auto"/>
              <w:jc w:val="both"/>
              <w:rPr>
                <w:rFonts w:ascii="Times New Roman" w:eastAsia="Times New Roman" w:hAnsi="Times New Roman" w:cs="Times New Roman"/>
                <w:sz w:val="23"/>
                <w:szCs w:val="23"/>
                <w:lang w:eastAsia="hr-HR"/>
              </w:rPr>
            </w:pPr>
          </w:p>
        </w:tc>
        <w:tc>
          <w:tcPr>
            <w:tcW w:w="2384" w:type="dxa"/>
            <w:vMerge w:val="restart"/>
            <w:shd w:val="clear" w:color="auto" w:fill="auto"/>
            <w:vAlign w:val="center"/>
          </w:tcPr>
          <w:p w14:paraId="704B273A" w14:textId="77777777" w:rsidR="004B03CB" w:rsidRPr="00F13184" w:rsidRDefault="004B03CB" w:rsidP="00816216">
            <w:pPr>
              <w:spacing w:after="0" w:line="240" w:lineRule="auto"/>
              <w:jc w:val="center"/>
              <w:rPr>
                <w:rFonts w:ascii="Times New Roman" w:eastAsia="Times New Roman" w:hAnsi="Times New Roman" w:cs="Times New Roman"/>
                <w:b/>
                <w:bCs/>
                <w:sz w:val="23"/>
                <w:szCs w:val="23"/>
                <w:lang w:eastAsia="hr-HR"/>
              </w:rPr>
            </w:pPr>
            <w:r w:rsidRPr="00F13184">
              <w:rPr>
                <w:rFonts w:ascii="Times New Roman" w:eastAsia="Times New Roman" w:hAnsi="Times New Roman" w:cs="Times New Roman"/>
                <w:b/>
                <w:bCs/>
                <w:sz w:val="23"/>
                <w:szCs w:val="23"/>
                <w:lang w:eastAsia="hr-HR"/>
              </w:rPr>
              <w:t>Srednjoškolski program</w:t>
            </w:r>
          </w:p>
          <w:p w14:paraId="0E2CC6EC" w14:textId="77777777" w:rsidR="004B03CB" w:rsidRPr="00F13184" w:rsidRDefault="004B03CB" w:rsidP="00816216">
            <w:pPr>
              <w:spacing w:after="0" w:line="240" w:lineRule="auto"/>
              <w:jc w:val="both"/>
              <w:rPr>
                <w:rFonts w:ascii="Times New Roman" w:eastAsia="Times New Roman" w:hAnsi="Times New Roman" w:cs="Times New Roman"/>
                <w:sz w:val="23"/>
                <w:szCs w:val="23"/>
                <w:lang w:eastAsia="hr-HR"/>
              </w:rPr>
            </w:pPr>
            <w:r w:rsidRPr="00F13184">
              <w:rPr>
                <w:rFonts w:ascii="Times New Roman" w:eastAsia="Times New Roman" w:hAnsi="Times New Roman" w:cs="Times New Roman"/>
                <w:sz w:val="23"/>
                <w:szCs w:val="23"/>
                <w:lang w:eastAsia="hr-HR"/>
              </w:rPr>
              <w:t>5347 učenika s TUR</w:t>
            </w:r>
          </w:p>
        </w:tc>
        <w:tc>
          <w:tcPr>
            <w:tcW w:w="3248" w:type="dxa"/>
            <w:shd w:val="clear" w:color="auto" w:fill="auto"/>
          </w:tcPr>
          <w:p w14:paraId="66D8001B" w14:textId="77777777" w:rsidR="004B03CB" w:rsidRPr="00F13184" w:rsidRDefault="004B03CB" w:rsidP="00816216">
            <w:pPr>
              <w:spacing w:after="0" w:line="240" w:lineRule="auto"/>
              <w:rPr>
                <w:rFonts w:ascii="Times New Roman" w:eastAsia="Times New Roman" w:hAnsi="Times New Roman" w:cs="Times New Roman"/>
                <w:sz w:val="23"/>
                <w:szCs w:val="23"/>
                <w:lang w:eastAsia="hr-HR"/>
              </w:rPr>
            </w:pPr>
            <w:r w:rsidRPr="00F13184">
              <w:rPr>
                <w:rFonts w:ascii="Times New Roman" w:eastAsia="Times New Roman" w:hAnsi="Times New Roman" w:cs="Times New Roman"/>
                <w:sz w:val="23"/>
                <w:szCs w:val="23"/>
                <w:lang w:eastAsia="hr-HR"/>
              </w:rPr>
              <w:t>Redovite srednjoškolske ustanove</w:t>
            </w:r>
          </w:p>
        </w:tc>
        <w:tc>
          <w:tcPr>
            <w:tcW w:w="1292" w:type="dxa"/>
            <w:shd w:val="clear" w:color="auto" w:fill="auto"/>
            <w:vAlign w:val="center"/>
          </w:tcPr>
          <w:p w14:paraId="07890ABE" w14:textId="77777777" w:rsidR="004B03CB" w:rsidRPr="00F13184" w:rsidRDefault="004B03CB" w:rsidP="00816216">
            <w:pPr>
              <w:spacing w:after="0" w:line="240" w:lineRule="auto"/>
              <w:jc w:val="center"/>
              <w:rPr>
                <w:rFonts w:ascii="Times New Roman" w:eastAsia="Times New Roman" w:hAnsi="Times New Roman" w:cs="Times New Roman"/>
                <w:sz w:val="23"/>
                <w:szCs w:val="23"/>
                <w:lang w:eastAsia="hr-HR"/>
              </w:rPr>
            </w:pPr>
            <w:r w:rsidRPr="00F13184">
              <w:rPr>
                <w:rFonts w:ascii="Times New Roman" w:eastAsia="Times New Roman" w:hAnsi="Times New Roman" w:cs="Times New Roman"/>
                <w:sz w:val="23"/>
                <w:szCs w:val="23"/>
                <w:lang w:eastAsia="hr-HR"/>
              </w:rPr>
              <w:t>4909</w:t>
            </w:r>
          </w:p>
        </w:tc>
        <w:tc>
          <w:tcPr>
            <w:tcW w:w="1227" w:type="dxa"/>
            <w:vMerge/>
            <w:shd w:val="clear" w:color="auto" w:fill="auto"/>
          </w:tcPr>
          <w:p w14:paraId="2F6DC2F6" w14:textId="77777777" w:rsidR="004B03CB" w:rsidRPr="00F13184" w:rsidRDefault="004B03CB" w:rsidP="00816216">
            <w:pPr>
              <w:spacing w:after="0" w:line="240" w:lineRule="auto"/>
              <w:jc w:val="both"/>
              <w:rPr>
                <w:rFonts w:ascii="Times New Roman" w:eastAsia="Times New Roman" w:hAnsi="Times New Roman" w:cs="Times New Roman"/>
                <w:sz w:val="23"/>
                <w:szCs w:val="23"/>
                <w:lang w:eastAsia="hr-HR"/>
              </w:rPr>
            </w:pPr>
          </w:p>
        </w:tc>
      </w:tr>
      <w:tr w:rsidR="004B03CB" w:rsidRPr="00F13184" w14:paraId="393D97C0" w14:textId="77777777" w:rsidTr="00F13184">
        <w:trPr>
          <w:trHeight w:val="568"/>
        </w:trPr>
        <w:tc>
          <w:tcPr>
            <w:tcW w:w="911" w:type="dxa"/>
            <w:vMerge/>
            <w:shd w:val="clear" w:color="auto" w:fill="auto"/>
          </w:tcPr>
          <w:p w14:paraId="5FA47C36" w14:textId="77777777" w:rsidR="004B03CB" w:rsidRPr="00F13184" w:rsidRDefault="004B03CB" w:rsidP="00816216">
            <w:pPr>
              <w:spacing w:after="0" w:line="240" w:lineRule="auto"/>
              <w:jc w:val="both"/>
              <w:rPr>
                <w:rFonts w:ascii="Times New Roman" w:eastAsia="Times New Roman" w:hAnsi="Times New Roman" w:cs="Times New Roman"/>
                <w:sz w:val="23"/>
                <w:szCs w:val="23"/>
                <w:lang w:eastAsia="hr-HR"/>
              </w:rPr>
            </w:pPr>
          </w:p>
        </w:tc>
        <w:tc>
          <w:tcPr>
            <w:tcW w:w="2384" w:type="dxa"/>
            <w:vMerge/>
            <w:shd w:val="clear" w:color="auto" w:fill="auto"/>
          </w:tcPr>
          <w:p w14:paraId="443E04E0" w14:textId="77777777" w:rsidR="004B03CB" w:rsidRPr="00F13184" w:rsidRDefault="004B03CB" w:rsidP="00816216">
            <w:pPr>
              <w:spacing w:after="0" w:line="240" w:lineRule="auto"/>
              <w:jc w:val="both"/>
              <w:rPr>
                <w:rFonts w:ascii="Times New Roman" w:eastAsia="Times New Roman" w:hAnsi="Times New Roman" w:cs="Times New Roman"/>
                <w:sz w:val="23"/>
                <w:szCs w:val="23"/>
                <w:lang w:eastAsia="hr-HR"/>
              </w:rPr>
            </w:pPr>
          </w:p>
        </w:tc>
        <w:tc>
          <w:tcPr>
            <w:tcW w:w="3248" w:type="dxa"/>
            <w:shd w:val="clear" w:color="auto" w:fill="auto"/>
            <w:vAlign w:val="center"/>
          </w:tcPr>
          <w:p w14:paraId="1A4DD660" w14:textId="77777777" w:rsidR="004B03CB" w:rsidRPr="00F13184" w:rsidRDefault="004B03CB" w:rsidP="00816216">
            <w:pPr>
              <w:spacing w:after="0" w:line="240" w:lineRule="auto"/>
              <w:rPr>
                <w:rFonts w:ascii="Times New Roman" w:eastAsia="Times New Roman" w:hAnsi="Times New Roman" w:cs="Times New Roman"/>
                <w:sz w:val="23"/>
                <w:szCs w:val="23"/>
                <w:lang w:eastAsia="hr-HR"/>
              </w:rPr>
            </w:pPr>
            <w:r w:rsidRPr="00F13184">
              <w:rPr>
                <w:rFonts w:ascii="Times New Roman" w:eastAsia="Times New Roman" w:hAnsi="Times New Roman" w:cs="Times New Roman"/>
                <w:sz w:val="23"/>
                <w:szCs w:val="23"/>
                <w:lang w:eastAsia="hr-HR"/>
              </w:rPr>
              <w:t>Centri za odgoj i obrazovanje (pomoćna zanimanja)</w:t>
            </w:r>
          </w:p>
        </w:tc>
        <w:tc>
          <w:tcPr>
            <w:tcW w:w="1292" w:type="dxa"/>
            <w:shd w:val="clear" w:color="auto" w:fill="auto"/>
            <w:vAlign w:val="center"/>
          </w:tcPr>
          <w:p w14:paraId="3725E1EA" w14:textId="77777777" w:rsidR="004B03CB" w:rsidRPr="00F13184" w:rsidRDefault="004B03CB" w:rsidP="00816216">
            <w:pPr>
              <w:spacing w:after="0" w:line="240" w:lineRule="auto"/>
              <w:jc w:val="center"/>
              <w:rPr>
                <w:rFonts w:ascii="Times New Roman" w:eastAsia="Times New Roman" w:hAnsi="Times New Roman" w:cs="Times New Roman"/>
                <w:sz w:val="23"/>
                <w:szCs w:val="23"/>
                <w:lang w:eastAsia="hr-HR"/>
              </w:rPr>
            </w:pPr>
            <w:r w:rsidRPr="00F13184">
              <w:rPr>
                <w:rFonts w:ascii="Times New Roman" w:eastAsia="Times New Roman" w:hAnsi="Times New Roman" w:cs="Times New Roman"/>
                <w:sz w:val="23"/>
                <w:szCs w:val="23"/>
                <w:lang w:eastAsia="hr-HR"/>
              </w:rPr>
              <w:t>438</w:t>
            </w:r>
          </w:p>
        </w:tc>
        <w:tc>
          <w:tcPr>
            <w:tcW w:w="1227" w:type="dxa"/>
            <w:vMerge/>
            <w:shd w:val="clear" w:color="auto" w:fill="auto"/>
          </w:tcPr>
          <w:p w14:paraId="43589AF6" w14:textId="77777777" w:rsidR="004B03CB" w:rsidRPr="00F13184" w:rsidRDefault="004B03CB" w:rsidP="00816216">
            <w:pPr>
              <w:spacing w:after="0" w:line="240" w:lineRule="auto"/>
              <w:jc w:val="both"/>
              <w:rPr>
                <w:rFonts w:ascii="Times New Roman" w:eastAsia="Times New Roman" w:hAnsi="Times New Roman" w:cs="Times New Roman"/>
                <w:sz w:val="23"/>
                <w:szCs w:val="23"/>
                <w:lang w:eastAsia="hr-HR"/>
              </w:rPr>
            </w:pPr>
          </w:p>
        </w:tc>
      </w:tr>
    </w:tbl>
    <w:p w14:paraId="628D348E" w14:textId="77777777" w:rsidR="004B03CB" w:rsidRPr="00330CCE" w:rsidRDefault="004B03CB" w:rsidP="004B03CB">
      <w:pPr>
        <w:spacing w:after="0" w:line="240" w:lineRule="auto"/>
        <w:rPr>
          <w:rFonts w:ascii="Times New Roman" w:eastAsia="Times New Roman" w:hAnsi="Times New Roman" w:cs="Times New Roman"/>
          <w:b/>
          <w:bCs/>
          <w:sz w:val="24"/>
          <w:szCs w:val="24"/>
          <w:u w:val="single"/>
          <w:lang w:eastAsia="hr-HR"/>
        </w:rPr>
      </w:pPr>
      <w:r w:rsidRPr="00330CCE">
        <w:rPr>
          <w:rFonts w:ascii="Times New Roman" w:eastAsia="Times New Roman" w:hAnsi="Times New Roman" w:cs="Times New Roman"/>
          <w:b/>
          <w:bCs/>
          <w:sz w:val="24"/>
          <w:szCs w:val="24"/>
          <w:u w:val="single"/>
          <w:lang w:eastAsia="hr-HR"/>
        </w:rPr>
        <w:lastRenderedPageBreak/>
        <w:t xml:space="preserve">Prilog </w:t>
      </w:r>
      <w:r>
        <w:rPr>
          <w:rFonts w:ascii="Times New Roman" w:eastAsia="Times New Roman" w:hAnsi="Times New Roman" w:cs="Times New Roman"/>
          <w:b/>
          <w:bCs/>
          <w:sz w:val="24"/>
          <w:szCs w:val="24"/>
          <w:u w:val="single"/>
          <w:lang w:eastAsia="hr-HR"/>
        </w:rPr>
        <w:t>33</w:t>
      </w:r>
    </w:p>
    <w:p w14:paraId="5E261263" w14:textId="77777777" w:rsidR="004B03CB" w:rsidRDefault="004B03CB" w:rsidP="004B03CB">
      <w:pPr>
        <w:spacing w:after="0" w:line="240" w:lineRule="auto"/>
        <w:jc w:val="both"/>
        <w:rPr>
          <w:rFonts w:ascii="Times New Roman" w:eastAsia="Times New Roman" w:hAnsi="Times New Roman" w:cs="Times New Roman"/>
          <w:sz w:val="24"/>
          <w:szCs w:val="24"/>
          <w:lang w:eastAsia="hr-HR"/>
        </w:rPr>
      </w:pPr>
    </w:p>
    <w:p w14:paraId="759C41E5" w14:textId="77777777" w:rsidR="004B03CB" w:rsidRDefault="004B03CB" w:rsidP="004B03CB">
      <w:pPr>
        <w:spacing w:after="0" w:line="240" w:lineRule="auto"/>
        <w:jc w:val="both"/>
        <w:rPr>
          <w:rFonts w:ascii="Times New Roman" w:eastAsia="Times New Roman" w:hAnsi="Times New Roman" w:cs="Times New Roman"/>
          <w:sz w:val="24"/>
          <w:szCs w:val="24"/>
          <w:lang w:eastAsia="hr-HR"/>
        </w:rPr>
      </w:pPr>
    </w:p>
    <w:p w14:paraId="0698D78B" w14:textId="77777777" w:rsidR="004B03CB" w:rsidRPr="00330CCE" w:rsidRDefault="004B03CB" w:rsidP="004B03CB">
      <w:pPr>
        <w:spacing w:after="0" w:line="240" w:lineRule="auto"/>
        <w:jc w:val="center"/>
        <w:rPr>
          <w:rFonts w:ascii="Times New Roman" w:eastAsia="Times New Roman" w:hAnsi="Times New Roman" w:cs="Times New Roman"/>
          <w:b/>
          <w:bCs/>
          <w:sz w:val="24"/>
          <w:szCs w:val="24"/>
          <w:lang w:eastAsia="hr-HR"/>
        </w:rPr>
      </w:pPr>
      <w:r w:rsidRPr="00330CCE">
        <w:rPr>
          <w:rFonts w:ascii="Times New Roman" w:eastAsia="Times New Roman" w:hAnsi="Times New Roman" w:cs="Times New Roman"/>
          <w:b/>
          <w:bCs/>
          <w:sz w:val="24"/>
          <w:szCs w:val="24"/>
          <w:lang w:eastAsia="hr-HR"/>
        </w:rPr>
        <w:t xml:space="preserve">DRŽAVNE STIPENDIJE KOJE DODJELJUJE </w:t>
      </w:r>
      <w:bookmarkStart w:id="197" w:name="_Hlk83191959"/>
      <w:r w:rsidRPr="00330CCE">
        <w:rPr>
          <w:rFonts w:ascii="Times New Roman" w:eastAsia="Times New Roman" w:hAnsi="Times New Roman" w:cs="Times New Roman"/>
          <w:b/>
          <w:bCs/>
          <w:sz w:val="24"/>
          <w:szCs w:val="24"/>
          <w:lang w:eastAsia="hr-HR"/>
        </w:rPr>
        <w:t xml:space="preserve">MINISTARSTVO ZNANOSTI I OBRAZOVANJA </w:t>
      </w:r>
      <w:bookmarkEnd w:id="197"/>
      <w:r w:rsidRPr="00330CCE">
        <w:rPr>
          <w:rFonts w:ascii="Times New Roman" w:eastAsia="Times New Roman" w:hAnsi="Times New Roman" w:cs="Times New Roman"/>
          <w:b/>
          <w:bCs/>
          <w:sz w:val="24"/>
          <w:szCs w:val="24"/>
          <w:lang w:eastAsia="hr-HR"/>
        </w:rPr>
        <w:t>RADI PRUŽANJA INDIVIDUALNE PODRŠKE STUDENTIMA S INVALIDITETOM S CILJEM OSIGURANJA JEDNAKOG PRISTUPA OBRAZOVNOM OKRUŽENJU</w:t>
      </w:r>
    </w:p>
    <w:p w14:paraId="3091B1F5" w14:textId="77777777" w:rsidR="004B03CB" w:rsidRDefault="004B03CB" w:rsidP="004B03CB">
      <w:pPr>
        <w:spacing w:after="0" w:line="240" w:lineRule="auto"/>
        <w:jc w:val="both"/>
        <w:rPr>
          <w:rFonts w:ascii="Times New Roman" w:eastAsia="Times New Roman" w:hAnsi="Times New Roman" w:cs="Times New Roman"/>
          <w:sz w:val="24"/>
          <w:szCs w:val="24"/>
          <w:u w:val="single"/>
          <w:lang w:eastAsia="hr-HR"/>
        </w:rPr>
      </w:pPr>
    </w:p>
    <w:p w14:paraId="6064E243" w14:textId="77777777" w:rsidR="004B03CB" w:rsidRDefault="004B03CB" w:rsidP="004B03CB">
      <w:pPr>
        <w:spacing w:after="0" w:line="240" w:lineRule="auto"/>
        <w:jc w:val="both"/>
        <w:rPr>
          <w:rFonts w:ascii="Times New Roman" w:eastAsia="Times New Roman" w:hAnsi="Times New Roman" w:cs="Times New Roman"/>
          <w:sz w:val="24"/>
          <w:szCs w:val="24"/>
          <w:u w:val="single"/>
          <w:lang w:eastAsia="hr-HR"/>
        </w:rPr>
      </w:pPr>
    </w:p>
    <w:p w14:paraId="19491183" w14:textId="77777777" w:rsidR="004B03CB" w:rsidRDefault="004B03CB" w:rsidP="004B03CB">
      <w:pPr>
        <w:spacing w:after="0" w:line="240" w:lineRule="auto"/>
        <w:jc w:val="both"/>
        <w:rPr>
          <w:rFonts w:ascii="Times New Roman" w:eastAsia="Times New Roman" w:hAnsi="Times New Roman" w:cs="Times New Roman"/>
          <w:sz w:val="24"/>
          <w:szCs w:val="24"/>
          <w:lang w:eastAsia="hr-HR"/>
        </w:rPr>
      </w:pPr>
      <w:r w:rsidRPr="0026123E">
        <w:rPr>
          <w:rFonts w:ascii="Times New Roman" w:eastAsia="Times New Roman" w:hAnsi="Times New Roman" w:cs="Times New Roman"/>
          <w:sz w:val="24"/>
          <w:szCs w:val="24"/>
          <w:lang w:eastAsia="hr-HR"/>
        </w:rPr>
        <w:t xml:space="preserve">Ministarstvo znanosti i obrazovanja </w:t>
      </w:r>
      <w:r w:rsidRPr="00165D3A">
        <w:rPr>
          <w:rFonts w:ascii="Times New Roman" w:eastAsia="Times New Roman" w:hAnsi="Times New Roman" w:cs="Times New Roman"/>
          <w:sz w:val="24"/>
          <w:szCs w:val="24"/>
          <w:lang w:eastAsia="hr-HR"/>
        </w:rPr>
        <w:t>dodjeljuje tri vrste državnih stipendija radi pružanja individualne podrške studentima s invaliditetom s ciljem osiguranja jednakog pristupa obrazovnom okruženju</w:t>
      </w:r>
      <w:r>
        <w:rPr>
          <w:rFonts w:ascii="Times New Roman" w:eastAsia="Times New Roman" w:hAnsi="Times New Roman" w:cs="Times New Roman"/>
          <w:sz w:val="24"/>
          <w:szCs w:val="24"/>
          <w:lang w:eastAsia="hr-HR"/>
        </w:rPr>
        <w:t>:</w:t>
      </w:r>
    </w:p>
    <w:p w14:paraId="23319B05" w14:textId="77777777" w:rsidR="004B03CB" w:rsidRPr="00DB0AA2" w:rsidRDefault="004B03CB" w:rsidP="00FB05F1">
      <w:pPr>
        <w:pStyle w:val="Odlomakpopisa"/>
        <w:numPr>
          <w:ilvl w:val="0"/>
          <w:numId w:val="3"/>
        </w:numPr>
        <w:spacing w:after="0" w:line="240" w:lineRule="auto"/>
        <w:jc w:val="both"/>
        <w:rPr>
          <w:rFonts w:ascii="Times New Roman" w:eastAsia="Times New Roman" w:hAnsi="Times New Roman" w:cs="Times New Roman"/>
          <w:sz w:val="24"/>
          <w:szCs w:val="24"/>
          <w:lang w:eastAsia="hr-HR"/>
        </w:rPr>
      </w:pPr>
      <w:r w:rsidRPr="00DB0AA2">
        <w:rPr>
          <w:rFonts w:ascii="Times New Roman" w:eastAsia="Times New Roman" w:hAnsi="Times New Roman" w:cs="Times New Roman"/>
          <w:sz w:val="24"/>
          <w:szCs w:val="24"/>
          <w:lang w:eastAsia="hr-HR"/>
        </w:rPr>
        <w:t>Državne stipendije za posebne skupine studenata</w:t>
      </w:r>
    </w:p>
    <w:p w14:paraId="4114CCC8" w14:textId="77777777" w:rsidR="004B03CB" w:rsidRPr="00DB0AA2" w:rsidRDefault="004B03CB" w:rsidP="00FB05F1">
      <w:pPr>
        <w:pStyle w:val="Odlomakpopisa"/>
        <w:numPr>
          <w:ilvl w:val="0"/>
          <w:numId w:val="3"/>
        </w:numPr>
        <w:spacing w:after="0" w:line="240" w:lineRule="auto"/>
        <w:jc w:val="both"/>
        <w:rPr>
          <w:rFonts w:ascii="Times New Roman" w:eastAsia="Times New Roman" w:hAnsi="Times New Roman" w:cs="Times New Roman"/>
          <w:sz w:val="24"/>
          <w:szCs w:val="24"/>
          <w:lang w:eastAsia="hr-HR"/>
        </w:rPr>
      </w:pPr>
      <w:r w:rsidRPr="00DB0AA2">
        <w:rPr>
          <w:rFonts w:ascii="Times New Roman" w:eastAsia="Times New Roman" w:hAnsi="Times New Roman" w:cs="Times New Roman"/>
          <w:sz w:val="24"/>
          <w:szCs w:val="24"/>
          <w:lang w:eastAsia="hr-HR"/>
        </w:rPr>
        <w:t xml:space="preserve">Državne stipendije za studente nižeg </w:t>
      </w:r>
      <w:proofErr w:type="spellStart"/>
      <w:r w:rsidRPr="00DB0AA2">
        <w:rPr>
          <w:rFonts w:ascii="Times New Roman" w:eastAsia="Times New Roman" w:hAnsi="Times New Roman" w:cs="Times New Roman"/>
          <w:sz w:val="24"/>
          <w:szCs w:val="24"/>
          <w:lang w:eastAsia="hr-HR"/>
        </w:rPr>
        <w:t>socio</w:t>
      </w:r>
      <w:proofErr w:type="spellEnd"/>
      <w:r w:rsidRPr="00DB0AA2">
        <w:rPr>
          <w:rFonts w:ascii="Times New Roman" w:eastAsia="Times New Roman" w:hAnsi="Times New Roman" w:cs="Times New Roman"/>
          <w:sz w:val="24"/>
          <w:szCs w:val="24"/>
          <w:lang w:eastAsia="hr-HR"/>
        </w:rPr>
        <w:t>-ekonomskog statusa</w:t>
      </w:r>
    </w:p>
    <w:p w14:paraId="5600F6D0" w14:textId="77777777" w:rsidR="004B03CB" w:rsidRDefault="004B03CB" w:rsidP="00FB05F1">
      <w:pPr>
        <w:pStyle w:val="Odlomakpopisa"/>
        <w:numPr>
          <w:ilvl w:val="0"/>
          <w:numId w:val="3"/>
        </w:numPr>
        <w:spacing w:after="0" w:line="240" w:lineRule="auto"/>
        <w:jc w:val="both"/>
        <w:rPr>
          <w:rFonts w:ascii="Times New Roman" w:eastAsia="Times New Roman" w:hAnsi="Times New Roman" w:cs="Times New Roman"/>
          <w:sz w:val="24"/>
          <w:szCs w:val="24"/>
          <w:lang w:eastAsia="hr-HR"/>
        </w:rPr>
      </w:pPr>
      <w:r w:rsidRPr="00DB0AA2">
        <w:rPr>
          <w:rFonts w:ascii="Times New Roman" w:eastAsia="Times New Roman" w:hAnsi="Times New Roman" w:cs="Times New Roman"/>
          <w:sz w:val="24"/>
          <w:szCs w:val="24"/>
          <w:lang w:eastAsia="hr-HR"/>
        </w:rPr>
        <w:t>Državne stipendije za studente u STEM područjima znanosti</w:t>
      </w:r>
    </w:p>
    <w:p w14:paraId="7E096173" w14:textId="77777777" w:rsidR="004B03CB" w:rsidRDefault="004B03CB" w:rsidP="004B03CB">
      <w:pPr>
        <w:spacing w:after="0" w:line="240" w:lineRule="auto"/>
        <w:jc w:val="both"/>
        <w:rPr>
          <w:rFonts w:ascii="Times New Roman" w:eastAsia="Times New Roman" w:hAnsi="Times New Roman" w:cs="Times New Roman"/>
          <w:sz w:val="24"/>
          <w:szCs w:val="24"/>
          <w:lang w:eastAsia="hr-HR"/>
        </w:rPr>
      </w:pPr>
    </w:p>
    <w:p w14:paraId="48EC7B74" w14:textId="77777777" w:rsidR="004B03CB" w:rsidRDefault="004B03CB" w:rsidP="004B03CB">
      <w:pPr>
        <w:spacing w:after="0" w:line="240" w:lineRule="auto"/>
        <w:jc w:val="both"/>
        <w:rPr>
          <w:rFonts w:ascii="Times New Roman" w:eastAsia="Times New Roman" w:hAnsi="Times New Roman" w:cs="Times New Roman"/>
          <w:sz w:val="24"/>
          <w:szCs w:val="24"/>
          <w:u w:val="single"/>
          <w:lang w:eastAsia="hr-HR"/>
        </w:rPr>
      </w:pPr>
    </w:p>
    <w:p w14:paraId="3348E297" w14:textId="77777777" w:rsidR="004B03CB" w:rsidRPr="00165D3A" w:rsidRDefault="004B03CB" w:rsidP="004B03CB">
      <w:pPr>
        <w:spacing w:after="0" w:line="240" w:lineRule="auto"/>
        <w:jc w:val="both"/>
        <w:rPr>
          <w:rFonts w:ascii="Times New Roman" w:eastAsia="Times New Roman" w:hAnsi="Times New Roman" w:cs="Times New Roman"/>
          <w:sz w:val="24"/>
          <w:szCs w:val="24"/>
          <w:u w:val="single"/>
          <w:lang w:eastAsia="hr-HR"/>
        </w:rPr>
      </w:pPr>
      <w:r w:rsidRPr="00165D3A">
        <w:rPr>
          <w:rFonts w:ascii="Times New Roman" w:eastAsia="Times New Roman" w:hAnsi="Times New Roman" w:cs="Times New Roman"/>
          <w:sz w:val="24"/>
          <w:szCs w:val="24"/>
          <w:u w:val="single"/>
          <w:lang w:eastAsia="hr-HR"/>
        </w:rPr>
        <w:t>Državne stipendije za posebne skupine studenata</w:t>
      </w:r>
    </w:p>
    <w:p w14:paraId="0E297F58" w14:textId="77777777" w:rsidR="004B03CB" w:rsidRPr="00165D3A" w:rsidRDefault="004B03CB" w:rsidP="004B03CB">
      <w:pPr>
        <w:spacing w:after="0" w:line="240" w:lineRule="auto"/>
        <w:jc w:val="both"/>
        <w:rPr>
          <w:rFonts w:ascii="Times New Roman" w:eastAsia="Times New Roman" w:hAnsi="Times New Roman" w:cs="Times New Roman"/>
          <w:sz w:val="24"/>
          <w:szCs w:val="24"/>
          <w:lang w:eastAsia="hr-HR"/>
        </w:rPr>
      </w:pPr>
      <w:r w:rsidRPr="00165D3A">
        <w:rPr>
          <w:rFonts w:ascii="Times New Roman" w:eastAsia="Times New Roman" w:hAnsi="Times New Roman" w:cs="Times New Roman"/>
          <w:sz w:val="24"/>
          <w:szCs w:val="24"/>
          <w:lang w:eastAsia="hr-HR"/>
        </w:rPr>
        <w:t xml:space="preserve">Na javni natječaj za dodjelu državnih stipendija za posebne skupine studenata se mogu prijaviti studenti na preddiplomskim sveučilišnim studijima, diplomskim sveučilišnim studijima, integriranim preddiplomskim i diplomskim sveučilišnim studijima, kratkim stručnim studijima, preddiplomskim stručnim studijima i specijalističkim diplomskim stručnim studijima. Studenti s invaliditetom mogu se natjecati za dodjelu državnih stipendija u Kategoriji 2 - redoviti studenti osobe s invaliditetom. (Izvor: </w:t>
      </w:r>
      <w:r w:rsidRPr="00165D3A">
        <w:rPr>
          <w:rFonts w:ascii="Times New Roman" w:eastAsia="Times New Roman" w:hAnsi="Times New Roman" w:cs="Times New Roman"/>
          <w:i/>
          <w:sz w:val="24"/>
          <w:szCs w:val="24"/>
          <w:lang w:eastAsia="hr-HR"/>
        </w:rPr>
        <w:t>Pravilnik o uvjetima i načinu ostvarivanja prava na državnu stipendiju za posebne skupine studenata</w:t>
      </w:r>
      <w:r w:rsidRPr="00165D3A">
        <w:rPr>
          <w:rFonts w:ascii="Times New Roman" w:eastAsia="Times New Roman" w:hAnsi="Times New Roman" w:cs="Times New Roman"/>
          <w:sz w:val="24"/>
          <w:szCs w:val="24"/>
          <w:lang w:eastAsia="hr-HR"/>
        </w:rPr>
        <w:t>)</w:t>
      </w:r>
    </w:p>
    <w:p w14:paraId="69070731" w14:textId="77777777" w:rsidR="004B03CB" w:rsidRDefault="004B03CB" w:rsidP="004B03CB">
      <w:pPr>
        <w:spacing w:after="0" w:line="240" w:lineRule="auto"/>
        <w:jc w:val="both"/>
        <w:rPr>
          <w:rFonts w:ascii="Times New Roman" w:eastAsia="Times New Roman" w:hAnsi="Times New Roman" w:cs="Times New Roman"/>
          <w:sz w:val="24"/>
          <w:szCs w:val="24"/>
          <w:u w:val="single"/>
          <w:lang w:eastAsia="hr-HR"/>
        </w:rPr>
      </w:pPr>
    </w:p>
    <w:p w14:paraId="4DABD3CB" w14:textId="77777777" w:rsidR="004B03CB" w:rsidRPr="00165D3A" w:rsidRDefault="004B03CB" w:rsidP="004B03CB">
      <w:pPr>
        <w:spacing w:after="0" w:line="240" w:lineRule="auto"/>
        <w:jc w:val="both"/>
        <w:rPr>
          <w:rFonts w:ascii="Times New Roman" w:eastAsia="Times New Roman" w:hAnsi="Times New Roman" w:cs="Times New Roman"/>
          <w:sz w:val="24"/>
          <w:szCs w:val="24"/>
          <w:u w:val="single"/>
          <w:lang w:eastAsia="hr-HR"/>
        </w:rPr>
      </w:pPr>
      <w:r w:rsidRPr="00165D3A">
        <w:rPr>
          <w:rFonts w:ascii="Times New Roman" w:eastAsia="Times New Roman" w:hAnsi="Times New Roman" w:cs="Times New Roman"/>
          <w:sz w:val="24"/>
          <w:szCs w:val="24"/>
          <w:u w:val="single"/>
          <w:lang w:eastAsia="hr-HR"/>
        </w:rPr>
        <w:t xml:space="preserve">Državne stipendije za studente nižeg </w:t>
      </w:r>
      <w:proofErr w:type="spellStart"/>
      <w:r w:rsidRPr="00165D3A">
        <w:rPr>
          <w:rFonts w:ascii="Times New Roman" w:eastAsia="Times New Roman" w:hAnsi="Times New Roman" w:cs="Times New Roman"/>
          <w:sz w:val="24"/>
          <w:szCs w:val="24"/>
          <w:u w:val="single"/>
          <w:lang w:eastAsia="hr-HR"/>
        </w:rPr>
        <w:t>socio</w:t>
      </w:r>
      <w:proofErr w:type="spellEnd"/>
      <w:r w:rsidRPr="00165D3A">
        <w:rPr>
          <w:rFonts w:ascii="Times New Roman" w:eastAsia="Times New Roman" w:hAnsi="Times New Roman" w:cs="Times New Roman"/>
          <w:sz w:val="24"/>
          <w:szCs w:val="24"/>
          <w:u w:val="single"/>
          <w:lang w:eastAsia="hr-HR"/>
        </w:rPr>
        <w:t>-ekonomskog statusa</w:t>
      </w:r>
    </w:p>
    <w:p w14:paraId="53E8E94A" w14:textId="77777777" w:rsidR="004B03CB" w:rsidRPr="00165D3A" w:rsidRDefault="004B03CB" w:rsidP="004B03CB">
      <w:pPr>
        <w:spacing w:after="0" w:line="240" w:lineRule="auto"/>
        <w:jc w:val="both"/>
        <w:rPr>
          <w:rFonts w:ascii="Times New Roman" w:eastAsia="Times New Roman" w:hAnsi="Times New Roman" w:cs="Times New Roman"/>
          <w:sz w:val="24"/>
          <w:szCs w:val="24"/>
          <w:lang w:eastAsia="hr-HR"/>
        </w:rPr>
      </w:pPr>
      <w:r w:rsidRPr="00165D3A">
        <w:rPr>
          <w:rFonts w:ascii="Times New Roman" w:eastAsia="Times New Roman" w:hAnsi="Times New Roman" w:cs="Times New Roman"/>
          <w:sz w:val="24"/>
          <w:szCs w:val="24"/>
          <w:lang w:eastAsia="hr-HR"/>
        </w:rPr>
        <w:t xml:space="preserve">Na javni natječaj za dodjelu državnih stipendija za studente nižeg </w:t>
      </w:r>
      <w:proofErr w:type="spellStart"/>
      <w:r w:rsidRPr="00165D3A">
        <w:rPr>
          <w:rFonts w:ascii="Times New Roman" w:eastAsia="Times New Roman" w:hAnsi="Times New Roman" w:cs="Times New Roman"/>
          <w:sz w:val="24"/>
          <w:szCs w:val="24"/>
          <w:lang w:eastAsia="hr-HR"/>
        </w:rPr>
        <w:t>socio</w:t>
      </w:r>
      <w:proofErr w:type="spellEnd"/>
      <w:r w:rsidRPr="00165D3A">
        <w:rPr>
          <w:rFonts w:ascii="Times New Roman" w:eastAsia="Times New Roman" w:hAnsi="Times New Roman" w:cs="Times New Roman"/>
          <w:sz w:val="24"/>
          <w:szCs w:val="24"/>
          <w:lang w:eastAsia="hr-HR"/>
        </w:rPr>
        <w:t xml:space="preserve">-ekonomskog statusa mogu se prijaviti studenti na preddiplomskim sveučilišnim studijima, diplomskim sveučilišnim studijima, integriranim preddiplomskim i diplomskim sveučilišnim studijima, kratkim stručnim studijima, preddiplomskim stručnim studijima, specijalističkim diplomskim stručnim studijima i poslijediplomskim sveučilišnim studijima. Za studente s najmanje 60% utvrđenoga tjelesnog i osjetilnog oštećenja priznaje se 300 bodova. (Izvor: </w:t>
      </w:r>
      <w:r w:rsidRPr="00165D3A">
        <w:rPr>
          <w:rFonts w:ascii="Times New Roman" w:eastAsia="Times New Roman" w:hAnsi="Times New Roman" w:cs="Times New Roman"/>
          <w:i/>
          <w:sz w:val="24"/>
          <w:szCs w:val="24"/>
          <w:lang w:eastAsia="hr-HR"/>
        </w:rPr>
        <w:t xml:space="preserve">Pravilnik o uvjetima i načinu ostvarivanja prava na državnu stipendiju na temelju </w:t>
      </w:r>
      <w:proofErr w:type="spellStart"/>
      <w:r w:rsidRPr="00165D3A">
        <w:rPr>
          <w:rFonts w:ascii="Times New Roman" w:eastAsia="Times New Roman" w:hAnsi="Times New Roman" w:cs="Times New Roman"/>
          <w:i/>
          <w:sz w:val="24"/>
          <w:szCs w:val="24"/>
          <w:lang w:eastAsia="hr-HR"/>
        </w:rPr>
        <w:t>socio</w:t>
      </w:r>
      <w:proofErr w:type="spellEnd"/>
      <w:r w:rsidRPr="00165D3A">
        <w:rPr>
          <w:rFonts w:ascii="Times New Roman" w:eastAsia="Times New Roman" w:hAnsi="Times New Roman" w:cs="Times New Roman"/>
          <w:i/>
          <w:sz w:val="24"/>
          <w:szCs w:val="24"/>
          <w:lang w:eastAsia="hr-HR"/>
        </w:rPr>
        <w:t>-ekonomskoga statusa</w:t>
      </w:r>
      <w:r w:rsidRPr="00165D3A">
        <w:rPr>
          <w:rFonts w:ascii="Times New Roman" w:eastAsia="Times New Roman" w:hAnsi="Times New Roman" w:cs="Times New Roman"/>
          <w:sz w:val="24"/>
          <w:szCs w:val="24"/>
          <w:lang w:eastAsia="hr-HR"/>
        </w:rPr>
        <w:t>)</w:t>
      </w:r>
    </w:p>
    <w:p w14:paraId="294A8DDB" w14:textId="77777777" w:rsidR="004B03CB" w:rsidRDefault="004B03CB" w:rsidP="004B03CB">
      <w:pPr>
        <w:spacing w:after="0" w:line="240" w:lineRule="auto"/>
        <w:jc w:val="both"/>
        <w:rPr>
          <w:rFonts w:ascii="Times New Roman" w:eastAsia="Times New Roman" w:hAnsi="Times New Roman" w:cs="Times New Roman"/>
          <w:sz w:val="24"/>
          <w:szCs w:val="24"/>
          <w:u w:val="single"/>
          <w:lang w:eastAsia="hr-HR"/>
        </w:rPr>
      </w:pPr>
    </w:p>
    <w:p w14:paraId="2C30D976" w14:textId="77777777" w:rsidR="004B03CB" w:rsidRPr="00165D3A" w:rsidRDefault="004B03CB" w:rsidP="004B03CB">
      <w:pPr>
        <w:spacing w:after="0" w:line="240" w:lineRule="auto"/>
        <w:jc w:val="both"/>
        <w:rPr>
          <w:rFonts w:ascii="Times New Roman" w:eastAsia="Times New Roman" w:hAnsi="Times New Roman" w:cs="Times New Roman"/>
          <w:sz w:val="24"/>
          <w:szCs w:val="24"/>
          <w:u w:val="single"/>
          <w:lang w:eastAsia="hr-HR"/>
        </w:rPr>
      </w:pPr>
      <w:r w:rsidRPr="00165D3A">
        <w:rPr>
          <w:rFonts w:ascii="Times New Roman" w:eastAsia="Times New Roman" w:hAnsi="Times New Roman" w:cs="Times New Roman"/>
          <w:sz w:val="24"/>
          <w:szCs w:val="24"/>
          <w:u w:val="single"/>
          <w:lang w:eastAsia="hr-HR"/>
        </w:rPr>
        <w:t>Državne stipendije za studente u STEM područjima znanosti</w:t>
      </w:r>
    </w:p>
    <w:p w14:paraId="6913419B" w14:textId="77777777" w:rsidR="004B03CB" w:rsidRPr="00165D3A" w:rsidRDefault="004B03CB" w:rsidP="004B03CB">
      <w:pPr>
        <w:spacing w:after="0" w:line="240" w:lineRule="auto"/>
        <w:jc w:val="both"/>
        <w:rPr>
          <w:rFonts w:ascii="Times New Roman" w:eastAsia="Times New Roman" w:hAnsi="Times New Roman" w:cs="Times New Roman"/>
          <w:sz w:val="24"/>
          <w:szCs w:val="24"/>
          <w:lang w:eastAsia="hr-HR"/>
        </w:rPr>
      </w:pPr>
      <w:r w:rsidRPr="00165D3A">
        <w:rPr>
          <w:rFonts w:ascii="Times New Roman" w:eastAsia="Times New Roman" w:hAnsi="Times New Roman" w:cs="Times New Roman"/>
          <w:sz w:val="24"/>
          <w:szCs w:val="24"/>
          <w:lang w:eastAsia="hr-HR"/>
        </w:rPr>
        <w:t xml:space="preserve">Pravo na državnu stipendiju imaju redoviti studenti upisani na visoka učilišta u Republici Hrvatskoj na preddiplomske sveučilišne, integrirane preddiplomske i diplomske sveučilišne i preddiplomske stručne studije u STEM područjima znanosti. Za dodjelu stipendija u STEM područjima znanosti ne provodi se natječaj, već Ministarstvo samo prikuplja podatke od visokih učilišta i Nacionalnoga centra za vanjsko vrednovanje obrazovanja. Studentima s utvrđenim invaliditetom od 60% ili više, pri izradi rang-liste za studente ostalih godina stečeni broj ECTS bodova u prethodnoj akademskoj godini množi se s 2. (Izvor: </w:t>
      </w:r>
      <w:r w:rsidRPr="00165D3A">
        <w:rPr>
          <w:rFonts w:ascii="Times New Roman" w:eastAsia="Times New Roman" w:hAnsi="Times New Roman" w:cs="Times New Roman"/>
          <w:i/>
          <w:sz w:val="24"/>
          <w:szCs w:val="24"/>
          <w:lang w:eastAsia="hr-HR"/>
        </w:rPr>
        <w:t>Pravilnik o uvjetima i načinu ostvarivanja prava redovitih studenata na državnu stipendiju u STEM područjima znanosti</w:t>
      </w:r>
      <w:r w:rsidRPr="00165D3A">
        <w:rPr>
          <w:rFonts w:ascii="Times New Roman" w:eastAsia="Times New Roman" w:hAnsi="Times New Roman" w:cs="Times New Roman"/>
          <w:sz w:val="24"/>
          <w:szCs w:val="24"/>
          <w:lang w:eastAsia="hr-HR"/>
        </w:rPr>
        <w:t>)</w:t>
      </w:r>
    </w:p>
    <w:p w14:paraId="22C8CAED" w14:textId="77777777" w:rsidR="004B03CB" w:rsidRDefault="004B03CB" w:rsidP="004B03CB"/>
    <w:p w14:paraId="0C1DA3FE" w14:textId="77777777" w:rsidR="004B03CB" w:rsidRDefault="004B03CB" w:rsidP="004B03CB"/>
    <w:p w14:paraId="7AF9BA6E" w14:textId="77777777" w:rsidR="0046169C" w:rsidRDefault="0046169C" w:rsidP="0046169C"/>
    <w:p w14:paraId="54B3B4B4" w14:textId="77777777" w:rsidR="00731C28" w:rsidRDefault="00731C28" w:rsidP="006B5133">
      <w:pPr>
        <w:pStyle w:val="t-98-2"/>
        <w:shd w:val="clear" w:color="auto" w:fill="FFFFFF"/>
        <w:spacing w:before="0" w:beforeAutospacing="0" w:after="0" w:afterAutospacing="0"/>
        <w:jc w:val="both"/>
        <w:textAlignment w:val="baseline"/>
      </w:pPr>
    </w:p>
    <w:p w14:paraId="48581409" w14:textId="77777777" w:rsidR="004B03CB" w:rsidRDefault="004B03CB" w:rsidP="004B03CB">
      <w:pPr>
        <w:rPr>
          <w:rFonts w:ascii="Times New Roman" w:hAnsi="Times New Roman" w:cs="Times New Roman"/>
          <w:b/>
          <w:bCs/>
          <w:sz w:val="24"/>
          <w:szCs w:val="24"/>
          <w:u w:val="single"/>
        </w:rPr>
      </w:pPr>
      <w:r>
        <w:rPr>
          <w:rFonts w:ascii="Times New Roman" w:hAnsi="Times New Roman" w:cs="Times New Roman"/>
          <w:b/>
          <w:bCs/>
          <w:sz w:val="24"/>
          <w:szCs w:val="24"/>
          <w:u w:val="single"/>
        </w:rPr>
        <w:lastRenderedPageBreak/>
        <w:t>Prilog 34</w:t>
      </w:r>
    </w:p>
    <w:p w14:paraId="76056C9E" w14:textId="77777777" w:rsidR="004B03CB" w:rsidRDefault="004B03CB" w:rsidP="004B03CB">
      <w:pPr>
        <w:spacing w:after="0" w:line="240" w:lineRule="auto"/>
        <w:jc w:val="both"/>
        <w:rPr>
          <w:rFonts w:ascii="Times New Roman" w:eastAsia="Calibri" w:hAnsi="Times New Roman" w:cs="Times New Roman"/>
          <w:i/>
          <w:sz w:val="24"/>
          <w:szCs w:val="24"/>
          <w:lang w:eastAsia="hr-HR"/>
        </w:rPr>
      </w:pPr>
    </w:p>
    <w:p w14:paraId="4924D0F3" w14:textId="77777777" w:rsidR="004B03CB" w:rsidRPr="00500484" w:rsidRDefault="004B03CB" w:rsidP="004B03CB">
      <w:pPr>
        <w:spacing w:after="0" w:line="240" w:lineRule="auto"/>
        <w:jc w:val="center"/>
        <w:rPr>
          <w:rFonts w:ascii="Times New Roman" w:eastAsia="Calibri" w:hAnsi="Times New Roman" w:cs="Times New Roman"/>
          <w:b/>
          <w:bCs/>
          <w:iCs/>
          <w:sz w:val="24"/>
          <w:szCs w:val="24"/>
          <w:lang w:eastAsia="hr-HR"/>
        </w:rPr>
      </w:pPr>
      <w:r w:rsidRPr="00500484">
        <w:rPr>
          <w:rFonts w:ascii="Times New Roman" w:eastAsia="Calibri" w:hAnsi="Times New Roman" w:cs="Times New Roman"/>
          <w:b/>
          <w:bCs/>
          <w:iCs/>
          <w:sz w:val="24"/>
          <w:szCs w:val="24"/>
          <w:lang w:eastAsia="hr-HR"/>
        </w:rPr>
        <w:t>PREGLED BROJA ZAPOSLENIH I NEZAPOSLENIH OSOBA S INVALIDITETOM</w:t>
      </w:r>
    </w:p>
    <w:p w14:paraId="2470D551" w14:textId="77777777" w:rsidR="004B03CB" w:rsidRPr="00500484" w:rsidRDefault="004B03CB" w:rsidP="004B03CB">
      <w:pPr>
        <w:spacing w:after="0" w:line="240" w:lineRule="auto"/>
        <w:jc w:val="center"/>
        <w:rPr>
          <w:rFonts w:ascii="Times New Roman" w:eastAsia="Calibri" w:hAnsi="Times New Roman" w:cs="Times New Roman"/>
          <w:b/>
          <w:bCs/>
          <w:iCs/>
          <w:sz w:val="24"/>
          <w:szCs w:val="24"/>
          <w:lang w:eastAsia="hr-HR"/>
        </w:rPr>
      </w:pPr>
      <w:r w:rsidRPr="00500484">
        <w:rPr>
          <w:rFonts w:ascii="Times New Roman" w:eastAsia="Calibri" w:hAnsi="Times New Roman" w:cs="Times New Roman"/>
          <w:b/>
          <w:bCs/>
          <w:iCs/>
          <w:sz w:val="24"/>
          <w:szCs w:val="24"/>
          <w:lang w:eastAsia="hr-HR"/>
        </w:rPr>
        <w:t>IZ EVIDENCIJE HZZ-A</w:t>
      </w:r>
    </w:p>
    <w:p w14:paraId="17B45281" w14:textId="77777777" w:rsidR="004B03CB" w:rsidRDefault="004B03CB" w:rsidP="004B03CB">
      <w:pPr>
        <w:spacing w:after="0" w:line="240" w:lineRule="auto"/>
        <w:jc w:val="both"/>
        <w:rPr>
          <w:rFonts w:ascii="Times New Roman" w:eastAsia="Calibri" w:hAnsi="Times New Roman" w:cs="Times New Roman"/>
          <w:i/>
          <w:sz w:val="24"/>
          <w:szCs w:val="24"/>
          <w:lang w:eastAsia="hr-HR"/>
        </w:rPr>
      </w:pPr>
    </w:p>
    <w:p w14:paraId="7BCDDCAD" w14:textId="77777777" w:rsidR="004B03CB" w:rsidRDefault="004B03CB" w:rsidP="004B03CB">
      <w:pPr>
        <w:spacing w:after="0" w:line="240" w:lineRule="auto"/>
        <w:jc w:val="both"/>
        <w:rPr>
          <w:rFonts w:ascii="Times New Roman" w:eastAsia="Calibri" w:hAnsi="Times New Roman" w:cs="Times New Roman"/>
          <w:i/>
          <w:sz w:val="24"/>
          <w:szCs w:val="24"/>
          <w:lang w:eastAsia="hr-HR"/>
        </w:rPr>
      </w:pPr>
    </w:p>
    <w:p w14:paraId="2397D36F" w14:textId="77777777" w:rsidR="004B03CB" w:rsidRPr="0029177F" w:rsidRDefault="004B03CB" w:rsidP="004B03CB">
      <w:pPr>
        <w:spacing w:after="0" w:line="240" w:lineRule="auto"/>
        <w:jc w:val="both"/>
        <w:rPr>
          <w:rFonts w:ascii="Times New Roman" w:eastAsia="Calibri" w:hAnsi="Times New Roman" w:cs="Times New Roman"/>
          <w:i/>
          <w:sz w:val="24"/>
          <w:szCs w:val="24"/>
          <w:lang w:eastAsia="hr-HR"/>
        </w:rPr>
      </w:pPr>
    </w:p>
    <w:tbl>
      <w:tblPr>
        <w:tblW w:w="9204" w:type="dxa"/>
        <w:tblCellMar>
          <w:left w:w="0" w:type="dxa"/>
          <w:right w:w="0" w:type="dxa"/>
        </w:tblCellMar>
        <w:tblLook w:val="04A0" w:firstRow="1" w:lastRow="0" w:firstColumn="1" w:lastColumn="0" w:noHBand="0" w:noVBand="1"/>
      </w:tblPr>
      <w:tblGrid>
        <w:gridCol w:w="2117"/>
        <w:gridCol w:w="3685"/>
        <w:gridCol w:w="3402"/>
      </w:tblGrid>
      <w:tr w:rsidR="004B03CB" w:rsidRPr="0029177F" w14:paraId="36A1A4A3" w14:textId="77777777" w:rsidTr="00816216">
        <w:tc>
          <w:tcPr>
            <w:tcW w:w="2117" w:type="dxa"/>
            <w:tcBorders>
              <w:top w:val="single" w:sz="8" w:space="0" w:color="auto"/>
              <w:left w:val="single" w:sz="8" w:space="0" w:color="auto"/>
              <w:bottom w:val="single" w:sz="8" w:space="0" w:color="auto"/>
              <w:right w:val="single" w:sz="8" w:space="0" w:color="auto"/>
            </w:tcBorders>
            <w:shd w:val="clear" w:color="auto" w:fill="E7E6E6" w:themeFill="background2"/>
            <w:tcMar>
              <w:top w:w="0" w:type="dxa"/>
              <w:left w:w="108" w:type="dxa"/>
              <w:bottom w:w="0" w:type="dxa"/>
              <w:right w:w="108" w:type="dxa"/>
            </w:tcMar>
            <w:hideMark/>
          </w:tcPr>
          <w:p w14:paraId="12970319" w14:textId="77777777" w:rsidR="004B03CB" w:rsidRPr="0029177F" w:rsidRDefault="004B03CB" w:rsidP="00816216">
            <w:pPr>
              <w:spacing w:after="0" w:line="240" w:lineRule="auto"/>
              <w:jc w:val="center"/>
              <w:rPr>
                <w:rFonts w:ascii="Times New Roman" w:eastAsia="Calibri" w:hAnsi="Times New Roman" w:cs="Times New Roman"/>
                <w:sz w:val="24"/>
                <w:szCs w:val="24"/>
              </w:rPr>
            </w:pPr>
            <w:r w:rsidRPr="0029177F">
              <w:rPr>
                <w:rFonts w:ascii="Times New Roman" w:eastAsia="Calibri" w:hAnsi="Times New Roman" w:cs="Times New Roman"/>
                <w:bCs/>
                <w:sz w:val="24"/>
                <w:szCs w:val="24"/>
              </w:rPr>
              <w:t>Godina</w:t>
            </w:r>
          </w:p>
        </w:tc>
        <w:tc>
          <w:tcPr>
            <w:tcW w:w="3685" w:type="dxa"/>
            <w:tcBorders>
              <w:top w:val="single" w:sz="8" w:space="0" w:color="auto"/>
              <w:left w:val="nil"/>
              <w:bottom w:val="single" w:sz="8" w:space="0" w:color="auto"/>
              <w:right w:val="single" w:sz="8" w:space="0" w:color="auto"/>
            </w:tcBorders>
            <w:shd w:val="clear" w:color="auto" w:fill="E7E6E6" w:themeFill="background2"/>
            <w:tcMar>
              <w:top w:w="0" w:type="dxa"/>
              <w:left w:w="108" w:type="dxa"/>
              <w:bottom w:w="0" w:type="dxa"/>
              <w:right w:w="108" w:type="dxa"/>
            </w:tcMar>
            <w:hideMark/>
          </w:tcPr>
          <w:p w14:paraId="465E8B48" w14:textId="77777777" w:rsidR="004B03CB" w:rsidRPr="0029177F" w:rsidRDefault="004B03CB" w:rsidP="00816216">
            <w:pPr>
              <w:spacing w:after="0" w:line="240" w:lineRule="auto"/>
              <w:jc w:val="center"/>
              <w:rPr>
                <w:rFonts w:ascii="Times New Roman" w:eastAsia="Calibri" w:hAnsi="Times New Roman" w:cs="Times New Roman"/>
                <w:sz w:val="24"/>
                <w:szCs w:val="24"/>
              </w:rPr>
            </w:pPr>
            <w:r w:rsidRPr="0029177F">
              <w:rPr>
                <w:rFonts w:ascii="Times New Roman" w:eastAsia="Calibri" w:hAnsi="Times New Roman" w:cs="Times New Roman"/>
                <w:bCs/>
                <w:sz w:val="24"/>
                <w:szCs w:val="24"/>
              </w:rPr>
              <w:t>Zaposleni do 31.12.</w:t>
            </w:r>
          </w:p>
        </w:tc>
        <w:tc>
          <w:tcPr>
            <w:tcW w:w="3402" w:type="dxa"/>
            <w:tcBorders>
              <w:top w:val="single" w:sz="8" w:space="0" w:color="auto"/>
              <w:left w:val="nil"/>
              <w:bottom w:val="single" w:sz="8" w:space="0" w:color="auto"/>
              <w:right w:val="single" w:sz="8" w:space="0" w:color="auto"/>
            </w:tcBorders>
            <w:shd w:val="clear" w:color="auto" w:fill="E7E6E6" w:themeFill="background2"/>
            <w:tcMar>
              <w:top w:w="0" w:type="dxa"/>
              <w:left w:w="108" w:type="dxa"/>
              <w:bottom w:w="0" w:type="dxa"/>
              <w:right w:w="108" w:type="dxa"/>
            </w:tcMar>
            <w:hideMark/>
          </w:tcPr>
          <w:p w14:paraId="341221A6" w14:textId="77777777" w:rsidR="004B03CB" w:rsidRPr="0029177F" w:rsidRDefault="004B03CB" w:rsidP="00816216">
            <w:pPr>
              <w:spacing w:after="0" w:line="240" w:lineRule="auto"/>
              <w:jc w:val="center"/>
              <w:rPr>
                <w:rFonts w:ascii="Times New Roman" w:eastAsia="Calibri" w:hAnsi="Times New Roman" w:cs="Times New Roman"/>
                <w:sz w:val="24"/>
                <w:szCs w:val="24"/>
              </w:rPr>
            </w:pPr>
            <w:r w:rsidRPr="0029177F">
              <w:rPr>
                <w:rFonts w:ascii="Times New Roman" w:eastAsia="Calibri" w:hAnsi="Times New Roman" w:cs="Times New Roman"/>
                <w:bCs/>
                <w:sz w:val="24"/>
                <w:szCs w:val="24"/>
              </w:rPr>
              <w:t>Nezaposleni na 31.12.</w:t>
            </w:r>
          </w:p>
        </w:tc>
      </w:tr>
      <w:tr w:rsidR="004B03CB" w:rsidRPr="0029177F" w14:paraId="5500AA81" w14:textId="77777777" w:rsidTr="00816216">
        <w:tc>
          <w:tcPr>
            <w:tcW w:w="21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235D80E" w14:textId="77777777" w:rsidR="004B03CB" w:rsidRPr="0029177F" w:rsidRDefault="004B03CB" w:rsidP="00816216">
            <w:pPr>
              <w:spacing w:after="0" w:line="240" w:lineRule="auto"/>
              <w:jc w:val="center"/>
              <w:rPr>
                <w:rFonts w:ascii="Times New Roman" w:eastAsia="Calibri" w:hAnsi="Times New Roman" w:cs="Times New Roman"/>
                <w:sz w:val="24"/>
                <w:szCs w:val="24"/>
              </w:rPr>
            </w:pPr>
            <w:r w:rsidRPr="0029177F">
              <w:rPr>
                <w:rFonts w:ascii="Times New Roman" w:eastAsia="Calibri" w:hAnsi="Times New Roman" w:cs="Times New Roman"/>
                <w:bCs/>
                <w:sz w:val="24"/>
                <w:szCs w:val="24"/>
              </w:rPr>
              <w:t>2015.</w:t>
            </w:r>
          </w:p>
        </w:tc>
        <w:tc>
          <w:tcPr>
            <w:tcW w:w="3685" w:type="dxa"/>
            <w:tcBorders>
              <w:top w:val="nil"/>
              <w:left w:val="nil"/>
              <w:bottom w:val="single" w:sz="8" w:space="0" w:color="auto"/>
              <w:right w:val="single" w:sz="8" w:space="0" w:color="auto"/>
            </w:tcBorders>
            <w:tcMar>
              <w:top w:w="0" w:type="dxa"/>
              <w:left w:w="108" w:type="dxa"/>
              <w:bottom w:w="0" w:type="dxa"/>
              <w:right w:w="108" w:type="dxa"/>
            </w:tcMar>
            <w:hideMark/>
          </w:tcPr>
          <w:p w14:paraId="16AE7EEF" w14:textId="77777777" w:rsidR="004B03CB" w:rsidRPr="0029177F" w:rsidRDefault="004B03CB" w:rsidP="00816216">
            <w:pPr>
              <w:spacing w:after="0" w:line="240" w:lineRule="auto"/>
              <w:jc w:val="center"/>
              <w:rPr>
                <w:rFonts w:ascii="Times New Roman" w:eastAsia="Calibri" w:hAnsi="Times New Roman" w:cs="Times New Roman"/>
                <w:sz w:val="24"/>
                <w:szCs w:val="24"/>
              </w:rPr>
            </w:pPr>
            <w:r w:rsidRPr="0029177F">
              <w:rPr>
                <w:rFonts w:ascii="Times New Roman" w:eastAsia="Calibri" w:hAnsi="Times New Roman" w:cs="Times New Roman"/>
                <w:bCs/>
                <w:sz w:val="24"/>
                <w:szCs w:val="24"/>
              </w:rPr>
              <w:t>2.613</w:t>
            </w:r>
          </w:p>
        </w:tc>
        <w:tc>
          <w:tcPr>
            <w:tcW w:w="3402" w:type="dxa"/>
            <w:tcBorders>
              <w:top w:val="nil"/>
              <w:left w:val="nil"/>
              <w:bottom w:val="single" w:sz="8" w:space="0" w:color="auto"/>
              <w:right w:val="single" w:sz="8" w:space="0" w:color="auto"/>
            </w:tcBorders>
            <w:tcMar>
              <w:top w:w="0" w:type="dxa"/>
              <w:left w:w="108" w:type="dxa"/>
              <w:bottom w:w="0" w:type="dxa"/>
              <w:right w:w="108" w:type="dxa"/>
            </w:tcMar>
            <w:hideMark/>
          </w:tcPr>
          <w:p w14:paraId="3F485564" w14:textId="77777777" w:rsidR="004B03CB" w:rsidRPr="0029177F" w:rsidRDefault="004B03CB" w:rsidP="00816216">
            <w:pPr>
              <w:spacing w:after="0" w:line="240" w:lineRule="auto"/>
              <w:jc w:val="center"/>
              <w:rPr>
                <w:rFonts w:ascii="Times New Roman" w:eastAsia="Calibri" w:hAnsi="Times New Roman" w:cs="Times New Roman"/>
                <w:sz w:val="24"/>
                <w:szCs w:val="24"/>
              </w:rPr>
            </w:pPr>
            <w:r w:rsidRPr="0029177F">
              <w:rPr>
                <w:rFonts w:ascii="Times New Roman" w:eastAsia="Calibri" w:hAnsi="Times New Roman" w:cs="Times New Roman"/>
                <w:bCs/>
                <w:sz w:val="24"/>
                <w:szCs w:val="24"/>
              </w:rPr>
              <w:t>7.303</w:t>
            </w:r>
          </w:p>
        </w:tc>
      </w:tr>
      <w:tr w:rsidR="004B03CB" w:rsidRPr="0029177F" w14:paraId="724DF871" w14:textId="77777777" w:rsidTr="00816216">
        <w:tc>
          <w:tcPr>
            <w:tcW w:w="21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99F427" w14:textId="77777777" w:rsidR="004B03CB" w:rsidRPr="0029177F" w:rsidRDefault="004B03CB" w:rsidP="00816216">
            <w:pPr>
              <w:spacing w:after="0" w:line="240" w:lineRule="auto"/>
              <w:jc w:val="center"/>
              <w:rPr>
                <w:rFonts w:ascii="Times New Roman" w:eastAsia="Calibri" w:hAnsi="Times New Roman" w:cs="Times New Roman"/>
                <w:sz w:val="24"/>
                <w:szCs w:val="24"/>
              </w:rPr>
            </w:pPr>
            <w:r w:rsidRPr="0029177F">
              <w:rPr>
                <w:rFonts w:ascii="Times New Roman" w:eastAsia="Calibri" w:hAnsi="Times New Roman" w:cs="Times New Roman"/>
                <w:bCs/>
                <w:sz w:val="24"/>
                <w:szCs w:val="24"/>
              </w:rPr>
              <w:t>2016.</w:t>
            </w:r>
          </w:p>
        </w:tc>
        <w:tc>
          <w:tcPr>
            <w:tcW w:w="3685" w:type="dxa"/>
            <w:tcBorders>
              <w:top w:val="nil"/>
              <w:left w:val="nil"/>
              <w:bottom w:val="single" w:sz="8" w:space="0" w:color="auto"/>
              <w:right w:val="single" w:sz="8" w:space="0" w:color="auto"/>
            </w:tcBorders>
            <w:tcMar>
              <w:top w:w="0" w:type="dxa"/>
              <w:left w:w="108" w:type="dxa"/>
              <w:bottom w:w="0" w:type="dxa"/>
              <w:right w:w="108" w:type="dxa"/>
            </w:tcMar>
            <w:hideMark/>
          </w:tcPr>
          <w:p w14:paraId="4E38351D" w14:textId="77777777" w:rsidR="004B03CB" w:rsidRPr="0029177F" w:rsidRDefault="004B03CB" w:rsidP="00816216">
            <w:pPr>
              <w:spacing w:after="0" w:line="240" w:lineRule="auto"/>
              <w:jc w:val="center"/>
              <w:rPr>
                <w:rFonts w:ascii="Times New Roman" w:eastAsia="Calibri" w:hAnsi="Times New Roman" w:cs="Times New Roman"/>
                <w:sz w:val="24"/>
                <w:szCs w:val="24"/>
              </w:rPr>
            </w:pPr>
            <w:r w:rsidRPr="0029177F">
              <w:rPr>
                <w:rFonts w:ascii="Times New Roman" w:eastAsia="Calibri" w:hAnsi="Times New Roman" w:cs="Times New Roman"/>
                <w:bCs/>
                <w:sz w:val="24"/>
                <w:szCs w:val="24"/>
              </w:rPr>
              <w:t>2.853</w:t>
            </w:r>
          </w:p>
        </w:tc>
        <w:tc>
          <w:tcPr>
            <w:tcW w:w="3402" w:type="dxa"/>
            <w:tcBorders>
              <w:top w:val="nil"/>
              <w:left w:val="nil"/>
              <w:bottom w:val="single" w:sz="8" w:space="0" w:color="auto"/>
              <w:right w:val="single" w:sz="8" w:space="0" w:color="auto"/>
            </w:tcBorders>
            <w:tcMar>
              <w:top w:w="0" w:type="dxa"/>
              <w:left w:w="108" w:type="dxa"/>
              <w:bottom w:w="0" w:type="dxa"/>
              <w:right w:w="108" w:type="dxa"/>
            </w:tcMar>
            <w:hideMark/>
          </w:tcPr>
          <w:p w14:paraId="5D5A752C" w14:textId="77777777" w:rsidR="004B03CB" w:rsidRPr="0029177F" w:rsidRDefault="004B03CB" w:rsidP="00816216">
            <w:pPr>
              <w:spacing w:after="0" w:line="240" w:lineRule="auto"/>
              <w:jc w:val="center"/>
              <w:rPr>
                <w:rFonts w:ascii="Times New Roman" w:eastAsia="Calibri" w:hAnsi="Times New Roman" w:cs="Times New Roman"/>
                <w:sz w:val="24"/>
                <w:szCs w:val="24"/>
              </w:rPr>
            </w:pPr>
            <w:r w:rsidRPr="0029177F">
              <w:rPr>
                <w:rFonts w:ascii="Times New Roman" w:eastAsia="Calibri" w:hAnsi="Times New Roman" w:cs="Times New Roman"/>
                <w:bCs/>
                <w:sz w:val="24"/>
                <w:szCs w:val="24"/>
              </w:rPr>
              <w:t>7.204</w:t>
            </w:r>
          </w:p>
        </w:tc>
      </w:tr>
      <w:tr w:rsidR="004B03CB" w:rsidRPr="0029177F" w14:paraId="39EFF487" w14:textId="77777777" w:rsidTr="00816216">
        <w:tc>
          <w:tcPr>
            <w:tcW w:w="21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440F0A0" w14:textId="77777777" w:rsidR="004B03CB" w:rsidRPr="0029177F" w:rsidRDefault="004B03CB" w:rsidP="00816216">
            <w:pPr>
              <w:spacing w:after="0" w:line="240" w:lineRule="auto"/>
              <w:jc w:val="center"/>
              <w:rPr>
                <w:rFonts w:ascii="Times New Roman" w:eastAsia="Calibri" w:hAnsi="Times New Roman" w:cs="Times New Roman"/>
                <w:sz w:val="24"/>
                <w:szCs w:val="24"/>
              </w:rPr>
            </w:pPr>
            <w:r w:rsidRPr="0029177F">
              <w:rPr>
                <w:rFonts w:ascii="Times New Roman" w:eastAsia="Calibri" w:hAnsi="Times New Roman" w:cs="Times New Roman"/>
                <w:bCs/>
                <w:sz w:val="24"/>
                <w:szCs w:val="24"/>
              </w:rPr>
              <w:t>2017.</w:t>
            </w:r>
          </w:p>
        </w:tc>
        <w:tc>
          <w:tcPr>
            <w:tcW w:w="3685" w:type="dxa"/>
            <w:tcBorders>
              <w:top w:val="nil"/>
              <w:left w:val="nil"/>
              <w:bottom w:val="single" w:sz="8" w:space="0" w:color="auto"/>
              <w:right w:val="single" w:sz="8" w:space="0" w:color="auto"/>
            </w:tcBorders>
            <w:tcMar>
              <w:top w:w="0" w:type="dxa"/>
              <w:left w:w="108" w:type="dxa"/>
              <w:bottom w:w="0" w:type="dxa"/>
              <w:right w:w="108" w:type="dxa"/>
            </w:tcMar>
            <w:hideMark/>
          </w:tcPr>
          <w:p w14:paraId="3A5C016B" w14:textId="77777777" w:rsidR="004B03CB" w:rsidRPr="0029177F" w:rsidRDefault="004B03CB" w:rsidP="00816216">
            <w:pPr>
              <w:spacing w:after="0" w:line="240" w:lineRule="auto"/>
              <w:jc w:val="center"/>
              <w:rPr>
                <w:rFonts w:ascii="Times New Roman" w:eastAsia="Calibri" w:hAnsi="Times New Roman" w:cs="Times New Roman"/>
                <w:sz w:val="24"/>
                <w:szCs w:val="24"/>
              </w:rPr>
            </w:pPr>
            <w:r w:rsidRPr="0029177F">
              <w:rPr>
                <w:rFonts w:ascii="Times New Roman" w:eastAsia="Calibri" w:hAnsi="Times New Roman" w:cs="Times New Roman"/>
                <w:bCs/>
                <w:sz w:val="24"/>
                <w:szCs w:val="24"/>
              </w:rPr>
              <w:t>3.366</w:t>
            </w:r>
          </w:p>
        </w:tc>
        <w:tc>
          <w:tcPr>
            <w:tcW w:w="3402" w:type="dxa"/>
            <w:tcBorders>
              <w:top w:val="nil"/>
              <w:left w:val="nil"/>
              <w:bottom w:val="single" w:sz="8" w:space="0" w:color="auto"/>
              <w:right w:val="single" w:sz="8" w:space="0" w:color="auto"/>
            </w:tcBorders>
            <w:tcMar>
              <w:top w:w="0" w:type="dxa"/>
              <w:left w:w="108" w:type="dxa"/>
              <w:bottom w:w="0" w:type="dxa"/>
              <w:right w:w="108" w:type="dxa"/>
            </w:tcMar>
            <w:hideMark/>
          </w:tcPr>
          <w:p w14:paraId="76AF30CC" w14:textId="77777777" w:rsidR="004B03CB" w:rsidRPr="0029177F" w:rsidRDefault="004B03CB" w:rsidP="00816216">
            <w:pPr>
              <w:spacing w:after="0" w:line="240" w:lineRule="auto"/>
              <w:jc w:val="center"/>
              <w:rPr>
                <w:rFonts w:ascii="Times New Roman" w:eastAsia="Calibri" w:hAnsi="Times New Roman" w:cs="Times New Roman"/>
                <w:sz w:val="24"/>
                <w:szCs w:val="24"/>
              </w:rPr>
            </w:pPr>
            <w:r w:rsidRPr="0029177F">
              <w:rPr>
                <w:rFonts w:ascii="Times New Roman" w:eastAsia="Calibri" w:hAnsi="Times New Roman" w:cs="Times New Roman"/>
                <w:bCs/>
                <w:sz w:val="24"/>
                <w:szCs w:val="24"/>
              </w:rPr>
              <w:t>6.497</w:t>
            </w:r>
          </w:p>
        </w:tc>
      </w:tr>
      <w:tr w:rsidR="004B03CB" w:rsidRPr="0029177F" w14:paraId="2FE5E652" w14:textId="77777777" w:rsidTr="00816216">
        <w:tc>
          <w:tcPr>
            <w:tcW w:w="21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84A09B" w14:textId="77777777" w:rsidR="004B03CB" w:rsidRPr="0029177F" w:rsidRDefault="004B03CB" w:rsidP="00816216">
            <w:pPr>
              <w:spacing w:after="0" w:line="240" w:lineRule="auto"/>
              <w:jc w:val="center"/>
              <w:rPr>
                <w:rFonts w:ascii="Times New Roman" w:eastAsia="Calibri" w:hAnsi="Times New Roman" w:cs="Times New Roman"/>
                <w:sz w:val="24"/>
                <w:szCs w:val="24"/>
              </w:rPr>
            </w:pPr>
            <w:r w:rsidRPr="0029177F">
              <w:rPr>
                <w:rFonts w:ascii="Times New Roman" w:eastAsia="Calibri" w:hAnsi="Times New Roman" w:cs="Times New Roman"/>
                <w:bCs/>
                <w:sz w:val="24"/>
                <w:szCs w:val="24"/>
              </w:rPr>
              <w:t>2018.</w:t>
            </w:r>
          </w:p>
        </w:tc>
        <w:tc>
          <w:tcPr>
            <w:tcW w:w="3685" w:type="dxa"/>
            <w:tcBorders>
              <w:top w:val="nil"/>
              <w:left w:val="nil"/>
              <w:bottom w:val="single" w:sz="8" w:space="0" w:color="auto"/>
              <w:right w:val="single" w:sz="8" w:space="0" w:color="auto"/>
            </w:tcBorders>
            <w:tcMar>
              <w:top w:w="0" w:type="dxa"/>
              <w:left w:w="108" w:type="dxa"/>
              <w:bottom w:w="0" w:type="dxa"/>
              <w:right w:w="108" w:type="dxa"/>
            </w:tcMar>
            <w:hideMark/>
          </w:tcPr>
          <w:p w14:paraId="0C1231AE" w14:textId="77777777" w:rsidR="004B03CB" w:rsidRPr="0029177F" w:rsidRDefault="004B03CB" w:rsidP="00816216">
            <w:pPr>
              <w:spacing w:after="0" w:line="240" w:lineRule="auto"/>
              <w:jc w:val="center"/>
              <w:rPr>
                <w:rFonts w:ascii="Times New Roman" w:eastAsia="Calibri" w:hAnsi="Times New Roman" w:cs="Times New Roman"/>
                <w:sz w:val="24"/>
                <w:szCs w:val="24"/>
              </w:rPr>
            </w:pPr>
            <w:r w:rsidRPr="0029177F">
              <w:rPr>
                <w:rFonts w:ascii="Times New Roman" w:eastAsia="Calibri" w:hAnsi="Times New Roman" w:cs="Times New Roman"/>
                <w:bCs/>
                <w:sz w:val="24"/>
                <w:szCs w:val="24"/>
              </w:rPr>
              <w:t>3.231</w:t>
            </w:r>
          </w:p>
        </w:tc>
        <w:tc>
          <w:tcPr>
            <w:tcW w:w="3402" w:type="dxa"/>
            <w:tcBorders>
              <w:top w:val="nil"/>
              <w:left w:val="nil"/>
              <w:bottom w:val="single" w:sz="8" w:space="0" w:color="auto"/>
              <w:right w:val="single" w:sz="8" w:space="0" w:color="auto"/>
            </w:tcBorders>
            <w:tcMar>
              <w:top w:w="0" w:type="dxa"/>
              <w:left w:w="108" w:type="dxa"/>
              <w:bottom w:w="0" w:type="dxa"/>
              <w:right w:w="108" w:type="dxa"/>
            </w:tcMar>
            <w:hideMark/>
          </w:tcPr>
          <w:p w14:paraId="31088BBF" w14:textId="77777777" w:rsidR="004B03CB" w:rsidRPr="0029177F" w:rsidRDefault="004B03CB" w:rsidP="00816216">
            <w:pPr>
              <w:spacing w:after="0" w:line="240" w:lineRule="auto"/>
              <w:jc w:val="center"/>
              <w:rPr>
                <w:rFonts w:ascii="Times New Roman" w:eastAsia="Calibri" w:hAnsi="Times New Roman" w:cs="Times New Roman"/>
                <w:sz w:val="24"/>
                <w:szCs w:val="24"/>
              </w:rPr>
            </w:pPr>
            <w:r w:rsidRPr="0029177F">
              <w:rPr>
                <w:rFonts w:ascii="Times New Roman" w:eastAsia="Calibri" w:hAnsi="Times New Roman" w:cs="Times New Roman"/>
                <w:bCs/>
                <w:sz w:val="24"/>
                <w:szCs w:val="24"/>
              </w:rPr>
              <w:t>5.843</w:t>
            </w:r>
          </w:p>
        </w:tc>
      </w:tr>
      <w:tr w:rsidR="004B03CB" w:rsidRPr="0029177F" w14:paraId="260A3ADC" w14:textId="77777777" w:rsidTr="00816216">
        <w:tc>
          <w:tcPr>
            <w:tcW w:w="21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C199A7" w14:textId="77777777" w:rsidR="004B03CB" w:rsidRPr="0029177F" w:rsidRDefault="004B03CB" w:rsidP="00816216">
            <w:pPr>
              <w:spacing w:after="0" w:line="240" w:lineRule="auto"/>
              <w:jc w:val="center"/>
              <w:rPr>
                <w:rFonts w:ascii="Times New Roman" w:eastAsia="Calibri" w:hAnsi="Times New Roman" w:cs="Times New Roman"/>
                <w:sz w:val="24"/>
                <w:szCs w:val="24"/>
              </w:rPr>
            </w:pPr>
            <w:r w:rsidRPr="0029177F">
              <w:rPr>
                <w:rFonts w:ascii="Times New Roman" w:eastAsia="Calibri" w:hAnsi="Times New Roman" w:cs="Times New Roman"/>
                <w:bCs/>
                <w:sz w:val="24"/>
                <w:szCs w:val="24"/>
              </w:rPr>
              <w:t>2019.</w:t>
            </w:r>
          </w:p>
        </w:tc>
        <w:tc>
          <w:tcPr>
            <w:tcW w:w="3685" w:type="dxa"/>
            <w:tcBorders>
              <w:top w:val="nil"/>
              <w:left w:val="nil"/>
              <w:bottom w:val="single" w:sz="8" w:space="0" w:color="auto"/>
              <w:right w:val="single" w:sz="8" w:space="0" w:color="auto"/>
            </w:tcBorders>
            <w:tcMar>
              <w:top w:w="0" w:type="dxa"/>
              <w:left w:w="108" w:type="dxa"/>
              <w:bottom w:w="0" w:type="dxa"/>
              <w:right w:w="108" w:type="dxa"/>
            </w:tcMar>
            <w:hideMark/>
          </w:tcPr>
          <w:p w14:paraId="1B30688C" w14:textId="77777777" w:rsidR="004B03CB" w:rsidRPr="0029177F" w:rsidRDefault="004B03CB" w:rsidP="00816216">
            <w:pPr>
              <w:spacing w:after="0" w:line="240" w:lineRule="auto"/>
              <w:jc w:val="center"/>
              <w:rPr>
                <w:rFonts w:ascii="Times New Roman" w:eastAsia="Calibri" w:hAnsi="Times New Roman" w:cs="Times New Roman"/>
                <w:sz w:val="24"/>
                <w:szCs w:val="24"/>
              </w:rPr>
            </w:pPr>
            <w:r w:rsidRPr="0029177F">
              <w:rPr>
                <w:rFonts w:ascii="Times New Roman" w:eastAsia="Calibri" w:hAnsi="Times New Roman" w:cs="Times New Roman"/>
                <w:bCs/>
                <w:sz w:val="24"/>
                <w:szCs w:val="24"/>
              </w:rPr>
              <w:t>2.820</w:t>
            </w:r>
          </w:p>
        </w:tc>
        <w:tc>
          <w:tcPr>
            <w:tcW w:w="3402" w:type="dxa"/>
            <w:tcBorders>
              <w:top w:val="nil"/>
              <w:left w:val="nil"/>
              <w:bottom w:val="single" w:sz="8" w:space="0" w:color="auto"/>
              <w:right w:val="single" w:sz="8" w:space="0" w:color="auto"/>
            </w:tcBorders>
            <w:tcMar>
              <w:top w:w="0" w:type="dxa"/>
              <w:left w:w="108" w:type="dxa"/>
              <w:bottom w:w="0" w:type="dxa"/>
              <w:right w:w="108" w:type="dxa"/>
            </w:tcMar>
            <w:hideMark/>
          </w:tcPr>
          <w:p w14:paraId="2B278446" w14:textId="77777777" w:rsidR="004B03CB" w:rsidRPr="0029177F" w:rsidRDefault="004B03CB" w:rsidP="00816216">
            <w:pPr>
              <w:spacing w:after="0" w:line="240" w:lineRule="auto"/>
              <w:jc w:val="center"/>
              <w:rPr>
                <w:rFonts w:ascii="Times New Roman" w:eastAsia="Calibri" w:hAnsi="Times New Roman" w:cs="Times New Roman"/>
                <w:sz w:val="24"/>
                <w:szCs w:val="24"/>
              </w:rPr>
            </w:pPr>
            <w:r w:rsidRPr="0029177F">
              <w:rPr>
                <w:rFonts w:ascii="Times New Roman" w:eastAsia="Calibri" w:hAnsi="Times New Roman" w:cs="Times New Roman"/>
                <w:bCs/>
                <w:sz w:val="24"/>
                <w:szCs w:val="24"/>
              </w:rPr>
              <w:t>5.948</w:t>
            </w:r>
          </w:p>
        </w:tc>
      </w:tr>
      <w:tr w:rsidR="004B03CB" w:rsidRPr="0029177F" w14:paraId="2A92070A" w14:textId="77777777" w:rsidTr="00816216">
        <w:tc>
          <w:tcPr>
            <w:tcW w:w="21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180E40F" w14:textId="77777777" w:rsidR="004B03CB" w:rsidRPr="0029177F" w:rsidRDefault="004B03CB" w:rsidP="00816216">
            <w:pPr>
              <w:spacing w:after="0" w:line="240" w:lineRule="auto"/>
              <w:jc w:val="center"/>
              <w:rPr>
                <w:rFonts w:ascii="Times New Roman" w:eastAsia="Calibri" w:hAnsi="Times New Roman" w:cs="Times New Roman"/>
                <w:bCs/>
                <w:sz w:val="24"/>
                <w:szCs w:val="24"/>
              </w:rPr>
            </w:pPr>
            <w:r w:rsidRPr="0029177F">
              <w:rPr>
                <w:rFonts w:ascii="Times New Roman" w:eastAsia="Calibri" w:hAnsi="Times New Roman" w:cs="Times New Roman"/>
                <w:bCs/>
                <w:sz w:val="24"/>
                <w:szCs w:val="24"/>
              </w:rPr>
              <w:t>20</w:t>
            </w:r>
            <w:r>
              <w:rPr>
                <w:rFonts w:ascii="Times New Roman" w:eastAsia="Calibri" w:hAnsi="Times New Roman" w:cs="Times New Roman"/>
                <w:bCs/>
                <w:sz w:val="24"/>
                <w:szCs w:val="24"/>
              </w:rPr>
              <w:t>20</w:t>
            </w:r>
            <w:r w:rsidRPr="0029177F">
              <w:rPr>
                <w:rFonts w:ascii="Times New Roman" w:eastAsia="Calibri" w:hAnsi="Times New Roman" w:cs="Times New Roman"/>
                <w:bCs/>
                <w:sz w:val="24"/>
                <w:szCs w:val="24"/>
              </w:rPr>
              <w:t>.</w:t>
            </w:r>
          </w:p>
        </w:tc>
        <w:tc>
          <w:tcPr>
            <w:tcW w:w="3685" w:type="dxa"/>
            <w:tcBorders>
              <w:top w:val="nil"/>
              <w:left w:val="nil"/>
              <w:bottom w:val="single" w:sz="8" w:space="0" w:color="auto"/>
              <w:right w:val="single" w:sz="8" w:space="0" w:color="auto"/>
            </w:tcBorders>
            <w:tcMar>
              <w:top w:w="0" w:type="dxa"/>
              <w:left w:w="108" w:type="dxa"/>
              <w:bottom w:w="0" w:type="dxa"/>
              <w:right w:w="108" w:type="dxa"/>
            </w:tcMar>
            <w:hideMark/>
          </w:tcPr>
          <w:p w14:paraId="78BA00FE" w14:textId="77777777" w:rsidR="004B03CB" w:rsidRPr="0029177F" w:rsidRDefault="004B03CB" w:rsidP="00816216">
            <w:pPr>
              <w:spacing w:after="0" w:line="240" w:lineRule="auto"/>
              <w:jc w:val="center"/>
              <w:rPr>
                <w:rFonts w:ascii="Times New Roman" w:eastAsia="Calibri" w:hAnsi="Times New Roman" w:cs="Times New Roman"/>
                <w:bCs/>
                <w:sz w:val="24"/>
                <w:szCs w:val="24"/>
              </w:rPr>
            </w:pPr>
            <w:r w:rsidRPr="001F43B3">
              <w:rPr>
                <w:rFonts w:ascii="Times New Roman" w:hAnsi="Times New Roman"/>
                <w:sz w:val="24"/>
                <w:szCs w:val="24"/>
              </w:rPr>
              <w:t>2.475</w:t>
            </w:r>
          </w:p>
        </w:tc>
        <w:tc>
          <w:tcPr>
            <w:tcW w:w="3402" w:type="dxa"/>
            <w:tcBorders>
              <w:top w:val="nil"/>
              <w:left w:val="nil"/>
              <w:bottom w:val="single" w:sz="8" w:space="0" w:color="auto"/>
              <w:right w:val="single" w:sz="8" w:space="0" w:color="auto"/>
            </w:tcBorders>
            <w:tcMar>
              <w:top w:w="0" w:type="dxa"/>
              <w:left w:w="108" w:type="dxa"/>
              <w:bottom w:w="0" w:type="dxa"/>
              <w:right w:w="108" w:type="dxa"/>
            </w:tcMar>
            <w:hideMark/>
          </w:tcPr>
          <w:p w14:paraId="12C4FFB2" w14:textId="77777777" w:rsidR="004B03CB" w:rsidRPr="0029177F" w:rsidRDefault="004B03CB" w:rsidP="00816216">
            <w:pPr>
              <w:spacing w:after="0" w:line="240" w:lineRule="auto"/>
              <w:jc w:val="center"/>
              <w:rPr>
                <w:rFonts w:ascii="Times New Roman" w:eastAsia="Calibri" w:hAnsi="Times New Roman" w:cs="Times New Roman"/>
                <w:bCs/>
                <w:sz w:val="24"/>
                <w:szCs w:val="24"/>
              </w:rPr>
            </w:pPr>
            <w:r w:rsidRPr="001F43B3">
              <w:rPr>
                <w:rFonts w:ascii="Times New Roman" w:eastAsia="Times New Roman" w:hAnsi="Times New Roman" w:cs="Times New Roman"/>
                <w:sz w:val="24"/>
                <w:szCs w:val="24"/>
                <w:lang w:eastAsia="hr-HR"/>
              </w:rPr>
              <w:t>6.231</w:t>
            </w:r>
          </w:p>
        </w:tc>
      </w:tr>
    </w:tbl>
    <w:p w14:paraId="6419AEE9" w14:textId="1B94C6B2" w:rsidR="004B03CB" w:rsidRDefault="004B03CB">
      <w:pPr>
        <w:rPr>
          <w:rFonts w:ascii="Times New Roman" w:eastAsia="Times New Roman" w:hAnsi="Times New Roman" w:cs="Times New Roman"/>
          <w:sz w:val="24"/>
          <w:szCs w:val="24"/>
          <w:lang w:eastAsia="hr-HR"/>
        </w:rPr>
      </w:pPr>
    </w:p>
    <w:p w14:paraId="556C22BF" w14:textId="77777777" w:rsidR="00F13184" w:rsidRDefault="00F13184" w:rsidP="004B03CB">
      <w:pPr>
        <w:rPr>
          <w:rFonts w:ascii="Times New Roman" w:hAnsi="Times New Roman" w:cs="Times New Roman"/>
          <w:b/>
          <w:bCs/>
          <w:sz w:val="24"/>
          <w:szCs w:val="24"/>
          <w:u w:val="single"/>
        </w:rPr>
      </w:pPr>
    </w:p>
    <w:p w14:paraId="667085FD" w14:textId="77777777" w:rsidR="00F13184" w:rsidRDefault="00F13184" w:rsidP="004B03CB">
      <w:pPr>
        <w:rPr>
          <w:rFonts w:ascii="Times New Roman" w:hAnsi="Times New Roman" w:cs="Times New Roman"/>
          <w:b/>
          <w:bCs/>
          <w:sz w:val="24"/>
          <w:szCs w:val="24"/>
          <w:u w:val="single"/>
        </w:rPr>
      </w:pPr>
    </w:p>
    <w:p w14:paraId="56DD6983" w14:textId="307DD566" w:rsidR="004B03CB" w:rsidRDefault="004B03CB" w:rsidP="004B03CB">
      <w:pPr>
        <w:rPr>
          <w:rFonts w:ascii="Times New Roman" w:hAnsi="Times New Roman" w:cs="Times New Roman"/>
          <w:b/>
          <w:bCs/>
          <w:sz w:val="24"/>
          <w:szCs w:val="24"/>
          <w:u w:val="single"/>
        </w:rPr>
      </w:pPr>
      <w:r w:rsidRPr="00893ED2">
        <w:rPr>
          <w:rFonts w:ascii="Times New Roman" w:hAnsi="Times New Roman" w:cs="Times New Roman"/>
          <w:b/>
          <w:bCs/>
          <w:sz w:val="24"/>
          <w:szCs w:val="24"/>
          <w:u w:val="single"/>
        </w:rPr>
        <w:t xml:space="preserve">Prilog </w:t>
      </w:r>
      <w:r>
        <w:rPr>
          <w:rFonts w:ascii="Times New Roman" w:hAnsi="Times New Roman" w:cs="Times New Roman"/>
          <w:b/>
          <w:bCs/>
          <w:sz w:val="24"/>
          <w:szCs w:val="24"/>
          <w:u w:val="single"/>
        </w:rPr>
        <w:t>35</w:t>
      </w:r>
    </w:p>
    <w:p w14:paraId="07259C63" w14:textId="77777777" w:rsidR="004B03CB" w:rsidRPr="00893ED2" w:rsidRDefault="004B03CB" w:rsidP="004B03CB">
      <w:pPr>
        <w:rPr>
          <w:rFonts w:ascii="Times New Roman" w:hAnsi="Times New Roman" w:cs="Times New Roman"/>
          <w:b/>
          <w:bCs/>
          <w:sz w:val="24"/>
          <w:szCs w:val="24"/>
          <w:u w:val="single"/>
        </w:rPr>
      </w:pPr>
    </w:p>
    <w:p w14:paraId="48ED349E" w14:textId="77777777" w:rsidR="004B03CB" w:rsidRDefault="004B03CB" w:rsidP="004B03CB">
      <w:pPr>
        <w:jc w:val="center"/>
        <w:rPr>
          <w:rFonts w:ascii="Times New Roman" w:hAnsi="Times New Roman"/>
          <w:b/>
          <w:bCs/>
          <w:iCs/>
          <w:sz w:val="24"/>
          <w:szCs w:val="24"/>
          <w:lang w:eastAsia="hr-HR"/>
        </w:rPr>
      </w:pPr>
      <w:r w:rsidRPr="00893ED2">
        <w:rPr>
          <w:rFonts w:ascii="Times New Roman" w:hAnsi="Times New Roman"/>
          <w:b/>
          <w:bCs/>
          <w:iCs/>
          <w:sz w:val="24"/>
          <w:szCs w:val="24"/>
          <w:lang w:eastAsia="hr-HR"/>
        </w:rPr>
        <w:t>PREGLED BROJA OSOBA S INVALIDITETOM UKLJUČENIH U MJERE AKTIVNE POLITIKE ZAPOŠLJAVANJA HZZ-A</w:t>
      </w:r>
    </w:p>
    <w:p w14:paraId="4F086325" w14:textId="77777777" w:rsidR="004B03CB" w:rsidRPr="00893ED2" w:rsidRDefault="004B03CB" w:rsidP="004B03CB">
      <w:pPr>
        <w:ind w:left="709"/>
        <w:jc w:val="center"/>
        <w:rPr>
          <w:rFonts w:ascii="Times New Roman" w:hAnsi="Times New Roman"/>
          <w:b/>
          <w:bCs/>
          <w:iCs/>
          <w:sz w:val="24"/>
          <w:szCs w:val="24"/>
          <w:lang w:eastAsia="hr-HR"/>
        </w:rPr>
      </w:pPr>
    </w:p>
    <w:tbl>
      <w:tblPr>
        <w:tblStyle w:val="Reetkatablice"/>
        <w:tblW w:w="7230" w:type="dxa"/>
        <w:tblInd w:w="704" w:type="dxa"/>
        <w:tblLook w:val="04A0" w:firstRow="1" w:lastRow="0" w:firstColumn="1" w:lastColumn="0" w:noHBand="0" w:noVBand="1"/>
      </w:tblPr>
      <w:tblGrid>
        <w:gridCol w:w="2410"/>
        <w:gridCol w:w="4820"/>
      </w:tblGrid>
      <w:tr w:rsidR="004B03CB" w14:paraId="7B9E8AA5" w14:textId="77777777" w:rsidTr="00816216">
        <w:tc>
          <w:tcPr>
            <w:tcW w:w="2410" w:type="dxa"/>
            <w:shd w:val="clear" w:color="auto" w:fill="D9D9D9" w:themeFill="background1" w:themeFillShade="D9"/>
            <w:vAlign w:val="center"/>
          </w:tcPr>
          <w:p w14:paraId="0FD062CD" w14:textId="77777777" w:rsidR="004B03CB" w:rsidRPr="00893ED2" w:rsidRDefault="004B03CB" w:rsidP="00816216">
            <w:pPr>
              <w:jc w:val="center"/>
              <w:rPr>
                <w:rFonts w:ascii="Times New Roman" w:hAnsi="Times New Roman"/>
                <w:b/>
                <w:bCs/>
                <w:i/>
                <w:sz w:val="24"/>
                <w:szCs w:val="24"/>
                <w:lang w:eastAsia="hr-HR"/>
              </w:rPr>
            </w:pPr>
            <w:r>
              <w:rPr>
                <w:rFonts w:ascii="Times New Roman" w:hAnsi="Times New Roman"/>
                <w:bCs/>
                <w:sz w:val="24"/>
                <w:szCs w:val="24"/>
              </w:rPr>
              <w:t>G</w:t>
            </w:r>
            <w:r w:rsidRPr="00574906">
              <w:rPr>
                <w:rFonts w:ascii="Times New Roman" w:hAnsi="Times New Roman"/>
                <w:bCs/>
                <w:sz w:val="24"/>
                <w:szCs w:val="24"/>
              </w:rPr>
              <w:t>odina</w:t>
            </w:r>
          </w:p>
        </w:tc>
        <w:tc>
          <w:tcPr>
            <w:tcW w:w="4820" w:type="dxa"/>
            <w:shd w:val="clear" w:color="auto" w:fill="D9D9D9" w:themeFill="background1" w:themeFillShade="D9"/>
            <w:vAlign w:val="center"/>
          </w:tcPr>
          <w:p w14:paraId="486B1C94" w14:textId="77777777" w:rsidR="004B03CB" w:rsidRDefault="004B03CB" w:rsidP="00816216">
            <w:pPr>
              <w:jc w:val="center"/>
              <w:rPr>
                <w:rFonts w:ascii="Times New Roman" w:hAnsi="Times New Roman"/>
                <w:sz w:val="24"/>
                <w:szCs w:val="24"/>
              </w:rPr>
            </w:pPr>
            <w:r>
              <w:rPr>
                <w:rFonts w:ascii="Times New Roman" w:hAnsi="Times New Roman"/>
                <w:sz w:val="24"/>
                <w:szCs w:val="24"/>
              </w:rPr>
              <w:t>B</w:t>
            </w:r>
            <w:r w:rsidRPr="00574906">
              <w:rPr>
                <w:rFonts w:ascii="Times New Roman" w:hAnsi="Times New Roman"/>
                <w:sz w:val="24"/>
                <w:szCs w:val="24"/>
              </w:rPr>
              <w:t>roj uključenih</w:t>
            </w:r>
          </w:p>
          <w:p w14:paraId="503425E4" w14:textId="77777777" w:rsidR="004B03CB" w:rsidRPr="00893ED2" w:rsidRDefault="004B03CB" w:rsidP="00816216">
            <w:pPr>
              <w:jc w:val="center"/>
              <w:rPr>
                <w:rFonts w:ascii="Times New Roman" w:hAnsi="Times New Roman"/>
                <w:b/>
                <w:bCs/>
                <w:i/>
                <w:sz w:val="24"/>
                <w:szCs w:val="24"/>
                <w:lang w:eastAsia="hr-HR"/>
              </w:rPr>
            </w:pPr>
            <w:r w:rsidRPr="00574906">
              <w:rPr>
                <w:rFonts w:ascii="Times New Roman" w:hAnsi="Times New Roman"/>
                <w:sz w:val="24"/>
                <w:szCs w:val="24"/>
              </w:rPr>
              <w:t>osoba s invaliditetom u</w:t>
            </w:r>
            <w:r>
              <w:rPr>
                <w:rFonts w:ascii="Times New Roman" w:hAnsi="Times New Roman"/>
                <w:sz w:val="24"/>
                <w:szCs w:val="24"/>
              </w:rPr>
              <w:t xml:space="preserve"> mjere</w:t>
            </w:r>
          </w:p>
        </w:tc>
      </w:tr>
      <w:tr w:rsidR="004B03CB" w14:paraId="27A19875" w14:textId="77777777" w:rsidTr="00816216">
        <w:tc>
          <w:tcPr>
            <w:tcW w:w="2410" w:type="dxa"/>
            <w:vAlign w:val="center"/>
          </w:tcPr>
          <w:p w14:paraId="0C39CE96" w14:textId="77777777" w:rsidR="004B03CB" w:rsidRDefault="004B03CB" w:rsidP="00816216">
            <w:pPr>
              <w:jc w:val="center"/>
              <w:rPr>
                <w:rFonts w:ascii="Times New Roman" w:hAnsi="Times New Roman"/>
                <w:i/>
                <w:sz w:val="24"/>
                <w:szCs w:val="24"/>
                <w:lang w:eastAsia="hr-HR"/>
              </w:rPr>
            </w:pPr>
            <w:r>
              <w:rPr>
                <w:rFonts w:ascii="Times New Roman" w:hAnsi="Times New Roman"/>
                <w:bCs/>
                <w:sz w:val="24"/>
                <w:szCs w:val="24"/>
              </w:rPr>
              <w:t>2015.</w:t>
            </w:r>
          </w:p>
        </w:tc>
        <w:tc>
          <w:tcPr>
            <w:tcW w:w="4820" w:type="dxa"/>
            <w:vAlign w:val="center"/>
          </w:tcPr>
          <w:p w14:paraId="20B700AC" w14:textId="77777777" w:rsidR="004B03CB" w:rsidRDefault="004B03CB" w:rsidP="00816216">
            <w:pPr>
              <w:jc w:val="center"/>
              <w:rPr>
                <w:rFonts w:ascii="Times New Roman" w:hAnsi="Times New Roman"/>
                <w:i/>
                <w:sz w:val="24"/>
                <w:szCs w:val="24"/>
                <w:lang w:eastAsia="hr-HR"/>
              </w:rPr>
            </w:pPr>
            <w:r w:rsidRPr="004C329C">
              <w:rPr>
                <w:rFonts w:ascii="Times New Roman" w:eastAsia="SimSun" w:hAnsi="Times New Roman"/>
                <w:lang w:eastAsia="zh-CN"/>
              </w:rPr>
              <w:t>1.668</w:t>
            </w:r>
          </w:p>
        </w:tc>
      </w:tr>
      <w:tr w:rsidR="004B03CB" w14:paraId="0FB24FEF" w14:textId="77777777" w:rsidTr="00816216">
        <w:tc>
          <w:tcPr>
            <w:tcW w:w="2410" w:type="dxa"/>
            <w:vAlign w:val="center"/>
          </w:tcPr>
          <w:p w14:paraId="7D628F66" w14:textId="77777777" w:rsidR="004B03CB" w:rsidRDefault="004B03CB" w:rsidP="00816216">
            <w:pPr>
              <w:jc w:val="center"/>
              <w:rPr>
                <w:rFonts w:ascii="Times New Roman" w:hAnsi="Times New Roman"/>
                <w:i/>
                <w:sz w:val="24"/>
                <w:szCs w:val="24"/>
                <w:lang w:eastAsia="hr-HR"/>
              </w:rPr>
            </w:pPr>
            <w:r>
              <w:rPr>
                <w:rFonts w:ascii="Times New Roman" w:hAnsi="Times New Roman"/>
                <w:bCs/>
                <w:sz w:val="24"/>
                <w:szCs w:val="24"/>
              </w:rPr>
              <w:t>2016.</w:t>
            </w:r>
          </w:p>
        </w:tc>
        <w:tc>
          <w:tcPr>
            <w:tcW w:w="4820" w:type="dxa"/>
            <w:vAlign w:val="center"/>
          </w:tcPr>
          <w:p w14:paraId="49244686" w14:textId="77777777" w:rsidR="004B03CB" w:rsidRDefault="004B03CB" w:rsidP="00816216">
            <w:pPr>
              <w:jc w:val="center"/>
              <w:rPr>
                <w:rFonts w:ascii="Times New Roman" w:hAnsi="Times New Roman"/>
                <w:i/>
                <w:sz w:val="24"/>
                <w:szCs w:val="24"/>
                <w:lang w:eastAsia="hr-HR"/>
              </w:rPr>
            </w:pPr>
            <w:r w:rsidRPr="00071519">
              <w:rPr>
                <w:rFonts w:ascii="Times New Roman" w:hAnsi="Times New Roman"/>
                <w:sz w:val="24"/>
                <w:szCs w:val="24"/>
              </w:rPr>
              <w:t>1.480</w:t>
            </w:r>
          </w:p>
        </w:tc>
      </w:tr>
      <w:tr w:rsidR="004B03CB" w14:paraId="507B5022" w14:textId="77777777" w:rsidTr="00816216">
        <w:tc>
          <w:tcPr>
            <w:tcW w:w="2410" w:type="dxa"/>
            <w:vAlign w:val="center"/>
          </w:tcPr>
          <w:p w14:paraId="46B141B7" w14:textId="77777777" w:rsidR="004B03CB" w:rsidRDefault="004B03CB" w:rsidP="00816216">
            <w:pPr>
              <w:jc w:val="center"/>
              <w:rPr>
                <w:rFonts w:ascii="Times New Roman" w:hAnsi="Times New Roman"/>
                <w:i/>
                <w:sz w:val="24"/>
                <w:szCs w:val="24"/>
                <w:lang w:eastAsia="hr-HR"/>
              </w:rPr>
            </w:pPr>
            <w:r w:rsidRPr="00574906">
              <w:rPr>
                <w:rFonts w:ascii="Times New Roman" w:hAnsi="Times New Roman"/>
                <w:bCs/>
                <w:sz w:val="24"/>
                <w:szCs w:val="24"/>
              </w:rPr>
              <w:t>2017.</w:t>
            </w:r>
          </w:p>
        </w:tc>
        <w:tc>
          <w:tcPr>
            <w:tcW w:w="4820" w:type="dxa"/>
            <w:vAlign w:val="center"/>
          </w:tcPr>
          <w:p w14:paraId="1932E4AC" w14:textId="77777777" w:rsidR="004B03CB" w:rsidRDefault="004B03CB" w:rsidP="00816216">
            <w:pPr>
              <w:jc w:val="center"/>
              <w:rPr>
                <w:rFonts w:ascii="Times New Roman" w:hAnsi="Times New Roman"/>
                <w:i/>
                <w:sz w:val="24"/>
                <w:szCs w:val="24"/>
                <w:lang w:eastAsia="hr-HR"/>
              </w:rPr>
            </w:pPr>
            <w:r w:rsidRPr="00574906">
              <w:rPr>
                <w:rFonts w:ascii="Times New Roman" w:hAnsi="Times New Roman"/>
                <w:sz w:val="24"/>
                <w:szCs w:val="24"/>
              </w:rPr>
              <w:t>1.433</w:t>
            </w:r>
          </w:p>
        </w:tc>
      </w:tr>
      <w:tr w:rsidR="004B03CB" w14:paraId="66E50748" w14:textId="77777777" w:rsidTr="00816216">
        <w:tc>
          <w:tcPr>
            <w:tcW w:w="2410" w:type="dxa"/>
            <w:vAlign w:val="center"/>
          </w:tcPr>
          <w:p w14:paraId="25BE044A" w14:textId="77777777" w:rsidR="004B03CB" w:rsidRDefault="004B03CB" w:rsidP="00816216">
            <w:pPr>
              <w:jc w:val="center"/>
              <w:rPr>
                <w:rFonts w:ascii="Times New Roman" w:hAnsi="Times New Roman"/>
                <w:i/>
                <w:sz w:val="24"/>
                <w:szCs w:val="24"/>
                <w:lang w:eastAsia="hr-HR"/>
              </w:rPr>
            </w:pPr>
            <w:r w:rsidRPr="00574906">
              <w:rPr>
                <w:rFonts w:ascii="Times New Roman" w:hAnsi="Times New Roman"/>
                <w:bCs/>
                <w:sz w:val="24"/>
                <w:szCs w:val="24"/>
              </w:rPr>
              <w:t>2018.</w:t>
            </w:r>
          </w:p>
        </w:tc>
        <w:tc>
          <w:tcPr>
            <w:tcW w:w="4820" w:type="dxa"/>
            <w:vAlign w:val="center"/>
          </w:tcPr>
          <w:p w14:paraId="05B75FDB" w14:textId="77777777" w:rsidR="004B03CB" w:rsidRDefault="004B03CB" w:rsidP="00816216">
            <w:pPr>
              <w:jc w:val="center"/>
              <w:rPr>
                <w:rFonts w:ascii="Times New Roman" w:hAnsi="Times New Roman"/>
                <w:i/>
                <w:sz w:val="24"/>
                <w:szCs w:val="24"/>
                <w:lang w:eastAsia="hr-HR"/>
              </w:rPr>
            </w:pPr>
            <w:r w:rsidRPr="00574906">
              <w:rPr>
                <w:rFonts w:ascii="Times New Roman" w:hAnsi="Times New Roman"/>
                <w:sz w:val="24"/>
                <w:szCs w:val="24"/>
              </w:rPr>
              <w:t>1.648</w:t>
            </w:r>
          </w:p>
        </w:tc>
      </w:tr>
      <w:tr w:rsidR="004B03CB" w14:paraId="315D49D3" w14:textId="77777777" w:rsidTr="00816216">
        <w:tc>
          <w:tcPr>
            <w:tcW w:w="2410" w:type="dxa"/>
            <w:vAlign w:val="center"/>
          </w:tcPr>
          <w:p w14:paraId="7B55543B" w14:textId="77777777" w:rsidR="004B03CB" w:rsidRDefault="004B03CB" w:rsidP="00816216">
            <w:pPr>
              <w:jc w:val="center"/>
              <w:rPr>
                <w:rFonts w:ascii="Times New Roman" w:hAnsi="Times New Roman"/>
                <w:i/>
                <w:sz w:val="24"/>
                <w:szCs w:val="24"/>
                <w:lang w:eastAsia="hr-HR"/>
              </w:rPr>
            </w:pPr>
            <w:r w:rsidRPr="00574906">
              <w:rPr>
                <w:rFonts w:ascii="Times New Roman" w:hAnsi="Times New Roman"/>
                <w:bCs/>
                <w:sz w:val="24"/>
                <w:szCs w:val="24"/>
              </w:rPr>
              <w:t>2019.</w:t>
            </w:r>
          </w:p>
        </w:tc>
        <w:tc>
          <w:tcPr>
            <w:tcW w:w="4820" w:type="dxa"/>
            <w:vAlign w:val="center"/>
          </w:tcPr>
          <w:p w14:paraId="138D5E09" w14:textId="77777777" w:rsidR="004B03CB" w:rsidRDefault="004B03CB" w:rsidP="00816216">
            <w:pPr>
              <w:jc w:val="center"/>
              <w:rPr>
                <w:rFonts w:ascii="Times New Roman" w:hAnsi="Times New Roman"/>
                <w:i/>
                <w:sz w:val="24"/>
                <w:szCs w:val="24"/>
                <w:lang w:eastAsia="hr-HR"/>
              </w:rPr>
            </w:pPr>
            <w:r w:rsidRPr="00574906">
              <w:rPr>
                <w:rFonts w:ascii="Times New Roman" w:hAnsi="Times New Roman"/>
                <w:sz w:val="24"/>
                <w:szCs w:val="24"/>
              </w:rPr>
              <w:t>1.525</w:t>
            </w:r>
          </w:p>
        </w:tc>
      </w:tr>
      <w:tr w:rsidR="004B03CB" w14:paraId="5BE1EFC8" w14:textId="77777777" w:rsidTr="00816216">
        <w:tc>
          <w:tcPr>
            <w:tcW w:w="2410" w:type="dxa"/>
            <w:vAlign w:val="center"/>
          </w:tcPr>
          <w:p w14:paraId="62E5F339" w14:textId="77777777" w:rsidR="004B03CB" w:rsidRDefault="004B03CB" w:rsidP="00816216">
            <w:pPr>
              <w:jc w:val="center"/>
              <w:rPr>
                <w:rFonts w:ascii="Times New Roman" w:hAnsi="Times New Roman"/>
                <w:i/>
                <w:sz w:val="24"/>
                <w:szCs w:val="24"/>
                <w:lang w:eastAsia="hr-HR"/>
              </w:rPr>
            </w:pPr>
            <w:r w:rsidRPr="00574906">
              <w:rPr>
                <w:rFonts w:ascii="Times New Roman" w:hAnsi="Times New Roman"/>
                <w:bCs/>
                <w:sz w:val="24"/>
                <w:szCs w:val="24"/>
              </w:rPr>
              <w:t>2020.</w:t>
            </w:r>
          </w:p>
        </w:tc>
        <w:tc>
          <w:tcPr>
            <w:tcW w:w="4820" w:type="dxa"/>
            <w:vAlign w:val="center"/>
          </w:tcPr>
          <w:p w14:paraId="2AB0CE2A" w14:textId="77777777" w:rsidR="004B03CB" w:rsidRDefault="004B03CB" w:rsidP="00816216">
            <w:pPr>
              <w:jc w:val="center"/>
              <w:rPr>
                <w:rFonts w:ascii="Times New Roman" w:hAnsi="Times New Roman"/>
                <w:i/>
                <w:sz w:val="24"/>
                <w:szCs w:val="24"/>
                <w:lang w:eastAsia="hr-HR"/>
              </w:rPr>
            </w:pPr>
            <w:r w:rsidRPr="00574906">
              <w:rPr>
                <w:rFonts w:ascii="Times New Roman" w:hAnsi="Times New Roman"/>
                <w:sz w:val="24"/>
                <w:szCs w:val="24"/>
              </w:rPr>
              <w:t>1.019</w:t>
            </w:r>
          </w:p>
        </w:tc>
      </w:tr>
    </w:tbl>
    <w:p w14:paraId="05B8B349" w14:textId="77777777" w:rsidR="004B03CB" w:rsidRDefault="004B03CB" w:rsidP="004B03CB">
      <w:pPr>
        <w:rPr>
          <w:rFonts w:ascii="Times New Roman" w:hAnsi="Times New Roman"/>
          <w:i/>
          <w:sz w:val="24"/>
          <w:szCs w:val="24"/>
          <w:lang w:eastAsia="hr-HR"/>
        </w:rPr>
      </w:pPr>
    </w:p>
    <w:p w14:paraId="7C14EFF7" w14:textId="225FB1BC" w:rsidR="004B03CB" w:rsidRDefault="004B03CB">
      <w:pP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br w:type="page"/>
      </w:r>
    </w:p>
    <w:p w14:paraId="34E48E55" w14:textId="77777777" w:rsidR="004B03CB" w:rsidRPr="008037D3" w:rsidRDefault="004B03CB" w:rsidP="004B03CB">
      <w:pPr>
        <w:rPr>
          <w:rFonts w:ascii="Times New Roman" w:hAnsi="Times New Roman" w:cs="Times New Roman"/>
          <w:b/>
          <w:bCs/>
          <w:iCs/>
          <w:sz w:val="24"/>
          <w:szCs w:val="24"/>
          <w:u w:val="single"/>
        </w:rPr>
      </w:pPr>
      <w:r w:rsidRPr="008037D3">
        <w:rPr>
          <w:rFonts w:ascii="Times New Roman" w:hAnsi="Times New Roman" w:cs="Times New Roman"/>
          <w:b/>
          <w:bCs/>
          <w:iCs/>
          <w:sz w:val="24"/>
          <w:szCs w:val="24"/>
          <w:u w:val="single"/>
        </w:rPr>
        <w:lastRenderedPageBreak/>
        <w:t>Prilog 36</w:t>
      </w:r>
    </w:p>
    <w:p w14:paraId="3F351FC1" w14:textId="77777777" w:rsidR="004B03CB" w:rsidRDefault="004B03CB" w:rsidP="004B03CB">
      <w:pPr>
        <w:jc w:val="both"/>
        <w:rPr>
          <w:rFonts w:ascii="Times New Roman" w:hAnsi="Times New Roman" w:cs="Times New Roman"/>
          <w:i/>
          <w:sz w:val="24"/>
          <w:szCs w:val="24"/>
        </w:rPr>
      </w:pPr>
    </w:p>
    <w:p w14:paraId="741016E3" w14:textId="77777777" w:rsidR="004B03CB" w:rsidRDefault="004B03CB" w:rsidP="004B03CB">
      <w:pPr>
        <w:jc w:val="center"/>
        <w:rPr>
          <w:rFonts w:ascii="Times New Roman" w:hAnsi="Times New Roman" w:cs="Times New Roman"/>
          <w:b/>
          <w:bCs/>
          <w:iCs/>
          <w:sz w:val="24"/>
          <w:szCs w:val="24"/>
        </w:rPr>
      </w:pPr>
      <w:r w:rsidRPr="0053170E">
        <w:rPr>
          <w:rFonts w:ascii="Times New Roman" w:hAnsi="Times New Roman" w:cs="Times New Roman"/>
          <w:b/>
          <w:bCs/>
          <w:iCs/>
          <w:sz w:val="24"/>
          <w:szCs w:val="24"/>
        </w:rPr>
        <w:t>PREGLED BROJA POSLODAVACA I OSOBA S INVALIDITETOM - KORISNIKA POTICAJA ZOSI</w:t>
      </w:r>
    </w:p>
    <w:p w14:paraId="5E3CA81D" w14:textId="77777777" w:rsidR="004B03CB" w:rsidRPr="0053170E" w:rsidRDefault="004B03CB" w:rsidP="004B03CB">
      <w:pPr>
        <w:jc w:val="center"/>
        <w:rPr>
          <w:rFonts w:ascii="Times New Roman" w:hAnsi="Times New Roman" w:cs="Times New Roman"/>
          <w:b/>
          <w:bCs/>
          <w:iCs/>
          <w:sz w:val="24"/>
          <w:szCs w:val="24"/>
        </w:rPr>
      </w:pPr>
    </w:p>
    <w:tbl>
      <w:tblPr>
        <w:tblpPr w:leftFromText="180" w:rightFromText="180" w:vertAnchor="text" w:tblpX="562" w:tblpY="-52"/>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1"/>
        <w:gridCol w:w="1985"/>
        <w:gridCol w:w="2835"/>
        <w:gridCol w:w="2268"/>
      </w:tblGrid>
      <w:tr w:rsidR="004B03CB" w:rsidRPr="007F2173" w14:paraId="6967D91E" w14:textId="77777777" w:rsidTr="00816216">
        <w:trPr>
          <w:trHeight w:val="314"/>
        </w:trPr>
        <w:tc>
          <w:tcPr>
            <w:tcW w:w="1271" w:type="dxa"/>
            <w:shd w:val="clear" w:color="auto" w:fill="E7E6E6" w:themeFill="background2"/>
            <w:tcMar>
              <w:top w:w="0" w:type="dxa"/>
              <w:left w:w="108" w:type="dxa"/>
              <w:bottom w:w="0" w:type="dxa"/>
              <w:right w:w="108" w:type="dxa"/>
            </w:tcMar>
            <w:hideMark/>
          </w:tcPr>
          <w:p w14:paraId="580A4E14" w14:textId="77777777" w:rsidR="004B03CB" w:rsidRPr="007F2173" w:rsidRDefault="004B03CB" w:rsidP="00816216">
            <w:pPr>
              <w:jc w:val="center"/>
              <w:rPr>
                <w:rFonts w:ascii="Times New Roman" w:hAnsi="Times New Roman" w:cs="Times New Roman"/>
                <w:sz w:val="24"/>
                <w:szCs w:val="24"/>
              </w:rPr>
            </w:pPr>
            <w:r>
              <w:rPr>
                <w:rFonts w:ascii="Times New Roman" w:hAnsi="Times New Roman" w:cs="Times New Roman"/>
                <w:bCs/>
                <w:sz w:val="24"/>
                <w:szCs w:val="24"/>
              </w:rPr>
              <w:t>G</w:t>
            </w:r>
            <w:r w:rsidRPr="007F2173">
              <w:rPr>
                <w:rFonts w:ascii="Times New Roman" w:hAnsi="Times New Roman" w:cs="Times New Roman"/>
                <w:bCs/>
                <w:sz w:val="24"/>
                <w:szCs w:val="24"/>
              </w:rPr>
              <w:t>odina</w:t>
            </w:r>
          </w:p>
        </w:tc>
        <w:tc>
          <w:tcPr>
            <w:tcW w:w="1985" w:type="dxa"/>
            <w:shd w:val="clear" w:color="auto" w:fill="E7E6E6" w:themeFill="background2"/>
            <w:tcMar>
              <w:top w:w="0" w:type="dxa"/>
              <w:left w:w="108" w:type="dxa"/>
              <w:bottom w:w="0" w:type="dxa"/>
              <w:right w:w="108" w:type="dxa"/>
            </w:tcMar>
          </w:tcPr>
          <w:p w14:paraId="1E624489" w14:textId="77777777" w:rsidR="004B03CB" w:rsidRPr="007F2173" w:rsidRDefault="004B03CB" w:rsidP="00816216">
            <w:pPr>
              <w:jc w:val="center"/>
              <w:rPr>
                <w:rFonts w:ascii="Times New Roman" w:hAnsi="Times New Roman" w:cs="Times New Roman"/>
                <w:sz w:val="24"/>
                <w:szCs w:val="24"/>
              </w:rPr>
            </w:pPr>
            <w:r>
              <w:rPr>
                <w:rFonts w:ascii="Times New Roman" w:hAnsi="Times New Roman" w:cs="Times New Roman"/>
                <w:sz w:val="24"/>
                <w:szCs w:val="24"/>
              </w:rPr>
              <w:t>B</w:t>
            </w:r>
            <w:r w:rsidRPr="007F2173">
              <w:rPr>
                <w:rFonts w:ascii="Times New Roman" w:hAnsi="Times New Roman" w:cs="Times New Roman"/>
                <w:sz w:val="24"/>
                <w:szCs w:val="24"/>
              </w:rPr>
              <w:t>roj poslodavaca</w:t>
            </w:r>
          </w:p>
        </w:tc>
        <w:tc>
          <w:tcPr>
            <w:tcW w:w="2835" w:type="dxa"/>
            <w:shd w:val="clear" w:color="auto" w:fill="E7E6E6" w:themeFill="background2"/>
          </w:tcPr>
          <w:p w14:paraId="3AEC0B7E" w14:textId="77777777" w:rsidR="004B03CB" w:rsidRPr="007F2173" w:rsidRDefault="004B03CB" w:rsidP="00816216">
            <w:pPr>
              <w:jc w:val="center"/>
              <w:rPr>
                <w:rFonts w:ascii="Times New Roman" w:hAnsi="Times New Roman" w:cs="Times New Roman"/>
                <w:sz w:val="24"/>
                <w:szCs w:val="24"/>
              </w:rPr>
            </w:pPr>
            <w:r>
              <w:rPr>
                <w:rFonts w:ascii="Times New Roman" w:hAnsi="Times New Roman" w:cs="Times New Roman"/>
                <w:sz w:val="24"/>
                <w:szCs w:val="24"/>
              </w:rPr>
              <w:t>B</w:t>
            </w:r>
            <w:r w:rsidRPr="007F2173">
              <w:rPr>
                <w:rFonts w:ascii="Times New Roman" w:hAnsi="Times New Roman" w:cs="Times New Roman"/>
                <w:sz w:val="24"/>
                <w:szCs w:val="24"/>
              </w:rPr>
              <w:t>roj osoba s invaliditetom</w:t>
            </w:r>
          </w:p>
        </w:tc>
        <w:tc>
          <w:tcPr>
            <w:tcW w:w="2268" w:type="dxa"/>
            <w:shd w:val="clear" w:color="auto" w:fill="E7E6E6" w:themeFill="background2"/>
          </w:tcPr>
          <w:p w14:paraId="0C81C4CE" w14:textId="77777777" w:rsidR="004B03CB" w:rsidRDefault="004B03CB" w:rsidP="00816216">
            <w:pPr>
              <w:jc w:val="center"/>
              <w:rPr>
                <w:rFonts w:ascii="Times New Roman" w:hAnsi="Times New Roman" w:cs="Times New Roman"/>
                <w:sz w:val="24"/>
                <w:szCs w:val="24"/>
              </w:rPr>
            </w:pPr>
            <w:r>
              <w:rPr>
                <w:rFonts w:ascii="Times New Roman" w:hAnsi="Times New Roman" w:cs="Times New Roman"/>
                <w:sz w:val="24"/>
                <w:szCs w:val="24"/>
              </w:rPr>
              <w:t>Iznos isplaćenih sredstava (kn)</w:t>
            </w:r>
          </w:p>
        </w:tc>
      </w:tr>
      <w:tr w:rsidR="004B03CB" w:rsidRPr="007F2173" w14:paraId="3EB4E696" w14:textId="77777777" w:rsidTr="00816216">
        <w:trPr>
          <w:trHeight w:val="276"/>
        </w:trPr>
        <w:tc>
          <w:tcPr>
            <w:tcW w:w="1271" w:type="dxa"/>
            <w:tcMar>
              <w:top w:w="0" w:type="dxa"/>
              <w:left w:w="108" w:type="dxa"/>
              <w:bottom w:w="0" w:type="dxa"/>
              <w:right w:w="108" w:type="dxa"/>
            </w:tcMar>
          </w:tcPr>
          <w:p w14:paraId="50013C46" w14:textId="77777777" w:rsidR="004B03CB" w:rsidRPr="007F2173" w:rsidRDefault="004B03CB" w:rsidP="00816216">
            <w:pPr>
              <w:spacing w:line="240" w:lineRule="auto"/>
              <w:jc w:val="center"/>
              <w:rPr>
                <w:rFonts w:ascii="Times New Roman" w:hAnsi="Times New Roman" w:cs="Times New Roman"/>
                <w:bCs/>
                <w:sz w:val="24"/>
                <w:szCs w:val="24"/>
              </w:rPr>
            </w:pPr>
            <w:r>
              <w:rPr>
                <w:rFonts w:ascii="Times New Roman" w:hAnsi="Times New Roman" w:cs="Times New Roman"/>
                <w:bCs/>
                <w:sz w:val="24"/>
                <w:szCs w:val="24"/>
              </w:rPr>
              <w:t>2015.</w:t>
            </w:r>
          </w:p>
        </w:tc>
        <w:tc>
          <w:tcPr>
            <w:tcW w:w="1985" w:type="dxa"/>
            <w:tcMar>
              <w:top w:w="0" w:type="dxa"/>
              <w:left w:w="108" w:type="dxa"/>
              <w:bottom w:w="0" w:type="dxa"/>
              <w:right w:w="108" w:type="dxa"/>
            </w:tcMar>
          </w:tcPr>
          <w:p w14:paraId="5A72243E" w14:textId="77777777" w:rsidR="004B03CB" w:rsidRPr="007F2173" w:rsidRDefault="004B03CB" w:rsidP="00816216">
            <w:pPr>
              <w:spacing w:line="240" w:lineRule="auto"/>
              <w:jc w:val="center"/>
              <w:rPr>
                <w:rFonts w:ascii="Times New Roman" w:hAnsi="Times New Roman" w:cs="Times New Roman"/>
                <w:sz w:val="24"/>
                <w:szCs w:val="24"/>
              </w:rPr>
            </w:pPr>
            <w:r w:rsidRPr="007F2173">
              <w:rPr>
                <w:rFonts w:ascii="Times New Roman" w:hAnsi="Times New Roman" w:cs="Times New Roman"/>
                <w:sz w:val="24"/>
                <w:szCs w:val="24"/>
              </w:rPr>
              <w:t>463</w:t>
            </w:r>
          </w:p>
        </w:tc>
        <w:tc>
          <w:tcPr>
            <w:tcW w:w="2835" w:type="dxa"/>
          </w:tcPr>
          <w:p w14:paraId="67E53E0E" w14:textId="77777777" w:rsidR="004B03CB" w:rsidRPr="007F2173" w:rsidRDefault="004B03CB" w:rsidP="00816216">
            <w:pPr>
              <w:spacing w:line="240" w:lineRule="auto"/>
              <w:jc w:val="center"/>
              <w:rPr>
                <w:rFonts w:ascii="Times New Roman" w:hAnsi="Times New Roman" w:cs="Times New Roman"/>
                <w:sz w:val="24"/>
                <w:szCs w:val="24"/>
              </w:rPr>
            </w:pPr>
            <w:r w:rsidRPr="007F2173">
              <w:rPr>
                <w:rFonts w:ascii="Times New Roman" w:eastAsia="Calibri" w:hAnsi="Times New Roman" w:cs="Times New Roman"/>
                <w:bCs/>
                <w:sz w:val="24"/>
                <w:szCs w:val="24"/>
              </w:rPr>
              <w:t>1</w:t>
            </w:r>
            <w:r>
              <w:rPr>
                <w:rFonts w:ascii="Times New Roman" w:eastAsia="Calibri" w:hAnsi="Times New Roman" w:cs="Times New Roman"/>
                <w:bCs/>
                <w:sz w:val="24"/>
                <w:szCs w:val="24"/>
              </w:rPr>
              <w:t>.</w:t>
            </w:r>
            <w:r w:rsidRPr="007F2173">
              <w:rPr>
                <w:rFonts w:ascii="Times New Roman" w:eastAsia="Calibri" w:hAnsi="Times New Roman" w:cs="Times New Roman"/>
                <w:bCs/>
                <w:sz w:val="24"/>
                <w:szCs w:val="24"/>
              </w:rPr>
              <w:t>427</w:t>
            </w:r>
          </w:p>
        </w:tc>
        <w:tc>
          <w:tcPr>
            <w:tcW w:w="2268" w:type="dxa"/>
          </w:tcPr>
          <w:p w14:paraId="608A8FA0" w14:textId="77777777" w:rsidR="004B03CB" w:rsidRPr="00F428E3" w:rsidRDefault="004B03CB" w:rsidP="00816216">
            <w:pPr>
              <w:spacing w:line="240" w:lineRule="auto"/>
              <w:jc w:val="center"/>
              <w:rPr>
                <w:rFonts w:ascii="Times New Roman" w:eastAsia="Calibri" w:hAnsi="Times New Roman" w:cs="Times New Roman"/>
                <w:bCs/>
                <w:sz w:val="24"/>
                <w:szCs w:val="24"/>
              </w:rPr>
            </w:pPr>
            <w:r w:rsidRPr="00F428E3">
              <w:rPr>
                <w:rFonts w:ascii="Times New Roman" w:eastAsia="Arial Unicode MS" w:hAnsi="Times New Roman" w:cs="Times New Roman"/>
                <w:bCs/>
                <w:sz w:val="24"/>
                <w:szCs w:val="24"/>
                <w:lang w:eastAsia="hr-HR"/>
              </w:rPr>
              <w:t>39.997.789,72</w:t>
            </w:r>
          </w:p>
        </w:tc>
      </w:tr>
      <w:tr w:rsidR="004B03CB" w:rsidRPr="007F2173" w14:paraId="7849D630" w14:textId="77777777" w:rsidTr="00816216">
        <w:trPr>
          <w:trHeight w:val="276"/>
        </w:trPr>
        <w:tc>
          <w:tcPr>
            <w:tcW w:w="1271" w:type="dxa"/>
            <w:tcMar>
              <w:top w:w="0" w:type="dxa"/>
              <w:left w:w="108" w:type="dxa"/>
              <w:bottom w:w="0" w:type="dxa"/>
              <w:right w:w="108" w:type="dxa"/>
            </w:tcMar>
          </w:tcPr>
          <w:p w14:paraId="3CFECCD4" w14:textId="77777777" w:rsidR="004B03CB" w:rsidRPr="007F2173" w:rsidRDefault="004B03CB" w:rsidP="00816216">
            <w:pPr>
              <w:spacing w:line="240" w:lineRule="auto"/>
              <w:jc w:val="center"/>
              <w:rPr>
                <w:rFonts w:ascii="Times New Roman" w:hAnsi="Times New Roman" w:cs="Times New Roman"/>
                <w:bCs/>
                <w:sz w:val="24"/>
                <w:szCs w:val="24"/>
              </w:rPr>
            </w:pPr>
            <w:r>
              <w:rPr>
                <w:rFonts w:ascii="Times New Roman" w:hAnsi="Times New Roman" w:cs="Times New Roman"/>
                <w:bCs/>
                <w:sz w:val="24"/>
                <w:szCs w:val="24"/>
              </w:rPr>
              <w:t>2016.</w:t>
            </w:r>
          </w:p>
        </w:tc>
        <w:tc>
          <w:tcPr>
            <w:tcW w:w="1985" w:type="dxa"/>
            <w:tcMar>
              <w:top w:w="0" w:type="dxa"/>
              <w:left w:w="108" w:type="dxa"/>
              <w:bottom w:w="0" w:type="dxa"/>
              <w:right w:w="108" w:type="dxa"/>
            </w:tcMar>
          </w:tcPr>
          <w:p w14:paraId="1604ADAC" w14:textId="77777777" w:rsidR="004B03CB" w:rsidRPr="007F2173" w:rsidRDefault="004B03CB" w:rsidP="00816216">
            <w:pPr>
              <w:spacing w:line="240" w:lineRule="auto"/>
              <w:jc w:val="center"/>
              <w:rPr>
                <w:rFonts w:ascii="Times New Roman" w:hAnsi="Times New Roman" w:cs="Times New Roman"/>
                <w:sz w:val="24"/>
                <w:szCs w:val="24"/>
              </w:rPr>
            </w:pPr>
            <w:r w:rsidRPr="007F2173">
              <w:rPr>
                <w:rFonts w:ascii="Times New Roman" w:eastAsia="Times New Roman" w:hAnsi="Times New Roman" w:cs="Times New Roman"/>
                <w:sz w:val="24"/>
                <w:szCs w:val="24"/>
                <w:lang w:eastAsia="hr-HR"/>
              </w:rPr>
              <w:t>288</w:t>
            </w:r>
          </w:p>
        </w:tc>
        <w:tc>
          <w:tcPr>
            <w:tcW w:w="2835" w:type="dxa"/>
          </w:tcPr>
          <w:p w14:paraId="4C874BFE" w14:textId="77777777" w:rsidR="004B03CB" w:rsidRPr="007F2173" w:rsidRDefault="004B03CB" w:rsidP="00816216">
            <w:pPr>
              <w:spacing w:line="240" w:lineRule="auto"/>
              <w:jc w:val="center"/>
              <w:rPr>
                <w:rFonts w:ascii="Times New Roman" w:hAnsi="Times New Roman" w:cs="Times New Roman"/>
                <w:sz w:val="24"/>
                <w:szCs w:val="24"/>
              </w:rPr>
            </w:pPr>
            <w:r w:rsidRPr="007F2173">
              <w:rPr>
                <w:rFonts w:ascii="Times New Roman" w:hAnsi="Times New Roman" w:cs="Times New Roman"/>
                <w:sz w:val="24"/>
                <w:szCs w:val="24"/>
              </w:rPr>
              <w:t>1</w:t>
            </w:r>
            <w:r>
              <w:rPr>
                <w:rFonts w:ascii="Times New Roman" w:hAnsi="Times New Roman" w:cs="Times New Roman"/>
                <w:sz w:val="24"/>
                <w:szCs w:val="24"/>
              </w:rPr>
              <w:t>.</w:t>
            </w:r>
            <w:r w:rsidRPr="007F2173">
              <w:rPr>
                <w:rFonts w:ascii="Times New Roman" w:hAnsi="Times New Roman" w:cs="Times New Roman"/>
                <w:sz w:val="24"/>
                <w:szCs w:val="24"/>
              </w:rPr>
              <w:t>063</w:t>
            </w:r>
          </w:p>
        </w:tc>
        <w:tc>
          <w:tcPr>
            <w:tcW w:w="2268" w:type="dxa"/>
          </w:tcPr>
          <w:p w14:paraId="7D7B2510" w14:textId="77777777" w:rsidR="004B03CB" w:rsidRPr="007F2173" w:rsidRDefault="004B03CB" w:rsidP="00816216">
            <w:pPr>
              <w:spacing w:line="240" w:lineRule="auto"/>
              <w:jc w:val="center"/>
              <w:rPr>
                <w:rFonts w:ascii="Times New Roman" w:hAnsi="Times New Roman" w:cs="Times New Roman"/>
                <w:sz w:val="24"/>
                <w:szCs w:val="24"/>
              </w:rPr>
            </w:pPr>
            <w:r w:rsidRPr="00F428E3">
              <w:rPr>
                <w:rFonts w:ascii="Times New Roman" w:hAnsi="Times New Roman" w:cs="Times New Roman"/>
                <w:sz w:val="24"/>
                <w:szCs w:val="24"/>
              </w:rPr>
              <w:t>52.247.234,34</w:t>
            </w:r>
          </w:p>
        </w:tc>
      </w:tr>
      <w:tr w:rsidR="004B03CB" w:rsidRPr="007F2173" w14:paraId="033E63F2" w14:textId="77777777" w:rsidTr="00816216">
        <w:trPr>
          <w:trHeight w:val="276"/>
        </w:trPr>
        <w:tc>
          <w:tcPr>
            <w:tcW w:w="1271" w:type="dxa"/>
            <w:tcMar>
              <w:top w:w="0" w:type="dxa"/>
              <w:left w:w="108" w:type="dxa"/>
              <w:bottom w:w="0" w:type="dxa"/>
              <w:right w:w="108" w:type="dxa"/>
            </w:tcMar>
            <w:hideMark/>
          </w:tcPr>
          <w:p w14:paraId="43AAE78C" w14:textId="77777777" w:rsidR="004B03CB" w:rsidRPr="007F2173" w:rsidRDefault="004B03CB" w:rsidP="00816216">
            <w:pPr>
              <w:spacing w:line="240" w:lineRule="auto"/>
              <w:jc w:val="center"/>
              <w:rPr>
                <w:rFonts w:ascii="Times New Roman" w:hAnsi="Times New Roman" w:cs="Times New Roman"/>
                <w:sz w:val="24"/>
                <w:szCs w:val="24"/>
              </w:rPr>
            </w:pPr>
            <w:r w:rsidRPr="007F2173">
              <w:rPr>
                <w:rFonts w:ascii="Times New Roman" w:hAnsi="Times New Roman" w:cs="Times New Roman"/>
                <w:bCs/>
                <w:sz w:val="24"/>
                <w:szCs w:val="24"/>
              </w:rPr>
              <w:t>2017.</w:t>
            </w:r>
          </w:p>
        </w:tc>
        <w:tc>
          <w:tcPr>
            <w:tcW w:w="1985" w:type="dxa"/>
            <w:tcMar>
              <w:top w:w="0" w:type="dxa"/>
              <w:left w:w="108" w:type="dxa"/>
              <w:bottom w:w="0" w:type="dxa"/>
              <w:right w:w="108" w:type="dxa"/>
            </w:tcMar>
          </w:tcPr>
          <w:p w14:paraId="0E81C64C" w14:textId="77777777" w:rsidR="004B03CB" w:rsidRPr="007F2173" w:rsidRDefault="004B03CB" w:rsidP="00816216">
            <w:pPr>
              <w:spacing w:line="240" w:lineRule="auto"/>
              <w:jc w:val="center"/>
              <w:rPr>
                <w:rFonts w:ascii="Times New Roman" w:hAnsi="Times New Roman" w:cs="Times New Roman"/>
                <w:sz w:val="24"/>
                <w:szCs w:val="24"/>
              </w:rPr>
            </w:pPr>
            <w:r w:rsidRPr="007F2173">
              <w:rPr>
                <w:rFonts w:ascii="Times New Roman" w:hAnsi="Times New Roman" w:cs="Times New Roman"/>
                <w:sz w:val="24"/>
                <w:szCs w:val="24"/>
              </w:rPr>
              <w:t>287</w:t>
            </w:r>
          </w:p>
        </w:tc>
        <w:tc>
          <w:tcPr>
            <w:tcW w:w="2835" w:type="dxa"/>
          </w:tcPr>
          <w:p w14:paraId="23A0FC52" w14:textId="77777777" w:rsidR="004B03CB" w:rsidRPr="007F2173" w:rsidRDefault="004B03CB" w:rsidP="00816216">
            <w:pPr>
              <w:spacing w:line="240" w:lineRule="auto"/>
              <w:jc w:val="center"/>
              <w:rPr>
                <w:rFonts w:ascii="Times New Roman" w:hAnsi="Times New Roman" w:cs="Times New Roman"/>
                <w:sz w:val="24"/>
                <w:szCs w:val="24"/>
              </w:rPr>
            </w:pPr>
            <w:r w:rsidRPr="007F2173">
              <w:rPr>
                <w:rFonts w:ascii="Times New Roman" w:hAnsi="Times New Roman" w:cs="Times New Roman"/>
                <w:sz w:val="24"/>
                <w:szCs w:val="24"/>
              </w:rPr>
              <w:t>1.037</w:t>
            </w:r>
          </w:p>
        </w:tc>
        <w:tc>
          <w:tcPr>
            <w:tcW w:w="2268" w:type="dxa"/>
          </w:tcPr>
          <w:p w14:paraId="71FC9DCB" w14:textId="77777777" w:rsidR="004B03CB" w:rsidRPr="007F2173" w:rsidRDefault="004B03CB" w:rsidP="00816216">
            <w:pPr>
              <w:spacing w:line="240" w:lineRule="auto"/>
              <w:jc w:val="center"/>
              <w:rPr>
                <w:rFonts w:ascii="Times New Roman" w:hAnsi="Times New Roman" w:cs="Times New Roman"/>
                <w:sz w:val="24"/>
                <w:szCs w:val="24"/>
              </w:rPr>
            </w:pPr>
            <w:r w:rsidRPr="00F428E3">
              <w:rPr>
                <w:rFonts w:ascii="Times New Roman" w:hAnsi="Times New Roman" w:cs="Times New Roman"/>
                <w:sz w:val="24"/>
                <w:szCs w:val="24"/>
              </w:rPr>
              <w:t>77.943.406,73</w:t>
            </w:r>
          </w:p>
        </w:tc>
      </w:tr>
      <w:tr w:rsidR="004B03CB" w:rsidRPr="007F2173" w14:paraId="6A347573" w14:textId="77777777" w:rsidTr="00816216">
        <w:trPr>
          <w:trHeight w:val="266"/>
        </w:trPr>
        <w:tc>
          <w:tcPr>
            <w:tcW w:w="1271" w:type="dxa"/>
            <w:tcMar>
              <w:top w:w="0" w:type="dxa"/>
              <w:left w:w="108" w:type="dxa"/>
              <w:bottom w:w="0" w:type="dxa"/>
              <w:right w:w="108" w:type="dxa"/>
            </w:tcMar>
            <w:hideMark/>
          </w:tcPr>
          <w:p w14:paraId="0B8CDD4F" w14:textId="77777777" w:rsidR="004B03CB" w:rsidRPr="007F2173" w:rsidRDefault="004B03CB" w:rsidP="00816216">
            <w:pPr>
              <w:spacing w:line="240" w:lineRule="auto"/>
              <w:jc w:val="center"/>
              <w:rPr>
                <w:rFonts w:ascii="Times New Roman" w:hAnsi="Times New Roman" w:cs="Times New Roman"/>
                <w:sz w:val="24"/>
                <w:szCs w:val="24"/>
              </w:rPr>
            </w:pPr>
            <w:r w:rsidRPr="007F2173">
              <w:rPr>
                <w:rFonts w:ascii="Times New Roman" w:hAnsi="Times New Roman" w:cs="Times New Roman"/>
                <w:bCs/>
                <w:sz w:val="24"/>
                <w:szCs w:val="24"/>
              </w:rPr>
              <w:t>2018.</w:t>
            </w:r>
          </w:p>
        </w:tc>
        <w:tc>
          <w:tcPr>
            <w:tcW w:w="1985" w:type="dxa"/>
            <w:tcMar>
              <w:top w:w="0" w:type="dxa"/>
              <w:left w:w="108" w:type="dxa"/>
              <w:bottom w:w="0" w:type="dxa"/>
              <w:right w:w="108" w:type="dxa"/>
            </w:tcMar>
          </w:tcPr>
          <w:p w14:paraId="3612E17D" w14:textId="77777777" w:rsidR="004B03CB" w:rsidRPr="007F2173" w:rsidRDefault="004B03CB" w:rsidP="00816216">
            <w:pPr>
              <w:spacing w:line="240" w:lineRule="auto"/>
              <w:jc w:val="center"/>
              <w:rPr>
                <w:rFonts w:ascii="Times New Roman" w:hAnsi="Times New Roman" w:cs="Times New Roman"/>
                <w:sz w:val="24"/>
                <w:szCs w:val="24"/>
              </w:rPr>
            </w:pPr>
            <w:r w:rsidRPr="007F2173">
              <w:rPr>
                <w:rFonts w:ascii="Times New Roman" w:hAnsi="Times New Roman" w:cs="Times New Roman"/>
                <w:sz w:val="24"/>
                <w:szCs w:val="24"/>
              </w:rPr>
              <w:t>318</w:t>
            </w:r>
          </w:p>
        </w:tc>
        <w:tc>
          <w:tcPr>
            <w:tcW w:w="2835" w:type="dxa"/>
          </w:tcPr>
          <w:p w14:paraId="0D615551" w14:textId="77777777" w:rsidR="004B03CB" w:rsidRPr="007F2173" w:rsidRDefault="004B03CB" w:rsidP="00816216">
            <w:pPr>
              <w:spacing w:line="240" w:lineRule="auto"/>
              <w:jc w:val="center"/>
              <w:rPr>
                <w:rFonts w:ascii="Times New Roman" w:hAnsi="Times New Roman" w:cs="Times New Roman"/>
                <w:sz w:val="24"/>
                <w:szCs w:val="24"/>
              </w:rPr>
            </w:pPr>
            <w:r w:rsidRPr="007F2173">
              <w:rPr>
                <w:rFonts w:ascii="Times New Roman" w:hAnsi="Times New Roman" w:cs="Times New Roman"/>
                <w:sz w:val="24"/>
                <w:szCs w:val="24"/>
              </w:rPr>
              <w:t>1.163</w:t>
            </w:r>
          </w:p>
        </w:tc>
        <w:tc>
          <w:tcPr>
            <w:tcW w:w="2268" w:type="dxa"/>
          </w:tcPr>
          <w:p w14:paraId="6A12B19B" w14:textId="77777777" w:rsidR="004B03CB" w:rsidRPr="007F2173" w:rsidRDefault="004B03CB" w:rsidP="00816216">
            <w:pPr>
              <w:spacing w:line="240" w:lineRule="auto"/>
              <w:jc w:val="center"/>
              <w:rPr>
                <w:rFonts w:ascii="Times New Roman" w:hAnsi="Times New Roman" w:cs="Times New Roman"/>
                <w:sz w:val="24"/>
                <w:szCs w:val="24"/>
              </w:rPr>
            </w:pPr>
            <w:r w:rsidRPr="00F428E3">
              <w:rPr>
                <w:rFonts w:ascii="Times New Roman" w:hAnsi="Times New Roman" w:cs="Times New Roman"/>
                <w:sz w:val="24"/>
                <w:szCs w:val="24"/>
              </w:rPr>
              <w:t>101.604.413,68</w:t>
            </w:r>
          </w:p>
        </w:tc>
      </w:tr>
      <w:tr w:rsidR="004B03CB" w:rsidRPr="007F2173" w14:paraId="7946A0D4" w14:textId="77777777" w:rsidTr="00816216">
        <w:trPr>
          <w:trHeight w:val="283"/>
        </w:trPr>
        <w:tc>
          <w:tcPr>
            <w:tcW w:w="1271" w:type="dxa"/>
            <w:tcMar>
              <w:top w:w="0" w:type="dxa"/>
              <w:left w:w="108" w:type="dxa"/>
              <w:bottom w:w="0" w:type="dxa"/>
              <w:right w:w="108" w:type="dxa"/>
            </w:tcMar>
            <w:hideMark/>
          </w:tcPr>
          <w:p w14:paraId="798ABD6D" w14:textId="77777777" w:rsidR="004B03CB" w:rsidRPr="007F2173" w:rsidRDefault="004B03CB" w:rsidP="00816216">
            <w:pPr>
              <w:spacing w:line="240" w:lineRule="auto"/>
              <w:jc w:val="center"/>
              <w:rPr>
                <w:rFonts w:ascii="Times New Roman" w:hAnsi="Times New Roman" w:cs="Times New Roman"/>
                <w:sz w:val="24"/>
                <w:szCs w:val="24"/>
              </w:rPr>
            </w:pPr>
            <w:r w:rsidRPr="007F2173">
              <w:rPr>
                <w:rFonts w:ascii="Times New Roman" w:hAnsi="Times New Roman" w:cs="Times New Roman"/>
                <w:bCs/>
                <w:sz w:val="24"/>
                <w:szCs w:val="24"/>
              </w:rPr>
              <w:t>2019.</w:t>
            </w:r>
          </w:p>
        </w:tc>
        <w:tc>
          <w:tcPr>
            <w:tcW w:w="1985" w:type="dxa"/>
            <w:tcMar>
              <w:top w:w="0" w:type="dxa"/>
              <w:left w:w="108" w:type="dxa"/>
              <w:bottom w:w="0" w:type="dxa"/>
              <w:right w:w="108" w:type="dxa"/>
            </w:tcMar>
          </w:tcPr>
          <w:p w14:paraId="5A91FA14" w14:textId="77777777" w:rsidR="004B03CB" w:rsidRPr="007F2173" w:rsidRDefault="004B03CB" w:rsidP="00816216">
            <w:pPr>
              <w:spacing w:line="240" w:lineRule="auto"/>
              <w:jc w:val="center"/>
              <w:rPr>
                <w:rFonts w:ascii="Times New Roman" w:hAnsi="Times New Roman" w:cs="Times New Roman"/>
                <w:sz w:val="24"/>
                <w:szCs w:val="24"/>
              </w:rPr>
            </w:pPr>
            <w:r w:rsidRPr="007F2173">
              <w:rPr>
                <w:rFonts w:ascii="Times New Roman" w:hAnsi="Times New Roman" w:cs="Times New Roman"/>
                <w:sz w:val="24"/>
                <w:szCs w:val="24"/>
              </w:rPr>
              <w:t>400</w:t>
            </w:r>
          </w:p>
        </w:tc>
        <w:tc>
          <w:tcPr>
            <w:tcW w:w="2835" w:type="dxa"/>
          </w:tcPr>
          <w:p w14:paraId="2D33B84B" w14:textId="77777777" w:rsidR="004B03CB" w:rsidRPr="007F2173" w:rsidRDefault="004B03CB" w:rsidP="00816216">
            <w:pPr>
              <w:spacing w:line="240" w:lineRule="auto"/>
              <w:jc w:val="center"/>
              <w:rPr>
                <w:rFonts w:ascii="Times New Roman" w:hAnsi="Times New Roman" w:cs="Times New Roman"/>
                <w:sz w:val="24"/>
                <w:szCs w:val="24"/>
              </w:rPr>
            </w:pPr>
            <w:r w:rsidRPr="007F2173">
              <w:rPr>
                <w:rFonts w:ascii="Times New Roman" w:hAnsi="Times New Roman" w:cs="Times New Roman"/>
                <w:sz w:val="24"/>
                <w:szCs w:val="24"/>
              </w:rPr>
              <w:t>1.335</w:t>
            </w:r>
          </w:p>
        </w:tc>
        <w:tc>
          <w:tcPr>
            <w:tcW w:w="2268" w:type="dxa"/>
          </w:tcPr>
          <w:p w14:paraId="3431E5B8" w14:textId="77777777" w:rsidR="004B03CB" w:rsidRPr="007F2173" w:rsidRDefault="004B03CB" w:rsidP="00816216">
            <w:pPr>
              <w:spacing w:line="240" w:lineRule="auto"/>
              <w:jc w:val="center"/>
              <w:rPr>
                <w:rFonts w:ascii="Times New Roman" w:hAnsi="Times New Roman" w:cs="Times New Roman"/>
                <w:sz w:val="24"/>
                <w:szCs w:val="24"/>
              </w:rPr>
            </w:pPr>
            <w:r w:rsidRPr="00F428E3">
              <w:rPr>
                <w:rFonts w:ascii="Times New Roman" w:hAnsi="Times New Roman" w:cs="Times New Roman"/>
                <w:sz w:val="24"/>
                <w:szCs w:val="24"/>
              </w:rPr>
              <w:t>48.629.210,11</w:t>
            </w:r>
          </w:p>
        </w:tc>
      </w:tr>
      <w:tr w:rsidR="004B03CB" w:rsidRPr="007F2173" w14:paraId="7C416E15" w14:textId="77777777" w:rsidTr="00816216">
        <w:trPr>
          <w:trHeight w:val="260"/>
        </w:trPr>
        <w:tc>
          <w:tcPr>
            <w:tcW w:w="1271" w:type="dxa"/>
            <w:tcMar>
              <w:top w:w="0" w:type="dxa"/>
              <w:left w:w="108" w:type="dxa"/>
              <w:bottom w:w="0" w:type="dxa"/>
              <w:right w:w="108" w:type="dxa"/>
            </w:tcMar>
            <w:hideMark/>
          </w:tcPr>
          <w:p w14:paraId="2594CED1" w14:textId="77777777" w:rsidR="004B03CB" w:rsidRPr="007F2173" w:rsidRDefault="004B03CB" w:rsidP="00816216">
            <w:pPr>
              <w:spacing w:line="240" w:lineRule="auto"/>
              <w:jc w:val="center"/>
              <w:rPr>
                <w:rFonts w:ascii="Times New Roman" w:hAnsi="Times New Roman" w:cs="Times New Roman"/>
                <w:sz w:val="24"/>
                <w:szCs w:val="24"/>
              </w:rPr>
            </w:pPr>
            <w:r w:rsidRPr="007F2173">
              <w:rPr>
                <w:rFonts w:ascii="Times New Roman" w:hAnsi="Times New Roman" w:cs="Times New Roman"/>
                <w:bCs/>
                <w:sz w:val="24"/>
                <w:szCs w:val="24"/>
              </w:rPr>
              <w:t>2020.</w:t>
            </w:r>
          </w:p>
        </w:tc>
        <w:tc>
          <w:tcPr>
            <w:tcW w:w="1985" w:type="dxa"/>
            <w:tcMar>
              <w:top w:w="0" w:type="dxa"/>
              <w:left w:w="108" w:type="dxa"/>
              <w:bottom w:w="0" w:type="dxa"/>
              <w:right w:w="108" w:type="dxa"/>
            </w:tcMar>
          </w:tcPr>
          <w:p w14:paraId="58CEEDAF" w14:textId="77777777" w:rsidR="004B03CB" w:rsidRPr="007F2173" w:rsidRDefault="004B03CB" w:rsidP="00816216">
            <w:pPr>
              <w:spacing w:line="240" w:lineRule="auto"/>
              <w:jc w:val="center"/>
              <w:rPr>
                <w:rFonts w:ascii="Times New Roman" w:hAnsi="Times New Roman" w:cs="Times New Roman"/>
                <w:sz w:val="24"/>
                <w:szCs w:val="24"/>
              </w:rPr>
            </w:pPr>
            <w:r w:rsidRPr="007F2173">
              <w:rPr>
                <w:rFonts w:ascii="Times New Roman" w:hAnsi="Times New Roman" w:cs="Times New Roman"/>
                <w:sz w:val="24"/>
                <w:szCs w:val="24"/>
              </w:rPr>
              <w:t>476</w:t>
            </w:r>
          </w:p>
        </w:tc>
        <w:tc>
          <w:tcPr>
            <w:tcW w:w="2835" w:type="dxa"/>
          </w:tcPr>
          <w:p w14:paraId="1581308A" w14:textId="77777777" w:rsidR="004B03CB" w:rsidRPr="007F2173" w:rsidRDefault="004B03CB" w:rsidP="00816216">
            <w:pPr>
              <w:spacing w:line="240" w:lineRule="auto"/>
              <w:jc w:val="center"/>
              <w:rPr>
                <w:rFonts w:ascii="Times New Roman" w:hAnsi="Times New Roman" w:cs="Times New Roman"/>
                <w:sz w:val="24"/>
                <w:szCs w:val="24"/>
              </w:rPr>
            </w:pPr>
            <w:r w:rsidRPr="007F2173">
              <w:rPr>
                <w:rFonts w:ascii="Times New Roman" w:hAnsi="Times New Roman" w:cs="Times New Roman"/>
                <w:sz w:val="24"/>
                <w:szCs w:val="24"/>
              </w:rPr>
              <w:t>1.513</w:t>
            </w:r>
          </w:p>
        </w:tc>
        <w:tc>
          <w:tcPr>
            <w:tcW w:w="2268" w:type="dxa"/>
          </w:tcPr>
          <w:p w14:paraId="182FC912" w14:textId="77777777" w:rsidR="004B03CB" w:rsidRPr="007F2173" w:rsidRDefault="004B03CB" w:rsidP="00816216">
            <w:pPr>
              <w:spacing w:line="240" w:lineRule="auto"/>
              <w:jc w:val="center"/>
              <w:rPr>
                <w:rFonts w:ascii="Times New Roman" w:hAnsi="Times New Roman" w:cs="Times New Roman"/>
                <w:sz w:val="24"/>
                <w:szCs w:val="24"/>
              </w:rPr>
            </w:pPr>
            <w:r w:rsidRPr="00F428E3">
              <w:rPr>
                <w:rFonts w:ascii="Times New Roman" w:hAnsi="Times New Roman" w:cs="Times New Roman"/>
                <w:sz w:val="24"/>
                <w:szCs w:val="24"/>
              </w:rPr>
              <w:t>109.686.905,82</w:t>
            </w:r>
          </w:p>
        </w:tc>
      </w:tr>
    </w:tbl>
    <w:p w14:paraId="752924D2" w14:textId="77777777" w:rsidR="004B03CB" w:rsidRDefault="004B03CB" w:rsidP="004B03CB"/>
    <w:p w14:paraId="46767C9B" w14:textId="77777777" w:rsidR="004B03CB" w:rsidRDefault="004B03CB" w:rsidP="004B03CB"/>
    <w:p w14:paraId="4A972AF0" w14:textId="77777777" w:rsidR="004B03CB" w:rsidRDefault="004B03CB" w:rsidP="004B03CB">
      <w:pPr>
        <w:jc w:val="both"/>
        <w:rPr>
          <w:rFonts w:ascii="Times New Roman" w:eastAsia="Calibri" w:hAnsi="Times New Roman" w:cs="Times New Roman"/>
          <w:sz w:val="24"/>
          <w:szCs w:val="24"/>
        </w:rPr>
      </w:pPr>
    </w:p>
    <w:p w14:paraId="245710DB" w14:textId="77777777" w:rsidR="004B03CB" w:rsidRDefault="004B03CB" w:rsidP="004B03CB">
      <w:pPr>
        <w:jc w:val="both"/>
        <w:rPr>
          <w:rFonts w:ascii="Times New Roman" w:hAnsi="Times New Roman"/>
          <w:i/>
          <w:sz w:val="24"/>
          <w:szCs w:val="24"/>
          <w:lang w:eastAsia="hr-HR"/>
        </w:rPr>
      </w:pPr>
    </w:p>
    <w:p w14:paraId="3B2E68F7" w14:textId="77777777" w:rsidR="004B03CB" w:rsidRDefault="004B03CB" w:rsidP="004B03CB">
      <w:pPr>
        <w:jc w:val="both"/>
        <w:rPr>
          <w:rFonts w:ascii="Times New Roman" w:hAnsi="Times New Roman"/>
          <w:i/>
          <w:sz w:val="24"/>
          <w:szCs w:val="24"/>
          <w:lang w:eastAsia="hr-HR"/>
        </w:rPr>
      </w:pPr>
    </w:p>
    <w:p w14:paraId="7E7DA98A" w14:textId="77777777" w:rsidR="004B03CB" w:rsidRDefault="004B03CB" w:rsidP="004B03CB">
      <w:pPr>
        <w:jc w:val="both"/>
        <w:rPr>
          <w:rFonts w:ascii="Times New Roman" w:hAnsi="Times New Roman"/>
          <w:i/>
          <w:sz w:val="24"/>
          <w:szCs w:val="24"/>
          <w:lang w:eastAsia="hr-HR"/>
        </w:rPr>
      </w:pPr>
    </w:p>
    <w:p w14:paraId="35DDFCDC" w14:textId="77777777" w:rsidR="004B03CB" w:rsidRDefault="004B03CB" w:rsidP="004B03CB">
      <w:pPr>
        <w:jc w:val="both"/>
        <w:rPr>
          <w:rFonts w:ascii="Times New Roman" w:hAnsi="Times New Roman"/>
          <w:i/>
          <w:sz w:val="24"/>
          <w:szCs w:val="24"/>
          <w:lang w:eastAsia="hr-HR"/>
        </w:rPr>
      </w:pPr>
    </w:p>
    <w:p w14:paraId="203A42CA" w14:textId="77777777" w:rsidR="004B03CB" w:rsidRDefault="004B03CB" w:rsidP="004B03CB"/>
    <w:p w14:paraId="3C6125ED" w14:textId="58F99F7D" w:rsidR="00731C28" w:rsidRDefault="00731C28" w:rsidP="006B5133">
      <w:pPr>
        <w:pStyle w:val="t-98-2"/>
        <w:shd w:val="clear" w:color="auto" w:fill="FFFFFF"/>
        <w:spacing w:before="0" w:beforeAutospacing="0" w:after="0" w:afterAutospacing="0"/>
        <w:jc w:val="both"/>
        <w:textAlignment w:val="baseline"/>
      </w:pPr>
    </w:p>
    <w:p w14:paraId="77429386" w14:textId="77777777" w:rsidR="004B03CB" w:rsidRDefault="004B03CB">
      <w:pPr>
        <w:rPr>
          <w:rFonts w:ascii="Times New Roman" w:hAnsi="Times New Roman"/>
          <w:b/>
          <w:bCs/>
          <w:iCs/>
          <w:sz w:val="24"/>
          <w:szCs w:val="24"/>
          <w:u w:val="single"/>
          <w:lang w:eastAsia="hr-HR"/>
        </w:rPr>
      </w:pPr>
      <w:bookmarkStart w:id="198" w:name="_Hlk79134485"/>
      <w:r>
        <w:rPr>
          <w:rFonts w:ascii="Times New Roman" w:hAnsi="Times New Roman"/>
          <w:b/>
          <w:bCs/>
          <w:iCs/>
          <w:sz w:val="24"/>
          <w:szCs w:val="24"/>
          <w:u w:val="single"/>
          <w:lang w:eastAsia="hr-HR"/>
        </w:rPr>
        <w:br w:type="page"/>
      </w:r>
    </w:p>
    <w:p w14:paraId="1FDA0BC7" w14:textId="1421FF0F" w:rsidR="004B03CB" w:rsidRPr="00CE54A2" w:rsidRDefault="004B03CB" w:rsidP="004B03CB">
      <w:pPr>
        <w:jc w:val="both"/>
        <w:rPr>
          <w:rFonts w:ascii="Times New Roman" w:hAnsi="Times New Roman"/>
          <w:b/>
          <w:bCs/>
          <w:iCs/>
          <w:sz w:val="24"/>
          <w:szCs w:val="24"/>
          <w:u w:val="single"/>
          <w:lang w:eastAsia="hr-HR"/>
        </w:rPr>
      </w:pPr>
      <w:r w:rsidRPr="00CE54A2">
        <w:rPr>
          <w:rFonts w:ascii="Times New Roman" w:hAnsi="Times New Roman"/>
          <w:b/>
          <w:bCs/>
          <w:iCs/>
          <w:sz w:val="24"/>
          <w:szCs w:val="24"/>
          <w:u w:val="single"/>
          <w:lang w:eastAsia="hr-HR"/>
        </w:rPr>
        <w:lastRenderedPageBreak/>
        <w:t>Prilog 3</w:t>
      </w:r>
      <w:r>
        <w:rPr>
          <w:rFonts w:ascii="Times New Roman" w:hAnsi="Times New Roman"/>
          <w:b/>
          <w:bCs/>
          <w:iCs/>
          <w:sz w:val="24"/>
          <w:szCs w:val="24"/>
          <w:u w:val="single"/>
          <w:lang w:eastAsia="hr-HR"/>
        </w:rPr>
        <w:t>7</w:t>
      </w:r>
    </w:p>
    <w:p w14:paraId="7B72A250" w14:textId="79FDAEA6" w:rsidR="004B03CB" w:rsidRDefault="004B03CB" w:rsidP="004B03CB">
      <w:pPr>
        <w:jc w:val="center"/>
        <w:rPr>
          <w:rFonts w:ascii="Times New Roman" w:hAnsi="Times New Roman"/>
          <w:b/>
          <w:bCs/>
          <w:iCs/>
          <w:sz w:val="24"/>
          <w:szCs w:val="24"/>
          <w:lang w:eastAsia="hr-HR"/>
        </w:rPr>
      </w:pPr>
      <w:r w:rsidRPr="00CE54A2">
        <w:rPr>
          <w:rFonts w:ascii="Times New Roman" w:hAnsi="Times New Roman"/>
          <w:b/>
          <w:bCs/>
          <w:iCs/>
          <w:sz w:val="24"/>
          <w:szCs w:val="24"/>
          <w:lang w:eastAsia="hr-HR"/>
        </w:rPr>
        <w:t>ISPUNJENJE KVOTNE OBVEZE</w:t>
      </w:r>
    </w:p>
    <w:p w14:paraId="77C9C701" w14:textId="77777777" w:rsidR="004B03CB" w:rsidRPr="00CE54A2" w:rsidRDefault="004B03CB" w:rsidP="004B03CB">
      <w:pPr>
        <w:jc w:val="both"/>
        <w:rPr>
          <w:rFonts w:ascii="Times New Roman" w:hAnsi="Times New Roman"/>
          <w:b/>
          <w:bCs/>
          <w:iCs/>
          <w:sz w:val="24"/>
          <w:szCs w:val="24"/>
          <w:lang w:eastAsia="hr-HR"/>
        </w:rPr>
      </w:pP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25"/>
        <w:gridCol w:w="1294"/>
        <w:gridCol w:w="1276"/>
        <w:gridCol w:w="1276"/>
        <w:gridCol w:w="1275"/>
        <w:gridCol w:w="1276"/>
        <w:gridCol w:w="1276"/>
      </w:tblGrid>
      <w:tr w:rsidR="004B03CB" w:rsidRPr="0084252F" w14:paraId="2CE70CE5" w14:textId="77777777" w:rsidTr="00816216">
        <w:trPr>
          <w:trHeight w:val="708"/>
          <w:jc w:val="center"/>
        </w:trPr>
        <w:tc>
          <w:tcPr>
            <w:tcW w:w="182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2E45997" w14:textId="77777777" w:rsidR="004B03CB" w:rsidRPr="0084252F" w:rsidRDefault="004B03CB" w:rsidP="00816216">
            <w:pPr>
              <w:spacing w:after="0" w:line="240" w:lineRule="auto"/>
              <w:jc w:val="center"/>
              <w:rPr>
                <w:rFonts w:ascii="Times New Roman" w:eastAsia="Times New Roman" w:hAnsi="Times New Roman" w:cs="Times New Roman"/>
                <w:sz w:val="20"/>
                <w:szCs w:val="20"/>
                <w:lang w:eastAsia="zh-CN"/>
              </w:rPr>
            </w:pPr>
            <w:r w:rsidRPr="0084252F">
              <w:rPr>
                <w:rFonts w:ascii="Times New Roman" w:eastAsia="Times New Roman" w:hAnsi="Times New Roman" w:cs="Times New Roman"/>
                <w:sz w:val="20"/>
                <w:szCs w:val="20"/>
                <w:lang w:eastAsia="zh-CN"/>
              </w:rPr>
              <w:t>Obveznici kvotnog zapošljavanja</w:t>
            </w:r>
          </w:p>
        </w:tc>
        <w:tc>
          <w:tcPr>
            <w:tcW w:w="1294"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D4DC2CE" w14:textId="77777777" w:rsidR="004B03CB" w:rsidRPr="0084252F" w:rsidRDefault="004B03CB" w:rsidP="00816216">
            <w:pPr>
              <w:spacing w:after="0" w:line="240" w:lineRule="auto"/>
              <w:jc w:val="center"/>
              <w:rPr>
                <w:rFonts w:ascii="Times New Roman" w:eastAsia="Times New Roman" w:hAnsi="Times New Roman" w:cs="Times New Roman"/>
                <w:sz w:val="20"/>
                <w:szCs w:val="20"/>
                <w:lang w:eastAsia="zh-CN"/>
              </w:rPr>
            </w:pPr>
            <w:r w:rsidRPr="0084252F">
              <w:rPr>
                <w:rFonts w:ascii="Times New Roman" w:eastAsia="Times New Roman" w:hAnsi="Times New Roman" w:cs="Times New Roman"/>
                <w:sz w:val="20"/>
                <w:szCs w:val="20"/>
                <w:lang w:eastAsia="zh-CN"/>
              </w:rPr>
              <w:t xml:space="preserve">stanje na dan </w:t>
            </w:r>
          </w:p>
          <w:p w14:paraId="0B374795" w14:textId="77777777" w:rsidR="004B03CB" w:rsidRPr="0084252F" w:rsidRDefault="004B03CB" w:rsidP="00816216">
            <w:pPr>
              <w:spacing w:after="0" w:line="240" w:lineRule="auto"/>
              <w:jc w:val="center"/>
              <w:rPr>
                <w:rFonts w:ascii="Times New Roman" w:eastAsia="Times New Roman" w:hAnsi="Times New Roman" w:cs="Times New Roman"/>
                <w:sz w:val="20"/>
                <w:szCs w:val="20"/>
                <w:lang w:eastAsia="zh-CN"/>
              </w:rPr>
            </w:pPr>
            <w:r w:rsidRPr="0084252F">
              <w:rPr>
                <w:rFonts w:ascii="Times New Roman" w:eastAsia="Times New Roman" w:hAnsi="Times New Roman" w:cs="Times New Roman"/>
                <w:sz w:val="20"/>
                <w:szCs w:val="20"/>
                <w:lang w:eastAsia="zh-CN"/>
              </w:rPr>
              <w:t>31.12.2015.</w:t>
            </w:r>
          </w:p>
        </w:tc>
        <w:tc>
          <w:tcPr>
            <w:tcW w:w="1276"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2C1E470" w14:textId="77777777" w:rsidR="004B03CB" w:rsidRPr="0084252F" w:rsidRDefault="004B03CB" w:rsidP="00816216">
            <w:pPr>
              <w:spacing w:after="0" w:line="240" w:lineRule="auto"/>
              <w:rPr>
                <w:rFonts w:ascii="Times New Roman" w:eastAsia="Times New Roman" w:hAnsi="Times New Roman" w:cs="Times New Roman"/>
                <w:sz w:val="20"/>
                <w:szCs w:val="20"/>
                <w:lang w:eastAsia="zh-CN"/>
              </w:rPr>
            </w:pPr>
            <w:r w:rsidRPr="0084252F">
              <w:rPr>
                <w:rFonts w:ascii="Times New Roman" w:eastAsia="Times New Roman" w:hAnsi="Times New Roman" w:cs="Times New Roman"/>
                <w:sz w:val="20"/>
                <w:szCs w:val="20"/>
                <w:lang w:eastAsia="zh-CN"/>
              </w:rPr>
              <w:t xml:space="preserve">stanje na dan </w:t>
            </w:r>
          </w:p>
          <w:p w14:paraId="43657733" w14:textId="77777777" w:rsidR="004B03CB" w:rsidRPr="0084252F" w:rsidRDefault="004B03CB" w:rsidP="00816216">
            <w:pPr>
              <w:spacing w:after="0" w:line="240" w:lineRule="auto"/>
              <w:jc w:val="center"/>
              <w:rPr>
                <w:rFonts w:ascii="Times New Roman" w:eastAsia="Times New Roman" w:hAnsi="Times New Roman" w:cs="Times New Roman"/>
                <w:sz w:val="20"/>
                <w:szCs w:val="20"/>
                <w:lang w:eastAsia="zh-CN"/>
              </w:rPr>
            </w:pPr>
            <w:r w:rsidRPr="0084252F">
              <w:rPr>
                <w:rFonts w:ascii="Times New Roman" w:eastAsia="Times New Roman" w:hAnsi="Times New Roman" w:cs="Times New Roman"/>
                <w:sz w:val="20"/>
                <w:szCs w:val="20"/>
                <w:lang w:eastAsia="zh-CN"/>
              </w:rPr>
              <w:t>31.12.2016.</w:t>
            </w:r>
          </w:p>
        </w:tc>
        <w:tc>
          <w:tcPr>
            <w:tcW w:w="1276"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69AC98E" w14:textId="77777777" w:rsidR="004B03CB" w:rsidRPr="0084252F" w:rsidRDefault="004B03CB" w:rsidP="00816216">
            <w:pPr>
              <w:spacing w:after="0" w:line="240" w:lineRule="auto"/>
              <w:rPr>
                <w:rFonts w:ascii="Times New Roman" w:eastAsia="Times New Roman" w:hAnsi="Times New Roman" w:cs="Times New Roman"/>
                <w:sz w:val="20"/>
                <w:szCs w:val="20"/>
                <w:lang w:eastAsia="zh-CN"/>
              </w:rPr>
            </w:pPr>
            <w:r w:rsidRPr="0084252F">
              <w:rPr>
                <w:rFonts w:ascii="Times New Roman" w:eastAsia="Times New Roman" w:hAnsi="Times New Roman" w:cs="Times New Roman"/>
                <w:sz w:val="20"/>
                <w:szCs w:val="20"/>
                <w:lang w:eastAsia="zh-CN"/>
              </w:rPr>
              <w:t xml:space="preserve">stanje na dan </w:t>
            </w:r>
          </w:p>
          <w:p w14:paraId="1B3300E3" w14:textId="77777777" w:rsidR="004B03CB" w:rsidRPr="0084252F" w:rsidRDefault="004B03CB" w:rsidP="00816216">
            <w:pPr>
              <w:spacing w:after="0" w:line="240" w:lineRule="auto"/>
              <w:jc w:val="center"/>
              <w:rPr>
                <w:rFonts w:ascii="Times New Roman" w:eastAsia="Times New Roman" w:hAnsi="Times New Roman" w:cs="Times New Roman"/>
                <w:sz w:val="20"/>
                <w:szCs w:val="20"/>
                <w:lang w:eastAsia="zh-CN"/>
              </w:rPr>
            </w:pPr>
            <w:r w:rsidRPr="0084252F">
              <w:rPr>
                <w:rFonts w:ascii="Times New Roman" w:eastAsia="Times New Roman" w:hAnsi="Times New Roman" w:cs="Times New Roman"/>
                <w:sz w:val="20"/>
                <w:szCs w:val="20"/>
                <w:lang w:eastAsia="zh-CN"/>
              </w:rPr>
              <w:t>31.12.2017.</w:t>
            </w:r>
          </w:p>
        </w:tc>
        <w:tc>
          <w:tcPr>
            <w:tcW w:w="127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EB5D611" w14:textId="77777777" w:rsidR="004B03CB" w:rsidRPr="0084252F" w:rsidRDefault="004B03CB" w:rsidP="00816216">
            <w:pPr>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s</w:t>
            </w:r>
            <w:r w:rsidRPr="0084252F">
              <w:rPr>
                <w:rFonts w:ascii="Times New Roman" w:eastAsia="Times New Roman" w:hAnsi="Times New Roman" w:cs="Times New Roman"/>
                <w:sz w:val="20"/>
                <w:szCs w:val="20"/>
                <w:lang w:eastAsia="zh-CN"/>
              </w:rPr>
              <w:t>tanje na dan 31.12.2018.</w:t>
            </w:r>
          </w:p>
        </w:tc>
        <w:tc>
          <w:tcPr>
            <w:tcW w:w="1276"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0E1F63B" w14:textId="77777777" w:rsidR="004B03CB" w:rsidRPr="0084252F" w:rsidRDefault="004B03CB" w:rsidP="00816216">
            <w:pPr>
              <w:spacing w:after="0" w:line="240" w:lineRule="auto"/>
              <w:jc w:val="center"/>
              <w:rPr>
                <w:rFonts w:ascii="Times New Roman" w:eastAsia="Times New Roman" w:hAnsi="Times New Roman" w:cs="Times New Roman"/>
                <w:sz w:val="20"/>
                <w:szCs w:val="20"/>
                <w:lang w:eastAsia="zh-CN"/>
              </w:rPr>
            </w:pPr>
            <w:r w:rsidRPr="0084252F">
              <w:rPr>
                <w:rFonts w:ascii="Times New Roman" w:eastAsia="Times New Roman" w:hAnsi="Times New Roman" w:cs="Times New Roman"/>
                <w:sz w:val="20"/>
                <w:szCs w:val="20"/>
                <w:lang w:eastAsia="zh-CN"/>
              </w:rPr>
              <w:t>stanje na</w:t>
            </w:r>
            <w:r>
              <w:rPr>
                <w:rFonts w:ascii="Times New Roman" w:eastAsia="Times New Roman" w:hAnsi="Times New Roman" w:cs="Times New Roman"/>
                <w:sz w:val="20"/>
                <w:szCs w:val="20"/>
                <w:lang w:eastAsia="zh-CN"/>
              </w:rPr>
              <w:t xml:space="preserve"> </w:t>
            </w:r>
            <w:r w:rsidRPr="0084252F">
              <w:rPr>
                <w:rFonts w:ascii="Times New Roman" w:eastAsia="Times New Roman" w:hAnsi="Times New Roman" w:cs="Times New Roman"/>
                <w:sz w:val="20"/>
                <w:szCs w:val="20"/>
                <w:lang w:eastAsia="zh-CN"/>
              </w:rPr>
              <w:t>dan 31.12.2019.</w:t>
            </w:r>
          </w:p>
        </w:tc>
        <w:tc>
          <w:tcPr>
            <w:tcW w:w="1276"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7B02E25" w14:textId="77777777" w:rsidR="004B03CB" w:rsidRPr="0084252F" w:rsidRDefault="004B03CB" w:rsidP="00816216">
            <w:pPr>
              <w:spacing w:after="0" w:line="240" w:lineRule="auto"/>
              <w:jc w:val="center"/>
              <w:rPr>
                <w:rFonts w:ascii="Times New Roman" w:eastAsia="Times New Roman" w:hAnsi="Times New Roman" w:cs="Times New Roman"/>
                <w:sz w:val="20"/>
                <w:szCs w:val="20"/>
                <w:lang w:eastAsia="zh-CN"/>
              </w:rPr>
            </w:pPr>
            <w:r w:rsidRPr="0084252F">
              <w:rPr>
                <w:rFonts w:ascii="Times New Roman" w:eastAsia="Times New Roman" w:hAnsi="Times New Roman" w:cs="Times New Roman"/>
                <w:sz w:val="20"/>
                <w:szCs w:val="20"/>
                <w:lang w:eastAsia="zh-CN"/>
              </w:rPr>
              <w:t>stanje na dan 31.12.2020.</w:t>
            </w:r>
          </w:p>
        </w:tc>
      </w:tr>
      <w:tr w:rsidR="004B03CB" w:rsidRPr="0084252F" w14:paraId="18C35386" w14:textId="77777777" w:rsidTr="00816216">
        <w:trPr>
          <w:trHeight w:val="323"/>
          <w:jc w:val="center"/>
        </w:trPr>
        <w:tc>
          <w:tcPr>
            <w:tcW w:w="1825" w:type="dxa"/>
            <w:tcBorders>
              <w:top w:val="single" w:sz="4" w:space="0" w:color="auto"/>
              <w:left w:val="single" w:sz="4" w:space="0" w:color="auto"/>
              <w:bottom w:val="single" w:sz="4" w:space="0" w:color="auto"/>
              <w:right w:val="single" w:sz="4" w:space="0" w:color="auto"/>
            </w:tcBorders>
            <w:vAlign w:val="center"/>
          </w:tcPr>
          <w:p w14:paraId="36E683A9" w14:textId="77777777" w:rsidR="004B03CB" w:rsidRPr="0084252F" w:rsidRDefault="004B03CB" w:rsidP="00816216">
            <w:pPr>
              <w:spacing w:after="0" w:line="240" w:lineRule="auto"/>
              <w:jc w:val="both"/>
              <w:rPr>
                <w:rFonts w:ascii="Times New Roman" w:eastAsia="Times New Roman" w:hAnsi="Times New Roman" w:cs="Times New Roman"/>
                <w:sz w:val="20"/>
                <w:szCs w:val="20"/>
                <w:lang w:eastAsia="zh-CN"/>
              </w:rPr>
            </w:pPr>
            <w:r w:rsidRPr="0084252F">
              <w:rPr>
                <w:rFonts w:ascii="Times New Roman" w:eastAsia="Calibri" w:hAnsi="Times New Roman" w:cs="Times New Roman"/>
                <w:sz w:val="20"/>
                <w:szCs w:val="20"/>
                <w:lang w:eastAsia="hr-HR"/>
              </w:rPr>
              <w:t xml:space="preserve">Ukupan broj </w:t>
            </w:r>
          </w:p>
        </w:tc>
        <w:tc>
          <w:tcPr>
            <w:tcW w:w="1294" w:type="dxa"/>
            <w:tcBorders>
              <w:top w:val="single" w:sz="4" w:space="0" w:color="auto"/>
              <w:left w:val="single" w:sz="4" w:space="0" w:color="auto"/>
              <w:bottom w:val="single" w:sz="4" w:space="0" w:color="auto"/>
              <w:right w:val="single" w:sz="4" w:space="0" w:color="auto"/>
            </w:tcBorders>
            <w:vAlign w:val="center"/>
          </w:tcPr>
          <w:p w14:paraId="4455B566" w14:textId="77777777" w:rsidR="004B03CB" w:rsidRPr="0084252F" w:rsidRDefault="004B03CB" w:rsidP="00816216">
            <w:pPr>
              <w:spacing w:after="0" w:line="240" w:lineRule="auto"/>
              <w:jc w:val="center"/>
              <w:rPr>
                <w:rFonts w:ascii="Times New Roman" w:eastAsia="Times New Roman" w:hAnsi="Times New Roman" w:cs="Times New Roman"/>
                <w:sz w:val="20"/>
                <w:szCs w:val="20"/>
                <w:lang w:eastAsia="zh-CN"/>
              </w:rPr>
            </w:pPr>
            <w:r w:rsidRPr="006E20EF">
              <w:rPr>
                <w:rFonts w:ascii="Times New Roman" w:eastAsia="Times New Roman" w:hAnsi="Times New Roman" w:cs="Times New Roman"/>
                <w:sz w:val="20"/>
                <w:szCs w:val="20"/>
                <w:lang w:eastAsia="zh-CN"/>
              </w:rPr>
              <w:t>8.530</w:t>
            </w:r>
          </w:p>
        </w:tc>
        <w:tc>
          <w:tcPr>
            <w:tcW w:w="1276" w:type="dxa"/>
            <w:tcBorders>
              <w:top w:val="single" w:sz="4" w:space="0" w:color="auto"/>
              <w:left w:val="single" w:sz="4" w:space="0" w:color="auto"/>
              <w:bottom w:val="single" w:sz="4" w:space="0" w:color="auto"/>
              <w:right w:val="single" w:sz="4" w:space="0" w:color="auto"/>
            </w:tcBorders>
            <w:vAlign w:val="center"/>
          </w:tcPr>
          <w:p w14:paraId="271CDD14" w14:textId="77777777" w:rsidR="004B03CB" w:rsidRPr="0084252F" w:rsidRDefault="004B03CB" w:rsidP="00816216">
            <w:pPr>
              <w:spacing w:after="0" w:line="240" w:lineRule="auto"/>
              <w:jc w:val="center"/>
              <w:rPr>
                <w:rFonts w:ascii="Times New Roman" w:eastAsia="Times New Roman" w:hAnsi="Times New Roman" w:cs="Times New Roman"/>
                <w:sz w:val="20"/>
                <w:szCs w:val="20"/>
                <w:lang w:eastAsia="zh-CN"/>
              </w:rPr>
            </w:pPr>
            <w:r w:rsidRPr="00647404">
              <w:rPr>
                <w:rFonts w:ascii="Times New Roman" w:eastAsia="Times New Roman" w:hAnsi="Times New Roman" w:cs="Times New Roman"/>
                <w:sz w:val="20"/>
                <w:szCs w:val="20"/>
                <w:lang w:eastAsia="zh-CN"/>
              </w:rPr>
              <w:t>8.720</w:t>
            </w:r>
          </w:p>
        </w:tc>
        <w:tc>
          <w:tcPr>
            <w:tcW w:w="1276" w:type="dxa"/>
            <w:tcBorders>
              <w:top w:val="single" w:sz="4" w:space="0" w:color="auto"/>
              <w:left w:val="single" w:sz="4" w:space="0" w:color="auto"/>
              <w:bottom w:val="single" w:sz="4" w:space="0" w:color="auto"/>
              <w:right w:val="single" w:sz="4" w:space="0" w:color="auto"/>
            </w:tcBorders>
            <w:vAlign w:val="center"/>
          </w:tcPr>
          <w:p w14:paraId="195A05A2" w14:textId="77777777" w:rsidR="004B03CB" w:rsidRPr="0084252F" w:rsidRDefault="004B03CB" w:rsidP="00816216">
            <w:pPr>
              <w:spacing w:after="0" w:line="240" w:lineRule="auto"/>
              <w:jc w:val="center"/>
              <w:rPr>
                <w:rFonts w:ascii="Times New Roman" w:eastAsia="Times New Roman" w:hAnsi="Times New Roman" w:cs="Times New Roman"/>
                <w:sz w:val="20"/>
                <w:szCs w:val="20"/>
                <w:lang w:eastAsia="zh-CN"/>
              </w:rPr>
            </w:pPr>
            <w:r w:rsidRPr="00450DEA">
              <w:rPr>
                <w:rFonts w:ascii="Times New Roman" w:eastAsia="Times New Roman" w:hAnsi="Times New Roman" w:cs="Times New Roman"/>
                <w:sz w:val="20"/>
                <w:szCs w:val="20"/>
                <w:lang w:eastAsia="zh-CN"/>
              </w:rPr>
              <w:t>9.119</w:t>
            </w:r>
          </w:p>
        </w:tc>
        <w:tc>
          <w:tcPr>
            <w:tcW w:w="1275" w:type="dxa"/>
            <w:tcBorders>
              <w:top w:val="single" w:sz="4" w:space="0" w:color="auto"/>
              <w:left w:val="single" w:sz="4" w:space="0" w:color="auto"/>
              <w:bottom w:val="single" w:sz="4" w:space="0" w:color="auto"/>
              <w:right w:val="single" w:sz="4" w:space="0" w:color="auto"/>
            </w:tcBorders>
            <w:vAlign w:val="center"/>
          </w:tcPr>
          <w:p w14:paraId="2D96E8A0" w14:textId="77777777" w:rsidR="004B03CB" w:rsidRPr="00305697" w:rsidRDefault="004B03CB" w:rsidP="00816216">
            <w:pPr>
              <w:spacing w:after="0" w:line="240" w:lineRule="auto"/>
              <w:jc w:val="center"/>
              <w:rPr>
                <w:rFonts w:ascii="Times New Roman" w:eastAsia="Times New Roman" w:hAnsi="Times New Roman" w:cs="Times New Roman"/>
                <w:sz w:val="20"/>
                <w:szCs w:val="20"/>
                <w:lang w:eastAsia="zh-CN"/>
              </w:rPr>
            </w:pPr>
            <w:r w:rsidRPr="00305697">
              <w:rPr>
                <w:rFonts w:ascii="Times New Roman" w:eastAsia="Times New Roman" w:hAnsi="Times New Roman" w:cs="Times New Roman"/>
                <w:sz w:val="20"/>
                <w:szCs w:val="20"/>
                <w:lang w:eastAsia="zh-CN"/>
              </w:rPr>
              <w:t>9.435</w:t>
            </w:r>
          </w:p>
        </w:tc>
        <w:tc>
          <w:tcPr>
            <w:tcW w:w="1276" w:type="dxa"/>
            <w:tcBorders>
              <w:top w:val="single" w:sz="4" w:space="0" w:color="auto"/>
              <w:left w:val="single" w:sz="4" w:space="0" w:color="auto"/>
              <w:bottom w:val="single" w:sz="4" w:space="0" w:color="auto"/>
              <w:right w:val="single" w:sz="4" w:space="0" w:color="auto"/>
            </w:tcBorders>
            <w:vAlign w:val="center"/>
          </w:tcPr>
          <w:p w14:paraId="116714A0" w14:textId="77777777" w:rsidR="004B03CB" w:rsidRPr="00305697" w:rsidRDefault="004B03CB" w:rsidP="00816216">
            <w:pPr>
              <w:spacing w:after="0" w:line="240" w:lineRule="auto"/>
              <w:jc w:val="center"/>
              <w:rPr>
                <w:rFonts w:ascii="Times New Roman" w:eastAsia="Times New Roman" w:hAnsi="Times New Roman" w:cs="Times New Roman"/>
                <w:sz w:val="20"/>
                <w:szCs w:val="20"/>
                <w:lang w:eastAsia="zh-CN"/>
              </w:rPr>
            </w:pPr>
            <w:r w:rsidRPr="00305697">
              <w:rPr>
                <w:rFonts w:ascii="Times New Roman" w:eastAsia="Times New Roman" w:hAnsi="Times New Roman" w:cs="Times New Roman"/>
                <w:sz w:val="20"/>
                <w:szCs w:val="20"/>
                <w:lang w:eastAsia="zh-CN"/>
              </w:rPr>
              <w:t>9.745</w:t>
            </w:r>
          </w:p>
        </w:tc>
        <w:tc>
          <w:tcPr>
            <w:tcW w:w="1276" w:type="dxa"/>
            <w:tcBorders>
              <w:top w:val="single" w:sz="4" w:space="0" w:color="auto"/>
              <w:left w:val="single" w:sz="4" w:space="0" w:color="auto"/>
              <w:bottom w:val="single" w:sz="4" w:space="0" w:color="auto"/>
              <w:right w:val="single" w:sz="4" w:space="0" w:color="auto"/>
            </w:tcBorders>
            <w:vAlign w:val="center"/>
          </w:tcPr>
          <w:p w14:paraId="3A8EF114" w14:textId="77777777" w:rsidR="004B03CB" w:rsidRPr="002134AF" w:rsidRDefault="004B03CB" w:rsidP="00816216">
            <w:pPr>
              <w:spacing w:after="0" w:line="240" w:lineRule="auto"/>
              <w:jc w:val="center"/>
              <w:rPr>
                <w:rFonts w:ascii="Times New Roman" w:eastAsia="Times New Roman" w:hAnsi="Times New Roman" w:cs="Times New Roman"/>
                <w:sz w:val="20"/>
                <w:szCs w:val="20"/>
                <w:lang w:eastAsia="zh-CN"/>
              </w:rPr>
            </w:pPr>
            <w:r w:rsidRPr="002134AF">
              <w:rPr>
                <w:rFonts w:ascii="Times New Roman" w:eastAsia="Times New Roman" w:hAnsi="Times New Roman" w:cs="Times New Roman"/>
                <w:sz w:val="20"/>
                <w:szCs w:val="20"/>
                <w:lang w:eastAsia="zh-CN"/>
              </w:rPr>
              <w:t>9.289</w:t>
            </w:r>
          </w:p>
        </w:tc>
      </w:tr>
      <w:tr w:rsidR="004B03CB" w:rsidRPr="0084252F" w14:paraId="0979258C" w14:textId="77777777" w:rsidTr="00816216">
        <w:trPr>
          <w:jc w:val="center"/>
        </w:trPr>
        <w:tc>
          <w:tcPr>
            <w:tcW w:w="1825" w:type="dxa"/>
            <w:tcBorders>
              <w:top w:val="single" w:sz="4" w:space="0" w:color="auto"/>
              <w:left w:val="single" w:sz="4" w:space="0" w:color="auto"/>
              <w:bottom w:val="single" w:sz="4" w:space="0" w:color="auto"/>
              <w:right w:val="single" w:sz="4" w:space="0" w:color="auto"/>
            </w:tcBorders>
            <w:vAlign w:val="center"/>
          </w:tcPr>
          <w:p w14:paraId="18680B8E" w14:textId="77777777" w:rsidR="004B03CB" w:rsidRPr="0084252F" w:rsidRDefault="004B03CB" w:rsidP="00816216">
            <w:pPr>
              <w:spacing w:after="0" w:line="240" w:lineRule="auto"/>
              <w:jc w:val="both"/>
              <w:rPr>
                <w:rFonts w:ascii="Times New Roman" w:eastAsia="Times New Roman" w:hAnsi="Times New Roman" w:cs="Times New Roman"/>
                <w:sz w:val="20"/>
                <w:szCs w:val="20"/>
                <w:lang w:eastAsia="zh-CN"/>
              </w:rPr>
            </w:pPr>
            <w:r w:rsidRPr="0084252F">
              <w:rPr>
                <w:rFonts w:ascii="Times New Roman" w:eastAsia="Calibri" w:hAnsi="Times New Roman" w:cs="Times New Roman"/>
                <w:sz w:val="20"/>
                <w:szCs w:val="20"/>
                <w:lang w:eastAsia="hr-HR"/>
              </w:rPr>
              <w:t>Obveznici koji ispunjavaju kvotu isključivo zapošljavanjem osoba s invaliditetom</w:t>
            </w:r>
          </w:p>
        </w:tc>
        <w:tc>
          <w:tcPr>
            <w:tcW w:w="1294" w:type="dxa"/>
            <w:tcBorders>
              <w:top w:val="single" w:sz="4" w:space="0" w:color="auto"/>
              <w:left w:val="single" w:sz="4" w:space="0" w:color="auto"/>
              <w:bottom w:val="single" w:sz="4" w:space="0" w:color="auto"/>
              <w:right w:val="single" w:sz="4" w:space="0" w:color="auto"/>
            </w:tcBorders>
            <w:vAlign w:val="center"/>
          </w:tcPr>
          <w:p w14:paraId="6A901230" w14:textId="77777777" w:rsidR="004B03CB" w:rsidRPr="00450DEA" w:rsidRDefault="004B03CB" w:rsidP="00816216">
            <w:pPr>
              <w:spacing w:after="0" w:line="240" w:lineRule="auto"/>
              <w:jc w:val="center"/>
              <w:rPr>
                <w:rFonts w:ascii="Times New Roman" w:eastAsia="Times New Roman" w:hAnsi="Times New Roman" w:cs="Times New Roman"/>
                <w:sz w:val="20"/>
                <w:szCs w:val="20"/>
                <w:highlight w:val="yellow"/>
                <w:lang w:eastAsia="zh-CN"/>
              </w:rPr>
            </w:pPr>
            <w:r w:rsidRPr="006E20EF">
              <w:rPr>
                <w:rFonts w:ascii="Times New Roman" w:eastAsia="Times New Roman" w:hAnsi="Times New Roman" w:cs="Times New Roman"/>
                <w:sz w:val="20"/>
                <w:szCs w:val="20"/>
                <w:lang w:eastAsia="zh-CN"/>
              </w:rPr>
              <w:t>2.055</w:t>
            </w:r>
          </w:p>
        </w:tc>
        <w:tc>
          <w:tcPr>
            <w:tcW w:w="1276" w:type="dxa"/>
            <w:tcBorders>
              <w:top w:val="single" w:sz="4" w:space="0" w:color="auto"/>
              <w:left w:val="single" w:sz="4" w:space="0" w:color="auto"/>
              <w:bottom w:val="single" w:sz="4" w:space="0" w:color="auto"/>
              <w:right w:val="single" w:sz="4" w:space="0" w:color="auto"/>
            </w:tcBorders>
            <w:vAlign w:val="center"/>
          </w:tcPr>
          <w:p w14:paraId="34169FD8" w14:textId="77777777" w:rsidR="004B03CB" w:rsidRPr="0084252F" w:rsidRDefault="004B03CB" w:rsidP="00816216">
            <w:pPr>
              <w:spacing w:after="0" w:line="240" w:lineRule="auto"/>
              <w:jc w:val="center"/>
              <w:rPr>
                <w:rFonts w:ascii="Times New Roman" w:eastAsia="Times New Roman" w:hAnsi="Times New Roman" w:cs="Times New Roman"/>
                <w:sz w:val="20"/>
                <w:szCs w:val="20"/>
                <w:lang w:eastAsia="zh-CN"/>
              </w:rPr>
            </w:pPr>
            <w:r w:rsidRPr="00647404">
              <w:rPr>
                <w:rFonts w:ascii="Times New Roman" w:eastAsia="Times New Roman" w:hAnsi="Times New Roman" w:cs="Times New Roman"/>
                <w:sz w:val="20"/>
                <w:szCs w:val="20"/>
                <w:lang w:eastAsia="zh-CN"/>
              </w:rPr>
              <w:t>1.048</w:t>
            </w:r>
          </w:p>
        </w:tc>
        <w:tc>
          <w:tcPr>
            <w:tcW w:w="1276" w:type="dxa"/>
            <w:tcBorders>
              <w:top w:val="single" w:sz="4" w:space="0" w:color="auto"/>
              <w:left w:val="single" w:sz="4" w:space="0" w:color="auto"/>
              <w:bottom w:val="single" w:sz="4" w:space="0" w:color="auto"/>
              <w:right w:val="single" w:sz="4" w:space="0" w:color="auto"/>
            </w:tcBorders>
            <w:vAlign w:val="center"/>
          </w:tcPr>
          <w:p w14:paraId="62FEE43A" w14:textId="77777777" w:rsidR="004B03CB" w:rsidRPr="00617156" w:rsidRDefault="004B03CB" w:rsidP="00816216">
            <w:pPr>
              <w:spacing w:after="0" w:line="240" w:lineRule="auto"/>
              <w:jc w:val="center"/>
              <w:rPr>
                <w:rFonts w:ascii="Times New Roman" w:eastAsia="Times New Roman" w:hAnsi="Times New Roman" w:cs="Times New Roman"/>
                <w:sz w:val="20"/>
                <w:szCs w:val="20"/>
                <w:highlight w:val="yellow"/>
                <w:lang w:eastAsia="zh-CN"/>
              </w:rPr>
            </w:pPr>
            <w:r w:rsidRPr="00450DEA">
              <w:rPr>
                <w:rFonts w:ascii="Times New Roman" w:eastAsia="Times New Roman" w:hAnsi="Times New Roman" w:cs="Times New Roman"/>
                <w:sz w:val="20"/>
                <w:szCs w:val="20"/>
                <w:lang w:eastAsia="zh-CN"/>
              </w:rPr>
              <w:t>1.202</w:t>
            </w:r>
          </w:p>
        </w:tc>
        <w:tc>
          <w:tcPr>
            <w:tcW w:w="1275" w:type="dxa"/>
            <w:tcBorders>
              <w:top w:val="single" w:sz="4" w:space="0" w:color="auto"/>
              <w:left w:val="single" w:sz="4" w:space="0" w:color="auto"/>
              <w:bottom w:val="single" w:sz="4" w:space="0" w:color="auto"/>
              <w:right w:val="single" w:sz="4" w:space="0" w:color="auto"/>
            </w:tcBorders>
            <w:vAlign w:val="center"/>
          </w:tcPr>
          <w:p w14:paraId="67867F34" w14:textId="77777777" w:rsidR="004B03CB" w:rsidRPr="00305697" w:rsidRDefault="004B03CB" w:rsidP="00816216">
            <w:pPr>
              <w:spacing w:after="0" w:line="240" w:lineRule="auto"/>
              <w:jc w:val="center"/>
              <w:rPr>
                <w:rFonts w:ascii="Times New Roman" w:eastAsia="Times New Roman" w:hAnsi="Times New Roman" w:cs="Times New Roman"/>
                <w:sz w:val="20"/>
                <w:szCs w:val="20"/>
                <w:lang w:eastAsia="zh-CN"/>
              </w:rPr>
            </w:pPr>
            <w:r w:rsidRPr="00305697">
              <w:rPr>
                <w:rFonts w:ascii="Times New Roman" w:eastAsia="Times New Roman" w:hAnsi="Times New Roman" w:cs="Times New Roman"/>
                <w:sz w:val="20"/>
                <w:szCs w:val="20"/>
                <w:lang w:eastAsia="zh-CN"/>
              </w:rPr>
              <w:t>1.266</w:t>
            </w:r>
          </w:p>
        </w:tc>
        <w:tc>
          <w:tcPr>
            <w:tcW w:w="1276" w:type="dxa"/>
            <w:tcBorders>
              <w:top w:val="single" w:sz="4" w:space="0" w:color="auto"/>
              <w:left w:val="single" w:sz="4" w:space="0" w:color="auto"/>
              <w:bottom w:val="single" w:sz="4" w:space="0" w:color="auto"/>
              <w:right w:val="single" w:sz="4" w:space="0" w:color="auto"/>
            </w:tcBorders>
            <w:vAlign w:val="center"/>
          </w:tcPr>
          <w:p w14:paraId="2DCACA94" w14:textId="77777777" w:rsidR="004B03CB" w:rsidRPr="00305697" w:rsidRDefault="004B03CB" w:rsidP="00816216">
            <w:pPr>
              <w:spacing w:after="0" w:line="240" w:lineRule="auto"/>
              <w:jc w:val="center"/>
              <w:rPr>
                <w:rFonts w:ascii="Times New Roman" w:eastAsia="Times New Roman" w:hAnsi="Times New Roman" w:cs="Times New Roman"/>
                <w:sz w:val="20"/>
                <w:szCs w:val="20"/>
                <w:lang w:eastAsia="zh-CN"/>
              </w:rPr>
            </w:pPr>
            <w:r w:rsidRPr="00305697">
              <w:rPr>
                <w:rFonts w:ascii="Times New Roman" w:eastAsia="Times New Roman" w:hAnsi="Times New Roman" w:cs="Times New Roman"/>
                <w:sz w:val="20"/>
                <w:szCs w:val="20"/>
                <w:lang w:eastAsia="zh-CN"/>
              </w:rPr>
              <w:t>1.325</w:t>
            </w:r>
          </w:p>
        </w:tc>
        <w:tc>
          <w:tcPr>
            <w:tcW w:w="1276" w:type="dxa"/>
            <w:tcBorders>
              <w:top w:val="single" w:sz="4" w:space="0" w:color="auto"/>
              <w:left w:val="single" w:sz="4" w:space="0" w:color="auto"/>
              <w:bottom w:val="single" w:sz="4" w:space="0" w:color="auto"/>
              <w:right w:val="single" w:sz="4" w:space="0" w:color="auto"/>
            </w:tcBorders>
            <w:vAlign w:val="center"/>
          </w:tcPr>
          <w:p w14:paraId="57CA5DB1" w14:textId="77777777" w:rsidR="004B03CB" w:rsidRPr="002134AF" w:rsidRDefault="004B03CB" w:rsidP="00816216">
            <w:pPr>
              <w:spacing w:after="0" w:line="240" w:lineRule="auto"/>
              <w:jc w:val="center"/>
              <w:rPr>
                <w:rFonts w:ascii="Times New Roman" w:eastAsia="Times New Roman" w:hAnsi="Times New Roman" w:cs="Times New Roman"/>
                <w:sz w:val="20"/>
                <w:szCs w:val="20"/>
                <w:lang w:eastAsia="zh-CN"/>
              </w:rPr>
            </w:pPr>
            <w:r w:rsidRPr="002134AF">
              <w:rPr>
                <w:rFonts w:ascii="Times New Roman" w:eastAsia="Times New Roman" w:hAnsi="Times New Roman" w:cs="Times New Roman"/>
                <w:sz w:val="20"/>
                <w:szCs w:val="20"/>
                <w:lang w:eastAsia="zh-CN"/>
              </w:rPr>
              <w:t>1.246</w:t>
            </w:r>
          </w:p>
        </w:tc>
      </w:tr>
      <w:tr w:rsidR="004B03CB" w:rsidRPr="0084252F" w14:paraId="1299C18E" w14:textId="77777777" w:rsidTr="00816216">
        <w:trPr>
          <w:jc w:val="center"/>
        </w:trPr>
        <w:tc>
          <w:tcPr>
            <w:tcW w:w="1825" w:type="dxa"/>
            <w:tcBorders>
              <w:top w:val="single" w:sz="4" w:space="0" w:color="auto"/>
              <w:left w:val="single" w:sz="4" w:space="0" w:color="auto"/>
              <w:bottom w:val="single" w:sz="4" w:space="0" w:color="auto"/>
              <w:right w:val="single" w:sz="4" w:space="0" w:color="auto"/>
            </w:tcBorders>
            <w:vAlign w:val="center"/>
          </w:tcPr>
          <w:p w14:paraId="07A221F6" w14:textId="77777777" w:rsidR="004B03CB" w:rsidRPr="0084252F" w:rsidRDefault="004B03CB" w:rsidP="00816216">
            <w:pPr>
              <w:spacing w:after="0" w:line="240" w:lineRule="auto"/>
              <w:jc w:val="both"/>
              <w:rPr>
                <w:rFonts w:ascii="Times New Roman" w:eastAsia="Times New Roman" w:hAnsi="Times New Roman" w:cs="Times New Roman"/>
                <w:sz w:val="20"/>
                <w:szCs w:val="20"/>
                <w:lang w:eastAsia="zh-CN"/>
              </w:rPr>
            </w:pPr>
            <w:r w:rsidRPr="0084252F">
              <w:rPr>
                <w:rFonts w:ascii="Times New Roman" w:eastAsia="Calibri" w:hAnsi="Times New Roman" w:cs="Times New Roman"/>
                <w:sz w:val="20"/>
                <w:szCs w:val="20"/>
                <w:lang w:eastAsia="hr-HR"/>
              </w:rPr>
              <w:t xml:space="preserve">Obveznici koji obvezu podmiruju plaćanjem naknade (isključivo plaćaju ili djelomično zapošljavaju, a djelomično plaćaju) </w:t>
            </w:r>
          </w:p>
        </w:tc>
        <w:tc>
          <w:tcPr>
            <w:tcW w:w="1294" w:type="dxa"/>
            <w:tcBorders>
              <w:top w:val="single" w:sz="4" w:space="0" w:color="auto"/>
              <w:left w:val="single" w:sz="4" w:space="0" w:color="auto"/>
              <w:bottom w:val="single" w:sz="4" w:space="0" w:color="auto"/>
              <w:right w:val="single" w:sz="4" w:space="0" w:color="auto"/>
            </w:tcBorders>
            <w:vAlign w:val="center"/>
          </w:tcPr>
          <w:p w14:paraId="71FD9363" w14:textId="77777777" w:rsidR="004B03CB" w:rsidRPr="00450DEA" w:rsidRDefault="004B03CB" w:rsidP="00816216">
            <w:pPr>
              <w:spacing w:after="0" w:line="240" w:lineRule="auto"/>
              <w:jc w:val="center"/>
              <w:rPr>
                <w:rFonts w:ascii="Times New Roman" w:eastAsia="Times New Roman" w:hAnsi="Times New Roman" w:cs="Times New Roman"/>
                <w:sz w:val="20"/>
                <w:szCs w:val="20"/>
                <w:highlight w:val="yellow"/>
                <w:lang w:eastAsia="zh-CN"/>
              </w:rPr>
            </w:pPr>
            <w:r w:rsidRPr="003F7270">
              <w:rPr>
                <w:rFonts w:ascii="Times New Roman" w:eastAsia="Times New Roman" w:hAnsi="Times New Roman" w:cs="Times New Roman"/>
                <w:sz w:val="20"/>
                <w:szCs w:val="20"/>
                <w:lang w:eastAsia="zh-CN"/>
              </w:rPr>
              <w:t>5.8</w:t>
            </w:r>
            <w:r>
              <w:rPr>
                <w:rFonts w:ascii="Times New Roman" w:eastAsia="Times New Roman" w:hAnsi="Times New Roman" w:cs="Times New Roman"/>
                <w:sz w:val="20"/>
                <w:szCs w:val="20"/>
                <w:lang w:eastAsia="zh-CN"/>
              </w:rPr>
              <w:t>85</w:t>
            </w:r>
          </w:p>
        </w:tc>
        <w:tc>
          <w:tcPr>
            <w:tcW w:w="1276" w:type="dxa"/>
            <w:tcBorders>
              <w:top w:val="single" w:sz="4" w:space="0" w:color="auto"/>
              <w:left w:val="single" w:sz="4" w:space="0" w:color="auto"/>
              <w:bottom w:val="single" w:sz="4" w:space="0" w:color="auto"/>
              <w:right w:val="single" w:sz="4" w:space="0" w:color="auto"/>
            </w:tcBorders>
            <w:vAlign w:val="center"/>
          </w:tcPr>
          <w:p w14:paraId="280C1F92" w14:textId="77777777" w:rsidR="004B03CB" w:rsidRPr="0084252F" w:rsidRDefault="004B03CB" w:rsidP="00816216">
            <w:pPr>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3.958</w:t>
            </w:r>
          </w:p>
        </w:tc>
        <w:tc>
          <w:tcPr>
            <w:tcW w:w="1276" w:type="dxa"/>
            <w:tcBorders>
              <w:top w:val="single" w:sz="4" w:space="0" w:color="auto"/>
              <w:left w:val="single" w:sz="4" w:space="0" w:color="auto"/>
              <w:bottom w:val="single" w:sz="4" w:space="0" w:color="auto"/>
              <w:right w:val="single" w:sz="4" w:space="0" w:color="auto"/>
            </w:tcBorders>
            <w:vAlign w:val="center"/>
          </w:tcPr>
          <w:p w14:paraId="7423FF60" w14:textId="77777777" w:rsidR="004B03CB" w:rsidRPr="0084252F" w:rsidRDefault="004B03CB" w:rsidP="00816216">
            <w:pPr>
              <w:spacing w:after="0" w:line="240" w:lineRule="auto"/>
              <w:jc w:val="center"/>
              <w:rPr>
                <w:rFonts w:ascii="Times New Roman" w:eastAsia="Times New Roman" w:hAnsi="Times New Roman" w:cs="Times New Roman"/>
                <w:sz w:val="20"/>
                <w:szCs w:val="20"/>
                <w:lang w:eastAsia="zh-CN"/>
              </w:rPr>
            </w:pPr>
            <w:r w:rsidRPr="00196843">
              <w:rPr>
                <w:rFonts w:ascii="Times New Roman" w:eastAsia="Times New Roman" w:hAnsi="Times New Roman" w:cs="Times New Roman"/>
                <w:sz w:val="20"/>
                <w:szCs w:val="20"/>
                <w:lang w:eastAsia="zh-CN"/>
              </w:rPr>
              <w:t>3.787</w:t>
            </w:r>
          </w:p>
        </w:tc>
        <w:tc>
          <w:tcPr>
            <w:tcW w:w="1275" w:type="dxa"/>
            <w:tcBorders>
              <w:top w:val="single" w:sz="4" w:space="0" w:color="auto"/>
              <w:left w:val="single" w:sz="4" w:space="0" w:color="auto"/>
              <w:bottom w:val="single" w:sz="4" w:space="0" w:color="auto"/>
              <w:right w:val="single" w:sz="4" w:space="0" w:color="auto"/>
            </w:tcBorders>
            <w:vAlign w:val="center"/>
          </w:tcPr>
          <w:p w14:paraId="2408EFD3" w14:textId="77777777" w:rsidR="004B03CB" w:rsidRPr="00305697" w:rsidRDefault="004B03CB" w:rsidP="00816216">
            <w:pPr>
              <w:spacing w:after="0" w:line="240" w:lineRule="auto"/>
              <w:jc w:val="center"/>
              <w:rPr>
                <w:rFonts w:ascii="Times New Roman" w:eastAsia="Times New Roman" w:hAnsi="Times New Roman" w:cs="Times New Roman"/>
                <w:sz w:val="20"/>
                <w:szCs w:val="20"/>
                <w:lang w:eastAsia="zh-CN"/>
              </w:rPr>
            </w:pPr>
            <w:r w:rsidRPr="00305697">
              <w:rPr>
                <w:rFonts w:ascii="Times New Roman" w:eastAsia="Times New Roman" w:hAnsi="Times New Roman" w:cs="Times New Roman"/>
                <w:sz w:val="20"/>
                <w:szCs w:val="20"/>
                <w:lang w:eastAsia="zh-CN"/>
              </w:rPr>
              <w:t>3.514</w:t>
            </w:r>
          </w:p>
        </w:tc>
        <w:tc>
          <w:tcPr>
            <w:tcW w:w="1276" w:type="dxa"/>
            <w:tcBorders>
              <w:top w:val="single" w:sz="4" w:space="0" w:color="auto"/>
              <w:left w:val="single" w:sz="4" w:space="0" w:color="auto"/>
              <w:bottom w:val="single" w:sz="4" w:space="0" w:color="auto"/>
              <w:right w:val="single" w:sz="4" w:space="0" w:color="auto"/>
            </w:tcBorders>
            <w:vAlign w:val="center"/>
          </w:tcPr>
          <w:p w14:paraId="05E54580" w14:textId="77777777" w:rsidR="004B03CB" w:rsidRPr="00305697" w:rsidRDefault="004B03CB" w:rsidP="00816216">
            <w:pPr>
              <w:spacing w:after="0" w:line="240" w:lineRule="auto"/>
              <w:jc w:val="center"/>
              <w:rPr>
                <w:rFonts w:ascii="Times New Roman" w:eastAsia="Times New Roman" w:hAnsi="Times New Roman" w:cs="Times New Roman"/>
                <w:sz w:val="20"/>
                <w:szCs w:val="20"/>
                <w:lang w:eastAsia="zh-CN"/>
              </w:rPr>
            </w:pPr>
            <w:r w:rsidRPr="00305697">
              <w:rPr>
                <w:rFonts w:ascii="Times New Roman" w:eastAsia="Times New Roman" w:hAnsi="Times New Roman" w:cs="Times New Roman"/>
                <w:sz w:val="20"/>
                <w:szCs w:val="20"/>
                <w:lang w:eastAsia="zh-CN"/>
              </w:rPr>
              <w:t>2.822</w:t>
            </w:r>
          </w:p>
        </w:tc>
        <w:tc>
          <w:tcPr>
            <w:tcW w:w="1276" w:type="dxa"/>
            <w:tcBorders>
              <w:top w:val="single" w:sz="4" w:space="0" w:color="auto"/>
              <w:left w:val="single" w:sz="4" w:space="0" w:color="auto"/>
              <w:bottom w:val="single" w:sz="4" w:space="0" w:color="auto"/>
              <w:right w:val="single" w:sz="4" w:space="0" w:color="auto"/>
            </w:tcBorders>
            <w:vAlign w:val="center"/>
          </w:tcPr>
          <w:p w14:paraId="47A7FCCB" w14:textId="77777777" w:rsidR="004B03CB" w:rsidRPr="00617156" w:rsidRDefault="004B03CB" w:rsidP="00816216">
            <w:pPr>
              <w:spacing w:after="0" w:line="240" w:lineRule="auto"/>
              <w:jc w:val="center"/>
              <w:rPr>
                <w:rFonts w:ascii="Times New Roman" w:eastAsia="Times New Roman" w:hAnsi="Times New Roman" w:cs="Times New Roman"/>
                <w:sz w:val="20"/>
                <w:szCs w:val="20"/>
                <w:highlight w:val="yellow"/>
                <w:lang w:eastAsia="zh-CN"/>
              </w:rPr>
            </w:pPr>
            <w:r w:rsidRPr="002134AF">
              <w:rPr>
                <w:rFonts w:ascii="Times New Roman" w:eastAsia="Times New Roman" w:hAnsi="Times New Roman" w:cs="Times New Roman"/>
                <w:sz w:val="20"/>
                <w:szCs w:val="20"/>
                <w:lang w:eastAsia="zh-CN"/>
              </w:rPr>
              <w:t>4.513</w:t>
            </w:r>
          </w:p>
        </w:tc>
      </w:tr>
      <w:tr w:rsidR="004B03CB" w:rsidRPr="0084252F" w14:paraId="131C0B2E" w14:textId="77777777" w:rsidTr="00816216">
        <w:trPr>
          <w:jc w:val="center"/>
        </w:trPr>
        <w:tc>
          <w:tcPr>
            <w:tcW w:w="1825" w:type="dxa"/>
            <w:tcBorders>
              <w:top w:val="single" w:sz="4" w:space="0" w:color="auto"/>
              <w:left w:val="single" w:sz="4" w:space="0" w:color="auto"/>
              <w:bottom w:val="single" w:sz="4" w:space="0" w:color="auto"/>
              <w:right w:val="single" w:sz="4" w:space="0" w:color="auto"/>
            </w:tcBorders>
            <w:vAlign w:val="center"/>
          </w:tcPr>
          <w:p w14:paraId="2FA314D7" w14:textId="77777777" w:rsidR="004B03CB" w:rsidRPr="0084252F" w:rsidRDefault="004B03CB" w:rsidP="00816216">
            <w:pPr>
              <w:snapToGrid w:val="0"/>
              <w:spacing w:after="0" w:line="240" w:lineRule="auto"/>
              <w:rPr>
                <w:rFonts w:ascii="Times New Roman" w:eastAsia="Calibri" w:hAnsi="Times New Roman" w:cs="Times New Roman"/>
                <w:sz w:val="20"/>
                <w:szCs w:val="20"/>
                <w:lang w:eastAsia="hr-HR"/>
              </w:rPr>
            </w:pPr>
            <w:r w:rsidRPr="0084252F">
              <w:rPr>
                <w:rFonts w:ascii="Times New Roman" w:eastAsia="Calibri" w:hAnsi="Times New Roman" w:cs="Times New Roman"/>
                <w:sz w:val="20"/>
                <w:szCs w:val="20"/>
                <w:lang w:eastAsia="hr-HR"/>
              </w:rPr>
              <w:t>Obveznici koji ne podmiruju obvezu plaćanjem naknade (u cijelosti ili djelomično)</w:t>
            </w:r>
          </w:p>
        </w:tc>
        <w:tc>
          <w:tcPr>
            <w:tcW w:w="1294" w:type="dxa"/>
            <w:tcBorders>
              <w:top w:val="single" w:sz="4" w:space="0" w:color="auto"/>
              <w:left w:val="single" w:sz="4" w:space="0" w:color="auto"/>
              <w:bottom w:val="single" w:sz="4" w:space="0" w:color="auto"/>
              <w:right w:val="single" w:sz="4" w:space="0" w:color="auto"/>
            </w:tcBorders>
            <w:vAlign w:val="center"/>
          </w:tcPr>
          <w:p w14:paraId="1E63550C" w14:textId="77777777" w:rsidR="004B03CB" w:rsidRPr="00450DEA" w:rsidRDefault="004B03CB" w:rsidP="00816216">
            <w:pPr>
              <w:spacing w:after="0" w:line="240" w:lineRule="auto"/>
              <w:jc w:val="center"/>
              <w:rPr>
                <w:rFonts w:ascii="Times New Roman" w:eastAsia="Times New Roman" w:hAnsi="Times New Roman" w:cs="Times New Roman"/>
                <w:sz w:val="20"/>
                <w:szCs w:val="20"/>
                <w:highlight w:val="yellow"/>
                <w:lang w:eastAsia="zh-CN"/>
              </w:rPr>
            </w:pPr>
            <w:r w:rsidRPr="003F7270">
              <w:rPr>
                <w:rFonts w:ascii="Times New Roman" w:eastAsia="Times New Roman" w:hAnsi="Times New Roman" w:cs="Times New Roman"/>
                <w:sz w:val="20"/>
                <w:szCs w:val="20"/>
                <w:lang w:eastAsia="zh-CN"/>
              </w:rPr>
              <w:t>497</w:t>
            </w:r>
          </w:p>
        </w:tc>
        <w:tc>
          <w:tcPr>
            <w:tcW w:w="1276" w:type="dxa"/>
            <w:tcBorders>
              <w:top w:val="single" w:sz="4" w:space="0" w:color="auto"/>
              <w:left w:val="single" w:sz="4" w:space="0" w:color="auto"/>
              <w:bottom w:val="single" w:sz="4" w:space="0" w:color="auto"/>
              <w:right w:val="single" w:sz="4" w:space="0" w:color="auto"/>
            </w:tcBorders>
            <w:vAlign w:val="center"/>
          </w:tcPr>
          <w:p w14:paraId="63C27823" w14:textId="77777777" w:rsidR="004B03CB" w:rsidRPr="0084252F" w:rsidRDefault="004B03CB" w:rsidP="00816216">
            <w:pPr>
              <w:spacing w:after="0" w:line="240" w:lineRule="auto"/>
              <w:jc w:val="center"/>
              <w:rPr>
                <w:rFonts w:ascii="Times New Roman" w:eastAsia="Times New Roman" w:hAnsi="Times New Roman" w:cs="Times New Roman"/>
                <w:sz w:val="20"/>
                <w:szCs w:val="20"/>
                <w:lang w:eastAsia="zh-CN"/>
              </w:rPr>
            </w:pPr>
            <w:r w:rsidRPr="00647404">
              <w:rPr>
                <w:rFonts w:ascii="Times New Roman" w:eastAsia="Times New Roman" w:hAnsi="Times New Roman" w:cs="Times New Roman"/>
                <w:sz w:val="20"/>
                <w:szCs w:val="20"/>
                <w:lang w:eastAsia="zh-CN"/>
              </w:rPr>
              <w:t>3.425</w:t>
            </w:r>
          </w:p>
        </w:tc>
        <w:tc>
          <w:tcPr>
            <w:tcW w:w="1276" w:type="dxa"/>
            <w:tcBorders>
              <w:top w:val="single" w:sz="4" w:space="0" w:color="auto"/>
              <w:left w:val="single" w:sz="4" w:space="0" w:color="auto"/>
              <w:bottom w:val="single" w:sz="4" w:space="0" w:color="auto"/>
              <w:right w:val="single" w:sz="4" w:space="0" w:color="auto"/>
            </w:tcBorders>
            <w:vAlign w:val="center"/>
          </w:tcPr>
          <w:p w14:paraId="3687BB32" w14:textId="77777777" w:rsidR="004B03CB" w:rsidRPr="0084252F" w:rsidRDefault="004B03CB" w:rsidP="00816216">
            <w:pPr>
              <w:spacing w:after="0" w:line="240" w:lineRule="auto"/>
              <w:jc w:val="center"/>
              <w:rPr>
                <w:rFonts w:ascii="Times New Roman" w:eastAsia="Times New Roman" w:hAnsi="Times New Roman" w:cs="Times New Roman"/>
                <w:sz w:val="20"/>
                <w:szCs w:val="20"/>
                <w:lang w:eastAsia="zh-CN"/>
              </w:rPr>
            </w:pPr>
            <w:r w:rsidRPr="00196843">
              <w:rPr>
                <w:rFonts w:ascii="Times New Roman" w:eastAsia="Times New Roman" w:hAnsi="Times New Roman" w:cs="Times New Roman"/>
                <w:sz w:val="20"/>
                <w:szCs w:val="20"/>
                <w:lang w:eastAsia="zh-CN"/>
              </w:rPr>
              <w:t>3.814</w:t>
            </w:r>
          </w:p>
        </w:tc>
        <w:tc>
          <w:tcPr>
            <w:tcW w:w="1275" w:type="dxa"/>
            <w:tcBorders>
              <w:top w:val="single" w:sz="4" w:space="0" w:color="auto"/>
              <w:left w:val="single" w:sz="4" w:space="0" w:color="auto"/>
              <w:bottom w:val="single" w:sz="4" w:space="0" w:color="auto"/>
              <w:right w:val="single" w:sz="4" w:space="0" w:color="auto"/>
            </w:tcBorders>
            <w:vAlign w:val="center"/>
          </w:tcPr>
          <w:p w14:paraId="102536E6" w14:textId="77777777" w:rsidR="004B03CB" w:rsidRPr="00305697" w:rsidRDefault="004B03CB" w:rsidP="00816216">
            <w:pPr>
              <w:spacing w:after="0" w:line="240" w:lineRule="auto"/>
              <w:jc w:val="center"/>
              <w:rPr>
                <w:rFonts w:ascii="Times New Roman" w:eastAsia="Times New Roman" w:hAnsi="Times New Roman" w:cs="Times New Roman"/>
                <w:sz w:val="20"/>
                <w:szCs w:val="20"/>
                <w:lang w:eastAsia="zh-CN"/>
              </w:rPr>
            </w:pPr>
            <w:r w:rsidRPr="00305697">
              <w:rPr>
                <w:rFonts w:ascii="Times New Roman" w:eastAsia="Times New Roman" w:hAnsi="Times New Roman" w:cs="Times New Roman"/>
                <w:sz w:val="20"/>
                <w:szCs w:val="20"/>
                <w:lang w:eastAsia="zh-CN"/>
              </w:rPr>
              <w:t>4.026</w:t>
            </w:r>
          </w:p>
        </w:tc>
        <w:tc>
          <w:tcPr>
            <w:tcW w:w="1276" w:type="dxa"/>
            <w:tcBorders>
              <w:top w:val="single" w:sz="4" w:space="0" w:color="auto"/>
              <w:left w:val="single" w:sz="4" w:space="0" w:color="auto"/>
              <w:bottom w:val="single" w:sz="4" w:space="0" w:color="auto"/>
              <w:right w:val="single" w:sz="4" w:space="0" w:color="auto"/>
            </w:tcBorders>
            <w:vAlign w:val="center"/>
          </w:tcPr>
          <w:p w14:paraId="7EB7BED6" w14:textId="77777777" w:rsidR="004B03CB" w:rsidRPr="00305697" w:rsidRDefault="004B03CB" w:rsidP="00816216">
            <w:pPr>
              <w:spacing w:after="0" w:line="240" w:lineRule="auto"/>
              <w:jc w:val="center"/>
              <w:rPr>
                <w:rFonts w:ascii="Times New Roman" w:eastAsia="Times New Roman" w:hAnsi="Times New Roman" w:cs="Times New Roman"/>
                <w:sz w:val="20"/>
                <w:szCs w:val="20"/>
                <w:lang w:eastAsia="zh-CN"/>
              </w:rPr>
            </w:pPr>
            <w:r w:rsidRPr="00305697">
              <w:rPr>
                <w:rFonts w:ascii="Times New Roman" w:eastAsia="Times New Roman" w:hAnsi="Times New Roman" w:cs="Times New Roman"/>
                <w:sz w:val="20"/>
                <w:szCs w:val="20"/>
                <w:lang w:eastAsia="zh-CN"/>
              </w:rPr>
              <w:t>4.628</w:t>
            </w:r>
          </w:p>
        </w:tc>
        <w:tc>
          <w:tcPr>
            <w:tcW w:w="1276" w:type="dxa"/>
            <w:tcBorders>
              <w:top w:val="single" w:sz="4" w:space="0" w:color="auto"/>
              <w:left w:val="single" w:sz="4" w:space="0" w:color="auto"/>
              <w:bottom w:val="single" w:sz="4" w:space="0" w:color="auto"/>
              <w:right w:val="single" w:sz="4" w:space="0" w:color="auto"/>
            </w:tcBorders>
            <w:vAlign w:val="center"/>
          </w:tcPr>
          <w:p w14:paraId="6A211B2A" w14:textId="77777777" w:rsidR="004B03CB" w:rsidRPr="00617156" w:rsidRDefault="004B03CB" w:rsidP="00816216">
            <w:pPr>
              <w:spacing w:after="0" w:line="240" w:lineRule="auto"/>
              <w:jc w:val="center"/>
              <w:rPr>
                <w:rFonts w:ascii="Times New Roman" w:eastAsia="Times New Roman" w:hAnsi="Times New Roman" w:cs="Times New Roman"/>
                <w:sz w:val="20"/>
                <w:szCs w:val="20"/>
                <w:highlight w:val="yellow"/>
                <w:lang w:eastAsia="zh-CN"/>
              </w:rPr>
            </w:pPr>
            <w:r w:rsidRPr="002134AF">
              <w:rPr>
                <w:rFonts w:ascii="Times New Roman" w:eastAsia="Times New Roman" w:hAnsi="Times New Roman" w:cs="Times New Roman"/>
                <w:sz w:val="20"/>
                <w:szCs w:val="20"/>
                <w:lang w:eastAsia="zh-CN"/>
              </w:rPr>
              <w:t>2.389</w:t>
            </w:r>
          </w:p>
        </w:tc>
      </w:tr>
      <w:tr w:rsidR="004B03CB" w:rsidRPr="0084252F" w14:paraId="3C0CB9C0" w14:textId="77777777" w:rsidTr="00816216">
        <w:trPr>
          <w:jc w:val="center"/>
        </w:trPr>
        <w:tc>
          <w:tcPr>
            <w:tcW w:w="1825" w:type="dxa"/>
            <w:tcBorders>
              <w:top w:val="single" w:sz="4" w:space="0" w:color="auto"/>
              <w:left w:val="single" w:sz="4" w:space="0" w:color="auto"/>
              <w:bottom w:val="single" w:sz="4" w:space="0" w:color="auto"/>
              <w:right w:val="single" w:sz="4" w:space="0" w:color="auto"/>
            </w:tcBorders>
            <w:vAlign w:val="center"/>
          </w:tcPr>
          <w:p w14:paraId="35E58CEC" w14:textId="77777777" w:rsidR="004B03CB" w:rsidRPr="0084252F" w:rsidRDefault="004B03CB" w:rsidP="00816216">
            <w:pPr>
              <w:spacing w:after="0" w:line="240" w:lineRule="auto"/>
              <w:jc w:val="both"/>
              <w:rPr>
                <w:rFonts w:ascii="Times New Roman" w:eastAsia="Times New Roman" w:hAnsi="Times New Roman" w:cs="Times New Roman"/>
                <w:sz w:val="20"/>
                <w:szCs w:val="20"/>
                <w:lang w:eastAsia="zh-CN"/>
              </w:rPr>
            </w:pPr>
            <w:r w:rsidRPr="0084252F">
              <w:rPr>
                <w:rFonts w:ascii="Times New Roman" w:eastAsia="Calibri" w:hAnsi="Times New Roman" w:cs="Times New Roman"/>
                <w:sz w:val="20"/>
                <w:szCs w:val="20"/>
                <w:lang w:eastAsia="hr-HR"/>
              </w:rPr>
              <w:t>Obveznici koji su najavili ispunjenje obveze zamjenskom kvotom</w:t>
            </w:r>
          </w:p>
        </w:tc>
        <w:tc>
          <w:tcPr>
            <w:tcW w:w="1294" w:type="dxa"/>
            <w:tcBorders>
              <w:top w:val="single" w:sz="4" w:space="0" w:color="auto"/>
              <w:left w:val="single" w:sz="4" w:space="0" w:color="auto"/>
              <w:bottom w:val="single" w:sz="4" w:space="0" w:color="auto"/>
              <w:right w:val="single" w:sz="4" w:space="0" w:color="auto"/>
            </w:tcBorders>
            <w:vAlign w:val="center"/>
          </w:tcPr>
          <w:p w14:paraId="425C0FD4" w14:textId="77777777" w:rsidR="004B03CB" w:rsidRPr="003F7270" w:rsidRDefault="004B03CB" w:rsidP="00816216">
            <w:pPr>
              <w:spacing w:after="0" w:line="240" w:lineRule="auto"/>
              <w:jc w:val="center"/>
              <w:rPr>
                <w:rFonts w:ascii="Times New Roman" w:eastAsia="Times New Roman" w:hAnsi="Times New Roman" w:cs="Times New Roman"/>
                <w:sz w:val="20"/>
                <w:szCs w:val="20"/>
                <w:highlight w:val="yellow"/>
                <w:lang w:eastAsia="zh-CN"/>
              </w:rPr>
            </w:pPr>
            <w:r w:rsidRPr="003F7270">
              <w:rPr>
                <w:rFonts w:ascii="Times New Roman" w:eastAsia="Times New Roman" w:hAnsi="Times New Roman" w:cs="Times New Roman"/>
                <w:sz w:val="20"/>
                <w:szCs w:val="20"/>
                <w:lang w:eastAsia="zh-CN"/>
              </w:rPr>
              <w:t>93</w:t>
            </w:r>
          </w:p>
        </w:tc>
        <w:tc>
          <w:tcPr>
            <w:tcW w:w="1276" w:type="dxa"/>
            <w:tcBorders>
              <w:top w:val="single" w:sz="4" w:space="0" w:color="auto"/>
              <w:left w:val="single" w:sz="4" w:space="0" w:color="auto"/>
              <w:bottom w:val="single" w:sz="4" w:space="0" w:color="auto"/>
              <w:right w:val="single" w:sz="4" w:space="0" w:color="auto"/>
            </w:tcBorders>
            <w:vAlign w:val="center"/>
          </w:tcPr>
          <w:p w14:paraId="60D8068A" w14:textId="77777777" w:rsidR="004B03CB" w:rsidRPr="003F7270" w:rsidRDefault="004B03CB" w:rsidP="00816216">
            <w:pPr>
              <w:spacing w:after="0" w:line="240" w:lineRule="auto"/>
              <w:jc w:val="center"/>
              <w:rPr>
                <w:rFonts w:ascii="Times New Roman" w:eastAsia="Times New Roman" w:hAnsi="Times New Roman" w:cs="Times New Roman"/>
                <w:sz w:val="20"/>
                <w:szCs w:val="20"/>
                <w:lang w:eastAsia="zh-CN"/>
              </w:rPr>
            </w:pPr>
            <w:r w:rsidRPr="003F7270">
              <w:rPr>
                <w:rFonts w:ascii="Times New Roman" w:eastAsia="Times New Roman" w:hAnsi="Times New Roman" w:cs="Times New Roman"/>
                <w:sz w:val="20"/>
                <w:szCs w:val="20"/>
                <w:lang w:eastAsia="zh-CN"/>
              </w:rPr>
              <w:t>102</w:t>
            </w:r>
          </w:p>
        </w:tc>
        <w:tc>
          <w:tcPr>
            <w:tcW w:w="1276" w:type="dxa"/>
            <w:tcBorders>
              <w:top w:val="single" w:sz="4" w:space="0" w:color="auto"/>
              <w:left w:val="single" w:sz="4" w:space="0" w:color="auto"/>
              <w:bottom w:val="single" w:sz="4" w:space="0" w:color="auto"/>
              <w:right w:val="single" w:sz="4" w:space="0" w:color="auto"/>
            </w:tcBorders>
            <w:vAlign w:val="center"/>
          </w:tcPr>
          <w:p w14:paraId="5A7FC3C2" w14:textId="77777777" w:rsidR="004B03CB" w:rsidRPr="003F7270" w:rsidRDefault="004B03CB" w:rsidP="00816216">
            <w:pPr>
              <w:spacing w:after="0" w:line="240" w:lineRule="auto"/>
              <w:jc w:val="center"/>
              <w:rPr>
                <w:rFonts w:ascii="Times New Roman" w:eastAsia="Times New Roman" w:hAnsi="Times New Roman" w:cs="Times New Roman"/>
                <w:sz w:val="20"/>
                <w:szCs w:val="20"/>
                <w:lang w:eastAsia="zh-CN"/>
              </w:rPr>
            </w:pPr>
            <w:r w:rsidRPr="003F7270">
              <w:rPr>
                <w:rFonts w:ascii="Times New Roman" w:eastAsia="Times New Roman" w:hAnsi="Times New Roman" w:cs="Times New Roman"/>
                <w:sz w:val="20"/>
                <w:szCs w:val="20"/>
                <w:lang w:eastAsia="zh-CN"/>
              </w:rPr>
              <w:t>146</w:t>
            </w:r>
          </w:p>
        </w:tc>
        <w:tc>
          <w:tcPr>
            <w:tcW w:w="1275" w:type="dxa"/>
            <w:tcBorders>
              <w:top w:val="single" w:sz="4" w:space="0" w:color="auto"/>
              <w:left w:val="single" w:sz="4" w:space="0" w:color="auto"/>
              <w:bottom w:val="single" w:sz="4" w:space="0" w:color="auto"/>
              <w:right w:val="single" w:sz="4" w:space="0" w:color="auto"/>
            </w:tcBorders>
            <w:vAlign w:val="center"/>
          </w:tcPr>
          <w:p w14:paraId="7285CB55" w14:textId="77777777" w:rsidR="004B03CB" w:rsidRPr="00305697" w:rsidRDefault="004B03CB" w:rsidP="00816216">
            <w:pPr>
              <w:spacing w:after="0" w:line="240" w:lineRule="auto"/>
              <w:jc w:val="center"/>
              <w:rPr>
                <w:rFonts w:ascii="Times New Roman" w:eastAsia="Times New Roman" w:hAnsi="Times New Roman" w:cs="Times New Roman"/>
                <w:sz w:val="20"/>
                <w:szCs w:val="20"/>
                <w:lang w:eastAsia="zh-CN"/>
              </w:rPr>
            </w:pPr>
            <w:r w:rsidRPr="00305697">
              <w:rPr>
                <w:rFonts w:ascii="Times New Roman" w:eastAsia="Times New Roman" w:hAnsi="Times New Roman" w:cs="Times New Roman"/>
                <w:sz w:val="20"/>
                <w:szCs w:val="20"/>
                <w:lang w:eastAsia="zh-CN"/>
              </w:rPr>
              <w:t>265</w:t>
            </w:r>
          </w:p>
        </w:tc>
        <w:tc>
          <w:tcPr>
            <w:tcW w:w="1276" w:type="dxa"/>
            <w:tcBorders>
              <w:top w:val="single" w:sz="4" w:space="0" w:color="auto"/>
              <w:left w:val="single" w:sz="4" w:space="0" w:color="auto"/>
              <w:bottom w:val="single" w:sz="4" w:space="0" w:color="auto"/>
              <w:right w:val="single" w:sz="4" w:space="0" w:color="auto"/>
            </w:tcBorders>
            <w:vAlign w:val="center"/>
          </w:tcPr>
          <w:p w14:paraId="11D65E43" w14:textId="77777777" w:rsidR="004B03CB" w:rsidRPr="00305697" w:rsidRDefault="004B03CB" w:rsidP="00816216">
            <w:pPr>
              <w:spacing w:after="0" w:line="240" w:lineRule="auto"/>
              <w:jc w:val="center"/>
              <w:rPr>
                <w:rFonts w:ascii="Times New Roman" w:eastAsia="Times New Roman" w:hAnsi="Times New Roman" w:cs="Times New Roman"/>
                <w:sz w:val="20"/>
                <w:szCs w:val="20"/>
                <w:lang w:eastAsia="zh-CN"/>
              </w:rPr>
            </w:pPr>
            <w:r w:rsidRPr="00305697">
              <w:rPr>
                <w:rFonts w:ascii="Times New Roman" w:eastAsia="Times New Roman" w:hAnsi="Times New Roman" w:cs="Times New Roman"/>
                <w:sz w:val="20"/>
                <w:szCs w:val="20"/>
                <w:lang w:eastAsia="zh-CN"/>
              </w:rPr>
              <w:t>557</w:t>
            </w:r>
          </w:p>
        </w:tc>
        <w:tc>
          <w:tcPr>
            <w:tcW w:w="1276" w:type="dxa"/>
            <w:tcBorders>
              <w:top w:val="single" w:sz="4" w:space="0" w:color="auto"/>
              <w:left w:val="single" w:sz="4" w:space="0" w:color="auto"/>
              <w:bottom w:val="single" w:sz="4" w:space="0" w:color="auto"/>
              <w:right w:val="single" w:sz="4" w:space="0" w:color="auto"/>
            </w:tcBorders>
            <w:vAlign w:val="center"/>
          </w:tcPr>
          <w:p w14:paraId="67EAF6D8" w14:textId="77777777" w:rsidR="004B03CB" w:rsidRPr="00617156" w:rsidRDefault="004B03CB" w:rsidP="00816216">
            <w:pPr>
              <w:spacing w:after="0" w:line="240" w:lineRule="auto"/>
              <w:jc w:val="center"/>
              <w:rPr>
                <w:rFonts w:ascii="Times New Roman" w:eastAsia="Times New Roman" w:hAnsi="Times New Roman" w:cs="Times New Roman"/>
                <w:sz w:val="20"/>
                <w:szCs w:val="20"/>
                <w:highlight w:val="yellow"/>
                <w:lang w:eastAsia="zh-CN"/>
              </w:rPr>
            </w:pPr>
            <w:r w:rsidRPr="002134AF">
              <w:rPr>
                <w:rFonts w:ascii="Times New Roman" w:eastAsia="Times New Roman" w:hAnsi="Times New Roman" w:cs="Times New Roman"/>
                <w:sz w:val="20"/>
                <w:szCs w:val="20"/>
                <w:lang w:eastAsia="zh-CN"/>
              </w:rPr>
              <w:t>766</w:t>
            </w:r>
          </w:p>
        </w:tc>
      </w:tr>
      <w:tr w:rsidR="004B03CB" w:rsidRPr="0084252F" w14:paraId="26E38A7C" w14:textId="77777777" w:rsidTr="00816216">
        <w:trPr>
          <w:trHeight w:val="384"/>
          <w:jc w:val="center"/>
        </w:trPr>
        <w:tc>
          <w:tcPr>
            <w:tcW w:w="1825" w:type="dxa"/>
            <w:tcBorders>
              <w:top w:val="single" w:sz="4" w:space="0" w:color="auto"/>
              <w:left w:val="single" w:sz="4" w:space="0" w:color="auto"/>
              <w:bottom w:val="single" w:sz="4" w:space="0" w:color="auto"/>
              <w:right w:val="single" w:sz="4" w:space="0" w:color="auto"/>
            </w:tcBorders>
            <w:vAlign w:val="center"/>
          </w:tcPr>
          <w:p w14:paraId="4F3EC933" w14:textId="77777777" w:rsidR="004B03CB" w:rsidRPr="0084252F" w:rsidRDefault="004B03CB" w:rsidP="00816216">
            <w:pPr>
              <w:spacing w:after="0" w:line="240" w:lineRule="auto"/>
              <w:jc w:val="both"/>
              <w:rPr>
                <w:rFonts w:ascii="Times New Roman" w:eastAsia="Times New Roman" w:hAnsi="Times New Roman" w:cs="Times New Roman"/>
                <w:sz w:val="20"/>
                <w:szCs w:val="20"/>
                <w:lang w:eastAsia="zh-CN"/>
              </w:rPr>
            </w:pPr>
            <w:r w:rsidRPr="0084252F">
              <w:rPr>
                <w:rFonts w:ascii="Times New Roman" w:eastAsia="Calibri" w:hAnsi="Times New Roman" w:cs="Times New Roman"/>
                <w:sz w:val="20"/>
                <w:szCs w:val="20"/>
                <w:lang w:eastAsia="hr-HR"/>
              </w:rPr>
              <w:t>Obveznici koji zapošljavaju iznad kvote</w:t>
            </w:r>
          </w:p>
        </w:tc>
        <w:tc>
          <w:tcPr>
            <w:tcW w:w="1294" w:type="dxa"/>
            <w:tcBorders>
              <w:top w:val="single" w:sz="4" w:space="0" w:color="auto"/>
              <w:left w:val="single" w:sz="4" w:space="0" w:color="auto"/>
              <w:bottom w:val="single" w:sz="4" w:space="0" w:color="auto"/>
              <w:right w:val="single" w:sz="4" w:space="0" w:color="auto"/>
            </w:tcBorders>
            <w:vAlign w:val="center"/>
          </w:tcPr>
          <w:p w14:paraId="36B98A30" w14:textId="77777777" w:rsidR="004B03CB" w:rsidRPr="00450DEA" w:rsidRDefault="004B03CB" w:rsidP="00816216">
            <w:pPr>
              <w:spacing w:after="0" w:line="240" w:lineRule="auto"/>
              <w:jc w:val="center"/>
              <w:rPr>
                <w:rFonts w:ascii="Times New Roman" w:eastAsia="Times New Roman" w:hAnsi="Times New Roman" w:cs="Times New Roman"/>
                <w:sz w:val="20"/>
                <w:szCs w:val="20"/>
                <w:highlight w:val="yellow"/>
                <w:lang w:eastAsia="zh-CN"/>
              </w:rPr>
            </w:pPr>
            <w:r w:rsidRPr="006E20EF">
              <w:rPr>
                <w:rFonts w:ascii="Times New Roman" w:eastAsia="Times New Roman" w:hAnsi="Times New Roman" w:cs="Times New Roman"/>
                <w:sz w:val="20"/>
                <w:szCs w:val="20"/>
                <w:lang w:eastAsia="zh-CN"/>
              </w:rPr>
              <w:t>340</w:t>
            </w:r>
          </w:p>
        </w:tc>
        <w:tc>
          <w:tcPr>
            <w:tcW w:w="1276" w:type="dxa"/>
            <w:tcBorders>
              <w:top w:val="single" w:sz="4" w:space="0" w:color="auto"/>
              <w:left w:val="single" w:sz="4" w:space="0" w:color="auto"/>
              <w:bottom w:val="single" w:sz="4" w:space="0" w:color="auto"/>
              <w:right w:val="single" w:sz="4" w:space="0" w:color="auto"/>
            </w:tcBorders>
            <w:vAlign w:val="center"/>
          </w:tcPr>
          <w:p w14:paraId="06F7130E" w14:textId="77777777" w:rsidR="004B03CB" w:rsidRPr="0084252F" w:rsidRDefault="004B03CB" w:rsidP="00816216">
            <w:pPr>
              <w:spacing w:after="0" w:line="240" w:lineRule="auto"/>
              <w:jc w:val="center"/>
              <w:rPr>
                <w:rFonts w:ascii="Times New Roman" w:eastAsia="Times New Roman" w:hAnsi="Times New Roman" w:cs="Times New Roman"/>
                <w:sz w:val="20"/>
                <w:szCs w:val="20"/>
                <w:lang w:eastAsia="zh-CN"/>
              </w:rPr>
            </w:pPr>
            <w:r w:rsidRPr="008A4CD0">
              <w:rPr>
                <w:rFonts w:ascii="Times New Roman" w:eastAsia="Times New Roman" w:hAnsi="Times New Roman" w:cs="Times New Roman"/>
                <w:sz w:val="20"/>
                <w:szCs w:val="20"/>
                <w:lang w:eastAsia="zh-CN"/>
              </w:rPr>
              <w:t>238</w:t>
            </w:r>
          </w:p>
        </w:tc>
        <w:tc>
          <w:tcPr>
            <w:tcW w:w="1276" w:type="dxa"/>
            <w:tcBorders>
              <w:top w:val="single" w:sz="4" w:space="0" w:color="auto"/>
              <w:left w:val="single" w:sz="4" w:space="0" w:color="auto"/>
              <w:bottom w:val="single" w:sz="4" w:space="0" w:color="auto"/>
              <w:right w:val="single" w:sz="4" w:space="0" w:color="auto"/>
            </w:tcBorders>
            <w:vAlign w:val="center"/>
          </w:tcPr>
          <w:p w14:paraId="4FA2BBBA" w14:textId="77777777" w:rsidR="004B03CB" w:rsidRPr="0084252F" w:rsidRDefault="004B03CB" w:rsidP="00816216">
            <w:pPr>
              <w:spacing w:after="0" w:line="240" w:lineRule="auto"/>
              <w:jc w:val="center"/>
              <w:rPr>
                <w:rFonts w:ascii="Times New Roman" w:eastAsia="Times New Roman" w:hAnsi="Times New Roman" w:cs="Times New Roman"/>
                <w:sz w:val="20"/>
                <w:szCs w:val="20"/>
                <w:lang w:eastAsia="zh-CN"/>
              </w:rPr>
            </w:pPr>
            <w:r w:rsidRPr="00450DEA">
              <w:rPr>
                <w:rFonts w:ascii="Times New Roman" w:eastAsia="Times New Roman" w:hAnsi="Times New Roman" w:cs="Times New Roman"/>
                <w:sz w:val="20"/>
                <w:szCs w:val="20"/>
                <w:lang w:eastAsia="zh-CN"/>
              </w:rPr>
              <w:t>263</w:t>
            </w:r>
          </w:p>
        </w:tc>
        <w:tc>
          <w:tcPr>
            <w:tcW w:w="1275" w:type="dxa"/>
            <w:tcBorders>
              <w:top w:val="single" w:sz="4" w:space="0" w:color="auto"/>
              <w:left w:val="single" w:sz="4" w:space="0" w:color="auto"/>
              <w:bottom w:val="single" w:sz="4" w:space="0" w:color="auto"/>
              <w:right w:val="single" w:sz="4" w:space="0" w:color="auto"/>
            </w:tcBorders>
            <w:vAlign w:val="center"/>
          </w:tcPr>
          <w:p w14:paraId="3108BEE4" w14:textId="77777777" w:rsidR="004B03CB" w:rsidRPr="00305697" w:rsidRDefault="004B03CB" w:rsidP="00816216">
            <w:pPr>
              <w:spacing w:after="0" w:line="240" w:lineRule="auto"/>
              <w:jc w:val="center"/>
              <w:rPr>
                <w:rFonts w:ascii="Times New Roman" w:eastAsia="Times New Roman" w:hAnsi="Times New Roman" w:cs="Times New Roman"/>
                <w:sz w:val="20"/>
                <w:szCs w:val="20"/>
                <w:lang w:eastAsia="zh-CN"/>
              </w:rPr>
            </w:pPr>
            <w:r w:rsidRPr="00305697">
              <w:rPr>
                <w:rFonts w:ascii="Times New Roman" w:eastAsia="Times New Roman" w:hAnsi="Times New Roman" w:cs="Times New Roman"/>
                <w:sz w:val="20"/>
                <w:szCs w:val="20"/>
                <w:lang w:eastAsia="zh-CN"/>
              </w:rPr>
              <w:t>315</w:t>
            </w:r>
          </w:p>
        </w:tc>
        <w:tc>
          <w:tcPr>
            <w:tcW w:w="1276" w:type="dxa"/>
            <w:tcBorders>
              <w:top w:val="single" w:sz="4" w:space="0" w:color="auto"/>
              <w:left w:val="single" w:sz="4" w:space="0" w:color="auto"/>
              <w:bottom w:val="single" w:sz="4" w:space="0" w:color="auto"/>
              <w:right w:val="single" w:sz="4" w:space="0" w:color="auto"/>
            </w:tcBorders>
            <w:vAlign w:val="center"/>
          </w:tcPr>
          <w:p w14:paraId="378FEF05" w14:textId="77777777" w:rsidR="004B03CB" w:rsidRPr="00305697" w:rsidRDefault="004B03CB" w:rsidP="00816216">
            <w:pPr>
              <w:spacing w:after="0" w:line="240" w:lineRule="auto"/>
              <w:jc w:val="center"/>
              <w:rPr>
                <w:rFonts w:ascii="Times New Roman" w:eastAsia="Times New Roman" w:hAnsi="Times New Roman" w:cs="Times New Roman"/>
                <w:sz w:val="20"/>
                <w:szCs w:val="20"/>
                <w:lang w:eastAsia="zh-CN"/>
              </w:rPr>
            </w:pPr>
            <w:r w:rsidRPr="00305697">
              <w:rPr>
                <w:rFonts w:ascii="Times New Roman" w:eastAsia="Times New Roman" w:hAnsi="Times New Roman" w:cs="Times New Roman"/>
                <w:sz w:val="20"/>
                <w:szCs w:val="20"/>
                <w:lang w:eastAsia="zh-CN"/>
              </w:rPr>
              <w:t>335</w:t>
            </w:r>
          </w:p>
        </w:tc>
        <w:tc>
          <w:tcPr>
            <w:tcW w:w="1276" w:type="dxa"/>
            <w:tcBorders>
              <w:top w:val="single" w:sz="4" w:space="0" w:color="auto"/>
              <w:left w:val="single" w:sz="4" w:space="0" w:color="auto"/>
              <w:bottom w:val="single" w:sz="4" w:space="0" w:color="auto"/>
              <w:right w:val="single" w:sz="4" w:space="0" w:color="auto"/>
            </w:tcBorders>
            <w:vAlign w:val="center"/>
          </w:tcPr>
          <w:p w14:paraId="27D16384" w14:textId="77777777" w:rsidR="004B03CB" w:rsidRPr="00617156" w:rsidRDefault="004B03CB" w:rsidP="00816216">
            <w:pPr>
              <w:spacing w:after="0" w:line="240" w:lineRule="auto"/>
              <w:jc w:val="center"/>
              <w:rPr>
                <w:rFonts w:ascii="Times New Roman" w:eastAsia="Times New Roman" w:hAnsi="Times New Roman" w:cs="Times New Roman"/>
                <w:sz w:val="20"/>
                <w:szCs w:val="20"/>
                <w:highlight w:val="yellow"/>
                <w:lang w:eastAsia="zh-CN"/>
              </w:rPr>
            </w:pPr>
            <w:r w:rsidRPr="002134AF">
              <w:rPr>
                <w:rFonts w:ascii="Times New Roman" w:eastAsia="Times New Roman" w:hAnsi="Times New Roman" w:cs="Times New Roman"/>
                <w:sz w:val="20"/>
                <w:szCs w:val="20"/>
                <w:lang w:eastAsia="zh-CN"/>
              </w:rPr>
              <w:t>374</w:t>
            </w:r>
          </w:p>
        </w:tc>
      </w:tr>
      <w:tr w:rsidR="004B03CB" w:rsidRPr="0084252F" w14:paraId="3B962545" w14:textId="77777777" w:rsidTr="00816216">
        <w:trPr>
          <w:jc w:val="center"/>
        </w:trPr>
        <w:tc>
          <w:tcPr>
            <w:tcW w:w="1825" w:type="dxa"/>
            <w:tcBorders>
              <w:top w:val="single" w:sz="4" w:space="0" w:color="auto"/>
              <w:left w:val="single" w:sz="4" w:space="0" w:color="auto"/>
              <w:bottom w:val="single" w:sz="4" w:space="0" w:color="auto"/>
              <w:right w:val="single" w:sz="4" w:space="0" w:color="auto"/>
            </w:tcBorders>
            <w:vAlign w:val="center"/>
          </w:tcPr>
          <w:p w14:paraId="02446E20" w14:textId="77777777" w:rsidR="004B03CB" w:rsidRPr="0084252F" w:rsidRDefault="004B03CB" w:rsidP="00816216">
            <w:pPr>
              <w:snapToGrid w:val="0"/>
              <w:spacing w:after="0" w:line="240" w:lineRule="auto"/>
              <w:rPr>
                <w:rFonts w:ascii="Times New Roman" w:eastAsia="Calibri" w:hAnsi="Times New Roman" w:cs="Times New Roman"/>
                <w:sz w:val="20"/>
                <w:szCs w:val="20"/>
                <w:lang w:eastAsia="hr-HR"/>
              </w:rPr>
            </w:pPr>
            <w:r w:rsidRPr="0084252F">
              <w:rPr>
                <w:rFonts w:ascii="Times New Roman" w:eastAsia="Calibri" w:hAnsi="Times New Roman" w:cs="Times New Roman"/>
                <w:sz w:val="20"/>
                <w:szCs w:val="20"/>
                <w:lang w:eastAsia="hr-HR"/>
              </w:rPr>
              <w:t xml:space="preserve">Poslodavci koji </w:t>
            </w:r>
          </w:p>
          <w:p w14:paraId="16416226" w14:textId="77777777" w:rsidR="004B03CB" w:rsidRPr="0084252F" w:rsidRDefault="004B03CB" w:rsidP="00816216">
            <w:pPr>
              <w:spacing w:after="0" w:line="240" w:lineRule="auto"/>
              <w:jc w:val="both"/>
              <w:rPr>
                <w:rFonts w:ascii="Times New Roman" w:eastAsia="Calibri" w:hAnsi="Times New Roman" w:cs="Times New Roman"/>
                <w:sz w:val="20"/>
                <w:szCs w:val="20"/>
                <w:lang w:eastAsia="hr-HR"/>
              </w:rPr>
            </w:pPr>
            <w:r w:rsidRPr="0084252F">
              <w:rPr>
                <w:rFonts w:ascii="Times New Roman" w:eastAsia="Calibri" w:hAnsi="Times New Roman" w:cs="Times New Roman"/>
                <w:sz w:val="20"/>
                <w:szCs w:val="20"/>
                <w:lang w:eastAsia="hr-HR"/>
              </w:rPr>
              <w:t>nisu obveznici, a zapošljavaju osobe s invaliditetom</w:t>
            </w:r>
          </w:p>
        </w:tc>
        <w:tc>
          <w:tcPr>
            <w:tcW w:w="1294" w:type="dxa"/>
            <w:tcBorders>
              <w:top w:val="single" w:sz="4" w:space="0" w:color="auto"/>
              <w:left w:val="single" w:sz="4" w:space="0" w:color="auto"/>
              <w:bottom w:val="single" w:sz="4" w:space="0" w:color="auto"/>
              <w:right w:val="single" w:sz="4" w:space="0" w:color="auto"/>
            </w:tcBorders>
            <w:vAlign w:val="center"/>
          </w:tcPr>
          <w:p w14:paraId="655EF8D6" w14:textId="77777777" w:rsidR="004B03CB" w:rsidRPr="00450DEA" w:rsidRDefault="004B03CB" w:rsidP="00816216">
            <w:pPr>
              <w:spacing w:after="0" w:line="240" w:lineRule="auto"/>
              <w:jc w:val="center"/>
              <w:rPr>
                <w:rFonts w:ascii="Times New Roman" w:eastAsia="Times New Roman" w:hAnsi="Times New Roman" w:cs="Times New Roman"/>
                <w:sz w:val="20"/>
                <w:szCs w:val="20"/>
                <w:highlight w:val="yellow"/>
                <w:lang w:eastAsia="zh-CN"/>
              </w:rPr>
            </w:pPr>
            <w:r w:rsidRPr="006E20EF">
              <w:rPr>
                <w:rFonts w:ascii="Times New Roman" w:eastAsia="Times New Roman" w:hAnsi="Times New Roman" w:cs="Times New Roman"/>
                <w:sz w:val="20"/>
                <w:szCs w:val="20"/>
                <w:lang w:eastAsia="zh-CN"/>
              </w:rPr>
              <w:t>681</w:t>
            </w:r>
          </w:p>
        </w:tc>
        <w:tc>
          <w:tcPr>
            <w:tcW w:w="1276" w:type="dxa"/>
            <w:tcBorders>
              <w:top w:val="single" w:sz="4" w:space="0" w:color="auto"/>
              <w:left w:val="single" w:sz="4" w:space="0" w:color="auto"/>
              <w:bottom w:val="single" w:sz="4" w:space="0" w:color="auto"/>
              <w:right w:val="single" w:sz="4" w:space="0" w:color="auto"/>
            </w:tcBorders>
            <w:vAlign w:val="center"/>
          </w:tcPr>
          <w:p w14:paraId="077D20F5" w14:textId="77777777" w:rsidR="004B03CB" w:rsidRPr="0084252F" w:rsidRDefault="004B03CB" w:rsidP="00816216">
            <w:pPr>
              <w:spacing w:after="0" w:line="240" w:lineRule="auto"/>
              <w:jc w:val="center"/>
              <w:rPr>
                <w:rFonts w:ascii="Times New Roman" w:eastAsia="Times New Roman" w:hAnsi="Times New Roman" w:cs="Times New Roman"/>
                <w:sz w:val="20"/>
                <w:szCs w:val="20"/>
                <w:lang w:eastAsia="zh-CN"/>
              </w:rPr>
            </w:pPr>
            <w:r w:rsidRPr="008A4CD0">
              <w:rPr>
                <w:rFonts w:ascii="Times New Roman" w:eastAsia="Times New Roman" w:hAnsi="Times New Roman" w:cs="Times New Roman"/>
                <w:sz w:val="20"/>
                <w:szCs w:val="20"/>
                <w:lang w:eastAsia="zh-CN"/>
              </w:rPr>
              <w:t>741</w:t>
            </w:r>
          </w:p>
        </w:tc>
        <w:tc>
          <w:tcPr>
            <w:tcW w:w="1276" w:type="dxa"/>
            <w:tcBorders>
              <w:top w:val="single" w:sz="4" w:space="0" w:color="auto"/>
              <w:left w:val="single" w:sz="4" w:space="0" w:color="auto"/>
              <w:bottom w:val="single" w:sz="4" w:space="0" w:color="auto"/>
              <w:right w:val="single" w:sz="4" w:space="0" w:color="auto"/>
            </w:tcBorders>
            <w:vAlign w:val="center"/>
          </w:tcPr>
          <w:p w14:paraId="66660A1A" w14:textId="77777777" w:rsidR="004B03CB" w:rsidRPr="0084252F" w:rsidRDefault="004B03CB" w:rsidP="00816216">
            <w:pPr>
              <w:spacing w:after="0" w:line="240" w:lineRule="auto"/>
              <w:jc w:val="center"/>
              <w:rPr>
                <w:rFonts w:ascii="Times New Roman" w:eastAsia="Times New Roman" w:hAnsi="Times New Roman" w:cs="Times New Roman"/>
                <w:sz w:val="20"/>
                <w:szCs w:val="20"/>
                <w:lang w:eastAsia="zh-CN"/>
              </w:rPr>
            </w:pPr>
            <w:r w:rsidRPr="00450DEA">
              <w:rPr>
                <w:rFonts w:ascii="Times New Roman" w:eastAsia="Times New Roman" w:hAnsi="Times New Roman" w:cs="Times New Roman"/>
                <w:sz w:val="20"/>
                <w:szCs w:val="20"/>
                <w:lang w:eastAsia="zh-CN"/>
              </w:rPr>
              <w:t>842</w:t>
            </w:r>
          </w:p>
        </w:tc>
        <w:tc>
          <w:tcPr>
            <w:tcW w:w="1275" w:type="dxa"/>
            <w:tcBorders>
              <w:top w:val="single" w:sz="4" w:space="0" w:color="auto"/>
              <w:left w:val="single" w:sz="4" w:space="0" w:color="auto"/>
              <w:bottom w:val="single" w:sz="4" w:space="0" w:color="auto"/>
              <w:right w:val="single" w:sz="4" w:space="0" w:color="auto"/>
            </w:tcBorders>
            <w:vAlign w:val="center"/>
          </w:tcPr>
          <w:p w14:paraId="739E8300" w14:textId="77777777" w:rsidR="004B03CB" w:rsidRPr="00305697" w:rsidRDefault="004B03CB" w:rsidP="00816216">
            <w:pPr>
              <w:spacing w:after="0" w:line="240" w:lineRule="auto"/>
              <w:jc w:val="center"/>
              <w:rPr>
                <w:rFonts w:ascii="Times New Roman" w:eastAsia="Times New Roman" w:hAnsi="Times New Roman" w:cs="Times New Roman"/>
                <w:sz w:val="20"/>
                <w:szCs w:val="20"/>
                <w:lang w:eastAsia="zh-CN"/>
              </w:rPr>
            </w:pPr>
            <w:r w:rsidRPr="00305697">
              <w:rPr>
                <w:rFonts w:ascii="Times New Roman" w:eastAsia="Times New Roman" w:hAnsi="Times New Roman" w:cs="Times New Roman"/>
                <w:sz w:val="20"/>
                <w:szCs w:val="20"/>
                <w:lang w:eastAsia="zh-CN"/>
              </w:rPr>
              <w:t>967</w:t>
            </w:r>
          </w:p>
        </w:tc>
        <w:tc>
          <w:tcPr>
            <w:tcW w:w="1276" w:type="dxa"/>
            <w:tcBorders>
              <w:top w:val="single" w:sz="4" w:space="0" w:color="auto"/>
              <w:left w:val="single" w:sz="4" w:space="0" w:color="auto"/>
              <w:bottom w:val="single" w:sz="4" w:space="0" w:color="auto"/>
              <w:right w:val="single" w:sz="4" w:space="0" w:color="auto"/>
            </w:tcBorders>
            <w:vAlign w:val="center"/>
          </w:tcPr>
          <w:p w14:paraId="231484FF" w14:textId="77777777" w:rsidR="004B03CB" w:rsidRPr="00305697" w:rsidRDefault="004B03CB" w:rsidP="00816216">
            <w:pPr>
              <w:spacing w:after="0" w:line="240" w:lineRule="auto"/>
              <w:jc w:val="center"/>
              <w:rPr>
                <w:rFonts w:ascii="Times New Roman" w:eastAsia="Times New Roman" w:hAnsi="Times New Roman" w:cs="Times New Roman"/>
                <w:sz w:val="20"/>
                <w:szCs w:val="20"/>
                <w:lang w:eastAsia="zh-CN"/>
              </w:rPr>
            </w:pPr>
            <w:r w:rsidRPr="00305697">
              <w:rPr>
                <w:rFonts w:ascii="Times New Roman" w:eastAsia="Times New Roman" w:hAnsi="Times New Roman" w:cs="Times New Roman"/>
                <w:sz w:val="20"/>
                <w:szCs w:val="20"/>
                <w:lang w:eastAsia="zh-CN"/>
              </w:rPr>
              <w:t>1.194</w:t>
            </w:r>
          </w:p>
        </w:tc>
        <w:tc>
          <w:tcPr>
            <w:tcW w:w="1276" w:type="dxa"/>
            <w:tcBorders>
              <w:top w:val="single" w:sz="4" w:space="0" w:color="auto"/>
              <w:left w:val="single" w:sz="4" w:space="0" w:color="auto"/>
              <w:bottom w:val="single" w:sz="4" w:space="0" w:color="auto"/>
              <w:right w:val="single" w:sz="4" w:space="0" w:color="auto"/>
            </w:tcBorders>
            <w:vAlign w:val="center"/>
          </w:tcPr>
          <w:p w14:paraId="653EF6FD" w14:textId="77777777" w:rsidR="004B03CB" w:rsidRPr="00617156" w:rsidRDefault="004B03CB" w:rsidP="00816216">
            <w:pPr>
              <w:spacing w:after="0" w:line="240" w:lineRule="auto"/>
              <w:jc w:val="center"/>
              <w:rPr>
                <w:rFonts w:ascii="Times New Roman" w:eastAsia="Times New Roman" w:hAnsi="Times New Roman" w:cs="Times New Roman"/>
                <w:sz w:val="20"/>
                <w:szCs w:val="20"/>
                <w:highlight w:val="yellow"/>
                <w:lang w:eastAsia="zh-CN"/>
              </w:rPr>
            </w:pPr>
            <w:r w:rsidRPr="002134AF">
              <w:rPr>
                <w:rFonts w:ascii="Times New Roman" w:eastAsia="Times New Roman" w:hAnsi="Times New Roman" w:cs="Times New Roman"/>
                <w:sz w:val="20"/>
                <w:szCs w:val="20"/>
                <w:lang w:eastAsia="zh-CN"/>
              </w:rPr>
              <w:t>1.456</w:t>
            </w:r>
          </w:p>
        </w:tc>
      </w:tr>
      <w:tr w:rsidR="004B03CB" w:rsidRPr="0084252F" w14:paraId="7704988F" w14:textId="77777777" w:rsidTr="00816216">
        <w:trPr>
          <w:trHeight w:val="272"/>
          <w:jc w:val="center"/>
        </w:trPr>
        <w:tc>
          <w:tcPr>
            <w:tcW w:w="1825" w:type="dxa"/>
            <w:tcBorders>
              <w:top w:val="single" w:sz="4" w:space="0" w:color="auto"/>
              <w:left w:val="single" w:sz="4" w:space="0" w:color="auto"/>
              <w:bottom w:val="single" w:sz="4" w:space="0" w:color="auto"/>
              <w:right w:val="single" w:sz="4" w:space="0" w:color="auto"/>
            </w:tcBorders>
            <w:vAlign w:val="center"/>
          </w:tcPr>
          <w:p w14:paraId="0A20AE59" w14:textId="77777777" w:rsidR="004B03CB" w:rsidRPr="0084252F" w:rsidRDefault="004B03CB" w:rsidP="00816216">
            <w:pPr>
              <w:snapToGrid w:val="0"/>
              <w:spacing w:after="0" w:line="240" w:lineRule="auto"/>
              <w:rPr>
                <w:rFonts w:ascii="Times New Roman" w:eastAsia="Calibri" w:hAnsi="Times New Roman" w:cs="Times New Roman"/>
                <w:sz w:val="20"/>
                <w:szCs w:val="20"/>
                <w:lang w:eastAsia="hr-HR"/>
              </w:rPr>
            </w:pPr>
            <w:r w:rsidRPr="0084252F">
              <w:rPr>
                <w:rFonts w:ascii="Times New Roman" w:eastAsia="Calibri" w:hAnsi="Times New Roman" w:cs="Times New Roman"/>
                <w:sz w:val="20"/>
                <w:szCs w:val="20"/>
                <w:lang w:eastAsia="hr-HR"/>
              </w:rPr>
              <w:t>Novoosnovani poslodavci</w:t>
            </w:r>
            <w:r>
              <w:rPr>
                <w:rFonts w:ascii="Times New Roman" w:eastAsia="Calibri" w:hAnsi="Times New Roman" w:cs="Times New Roman"/>
                <w:sz w:val="20"/>
                <w:szCs w:val="20"/>
                <w:lang w:eastAsia="hr-HR"/>
              </w:rPr>
              <w:t>⃰</w:t>
            </w:r>
          </w:p>
        </w:tc>
        <w:tc>
          <w:tcPr>
            <w:tcW w:w="1294" w:type="dxa"/>
            <w:tcBorders>
              <w:top w:val="single" w:sz="4" w:space="0" w:color="auto"/>
              <w:left w:val="single" w:sz="4" w:space="0" w:color="auto"/>
              <w:bottom w:val="single" w:sz="4" w:space="0" w:color="auto"/>
              <w:right w:val="single" w:sz="4" w:space="0" w:color="auto"/>
            </w:tcBorders>
            <w:vAlign w:val="center"/>
          </w:tcPr>
          <w:p w14:paraId="22CD3D7D" w14:textId="77777777" w:rsidR="004B03CB" w:rsidRPr="0084252F" w:rsidRDefault="004B03CB" w:rsidP="00816216">
            <w:pPr>
              <w:spacing w:after="0" w:line="240" w:lineRule="auto"/>
              <w:jc w:val="center"/>
              <w:rPr>
                <w:rFonts w:ascii="Times New Roman" w:eastAsia="Calibri" w:hAnsi="Times New Roman" w:cs="Times New Roman"/>
                <w:sz w:val="20"/>
                <w:szCs w:val="20"/>
                <w:lang w:eastAsia="hr-HR"/>
              </w:rPr>
            </w:pPr>
            <w:r>
              <w:rPr>
                <w:rFonts w:ascii="Times New Roman" w:eastAsia="Calibri" w:hAnsi="Times New Roman" w:cs="Times New Roman"/>
                <w:sz w:val="20"/>
                <w:szCs w:val="20"/>
                <w:lang w:eastAsia="hr-HR"/>
              </w:rPr>
              <w:t>-</w:t>
            </w:r>
          </w:p>
        </w:tc>
        <w:tc>
          <w:tcPr>
            <w:tcW w:w="1276" w:type="dxa"/>
            <w:tcBorders>
              <w:top w:val="single" w:sz="4" w:space="0" w:color="auto"/>
              <w:left w:val="single" w:sz="4" w:space="0" w:color="auto"/>
              <w:bottom w:val="single" w:sz="4" w:space="0" w:color="auto"/>
              <w:right w:val="single" w:sz="4" w:space="0" w:color="auto"/>
            </w:tcBorders>
            <w:vAlign w:val="center"/>
          </w:tcPr>
          <w:p w14:paraId="36BC9DE2" w14:textId="77777777" w:rsidR="004B03CB" w:rsidRPr="0084252F" w:rsidRDefault="004B03CB" w:rsidP="00816216">
            <w:pPr>
              <w:spacing w:after="0" w:line="240" w:lineRule="auto"/>
              <w:jc w:val="center"/>
              <w:rPr>
                <w:rFonts w:ascii="Times New Roman" w:eastAsia="Calibri" w:hAnsi="Times New Roman" w:cs="Times New Roman"/>
                <w:sz w:val="20"/>
                <w:szCs w:val="20"/>
                <w:lang w:eastAsia="hr-HR"/>
              </w:rPr>
            </w:pPr>
            <w:r w:rsidRPr="008A4CD0">
              <w:rPr>
                <w:rFonts w:ascii="Times New Roman" w:eastAsia="Calibri" w:hAnsi="Times New Roman" w:cs="Times New Roman"/>
                <w:sz w:val="20"/>
                <w:szCs w:val="20"/>
                <w:lang w:eastAsia="hr-HR"/>
              </w:rPr>
              <w:t>187</w:t>
            </w:r>
          </w:p>
        </w:tc>
        <w:tc>
          <w:tcPr>
            <w:tcW w:w="1276" w:type="dxa"/>
            <w:tcBorders>
              <w:top w:val="single" w:sz="4" w:space="0" w:color="auto"/>
              <w:left w:val="single" w:sz="4" w:space="0" w:color="auto"/>
              <w:bottom w:val="single" w:sz="4" w:space="0" w:color="auto"/>
              <w:right w:val="single" w:sz="4" w:space="0" w:color="auto"/>
            </w:tcBorders>
            <w:vAlign w:val="center"/>
          </w:tcPr>
          <w:p w14:paraId="7D01A6CA" w14:textId="77777777" w:rsidR="004B03CB" w:rsidRPr="0084252F" w:rsidRDefault="004B03CB" w:rsidP="00816216">
            <w:pPr>
              <w:spacing w:after="0" w:line="240" w:lineRule="auto"/>
              <w:jc w:val="center"/>
              <w:rPr>
                <w:rFonts w:ascii="Times New Roman" w:eastAsia="Calibri" w:hAnsi="Times New Roman" w:cs="Times New Roman"/>
                <w:sz w:val="20"/>
                <w:szCs w:val="20"/>
                <w:lang w:eastAsia="hr-HR"/>
              </w:rPr>
            </w:pPr>
            <w:r w:rsidRPr="00450DEA">
              <w:rPr>
                <w:rFonts w:ascii="Times New Roman" w:eastAsia="Calibri" w:hAnsi="Times New Roman" w:cs="Times New Roman"/>
                <w:sz w:val="20"/>
                <w:szCs w:val="20"/>
                <w:lang w:eastAsia="hr-HR"/>
              </w:rPr>
              <w:t>170</w:t>
            </w:r>
          </w:p>
        </w:tc>
        <w:tc>
          <w:tcPr>
            <w:tcW w:w="1275" w:type="dxa"/>
            <w:tcBorders>
              <w:top w:val="single" w:sz="4" w:space="0" w:color="auto"/>
              <w:left w:val="single" w:sz="4" w:space="0" w:color="auto"/>
              <w:bottom w:val="single" w:sz="4" w:space="0" w:color="auto"/>
              <w:right w:val="single" w:sz="4" w:space="0" w:color="auto"/>
            </w:tcBorders>
            <w:vAlign w:val="center"/>
          </w:tcPr>
          <w:p w14:paraId="43687C5C" w14:textId="77777777" w:rsidR="004B03CB" w:rsidRPr="00305697" w:rsidRDefault="004B03CB" w:rsidP="00816216">
            <w:pPr>
              <w:spacing w:after="0" w:line="240" w:lineRule="auto"/>
              <w:jc w:val="center"/>
              <w:rPr>
                <w:rFonts w:ascii="Times New Roman" w:eastAsia="Calibri" w:hAnsi="Times New Roman" w:cs="Times New Roman"/>
                <w:sz w:val="20"/>
                <w:szCs w:val="20"/>
                <w:lang w:eastAsia="hr-HR"/>
              </w:rPr>
            </w:pPr>
            <w:r w:rsidRPr="00305697">
              <w:rPr>
                <w:rFonts w:ascii="Times New Roman" w:eastAsia="Calibri" w:hAnsi="Times New Roman" w:cs="Times New Roman"/>
                <w:sz w:val="20"/>
                <w:szCs w:val="20"/>
                <w:lang w:eastAsia="hr-HR"/>
              </w:rPr>
              <w:t>364</w:t>
            </w:r>
          </w:p>
        </w:tc>
        <w:tc>
          <w:tcPr>
            <w:tcW w:w="1276" w:type="dxa"/>
            <w:tcBorders>
              <w:top w:val="single" w:sz="4" w:space="0" w:color="auto"/>
              <w:left w:val="single" w:sz="4" w:space="0" w:color="auto"/>
              <w:bottom w:val="single" w:sz="4" w:space="0" w:color="auto"/>
              <w:right w:val="single" w:sz="4" w:space="0" w:color="auto"/>
            </w:tcBorders>
            <w:vAlign w:val="center"/>
          </w:tcPr>
          <w:p w14:paraId="1A779B55" w14:textId="77777777" w:rsidR="004B03CB" w:rsidRPr="00305697" w:rsidRDefault="004B03CB" w:rsidP="00816216">
            <w:pPr>
              <w:spacing w:after="0" w:line="240" w:lineRule="auto"/>
              <w:jc w:val="center"/>
              <w:rPr>
                <w:rFonts w:ascii="Times New Roman" w:eastAsia="Calibri" w:hAnsi="Times New Roman" w:cs="Times New Roman"/>
                <w:sz w:val="20"/>
                <w:szCs w:val="20"/>
                <w:lang w:eastAsia="hr-HR"/>
              </w:rPr>
            </w:pPr>
            <w:r w:rsidRPr="00305697">
              <w:rPr>
                <w:rFonts w:ascii="Times New Roman" w:eastAsia="Calibri" w:hAnsi="Times New Roman" w:cs="Times New Roman"/>
                <w:sz w:val="20"/>
                <w:szCs w:val="20"/>
                <w:lang w:eastAsia="hr-HR"/>
              </w:rPr>
              <w:t>413</w:t>
            </w:r>
          </w:p>
        </w:tc>
        <w:tc>
          <w:tcPr>
            <w:tcW w:w="1276" w:type="dxa"/>
            <w:tcBorders>
              <w:top w:val="single" w:sz="4" w:space="0" w:color="auto"/>
              <w:left w:val="single" w:sz="4" w:space="0" w:color="auto"/>
              <w:bottom w:val="single" w:sz="4" w:space="0" w:color="auto"/>
              <w:right w:val="single" w:sz="4" w:space="0" w:color="auto"/>
            </w:tcBorders>
            <w:vAlign w:val="center"/>
          </w:tcPr>
          <w:p w14:paraId="798ED169" w14:textId="77777777" w:rsidR="004B03CB" w:rsidRPr="00617156" w:rsidRDefault="004B03CB" w:rsidP="00816216">
            <w:pPr>
              <w:spacing w:after="0" w:line="240" w:lineRule="auto"/>
              <w:jc w:val="center"/>
              <w:rPr>
                <w:rFonts w:ascii="Times New Roman" w:eastAsia="Times New Roman" w:hAnsi="Times New Roman" w:cs="Times New Roman"/>
                <w:sz w:val="20"/>
                <w:szCs w:val="20"/>
                <w:highlight w:val="yellow"/>
                <w:lang w:eastAsia="zh-CN"/>
              </w:rPr>
            </w:pPr>
            <w:r w:rsidRPr="002134AF">
              <w:rPr>
                <w:rFonts w:ascii="Times New Roman" w:eastAsia="Times New Roman" w:hAnsi="Times New Roman" w:cs="Times New Roman"/>
                <w:sz w:val="20"/>
                <w:szCs w:val="20"/>
                <w:lang w:eastAsia="zh-CN"/>
              </w:rPr>
              <w:t>158</w:t>
            </w:r>
          </w:p>
        </w:tc>
      </w:tr>
    </w:tbl>
    <w:p w14:paraId="065DAA0D" w14:textId="77777777" w:rsidR="004B03CB" w:rsidRPr="00617156" w:rsidRDefault="004B03CB" w:rsidP="004B03CB">
      <w:pPr>
        <w:rPr>
          <w:i/>
          <w:iCs/>
          <w:sz w:val="20"/>
          <w:szCs w:val="20"/>
        </w:rPr>
      </w:pPr>
      <w:r>
        <w:rPr>
          <w:rFonts w:ascii="Times New Roman" w:hAnsi="Times New Roman" w:cs="Times New Roman"/>
        </w:rPr>
        <w:t xml:space="preserve">⃰ </w:t>
      </w:r>
      <w:r w:rsidRPr="00617156">
        <w:rPr>
          <w:rFonts w:ascii="Times New Roman" w:hAnsi="Times New Roman" w:cs="Times New Roman"/>
          <w:i/>
          <w:iCs/>
          <w:sz w:val="20"/>
          <w:szCs w:val="20"/>
        </w:rPr>
        <w:t>oslobođeni kvotne obveze u razdoblju od 24 mjeseca od osnivanja</w:t>
      </w:r>
    </w:p>
    <w:bookmarkEnd w:id="198"/>
    <w:p w14:paraId="52517130" w14:textId="77777777" w:rsidR="004B03CB" w:rsidRDefault="004B03CB" w:rsidP="004B03CB">
      <w:pPr>
        <w:spacing w:after="0"/>
        <w:jc w:val="both"/>
        <w:rPr>
          <w:rFonts w:ascii="Times New Roman" w:hAnsi="Times New Roman"/>
          <w:i/>
          <w:sz w:val="24"/>
          <w:szCs w:val="24"/>
          <w:lang w:eastAsia="hr-HR"/>
        </w:rPr>
      </w:pPr>
    </w:p>
    <w:p w14:paraId="19702EAF" w14:textId="77777777" w:rsidR="004B03CB" w:rsidRPr="00CE54A2" w:rsidRDefault="004B03CB" w:rsidP="004B03CB">
      <w:pPr>
        <w:jc w:val="both"/>
        <w:rPr>
          <w:rFonts w:ascii="Times New Roman" w:hAnsi="Times New Roman"/>
          <w:b/>
          <w:bCs/>
          <w:iCs/>
          <w:sz w:val="24"/>
          <w:szCs w:val="24"/>
          <w:lang w:eastAsia="hr-HR"/>
        </w:rPr>
      </w:pPr>
      <w:r w:rsidRPr="00CE54A2">
        <w:rPr>
          <w:rFonts w:ascii="Times New Roman" w:hAnsi="Times New Roman"/>
          <w:b/>
          <w:bCs/>
          <w:iCs/>
          <w:sz w:val="24"/>
          <w:szCs w:val="24"/>
          <w:lang w:eastAsia="hr-HR"/>
        </w:rPr>
        <w:t>Pregled broja osoba s invaliditetom upisanih u Očevidnik zaposlenih osoba s invaliditetom</w:t>
      </w:r>
    </w:p>
    <w:tbl>
      <w:tblPr>
        <w:tblStyle w:val="Reetkatablice"/>
        <w:tblW w:w="8819" w:type="dxa"/>
        <w:tblInd w:w="172" w:type="dxa"/>
        <w:tblLayout w:type="fixed"/>
        <w:tblLook w:val="04A0" w:firstRow="1" w:lastRow="0" w:firstColumn="1" w:lastColumn="0" w:noHBand="0" w:noVBand="1"/>
      </w:tblPr>
      <w:tblGrid>
        <w:gridCol w:w="4565"/>
        <w:gridCol w:w="4254"/>
      </w:tblGrid>
      <w:tr w:rsidR="004B03CB" w14:paraId="18FBD99E" w14:textId="77777777" w:rsidTr="00816216">
        <w:trPr>
          <w:trHeight w:val="382"/>
        </w:trPr>
        <w:tc>
          <w:tcPr>
            <w:tcW w:w="4565" w:type="dxa"/>
            <w:shd w:val="clear" w:color="auto" w:fill="E7E6E6" w:themeFill="background2"/>
            <w:vAlign w:val="center"/>
          </w:tcPr>
          <w:p w14:paraId="7FBBA6CB" w14:textId="77777777" w:rsidR="004B03CB" w:rsidRPr="00F01EC3" w:rsidRDefault="004B03CB" w:rsidP="00816216">
            <w:pPr>
              <w:jc w:val="center"/>
              <w:rPr>
                <w:rFonts w:ascii="Times New Roman" w:hAnsi="Times New Roman" w:cs="Times New Roman"/>
                <w:sz w:val="24"/>
                <w:szCs w:val="24"/>
              </w:rPr>
            </w:pPr>
            <w:r>
              <w:rPr>
                <w:rFonts w:ascii="Times New Roman" w:eastAsia="Times New Roman" w:hAnsi="Times New Roman" w:cs="Times New Roman"/>
                <w:sz w:val="24"/>
                <w:szCs w:val="24"/>
                <w:lang w:eastAsia="hr-HR"/>
              </w:rPr>
              <w:t>G</w:t>
            </w:r>
            <w:r w:rsidRPr="00F01EC3">
              <w:rPr>
                <w:rFonts w:ascii="Times New Roman" w:eastAsia="Times New Roman" w:hAnsi="Times New Roman" w:cs="Times New Roman"/>
                <w:sz w:val="24"/>
                <w:szCs w:val="24"/>
                <w:lang w:eastAsia="hr-HR"/>
              </w:rPr>
              <w:t>odina (stanje na dan 31.12.)</w:t>
            </w:r>
          </w:p>
        </w:tc>
        <w:tc>
          <w:tcPr>
            <w:tcW w:w="4254" w:type="dxa"/>
            <w:shd w:val="clear" w:color="auto" w:fill="E7E6E6" w:themeFill="background2"/>
            <w:vAlign w:val="center"/>
          </w:tcPr>
          <w:p w14:paraId="5CFAB4ED" w14:textId="77777777" w:rsidR="004B03CB" w:rsidRPr="00F01EC3" w:rsidRDefault="004B03CB" w:rsidP="00816216">
            <w:pPr>
              <w:jc w:val="center"/>
              <w:rPr>
                <w:rFonts w:ascii="Times New Roman" w:hAnsi="Times New Roman" w:cs="Times New Roman"/>
                <w:sz w:val="24"/>
                <w:szCs w:val="24"/>
              </w:rPr>
            </w:pPr>
            <w:r>
              <w:rPr>
                <w:rFonts w:ascii="Times New Roman" w:eastAsia="Times New Roman" w:hAnsi="Times New Roman" w:cs="Times New Roman"/>
                <w:sz w:val="24"/>
                <w:szCs w:val="24"/>
                <w:lang w:eastAsia="hr-HR"/>
              </w:rPr>
              <w:t>B</w:t>
            </w:r>
            <w:r w:rsidRPr="00F01EC3">
              <w:rPr>
                <w:rFonts w:ascii="Times New Roman" w:eastAsia="Times New Roman" w:hAnsi="Times New Roman" w:cs="Times New Roman"/>
                <w:sz w:val="24"/>
                <w:szCs w:val="24"/>
                <w:lang w:eastAsia="hr-HR"/>
              </w:rPr>
              <w:t>roj osoba s invaliditetom</w:t>
            </w:r>
          </w:p>
        </w:tc>
      </w:tr>
      <w:tr w:rsidR="004B03CB" w14:paraId="2D9E855D" w14:textId="77777777" w:rsidTr="00816216">
        <w:trPr>
          <w:trHeight w:val="274"/>
        </w:trPr>
        <w:tc>
          <w:tcPr>
            <w:tcW w:w="4565" w:type="dxa"/>
            <w:vAlign w:val="center"/>
          </w:tcPr>
          <w:p w14:paraId="10D83CFF" w14:textId="77777777" w:rsidR="004B03CB" w:rsidRPr="00F01EC3" w:rsidRDefault="004B03CB" w:rsidP="00816216">
            <w:pPr>
              <w:jc w:val="center"/>
              <w:rPr>
                <w:rFonts w:ascii="Times New Roman" w:eastAsia="Times New Roman" w:hAnsi="Times New Roman" w:cs="Times New Roman"/>
                <w:sz w:val="24"/>
                <w:szCs w:val="24"/>
                <w:lang w:eastAsia="hr-HR"/>
              </w:rPr>
            </w:pPr>
            <w:r w:rsidRPr="00F01EC3">
              <w:rPr>
                <w:rFonts w:ascii="Times New Roman" w:eastAsia="Times New Roman" w:hAnsi="Times New Roman" w:cs="Times New Roman"/>
                <w:sz w:val="24"/>
                <w:szCs w:val="24"/>
                <w:lang w:eastAsia="hr-HR"/>
              </w:rPr>
              <w:t>2015.</w:t>
            </w:r>
          </w:p>
        </w:tc>
        <w:tc>
          <w:tcPr>
            <w:tcW w:w="4254" w:type="dxa"/>
            <w:vAlign w:val="center"/>
          </w:tcPr>
          <w:p w14:paraId="52A8B7C3" w14:textId="77777777" w:rsidR="004B03CB" w:rsidRPr="00F01EC3" w:rsidRDefault="004B03CB" w:rsidP="00816216">
            <w:pPr>
              <w:jc w:val="center"/>
              <w:rPr>
                <w:rFonts w:ascii="Times New Roman" w:eastAsia="Times New Roman" w:hAnsi="Times New Roman" w:cs="Times New Roman"/>
                <w:sz w:val="24"/>
                <w:szCs w:val="24"/>
                <w:lang w:eastAsia="hr-HR"/>
              </w:rPr>
            </w:pPr>
            <w:r w:rsidRPr="00F01EC3">
              <w:rPr>
                <w:rFonts w:ascii="Times New Roman" w:eastAsia="Times New Roman" w:hAnsi="Times New Roman" w:cs="Times New Roman"/>
                <w:sz w:val="24"/>
                <w:szCs w:val="24"/>
                <w:lang w:eastAsia="hr-HR"/>
              </w:rPr>
              <w:t xml:space="preserve">11.389 </w:t>
            </w:r>
          </w:p>
        </w:tc>
      </w:tr>
      <w:tr w:rsidR="004B03CB" w14:paraId="1949297F" w14:textId="77777777" w:rsidTr="00816216">
        <w:trPr>
          <w:trHeight w:val="274"/>
        </w:trPr>
        <w:tc>
          <w:tcPr>
            <w:tcW w:w="4565" w:type="dxa"/>
            <w:vAlign w:val="center"/>
          </w:tcPr>
          <w:p w14:paraId="356F0C3D" w14:textId="77777777" w:rsidR="004B03CB" w:rsidRPr="00F01EC3" w:rsidRDefault="004B03CB" w:rsidP="00816216">
            <w:pPr>
              <w:jc w:val="center"/>
              <w:rPr>
                <w:rFonts w:ascii="Times New Roman" w:eastAsia="Times New Roman" w:hAnsi="Times New Roman" w:cs="Times New Roman"/>
                <w:sz w:val="24"/>
                <w:szCs w:val="24"/>
                <w:lang w:eastAsia="hr-HR"/>
              </w:rPr>
            </w:pPr>
            <w:r w:rsidRPr="00F01EC3">
              <w:rPr>
                <w:rFonts w:ascii="Times New Roman" w:eastAsia="Times New Roman" w:hAnsi="Times New Roman" w:cs="Times New Roman"/>
                <w:sz w:val="24"/>
                <w:szCs w:val="24"/>
                <w:lang w:eastAsia="hr-HR"/>
              </w:rPr>
              <w:t>2016.</w:t>
            </w:r>
          </w:p>
        </w:tc>
        <w:tc>
          <w:tcPr>
            <w:tcW w:w="4254" w:type="dxa"/>
            <w:vAlign w:val="center"/>
          </w:tcPr>
          <w:p w14:paraId="003556A2" w14:textId="77777777" w:rsidR="004B03CB" w:rsidRPr="00F01EC3" w:rsidRDefault="004B03CB" w:rsidP="00816216">
            <w:pPr>
              <w:jc w:val="center"/>
              <w:rPr>
                <w:rFonts w:ascii="Times New Roman" w:eastAsia="Times New Roman" w:hAnsi="Times New Roman" w:cs="Times New Roman"/>
                <w:sz w:val="24"/>
                <w:szCs w:val="24"/>
                <w:lang w:eastAsia="hr-HR"/>
              </w:rPr>
            </w:pPr>
            <w:r w:rsidRPr="00F01EC3">
              <w:rPr>
                <w:rFonts w:ascii="Times New Roman" w:eastAsia="Times New Roman" w:hAnsi="Times New Roman" w:cs="Times New Roman"/>
                <w:sz w:val="24"/>
                <w:szCs w:val="24"/>
                <w:lang w:eastAsia="hr-HR"/>
              </w:rPr>
              <w:t>10.</w:t>
            </w:r>
            <w:r>
              <w:rPr>
                <w:rFonts w:ascii="Times New Roman" w:eastAsia="Times New Roman" w:hAnsi="Times New Roman" w:cs="Times New Roman"/>
                <w:sz w:val="24"/>
                <w:szCs w:val="24"/>
                <w:lang w:eastAsia="hr-HR"/>
              </w:rPr>
              <w:t>175</w:t>
            </w:r>
          </w:p>
        </w:tc>
      </w:tr>
      <w:tr w:rsidR="004B03CB" w14:paraId="5AFA1C50" w14:textId="77777777" w:rsidTr="00816216">
        <w:trPr>
          <w:trHeight w:val="274"/>
        </w:trPr>
        <w:tc>
          <w:tcPr>
            <w:tcW w:w="4565" w:type="dxa"/>
            <w:vAlign w:val="center"/>
          </w:tcPr>
          <w:p w14:paraId="26C999CC" w14:textId="77777777" w:rsidR="004B03CB" w:rsidRPr="00F01EC3" w:rsidRDefault="004B03CB" w:rsidP="00816216">
            <w:pPr>
              <w:jc w:val="center"/>
              <w:rPr>
                <w:rFonts w:ascii="Times New Roman" w:hAnsi="Times New Roman" w:cs="Times New Roman"/>
                <w:sz w:val="24"/>
                <w:szCs w:val="24"/>
              </w:rPr>
            </w:pPr>
            <w:r w:rsidRPr="00F01EC3">
              <w:rPr>
                <w:rFonts w:ascii="Times New Roman" w:eastAsia="Times New Roman" w:hAnsi="Times New Roman" w:cs="Times New Roman"/>
                <w:sz w:val="24"/>
                <w:szCs w:val="24"/>
                <w:lang w:eastAsia="hr-HR"/>
              </w:rPr>
              <w:t>2017.</w:t>
            </w:r>
          </w:p>
        </w:tc>
        <w:tc>
          <w:tcPr>
            <w:tcW w:w="4254" w:type="dxa"/>
            <w:vAlign w:val="center"/>
          </w:tcPr>
          <w:p w14:paraId="1F1DF2D8" w14:textId="77777777" w:rsidR="004B03CB" w:rsidRPr="00F01EC3" w:rsidRDefault="004B03CB" w:rsidP="00816216">
            <w:pPr>
              <w:jc w:val="center"/>
              <w:rPr>
                <w:rFonts w:ascii="Times New Roman" w:hAnsi="Times New Roman" w:cs="Times New Roman"/>
                <w:sz w:val="24"/>
                <w:szCs w:val="24"/>
              </w:rPr>
            </w:pPr>
            <w:r w:rsidRPr="00F01EC3">
              <w:rPr>
                <w:rFonts w:ascii="Times New Roman" w:eastAsia="Times New Roman" w:hAnsi="Times New Roman" w:cs="Times New Roman"/>
                <w:sz w:val="24"/>
                <w:szCs w:val="24"/>
                <w:lang w:eastAsia="hr-HR"/>
              </w:rPr>
              <w:t>10.512</w:t>
            </w:r>
          </w:p>
        </w:tc>
      </w:tr>
      <w:tr w:rsidR="004B03CB" w14:paraId="7B218EEB" w14:textId="77777777" w:rsidTr="00816216">
        <w:trPr>
          <w:trHeight w:val="278"/>
        </w:trPr>
        <w:tc>
          <w:tcPr>
            <w:tcW w:w="4565" w:type="dxa"/>
            <w:vAlign w:val="center"/>
          </w:tcPr>
          <w:p w14:paraId="481D0CB8" w14:textId="77777777" w:rsidR="004B03CB" w:rsidRPr="00F01EC3" w:rsidRDefault="004B03CB" w:rsidP="00816216">
            <w:pPr>
              <w:jc w:val="center"/>
              <w:rPr>
                <w:rFonts w:ascii="Times New Roman" w:hAnsi="Times New Roman" w:cs="Times New Roman"/>
                <w:sz w:val="24"/>
                <w:szCs w:val="24"/>
              </w:rPr>
            </w:pPr>
            <w:r w:rsidRPr="00F01EC3">
              <w:rPr>
                <w:rFonts w:ascii="Times New Roman" w:eastAsia="Times New Roman" w:hAnsi="Times New Roman" w:cs="Times New Roman"/>
                <w:sz w:val="24"/>
                <w:szCs w:val="24"/>
                <w:lang w:eastAsia="hr-HR"/>
              </w:rPr>
              <w:t>2018.</w:t>
            </w:r>
          </w:p>
        </w:tc>
        <w:tc>
          <w:tcPr>
            <w:tcW w:w="4254" w:type="dxa"/>
            <w:vAlign w:val="center"/>
          </w:tcPr>
          <w:p w14:paraId="1D7DB8A7" w14:textId="77777777" w:rsidR="004B03CB" w:rsidRPr="00F01EC3" w:rsidRDefault="004B03CB" w:rsidP="00816216">
            <w:pPr>
              <w:jc w:val="center"/>
              <w:rPr>
                <w:rFonts w:ascii="Times New Roman" w:hAnsi="Times New Roman" w:cs="Times New Roman"/>
                <w:sz w:val="24"/>
                <w:szCs w:val="24"/>
              </w:rPr>
            </w:pPr>
            <w:r w:rsidRPr="00F01EC3">
              <w:rPr>
                <w:rFonts w:ascii="Times New Roman" w:eastAsia="Times New Roman" w:hAnsi="Times New Roman" w:cs="Times New Roman"/>
                <w:sz w:val="24"/>
                <w:szCs w:val="24"/>
                <w:lang w:eastAsia="hr-HR"/>
              </w:rPr>
              <w:t>10.836</w:t>
            </w:r>
          </w:p>
        </w:tc>
      </w:tr>
      <w:tr w:rsidR="004B03CB" w14:paraId="1AB2657A" w14:textId="77777777" w:rsidTr="00816216">
        <w:trPr>
          <w:trHeight w:val="268"/>
        </w:trPr>
        <w:tc>
          <w:tcPr>
            <w:tcW w:w="4565" w:type="dxa"/>
            <w:vAlign w:val="center"/>
          </w:tcPr>
          <w:p w14:paraId="5174CCAC" w14:textId="77777777" w:rsidR="004B03CB" w:rsidRPr="00F01EC3" w:rsidRDefault="004B03CB" w:rsidP="00816216">
            <w:pPr>
              <w:jc w:val="center"/>
              <w:rPr>
                <w:rFonts w:ascii="Times New Roman" w:hAnsi="Times New Roman" w:cs="Times New Roman"/>
                <w:sz w:val="24"/>
                <w:szCs w:val="24"/>
              </w:rPr>
            </w:pPr>
            <w:r w:rsidRPr="00F01EC3">
              <w:rPr>
                <w:rFonts w:ascii="Times New Roman" w:eastAsia="Times New Roman" w:hAnsi="Times New Roman" w:cs="Times New Roman"/>
                <w:sz w:val="24"/>
                <w:szCs w:val="24"/>
                <w:lang w:eastAsia="hr-HR"/>
              </w:rPr>
              <w:t>2019.</w:t>
            </w:r>
          </w:p>
        </w:tc>
        <w:tc>
          <w:tcPr>
            <w:tcW w:w="4254" w:type="dxa"/>
            <w:vAlign w:val="center"/>
          </w:tcPr>
          <w:p w14:paraId="08DCD3B4" w14:textId="77777777" w:rsidR="004B03CB" w:rsidRPr="00F01EC3" w:rsidRDefault="004B03CB" w:rsidP="00816216">
            <w:pPr>
              <w:jc w:val="center"/>
              <w:rPr>
                <w:rFonts w:ascii="Times New Roman" w:hAnsi="Times New Roman" w:cs="Times New Roman"/>
                <w:sz w:val="24"/>
                <w:szCs w:val="24"/>
              </w:rPr>
            </w:pPr>
            <w:r w:rsidRPr="00F01EC3">
              <w:rPr>
                <w:rFonts w:ascii="Times New Roman" w:eastAsia="Times New Roman" w:hAnsi="Times New Roman" w:cs="Times New Roman"/>
                <w:sz w:val="24"/>
                <w:szCs w:val="24"/>
                <w:lang w:eastAsia="hr-HR"/>
              </w:rPr>
              <w:t>11.195</w:t>
            </w:r>
          </w:p>
        </w:tc>
      </w:tr>
      <w:tr w:rsidR="004B03CB" w14:paraId="3C35EE96" w14:textId="77777777" w:rsidTr="00816216">
        <w:trPr>
          <w:trHeight w:val="272"/>
        </w:trPr>
        <w:tc>
          <w:tcPr>
            <w:tcW w:w="4565" w:type="dxa"/>
            <w:vAlign w:val="center"/>
          </w:tcPr>
          <w:p w14:paraId="48EBBEEE" w14:textId="77777777" w:rsidR="004B03CB" w:rsidRPr="00F01EC3" w:rsidRDefault="004B03CB" w:rsidP="00816216">
            <w:pPr>
              <w:jc w:val="center"/>
              <w:rPr>
                <w:rFonts w:ascii="Times New Roman" w:hAnsi="Times New Roman" w:cs="Times New Roman"/>
                <w:sz w:val="24"/>
                <w:szCs w:val="24"/>
              </w:rPr>
            </w:pPr>
            <w:r w:rsidRPr="00F01EC3">
              <w:rPr>
                <w:rFonts w:ascii="Times New Roman" w:eastAsia="Times New Roman" w:hAnsi="Times New Roman" w:cs="Times New Roman"/>
                <w:sz w:val="24"/>
                <w:szCs w:val="24"/>
                <w:lang w:eastAsia="hr-HR"/>
              </w:rPr>
              <w:t>2020.</w:t>
            </w:r>
          </w:p>
        </w:tc>
        <w:tc>
          <w:tcPr>
            <w:tcW w:w="4254" w:type="dxa"/>
            <w:vAlign w:val="center"/>
          </w:tcPr>
          <w:p w14:paraId="1708807D" w14:textId="77777777" w:rsidR="004B03CB" w:rsidRPr="00F01EC3" w:rsidRDefault="004B03CB" w:rsidP="00816216">
            <w:pPr>
              <w:jc w:val="center"/>
              <w:rPr>
                <w:rFonts w:ascii="Times New Roman" w:hAnsi="Times New Roman" w:cs="Times New Roman"/>
                <w:sz w:val="24"/>
                <w:szCs w:val="24"/>
              </w:rPr>
            </w:pPr>
            <w:r w:rsidRPr="00F01EC3">
              <w:rPr>
                <w:rFonts w:ascii="Times New Roman" w:eastAsia="Times New Roman" w:hAnsi="Times New Roman" w:cs="Times New Roman"/>
                <w:sz w:val="24"/>
                <w:szCs w:val="24"/>
                <w:lang w:eastAsia="hr-HR"/>
              </w:rPr>
              <w:t>11.425</w:t>
            </w:r>
          </w:p>
        </w:tc>
      </w:tr>
    </w:tbl>
    <w:p w14:paraId="7C0ECCA7" w14:textId="77777777" w:rsidR="004B03CB" w:rsidRDefault="004B03CB" w:rsidP="004B03CB"/>
    <w:p w14:paraId="7B685300" w14:textId="50227AE8" w:rsidR="004B03CB" w:rsidRDefault="004B03CB">
      <w:pPr>
        <w:rPr>
          <w:rFonts w:ascii="Times New Roman" w:eastAsia="Times New Roman" w:hAnsi="Times New Roman" w:cs="Times New Roman"/>
          <w:sz w:val="24"/>
          <w:szCs w:val="24"/>
          <w:lang w:eastAsia="hr-HR"/>
        </w:rPr>
      </w:pPr>
      <w:r>
        <w:br w:type="page"/>
      </w:r>
    </w:p>
    <w:p w14:paraId="06D47FE5" w14:textId="77777777" w:rsidR="004B03CB" w:rsidRPr="00517B4E" w:rsidRDefault="004B03CB" w:rsidP="004B03CB">
      <w:pPr>
        <w:rPr>
          <w:rFonts w:ascii="Times New Roman" w:eastAsia="Calibri" w:hAnsi="Times New Roman" w:cs="Times New Roman"/>
          <w:b/>
          <w:bCs/>
          <w:iCs/>
          <w:sz w:val="24"/>
          <w:szCs w:val="24"/>
          <w:u w:val="single"/>
        </w:rPr>
      </w:pPr>
      <w:bookmarkStart w:id="199" w:name="_Hlk78981887"/>
      <w:r w:rsidRPr="00517B4E">
        <w:rPr>
          <w:rFonts w:ascii="Times New Roman" w:eastAsia="Calibri" w:hAnsi="Times New Roman" w:cs="Times New Roman"/>
          <w:b/>
          <w:bCs/>
          <w:iCs/>
          <w:sz w:val="24"/>
          <w:szCs w:val="24"/>
          <w:u w:val="single"/>
        </w:rPr>
        <w:lastRenderedPageBreak/>
        <w:t>Prilog 3</w:t>
      </w:r>
      <w:r>
        <w:rPr>
          <w:rFonts w:ascii="Times New Roman" w:eastAsia="Calibri" w:hAnsi="Times New Roman" w:cs="Times New Roman"/>
          <w:b/>
          <w:bCs/>
          <w:iCs/>
          <w:sz w:val="24"/>
          <w:szCs w:val="24"/>
          <w:u w:val="single"/>
        </w:rPr>
        <w:t>8</w:t>
      </w:r>
      <w:r w:rsidRPr="00517B4E">
        <w:rPr>
          <w:rFonts w:ascii="Times New Roman" w:eastAsia="Calibri" w:hAnsi="Times New Roman" w:cs="Times New Roman"/>
          <w:b/>
          <w:bCs/>
          <w:iCs/>
          <w:sz w:val="24"/>
          <w:szCs w:val="24"/>
          <w:u w:val="single"/>
        </w:rPr>
        <w:t xml:space="preserve"> </w:t>
      </w:r>
      <w:bookmarkEnd w:id="199"/>
    </w:p>
    <w:p w14:paraId="213B3741" w14:textId="77777777" w:rsidR="004B03CB" w:rsidRDefault="004B03CB" w:rsidP="004B03CB">
      <w:pPr>
        <w:rPr>
          <w:rFonts w:ascii="Times New Roman" w:eastAsia="Calibri" w:hAnsi="Times New Roman" w:cs="Times New Roman"/>
          <w:i/>
          <w:sz w:val="24"/>
          <w:szCs w:val="24"/>
        </w:rPr>
      </w:pPr>
    </w:p>
    <w:p w14:paraId="77C381E4" w14:textId="77777777" w:rsidR="004B03CB" w:rsidRDefault="004B03CB" w:rsidP="004B03CB">
      <w:pPr>
        <w:jc w:val="center"/>
        <w:rPr>
          <w:rFonts w:ascii="Times New Roman" w:eastAsia="Calibri" w:hAnsi="Times New Roman" w:cs="Times New Roman"/>
          <w:b/>
          <w:bCs/>
          <w:iCs/>
          <w:sz w:val="24"/>
          <w:szCs w:val="24"/>
        </w:rPr>
      </w:pPr>
      <w:r w:rsidRPr="00517B4E">
        <w:rPr>
          <w:rFonts w:ascii="Times New Roman" w:eastAsia="Calibri" w:hAnsi="Times New Roman" w:cs="Times New Roman"/>
          <w:b/>
          <w:bCs/>
          <w:iCs/>
          <w:sz w:val="24"/>
          <w:szCs w:val="24"/>
        </w:rPr>
        <w:t>PREGLED BROJA OSOBA S INVALIDITETOM UKLJUČENIH U USLUGE PROFESIONALNE REHABILITACIJE U CENTRIMA ZA PROFESIONALNU REHABILITACIJU</w:t>
      </w:r>
    </w:p>
    <w:p w14:paraId="225AFA65" w14:textId="77777777" w:rsidR="004B03CB" w:rsidRPr="00517B4E" w:rsidRDefault="004B03CB" w:rsidP="004B03CB">
      <w:pPr>
        <w:jc w:val="center"/>
        <w:rPr>
          <w:rFonts w:ascii="Times New Roman" w:eastAsia="Calibri" w:hAnsi="Times New Roman" w:cs="Times New Roman"/>
          <w:b/>
          <w:bCs/>
          <w:iCs/>
          <w:sz w:val="24"/>
          <w:szCs w:val="24"/>
        </w:rPr>
      </w:pPr>
    </w:p>
    <w:tbl>
      <w:tblPr>
        <w:tblStyle w:val="Reetkatablice"/>
        <w:tblW w:w="8647" w:type="dxa"/>
        <w:tblInd w:w="172" w:type="dxa"/>
        <w:tblLayout w:type="fixed"/>
        <w:tblLook w:val="04A0" w:firstRow="1" w:lastRow="0" w:firstColumn="1" w:lastColumn="0" w:noHBand="0" w:noVBand="1"/>
      </w:tblPr>
      <w:tblGrid>
        <w:gridCol w:w="4565"/>
        <w:gridCol w:w="4082"/>
      </w:tblGrid>
      <w:tr w:rsidR="004B03CB" w14:paraId="34D808BF" w14:textId="77777777" w:rsidTr="00816216">
        <w:trPr>
          <w:trHeight w:val="336"/>
        </w:trPr>
        <w:tc>
          <w:tcPr>
            <w:tcW w:w="4565" w:type="dxa"/>
            <w:shd w:val="clear" w:color="auto" w:fill="E7E6E6" w:themeFill="background2"/>
            <w:vAlign w:val="center"/>
          </w:tcPr>
          <w:p w14:paraId="1744C431" w14:textId="77777777" w:rsidR="004B03CB" w:rsidRPr="00F57345" w:rsidRDefault="004B03CB" w:rsidP="00816216">
            <w:pPr>
              <w:jc w:val="center"/>
              <w:rPr>
                <w:rFonts w:ascii="Times New Roman" w:hAnsi="Times New Roman" w:cs="Times New Roman"/>
                <w:sz w:val="24"/>
                <w:szCs w:val="24"/>
              </w:rPr>
            </w:pPr>
            <w:bookmarkStart w:id="200" w:name="_Hlk78990123"/>
            <w:r>
              <w:rPr>
                <w:rFonts w:ascii="Times New Roman" w:eastAsia="Times New Roman" w:hAnsi="Times New Roman" w:cs="Times New Roman"/>
                <w:sz w:val="24"/>
                <w:szCs w:val="24"/>
                <w:lang w:eastAsia="hr-HR"/>
              </w:rPr>
              <w:t>G</w:t>
            </w:r>
            <w:r w:rsidRPr="00F57345">
              <w:rPr>
                <w:rFonts w:ascii="Times New Roman" w:eastAsia="Times New Roman" w:hAnsi="Times New Roman" w:cs="Times New Roman"/>
                <w:sz w:val="24"/>
                <w:szCs w:val="24"/>
                <w:lang w:eastAsia="hr-HR"/>
              </w:rPr>
              <w:t>odina</w:t>
            </w:r>
          </w:p>
        </w:tc>
        <w:tc>
          <w:tcPr>
            <w:tcW w:w="4082" w:type="dxa"/>
            <w:shd w:val="clear" w:color="auto" w:fill="E7E6E6" w:themeFill="background2"/>
            <w:vAlign w:val="center"/>
          </w:tcPr>
          <w:p w14:paraId="44275AED" w14:textId="77777777" w:rsidR="004B03CB" w:rsidRPr="00F57345" w:rsidRDefault="004B03CB" w:rsidP="00816216">
            <w:pPr>
              <w:jc w:val="center"/>
              <w:rPr>
                <w:rFonts w:ascii="Times New Roman" w:hAnsi="Times New Roman" w:cs="Times New Roman"/>
                <w:sz w:val="24"/>
                <w:szCs w:val="24"/>
              </w:rPr>
            </w:pPr>
            <w:r>
              <w:rPr>
                <w:rFonts w:ascii="Times New Roman" w:eastAsia="Times New Roman" w:hAnsi="Times New Roman" w:cs="Times New Roman"/>
                <w:sz w:val="24"/>
                <w:szCs w:val="24"/>
                <w:lang w:eastAsia="hr-HR"/>
              </w:rPr>
              <w:t>B</w:t>
            </w:r>
            <w:r w:rsidRPr="00F57345">
              <w:rPr>
                <w:rFonts w:ascii="Times New Roman" w:eastAsia="Times New Roman" w:hAnsi="Times New Roman" w:cs="Times New Roman"/>
                <w:sz w:val="24"/>
                <w:szCs w:val="24"/>
                <w:lang w:eastAsia="hr-HR"/>
              </w:rPr>
              <w:t>roj osoba s invaliditetom</w:t>
            </w:r>
          </w:p>
        </w:tc>
      </w:tr>
      <w:tr w:rsidR="004B03CB" w14:paraId="510AF7D2" w14:textId="77777777" w:rsidTr="00816216">
        <w:trPr>
          <w:trHeight w:val="270"/>
        </w:trPr>
        <w:tc>
          <w:tcPr>
            <w:tcW w:w="4565" w:type="dxa"/>
            <w:vAlign w:val="center"/>
          </w:tcPr>
          <w:p w14:paraId="5ED44846" w14:textId="77777777" w:rsidR="004B03CB" w:rsidRPr="00F57345" w:rsidRDefault="004B03CB" w:rsidP="00816216">
            <w:pPr>
              <w:jc w:val="center"/>
              <w:rPr>
                <w:rFonts w:ascii="Times New Roman" w:eastAsia="Times New Roman" w:hAnsi="Times New Roman" w:cs="Times New Roman"/>
                <w:sz w:val="24"/>
                <w:szCs w:val="24"/>
                <w:lang w:eastAsia="hr-HR"/>
              </w:rPr>
            </w:pPr>
            <w:r w:rsidRPr="00F57345">
              <w:rPr>
                <w:rFonts w:ascii="Times New Roman" w:eastAsia="Times New Roman" w:hAnsi="Times New Roman" w:cs="Times New Roman"/>
                <w:sz w:val="24"/>
                <w:szCs w:val="24"/>
                <w:lang w:eastAsia="hr-HR"/>
              </w:rPr>
              <w:t>2015.</w:t>
            </w:r>
            <w:r>
              <w:rPr>
                <w:rFonts w:ascii="Times New Roman" w:eastAsia="Times New Roman" w:hAnsi="Times New Roman" w:cs="Times New Roman"/>
                <w:sz w:val="24"/>
                <w:szCs w:val="24"/>
                <w:lang w:eastAsia="hr-HR"/>
              </w:rPr>
              <w:t>⃰</w:t>
            </w:r>
          </w:p>
        </w:tc>
        <w:tc>
          <w:tcPr>
            <w:tcW w:w="4082" w:type="dxa"/>
            <w:vAlign w:val="center"/>
          </w:tcPr>
          <w:p w14:paraId="10E58AD0" w14:textId="77777777" w:rsidR="004B03CB" w:rsidRPr="00F57345" w:rsidRDefault="004B03CB" w:rsidP="00816216">
            <w:pPr>
              <w:jc w:val="cente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w:t>
            </w:r>
          </w:p>
        </w:tc>
      </w:tr>
      <w:tr w:rsidR="004B03CB" w14:paraId="41C787DB" w14:textId="77777777" w:rsidTr="00816216">
        <w:trPr>
          <w:trHeight w:val="270"/>
        </w:trPr>
        <w:tc>
          <w:tcPr>
            <w:tcW w:w="4565" w:type="dxa"/>
            <w:vAlign w:val="center"/>
          </w:tcPr>
          <w:p w14:paraId="2CD21E37" w14:textId="77777777" w:rsidR="004B03CB" w:rsidRPr="00F57345" w:rsidRDefault="004B03CB" w:rsidP="00816216">
            <w:pPr>
              <w:jc w:val="center"/>
              <w:rPr>
                <w:rFonts w:ascii="Times New Roman" w:eastAsia="Times New Roman" w:hAnsi="Times New Roman" w:cs="Times New Roman"/>
                <w:sz w:val="24"/>
                <w:szCs w:val="24"/>
                <w:lang w:eastAsia="hr-HR"/>
              </w:rPr>
            </w:pPr>
            <w:r w:rsidRPr="00F57345">
              <w:rPr>
                <w:rFonts w:ascii="Times New Roman" w:eastAsia="Times New Roman" w:hAnsi="Times New Roman" w:cs="Times New Roman"/>
                <w:sz w:val="24"/>
                <w:szCs w:val="24"/>
                <w:lang w:eastAsia="hr-HR"/>
              </w:rPr>
              <w:t>2016.</w:t>
            </w:r>
          </w:p>
        </w:tc>
        <w:tc>
          <w:tcPr>
            <w:tcW w:w="4082" w:type="dxa"/>
            <w:vAlign w:val="center"/>
          </w:tcPr>
          <w:p w14:paraId="13DDDF2D" w14:textId="77777777" w:rsidR="004B03CB" w:rsidRPr="00F57345" w:rsidRDefault="004B03CB" w:rsidP="00816216">
            <w:pPr>
              <w:jc w:val="cente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361</w:t>
            </w:r>
          </w:p>
        </w:tc>
      </w:tr>
      <w:tr w:rsidR="004B03CB" w14:paraId="65F7EF39" w14:textId="77777777" w:rsidTr="00816216">
        <w:trPr>
          <w:trHeight w:val="270"/>
        </w:trPr>
        <w:tc>
          <w:tcPr>
            <w:tcW w:w="4565" w:type="dxa"/>
            <w:vAlign w:val="center"/>
          </w:tcPr>
          <w:p w14:paraId="1EB3B37A" w14:textId="77777777" w:rsidR="004B03CB" w:rsidRPr="00F57345" w:rsidRDefault="004B03CB" w:rsidP="00816216">
            <w:pPr>
              <w:jc w:val="center"/>
              <w:rPr>
                <w:rFonts w:ascii="Times New Roman" w:hAnsi="Times New Roman" w:cs="Times New Roman"/>
                <w:sz w:val="24"/>
                <w:szCs w:val="24"/>
              </w:rPr>
            </w:pPr>
            <w:r w:rsidRPr="00F57345">
              <w:rPr>
                <w:rFonts w:ascii="Times New Roman" w:eastAsia="Times New Roman" w:hAnsi="Times New Roman" w:cs="Times New Roman"/>
                <w:sz w:val="24"/>
                <w:szCs w:val="24"/>
                <w:lang w:eastAsia="hr-HR"/>
              </w:rPr>
              <w:t>2017.</w:t>
            </w:r>
          </w:p>
        </w:tc>
        <w:tc>
          <w:tcPr>
            <w:tcW w:w="4082" w:type="dxa"/>
            <w:vAlign w:val="center"/>
          </w:tcPr>
          <w:p w14:paraId="6EF91DC5" w14:textId="77777777" w:rsidR="004B03CB" w:rsidRPr="00F57345" w:rsidRDefault="004B03CB" w:rsidP="00816216">
            <w:pPr>
              <w:jc w:val="center"/>
              <w:rPr>
                <w:rFonts w:ascii="Times New Roman" w:hAnsi="Times New Roman" w:cs="Times New Roman"/>
                <w:sz w:val="24"/>
                <w:szCs w:val="24"/>
              </w:rPr>
            </w:pPr>
            <w:r w:rsidRPr="00F57345">
              <w:rPr>
                <w:rFonts w:ascii="Times New Roman" w:eastAsia="Times New Roman" w:hAnsi="Times New Roman" w:cs="Times New Roman"/>
                <w:sz w:val="24"/>
                <w:szCs w:val="24"/>
                <w:lang w:eastAsia="hr-HR"/>
              </w:rPr>
              <w:t>495</w:t>
            </w:r>
          </w:p>
        </w:tc>
      </w:tr>
      <w:tr w:rsidR="004B03CB" w14:paraId="77FB5C03" w14:textId="77777777" w:rsidTr="00816216">
        <w:tc>
          <w:tcPr>
            <w:tcW w:w="4565" w:type="dxa"/>
            <w:vAlign w:val="center"/>
          </w:tcPr>
          <w:p w14:paraId="73A143D5" w14:textId="77777777" w:rsidR="004B03CB" w:rsidRPr="00F57345" w:rsidRDefault="004B03CB" w:rsidP="00816216">
            <w:pPr>
              <w:jc w:val="center"/>
              <w:rPr>
                <w:rFonts w:ascii="Times New Roman" w:hAnsi="Times New Roman" w:cs="Times New Roman"/>
                <w:sz w:val="24"/>
                <w:szCs w:val="24"/>
              </w:rPr>
            </w:pPr>
            <w:r w:rsidRPr="00F57345">
              <w:rPr>
                <w:rFonts w:ascii="Times New Roman" w:eastAsia="Times New Roman" w:hAnsi="Times New Roman" w:cs="Times New Roman"/>
                <w:sz w:val="24"/>
                <w:szCs w:val="24"/>
                <w:lang w:eastAsia="hr-HR"/>
              </w:rPr>
              <w:t>2018.</w:t>
            </w:r>
          </w:p>
        </w:tc>
        <w:tc>
          <w:tcPr>
            <w:tcW w:w="4082" w:type="dxa"/>
            <w:vAlign w:val="center"/>
          </w:tcPr>
          <w:p w14:paraId="0CB43253" w14:textId="77777777" w:rsidR="004B03CB" w:rsidRPr="00F57345" w:rsidRDefault="004B03CB" w:rsidP="00816216">
            <w:pPr>
              <w:jc w:val="center"/>
              <w:rPr>
                <w:rFonts w:ascii="Times New Roman" w:hAnsi="Times New Roman" w:cs="Times New Roman"/>
                <w:sz w:val="24"/>
                <w:szCs w:val="24"/>
              </w:rPr>
            </w:pPr>
            <w:r w:rsidRPr="00F57345">
              <w:rPr>
                <w:rFonts w:ascii="Times New Roman" w:eastAsia="Times New Roman" w:hAnsi="Times New Roman" w:cs="Times New Roman"/>
                <w:sz w:val="24"/>
                <w:szCs w:val="24"/>
                <w:lang w:eastAsia="hr-HR"/>
              </w:rPr>
              <w:t>676</w:t>
            </w:r>
          </w:p>
        </w:tc>
      </w:tr>
      <w:tr w:rsidR="004B03CB" w14:paraId="03B06E6C" w14:textId="77777777" w:rsidTr="00816216">
        <w:tc>
          <w:tcPr>
            <w:tcW w:w="4565" w:type="dxa"/>
            <w:vAlign w:val="center"/>
          </w:tcPr>
          <w:p w14:paraId="0105D255" w14:textId="77777777" w:rsidR="004B03CB" w:rsidRPr="00F57345" w:rsidRDefault="004B03CB" w:rsidP="00816216">
            <w:pPr>
              <w:jc w:val="center"/>
              <w:rPr>
                <w:rFonts w:ascii="Times New Roman" w:hAnsi="Times New Roman" w:cs="Times New Roman"/>
                <w:sz w:val="24"/>
                <w:szCs w:val="24"/>
              </w:rPr>
            </w:pPr>
            <w:r w:rsidRPr="00F57345">
              <w:rPr>
                <w:rFonts w:ascii="Times New Roman" w:eastAsia="Times New Roman" w:hAnsi="Times New Roman" w:cs="Times New Roman"/>
                <w:sz w:val="24"/>
                <w:szCs w:val="24"/>
                <w:lang w:eastAsia="hr-HR"/>
              </w:rPr>
              <w:t>2019.</w:t>
            </w:r>
          </w:p>
        </w:tc>
        <w:tc>
          <w:tcPr>
            <w:tcW w:w="4082" w:type="dxa"/>
            <w:vAlign w:val="center"/>
          </w:tcPr>
          <w:p w14:paraId="5762C871" w14:textId="77777777" w:rsidR="004B03CB" w:rsidRPr="00F57345" w:rsidRDefault="004B03CB" w:rsidP="00816216">
            <w:pPr>
              <w:jc w:val="center"/>
              <w:rPr>
                <w:rFonts w:ascii="Times New Roman" w:hAnsi="Times New Roman" w:cs="Times New Roman"/>
                <w:sz w:val="24"/>
                <w:szCs w:val="24"/>
              </w:rPr>
            </w:pPr>
            <w:r w:rsidRPr="00F57345">
              <w:rPr>
                <w:rFonts w:ascii="Times New Roman" w:eastAsia="Times New Roman" w:hAnsi="Times New Roman" w:cs="Times New Roman"/>
                <w:sz w:val="24"/>
                <w:szCs w:val="24"/>
                <w:lang w:eastAsia="hr-HR"/>
              </w:rPr>
              <w:t>698</w:t>
            </w:r>
          </w:p>
        </w:tc>
      </w:tr>
      <w:tr w:rsidR="004B03CB" w14:paraId="77FC82A1" w14:textId="77777777" w:rsidTr="00816216">
        <w:tc>
          <w:tcPr>
            <w:tcW w:w="4565" w:type="dxa"/>
            <w:vAlign w:val="center"/>
          </w:tcPr>
          <w:p w14:paraId="2288DC3C" w14:textId="77777777" w:rsidR="004B03CB" w:rsidRPr="00F57345" w:rsidRDefault="004B03CB" w:rsidP="00816216">
            <w:pPr>
              <w:jc w:val="center"/>
              <w:rPr>
                <w:rFonts w:ascii="Times New Roman" w:hAnsi="Times New Roman" w:cs="Times New Roman"/>
                <w:sz w:val="24"/>
                <w:szCs w:val="24"/>
              </w:rPr>
            </w:pPr>
            <w:r w:rsidRPr="00F57345">
              <w:rPr>
                <w:rFonts w:ascii="Times New Roman" w:eastAsia="Times New Roman" w:hAnsi="Times New Roman" w:cs="Times New Roman"/>
                <w:sz w:val="24"/>
                <w:szCs w:val="24"/>
                <w:lang w:eastAsia="hr-HR"/>
              </w:rPr>
              <w:t>2020.</w:t>
            </w:r>
          </w:p>
        </w:tc>
        <w:tc>
          <w:tcPr>
            <w:tcW w:w="4082" w:type="dxa"/>
            <w:vAlign w:val="center"/>
          </w:tcPr>
          <w:p w14:paraId="7775A9B5" w14:textId="77777777" w:rsidR="004B03CB" w:rsidRPr="00F57345" w:rsidRDefault="004B03CB" w:rsidP="00816216">
            <w:pPr>
              <w:jc w:val="center"/>
              <w:rPr>
                <w:rFonts w:ascii="Times New Roman" w:hAnsi="Times New Roman" w:cs="Times New Roman"/>
                <w:sz w:val="24"/>
                <w:szCs w:val="24"/>
              </w:rPr>
            </w:pPr>
            <w:r w:rsidRPr="00F57345">
              <w:rPr>
                <w:rFonts w:ascii="Times New Roman" w:eastAsia="Times New Roman" w:hAnsi="Times New Roman" w:cs="Times New Roman"/>
                <w:sz w:val="24"/>
                <w:szCs w:val="24"/>
                <w:lang w:eastAsia="hr-HR"/>
              </w:rPr>
              <w:t>717</w:t>
            </w:r>
          </w:p>
        </w:tc>
      </w:tr>
    </w:tbl>
    <w:bookmarkEnd w:id="200"/>
    <w:p w14:paraId="2D2C60B0" w14:textId="77777777" w:rsidR="004B03CB" w:rsidRPr="001635EA" w:rsidRDefault="004B03CB" w:rsidP="004B03CB">
      <w:pPr>
        <w:jc w:val="both"/>
        <w:rPr>
          <w:rFonts w:ascii="Times New Roman" w:hAnsi="Times New Roman" w:cs="Times New Roman"/>
          <w:i/>
          <w:iCs/>
          <w:sz w:val="20"/>
          <w:szCs w:val="20"/>
        </w:rPr>
      </w:pPr>
      <w:r>
        <w:rPr>
          <w:rFonts w:ascii="Times New Roman" w:hAnsi="Times New Roman" w:cs="Times New Roman"/>
          <w:sz w:val="24"/>
          <w:szCs w:val="24"/>
        </w:rPr>
        <w:t>⃰</w:t>
      </w:r>
      <w:r w:rsidRPr="009A21E4">
        <w:t xml:space="preserve"> </w:t>
      </w:r>
      <w:r w:rsidRPr="001635EA">
        <w:rPr>
          <w:rFonts w:ascii="Times New Roman" w:hAnsi="Times New Roman" w:cs="Times New Roman"/>
          <w:i/>
          <w:iCs/>
          <w:sz w:val="20"/>
          <w:szCs w:val="20"/>
        </w:rPr>
        <w:t>Centar Zagreb je u studenom 2015. zaprimio 55 predmeta, dok je Centar Osijek u prosincu 2015. zaprimio 39 predmeta, međutim predmeti su obrađeni</w:t>
      </w:r>
      <w:r>
        <w:rPr>
          <w:rFonts w:ascii="Times New Roman" w:hAnsi="Times New Roman" w:cs="Times New Roman"/>
          <w:i/>
          <w:iCs/>
          <w:sz w:val="20"/>
          <w:szCs w:val="20"/>
        </w:rPr>
        <w:t xml:space="preserve"> odnosno osobe s invaliditetom su uključene u usluge profesionalne rehabilitacije</w:t>
      </w:r>
      <w:r w:rsidRPr="001635EA">
        <w:rPr>
          <w:rFonts w:ascii="Times New Roman" w:hAnsi="Times New Roman" w:cs="Times New Roman"/>
          <w:i/>
          <w:iCs/>
          <w:sz w:val="20"/>
          <w:szCs w:val="20"/>
        </w:rPr>
        <w:t xml:space="preserve"> u 2016. </w:t>
      </w:r>
    </w:p>
    <w:p w14:paraId="1A85FFB4" w14:textId="77777777" w:rsidR="004B03CB" w:rsidRDefault="004B03CB" w:rsidP="004B03CB">
      <w:pPr>
        <w:spacing w:after="0" w:line="240" w:lineRule="auto"/>
        <w:jc w:val="both"/>
        <w:rPr>
          <w:rFonts w:ascii="Times New Roman" w:eastAsia="Calibri" w:hAnsi="Times New Roman" w:cs="Times New Roman"/>
          <w:i/>
          <w:sz w:val="24"/>
          <w:szCs w:val="24"/>
        </w:rPr>
      </w:pPr>
    </w:p>
    <w:p w14:paraId="21AF65F9" w14:textId="05D1363F" w:rsidR="004B03CB" w:rsidRDefault="004B03CB" w:rsidP="004B03CB"/>
    <w:p w14:paraId="461AC19D" w14:textId="77777777" w:rsidR="00F13184" w:rsidRDefault="00F13184" w:rsidP="004B03CB"/>
    <w:p w14:paraId="68C29093" w14:textId="77777777" w:rsidR="00816216" w:rsidRDefault="00816216" w:rsidP="00816216">
      <w:pPr>
        <w:spacing w:after="0" w:line="240" w:lineRule="auto"/>
        <w:jc w:val="both"/>
        <w:rPr>
          <w:rFonts w:ascii="Times New Roman" w:eastAsia="Calibri" w:hAnsi="Times New Roman" w:cs="Times New Roman"/>
          <w:b/>
          <w:bCs/>
          <w:iCs/>
          <w:sz w:val="24"/>
          <w:szCs w:val="24"/>
          <w:u w:val="single"/>
        </w:rPr>
      </w:pPr>
      <w:r w:rsidRPr="00287BF7">
        <w:rPr>
          <w:rFonts w:ascii="Times New Roman" w:eastAsia="Calibri" w:hAnsi="Times New Roman" w:cs="Times New Roman"/>
          <w:b/>
          <w:bCs/>
          <w:iCs/>
          <w:sz w:val="24"/>
          <w:szCs w:val="24"/>
          <w:u w:val="single"/>
        </w:rPr>
        <w:t>Prilog 3</w:t>
      </w:r>
      <w:r>
        <w:rPr>
          <w:rFonts w:ascii="Times New Roman" w:eastAsia="Calibri" w:hAnsi="Times New Roman" w:cs="Times New Roman"/>
          <w:b/>
          <w:bCs/>
          <w:iCs/>
          <w:sz w:val="24"/>
          <w:szCs w:val="24"/>
          <w:u w:val="single"/>
        </w:rPr>
        <w:t>9</w:t>
      </w:r>
    </w:p>
    <w:p w14:paraId="0B314FF7" w14:textId="77777777" w:rsidR="00816216" w:rsidRPr="00287BF7" w:rsidRDefault="00816216" w:rsidP="00816216">
      <w:pPr>
        <w:spacing w:after="0" w:line="240" w:lineRule="auto"/>
        <w:jc w:val="both"/>
        <w:rPr>
          <w:rFonts w:ascii="Times New Roman" w:eastAsia="Calibri" w:hAnsi="Times New Roman" w:cs="Times New Roman"/>
          <w:b/>
          <w:bCs/>
          <w:iCs/>
          <w:sz w:val="24"/>
          <w:szCs w:val="24"/>
          <w:u w:val="single"/>
        </w:rPr>
      </w:pPr>
    </w:p>
    <w:p w14:paraId="7DD5742B" w14:textId="77777777" w:rsidR="00816216" w:rsidRDefault="00816216" w:rsidP="00816216">
      <w:pPr>
        <w:spacing w:after="0" w:line="240" w:lineRule="auto"/>
        <w:jc w:val="both"/>
        <w:rPr>
          <w:rFonts w:ascii="Times New Roman" w:eastAsia="Calibri" w:hAnsi="Times New Roman" w:cs="Times New Roman"/>
          <w:i/>
          <w:sz w:val="24"/>
          <w:szCs w:val="24"/>
        </w:rPr>
      </w:pPr>
    </w:p>
    <w:p w14:paraId="00D693BB" w14:textId="77777777" w:rsidR="00816216" w:rsidRPr="00287BF7" w:rsidRDefault="00816216" w:rsidP="00816216">
      <w:pPr>
        <w:spacing w:after="0" w:line="240" w:lineRule="auto"/>
        <w:ind w:left="1276" w:right="850"/>
        <w:jc w:val="center"/>
        <w:rPr>
          <w:rFonts w:ascii="Times New Roman" w:eastAsia="Calibri" w:hAnsi="Times New Roman" w:cs="Times New Roman"/>
          <w:b/>
          <w:bCs/>
          <w:iCs/>
          <w:sz w:val="24"/>
          <w:szCs w:val="24"/>
        </w:rPr>
      </w:pPr>
      <w:r w:rsidRPr="00287BF7">
        <w:rPr>
          <w:rFonts w:ascii="Times New Roman" w:eastAsia="Calibri" w:hAnsi="Times New Roman" w:cs="Times New Roman"/>
          <w:b/>
          <w:bCs/>
          <w:iCs/>
          <w:sz w:val="24"/>
          <w:szCs w:val="24"/>
        </w:rPr>
        <w:t>PODACI DRŽAVNOG INSPEKTORATA O BROJU POKRENUTIH PREKRŠAJNIH POSTUPAKA ZBOG POVREDE ČLANKA 12. ZAKONA O PROFESIONALNOJ REHABILITACIJI I ZAPOŠLJAVANJU OSOBA S INVALIDITETOM⃰</w:t>
      </w:r>
    </w:p>
    <w:p w14:paraId="42EE1505" w14:textId="77777777" w:rsidR="00816216" w:rsidRDefault="00816216" w:rsidP="00816216">
      <w:pPr>
        <w:spacing w:after="0" w:line="240" w:lineRule="auto"/>
        <w:jc w:val="both"/>
        <w:rPr>
          <w:rFonts w:ascii="Times New Roman" w:eastAsia="Calibri" w:hAnsi="Times New Roman" w:cs="Times New Roman"/>
          <w:i/>
          <w:sz w:val="24"/>
          <w:szCs w:val="24"/>
        </w:rPr>
      </w:pPr>
    </w:p>
    <w:p w14:paraId="42A9417A" w14:textId="77777777" w:rsidR="00816216" w:rsidRDefault="00816216" w:rsidP="00816216">
      <w:pPr>
        <w:spacing w:after="0" w:line="240" w:lineRule="auto"/>
        <w:jc w:val="both"/>
        <w:rPr>
          <w:rFonts w:ascii="Times New Roman" w:eastAsia="Calibri" w:hAnsi="Times New Roman" w:cs="Times New Roman"/>
          <w:i/>
          <w:sz w:val="24"/>
          <w:szCs w:val="24"/>
        </w:rPr>
      </w:pPr>
    </w:p>
    <w:tbl>
      <w:tblPr>
        <w:tblStyle w:val="Reetkatablice"/>
        <w:tblW w:w="8754" w:type="dxa"/>
        <w:tblInd w:w="172" w:type="dxa"/>
        <w:tblLayout w:type="fixed"/>
        <w:tblLook w:val="04A0" w:firstRow="1" w:lastRow="0" w:firstColumn="1" w:lastColumn="0" w:noHBand="0" w:noVBand="1"/>
      </w:tblPr>
      <w:tblGrid>
        <w:gridCol w:w="4565"/>
        <w:gridCol w:w="4189"/>
      </w:tblGrid>
      <w:tr w:rsidR="00816216" w:rsidRPr="00F57345" w14:paraId="25FC6CAE" w14:textId="77777777" w:rsidTr="00816216">
        <w:trPr>
          <w:trHeight w:val="336"/>
        </w:trPr>
        <w:tc>
          <w:tcPr>
            <w:tcW w:w="4565" w:type="dxa"/>
            <w:shd w:val="clear" w:color="auto" w:fill="E7E6E6" w:themeFill="background2"/>
            <w:vAlign w:val="center"/>
          </w:tcPr>
          <w:p w14:paraId="7241B065" w14:textId="77777777" w:rsidR="00816216" w:rsidRPr="00F57345" w:rsidRDefault="00816216" w:rsidP="00816216">
            <w:pPr>
              <w:jc w:val="center"/>
              <w:rPr>
                <w:rFonts w:ascii="Times New Roman" w:hAnsi="Times New Roman" w:cs="Times New Roman"/>
                <w:sz w:val="24"/>
                <w:szCs w:val="24"/>
              </w:rPr>
            </w:pPr>
            <w:r>
              <w:rPr>
                <w:rFonts w:ascii="Times New Roman" w:eastAsia="Times New Roman" w:hAnsi="Times New Roman" w:cs="Times New Roman"/>
                <w:sz w:val="24"/>
                <w:szCs w:val="24"/>
                <w:lang w:eastAsia="hr-HR"/>
              </w:rPr>
              <w:t>G</w:t>
            </w:r>
            <w:r w:rsidRPr="00F57345">
              <w:rPr>
                <w:rFonts w:ascii="Times New Roman" w:eastAsia="Times New Roman" w:hAnsi="Times New Roman" w:cs="Times New Roman"/>
                <w:sz w:val="24"/>
                <w:szCs w:val="24"/>
                <w:lang w:eastAsia="hr-HR"/>
              </w:rPr>
              <w:t>odina</w:t>
            </w:r>
          </w:p>
        </w:tc>
        <w:tc>
          <w:tcPr>
            <w:tcW w:w="4189" w:type="dxa"/>
            <w:shd w:val="clear" w:color="auto" w:fill="E7E6E6" w:themeFill="background2"/>
            <w:vAlign w:val="center"/>
          </w:tcPr>
          <w:p w14:paraId="5D19130B" w14:textId="77777777" w:rsidR="00816216" w:rsidRPr="00F57345" w:rsidRDefault="00816216" w:rsidP="00816216">
            <w:pPr>
              <w:jc w:val="center"/>
              <w:rPr>
                <w:rFonts w:ascii="Times New Roman" w:hAnsi="Times New Roman" w:cs="Times New Roman"/>
                <w:sz w:val="24"/>
                <w:szCs w:val="24"/>
              </w:rPr>
            </w:pPr>
            <w:r>
              <w:rPr>
                <w:rFonts w:ascii="Times New Roman" w:hAnsi="Times New Roman" w:cs="Times New Roman"/>
                <w:sz w:val="24"/>
                <w:szCs w:val="24"/>
              </w:rPr>
              <w:t xml:space="preserve">Broj pokrenutih prekršajnih postupaka⃰⃰⃰⃰⃰ ⃰ </w:t>
            </w:r>
          </w:p>
        </w:tc>
      </w:tr>
      <w:tr w:rsidR="00816216" w:rsidRPr="00F57345" w14:paraId="1014DD99" w14:textId="77777777" w:rsidTr="00816216">
        <w:trPr>
          <w:trHeight w:val="270"/>
        </w:trPr>
        <w:tc>
          <w:tcPr>
            <w:tcW w:w="4565" w:type="dxa"/>
            <w:vAlign w:val="center"/>
          </w:tcPr>
          <w:p w14:paraId="5FE22753" w14:textId="77777777" w:rsidR="00816216" w:rsidRPr="00F57345" w:rsidRDefault="00816216" w:rsidP="00816216">
            <w:pPr>
              <w:jc w:val="center"/>
              <w:rPr>
                <w:rFonts w:ascii="Times New Roman" w:eastAsia="Times New Roman" w:hAnsi="Times New Roman" w:cs="Times New Roman"/>
                <w:sz w:val="24"/>
                <w:szCs w:val="24"/>
                <w:lang w:eastAsia="hr-HR"/>
              </w:rPr>
            </w:pPr>
            <w:r w:rsidRPr="00F57345">
              <w:rPr>
                <w:rFonts w:ascii="Times New Roman" w:eastAsia="Times New Roman" w:hAnsi="Times New Roman" w:cs="Times New Roman"/>
                <w:sz w:val="24"/>
                <w:szCs w:val="24"/>
                <w:lang w:eastAsia="hr-HR"/>
              </w:rPr>
              <w:t>2015.</w:t>
            </w:r>
          </w:p>
        </w:tc>
        <w:tc>
          <w:tcPr>
            <w:tcW w:w="4189" w:type="dxa"/>
            <w:vAlign w:val="center"/>
          </w:tcPr>
          <w:p w14:paraId="020B8C60" w14:textId="77777777" w:rsidR="00816216" w:rsidRPr="00F57345" w:rsidRDefault="00816216" w:rsidP="00816216">
            <w:pPr>
              <w:jc w:val="cente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w:t>
            </w:r>
          </w:p>
        </w:tc>
      </w:tr>
      <w:tr w:rsidR="00816216" w:rsidRPr="00F57345" w14:paraId="6DF9F77C" w14:textId="77777777" w:rsidTr="00816216">
        <w:trPr>
          <w:trHeight w:val="270"/>
        </w:trPr>
        <w:tc>
          <w:tcPr>
            <w:tcW w:w="4565" w:type="dxa"/>
            <w:vAlign w:val="center"/>
          </w:tcPr>
          <w:p w14:paraId="0B85FC32" w14:textId="77777777" w:rsidR="00816216" w:rsidRPr="00F57345" w:rsidRDefault="00816216" w:rsidP="00816216">
            <w:pPr>
              <w:jc w:val="center"/>
              <w:rPr>
                <w:rFonts w:ascii="Times New Roman" w:eastAsia="Times New Roman" w:hAnsi="Times New Roman" w:cs="Times New Roman"/>
                <w:sz w:val="24"/>
                <w:szCs w:val="24"/>
                <w:lang w:eastAsia="hr-HR"/>
              </w:rPr>
            </w:pPr>
            <w:r w:rsidRPr="00F57345">
              <w:rPr>
                <w:rFonts w:ascii="Times New Roman" w:eastAsia="Times New Roman" w:hAnsi="Times New Roman" w:cs="Times New Roman"/>
                <w:sz w:val="24"/>
                <w:szCs w:val="24"/>
                <w:lang w:eastAsia="hr-HR"/>
              </w:rPr>
              <w:t>2016.</w:t>
            </w:r>
          </w:p>
        </w:tc>
        <w:tc>
          <w:tcPr>
            <w:tcW w:w="4189" w:type="dxa"/>
            <w:vAlign w:val="center"/>
          </w:tcPr>
          <w:p w14:paraId="2E28CAD4" w14:textId="77777777" w:rsidR="00816216" w:rsidRPr="00F57345" w:rsidRDefault="00816216" w:rsidP="00816216">
            <w:pPr>
              <w:jc w:val="cente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0</w:t>
            </w:r>
          </w:p>
        </w:tc>
      </w:tr>
      <w:tr w:rsidR="00816216" w:rsidRPr="00F57345" w14:paraId="28FB0E67" w14:textId="77777777" w:rsidTr="00816216">
        <w:trPr>
          <w:trHeight w:val="270"/>
        </w:trPr>
        <w:tc>
          <w:tcPr>
            <w:tcW w:w="4565" w:type="dxa"/>
            <w:vAlign w:val="center"/>
          </w:tcPr>
          <w:p w14:paraId="29985366" w14:textId="77777777" w:rsidR="00816216" w:rsidRPr="00F57345" w:rsidRDefault="00816216" w:rsidP="00816216">
            <w:pPr>
              <w:jc w:val="center"/>
              <w:rPr>
                <w:rFonts w:ascii="Times New Roman" w:hAnsi="Times New Roman" w:cs="Times New Roman"/>
                <w:sz w:val="24"/>
                <w:szCs w:val="24"/>
              </w:rPr>
            </w:pPr>
            <w:r w:rsidRPr="00F57345">
              <w:rPr>
                <w:rFonts w:ascii="Times New Roman" w:eastAsia="Times New Roman" w:hAnsi="Times New Roman" w:cs="Times New Roman"/>
                <w:sz w:val="24"/>
                <w:szCs w:val="24"/>
                <w:lang w:eastAsia="hr-HR"/>
              </w:rPr>
              <w:t>2017.</w:t>
            </w:r>
          </w:p>
        </w:tc>
        <w:tc>
          <w:tcPr>
            <w:tcW w:w="4189" w:type="dxa"/>
            <w:vAlign w:val="center"/>
          </w:tcPr>
          <w:p w14:paraId="53C43390" w14:textId="77777777" w:rsidR="00816216" w:rsidRPr="00F57345" w:rsidRDefault="00816216" w:rsidP="00816216">
            <w:pPr>
              <w:jc w:val="center"/>
              <w:rPr>
                <w:rFonts w:ascii="Times New Roman" w:hAnsi="Times New Roman" w:cs="Times New Roman"/>
                <w:sz w:val="24"/>
                <w:szCs w:val="24"/>
              </w:rPr>
            </w:pPr>
            <w:r>
              <w:rPr>
                <w:rFonts w:ascii="Times New Roman" w:hAnsi="Times New Roman" w:cs="Times New Roman"/>
                <w:sz w:val="24"/>
                <w:szCs w:val="24"/>
              </w:rPr>
              <w:t>0</w:t>
            </w:r>
          </w:p>
        </w:tc>
      </w:tr>
      <w:tr w:rsidR="00816216" w:rsidRPr="00F57345" w14:paraId="6D3511B1" w14:textId="77777777" w:rsidTr="00816216">
        <w:tc>
          <w:tcPr>
            <w:tcW w:w="4565" w:type="dxa"/>
            <w:vAlign w:val="center"/>
          </w:tcPr>
          <w:p w14:paraId="42645F42" w14:textId="77777777" w:rsidR="00816216" w:rsidRPr="00F57345" w:rsidRDefault="00816216" w:rsidP="00816216">
            <w:pPr>
              <w:jc w:val="center"/>
              <w:rPr>
                <w:rFonts w:ascii="Times New Roman" w:hAnsi="Times New Roman" w:cs="Times New Roman"/>
                <w:sz w:val="24"/>
                <w:szCs w:val="24"/>
              </w:rPr>
            </w:pPr>
            <w:r w:rsidRPr="00F57345">
              <w:rPr>
                <w:rFonts w:ascii="Times New Roman" w:eastAsia="Times New Roman" w:hAnsi="Times New Roman" w:cs="Times New Roman"/>
                <w:sz w:val="24"/>
                <w:szCs w:val="24"/>
                <w:lang w:eastAsia="hr-HR"/>
              </w:rPr>
              <w:t>2018.</w:t>
            </w:r>
          </w:p>
        </w:tc>
        <w:tc>
          <w:tcPr>
            <w:tcW w:w="4189" w:type="dxa"/>
            <w:vAlign w:val="center"/>
          </w:tcPr>
          <w:p w14:paraId="1FA738A7" w14:textId="77777777" w:rsidR="00816216" w:rsidRPr="00F57345" w:rsidRDefault="00816216" w:rsidP="00816216">
            <w:pPr>
              <w:jc w:val="center"/>
              <w:rPr>
                <w:rFonts w:ascii="Times New Roman" w:hAnsi="Times New Roman" w:cs="Times New Roman"/>
                <w:sz w:val="24"/>
                <w:szCs w:val="24"/>
              </w:rPr>
            </w:pPr>
            <w:r>
              <w:rPr>
                <w:rFonts w:ascii="Times New Roman" w:hAnsi="Times New Roman" w:cs="Times New Roman"/>
                <w:sz w:val="24"/>
                <w:szCs w:val="24"/>
              </w:rPr>
              <w:t>0</w:t>
            </w:r>
          </w:p>
        </w:tc>
      </w:tr>
      <w:tr w:rsidR="00816216" w:rsidRPr="00F57345" w14:paraId="0B189D1C" w14:textId="77777777" w:rsidTr="00816216">
        <w:tc>
          <w:tcPr>
            <w:tcW w:w="4565" w:type="dxa"/>
            <w:vAlign w:val="center"/>
          </w:tcPr>
          <w:p w14:paraId="27F4A7E4" w14:textId="77777777" w:rsidR="00816216" w:rsidRPr="00F57345" w:rsidRDefault="00816216" w:rsidP="00816216">
            <w:pPr>
              <w:jc w:val="center"/>
              <w:rPr>
                <w:rFonts w:ascii="Times New Roman" w:hAnsi="Times New Roman" w:cs="Times New Roman"/>
                <w:sz w:val="24"/>
                <w:szCs w:val="24"/>
              </w:rPr>
            </w:pPr>
            <w:r w:rsidRPr="00F57345">
              <w:rPr>
                <w:rFonts w:ascii="Times New Roman" w:eastAsia="Times New Roman" w:hAnsi="Times New Roman" w:cs="Times New Roman"/>
                <w:sz w:val="24"/>
                <w:szCs w:val="24"/>
                <w:lang w:eastAsia="hr-HR"/>
              </w:rPr>
              <w:t>2019.</w:t>
            </w:r>
          </w:p>
        </w:tc>
        <w:tc>
          <w:tcPr>
            <w:tcW w:w="4189" w:type="dxa"/>
            <w:vAlign w:val="center"/>
          </w:tcPr>
          <w:p w14:paraId="6FD9A194" w14:textId="77777777" w:rsidR="00816216" w:rsidRPr="00F57345" w:rsidRDefault="00816216" w:rsidP="00816216">
            <w:pPr>
              <w:jc w:val="center"/>
              <w:rPr>
                <w:rFonts w:ascii="Times New Roman" w:hAnsi="Times New Roman" w:cs="Times New Roman"/>
                <w:sz w:val="24"/>
                <w:szCs w:val="24"/>
              </w:rPr>
            </w:pPr>
            <w:r>
              <w:rPr>
                <w:rFonts w:ascii="Times New Roman" w:hAnsi="Times New Roman" w:cs="Times New Roman"/>
                <w:sz w:val="24"/>
                <w:szCs w:val="24"/>
              </w:rPr>
              <w:t>1</w:t>
            </w:r>
          </w:p>
        </w:tc>
      </w:tr>
      <w:tr w:rsidR="00816216" w:rsidRPr="00F57345" w14:paraId="580930B6" w14:textId="77777777" w:rsidTr="00816216">
        <w:tc>
          <w:tcPr>
            <w:tcW w:w="4565" w:type="dxa"/>
            <w:vAlign w:val="center"/>
          </w:tcPr>
          <w:p w14:paraId="4A4FF5D7" w14:textId="77777777" w:rsidR="00816216" w:rsidRPr="00F57345" w:rsidRDefault="00816216" w:rsidP="00816216">
            <w:pPr>
              <w:jc w:val="center"/>
              <w:rPr>
                <w:rFonts w:ascii="Times New Roman" w:hAnsi="Times New Roman" w:cs="Times New Roman"/>
                <w:sz w:val="24"/>
                <w:szCs w:val="24"/>
              </w:rPr>
            </w:pPr>
            <w:r w:rsidRPr="00F57345">
              <w:rPr>
                <w:rFonts w:ascii="Times New Roman" w:eastAsia="Times New Roman" w:hAnsi="Times New Roman" w:cs="Times New Roman"/>
                <w:sz w:val="24"/>
                <w:szCs w:val="24"/>
                <w:lang w:eastAsia="hr-HR"/>
              </w:rPr>
              <w:t>2020.</w:t>
            </w:r>
          </w:p>
        </w:tc>
        <w:tc>
          <w:tcPr>
            <w:tcW w:w="4189" w:type="dxa"/>
            <w:vAlign w:val="center"/>
          </w:tcPr>
          <w:p w14:paraId="78971B8F" w14:textId="77777777" w:rsidR="00816216" w:rsidRPr="00F57345" w:rsidRDefault="00816216" w:rsidP="00816216">
            <w:pPr>
              <w:jc w:val="center"/>
              <w:rPr>
                <w:rFonts w:ascii="Times New Roman" w:hAnsi="Times New Roman" w:cs="Times New Roman"/>
                <w:sz w:val="24"/>
                <w:szCs w:val="24"/>
              </w:rPr>
            </w:pPr>
            <w:r>
              <w:rPr>
                <w:rFonts w:ascii="Times New Roman" w:hAnsi="Times New Roman" w:cs="Times New Roman"/>
                <w:sz w:val="24"/>
                <w:szCs w:val="24"/>
              </w:rPr>
              <w:t>1</w:t>
            </w:r>
          </w:p>
        </w:tc>
      </w:tr>
    </w:tbl>
    <w:p w14:paraId="739EA861" w14:textId="77777777" w:rsidR="00816216" w:rsidRDefault="00816216" w:rsidP="00816216">
      <w:pPr>
        <w:spacing w:after="0" w:line="240" w:lineRule="auto"/>
        <w:jc w:val="both"/>
      </w:pPr>
      <w:r>
        <w:rPr>
          <w:rFonts w:ascii="Times New Roman" w:eastAsia="Calibri" w:hAnsi="Times New Roman" w:cs="Times New Roman"/>
          <w:i/>
          <w:sz w:val="24"/>
          <w:szCs w:val="24"/>
        </w:rPr>
        <w:t xml:space="preserve">⃰ </w:t>
      </w:r>
      <w:r w:rsidRPr="00170422">
        <w:rPr>
          <w:rFonts w:ascii="Times New Roman" w:eastAsia="Calibri" w:hAnsi="Times New Roman" w:cs="Times New Roman"/>
          <w:i/>
          <w:sz w:val="20"/>
          <w:szCs w:val="20"/>
        </w:rPr>
        <w:t>Navedenom zakonskom odredbom obuhvaćeno je pravo osoba s invaliditetom na razumnu prilagodbu, kao i pravo na uvećano trajanje godišnjeg odmora te uvećani otkazni rok.</w:t>
      </w:r>
      <w:r w:rsidRPr="00170422">
        <w:t xml:space="preserve"> </w:t>
      </w:r>
    </w:p>
    <w:p w14:paraId="28AE9184" w14:textId="77777777" w:rsidR="00816216" w:rsidRPr="00170422" w:rsidRDefault="00816216" w:rsidP="00816216">
      <w:pPr>
        <w:spacing w:after="0" w:line="240" w:lineRule="auto"/>
        <w:jc w:val="both"/>
      </w:pPr>
      <w:r>
        <w:rPr>
          <w:rFonts w:ascii="Times New Roman" w:eastAsia="Calibri" w:hAnsi="Times New Roman" w:cs="Times New Roman"/>
          <w:i/>
          <w:sz w:val="20"/>
          <w:szCs w:val="20"/>
        </w:rPr>
        <w:t xml:space="preserve">⃰⃰⃰ ⃰ Podaci o broju zaprimljenih prijava vezanih isključivo uz razumnu prilagodbu nisu dostupni, s obzirom da </w:t>
      </w:r>
      <w:r w:rsidRPr="00170422">
        <w:rPr>
          <w:rFonts w:ascii="Times New Roman" w:eastAsia="Calibri" w:hAnsi="Times New Roman" w:cs="Times New Roman"/>
          <w:i/>
          <w:sz w:val="20"/>
          <w:szCs w:val="20"/>
        </w:rPr>
        <w:t xml:space="preserve">inspekcija rada ne vodi evidenciju </w:t>
      </w:r>
      <w:r>
        <w:rPr>
          <w:rFonts w:ascii="Times New Roman" w:eastAsia="Calibri" w:hAnsi="Times New Roman" w:cs="Times New Roman"/>
          <w:i/>
          <w:sz w:val="20"/>
          <w:szCs w:val="20"/>
        </w:rPr>
        <w:t xml:space="preserve">prijava </w:t>
      </w:r>
      <w:r w:rsidRPr="00170422">
        <w:rPr>
          <w:rFonts w:ascii="Times New Roman" w:eastAsia="Calibri" w:hAnsi="Times New Roman" w:cs="Times New Roman"/>
          <w:i/>
          <w:sz w:val="20"/>
          <w:szCs w:val="20"/>
        </w:rPr>
        <w:t>prema kriteriju sadržaja</w:t>
      </w:r>
      <w:r>
        <w:rPr>
          <w:rFonts w:ascii="Times New Roman" w:eastAsia="Calibri" w:hAnsi="Times New Roman" w:cs="Times New Roman"/>
          <w:i/>
          <w:sz w:val="20"/>
          <w:szCs w:val="20"/>
        </w:rPr>
        <w:t xml:space="preserve">, a osim toga prijave </w:t>
      </w:r>
      <w:r w:rsidRPr="00170422">
        <w:rPr>
          <w:rFonts w:ascii="Times New Roman" w:eastAsia="Calibri" w:hAnsi="Times New Roman" w:cs="Times New Roman"/>
          <w:i/>
          <w:sz w:val="20"/>
          <w:szCs w:val="20"/>
        </w:rPr>
        <w:t>često upućuju na više različitih povreda propisa iz područja radnih odnosa.</w:t>
      </w:r>
    </w:p>
    <w:p w14:paraId="4C114D98" w14:textId="77777777" w:rsidR="00816216" w:rsidRDefault="00816216" w:rsidP="00816216"/>
    <w:p w14:paraId="55D2009A" w14:textId="288C1C42" w:rsidR="00816216" w:rsidRDefault="00816216">
      <w:pPr>
        <w:rPr>
          <w:rFonts w:ascii="Times New Roman" w:eastAsia="Times New Roman" w:hAnsi="Times New Roman" w:cs="Times New Roman"/>
          <w:sz w:val="24"/>
          <w:szCs w:val="24"/>
          <w:lang w:eastAsia="hr-HR"/>
        </w:rPr>
      </w:pPr>
      <w:r>
        <w:br w:type="page"/>
      </w:r>
    </w:p>
    <w:p w14:paraId="78EC397B" w14:textId="77777777" w:rsidR="00816216" w:rsidRPr="0040647B" w:rsidRDefault="00816216" w:rsidP="00816216">
      <w:pPr>
        <w:spacing w:after="0" w:line="240" w:lineRule="auto"/>
        <w:jc w:val="both"/>
        <w:rPr>
          <w:rFonts w:ascii="Times New Roman" w:eastAsia="Calibri" w:hAnsi="Times New Roman" w:cs="Times New Roman"/>
          <w:b/>
          <w:bCs/>
          <w:sz w:val="24"/>
          <w:szCs w:val="24"/>
          <w:u w:val="single"/>
        </w:rPr>
      </w:pPr>
      <w:r w:rsidRPr="0040647B">
        <w:rPr>
          <w:rFonts w:ascii="Times New Roman" w:eastAsia="Calibri" w:hAnsi="Times New Roman" w:cs="Times New Roman"/>
          <w:b/>
          <w:bCs/>
          <w:sz w:val="24"/>
          <w:szCs w:val="24"/>
          <w:u w:val="single"/>
        </w:rPr>
        <w:lastRenderedPageBreak/>
        <w:t>Prilog 40</w:t>
      </w:r>
    </w:p>
    <w:p w14:paraId="1966144E" w14:textId="77777777" w:rsidR="00816216" w:rsidRDefault="00816216" w:rsidP="00816216">
      <w:pPr>
        <w:spacing w:after="0" w:line="240" w:lineRule="auto"/>
        <w:jc w:val="both"/>
        <w:rPr>
          <w:rFonts w:ascii="Times New Roman" w:eastAsia="Calibri" w:hAnsi="Times New Roman" w:cs="Times New Roman"/>
          <w:sz w:val="24"/>
          <w:szCs w:val="24"/>
        </w:rPr>
      </w:pPr>
    </w:p>
    <w:p w14:paraId="7C25A81C" w14:textId="77777777" w:rsidR="00816216" w:rsidRPr="00E278B8" w:rsidRDefault="00816216" w:rsidP="00816216">
      <w:pPr>
        <w:spacing w:after="0" w:line="240" w:lineRule="auto"/>
        <w:jc w:val="both"/>
        <w:rPr>
          <w:rFonts w:ascii="Times New Roman" w:eastAsia="Calibri" w:hAnsi="Times New Roman" w:cs="Times New Roman"/>
          <w:b/>
          <w:bCs/>
          <w:sz w:val="24"/>
          <w:szCs w:val="24"/>
        </w:rPr>
      </w:pPr>
    </w:p>
    <w:p w14:paraId="4BAF27B7" w14:textId="77777777" w:rsidR="00816216" w:rsidRPr="00E278B8" w:rsidRDefault="00816216" w:rsidP="00816216">
      <w:pPr>
        <w:spacing w:after="0" w:line="240" w:lineRule="auto"/>
        <w:jc w:val="center"/>
        <w:rPr>
          <w:rFonts w:ascii="Times New Roman" w:eastAsia="Calibri" w:hAnsi="Times New Roman" w:cs="Times New Roman"/>
          <w:b/>
          <w:bCs/>
          <w:sz w:val="24"/>
          <w:szCs w:val="24"/>
        </w:rPr>
      </w:pPr>
      <w:r w:rsidRPr="00E278B8">
        <w:rPr>
          <w:rFonts w:ascii="Times New Roman" w:eastAsia="Calibri" w:hAnsi="Times New Roman" w:cs="Times New Roman"/>
          <w:b/>
          <w:bCs/>
          <w:sz w:val="24"/>
          <w:szCs w:val="24"/>
        </w:rPr>
        <w:t>PROVEDBA MJERA JLP(R)S USMJERENIH NA OSIGURANJE PRAVA OSOBA S INVALIDITETOM ZA SUDJELOVANJE U POLITIČKOM I JAVNOM ŽIVOTU</w:t>
      </w:r>
    </w:p>
    <w:p w14:paraId="199386E7" w14:textId="77777777" w:rsidR="00816216" w:rsidRDefault="00816216" w:rsidP="00816216">
      <w:pPr>
        <w:spacing w:after="0" w:line="240" w:lineRule="auto"/>
        <w:jc w:val="both"/>
        <w:rPr>
          <w:rFonts w:ascii="Times New Roman" w:eastAsia="Calibri" w:hAnsi="Times New Roman" w:cs="Times New Roman"/>
          <w:sz w:val="24"/>
          <w:szCs w:val="24"/>
        </w:rPr>
      </w:pPr>
    </w:p>
    <w:p w14:paraId="4BAB0337" w14:textId="77777777" w:rsidR="00816216" w:rsidRDefault="00816216" w:rsidP="00816216">
      <w:pPr>
        <w:spacing w:after="0" w:line="240" w:lineRule="auto"/>
        <w:jc w:val="both"/>
        <w:rPr>
          <w:rFonts w:ascii="Times New Roman" w:eastAsia="Calibri" w:hAnsi="Times New Roman" w:cs="Times New Roman"/>
          <w:sz w:val="24"/>
          <w:szCs w:val="24"/>
        </w:rPr>
      </w:pPr>
      <w:r w:rsidRPr="00962195">
        <w:rPr>
          <w:rFonts w:ascii="Times New Roman" w:eastAsia="Calibri" w:hAnsi="Times New Roman" w:cs="Times New Roman"/>
          <w:sz w:val="24"/>
          <w:szCs w:val="24"/>
        </w:rPr>
        <w:t xml:space="preserve">U odnosu na 2015. godinu kada je veliki broj JLP(R)S prijavljivao nedostatnu dostupnost temeljnih dokumenata potrebnih za sudjelovanje u političkom životu, u sljedećim izvještajnim razdobljima većina je JLP(R)S prijavila upravo ovu mjeru kao najčešće poduzetu aktivnost za jamčenje prava osoba s invaliditetom na sudjelovanje u političkom i javnom životu. </w:t>
      </w:r>
    </w:p>
    <w:p w14:paraId="7AA730C4" w14:textId="77777777" w:rsidR="00816216" w:rsidRDefault="00816216" w:rsidP="00816216">
      <w:pPr>
        <w:spacing w:after="0" w:line="240" w:lineRule="auto"/>
        <w:jc w:val="both"/>
        <w:rPr>
          <w:rFonts w:ascii="Times New Roman" w:eastAsia="Calibri" w:hAnsi="Times New Roman" w:cs="Times New Roman"/>
          <w:sz w:val="24"/>
          <w:szCs w:val="24"/>
        </w:rPr>
      </w:pPr>
      <w:r w:rsidRPr="00962195">
        <w:rPr>
          <w:rFonts w:ascii="Times New Roman" w:eastAsia="Calibri" w:hAnsi="Times New Roman" w:cs="Times New Roman"/>
          <w:sz w:val="24"/>
          <w:szCs w:val="24"/>
        </w:rPr>
        <w:t xml:space="preserve">Povećavši dostupnost temeljnih političkih akata i dokumenata te objavom istih na web stranicama u pisanom i audio-vizualnom obliku izravno se utjecalo na povećanje mogućnosti osoba s invaliditetom za obnašanje dužnosti u predstavničkim i izvršnim tijelima JLP(R)S. Jedan od vidljivih rezultata provedbe mjere je participiranje osoba s invaliditetom u izvršnim i predstavničkim tijelima u 36 jedinica lokalne samouprave na području 9 regionalnih (područnih) jedinica u 2018. godini. </w:t>
      </w:r>
    </w:p>
    <w:p w14:paraId="7B06BC98" w14:textId="77777777" w:rsidR="00816216" w:rsidRDefault="00816216" w:rsidP="00816216">
      <w:pPr>
        <w:spacing w:after="0" w:line="240" w:lineRule="auto"/>
        <w:jc w:val="both"/>
        <w:rPr>
          <w:rFonts w:ascii="Times New Roman" w:eastAsia="Calibri" w:hAnsi="Times New Roman" w:cs="Times New Roman"/>
          <w:sz w:val="24"/>
          <w:szCs w:val="24"/>
        </w:rPr>
      </w:pPr>
      <w:r w:rsidRPr="00962195">
        <w:rPr>
          <w:rFonts w:ascii="Times New Roman" w:eastAsia="Calibri" w:hAnsi="Times New Roman" w:cs="Times New Roman"/>
          <w:sz w:val="24"/>
          <w:szCs w:val="24"/>
        </w:rPr>
        <w:t xml:space="preserve">Od ostalih aktivnosti JLP(R)S su najčešće navodile nabavljanje tehničke opreme poput </w:t>
      </w:r>
      <w:proofErr w:type="spellStart"/>
      <w:r w:rsidRPr="00962195">
        <w:rPr>
          <w:rFonts w:ascii="Times New Roman" w:eastAsia="Calibri" w:hAnsi="Times New Roman" w:cs="Times New Roman"/>
          <w:sz w:val="24"/>
          <w:szCs w:val="24"/>
        </w:rPr>
        <w:t>scannera</w:t>
      </w:r>
      <w:proofErr w:type="spellEnd"/>
      <w:r w:rsidRPr="00962195">
        <w:rPr>
          <w:rFonts w:ascii="Times New Roman" w:eastAsia="Calibri" w:hAnsi="Times New Roman" w:cs="Times New Roman"/>
          <w:sz w:val="24"/>
          <w:szCs w:val="24"/>
        </w:rPr>
        <w:t xml:space="preserve"> i pisača na </w:t>
      </w:r>
      <w:proofErr w:type="spellStart"/>
      <w:r w:rsidRPr="00962195">
        <w:rPr>
          <w:rFonts w:ascii="Times New Roman" w:eastAsia="Calibri" w:hAnsi="Times New Roman" w:cs="Times New Roman"/>
          <w:sz w:val="24"/>
          <w:szCs w:val="24"/>
        </w:rPr>
        <w:t>Braillovom</w:t>
      </w:r>
      <w:proofErr w:type="spellEnd"/>
      <w:r w:rsidRPr="00962195">
        <w:rPr>
          <w:rFonts w:ascii="Times New Roman" w:eastAsia="Calibri" w:hAnsi="Times New Roman" w:cs="Times New Roman"/>
          <w:sz w:val="24"/>
          <w:szCs w:val="24"/>
        </w:rPr>
        <w:t xml:space="preserve"> pismu, prilagodbu ulaza u prostorije županija, gradova i općina, prilagodbu drugih infrastrukturnih javnih površina te financiranje rada </w:t>
      </w:r>
      <w:r>
        <w:rPr>
          <w:rFonts w:ascii="Times New Roman" w:eastAsia="Calibri" w:hAnsi="Times New Roman" w:cs="Times New Roman"/>
          <w:sz w:val="24"/>
          <w:szCs w:val="24"/>
        </w:rPr>
        <w:t>udruga osoba s invaliditetom.</w:t>
      </w:r>
    </w:p>
    <w:p w14:paraId="4C7E1AEA" w14:textId="77777777" w:rsidR="00816216" w:rsidRDefault="00816216" w:rsidP="00816216">
      <w:pPr>
        <w:spacing w:after="0" w:line="240" w:lineRule="auto"/>
        <w:jc w:val="both"/>
        <w:rPr>
          <w:rFonts w:ascii="Times New Roman" w:eastAsia="Calibri" w:hAnsi="Times New Roman" w:cs="Times New Roman"/>
          <w:sz w:val="24"/>
          <w:szCs w:val="24"/>
        </w:rPr>
      </w:pPr>
      <w:r w:rsidRPr="00962195">
        <w:rPr>
          <w:rFonts w:ascii="Times New Roman" w:eastAsia="Calibri" w:hAnsi="Times New Roman" w:cs="Times New Roman"/>
          <w:sz w:val="24"/>
          <w:szCs w:val="24"/>
        </w:rPr>
        <w:t>Također, u 2018. godini prijavljeno je povećanje broja projekata sufinanciranih sredstvima fondova EU čiji je cilj promicanje prava i mogućnosti osoba s invaliditetom, kao i senzibiliziranje cjelokupne javnosti o istom, uključujući i promicanje pristupačnosti svih područja javnog i političkog života.</w:t>
      </w:r>
    </w:p>
    <w:p w14:paraId="1CDB5B0D" w14:textId="77777777" w:rsidR="00816216" w:rsidRPr="00962195" w:rsidRDefault="00816216" w:rsidP="00816216">
      <w:pPr>
        <w:spacing w:after="0" w:line="240" w:lineRule="auto"/>
        <w:jc w:val="both"/>
        <w:rPr>
          <w:rFonts w:ascii="Times New Roman" w:eastAsia="Times New Roman" w:hAnsi="Times New Roman" w:cs="Times New Roman"/>
          <w:sz w:val="24"/>
          <w:szCs w:val="24"/>
        </w:rPr>
      </w:pPr>
      <w:r w:rsidRPr="00962195">
        <w:rPr>
          <w:rFonts w:ascii="Times New Roman" w:eastAsia="Calibri" w:hAnsi="Times New Roman" w:cs="Times New Roman"/>
          <w:sz w:val="24"/>
          <w:szCs w:val="24"/>
        </w:rPr>
        <w:t>Temeljem dostavljenih podataka utvrđen je pad usvojenih strateških dokumenata za osobe s invaliditetom na lokalnoj i regionalnoj razini u 2018. godini, no sve su JLP(R)S izrazile iznimnu spremnost na provođenje mjera i aktivnosti iz Nacionalne strategije 2017.</w:t>
      </w:r>
      <w:r>
        <w:rPr>
          <w:rFonts w:ascii="Times New Roman" w:eastAsia="Calibri" w:hAnsi="Times New Roman" w:cs="Times New Roman"/>
          <w:sz w:val="24"/>
          <w:szCs w:val="24"/>
        </w:rPr>
        <w:t>-</w:t>
      </w:r>
      <w:r w:rsidRPr="00962195">
        <w:rPr>
          <w:rFonts w:ascii="Times New Roman" w:eastAsia="Calibri" w:hAnsi="Times New Roman" w:cs="Times New Roman"/>
          <w:sz w:val="24"/>
          <w:szCs w:val="24"/>
        </w:rPr>
        <w:t>2020. godine, kao i dodatnih aktivnosti za osiguranje uključenosti osoba s invaliditetom u politički i javni život ukoliko se za to pokaže interes i potreba.</w:t>
      </w:r>
    </w:p>
    <w:p w14:paraId="2640C59C" w14:textId="77777777" w:rsidR="00816216" w:rsidRDefault="00816216" w:rsidP="00816216"/>
    <w:p w14:paraId="2224CD7F" w14:textId="43F925C0" w:rsidR="00816216" w:rsidRDefault="00816216">
      <w:pPr>
        <w:rPr>
          <w:rFonts w:ascii="Times New Roman" w:eastAsia="Times New Roman" w:hAnsi="Times New Roman" w:cs="Times New Roman"/>
          <w:sz w:val="24"/>
          <w:szCs w:val="24"/>
          <w:lang w:eastAsia="hr-HR"/>
        </w:rPr>
      </w:pPr>
      <w:r>
        <w:br w:type="page"/>
      </w:r>
    </w:p>
    <w:p w14:paraId="112CFE22" w14:textId="77777777" w:rsidR="00816216" w:rsidRPr="00816216" w:rsidRDefault="00816216" w:rsidP="00816216">
      <w:pPr>
        <w:widowControl w:val="0"/>
        <w:snapToGrid w:val="0"/>
        <w:jc w:val="both"/>
        <w:rPr>
          <w:rFonts w:ascii="Times New Roman" w:hAnsi="Times New Roman" w:cs="Times New Roman"/>
          <w:b/>
          <w:bCs/>
          <w:sz w:val="24"/>
          <w:szCs w:val="24"/>
          <w:u w:val="single"/>
        </w:rPr>
      </w:pPr>
      <w:r w:rsidRPr="00816216">
        <w:rPr>
          <w:rFonts w:ascii="Times New Roman" w:hAnsi="Times New Roman" w:cs="Times New Roman"/>
          <w:b/>
          <w:bCs/>
          <w:sz w:val="24"/>
          <w:szCs w:val="24"/>
          <w:u w:val="single"/>
        </w:rPr>
        <w:lastRenderedPageBreak/>
        <w:t>Prilog 41</w:t>
      </w:r>
    </w:p>
    <w:p w14:paraId="4C8D2D71" w14:textId="77777777" w:rsidR="00816216" w:rsidRPr="00816216" w:rsidRDefault="00816216" w:rsidP="00816216">
      <w:pPr>
        <w:widowControl w:val="0"/>
        <w:snapToGrid w:val="0"/>
        <w:jc w:val="both"/>
        <w:rPr>
          <w:rFonts w:ascii="Times New Roman" w:hAnsi="Times New Roman" w:cs="Times New Roman"/>
          <w:b/>
          <w:bCs/>
          <w:sz w:val="24"/>
          <w:szCs w:val="24"/>
          <w:u w:val="single"/>
        </w:rPr>
      </w:pPr>
    </w:p>
    <w:p w14:paraId="5F153585" w14:textId="77777777" w:rsidR="00816216" w:rsidRPr="00816216" w:rsidRDefault="00816216" w:rsidP="00816216">
      <w:pPr>
        <w:widowControl w:val="0"/>
        <w:snapToGrid w:val="0"/>
        <w:jc w:val="center"/>
        <w:rPr>
          <w:rFonts w:ascii="Times New Roman" w:hAnsi="Times New Roman" w:cs="Times New Roman"/>
          <w:b/>
          <w:bCs/>
          <w:sz w:val="24"/>
          <w:szCs w:val="24"/>
        </w:rPr>
      </w:pPr>
      <w:r w:rsidRPr="00816216">
        <w:rPr>
          <w:rFonts w:ascii="Times New Roman" w:hAnsi="Times New Roman" w:cs="Times New Roman"/>
          <w:b/>
          <w:bCs/>
          <w:sz w:val="24"/>
          <w:szCs w:val="24"/>
        </w:rPr>
        <w:t>URED ZA LJUDSKA PRAVA I PRAVA NACIONALNIH MANJINA VRH  – FINANCIRANJE PROJEKATA</w:t>
      </w:r>
    </w:p>
    <w:p w14:paraId="309DDC3F" w14:textId="77777777" w:rsidR="00816216" w:rsidRPr="00816216" w:rsidRDefault="00816216" w:rsidP="00816216">
      <w:pPr>
        <w:widowControl w:val="0"/>
        <w:snapToGrid w:val="0"/>
        <w:jc w:val="both"/>
        <w:rPr>
          <w:rFonts w:ascii="Times New Roman" w:hAnsi="Times New Roman" w:cs="Times New Roman"/>
          <w:sz w:val="24"/>
          <w:szCs w:val="24"/>
        </w:rPr>
      </w:pPr>
      <w:r w:rsidRPr="00816216">
        <w:rPr>
          <w:rFonts w:ascii="Times New Roman" w:hAnsi="Times New Roman" w:cs="Times New Roman"/>
          <w:sz w:val="24"/>
          <w:szCs w:val="24"/>
        </w:rPr>
        <w:t xml:space="preserve">2015. </w:t>
      </w:r>
    </w:p>
    <w:p w14:paraId="33171A2E" w14:textId="77777777" w:rsidR="00816216" w:rsidRPr="00816216" w:rsidRDefault="00816216" w:rsidP="00816216">
      <w:pPr>
        <w:widowControl w:val="0"/>
        <w:snapToGrid w:val="0"/>
        <w:jc w:val="both"/>
        <w:rPr>
          <w:rFonts w:ascii="Times New Roman" w:hAnsi="Times New Roman" w:cs="Times New Roman"/>
          <w:sz w:val="24"/>
          <w:szCs w:val="24"/>
        </w:rPr>
      </w:pPr>
    </w:p>
    <w:tbl>
      <w:tblPr>
        <w:tblW w:w="5000" w:type="pct"/>
        <w:tblBorders>
          <w:top w:val="single" w:sz="8" w:space="0" w:color="000000"/>
          <w:left w:val="single" w:sz="8" w:space="0" w:color="000000"/>
          <w:bottom w:val="single" w:sz="8" w:space="0" w:color="000000"/>
          <w:right w:val="single" w:sz="8" w:space="0" w:color="000000"/>
        </w:tblBorders>
        <w:tblCellMar>
          <w:top w:w="15" w:type="dxa"/>
          <w:left w:w="15" w:type="dxa"/>
          <w:bottom w:w="15" w:type="dxa"/>
          <w:right w:w="15" w:type="dxa"/>
        </w:tblCellMar>
        <w:tblLook w:val="04A0" w:firstRow="1" w:lastRow="0" w:firstColumn="1" w:lastColumn="0" w:noHBand="0" w:noVBand="1"/>
      </w:tblPr>
      <w:tblGrid>
        <w:gridCol w:w="303"/>
        <w:gridCol w:w="3939"/>
        <w:gridCol w:w="2819"/>
        <w:gridCol w:w="1991"/>
      </w:tblGrid>
      <w:tr w:rsidR="00816216" w:rsidRPr="00816216" w14:paraId="624783B7" w14:textId="77777777" w:rsidTr="00816216">
        <w:trPr>
          <w:trHeight w:val="380"/>
        </w:trPr>
        <w:tc>
          <w:tcPr>
            <w:tcW w:w="167" w:type="pc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hideMark/>
          </w:tcPr>
          <w:p w14:paraId="18542085" w14:textId="77777777" w:rsidR="00816216" w:rsidRPr="00816216" w:rsidRDefault="00816216" w:rsidP="00816216">
            <w:pPr>
              <w:widowControl w:val="0"/>
              <w:snapToGrid w:val="0"/>
              <w:rPr>
                <w:rFonts w:ascii="Times New Roman" w:hAnsi="Times New Roman" w:cs="Times New Roman"/>
                <w:sz w:val="24"/>
                <w:szCs w:val="24"/>
              </w:rPr>
            </w:pPr>
            <w:r w:rsidRPr="00816216">
              <w:rPr>
                <w:rFonts w:ascii="Times New Roman" w:hAnsi="Times New Roman" w:cs="Times New Roman"/>
                <w:sz w:val="24"/>
                <w:szCs w:val="24"/>
              </w:rPr>
              <w:t>1.</w:t>
            </w:r>
          </w:p>
        </w:tc>
        <w:tc>
          <w:tcPr>
            <w:tcW w:w="2176" w:type="pc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hideMark/>
          </w:tcPr>
          <w:p w14:paraId="6E703E91" w14:textId="77777777" w:rsidR="00816216" w:rsidRPr="00816216" w:rsidRDefault="00816216" w:rsidP="00816216">
            <w:pPr>
              <w:widowControl w:val="0"/>
              <w:snapToGrid w:val="0"/>
              <w:rPr>
                <w:rFonts w:ascii="Times New Roman" w:hAnsi="Times New Roman" w:cs="Times New Roman"/>
                <w:sz w:val="24"/>
                <w:szCs w:val="24"/>
              </w:rPr>
            </w:pPr>
            <w:r w:rsidRPr="00816216">
              <w:rPr>
                <w:rFonts w:ascii="Times New Roman" w:hAnsi="Times New Roman" w:cs="Times New Roman"/>
                <w:sz w:val="24"/>
                <w:szCs w:val="24"/>
              </w:rPr>
              <w:t>UDRUGA OSOBA SA CEREBRALNOM PARALIZOM "SRCE"  SPLIT</w:t>
            </w:r>
          </w:p>
        </w:tc>
        <w:tc>
          <w:tcPr>
            <w:tcW w:w="1557" w:type="pc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hideMark/>
          </w:tcPr>
          <w:p w14:paraId="631D3FFA" w14:textId="77777777" w:rsidR="00816216" w:rsidRPr="00816216" w:rsidRDefault="00816216" w:rsidP="00816216">
            <w:pPr>
              <w:widowControl w:val="0"/>
              <w:snapToGrid w:val="0"/>
              <w:rPr>
                <w:rFonts w:ascii="Times New Roman" w:hAnsi="Times New Roman" w:cs="Times New Roman"/>
                <w:sz w:val="24"/>
                <w:szCs w:val="24"/>
              </w:rPr>
            </w:pPr>
            <w:r w:rsidRPr="00816216">
              <w:rPr>
                <w:rFonts w:ascii="Times New Roman" w:hAnsi="Times New Roman" w:cs="Times New Roman"/>
                <w:sz w:val="24"/>
                <w:szCs w:val="24"/>
              </w:rPr>
              <w:t xml:space="preserve">Korak po korak do vidljivosti </w:t>
            </w:r>
          </w:p>
        </w:tc>
        <w:tc>
          <w:tcPr>
            <w:tcW w:w="1100" w:type="pc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hideMark/>
          </w:tcPr>
          <w:p w14:paraId="742C4B09" w14:textId="77777777" w:rsidR="00816216" w:rsidRPr="00816216" w:rsidRDefault="00816216" w:rsidP="00816216">
            <w:pPr>
              <w:widowControl w:val="0"/>
              <w:snapToGrid w:val="0"/>
              <w:rPr>
                <w:rFonts w:ascii="Times New Roman" w:hAnsi="Times New Roman" w:cs="Times New Roman"/>
                <w:sz w:val="24"/>
                <w:szCs w:val="24"/>
              </w:rPr>
            </w:pPr>
            <w:r w:rsidRPr="00816216">
              <w:rPr>
                <w:rFonts w:ascii="Times New Roman" w:hAnsi="Times New Roman" w:cs="Times New Roman"/>
                <w:sz w:val="24"/>
                <w:szCs w:val="24"/>
              </w:rPr>
              <w:t>25.000,00 kn</w:t>
            </w:r>
            <w:r w:rsidRPr="00816216">
              <w:rPr>
                <w:rFonts w:ascii="Times New Roman" w:hAnsi="Times New Roman" w:cs="Times New Roman"/>
                <w:sz w:val="24"/>
                <w:szCs w:val="24"/>
              </w:rPr>
              <w:br/>
            </w:r>
            <w:r w:rsidRPr="00816216">
              <w:rPr>
                <w:rFonts w:ascii="Times New Roman" w:hAnsi="Times New Roman" w:cs="Times New Roman"/>
                <w:sz w:val="24"/>
                <w:szCs w:val="24"/>
              </w:rPr>
              <w:br/>
            </w:r>
            <w:r w:rsidRPr="00816216">
              <w:rPr>
                <w:rFonts w:ascii="Times New Roman" w:hAnsi="Times New Roman" w:cs="Times New Roman"/>
                <w:b/>
                <w:bCs/>
                <w:sz w:val="24"/>
                <w:szCs w:val="24"/>
              </w:rPr>
              <w:t> </w:t>
            </w:r>
          </w:p>
        </w:tc>
      </w:tr>
      <w:tr w:rsidR="00816216" w:rsidRPr="00816216" w14:paraId="5C031675" w14:textId="77777777" w:rsidTr="00816216">
        <w:trPr>
          <w:trHeight w:val="380"/>
        </w:trPr>
        <w:tc>
          <w:tcPr>
            <w:tcW w:w="167" w:type="pc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hideMark/>
          </w:tcPr>
          <w:p w14:paraId="6C94EF99" w14:textId="77777777" w:rsidR="00816216" w:rsidRPr="00816216" w:rsidRDefault="00816216" w:rsidP="00816216">
            <w:pPr>
              <w:widowControl w:val="0"/>
              <w:snapToGrid w:val="0"/>
              <w:rPr>
                <w:rFonts w:ascii="Times New Roman" w:hAnsi="Times New Roman" w:cs="Times New Roman"/>
                <w:sz w:val="24"/>
                <w:szCs w:val="24"/>
              </w:rPr>
            </w:pPr>
            <w:r w:rsidRPr="00816216">
              <w:rPr>
                <w:rFonts w:ascii="Times New Roman" w:hAnsi="Times New Roman" w:cs="Times New Roman"/>
                <w:sz w:val="24"/>
                <w:szCs w:val="24"/>
              </w:rPr>
              <w:t>2.</w:t>
            </w:r>
          </w:p>
        </w:tc>
        <w:tc>
          <w:tcPr>
            <w:tcW w:w="2176" w:type="pc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hideMark/>
          </w:tcPr>
          <w:p w14:paraId="28B8C4E8" w14:textId="77777777" w:rsidR="00816216" w:rsidRPr="00816216" w:rsidRDefault="00816216" w:rsidP="00816216">
            <w:pPr>
              <w:widowControl w:val="0"/>
              <w:snapToGrid w:val="0"/>
              <w:rPr>
                <w:rFonts w:ascii="Times New Roman" w:hAnsi="Times New Roman" w:cs="Times New Roman"/>
                <w:sz w:val="24"/>
                <w:szCs w:val="24"/>
              </w:rPr>
            </w:pPr>
            <w:r w:rsidRPr="00816216">
              <w:rPr>
                <w:rFonts w:ascii="Times New Roman" w:hAnsi="Times New Roman" w:cs="Times New Roman"/>
                <w:sz w:val="24"/>
                <w:szCs w:val="24"/>
              </w:rPr>
              <w:t>UDRUGA OSOBA S INVALIDITETOM SLAVONSKI BROD "LOCO - MOTO"</w:t>
            </w:r>
          </w:p>
        </w:tc>
        <w:tc>
          <w:tcPr>
            <w:tcW w:w="1557" w:type="pc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hideMark/>
          </w:tcPr>
          <w:p w14:paraId="5366C9BA" w14:textId="77777777" w:rsidR="00816216" w:rsidRPr="00816216" w:rsidRDefault="00816216" w:rsidP="00816216">
            <w:pPr>
              <w:widowControl w:val="0"/>
              <w:snapToGrid w:val="0"/>
              <w:rPr>
                <w:rFonts w:ascii="Times New Roman" w:hAnsi="Times New Roman" w:cs="Times New Roman"/>
                <w:sz w:val="24"/>
                <w:szCs w:val="24"/>
              </w:rPr>
            </w:pPr>
            <w:r w:rsidRPr="00816216">
              <w:rPr>
                <w:rFonts w:ascii="Times New Roman" w:hAnsi="Times New Roman" w:cs="Times New Roman"/>
                <w:sz w:val="24"/>
                <w:szCs w:val="24"/>
              </w:rPr>
              <w:t>Znanje se množi dijeljenjem</w:t>
            </w:r>
          </w:p>
        </w:tc>
        <w:tc>
          <w:tcPr>
            <w:tcW w:w="1100" w:type="pc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hideMark/>
          </w:tcPr>
          <w:p w14:paraId="2955CF6B" w14:textId="77777777" w:rsidR="00816216" w:rsidRPr="00816216" w:rsidRDefault="00816216" w:rsidP="00816216">
            <w:pPr>
              <w:widowControl w:val="0"/>
              <w:snapToGrid w:val="0"/>
              <w:rPr>
                <w:rFonts w:ascii="Times New Roman" w:hAnsi="Times New Roman" w:cs="Times New Roman"/>
                <w:sz w:val="24"/>
                <w:szCs w:val="24"/>
              </w:rPr>
            </w:pPr>
            <w:r w:rsidRPr="00816216">
              <w:rPr>
                <w:rFonts w:ascii="Times New Roman" w:hAnsi="Times New Roman" w:cs="Times New Roman"/>
                <w:sz w:val="24"/>
                <w:szCs w:val="24"/>
              </w:rPr>
              <w:t>20.000,00 kn</w:t>
            </w:r>
            <w:r w:rsidRPr="00816216">
              <w:rPr>
                <w:rFonts w:ascii="Times New Roman" w:hAnsi="Times New Roman" w:cs="Times New Roman"/>
                <w:sz w:val="24"/>
                <w:szCs w:val="24"/>
              </w:rPr>
              <w:br/>
            </w:r>
            <w:r w:rsidRPr="00816216">
              <w:rPr>
                <w:rFonts w:ascii="Times New Roman" w:hAnsi="Times New Roman" w:cs="Times New Roman"/>
                <w:sz w:val="24"/>
                <w:szCs w:val="24"/>
              </w:rPr>
              <w:br/>
            </w:r>
            <w:r w:rsidRPr="00816216">
              <w:rPr>
                <w:rFonts w:ascii="Times New Roman" w:hAnsi="Times New Roman" w:cs="Times New Roman"/>
                <w:b/>
                <w:bCs/>
                <w:sz w:val="24"/>
                <w:szCs w:val="24"/>
              </w:rPr>
              <w:t> </w:t>
            </w:r>
          </w:p>
        </w:tc>
      </w:tr>
    </w:tbl>
    <w:p w14:paraId="7D81777E" w14:textId="77777777" w:rsidR="00816216" w:rsidRPr="00816216" w:rsidRDefault="00816216" w:rsidP="00816216">
      <w:pPr>
        <w:widowControl w:val="0"/>
        <w:snapToGrid w:val="0"/>
        <w:rPr>
          <w:rFonts w:ascii="Times New Roman" w:hAnsi="Times New Roman" w:cs="Times New Roman"/>
          <w:sz w:val="24"/>
          <w:szCs w:val="24"/>
        </w:rPr>
      </w:pPr>
    </w:p>
    <w:p w14:paraId="6AD219AD" w14:textId="77777777" w:rsidR="00816216" w:rsidRPr="00816216" w:rsidRDefault="00816216" w:rsidP="00816216">
      <w:pPr>
        <w:widowControl w:val="0"/>
        <w:snapToGrid w:val="0"/>
        <w:rPr>
          <w:rFonts w:ascii="Times New Roman" w:hAnsi="Times New Roman" w:cs="Times New Roman"/>
          <w:sz w:val="24"/>
          <w:szCs w:val="24"/>
        </w:rPr>
      </w:pPr>
      <w:r w:rsidRPr="00816216">
        <w:rPr>
          <w:rFonts w:ascii="Times New Roman" w:hAnsi="Times New Roman" w:cs="Times New Roman"/>
          <w:sz w:val="24"/>
          <w:szCs w:val="24"/>
        </w:rPr>
        <w:t xml:space="preserve">2017. </w:t>
      </w:r>
    </w:p>
    <w:tbl>
      <w:tblPr>
        <w:tblW w:w="5000" w:type="pct"/>
        <w:tblBorders>
          <w:top w:val="single" w:sz="8" w:space="0" w:color="000000"/>
          <w:left w:val="single" w:sz="8" w:space="0" w:color="000000"/>
          <w:bottom w:val="single" w:sz="8" w:space="0" w:color="000000"/>
          <w:right w:val="single" w:sz="8" w:space="0" w:color="000000"/>
        </w:tblBorders>
        <w:tblCellMar>
          <w:top w:w="15" w:type="dxa"/>
          <w:left w:w="15" w:type="dxa"/>
          <w:bottom w:w="15" w:type="dxa"/>
          <w:right w:w="15" w:type="dxa"/>
        </w:tblCellMar>
        <w:tblLook w:val="04A0" w:firstRow="1" w:lastRow="0" w:firstColumn="1" w:lastColumn="0" w:noHBand="0" w:noVBand="1"/>
      </w:tblPr>
      <w:tblGrid>
        <w:gridCol w:w="4246"/>
        <w:gridCol w:w="2833"/>
        <w:gridCol w:w="1973"/>
      </w:tblGrid>
      <w:tr w:rsidR="00816216" w:rsidRPr="00816216" w14:paraId="3F3B1024" w14:textId="77777777" w:rsidTr="00816216">
        <w:trPr>
          <w:trHeight w:val="380"/>
        </w:trPr>
        <w:tc>
          <w:tcPr>
            <w:tcW w:w="2345" w:type="pc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0A08BEB" w14:textId="77777777" w:rsidR="00816216" w:rsidRPr="00816216" w:rsidRDefault="00816216" w:rsidP="00816216">
            <w:pPr>
              <w:widowControl w:val="0"/>
              <w:snapToGrid w:val="0"/>
              <w:rPr>
                <w:rFonts w:ascii="Times New Roman" w:hAnsi="Times New Roman" w:cs="Times New Roman"/>
                <w:sz w:val="24"/>
                <w:szCs w:val="24"/>
              </w:rPr>
            </w:pPr>
            <w:r w:rsidRPr="00816216">
              <w:rPr>
                <w:rFonts w:ascii="Times New Roman" w:hAnsi="Times New Roman" w:cs="Times New Roman"/>
                <w:sz w:val="24"/>
                <w:szCs w:val="24"/>
              </w:rPr>
              <w:t>ZAJEDNICA SAVEZA OSOBA S INVALIDITETOM HRVATSKE – SOIH</w:t>
            </w:r>
          </w:p>
          <w:p w14:paraId="0A249D54" w14:textId="77777777" w:rsidR="00816216" w:rsidRPr="00816216" w:rsidRDefault="00816216" w:rsidP="00816216">
            <w:pPr>
              <w:widowControl w:val="0"/>
              <w:snapToGrid w:val="0"/>
              <w:rPr>
                <w:rFonts w:ascii="Times New Roman" w:hAnsi="Times New Roman" w:cs="Times New Roman"/>
                <w:sz w:val="24"/>
                <w:szCs w:val="24"/>
              </w:rPr>
            </w:pPr>
            <w:r w:rsidRPr="00816216">
              <w:rPr>
                <w:rFonts w:ascii="Times New Roman" w:hAnsi="Times New Roman" w:cs="Times New Roman"/>
                <w:i/>
                <w:iCs/>
                <w:sz w:val="24"/>
                <w:szCs w:val="24"/>
              </w:rPr>
              <w:t>Zagreb</w:t>
            </w:r>
          </w:p>
        </w:tc>
        <w:tc>
          <w:tcPr>
            <w:tcW w:w="1565" w:type="pc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9B442A8" w14:textId="77777777" w:rsidR="00816216" w:rsidRPr="00816216" w:rsidRDefault="00816216" w:rsidP="00816216">
            <w:pPr>
              <w:widowControl w:val="0"/>
              <w:snapToGrid w:val="0"/>
              <w:rPr>
                <w:rFonts w:ascii="Times New Roman" w:hAnsi="Times New Roman" w:cs="Times New Roman"/>
                <w:sz w:val="24"/>
                <w:szCs w:val="24"/>
              </w:rPr>
            </w:pPr>
            <w:r w:rsidRPr="00816216">
              <w:rPr>
                <w:rFonts w:ascii="Times New Roman" w:hAnsi="Times New Roman" w:cs="Times New Roman"/>
                <w:sz w:val="24"/>
                <w:szCs w:val="24"/>
              </w:rPr>
              <w:t>Naš glas</w:t>
            </w:r>
          </w:p>
        </w:tc>
        <w:tc>
          <w:tcPr>
            <w:tcW w:w="1090" w:type="pc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hideMark/>
          </w:tcPr>
          <w:p w14:paraId="536E0823" w14:textId="77777777" w:rsidR="00816216" w:rsidRPr="00816216" w:rsidRDefault="00816216" w:rsidP="00816216">
            <w:pPr>
              <w:widowControl w:val="0"/>
              <w:snapToGrid w:val="0"/>
              <w:rPr>
                <w:rFonts w:ascii="Times New Roman" w:hAnsi="Times New Roman" w:cs="Times New Roman"/>
                <w:sz w:val="24"/>
                <w:szCs w:val="24"/>
              </w:rPr>
            </w:pPr>
            <w:r w:rsidRPr="00816216">
              <w:rPr>
                <w:rFonts w:ascii="Times New Roman" w:hAnsi="Times New Roman" w:cs="Times New Roman"/>
                <w:sz w:val="24"/>
                <w:szCs w:val="24"/>
              </w:rPr>
              <w:t>25.000,00 kn</w:t>
            </w:r>
            <w:r w:rsidRPr="00816216">
              <w:rPr>
                <w:rFonts w:ascii="Times New Roman" w:hAnsi="Times New Roman" w:cs="Times New Roman"/>
                <w:sz w:val="24"/>
                <w:szCs w:val="24"/>
              </w:rPr>
              <w:br/>
            </w:r>
            <w:r w:rsidRPr="00816216">
              <w:rPr>
                <w:rFonts w:ascii="Times New Roman" w:hAnsi="Times New Roman" w:cs="Times New Roman"/>
                <w:sz w:val="24"/>
                <w:szCs w:val="24"/>
              </w:rPr>
              <w:br/>
            </w:r>
            <w:r w:rsidRPr="00816216">
              <w:rPr>
                <w:rFonts w:ascii="Times New Roman" w:hAnsi="Times New Roman" w:cs="Times New Roman"/>
                <w:b/>
                <w:bCs/>
                <w:sz w:val="24"/>
                <w:szCs w:val="24"/>
              </w:rPr>
              <w:t> </w:t>
            </w:r>
          </w:p>
        </w:tc>
      </w:tr>
    </w:tbl>
    <w:p w14:paraId="57E6FE5B" w14:textId="77777777" w:rsidR="00816216" w:rsidRPr="00816216" w:rsidRDefault="00816216" w:rsidP="00816216">
      <w:pPr>
        <w:widowControl w:val="0"/>
        <w:snapToGrid w:val="0"/>
        <w:jc w:val="both"/>
        <w:rPr>
          <w:rFonts w:ascii="Times New Roman" w:hAnsi="Times New Roman" w:cs="Times New Roman"/>
          <w:sz w:val="24"/>
          <w:szCs w:val="24"/>
        </w:rPr>
      </w:pPr>
    </w:p>
    <w:p w14:paraId="53B8DBA0" w14:textId="77777777" w:rsidR="00816216" w:rsidRPr="00816216" w:rsidRDefault="00816216" w:rsidP="00816216">
      <w:pPr>
        <w:widowControl w:val="0"/>
        <w:snapToGrid w:val="0"/>
        <w:jc w:val="both"/>
        <w:rPr>
          <w:rFonts w:ascii="Times New Roman" w:hAnsi="Times New Roman" w:cs="Times New Roman"/>
          <w:sz w:val="24"/>
          <w:szCs w:val="24"/>
        </w:rPr>
      </w:pPr>
      <w:r w:rsidRPr="00816216">
        <w:rPr>
          <w:rFonts w:ascii="Times New Roman" w:hAnsi="Times New Roman" w:cs="Times New Roman"/>
          <w:sz w:val="24"/>
          <w:szCs w:val="24"/>
        </w:rPr>
        <w:t xml:space="preserve">Trogodišnji program 2017.-2019. </w:t>
      </w:r>
    </w:p>
    <w:tbl>
      <w:tblPr>
        <w:tblW w:w="5000" w:type="pct"/>
        <w:tblBorders>
          <w:top w:val="single" w:sz="8" w:space="0" w:color="000000"/>
          <w:left w:val="single" w:sz="8" w:space="0" w:color="000000"/>
          <w:bottom w:val="single" w:sz="8" w:space="0" w:color="000000"/>
          <w:right w:val="single" w:sz="8" w:space="0" w:color="000000"/>
        </w:tblBorders>
        <w:tblCellMar>
          <w:top w:w="15" w:type="dxa"/>
          <w:left w:w="15" w:type="dxa"/>
          <w:bottom w:w="15" w:type="dxa"/>
          <w:right w:w="15" w:type="dxa"/>
        </w:tblCellMar>
        <w:tblLook w:val="04A0" w:firstRow="1" w:lastRow="0" w:firstColumn="1" w:lastColumn="0" w:noHBand="0" w:noVBand="1"/>
      </w:tblPr>
      <w:tblGrid>
        <w:gridCol w:w="2682"/>
        <w:gridCol w:w="4388"/>
        <w:gridCol w:w="1982"/>
      </w:tblGrid>
      <w:tr w:rsidR="00816216" w:rsidRPr="00816216" w14:paraId="2CC8B39F" w14:textId="77777777" w:rsidTr="00816216">
        <w:trPr>
          <w:trHeight w:val="380"/>
        </w:trPr>
        <w:tc>
          <w:tcPr>
            <w:tcW w:w="1481" w:type="pc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827E162" w14:textId="77777777" w:rsidR="00816216" w:rsidRPr="00816216" w:rsidRDefault="00816216" w:rsidP="00816216">
            <w:pPr>
              <w:widowControl w:val="0"/>
              <w:snapToGrid w:val="0"/>
              <w:rPr>
                <w:rFonts w:ascii="Times New Roman" w:hAnsi="Times New Roman" w:cs="Times New Roman"/>
                <w:sz w:val="24"/>
                <w:szCs w:val="24"/>
              </w:rPr>
            </w:pPr>
            <w:r w:rsidRPr="00816216">
              <w:rPr>
                <w:rFonts w:ascii="Times New Roman" w:hAnsi="Times New Roman" w:cs="Times New Roman"/>
                <w:sz w:val="24"/>
                <w:szCs w:val="24"/>
              </w:rPr>
              <w:t xml:space="preserve">UDRUGA TJELESNIH INVALIDA BJELOVAR </w:t>
            </w:r>
          </w:p>
          <w:p w14:paraId="7CFE1D14" w14:textId="77777777" w:rsidR="00816216" w:rsidRPr="00816216" w:rsidRDefault="00816216" w:rsidP="00816216">
            <w:pPr>
              <w:widowControl w:val="0"/>
              <w:snapToGrid w:val="0"/>
              <w:rPr>
                <w:rFonts w:ascii="Times New Roman" w:hAnsi="Times New Roman" w:cs="Times New Roman"/>
                <w:i/>
                <w:sz w:val="24"/>
                <w:szCs w:val="24"/>
              </w:rPr>
            </w:pPr>
            <w:r w:rsidRPr="00816216">
              <w:rPr>
                <w:rFonts w:ascii="Times New Roman" w:hAnsi="Times New Roman" w:cs="Times New Roman"/>
                <w:i/>
                <w:sz w:val="24"/>
                <w:szCs w:val="24"/>
              </w:rPr>
              <w:t>Bjelovar</w:t>
            </w:r>
          </w:p>
        </w:tc>
        <w:tc>
          <w:tcPr>
            <w:tcW w:w="2424" w:type="pc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BAE761C" w14:textId="77777777" w:rsidR="00816216" w:rsidRPr="00816216" w:rsidRDefault="00816216" w:rsidP="00816216">
            <w:pPr>
              <w:widowControl w:val="0"/>
              <w:snapToGrid w:val="0"/>
              <w:jc w:val="both"/>
              <w:rPr>
                <w:rFonts w:ascii="Times New Roman" w:hAnsi="Times New Roman" w:cs="Times New Roman"/>
                <w:sz w:val="24"/>
                <w:szCs w:val="24"/>
              </w:rPr>
            </w:pPr>
            <w:r w:rsidRPr="00816216">
              <w:rPr>
                <w:rFonts w:ascii="Times New Roman" w:hAnsi="Times New Roman" w:cs="Times New Roman"/>
                <w:sz w:val="24"/>
                <w:szCs w:val="24"/>
              </w:rPr>
              <w:t>Javnost - osobe s invaliditetom - politika</w:t>
            </w:r>
          </w:p>
        </w:tc>
        <w:tc>
          <w:tcPr>
            <w:tcW w:w="1095" w:type="pc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hideMark/>
          </w:tcPr>
          <w:p w14:paraId="2EF5F51A" w14:textId="77777777" w:rsidR="00816216" w:rsidRPr="00816216" w:rsidRDefault="00816216" w:rsidP="00816216">
            <w:pPr>
              <w:widowControl w:val="0"/>
              <w:snapToGrid w:val="0"/>
              <w:jc w:val="both"/>
              <w:rPr>
                <w:rFonts w:ascii="Times New Roman" w:hAnsi="Times New Roman" w:cs="Times New Roman"/>
                <w:sz w:val="24"/>
                <w:szCs w:val="24"/>
              </w:rPr>
            </w:pPr>
            <w:r w:rsidRPr="00816216">
              <w:rPr>
                <w:rFonts w:ascii="Times New Roman" w:hAnsi="Times New Roman" w:cs="Times New Roman"/>
                <w:sz w:val="24"/>
                <w:szCs w:val="24"/>
              </w:rPr>
              <w:t>25.000,00 kn</w:t>
            </w:r>
            <w:r w:rsidRPr="00816216">
              <w:rPr>
                <w:rFonts w:ascii="Times New Roman" w:hAnsi="Times New Roman" w:cs="Times New Roman"/>
                <w:sz w:val="24"/>
                <w:szCs w:val="24"/>
              </w:rPr>
              <w:br/>
            </w:r>
            <w:r w:rsidRPr="00816216">
              <w:rPr>
                <w:rFonts w:ascii="Times New Roman" w:hAnsi="Times New Roman" w:cs="Times New Roman"/>
                <w:sz w:val="24"/>
                <w:szCs w:val="24"/>
              </w:rPr>
              <w:br/>
            </w:r>
            <w:r w:rsidRPr="00816216">
              <w:rPr>
                <w:rFonts w:ascii="Times New Roman" w:hAnsi="Times New Roman" w:cs="Times New Roman"/>
                <w:b/>
                <w:bCs/>
                <w:sz w:val="24"/>
                <w:szCs w:val="24"/>
              </w:rPr>
              <w:t> </w:t>
            </w:r>
          </w:p>
        </w:tc>
      </w:tr>
    </w:tbl>
    <w:p w14:paraId="2A9FB80D" w14:textId="77777777" w:rsidR="00816216" w:rsidRPr="00816216" w:rsidRDefault="00816216" w:rsidP="00816216">
      <w:pPr>
        <w:widowControl w:val="0"/>
        <w:snapToGrid w:val="0"/>
        <w:jc w:val="both"/>
        <w:rPr>
          <w:rFonts w:ascii="Times New Roman" w:hAnsi="Times New Roman" w:cs="Times New Roman"/>
          <w:sz w:val="24"/>
          <w:szCs w:val="24"/>
        </w:rPr>
      </w:pPr>
    </w:p>
    <w:p w14:paraId="4C6483AB" w14:textId="77777777" w:rsidR="00816216" w:rsidRPr="00816216" w:rsidRDefault="00816216" w:rsidP="00816216">
      <w:pPr>
        <w:widowControl w:val="0"/>
        <w:snapToGrid w:val="0"/>
        <w:jc w:val="both"/>
        <w:rPr>
          <w:rFonts w:ascii="Times New Roman" w:hAnsi="Times New Roman" w:cs="Times New Roman"/>
          <w:sz w:val="24"/>
          <w:szCs w:val="24"/>
        </w:rPr>
      </w:pPr>
      <w:r w:rsidRPr="00816216">
        <w:rPr>
          <w:rFonts w:ascii="Times New Roman" w:hAnsi="Times New Roman" w:cs="Times New Roman"/>
          <w:sz w:val="24"/>
          <w:szCs w:val="24"/>
        </w:rPr>
        <w:t xml:space="preserve">Financiranje udruga provedeno je u skladu s mjerama iz Nacionalne strategije izjednačavanja mogućnosti za osobe s invaliditetom od 2007. do 2015. godine i Nacionalne strategije izjednačavanja mogućnosti za osobe s invaliditetom od 2017. do 2020. godine. U Nacionalnoj strategiji izjednačavanja mogućnosti za osobe s invaliditetom od 2017. do 2020. godine Ured je nositelj aktivnosti </w:t>
      </w:r>
      <w:r w:rsidRPr="00816216">
        <w:rPr>
          <w:rFonts w:ascii="Times New Roman" w:hAnsi="Times New Roman" w:cs="Times New Roman"/>
          <w:i/>
          <w:sz w:val="24"/>
          <w:szCs w:val="24"/>
        </w:rPr>
        <w:t>1.</w:t>
      </w:r>
      <w:r w:rsidRPr="00816216">
        <w:rPr>
          <w:rFonts w:ascii="Times New Roman" w:hAnsi="Times New Roman" w:cs="Times New Roman"/>
          <w:sz w:val="24"/>
          <w:szCs w:val="24"/>
        </w:rPr>
        <w:t xml:space="preserve"> </w:t>
      </w:r>
      <w:r w:rsidRPr="00816216">
        <w:rPr>
          <w:rFonts w:ascii="Times New Roman" w:hAnsi="Times New Roman" w:cs="Times New Roman"/>
          <w:i/>
          <w:sz w:val="24"/>
          <w:szCs w:val="24"/>
        </w:rPr>
        <w:t>Osigurati financijska sredstva za provedbu programa i projekata organizacija civilnoga društva za pružanje podrške ženama i mladima s invaliditetom za uključivanje u javni i politički život</w:t>
      </w:r>
      <w:r w:rsidRPr="00816216">
        <w:rPr>
          <w:rFonts w:ascii="Times New Roman" w:hAnsi="Times New Roman" w:cs="Times New Roman"/>
          <w:sz w:val="24"/>
          <w:szCs w:val="24"/>
        </w:rPr>
        <w:t xml:space="preserve">, u okviru Mjere </w:t>
      </w:r>
      <w:r w:rsidRPr="00816216">
        <w:rPr>
          <w:rFonts w:ascii="Times New Roman" w:hAnsi="Times New Roman" w:cs="Times New Roman"/>
          <w:i/>
          <w:sz w:val="24"/>
          <w:szCs w:val="24"/>
        </w:rPr>
        <w:t>3.</w:t>
      </w:r>
      <w:r w:rsidRPr="00816216">
        <w:rPr>
          <w:rFonts w:ascii="Times New Roman" w:hAnsi="Times New Roman" w:cs="Times New Roman"/>
          <w:sz w:val="24"/>
          <w:szCs w:val="24"/>
        </w:rPr>
        <w:t xml:space="preserve"> </w:t>
      </w:r>
      <w:r w:rsidRPr="00816216">
        <w:rPr>
          <w:rFonts w:ascii="Times New Roman" w:hAnsi="Times New Roman" w:cs="Times New Roman"/>
          <w:i/>
          <w:sz w:val="24"/>
          <w:szCs w:val="24"/>
        </w:rPr>
        <w:t>Promicati sudjelovanje žena i mladih osoba s invaliditetom u javnom i političkom djelovanju na svim razinama</w:t>
      </w:r>
      <w:r w:rsidRPr="00816216">
        <w:rPr>
          <w:rFonts w:ascii="Times New Roman" w:hAnsi="Times New Roman" w:cs="Times New Roman"/>
          <w:sz w:val="24"/>
          <w:szCs w:val="24"/>
        </w:rPr>
        <w:t xml:space="preserve">, utvrđenih u strateškom području </w:t>
      </w:r>
      <w:r w:rsidRPr="00816216">
        <w:rPr>
          <w:rFonts w:ascii="Times New Roman" w:hAnsi="Times New Roman" w:cs="Times New Roman"/>
          <w:i/>
          <w:sz w:val="24"/>
          <w:szCs w:val="24"/>
        </w:rPr>
        <w:t>11. Sudjelovanje u javnom i političkom životu</w:t>
      </w:r>
      <w:r w:rsidRPr="00816216">
        <w:rPr>
          <w:rFonts w:ascii="Times New Roman" w:hAnsi="Times New Roman" w:cs="Times New Roman"/>
          <w:sz w:val="24"/>
          <w:szCs w:val="24"/>
        </w:rPr>
        <w:t xml:space="preserve">. </w:t>
      </w:r>
    </w:p>
    <w:p w14:paraId="471C12C2" w14:textId="77777777" w:rsidR="00816216" w:rsidRPr="00816216" w:rsidRDefault="00816216" w:rsidP="00816216">
      <w:pPr>
        <w:widowControl w:val="0"/>
        <w:snapToGrid w:val="0"/>
        <w:jc w:val="both"/>
        <w:rPr>
          <w:rFonts w:ascii="Times New Roman" w:hAnsi="Times New Roman" w:cs="Times New Roman"/>
          <w:sz w:val="24"/>
          <w:szCs w:val="24"/>
        </w:rPr>
      </w:pPr>
    </w:p>
    <w:p w14:paraId="1B087BF0" w14:textId="0B621FC8" w:rsidR="00816216" w:rsidRDefault="00816216">
      <w:pPr>
        <w:rPr>
          <w:rFonts w:ascii="Times New Roman" w:hAnsi="Times New Roman" w:cs="Times New Roman"/>
          <w:sz w:val="24"/>
          <w:szCs w:val="24"/>
        </w:rPr>
      </w:pPr>
      <w:r>
        <w:rPr>
          <w:rFonts w:ascii="Times New Roman" w:hAnsi="Times New Roman" w:cs="Times New Roman"/>
          <w:sz w:val="24"/>
          <w:szCs w:val="24"/>
        </w:rPr>
        <w:br w:type="page"/>
      </w:r>
    </w:p>
    <w:p w14:paraId="2E32DEE5" w14:textId="77777777" w:rsidR="00816216" w:rsidRPr="00816216" w:rsidRDefault="00816216" w:rsidP="00816216">
      <w:pPr>
        <w:rPr>
          <w:rFonts w:ascii="Times New Roman" w:hAnsi="Times New Roman" w:cs="Times New Roman"/>
          <w:b/>
          <w:bCs/>
          <w:sz w:val="24"/>
          <w:szCs w:val="24"/>
          <w:u w:val="single"/>
        </w:rPr>
      </w:pPr>
      <w:r w:rsidRPr="00816216">
        <w:rPr>
          <w:rFonts w:ascii="Times New Roman" w:hAnsi="Times New Roman" w:cs="Times New Roman"/>
          <w:b/>
          <w:bCs/>
          <w:sz w:val="24"/>
          <w:szCs w:val="24"/>
          <w:u w:val="single"/>
        </w:rPr>
        <w:lastRenderedPageBreak/>
        <w:t>Prilog 42</w:t>
      </w:r>
    </w:p>
    <w:p w14:paraId="6CA62869" w14:textId="77777777" w:rsidR="00816216" w:rsidRPr="00816216" w:rsidRDefault="00816216" w:rsidP="002E64E7">
      <w:pPr>
        <w:spacing w:after="0" w:line="240" w:lineRule="auto"/>
        <w:jc w:val="center"/>
        <w:rPr>
          <w:rFonts w:ascii="Times New Roman" w:hAnsi="Times New Roman" w:cs="Times New Roman"/>
          <w:b/>
          <w:bCs/>
          <w:sz w:val="24"/>
          <w:szCs w:val="24"/>
        </w:rPr>
      </w:pPr>
    </w:p>
    <w:p w14:paraId="3D6932AA" w14:textId="77777777" w:rsidR="00816216" w:rsidRPr="00816216" w:rsidRDefault="00816216" w:rsidP="002E64E7">
      <w:pPr>
        <w:spacing w:after="0" w:line="240" w:lineRule="auto"/>
        <w:jc w:val="center"/>
        <w:rPr>
          <w:rFonts w:ascii="Times New Roman" w:hAnsi="Times New Roman" w:cs="Times New Roman"/>
          <w:b/>
          <w:bCs/>
          <w:sz w:val="24"/>
          <w:szCs w:val="24"/>
        </w:rPr>
      </w:pPr>
      <w:r w:rsidRPr="00816216">
        <w:rPr>
          <w:rFonts w:ascii="Times New Roman" w:hAnsi="Times New Roman" w:cs="Times New Roman"/>
          <w:b/>
          <w:bCs/>
          <w:sz w:val="24"/>
          <w:szCs w:val="24"/>
        </w:rPr>
        <w:t xml:space="preserve">SUFINANCIRANJE PROGRAME OSOBA S INVALIDITETOM </w:t>
      </w:r>
      <w:r w:rsidRPr="00816216">
        <w:rPr>
          <w:rFonts w:ascii="Times New Roman" w:hAnsi="Times New Roman" w:cs="Times New Roman"/>
          <w:b/>
          <w:bCs/>
          <w:sz w:val="24"/>
          <w:szCs w:val="24"/>
        </w:rPr>
        <w:br/>
        <w:t xml:space="preserve">PUTEM </w:t>
      </w:r>
      <w:r w:rsidRPr="00816216">
        <w:rPr>
          <w:rFonts w:ascii="Times New Roman" w:hAnsi="Times New Roman" w:cs="Times New Roman"/>
          <w:b/>
          <w:bCs/>
          <w:iCs/>
          <w:sz w:val="24"/>
          <w:szCs w:val="24"/>
        </w:rPr>
        <w:t xml:space="preserve">POZIVA ZA PREDLAGANJE JAVNIH </w:t>
      </w:r>
      <w:r w:rsidRPr="00816216">
        <w:rPr>
          <w:rFonts w:ascii="Times New Roman" w:hAnsi="Times New Roman" w:cs="Times New Roman"/>
          <w:b/>
          <w:bCs/>
          <w:iCs/>
          <w:sz w:val="24"/>
          <w:szCs w:val="24"/>
        </w:rPr>
        <w:br/>
        <w:t>POTREBA U KULTURI REPUBLIKE HRVATSKE</w:t>
      </w:r>
    </w:p>
    <w:p w14:paraId="57712D6D" w14:textId="60F19E11" w:rsidR="00816216" w:rsidRDefault="00816216" w:rsidP="002E64E7">
      <w:pPr>
        <w:spacing w:after="0" w:line="240" w:lineRule="auto"/>
        <w:jc w:val="both"/>
        <w:rPr>
          <w:rFonts w:ascii="Times New Roman" w:hAnsi="Times New Roman" w:cs="Times New Roman"/>
          <w:b/>
          <w:bCs/>
          <w:sz w:val="24"/>
          <w:szCs w:val="24"/>
        </w:rPr>
      </w:pPr>
    </w:p>
    <w:p w14:paraId="3049DDD9" w14:textId="77777777" w:rsidR="002E64E7" w:rsidRPr="00816216" w:rsidRDefault="002E64E7" w:rsidP="002E64E7">
      <w:pPr>
        <w:spacing w:after="0" w:line="240" w:lineRule="auto"/>
        <w:jc w:val="both"/>
        <w:rPr>
          <w:rFonts w:ascii="Times New Roman" w:hAnsi="Times New Roman" w:cs="Times New Roman"/>
          <w:b/>
          <w:bCs/>
          <w:sz w:val="24"/>
          <w:szCs w:val="24"/>
        </w:rPr>
      </w:pPr>
    </w:p>
    <w:p w14:paraId="2BE89361" w14:textId="77777777" w:rsidR="00816216" w:rsidRPr="00816216" w:rsidRDefault="00816216" w:rsidP="002E64E7">
      <w:pPr>
        <w:spacing w:after="0" w:line="240" w:lineRule="auto"/>
        <w:jc w:val="both"/>
        <w:rPr>
          <w:rFonts w:ascii="Times New Roman" w:hAnsi="Times New Roman" w:cs="Times New Roman"/>
          <w:bCs/>
          <w:sz w:val="24"/>
          <w:szCs w:val="24"/>
        </w:rPr>
      </w:pPr>
      <w:r w:rsidRPr="00816216">
        <w:rPr>
          <w:rFonts w:ascii="Times New Roman" w:hAnsi="Times New Roman" w:cs="Times New Roman"/>
          <w:sz w:val="24"/>
          <w:szCs w:val="24"/>
        </w:rPr>
        <w:t xml:space="preserve">U okviru Poziva </w:t>
      </w:r>
      <w:r w:rsidRPr="00816216">
        <w:rPr>
          <w:rFonts w:ascii="Times New Roman" w:hAnsi="Times New Roman" w:cs="Times New Roman"/>
          <w:bCs/>
          <w:iCs/>
          <w:sz w:val="24"/>
          <w:szCs w:val="24"/>
        </w:rPr>
        <w:t>za predlaganje javnih potreba u kulturi Republike Hrvatske</w:t>
      </w:r>
      <w:r w:rsidRPr="00816216">
        <w:rPr>
          <w:rFonts w:ascii="Times New Roman" w:hAnsi="Times New Roman" w:cs="Times New Roman"/>
          <w:sz w:val="24"/>
          <w:szCs w:val="24"/>
        </w:rPr>
        <w:t xml:space="preserve">, Ministarstvo kulture i medija je za sudjelovanje osoba s invaliditetom u kulturnom životu u razdoblju </w:t>
      </w:r>
      <w:r w:rsidRPr="00816216">
        <w:rPr>
          <w:rFonts w:ascii="Times New Roman" w:hAnsi="Times New Roman" w:cs="Times New Roman"/>
          <w:bCs/>
          <w:sz w:val="24"/>
          <w:szCs w:val="24"/>
        </w:rPr>
        <w:t>od 2015. do 2020.g.:</w:t>
      </w:r>
    </w:p>
    <w:p w14:paraId="146AAF7B" w14:textId="77777777" w:rsidR="00816216" w:rsidRPr="00816216" w:rsidRDefault="00816216" w:rsidP="002E64E7">
      <w:pPr>
        <w:spacing w:after="0" w:line="240" w:lineRule="auto"/>
        <w:jc w:val="both"/>
        <w:rPr>
          <w:rFonts w:ascii="Times New Roman" w:hAnsi="Times New Roman" w:cs="Times New Roman"/>
          <w:sz w:val="24"/>
          <w:szCs w:val="24"/>
        </w:rPr>
      </w:pPr>
      <w:r w:rsidRPr="00816216">
        <w:rPr>
          <w:rFonts w:ascii="Times New Roman" w:hAnsi="Times New Roman" w:cs="Times New Roman"/>
          <w:sz w:val="24"/>
          <w:szCs w:val="24"/>
        </w:rPr>
        <w:t xml:space="preserve">- iz dramske, plesne i izvedbene umjetnosti financiralo 54 programa u iznosu od 1.619.917,50kn. </w:t>
      </w:r>
    </w:p>
    <w:p w14:paraId="5BDAC0D9" w14:textId="77777777" w:rsidR="00816216" w:rsidRPr="00816216" w:rsidRDefault="00816216" w:rsidP="002E64E7">
      <w:pPr>
        <w:spacing w:after="0" w:line="240" w:lineRule="auto"/>
        <w:jc w:val="both"/>
        <w:rPr>
          <w:rFonts w:ascii="Times New Roman" w:hAnsi="Times New Roman" w:cs="Times New Roman"/>
          <w:sz w:val="24"/>
          <w:szCs w:val="24"/>
        </w:rPr>
      </w:pPr>
      <w:r w:rsidRPr="00816216">
        <w:rPr>
          <w:rFonts w:ascii="Times New Roman" w:hAnsi="Times New Roman" w:cs="Times New Roman"/>
          <w:sz w:val="24"/>
          <w:szCs w:val="24"/>
        </w:rPr>
        <w:t>- iz programa glazbe, glazbeno-scenske umjetnosti i kulturno-umjetničkog amaterizma financirano 15 programa u iznosu od 199.000,00 kn</w:t>
      </w:r>
    </w:p>
    <w:p w14:paraId="72252364" w14:textId="77777777" w:rsidR="00816216" w:rsidRPr="00816216" w:rsidRDefault="00816216" w:rsidP="002E64E7">
      <w:pPr>
        <w:spacing w:after="0" w:line="240" w:lineRule="auto"/>
        <w:jc w:val="both"/>
        <w:rPr>
          <w:rFonts w:ascii="Times New Roman" w:hAnsi="Times New Roman" w:cs="Times New Roman"/>
          <w:sz w:val="24"/>
          <w:szCs w:val="24"/>
        </w:rPr>
      </w:pPr>
      <w:r w:rsidRPr="00816216">
        <w:rPr>
          <w:rFonts w:ascii="Times New Roman" w:hAnsi="Times New Roman" w:cs="Times New Roman"/>
          <w:sz w:val="24"/>
          <w:szCs w:val="24"/>
        </w:rPr>
        <w:t>- iz područja vizualnih umjetnosti i inovativnih umjetničkih i kulturnih praksi za programe koje organiziraju udruge osoba s invaliditetom i/ili u njima sudjeluju osobe s invaliditetom izdvojena su sredstva u iznosu od 413.000,00kn,</w:t>
      </w:r>
    </w:p>
    <w:p w14:paraId="15CB9603" w14:textId="77777777" w:rsidR="00816216" w:rsidRPr="00816216" w:rsidRDefault="00816216" w:rsidP="002E64E7">
      <w:pPr>
        <w:spacing w:after="0" w:line="240" w:lineRule="auto"/>
        <w:jc w:val="both"/>
        <w:rPr>
          <w:rFonts w:ascii="Times New Roman" w:hAnsi="Times New Roman" w:cs="Times New Roman"/>
          <w:sz w:val="24"/>
          <w:szCs w:val="24"/>
        </w:rPr>
      </w:pPr>
      <w:r w:rsidRPr="00816216">
        <w:rPr>
          <w:rFonts w:ascii="Times New Roman" w:hAnsi="Times New Roman" w:cs="Times New Roman"/>
          <w:sz w:val="24"/>
          <w:szCs w:val="24"/>
        </w:rPr>
        <w:t xml:space="preserve">- u području knjižne djelatnosti (otkup, potpora knjizi, časopisi, književne manifestacije) utrošeno 876.900,00kn. Od toga je u navedenom razdoblju Zakladi </w:t>
      </w:r>
      <w:r w:rsidRPr="00816216">
        <w:rPr>
          <w:rFonts w:ascii="Times New Roman" w:hAnsi="Times New Roman" w:cs="Times New Roman"/>
          <w:i/>
          <w:sz w:val="24"/>
          <w:szCs w:val="24"/>
        </w:rPr>
        <w:t>Čujem, vjerujem, vidim</w:t>
      </w:r>
      <w:r w:rsidRPr="00816216">
        <w:rPr>
          <w:rFonts w:ascii="Times New Roman" w:hAnsi="Times New Roman" w:cs="Times New Roman"/>
          <w:sz w:val="24"/>
          <w:szCs w:val="24"/>
        </w:rPr>
        <w:t xml:space="preserve"> isplaćeno 660.000,00kn za objavljivanje knjiga u </w:t>
      </w:r>
      <w:proofErr w:type="spellStart"/>
      <w:r w:rsidRPr="00816216">
        <w:rPr>
          <w:rFonts w:ascii="Times New Roman" w:hAnsi="Times New Roman" w:cs="Times New Roman"/>
          <w:sz w:val="24"/>
          <w:szCs w:val="24"/>
        </w:rPr>
        <w:t>daisy</w:t>
      </w:r>
      <w:proofErr w:type="spellEnd"/>
      <w:r w:rsidRPr="00816216">
        <w:rPr>
          <w:rFonts w:ascii="Times New Roman" w:hAnsi="Times New Roman" w:cs="Times New Roman"/>
          <w:sz w:val="24"/>
          <w:szCs w:val="24"/>
        </w:rPr>
        <w:t xml:space="preserve"> formatu. </w:t>
      </w:r>
    </w:p>
    <w:p w14:paraId="3E46AD1C" w14:textId="77777777" w:rsidR="00816216" w:rsidRPr="00816216" w:rsidRDefault="00816216" w:rsidP="002E64E7">
      <w:pPr>
        <w:spacing w:after="0" w:line="240" w:lineRule="auto"/>
        <w:jc w:val="both"/>
        <w:rPr>
          <w:rFonts w:ascii="Times New Roman" w:hAnsi="Times New Roman" w:cs="Times New Roman"/>
          <w:sz w:val="24"/>
          <w:szCs w:val="24"/>
        </w:rPr>
      </w:pPr>
      <w:r w:rsidRPr="00816216">
        <w:rPr>
          <w:rFonts w:ascii="Times New Roman" w:hAnsi="Times New Roman" w:cs="Times New Roman"/>
          <w:sz w:val="24"/>
          <w:szCs w:val="24"/>
        </w:rPr>
        <w:t>- iz područja muzejske djelatnosti financirano je 44 programa u iznosu od 831.776,62 kn</w:t>
      </w:r>
    </w:p>
    <w:p w14:paraId="386BD19B" w14:textId="77777777" w:rsidR="00816216" w:rsidRPr="00816216" w:rsidRDefault="00816216" w:rsidP="002E64E7">
      <w:pPr>
        <w:spacing w:after="0" w:line="240" w:lineRule="auto"/>
        <w:jc w:val="both"/>
        <w:rPr>
          <w:rFonts w:ascii="Times New Roman" w:hAnsi="Times New Roman" w:cs="Times New Roman"/>
          <w:sz w:val="24"/>
          <w:szCs w:val="24"/>
        </w:rPr>
      </w:pPr>
      <w:r w:rsidRPr="00816216">
        <w:rPr>
          <w:rFonts w:ascii="Times New Roman" w:hAnsi="Times New Roman" w:cs="Times New Roman"/>
          <w:sz w:val="24"/>
          <w:szCs w:val="24"/>
        </w:rPr>
        <w:t xml:space="preserve">- iz područja knjižnične djelatnosti sufinancirano je 45 programa u iznosu od 371.920,00kn. </w:t>
      </w:r>
    </w:p>
    <w:p w14:paraId="4E69E158" w14:textId="77777777" w:rsidR="00816216" w:rsidRPr="00816216" w:rsidRDefault="00816216" w:rsidP="002E64E7">
      <w:pPr>
        <w:spacing w:after="0" w:line="240" w:lineRule="auto"/>
        <w:rPr>
          <w:rFonts w:ascii="Times New Roman" w:hAnsi="Times New Roman" w:cs="Times New Roman"/>
          <w:sz w:val="24"/>
          <w:szCs w:val="24"/>
        </w:rPr>
      </w:pPr>
    </w:p>
    <w:p w14:paraId="482A1323" w14:textId="77777777" w:rsidR="004B03CB" w:rsidRDefault="004B03CB" w:rsidP="006B5133">
      <w:pPr>
        <w:pStyle w:val="t-98-2"/>
        <w:shd w:val="clear" w:color="auto" w:fill="FFFFFF"/>
        <w:spacing w:before="0" w:beforeAutospacing="0" w:after="0" w:afterAutospacing="0"/>
        <w:jc w:val="both"/>
        <w:textAlignment w:val="baseline"/>
      </w:pPr>
    </w:p>
    <w:p w14:paraId="346822C7" w14:textId="482B6D9F" w:rsidR="00816216" w:rsidRDefault="00816216">
      <w:pPr>
        <w:rPr>
          <w:rFonts w:ascii="Times New Roman" w:eastAsia="Times New Roman" w:hAnsi="Times New Roman" w:cs="Times New Roman"/>
          <w:sz w:val="24"/>
          <w:szCs w:val="24"/>
          <w:lang w:eastAsia="hr-HR"/>
        </w:rPr>
      </w:pPr>
      <w:r>
        <w:br w:type="page"/>
      </w:r>
    </w:p>
    <w:p w14:paraId="7F66B655" w14:textId="77777777" w:rsidR="00816216" w:rsidRPr="003A7763" w:rsidRDefault="00816216" w:rsidP="00816216">
      <w:pPr>
        <w:spacing w:after="0" w:line="240" w:lineRule="auto"/>
        <w:rPr>
          <w:rFonts w:ascii="Times New Roman" w:eastAsia="Times New Roman" w:hAnsi="Times New Roman" w:cs="Times New Roman"/>
          <w:b/>
          <w:sz w:val="24"/>
          <w:szCs w:val="24"/>
          <w:u w:val="single"/>
          <w:lang w:eastAsia="hr-HR"/>
        </w:rPr>
      </w:pPr>
      <w:r w:rsidRPr="003A7763">
        <w:rPr>
          <w:rFonts w:ascii="Times New Roman" w:eastAsia="Times New Roman" w:hAnsi="Times New Roman" w:cs="Times New Roman"/>
          <w:b/>
          <w:sz w:val="24"/>
          <w:szCs w:val="24"/>
          <w:u w:val="single"/>
          <w:lang w:eastAsia="hr-HR"/>
        </w:rPr>
        <w:lastRenderedPageBreak/>
        <w:t>Prilog 43</w:t>
      </w:r>
    </w:p>
    <w:p w14:paraId="226DE905" w14:textId="77777777" w:rsidR="00816216" w:rsidRDefault="00816216" w:rsidP="00816216">
      <w:pPr>
        <w:spacing w:after="0" w:line="240" w:lineRule="auto"/>
        <w:jc w:val="center"/>
        <w:rPr>
          <w:rFonts w:ascii="Times New Roman" w:eastAsia="Times New Roman" w:hAnsi="Times New Roman" w:cs="Times New Roman"/>
          <w:b/>
          <w:sz w:val="24"/>
          <w:szCs w:val="24"/>
          <w:lang w:eastAsia="hr-HR"/>
        </w:rPr>
      </w:pPr>
    </w:p>
    <w:p w14:paraId="6D912E52" w14:textId="77777777" w:rsidR="00816216" w:rsidRPr="00C417C4" w:rsidRDefault="00816216" w:rsidP="00816216">
      <w:pPr>
        <w:spacing w:after="0" w:line="240" w:lineRule="auto"/>
        <w:jc w:val="center"/>
        <w:rPr>
          <w:rFonts w:ascii="Times New Roman" w:eastAsia="Times New Roman" w:hAnsi="Times New Roman" w:cs="Times New Roman"/>
          <w:b/>
          <w:sz w:val="24"/>
          <w:szCs w:val="24"/>
          <w:lang w:eastAsia="hr-HR"/>
        </w:rPr>
      </w:pPr>
      <w:r w:rsidRPr="00C417C4">
        <w:rPr>
          <w:rFonts w:ascii="Times New Roman" w:eastAsia="Times New Roman" w:hAnsi="Times New Roman" w:cs="Times New Roman"/>
          <w:b/>
          <w:sz w:val="24"/>
          <w:szCs w:val="24"/>
          <w:lang w:eastAsia="hr-HR"/>
        </w:rPr>
        <w:t xml:space="preserve">HRVATSKI PARAOLIMPIJSKI ODBOR I </w:t>
      </w:r>
      <w:r>
        <w:rPr>
          <w:rFonts w:ascii="Times New Roman" w:eastAsia="Times New Roman" w:hAnsi="Times New Roman" w:cs="Times New Roman"/>
          <w:b/>
          <w:sz w:val="24"/>
          <w:szCs w:val="24"/>
          <w:lang w:eastAsia="hr-HR"/>
        </w:rPr>
        <w:br/>
      </w:r>
      <w:r w:rsidRPr="00C417C4">
        <w:rPr>
          <w:rFonts w:ascii="Times New Roman" w:eastAsia="Times New Roman" w:hAnsi="Times New Roman" w:cs="Times New Roman"/>
          <w:b/>
          <w:sz w:val="24"/>
          <w:szCs w:val="24"/>
          <w:lang w:eastAsia="hr-HR"/>
        </w:rPr>
        <w:t>HRVATSKI SPORTSKI SAVEZI GLUHIH</w:t>
      </w:r>
    </w:p>
    <w:p w14:paraId="75AAE0E5" w14:textId="77777777" w:rsidR="00816216" w:rsidRDefault="00816216" w:rsidP="00816216">
      <w:pPr>
        <w:spacing w:after="0" w:line="240" w:lineRule="auto"/>
        <w:jc w:val="both"/>
        <w:rPr>
          <w:rFonts w:ascii="Times New Roman" w:eastAsia="Times New Roman" w:hAnsi="Times New Roman" w:cs="Times New Roman"/>
          <w:bCs/>
          <w:sz w:val="24"/>
          <w:szCs w:val="24"/>
          <w:lang w:eastAsia="hr-HR"/>
        </w:rPr>
      </w:pPr>
    </w:p>
    <w:p w14:paraId="37829A9E" w14:textId="77777777" w:rsidR="00816216" w:rsidRPr="00C417C4" w:rsidRDefault="00816216" w:rsidP="00FB05F1">
      <w:pPr>
        <w:pStyle w:val="Odlomakpopisa"/>
        <w:numPr>
          <w:ilvl w:val="0"/>
          <w:numId w:val="29"/>
        </w:numPr>
        <w:spacing w:after="0" w:line="240" w:lineRule="auto"/>
        <w:ind w:left="426" w:hanging="426"/>
        <w:jc w:val="both"/>
        <w:rPr>
          <w:rFonts w:ascii="Times New Roman" w:hAnsi="Times New Roman" w:cs="Times New Roman"/>
          <w:sz w:val="24"/>
          <w:szCs w:val="24"/>
        </w:rPr>
      </w:pPr>
      <w:r w:rsidRPr="00C417C4">
        <w:rPr>
          <w:rFonts w:ascii="Times New Roman" w:eastAsia="Times New Roman" w:hAnsi="Times New Roman" w:cs="Times New Roman"/>
          <w:bCs/>
          <w:sz w:val="24"/>
          <w:szCs w:val="24"/>
          <w:lang w:eastAsia="hr-HR"/>
        </w:rPr>
        <w:t xml:space="preserve">Članove Hrvatskog </w:t>
      </w:r>
      <w:proofErr w:type="spellStart"/>
      <w:r w:rsidRPr="00C417C4">
        <w:rPr>
          <w:rFonts w:ascii="Times New Roman" w:eastAsia="Times New Roman" w:hAnsi="Times New Roman" w:cs="Times New Roman"/>
          <w:bCs/>
          <w:sz w:val="24"/>
          <w:szCs w:val="24"/>
          <w:lang w:eastAsia="hr-HR"/>
        </w:rPr>
        <w:t>paraolimpijskog</w:t>
      </w:r>
      <w:proofErr w:type="spellEnd"/>
      <w:r w:rsidRPr="00C417C4">
        <w:rPr>
          <w:rFonts w:ascii="Times New Roman" w:eastAsia="Times New Roman" w:hAnsi="Times New Roman" w:cs="Times New Roman"/>
          <w:bCs/>
          <w:sz w:val="24"/>
          <w:szCs w:val="24"/>
          <w:lang w:eastAsia="hr-HR"/>
        </w:rPr>
        <w:t xml:space="preserve"> odbora čini 15 nacionalnih sportskih saveza, 11 županijskih sportskih saveza i 10 gradskih sportskih saveza osoba s invaliditetom a u rad je uključeno više od 150 kluba s približno 1.300 sportaša. </w:t>
      </w:r>
    </w:p>
    <w:p w14:paraId="287268C1" w14:textId="77777777" w:rsidR="00816216" w:rsidRDefault="00816216" w:rsidP="00816216">
      <w:pPr>
        <w:pStyle w:val="Odlomakpopisa"/>
        <w:spacing w:after="0" w:line="240" w:lineRule="auto"/>
        <w:ind w:left="426"/>
        <w:jc w:val="both"/>
        <w:rPr>
          <w:rFonts w:ascii="Times New Roman" w:hAnsi="Times New Roman" w:cs="Times New Roman"/>
          <w:sz w:val="24"/>
          <w:szCs w:val="24"/>
        </w:rPr>
      </w:pPr>
      <w:r w:rsidRPr="00C417C4">
        <w:rPr>
          <w:rFonts w:ascii="Times New Roman" w:eastAsia="Times New Roman" w:hAnsi="Times New Roman" w:cs="Times New Roman"/>
          <w:bCs/>
          <w:sz w:val="24"/>
          <w:szCs w:val="24"/>
          <w:lang w:eastAsia="hr-HR"/>
        </w:rPr>
        <w:t xml:space="preserve">U razdoblju od 2015. do 2019. godine iz Državnog proračuna Republike Hrvatske, Hrvatskom </w:t>
      </w:r>
      <w:proofErr w:type="spellStart"/>
      <w:r w:rsidRPr="00C417C4">
        <w:rPr>
          <w:rFonts w:ascii="Times New Roman" w:eastAsia="Times New Roman" w:hAnsi="Times New Roman" w:cs="Times New Roman"/>
          <w:bCs/>
          <w:sz w:val="24"/>
          <w:szCs w:val="24"/>
          <w:lang w:eastAsia="hr-HR"/>
        </w:rPr>
        <w:t>paraolimpijskom</w:t>
      </w:r>
      <w:proofErr w:type="spellEnd"/>
      <w:r w:rsidRPr="00C417C4">
        <w:rPr>
          <w:rFonts w:ascii="Times New Roman" w:eastAsia="Times New Roman" w:hAnsi="Times New Roman" w:cs="Times New Roman"/>
          <w:bCs/>
          <w:sz w:val="24"/>
          <w:szCs w:val="24"/>
          <w:lang w:eastAsia="hr-HR"/>
        </w:rPr>
        <w:t xml:space="preserve"> odboru isplaćena su sredstva u iznosu od 72.019.728,00 kuna. </w:t>
      </w:r>
      <w:r w:rsidRPr="00C417C4">
        <w:rPr>
          <w:rFonts w:ascii="Times New Roman" w:hAnsi="Times New Roman" w:cs="Times New Roman"/>
          <w:sz w:val="24"/>
          <w:szCs w:val="24"/>
        </w:rPr>
        <w:t>H</w:t>
      </w:r>
      <w:r>
        <w:rPr>
          <w:rFonts w:ascii="Times New Roman" w:hAnsi="Times New Roman" w:cs="Times New Roman"/>
          <w:sz w:val="24"/>
          <w:szCs w:val="24"/>
        </w:rPr>
        <w:t xml:space="preserve">rvatski </w:t>
      </w:r>
      <w:proofErr w:type="spellStart"/>
      <w:r>
        <w:rPr>
          <w:rFonts w:ascii="Times New Roman" w:hAnsi="Times New Roman" w:cs="Times New Roman"/>
          <w:sz w:val="24"/>
          <w:szCs w:val="24"/>
        </w:rPr>
        <w:t>paraolimpijski</w:t>
      </w:r>
      <w:proofErr w:type="spellEnd"/>
      <w:r>
        <w:rPr>
          <w:rFonts w:ascii="Times New Roman" w:hAnsi="Times New Roman" w:cs="Times New Roman"/>
          <w:sz w:val="24"/>
          <w:szCs w:val="24"/>
        </w:rPr>
        <w:t xml:space="preserve"> odbor </w:t>
      </w:r>
      <w:r w:rsidRPr="00C417C4">
        <w:rPr>
          <w:rFonts w:ascii="Times New Roman" w:hAnsi="Times New Roman" w:cs="Times New Roman"/>
          <w:sz w:val="24"/>
          <w:szCs w:val="24"/>
        </w:rPr>
        <w:t>provodi programe za uključivanje osoba s invaliditetom u svakodnevne programirane i planirane sportske aktivnosti u mjestu stanovanja. Poseban značaj imaju aktivnosti koje se odnose na razvojne programe</w:t>
      </w:r>
      <w:r>
        <w:rPr>
          <w:rFonts w:ascii="Times New Roman" w:hAnsi="Times New Roman" w:cs="Times New Roman"/>
          <w:sz w:val="24"/>
          <w:szCs w:val="24"/>
        </w:rPr>
        <w:t xml:space="preserve"> </w:t>
      </w:r>
      <w:r w:rsidRPr="00C417C4">
        <w:rPr>
          <w:rFonts w:ascii="Times New Roman" w:hAnsi="Times New Roman" w:cs="Times New Roman"/>
          <w:sz w:val="24"/>
          <w:szCs w:val="24"/>
        </w:rPr>
        <w:t>u sportu osoba s invaliditetom te djelovanje nacionalnih, županijskih i gradskih sportskih saveza za osobe s invaliditetom.</w:t>
      </w:r>
      <w:bookmarkStart w:id="201" w:name="_Hlk81825316"/>
      <w:r w:rsidRPr="00C417C4">
        <w:rPr>
          <w:rFonts w:ascii="Times New Roman" w:hAnsi="Times New Roman" w:cs="Times New Roman"/>
          <w:sz w:val="24"/>
          <w:szCs w:val="24"/>
        </w:rPr>
        <w:t xml:space="preserve"> </w:t>
      </w:r>
      <w:bookmarkEnd w:id="201"/>
      <w:r w:rsidRPr="00C417C4">
        <w:rPr>
          <w:rFonts w:ascii="Times New Roman" w:hAnsi="Times New Roman" w:cs="Times New Roman"/>
          <w:sz w:val="24"/>
          <w:szCs w:val="24"/>
        </w:rPr>
        <w:t xml:space="preserve">Samo u 2019. godini provedena su 23 programa za razvoj sporta osoba s invaliditetom na nacionalnoj razini u sljedećim sportovima: plivanje, alpsko skijanje, sjedeća odbojka, tenis u kolicima, </w:t>
      </w:r>
      <w:proofErr w:type="spellStart"/>
      <w:r w:rsidRPr="00C417C4">
        <w:rPr>
          <w:rFonts w:ascii="Times New Roman" w:hAnsi="Times New Roman" w:cs="Times New Roman"/>
          <w:sz w:val="24"/>
          <w:szCs w:val="24"/>
        </w:rPr>
        <w:t>parakarate</w:t>
      </w:r>
      <w:proofErr w:type="spellEnd"/>
      <w:r w:rsidRPr="00C417C4">
        <w:rPr>
          <w:rFonts w:ascii="Times New Roman" w:hAnsi="Times New Roman" w:cs="Times New Roman"/>
          <w:sz w:val="24"/>
          <w:szCs w:val="24"/>
        </w:rPr>
        <w:t xml:space="preserve">, stolni tenis, </w:t>
      </w:r>
      <w:proofErr w:type="spellStart"/>
      <w:r w:rsidRPr="00C417C4">
        <w:rPr>
          <w:rFonts w:ascii="Times New Roman" w:hAnsi="Times New Roman" w:cs="Times New Roman"/>
          <w:sz w:val="24"/>
          <w:szCs w:val="24"/>
        </w:rPr>
        <w:t>parataekwondo</w:t>
      </w:r>
      <w:proofErr w:type="spellEnd"/>
      <w:r w:rsidRPr="00C417C4">
        <w:rPr>
          <w:rFonts w:ascii="Times New Roman" w:hAnsi="Times New Roman" w:cs="Times New Roman"/>
          <w:sz w:val="24"/>
          <w:szCs w:val="24"/>
        </w:rPr>
        <w:t xml:space="preserve"> i dresurno jahanje. </w:t>
      </w:r>
    </w:p>
    <w:p w14:paraId="48298749" w14:textId="77777777" w:rsidR="00816216" w:rsidRDefault="00816216" w:rsidP="00816216">
      <w:pPr>
        <w:pStyle w:val="Odlomakpopisa"/>
        <w:spacing w:after="0" w:line="240" w:lineRule="auto"/>
        <w:ind w:left="426"/>
        <w:jc w:val="both"/>
        <w:rPr>
          <w:rFonts w:ascii="Times New Roman" w:hAnsi="Times New Roman" w:cs="Times New Roman"/>
          <w:sz w:val="24"/>
          <w:szCs w:val="24"/>
        </w:rPr>
      </w:pPr>
      <w:r w:rsidRPr="00C417C4">
        <w:rPr>
          <w:rFonts w:ascii="Times New Roman" w:hAnsi="Times New Roman" w:cs="Times New Roman"/>
          <w:sz w:val="24"/>
          <w:szCs w:val="24"/>
        </w:rPr>
        <w:t xml:space="preserve">Programi obuhvaćaju organizacije sportskih kampova, troškove sudjelovanja mladih sportaša na natjecanjima te poticanje ženskog ekipnog sporta. </w:t>
      </w:r>
    </w:p>
    <w:p w14:paraId="7C37C6D2" w14:textId="77777777" w:rsidR="00816216" w:rsidRDefault="00816216" w:rsidP="00816216">
      <w:pPr>
        <w:pStyle w:val="Odlomakpopisa"/>
        <w:spacing w:after="0" w:line="240" w:lineRule="auto"/>
        <w:ind w:left="426"/>
        <w:jc w:val="both"/>
        <w:rPr>
          <w:rFonts w:ascii="Times New Roman" w:hAnsi="Times New Roman" w:cs="Times New Roman"/>
          <w:sz w:val="24"/>
          <w:szCs w:val="24"/>
        </w:rPr>
      </w:pPr>
      <w:r w:rsidRPr="00C417C4">
        <w:rPr>
          <w:rFonts w:ascii="Times New Roman" w:hAnsi="Times New Roman" w:cs="Times New Roman"/>
          <w:sz w:val="24"/>
          <w:szCs w:val="24"/>
        </w:rPr>
        <w:t xml:space="preserve">U sklopu 23 razvojna programa organizirano je 12 kampova za osobe s invaliditetom koji su zbog posebnosti sportova i uvjeta koje je potrebno osigurati organizirani van mjesta stanovanja. </w:t>
      </w:r>
    </w:p>
    <w:p w14:paraId="02D35530" w14:textId="77777777" w:rsidR="00816216" w:rsidRDefault="00816216" w:rsidP="00816216">
      <w:pPr>
        <w:pStyle w:val="Odlomakpopisa"/>
        <w:spacing w:after="0" w:line="240" w:lineRule="auto"/>
        <w:ind w:left="426"/>
        <w:jc w:val="both"/>
        <w:rPr>
          <w:rFonts w:ascii="Times New Roman" w:hAnsi="Times New Roman" w:cs="Times New Roman"/>
          <w:sz w:val="24"/>
          <w:szCs w:val="24"/>
        </w:rPr>
      </w:pPr>
      <w:r w:rsidRPr="00C417C4">
        <w:rPr>
          <w:rFonts w:ascii="Times New Roman" w:hAnsi="Times New Roman" w:cs="Times New Roman"/>
          <w:sz w:val="24"/>
          <w:szCs w:val="24"/>
        </w:rPr>
        <w:t>Broj provedenih programa povećava se iz godine u godinu. Osobe s invaliditetom uključene su i u programe rekreacije odnosno u sportske aktivnosti koje nisu u nomenklaturi sportova H</w:t>
      </w:r>
      <w:r>
        <w:rPr>
          <w:rFonts w:ascii="Times New Roman" w:hAnsi="Times New Roman" w:cs="Times New Roman"/>
          <w:sz w:val="24"/>
          <w:szCs w:val="24"/>
        </w:rPr>
        <w:t xml:space="preserve">rvatskog </w:t>
      </w:r>
      <w:proofErr w:type="spellStart"/>
      <w:r>
        <w:rPr>
          <w:rFonts w:ascii="Times New Roman" w:hAnsi="Times New Roman" w:cs="Times New Roman"/>
          <w:sz w:val="24"/>
          <w:szCs w:val="24"/>
        </w:rPr>
        <w:t>paraolimpijskog</w:t>
      </w:r>
      <w:proofErr w:type="spellEnd"/>
      <w:r>
        <w:rPr>
          <w:rFonts w:ascii="Times New Roman" w:hAnsi="Times New Roman" w:cs="Times New Roman"/>
          <w:sz w:val="24"/>
          <w:szCs w:val="24"/>
        </w:rPr>
        <w:t xml:space="preserve"> odbora</w:t>
      </w:r>
      <w:r w:rsidRPr="00C417C4">
        <w:rPr>
          <w:rFonts w:ascii="Times New Roman" w:hAnsi="Times New Roman" w:cs="Times New Roman"/>
          <w:sz w:val="24"/>
          <w:szCs w:val="24"/>
        </w:rPr>
        <w:t xml:space="preserve">. </w:t>
      </w:r>
    </w:p>
    <w:p w14:paraId="0077BF53" w14:textId="77777777" w:rsidR="00816216" w:rsidRPr="00C417C4" w:rsidRDefault="00816216" w:rsidP="00816216">
      <w:pPr>
        <w:pStyle w:val="Odlomakpopisa"/>
        <w:spacing w:after="0" w:line="240" w:lineRule="auto"/>
        <w:ind w:left="426"/>
        <w:jc w:val="both"/>
        <w:rPr>
          <w:rFonts w:ascii="Times New Roman" w:hAnsi="Times New Roman" w:cs="Times New Roman"/>
          <w:sz w:val="24"/>
          <w:szCs w:val="24"/>
        </w:rPr>
      </w:pPr>
    </w:p>
    <w:p w14:paraId="0CF37F11" w14:textId="77777777" w:rsidR="00816216" w:rsidRDefault="00816216" w:rsidP="00FB05F1">
      <w:pPr>
        <w:pStyle w:val="Odlomakpopisa"/>
        <w:numPr>
          <w:ilvl w:val="0"/>
          <w:numId w:val="29"/>
        </w:numPr>
        <w:spacing w:after="0" w:line="240" w:lineRule="auto"/>
        <w:ind w:left="426" w:hanging="426"/>
        <w:jc w:val="both"/>
        <w:rPr>
          <w:rFonts w:ascii="Times New Roman" w:eastAsia="Times New Roman" w:hAnsi="Times New Roman" w:cs="Times New Roman"/>
          <w:bCs/>
          <w:sz w:val="24"/>
          <w:szCs w:val="24"/>
          <w:lang w:eastAsia="hr-HR"/>
        </w:rPr>
      </w:pPr>
      <w:bookmarkStart w:id="202" w:name="_Hlk81825218"/>
      <w:r w:rsidRPr="00C417C4">
        <w:rPr>
          <w:rFonts w:ascii="Times New Roman" w:eastAsia="Times New Roman" w:hAnsi="Times New Roman" w:cs="Times New Roman"/>
          <w:bCs/>
          <w:sz w:val="24"/>
          <w:szCs w:val="24"/>
          <w:lang w:eastAsia="hr-HR"/>
        </w:rPr>
        <w:t xml:space="preserve">Članovi Hrvatskog sportskog saveza gluhih su 13 županijskih saveza i 3 saveza po sportovima, preko 60 klubova koji okupljaju više od 500 sportaša. </w:t>
      </w:r>
    </w:p>
    <w:p w14:paraId="745E6437" w14:textId="77777777" w:rsidR="00816216" w:rsidRDefault="00816216" w:rsidP="00816216">
      <w:pPr>
        <w:pStyle w:val="Odlomakpopisa"/>
        <w:spacing w:after="0" w:line="240" w:lineRule="auto"/>
        <w:ind w:left="426"/>
        <w:jc w:val="both"/>
        <w:rPr>
          <w:rFonts w:ascii="Times New Roman" w:eastAsia="Times New Roman" w:hAnsi="Times New Roman" w:cs="Times New Roman"/>
          <w:bCs/>
          <w:sz w:val="24"/>
          <w:szCs w:val="24"/>
          <w:lang w:eastAsia="hr-HR"/>
        </w:rPr>
      </w:pPr>
      <w:r w:rsidRPr="00C417C4">
        <w:rPr>
          <w:rFonts w:ascii="Times New Roman" w:eastAsia="Times New Roman" w:hAnsi="Times New Roman" w:cs="Times New Roman"/>
          <w:bCs/>
          <w:sz w:val="24"/>
          <w:szCs w:val="24"/>
          <w:lang w:eastAsia="hr-HR"/>
        </w:rPr>
        <w:t>U razdoblju od 2015. do 2019. godine iz Državnog proračuna Republike Hrvatske, Hrvatskom sportskom savezu gluhih isplaćena su sredstva u ukupnom iznosu od 14.522.622,00 kuna za provedbu razvojnih programa za djecu i mlade s osjetilnim oštećenjima, nastupe na međunarodnim natjecanjima, edukaciju osoba s osjetilnim oštećenjima za trenere, pripreme sportaša i organizaciju natjecanja u Republici Hrvatskoj.</w:t>
      </w:r>
      <w:bookmarkEnd w:id="202"/>
    </w:p>
    <w:p w14:paraId="64379622" w14:textId="77777777" w:rsidR="00816216" w:rsidRDefault="00816216" w:rsidP="00816216">
      <w:pPr>
        <w:pStyle w:val="Odlomakpopisa"/>
        <w:spacing w:after="0" w:line="240" w:lineRule="auto"/>
        <w:ind w:left="426"/>
        <w:jc w:val="both"/>
      </w:pPr>
      <w:r w:rsidRPr="00C417C4">
        <w:rPr>
          <w:rFonts w:ascii="Times New Roman" w:eastAsia="Times New Roman" w:hAnsi="Times New Roman" w:cs="Times New Roman"/>
          <w:bCs/>
          <w:sz w:val="24"/>
          <w:szCs w:val="24"/>
          <w:lang w:eastAsia="hr-HR"/>
        </w:rPr>
        <w:t>Hrvatsk</w:t>
      </w:r>
      <w:r>
        <w:rPr>
          <w:rFonts w:ascii="Times New Roman" w:eastAsia="Times New Roman" w:hAnsi="Times New Roman" w:cs="Times New Roman"/>
          <w:bCs/>
          <w:sz w:val="24"/>
          <w:szCs w:val="24"/>
          <w:lang w:eastAsia="hr-HR"/>
        </w:rPr>
        <w:t>i</w:t>
      </w:r>
      <w:r w:rsidRPr="00C417C4">
        <w:rPr>
          <w:rFonts w:ascii="Times New Roman" w:eastAsia="Times New Roman" w:hAnsi="Times New Roman" w:cs="Times New Roman"/>
          <w:bCs/>
          <w:sz w:val="24"/>
          <w:szCs w:val="24"/>
          <w:lang w:eastAsia="hr-HR"/>
        </w:rPr>
        <w:t xml:space="preserve"> sportsk</w:t>
      </w:r>
      <w:r>
        <w:rPr>
          <w:rFonts w:ascii="Times New Roman" w:eastAsia="Times New Roman" w:hAnsi="Times New Roman" w:cs="Times New Roman"/>
          <w:bCs/>
          <w:sz w:val="24"/>
          <w:szCs w:val="24"/>
          <w:lang w:eastAsia="hr-HR"/>
        </w:rPr>
        <w:t>i</w:t>
      </w:r>
      <w:r w:rsidRPr="00C417C4">
        <w:rPr>
          <w:rFonts w:ascii="Times New Roman" w:eastAsia="Times New Roman" w:hAnsi="Times New Roman" w:cs="Times New Roman"/>
          <w:bCs/>
          <w:sz w:val="24"/>
          <w:szCs w:val="24"/>
          <w:lang w:eastAsia="hr-HR"/>
        </w:rPr>
        <w:t xml:space="preserve"> savez</w:t>
      </w:r>
      <w:r>
        <w:rPr>
          <w:rFonts w:ascii="Times New Roman" w:eastAsia="Times New Roman" w:hAnsi="Times New Roman" w:cs="Times New Roman"/>
          <w:bCs/>
          <w:sz w:val="24"/>
          <w:szCs w:val="24"/>
          <w:lang w:eastAsia="hr-HR"/>
        </w:rPr>
        <w:t>i</w:t>
      </w:r>
      <w:r w:rsidRPr="00C417C4">
        <w:rPr>
          <w:rFonts w:ascii="Times New Roman" w:eastAsia="Times New Roman" w:hAnsi="Times New Roman" w:cs="Times New Roman"/>
          <w:bCs/>
          <w:sz w:val="24"/>
          <w:szCs w:val="24"/>
          <w:lang w:eastAsia="hr-HR"/>
        </w:rPr>
        <w:t xml:space="preserve"> gluhih</w:t>
      </w:r>
      <w:r w:rsidRPr="00FE07F4">
        <w:rPr>
          <w:rFonts w:ascii="Times New Roman" w:hAnsi="Times New Roman" w:cs="Times New Roman"/>
          <w:sz w:val="24"/>
          <w:szCs w:val="24"/>
        </w:rPr>
        <w:t xml:space="preserve"> kontinuirano kroz koordinaciju sa svojim članicama radi na uključivanju osoba s osjetilnim oštećenjima u sustav sporta. Kroz provedbu javnih potreba u sportu podupire svoje članice, sportašima osigurava bolje materijalne uvjete za treniranje </w:t>
      </w:r>
      <w:r>
        <w:rPr>
          <w:rFonts w:ascii="Times New Roman" w:hAnsi="Times New Roman" w:cs="Times New Roman"/>
          <w:sz w:val="24"/>
          <w:szCs w:val="24"/>
        </w:rPr>
        <w:t>i</w:t>
      </w:r>
      <w:r w:rsidRPr="00FE07F4">
        <w:rPr>
          <w:rFonts w:ascii="Times New Roman" w:hAnsi="Times New Roman" w:cs="Times New Roman"/>
          <w:sz w:val="24"/>
          <w:szCs w:val="24"/>
        </w:rPr>
        <w:t xml:space="preserve"> uključivanje u sustav natjecanja. </w:t>
      </w:r>
    </w:p>
    <w:p w14:paraId="451959EF" w14:textId="77777777" w:rsidR="004B03CB" w:rsidRDefault="004B03CB" w:rsidP="006B5133">
      <w:pPr>
        <w:pStyle w:val="t-98-2"/>
        <w:shd w:val="clear" w:color="auto" w:fill="FFFFFF"/>
        <w:spacing w:before="0" w:beforeAutospacing="0" w:after="0" w:afterAutospacing="0"/>
        <w:jc w:val="both"/>
        <w:textAlignment w:val="baseline"/>
      </w:pPr>
    </w:p>
    <w:p w14:paraId="340E16FD" w14:textId="77777777" w:rsidR="004B03CB" w:rsidRDefault="004B03CB" w:rsidP="006B5133">
      <w:pPr>
        <w:pStyle w:val="t-98-2"/>
        <w:shd w:val="clear" w:color="auto" w:fill="FFFFFF"/>
        <w:spacing w:before="0" w:beforeAutospacing="0" w:after="0" w:afterAutospacing="0"/>
        <w:jc w:val="both"/>
        <w:textAlignment w:val="baseline"/>
      </w:pPr>
    </w:p>
    <w:p w14:paraId="27F8ADFD" w14:textId="77777777" w:rsidR="00F13184" w:rsidRDefault="00F13184">
      <w:pPr>
        <w:rPr>
          <w:rFonts w:ascii="Times New Roman" w:hAnsi="Times New Roman" w:cs="Times New Roman"/>
          <w:b/>
          <w:bCs/>
          <w:sz w:val="24"/>
          <w:szCs w:val="24"/>
        </w:rPr>
      </w:pPr>
      <w:r>
        <w:rPr>
          <w:rFonts w:ascii="Times New Roman" w:hAnsi="Times New Roman" w:cs="Times New Roman"/>
          <w:b/>
          <w:bCs/>
          <w:sz w:val="24"/>
          <w:szCs w:val="24"/>
        </w:rPr>
        <w:br w:type="page"/>
      </w:r>
    </w:p>
    <w:p w14:paraId="3FC08D8F" w14:textId="39F0B932" w:rsidR="00816216" w:rsidRPr="002E64E7" w:rsidRDefault="00816216" w:rsidP="002E64E7">
      <w:pPr>
        <w:pStyle w:val="Naslov1"/>
        <w:rPr>
          <w:rFonts w:ascii="Times New Roman" w:hAnsi="Times New Roman" w:cs="Times New Roman"/>
          <w:b/>
          <w:bCs/>
          <w:color w:val="auto"/>
          <w:sz w:val="24"/>
          <w:szCs w:val="24"/>
        </w:rPr>
      </w:pPr>
      <w:bookmarkStart w:id="203" w:name="_Toc88031212"/>
      <w:r w:rsidRPr="002E64E7">
        <w:rPr>
          <w:rFonts w:ascii="Times New Roman" w:hAnsi="Times New Roman" w:cs="Times New Roman"/>
          <w:b/>
          <w:bCs/>
          <w:color w:val="auto"/>
          <w:sz w:val="24"/>
          <w:szCs w:val="24"/>
        </w:rPr>
        <w:lastRenderedPageBreak/>
        <w:t>D</w:t>
      </w:r>
      <w:r w:rsidR="002E64E7" w:rsidRPr="002E64E7">
        <w:rPr>
          <w:rFonts w:ascii="Times New Roman" w:hAnsi="Times New Roman" w:cs="Times New Roman"/>
          <w:b/>
          <w:bCs/>
          <w:color w:val="auto"/>
          <w:sz w:val="24"/>
          <w:szCs w:val="24"/>
        </w:rPr>
        <w:t>odatak: Pitanja odbora za prava osoba s invaliditetom ujedinjenih naroda</w:t>
      </w:r>
      <w:bookmarkEnd w:id="203"/>
    </w:p>
    <w:p w14:paraId="59038C7A" w14:textId="77777777" w:rsidR="00816216" w:rsidRPr="002E64E7" w:rsidRDefault="00816216" w:rsidP="00816216">
      <w:pPr>
        <w:spacing w:after="0" w:line="240" w:lineRule="auto"/>
        <w:jc w:val="both"/>
        <w:rPr>
          <w:rFonts w:ascii="Times New Roman" w:hAnsi="Times New Roman" w:cs="Times New Roman"/>
          <w:i/>
          <w:iCs/>
          <w:sz w:val="24"/>
          <w:szCs w:val="24"/>
          <w:lang w:eastAsia="hr-HR"/>
        </w:rPr>
      </w:pPr>
    </w:p>
    <w:p w14:paraId="783102E0" w14:textId="77777777" w:rsidR="00816216" w:rsidRDefault="00816216" w:rsidP="00816216">
      <w:pPr>
        <w:spacing w:after="0" w:line="240" w:lineRule="auto"/>
        <w:jc w:val="both"/>
        <w:rPr>
          <w:rFonts w:ascii="Times New Roman" w:hAnsi="Times New Roman" w:cs="Times New Roman"/>
          <w:i/>
          <w:iCs/>
          <w:sz w:val="24"/>
          <w:szCs w:val="24"/>
          <w:lang w:eastAsia="hr-HR"/>
        </w:rPr>
      </w:pPr>
    </w:p>
    <w:p w14:paraId="0B48546C" w14:textId="77777777" w:rsidR="00816216" w:rsidRPr="000837EF" w:rsidRDefault="00816216" w:rsidP="00816216">
      <w:pPr>
        <w:spacing w:after="0" w:line="240" w:lineRule="auto"/>
        <w:jc w:val="both"/>
        <w:rPr>
          <w:rFonts w:ascii="Times New Roman" w:hAnsi="Times New Roman" w:cs="Times New Roman"/>
          <w:sz w:val="24"/>
          <w:szCs w:val="24"/>
          <w:lang w:eastAsia="hr-HR"/>
        </w:rPr>
      </w:pPr>
      <w:r w:rsidRPr="000837EF">
        <w:rPr>
          <w:rFonts w:ascii="Times New Roman" w:hAnsi="Times New Roman" w:cs="Times New Roman"/>
          <w:sz w:val="24"/>
          <w:szCs w:val="24"/>
          <w:lang w:eastAsia="hr-HR"/>
        </w:rPr>
        <w:t>Pitanje 1</w:t>
      </w:r>
    </w:p>
    <w:p w14:paraId="70DB6F40" w14:textId="77777777" w:rsidR="00816216" w:rsidRPr="000837EF" w:rsidRDefault="00816216" w:rsidP="00816216">
      <w:pPr>
        <w:spacing w:after="0" w:line="240" w:lineRule="auto"/>
        <w:jc w:val="both"/>
        <w:rPr>
          <w:rFonts w:ascii="Times New Roman" w:hAnsi="Times New Roman" w:cs="Times New Roman"/>
          <w:sz w:val="24"/>
          <w:szCs w:val="24"/>
          <w:lang w:eastAsia="hr-HR"/>
        </w:rPr>
      </w:pPr>
      <w:r w:rsidRPr="000837EF">
        <w:rPr>
          <w:rFonts w:ascii="Times New Roman" w:hAnsi="Times New Roman" w:cs="Times New Roman"/>
          <w:sz w:val="24"/>
          <w:szCs w:val="24"/>
          <w:lang w:eastAsia="hr-HR"/>
        </w:rPr>
        <w:t>Molimo dostavite podatke o poduzetim mjerama za provedbu preporuka koje je Odbor izradio u svojim prethodnim zaključnim napomenama (CRPD/C/HRV/CO/1), a posebice o poduzetim koracima za:</w:t>
      </w:r>
    </w:p>
    <w:p w14:paraId="2D47D70C" w14:textId="77777777" w:rsidR="00816216" w:rsidRDefault="00816216" w:rsidP="00FB05F1">
      <w:pPr>
        <w:pStyle w:val="Odlomakpopisa"/>
        <w:numPr>
          <w:ilvl w:val="0"/>
          <w:numId w:val="33"/>
        </w:numPr>
        <w:spacing w:after="0" w:line="240" w:lineRule="auto"/>
        <w:rPr>
          <w:rFonts w:ascii="Times New Roman" w:hAnsi="Times New Roman" w:cs="Times New Roman"/>
          <w:sz w:val="24"/>
          <w:szCs w:val="24"/>
          <w:lang w:eastAsia="hr-HR"/>
        </w:rPr>
      </w:pPr>
      <w:r w:rsidRPr="000837EF">
        <w:rPr>
          <w:rFonts w:ascii="Times New Roman" w:hAnsi="Times New Roman" w:cs="Times New Roman"/>
          <w:sz w:val="24"/>
          <w:szCs w:val="24"/>
          <w:lang w:eastAsia="hr-HR"/>
        </w:rPr>
        <w:t>Sveobuhvatno preispitivanje i izmjenu zakona i politika za osobe s invaliditetom, također i na razini općina i županija, s ciljem poštovanja Konvencije</w:t>
      </w:r>
    </w:p>
    <w:p w14:paraId="3811B74F" w14:textId="77777777" w:rsidR="00816216" w:rsidRDefault="00816216" w:rsidP="00FB05F1">
      <w:pPr>
        <w:pStyle w:val="Odlomakpopisa"/>
        <w:numPr>
          <w:ilvl w:val="0"/>
          <w:numId w:val="33"/>
        </w:numPr>
        <w:spacing w:after="0" w:line="240" w:lineRule="auto"/>
        <w:rPr>
          <w:rFonts w:ascii="Times New Roman" w:hAnsi="Times New Roman" w:cs="Times New Roman"/>
          <w:sz w:val="24"/>
          <w:szCs w:val="24"/>
          <w:lang w:eastAsia="hr-HR"/>
        </w:rPr>
      </w:pPr>
      <w:r w:rsidRPr="000837EF">
        <w:rPr>
          <w:rFonts w:ascii="Times New Roman" w:hAnsi="Times New Roman" w:cs="Times New Roman"/>
          <w:sz w:val="24"/>
          <w:szCs w:val="24"/>
          <w:lang w:eastAsia="hr-HR"/>
        </w:rPr>
        <w:t>Osiguravanje da su koncepti razumne prilagodbe i univerzalnog dizajna uređeni u područjima poput obrazovanja, zdravstva, prijevoza i fizičkog prostora</w:t>
      </w:r>
    </w:p>
    <w:p w14:paraId="1AB22446" w14:textId="77777777" w:rsidR="00816216" w:rsidRPr="000837EF" w:rsidRDefault="00816216" w:rsidP="00FB05F1">
      <w:pPr>
        <w:pStyle w:val="Odlomakpopisa"/>
        <w:numPr>
          <w:ilvl w:val="0"/>
          <w:numId w:val="33"/>
        </w:numPr>
        <w:spacing w:after="0" w:line="240" w:lineRule="auto"/>
        <w:rPr>
          <w:rFonts w:ascii="Times New Roman" w:hAnsi="Times New Roman" w:cs="Times New Roman"/>
          <w:sz w:val="24"/>
          <w:szCs w:val="24"/>
          <w:lang w:eastAsia="hr-HR"/>
        </w:rPr>
      </w:pPr>
      <w:r w:rsidRPr="000837EF">
        <w:rPr>
          <w:rFonts w:ascii="Times New Roman" w:hAnsi="Times New Roman" w:cs="Times New Roman"/>
          <w:sz w:val="24"/>
          <w:szCs w:val="24"/>
          <w:lang w:eastAsia="hr-HR"/>
        </w:rPr>
        <w:t>Pružanje financijskih sredstava za uključenost organizacija osoba s invaliditetom kako bi ostvarile vlastitu ulogu, sukladno članku 4.3.Konvencije</w:t>
      </w:r>
    </w:p>
    <w:p w14:paraId="3F264B5A" w14:textId="77777777" w:rsidR="00816216" w:rsidRPr="000837EF" w:rsidRDefault="00816216" w:rsidP="00816216">
      <w:pPr>
        <w:widowControl w:val="0"/>
        <w:adjustRightInd w:val="0"/>
        <w:spacing w:after="0" w:line="240" w:lineRule="auto"/>
        <w:jc w:val="both"/>
        <w:textAlignment w:val="baseline"/>
        <w:rPr>
          <w:rFonts w:ascii="Times New Roman" w:eastAsia="Times New Roman" w:hAnsi="Times New Roman" w:cs="Times New Roman"/>
          <w:sz w:val="24"/>
          <w:szCs w:val="24"/>
        </w:rPr>
      </w:pPr>
    </w:p>
    <w:p w14:paraId="3B257ED5" w14:textId="77777777" w:rsidR="00816216" w:rsidRDefault="00816216" w:rsidP="00816216">
      <w:pPr>
        <w:spacing w:after="0" w:line="240" w:lineRule="auto"/>
        <w:jc w:val="both"/>
        <w:rPr>
          <w:rFonts w:ascii="Times New Roman" w:eastAsia="Times New Roman" w:hAnsi="Times New Roman" w:cs="Times New Roman"/>
          <w:bCs/>
          <w:sz w:val="24"/>
          <w:szCs w:val="24"/>
          <w:lang w:eastAsia="hr-HR"/>
        </w:rPr>
      </w:pPr>
      <w:r w:rsidRPr="000837EF">
        <w:rPr>
          <w:rFonts w:ascii="Times New Roman" w:hAnsi="Times New Roman" w:cs="Times New Roman"/>
          <w:sz w:val="24"/>
          <w:szCs w:val="24"/>
        </w:rPr>
        <w:t xml:space="preserve">Pitanje </w:t>
      </w:r>
      <w:r w:rsidRPr="000837EF">
        <w:rPr>
          <w:rFonts w:ascii="Times New Roman" w:eastAsia="Times New Roman" w:hAnsi="Times New Roman" w:cs="Times New Roman"/>
          <w:bCs/>
          <w:sz w:val="24"/>
          <w:szCs w:val="24"/>
          <w:lang w:eastAsia="hr-HR"/>
        </w:rPr>
        <w:t>2</w:t>
      </w:r>
    </w:p>
    <w:p w14:paraId="287F81A1" w14:textId="77777777" w:rsidR="00816216" w:rsidRPr="000837EF" w:rsidRDefault="00816216" w:rsidP="00816216">
      <w:pPr>
        <w:spacing w:after="0" w:line="240" w:lineRule="auto"/>
        <w:jc w:val="both"/>
        <w:rPr>
          <w:rFonts w:ascii="Times New Roman" w:eastAsia="Times New Roman" w:hAnsi="Times New Roman" w:cs="Times New Roman"/>
          <w:sz w:val="24"/>
          <w:szCs w:val="24"/>
          <w:lang w:eastAsia="hr-HR"/>
        </w:rPr>
      </w:pPr>
      <w:r w:rsidRPr="000837EF">
        <w:rPr>
          <w:rFonts w:ascii="Times New Roman" w:eastAsia="Times New Roman" w:hAnsi="Times New Roman" w:cs="Times New Roman"/>
          <w:bCs/>
          <w:sz w:val="24"/>
          <w:szCs w:val="24"/>
          <w:lang w:eastAsia="hr-HR"/>
        </w:rPr>
        <w:t xml:space="preserve">Također molimo da obavijestite Odbor o postignutim </w:t>
      </w:r>
      <w:bookmarkStart w:id="204" w:name="_Hlk78530383"/>
      <w:r w:rsidRPr="000837EF">
        <w:rPr>
          <w:rFonts w:ascii="Times New Roman" w:eastAsia="Times New Roman" w:hAnsi="Times New Roman" w:cs="Times New Roman"/>
          <w:bCs/>
          <w:sz w:val="24"/>
          <w:szCs w:val="24"/>
          <w:lang w:eastAsia="hr-HR"/>
        </w:rPr>
        <w:t xml:space="preserve">rezultatima provedbe Nacionalne strategije za </w:t>
      </w:r>
      <w:r w:rsidRPr="000837EF">
        <w:rPr>
          <w:rFonts w:ascii="Times New Roman" w:eastAsia="Times New Roman" w:hAnsi="Times New Roman" w:cs="Times New Roman"/>
          <w:sz w:val="24"/>
          <w:szCs w:val="24"/>
          <w:lang w:eastAsia="hr-HR"/>
        </w:rPr>
        <w:t>uključivanje Roma, za razdoblje od 2013. do 2020. godine</w:t>
      </w:r>
      <w:bookmarkEnd w:id="204"/>
      <w:r w:rsidRPr="000837EF">
        <w:rPr>
          <w:rFonts w:ascii="Times New Roman" w:eastAsia="Times New Roman" w:hAnsi="Times New Roman" w:cs="Times New Roman"/>
          <w:sz w:val="24"/>
          <w:szCs w:val="24"/>
          <w:lang w:eastAsia="hr-HR"/>
        </w:rPr>
        <w:t>, osobito njezin doprinos većoj zaštiti i primicanju prava žena, djevojaka i djece s invaliditetom.</w:t>
      </w:r>
    </w:p>
    <w:p w14:paraId="3E9CC592" w14:textId="77777777" w:rsidR="00816216" w:rsidRPr="000837EF" w:rsidRDefault="00816216" w:rsidP="00816216">
      <w:pPr>
        <w:spacing w:after="0" w:line="240" w:lineRule="auto"/>
        <w:jc w:val="both"/>
        <w:rPr>
          <w:rFonts w:ascii="Times New Roman" w:eastAsia="Times New Roman" w:hAnsi="Times New Roman" w:cs="Times New Roman"/>
          <w:sz w:val="24"/>
          <w:szCs w:val="24"/>
          <w:lang w:eastAsia="hr-HR"/>
        </w:rPr>
      </w:pPr>
    </w:p>
    <w:p w14:paraId="1F5441D7" w14:textId="77777777" w:rsidR="00816216" w:rsidRDefault="00816216" w:rsidP="00816216">
      <w:pPr>
        <w:spacing w:after="0" w:line="240" w:lineRule="auto"/>
        <w:jc w:val="both"/>
        <w:rPr>
          <w:rFonts w:ascii="Times New Roman" w:eastAsia="Times New Roman" w:hAnsi="Times New Roman" w:cs="Times New Roman"/>
          <w:bCs/>
          <w:sz w:val="24"/>
          <w:szCs w:val="24"/>
          <w:lang w:eastAsia="hr-HR"/>
        </w:rPr>
      </w:pPr>
      <w:r w:rsidRPr="000837EF">
        <w:rPr>
          <w:rFonts w:ascii="Times New Roman" w:eastAsia="Times New Roman" w:hAnsi="Times New Roman" w:cs="Times New Roman"/>
          <w:bCs/>
          <w:sz w:val="24"/>
          <w:szCs w:val="24"/>
          <w:lang w:eastAsia="hr-HR"/>
        </w:rPr>
        <w:t>Pitanje 3</w:t>
      </w:r>
    </w:p>
    <w:p w14:paraId="7E6E99BC" w14:textId="77777777" w:rsidR="00816216" w:rsidRPr="000837EF" w:rsidRDefault="00816216" w:rsidP="00816216">
      <w:pPr>
        <w:spacing w:after="0" w:line="240" w:lineRule="auto"/>
        <w:jc w:val="both"/>
        <w:rPr>
          <w:rFonts w:ascii="Times New Roman" w:eastAsia="Times New Roman" w:hAnsi="Times New Roman" w:cs="Times New Roman"/>
          <w:bCs/>
          <w:sz w:val="24"/>
          <w:szCs w:val="24"/>
          <w:lang w:eastAsia="hr-HR"/>
        </w:rPr>
      </w:pPr>
      <w:r w:rsidRPr="000837EF">
        <w:rPr>
          <w:rFonts w:ascii="Times New Roman" w:eastAsia="Times New Roman" w:hAnsi="Times New Roman" w:cs="Times New Roman"/>
          <w:bCs/>
          <w:sz w:val="24"/>
          <w:szCs w:val="24"/>
          <w:lang w:eastAsia="hr-HR"/>
        </w:rPr>
        <w:t>Molimo dostavite razvrstane podatke o broju slučajeva diskriminacije na osnovi invaliditeta te po područjima javnog života u kojima je došlo do diskriminacije. Također molimo da navedete podatke o poduzetim mjerama s ciljem osiguravanja da se isključivanje i izdvajanje na osnovi oštećenja u obrazovanju, zapošljavanju i drugim područjima društvenog života prepoznaju kao oblik diskriminacije sukladno općem komentaru br. 6 (2018.) o jednakosti i nediskriminaciji</w:t>
      </w:r>
      <w:r>
        <w:rPr>
          <w:rFonts w:ascii="Times New Roman" w:eastAsia="Times New Roman" w:hAnsi="Times New Roman" w:cs="Times New Roman"/>
          <w:bCs/>
          <w:sz w:val="24"/>
          <w:szCs w:val="24"/>
          <w:lang w:eastAsia="hr-HR"/>
        </w:rPr>
        <w:t>.</w:t>
      </w:r>
    </w:p>
    <w:p w14:paraId="740CD02F" w14:textId="77777777" w:rsidR="00816216" w:rsidRPr="000837EF" w:rsidRDefault="00816216" w:rsidP="00816216">
      <w:pPr>
        <w:spacing w:after="0" w:line="240" w:lineRule="auto"/>
        <w:rPr>
          <w:rFonts w:ascii="Times New Roman" w:hAnsi="Times New Roman" w:cs="Times New Roman"/>
          <w:sz w:val="24"/>
          <w:szCs w:val="24"/>
        </w:rPr>
      </w:pPr>
    </w:p>
    <w:p w14:paraId="2A9B83E7" w14:textId="77777777" w:rsidR="00816216" w:rsidRDefault="00816216" w:rsidP="00816216">
      <w:pPr>
        <w:spacing w:after="0" w:line="240" w:lineRule="auto"/>
        <w:jc w:val="both"/>
        <w:rPr>
          <w:rFonts w:ascii="Times New Roman" w:eastAsia="Times New Roman" w:hAnsi="Times New Roman" w:cs="Times New Roman"/>
          <w:bCs/>
          <w:sz w:val="24"/>
          <w:szCs w:val="24"/>
          <w:lang w:eastAsia="hr-HR"/>
        </w:rPr>
      </w:pPr>
      <w:r w:rsidRPr="000837EF">
        <w:rPr>
          <w:rFonts w:ascii="Times New Roman" w:eastAsia="Times New Roman" w:hAnsi="Times New Roman" w:cs="Times New Roman"/>
          <w:bCs/>
          <w:sz w:val="24"/>
          <w:szCs w:val="24"/>
          <w:lang w:eastAsia="hr-HR"/>
        </w:rPr>
        <w:t>Pitanje 4</w:t>
      </w:r>
    </w:p>
    <w:p w14:paraId="2B1FECE4" w14:textId="77777777" w:rsidR="00816216" w:rsidRPr="000837EF" w:rsidRDefault="00816216" w:rsidP="00816216">
      <w:pPr>
        <w:spacing w:after="0" w:line="240" w:lineRule="auto"/>
        <w:jc w:val="both"/>
        <w:rPr>
          <w:rFonts w:ascii="Times New Roman" w:eastAsia="Times New Roman" w:hAnsi="Times New Roman" w:cs="Times New Roman"/>
          <w:bCs/>
          <w:sz w:val="24"/>
          <w:szCs w:val="24"/>
          <w:lang w:eastAsia="hr-HR"/>
        </w:rPr>
      </w:pPr>
      <w:r w:rsidRPr="000837EF">
        <w:rPr>
          <w:rFonts w:ascii="Times New Roman" w:eastAsia="Times New Roman" w:hAnsi="Times New Roman" w:cs="Times New Roman"/>
          <w:bCs/>
          <w:sz w:val="24"/>
          <w:szCs w:val="24"/>
          <w:lang w:eastAsia="hr-HR"/>
        </w:rPr>
        <w:t>Molimo navedite podatke o poduzetim mjerama za osiguranje provedbe preporuke Pravobraniteljice za ravnopravnost spolova (2013.). Molimo nadalje obrazložite poduzete napore za uključenje aspekta invaliditeta u sve politike i programe, uključujući i one vezane uz ravnopravnost spolova. Molimo izvijestite o poduzetim koracima za ažuriranje Nacionalne politike za ravnopravnost spolova 2011.-2015., s ciljem uključivanja transverzalnih mjera u svrhu uključivanja žena i djevojaka s invaliditetom pretežito u područja sudjelovanja u javnom životu, obrazovanju i zapošljavanju.</w:t>
      </w:r>
    </w:p>
    <w:p w14:paraId="02CFB49C" w14:textId="77777777" w:rsidR="00816216" w:rsidRPr="000837EF" w:rsidRDefault="00816216" w:rsidP="00816216">
      <w:pPr>
        <w:spacing w:after="0" w:line="240" w:lineRule="auto"/>
        <w:rPr>
          <w:rFonts w:ascii="Times New Roman" w:hAnsi="Times New Roman" w:cs="Times New Roman"/>
          <w:sz w:val="24"/>
          <w:szCs w:val="24"/>
          <w:lang w:eastAsia="hr-HR"/>
        </w:rPr>
      </w:pPr>
    </w:p>
    <w:p w14:paraId="7550669D" w14:textId="77777777" w:rsidR="00816216" w:rsidRDefault="00816216" w:rsidP="00816216">
      <w:pPr>
        <w:spacing w:after="0" w:line="240" w:lineRule="auto"/>
        <w:jc w:val="both"/>
        <w:rPr>
          <w:rFonts w:ascii="Times New Roman" w:eastAsia="Times New Roman" w:hAnsi="Times New Roman" w:cs="Times New Roman"/>
          <w:bCs/>
          <w:sz w:val="24"/>
          <w:szCs w:val="24"/>
          <w:lang w:eastAsia="hr-HR"/>
        </w:rPr>
      </w:pPr>
      <w:r w:rsidRPr="000837EF">
        <w:rPr>
          <w:rFonts w:ascii="Times New Roman" w:eastAsia="Times New Roman" w:hAnsi="Times New Roman" w:cs="Times New Roman"/>
          <w:bCs/>
          <w:sz w:val="24"/>
          <w:szCs w:val="24"/>
          <w:lang w:eastAsia="hr-HR"/>
        </w:rPr>
        <w:t>Pitanje 5</w:t>
      </w:r>
    </w:p>
    <w:p w14:paraId="287D79BE" w14:textId="77777777" w:rsidR="00816216" w:rsidRPr="000837EF" w:rsidRDefault="00816216" w:rsidP="00816216">
      <w:pPr>
        <w:spacing w:after="0" w:line="240" w:lineRule="auto"/>
        <w:jc w:val="both"/>
        <w:rPr>
          <w:rFonts w:ascii="Times New Roman" w:eastAsia="Times New Roman" w:hAnsi="Times New Roman" w:cs="Times New Roman"/>
          <w:bCs/>
          <w:sz w:val="24"/>
          <w:szCs w:val="24"/>
          <w:lang w:eastAsia="hr-HR"/>
        </w:rPr>
      </w:pPr>
      <w:r w:rsidRPr="000837EF">
        <w:rPr>
          <w:rFonts w:ascii="Times New Roman" w:eastAsia="Times New Roman" w:hAnsi="Times New Roman" w:cs="Times New Roman"/>
          <w:bCs/>
          <w:sz w:val="24"/>
          <w:szCs w:val="24"/>
          <w:lang w:eastAsia="hr-HR"/>
        </w:rPr>
        <w:t xml:space="preserve">Molimo objasnite poduzete mjere za jačanje zakona i politika za </w:t>
      </w:r>
      <w:proofErr w:type="spellStart"/>
      <w:r w:rsidRPr="000837EF">
        <w:rPr>
          <w:rFonts w:ascii="Times New Roman" w:eastAsia="Times New Roman" w:hAnsi="Times New Roman" w:cs="Times New Roman"/>
          <w:bCs/>
          <w:sz w:val="24"/>
          <w:szCs w:val="24"/>
          <w:lang w:eastAsia="hr-HR"/>
        </w:rPr>
        <w:t>deinstitucionalizaciju</w:t>
      </w:r>
      <w:proofErr w:type="spellEnd"/>
      <w:r w:rsidRPr="000837EF">
        <w:rPr>
          <w:rFonts w:ascii="Times New Roman" w:eastAsia="Times New Roman" w:hAnsi="Times New Roman" w:cs="Times New Roman"/>
          <w:bCs/>
          <w:sz w:val="24"/>
          <w:szCs w:val="24"/>
          <w:lang w:eastAsia="hr-HR"/>
        </w:rPr>
        <w:t xml:space="preserve"> djece s teškoćama u razvoju, uključujući i korake za moratorij na nove prihvate, za razvoj i jačanje sustava </w:t>
      </w:r>
      <w:proofErr w:type="spellStart"/>
      <w:r w:rsidRPr="000837EF">
        <w:rPr>
          <w:rFonts w:ascii="Times New Roman" w:eastAsia="Times New Roman" w:hAnsi="Times New Roman" w:cs="Times New Roman"/>
          <w:bCs/>
          <w:sz w:val="24"/>
          <w:szCs w:val="24"/>
          <w:lang w:eastAsia="hr-HR"/>
        </w:rPr>
        <w:t>udomiteljstva</w:t>
      </w:r>
      <w:proofErr w:type="spellEnd"/>
      <w:r w:rsidRPr="000837EF">
        <w:rPr>
          <w:rFonts w:ascii="Times New Roman" w:eastAsia="Times New Roman" w:hAnsi="Times New Roman" w:cs="Times New Roman"/>
          <w:bCs/>
          <w:sz w:val="24"/>
          <w:szCs w:val="24"/>
          <w:lang w:eastAsia="hr-HR"/>
        </w:rPr>
        <w:t xml:space="preserve">, te uložene napore za postizanje postavljenog cilja 2016. o smanjenju broja djece s teškoćama u razvoju na smještaju u institucijama za 40%. </w:t>
      </w:r>
    </w:p>
    <w:p w14:paraId="70B43D5F" w14:textId="77777777" w:rsidR="00816216" w:rsidRPr="000837EF" w:rsidRDefault="00816216" w:rsidP="00816216">
      <w:pPr>
        <w:spacing w:after="0" w:line="240" w:lineRule="auto"/>
        <w:rPr>
          <w:rFonts w:ascii="Times New Roman" w:hAnsi="Times New Roman" w:cs="Times New Roman"/>
          <w:sz w:val="24"/>
          <w:szCs w:val="24"/>
        </w:rPr>
      </w:pPr>
    </w:p>
    <w:p w14:paraId="4DA34D10" w14:textId="77777777" w:rsidR="00816216" w:rsidRDefault="00816216" w:rsidP="00816216">
      <w:pPr>
        <w:spacing w:after="0" w:line="240" w:lineRule="auto"/>
        <w:jc w:val="both"/>
        <w:rPr>
          <w:rFonts w:ascii="Times New Roman" w:eastAsia="Times New Roman" w:hAnsi="Times New Roman" w:cs="Times New Roman"/>
          <w:bCs/>
          <w:sz w:val="24"/>
          <w:szCs w:val="24"/>
          <w:lang w:eastAsia="hr-HR"/>
        </w:rPr>
      </w:pPr>
      <w:r w:rsidRPr="000837EF">
        <w:rPr>
          <w:rFonts w:ascii="Times New Roman" w:eastAsia="Times New Roman" w:hAnsi="Times New Roman" w:cs="Times New Roman"/>
          <w:bCs/>
          <w:sz w:val="24"/>
          <w:szCs w:val="24"/>
          <w:lang w:eastAsia="hr-HR"/>
        </w:rPr>
        <w:t>Pitanje 6</w:t>
      </w:r>
    </w:p>
    <w:p w14:paraId="0CD039DB" w14:textId="77777777" w:rsidR="00816216" w:rsidRPr="000837EF" w:rsidRDefault="00816216" w:rsidP="00816216">
      <w:pPr>
        <w:spacing w:after="0" w:line="240" w:lineRule="auto"/>
        <w:jc w:val="both"/>
        <w:rPr>
          <w:rFonts w:ascii="Times New Roman" w:eastAsia="Times New Roman" w:hAnsi="Times New Roman" w:cs="Times New Roman"/>
          <w:bCs/>
          <w:sz w:val="24"/>
          <w:szCs w:val="24"/>
          <w:lang w:eastAsia="hr-HR"/>
        </w:rPr>
      </w:pPr>
      <w:r w:rsidRPr="000837EF">
        <w:rPr>
          <w:rFonts w:ascii="Times New Roman" w:eastAsia="Times New Roman" w:hAnsi="Times New Roman" w:cs="Times New Roman"/>
          <w:bCs/>
          <w:sz w:val="24"/>
          <w:szCs w:val="24"/>
          <w:lang w:eastAsia="hr-HR"/>
        </w:rPr>
        <w:t xml:space="preserve">Molimo obrazložite uložene napore na sprječavanje napuštanja djece s teškoćama u razvoju, uključujući i napore za pružanje stručne pomoći obiteljima s djecom s teškoćama u razvoju, u skladu sa zajedničkim programom Ministarstva za demografiju, obitelj, mlade i socijalnu politiku i UNICEF-a. </w:t>
      </w:r>
    </w:p>
    <w:p w14:paraId="2B482E46" w14:textId="77777777" w:rsidR="00816216" w:rsidRPr="000837EF" w:rsidRDefault="00816216" w:rsidP="00816216">
      <w:pPr>
        <w:spacing w:after="0" w:line="240" w:lineRule="auto"/>
        <w:jc w:val="both"/>
        <w:rPr>
          <w:rFonts w:ascii="Times New Roman" w:eastAsia="Times New Roman" w:hAnsi="Times New Roman" w:cs="Times New Roman"/>
          <w:bCs/>
          <w:sz w:val="24"/>
          <w:szCs w:val="24"/>
          <w:lang w:eastAsia="hr-HR"/>
        </w:rPr>
      </w:pPr>
      <w:r w:rsidRPr="000837EF">
        <w:rPr>
          <w:rFonts w:ascii="Times New Roman" w:eastAsia="Times New Roman" w:hAnsi="Times New Roman" w:cs="Times New Roman"/>
          <w:bCs/>
          <w:sz w:val="24"/>
          <w:szCs w:val="24"/>
          <w:lang w:eastAsia="hr-HR"/>
        </w:rPr>
        <w:t>Također molimo dostavite podatke o naporima vezao uz:</w:t>
      </w:r>
    </w:p>
    <w:p w14:paraId="0B23F140" w14:textId="77777777" w:rsidR="00816216" w:rsidRDefault="00816216" w:rsidP="00FB05F1">
      <w:pPr>
        <w:pStyle w:val="Odlomakpopisa"/>
        <w:numPr>
          <w:ilvl w:val="0"/>
          <w:numId w:val="32"/>
        </w:numPr>
        <w:spacing w:after="0" w:line="240" w:lineRule="auto"/>
        <w:jc w:val="both"/>
        <w:rPr>
          <w:rFonts w:ascii="Times New Roman" w:eastAsia="Times New Roman" w:hAnsi="Times New Roman" w:cs="Times New Roman"/>
          <w:bCs/>
          <w:sz w:val="24"/>
          <w:szCs w:val="24"/>
          <w:lang w:eastAsia="hr-HR"/>
        </w:rPr>
      </w:pPr>
      <w:r w:rsidRPr="000837EF">
        <w:rPr>
          <w:rFonts w:ascii="Times New Roman" w:eastAsia="Times New Roman" w:hAnsi="Times New Roman" w:cs="Times New Roman"/>
          <w:bCs/>
          <w:sz w:val="24"/>
          <w:szCs w:val="24"/>
          <w:lang w:eastAsia="hr-HR"/>
        </w:rPr>
        <w:t>Prikupljanje podataka o broju djece s teškoćama u razvoju, razvrstanih po vrsti oštećenja, spolu i dobi;</w:t>
      </w:r>
    </w:p>
    <w:p w14:paraId="7CEAD21A" w14:textId="77777777" w:rsidR="00816216" w:rsidRDefault="00816216" w:rsidP="00FB05F1">
      <w:pPr>
        <w:pStyle w:val="Odlomakpopisa"/>
        <w:numPr>
          <w:ilvl w:val="0"/>
          <w:numId w:val="32"/>
        </w:numPr>
        <w:spacing w:after="0" w:line="240" w:lineRule="auto"/>
        <w:jc w:val="both"/>
        <w:rPr>
          <w:rFonts w:ascii="Times New Roman" w:eastAsia="Times New Roman" w:hAnsi="Times New Roman" w:cs="Times New Roman"/>
          <w:bCs/>
          <w:sz w:val="24"/>
          <w:szCs w:val="24"/>
          <w:lang w:eastAsia="hr-HR"/>
        </w:rPr>
      </w:pPr>
      <w:r w:rsidRPr="000837EF">
        <w:rPr>
          <w:rFonts w:ascii="Times New Roman" w:eastAsia="Times New Roman" w:hAnsi="Times New Roman" w:cs="Times New Roman"/>
          <w:bCs/>
          <w:sz w:val="24"/>
          <w:szCs w:val="24"/>
          <w:lang w:eastAsia="hr-HR"/>
        </w:rPr>
        <w:lastRenderedPageBreak/>
        <w:t>Osiguravanje da se aspekt djece s teškoćama u razvoju uzima u obzir u donošenju odluka koje utječu na njihov život, uključujući i u Programu akcije „Gradovi i općine – prijatelji djece“;</w:t>
      </w:r>
    </w:p>
    <w:p w14:paraId="578B35F1" w14:textId="77777777" w:rsidR="00816216" w:rsidRPr="000837EF" w:rsidRDefault="00816216" w:rsidP="00FB05F1">
      <w:pPr>
        <w:pStyle w:val="Odlomakpopisa"/>
        <w:numPr>
          <w:ilvl w:val="0"/>
          <w:numId w:val="32"/>
        </w:numPr>
        <w:spacing w:after="0" w:line="240" w:lineRule="auto"/>
        <w:jc w:val="both"/>
        <w:rPr>
          <w:rFonts w:ascii="Times New Roman" w:eastAsia="Times New Roman" w:hAnsi="Times New Roman" w:cs="Times New Roman"/>
          <w:bCs/>
          <w:sz w:val="24"/>
          <w:szCs w:val="24"/>
          <w:lang w:eastAsia="hr-HR"/>
        </w:rPr>
      </w:pPr>
      <w:r w:rsidRPr="000837EF">
        <w:rPr>
          <w:rFonts w:ascii="Times New Roman" w:eastAsia="Times New Roman" w:hAnsi="Times New Roman" w:cs="Times New Roman"/>
          <w:bCs/>
          <w:sz w:val="24"/>
          <w:szCs w:val="24"/>
          <w:lang w:eastAsia="hr-HR"/>
        </w:rPr>
        <w:t>Izbjegavanje upotrebe stigmatizirane terminologije koja se odnosi na djecu s teškoćama u razvoju.</w:t>
      </w:r>
    </w:p>
    <w:p w14:paraId="12A13A31" w14:textId="77777777" w:rsidR="00816216" w:rsidRPr="000837EF" w:rsidRDefault="00816216" w:rsidP="00816216">
      <w:pPr>
        <w:spacing w:after="0" w:line="240" w:lineRule="auto"/>
        <w:jc w:val="both"/>
        <w:rPr>
          <w:rFonts w:ascii="Times New Roman" w:eastAsia="Times New Roman" w:hAnsi="Times New Roman" w:cs="Times New Roman"/>
          <w:bCs/>
          <w:sz w:val="24"/>
          <w:szCs w:val="24"/>
          <w:lang w:eastAsia="hr-HR"/>
        </w:rPr>
      </w:pPr>
    </w:p>
    <w:p w14:paraId="4E4222E5" w14:textId="77777777" w:rsidR="00816216" w:rsidRDefault="00816216" w:rsidP="00816216">
      <w:pPr>
        <w:spacing w:after="0" w:line="240" w:lineRule="auto"/>
        <w:jc w:val="both"/>
        <w:rPr>
          <w:rFonts w:ascii="Times New Roman" w:eastAsia="Times New Roman" w:hAnsi="Times New Roman" w:cs="Times New Roman"/>
          <w:bCs/>
          <w:sz w:val="24"/>
          <w:szCs w:val="24"/>
          <w:lang w:eastAsia="hr-HR"/>
        </w:rPr>
      </w:pPr>
      <w:r w:rsidRPr="000837EF">
        <w:rPr>
          <w:rFonts w:ascii="Times New Roman" w:eastAsia="Times New Roman" w:hAnsi="Times New Roman" w:cs="Times New Roman"/>
          <w:bCs/>
          <w:sz w:val="24"/>
          <w:szCs w:val="24"/>
          <w:lang w:eastAsia="hr-HR"/>
        </w:rPr>
        <w:t>Pitanje 7</w:t>
      </w:r>
    </w:p>
    <w:p w14:paraId="5A4194C4" w14:textId="77777777" w:rsidR="00816216" w:rsidRPr="000837EF" w:rsidRDefault="00816216" w:rsidP="00816216">
      <w:pPr>
        <w:spacing w:after="0" w:line="240" w:lineRule="auto"/>
        <w:jc w:val="both"/>
        <w:rPr>
          <w:rFonts w:ascii="Times New Roman" w:eastAsia="Times New Roman" w:hAnsi="Times New Roman" w:cs="Times New Roman"/>
          <w:bCs/>
          <w:sz w:val="24"/>
          <w:szCs w:val="24"/>
          <w:lang w:eastAsia="hr-HR"/>
        </w:rPr>
      </w:pPr>
      <w:r w:rsidRPr="000837EF">
        <w:rPr>
          <w:rFonts w:ascii="Times New Roman" w:eastAsia="Times New Roman" w:hAnsi="Times New Roman" w:cs="Times New Roman"/>
          <w:bCs/>
          <w:sz w:val="24"/>
          <w:szCs w:val="24"/>
          <w:lang w:eastAsia="hr-HR"/>
        </w:rPr>
        <w:t>S obzirom na prethodne zaključne napomene Odbora (stavak 14.), molimo dostavite podatke o poduzetim mjerama vezano uz:</w:t>
      </w:r>
    </w:p>
    <w:p w14:paraId="20F4FA6C" w14:textId="77777777" w:rsidR="00816216" w:rsidRPr="000837EF" w:rsidRDefault="00816216" w:rsidP="00FB05F1">
      <w:pPr>
        <w:pStyle w:val="Odlomakpopisa"/>
        <w:numPr>
          <w:ilvl w:val="0"/>
          <w:numId w:val="30"/>
        </w:numPr>
        <w:spacing w:after="0" w:line="240" w:lineRule="auto"/>
        <w:rPr>
          <w:rFonts w:ascii="Times New Roman" w:eastAsia="Times New Roman" w:hAnsi="Times New Roman" w:cs="Times New Roman"/>
          <w:bCs/>
          <w:sz w:val="24"/>
          <w:szCs w:val="24"/>
          <w:lang w:eastAsia="hr-HR"/>
        </w:rPr>
      </w:pPr>
      <w:r w:rsidRPr="000837EF">
        <w:rPr>
          <w:rFonts w:ascii="Times New Roman" w:eastAsia="Times New Roman" w:hAnsi="Times New Roman" w:cs="Times New Roman"/>
          <w:bCs/>
          <w:sz w:val="24"/>
          <w:szCs w:val="24"/>
          <w:lang w:eastAsia="hr-HR"/>
        </w:rPr>
        <w:t>Provođenje kampanja za podizanje svijesti u skladu s modelom invaliditeta utemeljenog na ljudskim pravima iz Konvencije, te u savjetovanju s osobama s invaliditetom kroz organizacije koje ih predstavljaju u izradi i provedbi tih kampanja</w:t>
      </w:r>
    </w:p>
    <w:p w14:paraId="7137C531" w14:textId="77777777" w:rsidR="00816216" w:rsidRPr="000837EF" w:rsidRDefault="00816216" w:rsidP="00FB05F1">
      <w:pPr>
        <w:pStyle w:val="Odlomakpopisa"/>
        <w:numPr>
          <w:ilvl w:val="0"/>
          <w:numId w:val="30"/>
        </w:numPr>
        <w:spacing w:after="0" w:line="240" w:lineRule="auto"/>
        <w:jc w:val="both"/>
        <w:rPr>
          <w:rFonts w:ascii="Times New Roman" w:eastAsia="Times New Roman" w:hAnsi="Times New Roman" w:cs="Times New Roman"/>
          <w:bCs/>
          <w:sz w:val="24"/>
          <w:szCs w:val="24"/>
          <w:lang w:eastAsia="hr-HR"/>
        </w:rPr>
      </w:pPr>
      <w:r w:rsidRPr="000837EF">
        <w:rPr>
          <w:rFonts w:ascii="Times New Roman" w:eastAsia="Times New Roman" w:hAnsi="Times New Roman" w:cs="Times New Roman"/>
          <w:bCs/>
          <w:sz w:val="24"/>
          <w:szCs w:val="24"/>
          <w:lang w:eastAsia="hr-HR"/>
        </w:rPr>
        <w:t>b) Pružanje obuke javnim i privatnim stručnjacima koji rade s i za osobe s invaliditetom;</w:t>
      </w:r>
    </w:p>
    <w:p w14:paraId="0394DF57" w14:textId="77777777" w:rsidR="00816216" w:rsidRPr="000837EF" w:rsidRDefault="00816216" w:rsidP="00FB05F1">
      <w:pPr>
        <w:pStyle w:val="Odlomakpopisa"/>
        <w:numPr>
          <w:ilvl w:val="0"/>
          <w:numId w:val="30"/>
        </w:numPr>
        <w:spacing w:after="0" w:line="240" w:lineRule="auto"/>
        <w:rPr>
          <w:rFonts w:ascii="Times New Roman" w:eastAsia="Times New Roman" w:hAnsi="Times New Roman" w:cs="Times New Roman"/>
          <w:bCs/>
          <w:sz w:val="24"/>
          <w:szCs w:val="24"/>
          <w:lang w:eastAsia="hr-HR"/>
        </w:rPr>
      </w:pPr>
      <w:r w:rsidRPr="000837EF">
        <w:rPr>
          <w:rFonts w:ascii="Times New Roman" w:eastAsia="Times New Roman" w:hAnsi="Times New Roman" w:cs="Times New Roman"/>
          <w:bCs/>
          <w:sz w:val="24"/>
          <w:szCs w:val="24"/>
          <w:lang w:eastAsia="hr-HR"/>
        </w:rPr>
        <w:t>Osiguravanje pristanka javnih televizijskih kuća za prilagodbu, proizvodnju i emitiranje programa o osobama s invaliditetom, uključujući i djecu s teškoćama u razvoju.</w:t>
      </w:r>
    </w:p>
    <w:p w14:paraId="0148CDDF" w14:textId="77777777" w:rsidR="00816216" w:rsidRDefault="00816216" w:rsidP="00816216">
      <w:pPr>
        <w:spacing w:after="0" w:line="240" w:lineRule="auto"/>
        <w:jc w:val="both"/>
        <w:rPr>
          <w:rFonts w:ascii="Times New Roman" w:eastAsia="Times New Roman" w:hAnsi="Times New Roman" w:cs="Times New Roman"/>
          <w:bCs/>
          <w:sz w:val="24"/>
          <w:szCs w:val="24"/>
          <w:lang w:eastAsia="hr-HR"/>
        </w:rPr>
      </w:pPr>
    </w:p>
    <w:p w14:paraId="610E9F81" w14:textId="77777777" w:rsidR="00816216" w:rsidRDefault="00816216" w:rsidP="00816216">
      <w:pPr>
        <w:spacing w:after="0" w:line="240" w:lineRule="auto"/>
        <w:jc w:val="both"/>
        <w:rPr>
          <w:rFonts w:ascii="Times New Roman" w:eastAsia="Times New Roman" w:hAnsi="Times New Roman" w:cs="Times New Roman"/>
          <w:bCs/>
          <w:sz w:val="24"/>
          <w:szCs w:val="24"/>
          <w:lang w:eastAsia="hr-HR"/>
        </w:rPr>
      </w:pPr>
      <w:r w:rsidRPr="000837EF">
        <w:rPr>
          <w:rFonts w:ascii="Times New Roman" w:eastAsia="Times New Roman" w:hAnsi="Times New Roman" w:cs="Times New Roman"/>
          <w:bCs/>
          <w:sz w:val="24"/>
          <w:szCs w:val="24"/>
          <w:lang w:eastAsia="hr-HR"/>
        </w:rPr>
        <w:t>Pitanje 8</w:t>
      </w:r>
    </w:p>
    <w:p w14:paraId="0909FA40" w14:textId="77777777" w:rsidR="00816216" w:rsidRDefault="00816216" w:rsidP="00816216">
      <w:pPr>
        <w:spacing w:after="0" w:line="240" w:lineRule="auto"/>
        <w:jc w:val="both"/>
        <w:rPr>
          <w:rFonts w:ascii="Times New Roman" w:eastAsia="Times New Roman" w:hAnsi="Times New Roman" w:cs="Times New Roman"/>
          <w:bCs/>
          <w:sz w:val="24"/>
          <w:szCs w:val="24"/>
          <w:lang w:eastAsia="hr-HR"/>
        </w:rPr>
      </w:pPr>
      <w:r w:rsidRPr="000837EF">
        <w:rPr>
          <w:rFonts w:ascii="Times New Roman" w:eastAsia="Times New Roman" w:hAnsi="Times New Roman" w:cs="Times New Roman"/>
          <w:bCs/>
          <w:sz w:val="24"/>
          <w:szCs w:val="24"/>
          <w:lang w:eastAsia="hr-HR"/>
        </w:rPr>
        <w:t>Molimo dostavite podatke o uloženim naporima za poboljšanje pristupačnosti građevinama, prostorima, prijevozu, informacijskim i komunikacijskim uslugama za osobe s invaliditetom sukladno općem komentaru br.2. o pristupačnosti uključujući:</w:t>
      </w:r>
    </w:p>
    <w:p w14:paraId="5ED214C8" w14:textId="77777777" w:rsidR="00816216" w:rsidRDefault="00816216" w:rsidP="00FB05F1">
      <w:pPr>
        <w:pStyle w:val="Odlomakpopisa"/>
        <w:numPr>
          <w:ilvl w:val="0"/>
          <w:numId w:val="34"/>
        </w:numPr>
        <w:spacing w:after="0" w:line="240" w:lineRule="auto"/>
        <w:jc w:val="both"/>
        <w:rPr>
          <w:rFonts w:ascii="Times New Roman" w:eastAsia="Times New Roman" w:hAnsi="Times New Roman" w:cs="Times New Roman"/>
          <w:bCs/>
          <w:sz w:val="24"/>
          <w:szCs w:val="24"/>
          <w:lang w:eastAsia="hr-HR"/>
        </w:rPr>
      </w:pPr>
      <w:r w:rsidRPr="000837EF">
        <w:rPr>
          <w:rFonts w:ascii="Times New Roman" w:eastAsia="Times New Roman" w:hAnsi="Times New Roman" w:cs="Times New Roman"/>
          <w:bCs/>
          <w:sz w:val="24"/>
          <w:szCs w:val="24"/>
          <w:lang w:eastAsia="hr-HR"/>
        </w:rPr>
        <w:t>Predviđene korake i vremenski okvir za osiguranje brzog prenošenja Europskog zakona o pristupačnosti iz 2019., kao i za implementaciju i praćenje provedbe odredbi Direktive EU iz 2016. o pristupačnosti internetskih stranica i mobilnih aplikacija;</w:t>
      </w:r>
    </w:p>
    <w:p w14:paraId="3C742AF4" w14:textId="77777777" w:rsidR="00816216" w:rsidRDefault="00816216" w:rsidP="00FB05F1">
      <w:pPr>
        <w:pStyle w:val="Odlomakpopisa"/>
        <w:numPr>
          <w:ilvl w:val="0"/>
          <w:numId w:val="34"/>
        </w:numPr>
        <w:spacing w:after="0" w:line="240" w:lineRule="auto"/>
        <w:jc w:val="both"/>
        <w:rPr>
          <w:rFonts w:ascii="Times New Roman" w:eastAsia="Times New Roman" w:hAnsi="Times New Roman" w:cs="Times New Roman"/>
          <w:bCs/>
          <w:sz w:val="24"/>
          <w:szCs w:val="24"/>
          <w:lang w:eastAsia="hr-HR"/>
        </w:rPr>
      </w:pPr>
      <w:r w:rsidRPr="000837EF">
        <w:rPr>
          <w:rFonts w:ascii="Times New Roman" w:eastAsia="Times New Roman" w:hAnsi="Times New Roman" w:cs="Times New Roman"/>
          <w:bCs/>
          <w:sz w:val="24"/>
          <w:szCs w:val="24"/>
          <w:lang w:eastAsia="hr-HR"/>
        </w:rPr>
        <w:t>Napredak u implementaciji, praćenju provedbe i evaluaciji Zakona o prostornom uređenju i gradnji (2007.) te Pravilnika o osiguranju pristupačnosti građevina osobama s invaliditetom i smanjenom pokretljivosti (2005.) na javim i privatnim prostorima, te izricanje sankcija za nepoštivanje;</w:t>
      </w:r>
    </w:p>
    <w:p w14:paraId="4FA09481" w14:textId="77777777" w:rsidR="00816216" w:rsidRPr="000837EF" w:rsidRDefault="00816216" w:rsidP="00FB05F1">
      <w:pPr>
        <w:pStyle w:val="Odlomakpopisa"/>
        <w:numPr>
          <w:ilvl w:val="0"/>
          <w:numId w:val="34"/>
        </w:numPr>
        <w:spacing w:after="0" w:line="240" w:lineRule="auto"/>
        <w:jc w:val="both"/>
        <w:rPr>
          <w:rFonts w:ascii="Times New Roman" w:eastAsia="Times New Roman" w:hAnsi="Times New Roman" w:cs="Times New Roman"/>
          <w:bCs/>
          <w:sz w:val="24"/>
          <w:szCs w:val="24"/>
          <w:lang w:eastAsia="hr-HR"/>
        </w:rPr>
      </w:pPr>
      <w:r w:rsidRPr="000837EF">
        <w:rPr>
          <w:rFonts w:ascii="Times New Roman" w:eastAsia="Times New Roman" w:hAnsi="Times New Roman" w:cs="Times New Roman"/>
          <w:bCs/>
          <w:sz w:val="24"/>
          <w:szCs w:val="24"/>
          <w:lang w:eastAsia="hr-HR"/>
        </w:rPr>
        <w:t>Poduzete napore za usvajanje Zakona o kretanju slijepe osobe uz pomoć psa vodiča i predviđeni vremenski okvir države stranke za njegovu objavu.</w:t>
      </w:r>
    </w:p>
    <w:p w14:paraId="5E6DE5BD" w14:textId="77777777" w:rsidR="00816216" w:rsidRPr="000837EF" w:rsidRDefault="00816216" w:rsidP="00816216">
      <w:pPr>
        <w:spacing w:after="0" w:line="240" w:lineRule="auto"/>
        <w:rPr>
          <w:rFonts w:ascii="Times New Roman" w:hAnsi="Times New Roman" w:cs="Times New Roman"/>
          <w:sz w:val="24"/>
          <w:szCs w:val="24"/>
        </w:rPr>
      </w:pPr>
    </w:p>
    <w:p w14:paraId="39136B70" w14:textId="77777777" w:rsidR="00816216" w:rsidRDefault="00816216" w:rsidP="00816216">
      <w:pPr>
        <w:spacing w:after="0" w:line="240" w:lineRule="auto"/>
        <w:jc w:val="both"/>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 xml:space="preserve">Pitanje </w:t>
      </w:r>
      <w:r w:rsidRPr="000837EF">
        <w:rPr>
          <w:rFonts w:ascii="Times New Roman" w:eastAsia="Times New Roman" w:hAnsi="Times New Roman" w:cs="Times New Roman"/>
          <w:bCs/>
          <w:sz w:val="24"/>
          <w:szCs w:val="24"/>
          <w:lang w:eastAsia="hr-HR"/>
        </w:rPr>
        <w:t>9</w:t>
      </w:r>
    </w:p>
    <w:p w14:paraId="390D711E" w14:textId="77777777" w:rsidR="00816216" w:rsidRPr="000837EF" w:rsidRDefault="00816216" w:rsidP="00816216">
      <w:pPr>
        <w:spacing w:after="0" w:line="240" w:lineRule="auto"/>
        <w:jc w:val="both"/>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M</w:t>
      </w:r>
      <w:r w:rsidRPr="000837EF">
        <w:rPr>
          <w:rFonts w:ascii="Times New Roman" w:eastAsia="Times New Roman" w:hAnsi="Times New Roman" w:cs="Times New Roman"/>
          <w:bCs/>
          <w:sz w:val="24"/>
          <w:szCs w:val="24"/>
          <w:lang w:eastAsia="hr-HR"/>
        </w:rPr>
        <w:t>olimo dostavite informacije o kriterijima i postupku selekcije 30 osoba s invaliditetom kojima je omogućen dnevni prijevoz Zagrebački električnim tramvajem do posla i škole, kao i predviđene napore za ispunjavanje potreba ostatka populacije s invaliditetom kojoj je potreban prijevoz, izvan glavnog grada.</w:t>
      </w:r>
    </w:p>
    <w:p w14:paraId="53B96609" w14:textId="77777777" w:rsidR="00816216" w:rsidRPr="000837EF" w:rsidRDefault="00816216" w:rsidP="00816216">
      <w:pPr>
        <w:spacing w:after="0" w:line="240" w:lineRule="auto"/>
        <w:rPr>
          <w:rFonts w:ascii="Times New Roman" w:hAnsi="Times New Roman" w:cs="Times New Roman"/>
          <w:sz w:val="24"/>
          <w:szCs w:val="24"/>
        </w:rPr>
      </w:pPr>
    </w:p>
    <w:p w14:paraId="0A8C54D1" w14:textId="77777777" w:rsidR="00816216" w:rsidRDefault="00816216" w:rsidP="00816216">
      <w:pPr>
        <w:spacing w:after="0" w:line="240" w:lineRule="auto"/>
        <w:jc w:val="both"/>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 xml:space="preserve">Pitanje </w:t>
      </w:r>
      <w:r w:rsidRPr="000837EF">
        <w:rPr>
          <w:rFonts w:ascii="Times New Roman" w:eastAsia="Times New Roman" w:hAnsi="Times New Roman" w:cs="Times New Roman"/>
          <w:bCs/>
          <w:sz w:val="24"/>
          <w:szCs w:val="24"/>
          <w:lang w:eastAsia="hr-HR"/>
        </w:rPr>
        <w:t>10</w:t>
      </w:r>
    </w:p>
    <w:p w14:paraId="449E9ED5" w14:textId="77777777" w:rsidR="00816216" w:rsidRPr="000837EF" w:rsidRDefault="00816216" w:rsidP="00816216">
      <w:pPr>
        <w:spacing w:after="0" w:line="240" w:lineRule="auto"/>
        <w:jc w:val="both"/>
        <w:rPr>
          <w:rFonts w:ascii="Times New Roman" w:eastAsia="Times New Roman" w:hAnsi="Times New Roman" w:cs="Times New Roman"/>
          <w:bCs/>
          <w:sz w:val="24"/>
          <w:szCs w:val="24"/>
          <w:lang w:eastAsia="hr-HR"/>
        </w:rPr>
      </w:pPr>
      <w:r w:rsidRPr="000837EF">
        <w:rPr>
          <w:rFonts w:ascii="Times New Roman" w:eastAsia="Times New Roman" w:hAnsi="Times New Roman" w:cs="Times New Roman"/>
          <w:bCs/>
          <w:sz w:val="24"/>
          <w:szCs w:val="24"/>
          <w:lang w:eastAsia="hr-HR"/>
        </w:rPr>
        <w:t xml:space="preserve">S obzirom na Okvir za smanjenje rizika od katastrofa iz </w:t>
      </w:r>
      <w:proofErr w:type="spellStart"/>
      <w:r w:rsidRPr="000837EF">
        <w:rPr>
          <w:rFonts w:ascii="Times New Roman" w:eastAsia="Times New Roman" w:hAnsi="Times New Roman" w:cs="Times New Roman"/>
          <w:bCs/>
          <w:sz w:val="24"/>
          <w:szCs w:val="24"/>
          <w:lang w:eastAsia="hr-HR"/>
        </w:rPr>
        <w:t>Sendaija</w:t>
      </w:r>
      <w:proofErr w:type="spellEnd"/>
      <w:r w:rsidRPr="000837EF">
        <w:rPr>
          <w:rFonts w:ascii="Times New Roman" w:eastAsia="Times New Roman" w:hAnsi="Times New Roman" w:cs="Times New Roman"/>
          <w:bCs/>
          <w:sz w:val="24"/>
          <w:szCs w:val="24"/>
          <w:lang w:eastAsia="hr-HR"/>
        </w:rPr>
        <w:t xml:space="preserve"> (2015.-2030.), molimo dostavite podatke o:</w:t>
      </w:r>
    </w:p>
    <w:p w14:paraId="1440211B" w14:textId="77777777" w:rsidR="00816216" w:rsidRDefault="00816216" w:rsidP="00FB05F1">
      <w:pPr>
        <w:pStyle w:val="Odlomakpopisa"/>
        <w:numPr>
          <w:ilvl w:val="0"/>
          <w:numId w:val="35"/>
        </w:numPr>
        <w:spacing w:after="0" w:line="240" w:lineRule="auto"/>
        <w:jc w:val="both"/>
        <w:rPr>
          <w:rFonts w:ascii="Times New Roman" w:eastAsia="Times New Roman" w:hAnsi="Times New Roman" w:cs="Times New Roman"/>
          <w:bCs/>
          <w:sz w:val="24"/>
          <w:szCs w:val="24"/>
          <w:lang w:eastAsia="hr-HR"/>
        </w:rPr>
      </w:pPr>
      <w:r w:rsidRPr="000837EF">
        <w:rPr>
          <w:rFonts w:ascii="Times New Roman" w:eastAsia="Times New Roman" w:hAnsi="Times New Roman" w:cs="Times New Roman"/>
          <w:bCs/>
          <w:sz w:val="24"/>
          <w:szCs w:val="24"/>
          <w:lang w:eastAsia="hr-HR"/>
        </w:rPr>
        <w:t>Ostvarenom napretku države stranke vezano uz suradnju s organizacijama osoba s invaliditetom u izradi posebnih protokola za rizične situacije i humanitarna krizna stanja, te osiguranju pristupačnih skloništa za osobe s invaliditetom;</w:t>
      </w:r>
    </w:p>
    <w:p w14:paraId="7B42C679" w14:textId="77777777" w:rsidR="00816216" w:rsidRDefault="00816216" w:rsidP="00FB05F1">
      <w:pPr>
        <w:pStyle w:val="Odlomakpopisa"/>
        <w:numPr>
          <w:ilvl w:val="0"/>
          <w:numId w:val="35"/>
        </w:numPr>
        <w:spacing w:after="0" w:line="240" w:lineRule="auto"/>
        <w:jc w:val="both"/>
        <w:rPr>
          <w:rFonts w:ascii="Times New Roman" w:eastAsia="Times New Roman" w:hAnsi="Times New Roman" w:cs="Times New Roman"/>
          <w:bCs/>
          <w:sz w:val="24"/>
          <w:szCs w:val="24"/>
          <w:lang w:eastAsia="hr-HR"/>
        </w:rPr>
      </w:pPr>
      <w:r w:rsidRPr="000837EF">
        <w:rPr>
          <w:rFonts w:ascii="Times New Roman" w:eastAsia="Times New Roman" w:hAnsi="Times New Roman" w:cs="Times New Roman"/>
          <w:bCs/>
          <w:sz w:val="24"/>
          <w:szCs w:val="24"/>
          <w:lang w:eastAsia="hr-HR"/>
        </w:rPr>
        <w:t>Poduzetim koracima za osiguranje sustava ranog upozorenja u svim oblicima, uključujući i znakovni jezik i elektroničke formate, kako bi se osiguralo da se osobe s invaliditetom mogu pripremiti i odgovoriti na krizne situacije</w:t>
      </w:r>
    </w:p>
    <w:p w14:paraId="4BC4FC9A" w14:textId="77777777" w:rsidR="00816216" w:rsidRPr="000837EF" w:rsidRDefault="00816216" w:rsidP="00FB05F1">
      <w:pPr>
        <w:pStyle w:val="Odlomakpopisa"/>
        <w:numPr>
          <w:ilvl w:val="0"/>
          <w:numId w:val="35"/>
        </w:numPr>
        <w:spacing w:after="0" w:line="240" w:lineRule="auto"/>
        <w:jc w:val="both"/>
        <w:rPr>
          <w:rFonts w:ascii="Times New Roman" w:eastAsia="Times New Roman" w:hAnsi="Times New Roman" w:cs="Times New Roman"/>
          <w:bCs/>
          <w:sz w:val="24"/>
          <w:szCs w:val="24"/>
          <w:lang w:eastAsia="hr-HR"/>
        </w:rPr>
      </w:pPr>
      <w:r w:rsidRPr="000837EF">
        <w:rPr>
          <w:rFonts w:ascii="Times New Roman" w:eastAsia="Times New Roman" w:hAnsi="Times New Roman" w:cs="Times New Roman"/>
          <w:bCs/>
          <w:sz w:val="24"/>
          <w:szCs w:val="24"/>
          <w:lang w:eastAsia="hr-HR"/>
        </w:rPr>
        <w:t>O tome jesu li obuke i tečajevi osposobljavanja omogućeni zaposlenima koji djeluju u kriznim situacijama, posebice kada je riječ o osobama s invaliditetom</w:t>
      </w:r>
    </w:p>
    <w:p w14:paraId="5F1B8878" w14:textId="77777777" w:rsidR="00816216" w:rsidRDefault="00816216" w:rsidP="00816216">
      <w:pPr>
        <w:spacing w:after="0" w:line="240" w:lineRule="auto"/>
        <w:jc w:val="both"/>
        <w:rPr>
          <w:rFonts w:ascii="Times New Roman" w:eastAsia="Times New Roman" w:hAnsi="Times New Roman" w:cs="Times New Roman"/>
          <w:bCs/>
          <w:sz w:val="24"/>
          <w:szCs w:val="24"/>
          <w:lang w:eastAsia="hr-HR"/>
        </w:rPr>
      </w:pPr>
    </w:p>
    <w:p w14:paraId="3E4F4C58" w14:textId="77777777" w:rsidR="00816216" w:rsidRDefault="00816216" w:rsidP="00816216">
      <w:pPr>
        <w:spacing w:after="0" w:line="240" w:lineRule="auto"/>
        <w:jc w:val="both"/>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 xml:space="preserve">Pitanje </w:t>
      </w:r>
      <w:r w:rsidRPr="000837EF">
        <w:rPr>
          <w:rFonts w:ascii="Times New Roman" w:eastAsia="Times New Roman" w:hAnsi="Times New Roman" w:cs="Times New Roman"/>
          <w:bCs/>
          <w:sz w:val="24"/>
          <w:szCs w:val="24"/>
          <w:lang w:eastAsia="hr-HR"/>
        </w:rPr>
        <w:t>11</w:t>
      </w:r>
    </w:p>
    <w:p w14:paraId="0330A344" w14:textId="77777777" w:rsidR="00816216" w:rsidRPr="000837EF" w:rsidRDefault="00816216" w:rsidP="00816216">
      <w:pPr>
        <w:spacing w:after="0" w:line="240" w:lineRule="auto"/>
        <w:jc w:val="both"/>
        <w:rPr>
          <w:rFonts w:ascii="Times New Roman" w:eastAsia="Times New Roman" w:hAnsi="Times New Roman" w:cs="Times New Roman"/>
          <w:bCs/>
          <w:sz w:val="24"/>
          <w:szCs w:val="24"/>
          <w:lang w:eastAsia="hr-HR"/>
        </w:rPr>
      </w:pPr>
      <w:r w:rsidRPr="000837EF">
        <w:rPr>
          <w:rFonts w:ascii="Times New Roman" w:eastAsia="Times New Roman" w:hAnsi="Times New Roman" w:cs="Times New Roman"/>
          <w:bCs/>
          <w:sz w:val="24"/>
          <w:szCs w:val="24"/>
          <w:lang w:eastAsia="hr-HR"/>
        </w:rPr>
        <w:lastRenderedPageBreak/>
        <w:t>Molimo dostavite informacije o poduzetim mjerama za uspostavljanje ciljanog, održivog okvira za humanitarna krizna stanja radi osiguranja zaštite prava osoba s invaliditetom na jednakoj osnovi s drugima, a osobito uslijed krizne zdravstvene situacije koja proizlazi iz pandemije uzrokovane bolesti COVID-19. Molimo posebno izvijestite Odbor o mjerama za pružanje pristupačnih informacija osobama s invaliditetom u području prevencije zaraze virusom, osiguravanju kontinuiranog pristupa podršci i glavnim uslugama u zajednici, uključujući usluge pomoći u kući i osobnog asistenta, osiguranju jednakog pristupa u zdravstvenoj njezi, uključujući mjere za spašavanje, kao i o osiguravanju da su u svakom trenutku zajamčene invalidske mirovine i socijalna davanja.</w:t>
      </w:r>
    </w:p>
    <w:p w14:paraId="7BF40C44" w14:textId="77777777" w:rsidR="00816216" w:rsidRPr="000837EF" w:rsidRDefault="00816216" w:rsidP="00816216">
      <w:pPr>
        <w:spacing w:after="0" w:line="240" w:lineRule="auto"/>
        <w:rPr>
          <w:rFonts w:ascii="Times New Roman" w:hAnsi="Times New Roman" w:cs="Times New Roman"/>
          <w:sz w:val="24"/>
          <w:szCs w:val="24"/>
        </w:rPr>
      </w:pPr>
    </w:p>
    <w:p w14:paraId="5C877F1F" w14:textId="77777777" w:rsidR="00816216" w:rsidRDefault="00816216" w:rsidP="00816216">
      <w:pPr>
        <w:spacing w:after="0" w:line="240" w:lineRule="auto"/>
        <w:jc w:val="both"/>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 xml:space="preserve">Pitanje </w:t>
      </w:r>
      <w:r w:rsidRPr="000837EF">
        <w:rPr>
          <w:rFonts w:ascii="Times New Roman" w:eastAsia="Times New Roman" w:hAnsi="Times New Roman" w:cs="Times New Roman"/>
          <w:bCs/>
          <w:sz w:val="24"/>
          <w:szCs w:val="24"/>
          <w:lang w:eastAsia="hr-HR"/>
        </w:rPr>
        <w:t>12</w:t>
      </w:r>
    </w:p>
    <w:p w14:paraId="5524A0C0" w14:textId="77777777" w:rsidR="00816216" w:rsidRPr="000837EF" w:rsidRDefault="00816216" w:rsidP="00816216">
      <w:pPr>
        <w:spacing w:after="0" w:line="240" w:lineRule="auto"/>
        <w:jc w:val="both"/>
        <w:rPr>
          <w:rFonts w:ascii="Times New Roman" w:eastAsia="Times New Roman" w:hAnsi="Times New Roman" w:cs="Times New Roman"/>
          <w:bCs/>
          <w:sz w:val="24"/>
          <w:szCs w:val="24"/>
          <w:lang w:eastAsia="hr-HR"/>
        </w:rPr>
      </w:pPr>
      <w:r w:rsidRPr="000837EF">
        <w:rPr>
          <w:rFonts w:ascii="Times New Roman" w:eastAsia="Times New Roman" w:hAnsi="Times New Roman" w:cs="Times New Roman"/>
          <w:bCs/>
          <w:sz w:val="24"/>
          <w:szCs w:val="24"/>
          <w:lang w:eastAsia="hr-HR"/>
        </w:rPr>
        <w:t xml:space="preserve">S obzirom na prethodne zaključne napomene Odbora (stavak 18.), molimo dostavite podatke o naporima koje je država stranka uložila u vraćanje pune poslovne sposobnosti osobama s invaliditetom kako nalažu Odbor i Izvješće Europske komisije iz 2011. Također, molimo izvijestite Odbor o: </w:t>
      </w:r>
    </w:p>
    <w:p w14:paraId="7937D371" w14:textId="77777777" w:rsidR="00816216" w:rsidRDefault="00816216" w:rsidP="00FB05F1">
      <w:pPr>
        <w:pStyle w:val="Odlomakpopisa"/>
        <w:numPr>
          <w:ilvl w:val="0"/>
          <w:numId w:val="36"/>
        </w:numPr>
        <w:spacing w:after="0" w:line="240" w:lineRule="auto"/>
        <w:jc w:val="both"/>
        <w:rPr>
          <w:rFonts w:ascii="Times New Roman" w:eastAsia="Times New Roman" w:hAnsi="Times New Roman" w:cs="Times New Roman"/>
          <w:bCs/>
          <w:sz w:val="24"/>
          <w:szCs w:val="24"/>
          <w:lang w:eastAsia="hr-HR"/>
        </w:rPr>
      </w:pPr>
      <w:r w:rsidRPr="000837EF">
        <w:rPr>
          <w:rFonts w:ascii="Times New Roman" w:eastAsia="Times New Roman" w:hAnsi="Times New Roman" w:cs="Times New Roman"/>
          <w:bCs/>
          <w:sz w:val="24"/>
          <w:szCs w:val="24"/>
          <w:lang w:eastAsia="hr-HR"/>
        </w:rPr>
        <w:t>Poduzetim mjerama za ukidanje režima zamjenskog donošenja odluka u skladu s općim komentarom Odbora br.1 (2014.) o jednakosti pred zakonom, te o izmjeni Obiteljskog zakona s ciljem vraćanja pune poslovne sposobnosti osobama s invaliditetom;</w:t>
      </w:r>
    </w:p>
    <w:p w14:paraId="6DB79341" w14:textId="77777777" w:rsidR="00816216" w:rsidRDefault="00816216" w:rsidP="00FB05F1">
      <w:pPr>
        <w:pStyle w:val="Odlomakpopisa"/>
        <w:numPr>
          <w:ilvl w:val="0"/>
          <w:numId w:val="36"/>
        </w:numPr>
        <w:spacing w:after="0" w:line="240" w:lineRule="auto"/>
        <w:jc w:val="both"/>
        <w:rPr>
          <w:rFonts w:ascii="Times New Roman" w:eastAsia="Times New Roman" w:hAnsi="Times New Roman" w:cs="Times New Roman"/>
          <w:bCs/>
          <w:sz w:val="24"/>
          <w:szCs w:val="24"/>
          <w:lang w:eastAsia="hr-HR"/>
        </w:rPr>
      </w:pPr>
      <w:r w:rsidRPr="000837EF">
        <w:rPr>
          <w:rFonts w:ascii="Times New Roman" w:eastAsia="Times New Roman" w:hAnsi="Times New Roman" w:cs="Times New Roman"/>
          <w:bCs/>
          <w:sz w:val="24"/>
          <w:szCs w:val="24"/>
          <w:lang w:eastAsia="hr-HR"/>
        </w:rPr>
        <w:t>Uloženim naporima u zakonodavstvu s ciljem uvažavanja samostalnosti, volje i želja osoba s invaliditetom, uključujući njihova prava da daju ili povuku vlastiti informirani pristanak za medicinsko liječenje, pristup pravosuđu, glasovanje, sklapanje braka, potpuna roditeljska prava i rad;</w:t>
      </w:r>
    </w:p>
    <w:p w14:paraId="36991289" w14:textId="77777777" w:rsidR="00816216" w:rsidRPr="000837EF" w:rsidRDefault="00816216" w:rsidP="00FB05F1">
      <w:pPr>
        <w:pStyle w:val="Odlomakpopisa"/>
        <w:numPr>
          <w:ilvl w:val="0"/>
          <w:numId w:val="36"/>
        </w:numPr>
        <w:spacing w:after="0" w:line="240" w:lineRule="auto"/>
        <w:jc w:val="both"/>
        <w:rPr>
          <w:rFonts w:ascii="Times New Roman" w:eastAsia="Times New Roman" w:hAnsi="Times New Roman" w:cs="Times New Roman"/>
          <w:bCs/>
          <w:sz w:val="24"/>
          <w:szCs w:val="24"/>
          <w:lang w:eastAsia="hr-HR"/>
        </w:rPr>
      </w:pPr>
      <w:r w:rsidRPr="000837EF">
        <w:rPr>
          <w:rFonts w:ascii="Times New Roman" w:eastAsia="Times New Roman" w:hAnsi="Times New Roman" w:cs="Times New Roman"/>
          <w:bCs/>
          <w:sz w:val="24"/>
          <w:szCs w:val="24"/>
          <w:lang w:eastAsia="hr-HR"/>
        </w:rPr>
        <w:t>Poduzetim koracima za uvođenje sustava za podršku pri donošenju odluka te obuku za osobe s invaliditetom i relevantne stručnjake vezano uz prakse i protokole za pružanje podrške pri donošenju odluka.</w:t>
      </w:r>
    </w:p>
    <w:p w14:paraId="2968D73B" w14:textId="77777777" w:rsidR="00816216" w:rsidRPr="000837EF" w:rsidRDefault="00816216" w:rsidP="00816216">
      <w:pPr>
        <w:spacing w:after="0" w:line="240" w:lineRule="auto"/>
        <w:rPr>
          <w:rFonts w:ascii="Times New Roman" w:hAnsi="Times New Roman" w:cs="Times New Roman"/>
          <w:sz w:val="24"/>
          <w:szCs w:val="24"/>
        </w:rPr>
      </w:pPr>
    </w:p>
    <w:p w14:paraId="3615B485" w14:textId="77777777" w:rsidR="00816216" w:rsidRDefault="00816216" w:rsidP="00816216">
      <w:pPr>
        <w:spacing w:after="0" w:line="240" w:lineRule="auto"/>
        <w:jc w:val="both"/>
        <w:rPr>
          <w:rFonts w:ascii="Times New Roman" w:eastAsia="Times New Roman" w:hAnsi="Times New Roman" w:cs="Times New Roman"/>
          <w:bCs/>
          <w:sz w:val="24"/>
          <w:szCs w:val="24"/>
          <w:lang w:eastAsia="hr-HR"/>
        </w:rPr>
      </w:pPr>
      <w:r w:rsidRPr="000837EF">
        <w:rPr>
          <w:rFonts w:ascii="Times New Roman" w:eastAsia="Times New Roman" w:hAnsi="Times New Roman" w:cs="Times New Roman"/>
          <w:bCs/>
          <w:sz w:val="24"/>
          <w:szCs w:val="24"/>
          <w:lang w:eastAsia="hr-HR"/>
        </w:rPr>
        <w:t>Pitanje 13</w:t>
      </w:r>
    </w:p>
    <w:p w14:paraId="79BB3418" w14:textId="77777777" w:rsidR="00816216" w:rsidRPr="000837EF" w:rsidRDefault="00816216" w:rsidP="00816216">
      <w:pPr>
        <w:spacing w:after="0" w:line="240" w:lineRule="auto"/>
        <w:jc w:val="both"/>
        <w:rPr>
          <w:rFonts w:ascii="Times New Roman" w:eastAsia="Times New Roman" w:hAnsi="Times New Roman" w:cs="Times New Roman"/>
          <w:bCs/>
          <w:sz w:val="24"/>
          <w:szCs w:val="24"/>
          <w:lang w:eastAsia="hr-HR"/>
        </w:rPr>
      </w:pPr>
      <w:r w:rsidRPr="000837EF">
        <w:rPr>
          <w:rFonts w:ascii="Times New Roman" w:eastAsia="Times New Roman" w:hAnsi="Times New Roman" w:cs="Times New Roman"/>
          <w:bCs/>
          <w:sz w:val="24"/>
          <w:szCs w:val="24"/>
          <w:lang w:eastAsia="hr-HR"/>
        </w:rPr>
        <w:t>Molimo dostavite informacije o poduzetim mjerama o:</w:t>
      </w:r>
    </w:p>
    <w:p w14:paraId="1DCA7E7F" w14:textId="77777777" w:rsidR="00816216" w:rsidRDefault="00816216" w:rsidP="00FB05F1">
      <w:pPr>
        <w:pStyle w:val="Odlomakpopisa"/>
        <w:numPr>
          <w:ilvl w:val="0"/>
          <w:numId w:val="37"/>
        </w:numPr>
        <w:spacing w:after="0" w:line="240" w:lineRule="auto"/>
        <w:jc w:val="both"/>
        <w:rPr>
          <w:rFonts w:ascii="Times New Roman" w:eastAsia="Times New Roman" w:hAnsi="Times New Roman" w:cs="Times New Roman"/>
          <w:bCs/>
          <w:sz w:val="24"/>
          <w:szCs w:val="24"/>
          <w:lang w:eastAsia="hr-HR"/>
        </w:rPr>
      </w:pPr>
      <w:r w:rsidRPr="000837EF">
        <w:rPr>
          <w:rFonts w:ascii="Times New Roman" w:eastAsia="Times New Roman" w:hAnsi="Times New Roman" w:cs="Times New Roman"/>
          <w:bCs/>
          <w:sz w:val="24"/>
          <w:szCs w:val="24"/>
          <w:lang w:eastAsia="hr-HR"/>
        </w:rPr>
        <w:t xml:space="preserve">Osiguranju </w:t>
      </w:r>
      <w:proofErr w:type="spellStart"/>
      <w:r w:rsidRPr="000837EF">
        <w:rPr>
          <w:rFonts w:ascii="Times New Roman" w:eastAsia="Times New Roman" w:hAnsi="Times New Roman" w:cs="Times New Roman"/>
          <w:bCs/>
          <w:sz w:val="24"/>
          <w:szCs w:val="24"/>
          <w:lang w:eastAsia="hr-HR"/>
        </w:rPr>
        <w:t>postupkovnih</w:t>
      </w:r>
      <w:proofErr w:type="spellEnd"/>
      <w:r w:rsidRPr="000837EF">
        <w:rPr>
          <w:rFonts w:ascii="Times New Roman" w:eastAsia="Times New Roman" w:hAnsi="Times New Roman" w:cs="Times New Roman"/>
          <w:bCs/>
          <w:sz w:val="24"/>
          <w:szCs w:val="24"/>
          <w:lang w:eastAsia="hr-HR"/>
        </w:rPr>
        <w:t xml:space="preserve"> i dobi primjerenih prilagodbi, uključujući i onima u institucijama poput psihijatrijskih ustanova i zatvora, kako bi se osigurao djelotvoran pristup pravosuđu;</w:t>
      </w:r>
    </w:p>
    <w:p w14:paraId="7C6398B0" w14:textId="77777777" w:rsidR="00816216" w:rsidRDefault="00816216" w:rsidP="00FB05F1">
      <w:pPr>
        <w:pStyle w:val="Odlomakpopisa"/>
        <w:numPr>
          <w:ilvl w:val="0"/>
          <w:numId w:val="37"/>
        </w:numPr>
        <w:spacing w:after="0" w:line="240" w:lineRule="auto"/>
        <w:jc w:val="both"/>
        <w:rPr>
          <w:rFonts w:ascii="Times New Roman" w:eastAsia="Times New Roman" w:hAnsi="Times New Roman" w:cs="Times New Roman"/>
          <w:bCs/>
          <w:sz w:val="24"/>
          <w:szCs w:val="24"/>
          <w:lang w:eastAsia="hr-HR"/>
        </w:rPr>
      </w:pPr>
      <w:r w:rsidRPr="000837EF">
        <w:rPr>
          <w:rFonts w:ascii="Times New Roman" w:eastAsia="Times New Roman" w:hAnsi="Times New Roman" w:cs="Times New Roman"/>
          <w:bCs/>
          <w:sz w:val="24"/>
          <w:szCs w:val="24"/>
          <w:lang w:eastAsia="hr-HR"/>
        </w:rPr>
        <w:t>Osiguranju da provedba Prekršajnog zakona iz 2013. uključuje jamstva osobama s invaliditetom za jednak pristup propisanom postupku uz poštivanje prava vezanih uz besplatnu pravnu pomoć, pristupačnost fizičkog okruženja, informacija i komunikacije tijekom pravnih postupaka;</w:t>
      </w:r>
    </w:p>
    <w:p w14:paraId="13E58DE1" w14:textId="77777777" w:rsidR="00816216" w:rsidRPr="000837EF" w:rsidRDefault="00816216" w:rsidP="00FB05F1">
      <w:pPr>
        <w:pStyle w:val="Odlomakpopisa"/>
        <w:numPr>
          <w:ilvl w:val="0"/>
          <w:numId w:val="37"/>
        </w:numPr>
        <w:spacing w:after="0" w:line="240" w:lineRule="auto"/>
        <w:jc w:val="both"/>
        <w:rPr>
          <w:rFonts w:ascii="Times New Roman" w:eastAsia="Times New Roman" w:hAnsi="Times New Roman" w:cs="Times New Roman"/>
          <w:bCs/>
          <w:sz w:val="24"/>
          <w:szCs w:val="24"/>
          <w:lang w:eastAsia="hr-HR"/>
        </w:rPr>
      </w:pPr>
      <w:r w:rsidRPr="000837EF">
        <w:rPr>
          <w:rFonts w:ascii="Times New Roman" w:eastAsia="Times New Roman" w:hAnsi="Times New Roman" w:cs="Times New Roman"/>
          <w:bCs/>
          <w:sz w:val="24"/>
          <w:szCs w:val="24"/>
          <w:lang w:eastAsia="hr-HR"/>
        </w:rPr>
        <w:t>Osiguranju mogućnosti za obuku i edukaciju o pravima sadržanim u Konvenciji svom osoblju u pravosudnom i administrativnom sektoru i sektoru policije.</w:t>
      </w:r>
    </w:p>
    <w:p w14:paraId="6880A09E" w14:textId="77777777" w:rsidR="00816216" w:rsidRPr="000837EF" w:rsidRDefault="00816216" w:rsidP="00816216">
      <w:pPr>
        <w:spacing w:after="0" w:line="240" w:lineRule="auto"/>
        <w:rPr>
          <w:rFonts w:ascii="Times New Roman" w:hAnsi="Times New Roman" w:cs="Times New Roman"/>
          <w:sz w:val="24"/>
          <w:szCs w:val="24"/>
        </w:rPr>
      </w:pPr>
    </w:p>
    <w:p w14:paraId="299EA9DD" w14:textId="77777777" w:rsidR="00816216" w:rsidRDefault="00816216" w:rsidP="00816216">
      <w:pPr>
        <w:spacing w:after="0" w:line="240" w:lineRule="auto"/>
        <w:jc w:val="both"/>
        <w:rPr>
          <w:rFonts w:ascii="Times New Roman" w:eastAsia="Times New Roman" w:hAnsi="Times New Roman" w:cs="Times New Roman"/>
          <w:bCs/>
          <w:sz w:val="24"/>
          <w:szCs w:val="24"/>
          <w:lang w:eastAsia="hr-HR"/>
        </w:rPr>
      </w:pPr>
      <w:r w:rsidRPr="000837EF">
        <w:rPr>
          <w:rFonts w:ascii="Times New Roman" w:eastAsia="Times New Roman" w:hAnsi="Times New Roman" w:cs="Times New Roman"/>
          <w:bCs/>
          <w:sz w:val="24"/>
          <w:szCs w:val="24"/>
          <w:lang w:eastAsia="hr-HR"/>
        </w:rPr>
        <w:t>Pitanje 14</w:t>
      </w:r>
    </w:p>
    <w:p w14:paraId="46E73C4E" w14:textId="77777777" w:rsidR="00816216" w:rsidRPr="000837EF" w:rsidRDefault="00816216" w:rsidP="00816216">
      <w:pPr>
        <w:spacing w:after="0" w:line="240" w:lineRule="auto"/>
        <w:jc w:val="both"/>
        <w:rPr>
          <w:rFonts w:ascii="Times New Roman" w:eastAsia="Times New Roman" w:hAnsi="Times New Roman" w:cs="Times New Roman"/>
          <w:bCs/>
          <w:sz w:val="24"/>
          <w:szCs w:val="24"/>
          <w:lang w:eastAsia="hr-HR"/>
        </w:rPr>
      </w:pPr>
      <w:r w:rsidRPr="000837EF">
        <w:rPr>
          <w:rFonts w:ascii="Times New Roman" w:eastAsia="Times New Roman" w:hAnsi="Times New Roman" w:cs="Times New Roman"/>
          <w:bCs/>
          <w:sz w:val="24"/>
          <w:szCs w:val="24"/>
          <w:lang w:eastAsia="hr-HR"/>
        </w:rPr>
        <w:t>Molimo dostavite podatke o mjerama koje jamče da će izmjene novog Zakona o zaštiti osoba s duševnim smetnjama iz 2015. poštivati Konvenciju i biti u skladu sa smjernicama Odbora u članku 14. Konvencije. Također, molimo objasnite uložene napore u obuku osoblja psihijatrijskih ustanova i uspostavljanja sustava redovitog praćenja i evaluacije, kako bi se osiguralo da nitko nije lišen vlastite slobode na osnovi svog oštećenja.</w:t>
      </w:r>
    </w:p>
    <w:p w14:paraId="30015EF1" w14:textId="77777777" w:rsidR="00816216" w:rsidRDefault="00816216" w:rsidP="00816216">
      <w:pPr>
        <w:spacing w:after="0" w:line="240" w:lineRule="auto"/>
        <w:jc w:val="both"/>
        <w:rPr>
          <w:rFonts w:ascii="Times New Roman" w:eastAsia="Times New Roman" w:hAnsi="Times New Roman" w:cs="Times New Roman"/>
          <w:bCs/>
          <w:sz w:val="24"/>
          <w:szCs w:val="24"/>
          <w:lang w:eastAsia="hr-HR"/>
        </w:rPr>
      </w:pPr>
    </w:p>
    <w:p w14:paraId="3FA41EE4" w14:textId="77777777" w:rsidR="00816216" w:rsidRPr="000837EF" w:rsidRDefault="00816216" w:rsidP="00816216">
      <w:pPr>
        <w:spacing w:after="0" w:line="240" w:lineRule="auto"/>
        <w:jc w:val="both"/>
        <w:rPr>
          <w:rFonts w:ascii="Times New Roman" w:eastAsia="Times New Roman" w:hAnsi="Times New Roman" w:cs="Times New Roman"/>
          <w:bCs/>
          <w:sz w:val="24"/>
          <w:szCs w:val="24"/>
          <w:lang w:eastAsia="hr-HR"/>
        </w:rPr>
      </w:pPr>
    </w:p>
    <w:p w14:paraId="1641D46B" w14:textId="77777777" w:rsidR="00816216" w:rsidRDefault="00816216" w:rsidP="00816216">
      <w:pPr>
        <w:spacing w:after="0" w:line="240" w:lineRule="auto"/>
        <w:jc w:val="both"/>
        <w:rPr>
          <w:rFonts w:ascii="Times New Roman" w:eastAsia="Times New Roman" w:hAnsi="Times New Roman" w:cs="Times New Roman"/>
          <w:bCs/>
          <w:sz w:val="24"/>
          <w:szCs w:val="24"/>
          <w:lang w:eastAsia="hr-HR"/>
        </w:rPr>
      </w:pPr>
      <w:r w:rsidRPr="000837EF">
        <w:rPr>
          <w:rFonts w:ascii="Times New Roman" w:eastAsia="Times New Roman" w:hAnsi="Times New Roman" w:cs="Times New Roman"/>
          <w:bCs/>
          <w:sz w:val="24"/>
          <w:szCs w:val="24"/>
          <w:lang w:eastAsia="hr-HR"/>
        </w:rPr>
        <w:t>Pitanje 15</w:t>
      </w:r>
    </w:p>
    <w:p w14:paraId="767EBA33" w14:textId="77777777" w:rsidR="00816216" w:rsidRPr="000837EF" w:rsidRDefault="00816216" w:rsidP="00816216">
      <w:pPr>
        <w:spacing w:after="0" w:line="240" w:lineRule="auto"/>
        <w:jc w:val="both"/>
        <w:rPr>
          <w:rFonts w:ascii="Times New Roman" w:eastAsia="Times New Roman" w:hAnsi="Times New Roman" w:cs="Times New Roman"/>
          <w:bCs/>
          <w:sz w:val="24"/>
          <w:szCs w:val="24"/>
          <w:lang w:eastAsia="hr-HR"/>
        </w:rPr>
      </w:pPr>
      <w:r w:rsidRPr="000837EF">
        <w:rPr>
          <w:rFonts w:ascii="Times New Roman" w:eastAsia="Times New Roman" w:hAnsi="Times New Roman" w:cs="Times New Roman"/>
          <w:bCs/>
          <w:sz w:val="24"/>
          <w:szCs w:val="24"/>
          <w:lang w:eastAsia="hr-HR"/>
        </w:rPr>
        <w:t xml:space="preserve">Molimo obrazložite poduzete mjere koje su u suprotnosti s nacrtom Dodatnog protokola uz Konvenciju o zaštiti ljudskih prava i dostojanstva ljudskog bića u pogledu primjene biologije i </w:t>
      </w:r>
      <w:r w:rsidRPr="000837EF">
        <w:rPr>
          <w:rFonts w:ascii="Times New Roman" w:eastAsia="Times New Roman" w:hAnsi="Times New Roman" w:cs="Times New Roman"/>
          <w:bCs/>
          <w:sz w:val="24"/>
          <w:szCs w:val="24"/>
          <w:lang w:eastAsia="hr-HR"/>
        </w:rPr>
        <w:lastRenderedPageBreak/>
        <w:t xml:space="preserve">medicine (Konvencija iz </w:t>
      </w:r>
      <w:proofErr w:type="spellStart"/>
      <w:r w:rsidRPr="000837EF">
        <w:rPr>
          <w:rFonts w:ascii="Times New Roman" w:eastAsia="Times New Roman" w:hAnsi="Times New Roman" w:cs="Times New Roman"/>
          <w:bCs/>
          <w:sz w:val="24"/>
          <w:szCs w:val="24"/>
          <w:lang w:eastAsia="hr-HR"/>
        </w:rPr>
        <w:t>Ovieda</w:t>
      </w:r>
      <w:proofErr w:type="spellEnd"/>
      <w:r w:rsidRPr="000837EF">
        <w:rPr>
          <w:rFonts w:ascii="Times New Roman" w:eastAsia="Times New Roman" w:hAnsi="Times New Roman" w:cs="Times New Roman"/>
          <w:bCs/>
          <w:sz w:val="24"/>
          <w:szCs w:val="24"/>
          <w:lang w:eastAsia="hr-HR"/>
        </w:rPr>
        <w:t>) u svom trenutnom obliku, u skladu s izjavom Odbora usvojenoj tijekom njegova dvadesetog zasjedanja.</w:t>
      </w:r>
    </w:p>
    <w:p w14:paraId="76BA329B" w14:textId="77777777" w:rsidR="00816216" w:rsidRPr="000837EF" w:rsidRDefault="00816216" w:rsidP="00816216">
      <w:pPr>
        <w:spacing w:after="0" w:line="240" w:lineRule="auto"/>
        <w:jc w:val="both"/>
        <w:rPr>
          <w:rFonts w:ascii="Times New Roman" w:eastAsia="Times New Roman" w:hAnsi="Times New Roman" w:cs="Times New Roman"/>
          <w:bCs/>
          <w:sz w:val="24"/>
          <w:szCs w:val="24"/>
          <w:lang w:eastAsia="hr-HR"/>
        </w:rPr>
      </w:pPr>
    </w:p>
    <w:p w14:paraId="60345CB7" w14:textId="77777777" w:rsidR="00816216" w:rsidRDefault="00816216" w:rsidP="00816216">
      <w:pPr>
        <w:spacing w:after="0" w:line="240" w:lineRule="auto"/>
        <w:jc w:val="both"/>
        <w:rPr>
          <w:rFonts w:ascii="Times New Roman" w:eastAsia="Times New Roman" w:hAnsi="Times New Roman" w:cs="Times New Roman"/>
          <w:bCs/>
          <w:sz w:val="24"/>
          <w:szCs w:val="24"/>
          <w:lang w:eastAsia="hr-HR"/>
        </w:rPr>
      </w:pPr>
      <w:r w:rsidRPr="000837EF">
        <w:rPr>
          <w:rFonts w:ascii="Times New Roman" w:eastAsia="Times New Roman" w:hAnsi="Times New Roman" w:cs="Times New Roman"/>
          <w:bCs/>
          <w:sz w:val="24"/>
          <w:szCs w:val="24"/>
          <w:lang w:eastAsia="hr-HR"/>
        </w:rPr>
        <w:t>Pitanje 16</w:t>
      </w:r>
    </w:p>
    <w:p w14:paraId="53D5D4C9" w14:textId="77777777" w:rsidR="00816216" w:rsidRPr="000837EF" w:rsidRDefault="00816216" w:rsidP="00816216">
      <w:pPr>
        <w:spacing w:after="0" w:line="240" w:lineRule="auto"/>
        <w:jc w:val="both"/>
        <w:rPr>
          <w:rFonts w:ascii="Times New Roman" w:eastAsia="Times New Roman" w:hAnsi="Times New Roman" w:cs="Times New Roman"/>
          <w:bCs/>
          <w:sz w:val="24"/>
          <w:szCs w:val="24"/>
          <w:lang w:eastAsia="hr-HR"/>
        </w:rPr>
      </w:pPr>
      <w:r w:rsidRPr="000837EF">
        <w:rPr>
          <w:rFonts w:ascii="Times New Roman" w:eastAsia="Times New Roman" w:hAnsi="Times New Roman" w:cs="Times New Roman"/>
          <w:bCs/>
          <w:sz w:val="24"/>
          <w:szCs w:val="24"/>
          <w:lang w:eastAsia="hr-HR"/>
        </w:rPr>
        <w:t>Molimo dostavite podatke o izvješću o aktivnostima i rezultatima hrvatske pučke pravobraniteljice nadležne za Nacionalni mehanizam za sprečavanje mučenja u okviru Fakultativnog protokola uz Konvenciju protiv mučenja. S obzirom na prethodne zaključne napomene Odbora (stavak 24.), molimo dostavite podatke o:</w:t>
      </w:r>
    </w:p>
    <w:p w14:paraId="4D5109F8" w14:textId="77777777" w:rsidR="00816216" w:rsidRDefault="00816216" w:rsidP="00FB05F1">
      <w:pPr>
        <w:pStyle w:val="Odlomakpopisa"/>
        <w:numPr>
          <w:ilvl w:val="0"/>
          <w:numId w:val="38"/>
        </w:numPr>
        <w:spacing w:after="0" w:line="240" w:lineRule="auto"/>
        <w:jc w:val="both"/>
        <w:rPr>
          <w:rFonts w:ascii="Times New Roman" w:eastAsia="Times New Roman" w:hAnsi="Times New Roman" w:cs="Times New Roman"/>
          <w:bCs/>
          <w:sz w:val="24"/>
          <w:szCs w:val="24"/>
          <w:lang w:eastAsia="hr-HR"/>
        </w:rPr>
      </w:pPr>
      <w:r w:rsidRPr="000837EF">
        <w:rPr>
          <w:rFonts w:ascii="Times New Roman" w:eastAsia="Times New Roman" w:hAnsi="Times New Roman" w:cs="Times New Roman"/>
          <w:bCs/>
          <w:sz w:val="24"/>
          <w:szCs w:val="24"/>
          <w:lang w:eastAsia="hr-HR"/>
        </w:rPr>
        <w:t>Provedenim reformama za rješavanje neprikladnih, često neljudskih životnih uvjeta u ustanovama socijalne skrbi;</w:t>
      </w:r>
    </w:p>
    <w:p w14:paraId="38F85EF6" w14:textId="77777777" w:rsidR="00816216" w:rsidRDefault="00816216" w:rsidP="00FB05F1">
      <w:pPr>
        <w:pStyle w:val="Odlomakpopisa"/>
        <w:numPr>
          <w:ilvl w:val="0"/>
          <w:numId w:val="38"/>
        </w:numPr>
        <w:spacing w:after="0" w:line="240" w:lineRule="auto"/>
        <w:jc w:val="both"/>
        <w:rPr>
          <w:rFonts w:ascii="Times New Roman" w:eastAsia="Times New Roman" w:hAnsi="Times New Roman" w:cs="Times New Roman"/>
          <w:bCs/>
          <w:sz w:val="24"/>
          <w:szCs w:val="24"/>
          <w:lang w:eastAsia="hr-HR"/>
        </w:rPr>
      </w:pPr>
      <w:r w:rsidRPr="000837EF">
        <w:rPr>
          <w:rFonts w:ascii="Times New Roman" w:eastAsia="Times New Roman" w:hAnsi="Times New Roman" w:cs="Times New Roman"/>
          <w:bCs/>
          <w:sz w:val="24"/>
          <w:szCs w:val="24"/>
          <w:lang w:eastAsia="hr-HR"/>
        </w:rPr>
        <w:t xml:space="preserve">Poduzetih mjera za prekid prisilnog liječenja i korištenja mjera ograničavanja te uloženim naporima za primjenu </w:t>
      </w:r>
      <w:proofErr w:type="spellStart"/>
      <w:r w:rsidRPr="000837EF">
        <w:rPr>
          <w:rFonts w:ascii="Times New Roman" w:eastAsia="Times New Roman" w:hAnsi="Times New Roman" w:cs="Times New Roman"/>
          <w:bCs/>
          <w:sz w:val="24"/>
          <w:szCs w:val="24"/>
          <w:lang w:eastAsia="hr-HR"/>
        </w:rPr>
        <w:t>deskalacijskih</w:t>
      </w:r>
      <w:proofErr w:type="spellEnd"/>
      <w:r w:rsidRPr="000837EF">
        <w:rPr>
          <w:rFonts w:ascii="Times New Roman" w:eastAsia="Times New Roman" w:hAnsi="Times New Roman" w:cs="Times New Roman"/>
          <w:bCs/>
          <w:sz w:val="24"/>
          <w:szCs w:val="24"/>
          <w:lang w:eastAsia="hr-HR"/>
        </w:rPr>
        <w:t xml:space="preserve"> tehnika i drugih alternativnih metoda umjesto ograničavanja i prisile;</w:t>
      </w:r>
    </w:p>
    <w:p w14:paraId="2B5FE47A" w14:textId="77777777" w:rsidR="00816216" w:rsidRPr="00AF404A" w:rsidRDefault="00816216" w:rsidP="00FB05F1">
      <w:pPr>
        <w:pStyle w:val="Odlomakpopisa"/>
        <w:numPr>
          <w:ilvl w:val="0"/>
          <w:numId w:val="38"/>
        </w:numPr>
        <w:spacing w:after="0" w:line="240" w:lineRule="auto"/>
        <w:jc w:val="both"/>
        <w:rPr>
          <w:rFonts w:ascii="Times New Roman" w:eastAsia="Times New Roman" w:hAnsi="Times New Roman" w:cs="Times New Roman"/>
          <w:bCs/>
          <w:sz w:val="24"/>
          <w:szCs w:val="24"/>
          <w:lang w:eastAsia="hr-HR"/>
        </w:rPr>
      </w:pPr>
      <w:r w:rsidRPr="00AF404A">
        <w:rPr>
          <w:rFonts w:ascii="Times New Roman" w:eastAsia="Times New Roman" w:hAnsi="Times New Roman" w:cs="Times New Roman"/>
          <w:bCs/>
          <w:sz w:val="24"/>
          <w:szCs w:val="24"/>
          <w:lang w:eastAsia="hr-HR"/>
        </w:rPr>
        <w:t>Poduzetim koracima za zabranu prisilnog zatvaranja i hospitalizacije na osnovi oštećenja te korištenja medicinskog zahvata bez slobodnog informiranog pristanka.</w:t>
      </w:r>
    </w:p>
    <w:p w14:paraId="18CCDF62" w14:textId="77777777" w:rsidR="00816216" w:rsidRDefault="00816216" w:rsidP="00816216">
      <w:pPr>
        <w:spacing w:after="0" w:line="240" w:lineRule="auto"/>
        <w:jc w:val="both"/>
        <w:rPr>
          <w:rFonts w:ascii="Times New Roman" w:eastAsia="Times New Roman" w:hAnsi="Times New Roman" w:cs="Times New Roman"/>
          <w:bCs/>
          <w:sz w:val="24"/>
          <w:szCs w:val="24"/>
          <w:lang w:eastAsia="hr-HR"/>
        </w:rPr>
      </w:pPr>
    </w:p>
    <w:p w14:paraId="06A27BE3" w14:textId="77777777" w:rsidR="00816216" w:rsidRDefault="00816216" w:rsidP="00816216">
      <w:pPr>
        <w:spacing w:after="0" w:line="240" w:lineRule="auto"/>
        <w:jc w:val="both"/>
        <w:rPr>
          <w:rFonts w:ascii="Times New Roman" w:eastAsia="Times New Roman" w:hAnsi="Times New Roman" w:cs="Times New Roman"/>
          <w:bCs/>
          <w:sz w:val="24"/>
          <w:szCs w:val="24"/>
          <w:lang w:eastAsia="hr-HR"/>
        </w:rPr>
      </w:pPr>
      <w:r w:rsidRPr="000837EF">
        <w:rPr>
          <w:rFonts w:ascii="Times New Roman" w:eastAsia="Times New Roman" w:hAnsi="Times New Roman" w:cs="Times New Roman"/>
          <w:bCs/>
          <w:sz w:val="24"/>
          <w:szCs w:val="24"/>
          <w:lang w:eastAsia="hr-HR"/>
        </w:rPr>
        <w:t>Pitanje 17</w:t>
      </w:r>
    </w:p>
    <w:p w14:paraId="2277594E" w14:textId="77777777" w:rsidR="00816216" w:rsidRPr="000837EF" w:rsidRDefault="00816216" w:rsidP="00816216">
      <w:pPr>
        <w:spacing w:after="0" w:line="240" w:lineRule="auto"/>
        <w:jc w:val="both"/>
        <w:rPr>
          <w:rFonts w:ascii="Times New Roman" w:eastAsia="Times New Roman" w:hAnsi="Times New Roman" w:cs="Times New Roman"/>
          <w:bCs/>
          <w:sz w:val="24"/>
          <w:szCs w:val="24"/>
          <w:lang w:eastAsia="hr-HR"/>
        </w:rPr>
      </w:pPr>
      <w:r w:rsidRPr="000837EF">
        <w:rPr>
          <w:rFonts w:ascii="Times New Roman" w:eastAsia="Times New Roman" w:hAnsi="Times New Roman" w:cs="Times New Roman"/>
          <w:bCs/>
          <w:sz w:val="24"/>
          <w:szCs w:val="24"/>
          <w:lang w:eastAsia="hr-HR"/>
        </w:rPr>
        <w:t>Molimo dostavite podatke o postignutom napretku u poboljšanju zaštite osoba s invaliditetom, posebice žena i djevojaka od nasilja, uključujući:</w:t>
      </w:r>
    </w:p>
    <w:p w14:paraId="57A9D4C2" w14:textId="77777777" w:rsidR="00816216" w:rsidRDefault="00816216" w:rsidP="00FB05F1">
      <w:pPr>
        <w:pStyle w:val="Odlomakpopisa"/>
        <w:numPr>
          <w:ilvl w:val="0"/>
          <w:numId w:val="39"/>
        </w:numPr>
        <w:spacing w:after="0" w:line="240" w:lineRule="auto"/>
        <w:jc w:val="both"/>
        <w:rPr>
          <w:rFonts w:ascii="Times New Roman" w:eastAsia="Times New Roman" w:hAnsi="Times New Roman" w:cs="Times New Roman"/>
          <w:bCs/>
          <w:sz w:val="24"/>
          <w:szCs w:val="24"/>
          <w:lang w:eastAsia="hr-HR"/>
        </w:rPr>
      </w:pPr>
      <w:r w:rsidRPr="00AF404A">
        <w:rPr>
          <w:rFonts w:ascii="Times New Roman" w:eastAsia="Times New Roman" w:hAnsi="Times New Roman" w:cs="Times New Roman"/>
          <w:bCs/>
          <w:sz w:val="24"/>
          <w:szCs w:val="24"/>
          <w:lang w:eastAsia="hr-HR"/>
        </w:rPr>
        <w:t>Napore za uspostavljanje neovisnog mehanizma za nadzor, kao i poduzete mjere kako bi se u sklopu tog mehanizma redovito izvješćivalo, izricalo sankcije i pružilo odštetu;</w:t>
      </w:r>
    </w:p>
    <w:p w14:paraId="295404FF" w14:textId="77777777" w:rsidR="00816216" w:rsidRDefault="00816216" w:rsidP="00FB05F1">
      <w:pPr>
        <w:pStyle w:val="Odlomakpopisa"/>
        <w:numPr>
          <w:ilvl w:val="0"/>
          <w:numId w:val="39"/>
        </w:numPr>
        <w:spacing w:after="0" w:line="240" w:lineRule="auto"/>
        <w:jc w:val="both"/>
        <w:rPr>
          <w:rFonts w:ascii="Times New Roman" w:eastAsia="Times New Roman" w:hAnsi="Times New Roman" w:cs="Times New Roman"/>
          <w:bCs/>
          <w:sz w:val="24"/>
          <w:szCs w:val="24"/>
          <w:lang w:eastAsia="hr-HR"/>
        </w:rPr>
      </w:pPr>
      <w:r w:rsidRPr="00AF404A">
        <w:rPr>
          <w:rFonts w:ascii="Times New Roman" w:eastAsia="Times New Roman" w:hAnsi="Times New Roman" w:cs="Times New Roman"/>
          <w:bCs/>
          <w:sz w:val="24"/>
          <w:szCs w:val="24"/>
          <w:lang w:eastAsia="hr-HR"/>
        </w:rPr>
        <w:t>Uspostavljena određena jamstva za djevojke i žene s invaliditetom u Nacionalnoj strategiji zaštite od nasilja u obitelji 2011.-2016., osobito za prava žrtava u svezi sa zabilježbom i istragom pritužbi;</w:t>
      </w:r>
    </w:p>
    <w:p w14:paraId="17508168" w14:textId="77777777" w:rsidR="00816216" w:rsidRPr="00AF404A" w:rsidRDefault="00816216" w:rsidP="00FB05F1">
      <w:pPr>
        <w:pStyle w:val="Odlomakpopisa"/>
        <w:numPr>
          <w:ilvl w:val="0"/>
          <w:numId w:val="39"/>
        </w:numPr>
        <w:spacing w:after="0" w:line="240" w:lineRule="auto"/>
        <w:jc w:val="both"/>
        <w:rPr>
          <w:rFonts w:ascii="Times New Roman" w:eastAsia="Times New Roman" w:hAnsi="Times New Roman" w:cs="Times New Roman"/>
          <w:bCs/>
          <w:sz w:val="24"/>
          <w:szCs w:val="24"/>
          <w:lang w:eastAsia="hr-HR"/>
        </w:rPr>
      </w:pPr>
      <w:r w:rsidRPr="00AF404A">
        <w:rPr>
          <w:rFonts w:ascii="Times New Roman" w:eastAsia="Times New Roman" w:hAnsi="Times New Roman" w:cs="Times New Roman"/>
          <w:bCs/>
          <w:sz w:val="24"/>
          <w:szCs w:val="24"/>
          <w:lang w:eastAsia="hr-HR"/>
        </w:rPr>
        <w:t>Mjere vezane uz pristup skloništima za žrtve s invaliditetom, uključujući usluge rehabilitacije i socijalne reintegracije, vodeći računa o specifičnostima potreba koje proizlaze iz dobi i spola osoba s invaliditetom</w:t>
      </w:r>
    </w:p>
    <w:p w14:paraId="0681334C" w14:textId="77777777" w:rsidR="00816216" w:rsidRDefault="00816216" w:rsidP="00816216">
      <w:pPr>
        <w:spacing w:after="0" w:line="240" w:lineRule="auto"/>
        <w:jc w:val="both"/>
        <w:rPr>
          <w:rFonts w:ascii="Times New Roman" w:eastAsia="Times New Roman" w:hAnsi="Times New Roman" w:cs="Times New Roman"/>
          <w:bCs/>
          <w:sz w:val="24"/>
          <w:szCs w:val="24"/>
          <w:lang w:eastAsia="hr-HR"/>
        </w:rPr>
      </w:pPr>
    </w:p>
    <w:p w14:paraId="2599AD26" w14:textId="77777777" w:rsidR="00816216" w:rsidRDefault="00816216" w:rsidP="00816216">
      <w:pPr>
        <w:spacing w:after="0" w:line="240" w:lineRule="auto"/>
        <w:jc w:val="both"/>
        <w:rPr>
          <w:rFonts w:ascii="Times New Roman" w:eastAsia="Times New Roman" w:hAnsi="Times New Roman" w:cs="Times New Roman"/>
          <w:bCs/>
          <w:sz w:val="24"/>
          <w:szCs w:val="24"/>
          <w:lang w:eastAsia="hr-HR"/>
        </w:rPr>
      </w:pPr>
      <w:r w:rsidRPr="000837EF">
        <w:rPr>
          <w:rFonts w:ascii="Times New Roman" w:eastAsia="Times New Roman" w:hAnsi="Times New Roman" w:cs="Times New Roman"/>
          <w:bCs/>
          <w:sz w:val="24"/>
          <w:szCs w:val="24"/>
          <w:lang w:eastAsia="hr-HR"/>
        </w:rPr>
        <w:t>Pitanje 18</w:t>
      </w:r>
    </w:p>
    <w:p w14:paraId="139449AC" w14:textId="77777777" w:rsidR="00816216" w:rsidRPr="000837EF" w:rsidRDefault="00816216" w:rsidP="00816216">
      <w:pPr>
        <w:spacing w:after="0" w:line="240" w:lineRule="auto"/>
        <w:jc w:val="both"/>
        <w:rPr>
          <w:rFonts w:ascii="Times New Roman" w:eastAsia="Times New Roman" w:hAnsi="Times New Roman" w:cs="Times New Roman"/>
          <w:bCs/>
          <w:sz w:val="24"/>
          <w:szCs w:val="24"/>
          <w:lang w:eastAsia="hr-HR"/>
        </w:rPr>
      </w:pPr>
      <w:r w:rsidRPr="000837EF">
        <w:rPr>
          <w:rFonts w:ascii="Times New Roman" w:eastAsia="Times New Roman" w:hAnsi="Times New Roman" w:cs="Times New Roman"/>
          <w:bCs/>
          <w:sz w:val="24"/>
          <w:szCs w:val="24"/>
          <w:lang w:eastAsia="hr-HR"/>
        </w:rPr>
        <w:t>S obzirom na prethodne zaključne napomene Odbora (stavak 28.), molimo dostavite informacije o:</w:t>
      </w:r>
    </w:p>
    <w:p w14:paraId="3ADB0E2C" w14:textId="77777777" w:rsidR="00816216" w:rsidRDefault="00816216" w:rsidP="00FB05F1">
      <w:pPr>
        <w:pStyle w:val="Odlomakpopisa"/>
        <w:numPr>
          <w:ilvl w:val="0"/>
          <w:numId w:val="40"/>
        </w:numPr>
        <w:spacing w:after="0" w:line="240" w:lineRule="auto"/>
        <w:jc w:val="both"/>
        <w:rPr>
          <w:rFonts w:ascii="Times New Roman" w:eastAsia="Times New Roman" w:hAnsi="Times New Roman" w:cs="Times New Roman"/>
          <w:bCs/>
          <w:sz w:val="24"/>
          <w:szCs w:val="24"/>
          <w:lang w:eastAsia="hr-HR"/>
        </w:rPr>
      </w:pPr>
      <w:r w:rsidRPr="00AF404A">
        <w:rPr>
          <w:rFonts w:ascii="Times New Roman" w:eastAsia="Times New Roman" w:hAnsi="Times New Roman" w:cs="Times New Roman"/>
          <w:bCs/>
          <w:sz w:val="24"/>
          <w:szCs w:val="24"/>
          <w:lang w:eastAsia="hr-HR"/>
        </w:rPr>
        <w:t>Uloženim naporima, uključujući izmjene Zakona o zdravstvenoj zaštiti, u svrhu zabrane sterilizacije djece s teškoćama u razvoju i odraslih s invaliditetom, uključujući i one s psihosocijalnim i intelektualnim invaliditetom, kojima je uskraćena njihova poslovna sposobnost;</w:t>
      </w:r>
    </w:p>
    <w:p w14:paraId="00BB7ACA" w14:textId="77777777" w:rsidR="00816216" w:rsidRDefault="00816216" w:rsidP="00FB05F1">
      <w:pPr>
        <w:pStyle w:val="Odlomakpopisa"/>
        <w:numPr>
          <w:ilvl w:val="0"/>
          <w:numId w:val="40"/>
        </w:numPr>
        <w:spacing w:after="0" w:line="240" w:lineRule="auto"/>
        <w:jc w:val="both"/>
        <w:rPr>
          <w:rFonts w:ascii="Times New Roman" w:eastAsia="Times New Roman" w:hAnsi="Times New Roman" w:cs="Times New Roman"/>
          <w:bCs/>
          <w:sz w:val="24"/>
          <w:szCs w:val="24"/>
          <w:lang w:eastAsia="hr-HR"/>
        </w:rPr>
      </w:pPr>
      <w:r w:rsidRPr="00AF404A">
        <w:rPr>
          <w:rFonts w:ascii="Times New Roman" w:eastAsia="Times New Roman" w:hAnsi="Times New Roman" w:cs="Times New Roman"/>
          <w:bCs/>
          <w:sz w:val="24"/>
          <w:szCs w:val="24"/>
          <w:lang w:eastAsia="hr-HR"/>
        </w:rPr>
        <w:t>Poduzetim koracima radi izmjene Obiteljskog zakona, što omogućuje donošenje odluka o sterilizaciji od strane zamjenskog donositelja (sudska odluka), a što nije u skladu s Konvencijom</w:t>
      </w:r>
    </w:p>
    <w:p w14:paraId="336251D4" w14:textId="77777777" w:rsidR="00816216" w:rsidRPr="00AF404A" w:rsidRDefault="00816216" w:rsidP="00FB05F1">
      <w:pPr>
        <w:pStyle w:val="Odlomakpopisa"/>
        <w:numPr>
          <w:ilvl w:val="0"/>
          <w:numId w:val="40"/>
        </w:numPr>
        <w:spacing w:after="0" w:line="240" w:lineRule="auto"/>
        <w:jc w:val="both"/>
        <w:rPr>
          <w:rFonts w:ascii="Times New Roman" w:eastAsia="Times New Roman" w:hAnsi="Times New Roman" w:cs="Times New Roman"/>
          <w:bCs/>
          <w:sz w:val="24"/>
          <w:szCs w:val="24"/>
          <w:lang w:eastAsia="hr-HR"/>
        </w:rPr>
      </w:pPr>
      <w:r w:rsidRPr="00AF404A">
        <w:rPr>
          <w:rFonts w:ascii="Times New Roman" w:eastAsia="Times New Roman" w:hAnsi="Times New Roman" w:cs="Times New Roman"/>
          <w:bCs/>
          <w:sz w:val="24"/>
          <w:szCs w:val="24"/>
          <w:lang w:eastAsia="hr-HR"/>
        </w:rPr>
        <w:t>Poduzetim mjerama za podršku osobama s invaliditetom pri donošenju informiranih odabira i odluka vezano uz medicinske postupke i zahvate.</w:t>
      </w:r>
    </w:p>
    <w:p w14:paraId="5DE9FF91" w14:textId="77777777" w:rsidR="00816216" w:rsidRPr="000837EF" w:rsidRDefault="00816216" w:rsidP="00816216">
      <w:pPr>
        <w:spacing w:after="0" w:line="240" w:lineRule="auto"/>
        <w:jc w:val="both"/>
        <w:rPr>
          <w:rFonts w:ascii="Times New Roman" w:eastAsia="Times New Roman" w:hAnsi="Times New Roman" w:cs="Times New Roman"/>
          <w:bCs/>
          <w:sz w:val="24"/>
          <w:szCs w:val="24"/>
          <w:lang w:eastAsia="hr-HR"/>
        </w:rPr>
      </w:pPr>
    </w:p>
    <w:p w14:paraId="74FE42F0" w14:textId="77777777" w:rsidR="00816216" w:rsidRDefault="00816216" w:rsidP="00816216">
      <w:pPr>
        <w:spacing w:after="0" w:line="240" w:lineRule="auto"/>
        <w:jc w:val="both"/>
        <w:rPr>
          <w:rFonts w:ascii="Times New Roman" w:eastAsia="Times New Roman" w:hAnsi="Times New Roman" w:cs="Times New Roman"/>
          <w:bCs/>
          <w:sz w:val="24"/>
          <w:szCs w:val="24"/>
          <w:lang w:eastAsia="hr-HR"/>
        </w:rPr>
      </w:pPr>
      <w:r w:rsidRPr="000837EF">
        <w:rPr>
          <w:rFonts w:ascii="Times New Roman" w:eastAsia="Times New Roman" w:hAnsi="Times New Roman" w:cs="Times New Roman"/>
          <w:bCs/>
          <w:sz w:val="24"/>
          <w:szCs w:val="24"/>
          <w:lang w:eastAsia="hr-HR"/>
        </w:rPr>
        <w:t>Pitanje 19</w:t>
      </w:r>
    </w:p>
    <w:p w14:paraId="595AF0DD" w14:textId="77777777" w:rsidR="00816216" w:rsidRPr="000837EF" w:rsidRDefault="00816216" w:rsidP="00816216">
      <w:pPr>
        <w:spacing w:after="0" w:line="240" w:lineRule="auto"/>
        <w:jc w:val="both"/>
        <w:rPr>
          <w:rFonts w:ascii="Times New Roman" w:eastAsia="Times New Roman" w:hAnsi="Times New Roman" w:cs="Times New Roman"/>
          <w:bCs/>
          <w:sz w:val="24"/>
          <w:szCs w:val="24"/>
          <w:lang w:eastAsia="hr-HR"/>
        </w:rPr>
      </w:pPr>
      <w:r w:rsidRPr="000837EF">
        <w:rPr>
          <w:rFonts w:ascii="Times New Roman" w:eastAsia="Times New Roman" w:hAnsi="Times New Roman" w:cs="Times New Roman"/>
          <w:bCs/>
          <w:sz w:val="24"/>
          <w:szCs w:val="24"/>
          <w:lang w:eastAsia="hr-HR"/>
        </w:rPr>
        <w:t>S obzirom na prethodne zaključne napomene Odbora (stavak 30.), molimo izvijestite odbor o:</w:t>
      </w:r>
    </w:p>
    <w:p w14:paraId="10D73BE9" w14:textId="77777777" w:rsidR="00816216" w:rsidRDefault="00816216" w:rsidP="00FB05F1">
      <w:pPr>
        <w:pStyle w:val="Odlomakpopisa"/>
        <w:numPr>
          <w:ilvl w:val="0"/>
          <w:numId w:val="41"/>
        </w:numPr>
        <w:spacing w:after="0" w:line="240" w:lineRule="auto"/>
        <w:jc w:val="both"/>
        <w:rPr>
          <w:rFonts w:ascii="Times New Roman" w:eastAsia="Times New Roman" w:hAnsi="Times New Roman" w:cs="Times New Roman"/>
          <w:bCs/>
          <w:sz w:val="24"/>
          <w:szCs w:val="24"/>
          <w:lang w:eastAsia="hr-HR"/>
        </w:rPr>
      </w:pPr>
      <w:r w:rsidRPr="00AF404A">
        <w:rPr>
          <w:rFonts w:ascii="Times New Roman" w:eastAsia="Times New Roman" w:hAnsi="Times New Roman" w:cs="Times New Roman"/>
          <w:bCs/>
          <w:sz w:val="24"/>
          <w:szCs w:val="24"/>
          <w:lang w:eastAsia="hr-HR"/>
        </w:rPr>
        <w:t>Uslugama osobne asistencije i ostalim uslugama u lokalnoj zajednici koje su dostupne osobama s invaliditetom koje za njima imaju potrebu;</w:t>
      </w:r>
    </w:p>
    <w:p w14:paraId="2C220328" w14:textId="77777777" w:rsidR="00816216" w:rsidRPr="00AF404A" w:rsidRDefault="00816216" w:rsidP="00FB05F1">
      <w:pPr>
        <w:pStyle w:val="Odlomakpopisa"/>
        <w:numPr>
          <w:ilvl w:val="0"/>
          <w:numId w:val="41"/>
        </w:numPr>
        <w:spacing w:after="0" w:line="240" w:lineRule="auto"/>
        <w:jc w:val="both"/>
        <w:rPr>
          <w:rFonts w:ascii="Times New Roman" w:eastAsia="Times New Roman" w:hAnsi="Times New Roman" w:cs="Times New Roman"/>
          <w:bCs/>
          <w:sz w:val="24"/>
          <w:szCs w:val="24"/>
          <w:lang w:eastAsia="hr-HR"/>
        </w:rPr>
      </w:pPr>
      <w:r w:rsidRPr="00AF404A">
        <w:rPr>
          <w:rFonts w:ascii="Times New Roman" w:eastAsia="Times New Roman" w:hAnsi="Times New Roman" w:cs="Times New Roman"/>
          <w:bCs/>
          <w:sz w:val="24"/>
          <w:szCs w:val="24"/>
          <w:lang w:eastAsia="hr-HR"/>
        </w:rPr>
        <w:t xml:space="preserve">Ostvarenom napretku u svezi s Operativnim planom deinstitucionalizacije, osobito kada je riječ o osobama s intelektualnim i psihosocijalnim invaliditetom koje žive 24 sata u jednom životnom prostoru, u psihijatrijskim bolnicama, one koje žive u obiteljskim domovima za više od 20 osoba, te one koje žive u udomiteljskim obiteljima za odrasle. </w:t>
      </w:r>
    </w:p>
    <w:p w14:paraId="2FDFE123" w14:textId="77777777" w:rsidR="00816216" w:rsidRPr="000837EF" w:rsidRDefault="00816216" w:rsidP="00816216">
      <w:pPr>
        <w:spacing w:after="0" w:line="240" w:lineRule="auto"/>
        <w:jc w:val="both"/>
        <w:rPr>
          <w:rFonts w:ascii="Times New Roman" w:eastAsia="Times New Roman" w:hAnsi="Times New Roman" w:cs="Times New Roman"/>
          <w:bCs/>
          <w:sz w:val="24"/>
          <w:szCs w:val="24"/>
          <w:lang w:eastAsia="hr-HR"/>
        </w:rPr>
      </w:pPr>
    </w:p>
    <w:p w14:paraId="3ACCB9C2" w14:textId="77777777" w:rsidR="00816216" w:rsidRDefault="00816216" w:rsidP="00816216">
      <w:pPr>
        <w:spacing w:after="0" w:line="240" w:lineRule="auto"/>
        <w:jc w:val="both"/>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lastRenderedPageBreak/>
        <w:t xml:space="preserve">Pitanje </w:t>
      </w:r>
      <w:r w:rsidRPr="000837EF">
        <w:rPr>
          <w:rFonts w:ascii="Times New Roman" w:eastAsia="Times New Roman" w:hAnsi="Times New Roman" w:cs="Times New Roman"/>
          <w:bCs/>
          <w:sz w:val="24"/>
          <w:szCs w:val="24"/>
          <w:lang w:eastAsia="hr-HR"/>
        </w:rPr>
        <w:t>20</w:t>
      </w:r>
    </w:p>
    <w:p w14:paraId="5AFF0A3D" w14:textId="77777777" w:rsidR="00816216" w:rsidRPr="000837EF" w:rsidRDefault="00816216" w:rsidP="00816216">
      <w:pPr>
        <w:spacing w:after="0" w:line="240" w:lineRule="auto"/>
        <w:jc w:val="both"/>
        <w:rPr>
          <w:rFonts w:ascii="Times New Roman" w:eastAsia="Times New Roman" w:hAnsi="Times New Roman" w:cs="Times New Roman"/>
          <w:bCs/>
          <w:sz w:val="24"/>
          <w:szCs w:val="24"/>
          <w:lang w:eastAsia="hr-HR"/>
        </w:rPr>
      </w:pPr>
      <w:r w:rsidRPr="000837EF">
        <w:rPr>
          <w:rFonts w:ascii="Times New Roman" w:eastAsia="Times New Roman" w:hAnsi="Times New Roman" w:cs="Times New Roman"/>
          <w:bCs/>
          <w:sz w:val="24"/>
          <w:szCs w:val="24"/>
          <w:lang w:eastAsia="hr-HR"/>
        </w:rPr>
        <w:t xml:space="preserve">Molimo dostavite informacije o tome je li korištenje Europskih strukturnih i investicijskih fondova usmjereno </w:t>
      </w:r>
      <w:proofErr w:type="spellStart"/>
      <w:r w:rsidRPr="000837EF">
        <w:rPr>
          <w:rFonts w:ascii="Times New Roman" w:eastAsia="Times New Roman" w:hAnsi="Times New Roman" w:cs="Times New Roman"/>
          <w:bCs/>
          <w:sz w:val="24"/>
          <w:szCs w:val="24"/>
          <w:lang w:eastAsia="hr-HR"/>
        </w:rPr>
        <w:t>deinstitucionalizaciji</w:t>
      </w:r>
      <w:proofErr w:type="spellEnd"/>
      <w:r w:rsidRPr="000837EF">
        <w:rPr>
          <w:rFonts w:ascii="Times New Roman" w:eastAsia="Times New Roman" w:hAnsi="Times New Roman" w:cs="Times New Roman"/>
          <w:bCs/>
          <w:sz w:val="24"/>
          <w:szCs w:val="24"/>
          <w:lang w:eastAsia="hr-HR"/>
        </w:rPr>
        <w:t xml:space="preserve"> i osiguranju samostalnog života osoba s invaliditetom u zajednici. Molimo izvijestite Odbor o:</w:t>
      </w:r>
    </w:p>
    <w:p w14:paraId="053899EF" w14:textId="77777777" w:rsidR="00816216" w:rsidRDefault="00816216" w:rsidP="00FB05F1">
      <w:pPr>
        <w:pStyle w:val="Odlomakpopisa"/>
        <w:numPr>
          <w:ilvl w:val="0"/>
          <w:numId w:val="42"/>
        </w:numPr>
        <w:tabs>
          <w:tab w:val="left" w:pos="142"/>
        </w:tabs>
        <w:spacing w:after="0" w:line="240" w:lineRule="auto"/>
        <w:jc w:val="both"/>
        <w:rPr>
          <w:rFonts w:ascii="Times New Roman" w:eastAsia="Times New Roman" w:hAnsi="Times New Roman" w:cs="Times New Roman"/>
          <w:bCs/>
          <w:sz w:val="24"/>
          <w:szCs w:val="24"/>
          <w:lang w:eastAsia="hr-HR"/>
        </w:rPr>
      </w:pPr>
      <w:r w:rsidRPr="00AF404A">
        <w:rPr>
          <w:rFonts w:ascii="Times New Roman" w:eastAsia="Times New Roman" w:hAnsi="Times New Roman" w:cs="Times New Roman"/>
          <w:bCs/>
          <w:sz w:val="24"/>
          <w:szCs w:val="24"/>
          <w:lang w:eastAsia="hr-HR"/>
        </w:rPr>
        <w:t>Mjerama za osiguranje njihovog aktivnog sudjelovanja u donošenju odluka, među ostalim kada je riječ o vlastitom odabiru – s kim, kako i gdje živjeti;</w:t>
      </w:r>
    </w:p>
    <w:p w14:paraId="67761C25" w14:textId="77777777" w:rsidR="00816216" w:rsidRDefault="00816216" w:rsidP="00FB05F1">
      <w:pPr>
        <w:pStyle w:val="Odlomakpopisa"/>
        <w:numPr>
          <w:ilvl w:val="0"/>
          <w:numId w:val="42"/>
        </w:numPr>
        <w:tabs>
          <w:tab w:val="left" w:pos="142"/>
        </w:tabs>
        <w:spacing w:after="0" w:line="240" w:lineRule="auto"/>
        <w:jc w:val="both"/>
        <w:rPr>
          <w:rFonts w:ascii="Times New Roman" w:eastAsia="Times New Roman" w:hAnsi="Times New Roman" w:cs="Times New Roman"/>
          <w:bCs/>
          <w:sz w:val="24"/>
          <w:szCs w:val="24"/>
          <w:lang w:eastAsia="hr-HR"/>
        </w:rPr>
      </w:pPr>
      <w:r w:rsidRPr="00AF404A">
        <w:rPr>
          <w:rFonts w:ascii="Times New Roman" w:eastAsia="Times New Roman" w:hAnsi="Times New Roman" w:cs="Times New Roman"/>
          <w:bCs/>
          <w:sz w:val="24"/>
          <w:szCs w:val="24"/>
          <w:lang w:eastAsia="hr-HR"/>
        </w:rPr>
        <w:t>Poduzetim koracima za izmjenu Zakona o socijalnoj skrbi s ciljem zabrane ovlasti skrbnika da smjesti osobu u bilo koju ustanovu ili neko drugo stambeno rješenje bez pristanka te osobe;</w:t>
      </w:r>
    </w:p>
    <w:p w14:paraId="3922ABBB" w14:textId="77777777" w:rsidR="00816216" w:rsidRPr="00AF404A" w:rsidRDefault="00816216" w:rsidP="00FB05F1">
      <w:pPr>
        <w:pStyle w:val="Odlomakpopisa"/>
        <w:numPr>
          <w:ilvl w:val="0"/>
          <w:numId w:val="42"/>
        </w:numPr>
        <w:tabs>
          <w:tab w:val="left" w:pos="142"/>
        </w:tabs>
        <w:spacing w:after="0" w:line="240" w:lineRule="auto"/>
        <w:jc w:val="both"/>
        <w:rPr>
          <w:rFonts w:ascii="Times New Roman" w:eastAsia="Times New Roman" w:hAnsi="Times New Roman" w:cs="Times New Roman"/>
          <w:bCs/>
          <w:sz w:val="24"/>
          <w:szCs w:val="24"/>
          <w:lang w:eastAsia="hr-HR"/>
        </w:rPr>
      </w:pPr>
      <w:r w:rsidRPr="00AF404A">
        <w:rPr>
          <w:rFonts w:ascii="Times New Roman" w:eastAsia="Times New Roman" w:hAnsi="Times New Roman" w:cs="Times New Roman"/>
          <w:bCs/>
          <w:sz w:val="24"/>
          <w:szCs w:val="24"/>
          <w:lang w:eastAsia="hr-HR"/>
        </w:rPr>
        <w:t>Raspodjeli osoblja, tehničkih i financijskih sredstava za usluge podrške za omogućavanje samostalnog života i uključenja u zajednicu na nacionalnoj i lokalnoj razini.</w:t>
      </w:r>
    </w:p>
    <w:p w14:paraId="0222FB2E" w14:textId="77777777" w:rsidR="00816216" w:rsidRPr="000837EF" w:rsidRDefault="00816216" w:rsidP="00816216">
      <w:pPr>
        <w:spacing w:after="0" w:line="240" w:lineRule="auto"/>
        <w:jc w:val="both"/>
        <w:rPr>
          <w:rFonts w:ascii="Times New Roman" w:eastAsia="Times New Roman" w:hAnsi="Times New Roman" w:cs="Times New Roman"/>
          <w:bCs/>
          <w:sz w:val="24"/>
          <w:szCs w:val="24"/>
          <w:lang w:eastAsia="hr-HR"/>
        </w:rPr>
      </w:pPr>
    </w:p>
    <w:p w14:paraId="130AC9D0" w14:textId="77777777" w:rsidR="00816216" w:rsidRPr="000837EF" w:rsidRDefault="00816216" w:rsidP="00816216">
      <w:pPr>
        <w:spacing w:after="0" w:line="240" w:lineRule="auto"/>
        <w:jc w:val="both"/>
        <w:rPr>
          <w:rFonts w:ascii="Times New Roman" w:eastAsia="Times New Roman" w:hAnsi="Times New Roman" w:cs="Times New Roman"/>
          <w:bCs/>
          <w:sz w:val="24"/>
          <w:szCs w:val="24"/>
          <w:lang w:eastAsia="hr-HR"/>
        </w:rPr>
      </w:pPr>
      <w:r w:rsidRPr="000837EF">
        <w:rPr>
          <w:rFonts w:ascii="Times New Roman" w:eastAsia="Times New Roman" w:hAnsi="Times New Roman" w:cs="Times New Roman"/>
          <w:bCs/>
          <w:sz w:val="24"/>
          <w:szCs w:val="24"/>
          <w:lang w:eastAsia="hr-HR"/>
        </w:rPr>
        <w:t xml:space="preserve">Pitanje 21 </w:t>
      </w:r>
    </w:p>
    <w:p w14:paraId="1FECE996" w14:textId="77777777" w:rsidR="00816216" w:rsidRPr="000837EF" w:rsidRDefault="00816216" w:rsidP="00816216">
      <w:pPr>
        <w:spacing w:after="0" w:line="240" w:lineRule="auto"/>
        <w:jc w:val="both"/>
        <w:rPr>
          <w:rFonts w:ascii="Times New Roman" w:eastAsia="Times New Roman" w:hAnsi="Times New Roman" w:cs="Times New Roman"/>
          <w:bCs/>
          <w:sz w:val="24"/>
          <w:szCs w:val="24"/>
          <w:lang w:eastAsia="hr-HR"/>
        </w:rPr>
      </w:pPr>
      <w:r w:rsidRPr="000837EF">
        <w:rPr>
          <w:rFonts w:ascii="Times New Roman" w:eastAsia="Times New Roman" w:hAnsi="Times New Roman" w:cs="Times New Roman"/>
          <w:bCs/>
          <w:sz w:val="24"/>
          <w:szCs w:val="24"/>
          <w:lang w:eastAsia="hr-HR"/>
        </w:rPr>
        <w:t>Molimo dostavite podatke o ostvarenom napretku u provedbi preporuke pravobraniteljice o poboljšanju pristupačnosti televizijskog programa, poput masovnih medija, vijesti i glavnih programa za osobe s invaliditetom, osobito slijepih i gluhih osoba. Molimo također obrazložite poduzete korake za osiguravanje:</w:t>
      </w:r>
    </w:p>
    <w:p w14:paraId="5EC9F2BC" w14:textId="77777777" w:rsidR="00816216" w:rsidRPr="00AF404A" w:rsidRDefault="00816216" w:rsidP="00FB05F1">
      <w:pPr>
        <w:pStyle w:val="Odlomakpopisa"/>
        <w:numPr>
          <w:ilvl w:val="0"/>
          <w:numId w:val="43"/>
        </w:numPr>
        <w:spacing w:after="0" w:line="240" w:lineRule="auto"/>
        <w:jc w:val="both"/>
        <w:rPr>
          <w:rFonts w:ascii="Times New Roman" w:eastAsia="Times New Roman" w:hAnsi="Times New Roman" w:cs="Times New Roman"/>
          <w:bCs/>
          <w:sz w:val="24"/>
          <w:szCs w:val="24"/>
          <w:lang w:eastAsia="hr-HR"/>
        </w:rPr>
      </w:pPr>
      <w:r w:rsidRPr="00AF404A">
        <w:rPr>
          <w:rFonts w:ascii="Times New Roman" w:eastAsia="Times New Roman" w:hAnsi="Times New Roman" w:cs="Times New Roman"/>
          <w:bCs/>
          <w:sz w:val="24"/>
          <w:szCs w:val="24"/>
          <w:lang w:eastAsia="hr-HR"/>
        </w:rPr>
        <w:t xml:space="preserve">Hrvatskog znakovnog jezika kao priznatog službenog jezika kroz usvajanje Zakona o hrvatskom znakovnom jeziku i ostalim sustavima komunikacije gluhih i </w:t>
      </w:r>
      <w:proofErr w:type="spellStart"/>
      <w:r w:rsidRPr="00AF404A">
        <w:rPr>
          <w:rFonts w:ascii="Times New Roman" w:eastAsia="Times New Roman" w:hAnsi="Times New Roman" w:cs="Times New Roman"/>
          <w:bCs/>
          <w:sz w:val="24"/>
          <w:szCs w:val="24"/>
          <w:lang w:eastAsia="hr-HR"/>
        </w:rPr>
        <w:t>gluhoslijepih</w:t>
      </w:r>
      <w:proofErr w:type="spellEnd"/>
      <w:r w:rsidRPr="00AF404A">
        <w:rPr>
          <w:rFonts w:ascii="Times New Roman" w:eastAsia="Times New Roman" w:hAnsi="Times New Roman" w:cs="Times New Roman"/>
          <w:bCs/>
          <w:sz w:val="24"/>
          <w:szCs w:val="24"/>
          <w:lang w:eastAsia="hr-HR"/>
        </w:rPr>
        <w:t xml:space="preserve"> osoba u Republici Hrvatskoj;</w:t>
      </w:r>
    </w:p>
    <w:p w14:paraId="04720EEF" w14:textId="77777777" w:rsidR="00816216" w:rsidRPr="000837EF" w:rsidRDefault="00816216" w:rsidP="00FB05F1">
      <w:pPr>
        <w:pStyle w:val="Odlomakpopisa"/>
        <w:numPr>
          <w:ilvl w:val="0"/>
          <w:numId w:val="43"/>
        </w:numPr>
        <w:spacing w:after="0" w:line="240" w:lineRule="auto"/>
        <w:jc w:val="both"/>
        <w:rPr>
          <w:rFonts w:ascii="Times New Roman" w:eastAsia="Times New Roman" w:hAnsi="Times New Roman" w:cs="Times New Roman"/>
          <w:bCs/>
          <w:sz w:val="24"/>
          <w:szCs w:val="24"/>
          <w:lang w:eastAsia="hr-HR"/>
        </w:rPr>
      </w:pPr>
      <w:r w:rsidRPr="000837EF">
        <w:rPr>
          <w:rFonts w:ascii="Times New Roman" w:eastAsia="Times New Roman" w:hAnsi="Times New Roman" w:cs="Times New Roman"/>
          <w:bCs/>
          <w:sz w:val="24"/>
          <w:szCs w:val="24"/>
          <w:lang w:eastAsia="hr-HR"/>
        </w:rPr>
        <w:t>Materijalima s informacijama za opću javnost, uključujući i sustav e-Građani, dostupnim u obliku za jednostavno čitanje, na brajici, na hrvatskom znakovnom jeziku ili drugom pristupačnom formatu;</w:t>
      </w:r>
    </w:p>
    <w:p w14:paraId="26B3AB3C" w14:textId="77777777" w:rsidR="00816216" w:rsidRPr="00AF404A" w:rsidRDefault="00816216" w:rsidP="00FB05F1">
      <w:pPr>
        <w:pStyle w:val="Odlomakpopisa"/>
        <w:numPr>
          <w:ilvl w:val="0"/>
          <w:numId w:val="43"/>
        </w:numPr>
        <w:spacing w:after="0" w:line="240" w:lineRule="auto"/>
        <w:jc w:val="both"/>
        <w:rPr>
          <w:rFonts w:ascii="Times New Roman" w:eastAsia="Times New Roman" w:hAnsi="Times New Roman" w:cs="Times New Roman"/>
          <w:bCs/>
          <w:sz w:val="24"/>
          <w:szCs w:val="24"/>
          <w:lang w:eastAsia="hr-HR"/>
        </w:rPr>
      </w:pPr>
      <w:r w:rsidRPr="00AF404A">
        <w:rPr>
          <w:rFonts w:ascii="Times New Roman" w:eastAsia="Times New Roman" w:hAnsi="Times New Roman" w:cs="Times New Roman"/>
          <w:bCs/>
          <w:sz w:val="24"/>
          <w:szCs w:val="24"/>
          <w:lang w:eastAsia="hr-HR"/>
        </w:rPr>
        <w:t>Povećanom broju kvalificiranih tumača za hrvatski znakovni jezik.</w:t>
      </w:r>
    </w:p>
    <w:p w14:paraId="55BCF06A" w14:textId="77777777" w:rsidR="00816216" w:rsidRPr="000837EF" w:rsidRDefault="00816216" w:rsidP="00816216">
      <w:pPr>
        <w:pStyle w:val="Odlomakpopisa"/>
        <w:spacing w:after="0" w:line="240" w:lineRule="auto"/>
        <w:ind w:left="284"/>
        <w:jc w:val="both"/>
        <w:rPr>
          <w:rFonts w:ascii="Times New Roman" w:eastAsia="Times New Roman" w:hAnsi="Times New Roman" w:cs="Times New Roman"/>
          <w:bCs/>
          <w:sz w:val="24"/>
          <w:szCs w:val="24"/>
          <w:lang w:eastAsia="hr-HR"/>
        </w:rPr>
      </w:pPr>
    </w:p>
    <w:p w14:paraId="4C60079F" w14:textId="77777777" w:rsidR="00816216" w:rsidRDefault="00816216" w:rsidP="00816216">
      <w:pPr>
        <w:spacing w:after="0" w:line="240" w:lineRule="auto"/>
        <w:jc w:val="both"/>
        <w:rPr>
          <w:rFonts w:ascii="Times New Roman" w:eastAsia="Times New Roman" w:hAnsi="Times New Roman" w:cs="Times New Roman"/>
          <w:bCs/>
          <w:sz w:val="24"/>
          <w:szCs w:val="24"/>
          <w:lang w:eastAsia="hr-HR"/>
        </w:rPr>
      </w:pPr>
      <w:r w:rsidRPr="000837EF">
        <w:rPr>
          <w:rFonts w:ascii="Times New Roman" w:eastAsia="Times New Roman" w:hAnsi="Times New Roman" w:cs="Times New Roman"/>
          <w:bCs/>
          <w:sz w:val="24"/>
          <w:szCs w:val="24"/>
          <w:lang w:eastAsia="hr-HR"/>
        </w:rPr>
        <w:t>Pitanje 22</w:t>
      </w:r>
    </w:p>
    <w:p w14:paraId="1B1134EF" w14:textId="77777777" w:rsidR="00816216" w:rsidRPr="000837EF" w:rsidRDefault="00816216" w:rsidP="00816216">
      <w:pPr>
        <w:spacing w:after="0" w:line="240" w:lineRule="auto"/>
        <w:jc w:val="both"/>
        <w:rPr>
          <w:rFonts w:ascii="Times New Roman" w:eastAsia="Times New Roman" w:hAnsi="Times New Roman" w:cs="Times New Roman"/>
          <w:bCs/>
          <w:sz w:val="24"/>
          <w:szCs w:val="24"/>
          <w:lang w:eastAsia="hr-HR"/>
        </w:rPr>
      </w:pPr>
      <w:r w:rsidRPr="000837EF">
        <w:rPr>
          <w:rFonts w:ascii="Times New Roman" w:eastAsia="Times New Roman" w:hAnsi="Times New Roman" w:cs="Times New Roman"/>
          <w:bCs/>
          <w:sz w:val="24"/>
          <w:szCs w:val="24"/>
          <w:lang w:eastAsia="hr-HR"/>
        </w:rPr>
        <w:t>Molimo obrazložite:</w:t>
      </w:r>
    </w:p>
    <w:p w14:paraId="7E2863F3" w14:textId="77777777" w:rsidR="00816216" w:rsidRPr="00AF404A" w:rsidRDefault="00816216" w:rsidP="00FB05F1">
      <w:pPr>
        <w:pStyle w:val="Odlomakpopisa"/>
        <w:numPr>
          <w:ilvl w:val="0"/>
          <w:numId w:val="44"/>
        </w:numPr>
        <w:spacing w:after="0" w:line="240" w:lineRule="auto"/>
        <w:jc w:val="both"/>
        <w:rPr>
          <w:rFonts w:ascii="Times New Roman" w:eastAsia="Times New Roman" w:hAnsi="Times New Roman" w:cs="Times New Roman"/>
          <w:bCs/>
          <w:sz w:val="24"/>
          <w:szCs w:val="24"/>
          <w:lang w:eastAsia="hr-HR"/>
        </w:rPr>
      </w:pPr>
      <w:r w:rsidRPr="00AF404A">
        <w:rPr>
          <w:rFonts w:ascii="Times New Roman" w:eastAsia="Times New Roman" w:hAnsi="Times New Roman" w:cs="Times New Roman"/>
          <w:bCs/>
          <w:sz w:val="24"/>
          <w:szCs w:val="24"/>
          <w:lang w:eastAsia="hr-HR"/>
        </w:rPr>
        <w:t>Poduzete pravne i praktične mjere za podršku obiteljima, uključujući i obitelji s jednim skrbnikom, s djecom s teškoćama u razvoju, i s osobitom podrškom za roditelje s invaliditetom, psihosocijalnim i intelektualnim invaliditetom, u podizanju djece u vlastitom domu;</w:t>
      </w:r>
    </w:p>
    <w:p w14:paraId="6E8F6B25" w14:textId="77777777" w:rsidR="00816216" w:rsidRPr="00140BA7" w:rsidRDefault="00816216" w:rsidP="00FB05F1">
      <w:pPr>
        <w:pStyle w:val="Odlomakpopisa"/>
        <w:numPr>
          <w:ilvl w:val="0"/>
          <w:numId w:val="44"/>
        </w:numPr>
        <w:spacing w:after="0" w:line="240" w:lineRule="auto"/>
        <w:jc w:val="both"/>
        <w:rPr>
          <w:rFonts w:ascii="Times New Roman" w:eastAsia="Times New Roman" w:hAnsi="Times New Roman" w:cs="Times New Roman"/>
          <w:bCs/>
          <w:sz w:val="24"/>
          <w:szCs w:val="24"/>
          <w:lang w:eastAsia="hr-HR"/>
        </w:rPr>
      </w:pPr>
      <w:r w:rsidRPr="00AF404A">
        <w:rPr>
          <w:rFonts w:ascii="Times New Roman" w:eastAsia="Times New Roman" w:hAnsi="Times New Roman" w:cs="Times New Roman"/>
          <w:bCs/>
          <w:sz w:val="24"/>
          <w:szCs w:val="24"/>
          <w:lang w:eastAsia="hr-HR"/>
        </w:rPr>
        <w:t xml:space="preserve">Je </w:t>
      </w:r>
      <w:r w:rsidRPr="00140BA7">
        <w:rPr>
          <w:rFonts w:ascii="Times New Roman" w:eastAsia="Times New Roman" w:hAnsi="Times New Roman" w:cs="Times New Roman"/>
          <w:bCs/>
          <w:sz w:val="24"/>
          <w:szCs w:val="24"/>
          <w:lang w:eastAsia="hr-HR"/>
        </w:rPr>
        <w:t>li pružena informacija roditeljima djece s teškoćama u razvoju o uslugama na koje imaju pravo, s ciljem sprječavanja napuštanja, zanemarivanja ili segregacije djece s teškoćama u razvoju;</w:t>
      </w:r>
    </w:p>
    <w:p w14:paraId="0F0E4CAD" w14:textId="77777777" w:rsidR="00816216" w:rsidRPr="00140BA7" w:rsidRDefault="00816216" w:rsidP="00FB05F1">
      <w:pPr>
        <w:pStyle w:val="Odlomakpopisa"/>
        <w:numPr>
          <w:ilvl w:val="0"/>
          <w:numId w:val="44"/>
        </w:numPr>
        <w:spacing w:after="0" w:line="240" w:lineRule="auto"/>
        <w:jc w:val="both"/>
        <w:rPr>
          <w:rFonts w:ascii="Times New Roman" w:eastAsia="Times New Roman" w:hAnsi="Times New Roman" w:cs="Times New Roman"/>
          <w:bCs/>
          <w:sz w:val="24"/>
          <w:szCs w:val="24"/>
          <w:lang w:eastAsia="hr-HR"/>
        </w:rPr>
      </w:pPr>
      <w:r w:rsidRPr="00140BA7">
        <w:rPr>
          <w:rFonts w:ascii="Times New Roman" w:eastAsia="Times New Roman" w:hAnsi="Times New Roman" w:cs="Times New Roman"/>
          <w:bCs/>
          <w:sz w:val="24"/>
          <w:szCs w:val="24"/>
          <w:lang w:eastAsia="hr-HR"/>
        </w:rPr>
        <w:t>Poduzete korake za integrirani pristup za sprječavanje odvajanja obitelji usklađenim naporima u području obrazovanja, zdravstva i socijalne zaštite za obitelji u riziku.</w:t>
      </w:r>
    </w:p>
    <w:p w14:paraId="32A0416B" w14:textId="77777777" w:rsidR="00816216" w:rsidRPr="00140BA7" w:rsidRDefault="00816216" w:rsidP="00816216">
      <w:pPr>
        <w:spacing w:after="0" w:line="240" w:lineRule="auto"/>
        <w:rPr>
          <w:rFonts w:ascii="Times New Roman" w:hAnsi="Times New Roman" w:cs="Times New Roman"/>
          <w:sz w:val="24"/>
          <w:szCs w:val="24"/>
          <w:lang w:eastAsia="hr-HR"/>
        </w:rPr>
      </w:pPr>
    </w:p>
    <w:p w14:paraId="48FA8508" w14:textId="77777777" w:rsidR="00816216" w:rsidRDefault="00816216" w:rsidP="00816216">
      <w:pPr>
        <w:spacing w:after="0" w:line="240" w:lineRule="auto"/>
        <w:jc w:val="both"/>
        <w:rPr>
          <w:rFonts w:ascii="Times New Roman" w:eastAsia="Times New Roman" w:hAnsi="Times New Roman" w:cs="Times New Roman"/>
          <w:bCs/>
          <w:sz w:val="24"/>
          <w:szCs w:val="24"/>
          <w:lang w:eastAsia="hr-HR"/>
        </w:rPr>
      </w:pPr>
      <w:r w:rsidRPr="00AF404A">
        <w:rPr>
          <w:rFonts w:ascii="Times New Roman" w:eastAsia="Times New Roman" w:hAnsi="Times New Roman" w:cs="Times New Roman"/>
          <w:bCs/>
          <w:sz w:val="24"/>
          <w:szCs w:val="24"/>
          <w:lang w:eastAsia="hr-HR"/>
        </w:rPr>
        <w:t>Pitanje 23</w:t>
      </w:r>
    </w:p>
    <w:p w14:paraId="4DCE519B" w14:textId="77777777" w:rsidR="00816216" w:rsidRPr="00AF404A" w:rsidRDefault="00816216" w:rsidP="00816216">
      <w:pPr>
        <w:spacing w:after="0" w:line="240" w:lineRule="auto"/>
        <w:jc w:val="both"/>
        <w:rPr>
          <w:rFonts w:ascii="Times New Roman" w:eastAsia="Times New Roman" w:hAnsi="Times New Roman" w:cs="Times New Roman"/>
          <w:bCs/>
          <w:sz w:val="24"/>
          <w:szCs w:val="24"/>
          <w:lang w:eastAsia="hr-HR"/>
        </w:rPr>
      </w:pPr>
      <w:r w:rsidRPr="00AF404A">
        <w:rPr>
          <w:rFonts w:ascii="Times New Roman" w:eastAsia="Times New Roman" w:hAnsi="Times New Roman" w:cs="Times New Roman"/>
          <w:bCs/>
          <w:sz w:val="24"/>
          <w:szCs w:val="24"/>
          <w:lang w:eastAsia="hr-HR"/>
        </w:rPr>
        <w:t>Molimo dostavite podatke o poduzetim mjerama za osiguranje da svi studenti s</w:t>
      </w:r>
      <w:r w:rsidRPr="000837EF">
        <w:rPr>
          <w:rFonts w:ascii="Times New Roman" w:eastAsia="Times New Roman" w:hAnsi="Times New Roman" w:cs="Times New Roman"/>
          <w:bCs/>
          <w:i/>
          <w:iCs/>
          <w:sz w:val="24"/>
          <w:szCs w:val="24"/>
          <w:lang w:eastAsia="hr-HR"/>
        </w:rPr>
        <w:t xml:space="preserve"> </w:t>
      </w:r>
      <w:r w:rsidRPr="00AF404A">
        <w:rPr>
          <w:rFonts w:ascii="Times New Roman" w:eastAsia="Times New Roman" w:hAnsi="Times New Roman" w:cs="Times New Roman"/>
          <w:bCs/>
          <w:sz w:val="24"/>
          <w:szCs w:val="24"/>
          <w:lang w:eastAsia="hr-HR"/>
        </w:rPr>
        <w:t xml:space="preserve">invaliditetom imaju pristup </w:t>
      </w:r>
      <w:proofErr w:type="spellStart"/>
      <w:r w:rsidRPr="00AF404A">
        <w:rPr>
          <w:rFonts w:ascii="Times New Roman" w:eastAsia="Times New Roman" w:hAnsi="Times New Roman" w:cs="Times New Roman"/>
          <w:bCs/>
          <w:sz w:val="24"/>
          <w:szCs w:val="24"/>
          <w:lang w:eastAsia="hr-HR"/>
        </w:rPr>
        <w:t>uključivom</w:t>
      </w:r>
      <w:proofErr w:type="spellEnd"/>
      <w:r w:rsidRPr="00AF404A">
        <w:rPr>
          <w:rFonts w:ascii="Times New Roman" w:eastAsia="Times New Roman" w:hAnsi="Times New Roman" w:cs="Times New Roman"/>
          <w:bCs/>
          <w:sz w:val="24"/>
          <w:szCs w:val="24"/>
          <w:lang w:eastAsia="hr-HR"/>
        </w:rPr>
        <w:t xml:space="preserve"> obrazovanju, i u ruralnim i u urbanim područjima, u skladu s preporukom pravobraniteljice iz 2012. godine o osiguravanju uvjeta za djecu i mlade s invaliditetom za kvalitetno obrazovanje u školama u cijeloj državi stranci. </w:t>
      </w:r>
    </w:p>
    <w:p w14:paraId="7F1D8F01" w14:textId="77777777" w:rsidR="00816216" w:rsidRPr="00AF404A" w:rsidRDefault="00816216" w:rsidP="00816216">
      <w:pPr>
        <w:spacing w:after="0" w:line="240" w:lineRule="auto"/>
        <w:jc w:val="both"/>
        <w:rPr>
          <w:rFonts w:ascii="Times New Roman" w:eastAsia="Times New Roman" w:hAnsi="Times New Roman" w:cs="Times New Roman"/>
          <w:sz w:val="24"/>
          <w:szCs w:val="24"/>
          <w:lang w:eastAsia="hr-HR"/>
        </w:rPr>
      </w:pPr>
      <w:r w:rsidRPr="00AF404A">
        <w:rPr>
          <w:rFonts w:ascii="Times New Roman" w:eastAsia="Times New Roman" w:hAnsi="Times New Roman" w:cs="Times New Roman"/>
          <w:bCs/>
          <w:sz w:val="24"/>
          <w:szCs w:val="24"/>
          <w:lang w:eastAsia="hr-HR"/>
        </w:rPr>
        <w:t>Također molimo dostavite podatke o:</w:t>
      </w:r>
    </w:p>
    <w:p w14:paraId="2C04288E" w14:textId="77777777" w:rsidR="00816216" w:rsidRPr="00AF404A" w:rsidRDefault="00816216" w:rsidP="00FB05F1">
      <w:pPr>
        <w:pStyle w:val="Odlomakpopisa"/>
        <w:numPr>
          <w:ilvl w:val="0"/>
          <w:numId w:val="45"/>
        </w:numPr>
        <w:spacing w:after="0" w:line="240" w:lineRule="auto"/>
        <w:jc w:val="both"/>
        <w:rPr>
          <w:rFonts w:ascii="Times New Roman" w:eastAsia="Times New Roman" w:hAnsi="Times New Roman" w:cs="Times New Roman"/>
          <w:bCs/>
          <w:sz w:val="24"/>
          <w:szCs w:val="24"/>
          <w:lang w:eastAsia="hr-HR"/>
        </w:rPr>
      </w:pPr>
      <w:r w:rsidRPr="00AF404A">
        <w:rPr>
          <w:rFonts w:ascii="Times New Roman" w:eastAsia="Times New Roman" w:hAnsi="Times New Roman" w:cs="Times New Roman"/>
          <w:bCs/>
          <w:sz w:val="24"/>
          <w:szCs w:val="24"/>
          <w:lang w:eastAsia="hr-HR"/>
        </w:rPr>
        <w:t xml:space="preserve">Broju djece s teškoćama u razvoju koja pohađaju </w:t>
      </w:r>
      <w:proofErr w:type="spellStart"/>
      <w:r w:rsidRPr="00AF404A">
        <w:rPr>
          <w:rFonts w:ascii="Times New Roman" w:eastAsia="Times New Roman" w:hAnsi="Times New Roman" w:cs="Times New Roman"/>
          <w:bCs/>
          <w:sz w:val="24"/>
          <w:szCs w:val="24"/>
          <w:lang w:eastAsia="hr-HR"/>
        </w:rPr>
        <w:t>uključivu</w:t>
      </w:r>
      <w:proofErr w:type="spellEnd"/>
      <w:r w:rsidRPr="00AF404A">
        <w:rPr>
          <w:rFonts w:ascii="Times New Roman" w:eastAsia="Times New Roman" w:hAnsi="Times New Roman" w:cs="Times New Roman"/>
          <w:bCs/>
          <w:sz w:val="24"/>
          <w:szCs w:val="24"/>
          <w:lang w:eastAsia="hr-HR"/>
        </w:rPr>
        <w:t xml:space="preserve"> redovnu školu, posebnu školu i druge segregacijske jedinice na svim razinama obrazovanja, razvrstanih po spolu, nacionalnog ili etničkom porijeklu, oštećenju i ruralnom ili urbanom području, te o trendovima od zadnjeg praćenja države stranke od strane Odbora</w:t>
      </w:r>
    </w:p>
    <w:p w14:paraId="3694878F" w14:textId="77777777" w:rsidR="00816216" w:rsidRPr="00AF404A" w:rsidRDefault="00816216" w:rsidP="00FB05F1">
      <w:pPr>
        <w:pStyle w:val="Odlomakpopisa"/>
        <w:numPr>
          <w:ilvl w:val="0"/>
          <w:numId w:val="45"/>
        </w:numPr>
        <w:spacing w:after="0" w:line="240" w:lineRule="auto"/>
        <w:rPr>
          <w:rFonts w:ascii="Times New Roman" w:eastAsia="Times New Roman" w:hAnsi="Times New Roman" w:cs="Times New Roman"/>
          <w:bCs/>
          <w:sz w:val="24"/>
          <w:szCs w:val="24"/>
          <w:lang w:eastAsia="hr-HR"/>
        </w:rPr>
      </w:pPr>
      <w:r w:rsidRPr="00AF404A">
        <w:rPr>
          <w:rFonts w:ascii="Times New Roman" w:eastAsia="Times New Roman" w:hAnsi="Times New Roman" w:cs="Times New Roman"/>
          <w:bCs/>
          <w:sz w:val="24"/>
          <w:szCs w:val="24"/>
          <w:lang w:eastAsia="hr-HR"/>
        </w:rPr>
        <w:lastRenderedPageBreak/>
        <w:t>Raspoređenim ljudskim tehničkim i financijskim sredstvima radi pružanja individualne podrške studentima s invaliditetom s ciljem osiguranja jednakog pristupa obrazovnom okruženju</w:t>
      </w:r>
    </w:p>
    <w:p w14:paraId="7B2146B9" w14:textId="77777777" w:rsidR="00816216" w:rsidRPr="00AF404A" w:rsidRDefault="00816216" w:rsidP="00FB05F1">
      <w:pPr>
        <w:pStyle w:val="Odlomakpopisa"/>
        <w:numPr>
          <w:ilvl w:val="0"/>
          <w:numId w:val="45"/>
        </w:numPr>
        <w:spacing w:after="0" w:line="240" w:lineRule="auto"/>
        <w:jc w:val="both"/>
        <w:rPr>
          <w:rFonts w:ascii="Times New Roman" w:eastAsia="Times New Roman" w:hAnsi="Times New Roman" w:cs="Times New Roman"/>
          <w:bCs/>
          <w:sz w:val="24"/>
          <w:szCs w:val="24"/>
          <w:lang w:eastAsia="hr-HR"/>
        </w:rPr>
      </w:pPr>
      <w:r w:rsidRPr="00AF404A">
        <w:rPr>
          <w:rFonts w:ascii="Times New Roman" w:eastAsia="Times New Roman" w:hAnsi="Times New Roman" w:cs="Times New Roman"/>
          <w:bCs/>
          <w:sz w:val="24"/>
          <w:szCs w:val="24"/>
          <w:lang w:eastAsia="hr-HR"/>
        </w:rPr>
        <w:t xml:space="preserve">Poduzetim koracima za promicanje i osiguranje obuke i zapošljavanje nastavnika s invaliditetom, te edukacije o znakovnom jeziku i vještinama orijentacije i mobilnosti. </w:t>
      </w:r>
    </w:p>
    <w:p w14:paraId="46A315E0" w14:textId="77777777" w:rsidR="00816216" w:rsidRPr="00AF404A" w:rsidRDefault="00816216" w:rsidP="00816216">
      <w:pPr>
        <w:spacing w:after="0" w:line="240" w:lineRule="auto"/>
        <w:jc w:val="both"/>
        <w:rPr>
          <w:rFonts w:ascii="Times New Roman" w:eastAsia="Times New Roman" w:hAnsi="Times New Roman" w:cs="Times New Roman"/>
          <w:sz w:val="24"/>
          <w:szCs w:val="24"/>
          <w:lang w:eastAsia="hr-HR"/>
        </w:rPr>
      </w:pPr>
    </w:p>
    <w:p w14:paraId="798B1726" w14:textId="77777777" w:rsidR="00816216" w:rsidRDefault="00816216" w:rsidP="00816216">
      <w:pPr>
        <w:spacing w:after="0" w:line="240" w:lineRule="auto"/>
        <w:jc w:val="both"/>
        <w:rPr>
          <w:rFonts w:ascii="Times New Roman" w:eastAsia="Times New Roman" w:hAnsi="Times New Roman" w:cs="Times New Roman"/>
          <w:sz w:val="24"/>
          <w:szCs w:val="24"/>
          <w:lang w:eastAsia="hr-HR"/>
        </w:rPr>
      </w:pPr>
      <w:r w:rsidRPr="00AF404A">
        <w:rPr>
          <w:rFonts w:ascii="Times New Roman" w:eastAsia="Times New Roman" w:hAnsi="Times New Roman" w:cs="Times New Roman"/>
          <w:sz w:val="24"/>
          <w:szCs w:val="24"/>
          <w:lang w:eastAsia="hr-HR"/>
        </w:rPr>
        <w:t>Pitanje 24</w:t>
      </w:r>
    </w:p>
    <w:p w14:paraId="680418C5" w14:textId="77777777" w:rsidR="00816216" w:rsidRPr="00AF404A" w:rsidRDefault="00816216" w:rsidP="00816216">
      <w:pPr>
        <w:spacing w:after="0" w:line="240" w:lineRule="auto"/>
        <w:jc w:val="both"/>
        <w:rPr>
          <w:rFonts w:ascii="Times New Roman" w:eastAsia="Times New Roman" w:hAnsi="Times New Roman" w:cs="Times New Roman"/>
          <w:sz w:val="24"/>
          <w:szCs w:val="24"/>
          <w:lang w:eastAsia="hr-HR"/>
        </w:rPr>
      </w:pPr>
      <w:r w:rsidRPr="00AF404A">
        <w:rPr>
          <w:rFonts w:ascii="Times New Roman" w:eastAsia="Times New Roman" w:hAnsi="Times New Roman" w:cs="Times New Roman"/>
          <w:sz w:val="24"/>
          <w:szCs w:val="24"/>
          <w:lang w:eastAsia="hr-HR"/>
        </w:rPr>
        <w:t>Molimo dostavite podatke o:</w:t>
      </w:r>
    </w:p>
    <w:p w14:paraId="00372319" w14:textId="77777777" w:rsidR="00816216" w:rsidRDefault="00816216" w:rsidP="00FB05F1">
      <w:pPr>
        <w:pStyle w:val="Odlomakpopisa"/>
        <w:numPr>
          <w:ilvl w:val="0"/>
          <w:numId w:val="31"/>
        </w:numPr>
        <w:spacing w:after="0" w:line="240" w:lineRule="auto"/>
        <w:jc w:val="both"/>
        <w:rPr>
          <w:rFonts w:ascii="Times New Roman" w:eastAsia="Times New Roman" w:hAnsi="Times New Roman" w:cs="Times New Roman"/>
          <w:sz w:val="24"/>
          <w:szCs w:val="24"/>
          <w:lang w:eastAsia="hr-HR"/>
        </w:rPr>
      </w:pPr>
      <w:r w:rsidRPr="00AF404A">
        <w:rPr>
          <w:rFonts w:ascii="Times New Roman" w:eastAsia="Times New Roman" w:hAnsi="Times New Roman" w:cs="Times New Roman"/>
          <w:sz w:val="24"/>
          <w:szCs w:val="24"/>
          <w:lang w:eastAsia="hr-HR"/>
        </w:rPr>
        <w:t>Uloženim naporima za pružanje pristupa zdravstvenom osiguranju i uslugama osobama s invaliditetom na ravnopravnoj osnovi s drugima, koje uključuju javne i privatne zdravstvene usluge i opremu koji su po cijenama dostupni, pristupačni i dobre kvalitete;</w:t>
      </w:r>
    </w:p>
    <w:p w14:paraId="5E4A2E47" w14:textId="77777777" w:rsidR="00816216" w:rsidRDefault="00816216" w:rsidP="00FB05F1">
      <w:pPr>
        <w:pStyle w:val="Odlomakpopisa"/>
        <w:numPr>
          <w:ilvl w:val="0"/>
          <w:numId w:val="31"/>
        </w:numPr>
        <w:spacing w:after="0" w:line="240" w:lineRule="auto"/>
        <w:jc w:val="both"/>
        <w:rPr>
          <w:rFonts w:ascii="Times New Roman" w:eastAsia="Times New Roman" w:hAnsi="Times New Roman" w:cs="Times New Roman"/>
          <w:sz w:val="24"/>
          <w:szCs w:val="24"/>
          <w:lang w:eastAsia="hr-HR"/>
        </w:rPr>
      </w:pPr>
      <w:r w:rsidRPr="00AF404A">
        <w:rPr>
          <w:rFonts w:ascii="Times New Roman" w:eastAsia="Times New Roman" w:hAnsi="Times New Roman" w:cs="Times New Roman"/>
          <w:sz w:val="24"/>
          <w:szCs w:val="24"/>
          <w:lang w:eastAsia="hr-HR"/>
        </w:rPr>
        <w:t>Poduzetim mjerama za obuku zdravstvenih stručnjaka i pomoćnog osoblja radi podizanja svijesti o modelu invaliditeta utemeljenog na ljudskim pravima</w:t>
      </w:r>
    </w:p>
    <w:p w14:paraId="5EDE3C79" w14:textId="77777777" w:rsidR="00816216" w:rsidRPr="00AF404A" w:rsidRDefault="00816216" w:rsidP="00FB05F1">
      <w:pPr>
        <w:pStyle w:val="Odlomakpopisa"/>
        <w:numPr>
          <w:ilvl w:val="0"/>
          <w:numId w:val="31"/>
        </w:numPr>
        <w:spacing w:after="0" w:line="240" w:lineRule="auto"/>
        <w:jc w:val="both"/>
        <w:rPr>
          <w:rFonts w:ascii="Times New Roman" w:eastAsia="Times New Roman" w:hAnsi="Times New Roman" w:cs="Times New Roman"/>
          <w:sz w:val="24"/>
          <w:szCs w:val="24"/>
          <w:lang w:eastAsia="hr-HR"/>
        </w:rPr>
      </w:pPr>
      <w:r w:rsidRPr="00AF404A">
        <w:rPr>
          <w:rFonts w:ascii="Times New Roman" w:eastAsia="Times New Roman" w:hAnsi="Times New Roman" w:cs="Times New Roman"/>
          <w:sz w:val="24"/>
          <w:szCs w:val="24"/>
          <w:lang w:eastAsia="hr-HR"/>
        </w:rPr>
        <w:t>Dostupnom pristupu mentalnim i psihosocijalnim zdravstvenim uslugama, uključujući zdravstvene usluge u području spolnog i reproduktivnog zdravlja, za žene i djevojke s invaliditetom, kako u ruralnim tako i u  urbanim područjima</w:t>
      </w:r>
    </w:p>
    <w:p w14:paraId="0EC2DEA7" w14:textId="77777777" w:rsidR="00816216" w:rsidRDefault="00816216" w:rsidP="00816216">
      <w:pPr>
        <w:spacing w:after="0" w:line="240" w:lineRule="auto"/>
        <w:jc w:val="both"/>
        <w:rPr>
          <w:rFonts w:ascii="Times New Roman" w:eastAsia="Times New Roman" w:hAnsi="Times New Roman" w:cs="Times New Roman"/>
          <w:sz w:val="24"/>
          <w:szCs w:val="24"/>
          <w:lang w:eastAsia="hr-HR"/>
        </w:rPr>
      </w:pPr>
    </w:p>
    <w:p w14:paraId="64E46756" w14:textId="77777777" w:rsidR="00816216" w:rsidRDefault="00816216" w:rsidP="00816216">
      <w:pPr>
        <w:spacing w:after="0" w:line="240" w:lineRule="auto"/>
        <w:jc w:val="both"/>
        <w:rPr>
          <w:rFonts w:ascii="Times New Roman" w:eastAsia="Times New Roman" w:hAnsi="Times New Roman" w:cs="Times New Roman"/>
          <w:sz w:val="24"/>
          <w:szCs w:val="24"/>
          <w:lang w:eastAsia="hr-HR"/>
        </w:rPr>
      </w:pPr>
      <w:r w:rsidRPr="00AF404A">
        <w:rPr>
          <w:rFonts w:ascii="Times New Roman" w:eastAsia="Times New Roman" w:hAnsi="Times New Roman" w:cs="Times New Roman"/>
          <w:sz w:val="24"/>
          <w:szCs w:val="24"/>
          <w:lang w:eastAsia="hr-HR"/>
        </w:rPr>
        <w:t>Pitanje 25</w:t>
      </w:r>
    </w:p>
    <w:p w14:paraId="295D30B3" w14:textId="77777777" w:rsidR="00816216" w:rsidRPr="00AF404A" w:rsidRDefault="00816216" w:rsidP="00816216">
      <w:pPr>
        <w:spacing w:after="0" w:line="240" w:lineRule="auto"/>
        <w:jc w:val="both"/>
        <w:rPr>
          <w:rFonts w:ascii="Times New Roman" w:eastAsia="Times New Roman" w:hAnsi="Times New Roman" w:cs="Times New Roman"/>
          <w:sz w:val="24"/>
          <w:szCs w:val="24"/>
          <w:lang w:eastAsia="hr-HR"/>
        </w:rPr>
      </w:pPr>
      <w:r w:rsidRPr="00AF404A">
        <w:rPr>
          <w:rFonts w:ascii="Times New Roman" w:eastAsia="Times New Roman" w:hAnsi="Times New Roman" w:cs="Times New Roman"/>
          <w:sz w:val="24"/>
          <w:szCs w:val="24"/>
          <w:lang w:eastAsia="hr-HR"/>
        </w:rPr>
        <w:t>Molimo dostavite informacije o uloženim naporima za uklanjanje stigme, prepreka i diskriminacije u procesu zapošljavanja te poduzetim koracima za povećanje zapošljavanja osoba s invaliditetom na otvorenom tržištu, kako u javnom tako i u privatnom sektoru. Također molimo obrazložite:</w:t>
      </w:r>
    </w:p>
    <w:p w14:paraId="7722106D" w14:textId="77777777" w:rsidR="00816216" w:rsidRPr="00AF404A" w:rsidRDefault="00816216" w:rsidP="00FB05F1">
      <w:pPr>
        <w:pStyle w:val="Odlomakpopisa"/>
        <w:numPr>
          <w:ilvl w:val="0"/>
          <w:numId w:val="46"/>
        </w:numPr>
        <w:spacing w:after="0" w:line="240" w:lineRule="auto"/>
        <w:jc w:val="both"/>
        <w:rPr>
          <w:rFonts w:ascii="Times New Roman" w:eastAsia="Times New Roman" w:hAnsi="Times New Roman" w:cs="Times New Roman"/>
          <w:sz w:val="24"/>
          <w:szCs w:val="24"/>
          <w:lang w:eastAsia="hr-HR"/>
        </w:rPr>
      </w:pPr>
      <w:r w:rsidRPr="00AF404A">
        <w:rPr>
          <w:rFonts w:ascii="Times New Roman" w:eastAsia="Times New Roman" w:hAnsi="Times New Roman" w:cs="Times New Roman"/>
          <w:sz w:val="24"/>
          <w:szCs w:val="24"/>
          <w:lang w:eastAsia="hr-HR"/>
        </w:rPr>
        <w:t>Stupanj razvoja akcijskog plana za zapošljavanje osoba s invaliditetom;</w:t>
      </w:r>
    </w:p>
    <w:p w14:paraId="70DD17C9" w14:textId="77777777" w:rsidR="00816216" w:rsidRPr="00AF404A" w:rsidRDefault="00816216" w:rsidP="00FB05F1">
      <w:pPr>
        <w:pStyle w:val="Odlomakpopisa"/>
        <w:numPr>
          <w:ilvl w:val="0"/>
          <w:numId w:val="46"/>
        </w:numPr>
        <w:spacing w:after="0" w:line="240" w:lineRule="auto"/>
        <w:jc w:val="both"/>
        <w:rPr>
          <w:rFonts w:ascii="Times New Roman" w:eastAsia="Times New Roman" w:hAnsi="Times New Roman" w:cs="Times New Roman"/>
          <w:sz w:val="24"/>
          <w:szCs w:val="24"/>
          <w:lang w:eastAsia="hr-HR"/>
        </w:rPr>
      </w:pPr>
      <w:r w:rsidRPr="00AF404A">
        <w:rPr>
          <w:rFonts w:ascii="Times New Roman" w:eastAsia="Times New Roman" w:hAnsi="Times New Roman" w:cs="Times New Roman"/>
          <w:sz w:val="24"/>
          <w:szCs w:val="24"/>
          <w:lang w:eastAsia="hr-HR"/>
        </w:rPr>
        <w:t>Podatke o rezultatima postignutim provedbom novog Zakona o profesionalnoj rehabilitaciji i zapošljavanju osoba s invaliditetom (2015.);</w:t>
      </w:r>
    </w:p>
    <w:p w14:paraId="6CE67353" w14:textId="77777777" w:rsidR="00816216" w:rsidRPr="00AF404A" w:rsidRDefault="00816216" w:rsidP="00FB05F1">
      <w:pPr>
        <w:pStyle w:val="Odlomakpopisa"/>
        <w:numPr>
          <w:ilvl w:val="0"/>
          <w:numId w:val="46"/>
        </w:numPr>
        <w:spacing w:after="0" w:line="240" w:lineRule="auto"/>
        <w:jc w:val="both"/>
        <w:rPr>
          <w:rFonts w:ascii="Times New Roman" w:eastAsia="Times New Roman" w:hAnsi="Times New Roman" w:cs="Times New Roman"/>
          <w:sz w:val="24"/>
          <w:szCs w:val="24"/>
          <w:lang w:eastAsia="hr-HR"/>
        </w:rPr>
      </w:pPr>
      <w:r w:rsidRPr="00AF404A">
        <w:rPr>
          <w:rFonts w:ascii="Times New Roman" w:eastAsia="Times New Roman" w:hAnsi="Times New Roman" w:cs="Times New Roman"/>
          <w:sz w:val="24"/>
          <w:szCs w:val="24"/>
          <w:lang w:eastAsia="hr-HR"/>
        </w:rPr>
        <w:t>Poduzete sankcije zbog nepoštivanja obaveznih kvota te zbog neostvarenja razumne prilagodbe.</w:t>
      </w:r>
    </w:p>
    <w:p w14:paraId="5FE33A5A" w14:textId="77777777" w:rsidR="00816216" w:rsidRPr="00AF404A" w:rsidRDefault="00816216" w:rsidP="00816216">
      <w:pPr>
        <w:spacing w:after="0" w:line="240" w:lineRule="auto"/>
        <w:rPr>
          <w:rFonts w:ascii="Times New Roman" w:hAnsi="Times New Roman" w:cs="Times New Roman"/>
          <w:sz w:val="24"/>
          <w:szCs w:val="24"/>
          <w:lang w:eastAsia="hr-HR"/>
        </w:rPr>
      </w:pPr>
    </w:p>
    <w:p w14:paraId="2B426AA2" w14:textId="77777777" w:rsidR="00816216" w:rsidRDefault="00816216" w:rsidP="00816216">
      <w:pPr>
        <w:spacing w:after="0" w:line="240" w:lineRule="auto"/>
        <w:jc w:val="both"/>
        <w:rPr>
          <w:rFonts w:ascii="Times New Roman" w:eastAsia="Times New Roman" w:hAnsi="Times New Roman" w:cs="Times New Roman"/>
          <w:sz w:val="24"/>
          <w:szCs w:val="24"/>
          <w:lang w:eastAsia="hr-HR"/>
        </w:rPr>
      </w:pPr>
      <w:r w:rsidRPr="00AF404A">
        <w:rPr>
          <w:rFonts w:ascii="Times New Roman" w:eastAsia="Times New Roman" w:hAnsi="Times New Roman" w:cs="Times New Roman"/>
          <w:sz w:val="24"/>
          <w:szCs w:val="24"/>
          <w:lang w:eastAsia="hr-HR"/>
        </w:rPr>
        <w:t>Pitanje 26</w:t>
      </w:r>
    </w:p>
    <w:p w14:paraId="2E019DD2" w14:textId="77777777" w:rsidR="00816216" w:rsidRPr="00AF404A" w:rsidRDefault="00816216" w:rsidP="00816216">
      <w:pPr>
        <w:spacing w:after="0" w:line="240" w:lineRule="auto"/>
        <w:jc w:val="both"/>
        <w:rPr>
          <w:rFonts w:ascii="Times New Roman" w:eastAsia="Times New Roman" w:hAnsi="Times New Roman" w:cs="Times New Roman"/>
          <w:sz w:val="24"/>
          <w:szCs w:val="24"/>
          <w:lang w:eastAsia="hr-HR"/>
        </w:rPr>
      </w:pPr>
      <w:r w:rsidRPr="00AF404A">
        <w:rPr>
          <w:rFonts w:ascii="Times New Roman" w:eastAsia="Times New Roman" w:hAnsi="Times New Roman" w:cs="Times New Roman"/>
          <w:sz w:val="24"/>
          <w:szCs w:val="24"/>
          <w:lang w:eastAsia="hr-HR"/>
        </w:rPr>
        <w:t>Molimo izvijestite Odbor o uloženim naporima u vještačenje koje u potpunosti uključuje model invaliditeta utemeljenog na ljudskim pravima, kao i za izradu metoda za vještačenje postavljenih na sistemski, konzistentan i transparentan način, kroz sudjelovanje organizacija osoba s invaliditetom.</w:t>
      </w:r>
    </w:p>
    <w:p w14:paraId="0F105A62" w14:textId="77777777" w:rsidR="00816216" w:rsidRPr="00AF404A" w:rsidRDefault="00816216" w:rsidP="00816216">
      <w:pPr>
        <w:spacing w:after="0" w:line="240" w:lineRule="auto"/>
        <w:rPr>
          <w:rFonts w:ascii="Times New Roman" w:hAnsi="Times New Roman" w:cs="Times New Roman"/>
          <w:sz w:val="24"/>
          <w:szCs w:val="24"/>
          <w:lang w:eastAsia="hr-HR"/>
        </w:rPr>
      </w:pPr>
    </w:p>
    <w:p w14:paraId="016813F5" w14:textId="77777777" w:rsidR="00816216" w:rsidRDefault="00816216" w:rsidP="00816216">
      <w:pPr>
        <w:spacing w:after="0" w:line="240" w:lineRule="auto"/>
        <w:jc w:val="both"/>
        <w:rPr>
          <w:rFonts w:ascii="Times New Roman" w:eastAsia="Times New Roman" w:hAnsi="Times New Roman" w:cs="Times New Roman"/>
          <w:sz w:val="24"/>
          <w:szCs w:val="24"/>
          <w:lang w:eastAsia="hr-HR"/>
        </w:rPr>
      </w:pPr>
      <w:r w:rsidRPr="00AF404A">
        <w:rPr>
          <w:rFonts w:ascii="Times New Roman" w:eastAsia="Times New Roman" w:hAnsi="Times New Roman" w:cs="Times New Roman"/>
          <w:sz w:val="24"/>
          <w:szCs w:val="24"/>
          <w:lang w:eastAsia="hr-HR"/>
        </w:rPr>
        <w:t>Pitanje 27</w:t>
      </w:r>
    </w:p>
    <w:p w14:paraId="10D253E1" w14:textId="77777777" w:rsidR="00816216" w:rsidRPr="00AF404A" w:rsidRDefault="00816216" w:rsidP="00816216">
      <w:pPr>
        <w:spacing w:after="0" w:line="240" w:lineRule="auto"/>
        <w:jc w:val="both"/>
        <w:rPr>
          <w:rFonts w:ascii="Times New Roman" w:eastAsia="Times New Roman" w:hAnsi="Times New Roman" w:cs="Times New Roman"/>
          <w:sz w:val="24"/>
          <w:szCs w:val="24"/>
          <w:lang w:eastAsia="hr-HR"/>
        </w:rPr>
      </w:pPr>
      <w:r w:rsidRPr="00AF404A">
        <w:rPr>
          <w:rFonts w:ascii="Times New Roman" w:eastAsia="Times New Roman" w:hAnsi="Times New Roman" w:cs="Times New Roman"/>
          <w:sz w:val="24"/>
          <w:szCs w:val="24"/>
          <w:lang w:eastAsia="hr-HR"/>
        </w:rPr>
        <w:t>Molimo obrazložite mjere za borbu protiv siromaštva osoba s invaliditetom, osobito osoba romske nacionalnosti, te onima u ruralnim i udaljenim područjima.</w:t>
      </w:r>
    </w:p>
    <w:p w14:paraId="6FE8A937" w14:textId="77777777" w:rsidR="00816216" w:rsidRPr="00AF404A" w:rsidRDefault="00816216" w:rsidP="00816216">
      <w:pPr>
        <w:spacing w:after="0" w:line="240" w:lineRule="auto"/>
        <w:jc w:val="both"/>
        <w:rPr>
          <w:rFonts w:ascii="Times New Roman" w:eastAsia="Times New Roman" w:hAnsi="Times New Roman" w:cs="Times New Roman"/>
          <w:sz w:val="24"/>
          <w:szCs w:val="24"/>
          <w:lang w:eastAsia="hr-HR"/>
        </w:rPr>
      </w:pPr>
    </w:p>
    <w:p w14:paraId="4BB09D73" w14:textId="77777777" w:rsidR="00816216" w:rsidRDefault="00816216" w:rsidP="00816216">
      <w:pPr>
        <w:spacing w:after="0" w:line="240" w:lineRule="auto"/>
        <w:jc w:val="both"/>
        <w:rPr>
          <w:rFonts w:ascii="Times New Roman" w:eastAsia="Times New Roman" w:hAnsi="Times New Roman" w:cs="Times New Roman"/>
          <w:sz w:val="24"/>
          <w:szCs w:val="24"/>
          <w:lang w:eastAsia="hr-HR"/>
        </w:rPr>
      </w:pPr>
      <w:r w:rsidRPr="00AF404A">
        <w:rPr>
          <w:rFonts w:ascii="Times New Roman" w:eastAsia="Times New Roman" w:hAnsi="Times New Roman" w:cs="Times New Roman"/>
          <w:sz w:val="24"/>
          <w:szCs w:val="24"/>
          <w:lang w:eastAsia="hr-HR"/>
        </w:rPr>
        <w:t>Pitanje 28</w:t>
      </w:r>
    </w:p>
    <w:p w14:paraId="51952DC0" w14:textId="77777777" w:rsidR="00816216" w:rsidRPr="00AF404A" w:rsidRDefault="00816216" w:rsidP="00816216">
      <w:pPr>
        <w:spacing w:after="0" w:line="240" w:lineRule="auto"/>
        <w:jc w:val="both"/>
        <w:rPr>
          <w:rFonts w:ascii="Times New Roman" w:eastAsia="Times New Roman" w:hAnsi="Times New Roman" w:cs="Times New Roman"/>
          <w:sz w:val="24"/>
          <w:szCs w:val="24"/>
          <w:lang w:eastAsia="hr-HR"/>
        </w:rPr>
      </w:pPr>
      <w:r w:rsidRPr="00AF404A">
        <w:rPr>
          <w:rFonts w:ascii="Times New Roman" w:eastAsia="Times New Roman" w:hAnsi="Times New Roman" w:cs="Times New Roman"/>
          <w:sz w:val="24"/>
          <w:szCs w:val="24"/>
          <w:lang w:eastAsia="hr-HR"/>
        </w:rPr>
        <w:t>Molimo dostavite podatke o:</w:t>
      </w:r>
    </w:p>
    <w:p w14:paraId="63090AF2" w14:textId="77777777" w:rsidR="00816216" w:rsidRPr="00AF404A" w:rsidRDefault="00816216" w:rsidP="00FB05F1">
      <w:pPr>
        <w:pStyle w:val="Odlomakpopisa"/>
        <w:numPr>
          <w:ilvl w:val="0"/>
          <w:numId w:val="47"/>
        </w:numPr>
        <w:spacing w:after="0" w:line="240" w:lineRule="auto"/>
        <w:jc w:val="both"/>
        <w:rPr>
          <w:rFonts w:ascii="Times New Roman" w:eastAsia="Times New Roman" w:hAnsi="Times New Roman" w:cs="Times New Roman"/>
          <w:sz w:val="24"/>
          <w:szCs w:val="24"/>
          <w:lang w:eastAsia="hr-HR"/>
        </w:rPr>
      </w:pPr>
      <w:r w:rsidRPr="00AF404A">
        <w:rPr>
          <w:rFonts w:ascii="Times New Roman" w:eastAsia="Times New Roman" w:hAnsi="Times New Roman" w:cs="Times New Roman"/>
          <w:sz w:val="24"/>
          <w:szCs w:val="24"/>
          <w:lang w:eastAsia="hr-HR"/>
        </w:rPr>
        <w:t>Poduzetim mjerama za provedbu odredbi zakona socijalne skrbi kako bi osobe s invaliditetom mogle u potpunosti uživati svoja prava, neovisno o uzroku njihova oštećenja, u svim županijama i općinama;</w:t>
      </w:r>
    </w:p>
    <w:p w14:paraId="6CF5CAD7" w14:textId="77777777" w:rsidR="00816216" w:rsidRDefault="00816216" w:rsidP="00FB05F1">
      <w:pPr>
        <w:pStyle w:val="Odlomakpopisa"/>
        <w:numPr>
          <w:ilvl w:val="0"/>
          <w:numId w:val="47"/>
        </w:numPr>
        <w:spacing w:after="0" w:line="240" w:lineRule="auto"/>
        <w:jc w:val="both"/>
        <w:rPr>
          <w:rFonts w:ascii="Times New Roman" w:eastAsia="Times New Roman" w:hAnsi="Times New Roman" w:cs="Times New Roman"/>
          <w:sz w:val="24"/>
          <w:szCs w:val="24"/>
          <w:lang w:eastAsia="hr-HR"/>
        </w:rPr>
      </w:pPr>
      <w:r w:rsidRPr="00AF404A">
        <w:rPr>
          <w:rFonts w:ascii="Times New Roman" w:eastAsia="Times New Roman" w:hAnsi="Times New Roman" w:cs="Times New Roman"/>
          <w:sz w:val="24"/>
          <w:szCs w:val="24"/>
          <w:lang w:eastAsia="hr-HR"/>
        </w:rPr>
        <w:t>Mjerama u području socijalne zaštite, kako bi se osiguralo da sve osobe s invaliditetom, imaju pruženu podršku u vidu opreme poput slušnih pomagala, pomagala za kretanje i pomoćnih tehnologijama</w:t>
      </w:r>
    </w:p>
    <w:p w14:paraId="2C738DA5" w14:textId="77777777" w:rsidR="00816216" w:rsidRPr="00AF404A" w:rsidRDefault="00816216" w:rsidP="00FB05F1">
      <w:pPr>
        <w:pStyle w:val="Odlomakpopisa"/>
        <w:numPr>
          <w:ilvl w:val="0"/>
          <w:numId w:val="47"/>
        </w:numPr>
        <w:spacing w:after="0" w:line="240" w:lineRule="auto"/>
        <w:jc w:val="both"/>
        <w:rPr>
          <w:rFonts w:ascii="Times New Roman" w:eastAsia="Times New Roman" w:hAnsi="Times New Roman" w:cs="Times New Roman"/>
          <w:sz w:val="24"/>
          <w:szCs w:val="24"/>
          <w:lang w:eastAsia="hr-HR"/>
        </w:rPr>
      </w:pPr>
      <w:r w:rsidRPr="00AF404A">
        <w:rPr>
          <w:rFonts w:ascii="Times New Roman" w:eastAsia="Times New Roman" w:hAnsi="Times New Roman" w:cs="Times New Roman"/>
          <w:sz w:val="24"/>
          <w:szCs w:val="24"/>
          <w:lang w:eastAsia="hr-HR"/>
        </w:rPr>
        <w:t>Poduzetim koracima od strane države stranke s ciljem povećanja mirovina, socijalnih i drugih davanja kako za civile, tako i za vojne invalide diljem zemlje, uključujući i roditelje s djecom s teškoćama u razvoju.</w:t>
      </w:r>
    </w:p>
    <w:p w14:paraId="680DD060" w14:textId="77777777" w:rsidR="00816216" w:rsidRPr="00AF404A" w:rsidRDefault="00816216" w:rsidP="00816216">
      <w:pPr>
        <w:spacing w:after="0" w:line="240" w:lineRule="auto"/>
        <w:jc w:val="both"/>
        <w:rPr>
          <w:rFonts w:ascii="Times New Roman" w:eastAsia="Times New Roman" w:hAnsi="Times New Roman" w:cs="Times New Roman"/>
          <w:sz w:val="24"/>
          <w:szCs w:val="24"/>
          <w:lang w:eastAsia="hr-HR"/>
        </w:rPr>
      </w:pPr>
    </w:p>
    <w:p w14:paraId="74FFE01E" w14:textId="77777777" w:rsidR="00816216" w:rsidRDefault="00816216" w:rsidP="00816216">
      <w:pPr>
        <w:spacing w:after="0" w:line="240" w:lineRule="auto"/>
        <w:jc w:val="both"/>
        <w:rPr>
          <w:rFonts w:ascii="Times New Roman" w:eastAsia="Times New Roman" w:hAnsi="Times New Roman" w:cs="Times New Roman"/>
          <w:sz w:val="24"/>
          <w:szCs w:val="24"/>
          <w:lang w:eastAsia="hr-HR"/>
        </w:rPr>
      </w:pPr>
      <w:r w:rsidRPr="00AF404A">
        <w:rPr>
          <w:rFonts w:ascii="Times New Roman" w:eastAsia="Times New Roman" w:hAnsi="Times New Roman" w:cs="Times New Roman"/>
          <w:sz w:val="24"/>
          <w:szCs w:val="24"/>
          <w:lang w:eastAsia="hr-HR"/>
        </w:rPr>
        <w:lastRenderedPageBreak/>
        <w:t>Pitanje 29</w:t>
      </w:r>
    </w:p>
    <w:p w14:paraId="1745D8A9" w14:textId="77777777" w:rsidR="00816216" w:rsidRPr="00AF404A" w:rsidRDefault="00816216" w:rsidP="00816216">
      <w:pPr>
        <w:spacing w:after="0" w:line="240" w:lineRule="auto"/>
        <w:jc w:val="both"/>
        <w:rPr>
          <w:rFonts w:ascii="Times New Roman" w:eastAsia="Times New Roman" w:hAnsi="Times New Roman" w:cs="Times New Roman"/>
          <w:sz w:val="24"/>
          <w:szCs w:val="24"/>
          <w:lang w:eastAsia="hr-HR"/>
        </w:rPr>
      </w:pPr>
      <w:r w:rsidRPr="00AF404A">
        <w:rPr>
          <w:rFonts w:ascii="Times New Roman" w:eastAsia="Times New Roman" w:hAnsi="Times New Roman" w:cs="Times New Roman"/>
          <w:sz w:val="24"/>
          <w:szCs w:val="24"/>
          <w:lang w:eastAsia="hr-HR"/>
        </w:rPr>
        <w:t>Molimo izvijestite Odbor o:</w:t>
      </w:r>
    </w:p>
    <w:p w14:paraId="6D958550" w14:textId="77777777" w:rsidR="00816216" w:rsidRPr="00AF404A" w:rsidRDefault="00816216" w:rsidP="00FB05F1">
      <w:pPr>
        <w:pStyle w:val="Odlomakpopisa"/>
        <w:numPr>
          <w:ilvl w:val="0"/>
          <w:numId w:val="48"/>
        </w:numPr>
        <w:spacing w:after="0" w:line="240" w:lineRule="auto"/>
        <w:jc w:val="both"/>
        <w:rPr>
          <w:rFonts w:ascii="Times New Roman" w:eastAsia="Times New Roman" w:hAnsi="Times New Roman" w:cs="Times New Roman"/>
          <w:sz w:val="24"/>
          <w:szCs w:val="24"/>
          <w:lang w:eastAsia="hr-HR"/>
        </w:rPr>
      </w:pPr>
      <w:r w:rsidRPr="00AF404A">
        <w:rPr>
          <w:rFonts w:ascii="Times New Roman" w:eastAsia="Times New Roman" w:hAnsi="Times New Roman" w:cs="Times New Roman"/>
          <w:sz w:val="24"/>
          <w:szCs w:val="24"/>
          <w:lang w:eastAsia="hr-HR"/>
        </w:rPr>
        <w:t>Naporima za jamčenje prava za sudjelovanje u političkom i javnom životu na ravnopravnoj osnovi s drugima, uključujući i učlanjenje u političke stranke, kao i mogućnost obnašanja dužnosti i obavljanje funkcija na svim razinama javne vlasti;</w:t>
      </w:r>
    </w:p>
    <w:p w14:paraId="1C283790" w14:textId="77777777" w:rsidR="00816216" w:rsidRPr="00AF404A" w:rsidRDefault="00816216" w:rsidP="00FB05F1">
      <w:pPr>
        <w:pStyle w:val="Odlomakpopisa"/>
        <w:numPr>
          <w:ilvl w:val="0"/>
          <w:numId w:val="48"/>
        </w:numPr>
        <w:spacing w:after="0" w:line="240" w:lineRule="auto"/>
        <w:jc w:val="both"/>
        <w:rPr>
          <w:rFonts w:ascii="Times New Roman" w:eastAsia="Times New Roman" w:hAnsi="Times New Roman" w:cs="Times New Roman"/>
          <w:sz w:val="24"/>
          <w:szCs w:val="24"/>
          <w:lang w:eastAsia="hr-HR"/>
        </w:rPr>
      </w:pPr>
      <w:r w:rsidRPr="00AF404A">
        <w:rPr>
          <w:rFonts w:ascii="Times New Roman" w:eastAsia="Times New Roman" w:hAnsi="Times New Roman" w:cs="Times New Roman"/>
          <w:sz w:val="24"/>
          <w:szCs w:val="24"/>
          <w:lang w:eastAsia="hr-HR"/>
        </w:rPr>
        <w:t xml:space="preserve">Poduzetim koracima za provedbu mjera novog zakona o registru birača, koji nalaže za autonomne jedinice provedbu </w:t>
      </w:r>
      <w:proofErr w:type="spellStart"/>
      <w:r w:rsidRPr="00AF404A">
        <w:rPr>
          <w:rFonts w:ascii="Times New Roman" w:eastAsia="Times New Roman" w:hAnsi="Times New Roman" w:cs="Times New Roman"/>
          <w:sz w:val="24"/>
          <w:szCs w:val="24"/>
          <w:lang w:eastAsia="hr-HR"/>
        </w:rPr>
        <w:t>postupkovne</w:t>
      </w:r>
      <w:proofErr w:type="spellEnd"/>
      <w:r w:rsidRPr="00AF404A">
        <w:rPr>
          <w:rFonts w:ascii="Times New Roman" w:eastAsia="Times New Roman" w:hAnsi="Times New Roman" w:cs="Times New Roman"/>
          <w:sz w:val="24"/>
          <w:szCs w:val="24"/>
          <w:lang w:eastAsia="hr-HR"/>
        </w:rPr>
        <w:t xml:space="preserve"> prilagodne kako bi se osiguralo da nepismene osobe s oštećenjem vida mogu u potpunosti uživati svoje pravo na glasovanje.</w:t>
      </w:r>
    </w:p>
    <w:p w14:paraId="4DE85F8F" w14:textId="77777777" w:rsidR="00816216" w:rsidRPr="00AF404A" w:rsidRDefault="00816216" w:rsidP="00816216">
      <w:pPr>
        <w:spacing w:after="0" w:line="240" w:lineRule="auto"/>
        <w:jc w:val="both"/>
        <w:rPr>
          <w:rFonts w:ascii="Times New Roman" w:eastAsia="Times New Roman" w:hAnsi="Times New Roman" w:cs="Times New Roman"/>
          <w:sz w:val="24"/>
          <w:szCs w:val="24"/>
          <w:lang w:eastAsia="hr-HR"/>
        </w:rPr>
      </w:pPr>
    </w:p>
    <w:p w14:paraId="66A6DF64" w14:textId="77777777" w:rsidR="00816216" w:rsidRDefault="00816216" w:rsidP="00816216">
      <w:pPr>
        <w:spacing w:after="0" w:line="240" w:lineRule="auto"/>
        <w:jc w:val="both"/>
        <w:rPr>
          <w:rFonts w:ascii="Times New Roman" w:eastAsia="Times New Roman" w:hAnsi="Times New Roman" w:cs="Times New Roman"/>
          <w:sz w:val="24"/>
          <w:szCs w:val="24"/>
          <w:lang w:eastAsia="hr-HR"/>
        </w:rPr>
      </w:pPr>
      <w:r w:rsidRPr="00AF404A">
        <w:rPr>
          <w:rFonts w:ascii="Times New Roman" w:eastAsia="Times New Roman" w:hAnsi="Times New Roman" w:cs="Times New Roman"/>
          <w:sz w:val="24"/>
          <w:szCs w:val="24"/>
          <w:lang w:eastAsia="hr-HR"/>
        </w:rPr>
        <w:t>Pitanje 30</w:t>
      </w:r>
    </w:p>
    <w:p w14:paraId="2AD4F57E" w14:textId="77777777" w:rsidR="00816216" w:rsidRPr="00AF404A" w:rsidRDefault="00816216" w:rsidP="00816216">
      <w:pPr>
        <w:spacing w:after="0" w:line="240" w:lineRule="auto"/>
        <w:jc w:val="both"/>
        <w:rPr>
          <w:rFonts w:ascii="Times New Roman" w:eastAsia="Times New Roman" w:hAnsi="Times New Roman" w:cs="Times New Roman"/>
          <w:sz w:val="24"/>
          <w:szCs w:val="24"/>
          <w:lang w:eastAsia="hr-HR"/>
        </w:rPr>
      </w:pPr>
      <w:r w:rsidRPr="00AF404A">
        <w:rPr>
          <w:rFonts w:ascii="Times New Roman" w:eastAsia="Times New Roman" w:hAnsi="Times New Roman" w:cs="Times New Roman"/>
          <w:sz w:val="24"/>
          <w:szCs w:val="24"/>
          <w:lang w:eastAsia="hr-HR"/>
        </w:rPr>
        <w:t>Molimo dostavite podatke o poduzetim mjerama za osiguranje:</w:t>
      </w:r>
    </w:p>
    <w:p w14:paraId="46DAA768" w14:textId="77777777" w:rsidR="00816216" w:rsidRPr="00AF404A" w:rsidRDefault="00816216" w:rsidP="00FB05F1">
      <w:pPr>
        <w:pStyle w:val="Odlomakpopisa"/>
        <w:numPr>
          <w:ilvl w:val="0"/>
          <w:numId w:val="49"/>
        </w:numPr>
        <w:spacing w:after="0" w:line="240" w:lineRule="auto"/>
        <w:jc w:val="both"/>
        <w:rPr>
          <w:rFonts w:ascii="Times New Roman" w:eastAsia="Times New Roman" w:hAnsi="Times New Roman" w:cs="Times New Roman"/>
          <w:sz w:val="24"/>
          <w:szCs w:val="24"/>
          <w:lang w:eastAsia="hr-HR"/>
        </w:rPr>
      </w:pPr>
      <w:r w:rsidRPr="00AF404A">
        <w:rPr>
          <w:rFonts w:ascii="Times New Roman" w:eastAsia="Times New Roman" w:hAnsi="Times New Roman" w:cs="Times New Roman"/>
          <w:sz w:val="24"/>
          <w:szCs w:val="24"/>
          <w:lang w:eastAsia="hr-HR"/>
        </w:rPr>
        <w:t>Pristupa informacijama u javnim knjižnicama za osobe s intelektualnim i psihosocijalnim invaliditetom sadržanim dokumentima za jednostavno čitanje i drugim pristupačnim formatima;</w:t>
      </w:r>
    </w:p>
    <w:p w14:paraId="4D55294E" w14:textId="77777777" w:rsidR="00816216" w:rsidRPr="00AF404A" w:rsidRDefault="00816216" w:rsidP="00FB05F1">
      <w:pPr>
        <w:pStyle w:val="Odlomakpopisa"/>
        <w:numPr>
          <w:ilvl w:val="0"/>
          <w:numId w:val="49"/>
        </w:numPr>
        <w:spacing w:after="0" w:line="240" w:lineRule="auto"/>
        <w:jc w:val="both"/>
        <w:rPr>
          <w:rFonts w:ascii="Times New Roman" w:eastAsia="Times New Roman" w:hAnsi="Times New Roman" w:cs="Times New Roman"/>
          <w:sz w:val="24"/>
          <w:szCs w:val="24"/>
          <w:lang w:eastAsia="hr-HR"/>
        </w:rPr>
      </w:pPr>
      <w:r w:rsidRPr="00AF404A">
        <w:rPr>
          <w:rFonts w:ascii="Times New Roman" w:eastAsia="Times New Roman" w:hAnsi="Times New Roman" w:cs="Times New Roman"/>
          <w:sz w:val="24"/>
          <w:szCs w:val="24"/>
          <w:lang w:eastAsia="hr-HR"/>
        </w:rPr>
        <w:t xml:space="preserve">Osobama s invaliditetom, uključujući djecu s teškoćama u razvoju, pristup mjestima kulturnih i sportskih događanja na ravnopravnoj osnovi s drugima. </w:t>
      </w:r>
    </w:p>
    <w:p w14:paraId="571E7E16" w14:textId="77777777" w:rsidR="00816216" w:rsidRPr="00AF404A" w:rsidRDefault="00816216" w:rsidP="00816216">
      <w:pPr>
        <w:spacing w:after="0" w:line="240" w:lineRule="auto"/>
        <w:rPr>
          <w:rFonts w:ascii="Times New Roman" w:hAnsi="Times New Roman" w:cs="Times New Roman"/>
          <w:b/>
          <w:bCs/>
          <w:sz w:val="24"/>
          <w:szCs w:val="24"/>
        </w:rPr>
      </w:pPr>
    </w:p>
    <w:p w14:paraId="47D7E949" w14:textId="77777777" w:rsidR="00816216" w:rsidRDefault="00816216" w:rsidP="00816216">
      <w:pPr>
        <w:spacing w:after="0" w:line="240" w:lineRule="auto"/>
        <w:jc w:val="both"/>
        <w:rPr>
          <w:rFonts w:ascii="Times New Roman" w:eastAsia="Times New Roman" w:hAnsi="Times New Roman" w:cs="Times New Roman"/>
          <w:sz w:val="24"/>
          <w:szCs w:val="24"/>
          <w:lang w:eastAsia="hr-HR"/>
        </w:rPr>
      </w:pPr>
      <w:r w:rsidRPr="00AF404A">
        <w:rPr>
          <w:rFonts w:ascii="Times New Roman" w:eastAsia="Times New Roman" w:hAnsi="Times New Roman" w:cs="Times New Roman"/>
          <w:sz w:val="24"/>
          <w:szCs w:val="24"/>
          <w:lang w:eastAsia="hr-HR"/>
        </w:rPr>
        <w:t>Pitanje 31</w:t>
      </w:r>
    </w:p>
    <w:p w14:paraId="411D6073" w14:textId="77777777" w:rsidR="00816216" w:rsidRPr="00AF404A" w:rsidRDefault="00816216" w:rsidP="00816216">
      <w:pPr>
        <w:spacing w:after="0" w:line="240" w:lineRule="auto"/>
        <w:jc w:val="both"/>
        <w:rPr>
          <w:rFonts w:ascii="Times New Roman" w:eastAsia="Times New Roman" w:hAnsi="Times New Roman" w:cs="Times New Roman"/>
          <w:sz w:val="24"/>
          <w:szCs w:val="24"/>
          <w:lang w:eastAsia="hr-HR"/>
        </w:rPr>
      </w:pPr>
      <w:r w:rsidRPr="00AF404A">
        <w:rPr>
          <w:rFonts w:ascii="Times New Roman" w:eastAsia="Times New Roman" w:hAnsi="Times New Roman" w:cs="Times New Roman"/>
          <w:sz w:val="24"/>
          <w:szCs w:val="24"/>
          <w:lang w:eastAsia="hr-HR"/>
        </w:rPr>
        <w:t xml:space="preserve">Molimo dostavite podatke o stajalištu države stranke u svezi s korištenjem metodologije Washington grupe kratkog seta pitanja o invaliditetu. </w:t>
      </w:r>
    </w:p>
    <w:p w14:paraId="1F09E7D5" w14:textId="77777777" w:rsidR="00816216" w:rsidRPr="00AF404A" w:rsidRDefault="00816216" w:rsidP="00816216">
      <w:pPr>
        <w:spacing w:after="0" w:line="240" w:lineRule="auto"/>
        <w:jc w:val="both"/>
        <w:rPr>
          <w:rFonts w:ascii="Times New Roman" w:eastAsia="Times New Roman" w:hAnsi="Times New Roman" w:cs="Times New Roman"/>
          <w:sz w:val="24"/>
          <w:szCs w:val="24"/>
          <w:lang w:eastAsia="hr-HR"/>
        </w:rPr>
      </w:pPr>
      <w:r w:rsidRPr="00AF404A">
        <w:rPr>
          <w:rFonts w:ascii="Times New Roman" w:eastAsia="Times New Roman" w:hAnsi="Times New Roman" w:cs="Times New Roman"/>
          <w:sz w:val="24"/>
          <w:szCs w:val="24"/>
          <w:lang w:eastAsia="hr-HR"/>
        </w:rPr>
        <w:t>Također molimo dostavite podatke o:</w:t>
      </w:r>
    </w:p>
    <w:p w14:paraId="5A0F97DD" w14:textId="77777777" w:rsidR="00816216" w:rsidRPr="00AF404A" w:rsidRDefault="00816216" w:rsidP="00FB05F1">
      <w:pPr>
        <w:pStyle w:val="Odlomakpopisa"/>
        <w:numPr>
          <w:ilvl w:val="0"/>
          <w:numId w:val="50"/>
        </w:numPr>
        <w:spacing w:after="0" w:line="240" w:lineRule="auto"/>
        <w:jc w:val="both"/>
        <w:rPr>
          <w:rFonts w:ascii="Times New Roman" w:eastAsia="Times New Roman" w:hAnsi="Times New Roman" w:cs="Times New Roman"/>
          <w:sz w:val="24"/>
          <w:szCs w:val="24"/>
          <w:lang w:eastAsia="hr-HR"/>
        </w:rPr>
      </w:pPr>
      <w:r w:rsidRPr="00AF404A">
        <w:rPr>
          <w:rFonts w:ascii="Times New Roman" w:eastAsia="Times New Roman" w:hAnsi="Times New Roman" w:cs="Times New Roman"/>
          <w:sz w:val="24"/>
          <w:szCs w:val="24"/>
          <w:lang w:eastAsia="hr-HR"/>
        </w:rPr>
        <w:t xml:space="preserve">Poduzetim mjerama za sistemsko i redovito prikupljanje, analizu i distribuciju podataka o situaciji u kojoj se nalaze osobe s invaliditetom, uključujući i one o nasilju nad ženama i djevojkama s invaliditetom, razvrstanih po spolu, dobi, narodnosti, stupnju obrazovanja, statusu na tržištu rada, socioekonomskom statusu, pravu na socijalnu zaštitu, u svrhu razvoja striktnih programa i politika temeljenih na dokazima; </w:t>
      </w:r>
    </w:p>
    <w:p w14:paraId="2341F00C" w14:textId="77777777" w:rsidR="00816216" w:rsidRPr="00AF404A" w:rsidRDefault="00816216" w:rsidP="00FB05F1">
      <w:pPr>
        <w:pStyle w:val="Odlomakpopisa"/>
        <w:numPr>
          <w:ilvl w:val="0"/>
          <w:numId w:val="50"/>
        </w:numPr>
        <w:spacing w:after="0" w:line="240" w:lineRule="auto"/>
        <w:jc w:val="both"/>
        <w:rPr>
          <w:rFonts w:ascii="Times New Roman" w:eastAsia="Times New Roman" w:hAnsi="Times New Roman" w:cs="Times New Roman"/>
          <w:sz w:val="24"/>
          <w:szCs w:val="24"/>
          <w:lang w:eastAsia="hr-HR"/>
        </w:rPr>
      </w:pPr>
      <w:r w:rsidRPr="00AF404A">
        <w:rPr>
          <w:rFonts w:ascii="Times New Roman" w:eastAsia="Times New Roman" w:hAnsi="Times New Roman" w:cs="Times New Roman"/>
          <w:sz w:val="24"/>
          <w:szCs w:val="24"/>
          <w:lang w:eastAsia="hr-HR"/>
        </w:rPr>
        <w:t>Provedenim izmjenama Zakona o hrvatskom registru osoba s invaliditetom, s ciljem usklađivanja s modelom invaliditeta utemeljenog na ljudskim pravima, kao i općim komentarom br. 6 (2018.) o jednakosti i nediskriminaciji;</w:t>
      </w:r>
    </w:p>
    <w:p w14:paraId="33A2D261" w14:textId="77777777" w:rsidR="00816216" w:rsidRPr="00AF404A" w:rsidRDefault="00816216" w:rsidP="00FB05F1">
      <w:pPr>
        <w:pStyle w:val="Odlomakpopisa"/>
        <w:numPr>
          <w:ilvl w:val="0"/>
          <w:numId w:val="50"/>
        </w:numPr>
        <w:spacing w:after="0" w:line="240" w:lineRule="auto"/>
        <w:jc w:val="both"/>
        <w:rPr>
          <w:rFonts w:ascii="Times New Roman" w:eastAsia="Times New Roman" w:hAnsi="Times New Roman" w:cs="Times New Roman"/>
          <w:sz w:val="24"/>
          <w:szCs w:val="24"/>
          <w:lang w:eastAsia="hr-HR"/>
        </w:rPr>
      </w:pPr>
      <w:r w:rsidRPr="00AF404A">
        <w:rPr>
          <w:rFonts w:ascii="Times New Roman" w:eastAsia="Times New Roman" w:hAnsi="Times New Roman" w:cs="Times New Roman"/>
          <w:sz w:val="24"/>
          <w:szCs w:val="24"/>
          <w:lang w:eastAsia="hr-HR"/>
        </w:rPr>
        <w:t>Statusu distribucije podataka u pristupačnim oblicima.</w:t>
      </w:r>
    </w:p>
    <w:p w14:paraId="086D9ACC" w14:textId="77777777" w:rsidR="00816216" w:rsidRPr="00AF404A" w:rsidRDefault="00816216" w:rsidP="00816216">
      <w:pPr>
        <w:spacing w:after="0" w:line="240" w:lineRule="auto"/>
        <w:rPr>
          <w:rFonts w:ascii="Times New Roman" w:hAnsi="Times New Roman" w:cs="Times New Roman"/>
          <w:b/>
          <w:bCs/>
          <w:sz w:val="24"/>
          <w:szCs w:val="24"/>
        </w:rPr>
      </w:pPr>
    </w:p>
    <w:p w14:paraId="6FD8497E" w14:textId="77777777" w:rsidR="00816216" w:rsidRDefault="00816216" w:rsidP="00816216">
      <w:pPr>
        <w:spacing w:after="0" w:line="240" w:lineRule="auto"/>
        <w:jc w:val="both"/>
        <w:rPr>
          <w:rFonts w:ascii="Times New Roman" w:eastAsia="Times New Roman" w:hAnsi="Times New Roman" w:cs="Times New Roman"/>
          <w:sz w:val="24"/>
          <w:szCs w:val="24"/>
          <w:lang w:eastAsia="hr-HR"/>
        </w:rPr>
      </w:pPr>
      <w:r w:rsidRPr="00AF404A">
        <w:rPr>
          <w:rFonts w:ascii="Times New Roman" w:eastAsia="Times New Roman" w:hAnsi="Times New Roman" w:cs="Times New Roman"/>
          <w:sz w:val="24"/>
          <w:szCs w:val="24"/>
          <w:lang w:eastAsia="hr-HR"/>
        </w:rPr>
        <w:t>Pitanje 32</w:t>
      </w:r>
    </w:p>
    <w:p w14:paraId="57884841" w14:textId="77777777" w:rsidR="00816216" w:rsidRPr="00AF404A" w:rsidRDefault="00816216" w:rsidP="00816216">
      <w:pPr>
        <w:spacing w:after="0" w:line="240" w:lineRule="auto"/>
        <w:jc w:val="both"/>
        <w:rPr>
          <w:rFonts w:ascii="Times New Roman" w:eastAsia="Times New Roman" w:hAnsi="Times New Roman" w:cs="Times New Roman"/>
          <w:sz w:val="24"/>
          <w:szCs w:val="24"/>
          <w:lang w:eastAsia="hr-HR"/>
        </w:rPr>
      </w:pPr>
      <w:r w:rsidRPr="00AF404A">
        <w:rPr>
          <w:rFonts w:ascii="Times New Roman" w:eastAsia="Times New Roman" w:hAnsi="Times New Roman" w:cs="Times New Roman"/>
          <w:sz w:val="24"/>
          <w:szCs w:val="24"/>
          <w:lang w:eastAsia="hr-HR"/>
        </w:rPr>
        <w:t>Molimo dostavite podatke o:</w:t>
      </w:r>
    </w:p>
    <w:p w14:paraId="2248CB98" w14:textId="77777777" w:rsidR="00816216" w:rsidRPr="00AF404A" w:rsidRDefault="00816216" w:rsidP="00FB05F1">
      <w:pPr>
        <w:pStyle w:val="Odlomakpopisa"/>
        <w:numPr>
          <w:ilvl w:val="0"/>
          <w:numId w:val="51"/>
        </w:numPr>
        <w:spacing w:after="0" w:line="240" w:lineRule="auto"/>
        <w:jc w:val="both"/>
        <w:rPr>
          <w:rFonts w:ascii="Times New Roman" w:eastAsia="Times New Roman" w:hAnsi="Times New Roman" w:cs="Times New Roman"/>
          <w:sz w:val="24"/>
          <w:szCs w:val="24"/>
          <w:lang w:eastAsia="hr-HR"/>
        </w:rPr>
      </w:pPr>
      <w:r w:rsidRPr="00AF404A">
        <w:rPr>
          <w:rFonts w:ascii="Times New Roman" w:eastAsia="Times New Roman" w:hAnsi="Times New Roman" w:cs="Times New Roman"/>
          <w:sz w:val="24"/>
          <w:szCs w:val="24"/>
          <w:lang w:eastAsia="hr-HR"/>
        </w:rPr>
        <w:t>Mjerama i vremenskom okviru za osiguranje provedbe Europskog konsenzusa o razvoju u svrhu daljnjeg unaprjeđivanja prava osoba s invaliditetom u međunarodnoj suradnji;</w:t>
      </w:r>
    </w:p>
    <w:p w14:paraId="5DB741DC" w14:textId="77777777" w:rsidR="00816216" w:rsidRPr="00AF404A" w:rsidRDefault="00816216" w:rsidP="00FB05F1">
      <w:pPr>
        <w:pStyle w:val="Odlomakpopisa"/>
        <w:numPr>
          <w:ilvl w:val="0"/>
          <w:numId w:val="51"/>
        </w:numPr>
        <w:spacing w:after="0" w:line="240" w:lineRule="auto"/>
        <w:jc w:val="both"/>
        <w:rPr>
          <w:rFonts w:ascii="Times New Roman" w:eastAsia="Times New Roman" w:hAnsi="Times New Roman" w:cs="Times New Roman"/>
          <w:sz w:val="24"/>
          <w:szCs w:val="24"/>
          <w:lang w:eastAsia="hr-HR"/>
        </w:rPr>
      </w:pPr>
      <w:r w:rsidRPr="00AF404A">
        <w:rPr>
          <w:rFonts w:ascii="Times New Roman" w:eastAsia="Times New Roman" w:hAnsi="Times New Roman" w:cs="Times New Roman"/>
          <w:sz w:val="24"/>
          <w:szCs w:val="24"/>
          <w:lang w:eastAsia="hr-HR"/>
        </w:rPr>
        <w:t>Poduzetim koracima za predstavljanje osoba s invaliditetom, kroz organizacije koje ih predstavljaju, u procesima donošenja odluka i razmjenama najboljih praksi kako u nacionalnom tako i u međunarodnim forumima, kao dio sveobuhvatnih ciljeva Programa za održivi razvoj do 2030.</w:t>
      </w:r>
    </w:p>
    <w:p w14:paraId="5A66853D" w14:textId="77777777" w:rsidR="00816216" w:rsidRPr="00AF404A" w:rsidRDefault="00816216" w:rsidP="00816216">
      <w:pPr>
        <w:spacing w:after="0" w:line="240" w:lineRule="auto"/>
        <w:jc w:val="both"/>
        <w:rPr>
          <w:rFonts w:ascii="Times New Roman" w:eastAsia="Times New Roman" w:hAnsi="Times New Roman" w:cs="Times New Roman"/>
          <w:sz w:val="24"/>
          <w:szCs w:val="24"/>
          <w:lang w:eastAsia="hr-HR"/>
        </w:rPr>
      </w:pPr>
    </w:p>
    <w:p w14:paraId="2A1259B7" w14:textId="77777777" w:rsidR="00816216" w:rsidRDefault="00816216" w:rsidP="00816216">
      <w:pPr>
        <w:spacing w:after="0" w:line="240" w:lineRule="auto"/>
        <w:jc w:val="both"/>
        <w:rPr>
          <w:rFonts w:ascii="Times New Roman" w:eastAsia="Times New Roman" w:hAnsi="Times New Roman" w:cs="Times New Roman"/>
          <w:sz w:val="24"/>
          <w:szCs w:val="24"/>
          <w:lang w:eastAsia="hr-HR"/>
        </w:rPr>
      </w:pPr>
      <w:r w:rsidRPr="00AF404A">
        <w:rPr>
          <w:rFonts w:ascii="Times New Roman" w:eastAsia="Times New Roman" w:hAnsi="Times New Roman" w:cs="Times New Roman"/>
          <w:sz w:val="24"/>
          <w:szCs w:val="24"/>
          <w:lang w:eastAsia="hr-HR"/>
        </w:rPr>
        <w:t>Pitanje 33</w:t>
      </w:r>
    </w:p>
    <w:p w14:paraId="1D08922E" w14:textId="77777777" w:rsidR="00816216" w:rsidRPr="00AF404A" w:rsidRDefault="00816216" w:rsidP="00816216">
      <w:pPr>
        <w:spacing w:after="0" w:line="240" w:lineRule="auto"/>
        <w:jc w:val="both"/>
        <w:rPr>
          <w:rFonts w:ascii="Times New Roman" w:eastAsia="Times New Roman" w:hAnsi="Times New Roman" w:cs="Times New Roman"/>
          <w:sz w:val="24"/>
          <w:szCs w:val="24"/>
          <w:lang w:eastAsia="hr-HR"/>
        </w:rPr>
      </w:pPr>
      <w:r w:rsidRPr="00AF404A">
        <w:rPr>
          <w:rFonts w:ascii="Times New Roman" w:eastAsia="Times New Roman" w:hAnsi="Times New Roman" w:cs="Times New Roman"/>
          <w:sz w:val="24"/>
          <w:szCs w:val="24"/>
          <w:lang w:eastAsia="hr-HR"/>
        </w:rPr>
        <w:t>Molimo obrazložite poduzete korake za:</w:t>
      </w:r>
    </w:p>
    <w:p w14:paraId="6CDCBA3C" w14:textId="77777777" w:rsidR="00816216" w:rsidRPr="00AF404A" w:rsidRDefault="00816216" w:rsidP="00FB05F1">
      <w:pPr>
        <w:pStyle w:val="Odlomakpopisa"/>
        <w:numPr>
          <w:ilvl w:val="0"/>
          <w:numId w:val="52"/>
        </w:numPr>
        <w:spacing w:after="0" w:line="240" w:lineRule="auto"/>
        <w:jc w:val="both"/>
        <w:rPr>
          <w:rFonts w:ascii="Times New Roman" w:eastAsia="Times New Roman" w:hAnsi="Times New Roman" w:cs="Times New Roman"/>
          <w:sz w:val="24"/>
          <w:szCs w:val="24"/>
          <w:lang w:eastAsia="hr-HR"/>
        </w:rPr>
      </w:pPr>
      <w:r w:rsidRPr="00AF404A">
        <w:rPr>
          <w:rFonts w:ascii="Times New Roman" w:eastAsia="Times New Roman" w:hAnsi="Times New Roman" w:cs="Times New Roman"/>
          <w:sz w:val="24"/>
          <w:szCs w:val="24"/>
          <w:lang w:eastAsia="hr-HR"/>
        </w:rPr>
        <w:t>Osiguranje raspodjele tehničkih i proračunskih sredstva, kao i koordinaciju između Ministarstva financija, Ministarstva uprave, ureda pučke pravobraniteljice, pravobraniteljice za osobe s invaliditetom i drugih relevantnih ključnih točaka za provedbu Konvencije na nacionalnoj, županijskoj i općinskoj razini;</w:t>
      </w:r>
    </w:p>
    <w:p w14:paraId="6AE19398" w14:textId="77777777" w:rsidR="00816216" w:rsidRPr="00AF404A" w:rsidRDefault="00816216" w:rsidP="00FB05F1">
      <w:pPr>
        <w:pStyle w:val="Odlomakpopisa"/>
        <w:numPr>
          <w:ilvl w:val="0"/>
          <w:numId w:val="52"/>
        </w:numPr>
        <w:spacing w:after="0" w:line="240" w:lineRule="auto"/>
        <w:jc w:val="both"/>
        <w:rPr>
          <w:rFonts w:ascii="Times New Roman" w:eastAsia="Times New Roman" w:hAnsi="Times New Roman" w:cs="Times New Roman"/>
          <w:sz w:val="24"/>
          <w:szCs w:val="24"/>
          <w:lang w:eastAsia="hr-HR"/>
        </w:rPr>
      </w:pPr>
      <w:r w:rsidRPr="00AF404A">
        <w:rPr>
          <w:rFonts w:ascii="Times New Roman" w:eastAsia="Times New Roman" w:hAnsi="Times New Roman" w:cs="Times New Roman"/>
          <w:sz w:val="24"/>
          <w:szCs w:val="24"/>
          <w:lang w:eastAsia="hr-HR"/>
        </w:rPr>
        <w:t>Pružanje podrške kako bi se osiguralo da osobe s invaliditetom, mogu, kroz organizacije koje ih predstavljaju, djelotvorno sudjelovati u implementaciji i praćenju provedbe Konvencije.</w:t>
      </w:r>
    </w:p>
    <w:p w14:paraId="6AE81B89" w14:textId="77777777" w:rsidR="00816216" w:rsidRPr="00AF404A" w:rsidRDefault="00816216" w:rsidP="00816216">
      <w:pPr>
        <w:spacing w:after="0" w:line="240" w:lineRule="auto"/>
        <w:jc w:val="both"/>
        <w:rPr>
          <w:rFonts w:ascii="Times New Roman" w:eastAsia="Times New Roman" w:hAnsi="Times New Roman" w:cs="Times New Roman"/>
          <w:sz w:val="24"/>
          <w:szCs w:val="24"/>
          <w:lang w:eastAsia="hr-HR"/>
        </w:rPr>
      </w:pPr>
    </w:p>
    <w:p w14:paraId="65755792" w14:textId="77777777" w:rsidR="00816216" w:rsidRPr="00AF404A" w:rsidRDefault="00816216" w:rsidP="00816216">
      <w:pPr>
        <w:spacing w:after="0" w:line="240" w:lineRule="auto"/>
        <w:jc w:val="both"/>
        <w:rPr>
          <w:rFonts w:ascii="Times New Roman" w:hAnsi="Times New Roman" w:cs="Times New Roman"/>
          <w:sz w:val="24"/>
          <w:szCs w:val="24"/>
        </w:rPr>
      </w:pPr>
    </w:p>
    <w:p w14:paraId="61AD5F2B" w14:textId="77777777" w:rsidR="00816216" w:rsidRPr="00AF404A" w:rsidRDefault="00816216" w:rsidP="00816216">
      <w:pPr>
        <w:spacing w:after="0" w:line="240" w:lineRule="auto"/>
        <w:rPr>
          <w:rFonts w:ascii="Times New Roman" w:hAnsi="Times New Roman" w:cs="Times New Roman"/>
          <w:b/>
          <w:bCs/>
          <w:sz w:val="24"/>
          <w:szCs w:val="24"/>
        </w:rPr>
      </w:pPr>
    </w:p>
    <w:p w14:paraId="5960EC17" w14:textId="0A5B565F" w:rsidR="00731C28" w:rsidRDefault="00731C28" w:rsidP="00731C28">
      <w:pPr>
        <w:pStyle w:val="t-98-2"/>
        <w:shd w:val="clear" w:color="auto" w:fill="FFFFFF"/>
        <w:spacing w:before="0" w:beforeAutospacing="0" w:after="0" w:afterAutospacing="0"/>
        <w:jc w:val="both"/>
        <w:textAlignment w:val="baseline"/>
      </w:pPr>
    </w:p>
    <w:sectPr w:rsidR="00731C28" w:rsidSect="00F71415">
      <w:pgSz w:w="11906" w:h="16838"/>
      <w:pgMar w:top="1417" w:right="1417" w:bottom="1417" w:left="1417" w:header="708" w:footer="708" w:gutter="0"/>
      <w:pgNumType w:chapStyle="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7121F8" w14:textId="77777777" w:rsidR="00C42879" w:rsidRDefault="00C42879" w:rsidP="009B30CB">
      <w:pPr>
        <w:spacing w:after="0" w:line="240" w:lineRule="auto"/>
      </w:pPr>
      <w:r>
        <w:separator/>
      </w:r>
    </w:p>
  </w:endnote>
  <w:endnote w:type="continuationSeparator" w:id="0">
    <w:p w14:paraId="5C7F7F34" w14:textId="77777777" w:rsidR="00C42879" w:rsidRDefault="00C42879" w:rsidP="009B30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0002AFF" w:usb1="4000ACFF" w:usb2="00000001"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A0002AEF" w:usb1="4000207B" w:usb2="00000000"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Open Sans">
    <w:altName w:val="Open Sans"/>
    <w:charset w:val="00"/>
    <w:family w:val="swiss"/>
    <w:pitch w:val="variable"/>
    <w:sig w:usb0="E00002EF" w:usb1="4000205B" w:usb2="00000028"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89521038"/>
      <w:docPartObj>
        <w:docPartGallery w:val="Page Numbers (Bottom of Page)"/>
        <w:docPartUnique/>
      </w:docPartObj>
    </w:sdtPr>
    <w:sdtContent>
      <w:p w14:paraId="0F6EF801" w14:textId="68E7E68E" w:rsidR="00F90F6F" w:rsidRDefault="00F90F6F">
        <w:pPr>
          <w:pStyle w:val="Podnoje"/>
          <w:jc w:val="right"/>
        </w:pPr>
        <w:r>
          <w:fldChar w:fldCharType="begin"/>
        </w:r>
        <w:r>
          <w:instrText>PAGE   \* MERGEFORMAT</w:instrText>
        </w:r>
        <w:r>
          <w:fldChar w:fldCharType="separate"/>
        </w:r>
        <w:r>
          <w:t>2</w:t>
        </w:r>
        <w:r>
          <w:fldChar w:fldCharType="end"/>
        </w:r>
      </w:p>
    </w:sdtContent>
  </w:sdt>
  <w:p w14:paraId="688EA739" w14:textId="77777777" w:rsidR="00F90F6F" w:rsidRDefault="00F90F6F">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56390178"/>
      <w:docPartObj>
        <w:docPartGallery w:val="Page Numbers (Bottom of Page)"/>
        <w:docPartUnique/>
      </w:docPartObj>
    </w:sdtPr>
    <w:sdtContent>
      <w:p w14:paraId="7F84808D" w14:textId="773CB800" w:rsidR="00F71415" w:rsidRDefault="00F71415">
        <w:pPr>
          <w:pStyle w:val="Podnoje"/>
          <w:jc w:val="right"/>
        </w:pPr>
        <w:r>
          <w:fldChar w:fldCharType="begin"/>
        </w:r>
        <w:r>
          <w:instrText>PAGE   \* MERGEFORMAT</w:instrText>
        </w:r>
        <w:r>
          <w:fldChar w:fldCharType="separate"/>
        </w:r>
        <w:r>
          <w:t>2</w:t>
        </w:r>
        <w:r>
          <w:fldChar w:fldCharType="end"/>
        </w:r>
      </w:p>
    </w:sdtContent>
  </w:sdt>
  <w:p w14:paraId="653A0FFE" w14:textId="77777777" w:rsidR="00F71415" w:rsidRDefault="00F71415">
    <w:pPr>
      <w:pStyle w:val="Podnoj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8033334"/>
      <w:docPartObj>
        <w:docPartGallery w:val="Page Numbers (Bottom of Page)"/>
        <w:docPartUnique/>
      </w:docPartObj>
    </w:sdtPr>
    <w:sdtContent>
      <w:p w14:paraId="2626AFA5" w14:textId="77777777" w:rsidR="00F71415" w:rsidRDefault="00F71415">
        <w:pPr>
          <w:pStyle w:val="Podnoje"/>
          <w:jc w:val="right"/>
        </w:pPr>
        <w:r>
          <w:fldChar w:fldCharType="begin"/>
        </w:r>
        <w:r>
          <w:instrText>PAGE   \* MERGEFORMAT</w:instrText>
        </w:r>
        <w:r>
          <w:fldChar w:fldCharType="separate"/>
        </w:r>
        <w:r>
          <w:t>2</w:t>
        </w:r>
        <w:r>
          <w:fldChar w:fldCharType="end"/>
        </w:r>
      </w:p>
    </w:sdtContent>
  </w:sdt>
  <w:p w14:paraId="352D2522" w14:textId="77777777" w:rsidR="00F71415" w:rsidRDefault="00F71415">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35FA60" w14:textId="77777777" w:rsidR="00C42879" w:rsidRDefault="00C42879" w:rsidP="009B30CB">
      <w:pPr>
        <w:spacing w:after="0" w:line="240" w:lineRule="auto"/>
      </w:pPr>
      <w:r>
        <w:separator/>
      </w:r>
    </w:p>
  </w:footnote>
  <w:footnote w:type="continuationSeparator" w:id="0">
    <w:p w14:paraId="10D69267" w14:textId="77777777" w:rsidR="00C42879" w:rsidRDefault="00C42879" w:rsidP="009B30CB">
      <w:pPr>
        <w:spacing w:after="0" w:line="240" w:lineRule="auto"/>
      </w:pPr>
      <w:r>
        <w:continuationSeparator/>
      </w:r>
    </w:p>
  </w:footnote>
  <w:footnote w:id="1">
    <w:p w14:paraId="2F23F704" w14:textId="77777777" w:rsidR="00F90F6F" w:rsidRDefault="00F90F6F" w:rsidP="00731C28">
      <w:pPr>
        <w:pStyle w:val="Tekstfusnote"/>
      </w:pPr>
      <w:r>
        <w:rPr>
          <w:rStyle w:val="Referencafusnote"/>
        </w:rPr>
        <w:footnoteRef/>
      </w:r>
      <w:r>
        <w:t xml:space="preserve"> </w:t>
      </w:r>
      <w:r w:rsidRPr="00206271">
        <w:rPr>
          <w:rFonts w:ascii="Times New Roman" w:hAnsi="Times New Roman" w:cs="Times New Roman"/>
        </w:rPr>
        <w:t xml:space="preserve">Podaci iz Upisnika ustanova socijalne skrbi, Evidencije fizičkih osoba koje profesionalno pružaju socijalne usluge, te </w:t>
      </w:r>
      <w:bookmarkStart w:id="194" w:name="_Hlk70676784"/>
      <w:r w:rsidRPr="00206271">
        <w:rPr>
          <w:rFonts w:ascii="Times New Roman" w:hAnsi="Times New Roman" w:cs="Times New Roman"/>
        </w:rPr>
        <w:t>Evidencije pravnih osoba i obrtnika koji pružaju socijalne usluge – stanje na dan 15.4.2021.</w:t>
      </w:r>
      <w:bookmarkEnd w:id="194"/>
    </w:p>
  </w:footnote>
  <w:footnote w:id="2">
    <w:p w14:paraId="11C829E0" w14:textId="77777777" w:rsidR="00F90F6F" w:rsidRPr="001D305C" w:rsidRDefault="00F90F6F" w:rsidP="00731C28">
      <w:pPr>
        <w:shd w:val="clear" w:color="auto" w:fill="FFFFFF"/>
        <w:spacing w:after="0" w:line="240" w:lineRule="auto"/>
        <w:rPr>
          <w:rFonts w:ascii="Times New Roman" w:eastAsia="Times New Roman" w:hAnsi="Times New Roman" w:cs="Times New Roman"/>
          <w:color w:val="1D2228"/>
          <w:sz w:val="24"/>
          <w:szCs w:val="24"/>
          <w:lang w:eastAsia="hr-HR"/>
        </w:rPr>
      </w:pPr>
      <w:r>
        <w:rPr>
          <w:rStyle w:val="Referencafusnote"/>
        </w:rPr>
        <w:footnoteRef/>
      </w:r>
      <w:r>
        <w:t xml:space="preserve"> </w:t>
      </w:r>
      <w:bookmarkStart w:id="195" w:name="_Hlk70610290"/>
      <w:r w:rsidRPr="00206271">
        <w:rPr>
          <w:rFonts w:ascii="Times New Roman" w:eastAsia="Times New Roman" w:hAnsi="Times New Roman" w:cs="Times New Roman"/>
          <w:color w:val="1D2228"/>
          <w:sz w:val="20"/>
          <w:szCs w:val="20"/>
          <w:lang w:eastAsia="hr-HR"/>
        </w:rPr>
        <w:t xml:space="preserve">Podaci iz Registra udomitelja – stanje na dan </w:t>
      </w:r>
      <w:r>
        <w:rPr>
          <w:rFonts w:ascii="Times New Roman" w:eastAsia="Times New Roman" w:hAnsi="Times New Roman" w:cs="Times New Roman"/>
          <w:color w:val="1D2228"/>
          <w:sz w:val="20"/>
          <w:szCs w:val="20"/>
          <w:lang w:eastAsia="hr-HR"/>
        </w:rPr>
        <w:t>9</w:t>
      </w:r>
      <w:r w:rsidRPr="00206271">
        <w:rPr>
          <w:rFonts w:ascii="Times New Roman" w:eastAsia="Times New Roman" w:hAnsi="Times New Roman" w:cs="Times New Roman"/>
          <w:color w:val="1D2228"/>
          <w:sz w:val="20"/>
          <w:szCs w:val="20"/>
          <w:lang w:eastAsia="hr-HR"/>
        </w:rPr>
        <w:t>.</w:t>
      </w:r>
      <w:r>
        <w:rPr>
          <w:rFonts w:ascii="Times New Roman" w:eastAsia="Times New Roman" w:hAnsi="Times New Roman" w:cs="Times New Roman"/>
          <w:color w:val="1D2228"/>
          <w:sz w:val="20"/>
          <w:szCs w:val="20"/>
          <w:lang w:eastAsia="hr-HR"/>
        </w:rPr>
        <w:t>2</w:t>
      </w:r>
      <w:r w:rsidRPr="00206271">
        <w:rPr>
          <w:rFonts w:ascii="Times New Roman" w:eastAsia="Times New Roman" w:hAnsi="Times New Roman" w:cs="Times New Roman"/>
          <w:color w:val="1D2228"/>
          <w:sz w:val="20"/>
          <w:szCs w:val="20"/>
          <w:lang w:eastAsia="hr-HR"/>
        </w:rPr>
        <w:t>.2021.</w:t>
      </w:r>
      <w:bookmarkEnd w:id="195"/>
    </w:p>
    <w:p w14:paraId="46FB2C8C" w14:textId="77777777" w:rsidR="00F90F6F" w:rsidRDefault="00F90F6F" w:rsidP="00731C28">
      <w:pPr>
        <w:pStyle w:val="Tekstfusnote"/>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372733"/>
    <w:multiLevelType w:val="hybridMultilevel"/>
    <w:tmpl w:val="1E527B3A"/>
    <w:lvl w:ilvl="0" w:tplc="EB98C540">
      <w:start w:val="1"/>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86B31AA"/>
    <w:multiLevelType w:val="hybridMultilevel"/>
    <w:tmpl w:val="0EC62E2C"/>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C555648"/>
    <w:multiLevelType w:val="multilevel"/>
    <w:tmpl w:val="C1E03156"/>
    <w:lvl w:ilvl="0">
      <w:start w:val="1"/>
      <w:numFmt w:val="decimal"/>
      <w:lvlText w:val="%1."/>
      <w:lvlJc w:val="left"/>
      <w:pPr>
        <w:tabs>
          <w:tab w:val="num" w:pos="644"/>
        </w:tabs>
        <w:ind w:left="644" w:hanging="360"/>
      </w:pPr>
      <w:rPr>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0DF5FC6"/>
    <w:multiLevelType w:val="hybridMultilevel"/>
    <w:tmpl w:val="ED884226"/>
    <w:lvl w:ilvl="0" w:tplc="EB98C540">
      <w:start w:val="1"/>
      <w:numFmt w:val="bullet"/>
      <w:lvlText w:val="-"/>
      <w:lvlJc w:val="left"/>
      <w:pPr>
        <w:ind w:left="1080" w:hanging="360"/>
      </w:pPr>
      <w:rPr>
        <w:rFonts w:ascii="Calibri" w:eastAsiaTheme="minorHAnsi" w:hAnsi="Calibri" w:cs="Calibri"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4" w15:restartNumberingAfterBreak="0">
    <w:nsid w:val="128518F5"/>
    <w:multiLevelType w:val="hybridMultilevel"/>
    <w:tmpl w:val="8F3C9D30"/>
    <w:lvl w:ilvl="0" w:tplc="3B4A1066">
      <w:start w:val="144"/>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28D50AF"/>
    <w:multiLevelType w:val="hybridMultilevel"/>
    <w:tmpl w:val="074A062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38B5E7D"/>
    <w:multiLevelType w:val="hybridMultilevel"/>
    <w:tmpl w:val="7724FD7E"/>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71A713E"/>
    <w:multiLevelType w:val="hybridMultilevel"/>
    <w:tmpl w:val="604847F8"/>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17210D1E"/>
    <w:multiLevelType w:val="hybridMultilevel"/>
    <w:tmpl w:val="F4DAE084"/>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19766A88"/>
    <w:multiLevelType w:val="hybridMultilevel"/>
    <w:tmpl w:val="83EA265E"/>
    <w:lvl w:ilvl="0" w:tplc="EB98C540">
      <w:start w:val="1"/>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1A931D48"/>
    <w:multiLevelType w:val="hybridMultilevel"/>
    <w:tmpl w:val="0C34885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1D5F04F6"/>
    <w:multiLevelType w:val="hybridMultilevel"/>
    <w:tmpl w:val="FEBAD1AC"/>
    <w:lvl w:ilvl="0" w:tplc="EE8AE2E4">
      <w:numFmt w:val="bullet"/>
      <w:lvlText w:val="-"/>
      <w:lvlJc w:val="left"/>
      <w:pPr>
        <w:ind w:left="1080" w:hanging="360"/>
      </w:pPr>
      <w:rPr>
        <w:rFonts w:ascii="Times New Roman" w:eastAsia="Times New Roman" w:hAnsi="Times New Roman" w:cs="Times New Roman" w:hint="default"/>
        <w:b w:val="0"/>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2" w15:restartNumberingAfterBreak="0">
    <w:nsid w:val="1EE03E12"/>
    <w:multiLevelType w:val="hybridMultilevel"/>
    <w:tmpl w:val="06A417E0"/>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1EFB4817"/>
    <w:multiLevelType w:val="hybridMultilevel"/>
    <w:tmpl w:val="BBA075EC"/>
    <w:lvl w:ilvl="0" w:tplc="A664DE82">
      <w:start w:val="16"/>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206751BC"/>
    <w:multiLevelType w:val="hybridMultilevel"/>
    <w:tmpl w:val="6928ACE0"/>
    <w:lvl w:ilvl="0" w:tplc="41A60DF2">
      <w:start w:val="1"/>
      <w:numFmt w:val="decimal"/>
      <w:lvlText w:val="(%1)"/>
      <w:lvlJc w:val="left"/>
      <w:pPr>
        <w:ind w:left="720" w:hanging="360"/>
      </w:pPr>
      <w:rPr>
        <w:rFonts w:eastAsia="Times New Roman"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206E455E"/>
    <w:multiLevelType w:val="hybridMultilevel"/>
    <w:tmpl w:val="5D88B4E6"/>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20B87418"/>
    <w:multiLevelType w:val="hybridMultilevel"/>
    <w:tmpl w:val="1E94673A"/>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22D8710D"/>
    <w:multiLevelType w:val="hybridMultilevel"/>
    <w:tmpl w:val="899827C8"/>
    <w:lvl w:ilvl="0" w:tplc="EB98C540">
      <w:start w:val="1"/>
      <w:numFmt w:val="bullet"/>
      <w:lvlText w:val="-"/>
      <w:lvlJc w:val="left"/>
      <w:pPr>
        <w:ind w:left="1080" w:hanging="360"/>
      </w:pPr>
      <w:rPr>
        <w:rFonts w:ascii="Calibri" w:eastAsiaTheme="minorHAnsi" w:hAnsi="Calibri" w:cs="Calibri"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8" w15:restartNumberingAfterBreak="0">
    <w:nsid w:val="263B6369"/>
    <w:multiLevelType w:val="hybridMultilevel"/>
    <w:tmpl w:val="1038916C"/>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303058DB"/>
    <w:multiLevelType w:val="hybridMultilevel"/>
    <w:tmpl w:val="E5569790"/>
    <w:lvl w:ilvl="0" w:tplc="AD52972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33E04DFC"/>
    <w:multiLevelType w:val="hybridMultilevel"/>
    <w:tmpl w:val="C48849D2"/>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34364111"/>
    <w:multiLevelType w:val="hybridMultilevel"/>
    <w:tmpl w:val="FDDC8682"/>
    <w:lvl w:ilvl="0" w:tplc="E1D0A07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34D33D33"/>
    <w:multiLevelType w:val="hybridMultilevel"/>
    <w:tmpl w:val="455890CE"/>
    <w:lvl w:ilvl="0" w:tplc="83C21CF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391F278F"/>
    <w:multiLevelType w:val="hybridMultilevel"/>
    <w:tmpl w:val="A3A68A42"/>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404854CE"/>
    <w:multiLevelType w:val="hybridMultilevel"/>
    <w:tmpl w:val="B0787AF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40DC70E5"/>
    <w:multiLevelType w:val="hybridMultilevel"/>
    <w:tmpl w:val="AEB0320A"/>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42661445"/>
    <w:multiLevelType w:val="hybridMultilevel"/>
    <w:tmpl w:val="BE66F756"/>
    <w:lvl w:ilvl="0" w:tplc="EB98C540">
      <w:start w:val="1"/>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45255B55"/>
    <w:multiLevelType w:val="hybridMultilevel"/>
    <w:tmpl w:val="2B54B892"/>
    <w:lvl w:ilvl="0" w:tplc="EB98C540">
      <w:start w:val="1"/>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45D82D35"/>
    <w:multiLevelType w:val="hybridMultilevel"/>
    <w:tmpl w:val="F7FABE84"/>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496C7B2E"/>
    <w:multiLevelType w:val="hybridMultilevel"/>
    <w:tmpl w:val="C924FAE4"/>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5115496D"/>
    <w:multiLevelType w:val="hybridMultilevel"/>
    <w:tmpl w:val="9FD683F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51C819DC"/>
    <w:multiLevelType w:val="hybridMultilevel"/>
    <w:tmpl w:val="91DAC3B8"/>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52887600"/>
    <w:multiLevelType w:val="hybridMultilevel"/>
    <w:tmpl w:val="DF6E2E30"/>
    <w:lvl w:ilvl="0" w:tplc="7128A378">
      <w:start w:val="1"/>
      <w:numFmt w:val="lowerLetter"/>
      <w:lvlText w:val="%1)"/>
      <w:lvlJc w:val="left"/>
      <w:pPr>
        <w:ind w:left="720" w:hanging="360"/>
      </w:pPr>
      <w:rPr>
        <w:rFonts w:ascii="Times New Roman" w:eastAsia="Times New Roman" w:hAnsi="Times New Roman" w:cs="Times New Roman"/>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15:restartNumberingAfterBreak="0">
    <w:nsid w:val="549E726C"/>
    <w:multiLevelType w:val="hybridMultilevel"/>
    <w:tmpl w:val="F6E2EFB2"/>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15:restartNumberingAfterBreak="0">
    <w:nsid w:val="57220807"/>
    <w:multiLevelType w:val="hybridMultilevel"/>
    <w:tmpl w:val="000E5CF0"/>
    <w:lvl w:ilvl="0" w:tplc="9C24AF34">
      <w:start w:val="2020"/>
      <w:numFmt w:val="bullet"/>
      <w:lvlText w:val="-"/>
      <w:lvlJc w:val="left"/>
      <w:pPr>
        <w:ind w:left="720" w:hanging="360"/>
      </w:pPr>
      <w:rPr>
        <w:rFonts w:ascii="Times New Roman" w:eastAsiaTheme="minorHAnsi" w:hAnsi="Times New Roman" w:cs="Times New Roman" w:hint="default"/>
        <w:sz w:val="24"/>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15:restartNumberingAfterBreak="0">
    <w:nsid w:val="59C77D9C"/>
    <w:multiLevelType w:val="hybridMultilevel"/>
    <w:tmpl w:val="4BE036A4"/>
    <w:lvl w:ilvl="0" w:tplc="EB98C540">
      <w:start w:val="1"/>
      <w:numFmt w:val="bullet"/>
      <w:lvlText w:val="-"/>
      <w:lvlJc w:val="left"/>
      <w:pPr>
        <w:ind w:left="720" w:hanging="360"/>
      </w:pPr>
      <w:rPr>
        <w:rFonts w:ascii="Calibri" w:eastAsiaTheme="minorHAnsi" w:hAnsi="Calibri" w:cs="Calibri"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15:restartNumberingAfterBreak="0">
    <w:nsid w:val="5AE13EF8"/>
    <w:multiLevelType w:val="hybridMultilevel"/>
    <w:tmpl w:val="C8340A18"/>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7" w15:restartNumberingAfterBreak="0">
    <w:nsid w:val="5B2B52A4"/>
    <w:multiLevelType w:val="hybridMultilevel"/>
    <w:tmpl w:val="A3568F9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8" w15:restartNumberingAfterBreak="0">
    <w:nsid w:val="5B702865"/>
    <w:multiLevelType w:val="hybridMultilevel"/>
    <w:tmpl w:val="AF246E9A"/>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9" w15:restartNumberingAfterBreak="0">
    <w:nsid w:val="5FF224E7"/>
    <w:multiLevelType w:val="hybridMultilevel"/>
    <w:tmpl w:val="44500B8C"/>
    <w:lvl w:ilvl="0" w:tplc="8ED623DE">
      <w:start w:val="2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0" w15:restartNumberingAfterBreak="0">
    <w:nsid w:val="607E7B0F"/>
    <w:multiLevelType w:val="hybridMultilevel"/>
    <w:tmpl w:val="8C365EFE"/>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1" w15:restartNumberingAfterBreak="0">
    <w:nsid w:val="61107EE6"/>
    <w:multiLevelType w:val="hybridMultilevel"/>
    <w:tmpl w:val="16A2A9C4"/>
    <w:lvl w:ilvl="0" w:tplc="EB98C540">
      <w:start w:val="1"/>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2" w15:restartNumberingAfterBreak="0">
    <w:nsid w:val="67697509"/>
    <w:multiLevelType w:val="hybridMultilevel"/>
    <w:tmpl w:val="3B082C6C"/>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3" w15:restartNumberingAfterBreak="0">
    <w:nsid w:val="71755A4F"/>
    <w:multiLevelType w:val="hybridMultilevel"/>
    <w:tmpl w:val="BC6E39BC"/>
    <w:lvl w:ilvl="0" w:tplc="A664DE82">
      <w:start w:val="16"/>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4" w15:restartNumberingAfterBreak="0">
    <w:nsid w:val="74523B98"/>
    <w:multiLevelType w:val="hybridMultilevel"/>
    <w:tmpl w:val="E6446686"/>
    <w:lvl w:ilvl="0" w:tplc="1EF4FC0A">
      <w:numFmt w:val="bulle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45" w15:restartNumberingAfterBreak="0">
    <w:nsid w:val="75254FD7"/>
    <w:multiLevelType w:val="hybridMultilevel"/>
    <w:tmpl w:val="BD46CCF8"/>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6" w15:restartNumberingAfterBreak="0">
    <w:nsid w:val="76AE411A"/>
    <w:multiLevelType w:val="hybridMultilevel"/>
    <w:tmpl w:val="78F81CD8"/>
    <w:lvl w:ilvl="0" w:tplc="8570A19E">
      <w:start w:val="1"/>
      <w:numFmt w:val="decimal"/>
      <w:lvlText w:val="(%1)"/>
      <w:lvlJc w:val="left"/>
      <w:pPr>
        <w:ind w:left="2629"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7" w15:restartNumberingAfterBreak="0">
    <w:nsid w:val="779D0EB4"/>
    <w:multiLevelType w:val="hybridMultilevel"/>
    <w:tmpl w:val="6706BFE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8" w15:restartNumberingAfterBreak="0">
    <w:nsid w:val="78C6051C"/>
    <w:multiLevelType w:val="hybridMultilevel"/>
    <w:tmpl w:val="6AE07012"/>
    <w:lvl w:ilvl="0" w:tplc="EB98C540">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97E2B51"/>
    <w:multiLevelType w:val="hybridMultilevel"/>
    <w:tmpl w:val="C0BEEC20"/>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0" w15:restartNumberingAfterBreak="0">
    <w:nsid w:val="7AF72965"/>
    <w:multiLevelType w:val="hybridMultilevel"/>
    <w:tmpl w:val="85743210"/>
    <w:lvl w:ilvl="0" w:tplc="EB98C540">
      <w:start w:val="1"/>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1" w15:restartNumberingAfterBreak="0">
    <w:nsid w:val="7C1043AB"/>
    <w:multiLevelType w:val="hybridMultilevel"/>
    <w:tmpl w:val="89C0F03A"/>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2" w15:restartNumberingAfterBreak="0">
    <w:nsid w:val="7E710E60"/>
    <w:multiLevelType w:val="hybridMultilevel"/>
    <w:tmpl w:val="08B2FAD8"/>
    <w:lvl w:ilvl="0" w:tplc="CEDEDB66">
      <w:start w:val="1"/>
      <w:numFmt w:val="lowerLetter"/>
      <w:lvlText w:val="%1)"/>
      <w:lvlJc w:val="left"/>
      <w:pPr>
        <w:ind w:left="720" w:hanging="360"/>
      </w:pPr>
      <w:rPr>
        <w:rFonts w:hint="default"/>
        <w:b/>
        <w:bCs/>
      </w:rPr>
    </w:lvl>
    <w:lvl w:ilvl="1" w:tplc="B952F62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4"/>
  </w:num>
  <w:num w:numId="2">
    <w:abstractNumId w:val="2"/>
  </w:num>
  <w:num w:numId="3">
    <w:abstractNumId w:val="0"/>
  </w:num>
  <w:num w:numId="4">
    <w:abstractNumId w:val="43"/>
  </w:num>
  <w:num w:numId="5">
    <w:abstractNumId w:val="41"/>
  </w:num>
  <w:num w:numId="6">
    <w:abstractNumId w:val="50"/>
  </w:num>
  <w:num w:numId="7">
    <w:abstractNumId w:val="27"/>
  </w:num>
  <w:num w:numId="8">
    <w:abstractNumId w:val="19"/>
  </w:num>
  <w:num w:numId="9">
    <w:abstractNumId w:val="30"/>
  </w:num>
  <w:num w:numId="10">
    <w:abstractNumId w:val="5"/>
  </w:num>
  <w:num w:numId="11">
    <w:abstractNumId w:val="10"/>
  </w:num>
  <w:num w:numId="12">
    <w:abstractNumId w:val="37"/>
  </w:num>
  <w:num w:numId="13">
    <w:abstractNumId w:val="39"/>
  </w:num>
  <w:num w:numId="14">
    <w:abstractNumId w:val="52"/>
  </w:num>
  <w:num w:numId="15">
    <w:abstractNumId w:val="11"/>
  </w:num>
  <w:num w:numId="16">
    <w:abstractNumId w:val="17"/>
  </w:num>
  <w:num w:numId="17">
    <w:abstractNumId w:val="3"/>
  </w:num>
  <w:num w:numId="18">
    <w:abstractNumId w:val="48"/>
  </w:num>
  <w:num w:numId="19">
    <w:abstractNumId w:val="35"/>
  </w:num>
  <w:num w:numId="20">
    <w:abstractNumId w:val="47"/>
  </w:num>
  <w:num w:numId="21">
    <w:abstractNumId w:val="34"/>
  </w:num>
  <w:num w:numId="22">
    <w:abstractNumId w:val="26"/>
  </w:num>
  <w:num w:numId="23">
    <w:abstractNumId w:val="13"/>
  </w:num>
  <w:num w:numId="24">
    <w:abstractNumId w:val="44"/>
  </w:num>
  <w:num w:numId="25">
    <w:abstractNumId w:val="22"/>
  </w:num>
  <w:num w:numId="26">
    <w:abstractNumId w:val="4"/>
  </w:num>
  <w:num w:numId="27">
    <w:abstractNumId w:val="46"/>
  </w:num>
  <w:num w:numId="28">
    <w:abstractNumId w:val="9"/>
  </w:num>
  <w:num w:numId="29">
    <w:abstractNumId w:val="14"/>
  </w:num>
  <w:num w:numId="30">
    <w:abstractNumId w:val="32"/>
  </w:num>
  <w:num w:numId="31">
    <w:abstractNumId w:val="20"/>
  </w:num>
  <w:num w:numId="32">
    <w:abstractNumId w:val="12"/>
  </w:num>
  <w:num w:numId="33">
    <w:abstractNumId w:val="6"/>
  </w:num>
  <w:num w:numId="34">
    <w:abstractNumId w:val="8"/>
  </w:num>
  <w:num w:numId="35">
    <w:abstractNumId w:val="42"/>
  </w:num>
  <w:num w:numId="36">
    <w:abstractNumId w:val="33"/>
  </w:num>
  <w:num w:numId="37">
    <w:abstractNumId w:val="18"/>
  </w:num>
  <w:num w:numId="38">
    <w:abstractNumId w:val="25"/>
  </w:num>
  <w:num w:numId="39">
    <w:abstractNumId w:val="7"/>
  </w:num>
  <w:num w:numId="40">
    <w:abstractNumId w:val="36"/>
  </w:num>
  <w:num w:numId="41">
    <w:abstractNumId w:val="23"/>
  </w:num>
  <w:num w:numId="42">
    <w:abstractNumId w:val="31"/>
  </w:num>
  <w:num w:numId="43">
    <w:abstractNumId w:val="51"/>
  </w:num>
  <w:num w:numId="44">
    <w:abstractNumId w:val="1"/>
  </w:num>
  <w:num w:numId="45">
    <w:abstractNumId w:val="40"/>
  </w:num>
  <w:num w:numId="46">
    <w:abstractNumId w:val="16"/>
  </w:num>
  <w:num w:numId="47">
    <w:abstractNumId w:val="38"/>
  </w:num>
  <w:num w:numId="48">
    <w:abstractNumId w:val="49"/>
  </w:num>
  <w:num w:numId="49">
    <w:abstractNumId w:val="45"/>
  </w:num>
  <w:num w:numId="50">
    <w:abstractNumId w:val="28"/>
  </w:num>
  <w:num w:numId="51">
    <w:abstractNumId w:val="15"/>
  </w:num>
  <w:num w:numId="52">
    <w:abstractNumId w:val="29"/>
  </w:num>
  <w:num w:numId="53">
    <w:abstractNumId w:val="21"/>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42B4"/>
    <w:rsid w:val="000003D7"/>
    <w:rsid w:val="00005A91"/>
    <w:rsid w:val="000104D5"/>
    <w:rsid w:val="00016F52"/>
    <w:rsid w:val="00020FD4"/>
    <w:rsid w:val="00021374"/>
    <w:rsid w:val="000230C6"/>
    <w:rsid w:val="00026137"/>
    <w:rsid w:val="000271A1"/>
    <w:rsid w:val="000372D0"/>
    <w:rsid w:val="000375CF"/>
    <w:rsid w:val="00045661"/>
    <w:rsid w:val="000473BE"/>
    <w:rsid w:val="0004763D"/>
    <w:rsid w:val="0004780B"/>
    <w:rsid w:val="00050E37"/>
    <w:rsid w:val="00052F75"/>
    <w:rsid w:val="0005491F"/>
    <w:rsid w:val="00061543"/>
    <w:rsid w:val="0006272E"/>
    <w:rsid w:val="00063C6C"/>
    <w:rsid w:val="00065EE4"/>
    <w:rsid w:val="000668E0"/>
    <w:rsid w:val="000669FC"/>
    <w:rsid w:val="0006777C"/>
    <w:rsid w:val="00067D5D"/>
    <w:rsid w:val="00080174"/>
    <w:rsid w:val="000807E9"/>
    <w:rsid w:val="00082083"/>
    <w:rsid w:val="000850C0"/>
    <w:rsid w:val="0008667D"/>
    <w:rsid w:val="000A0489"/>
    <w:rsid w:val="000A056C"/>
    <w:rsid w:val="000A71CC"/>
    <w:rsid w:val="000B1AEB"/>
    <w:rsid w:val="000B2898"/>
    <w:rsid w:val="000B40BF"/>
    <w:rsid w:val="000B5AD8"/>
    <w:rsid w:val="000C105D"/>
    <w:rsid w:val="000C26EB"/>
    <w:rsid w:val="000D04A8"/>
    <w:rsid w:val="000D10DB"/>
    <w:rsid w:val="000D4272"/>
    <w:rsid w:val="000D4976"/>
    <w:rsid w:val="000E1927"/>
    <w:rsid w:val="000E27C1"/>
    <w:rsid w:val="000E300E"/>
    <w:rsid w:val="000E51D4"/>
    <w:rsid w:val="000E6B09"/>
    <w:rsid w:val="000E78B3"/>
    <w:rsid w:val="000F0587"/>
    <w:rsid w:val="000F3ADF"/>
    <w:rsid w:val="000F4199"/>
    <w:rsid w:val="000F5353"/>
    <w:rsid w:val="000F633C"/>
    <w:rsid w:val="000F7A1B"/>
    <w:rsid w:val="00102C9B"/>
    <w:rsid w:val="001034BD"/>
    <w:rsid w:val="00105A79"/>
    <w:rsid w:val="00107603"/>
    <w:rsid w:val="00112475"/>
    <w:rsid w:val="00116AB4"/>
    <w:rsid w:val="00123F11"/>
    <w:rsid w:val="00124557"/>
    <w:rsid w:val="00125286"/>
    <w:rsid w:val="00127C14"/>
    <w:rsid w:val="00130CD9"/>
    <w:rsid w:val="00134AF0"/>
    <w:rsid w:val="00135293"/>
    <w:rsid w:val="00136EBA"/>
    <w:rsid w:val="001418CC"/>
    <w:rsid w:val="001425EC"/>
    <w:rsid w:val="00143D70"/>
    <w:rsid w:val="00143E1F"/>
    <w:rsid w:val="001549BB"/>
    <w:rsid w:val="001627A7"/>
    <w:rsid w:val="001640AC"/>
    <w:rsid w:val="00165789"/>
    <w:rsid w:val="00165ACF"/>
    <w:rsid w:val="00165D3A"/>
    <w:rsid w:val="00165DDE"/>
    <w:rsid w:val="00166F10"/>
    <w:rsid w:val="00170665"/>
    <w:rsid w:val="001718DE"/>
    <w:rsid w:val="001752B7"/>
    <w:rsid w:val="001756D4"/>
    <w:rsid w:val="00177CFE"/>
    <w:rsid w:val="001853AF"/>
    <w:rsid w:val="00193086"/>
    <w:rsid w:val="00194770"/>
    <w:rsid w:val="00197F8E"/>
    <w:rsid w:val="001A157D"/>
    <w:rsid w:val="001A1831"/>
    <w:rsid w:val="001A2F17"/>
    <w:rsid w:val="001B1632"/>
    <w:rsid w:val="001C25D6"/>
    <w:rsid w:val="001C53E0"/>
    <w:rsid w:val="001D2693"/>
    <w:rsid w:val="001D480C"/>
    <w:rsid w:val="001D4F08"/>
    <w:rsid w:val="001D71EE"/>
    <w:rsid w:val="001E4158"/>
    <w:rsid w:val="001E7571"/>
    <w:rsid w:val="001F249A"/>
    <w:rsid w:val="001F3EE6"/>
    <w:rsid w:val="002058DC"/>
    <w:rsid w:val="00220064"/>
    <w:rsid w:val="00221CBC"/>
    <w:rsid w:val="0022259C"/>
    <w:rsid w:val="00222BD9"/>
    <w:rsid w:val="00223969"/>
    <w:rsid w:val="00224B91"/>
    <w:rsid w:val="0024007F"/>
    <w:rsid w:val="00252AFF"/>
    <w:rsid w:val="00253347"/>
    <w:rsid w:val="002619DE"/>
    <w:rsid w:val="00267A11"/>
    <w:rsid w:val="002746D0"/>
    <w:rsid w:val="00275A12"/>
    <w:rsid w:val="00277AB4"/>
    <w:rsid w:val="002851D9"/>
    <w:rsid w:val="002854A8"/>
    <w:rsid w:val="002860B5"/>
    <w:rsid w:val="00290A71"/>
    <w:rsid w:val="00290E7D"/>
    <w:rsid w:val="00291E7D"/>
    <w:rsid w:val="00295D36"/>
    <w:rsid w:val="00295D9C"/>
    <w:rsid w:val="00297AD3"/>
    <w:rsid w:val="002A0CF6"/>
    <w:rsid w:val="002A43F0"/>
    <w:rsid w:val="002A590A"/>
    <w:rsid w:val="002B1DFD"/>
    <w:rsid w:val="002B233F"/>
    <w:rsid w:val="002B2FDF"/>
    <w:rsid w:val="002B36F5"/>
    <w:rsid w:val="002C2CF2"/>
    <w:rsid w:val="002C7FD2"/>
    <w:rsid w:val="002D4058"/>
    <w:rsid w:val="002E532D"/>
    <w:rsid w:val="002E64E7"/>
    <w:rsid w:val="002F0F97"/>
    <w:rsid w:val="002F2333"/>
    <w:rsid w:val="002F3481"/>
    <w:rsid w:val="002F7D25"/>
    <w:rsid w:val="003018F7"/>
    <w:rsid w:val="00301F5C"/>
    <w:rsid w:val="00307154"/>
    <w:rsid w:val="00312948"/>
    <w:rsid w:val="00314BFA"/>
    <w:rsid w:val="00317144"/>
    <w:rsid w:val="00324253"/>
    <w:rsid w:val="00324CDF"/>
    <w:rsid w:val="00330F42"/>
    <w:rsid w:val="00332E74"/>
    <w:rsid w:val="00334EF0"/>
    <w:rsid w:val="003372DE"/>
    <w:rsid w:val="003379F5"/>
    <w:rsid w:val="00337D47"/>
    <w:rsid w:val="00341760"/>
    <w:rsid w:val="00342BDF"/>
    <w:rsid w:val="003469A3"/>
    <w:rsid w:val="00346FB3"/>
    <w:rsid w:val="00352416"/>
    <w:rsid w:val="003527D7"/>
    <w:rsid w:val="003559A0"/>
    <w:rsid w:val="00356EB7"/>
    <w:rsid w:val="00361CE7"/>
    <w:rsid w:val="00364A79"/>
    <w:rsid w:val="00367819"/>
    <w:rsid w:val="00373958"/>
    <w:rsid w:val="00383A62"/>
    <w:rsid w:val="003855C7"/>
    <w:rsid w:val="003859A3"/>
    <w:rsid w:val="003917C4"/>
    <w:rsid w:val="003928C4"/>
    <w:rsid w:val="003949CD"/>
    <w:rsid w:val="003A11B8"/>
    <w:rsid w:val="003A2E30"/>
    <w:rsid w:val="003A4E5C"/>
    <w:rsid w:val="003B1D7E"/>
    <w:rsid w:val="003B25FE"/>
    <w:rsid w:val="003B5A98"/>
    <w:rsid w:val="003C2AFB"/>
    <w:rsid w:val="003C6BFE"/>
    <w:rsid w:val="003D0C85"/>
    <w:rsid w:val="003D0DF7"/>
    <w:rsid w:val="003D6A45"/>
    <w:rsid w:val="003D6D2D"/>
    <w:rsid w:val="003E11F7"/>
    <w:rsid w:val="003E2C7F"/>
    <w:rsid w:val="003E3406"/>
    <w:rsid w:val="003E441B"/>
    <w:rsid w:val="003F3790"/>
    <w:rsid w:val="003F794C"/>
    <w:rsid w:val="00402DE5"/>
    <w:rsid w:val="00402E47"/>
    <w:rsid w:val="00406568"/>
    <w:rsid w:val="00412BEE"/>
    <w:rsid w:val="00417016"/>
    <w:rsid w:val="0042056A"/>
    <w:rsid w:val="00422F7A"/>
    <w:rsid w:val="00423475"/>
    <w:rsid w:val="00425F40"/>
    <w:rsid w:val="00427215"/>
    <w:rsid w:val="00427CC4"/>
    <w:rsid w:val="00430714"/>
    <w:rsid w:val="00432C0B"/>
    <w:rsid w:val="00433528"/>
    <w:rsid w:val="00433D32"/>
    <w:rsid w:val="00434B5C"/>
    <w:rsid w:val="00447BE7"/>
    <w:rsid w:val="00450601"/>
    <w:rsid w:val="004566A6"/>
    <w:rsid w:val="0046169C"/>
    <w:rsid w:val="00463D2C"/>
    <w:rsid w:val="00464071"/>
    <w:rsid w:val="00472CB4"/>
    <w:rsid w:val="00473C13"/>
    <w:rsid w:val="004758F0"/>
    <w:rsid w:val="00476AFF"/>
    <w:rsid w:val="0048095B"/>
    <w:rsid w:val="0048145B"/>
    <w:rsid w:val="00481715"/>
    <w:rsid w:val="00486C7D"/>
    <w:rsid w:val="004870E5"/>
    <w:rsid w:val="00487D03"/>
    <w:rsid w:val="0049170B"/>
    <w:rsid w:val="00491E3C"/>
    <w:rsid w:val="0049300D"/>
    <w:rsid w:val="0049430C"/>
    <w:rsid w:val="004A452C"/>
    <w:rsid w:val="004B03CB"/>
    <w:rsid w:val="004C1233"/>
    <w:rsid w:val="004C24B4"/>
    <w:rsid w:val="004C304F"/>
    <w:rsid w:val="004C4588"/>
    <w:rsid w:val="004C4C30"/>
    <w:rsid w:val="004C716D"/>
    <w:rsid w:val="004C76C3"/>
    <w:rsid w:val="004D3E1A"/>
    <w:rsid w:val="004E25B9"/>
    <w:rsid w:val="004E5EF2"/>
    <w:rsid w:val="004E6F1B"/>
    <w:rsid w:val="004F55BA"/>
    <w:rsid w:val="004F7B6D"/>
    <w:rsid w:val="004F7D71"/>
    <w:rsid w:val="00500396"/>
    <w:rsid w:val="005025DA"/>
    <w:rsid w:val="005064CA"/>
    <w:rsid w:val="00515050"/>
    <w:rsid w:val="00516771"/>
    <w:rsid w:val="00516773"/>
    <w:rsid w:val="00516B6E"/>
    <w:rsid w:val="00520874"/>
    <w:rsid w:val="00526066"/>
    <w:rsid w:val="00527A6F"/>
    <w:rsid w:val="00530DEB"/>
    <w:rsid w:val="00531C6F"/>
    <w:rsid w:val="005329A6"/>
    <w:rsid w:val="00535896"/>
    <w:rsid w:val="00537F88"/>
    <w:rsid w:val="00541212"/>
    <w:rsid w:val="00541503"/>
    <w:rsid w:val="00543599"/>
    <w:rsid w:val="00543648"/>
    <w:rsid w:val="00547798"/>
    <w:rsid w:val="005512A2"/>
    <w:rsid w:val="005532C8"/>
    <w:rsid w:val="00557966"/>
    <w:rsid w:val="00561F9D"/>
    <w:rsid w:val="0056357E"/>
    <w:rsid w:val="00563A51"/>
    <w:rsid w:val="005746EC"/>
    <w:rsid w:val="005773C9"/>
    <w:rsid w:val="00577993"/>
    <w:rsid w:val="00580A73"/>
    <w:rsid w:val="005812DC"/>
    <w:rsid w:val="005813CC"/>
    <w:rsid w:val="005867F3"/>
    <w:rsid w:val="0059046C"/>
    <w:rsid w:val="00592967"/>
    <w:rsid w:val="00596018"/>
    <w:rsid w:val="005975A6"/>
    <w:rsid w:val="00597F9F"/>
    <w:rsid w:val="005A2271"/>
    <w:rsid w:val="005A3CBA"/>
    <w:rsid w:val="005A4655"/>
    <w:rsid w:val="005A5609"/>
    <w:rsid w:val="005A5C2B"/>
    <w:rsid w:val="005B0217"/>
    <w:rsid w:val="005B2251"/>
    <w:rsid w:val="005B3DE8"/>
    <w:rsid w:val="005B681C"/>
    <w:rsid w:val="005B6A44"/>
    <w:rsid w:val="005B6BF6"/>
    <w:rsid w:val="005B7FBC"/>
    <w:rsid w:val="005D1AFE"/>
    <w:rsid w:val="005D1F13"/>
    <w:rsid w:val="005D2A6A"/>
    <w:rsid w:val="005D72CB"/>
    <w:rsid w:val="005E29E8"/>
    <w:rsid w:val="005E4D6E"/>
    <w:rsid w:val="005E5ED8"/>
    <w:rsid w:val="005E671C"/>
    <w:rsid w:val="005E7625"/>
    <w:rsid w:val="005F0AC5"/>
    <w:rsid w:val="005F17B9"/>
    <w:rsid w:val="005F3233"/>
    <w:rsid w:val="005F3FDE"/>
    <w:rsid w:val="005F4503"/>
    <w:rsid w:val="005F6ECF"/>
    <w:rsid w:val="0060179E"/>
    <w:rsid w:val="00601E8F"/>
    <w:rsid w:val="006035C9"/>
    <w:rsid w:val="00604E80"/>
    <w:rsid w:val="006058C0"/>
    <w:rsid w:val="00607B9D"/>
    <w:rsid w:val="00607EE6"/>
    <w:rsid w:val="006125EA"/>
    <w:rsid w:val="0061290F"/>
    <w:rsid w:val="00615BCD"/>
    <w:rsid w:val="00616D30"/>
    <w:rsid w:val="0062106A"/>
    <w:rsid w:val="00621E7F"/>
    <w:rsid w:val="00622306"/>
    <w:rsid w:val="00625703"/>
    <w:rsid w:val="00625BDF"/>
    <w:rsid w:val="00626773"/>
    <w:rsid w:val="00630F1A"/>
    <w:rsid w:val="00633B72"/>
    <w:rsid w:val="00635929"/>
    <w:rsid w:val="00636078"/>
    <w:rsid w:val="006366FE"/>
    <w:rsid w:val="00637EE2"/>
    <w:rsid w:val="0064362A"/>
    <w:rsid w:val="00645601"/>
    <w:rsid w:val="00645DA3"/>
    <w:rsid w:val="00646BF6"/>
    <w:rsid w:val="00655E9A"/>
    <w:rsid w:val="00656C67"/>
    <w:rsid w:val="00657223"/>
    <w:rsid w:val="00662AB4"/>
    <w:rsid w:val="00663466"/>
    <w:rsid w:val="00663EB2"/>
    <w:rsid w:val="00665817"/>
    <w:rsid w:val="00667CB6"/>
    <w:rsid w:val="00671891"/>
    <w:rsid w:val="006723DC"/>
    <w:rsid w:val="00672D95"/>
    <w:rsid w:val="00673A59"/>
    <w:rsid w:val="00675F7B"/>
    <w:rsid w:val="00676B78"/>
    <w:rsid w:val="00681844"/>
    <w:rsid w:val="0068196D"/>
    <w:rsid w:val="00682594"/>
    <w:rsid w:val="00684125"/>
    <w:rsid w:val="00687285"/>
    <w:rsid w:val="00687656"/>
    <w:rsid w:val="00687A3A"/>
    <w:rsid w:val="00687FE4"/>
    <w:rsid w:val="006910F9"/>
    <w:rsid w:val="006A2397"/>
    <w:rsid w:val="006A7EAC"/>
    <w:rsid w:val="006A7F11"/>
    <w:rsid w:val="006B381E"/>
    <w:rsid w:val="006B5133"/>
    <w:rsid w:val="006B51CB"/>
    <w:rsid w:val="006C31AA"/>
    <w:rsid w:val="006D2078"/>
    <w:rsid w:val="006D2708"/>
    <w:rsid w:val="006D30D3"/>
    <w:rsid w:val="006D5A3A"/>
    <w:rsid w:val="006E0E24"/>
    <w:rsid w:val="006E400A"/>
    <w:rsid w:val="006E7142"/>
    <w:rsid w:val="006F05AC"/>
    <w:rsid w:val="006F5371"/>
    <w:rsid w:val="006F5AE7"/>
    <w:rsid w:val="006F65E4"/>
    <w:rsid w:val="006F68A1"/>
    <w:rsid w:val="00702F09"/>
    <w:rsid w:val="00713D5B"/>
    <w:rsid w:val="00716538"/>
    <w:rsid w:val="007213AB"/>
    <w:rsid w:val="00722A67"/>
    <w:rsid w:val="00726B23"/>
    <w:rsid w:val="00727AA6"/>
    <w:rsid w:val="007312BC"/>
    <w:rsid w:val="00731C28"/>
    <w:rsid w:val="00733552"/>
    <w:rsid w:val="00733B69"/>
    <w:rsid w:val="007369EA"/>
    <w:rsid w:val="007406E2"/>
    <w:rsid w:val="00740797"/>
    <w:rsid w:val="00740AD7"/>
    <w:rsid w:val="00741C3F"/>
    <w:rsid w:val="0074637B"/>
    <w:rsid w:val="00746D2C"/>
    <w:rsid w:val="00747B61"/>
    <w:rsid w:val="00757760"/>
    <w:rsid w:val="007610C7"/>
    <w:rsid w:val="007615F0"/>
    <w:rsid w:val="007653DF"/>
    <w:rsid w:val="0076691C"/>
    <w:rsid w:val="0076793B"/>
    <w:rsid w:val="00771A3F"/>
    <w:rsid w:val="00775A3C"/>
    <w:rsid w:val="007761EC"/>
    <w:rsid w:val="0078259C"/>
    <w:rsid w:val="007843FE"/>
    <w:rsid w:val="00784F82"/>
    <w:rsid w:val="00790AD0"/>
    <w:rsid w:val="007934F8"/>
    <w:rsid w:val="0079429B"/>
    <w:rsid w:val="0079433B"/>
    <w:rsid w:val="00795842"/>
    <w:rsid w:val="007973A7"/>
    <w:rsid w:val="007A5844"/>
    <w:rsid w:val="007A6A4D"/>
    <w:rsid w:val="007B5A8D"/>
    <w:rsid w:val="007C1BCA"/>
    <w:rsid w:val="007C222B"/>
    <w:rsid w:val="007D0DA2"/>
    <w:rsid w:val="007D57E3"/>
    <w:rsid w:val="007E2D03"/>
    <w:rsid w:val="007E4494"/>
    <w:rsid w:val="007E61FB"/>
    <w:rsid w:val="007E7DC0"/>
    <w:rsid w:val="007F0A1E"/>
    <w:rsid w:val="007F47D7"/>
    <w:rsid w:val="007F4C71"/>
    <w:rsid w:val="007F5E7D"/>
    <w:rsid w:val="007F7030"/>
    <w:rsid w:val="0080028A"/>
    <w:rsid w:val="00804A9F"/>
    <w:rsid w:val="008051D6"/>
    <w:rsid w:val="00810631"/>
    <w:rsid w:val="00812507"/>
    <w:rsid w:val="00813E1C"/>
    <w:rsid w:val="00816216"/>
    <w:rsid w:val="00816ECB"/>
    <w:rsid w:val="0082049D"/>
    <w:rsid w:val="00822D16"/>
    <w:rsid w:val="00822E2D"/>
    <w:rsid w:val="00823A52"/>
    <w:rsid w:val="00830F31"/>
    <w:rsid w:val="008348B2"/>
    <w:rsid w:val="00836C33"/>
    <w:rsid w:val="00837E76"/>
    <w:rsid w:val="008410E8"/>
    <w:rsid w:val="00841E47"/>
    <w:rsid w:val="00842D85"/>
    <w:rsid w:val="00844698"/>
    <w:rsid w:val="008463B8"/>
    <w:rsid w:val="00847112"/>
    <w:rsid w:val="00847936"/>
    <w:rsid w:val="00852CE4"/>
    <w:rsid w:val="00853B60"/>
    <w:rsid w:val="00860217"/>
    <w:rsid w:val="00860CC0"/>
    <w:rsid w:val="008613AE"/>
    <w:rsid w:val="008720D4"/>
    <w:rsid w:val="00884598"/>
    <w:rsid w:val="008847F9"/>
    <w:rsid w:val="00885B0C"/>
    <w:rsid w:val="00887911"/>
    <w:rsid w:val="008903B8"/>
    <w:rsid w:val="00891D34"/>
    <w:rsid w:val="008928F0"/>
    <w:rsid w:val="008948E1"/>
    <w:rsid w:val="00896ADE"/>
    <w:rsid w:val="008A4C36"/>
    <w:rsid w:val="008B1CCE"/>
    <w:rsid w:val="008B2DEC"/>
    <w:rsid w:val="008B5E80"/>
    <w:rsid w:val="008B5E87"/>
    <w:rsid w:val="008B5EDD"/>
    <w:rsid w:val="008B5EE0"/>
    <w:rsid w:val="008B6F48"/>
    <w:rsid w:val="008C18B4"/>
    <w:rsid w:val="008C29F2"/>
    <w:rsid w:val="008C2A02"/>
    <w:rsid w:val="008C6E0A"/>
    <w:rsid w:val="008C714A"/>
    <w:rsid w:val="008D1681"/>
    <w:rsid w:val="008E3BE6"/>
    <w:rsid w:val="008F1379"/>
    <w:rsid w:val="008F5D48"/>
    <w:rsid w:val="008F7872"/>
    <w:rsid w:val="0090233C"/>
    <w:rsid w:val="00904C44"/>
    <w:rsid w:val="00905964"/>
    <w:rsid w:val="009127C2"/>
    <w:rsid w:val="0091469C"/>
    <w:rsid w:val="0092021D"/>
    <w:rsid w:val="009206E4"/>
    <w:rsid w:val="009221C7"/>
    <w:rsid w:val="00922B04"/>
    <w:rsid w:val="00923C1B"/>
    <w:rsid w:val="0093024D"/>
    <w:rsid w:val="009303EC"/>
    <w:rsid w:val="0093379F"/>
    <w:rsid w:val="00935920"/>
    <w:rsid w:val="009363FB"/>
    <w:rsid w:val="00936B59"/>
    <w:rsid w:val="0094394A"/>
    <w:rsid w:val="00950F8C"/>
    <w:rsid w:val="00955CB6"/>
    <w:rsid w:val="0095684C"/>
    <w:rsid w:val="00962195"/>
    <w:rsid w:val="00962CD9"/>
    <w:rsid w:val="00964555"/>
    <w:rsid w:val="00965289"/>
    <w:rsid w:val="00967AEC"/>
    <w:rsid w:val="00974820"/>
    <w:rsid w:val="009807C8"/>
    <w:rsid w:val="009813BB"/>
    <w:rsid w:val="0098205B"/>
    <w:rsid w:val="0098451F"/>
    <w:rsid w:val="00987457"/>
    <w:rsid w:val="0098752F"/>
    <w:rsid w:val="009951C1"/>
    <w:rsid w:val="009A09AB"/>
    <w:rsid w:val="009A1541"/>
    <w:rsid w:val="009A1F3B"/>
    <w:rsid w:val="009A4D9A"/>
    <w:rsid w:val="009A64CF"/>
    <w:rsid w:val="009A757D"/>
    <w:rsid w:val="009B2810"/>
    <w:rsid w:val="009B2C21"/>
    <w:rsid w:val="009B2D6C"/>
    <w:rsid w:val="009B30CB"/>
    <w:rsid w:val="009B3855"/>
    <w:rsid w:val="009B4025"/>
    <w:rsid w:val="009B5AFE"/>
    <w:rsid w:val="009B7057"/>
    <w:rsid w:val="009C30B0"/>
    <w:rsid w:val="009C3B93"/>
    <w:rsid w:val="009D041E"/>
    <w:rsid w:val="009D2BD0"/>
    <w:rsid w:val="009F0A74"/>
    <w:rsid w:val="009F12FB"/>
    <w:rsid w:val="009F6295"/>
    <w:rsid w:val="00A00364"/>
    <w:rsid w:val="00A01173"/>
    <w:rsid w:val="00A0138F"/>
    <w:rsid w:val="00A02BE2"/>
    <w:rsid w:val="00A03774"/>
    <w:rsid w:val="00A06468"/>
    <w:rsid w:val="00A070E9"/>
    <w:rsid w:val="00A07478"/>
    <w:rsid w:val="00A12E36"/>
    <w:rsid w:val="00A1721E"/>
    <w:rsid w:val="00A222FF"/>
    <w:rsid w:val="00A261FF"/>
    <w:rsid w:val="00A315DF"/>
    <w:rsid w:val="00A31FD2"/>
    <w:rsid w:val="00A35813"/>
    <w:rsid w:val="00A406BA"/>
    <w:rsid w:val="00A418AE"/>
    <w:rsid w:val="00A43AA1"/>
    <w:rsid w:val="00A542B9"/>
    <w:rsid w:val="00A57C12"/>
    <w:rsid w:val="00A603FC"/>
    <w:rsid w:val="00A6069E"/>
    <w:rsid w:val="00A60CB2"/>
    <w:rsid w:val="00A6277E"/>
    <w:rsid w:val="00A63E0E"/>
    <w:rsid w:val="00A647B3"/>
    <w:rsid w:val="00A676F3"/>
    <w:rsid w:val="00A72067"/>
    <w:rsid w:val="00A7362D"/>
    <w:rsid w:val="00A74BE1"/>
    <w:rsid w:val="00A76DC7"/>
    <w:rsid w:val="00A818A6"/>
    <w:rsid w:val="00A85255"/>
    <w:rsid w:val="00A92791"/>
    <w:rsid w:val="00A928C6"/>
    <w:rsid w:val="00A965DA"/>
    <w:rsid w:val="00A973F7"/>
    <w:rsid w:val="00A97F44"/>
    <w:rsid w:val="00AA13B3"/>
    <w:rsid w:val="00AA445A"/>
    <w:rsid w:val="00AA7D28"/>
    <w:rsid w:val="00AB68E1"/>
    <w:rsid w:val="00AC0515"/>
    <w:rsid w:val="00AC33D0"/>
    <w:rsid w:val="00AC73A2"/>
    <w:rsid w:val="00AD4AC2"/>
    <w:rsid w:val="00AD4D0A"/>
    <w:rsid w:val="00AE56D5"/>
    <w:rsid w:val="00AE5A67"/>
    <w:rsid w:val="00AE7174"/>
    <w:rsid w:val="00B02A7A"/>
    <w:rsid w:val="00B04900"/>
    <w:rsid w:val="00B05EA3"/>
    <w:rsid w:val="00B06166"/>
    <w:rsid w:val="00B068BD"/>
    <w:rsid w:val="00B074E3"/>
    <w:rsid w:val="00B113A0"/>
    <w:rsid w:val="00B12863"/>
    <w:rsid w:val="00B17A58"/>
    <w:rsid w:val="00B2001D"/>
    <w:rsid w:val="00B20B07"/>
    <w:rsid w:val="00B27DCD"/>
    <w:rsid w:val="00B27E76"/>
    <w:rsid w:val="00B403C7"/>
    <w:rsid w:val="00B42AF2"/>
    <w:rsid w:val="00B4401E"/>
    <w:rsid w:val="00B45798"/>
    <w:rsid w:val="00B4697E"/>
    <w:rsid w:val="00B50693"/>
    <w:rsid w:val="00B522D6"/>
    <w:rsid w:val="00B5293D"/>
    <w:rsid w:val="00B5473E"/>
    <w:rsid w:val="00B5704B"/>
    <w:rsid w:val="00B60243"/>
    <w:rsid w:val="00B60DB7"/>
    <w:rsid w:val="00B6109C"/>
    <w:rsid w:val="00B6391D"/>
    <w:rsid w:val="00B65498"/>
    <w:rsid w:val="00B65EFA"/>
    <w:rsid w:val="00B66A7B"/>
    <w:rsid w:val="00B726BA"/>
    <w:rsid w:val="00B72DF5"/>
    <w:rsid w:val="00B72F72"/>
    <w:rsid w:val="00B73DE3"/>
    <w:rsid w:val="00B77D39"/>
    <w:rsid w:val="00B80DE5"/>
    <w:rsid w:val="00B81189"/>
    <w:rsid w:val="00B81484"/>
    <w:rsid w:val="00B94342"/>
    <w:rsid w:val="00B961F6"/>
    <w:rsid w:val="00B965A0"/>
    <w:rsid w:val="00BA5246"/>
    <w:rsid w:val="00BA7046"/>
    <w:rsid w:val="00BB0024"/>
    <w:rsid w:val="00BB3538"/>
    <w:rsid w:val="00BB3A51"/>
    <w:rsid w:val="00BB7C81"/>
    <w:rsid w:val="00BC07A7"/>
    <w:rsid w:val="00BC1F1C"/>
    <w:rsid w:val="00BC2AF4"/>
    <w:rsid w:val="00BC4093"/>
    <w:rsid w:val="00BC4518"/>
    <w:rsid w:val="00BC4560"/>
    <w:rsid w:val="00BC7AD9"/>
    <w:rsid w:val="00BD5A5A"/>
    <w:rsid w:val="00BE0947"/>
    <w:rsid w:val="00BE0E0E"/>
    <w:rsid w:val="00BE431D"/>
    <w:rsid w:val="00BE518F"/>
    <w:rsid w:val="00BF0336"/>
    <w:rsid w:val="00BF54E6"/>
    <w:rsid w:val="00BF5E3C"/>
    <w:rsid w:val="00BF6434"/>
    <w:rsid w:val="00BF7BDF"/>
    <w:rsid w:val="00C02394"/>
    <w:rsid w:val="00C031A9"/>
    <w:rsid w:val="00C03790"/>
    <w:rsid w:val="00C04F09"/>
    <w:rsid w:val="00C064E4"/>
    <w:rsid w:val="00C12D24"/>
    <w:rsid w:val="00C1414B"/>
    <w:rsid w:val="00C165EA"/>
    <w:rsid w:val="00C1711E"/>
    <w:rsid w:val="00C21ED7"/>
    <w:rsid w:val="00C225E5"/>
    <w:rsid w:val="00C22FC3"/>
    <w:rsid w:val="00C41483"/>
    <w:rsid w:val="00C42879"/>
    <w:rsid w:val="00C42A68"/>
    <w:rsid w:val="00C43DBE"/>
    <w:rsid w:val="00C44850"/>
    <w:rsid w:val="00C46A0C"/>
    <w:rsid w:val="00C46A6D"/>
    <w:rsid w:val="00C5275A"/>
    <w:rsid w:val="00C5276A"/>
    <w:rsid w:val="00C57871"/>
    <w:rsid w:val="00C62A02"/>
    <w:rsid w:val="00C62EA4"/>
    <w:rsid w:val="00C76022"/>
    <w:rsid w:val="00C779A5"/>
    <w:rsid w:val="00C82117"/>
    <w:rsid w:val="00C84654"/>
    <w:rsid w:val="00C846B9"/>
    <w:rsid w:val="00C85122"/>
    <w:rsid w:val="00C85647"/>
    <w:rsid w:val="00C9492D"/>
    <w:rsid w:val="00C975DE"/>
    <w:rsid w:val="00CA2F50"/>
    <w:rsid w:val="00CA4B5C"/>
    <w:rsid w:val="00CB2EC4"/>
    <w:rsid w:val="00CB5AA2"/>
    <w:rsid w:val="00CB5EB8"/>
    <w:rsid w:val="00CB7778"/>
    <w:rsid w:val="00CC548E"/>
    <w:rsid w:val="00CC5E8B"/>
    <w:rsid w:val="00CC7875"/>
    <w:rsid w:val="00CD045B"/>
    <w:rsid w:val="00CD1414"/>
    <w:rsid w:val="00CD1AA1"/>
    <w:rsid w:val="00CE0500"/>
    <w:rsid w:val="00CE0612"/>
    <w:rsid w:val="00CE2A4F"/>
    <w:rsid w:val="00CE2D70"/>
    <w:rsid w:val="00CE33DB"/>
    <w:rsid w:val="00CE55EC"/>
    <w:rsid w:val="00CF54DB"/>
    <w:rsid w:val="00CF7055"/>
    <w:rsid w:val="00CF7CD2"/>
    <w:rsid w:val="00D000DE"/>
    <w:rsid w:val="00D0055C"/>
    <w:rsid w:val="00D04382"/>
    <w:rsid w:val="00D06588"/>
    <w:rsid w:val="00D1328B"/>
    <w:rsid w:val="00D20935"/>
    <w:rsid w:val="00D249BC"/>
    <w:rsid w:val="00D268B0"/>
    <w:rsid w:val="00D27B67"/>
    <w:rsid w:val="00D32A56"/>
    <w:rsid w:val="00D33C3F"/>
    <w:rsid w:val="00D352F8"/>
    <w:rsid w:val="00D542B4"/>
    <w:rsid w:val="00D54A5F"/>
    <w:rsid w:val="00D62F0A"/>
    <w:rsid w:val="00D644FE"/>
    <w:rsid w:val="00D66B93"/>
    <w:rsid w:val="00D676AB"/>
    <w:rsid w:val="00D67FE2"/>
    <w:rsid w:val="00D70CC2"/>
    <w:rsid w:val="00D73610"/>
    <w:rsid w:val="00D74EA5"/>
    <w:rsid w:val="00D803EA"/>
    <w:rsid w:val="00D85C91"/>
    <w:rsid w:val="00D90FF5"/>
    <w:rsid w:val="00D911EB"/>
    <w:rsid w:val="00D91219"/>
    <w:rsid w:val="00D91AB4"/>
    <w:rsid w:val="00D9310D"/>
    <w:rsid w:val="00D949ED"/>
    <w:rsid w:val="00D95742"/>
    <w:rsid w:val="00D978B1"/>
    <w:rsid w:val="00DA2948"/>
    <w:rsid w:val="00DB0AA2"/>
    <w:rsid w:val="00DB6820"/>
    <w:rsid w:val="00DC0940"/>
    <w:rsid w:val="00DC0C59"/>
    <w:rsid w:val="00DC218B"/>
    <w:rsid w:val="00DC3639"/>
    <w:rsid w:val="00DC7201"/>
    <w:rsid w:val="00DD0983"/>
    <w:rsid w:val="00DD1390"/>
    <w:rsid w:val="00DD1B1C"/>
    <w:rsid w:val="00DD2755"/>
    <w:rsid w:val="00DD48FA"/>
    <w:rsid w:val="00DD5363"/>
    <w:rsid w:val="00DE1855"/>
    <w:rsid w:val="00DE205C"/>
    <w:rsid w:val="00DE23C8"/>
    <w:rsid w:val="00DE515B"/>
    <w:rsid w:val="00DE6084"/>
    <w:rsid w:val="00DE7F18"/>
    <w:rsid w:val="00DF25CB"/>
    <w:rsid w:val="00DF386A"/>
    <w:rsid w:val="00E01004"/>
    <w:rsid w:val="00E012B3"/>
    <w:rsid w:val="00E02AAA"/>
    <w:rsid w:val="00E066F6"/>
    <w:rsid w:val="00E103B8"/>
    <w:rsid w:val="00E10BBE"/>
    <w:rsid w:val="00E12AEC"/>
    <w:rsid w:val="00E13E40"/>
    <w:rsid w:val="00E15B2F"/>
    <w:rsid w:val="00E20363"/>
    <w:rsid w:val="00E206AF"/>
    <w:rsid w:val="00E20A6C"/>
    <w:rsid w:val="00E20F08"/>
    <w:rsid w:val="00E227A9"/>
    <w:rsid w:val="00E23907"/>
    <w:rsid w:val="00E309E5"/>
    <w:rsid w:val="00E401D1"/>
    <w:rsid w:val="00E40889"/>
    <w:rsid w:val="00E42368"/>
    <w:rsid w:val="00E44151"/>
    <w:rsid w:val="00E441D9"/>
    <w:rsid w:val="00E44A8E"/>
    <w:rsid w:val="00E46CDC"/>
    <w:rsid w:val="00E51BC7"/>
    <w:rsid w:val="00E537D4"/>
    <w:rsid w:val="00E55321"/>
    <w:rsid w:val="00E61062"/>
    <w:rsid w:val="00E63BC2"/>
    <w:rsid w:val="00E662E9"/>
    <w:rsid w:val="00E677EB"/>
    <w:rsid w:val="00E72E51"/>
    <w:rsid w:val="00E75100"/>
    <w:rsid w:val="00E755CD"/>
    <w:rsid w:val="00E825B8"/>
    <w:rsid w:val="00E82801"/>
    <w:rsid w:val="00E82BC3"/>
    <w:rsid w:val="00E83941"/>
    <w:rsid w:val="00E85468"/>
    <w:rsid w:val="00E85CDE"/>
    <w:rsid w:val="00E85F1B"/>
    <w:rsid w:val="00E8616D"/>
    <w:rsid w:val="00E87D95"/>
    <w:rsid w:val="00E9103A"/>
    <w:rsid w:val="00E91075"/>
    <w:rsid w:val="00E91FD4"/>
    <w:rsid w:val="00E928A2"/>
    <w:rsid w:val="00E957E6"/>
    <w:rsid w:val="00EA1AB7"/>
    <w:rsid w:val="00EA2A31"/>
    <w:rsid w:val="00EA63CA"/>
    <w:rsid w:val="00EB03C6"/>
    <w:rsid w:val="00EB1C0C"/>
    <w:rsid w:val="00EB3DA0"/>
    <w:rsid w:val="00EC02FD"/>
    <w:rsid w:val="00EC1CBD"/>
    <w:rsid w:val="00EC4E8A"/>
    <w:rsid w:val="00EC528D"/>
    <w:rsid w:val="00EC5F1E"/>
    <w:rsid w:val="00ED799C"/>
    <w:rsid w:val="00EE0FDE"/>
    <w:rsid w:val="00EE591F"/>
    <w:rsid w:val="00EE5AD7"/>
    <w:rsid w:val="00EF0954"/>
    <w:rsid w:val="00EF2FDC"/>
    <w:rsid w:val="00EF7CFF"/>
    <w:rsid w:val="00F12762"/>
    <w:rsid w:val="00F13184"/>
    <w:rsid w:val="00F14ECB"/>
    <w:rsid w:val="00F15476"/>
    <w:rsid w:val="00F15EE2"/>
    <w:rsid w:val="00F17FB0"/>
    <w:rsid w:val="00F25926"/>
    <w:rsid w:val="00F34496"/>
    <w:rsid w:val="00F361C7"/>
    <w:rsid w:val="00F3695D"/>
    <w:rsid w:val="00F379A0"/>
    <w:rsid w:val="00F41461"/>
    <w:rsid w:val="00F4167E"/>
    <w:rsid w:val="00F44DB6"/>
    <w:rsid w:val="00F46DE2"/>
    <w:rsid w:val="00F506EF"/>
    <w:rsid w:val="00F53B12"/>
    <w:rsid w:val="00F56691"/>
    <w:rsid w:val="00F6157A"/>
    <w:rsid w:val="00F62487"/>
    <w:rsid w:val="00F67FA6"/>
    <w:rsid w:val="00F71415"/>
    <w:rsid w:val="00F73628"/>
    <w:rsid w:val="00F753C2"/>
    <w:rsid w:val="00F76E70"/>
    <w:rsid w:val="00F83BEE"/>
    <w:rsid w:val="00F85061"/>
    <w:rsid w:val="00F855DA"/>
    <w:rsid w:val="00F90F6F"/>
    <w:rsid w:val="00F9585A"/>
    <w:rsid w:val="00F9639A"/>
    <w:rsid w:val="00F963F4"/>
    <w:rsid w:val="00F97039"/>
    <w:rsid w:val="00FA1579"/>
    <w:rsid w:val="00FA4E76"/>
    <w:rsid w:val="00FA646C"/>
    <w:rsid w:val="00FB05F1"/>
    <w:rsid w:val="00FB078A"/>
    <w:rsid w:val="00FB079F"/>
    <w:rsid w:val="00FB62EB"/>
    <w:rsid w:val="00FB7912"/>
    <w:rsid w:val="00FC522D"/>
    <w:rsid w:val="00FC540E"/>
    <w:rsid w:val="00FD0783"/>
    <w:rsid w:val="00FD1F62"/>
    <w:rsid w:val="00FE07F4"/>
    <w:rsid w:val="00FE3681"/>
    <w:rsid w:val="00FE5311"/>
    <w:rsid w:val="00FE5829"/>
    <w:rsid w:val="00FF1AD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9C307D1"/>
  <w15:chartTrackingRefBased/>
  <w15:docId w15:val="{ED73244A-F445-47A2-A189-9EBC09396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03C7"/>
  </w:style>
  <w:style w:type="paragraph" w:styleId="Naslov1">
    <w:name w:val="heading 1"/>
    <w:basedOn w:val="Normal"/>
    <w:next w:val="Normal"/>
    <w:link w:val="Naslov1Char"/>
    <w:uiPriority w:val="9"/>
    <w:qFormat/>
    <w:rsid w:val="00EB3DA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slov2">
    <w:name w:val="heading 2"/>
    <w:basedOn w:val="Normal"/>
    <w:next w:val="Normal"/>
    <w:link w:val="Naslov2Char"/>
    <w:uiPriority w:val="9"/>
    <w:unhideWhenUsed/>
    <w:qFormat/>
    <w:rsid w:val="00EB3DA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slov3">
    <w:name w:val="heading 3"/>
    <w:basedOn w:val="Normal"/>
    <w:next w:val="Normal"/>
    <w:link w:val="Naslov3Char"/>
    <w:uiPriority w:val="9"/>
    <w:unhideWhenUsed/>
    <w:qFormat/>
    <w:rsid w:val="00EB3DA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Referencakomentara">
    <w:name w:val="annotation reference"/>
    <w:rsid w:val="00D542B4"/>
    <w:rPr>
      <w:sz w:val="16"/>
      <w:szCs w:val="16"/>
    </w:rPr>
  </w:style>
  <w:style w:type="paragraph" w:styleId="Tekstkomentara">
    <w:name w:val="annotation text"/>
    <w:basedOn w:val="Normal"/>
    <w:link w:val="TekstkomentaraChar"/>
    <w:rsid w:val="00D542B4"/>
    <w:pPr>
      <w:spacing w:after="0" w:line="240" w:lineRule="auto"/>
    </w:pPr>
    <w:rPr>
      <w:rFonts w:ascii="Times New Roman" w:eastAsia="Times New Roman" w:hAnsi="Times New Roman" w:cs="Times New Roman"/>
      <w:sz w:val="20"/>
      <w:szCs w:val="20"/>
      <w:lang w:eastAsia="hr-HR"/>
    </w:rPr>
  </w:style>
  <w:style w:type="character" w:customStyle="1" w:styleId="TekstkomentaraChar">
    <w:name w:val="Tekst komentara Char"/>
    <w:basedOn w:val="Zadanifontodlomka"/>
    <w:link w:val="Tekstkomentara"/>
    <w:rsid w:val="00D542B4"/>
    <w:rPr>
      <w:rFonts w:ascii="Times New Roman" w:eastAsia="Times New Roman" w:hAnsi="Times New Roman" w:cs="Times New Roman"/>
      <w:sz w:val="20"/>
      <w:szCs w:val="20"/>
      <w:lang w:eastAsia="hr-HR"/>
    </w:rPr>
  </w:style>
  <w:style w:type="paragraph" w:styleId="Tekstbalonia">
    <w:name w:val="Balloon Text"/>
    <w:basedOn w:val="Normal"/>
    <w:link w:val="TekstbaloniaChar"/>
    <w:uiPriority w:val="99"/>
    <w:semiHidden/>
    <w:unhideWhenUsed/>
    <w:rsid w:val="00D542B4"/>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D542B4"/>
    <w:rPr>
      <w:rFonts w:ascii="Segoe UI" w:hAnsi="Segoe UI" w:cs="Segoe UI"/>
      <w:sz w:val="18"/>
      <w:szCs w:val="18"/>
    </w:rPr>
  </w:style>
  <w:style w:type="paragraph" w:styleId="Predmetkomentara">
    <w:name w:val="annotation subject"/>
    <w:basedOn w:val="Tekstkomentara"/>
    <w:next w:val="Tekstkomentara"/>
    <w:link w:val="PredmetkomentaraChar"/>
    <w:uiPriority w:val="99"/>
    <w:semiHidden/>
    <w:unhideWhenUsed/>
    <w:rsid w:val="00DD48FA"/>
    <w:pPr>
      <w:spacing w:after="160"/>
    </w:pPr>
    <w:rPr>
      <w:rFonts w:asciiTheme="minorHAnsi" w:eastAsiaTheme="minorHAnsi" w:hAnsiTheme="minorHAnsi" w:cstheme="minorBidi"/>
      <w:b/>
      <w:bCs/>
      <w:lang w:eastAsia="en-US"/>
    </w:rPr>
  </w:style>
  <w:style w:type="character" w:customStyle="1" w:styleId="PredmetkomentaraChar">
    <w:name w:val="Predmet komentara Char"/>
    <w:basedOn w:val="TekstkomentaraChar"/>
    <w:link w:val="Predmetkomentara"/>
    <w:uiPriority w:val="99"/>
    <w:semiHidden/>
    <w:rsid w:val="00DD48FA"/>
    <w:rPr>
      <w:rFonts w:ascii="Times New Roman" w:eastAsia="Times New Roman" w:hAnsi="Times New Roman" w:cs="Times New Roman"/>
      <w:b/>
      <w:bCs/>
      <w:sz w:val="20"/>
      <w:szCs w:val="20"/>
      <w:lang w:eastAsia="hr-HR"/>
    </w:rPr>
  </w:style>
  <w:style w:type="paragraph" w:styleId="Odlomakpopisa">
    <w:name w:val="List Paragraph"/>
    <w:basedOn w:val="Normal"/>
    <w:uiPriority w:val="34"/>
    <w:qFormat/>
    <w:rsid w:val="003A2E30"/>
    <w:pPr>
      <w:ind w:left="720"/>
      <w:contextualSpacing/>
    </w:pPr>
  </w:style>
  <w:style w:type="paragraph" w:styleId="Bezproreda">
    <w:name w:val="No Spacing"/>
    <w:link w:val="BezproredaChar"/>
    <w:uiPriority w:val="1"/>
    <w:qFormat/>
    <w:rsid w:val="00FD1F62"/>
    <w:pPr>
      <w:spacing w:after="0" w:line="240" w:lineRule="auto"/>
    </w:pPr>
    <w:rPr>
      <w:rFonts w:ascii="Calibri" w:eastAsia="Calibri" w:hAnsi="Calibri" w:cs="Times New Roman"/>
    </w:rPr>
  </w:style>
  <w:style w:type="character" w:customStyle="1" w:styleId="fontstyle01">
    <w:name w:val="fontstyle01"/>
    <w:rsid w:val="00FD1F62"/>
    <w:rPr>
      <w:rFonts w:ascii="Calibri" w:hAnsi="Calibri" w:cs="Calibri" w:hint="default"/>
      <w:b w:val="0"/>
      <w:bCs w:val="0"/>
      <w:i w:val="0"/>
      <w:iCs w:val="0"/>
      <w:color w:val="000000"/>
      <w:sz w:val="22"/>
      <w:szCs w:val="22"/>
    </w:rPr>
  </w:style>
  <w:style w:type="character" w:styleId="Hiperveza">
    <w:name w:val="Hyperlink"/>
    <w:uiPriority w:val="99"/>
    <w:unhideWhenUsed/>
    <w:rsid w:val="00FD1F62"/>
    <w:rPr>
      <w:color w:val="0563C1"/>
      <w:u w:val="single"/>
    </w:rPr>
  </w:style>
  <w:style w:type="character" w:styleId="SlijeenaHiperveza">
    <w:name w:val="FollowedHyperlink"/>
    <w:basedOn w:val="Zadanifontodlomka"/>
    <w:uiPriority w:val="99"/>
    <w:semiHidden/>
    <w:unhideWhenUsed/>
    <w:rsid w:val="00FD1F62"/>
    <w:rPr>
      <w:color w:val="954F72" w:themeColor="followedHyperlink"/>
      <w:u w:val="single"/>
    </w:rPr>
  </w:style>
  <w:style w:type="table" w:styleId="Reetkatablice">
    <w:name w:val="Table Grid"/>
    <w:basedOn w:val="Obinatablica"/>
    <w:uiPriority w:val="39"/>
    <w:rsid w:val="006F53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1Char">
    <w:name w:val="Naslov 1 Char"/>
    <w:basedOn w:val="Zadanifontodlomka"/>
    <w:link w:val="Naslov1"/>
    <w:uiPriority w:val="9"/>
    <w:rsid w:val="00EB3DA0"/>
    <w:rPr>
      <w:rFonts w:asciiTheme="majorHAnsi" w:eastAsiaTheme="majorEastAsia" w:hAnsiTheme="majorHAnsi" w:cstheme="majorBidi"/>
      <w:color w:val="2F5496" w:themeColor="accent1" w:themeShade="BF"/>
      <w:sz w:val="32"/>
      <w:szCs w:val="32"/>
    </w:rPr>
  </w:style>
  <w:style w:type="character" w:customStyle="1" w:styleId="Naslov2Char">
    <w:name w:val="Naslov 2 Char"/>
    <w:basedOn w:val="Zadanifontodlomka"/>
    <w:link w:val="Naslov2"/>
    <w:uiPriority w:val="9"/>
    <w:rsid w:val="00EB3DA0"/>
    <w:rPr>
      <w:rFonts w:asciiTheme="majorHAnsi" w:eastAsiaTheme="majorEastAsia" w:hAnsiTheme="majorHAnsi" w:cstheme="majorBidi"/>
      <w:color w:val="2F5496" w:themeColor="accent1" w:themeShade="BF"/>
      <w:sz w:val="26"/>
      <w:szCs w:val="26"/>
    </w:rPr>
  </w:style>
  <w:style w:type="character" w:customStyle="1" w:styleId="Naslov3Char">
    <w:name w:val="Naslov 3 Char"/>
    <w:basedOn w:val="Zadanifontodlomka"/>
    <w:link w:val="Naslov3"/>
    <w:uiPriority w:val="9"/>
    <w:rsid w:val="00EB3DA0"/>
    <w:rPr>
      <w:rFonts w:asciiTheme="majorHAnsi" w:eastAsiaTheme="majorEastAsia" w:hAnsiTheme="majorHAnsi" w:cstheme="majorBidi"/>
      <w:color w:val="1F3763" w:themeColor="accent1" w:themeShade="7F"/>
      <w:sz w:val="24"/>
      <w:szCs w:val="24"/>
    </w:rPr>
  </w:style>
  <w:style w:type="paragraph" w:styleId="TOCNaslov">
    <w:name w:val="TOC Heading"/>
    <w:basedOn w:val="Naslov1"/>
    <w:next w:val="Normal"/>
    <w:uiPriority w:val="39"/>
    <w:unhideWhenUsed/>
    <w:qFormat/>
    <w:rsid w:val="00EB3DA0"/>
    <w:pPr>
      <w:outlineLvl w:val="9"/>
    </w:pPr>
    <w:rPr>
      <w:lang w:eastAsia="hr-HR"/>
    </w:rPr>
  </w:style>
  <w:style w:type="paragraph" w:styleId="Sadraj1">
    <w:name w:val="toc 1"/>
    <w:basedOn w:val="Normal"/>
    <w:next w:val="Normal"/>
    <w:autoRedefine/>
    <w:uiPriority w:val="39"/>
    <w:unhideWhenUsed/>
    <w:rsid w:val="00EB3DA0"/>
    <w:pPr>
      <w:spacing w:after="100"/>
    </w:pPr>
  </w:style>
  <w:style w:type="paragraph" w:styleId="Sadraj2">
    <w:name w:val="toc 2"/>
    <w:basedOn w:val="Normal"/>
    <w:next w:val="Normal"/>
    <w:autoRedefine/>
    <w:uiPriority w:val="39"/>
    <w:unhideWhenUsed/>
    <w:rsid w:val="00EB3DA0"/>
    <w:pPr>
      <w:spacing w:after="100"/>
      <w:ind w:left="220"/>
    </w:pPr>
  </w:style>
  <w:style w:type="paragraph" w:styleId="Sadraj3">
    <w:name w:val="toc 3"/>
    <w:basedOn w:val="Normal"/>
    <w:next w:val="Normal"/>
    <w:autoRedefine/>
    <w:uiPriority w:val="39"/>
    <w:unhideWhenUsed/>
    <w:rsid w:val="00EB3DA0"/>
    <w:pPr>
      <w:spacing w:after="100"/>
      <w:ind w:left="440"/>
    </w:pPr>
  </w:style>
  <w:style w:type="paragraph" w:customStyle="1" w:styleId="t-98-2">
    <w:name w:val="t-98-2"/>
    <w:basedOn w:val="Normal"/>
    <w:rsid w:val="00F34496"/>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Istaknuto">
    <w:name w:val="Emphasis"/>
    <w:basedOn w:val="Zadanifontodlomka"/>
    <w:uiPriority w:val="20"/>
    <w:qFormat/>
    <w:rsid w:val="00EC02FD"/>
    <w:rPr>
      <w:i/>
      <w:iCs/>
    </w:rPr>
  </w:style>
  <w:style w:type="paragraph" w:customStyle="1" w:styleId="NormalNormalHZZO1">
    <w:name w:val="Normal.Normal HZZO1"/>
    <w:rsid w:val="00EC02FD"/>
    <w:pPr>
      <w:overflowPunct w:val="0"/>
      <w:autoSpaceDE w:val="0"/>
      <w:autoSpaceDN w:val="0"/>
      <w:adjustRightInd w:val="0"/>
      <w:spacing w:after="60" w:line="240" w:lineRule="auto"/>
    </w:pPr>
    <w:rPr>
      <w:rFonts w:ascii="Times New Roman" w:eastAsia="Times New Roman" w:hAnsi="Times New Roman" w:cs="Times New Roman"/>
      <w:noProof/>
      <w:szCs w:val="20"/>
      <w:lang w:eastAsia="hr-HR"/>
    </w:rPr>
  </w:style>
  <w:style w:type="paragraph" w:customStyle="1" w:styleId="Default">
    <w:name w:val="Default"/>
    <w:basedOn w:val="Normal"/>
    <w:rsid w:val="009A757D"/>
    <w:pPr>
      <w:autoSpaceDE w:val="0"/>
      <w:autoSpaceDN w:val="0"/>
      <w:spacing w:after="0" w:line="240" w:lineRule="auto"/>
    </w:pPr>
    <w:rPr>
      <w:rFonts w:ascii="Times New Roman" w:hAnsi="Times New Roman" w:cs="Times New Roman"/>
      <w:color w:val="000000"/>
      <w:sz w:val="24"/>
      <w:szCs w:val="24"/>
    </w:rPr>
  </w:style>
  <w:style w:type="paragraph" w:customStyle="1" w:styleId="Standard">
    <w:name w:val="Standard"/>
    <w:rsid w:val="009A757D"/>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character" w:styleId="Nerijeenospominjanje">
    <w:name w:val="Unresolved Mention"/>
    <w:basedOn w:val="Zadanifontodlomka"/>
    <w:uiPriority w:val="99"/>
    <w:semiHidden/>
    <w:unhideWhenUsed/>
    <w:rsid w:val="00342BDF"/>
    <w:rPr>
      <w:color w:val="605E5C"/>
      <w:shd w:val="clear" w:color="auto" w:fill="E1DFDD"/>
    </w:rPr>
  </w:style>
  <w:style w:type="paragraph" w:styleId="StandardWeb">
    <w:name w:val="Normal (Web)"/>
    <w:basedOn w:val="Normal"/>
    <w:uiPriority w:val="99"/>
    <w:unhideWhenUsed/>
    <w:rsid w:val="00E85F1B"/>
    <w:pPr>
      <w:spacing w:before="100" w:beforeAutospacing="1" w:after="100" w:afterAutospacing="1" w:line="240" w:lineRule="auto"/>
    </w:pPr>
    <w:rPr>
      <w:rFonts w:ascii="Calibri" w:hAnsi="Calibri" w:cs="Calibri"/>
      <w:lang w:eastAsia="hr-HR"/>
    </w:rPr>
  </w:style>
  <w:style w:type="paragraph" w:customStyle="1" w:styleId="Bezproreda1">
    <w:name w:val="Bez proreda1"/>
    <w:uiPriority w:val="1"/>
    <w:qFormat/>
    <w:rsid w:val="00052F75"/>
    <w:pPr>
      <w:spacing w:after="0" w:line="240" w:lineRule="auto"/>
      <w:jc w:val="both"/>
    </w:pPr>
    <w:rPr>
      <w:rFonts w:ascii="Times New Roman" w:eastAsia="Times New Roman" w:hAnsi="Times New Roman" w:cs="Times New Roman"/>
      <w:sz w:val="24"/>
      <w:szCs w:val="24"/>
      <w:lang w:eastAsia="hr-HR"/>
    </w:rPr>
  </w:style>
  <w:style w:type="paragraph" w:customStyle="1" w:styleId="pt-normal-000016">
    <w:name w:val="pt-normal-000016"/>
    <w:basedOn w:val="Normal"/>
    <w:rsid w:val="007843FE"/>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pt-zadanifontodlomka-000007">
    <w:name w:val="pt-zadanifontodlomka-000007"/>
    <w:basedOn w:val="Zadanifontodlomka"/>
    <w:rsid w:val="007843FE"/>
  </w:style>
  <w:style w:type="paragraph" w:customStyle="1" w:styleId="pt-000020">
    <w:name w:val="pt-000020"/>
    <w:basedOn w:val="Normal"/>
    <w:rsid w:val="007843FE"/>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pt-000011">
    <w:name w:val="pt-000011"/>
    <w:basedOn w:val="Zadanifontodlomka"/>
    <w:rsid w:val="007843FE"/>
  </w:style>
  <w:style w:type="paragraph" w:customStyle="1" w:styleId="pt-000022">
    <w:name w:val="pt-000022"/>
    <w:basedOn w:val="Normal"/>
    <w:rsid w:val="007843FE"/>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pt-000008">
    <w:name w:val="pt-000008"/>
    <w:basedOn w:val="Zadanifontodlomka"/>
    <w:rsid w:val="007843FE"/>
  </w:style>
  <w:style w:type="character" w:customStyle="1" w:styleId="text-colorful">
    <w:name w:val="text-colorful"/>
    <w:basedOn w:val="Zadanifontodlomka"/>
    <w:rsid w:val="00884598"/>
  </w:style>
  <w:style w:type="character" w:styleId="Naglaeno">
    <w:name w:val="Strong"/>
    <w:basedOn w:val="Zadanifontodlomka"/>
    <w:uiPriority w:val="22"/>
    <w:qFormat/>
    <w:rsid w:val="007934F8"/>
    <w:rPr>
      <w:b/>
      <w:bCs/>
    </w:rPr>
  </w:style>
  <w:style w:type="character" w:customStyle="1" w:styleId="BezproredaChar">
    <w:name w:val="Bez proreda Char"/>
    <w:link w:val="Bezproreda"/>
    <w:uiPriority w:val="1"/>
    <w:rsid w:val="00EF7CFF"/>
    <w:rPr>
      <w:rFonts w:ascii="Calibri" w:eastAsia="Calibri" w:hAnsi="Calibri" w:cs="Times New Roman"/>
    </w:rPr>
  </w:style>
  <w:style w:type="paragraph" w:customStyle="1" w:styleId="xmsonormal">
    <w:name w:val="x_msonormal"/>
    <w:basedOn w:val="Normal"/>
    <w:uiPriority w:val="99"/>
    <w:rsid w:val="00295D36"/>
    <w:pPr>
      <w:spacing w:after="0" w:line="240" w:lineRule="auto"/>
    </w:pPr>
    <w:rPr>
      <w:rFonts w:ascii="Times New Roman" w:hAnsi="Times New Roman" w:cs="Times New Roman"/>
      <w:sz w:val="24"/>
      <w:szCs w:val="24"/>
      <w:lang w:eastAsia="hr-HR"/>
    </w:rPr>
  </w:style>
  <w:style w:type="paragraph" w:customStyle="1" w:styleId="xt-9-8">
    <w:name w:val="x_t-9-8"/>
    <w:basedOn w:val="Normal"/>
    <w:uiPriority w:val="99"/>
    <w:rsid w:val="00295D36"/>
    <w:pPr>
      <w:spacing w:after="0" w:line="240" w:lineRule="auto"/>
    </w:pPr>
    <w:rPr>
      <w:rFonts w:ascii="Times New Roman" w:hAnsi="Times New Roman" w:cs="Times New Roman"/>
      <w:sz w:val="24"/>
      <w:szCs w:val="24"/>
      <w:lang w:eastAsia="hr-HR"/>
    </w:rPr>
  </w:style>
  <w:style w:type="paragraph" w:styleId="Zaglavlje">
    <w:name w:val="header"/>
    <w:basedOn w:val="Normal"/>
    <w:link w:val="ZaglavljeChar"/>
    <w:uiPriority w:val="99"/>
    <w:unhideWhenUsed/>
    <w:rsid w:val="009B30CB"/>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9B30CB"/>
  </w:style>
  <w:style w:type="paragraph" w:styleId="Podnoje">
    <w:name w:val="footer"/>
    <w:basedOn w:val="Normal"/>
    <w:link w:val="PodnojeChar"/>
    <w:uiPriority w:val="99"/>
    <w:unhideWhenUsed/>
    <w:rsid w:val="009B30CB"/>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9B30CB"/>
  </w:style>
  <w:style w:type="paragraph" w:styleId="Tekstfusnote">
    <w:name w:val="footnote text"/>
    <w:basedOn w:val="Normal"/>
    <w:link w:val="TekstfusnoteChar"/>
    <w:unhideWhenUsed/>
    <w:rsid w:val="006910F9"/>
    <w:pPr>
      <w:spacing w:after="0" w:line="240" w:lineRule="auto"/>
    </w:pPr>
    <w:rPr>
      <w:sz w:val="20"/>
      <w:szCs w:val="20"/>
    </w:rPr>
  </w:style>
  <w:style w:type="character" w:customStyle="1" w:styleId="TekstfusnoteChar">
    <w:name w:val="Tekst fusnote Char"/>
    <w:basedOn w:val="Zadanifontodlomka"/>
    <w:link w:val="Tekstfusnote"/>
    <w:rsid w:val="006910F9"/>
    <w:rPr>
      <w:sz w:val="20"/>
      <w:szCs w:val="20"/>
    </w:rPr>
  </w:style>
  <w:style w:type="character" w:styleId="Referencafusnote">
    <w:name w:val="footnote reference"/>
    <w:aliases w:val="BVI fnr,ftref,BVI fnr Car Car,BVI fnr Car,BVI fnr Car Car Car Car,BVI fnr Car Car Car Car Char,stylish,BVI fnr Car Char1 Char,BVI fnr Car Car Car Char1 Char,BVI fnr Car Car Char1 Char,BVI fnr Car Car Car Car Car Char1 Char, BVI fnr"/>
    <w:basedOn w:val="Zadanifontodlomka"/>
    <w:link w:val="Char2"/>
    <w:uiPriority w:val="99"/>
    <w:unhideWhenUsed/>
    <w:qFormat/>
    <w:rsid w:val="006910F9"/>
    <w:rPr>
      <w:vertAlign w:val="superscript"/>
    </w:rPr>
  </w:style>
  <w:style w:type="paragraph" w:customStyle="1" w:styleId="paragraph">
    <w:name w:val="paragraph"/>
    <w:basedOn w:val="Normal"/>
    <w:rsid w:val="00BE0947"/>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ormaltextrun">
    <w:name w:val="normaltextrun"/>
    <w:basedOn w:val="Zadanifontodlomka"/>
    <w:rsid w:val="00BE0947"/>
  </w:style>
  <w:style w:type="character" w:customStyle="1" w:styleId="eop">
    <w:name w:val="eop"/>
    <w:basedOn w:val="Zadanifontodlomka"/>
    <w:rsid w:val="00BE0947"/>
  </w:style>
  <w:style w:type="paragraph" w:customStyle="1" w:styleId="x10-9-fett-bold">
    <w:name w:val="x10-9-fett-bold"/>
    <w:basedOn w:val="Normal"/>
    <w:rsid w:val="00541503"/>
    <w:pPr>
      <w:spacing w:before="100" w:beforeAutospacing="1" w:after="225" w:line="240" w:lineRule="auto"/>
    </w:pPr>
    <w:rPr>
      <w:rFonts w:ascii="Times New Roman" w:eastAsia="Times New Roman" w:hAnsi="Times New Roman" w:cs="Times New Roman"/>
      <w:sz w:val="24"/>
      <w:szCs w:val="24"/>
      <w:lang w:eastAsia="hr-HR"/>
    </w:rPr>
  </w:style>
  <w:style w:type="paragraph" w:customStyle="1" w:styleId="Char2">
    <w:name w:val="Char2"/>
    <w:basedOn w:val="Normal"/>
    <w:link w:val="Referencafusnote"/>
    <w:uiPriority w:val="99"/>
    <w:rsid w:val="00731C28"/>
    <w:pPr>
      <w:suppressAutoHyphens/>
      <w:spacing w:line="240" w:lineRule="exact"/>
    </w:pPr>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5721807">
      <w:bodyDiv w:val="1"/>
      <w:marLeft w:val="0"/>
      <w:marRight w:val="0"/>
      <w:marTop w:val="0"/>
      <w:marBottom w:val="0"/>
      <w:divBdr>
        <w:top w:val="none" w:sz="0" w:space="0" w:color="auto"/>
        <w:left w:val="none" w:sz="0" w:space="0" w:color="auto"/>
        <w:bottom w:val="none" w:sz="0" w:space="0" w:color="auto"/>
        <w:right w:val="none" w:sz="0" w:space="0" w:color="auto"/>
      </w:divBdr>
    </w:div>
    <w:div w:id="302542794">
      <w:bodyDiv w:val="1"/>
      <w:marLeft w:val="0"/>
      <w:marRight w:val="0"/>
      <w:marTop w:val="0"/>
      <w:marBottom w:val="0"/>
      <w:divBdr>
        <w:top w:val="none" w:sz="0" w:space="0" w:color="auto"/>
        <w:left w:val="none" w:sz="0" w:space="0" w:color="auto"/>
        <w:bottom w:val="none" w:sz="0" w:space="0" w:color="auto"/>
        <w:right w:val="none" w:sz="0" w:space="0" w:color="auto"/>
      </w:divBdr>
    </w:div>
    <w:div w:id="319430594">
      <w:bodyDiv w:val="1"/>
      <w:marLeft w:val="0"/>
      <w:marRight w:val="0"/>
      <w:marTop w:val="0"/>
      <w:marBottom w:val="0"/>
      <w:divBdr>
        <w:top w:val="none" w:sz="0" w:space="0" w:color="auto"/>
        <w:left w:val="none" w:sz="0" w:space="0" w:color="auto"/>
        <w:bottom w:val="none" w:sz="0" w:space="0" w:color="auto"/>
        <w:right w:val="none" w:sz="0" w:space="0" w:color="auto"/>
      </w:divBdr>
    </w:div>
    <w:div w:id="340398129">
      <w:bodyDiv w:val="1"/>
      <w:marLeft w:val="0"/>
      <w:marRight w:val="0"/>
      <w:marTop w:val="0"/>
      <w:marBottom w:val="0"/>
      <w:divBdr>
        <w:top w:val="none" w:sz="0" w:space="0" w:color="auto"/>
        <w:left w:val="none" w:sz="0" w:space="0" w:color="auto"/>
        <w:bottom w:val="none" w:sz="0" w:space="0" w:color="auto"/>
        <w:right w:val="none" w:sz="0" w:space="0" w:color="auto"/>
      </w:divBdr>
    </w:div>
    <w:div w:id="372653403">
      <w:bodyDiv w:val="1"/>
      <w:marLeft w:val="0"/>
      <w:marRight w:val="0"/>
      <w:marTop w:val="0"/>
      <w:marBottom w:val="0"/>
      <w:divBdr>
        <w:top w:val="none" w:sz="0" w:space="0" w:color="auto"/>
        <w:left w:val="none" w:sz="0" w:space="0" w:color="auto"/>
        <w:bottom w:val="none" w:sz="0" w:space="0" w:color="auto"/>
        <w:right w:val="none" w:sz="0" w:space="0" w:color="auto"/>
      </w:divBdr>
    </w:div>
    <w:div w:id="376441670">
      <w:bodyDiv w:val="1"/>
      <w:marLeft w:val="0"/>
      <w:marRight w:val="0"/>
      <w:marTop w:val="0"/>
      <w:marBottom w:val="0"/>
      <w:divBdr>
        <w:top w:val="none" w:sz="0" w:space="0" w:color="auto"/>
        <w:left w:val="none" w:sz="0" w:space="0" w:color="auto"/>
        <w:bottom w:val="none" w:sz="0" w:space="0" w:color="auto"/>
        <w:right w:val="none" w:sz="0" w:space="0" w:color="auto"/>
      </w:divBdr>
    </w:div>
    <w:div w:id="420179549">
      <w:bodyDiv w:val="1"/>
      <w:marLeft w:val="0"/>
      <w:marRight w:val="0"/>
      <w:marTop w:val="0"/>
      <w:marBottom w:val="0"/>
      <w:divBdr>
        <w:top w:val="none" w:sz="0" w:space="0" w:color="auto"/>
        <w:left w:val="none" w:sz="0" w:space="0" w:color="auto"/>
        <w:bottom w:val="none" w:sz="0" w:space="0" w:color="auto"/>
        <w:right w:val="none" w:sz="0" w:space="0" w:color="auto"/>
      </w:divBdr>
    </w:div>
    <w:div w:id="442923027">
      <w:bodyDiv w:val="1"/>
      <w:marLeft w:val="0"/>
      <w:marRight w:val="0"/>
      <w:marTop w:val="0"/>
      <w:marBottom w:val="0"/>
      <w:divBdr>
        <w:top w:val="none" w:sz="0" w:space="0" w:color="auto"/>
        <w:left w:val="none" w:sz="0" w:space="0" w:color="auto"/>
        <w:bottom w:val="none" w:sz="0" w:space="0" w:color="auto"/>
        <w:right w:val="none" w:sz="0" w:space="0" w:color="auto"/>
      </w:divBdr>
    </w:div>
    <w:div w:id="459959654">
      <w:bodyDiv w:val="1"/>
      <w:marLeft w:val="0"/>
      <w:marRight w:val="0"/>
      <w:marTop w:val="0"/>
      <w:marBottom w:val="0"/>
      <w:divBdr>
        <w:top w:val="none" w:sz="0" w:space="0" w:color="auto"/>
        <w:left w:val="none" w:sz="0" w:space="0" w:color="auto"/>
        <w:bottom w:val="none" w:sz="0" w:space="0" w:color="auto"/>
        <w:right w:val="none" w:sz="0" w:space="0" w:color="auto"/>
      </w:divBdr>
    </w:div>
    <w:div w:id="520238617">
      <w:bodyDiv w:val="1"/>
      <w:marLeft w:val="0"/>
      <w:marRight w:val="0"/>
      <w:marTop w:val="0"/>
      <w:marBottom w:val="0"/>
      <w:divBdr>
        <w:top w:val="none" w:sz="0" w:space="0" w:color="auto"/>
        <w:left w:val="none" w:sz="0" w:space="0" w:color="auto"/>
        <w:bottom w:val="none" w:sz="0" w:space="0" w:color="auto"/>
        <w:right w:val="none" w:sz="0" w:space="0" w:color="auto"/>
      </w:divBdr>
    </w:div>
    <w:div w:id="608466066">
      <w:bodyDiv w:val="1"/>
      <w:marLeft w:val="0"/>
      <w:marRight w:val="0"/>
      <w:marTop w:val="0"/>
      <w:marBottom w:val="0"/>
      <w:divBdr>
        <w:top w:val="none" w:sz="0" w:space="0" w:color="auto"/>
        <w:left w:val="none" w:sz="0" w:space="0" w:color="auto"/>
        <w:bottom w:val="none" w:sz="0" w:space="0" w:color="auto"/>
        <w:right w:val="none" w:sz="0" w:space="0" w:color="auto"/>
      </w:divBdr>
    </w:div>
    <w:div w:id="610354767">
      <w:bodyDiv w:val="1"/>
      <w:marLeft w:val="0"/>
      <w:marRight w:val="0"/>
      <w:marTop w:val="0"/>
      <w:marBottom w:val="0"/>
      <w:divBdr>
        <w:top w:val="none" w:sz="0" w:space="0" w:color="auto"/>
        <w:left w:val="none" w:sz="0" w:space="0" w:color="auto"/>
        <w:bottom w:val="none" w:sz="0" w:space="0" w:color="auto"/>
        <w:right w:val="none" w:sz="0" w:space="0" w:color="auto"/>
      </w:divBdr>
    </w:div>
    <w:div w:id="677390294">
      <w:bodyDiv w:val="1"/>
      <w:marLeft w:val="0"/>
      <w:marRight w:val="0"/>
      <w:marTop w:val="0"/>
      <w:marBottom w:val="0"/>
      <w:divBdr>
        <w:top w:val="none" w:sz="0" w:space="0" w:color="auto"/>
        <w:left w:val="none" w:sz="0" w:space="0" w:color="auto"/>
        <w:bottom w:val="none" w:sz="0" w:space="0" w:color="auto"/>
        <w:right w:val="none" w:sz="0" w:space="0" w:color="auto"/>
      </w:divBdr>
    </w:div>
    <w:div w:id="709647731">
      <w:bodyDiv w:val="1"/>
      <w:marLeft w:val="0"/>
      <w:marRight w:val="0"/>
      <w:marTop w:val="0"/>
      <w:marBottom w:val="0"/>
      <w:divBdr>
        <w:top w:val="none" w:sz="0" w:space="0" w:color="auto"/>
        <w:left w:val="none" w:sz="0" w:space="0" w:color="auto"/>
        <w:bottom w:val="none" w:sz="0" w:space="0" w:color="auto"/>
        <w:right w:val="none" w:sz="0" w:space="0" w:color="auto"/>
      </w:divBdr>
    </w:div>
    <w:div w:id="731776089">
      <w:bodyDiv w:val="1"/>
      <w:marLeft w:val="0"/>
      <w:marRight w:val="0"/>
      <w:marTop w:val="0"/>
      <w:marBottom w:val="0"/>
      <w:divBdr>
        <w:top w:val="none" w:sz="0" w:space="0" w:color="auto"/>
        <w:left w:val="none" w:sz="0" w:space="0" w:color="auto"/>
        <w:bottom w:val="none" w:sz="0" w:space="0" w:color="auto"/>
        <w:right w:val="none" w:sz="0" w:space="0" w:color="auto"/>
      </w:divBdr>
    </w:div>
    <w:div w:id="807478527">
      <w:bodyDiv w:val="1"/>
      <w:marLeft w:val="0"/>
      <w:marRight w:val="0"/>
      <w:marTop w:val="0"/>
      <w:marBottom w:val="0"/>
      <w:divBdr>
        <w:top w:val="none" w:sz="0" w:space="0" w:color="auto"/>
        <w:left w:val="none" w:sz="0" w:space="0" w:color="auto"/>
        <w:bottom w:val="none" w:sz="0" w:space="0" w:color="auto"/>
        <w:right w:val="none" w:sz="0" w:space="0" w:color="auto"/>
      </w:divBdr>
    </w:div>
    <w:div w:id="810512694">
      <w:bodyDiv w:val="1"/>
      <w:marLeft w:val="0"/>
      <w:marRight w:val="0"/>
      <w:marTop w:val="0"/>
      <w:marBottom w:val="0"/>
      <w:divBdr>
        <w:top w:val="none" w:sz="0" w:space="0" w:color="auto"/>
        <w:left w:val="none" w:sz="0" w:space="0" w:color="auto"/>
        <w:bottom w:val="none" w:sz="0" w:space="0" w:color="auto"/>
        <w:right w:val="none" w:sz="0" w:space="0" w:color="auto"/>
      </w:divBdr>
    </w:div>
    <w:div w:id="818039424">
      <w:bodyDiv w:val="1"/>
      <w:marLeft w:val="0"/>
      <w:marRight w:val="0"/>
      <w:marTop w:val="0"/>
      <w:marBottom w:val="0"/>
      <w:divBdr>
        <w:top w:val="none" w:sz="0" w:space="0" w:color="auto"/>
        <w:left w:val="none" w:sz="0" w:space="0" w:color="auto"/>
        <w:bottom w:val="none" w:sz="0" w:space="0" w:color="auto"/>
        <w:right w:val="none" w:sz="0" w:space="0" w:color="auto"/>
      </w:divBdr>
    </w:div>
    <w:div w:id="827795006">
      <w:bodyDiv w:val="1"/>
      <w:marLeft w:val="0"/>
      <w:marRight w:val="0"/>
      <w:marTop w:val="0"/>
      <w:marBottom w:val="0"/>
      <w:divBdr>
        <w:top w:val="none" w:sz="0" w:space="0" w:color="auto"/>
        <w:left w:val="none" w:sz="0" w:space="0" w:color="auto"/>
        <w:bottom w:val="none" w:sz="0" w:space="0" w:color="auto"/>
        <w:right w:val="none" w:sz="0" w:space="0" w:color="auto"/>
      </w:divBdr>
    </w:div>
    <w:div w:id="868370663">
      <w:bodyDiv w:val="1"/>
      <w:marLeft w:val="0"/>
      <w:marRight w:val="0"/>
      <w:marTop w:val="0"/>
      <w:marBottom w:val="0"/>
      <w:divBdr>
        <w:top w:val="none" w:sz="0" w:space="0" w:color="auto"/>
        <w:left w:val="none" w:sz="0" w:space="0" w:color="auto"/>
        <w:bottom w:val="none" w:sz="0" w:space="0" w:color="auto"/>
        <w:right w:val="none" w:sz="0" w:space="0" w:color="auto"/>
      </w:divBdr>
    </w:div>
    <w:div w:id="981076911">
      <w:bodyDiv w:val="1"/>
      <w:marLeft w:val="0"/>
      <w:marRight w:val="0"/>
      <w:marTop w:val="0"/>
      <w:marBottom w:val="0"/>
      <w:divBdr>
        <w:top w:val="none" w:sz="0" w:space="0" w:color="auto"/>
        <w:left w:val="none" w:sz="0" w:space="0" w:color="auto"/>
        <w:bottom w:val="none" w:sz="0" w:space="0" w:color="auto"/>
        <w:right w:val="none" w:sz="0" w:space="0" w:color="auto"/>
      </w:divBdr>
    </w:div>
    <w:div w:id="1011492045">
      <w:bodyDiv w:val="1"/>
      <w:marLeft w:val="0"/>
      <w:marRight w:val="0"/>
      <w:marTop w:val="0"/>
      <w:marBottom w:val="0"/>
      <w:divBdr>
        <w:top w:val="none" w:sz="0" w:space="0" w:color="auto"/>
        <w:left w:val="none" w:sz="0" w:space="0" w:color="auto"/>
        <w:bottom w:val="none" w:sz="0" w:space="0" w:color="auto"/>
        <w:right w:val="none" w:sz="0" w:space="0" w:color="auto"/>
      </w:divBdr>
    </w:div>
    <w:div w:id="1076516958">
      <w:bodyDiv w:val="1"/>
      <w:marLeft w:val="0"/>
      <w:marRight w:val="0"/>
      <w:marTop w:val="0"/>
      <w:marBottom w:val="0"/>
      <w:divBdr>
        <w:top w:val="none" w:sz="0" w:space="0" w:color="auto"/>
        <w:left w:val="none" w:sz="0" w:space="0" w:color="auto"/>
        <w:bottom w:val="none" w:sz="0" w:space="0" w:color="auto"/>
        <w:right w:val="none" w:sz="0" w:space="0" w:color="auto"/>
      </w:divBdr>
    </w:div>
    <w:div w:id="1105074546">
      <w:bodyDiv w:val="1"/>
      <w:marLeft w:val="0"/>
      <w:marRight w:val="0"/>
      <w:marTop w:val="0"/>
      <w:marBottom w:val="0"/>
      <w:divBdr>
        <w:top w:val="none" w:sz="0" w:space="0" w:color="auto"/>
        <w:left w:val="none" w:sz="0" w:space="0" w:color="auto"/>
        <w:bottom w:val="none" w:sz="0" w:space="0" w:color="auto"/>
        <w:right w:val="none" w:sz="0" w:space="0" w:color="auto"/>
      </w:divBdr>
    </w:div>
    <w:div w:id="1140150558">
      <w:bodyDiv w:val="1"/>
      <w:marLeft w:val="0"/>
      <w:marRight w:val="0"/>
      <w:marTop w:val="0"/>
      <w:marBottom w:val="0"/>
      <w:divBdr>
        <w:top w:val="none" w:sz="0" w:space="0" w:color="auto"/>
        <w:left w:val="none" w:sz="0" w:space="0" w:color="auto"/>
        <w:bottom w:val="none" w:sz="0" w:space="0" w:color="auto"/>
        <w:right w:val="none" w:sz="0" w:space="0" w:color="auto"/>
      </w:divBdr>
    </w:div>
    <w:div w:id="1294747786">
      <w:bodyDiv w:val="1"/>
      <w:marLeft w:val="0"/>
      <w:marRight w:val="0"/>
      <w:marTop w:val="0"/>
      <w:marBottom w:val="0"/>
      <w:divBdr>
        <w:top w:val="none" w:sz="0" w:space="0" w:color="auto"/>
        <w:left w:val="none" w:sz="0" w:space="0" w:color="auto"/>
        <w:bottom w:val="none" w:sz="0" w:space="0" w:color="auto"/>
        <w:right w:val="none" w:sz="0" w:space="0" w:color="auto"/>
      </w:divBdr>
      <w:divsChild>
        <w:div w:id="823011345">
          <w:marLeft w:val="0"/>
          <w:marRight w:val="0"/>
          <w:marTop w:val="300"/>
          <w:marBottom w:val="300"/>
          <w:divBdr>
            <w:top w:val="none" w:sz="0" w:space="0" w:color="auto"/>
            <w:left w:val="none" w:sz="0" w:space="0" w:color="auto"/>
            <w:bottom w:val="none" w:sz="0" w:space="0" w:color="auto"/>
            <w:right w:val="none" w:sz="0" w:space="0" w:color="auto"/>
          </w:divBdr>
        </w:div>
        <w:div w:id="674234560">
          <w:marLeft w:val="0"/>
          <w:marRight w:val="0"/>
          <w:marTop w:val="300"/>
          <w:marBottom w:val="300"/>
          <w:divBdr>
            <w:top w:val="none" w:sz="0" w:space="0" w:color="auto"/>
            <w:left w:val="none" w:sz="0" w:space="0" w:color="auto"/>
            <w:bottom w:val="none" w:sz="0" w:space="0" w:color="auto"/>
            <w:right w:val="none" w:sz="0" w:space="0" w:color="auto"/>
          </w:divBdr>
        </w:div>
      </w:divsChild>
    </w:div>
    <w:div w:id="1312059327">
      <w:bodyDiv w:val="1"/>
      <w:marLeft w:val="0"/>
      <w:marRight w:val="0"/>
      <w:marTop w:val="0"/>
      <w:marBottom w:val="0"/>
      <w:divBdr>
        <w:top w:val="none" w:sz="0" w:space="0" w:color="auto"/>
        <w:left w:val="none" w:sz="0" w:space="0" w:color="auto"/>
        <w:bottom w:val="none" w:sz="0" w:space="0" w:color="auto"/>
        <w:right w:val="none" w:sz="0" w:space="0" w:color="auto"/>
      </w:divBdr>
    </w:div>
    <w:div w:id="1482698321">
      <w:bodyDiv w:val="1"/>
      <w:marLeft w:val="0"/>
      <w:marRight w:val="0"/>
      <w:marTop w:val="0"/>
      <w:marBottom w:val="0"/>
      <w:divBdr>
        <w:top w:val="none" w:sz="0" w:space="0" w:color="auto"/>
        <w:left w:val="none" w:sz="0" w:space="0" w:color="auto"/>
        <w:bottom w:val="none" w:sz="0" w:space="0" w:color="auto"/>
        <w:right w:val="none" w:sz="0" w:space="0" w:color="auto"/>
      </w:divBdr>
    </w:div>
    <w:div w:id="1640839171">
      <w:bodyDiv w:val="1"/>
      <w:marLeft w:val="0"/>
      <w:marRight w:val="0"/>
      <w:marTop w:val="0"/>
      <w:marBottom w:val="0"/>
      <w:divBdr>
        <w:top w:val="none" w:sz="0" w:space="0" w:color="auto"/>
        <w:left w:val="none" w:sz="0" w:space="0" w:color="auto"/>
        <w:bottom w:val="none" w:sz="0" w:space="0" w:color="auto"/>
        <w:right w:val="none" w:sz="0" w:space="0" w:color="auto"/>
      </w:divBdr>
    </w:div>
    <w:div w:id="1664311655">
      <w:bodyDiv w:val="1"/>
      <w:marLeft w:val="0"/>
      <w:marRight w:val="0"/>
      <w:marTop w:val="0"/>
      <w:marBottom w:val="0"/>
      <w:divBdr>
        <w:top w:val="none" w:sz="0" w:space="0" w:color="auto"/>
        <w:left w:val="none" w:sz="0" w:space="0" w:color="auto"/>
        <w:bottom w:val="none" w:sz="0" w:space="0" w:color="auto"/>
        <w:right w:val="none" w:sz="0" w:space="0" w:color="auto"/>
      </w:divBdr>
    </w:div>
    <w:div w:id="1771387630">
      <w:bodyDiv w:val="1"/>
      <w:marLeft w:val="0"/>
      <w:marRight w:val="0"/>
      <w:marTop w:val="0"/>
      <w:marBottom w:val="0"/>
      <w:divBdr>
        <w:top w:val="none" w:sz="0" w:space="0" w:color="auto"/>
        <w:left w:val="none" w:sz="0" w:space="0" w:color="auto"/>
        <w:bottom w:val="none" w:sz="0" w:space="0" w:color="auto"/>
        <w:right w:val="none" w:sz="0" w:space="0" w:color="auto"/>
      </w:divBdr>
    </w:div>
    <w:div w:id="1792357606">
      <w:bodyDiv w:val="1"/>
      <w:marLeft w:val="0"/>
      <w:marRight w:val="0"/>
      <w:marTop w:val="0"/>
      <w:marBottom w:val="0"/>
      <w:divBdr>
        <w:top w:val="none" w:sz="0" w:space="0" w:color="auto"/>
        <w:left w:val="none" w:sz="0" w:space="0" w:color="auto"/>
        <w:bottom w:val="none" w:sz="0" w:space="0" w:color="auto"/>
        <w:right w:val="none" w:sz="0" w:space="0" w:color="auto"/>
      </w:divBdr>
    </w:div>
    <w:div w:id="1792627322">
      <w:bodyDiv w:val="1"/>
      <w:marLeft w:val="0"/>
      <w:marRight w:val="0"/>
      <w:marTop w:val="0"/>
      <w:marBottom w:val="0"/>
      <w:divBdr>
        <w:top w:val="none" w:sz="0" w:space="0" w:color="auto"/>
        <w:left w:val="none" w:sz="0" w:space="0" w:color="auto"/>
        <w:bottom w:val="none" w:sz="0" w:space="0" w:color="auto"/>
        <w:right w:val="none" w:sz="0" w:space="0" w:color="auto"/>
      </w:divBdr>
      <w:divsChild>
        <w:div w:id="1395354190">
          <w:marLeft w:val="0"/>
          <w:marRight w:val="0"/>
          <w:marTop w:val="45"/>
          <w:marBottom w:val="0"/>
          <w:divBdr>
            <w:top w:val="none" w:sz="0" w:space="0" w:color="auto"/>
            <w:left w:val="none" w:sz="0" w:space="0" w:color="auto"/>
            <w:bottom w:val="none" w:sz="0" w:space="0" w:color="auto"/>
            <w:right w:val="none" w:sz="0" w:space="0" w:color="auto"/>
          </w:divBdr>
        </w:div>
      </w:divsChild>
    </w:div>
    <w:div w:id="1820029470">
      <w:bodyDiv w:val="1"/>
      <w:marLeft w:val="0"/>
      <w:marRight w:val="0"/>
      <w:marTop w:val="0"/>
      <w:marBottom w:val="0"/>
      <w:divBdr>
        <w:top w:val="none" w:sz="0" w:space="0" w:color="auto"/>
        <w:left w:val="none" w:sz="0" w:space="0" w:color="auto"/>
        <w:bottom w:val="none" w:sz="0" w:space="0" w:color="auto"/>
        <w:right w:val="none" w:sz="0" w:space="0" w:color="auto"/>
      </w:divBdr>
    </w:div>
    <w:div w:id="1869491591">
      <w:bodyDiv w:val="1"/>
      <w:marLeft w:val="0"/>
      <w:marRight w:val="0"/>
      <w:marTop w:val="0"/>
      <w:marBottom w:val="0"/>
      <w:divBdr>
        <w:top w:val="none" w:sz="0" w:space="0" w:color="auto"/>
        <w:left w:val="none" w:sz="0" w:space="0" w:color="auto"/>
        <w:bottom w:val="none" w:sz="0" w:space="0" w:color="auto"/>
        <w:right w:val="none" w:sz="0" w:space="0" w:color="auto"/>
      </w:divBdr>
    </w:div>
    <w:div w:id="1888760905">
      <w:bodyDiv w:val="1"/>
      <w:marLeft w:val="0"/>
      <w:marRight w:val="0"/>
      <w:marTop w:val="0"/>
      <w:marBottom w:val="0"/>
      <w:divBdr>
        <w:top w:val="none" w:sz="0" w:space="0" w:color="auto"/>
        <w:left w:val="none" w:sz="0" w:space="0" w:color="auto"/>
        <w:bottom w:val="none" w:sz="0" w:space="0" w:color="auto"/>
        <w:right w:val="none" w:sz="0" w:space="0" w:color="auto"/>
      </w:divBdr>
    </w:div>
    <w:div w:id="1914385805">
      <w:bodyDiv w:val="1"/>
      <w:marLeft w:val="0"/>
      <w:marRight w:val="0"/>
      <w:marTop w:val="0"/>
      <w:marBottom w:val="0"/>
      <w:divBdr>
        <w:top w:val="none" w:sz="0" w:space="0" w:color="auto"/>
        <w:left w:val="none" w:sz="0" w:space="0" w:color="auto"/>
        <w:bottom w:val="none" w:sz="0" w:space="0" w:color="auto"/>
        <w:right w:val="none" w:sz="0" w:space="0" w:color="auto"/>
      </w:divBdr>
    </w:div>
    <w:div w:id="1950039079">
      <w:bodyDiv w:val="1"/>
      <w:marLeft w:val="0"/>
      <w:marRight w:val="0"/>
      <w:marTop w:val="0"/>
      <w:marBottom w:val="0"/>
      <w:divBdr>
        <w:top w:val="none" w:sz="0" w:space="0" w:color="auto"/>
        <w:left w:val="none" w:sz="0" w:space="0" w:color="auto"/>
        <w:bottom w:val="none" w:sz="0" w:space="0" w:color="auto"/>
        <w:right w:val="none" w:sz="0" w:space="0" w:color="auto"/>
      </w:divBdr>
    </w:div>
    <w:div w:id="2022857129">
      <w:bodyDiv w:val="1"/>
      <w:marLeft w:val="0"/>
      <w:marRight w:val="0"/>
      <w:marTop w:val="0"/>
      <w:marBottom w:val="0"/>
      <w:divBdr>
        <w:top w:val="none" w:sz="0" w:space="0" w:color="auto"/>
        <w:left w:val="none" w:sz="0" w:space="0" w:color="auto"/>
        <w:bottom w:val="none" w:sz="0" w:space="0" w:color="auto"/>
        <w:right w:val="none" w:sz="0" w:space="0" w:color="auto"/>
      </w:divBdr>
    </w:div>
    <w:div w:id="2140805176">
      <w:bodyDiv w:val="1"/>
      <w:marLeft w:val="0"/>
      <w:marRight w:val="0"/>
      <w:marTop w:val="0"/>
      <w:marBottom w:val="0"/>
      <w:divBdr>
        <w:top w:val="none" w:sz="0" w:space="0" w:color="auto"/>
        <w:left w:val="none" w:sz="0" w:space="0" w:color="auto"/>
        <w:bottom w:val="none" w:sz="0" w:space="0" w:color="auto"/>
        <w:right w:val="none" w:sz="0" w:space="0" w:color="auto"/>
      </w:divBdr>
    </w:div>
    <w:div w:id="2144881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aem.hr/wp-content/uploads/2020/02/Komparativna-analiza-prilagodbe-audiovizualnih-sadr%C5%BEaja-osobama-s-osjetilnim-invaliditetom.pdf" TargetMode="Externa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www.koronavirus.hr/" TargetMode="External"/><Relationship Id="rId7" Type="http://schemas.openxmlformats.org/officeDocument/2006/relationships/styles" Target="styles.xml"/><Relationship Id="rId12" Type="http://schemas.openxmlformats.org/officeDocument/2006/relationships/hyperlink" Target="https://udruge.gov.hr/financiranje-programa-i-projekata-udruga-iz-javnih-izvora/2772" TargetMode="External"/><Relationship Id="rId17" Type="http://schemas.openxmlformats.org/officeDocument/2006/relationships/footer" Target="footer2.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zdravlje.gov.hr/koronavirus-i-mjere-prevencije/4952/"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hzjz.hr/periodicne-publikacije/hrvatski-zdravstveno-statisticki-ljetopis-za-2019-tablicni-podaci/" TargetMode="External"/><Relationship Id="rId23" Type="http://schemas.openxmlformats.org/officeDocument/2006/relationships/image" Target="media/image2.png"/><Relationship Id="rId10" Type="http://schemas.openxmlformats.org/officeDocument/2006/relationships/footnotes" Target="footnotes.xml"/><Relationship Id="rId19" Type="http://schemas.openxmlformats.org/officeDocument/2006/relationships/hyperlink" Target="https://www.hziz.hr/wpcontent/uploads/2_020/03/Osobe_s_%20invalidietomi_Mjere_zastite_28_06.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zosi.hr" TargetMode="External"/><Relationship Id="rId22" Type="http://schemas.openxmlformats.org/officeDocument/2006/relationships/image" Target="media/image1.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A6240CC48D505041921B2DD2C8F3149D" ma:contentTypeVersion="1" ma:contentTypeDescription="Stvaranje novog dokumenta." ma:contentTypeScope="" ma:versionID="987810f84f1d56754bf05e6f03570eb7">
  <xsd:schema xmlns:xsd="http://www.w3.org/2001/XMLSchema" xmlns:xs="http://www.w3.org/2001/XMLSchema" xmlns:p="http://schemas.microsoft.com/office/2006/metadata/properties" xmlns:ns2="a494813a-d0d8-4dad-94cb-0d196f36ba15" targetNamespace="http://schemas.microsoft.com/office/2006/metadata/properties" ma:root="true" ma:fieldsID="25e36e16aa46ebf14ca1525d3004cd09" ns2:_="">
    <xsd:import namespace="a494813a-d0d8-4dad-94cb-0d196f36ba15"/>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94813a-d0d8-4dad-94cb-0d196f36ba15" elementFormDefault="qualified">
    <xsd:import namespace="http://schemas.microsoft.com/office/2006/documentManagement/types"/>
    <xsd:import namespace="http://schemas.microsoft.com/office/infopath/2007/PartnerControls"/>
    <xsd:element name="_dlc_DocId" ma:index="8" nillable="true" ma:displayName="Vrijednost ID-a dokumenta" ma:description="Vrijednost ID-a dokumenta dodijeljenog ovoj stavci." ma:internalName="_dlc_DocId" ma:readOnly="true">
      <xsd:simpleType>
        <xsd:restriction base="dms:Text"/>
      </xsd:simpleType>
    </xsd:element>
    <xsd:element name="_dlc_DocIdUrl" ma:index="9"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a494813a-d0d8-4dad-94cb-0d196f36ba15">AZJMDCZ6QSYZ-12-4563</_dlc_DocId>
    <_dlc_DocIdUrl xmlns="a494813a-d0d8-4dad-94cb-0d196f36ba15">
      <Url>https://ekoordinacije.vlada.hr/sjednice-drustvo/_layouts/15/DocIdRedir.aspx?ID=AZJMDCZ6QSYZ-12-4563</Url>
      <Description>AZJMDCZ6QSYZ-12-4563</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B84D9A3-0A48-466B-B2BE-73E7BF740DB2}">
  <ds:schemaRefs>
    <ds:schemaRef ds:uri="http://schemas.microsoft.com/sharepoint/v3/contenttype/forms"/>
  </ds:schemaRefs>
</ds:datastoreItem>
</file>

<file path=customXml/itemProps2.xml><?xml version="1.0" encoding="utf-8"?>
<ds:datastoreItem xmlns:ds="http://schemas.openxmlformats.org/officeDocument/2006/customXml" ds:itemID="{5F2C966A-67F7-420A-8C48-DB64D5F20254}">
  <ds:schemaRefs>
    <ds:schemaRef ds:uri="http://schemas.openxmlformats.org/officeDocument/2006/bibliography"/>
  </ds:schemaRefs>
</ds:datastoreItem>
</file>

<file path=customXml/itemProps3.xml><?xml version="1.0" encoding="utf-8"?>
<ds:datastoreItem xmlns:ds="http://schemas.openxmlformats.org/officeDocument/2006/customXml" ds:itemID="{0901F2D9-730A-4C30-9B93-F7DF3DC09A27}"/>
</file>

<file path=customXml/itemProps4.xml><?xml version="1.0" encoding="utf-8"?>
<ds:datastoreItem xmlns:ds="http://schemas.openxmlformats.org/officeDocument/2006/customXml" ds:itemID="{3D3BDE62-3EE5-4A5E-835C-CDC294D97ABA}">
  <ds:schemaRefs>
    <ds:schemaRef ds:uri="http://schemas.microsoft.com/office/2006/metadata/properties"/>
    <ds:schemaRef ds:uri="http://schemas.microsoft.com/office/infopath/2007/PartnerControls"/>
    <ds:schemaRef ds:uri="a494813a-d0d8-4dad-94cb-0d196f36ba15"/>
  </ds:schemaRefs>
</ds:datastoreItem>
</file>

<file path=customXml/itemProps5.xml><?xml version="1.0" encoding="utf-8"?>
<ds:datastoreItem xmlns:ds="http://schemas.openxmlformats.org/officeDocument/2006/customXml" ds:itemID="{16E782A5-03AF-4933-8DEA-02C62FF984D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1</Pages>
  <Words>55724</Words>
  <Characters>317632</Characters>
  <Application>Microsoft Office Word</Application>
  <DocSecurity>0</DocSecurity>
  <Lines>2646</Lines>
  <Paragraphs>745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372611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Zelić</dc:creator>
  <cp:keywords/>
  <dc:description/>
  <cp:lastModifiedBy>Željka Grbac</cp:lastModifiedBy>
  <cp:revision>71</cp:revision>
  <cp:lastPrinted>2021-11-04T11:18:00Z</cp:lastPrinted>
  <dcterms:created xsi:type="dcterms:W3CDTF">2021-11-16T15:41:00Z</dcterms:created>
  <dcterms:modified xsi:type="dcterms:W3CDTF">2021-11-17T07:46:00Z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0x010100A6240CC48D505041921B2DD2C8F3149D</vt:lpwstr>
  </property>
  <property fmtid="{D5CDD505-2E9C-101B-9397-08002B2CF9AE}" pid="3" name="_dlc_DocIdItemGuid">
    <vt:lpwstr>0c838d51-4360-4228-a549-82c5a99d9439</vt:lpwstr>
  </property>
</Properties>
</file>